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AB93" w14:textId="77777777" w:rsidR="00000000" w:rsidRDefault="00A173A8">
      <w:pPr>
        <w:divId w:val="1434977688"/>
        <w:rPr>
          <w:rFonts w:eastAsia="Times New Roman"/>
          <w:vanish/>
        </w:rPr>
      </w:pPr>
      <w:r>
        <w:rPr>
          <w:rFonts w:eastAsia="Times New Roman"/>
          <w:vanish/>
        </w:rPr>
        <w:t>false2022Q2000092762812/3100009276282022-01-012022-06-300000927628us-gaap:CommonStockMember2022-01-012022-06-300000927628cof:SeriesIPreferredStockMember2022-01-012022-06-300000927628cof:SeriesJPreferredStockMember2022-01-012022-06-300000927628</w:t>
      </w:r>
      <w:r>
        <w:rPr>
          <w:rFonts w:eastAsia="Times New Roman"/>
          <w:vanish/>
        </w:rPr>
        <w:t>cof:SeriesKPreferredStockMember2022-01-012022-06-300000927628cof:SeriesLPreferredStockMember2022-01-012022-06-300000927628cof:SeriesNPreferredStockMember2022-01-012022-06-300000927628cof:SeniorNotesDue2024Member2022-01-012022-06-300000927628cof:SeniorNotes</w:t>
      </w:r>
      <w:r>
        <w:rPr>
          <w:rFonts w:eastAsia="Times New Roman"/>
          <w:vanish/>
        </w:rPr>
        <w:t>Due2029Member2022-01-012022-06-3000009276282022-06-30xbrli:shares00009276282022-04-012022-06-30iso4217:USD00009276282021-04-012021-06-3000009276282021-01-012021-06-30iso4217:USDxbrli:shares00009276282021-12-310000927628srt:ParentCompanyMember2022-06-300000</w:t>
      </w:r>
      <w:r>
        <w:rPr>
          <w:rFonts w:eastAsia="Times New Roman"/>
          <w:vanish/>
        </w:rPr>
        <w:t>927628srt:ParentCompanyMember2021-12-310000927628us-gaap:VariableInterestEntityPrimaryBeneficiaryMember2022-06-300000927628us-gaap:VariableInterestEntityPrimaryBeneficiaryMember2021-12-310000927628us-gaap:PreferredStockMember2021-12-310000927628us-gaap:Com</w:t>
      </w:r>
      <w:r>
        <w:rPr>
          <w:rFonts w:eastAsia="Times New Roman"/>
          <w:vanish/>
        </w:rPr>
        <w:t>monStockMember2021-12-310000927628us-gaap:AdditionalPaidInCapitalMember2021-12-310000927628us-gaap:RetainedEarningsMember2021-12-310000927628us-gaap:AccumulatedOtherComprehensiveIncomeMember2021-12-310000927628us-gaap:TreasuryStockMember2021-12-31000092762</w:t>
      </w:r>
      <w:r>
        <w:rPr>
          <w:rFonts w:eastAsia="Times New Roman"/>
          <w:vanish/>
        </w:rPr>
        <w:t>8us-gaap:RetainedEarningsMember2022-01-012022-03-310000927628us-gaap:AccumulatedOtherComprehensiveIncomeMember2022-01-012022-03-3100009276282022-01-012022-03-310000927628us-gaap:CommonStockMember2022-01-012022-03-310000927628us-gaap:AdditionalPaidInCapital</w:t>
      </w:r>
      <w:r>
        <w:rPr>
          <w:rFonts w:eastAsia="Times New Roman"/>
          <w:vanish/>
        </w:rPr>
        <w:t>Member2022-01-012022-03-310000927628us-gaap:TreasuryStockMember2022-01-012022-03-310000927628us-gaap:PreferredStockMember2022-03-310000927628us-gaap:CommonStockMember2022-03-310000927628us-gaap:AdditionalPaidInCapitalMember2022-03-310000927628us-gaap:Retai</w:t>
      </w:r>
      <w:r>
        <w:rPr>
          <w:rFonts w:eastAsia="Times New Roman"/>
          <w:vanish/>
        </w:rPr>
        <w:t>nedEarningsMember2022-03-310000927628us-gaap:AccumulatedOtherComprehensiveIncomeMember2022-03-310000927628us-gaap:TreasuryStockMember2022-03-3100009276282022-03-310000927628us-gaap:RetainedEarningsMember2022-04-012022-06-300000927628us-gaap:AccumulatedOthe</w:t>
      </w:r>
      <w:r>
        <w:rPr>
          <w:rFonts w:eastAsia="Times New Roman"/>
          <w:vanish/>
        </w:rPr>
        <w:t>rComprehensiveIncomeMember2022-04-012022-06-300000927628us-gaap:CommonStockMember2022-04-012022-06-300000927628us-gaap:AdditionalPaidInCapitalMember2022-04-012022-06-300000927628us-gaap:TreasuryStockMember2022-04-012022-06-300000927628us-gaap:PreferredStoc</w:t>
      </w:r>
      <w:r>
        <w:rPr>
          <w:rFonts w:eastAsia="Times New Roman"/>
          <w:vanish/>
        </w:rPr>
        <w:t>kMember2022-06-300000927628us-gaap:CommonStockMember2022-06-300000927628us-gaap:AdditionalPaidInCapitalMember2022-06-300000927628us-gaap:RetainedEarningsMember2022-06-300000927628us-gaap:AccumulatedOtherComprehensiveIncomeMember2022-06-300000927628us-gaap:</w:t>
      </w:r>
      <w:r>
        <w:rPr>
          <w:rFonts w:eastAsia="Times New Roman"/>
          <w:vanish/>
        </w:rPr>
        <w:t>TreasuryStockMember2022-06-300000927628us-gaap:PreferredStockMember2020-12-310000927628us-gaap:CommonStockMember2020-12-310000927628us-gaap:AdditionalPaidInCapitalMember2020-12-310000927628us-gaap:RetainedEarningsMember2020-12-310000927628us-gaap:Accumulat</w:t>
      </w:r>
      <w:r>
        <w:rPr>
          <w:rFonts w:eastAsia="Times New Roman"/>
          <w:vanish/>
        </w:rPr>
        <w:t>edOtherComprehensiveIncomeMember2020-12-310000927628us-gaap:TreasuryStockMember2020-12-3100009276282020-12-310000927628us-gaap:RetainedEarningsMember2021-01-012021-03-310000927628us-gaap:AccumulatedOtherComprehensiveIncomeMember2021-01-012021-03-3100009276</w:t>
      </w:r>
      <w:r>
        <w:rPr>
          <w:rFonts w:eastAsia="Times New Roman"/>
          <w:vanish/>
        </w:rPr>
        <w:t>282021-01-012021-03-310000927628us-gaap:CommonStockMember2021-01-012021-03-310000927628us-gaap:AdditionalPaidInCapitalMember2021-01-012021-03-310000927628us-gaap:TreasuryStockMember2021-01-012021-03-310000927628us-gaap:PreferredStockMember2021-03-310000927</w:t>
      </w:r>
      <w:r>
        <w:rPr>
          <w:rFonts w:eastAsia="Times New Roman"/>
          <w:vanish/>
        </w:rPr>
        <w:t>628us-gaap:CommonStockMember2021-03-310000927628us-gaap:AdditionalPaidInCapitalMember2021-03-310000927628us-gaap:RetainedEarningsMember2021-03-310000927628us-gaap:AccumulatedOtherComprehensiveIncomeMember2021-03-310000927628us-gaap:TreasuryStockMember2021-</w:t>
      </w:r>
      <w:r>
        <w:rPr>
          <w:rFonts w:eastAsia="Times New Roman"/>
          <w:vanish/>
        </w:rPr>
        <w:t>03-3100009276282021-03-310000927628us-gaap:RetainedEarningsMember2021-04-012021-06-300000927628us-gaap:AccumulatedOtherComprehensiveIncomeMember2021-04-012021-06-300000927628us-gaap:CommonStockMember2021-04-012021-06-300000927628us-gaap:AdditionalPaidInCap</w:t>
      </w:r>
      <w:r>
        <w:rPr>
          <w:rFonts w:eastAsia="Times New Roman"/>
          <w:vanish/>
        </w:rPr>
        <w:t>italMember2021-04-012021-06-300000927628us-gaap:TreasuryStockMember2021-04-012021-06-300000927628us-gaap:PreferredStockMember2021-04-012021-06-300000927628us-gaap:PreferredStockMember2021-06-300000927628us-gaap:CommonStockMember2021-06-300000927628us-gaap:</w:t>
      </w:r>
      <w:r>
        <w:rPr>
          <w:rFonts w:eastAsia="Times New Roman"/>
          <w:vanish/>
        </w:rPr>
        <w:t>AdditionalPaidInCapitalMember2021-06-300000927628us-gaap:RetainedEarningsMember2021-06-300000927628us-gaap:AccumulatedOtherComprehensiveIncomeMember2021-06-300000927628us-gaap:TreasuryStockMember2021-06-3000009276282021-06-30cof:segment0000927628us-gaap:Go</w:t>
      </w:r>
      <w:r>
        <w:rPr>
          <w:rFonts w:eastAsia="Times New Roman"/>
          <w:vanish/>
        </w:rPr>
        <w:t>vernmentContractsConcentrationRiskMemberus-gaap:USTreasuryAndGovernmentMemberus-gaap:AvailableforsaleSecuritiesMember2022-06-302022-06-30xbrli:pure0000927628us-gaap:GovernmentContractsConcentrationRiskMemberus-gaap:USTreasuryAndGovernmentMemberus-gaap:Avai</w:t>
      </w:r>
      <w:r>
        <w:rPr>
          <w:rFonts w:eastAsia="Times New Roman"/>
          <w:vanish/>
        </w:rPr>
        <w:t>lableforsaleSecuritiesMember2021-12-312021-12-3100009276282022-06-302022-06-3000009276282021-12-312021-12-310000927628us-gaap:USTreasurySecuritiesMember2022-06-300000927628cof:ResidentialMortgageBackedSecuritiesAgencyMember2022-06-300000927628cof:Residenti</w:t>
      </w:r>
      <w:r>
        <w:rPr>
          <w:rFonts w:eastAsia="Times New Roman"/>
          <w:vanish/>
        </w:rPr>
        <w:t>alMortgageBackedSecuritiesNonagencyMember2022-06-300000927628us-gaap:ResidentialMortgageBackedSecuritiesMember2022-06-300000927628cof:CommercialMortgageBackedSecuritiesAgencyMember2022-06-300000927628us-gaap:OtherDebtSecuritiesMember2022-06-300000927628us-</w:t>
      </w:r>
      <w:r>
        <w:rPr>
          <w:rFonts w:eastAsia="Times New Roman"/>
          <w:vanish/>
        </w:rPr>
        <w:t>gaap:USTreasurySecuritiesMember2021-12-310000927628cof:ResidentialMortgageBackedSecuritiesAgencyMember2021-12-310000927628cof:ResidentialMortgageBackedSecuritiesNonagencyMember2021-12-310000927628us-gaap:ResidentialMortgageBackedSecuritiesMember2021-12-310</w:t>
      </w:r>
      <w:r>
        <w:rPr>
          <w:rFonts w:eastAsia="Times New Roman"/>
          <w:vanish/>
        </w:rPr>
        <w:t>000927628cof:CommercialMortgageBackedSecuritiesAgencyMember2021-12-310000927628us-gaap:OtherDebtSecuritiesMember2021-12-310000927628us-gaap:AssetBackedSecuritiesMember2022-06-300000927628us-gaap:AssetBackedSecuritiesMember2021-12-31cof:security0000927628us</w:t>
      </w:r>
      <w:r>
        <w:rPr>
          <w:rFonts w:eastAsia="Times New Roman"/>
          <w:vanish/>
        </w:rPr>
        <w:t>-gaap:ResidentialMortgageBackedSecuritiesMember2022-01-012022-06-300000927628cof:CommercialMortgageBackedSecuritiesAgencyMember2022-01-012022-06-300000927628cof:CreditCardPortfolioSegmentMemberus-gaap:GeographicDistributionDomesticMember2022-06-30000092762</w:t>
      </w:r>
      <w:r>
        <w:rPr>
          <w:rFonts w:eastAsia="Times New Roman"/>
          <w:vanish/>
        </w:rPr>
        <w:t>8us-gaap:FinancingReceivables30To59DaysPastDueMembercof:CreditCardPortfolioSegmentMemberus-gaap:GeographicDistributionDomesticMember2022-06-300000927628us-gaap:FinancingReceivables60To89DaysPastDueMembercof:CreditCardPortfolioSegmentMemberus-gaap:Geographi</w:t>
      </w:r>
      <w:r>
        <w:rPr>
          <w:rFonts w:eastAsia="Times New Roman"/>
          <w:vanish/>
        </w:rPr>
        <w:t>cDistributionDomesticMember2022-06-300000927628cof:CreditCardPortfolioSegmentMemberus-gaap:GeographicDistributionDomesticMemberus-gaap:FinancingReceivablesEqualToGreaterThan90DaysPastDueMember2022-06-300000927628us-gaap:FinancialAssetPastDueMembercof:Credi</w:t>
      </w:r>
      <w:r>
        <w:rPr>
          <w:rFonts w:eastAsia="Times New Roman"/>
          <w:vanish/>
        </w:rPr>
        <w:t>tCardPortfolioSegmentMemberus-gaap:GeographicDistributionDomesticMember2022-06-300000927628cof:CreditCardPortfolioSegmentMemberus-gaap:GeographicDistributionForeignMember2022-06-300000927628us-gaap:FinancingReceivables30To59DaysPastDueMembercof:CreditCardP</w:t>
      </w:r>
      <w:r>
        <w:rPr>
          <w:rFonts w:eastAsia="Times New Roman"/>
          <w:vanish/>
        </w:rPr>
        <w:t>ortfolioSegmentMemberus-gaap:GeographicDistributionForeignMember2022-06-300000927628us-gaap:FinancingReceivables60To89DaysPastDueMembercof:CreditCardPortfolioSegmentMemberus-gaap:GeographicDistributionForeignMember2022-06-300000927628cof:CreditCardPortfoli</w:t>
      </w:r>
      <w:r>
        <w:rPr>
          <w:rFonts w:eastAsia="Times New Roman"/>
          <w:vanish/>
        </w:rPr>
        <w:t>oSegmentMemberus-gaap:FinancingReceivablesEqualToGreaterThan90DaysPastDueMemberus-gaap:GeographicDistributionForeignMember2022-06-300000927628us-gaap:FinancialAssetPastDueMembercof:CreditCardPortfolioSegmentMemberus-gaap:GeographicDistributionForeignMember</w:t>
      </w:r>
      <w:r>
        <w:rPr>
          <w:rFonts w:eastAsia="Times New Roman"/>
          <w:vanish/>
        </w:rPr>
        <w:t>2022-06-300000927628cof:CreditCardPortfolioSegmentMember2022-06-300000927628us-gaap:FinancingReceivables30To59DaysPastDueMembercof:CreditCardPortfolioSegmentMember2022-06-300000927628us-gaap:FinancingReceivables60To89DaysPastDueMembercof:CreditCardPortfoli</w:t>
      </w:r>
      <w:r>
        <w:rPr>
          <w:rFonts w:eastAsia="Times New Roman"/>
          <w:vanish/>
        </w:rPr>
        <w:t>oSegmentMember2022-06-300000927628cof:CreditCardPortfolioSegmentMemberus-gaap:FinancingReceivablesEqualToGreaterThan90DaysPastDueMember2022-06-300000927628us-gaap:FinancialAssetPastDueMembercof:CreditCardPortfolioSegmentMember2022-06-300000927628us-gaap:Au</w:t>
      </w:r>
      <w:r>
        <w:rPr>
          <w:rFonts w:eastAsia="Times New Roman"/>
          <w:vanish/>
        </w:rPr>
        <w:t>tomobileLoanMemberus-gaap:ConsumerPortfolioSegmentMember2022-06-300000927628us-gaap:FinancingReceivables30To59DaysPastDueMemberus-gaap:AutomobileLoanMemberus-gaap:ConsumerPortfolioSegmentMember2022-06-300000927628us-gaap:AutomobileLoanMemberus-gaap:Consume</w:t>
      </w:r>
      <w:r>
        <w:rPr>
          <w:rFonts w:eastAsia="Times New Roman"/>
          <w:vanish/>
        </w:rPr>
        <w:t>rPortfolioSegmentMemberus-gaap:FinancingReceivables60To89DaysPastDueMember2022-06-300000927628us-gaap:AutomobileLoanMemberus-gaap:ConsumerPortfolioSegmentMemberus-gaap:FinancingReceivablesEqualToGreaterThan90DaysPastDueMember2022-06-300000927628us-gaap:Aut</w:t>
      </w:r>
      <w:r>
        <w:rPr>
          <w:rFonts w:eastAsia="Times New Roman"/>
          <w:vanish/>
        </w:rPr>
        <w:t>omobileLoanMemberus-gaap:FinancialAssetPastDueMemberus-gaap:ConsumerPortfolioSegmentMember2022-06-300000927628cof:RetailBankingMemberus-gaap:ConsumerPortfolioSegmentMember2022-06-300000927628us-gaap:FinancingReceivables30To59DaysPastDueMembercof:RetailBank</w:t>
      </w:r>
      <w:r>
        <w:rPr>
          <w:rFonts w:eastAsia="Times New Roman"/>
          <w:vanish/>
        </w:rPr>
        <w:t>ingMemberus-gaap:ConsumerPortfolioSegmentMember2022-06-300000927628cof:RetailBankingMemberus-gaap:ConsumerPortfolioSegmentMemberus-gaap:FinancingReceivables60To89DaysPastDueMember2022-06-300000927628cof:RetailBankingMemberus-gaap:ConsumerPortfolioSegmentMe</w:t>
      </w:r>
      <w:r>
        <w:rPr>
          <w:rFonts w:eastAsia="Times New Roman"/>
          <w:vanish/>
        </w:rPr>
        <w:t>mberus-gaap:FinancingReceivablesEqualToGreaterThan90DaysPastDueMember2022-06-300000927628cof:RetailBankingMemberus-gaap:FinancialAssetPastDueMemberus-gaap:ConsumerPortfolioSegmentMember2022-06-300000927628us-gaap:ConsumerPortfolioSegmentMember2022-06-30000</w:t>
      </w:r>
      <w:r>
        <w:rPr>
          <w:rFonts w:eastAsia="Times New Roman"/>
          <w:vanish/>
        </w:rPr>
        <w:t>0927628us-gaap:FinancingReceivables30To59DaysPastDueMemberus-gaap:ConsumerPortfolioSegmentMember2022-06-300000927628us-gaap:ConsumerPortfolioSegmentMemberus-gaap:FinancingReceivables60To89DaysPastDueMember2022-06-300000927628us-gaap:ConsumerPortfolioSegmen</w:t>
      </w:r>
      <w:r>
        <w:rPr>
          <w:rFonts w:eastAsia="Times New Roman"/>
          <w:vanish/>
        </w:rPr>
        <w:t>tMemberus-gaap:FinancingReceivablesEqualToGreaterThan90DaysPastDueMember2022-06-300000927628us-gaap:FinancialAssetPastDueMemberus-gaap:ConsumerPortfolioSegmentMember2022-06-300000927628cof:CommercialAndMultifamilyRealEstateMemberus-gaap:CommercialPortfolio</w:t>
      </w:r>
      <w:r>
        <w:rPr>
          <w:rFonts w:eastAsia="Times New Roman"/>
          <w:vanish/>
        </w:rPr>
        <w:t>SegmentMember2022-06-300000927628us-gaap:FinancingReceivables30To59DaysPastDueMembercof:CommercialAndMultifamilyRealEstateMemberus-gaap:CommercialPortfolioSegmentMember2022-06-300000927628us-gaap:FinancingReceivables60To89DaysPastDueMembercof:CommercialAnd</w:t>
      </w:r>
      <w:r>
        <w:rPr>
          <w:rFonts w:eastAsia="Times New Roman"/>
          <w:vanish/>
        </w:rPr>
        <w:t>MultifamilyRealEstateMemberus-gaap:CommercialPortfolioSegmentMember2022-06-300000927628cof:CommercialAndMultifamilyRealEstateMemberus-gaap:FinancingReceivablesEqualToGreaterThan90DaysPastDueMemberus-gaap:CommercialPortfolioSegmentMember2022-06-300000927628</w:t>
      </w:r>
      <w:r>
        <w:rPr>
          <w:rFonts w:eastAsia="Times New Roman"/>
          <w:vanish/>
        </w:rPr>
        <w:t>us-gaap:FinancialAssetPastDueMembercof:CommercialAndMultifamilyRealEstateMemberus-gaap:CommercialPortfolioSegmentMember2022-06-300000927628cof:CommercialAndIndustrialMemberus-gaap:CommercialPortfolioSegmentMember2022-06-300000927628us-gaap:FinancingReceiva</w:t>
      </w:r>
      <w:r>
        <w:rPr>
          <w:rFonts w:eastAsia="Times New Roman"/>
          <w:vanish/>
        </w:rPr>
        <w:t>bles30To59DaysPastDueMembercof:CommercialAndIndustrialMemberus-gaap:CommercialPortfolioSegmentMember2022-06-300000927628us-gaap:FinancingReceivables60To89DaysPastDueMembercof:CommercialAndIndustrialMemberus-gaap:CommercialPortfolioSegmentMember2022-06-3000</w:t>
      </w:r>
      <w:r>
        <w:rPr>
          <w:rFonts w:eastAsia="Times New Roman"/>
          <w:vanish/>
        </w:rPr>
        <w:t>00927628us-gaap:FinancingReceivablesEqualToGreaterThan90DaysPastDueMembercof:CommercialAndIndustrialMemberus-gaap:CommercialPortfolioSegmentMember2022-06-300000927628us-gaap:FinancialAssetPastDueMembercof:CommercialAndIndustrialMemberus-gaap:CommercialPort</w:t>
      </w:r>
      <w:r>
        <w:rPr>
          <w:rFonts w:eastAsia="Times New Roman"/>
          <w:vanish/>
        </w:rPr>
        <w:t>folioSegmentMember2022-06-300000927628us-gaap:CommercialPortfolioSegmentMember2022-06-300000927628us-gaap:FinancingReceivables30To59DaysPastDueMemberus-gaap:CommercialPortfolioSegmentMember2022-06-300000927628us-gaap:FinancingReceivables60To89DaysPastDueMe</w:t>
      </w:r>
      <w:r>
        <w:rPr>
          <w:rFonts w:eastAsia="Times New Roman"/>
          <w:vanish/>
        </w:rPr>
        <w:t>mberus-gaap:CommercialPortfolioSegmentMember2022-06-300000927628us-gaap:FinancingReceivablesEqualToGreaterThan90DaysPastDueMemberus-gaap:CommercialPortfolioSegmentMember2022-06-300000927628us-gaap:FinancialAssetPastDueMemberus-gaap:CommercialPortfolioSegme</w:t>
      </w:r>
      <w:r>
        <w:rPr>
          <w:rFonts w:eastAsia="Times New Roman"/>
          <w:vanish/>
        </w:rPr>
        <w:t>ntMember2022-06-300000927628us-gaap:FinancingReceivables30To59DaysPastDueMember2022-06-300000927628us-gaap:FinancingReceivables60To89DaysPastDueMember2022-06-300000927628us-gaap:FinancingReceivablesEqualToGreaterThan90DaysPastDueMember2022-06-300000927628u</w:t>
      </w:r>
      <w:r>
        <w:rPr>
          <w:rFonts w:eastAsia="Times New Roman"/>
          <w:vanish/>
        </w:rPr>
        <w:t>s-gaap:FinancialAssetPastDueMember2022-06-300000927628cof:CreditCardPortfolioSegmentMemberus-gaap:GeographicDistributionDomesticMember2021-12-310000927628us-gaap:FinancingReceivables30To59DaysPastDueMembercof:CreditCardPortfolioSegmentMemberus-gaap:Geograp</w:t>
      </w:r>
      <w:r>
        <w:rPr>
          <w:rFonts w:eastAsia="Times New Roman"/>
          <w:vanish/>
        </w:rPr>
        <w:t>hicDistributionDomesticMember2021-12-310000927628us-gaap:FinancingReceivables60To89DaysPastDueMembercof:CreditCardPortfolioSegmentMemberus-gaap:GeographicDistributionDomesticMember2021-12-310000927628cof:CreditCardPortfolioSegmentMemberus-gaap:GeographicDi</w:t>
      </w:r>
      <w:r>
        <w:rPr>
          <w:rFonts w:eastAsia="Times New Roman"/>
          <w:vanish/>
        </w:rPr>
        <w:t>stributionDomesticMemberus-gaap:FinancingReceivablesEqualToGreaterThan90DaysPastDueMember2021-12-310000927628us-gaap:FinancialAssetPastDueMembercof:CreditCardPortfolioSegmentMemberus-gaap:GeographicDistributionDomesticMember2021-12-310000927628cof:CreditCa</w:t>
      </w:r>
      <w:r>
        <w:rPr>
          <w:rFonts w:eastAsia="Times New Roman"/>
          <w:vanish/>
        </w:rPr>
        <w:t>rdPortfolioSegmentMemberus-gaap:GeographicDistributionForeignMember2021-12-310000927628us-gaap:FinancingReceivables30To59DaysPastDueMembercof:CreditCardPortfolioSegmentMemberus-gaap:GeographicDistributionForeignMember2021-12-310000927628us-gaap:FinancingRe</w:t>
      </w:r>
      <w:r>
        <w:rPr>
          <w:rFonts w:eastAsia="Times New Roman"/>
          <w:vanish/>
        </w:rPr>
        <w:t>ceivables60To89DaysPastDueMembercof:CreditCardPortfolioSegmentMemberus-gaap:GeographicDistributionForeignMember2021-12-310000927628cof:CreditCardPortfolioSegmentMemberus-gaap:FinancingReceivablesEqualToGreaterThan90DaysPastDueMemberus-gaap:GeographicDistri</w:t>
      </w:r>
      <w:r>
        <w:rPr>
          <w:rFonts w:eastAsia="Times New Roman"/>
          <w:vanish/>
        </w:rPr>
        <w:t>butionForeignMember2021-12-310000927628us-gaap:FinancialAssetPastDueMembercof:CreditCardPortfolioSegmentMemberus-gaap:GeographicDistributionForeignMember2021-12-310000927628cof:CreditCardPortfolioSegmentMember2021-12-310000927628us-gaap:FinancingReceivable</w:t>
      </w:r>
      <w:r>
        <w:rPr>
          <w:rFonts w:eastAsia="Times New Roman"/>
          <w:vanish/>
        </w:rPr>
        <w:t>s30To59DaysPastDueMembercof:CreditCardPortfolioSegmentMember2021-12-310000927628us-gaap:FinancingReceivables60To89DaysPastDueMembercof:CreditCardPortfolioSegmentMember2021-12-310000927628cof:CreditCardPortfolioSegmentMemberus-gaap:FinancingReceivablesEqual</w:t>
      </w:r>
      <w:r>
        <w:rPr>
          <w:rFonts w:eastAsia="Times New Roman"/>
          <w:vanish/>
        </w:rPr>
        <w:t>ToGreaterThan90DaysPastDueMember2021-12-310000927628us-gaap:FinancialAssetPastDueMembercof:CreditCardPortfolioSegmentMember2021-12-310000927628us-gaap:AutomobileLoanMemberus-gaap:ConsumerPortfolioSegmentMember2021-12-310000927628us-gaap:FinancingReceivable</w:t>
      </w:r>
      <w:r>
        <w:rPr>
          <w:rFonts w:eastAsia="Times New Roman"/>
          <w:vanish/>
        </w:rPr>
        <w:t>s30To59DaysPastDueMemberus-gaap:AutomobileLoanMemberus-gaap:ConsumerPortfolioSegmentMember2021-12-310000927628us-gaap:AutomobileLoanMemberus-gaap:ConsumerPortfolioSegmentMemberus-gaap:FinancingReceivables60To89DaysPastDueMember2021-12-310000927628us-gaap:A</w:t>
      </w:r>
      <w:r>
        <w:rPr>
          <w:rFonts w:eastAsia="Times New Roman"/>
          <w:vanish/>
        </w:rPr>
        <w:t>utomobileLoanMemberus-gaap:ConsumerPortfolioSegmentMemberus-gaap:FinancingReceivablesEqualToGreaterThan90DaysPastDueMember2021-12-310000927628us-gaap:AutomobileLoanMemberus-gaap:FinancialAssetPastDueMemberus-gaap:ConsumerPortfolioSegmentMember2021-12-31000</w:t>
      </w:r>
      <w:r>
        <w:rPr>
          <w:rFonts w:eastAsia="Times New Roman"/>
          <w:vanish/>
        </w:rPr>
        <w:t>0927628cof:RetailBankingMemberus-gaap:ConsumerPortfolioSegmentMember2021-12-310000927628us-gaap:FinancingReceivables30To59DaysPastDueMembercof:RetailBankingMemberus-gaap:ConsumerPortfolioSegmentMember2021-12-310000927628cof:RetailBankingMemberus-gaap:Consu</w:t>
      </w:r>
      <w:r>
        <w:rPr>
          <w:rFonts w:eastAsia="Times New Roman"/>
          <w:vanish/>
        </w:rPr>
        <w:t>merPortfolioSegmentMemberus-gaap:FinancingReceivables60To89DaysPastDueMember2021-12-310000927628cof:RetailBankingMemberus-gaap:ConsumerPortfolioSegmentMemberus-gaap:FinancingReceivablesEqualToGreaterThan90DaysPastDueMember2021-12-310000927628cof:RetailBank</w:t>
      </w:r>
      <w:r>
        <w:rPr>
          <w:rFonts w:eastAsia="Times New Roman"/>
          <w:vanish/>
        </w:rPr>
        <w:t>ingMemberus-gaap:FinancialAssetPastDueMemberus-gaap:ConsumerPortfolioSegmentMember2021-12-310000927628us-gaap:ConsumerPortfolioSegmentMember2021-12-310000927628us-gaap:FinancingReceivables30To59DaysPastDueMemberus-gaap:ConsumerPortfolioSegmentMember2021-12</w:t>
      </w:r>
      <w:r>
        <w:rPr>
          <w:rFonts w:eastAsia="Times New Roman"/>
          <w:vanish/>
        </w:rPr>
        <w:t>-310000927628us-gaap:ConsumerPortfolioSegmentMemberus-gaap:FinancingReceivables60To89DaysPastDueMember2021-12-310000927628us-gaap:ConsumerPortfolioSegmentMemberus-gaap:FinancingReceivablesEqualToGreaterThan90DaysPastDueMember2021-12-310000927628us-gaap:Fin</w:t>
      </w:r>
      <w:r>
        <w:rPr>
          <w:rFonts w:eastAsia="Times New Roman"/>
          <w:vanish/>
        </w:rPr>
        <w:t>ancialAssetPastDueMemberus-gaap:ConsumerPortfolioSegmentMember2021-12-310000927628cof:CommercialAndMultifamilyRealEstateMemberus-gaap:CommercialPortfolioSegmentMember2021-12-310000927628us-gaap:FinancingReceivables30To59DaysPastDueMembercof:CommercialAndMu</w:t>
      </w:r>
      <w:r>
        <w:rPr>
          <w:rFonts w:eastAsia="Times New Roman"/>
          <w:vanish/>
        </w:rPr>
        <w:t>ltifamilyRealEstateMemberus-gaap:CommercialPortfolioSegmentMember2021-12-310000927628us-gaap:FinancingReceivables60To89DaysPastDueMembercof:CommercialAndMultifamilyRealEstateMemberus-gaap:CommercialPortfolioSegmentMember2021-12-310000927628cof:CommercialAn</w:t>
      </w:r>
      <w:r>
        <w:rPr>
          <w:rFonts w:eastAsia="Times New Roman"/>
          <w:vanish/>
        </w:rPr>
        <w:t>dMultifamilyRealEstateMemberus-gaap:FinancingReceivablesEqualToGreaterThan90DaysPastDueMemberus-gaap:CommercialPortfolioSegmentMember2021-12-310000927628us-gaap:FinancialAssetPastDueMembercof:CommercialAndMultifamilyRealEstateMemberus-gaap:CommercialPortfo</w:t>
      </w:r>
      <w:r>
        <w:rPr>
          <w:rFonts w:eastAsia="Times New Roman"/>
          <w:vanish/>
        </w:rPr>
        <w:t>lioSegmentMember2021-12-310000927628cof:CommercialAndIndustrialMemberus-gaap:CommercialPortfolioSegmentMember2021-12-310000927628us-gaap:FinancingReceivables30To59DaysPastDueMembercof:CommercialAndIndustrialMemberus-gaap:CommercialPortfolioSegmentMember202</w:t>
      </w:r>
      <w:r>
        <w:rPr>
          <w:rFonts w:eastAsia="Times New Roman"/>
          <w:vanish/>
        </w:rPr>
        <w:t>1-12-310000927628us-gaap:FinancingReceivables60To89DaysPastDueMembercof:CommercialAndIndustrialMemberus-gaap:CommercialPortfolioSegmentMember2021-12-310000927628us-gaap:FinancingReceivablesEqualToGreaterThan90DaysPastDueMembercof:CommercialAndIndustrialMem</w:t>
      </w:r>
      <w:r>
        <w:rPr>
          <w:rFonts w:eastAsia="Times New Roman"/>
          <w:vanish/>
        </w:rPr>
        <w:t>berus-gaap:CommercialPortfolioSegmentMember2021-12-310000927628us-gaap:FinancialAssetPastDueMembercof:CommercialAndIndustrialMemberus-gaap:CommercialPortfolioSegmentMember2021-12-310000927628us-gaap:CommercialPortfolioSegmentMember2021-12-310000927628us-ga</w:t>
      </w:r>
      <w:r>
        <w:rPr>
          <w:rFonts w:eastAsia="Times New Roman"/>
          <w:vanish/>
        </w:rPr>
        <w:t>ap:FinancingReceivables30To59DaysPastDueMemberus-gaap:CommercialPortfolioSegmentMember2021-12-310000927628us-gaap:FinancingReceivables60To89DaysPastDueMemberus-gaap:CommercialPortfolioSegmentMember2021-12-310000927628us-gaap:FinancingReceivablesEqualToGrea</w:t>
      </w:r>
      <w:r>
        <w:rPr>
          <w:rFonts w:eastAsia="Times New Roman"/>
          <w:vanish/>
        </w:rPr>
        <w:t>terThan90DaysPastDueMemberus-gaap:CommercialPortfolioSegmentMember2021-12-310000927628us-gaap:FinancialAssetPastDueMemberus-gaap:CommercialPortfolioSegmentMember2021-12-310000927628us-gaap:FinancingReceivables30To59DaysPastDueMember2021-12-310000927628us-g</w:t>
      </w:r>
      <w:r>
        <w:rPr>
          <w:rFonts w:eastAsia="Times New Roman"/>
          <w:vanish/>
        </w:rPr>
        <w:t>aap:FinancingReceivables60To89DaysPastDueMember2021-12-310000927628us-gaap:FinancingReceivablesEqualToGreaterThan90DaysPastDueMember2021-12-310000927628us-gaap:FinancialAssetPastDueMember2021-12-310000927628cof:CreditCardPortfolioSegmentMember2022-01-01202</w:t>
      </w:r>
      <w:r>
        <w:rPr>
          <w:rFonts w:eastAsia="Times New Roman"/>
          <w:vanish/>
        </w:rPr>
        <w:t>2-06-300000927628cof:CreditCardPortfolioSegmentMemberus-gaap:GeographicDistributionDomesticMembercof:FinancialAssetCurrentAndLessThan30DaysPastDueMember2022-06-300000927628cof:CreditCardPortfolioSegmentMemberus-gaap:GeographicDistributionDomesticMembercof:</w:t>
      </w:r>
      <w:r>
        <w:rPr>
          <w:rFonts w:eastAsia="Times New Roman"/>
          <w:vanish/>
        </w:rPr>
        <w:t>FinancialAssetCurrentAndLessThan30DaysPastDueMember2021-12-310000927628cof:CreditCardPortfolioSegmentMembercof:FinancialAssetCurrentAndLessThan30DaysPastDueMemberus-gaap:GeographicDistributionForeignMember2022-06-300000927628cof:CreditCardPortfolioSegmentM</w:t>
      </w:r>
      <w:r>
        <w:rPr>
          <w:rFonts w:eastAsia="Times New Roman"/>
          <w:vanish/>
        </w:rPr>
        <w:t>embercof:FinancialAssetCurrentAndLessThan30DaysPastDueMemberus-gaap:GeographicDistributionForeignMember2021-12-310000927628us-gaap:ConsumerPortfolioSegmentMember2022-01-012022-06-300000927628us-gaap:AutomobileLoanMemberus-gaap:ConsumerPortfolioSegmentMembe</w:t>
      </w:r>
      <w:r>
        <w:rPr>
          <w:rFonts w:eastAsia="Times New Roman"/>
          <w:vanish/>
        </w:rPr>
        <w:t>rcof:FICOScoreGreaterThan660Member2022-06-300000927628us-gaap:AutomobileLoanMemberus-gaap:ConsumerPortfolioSegmentMembercof:FICOScore621To660Member2022-06-300000927628us-gaap:AutomobileLoanMemberus-gaap:ConsumerPortfolioSegmentMembercof:FICOScoreLessThan62</w:t>
      </w:r>
      <w:r>
        <w:rPr>
          <w:rFonts w:eastAsia="Times New Roman"/>
          <w:vanish/>
        </w:rPr>
        <w:t>0Member2022-06-300000927628cof:RetailBankingMemberus-gaap:ConsumerPortfolioSegmentMembercof:FinancialAssetCurrentAndLessThan30DaysPastDueMember2022-06-300000927628us-gaap:AutomobileLoanMemberus-gaap:ConsumerPortfolioSegmentMembercof:FICOScoreGreaterThan660</w:t>
      </w:r>
      <w:r>
        <w:rPr>
          <w:rFonts w:eastAsia="Times New Roman"/>
          <w:vanish/>
        </w:rPr>
        <w:t>Member2021-12-310000927628us-gaap:AutomobileLoanMemberus-gaap:ConsumerPortfolioSegmentMembercof:FICOScore621To660Member2021-12-310000927628us-gaap:AutomobileLoanMemberus-gaap:ConsumerPortfolioSegmentMembercof:FICOScoreLessThan620Member2021-12-310000927628c</w:t>
      </w:r>
      <w:r>
        <w:rPr>
          <w:rFonts w:eastAsia="Times New Roman"/>
          <w:vanish/>
        </w:rPr>
        <w:t>of:RetailBankingMemberus-gaap:ConsumerPortfolioSegmentMembercof:FinancialAssetCurrentAndLessThan30DaysPastDueMember2021-12-310000927628us-gaap:CommercialPortfolioSegmentMember2022-01-012022-06-300000927628us-gaap:PassMembercof:CommercialAndMultifamilyRealE</w:t>
      </w:r>
      <w:r>
        <w:rPr>
          <w:rFonts w:eastAsia="Times New Roman"/>
          <w:vanish/>
        </w:rPr>
        <w:t>stateMemberus-gaap:CommercialPortfolioSegmentMember2022-06-300000927628cof:CommercialAndMultifamilyRealEstateMemberus-gaap:CriticizedMemberus-gaap:PerformingFinancingReceivableMemberus-gaap:CommercialPortfolioSegmentMember2022-06-300000927628us-gaap:Nonper</w:t>
      </w:r>
      <w:r>
        <w:rPr>
          <w:rFonts w:eastAsia="Times New Roman"/>
          <w:vanish/>
        </w:rPr>
        <w:t>formingFinancingReceivableMembercof:CommercialAndMultifamilyRealEstateMemberus-gaap:CriticizedMemberus-gaap:CommercialPortfolioSegmentMember2022-06-300000927628us-gaap:PassMembercof:CommercialAndIndustrialMemberus-gaap:CommercialPortfolioSegmentMember2022-</w:t>
      </w:r>
      <w:r>
        <w:rPr>
          <w:rFonts w:eastAsia="Times New Roman"/>
          <w:vanish/>
        </w:rPr>
        <w:t>06-300000927628cof:CommercialAndIndustrialMemberus-gaap:CriticizedMemberus-gaap:PerformingFinancingReceivableMemberus-gaap:CommercialPortfolioSegmentMember2022-06-300000927628us-gaap:NonperformingFinancingReceivableMembercof:CommercialAndIndustrialMemberus</w:t>
      </w:r>
      <w:r>
        <w:rPr>
          <w:rFonts w:eastAsia="Times New Roman"/>
          <w:vanish/>
        </w:rPr>
        <w:t>-gaap:CriticizedMemberus-gaap:CommercialPortfolioSegmentMember2022-06-300000927628us-gaap:PassMembercof:CommercialAndMultifamilyRealEstateMemberus-gaap:CommercialPortfolioSegmentMember2021-12-310000927628cof:CommercialAndMultifamilyRealEstateMemberus-gaap:</w:t>
      </w:r>
      <w:r>
        <w:rPr>
          <w:rFonts w:eastAsia="Times New Roman"/>
          <w:vanish/>
        </w:rPr>
        <w:t>CriticizedMemberus-gaap:PerformingFinancingReceivableMemberus-gaap:CommercialPortfolioSegmentMember2021-12-310000927628us-gaap:NonperformingFinancingReceivableMembercof:CommercialAndMultifamilyRealEstateMemberus-gaap:CriticizedMemberus-gaap:CommercialPortf</w:t>
      </w:r>
      <w:r>
        <w:rPr>
          <w:rFonts w:eastAsia="Times New Roman"/>
          <w:vanish/>
        </w:rPr>
        <w:t>olioSegmentMember2021-12-310000927628us-gaap:PassMembercof:CommercialAndIndustrialMemberus-gaap:CommercialPortfolioSegmentMember2021-12-310000927628cof:CommercialAndIndustrialMemberus-gaap:CriticizedMemberus-gaap:PerformingFinancingReceivableMemberus-gaap:</w:t>
      </w:r>
      <w:r>
        <w:rPr>
          <w:rFonts w:eastAsia="Times New Roman"/>
          <w:vanish/>
        </w:rPr>
        <w:t>CommercialPortfolioSegmentMember2021-12-310000927628us-gaap:NonperformingFinancingReceivableMembercof:CommercialAndIndustrialMemberus-gaap:CriticizedMemberus-gaap:CommercialPortfolioSegmentMember2021-12-310000927628us-gaap:PerformingFinancingReceivableMemb</w:t>
      </w:r>
      <w:r>
        <w:rPr>
          <w:rFonts w:eastAsia="Times New Roman"/>
          <w:vanish/>
        </w:rPr>
        <w:t>ercof:CreditCardandConsumerPortfoliosMember2022-06-300000927628us-gaap:PerformingFinancingReceivableMembercof:CreditCardandConsumerPortfoliosMember2021-12-310000927628us-gaap:PerformingFinancingReceivableMemberus-gaap:CommercialPortfolioSegmentMember2022-0</w:t>
      </w:r>
      <w:r>
        <w:rPr>
          <w:rFonts w:eastAsia="Times New Roman"/>
          <w:vanish/>
        </w:rPr>
        <w:t>6-300000927628us-gaap:PerformingFinancingReceivableMemberus-gaap:CommercialPortfolioSegmentMember2021-12-310000927628cof:CreditCardPortfolioSegmentMemberus-gaap:GeographicDistributionDomesticMember2022-04-012022-06-300000927628cof:CreditCardPortfolioSegmen</w:t>
      </w:r>
      <w:r>
        <w:rPr>
          <w:rFonts w:eastAsia="Times New Roman"/>
          <w:vanish/>
        </w:rPr>
        <w:t>tMemberus-gaap:ContractualInterestRateReductionMemberus-gaap:GeographicDistributionDomesticMember2022-04-012022-06-300000927628cof:CreditCardPortfolioSegmentMemberus-gaap:GeographicDistributionForeignMember2022-04-012022-06-300000927628cof:CreditCardPortfo</w:t>
      </w:r>
      <w:r>
        <w:rPr>
          <w:rFonts w:eastAsia="Times New Roman"/>
          <w:vanish/>
        </w:rPr>
        <w:t>lioSegmentMemberus-gaap:ContractualInterestRateReductionMemberus-gaap:GeographicDistributionForeignMember2022-04-012022-06-300000927628cof:CreditCardPortfolioSegmentMember2022-04-012022-06-300000927628cof:CreditCardPortfolioSegmentMemberus-gaap:Contractual</w:t>
      </w:r>
      <w:r>
        <w:rPr>
          <w:rFonts w:eastAsia="Times New Roman"/>
          <w:vanish/>
        </w:rPr>
        <w:t>InterestRateReductionMember2022-04-012022-06-300000927628us-gaap:AutomobileLoanMemberus-gaap:ConsumerPortfolioSegmentMember2022-04-012022-06-300000927628us-gaap:AutomobileLoanMemberus-gaap:ConsumerPortfolioSegmentMemberus-gaap:ContractualInterestRateReduct</w:t>
      </w:r>
      <w:r>
        <w:rPr>
          <w:rFonts w:eastAsia="Times New Roman"/>
          <w:vanish/>
        </w:rPr>
        <w:t>ionMember2022-04-012022-06-300000927628us-gaap:AutomobileLoanMemberus-gaap:ConsumerPortfolioSegmentMemberus-gaap:ExtendedMaturityMember2022-04-012022-06-300000927628us-gaap:ConsumerPortfolioSegmentMember2022-04-012022-06-300000927628us-gaap:ConsumerPortfol</w:t>
      </w:r>
      <w:r>
        <w:rPr>
          <w:rFonts w:eastAsia="Times New Roman"/>
          <w:vanish/>
        </w:rPr>
        <w:t>ioSegmentMemberus-gaap:ContractualInterestRateReductionMember2022-04-012022-06-300000927628us-gaap:ConsumerPortfolioSegmentMemberus-gaap:ExtendedMaturityMember2022-04-012022-06-300000927628cof:CommercialAndMultifamilyRealEstateMemberus-gaap:CommercialPortf</w:t>
      </w:r>
      <w:r>
        <w:rPr>
          <w:rFonts w:eastAsia="Times New Roman"/>
          <w:vanish/>
        </w:rPr>
        <w:t>olioSegmentMember2022-04-012022-06-300000927628cof:CommercialAndMultifamilyRealEstateMemberus-gaap:ExtendedMaturityMemberus-gaap:CommercialPortfolioSegmentMember2022-04-012022-06-300000927628cof:CommercialAndIndustrialMemberus-gaap:CommercialPortfolioSegme</w:t>
      </w:r>
      <w:r>
        <w:rPr>
          <w:rFonts w:eastAsia="Times New Roman"/>
          <w:vanish/>
        </w:rPr>
        <w:t>ntMember2022-04-012022-06-300000927628us-gaap:ExtendedMaturityMembercof:CommercialAndIndustrialMemberus-gaap:CommercialPortfolioSegmentMember2022-04-012022-06-300000927628us-gaap:CommercialPortfolioSegmentMember2022-04-012022-06-300000927628us-gaap:Extende</w:t>
      </w:r>
      <w:r>
        <w:rPr>
          <w:rFonts w:eastAsia="Times New Roman"/>
          <w:vanish/>
        </w:rPr>
        <w:t>dMaturityMemberus-gaap:CommercialPortfolioSegmentMember2022-04-012022-06-300000927628cof:CreditCardPortfolioSegmentMemberus-gaap:GeographicDistributionDomesticMember2022-01-012022-06-300000927628cof:CreditCardPortfolioSegmentMemberus-gaap:ContractualIntere</w:t>
      </w:r>
      <w:r>
        <w:rPr>
          <w:rFonts w:eastAsia="Times New Roman"/>
          <w:vanish/>
        </w:rPr>
        <w:t>stRateReductionMemberus-gaap:GeographicDistributionDomesticMember2022-01-012022-06-300000927628cof:CreditCardPortfolioSegmentMemberus-gaap:GeographicDistributionForeignMember2022-01-012022-06-300000927628cof:CreditCardPortfolioSegmentMemberus-gaap:Contract</w:t>
      </w:r>
      <w:r>
        <w:rPr>
          <w:rFonts w:eastAsia="Times New Roman"/>
          <w:vanish/>
        </w:rPr>
        <w:t>ualInterestRateReductionMemberus-gaap:GeographicDistributionForeignMember2022-01-012022-06-300000927628cof:CreditCardPortfolioSegmentMemberus-gaap:ContractualInterestRateReductionMember2022-01-012022-06-300000927628us-gaap:AutomobileLoanMemberus-gaap:Consu</w:t>
      </w:r>
      <w:r>
        <w:rPr>
          <w:rFonts w:eastAsia="Times New Roman"/>
          <w:vanish/>
        </w:rPr>
        <w:t>merPortfolioSegmentMember2022-01-012022-06-300000927628us-gaap:AutomobileLoanMemberus-gaap:ConsumerPortfolioSegmentMemberus-gaap:ContractualInterestRateReductionMember2022-01-012022-06-300000927628us-gaap:AutomobileLoanMemberus-gaap:ConsumerPortfolioSegmen</w:t>
      </w:r>
      <w:r>
        <w:rPr>
          <w:rFonts w:eastAsia="Times New Roman"/>
          <w:vanish/>
        </w:rPr>
        <w:t>tMemberus-gaap:ExtendedMaturityMember2022-01-012022-06-300000927628cof:RetailBankingMemberus-gaap:ConsumerPortfolioSegmentMember2022-01-012022-06-300000927628cof:RetailBankingMemberus-gaap:ConsumerPortfolioSegmentMemberus-gaap:ExtendedMaturityMember2022-01</w:t>
      </w:r>
      <w:r>
        <w:rPr>
          <w:rFonts w:eastAsia="Times New Roman"/>
          <w:vanish/>
        </w:rPr>
        <w:t>-012022-06-300000927628us-gaap:ConsumerPortfolioSegmentMemberus-gaap:ContractualInterestRateReductionMember2022-01-012022-06-300000927628us-gaap:ConsumerPortfolioSegmentMemberus-gaap:ExtendedMaturityMember2022-01-012022-06-300000927628cof:CommercialAndMult</w:t>
      </w:r>
      <w:r>
        <w:rPr>
          <w:rFonts w:eastAsia="Times New Roman"/>
          <w:vanish/>
        </w:rPr>
        <w:t>ifamilyRealEstateMemberus-gaap:CommercialPortfolioSegmentMember2022-01-012022-06-300000927628cof:CommercialAndMultifamilyRealEstateMemberus-gaap:ContractualInterestRateReductionMemberus-gaap:CommercialPortfolioSegmentMember2022-01-012022-06-300000927628cof</w:t>
      </w:r>
      <w:r>
        <w:rPr>
          <w:rFonts w:eastAsia="Times New Roman"/>
          <w:vanish/>
        </w:rPr>
        <w:t>:CommercialAndMultifamilyRealEstateMemberus-gaap:ExtendedMaturityMemberus-gaap:CommercialPortfolioSegmentMember2022-01-012022-06-300000927628cof:CommercialAndIndustrialMemberus-gaap:CommercialPortfolioSegmentMember2022-01-012022-06-300000927628us-gaap:Exte</w:t>
      </w:r>
      <w:r>
        <w:rPr>
          <w:rFonts w:eastAsia="Times New Roman"/>
          <w:vanish/>
        </w:rPr>
        <w:t>ndedMaturityMembercof:CommercialAndIndustrialMemberus-gaap:CommercialPortfolioSegmentMember2022-01-012022-06-300000927628us-gaap:ContractualInterestRateReductionMemberus-gaap:CommercialPortfolioSegmentMember2022-01-012022-06-300000927628us-gaap:ExtendedMat</w:t>
      </w:r>
      <w:r>
        <w:rPr>
          <w:rFonts w:eastAsia="Times New Roman"/>
          <w:vanish/>
        </w:rPr>
        <w:t>urityMemberus-gaap:CommercialPortfolioSegmentMember2022-01-012022-06-300000927628cof:CreditCardPortfolioSegmentMemberus-gaap:GeographicDistributionDomesticMember2021-04-012021-06-300000927628cof:CreditCardPortfolioSegmentMemberus-gaap:ContractualInterestRa</w:t>
      </w:r>
      <w:r>
        <w:rPr>
          <w:rFonts w:eastAsia="Times New Roman"/>
          <w:vanish/>
        </w:rPr>
        <w:t>teReductionMemberus-gaap:GeographicDistributionDomesticMember2021-04-012021-06-300000927628cof:CreditCardPortfolioSegmentMemberus-gaap:GeographicDistributionForeignMember2021-04-012021-06-300000927628cof:CreditCardPortfolioSegmentMemberus-gaap:ContractualI</w:t>
      </w:r>
      <w:r>
        <w:rPr>
          <w:rFonts w:eastAsia="Times New Roman"/>
          <w:vanish/>
        </w:rPr>
        <w:t>nterestRateReductionMemberus-gaap:GeographicDistributionForeignMember2021-04-012021-06-300000927628cof:CreditCardPortfolioSegmentMember2021-04-012021-06-300000927628cof:CreditCardPortfolioSegmentMemberus-gaap:ContractualInterestRateReductionMember2021-04-0</w:t>
      </w:r>
      <w:r>
        <w:rPr>
          <w:rFonts w:eastAsia="Times New Roman"/>
          <w:vanish/>
        </w:rPr>
        <w:t>12021-06-300000927628us-gaap:AutomobileLoanMemberus-gaap:ConsumerPortfolioSegmentMember2021-04-012021-06-300000927628us-gaap:AutomobileLoanMemberus-gaap:ConsumerPortfolioSegmentMemberus-gaap:ContractualInterestRateReductionMember2021-04-012021-06-300000927</w:t>
      </w:r>
      <w:r>
        <w:rPr>
          <w:rFonts w:eastAsia="Times New Roman"/>
          <w:vanish/>
        </w:rPr>
        <w:t>628us-gaap:AutomobileLoanMemberus-gaap:ConsumerPortfolioSegmentMemberus-gaap:ExtendedMaturityMember2021-04-012021-06-300000927628cof:RetailBankingMemberus-gaap:ConsumerPortfolioSegmentMember2021-04-012021-06-300000927628cof:RetailBankingMemberus-gaap:Consu</w:t>
      </w:r>
      <w:r>
        <w:rPr>
          <w:rFonts w:eastAsia="Times New Roman"/>
          <w:vanish/>
        </w:rPr>
        <w:t>merPortfolioSegmentMemberus-gaap:ExtendedMaturityMember2021-04-012021-06-300000927628us-gaap:ConsumerPortfolioSegmentMember2021-04-012021-06-300000927628us-gaap:ConsumerPortfolioSegmentMemberus-gaap:ContractualInterestRateReductionMember2021-04-012021-06-3</w:t>
      </w:r>
      <w:r>
        <w:rPr>
          <w:rFonts w:eastAsia="Times New Roman"/>
          <w:vanish/>
        </w:rPr>
        <w:t>00000927628us-gaap:ConsumerPortfolioSegmentMemberus-gaap:ExtendedMaturityMember2021-04-012021-06-300000927628cof:CommercialAndIndustrialMemberus-gaap:CommercialPortfolioSegmentMember2021-04-012021-06-300000927628us-gaap:ExtendedMaturityMembercof:Commercial</w:t>
      </w:r>
      <w:r>
        <w:rPr>
          <w:rFonts w:eastAsia="Times New Roman"/>
          <w:vanish/>
        </w:rPr>
        <w:t>AndIndustrialMemberus-gaap:CommercialPortfolioSegmentMember2021-04-012021-06-300000927628us-gaap:CommercialPortfolioSegmentMember2021-04-012021-06-300000927628us-gaap:ExtendedMaturityMemberus-gaap:CommercialPortfolioSegmentMember2021-04-012021-06-300000927</w:t>
      </w:r>
      <w:r>
        <w:rPr>
          <w:rFonts w:eastAsia="Times New Roman"/>
          <w:vanish/>
        </w:rPr>
        <w:t>628cof:CreditCardPortfolioSegmentMemberus-gaap:GeographicDistributionDomesticMember2021-01-012021-06-300000927628cof:CreditCardPortfolioSegmentMemberus-gaap:ContractualInterestRateReductionMemberus-gaap:GeographicDistributionDomesticMember2021-01-012021-06</w:t>
      </w:r>
      <w:r>
        <w:rPr>
          <w:rFonts w:eastAsia="Times New Roman"/>
          <w:vanish/>
        </w:rPr>
        <w:t>-300000927628cof:CreditCardPortfolioSegmentMemberus-gaap:GeographicDistributionForeignMember2021-01-012021-06-300000927628cof:CreditCardPortfolioSegmentMemberus-gaap:ContractualInterestRateReductionMemberus-gaap:GeographicDistributionForeignMember2021-01-0</w:t>
      </w:r>
      <w:r>
        <w:rPr>
          <w:rFonts w:eastAsia="Times New Roman"/>
          <w:vanish/>
        </w:rPr>
        <w:t>12021-06-300000927628cof:CreditCardPortfolioSegmentMember2021-01-012021-06-300000927628cof:CreditCardPortfolioSegmentMemberus-gaap:ContractualInterestRateReductionMember2021-01-012021-06-300000927628us-gaap:AutomobileLoanMemberus-gaap:ConsumerPortfolioSegm</w:t>
      </w:r>
      <w:r>
        <w:rPr>
          <w:rFonts w:eastAsia="Times New Roman"/>
          <w:vanish/>
        </w:rPr>
        <w:t>entMember2021-01-012021-06-300000927628us-gaap:AutomobileLoanMemberus-gaap:ConsumerPortfolioSegmentMemberus-gaap:ContractualInterestRateReductionMember2021-01-012021-06-300000927628us-gaap:AutomobileLoanMemberus-gaap:ConsumerPortfolioSegmentMemberus-gaap:E</w:t>
      </w:r>
      <w:r>
        <w:rPr>
          <w:rFonts w:eastAsia="Times New Roman"/>
          <w:vanish/>
        </w:rPr>
        <w:t>xtendedMaturityMember2021-01-012021-06-300000927628cof:RetailBankingMemberus-gaap:ConsumerPortfolioSegmentMember2021-01-012021-06-300000927628cof:RetailBankingMemberus-gaap:ConsumerPortfolioSegmentMemberus-gaap:ContractualInterestRateReductionMember2021-01</w:t>
      </w:r>
      <w:r>
        <w:rPr>
          <w:rFonts w:eastAsia="Times New Roman"/>
          <w:vanish/>
        </w:rPr>
        <w:t>-012021-06-300000927628cof:RetailBankingMemberus-gaap:ConsumerPortfolioSegmentMemberus-gaap:ExtendedMaturityMember2021-01-012021-06-300000927628us-gaap:ConsumerPortfolioSegmentMember2021-01-012021-06-300000927628us-gaap:ConsumerPortfolioSegmentMemberus-gaa</w:t>
      </w:r>
      <w:r>
        <w:rPr>
          <w:rFonts w:eastAsia="Times New Roman"/>
          <w:vanish/>
        </w:rPr>
        <w:t>p:ContractualInterestRateReductionMember2021-01-012021-06-300000927628us-gaap:ConsumerPortfolioSegmentMemberus-gaap:ExtendedMaturityMember2021-01-012021-06-300000927628cof:CommercialAndMultifamilyRealEstateMemberus-gaap:CommercialPortfolioSegmentMember2021</w:t>
      </w:r>
      <w:r>
        <w:rPr>
          <w:rFonts w:eastAsia="Times New Roman"/>
          <w:vanish/>
        </w:rPr>
        <w:t>-01-012021-06-300000927628cof:CommercialAndMultifamilyRealEstateMemberus-gaap:ExtendedMaturityMemberus-gaap:CommercialPortfolioSegmentMember2021-01-012021-06-300000927628cof:CommercialAndIndustrialMemberus-gaap:CommercialPortfolioSegmentMember2021-01-01202</w:t>
      </w:r>
      <w:r>
        <w:rPr>
          <w:rFonts w:eastAsia="Times New Roman"/>
          <w:vanish/>
        </w:rPr>
        <w:t>1-06-300000927628us-gaap:ExtendedMaturityMembercof:CommercialAndIndustrialMemberus-gaap:CommercialPortfolioSegmentMember2021-01-012021-06-300000927628us-gaap:CommercialPortfolioSegmentMember2021-01-012021-06-300000927628us-gaap:ExtendedMaturityMemberus-gaa</w:t>
      </w:r>
      <w:r>
        <w:rPr>
          <w:rFonts w:eastAsia="Times New Roman"/>
          <w:vanish/>
        </w:rPr>
        <w:t>p:CommercialPortfolioSegmentMember2021-01-012021-06-30cof:contract0000927628cof:RetailBankingMemberus-gaap:ConsumerPortfolioSegmentMember2022-04-012022-06-300000927628cof:CommercialAndMultifamilyRealEstateMemberus-gaap:CommercialPortfolioSegmentMember2021-</w:t>
      </w:r>
      <w:r>
        <w:rPr>
          <w:rFonts w:eastAsia="Times New Roman"/>
          <w:vanish/>
        </w:rPr>
        <w:t>04-012021-06-300000927628cof:FederalHomeLoanbanksMember2022-06-300000927628cof:FederalHomeLoanbanksMember2021-12-310000927628cof:FederalReserveDiscountWindowMember2022-06-300000927628cof:FederalReserveDiscountWindowMember2021-12-310000927628cof:DomesticCre</w:t>
      </w:r>
      <w:r>
        <w:rPr>
          <w:rFonts w:eastAsia="Times New Roman"/>
          <w:vanish/>
        </w:rPr>
        <w:t>ditCardAndCommercialBankingPortfoliosMemberus-gaap:GeographicDistributionDomesticMember2022-04-012022-06-300000927628cof:DomesticCreditCardAndCommercialBankingPortfoliosMemberus-gaap:GeographicDistributionDomesticMember2022-01-012022-06-300000927628cof:Dom</w:t>
      </w:r>
      <w:r>
        <w:rPr>
          <w:rFonts w:eastAsia="Times New Roman"/>
          <w:vanish/>
        </w:rPr>
        <w:t>esticCreditCardAndCommercialBankingPortfoliosMemberus-gaap:GeographicDistributionDomesticMember2021-04-012021-06-300000927628cof:DomesticCreditCardAndCommercialBankingPortfoliosMemberus-gaap:GeographicDistributionDomesticMember2021-01-012021-06-30000092762</w:t>
      </w:r>
      <w:r>
        <w:rPr>
          <w:rFonts w:eastAsia="Times New Roman"/>
          <w:vanish/>
        </w:rPr>
        <w:t>8us-gaap:AllowanceForLoanAndLeaseLossesMember2022-01-012022-06-300000927628us-gaap:AllowanceForLoanAndLeaseLossesMember2022-06-300000927628cof:CreditCardPortfolioSegmentMemberus-gaap:AllowanceForLoanAndLeaseLossesMember2022-03-310000927628us-gaap:ConsumerP</w:t>
      </w:r>
      <w:r>
        <w:rPr>
          <w:rFonts w:eastAsia="Times New Roman"/>
          <w:vanish/>
        </w:rPr>
        <w:t>ortfolioSegmentMemberus-gaap:AllowanceForLoanAndLeaseLossesMember2022-03-310000927628us-gaap:AllowanceForLoanAndLeaseLossesMemberus-gaap:CommercialPortfolioSegmentMember2022-03-310000927628us-gaap:AllowanceForLoanAndLeaseLossesMember2022-03-310000927628cof</w:t>
      </w:r>
      <w:r>
        <w:rPr>
          <w:rFonts w:eastAsia="Times New Roman"/>
          <w:vanish/>
        </w:rPr>
        <w:t>:CreditCardPortfolioSegmentMemberus-gaap:AllowanceForLoanAndLeaseLossesMember2022-04-012022-06-300000927628us-gaap:ConsumerPortfolioSegmentMemberus-gaap:AllowanceForLoanAndLeaseLossesMember2022-04-012022-06-300000927628us-gaap:AllowanceForLoanAndLeaseLosse</w:t>
      </w:r>
      <w:r>
        <w:rPr>
          <w:rFonts w:eastAsia="Times New Roman"/>
          <w:vanish/>
        </w:rPr>
        <w:t>sMemberus-gaap:CommercialPortfolioSegmentMember2022-04-012022-06-300000927628us-gaap:AllowanceForLoanAndLeaseLossesMember2022-04-012022-06-300000927628cof:CreditCardPortfolioSegmentMemberus-gaap:AllowanceForLoanAndLeaseLossesMember2022-06-300000927628us-ga</w:t>
      </w:r>
      <w:r>
        <w:rPr>
          <w:rFonts w:eastAsia="Times New Roman"/>
          <w:vanish/>
        </w:rPr>
        <w:t>ap:ConsumerPortfolioSegmentMemberus-gaap:AllowanceForLoanAndLeaseLossesMember2022-06-300000927628us-gaap:AllowanceForLoanAndLeaseLossesMemberus-gaap:CommercialPortfolioSegmentMember2022-06-300000927628us-gaap:UnfundedLoanCommitmentMembercof:CreditCardPortf</w:t>
      </w:r>
      <w:r>
        <w:rPr>
          <w:rFonts w:eastAsia="Times New Roman"/>
          <w:vanish/>
        </w:rPr>
        <w:t>olioSegmentMember2022-03-310000927628us-gaap:UnfundedLoanCommitmentMemberus-gaap:ConsumerPortfolioSegmentMember2022-03-310000927628us-gaap:UnfundedLoanCommitmentMemberus-gaap:CommercialPortfolioSegmentMember2022-03-310000927628us-gaap:UnfundedLoanCommitmen</w:t>
      </w:r>
      <w:r>
        <w:rPr>
          <w:rFonts w:eastAsia="Times New Roman"/>
          <w:vanish/>
        </w:rPr>
        <w:t>tMember2022-03-310000927628us-gaap:UnfundedLoanCommitmentMembercof:CreditCardPortfolioSegmentMember2022-04-012022-06-300000927628us-gaap:UnfundedLoanCommitmentMemberus-gaap:ConsumerPortfolioSegmentMember2022-04-012022-06-300000927628us-gaap:UnfundedLoanCom</w:t>
      </w:r>
      <w:r>
        <w:rPr>
          <w:rFonts w:eastAsia="Times New Roman"/>
          <w:vanish/>
        </w:rPr>
        <w:t>mitmentMemberus-gaap:CommercialPortfolioSegmentMember2022-04-012022-06-300000927628us-gaap:UnfundedLoanCommitmentMember2022-04-012022-06-300000927628us-gaap:UnfundedLoanCommitmentMembercof:CreditCardPortfolioSegmentMember2022-06-300000927628us-gaap:Unfunde</w:t>
      </w:r>
      <w:r>
        <w:rPr>
          <w:rFonts w:eastAsia="Times New Roman"/>
          <w:vanish/>
        </w:rPr>
        <w:t>dLoanCommitmentMemberus-gaap:ConsumerPortfolioSegmentMember2022-06-300000927628us-gaap:UnfundedLoanCommitmentMemberus-gaap:CommercialPortfolioSegmentMember2022-06-300000927628us-gaap:UnfundedLoanCommitmentMember2022-06-300000927628cof:CreditCardPortfolioSe</w:t>
      </w:r>
      <w:r>
        <w:rPr>
          <w:rFonts w:eastAsia="Times New Roman"/>
          <w:vanish/>
        </w:rPr>
        <w:t>gmentMembercof:CombinedAllowanceAndUnfundedReserveMember2022-06-300000927628us-gaap:ConsumerPortfolioSegmentMembercof:CombinedAllowanceAndUnfundedReserveMember2022-06-300000927628cof:CombinedAllowanceAndUnfundedReserveMemberus-gaap:CommercialPortfolioSegme</w:t>
      </w:r>
      <w:r>
        <w:rPr>
          <w:rFonts w:eastAsia="Times New Roman"/>
          <w:vanish/>
        </w:rPr>
        <w:t>ntMember2022-06-300000927628cof:CombinedAllowanceAndUnfundedReserveMember2022-06-300000927628cof:CreditCardPortfolioSegmentMemberus-gaap:AllowanceForLoanAndLeaseLossesMember2021-12-310000927628us-gaap:ConsumerPortfolioSegmentMemberus-gaap:AllowanceForLoanA</w:t>
      </w:r>
      <w:r>
        <w:rPr>
          <w:rFonts w:eastAsia="Times New Roman"/>
          <w:vanish/>
        </w:rPr>
        <w:t>ndLeaseLossesMember2021-12-310000927628us-gaap:AllowanceForLoanAndLeaseLossesMemberus-gaap:CommercialPortfolioSegmentMember2021-12-310000927628us-gaap:AllowanceForLoanAndLeaseLossesMember2021-12-310000927628cof:CreditCardPortfolioSegmentMemberus-gaap:Allow</w:t>
      </w:r>
      <w:r>
        <w:rPr>
          <w:rFonts w:eastAsia="Times New Roman"/>
          <w:vanish/>
        </w:rPr>
        <w:t>anceForLoanAndLeaseLossesMember2022-01-012022-06-300000927628us-gaap:ConsumerPortfolioSegmentMemberus-gaap:AllowanceForLoanAndLeaseLossesMember2022-01-012022-06-300000927628us-gaap:AllowanceForLoanAndLeaseLossesMemberus-gaap:CommercialPortfolioSegmentMembe</w:t>
      </w:r>
      <w:r>
        <w:rPr>
          <w:rFonts w:eastAsia="Times New Roman"/>
          <w:vanish/>
        </w:rPr>
        <w:t>r2022-01-012022-06-300000927628us-gaap:UnfundedLoanCommitmentMembercof:CreditCardPortfolioSegmentMember2021-12-310000927628us-gaap:UnfundedLoanCommitmentMemberus-gaap:ConsumerPortfolioSegmentMember2021-12-310000927628us-gaap:UnfundedLoanCommitmentMemberus-</w:t>
      </w:r>
      <w:r>
        <w:rPr>
          <w:rFonts w:eastAsia="Times New Roman"/>
          <w:vanish/>
        </w:rPr>
        <w:t>gaap:CommercialPortfolioSegmentMember2021-12-310000927628us-gaap:UnfundedLoanCommitmentMember2021-12-310000927628us-gaap:UnfundedLoanCommitmentMembercof:CreditCardPortfolioSegmentMember2022-01-012022-06-300000927628us-gaap:UnfundedLoanCommitmentMemberus-ga</w:t>
      </w:r>
      <w:r>
        <w:rPr>
          <w:rFonts w:eastAsia="Times New Roman"/>
          <w:vanish/>
        </w:rPr>
        <w:t>ap:ConsumerPortfolioSegmentMember2022-01-012022-06-300000927628us-gaap:UnfundedLoanCommitmentMemberus-gaap:CommercialPortfolioSegmentMember2022-01-012022-06-300000927628us-gaap:UnfundedLoanCommitmentMember2022-01-012022-06-300000927628cof:CreditCardPortfol</w:t>
      </w:r>
      <w:r>
        <w:rPr>
          <w:rFonts w:eastAsia="Times New Roman"/>
          <w:vanish/>
        </w:rPr>
        <w:t>ioSegmentMemberus-gaap:AllowanceForLoanAndLeaseLossesMember2021-03-310000927628us-gaap:ConsumerPortfolioSegmentMemberus-gaap:AllowanceForLoanAndLeaseLossesMember2021-03-310000927628us-gaap:AllowanceForLoanAndLeaseLossesMemberus-gaap:CommercialPortfolioSegm</w:t>
      </w:r>
      <w:r>
        <w:rPr>
          <w:rFonts w:eastAsia="Times New Roman"/>
          <w:vanish/>
        </w:rPr>
        <w:t>entMember2021-03-310000927628us-gaap:AllowanceForLoanAndLeaseLossesMember2021-03-310000927628cof:CreditCardPortfolioSegmentMemberus-gaap:AllowanceForLoanAndLeaseLossesMember2021-04-012021-06-300000927628us-gaap:ConsumerPortfolioSegmentMemberus-gaap:Allowan</w:t>
      </w:r>
      <w:r>
        <w:rPr>
          <w:rFonts w:eastAsia="Times New Roman"/>
          <w:vanish/>
        </w:rPr>
        <w:t>ceForLoanAndLeaseLossesMember2021-04-012021-06-300000927628us-gaap:AllowanceForLoanAndLeaseLossesMemberus-gaap:CommercialPortfolioSegmentMember2021-04-012021-06-300000927628us-gaap:AllowanceForLoanAndLeaseLossesMember2021-04-012021-06-300000927628cof:Credi</w:t>
      </w:r>
      <w:r>
        <w:rPr>
          <w:rFonts w:eastAsia="Times New Roman"/>
          <w:vanish/>
        </w:rPr>
        <w:t>tCardPortfolioSegmentMemberus-gaap:AllowanceForLoanAndLeaseLossesMember2021-06-300000927628us-gaap:ConsumerPortfolioSegmentMemberus-gaap:AllowanceForLoanAndLeaseLossesMember2021-06-300000927628us-gaap:AllowanceForLoanAndLeaseLossesMemberus-gaap:CommercialP</w:t>
      </w:r>
      <w:r>
        <w:rPr>
          <w:rFonts w:eastAsia="Times New Roman"/>
          <w:vanish/>
        </w:rPr>
        <w:t>ortfolioSegmentMember2021-06-300000927628us-gaap:AllowanceForLoanAndLeaseLossesMember2021-06-300000927628us-gaap:UnfundedLoanCommitmentMembercof:CreditCardPortfolioSegmentMember2021-03-310000927628us-gaap:UnfundedLoanCommitmentMemberus-gaap:ConsumerPortfol</w:t>
      </w:r>
      <w:r>
        <w:rPr>
          <w:rFonts w:eastAsia="Times New Roman"/>
          <w:vanish/>
        </w:rPr>
        <w:t>ioSegmentMember2021-03-310000927628us-gaap:UnfundedLoanCommitmentMemberus-gaap:CommercialPortfolioSegmentMember2021-03-310000927628us-gaap:UnfundedLoanCommitmentMember2021-03-310000927628us-gaap:UnfundedLoanCommitmentMembercof:CreditCardPortfolioSegmentMem</w:t>
      </w:r>
      <w:r>
        <w:rPr>
          <w:rFonts w:eastAsia="Times New Roman"/>
          <w:vanish/>
        </w:rPr>
        <w:t>ber2021-04-012021-06-300000927628us-gaap:UnfundedLoanCommitmentMemberus-gaap:ConsumerPortfolioSegmentMember2021-04-012021-06-300000927628us-gaap:UnfundedLoanCommitmentMemberus-gaap:CommercialPortfolioSegmentMember2021-04-012021-06-300000927628us-gaap:Unfun</w:t>
      </w:r>
      <w:r>
        <w:rPr>
          <w:rFonts w:eastAsia="Times New Roman"/>
          <w:vanish/>
        </w:rPr>
        <w:t>dedLoanCommitmentMember2021-04-012021-06-300000927628us-gaap:UnfundedLoanCommitmentMembercof:CreditCardPortfolioSegmentMember2021-06-300000927628us-gaap:UnfundedLoanCommitmentMemberus-gaap:ConsumerPortfolioSegmentMember2021-06-300000927628us-gaap:UnfundedL</w:t>
      </w:r>
      <w:r>
        <w:rPr>
          <w:rFonts w:eastAsia="Times New Roman"/>
          <w:vanish/>
        </w:rPr>
        <w:t>oanCommitmentMemberus-gaap:CommercialPortfolioSegmentMember2021-06-300000927628us-gaap:UnfundedLoanCommitmentMember2021-06-300000927628cof:CreditCardPortfolioSegmentMembercof:CombinedAllowanceAndUnfundedReserveMember2021-06-300000927628us-gaap:ConsumerPort</w:t>
      </w:r>
      <w:r>
        <w:rPr>
          <w:rFonts w:eastAsia="Times New Roman"/>
          <w:vanish/>
        </w:rPr>
        <w:t>folioSegmentMembercof:CombinedAllowanceAndUnfundedReserveMember2021-06-300000927628cof:CombinedAllowanceAndUnfundedReserveMemberus-gaap:CommercialPortfolioSegmentMember2021-06-300000927628cof:CombinedAllowanceAndUnfundedReserveMember2021-06-300000927628cof</w:t>
      </w:r>
      <w:r>
        <w:rPr>
          <w:rFonts w:eastAsia="Times New Roman"/>
          <w:vanish/>
        </w:rPr>
        <w:t>:CreditCardPortfolioSegmentMemberus-gaap:AllowanceForLoanAndLeaseLossesMember2020-12-310000927628us-gaap:ConsumerPortfolioSegmentMemberus-gaap:AllowanceForLoanAndLeaseLossesMember2020-12-310000927628us-gaap:AllowanceForLoanAndLeaseLossesMemberus-gaap:Comme</w:t>
      </w:r>
      <w:r>
        <w:rPr>
          <w:rFonts w:eastAsia="Times New Roman"/>
          <w:vanish/>
        </w:rPr>
        <w:t>rcialPortfolioSegmentMember2020-12-310000927628us-gaap:AllowanceForLoanAndLeaseLossesMember2020-12-310000927628cof:CreditCardPortfolioSegmentMemberus-gaap:AllowanceForLoanAndLeaseLossesMember2021-01-012021-06-300000927628us-gaap:ConsumerPortfolioSegmentMem</w:t>
      </w:r>
      <w:r>
        <w:rPr>
          <w:rFonts w:eastAsia="Times New Roman"/>
          <w:vanish/>
        </w:rPr>
        <w:t>berus-gaap:AllowanceForLoanAndLeaseLossesMember2021-01-012021-06-300000927628us-gaap:AllowanceForLoanAndLeaseLossesMemberus-gaap:CommercialPortfolioSegmentMember2021-01-012021-06-300000927628us-gaap:AllowanceForLoanAndLeaseLossesMember2021-01-012021-06-300</w:t>
      </w:r>
      <w:r>
        <w:rPr>
          <w:rFonts w:eastAsia="Times New Roman"/>
          <w:vanish/>
        </w:rPr>
        <w:t>000927628us-gaap:UnfundedLoanCommitmentMembercof:CreditCardPortfolioSegmentMember2020-12-310000927628us-gaap:UnfundedLoanCommitmentMemberus-gaap:ConsumerPortfolioSegmentMember2020-12-310000927628us-gaap:UnfundedLoanCommitmentMemberus-gaap:CommercialPortfol</w:t>
      </w:r>
      <w:r>
        <w:rPr>
          <w:rFonts w:eastAsia="Times New Roman"/>
          <w:vanish/>
        </w:rPr>
        <w:t>ioSegmentMember2020-12-310000927628us-gaap:UnfundedLoanCommitmentMember2020-12-310000927628us-gaap:UnfundedLoanCommitmentMembercof:CreditCardPortfolioSegmentMember2021-01-012021-06-300000927628us-gaap:UnfundedLoanCommitmentMemberus-gaap:ConsumerPortfolioSe</w:t>
      </w:r>
      <w:r>
        <w:rPr>
          <w:rFonts w:eastAsia="Times New Roman"/>
          <w:vanish/>
        </w:rPr>
        <w:t>gmentMember2021-01-012021-06-300000927628us-gaap:UnfundedLoanCommitmentMemberus-gaap:CommercialPortfolioSegmentMember2021-01-012021-06-300000927628us-gaap:UnfundedLoanCommitmentMember2021-01-012021-06-300000927628cof:LossSharingAgreementMember2022-03-31000</w:t>
      </w:r>
      <w:r>
        <w:rPr>
          <w:rFonts w:eastAsia="Times New Roman"/>
          <w:vanish/>
        </w:rPr>
        <w:t>0927628cof:LossSharingAgreementMember2021-03-310000927628cof:LossSharingAgreementMember2022-04-012022-06-300000927628cof:LossSharingAgreementMember2021-04-012021-06-300000927628cof:LossSharingAgreementMember2022-06-300000927628cof:LossSharingAgreementMembe</w:t>
      </w:r>
      <w:r>
        <w:rPr>
          <w:rFonts w:eastAsia="Times New Roman"/>
          <w:vanish/>
        </w:rPr>
        <w:t>r2021-06-300000927628cof:LossSharingAgreementMember2021-12-310000927628cof:LossSharingAgreementMember2020-12-310000927628cof:LossSharingAgreementMember2022-01-012022-06-300000927628cof:LossSharingAgreementMember2021-01-012021-06-300000927628us-gaap:Variabl</w:t>
      </w:r>
      <w:r>
        <w:rPr>
          <w:rFonts w:eastAsia="Times New Roman"/>
          <w:vanish/>
        </w:rPr>
        <w:t>eInterestEntityPrimaryBeneficiaryMemberus-gaap:CreditCardReceivablesMember2022-06-300000927628us-gaap:CreditCardReceivablesMemberus-gaap:VariableInterestEntityNotPrimaryBeneficiaryMember2022-06-300000927628us-gaap:CreditCardReceivablesMember2022-06-3000009</w:t>
      </w:r>
      <w:r>
        <w:rPr>
          <w:rFonts w:eastAsia="Times New Roman"/>
          <w:vanish/>
        </w:rPr>
        <w:t>27628us-gaap:VariableInterestEntityPrimaryBeneficiaryMemberus-gaap:CollateralizedAutoLoansMember2022-06-300000927628us-gaap:VariableInterestEntityNotPrimaryBeneficiaryMemberus-gaap:CollateralizedAutoLoansMember2022-06-300000927628us-gaap:CollateralizedAuto</w:t>
      </w:r>
      <w:r>
        <w:rPr>
          <w:rFonts w:eastAsia="Times New Roman"/>
          <w:vanish/>
        </w:rPr>
        <w:t>LoansMember2022-06-300000927628us-gaap:VariableInterestEntityPrimaryBeneficiaryMembercof:SecuritizationRelatedVariableInterestEntitiesMember2022-06-300000927628cof:SecuritizationRelatedVariableInterestEntitiesMemberus-gaap:VariableInterestEntityNotPrimaryB</w:t>
      </w:r>
      <w:r>
        <w:rPr>
          <w:rFonts w:eastAsia="Times New Roman"/>
          <w:vanish/>
        </w:rPr>
        <w:t>eneficiaryMember2022-06-300000927628cof:SecuritizationRelatedVariableInterestEntitiesMember2022-06-300000927628us-gaap:VariableInterestEntityPrimaryBeneficiaryMembercof:AffordableHousingEntitiesMember2022-06-300000927628cof:AffordableHousingEntitiesMemberu</w:t>
      </w:r>
      <w:r>
        <w:rPr>
          <w:rFonts w:eastAsia="Times New Roman"/>
          <w:vanish/>
        </w:rPr>
        <w:t>s-gaap:VariableInterestEntityNotPrimaryBeneficiaryMember2022-06-300000927628cof:AffordableHousingEntitiesMember2022-06-300000927628us-gaap:VariableInterestEntityPrimaryBeneficiaryMembercof:InvestmentCompaniesProvidingCapitaltoLowIncomeandRuralCommunitiesMe</w:t>
      </w:r>
      <w:r>
        <w:rPr>
          <w:rFonts w:eastAsia="Times New Roman"/>
          <w:vanish/>
        </w:rPr>
        <w:t>mber2022-06-300000927628cof:InvestmentCompaniesProvidingCapitaltoLowIncomeandRuralCommunitiesMemberus-gaap:VariableInterestEntityNotPrimaryBeneficiaryMember2022-06-300000927628cof:InvestmentCompaniesProvidingCapitaltoLowIncomeandRuralCommunitiesMember2022-</w:t>
      </w:r>
      <w:r>
        <w:rPr>
          <w:rFonts w:eastAsia="Times New Roman"/>
          <w:vanish/>
        </w:rPr>
        <w:t>06-300000927628us-gaap:OtherInvestmentsMemberus-gaap:VariableInterestEntityPrimaryBeneficiaryMember2022-06-300000927628us-gaap:OtherInvestmentsMemberus-gaap:VariableInterestEntityNotPrimaryBeneficiaryMember2022-06-300000927628us-gaap:OtherInvestmentsMember</w:t>
      </w:r>
      <w:r>
        <w:rPr>
          <w:rFonts w:eastAsia="Times New Roman"/>
          <w:vanish/>
        </w:rPr>
        <w:t>2022-06-300000927628us-gaap:VariableInterestEntityPrimaryBeneficiaryMembercof:NonsecuritizationRelatedVariableInterestEntitiesMember2022-06-300000927628cof:NonsecuritizationRelatedVariableInterestEntitiesMemberus-gaap:VariableInterestEntityNotPrimaryBenefi</w:t>
      </w:r>
      <w:r>
        <w:rPr>
          <w:rFonts w:eastAsia="Times New Roman"/>
          <w:vanish/>
        </w:rPr>
        <w:t>ciaryMember2022-06-300000927628cof:NonsecuritizationRelatedVariableInterestEntitiesMember2022-06-300000927628us-gaap:VariableInterestEntityNotPrimaryBeneficiaryMember2022-06-300000927628us-gaap:VariableInterestEntityPrimaryBeneficiaryMemberus-gaap:CreditCa</w:t>
      </w:r>
      <w:r>
        <w:rPr>
          <w:rFonts w:eastAsia="Times New Roman"/>
          <w:vanish/>
        </w:rPr>
        <w:t>rdReceivablesMember2021-12-310000927628us-gaap:CreditCardReceivablesMemberus-gaap:VariableInterestEntityNotPrimaryBeneficiaryMember2021-12-310000927628us-gaap:CreditCardReceivablesMember2021-12-310000927628us-gaap:VariableInterestEntityPrimaryBeneficiaryMe</w:t>
      </w:r>
      <w:r>
        <w:rPr>
          <w:rFonts w:eastAsia="Times New Roman"/>
          <w:vanish/>
        </w:rPr>
        <w:t>mberus-gaap:CollateralizedAutoLoansMember2021-12-310000927628us-gaap:VariableInterestEntityNotPrimaryBeneficiaryMemberus-gaap:CollateralizedAutoLoansMember2021-12-310000927628us-gaap:CollateralizedAutoLoansMember2021-12-310000927628us-gaap:VariableInterest</w:t>
      </w:r>
      <w:r>
        <w:rPr>
          <w:rFonts w:eastAsia="Times New Roman"/>
          <w:vanish/>
        </w:rPr>
        <w:t>EntityPrimaryBeneficiaryMembercof:SecuritizationRelatedVariableInterestEntitiesMember2021-12-310000927628cof:SecuritizationRelatedVariableInterestEntitiesMemberus-gaap:VariableInterestEntityNotPrimaryBeneficiaryMember2021-12-310000927628cof:SecuritizationR</w:t>
      </w:r>
      <w:r>
        <w:rPr>
          <w:rFonts w:eastAsia="Times New Roman"/>
          <w:vanish/>
        </w:rPr>
        <w:t>elatedVariableInterestEntitiesMember2021-12-310000927628us-gaap:VariableInterestEntityPrimaryBeneficiaryMembercof:AffordableHousingEntitiesMember2021-12-310000927628cof:AffordableHousingEntitiesMemberus-gaap:VariableInterestEntityNotPrimaryBeneficiaryMembe</w:t>
      </w:r>
      <w:r>
        <w:rPr>
          <w:rFonts w:eastAsia="Times New Roman"/>
          <w:vanish/>
        </w:rPr>
        <w:t>r2021-12-310000927628cof:AffordableHousingEntitiesMember2021-12-310000927628us-gaap:VariableInterestEntityPrimaryBeneficiaryMembercof:InvestmentCompaniesProvidingCapitaltoLowIncomeandRuralCommunitiesMember2021-12-310000927628cof:InvestmentCompaniesProvidin</w:t>
      </w:r>
      <w:r>
        <w:rPr>
          <w:rFonts w:eastAsia="Times New Roman"/>
          <w:vanish/>
        </w:rPr>
        <w:t>gCapitaltoLowIncomeandRuralCommunitiesMemberus-gaap:VariableInterestEntityNotPrimaryBeneficiaryMember2021-12-310000927628cof:InvestmentCompaniesProvidingCapitaltoLowIncomeandRuralCommunitiesMember2021-12-310000927628us-gaap:OtherInvestmentsMemberus-gaap:Va</w:t>
      </w:r>
      <w:r>
        <w:rPr>
          <w:rFonts w:eastAsia="Times New Roman"/>
          <w:vanish/>
        </w:rPr>
        <w:t>riableInterestEntityPrimaryBeneficiaryMember2021-12-310000927628us-gaap:OtherInvestmentsMemberus-gaap:VariableInterestEntityNotPrimaryBeneficiaryMember2021-12-310000927628us-gaap:OtherInvestmentsMember2021-12-310000927628us-gaap:VariableInterestEntityPrima</w:t>
      </w:r>
      <w:r>
        <w:rPr>
          <w:rFonts w:eastAsia="Times New Roman"/>
          <w:vanish/>
        </w:rPr>
        <w:t>ryBeneficiaryMembercof:NonsecuritizationRelatedVariableInterestEntitiesMember2021-12-310000927628cof:NonsecuritizationRelatedVariableInterestEntitiesMemberus-gaap:VariableInterestEntityNotPrimaryBeneficiaryMember2021-12-310000927628cof:NonsecuritizationRel</w:t>
      </w:r>
      <w:r>
        <w:rPr>
          <w:rFonts w:eastAsia="Times New Roman"/>
          <w:vanish/>
        </w:rPr>
        <w:t>atedVariableInterestEntitiesMember2021-12-310000927628us-gaap:VariableInterestEntityNotPrimaryBeneficiaryMember2021-12-310000927628us-gaap:CustomerRelationshipsMember2022-06-300000927628us-gaap:OtherIntangibleAssetsMember2022-06-300000927628us-gaap:Custome</w:t>
      </w:r>
      <w:r>
        <w:rPr>
          <w:rFonts w:eastAsia="Times New Roman"/>
          <w:vanish/>
        </w:rPr>
        <w:t>rRelationshipsMember2021-12-310000927628us-gaap:OtherIntangibleAssetsMember2021-12-310000927628cof:CreditCardSegmentMember2021-12-310000927628cof:ConsumerBankingSegmentMember2021-12-310000927628cof:CommercialBankingSegmentMember2021-12-310000927628cof:Cred</w:t>
      </w:r>
      <w:r>
        <w:rPr>
          <w:rFonts w:eastAsia="Times New Roman"/>
          <w:vanish/>
        </w:rPr>
        <w:t>itCardSegmentMember2022-01-012022-06-300000927628cof:ConsumerBankingSegmentMember2022-01-012022-06-300000927628cof:CommercialBankingSegmentMember2022-01-012022-06-300000927628cof:CreditCardSegmentMember2022-06-300000927628cof:ConsumerBankingSegmentMember20</w:t>
      </w:r>
      <w:r>
        <w:rPr>
          <w:rFonts w:eastAsia="Times New Roman"/>
          <w:vanish/>
        </w:rPr>
        <w:t>22-06-300000927628cof:CommercialBankingSegmentMember2022-06-300000927628us-gaap:FederalFundsPurchasedAndSecuritiesSoldUnderAgreementsToRepurchaseMember2022-06-300000927628us-gaap:FederalFundsPurchasedAndSecuritiesSoldUnderAgreementsToRepurchaseMember2021-1</w:t>
      </w:r>
      <w:r>
        <w:rPr>
          <w:rFonts w:eastAsia="Times New Roman"/>
          <w:vanish/>
        </w:rPr>
        <w:t>2-310000927628srt:MinimumMemberus-gaap:SecuredDebtMember2022-06-300000927628srt:MaximumMemberus-gaap:SecuredDebtMember2022-06-300000927628us-gaap:SecuredDebtMember2022-06-300000927628us-gaap:SecuredDebtMember2021-12-310000927628srt:MinimumMembercof:FixedUn</w:t>
      </w:r>
      <w:r>
        <w:rPr>
          <w:rFonts w:eastAsia="Times New Roman"/>
          <w:vanish/>
        </w:rPr>
        <w:t>securedSeniorDebtMemberus-gaap:SeniorNotesMember2022-06-300000927628srt:MaximumMembercof:FixedUnsecuredSeniorDebtMemberus-gaap:SeniorNotesMember2022-06-300000927628cof:FixedUnsecuredSeniorDebtMemberus-gaap:SeniorNotesMember2022-06-300000927628cof:FixedUnse</w:t>
      </w:r>
      <w:r>
        <w:rPr>
          <w:rFonts w:eastAsia="Times New Roman"/>
          <w:vanish/>
        </w:rPr>
        <w:t>curedSeniorDebtMemberus-gaap:SeniorNotesMember2021-12-310000927628srt:MinimumMemberus-gaap:SeniorNotesMembercof:FloatingUnsecuredSeniorDebtMember2022-06-300000927628srt:MaximumMemberus-gaap:SeniorNotesMembercof:FloatingUnsecuredSeniorDebtMember2022-06-3000</w:t>
      </w:r>
      <w:r>
        <w:rPr>
          <w:rFonts w:eastAsia="Times New Roman"/>
          <w:vanish/>
        </w:rPr>
        <w:t>00927628us-gaap:SeniorNotesMembercof:FloatingUnsecuredSeniorDebtMember2022-06-300000927628us-gaap:SeniorNotesMembercof:FloatingUnsecuredSeniorDebtMember2021-12-310000927628cof:UnsecuredSeniorDebtMemberus-gaap:SeniorNotesMember2022-06-300000927628cof:Unsecu</w:t>
      </w:r>
      <w:r>
        <w:rPr>
          <w:rFonts w:eastAsia="Times New Roman"/>
          <w:vanish/>
        </w:rPr>
        <w:t>redSeniorDebtMemberus-gaap:SeniorNotesMember2021-12-310000927628srt:MinimumMembercof:FixedUnsecuredSubordinatedDebtMemberus-gaap:SubordinatedDebtMember2022-06-300000927628srt:MaximumMembercof:FixedUnsecuredSubordinatedDebtMemberus-gaap:SubordinatedDebtMemb</w:t>
      </w:r>
      <w:r>
        <w:rPr>
          <w:rFonts w:eastAsia="Times New Roman"/>
          <w:vanish/>
        </w:rPr>
        <w:t>er2022-06-300000927628cof:FixedUnsecuredSubordinatedDebtMemberus-gaap:SubordinatedDebtMember2022-06-300000927628cof:FixedUnsecuredSubordinatedDebtMemberus-gaap:SubordinatedDebtMember2021-12-310000927628cof:SeniorAndSubordinatedNotesMember2022-06-3000009276</w:t>
      </w:r>
      <w:r>
        <w:rPr>
          <w:rFonts w:eastAsia="Times New Roman"/>
          <w:vanish/>
        </w:rPr>
        <w:t>28cof:SeniorAndSubordinatedNotesMember2021-12-310000927628srt:MinimumMemberus-gaap:FederalHomeLoanBankCertificatesAndObligationsFHLBMember2022-06-300000927628srt:MaximumMemberus-gaap:FederalHomeLoanBankCertificatesAndObligationsFHLBMember2022-06-3000009276</w:t>
      </w:r>
      <w:r>
        <w:rPr>
          <w:rFonts w:eastAsia="Times New Roman"/>
          <w:vanish/>
        </w:rPr>
        <w:t>28us-gaap:FederalHomeLoanBankCertificatesAndObligationsFHLBMember2022-06-300000927628us-gaap:FederalHomeLoanBankCertificatesAndObligationsFHLBMember2021-12-310000927628srt:MinimumMemberus-gaap:CapitalLeaseObligationsMember2022-06-300000927628srt:MaximumMem</w:t>
      </w:r>
      <w:r>
        <w:rPr>
          <w:rFonts w:eastAsia="Times New Roman"/>
          <w:vanish/>
        </w:rPr>
        <w:t>berus-gaap:CapitalLeaseObligationsMember2022-06-300000927628us-gaap:CapitalLeaseObligationsMember2022-06-300000927628us-gaap:CapitalLeaseObligationsMember2021-12-310000927628cof:FHLBAdvanceCapitalLeaseObligationandGPMHMember2022-06-300000927628cof:FHLBAdva</w:t>
      </w:r>
      <w:r>
        <w:rPr>
          <w:rFonts w:eastAsia="Times New Roman"/>
          <w:vanish/>
        </w:rPr>
        <w:t>nceCapitalLeaseObligationandGPMHMember2021-12-310000927628currency:EUR2022-06-300000927628currency:EUR2021-12-310000927628us-gaap:InterestRateContractMemberus-gaap:DesignatedAsHedgingInstrumentMemberus-gaap:FairValueHedgingMember2022-06-300000927628us-gaap</w:t>
      </w:r>
      <w:r>
        <w:rPr>
          <w:rFonts w:eastAsia="Times New Roman"/>
          <w:vanish/>
        </w:rPr>
        <w:t>:InterestRateContractMemberus-gaap:DesignatedAsHedgingInstrumentMemberus-gaap:FairValueHedgingMember2021-12-310000927628us-gaap:CashFlowHedgingMemberus-gaap:InterestRateContractMemberus-gaap:DesignatedAsHedgingInstrumentMember2022-06-300000927628us-gaap:Ca</w:t>
      </w:r>
      <w:r>
        <w:rPr>
          <w:rFonts w:eastAsia="Times New Roman"/>
          <w:vanish/>
        </w:rPr>
        <w:t>shFlowHedgingMemberus-gaap:InterestRateContractMemberus-gaap:DesignatedAsHedgingInstrumentMember2021-12-310000927628us-gaap:InterestRateContractMemberus-gaap:DesignatedAsHedgingInstrumentMember2022-06-300000927628us-gaap:InterestRateContractMemberus-gaap:D</w:t>
      </w:r>
      <w:r>
        <w:rPr>
          <w:rFonts w:eastAsia="Times New Roman"/>
          <w:vanish/>
        </w:rPr>
        <w:t>esignatedAsHedgingInstrumentMember2021-12-310000927628us-gaap:DesignatedAsHedgingInstrumentMemberus-gaap:FairValueHedgingMemberus-gaap:ForeignExchangeContractMember2022-06-300000927628us-gaap:DesignatedAsHedgingInstrumentMemberus-gaap:FairValueHedgingMembe</w:t>
      </w:r>
      <w:r>
        <w:rPr>
          <w:rFonts w:eastAsia="Times New Roman"/>
          <w:vanish/>
        </w:rPr>
        <w:t>rus-gaap:ForeignExchangeContractMember2021-12-310000927628us-gaap:CashFlowHedgingMemberus-gaap:DesignatedAsHedgingInstrumentMemberus-gaap:ForeignExchangeContractMember2022-06-300000927628us-gaap:CashFlowHedgingMemberus-gaap:DesignatedAsHedgingInstrumentMem</w:t>
      </w:r>
      <w:r>
        <w:rPr>
          <w:rFonts w:eastAsia="Times New Roman"/>
          <w:vanish/>
        </w:rPr>
        <w:t>berus-gaap:ForeignExchangeContractMember2021-12-310000927628us-gaap:DesignatedAsHedgingInstrumentMemberus-gaap:NetInvestmentHedgingMemberus-gaap:ForeignExchangeContractMember2022-06-300000927628us-gaap:DesignatedAsHedgingInstrumentMemberus-gaap:NetInvestme</w:t>
      </w:r>
      <w:r>
        <w:rPr>
          <w:rFonts w:eastAsia="Times New Roman"/>
          <w:vanish/>
        </w:rPr>
        <w:t>ntHedgingMemberus-gaap:ForeignExchangeContractMember2021-12-310000927628us-gaap:DesignatedAsHedgingInstrumentMemberus-gaap:ForeignExchangeContractMember2022-06-300000927628us-gaap:DesignatedAsHedgingInstrumentMemberus-gaap:ForeignExchangeContractMember2021</w:t>
      </w:r>
      <w:r>
        <w:rPr>
          <w:rFonts w:eastAsia="Times New Roman"/>
          <w:vanish/>
        </w:rPr>
        <w:t>-12-310000927628us-gaap:DesignatedAsHedgingInstrumentMember2022-06-300000927628us-gaap:DesignatedAsHedgingInstrumentMember2021-12-310000927628cof:CustomerAccommodationMemberus-gaap:InterestRateContractMemberus-gaap:NondesignatedMember2022-06-300000927628co</w:t>
      </w:r>
      <w:r>
        <w:rPr>
          <w:rFonts w:eastAsia="Times New Roman"/>
          <w:vanish/>
        </w:rPr>
        <w:t>f:CustomerAccommodationMemberus-gaap:InterestRateContractMemberus-gaap:NondesignatedMember2021-12-310000927628cof:CustomerAccommodationMemberus-gaap:NondesignatedMemberus-gaap:CommodityContractMember2022-06-300000927628cof:CustomerAccommodationMemberus-gaa</w:t>
      </w:r>
      <w:r>
        <w:rPr>
          <w:rFonts w:eastAsia="Times New Roman"/>
          <w:vanish/>
        </w:rPr>
        <w:t>p:NondesignatedMemberus-gaap:CommodityContractMember2021-12-310000927628cof:CustomerAccommodationMemberus-gaap:NondesignatedMemberus-gaap:ForeignExchangeContractMember2022-06-300000927628cof:CustomerAccommodationMemberus-gaap:NondesignatedMemberus-gaap:For</w:t>
      </w:r>
      <w:r>
        <w:rPr>
          <w:rFonts w:eastAsia="Times New Roman"/>
          <w:vanish/>
        </w:rPr>
        <w:t>eignExchangeContractMember2021-12-310000927628cof:CustomerAccommodationMemberus-gaap:NondesignatedMember2022-06-300000927628cof:CustomerAccommodationMemberus-gaap:NondesignatedMember2021-12-310000927628cof:OtherInterestRateExposuresMemberus-gaap:InterestRa</w:t>
      </w:r>
      <w:r>
        <w:rPr>
          <w:rFonts w:eastAsia="Times New Roman"/>
          <w:vanish/>
        </w:rPr>
        <w:t>teContractMemberus-gaap:NondesignatedMember2022-06-300000927628cof:OtherInterestRateExposuresMemberus-gaap:InterestRateContractMemberus-gaap:NondesignatedMember2021-12-310000927628us-gaap:OtherContractMemberus-gaap:NondesignatedMember2022-06-300000927628us</w:t>
      </w:r>
      <w:r>
        <w:rPr>
          <w:rFonts w:eastAsia="Times New Roman"/>
          <w:vanish/>
        </w:rPr>
        <w:t>-gaap:OtherContractMemberus-gaap:NondesignatedMember2021-12-310000927628us-gaap:NondesignatedMember2022-06-300000927628us-gaap:NondesignatedMember2021-12-310000927628us-gaap:AvailableforsaleSecuritiesMember2022-06-300000927628us-gaap:AvailableforsaleSecuri</w:t>
      </w:r>
      <w:r>
        <w:rPr>
          <w:rFonts w:eastAsia="Times New Roman"/>
          <w:vanish/>
        </w:rPr>
        <w:t>tiesMember2021-12-310000927628us-gaap:InterestBearingDepositsMember2022-06-300000927628us-gaap:InterestBearingDepositsMember2021-12-310000927628cof:SecuritizedDebtObligationsMember2022-06-300000927628cof:SecuritizedDebtObligationsMember2021-12-310000927628</w:t>
      </w:r>
      <w:r>
        <w:rPr>
          <w:rFonts w:eastAsia="Times New Roman"/>
          <w:vanish/>
        </w:rPr>
        <w:t>cof:SeniorAndSubordinatedNotesMember2022-06-300000927628cof:SeniorAndSubordinatedNotesMember2021-12-310000927628cof:InterestincomeInvestmentsecuritiesMemberus-gaap:InterestRateContractMemberus-gaap:FairValueHedgingMember2022-04-012022-06-300000927628cof:In</w:t>
      </w:r>
      <w:r>
        <w:rPr>
          <w:rFonts w:eastAsia="Times New Roman"/>
          <w:vanish/>
        </w:rPr>
        <w:t>terestincomeLoansMemberus-gaap:InterestRateContractMemberus-gaap:FairValueHedgingMember2022-04-012022-06-300000927628cof:InterestincomeOtherMemberus-gaap:InterestRateContractMemberus-gaap:FairValueHedgingMember2022-04-012022-06-300000927628cof:Interestexpe</w:t>
      </w:r>
      <w:r>
        <w:rPr>
          <w:rFonts w:eastAsia="Times New Roman"/>
          <w:vanish/>
        </w:rPr>
        <w:t>nseDepositsMemberus-gaap:InterestRateContractMemberus-gaap:FairValueHedgingMember2022-04-012022-06-300000927628cof:InterestexpenseSecuritizedDebtObligationMemberus-gaap:InterestRateContractMemberus-gaap:FairValueHedgingMember2022-04-012022-06-300000927628c</w:t>
      </w:r>
      <w:r>
        <w:rPr>
          <w:rFonts w:eastAsia="Times New Roman"/>
          <w:vanish/>
        </w:rPr>
        <w:t>of:InterestexpenseSeniorandSubordinatedDebtMemberus-gaap:InterestRateContractMemberus-gaap:FairValueHedgingMember2022-04-012022-06-300000927628us-gaap:InterestRateContractMemberus-gaap:FairValueHedgingMembercof:NonInterestIncomeOtherMember2022-04-012022-06</w:t>
      </w:r>
      <w:r>
        <w:rPr>
          <w:rFonts w:eastAsia="Times New Roman"/>
          <w:vanish/>
        </w:rPr>
        <w:t>-300000927628cof:InterestincomeInvestmentsecuritiesMemberus-gaap:FairValueHedgingMember2022-04-012022-06-300000927628cof:InterestincomeLoansMemberus-gaap:FairValueHedgingMember2022-04-012022-06-300000927628cof:InterestincomeOtherMemberus-gaap:FairValueHedg</w:t>
      </w:r>
      <w:r>
        <w:rPr>
          <w:rFonts w:eastAsia="Times New Roman"/>
          <w:vanish/>
        </w:rPr>
        <w:t>ingMember2022-04-012022-06-300000927628cof:InterestexpenseDepositsMemberus-gaap:FairValueHedgingMember2022-04-012022-06-300000927628cof:InterestexpenseSecuritizedDebtObligationMemberus-gaap:FairValueHedgingMember2022-04-012022-06-300000927628cof:Interestex</w:t>
      </w:r>
      <w:r>
        <w:rPr>
          <w:rFonts w:eastAsia="Times New Roman"/>
          <w:vanish/>
        </w:rPr>
        <w:t>penseSeniorandSubordinatedDebtMemberus-gaap:FairValueHedgingMember2022-04-012022-06-300000927628us-gaap:FairValueHedgingMembercof:NonInterestIncomeOtherMember2022-04-012022-06-300000927628us-gaap:CashFlowHedgingMembercof:InterestincomeInvestmentsecuritiesM</w:t>
      </w:r>
      <w:r>
        <w:rPr>
          <w:rFonts w:eastAsia="Times New Roman"/>
          <w:vanish/>
        </w:rPr>
        <w:t>emberus-gaap:InterestRateContractMember2022-04-012022-06-300000927628us-gaap:CashFlowHedgingMembercof:InterestincomeLoansMemberus-gaap:InterestRateContractMember2022-04-012022-06-300000927628cof:InterestincomeOtherMemberus-gaap:CashFlowHedgingMemberus-gaap</w:t>
      </w:r>
      <w:r>
        <w:rPr>
          <w:rFonts w:eastAsia="Times New Roman"/>
          <w:vanish/>
        </w:rPr>
        <w:t>:InterestRateContractMember2022-04-012022-06-300000927628us-gaap:CashFlowHedgingMembercof:InterestexpenseDepositsMemberus-gaap:InterestRateContractMember2022-04-012022-06-300000927628us-gaap:CashFlowHedgingMembercof:InterestexpenseSecuritizedDebtObligation</w:t>
      </w:r>
      <w:r>
        <w:rPr>
          <w:rFonts w:eastAsia="Times New Roman"/>
          <w:vanish/>
        </w:rPr>
        <w:t>Memberus-gaap:InterestRateContractMember2022-04-012022-06-300000927628us-gaap:CashFlowHedgingMembercof:InterestexpenseSeniorandSubordinatedDebtMemberus-gaap:InterestRateContractMember2022-04-012022-06-300000927628us-gaap:CashFlowHedgingMemberus-gaap:Intere</w:t>
      </w:r>
      <w:r>
        <w:rPr>
          <w:rFonts w:eastAsia="Times New Roman"/>
          <w:vanish/>
        </w:rPr>
        <w:t>stRateContractMembercof:NonInterestIncomeOtherMember2022-04-012022-06-300000927628us-gaap:CashFlowHedgingMembercof:InterestincomeInvestmentsecuritiesMemberus-gaap:ForeignExchangeContractMember2022-04-012022-06-300000927628us-gaap:CashFlowHedgingMembercof:I</w:t>
      </w:r>
      <w:r>
        <w:rPr>
          <w:rFonts w:eastAsia="Times New Roman"/>
          <w:vanish/>
        </w:rPr>
        <w:t>nterestincomeLoansMemberus-gaap:ForeignExchangeContractMember2022-04-012022-06-300000927628cof:InterestincomeOtherMemberus-gaap:CashFlowHedgingMemberus-gaap:ForeignExchangeContractMember2022-04-012022-06-300000927628us-gaap:CashFlowHedgingMembercof:Interes</w:t>
      </w:r>
      <w:r>
        <w:rPr>
          <w:rFonts w:eastAsia="Times New Roman"/>
          <w:vanish/>
        </w:rPr>
        <w:t>texpenseDepositsMemberus-gaap:ForeignExchangeContractMember2022-04-012022-06-300000927628us-gaap:CashFlowHedgingMembercof:InterestexpenseSecuritizedDebtObligationMemberus-gaap:ForeignExchangeContractMember2022-04-012022-06-300000927628us-gaap:CashFlowHedgi</w:t>
      </w:r>
      <w:r>
        <w:rPr>
          <w:rFonts w:eastAsia="Times New Roman"/>
          <w:vanish/>
        </w:rPr>
        <w:t>ngMembercof:InterestexpenseSeniorandSubordinatedDebtMemberus-gaap:ForeignExchangeContractMember2022-04-012022-06-300000927628us-gaap:CashFlowHedgingMembercof:NonInterestIncomeOtherMemberus-gaap:ForeignExchangeContractMember2022-04-012022-06-300000927628us-</w:t>
      </w:r>
      <w:r>
        <w:rPr>
          <w:rFonts w:eastAsia="Times New Roman"/>
          <w:vanish/>
        </w:rPr>
        <w:t>gaap:CashFlowHedgingMembercof:InterestincomeInvestmentsecuritiesMember2022-04-012022-06-300000927628us-gaap:CashFlowHedgingMembercof:InterestincomeLoansMember2022-04-012022-06-300000927628cof:InterestincomeOtherMemberus-gaap:CashFlowHedgingMember2022-04-01</w:t>
      </w:r>
      <w:r>
        <w:rPr>
          <w:rFonts w:eastAsia="Times New Roman"/>
          <w:vanish/>
        </w:rPr>
        <w:t>2022-06-300000927628us-gaap:CashFlowHedgingMembercof:InterestexpenseDepositsMember2022-04-012022-06-300000927628us-gaap:CashFlowHedgingMembercof:InterestexpenseSecuritizedDebtObligationMember2022-04-012022-06-300000927628us-gaap:CashFlowHedgingMembercof:In</w:t>
      </w:r>
      <w:r>
        <w:rPr>
          <w:rFonts w:eastAsia="Times New Roman"/>
          <w:vanish/>
        </w:rPr>
        <w:t>terestexpenseSeniorandSubordinatedDebtMember2022-04-012022-06-300000927628us-gaap:CashFlowHedgingMembercof:NonInterestIncomeOtherMember2022-04-012022-06-300000927628cof:InterestincomeInvestmentsecuritiesMemberus-gaap:InterestRateContractMemberus-gaap:FairV</w:t>
      </w:r>
      <w:r>
        <w:rPr>
          <w:rFonts w:eastAsia="Times New Roman"/>
          <w:vanish/>
        </w:rPr>
        <w:t>alueHedgingMember2022-01-012022-06-300000927628cof:InterestincomeLoansMemberus-gaap:InterestRateContractMemberus-gaap:FairValueHedgingMember2022-01-012022-06-300000927628cof:InterestincomeOtherMemberus-gaap:InterestRateContractMemberus-gaap:FairValueHedgin</w:t>
      </w:r>
      <w:r>
        <w:rPr>
          <w:rFonts w:eastAsia="Times New Roman"/>
          <w:vanish/>
        </w:rPr>
        <w:t>gMember2022-01-012022-06-300000927628cof:InterestexpenseDepositsMemberus-gaap:InterestRateContractMemberus-gaap:FairValueHedgingMember2022-01-012022-06-300000927628cof:InterestexpenseSecuritizedDebtObligationMemberus-gaap:InterestRateContractMemberus-gaap:</w:t>
      </w:r>
      <w:r>
        <w:rPr>
          <w:rFonts w:eastAsia="Times New Roman"/>
          <w:vanish/>
        </w:rPr>
        <w:t>FairValueHedgingMember2022-01-012022-06-300000927628cof:InterestexpenseSeniorandSubordinatedDebtMemberus-gaap:InterestRateContractMemberus-gaap:FairValueHedgingMember2022-01-012022-06-300000927628us-gaap:InterestRateContractMemberus-gaap:FairValueHedgingMe</w:t>
      </w:r>
      <w:r>
        <w:rPr>
          <w:rFonts w:eastAsia="Times New Roman"/>
          <w:vanish/>
        </w:rPr>
        <w:t>mbercof:NonInterestIncomeOtherMember2022-01-012022-06-300000927628cof:InterestincomeInvestmentsecuritiesMemberus-gaap:FairValueHedgingMember2022-01-012022-06-300000927628cof:InterestincomeLoansMemberus-gaap:FairValueHedgingMember2022-01-012022-06-300000927</w:t>
      </w:r>
      <w:r>
        <w:rPr>
          <w:rFonts w:eastAsia="Times New Roman"/>
          <w:vanish/>
        </w:rPr>
        <w:t>628cof:InterestincomeOtherMemberus-gaap:FairValueHedgingMember2022-01-012022-06-300000927628cof:InterestexpenseDepositsMemberus-gaap:FairValueHedgingMember2022-01-012022-06-300000927628cof:InterestexpenseSecuritizedDebtObligationMemberus-gaap:FairValueHedg</w:t>
      </w:r>
      <w:r>
        <w:rPr>
          <w:rFonts w:eastAsia="Times New Roman"/>
          <w:vanish/>
        </w:rPr>
        <w:t>ingMember2022-01-012022-06-300000927628cof:InterestexpenseSeniorandSubordinatedDebtMemberus-gaap:FairValueHedgingMember2022-01-012022-06-300000927628us-gaap:FairValueHedgingMembercof:NonInterestIncomeOtherMember2022-01-012022-06-300000927628us-gaap:CashFlo</w:t>
      </w:r>
      <w:r>
        <w:rPr>
          <w:rFonts w:eastAsia="Times New Roman"/>
          <w:vanish/>
        </w:rPr>
        <w:t>wHedgingMembercof:InterestincomeInvestmentsecuritiesMemberus-gaap:InterestRateContractMember2022-01-012022-06-300000927628us-gaap:CashFlowHedgingMembercof:InterestincomeLoansMemberus-gaap:InterestRateContractMember2022-01-012022-06-300000927628cof:Interest</w:t>
      </w:r>
      <w:r>
        <w:rPr>
          <w:rFonts w:eastAsia="Times New Roman"/>
          <w:vanish/>
        </w:rPr>
        <w:t>incomeOtherMemberus-gaap:CashFlowHedgingMemberus-gaap:InterestRateContractMember2022-01-012022-06-300000927628us-gaap:CashFlowHedgingMembercof:InterestexpenseDepositsMemberus-gaap:InterestRateContractMember2022-01-012022-06-300000927628us-gaap:CashFlowHedg</w:t>
      </w:r>
      <w:r>
        <w:rPr>
          <w:rFonts w:eastAsia="Times New Roman"/>
          <w:vanish/>
        </w:rPr>
        <w:t>ingMembercof:InterestexpenseSecuritizedDebtObligationMemberus-gaap:InterestRateContractMember2022-01-012022-06-300000927628us-gaap:CashFlowHedgingMembercof:InterestexpenseSeniorandSubordinatedDebtMemberus-gaap:InterestRateContractMember2022-01-012022-06-30</w:t>
      </w:r>
      <w:r>
        <w:rPr>
          <w:rFonts w:eastAsia="Times New Roman"/>
          <w:vanish/>
        </w:rPr>
        <w:t>0000927628us-gaap:CashFlowHedgingMemberus-gaap:InterestRateContractMembercof:NonInterestIncomeOtherMember2022-01-012022-06-300000927628us-gaap:CashFlowHedgingMembercof:InterestincomeInvestmentsecuritiesMemberus-gaap:ForeignExchangeContractMember2022-01-012</w:t>
      </w:r>
      <w:r>
        <w:rPr>
          <w:rFonts w:eastAsia="Times New Roman"/>
          <w:vanish/>
        </w:rPr>
        <w:t>022-06-300000927628us-gaap:CashFlowHedgingMembercof:InterestincomeLoansMemberus-gaap:ForeignExchangeContractMember2022-01-012022-06-300000927628cof:InterestincomeOtherMemberus-gaap:CashFlowHedgingMemberus-gaap:ForeignExchangeContractMember2022-01-012022-06</w:t>
      </w:r>
      <w:r>
        <w:rPr>
          <w:rFonts w:eastAsia="Times New Roman"/>
          <w:vanish/>
        </w:rPr>
        <w:t>-300000927628us-gaap:CashFlowHedgingMembercof:InterestexpenseDepositsMemberus-gaap:ForeignExchangeContractMember2022-01-012022-06-300000927628us-gaap:CashFlowHedgingMembercof:InterestexpenseSecuritizedDebtObligationMemberus-gaap:ForeignExchangeContractMemb</w:t>
      </w:r>
      <w:r>
        <w:rPr>
          <w:rFonts w:eastAsia="Times New Roman"/>
          <w:vanish/>
        </w:rPr>
        <w:t>er2022-01-012022-06-300000927628us-gaap:CashFlowHedgingMembercof:InterestexpenseSeniorandSubordinatedDebtMemberus-gaap:ForeignExchangeContractMember2022-01-012022-06-300000927628us-gaap:CashFlowHedgingMembercof:NonInterestIncomeOtherMemberus-gaap:ForeignEx</w:t>
      </w:r>
      <w:r>
        <w:rPr>
          <w:rFonts w:eastAsia="Times New Roman"/>
          <w:vanish/>
        </w:rPr>
        <w:t>changeContractMember2022-01-012022-06-300000927628us-gaap:CashFlowHedgingMembercof:InterestincomeInvestmentsecuritiesMember2022-01-012022-06-300000927628us-gaap:CashFlowHedgingMembercof:InterestincomeLoansMember2022-01-012022-06-300000927628cof:Interestinc</w:t>
      </w:r>
      <w:r>
        <w:rPr>
          <w:rFonts w:eastAsia="Times New Roman"/>
          <w:vanish/>
        </w:rPr>
        <w:t>omeOtherMemberus-gaap:CashFlowHedgingMember2022-01-012022-06-300000927628us-gaap:CashFlowHedgingMembercof:InterestexpenseDepositsMember2022-01-012022-06-300000927628us-gaap:CashFlowHedgingMembercof:InterestexpenseSecuritizedDebtObligationMember2022-01-0120</w:t>
      </w:r>
      <w:r>
        <w:rPr>
          <w:rFonts w:eastAsia="Times New Roman"/>
          <w:vanish/>
        </w:rPr>
        <w:t>22-06-300000927628us-gaap:CashFlowHedgingMembercof:InterestexpenseSeniorandSubordinatedDebtMember2022-01-012022-06-300000927628us-gaap:CashFlowHedgingMembercof:NonInterestIncomeOtherMember2022-01-012022-06-300000927628cof:InterestincomeInvestmentsecurities</w:t>
      </w:r>
      <w:r>
        <w:rPr>
          <w:rFonts w:eastAsia="Times New Roman"/>
          <w:vanish/>
        </w:rPr>
        <w:t>Memberus-gaap:InterestRateContractMemberus-gaap:FairValueHedgingMember2021-04-012021-06-300000927628cof:InterestincomeLoansMemberus-gaap:InterestRateContractMemberus-gaap:FairValueHedgingMember2021-04-012021-06-300000927628cof:InterestincomeOtherMemberus-g</w:t>
      </w:r>
      <w:r>
        <w:rPr>
          <w:rFonts w:eastAsia="Times New Roman"/>
          <w:vanish/>
        </w:rPr>
        <w:t>aap:InterestRateContractMemberus-gaap:FairValueHedgingMember2021-04-012021-06-300000927628cof:InterestexpenseDepositsMemberus-gaap:InterestRateContractMemberus-gaap:FairValueHedgingMember2021-04-012021-06-300000927628cof:InterestexpenseSecuritizedDebtOblig</w:t>
      </w:r>
      <w:r>
        <w:rPr>
          <w:rFonts w:eastAsia="Times New Roman"/>
          <w:vanish/>
        </w:rPr>
        <w:t>ationMemberus-gaap:InterestRateContractMemberus-gaap:FairValueHedgingMember2021-04-012021-06-300000927628cof:InterestexpenseSeniorandSubordinatedDebtMemberus-gaap:InterestRateContractMemberus-gaap:FairValueHedgingMember2021-04-012021-06-300000927628us-gaap</w:t>
      </w:r>
      <w:r>
        <w:rPr>
          <w:rFonts w:eastAsia="Times New Roman"/>
          <w:vanish/>
        </w:rPr>
        <w:t>:InterestRateContractMemberus-gaap:FairValueHedgingMembercof:NonInterestIncomeOtherMember2021-04-012021-06-300000927628cof:InterestincomeInvestmentsecuritiesMemberus-gaap:FairValueHedgingMember2021-04-012021-06-300000927628cof:InterestincomeLoansMemberus-g</w:t>
      </w:r>
      <w:r>
        <w:rPr>
          <w:rFonts w:eastAsia="Times New Roman"/>
          <w:vanish/>
        </w:rPr>
        <w:t>aap:FairValueHedgingMember2021-04-012021-06-300000927628cof:InterestincomeOtherMemberus-gaap:FairValueHedgingMember2021-04-012021-06-300000927628cof:InterestexpenseDepositsMemberus-gaap:FairValueHedgingMember2021-04-012021-06-300000927628cof:Interestexpens</w:t>
      </w:r>
      <w:r>
        <w:rPr>
          <w:rFonts w:eastAsia="Times New Roman"/>
          <w:vanish/>
        </w:rPr>
        <w:t>eSecuritizedDebtObligationMemberus-gaap:FairValueHedgingMember2021-04-012021-06-300000927628cof:InterestexpenseSeniorandSubordinatedDebtMemberus-gaap:FairValueHedgingMember2021-04-012021-06-300000927628us-gaap:FairValueHedgingMembercof:NonInterestIncomeOth</w:t>
      </w:r>
      <w:r>
        <w:rPr>
          <w:rFonts w:eastAsia="Times New Roman"/>
          <w:vanish/>
        </w:rPr>
        <w:t>erMember2021-04-012021-06-300000927628us-gaap:CashFlowHedgingMembercof:InterestincomeInvestmentsecuritiesMemberus-gaap:InterestRateContractMember2021-04-012021-06-300000927628us-gaap:CashFlowHedgingMembercof:InterestincomeLoansMemberus-gaap:InterestRateCon</w:t>
      </w:r>
      <w:r>
        <w:rPr>
          <w:rFonts w:eastAsia="Times New Roman"/>
          <w:vanish/>
        </w:rPr>
        <w:t>tractMember2021-04-012021-06-300000927628cof:InterestincomeOtherMemberus-gaap:CashFlowHedgingMemberus-gaap:InterestRateContractMember2021-04-012021-06-300000927628us-gaap:CashFlowHedgingMembercof:InterestexpenseDepositsMemberus-gaap:InterestRateContractMem</w:t>
      </w:r>
      <w:r>
        <w:rPr>
          <w:rFonts w:eastAsia="Times New Roman"/>
          <w:vanish/>
        </w:rPr>
        <w:t>ber2021-04-012021-06-300000927628us-gaap:CashFlowHedgingMembercof:InterestexpenseSecuritizedDebtObligationMemberus-gaap:InterestRateContractMember2021-04-012021-06-300000927628us-gaap:CashFlowHedgingMembercof:InterestexpenseSeniorandSubordinatedDebtMemberu</w:t>
      </w:r>
      <w:r>
        <w:rPr>
          <w:rFonts w:eastAsia="Times New Roman"/>
          <w:vanish/>
        </w:rPr>
        <w:t>s-gaap:InterestRateContractMember2021-04-012021-06-300000927628us-gaap:CashFlowHedgingMemberus-gaap:InterestRateContractMembercof:NonInterestIncomeOtherMember2021-04-012021-06-300000927628us-gaap:CashFlowHedgingMembercof:InterestincomeInvestmentsecuritiesM</w:t>
      </w:r>
      <w:r>
        <w:rPr>
          <w:rFonts w:eastAsia="Times New Roman"/>
          <w:vanish/>
        </w:rPr>
        <w:t>emberus-gaap:ForeignExchangeContractMember2021-04-012021-06-300000927628us-gaap:CashFlowHedgingMembercof:InterestincomeLoansMemberus-gaap:ForeignExchangeContractMember2021-04-012021-06-300000927628cof:InterestincomeOtherMemberus-gaap:CashFlowHedgingMemberu</w:t>
      </w:r>
      <w:r>
        <w:rPr>
          <w:rFonts w:eastAsia="Times New Roman"/>
          <w:vanish/>
        </w:rPr>
        <w:t>s-gaap:ForeignExchangeContractMember2021-04-012021-06-300000927628us-gaap:CashFlowHedgingMembercof:InterestexpenseDepositsMemberus-gaap:ForeignExchangeContractMember2021-04-012021-06-300000927628us-gaap:CashFlowHedgingMembercof:InterestexpenseSecuritizedDe</w:t>
      </w:r>
      <w:r>
        <w:rPr>
          <w:rFonts w:eastAsia="Times New Roman"/>
          <w:vanish/>
        </w:rPr>
        <w:t>btObligationMemberus-gaap:ForeignExchangeContractMember2021-04-012021-06-300000927628us-gaap:CashFlowHedgingMembercof:InterestexpenseSeniorandSubordinatedDebtMemberus-gaap:ForeignExchangeContractMember2021-04-012021-06-300000927628us-gaap:CashFlowHedgingMe</w:t>
      </w:r>
      <w:r>
        <w:rPr>
          <w:rFonts w:eastAsia="Times New Roman"/>
          <w:vanish/>
        </w:rPr>
        <w:t>mbercof:NonInterestIncomeOtherMemberus-gaap:ForeignExchangeContractMember2021-04-012021-06-300000927628us-gaap:CashFlowHedgingMembercof:InterestincomeInvestmentsecuritiesMember2021-04-012021-06-300000927628us-gaap:CashFlowHedgingMembercof:InterestincomeLoa</w:t>
      </w:r>
      <w:r>
        <w:rPr>
          <w:rFonts w:eastAsia="Times New Roman"/>
          <w:vanish/>
        </w:rPr>
        <w:t>nsMember2021-04-012021-06-300000927628cof:InterestincomeOtherMemberus-gaap:CashFlowHedgingMember2021-04-012021-06-300000927628us-gaap:CashFlowHedgingMembercof:InterestexpenseDepositsMember2021-04-012021-06-300000927628us-gaap:CashFlowHedgingMembercof:Inter</w:t>
      </w:r>
      <w:r>
        <w:rPr>
          <w:rFonts w:eastAsia="Times New Roman"/>
          <w:vanish/>
        </w:rPr>
        <w:t>estexpenseSecuritizedDebtObligationMember2021-04-012021-06-300000927628us-gaap:CashFlowHedgingMembercof:InterestexpenseSeniorandSubordinatedDebtMember2021-04-012021-06-300000927628us-gaap:CashFlowHedgingMembercof:NonInterestIncomeOtherMember2021-04-012021-</w:t>
      </w:r>
      <w:r>
        <w:rPr>
          <w:rFonts w:eastAsia="Times New Roman"/>
          <w:vanish/>
        </w:rPr>
        <w:t>06-300000927628cof:InterestincomeInvestmentsecuritiesMemberus-gaap:InterestRateContractMemberus-gaap:FairValueHedgingMember2021-01-012021-06-300000927628cof:InterestincomeLoansMemberus-gaap:InterestRateContractMemberus-gaap:FairValueHedgingMember2021-01-01</w:t>
      </w:r>
      <w:r>
        <w:rPr>
          <w:rFonts w:eastAsia="Times New Roman"/>
          <w:vanish/>
        </w:rPr>
        <w:t>2021-06-300000927628cof:InterestincomeOtherMemberus-gaap:InterestRateContractMemberus-gaap:FairValueHedgingMember2021-01-012021-06-300000927628cof:InterestexpenseDepositsMemberus-gaap:InterestRateContractMemberus-gaap:FairValueHedgingMember2021-01-012021-0</w:t>
      </w:r>
      <w:r>
        <w:rPr>
          <w:rFonts w:eastAsia="Times New Roman"/>
          <w:vanish/>
        </w:rPr>
        <w:t>6-300000927628cof:InterestexpenseSecuritizedDebtObligationMemberus-gaap:InterestRateContractMemberus-gaap:FairValueHedgingMember2021-01-012021-06-300000927628cof:InterestexpenseSeniorandSubordinatedDebtMemberus-gaap:InterestRateContractMemberus-gaap:FairVa</w:t>
      </w:r>
      <w:r>
        <w:rPr>
          <w:rFonts w:eastAsia="Times New Roman"/>
          <w:vanish/>
        </w:rPr>
        <w:t>lueHedgingMember2021-01-012021-06-300000927628us-gaap:InterestRateContractMemberus-gaap:FairValueHedgingMembercof:NonInterestIncomeOtherMember2021-01-012021-06-300000927628cof:InterestincomeInvestmentsecuritiesMemberus-gaap:FairValueHedgingMember2021-01-01</w:t>
      </w:r>
      <w:r>
        <w:rPr>
          <w:rFonts w:eastAsia="Times New Roman"/>
          <w:vanish/>
        </w:rPr>
        <w:t>2021-06-300000927628cof:InterestincomeLoansMemberus-gaap:FairValueHedgingMember2021-01-012021-06-300000927628cof:InterestincomeOtherMemberus-gaap:FairValueHedgingMember2021-01-012021-06-300000927628cof:InterestexpenseDepositsMemberus-gaap:FairValueHedgingM</w:t>
      </w:r>
      <w:r>
        <w:rPr>
          <w:rFonts w:eastAsia="Times New Roman"/>
          <w:vanish/>
        </w:rPr>
        <w:t>ember2021-01-012021-06-300000927628cof:InterestexpenseSecuritizedDebtObligationMemberus-gaap:FairValueHedgingMember2021-01-012021-06-300000927628cof:InterestexpenseSeniorandSubordinatedDebtMemberus-gaap:FairValueHedgingMember2021-01-012021-06-300000927628u</w:t>
      </w:r>
      <w:r>
        <w:rPr>
          <w:rFonts w:eastAsia="Times New Roman"/>
          <w:vanish/>
        </w:rPr>
        <w:t>s-gaap:FairValueHedgingMembercof:NonInterestIncomeOtherMember2021-01-012021-06-300000927628us-gaap:CashFlowHedgingMembercof:InterestincomeInvestmentsecuritiesMemberus-gaap:InterestRateContractMember2021-01-012021-06-300000927628us-gaap:CashFlowHedgingMembe</w:t>
      </w:r>
      <w:r>
        <w:rPr>
          <w:rFonts w:eastAsia="Times New Roman"/>
          <w:vanish/>
        </w:rPr>
        <w:t>rcof:InterestincomeLoansMemberus-gaap:InterestRateContractMember2021-01-012021-06-300000927628cof:InterestincomeOtherMemberus-gaap:CashFlowHedgingMemberus-gaap:InterestRateContractMember2021-01-012021-06-300000927628us-gaap:CashFlowHedgingMembercof:Interes</w:t>
      </w:r>
      <w:r>
        <w:rPr>
          <w:rFonts w:eastAsia="Times New Roman"/>
          <w:vanish/>
        </w:rPr>
        <w:t>texpenseDepositsMemberus-gaap:InterestRateContractMember2021-01-012021-06-300000927628us-gaap:CashFlowHedgingMembercof:InterestexpenseSecuritizedDebtObligationMemberus-gaap:InterestRateContractMember2021-01-012021-06-300000927628us-gaap:CashFlowHedgingMemb</w:t>
      </w:r>
      <w:r>
        <w:rPr>
          <w:rFonts w:eastAsia="Times New Roman"/>
          <w:vanish/>
        </w:rPr>
        <w:t>ercof:InterestexpenseSeniorandSubordinatedDebtMemberus-gaap:InterestRateContractMember2021-01-012021-06-300000927628us-gaap:CashFlowHedgingMemberus-gaap:InterestRateContractMembercof:NonInterestIncomeOtherMember2021-01-012021-06-300000927628us-gaap:CashFlo</w:t>
      </w:r>
      <w:r>
        <w:rPr>
          <w:rFonts w:eastAsia="Times New Roman"/>
          <w:vanish/>
        </w:rPr>
        <w:t>wHedgingMembercof:InterestincomeInvestmentsecuritiesMemberus-gaap:ForeignExchangeContractMember2021-01-012021-06-300000927628us-gaap:CashFlowHedgingMembercof:InterestincomeLoansMemberus-gaap:ForeignExchangeContractMember2021-01-012021-06-300000927628cof:In</w:t>
      </w:r>
      <w:r>
        <w:rPr>
          <w:rFonts w:eastAsia="Times New Roman"/>
          <w:vanish/>
        </w:rPr>
        <w:t>terestincomeOtherMemberus-gaap:CashFlowHedgingMemberus-gaap:ForeignExchangeContractMember2021-01-012021-06-300000927628us-gaap:CashFlowHedgingMembercof:InterestexpenseDepositsMemberus-gaap:ForeignExchangeContractMember2021-01-012021-06-300000927628us-gaap:</w:t>
      </w:r>
      <w:r>
        <w:rPr>
          <w:rFonts w:eastAsia="Times New Roman"/>
          <w:vanish/>
        </w:rPr>
        <w:t>CashFlowHedgingMembercof:InterestexpenseSecuritizedDebtObligationMemberus-gaap:ForeignExchangeContractMember2021-01-012021-06-300000927628us-gaap:CashFlowHedgingMembercof:InterestexpenseSeniorandSubordinatedDebtMemberus-gaap:ForeignExchangeContractMember20</w:t>
      </w:r>
      <w:r>
        <w:rPr>
          <w:rFonts w:eastAsia="Times New Roman"/>
          <w:vanish/>
        </w:rPr>
        <w:t>21-01-012021-06-300000927628us-gaap:CashFlowHedgingMembercof:NonInterestIncomeOtherMemberus-gaap:ForeignExchangeContractMember2021-01-012021-06-300000927628us-gaap:CashFlowHedgingMembercof:InterestincomeInvestmentsecuritiesMember2021-01-012021-06-300000927</w:t>
      </w:r>
      <w:r>
        <w:rPr>
          <w:rFonts w:eastAsia="Times New Roman"/>
          <w:vanish/>
        </w:rPr>
        <w:t>628us-gaap:CashFlowHedgingMembercof:InterestincomeLoansMember2021-01-012021-06-300000927628cof:InterestincomeOtherMemberus-gaap:CashFlowHedgingMember2021-01-012021-06-300000927628us-gaap:CashFlowHedgingMembercof:InterestexpenseDepositsMember2021-01-012021-</w:t>
      </w:r>
      <w:r>
        <w:rPr>
          <w:rFonts w:eastAsia="Times New Roman"/>
          <w:vanish/>
        </w:rPr>
        <w:t>06-300000927628us-gaap:CashFlowHedgingMembercof:InterestexpenseSecuritizedDebtObligationMember2021-01-012021-06-300000927628us-gaap:CashFlowHedgingMembercof:InterestexpenseSeniorandSubordinatedDebtMember2021-01-012021-06-300000927628us-gaap:CashFlowHedging</w:t>
      </w:r>
      <w:r>
        <w:rPr>
          <w:rFonts w:eastAsia="Times New Roman"/>
          <w:vanish/>
        </w:rPr>
        <w:t>Membercof:NonInterestIncomeOtherMember2021-01-012021-06-300000927628cof:NonInterestIncomeOtherMember2022-04-012022-06-300000927628cof:NonInterestIncomeOtherMember2022-01-012022-06-300000927628cof:NonInterestIncomeOtherMember2021-04-012021-06-300000927628co</w:t>
      </w:r>
      <w:r>
        <w:rPr>
          <w:rFonts w:eastAsia="Times New Roman"/>
          <w:vanish/>
        </w:rPr>
        <w:t>f:NonInterestIncomeOtherMember2021-01-012021-06-300000927628cof:CustomerAccommodationMemberus-gaap:InterestRateContractMembercof:OtherNonInterestIncomeMember2022-04-012022-06-300000927628cof:CustomerAccommodationMemberus-gaap:InterestRateContractMembercof:</w:t>
      </w:r>
      <w:r>
        <w:rPr>
          <w:rFonts w:eastAsia="Times New Roman"/>
          <w:vanish/>
        </w:rPr>
        <w:t>OtherNonInterestIncomeMember2021-04-012021-06-300000927628cof:CustomerAccommodationMemberus-gaap:InterestRateContractMembercof:OtherNonInterestIncomeMember2022-01-012022-06-300000927628cof:CustomerAccommodationMemberus-gaap:InterestRateContractMembercof:Ot</w:t>
      </w:r>
      <w:r>
        <w:rPr>
          <w:rFonts w:eastAsia="Times New Roman"/>
          <w:vanish/>
        </w:rPr>
        <w:t>herNonInterestIncomeMember2021-01-012021-06-300000927628cof:CustomerAccommodationMembercof:OtherNonInterestIncomeMemberus-gaap:CommodityContractMember2022-04-012022-06-300000927628cof:CustomerAccommodationMembercof:OtherNonInterestIncomeMemberus-gaap:Commo</w:t>
      </w:r>
      <w:r>
        <w:rPr>
          <w:rFonts w:eastAsia="Times New Roman"/>
          <w:vanish/>
        </w:rPr>
        <w:t>dityContractMember2021-04-012021-06-300000927628cof:CustomerAccommodationMembercof:OtherNonInterestIncomeMemberus-gaap:CommodityContractMember2022-01-012022-06-300000927628cof:CustomerAccommodationMembercof:OtherNonInterestIncomeMemberus-gaap:CommodityCont</w:t>
      </w:r>
      <w:r>
        <w:rPr>
          <w:rFonts w:eastAsia="Times New Roman"/>
          <w:vanish/>
        </w:rPr>
        <w:t>ractMember2021-01-012021-06-300000927628cof:CustomerAccommodationMembercof:OtherNonInterestIncomeMemberus-gaap:ForeignExchangeContractMember2022-04-012022-06-300000927628cof:CustomerAccommodationMembercof:OtherNonInterestIncomeMemberus-gaap:ForeignExchange</w:t>
      </w:r>
      <w:r>
        <w:rPr>
          <w:rFonts w:eastAsia="Times New Roman"/>
          <w:vanish/>
        </w:rPr>
        <w:t>ContractMember2021-04-012021-06-300000927628cof:CustomerAccommodationMembercof:OtherNonInterestIncomeMemberus-gaap:ForeignExchangeContractMember2022-01-012022-06-300000927628cof:CustomerAccommodationMembercof:OtherNonInterestIncomeMemberus-gaap:ForeignExch</w:t>
      </w:r>
      <w:r>
        <w:rPr>
          <w:rFonts w:eastAsia="Times New Roman"/>
          <w:vanish/>
        </w:rPr>
        <w:t>angeContractMember2021-01-012021-06-300000927628us-gaap:InterestRateContractMembercof:OtherNonInterestIncomeMember2022-04-012022-06-300000927628us-gaap:InterestRateContractMembercof:OtherNonInterestIncomeMember2021-04-012021-06-300000927628us-gaap:Interest</w:t>
      </w:r>
      <w:r>
        <w:rPr>
          <w:rFonts w:eastAsia="Times New Roman"/>
          <w:vanish/>
        </w:rPr>
        <w:t>RateContractMembercof:OtherNonInterestIncomeMember2022-01-012022-06-300000927628us-gaap:InterestRateContractMembercof:OtherNonInterestIncomeMember2021-01-012021-06-300000927628cof:OtherInterestRateExposuresMemberus-gaap:InterestRateContractMembercof:OtherN</w:t>
      </w:r>
      <w:r>
        <w:rPr>
          <w:rFonts w:eastAsia="Times New Roman"/>
          <w:vanish/>
        </w:rPr>
        <w:t>onInterestIncomeMember2022-04-012022-06-300000927628cof:OtherInterestRateExposuresMemberus-gaap:InterestRateContractMembercof:OtherNonInterestIncomeMember2021-04-012021-06-300000927628cof:OtherInterestRateExposuresMemberus-gaap:InterestRateContractMemberco</w:t>
      </w:r>
      <w:r>
        <w:rPr>
          <w:rFonts w:eastAsia="Times New Roman"/>
          <w:vanish/>
        </w:rPr>
        <w:t>f:OtherNonInterestIncomeMember2022-01-012022-06-300000927628cof:OtherInterestRateExposuresMemberus-gaap:InterestRateContractMembercof:OtherNonInterestIncomeMember2021-01-012021-06-300000927628us-gaap:OtherContractMembercof:OtherNonInterestIncomeMember2022-</w:t>
      </w:r>
      <w:r>
        <w:rPr>
          <w:rFonts w:eastAsia="Times New Roman"/>
          <w:vanish/>
        </w:rPr>
        <w:t>04-012022-06-300000927628us-gaap:OtherContractMembercof:OtherNonInterestIncomeMember2021-04-012021-06-300000927628us-gaap:OtherContractMembercof:OtherNonInterestIncomeMember2022-01-012022-06-300000927628us-gaap:OtherContractMembercof:OtherNonInterestIncome</w:t>
      </w:r>
      <w:r>
        <w:rPr>
          <w:rFonts w:eastAsia="Times New Roman"/>
          <w:vanish/>
        </w:rPr>
        <w:t>Member2021-01-012021-06-300000927628cof:OtherNonInterestIncomeMember2022-04-012022-06-300000927628cof:OtherNonInterestIncomeMember2021-04-012021-06-300000927628cof:OtherNonInterestIncomeMember2022-01-012022-06-300000927628cof:OtherNonInterestIncomeMember20</w:t>
      </w:r>
      <w:r>
        <w:rPr>
          <w:rFonts w:eastAsia="Times New Roman"/>
          <w:vanish/>
        </w:rPr>
        <w:t>21-01-012021-06-300000927628cof:SeriesIPreferredStockMember2022-06-300000927628cof:SeriesIPreferredStockMember2021-12-310000927628cof:SeriesJPreferredStockMember2022-06-300000927628cof:SeriesJPreferredStockMember2021-12-310000927628cof:SeriesKPreferredStoc</w:t>
      </w:r>
      <w:r>
        <w:rPr>
          <w:rFonts w:eastAsia="Times New Roman"/>
          <w:vanish/>
        </w:rPr>
        <w:t>kMember2022-06-300000927628cof:SeriesKPreferredStockMember2021-12-310000927628cof:SeriesLPreferredStockMember2022-06-300000927628cof:SeriesLPreferredStockMember2021-12-310000927628cof:SeriesMPreferredStockMember2022-01-012022-06-300000927628cof:SeriesMPref</w:t>
      </w:r>
      <w:r>
        <w:rPr>
          <w:rFonts w:eastAsia="Times New Roman"/>
          <w:vanish/>
        </w:rPr>
        <w:t>erredStockMember2022-06-300000927628cof:SeriesMPreferredStockMember2021-12-310000927628cof:SeriesNPreferredStockMember2022-06-300000927628cof:SeriesNPreferredStockMember2021-12-310000927628us-gaap:AvailableforsaleSecuritiesMemberus-gaap:AccumulatedNetUnrea</w:t>
      </w:r>
      <w:r>
        <w:rPr>
          <w:rFonts w:eastAsia="Times New Roman"/>
          <w:vanish/>
        </w:rPr>
        <w:t>lizedInvestmentGainLossMember2022-03-310000927628us-gaap:AccumulatedNetGainLossFromDesignatedOrQualifyingCashFlowHedgesMember2022-03-310000927628us-gaap:AccumulatedTranslationAdjustmentMember2022-03-310000927628cof:AccumulatedOtherComprehensiveIncomeLossOt</w:t>
      </w:r>
      <w:r>
        <w:rPr>
          <w:rFonts w:eastAsia="Times New Roman"/>
          <w:vanish/>
        </w:rPr>
        <w:t>herComponentMember2022-03-310000927628us-gaap:AvailableforsaleSecuritiesMemberus-gaap:AccumulatedNetUnrealizedInvestmentGainLossMember2022-04-012022-06-300000927628us-gaap:AccumulatedNetGainLossFromDesignatedOrQualifyingCashFlowHedgesMember2022-04-012022-0</w:t>
      </w:r>
      <w:r>
        <w:rPr>
          <w:rFonts w:eastAsia="Times New Roman"/>
          <w:vanish/>
        </w:rPr>
        <w:t>6-300000927628us-gaap:AccumulatedTranslationAdjustmentMember2022-04-012022-06-300000927628cof:AccumulatedOtherComprehensiveIncomeLossOtherComponentMember2022-04-012022-06-300000927628us-gaap:AvailableforsaleSecuritiesMemberus-gaap:AccumulatedNetUnrealizedI</w:t>
      </w:r>
      <w:r>
        <w:rPr>
          <w:rFonts w:eastAsia="Times New Roman"/>
          <w:vanish/>
        </w:rPr>
        <w:t>nvestmentGainLossMember2022-06-300000927628us-gaap:AccumulatedNetGainLossFromDesignatedOrQualifyingCashFlowHedgesMember2022-06-300000927628us-gaap:AccumulatedTranslationAdjustmentMember2022-06-300000927628cof:AccumulatedOtherComprehensiveIncomeLossOtherCom</w:t>
      </w:r>
      <w:r>
        <w:rPr>
          <w:rFonts w:eastAsia="Times New Roman"/>
          <w:vanish/>
        </w:rPr>
        <w:t>ponentMember2022-06-300000927628us-gaap:AvailableforsaleSecuritiesMemberus-gaap:AccumulatedNetUnrealizedInvestmentGainLossMember2021-12-310000927628us-gaap:AccumulatedNetGainLossFromDesignatedOrQualifyingCashFlowHedgesMember2021-12-310000927628us-gaap:Accu</w:t>
      </w:r>
      <w:r>
        <w:rPr>
          <w:rFonts w:eastAsia="Times New Roman"/>
          <w:vanish/>
        </w:rPr>
        <w:t>mulatedTranslationAdjustmentMember2021-12-310000927628cof:AccumulatedOtherComprehensiveIncomeLossOtherComponentMember2021-12-310000927628us-gaap:AvailableforsaleSecuritiesMemberus-gaap:AccumulatedNetUnrealizedInvestmentGainLossMember2022-01-012022-06-30000</w:t>
      </w:r>
      <w:r>
        <w:rPr>
          <w:rFonts w:eastAsia="Times New Roman"/>
          <w:vanish/>
        </w:rPr>
        <w:t>0927628us-gaap:AccumulatedNetGainLossFromDesignatedOrQualifyingCashFlowHedgesMember2022-01-012022-06-300000927628us-gaap:AccumulatedTranslationAdjustmentMember2022-01-012022-06-300000927628cof:AccumulatedOtherComprehensiveIncomeLossOtherComponentMember2022</w:t>
      </w:r>
      <w:r>
        <w:rPr>
          <w:rFonts w:eastAsia="Times New Roman"/>
          <w:vanish/>
        </w:rPr>
        <w:t>-01-012022-06-300000927628us-gaap:AccumulatedOtherComprehensiveIncomeMember2022-01-012022-06-300000927628us-gaap:AvailableforsaleSecuritiesMemberus-gaap:AccumulatedNetUnrealizedInvestmentGainLossMember2021-03-310000927628us-gaap:AccumulatedNetGainLossFromD</w:t>
      </w:r>
      <w:r>
        <w:rPr>
          <w:rFonts w:eastAsia="Times New Roman"/>
          <w:vanish/>
        </w:rPr>
        <w:t>esignatedOrQualifyingCashFlowHedgesMember2021-03-310000927628us-gaap:AccumulatedTranslationAdjustmentMember2021-03-310000927628cof:AccumulatedOtherComprehensiveIncomeLossOtherComponentMember2021-03-310000927628us-gaap:AvailableforsaleSecuritiesMemberus-gaa</w:t>
      </w:r>
      <w:r>
        <w:rPr>
          <w:rFonts w:eastAsia="Times New Roman"/>
          <w:vanish/>
        </w:rPr>
        <w:t>p:AccumulatedNetUnrealizedInvestmentGainLossMember2021-04-012021-06-300000927628us-gaap:AccumulatedNetGainLossFromDesignatedOrQualifyingCashFlowHedgesMember2021-04-012021-06-300000927628us-gaap:AccumulatedTranslationAdjustmentMember2021-04-012021-06-300000</w:t>
      </w:r>
      <w:r>
        <w:rPr>
          <w:rFonts w:eastAsia="Times New Roman"/>
          <w:vanish/>
        </w:rPr>
        <w:t>927628cof:AccumulatedOtherComprehensiveIncomeLossOtherComponentMember2021-04-012021-06-300000927628us-gaap:AvailableforsaleSecuritiesMemberus-gaap:AccumulatedNetUnrealizedInvestmentGainLossMember2021-06-300000927628us-gaap:AccumulatedNetGainLossFromDesigna</w:t>
      </w:r>
      <w:r>
        <w:rPr>
          <w:rFonts w:eastAsia="Times New Roman"/>
          <w:vanish/>
        </w:rPr>
        <w:t>tedOrQualifyingCashFlowHedgesMember2021-06-300000927628us-gaap:AccumulatedTranslationAdjustmentMember2021-06-300000927628cof:AccumulatedOtherComprehensiveIncomeLossOtherComponentMember2021-06-300000927628us-gaap:AvailableforsaleSecuritiesMemberus-gaap:Accu</w:t>
      </w:r>
      <w:r>
        <w:rPr>
          <w:rFonts w:eastAsia="Times New Roman"/>
          <w:vanish/>
        </w:rPr>
        <w:t>mulatedNetUnrealizedInvestmentGainLossMember2020-12-310000927628us-gaap:AccumulatedNetGainLossFromDesignatedOrQualifyingCashFlowHedgesMember2020-12-310000927628us-gaap:AccumulatedTranslationAdjustmentMember2020-12-310000927628cof:AccumulatedOtherComprehens</w:t>
      </w:r>
      <w:r>
        <w:rPr>
          <w:rFonts w:eastAsia="Times New Roman"/>
          <w:vanish/>
        </w:rPr>
        <w:t>iveIncomeLossOtherComponentMember2020-12-310000927628us-gaap:AvailableforsaleSecuritiesMemberus-gaap:AccumulatedNetUnrealizedInvestmentGainLossMember2021-01-012021-06-300000927628us-gaap:AccumulatedNetGainLossFromDesignatedOrQualifyingCashFlowHedgesMember2</w:t>
      </w:r>
      <w:r>
        <w:rPr>
          <w:rFonts w:eastAsia="Times New Roman"/>
          <w:vanish/>
        </w:rPr>
        <w:t>021-01-012021-06-300000927628us-gaap:AccumulatedTranslationAdjustmentMember2021-01-012021-06-300000927628cof:AccumulatedOtherComprehensiveIncomeLossOtherComponentMember2021-01-012021-06-300000927628us-gaap:AccumulatedOtherComprehensiveIncomeMember2021-01-0</w:t>
      </w:r>
      <w:r>
        <w:rPr>
          <w:rFonts w:eastAsia="Times New Roman"/>
          <w:vanish/>
        </w:rPr>
        <w:t>12021-06-300000927628us-gaap:NetInvestmentHedgingMember2022-04-012022-06-300000927628us-gaap:NetInvestmentHedgingMember2022-01-012022-06-300000927628us-gaap:NetInvestmentHedgingMember2021-04-012021-06-300000927628us-gaap:NetInvestmentHedgingMember2021-01-0</w:t>
      </w:r>
      <w:r>
        <w:rPr>
          <w:rFonts w:eastAsia="Times New Roman"/>
          <w:vanish/>
        </w:rPr>
        <w:t>12021-06-300000927628us-gaap:ReclassificationOutOfAccumulatedOtherComprehensiveIncomeMemberus-gaap:AccumulatedNetUnrealizedInvestmentGainLossMember2022-04-012022-06-300000927628us-gaap:ReclassificationOutOfAccumulatedOtherComprehensiveIncomeMemberus-gaap:A</w:t>
      </w:r>
      <w:r>
        <w:rPr>
          <w:rFonts w:eastAsia="Times New Roman"/>
          <w:vanish/>
        </w:rPr>
        <w:t>ccumulatedNetUnrealizedInvestmentGainLossMember2021-04-012021-06-300000927628us-gaap:ReclassificationOutOfAccumulatedOtherComprehensiveIncomeMemberus-gaap:AccumulatedNetUnrealizedInvestmentGainLossMember2022-01-012022-06-300000927628us-gaap:Reclassificatio</w:t>
      </w:r>
      <w:r>
        <w:rPr>
          <w:rFonts w:eastAsia="Times New Roman"/>
          <w:vanish/>
        </w:rPr>
        <w:t>nOutOfAccumulatedOtherComprehensiveIncomeMemberus-gaap:AccumulatedNetUnrealizedInvestmentGainLossMember2021-01-012021-06-300000927628us-gaap:ReclassificationOutOfAccumulatedOtherComprehensiveIncomeMemberus-gaap:AccumulatedNetGainLossFromDesignatedOrQualify</w:t>
      </w:r>
      <w:r>
        <w:rPr>
          <w:rFonts w:eastAsia="Times New Roman"/>
          <w:vanish/>
        </w:rPr>
        <w:t>ingCashFlowHedgesMemberus-gaap:InterestRateContractMember2022-04-012022-06-300000927628us-gaap:ReclassificationOutOfAccumulatedOtherComprehensiveIncomeMemberus-gaap:AccumulatedNetGainLossFromDesignatedOrQualifyingCashFlowHedgesMemberus-gaap:InterestRateCon</w:t>
      </w:r>
      <w:r>
        <w:rPr>
          <w:rFonts w:eastAsia="Times New Roman"/>
          <w:vanish/>
        </w:rPr>
        <w:t>tractMember2021-04-012021-06-300000927628us-gaap:ReclassificationOutOfAccumulatedOtherComprehensiveIncomeMemberus-gaap:AccumulatedNetGainLossFromDesignatedOrQualifyingCashFlowHedgesMemberus-gaap:InterestRateContractMember2022-01-012022-06-300000927628us-ga</w:t>
      </w:r>
      <w:r>
        <w:rPr>
          <w:rFonts w:eastAsia="Times New Roman"/>
          <w:vanish/>
        </w:rPr>
        <w:t>ap:ReclassificationOutOfAccumulatedOtherComprehensiveIncomeMemberus-gaap:AccumulatedNetGainLossFromDesignatedOrQualifyingCashFlowHedgesMemberus-gaap:InterestRateContractMember2021-01-012021-06-300000927628us-gaap:ReclassificationOutOfAccumulatedOtherCompre</w:t>
      </w:r>
      <w:r>
        <w:rPr>
          <w:rFonts w:eastAsia="Times New Roman"/>
          <w:vanish/>
        </w:rPr>
        <w:t>hensiveIncomeMemberus-gaap:AccumulatedNetGainLossFromDesignatedOrQualifyingCashFlowHedgesMemberus-gaap:ForeignExchangeContractMember2022-04-012022-06-300000927628us-gaap:ReclassificationOutOfAccumulatedOtherComprehensiveIncomeMemberus-gaap:AccumulatedNetGa</w:t>
      </w:r>
      <w:r>
        <w:rPr>
          <w:rFonts w:eastAsia="Times New Roman"/>
          <w:vanish/>
        </w:rPr>
        <w:t>inLossFromDesignatedOrQualifyingCashFlowHedgesMemberus-gaap:ForeignExchangeContractMember2021-04-012021-06-300000927628us-gaap:ReclassificationOutOfAccumulatedOtherComprehensiveIncomeMemberus-gaap:AccumulatedNetGainLossFromDesignatedOrQualifyingCashFlowHed</w:t>
      </w:r>
      <w:r>
        <w:rPr>
          <w:rFonts w:eastAsia="Times New Roman"/>
          <w:vanish/>
        </w:rPr>
        <w:t>gesMemberus-gaap:ForeignExchangeContractMember2022-01-012022-06-300000927628us-gaap:ReclassificationOutOfAccumulatedOtherComprehensiveIncomeMemberus-gaap:AccumulatedNetGainLossFromDesignatedOrQualifyingCashFlowHedgesMemberus-gaap:ForeignExchangeContractMem</w:t>
      </w:r>
      <w:r>
        <w:rPr>
          <w:rFonts w:eastAsia="Times New Roman"/>
          <w:vanish/>
        </w:rPr>
        <w:t>ber2021-01-012021-06-300000927628us-gaap:ReclassificationOutOfAccumulatedOtherComprehensiveIncomeMembercof:AccumulatedOtherComprehensiveIncomeLossOtherComponentMember2022-04-012022-06-300000927628us-gaap:ReclassificationOutOfAccumulatedOtherComprehensiveIn</w:t>
      </w:r>
      <w:r>
        <w:rPr>
          <w:rFonts w:eastAsia="Times New Roman"/>
          <w:vanish/>
        </w:rPr>
        <w:t>comeMembercof:AccumulatedOtherComprehensiveIncomeLossOtherComponentMember2021-04-012021-06-300000927628us-gaap:ReclassificationOutOfAccumulatedOtherComprehensiveIncomeMembercof:AccumulatedOtherComprehensiveIncomeLossOtherComponentMember2022-01-012022-06-30</w:t>
      </w:r>
      <w:r>
        <w:rPr>
          <w:rFonts w:eastAsia="Times New Roman"/>
          <w:vanish/>
        </w:rPr>
        <w:t>0000927628us-gaap:ReclassificationOutOfAccumulatedOtherComprehensiveIncomeMembercof:AccumulatedOtherComprehensiveIncomeLossOtherComponentMember2021-01-012021-06-300000927628us-gaap:ReclassificationOutOfAccumulatedOtherComprehensiveIncomeMember2022-04-01202</w:t>
      </w:r>
      <w:r>
        <w:rPr>
          <w:rFonts w:eastAsia="Times New Roman"/>
          <w:vanish/>
        </w:rPr>
        <w:t>2-06-300000927628us-gaap:ReclassificationOutOfAccumulatedOtherComprehensiveIncomeMember2021-04-012021-06-300000927628us-gaap:ReclassificationOutOfAccumulatedOtherComprehensiveIncomeMember2022-01-012022-06-300000927628us-gaap:ReclassificationOutOfAccumulate</w:t>
      </w:r>
      <w:r>
        <w:rPr>
          <w:rFonts w:eastAsia="Times New Roman"/>
          <w:vanish/>
        </w:rPr>
        <w:t>dOtherComprehensiveIncomeMember2021-01-012021-06-300000927628us-gaap:StockCompensationPlanMember2022-04-012022-06-300000927628us-gaap:StockCompensationPlanMember2022-01-012022-06-300000927628us-gaap:StockCompensationPlanMember2021-04-012021-06-300000927628</w:t>
      </w:r>
      <w:r>
        <w:rPr>
          <w:rFonts w:eastAsia="Times New Roman"/>
          <w:vanish/>
        </w:rPr>
        <w:t>us-gaap:EmployeeStockOptionMember2021-04-012021-06-300000927628us-gaap:StockCompensationPlanMember2021-01-012021-06-300000927628us-gaap:FairValueMeasurementsRecurringMemberus-gaap:USTreasurySecuritiesMemberus-gaap:FairValueInputsLevel1Member2022-06-3000009</w:t>
      </w:r>
      <w:r>
        <w:rPr>
          <w:rFonts w:eastAsia="Times New Roman"/>
          <w:vanish/>
        </w:rPr>
        <w:t>27628us-gaap:FairValueMeasurementsRecurringMemberus-gaap:FairValueInputsLevel2Memberus-gaap:USTreasurySecuritiesMember2022-06-300000927628us-gaap:FairValueMeasurementsRecurringMemberus-gaap:USTreasurySecuritiesMemberus-gaap:FairValueInputsLevel3Member2022-</w:t>
      </w:r>
      <w:r>
        <w:rPr>
          <w:rFonts w:eastAsia="Times New Roman"/>
          <w:vanish/>
        </w:rPr>
        <w:t>06-300000927628us-gaap:FairValueMeasurementsRecurringMemberus-gaap:USTreasurySecuritiesMember2022-06-300000927628us-gaap:FairValueMeasurementsRecurringMemberus-gaap:ResidentialMortgageBackedSecuritiesMemberus-gaap:FairValueInputsLevel1Member2022-06-3000009</w:t>
      </w:r>
      <w:r>
        <w:rPr>
          <w:rFonts w:eastAsia="Times New Roman"/>
          <w:vanish/>
        </w:rPr>
        <w:t>27628us-gaap:FairValueMeasurementsRecurringMemberus-gaap:ResidentialMortgageBackedSecuritiesMemberus-gaap:FairValueInputsLevel2Member2022-06-300000927628us-gaap:FairValueMeasurementsRecurringMemberus-gaap:ResidentialMortgageBackedSecuritiesMemberus-gaap:Fa</w:t>
      </w:r>
      <w:r>
        <w:rPr>
          <w:rFonts w:eastAsia="Times New Roman"/>
          <w:vanish/>
        </w:rPr>
        <w:t>irValueInputsLevel3Member2022-06-300000927628us-gaap:FairValueMeasurementsRecurringMemberus-gaap:ResidentialMortgageBackedSecuritiesMember2022-06-300000927628us-gaap:FairValueMeasurementsRecurringMemberus-gaap:CommercialMortgageBackedSecuritiesMemberus-gaa</w:t>
      </w:r>
      <w:r>
        <w:rPr>
          <w:rFonts w:eastAsia="Times New Roman"/>
          <w:vanish/>
        </w:rPr>
        <w:t>p:FairValueInputsLevel1Member2022-06-300000927628us-gaap:FairValueMeasurementsRecurringMemberus-gaap:FairValueInputsLevel2Memberus-gaap:CommercialMortgageBackedSecuritiesMember2022-06-300000927628us-gaap:FairValueMeasurementsRecurringMemberus-gaap:Commerci</w:t>
      </w:r>
      <w:r>
        <w:rPr>
          <w:rFonts w:eastAsia="Times New Roman"/>
          <w:vanish/>
        </w:rPr>
        <w:t>alMortgageBackedSecuritiesMemberus-gaap:FairValueInputsLevel3Member2022-06-300000927628us-gaap:FairValueMeasurementsRecurringMemberus-gaap:CommercialMortgageBackedSecuritiesMember2022-06-300000927628us-gaap:FairValueMeasurementsRecurringMemberus-gaap:Other</w:t>
      </w:r>
      <w:r>
        <w:rPr>
          <w:rFonts w:eastAsia="Times New Roman"/>
          <w:vanish/>
        </w:rPr>
        <w:t>DebtSecuritiesMemberus-gaap:FairValueInputsLevel1Member2022-06-300000927628us-gaap:FairValueMeasurementsRecurringMemberus-gaap:OtherDebtSecuritiesMemberus-gaap:FairValueInputsLevel2Member2022-06-300000927628us-gaap:FairValueMeasurementsRecurringMemberus-ga</w:t>
      </w:r>
      <w:r>
        <w:rPr>
          <w:rFonts w:eastAsia="Times New Roman"/>
          <w:vanish/>
        </w:rPr>
        <w:t>ap:OtherDebtSecuritiesMemberus-gaap:FairValueInputsLevel3Member2022-06-300000927628us-gaap:FairValueMeasurementsRecurringMemberus-gaap:OtherDebtSecuritiesMember2022-06-300000927628us-gaap:FairValueMeasurementsRecurringMemberus-gaap:FairValueInputsLevel1Mem</w:t>
      </w:r>
      <w:r>
        <w:rPr>
          <w:rFonts w:eastAsia="Times New Roman"/>
          <w:vanish/>
        </w:rPr>
        <w:t>ber2022-06-300000927628us-gaap:FairValueMeasurementsRecurringMemberus-gaap:FairValueInputsLevel2Member2022-06-300000927628us-gaap:FairValueMeasurementsRecurringMemberus-gaap:FairValueInputsLevel3Member2022-06-300000927628us-gaap:FairValueMeasurementsRecurr</w:t>
      </w:r>
      <w:r>
        <w:rPr>
          <w:rFonts w:eastAsia="Times New Roman"/>
          <w:vanish/>
        </w:rPr>
        <w:t>ingMember2022-06-300000927628us-gaap:FairValueMeasurementsRecurringMemberus-gaap:USTreasurySecuritiesMemberus-gaap:FairValueInputsLevel1Member2021-12-310000927628us-gaap:FairValueMeasurementsRecurringMemberus-gaap:FairValueInputsLevel2Memberus-gaap:USTreas</w:t>
      </w:r>
      <w:r>
        <w:rPr>
          <w:rFonts w:eastAsia="Times New Roman"/>
          <w:vanish/>
        </w:rPr>
        <w:t>urySecuritiesMember2021-12-310000927628us-gaap:FairValueMeasurementsRecurringMemberus-gaap:USTreasurySecuritiesMemberus-gaap:FairValueInputsLevel3Member2021-12-310000927628us-gaap:FairValueMeasurementsRecurringMemberus-gaap:USTreasurySecuritiesMember2021-1</w:t>
      </w:r>
      <w:r>
        <w:rPr>
          <w:rFonts w:eastAsia="Times New Roman"/>
          <w:vanish/>
        </w:rPr>
        <w:t>2-310000927628us-gaap:FairValueMeasurementsRecurringMemberus-gaap:ResidentialMortgageBackedSecuritiesMemberus-gaap:FairValueInputsLevel1Member2021-12-310000927628us-gaap:FairValueMeasurementsRecurringMemberus-gaap:ResidentialMortgageBackedSecuritiesMemberu</w:t>
      </w:r>
      <w:r>
        <w:rPr>
          <w:rFonts w:eastAsia="Times New Roman"/>
          <w:vanish/>
        </w:rPr>
        <w:t>s-gaap:FairValueInputsLevel2Member2021-12-310000927628us-gaap:FairValueMeasurementsRecurringMemberus-gaap:ResidentialMortgageBackedSecuritiesMemberus-gaap:FairValueInputsLevel3Member2021-12-310000927628us-gaap:FairValueMeasurementsRecurringMemberus-gaap:Re</w:t>
      </w:r>
      <w:r>
        <w:rPr>
          <w:rFonts w:eastAsia="Times New Roman"/>
          <w:vanish/>
        </w:rPr>
        <w:t>sidentialMortgageBackedSecuritiesMember2021-12-310000927628us-gaap:FairValueMeasurementsRecurringMemberus-gaap:CommercialMortgageBackedSecuritiesMemberus-gaap:FairValueInputsLevel1Member2021-12-310000927628us-gaap:FairValueMeasurementsRecurringMemberus-gaa</w:t>
      </w:r>
      <w:r>
        <w:rPr>
          <w:rFonts w:eastAsia="Times New Roman"/>
          <w:vanish/>
        </w:rPr>
        <w:t>p:FairValueInputsLevel2Memberus-gaap:CommercialMortgageBackedSecuritiesMember2021-12-310000927628us-gaap:FairValueMeasurementsRecurringMemberus-gaap:CommercialMortgageBackedSecuritiesMemberus-gaap:FairValueInputsLevel3Member2021-12-310000927628us-gaap:Fair</w:t>
      </w:r>
      <w:r>
        <w:rPr>
          <w:rFonts w:eastAsia="Times New Roman"/>
          <w:vanish/>
        </w:rPr>
        <w:t>ValueMeasurementsRecurringMemberus-gaap:CommercialMortgageBackedSecuritiesMember2021-12-310000927628us-gaap:FairValueMeasurementsRecurringMemberus-gaap:OtherDebtSecuritiesMemberus-gaap:FairValueInputsLevel1Member2021-12-310000927628us-gaap:FairValueMeasure</w:t>
      </w:r>
      <w:r>
        <w:rPr>
          <w:rFonts w:eastAsia="Times New Roman"/>
          <w:vanish/>
        </w:rPr>
        <w:t>mentsRecurringMemberus-gaap:OtherDebtSecuritiesMemberus-gaap:FairValueInputsLevel2Member2021-12-310000927628us-gaap:FairValueMeasurementsRecurringMemberus-gaap:OtherDebtSecuritiesMemberus-gaap:FairValueInputsLevel3Member2021-12-310000927628us-gaap:FairValu</w:t>
      </w:r>
      <w:r>
        <w:rPr>
          <w:rFonts w:eastAsia="Times New Roman"/>
          <w:vanish/>
        </w:rPr>
        <w:t>eMeasurementsRecurringMemberus-gaap:OtherDebtSecuritiesMember2021-12-310000927628us-gaap:FairValueMeasurementsRecurringMemberus-gaap:FairValueInputsLevel1Member2021-12-310000927628us-gaap:FairValueMeasurementsRecurringMemberus-gaap:FairValueInputsLevel2Mem</w:t>
      </w:r>
      <w:r>
        <w:rPr>
          <w:rFonts w:eastAsia="Times New Roman"/>
          <w:vanish/>
        </w:rPr>
        <w:t>ber2021-12-310000927628us-gaap:FairValueMeasurementsRecurringMemberus-gaap:FairValueInputsLevel3Member2021-12-310000927628us-gaap:FairValueMeasurementsRecurringMember2021-12-310000927628us-gaap:FairValueMeasurementsRecurringMembercof:FairValueInputsLevel1A</w:t>
      </w:r>
      <w:r>
        <w:rPr>
          <w:rFonts w:eastAsia="Times New Roman"/>
          <w:vanish/>
        </w:rPr>
        <w:t>ndLevel2Member2022-06-300000927628us-gaap:FairValueMeasurementsRecurringMembercof:FairValueInputsLevel1AndLevel2Member2022-01-012022-06-300000927628us-gaap:FairValueMeasurementsRecurringMembercof:FairValueInputsLevel1AndLevel2Member2021-12-310000927628us-g</w:t>
      </w:r>
      <w:r>
        <w:rPr>
          <w:rFonts w:eastAsia="Times New Roman"/>
          <w:vanish/>
        </w:rPr>
        <w:t>aap:FairValueMeasurementsRecurringMembercof:FairValueInputsLevel1AndLevel2Member2021-01-012021-12-310000927628us-gaap:FairValueMeasurementsRecurringMemberus-gaap:ResidentialMortgageBackedSecuritiesMemberus-gaap:FairValueInputsLevel3Member2022-03-3100009276</w:t>
      </w:r>
      <w:r>
        <w:rPr>
          <w:rFonts w:eastAsia="Times New Roman"/>
          <w:vanish/>
        </w:rPr>
        <w:t>28us-gaap:FairValueMeasurementsRecurringMemberus-gaap:ResidentialMortgageBackedSecuritiesMemberus-gaap:FairValueInputsLevel3Member2022-04-012022-06-300000927628us-gaap:FairValueMeasurementsRecurringMemberus-gaap:CommercialMortgageBackedSecuritiesMemberus-g</w:t>
      </w:r>
      <w:r>
        <w:rPr>
          <w:rFonts w:eastAsia="Times New Roman"/>
          <w:vanish/>
        </w:rPr>
        <w:t>aap:FairValueInputsLevel3Member2022-03-310000927628us-gaap:FairValueMeasurementsRecurringMemberus-gaap:CommercialMortgageBackedSecuritiesMemberus-gaap:FairValueInputsLevel3Member2022-04-012022-06-300000927628us-gaap:FairValueMeasurementsRecurringMemberus-g</w:t>
      </w:r>
      <w:r>
        <w:rPr>
          <w:rFonts w:eastAsia="Times New Roman"/>
          <w:vanish/>
        </w:rPr>
        <w:t>aap:AvailableforsaleSecuritiesMemberus-gaap:FairValueInputsLevel3Member2022-03-310000927628us-gaap:FairValueMeasurementsRecurringMemberus-gaap:AvailableforsaleSecuritiesMemberus-gaap:FairValueInputsLevel3Member2022-04-012022-06-300000927628us-gaap:FairValu</w:t>
      </w:r>
      <w:r>
        <w:rPr>
          <w:rFonts w:eastAsia="Times New Roman"/>
          <w:vanish/>
        </w:rPr>
        <w:t>eMeasurementsRecurringMemberus-gaap:AvailableforsaleSecuritiesMemberus-gaap:FairValueInputsLevel3Member2022-06-300000927628us-gaap:FairValueMeasurementsRecurringMemberus-gaap:RetainedInterestMemberus-gaap:FairValueInputsLevel3Member2022-03-310000927628us-g</w:t>
      </w:r>
      <w:r>
        <w:rPr>
          <w:rFonts w:eastAsia="Times New Roman"/>
          <w:vanish/>
        </w:rPr>
        <w:t>aap:FairValueMeasurementsRecurringMemberus-gaap:RetainedInterestMemberus-gaap:FairValueInputsLevel3Member2022-04-012022-06-300000927628us-gaap:FairValueMeasurementsRecurringMemberus-gaap:RetainedInterestMemberus-gaap:FairValueInputsLevel3Member2022-06-3000</w:t>
      </w:r>
      <w:r>
        <w:rPr>
          <w:rFonts w:eastAsia="Times New Roman"/>
          <w:vanish/>
        </w:rPr>
        <w:t>00927628us-gaap:FairValueMeasurementsRecurringMemberus-gaap:FairValueInputsLevel3Member2022-03-310000927628us-gaap:FairValueMeasurementsRecurringMemberus-gaap:FairValueInputsLevel3Member2022-04-012022-06-300000927628us-gaap:FairValueMeasurementsRecurringMe</w:t>
      </w:r>
      <w:r>
        <w:rPr>
          <w:rFonts w:eastAsia="Times New Roman"/>
          <w:vanish/>
        </w:rPr>
        <w:t>mbercof:NetDerivativeAssetsLiabilitiesMemberus-gaap:FairValueInputsLevel3Member2022-04-012022-06-300000927628us-gaap:FairValueMeasurementsRecurringMemberus-gaap:ResidentialMortgageBackedSecuritiesMemberus-gaap:FairValueInputsLevel3Member2022-01-012022-06-3</w:t>
      </w:r>
      <w:r>
        <w:rPr>
          <w:rFonts w:eastAsia="Times New Roman"/>
          <w:vanish/>
        </w:rPr>
        <w:t>00000927628us-gaap:FairValueMeasurementsRecurringMemberus-gaap:CommercialMortgageBackedSecuritiesMemberus-gaap:FairValueInputsLevel3Member2022-01-012022-06-300000927628us-gaap:FairValueMeasurementsRecurringMemberus-gaap:AvailableforsaleSecuritiesMemberus-g</w:t>
      </w:r>
      <w:r>
        <w:rPr>
          <w:rFonts w:eastAsia="Times New Roman"/>
          <w:vanish/>
        </w:rPr>
        <w:t>aap:FairValueInputsLevel3Member2021-12-310000927628us-gaap:FairValueMeasurementsRecurringMemberus-gaap:AvailableforsaleSecuritiesMemberus-gaap:FairValueInputsLevel3Member2022-01-012022-06-300000927628us-gaap:FairValueMeasurementsRecurringMemberus-gaap:Reta</w:t>
      </w:r>
      <w:r>
        <w:rPr>
          <w:rFonts w:eastAsia="Times New Roman"/>
          <w:vanish/>
        </w:rPr>
        <w:t>inedInterestMemberus-gaap:FairValueInputsLevel3Member2021-12-310000927628us-gaap:FairValueMeasurementsRecurringMemberus-gaap:RetainedInterestMemberus-gaap:FairValueInputsLevel3Member2022-01-012022-06-300000927628us-gaap:FairValueMeasurementsRecurringMember</w:t>
      </w:r>
      <w:r>
        <w:rPr>
          <w:rFonts w:eastAsia="Times New Roman"/>
          <w:vanish/>
        </w:rPr>
        <w:t>us-gaap:FairValueInputsLevel3Member2022-01-012022-06-300000927628us-gaap:FairValueMeasurementsRecurringMembercof:NetDerivativeAssetsLiabilitiesMemberus-gaap:FairValueInputsLevel3Member2022-01-012022-06-300000927628us-gaap:FairValueMeasurementsRecurringMemb</w:t>
      </w:r>
      <w:r>
        <w:rPr>
          <w:rFonts w:eastAsia="Times New Roman"/>
          <w:vanish/>
        </w:rPr>
        <w:t>erus-gaap:ResidentialMortgageBackedSecuritiesMemberus-gaap:FairValueInputsLevel3Member2021-03-310000927628us-gaap:FairValueMeasurementsRecurringMemberus-gaap:ResidentialMortgageBackedSecuritiesMemberus-gaap:FairValueInputsLevel3Member2021-04-012021-06-3000</w:t>
      </w:r>
      <w:r>
        <w:rPr>
          <w:rFonts w:eastAsia="Times New Roman"/>
          <w:vanish/>
        </w:rPr>
        <w:t>00927628us-gaap:FairValueMeasurementsRecurringMemberus-gaap:ResidentialMortgageBackedSecuritiesMemberus-gaap:FairValueInputsLevel3Member2021-06-300000927628us-gaap:FairValueMeasurementsRecurringMemberus-gaap:CommercialMortgageBackedSecuritiesMemberus-gaap:</w:t>
      </w:r>
      <w:r>
        <w:rPr>
          <w:rFonts w:eastAsia="Times New Roman"/>
          <w:vanish/>
        </w:rPr>
        <w:t>FairValueInputsLevel3Member2021-03-310000927628us-gaap:FairValueMeasurementsRecurringMemberus-gaap:CommercialMortgageBackedSecuritiesMemberus-gaap:FairValueInputsLevel3Member2021-04-012021-06-300000927628us-gaap:FairValueMeasurementsRecurringMemberus-gaap:</w:t>
      </w:r>
      <w:r>
        <w:rPr>
          <w:rFonts w:eastAsia="Times New Roman"/>
          <w:vanish/>
        </w:rPr>
        <w:t>CommercialMortgageBackedSecuritiesMemberus-gaap:FairValueInputsLevel3Member2021-06-300000927628us-gaap:FairValueMeasurementsRecurringMemberus-gaap:AvailableforsaleSecuritiesMemberus-gaap:FairValueInputsLevel3Member2021-03-310000927628us-gaap:FairValueMeasu</w:t>
      </w:r>
      <w:r>
        <w:rPr>
          <w:rFonts w:eastAsia="Times New Roman"/>
          <w:vanish/>
        </w:rPr>
        <w:t>rementsRecurringMemberus-gaap:AvailableforsaleSecuritiesMemberus-gaap:FairValueInputsLevel3Member2021-04-012021-06-300000927628us-gaap:FairValueMeasurementsRecurringMemberus-gaap:AvailableforsaleSecuritiesMemberus-gaap:FairValueInputsLevel3Member2021-06-30</w:t>
      </w:r>
      <w:r>
        <w:rPr>
          <w:rFonts w:eastAsia="Times New Roman"/>
          <w:vanish/>
        </w:rPr>
        <w:t>0000927628us-gaap:FairValueMeasurementsRecurringMemberus-gaap:RetainedInterestMemberus-gaap:FairValueInputsLevel3Member2021-03-310000927628us-gaap:FairValueMeasurementsRecurringMemberus-gaap:RetainedInterestMemberus-gaap:FairValueInputsLevel3Member2021-04-</w:t>
      </w:r>
      <w:r>
        <w:rPr>
          <w:rFonts w:eastAsia="Times New Roman"/>
          <w:vanish/>
        </w:rPr>
        <w:t>012021-06-300000927628us-gaap:FairValueMeasurementsRecurringMemberus-gaap:RetainedInterestMemberus-gaap:FairValueInputsLevel3Member2021-06-300000927628us-gaap:FairValueMeasurementsRecurringMemberus-gaap:FairValueInputsLevel3Member2021-03-310000927628us-gaa</w:t>
      </w:r>
      <w:r>
        <w:rPr>
          <w:rFonts w:eastAsia="Times New Roman"/>
          <w:vanish/>
        </w:rPr>
        <w:t>p:FairValueMeasurementsRecurringMemberus-gaap:FairValueInputsLevel3Member2021-04-012021-06-300000927628us-gaap:FairValueMeasurementsRecurringMemberus-gaap:FairValueInputsLevel3Member2021-06-300000927628us-gaap:FairValueMeasurementsRecurringMembercof:NetDer</w:t>
      </w:r>
      <w:r>
        <w:rPr>
          <w:rFonts w:eastAsia="Times New Roman"/>
          <w:vanish/>
        </w:rPr>
        <w:t>ivativeAssetsLiabilitiesMemberus-gaap:FairValueInputsLevel3Member2021-04-012021-06-300000927628us-gaap:FairValueMeasurementsRecurringMemberus-gaap:ResidentialMortgageBackedSecuritiesMemberus-gaap:FairValueInputsLevel3Member2020-12-310000927628us-gaap:FairV</w:t>
      </w:r>
      <w:r>
        <w:rPr>
          <w:rFonts w:eastAsia="Times New Roman"/>
          <w:vanish/>
        </w:rPr>
        <w:t>alueMeasurementsRecurringMemberus-gaap:ResidentialMortgageBackedSecuritiesMemberus-gaap:FairValueInputsLevel3Member2021-01-012021-06-300000927628us-gaap:FairValueMeasurementsRecurringMemberus-gaap:CommercialMortgageBackedSecuritiesMemberus-gaap:FairValueIn</w:t>
      </w:r>
      <w:r>
        <w:rPr>
          <w:rFonts w:eastAsia="Times New Roman"/>
          <w:vanish/>
        </w:rPr>
        <w:t>putsLevel3Member2020-12-310000927628us-gaap:FairValueMeasurementsRecurringMemberus-gaap:CommercialMortgageBackedSecuritiesMemberus-gaap:FairValueInputsLevel3Member2021-01-012021-06-300000927628us-gaap:FairValueMeasurementsRecurringMemberus-gaap:Availablefo</w:t>
      </w:r>
      <w:r>
        <w:rPr>
          <w:rFonts w:eastAsia="Times New Roman"/>
          <w:vanish/>
        </w:rPr>
        <w:t>rsaleSecuritiesMemberus-gaap:FairValueInputsLevel3Member2020-12-310000927628us-gaap:FairValueMeasurementsRecurringMemberus-gaap:AvailableforsaleSecuritiesMemberus-gaap:FairValueInputsLevel3Member2021-01-012021-06-300000927628us-gaap:FairValueMeasurementsRe</w:t>
      </w:r>
      <w:r>
        <w:rPr>
          <w:rFonts w:eastAsia="Times New Roman"/>
          <w:vanish/>
        </w:rPr>
        <w:t>curringMemberus-gaap:RetainedInterestMemberus-gaap:FairValueInputsLevel3Member2020-12-310000927628us-gaap:FairValueMeasurementsRecurringMemberus-gaap:RetainedInterestMemberus-gaap:FairValueInputsLevel3Member2021-01-012021-06-300000927628us-gaap:FairValueMe</w:t>
      </w:r>
      <w:r>
        <w:rPr>
          <w:rFonts w:eastAsia="Times New Roman"/>
          <w:vanish/>
        </w:rPr>
        <w:t>asurementsRecurringMemberus-gaap:FairValueInputsLevel3Member2020-12-310000927628us-gaap:FairValueMeasurementsRecurringMemberus-gaap:FairValueInputsLevel3Member2021-01-012021-06-300000927628us-gaap:FairValueMeasurementsRecurringMembercof:NetDerivativeAssets</w:t>
      </w:r>
      <w:r>
        <w:rPr>
          <w:rFonts w:eastAsia="Times New Roman"/>
          <w:vanish/>
        </w:rPr>
        <w:t>LiabilitiesMemberus-gaap:FairValueInputsLevel3Member2021-01-012021-06-300000927628us-gaap:FairValueMeasurementsRecurringMembersrt:MinimumMemberus-gaap:ValuationTechniqueDiscountedCashFlowMemberus-gaap:ResidentialMortgageBackedSecuritiesMembercof:Measuremen</w:t>
      </w:r>
      <w:r>
        <w:rPr>
          <w:rFonts w:eastAsia="Times New Roman"/>
          <w:vanish/>
        </w:rPr>
        <w:t>tInputYieldMemberus-gaap:FairValueInputsLevel3Member2022-06-300000927628us-gaap:FairValueMeasurementsRecurringMembersrt:MaximumMemberus-gaap:ValuationTechniqueDiscountedCashFlowMemberus-gaap:ResidentialMortgageBackedSecuritiesMembercof:MeasurementInputYiel</w:t>
      </w:r>
      <w:r>
        <w:rPr>
          <w:rFonts w:eastAsia="Times New Roman"/>
          <w:vanish/>
        </w:rPr>
        <w:t>dMemberus-gaap:FairValueInputsLevel3Member2022-06-300000927628us-gaap:FairValueMeasurementsRecurringMemberus-gaap:MeasurementInputConstantPrepaymentRateMembersrt:MinimumMemberus-gaap:ValuationTechniqueDiscountedCashFlowMemberus-gaap:ResidentialMortgageBack</w:t>
      </w:r>
      <w:r>
        <w:rPr>
          <w:rFonts w:eastAsia="Times New Roman"/>
          <w:vanish/>
        </w:rPr>
        <w:t>edSecuritiesMemberus-gaap:FairValueInputsLevel3Member2022-06-300000927628us-gaap:FairValueMeasurementsRecurringMemberus-gaap:MeasurementInputConstantPrepaymentRateMembersrt:MaximumMemberus-gaap:ValuationTechniqueDiscountedCashFlowMemberus-gaap:ResidentialM</w:t>
      </w:r>
      <w:r>
        <w:rPr>
          <w:rFonts w:eastAsia="Times New Roman"/>
          <w:vanish/>
        </w:rPr>
        <w:t>ortgageBackedSecuritiesMemberus-gaap:FairValueInputsLevel3Member2022-06-300000927628us-gaap:FairValueMeasurementsRecurringMembersrt:MinimumMemberus-gaap:ValuationTechniqueDiscountedCashFlowMemberus-gaap:ResidentialMortgageBackedSecuritiesMemberus-gaap:Meas</w:t>
      </w:r>
      <w:r>
        <w:rPr>
          <w:rFonts w:eastAsia="Times New Roman"/>
          <w:vanish/>
        </w:rPr>
        <w:t>urementInputDefaultRateMemberus-gaap:FairValueInputsLevel3Member2022-06-300000927628us-gaap:FairValueMeasurementsRecurringMembersrt:MaximumMemberus-gaap:ValuationTechniqueDiscountedCashFlowMemberus-gaap:ResidentialMortgageBackedSecuritiesMemberus-gaap:Meas</w:t>
      </w:r>
      <w:r>
        <w:rPr>
          <w:rFonts w:eastAsia="Times New Roman"/>
          <w:vanish/>
        </w:rPr>
        <w:t>urementInputDefaultRateMemberus-gaap:FairValueInputsLevel3Member2022-06-300000927628us-gaap:FairValueMeasurementsRecurringMembersrt:MinimumMemberus-gaap:ValuationTechniqueDiscountedCashFlowMemberus-gaap:ResidentialMortgageBackedSecuritiesMemberus-gaap:Meas</w:t>
      </w:r>
      <w:r>
        <w:rPr>
          <w:rFonts w:eastAsia="Times New Roman"/>
          <w:vanish/>
        </w:rPr>
        <w:t>urementInputLossSeverityMemberus-gaap:FairValueInputsLevel3Member2022-06-300000927628us-gaap:FairValueMeasurementsRecurringMembersrt:MaximumMemberus-gaap:ValuationTechniqueDiscountedCashFlowMemberus-gaap:ResidentialMortgageBackedSecuritiesMemberus-gaap:Mea</w:t>
      </w:r>
      <w:r>
        <w:rPr>
          <w:rFonts w:eastAsia="Times New Roman"/>
          <w:vanish/>
        </w:rPr>
        <w:t>surementInputLossSeverityMemberus-gaap:FairValueInputsLevel3Member2022-06-300000927628us-gaap:FairValueMeasurementsRecurringMemberus-gaap:ValuationTechniqueDiscountedCashFlowMemberus-gaap:ResidentialMortgageBackedSecuritiesMembercof:MeasurementInputYieldMe</w:t>
      </w:r>
      <w:r>
        <w:rPr>
          <w:rFonts w:eastAsia="Times New Roman"/>
          <w:vanish/>
        </w:rPr>
        <w:t>mbersrt:WeightedAverageMemberus-gaap:FairValueInputsLevel3Member2022-06-300000927628us-gaap:FairValueMeasurementsRecurringMemberus-gaap:MeasurementInputConstantPrepaymentRateMemberus-gaap:ValuationTechniqueDiscountedCashFlowMemberus-gaap:ResidentialMortgag</w:t>
      </w:r>
      <w:r>
        <w:rPr>
          <w:rFonts w:eastAsia="Times New Roman"/>
          <w:vanish/>
        </w:rPr>
        <w:t>eBackedSecuritiesMembersrt:WeightedAverageMemberus-gaap:FairValueInputsLevel3Member2022-06-300000927628us-gaap:FairValueMeasurementsRecurringMemberus-gaap:ValuationTechniqueDiscountedCashFlowMemberus-gaap:ResidentialMortgageBackedSecuritiesMemberus-gaap:Me</w:t>
      </w:r>
      <w:r>
        <w:rPr>
          <w:rFonts w:eastAsia="Times New Roman"/>
          <w:vanish/>
        </w:rPr>
        <w:t>asurementInputDefaultRateMembersrt:WeightedAverageMemberus-gaap:FairValueInputsLevel3Member2022-06-300000927628us-gaap:FairValueMeasurementsRecurringMemberus-gaap:ValuationTechniqueDiscountedCashFlowMemberus-gaap:ResidentialMortgageBackedSecuritiesMemberus</w:t>
      </w:r>
      <w:r>
        <w:rPr>
          <w:rFonts w:eastAsia="Times New Roman"/>
          <w:vanish/>
        </w:rPr>
        <w:t>-gaap:MeasurementInputLossSeverityMembersrt:WeightedAverageMemberus-gaap:FairValueInputsLevel3Member2022-06-300000927628us-gaap:FairValueMeasurementsRecurringMembersrt:MinimumMemberus-gaap:ValuationTechniqueDiscountedCashFlowMemberus-gaap:CommercialMortgag</w:t>
      </w:r>
      <w:r>
        <w:rPr>
          <w:rFonts w:eastAsia="Times New Roman"/>
          <w:vanish/>
        </w:rPr>
        <w:t>eBackedSecuritiesMembercof:MeasurementInputYieldMemberus-gaap:FairValueInputsLevel3Member2022-06-300000927628us-gaap:FairValueMeasurementsRecurringMembersrt:MaximumMemberus-gaap:ValuationTechniqueDiscountedCashFlowMemberus-gaap:CommercialMortgageBackedSecu</w:t>
      </w:r>
      <w:r>
        <w:rPr>
          <w:rFonts w:eastAsia="Times New Roman"/>
          <w:vanish/>
        </w:rPr>
        <w:t>ritiesMembercof:MeasurementInputYieldMemberus-gaap:FairValueInputsLevel3Member2022-06-300000927628us-gaap:FairValueMeasurementsRecurringMemberus-gaap:ValuationTechniqueDiscountedCashFlowMemberus-gaap:CommercialMortgageBackedSecuritiesMembercof:MeasurementI</w:t>
      </w:r>
      <w:r>
        <w:rPr>
          <w:rFonts w:eastAsia="Times New Roman"/>
          <w:vanish/>
        </w:rPr>
        <w:t>nputYieldMembersrt:WeightedAverageMemberus-gaap:FairValueInputsLevel3Member2022-06-300000927628us-gaap:FairValueMeasurementsRecurringMembersrt:MinimumMemberus-gaap:ValuationTechniqueDiscountedCashFlowMembercof:MeasurementInputLifeofReceivablesMemberus-gaap</w:t>
      </w:r>
      <w:r>
        <w:rPr>
          <w:rFonts w:eastAsia="Times New Roman"/>
          <w:vanish/>
        </w:rPr>
        <w:t>:FairValueInputsLevel3Member2022-01-012022-06-300000927628us-gaap:FairValueMeasurementsRecurringMembersrt:MaximumMemberus-gaap:ValuationTechniqueDiscountedCashFlowMembercof:MeasurementInputLifeofReceivablesMemberus-gaap:FairValueInputsLevel3Member2022-01-0</w:t>
      </w:r>
      <w:r>
        <w:rPr>
          <w:rFonts w:eastAsia="Times New Roman"/>
          <w:vanish/>
        </w:rPr>
        <w:t>12022-06-300000927628us-gaap:FairValueMeasurementsRecurringMemberus-gaap:MeasurementInputConstantPrepaymentRateMembersrt:MinimumMemberus-gaap:ValuationTechniqueDiscountedCashFlowMemberus-gaap:FairValueInputsLevel3Member2022-06-300000927628us-gaap:FairValue</w:t>
      </w:r>
      <w:r>
        <w:rPr>
          <w:rFonts w:eastAsia="Times New Roman"/>
          <w:vanish/>
        </w:rPr>
        <w:t>MeasurementsRecurringMemberus-gaap:MeasurementInputConstantPrepaymentRateMembersrt:MaximumMemberus-gaap:ValuationTechniqueDiscountedCashFlowMemberus-gaap:FairValueInputsLevel3Member2022-06-300000927628us-gaap:FairValueMeasurementsRecurringMembersrt:Minimum</w:t>
      </w:r>
      <w:r>
        <w:rPr>
          <w:rFonts w:eastAsia="Times New Roman"/>
          <w:vanish/>
        </w:rPr>
        <w:t>Memberus-gaap:MeasurementInputDiscountRateMemberus-gaap:ValuationTechniqueDiscountedCashFlowMemberus-gaap:FairValueInputsLevel3Member2022-06-300000927628us-gaap:FairValueMeasurementsRecurringMembersrt:MaximumMemberus-gaap:MeasurementInputDiscountRateMember</w:t>
      </w:r>
      <w:r>
        <w:rPr>
          <w:rFonts w:eastAsia="Times New Roman"/>
          <w:vanish/>
        </w:rPr>
        <w:t>us-gaap:ValuationTechniqueDiscountedCashFlowMemberus-gaap:FairValueInputsLevel3Member2022-06-300000927628us-gaap:FairValueMeasurementsRecurringMembersrt:MinimumMemberus-gaap:ValuationTechniqueDiscountedCashFlowMemberus-gaap:MeasurementInputDefaultRateMembe</w:t>
      </w:r>
      <w:r>
        <w:rPr>
          <w:rFonts w:eastAsia="Times New Roman"/>
          <w:vanish/>
        </w:rPr>
        <w:t>rus-gaap:FairValueInputsLevel3Member2022-06-300000927628us-gaap:FairValueMeasurementsRecurringMembersrt:MaximumMemberus-gaap:ValuationTechniqueDiscountedCashFlowMemberus-gaap:MeasurementInputDefaultRateMemberus-gaap:FairValueInputsLevel3Member2022-06-30000</w:t>
      </w:r>
      <w:r>
        <w:rPr>
          <w:rFonts w:eastAsia="Times New Roman"/>
          <w:vanish/>
        </w:rPr>
        <w:t>0927628us-gaap:FairValueMeasurementsRecurringMembersrt:MinimumMemberus-gaap:ValuationTechniqueDiscountedCashFlowMemberus-gaap:MeasurementInputLossSeverityMemberus-gaap:FairValueInputsLevel3Member2022-06-300000927628us-gaap:FairValueMeasurementsRecurringMem</w:t>
      </w:r>
      <w:r>
        <w:rPr>
          <w:rFonts w:eastAsia="Times New Roman"/>
          <w:vanish/>
        </w:rPr>
        <w:t>bersrt:MaximumMemberus-gaap:ValuationTechniqueDiscountedCashFlowMemberus-gaap:MeasurementInputLossSeverityMemberus-gaap:FairValueInputsLevel3Member2022-06-300000927628us-gaap:FairValueMeasurementsRecurringMembersrt:MaximumMembercof:MeasurementInputSwapRate</w:t>
      </w:r>
      <w:r>
        <w:rPr>
          <w:rFonts w:eastAsia="Times New Roman"/>
          <w:vanish/>
        </w:rPr>
        <w:t>sMemberus-gaap:ValuationTechniqueDiscountedCashFlowMemberus-gaap:FairValueInputsLevel3Member2022-06-300000927628us-gaap:FairValueMeasurementsRecurringMembersrt:MinimumMembercof:MeasurementInputSwapRatesMemberus-gaap:ValuationTechniqueDiscountedCashFlowMemb</w:t>
      </w:r>
      <w:r>
        <w:rPr>
          <w:rFonts w:eastAsia="Times New Roman"/>
          <w:vanish/>
        </w:rPr>
        <w:t>erus-gaap:FairValueInputsLevel3Member2022-06-300000927628us-gaap:FairValueMeasurementsRecurringMembercof:MeasurementInputSwapRatesMemberus-gaap:ValuationTechniqueDiscountedCashFlowMembersrt:WeightedAverageMemberus-gaap:FairValueInputsLevel3Member2022-06-30</w:t>
      </w:r>
      <w:r>
        <w:rPr>
          <w:rFonts w:eastAsia="Times New Roman"/>
          <w:vanish/>
        </w:rPr>
        <w:t>0000927628us-gaap:FairValueMeasurementsRecurringMembersrt:MinimumMemberus-gaap:ValuationTechniqueDiscountedCashFlowMemberus-gaap:ResidentialMortgageBackedSecuritiesMembercof:MeasurementInputYieldMemberus-gaap:FairValueInputsLevel3Member2021-12-310000927628</w:t>
      </w:r>
      <w:r>
        <w:rPr>
          <w:rFonts w:eastAsia="Times New Roman"/>
          <w:vanish/>
        </w:rPr>
        <w:t>us-gaap:FairValueMeasurementsRecurringMembersrt:MaximumMemberus-gaap:ValuationTechniqueDiscountedCashFlowMemberus-gaap:ResidentialMortgageBackedSecuritiesMembercof:MeasurementInputYieldMemberus-gaap:FairValueInputsLevel3Member2021-12-310000927628us-gaap:Fa</w:t>
      </w:r>
      <w:r>
        <w:rPr>
          <w:rFonts w:eastAsia="Times New Roman"/>
          <w:vanish/>
        </w:rPr>
        <w:t>irValueMeasurementsRecurringMemberus-gaap:MeasurementInputConstantPrepaymentRateMembersrt:MinimumMemberus-gaap:ValuationTechniqueDiscountedCashFlowMemberus-gaap:ResidentialMortgageBackedSecuritiesMemberus-gaap:FairValueInputsLevel3Member2021-12-31000092762</w:t>
      </w:r>
      <w:r>
        <w:rPr>
          <w:rFonts w:eastAsia="Times New Roman"/>
          <w:vanish/>
        </w:rPr>
        <w:t>8us-gaap:FairValueMeasurementsRecurringMemberus-gaap:MeasurementInputConstantPrepaymentRateMembersrt:MaximumMemberus-gaap:ValuationTechniqueDiscountedCashFlowMemberus-gaap:ResidentialMortgageBackedSecuritiesMemberus-gaap:FairValueInputsLevel3Member2021-12-</w:t>
      </w:r>
      <w:r>
        <w:rPr>
          <w:rFonts w:eastAsia="Times New Roman"/>
          <w:vanish/>
        </w:rPr>
        <w:t>310000927628us-gaap:FairValueMeasurementsRecurringMembersrt:MinimumMemberus-gaap:ValuationTechniqueDiscountedCashFlowMemberus-gaap:ResidentialMortgageBackedSecuritiesMemberus-gaap:MeasurementInputDefaultRateMemberus-gaap:FairValueInputsLevel3Member2021-12-</w:t>
      </w:r>
      <w:r>
        <w:rPr>
          <w:rFonts w:eastAsia="Times New Roman"/>
          <w:vanish/>
        </w:rPr>
        <w:t>310000927628us-gaap:FairValueMeasurementsRecurringMembersrt:MaximumMemberus-gaap:ValuationTechniqueDiscountedCashFlowMemberus-gaap:ResidentialMortgageBackedSecuritiesMemberus-gaap:MeasurementInputDefaultRateMemberus-gaap:FairValueInputsLevel3Member2021-12-</w:t>
      </w:r>
      <w:r>
        <w:rPr>
          <w:rFonts w:eastAsia="Times New Roman"/>
          <w:vanish/>
        </w:rPr>
        <w:t>310000927628us-gaap:FairValueMeasurementsRecurringMembersrt:MinimumMemberus-gaap:ValuationTechniqueDiscountedCashFlowMemberus-gaap:ResidentialMortgageBackedSecuritiesMemberus-gaap:MeasurementInputLossSeverityMemberus-gaap:FairValueInputsLevel3Member2021-12</w:t>
      </w:r>
      <w:r>
        <w:rPr>
          <w:rFonts w:eastAsia="Times New Roman"/>
          <w:vanish/>
        </w:rPr>
        <w:t>-310000927628us-gaap:FairValueMeasurementsRecurringMembersrt:MaximumMemberus-gaap:ValuationTechniqueDiscountedCashFlowMemberus-gaap:ResidentialMortgageBackedSecuritiesMemberus-gaap:MeasurementInputLossSeverityMemberus-gaap:FairValueInputsLevel3Member2021-1</w:t>
      </w:r>
      <w:r>
        <w:rPr>
          <w:rFonts w:eastAsia="Times New Roman"/>
          <w:vanish/>
        </w:rPr>
        <w:t>2-310000927628us-gaap:FairValueMeasurementsRecurringMemberus-gaap:ValuationTechniqueDiscountedCashFlowMemberus-gaap:ResidentialMortgageBackedSecuritiesMembercof:MeasurementInputYieldMembersrt:WeightedAverageMemberus-gaap:FairValueInputsLevel3Member2021-12-</w:t>
      </w:r>
      <w:r>
        <w:rPr>
          <w:rFonts w:eastAsia="Times New Roman"/>
          <w:vanish/>
        </w:rPr>
        <w:t>310000927628us-gaap:FairValueMeasurementsRecurringMemberus-gaap:MeasurementInputConstantPrepaymentRateMemberus-gaap:ValuationTechniqueDiscountedCashFlowMemberus-gaap:ResidentialMortgageBackedSecuritiesMembersrt:WeightedAverageMemberus-gaap:FairValueInputsL</w:t>
      </w:r>
      <w:r>
        <w:rPr>
          <w:rFonts w:eastAsia="Times New Roman"/>
          <w:vanish/>
        </w:rPr>
        <w:t>evel3Member2021-12-310000927628us-gaap:FairValueMeasurementsRecurringMemberus-gaap:ValuationTechniqueDiscountedCashFlowMemberus-gaap:ResidentialMortgageBackedSecuritiesMemberus-gaap:MeasurementInputDefaultRateMembersrt:WeightedAverageMemberus-gaap:FairValu</w:t>
      </w:r>
      <w:r>
        <w:rPr>
          <w:rFonts w:eastAsia="Times New Roman"/>
          <w:vanish/>
        </w:rPr>
        <w:t>eInputsLevel3Member2021-12-310000927628us-gaap:FairValueMeasurementsRecurringMemberus-gaap:ValuationTechniqueDiscountedCashFlowMemberus-gaap:ResidentialMortgageBackedSecuritiesMemberus-gaap:MeasurementInputLossSeverityMembersrt:WeightedAverageMemberus-gaap</w:t>
      </w:r>
      <w:r>
        <w:rPr>
          <w:rFonts w:eastAsia="Times New Roman"/>
          <w:vanish/>
        </w:rPr>
        <w:t>:FairValueInputsLevel3Member2021-12-310000927628us-gaap:FairValueMeasurementsRecurringMembersrt:MinimumMemberus-gaap:ValuationTechniqueDiscountedCashFlowMemberus-gaap:CommercialMortgageBackedSecuritiesMembercof:MeasurementInputYieldMemberus-gaap:FairValueI</w:t>
      </w:r>
      <w:r>
        <w:rPr>
          <w:rFonts w:eastAsia="Times New Roman"/>
          <w:vanish/>
        </w:rPr>
        <w:t>nputsLevel3Member2021-12-310000927628us-gaap:FairValueMeasurementsRecurringMembersrt:MaximumMemberus-gaap:ValuationTechniqueDiscountedCashFlowMemberus-gaap:CommercialMortgageBackedSecuritiesMembercof:MeasurementInputYieldMemberus-gaap:FairValueInputsLevel3</w:t>
      </w:r>
      <w:r>
        <w:rPr>
          <w:rFonts w:eastAsia="Times New Roman"/>
          <w:vanish/>
        </w:rPr>
        <w:t>Member2021-12-310000927628us-gaap:FairValueMeasurementsRecurringMemberus-gaap:ValuationTechniqueDiscountedCashFlowMemberus-gaap:CommercialMortgageBackedSecuritiesMembercof:MeasurementInputYieldMembersrt:WeightedAverageMemberus-gaap:FairValueInputsLevel3Mem</w:t>
      </w:r>
      <w:r>
        <w:rPr>
          <w:rFonts w:eastAsia="Times New Roman"/>
          <w:vanish/>
        </w:rPr>
        <w:t>ber2021-12-310000927628us-gaap:FairValueMeasurementsRecurringMembersrt:MinimumMemberus-gaap:ValuationTechniqueDiscountedCashFlowMembercof:MeasurementInputLifeofReceivablesMemberus-gaap:FairValueInputsLevel3Member2021-01-012021-12-310000927628us-gaap:FairVa</w:t>
      </w:r>
      <w:r>
        <w:rPr>
          <w:rFonts w:eastAsia="Times New Roman"/>
          <w:vanish/>
        </w:rPr>
        <w:t>lueMeasurementsRecurringMembersrt:MaximumMemberus-gaap:ValuationTechniqueDiscountedCashFlowMembercof:MeasurementInputLifeofReceivablesMemberus-gaap:FairValueInputsLevel3Member2021-01-012021-12-310000927628us-gaap:FairValueMeasurementsRecurringMemberus-gaap</w:t>
      </w:r>
      <w:r>
        <w:rPr>
          <w:rFonts w:eastAsia="Times New Roman"/>
          <w:vanish/>
        </w:rPr>
        <w:t>:MeasurementInputConstantPrepaymentRateMembersrt:MinimumMemberus-gaap:ValuationTechniqueDiscountedCashFlowMemberus-gaap:FairValueInputsLevel3Member2021-12-310000927628us-gaap:FairValueMeasurementsRecurringMemberus-gaap:MeasurementInputConstantPrepaymentRat</w:t>
      </w:r>
      <w:r>
        <w:rPr>
          <w:rFonts w:eastAsia="Times New Roman"/>
          <w:vanish/>
        </w:rPr>
        <w:t>eMembersrt:MaximumMemberus-gaap:ValuationTechniqueDiscountedCashFlowMemberus-gaap:FairValueInputsLevel3Member2021-12-310000927628us-gaap:FairValueMeasurementsRecurringMembersrt:MinimumMemberus-gaap:MeasurementInputDiscountRateMemberus-gaap:ValuationTechniq</w:t>
      </w:r>
      <w:r>
        <w:rPr>
          <w:rFonts w:eastAsia="Times New Roman"/>
          <w:vanish/>
        </w:rPr>
        <w:t>ueDiscountedCashFlowMemberus-gaap:FairValueInputsLevel3Member2021-12-310000927628us-gaap:FairValueMeasurementsRecurringMembersrt:MaximumMemberus-gaap:MeasurementInputDiscountRateMemberus-gaap:ValuationTechniqueDiscountedCashFlowMemberus-gaap:FairValueInput</w:t>
      </w:r>
      <w:r>
        <w:rPr>
          <w:rFonts w:eastAsia="Times New Roman"/>
          <w:vanish/>
        </w:rPr>
        <w:t>sLevel3Member2021-12-310000927628us-gaap:FairValueMeasurementsRecurringMembersrt:MinimumMemberus-gaap:ValuationTechniqueDiscountedCashFlowMemberus-gaap:MeasurementInputDefaultRateMemberus-gaap:FairValueInputsLevel3Member2021-12-310000927628us-gaap:FairValu</w:t>
      </w:r>
      <w:r>
        <w:rPr>
          <w:rFonts w:eastAsia="Times New Roman"/>
          <w:vanish/>
        </w:rPr>
        <w:t>eMeasurementsRecurringMembersrt:MaximumMemberus-gaap:ValuationTechniqueDiscountedCashFlowMemberus-gaap:MeasurementInputDefaultRateMemberus-gaap:FairValueInputsLevel3Member2021-12-310000927628us-gaap:FairValueMeasurementsRecurringMembersrt:MinimumMemberus-g</w:t>
      </w:r>
      <w:r>
        <w:rPr>
          <w:rFonts w:eastAsia="Times New Roman"/>
          <w:vanish/>
        </w:rPr>
        <w:t>aap:ValuationTechniqueDiscountedCashFlowMemberus-gaap:MeasurementInputLossSeverityMemberus-gaap:FairValueInputsLevel3Member2021-12-310000927628us-gaap:FairValueMeasurementsRecurringMembersrt:MaximumMemberus-gaap:ValuationTechniqueDiscountedCashFlowMemberus</w:t>
      </w:r>
      <w:r>
        <w:rPr>
          <w:rFonts w:eastAsia="Times New Roman"/>
          <w:vanish/>
        </w:rPr>
        <w:t>-gaap:MeasurementInputLossSeverityMemberus-gaap:FairValueInputsLevel3Member2021-12-310000927628us-gaap:FairValueMeasurementsRecurringMembersrt:MinimumMembercof:MeasurementInputSwapRatesMemberus-gaap:ValuationTechniqueDiscountedCashFlowMemberus-gaap:FairVal</w:t>
      </w:r>
      <w:r>
        <w:rPr>
          <w:rFonts w:eastAsia="Times New Roman"/>
          <w:vanish/>
        </w:rPr>
        <w:t>ueInputsLevel3Member2021-12-310000927628us-gaap:FairValueMeasurementsRecurringMembersrt:MaximumMembercof:MeasurementInputSwapRatesMemberus-gaap:ValuationTechniqueDiscountedCashFlowMemberus-gaap:FairValueInputsLevel3Member2021-12-310000927628us-gaap:FairVal</w:t>
      </w:r>
      <w:r>
        <w:rPr>
          <w:rFonts w:eastAsia="Times New Roman"/>
          <w:vanish/>
        </w:rPr>
        <w:t>ueMeasurementsRecurringMembercof:MeasurementInputSwapRatesMemberus-gaap:ValuationTechniqueDiscountedCashFlowMembersrt:WeightedAverageMemberus-gaap:FairValueInputsLevel3Member2021-12-310000927628us-gaap:FairValueMeasurementsNonrecurringMemberus-gaap:FairVal</w:t>
      </w:r>
      <w:r>
        <w:rPr>
          <w:rFonts w:eastAsia="Times New Roman"/>
          <w:vanish/>
        </w:rPr>
        <w:t>ueInputsLevel2Member2022-06-300000927628us-gaap:FairValueMeasurementsNonrecurringMemberus-gaap:FairValueInputsLevel3Member2022-06-300000927628us-gaap:FairValueMeasurementsNonrecurringMember2022-06-300000927628us-gaap:FairValueMeasurementsNonrecurringMember</w:t>
      </w:r>
      <w:r>
        <w:rPr>
          <w:rFonts w:eastAsia="Times New Roman"/>
          <w:vanish/>
        </w:rPr>
        <w:t>us-gaap:FairValueInputsLevel2Member2021-12-310000927628us-gaap:FairValueMeasurementsNonrecurringMemberus-gaap:FairValueInputsLevel3Member2021-12-310000927628us-gaap:FairValueMeasurementsNonrecurringMember2021-12-310000927628srt:MinimumMembercof:NonRecovera</w:t>
      </w:r>
      <w:r>
        <w:rPr>
          <w:rFonts w:eastAsia="Times New Roman"/>
          <w:vanish/>
        </w:rPr>
        <w:t>bleRateMembercof:AppraisalValueMemberus-gaap:FairValueInputsLevel3Member2022-06-300000927628srt:MaximumMembercof:NonRecoverableRateMembercof:AppraisalValueMemberus-gaap:FairValueInputsLevel3Member2022-06-300000927628cof:NonRecoverableRateMembercof:Appraisa</w:t>
      </w:r>
      <w:r>
        <w:rPr>
          <w:rFonts w:eastAsia="Times New Roman"/>
          <w:vanish/>
        </w:rPr>
        <w:t>lValueMemberus-gaap:FairValueInputsLevel3Membersrt:WeightedAverageMember2022-06-300000927628srt:MinimumMembercof:NonRecoverableRateMembercof:AppraisalValueMemberus-gaap:FairValueInputsLevel3Member2021-12-310000927628srt:MaximumMembercof:NonRecoverableRateM</w:t>
      </w:r>
      <w:r>
        <w:rPr>
          <w:rFonts w:eastAsia="Times New Roman"/>
          <w:vanish/>
        </w:rPr>
        <w:t>embercof:AppraisalValueMemberus-gaap:FairValueInputsLevel3Member2021-12-310000927628cof:NonRecoverableRateMembercof:AppraisalValueMemberus-gaap:FairValueInputsLevel3Membersrt:WeightedAverageMember2021-12-310000927628us-gaap:FairValueMeasurementsNonrecurrin</w:t>
      </w:r>
      <w:r>
        <w:rPr>
          <w:rFonts w:eastAsia="Times New Roman"/>
          <w:vanish/>
        </w:rPr>
        <w:t>gMember2022-01-012022-06-300000927628us-gaap:FairValueMeasurementsNonrecurringMember2021-01-012021-06-300000927628us-gaap:CarryingReportedAmountFairValueDisclosureMember2022-06-300000927628us-gaap:EstimateOfFairValueFairValueDisclosureMember2022-06-3000009</w:t>
      </w:r>
      <w:r>
        <w:rPr>
          <w:rFonts w:eastAsia="Times New Roman"/>
          <w:vanish/>
        </w:rPr>
        <w:t>27628us-gaap:FairValueInputsLevel1Member2022-06-300000927628us-gaap:FairValueInputsLevel2Member2022-06-300000927628us-gaap:FairValueInputsLevel3Member2022-06-300000927628us-gaap:CarryingReportedAmountFairValueDisclosureMember2021-12-310000927628us-gaap:Est</w:t>
      </w:r>
      <w:r>
        <w:rPr>
          <w:rFonts w:eastAsia="Times New Roman"/>
          <w:vanish/>
        </w:rPr>
        <w:t>imateOfFairValueFairValueDisclosureMember2021-12-310000927628us-gaap:FairValueInputsLevel1Member2021-12-310000927628us-gaap:FairValueInputsLevel2Member2021-12-310000927628us-gaap:FairValueInputsLevel3Member2021-12-310000927628cof:CreditCardSegmentMemberus-</w:t>
      </w:r>
      <w:r>
        <w:rPr>
          <w:rFonts w:eastAsia="Times New Roman"/>
          <w:vanish/>
        </w:rPr>
        <w:t>gaap:OperatingSegmentsMember2022-04-012022-06-300000927628us-gaap:OperatingSegmentsMembercof:ConsumerBankingSegmentMember2022-04-012022-06-300000927628cof:CommercialBankingSegmentMemberus-gaap:OperatingSegmentsMember2022-04-012022-06-300000927628us-gaap:Co</w:t>
      </w:r>
      <w:r>
        <w:rPr>
          <w:rFonts w:eastAsia="Times New Roman"/>
          <w:vanish/>
        </w:rPr>
        <w:t>rporateNonSegmentMember2022-04-012022-06-300000927628cof:CreditCardSegmentMemberus-gaap:OperatingSegmentsMember2022-06-300000927628us-gaap:OperatingSegmentsMembercof:ConsumerBankingSegmentMember2022-06-300000927628cof:CommercialBankingSegmentMemberus-gaap:</w:t>
      </w:r>
      <w:r>
        <w:rPr>
          <w:rFonts w:eastAsia="Times New Roman"/>
          <w:vanish/>
        </w:rPr>
        <w:t>OperatingSegmentsMember2022-06-300000927628us-gaap:CorporateNonSegmentMember2022-06-300000927628cof:CreditCardSegmentMemberus-gaap:OperatingSegmentsMember2022-01-012022-06-300000927628us-gaap:OperatingSegmentsMembercof:ConsumerBankingSegmentMember2022-01-0</w:t>
      </w:r>
      <w:r>
        <w:rPr>
          <w:rFonts w:eastAsia="Times New Roman"/>
          <w:vanish/>
        </w:rPr>
        <w:t>12022-06-300000927628cof:CommercialBankingSegmentMemberus-gaap:OperatingSegmentsMember2022-01-012022-06-300000927628us-gaap:CorporateNonSegmentMember2022-01-012022-06-300000927628cof:CreditCardSegmentMemberus-gaap:OperatingSegmentsMember2021-04-012021-06-3</w:t>
      </w:r>
      <w:r>
        <w:rPr>
          <w:rFonts w:eastAsia="Times New Roman"/>
          <w:vanish/>
        </w:rPr>
        <w:t>00000927628us-gaap:OperatingSegmentsMembercof:ConsumerBankingSegmentMember2021-04-012021-06-300000927628cof:CommercialBankingSegmentMemberus-gaap:OperatingSegmentsMember2021-04-012021-06-300000927628us-gaap:CorporateNonSegmentMember2021-04-012021-06-300000</w:t>
      </w:r>
      <w:r>
        <w:rPr>
          <w:rFonts w:eastAsia="Times New Roman"/>
          <w:vanish/>
        </w:rPr>
        <w:t>927628cof:CreditCardSegmentMemberus-gaap:OperatingSegmentsMember2021-06-300000927628us-gaap:OperatingSegmentsMembercof:ConsumerBankingSegmentMember2021-06-300000927628cof:CommercialBankingSegmentMemberus-gaap:OperatingSegmentsMember2021-06-300000927628us-g</w:t>
      </w:r>
      <w:r>
        <w:rPr>
          <w:rFonts w:eastAsia="Times New Roman"/>
          <w:vanish/>
        </w:rPr>
        <w:t>aap:CorporateNonSegmentMember2021-06-300000927628cof:CreditCardSegmentMemberus-gaap:OperatingSegmentsMember2021-01-012021-06-300000927628us-gaap:OperatingSegmentsMembercof:ConsumerBankingSegmentMember2021-01-012021-06-300000927628cof:CommercialBankingSegme</w:t>
      </w:r>
      <w:r>
        <w:rPr>
          <w:rFonts w:eastAsia="Times New Roman"/>
          <w:vanish/>
        </w:rPr>
        <w:t>ntMemberus-gaap:OperatingSegmentsMember2021-01-012021-06-300000927628us-gaap:CorporateNonSegmentMember2021-01-012021-06-300000927628cof:CreditCardSegmentMemberus-gaap:OperatingSegmentsMembercof:InterchangeFeesContractsMember2022-04-012022-06-300000927628us</w:t>
      </w:r>
      <w:r>
        <w:rPr>
          <w:rFonts w:eastAsia="Times New Roman"/>
          <w:vanish/>
        </w:rPr>
        <w:t>-gaap:OperatingSegmentsMembercof:InterchangeFeesContractsMembercof:ConsumerBankingSegmentMember2022-04-012022-06-300000927628cof:CommercialBankingSegmentMemberus-gaap:OperatingSegmentsMembercof:InterchangeFeesContractsMember2022-04-012022-06-300000927628us</w:t>
      </w:r>
      <w:r>
        <w:rPr>
          <w:rFonts w:eastAsia="Times New Roman"/>
          <w:vanish/>
        </w:rPr>
        <w:t>-gaap:CorporateNonSegmentMembercof:InterchangeFeesContractsMember2022-04-012022-06-300000927628cof:InterchangeFeesContractsMember2022-04-012022-06-300000927628cof:CreditCardSegmentMemberus-gaap:OperatingSegmentsMembercof:ServiceChargesAndOtherCustomerFeesC</w:t>
      </w:r>
      <w:r>
        <w:rPr>
          <w:rFonts w:eastAsia="Times New Roman"/>
          <w:vanish/>
        </w:rPr>
        <w:t>ontractsMember2022-04-012022-06-300000927628us-gaap:OperatingSegmentsMembercof:ServiceChargesAndOtherCustomerFeesContractsMembercof:ConsumerBankingSegmentMember2022-04-012022-06-300000927628cof:CommercialBankingSegmentMemberus-gaap:OperatingSegmentsMemberc</w:t>
      </w:r>
      <w:r>
        <w:rPr>
          <w:rFonts w:eastAsia="Times New Roman"/>
          <w:vanish/>
        </w:rPr>
        <w:t>of:ServiceChargesAndOtherCustomerFeesContractsMember2022-04-012022-06-300000927628us-gaap:CorporateNonSegmentMembercof:ServiceChargesAndOtherCustomerFeesContractsMember2022-04-012022-06-300000927628cof:ServiceChargesAndOtherCustomerFeesContractsMember2022-</w:t>
      </w:r>
      <w:r>
        <w:rPr>
          <w:rFonts w:eastAsia="Times New Roman"/>
          <w:vanish/>
        </w:rPr>
        <w:t>04-012022-06-300000927628cof:CreditCardSegmentMemberus-gaap:OperatingSegmentsMembercof:OtherContractRevenueMember2022-04-012022-06-300000927628us-gaap:OperatingSegmentsMembercof:ConsumerBankingSegmentMembercof:OtherContractRevenueMember2022-04-012022-06-30</w:t>
      </w:r>
      <w:r>
        <w:rPr>
          <w:rFonts w:eastAsia="Times New Roman"/>
          <w:vanish/>
        </w:rPr>
        <w:t>0000927628cof:CommercialBankingSegmentMemberus-gaap:OperatingSegmentsMembercof:OtherContractRevenueMember2022-04-012022-06-300000927628us-gaap:CorporateNonSegmentMembercof:OtherContractRevenueMember2022-04-012022-06-300000927628cof:OtherContractRevenueMemb</w:t>
      </w:r>
      <w:r>
        <w:rPr>
          <w:rFonts w:eastAsia="Times New Roman"/>
          <w:vanish/>
        </w:rPr>
        <w:t>er2022-04-012022-06-300000927628cof:CreditCardSegmentMemberus-gaap:OperatingSegmentsMembercof:InterchangeFeesContractsMember2022-01-012022-06-300000927628us-gaap:OperatingSegmentsMembercof:InterchangeFeesContractsMembercof:ConsumerBankingSegmentMember2022-</w:t>
      </w:r>
      <w:r>
        <w:rPr>
          <w:rFonts w:eastAsia="Times New Roman"/>
          <w:vanish/>
        </w:rPr>
        <w:t>01-012022-06-300000927628cof:CommercialBankingSegmentMemberus-gaap:OperatingSegmentsMembercof:InterchangeFeesContractsMember2022-01-012022-06-300000927628us-gaap:CorporateNonSegmentMembercof:InterchangeFeesContractsMember2022-01-012022-06-300000927628cof:I</w:t>
      </w:r>
      <w:r>
        <w:rPr>
          <w:rFonts w:eastAsia="Times New Roman"/>
          <w:vanish/>
        </w:rPr>
        <w:t>nterchangeFeesContractsMember2022-01-012022-06-300000927628cof:CreditCardSegmentMemberus-gaap:OperatingSegmentsMembercof:ServiceChargesAndOtherCustomerFeesContractsMember2022-01-012022-06-300000927628us-gaap:OperatingSegmentsMembercof:ServiceChargesAndOthe</w:t>
      </w:r>
      <w:r>
        <w:rPr>
          <w:rFonts w:eastAsia="Times New Roman"/>
          <w:vanish/>
        </w:rPr>
        <w:t>rCustomerFeesContractsMembercof:ConsumerBankingSegmentMember2022-01-012022-06-300000927628cof:CommercialBankingSegmentMemberus-gaap:OperatingSegmentsMembercof:ServiceChargesAndOtherCustomerFeesContractsMember2022-01-012022-06-300000927628us-gaap:CorporateN</w:t>
      </w:r>
      <w:r>
        <w:rPr>
          <w:rFonts w:eastAsia="Times New Roman"/>
          <w:vanish/>
        </w:rPr>
        <w:t>onSegmentMembercof:ServiceChargesAndOtherCustomerFeesContractsMember2022-01-012022-06-300000927628cof:ServiceChargesAndOtherCustomerFeesContractsMember2022-01-012022-06-300000927628cof:CreditCardSegmentMemberus-gaap:OperatingSegmentsMembercof:OtherContract</w:t>
      </w:r>
      <w:r>
        <w:rPr>
          <w:rFonts w:eastAsia="Times New Roman"/>
          <w:vanish/>
        </w:rPr>
        <w:t>RevenueMember2022-01-012022-06-300000927628us-gaap:OperatingSegmentsMembercof:ConsumerBankingSegmentMembercof:OtherContractRevenueMember2022-01-012022-06-300000927628cof:CommercialBankingSegmentMemberus-gaap:OperatingSegmentsMembercof:OtherContractRevenueM</w:t>
      </w:r>
      <w:r>
        <w:rPr>
          <w:rFonts w:eastAsia="Times New Roman"/>
          <w:vanish/>
        </w:rPr>
        <w:t>ember2022-01-012022-06-300000927628us-gaap:CorporateNonSegmentMembercof:OtherContractRevenueMember2022-01-012022-06-300000927628cof:OtherContractRevenueMember2022-01-012022-06-300000927628cof:CreditCardSegmentMemberus-gaap:OperatingSegmentsMembercof:Interc</w:t>
      </w:r>
      <w:r>
        <w:rPr>
          <w:rFonts w:eastAsia="Times New Roman"/>
          <w:vanish/>
        </w:rPr>
        <w:t>hangeFeesContractsMember2021-04-012021-06-300000927628us-gaap:OperatingSegmentsMembercof:InterchangeFeesContractsMembercof:ConsumerBankingSegmentMember2021-04-012021-06-300000927628cof:CommercialBankingSegmentMemberus-gaap:OperatingSegmentsMembercof:Interc</w:t>
      </w:r>
      <w:r>
        <w:rPr>
          <w:rFonts w:eastAsia="Times New Roman"/>
          <w:vanish/>
        </w:rPr>
        <w:t>hangeFeesContractsMember2021-04-012021-06-300000927628us-gaap:CorporateNonSegmentMembercof:InterchangeFeesContractsMember2021-04-012021-06-300000927628cof:InterchangeFeesContractsMember2021-04-012021-06-300000927628cof:CreditCardSegmentMemberus-gaap:Operat</w:t>
      </w:r>
      <w:r>
        <w:rPr>
          <w:rFonts w:eastAsia="Times New Roman"/>
          <w:vanish/>
        </w:rPr>
        <w:t>ingSegmentsMembercof:ServiceChargesAndOtherCustomerFeesContractsMember2021-04-012021-06-300000927628us-gaap:OperatingSegmentsMembercof:ServiceChargesAndOtherCustomerFeesContractsMembercof:ConsumerBankingSegmentMember2021-04-012021-06-300000927628cof:Commer</w:t>
      </w:r>
      <w:r>
        <w:rPr>
          <w:rFonts w:eastAsia="Times New Roman"/>
          <w:vanish/>
        </w:rPr>
        <w:t>cialBankingSegmentMemberus-gaap:OperatingSegmentsMembercof:ServiceChargesAndOtherCustomerFeesContractsMember2021-04-012021-06-300000927628us-gaap:CorporateNonSegmentMembercof:ServiceChargesAndOtherCustomerFeesContractsMember2021-04-012021-06-300000927628co</w:t>
      </w:r>
      <w:r>
        <w:rPr>
          <w:rFonts w:eastAsia="Times New Roman"/>
          <w:vanish/>
        </w:rPr>
        <w:t>f:ServiceChargesAndOtherCustomerFeesContractsMember2021-04-012021-06-300000927628cof:CreditCardSegmentMemberus-gaap:OperatingSegmentsMembercof:OtherContractRevenueMember2021-04-012021-06-300000927628us-gaap:OperatingSegmentsMembercof:ConsumerBankingSegment</w:t>
      </w:r>
      <w:r>
        <w:rPr>
          <w:rFonts w:eastAsia="Times New Roman"/>
          <w:vanish/>
        </w:rPr>
        <w:t>Membercof:OtherContractRevenueMember2021-04-012021-06-300000927628cof:CommercialBankingSegmentMemberus-gaap:OperatingSegmentsMembercof:OtherContractRevenueMember2021-04-012021-06-300000927628us-gaap:CorporateNonSegmentMembercof:OtherContractRevenueMember20</w:t>
      </w:r>
      <w:r>
        <w:rPr>
          <w:rFonts w:eastAsia="Times New Roman"/>
          <w:vanish/>
        </w:rPr>
        <w:t>21-04-012021-06-300000927628cof:OtherContractRevenueMember2021-04-012021-06-300000927628cof:CreditCardSegmentMemberus-gaap:OperatingSegmentsMembercof:InterchangeFeesContractsMember2021-01-012021-06-300000927628us-gaap:OperatingSegmentsMembercof:Interchange</w:t>
      </w:r>
      <w:r>
        <w:rPr>
          <w:rFonts w:eastAsia="Times New Roman"/>
          <w:vanish/>
        </w:rPr>
        <w:t>FeesContractsMembercof:ConsumerBankingSegmentMember2021-01-012021-06-300000927628cof:CommercialBankingSegmentMemberus-gaap:OperatingSegmentsMembercof:InterchangeFeesContractsMember2021-01-012021-06-300000927628us-gaap:CorporateNonSegmentMembercof:Interchan</w:t>
      </w:r>
      <w:r>
        <w:rPr>
          <w:rFonts w:eastAsia="Times New Roman"/>
          <w:vanish/>
        </w:rPr>
        <w:t>geFeesContractsMember2021-01-012021-06-300000927628cof:InterchangeFeesContractsMember2021-01-012021-06-300000927628cof:CreditCardSegmentMemberus-gaap:OperatingSegmentsMembercof:ServiceChargesAndOtherCustomerFeesContractsMember2021-01-012021-06-300000927628</w:t>
      </w:r>
      <w:r>
        <w:rPr>
          <w:rFonts w:eastAsia="Times New Roman"/>
          <w:vanish/>
        </w:rPr>
        <w:t>us-gaap:OperatingSegmentsMembercof:ServiceChargesAndOtherCustomerFeesContractsMembercof:ConsumerBankingSegmentMember2021-01-012021-06-300000927628cof:CommercialBankingSegmentMemberus-gaap:OperatingSegmentsMembercof:ServiceChargesAndOtherCustomerFeesContrac</w:t>
      </w:r>
      <w:r>
        <w:rPr>
          <w:rFonts w:eastAsia="Times New Roman"/>
          <w:vanish/>
        </w:rPr>
        <w:t>tsMember2021-01-012021-06-300000927628us-gaap:CorporateNonSegmentMembercof:ServiceChargesAndOtherCustomerFeesContractsMember2021-01-012021-06-300000927628cof:ServiceChargesAndOtherCustomerFeesContractsMember2021-01-012021-06-300000927628cof:CreditCardSegme</w:t>
      </w:r>
      <w:r>
        <w:rPr>
          <w:rFonts w:eastAsia="Times New Roman"/>
          <w:vanish/>
        </w:rPr>
        <w:t>ntMemberus-gaap:OperatingSegmentsMembercof:OtherContractRevenueMember2021-01-012021-06-300000927628us-gaap:OperatingSegmentsMembercof:ConsumerBankingSegmentMembercof:OtherContractRevenueMember2021-01-012021-06-300000927628cof:CommercialBankingSegmentMember</w:t>
      </w:r>
      <w:r>
        <w:rPr>
          <w:rFonts w:eastAsia="Times New Roman"/>
          <w:vanish/>
        </w:rPr>
        <w:t>us-gaap:OperatingSegmentsMembercof:OtherContractRevenueMember2021-01-012021-06-300000927628us-gaap:CorporateNonSegmentMembercof:OtherContractRevenueMember2021-01-012021-06-300000927628cof:OtherContractRevenueMember2021-01-012021-06-300000927628cof:OtherPor</w:t>
      </w:r>
      <w:r>
        <w:rPr>
          <w:rFonts w:eastAsia="Times New Roman"/>
          <w:vanish/>
        </w:rPr>
        <w:t>tfolioSegmentsExcludingCreditCardMember2022-06-300000927628cof:OtherPortfolioSegmentsExcludingCreditCardMember2021-12-310000927628us-gaap:LetterOfCreditMember2022-06-300000927628us-gaap:LetterOfCreditMember2021-12-310000927628cof:LossSharingAgreementMember</w:t>
      </w:r>
      <w:r>
        <w:rPr>
          <w:rFonts w:eastAsia="Times New Roman"/>
          <w:vanish/>
        </w:rPr>
        <w:t>2022-06-300000927628cof:LossSharingAgreementMember2021-12-310000927628us-gaap:PendingLitigationMembercof:InterchangeLitigationMember2022-01-012022-06-300000927628cof:CybersecurityIncidentMember2022-06-30cof:claim</w:t>
      </w:r>
    </w:p>
    <w:p w14:paraId="5195F933" w14:textId="77777777" w:rsidR="00000000" w:rsidRDefault="00A173A8">
      <w:pPr>
        <w:jc w:val="both"/>
        <w:divId w:val="599606459"/>
        <w:rPr>
          <w:rFonts w:eastAsia="Times New Roman"/>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14:paraId="15B72049" w14:textId="77777777">
        <w:trPr>
          <w:jc w:val="center"/>
        </w:trPr>
        <w:tc>
          <w:tcPr>
            <w:tcW w:w="50" w:type="pct"/>
            <w:vAlign w:val="center"/>
            <w:hideMark/>
          </w:tcPr>
          <w:p w14:paraId="0185E85B" w14:textId="77777777" w:rsidR="00000000" w:rsidRDefault="00A173A8">
            <w:pPr>
              <w:jc w:val="both"/>
              <w:rPr>
                <w:rFonts w:eastAsia="Times New Roman"/>
              </w:rPr>
            </w:pPr>
          </w:p>
        </w:tc>
        <w:tc>
          <w:tcPr>
            <w:tcW w:w="945" w:type="pct"/>
            <w:vAlign w:val="center"/>
            <w:hideMark/>
          </w:tcPr>
          <w:p w14:paraId="092FA1D6" w14:textId="77777777" w:rsidR="00000000" w:rsidRDefault="00A173A8">
            <w:pPr>
              <w:spacing w:after="100"/>
              <w:rPr>
                <w:rFonts w:eastAsia="Times New Roman"/>
                <w:sz w:val="20"/>
                <w:szCs w:val="20"/>
              </w:rPr>
            </w:pPr>
          </w:p>
        </w:tc>
        <w:tc>
          <w:tcPr>
            <w:tcW w:w="5" w:type="pct"/>
            <w:vAlign w:val="center"/>
            <w:hideMark/>
          </w:tcPr>
          <w:p w14:paraId="036039C2" w14:textId="77777777" w:rsidR="00000000" w:rsidRDefault="00A173A8">
            <w:pPr>
              <w:spacing w:after="100"/>
              <w:rPr>
                <w:rFonts w:eastAsia="Times New Roman"/>
                <w:sz w:val="20"/>
                <w:szCs w:val="20"/>
              </w:rPr>
            </w:pPr>
          </w:p>
        </w:tc>
        <w:tc>
          <w:tcPr>
            <w:tcW w:w="50" w:type="pct"/>
            <w:vAlign w:val="center"/>
            <w:hideMark/>
          </w:tcPr>
          <w:p w14:paraId="1D946A22" w14:textId="77777777" w:rsidR="00000000" w:rsidRDefault="00A173A8">
            <w:pPr>
              <w:spacing w:after="100"/>
              <w:rPr>
                <w:rFonts w:eastAsia="Times New Roman"/>
                <w:sz w:val="20"/>
                <w:szCs w:val="20"/>
              </w:rPr>
            </w:pPr>
          </w:p>
        </w:tc>
        <w:tc>
          <w:tcPr>
            <w:tcW w:w="945" w:type="pct"/>
            <w:vAlign w:val="center"/>
            <w:hideMark/>
          </w:tcPr>
          <w:p w14:paraId="61B86158" w14:textId="77777777" w:rsidR="00000000" w:rsidRDefault="00A173A8">
            <w:pPr>
              <w:spacing w:after="100"/>
              <w:rPr>
                <w:rFonts w:eastAsia="Times New Roman"/>
                <w:sz w:val="20"/>
                <w:szCs w:val="20"/>
              </w:rPr>
            </w:pPr>
          </w:p>
        </w:tc>
        <w:tc>
          <w:tcPr>
            <w:tcW w:w="5" w:type="pct"/>
            <w:vAlign w:val="center"/>
            <w:hideMark/>
          </w:tcPr>
          <w:p w14:paraId="797B5DFF" w14:textId="77777777" w:rsidR="00000000" w:rsidRDefault="00A173A8">
            <w:pPr>
              <w:spacing w:after="100"/>
              <w:rPr>
                <w:rFonts w:eastAsia="Times New Roman"/>
                <w:sz w:val="20"/>
                <w:szCs w:val="20"/>
              </w:rPr>
            </w:pPr>
          </w:p>
        </w:tc>
        <w:tc>
          <w:tcPr>
            <w:tcW w:w="50" w:type="pct"/>
            <w:vAlign w:val="center"/>
            <w:hideMark/>
          </w:tcPr>
          <w:p w14:paraId="0CD1ECE3" w14:textId="77777777" w:rsidR="00000000" w:rsidRDefault="00A173A8">
            <w:pPr>
              <w:spacing w:after="100"/>
              <w:rPr>
                <w:rFonts w:eastAsia="Times New Roman"/>
                <w:sz w:val="20"/>
                <w:szCs w:val="20"/>
              </w:rPr>
            </w:pPr>
          </w:p>
        </w:tc>
        <w:tc>
          <w:tcPr>
            <w:tcW w:w="945" w:type="pct"/>
            <w:vAlign w:val="center"/>
            <w:hideMark/>
          </w:tcPr>
          <w:p w14:paraId="6C796DA5" w14:textId="77777777" w:rsidR="00000000" w:rsidRDefault="00A173A8">
            <w:pPr>
              <w:spacing w:after="100"/>
              <w:rPr>
                <w:rFonts w:eastAsia="Times New Roman"/>
                <w:sz w:val="20"/>
                <w:szCs w:val="20"/>
              </w:rPr>
            </w:pPr>
          </w:p>
        </w:tc>
        <w:tc>
          <w:tcPr>
            <w:tcW w:w="5" w:type="pct"/>
            <w:vAlign w:val="center"/>
            <w:hideMark/>
          </w:tcPr>
          <w:p w14:paraId="09704117" w14:textId="77777777" w:rsidR="00000000" w:rsidRDefault="00A173A8">
            <w:pPr>
              <w:spacing w:after="100"/>
              <w:rPr>
                <w:rFonts w:eastAsia="Times New Roman"/>
                <w:sz w:val="20"/>
                <w:szCs w:val="20"/>
              </w:rPr>
            </w:pPr>
          </w:p>
        </w:tc>
        <w:tc>
          <w:tcPr>
            <w:tcW w:w="50" w:type="pct"/>
            <w:vAlign w:val="center"/>
            <w:hideMark/>
          </w:tcPr>
          <w:p w14:paraId="327DC36F" w14:textId="77777777" w:rsidR="00000000" w:rsidRDefault="00A173A8">
            <w:pPr>
              <w:spacing w:after="100"/>
              <w:rPr>
                <w:rFonts w:eastAsia="Times New Roman"/>
                <w:sz w:val="20"/>
                <w:szCs w:val="20"/>
              </w:rPr>
            </w:pPr>
          </w:p>
        </w:tc>
        <w:tc>
          <w:tcPr>
            <w:tcW w:w="945" w:type="pct"/>
            <w:vAlign w:val="center"/>
            <w:hideMark/>
          </w:tcPr>
          <w:p w14:paraId="1DBF3605" w14:textId="77777777" w:rsidR="00000000" w:rsidRDefault="00A173A8">
            <w:pPr>
              <w:spacing w:after="100"/>
              <w:rPr>
                <w:rFonts w:eastAsia="Times New Roman"/>
                <w:sz w:val="20"/>
                <w:szCs w:val="20"/>
              </w:rPr>
            </w:pPr>
          </w:p>
        </w:tc>
        <w:tc>
          <w:tcPr>
            <w:tcW w:w="5" w:type="pct"/>
            <w:vAlign w:val="center"/>
            <w:hideMark/>
          </w:tcPr>
          <w:p w14:paraId="4B88163D" w14:textId="77777777" w:rsidR="00000000" w:rsidRDefault="00A173A8">
            <w:pPr>
              <w:spacing w:after="100"/>
              <w:rPr>
                <w:rFonts w:eastAsia="Times New Roman"/>
                <w:sz w:val="20"/>
                <w:szCs w:val="20"/>
              </w:rPr>
            </w:pPr>
          </w:p>
        </w:tc>
        <w:tc>
          <w:tcPr>
            <w:tcW w:w="50" w:type="pct"/>
            <w:vAlign w:val="center"/>
            <w:hideMark/>
          </w:tcPr>
          <w:p w14:paraId="3EC9F362" w14:textId="77777777" w:rsidR="00000000" w:rsidRDefault="00A173A8">
            <w:pPr>
              <w:spacing w:after="100"/>
              <w:rPr>
                <w:rFonts w:eastAsia="Times New Roman"/>
                <w:sz w:val="20"/>
                <w:szCs w:val="20"/>
              </w:rPr>
            </w:pPr>
          </w:p>
        </w:tc>
        <w:tc>
          <w:tcPr>
            <w:tcW w:w="945" w:type="pct"/>
            <w:vAlign w:val="center"/>
            <w:hideMark/>
          </w:tcPr>
          <w:p w14:paraId="648ACC8B" w14:textId="77777777" w:rsidR="00000000" w:rsidRDefault="00A173A8">
            <w:pPr>
              <w:spacing w:after="100"/>
              <w:rPr>
                <w:rFonts w:eastAsia="Times New Roman"/>
                <w:sz w:val="20"/>
                <w:szCs w:val="20"/>
              </w:rPr>
            </w:pPr>
          </w:p>
        </w:tc>
        <w:tc>
          <w:tcPr>
            <w:tcW w:w="5" w:type="pct"/>
            <w:vAlign w:val="center"/>
            <w:hideMark/>
          </w:tcPr>
          <w:p w14:paraId="3BD5D773" w14:textId="77777777" w:rsidR="00000000" w:rsidRDefault="00A173A8">
            <w:pPr>
              <w:spacing w:after="100"/>
              <w:rPr>
                <w:rFonts w:eastAsia="Times New Roman"/>
                <w:sz w:val="20"/>
                <w:szCs w:val="20"/>
              </w:rPr>
            </w:pPr>
          </w:p>
        </w:tc>
      </w:tr>
      <w:tr w:rsidR="00000000" w14:paraId="157A32C4" w14:textId="77777777">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14:paraId="2D5E4B44" w14:textId="77777777" w:rsidR="00000000" w:rsidRDefault="00A173A8">
            <w:pPr>
              <w:spacing w:after="100"/>
              <w:rPr>
                <w:rFonts w:eastAsia="Times New Roman"/>
                <w:sz w:val="20"/>
                <w:szCs w:val="20"/>
              </w:rPr>
            </w:pPr>
          </w:p>
        </w:tc>
      </w:tr>
    </w:tbl>
    <w:p w14:paraId="0BFA527D" w14:textId="77777777" w:rsidR="00000000" w:rsidRDefault="00A173A8">
      <w:pPr>
        <w:jc w:val="center"/>
        <w:divId w:val="1098983465"/>
        <w:rPr>
          <w:rFonts w:eastAsia="Times New Roman"/>
        </w:rPr>
      </w:pPr>
      <w:r>
        <w:rPr>
          <w:rFonts w:eastAsia="Times New Roman"/>
          <w:b/>
          <w:bCs/>
          <w:color w:val="000000"/>
          <w:sz w:val="22"/>
          <w:szCs w:val="22"/>
        </w:rPr>
        <w:t>UNITED STATES</w:t>
      </w:r>
    </w:p>
    <w:p w14:paraId="1D3B2B40" w14:textId="77777777" w:rsidR="00000000" w:rsidRDefault="00A173A8">
      <w:pPr>
        <w:jc w:val="center"/>
        <w:rPr>
          <w:rFonts w:eastAsia="Times New Roman"/>
        </w:rPr>
      </w:pPr>
      <w:r>
        <w:rPr>
          <w:rFonts w:eastAsia="Times New Roman"/>
          <w:b/>
          <w:bCs/>
          <w:color w:val="000000"/>
          <w:sz w:val="22"/>
          <w:szCs w:val="22"/>
        </w:rPr>
        <w:t>SECURITIES AND EXCHANGE COMMISSION</w:t>
      </w:r>
    </w:p>
    <w:p w14:paraId="01F705AE" w14:textId="77777777" w:rsidR="00000000" w:rsidRDefault="00A173A8">
      <w:pPr>
        <w:jc w:val="center"/>
        <w:rPr>
          <w:rFonts w:eastAsia="Times New Roman"/>
        </w:rPr>
      </w:pPr>
      <w:r>
        <w:rPr>
          <w:rFonts w:eastAsia="Times New Roman"/>
          <w:b/>
          <w:bCs/>
          <w:color w:val="000000"/>
          <w:sz w:val="18"/>
          <w:szCs w:val="18"/>
        </w:rPr>
        <w:t>Washington, D.C. 20549</w:t>
      </w:r>
    </w:p>
    <w:p w14:paraId="7CA18600" w14:textId="77777777" w:rsidR="00000000" w:rsidRDefault="00A173A8">
      <w:pPr>
        <w:jc w:val="center"/>
        <w:rPr>
          <w:rFonts w:eastAsia="Times New Roman"/>
        </w:rPr>
      </w:pPr>
      <w:r>
        <w:rPr>
          <w:rFonts w:eastAsia="Times New Roman"/>
          <w:color w:val="000000"/>
          <w:sz w:val="12"/>
          <w:szCs w:val="12"/>
        </w:rPr>
        <w:t>____________________________________</w:t>
      </w:r>
    </w:p>
    <w:p w14:paraId="5B9EAB22" w14:textId="77777777" w:rsidR="00000000" w:rsidRDefault="00A173A8">
      <w:pPr>
        <w:jc w:val="center"/>
        <w:rPr>
          <w:rFonts w:eastAsia="Times New Roman"/>
        </w:rPr>
      </w:pPr>
      <w:r>
        <w:rPr>
          <w:rFonts w:eastAsia="Times New Roman"/>
          <w:b/>
          <w:bCs/>
          <w:color w:val="000000"/>
          <w:sz w:val="28"/>
          <w:szCs w:val="28"/>
        </w:rPr>
        <w:t xml:space="preserve">FORM 10-Q </w:t>
      </w:r>
    </w:p>
    <w:p w14:paraId="71180EF1" w14:textId="77777777" w:rsidR="00000000" w:rsidRDefault="00A173A8">
      <w:pPr>
        <w:jc w:val="center"/>
        <w:rPr>
          <w:rFonts w:eastAsia="Times New Roman"/>
        </w:rPr>
      </w:pPr>
      <w:r>
        <w:rPr>
          <w:rFonts w:eastAsia="Times New Roman"/>
          <w:color w:val="000000"/>
          <w:sz w:val="12"/>
          <w:szCs w:val="12"/>
        </w:rPr>
        <w:t>___________________________________</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14:paraId="2227DBA0" w14:textId="77777777">
        <w:trPr>
          <w:jc w:val="center"/>
        </w:trPr>
        <w:tc>
          <w:tcPr>
            <w:tcW w:w="50" w:type="pct"/>
            <w:vAlign w:val="center"/>
            <w:hideMark/>
          </w:tcPr>
          <w:p w14:paraId="43021A5A" w14:textId="77777777" w:rsidR="00000000" w:rsidRDefault="00A173A8">
            <w:pPr>
              <w:jc w:val="center"/>
              <w:rPr>
                <w:rFonts w:eastAsia="Times New Roman"/>
              </w:rPr>
            </w:pPr>
          </w:p>
        </w:tc>
        <w:tc>
          <w:tcPr>
            <w:tcW w:w="193" w:type="pct"/>
            <w:vAlign w:val="center"/>
            <w:hideMark/>
          </w:tcPr>
          <w:p w14:paraId="42B9D0A0" w14:textId="77777777" w:rsidR="00000000" w:rsidRDefault="00A173A8">
            <w:pPr>
              <w:spacing w:after="100"/>
              <w:rPr>
                <w:rFonts w:eastAsia="Times New Roman"/>
                <w:sz w:val="20"/>
                <w:szCs w:val="20"/>
              </w:rPr>
            </w:pPr>
          </w:p>
        </w:tc>
        <w:tc>
          <w:tcPr>
            <w:tcW w:w="5" w:type="pct"/>
            <w:vAlign w:val="center"/>
            <w:hideMark/>
          </w:tcPr>
          <w:p w14:paraId="6D857379" w14:textId="77777777" w:rsidR="00000000" w:rsidRDefault="00A173A8">
            <w:pPr>
              <w:spacing w:after="100"/>
              <w:rPr>
                <w:rFonts w:eastAsia="Times New Roman"/>
                <w:sz w:val="20"/>
                <w:szCs w:val="20"/>
              </w:rPr>
            </w:pPr>
          </w:p>
        </w:tc>
        <w:tc>
          <w:tcPr>
            <w:tcW w:w="50" w:type="pct"/>
            <w:vAlign w:val="center"/>
            <w:hideMark/>
          </w:tcPr>
          <w:p w14:paraId="33ABD1A2" w14:textId="77777777" w:rsidR="00000000" w:rsidRDefault="00A173A8">
            <w:pPr>
              <w:spacing w:after="100"/>
              <w:rPr>
                <w:rFonts w:eastAsia="Times New Roman"/>
                <w:sz w:val="20"/>
                <w:szCs w:val="20"/>
              </w:rPr>
            </w:pPr>
          </w:p>
        </w:tc>
        <w:tc>
          <w:tcPr>
            <w:tcW w:w="4696" w:type="pct"/>
            <w:vAlign w:val="center"/>
            <w:hideMark/>
          </w:tcPr>
          <w:p w14:paraId="6196043F" w14:textId="77777777" w:rsidR="00000000" w:rsidRDefault="00A173A8">
            <w:pPr>
              <w:spacing w:after="100"/>
              <w:rPr>
                <w:rFonts w:eastAsia="Times New Roman"/>
                <w:sz w:val="20"/>
                <w:szCs w:val="20"/>
              </w:rPr>
            </w:pPr>
          </w:p>
        </w:tc>
        <w:tc>
          <w:tcPr>
            <w:tcW w:w="5" w:type="pct"/>
            <w:vAlign w:val="center"/>
            <w:hideMark/>
          </w:tcPr>
          <w:p w14:paraId="532DE144" w14:textId="77777777" w:rsidR="00000000" w:rsidRDefault="00A173A8">
            <w:pPr>
              <w:spacing w:after="100"/>
              <w:rPr>
                <w:rFonts w:eastAsia="Times New Roman"/>
                <w:sz w:val="20"/>
                <w:szCs w:val="20"/>
              </w:rPr>
            </w:pPr>
          </w:p>
        </w:tc>
      </w:tr>
      <w:tr w:rsidR="00000000" w14:paraId="044DAFBC" w14:textId="77777777">
        <w:trPr>
          <w:jc w:val="center"/>
        </w:trPr>
        <w:tc>
          <w:tcPr>
            <w:tcW w:w="0" w:type="auto"/>
            <w:gridSpan w:val="3"/>
            <w:tcMar>
              <w:top w:w="30" w:type="dxa"/>
              <w:left w:w="20" w:type="dxa"/>
              <w:bottom w:w="30" w:type="dxa"/>
              <w:right w:w="20" w:type="dxa"/>
            </w:tcMar>
            <w:vAlign w:val="bottom"/>
            <w:hideMark/>
          </w:tcPr>
          <w:p w14:paraId="6E214E82" w14:textId="77777777" w:rsidR="00000000" w:rsidRDefault="00A173A8">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14:paraId="0ECDB2B6" w14:textId="77777777" w:rsidR="00000000" w:rsidRDefault="00A173A8">
            <w:pPr>
              <w:spacing w:after="100"/>
              <w:jc w:val="center"/>
              <w:rPr>
                <w:rFonts w:eastAsia="Times New Roman"/>
              </w:rPr>
            </w:pPr>
            <w:r>
              <w:rPr>
                <w:rFonts w:eastAsia="Times New Roman"/>
                <w:b/>
                <w:bCs/>
                <w:color w:val="000000"/>
                <w:sz w:val="17"/>
                <w:szCs w:val="17"/>
              </w:rPr>
              <w:t xml:space="preserve">QUARTERLY </w:t>
            </w:r>
            <w:r>
              <w:rPr>
                <w:rFonts w:eastAsia="Times New Roman"/>
                <w:b/>
                <w:bCs/>
                <w:color w:val="000000"/>
                <w:sz w:val="17"/>
                <w:szCs w:val="17"/>
              </w:rPr>
              <w:t>REPORT PURSUANT TO SECTION 13 OR 15(d) OF THE SECURITIES EXCHANGE ACT OF 1934</w:t>
            </w:r>
          </w:p>
        </w:tc>
      </w:tr>
    </w:tbl>
    <w:p w14:paraId="335B7AF1" w14:textId="77777777" w:rsidR="00000000" w:rsidRDefault="00A173A8">
      <w:pPr>
        <w:jc w:val="center"/>
        <w:divId w:val="1493062765"/>
        <w:rPr>
          <w:rFonts w:eastAsia="Times New Roman"/>
        </w:rPr>
      </w:pPr>
      <w:r>
        <w:rPr>
          <w:rFonts w:eastAsia="Times New Roman"/>
          <w:b/>
          <w:bCs/>
          <w:color w:val="000000"/>
          <w:sz w:val="18"/>
          <w:szCs w:val="18"/>
        </w:rPr>
        <w:t xml:space="preserve">For the quarterly period ended June 30, 2022 </w:t>
      </w:r>
    </w:p>
    <w:p w14:paraId="57883981" w14:textId="77777777" w:rsidR="00000000" w:rsidRDefault="00A173A8">
      <w:pPr>
        <w:jc w:val="center"/>
        <w:divId w:val="2119373088"/>
        <w:rPr>
          <w:rFonts w:eastAsia="Times New Roman"/>
        </w:rPr>
      </w:pPr>
      <w:r>
        <w:rPr>
          <w:rFonts w:eastAsia="Times New Roman"/>
          <w:b/>
          <w:bCs/>
          <w:color w:val="000000"/>
          <w:sz w:val="15"/>
          <w:szCs w:val="15"/>
        </w:rPr>
        <w:t>OR</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14:paraId="120F44CE" w14:textId="77777777">
        <w:trPr>
          <w:jc w:val="center"/>
        </w:trPr>
        <w:tc>
          <w:tcPr>
            <w:tcW w:w="50" w:type="pct"/>
            <w:vAlign w:val="center"/>
            <w:hideMark/>
          </w:tcPr>
          <w:p w14:paraId="2012EE6B" w14:textId="77777777" w:rsidR="00000000" w:rsidRDefault="00A173A8">
            <w:pPr>
              <w:jc w:val="center"/>
              <w:rPr>
                <w:rFonts w:eastAsia="Times New Roman"/>
              </w:rPr>
            </w:pPr>
          </w:p>
        </w:tc>
        <w:tc>
          <w:tcPr>
            <w:tcW w:w="193" w:type="pct"/>
            <w:vAlign w:val="center"/>
            <w:hideMark/>
          </w:tcPr>
          <w:p w14:paraId="11514F92" w14:textId="77777777" w:rsidR="00000000" w:rsidRDefault="00A173A8">
            <w:pPr>
              <w:spacing w:after="100"/>
              <w:rPr>
                <w:rFonts w:eastAsia="Times New Roman"/>
                <w:sz w:val="20"/>
                <w:szCs w:val="20"/>
              </w:rPr>
            </w:pPr>
          </w:p>
        </w:tc>
        <w:tc>
          <w:tcPr>
            <w:tcW w:w="5" w:type="pct"/>
            <w:vAlign w:val="center"/>
            <w:hideMark/>
          </w:tcPr>
          <w:p w14:paraId="77665F90" w14:textId="77777777" w:rsidR="00000000" w:rsidRDefault="00A173A8">
            <w:pPr>
              <w:spacing w:after="100"/>
              <w:rPr>
                <w:rFonts w:eastAsia="Times New Roman"/>
                <w:sz w:val="20"/>
                <w:szCs w:val="20"/>
              </w:rPr>
            </w:pPr>
          </w:p>
        </w:tc>
        <w:tc>
          <w:tcPr>
            <w:tcW w:w="50" w:type="pct"/>
            <w:vAlign w:val="center"/>
            <w:hideMark/>
          </w:tcPr>
          <w:p w14:paraId="2D6D1B1D" w14:textId="77777777" w:rsidR="00000000" w:rsidRDefault="00A173A8">
            <w:pPr>
              <w:spacing w:after="100"/>
              <w:rPr>
                <w:rFonts w:eastAsia="Times New Roman"/>
                <w:sz w:val="20"/>
                <w:szCs w:val="20"/>
              </w:rPr>
            </w:pPr>
          </w:p>
        </w:tc>
        <w:tc>
          <w:tcPr>
            <w:tcW w:w="4696" w:type="pct"/>
            <w:vAlign w:val="center"/>
            <w:hideMark/>
          </w:tcPr>
          <w:p w14:paraId="4DB5EE7E" w14:textId="77777777" w:rsidR="00000000" w:rsidRDefault="00A173A8">
            <w:pPr>
              <w:spacing w:after="100"/>
              <w:rPr>
                <w:rFonts w:eastAsia="Times New Roman"/>
                <w:sz w:val="20"/>
                <w:szCs w:val="20"/>
              </w:rPr>
            </w:pPr>
          </w:p>
        </w:tc>
        <w:tc>
          <w:tcPr>
            <w:tcW w:w="5" w:type="pct"/>
            <w:vAlign w:val="center"/>
            <w:hideMark/>
          </w:tcPr>
          <w:p w14:paraId="578B3223" w14:textId="77777777" w:rsidR="00000000" w:rsidRDefault="00A173A8">
            <w:pPr>
              <w:spacing w:after="100"/>
              <w:rPr>
                <w:rFonts w:eastAsia="Times New Roman"/>
                <w:sz w:val="20"/>
                <w:szCs w:val="20"/>
              </w:rPr>
            </w:pPr>
          </w:p>
        </w:tc>
      </w:tr>
      <w:tr w:rsidR="00000000" w14:paraId="0273DE89" w14:textId="77777777">
        <w:trPr>
          <w:jc w:val="center"/>
        </w:trPr>
        <w:tc>
          <w:tcPr>
            <w:tcW w:w="0" w:type="auto"/>
            <w:gridSpan w:val="3"/>
            <w:tcMar>
              <w:top w:w="30" w:type="dxa"/>
              <w:left w:w="20" w:type="dxa"/>
              <w:bottom w:w="30" w:type="dxa"/>
              <w:right w:w="20" w:type="dxa"/>
            </w:tcMar>
            <w:vAlign w:val="bottom"/>
            <w:hideMark/>
          </w:tcPr>
          <w:p w14:paraId="6ECF4F60" w14:textId="77777777" w:rsidR="00000000" w:rsidRDefault="00A173A8">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14:paraId="22250D17" w14:textId="77777777" w:rsidR="00000000" w:rsidRDefault="00A173A8">
            <w:pPr>
              <w:spacing w:after="100"/>
              <w:jc w:val="center"/>
              <w:rPr>
                <w:rFonts w:eastAsia="Times New Roman"/>
              </w:rPr>
            </w:pPr>
            <w:r>
              <w:rPr>
                <w:rFonts w:eastAsia="Times New Roman"/>
                <w:b/>
                <w:bCs/>
                <w:color w:val="000000"/>
                <w:sz w:val="17"/>
                <w:szCs w:val="17"/>
              </w:rPr>
              <w:t>TRANSITION REPORT PURSUANT TO SECTION 13 OR 15(d) OF THE SECURITIES EXCHANGE ACT OF 1934</w:t>
            </w:r>
          </w:p>
        </w:tc>
      </w:tr>
    </w:tbl>
    <w:p w14:paraId="322CE392" w14:textId="77777777" w:rsidR="00000000" w:rsidRDefault="00A173A8">
      <w:pPr>
        <w:jc w:val="center"/>
        <w:rPr>
          <w:rFonts w:eastAsia="Times New Roman"/>
        </w:rPr>
      </w:pPr>
      <w:r>
        <w:rPr>
          <w:rFonts w:eastAsia="Times New Roman"/>
          <w:b/>
          <w:bCs/>
          <w:color w:val="000000"/>
          <w:sz w:val="18"/>
          <w:szCs w:val="18"/>
        </w:rPr>
        <w:t xml:space="preserve">For the transition period from </w:t>
      </w:r>
      <w:r>
        <w:rPr>
          <w:rFonts w:eastAsia="Times New Roman"/>
          <w:b/>
          <w:bCs/>
          <w:color w:val="000000"/>
          <w:sz w:val="18"/>
          <w:szCs w:val="18"/>
          <w:u w:val="single"/>
        </w:rPr>
        <w:t>            </w:t>
      </w:r>
      <w:r>
        <w:rPr>
          <w:rFonts w:eastAsia="Times New Roman"/>
          <w:b/>
          <w:bCs/>
          <w:color w:val="000000"/>
          <w:sz w:val="18"/>
          <w:szCs w:val="18"/>
        </w:rPr>
        <w:t xml:space="preserve"> to </w:t>
      </w:r>
      <w:r>
        <w:rPr>
          <w:rFonts w:eastAsia="Times New Roman"/>
          <w:b/>
          <w:bCs/>
          <w:color w:val="000000"/>
          <w:sz w:val="18"/>
          <w:szCs w:val="18"/>
          <w:u w:val="single"/>
        </w:rPr>
        <w:t>            </w:t>
      </w:r>
    </w:p>
    <w:p w14:paraId="7F231B8C" w14:textId="77777777" w:rsidR="00000000" w:rsidRDefault="00A173A8">
      <w:pPr>
        <w:jc w:val="center"/>
        <w:rPr>
          <w:rFonts w:eastAsia="Times New Roman"/>
        </w:rPr>
      </w:pPr>
      <w:r>
        <w:rPr>
          <w:rFonts w:eastAsia="Times New Roman"/>
          <w:b/>
          <w:bCs/>
          <w:color w:val="000000"/>
          <w:sz w:val="18"/>
          <w:szCs w:val="18"/>
        </w:rPr>
        <w:t xml:space="preserve">Commission File No. 001-13300 </w:t>
      </w:r>
    </w:p>
    <w:p w14:paraId="00E4D3F5" w14:textId="77777777" w:rsidR="00000000" w:rsidRDefault="00A173A8">
      <w:pPr>
        <w:jc w:val="center"/>
        <w:rPr>
          <w:rFonts w:eastAsia="Times New Roman"/>
        </w:rPr>
      </w:pPr>
      <w:r>
        <w:rPr>
          <w:rFonts w:eastAsia="Times New Roman"/>
          <w:color w:val="000000"/>
          <w:sz w:val="12"/>
          <w:szCs w:val="12"/>
        </w:rPr>
        <w:t>____________________________________</w:t>
      </w:r>
    </w:p>
    <w:p w14:paraId="65A4087C" w14:textId="77777777" w:rsidR="00000000" w:rsidRDefault="00A173A8">
      <w:pPr>
        <w:jc w:val="center"/>
        <w:divId w:val="787628495"/>
        <w:rPr>
          <w:rFonts w:eastAsia="Times New Roman"/>
        </w:rPr>
      </w:pPr>
      <w:r>
        <w:rPr>
          <w:rFonts w:eastAsia="Times New Roman"/>
          <w:b/>
          <w:bCs/>
          <w:color w:val="000000"/>
          <w:sz w:val="32"/>
          <w:szCs w:val="32"/>
        </w:rPr>
        <w:t>CAPITAL ONE FINANCIAL CORP</w:t>
      </w:r>
      <w:r>
        <w:rPr>
          <w:rFonts w:eastAsia="Times New Roman"/>
          <w:b/>
          <w:bCs/>
          <w:color w:val="000000"/>
          <w:sz w:val="32"/>
          <w:szCs w:val="32"/>
        </w:rPr>
        <w:t>ORATION</w:t>
      </w:r>
    </w:p>
    <w:p w14:paraId="60E67CE0" w14:textId="77777777" w:rsidR="00000000" w:rsidRDefault="00A173A8">
      <w:pPr>
        <w:jc w:val="center"/>
        <w:rPr>
          <w:rFonts w:eastAsia="Times New Roman"/>
        </w:rPr>
      </w:pPr>
      <w:r>
        <w:rPr>
          <w:rFonts w:eastAsia="Times New Roman"/>
          <w:b/>
          <w:bCs/>
          <w:color w:val="000000"/>
          <w:sz w:val="16"/>
          <w:szCs w:val="16"/>
        </w:rPr>
        <w:t>(Exact name of registrant as specified in its charter)</w:t>
      </w:r>
      <w:r>
        <w:rPr>
          <w:rFonts w:eastAsia="Times New Roman"/>
          <w:color w:val="000000"/>
          <w:sz w:val="16"/>
          <w:szCs w:val="16"/>
        </w:rPr>
        <w:t> </w:t>
      </w:r>
    </w:p>
    <w:p w14:paraId="05517E09" w14:textId="77777777" w:rsidR="00000000" w:rsidRDefault="00A173A8">
      <w:pPr>
        <w:jc w:val="center"/>
        <w:rPr>
          <w:rFonts w:eastAsia="Times New Roman"/>
        </w:rPr>
      </w:pPr>
      <w:r>
        <w:rPr>
          <w:rFonts w:eastAsia="Times New Roman"/>
          <w:color w:val="000000"/>
          <w:sz w:val="12"/>
          <w:szCs w:val="12"/>
        </w:rPr>
        <w:t>____________________________________</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361"/>
        <w:gridCol w:w="39"/>
        <w:gridCol w:w="69"/>
        <w:gridCol w:w="2361"/>
        <w:gridCol w:w="37"/>
        <w:gridCol w:w="69"/>
        <w:gridCol w:w="173"/>
        <w:gridCol w:w="36"/>
        <w:gridCol w:w="69"/>
        <w:gridCol w:w="2975"/>
        <w:gridCol w:w="36"/>
      </w:tblGrid>
      <w:tr w:rsidR="00000000" w14:paraId="5AC619C3" w14:textId="77777777">
        <w:trPr>
          <w:divId w:val="1444419132"/>
          <w:jc w:val="center"/>
        </w:trPr>
        <w:tc>
          <w:tcPr>
            <w:tcW w:w="50" w:type="pct"/>
            <w:vAlign w:val="center"/>
            <w:hideMark/>
          </w:tcPr>
          <w:p w14:paraId="225CDEE3" w14:textId="77777777" w:rsidR="00000000" w:rsidRDefault="00A173A8">
            <w:pPr>
              <w:jc w:val="center"/>
              <w:rPr>
                <w:rFonts w:eastAsia="Times New Roman"/>
              </w:rPr>
            </w:pPr>
          </w:p>
        </w:tc>
        <w:tc>
          <w:tcPr>
            <w:tcW w:w="1432" w:type="pct"/>
            <w:vAlign w:val="center"/>
            <w:hideMark/>
          </w:tcPr>
          <w:p w14:paraId="5FDF661B" w14:textId="77777777" w:rsidR="00000000" w:rsidRDefault="00A173A8">
            <w:pPr>
              <w:spacing w:after="100"/>
              <w:rPr>
                <w:rFonts w:eastAsia="Times New Roman"/>
                <w:sz w:val="20"/>
                <w:szCs w:val="20"/>
              </w:rPr>
            </w:pPr>
          </w:p>
        </w:tc>
        <w:tc>
          <w:tcPr>
            <w:tcW w:w="5" w:type="pct"/>
            <w:vAlign w:val="center"/>
            <w:hideMark/>
          </w:tcPr>
          <w:p w14:paraId="185D0A21" w14:textId="77777777" w:rsidR="00000000" w:rsidRDefault="00A173A8">
            <w:pPr>
              <w:spacing w:after="100"/>
              <w:rPr>
                <w:rFonts w:eastAsia="Times New Roman"/>
                <w:sz w:val="20"/>
                <w:szCs w:val="20"/>
              </w:rPr>
            </w:pPr>
          </w:p>
        </w:tc>
        <w:tc>
          <w:tcPr>
            <w:tcW w:w="50" w:type="pct"/>
            <w:vAlign w:val="center"/>
            <w:hideMark/>
          </w:tcPr>
          <w:p w14:paraId="445A522E" w14:textId="77777777" w:rsidR="00000000" w:rsidRDefault="00A173A8">
            <w:pPr>
              <w:spacing w:after="100"/>
              <w:rPr>
                <w:rFonts w:eastAsia="Times New Roman"/>
                <w:sz w:val="20"/>
                <w:szCs w:val="20"/>
              </w:rPr>
            </w:pPr>
          </w:p>
        </w:tc>
        <w:tc>
          <w:tcPr>
            <w:tcW w:w="1432" w:type="pct"/>
            <w:vAlign w:val="center"/>
            <w:hideMark/>
          </w:tcPr>
          <w:p w14:paraId="580F7F68" w14:textId="77777777" w:rsidR="00000000" w:rsidRDefault="00A173A8">
            <w:pPr>
              <w:spacing w:after="100"/>
              <w:rPr>
                <w:rFonts w:eastAsia="Times New Roman"/>
                <w:sz w:val="20"/>
                <w:szCs w:val="20"/>
              </w:rPr>
            </w:pPr>
          </w:p>
        </w:tc>
        <w:tc>
          <w:tcPr>
            <w:tcW w:w="5" w:type="pct"/>
            <w:vAlign w:val="center"/>
            <w:hideMark/>
          </w:tcPr>
          <w:p w14:paraId="6597AAAC" w14:textId="77777777" w:rsidR="00000000" w:rsidRDefault="00A173A8">
            <w:pPr>
              <w:spacing w:after="100"/>
              <w:rPr>
                <w:rFonts w:eastAsia="Times New Roman"/>
                <w:sz w:val="20"/>
                <w:szCs w:val="20"/>
              </w:rPr>
            </w:pPr>
          </w:p>
        </w:tc>
        <w:tc>
          <w:tcPr>
            <w:tcW w:w="50" w:type="pct"/>
            <w:vAlign w:val="center"/>
            <w:hideMark/>
          </w:tcPr>
          <w:p w14:paraId="067B65EC" w14:textId="77777777" w:rsidR="00000000" w:rsidRDefault="00A173A8">
            <w:pPr>
              <w:spacing w:after="100"/>
              <w:rPr>
                <w:rFonts w:eastAsia="Times New Roman"/>
                <w:sz w:val="20"/>
                <w:szCs w:val="20"/>
              </w:rPr>
            </w:pPr>
          </w:p>
        </w:tc>
        <w:tc>
          <w:tcPr>
            <w:tcW w:w="113" w:type="pct"/>
            <w:vAlign w:val="center"/>
            <w:hideMark/>
          </w:tcPr>
          <w:p w14:paraId="4701D59E" w14:textId="77777777" w:rsidR="00000000" w:rsidRDefault="00A173A8">
            <w:pPr>
              <w:spacing w:after="100"/>
              <w:rPr>
                <w:rFonts w:eastAsia="Times New Roman"/>
                <w:sz w:val="20"/>
                <w:szCs w:val="20"/>
              </w:rPr>
            </w:pPr>
          </w:p>
        </w:tc>
        <w:tc>
          <w:tcPr>
            <w:tcW w:w="5" w:type="pct"/>
            <w:vAlign w:val="center"/>
            <w:hideMark/>
          </w:tcPr>
          <w:p w14:paraId="2C6CE1CC" w14:textId="77777777" w:rsidR="00000000" w:rsidRDefault="00A173A8">
            <w:pPr>
              <w:spacing w:after="100"/>
              <w:rPr>
                <w:rFonts w:eastAsia="Times New Roman"/>
                <w:sz w:val="20"/>
                <w:szCs w:val="20"/>
              </w:rPr>
            </w:pPr>
          </w:p>
        </w:tc>
        <w:tc>
          <w:tcPr>
            <w:tcW w:w="50" w:type="pct"/>
            <w:vAlign w:val="center"/>
            <w:hideMark/>
          </w:tcPr>
          <w:p w14:paraId="681F08F4" w14:textId="77777777" w:rsidR="00000000" w:rsidRDefault="00A173A8">
            <w:pPr>
              <w:spacing w:after="100"/>
              <w:rPr>
                <w:rFonts w:eastAsia="Times New Roman"/>
                <w:sz w:val="20"/>
                <w:szCs w:val="20"/>
              </w:rPr>
            </w:pPr>
          </w:p>
        </w:tc>
        <w:tc>
          <w:tcPr>
            <w:tcW w:w="1802" w:type="pct"/>
            <w:vAlign w:val="center"/>
            <w:hideMark/>
          </w:tcPr>
          <w:p w14:paraId="09A75B2D" w14:textId="77777777" w:rsidR="00000000" w:rsidRDefault="00A173A8">
            <w:pPr>
              <w:spacing w:after="100"/>
              <w:rPr>
                <w:rFonts w:eastAsia="Times New Roman"/>
                <w:sz w:val="20"/>
                <w:szCs w:val="20"/>
              </w:rPr>
            </w:pPr>
          </w:p>
        </w:tc>
        <w:tc>
          <w:tcPr>
            <w:tcW w:w="5" w:type="pct"/>
            <w:vAlign w:val="center"/>
            <w:hideMark/>
          </w:tcPr>
          <w:p w14:paraId="74617B5A" w14:textId="77777777" w:rsidR="00000000" w:rsidRDefault="00A173A8">
            <w:pPr>
              <w:spacing w:after="100"/>
              <w:rPr>
                <w:rFonts w:eastAsia="Times New Roman"/>
                <w:sz w:val="20"/>
                <w:szCs w:val="20"/>
              </w:rPr>
            </w:pPr>
          </w:p>
        </w:tc>
      </w:tr>
      <w:tr w:rsidR="00000000" w14:paraId="36C86861" w14:textId="77777777">
        <w:trPr>
          <w:divId w:val="1444419132"/>
          <w:jc w:val="center"/>
        </w:trPr>
        <w:tc>
          <w:tcPr>
            <w:tcW w:w="0" w:type="auto"/>
            <w:gridSpan w:val="6"/>
            <w:tcMar>
              <w:top w:w="30" w:type="dxa"/>
              <w:left w:w="20" w:type="dxa"/>
              <w:bottom w:w="30" w:type="dxa"/>
              <w:right w:w="20" w:type="dxa"/>
            </w:tcMar>
            <w:hideMark/>
          </w:tcPr>
          <w:p w14:paraId="7CD74798" w14:textId="77777777" w:rsidR="00000000" w:rsidRDefault="00A173A8">
            <w:pPr>
              <w:spacing w:after="100"/>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14:paraId="69E298CA"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350C5FEA" w14:textId="77777777" w:rsidR="00000000" w:rsidRDefault="00A173A8">
            <w:pPr>
              <w:spacing w:after="100"/>
              <w:jc w:val="center"/>
              <w:rPr>
                <w:rFonts w:eastAsia="Times New Roman"/>
              </w:rPr>
            </w:pPr>
            <w:r>
              <w:rPr>
                <w:rFonts w:eastAsia="Times New Roman"/>
                <w:b/>
                <w:bCs/>
                <w:color w:val="000000"/>
                <w:sz w:val="16"/>
                <w:szCs w:val="16"/>
              </w:rPr>
              <w:t>54-1719854</w:t>
            </w:r>
          </w:p>
        </w:tc>
      </w:tr>
      <w:tr w:rsidR="00000000" w14:paraId="19EAE1ED" w14:textId="77777777">
        <w:trPr>
          <w:divId w:val="1444419132"/>
          <w:jc w:val="center"/>
        </w:trPr>
        <w:tc>
          <w:tcPr>
            <w:tcW w:w="0" w:type="auto"/>
            <w:gridSpan w:val="6"/>
            <w:tcMar>
              <w:top w:w="30" w:type="dxa"/>
              <w:left w:w="20" w:type="dxa"/>
              <w:bottom w:w="30" w:type="dxa"/>
              <w:right w:w="20" w:type="dxa"/>
            </w:tcMar>
            <w:vAlign w:val="bottom"/>
            <w:hideMark/>
          </w:tcPr>
          <w:p w14:paraId="415918F2" w14:textId="77777777" w:rsidR="00000000" w:rsidRDefault="00A173A8">
            <w:pPr>
              <w:spacing w:after="100"/>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14:paraId="121ECF3D"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3010A09" w14:textId="77777777" w:rsidR="00000000" w:rsidRDefault="00A173A8">
            <w:pPr>
              <w:spacing w:after="100"/>
              <w:jc w:val="center"/>
              <w:rPr>
                <w:rFonts w:eastAsia="Times New Roman"/>
              </w:rPr>
            </w:pPr>
            <w:r>
              <w:rPr>
                <w:rFonts w:eastAsia="Times New Roman"/>
                <w:b/>
                <w:bCs/>
                <w:color w:val="000000"/>
                <w:sz w:val="16"/>
                <w:szCs w:val="16"/>
              </w:rPr>
              <w:t>(I.R.S. Employer Identification No.)</w:t>
            </w:r>
          </w:p>
        </w:tc>
      </w:tr>
      <w:tr w:rsidR="00000000" w14:paraId="03BA6AA9" w14:textId="77777777">
        <w:trPr>
          <w:divId w:val="1444419132"/>
          <w:jc w:val="center"/>
        </w:trPr>
        <w:tc>
          <w:tcPr>
            <w:tcW w:w="0" w:type="auto"/>
            <w:gridSpan w:val="6"/>
            <w:tcMar>
              <w:top w:w="30" w:type="dxa"/>
              <w:left w:w="20" w:type="dxa"/>
              <w:bottom w:w="30" w:type="dxa"/>
              <w:right w:w="20" w:type="dxa"/>
            </w:tcMar>
            <w:vAlign w:val="bottom"/>
            <w:hideMark/>
          </w:tcPr>
          <w:p w14:paraId="62E9EEBA" w14:textId="77777777" w:rsidR="00000000" w:rsidRDefault="00A173A8">
            <w:pPr>
              <w:spacing w:after="100"/>
              <w:jc w:val="center"/>
              <w:rPr>
                <w:rFonts w:eastAsia="Times New Roman"/>
              </w:rPr>
            </w:pPr>
            <w:r>
              <w:rPr>
                <w:rFonts w:eastAsia="Times New Roman"/>
                <w:b/>
                <w:bCs/>
                <w:color w:val="000000"/>
                <w:sz w:val="16"/>
                <w:szCs w:val="16"/>
              </w:rPr>
              <w:t>1680 Capital One Drive,</w:t>
            </w:r>
          </w:p>
        </w:tc>
        <w:tc>
          <w:tcPr>
            <w:tcW w:w="0" w:type="auto"/>
            <w:gridSpan w:val="3"/>
            <w:tcMar>
              <w:top w:w="0" w:type="dxa"/>
              <w:left w:w="20" w:type="dxa"/>
              <w:bottom w:w="0" w:type="dxa"/>
              <w:right w:w="20" w:type="dxa"/>
            </w:tcMar>
            <w:vAlign w:val="center"/>
            <w:hideMark/>
          </w:tcPr>
          <w:p w14:paraId="43784729"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84ED7D1" w14:textId="77777777" w:rsidR="00000000" w:rsidRDefault="00A173A8">
            <w:pPr>
              <w:spacing w:after="100"/>
              <w:rPr>
                <w:rFonts w:eastAsia="Times New Roman"/>
                <w:sz w:val="20"/>
                <w:szCs w:val="20"/>
              </w:rPr>
            </w:pPr>
          </w:p>
        </w:tc>
      </w:tr>
      <w:tr w:rsidR="00000000" w14:paraId="7E984761" w14:textId="77777777">
        <w:trPr>
          <w:divId w:val="1444419132"/>
          <w:jc w:val="center"/>
        </w:trPr>
        <w:tc>
          <w:tcPr>
            <w:tcW w:w="0" w:type="auto"/>
            <w:gridSpan w:val="3"/>
            <w:tcMar>
              <w:top w:w="30" w:type="dxa"/>
              <w:left w:w="20" w:type="dxa"/>
              <w:bottom w:w="30" w:type="dxa"/>
              <w:right w:w="20" w:type="dxa"/>
            </w:tcMar>
            <w:vAlign w:val="bottom"/>
            <w:hideMark/>
          </w:tcPr>
          <w:p w14:paraId="219A8114" w14:textId="77777777" w:rsidR="00000000" w:rsidRDefault="00A173A8">
            <w:pPr>
              <w:spacing w:after="100"/>
              <w:jc w:val="right"/>
              <w:rPr>
                <w:rFonts w:eastAsia="Times New Roman"/>
              </w:rPr>
            </w:pPr>
            <w:r>
              <w:rPr>
                <w:rFonts w:eastAsia="Times New Roman"/>
                <w:b/>
                <w:bCs/>
                <w:color w:val="000000"/>
                <w:sz w:val="16"/>
                <w:szCs w:val="16"/>
              </w:rPr>
              <w:t>McLean,</w:t>
            </w:r>
          </w:p>
        </w:tc>
        <w:tc>
          <w:tcPr>
            <w:tcW w:w="0" w:type="auto"/>
            <w:gridSpan w:val="3"/>
            <w:tcMar>
              <w:top w:w="30" w:type="dxa"/>
              <w:left w:w="20" w:type="dxa"/>
              <w:bottom w:w="30" w:type="dxa"/>
              <w:right w:w="20" w:type="dxa"/>
            </w:tcMar>
            <w:vAlign w:val="bottom"/>
            <w:hideMark/>
          </w:tcPr>
          <w:p w14:paraId="3F56B222" w14:textId="77777777" w:rsidR="00000000" w:rsidRDefault="00A173A8">
            <w:pPr>
              <w:spacing w:after="100"/>
              <w:rPr>
                <w:rFonts w:eastAsia="Times New Roman"/>
              </w:rPr>
            </w:pPr>
            <w:r>
              <w:rPr>
                <w:rFonts w:eastAsia="Times New Roman"/>
                <w:b/>
                <w:bCs/>
                <w:color w:val="000000"/>
                <w:sz w:val="16"/>
                <w:szCs w:val="16"/>
              </w:rPr>
              <w:t>Virginia</w:t>
            </w:r>
          </w:p>
        </w:tc>
        <w:tc>
          <w:tcPr>
            <w:tcW w:w="0" w:type="auto"/>
            <w:gridSpan w:val="3"/>
            <w:tcMar>
              <w:top w:w="30" w:type="dxa"/>
              <w:left w:w="20" w:type="dxa"/>
              <w:bottom w:w="30" w:type="dxa"/>
              <w:right w:w="20" w:type="dxa"/>
            </w:tcMar>
            <w:vAlign w:val="bottom"/>
            <w:hideMark/>
          </w:tcPr>
          <w:p w14:paraId="7BFCA255"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5EC8ADF" w14:textId="77777777" w:rsidR="00000000" w:rsidRDefault="00A173A8">
            <w:pPr>
              <w:spacing w:after="100"/>
              <w:jc w:val="center"/>
              <w:rPr>
                <w:rFonts w:eastAsia="Times New Roman"/>
              </w:rPr>
            </w:pPr>
            <w:r>
              <w:rPr>
                <w:rFonts w:eastAsia="Times New Roman"/>
                <w:b/>
                <w:bCs/>
                <w:color w:val="000000"/>
                <w:sz w:val="16"/>
                <w:szCs w:val="16"/>
              </w:rPr>
              <w:t>22102</w:t>
            </w:r>
          </w:p>
        </w:tc>
      </w:tr>
      <w:tr w:rsidR="00000000" w14:paraId="010D797B" w14:textId="77777777">
        <w:trPr>
          <w:divId w:val="1444419132"/>
          <w:jc w:val="center"/>
        </w:trPr>
        <w:tc>
          <w:tcPr>
            <w:tcW w:w="0" w:type="auto"/>
            <w:gridSpan w:val="6"/>
            <w:tcMar>
              <w:top w:w="30" w:type="dxa"/>
              <w:left w:w="20" w:type="dxa"/>
              <w:bottom w:w="30" w:type="dxa"/>
              <w:right w:w="20" w:type="dxa"/>
            </w:tcMar>
            <w:hideMark/>
          </w:tcPr>
          <w:p w14:paraId="32F7412F" w14:textId="77777777" w:rsidR="00000000" w:rsidRDefault="00A173A8">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14:paraId="528C861C"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7401B86F" w14:textId="77777777" w:rsidR="00000000" w:rsidRDefault="00A173A8">
            <w:pPr>
              <w:spacing w:after="100"/>
              <w:jc w:val="center"/>
              <w:rPr>
                <w:rFonts w:eastAsia="Times New Roman"/>
              </w:rPr>
            </w:pPr>
            <w:r>
              <w:rPr>
                <w:rFonts w:eastAsia="Times New Roman"/>
                <w:b/>
                <w:bCs/>
                <w:color w:val="000000"/>
                <w:sz w:val="16"/>
                <w:szCs w:val="16"/>
              </w:rPr>
              <w:t>(Zip Code)</w:t>
            </w:r>
          </w:p>
        </w:tc>
      </w:tr>
    </w:tbl>
    <w:p w14:paraId="7CFA2099" w14:textId="77777777" w:rsidR="00000000" w:rsidRDefault="00A173A8">
      <w:pPr>
        <w:jc w:val="center"/>
        <w:rPr>
          <w:rFonts w:eastAsia="Times New Roman"/>
        </w:rPr>
      </w:pPr>
      <w:r>
        <w:rPr>
          <w:rFonts w:eastAsia="Times New Roman"/>
          <w:b/>
          <w:bCs/>
          <w:color w:val="000000"/>
          <w:sz w:val="16"/>
          <w:szCs w:val="16"/>
        </w:rPr>
        <w:t>Registrant’s telephone number, including area code: (703) 720-1000</w:t>
      </w:r>
    </w:p>
    <w:p w14:paraId="22C18146" w14:textId="77777777" w:rsidR="00000000" w:rsidRDefault="00A173A8">
      <w:pPr>
        <w:jc w:val="center"/>
        <w:rPr>
          <w:rFonts w:eastAsia="Times New Roman"/>
        </w:rPr>
      </w:pPr>
      <w:r>
        <w:rPr>
          <w:rFonts w:eastAsia="Times New Roman"/>
          <w:b/>
          <w:bCs/>
          <w:color w:val="000000"/>
          <w:sz w:val="16"/>
          <w:szCs w:val="16"/>
        </w:rPr>
        <w:t>(Not Applicable)</w:t>
      </w:r>
    </w:p>
    <w:p w14:paraId="74892AD3" w14:textId="77777777" w:rsidR="00000000" w:rsidRDefault="00A173A8">
      <w:pPr>
        <w:jc w:val="center"/>
        <w:rPr>
          <w:rFonts w:eastAsia="Times New Roman"/>
        </w:rPr>
      </w:pPr>
      <w:r>
        <w:rPr>
          <w:rFonts w:eastAsia="Times New Roman"/>
          <w:b/>
          <w:bCs/>
          <w:color w:val="000000"/>
          <w:sz w:val="16"/>
          <w:szCs w:val="16"/>
        </w:rPr>
        <w:t>(Former name, former address and former fiscal year, if changed since last report)</w:t>
      </w:r>
    </w:p>
    <w:p w14:paraId="4D3CDD08" w14:textId="77777777" w:rsidR="00000000" w:rsidRDefault="00A173A8">
      <w:pPr>
        <w:jc w:val="center"/>
        <w:rPr>
          <w:rFonts w:eastAsia="Times New Roman"/>
        </w:rPr>
      </w:pPr>
      <w:r>
        <w:rPr>
          <w:rFonts w:eastAsia="Times New Roman"/>
          <w:color w:val="000000"/>
          <w:sz w:val="12"/>
          <w:szCs w:val="12"/>
        </w:rPr>
        <w:t>____________________________________</w:t>
      </w:r>
    </w:p>
    <w:p w14:paraId="32F869D4" w14:textId="77777777" w:rsidR="00000000" w:rsidRDefault="00A173A8">
      <w:pPr>
        <w:jc w:val="center"/>
        <w:divId w:val="369453933"/>
        <w:rPr>
          <w:rFonts w:eastAsia="Times New Roman"/>
        </w:rPr>
      </w:pPr>
      <w:r>
        <w:rPr>
          <w:rFonts w:eastAsia="Times New Roman"/>
          <w:b/>
          <w:bCs/>
          <w:color w:val="000000"/>
          <w:sz w:val="16"/>
          <w:szCs w:val="16"/>
        </w:rPr>
        <w:t>Securities registered pursuant to Section 12(b) of the Act:</w:t>
      </w:r>
    </w:p>
    <w:tbl>
      <w:tblPr>
        <w:tblW w:w="4993" w:type="pct"/>
        <w:jc w:val="center"/>
        <w:tblCellMar>
          <w:top w:w="15" w:type="dxa"/>
          <w:left w:w="15" w:type="dxa"/>
          <w:bottom w:w="15" w:type="dxa"/>
          <w:right w:w="15" w:type="dxa"/>
        </w:tblCellMar>
        <w:tblLook w:val="04A0" w:firstRow="1" w:lastRow="0" w:firstColumn="1" w:lastColumn="0" w:noHBand="0" w:noVBand="1"/>
      </w:tblPr>
      <w:tblGrid>
        <w:gridCol w:w="50"/>
        <w:gridCol w:w="5201"/>
        <w:gridCol w:w="38"/>
        <w:gridCol w:w="89"/>
        <w:gridCol w:w="628"/>
        <w:gridCol w:w="36"/>
        <w:gridCol w:w="50"/>
        <w:gridCol w:w="2166"/>
        <w:gridCol w:w="36"/>
      </w:tblGrid>
      <w:tr w:rsidR="00000000" w14:paraId="4BB43E27" w14:textId="77777777">
        <w:trPr>
          <w:jc w:val="center"/>
        </w:trPr>
        <w:tc>
          <w:tcPr>
            <w:tcW w:w="50" w:type="pct"/>
            <w:vAlign w:val="center"/>
            <w:hideMark/>
          </w:tcPr>
          <w:p w14:paraId="7F00AF65" w14:textId="77777777" w:rsidR="00000000" w:rsidRDefault="00A173A8">
            <w:pPr>
              <w:jc w:val="center"/>
              <w:rPr>
                <w:rFonts w:eastAsia="Times New Roman"/>
              </w:rPr>
            </w:pPr>
          </w:p>
        </w:tc>
        <w:tc>
          <w:tcPr>
            <w:tcW w:w="3154" w:type="pct"/>
            <w:vAlign w:val="center"/>
            <w:hideMark/>
          </w:tcPr>
          <w:p w14:paraId="5855BD89" w14:textId="77777777" w:rsidR="00000000" w:rsidRDefault="00A173A8">
            <w:pPr>
              <w:spacing w:after="100"/>
              <w:rPr>
                <w:rFonts w:eastAsia="Times New Roman"/>
                <w:sz w:val="20"/>
                <w:szCs w:val="20"/>
              </w:rPr>
            </w:pPr>
          </w:p>
        </w:tc>
        <w:tc>
          <w:tcPr>
            <w:tcW w:w="5" w:type="pct"/>
            <w:vAlign w:val="center"/>
            <w:hideMark/>
          </w:tcPr>
          <w:p w14:paraId="6C5516BF" w14:textId="77777777" w:rsidR="00000000" w:rsidRDefault="00A173A8">
            <w:pPr>
              <w:spacing w:after="100"/>
              <w:rPr>
                <w:rFonts w:eastAsia="Times New Roman"/>
                <w:sz w:val="20"/>
                <w:szCs w:val="20"/>
              </w:rPr>
            </w:pPr>
          </w:p>
        </w:tc>
        <w:tc>
          <w:tcPr>
            <w:tcW w:w="50" w:type="pct"/>
            <w:vAlign w:val="center"/>
            <w:hideMark/>
          </w:tcPr>
          <w:p w14:paraId="17567F65" w14:textId="77777777" w:rsidR="00000000" w:rsidRDefault="00A173A8">
            <w:pPr>
              <w:spacing w:after="100"/>
              <w:rPr>
                <w:rFonts w:eastAsia="Times New Roman"/>
                <w:sz w:val="20"/>
                <w:szCs w:val="20"/>
              </w:rPr>
            </w:pPr>
          </w:p>
        </w:tc>
        <w:tc>
          <w:tcPr>
            <w:tcW w:w="355" w:type="pct"/>
            <w:vAlign w:val="center"/>
            <w:hideMark/>
          </w:tcPr>
          <w:p w14:paraId="6C620FA5" w14:textId="77777777" w:rsidR="00000000" w:rsidRDefault="00A173A8">
            <w:pPr>
              <w:spacing w:after="100"/>
              <w:rPr>
                <w:rFonts w:eastAsia="Times New Roman"/>
                <w:sz w:val="20"/>
                <w:szCs w:val="20"/>
              </w:rPr>
            </w:pPr>
          </w:p>
        </w:tc>
        <w:tc>
          <w:tcPr>
            <w:tcW w:w="5" w:type="pct"/>
            <w:vAlign w:val="center"/>
            <w:hideMark/>
          </w:tcPr>
          <w:p w14:paraId="08FF1180" w14:textId="77777777" w:rsidR="00000000" w:rsidRDefault="00A173A8">
            <w:pPr>
              <w:spacing w:after="100"/>
              <w:rPr>
                <w:rFonts w:eastAsia="Times New Roman"/>
                <w:sz w:val="20"/>
                <w:szCs w:val="20"/>
              </w:rPr>
            </w:pPr>
          </w:p>
        </w:tc>
        <w:tc>
          <w:tcPr>
            <w:tcW w:w="50" w:type="pct"/>
            <w:vAlign w:val="center"/>
            <w:hideMark/>
          </w:tcPr>
          <w:p w14:paraId="3C4F05FC" w14:textId="77777777" w:rsidR="00000000" w:rsidRDefault="00A173A8">
            <w:pPr>
              <w:spacing w:after="100"/>
              <w:rPr>
                <w:rFonts w:eastAsia="Times New Roman"/>
                <w:sz w:val="20"/>
                <w:szCs w:val="20"/>
              </w:rPr>
            </w:pPr>
          </w:p>
        </w:tc>
        <w:tc>
          <w:tcPr>
            <w:tcW w:w="1324" w:type="pct"/>
            <w:vAlign w:val="center"/>
            <w:hideMark/>
          </w:tcPr>
          <w:p w14:paraId="3EA56E03" w14:textId="77777777" w:rsidR="00000000" w:rsidRDefault="00A173A8">
            <w:pPr>
              <w:spacing w:after="100"/>
              <w:rPr>
                <w:rFonts w:eastAsia="Times New Roman"/>
                <w:sz w:val="20"/>
                <w:szCs w:val="20"/>
              </w:rPr>
            </w:pPr>
          </w:p>
        </w:tc>
        <w:tc>
          <w:tcPr>
            <w:tcW w:w="5" w:type="pct"/>
            <w:vAlign w:val="center"/>
            <w:hideMark/>
          </w:tcPr>
          <w:p w14:paraId="6B7A3E48" w14:textId="77777777" w:rsidR="00000000" w:rsidRDefault="00A173A8">
            <w:pPr>
              <w:spacing w:after="100"/>
              <w:rPr>
                <w:rFonts w:eastAsia="Times New Roman"/>
                <w:sz w:val="20"/>
                <w:szCs w:val="20"/>
              </w:rPr>
            </w:pPr>
          </w:p>
        </w:tc>
      </w:tr>
      <w:tr w:rsidR="00000000" w14:paraId="09B27F38" w14:textId="77777777">
        <w:trPr>
          <w:jc w:val="center"/>
        </w:trPr>
        <w:tc>
          <w:tcPr>
            <w:tcW w:w="0" w:type="auto"/>
            <w:gridSpan w:val="3"/>
            <w:tcMar>
              <w:top w:w="30" w:type="dxa"/>
              <w:left w:w="20" w:type="dxa"/>
              <w:bottom w:w="30" w:type="dxa"/>
              <w:right w:w="20" w:type="dxa"/>
            </w:tcMar>
            <w:vAlign w:val="bottom"/>
            <w:hideMark/>
          </w:tcPr>
          <w:p w14:paraId="5CC12A85" w14:textId="77777777" w:rsidR="00000000" w:rsidRDefault="00A173A8">
            <w:pPr>
              <w:spacing w:after="100"/>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14:paraId="79890DAD" w14:textId="77777777" w:rsidR="00000000" w:rsidRDefault="00A173A8">
            <w:pPr>
              <w:spacing w:after="100"/>
              <w:jc w:val="center"/>
              <w:rPr>
                <w:rFonts w:eastAsia="Times New Roman"/>
              </w:rPr>
            </w:pPr>
            <w:r>
              <w:rPr>
                <w:rFonts w:eastAsia="Times New Roman"/>
                <w:b/>
                <w:bCs/>
                <w:color w:val="000000"/>
                <w:sz w:val="16"/>
                <w:szCs w:val="16"/>
              </w:rPr>
              <w:t>Trading Symbol(s)</w:t>
            </w:r>
          </w:p>
        </w:tc>
        <w:tc>
          <w:tcPr>
            <w:tcW w:w="0" w:type="auto"/>
            <w:gridSpan w:val="3"/>
            <w:tcMar>
              <w:top w:w="30" w:type="dxa"/>
              <w:left w:w="20" w:type="dxa"/>
              <w:bottom w:w="30" w:type="dxa"/>
              <w:right w:w="20" w:type="dxa"/>
            </w:tcMar>
            <w:vAlign w:val="bottom"/>
            <w:hideMark/>
          </w:tcPr>
          <w:p w14:paraId="19DE8C21" w14:textId="77777777" w:rsidR="00000000" w:rsidRDefault="00A173A8">
            <w:pPr>
              <w:spacing w:after="100"/>
              <w:jc w:val="center"/>
              <w:rPr>
                <w:rFonts w:eastAsia="Times New Roman"/>
              </w:rPr>
            </w:pPr>
            <w:r>
              <w:rPr>
                <w:rFonts w:eastAsia="Times New Roman"/>
                <w:b/>
                <w:bCs/>
                <w:color w:val="000000"/>
                <w:sz w:val="16"/>
                <w:szCs w:val="16"/>
              </w:rPr>
              <w:t>Name of Each Exchange on Which Registered</w:t>
            </w:r>
          </w:p>
        </w:tc>
      </w:tr>
      <w:tr w:rsidR="00000000" w14:paraId="28ADA4C8" w14:textId="77777777">
        <w:trPr>
          <w:jc w:val="center"/>
        </w:trPr>
        <w:tc>
          <w:tcPr>
            <w:tcW w:w="0" w:type="auto"/>
            <w:gridSpan w:val="3"/>
            <w:tcMar>
              <w:top w:w="30" w:type="dxa"/>
              <w:left w:w="20" w:type="dxa"/>
              <w:bottom w:w="30" w:type="dxa"/>
              <w:right w:w="20" w:type="dxa"/>
            </w:tcMar>
            <w:hideMark/>
          </w:tcPr>
          <w:p w14:paraId="1FC747C9" w14:textId="77777777" w:rsidR="00000000" w:rsidRDefault="00A173A8">
            <w:pPr>
              <w:spacing w:after="100"/>
              <w:jc w:val="center"/>
              <w:rPr>
                <w:rFonts w:eastAsia="Times New Roman"/>
              </w:rPr>
            </w:pPr>
            <w:r>
              <w:rPr>
                <w:rFonts w:eastAsia="Times New Roman"/>
                <w:color w:val="000000"/>
                <w:sz w:val="16"/>
                <w:szCs w:val="16"/>
              </w:rPr>
              <w:t>Common Stock (par value $.01 per share)</w:t>
            </w:r>
          </w:p>
        </w:tc>
        <w:tc>
          <w:tcPr>
            <w:tcW w:w="0" w:type="auto"/>
            <w:gridSpan w:val="3"/>
            <w:tcMar>
              <w:top w:w="30" w:type="dxa"/>
              <w:left w:w="20" w:type="dxa"/>
              <w:bottom w:w="30" w:type="dxa"/>
              <w:right w:w="20" w:type="dxa"/>
            </w:tcMar>
            <w:hideMark/>
          </w:tcPr>
          <w:p w14:paraId="3B19A597" w14:textId="77777777" w:rsidR="00000000" w:rsidRDefault="00A173A8">
            <w:pPr>
              <w:spacing w:after="100"/>
              <w:jc w:val="center"/>
              <w:rPr>
                <w:rFonts w:eastAsia="Times New Roman"/>
              </w:rPr>
            </w:pPr>
            <w:r>
              <w:rPr>
                <w:rFonts w:eastAsia="Times New Roman"/>
                <w:color w:val="000000"/>
                <w:sz w:val="16"/>
                <w:szCs w:val="16"/>
              </w:rPr>
              <w:t>COF</w:t>
            </w:r>
          </w:p>
        </w:tc>
        <w:tc>
          <w:tcPr>
            <w:tcW w:w="0" w:type="auto"/>
            <w:gridSpan w:val="3"/>
            <w:tcMar>
              <w:top w:w="30" w:type="dxa"/>
              <w:left w:w="20" w:type="dxa"/>
              <w:bottom w:w="30" w:type="dxa"/>
              <w:right w:w="20" w:type="dxa"/>
            </w:tcMar>
            <w:hideMark/>
          </w:tcPr>
          <w:p w14:paraId="61F254D7" w14:textId="77777777" w:rsidR="00000000" w:rsidRDefault="00A173A8">
            <w:pPr>
              <w:spacing w:after="100"/>
              <w:jc w:val="center"/>
              <w:divId w:val="1538204077"/>
              <w:rPr>
                <w:rFonts w:eastAsia="Times New Roman"/>
              </w:rPr>
            </w:pPr>
            <w:r>
              <w:rPr>
                <w:rFonts w:eastAsia="Times New Roman"/>
                <w:color w:val="000000"/>
                <w:sz w:val="16"/>
                <w:szCs w:val="16"/>
              </w:rPr>
              <w:t>New York Stock Exchange</w:t>
            </w:r>
          </w:p>
        </w:tc>
      </w:tr>
      <w:tr w:rsidR="00000000" w14:paraId="3506AA55" w14:textId="77777777">
        <w:trPr>
          <w:jc w:val="center"/>
        </w:trPr>
        <w:tc>
          <w:tcPr>
            <w:tcW w:w="0" w:type="auto"/>
            <w:gridSpan w:val="3"/>
            <w:tcMar>
              <w:top w:w="30" w:type="dxa"/>
              <w:left w:w="20" w:type="dxa"/>
              <w:bottom w:w="30" w:type="dxa"/>
              <w:right w:w="20" w:type="dxa"/>
            </w:tcMar>
            <w:hideMark/>
          </w:tcPr>
          <w:p w14:paraId="28975CFB" w14:textId="77777777" w:rsidR="00000000" w:rsidRDefault="00A173A8">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I</w:t>
            </w:r>
          </w:p>
        </w:tc>
        <w:tc>
          <w:tcPr>
            <w:tcW w:w="0" w:type="auto"/>
            <w:gridSpan w:val="3"/>
            <w:tcMar>
              <w:top w:w="30" w:type="dxa"/>
              <w:left w:w="20" w:type="dxa"/>
              <w:bottom w:w="30" w:type="dxa"/>
              <w:right w:w="20" w:type="dxa"/>
            </w:tcMar>
            <w:hideMark/>
          </w:tcPr>
          <w:p w14:paraId="51D6D83B" w14:textId="77777777" w:rsidR="00000000" w:rsidRDefault="00A173A8">
            <w:pPr>
              <w:spacing w:after="100"/>
              <w:jc w:val="center"/>
              <w:rPr>
                <w:rFonts w:eastAsia="Times New Roman"/>
              </w:rPr>
            </w:pPr>
            <w:r>
              <w:rPr>
                <w:rFonts w:eastAsia="Times New Roman"/>
                <w:color w:val="000000"/>
                <w:sz w:val="16"/>
                <w:szCs w:val="16"/>
              </w:rPr>
              <w:t>COF PRI</w:t>
            </w:r>
          </w:p>
        </w:tc>
        <w:tc>
          <w:tcPr>
            <w:tcW w:w="0" w:type="auto"/>
            <w:gridSpan w:val="3"/>
            <w:tcMar>
              <w:top w:w="30" w:type="dxa"/>
              <w:left w:w="20" w:type="dxa"/>
              <w:bottom w:w="30" w:type="dxa"/>
              <w:right w:w="20" w:type="dxa"/>
            </w:tcMar>
            <w:hideMark/>
          </w:tcPr>
          <w:p w14:paraId="3A32417A" w14:textId="77777777" w:rsidR="00000000" w:rsidRDefault="00A173A8">
            <w:pPr>
              <w:spacing w:after="100"/>
              <w:jc w:val="center"/>
              <w:divId w:val="1846438793"/>
              <w:rPr>
                <w:rFonts w:eastAsia="Times New Roman"/>
              </w:rPr>
            </w:pPr>
            <w:r>
              <w:rPr>
                <w:rFonts w:eastAsia="Times New Roman"/>
                <w:color w:val="000000"/>
                <w:sz w:val="16"/>
                <w:szCs w:val="16"/>
              </w:rPr>
              <w:t>New York Stock Exchange</w:t>
            </w:r>
          </w:p>
        </w:tc>
      </w:tr>
      <w:tr w:rsidR="00000000" w14:paraId="40B5FD97" w14:textId="77777777">
        <w:trPr>
          <w:jc w:val="center"/>
        </w:trPr>
        <w:tc>
          <w:tcPr>
            <w:tcW w:w="0" w:type="auto"/>
            <w:gridSpan w:val="3"/>
            <w:tcMar>
              <w:top w:w="30" w:type="dxa"/>
              <w:left w:w="20" w:type="dxa"/>
              <w:bottom w:w="30" w:type="dxa"/>
              <w:right w:w="20" w:type="dxa"/>
            </w:tcMar>
            <w:hideMark/>
          </w:tcPr>
          <w:p w14:paraId="5BC13D85" w14:textId="77777777" w:rsidR="00000000" w:rsidRDefault="00A173A8">
            <w:pPr>
              <w:spacing w:after="100"/>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J</w:t>
            </w:r>
          </w:p>
        </w:tc>
        <w:tc>
          <w:tcPr>
            <w:tcW w:w="0" w:type="auto"/>
            <w:gridSpan w:val="3"/>
            <w:tcMar>
              <w:top w:w="30" w:type="dxa"/>
              <w:left w:w="20" w:type="dxa"/>
              <w:bottom w:w="30" w:type="dxa"/>
              <w:right w:w="20" w:type="dxa"/>
            </w:tcMar>
            <w:hideMark/>
          </w:tcPr>
          <w:p w14:paraId="1F61EB77" w14:textId="77777777" w:rsidR="00000000" w:rsidRDefault="00A173A8">
            <w:pPr>
              <w:spacing w:after="100"/>
              <w:jc w:val="center"/>
              <w:rPr>
                <w:rFonts w:eastAsia="Times New Roman"/>
              </w:rPr>
            </w:pPr>
            <w:r>
              <w:rPr>
                <w:rFonts w:eastAsia="Times New Roman"/>
                <w:color w:val="000000"/>
                <w:sz w:val="16"/>
                <w:szCs w:val="16"/>
              </w:rPr>
              <w:t>COF PRJ</w:t>
            </w:r>
          </w:p>
        </w:tc>
        <w:tc>
          <w:tcPr>
            <w:tcW w:w="0" w:type="auto"/>
            <w:gridSpan w:val="3"/>
            <w:tcMar>
              <w:top w:w="30" w:type="dxa"/>
              <w:left w:w="20" w:type="dxa"/>
              <w:bottom w:w="30" w:type="dxa"/>
              <w:right w:w="20" w:type="dxa"/>
            </w:tcMar>
            <w:hideMark/>
          </w:tcPr>
          <w:p w14:paraId="0A92E709" w14:textId="77777777" w:rsidR="00000000" w:rsidRDefault="00A173A8">
            <w:pPr>
              <w:spacing w:after="100"/>
              <w:jc w:val="center"/>
              <w:divId w:val="298341656"/>
              <w:rPr>
                <w:rFonts w:eastAsia="Times New Roman"/>
              </w:rPr>
            </w:pPr>
            <w:r>
              <w:rPr>
                <w:rFonts w:eastAsia="Times New Roman"/>
                <w:color w:val="000000"/>
                <w:sz w:val="16"/>
                <w:szCs w:val="16"/>
              </w:rPr>
              <w:t>New York Stock Exchange</w:t>
            </w:r>
          </w:p>
        </w:tc>
      </w:tr>
      <w:tr w:rsidR="00000000" w14:paraId="6FF30969" w14:textId="77777777">
        <w:trPr>
          <w:jc w:val="center"/>
        </w:trPr>
        <w:tc>
          <w:tcPr>
            <w:tcW w:w="0" w:type="auto"/>
            <w:gridSpan w:val="3"/>
            <w:tcMar>
              <w:top w:w="30" w:type="dxa"/>
              <w:left w:w="20" w:type="dxa"/>
              <w:bottom w:w="30" w:type="dxa"/>
              <w:right w:w="20" w:type="dxa"/>
            </w:tcMar>
            <w:hideMark/>
          </w:tcPr>
          <w:p w14:paraId="20CE61F9" w14:textId="77777777" w:rsidR="00000000" w:rsidRDefault="00A173A8">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K</w:t>
            </w:r>
          </w:p>
        </w:tc>
        <w:tc>
          <w:tcPr>
            <w:tcW w:w="0" w:type="auto"/>
            <w:gridSpan w:val="3"/>
            <w:tcMar>
              <w:top w:w="30" w:type="dxa"/>
              <w:left w:w="20" w:type="dxa"/>
              <w:bottom w:w="30" w:type="dxa"/>
              <w:right w:w="20" w:type="dxa"/>
            </w:tcMar>
            <w:hideMark/>
          </w:tcPr>
          <w:p w14:paraId="28915850" w14:textId="77777777" w:rsidR="00000000" w:rsidRDefault="00A173A8">
            <w:pPr>
              <w:spacing w:after="100"/>
              <w:jc w:val="center"/>
              <w:rPr>
                <w:rFonts w:eastAsia="Times New Roman"/>
              </w:rPr>
            </w:pPr>
            <w:r>
              <w:rPr>
                <w:rFonts w:eastAsia="Times New Roman"/>
                <w:color w:val="000000"/>
                <w:sz w:val="16"/>
                <w:szCs w:val="16"/>
              </w:rPr>
              <w:t>COF PRK</w:t>
            </w:r>
          </w:p>
        </w:tc>
        <w:tc>
          <w:tcPr>
            <w:tcW w:w="0" w:type="auto"/>
            <w:gridSpan w:val="3"/>
            <w:tcMar>
              <w:top w:w="30" w:type="dxa"/>
              <w:left w:w="20" w:type="dxa"/>
              <w:bottom w:w="30" w:type="dxa"/>
              <w:right w:w="20" w:type="dxa"/>
            </w:tcMar>
            <w:hideMark/>
          </w:tcPr>
          <w:p w14:paraId="6AF5BA25" w14:textId="77777777" w:rsidR="00000000" w:rsidRDefault="00A173A8">
            <w:pPr>
              <w:spacing w:after="100"/>
              <w:jc w:val="center"/>
              <w:divId w:val="367147647"/>
              <w:rPr>
                <w:rFonts w:eastAsia="Times New Roman"/>
              </w:rPr>
            </w:pPr>
            <w:r>
              <w:rPr>
                <w:rFonts w:eastAsia="Times New Roman"/>
                <w:color w:val="000000"/>
                <w:sz w:val="16"/>
                <w:szCs w:val="16"/>
              </w:rPr>
              <w:t>New York Stock Exchange</w:t>
            </w:r>
          </w:p>
        </w:tc>
      </w:tr>
      <w:tr w:rsidR="00000000" w14:paraId="49CC79DF" w14:textId="77777777">
        <w:trPr>
          <w:jc w:val="center"/>
        </w:trPr>
        <w:tc>
          <w:tcPr>
            <w:tcW w:w="0" w:type="auto"/>
            <w:gridSpan w:val="3"/>
            <w:tcMar>
              <w:top w:w="30" w:type="dxa"/>
              <w:left w:w="20" w:type="dxa"/>
              <w:bottom w:w="30" w:type="dxa"/>
              <w:right w:w="20" w:type="dxa"/>
            </w:tcMar>
            <w:hideMark/>
          </w:tcPr>
          <w:p w14:paraId="59BCF79B" w14:textId="77777777" w:rsidR="00000000" w:rsidRDefault="00A173A8">
            <w:pPr>
              <w:spacing w:after="100"/>
              <w:jc w:val="center"/>
              <w:rPr>
                <w:rFonts w:eastAsia="Times New Roman"/>
              </w:rPr>
            </w:pPr>
            <w:r>
              <w:rPr>
                <w:rFonts w:eastAsia="Times New Roman"/>
                <w:color w:val="000000"/>
                <w:sz w:val="16"/>
                <w:szCs w:val="16"/>
              </w:rPr>
              <w:t>Depositary Shares, Each Representing a 1/40th Interest in a Share of Fixed Rate Non-Cumulative Perpetual Preferred Stock, Series L</w:t>
            </w:r>
          </w:p>
        </w:tc>
        <w:tc>
          <w:tcPr>
            <w:tcW w:w="0" w:type="auto"/>
            <w:gridSpan w:val="3"/>
            <w:tcMar>
              <w:top w:w="30" w:type="dxa"/>
              <w:left w:w="20" w:type="dxa"/>
              <w:bottom w:w="30" w:type="dxa"/>
              <w:right w:w="20" w:type="dxa"/>
            </w:tcMar>
            <w:hideMark/>
          </w:tcPr>
          <w:p w14:paraId="4173D5E4" w14:textId="77777777" w:rsidR="00000000" w:rsidRDefault="00A173A8">
            <w:pPr>
              <w:spacing w:after="100"/>
              <w:jc w:val="center"/>
              <w:rPr>
                <w:rFonts w:eastAsia="Times New Roman"/>
              </w:rPr>
            </w:pPr>
            <w:r>
              <w:rPr>
                <w:rFonts w:eastAsia="Times New Roman"/>
                <w:color w:val="000000"/>
                <w:sz w:val="16"/>
                <w:szCs w:val="16"/>
              </w:rPr>
              <w:t>COF PRL</w:t>
            </w:r>
          </w:p>
        </w:tc>
        <w:tc>
          <w:tcPr>
            <w:tcW w:w="0" w:type="auto"/>
            <w:gridSpan w:val="3"/>
            <w:tcMar>
              <w:top w:w="30" w:type="dxa"/>
              <w:left w:w="20" w:type="dxa"/>
              <w:bottom w:w="30" w:type="dxa"/>
              <w:right w:w="20" w:type="dxa"/>
            </w:tcMar>
            <w:hideMark/>
          </w:tcPr>
          <w:p w14:paraId="13E16AD7" w14:textId="77777777" w:rsidR="00000000" w:rsidRDefault="00A173A8">
            <w:pPr>
              <w:spacing w:after="100"/>
              <w:jc w:val="center"/>
              <w:divId w:val="972102147"/>
              <w:rPr>
                <w:rFonts w:eastAsia="Times New Roman"/>
              </w:rPr>
            </w:pPr>
            <w:r>
              <w:rPr>
                <w:rFonts w:eastAsia="Times New Roman"/>
                <w:color w:val="000000"/>
                <w:sz w:val="16"/>
                <w:szCs w:val="16"/>
              </w:rPr>
              <w:t>New York Stock Exchange</w:t>
            </w:r>
          </w:p>
        </w:tc>
      </w:tr>
      <w:tr w:rsidR="00000000" w14:paraId="547AB0DB" w14:textId="77777777">
        <w:trPr>
          <w:jc w:val="center"/>
        </w:trPr>
        <w:tc>
          <w:tcPr>
            <w:tcW w:w="0" w:type="auto"/>
            <w:gridSpan w:val="3"/>
            <w:tcMar>
              <w:top w:w="30" w:type="dxa"/>
              <w:left w:w="20" w:type="dxa"/>
              <w:bottom w:w="30" w:type="dxa"/>
              <w:right w:w="20" w:type="dxa"/>
            </w:tcMar>
            <w:hideMark/>
          </w:tcPr>
          <w:p w14:paraId="446C2997" w14:textId="77777777" w:rsidR="00000000" w:rsidRDefault="00A173A8">
            <w:pPr>
              <w:spacing w:after="100"/>
              <w:jc w:val="center"/>
              <w:rPr>
                <w:rFonts w:eastAsia="Times New Roman"/>
              </w:rPr>
            </w:pPr>
            <w:r>
              <w:rPr>
                <w:rFonts w:eastAsia="Times New Roman"/>
                <w:color w:val="000000"/>
                <w:sz w:val="16"/>
                <w:szCs w:val="16"/>
              </w:rPr>
              <w:t>Depositary Shares, Each Representing a 1/40th Interest in a</w:t>
            </w:r>
            <w:r>
              <w:rPr>
                <w:rFonts w:eastAsia="Times New Roman"/>
                <w:color w:val="000000"/>
                <w:sz w:val="16"/>
                <w:szCs w:val="16"/>
              </w:rPr>
              <w:t xml:space="preserve"> Share of Fixed Rate Non-Cumulative Perpetual Preferred Stock, Series N</w:t>
            </w:r>
          </w:p>
        </w:tc>
        <w:tc>
          <w:tcPr>
            <w:tcW w:w="0" w:type="auto"/>
            <w:gridSpan w:val="3"/>
            <w:tcMar>
              <w:top w:w="30" w:type="dxa"/>
              <w:left w:w="20" w:type="dxa"/>
              <w:bottom w:w="30" w:type="dxa"/>
              <w:right w:w="20" w:type="dxa"/>
            </w:tcMar>
            <w:hideMark/>
          </w:tcPr>
          <w:p w14:paraId="04846DEF" w14:textId="77777777" w:rsidR="00000000" w:rsidRDefault="00A173A8">
            <w:pPr>
              <w:spacing w:after="100"/>
              <w:jc w:val="center"/>
              <w:rPr>
                <w:rFonts w:eastAsia="Times New Roman"/>
              </w:rPr>
            </w:pPr>
            <w:r>
              <w:rPr>
                <w:rFonts w:eastAsia="Times New Roman"/>
                <w:color w:val="000000"/>
                <w:sz w:val="16"/>
                <w:szCs w:val="16"/>
              </w:rPr>
              <w:t>COF PRN</w:t>
            </w:r>
          </w:p>
        </w:tc>
        <w:tc>
          <w:tcPr>
            <w:tcW w:w="0" w:type="auto"/>
            <w:gridSpan w:val="3"/>
            <w:tcMar>
              <w:top w:w="30" w:type="dxa"/>
              <w:left w:w="20" w:type="dxa"/>
              <w:bottom w:w="30" w:type="dxa"/>
              <w:right w:w="20" w:type="dxa"/>
            </w:tcMar>
            <w:hideMark/>
          </w:tcPr>
          <w:p w14:paraId="677A28C3" w14:textId="77777777" w:rsidR="00000000" w:rsidRDefault="00A173A8">
            <w:pPr>
              <w:spacing w:after="100"/>
              <w:jc w:val="center"/>
              <w:divId w:val="1959020009"/>
              <w:rPr>
                <w:rFonts w:eastAsia="Times New Roman"/>
              </w:rPr>
            </w:pPr>
            <w:r>
              <w:rPr>
                <w:rFonts w:eastAsia="Times New Roman"/>
                <w:color w:val="000000"/>
                <w:sz w:val="16"/>
                <w:szCs w:val="16"/>
              </w:rPr>
              <w:t>New York Stock Exchange</w:t>
            </w:r>
          </w:p>
        </w:tc>
      </w:tr>
      <w:tr w:rsidR="00000000" w14:paraId="1361B50E" w14:textId="77777777">
        <w:trPr>
          <w:jc w:val="center"/>
        </w:trPr>
        <w:tc>
          <w:tcPr>
            <w:tcW w:w="0" w:type="auto"/>
            <w:gridSpan w:val="3"/>
            <w:tcMar>
              <w:top w:w="30" w:type="dxa"/>
              <w:left w:w="20" w:type="dxa"/>
              <w:bottom w:w="30" w:type="dxa"/>
              <w:right w:w="20" w:type="dxa"/>
            </w:tcMar>
            <w:hideMark/>
          </w:tcPr>
          <w:p w14:paraId="01DFB09B" w14:textId="77777777" w:rsidR="00000000" w:rsidRDefault="00A173A8">
            <w:pPr>
              <w:spacing w:after="100"/>
              <w:jc w:val="center"/>
              <w:rPr>
                <w:rFonts w:eastAsia="Times New Roman"/>
              </w:rPr>
            </w:pPr>
            <w:r>
              <w:rPr>
                <w:rFonts w:eastAsia="Times New Roman"/>
                <w:color w:val="000000"/>
                <w:sz w:val="16"/>
                <w:szCs w:val="16"/>
              </w:rPr>
              <w:t>0.800% Senior Notes Due 2024</w:t>
            </w:r>
          </w:p>
        </w:tc>
        <w:tc>
          <w:tcPr>
            <w:tcW w:w="0" w:type="auto"/>
            <w:gridSpan w:val="3"/>
            <w:tcMar>
              <w:top w:w="30" w:type="dxa"/>
              <w:left w:w="20" w:type="dxa"/>
              <w:bottom w:w="30" w:type="dxa"/>
              <w:right w:w="20" w:type="dxa"/>
            </w:tcMar>
            <w:hideMark/>
          </w:tcPr>
          <w:p w14:paraId="7D86E520" w14:textId="77777777" w:rsidR="00000000" w:rsidRDefault="00A173A8">
            <w:pPr>
              <w:spacing w:after="100"/>
              <w:jc w:val="center"/>
              <w:rPr>
                <w:rFonts w:eastAsia="Times New Roman"/>
              </w:rPr>
            </w:pPr>
            <w:r>
              <w:rPr>
                <w:rFonts w:eastAsia="Times New Roman"/>
                <w:color w:val="000000"/>
                <w:sz w:val="16"/>
                <w:szCs w:val="16"/>
              </w:rPr>
              <w:t>COF24</w:t>
            </w:r>
          </w:p>
        </w:tc>
        <w:tc>
          <w:tcPr>
            <w:tcW w:w="0" w:type="auto"/>
            <w:gridSpan w:val="3"/>
            <w:tcMar>
              <w:top w:w="30" w:type="dxa"/>
              <w:left w:w="20" w:type="dxa"/>
              <w:bottom w:w="30" w:type="dxa"/>
              <w:right w:w="20" w:type="dxa"/>
            </w:tcMar>
            <w:hideMark/>
          </w:tcPr>
          <w:p w14:paraId="3B10ED05" w14:textId="77777777" w:rsidR="00000000" w:rsidRDefault="00A173A8">
            <w:pPr>
              <w:spacing w:after="100"/>
              <w:jc w:val="center"/>
              <w:divId w:val="575162940"/>
              <w:rPr>
                <w:rFonts w:eastAsia="Times New Roman"/>
              </w:rPr>
            </w:pPr>
            <w:r>
              <w:rPr>
                <w:rFonts w:eastAsia="Times New Roman"/>
                <w:color w:val="000000"/>
                <w:sz w:val="16"/>
                <w:szCs w:val="16"/>
              </w:rPr>
              <w:t>New York Stock Exchange</w:t>
            </w:r>
          </w:p>
        </w:tc>
      </w:tr>
      <w:tr w:rsidR="00000000" w14:paraId="7F13ADA9" w14:textId="77777777">
        <w:trPr>
          <w:jc w:val="center"/>
        </w:trPr>
        <w:tc>
          <w:tcPr>
            <w:tcW w:w="0" w:type="auto"/>
            <w:gridSpan w:val="3"/>
            <w:tcMar>
              <w:top w:w="30" w:type="dxa"/>
              <w:left w:w="20" w:type="dxa"/>
              <w:bottom w:w="30" w:type="dxa"/>
              <w:right w:w="20" w:type="dxa"/>
            </w:tcMar>
            <w:hideMark/>
          </w:tcPr>
          <w:p w14:paraId="266BA491" w14:textId="77777777" w:rsidR="00000000" w:rsidRDefault="00A173A8">
            <w:pPr>
              <w:spacing w:after="100"/>
              <w:jc w:val="center"/>
              <w:rPr>
                <w:rFonts w:eastAsia="Times New Roman"/>
              </w:rPr>
            </w:pPr>
            <w:r>
              <w:rPr>
                <w:rFonts w:eastAsia="Times New Roman"/>
                <w:color w:val="000000"/>
                <w:sz w:val="16"/>
                <w:szCs w:val="16"/>
              </w:rPr>
              <w:t>1.650% Senior Notes Due 2029</w:t>
            </w:r>
          </w:p>
        </w:tc>
        <w:tc>
          <w:tcPr>
            <w:tcW w:w="0" w:type="auto"/>
            <w:gridSpan w:val="3"/>
            <w:tcMar>
              <w:top w:w="30" w:type="dxa"/>
              <w:left w:w="20" w:type="dxa"/>
              <w:bottom w:w="30" w:type="dxa"/>
              <w:right w:w="20" w:type="dxa"/>
            </w:tcMar>
            <w:hideMark/>
          </w:tcPr>
          <w:p w14:paraId="0A951749" w14:textId="77777777" w:rsidR="00000000" w:rsidRDefault="00A173A8">
            <w:pPr>
              <w:spacing w:after="100"/>
              <w:jc w:val="center"/>
              <w:rPr>
                <w:rFonts w:eastAsia="Times New Roman"/>
              </w:rPr>
            </w:pPr>
            <w:r>
              <w:rPr>
                <w:rFonts w:eastAsia="Times New Roman"/>
                <w:color w:val="000000"/>
                <w:sz w:val="16"/>
                <w:szCs w:val="16"/>
              </w:rPr>
              <w:t>COF29</w:t>
            </w:r>
          </w:p>
        </w:tc>
        <w:tc>
          <w:tcPr>
            <w:tcW w:w="0" w:type="auto"/>
            <w:gridSpan w:val="3"/>
            <w:tcMar>
              <w:top w:w="30" w:type="dxa"/>
              <w:left w:w="20" w:type="dxa"/>
              <w:bottom w:w="30" w:type="dxa"/>
              <w:right w:w="20" w:type="dxa"/>
            </w:tcMar>
            <w:hideMark/>
          </w:tcPr>
          <w:p w14:paraId="14AAFF5F" w14:textId="77777777" w:rsidR="00000000" w:rsidRDefault="00A173A8">
            <w:pPr>
              <w:spacing w:after="100"/>
              <w:jc w:val="center"/>
              <w:divId w:val="1941714819"/>
              <w:rPr>
                <w:rFonts w:eastAsia="Times New Roman"/>
              </w:rPr>
            </w:pPr>
            <w:r>
              <w:rPr>
                <w:rFonts w:eastAsia="Times New Roman"/>
                <w:color w:val="000000"/>
                <w:sz w:val="16"/>
                <w:szCs w:val="16"/>
              </w:rPr>
              <w:t>New York Stock Exchange</w:t>
            </w:r>
          </w:p>
        </w:tc>
      </w:tr>
    </w:tbl>
    <w:p w14:paraId="30FA178B" w14:textId="77777777" w:rsidR="00000000" w:rsidRDefault="00A173A8">
      <w:pPr>
        <w:jc w:val="center"/>
        <w:rPr>
          <w:rFonts w:eastAsia="Times New Roman"/>
        </w:rPr>
      </w:pPr>
    </w:p>
    <w:p w14:paraId="0565FFC0" w14:textId="77777777" w:rsidR="00000000" w:rsidRDefault="00A173A8">
      <w:pPr>
        <w:jc w:val="both"/>
        <w:divId w:val="1076627178"/>
        <w:rPr>
          <w:rFonts w:eastAsia="Times New Roman"/>
        </w:rPr>
      </w:pPr>
      <w:r>
        <w:rPr>
          <w:rFonts w:eastAsia="Times New Roman"/>
          <w:color w:val="000000"/>
          <w:sz w:val="16"/>
          <w:szCs w:val="16"/>
        </w:rPr>
        <w:t>Indicate by check mark whether the registrant (1) has filed all reports required to be filed by Section </w:t>
      </w:r>
      <w:r>
        <w:rPr>
          <w:rFonts w:eastAsia="Times New Roman"/>
          <w:color w:val="000000"/>
          <w:sz w:val="16"/>
          <w:szCs w:val="16"/>
        </w:rPr>
        <w:t>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14:paraId="35110A78" w14:textId="77777777" w:rsidR="00000000" w:rsidRDefault="00A173A8">
      <w:pPr>
        <w:jc w:val="both"/>
        <w:divId w:val="1271546501"/>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6"/>
          <w:szCs w:val="16"/>
        </w:rPr>
        <w:t>t the registrant was required to submit such files).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14:paraId="69CB6D64" w14:textId="77777777" w:rsidR="00000000" w:rsidRDefault="00A173A8">
      <w:pPr>
        <w:jc w:val="both"/>
        <w:rPr>
          <w:rFonts w:eastAsia="Times New Roman"/>
        </w:rPr>
      </w:pPr>
      <w:r>
        <w:rPr>
          <w:rFonts w:eastAsia="Times New Roman"/>
          <w:color w:val="000000"/>
          <w:sz w:val="16"/>
          <w:szCs w:val="16"/>
        </w:rPr>
        <w:lastRenderedPageBreak/>
        <w:t>Indicate by check mark whether the registrant is a large accelerated filer, an accelerated filer, a non-accelerated filer, a smaller reporting company, or an emerging growth company. See the d</w:t>
      </w:r>
      <w:r>
        <w:rPr>
          <w:rFonts w:eastAsia="Times New Roman"/>
          <w:color w:val="000000"/>
          <w:sz w:val="16"/>
          <w:szCs w:val="16"/>
        </w:rPr>
        <w:t>efinitions of “large accelerated filer,” “accelerated filer,” “smaller reporting company,” and “emerging growth company” in Rule 12b-2 of the Exchange Act</w:t>
      </w:r>
      <w:r>
        <w:rPr>
          <w:rFonts w:eastAsia="Times New Roman"/>
          <w:color w:val="000000"/>
          <w:sz w:val="15"/>
          <w:szCs w:val="15"/>
        </w:rPr>
        <w:t>.</w:t>
      </w:r>
    </w:p>
    <w:p w14:paraId="3C308054" w14:textId="77777777" w:rsidR="00000000" w:rsidRDefault="00A173A8">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1703"/>
        <w:gridCol w:w="36"/>
        <w:gridCol w:w="36"/>
        <w:gridCol w:w="156"/>
        <w:gridCol w:w="36"/>
        <w:gridCol w:w="45"/>
        <w:gridCol w:w="3756"/>
        <w:gridCol w:w="36"/>
        <w:gridCol w:w="37"/>
        <w:gridCol w:w="136"/>
        <w:gridCol w:w="36"/>
        <w:gridCol w:w="87"/>
        <w:gridCol w:w="1696"/>
        <w:gridCol w:w="36"/>
        <w:gridCol w:w="36"/>
        <w:gridCol w:w="136"/>
        <w:gridCol w:w="36"/>
        <w:gridCol w:w="56"/>
        <w:gridCol w:w="129"/>
        <w:gridCol w:w="36"/>
      </w:tblGrid>
      <w:tr w:rsidR="00000000" w14:paraId="5BCAB52A" w14:textId="77777777">
        <w:tc>
          <w:tcPr>
            <w:tcW w:w="50" w:type="pct"/>
            <w:vAlign w:val="center"/>
            <w:hideMark/>
          </w:tcPr>
          <w:p w14:paraId="2BB7D8AE" w14:textId="77777777" w:rsidR="00000000" w:rsidRDefault="00A173A8">
            <w:pPr>
              <w:jc w:val="both"/>
              <w:rPr>
                <w:rFonts w:eastAsia="Times New Roman"/>
              </w:rPr>
            </w:pPr>
          </w:p>
        </w:tc>
        <w:tc>
          <w:tcPr>
            <w:tcW w:w="1047" w:type="pct"/>
            <w:vAlign w:val="center"/>
            <w:hideMark/>
          </w:tcPr>
          <w:p w14:paraId="47004D99" w14:textId="77777777" w:rsidR="00000000" w:rsidRDefault="00A173A8">
            <w:pPr>
              <w:spacing w:after="100"/>
              <w:rPr>
                <w:rFonts w:eastAsia="Times New Roman"/>
                <w:sz w:val="20"/>
                <w:szCs w:val="20"/>
              </w:rPr>
            </w:pPr>
          </w:p>
        </w:tc>
        <w:tc>
          <w:tcPr>
            <w:tcW w:w="5" w:type="pct"/>
            <w:vAlign w:val="center"/>
            <w:hideMark/>
          </w:tcPr>
          <w:p w14:paraId="71ADBDDF" w14:textId="77777777" w:rsidR="00000000" w:rsidRDefault="00A173A8">
            <w:pPr>
              <w:spacing w:after="100"/>
              <w:rPr>
                <w:rFonts w:eastAsia="Times New Roman"/>
                <w:sz w:val="20"/>
                <w:szCs w:val="20"/>
              </w:rPr>
            </w:pPr>
          </w:p>
        </w:tc>
        <w:tc>
          <w:tcPr>
            <w:tcW w:w="5" w:type="pct"/>
            <w:vAlign w:val="center"/>
            <w:hideMark/>
          </w:tcPr>
          <w:p w14:paraId="315A054E" w14:textId="77777777" w:rsidR="00000000" w:rsidRDefault="00A173A8">
            <w:pPr>
              <w:spacing w:after="100"/>
              <w:rPr>
                <w:rFonts w:eastAsia="Times New Roman"/>
                <w:sz w:val="20"/>
                <w:szCs w:val="20"/>
              </w:rPr>
            </w:pPr>
          </w:p>
        </w:tc>
        <w:tc>
          <w:tcPr>
            <w:tcW w:w="117" w:type="pct"/>
            <w:vAlign w:val="center"/>
            <w:hideMark/>
          </w:tcPr>
          <w:p w14:paraId="658A4D63" w14:textId="77777777" w:rsidR="00000000" w:rsidRDefault="00A173A8">
            <w:pPr>
              <w:spacing w:after="100"/>
              <w:rPr>
                <w:rFonts w:eastAsia="Times New Roman"/>
                <w:sz w:val="20"/>
                <w:szCs w:val="20"/>
              </w:rPr>
            </w:pPr>
          </w:p>
        </w:tc>
        <w:tc>
          <w:tcPr>
            <w:tcW w:w="5" w:type="pct"/>
            <w:vAlign w:val="center"/>
            <w:hideMark/>
          </w:tcPr>
          <w:p w14:paraId="05C7B6D2" w14:textId="77777777" w:rsidR="00000000" w:rsidRDefault="00A173A8">
            <w:pPr>
              <w:spacing w:after="100"/>
              <w:rPr>
                <w:rFonts w:eastAsia="Times New Roman"/>
                <w:sz w:val="20"/>
                <w:szCs w:val="20"/>
              </w:rPr>
            </w:pPr>
          </w:p>
        </w:tc>
        <w:tc>
          <w:tcPr>
            <w:tcW w:w="50" w:type="pct"/>
            <w:vAlign w:val="center"/>
            <w:hideMark/>
          </w:tcPr>
          <w:p w14:paraId="59BD4053" w14:textId="77777777" w:rsidR="00000000" w:rsidRDefault="00A173A8">
            <w:pPr>
              <w:spacing w:after="100"/>
              <w:rPr>
                <w:rFonts w:eastAsia="Times New Roman"/>
                <w:sz w:val="20"/>
                <w:szCs w:val="20"/>
              </w:rPr>
            </w:pPr>
          </w:p>
        </w:tc>
        <w:tc>
          <w:tcPr>
            <w:tcW w:w="2283" w:type="pct"/>
            <w:vAlign w:val="center"/>
            <w:hideMark/>
          </w:tcPr>
          <w:p w14:paraId="4C59862B" w14:textId="77777777" w:rsidR="00000000" w:rsidRDefault="00A173A8">
            <w:pPr>
              <w:spacing w:after="100"/>
              <w:rPr>
                <w:rFonts w:eastAsia="Times New Roman"/>
                <w:sz w:val="20"/>
                <w:szCs w:val="20"/>
              </w:rPr>
            </w:pPr>
          </w:p>
        </w:tc>
        <w:tc>
          <w:tcPr>
            <w:tcW w:w="5" w:type="pct"/>
            <w:vAlign w:val="center"/>
            <w:hideMark/>
          </w:tcPr>
          <w:p w14:paraId="217D0D8B" w14:textId="77777777" w:rsidR="00000000" w:rsidRDefault="00A173A8">
            <w:pPr>
              <w:spacing w:after="100"/>
              <w:rPr>
                <w:rFonts w:eastAsia="Times New Roman"/>
                <w:sz w:val="20"/>
                <w:szCs w:val="20"/>
              </w:rPr>
            </w:pPr>
          </w:p>
        </w:tc>
        <w:tc>
          <w:tcPr>
            <w:tcW w:w="5" w:type="pct"/>
            <w:vAlign w:val="center"/>
            <w:hideMark/>
          </w:tcPr>
          <w:p w14:paraId="557D52E1" w14:textId="77777777" w:rsidR="00000000" w:rsidRDefault="00A173A8">
            <w:pPr>
              <w:spacing w:after="100"/>
              <w:rPr>
                <w:rFonts w:eastAsia="Times New Roman"/>
                <w:sz w:val="20"/>
                <w:szCs w:val="20"/>
              </w:rPr>
            </w:pPr>
          </w:p>
        </w:tc>
        <w:tc>
          <w:tcPr>
            <w:tcW w:w="104" w:type="pct"/>
            <w:vAlign w:val="center"/>
            <w:hideMark/>
          </w:tcPr>
          <w:p w14:paraId="43E16338" w14:textId="77777777" w:rsidR="00000000" w:rsidRDefault="00A173A8">
            <w:pPr>
              <w:spacing w:after="100"/>
              <w:rPr>
                <w:rFonts w:eastAsia="Times New Roman"/>
                <w:sz w:val="20"/>
                <w:szCs w:val="20"/>
              </w:rPr>
            </w:pPr>
          </w:p>
        </w:tc>
        <w:tc>
          <w:tcPr>
            <w:tcW w:w="5" w:type="pct"/>
            <w:vAlign w:val="center"/>
            <w:hideMark/>
          </w:tcPr>
          <w:p w14:paraId="38A8413F" w14:textId="77777777" w:rsidR="00000000" w:rsidRDefault="00A173A8">
            <w:pPr>
              <w:spacing w:after="100"/>
              <w:rPr>
                <w:rFonts w:eastAsia="Times New Roman"/>
                <w:sz w:val="20"/>
                <w:szCs w:val="20"/>
              </w:rPr>
            </w:pPr>
          </w:p>
        </w:tc>
        <w:tc>
          <w:tcPr>
            <w:tcW w:w="50" w:type="pct"/>
            <w:vAlign w:val="center"/>
            <w:hideMark/>
          </w:tcPr>
          <w:p w14:paraId="29DBE8ED" w14:textId="77777777" w:rsidR="00000000" w:rsidRDefault="00A173A8">
            <w:pPr>
              <w:spacing w:after="100"/>
              <w:rPr>
                <w:rFonts w:eastAsia="Times New Roman"/>
                <w:sz w:val="20"/>
                <w:szCs w:val="20"/>
              </w:rPr>
            </w:pPr>
          </w:p>
        </w:tc>
        <w:tc>
          <w:tcPr>
            <w:tcW w:w="986" w:type="pct"/>
            <w:vAlign w:val="center"/>
            <w:hideMark/>
          </w:tcPr>
          <w:p w14:paraId="74839A2C" w14:textId="77777777" w:rsidR="00000000" w:rsidRDefault="00A173A8">
            <w:pPr>
              <w:spacing w:after="100"/>
              <w:rPr>
                <w:rFonts w:eastAsia="Times New Roman"/>
                <w:sz w:val="20"/>
                <w:szCs w:val="20"/>
              </w:rPr>
            </w:pPr>
          </w:p>
        </w:tc>
        <w:tc>
          <w:tcPr>
            <w:tcW w:w="5" w:type="pct"/>
            <w:vAlign w:val="center"/>
            <w:hideMark/>
          </w:tcPr>
          <w:p w14:paraId="77BE6E29" w14:textId="77777777" w:rsidR="00000000" w:rsidRDefault="00A173A8">
            <w:pPr>
              <w:spacing w:after="100"/>
              <w:rPr>
                <w:rFonts w:eastAsia="Times New Roman"/>
                <w:sz w:val="20"/>
                <w:szCs w:val="20"/>
              </w:rPr>
            </w:pPr>
          </w:p>
        </w:tc>
        <w:tc>
          <w:tcPr>
            <w:tcW w:w="5" w:type="pct"/>
            <w:vAlign w:val="center"/>
            <w:hideMark/>
          </w:tcPr>
          <w:p w14:paraId="5F95158D" w14:textId="77777777" w:rsidR="00000000" w:rsidRDefault="00A173A8">
            <w:pPr>
              <w:spacing w:after="100"/>
              <w:rPr>
                <w:rFonts w:eastAsia="Times New Roman"/>
                <w:sz w:val="20"/>
                <w:szCs w:val="20"/>
              </w:rPr>
            </w:pPr>
          </w:p>
        </w:tc>
        <w:tc>
          <w:tcPr>
            <w:tcW w:w="104" w:type="pct"/>
            <w:vAlign w:val="center"/>
            <w:hideMark/>
          </w:tcPr>
          <w:p w14:paraId="7568A965" w14:textId="77777777" w:rsidR="00000000" w:rsidRDefault="00A173A8">
            <w:pPr>
              <w:spacing w:after="100"/>
              <w:rPr>
                <w:rFonts w:eastAsia="Times New Roman"/>
                <w:sz w:val="20"/>
                <w:szCs w:val="20"/>
              </w:rPr>
            </w:pPr>
          </w:p>
        </w:tc>
        <w:tc>
          <w:tcPr>
            <w:tcW w:w="5" w:type="pct"/>
            <w:vAlign w:val="center"/>
            <w:hideMark/>
          </w:tcPr>
          <w:p w14:paraId="4B378C77" w14:textId="77777777" w:rsidR="00000000" w:rsidRDefault="00A173A8">
            <w:pPr>
              <w:spacing w:after="100"/>
              <w:rPr>
                <w:rFonts w:eastAsia="Times New Roman"/>
                <w:sz w:val="20"/>
                <w:szCs w:val="20"/>
              </w:rPr>
            </w:pPr>
          </w:p>
        </w:tc>
        <w:tc>
          <w:tcPr>
            <w:tcW w:w="50" w:type="pct"/>
            <w:vAlign w:val="center"/>
            <w:hideMark/>
          </w:tcPr>
          <w:p w14:paraId="2D1485FA" w14:textId="77777777" w:rsidR="00000000" w:rsidRDefault="00A173A8">
            <w:pPr>
              <w:spacing w:after="100"/>
              <w:rPr>
                <w:rFonts w:eastAsia="Times New Roman"/>
                <w:sz w:val="20"/>
                <w:szCs w:val="20"/>
              </w:rPr>
            </w:pPr>
          </w:p>
        </w:tc>
        <w:tc>
          <w:tcPr>
            <w:tcW w:w="106" w:type="pct"/>
            <w:vAlign w:val="center"/>
            <w:hideMark/>
          </w:tcPr>
          <w:p w14:paraId="07648C02" w14:textId="77777777" w:rsidR="00000000" w:rsidRDefault="00A173A8">
            <w:pPr>
              <w:spacing w:after="100"/>
              <w:rPr>
                <w:rFonts w:eastAsia="Times New Roman"/>
                <w:sz w:val="20"/>
                <w:szCs w:val="20"/>
              </w:rPr>
            </w:pPr>
          </w:p>
        </w:tc>
        <w:tc>
          <w:tcPr>
            <w:tcW w:w="5" w:type="pct"/>
            <w:vAlign w:val="center"/>
            <w:hideMark/>
          </w:tcPr>
          <w:p w14:paraId="375BE771" w14:textId="77777777" w:rsidR="00000000" w:rsidRDefault="00A173A8">
            <w:pPr>
              <w:spacing w:after="100"/>
              <w:rPr>
                <w:rFonts w:eastAsia="Times New Roman"/>
                <w:sz w:val="20"/>
                <w:szCs w:val="20"/>
              </w:rPr>
            </w:pPr>
          </w:p>
        </w:tc>
      </w:tr>
      <w:tr w:rsidR="00000000" w14:paraId="74BD8960" w14:textId="77777777">
        <w:tc>
          <w:tcPr>
            <w:tcW w:w="0" w:type="auto"/>
            <w:gridSpan w:val="3"/>
            <w:tcMar>
              <w:top w:w="30" w:type="dxa"/>
              <w:left w:w="20" w:type="dxa"/>
              <w:bottom w:w="30" w:type="dxa"/>
              <w:right w:w="20" w:type="dxa"/>
            </w:tcMar>
            <w:vAlign w:val="bottom"/>
            <w:hideMark/>
          </w:tcPr>
          <w:p w14:paraId="0A94E14E" w14:textId="77777777" w:rsidR="00000000" w:rsidRDefault="00A173A8">
            <w:pPr>
              <w:spacing w:after="100"/>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14:paraId="0C942709"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AAA3280" w14:textId="77777777" w:rsidR="00000000" w:rsidRDefault="00A173A8">
            <w:pPr>
              <w:spacing w:after="10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14:paraId="5E60351C"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BE2607E" w14:textId="77777777" w:rsidR="00000000" w:rsidRDefault="00A173A8">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14:paraId="269C9C24"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611EC6CD" w14:textId="77777777" w:rsidR="00000000" w:rsidRDefault="00A173A8">
            <w:pPr>
              <w:spacing w:after="100"/>
              <w:divId w:val="37322102"/>
              <w:rPr>
                <w:rFonts w:eastAsia="Times New Roman"/>
              </w:rPr>
            </w:pPr>
            <w:r>
              <w:rPr>
                <w:rFonts w:ascii="Segoe UI Symbol" w:eastAsia="Times New Roman" w:hAnsi="Segoe UI Symbol" w:cs="Segoe UI Symbol"/>
                <w:color w:val="000000"/>
                <w:sz w:val="16"/>
                <w:szCs w:val="16"/>
              </w:rPr>
              <w:t>☐</w:t>
            </w:r>
          </w:p>
        </w:tc>
      </w:tr>
      <w:tr w:rsidR="00000000" w14:paraId="0849546F" w14:textId="77777777">
        <w:tc>
          <w:tcPr>
            <w:tcW w:w="0" w:type="auto"/>
            <w:gridSpan w:val="3"/>
            <w:tcMar>
              <w:top w:w="30" w:type="dxa"/>
              <w:left w:w="20" w:type="dxa"/>
              <w:bottom w:w="30" w:type="dxa"/>
              <w:right w:w="20" w:type="dxa"/>
            </w:tcMar>
            <w:vAlign w:val="bottom"/>
            <w:hideMark/>
          </w:tcPr>
          <w:p w14:paraId="264C1F16" w14:textId="77777777" w:rsidR="00000000" w:rsidRDefault="00A173A8">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14:paraId="51516888"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3B240592" w14:textId="77777777" w:rsidR="00000000" w:rsidRDefault="00A173A8">
            <w:pPr>
              <w:spacing w:after="100"/>
              <w:divId w:val="1252005615"/>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14:paraId="6FF6758C"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5D086EF3" w14:textId="77777777" w:rsidR="00000000" w:rsidRDefault="00A173A8">
            <w:pPr>
              <w:spacing w:after="100"/>
              <w:rPr>
                <w:rFonts w:eastAsia="Times New Roman"/>
              </w:rPr>
            </w:pPr>
            <w:r>
              <w:rPr>
                <w:rFonts w:eastAsia="Times New Roman"/>
                <w:color w:val="000000"/>
                <w:sz w:val="16"/>
                <w:szCs w:val="16"/>
              </w:rPr>
              <w:t>Smaller reporting company</w:t>
            </w:r>
          </w:p>
        </w:tc>
        <w:tc>
          <w:tcPr>
            <w:tcW w:w="0" w:type="auto"/>
            <w:gridSpan w:val="3"/>
            <w:tcMar>
              <w:top w:w="0" w:type="dxa"/>
              <w:left w:w="20" w:type="dxa"/>
              <w:bottom w:w="0" w:type="dxa"/>
              <w:right w:w="20" w:type="dxa"/>
            </w:tcMar>
            <w:vAlign w:val="center"/>
            <w:hideMark/>
          </w:tcPr>
          <w:p w14:paraId="27953A1E"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22E36293" w14:textId="77777777" w:rsidR="00000000" w:rsidRDefault="00A173A8">
            <w:pPr>
              <w:spacing w:after="100"/>
              <w:divId w:val="1508324333"/>
              <w:rPr>
                <w:rFonts w:eastAsia="Times New Roman"/>
              </w:rPr>
            </w:pPr>
            <w:r>
              <w:rPr>
                <w:rFonts w:ascii="Segoe UI Symbol" w:eastAsia="Times New Roman" w:hAnsi="Segoe UI Symbol" w:cs="Segoe UI Symbol"/>
                <w:color w:val="000000"/>
                <w:sz w:val="16"/>
                <w:szCs w:val="16"/>
              </w:rPr>
              <w:t>☐</w:t>
            </w:r>
          </w:p>
        </w:tc>
      </w:tr>
      <w:tr w:rsidR="00000000" w14:paraId="2B7421FD" w14:textId="77777777">
        <w:tc>
          <w:tcPr>
            <w:tcW w:w="0" w:type="auto"/>
            <w:gridSpan w:val="3"/>
            <w:tcMar>
              <w:top w:w="0" w:type="dxa"/>
              <w:left w:w="20" w:type="dxa"/>
              <w:bottom w:w="0" w:type="dxa"/>
              <w:right w:w="20" w:type="dxa"/>
            </w:tcMar>
            <w:vAlign w:val="center"/>
            <w:hideMark/>
          </w:tcPr>
          <w:p w14:paraId="0038CE31"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1E4AD331"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94CAC8"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34238F"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5451B0A" w14:textId="77777777" w:rsidR="00000000" w:rsidRDefault="00A173A8">
            <w:pPr>
              <w:spacing w:after="100"/>
              <w:rPr>
                <w:rFonts w:eastAsia="Times New Roman"/>
              </w:rPr>
            </w:pPr>
            <w:r>
              <w:rPr>
                <w:rFonts w:eastAsia="Times New Roman"/>
                <w:color w:val="000000"/>
                <w:sz w:val="16"/>
                <w:szCs w:val="16"/>
              </w:rPr>
              <w:t>Emerging growth company</w:t>
            </w:r>
          </w:p>
        </w:tc>
        <w:tc>
          <w:tcPr>
            <w:tcW w:w="0" w:type="auto"/>
            <w:gridSpan w:val="3"/>
            <w:tcMar>
              <w:top w:w="0" w:type="dxa"/>
              <w:left w:w="20" w:type="dxa"/>
              <w:bottom w:w="0" w:type="dxa"/>
              <w:right w:w="20" w:type="dxa"/>
            </w:tcMar>
            <w:vAlign w:val="center"/>
            <w:hideMark/>
          </w:tcPr>
          <w:p w14:paraId="472B0C4C"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5983AC41" w14:textId="77777777" w:rsidR="00000000" w:rsidRDefault="00A173A8">
            <w:pPr>
              <w:spacing w:after="100"/>
              <w:divId w:val="720442256"/>
              <w:rPr>
                <w:rFonts w:eastAsia="Times New Roman"/>
              </w:rPr>
            </w:pPr>
            <w:r>
              <w:rPr>
                <w:rFonts w:ascii="Segoe UI Symbol" w:eastAsia="Times New Roman" w:hAnsi="Segoe UI Symbol" w:cs="Segoe UI Symbol"/>
                <w:color w:val="000000"/>
                <w:sz w:val="16"/>
                <w:szCs w:val="16"/>
              </w:rPr>
              <w:t>☐</w:t>
            </w:r>
          </w:p>
        </w:tc>
      </w:tr>
    </w:tbl>
    <w:p w14:paraId="2148C1BA" w14:textId="77777777" w:rsidR="00000000" w:rsidRDefault="00A173A8">
      <w:pPr>
        <w:jc w:val="both"/>
        <w:divId w:val="577708988"/>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14:paraId="7F3CB5BD" w14:textId="77777777" w:rsidR="00000000" w:rsidRDefault="00A173A8">
      <w:pPr>
        <w:jc w:val="both"/>
        <w:divId w:val="2063559230"/>
        <w:rPr>
          <w:rFonts w:eastAsia="Times New Roman"/>
        </w:rPr>
      </w:pPr>
      <w:r>
        <w:rPr>
          <w:rFonts w:eastAsia="Times New Roman"/>
          <w:color w:val="000000"/>
          <w:sz w:val="16"/>
          <w:szCs w:val="16"/>
        </w:rPr>
        <w:t>Ind</w:t>
      </w:r>
      <w:r>
        <w:rPr>
          <w:rFonts w:eastAsia="Times New Roman"/>
          <w:color w:val="000000"/>
          <w:sz w:val="16"/>
          <w:szCs w:val="16"/>
        </w:rPr>
        <w:t xml:space="preserve">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Segoe UI Symbol" w:eastAsia="Times New Roman" w:hAnsi="Segoe UI Symbol" w:cs="Segoe UI Symbol"/>
          <w:color w:val="000000"/>
          <w:sz w:val="16"/>
          <w:szCs w:val="16"/>
        </w:rPr>
        <w:t>☒</w:t>
      </w:r>
    </w:p>
    <w:p w14:paraId="57150434" w14:textId="77777777" w:rsidR="00000000" w:rsidRDefault="00A173A8">
      <w:pPr>
        <w:divId w:val="1488132934"/>
        <w:rPr>
          <w:rFonts w:eastAsia="Times New Roman"/>
        </w:rPr>
      </w:pPr>
      <w:r>
        <w:rPr>
          <w:rFonts w:eastAsia="Times New Roman"/>
          <w:color w:val="000000"/>
          <w:sz w:val="16"/>
          <w:szCs w:val="16"/>
        </w:rPr>
        <w:t>As of June 30, 2022, there were 383,817,721 shares of the registrant’s Common Stock outstanding.</w:t>
      </w:r>
    </w:p>
    <w:tbl>
      <w:tblPr>
        <w:tblW w:w="4973" w:type="pct"/>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14:paraId="5F39273D" w14:textId="77777777">
        <w:trPr>
          <w:divId w:val="1488132934"/>
        </w:trPr>
        <w:tc>
          <w:tcPr>
            <w:tcW w:w="50" w:type="pct"/>
            <w:vAlign w:val="center"/>
            <w:hideMark/>
          </w:tcPr>
          <w:p w14:paraId="5C4F1222" w14:textId="77777777" w:rsidR="00000000" w:rsidRDefault="00A173A8">
            <w:pPr>
              <w:rPr>
                <w:rFonts w:eastAsia="Times New Roman"/>
              </w:rPr>
            </w:pPr>
          </w:p>
        </w:tc>
        <w:tc>
          <w:tcPr>
            <w:tcW w:w="945" w:type="pct"/>
            <w:vAlign w:val="center"/>
            <w:hideMark/>
          </w:tcPr>
          <w:p w14:paraId="60779AFC" w14:textId="77777777" w:rsidR="00000000" w:rsidRDefault="00A173A8">
            <w:pPr>
              <w:spacing w:after="100"/>
              <w:rPr>
                <w:rFonts w:eastAsia="Times New Roman"/>
                <w:sz w:val="20"/>
                <w:szCs w:val="20"/>
              </w:rPr>
            </w:pPr>
          </w:p>
        </w:tc>
        <w:tc>
          <w:tcPr>
            <w:tcW w:w="5" w:type="pct"/>
            <w:vAlign w:val="center"/>
            <w:hideMark/>
          </w:tcPr>
          <w:p w14:paraId="6781A051" w14:textId="77777777" w:rsidR="00000000" w:rsidRDefault="00A173A8">
            <w:pPr>
              <w:spacing w:after="100"/>
              <w:rPr>
                <w:rFonts w:eastAsia="Times New Roman"/>
                <w:sz w:val="20"/>
                <w:szCs w:val="20"/>
              </w:rPr>
            </w:pPr>
          </w:p>
        </w:tc>
        <w:tc>
          <w:tcPr>
            <w:tcW w:w="50" w:type="pct"/>
            <w:vAlign w:val="center"/>
            <w:hideMark/>
          </w:tcPr>
          <w:p w14:paraId="72F03D68" w14:textId="77777777" w:rsidR="00000000" w:rsidRDefault="00A173A8">
            <w:pPr>
              <w:spacing w:after="100"/>
              <w:rPr>
                <w:rFonts w:eastAsia="Times New Roman"/>
                <w:sz w:val="20"/>
                <w:szCs w:val="20"/>
              </w:rPr>
            </w:pPr>
          </w:p>
        </w:tc>
        <w:tc>
          <w:tcPr>
            <w:tcW w:w="945" w:type="pct"/>
            <w:vAlign w:val="center"/>
            <w:hideMark/>
          </w:tcPr>
          <w:p w14:paraId="0570B3E6" w14:textId="77777777" w:rsidR="00000000" w:rsidRDefault="00A173A8">
            <w:pPr>
              <w:spacing w:after="100"/>
              <w:rPr>
                <w:rFonts w:eastAsia="Times New Roman"/>
                <w:sz w:val="20"/>
                <w:szCs w:val="20"/>
              </w:rPr>
            </w:pPr>
          </w:p>
        </w:tc>
        <w:tc>
          <w:tcPr>
            <w:tcW w:w="5" w:type="pct"/>
            <w:vAlign w:val="center"/>
            <w:hideMark/>
          </w:tcPr>
          <w:p w14:paraId="4FB22E6F" w14:textId="77777777" w:rsidR="00000000" w:rsidRDefault="00A173A8">
            <w:pPr>
              <w:spacing w:after="100"/>
              <w:rPr>
                <w:rFonts w:eastAsia="Times New Roman"/>
                <w:sz w:val="20"/>
                <w:szCs w:val="20"/>
              </w:rPr>
            </w:pPr>
          </w:p>
        </w:tc>
        <w:tc>
          <w:tcPr>
            <w:tcW w:w="50" w:type="pct"/>
            <w:vAlign w:val="center"/>
            <w:hideMark/>
          </w:tcPr>
          <w:p w14:paraId="01AC34CA" w14:textId="77777777" w:rsidR="00000000" w:rsidRDefault="00A173A8">
            <w:pPr>
              <w:spacing w:after="100"/>
              <w:rPr>
                <w:rFonts w:eastAsia="Times New Roman"/>
                <w:sz w:val="20"/>
                <w:szCs w:val="20"/>
              </w:rPr>
            </w:pPr>
          </w:p>
        </w:tc>
        <w:tc>
          <w:tcPr>
            <w:tcW w:w="945" w:type="pct"/>
            <w:vAlign w:val="center"/>
            <w:hideMark/>
          </w:tcPr>
          <w:p w14:paraId="4671E267" w14:textId="77777777" w:rsidR="00000000" w:rsidRDefault="00A173A8">
            <w:pPr>
              <w:spacing w:after="100"/>
              <w:rPr>
                <w:rFonts w:eastAsia="Times New Roman"/>
                <w:sz w:val="20"/>
                <w:szCs w:val="20"/>
              </w:rPr>
            </w:pPr>
          </w:p>
        </w:tc>
        <w:tc>
          <w:tcPr>
            <w:tcW w:w="5" w:type="pct"/>
            <w:vAlign w:val="center"/>
            <w:hideMark/>
          </w:tcPr>
          <w:p w14:paraId="1A076C07" w14:textId="77777777" w:rsidR="00000000" w:rsidRDefault="00A173A8">
            <w:pPr>
              <w:spacing w:after="100"/>
              <w:rPr>
                <w:rFonts w:eastAsia="Times New Roman"/>
                <w:sz w:val="20"/>
                <w:szCs w:val="20"/>
              </w:rPr>
            </w:pPr>
          </w:p>
        </w:tc>
        <w:tc>
          <w:tcPr>
            <w:tcW w:w="50" w:type="pct"/>
            <w:vAlign w:val="center"/>
            <w:hideMark/>
          </w:tcPr>
          <w:p w14:paraId="29C81486" w14:textId="77777777" w:rsidR="00000000" w:rsidRDefault="00A173A8">
            <w:pPr>
              <w:spacing w:after="100"/>
              <w:rPr>
                <w:rFonts w:eastAsia="Times New Roman"/>
                <w:sz w:val="20"/>
                <w:szCs w:val="20"/>
              </w:rPr>
            </w:pPr>
          </w:p>
        </w:tc>
        <w:tc>
          <w:tcPr>
            <w:tcW w:w="945" w:type="pct"/>
            <w:vAlign w:val="center"/>
            <w:hideMark/>
          </w:tcPr>
          <w:p w14:paraId="7BC81332" w14:textId="77777777" w:rsidR="00000000" w:rsidRDefault="00A173A8">
            <w:pPr>
              <w:spacing w:after="100"/>
              <w:rPr>
                <w:rFonts w:eastAsia="Times New Roman"/>
                <w:sz w:val="20"/>
                <w:szCs w:val="20"/>
              </w:rPr>
            </w:pPr>
          </w:p>
        </w:tc>
        <w:tc>
          <w:tcPr>
            <w:tcW w:w="5" w:type="pct"/>
            <w:vAlign w:val="center"/>
            <w:hideMark/>
          </w:tcPr>
          <w:p w14:paraId="4595600C" w14:textId="77777777" w:rsidR="00000000" w:rsidRDefault="00A173A8">
            <w:pPr>
              <w:spacing w:after="100"/>
              <w:rPr>
                <w:rFonts w:eastAsia="Times New Roman"/>
                <w:sz w:val="20"/>
                <w:szCs w:val="20"/>
              </w:rPr>
            </w:pPr>
          </w:p>
        </w:tc>
        <w:tc>
          <w:tcPr>
            <w:tcW w:w="50" w:type="pct"/>
            <w:vAlign w:val="center"/>
            <w:hideMark/>
          </w:tcPr>
          <w:p w14:paraId="0E928201" w14:textId="77777777" w:rsidR="00000000" w:rsidRDefault="00A173A8">
            <w:pPr>
              <w:spacing w:after="100"/>
              <w:rPr>
                <w:rFonts w:eastAsia="Times New Roman"/>
                <w:sz w:val="20"/>
                <w:szCs w:val="20"/>
              </w:rPr>
            </w:pPr>
          </w:p>
        </w:tc>
        <w:tc>
          <w:tcPr>
            <w:tcW w:w="945" w:type="pct"/>
            <w:vAlign w:val="center"/>
            <w:hideMark/>
          </w:tcPr>
          <w:p w14:paraId="25922B72" w14:textId="77777777" w:rsidR="00000000" w:rsidRDefault="00A173A8">
            <w:pPr>
              <w:spacing w:after="100"/>
              <w:rPr>
                <w:rFonts w:eastAsia="Times New Roman"/>
                <w:sz w:val="20"/>
                <w:szCs w:val="20"/>
              </w:rPr>
            </w:pPr>
          </w:p>
        </w:tc>
        <w:tc>
          <w:tcPr>
            <w:tcW w:w="5" w:type="pct"/>
            <w:vAlign w:val="center"/>
            <w:hideMark/>
          </w:tcPr>
          <w:p w14:paraId="73996809" w14:textId="77777777" w:rsidR="00000000" w:rsidRDefault="00A173A8">
            <w:pPr>
              <w:spacing w:after="100"/>
              <w:rPr>
                <w:rFonts w:eastAsia="Times New Roman"/>
                <w:sz w:val="20"/>
                <w:szCs w:val="20"/>
              </w:rPr>
            </w:pPr>
          </w:p>
        </w:tc>
      </w:tr>
      <w:tr w:rsidR="00000000" w14:paraId="48DB0375" w14:textId="77777777">
        <w:trPr>
          <w:divId w:val="1488132934"/>
          <w:trHeight w:val="60"/>
        </w:trPr>
        <w:tc>
          <w:tcPr>
            <w:tcW w:w="0" w:type="auto"/>
            <w:gridSpan w:val="15"/>
            <w:tcBorders>
              <w:bottom w:val="single" w:sz="8" w:space="0" w:color="000000"/>
            </w:tcBorders>
            <w:tcMar>
              <w:top w:w="0" w:type="dxa"/>
              <w:left w:w="20" w:type="dxa"/>
              <w:bottom w:w="0" w:type="dxa"/>
              <w:right w:w="20" w:type="dxa"/>
            </w:tcMar>
            <w:vAlign w:val="center"/>
            <w:hideMark/>
          </w:tcPr>
          <w:p w14:paraId="2EA346AC" w14:textId="77777777" w:rsidR="00000000" w:rsidRDefault="00A173A8">
            <w:pPr>
              <w:spacing w:after="100"/>
              <w:rPr>
                <w:rFonts w:eastAsia="Times New Roman"/>
                <w:sz w:val="20"/>
                <w:szCs w:val="20"/>
              </w:rPr>
            </w:pPr>
          </w:p>
        </w:tc>
      </w:tr>
    </w:tbl>
    <w:p w14:paraId="15208A94" w14:textId="77777777" w:rsidR="00000000" w:rsidRDefault="00A173A8">
      <w:pPr>
        <w:jc w:val="both"/>
        <w:divId w:val="1487014869"/>
        <w:rPr>
          <w:rFonts w:eastAsia="Times New Roman"/>
        </w:rPr>
      </w:pPr>
    </w:p>
    <w:p w14:paraId="1C7118E6" w14:textId="77777777" w:rsidR="00000000" w:rsidRDefault="00A173A8">
      <w:pPr>
        <w:rPr>
          <w:rFonts w:eastAsia="Times New Roman"/>
        </w:rPr>
      </w:pPr>
      <w:r>
        <w:rPr>
          <w:rFonts w:eastAsia="Times New Roman"/>
        </w:rPr>
        <w:pict w14:anchorId="74D9EA61">
          <v:rect id="_x0000_i1025" style="width:0;height:1.5pt" o:hralign="center" o:hrstd="t" o:hr="t" fillcolor="#a0a0a0" stroked="f"/>
        </w:pict>
      </w:r>
    </w:p>
    <w:p w14:paraId="39D4EDD2" w14:textId="77777777" w:rsidR="00000000" w:rsidRDefault="00A173A8">
      <w:pPr>
        <w:jc w:val="both"/>
        <w:divId w:val="1570993420"/>
        <w:rPr>
          <w:rFonts w:eastAsia="Times New Roman"/>
        </w:rPr>
      </w:pPr>
    </w:p>
    <w:p w14:paraId="38B468F5" w14:textId="77777777" w:rsidR="00000000" w:rsidRDefault="00A173A8">
      <w:pPr>
        <w:jc w:val="center"/>
        <w:divId w:val="176041997"/>
        <w:rPr>
          <w:rFonts w:eastAsia="Times New Roman"/>
        </w:rPr>
      </w:pPr>
      <w:r>
        <w:rPr>
          <w:rFonts w:eastAsia="Times New Roman"/>
          <w:b/>
          <w:bCs/>
          <w:color w:val="000000"/>
          <w:sz w:val="20"/>
          <w:szCs w:val="20"/>
        </w:rPr>
        <w:t>TABLE OF CONTENTS</w:t>
      </w:r>
    </w:p>
    <w:tbl>
      <w:tblPr>
        <w:tblW w:w="4830" w:type="pct"/>
        <w:tblCellMar>
          <w:top w:w="15" w:type="dxa"/>
          <w:left w:w="15" w:type="dxa"/>
          <w:bottom w:w="15" w:type="dxa"/>
          <w:right w:w="15" w:type="dxa"/>
        </w:tblCellMar>
        <w:tblLook w:val="04A0" w:firstRow="1" w:lastRow="0" w:firstColumn="1" w:lastColumn="0" w:noHBand="0" w:noVBand="1"/>
      </w:tblPr>
      <w:tblGrid>
        <w:gridCol w:w="75"/>
        <w:gridCol w:w="545"/>
        <w:gridCol w:w="37"/>
        <w:gridCol w:w="66"/>
        <w:gridCol w:w="6609"/>
        <w:gridCol w:w="36"/>
        <w:gridCol w:w="66"/>
        <w:gridCol w:w="554"/>
        <w:gridCol w:w="36"/>
      </w:tblGrid>
      <w:tr w:rsidR="00000000" w14:paraId="221A7932" w14:textId="77777777">
        <w:trPr>
          <w:divId w:val="42757019"/>
        </w:trPr>
        <w:tc>
          <w:tcPr>
            <w:tcW w:w="50" w:type="pct"/>
            <w:vAlign w:val="center"/>
            <w:hideMark/>
          </w:tcPr>
          <w:p w14:paraId="7C2B4668" w14:textId="77777777" w:rsidR="00000000" w:rsidRDefault="00A173A8">
            <w:pPr>
              <w:jc w:val="center"/>
              <w:rPr>
                <w:rFonts w:eastAsia="Times New Roman"/>
              </w:rPr>
            </w:pPr>
          </w:p>
        </w:tc>
        <w:tc>
          <w:tcPr>
            <w:tcW w:w="354" w:type="pct"/>
            <w:vAlign w:val="center"/>
            <w:hideMark/>
          </w:tcPr>
          <w:p w14:paraId="233907F5" w14:textId="77777777" w:rsidR="00000000" w:rsidRDefault="00A173A8">
            <w:pPr>
              <w:spacing w:after="100"/>
              <w:rPr>
                <w:rFonts w:eastAsia="Times New Roman"/>
                <w:sz w:val="20"/>
                <w:szCs w:val="20"/>
              </w:rPr>
            </w:pPr>
          </w:p>
        </w:tc>
        <w:tc>
          <w:tcPr>
            <w:tcW w:w="5" w:type="pct"/>
            <w:vAlign w:val="center"/>
            <w:hideMark/>
          </w:tcPr>
          <w:p w14:paraId="5DF3055D" w14:textId="77777777" w:rsidR="00000000" w:rsidRDefault="00A173A8">
            <w:pPr>
              <w:spacing w:after="100"/>
              <w:rPr>
                <w:rFonts w:eastAsia="Times New Roman"/>
                <w:sz w:val="20"/>
                <w:szCs w:val="20"/>
              </w:rPr>
            </w:pPr>
          </w:p>
        </w:tc>
        <w:tc>
          <w:tcPr>
            <w:tcW w:w="50" w:type="pct"/>
            <w:vAlign w:val="center"/>
            <w:hideMark/>
          </w:tcPr>
          <w:p w14:paraId="4F21A5F0" w14:textId="77777777" w:rsidR="00000000" w:rsidRDefault="00A173A8">
            <w:pPr>
              <w:spacing w:after="100"/>
              <w:rPr>
                <w:rFonts w:eastAsia="Times New Roman"/>
                <w:sz w:val="20"/>
                <w:szCs w:val="20"/>
              </w:rPr>
            </w:pPr>
          </w:p>
        </w:tc>
        <w:tc>
          <w:tcPr>
            <w:tcW w:w="4126" w:type="pct"/>
            <w:vAlign w:val="center"/>
            <w:hideMark/>
          </w:tcPr>
          <w:p w14:paraId="58E7CA44" w14:textId="77777777" w:rsidR="00000000" w:rsidRDefault="00A173A8">
            <w:pPr>
              <w:spacing w:after="100"/>
              <w:rPr>
                <w:rFonts w:eastAsia="Times New Roman"/>
                <w:sz w:val="20"/>
                <w:szCs w:val="20"/>
              </w:rPr>
            </w:pPr>
          </w:p>
        </w:tc>
        <w:tc>
          <w:tcPr>
            <w:tcW w:w="5" w:type="pct"/>
            <w:vAlign w:val="center"/>
            <w:hideMark/>
          </w:tcPr>
          <w:p w14:paraId="4F4789FD" w14:textId="77777777" w:rsidR="00000000" w:rsidRDefault="00A173A8">
            <w:pPr>
              <w:spacing w:after="100"/>
              <w:rPr>
                <w:rFonts w:eastAsia="Times New Roman"/>
                <w:sz w:val="20"/>
                <w:szCs w:val="20"/>
              </w:rPr>
            </w:pPr>
          </w:p>
        </w:tc>
        <w:tc>
          <w:tcPr>
            <w:tcW w:w="50" w:type="pct"/>
            <w:vAlign w:val="center"/>
            <w:hideMark/>
          </w:tcPr>
          <w:p w14:paraId="06858F59" w14:textId="77777777" w:rsidR="00000000" w:rsidRDefault="00A173A8">
            <w:pPr>
              <w:spacing w:after="100"/>
              <w:rPr>
                <w:rFonts w:eastAsia="Times New Roman"/>
                <w:sz w:val="20"/>
                <w:szCs w:val="20"/>
              </w:rPr>
            </w:pPr>
          </w:p>
        </w:tc>
        <w:tc>
          <w:tcPr>
            <w:tcW w:w="354" w:type="pct"/>
            <w:vAlign w:val="center"/>
            <w:hideMark/>
          </w:tcPr>
          <w:p w14:paraId="4CD8F40A" w14:textId="77777777" w:rsidR="00000000" w:rsidRDefault="00A173A8">
            <w:pPr>
              <w:spacing w:after="100"/>
              <w:rPr>
                <w:rFonts w:eastAsia="Times New Roman"/>
                <w:sz w:val="20"/>
                <w:szCs w:val="20"/>
              </w:rPr>
            </w:pPr>
          </w:p>
        </w:tc>
        <w:tc>
          <w:tcPr>
            <w:tcW w:w="5" w:type="pct"/>
            <w:vAlign w:val="center"/>
            <w:hideMark/>
          </w:tcPr>
          <w:p w14:paraId="3A171201" w14:textId="77777777" w:rsidR="00000000" w:rsidRDefault="00A173A8">
            <w:pPr>
              <w:spacing w:after="100"/>
              <w:rPr>
                <w:rFonts w:eastAsia="Times New Roman"/>
                <w:sz w:val="20"/>
                <w:szCs w:val="20"/>
              </w:rPr>
            </w:pPr>
          </w:p>
        </w:tc>
      </w:tr>
      <w:tr w:rsidR="00000000" w14:paraId="0580D622" w14:textId="77777777">
        <w:trPr>
          <w:divId w:val="42757019"/>
        </w:trPr>
        <w:tc>
          <w:tcPr>
            <w:tcW w:w="0" w:type="auto"/>
            <w:gridSpan w:val="3"/>
            <w:tcMar>
              <w:top w:w="0" w:type="dxa"/>
              <w:left w:w="20" w:type="dxa"/>
              <w:bottom w:w="0" w:type="dxa"/>
              <w:right w:w="20" w:type="dxa"/>
            </w:tcMar>
            <w:vAlign w:val="center"/>
            <w:hideMark/>
          </w:tcPr>
          <w:p w14:paraId="6CA83BE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0F8E86"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8DB70BD" w14:textId="77777777" w:rsidR="00000000" w:rsidRDefault="00A173A8">
            <w:pPr>
              <w:spacing w:after="100"/>
              <w:jc w:val="center"/>
              <w:rPr>
                <w:rFonts w:eastAsia="Times New Roman"/>
              </w:rPr>
            </w:pPr>
            <w:r>
              <w:rPr>
                <w:rFonts w:eastAsia="Times New Roman"/>
                <w:b/>
                <w:bCs/>
                <w:color w:val="000000"/>
                <w:sz w:val="20"/>
                <w:szCs w:val="20"/>
              </w:rPr>
              <w:t>Page</w:t>
            </w:r>
          </w:p>
        </w:tc>
      </w:tr>
      <w:tr w:rsidR="00000000" w14:paraId="431EE8DD" w14:textId="77777777">
        <w:trPr>
          <w:divId w:val="42757019"/>
        </w:trPr>
        <w:tc>
          <w:tcPr>
            <w:tcW w:w="0" w:type="auto"/>
            <w:gridSpan w:val="6"/>
            <w:tcMar>
              <w:top w:w="30" w:type="dxa"/>
              <w:left w:w="20" w:type="dxa"/>
              <w:bottom w:w="30" w:type="dxa"/>
              <w:right w:w="20" w:type="dxa"/>
            </w:tcMar>
            <w:vAlign w:val="bottom"/>
            <w:hideMark/>
          </w:tcPr>
          <w:p w14:paraId="3AA3972A" w14:textId="77777777" w:rsidR="00000000" w:rsidRDefault="00A173A8">
            <w:pPr>
              <w:spacing w:after="100"/>
              <w:divId w:val="1892496810"/>
              <w:rPr>
                <w:rFonts w:eastAsia="Times New Roman"/>
              </w:rPr>
            </w:pPr>
            <w:hyperlink w:anchor="i7ffd5d61af6f4722b1b1b07530d51c06_67" w:history="1">
              <w:r>
                <w:rPr>
                  <w:rStyle w:val="a3"/>
                  <w:rFonts w:eastAsia="Times New Roman"/>
                  <w:b/>
                  <w:bCs/>
                  <w:color w:val="000000"/>
                  <w:sz w:val="20"/>
                  <w:szCs w:val="20"/>
                  <w:u w:val="none"/>
                </w:rPr>
                <w:t>PART I—FINANCIAL INFORMATION</w:t>
              </w:r>
            </w:hyperlink>
          </w:p>
        </w:tc>
        <w:tc>
          <w:tcPr>
            <w:tcW w:w="0" w:type="auto"/>
            <w:gridSpan w:val="3"/>
            <w:tcMar>
              <w:top w:w="30" w:type="dxa"/>
              <w:left w:w="20" w:type="dxa"/>
              <w:bottom w:w="30" w:type="dxa"/>
              <w:right w:w="20" w:type="dxa"/>
            </w:tcMar>
            <w:vAlign w:val="bottom"/>
            <w:hideMark/>
          </w:tcPr>
          <w:p w14:paraId="30EB04AB" w14:textId="77777777" w:rsidR="00000000" w:rsidRDefault="00A173A8">
            <w:pPr>
              <w:spacing w:after="100"/>
              <w:jc w:val="center"/>
              <w:rPr>
                <w:rFonts w:eastAsia="Times New Roman"/>
              </w:rPr>
            </w:pPr>
            <w:hyperlink w:anchor="i7ffd5d61af6f4722b1b1b07530d51c06_67" w:history="1">
              <w:r>
                <w:rPr>
                  <w:rStyle w:val="a3"/>
                  <w:rFonts w:eastAsia="Times New Roman"/>
                  <w:b/>
                  <w:bCs/>
                  <w:color w:val="000000"/>
                  <w:sz w:val="20"/>
                  <w:szCs w:val="20"/>
                  <w:u w:val="none"/>
                </w:rPr>
                <w:t>4</w:t>
              </w:r>
            </w:hyperlink>
          </w:p>
        </w:tc>
      </w:tr>
      <w:tr w:rsidR="00000000" w14:paraId="65595971" w14:textId="77777777">
        <w:trPr>
          <w:divId w:val="42757019"/>
        </w:trPr>
        <w:tc>
          <w:tcPr>
            <w:tcW w:w="0" w:type="auto"/>
            <w:gridSpan w:val="3"/>
            <w:vAlign w:val="center"/>
            <w:hideMark/>
          </w:tcPr>
          <w:p w14:paraId="13D850D6" w14:textId="77777777" w:rsidR="00000000" w:rsidRDefault="00A173A8">
            <w:pPr>
              <w:spacing w:after="100"/>
              <w:jc w:val="center"/>
              <w:rPr>
                <w:rFonts w:eastAsia="Times New Roman"/>
              </w:rPr>
            </w:pPr>
          </w:p>
        </w:tc>
        <w:tc>
          <w:tcPr>
            <w:tcW w:w="0" w:type="auto"/>
            <w:gridSpan w:val="3"/>
            <w:vAlign w:val="center"/>
            <w:hideMark/>
          </w:tcPr>
          <w:p w14:paraId="6CA1E074" w14:textId="77777777" w:rsidR="00000000" w:rsidRDefault="00A173A8">
            <w:pPr>
              <w:spacing w:after="100"/>
              <w:rPr>
                <w:rFonts w:eastAsia="Times New Roman"/>
                <w:sz w:val="20"/>
                <w:szCs w:val="20"/>
              </w:rPr>
            </w:pPr>
          </w:p>
        </w:tc>
        <w:tc>
          <w:tcPr>
            <w:tcW w:w="0" w:type="auto"/>
            <w:gridSpan w:val="3"/>
            <w:vAlign w:val="center"/>
            <w:hideMark/>
          </w:tcPr>
          <w:p w14:paraId="192CC39F" w14:textId="77777777" w:rsidR="00000000" w:rsidRDefault="00A173A8">
            <w:pPr>
              <w:spacing w:after="100"/>
              <w:rPr>
                <w:rFonts w:eastAsia="Times New Roman"/>
                <w:sz w:val="20"/>
                <w:szCs w:val="20"/>
              </w:rPr>
            </w:pPr>
          </w:p>
        </w:tc>
      </w:tr>
      <w:tr w:rsidR="00000000" w14:paraId="491EF1E2" w14:textId="77777777">
        <w:trPr>
          <w:divId w:val="42757019"/>
        </w:trPr>
        <w:tc>
          <w:tcPr>
            <w:tcW w:w="0" w:type="auto"/>
            <w:gridSpan w:val="3"/>
            <w:vAlign w:val="center"/>
            <w:hideMark/>
          </w:tcPr>
          <w:p w14:paraId="2FC9241C" w14:textId="77777777" w:rsidR="00000000" w:rsidRDefault="00A173A8">
            <w:pPr>
              <w:spacing w:after="100"/>
              <w:rPr>
                <w:rFonts w:eastAsia="Times New Roman"/>
                <w:sz w:val="20"/>
                <w:szCs w:val="20"/>
              </w:rPr>
            </w:pPr>
          </w:p>
        </w:tc>
        <w:tc>
          <w:tcPr>
            <w:tcW w:w="0" w:type="auto"/>
            <w:gridSpan w:val="3"/>
            <w:vAlign w:val="center"/>
            <w:hideMark/>
          </w:tcPr>
          <w:p w14:paraId="527B1AC4" w14:textId="77777777" w:rsidR="00000000" w:rsidRDefault="00A173A8">
            <w:pPr>
              <w:spacing w:after="100"/>
              <w:rPr>
                <w:rFonts w:eastAsia="Times New Roman"/>
                <w:sz w:val="20"/>
                <w:szCs w:val="20"/>
              </w:rPr>
            </w:pPr>
          </w:p>
        </w:tc>
        <w:tc>
          <w:tcPr>
            <w:tcW w:w="0" w:type="auto"/>
            <w:gridSpan w:val="3"/>
            <w:vAlign w:val="center"/>
            <w:hideMark/>
          </w:tcPr>
          <w:p w14:paraId="57BEADD0" w14:textId="77777777" w:rsidR="00000000" w:rsidRDefault="00A173A8">
            <w:pPr>
              <w:spacing w:after="100"/>
              <w:rPr>
                <w:rFonts w:eastAsia="Times New Roman"/>
                <w:sz w:val="20"/>
                <w:szCs w:val="20"/>
              </w:rPr>
            </w:pPr>
          </w:p>
        </w:tc>
      </w:tr>
      <w:tr w:rsidR="00000000" w14:paraId="21BE0DBB" w14:textId="77777777">
        <w:trPr>
          <w:divId w:val="42757019"/>
        </w:trPr>
        <w:tc>
          <w:tcPr>
            <w:tcW w:w="0" w:type="auto"/>
            <w:gridSpan w:val="3"/>
            <w:vAlign w:val="center"/>
            <w:hideMark/>
          </w:tcPr>
          <w:p w14:paraId="43324577" w14:textId="77777777" w:rsidR="00000000" w:rsidRDefault="00A173A8">
            <w:pPr>
              <w:spacing w:after="100"/>
              <w:rPr>
                <w:rFonts w:eastAsia="Times New Roman"/>
                <w:sz w:val="20"/>
                <w:szCs w:val="20"/>
              </w:rPr>
            </w:pPr>
          </w:p>
        </w:tc>
        <w:tc>
          <w:tcPr>
            <w:tcW w:w="0" w:type="auto"/>
            <w:gridSpan w:val="3"/>
            <w:vAlign w:val="center"/>
            <w:hideMark/>
          </w:tcPr>
          <w:p w14:paraId="7A9FC250" w14:textId="77777777" w:rsidR="00000000" w:rsidRDefault="00A173A8">
            <w:pPr>
              <w:spacing w:after="100"/>
              <w:rPr>
                <w:rFonts w:eastAsia="Times New Roman"/>
                <w:sz w:val="20"/>
                <w:szCs w:val="20"/>
              </w:rPr>
            </w:pPr>
          </w:p>
        </w:tc>
        <w:tc>
          <w:tcPr>
            <w:tcW w:w="0" w:type="auto"/>
            <w:gridSpan w:val="3"/>
            <w:vAlign w:val="center"/>
            <w:hideMark/>
          </w:tcPr>
          <w:p w14:paraId="5DEE8054" w14:textId="77777777" w:rsidR="00000000" w:rsidRDefault="00A173A8">
            <w:pPr>
              <w:spacing w:after="100"/>
              <w:rPr>
                <w:rFonts w:eastAsia="Times New Roman"/>
                <w:sz w:val="20"/>
                <w:szCs w:val="20"/>
              </w:rPr>
            </w:pPr>
          </w:p>
        </w:tc>
      </w:tr>
      <w:tr w:rsidR="00000000" w14:paraId="7F43EEA2" w14:textId="77777777">
        <w:trPr>
          <w:divId w:val="42757019"/>
        </w:trPr>
        <w:tc>
          <w:tcPr>
            <w:tcW w:w="0" w:type="auto"/>
            <w:gridSpan w:val="3"/>
            <w:vAlign w:val="center"/>
            <w:hideMark/>
          </w:tcPr>
          <w:p w14:paraId="1321720A" w14:textId="77777777" w:rsidR="00000000" w:rsidRDefault="00A173A8">
            <w:pPr>
              <w:spacing w:after="100"/>
              <w:rPr>
                <w:rFonts w:eastAsia="Times New Roman"/>
                <w:sz w:val="20"/>
                <w:szCs w:val="20"/>
              </w:rPr>
            </w:pPr>
          </w:p>
        </w:tc>
        <w:tc>
          <w:tcPr>
            <w:tcW w:w="0" w:type="auto"/>
            <w:gridSpan w:val="3"/>
            <w:vAlign w:val="center"/>
            <w:hideMark/>
          </w:tcPr>
          <w:p w14:paraId="05209878" w14:textId="77777777" w:rsidR="00000000" w:rsidRDefault="00A173A8">
            <w:pPr>
              <w:spacing w:after="100"/>
              <w:rPr>
                <w:rFonts w:eastAsia="Times New Roman"/>
                <w:sz w:val="20"/>
                <w:szCs w:val="20"/>
              </w:rPr>
            </w:pPr>
          </w:p>
        </w:tc>
        <w:tc>
          <w:tcPr>
            <w:tcW w:w="0" w:type="auto"/>
            <w:gridSpan w:val="3"/>
            <w:vAlign w:val="center"/>
            <w:hideMark/>
          </w:tcPr>
          <w:p w14:paraId="4E85D4DD" w14:textId="77777777" w:rsidR="00000000" w:rsidRDefault="00A173A8">
            <w:pPr>
              <w:spacing w:after="100"/>
              <w:rPr>
                <w:rFonts w:eastAsia="Times New Roman"/>
                <w:sz w:val="20"/>
                <w:szCs w:val="20"/>
              </w:rPr>
            </w:pPr>
          </w:p>
        </w:tc>
      </w:tr>
      <w:tr w:rsidR="00000000" w14:paraId="28BE4A0F" w14:textId="77777777">
        <w:trPr>
          <w:divId w:val="42757019"/>
        </w:trPr>
        <w:tc>
          <w:tcPr>
            <w:tcW w:w="0" w:type="auto"/>
            <w:gridSpan w:val="3"/>
            <w:vAlign w:val="center"/>
            <w:hideMark/>
          </w:tcPr>
          <w:p w14:paraId="6C26C093" w14:textId="77777777" w:rsidR="00000000" w:rsidRDefault="00A173A8">
            <w:pPr>
              <w:spacing w:after="100"/>
              <w:rPr>
                <w:rFonts w:eastAsia="Times New Roman"/>
                <w:sz w:val="20"/>
                <w:szCs w:val="20"/>
              </w:rPr>
            </w:pPr>
          </w:p>
        </w:tc>
        <w:tc>
          <w:tcPr>
            <w:tcW w:w="0" w:type="auto"/>
            <w:gridSpan w:val="3"/>
            <w:vAlign w:val="center"/>
            <w:hideMark/>
          </w:tcPr>
          <w:p w14:paraId="25B6ADD5" w14:textId="77777777" w:rsidR="00000000" w:rsidRDefault="00A173A8">
            <w:pPr>
              <w:spacing w:after="100"/>
              <w:rPr>
                <w:rFonts w:eastAsia="Times New Roman"/>
                <w:sz w:val="20"/>
                <w:szCs w:val="20"/>
              </w:rPr>
            </w:pPr>
          </w:p>
        </w:tc>
        <w:tc>
          <w:tcPr>
            <w:tcW w:w="0" w:type="auto"/>
            <w:gridSpan w:val="3"/>
            <w:vAlign w:val="center"/>
            <w:hideMark/>
          </w:tcPr>
          <w:p w14:paraId="6C37838B" w14:textId="77777777" w:rsidR="00000000" w:rsidRDefault="00A173A8">
            <w:pPr>
              <w:spacing w:after="100"/>
              <w:rPr>
                <w:rFonts w:eastAsia="Times New Roman"/>
                <w:sz w:val="20"/>
                <w:szCs w:val="20"/>
              </w:rPr>
            </w:pPr>
          </w:p>
        </w:tc>
      </w:tr>
      <w:tr w:rsidR="00000000" w14:paraId="7F7E248F" w14:textId="77777777">
        <w:trPr>
          <w:divId w:val="42757019"/>
        </w:trPr>
        <w:tc>
          <w:tcPr>
            <w:tcW w:w="0" w:type="auto"/>
            <w:gridSpan w:val="3"/>
            <w:vAlign w:val="center"/>
            <w:hideMark/>
          </w:tcPr>
          <w:p w14:paraId="272BDDEB" w14:textId="77777777" w:rsidR="00000000" w:rsidRDefault="00A173A8">
            <w:pPr>
              <w:spacing w:after="100"/>
              <w:rPr>
                <w:rFonts w:eastAsia="Times New Roman"/>
                <w:sz w:val="20"/>
                <w:szCs w:val="20"/>
              </w:rPr>
            </w:pPr>
          </w:p>
        </w:tc>
        <w:tc>
          <w:tcPr>
            <w:tcW w:w="0" w:type="auto"/>
            <w:gridSpan w:val="3"/>
            <w:vAlign w:val="center"/>
            <w:hideMark/>
          </w:tcPr>
          <w:p w14:paraId="58ED4A40" w14:textId="77777777" w:rsidR="00000000" w:rsidRDefault="00A173A8">
            <w:pPr>
              <w:spacing w:after="100"/>
              <w:rPr>
                <w:rFonts w:eastAsia="Times New Roman"/>
                <w:sz w:val="20"/>
                <w:szCs w:val="20"/>
              </w:rPr>
            </w:pPr>
          </w:p>
        </w:tc>
        <w:tc>
          <w:tcPr>
            <w:tcW w:w="0" w:type="auto"/>
            <w:gridSpan w:val="3"/>
            <w:vAlign w:val="center"/>
            <w:hideMark/>
          </w:tcPr>
          <w:p w14:paraId="224656D6" w14:textId="77777777" w:rsidR="00000000" w:rsidRDefault="00A173A8">
            <w:pPr>
              <w:spacing w:after="100"/>
              <w:rPr>
                <w:rFonts w:eastAsia="Times New Roman"/>
                <w:sz w:val="20"/>
                <w:szCs w:val="20"/>
              </w:rPr>
            </w:pPr>
          </w:p>
        </w:tc>
      </w:tr>
      <w:tr w:rsidR="00000000" w14:paraId="205D4083" w14:textId="77777777">
        <w:trPr>
          <w:divId w:val="42757019"/>
        </w:trPr>
        <w:tc>
          <w:tcPr>
            <w:tcW w:w="0" w:type="auto"/>
            <w:gridSpan w:val="3"/>
            <w:vAlign w:val="center"/>
            <w:hideMark/>
          </w:tcPr>
          <w:p w14:paraId="254D7378" w14:textId="77777777" w:rsidR="00000000" w:rsidRDefault="00A173A8">
            <w:pPr>
              <w:spacing w:after="100"/>
              <w:rPr>
                <w:rFonts w:eastAsia="Times New Roman"/>
                <w:sz w:val="20"/>
                <w:szCs w:val="20"/>
              </w:rPr>
            </w:pPr>
          </w:p>
        </w:tc>
        <w:tc>
          <w:tcPr>
            <w:tcW w:w="0" w:type="auto"/>
            <w:gridSpan w:val="3"/>
            <w:vAlign w:val="center"/>
            <w:hideMark/>
          </w:tcPr>
          <w:p w14:paraId="27537D44" w14:textId="77777777" w:rsidR="00000000" w:rsidRDefault="00A173A8">
            <w:pPr>
              <w:spacing w:after="100"/>
              <w:rPr>
                <w:rFonts w:eastAsia="Times New Roman"/>
                <w:sz w:val="20"/>
                <w:szCs w:val="20"/>
              </w:rPr>
            </w:pPr>
          </w:p>
        </w:tc>
        <w:tc>
          <w:tcPr>
            <w:tcW w:w="0" w:type="auto"/>
            <w:gridSpan w:val="3"/>
            <w:vAlign w:val="center"/>
            <w:hideMark/>
          </w:tcPr>
          <w:p w14:paraId="48F955CC" w14:textId="77777777" w:rsidR="00000000" w:rsidRDefault="00A173A8">
            <w:pPr>
              <w:spacing w:after="100"/>
              <w:rPr>
                <w:rFonts w:eastAsia="Times New Roman"/>
                <w:sz w:val="20"/>
                <w:szCs w:val="20"/>
              </w:rPr>
            </w:pPr>
          </w:p>
        </w:tc>
      </w:tr>
      <w:tr w:rsidR="00000000" w14:paraId="2A0A3ED5" w14:textId="77777777">
        <w:trPr>
          <w:divId w:val="42757019"/>
        </w:trPr>
        <w:tc>
          <w:tcPr>
            <w:tcW w:w="0" w:type="auto"/>
            <w:gridSpan w:val="3"/>
            <w:vAlign w:val="center"/>
            <w:hideMark/>
          </w:tcPr>
          <w:p w14:paraId="3480AD6B" w14:textId="77777777" w:rsidR="00000000" w:rsidRDefault="00A173A8">
            <w:pPr>
              <w:spacing w:after="100"/>
              <w:rPr>
                <w:rFonts w:eastAsia="Times New Roman"/>
                <w:sz w:val="20"/>
                <w:szCs w:val="20"/>
              </w:rPr>
            </w:pPr>
          </w:p>
        </w:tc>
        <w:tc>
          <w:tcPr>
            <w:tcW w:w="0" w:type="auto"/>
            <w:gridSpan w:val="3"/>
            <w:vAlign w:val="center"/>
            <w:hideMark/>
          </w:tcPr>
          <w:p w14:paraId="4789B4D1" w14:textId="77777777" w:rsidR="00000000" w:rsidRDefault="00A173A8">
            <w:pPr>
              <w:spacing w:after="100"/>
              <w:rPr>
                <w:rFonts w:eastAsia="Times New Roman"/>
                <w:sz w:val="20"/>
                <w:szCs w:val="20"/>
              </w:rPr>
            </w:pPr>
          </w:p>
        </w:tc>
        <w:tc>
          <w:tcPr>
            <w:tcW w:w="0" w:type="auto"/>
            <w:gridSpan w:val="3"/>
            <w:vAlign w:val="center"/>
            <w:hideMark/>
          </w:tcPr>
          <w:p w14:paraId="08EA92B1" w14:textId="77777777" w:rsidR="00000000" w:rsidRDefault="00A173A8">
            <w:pPr>
              <w:spacing w:after="100"/>
              <w:rPr>
                <w:rFonts w:eastAsia="Times New Roman"/>
                <w:sz w:val="20"/>
                <w:szCs w:val="20"/>
              </w:rPr>
            </w:pPr>
          </w:p>
        </w:tc>
      </w:tr>
      <w:tr w:rsidR="00000000" w14:paraId="62E32EF5" w14:textId="77777777">
        <w:trPr>
          <w:divId w:val="42757019"/>
        </w:trPr>
        <w:tc>
          <w:tcPr>
            <w:tcW w:w="0" w:type="auto"/>
            <w:gridSpan w:val="3"/>
            <w:vAlign w:val="center"/>
            <w:hideMark/>
          </w:tcPr>
          <w:p w14:paraId="66194380" w14:textId="77777777" w:rsidR="00000000" w:rsidRDefault="00A173A8">
            <w:pPr>
              <w:spacing w:after="100"/>
              <w:rPr>
                <w:rFonts w:eastAsia="Times New Roman"/>
                <w:sz w:val="20"/>
                <w:szCs w:val="20"/>
              </w:rPr>
            </w:pPr>
          </w:p>
        </w:tc>
        <w:tc>
          <w:tcPr>
            <w:tcW w:w="0" w:type="auto"/>
            <w:gridSpan w:val="3"/>
            <w:vAlign w:val="center"/>
            <w:hideMark/>
          </w:tcPr>
          <w:p w14:paraId="723F6255" w14:textId="77777777" w:rsidR="00000000" w:rsidRDefault="00A173A8">
            <w:pPr>
              <w:spacing w:after="100"/>
              <w:rPr>
                <w:rFonts w:eastAsia="Times New Roman"/>
                <w:sz w:val="20"/>
                <w:szCs w:val="20"/>
              </w:rPr>
            </w:pPr>
          </w:p>
        </w:tc>
        <w:tc>
          <w:tcPr>
            <w:tcW w:w="0" w:type="auto"/>
            <w:gridSpan w:val="3"/>
            <w:vAlign w:val="center"/>
            <w:hideMark/>
          </w:tcPr>
          <w:p w14:paraId="04AC591C" w14:textId="77777777" w:rsidR="00000000" w:rsidRDefault="00A173A8">
            <w:pPr>
              <w:spacing w:after="100"/>
              <w:rPr>
                <w:rFonts w:eastAsia="Times New Roman"/>
                <w:sz w:val="20"/>
                <w:szCs w:val="20"/>
              </w:rPr>
            </w:pPr>
          </w:p>
        </w:tc>
      </w:tr>
      <w:tr w:rsidR="00000000" w14:paraId="762CBCA8" w14:textId="77777777">
        <w:trPr>
          <w:divId w:val="42757019"/>
        </w:trPr>
        <w:tc>
          <w:tcPr>
            <w:tcW w:w="0" w:type="auto"/>
            <w:gridSpan w:val="3"/>
            <w:vAlign w:val="center"/>
            <w:hideMark/>
          </w:tcPr>
          <w:p w14:paraId="408D5827" w14:textId="77777777" w:rsidR="00000000" w:rsidRDefault="00A173A8">
            <w:pPr>
              <w:spacing w:after="100"/>
              <w:rPr>
                <w:rFonts w:eastAsia="Times New Roman"/>
                <w:sz w:val="20"/>
                <w:szCs w:val="20"/>
              </w:rPr>
            </w:pPr>
          </w:p>
        </w:tc>
        <w:tc>
          <w:tcPr>
            <w:tcW w:w="0" w:type="auto"/>
            <w:gridSpan w:val="3"/>
            <w:vAlign w:val="center"/>
            <w:hideMark/>
          </w:tcPr>
          <w:p w14:paraId="097BA045" w14:textId="77777777" w:rsidR="00000000" w:rsidRDefault="00A173A8">
            <w:pPr>
              <w:spacing w:after="100"/>
              <w:rPr>
                <w:rFonts w:eastAsia="Times New Roman"/>
                <w:sz w:val="20"/>
                <w:szCs w:val="20"/>
              </w:rPr>
            </w:pPr>
          </w:p>
        </w:tc>
        <w:tc>
          <w:tcPr>
            <w:tcW w:w="0" w:type="auto"/>
            <w:gridSpan w:val="3"/>
            <w:vAlign w:val="center"/>
            <w:hideMark/>
          </w:tcPr>
          <w:p w14:paraId="66C03135" w14:textId="77777777" w:rsidR="00000000" w:rsidRDefault="00A173A8">
            <w:pPr>
              <w:spacing w:after="100"/>
              <w:rPr>
                <w:rFonts w:eastAsia="Times New Roman"/>
                <w:sz w:val="20"/>
                <w:szCs w:val="20"/>
              </w:rPr>
            </w:pPr>
          </w:p>
        </w:tc>
      </w:tr>
      <w:tr w:rsidR="00000000" w14:paraId="5A158224" w14:textId="77777777">
        <w:trPr>
          <w:divId w:val="42757019"/>
        </w:trPr>
        <w:tc>
          <w:tcPr>
            <w:tcW w:w="0" w:type="auto"/>
            <w:gridSpan w:val="3"/>
            <w:vAlign w:val="center"/>
            <w:hideMark/>
          </w:tcPr>
          <w:p w14:paraId="2D4E6348" w14:textId="77777777" w:rsidR="00000000" w:rsidRDefault="00A173A8">
            <w:pPr>
              <w:spacing w:after="100"/>
              <w:rPr>
                <w:rFonts w:eastAsia="Times New Roman"/>
                <w:sz w:val="20"/>
                <w:szCs w:val="20"/>
              </w:rPr>
            </w:pPr>
          </w:p>
        </w:tc>
        <w:tc>
          <w:tcPr>
            <w:tcW w:w="0" w:type="auto"/>
            <w:gridSpan w:val="3"/>
            <w:vAlign w:val="center"/>
            <w:hideMark/>
          </w:tcPr>
          <w:p w14:paraId="33438A83" w14:textId="77777777" w:rsidR="00000000" w:rsidRDefault="00A173A8">
            <w:pPr>
              <w:spacing w:after="100"/>
              <w:rPr>
                <w:rFonts w:eastAsia="Times New Roman"/>
                <w:sz w:val="20"/>
                <w:szCs w:val="20"/>
              </w:rPr>
            </w:pPr>
          </w:p>
        </w:tc>
        <w:tc>
          <w:tcPr>
            <w:tcW w:w="0" w:type="auto"/>
            <w:gridSpan w:val="3"/>
            <w:vAlign w:val="center"/>
            <w:hideMark/>
          </w:tcPr>
          <w:p w14:paraId="412596C3" w14:textId="77777777" w:rsidR="00000000" w:rsidRDefault="00A173A8">
            <w:pPr>
              <w:spacing w:after="100"/>
              <w:rPr>
                <w:rFonts w:eastAsia="Times New Roman"/>
                <w:sz w:val="20"/>
                <w:szCs w:val="20"/>
              </w:rPr>
            </w:pPr>
          </w:p>
        </w:tc>
      </w:tr>
      <w:tr w:rsidR="00000000" w14:paraId="1002392C" w14:textId="77777777">
        <w:trPr>
          <w:divId w:val="42757019"/>
        </w:trPr>
        <w:tc>
          <w:tcPr>
            <w:tcW w:w="0" w:type="auto"/>
            <w:gridSpan w:val="3"/>
            <w:vAlign w:val="center"/>
            <w:hideMark/>
          </w:tcPr>
          <w:p w14:paraId="062E8DFA" w14:textId="77777777" w:rsidR="00000000" w:rsidRDefault="00A173A8">
            <w:pPr>
              <w:spacing w:after="100"/>
              <w:rPr>
                <w:rFonts w:eastAsia="Times New Roman"/>
                <w:sz w:val="20"/>
                <w:szCs w:val="20"/>
              </w:rPr>
            </w:pPr>
          </w:p>
        </w:tc>
        <w:tc>
          <w:tcPr>
            <w:tcW w:w="0" w:type="auto"/>
            <w:gridSpan w:val="3"/>
            <w:vAlign w:val="center"/>
            <w:hideMark/>
          </w:tcPr>
          <w:p w14:paraId="43095CB4" w14:textId="77777777" w:rsidR="00000000" w:rsidRDefault="00A173A8">
            <w:pPr>
              <w:spacing w:after="100"/>
              <w:rPr>
                <w:rFonts w:eastAsia="Times New Roman"/>
                <w:sz w:val="20"/>
                <w:szCs w:val="20"/>
              </w:rPr>
            </w:pPr>
          </w:p>
        </w:tc>
        <w:tc>
          <w:tcPr>
            <w:tcW w:w="0" w:type="auto"/>
            <w:gridSpan w:val="3"/>
            <w:vAlign w:val="center"/>
            <w:hideMark/>
          </w:tcPr>
          <w:p w14:paraId="593637A9" w14:textId="77777777" w:rsidR="00000000" w:rsidRDefault="00A173A8">
            <w:pPr>
              <w:spacing w:after="100"/>
              <w:rPr>
                <w:rFonts w:eastAsia="Times New Roman"/>
                <w:sz w:val="20"/>
                <w:szCs w:val="20"/>
              </w:rPr>
            </w:pPr>
          </w:p>
        </w:tc>
      </w:tr>
      <w:tr w:rsidR="00000000" w14:paraId="2FC56D14" w14:textId="77777777">
        <w:trPr>
          <w:divId w:val="42757019"/>
        </w:trPr>
        <w:tc>
          <w:tcPr>
            <w:tcW w:w="0" w:type="auto"/>
            <w:gridSpan w:val="3"/>
            <w:vAlign w:val="center"/>
            <w:hideMark/>
          </w:tcPr>
          <w:p w14:paraId="4057FA3E" w14:textId="77777777" w:rsidR="00000000" w:rsidRDefault="00A173A8">
            <w:pPr>
              <w:spacing w:after="100"/>
              <w:rPr>
                <w:rFonts w:eastAsia="Times New Roman"/>
                <w:sz w:val="20"/>
                <w:szCs w:val="20"/>
              </w:rPr>
            </w:pPr>
          </w:p>
        </w:tc>
        <w:tc>
          <w:tcPr>
            <w:tcW w:w="0" w:type="auto"/>
            <w:gridSpan w:val="3"/>
            <w:vAlign w:val="center"/>
            <w:hideMark/>
          </w:tcPr>
          <w:p w14:paraId="0A27EB47" w14:textId="77777777" w:rsidR="00000000" w:rsidRDefault="00A173A8">
            <w:pPr>
              <w:spacing w:after="100"/>
              <w:rPr>
                <w:rFonts w:eastAsia="Times New Roman"/>
                <w:sz w:val="20"/>
                <w:szCs w:val="20"/>
              </w:rPr>
            </w:pPr>
          </w:p>
        </w:tc>
        <w:tc>
          <w:tcPr>
            <w:tcW w:w="0" w:type="auto"/>
            <w:gridSpan w:val="3"/>
            <w:vAlign w:val="center"/>
            <w:hideMark/>
          </w:tcPr>
          <w:p w14:paraId="3879B299" w14:textId="77777777" w:rsidR="00000000" w:rsidRDefault="00A173A8">
            <w:pPr>
              <w:spacing w:after="100"/>
              <w:rPr>
                <w:rFonts w:eastAsia="Times New Roman"/>
                <w:sz w:val="20"/>
                <w:szCs w:val="20"/>
              </w:rPr>
            </w:pPr>
          </w:p>
        </w:tc>
      </w:tr>
      <w:tr w:rsidR="00000000" w14:paraId="14379079" w14:textId="77777777">
        <w:trPr>
          <w:divId w:val="42757019"/>
        </w:trPr>
        <w:tc>
          <w:tcPr>
            <w:tcW w:w="0" w:type="auto"/>
            <w:gridSpan w:val="3"/>
            <w:tcMar>
              <w:top w:w="30" w:type="dxa"/>
              <w:left w:w="20" w:type="dxa"/>
              <w:bottom w:w="30" w:type="dxa"/>
              <w:right w:w="20" w:type="dxa"/>
            </w:tcMar>
            <w:vAlign w:val="center"/>
            <w:hideMark/>
          </w:tcPr>
          <w:p w14:paraId="43F65568" w14:textId="77777777" w:rsidR="00000000" w:rsidRDefault="00A173A8">
            <w:pPr>
              <w:spacing w:after="100"/>
              <w:divId w:val="1286765707"/>
              <w:rPr>
                <w:rFonts w:eastAsia="Times New Roman"/>
              </w:rPr>
            </w:pPr>
            <w:hyperlink w:anchor="i7ffd5d61af6f4722b1b1b07530d51c06_319"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14:paraId="5C375903" w14:textId="77777777" w:rsidR="00000000" w:rsidRDefault="00A173A8">
            <w:pPr>
              <w:spacing w:after="100"/>
              <w:divId w:val="81607780"/>
              <w:rPr>
                <w:rFonts w:eastAsia="Times New Roman"/>
              </w:rPr>
            </w:pPr>
            <w:hyperlink w:anchor="i7ffd5d61af6f4722b1b1b07530d51c06_319" w:history="1">
              <w:r>
                <w:rPr>
                  <w:rStyle w:val="a3"/>
                  <w:rFonts w:eastAsia="Times New Roman"/>
                  <w:color w:val="000000"/>
                  <w:sz w:val="20"/>
                  <w:szCs w:val="20"/>
                  <w:u w:val="none"/>
                </w:rPr>
                <w:t>Financial Statements and Notes</w:t>
              </w:r>
            </w:hyperlink>
          </w:p>
        </w:tc>
        <w:tc>
          <w:tcPr>
            <w:tcW w:w="0" w:type="auto"/>
            <w:gridSpan w:val="3"/>
            <w:tcMar>
              <w:top w:w="30" w:type="dxa"/>
              <w:left w:w="20" w:type="dxa"/>
              <w:bottom w:w="30" w:type="dxa"/>
              <w:right w:w="20" w:type="dxa"/>
            </w:tcMar>
            <w:vAlign w:val="bottom"/>
            <w:hideMark/>
          </w:tcPr>
          <w:p w14:paraId="525EA6F3" w14:textId="77777777" w:rsidR="00000000" w:rsidRDefault="00A173A8">
            <w:pPr>
              <w:spacing w:after="100"/>
              <w:jc w:val="center"/>
              <w:rPr>
                <w:rFonts w:eastAsia="Times New Roman"/>
              </w:rPr>
            </w:pPr>
            <w:hyperlink w:anchor="i7ffd5d61af6f4722b1b1b07530d51c06_319" w:history="1">
              <w:r>
                <w:rPr>
                  <w:rStyle w:val="a3"/>
                  <w:rFonts w:eastAsia="Times New Roman"/>
                  <w:color w:val="000000"/>
                  <w:sz w:val="20"/>
                  <w:szCs w:val="20"/>
                  <w:u w:val="none"/>
                </w:rPr>
                <w:t>64</w:t>
              </w:r>
            </w:hyperlink>
          </w:p>
        </w:tc>
      </w:tr>
      <w:tr w:rsidR="00000000" w14:paraId="0E6A2913" w14:textId="77777777">
        <w:trPr>
          <w:divId w:val="42757019"/>
        </w:trPr>
        <w:tc>
          <w:tcPr>
            <w:tcW w:w="0" w:type="auto"/>
            <w:gridSpan w:val="3"/>
            <w:tcMar>
              <w:top w:w="0" w:type="dxa"/>
              <w:left w:w="20" w:type="dxa"/>
              <w:bottom w:w="0" w:type="dxa"/>
              <w:right w:w="20" w:type="dxa"/>
            </w:tcMar>
            <w:vAlign w:val="center"/>
            <w:hideMark/>
          </w:tcPr>
          <w:p w14:paraId="32AE1D6B"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AB52D5" w14:textId="77777777" w:rsidR="00000000" w:rsidRDefault="00A173A8">
            <w:pPr>
              <w:spacing w:after="100"/>
              <w:divId w:val="1787581320"/>
              <w:rPr>
                <w:rFonts w:eastAsia="Times New Roman"/>
              </w:rPr>
            </w:pPr>
            <w:hyperlink w:anchor="i7ffd5d61af6f4722b1b1b07530d51c06_334"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vAlign w:val="bottom"/>
            <w:hideMark/>
          </w:tcPr>
          <w:p w14:paraId="3395A1BA" w14:textId="77777777" w:rsidR="00000000" w:rsidRDefault="00A173A8">
            <w:pPr>
              <w:spacing w:after="100"/>
              <w:jc w:val="center"/>
              <w:rPr>
                <w:rFonts w:eastAsia="Times New Roman"/>
              </w:rPr>
            </w:pPr>
            <w:hyperlink w:anchor="i7ffd5d61af6f4722b1b1b07530d51c06_334" w:history="1">
              <w:r>
                <w:rPr>
                  <w:rStyle w:val="a3"/>
                  <w:rFonts w:eastAsia="Times New Roman"/>
                  <w:color w:val="000000"/>
                  <w:sz w:val="20"/>
                  <w:szCs w:val="20"/>
                  <w:u w:val="none"/>
                </w:rPr>
                <w:t>65</w:t>
              </w:r>
            </w:hyperlink>
          </w:p>
        </w:tc>
      </w:tr>
      <w:tr w:rsidR="00000000" w14:paraId="5EB939BD" w14:textId="77777777">
        <w:trPr>
          <w:divId w:val="42757019"/>
        </w:trPr>
        <w:tc>
          <w:tcPr>
            <w:tcW w:w="0" w:type="auto"/>
            <w:gridSpan w:val="3"/>
            <w:tcMar>
              <w:top w:w="0" w:type="dxa"/>
              <w:left w:w="20" w:type="dxa"/>
              <w:bottom w:w="0" w:type="dxa"/>
              <w:right w:w="20" w:type="dxa"/>
            </w:tcMar>
            <w:vAlign w:val="center"/>
            <w:hideMark/>
          </w:tcPr>
          <w:p w14:paraId="19B682D7"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C629C8" w14:textId="77777777" w:rsidR="00000000" w:rsidRDefault="00A173A8">
            <w:pPr>
              <w:spacing w:after="100"/>
              <w:divId w:val="983581230"/>
              <w:rPr>
                <w:rFonts w:eastAsia="Times New Roman"/>
              </w:rPr>
            </w:pPr>
            <w:hyperlink w:anchor="i7ffd5d61af6f4722b1b1b07530d51c06_337"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vAlign w:val="bottom"/>
            <w:hideMark/>
          </w:tcPr>
          <w:p w14:paraId="123D8F90" w14:textId="77777777" w:rsidR="00000000" w:rsidRDefault="00A173A8">
            <w:pPr>
              <w:spacing w:after="100"/>
              <w:jc w:val="center"/>
              <w:rPr>
                <w:rFonts w:eastAsia="Times New Roman"/>
              </w:rPr>
            </w:pPr>
            <w:hyperlink w:anchor="i7ffd5d61af6f4722b1b1b07530d51c06_337" w:history="1">
              <w:r>
                <w:rPr>
                  <w:rStyle w:val="a3"/>
                  <w:rFonts w:eastAsia="Times New Roman"/>
                  <w:color w:val="000000"/>
                  <w:sz w:val="20"/>
                  <w:szCs w:val="20"/>
                  <w:u w:val="none"/>
                </w:rPr>
                <w:t>66</w:t>
              </w:r>
            </w:hyperlink>
          </w:p>
        </w:tc>
      </w:tr>
      <w:tr w:rsidR="00000000" w14:paraId="4DA8E373" w14:textId="77777777">
        <w:trPr>
          <w:divId w:val="42757019"/>
        </w:trPr>
        <w:tc>
          <w:tcPr>
            <w:tcW w:w="0" w:type="auto"/>
            <w:gridSpan w:val="3"/>
            <w:tcMar>
              <w:top w:w="0" w:type="dxa"/>
              <w:left w:w="20" w:type="dxa"/>
              <w:bottom w:w="0" w:type="dxa"/>
              <w:right w:w="20" w:type="dxa"/>
            </w:tcMar>
            <w:vAlign w:val="center"/>
            <w:hideMark/>
          </w:tcPr>
          <w:p w14:paraId="02E8EADF"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870D02" w14:textId="77777777" w:rsidR="00000000" w:rsidRDefault="00A173A8">
            <w:pPr>
              <w:spacing w:after="100"/>
              <w:divId w:val="2135901929"/>
              <w:rPr>
                <w:rFonts w:eastAsia="Times New Roman"/>
              </w:rPr>
            </w:pPr>
            <w:hyperlink w:anchor="i7ffd5d61af6f4722b1b1b07530d51c06_340"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vAlign w:val="bottom"/>
            <w:hideMark/>
          </w:tcPr>
          <w:p w14:paraId="240ACEB6" w14:textId="77777777" w:rsidR="00000000" w:rsidRDefault="00A173A8">
            <w:pPr>
              <w:spacing w:after="100"/>
              <w:jc w:val="center"/>
              <w:rPr>
                <w:rFonts w:eastAsia="Times New Roman"/>
              </w:rPr>
            </w:pPr>
            <w:hyperlink w:anchor="i7ffd5d61af6f4722b1b1b07530d51c06_340" w:history="1">
              <w:r>
                <w:rPr>
                  <w:rStyle w:val="a3"/>
                  <w:rFonts w:eastAsia="Times New Roman"/>
                  <w:color w:val="000000"/>
                  <w:sz w:val="20"/>
                  <w:szCs w:val="20"/>
                  <w:u w:val="none"/>
                </w:rPr>
                <w:t>67</w:t>
              </w:r>
            </w:hyperlink>
          </w:p>
        </w:tc>
      </w:tr>
      <w:tr w:rsidR="00000000" w14:paraId="4E2AE2A6" w14:textId="77777777">
        <w:trPr>
          <w:divId w:val="42757019"/>
        </w:trPr>
        <w:tc>
          <w:tcPr>
            <w:tcW w:w="0" w:type="auto"/>
            <w:gridSpan w:val="3"/>
            <w:tcMar>
              <w:top w:w="0" w:type="dxa"/>
              <w:left w:w="20" w:type="dxa"/>
              <w:bottom w:w="0" w:type="dxa"/>
              <w:right w:w="20" w:type="dxa"/>
            </w:tcMar>
            <w:vAlign w:val="center"/>
            <w:hideMark/>
          </w:tcPr>
          <w:p w14:paraId="632A899E"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1EE603E" w14:textId="77777777" w:rsidR="00000000" w:rsidRDefault="00A173A8">
            <w:pPr>
              <w:spacing w:after="100"/>
              <w:divId w:val="1823765453"/>
              <w:rPr>
                <w:rFonts w:eastAsia="Times New Roman"/>
              </w:rPr>
            </w:pPr>
            <w:hyperlink w:anchor="i7ffd5d61af6f4722b1b1b07530d51c06_343"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vAlign w:val="bottom"/>
            <w:hideMark/>
          </w:tcPr>
          <w:p w14:paraId="60EF0F4D" w14:textId="77777777" w:rsidR="00000000" w:rsidRDefault="00A173A8">
            <w:pPr>
              <w:spacing w:after="100"/>
              <w:jc w:val="center"/>
              <w:rPr>
                <w:rFonts w:eastAsia="Times New Roman"/>
              </w:rPr>
            </w:pPr>
            <w:hyperlink w:anchor="i7ffd5d61af6f4722b1b1b07530d51c06_343" w:history="1">
              <w:r>
                <w:rPr>
                  <w:rStyle w:val="a3"/>
                  <w:rFonts w:eastAsia="Times New Roman"/>
                  <w:color w:val="000000"/>
                  <w:sz w:val="20"/>
                  <w:szCs w:val="20"/>
                  <w:u w:val="none"/>
                </w:rPr>
                <w:t>68</w:t>
              </w:r>
            </w:hyperlink>
          </w:p>
        </w:tc>
      </w:tr>
      <w:tr w:rsidR="00000000" w14:paraId="07004AD1" w14:textId="77777777">
        <w:trPr>
          <w:divId w:val="42757019"/>
        </w:trPr>
        <w:tc>
          <w:tcPr>
            <w:tcW w:w="0" w:type="auto"/>
            <w:gridSpan w:val="3"/>
            <w:tcMar>
              <w:top w:w="0" w:type="dxa"/>
              <w:left w:w="20" w:type="dxa"/>
              <w:bottom w:w="0" w:type="dxa"/>
              <w:right w:w="20" w:type="dxa"/>
            </w:tcMar>
            <w:vAlign w:val="center"/>
            <w:hideMark/>
          </w:tcPr>
          <w:p w14:paraId="5E45E6CD"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AB420E9" w14:textId="77777777" w:rsidR="00000000" w:rsidRDefault="00A173A8">
            <w:pPr>
              <w:spacing w:after="100"/>
              <w:divId w:val="801265286"/>
              <w:rPr>
                <w:rFonts w:eastAsia="Times New Roman"/>
              </w:rPr>
            </w:pPr>
            <w:hyperlink w:anchor="i7ffd5d61af6f4722b1b1b07530d51c06_346"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vAlign w:val="bottom"/>
            <w:hideMark/>
          </w:tcPr>
          <w:p w14:paraId="2B5F6DB4" w14:textId="77777777" w:rsidR="00000000" w:rsidRDefault="00A173A8">
            <w:pPr>
              <w:spacing w:after="100"/>
              <w:jc w:val="center"/>
              <w:rPr>
                <w:rFonts w:eastAsia="Times New Roman"/>
              </w:rPr>
            </w:pPr>
            <w:hyperlink w:anchor="i7ffd5d61af6f4722b1b1b07530d51c06_346" w:history="1">
              <w:r>
                <w:rPr>
                  <w:rStyle w:val="a3"/>
                  <w:rFonts w:eastAsia="Times New Roman"/>
                  <w:color w:val="000000"/>
                  <w:sz w:val="20"/>
                  <w:szCs w:val="20"/>
                  <w:u w:val="none"/>
                </w:rPr>
                <w:t>69</w:t>
              </w:r>
            </w:hyperlink>
          </w:p>
        </w:tc>
      </w:tr>
      <w:tr w:rsidR="00000000" w14:paraId="23E13172" w14:textId="77777777">
        <w:trPr>
          <w:divId w:val="42757019"/>
        </w:trPr>
        <w:tc>
          <w:tcPr>
            <w:tcW w:w="0" w:type="auto"/>
            <w:gridSpan w:val="3"/>
            <w:tcMar>
              <w:top w:w="0" w:type="dxa"/>
              <w:left w:w="20" w:type="dxa"/>
              <w:bottom w:w="0" w:type="dxa"/>
              <w:right w:w="20" w:type="dxa"/>
            </w:tcMar>
            <w:vAlign w:val="center"/>
            <w:hideMark/>
          </w:tcPr>
          <w:p w14:paraId="3142DEC9"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699AF6" w14:textId="77777777" w:rsidR="00000000" w:rsidRDefault="00A173A8">
            <w:pPr>
              <w:spacing w:after="100"/>
              <w:divId w:val="87967952"/>
              <w:rPr>
                <w:rFonts w:eastAsia="Times New Roman"/>
              </w:rPr>
            </w:pPr>
            <w:hyperlink w:anchor="i7ffd5d61af6f4722b1b1b07530d51c06_349" w:history="1">
              <w:r>
                <w:rPr>
                  <w:rStyle w:val="a3"/>
                  <w:rFonts w:eastAsia="Times New Roman"/>
                  <w:color w:val="000000"/>
                  <w:sz w:val="20"/>
                  <w:szCs w:val="20"/>
                  <w:u w:val="none"/>
                </w:rPr>
                <w:t>Notes to Consolidated Finan</w:t>
              </w:r>
              <w:r>
                <w:rPr>
                  <w:rStyle w:val="a3"/>
                  <w:rFonts w:eastAsia="Times New Roman"/>
                  <w:color w:val="000000"/>
                  <w:sz w:val="20"/>
                  <w:szCs w:val="20"/>
                  <w:u w:val="none"/>
                </w:rPr>
                <w:t>cial Statements</w:t>
              </w:r>
            </w:hyperlink>
          </w:p>
        </w:tc>
        <w:tc>
          <w:tcPr>
            <w:tcW w:w="0" w:type="auto"/>
            <w:gridSpan w:val="3"/>
            <w:tcMar>
              <w:top w:w="30" w:type="dxa"/>
              <w:left w:w="20" w:type="dxa"/>
              <w:bottom w:w="30" w:type="dxa"/>
              <w:right w:w="20" w:type="dxa"/>
            </w:tcMar>
            <w:vAlign w:val="bottom"/>
            <w:hideMark/>
          </w:tcPr>
          <w:p w14:paraId="076AB653" w14:textId="77777777" w:rsidR="00000000" w:rsidRDefault="00A173A8">
            <w:pPr>
              <w:spacing w:after="100"/>
              <w:jc w:val="center"/>
              <w:rPr>
                <w:rFonts w:eastAsia="Times New Roman"/>
              </w:rPr>
            </w:pPr>
            <w:hyperlink w:anchor="i7ffd5d61af6f4722b1b1b07530d51c06_349" w:history="1">
              <w:r>
                <w:rPr>
                  <w:rStyle w:val="a3"/>
                  <w:rFonts w:eastAsia="Times New Roman"/>
                  <w:color w:val="000000"/>
                  <w:sz w:val="20"/>
                  <w:szCs w:val="20"/>
                  <w:u w:val="none"/>
                </w:rPr>
                <w:t>71</w:t>
              </w:r>
            </w:hyperlink>
          </w:p>
        </w:tc>
      </w:tr>
      <w:tr w:rsidR="00000000" w14:paraId="118CF270" w14:textId="77777777">
        <w:trPr>
          <w:divId w:val="42757019"/>
        </w:trPr>
        <w:tc>
          <w:tcPr>
            <w:tcW w:w="0" w:type="auto"/>
            <w:gridSpan w:val="3"/>
            <w:tcMar>
              <w:top w:w="0" w:type="dxa"/>
              <w:left w:w="20" w:type="dxa"/>
              <w:bottom w:w="0" w:type="dxa"/>
              <w:right w:w="20" w:type="dxa"/>
            </w:tcMar>
            <w:vAlign w:val="center"/>
            <w:hideMark/>
          </w:tcPr>
          <w:p w14:paraId="1132AB19"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DA98E6" w14:textId="77777777" w:rsidR="00000000" w:rsidRDefault="00A173A8">
            <w:pPr>
              <w:spacing w:after="100"/>
              <w:divId w:val="1631474725"/>
              <w:rPr>
                <w:rFonts w:eastAsia="Times New Roman"/>
              </w:rPr>
            </w:pPr>
            <w:hyperlink w:anchor="i7ffd5d61af6f4722b1b1b07530d51c06_349"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vAlign w:val="bottom"/>
            <w:hideMark/>
          </w:tcPr>
          <w:p w14:paraId="60289FF2" w14:textId="77777777" w:rsidR="00000000" w:rsidRDefault="00A173A8">
            <w:pPr>
              <w:spacing w:after="100"/>
              <w:jc w:val="center"/>
              <w:rPr>
                <w:rFonts w:eastAsia="Times New Roman"/>
              </w:rPr>
            </w:pPr>
            <w:hyperlink w:anchor="i7ffd5d61af6f4722b1b1b07530d51c06_349" w:history="1">
              <w:r>
                <w:rPr>
                  <w:rStyle w:val="a3"/>
                  <w:rFonts w:eastAsia="Times New Roman"/>
                  <w:color w:val="000000"/>
                  <w:sz w:val="20"/>
                  <w:szCs w:val="20"/>
                  <w:u w:val="none"/>
                </w:rPr>
                <w:t>71</w:t>
              </w:r>
            </w:hyperlink>
          </w:p>
        </w:tc>
      </w:tr>
      <w:tr w:rsidR="00000000" w14:paraId="4FABFE59" w14:textId="77777777">
        <w:trPr>
          <w:divId w:val="42757019"/>
        </w:trPr>
        <w:tc>
          <w:tcPr>
            <w:tcW w:w="0" w:type="auto"/>
            <w:gridSpan w:val="3"/>
            <w:vAlign w:val="center"/>
            <w:hideMark/>
          </w:tcPr>
          <w:p w14:paraId="673D7F43" w14:textId="77777777" w:rsidR="00000000" w:rsidRDefault="00A173A8">
            <w:pPr>
              <w:spacing w:after="100"/>
              <w:jc w:val="center"/>
              <w:rPr>
                <w:rFonts w:eastAsia="Times New Roman"/>
              </w:rPr>
            </w:pPr>
          </w:p>
        </w:tc>
        <w:tc>
          <w:tcPr>
            <w:tcW w:w="0" w:type="auto"/>
            <w:gridSpan w:val="3"/>
            <w:vAlign w:val="center"/>
            <w:hideMark/>
          </w:tcPr>
          <w:p w14:paraId="3D481F9B" w14:textId="77777777" w:rsidR="00000000" w:rsidRDefault="00A173A8">
            <w:pPr>
              <w:spacing w:after="100"/>
              <w:rPr>
                <w:rFonts w:eastAsia="Times New Roman"/>
                <w:sz w:val="20"/>
                <w:szCs w:val="20"/>
              </w:rPr>
            </w:pPr>
          </w:p>
        </w:tc>
        <w:tc>
          <w:tcPr>
            <w:tcW w:w="0" w:type="auto"/>
            <w:gridSpan w:val="3"/>
            <w:vAlign w:val="center"/>
            <w:hideMark/>
          </w:tcPr>
          <w:p w14:paraId="12F1573A" w14:textId="77777777" w:rsidR="00000000" w:rsidRDefault="00A173A8">
            <w:pPr>
              <w:spacing w:after="100"/>
              <w:rPr>
                <w:rFonts w:eastAsia="Times New Roman"/>
                <w:sz w:val="20"/>
                <w:szCs w:val="20"/>
              </w:rPr>
            </w:pPr>
          </w:p>
        </w:tc>
      </w:tr>
      <w:tr w:rsidR="00000000" w14:paraId="4D03CE17" w14:textId="77777777">
        <w:trPr>
          <w:divId w:val="42757019"/>
        </w:trPr>
        <w:tc>
          <w:tcPr>
            <w:tcW w:w="0" w:type="auto"/>
            <w:gridSpan w:val="3"/>
            <w:tcMar>
              <w:top w:w="0" w:type="dxa"/>
              <w:left w:w="20" w:type="dxa"/>
              <w:bottom w:w="0" w:type="dxa"/>
              <w:right w:w="20" w:type="dxa"/>
            </w:tcMar>
            <w:vAlign w:val="center"/>
            <w:hideMark/>
          </w:tcPr>
          <w:p w14:paraId="1449719A"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097EF8B" w14:textId="77777777" w:rsidR="00000000" w:rsidRDefault="00A173A8">
            <w:pPr>
              <w:spacing w:after="100"/>
              <w:divId w:val="609700911"/>
              <w:rPr>
                <w:rFonts w:eastAsia="Times New Roman"/>
              </w:rPr>
            </w:pPr>
            <w:hyperlink w:anchor="i7ffd5d61af6f4722b1b1b07530d51c06_355"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vAlign w:val="bottom"/>
            <w:hideMark/>
          </w:tcPr>
          <w:p w14:paraId="3FCD9617" w14:textId="77777777" w:rsidR="00000000" w:rsidRDefault="00A173A8">
            <w:pPr>
              <w:spacing w:after="100"/>
              <w:jc w:val="center"/>
              <w:rPr>
                <w:rFonts w:eastAsia="Times New Roman"/>
              </w:rPr>
            </w:pPr>
            <w:hyperlink w:anchor="i7ffd5d61af6f4722b1b1b07530d51c06_355" w:history="1">
              <w:r>
                <w:rPr>
                  <w:rStyle w:val="a3"/>
                  <w:rFonts w:eastAsia="Times New Roman"/>
                  <w:color w:val="000000"/>
                  <w:sz w:val="20"/>
                  <w:szCs w:val="20"/>
                  <w:u w:val="none"/>
                </w:rPr>
                <w:t>72</w:t>
              </w:r>
            </w:hyperlink>
          </w:p>
        </w:tc>
      </w:tr>
      <w:tr w:rsidR="00000000" w14:paraId="6EB23EB4" w14:textId="77777777">
        <w:trPr>
          <w:divId w:val="42757019"/>
        </w:trPr>
        <w:tc>
          <w:tcPr>
            <w:tcW w:w="0" w:type="auto"/>
            <w:gridSpan w:val="3"/>
            <w:tcMar>
              <w:top w:w="0" w:type="dxa"/>
              <w:left w:w="20" w:type="dxa"/>
              <w:bottom w:w="0" w:type="dxa"/>
              <w:right w:w="20" w:type="dxa"/>
            </w:tcMar>
            <w:vAlign w:val="center"/>
            <w:hideMark/>
          </w:tcPr>
          <w:p w14:paraId="26062B1D"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B0BA72" w14:textId="77777777" w:rsidR="00000000" w:rsidRDefault="00A173A8">
            <w:pPr>
              <w:spacing w:after="100"/>
              <w:divId w:val="1303656270"/>
              <w:rPr>
                <w:rFonts w:eastAsia="Times New Roman"/>
              </w:rPr>
            </w:pPr>
            <w:hyperlink w:anchor="i7ffd5d61af6f4722b1b1b07530d51c06_358"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vAlign w:val="bottom"/>
            <w:hideMark/>
          </w:tcPr>
          <w:p w14:paraId="77ED891E" w14:textId="77777777" w:rsidR="00000000" w:rsidRDefault="00A173A8">
            <w:pPr>
              <w:spacing w:after="100"/>
              <w:jc w:val="center"/>
              <w:rPr>
                <w:rFonts w:eastAsia="Times New Roman"/>
              </w:rPr>
            </w:pPr>
            <w:hyperlink w:anchor="i7ffd5d61af6f4722b1b1b07530d51c06_358" w:history="1">
              <w:r>
                <w:rPr>
                  <w:rStyle w:val="a3"/>
                  <w:rFonts w:eastAsia="Times New Roman"/>
                  <w:color w:val="000000"/>
                  <w:sz w:val="20"/>
                  <w:szCs w:val="20"/>
                  <w:u w:val="none"/>
                </w:rPr>
                <w:t>75</w:t>
              </w:r>
            </w:hyperlink>
          </w:p>
        </w:tc>
      </w:tr>
      <w:tr w:rsidR="00000000" w14:paraId="4DDA8573" w14:textId="77777777">
        <w:trPr>
          <w:divId w:val="42757019"/>
        </w:trPr>
        <w:tc>
          <w:tcPr>
            <w:tcW w:w="0" w:type="auto"/>
            <w:gridSpan w:val="3"/>
            <w:tcMar>
              <w:top w:w="0" w:type="dxa"/>
              <w:left w:w="20" w:type="dxa"/>
              <w:bottom w:w="0" w:type="dxa"/>
              <w:right w:w="20" w:type="dxa"/>
            </w:tcMar>
            <w:vAlign w:val="center"/>
            <w:hideMark/>
          </w:tcPr>
          <w:p w14:paraId="471C7481"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AE4F1C" w14:textId="77777777" w:rsidR="00000000" w:rsidRDefault="00A173A8">
            <w:pPr>
              <w:spacing w:after="100"/>
              <w:divId w:val="1022777684"/>
              <w:rPr>
                <w:rFonts w:eastAsia="Times New Roman"/>
              </w:rPr>
            </w:pPr>
            <w:hyperlink w:anchor="i7ffd5d61af6f4722b1b1b07530d51c06_382"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vAlign w:val="bottom"/>
            <w:hideMark/>
          </w:tcPr>
          <w:p w14:paraId="1F1D9B46" w14:textId="77777777" w:rsidR="00000000" w:rsidRDefault="00A173A8">
            <w:pPr>
              <w:spacing w:after="100"/>
              <w:jc w:val="center"/>
              <w:rPr>
                <w:rFonts w:eastAsia="Times New Roman"/>
              </w:rPr>
            </w:pPr>
            <w:hyperlink w:anchor="i7ffd5d61af6f4722b1b1b07530d51c06_382" w:history="1">
              <w:r>
                <w:rPr>
                  <w:rStyle w:val="a3"/>
                  <w:rFonts w:eastAsia="Times New Roman"/>
                  <w:color w:val="000000"/>
                  <w:sz w:val="20"/>
                  <w:szCs w:val="20"/>
                  <w:u w:val="none"/>
                </w:rPr>
                <w:t>84</w:t>
              </w:r>
            </w:hyperlink>
          </w:p>
        </w:tc>
      </w:tr>
      <w:tr w:rsidR="00000000" w14:paraId="34AB5469" w14:textId="77777777">
        <w:trPr>
          <w:divId w:val="42757019"/>
        </w:trPr>
        <w:tc>
          <w:tcPr>
            <w:tcW w:w="0" w:type="auto"/>
            <w:gridSpan w:val="3"/>
            <w:tcMar>
              <w:top w:w="0" w:type="dxa"/>
              <w:left w:w="20" w:type="dxa"/>
              <w:bottom w:w="0" w:type="dxa"/>
              <w:right w:w="20" w:type="dxa"/>
            </w:tcMar>
            <w:vAlign w:val="center"/>
            <w:hideMark/>
          </w:tcPr>
          <w:p w14:paraId="533E6F62"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D43DDF1" w14:textId="77777777" w:rsidR="00000000" w:rsidRDefault="00A173A8">
            <w:pPr>
              <w:spacing w:after="100"/>
              <w:divId w:val="189806975"/>
              <w:rPr>
                <w:rFonts w:eastAsia="Times New Roman"/>
              </w:rPr>
            </w:pPr>
            <w:hyperlink w:anchor="i7ffd5d61af6f4722b1b1b07530d51c06_385"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vAlign w:val="bottom"/>
            <w:hideMark/>
          </w:tcPr>
          <w:p w14:paraId="4FA62A23" w14:textId="77777777" w:rsidR="00000000" w:rsidRDefault="00A173A8">
            <w:pPr>
              <w:spacing w:after="100"/>
              <w:jc w:val="center"/>
              <w:rPr>
                <w:rFonts w:eastAsia="Times New Roman"/>
              </w:rPr>
            </w:pPr>
            <w:hyperlink w:anchor="i7ffd5d61af6f4722b1b1b07530d51c06_385" w:history="1">
              <w:r>
                <w:rPr>
                  <w:rStyle w:val="a3"/>
                  <w:rFonts w:eastAsia="Times New Roman"/>
                  <w:color w:val="000000"/>
                  <w:sz w:val="20"/>
                  <w:szCs w:val="20"/>
                  <w:u w:val="none"/>
                </w:rPr>
                <w:t>87</w:t>
              </w:r>
            </w:hyperlink>
          </w:p>
        </w:tc>
      </w:tr>
      <w:tr w:rsidR="00000000" w14:paraId="5AE3625E" w14:textId="77777777">
        <w:trPr>
          <w:divId w:val="42757019"/>
        </w:trPr>
        <w:tc>
          <w:tcPr>
            <w:tcW w:w="0" w:type="auto"/>
            <w:gridSpan w:val="3"/>
            <w:tcMar>
              <w:top w:w="0" w:type="dxa"/>
              <w:left w:w="20" w:type="dxa"/>
              <w:bottom w:w="0" w:type="dxa"/>
              <w:right w:w="20" w:type="dxa"/>
            </w:tcMar>
            <w:vAlign w:val="center"/>
            <w:hideMark/>
          </w:tcPr>
          <w:p w14:paraId="2BD215DD"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9D9155" w14:textId="77777777" w:rsidR="00000000" w:rsidRDefault="00A173A8">
            <w:pPr>
              <w:spacing w:after="100"/>
              <w:divId w:val="1708989362"/>
              <w:rPr>
                <w:rFonts w:eastAsia="Times New Roman"/>
              </w:rPr>
            </w:pPr>
            <w:hyperlink w:anchor="i7ffd5d61af6f4722b1b1b07530d51c06_388" w:history="1">
              <w:r>
                <w:rPr>
                  <w:rStyle w:val="a3"/>
                  <w:rFonts w:eastAsia="Times New Roman"/>
                  <w:color w:val="000000"/>
                  <w:sz w:val="20"/>
                  <w:szCs w:val="20"/>
                  <w:u w:val="none"/>
                </w:rPr>
                <w:t>Note 6—Good</w:t>
              </w:r>
              <w:r>
                <w:rPr>
                  <w:rStyle w:val="a3"/>
                  <w:rFonts w:eastAsia="Times New Roman"/>
                  <w:color w:val="000000"/>
                  <w:sz w:val="20"/>
                  <w:szCs w:val="20"/>
                  <w:u w:val="none"/>
                </w:rPr>
                <w:t>will and Other Intangible Assets</w:t>
              </w:r>
            </w:hyperlink>
          </w:p>
        </w:tc>
        <w:tc>
          <w:tcPr>
            <w:tcW w:w="0" w:type="auto"/>
            <w:gridSpan w:val="3"/>
            <w:tcMar>
              <w:top w:w="30" w:type="dxa"/>
              <w:left w:w="20" w:type="dxa"/>
              <w:bottom w:w="30" w:type="dxa"/>
              <w:right w:w="20" w:type="dxa"/>
            </w:tcMar>
            <w:vAlign w:val="bottom"/>
            <w:hideMark/>
          </w:tcPr>
          <w:p w14:paraId="78DD3FBE" w14:textId="77777777" w:rsidR="00000000" w:rsidRDefault="00A173A8">
            <w:pPr>
              <w:spacing w:after="100"/>
              <w:jc w:val="center"/>
              <w:rPr>
                <w:rFonts w:eastAsia="Times New Roman"/>
              </w:rPr>
            </w:pPr>
            <w:hyperlink w:anchor="i7ffd5d61af6f4722b1b1b07530d51c06_388" w:history="1">
              <w:r>
                <w:rPr>
                  <w:rStyle w:val="a3"/>
                  <w:rFonts w:eastAsia="Times New Roman"/>
                  <w:color w:val="000000"/>
                  <w:sz w:val="20"/>
                  <w:szCs w:val="20"/>
                  <w:u w:val="none"/>
                </w:rPr>
                <w:t>91</w:t>
              </w:r>
            </w:hyperlink>
          </w:p>
        </w:tc>
      </w:tr>
      <w:tr w:rsidR="00000000" w14:paraId="051F3C84" w14:textId="77777777">
        <w:trPr>
          <w:divId w:val="42757019"/>
        </w:trPr>
        <w:tc>
          <w:tcPr>
            <w:tcW w:w="0" w:type="auto"/>
            <w:gridSpan w:val="3"/>
            <w:tcMar>
              <w:top w:w="0" w:type="dxa"/>
              <w:left w:w="20" w:type="dxa"/>
              <w:bottom w:w="0" w:type="dxa"/>
              <w:right w:w="20" w:type="dxa"/>
            </w:tcMar>
            <w:vAlign w:val="center"/>
            <w:hideMark/>
          </w:tcPr>
          <w:p w14:paraId="6041A436"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459351" w14:textId="77777777" w:rsidR="00000000" w:rsidRDefault="00A173A8">
            <w:pPr>
              <w:spacing w:after="100"/>
              <w:divId w:val="257253070"/>
              <w:rPr>
                <w:rFonts w:eastAsia="Times New Roman"/>
              </w:rPr>
            </w:pPr>
            <w:hyperlink w:anchor="i7ffd5d61af6f4722b1b1b07530d51c06_394"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vAlign w:val="bottom"/>
            <w:hideMark/>
          </w:tcPr>
          <w:p w14:paraId="7531733F" w14:textId="77777777" w:rsidR="00000000" w:rsidRDefault="00A173A8">
            <w:pPr>
              <w:spacing w:after="100"/>
              <w:jc w:val="center"/>
              <w:rPr>
                <w:rFonts w:eastAsia="Times New Roman"/>
              </w:rPr>
            </w:pPr>
            <w:hyperlink w:anchor="i7ffd5d61af6f4722b1b1b07530d51c06_394" w:history="1">
              <w:r>
                <w:rPr>
                  <w:rStyle w:val="a3"/>
                  <w:rFonts w:eastAsia="Times New Roman"/>
                  <w:color w:val="000000"/>
                  <w:sz w:val="20"/>
                  <w:szCs w:val="20"/>
                  <w:u w:val="none"/>
                </w:rPr>
                <w:t>92</w:t>
              </w:r>
            </w:hyperlink>
          </w:p>
        </w:tc>
      </w:tr>
      <w:tr w:rsidR="00000000" w14:paraId="226C9DA7" w14:textId="77777777">
        <w:trPr>
          <w:divId w:val="42757019"/>
        </w:trPr>
        <w:tc>
          <w:tcPr>
            <w:tcW w:w="0" w:type="auto"/>
            <w:gridSpan w:val="3"/>
            <w:tcMar>
              <w:top w:w="0" w:type="dxa"/>
              <w:left w:w="20" w:type="dxa"/>
              <w:bottom w:w="0" w:type="dxa"/>
              <w:right w:w="20" w:type="dxa"/>
            </w:tcMar>
            <w:vAlign w:val="center"/>
            <w:hideMark/>
          </w:tcPr>
          <w:p w14:paraId="1A61348D"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29B93A" w14:textId="77777777" w:rsidR="00000000" w:rsidRDefault="00A173A8">
            <w:pPr>
              <w:spacing w:after="100"/>
              <w:divId w:val="1001422102"/>
              <w:rPr>
                <w:rFonts w:eastAsia="Times New Roman"/>
              </w:rPr>
            </w:pPr>
            <w:hyperlink w:anchor="i7ffd5d61af6f4722b1b1b07530d51c06_397" w:history="1">
              <w:r>
                <w:rPr>
                  <w:rStyle w:val="a3"/>
                  <w:rFonts w:eastAsia="Times New Roman"/>
                  <w:color w:val="000000"/>
                  <w:sz w:val="20"/>
                  <w:szCs w:val="20"/>
                  <w:u w:val="none"/>
                </w:rPr>
                <w:t>Note 8—Derivative Instruments and Hedging Activities</w:t>
              </w:r>
            </w:hyperlink>
          </w:p>
        </w:tc>
        <w:tc>
          <w:tcPr>
            <w:tcW w:w="0" w:type="auto"/>
            <w:gridSpan w:val="3"/>
            <w:tcMar>
              <w:top w:w="30" w:type="dxa"/>
              <w:left w:w="20" w:type="dxa"/>
              <w:bottom w:w="30" w:type="dxa"/>
              <w:right w:w="20" w:type="dxa"/>
            </w:tcMar>
            <w:vAlign w:val="bottom"/>
            <w:hideMark/>
          </w:tcPr>
          <w:p w14:paraId="41B39BCB" w14:textId="77777777" w:rsidR="00000000" w:rsidRDefault="00A173A8">
            <w:pPr>
              <w:spacing w:after="100"/>
              <w:jc w:val="center"/>
              <w:rPr>
                <w:rFonts w:eastAsia="Times New Roman"/>
              </w:rPr>
            </w:pPr>
            <w:hyperlink w:anchor="i7ffd5d61af6f4722b1b1b07530d51c06_397" w:history="1">
              <w:r>
                <w:rPr>
                  <w:rStyle w:val="a3"/>
                  <w:rFonts w:eastAsia="Times New Roman"/>
                  <w:color w:val="000000"/>
                  <w:sz w:val="20"/>
                  <w:szCs w:val="20"/>
                  <w:u w:val="none"/>
                </w:rPr>
                <w:t>93</w:t>
              </w:r>
            </w:hyperlink>
          </w:p>
        </w:tc>
      </w:tr>
      <w:tr w:rsidR="00000000" w14:paraId="7A87C2E1" w14:textId="77777777">
        <w:trPr>
          <w:divId w:val="42757019"/>
        </w:trPr>
        <w:tc>
          <w:tcPr>
            <w:tcW w:w="0" w:type="auto"/>
            <w:gridSpan w:val="3"/>
            <w:tcMar>
              <w:top w:w="0" w:type="dxa"/>
              <w:left w:w="20" w:type="dxa"/>
              <w:bottom w:w="0" w:type="dxa"/>
              <w:right w:w="20" w:type="dxa"/>
            </w:tcMar>
            <w:vAlign w:val="center"/>
            <w:hideMark/>
          </w:tcPr>
          <w:p w14:paraId="3BE8E084"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FFA016A" w14:textId="77777777" w:rsidR="00000000" w:rsidRDefault="00A173A8">
            <w:pPr>
              <w:spacing w:after="100"/>
              <w:divId w:val="1645309377"/>
              <w:rPr>
                <w:rFonts w:eastAsia="Times New Roman"/>
              </w:rPr>
            </w:pPr>
            <w:hyperlink w:anchor="i7ffd5d61af6f4722b1b1b07530d51c06_400"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vAlign w:val="bottom"/>
            <w:hideMark/>
          </w:tcPr>
          <w:p w14:paraId="65153B10" w14:textId="77777777" w:rsidR="00000000" w:rsidRDefault="00A173A8">
            <w:pPr>
              <w:spacing w:after="100"/>
              <w:jc w:val="center"/>
              <w:rPr>
                <w:rFonts w:eastAsia="Times New Roman"/>
              </w:rPr>
            </w:pPr>
            <w:hyperlink w:anchor="i7ffd5d61af6f4722b1b1b07530d51c06_400" w:history="1">
              <w:r>
                <w:rPr>
                  <w:rStyle w:val="a3"/>
                  <w:rFonts w:eastAsia="Times New Roman"/>
                  <w:color w:val="000000"/>
                  <w:sz w:val="20"/>
                  <w:szCs w:val="20"/>
                  <w:u w:val="none"/>
                </w:rPr>
                <w:t>102</w:t>
              </w:r>
            </w:hyperlink>
          </w:p>
        </w:tc>
      </w:tr>
      <w:tr w:rsidR="00000000" w14:paraId="0E623BAB" w14:textId="77777777">
        <w:trPr>
          <w:divId w:val="42757019"/>
        </w:trPr>
        <w:tc>
          <w:tcPr>
            <w:tcW w:w="0" w:type="auto"/>
            <w:gridSpan w:val="3"/>
            <w:tcMar>
              <w:top w:w="0" w:type="dxa"/>
              <w:left w:w="20" w:type="dxa"/>
              <w:bottom w:w="0" w:type="dxa"/>
              <w:right w:w="20" w:type="dxa"/>
            </w:tcMar>
            <w:vAlign w:val="center"/>
            <w:hideMark/>
          </w:tcPr>
          <w:p w14:paraId="454C2B6C"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2AA77A" w14:textId="77777777" w:rsidR="00000000" w:rsidRDefault="00A173A8">
            <w:pPr>
              <w:spacing w:after="100"/>
              <w:divId w:val="695428363"/>
              <w:rPr>
                <w:rFonts w:eastAsia="Times New Roman"/>
              </w:rPr>
            </w:pPr>
            <w:hyperlink w:anchor="i7ffd5d61af6f4722b1b1b07530d51c06_409" w:history="1">
              <w:r>
                <w:rPr>
                  <w:rStyle w:val="a3"/>
                  <w:rFonts w:eastAsia="Times New Roman"/>
                  <w:color w:val="000000"/>
                  <w:sz w:val="20"/>
                  <w:szCs w:val="20"/>
                  <w:u w:val="none"/>
                </w:rPr>
                <w:t>Note 10—</w:t>
              </w:r>
              <w:r>
                <w:rPr>
                  <w:rStyle w:val="a3"/>
                  <w:rFonts w:eastAsia="Times New Roman"/>
                  <w:color w:val="000000"/>
                  <w:sz w:val="20"/>
                  <w:szCs w:val="20"/>
                  <w:u w:val="none"/>
                </w:rPr>
                <w:t>Earnings Per Common Share</w:t>
              </w:r>
            </w:hyperlink>
          </w:p>
        </w:tc>
        <w:tc>
          <w:tcPr>
            <w:tcW w:w="0" w:type="auto"/>
            <w:gridSpan w:val="3"/>
            <w:tcMar>
              <w:top w:w="30" w:type="dxa"/>
              <w:left w:w="20" w:type="dxa"/>
              <w:bottom w:w="30" w:type="dxa"/>
              <w:right w:w="20" w:type="dxa"/>
            </w:tcMar>
            <w:vAlign w:val="bottom"/>
            <w:hideMark/>
          </w:tcPr>
          <w:p w14:paraId="7D67B39B" w14:textId="77777777" w:rsidR="00000000" w:rsidRDefault="00A173A8">
            <w:pPr>
              <w:spacing w:after="100"/>
              <w:jc w:val="center"/>
              <w:rPr>
                <w:rFonts w:eastAsia="Times New Roman"/>
              </w:rPr>
            </w:pPr>
            <w:hyperlink w:anchor="i7ffd5d61af6f4722b1b1b07530d51c06_409" w:history="1">
              <w:r>
                <w:rPr>
                  <w:rStyle w:val="a3"/>
                  <w:rFonts w:eastAsia="Times New Roman"/>
                  <w:color w:val="000000"/>
                  <w:sz w:val="20"/>
                  <w:szCs w:val="20"/>
                  <w:u w:val="none"/>
                </w:rPr>
                <w:t>105</w:t>
              </w:r>
            </w:hyperlink>
          </w:p>
        </w:tc>
      </w:tr>
      <w:tr w:rsidR="00000000" w14:paraId="1F123112" w14:textId="77777777">
        <w:trPr>
          <w:divId w:val="42757019"/>
        </w:trPr>
        <w:tc>
          <w:tcPr>
            <w:tcW w:w="0" w:type="auto"/>
            <w:gridSpan w:val="3"/>
            <w:tcMar>
              <w:top w:w="0" w:type="dxa"/>
              <w:left w:w="20" w:type="dxa"/>
              <w:bottom w:w="0" w:type="dxa"/>
              <w:right w:w="20" w:type="dxa"/>
            </w:tcMar>
            <w:vAlign w:val="center"/>
            <w:hideMark/>
          </w:tcPr>
          <w:p w14:paraId="6997DA6C"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A35022" w14:textId="77777777" w:rsidR="00000000" w:rsidRDefault="00A173A8">
            <w:pPr>
              <w:spacing w:after="100"/>
              <w:divId w:val="2037729928"/>
              <w:rPr>
                <w:rFonts w:eastAsia="Times New Roman"/>
              </w:rPr>
            </w:pPr>
            <w:hyperlink w:anchor="i7ffd5d61af6f4722b1b1b07530d51c06_421"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vAlign w:val="bottom"/>
            <w:hideMark/>
          </w:tcPr>
          <w:p w14:paraId="7145D53B" w14:textId="77777777" w:rsidR="00000000" w:rsidRDefault="00A173A8">
            <w:pPr>
              <w:spacing w:after="100"/>
              <w:jc w:val="center"/>
              <w:rPr>
                <w:rFonts w:eastAsia="Times New Roman"/>
              </w:rPr>
            </w:pPr>
            <w:hyperlink w:anchor="i7ffd5d61af6f4722b1b1b07530d51c06_421" w:history="1">
              <w:r>
                <w:rPr>
                  <w:rStyle w:val="a3"/>
                  <w:rFonts w:eastAsia="Times New Roman"/>
                  <w:color w:val="000000"/>
                  <w:sz w:val="20"/>
                  <w:szCs w:val="20"/>
                  <w:u w:val="none"/>
                </w:rPr>
                <w:t>106</w:t>
              </w:r>
            </w:hyperlink>
          </w:p>
        </w:tc>
      </w:tr>
      <w:tr w:rsidR="00000000" w14:paraId="5F5167BA" w14:textId="77777777">
        <w:trPr>
          <w:divId w:val="42757019"/>
        </w:trPr>
        <w:tc>
          <w:tcPr>
            <w:tcW w:w="0" w:type="auto"/>
            <w:gridSpan w:val="3"/>
            <w:tcMar>
              <w:top w:w="0" w:type="dxa"/>
              <w:left w:w="20" w:type="dxa"/>
              <w:bottom w:w="0" w:type="dxa"/>
              <w:right w:w="20" w:type="dxa"/>
            </w:tcMar>
            <w:vAlign w:val="center"/>
            <w:hideMark/>
          </w:tcPr>
          <w:p w14:paraId="17F14F7E"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8340FC" w14:textId="77777777" w:rsidR="00000000" w:rsidRDefault="00A173A8">
            <w:pPr>
              <w:spacing w:after="100"/>
              <w:divId w:val="1440684912"/>
              <w:rPr>
                <w:rFonts w:eastAsia="Times New Roman"/>
              </w:rPr>
            </w:pPr>
            <w:hyperlink w:anchor="i7ffd5d61af6f4722b1b1b07530d51c06_424" w:history="1">
              <w:r>
                <w:rPr>
                  <w:rStyle w:val="a3"/>
                  <w:rFonts w:eastAsia="Times New Roman"/>
                  <w:color w:val="000000"/>
                  <w:sz w:val="20"/>
                  <w:szCs w:val="20"/>
                  <w:u w:val="none"/>
                </w:rPr>
                <w:t>Note 12—Business Segments and Revenue from Contracts with Customers</w:t>
              </w:r>
            </w:hyperlink>
          </w:p>
        </w:tc>
        <w:tc>
          <w:tcPr>
            <w:tcW w:w="0" w:type="auto"/>
            <w:gridSpan w:val="3"/>
            <w:tcMar>
              <w:top w:w="30" w:type="dxa"/>
              <w:left w:w="20" w:type="dxa"/>
              <w:bottom w:w="30" w:type="dxa"/>
              <w:right w:w="20" w:type="dxa"/>
            </w:tcMar>
            <w:vAlign w:val="bottom"/>
            <w:hideMark/>
          </w:tcPr>
          <w:p w14:paraId="0960BD78" w14:textId="77777777" w:rsidR="00000000" w:rsidRDefault="00A173A8">
            <w:pPr>
              <w:spacing w:after="100"/>
              <w:jc w:val="center"/>
              <w:rPr>
                <w:rFonts w:eastAsia="Times New Roman"/>
              </w:rPr>
            </w:pPr>
            <w:hyperlink w:anchor="i7ffd5d61af6f4722b1b1b07530d51c06_424" w:history="1">
              <w:r>
                <w:rPr>
                  <w:rStyle w:val="a3"/>
                  <w:rFonts w:eastAsia="Times New Roman"/>
                  <w:color w:val="000000"/>
                  <w:sz w:val="20"/>
                  <w:szCs w:val="20"/>
                  <w:u w:val="none"/>
                </w:rPr>
                <w:t>113</w:t>
              </w:r>
            </w:hyperlink>
          </w:p>
        </w:tc>
      </w:tr>
      <w:tr w:rsidR="00000000" w14:paraId="50BC4783" w14:textId="77777777">
        <w:trPr>
          <w:divId w:val="42757019"/>
        </w:trPr>
        <w:tc>
          <w:tcPr>
            <w:tcW w:w="0" w:type="auto"/>
            <w:gridSpan w:val="3"/>
            <w:tcMar>
              <w:top w:w="0" w:type="dxa"/>
              <w:left w:w="20" w:type="dxa"/>
              <w:bottom w:w="0" w:type="dxa"/>
              <w:right w:w="20" w:type="dxa"/>
            </w:tcMar>
            <w:vAlign w:val="center"/>
            <w:hideMark/>
          </w:tcPr>
          <w:p w14:paraId="5105412E"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1A27028" w14:textId="77777777" w:rsidR="00000000" w:rsidRDefault="00A173A8">
            <w:pPr>
              <w:spacing w:after="100"/>
              <w:divId w:val="364868673"/>
              <w:rPr>
                <w:rFonts w:eastAsia="Times New Roman"/>
              </w:rPr>
            </w:pPr>
            <w:hyperlink w:anchor="i7ffd5d61af6f4722b1b1b07530d51c06_427" w:history="1">
              <w:r>
                <w:rPr>
                  <w:rStyle w:val="a3"/>
                  <w:rFonts w:eastAsia="Times New Roman"/>
                  <w:color w:val="000000"/>
                  <w:sz w:val="20"/>
                  <w:szCs w:val="20"/>
                  <w:u w:val="none"/>
                </w:rPr>
                <w:t>Note 13—Commitments, Contingencies, Guarantees and Others</w:t>
              </w:r>
            </w:hyperlink>
          </w:p>
        </w:tc>
        <w:tc>
          <w:tcPr>
            <w:tcW w:w="0" w:type="auto"/>
            <w:gridSpan w:val="3"/>
            <w:tcMar>
              <w:top w:w="30" w:type="dxa"/>
              <w:left w:w="20" w:type="dxa"/>
              <w:bottom w:w="30" w:type="dxa"/>
              <w:right w:w="20" w:type="dxa"/>
            </w:tcMar>
            <w:vAlign w:val="bottom"/>
            <w:hideMark/>
          </w:tcPr>
          <w:p w14:paraId="5FB57E54" w14:textId="77777777" w:rsidR="00000000" w:rsidRDefault="00A173A8">
            <w:pPr>
              <w:spacing w:after="100"/>
              <w:jc w:val="center"/>
              <w:rPr>
                <w:rFonts w:eastAsia="Times New Roman"/>
              </w:rPr>
            </w:pPr>
            <w:hyperlink w:anchor="i7ffd5d61af6f4722b1b1b07530d51c06_427" w:history="1">
              <w:r>
                <w:rPr>
                  <w:rStyle w:val="a3"/>
                  <w:rFonts w:eastAsia="Times New Roman"/>
                  <w:color w:val="000000"/>
                  <w:sz w:val="20"/>
                  <w:szCs w:val="20"/>
                  <w:u w:val="none"/>
                </w:rPr>
                <w:t>117</w:t>
              </w:r>
            </w:hyperlink>
          </w:p>
        </w:tc>
      </w:tr>
      <w:tr w:rsidR="00000000" w14:paraId="329BF37E" w14:textId="77777777">
        <w:trPr>
          <w:divId w:val="42757019"/>
        </w:trPr>
        <w:tc>
          <w:tcPr>
            <w:tcW w:w="0" w:type="auto"/>
            <w:gridSpan w:val="3"/>
            <w:vAlign w:val="center"/>
            <w:hideMark/>
          </w:tcPr>
          <w:p w14:paraId="6210551D" w14:textId="77777777" w:rsidR="00000000" w:rsidRDefault="00A173A8">
            <w:pPr>
              <w:spacing w:after="100"/>
              <w:jc w:val="center"/>
              <w:rPr>
                <w:rFonts w:eastAsia="Times New Roman"/>
              </w:rPr>
            </w:pPr>
          </w:p>
        </w:tc>
        <w:tc>
          <w:tcPr>
            <w:tcW w:w="0" w:type="auto"/>
            <w:gridSpan w:val="3"/>
            <w:vAlign w:val="center"/>
            <w:hideMark/>
          </w:tcPr>
          <w:p w14:paraId="279E2249" w14:textId="77777777" w:rsidR="00000000" w:rsidRDefault="00A173A8">
            <w:pPr>
              <w:spacing w:after="100"/>
              <w:rPr>
                <w:rFonts w:eastAsia="Times New Roman"/>
                <w:sz w:val="20"/>
                <w:szCs w:val="20"/>
              </w:rPr>
            </w:pPr>
          </w:p>
        </w:tc>
        <w:tc>
          <w:tcPr>
            <w:tcW w:w="0" w:type="auto"/>
            <w:gridSpan w:val="3"/>
            <w:vAlign w:val="center"/>
            <w:hideMark/>
          </w:tcPr>
          <w:p w14:paraId="789621CF" w14:textId="77777777" w:rsidR="00000000" w:rsidRDefault="00A173A8">
            <w:pPr>
              <w:spacing w:after="100"/>
              <w:rPr>
                <w:rFonts w:eastAsia="Times New Roman"/>
                <w:sz w:val="20"/>
                <w:szCs w:val="20"/>
              </w:rPr>
            </w:pPr>
          </w:p>
        </w:tc>
      </w:tr>
      <w:tr w:rsidR="00000000" w14:paraId="38024B5C" w14:textId="77777777">
        <w:trPr>
          <w:divId w:val="42757019"/>
          <w:trHeight w:val="280"/>
        </w:trPr>
        <w:tc>
          <w:tcPr>
            <w:tcW w:w="0" w:type="auto"/>
            <w:gridSpan w:val="3"/>
            <w:tcMar>
              <w:top w:w="0" w:type="dxa"/>
              <w:left w:w="20" w:type="dxa"/>
              <w:bottom w:w="0" w:type="dxa"/>
              <w:right w:w="20" w:type="dxa"/>
            </w:tcMar>
            <w:vAlign w:val="center"/>
            <w:hideMark/>
          </w:tcPr>
          <w:p w14:paraId="23D8F4D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352A81"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AC6742" w14:textId="77777777" w:rsidR="00000000" w:rsidRDefault="00A173A8">
            <w:pPr>
              <w:spacing w:after="100"/>
              <w:rPr>
                <w:rFonts w:eastAsia="Times New Roman"/>
                <w:sz w:val="20"/>
                <w:szCs w:val="20"/>
              </w:rPr>
            </w:pPr>
          </w:p>
        </w:tc>
      </w:tr>
      <w:tr w:rsidR="00000000" w14:paraId="4A25DBDC" w14:textId="77777777">
        <w:trPr>
          <w:divId w:val="42757019"/>
        </w:trPr>
        <w:tc>
          <w:tcPr>
            <w:tcW w:w="0" w:type="auto"/>
            <w:gridSpan w:val="3"/>
            <w:vAlign w:val="center"/>
            <w:hideMark/>
          </w:tcPr>
          <w:p w14:paraId="4B11CFFA" w14:textId="77777777" w:rsidR="00000000" w:rsidRDefault="00A173A8">
            <w:pPr>
              <w:spacing w:after="100"/>
              <w:rPr>
                <w:rFonts w:eastAsia="Times New Roman"/>
                <w:sz w:val="20"/>
                <w:szCs w:val="20"/>
              </w:rPr>
            </w:pPr>
          </w:p>
        </w:tc>
        <w:tc>
          <w:tcPr>
            <w:tcW w:w="0" w:type="auto"/>
            <w:gridSpan w:val="3"/>
            <w:vAlign w:val="center"/>
            <w:hideMark/>
          </w:tcPr>
          <w:p w14:paraId="05649592" w14:textId="77777777" w:rsidR="00000000" w:rsidRDefault="00A173A8">
            <w:pPr>
              <w:spacing w:after="100"/>
              <w:rPr>
                <w:rFonts w:eastAsia="Times New Roman"/>
                <w:sz w:val="20"/>
                <w:szCs w:val="20"/>
              </w:rPr>
            </w:pPr>
          </w:p>
        </w:tc>
        <w:tc>
          <w:tcPr>
            <w:tcW w:w="0" w:type="auto"/>
            <w:vAlign w:val="center"/>
            <w:hideMark/>
          </w:tcPr>
          <w:p w14:paraId="7ECABD27" w14:textId="77777777" w:rsidR="00000000" w:rsidRDefault="00A173A8">
            <w:pPr>
              <w:spacing w:after="100"/>
              <w:rPr>
                <w:rFonts w:eastAsia="Times New Roman"/>
                <w:sz w:val="20"/>
                <w:szCs w:val="20"/>
              </w:rPr>
            </w:pPr>
          </w:p>
        </w:tc>
        <w:tc>
          <w:tcPr>
            <w:tcW w:w="0" w:type="auto"/>
            <w:vAlign w:val="center"/>
            <w:hideMark/>
          </w:tcPr>
          <w:p w14:paraId="42C78D6F" w14:textId="77777777" w:rsidR="00000000" w:rsidRDefault="00A173A8">
            <w:pPr>
              <w:spacing w:after="100"/>
              <w:rPr>
                <w:rFonts w:eastAsia="Times New Roman"/>
                <w:sz w:val="20"/>
                <w:szCs w:val="20"/>
              </w:rPr>
            </w:pPr>
          </w:p>
        </w:tc>
        <w:tc>
          <w:tcPr>
            <w:tcW w:w="0" w:type="auto"/>
            <w:vAlign w:val="center"/>
            <w:hideMark/>
          </w:tcPr>
          <w:p w14:paraId="7C89B65C" w14:textId="77777777" w:rsidR="00000000" w:rsidRDefault="00A173A8">
            <w:pPr>
              <w:spacing w:after="100"/>
              <w:rPr>
                <w:rFonts w:eastAsia="Times New Roman"/>
                <w:sz w:val="20"/>
                <w:szCs w:val="20"/>
              </w:rPr>
            </w:pPr>
          </w:p>
        </w:tc>
      </w:tr>
      <w:tr w:rsidR="00000000" w14:paraId="236C53CC" w14:textId="77777777">
        <w:trPr>
          <w:divId w:val="42757019"/>
        </w:trPr>
        <w:tc>
          <w:tcPr>
            <w:tcW w:w="0" w:type="auto"/>
            <w:gridSpan w:val="3"/>
            <w:vAlign w:val="center"/>
            <w:hideMark/>
          </w:tcPr>
          <w:p w14:paraId="29706B41" w14:textId="77777777" w:rsidR="00000000" w:rsidRDefault="00A173A8">
            <w:pPr>
              <w:spacing w:after="100"/>
              <w:rPr>
                <w:rFonts w:eastAsia="Times New Roman"/>
                <w:sz w:val="20"/>
                <w:szCs w:val="20"/>
              </w:rPr>
            </w:pPr>
          </w:p>
        </w:tc>
        <w:tc>
          <w:tcPr>
            <w:tcW w:w="0" w:type="auto"/>
            <w:gridSpan w:val="3"/>
            <w:vAlign w:val="center"/>
            <w:hideMark/>
          </w:tcPr>
          <w:p w14:paraId="58CF5868" w14:textId="77777777" w:rsidR="00000000" w:rsidRDefault="00A173A8">
            <w:pPr>
              <w:spacing w:after="100"/>
              <w:rPr>
                <w:rFonts w:eastAsia="Times New Roman"/>
                <w:sz w:val="20"/>
                <w:szCs w:val="20"/>
              </w:rPr>
            </w:pPr>
          </w:p>
        </w:tc>
        <w:tc>
          <w:tcPr>
            <w:tcW w:w="0" w:type="auto"/>
            <w:gridSpan w:val="3"/>
            <w:vAlign w:val="center"/>
            <w:hideMark/>
          </w:tcPr>
          <w:p w14:paraId="257F65AD" w14:textId="77777777" w:rsidR="00000000" w:rsidRDefault="00A173A8">
            <w:pPr>
              <w:spacing w:after="100"/>
              <w:rPr>
                <w:rFonts w:eastAsia="Times New Roman"/>
                <w:sz w:val="20"/>
                <w:szCs w:val="20"/>
              </w:rPr>
            </w:pPr>
          </w:p>
        </w:tc>
      </w:tr>
      <w:tr w:rsidR="00000000" w14:paraId="1716DBA4" w14:textId="77777777">
        <w:trPr>
          <w:divId w:val="42757019"/>
        </w:trPr>
        <w:tc>
          <w:tcPr>
            <w:tcW w:w="0" w:type="auto"/>
            <w:gridSpan w:val="3"/>
            <w:vAlign w:val="center"/>
            <w:hideMark/>
          </w:tcPr>
          <w:p w14:paraId="0DD78A8F" w14:textId="77777777" w:rsidR="00000000" w:rsidRDefault="00A173A8">
            <w:pPr>
              <w:spacing w:after="100"/>
              <w:rPr>
                <w:rFonts w:eastAsia="Times New Roman"/>
                <w:sz w:val="20"/>
                <w:szCs w:val="20"/>
              </w:rPr>
            </w:pPr>
          </w:p>
        </w:tc>
        <w:tc>
          <w:tcPr>
            <w:tcW w:w="0" w:type="auto"/>
            <w:gridSpan w:val="3"/>
            <w:vAlign w:val="center"/>
            <w:hideMark/>
          </w:tcPr>
          <w:p w14:paraId="20EB5470" w14:textId="77777777" w:rsidR="00000000" w:rsidRDefault="00A173A8">
            <w:pPr>
              <w:spacing w:after="100"/>
              <w:rPr>
                <w:rFonts w:eastAsia="Times New Roman"/>
                <w:sz w:val="20"/>
                <w:szCs w:val="20"/>
              </w:rPr>
            </w:pPr>
          </w:p>
        </w:tc>
        <w:tc>
          <w:tcPr>
            <w:tcW w:w="0" w:type="auto"/>
            <w:gridSpan w:val="3"/>
            <w:vAlign w:val="center"/>
            <w:hideMark/>
          </w:tcPr>
          <w:p w14:paraId="7F1300E9" w14:textId="77777777" w:rsidR="00000000" w:rsidRDefault="00A173A8">
            <w:pPr>
              <w:spacing w:after="100"/>
              <w:rPr>
                <w:rFonts w:eastAsia="Times New Roman"/>
                <w:sz w:val="20"/>
                <w:szCs w:val="20"/>
              </w:rPr>
            </w:pPr>
          </w:p>
        </w:tc>
      </w:tr>
      <w:tr w:rsidR="00000000" w14:paraId="109C90F4" w14:textId="77777777">
        <w:trPr>
          <w:divId w:val="42757019"/>
        </w:trPr>
        <w:tc>
          <w:tcPr>
            <w:tcW w:w="0" w:type="auto"/>
            <w:gridSpan w:val="3"/>
            <w:tcMar>
              <w:top w:w="30" w:type="dxa"/>
              <w:left w:w="20" w:type="dxa"/>
              <w:bottom w:w="30" w:type="dxa"/>
              <w:right w:w="20" w:type="dxa"/>
            </w:tcMar>
            <w:vAlign w:val="center"/>
            <w:hideMark/>
          </w:tcPr>
          <w:p w14:paraId="62F4D2C1" w14:textId="77777777" w:rsidR="00000000" w:rsidRDefault="00A173A8">
            <w:pPr>
              <w:spacing w:after="100"/>
              <w:divId w:val="480463208"/>
              <w:rPr>
                <w:rFonts w:eastAsia="Times New Roman"/>
              </w:rPr>
            </w:pPr>
            <w:hyperlink w:anchor="i7ffd5d61af6f4722b1b1b07530d51c06_79"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14:paraId="65462E72" w14:textId="77777777" w:rsidR="00000000" w:rsidRDefault="00A173A8">
            <w:pPr>
              <w:spacing w:after="100"/>
              <w:divId w:val="993483908"/>
              <w:rPr>
                <w:rFonts w:eastAsia="Times New Roman"/>
              </w:rPr>
            </w:pPr>
            <w:hyperlink w:anchor="i7ffd5d61af6f4722b1b1b07530d51c06_79" w:history="1">
              <w:r>
                <w:rPr>
                  <w:rStyle w:val="a3"/>
                  <w:rFonts w:eastAsia="Times New Roman"/>
                  <w:color w:val="000000"/>
                  <w:sz w:val="20"/>
                  <w:szCs w:val="20"/>
                  <w:u w:val="none"/>
                </w:rPr>
                <w:t>Management’</w:t>
              </w:r>
              <w:r>
                <w:rPr>
                  <w:rStyle w:val="a3"/>
                  <w:rFonts w:eastAsia="Times New Roman"/>
                  <w:color w:val="000000"/>
                  <w:sz w:val="20"/>
                  <w:szCs w:val="20"/>
                  <w:u w:val="none"/>
                </w:rPr>
                <w:t>s Discussion and Analysis of Financial Condition and Results of Operations (“MD&amp;A”)</w:t>
              </w:r>
            </w:hyperlink>
          </w:p>
        </w:tc>
        <w:tc>
          <w:tcPr>
            <w:tcW w:w="0" w:type="auto"/>
            <w:gridSpan w:val="3"/>
            <w:tcMar>
              <w:top w:w="30" w:type="dxa"/>
              <w:left w:w="20" w:type="dxa"/>
              <w:bottom w:w="30" w:type="dxa"/>
              <w:right w:w="20" w:type="dxa"/>
            </w:tcMar>
            <w:vAlign w:val="bottom"/>
            <w:hideMark/>
          </w:tcPr>
          <w:p w14:paraId="5070C0AD" w14:textId="77777777" w:rsidR="00000000" w:rsidRDefault="00A173A8">
            <w:pPr>
              <w:spacing w:after="100"/>
              <w:jc w:val="center"/>
              <w:rPr>
                <w:rFonts w:eastAsia="Times New Roman"/>
              </w:rPr>
            </w:pPr>
            <w:hyperlink w:anchor="i7ffd5d61af6f4722b1b1b07530d51c06_79" w:history="1">
              <w:r>
                <w:rPr>
                  <w:rStyle w:val="a3"/>
                  <w:rFonts w:eastAsia="Times New Roman"/>
                  <w:color w:val="000000"/>
                  <w:sz w:val="20"/>
                  <w:szCs w:val="20"/>
                  <w:u w:val="none"/>
                </w:rPr>
                <w:t>4</w:t>
              </w:r>
            </w:hyperlink>
          </w:p>
        </w:tc>
      </w:tr>
      <w:tr w:rsidR="00000000" w14:paraId="646255F0" w14:textId="77777777">
        <w:trPr>
          <w:divId w:val="42757019"/>
        </w:trPr>
        <w:tc>
          <w:tcPr>
            <w:tcW w:w="0" w:type="auto"/>
            <w:gridSpan w:val="3"/>
            <w:tcMar>
              <w:top w:w="0" w:type="dxa"/>
              <w:left w:w="20" w:type="dxa"/>
              <w:bottom w:w="0" w:type="dxa"/>
              <w:right w:w="20" w:type="dxa"/>
            </w:tcMar>
            <w:vAlign w:val="center"/>
            <w:hideMark/>
          </w:tcPr>
          <w:p w14:paraId="6171ADE4"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128E815" w14:textId="77777777" w:rsidR="00000000" w:rsidRDefault="00A173A8">
            <w:pPr>
              <w:spacing w:after="100"/>
              <w:divId w:val="1418555388"/>
              <w:rPr>
                <w:rFonts w:eastAsia="Times New Roman"/>
              </w:rPr>
            </w:pPr>
            <w:hyperlink w:anchor="i7ffd5d61af6f4722b1b1b07530d51c06_82" w:history="1">
              <w:r>
                <w:rPr>
                  <w:rStyle w:val="a3"/>
                  <w:rFonts w:eastAsia="Times New Roman"/>
                  <w:color w:val="000000"/>
                  <w:sz w:val="20"/>
                  <w:szCs w:val="20"/>
                  <w:u w:val="none"/>
                </w:rPr>
                <w:t>Introduction</w:t>
              </w:r>
            </w:hyperlink>
          </w:p>
        </w:tc>
        <w:tc>
          <w:tcPr>
            <w:tcW w:w="0" w:type="auto"/>
            <w:gridSpan w:val="3"/>
            <w:tcMar>
              <w:top w:w="30" w:type="dxa"/>
              <w:left w:w="20" w:type="dxa"/>
              <w:bottom w:w="30" w:type="dxa"/>
              <w:right w:w="20" w:type="dxa"/>
            </w:tcMar>
            <w:vAlign w:val="bottom"/>
            <w:hideMark/>
          </w:tcPr>
          <w:p w14:paraId="795C48D0" w14:textId="77777777" w:rsidR="00000000" w:rsidRDefault="00A173A8">
            <w:pPr>
              <w:spacing w:after="100"/>
              <w:jc w:val="center"/>
              <w:rPr>
                <w:rFonts w:eastAsia="Times New Roman"/>
              </w:rPr>
            </w:pPr>
            <w:hyperlink w:anchor="i7ffd5d61af6f4722b1b1b07530d51c06_82" w:history="1">
              <w:r>
                <w:rPr>
                  <w:rStyle w:val="a3"/>
                  <w:rFonts w:eastAsia="Times New Roman"/>
                  <w:color w:val="000000"/>
                  <w:sz w:val="20"/>
                  <w:szCs w:val="20"/>
                  <w:u w:val="none"/>
                </w:rPr>
                <w:t>4</w:t>
              </w:r>
            </w:hyperlink>
          </w:p>
        </w:tc>
      </w:tr>
      <w:tr w:rsidR="00000000" w14:paraId="1F06F36B" w14:textId="77777777">
        <w:trPr>
          <w:divId w:val="42757019"/>
        </w:trPr>
        <w:tc>
          <w:tcPr>
            <w:tcW w:w="0" w:type="auto"/>
            <w:gridSpan w:val="3"/>
            <w:tcMar>
              <w:top w:w="0" w:type="dxa"/>
              <w:left w:w="20" w:type="dxa"/>
              <w:bottom w:w="0" w:type="dxa"/>
              <w:right w:w="20" w:type="dxa"/>
            </w:tcMar>
            <w:vAlign w:val="center"/>
            <w:hideMark/>
          </w:tcPr>
          <w:p w14:paraId="2B87B420"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160499" w14:textId="77777777" w:rsidR="00000000" w:rsidRDefault="00A173A8">
            <w:pPr>
              <w:spacing w:after="100"/>
              <w:divId w:val="946618116"/>
              <w:rPr>
                <w:rFonts w:eastAsia="Times New Roman"/>
              </w:rPr>
            </w:pPr>
            <w:hyperlink w:anchor="i7ffd5d61af6f4722b1b1b07530d51c06_91" w:history="1">
              <w:r>
                <w:rPr>
                  <w:rStyle w:val="a3"/>
                  <w:rFonts w:eastAsia="Times New Roman"/>
                  <w:color w:val="000000"/>
                  <w:sz w:val="20"/>
                  <w:szCs w:val="20"/>
                  <w:u w:val="none"/>
                </w:rPr>
                <w:t>Selected Financial Data</w:t>
              </w:r>
            </w:hyperlink>
          </w:p>
        </w:tc>
        <w:tc>
          <w:tcPr>
            <w:tcW w:w="0" w:type="auto"/>
            <w:gridSpan w:val="3"/>
            <w:tcMar>
              <w:top w:w="30" w:type="dxa"/>
              <w:left w:w="20" w:type="dxa"/>
              <w:bottom w:w="30" w:type="dxa"/>
              <w:right w:w="20" w:type="dxa"/>
            </w:tcMar>
            <w:vAlign w:val="bottom"/>
            <w:hideMark/>
          </w:tcPr>
          <w:p w14:paraId="37BB144F" w14:textId="77777777" w:rsidR="00000000" w:rsidRDefault="00A173A8">
            <w:pPr>
              <w:spacing w:after="100"/>
              <w:jc w:val="center"/>
              <w:rPr>
                <w:rFonts w:eastAsia="Times New Roman"/>
              </w:rPr>
            </w:pPr>
            <w:hyperlink w:anchor="i7ffd5d61af6f4722b1b1b07530d51c06_91" w:history="1">
              <w:r>
                <w:rPr>
                  <w:rStyle w:val="a3"/>
                  <w:rFonts w:eastAsia="Times New Roman"/>
                  <w:color w:val="000000"/>
                  <w:sz w:val="20"/>
                  <w:szCs w:val="20"/>
                  <w:u w:val="none"/>
                </w:rPr>
                <w:t>6</w:t>
              </w:r>
            </w:hyperlink>
          </w:p>
        </w:tc>
      </w:tr>
      <w:tr w:rsidR="00000000" w14:paraId="2438DAD4" w14:textId="77777777">
        <w:trPr>
          <w:divId w:val="42757019"/>
        </w:trPr>
        <w:tc>
          <w:tcPr>
            <w:tcW w:w="0" w:type="auto"/>
            <w:gridSpan w:val="3"/>
            <w:tcMar>
              <w:top w:w="0" w:type="dxa"/>
              <w:left w:w="20" w:type="dxa"/>
              <w:bottom w:w="0" w:type="dxa"/>
              <w:right w:w="20" w:type="dxa"/>
            </w:tcMar>
            <w:vAlign w:val="center"/>
            <w:hideMark/>
          </w:tcPr>
          <w:p w14:paraId="68B505BE"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AA3ADF" w14:textId="77777777" w:rsidR="00000000" w:rsidRDefault="00A173A8">
            <w:pPr>
              <w:spacing w:after="100"/>
              <w:divId w:val="639770246"/>
              <w:rPr>
                <w:rFonts w:eastAsia="Times New Roman"/>
              </w:rPr>
            </w:pPr>
            <w:hyperlink w:anchor="i7ffd5d61af6f4722b1b1b07530d51c06_97" w:history="1">
              <w:r>
                <w:rPr>
                  <w:rStyle w:val="a3"/>
                  <w:rFonts w:eastAsia="Times New Roman"/>
                  <w:color w:val="000000"/>
                  <w:sz w:val="20"/>
                  <w:szCs w:val="20"/>
                  <w:u w:val="none"/>
                </w:rPr>
                <w:t>Executive Summary</w:t>
              </w:r>
            </w:hyperlink>
          </w:p>
        </w:tc>
        <w:tc>
          <w:tcPr>
            <w:tcW w:w="0" w:type="auto"/>
            <w:gridSpan w:val="3"/>
            <w:tcMar>
              <w:top w:w="30" w:type="dxa"/>
              <w:left w:w="20" w:type="dxa"/>
              <w:bottom w:w="30" w:type="dxa"/>
              <w:right w:w="20" w:type="dxa"/>
            </w:tcMar>
            <w:vAlign w:val="bottom"/>
            <w:hideMark/>
          </w:tcPr>
          <w:p w14:paraId="34A11F41" w14:textId="77777777" w:rsidR="00000000" w:rsidRDefault="00A173A8">
            <w:pPr>
              <w:spacing w:after="100"/>
              <w:jc w:val="center"/>
              <w:rPr>
                <w:rFonts w:eastAsia="Times New Roman"/>
              </w:rPr>
            </w:pPr>
            <w:hyperlink w:anchor="i7ffd5d61af6f4722b1b1b07530d51c06_97" w:history="1">
              <w:r>
                <w:rPr>
                  <w:rStyle w:val="a3"/>
                  <w:rFonts w:eastAsia="Times New Roman"/>
                  <w:color w:val="000000"/>
                  <w:sz w:val="20"/>
                  <w:szCs w:val="20"/>
                  <w:u w:val="none"/>
                </w:rPr>
                <w:t>9</w:t>
              </w:r>
            </w:hyperlink>
          </w:p>
        </w:tc>
      </w:tr>
      <w:tr w:rsidR="00000000" w14:paraId="1C478840" w14:textId="77777777">
        <w:trPr>
          <w:divId w:val="42757019"/>
        </w:trPr>
        <w:tc>
          <w:tcPr>
            <w:tcW w:w="0" w:type="auto"/>
            <w:gridSpan w:val="3"/>
            <w:tcMar>
              <w:top w:w="0" w:type="dxa"/>
              <w:left w:w="20" w:type="dxa"/>
              <w:bottom w:w="0" w:type="dxa"/>
              <w:right w:w="20" w:type="dxa"/>
            </w:tcMar>
            <w:vAlign w:val="center"/>
            <w:hideMark/>
          </w:tcPr>
          <w:p w14:paraId="342FC52B"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ABC768" w14:textId="77777777" w:rsidR="00000000" w:rsidRDefault="00A173A8">
            <w:pPr>
              <w:spacing w:after="100"/>
              <w:divId w:val="91242567"/>
              <w:rPr>
                <w:rFonts w:eastAsia="Times New Roman"/>
              </w:rPr>
            </w:pPr>
            <w:hyperlink w:anchor="i7ffd5d61af6f4722b1b1b07530d51c06_106" w:history="1">
              <w:r>
                <w:rPr>
                  <w:rStyle w:val="a3"/>
                  <w:rFonts w:eastAsia="Times New Roman"/>
                  <w:color w:val="000000"/>
                  <w:sz w:val="20"/>
                  <w:szCs w:val="20"/>
                  <w:u w:val="none"/>
                </w:rPr>
                <w:t>Consolidated Results of Operations</w:t>
              </w:r>
            </w:hyperlink>
          </w:p>
        </w:tc>
        <w:tc>
          <w:tcPr>
            <w:tcW w:w="0" w:type="auto"/>
            <w:gridSpan w:val="3"/>
            <w:tcMar>
              <w:top w:w="30" w:type="dxa"/>
              <w:left w:w="20" w:type="dxa"/>
              <w:bottom w:w="30" w:type="dxa"/>
              <w:right w:w="20" w:type="dxa"/>
            </w:tcMar>
            <w:vAlign w:val="bottom"/>
            <w:hideMark/>
          </w:tcPr>
          <w:p w14:paraId="040DB0E2" w14:textId="77777777" w:rsidR="00000000" w:rsidRDefault="00A173A8">
            <w:pPr>
              <w:spacing w:after="100"/>
              <w:jc w:val="center"/>
              <w:rPr>
                <w:rFonts w:eastAsia="Times New Roman"/>
              </w:rPr>
            </w:pPr>
            <w:hyperlink w:anchor="i7ffd5d61af6f4722b1b1b07530d51c06_106" w:history="1">
              <w:r>
                <w:rPr>
                  <w:rStyle w:val="a3"/>
                  <w:rFonts w:eastAsia="Times New Roman"/>
                  <w:color w:val="000000"/>
                  <w:sz w:val="20"/>
                  <w:szCs w:val="20"/>
                  <w:u w:val="none"/>
                </w:rPr>
                <w:t>10</w:t>
              </w:r>
            </w:hyperlink>
          </w:p>
        </w:tc>
      </w:tr>
      <w:tr w:rsidR="00000000" w14:paraId="2648441C" w14:textId="77777777">
        <w:trPr>
          <w:divId w:val="42757019"/>
        </w:trPr>
        <w:tc>
          <w:tcPr>
            <w:tcW w:w="0" w:type="auto"/>
            <w:gridSpan w:val="3"/>
            <w:tcMar>
              <w:top w:w="0" w:type="dxa"/>
              <w:left w:w="20" w:type="dxa"/>
              <w:bottom w:w="0" w:type="dxa"/>
              <w:right w:w="20" w:type="dxa"/>
            </w:tcMar>
            <w:vAlign w:val="center"/>
            <w:hideMark/>
          </w:tcPr>
          <w:p w14:paraId="7F42B0ED"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C8A5E59" w14:textId="77777777" w:rsidR="00000000" w:rsidRDefault="00A173A8">
            <w:pPr>
              <w:spacing w:after="100"/>
              <w:divId w:val="41834433"/>
              <w:rPr>
                <w:rFonts w:eastAsia="Times New Roman"/>
              </w:rPr>
            </w:pPr>
            <w:hyperlink w:anchor="i7ffd5d61af6f4722b1b1b07530d51c06_130" w:history="1">
              <w:r>
                <w:rPr>
                  <w:rStyle w:val="a3"/>
                  <w:rFonts w:eastAsia="Times New Roman"/>
                  <w:color w:val="000000"/>
                  <w:sz w:val="20"/>
                  <w:szCs w:val="20"/>
                  <w:u w:val="none"/>
                </w:rPr>
                <w:t>Consolidated Balance Sheets Analysis</w:t>
              </w:r>
            </w:hyperlink>
          </w:p>
        </w:tc>
        <w:tc>
          <w:tcPr>
            <w:tcW w:w="0" w:type="auto"/>
            <w:gridSpan w:val="3"/>
            <w:tcMar>
              <w:top w:w="30" w:type="dxa"/>
              <w:left w:w="20" w:type="dxa"/>
              <w:bottom w:w="30" w:type="dxa"/>
              <w:right w:w="20" w:type="dxa"/>
            </w:tcMar>
            <w:vAlign w:val="bottom"/>
            <w:hideMark/>
          </w:tcPr>
          <w:p w14:paraId="235245B0" w14:textId="77777777" w:rsidR="00000000" w:rsidRDefault="00A173A8">
            <w:pPr>
              <w:spacing w:after="100"/>
              <w:jc w:val="center"/>
              <w:rPr>
                <w:rFonts w:eastAsia="Times New Roman"/>
              </w:rPr>
            </w:pPr>
            <w:hyperlink w:anchor="i7ffd5d61af6f4722b1b1b07530d51c06_130" w:history="1">
              <w:r>
                <w:rPr>
                  <w:rStyle w:val="a3"/>
                  <w:rFonts w:eastAsia="Times New Roman"/>
                  <w:color w:val="000000"/>
                  <w:sz w:val="20"/>
                  <w:szCs w:val="20"/>
                  <w:u w:val="none"/>
                </w:rPr>
                <w:t>16</w:t>
              </w:r>
            </w:hyperlink>
          </w:p>
        </w:tc>
      </w:tr>
      <w:tr w:rsidR="00000000" w14:paraId="0DE48C53" w14:textId="77777777">
        <w:trPr>
          <w:divId w:val="42757019"/>
        </w:trPr>
        <w:tc>
          <w:tcPr>
            <w:tcW w:w="0" w:type="auto"/>
            <w:gridSpan w:val="3"/>
            <w:tcMar>
              <w:top w:w="0" w:type="dxa"/>
              <w:left w:w="20" w:type="dxa"/>
              <w:bottom w:w="0" w:type="dxa"/>
              <w:right w:w="20" w:type="dxa"/>
            </w:tcMar>
            <w:vAlign w:val="center"/>
            <w:hideMark/>
          </w:tcPr>
          <w:p w14:paraId="3D69B17A"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CA5DDA" w14:textId="77777777" w:rsidR="00000000" w:rsidRDefault="00A173A8">
            <w:pPr>
              <w:spacing w:after="100"/>
              <w:divId w:val="1008602728"/>
              <w:rPr>
                <w:rFonts w:eastAsia="Times New Roman"/>
              </w:rPr>
            </w:pPr>
            <w:hyperlink w:anchor="i7ffd5d61af6f4722b1b1b07530d51c06_148" w:history="1">
              <w:r>
                <w:rPr>
                  <w:rStyle w:val="a3"/>
                  <w:rFonts w:eastAsia="Times New Roman"/>
                  <w:color w:val="000000"/>
                  <w:sz w:val="20"/>
                  <w:szCs w:val="20"/>
                  <w:u w:val="none"/>
                </w:rPr>
                <w:t>Off-Balance Sheet Arrangements</w:t>
              </w:r>
            </w:hyperlink>
          </w:p>
        </w:tc>
        <w:tc>
          <w:tcPr>
            <w:tcW w:w="0" w:type="auto"/>
            <w:gridSpan w:val="3"/>
            <w:tcMar>
              <w:top w:w="30" w:type="dxa"/>
              <w:left w:w="20" w:type="dxa"/>
              <w:bottom w:w="30" w:type="dxa"/>
              <w:right w:w="20" w:type="dxa"/>
            </w:tcMar>
            <w:vAlign w:val="bottom"/>
            <w:hideMark/>
          </w:tcPr>
          <w:p w14:paraId="607F4770" w14:textId="77777777" w:rsidR="00000000" w:rsidRDefault="00A173A8">
            <w:pPr>
              <w:spacing w:after="100"/>
              <w:jc w:val="center"/>
              <w:rPr>
                <w:rFonts w:eastAsia="Times New Roman"/>
              </w:rPr>
            </w:pPr>
            <w:hyperlink w:anchor="i7ffd5d61af6f4722b1b1b07530d51c06_148" w:history="1">
              <w:r>
                <w:rPr>
                  <w:rStyle w:val="a3"/>
                  <w:rFonts w:eastAsia="Times New Roman"/>
                  <w:color w:val="000000"/>
                  <w:sz w:val="20"/>
                  <w:szCs w:val="20"/>
                  <w:u w:val="none"/>
                </w:rPr>
                <w:t>17</w:t>
              </w:r>
            </w:hyperlink>
          </w:p>
        </w:tc>
      </w:tr>
      <w:tr w:rsidR="00000000" w14:paraId="207CCF92" w14:textId="77777777">
        <w:trPr>
          <w:divId w:val="42757019"/>
        </w:trPr>
        <w:tc>
          <w:tcPr>
            <w:tcW w:w="0" w:type="auto"/>
            <w:gridSpan w:val="3"/>
            <w:tcMar>
              <w:top w:w="0" w:type="dxa"/>
              <w:left w:w="20" w:type="dxa"/>
              <w:bottom w:w="0" w:type="dxa"/>
              <w:right w:w="20" w:type="dxa"/>
            </w:tcMar>
            <w:vAlign w:val="center"/>
            <w:hideMark/>
          </w:tcPr>
          <w:p w14:paraId="13E81091"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8D037EF" w14:textId="77777777" w:rsidR="00000000" w:rsidRDefault="00A173A8">
            <w:pPr>
              <w:spacing w:after="100"/>
              <w:divId w:val="1024017769"/>
              <w:rPr>
                <w:rFonts w:eastAsia="Times New Roman"/>
              </w:rPr>
            </w:pPr>
            <w:hyperlink w:anchor="i7ffd5d61af6f4722b1b1b07530d51c06_151" w:history="1">
              <w:r>
                <w:rPr>
                  <w:rStyle w:val="a3"/>
                  <w:rFonts w:eastAsia="Times New Roman"/>
                  <w:color w:val="000000"/>
                  <w:sz w:val="20"/>
                  <w:szCs w:val="20"/>
                  <w:u w:val="none"/>
                </w:rPr>
                <w:t>Business Segment Financial Performance</w:t>
              </w:r>
            </w:hyperlink>
          </w:p>
        </w:tc>
        <w:tc>
          <w:tcPr>
            <w:tcW w:w="0" w:type="auto"/>
            <w:gridSpan w:val="3"/>
            <w:tcMar>
              <w:top w:w="30" w:type="dxa"/>
              <w:left w:w="20" w:type="dxa"/>
              <w:bottom w:w="30" w:type="dxa"/>
              <w:right w:w="20" w:type="dxa"/>
            </w:tcMar>
            <w:vAlign w:val="bottom"/>
            <w:hideMark/>
          </w:tcPr>
          <w:p w14:paraId="76FE9A92" w14:textId="77777777" w:rsidR="00000000" w:rsidRDefault="00A173A8">
            <w:pPr>
              <w:spacing w:after="100"/>
              <w:jc w:val="center"/>
              <w:rPr>
                <w:rFonts w:eastAsia="Times New Roman"/>
              </w:rPr>
            </w:pPr>
            <w:hyperlink w:anchor="i7ffd5d61af6f4722b1b1b07530d51c06_151" w:history="1">
              <w:r>
                <w:rPr>
                  <w:rStyle w:val="a3"/>
                  <w:rFonts w:eastAsia="Times New Roman"/>
                  <w:color w:val="000000"/>
                  <w:sz w:val="20"/>
                  <w:szCs w:val="20"/>
                  <w:u w:val="none"/>
                </w:rPr>
                <w:t>18</w:t>
              </w:r>
            </w:hyperlink>
          </w:p>
        </w:tc>
      </w:tr>
      <w:tr w:rsidR="00000000" w14:paraId="77CFDD61" w14:textId="77777777">
        <w:trPr>
          <w:divId w:val="42757019"/>
        </w:trPr>
        <w:tc>
          <w:tcPr>
            <w:tcW w:w="0" w:type="auto"/>
            <w:gridSpan w:val="3"/>
            <w:tcMar>
              <w:top w:w="0" w:type="dxa"/>
              <w:left w:w="20" w:type="dxa"/>
              <w:bottom w:w="0" w:type="dxa"/>
              <w:right w:w="20" w:type="dxa"/>
            </w:tcMar>
            <w:vAlign w:val="center"/>
            <w:hideMark/>
          </w:tcPr>
          <w:p w14:paraId="6F33E9AE"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98A9A7" w14:textId="77777777" w:rsidR="00000000" w:rsidRDefault="00A173A8">
            <w:pPr>
              <w:spacing w:after="100"/>
              <w:divId w:val="1655059933"/>
              <w:rPr>
                <w:rFonts w:eastAsia="Times New Roman"/>
              </w:rPr>
            </w:pPr>
            <w:hyperlink w:anchor="i7ffd5d61af6f4722b1b1b07530d51c06_172" w:history="1">
              <w:r>
                <w:rPr>
                  <w:rStyle w:val="a3"/>
                  <w:rFonts w:eastAsia="Times New Roman"/>
                  <w:color w:val="000000"/>
                  <w:sz w:val="20"/>
                  <w:szCs w:val="20"/>
                  <w:u w:val="none"/>
                </w:rPr>
                <w:t>Critical Accounting Polici</w:t>
              </w:r>
              <w:r>
                <w:rPr>
                  <w:rStyle w:val="a3"/>
                  <w:rFonts w:eastAsia="Times New Roman"/>
                  <w:color w:val="000000"/>
                  <w:sz w:val="20"/>
                  <w:szCs w:val="20"/>
                  <w:u w:val="none"/>
                </w:rPr>
                <w:t>es and Estimates</w:t>
              </w:r>
            </w:hyperlink>
          </w:p>
        </w:tc>
        <w:tc>
          <w:tcPr>
            <w:tcW w:w="0" w:type="auto"/>
            <w:gridSpan w:val="3"/>
            <w:tcMar>
              <w:top w:w="30" w:type="dxa"/>
              <w:left w:w="20" w:type="dxa"/>
              <w:bottom w:w="30" w:type="dxa"/>
              <w:right w:w="20" w:type="dxa"/>
            </w:tcMar>
            <w:vAlign w:val="bottom"/>
            <w:hideMark/>
          </w:tcPr>
          <w:p w14:paraId="3CB145CF" w14:textId="77777777" w:rsidR="00000000" w:rsidRDefault="00A173A8">
            <w:pPr>
              <w:spacing w:after="100"/>
              <w:jc w:val="center"/>
              <w:rPr>
                <w:rFonts w:eastAsia="Times New Roman"/>
              </w:rPr>
            </w:pPr>
            <w:hyperlink w:anchor="i7ffd5d61af6f4722b1b1b07530d51c06_172" w:history="1">
              <w:r>
                <w:rPr>
                  <w:rStyle w:val="a3"/>
                  <w:rFonts w:eastAsia="Times New Roman"/>
                  <w:color w:val="000000"/>
                  <w:sz w:val="20"/>
                  <w:szCs w:val="20"/>
                  <w:u w:val="none"/>
                </w:rPr>
                <w:t>28</w:t>
              </w:r>
            </w:hyperlink>
          </w:p>
        </w:tc>
      </w:tr>
      <w:tr w:rsidR="00000000" w14:paraId="0CC31BD2" w14:textId="77777777">
        <w:trPr>
          <w:divId w:val="42757019"/>
        </w:trPr>
        <w:tc>
          <w:tcPr>
            <w:tcW w:w="0" w:type="auto"/>
            <w:gridSpan w:val="3"/>
            <w:tcMar>
              <w:top w:w="0" w:type="dxa"/>
              <w:left w:w="20" w:type="dxa"/>
              <w:bottom w:w="0" w:type="dxa"/>
              <w:right w:w="20" w:type="dxa"/>
            </w:tcMar>
            <w:vAlign w:val="center"/>
            <w:hideMark/>
          </w:tcPr>
          <w:p w14:paraId="7C6CC181"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486806" w14:textId="77777777" w:rsidR="00000000" w:rsidRDefault="00A173A8">
            <w:pPr>
              <w:spacing w:after="100"/>
              <w:divId w:val="2093353087"/>
              <w:rPr>
                <w:rFonts w:eastAsia="Times New Roman"/>
              </w:rPr>
            </w:pPr>
            <w:hyperlink w:anchor="i7ffd5d61af6f4722b1b1b07530d51c06_178" w:history="1">
              <w:r>
                <w:rPr>
                  <w:rStyle w:val="a3"/>
                  <w:rFonts w:eastAsia="Times New Roman"/>
                  <w:color w:val="000000"/>
                  <w:sz w:val="20"/>
                  <w:szCs w:val="20"/>
                  <w:u w:val="none"/>
                </w:rPr>
                <w:t>Accounting Changes and Developments</w:t>
              </w:r>
            </w:hyperlink>
          </w:p>
        </w:tc>
        <w:tc>
          <w:tcPr>
            <w:tcW w:w="0" w:type="auto"/>
            <w:gridSpan w:val="3"/>
            <w:tcMar>
              <w:top w:w="30" w:type="dxa"/>
              <w:left w:w="20" w:type="dxa"/>
              <w:bottom w:w="30" w:type="dxa"/>
              <w:right w:w="20" w:type="dxa"/>
            </w:tcMar>
            <w:vAlign w:val="bottom"/>
            <w:hideMark/>
          </w:tcPr>
          <w:p w14:paraId="3BCB9941" w14:textId="77777777" w:rsidR="00000000" w:rsidRDefault="00A173A8">
            <w:pPr>
              <w:spacing w:after="100"/>
              <w:jc w:val="center"/>
              <w:rPr>
                <w:rFonts w:eastAsia="Times New Roman"/>
              </w:rPr>
            </w:pPr>
            <w:hyperlink w:anchor="i7ffd5d61af6f4722b1b1b07530d51c06_178" w:history="1">
              <w:r>
                <w:rPr>
                  <w:rStyle w:val="a3"/>
                  <w:rFonts w:eastAsia="Times New Roman"/>
                  <w:color w:val="000000"/>
                  <w:sz w:val="20"/>
                  <w:szCs w:val="20"/>
                  <w:u w:val="none"/>
                </w:rPr>
                <w:t>29</w:t>
              </w:r>
            </w:hyperlink>
          </w:p>
        </w:tc>
      </w:tr>
      <w:tr w:rsidR="00000000" w14:paraId="7B93817B" w14:textId="77777777">
        <w:trPr>
          <w:divId w:val="42757019"/>
        </w:trPr>
        <w:tc>
          <w:tcPr>
            <w:tcW w:w="0" w:type="auto"/>
            <w:gridSpan w:val="3"/>
            <w:tcMar>
              <w:top w:w="0" w:type="dxa"/>
              <w:left w:w="20" w:type="dxa"/>
              <w:bottom w:w="0" w:type="dxa"/>
              <w:right w:w="20" w:type="dxa"/>
            </w:tcMar>
            <w:vAlign w:val="center"/>
            <w:hideMark/>
          </w:tcPr>
          <w:p w14:paraId="340F0C86"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060443A" w14:textId="77777777" w:rsidR="00000000" w:rsidRDefault="00A173A8">
            <w:pPr>
              <w:spacing w:after="100"/>
              <w:divId w:val="145249570"/>
              <w:rPr>
                <w:rFonts w:eastAsia="Times New Roman"/>
              </w:rPr>
            </w:pPr>
            <w:hyperlink w:anchor="i7ffd5d61af6f4722b1b1b07530d51c06_181" w:history="1">
              <w:r>
                <w:rPr>
                  <w:rStyle w:val="a3"/>
                  <w:rFonts w:eastAsia="Times New Roman"/>
                  <w:color w:val="000000"/>
                  <w:sz w:val="20"/>
                  <w:szCs w:val="20"/>
                  <w:u w:val="none"/>
                </w:rPr>
                <w:t>Capital Management</w:t>
              </w:r>
            </w:hyperlink>
          </w:p>
        </w:tc>
        <w:tc>
          <w:tcPr>
            <w:tcW w:w="0" w:type="auto"/>
            <w:gridSpan w:val="3"/>
            <w:tcMar>
              <w:top w:w="30" w:type="dxa"/>
              <w:left w:w="20" w:type="dxa"/>
              <w:bottom w:w="30" w:type="dxa"/>
              <w:right w:w="20" w:type="dxa"/>
            </w:tcMar>
            <w:vAlign w:val="bottom"/>
            <w:hideMark/>
          </w:tcPr>
          <w:p w14:paraId="48262CDA" w14:textId="77777777" w:rsidR="00000000" w:rsidRDefault="00A173A8">
            <w:pPr>
              <w:spacing w:after="100"/>
              <w:jc w:val="center"/>
              <w:rPr>
                <w:rFonts w:eastAsia="Times New Roman"/>
              </w:rPr>
            </w:pPr>
            <w:hyperlink w:anchor="i7ffd5d61af6f4722b1b1b07530d51c06_181" w:history="1">
              <w:r>
                <w:rPr>
                  <w:rStyle w:val="a3"/>
                  <w:rFonts w:eastAsia="Times New Roman"/>
                  <w:color w:val="000000"/>
                  <w:sz w:val="20"/>
                  <w:szCs w:val="20"/>
                  <w:u w:val="none"/>
                </w:rPr>
                <w:t>29</w:t>
              </w:r>
            </w:hyperlink>
          </w:p>
        </w:tc>
      </w:tr>
      <w:tr w:rsidR="00000000" w14:paraId="02105243" w14:textId="77777777">
        <w:trPr>
          <w:divId w:val="42757019"/>
        </w:trPr>
        <w:tc>
          <w:tcPr>
            <w:tcW w:w="0" w:type="auto"/>
            <w:gridSpan w:val="3"/>
            <w:tcMar>
              <w:top w:w="0" w:type="dxa"/>
              <w:left w:w="20" w:type="dxa"/>
              <w:bottom w:w="0" w:type="dxa"/>
              <w:right w:w="20" w:type="dxa"/>
            </w:tcMar>
            <w:vAlign w:val="center"/>
            <w:hideMark/>
          </w:tcPr>
          <w:p w14:paraId="64DB472A"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45FD49" w14:textId="77777777" w:rsidR="00000000" w:rsidRDefault="00A173A8">
            <w:pPr>
              <w:spacing w:after="100"/>
              <w:divId w:val="272058892"/>
              <w:rPr>
                <w:rFonts w:eastAsia="Times New Roman"/>
              </w:rPr>
            </w:pPr>
            <w:hyperlink w:anchor="i7ffd5d61af6f4722b1b1b07530d51c06_202" w:history="1">
              <w:r>
                <w:rPr>
                  <w:rStyle w:val="a3"/>
                  <w:rFonts w:eastAsia="Times New Roman"/>
                  <w:color w:val="000000"/>
                  <w:sz w:val="20"/>
                  <w:szCs w:val="20"/>
                  <w:u w:val="none"/>
                </w:rPr>
                <w:t>Risk Management</w:t>
              </w:r>
            </w:hyperlink>
          </w:p>
        </w:tc>
        <w:tc>
          <w:tcPr>
            <w:tcW w:w="0" w:type="auto"/>
            <w:gridSpan w:val="3"/>
            <w:tcMar>
              <w:top w:w="30" w:type="dxa"/>
              <w:left w:w="20" w:type="dxa"/>
              <w:bottom w:w="30" w:type="dxa"/>
              <w:right w:w="20" w:type="dxa"/>
            </w:tcMar>
            <w:vAlign w:val="bottom"/>
            <w:hideMark/>
          </w:tcPr>
          <w:p w14:paraId="5712A9FE" w14:textId="77777777" w:rsidR="00000000" w:rsidRDefault="00A173A8">
            <w:pPr>
              <w:spacing w:after="100"/>
              <w:jc w:val="center"/>
              <w:rPr>
                <w:rFonts w:eastAsia="Times New Roman"/>
              </w:rPr>
            </w:pPr>
            <w:hyperlink w:anchor="i7ffd5d61af6f4722b1b1b07530d51c06_202" w:history="1">
              <w:r>
                <w:rPr>
                  <w:rStyle w:val="a3"/>
                  <w:rFonts w:eastAsia="Times New Roman"/>
                  <w:color w:val="000000"/>
                  <w:sz w:val="20"/>
                  <w:szCs w:val="20"/>
                  <w:u w:val="none"/>
                </w:rPr>
                <w:t>34</w:t>
              </w:r>
            </w:hyperlink>
          </w:p>
        </w:tc>
      </w:tr>
      <w:tr w:rsidR="00000000" w14:paraId="236F5E2C" w14:textId="77777777">
        <w:trPr>
          <w:divId w:val="42757019"/>
        </w:trPr>
        <w:tc>
          <w:tcPr>
            <w:tcW w:w="0" w:type="auto"/>
            <w:gridSpan w:val="3"/>
            <w:tcMar>
              <w:top w:w="0" w:type="dxa"/>
              <w:left w:w="20" w:type="dxa"/>
              <w:bottom w:w="0" w:type="dxa"/>
              <w:right w:w="20" w:type="dxa"/>
            </w:tcMar>
            <w:vAlign w:val="center"/>
            <w:hideMark/>
          </w:tcPr>
          <w:p w14:paraId="473097C6"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3B730E" w14:textId="77777777" w:rsidR="00000000" w:rsidRDefault="00A173A8">
            <w:pPr>
              <w:spacing w:after="100"/>
              <w:divId w:val="1002780047"/>
              <w:rPr>
                <w:rFonts w:eastAsia="Times New Roman"/>
              </w:rPr>
            </w:pPr>
            <w:hyperlink w:anchor="i7ffd5d61af6f4722b1b1b07530d51c06_205" w:history="1">
              <w:r>
                <w:rPr>
                  <w:rStyle w:val="a3"/>
                  <w:rFonts w:eastAsia="Times New Roman"/>
                  <w:color w:val="000000"/>
                  <w:sz w:val="20"/>
                  <w:szCs w:val="20"/>
                  <w:u w:val="none"/>
                </w:rPr>
                <w:t>Credit Risk Profile</w:t>
              </w:r>
            </w:hyperlink>
          </w:p>
        </w:tc>
        <w:tc>
          <w:tcPr>
            <w:tcW w:w="0" w:type="auto"/>
            <w:gridSpan w:val="3"/>
            <w:tcMar>
              <w:top w:w="30" w:type="dxa"/>
              <w:left w:w="20" w:type="dxa"/>
              <w:bottom w:w="30" w:type="dxa"/>
              <w:right w:w="20" w:type="dxa"/>
            </w:tcMar>
            <w:vAlign w:val="bottom"/>
            <w:hideMark/>
          </w:tcPr>
          <w:p w14:paraId="39B9AEB0" w14:textId="77777777" w:rsidR="00000000" w:rsidRDefault="00A173A8">
            <w:pPr>
              <w:spacing w:after="100"/>
              <w:jc w:val="center"/>
              <w:rPr>
                <w:rFonts w:eastAsia="Times New Roman"/>
              </w:rPr>
            </w:pPr>
            <w:hyperlink w:anchor="i7ffd5d61af6f4722b1b1b07530d51c06_205" w:history="1">
              <w:r>
                <w:rPr>
                  <w:rStyle w:val="a3"/>
                  <w:rFonts w:eastAsia="Times New Roman"/>
                  <w:color w:val="000000"/>
                  <w:sz w:val="20"/>
                  <w:szCs w:val="20"/>
                  <w:u w:val="none"/>
                </w:rPr>
                <w:t>35</w:t>
              </w:r>
            </w:hyperlink>
          </w:p>
        </w:tc>
      </w:tr>
      <w:tr w:rsidR="00000000" w14:paraId="53020473" w14:textId="77777777">
        <w:trPr>
          <w:divId w:val="42757019"/>
        </w:trPr>
        <w:tc>
          <w:tcPr>
            <w:tcW w:w="0" w:type="auto"/>
            <w:gridSpan w:val="3"/>
            <w:tcMar>
              <w:top w:w="0" w:type="dxa"/>
              <w:left w:w="20" w:type="dxa"/>
              <w:bottom w:w="0" w:type="dxa"/>
              <w:right w:w="20" w:type="dxa"/>
            </w:tcMar>
            <w:vAlign w:val="center"/>
            <w:hideMark/>
          </w:tcPr>
          <w:p w14:paraId="027C755C"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AF06D0" w14:textId="77777777" w:rsidR="00000000" w:rsidRDefault="00A173A8">
            <w:pPr>
              <w:spacing w:after="100"/>
              <w:divId w:val="1293906697"/>
              <w:rPr>
                <w:rFonts w:eastAsia="Times New Roman"/>
              </w:rPr>
            </w:pPr>
            <w:hyperlink w:anchor="i7ffd5d61af6f4722b1b1b07530d51c06_259" w:history="1">
              <w:r>
                <w:rPr>
                  <w:rStyle w:val="a3"/>
                  <w:rFonts w:eastAsia="Times New Roman"/>
                  <w:color w:val="000000"/>
                  <w:sz w:val="20"/>
                  <w:szCs w:val="20"/>
                  <w:u w:val="none"/>
                </w:rPr>
                <w:t>Liquidity Risk Profile</w:t>
              </w:r>
            </w:hyperlink>
          </w:p>
        </w:tc>
        <w:tc>
          <w:tcPr>
            <w:tcW w:w="0" w:type="auto"/>
            <w:gridSpan w:val="3"/>
            <w:tcMar>
              <w:top w:w="30" w:type="dxa"/>
              <w:left w:w="20" w:type="dxa"/>
              <w:bottom w:w="30" w:type="dxa"/>
              <w:right w:w="20" w:type="dxa"/>
            </w:tcMar>
            <w:vAlign w:val="bottom"/>
            <w:hideMark/>
          </w:tcPr>
          <w:p w14:paraId="04A542D8" w14:textId="77777777" w:rsidR="00000000" w:rsidRDefault="00A173A8">
            <w:pPr>
              <w:spacing w:after="100"/>
              <w:jc w:val="center"/>
              <w:rPr>
                <w:rFonts w:eastAsia="Times New Roman"/>
              </w:rPr>
            </w:pPr>
            <w:hyperlink w:anchor="i7ffd5d61af6f4722b1b1b07530d51c06_259" w:history="1">
              <w:r>
                <w:rPr>
                  <w:rStyle w:val="a3"/>
                  <w:rFonts w:eastAsia="Times New Roman"/>
                  <w:color w:val="000000"/>
                  <w:sz w:val="20"/>
                  <w:szCs w:val="20"/>
                  <w:u w:val="none"/>
                </w:rPr>
                <w:t>47</w:t>
              </w:r>
            </w:hyperlink>
          </w:p>
        </w:tc>
      </w:tr>
      <w:tr w:rsidR="00000000" w14:paraId="483A4C5E" w14:textId="77777777">
        <w:trPr>
          <w:divId w:val="42757019"/>
        </w:trPr>
        <w:tc>
          <w:tcPr>
            <w:tcW w:w="0" w:type="auto"/>
            <w:gridSpan w:val="3"/>
            <w:tcMar>
              <w:top w:w="0" w:type="dxa"/>
              <w:left w:w="20" w:type="dxa"/>
              <w:bottom w:w="0" w:type="dxa"/>
              <w:right w:w="20" w:type="dxa"/>
            </w:tcMar>
            <w:vAlign w:val="center"/>
            <w:hideMark/>
          </w:tcPr>
          <w:p w14:paraId="0F71A186"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4E3AD1" w14:textId="77777777" w:rsidR="00000000" w:rsidRDefault="00A173A8">
            <w:pPr>
              <w:spacing w:after="100"/>
              <w:divId w:val="1442870784"/>
              <w:rPr>
                <w:rFonts w:eastAsia="Times New Roman"/>
              </w:rPr>
            </w:pPr>
            <w:hyperlink w:anchor="i7ffd5d61af6f4722b1b1b07530d51c06_289" w:history="1">
              <w:r>
                <w:rPr>
                  <w:rStyle w:val="a3"/>
                  <w:rFonts w:eastAsia="Times New Roman"/>
                  <w:color w:val="000000"/>
                  <w:sz w:val="20"/>
                  <w:szCs w:val="20"/>
                  <w:u w:val="none"/>
                </w:rPr>
                <w:t>Market Risk Profile</w:t>
              </w:r>
            </w:hyperlink>
          </w:p>
        </w:tc>
        <w:tc>
          <w:tcPr>
            <w:tcW w:w="0" w:type="auto"/>
            <w:gridSpan w:val="3"/>
            <w:tcMar>
              <w:top w:w="30" w:type="dxa"/>
              <w:left w:w="20" w:type="dxa"/>
              <w:bottom w:w="30" w:type="dxa"/>
              <w:right w:w="20" w:type="dxa"/>
            </w:tcMar>
            <w:vAlign w:val="bottom"/>
            <w:hideMark/>
          </w:tcPr>
          <w:p w14:paraId="7533330C" w14:textId="77777777" w:rsidR="00000000" w:rsidRDefault="00A173A8">
            <w:pPr>
              <w:spacing w:after="100"/>
              <w:jc w:val="center"/>
              <w:rPr>
                <w:rFonts w:eastAsia="Times New Roman"/>
              </w:rPr>
            </w:pPr>
            <w:hyperlink w:anchor="i7ffd5d61af6f4722b1b1b07530d51c06_289" w:history="1">
              <w:r>
                <w:rPr>
                  <w:rStyle w:val="a3"/>
                  <w:rFonts w:eastAsia="Times New Roman"/>
                  <w:color w:val="000000"/>
                  <w:sz w:val="20"/>
                  <w:szCs w:val="20"/>
                  <w:u w:val="none"/>
                </w:rPr>
                <w:t>50</w:t>
              </w:r>
            </w:hyperlink>
          </w:p>
        </w:tc>
      </w:tr>
      <w:tr w:rsidR="00000000" w14:paraId="5092C3C8" w14:textId="77777777">
        <w:trPr>
          <w:divId w:val="42757019"/>
        </w:trPr>
        <w:tc>
          <w:tcPr>
            <w:tcW w:w="0" w:type="auto"/>
            <w:gridSpan w:val="3"/>
            <w:tcMar>
              <w:top w:w="0" w:type="dxa"/>
              <w:left w:w="20" w:type="dxa"/>
              <w:bottom w:w="0" w:type="dxa"/>
              <w:right w:w="20" w:type="dxa"/>
            </w:tcMar>
            <w:vAlign w:val="center"/>
            <w:hideMark/>
          </w:tcPr>
          <w:p w14:paraId="7F909979"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95CA34D" w14:textId="77777777" w:rsidR="00000000" w:rsidRDefault="00A173A8">
            <w:pPr>
              <w:spacing w:after="100"/>
              <w:divId w:val="52436143"/>
              <w:rPr>
                <w:rFonts w:eastAsia="Times New Roman"/>
              </w:rPr>
            </w:pPr>
            <w:hyperlink w:anchor="i7ffd5d61af6f4722b1b1b07530d51c06_298" w:history="1">
              <w:r>
                <w:rPr>
                  <w:rStyle w:val="a3"/>
                  <w:rFonts w:eastAsia="Times New Roman"/>
                  <w:color w:val="000000"/>
                  <w:sz w:val="20"/>
                  <w:szCs w:val="20"/>
                  <w:u w:val="none"/>
                </w:rPr>
                <w:t>Supervision and Regulation</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14:paraId="21F1B3FD" w14:textId="77777777" w:rsidR="00000000" w:rsidRDefault="00A173A8">
            <w:pPr>
              <w:spacing w:after="100"/>
              <w:jc w:val="center"/>
              <w:rPr>
                <w:rFonts w:eastAsia="Times New Roman"/>
              </w:rPr>
            </w:pPr>
            <w:hyperlink w:anchor="i7ffd5d61af6f4722b1b1b07530d51c06_298" w:history="1">
              <w:r>
                <w:rPr>
                  <w:rStyle w:val="a3"/>
                  <w:rFonts w:eastAsia="Times New Roman"/>
                  <w:color w:val="000000"/>
                  <w:sz w:val="20"/>
                  <w:szCs w:val="20"/>
                  <w:u w:val="none"/>
                </w:rPr>
                <w:t>54</w:t>
              </w:r>
            </w:hyperlink>
          </w:p>
        </w:tc>
      </w:tr>
      <w:tr w:rsidR="00000000" w14:paraId="4750D835" w14:textId="77777777">
        <w:trPr>
          <w:divId w:val="42757019"/>
        </w:trPr>
        <w:tc>
          <w:tcPr>
            <w:tcW w:w="0" w:type="auto"/>
            <w:gridSpan w:val="3"/>
            <w:tcMar>
              <w:top w:w="0" w:type="dxa"/>
              <w:left w:w="20" w:type="dxa"/>
              <w:bottom w:w="0" w:type="dxa"/>
              <w:right w:w="20" w:type="dxa"/>
            </w:tcMar>
            <w:vAlign w:val="center"/>
            <w:hideMark/>
          </w:tcPr>
          <w:p w14:paraId="296DA573"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7105CA" w14:textId="77777777" w:rsidR="00000000" w:rsidRDefault="00A173A8">
            <w:pPr>
              <w:spacing w:after="100"/>
              <w:divId w:val="1837107654"/>
              <w:rPr>
                <w:rFonts w:eastAsia="Times New Roman"/>
              </w:rPr>
            </w:pPr>
            <w:hyperlink w:anchor="i7ffd5d61af6f4722b1b1b07530d51c06_301" w:history="1">
              <w:r>
                <w:rPr>
                  <w:rStyle w:val="a3"/>
                  <w:rFonts w:eastAsia="Times New Roman"/>
                  <w:color w:val="000000"/>
                  <w:sz w:val="20"/>
                  <w:szCs w:val="20"/>
                  <w:u w:val="none"/>
                </w:rPr>
                <w:t>Forward-Looking Statements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14:paraId="00F80E7F" w14:textId="77777777" w:rsidR="00000000" w:rsidRDefault="00A173A8">
            <w:pPr>
              <w:spacing w:after="100"/>
              <w:jc w:val="center"/>
              <w:rPr>
                <w:rFonts w:eastAsia="Times New Roman"/>
              </w:rPr>
            </w:pPr>
            <w:hyperlink w:anchor="i7ffd5d61af6f4722b1b1b07530d51c06_301" w:history="1">
              <w:r>
                <w:rPr>
                  <w:rStyle w:val="a3"/>
                  <w:rFonts w:eastAsia="Times New Roman"/>
                  <w:color w:val="000000"/>
                  <w:sz w:val="20"/>
                  <w:szCs w:val="20"/>
                  <w:u w:val="none"/>
                </w:rPr>
                <w:t>55</w:t>
              </w:r>
            </w:hyperlink>
          </w:p>
        </w:tc>
      </w:tr>
      <w:tr w:rsidR="00000000" w14:paraId="4724EC9E" w14:textId="77777777">
        <w:trPr>
          <w:divId w:val="42757019"/>
        </w:trPr>
        <w:tc>
          <w:tcPr>
            <w:tcW w:w="0" w:type="auto"/>
            <w:gridSpan w:val="3"/>
            <w:tcMar>
              <w:top w:w="0" w:type="dxa"/>
              <w:left w:w="20" w:type="dxa"/>
              <w:bottom w:w="0" w:type="dxa"/>
              <w:right w:w="20" w:type="dxa"/>
            </w:tcMar>
            <w:vAlign w:val="center"/>
            <w:hideMark/>
          </w:tcPr>
          <w:p w14:paraId="03833A55"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617BFC" w14:textId="77777777" w:rsidR="00000000" w:rsidRDefault="00A173A8">
            <w:pPr>
              <w:spacing w:after="100"/>
              <w:divId w:val="2049913941"/>
              <w:rPr>
                <w:rFonts w:eastAsia="Times New Roman"/>
              </w:rPr>
            </w:pPr>
            <w:hyperlink w:anchor="i7ffd5d61af6f4722b1b1b07530d51c06_304" w:history="1">
              <w:r>
                <w:rPr>
                  <w:rStyle w:val="a3"/>
                  <w:rFonts w:eastAsia="Times New Roman"/>
                  <w:color w:val="000000"/>
                  <w:sz w:val="20"/>
                  <w:szCs w:val="20"/>
                  <w:u w:val="none"/>
                </w:rPr>
                <w:t>Supplemental Table</w:t>
              </w:r>
            </w:hyperlink>
          </w:p>
        </w:tc>
        <w:tc>
          <w:tcPr>
            <w:tcW w:w="0" w:type="auto"/>
            <w:gridSpan w:val="3"/>
            <w:tcMar>
              <w:top w:w="30" w:type="dxa"/>
              <w:left w:w="20" w:type="dxa"/>
              <w:bottom w:w="30" w:type="dxa"/>
              <w:right w:w="20" w:type="dxa"/>
            </w:tcMar>
            <w:vAlign w:val="bottom"/>
            <w:hideMark/>
          </w:tcPr>
          <w:p w14:paraId="22DE59BA" w14:textId="77777777" w:rsidR="00000000" w:rsidRDefault="00A173A8">
            <w:pPr>
              <w:spacing w:after="100"/>
              <w:jc w:val="center"/>
              <w:rPr>
                <w:rFonts w:eastAsia="Times New Roman"/>
              </w:rPr>
            </w:pPr>
            <w:hyperlink w:anchor="i7ffd5d61af6f4722b1b1b07530d51c06_304" w:history="1">
              <w:r>
                <w:rPr>
                  <w:rStyle w:val="a3"/>
                  <w:rFonts w:eastAsia="Times New Roman"/>
                  <w:color w:val="000000"/>
                  <w:sz w:val="20"/>
                  <w:szCs w:val="20"/>
                  <w:u w:val="none"/>
                </w:rPr>
                <w:t>57</w:t>
              </w:r>
            </w:hyperlink>
          </w:p>
        </w:tc>
      </w:tr>
      <w:tr w:rsidR="00000000" w14:paraId="4AABA5BF" w14:textId="77777777">
        <w:trPr>
          <w:divId w:val="42757019"/>
        </w:trPr>
        <w:tc>
          <w:tcPr>
            <w:tcW w:w="0" w:type="auto"/>
            <w:gridSpan w:val="3"/>
            <w:tcMar>
              <w:top w:w="0" w:type="dxa"/>
              <w:left w:w="20" w:type="dxa"/>
              <w:bottom w:w="0" w:type="dxa"/>
              <w:right w:w="20" w:type="dxa"/>
            </w:tcMar>
            <w:vAlign w:val="center"/>
            <w:hideMark/>
          </w:tcPr>
          <w:p w14:paraId="6E963E24"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DAD5A1" w14:textId="77777777" w:rsidR="00000000" w:rsidRDefault="00A173A8">
            <w:pPr>
              <w:spacing w:after="100"/>
              <w:divId w:val="708578180"/>
              <w:rPr>
                <w:rFonts w:eastAsia="Times New Roman"/>
              </w:rPr>
            </w:pPr>
            <w:hyperlink w:anchor="i7ffd5d61af6f4722b1b1b07530d51c06_316" w:history="1">
              <w:r>
                <w:rPr>
                  <w:rStyle w:val="a3"/>
                  <w:rFonts w:eastAsia="Times New Roman"/>
                  <w:color w:val="000000"/>
                  <w:sz w:val="20"/>
                  <w:szCs w:val="20"/>
                  <w:u w:val="none"/>
                </w:rPr>
                <w:t>Glossary and Acronyms</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bottom"/>
            <w:hideMark/>
          </w:tcPr>
          <w:p w14:paraId="2A42405B" w14:textId="77777777" w:rsidR="00000000" w:rsidRDefault="00A173A8">
            <w:pPr>
              <w:spacing w:after="100"/>
              <w:jc w:val="center"/>
              <w:rPr>
                <w:rFonts w:eastAsia="Times New Roman"/>
              </w:rPr>
            </w:pPr>
            <w:hyperlink w:anchor="i7ffd5d61af6f4722b1b1b07530d51c06_316" w:history="1">
              <w:r>
                <w:rPr>
                  <w:rStyle w:val="a3"/>
                  <w:rFonts w:eastAsia="Times New Roman"/>
                  <w:color w:val="000000"/>
                  <w:sz w:val="20"/>
                  <w:szCs w:val="20"/>
                  <w:u w:val="none"/>
                </w:rPr>
                <w:t>58</w:t>
              </w:r>
            </w:hyperlink>
          </w:p>
        </w:tc>
      </w:tr>
      <w:tr w:rsidR="00000000" w14:paraId="4F261B73" w14:textId="77777777">
        <w:trPr>
          <w:divId w:val="42757019"/>
        </w:trPr>
        <w:tc>
          <w:tcPr>
            <w:tcW w:w="0" w:type="auto"/>
            <w:gridSpan w:val="3"/>
            <w:vAlign w:val="center"/>
            <w:hideMark/>
          </w:tcPr>
          <w:p w14:paraId="36025D30" w14:textId="77777777" w:rsidR="00000000" w:rsidRDefault="00A173A8">
            <w:pPr>
              <w:spacing w:after="100"/>
              <w:jc w:val="center"/>
              <w:rPr>
                <w:rFonts w:eastAsia="Times New Roman"/>
              </w:rPr>
            </w:pPr>
          </w:p>
        </w:tc>
        <w:tc>
          <w:tcPr>
            <w:tcW w:w="0" w:type="auto"/>
            <w:gridSpan w:val="3"/>
            <w:vAlign w:val="center"/>
            <w:hideMark/>
          </w:tcPr>
          <w:p w14:paraId="13BDDB3F" w14:textId="77777777" w:rsidR="00000000" w:rsidRDefault="00A173A8">
            <w:pPr>
              <w:spacing w:after="100"/>
              <w:rPr>
                <w:rFonts w:eastAsia="Times New Roman"/>
                <w:sz w:val="20"/>
                <w:szCs w:val="20"/>
              </w:rPr>
            </w:pPr>
          </w:p>
        </w:tc>
        <w:tc>
          <w:tcPr>
            <w:tcW w:w="0" w:type="auto"/>
            <w:gridSpan w:val="3"/>
            <w:vAlign w:val="center"/>
            <w:hideMark/>
          </w:tcPr>
          <w:p w14:paraId="7590CD6F" w14:textId="77777777" w:rsidR="00000000" w:rsidRDefault="00A173A8">
            <w:pPr>
              <w:spacing w:after="100"/>
              <w:rPr>
                <w:rFonts w:eastAsia="Times New Roman"/>
                <w:sz w:val="20"/>
                <w:szCs w:val="20"/>
              </w:rPr>
            </w:pPr>
          </w:p>
        </w:tc>
      </w:tr>
      <w:tr w:rsidR="00000000" w14:paraId="6FDBE1F2" w14:textId="77777777">
        <w:trPr>
          <w:divId w:val="42757019"/>
        </w:trPr>
        <w:tc>
          <w:tcPr>
            <w:tcW w:w="0" w:type="auto"/>
            <w:gridSpan w:val="3"/>
            <w:vAlign w:val="center"/>
            <w:hideMark/>
          </w:tcPr>
          <w:p w14:paraId="03F7FBFF" w14:textId="77777777" w:rsidR="00000000" w:rsidRDefault="00A173A8">
            <w:pPr>
              <w:spacing w:after="100"/>
              <w:rPr>
                <w:rFonts w:eastAsia="Times New Roman"/>
                <w:sz w:val="20"/>
                <w:szCs w:val="20"/>
              </w:rPr>
            </w:pPr>
          </w:p>
        </w:tc>
        <w:tc>
          <w:tcPr>
            <w:tcW w:w="0" w:type="auto"/>
            <w:gridSpan w:val="3"/>
            <w:vAlign w:val="center"/>
            <w:hideMark/>
          </w:tcPr>
          <w:p w14:paraId="5B8B2AB8" w14:textId="77777777" w:rsidR="00000000" w:rsidRDefault="00A173A8">
            <w:pPr>
              <w:spacing w:after="100"/>
              <w:rPr>
                <w:rFonts w:eastAsia="Times New Roman"/>
                <w:sz w:val="20"/>
                <w:szCs w:val="20"/>
              </w:rPr>
            </w:pPr>
          </w:p>
        </w:tc>
        <w:tc>
          <w:tcPr>
            <w:tcW w:w="0" w:type="auto"/>
            <w:gridSpan w:val="3"/>
            <w:vAlign w:val="center"/>
            <w:hideMark/>
          </w:tcPr>
          <w:p w14:paraId="04F2C0D2" w14:textId="77777777" w:rsidR="00000000" w:rsidRDefault="00A173A8">
            <w:pPr>
              <w:spacing w:after="100"/>
              <w:rPr>
                <w:rFonts w:eastAsia="Times New Roman"/>
                <w:sz w:val="20"/>
                <w:szCs w:val="20"/>
              </w:rPr>
            </w:pPr>
          </w:p>
        </w:tc>
      </w:tr>
      <w:tr w:rsidR="00000000" w14:paraId="3333DA44" w14:textId="77777777">
        <w:trPr>
          <w:divId w:val="42757019"/>
        </w:trPr>
        <w:tc>
          <w:tcPr>
            <w:tcW w:w="0" w:type="auto"/>
            <w:gridSpan w:val="3"/>
            <w:vAlign w:val="center"/>
            <w:hideMark/>
          </w:tcPr>
          <w:p w14:paraId="617800D1" w14:textId="77777777" w:rsidR="00000000" w:rsidRDefault="00A173A8">
            <w:pPr>
              <w:spacing w:after="100"/>
              <w:rPr>
                <w:rFonts w:eastAsia="Times New Roman"/>
                <w:sz w:val="20"/>
                <w:szCs w:val="20"/>
              </w:rPr>
            </w:pPr>
          </w:p>
        </w:tc>
        <w:tc>
          <w:tcPr>
            <w:tcW w:w="0" w:type="auto"/>
            <w:gridSpan w:val="3"/>
            <w:vAlign w:val="center"/>
            <w:hideMark/>
          </w:tcPr>
          <w:p w14:paraId="53C42E29" w14:textId="77777777" w:rsidR="00000000" w:rsidRDefault="00A173A8">
            <w:pPr>
              <w:spacing w:after="100"/>
              <w:rPr>
                <w:rFonts w:eastAsia="Times New Roman"/>
                <w:sz w:val="20"/>
                <w:szCs w:val="20"/>
              </w:rPr>
            </w:pPr>
          </w:p>
        </w:tc>
        <w:tc>
          <w:tcPr>
            <w:tcW w:w="0" w:type="auto"/>
            <w:gridSpan w:val="3"/>
            <w:vAlign w:val="center"/>
            <w:hideMark/>
          </w:tcPr>
          <w:p w14:paraId="282BCBBD" w14:textId="77777777" w:rsidR="00000000" w:rsidRDefault="00A173A8">
            <w:pPr>
              <w:spacing w:after="100"/>
              <w:rPr>
                <w:rFonts w:eastAsia="Times New Roman"/>
                <w:sz w:val="20"/>
                <w:szCs w:val="20"/>
              </w:rPr>
            </w:pPr>
          </w:p>
        </w:tc>
      </w:tr>
      <w:tr w:rsidR="00000000" w14:paraId="0CF6937B" w14:textId="77777777">
        <w:trPr>
          <w:divId w:val="42757019"/>
        </w:trPr>
        <w:tc>
          <w:tcPr>
            <w:tcW w:w="0" w:type="auto"/>
            <w:gridSpan w:val="3"/>
            <w:vAlign w:val="center"/>
            <w:hideMark/>
          </w:tcPr>
          <w:p w14:paraId="67493CEA" w14:textId="77777777" w:rsidR="00000000" w:rsidRDefault="00A173A8">
            <w:pPr>
              <w:spacing w:after="100"/>
              <w:rPr>
                <w:rFonts w:eastAsia="Times New Roman"/>
                <w:sz w:val="20"/>
                <w:szCs w:val="20"/>
              </w:rPr>
            </w:pPr>
          </w:p>
        </w:tc>
        <w:tc>
          <w:tcPr>
            <w:tcW w:w="0" w:type="auto"/>
            <w:gridSpan w:val="3"/>
            <w:vAlign w:val="center"/>
            <w:hideMark/>
          </w:tcPr>
          <w:p w14:paraId="7FB2D185" w14:textId="77777777" w:rsidR="00000000" w:rsidRDefault="00A173A8">
            <w:pPr>
              <w:spacing w:after="100"/>
              <w:rPr>
                <w:rFonts w:eastAsia="Times New Roman"/>
                <w:sz w:val="20"/>
                <w:szCs w:val="20"/>
              </w:rPr>
            </w:pPr>
          </w:p>
        </w:tc>
        <w:tc>
          <w:tcPr>
            <w:tcW w:w="0" w:type="auto"/>
            <w:gridSpan w:val="3"/>
            <w:vAlign w:val="center"/>
            <w:hideMark/>
          </w:tcPr>
          <w:p w14:paraId="0A1CC678" w14:textId="77777777" w:rsidR="00000000" w:rsidRDefault="00A173A8">
            <w:pPr>
              <w:spacing w:after="100"/>
              <w:rPr>
                <w:rFonts w:eastAsia="Times New Roman"/>
                <w:sz w:val="20"/>
                <w:szCs w:val="20"/>
              </w:rPr>
            </w:pPr>
          </w:p>
        </w:tc>
      </w:tr>
      <w:tr w:rsidR="00000000" w14:paraId="79B11929" w14:textId="77777777">
        <w:trPr>
          <w:divId w:val="42757019"/>
        </w:trPr>
        <w:tc>
          <w:tcPr>
            <w:tcW w:w="0" w:type="auto"/>
            <w:gridSpan w:val="3"/>
            <w:vAlign w:val="center"/>
            <w:hideMark/>
          </w:tcPr>
          <w:p w14:paraId="6A849DC3" w14:textId="77777777" w:rsidR="00000000" w:rsidRDefault="00A173A8">
            <w:pPr>
              <w:spacing w:after="100"/>
              <w:rPr>
                <w:rFonts w:eastAsia="Times New Roman"/>
                <w:sz w:val="20"/>
                <w:szCs w:val="20"/>
              </w:rPr>
            </w:pPr>
          </w:p>
        </w:tc>
        <w:tc>
          <w:tcPr>
            <w:tcW w:w="0" w:type="auto"/>
            <w:gridSpan w:val="3"/>
            <w:vAlign w:val="center"/>
            <w:hideMark/>
          </w:tcPr>
          <w:p w14:paraId="7CA53800" w14:textId="77777777" w:rsidR="00000000" w:rsidRDefault="00A173A8">
            <w:pPr>
              <w:spacing w:after="100"/>
              <w:rPr>
                <w:rFonts w:eastAsia="Times New Roman"/>
                <w:sz w:val="20"/>
                <w:szCs w:val="20"/>
              </w:rPr>
            </w:pPr>
          </w:p>
        </w:tc>
        <w:tc>
          <w:tcPr>
            <w:tcW w:w="0" w:type="auto"/>
            <w:gridSpan w:val="3"/>
            <w:vAlign w:val="center"/>
            <w:hideMark/>
          </w:tcPr>
          <w:p w14:paraId="696242FF" w14:textId="77777777" w:rsidR="00000000" w:rsidRDefault="00A173A8">
            <w:pPr>
              <w:spacing w:after="100"/>
              <w:rPr>
                <w:rFonts w:eastAsia="Times New Roman"/>
                <w:sz w:val="20"/>
                <w:szCs w:val="20"/>
              </w:rPr>
            </w:pPr>
          </w:p>
        </w:tc>
      </w:tr>
      <w:tr w:rsidR="00000000" w14:paraId="2106AA68" w14:textId="77777777">
        <w:trPr>
          <w:divId w:val="42757019"/>
        </w:trPr>
        <w:tc>
          <w:tcPr>
            <w:tcW w:w="0" w:type="auto"/>
            <w:gridSpan w:val="3"/>
            <w:vAlign w:val="center"/>
            <w:hideMark/>
          </w:tcPr>
          <w:p w14:paraId="1A1F22A6" w14:textId="77777777" w:rsidR="00000000" w:rsidRDefault="00A173A8">
            <w:pPr>
              <w:spacing w:after="100"/>
              <w:rPr>
                <w:rFonts w:eastAsia="Times New Roman"/>
                <w:sz w:val="20"/>
                <w:szCs w:val="20"/>
              </w:rPr>
            </w:pPr>
          </w:p>
        </w:tc>
        <w:tc>
          <w:tcPr>
            <w:tcW w:w="0" w:type="auto"/>
            <w:gridSpan w:val="3"/>
            <w:vAlign w:val="center"/>
            <w:hideMark/>
          </w:tcPr>
          <w:p w14:paraId="3780EB62" w14:textId="77777777" w:rsidR="00000000" w:rsidRDefault="00A173A8">
            <w:pPr>
              <w:spacing w:after="100"/>
              <w:rPr>
                <w:rFonts w:eastAsia="Times New Roman"/>
                <w:sz w:val="20"/>
                <w:szCs w:val="20"/>
              </w:rPr>
            </w:pPr>
          </w:p>
        </w:tc>
        <w:tc>
          <w:tcPr>
            <w:tcW w:w="0" w:type="auto"/>
            <w:gridSpan w:val="3"/>
            <w:vAlign w:val="center"/>
            <w:hideMark/>
          </w:tcPr>
          <w:p w14:paraId="67D2E777" w14:textId="77777777" w:rsidR="00000000" w:rsidRDefault="00A173A8">
            <w:pPr>
              <w:spacing w:after="100"/>
              <w:rPr>
                <w:rFonts w:eastAsia="Times New Roman"/>
                <w:sz w:val="20"/>
                <w:szCs w:val="20"/>
              </w:rPr>
            </w:pPr>
          </w:p>
        </w:tc>
      </w:tr>
      <w:tr w:rsidR="00000000" w14:paraId="5EECBBD5" w14:textId="77777777">
        <w:trPr>
          <w:divId w:val="42757019"/>
        </w:trPr>
        <w:tc>
          <w:tcPr>
            <w:tcW w:w="0" w:type="auto"/>
            <w:gridSpan w:val="3"/>
            <w:vAlign w:val="center"/>
            <w:hideMark/>
          </w:tcPr>
          <w:p w14:paraId="17C41A05" w14:textId="77777777" w:rsidR="00000000" w:rsidRDefault="00A173A8">
            <w:pPr>
              <w:spacing w:after="100"/>
              <w:rPr>
                <w:rFonts w:eastAsia="Times New Roman"/>
                <w:sz w:val="20"/>
                <w:szCs w:val="20"/>
              </w:rPr>
            </w:pPr>
          </w:p>
        </w:tc>
        <w:tc>
          <w:tcPr>
            <w:tcW w:w="0" w:type="auto"/>
            <w:gridSpan w:val="3"/>
            <w:vAlign w:val="center"/>
            <w:hideMark/>
          </w:tcPr>
          <w:p w14:paraId="5926FB2C" w14:textId="77777777" w:rsidR="00000000" w:rsidRDefault="00A173A8">
            <w:pPr>
              <w:spacing w:after="100"/>
              <w:rPr>
                <w:rFonts w:eastAsia="Times New Roman"/>
                <w:sz w:val="20"/>
                <w:szCs w:val="20"/>
              </w:rPr>
            </w:pPr>
          </w:p>
        </w:tc>
        <w:tc>
          <w:tcPr>
            <w:tcW w:w="0" w:type="auto"/>
            <w:gridSpan w:val="3"/>
            <w:vAlign w:val="center"/>
            <w:hideMark/>
          </w:tcPr>
          <w:p w14:paraId="477E9A28" w14:textId="77777777" w:rsidR="00000000" w:rsidRDefault="00A173A8">
            <w:pPr>
              <w:spacing w:after="100"/>
              <w:rPr>
                <w:rFonts w:eastAsia="Times New Roman"/>
                <w:sz w:val="20"/>
                <w:szCs w:val="20"/>
              </w:rPr>
            </w:pPr>
          </w:p>
        </w:tc>
      </w:tr>
      <w:tr w:rsidR="00000000" w14:paraId="428E89D2" w14:textId="77777777">
        <w:trPr>
          <w:divId w:val="42757019"/>
        </w:trPr>
        <w:tc>
          <w:tcPr>
            <w:tcW w:w="0" w:type="auto"/>
            <w:gridSpan w:val="3"/>
            <w:vAlign w:val="center"/>
            <w:hideMark/>
          </w:tcPr>
          <w:p w14:paraId="3AEEC946" w14:textId="77777777" w:rsidR="00000000" w:rsidRDefault="00A173A8">
            <w:pPr>
              <w:spacing w:after="100"/>
              <w:rPr>
                <w:rFonts w:eastAsia="Times New Roman"/>
                <w:sz w:val="20"/>
                <w:szCs w:val="20"/>
              </w:rPr>
            </w:pPr>
          </w:p>
        </w:tc>
        <w:tc>
          <w:tcPr>
            <w:tcW w:w="0" w:type="auto"/>
            <w:gridSpan w:val="3"/>
            <w:vAlign w:val="center"/>
            <w:hideMark/>
          </w:tcPr>
          <w:p w14:paraId="75AC55AC" w14:textId="77777777" w:rsidR="00000000" w:rsidRDefault="00A173A8">
            <w:pPr>
              <w:spacing w:after="100"/>
              <w:rPr>
                <w:rFonts w:eastAsia="Times New Roman"/>
                <w:sz w:val="20"/>
                <w:szCs w:val="20"/>
              </w:rPr>
            </w:pPr>
          </w:p>
        </w:tc>
        <w:tc>
          <w:tcPr>
            <w:tcW w:w="0" w:type="auto"/>
            <w:gridSpan w:val="3"/>
            <w:vAlign w:val="center"/>
            <w:hideMark/>
          </w:tcPr>
          <w:p w14:paraId="6F5FA01E" w14:textId="77777777" w:rsidR="00000000" w:rsidRDefault="00A173A8">
            <w:pPr>
              <w:spacing w:after="100"/>
              <w:rPr>
                <w:rFonts w:eastAsia="Times New Roman"/>
                <w:sz w:val="20"/>
                <w:szCs w:val="20"/>
              </w:rPr>
            </w:pPr>
          </w:p>
        </w:tc>
      </w:tr>
      <w:tr w:rsidR="00000000" w14:paraId="61EACC12" w14:textId="77777777">
        <w:trPr>
          <w:divId w:val="42757019"/>
        </w:trPr>
        <w:tc>
          <w:tcPr>
            <w:tcW w:w="0" w:type="auto"/>
            <w:gridSpan w:val="3"/>
            <w:vAlign w:val="center"/>
            <w:hideMark/>
          </w:tcPr>
          <w:p w14:paraId="714A1EEB" w14:textId="77777777" w:rsidR="00000000" w:rsidRDefault="00A173A8">
            <w:pPr>
              <w:spacing w:after="100"/>
              <w:rPr>
                <w:rFonts w:eastAsia="Times New Roman"/>
                <w:sz w:val="20"/>
                <w:szCs w:val="20"/>
              </w:rPr>
            </w:pPr>
          </w:p>
        </w:tc>
        <w:tc>
          <w:tcPr>
            <w:tcW w:w="0" w:type="auto"/>
            <w:gridSpan w:val="3"/>
            <w:vAlign w:val="center"/>
            <w:hideMark/>
          </w:tcPr>
          <w:p w14:paraId="43911136" w14:textId="77777777" w:rsidR="00000000" w:rsidRDefault="00A173A8">
            <w:pPr>
              <w:spacing w:after="100"/>
              <w:rPr>
                <w:rFonts w:eastAsia="Times New Roman"/>
                <w:sz w:val="20"/>
                <w:szCs w:val="20"/>
              </w:rPr>
            </w:pPr>
          </w:p>
        </w:tc>
        <w:tc>
          <w:tcPr>
            <w:tcW w:w="0" w:type="auto"/>
            <w:gridSpan w:val="3"/>
            <w:vAlign w:val="center"/>
            <w:hideMark/>
          </w:tcPr>
          <w:p w14:paraId="2F4E1790" w14:textId="77777777" w:rsidR="00000000" w:rsidRDefault="00A173A8">
            <w:pPr>
              <w:spacing w:after="100"/>
              <w:rPr>
                <w:rFonts w:eastAsia="Times New Roman"/>
                <w:sz w:val="20"/>
                <w:szCs w:val="20"/>
              </w:rPr>
            </w:pPr>
          </w:p>
        </w:tc>
      </w:tr>
      <w:tr w:rsidR="00000000" w14:paraId="6AD207ED" w14:textId="77777777">
        <w:trPr>
          <w:divId w:val="42757019"/>
        </w:trPr>
        <w:tc>
          <w:tcPr>
            <w:tcW w:w="0" w:type="auto"/>
            <w:gridSpan w:val="3"/>
            <w:vAlign w:val="center"/>
            <w:hideMark/>
          </w:tcPr>
          <w:p w14:paraId="07A3C9CD" w14:textId="77777777" w:rsidR="00000000" w:rsidRDefault="00A173A8">
            <w:pPr>
              <w:spacing w:after="100"/>
              <w:rPr>
                <w:rFonts w:eastAsia="Times New Roman"/>
                <w:sz w:val="20"/>
                <w:szCs w:val="20"/>
              </w:rPr>
            </w:pPr>
          </w:p>
        </w:tc>
        <w:tc>
          <w:tcPr>
            <w:tcW w:w="0" w:type="auto"/>
            <w:gridSpan w:val="3"/>
            <w:vAlign w:val="center"/>
            <w:hideMark/>
          </w:tcPr>
          <w:p w14:paraId="3181693B" w14:textId="77777777" w:rsidR="00000000" w:rsidRDefault="00A173A8">
            <w:pPr>
              <w:spacing w:after="100"/>
              <w:rPr>
                <w:rFonts w:eastAsia="Times New Roman"/>
                <w:sz w:val="20"/>
                <w:szCs w:val="20"/>
              </w:rPr>
            </w:pPr>
          </w:p>
        </w:tc>
        <w:tc>
          <w:tcPr>
            <w:tcW w:w="0" w:type="auto"/>
            <w:gridSpan w:val="3"/>
            <w:vAlign w:val="center"/>
            <w:hideMark/>
          </w:tcPr>
          <w:p w14:paraId="4CAED945" w14:textId="77777777" w:rsidR="00000000" w:rsidRDefault="00A173A8">
            <w:pPr>
              <w:spacing w:after="100"/>
              <w:rPr>
                <w:rFonts w:eastAsia="Times New Roman"/>
                <w:sz w:val="20"/>
                <w:szCs w:val="20"/>
              </w:rPr>
            </w:pPr>
          </w:p>
        </w:tc>
      </w:tr>
      <w:tr w:rsidR="00000000" w14:paraId="686899F5" w14:textId="77777777">
        <w:trPr>
          <w:divId w:val="42757019"/>
        </w:trPr>
        <w:tc>
          <w:tcPr>
            <w:tcW w:w="0" w:type="auto"/>
            <w:gridSpan w:val="3"/>
            <w:vAlign w:val="center"/>
            <w:hideMark/>
          </w:tcPr>
          <w:p w14:paraId="16870377" w14:textId="77777777" w:rsidR="00000000" w:rsidRDefault="00A173A8">
            <w:pPr>
              <w:spacing w:after="100"/>
              <w:rPr>
                <w:rFonts w:eastAsia="Times New Roman"/>
                <w:sz w:val="20"/>
                <w:szCs w:val="20"/>
              </w:rPr>
            </w:pPr>
          </w:p>
        </w:tc>
        <w:tc>
          <w:tcPr>
            <w:tcW w:w="0" w:type="auto"/>
            <w:gridSpan w:val="3"/>
            <w:vAlign w:val="center"/>
            <w:hideMark/>
          </w:tcPr>
          <w:p w14:paraId="549CA327" w14:textId="77777777" w:rsidR="00000000" w:rsidRDefault="00A173A8">
            <w:pPr>
              <w:spacing w:after="100"/>
              <w:rPr>
                <w:rFonts w:eastAsia="Times New Roman"/>
                <w:sz w:val="20"/>
                <w:szCs w:val="20"/>
              </w:rPr>
            </w:pPr>
          </w:p>
        </w:tc>
        <w:tc>
          <w:tcPr>
            <w:tcW w:w="0" w:type="auto"/>
            <w:gridSpan w:val="3"/>
            <w:vAlign w:val="center"/>
            <w:hideMark/>
          </w:tcPr>
          <w:p w14:paraId="182BEE7B" w14:textId="77777777" w:rsidR="00000000" w:rsidRDefault="00A173A8">
            <w:pPr>
              <w:spacing w:after="100"/>
              <w:rPr>
                <w:rFonts w:eastAsia="Times New Roman"/>
                <w:sz w:val="20"/>
                <w:szCs w:val="20"/>
              </w:rPr>
            </w:pPr>
          </w:p>
        </w:tc>
      </w:tr>
      <w:tr w:rsidR="00000000" w14:paraId="03A53808" w14:textId="77777777">
        <w:trPr>
          <w:divId w:val="42757019"/>
        </w:trPr>
        <w:tc>
          <w:tcPr>
            <w:tcW w:w="0" w:type="auto"/>
            <w:gridSpan w:val="3"/>
            <w:vAlign w:val="center"/>
            <w:hideMark/>
          </w:tcPr>
          <w:p w14:paraId="0FE72B77" w14:textId="77777777" w:rsidR="00000000" w:rsidRDefault="00A173A8">
            <w:pPr>
              <w:spacing w:after="100"/>
              <w:rPr>
                <w:rFonts w:eastAsia="Times New Roman"/>
                <w:sz w:val="20"/>
                <w:szCs w:val="20"/>
              </w:rPr>
            </w:pPr>
          </w:p>
        </w:tc>
        <w:tc>
          <w:tcPr>
            <w:tcW w:w="0" w:type="auto"/>
            <w:gridSpan w:val="3"/>
            <w:vAlign w:val="center"/>
            <w:hideMark/>
          </w:tcPr>
          <w:p w14:paraId="327B3771" w14:textId="77777777" w:rsidR="00000000" w:rsidRDefault="00A173A8">
            <w:pPr>
              <w:spacing w:after="100"/>
              <w:rPr>
                <w:rFonts w:eastAsia="Times New Roman"/>
                <w:sz w:val="20"/>
                <w:szCs w:val="20"/>
              </w:rPr>
            </w:pPr>
          </w:p>
        </w:tc>
        <w:tc>
          <w:tcPr>
            <w:tcW w:w="0" w:type="auto"/>
            <w:gridSpan w:val="3"/>
            <w:vAlign w:val="center"/>
            <w:hideMark/>
          </w:tcPr>
          <w:p w14:paraId="3C0AC145" w14:textId="77777777" w:rsidR="00000000" w:rsidRDefault="00A173A8">
            <w:pPr>
              <w:spacing w:after="100"/>
              <w:rPr>
                <w:rFonts w:eastAsia="Times New Roman"/>
                <w:sz w:val="20"/>
                <w:szCs w:val="20"/>
              </w:rPr>
            </w:pPr>
          </w:p>
        </w:tc>
      </w:tr>
      <w:tr w:rsidR="00000000" w14:paraId="7E2E7939" w14:textId="77777777">
        <w:trPr>
          <w:divId w:val="42757019"/>
        </w:trPr>
        <w:tc>
          <w:tcPr>
            <w:tcW w:w="0" w:type="auto"/>
            <w:gridSpan w:val="3"/>
            <w:vAlign w:val="center"/>
            <w:hideMark/>
          </w:tcPr>
          <w:p w14:paraId="746334B7" w14:textId="77777777" w:rsidR="00000000" w:rsidRDefault="00A173A8">
            <w:pPr>
              <w:spacing w:after="100"/>
              <w:rPr>
                <w:rFonts w:eastAsia="Times New Roman"/>
                <w:sz w:val="20"/>
                <w:szCs w:val="20"/>
              </w:rPr>
            </w:pPr>
          </w:p>
        </w:tc>
        <w:tc>
          <w:tcPr>
            <w:tcW w:w="0" w:type="auto"/>
            <w:gridSpan w:val="3"/>
            <w:vAlign w:val="center"/>
            <w:hideMark/>
          </w:tcPr>
          <w:p w14:paraId="1CEA37F5" w14:textId="77777777" w:rsidR="00000000" w:rsidRDefault="00A173A8">
            <w:pPr>
              <w:spacing w:after="100"/>
              <w:rPr>
                <w:rFonts w:eastAsia="Times New Roman"/>
                <w:sz w:val="20"/>
                <w:szCs w:val="20"/>
              </w:rPr>
            </w:pPr>
          </w:p>
        </w:tc>
        <w:tc>
          <w:tcPr>
            <w:tcW w:w="0" w:type="auto"/>
            <w:gridSpan w:val="3"/>
            <w:vAlign w:val="center"/>
            <w:hideMark/>
          </w:tcPr>
          <w:p w14:paraId="607185FF" w14:textId="77777777" w:rsidR="00000000" w:rsidRDefault="00A173A8">
            <w:pPr>
              <w:spacing w:after="100"/>
              <w:rPr>
                <w:rFonts w:eastAsia="Times New Roman"/>
                <w:sz w:val="20"/>
                <w:szCs w:val="20"/>
              </w:rPr>
            </w:pPr>
          </w:p>
        </w:tc>
      </w:tr>
      <w:tr w:rsidR="00000000" w14:paraId="4D1B1329" w14:textId="77777777">
        <w:trPr>
          <w:divId w:val="42757019"/>
        </w:trPr>
        <w:tc>
          <w:tcPr>
            <w:tcW w:w="0" w:type="auto"/>
            <w:gridSpan w:val="3"/>
            <w:vAlign w:val="center"/>
            <w:hideMark/>
          </w:tcPr>
          <w:p w14:paraId="57ED8DFF" w14:textId="77777777" w:rsidR="00000000" w:rsidRDefault="00A173A8">
            <w:pPr>
              <w:spacing w:after="100"/>
              <w:rPr>
                <w:rFonts w:eastAsia="Times New Roman"/>
                <w:sz w:val="20"/>
                <w:szCs w:val="20"/>
              </w:rPr>
            </w:pPr>
          </w:p>
        </w:tc>
        <w:tc>
          <w:tcPr>
            <w:tcW w:w="0" w:type="auto"/>
            <w:gridSpan w:val="3"/>
            <w:vAlign w:val="center"/>
            <w:hideMark/>
          </w:tcPr>
          <w:p w14:paraId="4F6D4714" w14:textId="77777777" w:rsidR="00000000" w:rsidRDefault="00A173A8">
            <w:pPr>
              <w:spacing w:after="100"/>
              <w:rPr>
                <w:rFonts w:eastAsia="Times New Roman"/>
                <w:sz w:val="20"/>
                <w:szCs w:val="20"/>
              </w:rPr>
            </w:pPr>
          </w:p>
        </w:tc>
        <w:tc>
          <w:tcPr>
            <w:tcW w:w="0" w:type="auto"/>
            <w:gridSpan w:val="3"/>
            <w:vAlign w:val="center"/>
            <w:hideMark/>
          </w:tcPr>
          <w:p w14:paraId="2E4CA322" w14:textId="77777777" w:rsidR="00000000" w:rsidRDefault="00A173A8">
            <w:pPr>
              <w:spacing w:after="100"/>
              <w:rPr>
                <w:rFonts w:eastAsia="Times New Roman"/>
                <w:sz w:val="20"/>
                <w:szCs w:val="20"/>
              </w:rPr>
            </w:pPr>
          </w:p>
        </w:tc>
      </w:tr>
      <w:tr w:rsidR="00000000" w14:paraId="3AFC505E" w14:textId="77777777">
        <w:trPr>
          <w:divId w:val="42757019"/>
        </w:trPr>
        <w:tc>
          <w:tcPr>
            <w:tcW w:w="0" w:type="auto"/>
            <w:gridSpan w:val="3"/>
            <w:vAlign w:val="center"/>
            <w:hideMark/>
          </w:tcPr>
          <w:p w14:paraId="22BAF47F" w14:textId="77777777" w:rsidR="00000000" w:rsidRDefault="00A173A8">
            <w:pPr>
              <w:spacing w:after="100"/>
              <w:rPr>
                <w:rFonts w:eastAsia="Times New Roman"/>
                <w:sz w:val="20"/>
                <w:szCs w:val="20"/>
              </w:rPr>
            </w:pPr>
          </w:p>
        </w:tc>
        <w:tc>
          <w:tcPr>
            <w:tcW w:w="0" w:type="auto"/>
            <w:gridSpan w:val="3"/>
            <w:vAlign w:val="center"/>
            <w:hideMark/>
          </w:tcPr>
          <w:p w14:paraId="7942757D" w14:textId="77777777" w:rsidR="00000000" w:rsidRDefault="00A173A8">
            <w:pPr>
              <w:spacing w:after="100"/>
              <w:rPr>
                <w:rFonts w:eastAsia="Times New Roman"/>
                <w:sz w:val="20"/>
                <w:szCs w:val="20"/>
              </w:rPr>
            </w:pPr>
          </w:p>
        </w:tc>
        <w:tc>
          <w:tcPr>
            <w:tcW w:w="0" w:type="auto"/>
            <w:gridSpan w:val="3"/>
            <w:vAlign w:val="center"/>
            <w:hideMark/>
          </w:tcPr>
          <w:p w14:paraId="05A235F3" w14:textId="77777777" w:rsidR="00000000" w:rsidRDefault="00A173A8">
            <w:pPr>
              <w:spacing w:after="100"/>
              <w:rPr>
                <w:rFonts w:eastAsia="Times New Roman"/>
                <w:sz w:val="20"/>
                <w:szCs w:val="20"/>
              </w:rPr>
            </w:pPr>
          </w:p>
        </w:tc>
      </w:tr>
      <w:tr w:rsidR="00000000" w14:paraId="2A7EAA4A" w14:textId="77777777">
        <w:trPr>
          <w:divId w:val="42757019"/>
        </w:trPr>
        <w:tc>
          <w:tcPr>
            <w:tcW w:w="0" w:type="auto"/>
            <w:gridSpan w:val="3"/>
            <w:vAlign w:val="center"/>
            <w:hideMark/>
          </w:tcPr>
          <w:p w14:paraId="7CA3FC9D" w14:textId="77777777" w:rsidR="00000000" w:rsidRDefault="00A173A8">
            <w:pPr>
              <w:spacing w:after="100"/>
              <w:rPr>
                <w:rFonts w:eastAsia="Times New Roman"/>
                <w:sz w:val="20"/>
                <w:szCs w:val="20"/>
              </w:rPr>
            </w:pPr>
          </w:p>
        </w:tc>
        <w:tc>
          <w:tcPr>
            <w:tcW w:w="0" w:type="auto"/>
            <w:gridSpan w:val="3"/>
            <w:vAlign w:val="center"/>
            <w:hideMark/>
          </w:tcPr>
          <w:p w14:paraId="3A1F0467" w14:textId="77777777" w:rsidR="00000000" w:rsidRDefault="00A173A8">
            <w:pPr>
              <w:spacing w:after="100"/>
              <w:rPr>
                <w:rFonts w:eastAsia="Times New Roman"/>
                <w:sz w:val="20"/>
                <w:szCs w:val="20"/>
              </w:rPr>
            </w:pPr>
          </w:p>
        </w:tc>
        <w:tc>
          <w:tcPr>
            <w:tcW w:w="0" w:type="auto"/>
            <w:gridSpan w:val="3"/>
            <w:vAlign w:val="center"/>
            <w:hideMark/>
          </w:tcPr>
          <w:p w14:paraId="52F8B683" w14:textId="77777777" w:rsidR="00000000" w:rsidRDefault="00A173A8">
            <w:pPr>
              <w:spacing w:after="100"/>
              <w:rPr>
                <w:rFonts w:eastAsia="Times New Roman"/>
                <w:sz w:val="20"/>
                <w:szCs w:val="20"/>
              </w:rPr>
            </w:pPr>
          </w:p>
        </w:tc>
      </w:tr>
      <w:tr w:rsidR="00000000" w14:paraId="49881D87" w14:textId="77777777">
        <w:trPr>
          <w:divId w:val="42757019"/>
        </w:trPr>
        <w:tc>
          <w:tcPr>
            <w:tcW w:w="0" w:type="auto"/>
            <w:gridSpan w:val="3"/>
            <w:vAlign w:val="center"/>
            <w:hideMark/>
          </w:tcPr>
          <w:p w14:paraId="5857A589" w14:textId="77777777" w:rsidR="00000000" w:rsidRDefault="00A173A8">
            <w:pPr>
              <w:spacing w:after="100"/>
              <w:rPr>
                <w:rFonts w:eastAsia="Times New Roman"/>
                <w:sz w:val="20"/>
                <w:szCs w:val="20"/>
              </w:rPr>
            </w:pPr>
          </w:p>
        </w:tc>
        <w:tc>
          <w:tcPr>
            <w:tcW w:w="0" w:type="auto"/>
            <w:gridSpan w:val="3"/>
            <w:vAlign w:val="center"/>
            <w:hideMark/>
          </w:tcPr>
          <w:p w14:paraId="35764BA4" w14:textId="77777777" w:rsidR="00000000" w:rsidRDefault="00A173A8">
            <w:pPr>
              <w:spacing w:after="100"/>
              <w:rPr>
                <w:rFonts w:eastAsia="Times New Roman"/>
                <w:sz w:val="20"/>
                <w:szCs w:val="20"/>
              </w:rPr>
            </w:pPr>
          </w:p>
        </w:tc>
        <w:tc>
          <w:tcPr>
            <w:tcW w:w="0" w:type="auto"/>
            <w:gridSpan w:val="3"/>
            <w:vAlign w:val="center"/>
            <w:hideMark/>
          </w:tcPr>
          <w:p w14:paraId="1640A860" w14:textId="77777777" w:rsidR="00000000" w:rsidRDefault="00A173A8">
            <w:pPr>
              <w:spacing w:after="100"/>
              <w:rPr>
                <w:rFonts w:eastAsia="Times New Roman"/>
                <w:sz w:val="20"/>
                <w:szCs w:val="20"/>
              </w:rPr>
            </w:pPr>
          </w:p>
        </w:tc>
      </w:tr>
      <w:tr w:rsidR="00000000" w14:paraId="0C020B1E" w14:textId="77777777">
        <w:trPr>
          <w:divId w:val="42757019"/>
        </w:trPr>
        <w:tc>
          <w:tcPr>
            <w:tcW w:w="0" w:type="auto"/>
            <w:gridSpan w:val="3"/>
            <w:vAlign w:val="center"/>
            <w:hideMark/>
          </w:tcPr>
          <w:p w14:paraId="05E195CB" w14:textId="77777777" w:rsidR="00000000" w:rsidRDefault="00A173A8">
            <w:pPr>
              <w:spacing w:after="100"/>
              <w:rPr>
                <w:rFonts w:eastAsia="Times New Roman"/>
                <w:sz w:val="20"/>
                <w:szCs w:val="20"/>
              </w:rPr>
            </w:pPr>
          </w:p>
        </w:tc>
        <w:tc>
          <w:tcPr>
            <w:tcW w:w="0" w:type="auto"/>
            <w:gridSpan w:val="3"/>
            <w:vAlign w:val="center"/>
            <w:hideMark/>
          </w:tcPr>
          <w:p w14:paraId="3A3C46BE" w14:textId="77777777" w:rsidR="00000000" w:rsidRDefault="00A173A8">
            <w:pPr>
              <w:spacing w:after="100"/>
              <w:rPr>
                <w:rFonts w:eastAsia="Times New Roman"/>
                <w:sz w:val="20"/>
                <w:szCs w:val="20"/>
              </w:rPr>
            </w:pPr>
          </w:p>
        </w:tc>
        <w:tc>
          <w:tcPr>
            <w:tcW w:w="0" w:type="auto"/>
            <w:gridSpan w:val="3"/>
            <w:vAlign w:val="center"/>
            <w:hideMark/>
          </w:tcPr>
          <w:p w14:paraId="3572B121" w14:textId="77777777" w:rsidR="00000000" w:rsidRDefault="00A173A8">
            <w:pPr>
              <w:spacing w:after="100"/>
              <w:rPr>
                <w:rFonts w:eastAsia="Times New Roman"/>
                <w:sz w:val="20"/>
                <w:szCs w:val="20"/>
              </w:rPr>
            </w:pPr>
          </w:p>
        </w:tc>
      </w:tr>
      <w:tr w:rsidR="00000000" w14:paraId="6D8DEB3F" w14:textId="77777777">
        <w:trPr>
          <w:divId w:val="42757019"/>
        </w:trPr>
        <w:tc>
          <w:tcPr>
            <w:tcW w:w="0" w:type="auto"/>
            <w:gridSpan w:val="3"/>
            <w:vAlign w:val="center"/>
            <w:hideMark/>
          </w:tcPr>
          <w:p w14:paraId="4571465B" w14:textId="77777777" w:rsidR="00000000" w:rsidRDefault="00A173A8">
            <w:pPr>
              <w:spacing w:after="100"/>
              <w:rPr>
                <w:rFonts w:eastAsia="Times New Roman"/>
                <w:sz w:val="20"/>
                <w:szCs w:val="20"/>
              </w:rPr>
            </w:pPr>
          </w:p>
        </w:tc>
        <w:tc>
          <w:tcPr>
            <w:tcW w:w="0" w:type="auto"/>
            <w:gridSpan w:val="3"/>
            <w:vAlign w:val="center"/>
            <w:hideMark/>
          </w:tcPr>
          <w:p w14:paraId="25A4DD56" w14:textId="77777777" w:rsidR="00000000" w:rsidRDefault="00A173A8">
            <w:pPr>
              <w:spacing w:after="100"/>
              <w:rPr>
                <w:rFonts w:eastAsia="Times New Roman"/>
                <w:sz w:val="20"/>
                <w:szCs w:val="20"/>
              </w:rPr>
            </w:pPr>
          </w:p>
        </w:tc>
        <w:tc>
          <w:tcPr>
            <w:tcW w:w="0" w:type="auto"/>
            <w:gridSpan w:val="3"/>
            <w:vAlign w:val="center"/>
            <w:hideMark/>
          </w:tcPr>
          <w:p w14:paraId="40CC02A3" w14:textId="77777777" w:rsidR="00000000" w:rsidRDefault="00A173A8">
            <w:pPr>
              <w:spacing w:after="100"/>
              <w:rPr>
                <w:rFonts w:eastAsia="Times New Roman"/>
                <w:sz w:val="20"/>
                <w:szCs w:val="20"/>
              </w:rPr>
            </w:pPr>
          </w:p>
        </w:tc>
      </w:tr>
      <w:tr w:rsidR="00000000" w14:paraId="11E44684" w14:textId="77777777">
        <w:trPr>
          <w:divId w:val="42757019"/>
        </w:trPr>
        <w:tc>
          <w:tcPr>
            <w:tcW w:w="0" w:type="auto"/>
            <w:gridSpan w:val="3"/>
            <w:vAlign w:val="center"/>
            <w:hideMark/>
          </w:tcPr>
          <w:p w14:paraId="7886CD63" w14:textId="77777777" w:rsidR="00000000" w:rsidRDefault="00A173A8">
            <w:pPr>
              <w:spacing w:after="100"/>
              <w:rPr>
                <w:rFonts w:eastAsia="Times New Roman"/>
                <w:sz w:val="20"/>
                <w:szCs w:val="20"/>
              </w:rPr>
            </w:pPr>
          </w:p>
        </w:tc>
        <w:tc>
          <w:tcPr>
            <w:tcW w:w="0" w:type="auto"/>
            <w:gridSpan w:val="3"/>
            <w:vAlign w:val="center"/>
            <w:hideMark/>
          </w:tcPr>
          <w:p w14:paraId="668258C2" w14:textId="77777777" w:rsidR="00000000" w:rsidRDefault="00A173A8">
            <w:pPr>
              <w:spacing w:after="100"/>
              <w:rPr>
                <w:rFonts w:eastAsia="Times New Roman"/>
                <w:sz w:val="20"/>
                <w:szCs w:val="20"/>
              </w:rPr>
            </w:pPr>
          </w:p>
        </w:tc>
        <w:tc>
          <w:tcPr>
            <w:tcW w:w="0" w:type="auto"/>
            <w:gridSpan w:val="3"/>
            <w:vAlign w:val="center"/>
            <w:hideMark/>
          </w:tcPr>
          <w:p w14:paraId="3193E5D1" w14:textId="77777777" w:rsidR="00000000" w:rsidRDefault="00A173A8">
            <w:pPr>
              <w:spacing w:after="100"/>
              <w:rPr>
                <w:rFonts w:eastAsia="Times New Roman"/>
                <w:sz w:val="20"/>
                <w:szCs w:val="20"/>
              </w:rPr>
            </w:pPr>
          </w:p>
        </w:tc>
      </w:tr>
      <w:tr w:rsidR="00000000" w14:paraId="46FD0A1F" w14:textId="77777777">
        <w:trPr>
          <w:divId w:val="42757019"/>
        </w:trPr>
        <w:tc>
          <w:tcPr>
            <w:tcW w:w="0" w:type="auto"/>
            <w:gridSpan w:val="3"/>
            <w:vAlign w:val="center"/>
            <w:hideMark/>
          </w:tcPr>
          <w:p w14:paraId="7D71E348" w14:textId="77777777" w:rsidR="00000000" w:rsidRDefault="00A173A8">
            <w:pPr>
              <w:spacing w:after="100"/>
              <w:rPr>
                <w:rFonts w:eastAsia="Times New Roman"/>
                <w:sz w:val="20"/>
                <w:szCs w:val="20"/>
              </w:rPr>
            </w:pPr>
          </w:p>
        </w:tc>
        <w:tc>
          <w:tcPr>
            <w:tcW w:w="0" w:type="auto"/>
            <w:gridSpan w:val="3"/>
            <w:vAlign w:val="center"/>
            <w:hideMark/>
          </w:tcPr>
          <w:p w14:paraId="15293D3E" w14:textId="77777777" w:rsidR="00000000" w:rsidRDefault="00A173A8">
            <w:pPr>
              <w:spacing w:after="100"/>
              <w:rPr>
                <w:rFonts w:eastAsia="Times New Roman"/>
                <w:sz w:val="20"/>
                <w:szCs w:val="20"/>
              </w:rPr>
            </w:pPr>
          </w:p>
        </w:tc>
        <w:tc>
          <w:tcPr>
            <w:tcW w:w="0" w:type="auto"/>
            <w:gridSpan w:val="3"/>
            <w:vAlign w:val="center"/>
            <w:hideMark/>
          </w:tcPr>
          <w:p w14:paraId="6A1F1F34" w14:textId="77777777" w:rsidR="00000000" w:rsidRDefault="00A173A8">
            <w:pPr>
              <w:spacing w:after="100"/>
              <w:rPr>
                <w:rFonts w:eastAsia="Times New Roman"/>
                <w:sz w:val="20"/>
                <w:szCs w:val="20"/>
              </w:rPr>
            </w:pPr>
          </w:p>
        </w:tc>
      </w:tr>
      <w:tr w:rsidR="00000000" w14:paraId="154BE1BD" w14:textId="77777777">
        <w:trPr>
          <w:divId w:val="42757019"/>
        </w:trPr>
        <w:tc>
          <w:tcPr>
            <w:tcW w:w="0" w:type="auto"/>
            <w:gridSpan w:val="3"/>
            <w:vAlign w:val="center"/>
            <w:hideMark/>
          </w:tcPr>
          <w:p w14:paraId="747A273E" w14:textId="77777777" w:rsidR="00000000" w:rsidRDefault="00A173A8">
            <w:pPr>
              <w:spacing w:after="100"/>
              <w:rPr>
                <w:rFonts w:eastAsia="Times New Roman"/>
                <w:sz w:val="20"/>
                <w:szCs w:val="20"/>
              </w:rPr>
            </w:pPr>
          </w:p>
        </w:tc>
        <w:tc>
          <w:tcPr>
            <w:tcW w:w="0" w:type="auto"/>
            <w:gridSpan w:val="3"/>
            <w:vAlign w:val="center"/>
            <w:hideMark/>
          </w:tcPr>
          <w:p w14:paraId="0D406984" w14:textId="77777777" w:rsidR="00000000" w:rsidRDefault="00A173A8">
            <w:pPr>
              <w:spacing w:after="100"/>
              <w:rPr>
                <w:rFonts w:eastAsia="Times New Roman"/>
                <w:sz w:val="20"/>
                <w:szCs w:val="20"/>
              </w:rPr>
            </w:pPr>
          </w:p>
        </w:tc>
        <w:tc>
          <w:tcPr>
            <w:tcW w:w="0" w:type="auto"/>
            <w:gridSpan w:val="3"/>
            <w:vAlign w:val="center"/>
            <w:hideMark/>
          </w:tcPr>
          <w:p w14:paraId="7B1CA752" w14:textId="77777777" w:rsidR="00000000" w:rsidRDefault="00A173A8">
            <w:pPr>
              <w:spacing w:after="100"/>
              <w:rPr>
                <w:rFonts w:eastAsia="Times New Roman"/>
                <w:sz w:val="20"/>
                <w:szCs w:val="20"/>
              </w:rPr>
            </w:pPr>
          </w:p>
        </w:tc>
      </w:tr>
      <w:tr w:rsidR="00000000" w14:paraId="60C9EEA3" w14:textId="77777777">
        <w:trPr>
          <w:divId w:val="42757019"/>
        </w:trPr>
        <w:tc>
          <w:tcPr>
            <w:tcW w:w="0" w:type="auto"/>
            <w:gridSpan w:val="3"/>
            <w:vAlign w:val="center"/>
            <w:hideMark/>
          </w:tcPr>
          <w:p w14:paraId="1B1FC756" w14:textId="77777777" w:rsidR="00000000" w:rsidRDefault="00A173A8">
            <w:pPr>
              <w:spacing w:after="100"/>
              <w:rPr>
                <w:rFonts w:eastAsia="Times New Roman"/>
                <w:sz w:val="20"/>
                <w:szCs w:val="20"/>
              </w:rPr>
            </w:pPr>
          </w:p>
        </w:tc>
        <w:tc>
          <w:tcPr>
            <w:tcW w:w="0" w:type="auto"/>
            <w:gridSpan w:val="3"/>
            <w:vAlign w:val="center"/>
            <w:hideMark/>
          </w:tcPr>
          <w:p w14:paraId="2D2EE025" w14:textId="77777777" w:rsidR="00000000" w:rsidRDefault="00A173A8">
            <w:pPr>
              <w:spacing w:after="100"/>
              <w:rPr>
                <w:rFonts w:eastAsia="Times New Roman"/>
                <w:sz w:val="20"/>
                <w:szCs w:val="20"/>
              </w:rPr>
            </w:pPr>
          </w:p>
        </w:tc>
        <w:tc>
          <w:tcPr>
            <w:tcW w:w="0" w:type="auto"/>
            <w:gridSpan w:val="3"/>
            <w:vAlign w:val="center"/>
            <w:hideMark/>
          </w:tcPr>
          <w:p w14:paraId="7A59C43A" w14:textId="77777777" w:rsidR="00000000" w:rsidRDefault="00A173A8">
            <w:pPr>
              <w:spacing w:after="100"/>
              <w:rPr>
                <w:rFonts w:eastAsia="Times New Roman"/>
                <w:sz w:val="20"/>
                <w:szCs w:val="20"/>
              </w:rPr>
            </w:pPr>
          </w:p>
        </w:tc>
      </w:tr>
      <w:tr w:rsidR="00000000" w14:paraId="78B0CFF8" w14:textId="77777777">
        <w:trPr>
          <w:divId w:val="42757019"/>
        </w:trPr>
        <w:tc>
          <w:tcPr>
            <w:tcW w:w="0" w:type="auto"/>
            <w:gridSpan w:val="3"/>
            <w:vAlign w:val="center"/>
            <w:hideMark/>
          </w:tcPr>
          <w:p w14:paraId="3DD4CFF0" w14:textId="77777777" w:rsidR="00000000" w:rsidRDefault="00A173A8">
            <w:pPr>
              <w:spacing w:after="100"/>
              <w:rPr>
                <w:rFonts w:eastAsia="Times New Roman"/>
                <w:sz w:val="20"/>
                <w:szCs w:val="20"/>
              </w:rPr>
            </w:pPr>
          </w:p>
        </w:tc>
        <w:tc>
          <w:tcPr>
            <w:tcW w:w="0" w:type="auto"/>
            <w:gridSpan w:val="3"/>
            <w:vAlign w:val="center"/>
            <w:hideMark/>
          </w:tcPr>
          <w:p w14:paraId="2839F32B" w14:textId="77777777" w:rsidR="00000000" w:rsidRDefault="00A173A8">
            <w:pPr>
              <w:spacing w:after="100"/>
              <w:rPr>
                <w:rFonts w:eastAsia="Times New Roman"/>
                <w:sz w:val="20"/>
                <w:szCs w:val="20"/>
              </w:rPr>
            </w:pPr>
          </w:p>
        </w:tc>
        <w:tc>
          <w:tcPr>
            <w:tcW w:w="0" w:type="auto"/>
            <w:gridSpan w:val="3"/>
            <w:vAlign w:val="center"/>
            <w:hideMark/>
          </w:tcPr>
          <w:p w14:paraId="52328F50" w14:textId="77777777" w:rsidR="00000000" w:rsidRDefault="00A173A8">
            <w:pPr>
              <w:spacing w:after="100"/>
              <w:rPr>
                <w:rFonts w:eastAsia="Times New Roman"/>
                <w:sz w:val="20"/>
                <w:szCs w:val="20"/>
              </w:rPr>
            </w:pPr>
          </w:p>
        </w:tc>
      </w:tr>
      <w:tr w:rsidR="00000000" w14:paraId="296FA412" w14:textId="77777777">
        <w:trPr>
          <w:divId w:val="42757019"/>
        </w:trPr>
        <w:tc>
          <w:tcPr>
            <w:tcW w:w="0" w:type="auto"/>
            <w:gridSpan w:val="3"/>
            <w:vAlign w:val="center"/>
            <w:hideMark/>
          </w:tcPr>
          <w:p w14:paraId="32274A1E" w14:textId="77777777" w:rsidR="00000000" w:rsidRDefault="00A173A8">
            <w:pPr>
              <w:spacing w:after="100"/>
              <w:rPr>
                <w:rFonts w:eastAsia="Times New Roman"/>
                <w:sz w:val="20"/>
                <w:szCs w:val="20"/>
              </w:rPr>
            </w:pPr>
          </w:p>
        </w:tc>
        <w:tc>
          <w:tcPr>
            <w:tcW w:w="0" w:type="auto"/>
            <w:gridSpan w:val="3"/>
            <w:vAlign w:val="center"/>
            <w:hideMark/>
          </w:tcPr>
          <w:p w14:paraId="28531F77" w14:textId="77777777" w:rsidR="00000000" w:rsidRDefault="00A173A8">
            <w:pPr>
              <w:spacing w:after="100"/>
              <w:rPr>
                <w:rFonts w:eastAsia="Times New Roman"/>
                <w:sz w:val="20"/>
                <w:szCs w:val="20"/>
              </w:rPr>
            </w:pPr>
          </w:p>
        </w:tc>
        <w:tc>
          <w:tcPr>
            <w:tcW w:w="0" w:type="auto"/>
            <w:gridSpan w:val="3"/>
            <w:vAlign w:val="center"/>
            <w:hideMark/>
          </w:tcPr>
          <w:p w14:paraId="17EAE569" w14:textId="77777777" w:rsidR="00000000" w:rsidRDefault="00A173A8">
            <w:pPr>
              <w:spacing w:after="100"/>
              <w:rPr>
                <w:rFonts w:eastAsia="Times New Roman"/>
                <w:sz w:val="20"/>
                <w:szCs w:val="20"/>
              </w:rPr>
            </w:pPr>
          </w:p>
        </w:tc>
      </w:tr>
      <w:tr w:rsidR="00000000" w14:paraId="5A5D1C7B" w14:textId="77777777">
        <w:trPr>
          <w:divId w:val="42757019"/>
        </w:trPr>
        <w:tc>
          <w:tcPr>
            <w:tcW w:w="0" w:type="auto"/>
            <w:gridSpan w:val="3"/>
            <w:vAlign w:val="center"/>
            <w:hideMark/>
          </w:tcPr>
          <w:p w14:paraId="3AF5FF7C" w14:textId="77777777" w:rsidR="00000000" w:rsidRDefault="00A173A8">
            <w:pPr>
              <w:spacing w:after="100"/>
              <w:rPr>
                <w:rFonts w:eastAsia="Times New Roman"/>
                <w:sz w:val="20"/>
                <w:szCs w:val="20"/>
              </w:rPr>
            </w:pPr>
          </w:p>
        </w:tc>
        <w:tc>
          <w:tcPr>
            <w:tcW w:w="0" w:type="auto"/>
            <w:gridSpan w:val="3"/>
            <w:vAlign w:val="center"/>
            <w:hideMark/>
          </w:tcPr>
          <w:p w14:paraId="0A5713B0" w14:textId="77777777" w:rsidR="00000000" w:rsidRDefault="00A173A8">
            <w:pPr>
              <w:spacing w:after="100"/>
              <w:rPr>
                <w:rFonts w:eastAsia="Times New Roman"/>
                <w:sz w:val="20"/>
                <w:szCs w:val="20"/>
              </w:rPr>
            </w:pPr>
          </w:p>
        </w:tc>
        <w:tc>
          <w:tcPr>
            <w:tcW w:w="0" w:type="auto"/>
            <w:gridSpan w:val="3"/>
            <w:vAlign w:val="center"/>
            <w:hideMark/>
          </w:tcPr>
          <w:p w14:paraId="499B0008" w14:textId="77777777" w:rsidR="00000000" w:rsidRDefault="00A173A8">
            <w:pPr>
              <w:spacing w:after="100"/>
              <w:rPr>
                <w:rFonts w:eastAsia="Times New Roman"/>
                <w:sz w:val="20"/>
                <w:szCs w:val="20"/>
              </w:rPr>
            </w:pPr>
          </w:p>
        </w:tc>
      </w:tr>
      <w:tr w:rsidR="00000000" w14:paraId="25BD3B1F" w14:textId="77777777">
        <w:trPr>
          <w:divId w:val="42757019"/>
        </w:trPr>
        <w:tc>
          <w:tcPr>
            <w:tcW w:w="0" w:type="auto"/>
            <w:gridSpan w:val="3"/>
            <w:vAlign w:val="center"/>
            <w:hideMark/>
          </w:tcPr>
          <w:p w14:paraId="411A71E6" w14:textId="77777777" w:rsidR="00000000" w:rsidRDefault="00A173A8">
            <w:pPr>
              <w:spacing w:after="100"/>
              <w:rPr>
                <w:rFonts w:eastAsia="Times New Roman"/>
                <w:sz w:val="20"/>
                <w:szCs w:val="20"/>
              </w:rPr>
            </w:pPr>
          </w:p>
        </w:tc>
        <w:tc>
          <w:tcPr>
            <w:tcW w:w="0" w:type="auto"/>
            <w:gridSpan w:val="3"/>
            <w:vAlign w:val="center"/>
            <w:hideMark/>
          </w:tcPr>
          <w:p w14:paraId="2E906EE1" w14:textId="77777777" w:rsidR="00000000" w:rsidRDefault="00A173A8">
            <w:pPr>
              <w:spacing w:after="100"/>
              <w:rPr>
                <w:rFonts w:eastAsia="Times New Roman"/>
                <w:sz w:val="20"/>
                <w:szCs w:val="20"/>
              </w:rPr>
            </w:pPr>
          </w:p>
        </w:tc>
        <w:tc>
          <w:tcPr>
            <w:tcW w:w="0" w:type="auto"/>
            <w:gridSpan w:val="3"/>
            <w:vAlign w:val="center"/>
            <w:hideMark/>
          </w:tcPr>
          <w:p w14:paraId="75FA7DE9" w14:textId="77777777" w:rsidR="00000000" w:rsidRDefault="00A173A8">
            <w:pPr>
              <w:spacing w:after="100"/>
              <w:rPr>
                <w:rFonts w:eastAsia="Times New Roman"/>
                <w:sz w:val="20"/>
                <w:szCs w:val="20"/>
              </w:rPr>
            </w:pPr>
          </w:p>
        </w:tc>
      </w:tr>
      <w:tr w:rsidR="00000000" w14:paraId="5438C24B" w14:textId="77777777">
        <w:trPr>
          <w:divId w:val="42757019"/>
        </w:trPr>
        <w:tc>
          <w:tcPr>
            <w:tcW w:w="0" w:type="auto"/>
            <w:gridSpan w:val="3"/>
            <w:vAlign w:val="center"/>
            <w:hideMark/>
          </w:tcPr>
          <w:p w14:paraId="6791E841" w14:textId="77777777" w:rsidR="00000000" w:rsidRDefault="00A173A8">
            <w:pPr>
              <w:spacing w:after="100"/>
              <w:rPr>
                <w:rFonts w:eastAsia="Times New Roman"/>
                <w:sz w:val="20"/>
                <w:szCs w:val="20"/>
              </w:rPr>
            </w:pPr>
          </w:p>
        </w:tc>
        <w:tc>
          <w:tcPr>
            <w:tcW w:w="0" w:type="auto"/>
            <w:gridSpan w:val="3"/>
            <w:vAlign w:val="center"/>
            <w:hideMark/>
          </w:tcPr>
          <w:p w14:paraId="6387F734" w14:textId="77777777" w:rsidR="00000000" w:rsidRDefault="00A173A8">
            <w:pPr>
              <w:spacing w:after="100"/>
              <w:rPr>
                <w:rFonts w:eastAsia="Times New Roman"/>
                <w:sz w:val="20"/>
                <w:szCs w:val="20"/>
              </w:rPr>
            </w:pPr>
          </w:p>
        </w:tc>
        <w:tc>
          <w:tcPr>
            <w:tcW w:w="0" w:type="auto"/>
            <w:gridSpan w:val="3"/>
            <w:vAlign w:val="center"/>
            <w:hideMark/>
          </w:tcPr>
          <w:p w14:paraId="72236DD0" w14:textId="77777777" w:rsidR="00000000" w:rsidRDefault="00A173A8">
            <w:pPr>
              <w:spacing w:after="100"/>
              <w:rPr>
                <w:rFonts w:eastAsia="Times New Roman"/>
                <w:sz w:val="20"/>
                <w:szCs w:val="20"/>
              </w:rPr>
            </w:pPr>
          </w:p>
        </w:tc>
      </w:tr>
      <w:tr w:rsidR="00000000" w14:paraId="4034ABF1" w14:textId="77777777">
        <w:trPr>
          <w:divId w:val="42757019"/>
        </w:trPr>
        <w:tc>
          <w:tcPr>
            <w:tcW w:w="0" w:type="auto"/>
            <w:gridSpan w:val="3"/>
            <w:vAlign w:val="center"/>
            <w:hideMark/>
          </w:tcPr>
          <w:p w14:paraId="2082894B" w14:textId="77777777" w:rsidR="00000000" w:rsidRDefault="00A173A8">
            <w:pPr>
              <w:spacing w:after="100"/>
              <w:rPr>
                <w:rFonts w:eastAsia="Times New Roman"/>
                <w:sz w:val="20"/>
                <w:szCs w:val="20"/>
              </w:rPr>
            </w:pPr>
          </w:p>
        </w:tc>
        <w:tc>
          <w:tcPr>
            <w:tcW w:w="0" w:type="auto"/>
            <w:gridSpan w:val="3"/>
            <w:vAlign w:val="center"/>
            <w:hideMark/>
          </w:tcPr>
          <w:p w14:paraId="4AD9D81D" w14:textId="77777777" w:rsidR="00000000" w:rsidRDefault="00A173A8">
            <w:pPr>
              <w:spacing w:after="100"/>
              <w:rPr>
                <w:rFonts w:eastAsia="Times New Roman"/>
                <w:sz w:val="20"/>
                <w:szCs w:val="20"/>
              </w:rPr>
            </w:pPr>
          </w:p>
        </w:tc>
        <w:tc>
          <w:tcPr>
            <w:tcW w:w="0" w:type="auto"/>
            <w:gridSpan w:val="3"/>
            <w:vAlign w:val="center"/>
            <w:hideMark/>
          </w:tcPr>
          <w:p w14:paraId="2244B085" w14:textId="77777777" w:rsidR="00000000" w:rsidRDefault="00A173A8">
            <w:pPr>
              <w:spacing w:after="100"/>
              <w:rPr>
                <w:rFonts w:eastAsia="Times New Roman"/>
                <w:sz w:val="20"/>
                <w:szCs w:val="20"/>
              </w:rPr>
            </w:pPr>
          </w:p>
        </w:tc>
      </w:tr>
      <w:tr w:rsidR="00000000" w14:paraId="620D9E35" w14:textId="77777777">
        <w:trPr>
          <w:divId w:val="42757019"/>
        </w:trPr>
        <w:tc>
          <w:tcPr>
            <w:tcW w:w="0" w:type="auto"/>
            <w:gridSpan w:val="3"/>
            <w:vAlign w:val="center"/>
            <w:hideMark/>
          </w:tcPr>
          <w:p w14:paraId="3FB51D49" w14:textId="77777777" w:rsidR="00000000" w:rsidRDefault="00A173A8">
            <w:pPr>
              <w:spacing w:after="100"/>
              <w:rPr>
                <w:rFonts w:eastAsia="Times New Roman"/>
                <w:sz w:val="20"/>
                <w:szCs w:val="20"/>
              </w:rPr>
            </w:pPr>
          </w:p>
        </w:tc>
        <w:tc>
          <w:tcPr>
            <w:tcW w:w="0" w:type="auto"/>
            <w:gridSpan w:val="3"/>
            <w:vAlign w:val="center"/>
            <w:hideMark/>
          </w:tcPr>
          <w:p w14:paraId="2231401B" w14:textId="77777777" w:rsidR="00000000" w:rsidRDefault="00A173A8">
            <w:pPr>
              <w:spacing w:after="100"/>
              <w:rPr>
                <w:rFonts w:eastAsia="Times New Roman"/>
                <w:sz w:val="20"/>
                <w:szCs w:val="20"/>
              </w:rPr>
            </w:pPr>
          </w:p>
        </w:tc>
        <w:tc>
          <w:tcPr>
            <w:tcW w:w="0" w:type="auto"/>
            <w:gridSpan w:val="3"/>
            <w:vAlign w:val="center"/>
            <w:hideMark/>
          </w:tcPr>
          <w:p w14:paraId="56750354" w14:textId="77777777" w:rsidR="00000000" w:rsidRDefault="00A173A8">
            <w:pPr>
              <w:spacing w:after="100"/>
              <w:rPr>
                <w:rFonts w:eastAsia="Times New Roman"/>
                <w:sz w:val="20"/>
                <w:szCs w:val="20"/>
              </w:rPr>
            </w:pPr>
          </w:p>
        </w:tc>
      </w:tr>
      <w:tr w:rsidR="00000000" w14:paraId="2556049D" w14:textId="77777777">
        <w:trPr>
          <w:divId w:val="42757019"/>
        </w:trPr>
        <w:tc>
          <w:tcPr>
            <w:tcW w:w="0" w:type="auto"/>
            <w:gridSpan w:val="3"/>
            <w:vAlign w:val="center"/>
            <w:hideMark/>
          </w:tcPr>
          <w:p w14:paraId="3F7B3849" w14:textId="77777777" w:rsidR="00000000" w:rsidRDefault="00A173A8">
            <w:pPr>
              <w:spacing w:after="100"/>
              <w:rPr>
                <w:rFonts w:eastAsia="Times New Roman"/>
                <w:sz w:val="20"/>
                <w:szCs w:val="20"/>
              </w:rPr>
            </w:pPr>
          </w:p>
        </w:tc>
        <w:tc>
          <w:tcPr>
            <w:tcW w:w="0" w:type="auto"/>
            <w:gridSpan w:val="3"/>
            <w:vAlign w:val="center"/>
            <w:hideMark/>
          </w:tcPr>
          <w:p w14:paraId="752B2AF9" w14:textId="77777777" w:rsidR="00000000" w:rsidRDefault="00A173A8">
            <w:pPr>
              <w:spacing w:after="100"/>
              <w:rPr>
                <w:rFonts w:eastAsia="Times New Roman"/>
                <w:sz w:val="20"/>
                <w:szCs w:val="20"/>
              </w:rPr>
            </w:pPr>
          </w:p>
        </w:tc>
        <w:tc>
          <w:tcPr>
            <w:tcW w:w="0" w:type="auto"/>
            <w:gridSpan w:val="3"/>
            <w:vAlign w:val="center"/>
            <w:hideMark/>
          </w:tcPr>
          <w:p w14:paraId="141C8639" w14:textId="77777777" w:rsidR="00000000" w:rsidRDefault="00A173A8">
            <w:pPr>
              <w:spacing w:after="100"/>
              <w:rPr>
                <w:rFonts w:eastAsia="Times New Roman"/>
                <w:sz w:val="20"/>
                <w:szCs w:val="20"/>
              </w:rPr>
            </w:pPr>
          </w:p>
        </w:tc>
      </w:tr>
      <w:tr w:rsidR="00000000" w14:paraId="23B62C3C" w14:textId="77777777">
        <w:trPr>
          <w:divId w:val="42757019"/>
        </w:trPr>
        <w:tc>
          <w:tcPr>
            <w:tcW w:w="0" w:type="auto"/>
            <w:gridSpan w:val="3"/>
            <w:vAlign w:val="center"/>
            <w:hideMark/>
          </w:tcPr>
          <w:p w14:paraId="6FFBAE95" w14:textId="77777777" w:rsidR="00000000" w:rsidRDefault="00A173A8">
            <w:pPr>
              <w:spacing w:after="100"/>
              <w:rPr>
                <w:rFonts w:eastAsia="Times New Roman"/>
                <w:sz w:val="20"/>
                <w:szCs w:val="20"/>
              </w:rPr>
            </w:pPr>
          </w:p>
        </w:tc>
        <w:tc>
          <w:tcPr>
            <w:tcW w:w="0" w:type="auto"/>
            <w:gridSpan w:val="3"/>
            <w:vAlign w:val="center"/>
            <w:hideMark/>
          </w:tcPr>
          <w:p w14:paraId="25658922" w14:textId="77777777" w:rsidR="00000000" w:rsidRDefault="00A173A8">
            <w:pPr>
              <w:spacing w:after="100"/>
              <w:rPr>
                <w:rFonts w:eastAsia="Times New Roman"/>
                <w:sz w:val="20"/>
                <w:szCs w:val="20"/>
              </w:rPr>
            </w:pPr>
          </w:p>
        </w:tc>
        <w:tc>
          <w:tcPr>
            <w:tcW w:w="0" w:type="auto"/>
            <w:gridSpan w:val="3"/>
            <w:vAlign w:val="center"/>
            <w:hideMark/>
          </w:tcPr>
          <w:p w14:paraId="434AB2B2" w14:textId="77777777" w:rsidR="00000000" w:rsidRDefault="00A173A8">
            <w:pPr>
              <w:spacing w:after="100"/>
              <w:rPr>
                <w:rFonts w:eastAsia="Times New Roman"/>
                <w:sz w:val="20"/>
                <w:szCs w:val="20"/>
              </w:rPr>
            </w:pPr>
          </w:p>
        </w:tc>
      </w:tr>
      <w:tr w:rsidR="00000000" w14:paraId="0465DAFC" w14:textId="77777777">
        <w:trPr>
          <w:divId w:val="42757019"/>
        </w:trPr>
        <w:tc>
          <w:tcPr>
            <w:tcW w:w="0" w:type="auto"/>
            <w:gridSpan w:val="3"/>
            <w:vAlign w:val="center"/>
            <w:hideMark/>
          </w:tcPr>
          <w:p w14:paraId="1ECBBDE9" w14:textId="77777777" w:rsidR="00000000" w:rsidRDefault="00A173A8">
            <w:pPr>
              <w:spacing w:after="100"/>
              <w:rPr>
                <w:rFonts w:eastAsia="Times New Roman"/>
                <w:sz w:val="20"/>
                <w:szCs w:val="20"/>
              </w:rPr>
            </w:pPr>
          </w:p>
        </w:tc>
        <w:tc>
          <w:tcPr>
            <w:tcW w:w="0" w:type="auto"/>
            <w:gridSpan w:val="3"/>
            <w:vAlign w:val="center"/>
            <w:hideMark/>
          </w:tcPr>
          <w:p w14:paraId="09414B65" w14:textId="77777777" w:rsidR="00000000" w:rsidRDefault="00A173A8">
            <w:pPr>
              <w:spacing w:after="100"/>
              <w:rPr>
                <w:rFonts w:eastAsia="Times New Roman"/>
                <w:sz w:val="20"/>
                <w:szCs w:val="20"/>
              </w:rPr>
            </w:pPr>
          </w:p>
        </w:tc>
        <w:tc>
          <w:tcPr>
            <w:tcW w:w="0" w:type="auto"/>
            <w:gridSpan w:val="3"/>
            <w:vAlign w:val="center"/>
            <w:hideMark/>
          </w:tcPr>
          <w:p w14:paraId="28F61A90" w14:textId="77777777" w:rsidR="00000000" w:rsidRDefault="00A173A8">
            <w:pPr>
              <w:spacing w:after="100"/>
              <w:rPr>
                <w:rFonts w:eastAsia="Times New Roman"/>
                <w:sz w:val="20"/>
                <w:szCs w:val="20"/>
              </w:rPr>
            </w:pPr>
          </w:p>
        </w:tc>
      </w:tr>
      <w:tr w:rsidR="00000000" w14:paraId="2BB5F314" w14:textId="77777777">
        <w:trPr>
          <w:divId w:val="42757019"/>
        </w:trPr>
        <w:tc>
          <w:tcPr>
            <w:tcW w:w="0" w:type="auto"/>
            <w:gridSpan w:val="3"/>
            <w:vAlign w:val="center"/>
            <w:hideMark/>
          </w:tcPr>
          <w:p w14:paraId="528EB2C3" w14:textId="77777777" w:rsidR="00000000" w:rsidRDefault="00A173A8">
            <w:pPr>
              <w:spacing w:after="100"/>
              <w:rPr>
                <w:rFonts w:eastAsia="Times New Roman"/>
                <w:sz w:val="20"/>
                <w:szCs w:val="20"/>
              </w:rPr>
            </w:pPr>
          </w:p>
        </w:tc>
        <w:tc>
          <w:tcPr>
            <w:tcW w:w="0" w:type="auto"/>
            <w:gridSpan w:val="3"/>
            <w:vAlign w:val="center"/>
            <w:hideMark/>
          </w:tcPr>
          <w:p w14:paraId="476CCC0A" w14:textId="77777777" w:rsidR="00000000" w:rsidRDefault="00A173A8">
            <w:pPr>
              <w:spacing w:after="100"/>
              <w:rPr>
                <w:rFonts w:eastAsia="Times New Roman"/>
                <w:sz w:val="20"/>
                <w:szCs w:val="20"/>
              </w:rPr>
            </w:pPr>
          </w:p>
        </w:tc>
        <w:tc>
          <w:tcPr>
            <w:tcW w:w="0" w:type="auto"/>
            <w:gridSpan w:val="3"/>
            <w:vAlign w:val="center"/>
            <w:hideMark/>
          </w:tcPr>
          <w:p w14:paraId="33DC765F" w14:textId="77777777" w:rsidR="00000000" w:rsidRDefault="00A173A8">
            <w:pPr>
              <w:spacing w:after="100"/>
              <w:rPr>
                <w:rFonts w:eastAsia="Times New Roman"/>
                <w:sz w:val="20"/>
                <w:szCs w:val="20"/>
              </w:rPr>
            </w:pPr>
          </w:p>
        </w:tc>
      </w:tr>
      <w:tr w:rsidR="00000000" w14:paraId="3CC2B4E7" w14:textId="77777777">
        <w:trPr>
          <w:divId w:val="42757019"/>
        </w:trPr>
        <w:tc>
          <w:tcPr>
            <w:tcW w:w="0" w:type="auto"/>
            <w:gridSpan w:val="3"/>
            <w:vAlign w:val="center"/>
            <w:hideMark/>
          </w:tcPr>
          <w:p w14:paraId="7E3B1490" w14:textId="77777777" w:rsidR="00000000" w:rsidRDefault="00A173A8">
            <w:pPr>
              <w:spacing w:after="100"/>
              <w:rPr>
                <w:rFonts w:eastAsia="Times New Roman"/>
                <w:sz w:val="20"/>
                <w:szCs w:val="20"/>
              </w:rPr>
            </w:pPr>
          </w:p>
        </w:tc>
        <w:tc>
          <w:tcPr>
            <w:tcW w:w="0" w:type="auto"/>
            <w:gridSpan w:val="3"/>
            <w:vAlign w:val="center"/>
            <w:hideMark/>
          </w:tcPr>
          <w:p w14:paraId="3B90D166" w14:textId="77777777" w:rsidR="00000000" w:rsidRDefault="00A173A8">
            <w:pPr>
              <w:spacing w:after="100"/>
              <w:rPr>
                <w:rFonts w:eastAsia="Times New Roman"/>
                <w:sz w:val="20"/>
                <w:szCs w:val="20"/>
              </w:rPr>
            </w:pPr>
          </w:p>
        </w:tc>
        <w:tc>
          <w:tcPr>
            <w:tcW w:w="0" w:type="auto"/>
            <w:gridSpan w:val="3"/>
            <w:vAlign w:val="center"/>
            <w:hideMark/>
          </w:tcPr>
          <w:p w14:paraId="3DBDFDE9" w14:textId="77777777" w:rsidR="00000000" w:rsidRDefault="00A173A8">
            <w:pPr>
              <w:spacing w:after="100"/>
              <w:rPr>
                <w:rFonts w:eastAsia="Times New Roman"/>
                <w:sz w:val="20"/>
                <w:szCs w:val="20"/>
              </w:rPr>
            </w:pPr>
          </w:p>
        </w:tc>
      </w:tr>
      <w:tr w:rsidR="00000000" w14:paraId="2CC41E77" w14:textId="77777777">
        <w:trPr>
          <w:divId w:val="42757019"/>
        </w:trPr>
        <w:tc>
          <w:tcPr>
            <w:tcW w:w="0" w:type="auto"/>
            <w:gridSpan w:val="3"/>
            <w:vAlign w:val="center"/>
            <w:hideMark/>
          </w:tcPr>
          <w:p w14:paraId="14A2D2EB" w14:textId="77777777" w:rsidR="00000000" w:rsidRDefault="00A173A8">
            <w:pPr>
              <w:spacing w:after="100"/>
              <w:rPr>
                <w:rFonts w:eastAsia="Times New Roman"/>
                <w:sz w:val="20"/>
                <w:szCs w:val="20"/>
              </w:rPr>
            </w:pPr>
          </w:p>
        </w:tc>
        <w:tc>
          <w:tcPr>
            <w:tcW w:w="0" w:type="auto"/>
            <w:gridSpan w:val="3"/>
            <w:vAlign w:val="center"/>
            <w:hideMark/>
          </w:tcPr>
          <w:p w14:paraId="45824269" w14:textId="77777777" w:rsidR="00000000" w:rsidRDefault="00A173A8">
            <w:pPr>
              <w:spacing w:after="100"/>
              <w:rPr>
                <w:rFonts w:eastAsia="Times New Roman"/>
                <w:sz w:val="20"/>
                <w:szCs w:val="20"/>
              </w:rPr>
            </w:pPr>
          </w:p>
        </w:tc>
        <w:tc>
          <w:tcPr>
            <w:tcW w:w="0" w:type="auto"/>
            <w:gridSpan w:val="3"/>
            <w:vAlign w:val="center"/>
            <w:hideMark/>
          </w:tcPr>
          <w:p w14:paraId="313A8319" w14:textId="77777777" w:rsidR="00000000" w:rsidRDefault="00A173A8">
            <w:pPr>
              <w:spacing w:after="100"/>
              <w:rPr>
                <w:rFonts w:eastAsia="Times New Roman"/>
                <w:sz w:val="20"/>
                <w:szCs w:val="20"/>
              </w:rPr>
            </w:pPr>
          </w:p>
        </w:tc>
      </w:tr>
      <w:tr w:rsidR="00000000" w14:paraId="61A4924D" w14:textId="77777777">
        <w:trPr>
          <w:divId w:val="42757019"/>
        </w:trPr>
        <w:tc>
          <w:tcPr>
            <w:tcW w:w="0" w:type="auto"/>
            <w:gridSpan w:val="3"/>
            <w:vAlign w:val="center"/>
            <w:hideMark/>
          </w:tcPr>
          <w:p w14:paraId="7AD18089" w14:textId="77777777" w:rsidR="00000000" w:rsidRDefault="00A173A8">
            <w:pPr>
              <w:spacing w:after="100"/>
              <w:rPr>
                <w:rFonts w:eastAsia="Times New Roman"/>
                <w:sz w:val="20"/>
                <w:szCs w:val="20"/>
              </w:rPr>
            </w:pPr>
          </w:p>
        </w:tc>
        <w:tc>
          <w:tcPr>
            <w:tcW w:w="0" w:type="auto"/>
            <w:gridSpan w:val="3"/>
            <w:vAlign w:val="center"/>
            <w:hideMark/>
          </w:tcPr>
          <w:p w14:paraId="523D08A5" w14:textId="77777777" w:rsidR="00000000" w:rsidRDefault="00A173A8">
            <w:pPr>
              <w:spacing w:after="100"/>
              <w:rPr>
                <w:rFonts w:eastAsia="Times New Roman"/>
                <w:sz w:val="20"/>
                <w:szCs w:val="20"/>
              </w:rPr>
            </w:pPr>
          </w:p>
        </w:tc>
        <w:tc>
          <w:tcPr>
            <w:tcW w:w="0" w:type="auto"/>
            <w:vAlign w:val="center"/>
            <w:hideMark/>
          </w:tcPr>
          <w:p w14:paraId="0A818BF8" w14:textId="77777777" w:rsidR="00000000" w:rsidRDefault="00A173A8">
            <w:pPr>
              <w:spacing w:after="100"/>
              <w:rPr>
                <w:rFonts w:eastAsia="Times New Roman"/>
                <w:sz w:val="20"/>
                <w:szCs w:val="20"/>
              </w:rPr>
            </w:pPr>
          </w:p>
        </w:tc>
        <w:tc>
          <w:tcPr>
            <w:tcW w:w="0" w:type="auto"/>
            <w:vAlign w:val="center"/>
            <w:hideMark/>
          </w:tcPr>
          <w:p w14:paraId="26E35D65" w14:textId="77777777" w:rsidR="00000000" w:rsidRDefault="00A173A8">
            <w:pPr>
              <w:spacing w:after="100"/>
              <w:rPr>
                <w:rFonts w:eastAsia="Times New Roman"/>
                <w:sz w:val="20"/>
                <w:szCs w:val="20"/>
              </w:rPr>
            </w:pPr>
          </w:p>
        </w:tc>
        <w:tc>
          <w:tcPr>
            <w:tcW w:w="0" w:type="auto"/>
            <w:vAlign w:val="center"/>
            <w:hideMark/>
          </w:tcPr>
          <w:p w14:paraId="7B82BD49" w14:textId="77777777" w:rsidR="00000000" w:rsidRDefault="00A173A8">
            <w:pPr>
              <w:spacing w:after="100"/>
              <w:rPr>
                <w:rFonts w:eastAsia="Times New Roman"/>
                <w:sz w:val="20"/>
                <w:szCs w:val="20"/>
              </w:rPr>
            </w:pPr>
          </w:p>
        </w:tc>
      </w:tr>
      <w:tr w:rsidR="00000000" w14:paraId="6CFBFFB4" w14:textId="77777777">
        <w:trPr>
          <w:divId w:val="42757019"/>
        </w:trPr>
        <w:tc>
          <w:tcPr>
            <w:tcW w:w="0" w:type="auto"/>
            <w:gridSpan w:val="3"/>
            <w:vAlign w:val="center"/>
            <w:hideMark/>
          </w:tcPr>
          <w:p w14:paraId="018D8CB0" w14:textId="77777777" w:rsidR="00000000" w:rsidRDefault="00A173A8">
            <w:pPr>
              <w:spacing w:after="100"/>
              <w:rPr>
                <w:rFonts w:eastAsia="Times New Roman"/>
                <w:sz w:val="20"/>
                <w:szCs w:val="20"/>
              </w:rPr>
            </w:pPr>
          </w:p>
        </w:tc>
        <w:tc>
          <w:tcPr>
            <w:tcW w:w="0" w:type="auto"/>
            <w:gridSpan w:val="3"/>
            <w:vAlign w:val="center"/>
            <w:hideMark/>
          </w:tcPr>
          <w:p w14:paraId="2E5AE0F4" w14:textId="77777777" w:rsidR="00000000" w:rsidRDefault="00A173A8">
            <w:pPr>
              <w:spacing w:after="100"/>
              <w:rPr>
                <w:rFonts w:eastAsia="Times New Roman"/>
                <w:sz w:val="20"/>
                <w:szCs w:val="20"/>
              </w:rPr>
            </w:pPr>
          </w:p>
        </w:tc>
        <w:tc>
          <w:tcPr>
            <w:tcW w:w="0" w:type="auto"/>
            <w:gridSpan w:val="3"/>
            <w:vAlign w:val="center"/>
            <w:hideMark/>
          </w:tcPr>
          <w:p w14:paraId="6F74C023" w14:textId="77777777" w:rsidR="00000000" w:rsidRDefault="00A173A8">
            <w:pPr>
              <w:spacing w:after="100"/>
              <w:rPr>
                <w:rFonts w:eastAsia="Times New Roman"/>
                <w:sz w:val="20"/>
                <w:szCs w:val="20"/>
              </w:rPr>
            </w:pPr>
          </w:p>
        </w:tc>
      </w:tr>
      <w:tr w:rsidR="00000000" w14:paraId="4E0560EB" w14:textId="77777777">
        <w:trPr>
          <w:divId w:val="42757019"/>
        </w:trPr>
        <w:tc>
          <w:tcPr>
            <w:tcW w:w="0" w:type="auto"/>
            <w:gridSpan w:val="3"/>
            <w:vAlign w:val="center"/>
            <w:hideMark/>
          </w:tcPr>
          <w:p w14:paraId="1A8D7DBA" w14:textId="77777777" w:rsidR="00000000" w:rsidRDefault="00A173A8">
            <w:pPr>
              <w:spacing w:after="100"/>
              <w:rPr>
                <w:rFonts w:eastAsia="Times New Roman"/>
                <w:sz w:val="20"/>
                <w:szCs w:val="20"/>
              </w:rPr>
            </w:pPr>
          </w:p>
        </w:tc>
        <w:tc>
          <w:tcPr>
            <w:tcW w:w="0" w:type="auto"/>
            <w:gridSpan w:val="3"/>
            <w:vAlign w:val="center"/>
            <w:hideMark/>
          </w:tcPr>
          <w:p w14:paraId="411CFA3F" w14:textId="77777777" w:rsidR="00000000" w:rsidRDefault="00A173A8">
            <w:pPr>
              <w:spacing w:after="100"/>
              <w:rPr>
                <w:rFonts w:eastAsia="Times New Roman"/>
                <w:sz w:val="20"/>
                <w:szCs w:val="20"/>
              </w:rPr>
            </w:pPr>
          </w:p>
        </w:tc>
        <w:tc>
          <w:tcPr>
            <w:tcW w:w="0" w:type="auto"/>
            <w:gridSpan w:val="3"/>
            <w:vAlign w:val="center"/>
            <w:hideMark/>
          </w:tcPr>
          <w:p w14:paraId="0FB92D23" w14:textId="77777777" w:rsidR="00000000" w:rsidRDefault="00A173A8">
            <w:pPr>
              <w:spacing w:after="100"/>
              <w:rPr>
                <w:rFonts w:eastAsia="Times New Roman"/>
                <w:sz w:val="20"/>
                <w:szCs w:val="20"/>
              </w:rPr>
            </w:pPr>
          </w:p>
        </w:tc>
      </w:tr>
      <w:tr w:rsidR="00000000" w14:paraId="0CBB61DD" w14:textId="77777777">
        <w:trPr>
          <w:divId w:val="42757019"/>
        </w:trPr>
        <w:tc>
          <w:tcPr>
            <w:tcW w:w="0" w:type="auto"/>
            <w:gridSpan w:val="3"/>
            <w:vAlign w:val="center"/>
            <w:hideMark/>
          </w:tcPr>
          <w:p w14:paraId="3F6402F8" w14:textId="77777777" w:rsidR="00000000" w:rsidRDefault="00A173A8">
            <w:pPr>
              <w:spacing w:after="100"/>
              <w:rPr>
                <w:rFonts w:eastAsia="Times New Roman"/>
                <w:sz w:val="20"/>
                <w:szCs w:val="20"/>
              </w:rPr>
            </w:pPr>
          </w:p>
        </w:tc>
        <w:tc>
          <w:tcPr>
            <w:tcW w:w="0" w:type="auto"/>
            <w:gridSpan w:val="3"/>
            <w:vAlign w:val="center"/>
            <w:hideMark/>
          </w:tcPr>
          <w:p w14:paraId="7AD2B7A3" w14:textId="77777777" w:rsidR="00000000" w:rsidRDefault="00A173A8">
            <w:pPr>
              <w:spacing w:after="100"/>
              <w:rPr>
                <w:rFonts w:eastAsia="Times New Roman"/>
                <w:sz w:val="20"/>
                <w:szCs w:val="20"/>
              </w:rPr>
            </w:pPr>
          </w:p>
        </w:tc>
        <w:tc>
          <w:tcPr>
            <w:tcW w:w="0" w:type="auto"/>
            <w:gridSpan w:val="3"/>
            <w:vAlign w:val="center"/>
            <w:hideMark/>
          </w:tcPr>
          <w:p w14:paraId="00DBD65D" w14:textId="77777777" w:rsidR="00000000" w:rsidRDefault="00A173A8">
            <w:pPr>
              <w:spacing w:after="100"/>
              <w:rPr>
                <w:rFonts w:eastAsia="Times New Roman"/>
                <w:sz w:val="20"/>
                <w:szCs w:val="20"/>
              </w:rPr>
            </w:pPr>
          </w:p>
        </w:tc>
      </w:tr>
      <w:tr w:rsidR="00000000" w14:paraId="4F8FE49A" w14:textId="77777777">
        <w:trPr>
          <w:divId w:val="42757019"/>
        </w:trPr>
        <w:tc>
          <w:tcPr>
            <w:tcW w:w="0" w:type="auto"/>
            <w:gridSpan w:val="3"/>
            <w:vAlign w:val="center"/>
            <w:hideMark/>
          </w:tcPr>
          <w:p w14:paraId="0BA617FB" w14:textId="77777777" w:rsidR="00000000" w:rsidRDefault="00A173A8">
            <w:pPr>
              <w:spacing w:after="100"/>
              <w:rPr>
                <w:rFonts w:eastAsia="Times New Roman"/>
                <w:sz w:val="20"/>
                <w:szCs w:val="20"/>
              </w:rPr>
            </w:pPr>
          </w:p>
        </w:tc>
        <w:tc>
          <w:tcPr>
            <w:tcW w:w="0" w:type="auto"/>
            <w:gridSpan w:val="3"/>
            <w:vAlign w:val="center"/>
            <w:hideMark/>
          </w:tcPr>
          <w:p w14:paraId="7DF2BC1A" w14:textId="77777777" w:rsidR="00000000" w:rsidRDefault="00A173A8">
            <w:pPr>
              <w:spacing w:after="100"/>
              <w:rPr>
                <w:rFonts w:eastAsia="Times New Roman"/>
                <w:sz w:val="20"/>
                <w:szCs w:val="20"/>
              </w:rPr>
            </w:pPr>
          </w:p>
        </w:tc>
        <w:tc>
          <w:tcPr>
            <w:tcW w:w="0" w:type="auto"/>
            <w:gridSpan w:val="3"/>
            <w:vAlign w:val="center"/>
            <w:hideMark/>
          </w:tcPr>
          <w:p w14:paraId="642737AD" w14:textId="77777777" w:rsidR="00000000" w:rsidRDefault="00A173A8">
            <w:pPr>
              <w:spacing w:after="100"/>
              <w:rPr>
                <w:rFonts w:eastAsia="Times New Roman"/>
                <w:sz w:val="20"/>
                <w:szCs w:val="20"/>
              </w:rPr>
            </w:pPr>
          </w:p>
        </w:tc>
      </w:tr>
      <w:tr w:rsidR="00000000" w14:paraId="0A674957" w14:textId="77777777">
        <w:trPr>
          <w:divId w:val="42757019"/>
        </w:trPr>
        <w:tc>
          <w:tcPr>
            <w:tcW w:w="0" w:type="auto"/>
            <w:gridSpan w:val="3"/>
            <w:vAlign w:val="center"/>
            <w:hideMark/>
          </w:tcPr>
          <w:p w14:paraId="5E41D258" w14:textId="77777777" w:rsidR="00000000" w:rsidRDefault="00A173A8">
            <w:pPr>
              <w:spacing w:after="100"/>
              <w:rPr>
                <w:rFonts w:eastAsia="Times New Roman"/>
                <w:sz w:val="20"/>
                <w:szCs w:val="20"/>
              </w:rPr>
            </w:pPr>
          </w:p>
        </w:tc>
        <w:tc>
          <w:tcPr>
            <w:tcW w:w="0" w:type="auto"/>
            <w:gridSpan w:val="3"/>
            <w:vAlign w:val="center"/>
            <w:hideMark/>
          </w:tcPr>
          <w:p w14:paraId="1E2F511D" w14:textId="77777777" w:rsidR="00000000" w:rsidRDefault="00A173A8">
            <w:pPr>
              <w:spacing w:after="100"/>
              <w:rPr>
                <w:rFonts w:eastAsia="Times New Roman"/>
                <w:sz w:val="20"/>
                <w:szCs w:val="20"/>
              </w:rPr>
            </w:pPr>
          </w:p>
        </w:tc>
        <w:tc>
          <w:tcPr>
            <w:tcW w:w="0" w:type="auto"/>
            <w:gridSpan w:val="3"/>
            <w:vAlign w:val="center"/>
            <w:hideMark/>
          </w:tcPr>
          <w:p w14:paraId="18478288"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387C148" w14:textId="77777777">
        <w:trPr>
          <w:jc w:val="center"/>
        </w:trPr>
        <w:tc>
          <w:tcPr>
            <w:tcW w:w="50" w:type="pct"/>
            <w:vAlign w:val="center"/>
            <w:hideMark/>
          </w:tcPr>
          <w:p w14:paraId="37754F58" w14:textId="77777777" w:rsidR="00000000" w:rsidRDefault="00A173A8">
            <w:pPr>
              <w:jc w:val="both"/>
              <w:rPr>
                <w:rFonts w:eastAsia="Times New Roman"/>
              </w:rPr>
            </w:pPr>
          </w:p>
        </w:tc>
        <w:tc>
          <w:tcPr>
            <w:tcW w:w="1606" w:type="pct"/>
            <w:vAlign w:val="center"/>
            <w:hideMark/>
          </w:tcPr>
          <w:p w14:paraId="2A71BA69" w14:textId="77777777" w:rsidR="00000000" w:rsidRDefault="00A173A8">
            <w:pPr>
              <w:spacing w:after="100"/>
              <w:rPr>
                <w:rFonts w:eastAsia="Times New Roman"/>
                <w:sz w:val="20"/>
                <w:szCs w:val="20"/>
              </w:rPr>
            </w:pPr>
          </w:p>
        </w:tc>
        <w:tc>
          <w:tcPr>
            <w:tcW w:w="5" w:type="pct"/>
            <w:vAlign w:val="center"/>
            <w:hideMark/>
          </w:tcPr>
          <w:p w14:paraId="68092702" w14:textId="77777777" w:rsidR="00000000" w:rsidRDefault="00A173A8">
            <w:pPr>
              <w:spacing w:after="100"/>
              <w:rPr>
                <w:rFonts w:eastAsia="Times New Roman"/>
                <w:sz w:val="20"/>
                <w:szCs w:val="20"/>
              </w:rPr>
            </w:pPr>
          </w:p>
        </w:tc>
        <w:tc>
          <w:tcPr>
            <w:tcW w:w="50" w:type="pct"/>
            <w:vAlign w:val="center"/>
            <w:hideMark/>
          </w:tcPr>
          <w:p w14:paraId="422A61E6" w14:textId="77777777" w:rsidR="00000000" w:rsidRDefault="00A173A8">
            <w:pPr>
              <w:spacing w:after="100"/>
              <w:rPr>
                <w:rFonts w:eastAsia="Times New Roman"/>
                <w:sz w:val="20"/>
                <w:szCs w:val="20"/>
              </w:rPr>
            </w:pPr>
          </w:p>
        </w:tc>
        <w:tc>
          <w:tcPr>
            <w:tcW w:w="1614" w:type="pct"/>
            <w:vAlign w:val="center"/>
            <w:hideMark/>
          </w:tcPr>
          <w:p w14:paraId="6EFA9D27" w14:textId="77777777" w:rsidR="00000000" w:rsidRDefault="00A173A8">
            <w:pPr>
              <w:spacing w:after="100"/>
              <w:rPr>
                <w:rFonts w:eastAsia="Times New Roman"/>
                <w:sz w:val="20"/>
                <w:szCs w:val="20"/>
              </w:rPr>
            </w:pPr>
          </w:p>
        </w:tc>
        <w:tc>
          <w:tcPr>
            <w:tcW w:w="5" w:type="pct"/>
            <w:vAlign w:val="center"/>
            <w:hideMark/>
          </w:tcPr>
          <w:p w14:paraId="1F6BD0E3" w14:textId="77777777" w:rsidR="00000000" w:rsidRDefault="00A173A8">
            <w:pPr>
              <w:spacing w:after="100"/>
              <w:rPr>
                <w:rFonts w:eastAsia="Times New Roman"/>
                <w:sz w:val="20"/>
                <w:szCs w:val="20"/>
              </w:rPr>
            </w:pPr>
          </w:p>
        </w:tc>
        <w:tc>
          <w:tcPr>
            <w:tcW w:w="50" w:type="pct"/>
            <w:vAlign w:val="center"/>
            <w:hideMark/>
          </w:tcPr>
          <w:p w14:paraId="063967B7" w14:textId="77777777" w:rsidR="00000000" w:rsidRDefault="00A173A8">
            <w:pPr>
              <w:spacing w:after="100"/>
              <w:rPr>
                <w:rFonts w:eastAsia="Times New Roman"/>
                <w:sz w:val="20"/>
                <w:szCs w:val="20"/>
              </w:rPr>
            </w:pPr>
          </w:p>
        </w:tc>
        <w:tc>
          <w:tcPr>
            <w:tcW w:w="1614" w:type="pct"/>
            <w:vAlign w:val="center"/>
            <w:hideMark/>
          </w:tcPr>
          <w:p w14:paraId="634C8363" w14:textId="77777777" w:rsidR="00000000" w:rsidRDefault="00A173A8">
            <w:pPr>
              <w:spacing w:after="100"/>
              <w:rPr>
                <w:rFonts w:eastAsia="Times New Roman"/>
                <w:sz w:val="20"/>
                <w:szCs w:val="20"/>
              </w:rPr>
            </w:pPr>
          </w:p>
        </w:tc>
        <w:tc>
          <w:tcPr>
            <w:tcW w:w="5" w:type="pct"/>
            <w:vAlign w:val="center"/>
            <w:hideMark/>
          </w:tcPr>
          <w:p w14:paraId="095957BE" w14:textId="77777777" w:rsidR="00000000" w:rsidRDefault="00A173A8">
            <w:pPr>
              <w:spacing w:after="100"/>
              <w:rPr>
                <w:rFonts w:eastAsia="Times New Roman"/>
                <w:sz w:val="20"/>
                <w:szCs w:val="20"/>
              </w:rPr>
            </w:pPr>
          </w:p>
        </w:tc>
      </w:tr>
      <w:tr w:rsidR="00000000" w14:paraId="31655B73" w14:textId="77777777">
        <w:trPr>
          <w:trHeight w:val="300"/>
          <w:jc w:val="center"/>
        </w:trPr>
        <w:tc>
          <w:tcPr>
            <w:tcW w:w="0" w:type="auto"/>
            <w:gridSpan w:val="9"/>
            <w:tcMar>
              <w:top w:w="0" w:type="dxa"/>
              <w:left w:w="20" w:type="dxa"/>
              <w:bottom w:w="0" w:type="dxa"/>
              <w:right w:w="20" w:type="dxa"/>
            </w:tcMar>
            <w:vAlign w:val="center"/>
            <w:hideMark/>
          </w:tcPr>
          <w:p w14:paraId="4A0EB5E8" w14:textId="77777777" w:rsidR="00000000" w:rsidRDefault="00A173A8">
            <w:pPr>
              <w:spacing w:after="100"/>
              <w:rPr>
                <w:rFonts w:eastAsia="Times New Roman"/>
                <w:sz w:val="20"/>
                <w:szCs w:val="20"/>
              </w:rPr>
            </w:pPr>
          </w:p>
        </w:tc>
      </w:tr>
      <w:tr w:rsidR="00000000" w14:paraId="53F33700" w14:textId="77777777">
        <w:trPr>
          <w:jc w:val="center"/>
        </w:trPr>
        <w:tc>
          <w:tcPr>
            <w:tcW w:w="0" w:type="auto"/>
            <w:gridSpan w:val="3"/>
            <w:tcMar>
              <w:top w:w="0" w:type="dxa"/>
              <w:left w:w="20" w:type="dxa"/>
              <w:bottom w:w="0" w:type="dxa"/>
              <w:right w:w="20" w:type="dxa"/>
            </w:tcMar>
            <w:vAlign w:val="center"/>
            <w:hideMark/>
          </w:tcPr>
          <w:p w14:paraId="18722046"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D4CDA92" w14:textId="77777777" w:rsidR="00000000" w:rsidRDefault="00A173A8">
            <w:pPr>
              <w:spacing w:after="100"/>
              <w:jc w:val="center"/>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vAlign w:val="bottom"/>
            <w:hideMark/>
          </w:tcPr>
          <w:p w14:paraId="3869F54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491DA29" w14:textId="77777777" w:rsidR="00000000" w:rsidRDefault="00A173A8">
      <w:pPr>
        <w:rPr>
          <w:rFonts w:eastAsia="Times New Roman"/>
        </w:rPr>
      </w:pPr>
      <w:r>
        <w:rPr>
          <w:rFonts w:eastAsia="Times New Roman"/>
        </w:rPr>
        <w:pict w14:anchorId="67018093">
          <v:rect id="_x0000_i1026" style="width:0;height:1.5pt" o:hralign="center" o:hrstd="t" o:hr="t" fillcolor="#a0a0a0" stroked="f"/>
        </w:pict>
      </w:r>
    </w:p>
    <w:p w14:paraId="5A6B2498" w14:textId="77777777" w:rsidR="00000000" w:rsidRDefault="00A173A8">
      <w:pPr>
        <w:jc w:val="both"/>
        <w:divId w:val="828793123"/>
        <w:rPr>
          <w:rFonts w:eastAsia="Times New Roman"/>
        </w:rPr>
      </w:pPr>
    </w:p>
    <w:tbl>
      <w:tblPr>
        <w:tblW w:w="4830" w:type="pct"/>
        <w:tblCellMar>
          <w:top w:w="15" w:type="dxa"/>
          <w:left w:w="15" w:type="dxa"/>
          <w:bottom w:w="15" w:type="dxa"/>
          <w:right w:w="15" w:type="dxa"/>
        </w:tblCellMar>
        <w:tblLook w:val="04A0" w:firstRow="1" w:lastRow="0" w:firstColumn="1" w:lastColumn="0" w:noHBand="0" w:noVBand="1"/>
      </w:tblPr>
      <w:tblGrid>
        <w:gridCol w:w="74"/>
        <w:gridCol w:w="546"/>
        <w:gridCol w:w="37"/>
        <w:gridCol w:w="66"/>
        <w:gridCol w:w="6609"/>
        <w:gridCol w:w="36"/>
        <w:gridCol w:w="66"/>
        <w:gridCol w:w="554"/>
        <w:gridCol w:w="36"/>
      </w:tblGrid>
      <w:tr w:rsidR="00000000" w14:paraId="36FE68F4" w14:textId="77777777">
        <w:trPr>
          <w:divId w:val="499657844"/>
        </w:trPr>
        <w:tc>
          <w:tcPr>
            <w:tcW w:w="50" w:type="pct"/>
            <w:vAlign w:val="center"/>
            <w:hideMark/>
          </w:tcPr>
          <w:p w14:paraId="5B67C2EB" w14:textId="77777777" w:rsidR="00000000" w:rsidRDefault="00A173A8">
            <w:pPr>
              <w:jc w:val="both"/>
              <w:rPr>
                <w:rFonts w:eastAsia="Times New Roman"/>
              </w:rPr>
            </w:pPr>
          </w:p>
        </w:tc>
        <w:tc>
          <w:tcPr>
            <w:tcW w:w="354" w:type="pct"/>
            <w:vAlign w:val="center"/>
            <w:hideMark/>
          </w:tcPr>
          <w:p w14:paraId="36AD9A32" w14:textId="77777777" w:rsidR="00000000" w:rsidRDefault="00A173A8">
            <w:pPr>
              <w:spacing w:after="100"/>
              <w:rPr>
                <w:rFonts w:eastAsia="Times New Roman"/>
                <w:sz w:val="20"/>
                <w:szCs w:val="20"/>
              </w:rPr>
            </w:pPr>
          </w:p>
        </w:tc>
        <w:tc>
          <w:tcPr>
            <w:tcW w:w="5" w:type="pct"/>
            <w:vAlign w:val="center"/>
            <w:hideMark/>
          </w:tcPr>
          <w:p w14:paraId="3D014E6D" w14:textId="77777777" w:rsidR="00000000" w:rsidRDefault="00A173A8">
            <w:pPr>
              <w:spacing w:after="100"/>
              <w:rPr>
                <w:rFonts w:eastAsia="Times New Roman"/>
                <w:sz w:val="20"/>
                <w:szCs w:val="20"/>
              </w:rPr>
            </w:pPr>
          </w:p>
        </w:tc>
        <w:tc>
          <w:tcPr>
            <w:tcW w:w="50" w:type="pct"/>
            <w:vAlign w:val="center"/>
            <w:hideMark/>
          </w:tcPr>
          <w:p w14:paraId="762A7267" w14:textId="77777777" w:rsidR="00000000" w:rsidRDefault="00A173A8">
            <w:pPr>
              <w:spacing w:after="100"/>
              <w:rPr>
                <w:rFonts w:eastAsia="Times New Roman"/>
                <w:sz w:val="20"/>
                <w:szCs w:val="20"/>
              </w:rPr>
            </w:pPr>
          </w:p>
        </w:tc>
        <w:tc>
          <w:tcPr>
            <w:tcW w:w="4126" w:type="pct"/>
            <w:vAlign w:val="center"/>
            <w:hideMark/>
          </w:tcPr>
          <w:p w14:paraId="5573CC35" w14:textId="77777777" w:rsidR="00000000" w:rsidRDefault="00A173A8">
            <w:pPr>
              <w:spacing w:after="100"/>
              <w:rPr>
                <w:rFonts w:eastAsia="Times New Roman"/>
                <w:sz w:val="20"/>
                <w:szCs w:val="20"/>
              </w:rPr>
            </w:pPr>
          </w:p>
        </w:tc>
        <w:tc>
          <w:tcPr>
            <w:tcW w:w="5" w:type="pct"/>
            <w:vAlign w:val="center"/>
            <w:hideMark/>
          </w:tcPr>
          <w:p w14:paraId="566DF195" w14:textId="77777777" w:rsidR="00000000" w:rsidRDefault="00A173A8">
            <w:pPr>
              <w:spacing w:after="100"/>
              <w:rPr>
                <w:rFonts w:eastAsia="Times New Roman"/>
                <w:sz w:val="20"/>
                <w:szCs w:val="20"/>
              </w:rPr>
            </w:pPr>
          </w:p>
        </w:tc>
        <w:tc>
          <w:tcPr>
            <w:tcW w:w="50" w:type="pct"/>
            <w:vAlign w:val="center"/>
            <w:hideMark/>
          </w:tcPr>
          <w:p w14:paraId="52D9C349" w14:textId="77777777" w:rsidR="00000000" w:rsidRDefault="00A173A8">
            <w:pPr>
              <w:spacing w:after="100"/>
              <w:rPr>
                <w:rFonts w:eastAsia="Times New Roman"/>
                <w:sz w:val="20"/>
                <w:szCs w:val="20"/>
              </w:rPr>
            </w:pPr>
          </w:p>
        </w:tc>
        <w:tc>
          <w:tcPr>
            <w:tcW w:w="354" w:type="pct"/>
            <w:vAlign w:val="center"/>
            <w:hideMark/>
          </w:tcPr>
          <w:p w14:paraId="07259F6A" w14:textId="77777777" w:rsidR="00000000" w:rsidRDefault="00A173A8">
            <w:pPr>
              <w:spacing w:after="100"/>
              <w:rPr>
                <w:rFonts w:eastAsia="Times New Roman"/>
                <w:sz w:val="20"/>
                <w:szCs w:val="20"/>
              </w:rPr>
            </w:pPr>
          </w:p>
        </w:tc>
        <w:tc>
          <w:tcPr>
            <w:tcW w:w="5" w:type="pct"/>
            <w:vAlign w:val="center"/>
            <w:hideMark/>
          </w:tcPr>
          <w:p w14:paraId="49615B75" w14:textId="77777777" w:rsidR="00000000" w:rsidRDefault="00A173A8">
            <w:pPr>
              <w:spacing w:after="100"/>
              <w:rPr>
                <w:rFonts w:eastAsia="Times New Roman"/>
                <w:sz w:val="20"/>
                <w:szCs w:val="20"/>
              </w:rPr>
            </w:pPr>
          </w:p>
        </w:tc>
      </w:tr>
      <w:tr w:rsidR="00000000" w14:paraId="164B0638" w14:textId="77777777">
        <w:trPr>
          <w:divId w:val="499657844"/>
        </w:trPr>
        <w:tc>
          <w:tcPr>
            <w:tcW w:w="0" w:type="auto"/>
            <w:gridSpan w:val="3"/>
            <w:tcMar>
              <w:top w:w="30" w:type="dxa"/>
              <w:left w:w="20" w:type="dxa"/>
              <w:bottom w:w="30" w:type="dxa"/>
              <w:right w:w="20" w:type="dxa"/>
            </w:tcMar>
            <w:vAlign w:val="center"/>
            <w:hideMark/>
          </w:tcPr>
          <w:p w14:paraId="590D1D20" w14:textId="77777777" w:rsidR="00000000" w:rsidRDefault="00A173A8">
            <w:pPr>
              <w:spacing w:after="100"/>
              <w:divId w:val="1270090939"/>
              <w:rPr>
                <w:rFonts w:eastAsia="Times New Roman"/>
              </w:rPr>
            </w:pPr>
            <w:hyperlink w:anchor="i7ffd5d61af6f4722b1b1b07530d51c06_448"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14:paraId="67232F36" w14:textId="77777777" w:rsidR="00000000" w:rsidRDefault="00A173A8">
            <w:pPr>
              <w:spacing w:after="100"/>
              <w:divId w:val="1684820945"/>
              <w:rPr>
                <w:rFonts w:eastAsia="Times New Roman"/>
              </w:rPr>
            </w:pPr>
            <w:hyperlink w:anchor="i7ffd5d61af6f4722b1b1b07530d51c06_448" w:history="1">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14:paraId="4BD71B9C" w14:textId="77777777" w:rsidR="00000000" w:rsidRDefault="00A173A8">
            <w:pPr>
              <w:spacing w:after="100"/>
              <w:jc w:val="center"/>
              <w:rPr>
                <w:rFonts w:eastAsia="Times New Roman"/>
              </w:rPr>
            </w:pPr>
            <w:hyperlink w:anchor="i7ffd5d61af6f4722b1b1b07530d51c06_448" w:history="1">
              <w:r>
                <w:rPr>
                  <w:rStyle w:val="a3"/>
                  <w:rFonts w:eastAsia="Times New Roman"/>
                  <w:color w:val="000000"/>
                  <w:sz w:val="20"/>
                  <w:szCs w:val="20"/>
                  <w:u w:val="none"/>
                </w:rPr>
                <w:t>120</w:t>
              </w:r>
            </w:hyperlink>
          </w:p>
        </w:tc>
      </w:tr>
      <w:tr w:rsidR="00000000" w14:paraId="1AA5C36A" w14:textId="77777777">
        <w:trPr>
          <w:divId w:val="499657844"/>
        </w:trPr>
        <w:tc>
          <w:tcPr>
            <w:tcW w:w="0" w:type="auto"/>
            <w:gridSpan w:val="3"/>
            <w:tcMar>
              <w:top w:w="30" w:type="dxa"/>
              <w:left w:w="20" w:type="dxa"/>
              <w:bottom w:w="30" w:type="dxa"/>
              <w:right w:w="20" w:type="dxa"/>
            </w:tcMar>
            <w:vAlign w:val="center"/>
            <w:hideMark/>
          </w:tcPr>
          <w:p w14:paraId="573A3DF3" w14:textId="77777777" w:rsidR="00000000" w:rsidRDefault="00A173A8">
            <w:pPr>
              <w:spacing w:after="100"/>
              <w:divId w:val="665281103"/>
              <w:rPr>
                <w:rFonts w:eastAsia="Times New Roman"/>
              </w:rPr>
            </w:pPr>
            <w:hyperlink w:anchor="i7ffd5d61af6f4722b1b1b07530d51c06_451"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14:paraId="7067888A" w14:textId="77777777" w:rsidR="00000000" w:rsidRDefault="00A173A8">
            <w:pPr>
              <w:spacing w:after="100"/>
              <w:divId w:val="70398883"/>
              <w:rPr>
                <w:rFonts w:eastAsia="Times New Roman"/>
              </w:rPr>
            </w:pPr>
            <w:hyperlink w:anchor="i7ffd5d61af6f4722b1b1b07530d51c06_451" w:history="1">
              <w:r>
                <w:rPr>
                  <w:rStyle w:val="a3"/>
                  <w:rFonts w:eastAsia="Times New Roman"/>
                  <w:color w:val="000000"/>
                  <w:sz w:val="20"/>
                  <w:szCs w:val="20"/>
                  <w:u w:val="none"/>
                </w:rPr>
                <w:t>Controls and Procedures</w:t>
              </w:r>
            </w:hyperlink>
          </w:p>
        </w:tc>
        <w:tc>
          <w:tcPr>
            <w:tcW w:w="0" w:type="auto"/>
            <w:gridSpan w:val="3"/>
            <w:tcMar>
              <w:top w:w="30" w:type="dxa"/>
              <w:left w:w="20" w:type="dxa"/>
              <w:bottom w:w="30" w:type="dxa"/>
              <w:right w:w="20" w:type="dxa"/>
            </w:tcMar>
            <w:vAlign w:val="bottom"/>
            <w:hideMark/>
          </w:tcPr>
          <w:p w14:paraId="4EEDFA3D" w14:textId="77777777" w:rsidR="00000000" w:rsidRDefault="00A173A8">
            <w:pPr>
              <w:spacing w:after="100"/>
              <w:jc w:val="center"/>
              <w:rPr>
                <w:rFonts w:eastAsia="Times New Roman"/>
              </w:rPr>
            </w:pPr>
            <w:hyperlink w:anchor="i7ffd5d61af6f4722b1b1b07530d51c06_451" w:history="1">
              <w:r>
                <w:rPr>
                  <w:rStyle w:val="a3"/>
                  <w:rFonts w:eastAsia="Times New Roman"/>
                  <w:color w:val="000000"/>
                  <w:sz w:val="20"/>
                  <w:szCs w:val="20"/>
                  <w:u w:val="none"/>
                </w:rPr>
                <w:t>120</w:t>
              </w:r>
            </w:hyperlink>
          </w:p>
        </w:tc>
      </w:tr>
      <w:tr w:rsidR="00000000" w14:paraId="3ED5C8B5" w14:textId="77777777">
        <w:trPr>
          <w:divId w:val="499657844"/>
          <w:trHeight w:val="300"/>
        </w:trPr>
        <w:tc>
          <w:tcPr>
            <w:tcW w:w="0" w:type="auto"/>
            <w:gridSpan w:val="3"/>
            <w:tcMar>
              <w:top w:w="0" w:type="dxa"/>
              <w:left w:w="20" w:type="dxa"/>
              <w:bottom w:w="0" w:type="dxa"/>
              <w:right w:w="20" w:type="dxa"/>
            </w:tcMar>
            <w:vAlign w:val="center"/>
            <w:hideMark/>
          </w:tcPr>
          <w:p w14:paraId="64467766"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E5F5F3D"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D5A989" w14:textId="77777777" w:rsidR="00000000" w:rsidRDefault="00A173A8">
            <w:pPr>
              <w:spacing w:after="100"/>
              <w:rPr>
                <w:rFonts w:eastAsia="Times New Roman"/>
                <w:sz w:val="20"/>
                <w:szCs w:val="20"/>
              </w:rPr>
            </w:pPr>
          </w:p>
        </w:tc>
      </w:tr>
      <w:tr w:rsidR="00000000" w14:paraId="7270C252" w14:textId="77777777">
        <w:trPr>
          <w:divId w:val="499657844"/>
        </w:trPr>
        <w:tc>
          <w:tcPr>
            <w:tcW w:w="0" w:type="auto"/>
            <w:gridSpan w:val="6"/>
            <w:tcMar>
              <w:top w:w="30" w:type="dxa"/>
              <w:left w:w="20" w:type="dxa"/>
              <w:bottom w:w="30" w:type="dxa"/>
              <w:right w:w="20" w:type="dxa"/>
            </w:tcMar>
            <w:vAlign w:val="bottom"/>
            <w:hideMark/>
          </w:tcPr>
          <w:p w14:paraId="2A819CB9" w14:textId="77777777" w:rsidR="00000000" w:rsidRDefault="00A173A8">
            <w:pPr>
              <w:spacing w:after="100"/>
              <w:divId w:val="68966459"/>
              <w:rPr>
                <w:rFonts w:eastAsia="Times New Roman"/>
              </w:rPr>
            </w:pPr>
            <w:hyperlink w:anchor="i7ffd5d61af6f4722b1b1b07530d51c06_457" w:history="1">
              <w:r>
                <w:rPr>
                  <w:rStyle w:val="a3"/>
                  <w:rFonts w:eastAsia="Times New Roman"/>
                  <w:b/>
                  <w:bCs/>
                  <w:color w:val="000000"/>
                  <w:sz w:val="20"/>
                  <w:szCs w:val="20"/>
                  <w:u w:val="none"/>
                </w:rPr>
                <w:t>PART II—OTHER INFORMATION</w:t>
              </w:r>
            </w:hyperlink>
          </w:p>
        </w:tc>
        <w:tc>
          <w:tcPr>
            <w:tcW w:w="0" w:type="auto"/>
            <w:gridSpan w:val="3"/>
            <w:tcMar>
              <w:top w:w="30" w:type="dxa"/>
              <w:left w:w="20" w:type="dxa"/>
              <w:bottom w:w="30" w:type="dxa"/>
              <w:right w:w="20" w:type="dxa"/>
            </w:tcMar>
            <w:vAlign w:val="bottom"/>
            <w:hideMark/>
          </w:tcPr>
          <w:p w14:paraId="49663E4C" w14:textId="77777777" w:rsidR="00000000" w:rsidRDefault="00A173A8">
            <w:pPr>
              <w:spacing w:after="100"/>
              <w:jc w:val="center"/>
              <w:rPr>
                <w:rFonts w:eastAsia="Times New Roman"/>
              </w:rPr>
            </w:pPr>
            <w:hyperlink w:anchor="i7ffd5d61af6f4722b1b1b07530d51c06_457" w:history="1">
              <w:r>
                <w:rPr>
                  <w:rStyle w:val="a3"/>
                  <w:rFonts w:eastAsia="Times New Roman"/>
                  <w:b/>
                  <w:bCs/>
                  <w:color w:val="000000"/>
                  <w:sz w:val="20"/>
                  <w:szCs w:val="20"/>
                  <w:u w:val="none"/>
                </w:rPr>
                <w:t>121</w:t>
              </w:r>
            </w:hyperlink>
          </w:p>
        </w:tc>
      </w:tr>
      <w:tr w:rsidR="00000000" w14:paraId="67C3CFCF" w14:textId="77777777">
        <w:trPr>
          <w:divId w:val="499657844"/>
        </w:trPr>
        <w:tc>
          <w:tcPr>
            <w:tcW w:w="0" w:type="auto"/>
            <w:gridSpan w:val="3"/>
            <w:tcMar>
              <w:top w:w="30" w:type="dxa"/>
              <w:left w:w="20" w:type="dxa"/>
              <w:bottom w:w="30" w:type="dxa"/>
              <w:right w:w="20" w:type="dxa"/>
            </w:tcMar>
            <w:vAlign w:val="center"/>
            <w:hideMark/>
          </w:tcPr>
          <w:p w14:paraId="6ADBC663" w14:textId="77777777" w:rsidR="00000000" w:rsidRDefault="00A173A8">
            <w:pPr>
              <w:spacing w:after="100"/>
              <w:divId w:val="2121296898"/>
              <w:rPr>
                <w:rFonts w:eastAsia="Times New Roman"/>
              </w:rPr>
            </w:pPr>
            <w:hyperlink w:anchor="i7ffd5d61af6f4722b1b1b07530d51c06_460"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14:paraId="0C56B4E3" w14:textId="77777777" w:rsidR="00000000" w:rsidRDefault="00A173A8">
            <w:pPr>
              <w:spacing w:after="100"/>
              <w:divId w:val="920217809"/>
              <w:rPr>
                <w:rFonts w:eastAsia="Times New Roman"/>
              </w:rPr>
            </w:pPr>
            <w:hyperlink w:anchor="i7ffd5d61af6f4722b1b1b07530d51c06_460"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vAlign w:val="bottom"/>
            <w:hideMark/>
          </w:tcPr>
          <w:p w14:paraId="756611BF" w14:textId="77777777" w:rsidR="00000000" w:rsidRDefault="00A173A8">
            <w:pPr>
              <w:spacing w:after="100"/>
              <w:jc w:val="center"/>
              <w:rPr>
                <w:rFonts w:eastAsia="Times New Roman"/>
              </w:rPr>
            </w:pPr>
            <w:hyperlink w:anchor="i7ffd5d61af6f4722b1b1b07530d51c06_460" w:history="1">
              <w:r>
                <w:rPr>
                  <w:rStyle w:val="a3"/>
                  <w:rFonts w:eastAsia="Times New Roman"/>
                  <w:color w:val="000000"/>
                  <w:sz w:val="20"/>
                  <w:szCs w:val="20"/>
                  <w:u w:val="none"/>
                </w:rPr>
                <w:t>121</w:t>
              </w:r>
            </w:hyperlink>
          </w:p>
        </w:tc>
      </w:tr>
      <w:tr w:rsidR="00000000" w14:paraId="487BE452" w14:textId="77777777">
        <w:trPr>
          <w:divId w:val="499657844"/>
        </w:trPr>
        <w:tc>
          <w:tcPr>
            <w:tcW w:w="0" w:type="auto"/>
            <w:gridSpan w:val="3"/>
            <w:tcMar>
              <w:top w:w="30" w:type="dxa"/>
              <w:left w:w="20" w:type="dxa"/>
              <w:bottom w:w="30" w:type="dxa"/>
              <w:right w:w="20" w:type="dxa"/>
            </w:tcMar>
            <w:vAlign w:val="center"/>
            <w:hideMark/>
          </w:tcPr>
          <w:p w14:paraId="5E08291D" w14:textId="77777777" w:rsidR="00000000" w:rsidRDefault="00A173A8">
            <w:pPr>
              <w:spacing w:after="100"/>
              <w:divId w:val="1128431238"/>
              <w:rPr>
                <w:rFonts w:eastAsia="Times New Roman"/>
              </w:rPr>
            </w:pPr>
            <w:hyperlink w:anchor="i7ffd5d61af6f4722b1b1b07530d51c06_463"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14:paraId="7A1E3378" w14:textId="77777777" w:rsidR="00000000" w:rsidRDefault="00A173A8">
            <w:pPr>
              <w:spacing w:after="100"/>
              <w:divId w:val="263416992"/>
              <w:rPr>
                <w:rFonts w:eastAsia="Times New Roman"/>
              </w:rPr>
            </w:pPr>
            <w:hyperlink w:anchor="i7ffd5d61af6f4722b1b1b07530d51c06_463"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vAlign w:val="bottom"/>
            <w:hideMark/>
          </w:tcPr>
          <w:p w14:paraId="73A97F0C" w14:textId="77777777" w:rsidR="00000000" w:rsidRDefault="00A173A8">
            <w:pPr>
              <w:spacing w:after="100"/>
              <w:jc w:val="center"/>
              <w:rPr>
                <w:rFonts w:eastAsia="Times New Roman"/>
              </w:rPr>
            </w:pPr>
            <w:hyperlink w:anchor="i7ffd5d61af6f4722b1b1b07530d51c06_463" w:history="1">
              <w:r>
                <w:rPr>
                  <w:rStyle w:val="a3"/>
                  <w:rFonts w:eastAsia="Times New Roman"/>
                  <w:color w:val="000000"/>
                  <w:sz w:val="20"/>
                  <w:szCs w:val="20"/>
                  <w:u w:val="none"/>
                </w:rPr>
                <w:t>121</w:t>
              </w:r>
            </w:hyperlink>
          </w:p>
        </w:tc>
      </w:tr>
      <w:tr w:rsidR="00000000" w14:paraId="05F3F21E" w14:textId="77777777">
        <w:trPr>
          <w:divId w:val="499657844"/>
        </w:trPr>
        <w:tc>
          <w:tcPr>
            <w:tcW w:w="0" w:type="auto"/>
            <w:gridSpan w:val="3"/>
            <w:tcMar>
              <w:top w:w="30" w:type="dxa"/>
              <w:left w:w="20" w:type="dxa"/>
              <w:bottom w:w="30" w:type="dxa"/>
              <w:right w:w="20" w:type="dxa"/>
            </w:tcMar>
            <w:vAlign w:val="center"/>
            <w:hideMark/>
          </w:tcPr>
          <w:p w14:paraId="53F30C75" w14:textId="77777777" w:rsidR="00000000" w:rsidRDefault="00A173A8">
            <w:pPr>
              <w:spacing w:after="100"/>
              <w:divId w:val="1716737872"/>
              <w:rPr>
                <w:rFonts w:eastAsia="Times New Roman"/>
              </w:rPr>
            </w:pPr>
            <w:hyperlink w:anchor="i7ffd5d61af6f4722b1b1b07530d51c06_466"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14:paraId="2E31C935" w14:textId="77777777" w:rsidR="00000000" w:rsidRDefault="00A173A8">
            <w:pPr>
              <w:spacing w:after="100"/>
              <w:divId w:val="796682127"/>
              <w:rPr>
                <w:rFonts w:eastAsia="Times New Roman"/>
              </w:rPr>
            </w:pPr>
            <w:hyperlink w:anchor="i7ffd5d61af6f4722b1b1b07530d51c06_466" w:history="1">
              <w:r>
                <w:rPr>
                  <w:rStyle w:val="a3"/>
                  <w:rFonts w:eastAsia="Times New Roman"/>
                  <w:color w:val="000000"/>
                  <w:sz w:val="20"/>
                  <w:szCs w:val="20"/>
                  <w:u w:val="none"/>
                </w:rPr>
                <w:t>Unregistered Sales of Equity Securities and Use of Proceeds</w:t>
              </w:r>
            </w:hyperlink>
          </w:p>
        </w:tc>
        <w:tc>
          <w:tcPr>
            <w:tcW w:w="0" w:type="auto"/>
            <w:gridSpan w:val="3"/>
            <w:tcMar>
              <w:top w:w="30" w:type="dxa"/>
              <w:left w:w="20" w:type="dxa"/>
              <w:bottom w:w="30" w:type="dxa"/>
              <w:right w:w="20" w:type="dxa"/>
            </w:tcMar>
            <w:vAlign w:val="bottom"/>
            <w:hideMark/>
          </w:tcPr>
          <w:p w14:paraId="4700D4E3" w14:textId="77777777" w:rsidR="00000000" w:rsidRDefault="00A173A8">
            <w:pPr>
              <w:spacing w:after="100"/>
              <w:jc w:val="center"/>
              <w:rPr>
                <w:rFonts w:eastAsia="Times New Roman"/>
              </w:rPr>
            </w:pPr>
            <w:hyperlink w:anchor="i7ffd5d61af6f4722b1b1b07530d51c06_466" w:history="1">
              <w:r>
                <w:rPr>
                  <w:rStyle w:val="a3"/>
                  <w:rFonts w:eastAsia="Times New Roman"/>
                  <w:color w:val="000000"/>
                  <w:sz w:val="20"/>
                  <w:szCs w:val="20"/>
                  <w:u w:val="none"/>
                </w:rPr>
                <w:t>121</w:t>
              </w:r>
            </w:hyperlink>
          </w:p>
        </w:tc>
      </w:tr>
      <w:tr w:rsidR="00000000" w14:paraId="53CEF53C" w14:textId="77777777">
        <w:trPr>
          <w:divId w:val="499657844"/>
        </w:trPr>
        <w:tc>
          <w:tcPr>
            <w:tcW w:w="0" w:type="auto"/>
            <w:gridSpan w:val="3"/>
            <w:tcMar>
              <w:top w:w="30" w:type="dxa"/>
              <w:left w:w="20" w:type="dxa"/>
              <w:bottom w:w="30" w:type="dxa"/>
              <w:right w:w="20" w:type="dxa"/>
            </w:tcMar>
            <w:vAlign w:val="center"/>
            <w:hideMark/>
          </w:tcPr>
          <w:p w14:paraId="7A9C20B7" w14:textId="77777777" w:rsidR="00000000" w:rsidRDefault="00A173A8">
            <w:pPr>
              <w:spacing w:after="100"/>
              <w:divId w:val="150755571"/>
              <w:rPr>
                <w:rFonts w:eastAsia="Times New Roman"/>
              </w:rPr>
            </w:pPr>
            <w:hyperlink w:anchor="i7ffd5d61af6f4722b1b1b07530d51c06_469"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14:paraId="52A0190C" w14:textId="77777777" w:rsidR="00000000" w:rsidRDefault="00A173A8">
            <w:pPr>
              <w:spacing w:after="100"/>
              <w:divId w:val="351152425"/>
              <w:rPr>
                <w:rFonts w:eastAsia="Times New Roman"/>
              </w:rPr>
            </w:pPr>
            <w:hyperlink w:anchor="i7ffd5d61af6f4722b1b1b07530d51c06_469" w:history="1">
              <w:r>
                <w:rPr>
                  <w:rStyle w:val="a3"/>
                  <w:rFonts w:eastAsia="Times New Roman"/>
                  <w:color w:val="000000"/>
                  <w:sz w:val="20"/>
                  <w:szCs w:val="20"/>
                  <w:u w:val="none"/>
                </w:rPr>
                <w:t>Defaults Upon Senior Securities</w:t>
              </w:r>
            </w:hyperlink>
          </w:p>
        </w:tc>
        <w:tc>
          <w:tcPr>
            <w:tcW w:w="0" w:type="auto"/>
            <w:gridSpan w:val="3"/>
            <w:tcMar>
              <w:top w:w="30" w:type="dxa"/>
              <w:left w:w="20" w:type="dxa"/>
              <w:bottom w:w="30" w:type="dxa"/>
              <w:right w:w="20" w:type="dxa"/>
            </w:tcMar>
            <w:vAlign w:val="bottom"/>
            <w:hideMark/>
          </w:tcPr>
          <w:p w14:paraId="62EDB1E8" w14:textId="77777777" w:rsidR="00000000" w:rsidRDefault="00A173A8">
            <w:pPr>
              <w:spacing w:after="100"/>
              <w:jc w:val="center"/>
              <w:rPr>
                <w:rFonts w:eastAsia="Times New Roman"/>
              </w:rPr>
            </w:pPr>
            <w:hyperlink w:anchor="i7ffd5d61af6f4722b1b1b07530d51c06_469" w:history="1">
              <w:r>
                <w:rPr>
                  <w:rStyle w:val="a3"/>
                  <w:rFonts w:eastAsia="Times New Roman"/>
                  <w:color w:val="000000"/>
                  <w:sz w:val="20"/>
                  <w:szCs w:val="20"/>
                  <w:u w:val="none"/>
                </w:rPr>
                <w:t>121</w:t>
              </w:r>
            </w:hyperlink>
          </w:p>
        </w:tc>
      </w:tr>
      <w:tr w:rsidR="00000000" w14:paraId="270D4ED3" w14:textId="77777777">
        <w:trPr>
          <w:divId w:val="499657844"/>
        </w:trPr>
        <w:tc>
          <w:tcPr>
            <w:tcW w:w="0" w:type="auto"/>
            <w:gridSpan w:val="3"/>
            <w:tcMar>
              <w:top w:w="30" w:type="dxa"/>
              <w:left w:w="20" w:type="dxa"/>
              <w:bottom w:w="30" w:type="dxa"/>
              <w:right w:w="20" w:type="dxa"/>
            </w:tcMar>
            <w:vAlign w:val="center"/>
            <w:hideMark/>
          </w:tcPr>
          <w:p w14:paraId="45A2E479" w14:textId="77777777" w:rsidR="00000000" w:rsidRDefault="00A173A8">
            <w:pPr>
              <w:spacing w:after="100"/>
              <w:divId w:val="201748291"/>
              <w:rPr>
                <w:rFonts w:eastAsia="Times New Roman"/>
              </w:rPr>
            </w:pPr>
            <w:hyperlink w:anchor="i7ffd5d61af6f4722b1b1b07530d51c06_472"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14:paraId="1523E275" w14:textId="77777777" w:rsidR="00000000" w:rsidRDefault="00A173A8">
            <w:pPr>
              <w:spacing w:after="100"/>
              <w:divId w:val="2036929542"/>
              <w:rPr>
                <w:rFonts w:eastAsia="Times New Roman"/>
              </w:rPr>
            </w:pPr>
            <w:hyperlink w:anchor="i7ffd5d61af6f4722b1b1b07530d51c06_472"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vAlign w:val="bottom"/>
            <w:hideMark/>
          </w:tcPr>
          <w:p w14:paraId="1CB35695" w14:textId="77777777" w:rsidR="00000000" w:rsidRDefault="00A173A8">
            <w:pPr>
              <w:spacing w:after="100"/>
              <w:jc w:val="center"/>
              <w:rPr>
                <w:rFonts w:eastAsia="Times New Roman"/>
              </w:rPr>
            </w:pPr>
            <w:hyperlink w:anchor="i7ffd5d61af6f4722b1b1b07530d51c06_472" w:history="1">
              <w:r>
                <w:rPr>
                  <w:rStyle w:val="a3"/>
                  <w:rFonts w:eastAsia="Times New Roman"/>
                  <w:color w:val="000000"/>
                  <w:sz w:val="20"/>
                  <w:szCs w:val="20"/>
                  <w:u w:val="none"/>
                </w:rPr>
                <w:t>121</w:t>
              </w:r>
            </w:hyperlink>
          </w:p>
        </w:tc>
      </w:tr>
      <w:tr w:rsidR="00000000" w14:paraId="1152F9A1" w14:textId="77777777">
        <w:trPr>
          <w:divId w:val="499657844"/>
        </w:trPr>
        <w:tc>
          <w:tcPr>
            <w:tcW w:w="0" w:type="auto"/>
            <w:gridSpan w:val="3"/>
            <w:tcMar>
              <w:top w:w="30" w:type="dxa"/>
              <w:left w:w="20" w:type="dxa"/>
              <w:bottom w:w="30" w:type="dxa"/>
              <w:right w:w="20" w:type="dxa"/>
            </w:tcMar>
            <w:vAlign w:val="center"/>
            <w:hideMark/>
          </w:tcPr>
          <w:p w14:paraId="4495AD13" w14:textId="77777777" w:rsidR="00000000" w:rsidRDefault="00A173A8">
            <w:pPr>
              <w:spacing w:after="100"/>
              <w:divId w:val="1175652170"/>
              <w:rPr>
                <w:rFonts w:eastAsia="Times New Roman"/>
              </w:rPr>
            </w:pPr>
            <w:hyperlink w:anchor="i7ffd5d61af6f4722b1b1b07530d51c06_475"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14:paraId="3D1D8320" w14:textId="77777777" w:rsidR="00000000" w:rsidRDefault="00A173A8">
            <w:pPr>
              <w:spacing w:after="100"/>
              <w:divId w:val="776490591"/>
              <w:rPr>
                <w:rFonts w:eastAsia="Times New Roman"/>
              </w:rPr>
            </w:pPr>
            <w:hyperlink w:anchor="i7ffd5d61af6f4722b1b1b07530d51c06_475" w:history="1">
              <w:r>
                <w:rPr>
                  <w:rStyle w:val="a3"/>
                  <w:rFonts w:eastAsia="Times New Roman"/>
                  <w:color w:val="000000"/>
                  <w:sz w:val="20"/>
                  <w:szCs w:val="20"/>
                  <w:u w:val="none"/>
                </w:rPr>
                <w:t>Other Information</w:t>
              </w:r>
            </w:hyperlink>
          </w:p>
        </w:tc>
        <w:tc>
          <w:tcPr>
            <w:tcW w:w="0" w:type="auto"/>
            <w:gridSpan w:val="3"/>
            <w:tcMar>
              <w:top w:w="30" w:type="dxa"/>
              <w:left w:w="20" w:type="dxa"/>
              <w:bottom w:w="30" w:type="dxa"/>
              <w:right w:w="20" w:type="dxa"/>
            </w:tcMar>
            <w:vAlign w:val="bottom"/>
            <w:hideMark/>
          </w:tcPr>
          <w:p w14:paraId="303C3892" w14:textId="77777777" w:rsidR="00000000" w:rsidRDefault="00A173A8">
            <w:pPr>
              <w:spacing w:after="100"/>
              <w:jc w:val="center"/>
              <w:rPr>
                <w:rFonts w:eastAsia="Times New Roman"/>
              </w:rPr>
            </w:pPr>
            <w:hyperlink w:anchor="i7ffd5d61af6f4722b1b1b07530d51c06_475" w:history="1">
              <w:r>
                <w:rPr>
                  <w:rStyle w:val="a3"/>
                  <w:rFonts w:eastAsia="Times New Roman"/>
                  <w:color w:val="000000"/>
                  <w:sz w:val="20"/>
                  <w:szCs w:val="20"/>
                  <w:u w:val="none"/>
                </w:rPr>
                <w:t>121</w:t>
              </w:r>
            </w:hyperlink>
          </w:p>
        </w:tc>
      </w:tr>
      <w:tr w:rsidR="00000000" w14:paraId="5CA3BC09" w14:textId="77777777">
        <w:trPr>
          <w:divId w:val="499657844"/>
        </w:trPr>
        <w:tc>
          <w:tcPr>
            <w:tcW w:w="0" w:type="auto"/>
            <w:gridSpan w:val="3"/>
            <w:tcMar>
              <w:top w:w="30" w:type="dxa"/>
              <w:left w:w="20" w:type="dxa"/>
              <w:bottom w:w="30" w:type="dxa"/>
              <w:right w:w="20" w:type="dxa"/>
            </w:tcMar>
            <w:vAlign w:val="center"/>
            <w:hideMark/>
          </w:tcPr>
          <w:p w14:paraId="373F5EFE" w14:textId="77777777" w:rsidR="00000000" w:rsidRDefault="00A173A8">
            <w:pPr>
              <w:spacing w:after="100"/>
              <w:divId w:val="615987761"/>
              <w:rPr>
                <w:rFonts w:eastAsia="Times New Roman"/>
              </w:rPr>
            </w:pPr>
            <w:hyperlink w:anchor="i7ffd5d61af6f4722b1b1b07530d51c06_478"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14:paraId="152C1762" w14:textId="77777777" w:rsidR="00000000" w:rsidRDefault="00A173A8">
            <w:pPr>
              <w:spacing w:after="100"/>
              <w:divId w:val="1979649759"/>
              <w:rPr>
                <w:rFonts w:eastAsia="Times New Roman"/>
              </w:rPr>
            </w:pPr>
            <w:hyperlink w:anchor="i7ffd5d61af6f4722b1b1b07530d51c06_478" w:history="1">
              <w:r>
                <w:rPr>
                  <w:rStyle w:val="a3"/>
                  <w:rFonts w:eastAsia="Times New Roman"/>
                  <w:color w:val="000000"/>
                  <w:sz w:val="20"/>
                  <w:szCs w:val="20"/>
                  <w:u w:val="none"/>
                </w:rPr>
                <w:t>Exhibits</w:t>
              </w:r>
            </w:hyperlink>
          </w:p>
        </w:tc>
        <w:tc>
          <w:tcPr>
            <w:tcW w:w="0" w:type="auto"/>
            <w:gridSpan w:val="3"/>
            <w:tcMar>
              <w:top w:w="30" w:type="dxa"/>
              <w:left w:w="20" w:type="dxa"/>
              <w:bottom w:w="30" w:type="dxa"/>
              <w:right w:w="20" w:type="dxa"/>
            </w:tcMar>
            <w:vAlign w:val="bottom"/>
            <w:hideMark/>
          </w:tcPr>
          <w:p w14:paraId="5789CDA9" w14:textId="77777777" w:rsidR="00000000" w:rsidRDefault="00A173A8">
            <w:pPr>
              <w:spacing w:after="100"/>
              <w:jc w:val="center"/>
              <w:rPr>
                <w:rFonts w:eastAsia="Times New Roman"/>
              </w:rPr>
            </w:pPr>
            <w:hyperlink w:anchor="i7ffd5d61af6f4722b1b1b07530d51c06_478" w:history="1">
              <w:r>
                <w:rPr>
                  <w:rStyle w:val="a3"/>
                  <w:rFonts w:eastAsia="Times New Roman"/>
                  <w:color w:val="000000"/>
                  <w:sz w:val="20"/>
                  <w:szCs w:val="20"/>
                  <w:u w:val="none"/>
                </w:rPr>
                <w:t>121</w:t>
              </w:r>
            </w:hyperlink>
          </w:p>
        </w:tc>
      </w:tr>
      <w:tr w:rsidR="00000000" w14:paraId="2825FA23" w14:textId="77777777">
        <w:trPr>
          <w:divId w:val="499657844"/>
        </w:trPr>
        <w:tc>
          <w:tcPr>
            <w:tcW w:w="0" w:type="auto"/>
            <w:gridSpan w:val="3"/>
            <w:vAlign w:val="center"/>
            <w:hideMark/>
          </w:tcPr>
          <w:p w14:paraId="107197D7" w14:textId="77777777" w:rsidR="00000000" w:rsidRDefault="00A173A8">
            <w:pPr>
              <w:spacing w:after="100"/>
              <w:jc w:val="center"/>
              <w:rPr>
                <w:rFonts w:eastAsia="Times New Roman"/>
              </w:rPr>
            </w:pPr>
          </w:p>
        </w:tc>
        <w:tc>
          <w:tcPr>
            <w:tcW w:w="0" w:type="auto"/>
            <w:gridSpan w:val="3"/>
            <w:vAlign w:val="center"/>
            <w:hideMark/>
          </w:tcPr>
          <w:p w14:paraId="70DABC2A" w14:textId="77777777" w:rsidR="00000000" w:rsidRDefault="00A173A8">
            <w:pPr>
              <w:spacing w:after="100"/>
              <w:rPr>
                <w:rFonts w:eastAsia="Times New Roman"/>
                <w:sz w:val="20"/>
                <w:szCs w:val="20"/>
              </w:rPr>
            </w:pPr>
          </w:p>
        </w:tc>
        <w:tc>
          <w:tcPr>
            <w:tcW w:w="0" w:type="auto"/>
            <w:gridSpan w:val="3"/>
            <w:vAlign w:val="center"/>
            <w:hideMark/>
          </w:tcPr>
          <w:p w14:paraId="127185C8" w14:textId="77777777" w:rsidR="00000000" w:rsidRDefault="00A173A8">
            <w:pPr>
              <w:spacing w:after="100"/>
              <w:rPr>
                <w:rFonts w:eastAsia="Times New Roman"/>
                <w:sz w:val="20"/>
                <w:szCs w:val="20"/>
              </w:rPr>
            </w:pPr>
          </w:p>
        </w:tc>
      </w:tr>
      <w:tr w:rsidR="00000000" w14:paraId="54A05A63" w14:textId="77777777">
        <w:trPr>
          <w:divId w:val="499657844"/>
        </w:trPr>
        <w:tc>
          <w:tcPr>
            <w:tcW w:w="0" w:type="auto"/>
            <w:gridSpan w:val="3"/>
            <w:vAlign w:val="center"/>
            <w:hideMark/>
          </w:tcPr>
          <w:p w14:paraId="53F9D832" w14:textId="77777777" w:rsidR="00000000" w:rsidRDefault="00A173A8">
            <w:pPr>
              <w:spacing w:after="100"/>
              <w:rPr>
                <w:rFonts w:eastAsia="Times New Roman"/>
                <w:sz w:val="20"/>
                <w:szCs w:val="20"/>
              </w:rPr>
            </w:pPr>
          </w:p>
        </w:tc>
        <w:tc>
          <w:tcPr>
            <w:tcW w:w="0" w:type="auto"/>
            <w:gridSpan w:val="3"/>
            <w:vAlign w:val="center"/>
            <w:hideMark/>
          </w:tcPr>
          <w:p w14:paraId="32E7DAF2" w14:textId="77777777" w:rsidR="00000000" w:rsidRDefault="00A173A8">
            <w:pPr>
              <w:spacing w:after="100"/>
              <w:rPr>
                <w:rFonts w:eastAsia="Times New Roman"/>
                <w:sz w:val="20"/>
                <w:szCs w:val="20"/>
              </w:rPr>
            </w:pPr>
          </w:p>
        </w:tc>
        <w:tc>
          <w:tcPr>
            <w:tcW w:w="0" w:type="auto"/>
            <w:vAlign w:val="center"/>
            <w:hideMark/>
          </w:tcPr>
          <w:p w14:paraId="03C73528" w14:textId="77777777" w:rsidR="00000000" w:rsidRDefault="00A173A8">
            <w:pPr>
              <w:spacing w:after="100"/>
              <w:rPr>
                <w:rFonts w:eastAsia="Times New Roman"/>
                <w:sz w:val="20"/>
                <w:szCs w:val="20"/>
              </w:rPr>
            </w:pPr>
          </w:p>
        </w:tc>
        <w:tc>
          <w:tcPr>
            <w:tcW w:w="0" w:type="auto"/>
            <w:vAlign w:val="center"/>
            <w:hideMark/>
          </w:tcPr>
          <w:p w14:paraId="0C4EFEB3" w14:textId="77777777" w:rsidR="00000000" w:rsidRDefault="00A173A8">
            <w:pPr>
              <w:spacing w:after="100"/>
              <w:rPr>
                <w:rFonts w:eastAsia="Times New Roman"/>
                <w:sz w:val="20"/>
                <w:szCs w:val="20"/>
              </w:rPr>
            </w:pPr>
          </w:p>
        </w:tc>
        <w:tc>
          <w:tcPr>
            <w:tcW w:w="0" w:type="auto"/>
            <w:vAlign w:val="center"/>
            <w:hideMark/>
          </w:tcPr>
          <w:p w14:paraId="4D8DD139" w14:textId="77777777" w:rsidR="00000000" w:rsidRDefault="00A173A8">
            <w:pPr>
              <w:spacing w:after="100"/>
              <w:rPr>
                <w:rFonts w:eastAsia="Times New Roman"/>
                <w:sz w:val="20"/>
                <w:szCs w:val="20"/>
              </w:rPr>
            </w:pPr>
          </w:p>
        </w:tc>
      </w:tr>
      <w:tr w:rsidR="00000000" w14:paraId="5DA97B89" w14:textId="77777777">
        <w:trPr>
          <w:divId w:val="499657844"/>
        </w:trPr>
        <w:tc>
          <w:tcPr>
            <w:tcW w:w="0" w:type="auto"/>
            <w:gridSpan w:val="3"/>
            <w:vAlign w:val="center"/>
            <w:hideMark/>
          </w:tcPr>
          <w:p w14:paraId="26B86A46" w14:textId="77777777" w:rsidR="00000000" w:rsidRDefault="00A173A8">
            <w:pPr>
              <w:spacing w:after="100"/>
              <w:rPr>
                <w:rFonts w:eastAsia="Times New Roman"/>
                <w:sz w:val="20"/>
                <w:szCs w:val="20"/>
              </w:rPr>
            </w:pPr>
          </w:p>
        </w:tc>
        <w:tc>
          <w:tcPr>
            <w:tcW w:w="0" w:type="auto"/>
            <w:gridSpan w:val="3"/>
            <w:vAlign w:val="center"/>
            <w:hideMark/>
          </w:tcPr>
          <w:p w14:paraId="0BD1BEE6" w14:textId="77777777" w:rsidR="00000000" w:rsidRDefault="00A173A8">
            <w:pPr>
              <w:spacing w:after="100"/>
              <w:rPr>
                <w:rFonts w:eastAsia="Times New Roman"/>
                <w:sz w:val="20"/>
                <w:szCs w:val="20"/>
              </w:rPr>
            </w:pPr>
          </w:p>
        </w:tc>
        <w:tc>
          <w:tcPr>
            <w:tcW w:w="0" w:type="auto"/>
            <w:gridSpan w:val="3"/>
            <w:vAlign w:val="center"/>
            <w:hideMark/>
          </w:tcPr>
          <w:p w14:paraId="08952B44" w14:textId="77777777" w:rsidR="00000000" w:rsidRDefault="00A173A8">
            <w:pPr>
              <w:spacing w:after="100"/>
              <w:rPr>
                <w:rFonts w:eastAsia="Times New Roman"/>
                <w:sz w:val="20"/>
                <w:szCs w:val="20"/>
              </w:rPr>
            </w:pPr>
          </w:p>
        </w:tc>
      </w:tr>
      <w:tr w:rsidR="00000000" w14:paraId="742A199D" w14:textId="77777777">
        <w:trPr>
          <w:divId w:val="499657844"/>
        </w:trPr>
        <w:tc>
          <w:tcPr>
            <w:tcW w:w="0" w:type="auto"/>
            <w:gridSpan w:val="3"/>
            <w:vAlign w:val="center"/>
            <w:hideMark/>
          </w:tcPr>
          <w:p w14:paraId="49F51A93" w14:textId="77777777" w:rsidR="00000000" w:rsidRDefault="00A173A8">
            <w:pPr>
              <w:spacing w:after="100"/>
              <w:rPr>
                <w:rFonts w:eastAsia="Times New Roman"/>
                <w:sz w:val="20"/>
                <w:szCs w:val="20"/>
              </w:rPr>
            </w:pPr>
          </w:p>
        </w:tc>
        <w:tc>
          <w:tcPr>
            <w:tcW w:w="0" w:type="auto"/>
            <w:gridSpan w:val="3"/>
            <w:vAlign w:val="center"/>
            <w:hideMark/>
          </w:tcPr>
          <w:p w14:paraId="5B095124" w14:textId="77777777" w:rsidR="00000000" w:rsidRDefault="00A173A8">
            <w:pPr>
              <w:spacing w:after="100"/>
              <w:rPr>
                <w:rFonts w:eastAsia="Times New Roman"/>
                <w:sz w:val="20"/>
                <w:szCs w:val="20"/>
              </w:rPr>
            </w:pPr>
          </w:p>
        </w:tc>
        <w:tc>
          <w:tcPr>
            <w:tcW w:w="0" w:type="auto"/>
            <w:gridSpan w:val="3"/>
            <w:vAlign w:val="center"/>
            <w:hideMark/>
          </w:tcPr>
          <w:p w14:paraId="0F7AC6D2" w14:textId="77777777" w:rsidR="00000000" w:rsidRDefault="00A173A8">
            <w:pPr>
              <w:spacing w:after="100"/>
              <w:rPr>
                <w:rFonts w:eastAsia="Times New Roman"/>
                <w:sz w:val="20"/>
                <w:szCs w:val="20"/>
              </w:rPr>
            </w:pPr>
          </w:p>
        </w:tc>
      </w:tr>
      <w:tr w:rsidR="00000000" w14:paraId="544F84F9" w14:textId="77777777">
        <w:trPr>
          <w:divId w:val="499657844"/>
          <w:trHeight w:val="300"/>
        </w:trPr>
        <w:tc>
          <w:tcPr>
            <w:tcW w:w="0" w:type="auto"/>
            <w:gridSpan w:val="3"/>
            <w:tcMar>
              <w:top w:w="0" w:type="dxa"/>
              <w:left w:w="20" w:type="dxa"/>
              <w:bottom w:w="0" w:type="dxa"/>
              <w:right w:w="20" w:type="dxa"/>
            </w:tcMar>
            <w:vAlign w:val="center"/>
            <w:hideMark/>
          </w:tcPr>
          <w:p w14:paraId="0E258623"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97A7F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143C05" w14:textId="77777777" w:rsidR="00000000" w:rsidRDefault="00A173A8">
            <w:pPr>
              <w:spacing w:after="100"/>
              <w:rPr>
                <w:rFonts w:eastAsia="Times New Roman"/>
                <w:sz w:val="20"/>
                <w:szCs w:val="20"/>
              </w:rPr>
            </w:pPr>
          </w:p>
        </w:tc>
      </w:tr>
      <w:tr w:rsidR="00000000" w14:paraId="0F386CA4" w14:textId="77777777">
        <w:trPr>
          <w:divId w:val="499657844"/>
        </w:trPr>
        <w:tc>
          <w:tcPr>
            <w:tcW w:w="0" w:type="auto"/>
            <w:gridSpan w:val="6"/>
            <w:tcMar>
              <w:top w:w="30" w:type="dxa"/>
              <w:left w:w="20" w:type="dxa"/>
              <w:bottom w:w="30" w:type="dxa"/>
              <w:right w:w="20" w:type="dxa"/>
            </w:tcMar>
            <w:hideMark/>
          </w:tcPr>
          <w:p w14:paraId="09AD39A6" w14:textId="77777777" w:rsidR="00000000" w:rsidRDefault="00A173A8">
            <w:pPr>
              <w:spacing w:after="100"/>
              <w:divId w:val="223294471"/>
              <w:rPr>
                <w:rFonts w:eastAsia="Times New Roman"/>
              </w:rPr>
            </w:pPr>
            <w:hyperlink w:anchor="i7ffd5d61af6f4722b1b1b07530d51c06_505" w:history="1">
              <w:r>
                <w:rPr>
                  <w:rStyle w:val="a3"/>
                  <w:rFonts w:eastAsia="Times New Roman"/>
                  <w:b/>
                  <w:bCs/>
                  <w:color w:val="000000"/>
                  <w:sz w:val="20"/>
                  <w:szCs w:val="20"/>
                  <w:u w:val="none"/>
                </w:rPr>
                <w:t>EXHIBIT INDEX</w:t>
              </w:r>
            </w:hyperlink>
          </w:p>
        </w:tc>
        <w:tc>
          <w:tcPr>
            <w:tcW w:w="0" w:type="auto"/>
            <w:gridSpan w:val="3"/>
            <w:tcMar>
              <w:top w:w="30" w:type="dxa"/>
              <w:left w:w="20" w:type="dxa"/>
              <w:bottom w:w="30" w:type="dxa"/>
              <w:right w:w="20" w:type="dxa"/>
            </w:tcMar>
            <w:vAlign w:val="bottom"/>
            <w:hideMark/>
          </w:tcPr>
          <w:p w14:paraId="55894C14" w14:textId="77777777" w:rsidR="00000000" w:rsidRDefault="00A173A8">
            <w:pPr>
              <w:spacing w:after="100"/>
              <w:jc w:val="center"/>
              <w:rPr>
                <w:rFonts w:eastAsia="Times New Roman"/>
              </w:rPr>
            </w:pPr>
            <w:hyperlink w:anchor="i7ffd5d61af6f4722b1b1b07530d51c06_505" w:history="1">
              <w:r>
                <w:rPr>
                  <w:rStyle w:val="a3"/>
                  <w:rFonts w:eastAsia="Times New Roman"/>
                  <w:b/>
                  <w:bCs/>
                  <w:color w:val="000000"/>
                  <w:sz w:val="20"/>
                  <w:szCs w:val="20"/>
                  <w:u w:val="none"/>
                </w:rPr>
                <w:t>122</w:t>
              </w:r>
            </w:hyperlink>
          </w:p>
        </w:tc>
      </w:tr>
      <w:tr w:rsidR="00000000" w14:paraId="12563638" w14:textId="77777777">
        <w:trPr>
          <w:divId w:val="499657844"/>
        </w:trPr>
        <w:tc>
          <w:tcPr>
            <w:tcW w:w="0" w:type="auto"/>
            <w:gridSpan w:val="6"/>
            <w:tcMar>
              <w:top w:w="30" w:type="dxa"/>
              <w:left w:w="20" w:type="dxa"/>
              <w:bottom w:w="30" w:type="dxa"/>
              <w:right w:w="20" w:type="dxa"/>
            </w:tcMar>
            <w:hideMark/>
          </w:tcPr>
          <w:p w14:paraId="02AC8D19" w14:textId="77777777" w:rsidR="00000000" w:rsidRDefault="00A173A8">
            <w:pPr>
              <w:spacing w:after="100"/>
              <w:divId w:val="52780854"/>
              <w:rPr>
                <w:rFonts w:eastAsia="Times New Roman"/>
              </w:rPr>
            </w:pPr>
            <w:hyperlink w:anchor="i7ffd5d61af6f4722b1b1b07530d51c06_508" w:history="1">
              <w:r>
                <w:rPr>
                  <w:rStyle w:val="a3"/>
                  <w:rFonts w:eastAsia="Times New Roman"/>
                  <w:b/>
                  <w:bCs/>
                  <w:color w:val="000000"/>
                  <w:sz w:val="20"/>
                  <w:szCs w:val="20"/>
                  <w:u w:val="none"/>
                </w:rPr>
                <w:t>SIGNATURES</w:t>
              </w:r>
            </w:hyperlink>
          </w:p>
        </w:tc>
        <w:tc>
          <w:tcPr>
            <w:tcW w:w="0" w:type="auto"/>
            <w:gridSpan w:val="3"/>
            <w:tcMar>
              <w:top w:w="30" w:type="dxa"/>
              <w:left w:w="20" w:type="dxa"/>
              <w:bottom w:w="30" w:type="dxa"/>
              <w:right w:w="20" w:type="dxa"/>
            </w:tcMar>
            <w:vAlign w:val="bottom"/>
            <w:hideMark/>
          </w:tcPr>
          <w:p w14:paraId="30ADB06E" w14:textId="77777777" w:rsidR="00000000" w:rsidRDefault="00A173A8">
            <w:pPr>
              <w:spacing w:after="100"/>
              <w:jc w:val="center"/>
              <w:rPr>
                <w:rFonts w:eastAsia="Times New Roman"/>
              </w:rPr>
            </w:pPr>
            <w:hyperlink w:anchor="i7ffd5d61af6f4722b1b1b07530d51c06_508" w:history="1">
              <w:r>
                <w:rPr>
                  <w:rStyle w:val="a3"/>
                  <w:rFonts w:eastAsia="Times New Roman"/>
                  <w:b/>
                  <w:bCs/>
                  <w:color w:val="000000"/>
                  <w:sz w:val="20"/>
                  <w:szCs w:val="20"/>
                  <w:u w:val="none"/>
                </w:rPr>
                <w:t>123</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4F227BF" w14:textId="77777777">
        <w:trPr>
          <w:jc w:val="center"/>
        </w:trPr>
        <w:tc>
          <w:tcPr>
            <w:tcW w:w="50" w:type="pct"/>
            <w:vAlign w:val="center"/>
            <w:hideMark/>
          </w:tcPr>
          <w:p w14:paraId="106ACD0D" w14:textId="77777777" w:rsidR="00000000" w:rsidRDefault="00A173A8">
            <w:pPr>
              <w:jc w:val="both"/>
              <w:rPr>
                <w:rFonts w:eastAsia="Times New Roman"/>
              </w:rPr>
            </w:pPr>
          </w:p>
        </w:tc>
        <w:tc>
          <w:tcPr>
            <w:tcW w:w="1606" w:type="pct"/>
            <w:vAlign w:val="center"/>
            <w:hideMark/>
          </w:tcPr>
          <w:p w14:paraId="6C4922DE" w14:textId="77777777" w:rsidR="00000000" w:rsidRDefault="00A173A8">
            <w:pPr>
              <w:spacing w:after="100"/>
              <w:rPr>
                <w:rFonts w:eastAsia="Times New Roman"/>
                <w:sz w:val="20"/>
                <w:szCs w:val="20"/>
              </w:rPr>
            </w:pPr>
          </w:p>
        </w:tc>
        <w:tc>
          <w:tcPr>
            <w:tcW w:w="5" w:type="pct"/>
            <w:vAlign w:val="center"/>
            <w:hideMark/>
          </w:tcPr>
          <w:p w14:paraId="4CCB92DD" w14:textId="77777777" w:rsidR="00000000" w:rsidRDefault="00A173A8">
            <w:pPr>
              <w:spacing w:after="100"/>
              <w:rPr>
                <w:rFonts w:eastAsia="Times New Roman"/>
                <w:sz w:val="20"/>
                <w:szCs w:val="20"/>
              </w:rPr>
            </w:pPr>
          </w:p>
        </w:tc>
        <w:tc>
          <w:tcPr>
            <w:tcW w:w="50" w:type="pct"/>
            <w:vAlign w:val="center"/>
            <w:hideMark/>
          </w:tcPr>
          <w:p w14:paraId="38CDF7A3" w14:textId="77777777" w:rsidR="00000000" w:rsidRDefault="00A173A8">
            <w:pPr>
              <w:spacing w:after="100"/>
              <w:rPr>
                <w:rFonts w:eastAsia="Times New Roman"/>
                <w:sz w:val="20"/>
                <w:szCs w:val="20"/>
              </w:rPr>
            </w:pPr>
          </w:p>
        </w:tc>
        <w:tc>
          <w:tcPr>
            <w:tcW w:w="1614" w:type="pct"/>
            <w:vAlign w:val="center"/>
            <w:hideMark/>
          </w:tcPr>
          <w:p w14:paraId="50A1E967" w14:textId="77777777" w:rsidR="00000000" w:rsidRDefault="00A173A8">
            <w:pPr>
              <w:spacing w:after="100"/>
              <w:rPr>
                <w:rFonts w:eastAsia="Times New Roman"/>
                <w:sz w:val="20"/>
                <w:szCs w:val="20"/>
              </w:rPr>
            </w:pPr>
          </w:p>
        </w:tc>
        <w:tc>
          <w:tcPr>
            <w:tcW w:w="5" w:type="pct"/>
            <w:vAlign w:val="center"/>
            <w:hideMark/>
          </w:tcPr>
          <w:p w14:paraId="6E83EF4E" w14:textId="77777777" w:rsidR="00000000" w:rsidRDefault="00A173A8">
            <w:pPr>
              <w:spacing w:after="100"/>
              <w:rPr>
                <w:rFonts w:eastAsia="Times New Roman"/>
                <w:sz w:val="20"/>
                <w:szCs w:val="20"/>
              </w:rPr>
            </w:pPr>
          </w:p>
        </w:tc>
        <w:tc>
          <w:tcPr>
            <w:tcW w:w="50" w:type="pct"/>
            <w:vAlign w:val="center"/>
            <w:hideMark/>
          </w:tcPr>
          <w:p w14:paraId="568069D6" w14:textId="77777777" w:rsidR="00000000" w:rsidRDefault="00A173A8">
            <w:pPr>
              <w:spacing w:after="100"/>
              <w:rPr>
                <w:rFonts w:eastAsia="Times New Roman"/>
                <w:sz w:val="20"/>
                <w:szCs w:val="20"/>
              </w:rPr>
            </w:pPr>
          </w:p>
        </w:tc>
        <w:tc>
          <w:tcPr>
            <w:tcW w:w="1614" w:type="pct"/>
            <w:vAlign w:val="center"/>
            <w:hideMark/>
          </w:tcPr>
          <w:p w14:paraId="1769232B" w14:textId="77777777" w:rsidR="00000000" w:rsidRDefault="00A173A8">
            <w:pPr>
              <w:spacing w:after="100"/>
              <w:rPr>
                <w:rFonts w:eastAsia="Times New Roman"/>
                <w:sz w:val="20"/>
                <w:szCs w:val="20"/>
              </w:rPr>
            </w:pPr>
          </w:p>
        </w:tc>
        <w:tc>
          <w:tcPr>
            <w:tcW w:w="5" w:type="pct"/>
            <w:vAlign w:val="center"/>
            <w:hideMark/>
          </w:tcPr>
          <w:p w14:paraId="3776D5BB" w14:textId="77777777" w:rsidR="00000000" w:rsidRDefault="00A173A8">
            <w:pPr>
              <w:spacing w:after="100"/>
              <w:rPr>
                <w:rFonts w:eastAsia="Times New Roman"/>
                <w:sz w:val="20"/>
                <w:szCs w:val="20"/>
              </w:rPr>
            </w:pPr>
          </w:p>
        </w:tc>
      </w:tr>
      <w:tr w:rsidR="00000000" w14:paraId="43B76EDA" w14:textId="77777777">
        <w:trPr>
          <w:trHeight w:val="300"/>
          <w:jc w:val="center"/>
        </w:trPr>
        <w:tc>
          <w:tcPr>
            <w:tcW w:w="0" w:type="auto"/>
            <w:gridSpan w:val="9"/>
            <w:tcMar>
              <w:top w:w="0" w:type="dxa"/>
              <w:left w:w="20" w:type="dxa"/>
              <w:bottom w:w="0" w:type="dxa"/>
              <w:right w:w="20" w:type="dxa"/>
            </w:tcMar>
            <w:vAlign w:val="center"/>
            <w:hideMark/>
          </w:tcPr>
          <w:p w14:paraId="38EBA8CC" w14:textId="77777777" w:rsidR="00000000" w:rsidRDefault="00A173A8">
            <w:pPr>
              <w:spacing w:after="100"/>
              <w:rPr>
                <w:rFonts w:eastAsia="Times New Roman"/>
                <w:sz w:val="20"/>
                <w:szCs w:val="20"/>
              </w:rPr>
            </w:pPr>
          </w:p>
        </w:tc>
      </w:tr>
      <w:tr w:rsidR="00000000" w14:paraId="35EA67DD" w14:textId="77777777">
        <w:trPr>
          <w:jc w:val="center"/>
        </w:trPr>
        <w:tc>
          <w:tcPr>
            <w:tcW w:w="0" w:type="auto"/>
            <w:gridSpan w:val="3"/>
            <w:tcMar>
              <w:top w:w="0" w:type="dxa"/>
              <w:left w:w="20" w:type="dxa"/>
              <w:bottom w:w="0" w:type="dxa"/>
              <w:right w:w="20" w:type="dxa"/>
            </w:tcMar>
            <w:vAlign w:val="center"/>
            <w:hideMark/>
          </w:tcPr>
          <w:p w14:paraId="6F248BB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811DD19" w14:textId="77777777" w:rsidR="00000000" w:rsidRDefault="00A173A8">
            <w:pPr>
              <w:spacing w:after="100"/>
              <w:jc w:val="center"/>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vAlign w:val="bottom"/>
            <w:hideMark/>
          </w:tcPr>
          <w:p w14:paraId="105C09A3"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C9F6538" w14:textId="77777777" w:rsidR="00000000" w:rsidRDefault="00A173A8">
      <w:pPr>
        <w:rPr>
          <w:rFonts w:eastAsia="Times New Roman"/>
        </w:rPr>
      </w:pPr>
      <w:r>
        <w:rPr>
          <w:rFonts w:eastAsia="Times New Roman"/>
        </w:rPr>
        <w:pict w14:anchorId="3FAE72A0">
          <v:rect id="_x0000_i1027" style="width:0;height:1.5pt" o:hralign="center" o:hrstd="t" o:hr="t" fillcolor="#a0a0a0" stroked="f"/>
        </w:pict>
      </w:r>
    </w:p>
    <w:p w14:paraId="09FB10AE" w14:textId="77777777" w:rsidR="00000000" w:rsidRDefault="00A173A8">
      <w:pPr>
        <w:jc w:val="both"/>
        <w:divId w:val="1613904333"/>
        <w:rPr>
          <w:rFonts w:eastAsia="Times New Roman"/>
        </w:rPr>
      </w:pPr>
    </w:p>
    <w:p w14:paraId="7FBB9615" w14:textId="77777777" w:rsidR="00000000" w:rsidRDefault="00A173A8">
      <w:pPr>
        <w:jc w:val="center"/>
        <w:divId w:val="684865932"/>
        <w:rPr>
          <w:rFonts w:eastAsia="Times New Roman"/>
        </w:rPr>
      </w:pPr>
      <w:r>
        <w:rPr>
          <w:rFonts w:eastAsia="Times New Roman"/>
          <w:b/>
          <w:bCs/>
          <w:color w:val="000000"/>
          <w:sz w:val="20"/>
          <w:szCs w:val="20"/>
        </w:rPr>
        <w:t>INDEX OF MD&amp;A AND SUPPLEMENTAL TABLE</w:t>
      </w:r>
    </w:p>
    <w:tbl>
      <w:tblPr>
        <w:tblW w:w="4837" w:type="pct"/>
        <w:jc w:val="center"/>
        <w:tblCellMar>
          <w:top w:w="15" w:type="dxa"/>
          <w:left w:w="15" w:type="dxa"/>
          <w:bottom w:w="15" w:type="dxa"/>
          <w:right w:w="15" w:type="dxa"/>
        </w:tblCellMar>
        <w:tblLook w:val="04A0" w:firstRow="1" w:lastRow="0" w:firstColumn="1" w:lastColumn="0" w:noHBand="0" w:noVBand="1"/>
      </w:tblPr>
      <w:tblGrid>
        <w:gridCol w:w="65"/>
        <w:gridCol w:w="588"/>
        <w:gridCol w:w="38"/>
        <w:gridCol w:w="65"/>
        <w:gridCol w:w="6738"/>
        <w:gridCol w:w="39"/>
        <w:gridCol w:w="73"/>
        <w:gridCol w:w="393"/>
        <w:gridCol w:w="36"/>
      </w:tblGrid>
      <w:tr w:rsidR="00000000" w14:paraId="103F0C85" w14:textId="77777777">
        <w:trPr>
          <w:divId w:val="870192060"/>
          <w:jc w:val="center"/>
        </w:trPr>
        <w:tc>
          <w:tcPr>
            <w:tcW w:w="50" w:type="pct"/>
            <w:vAlign w:val="center"/>
            <w:hideMark/>
          </w:tcPr>
          <w:p w14:paraId="5A79B0A5" w14:textId="77777777" w:rsidR="00000000" w:rsidRDefault="00A173A8">
            <w:pPr>
              <w:jc w:val="center"/>
              <w:rPr>
                <w:rFonts w:eastAsia="Times New Roman"/>
              </w:rPr>
            </w:pPr>
          </w:p>
        </w:tc>
        <w:tc>
          <w:tcPr>
            <w:tcW w:w="375" w:type="pct"/>
            <w:vAlign w:val="center"/>
            <w:hideMark/>
          </w:tcPr>
          <w:p w14:paraId="097A7E17" w14:textId="77777777" w:rsidR="00000000" w:rsidRDefault="00A173A8">
            <w:pPr>
              <w:spacing w:after="100"/>
              <w:rPr>
                <w:rFonts w:eastAsia="Times New Roman"/>
                <w:sz w:val="20"/>
                <w:szCs w:val="20"/>
              </w:rPr>
            </w:pPr>
          </w:p>
        </w:tc>
        <w:tc>
          <w:tcPr>
            <w:tcW w:w="5" w:type="pct"/>
            <w:vAlign w:val="center"/>
            <w:hideMark/>
          </w:tcPr>
          <w:p w14:paraId="3B43EB28" w14:textId="77777777" w:rsidR="00000000" w:rsidRDefault="00A173A8">
            <w:pPr>
              <w:spacing w:after="100"/>
              <w:rPr>
                <w:rFonts w:eastAsia="Times New Roman"/>
                <w:sz w:val="20"/>
                <w:szCs w:val="20"/>
              </w:rPr>
            </w:pPr>
          </w:p>
        </w:tc>
        <w:tc>
          <w:tcPr>
            <w:tcW w:w="50" w:type="pct"/>
            <w:vAlign w:val="center"/>
            <w:hideMark/>
          </w:tcPr>
          <w:p w14:paraId="37A13D37" w14:textId="77777777" w:rsidR="00000000" w:rsidRDefault="00A173A8">
            <w:pPr>
              <w:spacing w:after="100"/>
              <w:rPr>
                <w:rFonts w:eastAsia="Times New Roman"/>
                <w:sz w:val="20"/>
                <w:szCs w:val="20"/>
              </w:rPr>
            </w:pPr>
          </w:p>
        </w:tc>
        <w:tc>
          <w:tcPr>
            <w:tcW w:w="4200" w:type="pct"/>
            <w:vAlign w:val="center"/>
            <w:hideMark/>
          </w:tcPr>
          <w:p w14:paraId="3FB63F19" w14:textId="77777777" w:rsidR="00000000" w:rsidRDefault="00A173A8">
            <w:pPr>
              <w:spacing w:after="100"/>
              <w:rPr>
                <w:rFonts w:eastAsia="Times New Roman"/>
                <w:sz w:val="20"/>
                <w:szCs w:val="20"/>
              </w:rPr>
            </w:pPr>
          </w:p>
        </w:tc>
        <w:tc>
          <w:tcPr>
            <w:tcW w:w="5" w:type="pct"/>
            <w:vAlign w:val="center"/>
            <w:hideMark/>
          </w:tcPr>
          <w:p w14:paraId="4D9F6CEF" w14:textId="77777777" w:rsidR="00000000" w:rsidRDefault="00A173A8">
            <w:pPr>
              <w:spacing w:after="100"/>
              <w:rPr>
                <w:rFonts w:eastAsia="Times New Roman"/>
                <w:sz w:val="20"/>
                <w:szCs w:val="20"/>
              </w:rPr>
            </w:pPr>
          </w:p>
        </w:tc>
        <w:tc>
          <w:tcPr>
            <w:tcW w:w="50" w:type="pct"/>
            <w:vAlign w:val="center"/>
            <w:hideMark/>
          </w:tcPr>
          <w:p w14:paraId="7822F845" w14:textId="77777777" w:rsidR="00000000" w:rsidRDefault="00A173A8">
            <w:pPr>
              <w:spacing w:after="100"/>
              <w:rPr>
                <w:rFonts w:eastAsia="Times New Roman"/>
                <w:sz w:val="20"/>
                <w:szCs w:val="20"/>
              </w:rPr>
            </w:pPr>
          </w:p>
        </w:tc>
        <w:tc>
          <w:tcPr>
            <w:tcW w:w="258" w:type="pct"/>
            <w:vAlign w:val="center"/>
            <w:hideMark/>
          </w:tcPr>
          <w:p w14:paraId="709B5B09" w14:textId="77777777" w:rsidR="00000000" w:rsidRDefault="00A173A8">
            <w:pPr>
              <w:spacing w:after="100"/>
              <w:rPr>
                <w:rFonts w:eastAsia="Times New Roman"/>
                <w:sz w:val="20"/>
                <w:szCs w:val="20"/>
              </w:rPr>
            </w:pPr>
          </w:p>
        </w:tc>
        <w:tc>
          <w:tcPr>
            <w:tcW w:w="5" w:type="pct"/>
            <w:vAlign w:val="center"/>
            <w:hideMark/>
          </w:tcPr>
          <w:p w14:paraId="13005EBC" w14:textId="77777777" w:rsidR="00000000" w:rsidRDefault="00A173A8">
            <w:pPr>
              <w:spacing w:after="100"/>
              <w:rPr>
                <w:rFonts w:eastAsia="Times New Roman"/>
                <w:sz w:val="20"/>
                <w:szCs w:val="20"/>
              </w:rPr>
            </w:pPr>
          </w:p>
        </w:tc>
      </w:tr>
      <w:tr w:rsidR="00000000" w14:paraId="16F13AB8" w14:textId="77777777">
        <w:trPr>
          <w:divId w:val="870192060"/>
          <w:jc w:val="center"/>
        </w:trPr>
        <w:tc>
          <w:tcPr>
            <w:tcW w:w="0" w:type="auto"/>
            <w:gridSpan w:val="6"/>
            <w:tcMar>
              <w:top w:w="30" w:type="dxa"/>
              <w:left w:w="20" w:type="dxa"/>
              <w:bottom w:w="30" w:type="dxa"/>
              <w:right w:w="20" w:type="dxa"/>
            </w:tcMar>
            <w:vAlign w:val="bottom"/>
            <w:hideMark/>
          </w:tcPr>
          <w:p w14:paraId="5DD002F6" w14:textId="77777777" w:rsidR="00000000" w:rsidRDefault="00A173A8">
            <w:pPr>
              <w:spacing w:after="100"/>
              <w:divId w:val="1470588088"/>
              <w:rPr>
                <w:rFonts w:eastAsia="Times New Roman"/>
              </w:rPr>
            </w:pPr>
            <w:hyperlink w:anchor="i7ffd5d61af6f4722b1b1b07530d51c06_79" w:history="1">
              <w:r>
                <w:rPr>
                  <w:rStyle w:val="a3"/>
                  <w:rFonts w:eastAsia="Times New Roman"/>
                  <w:b/>
                  <w:bCs/>
                  <w:color w:val="000000"/>
                  <w:sz w:val="20"/>
                  <w:szCs w:val="20"/>
                  <w:u w:val="none"/>
                </w:rPr>
                <w:t>MD&amp;A Tables:</w:t>
              </w:r>
            </w:hyperlink>
          </w:p>
        </w:tc>
        <w:tc>
          <w:tcPr>
            <w:tcW w:w="0" w:type="auto"/>
            <w:gridSpan w:val="3"/>
            <w:tcMar>
              <w:top w:w="30" w:type="dxa"/>
              <w:left w:w="20" w:type="dxa"/>
              <w:bottom w:w="30" w:type="dxa"/>
              <w:right w:w="20" w:type="dxa"/>
            </w:tcMar>
            <w:vAlign w:val="bottom"/>
            <w:hideMark/>
          </w:tcPr>
          <w:p w14:paraId="100E7D7F" w14:textId="77777777" w:rsidR="00000000" w:rsidRDefault="00A173A8">
            <w:pPr>
              <w:spacing w:after="100"/>
              <w:jc w:val="center"/>
              <w:rPr>
                <w:rFonts w:eastAsia="Times New Roman"/>
              </w:rPr>
            </w:pPr>
            <w:r>
              <w:rPr>
                <w:rFonts w:eastAsia="Times New Roman"/>
                <w:b/>
                <w:bCs/>
                <w:color w:val="000000"/>
                <w:sz w:val="20"/>
                <w:szCs w:val="20"/>
              </w:rPr>
              <w:t>Page</w:t>
            </w:r>
          </w:p>
        </w:tc>
      </w:tr>
      <w:tr w:rsidR="00000000" w14:paraId="1E668BBB" w14:textId="77777777">
        <w:trPr>
          <w:divId w:val="870192060"/>
          <w:jc w:val="center"/>
        </w:trPr>
        <w:tc>
          <w:tcPr>
            <w:tcW w:w="0" w:type="auto"/>
            <w:gridSpan w:val="3"/>
            <w:tcMar>
              <w:top w:w="30" w:type="dxa"/>
              <w:left w:w="20" w:type="dxa"/>
              <w:bottom w:w="30" w:type="dxa"/>
              <w:right w:w="20" w:type="dxa"/>
            </w:tcMar>
            <w:vAlign w:val="bottom"/>
            <w:hideMark/>
          </w:tcPr>
          <w:p w14:paraId="3F66668E" w14:textId="77777777" w:rsidR="00000000" w:rsidRDefault="00A173A8">
            <w:pPr>
              <w:spacing w:after="100"/>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14:paraId="56793AE3" w14:textId="77777777" w:rsidR="00000000" w:rsidRDefault="00A173A8">
            <w:pPr>
              <w:spacing w:after="100"/>
              <w:divId w:val="2093311786"/>
              <w:rPr>
                <w:rFonts w:eastAsia="Times New Roman"/>
              </w:rPr>
            </w:pPr>
            <w:hyperlink w:anchor="i7ffd5d61af6f4722b1b1b07530d51c06_94" w:history="1">
              <w:r>
                <w:rPr>
                  <w:rStyle w:val="a3"/>
                  <w:rFonts w:eastAsia="Times New Roman"/>
                  <w:color w:val="000000"/>
                  <w:sz w:val="20"/>
                  <w:szCs w:val="20"/>
                  <w:u w:val="none"/>
                </w:rPr>
                <w:t>Consolidated Financial Highlights</w:t>
              </w:r>
            </w:hyperlink>
          </w:p>
        </w:tc>
        <w:tc>
          <w:tcPr>
            <w:tcW w:w="0" w:type="auto"/>
            <w:gridSpan w:val="3"/>
            <w:tcMar>
              <w:top w:w="30" w:type="dxa"/>
              <w:left w:w="20" w:type="dxa"/>
              <w:bottom w:w="30" w:type="dxa"/>
              <w:right w:w="20" w:type="dxa"/>
            </w:tcMar>
            <w:vAlign w:val="bottom"/>
            <w:hideMark/>
          </w:tcPr>
          <w:p w14:paraId="03D5067D" w14:textId="77777777" w:rsidR="00000000" w:rsidRDefault="00A173A8">
            <w:pPr>
              <w:spacing w:after="100"/>
              <w:jc w:val="center"/>
              <w:rPr>
                <w:rFonts w:eastAsia="Times New Roman"/>
              </w:rPr>
            </w:pPr>
            <w:hyperlink w:anchor="i7ffd5d61af6f4722b1b1b07530d51c06_94" w:history="1">
              <w:r>
                <w:rPr>
                  <w:rStyle w:val="a3"/>
                  <w:rFonts w:eastAsia="Times New Roman"/>
                  <w:color w:val="000000"/>
                  <w:sz w:val="20"/>
                  <w:szCs w:val="20"/>
                  <w:u w:val="none"/>
                </w:rPr>
                <w:t>6</w:t>
              </w:r>
            </w:hyperlink>
          </w:p>
        </w:tc>
      </w:tr>
      <w:tr w:rsidR="00000000" w14:paraId="23391186" w14:textId="77777777">
        <w:trPr>
          <w:divId w:val="870192060"/>
          <w:jc w:val="center"/>
        </w:trPr>
        <w:tc>
          <w:tcPr>
            <w:tcW w:w="0" w:type="auto"/>
            <w:gridSpan w:val="3"/>
            <w:tcMar>
              <w:top w:w="30" w:type="dxa"/>
              <w:left w:w="20" w:type="dxa"/>
              <w:bottom w:w="30" w:type="dxa"/>
              <w:right w:w="20" w:type="dxa"/>
            </w:tcMar>
            <w:vAlign w:val="bottom"/>
            <w:hideMark/>
          </w:tcPr>
          <w:p w14:paraId="5F0B3FC0" w14:textId="77777777" w:rsidR="00000000" w:rsidRDefault="00A173A8">
            <w:pPr>
              <w:spacing w:after="100"/>
              <w:jc w:val="cente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14:paraId="4D999924" w14:textId="77777777" w:rsidR="00000000" w:rsidRDefault="00A173A8">
            <w:pPr>
              <w:spacing w:after="100"/>
              <w:divId w:val="1675956397"/>
              <w:rPr>
                <w:rFonts w:eastAsia="Times New Roman"/>
              </w:rPr>
            </w:pPr>
            <w:hyperlink w:anchor="i7ffd5d61af6f4722b1b1b07530d51c06_112" w:history="1">
              <w:r>
                <w:rPr>
                  <w:rStyle w:val="a3"/>
                  <w:rFonts w:eastAsia="Times New Roman"/>
                  <w:color w:val="000000"/>
                  <w:sz w:val="20"/>
                  <w:szCs w:val="20"/>
                  <w:u w:val="none"/>
                </w:rPr>
                <w:t>Average Balances, Net Interest In</w:t>
              </w:r>
              <w:r>
                <w:rPr>
                  <w:rStyle w:val="a3"/>
                  <w:rFonts w:eastAsia="Times New Roman"/>
                  <w:color w:val="000000"/>
                  <w:sz w:val="20"/>
                  <w:szCs w:val="20"/>
                  <w:u w:val="none"/>
                </w:rPr>
                <w:t>come and Net Interest Margin</w:t>
              </w:r>
            </w:hyperlink>
          </w:p>
        </w:tc>
        <w:tc>
          <w:tcPr>
            <w:tcW w:w="0" w:type="auto"/>
            <w:gridSpan w:val="3"/>
            <w:tcMar>
              <w:top w:w="30" w:type="dxa"/>
              <w:left w:w="20" w:type="dxa"/>
              <w:bottom w:w="30" w:type="dxa"/>
              <w:right w:w="20" w:type="dxa"/>
            </w:tcMar>
            <w:vAlign w:val="bottom"/>
            <w:hideMark/>
          </w:tcPr>
          <w:p w14:paraId="1894E59A" w14:textId="77777777" w:rsidR="00000000" w:rsidRDefault="00A173A8">
            <w:pPr>
              <w:spacing w:after="100"/>
              <w:jc w:val="center"/>
              <w:rPr>
                <w:rFonts w:eastAsia="Times New Roman"/>
              </w:rPr>
            </w:pPr>
            <w:hyperlink w:anchor="i7ffd5d61af6f4722b1b1b07530d51c06_112" w:history="1">
              <w:r>
                <w:rPr>
                  <w:rStyle w:val="a3"/>
                  <w:rFonts w:eastAsia="Times New Roman"/>
                  <w:color w:val="000000"/>
                  <w:sz w:val="20"/>
                  <w:szCs w:val="20"/>
                  <w:u w:val="none"/>
                </w:rPr>
                <w:t>11</w:t>
              </w:r>
            </w:hyperlink>
          </w:p>
        </w:tc>
      </w:tr>
      <w:tr w:rsidR="00000000" w14:paraId="5DC4677B" w14:textId="77777777">
        <w:trPr>
          <w:divId w:val="870192060"/>
          <w:jc w:val="center"/>
        </w:trPr>
        <w:tc>
          <w:tcPr>
            <w:tcW w:w="0" w:type="auto"/>
            <w:gridSpan w:val="3"/>
            <w:tcMar>
              <w:top w:w="30" w:type="dxa"/>
              <w:left w:w="20" w:type="dxa"/>
              <w:bottom w:w="30" w:type="dxa"/>
              <w:right w:w="20" w:type="dxa"/>
            </w:tcMar>
            <w:vAlign w:val="bottom"/>
            <w:hideMark/>
          </w:tcPr>
          <w:p w14:paraId="5F620D95" w14:textId="77777777" w:rsidR="00000000" w:rsidRDefault="00A173A8">
            <w:pPr>
              <w:spacing w:after="100"/>
              <w:jc w:val="cente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14:paraId="4FAFE70B" w14:textId="77777777" w:rsidR="00000000" w:rsidRDefault="00A173A8">
            <w:pPr>
              <w:spacing w:after="100"/>
              <w:divId w:val="1335066149"/>
              <w:rPr>
                <w:rFonts w:eastAsia="Times New Roman"/>
              </w:rPr>
            </w:pPr>
            <w:hyperlink w:anchor="i7ffd5d61af6f4722b1b1b07530d51c06_115" w:history="1">
              <w:r>
                <w:rPr>
                  <w:rStyle w:val="a3"/>
                  <w:rFonts w:eastAsia="Times New Roman"/>
                  <w:color w:val="000000"/>
                  <w:sz w:val="20"/>
                  <w:szCs w:val="20"/>
                  <w:u w:val="none"/>
                </w:rPr>
                <w:t>Rate/Volume Analysis of Net Interest Income</w:t>
              </w:r>
            </w:hyperlink>
          </w:p>
        </w:tc>
        <w:tc>
          <w:tcPr>
            <w:tcW w:w="0" w:type="auto"/>
            <w:gridSpan w:val="3"/>
            <w:tcMar>
              <w:top w:w="30" w:type="dxa"/>
              <w:left w:w="20" w:type="dxa"/>
              <w:bottom w:w="30" w:type="dxa"/>
              <w:right w:w="20" w:type="dxa"/>
            </w:tcMar>
            <w:vAlign w:val="bottom"/>
            <w:hideMark/>
          </w:tcPr>
          <w:p w14:paraId="2A3F69A3" w14:textId="77777777" w:rsidR="00000000" w:rsidRDefault="00A173A8">
            <w:pPr>
              <w:spacing w:after="100"/>
              <w:jc w:val="center"/>
              <w:rPr>
                <w:rFonts w:eastAsia="Times New Roman"/>
              </w:rPr>
            </w:pPr>
            <w:hyperlink w:anchor="i7ffd5d61af6f4722b1b1b07530d51c06_115" w:history="1">
              <w:r>
                <w:rPr>
                  <w:rStyle w:val="a3"/>
                  <w:rFonts w:eastAsia="Times New Roman"/>
                  <w:color w:val="000000"/>
                  <w:sz w:val="20"/>
                  <w:szCs w:val="20"/>
                  <w:u w:val="none"/>
                </w:rPr>
                <w:t>13</w:t>
              </w:r>
            </w:hyperlink>
          </w:p>
        </w:tc>
      </w:tr>
      <w:tr w:rsidR="00000000" w14:paraId="7996D69E" w14:textId="77777777">
        <w:trPr>
          <w:divId w:val="870192060"/>
          <w:jc w:val="center"/>
        </w:trPr>
        <w:tc>
          <w:tcPr>
            <w:tcW w:w="0" w:type="auto"/>
            <w:gridSpan w:val="3"/>
            <w:tcMar>
              <w:top w:w="30" w:type="dxa"/>
              <w:left w:w="20" w:type="dxa"/>
              <w:bottom w:w="30" w:type="dxa"/>
              <w:right w:w="20" w:type="dxa"/>
            </w:tcMar>
            <w:vAlign w:val="bottom"/>
            <w:hideMark/>
          </w:tcPr>
          <w:p w14:paraId="52C2CEA5" w14:textId="77777777" w:rsidR="00000000" w:rsidRDefault="00A173A8">
            <w:pPr>
              <w:spacing w:after="100"/>
              <w:jc w:val="cente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14:paraId="167E7E8A" w14:textId="77777777" w:rsidR="00000000" w:rsidRDefault="00A173A8">
            <w:pPr>
              <w:spacing w:after="100"/>
              <w:divId w:val="1902597077"/>
              <w:rPr>
                <w:rFonts w:eastAsia="Times New Roman"/>
              </w:rPr>
            </w:pPr>
            <w:hyperlink w:anchor="i7ffd5d61af6f4722b1b1b07530d51c06_118" w:history="1">
              <w:r>
                <w:rPr>
                  <w:rStyle w:val="a3"/>
                  <w:rFonts w:eastAsia="Times New Roman"/>
                  <w:color w:val="000000"/>
                  <w:sz w:val="20"/>
                  <w:szCs w:val="20"/>
                  <w:u w:val="none"/>
                </w:rPr>
                <w:t>Non-Interest Income</w:t>
              </w:r>
            </w:hyperlink>
          </w:p>
        </w:tc>
        <w:tc>
          <w:tcPr>
            <w:tcW w:w="0" w:type="auto"/>
            <w:gridSpan w:val="3"/>
            <w:tcMar>
              <w:top w:w="30" w:type="dxa"/>
              <w:left w:w="20" w:type="dxa"/>
              <w:bottom w:w="30" w:type="dxa"/>
              <w:right w:w="20" w:type="dxa"/>
            </w:tcMar>
            <w:vAlign w:val="bottom"/>
            <w:hideMark/>
          </w:tcPr>
          <w:p w14:paraId="0DC92B82" w14:textId="77777777" w:rsidR="00000000" w:rsidRDefault="00A173A8">
            <w:pPr>
              <w:spacing w:after="100"/>
              <w:jc w:val="center"/>
              <w:rPr>
                <w:rFonts w:eastAsia="Times New Roman"/>
              </w:rPr>
            </w:pPr>
            <w:hyperlink w:anchor="i7ffd5d61af6f4722b1b1b07530d51c06_118" w:history="1">
              <w:r>
                <w:rPr>
                  <w:rStyle w:val="a3"/>
                  <w:rFonts w:eastAsia="Times New Roman"/>
                  <w:color w:val="000000"/>
                  <w:sz w:val="20"/>
                  <w:szCs w:val="20"/>
                  <w:u w:val="none"/>
                </w:rPr>
                <w:t>14</w:t>
              </w:r>
            </w:hyperlink>
          </w:p>
        </w:tc>
      </w:tr>
      <w:tr w:rsidR="00000000" w14:paraId="04C03175" w14:textId="77777777">
        <w:trPr>
          <w:divId w:val="870192060"/>
          <w:jc w:val="center"/>
        </w:trPr>
        <w:tc>
          <w:tcPr>
            <w:tcW w:w="0" w:type="auto"/>
            <w:gridSpan w:val="3"/>
            <w:tcMar>
              <w:top w:w="30" w:type="dxa"/>
              <w:left w:w="20" w:type="dxa"/>
              <w:bottom w:w="30" w:type="dxa"/>
              <w:right w:w="20" w:type="dxa"/>
            </w:tcMar>
            <w:vAlign w:val="bottom"/>
            <w:hideMark/>
          </w:tcPr>
          <w:p w14:paraId="2AB454AD" w14:textId="77777777" w:rsidR="00000000" w:rsidRDefault="00A173A8">
            <w:pPr>
              <w:spacing w:after="100"/>
              <w:jc w:val="cente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14:paraId="63212C44" w14:textId="77777777" w:rsidR="00000000" w:rsidRDefault="00A173A8">
            <w:pPr>
              <w:spacing w:after="100"/>
              <w:divId w:val="968897202"/>
              <w:rPr>
                <w:rFonts w:eastAsia="Times New Roman"/>
              </w:rPr>
            </w:pPr>
            <w:hyperlink w:anchor="i7ffd5d61af6f4722b1b1b07530d51c06_124" w:history="1">
              <w:r>
                <w:rPr>
                  <w:rStyle w:val="a3"/>
                  <w:rFonts w:eastAsia="Times New Roman"/>
                  <w:color w:val="000000"/>
                  <w:sz w:val="20"/>
                  <w:szCs w:val="20"/>
                  <w:u w:val="none"/>
                </w:rPr>
                <w:t>Non-Interest Expense</w:t>
              </w:r>
            </w:hyperlink>
          </w:p>
        </w:tc>
        <w:tc>
          <w:tcPr>
            <w:tcW w:w="0" w:type="auto"/>
            <w:gridSpan w:val="3"/>
            <w:tcMar>
              <w:top w:w="30" w:type="dxa"/>
              <w:left w:w="20" w:type="dxa"/>
              <w:bottom w:w="30" w:type="dxa"/>
              <w:right w:w="20" w:type="dxa"/>
            </w:tcMar>
            <w:vAlign w:val="bottom"/>
            <w:hideMark/>
          </w:tcPr>
          <w:p w14:paraId="0AAC081F" w14:textId="77777777" w:rsidR="00000000" w:rsidRDefault="00A173A8">
            <w:pPr>
              <w:spacing w:after="100"/>
              <w:jc w:val="center"/>
              <w:rPr>
                <w:rFonts w:eastAsia="Times New Roman"/>
              </w:rPr>
            </w:pPr>
            <w:hyperlink w:anchor="i7ffd5d61af6f4722b1b1b07530d51c06_124" w:history="1">
              <w:r>
                <w:rPr>
                  <w:rStyle w:val="a3"/>
                  <w:rFonts w:eastAsia="Times New Roman"/>
                  <w:color w:val="000000"/>
                  <w:sz w:val="20"/>
                  <w:szCs w:val="20"/>
                  <w:u w:val="none"/>
                </w:rPr>
                <w:t>15</w:t>
              </w:r>
            </w:hyperlink>
          </w:p>
        </w:tc>
      </w:tr>
      <w:tr w:rsidR="00000000" w14:paraId="414994B9" w14:textId="77777777">
        <w:trPr>
          <w:divId w:val="870192060"/>
          <w:jc w:val="center"/>
        </w:trPr>
        <w:tc>
          <w:tcPr>
            <w:tcW w:w="0" w:type="auto"/>
            <w:gridSpan w:val="3"/>
            <w:vAlign w:val="center"/>
            <w:hideMark/>
          </w:tcPr>
          <w:p w14:paraId="5C35FEB7" w14:textId="77777777" w:rsidR="00000000" w:rsidRDefault="00A173A8">
            <w:pPr>
              <w:spacing w:after="100"/>
              <w:jc w:val="center"/>
              <w:rPr>
                <w:rFonts w:eastAsia="Times New Roman"/>
              </w:rPr>
            </w:pPr>
          </w:p>
        </w:tc>
        <w:tc>
          <w:tcPr>
            <w:tcW w:w="0" w:type="auto"/>
            <w:gridSpan w:val="3"/>
            <w:vAlign w:val="center"/>
            <w:hideMark/>
          </w:tcPr>
          <w:p w14:paraId="1E798893" w14:textId="77777777" w:rsidR="00000000" w:rsidRDefault="00A173A8">
            <w:pPr>
              <w:spacing w:after="100"/>
              <w:rPr>
                <w:rFonts w:eastAsia="Times New Roman"/>
                <w:sz w:val="20"/>
                <w:szCs w:val="20"/>
              </w:rPr>
            </w:pPr>
          </w:p>
        </w:tc>
        <w:tc>
          <w:tcPr>
            <w:tcW w:w="0" w:type="auto"/>
            <w:gridSpan w:val="3"/>
            <w:vAlign w:val="center"/>
            <w:hideMark/>
          </w:tcPr>
          <w:p w14:paraId="37793DEE" w14:textId="77777777" w:rsidR="00000000" w:rsidRDefault="00A173A8">
            <w:pPr>
              <w:spacing w:after="100"/>
              <w:rPr>
                <w:rFonts w:eastAsia="Times New Roman"/>
                <w:sz w:val="20"/>
                <w:szCs w:val="20"/>
              </w:rPr>
            </w:pPr>
          </w:p>
        </w:tc>
      </w:tr>
      <w:tr w:rsidR="00000000" w14:paraId="1C40D489" w14:textId="77777777">
        <w:trPr>
          <w:divId w:val="870192060"/>
          <w:jc w:val="center"/>
        </w:trPr>
        <w:tc>
          <w:tcPr>
            <w:tcW w:w="0" w:type="auto"/>
            <w:gridSpan w:val="3"/>
            <w:tcMar>
              <w:top w:w="30" w:type="dxa"/>
              <w:left w:w="20" w:type="dxa"/>
              <w:bottom w:w="30" w:type="dxa"/>
              <w:right w:w="20" w:type="dxa"/>
            </w:tcMar>
            <w:vAlign w:val="bottom"/>
            <w:hideMark/>
          </w:tcPr>
          <w:p w14:paraId="3EDB5F10" w14:textId="77777777" w:rsidR="00000000" w:rsidRDefault="00A173A8">
            <w:pPr>
              <w:spacing w:after="100"/>
              <w:jc w:val="center"/>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14:paraId="00DACB33" w14:textId="77777777" w:rsidR="00000000" w:rsidRDefault="00A173A8">
            <w:pPr>
              <w:spacing w:after="100"/>
              <w:divId w:val="1601253011"/>
              <w:rPr>
                <w:rFonts w:eastAsia="Times New Roman"/>
              </w:rPr>
            </w:pPr>
            <w:hyperlink w:anchor="i7ffd5d61af6f4722b1b1b07530d51c06_139" w:history="1">
              <w:r>
                <w:rPr>
                  <w:rStyle w:val="a3"/>
                  <w:rFonts w:eastAsia="Times New Roman"/>
                  <w:color w:val="000000"/>
                  <w:sz w:val="20"/>
                  <w:szCs w:val="20"/>
                  <w:u w:val="none"/>
                </w:rPr>
                <w:t>Loans Held for Investment</w:t>
              </w:r>
            </w:hyperlink>
          </w:p>
        </w:tc>
        <w:tc>
          <w:tcPr>
            <w:tcW w:w="0" w:type="auto"/>
            <w:gridSpan w:val="3"/>
            <w:tcMar>
              <w:top w:w="30" w:type="dxa"/>
              <w:left w:w="20" w:type="dxa"/>
              <w:bottom w:w="30" w:type="dxa"/>
              <w:right w:w="20" w:type="dxa"/>
            </w:tcMar>
            <w:vAlign w:val="bottom"/>
            <w:hideMark/>
          </w:tcPr>
          <w:p w14:paraId="64B20398" w14:textId="77777777" w:rsidR="00000000" w:rsidRDefault="00A173A8">
            <w:pPr>
              <w:spacing w:after="100"/>
              <w:jc w:val="center"/>
              <w:rPr>
                <w:rFonts w:eastAsia="Times New Roman"/>
              </w:rPr>
            </w:pPr>
            <w:hyperlink w:anchor="i7ffd5d61af6f4722b1b1b07530d51c06_139" w:history="1">
              <w:r>
                <w:rPr>
                  <w:rStyle w:val="a3"/>
                  <w:rFonts w:eastAsia="Times New Roman"/>
                  <w:color w:val="000000"/>
                  <w:sz w:val="20"/>
                  <w:szCs w:val="20"/>
                  <w:u w:val="none"/>
                </w:rPr>
                <w:t>16</w:t>
              </w:r>
            </w:hyperlink>
          </w:p>
        </w:tc>
      </w:tr>
      <w:tr w:rsidR="00000000" w14:paraId="7BF9FAEC" w14:textId="77777777">
        <w:trPr>
          <w:divId w:val="870192060"/>
          <w:jc w:val="center"/>
        </w:trPr>
        <w:tc>
          <w:tcPr>
            <w:tcW w:w="0" w:type="auto"/>
            <w:gridSpan w:val="3"/>
            <w:tcMar>
              <w:top w:w="30" w:type="dxa"/>
              <w:left w:w="20" w:type="dxa"/>
              <w:bottom w:w="30" w:type="dxa"/>
              <w:right w:w="20" w:type="dxa"/>
            </w:tcMar>
            <w:vAlign w:val="bottom"/>
            <w:hideMark/>
          </w:tcPr>
          <w:p w14:paraId="7E264370" w14:textId="77777777" w:rsidR="00000000" w:rsidRDefault="00A173A8">
            <w:pPr>
              <w:spacing w:after="100"/>
              <w:jc w:val="cente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14:paraId="1CF61E52" w14:textId="77777777" w:rsidR="00000000" w:rsidRDefault="00A173A8">
            <w:pPr>
              <w:spacing w:after="100"/>
              <w:divId w:val="1524511068"/>
              <w:rPr>
                <w:rFonts w:eastAsia="Times New Roman"/>
              </w:rPr>
            </w:pPr>
            <w:hyperlink w:anchor="i7ffd5d61af6f4722b1b1b07530d51c06_142" w:history="1">
              <w:r>
                <w:rPr>
                  <w:rStyle w:val="a3"/>
                  <w:rFonts w:eastAsia="Times New Roman"/>
                  <w:color w:val="000000"/>
                  <w:sz w:val="20"/>
                  <w:szCs w:val="20"/>
                  <w:u w:val="none"/>
                </w:rPr>
                <w:t>Funding Sources Composition</w:t>
              </w:r>
            </w:hyperlink>
          </w:p>
        </w:tc>
        <w:tc>
          <w:tcPr>
            <w:tcW w:w="0" w:type="auto"/>
            <w:gridSpan w:val="3"/>
            <w:tcMar>
              <w:top w:w="30" w:type="dxa"/>
              <w:left w:w="20" w:type="dxa"/>
              <w:bottom w:w="30" w:type="dxa"/>
              <w:right w:w="20" w:type="dxa"/>
            </w:tcMar>
            <w:vAlign w:val="bottom"/>
            <w:hideMark/>
          </w:tcPr>
          <w:p w14:paraId="28F5E25E" w14:textId="77777777" w:rsidR="00000000" w:rsidRDefault="00A173A8">
            <w:pPr>
              <w:spacing w:after="100"/>
              <w:jc w:val="center"/>
              <w:rPr>
                <w:rFonts w:eastAsia="Times New Roman"/>
              </w:rPr>
            </w:pPr>
            <w:hyperlink w:anchor="i7ffd5d61af6f4722b1b1b07530d51c06_142" w:history="1">
              <w:r>
                <w:rPr>
                  <w:rStyle w:val="a3"/>
                  <w:rFonts w:eastAsia="Times New Roman"/>
                  <w:color w:val="000000"/>
                  <w:sz w:val="20"/>
                  <w:szCs w:val="20"/>
                  <w:u w:val="none"/>
                </w:rPr>
                <w:t>16</w:t>
              </w:r>
            </w:hyperlink>
          </w:p>
        </w:tc>
      </w:tr>
      <w:tr w:rsidR="00000000" w14:paraId="219891F9" w14:textId="77777777">
        <w:trPr>
          <w:divId w:val="870192060"/>
          <w:jc w:val="center"/>
        </w:trPr>
        <w:tc>
          <w:tcPr>
            <w:tcW w:w="0" w:type="auto"/>
            <w:gridSpan w:val="3"/>
            <w:tcMar>
              <w:top w:w="30" w:type="dxa"/>
              <w:left w:w="20" w:type="dxa"/>
              <w:bottom w:w="30" w:type="dxa"/>
              <w:right w:w="20" w:type="dxa"/>
            </w:tcMar>
            <w:vAlign w:val="bottom"/>
            <w:hideMark/>
          </w:tcPr>
          <w:p w14:paraId="401C3A94" w14:textId="77777777" w:rsidR="00000000" w:rsidRDefault="00A173A8">
            <w:pPr>
              <w:spacing w:after="100"/>
              <w:jc w:val="center"/>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14:paraId="16000993" w14:textId="77777777" w:rsidR="00000000" w:rsidRDefault="00A173A8">
            <w:pPr>
              <w:spacing w:after="100"/>
              <w:divId w:val="845049495"/>
              <w:rPr>
                <w:rFonts w:eastAsia="Times New Roman"/>
              </w:rPr>
            </w:pPr>
            <w:hyperlink w:anchor="i7ffd5d61af6f4722b1b1b07530d51c06_154" w:history="1">
              <w:r>
                <w:rPr>
                  <w:rStyle w:val="a3"/>
                  <w:rFonts w:eastAsia="Times New Roman"/>
                  <w:color w:val="000000"/>
                  <w:sz w:val="20"/>
                  <w:szCs w:val="20"/>
                  <w:u w:val="none"/>
                </w:rPr>
                <w:t>Business Segment Results</w:t>
              </w:r>
            </w:hyperlink>
          </w:p>
        </w:tc>
        <w:tc>
          <w:tcPr>
            <w:tcW w:w="0" w:type="auto"/>
            <w:gridSpan w:val="3"/>
            <w:tcMar>
              <w:top w:w="30" w:type="dxa"/>
              <w:left w:w="20" w:type="dxa"/>
              <w:bottom w:w="30" w:type="dxa"/>
              <w:right w:w="20" w:type="dxa"/>
            </w:tcMar>
            <w:vAlign w:val="bottom"/>
            <w:hideMark/>
          </w:tcPr>
          <w:p w14:paraId="1A7BFCA9" w14:textId="77777777" w:rsidR="00000000" w:rsidRDefault="00A173A8">
            <w:pPr>
              <w:spacing w:after="100"/>
              <w:jc w:val="center"/>
              <w:rPr>
                <w:rFonts w:eastAsia="Times New Roman"/>
              </w:rPr>
            </w:pPr>
            <w:hyperlink w:anchor="i7ffd5d61af6f4722b1b1b07530d51c06_154" w:history="1">
              <w:r>
                <w:rPr>
                  <w:rStyle w:val="a3"/>
                  <w:rFonts w:eastAsia="Times New Roman"/>
                  <w:color w:val="000000"/>
                  <w:sz w:val="20"/>
                  <w:szCs w:val="20"/>
                  <w:u w:val="none"/>
                </w:rPr>
                <w:t>19</w:t>
              </w:r>
            </w:hyperlink>
          </w:p>
        </w:tc>
      </w:tr>
      <w:tr w:rsidR="00000000" w14:paraId="54D4B733" w14:textId="77777777">
        <w:trPr>
          <w:divId w:val="870192060"/>
          <w:jc w:val="center"/>
        </w:trPr>
        <w:tc>
          <w:tcPr>
            <w:tcW w:w="0" w:type="auto"/>
            <w:gridSpan w:val="3"/>
            <w:tcMar>
              <w:top w:w="30" w:type="dxa"/>
              <w:left w:w="20" w:type="dxa"/>
              <w:bottom w:w="30" w:type="dxa"/>
              <w:right w:w="20" w:type="dxa"/>
            </w:tcMar>
            <w:vAlign w:val="bottom"/>
            <w:hideMark/>
          </w:tcPr>
          <w:p w14:paraId="7524C83C" w14:textId="77777777" w:rsidR="00000000" w:rsidRDefault="00A173A8">
            <w:pPr>
              <w:spacing w:after="100"/>
              <w:jc w:val="cente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14:paraId="1F228A47" w14:textId="77777777" w:rsidR="00000000" w:rsidRDefault="00A173A8">
            <w:pPr>
              <w:spacing w:after="100"/>
              <w:divId w:val="1311866259"/>
              <w:rPr>
                <w:rFonts w:eastAsia="Times New Roman"/>
              </w:rPr>
            </w:pPr>
            <w:hyperlink w:anchor="i7ffd5d61af6f4722b1b1b07530d51c06_157" w:history="1">
              <w:r>
                <w:rPr>
                  <w:rStyle w:val="a3"/>
                  <w:rFonts w:eastAsia="Times New Roman"/>
                  <w:color w:val="000000"/>
                  <w:sz w:val="20"/>
                  <w:szCs w:val="20"/>
                  <w:u w:val="none"/>
                </w:rPr>
                <w:t>Credit Card Business Results</w:t>
              </w:r>
            </w:hyperlink>
          </w:p>
        </w:tc>
        <w:tc>
          <w:tcPr>
            <w:tcW w:w="0" w:type="auto"/>
            <w:gridSpan w:val="3"/>
            <w:tcMar>
              <w:top w:w="30" w:type="dxa"/>
              <w:left w:w="20" w:type="dxa"/>
              <w:bottom w:w="30" w:type="dxa"/>
              <w:right w:w="20" w:type="dxa"/>
            </w:tcMar>
            <w:vAlign w:val="bottom"/>
            <w:hideMark/>
          </w:tcPr>
          <w:p w14:paraId="0B1F8F9A" w14:textId="77777777" w:rsidR="00000000" w:rsidRDefault="00A173A8">
            <w:pPr>
              <w:spacing w:after="100"/>
              <w:jc w:val="center"/>
              <w:rPr>
                <w:rFonts w:eastAsia="Times New Roman"/>
              </w:rPr>
            </w:pPr>
            <w:hyperlink w:anchor="i7ffd5d61af6f4722b1b1b07530d51c06_157" w:history="1">
              <w:r>
                <w:rPr>
                  <w:rStyle w:val="a3"/>
                  <w:rFonts w:eastAsia="Times New Roman"/>
                  <w:color w:val="000000"/>
                  <w:sz w:val="20"/>
                  <w:szCs w:val="20"/>
                  <w:u w:val="none"/>
                </w:rPr>
                <w:t>20</w:t>
              </w:r>
            </w:hyperlink>
          </w:p>
        </w:tc>
      </w:tr>
      <w:tr w:rsidR="00000000" w14:paraId="7F8387BE" w14:textId="77777777">
        <w:trPr>
          <w:divId w:val="870192060"/>
          <w:jc w:val="center"/>
        </w:trPr>
        <w:tc>
          <w:tcPr>
            <w:tcW w:w="0" w:type="auto"/>
            <w:gridSpan w:val="3"/>
            <w:tcMar>
              <w:top w:w="30" w:type="dxa"/>
              <w:left w:w="20" w:type="dxa"/>
              <w:bottom w:w="30" w:type="dxa"/>
              <w:right w:w="20" w:type="dxa"/>
            </w:tcMar>
            <w:vAlign w:val="bottom"/>
            <w:hideMark/>
          </w:tcPr>
          <w:p w14:paraId="7F84F877" w14:textId="77777777" w:rsidR="00000000" w:rsidRDefault="00A173A8">
            <w:pPr>
              <w:spacing w:after="100"/>
              <w:jc w:val="center"/>
              <w:rPr>
                <w:rFonts w:eastAsia="Times New Roman"/>
              </w:rPr>
            </w:pPr>
            <w:r>
              <w:rPr>
                <w:rFonts w:eastAsia="Times New Roman"/>
                <w:color w:val="000000"/>
                <w:sz w:val="20"/>
                <w:szCs w:val="20"/>
              </w:rPr>
              <w:t>9.1</w:t>
            </w:r>
          </w:p>
        </w:tc>
        <w:tc>
          <w:tcPr>
            <w:tcW w:w="0" w:type="auto"/>
            <w:gridSpan w:val="3"/>
            <w:tcMar>
              <w:top w:w="30" w:type="dxa"/>
              <w:left w:w="20" w:type="dxa"/>
              <w:bottom w:w="30" w:type="dxa"/>
              <w:right w:w="20" w:type="dxa"/>
            </w:tcMar>
            <w:vAlign w:val="bottom"/>
            <w:hideMark/>
          </w:tcPr>
          <w:p w14:paraId="2B3CDE60" w14:textId="77777777" w:rsidR="00000000" w:rsidRDefault="00A173A8">
            <w:pPr>
              <w:spacing w:after="100"/>
              <w:divId w:val="391005664"/>
              <w:rPr>
                <w:rFonts w:eastAsia="Times New Roman"/>
              </w:rPr>
            </w:pPr>
            <w:hyperlink w:anchor="i7ffd5d61af6f4722b1b1b07530d51c06_160" w:history="1">
              <w:r>
                <w:rPr>
                  <w:rStyle w:val="a3"/>
                  <w:rFonts w:eastAsia="Times New Roman"/>
                  <w:color w:val="000000"/>
                  <w:sz w:val="20"/>
                  <w:szCs w:val="20"/>
                  <w:u w:val="none"/>
                </w:rPr>
                <w:t>Domestic Card Business Results</w:t>
              </w:r>
            </w:hyperlink>
          </w:p>
        </w:tc>
        <w:tc>
          <w:tcPr>
            <w:tcW w:w="0" w:type="auto"/>
            <w:gridSpan w:val="3"/>
            <w:tcMar>
              <w:top w:w="30" w:type="dxa"/>
              <w:left w:w="20" w:type="dxa"/>
              <w:bottom w:w="30" w:type="dxa"/>
              <w:right w:w="20" w:type="dxa"/>
            </w:tcMar>
            <w:vAlign w:val="bottom"/>
            <w:hideMark/>
          </w:tcPr>
          <w:p w14:paraId="592BC724" w14:textId="77777777" w:rsidR="00000000" w:rsidRDefault="00A173A8">
            <w:pPr>
              <w:spacing w:after="100"/>
              <w:jc w:val="center"/>
              <w:rPr>
                <w:rFonts w:eastAsia="Times New Roman"/>
              </w:rPr>
            </w:pPr>
            <w:hyperlink w:anchor="i7ffd5d61af6f4722b1b1b07530d51c06_160" w:history="1">
              <w:r>
                <w:rPr>
                  <w:rStyle w:val="a3"/>
                  <w:rFonts w:eastAsia="Times New Roman"/>
                  <w:color w:val="000000"/>
                  <w:sz w:val="20"/>
                  <w:szCs w:val="20"/>
                  <w:u w:val="none"/>
                </w:rPr>
                <w:t>21</w:t>
              </w:r>
            </w:hyperlink>
          </w:p>
        </w:tc>
      </w:tr>
      <w:tr w:rsidR="00000000" w14:paraId="1026589E" w14:textId="77777777">
        <w:trPr>
          <w:divId w:val="870192060"/>
          <w:jc w:val="center"/>
        </w:trPr>
        <w:tc>
          <w:tcPr>
            <w:tcW w:w="0" w:type="auto"/>
            <w:gridSpan w:val="3"/>
            <w:tcMar>
              <w:top w:w="30" w:type="dxa"/>
              <w:left w:w="20" w:type="dxa"/>
              <w:bottom w:w="30" w:type="dxa"/>
              <w:right w:w="20" w:type="dxa"/>
            </w:tcMar>
            <w:vAlign w:val="bottom"/>
            <w:hideMark/>
          </w:tcPr>
          <w:p w14:paraId="73FB71CA" w14:textId="77777777" w:rsidR="00000000" w:rsidRDefault="00A173A8">
            <w:pPr>
              <w:spacing w:after="100"/>
              <w:jc w:val="cente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14:paraId="104956A2" w14:textId="77777777" w:rsidR="00000000" w:rsidRDefault="00A173A8">
            <w:pPr>
              <w:spacing w:after="100"/>
              <w:divId w:val="806553851"/>
              <w:rPr>
                <w:rFonts w:eastAsia="Times New Roman"/>
              </w:rPr>
            </w:pPr>
            <w:hyperlink w:anchor="i7ffd5d61af6f4722b1b1b07530d51c06_163" w:history="1">
              <w:r>
                <w:rPr>
                  <w:rStyle w:val="a3"/>
                  <w:rFonts w:eastAsia="Times New Roman"/>
                  <w:color w:val="000000"/>
                  <w:sz w:val="20"/>
                  <w:szCs w:val="20"/>
                  <w:u w:val="none"/>
                </w:rPr>
                <w:t>Consumer Banking Business Result</w:t>
              </w:r>
              <w:r>
                <w:rPr>
                  <w:rStyle w:val="a3"/>
                  <w:rFonts w:eastAsia="Times New Roman"/>
                  <w:color w:val="000000"/>
                  <w:sz w:val="20"/>
                  <w:szCs w:val="20"/>
                  <w:u w:val="none"/>
                </w:rPr>
                <w:t>s</w:t>
              </w:r>
            </w:hyperlink>
          </w:p>
        </w:tc>
        <w:tc>
          <w:tcPr>
            <w:tcW w:w="0" w:type="auto"/>
            <w:gridSpan w:val="3"/>
            <w:tcMar>
              <w:top w:w="30" w:type="dxa"/>
              <w:left w:w="20" w:type="dxa"/>
              <w:bottom w:w="30" w:type="dxa"/>
              <w:right w:w="20" w:type="dxa"/>
            </w:tcMar>
            <w:vAlign w:val="bottom"/>
            <w:hideMark/>
          </w:tcPr>
          <w:p w14:paraId="688D4F41" w14:textId="77777777" w:rsidR="00000000" w:rsidRDefault="00A173A8">
            <w:pPr>
              <w:spacing w:after="100"/>
              <w:jc w:val="center"/>
              <w:rPr>
                <w:rFonts w:eastAsia="Times New Roman"/>
              </w:rPr>
            </w:pPr>
            <w:hyperlink w:anchor="i7ffd5d61af6f4722b1b1b07530d51c06_163" w:history="1">
              <w:r>
                <w:rPr>
                  <w:rStyle w:val="a3"/>
                  <w:rFonts w:eastAsia="Times New Roman"/>
                  <w:color w:val="000000"/>
                  <w:sz w:val="20"/>
                  <w:szCs w:val="20"/>
                  <w:u w:val="none"/>
                </w:rPr>
                <w:t>23</w:t>
              </w:r>
            </w:hyperlink>
          </w:p>
        </w:tc>
      </w:tr>
      <w:tr w:rsidR="00000000" w14:paraId="04CAC425" w14:textId="77777777">
        <w:trPr>
          <w:divId w:val="870192060"/>
          <w:jc w:val="center"/>
        </w:trPr>
        <w:tc>
          <w:tcPr>
            <w:tcW w:w="0" w:type="auto"/>
            <w:gridSpan w:val="3"/>
            <w:tcMar>
              <w:top w:w="30" w:type="dxa"/>
              <w:left w:w="20" w:type="dxa"/>
              <w:bottom w:w="30" w:type="dxa"/>
              <w:right w:w="20" w:type="dxa"/>
            </w:tcMar>
            <w:vAlign w:val="bottom"/>
            <w:hideMark/>
          </w:tcPr>
          <w:p w14:paraId="2A225D5F" w14:textId="77777777" w:rsidR="00000000" w:rsidRDefault="00A173A8">
            <w:pPr>
              <w:spacing w:after="100"/>
              <w:jc w:val="cente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14:paraId="0364D34B" w14:textId="77777777" w:rsidR="00000000" w:rsidRDefault="00A173A8">
            <w:pPr>
              <w:spacing w:after="100"/>
              <w:divId w:val="556206002"/>
              <w:rPr>
                <w:rFonts w:eastAsia="Times New Roman"/>
              </w:rPr>
            </w:pPr>
            <w:hyperlink w:anchor="i7ffd5d61af6f4722b1b1b07530d51c06_166" w:history="1">
              <w:r>
                <w:rPr>
                  <w:rStyle w:val="a3"/>
                  <w:rFonts w:eastAsia="Times New Roman"/>
                  <w:color w:val="000000"/>
                  <w:sz w:val="20"/>
                  <w:szCs w:val="20"/>
                  <w:u w:val="none"/>
                </w:rPr>
                <w:t>Commercial Banking Business Results</w:t>
              </w:r>
            </w:hyperlink>
          </w:p>
        </w:tc>
        <w:tc>
          <w:tcPr>
            <w:tcW w:w="0" w:type="auto"/>
            <w:gridSpan w:val="3"/>
            <w:tcMar>
              <w:top w:w="30" w:type="dxa"/>
              <w:left w:w="20" w:type="dxa"/>
              <w:bottom w:w="30" w:type="dxa"/>
              <w:right w:w="20" w:type="dxa"/>
            </w:tcMar>
            <w:vAlign w:val="bottom"/>
            <w:hideMark/>
          </w:tcPr>
          <w:p w14:paraId="4E0A8630" w14:textId="77777777" w:rsidR="00000000" w:rsidRDefault="00A173A8">
            <w:pPr>
              <w:spacing w:after="100"/>
              <w:jc w:val="center"/>
              <w:rPr>
                <w:rFonts w:eastAsia="Times New Roman"/>
              </w:rPr>
            </w:pPr>
            <w:hyperlink w:anchor="i7ffd5d61af6f4722b1b1b07530d51c06_166" w:history="1">
              <w:r>
                <w:rPr>
                  <w:rStyle w:val="a3"/>
                  <w:rFonts w:eastAsia="Times New Roman"/>
                  <w:color w:val="000000"/>
                  <w:sz w:val="20"/>
                  <w:szCs w:val="20"/>
                  <w:u w:val="none"/>
                </w:rPr>
                <w:t>25</w:t>
              </w:r>
            </w:hyperlink>
          </w:p>
        </w:tc>
      </w:tr>
      <w:tr w:rsidR="00000000" w14:paraId="4FE0DEE8" w14:textId="77777777">
        <w:trPr>
          <w:divId w:val="870192060"/>
          <w:jc w:val="center"/>
        </w:trPr>
        <w:tc>
          <w:tcPr>
            <w:tcW w:w="0" w:type="auto"/>
            <w:gridSpan w:val="3"/>
            <w:tcMar>
              <w:top w:w="30" w:type="dxa"/>
              <w:left w:w="20" w:type="dxa"/>
              <w:bottom w:w="30" w:type="dxa"/>
              <w:right w:w="20" w:type="dxa"/>
            </w:tcMar>
            <w:vAlign w:val="bottom"/>
            <w:hideMark/>
          </w:tcPr>
          <w:p w14:paraId="71D377B6" w14:textId="77777777" w:rsidR="00000000" w:rsidRDefault="00A173A8">
            <w:pPr>
              <w:spacing w:after="100"/>
              <w:jc w:val="center"/>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14:paraId="58A46AC4" w14:textId="77777777" w:rsidR="00000000" w:rsidRDefault="00A173A8">
            <w:pPr>
              <w:spacing w:after="100"/>
              <w:divId w:val="951863198"/>
              <w:rPr>
                <w:rFonts w:eastAsia="Times New Roman"/>
              </w:rPr>
            </w:pPr>
            <w:hyperlink w:anchor="i7ffd5d61af6f4722b1b1b07530d51c06_169" w:history="1">
              <w:r>
                <w:rPr>
                  <w:rStyle w:val="a3"/>
                  <w:rFonts w:eastAsia="Times New Roman"/>
                  <w:color w:val="000000"/>
                  <w:sz w:val="20"/>
                  <w:szCs w:val="20"/>
                  <w:u w:val="none"/>
                </w:rPr>
                <w:t>Other Category Results</w:t>
              </w:r>
            </w:hyperlink>
          </w:p>
        </w:tc>
        <w:tc>
          <w:tcPr>
            <w:tcW w:w="0" w:type="auto"/>
            <w:gridSpan w:val="3"/>
            <w:tcMar>
              <w:top w:w="30" w:type="dxa"/>
              <w:left w:w="20" w:type="dxa"/>
              <w:bottom w:w="30" w:type="dxa"/>
              <w:right w:w="20" w:type="dxa"/>
            </w:tcMar>
            <w:vAlign w:val="bottom"/>
            <w:hideMark/>
          </w:tcPr>
          <w:p w14:paraId="36A0BF8A" w14:textId="77777777" w:rsidR="00000000" w:rsidRDefault="00A173A8">
            <w:pPr>
              <w:spacing w:after="100"/>
              <w:jc w:val="center"/>
              <w:rPr>
                <w:rFonts w:eastAsia="Times New Roman"/>
              </w:rPr>
            </w:pPr>
            <w:hyperlink w:anchor="i7ffd5d61af6f4722b1b1b07530d51c06_169" w:history="1">
              <w:r>
                <w:rPr>
                  <w:rStyle w:val="a3"/>
                  <w:rFonts w:eastAsia="Times New Roman"/>
                  <w:color w:val="000000"/>
                  <w:sz w:val="20"/>
                  <w:szCs w:val="20"/>
                  <w:u w:val="none"/>
                </w:rPr>
                <w:t>27</w:t>
              </w:r>
            </w:hyperlink>
          </w:p>
        </w:tc>
      </w:tr>
      <w:tr w:rsidR="00000000" w14:paraId="5DF6EC30" w14:textId="77777777">
        <w:trPr>
          <w:divId w:val="870192060"/>
          <w:jc w:val="center"/>
        </w:trPr>
        <w:tc>
          <w:tcPr>
            <w:tcW w:w="0" w:type="auto"/>
            <w:gridSpan w:val="3"/>
            <w:tcMar>
              <w:top w:w="30" w:type="dxa"/>
              <w:left w:w="20" w:type="dxa"/>
              <w:bottom w:w="30" w:type="dxa"/>
              <w:right w:w="20" w:type="dxa"/>
            </w:tcMar>
            <w:vAlign w:val="bottom"/>
            <w:hideMark/>
          </w:tcPr>
          <w:p w14:paraId="00D458F4" w14:textId="77777777" w:rsidR="00000000" w:rsidRDefault="00A173A8">
            <w:pPr>
              <w:spacing w:after="100"/>
              <w:jc w:val="center"/>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14:paraId="6D6546FB" w14:textId="77777777" w:rsidR="00000000" w:rsidRDefault="00A173A8">
            <w:pPr>
              <w:spacing w:after="100"/>
              <w:divId w:val="661543943"/>
              <w:rPr>
                <w:rFonts w:eastAsia="Times New Roman"/>
              </w:rPr>
            </w:pPr>
            <w:hyperlink w:anchor="i7ffd5d61af6f4722b1b1b07530d51c06_187" w:history="1">
              <w:r>
                <w:rPr>
                  <w:rStyle w:val="a3"/>
                  <w:rFonts w:eastAsia="Times New Roman"/>
                  <w:color w:val="000000"/>
                  <w:sz w:val="20"/>
                  <w:szCs w:val="20"/>
                  <w:u w:val="none"/>
                </w:rPr>
                <w:t>Capital Ratios Under Basel III</w:t>
              </w:r>
            </w:hyperlink>
          </w:p>
        </w:tc>
        <w:tc>
          <w:tcPr>
            <w:tcW w:w="0" w:type="auto"/>
            <w:gridSpan w:val="3"/>
            <w:tcMar>
              <w:top w:w="30" w:type="dxa"/>
              <w:left w:w="20" w:type="dxa"/>
              <w:bottom w:w="30" w:type="dxa"/>
              <w:right w:w="20" w:type="dxa"/>
            </w:tcMar>
            <w:vAlign w:val="bottom"/>
            <w:hideMark/>
          </w:tcPr>
          <w:p w14:paraId="6160E9D1" w14:textId="77777777" w:rsidR="00000000" w:rsidRDefault="00A173A8">
            <w:pPr>
              <w:spacing w:after="100"/>
              <w:jc w:val="center"/>
              <w:rPr>
                <w:rFonts w:eastAsia="Times New Roman"/>
              </w:rPr>
            </w:pPr>
            <w:hyperlink w:anchor="i7ffd5d61af6f4722b1b1b07530d51c06_187" w:history="1">
              <w:r>
                <w:rPr>
                  <w:rStyle w:val="a3"/>
                  <w:rFonts w:eastAsia="Times New Roman"/>
                  <w:color w:val="000000"/>
                  <w:sz w:val="20"/>
                  <w:szCs w:val="20"/>
                  <w:u w:val="none"/>
                </w:rPr>
                <w:t>31</w:t>
              </w:r>
            </w:hyperlink>
          </w:p>
        </w:tc>
      </w:tr>
      <w:tr w:rsidR="00000000" w14:paraId="794783C3" w14:textId="77777777">
        <w:trPr>
          <w:divId w:val="870192060"/>
          <w:jc w:val="center"/>
        </w:trPr>
        <w:tc>
          <w:tcPr>
            <w:tcW w:w="0" w:type="auto"/>
            <w:gridSpan w:val="3"/>
            <w:tcMar>
              <w:top w:w="30" w:type="dxa"/>
              <w:left w:w="20" w:type="dxa"/>
              <w:bottom w:w="30" w:type="dxa"/>
              <w:right w:w="20" w:type="dxa"/>
            </w:tcMar>
            <w:vAlign w:val="bottom"/>
            <w:hideMark/>
          </w:tcPr>
          <w:p w14:paraId="64CFD18A" w14:textId="77777777" w:rsidR="00000000" w:rsidRDefault="00A173A8">
            <w:pPr>
              <w:spacing w:after="100"/>
              <w:jc w:val="cente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14:paraId="13A68EC0" w14:textId="77777777" w:rsidR="00000000" w:rsidRDefault="00A173A8">
            <w:pPr>
              <w:spacing w:after="100"/>
              <w:divId w:val="233053002"/>
              <w:rPr>
                <w:rFonts w:eastAsia="Times New Roman"/>
              </w:rPr>
            </w:pPr>
            <w:hyperlink w:anchor="i7ffd5d61af6f4722b1b1b07530d51c06_190" w:history="1">
              <w:r>
                <w:rPr>
                  <w:rStyle w:val="a3"/>
                  <w:rFonts w:eastAsia="Times New Roman"/>
                  <w:color w:val="000000"/>
                  <w:sz w:val="20"/>
                  <w:szCs w:val="20"/>
                  <w:u w:val="none"/>
                </w:rPr>
                <w:t>Regulatory Risk-Based Capital Components and Regulatory Capital Metrics</w:t>
              </w:r>
            </w:hyperlink>
          </w:p>
        </w:tc>
        <w:tc>
          <w:tcPr>
            <w:tcW w:w="0" w:type="auto"/>
            <w:gridSpan w:val="3"/>
            <w:tcMar>
              <w:top w:w="30" w:type="dxa"/>
              <w:left w:w="20" w:type="dxa"/>
              <w:bottom w:w="30" w:type="dxa"/>
              <w:right w:w="20" w:type="dxa"/>
            </w:tcMar>
            <w:vAlign w:val="bottom"/>
            <w:hideMark/>
          </w:tcPr>
          <w:p w14:paraId="77BF19A3" w14:textId="77777777" w:rsidR="00000000" w:rsidRDefault="00A173A8">
            <w:pPr>
              <w:spacing w:after="100"/>
              <w:jc w:val="center"/>
              <w:rPr>
                <w:rFonts w:eastAsia="Times New Roman"/>
              </w:rPr>
            </w:pPr>
            <w:hyperlink w:anchor="i7ffd5d61af6f4722b1b1b07530d51c06_190" w:history="1">
              <w:r>
                <w:rPr>
                  <w:rStyle w:val="a3"/>
                  <w:rFonts w:eastAsia="Times New Roman"/>
                  <w:color w:val="000000"/>
                  <w:sz w:val="20"/>
                  <w:szCs w:val="20"/>
                  <w:u w:val="none"/>
                </w:rPr>
                <w:t>32</w:t>
              </w:r>
            </w:hyperlink>
          </w:p>
        </w:tc>
      </w:tr>
      <w:tr w:rsidR="00000000" w14:paraId="5CF0B3CA" w14:textId="77777777">
        <w:trPr>
          <w:divId w:val="870192060"/>
          <w:jc w:val="center"/>
        </w:trPr>
        <w:tc>
          <w:tcPr>
            <w:tcW w:w="0" w:type="auto"/>
            <w:gridSpan w:val="3"/>
            <w:tcMar>
              <w:top w:w="30" w:type="dxa"/>
              <w:left w:w="20" w:type="dxa"/>
              <w:bottom w:w="30" w:type="dxa"/>
              <w:right w:w="20" w:type="dxa"/>
            </w:tcMar>
            <w:vAlign w:val="bottom"/>
            <w:hideMark/>
          </w:tcPr>
          <w:p w14:paraId="4796D24A" w14:textId="77777777" w:rsidR="00000000" w:rsidRDefault="00A173A8">
            <w:pPr>
              <w:spacing w:after="100"/>
              <w:jc w:val="cente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14:paraId="000E43DE" w14:textId="77777777" w:rsidR="00000000" w:rsidRDefault="00A173A8">
            <w:pPr>
              <w:spacing w:after="100"/>
              <w:divId w:val="2106995279"/>
              <w:rPr>
                <w:rFonts w:eastAsia="Times New Roman"/>
              </w:rPr>
            </w:pPr>
            <w:hyperlink w:anchor="i7ffd5d61af6f4722b1b1b07530d51c06_199" w:history="1">
              <w:r>
                <w:rPr>
                  <w:rStyle w:val="a3"/>
                  <w:rFonts w:eastAsia="Times New Roman"/>
                  <w:color w:val="000000"/>
                  <w:sz w:val="20"/>
                  <w:szCs w:val="20"/>
                  <w:u w:val="none"/>
                </w:rPr>
                <w:t>Preferred Stock Dividends Paid Per Share</w:t>
              </w:r>
            </w:hyperlink>
          </w:p>
        </w:tc>
        <w:tc>
          <w:tcPr>
            <w:tcW w:w="0" w:type="auto"/>
            <w:gridSpan w:val="3"/>
            <w:tcMar>
              <w:top w:w="30" w:type="dxa"/>
              <w:left w:w="20" w:type="dxa"/>
              <w:bottom w:w="30" w:type="dxa"/>
              <w:right w:w="20" w:type="dxa"/>
            </w:tcMar>
            <w:vAlign w:val="bottom"/>
            <w:hideMark/>
          </w:tcPr>
          <w:p w14:paraId="3E4E4D1A" w14:textId="77777777" w:rsidR="00000000" w:rsidRDefault="00A173A8">
            <w:pPr>
              <w:spacing w:after="100"/>
              <w:jc w:val="center"/>
              <w:rPr>
                <w:rFonts w:eastAsia="Times New Roman"/>
              </w:rPr>
            </w:pPr>
            <w:hyperlink w:anchor="i7ffd5d61af6f4722b1b1b07530d51c06_199" w:history="1">
              <w:r>
                <w:rPr>
                  <w:rStyle w:val="a3"/>
                  <w:rFonts w:eastAsia="Times New Roman"/>
                  <w:color w:val="000000"/>
                  <w:sz w:val="20"/>
                  <w:szCs w:val="20"/>
                  <w:u w:val="none"/>
                </w:rPr>
                <w:t>33</w:t>
              </w:r>
            </w:hyperlink>
          </w:p>
        </w:tc>
      </w:tr>
      <w:tr w:rsidR="00000000" w14:paraId="2B2EAC10" w14:textId="77777777">
        <w:trPr>
          <w:divId w:val="870192060"/>
          <w:jc w:val="center"/>
        </w:trPr>
        <w:tc>
          <w:tcPr>
            <w:tcW w:w="0" w:type="auto"/>
            <w:gridSpan w:val="3"/>
            <w:tcMar>
              <w:top w:w="30" w:type="dxa"/>
              <w:left w:w="20" w:type="dxa"/>
              <w:bottom w:w="30" w:type="dxa"/>
              <w:right w:w="20" w:type="dxa"/>
            </w:tcMar>
            <w:vAlign w:val="bottom"/>
            <w:hideMark/>
          </w:tcPr>
          <w:p w14:paraId="192E2F97" w14:textId="77777777" w:rsidR="00000000" w:rsidRDefault="00A173A8">
            <w:pPr>
              <w:spacing w:after="100"/>
              <w:jc w:val="center"/>
              <w:rPr>
                <w:rFonts w:eastAsia="Times New Roman"/>
              </w:rPr>
            </w:pPr>
            <w:r>
              <w:rPr>
                <w:rFonts w:eastAsia="Times New Roman"/>
                <w:color w:val="000000"/>
                <w:sz w:val="20"/>
                <w:szCs w:val="20"/>
              </w:rPr>
              <w:t>16</w:t>
            </w:r>
          </w:p>
        </w:tc>
        <w:tc>
          <w:tcPr>
            <w:tcW w:w="0" w:type="auto"/>
            <w:gridSpan w:val="3"/>
            <w:tcMar>
              <w:top w:w="30" w:type="dxa"/>
              <w:left w:w="20" w:type="dxa"/>
              <w:bottom w:w="30" w:type="dxa"/>
              <w:right w:w="20" w:type="dxa"/>
            </w:tcMar>
            <w:vAlign w:val="bottom"/>
            <w:hideMark/>
          </w:tcPr>
          <w:p w14:paraId="1BE47A37" w14:textId="77777777" w:rsidR="00000000" w:rsidRDefault="00A173A8">
            <w:pPr>
              <w:spacing w:after="100"/>
              <w:divId w:val="360591664"/>
              <w:rPr>
                <w:rFonts w:eastAsia="Times New Roman"/>
              </w:rPr>
            </w:pPr>
            <w:hyperlink w:anchor="i7ffd5d61af6f4722b1b1b07530d51c06_208" w:history="1">
              <w:r>
                <w:rPr>
                  <w:rStyle w:val="a3"/>
                  <w:rFonts w:eastAsia="Times New Roman"/>
                  <w:color w:val="000000"/>
                  <w:sz w:val="20"/>
                  <w:szCs w:val="20"/>
                  <w:u w:val="none"/>
                </w:rPr>
                <w:t>Portfolio Composition of Loans Held for Investment</w:t>
              </w:r>
            </w:hyperlink>
          </w:p>
        </w:tc>
        <w:tc>
          <w:tcPr>
            <w:tcW w:w="0" w:type="auto"/>
            <w:gridSpan w:val="3"/>
            <w:tcMar>
              <w:top w:w="30" w:type="dxa"/>
              <w:left w:w="20" w:type="dxa"/>
              <w:bottom w:w="30" w:type="dxa"/>
              <w:right w:w="20" w:type="dxa"/>
            </w:tcMar>
            <w:vAlign w:val="bottom"/>
            <w:hideMark/>
          </w:tcPr>
          <w:p w14:paraId="273158F6" w14:textId="77777777" w:rsidR="00000000" w:rsidRDefault="00A173A8">
            <w:pPr>
              <w:spacing w:after="100"/>
              <w:jc w:val="center"/>
              <w:rPr>
                <w:rFonts w:eastAsia="Times New Roman"/>
              </w:rPr>
            </w:pPr>
            <w:hyperlink w:anchor="i7ffd5d61af6f4722b1b1b07530d51c06_208" w:history="1">
              <w:r>
                <w:rPr>
                  <w:rStyle w:val="a3"/>
                  <w:rFonts w:eastAsia="Times New Roman"/>
                  <w:color w:val="000000"/>
                  <w:sz w:val="20"/>
                  <w:szCs w:val="20"/>
                  <w:u w:val="none"/>
                </w:rPr>
                <w:t>35</w:t>
              </w:r>
            </w:hyperlink>
          </w:p>
        </w:tc>
      </w:tr>
      <w:tr w:rsidR="00000000" w14:paraId="0CAC5679" w14:textId="77777777">
        <w:trPr>
          <w:divId w:val="870192060"/>
          <w:jc w:val="center"/>
        </w:trPr>
        <w:tc>
          <w:tcPr>
            <w:tcW w:w="0" w:type="auto"/>
            <w:gridSpan w:val="3"/>
            <w:vAlign w:val="center"/>
            <w:hideMark/>
          </w:tcPr>
          <w:p w14:paraId="388B9B5C" w14:textId="77777777" w:rsidR="00000000" w:rsidRDefault="00A173A8">
            <w:pPr>
              <w:spacing w:after="100"/>
              <w:jc w:val="center"/>
              <w:rPr>
                <w:rFonts w:eastAsia="Times New Roman"/>
              </w:rPr>
            </w:pPr>
          </w:p>
        </w:tc>
        <w:tc>
          <w:tcPr>
            <w:tcW w:w="0" w:type="auto"/>
            <w:gridSpan w:val="3"/>
            <w:vAlign w:val="center"/>
            <w:hideMark/>
          </w:tcPr>
          <w:p w14:paraId="5ED3DF14" w14:textId="77777777" w:rsidR="00000000" w:rsidRDefault="00A173A8">
            <w:pPr>
              <w:spacing w:after="100"/>
              <w:rPr>
                <w:rFonts w:eastAsia="Times New Roman"/>
                <w:sz w:val="20"/>
                <w:szCs w:val="20"/>
              </w:rPr>
            </w:pPr>
          </w:p>
        </w:tc>
        <w:tc>
          <w:tcPr>
            <w:tcW w:w="0" w:type="auto"/>
            <w:gridSpan w:val="3"/>
            <w:vAlign w:val="center"/>
            <w:hideMark/>
          </w:tcPr>
          <w:p w14:paraId="0121E720" w14:textId="77777777" w:rsidR="00000000" w:rsidRDefault="00A173A8">
            <w:pPr>
              <w:spacing w:after="100"/>
              <w:rPr>
                <w:rFonts w:eastAsia="Times New Roman"/>
                <w:sz w:val="20"/>
                <w:szCs w:val="20"/>
              </w:rPr>
            </w:pPr>
          </w:p>
        </w:tc>
      </w:tr>
      <w:tr w:rsidR="00000000" w14:paraId="6EA4E766" w14:textId="77777777">
        <w:trPr>
          <w:divId w:val="870192060"/>
          <w:jc w:val="center"/>
        </w:trPr>
        <w:tc>
          <w:tcPr>
            <w:tcW w:w="0" w:type="auto"/>
            <w:gridSpan w:val="3"/>
            <w:tcMar>
              <w:top w:w="30" w:type="dxa"/>
              <w:left w:w="20" w:type="dxa"/>
              <w:bottom w:w="30" w:type="dxa"/>
              <w:right w:w="20" w:type="dxa"/>
            </w:tcMar>
            <w:vAlign w:val="bottom"/>
            <w:hideMark/>
          </w:tcPr>
          <w:p w14:paraId="4A7E1B00" w14:textId="77777777" w:rsidR="00000000" w:rsidRDefault="00A173A8">
            <w:pPr>
              <w:spacing w:after="100"/>
              <w:jc w:val="center"/>
              <w:rPr>
                <w:rFonts w:eastAsia="Times New Roman"/>
              </w:rPr>
            </w:pPr>
            <w:r>
              <w:rPr>
                <w:rFonts w:eastAsia="Times New Roman"/>
                <w:color w:val="000000"/>
                <w:sz w:val="20"/>
                <w:szCs w:val="20"/>
              </w:rPr>
              <w:t>17</w:t>
            </w:r>
          </w:p>
        </w:tc>
        <w:tc>
          <w:tcPr>
            <w:tcW w:w="0" w:type="auto"/>
            <w:gridSpan w:val="3"/>
            <w:tcMar>
              <w:top w:w="30" w:type="dxa"/>
              <w:left w:w="20" w:type="dxa"/>
              <w:bottom w:w="30" w:type="dxa"/>
              <w:right w:w="20" w:type="dxa"/>
            </w:tcMar>
            <w:vAlign w:val="bottom"/>
            <w:hideMark/>
          </w:tcPr>
          <w:p w14:paraId="62DEB96F" w14:textId="77777777" w:rsidR="00000000" w:rsidRDefault="00A173A8">
            <w:pPr>
              <w:spacing w:after="100"/>
              <w:divId w:val="290019610"/>
              <w:rPr>
                <w:rFonts w:eastAsia="Times New Roman"/>
              </w:rPr>
            </w:pPr>
            <w:hyperlink w:anchor="i7ffd5d61af6f4722b1b1b07530d51c06_214" w:history="1">
              <w:r>
                <w:rPr>
                  <w:rStyle w:val="a3"/>
                  <w:rFonts w:eastAsia="Times New Roman"/>
                  <w:color w:val="000000"/>
                  <w:sz w:val="20"/>
                  <w:szCs w:val="20"/>
                  <w:u w:val="none"/>
                </w:rPr>
                <w:t>Credit Card Portfolio by Geographic Region</w:t>
              </w:r>
            </w:hyperlink>
          </w:p>
        </w:tc>
        <w:tc>
          <w:tcPr>
            <w:tcW w:w="0" w:type="auto"/>
            <w:gridSpan w:val="3"/>
            <w:tcMar>
              <w:top w:w="30" w:type="dxa"/>
              <w:left w:w="20" w:type="dxa"/>
              <w:bottom w:w="30" w:type="dxa"/>
              <w:right w:w="20" w:type="dxa"/>
            </w:tcMar>
            <w:vAlign w:val="bottom"/>
            <w:hideMark/>
          </w:tcPr>
          <w:p w14:paraId="157CC52C" w14:textId="77777777" w:rsidR="00000000" w:rsidRDefault="00A173A8">
            <w:pPr>
              <w:spacing w:after="100"/>
              <w:jc w:val="center"/>
              <w:rPr>
                <w:rFonts w:eastAsia="Times New Roman"/>
              </w:rPr>
            </w:pPr>
            <w:hyperlink w:anchor="i7ffd5d61af6f4722b1b1b07530d51c06_214" w:history="1">
              <w:r>
                <w:rPr>
                  <w:rStyle w:val="a3"/>
                  <w:rFonts w:eastAsia="Times New Roman"/>
                  <w:color w:val="000000"/>
                  <w:sz w:val="20"/>
                  <w:szCs w:val="20"/>
                  <w:u w:val="none"/>
                </w:rPr>
                <w:t>36</w:t>
              </w:r>
            </w:hyperlink>
          </w:p>
        </w:tc>
      </w:tr>
      <w:tr w:rsidR="00000000" w14:paraId="6B1A98E8" w14:textId="77777777">
        <w:trPr>
          <w:divId w:val="870192060"/>
          <w:jc w:val="center"/>
        </w:trPr>
        <w:tc>
          <w:tcPr>
            <w:tcW w:w="0" w:type="auto"/>
            <w:gridSpan w:val="3"/>
            <w:tcMar>
              <w:top w:w="30" w:type="dxa"/>
              <w:left w:w="20" w:type="dxa"/>
              <w:bottom w:w="30" w:type="dxa"/>
              <w:right w:w="20" w:type="dxa"/>
            </w:tcMar>
            <w:vAlign w:val="bottom"/>
            <w:hideMark/>
          </w:tcPr>
          <w:p w14:paraId="474E19A8" w14:textId="77777777" w:rsidR="00000000" w:rsidRDefault="00A173A8">
            <w:pPr>
              <w:spacing w:after="100"/>
              <w:jc w:val="center"/>
              <w:rPr>
                <w:rFonts w:eastAsia="Times New Roman"/>
              </w:rPr>
            </w:pPr>
            <w:r>
              <w:rPr>
                <w:rFonts w:eastAsia="Times New Roman"/>
                <w:color w:val="000000"/>
                <w:sz w:val="20"/>
                <w:szCs w:val="20"/>
              </w:rPr>
              <w:t>18</w:t>
            </w:r>
          </w:p>
        </w:tc>
        <w:tc>
          <w:tcPr>
            <w:tcW w:w="0" w:type="auto"/>
            <w:gridSpan w:val="3"/>
            <w:tcMar>
              <w:top w:w="30" w:type="dxa"/>
              <w:left w:w="20" w:type="dxa"/>
              <w:bottom w:w="30" w:type="dxa"/>
              <w:right w:w="20" w:type="dxa"/>
            </w:tcMar>
            <w:vAlign w:val="bottom"/>
            <w:hideMark/>
          </w:tcPr>
          <w:p w14:paraId="1A3B2790" w14:textId="77777777" w:rsidR="00000000" w:rsidRDefault="00A173A8">
            <w:pPr>
              <w:spacing w:after="100"/>
              <w:divId w:val="1749302323"/>
              <w:rPr>
                <w:rFonts w:eastAsia="Times New Roman"/>
              </w:rPr>
            </w:pPr>
            <w:hyperlink w:anchor="i7ffd5d61af6f4722b1b1b07530d51c06_217" w:history="1">
              <w:r>
                <w:rPr>
                  <w:rStyle w:val="a3"/>
                  <w:rFonts w:eastAsia="Times New Roman"/>
                  <w:color w:val="000000"/>
                  <w:sz w:val="20"/>
                  <w:szCs w:val="20"/>
                  <w:u w:val="none"/>
                </w:rPr>
                <w:t>Consumer Banking Portfolio by Geographic Region</w:t>
              </w:r>
            </w:hyperlink>
          </w:p>
        </w:tc>
        <w:tc>
          <w:tcPr>
            <w:tcW w:w="0" w:type="auto"/>
            <w:gridSpan w:val="3"/>
            <w:tcMar>
              <w:top w:w="30" w:type="dxa"/>
              <w:left w:w="20" w:type="dxa"/>
              <w:bottom w:w="30" w:type="dxa"/>
              <w:right w:w="20" w:type="dxa"/>
            </w:tcMar>
            <w:vAlign w:val="bottom"/>
            <w:hideMark/>
          </w:tcPr>
          <w:p w14:paraId="6A697782" w14:textId="77777777" w:rsidR="00000000" w:rsidRDefault="00A173A8">
            <w:pPr>
              <w:spacing w:after="100"/>
              <w:jc w:val="center"/>
              <w:rPr>
                <w:rFonts w:eastAsia="Times New Roman"/>
              </w:rPr>
            </w:pPr>
            <w:hyperlink w:anchor="i7ffd5d61af6f4722b1b1b07530d51c06_217" w:history="1">
              <w:r>
                <w:rPr>
                  <w:rStyle w:val="a3"/>
                  <w:rFonts w:eastAsia="Times New Roman"/>
                  <w:color w:val="000000"/>
                  <w:sz w:val="20"/>
                  <w:szCs w:val="20"/>
                  <w:u w:val="none"/>
                </w:rPr>
                <w:t>36</w:t>
              </w:r>
            </w:hyperlink>
          </w:p>
        </w:tc>
      </w:tr>
      <w:tr w:rsidR="00000000" w14:paraId="71C0E8FC" w14:textId="77777777">
        <w:trPr>
          <w:divId w:val="870192060"/>
          <w:jc w:val="center"/>
        </w:trPr>
        <w:tc>
          <w:tcPr>
            <w:tcW w:w="0" w:type="auto"/>
            <w:gridSpan w:val="3"/>
            <w:tcMar>
              <w:top w:w="30" w:type="dxa"/>
              <w:left w:w="20" w:type="dxa"/>
              <w:bottom w:w="30" w:type="dxa"/>
              <w:right w:w="20" w:type="dxa"/>
            </w:tcMar>
            <w:vAlign w:val="bottom"/>
            <w:hideMark/>
          </w:tcPr>
          <w:p w14:paraId="7668DE96" w14:textId="77777777" w:rsidR="00000000" w:rsidRDefault="00A173A8">
            <w:pPr>
              <w:spacing w:after="100"/>
              <w:jc w:val="center"/>
              <w:rPr>
                <w:rFonts w:eastAsia="Times New Roman"/>
              </w:rPr>
            </w:pPr>
            <w:r>
              <w:rPr>
                <w:rFonts w:eastAsia="Times New Roman"/>
                <w:color w:val="000000"/>
                <w:sz w:val="20"/>
                <w:szCs w:val="20"/>
              </w:rPr>
              <w:lastRenderedPageBreak/>
              <w:t>19</w:t>
            </w:r>
          </w:p>
        </w:tc>
        <w:tc>
          <w:tcPr>
            <w:tcW w:w="0" w:type="auto"/>
            <w:gridSpan w:val="3"/>
            <w:tcMar>
              <w:top w:w="30" w:type="dxa"/>
              <w:left w:w="20" w:type="dxa"/>
              <w:bottom w:w="30" w:type="dxa"/>
              <w:right w:w="20" w:type="dxa"/>
            </w:tcMar>
            <w:vAlign w:val="bottom"/>
            <w:hideMark/>
          </w:tcPr>
          <w:p w14:paraId="30300652" w14:textId="77777777" w:rsidR="00000000" w:rsidRDefault="00A173A8">
            <w:pPr>
              <w:spacing w:after="100"/>
              <w:divId w:val="120660847"/>
              <w:rPr>
                <w:rFonts w:eastAsia="Times New Roman"/>
              </w:rPr>
            </w:pPr>
            <w:hyperlink w:anchor="i7ffd5d61af6f4722b1b1b07530d51c06_220" w:history="1">
              <w:r>
                <w:rPr>
                  <w:rStyle w:val="a3"/>
                  <w:rFonts w:eastAsia="Times New Roman"/>
                  <w:color w:val="000000"/>
                  <w:sz w:val="20"/>
                  <w:szCs w:val="20"/>
                  <w:u w:val="none"/>
                </w:rPr>
                <w:t>Commercial Real Estate Portfolio by Region</w:t>
              </w:r>
            </w:hyperlink>
          </w:p>
        </w:tc>
        <w:tc>
          <w:tcPr>
            <w:tcW w:w="0" w:type="auto"/>
            <w:gridSpan w:val="3"/>
            <w:tcMar>
              <w:top w:w="30" w:type="dxa"/>
              <w:left w:w="20" w:type="dxa"/>
              <w:bottom w:w="30" w:type="dxa"/>
              <w:right w:w="20" w:type="dxa"/>
            </w:tcMar>
            <w:vAlign w:val="bottom"/>
            <w:hideMark/>
          </w:tcPr>
          <w:p w14:paraId="3D6F4BEF" w14:textId="77777777" w:rsidR="00000000" w:rsidRDefault="00A173A8">
            <w:pPr>
              <w:spacing w:after="100"/>
              <w:jc w:val="center"/>
              <w:rPr>
                <w:rFonts w:eastAsia="Times New Roman"/>
              </w:rPr>
            </w:pPr>
            <w:hyperlink w:anchor="i7ffd5d61af6f4722b1b1b07530d51c06_220" w:history="1">
              <w:r>
                <w:rPr>
                  <w:rStyle w:val="a3"/>
                  <w:rFonts w:eastAsia="Times New Roman"/>
                  <w:color w:val="000000"/>
                  <w:sz w:val="20"/>
                  <w:szCs w:val="20"/>
                  <w:u w:val="none"/>
                </w:rPr>
                <w:t>37</w:t>
              </w:r>
            </w:hyperlink>
          </w:p>
        </w:tc>
      </w:tr>
      <w:tr w:rsidR="00000000" w14:paraId="49B5500E" w14:textId="77777777">
        <w:trPr>
          <w:divId w:val="870192060"/>
          <w:jc w:val="center"/>
        </w:trPr>
        <w:tc>
          <w:tcPr>
            <w:tcW w:w="0" w:type="auto"/>
            <w:gridSpan w:val="3"/>
            <w:tcMar>
              <w:top w:w="30" w:type="dxa"/>
              <w:left w:w="20" w:type="dxa"/>
              <w:bottom w:w="30" w:type="dxa"/>
              <w:right w:w="20" w:type="dxa"/>
            </w:tcMar>
            <w:vAlign w:val="bottom"/>
            <w:hideMark/>
          </w:tcPr>
          <w:p w14:paraId="10B71199" w14:textId="77777777" w:rsidR="00000000" w:rsidRDefault="00A173A8">
            <w:pPr>
              <w:spacing w:after="100"/>
              <w:jc w:val="center"/>
              <w:rPr>
                <w:rFonts w:eastAsia="Times New Roman"/>
              </w:rPr>
            </w:pPr>
            <w:r>
              <w:rPr>
                <w:rFonts w:eastAsia="Times New Roman"/>
                <w:color w:val="000000"/>
                <w:sz w:val="20"/>
                <w:szCs w:val="20"/>
              </w:rPr>
              <w:t>20</w:t>
            </w:r>
          </w:p>
        </w:tc>
        <w:tc>
          <w:tcPr>
            <w:tcW w:w="0" w:type="auto"/>
            <w:gridSpan w:val="3"/>
            <w:tcMar>
              <w:top w:w="30" w:type="dxa"/>
              <w:left w:w="20" w:type="dxa"/>
              <w:bottom w:w="30" w:type="dxa"/>
              <w:right w:w="20" w:type="dxa"/>
            </w:tcMar>
            <w:vAlign w:val="bottom"/>
            <w:hideMark/>
          </w:tcPr>
          <w:p w14:paraId="5A2ACC68" w14:textId="77777777" w:rsidR="00000000" w:rsidRDefault="00A173A8">
            <w:pPr>
              <w:spacing w:after="100"/>
              <w:divId w:val="1607930866"/>
              <w:rPr>
                <w:rFonts w:eastAsia="Times New Roman"/>
              </w:rPr>
            </w:pPr>
            <w:hyperlink w:anchor="i7ffd5d61af6f4722b1b1b07530d51c06_223" w:history="1">
              <w:r>
                <w:rPr>
                  <w:rStyle w:val="a3"/>
                  <w:rFonts w:eastAsia="Times New Roman"/>
                  <w:color w:val="000000"/>
                  <w:sz w:val="20"/>
                  <w:szCs w:val="20"/>
                  <w:u w:val="none"/>
                </w:rPr>
                <w:t>Commercial Loans by Industry</w:t>
              </w:r>
            </w:hyperlink>
          </w:p>
        </w:tc>
        <w:tc>
          <w:tcPr>
            <w:tcW w:w="0" w:type="auto"/>
            <w:gridSpan w:val="3"/>
            <w:tcMar>
              <w:top w:w="30" w:type="dxa"/>
              <w:left w:w="20" w:type="dxa"/>
              <w:bottom w:w="30" w:type="dxa"/>
              <w:right w:w="20" w:type="dxa"/>
            </w:tcMar>
            <w:vAlign w:val="bottom"/>
            <w:hideMark/>
          </w:tcPr>
          <w:p w14:paraId="36F0A9F8" w14:textId="77777777" w:rsidR="00000000" w:rsidRDefault="00A173A8">
            <w:pPr>
              <w:spacing w:after="100"/>
              <w:jc w:val="center"/>
              <w:rPr>
                <w:rFonts w:eastAsia="Times New Roman"/>
              </w:rPr>
            </w:pPr>
            <w:hyperlink w:anchor="i7ffd5d61af6f4722b1b1b07530d51c06_223" w:history="1">
              <w:r>
                <w:rPr>
                  <w:rStyle w:val="a3"/>
                  <w:rFonts w:eastAsia="Times New Roman"/>
                  <w:color w:val="000000"/>
                  <w:sz w:val="20"/>
                  <w:szCs w:val="20"/>
                  <w:u w:val="none"/>
                </w:rPr>
                <w:t>38</w:t>
              </w:r>
            </w:hyperlink>
          </w:p>
        </w:tc>
      </w:tr>
      <w:tr w:rsidR="00000000" w14:paraId="2F6FD450" w14:textId="77777777">
        <w:trPr>
          <w:divId w:val="870192060"/>
          <w:jc w:val="center"/>
        </w:trPr>
        <w:tc>
          <w:tcPr>
            <w:tcW w:w="0" w:type="auto"/>
            <w:gridSpan w:val="3"/>
            <w:tcMar>
              <w:top w:w="30" w:type="dxa"/>
              <w:left w:w="20" w:type="dxa"/>
              <w:bottom w:w="30" w:type="dxa"/>
              <w:right w:w="20" w:type="dxa"/>
            </w:tcMar>
            <w:vAlign w:val="bottom"/>
            <w:hideMark/>
          </w:tcPr>
          <w:p w14:paraId="4BCD156F" w14:textId="77777777" w:rsidR="00000000" w:rsidRDefault="00A173A8">
            <w:pPr>
              <w:spacing w:after="100"/>
              <w:jc w:val="cente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14:paraId="15BC0FD4" w14:textId="77777777" w:rsidR="00000000" w:rsidRDefault="00A173A8">
            <w:pPr>
              <w:spacing w:after="100"/>
              <w:divId w:val="781455833"/>
              <w:rPr>
                <w:rFonts w:eastAsia="Times New Roman"/>
              </w:rPr>
            </w:pPr>
            <w:hyperlink w:anchor="i7ffd5d61af6f4722b1b1b07530d51c06_226" w:history="1">
              <w:r>
                <w:rPr>
                  <w:rStyle w:val="a3"/>
                  <w:rFonts w:eastAsia="Times New Roman"/>
                  <w:color w:val="000000"/>
                  <w:sz w:val="20"/>
                  <w:szCs w:val="20"/>
                  <w:u w:val="none"/>
                </w:rPr>
                <w:t>Credit Score Distribution</w:t>
              </w:r>
            </w:hyperlink>
          </w:p>
        </w:tc>
        <w:tc>
          <w:tcPr>
            <w:tcW w:w="0" w:type="auto"/>
            <w:gridSpan w:val="3"/>
            <w:tcMar>
              <w:top w:w="30" w:type="dxa"/>
              <w:left w:w="20" w:type="dxa"/>
              <w:bottom w:w="30" w:type="dxa"/>
              <w:right w:w="20" w:type="dxa"/>
            </w:tcMar>
            <w:vAlign w:val="bottom"/>
            <w:hideMark/>
          </w:tcPr>
          <w:p w14:paraId="6AB7FCF3" w14:textId="77777777" w:rsidR="00000000" w:rsidRDefault="00A173A8">
            <w:pPr>
              <w:spacing w:after="100"/>
              <w:jc w:val="center"/>
              <w:rPr>
                <w:rFonts w:eastAsia="Times New Roman"/>
              </w:rPr>
            </w:pPr>
            <w:hyperlink w:anchor="i7ffd5d61af6f4722b1b1b07530d51c06_226" w:history="1">
              <w:r>
                <w:rPr>
                  <w:rStyle w:val="a3"/>
                  <w:rFonts w:eastAsia="Times New Roman"/>
                  <w:color w:val="000000"/>
                  <w:sz w:val="20"/>
                  <w:szCs w:val="20"/>
                  <w:u w:val="none"/>
                </w:rPr>
                <w:t>38</w:t>
              </w:r>
            </w:hyperlink>
          </w:p>
        </w:tc>
      </w:tr>
      <w:tr w:rsidR="00000000" w14:paraId="2D4B45BA" w14:textId="77777777">
        <w:trPr>
          <w:divId w:val="870192060"/>
          <w:jc w:val="center"/>
        </w:trPr>
        <w:tc>
          <w:tcPr>
            <w:tcW w:w="0" w:type="auto"/>
            <w:gridSpan w:val="3"/>
            <w:tcMar>
              <w:top w:w="30" w:type="dxa"/>
              <w:left w:w="20" w:type="dxa"/>
              <w:bottom w:w="30" w:type="dxa"/>
              <w:right w:w="20" w:type="dxa"/>
            </w:tcMar>
            <w:vAlign w:val="bottom"/>
            <w:hideMark/>
          </w:tcPr>
          <w:p w14:paraId="7030D953" w14:textId="77777777" w:rsidR="00000000" w:rsidRDefault="00A173A8">
            <w:pPr>
              <w:spacing w:after="100"/>
              <w:jc w:val="center"/>
              <w:rPr>
                <w:rFonts w:eastAsia="Times New Roman"/>
              </w:rPr>
            </w:pPr>
            <w:r>
              <w:rPr>
                <w:rFonts w:eastAsia="Times New Roman"/>
                <w:color w:val="000000"/>
                <w:sz w:val="20"/>
                <w:szCs w:val="20"/>
              </w:rPr>
              <w:t>22</w:t>
            </w:r>
          </w:p>
        </w:tc>
        <w:tc>
          <w:tcPr>
            <w:tcW w:w="0" w:type="auto"/>
            <w:gridSpan w:val="3"/>
            <w:tcMar>
              <w:top w:w="30" w:type="dxa"/>
              <w:left w:w="20" w:type="dxa"/>
              <w:bottom w:w="30" w:type="dxa"/>
              <w:right w:w="20" w:type="dxa"/>
            </w:tcMar>
            <w:vAlign w:val="bottom"/>
            <w:hideMark/>
          </w:tcPr>
          <w:p w14:paraId="1D0E444F" w14:textId="77777777" w:rsidR="00000000" w:rsidRDefault="00A173A8">
            <w:pPr>
              <w:spacing w:after="100"/>
              <w:divId w:val="1315986191"/>
              <w:rPr>
                <w:rFonts w:eastAsia="Times New Roman"/>
              </w:rPr>
            </w:pPr>
            <w:hyperlink w:anchor="i7ffd5d61af6f4722b1b1b07530d51c06_229" w:history="1">
              <w:r>
                <w:rPr>
                  <w:rStyle w:val="a3"/>
                  <w:rFonts w:eastAsia="Times New Roman"/>
                  <w:color w:val="000000"/>
                  <w:sz w:val="20"/>
                  <w:szCs w:val="20"/>
                  <w:u w:val="none"/>
                </w:rPr>
                <w:t>30+ Day Delinquencies</w:t>
              </w:r>
            </w:hyperlink>
          </w:p>
        </w:tc>
        <w:tc>
          <w:tcPr>
            <w:tcW w:w="0" w:type="auto"/>
            <w:gridSpan w:val="3"/>
            <w:tcMar>
              <w:top w:w="30" w:type="dxa"/>
              <w:left w:w="20" w:type="dxa"/>
              <w:bottom w:w="30" w:type="dxa"/>
              <w:right w:w="20" w:type="dxa"/>
            </w:tcMar>
            <w:vAlign w:val="bottom"/>
            <w:hideMark/>
          </w:tcPr>
          <w:p w14:paraId="475F479E" w14:textId="77777777" w:rsidR="00000000" w:rsidRDefault="00A173A8">
            <w:pPr>
              <w:spacing w:after="100"/>
              <w:jc w:val="center"/>
              <w:rPr>
                <w:rFonts w:eastAsia="Times New Roman"/>
              </w:rPr>
            </w:pPr>
            <w:hyperlink w:anchor="i7ffd5d61af6f4722b1b1b07530d51c06_229" w:history="1">
              <w:r>
                <w:rPr>
                  <w:rStyle w:val="a3"/>
                  <w:rFonts w:eastAsia="Times New Roman"/>
                  <w:color w:val="000000"/>
                  <w:sz w:val="20"/>
                  <w:szCs w:val="20"/>
                  <w:u w:val="none"/>
                </w:rPr>
                <w:t>40</w:t>
              </w:r>
            </w:hyperlink>
          </w:p>
        </w:tc>
      </w:tr>
      <w:tr w:rsidR="00000000" w14:paraId="341C7EE1" w14:textId="77777777">
        <w:trPr>
          <w:divId w:val="870192060"/>
          <w:jc w:val="center"/>
        </w:trPr>
        <w:tc>
          <w:tcPr>
            <w:tcW w:w="0" w:type="auto"/>
            <w:gridSpan w:val="3"/>
            <w:tcMar>
              <w:top w:w="30" w:type="dxa"/>
              <w:left w:w="20" w:type="dxa"/>
              <w:bottom w:w="30" w:type="dxa"/>
              <w:right w:w="20" w:type="dxa"/>
            </w:tcMar>
            <w:vAlign w:val="bottom"/>
            <w:hideMark/>
          </w:tcPr>
          <w:p w14:paraId="3BBEB56E" w14:textId="77777777" w:rsidR="00000000" w:rsidRDefault="00A173A8">
            <w:pPr>
              <w:spacing w:after="100"/>
              <w:jc w:val="cente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vAlign w:val="bottom"/>
            <w:hideMark/>
          </w:tcPr>
          <w:p w14:paraId="1E431408" w14:textId="77777777" w:rsidR="00000000" w:rsidRDefault="00A173A8">
            <w:pPr>
              <w:spacing w:after="100"/>
              <w:divId w:val="52125261"/>
              <w:rPr>
                <w:rFonts w:eastAsia="Times New Roman"/>
              </w:rPr>
            </w:pPr>
            <w:hyperlink w:anchor="i7ffd5d61af6f4722b1b1b07530d51c06_232" w:history="1">
              <w:r>
                <w:rPr>
                  <w:rStyle w:val="a3"/>
                  <w:rFonts w:eastAsia="Times New Roman"/>
                  <w:color w:val="000000"/>
                  <w:sz w:val="20"/>
                  <w:szCs w:val="20"/>
                  <w:u w:val="none"/>
                </w:rPr>
                <w:t>Aging and Geography of 30+ Day Delinquent</w:t>
              </w:r>
              <w:r>
                <w:rPr>
                  <w:rStyle w:val="a3"/>
                  <w:rFonts w:eastAsia="Times New Roman"/>
                  <w:color w:val="000000"/>
                  <w:sz w:val="20"/>
                  <w:szCs w:val="20"/>
                  <w:u w:val="none"/>
                </w:rPr>
                <w:t xml:space="preserve"> Loans</w:t>
              </w:r>
            </w:hyperlink>
          </w:p>
        </w:tc>
        <w:tc>
          <w:tcPr>
            <w:tcW w:w="0" w:type="auto"/>
            <w:gridSpan w:val="3"/>
            <w:tcMar>
              <w:top w:w="30" w:type="dxa"/>
              <w:left w:w="20" w:type="dxa"/>
              <w:bottom w:w="30" w:type="dxa"/>
              <w:right w:w="20" w:type="dxa"/>
            </w:tcMar>
            <w:vAlign w:val="bottom"/>
            <w:hideMark/>
          </w:tcPr>
          <w:p w14:paraId="0E642CEF" w14:textId="77777777" w:rsidR="00000000" w:rsidRDefault="00A173A8">
            <w:pPr>
              <w:spacing w:after="100"/>
              <w:jc w:val="center"/>
              <w:rPr>
                <w:rFonts w:eastAsia="Times New Roman"/>
              </w:rPr>
            </w:pPr>
            <w:hyperlink w:anchor="i7ffd5d61af6f4722b1b1b07530d51c06_232" w:history="1">
              <w:r>
                <w:rPr>
                  <w:rStyle w:val="a3"/>
                  <w:rFonts w:eastAsia="Times New Roman"/>
                  <w:color w:val="000000"/>
                  <w:sz w:val="20"/>
                  <w:szCs w:val="20"/>
                  <w:u w:val="none"/>
                </w:rPr>
                <w:t>41</w:t>
              </w:r>
            </w:hyperlink>
          </w:p>
        </w:tc>
      </w:tr>
      <w:tr w:rsidR="00000000" w14:paraId="0D680C8E" w14:textId="77777777">
        <w:trPr>
          <w:divId w:val="870192060"/>
          <w:jc w:val="center"/>
        </w:trPr>
        <w:tc>
          <w:tcPr>
            <w:tcW w:w="0" w:type="auto"/>
            <w:gridSpan w:val="3"/>
            <w:tcMar>
              <w:top w:w="30" w:type="dxa"/>
              <w:left w:w="20" w:type="dxa"/>
              <w:bottom w:w="30" w:type="dxa"/>
              <w:right w:w="20" w:type="dxa"/>
            </w:tcMar>
            <w:vAlign w:val="bottom"/>
            <w:hideMark/>
          </w:tcPr>
          <w:p w14:paraId="443C3E1A" w14:textId="77777777" w:rsidR="00000000" w:rsidRDefault="00A173A8">
            <w:pPr>
              <w:spacing w:after="100"/>
              <w:jc w:val="center"/>
              <w:rPr>
                <w:rFonts w:eastAsia="Times New Roman"/>
              </w:rPr>
            </w:pPr>
            <w:r>
              <w:rPr>
                <w:rFonts w:eastAsia="Times New Roman"/>
                <w:color w:val="000000"/>
                <w:sz w:val="20"/>
                <w:szCs w:val="20"/>
              </w:rPr>
              <w:t>24</w:t>
            </w:r>
          </w:p>
        </w:tc>
        <w:tc>
          <w:tcPr>
            <w:tcW w:w="0" w:type="auto"/>
            <w:gridSpan w:val="3"/>
            <w:tcMar>
              <w:top w:w="30" w:type="dxa"/>
              <w:left w:w="20" w:type="dxa"/>
              <w:bottom w:w="30" w:type="dxa"/>
              <w:right w:w="20" w:type="dxa"/>
            </w:tcMar>
            <w:vAlign w:val="bottom"/>
            <w:hideMark/>
          </w:tcPr>
          <w:p w14:paraId="56274668" w14:textId="77777777" w:rsidR="00000000" w:rsidRDefault="00A173A8">
            <w:pPr>
              <w:spacing w:after="100"/>
              <w:divId w:val="1582984401"/>
              <w:rPr>
                <w:rFonts w:eastAsia="Times New Roman"/>
              </w:rPr>
            </w:pPr>
            <w:hyperlink w:anchor="i7ffd5d61af6f4722b1b1b07530d51c06_235" w:history="1">
              <w:r>
                <w:rPr>
                  <w:rStyle w:val="a3"/>
                  <w:rFonts w:eastAsia="Times New Roman"/>
                  <w:color w:val="000000"/>
                  <w:sz w:val="20"/>
                  <w:szCs w:val="20"/>
                  <w:u w:val="none"/>
                </w:rPr>
                <w:t>90+ Day Delinquent Loans Accruing Interest</w:t>
              </w:r>
            </w:hyperlink>
          </w:p>
        </w:tc>
        <w:tc>
          <w:tcPr>
            <w:tcW w:w="0" w:type="auto"/>
            <w:gridSpan w:val="3"/>
            <w:tcMar>
              <w:top w:w="30" w:type="dxa"/>
              <w:left w:w="20" w:type="dxa"/>
              <w:bottom w:w="30" w:type="dxa"/>
              <w:right w:w="20" w:type="dxa"/>
            </w:tcMar>
            <w:vAlign w:val="bottom"/>
            <w:hideMark/>
          </w:tcPr>
          <w:p w14:paraId="3BC4F141" w14:textId="77777777" w:rsidR="00000000" w:rsidRDefault="00A173A8">
            <w:pPr>
              <w:spacing w:after="100"/>
              <w:jc w:val="center"/>
              <w:rPr>
                <w:rFonts w:eastAsia="Times New Roman"/>
              </w:rPr>
            </w:pPr>
            <w:hyperlink w:anchor="i7ffd5d61af6f4722b1b1b07530d51c06_235" w:history="1">
              <w:r>
                <w:rPr>
                  <w:rStyle w:val="a3"/>
                  <w:rFonts w:eastAsia="Times New Roman"/>
                  <w:color w:val="000000"/>
                  <w:sz w:val="20"/>
                  <w:szCs w:val="20"/>
                  <w:u w:val="none"/>
                </w:rPr>
                <w:t>41</w:t>
              </w:r>
            </w:hyperlink>
          </w:p>
        </w:tc>
      </w:tr>
      <w:tr w:rsidR="00000000" w14:paraId="5F1E1E6E" w14:textId="77777777">
        <w:trPr>
          <w:divId w:val="870192060"/>
          <w:jc w:val="center"/>
        </w:trPr>
        <w:tc>
          <w:tcPr>
            <w:tcW w:w="0" w:type="auto"/>
            <w:gridSpan w:val="3"/>
            <w:tcMar>
              <w:top w:w="30" w:type="dxa"/>
              <w:left w:w="20" w:type="dxa"/>
              <w:bottom w:w="30" w:type="dxa"/>
              <w:right w:w="20" w:type="dxa"/>
            </w:tcMar>
            <w:vAlign w:val="bottom"/>
            <w:hideMark/>
          </w:tcPr>
          <w:p w14:paraId="6BB65111" w14:textId="77777777" w:rsidR="00000000" w:rsidRDefault="00A173A8">
            <w:pPr>
              <w:spacing w:after="100"/>
              <w:jc w:val="center"/>
              <w:rPr>
                <w:rFonts w:eastAsia="Times New Roman"/>
              </w:rPr>
            </w:pPr>
            <w:r>
              <w:rPr>
                <w:rFonts w:eastAsia="Times New Roman"/>
                <w:color w:val="000000"/>
                <w:sz w:val="20"/>
                <w:szCs w:val="20"/>
              </w:rPr>
              <w:t>25</w:t>
            </w:r>
          </w:p>
        </w:tc>
        <w:tc>
          <w:tcPr>
            <w:tcW w:w="0" w:type="auto"/>
            <w:gridSpan w:val="3"/>
            <w:tcMar>
              <w:top w:w="30" w:type="dxa"/>
              <w:left w:w="20" w:type="dxa"/>
              <w:bottom w:w="30" w:type="dxa"/>
              <w:right w:w="20" w:type="dxa"/>
            </w:tcMar>
            <w:vAlign w:val="bottom"/>
            <w:hideMark/>
          </w:tcPr>
          <w:p w14:paraId="4C50DCD4" w14:textId="77777777" w:rsidR="00000000" w:rsidRDefault="00A173A8">
            <w:pPr>
              <w:spacing w:after="100"/>
              <w:divId w:val="919217334"/>
              <w:rPr>
                <w:rFonts w:eastAsia="Times New Roman"/>
              </w:rPr>
            </w:pPr>
            <w:hyperlink w:anchor="i7ffd5d61af6f4722b1b1b07530d51c06_238" w:history="1">
              <w:r>
                <w:rPr>
                  <w:rStyle w:val="a3"/>
                  <w:rFonts w:eastAsia="Times New Roman"/>
                  <w:color w:val="000000"/>
                  <w:sz w:val="20"/>
                  <w:szCs w:val="20"/>
                  <w:u w:val="none"/>
                </w:rPr>
                <w:t>Nonperforming Loans and Other Nonperforming Assets</w:t>
              </w:r>
            </w:hyperlink>
          </w:p>
        </w:tc>
        <w:tc>
          <w:tcPr>
            <w:tcW w:w="0" w:type="auto"/>
            <w:gridSpan w:val="3"/>
            <w:tcMar>
              <w:top w:w="30" w:type="dxa"/>
              <w:left w:w="20" w:type="dxa"/>
              <w:bottom w:w="30" w:type="dxa"/>
              <w:right w:w="20" w:type="dxa"/>
            </w:tcMar>
            <w:vAlign w:val="bottom"/>
            <w:hideMark/>
          </w:tcPr>
          <w:p w14:paraId="5534A155" w14:textId="77777777" w:rsidR="00000000" w:rsidRDefault="00A173A8">
            <w:pPr>
              <w:spacing w:after="100"/>
              <w:jc w:val="center"/>
              <w:rPr>
                <w:rFonts w:eastAsia="Times New Roman"/>
              </w:rPr>
            </w:pPr>
            <w:hyperlink w:anchor="i7ffd5d61af6f4722b1b1b07530d51c06_238" w:history="1">
              <w:r>
                <w:rPr>
                  <w:rStyle w:val="a3"/>
                  <w:rFonts w:eastAsia="Times New Roman"/>
                  <w:color w:val="000000"/>
                  <w:sz w:val="20"/>
                  <w:szCs w:val="20"/>
                  <w:u w:val="none"/>
                </w:rPr>
                <w:t>41</w:t>
              </w:r>
            </w:hyperlink>
          </w:p>
        </w:tc>
      </w:tr>
      <w:tr w:rsidR="00000000" w14:paraId="28A9BDAF" w14:textId="77777777">
        <w:trPr>
          <w:divId w:val="870192060"/>
          <w:jc w:val="center"/>
        </w:trPr>
        <w:tc>
          <w:tcPr>
            <w:tcW w:w="0" w:type="auto"/>
            <w:gridSpan w:val="3"/>
            <w:tcMar>
              <w:top w:w="30" w:type="dxa"/>
              <w:left w:w="20" w:type="dxa"/>
              <w:bottom w:w="30" w:type="dxa"/>
              <w:right w:w="20" w:type="dxa"/>
            </w:tcMar>
            <w:vAlign w:val="bottom"/>
            <w:hideMark/>
          </w:tcPr>
          <w:p w14:paraId="21825906" w14:textId="77777777" w:rsidR="00000000" w:rsidRDefault="00A173A8">
            <w:pPr>
              <w:spacing w:after="100"/>
              <w:jc w:val="center"/>
              <w:rPr>
                <w:rFonts w:eastAsia="Times New Roman"/>
              </w:rPr>
            </w:pPr>
            <w:r>
              <w:rPr>
                <w:rFonts w:eastAsia="Times New Roman"/>
                <w:color w:val="000000"/>
                <w:sz w:val="20"/>
                <w:szCs w:val="20"/>
              </w:rPr>
              <w:t>26</w:t>
            </w:r>
          </w:p>
        </w:tc>
        <w:tc>
          <w:tcPr>
            <w:tcW w:w="0" w:type="auto"/>
            <w:gridSpan w:val="3"/>
            <w:tcMar>
              <w:top w:w="30" w:type="dxa"/>
              <w:left w:w="20" w:type="dxa"/>
              <w:bottom w:w="30" w:type="dxa"/>
              <w:right w:w="20" w:type="dxa"/>
            </w:tcMar>
            <w:vAlign w:val="bottom"/>
            <w:hideMark/>
          </w:tcPr>
          <w:p w14:paraId="209E06B6" w14:textId="77777777" w:rsidR="00000000" w:rsidRDefault="00A173A8">
            <w:pPr>
              <w:spacing w:after="100"/>
              <w:divId w:val="1738088828"/>
              <w:rPr>
                <w:rFonts w:eastAsia="Times New Roman"/>
              </w:rPr>
            </w:pPr>
            <w:hyperlink w:anchor="i7ffd5d61af6f4722b1b1b07530d51c06_241" w:history="1">
              <w:r>
                <w:rPr>
                  <w:rStyle w:val="a3"/>
                  <w:rFonts w:eastAsia="Times New Roman"/>
                  <w:color w:val="000000"/>
                  <w:sz w:val="20"/>
                  <w:szCs w:val="20"/>
                  <w:u w:val="none"/>
                </w:rPr>
                <w:t>Net Charge-Offs</w:t>
              </w:r>
            </w:hyperlink>
            <w:r>
              <w:rPr>
                <w:rFonts w:eastAsia="Times New Roman"/>
                <w:color w:val="000000"/>
                <w:sz w:val="20"/>
                <w:szCs w:val="20"/>
              </w:rPr>
              <w:t xml:space="preserve"> (Recoveries)</w:t>
            </w:r>
          </w:p>
        </w:tc>
        <w:tc>
          <w:tcPr>
            <w:tcW w:w="0" w:type="auto"/>
            <w:gridSpan w:val="3"/>
            <w:tcMar>
              <w:top w:w="30" w:type="dxa"/>
              <w:left w:w="20" w:type="dxa"/>
              <w:bottom w:w="30" w:type="dxa"/>
              <w:right w:w="20" w:type="dxa"/>
            </w:tcMar>
            <w:vAlign w:val="bottom"/>
            <w:hideMark/>
          </w:tcPr>
          <w:p w14:paraId="69742B30" w14:textId="77777777" w:rsidR="00000000" w:rsidRDefault="00A173A8">
            <w:pPr>
              <w:spacing w:after="100"/>
              <w:jc w:val="center"/>
              <w:rPr>
                <w:rFonts w:eastAsia="Times New Roman"/>
              </w:rPr>
            </w:pPr>
            <w:hyperlink w:anchor="i7ffd5d61af6f4722b1b1b07530d51c06_241" w:history="1">
              <w:r>
                <w:rPr>
                  <w:rStyle w:val="a3"/>
                  <w:rFonts w:eastAsia="Times New Roman"/>
                  <w:color w:val="000000"/>
                  <w:sz w:val="20"/>
                  <w:szCs w:val="20"/>
                  <w:u w:val="none"/>
                </w:rPr>
                <w:t>42</w:t>
              </w:r>
            </w:hyperlink>
          </w:p>
        </w:tc>
      </w:tr>
      <w:tr w:rsidR="00000000" w14:paraId="5F74C83B" w14:textId="77777777">
        <w:trPr>
          <w:divId w:val="870192060"/>
          <w:jc w:val="center"/>
        </w:trPr>
        <w:tc>
          <w:tcPr>
            <w:tcW w:w="0" w:type="auto"/>
            <w:gridSpan w:val="3"/>
            <w:tcMar>
              <w:top w:w="30" w:type="dxa"/>
              <w:left w:w="20" w:type="dxa"/>
              <w:bottom w:w="30" w:type="dxa"/>
              <w:right w:w="20" w:type="dxa"/>
            </w:tcMar>
            <w:vAlign w:val="bottom"/>
            <w:hideMark/>
          </w:tcPr>
          <w:p w14:paraId="12DEB5F9" w14:textId="77777777" w:rsidR="00000000" w:rsidRDefault="00A173A8">
            <w:pPr>
              <w:spacing w:after="100"/>
              <w:jc w:val="center"/>
              <w:rPr>
                <w:rFonts w:eastAsia="Times New Roman"/>
              </w:rPr>
            </w:pPr>
            <w:r>
              <w:rPr>
                <w:rFonts w:eastAsia="Times New Roman"/>
                <w:color w:val="000000"/>
                <w:sz w:val="20"/>
                <w:szCs w:val="20"/>
              </w:rPr>
              <w:t>27</w:t>
            </w:r>
          </w:p>
        </w:tc>
        <w:tc>
          <w:tcPr>
            <w:tcW w:w="0" w:type="auto"/>
            <w:gridSpan w:val="3"/>
            <w:tcMar>
              <w:top w:w="30" w:type="dxa"/>
              <w:left w:w="20" w:type="dxa"/>
              <w:bottom w:w="30" w:type="dxa"/>
              <w:right w:w="20" w:type="dxa"/>
            </w:tcMar>
            <w:vAlign w:val="bottom"/>
            <w:hideMark/>
          </w:tcPr>
          <w:p w14:paraId="04F7CB4E" w14:textId="77777777" w:rsidR="00000000" w:rsidRDefault="00A173A8">
            <w:pPr>
              <w:spacing w:after="100"/>
              <w:divId w:val="294993271"/>
              <w:rPr>
                <w:rFonts w:eastAsia="Times New Roman"/>
              </w:rPr>
            </w:pPr>
            <w:hyperlink w:anchor="i7ffd5d61af6f4722b1b1b07530d51c06_244" w:history="1">
              <w:r>
                <w:rPr>
                  <w:rStyle w:val="a3"/>
                  <w:rFonts w:eastAsia="Times New Roman"/>
                  <w:color w:val="000000"/>
                  <w:sz w:val="20"/>
                  <w:szCs w:val="20"/>
                  <w:u w:val="none"/>
                </w:rPr>
                <w:t>Troubled Debt Restructurings</w:t>
              </w:r>
            </w:hyperlink>
          </w:p>
        </w:tc>
        <w:tc>
          <w:tcPr>
            <w:tcW w:w="0" w:type="auto"/>
            <w:gridSpan w:val="3"/>
            <w:tcMar>
              <w:top w:w="30" w:type="dxa"/>
              <w:left w:w="20" w:type="dxa"/>
              <w:bottom w:w="30" w:type="dxa"/>
              <w:right w:w="20" w:type="dxa"/>
            </w:tcMar>
            <w:vAlign w:val="bottom"/>
            <w:hideMark/>
          </w:tcPr>
          <w:p w14:paraId="313F2B81" w14:textId="77777777" w:rsidR="00000000" w:rsidRDefault="00A173A8">
            <w:pPr>
              <w:spacing w:after="100"/>
              <w:jc w:val="center"/>
              <w:rPr>
                <w:rFonts w:eastAsia="Times New Roman"/>
              </w:rPr>
            </w:pPr>
            <w:hyperlink w:anchor="i7ffd5d61af6f4722b1b1b07530d51c06_244" w:history="1">
              <w:r>
                <w:rPr>
                  <w:rStyle w:val="a3"/>
                  <w:rFonts w:eastAsia="Times New Roman"/>
                  <w:color w:val="000000"/>
                  <w:sz w:val="20"/>
                  <w:szCs w:val="20"/>
                  <w:u w:val="none"/>
                </w:rPr>
                <w:t>43</w:t>
              </w:r>
            </w:hyperlink>
          </w:p>
        </w:tc>
      </w:tr>
      <w:tr w:rsidR="00000000" w14:paraId="1A1640B8" w14:textId="77777777">
        <w:trPr>
          <w:divId w:val="870192060"/>
          <w:jc w:val="center"/>
        </w:trPr>
        <w:tc>
          <w:tcPr>
            <w:tcW w:w="0" w:type="auto"/>
            <w:gridSpan w:val="3"/>
            <w:tcMar>
              <w:top w:w="30" w:type="dxa"/>
              <w:left w:w="20" w:type="dxa"/>
              <w:bottom w:w="30" w:type="dxa"/>
              <w:right w:w="20" w:type="dxa"/>
            </w:tcMar>
            <w:vAlign w:val="bottom"/>
            <w:hideMark/>
          </w:tcPr>
          <w:p w14:paraId="1E326D81" w14:textId="77777777" w:rsidR="00000000" w:rsidRDefault="00A173A8">
            <w:pPr>
              <w:spacing w:after="100"/>
              <w:jc w:val="center"/>
              <w:rPr>
                <w:rFonts w:eastAsia="Times New Roman"/>
              </w:rPr>
            </w:pPr>
            <w:r>
              <w:rPr>
                <w:rFonts w:eastAsia="Times New Roman"/>
                <w:color w:val="000000"/>
                <w:sz w:val="20"/>
                <w:szCs w:val="20"/>
              </w:rPr>
              <w:t>28</w:t>
            </w:r>
          </w:p>
        </w:tc>
        <w:tc>
          <w:tcPr>
            <w:tcW w:w="0" w:type="auto"/>
            <w:gridSpan w:val="3"/>
            <w:tcMar>
              <w:top w:w="30" w:type="dxa"/>
              <w:left w:w="20" w:type="dxa"/>
              <w:bottom w:w="30" w:type="dxa"/>
              <w:right w:w="20" w:type="dxa"/>
            </w:tcMar>
            <w:vAlign w:val="bottom"/>
            <w:hideMark/>
          </w:tcPr>
          <w:p w14:paraId="0F9FC130" w14:textId="77777777" w:rsidR="00000000" w:rsidRDefault="00A173A8">
            <w:pPr>
              <w:spacing w:after="100"/>
              <w:divId w:val="682367006"/>
              <w:rPr>
                <w:rFonts w:eastAsia="Times New Roman"/>
              </w:rPr>
            </w:pPr>
            <w:hyperlink w:anchor="i7ffd5d61af6f4722b1b1b07530d51c06_250" w:history="1">
              <w:r>
                <w:rPr>
                  <w:rStyle w:val="a3"/>
                  <w:rFonts w:eastAsia="Times New Roman"/>
                  <w:color w:val="000000"/>
                  <w:sz w:val="20"/>
                  <w:szCs w:val="20"/>
                  <w:u w:val="none"/>
                </w:rPr>
                <w:t>Allowance for Credit Losses and Re</w:t>
              </w:r>
              <w:r>
                <w:rPr>
                  <w:rStyle w:val="a3"/>
                  <w:rFonts w:eastAsia="Times New Roman"/>
                  <w:color w:val="000000"/>
                  <w:sz w:val="20"/>
                  <w:szCs w:val="20"/>
                  <w:u w:val="none"/>
                </w:rPr>
                <w:t>serve for Unfunded Lending Commitments Activity</w:t>
              </w:r>
            </w:hyperlink>
          </w:p>
        </w:tc>
        <w:tc>
          <w:tcPr>
            <w:tcW w:w="0" w:type="auto"/>
            <w:gridSpan w:val="3"/>
            <w:tcMar>
              <w:top w:w="30" w:type="dxa"/>
              <w:left w:w="20" w:type="dxa"/>
              <w:bottom w:w="30" w:type="dxa"/>
              <w:right w:w="20" w:type="dxa"/>
            </w:tcMar>
            <w:vAlign w:val="bottom"/>
            <w:hideMark/>
          </w:tcPr>
          <w:p w14:paraId="7EC3014F" w14:textId="77777777" w:rsidR="00000000" w:rsidRDefault="00A173A8">
            <w:pPr>
              <w:spacing w:after="100"/>
              <w:jc w:val="center"/>
              <w:rPr>
                <w:rFonts w:eastAsia="Times New Roman"/>
              </w:rPr>
            </w:pPr>
            <w:hyperlink w:anchor="i7ffd5d61af6f4722b1b1b07530d51c06_250" w:history="1">
              <w:r>
                <w:rPr>
                  <w:rStyle w:val="a3"/>
                  <w:rFonts w:eastAsia="Times New Roman"/>
                  <w:color w:val="000000"/>
                  <w:sz w:val="20"/>
                  <w:szCs w:val="20"/>
                  <w:u w:val="none"/>
                </w:rPr>
                <w:t>45</w:t>
              </w:r>
            </w:hyperlink>
          </w:p>
        </w:tc>
      </w:tr>
      <w:tr w:rsidR="00000000" w14:paraId="67BF1BCA" w14:textId="77777777">
        <w:trPr>
          <w:divId w:val="870192060"/>
          <w:jc w:val="center"/>
        </w:trPr>
        <w:tc>
          <w:tcPr>
            <w:tcW w:w="0" w:type="auto"/>
            <w:gridSpan w:val="3"/>
            <w:tcMar>
              <w:top w:w="30" w:type="dxa"/>
              <w:left w:w="20" w:type="dxa"/>
              <w:bottom w:w="30" w:type="dxa"/>
              <w:right w:w="20" w:type="dxa"/>
            </w:tcMar>
            <w:vAlign w:val="bottom"/>
            <w:hideMark/>
          </w:tcPr>
          <w:p w14:paraId="62BD80A0" w14:textId="77777777" w:rsidR="00000000" w:rsidRDefault="00A173A8">
            <w:pPr>
              <w:spacing w:after="100"/>
              <w:jc w:val="center"/>
              <w:rPr>
                <w:rFonts w:eastAsia="Times New Roman"/>
              </w:rPr>
            </w:pPr>
            <w:r>
              <w:rPr>
                <w:rFonts w:eastAsia="Times New Roman"/>
                <w:color w:val="000000"/>
                <w:sz w:val="20"/>
                <w:szCs w:val="20"/>
              </w:rPr>
              <w:t>29</w:t>
            </w:r>
          </w:p>
        </w:tc>
        <w:tc>
          <w:tcPr>
            <w:tcW w:w="0" w:type="auto"/>
            <w:gridSpan w:val="3"/>
            <w:tcMar>
              <w:top w:w="30" w:type="dxa"/>
              <w:left w:w="20" w:type="dxa"/>
              <w:bottom w:w="30" w:type="dxa"/>
              <w:right w:w="20" w:type="dxa"/>
            </w:tcMar>
            <w:vAlign w:val="bottom"/>
            <w:hideMark/>
          </w:tcPr>
          <w:p w14:paraId="1AFC534B" w14:textId="77777777" w:rsidR="00000000" w:rsidRDefault="00A173A8">
            <w:pPr>
              <w:spacing w:after="100"/>
              <w:divId w:val="873270568"/>
              <w:rPr>
                <w:rFonts w:eastAsia="Times New Roman"/>
              </w:rPr>
            </w:pPr>
            <w:hyperlink w:anchor="i7ffd5d61af6f4722b1b1b07530d51c06_253" w:history="1">
              <w:r>
                <w:rPr>
                  <w:rStyle w:val="a3"/>
                  <w:rFonts w:eastAsia="Times New Roman"/>
                  <w:color w:val="000000"/>
                  <w:sz w:val="20"/>
                  <w:szCs w:val="20"/>
                  <w:u w:val="none"/>
                </w:rPr>
                <w:t>Allowance Coverage Ratios for Specified Loan Category</w:t>
              </w:r>
            </w:hyperlink>
          </w:p>
        </w:tc>
        <w:tc>
          <w:tcPr>
            <w:tcW w:w="0" w:type="auto"/>
            <w:gridSpan w:val="3"/>
            <w:tcMar>
              <w:top w:w="30" w:type="dxa"/>
              <w:left w:w="20" w:type="dxa"/>
              <w:bottom w:w="30" w:type="dxa"/>
              <w:right w:w="20" w:type="dxa"/>
            </w:tcMar>
            <w:vAlign w:val="bottom"/>
            <w:hideMark/>
          </w:tcPr>
          <w:p w14:paraId="5D141D91" w14:textId="77777777" w:rsidR="00000000" w:rsidRDefault="00A173A8">
            <w:pPr>
              <w:spacing w:after="100"/>
              <w:jc w:val="center"/>
              <w:rPr>
                <w:rFonts w:eastAsia="Times New Roman"/>
              </w:rPr>
            </w:pPr>
            <w:hyperlink w:anchor="i7ffd5d61af6f4722b1b1b07530d51c06_253" w:history="1">
              <w:r>
                <w:rPr>
                  <w:rStyle w:val="a3"/>
                  <w:rFonts w:eastAsia="Times New Roman"/>
                  <w:color w:val="000000"/>
                  <w:sz w:val="20"/>
                  <w:szCs w:val="20"/>
                  <w:u w:val="none"/>
                </w:rPr>
                <w:t>46</w:t>
              </w:r>
            </w:hyperlink>
          </w:p>
        </w:tc>
      </w:tr>
      <w:tr w:rsidR="00000000" w14:paraId="724829F9" w14:textId="77777777">
        <w:trPr>
          <w:divId w:val="870192060"/>
          <w:jc w:val="center"/>
        </w:trPr>
        <w:tc>
          <w:tcPr>
            <w:tcW w:w="0" w:type="auto"/>
            <w:gridSpan w:val="3"/>
            <w:tcMar>
              <w:top w:w="30" w:type="dxa"/>
              <w:left w:w="20" w:type="dxa"/>
              <w:bottom w:w="30" w:type="dxa"/>
              <w:right w:w="20" w:type="dxa"/>
            </w:tcMar>
            <w:vAlign w:val="bottom"/>
            <w:hideMark/>
          </w:tcPr>
          <w:p w14:paraId="299A059A" w14:textId="77777777" w:rsidR="00000000" w:rsidRDefault="00A173A8">
            <w:pPr>
              <w:spacing w:after="100"/>
              <w:jc w:val="center"/>
              <w:rPr>
                <w:rFonts w:eastAsia="Times New Roman"/>
              </w:rPr>
            </w:pPr>
            <w:r>
              <w:rPr>
                <w:rFonts w:eastAsia="Times New Roman"/>
                <w:color w:val="000000"/>
                <w:sz w:val="20"/>
                <w:szCs w:val="20"/>
              </w:rPr>
              <w:t>30</w:t>
            </w:r>
          </w:p>
        </w:tc>
        <w:tc>
          <w:tcPr>
            <w:tcW w:w="0" w:type="auto"/>
            <w:gridSpan w:val="3"/>
            <w:tcMar>
              <w:top w:w="30" w:type="dxa"/>
              <w:left w:w="20" w:type="dxa"/>
              <w:bottom w:w="30" w:type="dxa"/>
              <w:right w:w="20" w:type="dxa"/>
            </w:tcMar>
            <w:vAlign w:val="bottom"/>
            <w:hideMark/>
          </w:tcPr>
          <w:p w14:paraId="14D5AA08" w14:textId="77777777" w:rsidR="00000000" w:rsidRDefault="00A173A8">
            <w:pPr>
              <w:spacing w:after="100"/>
              <w:divId w:val="1400906783"/>
              <w:rPr>
                <w:rFonts w:eastAsia="Times New Roman"/>
              </w:rPr>
            </w:pPr>
            <w:hyperlink w:anchor="i7ffd5d61af6f4722b1b1b07530d51c06_262" w:history="1">
              <w:r>
                <w:rPr>
                  <w:rStyle w:val="a3"/>
                  <w:rFonts w:eastAsia="Times New Roman"/>
                  <w:color w:val="000000"/>
                  <w:sz w:val="20"/>
                  <w:szCs w:val="20"/>
                  <w:u w:val="none"/>
                </w:rPr>
                <w:t>Liquidity Reserves</w:t>
              </w:r>
            </w:hyperlink>
          </w:p>
        </w:tc>
        <w:tc>
          <w:tcPr>
            <w:tcW w:w="0" w:type="auto"/>
            <w:gridSpan w:val="3"/>
            <w:tcMar>
              <w:top w:w="30" w:type="dxa"/>
              <w:left w:w="20" w:type="dxa"/>
              <w:bottom w:w="30" w:type="dxa"/>
              <w:right w:w="20" w:type="dxa"/>
            </w:tcMar>
            <w:vAlign w:val="bottom"/>
            <w:hideMark/>
          </w:tcPr>
          <w:p w14:paraId="63E8BA83" w14:textId="77777777" w:rsidR="00000000" w:rsidRDefault="00A173A8">
            <w:pPr>
              <w:spacing w:after="100"/>
              <w:jc w:val="center"/>
              <w:rPr>
                <w:rFonts w:eastAsia="Times New Roman"/>
              </w:rPr>
            </w:pPr>
            <w:hyperlink w:anchor="i7ffd5d61af6f4722b1b1b07530d51c06_262" w:history="1">
              <w:r>
                <w:rPr>
                  <w:rStyle w:val="a3"/>
                  <w:rFonts w:eastAsia="Times New Roman"/>
                  <w:color w:val="000000"/>
                  <w:sz w:val="20"/>
                  <w:szCs w:val="20"/>
                  <w:u w:val="none"/>
                </w:rPr>
                <w:t>47</w:t>
              </w:r>
            </w:hyperlink>
          </w:p>
        </w:tc>
      </w:tr>
      <w:tr w:rsidR="00000000" w14:paraId="6AF578FA" w14:textId="77777777">
        <w:trPr>
          <w:divId w:val="870192060"/>
          <w:jc w:val="center"/>
        </w:trPr>
        <w:tc>
          <w:tcPr>
            <w:tcW w:w="0" w:type="auto"/>
            <w:gridSpan w:val="3"/>
            <w:tcMar>
              <w:top w:w="30" w:type="dxa"/>
              <w:left w:w="20" w:type="dxa"/>
              <w:bottom w:w="30" w:type="dxa"/>
              <w:right w:w="20" w:type="dxa"/>
            </w:tcMar>
            <w:vAlign w:val="bottom"/>
            <w:hideMark/>
          </w:tcPr>
          <w:p w14:paraId="557F355C" w14:textId="77777777" w:rsidR="00000000" w:rsidRDefault="00A173A8">
            <w:pPr>
              <w:spacing w:after="100"/>
              <w:jc w:val="center"/>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14:paraId="0C2EE6A9" w14:textId="77777777" w:rsidR="00000000" w:rsidRDefault="00A173A8">
            <w:pPr>
              <w:spacing w:after="100"/>
              <w:divId w:val="969672500"/>
              <w:rPr>
                <w:rFonts w:eastAsia="Times New Roman"/>
              </w:rPr>
            </w:pPr>
            <w:hyperlink w:anchor="i7ffd5d61af6f4722b1b1b07530d51c06_268" w:history="1">
              <w:r>
                <w:rPr>
                  <w:rStyle w:val="a3"/>
                  <w:rFonts w:eastAsia="Times New Roman"/>
                  <w:color w:val="000000"/>
                  <w:sz w:val="20"/>
                  <w:szCs w:val="20"/>
                  <w:u w:val="none"/>
                </w:rPr>
                <w:t>Deposits Composition and Average Deposits Interest Rates</w:t>
              </w:r>
            </w:hyperlink>
          </w:p>
        </w:tc>
        <w:tc>
          <w:tcPr>
            <w:tcW w:w="0" w:type="auto"/>
            <w:gridSpan w:val="3"/>
            <w:tcMar>
              <w:top w:w="30" w:type="dxa"/>
              <w:left w:w="20" w:type="dxa"/>
              <w:bottom w:w="30" w:type="dxa"/>
              <w:right w:w="20" w:type="dxa"/>
            </w:tcMar>
            <w:vAlign w:val="bottom"/>
            <w:hideMark/>
          </w:tcPr>
          <w:p w14:paraId="7E53ABDF" w14:textId="77777777" w:rsidR="00000000" w:rsidRDefault="00A173A8">
            <w:pPr>
              <w:spacing w:after="100"/>
              <w:jc w:val="center"/>
              <w:rPr>
                <w:rFonts w:eastAsia="Times New Roman"/>
              </w:rPr>
            </w:pPr>
            <w:hyperlink w:anchor="i7ffd5d61af6f4722b1b1b07530d51c06_268" w:history="1">
              <w:r>
                <w:rPr>
                  <w:rStyle w:val="a3"/>
                  <w:rFonts w:eastAsia="Times New Roman"/>
                  <w:color w:val="000000"/>
                  <w:sz w:val="20"/>
                  <w:szCs w:val="20"/>
                  <w:u w:val="none"/>
                </w:rPr>
                <w:t>48</w:t>
              </w:r>
            </w:hyperlink>
          </w:p>
        </w:tc>
      </w:tr>
      <w:tr w:rsidR="00000000" w14:paraId="44D781D3" w14:textId="77777777">
        <w:trPr>
          <w:divId w:val="870192060"/>
          <w:jc w:val="center"/>
        </w:trPr>
        <w:tc>
          <w:tcPr>
            <w:tcW w:w="0" w:type="auto"/>
            <w:gridSpan w:val="3"/>
            <w:vAlign w:val="center"/>
            <w:hideMark/>
          </w:tcPr>
          <w:p w14:paraId="662F0F78" w14:textId="77777777" w:rsidR="00000000" w:rsidRDefault="00A173A8">
            <w:pPr>
              <w:spacing w:after="100"/>
              <w:jc w:val="center"/>
              <w:rPr>
                <w:rFonts w:eastAsia="Times New Roman"/>
              </w:rPr>
            </w:pPr>
          </w:p>
        </w:tc>
        <w:tc>
          <w:tcPr>
            <w:tcW w:w="0" w:type="auto"/>
            <w:gridSpan w:val="3"/>
            <w:vAlign w:val="center"/>
            <w:hideMark/>
          </w:tcPr>
          <w:p w14:paraId="36716A27" w14:textId="77777777" w:rsidR="00000000" w:rsidRDefault="00A173A8">
            <w:pPr>
              <w:spacing w:after="100"/>
              <w:rPr>
                <w:rFonts w:eastAsia="Times New Roman"/>
                <w:sz w:val="20"/>
                <w:szCs w:val="20"/>
              </w:rPr>
            </w:pPr>
          </w:p>
        </w:tc>
        <w:tc>
          <w:tcPr>
            <w:tcW w:w="0" w:type="auto"/>
            <w:gridSpan w:val="3"/>
            <w:vAlign w:val="center"/>
            <w:hideMark/>
          </w:tcPr>
          <w:p w14:paraId="380221CD" w14:textId="77777777" w:rsidR="00000000" w:rsidRDefault="00A173A8">
            <w:pPr>
              <w:spacing w:after="100"/>
              <w:rPr>
                <w:rFonts w:eastAsia="Times New Roman"/>
                <w:sz w:val="20"/>
                <w:szCs w:val="20"/>
              </w:rPr>
            </w:pPr>
          </w:p>
        </w:tc>
      </w:tr>
      <w:tr w:rsidR="00000000" w14:paraId="77E21097" w14:textId="77777777">
        <w:trPr>
          <w:divId w:val="870192060"/>
          <w:jc w:val="center"/>
        </w:trPr>
        <w:tc>
          <w:tcPr>
            <w:tcW w:w="0" w:type="auto"/>
            <w:gridSpan w:val="3"/>
            <w:tcMar>
              <w:top w:w="30" w:type="dxa"/>
              <w:left w:w="20" w:type="dxa"/>
              <w:bottom w:w="30" w:type="dxa"/>
              <w:right w:w="20" w:type="dxa"/>
            </w:tcMar>
            <w:vAlign w:val="bottom"/>
            <w:hideMark/>
          </w:tcPr>
          <w:p w14:paraId="1A9C5904" w14:textId="77777777" w:rsidR="00000000" w:rsidRDefault="00A173A8">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14:paraId="7B0FAE5D" w14:textId="77777777" w:rsidR="00000000" w:rsidRDefault="00A173A8">
            <w:pPr>
              <w:spacing w:after="100"/>
              <w:divId w:val="1494182877"/>
              <w:rPr>
                <w:rFonts w:eastAsia="Times New Roman"/>
              </w:rPr>
            </w:pPr>
            <w:hyperlink w:anchor="i7ffd5d61af6f4722b1b1b07530d51c06_280" w:history="1">
              <w:r>
                <w:rPr>
                  <w:rStyle w:val="a3"/>
                  <w:rFonts w:eastAsia="Times New Roman"/>
                  <w:color w:val="000000"/>
                  <w:sz w:val="20"/>
                  <w:szCs w:val="20"/>
                  <w:u w:val="none"/>
                </w:rPr>
                <w:t>Long-Term Debt Funding Activities</w:t>
              </w:r>
            </w:hyperlink>
          </w:p>
        </w:tc>
        <w:tc>
          <w:tcPr>
            <w:tcW w:w="0" w:type="auto"/>
            <w:gridSpan w:val="3"/>
            <w:tcMar>
              <w:top w:w="30" w:type="dxa"/>
              <w:left w:w="20" w:type="dxa"/>
              <w:bottom w:w="30" w:type="dxa"/>
              <w:right w:w="20" w:type="dxa"/>
            </w:tcMar>
            <w:vAlign w:val="bottom"/>
            <w:hideMark/>
          </w:tcPr>
          <w:p w14:paraId="23A123AB" w14:textId="77777777" w:rsidR="00000000" w:rsidRDefault="00A173A8">
            <w:pPr>
              <w:spacing w:after="100"/>
              <w:jc w:val="center"/>
              <w:rPr>
                <w:rFonts w:eastAsia="Times New Roman"/>
              </w:rPr>
            </w:pPr>
            <w:hyperlink w:anchor="i7ffd5d61af6f4722b1b1b07530d51c06_280" w:history="1">
              <w:r>
                <w:rPr>
                  <w:rStyle w:val="a3"/>
                  <w:rFonts w:eastAsia="Times New Roman"/>
                  <w:color w:val="000000"/>
                  <w:sz w:val="20"/>
                  <w:szCs w:val="20"/>
                  <w:u w:val="none"/>
                </w:rPr>
                <w:t>49</w:t>
              </w:r>
            </w:hyperlink>
          </w:p>
        </w:tc>
      </w:tr>
      <w:tr w:rsidR="00000000" w14:paraId="5892A5E8" w14:textId="77777777">
        <w:trPr>
          <w:divId w:val="870192060"/>
          <w:jc w:val="center"/>
        </w:trPr>
        <w:tc>
          <w:tcPr>
            <w:tcW w:w="0" w:type="auto"/>
            <w:gridSpan w:val="3"/>
            <w:tcMar>
              <w:top w:w="30" w:type="dxa"/>
              <w:left w:w="20" w:type="dxa"/>
              <w:bottom w:w="30" w:type="dxa"/>
              <w:right w:w="20" w:type="dxa"/>
            </w:tcMar>
            <w:vAlign w:val="bottom"/>
            <w:hideMark/>
          </w:tcPr>
          <w:p w14:paraId="36A356E9" w14:textId="77777777" w:rsidR="00000000" w:rsidRDefault="00A173A8">
            <w:pPr>
              <w:spacing w:after="100"/>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vAlign w:val="bottom"/>
            <w:hideMark/>
          </w:tcPr>
          <w:p w14:paraId="3349EB68" w14:textId="77777777" w:rsidR="00000000" w:rsidRDefault="00A173A8">
            <w:pPr>
              <w:spacing w:after="100"/>
              <w:divId w:val="895700683"/>
              <w:rPr>
                <w:rFonts w:eastAsia="Times New Roman"/>
              </w:rPr>
            </w:pPr>
            <w:hyperlink w:anchor="i7ffd5d61af6f4722b1b1b07530d51c06_283" w:history="1">
              <w:r>
                <w:rPr>
                  <w:rStyle w:val="a3"/>
                  <w:rFonts w:eastAsia="Times New Roman"/>
                  <w:color w:val="000000"/>
                  <w:sz w:val="20"/>
                  <w:szCs w:val="20"/>
                  <w:u w:val="none"/>
                </w:rPr>
                <w:t>Senior Unsecured Long-Term Debt Credit Ratings</w:t>
              </w:r>
            </w:hyperlink>
          </w:p>
        </w:tc>
        <w:tc>
          <w:tcPr>
            <w:tcW w:w="0" w:type="auto"/>
            <w:gridSpan w:val="3"/>
            <w:tcMar>
              <w:top w:w="30" w:type="dxa"/>
              <w:left w:w="20" w:type="dxa"/>
              <w:bottom w:w="30" w:type="dxa"/>
              <w:right w:w="20" w:type="dxa"/>
            </w:tcMar>
            <w:vAlign w:val="bottom"/>
            <w:hideMark/>
          </w:tcPr>
          <w:p w14:paraId="35D8C88D" w14:textId="77777777" w:rsidR="00000000" w:rsidRDefault="00A173A8">
            <w:pPr>
              <w:spacing w:after="100"/>
              <w:jc w:val="center"/>
              <w:rPr>
                <w:rFonts w:eastAsia="Times New Roman"/>
              </w:rPr>
            </w:pPr>
            <w:hyperlink w:anchor="i7ffd5d61af6f4722b1b1b07530d51c06_283" w:history="1">
              <w:r>
                <w:rPr>
                  <w:rStyle w:val="a3"/>
                  <w:rFonts w:eastAsia="Times New Roman"/>
                  <w:color w:val="000000"/>
                  <w:sz w:val="20"/>
                  <w:szCs w:val="20"/>
                  <w:u w:val="none"/>
                </w:rPr>
                <w:t>49</w:t>
              </w:r>
            </w:hyperlink>
          </w:p>
        </w:tc>
      </w:tr>
      <w:tr w:rsidR="00000000" w14:paraId="5586D6EE" w14:textId="77777777">
        <w:trPr>
          <w:divId w:val="870192060"/>
          <w:jc w:val="center"/>
        </w:trPr>
        <w:tc>
          <w:tcPr>
            <w:tcW w:w="0" w:type="auto"/>
            <w:gridSpan w:val="3"/>
            <w:tcMar>
              <w:top w:w="30" w:type="dxa"/>
              <w:left w:w="20" w:type="dxa"/>
              <w:bottom w:w="30" w:type="dxa"/>
              <w:right w:w="20" w:type="dxa"/>
            </w:tcMar>
            <w:vAlign w:val="bottom"/>
            <w:hideMark/>
          </w:tcPr>
          <w:p w14:paraId="0CF3A993" w14:textId="77777777" w:rsidR="00000000" w:rsidRDefault="00A173A8">
            <w:pPr>
              <w:spacing w:after="100"/>
              <w:jc w:val="center"/>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vAlign w:val="bottom"/>
            <w:hideMark/>
          </w:tcPr>
          <w:p w14:paraId="7ABD1C47" w14:textId="77777777" w:rsidR="00000000" w:rsidRDefault="00A173A8">
            <w:pPr>
              <w:spacing w:after="100"/>
              <w:divId w:val="1534924277"/>
              <w:rPr>
                <w:rFonts w:eastAsia="Times New Roman"/>
              </w:rPr>
            </w:pPr>
            <w:hyperlink w:anchor="i7ffd5d61af6f4722b1b1b07530d51c06_292" w:history="1">
              <w:r>
                <w:rPr>
                  <w:rStyle w:val="a3"/>
                  <w:rFonts w:eastAsia="Times New Roman"/>
                  <w:color w:val="000000"/>
                  <w:sz w:val="20"/>
                  <w:szCs w:val="20"/>
                  <w:u w:val="none"/>
                </w:rPr>
                <w:t>Interest Rate Se</w:t>
              </w:r>
              <w:r>
                <w:rPr>
                  <w:rStyle w:val="a3"/>
                  <w:rFonts w:eastAsia="Times New Roman"/>
                  <w:color w:val="000000"/>
                  <w:sz w:val="20"/>
                  <w:szCs w:val="20"/>
                  <w:u w:val="none"/>
                </w:rPr>
                <w:t>nsitivity Analysis</w:t>
              </w:r>
            </w:hyperlink>
          </w:p>
        </w:tc>
        <w:tc>
          <w:tcPr>
            <w:tcW w:w="0" w:type="auto"/>
            <w:gridSpan w:val="3"/>
            <w:tcMar>
              <w:top w:w="30" w:type="dxa"/>
              <w:left w:w="20" w:type="dxa"/>
              <w:bottom w:w="30" w:type="dxa"/>
              <w:right w:w="20" w:type="dxa"/>
            </w:tcMar>
            <w:vAlign w:val="bottom"/>
            <w:hideMark/>
          </w:tcPr>
          <w:p w14:paraId="43F2D29E" w14:textId="77777777" w:rsidR="00000000" w:rsidRDefault="00A173A8">
            <w:pPr>
              <w:spacing w:after="100"/>
              <w:jc w:val="center"/>
              <w:rPr>
                <w:rFonts w:eastAsia="Times New Roman"/>
              </w:rPr>
            </w:pPr>
            <w:hyperlink w:anchor="i7ffd5d61af6f4722b1b1b07530d51c06_292" w:history="1">
              <w:r>
                <w:rPr>
                  <w:rStyle w:val="a3"/>
                  <w:rFonts w:eastAsia="Times New Roman"/>
                  <w:color w:val="000000"/>
                  <w:sz w:val="20"/>
                  <w:szCs w:val="20"/>
                  <w:u w:val="none"/>
                </w:rPr>
                <w:t>51</w:t>
              </w:r>
            </w:hyperlink>
          </w:p>
        </w:tc>
      </w:tr>
      <w:tr w:rsidR="00000000" w14:paraId="27749C8B" w14:textId="77777777">
        <w:trPr>
          <w:divId w:val="870192060"/>
          <w:jc w:val="center"/>
        </w:trPr>
        <w:tc>
          <w:tcPr>
            <w:tcW w:w="0" w:type="auto"/>
            <w:gridSpan w:val="3"/>
            <w:tcMar>
              <w:top w:w="30" w:type="dxa"/>
              <w:left w:w="20" w:type="dxa"/>
              <w:bottom w:w="30" w:type="dxa"/>
              <w:right w:w="20" w:type="dxa"/>
            </w:tcMar>
            <w:vAlign w:val="bottom"/>
            <w:hideMark/>
          </w:tcPr>
          <w:p w14:paraId="30F05901" w14:textId="77777777" w:rsidR="00000000" w:rsidRDefault="00A173A8">
            <w:pPr>
              <w:spacing w:after="100"/>
              <w:jc w:val="center"/>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vAlign w:val="bottom"/>
            <w:hideMark/>
          </w:tcPr>
          <w:p w14:paraId="0F934E76" w14:textId="77777777" w:rsidR="00000000" w:rsidRDefault="00A173A8">
            <w:pPr>
              <w:spacing w:after="100"/>
              <w:divId w:val="1456873604"/>
              <w:rPr>
                <w:rFonts w:eastAsia="Times New Roman"/>
              </w:rPr>
            </w:pPr>
            <w:hyperlink w:anchor="i7ffd5d61af6f4722b1b1b07530d51c06_295" w:history="1">
              <w:r>
                <w:rPr>
                  <w:rStyle w:val="a3"/>
                  <w:rFonts w:eastAsia="Times New Roman"/>
                  <w:color w:val="000000"/>
                  <w:sz w:val="20"/>
                  <w:szCs w:val="20"/>
                  <w:u w:val="none"/>
                </w:rPr>
                <w:t>LIBOR Exposures on Derivatives and Commercial Loans</w:t>
              </w:r>
            </w:hyperlink>
          </w:p>
        </w:tc>
        <w:tc>
          <w:tcPr>
            <w:tcW w:w="0" w:type="auto"/>
            <w:gridSpan w:val="3"/>
            <w:tcMar>
              <w:top w:w="30" w:type="dxa"/>
              <w:left w:w="20" w:type="dxa"/>
              <w:bottom w:w="30" w:type="dxa"/>
              <w:right w:w="20" w:type="dxa"/>
            </w:tcMar>
            <w:vAlign w:val="bottom"/>
            <w:hideMark/>
          </w:tcPr>
          <w:p w14:paraId="2135C934" w14:textId="77777777" w:rsidR="00000000" w:rsidRDefault="00A173A8">
            <w:pPr>
              <w:spacing w:after="100"/>
              <w:jc w:val="center"/>
              <w:rPr>
                <w:rFonts w:eastAsia="Times New Roman"/>
              </w:rPr>
            </w:pPr>
            <w:hyperlink w:anchor="i7ffd5d61af6f4722b1b1b07530d51c06_295" w:history="1">
              <w:r>
                <w:rPr>
                  <w:rStyle w:val="a3"/>
                  <w:rFonts w:eastAsia="Times New Roman"/>
                  <w:color w:val="000000"/>
                  <w:sz w:val="20"/>
                  <w:szCs w:val="20"/>
                  <w:u w:val="none"/>
                </w:rPr>
                <w:t>53</w:t>
              </w:r>
            </w:hyperlink>
          </w:p>
        </w:tc>
      </w:tr>
      <w:tr w:rsidR="00000000" w14:paraId="55290C6C" w14:textId="77777777">
        <w:trPr>
          <w:divId w:val="870192060"/>
          <w:trHeight w:val="240"/>
          <w:jc w:val="center"/>
        </w:trPr>
        <w:tc>
          <w:tcPr>
            <w:tcW w:w="0" w:type="auto"/>
            <w:gridSpan w:val="3"/>
            <w:tcMar>
              <w:top w:w="0" w:type="dxa"/>
              <w:left w:w="20" w:type="dxa"/>
              <w:bottom w:w="0" w:type="dxa"/>
              <w:right w:w="20" w:type="dxa"/>
            </w:tcMar>
            <w:vAlign w:val="center"/>
            <w:hideMark/>
          </w:tcPr>
          <w:p w14:paraId="3FA6535E"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AD912F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B88091" w14:textId="77777777" w:rsidR="00000000" w:rsidRDefault="00A173A8">
            <w:pPr>
              <w:spacing w:after="100"/>
              <w:rPr>
                <w:rFonts w:eastAsia="Times New Roman"/>
                <w:sz w:val="20"/>
                <w:szCs w:val="20"/>
              </w:rPr>
            </w:pPr>
          </w:p>
        </w:tc>
      </w:tr>
      <w:tr w:rsidR="00000000" w14:paraId="4C9BEC47" w14:textId="77777777">
        <w:trPr>
          <w:divId w:val="870192060"/>
          <w:jc w:val="center"/>
        </w:trPr>
        <w:tc>
          <w:tcPr>
            <w:tcW w:w="0" w:type="auto"/>
            <w:gridSpan w:val="6"/>
            <w:tcMar>
              <w:top w:w="30" w:type="dxa"/>
              <w:left w:w="20" w:type="dxa"/>
              <w:bottom w:w="30" w:type="dxa"/>
              <w:right w:w="20" w:type="dxa"/>
            </w:tcMar>
            <w:vAlign w:val="bottom"/>
            <w:hideMark/>
          </w:tcPr>
          <w:p w14:paraId="22CE6B98" w14:textId="77777777" w:rsidR="00000000" w:rsidRDefault="00A173A8">
            <w:pPr>
              <w:spacing w:after="100"/>
              <w:divId w:val="154029377"/>
              <w:rPr>
                <w:rFonts w:eastAsia="Times New Roman"/>
              </w:rPr>
            </w:pPr>
            <w:hyperlink w:anchor="i7ffd5d61af6f4722b1b1b07530d51c06_304" w:history="1">
              <w:r>
                <w:rPr>
                  <w:rStyle w:val="a3"/>
                  <w:rFonts w:eastAsia="Times New Roman"/>
                  <w:b/>
                  <w:bCs/>
                  <w:color w:val="000000"/>
                  <w:sz w:val="20"/>
                  <w:szCs w:val="20"/>
                  <w:u w:val="none"/>
                </w:rPr>
                <w:t>Supplemental Table</w:t>
              </w:r>
            </w:hyperlink>
            <w:r>
              <w:rPr>
                <w:rFonts w:eastAsia="Times New Roman"/>
                <w:b/>
                <w:bCs/>
                <w:color w:val="000000"/>
                <w:sz w:val="20"/>
                <w:szCs w:val="20"/>
              </w:rPr>
              <w:t>:</w:t>
            </w:r>
          </w:p>
        </w:tc>
        <w:tc>
          <w:tcPr>
            <w:tcW w:w="0" w:type="auto"/>
            <w:gridSpan w:val="3"/>
            <w:tcMar>
              <w:top w:w="0" w:type="dxa"/>
              <w:left w:w="20" w:type="dxa"/>
              <w:bottom w:w="0" w:type="dxa"/>
              <w:right w:w="20" w:type="dxa"/>
            </w:tcMar>
            <w:vAlign w:val="center"/>
            <w:hideMark/>
          </w:tcPr>
          <w:p w14:paraId="64027052" w14:textId="77777777" w:rsidR="00000000" w:rsidRDefault="00A173A8">
            <w:pPr>
              <w:spacing w:after="100"/>
              <w:rPr>
                <w:rFonts w:eastAsia="Times New Roman"/>
              </w:rPr>
            </w:pPr>
          </w:p>
        </w:tc>
      </w:tr>
      <w:tr w:rsidR="00000000" w14:paraId="3F06A48A" w14:textId="77777777">
        <w:trPr>
          <w:divId w:val="870192060"/>
          <w:jc w:val="center"/>
        </w:trPr>
        <w:tc>
          <w:tcPr>
            <w:tcW w:w="0" w:type="auto"/>
            <w:gridSpan w:val="3"/>
            <w:vAlign w:val="center"/>
            <w:hideMark/>
          </w:tcPr>
          <w:p w14:paraId="14C44E9D" w14:textId="77777777" w:rsidR="00000000" w:rsidRDefault="00A173A8">
            <w:pPr>
              <w:spacing w:after="100"/>
              <w:rPr>
                <w:rFonts w:eastAsia="Times New Roman"/>
                <w:sz w:val="20"/>
                <w:szCs w:val="20"/>
              </w:rPr>
            </w:pPr>
          </w:p>
        </w:tc>
        <w:tc>
          <w:tcPr>
            <w:tcW w:w="0" w:type="auto"/>
            <w:gridSpan w:val="3"/>
            <w:vAlign w:val="center"/>
            <w:hideMark/>
          </w:tcPr>
          <w:p w14:paraId="4A08A950" w14:textId="77777777" w:rsidR="00000000" w:rsidRDefault="00A173A8">
            <w:pPr>
              <w:spacing w:after="100"/>
              <w:rPr>
                <w:rFonts w:eastAsia="Times New Roman"/>
                <w:sz w:val="20"/>
                <w:szCs w:val="20"/>
              </w:rPr>
            </w:pPr>
          </w:p>
        </w:tc>
        <w:tc>
          <w:tcPr>
            <w:tcW w:w="0" w:type="auto"/>
            <w:gridSpan w:val="3"/>
            <w:vAlign w:val="center"/>
            <w:hideMark/>
          </w:tcPr>
          <w:p w14:paraId="49543874" w14:textId="77777777" w:rsidR="00000000" w:rsidRDefault="00A173A8">
            <w:pPr>
              <w:spacing w:after="100"/>
              <w:rPr>
                <w:rFonts w:eastAsia="Times New Roman"/>
                <w:sz w:val="20"/>
                <w:szCs w:val="20"/>
              </w:rPr>
            </w:pPr>
          </w:p>
        </w:tc>
      </w:tr>
      <w:tr w:rsidR="00000000" w14:paraId="77FCC7E7" w14:textId="77777777">
        <w:trPr>
          <w:divId w:val="870192060"/>
          <w:jc w:val="center"/>
        </w:trPr>
        <w:tc>
          <w:tcPr>
            <w:tcW w:w="0" w:type="auto"/>
            <w:gridSpan w:val="3"/>
            <w:vAlign w:val="center"/>
            <w:hideMark/>
          </w:tcPr>
          <w:p w14:paraId="7CE31945" w14:textId="77777777" w:rsidR="00000000" w:rsidRDefault="00A173A8">
            <w:pPr>
              <w:spacing w:after="100"/>
              <w:rPr>
                <w:rFonts w:eastAsia="Times New Roman"/>
                <w:sz w:val="20"/>
                <w:szCs w:val="20"/>
              </w:rPr>
            </w:pPr>
          </w:p>
        </w:tc>
        <w:tc>
          <w:tcPr>
            <w:tcW w:w="0" w:type="auto"/>
            <w:gridSpan w:val="3"/>
            <w:vAlign w:val="center"/>
            <w:hideMark/>
          </w:tcPr>
          <w:p w14:paraId="2F4D75C9" w14:textId="77777777" w:rsidR="00000000" w:rsidRDefault="00A173A8">
            <w:pPr>
              <w:spacing w:after="100"/>
              <w:rPr>
                <w:rFonts w:eastAsia="Times New Roman"/>
                <w:sz w:val="20"/>
                <w:szCs w:val="20"/>
              </w:rPr>
            </w:pPr>
          </w:p>
        </w:tc>
        <w:tc>
          <w:tcPr>
            <w:tcW w:w="0" w:type="auto"/>
            <w:gridSpan w:val="3"/>
            <w:vAlign w:val="center"/>
            <w:hideMark/>
          </w:tcPr>
          <w:p w14:paraId="49AC7477" w14:textId="77777777" w:rsidR="00000000" w:rsidRDefault="00A173A8">
            <w:pPr>
              <w:spacing w:after="100"/>
              <w:rPr>
                <w:rFonts w:eastAsia="Times New Roman"/>
                <w:sz w:val="20"/>
                <w:szCs w:val="20"/>
              </w:rPr>
            </w:pPr>
          </w:p>
        </w:tc>
      </w:tr>
      <w:tr w:rsidR="00000000" w14:paraId="7C91EE4D" w14:textId="77777777">
        <w:trPr>
          <w:divId w:val="870192060"/>
          <w:jc w:val="center"/>
        </w:trPr>
        <w:tc>
          <w:tcPr>
            <w:tcW w:w="0" w:type="auto"/>
            <w:gridSpan w:val="3"/>
            <w:vAlign w:val="center"/>
            <w:hideMark/>
          </w:tcPr>
          <w:p w14:paraId="378DDE7B" w14:textId="77777777" w:rsidR="00000000" w:rsidRDefault="00A173A8">
            <w:pPr>
              <w:spacing w:after="100"/>
              <w:rPr>
                <w:rFonts w:eastAsia="Times New Roman"/>
                <w:sz w:val="20"/>
                <w:szCs w:val="20"/>
              </w:rPr>
            </w:pPr>
          </w:p>
        </w:tc>
        <w:tc>
          <w:tcPr>
            <w:tcW w:w="0" w:type="auto"/>
            <w:gridSpan w:val="3"/>
            <w:vAlign w:val="center"/>
            <w:hideMark/>
          </w:tcPr>
          <w:p w14:paraId="589CEE5F" w14:textId="77777777" w:rsidR="00000000" w:rsidRDefault="00A173A8">
            <w:pPr>
              <w:spacing w:after="100"/>
              <w:rPr>
                <w:rFonts w:eastAsia="Times New Roman"/>
                <w:sz w:val="20"/>
                <w:szCs w:val="20"/>
              </w:rPr>
            </w:pPr>
          </w:p>
        </w:tc>
        <w:tc>
          <w:tcPr>
            <w:tcW w:w="0" w:type="auto"/>
            <w:gridSpan w:val="3"/>
            <w:vAlign w:val="center"/>
            <w:hideMark/>
          </w:tcPr>
          <w:p w14:paraId="17719C9D" w14:textId="77777777" w:rsidR="00000000" w:rsidRDefault="00A173A8">
            <w:pPr>
              <w:spacing w:after="100"/>
              <w:rPr>
                <w:rFonts w:eastAsia="Times New Roman"/>
                <w:sz w:val="20"/>
                <w:szCs w:val="20"/>
              </w:rPr>
            </w:pPr>
          </w:p>
        </w:tc>
      </w:tr>
      <w:tr w:rsidR="00000000" w14:paraId="6EF486CD" w14:textId="77777777">
        <w:trPr>
          <w:divId w:val="870192060"/>
          <w:jc w:val="center"/>
        </w:trPr>
        <w:tc>
          <w:tcPr>
            <w:tcW w:w="0" w:type="auto"/>
            <w:gridSpan w:val="3"/>
            <w:vAlign w:val="center"/>
            <w:hideMark/>
          </w:tcPr>
          <w:p w14:paraId="056FF3D1" w14:textId="77777777" w:rsidR="00000000" w:rsidRDefault="00A173A8">
            <w:pPr>
              <w:spacing w:after="100"/>
              <w:rPr>
                <w:rFonts w:eastAsia="Times New Roman"/>
                <w:sz w:val="20"/>
                <w:szCs w:val="20"/>
              </w:rPr>
            </w:pPr>
          </w:p>
        </w:tc>
        <w:tc>
          <w:tcPr>
            <w:tcW w:w="0" w:type="auto"/>
            <w:gridSpan w:val="3"/>
            <w:vAlign w:val="center"/>
            <w:hideMark/>
          </w:tcPr>
          <w:p w14:paraId="32E94582" w14:textId="77777777" w:rsidR="00000000" w:rsidRDefault="00A173A8">
            <w:pPr>
              <w:spacing w:after="100"/>
              <w:rPr>
                <w:rFonts w:eastAsia="Times New Roman"/>
                <w:sz w:val="20"/>
                <w:szCs w:val="20"/>
              </w:rPr>
            </w:pPr>
          </w:p>
        </w:tc>
        <w:tc>
          <w:tcPr>
            <w:tcW w:w="0" w:type="auto"/>
            <w:gridSpan w:val="3"/>
            <w:vAlign w:val="center"/>
            <w:hideMark/>
          </w:tcPr>
          <w:p w14:paraId="3A1C68FD" w14:textId="77777777" w:rsidR="00000000" w:rsidRDefault="00A173A8">
            <w:pPr>
              <w:spacing w:after="100"/>
              <w:rPr>
                <w:rFonts w:eastAsia="Times New Roman"/>
                <w:sz w:val="20"/>
                <w:szCs w:val="20"/>
              </w:rPr>
            </w:pPr>
          </w:p>
        </w:tc>
      </w:tr>
      <w:tr w:rsidR="00000000" w14:paraId="3CBD2018" w14:textId="77777777">
        <w:trPr>
          <w:divId w:val="870192060"/>
          <w:jc w:val="center"/>
        </w:trPr>
        <w:tc>
          <w:tcPr>
            <w:tcW w:w="0" w:type="auto"/>
            <w:gridSpan w:val="3"/>
            <w:vAlign w:val="center"/>
            <w:hideMark/>
          </w:tcPr>
          <w:p w14:paraId="35E45EF5" w14:textId="77777777" w:rsidR="00000000" w:rsidRDefault="00A173A8">
            <w:pPr>
              <w:spacing w:after="100"/>
              <w:rPr>
                <w:rFonts w:eastAsia="Times New Roman"/>
                <w:sz w:val="20"/>
                <w:szCs w:val="20"/>
              </w:rPr>
            </w:pPr>
          </w:p>
        </w:tc>
        <w:tc>
          <w:tcPr>
            <w:tcW w:w="0" w:type="auto"/>
            <w:gridSpan w:val="3"/>
            <w:vAlign w:val="center"/>
            <w:hideMark/>
          </w:tcPr>
          <w:p w14:paraId="151BB9D8" w14:textId="77777777" w:rsidR="00000000" w:rsidRDefault="00A173A8">
            <w:pPr>
              <w:spacing w:after="100"/>
              <w:rPr>
                <w:rFonts w:eastAsia="Times New Roman"/>
                <w:sz w:val="20"/>
                <w:szCs w:val="20"/>
              </w:rPr>
            </w:pPr>
          </w:p>
        </w:tc>
        <w:tc>
          <w:tcPr>
            <w:tcW w:w="0" w:type="auto"/>
            <w:gridSpan w:val="3"/>
            <w:vAlign w:val="center"/>
            <w:hideMark/>
          </w:tcPr>
          <w:p w14:paraId="63B548F7" w14:textId="77777777" w:rsidR="00000000" w:rsidRDefault="00A173A8">
            <w:pPr>
              <w:spacing w:after="100"/>
              <w:rPr>
                <w:rFonts w:eastAsia="Times New Roman"/>
                <w:sz w:val="20"/>
                <w:szCs w:val="20"/>
              </w:rPr>
            </w:pPr>
          </w:p>
        </w:tc>
      </w:tr>
      <w:tr w:rsidR="00000000" w14:paraId="198D6985" w14:textId="77777777">
        <w:trPr>
          <w:divId w:val="870192060"/>
          <w:jc w:val="center"/>
        </w:trPr>
        <w:tc>
          <w:tcPr>
            <w:tcW w:w="0" w:type="auto"/>
            <w:gridSpan w:val="3"/>
            <w:tcMar>
              <w:top w:w="30" w:type="dxa"/>
              <w:left w:w="20" w:type="dxa"/>
              <w:bottom w:w="30" w:type="dxa"/>
              <w:right w:w="20" w:type="dxa"/>
            </w:tcMar>
            <w:vAlign w:val="bottom"/>
            <w:hideMark/>
          </w:tcPr>
          <w:p w14:paraId="3E8515EE" w14:textId="77777777" w:rsidR="00000000" w:rsidRDefault="00A173A8">
            <w:pPr>
              <w:spacing w:after="100"/>
              <w:jc w:val="center"/>
              <w:rPr>
                <w:rFonts w:eastAsia="Times New Roman"/>
              </w:rPr>
            </w:pPr>
            <w:r>
              <w:rPr>
                <w:rFonts w:eastAsia="Times New Roman"/>
                <w:color w:val="000000"/>
                <w:sz w:val="20"/>
                <w:szCs w:val="20"/>
              </w:rPr>
              <w:t>A</w:t>
            </w:r>
          </w:p>
        </w:tc>
        <w:tc>
          <w:tcPr>
            <w:tcW w:w="0" w:type="auto"/>
            <w:gridSpan w:val="3"/>
            <w:tcMar>
              <w:top w:w="30" w:type="dxa"/>
              <w:left w:w="20" w:type="dxa"/>
              <w:bottom w:w="30" w:type="dxa"/>
              <w:right w:w="20" w:type="dxa"/>
            </w:tcMar>
            <w:vAlign w:val="bottom"/>
            <w:hideMark/>
          </w:tcPr>
          <w:p w14:paraId="12A723CE" w14:textId="77777777" w:rsidR="00000000" w:rsidRDefault="00A173A8">
            <w:pPr>
              <w:spacing w:after="100"/>
              <w:divId w:val="1728607707"/>
              <w:rPr>
                <w:rFonts w:eastAsia="Times New Roman"/>
              </w:rPr>
            </w:pPr>
            <w:hyperlink w:anchor="i7ffd5d61af6f4722b1b1b07530d51c06_307" w:history="1">
              <w:r>
                <w:rPr>
                  <w:rStyle w:val="a3"/>
                  <w:rFonts w:eastAsia="Times New Roman"/>
                  <w:color w:val="000000"/>
                  <w:sz w:val="20"/>
                  <w:szCs w:val="20"/>
                  <w:u w:val="none"/>
                </w:rPr>
                <w:t>Reconciliation of Non-GAAP Measures</w:t>
              </w:r>
            </w:hyperlink>
          </w:p>
        </w:tc>
        <w:tc>
          <w:tcPr>
            <w:tcW w:w="0" w:type="auto"/>
            <w:gridSpan w:val="3"/>
            <w:tcMar>
              <w:top w:w="30" w:type="dxa"/>
              <w:left w:w="20" w:type="dxa"/>
              <w:bottom w:w="30" w:type="dxa"/>
              <w:right w:w="20" w:type="dxa"/>
            </w:tcMar>
            <w:vAlign w:val="bottom"/>
            <w:hideMark/>
          </w:tcPr>
          <w:p w14:paraId="31154F3B" w14:textId="77777777" w:rsidR="00000000" w:rsidRDefault="00A173A8">
            <w:pPr>
              <w:spacing w:after="100"/>
              <w:jc w:val="center"/>
              <w:rPr>
                <w:rFonts w:eastAsia="Times New Roman"/>
              </w:rPr>
            </w:pPr>
            <w:hyperlink w:anchor="i7ffd5d61af6f4722b1b1b07530d51c06_307" w:history="1">
              <w:r>
                <w:rPr>
                  <w:rStyle w:val="a3"/>
                  <w:rFonts w:eastAsia="Times New Roman"/>
                  <w:color w:val="000000"/>
                  <w:sz w:val="20"/>
                  <w:szCs w:val="20"/>
                  <w:u w:val="none"/>
                </w:rPr>
                <w:t>57</w:t>
              </w:r>
            </w:hyperlink>
          </w:p>
        </w:tc>
      </w:tr>
      <w:tr w:rsidR="00000000" w14:paraId="6BD639AC" w14:textId="77777777">
        <w:trPr>
          <w:divId w:val="870192060"/>
          <w:jc w:val="center"/>
        </w:trPr>
        <w:tc>
          <w:tcPr>
            <w:tcW w:w="0" w:type="auto"/>
            <w:gridSpan w:val="3"/>
            <w:vAlign w:val="center"/>
            <w:hideMark/>
          </w:tcPr>
          <w:p w14:paraId="6115DA0C" w14:textId="77777777" w:rsidR="00000000" w:rsidRDefault="00A173A8">
            <w:pPr>
              <w:spacing w:after="100"/>
              <w:jc w:val="center"/>
              <w:rPr>
                <w:rFonts w:eastAsia="Times New Roman"/>
              </w:rPr>
            </w:pPr>
          </w:p>
        </w:tc>
        <w:tc>
          <w:tcPr>
            <w:tcW w:w="0" w:type="auto"/>
            <w:gridSpan w:val="3"/>
            <w:vAlign w:val="center"/>
            <w:hideMark/>
          </w:tcPr>
          <w:p w14:paraId="1E5AEA2F" w14:textId="77777777" w:rsidR="00000000" w:rsidRDefault="00A173A8">
            <w:pPr>
              <w:spacing w:after="100"/>
              <w:rPr>
                <w:rFonts w:eastAsia="Times New Roman"/>
                <w:sz w:val="20"/>
                <w:szCs w:val="20"/>
              </w:rPr>
            </w:pPr>
          </w:p>
        </w:tc>
        <w:tc>
          <w:tcPr>
            <w:tcW w:w="0" w:type="auto"/>
            <w:gridSpan w:val="3"/>
            <w:vAlign w:val="center"/>
            <w:hideMark/>
          </w:tcPr>
          <w:p w14:paraId="20D6CF2A"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66D3EF1" w14:textId="77777777">
        <w:trPr>
          <w:jc w:val="center"/>
        </w:trPr>
        <w:tc>
          <w:tcPr>
            <w:tcW w:w="50" w:type="pct"/>
            <w:vAlign w:val="center"/>
            <w:hideMark/>
          </w:tcPr>
          <w:p w14:paraId="146F7D43" w14:textId="77777777" w:rsidR="00000000" w:rsidRDefault="00A173A8">
            <w:pPr>
              <w:jc w:val="center"/>
              <w:rPr>
                <w:rFonts w:eastAsia="Times New Roman"/>
              </w:rPr>
            </w:pPr>
          </w:p>
        </w:tc>
        <w:tc>
          <w:tcPr>
            <w:tcW w:w="1606" w:type="pct"/>
            <w:vAlign w:val="center"/>
            <w:hideMark/>
          </w:tcPr>
          <w:p w14:paraId="14253DE6" w14:textId="77777777" w:rsidR="00000000" w:rsidRDefault="00A173A8">
            <w:pPr>
              <w:spacing w:after="100"/>
              <w:rPr>
                <w:rFonts w:eastAsia="Times New Roman"/>
                <w:sz w:val="20"/>
                <w:szCs w:val="20"/>
              </w:rPr>
            </w:pPr>
          </w:p>
        </w:tc>
        <w:tc>
          <w:tcPr>
            <w:tcW w:w="5" w:type="pct"/>
            <w:vAlign w:val="center"/>
            <w:hideMark/>
          </w:tcPr>
          <w:p w14:paraId="73C449C3" w14:textId="77777777" w:rsidR="00000000" w:rsidRDefault="00A173A8">
            <w:pPr>
              <w:spacing w:after="100"/>
              <w:rPr>
                <w:rFonts w:eastAsia="Times New Roman"/>
                <w:sz w:val="20"/>
                <w:szCs w:val="20"/>
              </w:rPr>
            </w:pPr>
          </w:p>
        </w:tc>
        <w:tc>
          <w:tcPr>
            <w:tcW w:w="50" w:type="pct"/>
            <w:vAlign w:val="center"/>
            <w:hideMark/>
          </w:tcPr>
          <w:p w14:paraId="4C4EBA4C" w14:textId="77777777" w:rsidR="00000000" w:rsidRDefault="00A173A8">
            <w:pPr>
              <w:spacing w:after="100"/>
              <w:rPr>
                <w:rFonts w:eastAsia="Times New Roman"/>
                <w:sz w:val="20"/>
                <w:szCs w:val="20"/>
              </w:rPr>
            </w:pPr>
          </w:p>
        </w:tc>
        <w:tc>
          <w:tcPr>
            <w:tcW w:w="1614" w:type="pct"/>
            <w:vAlign w:val="center"/>
            <w:hideMark/>
          </w:tcPr>
          <w:p w14:paraId="034DC437" w14:textId="77777777" w:rsidR="00000000" w:rsidRDefault="00A173A8">
            <w:pPr>
              <w:spacing w:after="100"/>
              <w:rPr>
                <w:rFonts w:eastAsia="Times New Roman"/>
                <w:sz w:val="20"/>
                <w:szCs w:val="20"/>
              </w:rPr>
            </w:pPr>
          </w:p>
        </w:tc>
        <w:tc>
          <w:tcPr>
            <w:tcW w:w="5" w:type="pct"/>
            <w:vAlign w:val="center"/>
            <w:hideMark/>
          </w:tcPr>
          <w:p w14:paraId="596D13D9" w14:textId="77777777" w:rsidR="00000000" w:rsidRDefault="00A173A8">
            <w:pPr>
              <w:spacing w:after="100"/>
              <w:rPr>
                <w:rFonts w:eastAsia="Times New Roman"/>
                <w:sz w:val="20"/>
                <w:szCs w:val="20"/>
              </w:rPr>
            </w:pPr>
          </w:p>
        </w:tc>
        <w:tc>
          <w:tcPr>
            <w:tcW w:w="50" w:type="pct"/>
            <w:vAlign w:val="center"/>
            <w:hideMark/>
          </w:tcPr>
          <w:p w14:paraId="489F4992" w14:textId="77777777" w:rsidR="00000000" w:rsidRDefault="00A173A8">
            <w:pPr>
              <w:spacing w:after="100"/>
              <w:rPr>
                <w:rFonts w:eastAsia="Times New Roman"/>
                <w:sz w:val="20"/>
                <w:szCs w:val="20"/>
              </w:rPr>
            </w:pPr>
          </w:p>
        </w:tc>
        <w:tc>
          <w:tcPr>
            <w:tcW w:w="1614" w:type="pct"/>
            <w:vAlign w:val="center"/>
            <w:hideMark/>
          </w:tcPr>
          <w:p w14:paraId="21D63970" w14:textId="77777777" w:rsidR="00000000" w:rsidRDefault="00A173A8">
            <w:pPr>
              <w:spacing w:after="100"/>
              <w:rPr>
                <w:rFonts w:eastAsia="Times New Roman"/>
                <w:sz w:val="20"/>
                <w:szCs w:val="20"/>
              </w:rPr>
            </w:pPr>
          </w:p>
        </w:tc>
        <w:tc>
          <w:tcPr>
            <w:tcW w:w="5" w:type="pct"/>
            <w:vAlign w:val="center"/>
            <w:hideMark/>
          </w:tcPr>
          <w:p w14:paraId="32663789" w14:textId="77777777" w:rsidR="00000000" w:rsidRDefault="00A173A8">
            <w:pPr>
              <w:spacing w:after="100"/>
              <w:rPr>
                <w:rFonts w:eastAsia="Times New Roman"/>
                <w:sz w:val="20"/>
                <w:szCs w:val="20"/>
              </w:rPr>
            </w:pPr>
          </w:p>
        </w:tc>
      </w:tr>
      <w:tr w:rsidR="00000000" w14:paraId="3E89A2A8" w14:textId="77777777">
        <w:trPr>
          <w:trHeight w:val="300"/>
          <w:jc w:val="center"/>
        </w:trPr>
        <w:tc>
          <w:tcPr>
            <w:tcW w:w="0" w:type="auto"/>
            <w:gridSpan w:val="9"/>
            <w:tcMar>
              <w:top w:w="0" w:type="dxa"/>
              <w:left w:w="20" w:type="dxa"/>
              <w:bottom w:w="0" w:type="dxa"/>
              <w:right w:w="20" w:type="dxa"/>
            </w:tcMar>
            <w:vAlign w:val="center"/>
            <w:hideMark/>
          </w:tcPr>
          <w:p w14:paraId="7814518E" w14:textId="77777777" w:rsidR="00000000" w:rsidRDefault="00A173A8">
            <w:pPr>
              <w:spacing w:after="100"/>
              <w:rPr>
                <w:rFonts w:eastAsia="Times New Roman"/>
                <w:sz w:val="20"/>
                <w:szCs w:val="20"/>
              </w:rPr>
            </w:pPr>
          </w:p>
        </w:tc>
      </w:tr>
      <w:tr w:rsidR="00000000" w14:paraId="43FEE685" w14:textId="77777777">
        <w:trPr>
          <w:jc w:val="center"/>
        </w:trPr>
        <w:tc>
          <w:tcPr>
            <w:tcW w:w="0" w:type="auto"/>
            <w:gridSpan w:val="3"/>
            <w:tcMar>
              <w:top w:w="0" w:type="dxa"/>
              <w:left w:w="20" w:type="dxa"/>
              <w:bottom w:w="0" w:type="dxa"/>
              <w:right w:w="20" w:type="dxa"/>
            </w:tcMar>
            <w:vAlign w:val="center"/>
            <w:hideMark/>
          </w:tcPr>
          <w:p w14:paraId="4131DA6D"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09567CF" w14:textId="77777777" w:rsidR="00000000" w:rsidRDefault="00A173A8">
            <w:pPr>
              <w:spacing w:after="100"/>
              <w:jc w:val="center"/>
              <w:rPr>
                <w:rFonts w:eastAsia="Times New Roman"/>
              </w:rPr>
            </w:pPr>
            <w:r>
              <w:rPr>
                <w:rFonts w:eastAsia="Times New Roman"/>
                <w:color w:val="000000"/>
                <w:sz w:val="16"/>
                <w:szCs w:val="16"/>
              </w:rPr>
              <w:t>3</w:t>
            </w:r>
          </w:p>
        </w:tc>
        <w:tc>
          <w:tcPr>
            <w:tcW w:w="0" w:type="auto"/>
            <w:gridSpan w:val="3"/>
            <w:tcMar>
              <w:top w:w="30" w:type="dxa"/>
              <w:left w:w="20" w:type="dxa"/>
              <w:bottom w:w="30" w:type="dxa"/>
              <w:right w:w="20" w:type="dxa"/>
            </w:tcMar>
            <w:vAlign w:val="bottom"/>
            <w:hideMark/>
          </w:tcPr>
          <w:p w14:paraId="6EBC2C5D"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4DE442D" w14:textId="77777777" w:rsidR="00000000" w:rsidRDefault="00A173A8">
      <w:pPr>
        <w:rPr>
          <w:rFonts w:eastAsia="Times New Roman"/>
        </w:rPr>
      </w:pPr>
      <w:r>
        <w:rPr>
          <w:rFonts w:eastAsia="Times New Roman"/>
        </w:rPr>
        <w:pict w14:anchorId="22703B32">
          <v:rect id="_x0000_i1028" style="width:0;height:1.5pt" o:hralign="center" o:hrstd="t" o:hr="t" fillcolor="#a0a0a0" stroked="f"/>
        </w:pict>
      </w:r>
    </w:p>
    <w:p w14:paraId="7DEA2D3D" w14:textId="77777777" w:rsidR="00000000" w:rsidRDefault="00A173A8">
      <w:pPr>
        <w:ind w:hanging="360"/>
        <w:jc w:val="both"/>
        <w:divId w:val="749886978"/>
        <w:rPr>
          <w:rFonts w:eastAsia="Times New Roman"/>
        </w:rPr>
      </w:pPr>
      <w:hyperlink w:anchor="i7ffd5d61af6f4722b1b1b07530d51c06_13" w:history="1">
        <w:r>
          <w:rPr>
            <w:rStyle w:val="a3"/>
            <w:rFonts w:eastAsia="Times New Roman"/>
            <w:sz w:val="16"/>
            <w:szCs w:val="16"/>
          </w:rPr>
          <w:t xml:space="preserve">Table of </w:t>
        </w:r>
      </w:hyperlink>
      <w:hyperlink w:anchor="i7ffd5d61af6f4722b1b1b07530d51c06_13" w:history="1">
        <w:r>
          <w:rPr>
            <w:rStyle w:val="a3"/>
            <w:rFonts w:eastAsia="Times New Roman"/>
            <w:sz w:val="16"/>
            <w:szCs w:val="16"/>
          </w:rPr>
          <w:t>Contents</w:t>
        </w:r>
      </w:hyperlink>
    </w:p>
    <w:p w14:paraId="1BD67486" w14:textId="77777777" w:rsidR="00000000" w:rsidRDefault="00A173A8">
      <w:pPr>
        <w:jc w:val="center"/>
        <w:divId w:val="893080624"/>
        <w:rPr>
          <w:rFonts w:eastAsia="Times New Roman"/>
        </w:rPr>
      </w:pPr>
      <w:r>
        <w:rPr>
          <w:rFonts w:eastAsia="Times New Roman"/>
          <w:b/>
          <w:bCs/>
          <w:color w:val="000000"/>
          <w:sz w:val="20"/>
          <w:szCs w:val="20"/>
        </w:rPr>
        <w:t>PART I—FINANCIAL INFORMATION</w:t>
      </w:r>
    </w:p>
    <w:p w14:paraId="0D40F9CC" w14:textId="77777777" w:rsidR="00000000" w:rsidRDefault="00A173A8">
      <w:pPr>
        <w:divId w:val="1256210827"/>
        <w:rPr>
          <w:rFonts w:eastAsia="Times New Roman"/>
        </w:rPr>
      </w:pPr>
      <w:r>
        <w:rPr>
          <w:rFonts w:eastAsia="Times New Roman"/>
          <w:b/>
          <w:bCs/>
          <w:color w:val="000000"/>
          <w:sz w:val="20"/>
          <w:szCs w:val="20"/>
        </w:rPr>
        <w:t>Item 2. Management’</w:t>
      </w:r>
      <w:r>
        <w:rPr>
          <w:rFonts w:eastAsia="Times New Roman"/>
          <w:b/>
          <w:bCs/>
          <w:color w:val="000000"/>
          <w:sz w:val="20"/>
          <w:szCs w:val="20"/>
        </w:rPr>
        <w:t xml:space="preserve">s Discussion and Analysis of Financial Condition and Results of Operations (“MD&amp;A”)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14:paraId="153B9302" w14:textId="77777777">
        <w:trPr>
          <w:divId w:val="1663000734"/>
          <w:jc w:val="center"/>
        </w:trPr>
        <w:tc>
          <w:tcPr>
            <w:tcW w:w="50" w:type="pct"/>
            <w:vAlign w:val="center"/>
            <w:hideMark/>
          </w:tcPr>
          <w:p w14:paraId="10BBB4AB" w14:textId="77777777" w:rsidR="00000000" w:rsidRDefault="00A173A8">
            <w:pPr>
              <w:rPr>
                <w:rFonts w:eastAsia="Times New Roman"/>
              </w:rPr>
            </w:pPr>
          </w:p>
        </w:tc>
        <w:tc>
          <w:tcPr>
            <w:tcW w:w="945" w:type="pct"/>
            <w:vAlign w:val="center"/>
            <w:hideMark/>
          </w:tcPr>
          <w:p w14:paraId="0C0EC862" w14:textId="77777777" w:rsidR="00000000" w:rsidRDefault="00A173A8">
            <w:pPr>
              <w:spacing w:after="100"/>
              <w:rPr>
                <w:rFonts w:eastAsia="Times New Roman"/>
                <w:sz w:val="20"/>
                <w:szCs w:val="20"/>
              </w:rPr>
            </w:pPr>
          </w:p>
        </w:tc>
        <w:tc>
          <w:tcPr>
            <w:tcW w:w="5" w:type="pct"/>
            <w:vAlign w:val="center"/>
            <w:hideMark/>
          </w:tcPr>
          <w:p w14:paraId="2E2A1D49" w14:textId="77777777" w:rsidR="00000000" w:rsidRDefault="00A173A8">
            <w:pPr>
              <w:spacing w:after="100"/>
              <w:rPr>
                <w:rFonts w:eastAsia="Times New Roman"/>
                <w:sz w:val="20"/>
                <w:szCs w:val="20"/>
              </w:rPr>
            </w:pPr>
          </w:p>
        </w:tc>
        <w:tc>
          <w:tcPr>
            <w:tcW w:w="50" w:type="pct"/>
            <w:vAlign w:val="center"/>
            <w:hideMark/>
          </w:tcPr>
          <w:p w14:paraId="20B25083" w14:textId="77777777" w:rsidR="00000000" w:rsidRDefault="00A173A8">
            <w:pPr>
              <w:spacing w:after="100"/>
              <w:rPr>
                <w:rFonts w:eastAsia="Times New Roman"/>
                <w:sz w:val="20"/>
                <w:szCs w:val="20"/>
              </w:rPr>
            </w:pPr>
          </w:p>
        </w:tc>
        <w:tc>
          <w:tcPr>
            <w:tcW w:w="945" w:type="pct"/>
            <w:vAlign w:val="center"/>
            <w:hideMark/>
          </w:tcPr>
          <w:p w14:paraId="73C78701" w14:textId="77777777" w:rsidR="00000000" w:rsidRDefault="00A173A8">
            <w:pPr>
              <w:spacing w:after="100"/>
              <w:rPr>
                <w:rFonts w:eastAsia="Times New Roman"/>
                <w:sz w:val="20"/>
                <w:szCs w:val="20"/>
              </w:rPr>
            </w:pPr>
          </w:p>
        </w:tc>
        <w:tc>
          <w:tcPr>
            <w:tcW w:w="5" w:type="pct"/>
            <w:vAlign w:val="center"/>
            <w:hideMark/>
          </w:tcPr>
          <w:p w14:paraId="48933443" w14:textId="77777777" w:rsidR="00000000" w:rsidRDefault="00A173A8">
            <w:pPr>
              <w:spacing w:after="100"/>
              <w:rPr>
                <w:rFonts w:eastAsia="Times New Roman"/>
                <w:sz w:val="20"/>
                <w:szCs w:val="20"/>
              </w:rPr>
            </w:pPr>
          </w:p>
        </w:tc>
        <w:tc>
          <w:tcPr>
            <w:tcW w:w="50" w:type="pct"/>
            <w:vAlign w:val="center"/>
            <w:hideMark/>
          </w:tcPr>
          <w:p w14:paraId="5248D4C4" w14:textId="77777777" w:rsidR="00000000" w:rsidRDefault="00A173A8">
            <w:pPr>
              <w:spacing w:after="100"/>
              <w:rPr>
                <w:rFonts w:eastAsia="Times New Roman"/>
                <w:sz w:val="20"/>
                <w:szCs w:val="20"/>
              </w:rPr>
            </w:pPr>
          </w:p>
        </w:tc>
        <w:tc>
          <w:tcPr>
            <w:tcW w:w="945" w:type="pct"/>
            <w:vAlign w:val="center"/>
            <w:hideMark/>
          </w:tcPr>
          <w:p w14:paraId="4F1748A8" w14:textId="77777777" w:rsidR="00000000" w:rsidRDefault="00A173A8">
            <w:pPr>
              <w:spacing w:after="100"/>
              <w:rPr>
                <w:rFonts w:eastAsia="Times New Roman"/>
                <w:sz w:val="20"/>
                <w:szCs w:val="20"/>
              </w:rPr>
            </w:pPr>
          </w:p>
        </w:tc>
        <w:tc>
          <w:tcPr>
            <w:tcW w:w="5" w:type="pct"/>
            <w:vAlign w:val="center"/>
            <w:hideMark/>
          </w:tcPr>
          <w:p w14:paraId="4B4B2C9F" w14:textId="77777777" w:rsidR="00000000" w:rsidRDefault="00A173A8">
            <w:pPr>
              <w:spacing w:after="100"/>
              <w:rPr>
                <w:rFonts w:eastAsia="Times New Roman"/>
                <w:sz w:val="20"/>
                <w:szCs w:val="20"/>
              </w:rPr>
            </w:pPr>
          </w:p>
        </w:tc>
        <w:tc>
          <w:tcPr>
            <w:tcW w:w="50" w:type="pct"/>
            <w:vAlign w:val="center"/>
            <w:hideMark/>
          </w:tcPr>
          <w:p w14:paraId="1DFBB691" w14:textId="77777777" w:rsidR="00000000" w:rsidRDefault="00A173A8">
            <w:pPr>
              <w:spacing w:after="100"/>
              <w:rPr>
                <w:rFonts w:eastAsia="Times New Roman"/>
                <w:sz w:val="20"/>
                <w:szCs w:val="20"/>
              </w:rPr>
            </w:pPr>
          </w:p>
        </w:tc>
        <w:tc>
          <w:tcPr>
            <w:tcW w:w="945" w:type="pct"/>
            <w:vAlign w:val="center"/>
            <w:hideMark/>
          </w:tcPr>
          <w:p w14:paraId="5C97943E" w14:textId="77777777" w:rsidR="00000000" w:rsidRDefault="00A173A8">
            <w:pPr>
              <w:spacing w:after="100"/>
              <w:rPr>
                <w:rFonts w:eastAsia="Times New Roman"/>
                <w:sz w:val="20"/>
                <w:szCs w:val="20"/>
              </w:rPr>
            </w:pPr>
          </w:p>
        </w:tc>
        <w:tc>
          <w:tcPr>
            <w:tcW w:w="5" w:type="pct"/>
            <w:vAlign w:val="center"/>
            <w:hideMark/>
          </w:tcPr>
          <w:p w14:paraId="3E1EF7E0" w14:textId="77777777" w:rsidR="00000000" w:rsidRDefault="00A173A8">
            <w:pPr>
              <w:spacing w:after="100"/>
              <w:rPr>
                <w:rFonts w:eastAsia="Times New Roman"/>
                <w:sz w:val="20"/>
                <w:szCs w:val="20"/>
              </w:rPr>
            </w:pPr>
          </w:p>
        </w:tc>
        <w:tc>
          <w:tcPr>
            <w:tcW w:w="50" w:type="pct"/>
            <w:vAlign w:val="center"/>
            <w:hideMark/>
          </w:tcPr>
          <w:p w14:paraId="45180EB0" w14:textId="77777777" w:rsidR="00000000" w:rsidRDefault="00A173A8">
            <w:pPr>
              <w:spacing w:after="100"/>
              <w:rPr>
                <w:rFonts w:eastAsia="Times New Roman"/>
                <w:sz w:val="20"/>
                <w:szCs w:val="20"/>
              </w:rPr>
            </w:pPr>
          </w:p>
        </w:tc>
        <w:tc>
          <w:tcPr>
            <w:tcW w:w="945" w:type="pct"/>
            <w:vAlign w:val="center"/>
            <w:hideMark/>
          </w:tcPr>
          <w:p w14:paraId="46F84643" w14:textId="77777777" w:rsidR="00000000" w:rsidRDefault="00A173A8">
            <w:pPr>
              <w:spacing w:after="100"/>
              <w:rPr>
                <w:rFonts w:eastAsia="Times New Roman"/>
                <w:sz w:val="20"/>
                <w:szCs w:val="20"/>
              </w:rPr>
            </w:pPr>
          </w:p>
        </w:tc>
        <w:tc>
          <w:tcPr>
            <w:tcW w:w="5" w:type="pct"/>
            <w:vAlign w:val="center"/>
            <w:hideMark/>
          </w:tcPr>
          <w:p w14:paraId="3DAC4764" w14:textId="77777777" w:rsidR="00000000" w:rsidRDefault="00A173A8">
            <w:pPr>
              <w:spacing w:after="100"/>
              <w:rPr>
                <w:rFonts w:eastAsia="Times New Roman"/>
                <w:sz w:val="20"/>
                <w:szCs w:val="20"/>
              </w:rPr>
            </w:pPr>
          </w:p>
        </w:tc>
      </w:tr>
      <w:tr w:rsidR="00000000" w14:paraId="33BBA94D" w14:textId="77777777">
        <w:trPr>
          <w:divId w:val="1663000734"/>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14:paraId="298378BD" w14:textId="77777777" w:rsidR="00000000" w:rsidRDefault="00A173A8">
            <w:pPr>
              <w:spacing w:after="100"/>
              <w:rPr>
                <w:rFonts w:eastAsia="Times New Roman"/>
                <w:sz w:val="20"/>
                <w:szCs w:val="20"/>
              </w:rPr>
            </w:pPr>
          </w:p>
        </w:tc>
      </w:tr>
    </w:tbl>
    <w:p w14:paraId="415AC31E" w14:textId="77777777" w:rsidR="00000000" w:rsidRDefault="00A173A8">
      <w:pPr>
        <w:jc w:val="both"/>
        <w:rPr>
          <w:rFonts w:eastAsia="Times New Roman"/>
        </w:rPr>
      </w:pPr>
      <w:r>
        <w:rPr>
          <w:rFonts w:eastAsia="Times New Roman"/>
          <w:i/>
          <w:iCs/>
          <w:color w:val="000000"/>
          <w:sz w:val="20"/>
          <w:szCs w:val="20"/>
        </w:rPr>
        <w:t>This discussion contains forward-looking statements that are based upon management’s current expectations and are subject to significant uncertainties and changes in circumstances. Please review “MD&amp;A—Forward-Looking Statements” for more information on the</w:t>
      </w:r>
      <w:r>
        <w:rPr>
          <w:rFonts w:eastAsia="Times New Roman"/>
          <w:i/>
          <w:iCs/>
          <w:color w:val="000000"/>
          <w:sz w:val="20"/>
          <w:szCs w:val="20"/>
        </w:rPr>
        <w:t xml:space="preserve"> forward-looking statements in this Quarterly Report on Form 10-Q (“this Report”). All statements that address operating performance, events or developments that we expect or anticipate will occur in the future, including those relating to operating result</w:t>
      </w:r>
      <w:r>
        <w:rPr>
          <w:rFonts w:eastAsia="Times New Roman"/>
          <w:i/>
          <w:iCs/>
          <w:color w:val="000000"/>
          <w:sz w:val="20"/>
          <w:szCs w:val="20"/>
        </w:rPr>
        <w:t>s and the Cybersecurity Incident described in “Note 13—Commitments, Contingencies, Guarantees and Others” as well as the potential impacts of the Coronavirus Disease of 2019 (“COVID-19”) pandemic described in “MD&amp;A—Introduction—Coronavirus Disease 2019 (CO</w:t>
      </w:r>
      <w:r>
        <w:rPr>
          <w:rFonts w:eastAsia="Times New Roman"/>
          <w:i/>
          <w:iCs/>
          <w:color w:val="000000"/>
          <w:sz w:val="20"/>
          <w:szCs w:val="20"/>
        </w:rPr>
        <w:t>VID-19) Pandemic” are forward-looking statements. Our actual results may differ materially from those included in these forward-looking statements due to a variety of factors including, but not limited to, those described in Part I—Item 1A. Risk Factors” i</w:t>
      </w:r>
      <w:r>
        <w:rPr>
          <w:rFonts w:eastAsia="Times New Roman"/>
          <w:i/>
          <w:iCs/>
          <w:color w:val="000000"/>
          <w:sz w:val="20"/>
          <w:szCs w:val="20"/>
        </w:rPr>
        <w:t xml:space="preserve">n our 2021 Annual Report on Form 10-K (“2021 Form 10-K”) and “Part II—Item 1A. Risk Factors” in this Report. Unless otherwise specified, references to notes to our </w:t>
      </w:r>
      <w:r>
        <w:rPr>
          <w:rFonts w:eastAsia="Times New Roman"/>
          <w:i/>
          <w:iCs/>
          <w:color w:val="000000"/>
          <w:sz w:val="20"/>
          <w:szCs w:val="20"/>
        </w:rPr>
        <w:lastRenderedPageBreak/>
        <w:t>consolidated financial statements refer to the notes to our consolidated financial statement</w:t>
      </w:r>
      <w:r>
        <w:rPr>
          <w:rFonts w:eastAsia="Times New Roman"/>
          <w:i/>
          <w:iCs/>
          <w:color w:val="000000"/>
          <w:sz w:val="20"/>
          <w:szCs w:val="20"/>
        </w:rPr>
        <w:t>s as of June 30, 2022 included in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14:paraId="2FCA0CB7" w14:textId="77777777">
        <w:trPr>
          <w:divId w:val="1433630341"/>
        </w:trPr>
        <w:tc>
          <w:tcPr>
            <w:tcW w:w="50" w:type="pct"/>
            <w:vAlign w:val="center"/>
            <w:hideMark/>
          </w:tcPr>
          <w:p w14:paraId="51FC2F10" w14:textId="77777777" w:rsidR="00000000" w:rsidRDefault="00A173A8">
            <w:pPr>
              <w:jc w:val="both"/>
              <w:rPr>
                <w:rFonts w:eastAsia="Times New Roman"/>
              </w:rPr>
            </w:pPr>
          </w:p>
        </w:tc>
        <w:tc>
          <w:tcPr>
            <w:tcW w:w="945" w:type="pct"/>
            <w:vAlign w:val="center"/>
            <w:hideMark/>
          </w:tcPr>
          <w:p w14:paraId="52A6587F" w14:textId="77777777" w:rsidR="00000000" w:rsidRDefault="00A173A8">
            <w:pPr>
              <w:spacing w:after="100"/>
              <w:rPr>
                <w:rFonts w:eastAsia="Times New Roman"/>
                <w:sz w:val="20"/>
                <w:szCs w:val="20"/>
              </w:rPr>
            </w:pPr>
          </w:p>
        </w:tc>
        <w:tc>
          <w:tcPr>
            <w:tcW w:w="5" w:type="pct"/>
            <w:vAlign w:val="center"/>
            <w:hideMark/>
          </w:tcPr>
          <w:p w14:paraId="529DD840" w14:textId="77777777" w:rsidR="00000000" w:rsidRDefault="00A173A8">
            <w:pPr>
              <w:spacing w:after="100"/>
              <w:rPr>
                <w:rFonts w:eastAsia="Times New Roman"/>
                <w:sz w:val="20"/>
                <w:szCs w:val="20"/>
              </w:rPr>
            </w:pPr>
          </w:p>
        </w:tc>
        <w:tc>
          <w:tcPr>
            <w:tcW w:w="50" w:type="pct"/>
            <w:vAlign w:val="center"/>
            <w:hideMark/>
          </w:tcPr>
          <w:p w14:paraId="0C7E0078" w14:textId="77777777" w:rsidR="00000000" w:rsidRDefault="00A173A8">
            <w:pPr>
              <w:spacing w:after="100"/>
              <w:rPr>
                <w:rFonts w:eastAsia="Times New Roman"/>
                <w:sz w:val="20"/>
                <w:szCs w:val="20"/>
              </w:rPr>
            </w:pPr>
          </w:p>
        </w:tc>
        <w:tc>
          <w:tcPr>
            <w:tcW w:w="945" w:type="pct"/>
            <w:vAlign w:val="center"/>
            <w:hideMark/>
          </w:tcPr>
          <w:p w14:paraId="58E4C0AD" w14:textId="77777777" w:rsidR="00000000" w:rsidRDefault="00A173A8">
            <w:pPr>
              <w:spacing w:after="100"/>
              <w:rPr>
                <w:rFonts w:eastAsia="Times New Roman"/>
                <w:sz w:val="20"/>
                <w:szCs w:val="20"/>
              </w:rPr>
            </w:pPr>
          </w:p>
        </w:tc>
        <w:tc>
          <w:tcPr>
            <w:tcW w:w="5" w:type="pct"/>
            <w:vAlign w:val="center"/>
            <w:hideMark/>
          </w:tcPr>
          <w:p w14:paraId="5AC098D1" w14:textId="77777777" w:rsidR="00000000" w:rsidRDefault="00A173A8">
            <w:pPr>
              <w:spacing w:after="100"/>
              <w:rPr>
                <w:rFonts w:eastAsia="Times New Roman"/>
                <w:sz w:val="20"/>
                <w:szCs w:val="20"/>
              </w:rPr>
            </w:pPr>
          </w:p>
        </w:tc>
        <w:tc>
          <w:tcPr>
            <w:tcW w:w="50" w:type="pct"/>
            <w:vAlign w:val="center"/>
            <w:hideMark/>
          </w:tcPr>
          <w:p w14:paraId="29B38050" w14:textId="77777777" w:rsidR="00000000" w:rsidRDefault="00A173A8">
            <w:pPr>
              <w:spacing w:after="100"/>
              <w:rPr>
                <w:rFonts w:eastAsia="Times New Roman"/>
                <w:sz w:val="20"/>
                <w:szCs w:val="20"/>
              </w:rPr>
            </w:pPr>
          </w:p>
        </w:tc>
        <w:tc>
          <w:tcPr>
            <w:tcW w:w="945" w:type="pct"/>
            <w:vAlign w:val="center"/>
            <w:hideMark/>
          </w:tcPr>
          <w:p w14:paraId="664E569A" w14:textId="77777777" w:rsidR="00000000" w:rsidRDefault="00A173A8">
            <w:pPr>
              <w:spacing w:after="100"/>
              <w:rPr>
                <w:rFonts w:eastAsia="Times New Roman"/>
                <w:sz w:val="20"/>
                <w:szCs w:val="20"/>
              </w:rPr>
            </w:pPr>
          </w:p>
        </w:tc>
        <w:tc>
          <w:tcPr>
            <w:tcW w:w="5" w:type="pct"/>
            <w:vAlign w:val="center"/>
            <w:hideMark/>
          </w:tcPr>
          <w:p w14:paraId="665D2E1B" w14:textId="77777777" w:rsidR="00000000" w:rsidRDefault="00A173A8">
            <w:pPr>
              <w:spacing w:after="100"/>
              <w:rPr>
                <w:rFonts w:eastAsia="Times New Roman"/>
                <w:sz w:val="20"/>
                <w:szCs w:val="20"/>
              </w:rPr>
            </w:pPr>
          </w:p>
        </w:tc>
        <w:tc>
          <w:tcPr>
            <w:tcW w:w="50" w:type="pct"/>
            <w:vAlign w:val="center"/>
            <w:hideMark/>
          </w:tcPr>
          <w:p w14:paraId="1FBEABAF" w14:textId="77777777" w:rsidR="00000000" w:rsidRDefault="00A173A8">
            <w:pPr>
              <w:spacing w:after="100"/>
              <w:rPr>
                <w:rFonts w:eastAsia="Times New Roman"/>
                <w:sz w:val="20"/>
                <w:szCs w:val="20"/>
              </w:rPr>
            </w:pPr>
          </w:p>
        </w:tc>
        <w:tc>
          <w:tcPr>
            <w:tcW w:w="945" w:type="pct"/>
            <w:vAlign w:val="center"/>
            <w:hideMark/>
          </w:tcPr>
          <w:p w14:paraId="70CD254C" w14:textId="77777777" w:rsidR="00000000" w:rsidRDefault="00A173A8">
            <w:pPr>
              <w:spacing w:after="100"/>
              <w:rPr>
                <w:rFonts w:eastAsia="Times New Roman"/>
                <w:sz w:val="20"/>
                <w:szCs w:val="20"/>
              </w:rPr>
            </w:pPr>
          </w:p>
        </w:tc>
        <w:tc>
          <w:tcPr>
            <w:tcW w:w="5" w:type="pct"/>
            <w:vAlign w:val="center"/>
            <w:hideMark/>
          </w:tcPr>
          <w:p w14:paraId="091CD4D1" w14:textId="77777777" w:rsidR="00000000" w:rsidRDefault="00A173A8">
            <w:pPr>
              <w:spacing w:after="100"/>
              <w:rPr>
                <w:rFonts w:eastAsia="Times New Roman"/>
                <w:sz w:val="20"/>
                <w:szCs w:val="20"/>
              </w:rPr>
            </w:pPr>
          </w:p>
        </w:tc>
        <w:tc>
          <w:tcPr>
            <w:tcW w:w="50" w:type="pct"/>
            <w:vAlign w:val="center"/>
            <w:hideMark/>
          </w:tcPr>
          <w:p w14:paraId="321D014F" w14:textId="77777777" w:rsidR="00000000" w:rsidRDefault="00A173A8">
            <w:pPr>
              <w:spacing w:after="100"/>
              <w:rPr>
                <w:rFonts w:eastAsia="Times New Roman"/>
                <w:sz w:val="20"/>
                <w:szCs w:val="20"/>
              </w:rPr>
            </w:pPr>
          </w:p>
        </w:tc>
        <w:tc>
          <w:tcPr>
            <w:tcW w:w="945" w:type="pct"/>
            <w:vAlign w:val="center"/>
            <w:hideMark/>
          </w:tcPr>
          <w:p w14:paraId="1DC8140F" w14:textId="77777777" w:rsidR="00000000" w:rsidRDefault="00A173A8">
            <w:pPr>
              <w:spacing w:after="100"/>
              <w:rPr>
                <w:rFonts w:eastAsia="Times New Roman"/>
                <w:sz w:val="20"/>
                <w:szCs w:val="20"/>
              </w:rPr>
            </w:pPr>
          </w:p>
        </w:tc>
        <w:tc>
          <w:tcPr>
            <w:tcW w:w="5" w:type="pct"/>
            <w:vAlign w:val="center"/>
            <w:hideMark/>
          </w:tcPr>
          <w:p w14:paraId="1FB64D8E" w14:textId="77777777" w:rsidR="00000000" w:rsidRDefault="00A173A8">
            <w:pPr>
              <w:spacing w:after="100"/>
              <w:rPr>
                <w:rFonts w:eastAsia="Times New Roman"/>
                <w:sz w:val="20"/>
                <w:szCs w:val="20"/>
              </w:rPr>
            </w:pPr>
          </w:p>
        </w:tc>
      </w:tr>
      <w:tr w:rsidR="00000000" w14:paraId="15031378" w14:textId="77777777">
        <w:trPr>
          <w:divId w:val="1433630341"/>
          <w:trHeight w:val="60"/>
        </w:trPr>
        <w:tc>
          <w:tcPr>
            <w:tcW w:w="0" w:type="auto"/>
            <w:gridSpan w:val="15"/>
            <w:tcBorders>
              <w:top w:val="single" w:sz="18" w:space="0" w:color="000000"/>
            </w:tcBorders>
            <w:tcMar>
              <w:top w:w="0" w:type="dxa"/>
              <w:left w:w="20" w:type="dxa"/>
              <w:bottom w:w="0" w:type="dxa"/>
              <w:right w:w="20" w:type="dxa"/>
            </w:tcMar>
            <w:vAlign w:val="center"/>
            <w:hideMark/>
          </w:tcPr>
          <w:p w14:paraId="755690EF" w14:textId="77777777" w:rsidR="00000000" w:rsidRDefault="00A173A8">
            <w:pPr>
              <w:spacing w:after="100"/>
              <w:rPr>
                <w:rFonts w:eastAsia="Times New Roman"/>
                <w:sz w:val="20"/>
                <w:szCs w:val="20"/>
              </w:rPr>
            </w:pPr>
          </w:p>
        </w:tc>
      </w:tr>
    </w:tbl>
    <w:p w14:paraId="320E92C6" w14:textId="77777777" w:rsidR="00000000" w:rsidRDefault="00A173A8">
      <w:pPr>
        <w:jc w:val="both"/>
        <w:divId w:val="1821657118"/>
        <w:rPr>
          <w:rFonts w:eastAsia="Times New Roman"/>
        </w:rPr>
      </w:pPr>
      <w:r>
        <w:rPr>
          <w:rFonts w:eastAsia="Times New Roman"/>
          <w:color w:val="000000"/>
          <w:sz w:val="20"/>
          <w:szCs w:val="20"/>
        </w:rPr>
        <w:t xml:space="preserve">Management monitors a variety of key indicators to evaluate our business results and financial condition. The following MD&amp;A is provided as a supplement to, and should be read in conjunction with, our consolidated financial statements and related notes in </w:t>
      </w:r>
      <w:r>
        <w:rPr>
          <w:rFonts w:eastAsia="Times New Roman"/>
          <w:color w:val="000000"/>
          <w:sz w:val="20"/>
          <w:szCs w:val="20"/>
        </w:rPr>
        <w:t>this Report and the more detailed information contained in our 2021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43BED07" w14:textId="77777777">
        <w:trPr>
          <w:divId w:val="1736968490"/>
        </w:trPr>
        <w:tc>
          <w:tcPr>
            <w:tcW w:w="50" w:type="pct"/>
            <w:vAlign w:val="center"/>
            <w:hideMark/>
          </w:tcPr>
          <w:p w14:paraId="742187E6" w14:textId="77777777" w:rsidR="00000000" w:rsidRDefault="00A173A8">
            <w:pPr>
              <w:jc w:val="both"/>
              <w:rPr>
                <w:rFonts w:eastAsia="Times New Roman"/>
              </w:rPr>
            </w:pPr>
          </w:p>
        </w:tc>
        <w:tc>
          <w:tcPr>
            <w:tcW w:w="4945" w:type="pct"/>
            <w:vAlign w:val="center"/>
            <w:hideMark/>
          </w:tcPr>
          <w:p w14:paraId="456777D1" w14:textId="77777777" w:rsidR="00000000" w:rsidRDefault="00A173A8">
            <w:pPr>
              <w:spacing w:after="100"/>
              <w:rPr>
                <w:rFonts w:eastAsia="Times New Roman"/>
                <w:sz w:val="20"/>
                <w:szCs w:val="20"/>
              </w:rPr>
            </w:pPr>
          </w:p>
        </w:tc>
        <w:tc>
          <w:tcPr>
            <w:tcW w:w="5" w:type="pct"/>
            <w:vAlign w:val="center"/>
            <w:hideMark/>
          </w:tcPr>
          <w:p w14:paraId="2D6C711B" w14:textId="77777777" w:rsidR="00000000" w:rsidRDefault="00A173A8">
            <w:pPr>
              <w:spacing w:after="100"/>
              <w:rPr>
                <w:rFonts w:eastAsia="Times New Roman"/>
                <w:sz w:val="20"/>
                <w:szCs w:val="20"/>
              </w:rPr>
            </w:pPr>
          </w:p>
        </w:tc>
      </w:tr>
      <w:tr w:rsidR="00000000" w14:paraId="1443996A" w14:textId="77777777">
        <w:trPr>
          <w:divId w:val="173696849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A0105AC" w14:textId="77777777" w:rsidR="00000000" w:rsidRDefault="00A173A8">
            <w:pPr>
              <w:spacing w:after="100"/>
              <w:rPr>
                <w:rFonts w:eastAsia="Times New Roman"/>
              </w:rPr>
            </w:pPr>
            <w:r>
              <w:rPr>
                <w:rFonts w:eastAsia="Times New Roman"/>
                <w:b/>
                <w:bCs/>
                <w:color w:val="000000"/>
                <w:sz w:val="20"/>
                <w:szCs w:val="20"/>
              </w:rPr>
              <w:t>INTRODUCTION</w:t>
            </w:r>
          </w:p>
        </w:tc>
      </w:tr>
    </w:tbl>
    <w:p w14:paraId="006129CA" w14:textId="77777777" w:rsidR="00000000" w:rsidRDefault="00A173A8">
      <w:pPr>
        <w:jc w:val="both"/>
        <w:divId w:val="678773665"/>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bsidiaries (the “Company” or “Capital One”) offer a broad array of financial products and services to consumers, small businesses and commercial clients through digital channels, branch locations, Cafés and other distribution channels.</w:t>
      </w:r>
    </w:p>
    <w:p w14:paraId="2A8CD94A" w14:textId="77777777" w:rsidR="00000000" w:rsidRDefault="00A173A8">
      <w:pPr>
        <w:jc w:val="both"/>
        <w:divId w:val="73817956"/>
        <w:rPr>
          <w:rFonts w:eastAsia="Times New Roman"/>
        </w:rPr>
      </w:pPr>
      <w:r>
        <w:rPr>
          <w:rFonts w:eastAsia="Times New Roman"/>
          <w:color w:val="000000"/>
          <w:sz w:val="20"/>
          <w:szCs w:val="20"/>
        </w:rPr>
        <w:t>As of June 30, 2022,</w:t>
      </w:r>
      <w:r>
        <w:rPr>
          <w:rFonts w:eastAsia="Times New Roman"/>
          <w:color w:val="000000"/>
          <w:sz w:val="20"/>
          <w:szCs w:val="20"/>
        </w:rPr>
        <w:t xml:space="preserve"> our principal subsidiaries included:</w:t>
      </w:r>
    </w:p>
    <w:p w14:paraId="7878BA7B" w14:textId="77777777" w:rsidR="00000000" w:rsidRDefault="00A173A8">
      <w:pPr>
        <w:ind w:hanging="360"/>
        <w:jc w:val="both"/>
        <w:divId w:val="611866577"/>
        <w:rPr>
          <w:rFonts w:eastAsia="Times New Roman"/>
        </w:rPr>
      </w:pPr>
      <w:r>
        <w:rPr>
          <w:rFonts w:eastAsia="Times New Roman"/>
          <w:color w:val="000000"/>
          <w:sz w:val="20"/>
          <w:szCs w:val="20"/>
        </w:rPr>
        <w:t>•Capital One Bank (USA), National Association (“COBNA”), which offers credit card products along with other lending products and consumer services; and</w:t>
      </w:r>
    </w:p>
    <w:p w14:paraId="4A96FDAA" w14:textId="77777777" w:rsidR="00000000" w:rsidRDefault="00A173A8">
      <w:pPr>
        <w:ind w:hanging="360"/>
        <w:jc w:val="both"/>
        <w:divId w:val="107824609"/>
        <w:rPr>
          <w:rFonts w:eastAsia="Times New Roman"/>
        </w:rPr>
      </w:pPr>
      <w:r>
        <w:rPr>
          <w:rFonts w:eastAsia="Times New Roman"/>
          <w:color w:val="000000"/>
          <w:sz w:val="20"/>
          <w:szCs w:val="20"/>
        </w:rPr>
        <w:t xml:space="preserve">•Capital One, National Association (“CONA”), which offers a broad </w:t>
      </w:r>
      <w:r>
        <w:rPr>
          <w:rFonts w:eastAsia="Times New Roman"/>
          <w:color w:val="000000"/>
          <w:sz w:val="20"/>
          <w:szCs w:val="20"/>
        </w:rPr>
        <w:t>spectrum of banking products and financial services to consumers, small businesses and commercial clients.</w:t>
      </w:r>
    </w:p>
    <w:p w14:paraId="1D8E3BB3" w14:textId="77777777" w:rsidR="00000000" w:rsidRDefault="00A173A8">
      <w:pPr>
        <w:jc w:val="both"/>
        <w:divId w:val="1959214723"/>
        <w:rPr>
          <w:rFonts w:eastAsia="Times New Roman"/>
        </w:rPr>
      </w:pPr>
      <w:r>
        <w:rPr>
          <w:rFonts w:eastAsia="Times New Roman"/>
          <w:color w:val="000000"/>
          <w:sz w:val="20"/>
          <w:szCs w:val="20"/>
        </w:rPr>
        <w:t>The Company is hereafter collectively referred to as “we,” “us” or “our.” COBNA and CONA are collectively referred to as the “Banks.” Certain busines</w:t>
      </w:r>
      <w:r>
        <w:rPr>
          <w:rFonts w:eastAsia="Times New Roman"/>
          <w:color w:val="000000"/>
          <w:sz w:val="20"/>
          <w:szCs w:val="20"/>
        </w:rPr>
        <w:t>s terms used in this document are defined in the “MD&amp;A—Glossary and Acronyms” and should be read in conjunction with the consolidated financial statements included in this Report.</w:t>
      </w:r>
    </w:p>
    <w:p w14:paraId="74950CCE" w14:textId="77777777" w:rsidR="00000000" w:rsidRDefault="00A173A8">
      <w:pPr>
        <w:jc w:val="both"/>
        <w:divId w:val="1344556141"/>
        <w:rPr>
          <w:rFonts w:eastAsia="Times New Roman"/>
        </w:rPr>
      </w:pPr>
      <w:r>
        <w:rPr>
          <w:rFonts w:eastAsia="Times New Roman"/>
          <w:color w:val="000000"/>
          <w:sz w:val="20"/>
          <w:szCs w:val="20"/>
        </w:rPr>
        <w:t>Our consolidated total net revenues are derived primarily from lending to co</w:t>
      </w:r>
      <w:r>
        <w:rPr>
          <w:rFonts w:eastAsia="Times New Roman"/>
          <w:color w:val="000000"/>
          <w:sz w:val="20"/>
          <w:szCs w:val="20"/>
        </w:rPr>
        <w:t>nsumer, small business and commercial customers net of funding costs associated with interest on deposits, long-term debt and other borrowings. We also earn non-interest income which primarily consists of interchange income, net of reward expenses, service</w:t>
      </w:r>
      <w:r>
        <w:rPr>
          <w:rFonts w:eastAsia="Times New Roman"/>
          <w:color w:val="000000"/>
          <w:sz w:val="20"/>
          <w:szCs w:val="20"/>
        </w:rPr>
        <w:t xml:space="preserve"> charges and other customer-related fees. Our expenses primarily consist of the provision for credit losses, operating expenses, marketing expenses and income taxes.</w:t>
      </w:r>
    </w:p>
    <w:p w14:paraId="15191F51" w14:textId="77777777" w:rsidR="00000000" w:rsidRDefault="00A173A8">
      <w:pPr>
        <w:jc w:val="both"/>
        <w:divId w:val="2108841632"/>
        <w:rPr>
          <w:rFonts w:eastAsia="Times New Roman"/>
        </w:rPr>
      </w:pPr>
      <w:r>
        <w:rPr>
          <w:rFonts w:eastAsia="Times New Roman"/>
          <w:color w:val="000000"/>
          <w:sz w:val="20"/>
          <w:szCs w:val="20"/>
        </w:rPr>
        <w:t xml:space="preserve">Our principal operations are organized for management reporting purposes into three major </w:t>
      </w:r>
      <w:r>
        <w:rPr>
          <w:rFonts w:eastAsia="Times New Roman"/>
          <w:color w:val="000000"/>
          <w:sz w:val="20"/>
          <w:szCs w:val="20"/>
        </w:rPr>
        <w:t xml:space="preserve">business segments, which are defined primarily based on the products and services provided or the types of customer served: Credit Card, Consumer Banking and Commercial Banking. The operations of acquired businesses have been integrated into or managed as </w:t>
      </w:r>
      <w:r>
        <w:rPr>
          <w:rFonts w:eastAsia="Times New Roman"/>
          <w:color w:val="000000"/>
          <w:sz w:val="20"/>
          <w:szCs w:val="20"/>
        </w:rPr>
        <w:t>a part of our existing business segments. Certain activities that are not part of a segment, such as management of our corporate investment portfolio, asset/liability management by our centralized Corporate Treasury group and residual tax expense or benefi</w:t>
      </w:r>
      <w:r>
        <w:rPr>
          <w:rFonts w:eastAsia="Times New Roman"/>
          <w:color w:val="000000"/>
          <w:sz w:val="20"/>
          <w:szCs w:val="20"/>
        </w:rPr>
        <w:t xml:space="preserve">t to arrive at the consolidated effective tax rate that is not assessed to our primary business segments, are included in the Other category. </w:t>
      </w:r>
    </w:p>
    <w:p w14:paraId="7FD3303A" w14:textId="77777777" w:rsidR="00000000" w:rsidRDefault="00A173A8">
      <w:pPr>
        <w:ind w:hanging="360"/>
        <w:jc w:val="both"/>
        <w:divId w:val="1094086666"/>
        <w:rPr>
          <w:rFonts w:eastAsia="Times New Roman"/>
        </w:rPr>
      </w:pPr>
      <w:r>
        <w:rPr>
          <w:rFonts w:eastAsia="Times New Roman"/>
          <w:color w:val="000000"/>
          <w:sz w:val="20"/>
          <w:szCs w:val="20"/>
        </w:rPr>
        <w:t>•</w:t>
      </w:r>
      <w:r>
        <w:rPr>
          <w:rFonts w:eastAsia="Times New Roman"/>
          <w:i/>
          <w:iCs/>
          <w:color w:val="000000"/>
          <w:sz w:val="20"/>
          <w:szCs w:val="20"/>
        </w:rPr>
        <w:t>Credit Card:</w:t>
      </w:r>
      <w:r>
        <w:rPr>
          <w:rFonts w:eastAsia="Times New Roman"/>
          <w:color w:val="000000"/>
          <w:sz w:val="20"/>
          <w:szCs w:val="20"/>
        </w:rPr>
        <w:t xml:space="preserve"> Consists of our domestic consumer and small business card lending, and international card businesse</w:t>
      </w:r>
      <w:r>
        <w:rPr>
          <w:rFonts w:eastAsia="Times New Roman"/>
          <w:color w:val="000000"/>
          <w:sz w:val="20"/>
          <w:szCs w:val="20"/>
        </w:rPr>
        <w:t>s in the United Kingdom (“U.K.”) and Canada.</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C499F32" w14:textId="77777777">
        <w:trPr>
          <w:divId w:val="2091655147"/>
          <w:jc w:val="center"/>
        </w:trPr>
        <w:tc>
          <w:tcPr>
            <w:tcW w:w="50" w:type="pct"/>
            <w:vAlign w:val="center"/>
            <w:hideMark/>
          </w:tcPr>
          <w:p w14:paraId="63EE1E0D" w14:textId="77777777" w:rsidR="00000000" w:rsidRDefault="00A173A8">
            <w:pPr>
              <w:ind w:hanging="360"/>
              <w:jc w:val="both"/>
              <w:rPr>
                <w:rFonts w:eastAsia="Times New Roman"/>
              </w:rPr>
            </w:pPr>
          </w:p>
        </w:tc>
        <w:tc>
          <w:tcPr>
            <w:tcW w:w="1606" w:type="pct"/>
            <w:vAlign w:val="center"/>
            <w:hideMark/>
          </w:tcPr>
          <w:p w14:paraId="4103B1AA" w14:textId="77777777" w:rsidR="00000000" w:rsidRDefault="00A173A8">
            <w:pPr>
              <w:spacing w:after="100"/>
              <w:rPr>
                <w:rFonts w:eastAsia="Times New Roman"/>
                <w:sz w:val="20"/>
                <w:szCs w:val="20"/>
              </w:rPr>
            </w:pPr>
          </w:p>
        </w:tc>
        <w:tc>
          <w:tcPr>
            <w:tcW w:w="5" w:type="pct"/>
            <w:vAlign w:val="center"/>
            <w:hideMark/>
          </w:tcPr>
          <w:p w14:paraId="45C39189" w14:textId="77777777" w:rsidR="00000000" w:rsidRDefault="00A173A8">
            <w:pPr>
              <w:spacing w:after="100"/>
              <w:rPr>
                <w:rFonts w:eastAsia="Times New Roman"/>
                <w:sz w:val="20"/>
                <w:szCs w:val="20"/>
              </w:rPr>
            </w:pPr>
          </w:p>
        </w:tc>
        <w:tc>
          <w:tcPr>
            <w:tcW w:w="50" w:type="pct"/>
            <w:vAlign w:val="center"/>
            <w:hideMark/>
          </w:tcPr>
          <w:p w14:paraId="7AB3193F" w14:textId="77777777" w:rsidR="00000000" w:rsidRDefault="00A173A8">
            <w:pPr>
              <w:spacing w:after="100"/>
              <w:rPr>
                <w:rFonts w:eastAsia="Times New Roman"/>
                <w:sz w:val="20"/>
                <w:szCs w:val="20"/>
              </w:rPr>
            </w:pPr>
          </w:p>
        </w:tc>
        <w:tc>
          <w:tcPr>
            <w:tcW w:w="1614" w:type="pct"/>
            <w:vAlign w:val="center"/>
            <w:hideMark/>
          </w:tcPr>
          <w:p w14:paraId="43DC75FB" w14:textId="77777777" w:rsidR="00000000" w:rsidRDefault="00A173A8">
            <w:pPr>
              <w:spacing w:after="100"/>
              <w:rPr>
                <w:rFonts w:eastAsia="Times New Roman"/>
                <w:sz w:val="20"/>
                <w:szCs w:val="20"/>
              </w:rPr>
            </w:pPr>
          </w:p>
        </w:tc>
        <w:tc>
          <w:tcPr>
            <w:tcW w:w="5" w:type="pct"/>
            <w:vAlign w:val="center"/>
            <w:hideMark/>
          </w:tcPr>
          <w:p w14:paraId="7BA6EDD4" w14:textId="77777777" w:rsidR="00000000" w:rsidRDefault="00A173A8">
            <w:pPr>
              <w:spacing w:after="100"/>
              <w:rPr>
                <w:rFonts w:eastAsia="Times New Roman"/>
                <w:sz w:val="20"/>
                <w:szCs w:val="20"/>
              </w:rPr>
            </w:pPr>
          </w:p>
        </w:tc>
        <w:tc>
          <w:tcPr>
            <w:tcW w:w="50" w:type="pct"/>
            <w:vAlign w:val="center"/>
            <w:hideMark/>
          </w:tcPr>
          <w:p w14:paraId="4DFEE170" w14:textId="77777777" w:rsidR="00000000" w:rsidRDefault="00A173A8">
            <w:pPr>
              <w:spacing w:after="100"/>
              <w:rPr>
                <w:rFonts w:eastAsia="Times New Roman"/>
                <w:sz w:val="20"/>
                <w:szCs w:val="20"/>
              </w:rPr>
            </w:pPr>
          </w:p>
        </w:tc>
        <w:tc>
          <w:tcPr>
            <w:tcW w:w="1614" w:type="pct"/>
            <w:vAlign w:val="center"/>
            <w:hideMark/>
          </w:tcPr>
          <w:p w14:paraId="461B769B" w14:textId="77777777" w:rsidR="00000000" w:rsidRDefault="00A173A8">
            <w:pPr>
              <w:spacing w:after="100"/>
              <w:rPr>
                <w:rFonts w:eastAsia="Times New Roman"/>
                <w:sz w:val="20"/>
                <w:szCs w:val="20"/>
              </w:rPr>
            </w:pPr>
          </w:p>
        </w:tc>
        <w:tc>
          <w:tcPr>
            <w:tcW w:w="5" w:type="pct"/>
            <w:vAlign w:val="center"/>
            <w:hideMark/>
          </w:tcPr>
          <w:p w14:paraId="26A1E7E2" w14:textId="77777777" w:rsidR="00000000" w:rsidRDefault="00A173A8">
            <w:pPr>
              <w:spacing w:after="100"/>
              <w:rPr>
                <w:rFonts w:eastAsia="Times New Roman"/>
                <w:sz w:val="20"/>
                <w:szCs w:val="20"/>
              </w:rPr>
            </w:pPr>
          </w:p>
        </w:tc>
      </w:tr>
      <w:tr w:rsidR="00000000" w14:paraId="35FFBA90" w14:textId="77777777">
        <w:trPr>
          <w:divId w:val="2091655147"/>
          <w:trHeight w:val="300"/>
          <w:jc w:val="center"/>
        </w:trPr>
        <w:tc>
          <w:tcPr>
            <w:tcW w:w="0" w:type="auto"/>
            <w:gridSpan w:val="9"/>
            <w:tcMar>
              <w:top w:w="0" w:type="dxa"/>
              <w:left w:w="20" w:type="dxa"/>
              <w:bottom w:w="0" w:type="dxa"/>
              <w:right w:w="20" w:type="dxa"/>
            </w:tcMar>
            <w:vAlign w:val="center"/>
            <w:hideMark/>
          </w:tcPr>
          <w:p w14:paraId="1F6D0FB1" w14:textId="77777777" w:rsidR="00000000" w:rsidRDefault="00A173A8">
            <w:pPr>
              <w:spacing w:after="100"/>
              <w:rPr>
                <w:rFonts w:eastAsia="Times New Roman"/>
                <w:sz w:val="20"/>
                <w:szCs w:val="20"/>
              </w:rPr>
            </w:pPr>
          </w:p>
        </w:tc>
      </w:tr>
      <w:tr w:rsidR="00000000" w14:paraId="7C8F3A0E" w14:textId="77777777">
        <w:trPr>
          <w:divId w:val="2091655147"/>
          <w:jc w:val="center"/>
        </w:trPr>
        <w:tc>
          <w:tcPr>
            <w:tcW w:w="0" w:type="auto"/>
            <w:gridSpan w:val="3"/>
            <w:tcMar>
              <w:top w:w="0" w:type="dxa"/>
              <w:left w:w="20" w:type="dxa"/>
              <w:bottom w:w="0" w:type="dxa"/>
              <w:right w:w="20" w:type="dxa"/>
            </w:tcMar>
            <w:vAlign w:val="center"/>
            <w:hideMark/>
          </w:tcPr>
          <w:p w14:paraId="2EA5082C"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373C01" w14:textId="77777777" w:rsidR="00000000" w:rsidRDefault="00A173A8">
            <w:pPr>
              <w:spacing w:after="100"/>
              <w:jc w:val="center"/>
              <w:rPr>
                <w:rFonts w:eastAsia="Times New Roman"/>
              </w:rPr>
            </w:pPr>
            <w:r>
              <w:rPr>
                <w:rFonts w:eastAsia="Times New Roman"/>
                <w:color w:val="000000"/>
                <w:sz w:val="16"/>
                <w:szCs w:val="16"/>
              </w:rPr>
              <w:t>4</w:t>
            </w:r>
          </w:p>
        </w:tc>
        <w:tc>
          <w:tcPr>
            <w:tcW w:w="0" w:type="auto"/>
            <w:gridSpan w:val="3"/>
            <w:tcMar>
              <w:top w:w="30" w:type="dxa"/>
              <w:left w:w="20" w:type="dxa"/>
              <w:bottom w:w="30" w:type="dxa"/>
              <w:right w:w="20" w:type="dxa"/>
            </w:tcMar>
            <w:vAlign w:val="bottom"/>
            <w:hideMark/>
          </w:tcPr>
          <w:p w14:paraId="3E05B8CC"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DB32406" w14:textId="77777777" w:rsidR="00000000" w:rsidRDefault="00A173A8">
      <w:pPr>
        <w:rPr>
          <w:rFonts w:eastAsia="Times New Roman"/>
        </w:rPr>
      </w:pPr>
      <w:r>
        <w:rPr>
          <w:rFonts w:eastAsia="Times New Roman"/>
        </w:rPr>
        <w:pict w14:anchorId="469BA330">
          <v:rect id="_x0000_i1029" style="width:0;height:1.5pt" o:hralign="center" o:hrstd="t" o:hr="t" fillcolor="#a0a0a0" stroked="f"/>
        </w:pict>
      </w:r>
    </w:p>
    <w:p w14:paraId="7C79B43F" w14:textId="77777777" w:rsidR="00000000" w:rsidRDefault="00A173A8">
      <w:pPr>
        <w:ind w:hanging="360"/>
        <w:jc w:val="both"/>
        <w:divId w:val="2037920776"/>
        <w:rPr>
          <w:rFonts w:eastAsia="Times New Roman"/>
        </w:rPr>
      </w:pPr>
      <w:hyperlink w:anchor="i7ffd5d61af6f4722b1b1b07530d51c06_13" w:history="1">
        <w:r>
          <w:rPr>
            <w:rStyle w:val="a3"/>
            <w:rFonts w:eastAsia="Times New Roman"/>
            <w:sz w:val="16"/>
            <w:szCs w:val="16"/>
          </w:rPr>
          <w:t xml:space="preserve">Table of </w:t>
        </w:r>
      </w:hyperlink>
      <w:hyperlink w:anchor="i7ffd5d61af6f4722b1b1b07530d51c06_13" w:history="1">
        <w:r>
          <w:rPr>
            <w:rStyle w:val="a3"/>
            <w:rFonts w:eastAsia="Times New Roman"/>
            <w:sz w:val="16"/>
            <w:szCs w:val="16"/>
          </w:rPr>
          <w:t>Contents</w:t>
        </w:r>
      </w:hyperlink>
    </w:p>
    <w:p w14:paraId="6404CC52" w14:textId="77777777" w:rsidR="00000000" w:rsidRDefault="00A173A8">
      <w:pPr>
        <w:ind w:hanging="360"/>
        <w:jc w:val="both"/>
        <w:divId w:val="887835827"/>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w:t>
      </w:r>
      <w:r>
        <w:rPr>
          <w:rFonts w:eastAsia="Times New Roman"/>
          <w:color w:val="000000"/>
          <w:sz w:val="20"/>
          <w:szCs w:val="20"/>
        </w:rPr>
        <w:t>Consists of our deposit gathering and lending activities for consumers and small businesses, and national auto lending.</w:t>
      </w:r>
    </w:p>
    <w:p w14:paraId="271F544F" w14:textId="77777777" w:rsidR="00000000" w:rsidRDefault="00A173A8">
      <w:pPr>
        <w:ind w:hanging="360"/>
        <w:jc w:val="both"/>
        <w:divId w:val="175845448"/>
        <w:rPr>
          <w:rFonts w:eastAsia="Times New Roman"/>
        </w:rPr>
      </w:pPr>
      <w:r>
        <w:rPr>
          <w:rFonts w:eastAsia="Times New Roman"/>
          <w:color w:val="000000"/>
          <w:sz w:val="20"/>
          <w:szCs w:val="20"/>
        </w:rPr>
        <w:t>•</w:t>
      </w:r>
      <w:r>
        <w:rPr>
          <w:rFonts w:eastAsia="Times New Roman"/>
          <w:i/>
          <w:iCs/>
          <w:color w:val="000000"/>
          <w:sz w:val="20"/>
          <w:szCs w:val="20"/>
        </w:rPr>
        <w:t>Commercial Banking:</w:t>
      </w:r>
      <w:r>
        <w:rPr>
          <w:rFonts w:eastAsia="Times New Roman"/>
          <w:color w:val="000000"/>
          <w:sz w:val="20"/>
          <w:szCs w:val="20"/>
        </w:rPr>
        <w:t xml:space="preserve"> Consists of our lending, deposit gathering, capital markets and treasury management services to commercial real est</w:t>
      </w:r>
      <w:r>
        <w:rPr>
          <w:rFonts w:eastAsia="Times New Roman"/>
          <w:color w:val="000000"/>
          <w:sz w:val="20"/>
          <w:szCs w:val="20"/>
        </w:rPr>
        <w:t>ate and commercial and industrial customers. Our commercial and industrial customers typically include companies with annual revenues between $20 million and $2 billion.</w:t>
      </w:r>
    </w:p>
    <w:p w14:paraId="77F23177" w14:textId="77777777" w:rsidR="00000000" w:rsidRDefault="00A173A8">
      <w:pPr>
        <w:divId w:val="1191914335"/>
        <w:rPr>
          <w:rFonts w:eastAsia="Times New Roman"/>
        </w:rPr>
      </w:pPr>
      <w:r>
        <w:rPr>
          <w:rFonts w:eastAsia="Times New Roman"/>
          <w:b/>
          <w:bCs/>
          <w:color w:val="000000"/>
          <w:sz w:val="20"/>
          <w:szCs w:val="20"/>
        </w:rPr>
        <w:t>Business Developments</w:t>
      </w:r>
    </w:p>
    <w:p w14:paraId="2160891C" w14:textId="77777777" w:rsidR="00000000" w:rsidRDefault="00A173A8">
      <w:pPr>
        <w:jc w:val="both"/>
        <w:divId w:val="1611085660"/>
        <w:rPr>
          <w:rFonts w:eastAsia="Times New Roman"/>
        </w:rPr>
      </w:pPr>
      <w:r>
        <w:rPr>
          <w:rFonts w:eastAsia="Times New Roman"/>
          <w:color w:val="000000"/>
          <w:sz w:val="20"/>
          <w:szCs w:val="20"/>
        </w:rPr>
        <w:t>We regularly explore and evaluate opportunities to acquire finan</w:t>
      </w:r>
      <w:r>
        <w:rPr>
          <w:rFonts w:eastAsia="Times New Roman"/>
          <w:color w:val="000000"/>
          <w:sz w:val="20"/>
          <w:szCs w:val="20"/>
        </w:rPr>
        <w:t xml:space="preserve">cial services and products as well as financial assets, including credit card and other loan portfolios, and enter into strategic partnerships as part of our growth strategy. We also explore opportunities to acquire technology companies and related assets </w:t>
      </w:r>
      <w:r>
        <w:rPr>
          <w:rFonts w:eastAsia="Times New Roman"/>
          <w:color w:val="000000"/>
          <w:sz w:val="20"/>
          <w:szCs w:val="20"/>
        </w:rPr>
        <w:t>to improve our information technology infrastructure and to deliver on our digital strategy. We may issue equity or debt to fund our acquisitions. In addition, we regularly consider the potential disposition or exit of certain assets, branches, partnership</w:t>
      </w:r>
      <w:r>
        <w:rPr>
          <w:rFonts w:eastAsia="Times New Roman"/>
          <w:color w:val="000000"/>
          <w:sz w:val="20"/>
          <w:szCs w:val="20"/>
        </w:rPr>
        <w:t xml:space="preserve"> agreements or lines of business.</w:t>
      </w:r>
    </w:p>
    <w:p w14:paraId="0F78B9C9" w14:textId="77777777" w:rsidR="00000000" w:rsidRDefault="00A173A8">
      <w:pPr>
        <w:divId w:val="1750299784"/>
        <w:rPr>
          <w:rFonts w:eastAsia="Times New Roman"/>
        </w:rPr>
      </w:pPr>
      <w:r>
        <w:rPr>
          <w:rFonts w:eastAsia="Times New Roman"/>
          <w:b/>
          <w:bCs/>
          <w:color w:val="000000"/>
          <w:sz w:val="20"/>
          <w:szCs w:val="20"/>
        </w:rPr>
        <w:t xml:space="preserve">Coronavirus Disease 2019 (COVID-19) Pandemic </w:t>
      </w:r>
    </w:p>
    <w:p w14:paraId="257C19DB" w14:textId="77777777" w:rsidR="00000000" w:rsidRDefault="00A173A8">
      <w:pPr>
        <w:jc w:val="both"/>
        <w:divId w:val="710572640"/>
        <w:rPr>
          <w:rFonts w:eastAsia="Times New Roman"/>
        </w:rPr>
      </w:pPr>
      <w:r>
        <w:rPr>
          <w:rFonts w:eastAsia="Times New Roman"/>
          <w:color w:val="212529"/>
          <w:sz w:val="20"/>
          <w:szCs w:val="20"/>
        </w:rPr>
        <w:t>The COVID-19 pandemic resulted in a global public-health crisis, disrupting economies and introducing significant volatility into financial markets. We transformed how we work in order to protect the well-being of our associates and our customers, and were</w:t>
      </w:r>
      <w:r>
        <w:rPr>
          <w:rFonts w:eastAsia="Times New Roman"/>
          <w:color w:val="212529"/>
          <w:sz w:val="20"/>
          <w:szCs w:val="20"/>
        </w:rPr>
        <w:t xml:space="preserve"> able to continue to serve our customers, successfully manage critical functions, and keep our lines of business operating.</w:t>
      </w:r>
    </w:p>
    <w:p w14:paraId="24F8A520" w14:textId="77777777" w:rsidR="00000000" w:rsidRDefault="00A173A8">
      <w:pPr>
        <w:jc w:val="both"/>
        <w:divId w:val="1468938330"/>
        <w:rPr>
          <w:rFonts w:eastAsia="Times New Roman"/>
        </w:rPr>
      </w:pPr>
      <w:r>
        <w:rPr>
          <w:rFonts w:eastAsia="Times New Roman"/>
          <w:color w:val="212529"/>
          <w:sz w:val="20"/>
          <w:szCs w:val="20"/>
        </w:rPr>
        <w:t>Since the start of the COVID-19 pandemic, a significant majority of our associates across our workforce have transitioned to working</w:t>
      </w:r>
      <w:r>
        <w:rPr>
          <w:rFonts w:eastAsia="Times New Roman"/>
          <w:color w:val="212529"/>
          <w:sz w:val="20"/>
          <w:szCs w:val="20"/>
        </w:rPr>
        <w:t xml:space="preserve"> remotely, relying on our technology infrastructure and systems that have been designed for resilience and security. The majority of our associates continue to work remotely. In the third quarter of 2022, we plan to move to a hybrid work methodology that a</w:t>
      </w:r>
      <w:r>
        <w:rPr>
          <w:rFonts w:eastAsia="Times New Roman"/>
          <w:color w:val="212529"/>
          <w:sz w:val="20"/>
          <w:szCs w:val="20"/>
        </w:rPr>
        <w:t>llows for in-office collaboration while still enabling associates to work remotely. We continue to monitor local conditions to ensure the safety of our associates.</w:t>
      </w:r>
    </w:p>
    <w:p w14:paraId="71E389CC" w14:textId="77777777" w:rsidR="00000000" w:rsidRDefault="00A173A8">
      <w:pPr>
        <w:jc w:val="both"/>
        <w:divId w:val="2021395593"/>
        <w:rPr>
          <w:rFonts w:eastAsia="Times New Roman"/>
        </w:rPr>
      </w:pPr>
      <w:r>
        <w:rPr>
          <w:rFonts w:eastAsia="Times New Roman"/>
          <w:color w:val="000000"/>
          <w:sz w:val="20"/>
          <w:szCs w:val="20"/>
        </w:rPr>
        <w:t xml:space="preserve">For </w:t>
      </w:r>
      <w:r>
        <w:rPr>
          <w:rFonts w:eastAsia="Times New Roman"/>
          <w:color w:val="212529"/>
          <w:sz w:val="20"/>
          <w:szCs w:val="20"/>
        </w:rPr>
        <w:t>the extent to which the COVID-19 pandemic impacted our financial results, refer to “Part</w:t>
      </w:r>
      <w:r>
        <w:rPr>
          <w:rFonts w:eastAsia="Times New Roman"/>
          <w:color w:val="212529"/>
          <w:sz w:val="20"/>
          <w:szCs w:val="20"/>
        </w:rPr>
        <w:t xml:space="preserve"> I—Item 2. MD&amp;A.” The extent to which the COVID-19 pandemic ultimately impacts our business, results of operations, and financial condition will depend on future developments that are still uncertain and cannot be predicted, including the scope and duratio</w:t>
      </w:r>
      <w:r>
        <w:rPr>
          <w:rFonts w:eastAsia="Times New Roman"/>
          <w:color w:val="212529"/>
          <w:sz w:val="20"/>
          <w:szCs w:val="20"/>
        </w:rPr>
        <w:t>n of the COVID-19 pandemic and actions taken by governmental authorities and other third parties in response to the COVID-19 pandemic. For more information see “Part I—Item 1A. Risk Factors”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3BF7CCC" w14:textId="77777777">
        <w:trPr>
          <w:divId w:val="485558375"/>
          <w:jc w:val="center"/>
        </w:trPr>
        <w:tc>
          <w:tcPr>
            <w:tcW w:w="50" w:type="pct"/>
            <w:vAlign w:val="center"/>
            <w:hideMark/>
          </w:tcPr>
          <w:p w14:paraId="412A5AC2" w14:textId="77777777" w:rsidR="00000000" w:rsidRDefault="00A173A8">
            <w:pPr>
              <w:jc w:val="both"/>
              <w:rPr>
                <w:rFonts w:eastAsia="Times New Roman"/>
              </w:rPr>
            </w:pPr>
          </w:p>
        </w:tc>
        <w:tc>
          <w:tcPr>
            <w:tcW w:w="1606" w:type="pct"/>
            <w:vAlign w:val="center"/>
            <w:hideMark/>
          </w:tcPr>
          <w:p w14:paraId="10E8A3DD" w14:textId="77777777" w:rsidR="00000000" w:rsidRDefault="00A173A8">
            <w:pPr>
              <w:spacing w:after="100"/>
              <w:rPr>
                <w:rFonts w:eastAsia="Times New Roman"/>
                <w:sz w:val="20"/>
                <w:szCs w:val="20"/>
              </w:rPr>
            </w:pPr>
          </w:p>
        </w:tc>
        <w:tc>
          <w:tcPr>
            <w:tcW w:w="5" w:type="pct"/>
            <w:vAlign w:val="center"/>
            <w:hideMark/>
          </w:tcPr>
          <w:p w14:paraId="47E31187" w14:textId="77777777" w:rsidR="00000000" w:rsidRDefault="00A173A8">
            <w:pPr>
              <w:spacing w:after="100"/>
              <w:rPr>
                <w:rFonts w:eastAsia="Times New Roman"/>
                <w:sz w:val="20"/>
                <w:szCs w:val="20"/>
              </w:rPr>
            </w:pPr>
          </w:p>
        </w:tc>
        <w:tc>
          <w:tcPr>
            <w:tcW w:w="50" w:type="pct"/>
            <w:vAlign w:val="center"/>
            <w:hideMark/>
          </w:tcPr>
          <w:p w14:paraId="6D244361" w14:textId="77777777" w:rsidR="00000000" w:rsidRDefault="00A173A8">
            <w:pPr>
              <w:spacing w:after="100"/>
              <w:rPr>
                <w:rFonts w:eastAsia="Times New Roman"/>
                <w:sz w:val="20"/>
                <w:szCs w:val="20"/>
              </w:rPr>
            </w:pPr>
          </w:p>
        </w:tc>
        <w:tc>
          <w:tcPr>
            <w:tcW w:w="1614" w:type="pct"/>
            <w:vAlign w:val="center"/>
            <w:hideMark/>
          </w:tcPr>
          <w:p w14:paraId="2339CA30" w14:textId="77777777" w:rsidR="00000000" w:rsidRDefault="00A173A8">
            <w:pPr>
              <w:spacing w:after="100"/>
              <w:rPr>
                <w:rFonts w:eastAsia="Times New Roman"/>
                <w:sz w:val="20"/>
                <w:szCs w:val="20"/>
              </w:rPr>
            </w:pPr>
          </w:p>
        </w:tc>
        <w:tc>
          <w:tcPr>
            <w:tcW w:w="5" w:type="pct"/>
            <w:vAlign w:val="center"/>
            <w:hideMark/>
          </w:tcPr>
          <w:p w14:paraId="7B0E6747" w14:textId="77777777" w:rsidR="00000000" w:rsidRDefault="00A173A8">
            <w:pPr>
              <w:spacing w:after="100"/>
              <w:rPr>
                <w:rFonts w:eastAsia="Times New Roman"/>
                <w:sz w:val="20"/>
                <w:szCs w:val="20"/>
              </w:rPr>
            </w:pPr>
          </w:p>
        </w:tc>
        <w:tc>
          <w:tcPr>
            <w:tcW w:w="50" w:type="pct"/>
            <w:vAlign w:val="center"/>
            <w:hideMark/>
          </w:tcPr>
          <w:p w14:paraId="729D18CF" w14:textId="77777777" w:rsidR="00000000" w:rsidRDefault="00A173A8">
            <w:pPr>
              <w:spacing w:after="100"/>
              <w:rPr>
                <w:rFonts w:eastAsia="Times New Roman"/>
                <w:sz w:val="20"/>
                <w:szCs w:val="20"/>
              </w:rPr>
            </w:pPr>
          </w:p>
        </w:tc>
        <w:tc>
          <w:tcPr>
            <w:tcW w:w="1614" w:type="pct"/>
            <w:vAlign w:val="center"/>
            <w:hideMark/>
          </w:tcPr>
          <w:p w14:paraId="0FCDAD85" w14:textId="77777777" w:rsidR="00000000" w:rsidRDefault="00A173A8">
            <w:pPr>
              <w:spacing w:after="100"/>
              <w:rPr>
                <w:rFonts w:eastAsia="Times New Roman"/>
                <w:sz w:val="20"/>
                <w:szCs w:val="20"/>
              </w:rPr>
            </w:pPr>
          </w:p>
        </w:tc>
        <w:tc>
          <w:tcPr>
            <w:tcW w:w="5" w:type="pct"/>
            <w:vAlign w:val="center"/>
            <w:hideMark/>
          </w:tcPr>
          <w:p w14:paraId="60868595" w14:textId="77777777" w:rsidR="00000000" w:rsidRDefault="00A173A8">
            <w:pPr>
              <w:spacing w:after="100"/>
              <w:rPr>
                <w:rFonts w:eastAsia="Times New Roman"/>
                <w:sz w:val="20"/>
                <w:szCs w:val="20"/>
              </w:rPr>
            </w:pPr>
          </w:p>
        </w:tc>
      </w:tr>
      <w:tr w:rsidR="00000000" w14:paraId="5CFA56C3" w14:textId="77777777">
        <w:trPr>
          <w:divId w:val="485558375"/>
          <w:trHeight w:val="300"/>
          <w:jc w:val="center"/>
        </w:trPr>
        <w:tc>
          <w:tcPr>
            <w:tcW w:w="0" w:type="auto"/>
            <w:gridSpan w:val="9"/>
            <w:tcMar>
              <w:top w:w="0" w:type="dxa"/>
              <w:left w:w="20" w:type="dxa"/>
              <w:bottom w:w="0" w:type="dxa"/>
              <w:right w:w="20" w:type="dxa"/>
            </w:tcMar>
            <w:vAlign w:val="center"/>
            <w:hideMark/>
          </w:tcPr>
          <w:p w14:paraId="04236585" w14:textId="77777777" w:rsidR="00000000" w:rsidRDefault="00A173A8">
            <w:pPr>
              <w:spacing w:after="100"/>
              <w:rPr>
                <w:rFonts w:eastAsia="Times New Roman"/>
                <w:sz w:val="20"/>
                <w:szCs w:val="20"/>
              </w:rPr>
            </w:pPr>
          </w:p>
        </w:tc>
      </w:tr>
      <w:tr w:rsidR="00000000" w14:paraId="662E29FC" w14:textId="77777777">
        <w:trPr>
          <w:divId w:val="485558375"/>
          <w:jc w:val="center"/>
        </w:trPr>
        <w:tc>
          <w:tcPr>
            <w:tcW w:w="0" w:type="auto"/>
            <w:gridSpan w:val="3"/>
            <w:tcMar>
              <w:top w:w="0" w:type="dxa"/>
              <w:left w:w="20" w:type="dxa"/>
              <w:bottom w:w="0" w:type="dxa"/>
              <w:right w:w="20" w:type="dxa"/>
            </w:tcMar>
            <w:vAlign w:val="center"/>
            <w:hideMark/>
          </w:tcPr>
          <w:p w14:paraId="0ADF6091"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885977" w14:textId="77777777" w:rsidR="00000000" w:rsidRDefault="00A173A8">
            <w:pPr>
              <w:spacing w:after="100"/>
              <w:jc w:val="center"/>
              <w:rPr>
                <w:rFonts w:eastAsia="Times New Roman"/>
              </w:rPr>
            </w:pPr>
            <w:r>
              <w:rPr>
                <w:rFonts w:eastAsia="Times New Roman"/>
                <w:color w:val="000000"/>
                <w:sz w:val="16"/>
                <w:szCs w:val="16"/>
              </w:rPr>
              <w:t>5</w:t>
            </w:r>
          </w:p>
        </w:tc>
        <w:tc>
          <w:tcPr>
            <w:tcW w:w="0" w:type="auto"/>
            <w:gridSpan w:val="3"/>
            <w:tcMar>
              <w:top w:w="30" w:type="dxa"/>
              <w:left w:w="20" w:type="dxa"/>
              <w:bottom w:w="30" w:type="dxa"/>
              <w:right w:w="20" w:type="dxa"/>
            </w:tcMar>
            <w:vAlign w:val="bottom"/>
            <w:hideMark/>
          </w:tcPr>
          <w:p w14:paraId="27DD0C50"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40D88FC" w14:textId="77777777" w:rsidR="00000000" w:rsidRDefault="00A173A8">
      <w:pPr>
        <w:rPr>
          <w:rFonts w:eastAsia="Times New Roman"/>
        </w:rPr>
      </w:pPr>
      <w:r>
        <w:rPr>
          <w:rFonts w:eastAsia="Times New Roman"/>
        </w:rPr>
        <w:pict w14:anchorId="5BD040DA">
          <v:rect id="_x0000_i1030" style="width:0;height:1.5pt" o:hralign="center" o:hrstd="t" o:hr="t" fillcolor="#a0a0a0" stroked="f"/>
        </w:pict>
      </w:r>
    </w:p>
    <w:p w14:paraId="664CD641" w14:textId="77777777" w:rsidR="00000000" w:rsidRDefault="00A173A8">
      <w:pPr>
        <w:ind w:hanging="360"/>
        <w:jc w:val="both"/>
        <w:divId w:val="534150202"/>
        <w:rPr>
          <w:rFonts w:eastAsia="Times New Roman"/>
        </w:rPr>
      </w:pPr>
      <w:hyperlink w:anchor="i7ffd5d61af6f4722b1b1b07530d51c06_13" w:history="1">
        <w:r>
          <w:rPr>
            <w:rStyle w:val="a3"/>
            <w:rFonts w:eastAsia="Times New Roman"/>
            <w:sz w:val="16"/>
            <w:szCs w:val="16"/>
          </w:rPr>
          <w:t xml:space="preserve">Table of </w:t>
        </w:r>
      </w:hyperlink>
      <w:hyperlink w:anchor="i7ffd5d61af6f4722b1b1b07530d51c06_13"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2"/>
        <w:gridCol w:w="5514"/>
        <w:gridCol w:w="36"/>
        <w:gridCol w:w="36"/>
        <w:gridCol w:w="36"/>
        <w:gridCol w:w="36"/>
        <w:gridCol w:w="36"/>
        <w:gridCol w:w="36"/>
        <w:gridCol w:w="36"/>
        <w:gridCol w:w="36"/>
        <w:gridCol w:w="36"/>
        <w:gridCol w:w="36"/>
        <w:gridCol w:w="36"/>
        <w:gridCol w:w="510"/>
        <w:gridCol w:w="36"/>
        <w:gridCol w:w="36"/>
        <w:gridCol w:w="36"/>
        <w:gridCol w:w="36"/>
        <w:gridCol w:w="36"/>
        <w:gridCol w:w="626"/>
        <w:gridCol w:w="36"/>
        <w:gridCol w:w="36"/>
        <w:gridCol w:w="36"/>
        <w:gridCol w:w="36"/>
        <w:gridCol w:w="36"/>
        <w:gridCol w:w="36"/>
        <w:gridCol w:w="36"/>
        <w:gridCol w:w="36"/>
        <w:gridCol w:w="36"/>
        <w:gridCol w:w="36"/>
        <w:gridCol w:w="36"/>
        <w:gridCol w:w="524"/>
        <w:gridCol w:w="36"/>
        <w:gridCol w:w="36"/>
        <w:gridCol w:w="36"/>
      </w:tblGrid>
      <w:tr w:rsidR="00000000" w14:paraId="65E1B487" w14:textId="77777777">
        <w:trPr>
          <w:divId w:val="32079179"/>
        </w:trPr>
        <w:tc>
          <w:tcPr>
            <w:tcW w:w="50" w:type="pct"/>
            <w:vAlign w:val="center"/>
            <w:hideMark/>
          </w:tcPr>
          <w:p w14:paraId="2CC469FC" w14:textId="77777777" w:rsidR="00000000" w:rsidRDefault="00A173A8">
            <w:pPr>
              <w:ind w:hanging="360"/>
              <w:jc w:val="both"/>
              <w:rPr>
                <w:rFonts w:eastAsia="Times New Roman"/>
              </w:rPr>
            </w:pPr>
          </w:p>
        </w:tc>
        <w:tc>
          <w:tcPr>
            <w:tcW w:w="3548" w:type="pct"/>
            <w:vAlign w:val="center"/>
            <w:hideMark/>
          </w:tcPr>
          <w:p w14:paraId="0622B162" w14:textId="77777777" w:rsidR="00000000" w:rsidRDefault="00A173A8">
            <w:pPr>
              <w:spacing w:after="100"/>
              <w:rPr>
                <w:rFonts w:eastAsia="Times New Roman"/>
                <w:sz w:val="20"/>
                <w:szCs w:val="20"/>
              </w:rPr>
            </w:pPr>
          </w:p>
        </w:tc>
        <w:tc>
          <w:tcPr>
            <w:tcW w:w="5" w:type="pct"/>
            <w:vAlign w:val="center"/>
            <w:hideMark/>
          </w:tcPr>
          <w:p w14:paraId="7BFB9EFE" w14:textId="77777777" w:rsidR="00000000" w:rsidRDefault="00A173A8">
            <w:pPr>
              <w:spacing w:after="100"/>
              <w:rPr>
                <w:rFonts w:eastAsia="Times New Roman"/>
                <w:sz w:val="20"/>
                <w:szCs w:val="20"/>
              </w:rPr>
            </w:pPr>
          </w:p>
        </w:tc>
        <w:tc>
          <w:tcPr>
            <w:tcW w:w="0" w:type="auto"/>
            <w:vAlign w:val="center"/>
            <w:hideMark/>
          </w:tcPr>
          <w:p w14:paraId="7F0F5E6C" w14:textId="77777777" w:rsidR="00000000" w:rsidRDefault="00A173A8">
            <w:pPr>
              <w:spacing w:after="100"/>
              <w:rPr>
                <w:rFonts w:eastAsia="Times New Roman"/>
                <w:sz w:val="20"/>
                <w:szCs w:val="20"/>
              </w:rPr>
            </w:pPr>
          </w:p>
        </w:tc>
        <w:tc>
          <w:tcPr>
            <w:tcW w:w="0" w:type="auto"/>
            <w:vAlign w:val="center"/>
            <w:hideMark/>
          </w:tcPr>
          <w:p w14:paraId="0BA641A9" w14:textId="77777777" w:rsidR="00000000" w:rsidRDefault="00A173A8">
            <w:pPr>
              <w:spacing w:after="100"/>
              <w:rPr>
                <w:rFonts w:eastAsia="Times New Roman"/>
                <w:sz w:val="20"/>
                <w:szCs w:val="20"/>
              </w:rPr>
            </w:pPr>
          </w:p>
        </w:tc>
        <w:tc>
          <w:tcPr>
            <w:tcW w:w="0" w:type="auto"/>
            <w:vAlign w:val="center"/>
            <w:hideMark/>
          </w:tcPr>
          <w:p w14:paraId="04319D95" w14:textId="77777777" w:rsidR="00000000" w:rsidRDefault="00A173A8">
            <w:pPr>
              <w:spacing w:after="100"/>
              <w:rPr>
                <w:rFonts w:eastAsia="Times New Roman"/>
                <w:sz w:val="20"/>
                <w:szCs w:val="20"/>
              </w:rPr>
            </w:pPr>
          </w:p>
        </w:tc>
        <w:tc>
          <w:tcPr>
            <w:tcW w:w="0" w:type="auto"/>
            <w:vAlign w:val="center"/>
            <w:hideMark/>
          </w:tcPr>
          <w:p w14:paraId="7E76FE8B" w14:textId="77777777" w:rsidR="00000000" w:rsidRDefault="00A173A8">
            <w:pPr>
              <w:spacing w:after="100"/>
              <w:rPr>
                <w:rFonts w:eastAsia="Times New Roman"/>
                <w:sz w:val="20"/>
                <w:szCs w:val="20"/>
              </w:rPr>
            </w:pPr>
          </w:p>
        </w:tc>
        <w:tc>
          <w:tcPr>
            <w:tcW w:w="0" w:type="auto"/>
            <w:vAlign w:val="center"/>
            <w:hideMark/>
          </w:tcPr>
          <w:p w14:paraId="36101B26" w14:textId="77777777" w:rsidR="00000000" w:rsidRDefault="00A173A8">
            <w:pPr>
              <w:spacing w:after="100"/>
              <w:rPr>
                <w:rFonts w:eastAsia="Times New Roman"/>
                <w:sz w:val="20"/>
                <w:szCs w:val="20"/>
              </w:rPr>
            </w:pPr>
          </w:p>
        </w:tc>
        <w:tc>
          <w:tcPr>
            <w:tcW w:w="0" w:type="auto"/>
            <w:vAlign w:val="center"/>
            <w:hideMark/>
          </w:tcPr>
          <w:p w14:paraId="22EE5600" w14:textId="77777777" w:rsidR="00000000" w:rsidRDefault="00A173A8">
            <w:pPr>
              <w:spacing w:after="100"/>
              <w:rPr>
                <w:rFonts w:eastAsia="Times New Roman"/>
                <w:sz w:val="20"/>
                <w:szCs w:val="20"/>
              </w:rPr>
            </w:pPr>
          </w:p>
        </w:tc>
        <w:tc>
          <w:tcPr>
            <w:tcW w:w="5" w:type="pct"/>
            <w:vAlign w:val="center"/>
            <w:hideMark/>
          </w:tcPr>
          <w:p w14:paraId="2C6605A2" w14:textId="77777777" w:rsidR="00000000" w:rsidRDefault="00A173A8">
            <w:pPr>
              <w:spacing w:after="100"/>
              <w:rPr>
                <w:rFonts w:eastAsia="Times New Roman"/>
                <w:sz w:val="20"/>
                <w:szCs w:val="20"/>
              </w:rPr>
            </w:pPr>
          </w:p>
        </w:tc>
        <w:tc>
          <w:tcPr>
            <w:tcW w:w="26" w:type="pct"/>
            <w:vAlign w:val="center"/>
            <w:hideMark/>
          </w:tcPr>
          <w:p w14:paraId="60F2E434" w14:textId="77777777" w:rsidR="00000000" w:rsidRDefault="00A173A8">
            <w:pPr>
              <w:spacing w:after="100"/>
              <w:rPr>
                <w:rFonts w:eastAsia="Times New Roman"/>
                <w:sz w:val="20"/>
                <w:szCs w:val="20"/>
              </w:rPr>
            </w:pPr>
          </w:p>
        </w:tc>
        <w:tc>
          <w:tcPr>
            <w:tcW w:w="5" w:type="pct"/>
            <w:vAlign w:val="center"/>
            <w:hideMark/>
          </w:tcPr>
          <w:p w14:paraId="61297C40" w14:textId="77777777" w:rsidR="00000000" w:rsidRDefault="00A173A8">
            <w:pPr>
              <w:spacing w:after="100"/>
              <w:rPr>
                <w:rFonts w:eastAsia="Times New Roman"/>
                <w:sz w:val="20"/>
                <w:szCs w:val="20"/>
              </w:rPr>
            </w:pPr>
          </w:p>
        </w:tc>
        <w:tc>
          <w:tcPr>
            <w:tcW w:w="50" w:type="pct"/>
            <w:vAlign w:val="center"/>
            <w:hideMark/>
          </w:tcPr>
          <w:p w14:paraId="0F908988" w14:textId="77777777" w:rsidR="00000000" w:rsidRDefault="00A173A8">
            <w:pPr>
              <w:spacing w:after="100"/>
              <w:rPr>
                <w:rFonts w:eastAsia="Times New Roman"/>
                <w:sz w:val="20"/>
                <w:szCs w:val="20"/>
              </w:rPr>
            </w:pPr>
          </w:p>
        </w:tc>
        <w:tc>
          <w:tcPr>
            <w:tcW w:w="347" w:type="pct"/>
            <w:vAlign w:val="center"/>
            <w:hideMark/>
          </w:tcPr>
          <w:p w14:paraId="36F8D78F" w14:textId="77777777" w:rsidR="00000000" w:rsidRDefault="00A173A8">
            <w:pPr>
              <w:spacing w:after="100"/>
              <w:rPr>
                <w:rFonts w:eastAsia="Times New Roman"/>
                <w:sz w:val="20"/>
                <w:szCs w:val="20"/>
              </w:rPr>
            </w:pPr>
          </w:p>
        </w:tc>
        <w:tc>
          <w:tcPr>
            <w:tcW w:w="5" w:type="pct"/>
            <w:vAlign w:val="center"/>
            <w:hideMark/>
          </w:tcPr>
          <w:p w14:paraId="037268C9" w14:textId="77777777" w:rsidR="00000000" w:rsidRDefault="00A173A8">
            <w:pPr>
              <w:spacing w:after="100"/>
              <w:rPr>
                <w:rFonts w:eastAsia="Times New Roman"/>
                <w:sz w:val="20"/>
                <w:szCs w:val="20"/>
              </w:rPr>
            </w:pPr>
          </w:p>
        </w:tc>
        <w:tc>
          <w:tcPr>
            <w:tcW w:w="5" w:type="pct"/>
            <w:vAlign w:val="center"/>
            <w:hideMark/>
          </w:tcPr>
          <w:p w14:paraId="572AA6B5" w14:textId="77777777" w:rsidR="00000000" w:rsidRDefault="00A173A8">
            <w:pPr>
              <w:spacing w:after="100"/>
              <w:rPr>
                <w:rFonts w:eastAsia="Times New Roman"/>
                <w:sz w:val="20"/>
                <w:szCs w:val="20"/>
              </w:rPr>
            </w:pPr>
          </w:p>
        </w:tc>
        <w:tc>
          <w:tcPr>
            <w:tcW w:w="26" w:type="pct"/>
            <w:vAlign w:val="center"/>
            <w:hideMark/>
          </w:tcPr>
          <w:p w14:paraId="1A4A56BB" w14:textId="77777777" w:rsidR="00000000" w:rsidRDefault="00A173A8">
            <w:pPr>
              <w:spacing w:after="100"/>
              <w:rPr>
                <w:rFonts w:eastAsia="Times New Roman"/>
                <w:sz w:val="20"/>
                <w:szCs w:val="20"/>
              </w:rPr>
            </w:pPr>
          </w:p>
        </w:tc>
        <w:tc>
          <w:tcPr>
            <w:tcW w:w="5" w:type="pct"/>
            <w:vAlign w:val="center"/>
            <w:hideMark/>
          </w:tcPr>
          <w:p w14:paraId="30EE09C5" w14:textId="77777777" w:rsidR="00000000" w:rsidRDefault="00A173A8">
            <w:pPr>
              <w:spacing w:after="100"/>
              <w:rPr>
                <w:rFonts w:eastAsia="Times New Roman"/>
                <w:sz w:val="20"/>
                <w:szCs w:val="20"/>
              </w:rPr>
            </w:pPr>
          </w:p>
        </w:tc>
        <w:tc>
          <w:tcPr>
            <w:tcW w:w="50" w:type="pct"/>
            <w:vAlign w:val="center"/>
            <w:hideMark/>
          </w:tcPr>
          <w:p w14:paraId="36F98922" w14:textId="77777777" w:rsidR="00000000" w:rsidRDefault="00A173A8">
            <w:pPr>
              <w:spacing w:after="100"/>
              <w:rPr>
                <w:rFonts w:eastAsia="Times New Roman"/>
                <w:sz w:val="20"/>
                <w:szCs w:val="20"/>
              </w:rPr>
            </w:pPr>
          </w:p>
        </w:tc>
        <w:tc>
          <w:tcPr>
            <w:tcW w:w="420" w:type="pct"/>
            <w:vAlign w:val="center"/>
            <w:hideMark/>
          </w:tcPr>
          <w:p w14:paraId="1E0EAA88" w14:textId="77777777" w:rsidR="00000000" w:rsidRDefault="00A173A8">
            <w:pPr>
              <w:spacing w:after="100"/>
              <w:rPr>
                <w:rFonts w:eastAsia="Times New Roman"/>
                <w:sz w:val="20"/>
                <w:szCs w:val="20"/>
              </w:rPr>
            </w:pPr>
          </w:p>
        </w:tc>
        <w:tc>
          <w:tcPr>
            <w:tcW w:w="5" w:type="pct"/>
            <w:vAlign w:val="center"/>
            <w:hideMark/>
          </w:tcPr>
          <w:p w14:paraId="33B0DA54" w14:textId="77777777" w:rsidR="00000000" w:rsidRDefault="00A173A8">
            <w:pPr>
              <w:spacing w:after="100"/>
              <w:rPr>
                <w:rFonts w:eastAsia="Times New Roman"/>
                <w:sz w:val="20"/>
                <w:szCs w:val="20"/>
              </w:rPr>
            </w:pPr>
          </w:p>
        </w:tc>
        <w:tc>
          <w:tcPr>
            <w:tcW w:w="0" w:type="auto"/>
            <w:vAlign w:val="center"/>
            <w:hideMark/>
          </w:tcPr>
          <w:p w14:paraId="22B4A7D4" w14:textId="77777777" w:rsidR="00000000" w:rsidRDefault="00A173A8">
            <w:pPr>
              <w:spacing w:after="100"/>
              <w:rPr>
                <w:rFonts w:eastAsia="Times New Roman"/>
                <w:sz w:val="20"/>
                <w:szCs w:val="20"/>
              </w:rPr>
            </w:pPr>
          </w:p>
        </w:tc>
        <w:tc>
          <w:tcPr>
            <w:tcW w:w="0" w:type="auto"/>
            <w:vAlign w:val="center"/>
            <w:hideMark/>
          </w:tcPr>
          <w:p w14:paraId="0797254B" w14:textId="77777777" w:rsidR="00000000" w:rsidRDefault="00A173A8">
            <w:pPr>
              <w:spacing w:after="100"/>
              <w:rPr>
                <w:rFonts w:eastAsia="Times New Roman"/>
                <w:sz w:val="20"/>
                <w:szCs w:val="20"/>
              </w:rPr>
            </w:pPr>
          </w:p>
        </w:tc>
        <w:tc>
          <w:tcPr>
            <w:tcW w:w="5" w:type="pct"/>
            <w:vAlign w:val="center"/>
            <w:hideMark/>
          </w:tcPr>
          <w:p w14:paraId="4C7E6757" w14:textId="77777777" w:rsidR="00000000" w:rsidRDefault="00A173A8">
            <w:pPr>
              <w:spacing w:after="100"/>
              <w:rPr>
                <w:rFonts w:eastAsia="Times New Roman"/>
                <w:sz w:val="20"/>
                <w:szCs w:val="20"/>
              </w:rPr>
            </w:pPr>
          </w:p>
        </w:tc>
        <w:tc>
          <w:tcPr>
            <w:tcW w:w="26" w:type="pct"/>
            <w:vAlign w:val="center"/>
            <w:hideMark/>
          </w:tcPr>
          <w:p w14:paraId="284F5E2E" w14:textId="77777777" w:rsidR="00000000" w:rsidRDefault="00A173A8">
            <w:pPr>
              <w:spacing w:after="100"/>
              <w:rPr>
                <w:rFonts w:eastAsia="Times New Roman"/>
                <w:sz w:val="20"/>
                <w:szCs w:val="20"/>
              </w:rPr>
            </w:pPr>
          </w:p>
        </w:tc>
        <w:tc>
          <w:tcPr>
            <w:tcW w:w="5" w:type="pct"/>
            <w:vAlign w:val="center"/>
            <w:hideMark/>
          </w:tcPr>
          <w:p w14:paraId="07DCE1EE" w14:textId="77777777" w:rsidR="00000000" w:rsidRDefault="00A173A8">
            <w:pPr>
              <w:spacing w:after="100"/>
              <w:rPr>
                <w:rFonts w:eastAsia="Times New Roman"/>
                <w:sz w:val="20"/>
                <w:szCs w:val="20"/>
              </w:rPr>
            </w:pPr>
          </w:p>
        </w:tc>
        <w:tc>
          <w:tcPr>
            <w:tcW w:w="0" w:type="auto"/>
            <w:vAlign w:val="center"/>
            <w:hideMark/>
          </w:tcPr>
          <w:p w14:paraId="3FD42B6C" w14:textId="77777777" w:rsidR="00000000" w:rsidRDefault="00A173A8">
            <w:pPr>
              <w:spacing w:after="100"/>
              <w:rPr>
                <w:rFonts w:eastAsia="Times New Roman"/>
                <w:sz w:val="20"/>
                <w:szCs w:val="20"/>
              </w:rPr>
            </w:pPr>
          </w:p>
        </w:tc>
        <w:tc>
          <w:tcPr>
            <w:tcW w:w="0" w:type="auto"/>
            <w:vAlign w:val="center"/>
            <w:hideMark/>
          </w:tcPr>
          <w:p w14:paraId="49929E68" w14:textId="77777777" w:rsidR="00000000" w:rsidRDefault="00A173A8">
            <w:pPr>
              <w:spacing w:after="100"/>
              <w:rPr>
                <w:rFonts w:eastAsia="Times New Roman"/>
                <w:sz w:val="20"/>
                <w:szCs w:val="20"/>
              </w:rPr>
            </w:pPr>
          </w:p>
        </w:tc>
        <w:tc>
          <w:tcPr>
            <w:tcW w:w="0" w:type="auto"/>
            <w:vAlign w:val="center"/>
            <w:hideMark/>
          </w:tcPr>
          <w:p w14:paraId="18D3E343" w14:textId="77777777" w:rsidR="00000000" w:rsidRDefault="00A173A8">
            <w:pPr>
              <w:spacing w:after="100"/>
              <w:rPr>
                <w:rFonts w:eastAsia="Times New Roman"/>
                <w:sz w:val="20"/>
                <w:szCs w:val="20"/>
              </w:rPr>
            </w:pPr>
          </w:p>
        </w:tc>
        <w:tc>
          <w:tcPr>
            <w:tcW w:w="0" w:type="auto"/>
            <w:vAlign w:val="center"/>
            <w:hideMark/>
          </w:tcPr>
          <w:p w14:paraId="13C22EE6" w14:textId="77777777" w:rsidR="00000000" w:rsidRDefault="00A173A8">
            <w:pPr>
              <w:spacing w:after="100"/>
              <w:rPr>
                <w:rFonts w:eastAsia="Times New Roman"/>
                <w:sz w:val="20"/>
                <w:szCs w:val="20"/>
              </w:rPr>
            </w:pPr>
          </w:p>
        </w:tc>
        <w:tc>
          <w:tcPr>
            <w:tcW w:w="50" w:type="pct"/>
            <w:vAlign w:val="center"/>
            <w:hideMark/>
          </w:tcPr>
          <w:p w14:paraId="1B8DF1D1" w14:textId="77777777" w:rsidR="00000000" w:rsidRDefault="00A173A8">
            <w:pPr>
              <w:spacing w:after="100"/>
              <w:rPr>
                <w:rFonts w:eastAsia="Times New Roman"/>
                <w:sz w:val="20"/>
                <w:szCs w:val="20"/>
              </w:rPr>
            </w:pPr>
          </w:p>
        </w:tc>
        <w:tc>
          <w:tcPr>
            <w:tcW w:w="354" w:type="pct"/>
            <w:vAlign w:val="center"/>
            <w:hideMark/>
          </w:tcPr>
          <w:p w14:paraId="2F82A49C" w14:textId="77777777" w:rsidR="00000000" w:rsidRDefault="00A173A8">
            <w:pPr>
              <w:spacing w:after="100"/>
              <w:rPr>
                <w:rFonts w:eastAsia="Times New Roman"/>
                <w:sz w:val="20"/>
                <w:szCs w:val="20"/>
              </w:rPr>
            </w:pPr>
          </w:p>
        </w:tc>
        <w:tc>
          <w:tcPr>
            <w:tcW w:w="5" w:type="pct"/>
            <w:vAlign w:val="center"/>
            <w:hideMark/>
          </w:tcPr>
          <w:p w14:paraId="41F1CBAA" w14:textId="77777777" w:rsidR="00000000" w:rsidRDefault="00A173A8">
            <w:pPr>
              <w:spacing w:after="100"/>
              <w:rPr>
                <w:rFonts w:eastAsia="Times New Roman"/>
                <w:sz w:val="20"/>
                <w:szCs w:val="20"/>
              </w:rPr>
            </w:pPr>
          </w:p>
        </w:tc>
        <w:tc>
          <w:tcPr>
            <w:tcW w:w="0" w:type="auto"/>
            <w:vAlign w:val="center"/>
            <w:hideMark/>
          </w:tcPr>
          <w:p w14:paraId="741F0E2C" w14:textId="77777777" w:rsidR="00000000" w:rsidRDefault="00A173A8">
            <w:pPr>
              <w:spacing w:after="100"/>
              <w:rPr>
                <w:rFonts w:eastAsia="Times New Roman"/>
                <w:sz w:val="20"/>
                <w:szCs w:val="20"/>
              </w:rPr>
            </w:pPr>
          </w:p>
        </w:tc>
        <w:tc>
          <w:tcPr>
            <w:tcW w:w="0" w:type="auto"/>
            <w:vAlign w:val="center"/>
            <w:hideMark/>
          </w:tcPr>
          <w:p w14:paraId="666FB0E2" w14:textId="77777777" w:rsidR="00000000" w:rsidRDefault="00A173A8">
            <w:pPr>
              <w:spacing w:after="100"/>
              <w:rPr>
                <w:rFonts w:eastAsia="Times New Roman"/>
                <w:sz w:val="20"/>
                <w:szCs w:val="20"/>
              </w:rPr>
            </w:pPr>
          </w:p>
        </w:tc>
      </w:tr>
      <w:tr w:rsidR="00000000" w14:paraId="0A1848D7" w14:textId="77777777">
        <w:trPr>
          <w:divId w:val="3207917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1ED78480" w14:textId="77777777" w:rsidR="00000000" w:rsidRDefault="00A173A8">
            <w:pPr>
              <w:spacing w:after="100"/>
              <w:rPr>
                <w:rFonts w:eastAsia="Times New Roman"/>
              </w:rPr>
            </w:pPr>
            <w:r>
              <w:rPr>
                <w:rFonts w:eastAsia="Times New Roman"/>
                <w:b/>
                <w:bCs/>
                <w:color w:val="000000"/>
                <w:sz w:val="20"/>
                <w:szCs w:val="20"/>
              </w:rPr>
              <w:t>SELECTED FINANCIAL DATA</w:t>
            </w:r>
          </w:p>
        </w:tc>
        <w:tc>
          <w:tcPr>
            <w:tcW w:w="0" w:type="auto"/>
            <w:vAlign w:val="center"/>
            <w:hideMark/>
          </w:tcPr>
          <w:p w14:paraId="4D02D3BA" w14:textId="77777777" w:rsidR="00000000" w:rsidRDefault="00A173A8">
            <w:pPr>
              <w:spacing w:after="100"/>
              <w:rPr>
                <w:rFonts w:eastAsia="Times New Roman"/>
              </w:rPr>
            </w:pPr>
          </w:p>
        </w:tc>
        <w:tc>
          <w:tcPr>
            <w:tcW w:w="0" w:type="auto"/>
            <w:vAlign w:val="center"/>
            <w:hideMark/>
          </w:tcPr>
          <w:p w14:paraId="00816D60" w14:textId="77777777" w:rsidR="00000000" w:rsidRDefault="00A173A8">
            <w:pPr>
              <w:spacing w:after="100"/>
              <w:rPr>
                <w:rFonts w:eastAsia="Times New Roman"/>
                <w:sz w:val="20"/>
                <w:szCs w:val="20"/>
              </w:rPr>
            </w:pPr>
          </w:p>
        </w:tc>
        <w:tc>
          <w:tcPr>
            <w:tcW w:w="0" w:type="auto"/>
            <w:vAlign w:val="center"/>
            <w:hideMark/>
          </w:tcPr>
          <w:p w14:paraId="004DB772" w14:textId="77777777" w:rsidR="00000000" w:rsidRDefault="00A173A8">
            <w:pPr>
              <w:spacing w:after="100"/>
              <w:rPr>
                <w:rFonts w:eastAsia="Times New Roman"/>
                <w:sz w:val="20"/>
                <w:szCs w:val="20"/>
              </w:rPr>
            </w:pPr>
          </w:p>
        </w:tc>
        <w:tc>
          <w:tcPr>
            <w:tcW w:w="0" w:type="auto"/>
            <w:vAlign w:val="center"/>
            <w:hideMark/>
          </w:tcPr>
          <w:p w14:paraId="40835367" w14:textId="77777777" w:rsidR="00000000" w:rsidRDefault="00A173A8">
            <w:pPr>
              <w:spacing w:after="100"/>
              <w:rPr>
                <w:rFonts w:eastAsia="Times New Roman"/>
                <w:sz w:val="20"/>
                <w:szCs w:val="20"/>
              </w:rPr>
            </w:pPr>
          </w:p>
        </w:tc>
        <w:tc>
          <w:tcPr>
            <w:tcW w:w="0" w:type="auto"/>
            <w:vAlign w:val="center"/>
            <w:hideMark/>
          </w:tcPr>
          <w:p w14:paraId="0923643C" w14:textId="77777777" w:rsidR="00000000" w:rsidRDefault="00A173A8">
            <w:pPr>
              <w:spacing w:after="100"/>
              <w:rPr>
                <w:rFonts w:eastAsia="Times New Roman"/>
                <w:sz w:val="20"/>
                <w:szCs w:val="20"/>
              </w:rPr>
            </w:pPr>
          </w:p>
        </w:tc>
        <w:tc>
          <w:tcPr>
            <w:tcW w:w="0" w:type="auto"/>
            <w:vAlign w:val="center"/>
            <w:hideMark/>
          </w:tcPr>
          <w:p w14:paraId="2DC8F64A" w14:textId="77777777" w:rsidR="00000000" w:rsidRDefault="00A173A8">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119D39F8" w14:textId="77777777" w:rsidR="00000000" w:rsidRDefault="00A173A8">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57C5A4B3" w14:textId="77777777" w:rsidR="00000000" w:rsidRDefault="00A173A8">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544C5D6A" w14:textId="77777777" w:rsidR="00000000" w:rsidRDefault="00A173A8">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10A8850D" w14:textId="77777777" w:rsidR="00000000" w:rsidRDefault="00A173A8">
            <w:pPr>
              <w:spacing w:after="100"/>
              <w:rPr>
                <w:rFonts w:eastAsia="Times New Roman"/>
                <w:sz w:val="20"/>
                <w:szCs w:val="20"/>
              </w:rPr>
            </w:pPr>
          </w:p>
        </w:tc>
        <w:tc>
          <w:tcPr>
            <w:tcW w:w="0" w:type="auto"/>
            <w:vAlign w:val="center"/>
            <w:hideMark/>
          </w:tcPr>
          <w:p w14:paraId="2C04F986" w14:textId="77777777" w:rsidR="00000000" w:rsidRDefault="00A173A8">
            <w:pPr>
              <w:spacing w:after="100"/>
              <w:rPr>
                <w:rFonts w:eastAsia="Times New Roman"/>
                <w:sz w:val="20"/>
                <w:szCs w:val="20"/>
              </w:rPr>
            </w:pPr>
          </w:p>
        </w:tc>
        <w:tc>
          <w:tcPr>
            <w:tcW w:w="0" w:type="auto"/>
            <w:vAlign w:val="center"/>
            <w:hideMark/>
          </w:tcPr>
          <w:p w14:paraId="55E54D30" w14:textId="77777777" w:rsidR="00000000" w:rsidRDefault="00A173A8">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58CF1D87" w14:textId="77777777" w:rsidR="00000000" w:rsidRDefault="00A173A8">
            <w:pPr>
              <w:spacing w:after="100"/>
              <w:rPr>
                <w:rFonts w:eastAsia="Times New Roman"/>
                <w:sz w:val="20"/>
                <w:szCs w:val="20"/>
              </w:rPr>
            </w:pPr>
          </w:p>
        </w:tc>
        <w:tc>
          <w:tcPr>
            <w:tcW w:w="0" w:type="auto"/>
            <w:vAlign w:val="center"/>
            <w:hideMark/>
          </w:tcPr>
          <w:p w14:paraId="1CAC9DE2" w14:textId="77777777" w:rsidR="00000000" w:rsidRDefault="00A173A8">
            <w:pPr>
              <w:spacing w:after="100"/>
              <w:rPr>
                <w:rFonts w:eastAsia="Times New Roman"/>
                <w:sz w:val="20"/>
                <w:szCs w:val="20"/>
              </w:rPr>
            </w:pPr>
          </w:p>
        </w:tc>
        <w:tc>
          <w:tcPr>
            <w:tcW w:w="0" w:type="auto"/>
            <w:vAlign w:val="center"/>
            <w:hideMark/>
          </w:tcPr>
          <w:p w14:paraId="2531B8C6" w14:textId="77777777" w:rsidR="00000000" w:rsidRDefault="00A173A8">
            <w:pPr>
              <w:spacing w:after="100"/>
              <w:rPr>
                <w:rFonts w:eastAsia="Times New Roman"/>
                <w:sz w:val="20"/>
                <w:szCs w:val="20"/>
              </w:rPr>
            </w:pPr>
          </w:p>
        </w:tc>
        <w:tc>
          <w:tcPr>
            <w:tcW w:w="0" w:type="auto"/>
            <w:vAlign w:val="center"/>
            <w:hideMark/>
          </w:tcPr>
          <w:p w14:paraId="7F8A5D51" w14:textId="77777777" w:rsidR="00000000" w:rsidRDefault="00A173A8">
            <w:pPr>
              <w:spacing w:after="100"/>
              <w:rPr>
                <w:rFonts w:eastAsia="Times New Roman"/>
                <w:sz w:val="20"/>
                <w:szCs w:val="20"/>
              </w:rPr>
            </w:pPr>
          </w:p>
        </w:tc>
        <w:tc>
          <w:tcPr>
            <w:tcW w:w="0" w:type="auto"/>
            <w:vAlign w:val="center"/>
            <w:hideMark/>
          </w:tcPr>
          <w:p w14:paraId="7A2AE103" w14:textId="77777777" w:rsidR="00000000" w:rsidRDefault="00A173A8">
            <w:pPr>
              <w:spacing w:after="100"/>
              <w:rPr>
                <w:rFonts w:eastAsia="Times New Roman"/>
                <w:sz w:val="20"/>
                <w:szCs w:val="20"/>
              </w:rPr>
            </w:pPr>
          </w:p>
        </w:tc>
        <w:tc>
          <w:tcPr>
            <w:tcW w:w="0" w:type="auto"/>
            <w:gridSpan w:val="3"/>
            <w:tcBorders>
              <w:top w:val="single" w:sz="18" w:space="0" w:color="000000"/>
              <w:bottom w:val="single" w:sz="18" w:space="0" w:color="000000"/>
            </w:tcBorders>
            <w:tcMar>
              <w:top w:w="0" w:type="dxa"/>
              <w:left w:w="20" w:type="dxa"/>
              <w:bottom w:w="0" w:type="dxa"/>
              <w:right w:w="20" w:type="dxa"/>
            </w:tcMar>
            <w:vAlign w:val="center"/>
            <w:hideMark/>
          </w:tcPr>
          <w:p w14:paraId="5A072234" w14:textId="77777777" w:rsidR="00000000" w:rsidRDefault="00A173A8">
            <w:pPr>
              <w:spacing w:after="100"/>
              <w:rPr>
                <w:rFonts w:eastAsia="Times New Roman"/>
                <w:sz w:val="20"/>
                <w:szCs w:val="20"/>
              </w:rPr>
            </w:pPr>
          </w:p>
        </w:tc>
        <w:tc>
          <w:tcPr>
            <w:tcW w:w="0" w:type="auto"/>
            <w:vAlign w:val="center"/>
            <w:hideMark/>
          </w:tcPr>
          <w:p w14:paraId="5EB8174E" w14:textId="77777777" w:rsidR="00000000" w:rsidRDefault="00A173A8">
            <w:pPr>
              <w:spacing w:after="100"/>
              <w:rPr>
                <w:rFonts w:eastAsia="Times New Roman"/>
                <w:sz w:val="20"/>
                <w:szCs w:val="20"/>
              </w:rPr>
            </w:pPr>
          </w:p>
        </w:tc>
        <w:tc>
          <w:tcPr>
            <w:tcW w:w="0" w:type="auto"/>
            <w:vAlign w:val="center"/>
            <w:hideMark/>
          </w:tcPr>
          <w:p w14:paraId="5762F32F" w14:textId="77777777" w:rsidR="00000000" w:rsidRDefault="00A173A8">
            <w:pPr>
              <w:spacing w:after="100"/>
              <w:rPr>
                <w:rFonts w:eastAsia="Times New Roman"/>
                <w:sz w:val="20"/>
                <w:szCs w:val="20"/>
              </w:rPr>
            </w:pPr>
          </w:p>
        </w:tc>
      </w:tr>
    </w:tbl>
    <w:p w14:paraId="60AF0FC2" w14:textId="77777777" w:rsidR="00000000" w:rsidRDefault="00A173A8">
      <w:pPr>
        <w:jc w:val="both"/>
        <w:divId w:val="1503659431"/>
        <w:rPr>
          <w:rFonts w:eastAsia="Times New Roman"/>
        </w:rPr>
      </w:pPr>
      <w:r>
        <w:rPr>
          <w:rFonts w:eastAsia="Times New Roman"/>
          <w:color w:val="000000"/>
          <w:sz w:val="20"/>
          <w:szCs w:val="20"/>
        </w:rPr>
        <w:t>The following table presents selected consolidated financial data and performance from our results of operations for the second quarter and first six months of 2022 and 2021 and selected comparative balance sheet data as of June 30, 2022 and December 31, 2</w:t>
      </w:r>
      <w:r>
        <w:rPr>
          <w:rFonts w:eastAsia="Times New Roman"/>
          <w:color w:val="000000"/>
          <w:sz w:val="20"/>
          <w:szCs w:val="20"/>
        </w:rPr>
        <w:t>021. We also provide selected key metrics we use in evaluating our performance, including certain metrics that are computed using non-GAAP measures. We consider these metrics to be key financial measures that management uses in assessing our operating perf</w:t>
      </w:r>
      <w:r>
        <w:rPr>
          <w:rFonts w:eastAsia="Times New Roman"/>
          <w:color w:val="000000"/>
          <w:sz w:val="20"/>
          <w:szCs w:val="20"/>
        </w:rPr>
        <w:t>ormance, capital adequacy and the level of returns generated. We believe these non-GAAP metrics provide useful insight to investors and users of our financial information as they provide an alternate measurement of our performance and assist in assessing o</w:t>
      </w:r>
      <w:r>
        <w:rPr>
          <w:rFonts w:eastAsia="Times New Roman"/>
          <w:color w:val="000000"/>
          <w:sz w:val="20"/>
          <w:szCs w:val="20"/>
        </w:rPr>
        <w:t>ur capital adequacy and the level of return generated.</w:t>
      </w:r>
    </w:p>
    <w:p w14:paraId="36FC7366" w14:textId="77777777" w:rsidR="00000000" w:rsidRDefault="00A173A8">
      <w:pPr>
        <w:divId w:val="1340932900"/>
        <w:rPr>
          <w:rFonts w:eastAsia="Times New Roman"/>
        </w:rPr>
      </w:pPr>
      <w:r>
        <w:rPr>
          <w:rFonts w:eastAsia="Times New Roman"/>
          <w:b/>
          <w:bCs/>
          <w:color w:val="000000"/>
          <w:sz w:val="18"/>
          <w:szCs w:val="18"/>
        </w:rPr>
        <w:t xml:space="preserve">Table 1: </w:t>
      </w:r>
      <w:r>
        <w:rPr>
          <w:rFonts w:eastAsia="Times New Roman"/>
          <w:b/>
          <w:bCs/>
          <w:color w:val="000000"/>
          <w:sz w:val="20"/>
          <w:szCs w:val="20"/>
        </w:rPr>
        <w:t>Consolidated Financial Highlights</w:t>
      </w:r>
    </w:p>
    <w:tbl>
      <w:tblPr>
        <w:tblW w:w="4948" w:type="pct"/>
        <w:tblCellMar>
          <w:top w:w="15" w:type="dxa"/>
          <w:left w:w="15" w:type="dxa"/>
          <w:bottom w:w="15" w:type="dxa"/>
          <w:right w:w="15" w:type="dxa"/>
        </w:tblCellMar>
        <w:tblLook w:val="04A0" w:firstRow="1" w:lastRow="0" w:firstColumn="1" w:lastColumn="0" w:noHBand="0" w:noVBand="1"/>
      </w:tblPr>
      <w:tblGrid>
        <w:gridCol w:w="39"/>
        <w:gridCol w:w="1700"/>
        <w:gridCol w:w="38"/>
        <w:gridCol w:w="36"/>
        <w:gridCol w:w="36"/>
        <w:gridCol w:w="36"/>
        <w:gridCol w:w="121"/>
        <w:gridCol w:w="584"/>
        <w:gridCol w:w="37"/>
        <w:gridCol w:w="36"/>
        <w:gridCol w:w="36"/>
        <w:gridCol w:w="36"/>
        <w:gridCol w:w="122"/>
        <w:gridCol w:w="661"/>
        <w:gridCol w:w="38"/>
        <w:gridCol w:w="36"/>
        <w:gridCol w:w="36"/>
        <w:gridCol w:w="36"/>
        <w:gridCol w:w="71"/>
        <w:gridCol w:w="618"/>
        <w:gridCol w:w="36"/>
        <w:gridCol w:w="36"/>
        <w:gridCol w:w="36"/>
        <w:gridCol w:w="36"/>
        <w:gridCol w:w="121"/>
        <w:gridCol w:w="683"/>
        <w:gridCol w:w="37"/>
        <w:gridCol w:w="36"/>
        <w:gridCol w:w="36"/>
        <w:gridCol w:w="36"/>
        <w:gridCol w:w="121"/>
        <w:gridCol w:w="683"/>
        <w:gridCol w:w="37"/>
        <w:gridCol w:w="280"/>
        <w:gridCol w:w="280"/>
        <w:gridCol w:w="36"/>
        <w:gridCol w:w="36"/>
        <w:gridCol w:w="36"/>
        <w:gridCol w:w="36"/>
        <w:gridCol w:w="36"/>
        <w:gridCol w:w="36"/>
        <w:gridCol w:w="36"/>
        <w:gridCol w:w="36"/>
        <w:gridCol w:w="36"/>
        <w:gridCol w:w="36"/>
        <w:gridCol w:w="36"/>
        <w:gridCol w:w="36"/>
        <w:gridCol w:w="36"/>
        <w:gridCol w:w="71"/>
        <w:gridCol w:w="618"/>
        <w:gridCol w:w="36"/>
        <w:gridCol w:w="36"/>
        <w:gridCol w:w="36"/>
        <w:gridCol w:w="36"/>
        <w:gridCol w:w="36"/>
        <w:gridCol w:w="36"/>
      </w:tblGrid>
      <w:tr w:rsidR="00000000" w14:paraId="61C18112" w14:textId="77777777">
        <w:trPr>
          <w:divId w:val="261111824"/>
        </w:trPr>
        <w:tc>
          <w:tcPr>
            <w:tcW w:w="50" w:type="pct"/>
            <w:vAlign w:val="center"/>
            <w:hideMark/>
          </w:tcPr>
          <w:p w14:paraId="0DE3D571" w14:textId="77777777" w:rsidR="00000000" w:rsidRDefault="00A173A8">
            <w:pPr>
              <w:rPr>
                <w:rFonts w:eastAsia="Times New Roman"/>
              </w:rPr>
            </w:pPr>
          </w:p>
        </w:tc>
        <w:tc>
          <w:tcPr>
            <w:tcW w:w="1769" w:type="pct"/>
            <w:vAlign w:val="center"/>
            <w:hideMark/>
          </w:tcPr>
          <w:p w14:paraId="78800B2B" w14:textId="77777777" w:rsidR="00000000" w:rsidRDefault="00A173A8">
            <w:pPr>
              <w:spacing w:after="100"/>
              <w:rPr>
                <w:rFonts w:eastAsia="Times New Roman"/>
                <w:sz w:val="20"/>
                <w:szCs w:val="20"/>
              </w:rPr>
            </w:pPr>
          </w:p>
        </w:tc>
        <w:tc>
          <w:tcPr>
            <w:tcW w:w="5" w:type="pct"/>
            <w:vAlign w:val="center"/>
            <w:hideMark/>
          </w:tcPr>
          <w:p w14:paraId="63395686" w14:textId="77777777" w:rsidR="00000000" w:rsidRDefault="00A173A8">
            <w:pPr>
              <w:spacing w:after="100"/>
              <w:rPr>
                <w:rFonts w:eastAsia="Times New Roman"/>
                <w:sz w:val="20"/>
                <w:szCs w:val="20"/>
              </w:rPr>
            </w:pPr>
          </w:p>
        </w:tc>
        <w:tc>
          <w:tcPr>
            <w:tcW w:w="5" w:type="pct"/>
            <w:vAlign w:val="center"/>
            <w:hideMark/>
          </w:tcPr>
          <w:p w14:paraId="29B92DB8" w14:textId="77777777" w:rsidR="00000000" w:rsidRDefault="00A173A8">
            <w:pPr>
              <w:spacing w:after="100"/>
              <w:rPr>
                <w:rFonts w:eastAsia="Times New Roman"/>
                <w:sz w:val="20"/>
                <w:szCs w:val="20"/>
              </w:rPr>
            </w:pPr>
          </w:p>
        </w:tc>
        <w:tc>
          <w:tcPr>
            <w:tcW w:w="19" w:type="pct"/>
            <w:vAlign w:val="center"/>
            <w:hideMark/>
          </w:tcPr>
          <w:p w14:paraId="401BB9EB" w14:textId="77777777" w:rsidR="00000000" w:rsidRDefault="00A173A8">
            <w:pPr>
              <w:spacing w:after="100"/>
              <w:rPr>
                <w:rFonts w:eastAsia="Times New Roman"/>
                <w:sz w:val="20"/>
                <w:szCs w:val="20"/>
              </w:rPr>
            </w:pPr>
          </w:p>
        </w:tc>
        <w:tc>
          <w:tcPr>
            <w:tcW w:w="5" w:type="pct"/>
            <w:vAlign w:val="center"/>
            <w:hideMark/>
          </w:tcPr>
          <w:p w14:paraId="02B8508E" w14:textId="77777777" w:rsidR="00000000" w:rsidRDefault="00A173A8">
            <w:pPr>
              <w:spacing w:after="100"/>
              <w:rPr>
                <w:rFonts w:eastAsia="Times New Roman"/>
                <w:sz w:val="20"/>
                <w:szCs w:val="20"/>
              </w:rPr>
            </w:pPr>
          </w:p>
        </w:tc>
        <w:tc>
          <w:tcPr>
            <w:tcW w:w="50" w:type="pct"/>
            <w:vAlign w:val="center"/>
            <w:hideMark/>
          </w:tcPr>
          <w:p w14:paraId="73F70570" w14:textId="77777777" w:rsidR="00000000" w:rsidRDefault="00A173A8">
            <w:pPr>
              <w:spacing w:after="100"/>
              <w:rPr>
                <w:rFonts w:eastAsia="Times New Roman"/>
                <w:sz w:val="20"/>
                <w:szCs w:val="20"/>
              </w:rPr>
            </w:pPr>
          </w:p>
        </w:tc>
        <w:tc>
          <w:tcPr>
            <w:tcW w:w="439" w:type="pct"/>
            <w:vAlign w:val="center"/>
            <w:hideMark/>
          </w:tcPr>
          <w:p w14:paraId="6698A02F" w14:textId="77777777" w:rsidR="00000000" w:rsidRDefault="00A173A8">
            <w:pPr>
              <w:spacing w:after="100"/>
              <w:rPr>
                <w:rFonts w:eastAsia="Times New Roman"/>
                <w:sz w:val="20"/>
                <w:szCs w:val="20"/>
              </w:rPr>
            </w:pPr>
          </w:p>
        </w:tc>
        <w:tc>
          <w:tcPr>
            <w:tcW w:w="5" w:type="pct"/>
            <w:vAlign w:val="center"/>
            <w:hideMark/>
          </w:tcPr>
          <w:p w14:paraId="08461DA5" w14:textId="77777777" w:rsidR="00000000" w:rsidRDefault="00A173A8">
            <w:pPr>
              <w:spacing w:after="100"/>
              <w:rPr>
                <w:rFonts w:eastAsia="Times New Roman"/>
                <w:sz w:val="20"/>
                <w:szCs w:val="20"/>
              </w:rPr>
            </w:pPr>
          </w:p>
        </w:tc>
        <w:tc>
          <w:tcPr>
            <w:tcW w:w="5" w:type="pct"/>
            <w:vAlign w:val="center"/>
            <w:hideMark/>
          </w:tcPr>
          <w:p w14:paraId="04EBEC02" w14:textId="77777777" w:rsidR="00000000" w:rsidRDefault="00A173A8">
            <w:pPr>
              <w:spacing w:after="100"/>
              <w:rPr>
                <w:rFonts w:eastAsia="Times New Roman"/>
                <w:sz w:val="20"/>
                <w:szCs w:val="20"/>
              </w:rPr>
            </w:pPr>
          </w:p>
        </w:tc>
        <w:tc>
          <w:tcPr>
            <w:tcW w:w="26" w:type="pct"/>
            <w:vAlign w:val="center"/>
            <w:hideMark/>
          </w:tcPr>
          <w:p w14:paraId="69C9AA84" w14:textId="77777777" w:rsidR="00000000" w:rsidRDefault="00A173A8">
            <w:pPr>
              <w:spacing w:after="100"/>
              <w:rPr>
                <w:rFonts w:eastAsia="Times New Roman"/>
                <w:sz w:val="20"/>
                <w:szCs w:val="20"/>
              </w:rPr>
            </w:pPr>
          </w:p>
        </w:tc>
        <w:tc>
          <w:tcPr>
            <w:tcW w:w="5" w:type="pct"/>
            <w:vAlign w:val="center"/>
            <w:hideMark/>
          </w:tcPr>
          <w:p w14:paraId="789F8715" w14:textId="77777777" w:rsidR="00000000" w:rsidRDefault="00A173A8">
            <w:pPr>
              <w:spacing w:after="100"/>
              <w:rPr>
                <w:rFonts w:eastAsia="Times New Roman"/>
                <w:sz w:val="20"/>
                <w:szCs w:val="20"/>
              </w:rPr>
            </w:pPr>
          </w:p>
        </w:tc>
        <w:tc>
          <w:tcPr>
            <w:tcW w:w="50" w:type="pct"/>
            <w:vAlign w:val="center"/>
            <w:hideMark/>
          </w:tcPr>
          <w:p w14:paraId="1B0E1782" w14:textId="77777777" w:rsidR="00000000" w:rsidRDefault="00A173A8">
            <w:pPr>
              <w:spacing w:after="100"/>
              <w:rPr>
                <w:rFonts w:eastAsia="Times New Roman"/>
                <w:sz w:val="20"/>
                <w:szCs w:val="20"/>
              </w:rPr>
            </w:pPr>
          </w:p>
        </w:tc>
        <w:tc>
          <w:tcPr>
            <w:tcW w:w="439" w:type="pct"/>
            <w:vAlign w:val="center"/>
            <w:hideMark/>
          </w:tcPr>
          <w:p w14:paraId="06A898D7" w14:textId="77777777" w:rsidR="00000000" w:rsidRDefault="00A173A8">
            <w:pPr>
              <w:spacing w:after="100"/>
              <w:rPr>
                <w:rFonts w:eastAsia="Times New Roman"/>
                <w:sz w:val="20"/>
                <w:szCs w:val="20"/>
              </w:rPr>
            </w:pPr>
          </w:p>
        </w:tc>
        <w:tc>
          <w:tcPr>
            <w:tcW w:w="5" w:type="pct"/>
            <w:vAlign w:val="center"/>
            <w:hideMark/>
          </w:tcPr>
          <w:p w14:paraId="0CFC35F1" w14:textId="77777777" w:rsidR="00000000" w:rsidRDefault="00A173A8">
            <w:pPr>
              <w:spacing w:after="100"/>
              <w:rPr>
                <w:rFonts w:eastAsia="Times New Roman"/>
                <w:sz w:val="20"/>
                <w:szCs w:val="20"/>
              </w:rPr>
            </w:pPr>
          </w:p>
        </w:tc>
        <w:tc>
          <w:tcPr>
            <w:tcW w:w="5" w:type="pct"/>
            <w:vAlign w:val="center"/>
            <w:hideMark/>
          </w:tcPr>
          <w:p w14:paraId="42AE1D1E" w14:textId="77777777" w:rsidR="00000000" w:rsidRDefault="00A173A8">
            <w:pPr>
              <w:spacing w:after="100"/>
              <w:rPr>
                <w:rFonts w:eastAsia="Times New Roman"/>
                <w:sz w:val="20"/>
                <w:szCs w:val="20"/>
              </w:rPr>
            </w:pPr>
          </w:p>
        </w:tc>
        <w:tc>
          <w:tcPr>
            <w:tcW w:w="26" w:type="pct"/>
            <w:vAlign w:val="center"/>
            <w:hideMark/>
          </w:tcPr>
          <w:p w14:paraId="2C9FD513" w14:textId="77777777" w:rsidR="00000000" w:rsidRDefault="00A173A8">
            <w:pPr>
              <w:spacing w:after="100"/>
              <w:rPr>
                <w:rFonts w:eastAsia="Times New Roman"/>
                <w:sz w:val="20"/>
                <w:szCs w:val="20"/>
              </w:rPr>
            </w:pPr>
          </w:p>
        </w:tc>
        <w:tc>
          <w:tcPr>
            <w:tcW w:w="5" w:type="pct"/>
            <w:vAlign w:val="center"/>
            <w:hideMark/>
          </w:tcPr>
          <w:p w14:paraId="0ABE1731" w14:textId="77777777" w:rsidR="00000000" w:rsidRDefault="00A173A8">
            <w:pPr>
              <w:spacing w:after="100"/>
              <w:rPr>
                <w:rFonts w:eastAsia="Times New Roman"/>
                <w:sz w:val="20"/>
                <w:szCs w:val="20"/>
              </w:rPr>
            </w:pPr>
          </w:p>
        </w:tc>
        <w:tc>
          <w:tcPr>
            <w:tcW w:w="50" w:type="pct"/>
            <w:vAlign w:val="center"/>
            <w:hideMark/>
          </w:tcPr>
          <w:p w14:paraId="398C6BBF" w14:textId="77777777" w:rsidR="00000000" w:rsidRDefault="00A173A8">
            <w:pPr>
              <w:spacing w:after="100"/>
              <w:rPr>
                <w:rFonts w:eastAsia="Times New Roman"/>
                <w:sz w:val="20"/>
                <w:szCs w:val="20"/>
              </w:rPr>
            </w:pPr>
          </w:p>
        </w:tc>
        <w:tc>
          <w:tcPr>
            <w:tcW w:w="439" w:type="pct"/>
            <w:vAlign w:val="center"/>
            <w:hideMark/>
          </w:tcPr>
          <w:p w14:paraId="5B0E5A06" w14:textId="77777777" w:rsidR="00000000" w:rsidRDefault="00A173A8">
            <w:pPr>
              <w:spacing w:after="100"/>
              <w:rPr>
                <w:rFonts w:eastAsia="Times New Roman"/>
                <w:sz w:val="20"/>
                <w:szCs w:val="20"/>
              </w:rPr>
            </w:pPr>
          </w:p>
        </w:tc>
        <w:tc>
          <w:tcPr>
            <w:tcW w:w="5" w:type="pct"/>
            <w:vAlign w:val="center"/>
            <w:hideMark/>
          </w:tcPr>
          <w:p w14:paraId="50A077A3" w14:textId="77777777" w:rsidR="00000000" w:rsidRDefault="00A173A8">
            <w:pPr>
              <w:spacing w:after="100"/>
              <w:rPr>
                <w:rFonts w:eastAsia="Times New Roman"/>
                <w:sz w:val="20"/>
                <w:szCs w:val="20"/>
              </w:rPr>
            </w:pPr>
          </w:p>
        </w:tc>
        <w:tc>
          <w:tcPr>
            <w:tcW w:w="5" w:type="pct"/>
            <w:vAlign w:val="center"/>
            <w:hideMark/>
          </w:tcPr>
          <w:p w14:paraId="371A91CA" w14:textId="77777777" w:rsidR="00000000" w:rsidRDefault="00A173A8">
            <w:pPr>
              <w:spacing w:after="100"/>
              <w:rPr>
                <w:rFonts w:eastAsia="Times New Roman"/>
                <w:sz w:val="20"/>
                <w:szCs w:val="20"/>
              </w:rPr>
            </w:pPr>
          </w:p>
        </w:tc>
        <w:tc>
          <w:tcPr>
            <w:tcW w:w="26" w:type="pct"/>
            <w:vAlign w:val="center"/>
            <w:hideMark/>
          </w:tcPr>
          <w:p w14:paraId="1157C99A" w14:textId="77777777" w:rsidR="00000000" w:rsidRDefault="00A173A8">
            <w:pPr>
              <w:spacing w:after="100"/>
              <w:rPr>
                <w:rFonts w:eastAsia="Times New Roman"/>
                <w:sz w:val="20"/>
                <w:szCs w:val="20"/>
              </w:rPr>
            </w:pPr>
          </w:p>
        </w:tc>
        <w:tc>
          <w:tcPr>
            <w:tcW w:w="5" w:type="pct"/>
            <w:vAlign w:val="center"/>
            <w:hideMark/>
          </w:tcPr>
          <w:p w14:paraId="6FDDDCE7" w14:textId="77777777" w:rsidR="00000000" w:rsidRDefault="00A173A8">
            <w:pPr>
              <w:spacing w:after="100"/>
              <w:rPr>
                <w:rFonts w:eastAsia="Times New Roman"/>
                <w:sz w:val="20"/>
                <w:szCs w:val="20"/>
              </w:rPr>
            </w:pPr>
          </w:p>
        </w:tc>
        <w:tc>
          <w:tcPr>
            <w:tcW w:w="50" w:type="pct"/>
            <w:vAlign w:val="center"/>
            <w:hideMark/>
          </w:tcPr>
          <w:p w14:paraId="2D708075" w14:textId="77777777" w:rsidR="00000000" w:rsidRDefault="00A173A8">
            <w:pPr>
              <w:spacing w:after="100"/>
              <w:rPr>
                <w:rFonts w:eastAsia="Times New Roman"/>
                <w:sz w:val="20"/>
                <w:szCs w:val="20"/>
              </w:rPr>
            </w:pPr>
          </w:p>
        </w:tc>
        <w:tc>
          <w:tcPr>
            <w:tcW w:w="439" w:type="pct"/>
            <w:vAlign w:val="center"/>
            <w:hideMark/>
          </w:tcPr>
          <w:p w14:paraId="4FFCC9C4" w14:textId="77777777" w:rsidR="00000000" w:rsidRDefault="00A173A8">
            <w:pPr>
              <w:spacing w:after="100"/>
              <w:rPr>
                <w:rFonts w:eastAsia="Times New Roman"/>
                <w:sz w:val="20"/>
                <w:szCs w:val="20"/>
              </w:rPr>
            </w:pPr>
          </w:p>
        </w:tc>
        <w:tc>
          <w:tcPr>
            <w:tcW w:w="5" w:type="pct"/>
            <w:vAlign w:val="center"/>
            <w:hideMark/>
          </w:tcPr>
          <w:p w14:paraId="2FD54610" w14:textId="77777777" w:rsidR="00000000" w:rsidRDefault="00A173A8">
            <w:pPr>
              <w:spacing w:after="100"/>
              <w:rPr>
                <w:rFonts w:eastAsia="Times New Roman"/>
                <w:sz w:val="20"/>
                <w:szCs w:val="20"/>
              </w:rPr>
            </w:pPr>
          </w:p>
        </w:tc>
        <w:tc>
          <w:tcPr>
            <w:tcW w:w="5" w:type="pct"/>
            <w:vAlign w:val="center"/>
            <w:hideMark/>
          </w:tcPr>
          <w:p w14:paraId="23ED8FD5" w14:textId="77777777" w:rsidR="00000000" w:rsidRDefault="00A173A8">
            <w:pPr>
              <w:spacing w:after="100"/>
              <w:rPr>
                <w:rFonts w:eastAsia="Times New Roman"/>
                <w:sz w:val="20"/>
                <w:szCs w:val="20"/>
              </w:rPr>
            </w:pPr>
          </w:p>
        </w:tc>
        <w:tc>
          <w:tcPr>
            <w:tcW w:w="26" w:type="pct"/>
            <w:vAlign w:val="center"/>
            <w:hideMark/>
          </w:tcPr>
          <w:p w14:paraId="6BB3A4CF" w14:textId="77777777" w:rsidR="00000000" w:rsidRDefault="00A173A8">
            <w:pPr>
              <w:spacing w:after="100"/>
              <w:rPr>
                <w:rFonts w:eastAsia="Times New Roman"/>
                <w:sz w:val="20"/>
                <w:szCs w:val="20"/>
              </w:rPr>
            </w:pPr>
          </w:p>
        </w:tc>
        <w:tc>
          <w:tcPr>
            <w:tcW w:w="5" w:type="pct"/>
            <w:vAlign w:val="center"/>
            <w:hideMark/>
          </w:tcPr>
          <w:p w14:paraId="65C68F82" w14:textId="77777777" w:rsidR="00000000" w:rsidRDefault="00A173A8">
            <w:pPr>
              <w:spacing w:after="100"/>
              <w:rPr>
                <w:rFonts w:eastAsia="Times New Roman"/>
                <w:sz w:val="20"/>
                <w:szCs w:val="20"/>
              </w:rPr>
            </w:pPr>
          </w:p>
        </w:tc>
        <w:tc>
          <w:tcPr>
            <w:tcW w:w="50" w:type="pct"/>
            <w:vAlign w:val="center"/>
            <w:hideMark/>
          </w:tcPr>
          <w:p w14:paraId="0D7C673D" w14:textId="77777777" w:rsidR="00000000" w:rsidRDefault="00A173A8">
            <w:pPr>
              <w:spacing w:after="100"/>
              <w:rPr>
                <w:rFonts w:eastAsia="Times New Roman"/>
                <w:sz w:val="20"/>
                <w:szCs w:val="20"/>
              </w:rPr>
            </w:pPr>
          </w:p>
        </w:tc>
        <w:tc>
          <w:tcPr>
            <w:tcW w:w="439" w:type="pct"/>
            <w:vAlign w:val="center"/>
            <w:hideMark/>
          </w:tcPr>
          <w:p w14:paraId="7891500C" w14:textId="77777777" w:rsidR="00000000" w:rsidRDefault="00A173A8">
            <w:pPr>
              <w:spacing w:after="100"/>
              <w:rPr>
                <w:rFonts w:eastAsia="Times New Roman"/>
                <w:sz w:val="20"/>
                <w:szCs w:val="20"/>
              </w:rPr>
            </w:pPr>
          </w:p>
        </w:tc>
        <w:tc>
          <w:tcPr>
            <w:tcW w:w="5" w:type="pct"/>
            <w:vAlign w:val="center"/>
            <w:hideMark/>
          </w:tcPr>
          <w:p w14:paraId="79B8C1BC" w14:textId="77777777" w:rsidR="00000000" w:rsidRDefault="00A173A8">
            <w:pPr>
              <w:spacing w:after="100"/>
              <w:rPr>
                <w:rFonts w:eastAsia="Times New Roman"/>
                <w:sz w:val="20"/>
                <w:szCs w:val="20"/>
              </w:rPr>
            </w:pPr>
          </w:p>
        </w:tc>
        <w:tc>
          <w:tcPr>
            <w:tcW w:w="0" w:type="auto"/>
            <w:vAlign w:val="center"/>
            <w:hideMark/>
          </w:tcPr>
          <w:p w14:paraId="3FED405C" w14:textId="77777777" w:rsidR="00000000" w:rsidRDefault="00A173A8">
            <w:pPr>
              <w:spacing w:after="100"/>
              <w:rPr>
                <w:rFonts w:eastAsia="Times New Roman"/>
                <w:sz w:val="20"/>
                <w:szCs w:val="20"/>
              </w:rPr>
            </w:pPr>
          </w:p>
        </w:tc>
        <w:tc>
          <w:tcPr>
            <w:tcW w:w="0" w:type="auto"/>
            <w:vAlign w:val="center"/>
            <w:hideMark/>
          </w:tcPr>
          <w:p w14:paraId="0BCAD507" w14:textId="77777777" w:rsidR="00000000" w:rsidRDefault="00A173A8">
            <w:pPr>
              <w:spacing w:after="100"/>
              <w:rPr>
                <w:rFonts w:eastAsia="Times New Roman"/>
                <w:sz w:val="20"/>
                <w:szCs w:val="20"/>
              </w:rPr>
            </w:pPr>
          </w:p>
        </w:tc>
        <w:tc>
          <w:tcPr>
            <w:tcW w:w="5" w:type="pct"/>
            <w:vAlign w:val="center"/>
            <w:hideMark/>
          </w:tcPr>
          <w:p w14:paraId="7F5B2B94" w14:textId="77777777" w:rsidR="00000000" w:rsidRDefault="00A173A8">
            <w:pPr>
              <w:spacing w:after="100"/>
              <w:rPr>
                <w:rFonts w:eastAsia="Times New Roman"/>
                <w:sz w:val="20"/>
                <w:szCs w:val="20"/>
              </w:rPr>
            </w:pPr>
          </w:p>
        </w:tc>
        <w:tc>
          <w:tcPr>
            <w:tcW w:w="19" w:type="pct"/>
            <w:vAlign w:val="center"/>
            <w:hideMark/>
          </w:tcPr>
          <w:p w14:paraId="67A3DC40" w14:textId="77777777" w:rsidR="00000000" w:rsidRDefault="00A173A8">
            <w:pPr>
              <w:spacing w:after="100"/>
              <w:rPr>
                <w:rFonts w:eastAsia="Times New Roman"/>
                <w:sz w:val="20"/>
                <w:szCs w:val="20"/>
              </w:rPr>
            </w:pPr>
          </w:p>
        </w:tc>
        <w:tc>
          <w:tcPr>
            <w:tcW w:w="5" w:type="pct"/>
            <w:vAlign w:val="center"/>
            <w:hideMark/>
          </w:tcPr>
          <w:p w14:paraId="14457D76" w14:textId="77777777" w:rsidR="00000000" w:rsidRDefault="00A173A8">
            <w:pPr>
              <w:spacing w:after="100"/>
              <w:rPr>
                <w:rFonts w:eastAsia="Times New Roman"/>
                <w:sz w:val="20"/>
                <w:szCs w:val="20"/>
              </w:rPr>
            </w:pPr>
          </w:p>
        </w:tc>
        <w:tc>
          <w:tcPr>
            <w:tcW w:w="0" w:type="auto"/>
            <w:vAlign w:val="center"/>
            <w:hideMark/>
          </w:tcPr>
          <w:p w14:paraId="48EAD529" w14:textId="77777777" w:rsidR="00000000" w:rsidRDefault="00A173A8">
            <w:pPr>
              <w:spacing w:after="100"/>
              <w:rPr>
                <w:rFonts w:eastAsia="Times New Roman"/>
                <w:sz w:val="20"/>
                <w:szCs w:val="20"/>
              </w:rPr>
            </w:pPr>
          </w:p>
        </w:tc>
        <w:tc>
          <w:tcPr>
            <w:tcW w:w="0" w:type="auto"/>
            <w:gridSpan w:val="3"/>
            <w:vAlign w:val="center"/>
            <w:hideMark/>
          </w:tcPr>
          <w:p w14:paraId="74004FB2" w14:textId="77777777" w:rsidR="00000000" w:rsidRDefault="00A173A8">
            <w:pPr>
              <w:spacing w:after="100"/>
              <w:rPr>
                <w:rFonts w:eastAsia="Times New Roman"/>
                <w:sz w:val="20"/>
                <w:szCs w:val="20"/>
              </w:rPr>
            </w:pPr>
          </w:p>
        </w:tc>
        <w:tc>
          <w:tcPr>
            <w:tcW w:w="0" w:type="auto"/>
            <w:gridSpan w:val="3"/>
            <w:vAlign w:val="center"/>
            <w:hideMark/>
          </w:tcPr>
          <w:p w14:paraId="4AFE5CA5" w14:textId="77777777" w:rsidR="00000000" w:rsidRDefault="00A173A8">
            <w:pPr>
              <w:spacing w:after="100"/>
              <w:rPr>
                <w:rFonts w:eastAsia="Times New Roman"/>
                <w:sz w:val="20"/>
                <w:szCs w:val="20"/>
              </w:rPr>
            </w:pPr>
          </w:p>
        </w:tc>
        <w:tc>
          <w:tcPr>
            <w:tcW w:w="0" w:type="auto"/>
            <w:gridSpan w:val="3"/>
            <w:vAlign w:val="center"/>
            <w:hideMark/>
          </w:tcPr>
          <w:p w14:paraId="1B34FEE2" w14:textId="77777777" w:rsidR="00000000" w:rsidRDefault="00A173A8">
            <w:pPr>
              <w:spacing w:after="100"/>
              <w:rPr>
                <w:rFonts w:eastAsia="Times New Roman"/>
                <w:sz w:val="20"/>
                <w:szCs w:val="20"/>
              </w:rPr>
            </w:pPr>
          </w:p>
        </w:tc>
        <w:tc>
          <w:tcPr>
            <w:tcW w:w="50" w:type="pct"/>
            <w:vAlign w:val="center"/>
            <w:hideMark/>
          </w:tcPr>
          <w:p w14:paraId="5B22EEE1" w14:textId="77777777" w:rsidR="00000000" w:rsidRDefault="00A173A8">
            <w:pPr>
              <w:spacing w:after="100"/>
              <w:rPr>
                <w:rFonts w:eastAsia="Times New Roman"/>
                <w:sz w:val="20"/>
                <w:szCs w:val="20"/>
              </w:rPr>
            </w:pPr>
          </w:p>
        </w:tc>
        <w:tc>
          <w:tcPr>
            <w:tcW w:w="440" w:type="pct"/>
            <w:vAlign w:val="center"/>
            <w:hideMark/>
          </w:tcPr>
          <w:p w14:paraId="66331237" w14:textId="77777777" w:rsidR="00000000" w:rsidRDefault="00A173A8">
            <w:pPr>
              <w:spacing w:after="100"/>
              <w:rPr>
                <w:rFonts w:eastAsia="Times New Roman"/>
                <w:sz w:val="20"/>
                <w:szCs w:val="20"/>
              </w:rPr>
            </w:pPr>
          </w:p>
        </w:tc>
        <w:tc>
          <w:tcPr>
            <w:tcW w:w="5" w:type="pct"/>
            <w:vAlign w:val="center"/>
            <w:hideMark/>
          </w:tcPr>
          <w:p w14:paraId="504EB813" w14:textId="77777777" w:rsidR="00000000" w:rsidRDefault="00A173A8">
            <w:pPr>
              <w:spacing w:after="100"/>
              <w:rPr>
                <w:rFonts w:eastAsia="Times New Roman"/>
                <w:sz w:val="20"/>
                <w:szCs w:val="20"/>
              </w:rPr>
            </w:pPr>
          </w:p>
        </w:tc>
        <w:tc>
          <w:tcPr>
            <w:tcW w:w="0" w:type="auto"/>
            <w:gridSpan w:val="3"/>
            <w:vAlign w:val="center"/>
            <w:hideMark/>
          </w:tcPr>
          <w:p w14:paraId="76F8808C" w14:textId="77777777" w:rsidR="00000000" w:rsidRDefault="00A173A8">
            <w:pPr>
              <w:spacing w:after="100"/>
              <w:rPr>
                <w:rFonts w:eastAsia="Times New Roman"/>
                <w:sz w:val="20"/>
                <w:szCs w:val="20"/>
              </w:rPr>
            </w:pPr>
          </w:p>
        </w:tc>
        <w:tc>
          <w:tcPr>
            <w:tcW w:w="0" w:type="auto"/>
            <w:gridSpan w:val="2"/>
            <w:vAlign w:val="center"/>
            <w:hideMark/>
          </w:tcPr>
          <w:p w14:paraId="36687E49" w14:textId="77777777" w:rsidR="00000000" w:rsidRDefault="00A173A8">
            <w:pPr>
              <w:spacing w:after="100"/>
              <w:rPr>
                <w:rFonts w:eastAsia="Times New Roman"/>
                <w:sz w:val="20"/>
                <w:szCs w:val="20"/>
              </w:rPr>
            </w:pPr>
          </w:p>
        </w:tc>
      </w:tr>
      <w:tr w:rsidR="00000000" w14:paraId="770C7279" w14:textId="77777777">
        <w:trPr>
          <w:divId w:val="261111824"/>
        </w:trPr>
        <w:tc>
          <w:tcPr>
            <w:tcW w:w="0" w:type="auto"/>
            <w:gridSpan w:val="3"/>
            <w:tcMar>
              <w:top w:w="0" w:type="dxa"/>
              <w:left w:w="20" w:type="dxa"/>
              <w:bottom w:w="0" w:type="dxa"/>
              <w:right w:w="20" w:type="dxa"/>
            </w:tcMar>
            <w:vAlign w:val="center"/>
            <w:hideMark/>
          </w:tcPr>
          <w:p w14:paraId="5781857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EA6F6A"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2C10409"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61C48E88" w14:textId="77777777" w:rsidR="00000000" w:rsidRDefault="00A173A8">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4C9CD943"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gridSpan w:val="3"/>
            <w:vAlign w:val="center"/>
            <w:hideMark/>
          </w:tcPr>
          <w:p w14:paraId="3847C1B9" w14:textId="77777777" w:rsidR="00000000" w:rsidRDefault="00A173A8">
            <w:pPr>
              <w:spacing w:after="100"/>
              <w:jc w:val="center"/>
              <w:rPr>
                <w:rFonts w:eastAsia="Times New Roman"/>
              </w:rPr>
            </w:pPr>
          </w:p>
        </w:tc>
        <w:tc>
          <w:tcPr>
            <w:tcW w:w="0" w:type="auto"/>
            <w:vAlign w:val="center"/>
            <w:hideMark/>
          </w:tcPr>
          <w:p w14:paraId="33DF9CA4" w14:textId="77777777" w:rsidR="00000000" w:rsidRDefault="00A173A8">
            <w:pPr>
              <w:spacing w:after="100"/>
              <w:rPr>
                <w:rFonts w:eastAsia="Times New Roman"/>
                <w:sz w:val="20"/>
                <w:szCs w:val="20"/>
              </w:rPr>
            </w:pPr>
          </w:p>
        </w:tc>
        <w:tc>
          <w:tcPr>
            <w:tcW w:w="0" w:type="auto"/>
            <w:vAlign w:val="center"/>
            <w:hideMark/>
          </w:tcPr>
          <w:p w14:paraId="24890F87" w14:textId="77777777" w:rsidR="00000000" w:rsidRDefault="00A173A8">
            <w:pPr>
              <w:spacing w:after="100"/>
              <w:rPr>
                <w:rFonts w:eastAsia="Times New Roman"/>
                <w:sz w:val="20"/>
                <w:szCs w:val="20"/>
              </w:rPr>
            </w:pPr>
          </w:p>
        </w:tc>
        <w:tc>
          <w:tcPr>
            <w:tcW w:w="0" w:type="auto"/>
            <w:vAlign w:val="center"/>
            <w:hideMark/>
          </w:tcPr>
          <w:p w14:paraId="3925809D" w14:textId="77777777" w:rsidR="00000000" w:rsidRDefault="00A173A8">
            <w:pPr>
              <w:spacing w:after="100"/>
              <w:rPr>
                <w:rFonts w:eastAsia="Times New Roman"/>
                <w:sz w:val="20"/>
                <w:szCs w:val="20"/>
              </w:rPr>
            </w:pPr>
          </w:p>
        </w:tc>
        <w:tc>
          <w:tcPr>
            <w:tcW w:w="0" w:type="auto"/>
            <w:vAlign w:val="center"/>
            <w:hideMark/>
          </w:tcPr>
          <w:p w14:paraId="6EC3E751" w14:textId="77777777" w:rsidR="00000000" w:rsidRDefault="00A173A8">
            <w:pPr>
              <w:spacing w:after="100"/>
              <w:rPr>
                <w:rFonts w:eastAsia="Times New Roman"/>
                <w:sz w:val="20"/>
                <w:szCs w:val="20"/>
              </w:rPr>
            </w:pPr>
          </w:p>
        </w:tc>
        <w:tc>
          <w:tcPr>
            <w:tcW w:w="0" w:type="auto"/>
            <w:vAlign w:val="center"/>
            <w:hideMark/>
          </w:tcPr>
          <w:p w14:paraId="6C8DF7EC" w14:textId="77777777" w:rsidR="00000000" w:rsidRDefault="00A173A8">
            <w:pPr>
              <w:spacing w:after="100"/>
              <w:rPr>
                <w:rFonts w:eastAsia="Times New Roman"/>
                <w:sz w:val="20"/>
                <w:szCs w:val="20"/>
              </w:rPr>
            </w:pPr>
          </w:p>
        </w:tc>
        <w:tc>
          <w:tcPr>
            <w:tcW w:w="0" w:type="auto"/>
            <w:vAlign w:val="center"/>
            <w:hideMark/>
          </w:tcPr>
          <w:p w14:paraId="1D6D0F59" w14:textId="77777777" w:rsidR="00000000" w:rsidRDefault="00A173A8">
            <w:pPr>
              <w:spacing w:after="100"/>
              <w:rPr>
                <w:rFonts w:eastAsia="Times New Roman"/>
                <w:sz w:val="20"/>
                <w:szCs w:val="20"/>
              </w:rPr>
            </w:pPr>
          </w:p>
        </w:tc>
        <w:tc>
          <w:tcPr>
            <w:tcW w:w="0" w:type="auto"/>
            <w:vAlign w:val="center"/>
            <w:hideMark/>
          </w:tcPr>
          <w:p w14:paraId="7BF2917C" w14:textId="77777777" w:rsidR="00000000" w:rsidRDefault="00A173A8">
            <w:pPr>
              <w:spacing w:after="100"/>
              <w:rPr>
                <w:rFonts w:eastAsia="Times New Roman"/>
                <w:sz w:val="20"/>
                <w:szCs w:val="20"/>
              </w:rPr>
            </w:pPr>
          </w:p>
        </w:tc>
        <w:tc>
          <w:tcPr>
            <w:tcW w:w="0" w:type="auto"/>
            <w:vAlign w:val="center"/>
            <w:hideMark/>
          </w:tcPr>
          <w:p w14:paraId="23C43F2E" w14:textId="77777777" w:rsidR="00000000" w:rsidRDefault="00A173A8">
            <w:pPr>
              <w:spacing w:after="100"/>
              <w:rPr>
                <w:rFonts w:eastAsia="Times New Roman"/>
                <w:sz w:val="20"/>
                <w:szCs w:val="20"/>
              </w:rPr>
            </w:pPr>
          </w:p>
        </w:tc>
        <w:tc>
          <w:tcPr>
            <w:tcW w:w="0" w:type="auto"/>
            <w:vAlign w:val="center"/>
            <w:hideMark/>
          </w:tcPr>
          <w:p w14:paraId="3AB88860" w14:textId="77777777" w:rsidR="00000000" w:rsidRDefault="00A173A8">
            <w:pPr>
              <w:spacing w:after="100"/>
              <w:rPr>
                <w:rFonts w:eastAsia="Times New Roman"/>
                <w:sz w:val="20"/>
                <w:szCs w:val="20"/>
              </w:rPr>
            </w:pPr>
          </w:p>
        </w:tc>
        <w:tc>
          <w:tcPr>
            <w:tcW w:w="0" w:type="auto"/>
            <w:vAlign w:val="center"/>
            <w:hideMark/>
          </w:tcPr>
          <w:p w14:paraId="54549B59" w14:textId="77777777" w:rsidR="00000000" w:rsidRDefault="00A173A8">
            <w:pPr>
              <w:spacing w:after="100"/>
              <w:rPr>
                <w:rFonts w:eastAsia="Times New Roman"/>
                <w:sz w:val="20"/>
                <w:szCs w:val="20"/>
              </w:rPr>
            </w:pPr>
          </w:p>
        </w:tc>
        <w:tc>
          <w:tcPr>
            <w:tcW w:w="0" w:type="auto"/>
            <w:vAlign w:val="center"/>
            <w:hideMark/>
          </w:tcPr>
          <w:p w14:paraId="4CD88251" w14:textId="77777777" w:rsidR="00000000" w:rsidRDefault="00A173A8">
            <w:pPr>
              <w:spacing w:after="100"/>
              <w:rPr>
                <w:rFonts w:eastAsia="Times New Roman"/>
                <w:sz w:val="20"/>
                <w:szCs w:val="20"/>
              </w:rPr>
            </w:pPr>
          </w:p>
        </w:tc>
        <w:tc>
          <w:tcPr>
            <w:tcW w:w="0" w:type="auto"/>
            <w:vAlign w:val="center"/>
            <w:hideMark/>
          </w:tcPr>
          <w:p w14:paraId="290C473A" w14:textId="77777777" w:rsidR="00000000" w:rsidRDefault="00A173A8">
            <w:pPr>
              <w:spacing w:after="100"/>
              <w:rPr>
                <w:rFonts w:eastAsia="Times New Roman"/>
                <w:sz w:val="20"/>
                <w:szCs w:val="20"/>
              </w:rPr>
            </w:pPr>
          </w:p>
        </w:tc>
        <w:tc>
          <w:tcPr>
            <w:tcW w:w="0" w:type="auto"/>
            <w:vAlign w:val="center"/>
            <w:hideMark/>
          </w:tcPr>
          <w:p w14:paraId="571541D4" w14:textId="77777777" w:rsidR="00000000" w:rsidRDefault="00A173A8">
            <w:pPr>
              <w:spacing w:after="100"/>
              <w:rPr>
                <w:rFonts w:eastAsia="Times New Roman"/>
                <w:sz w:val="20"/>
                <w:szCs w:val="20"/>
              </w:rPr>
            </w:pPr>
          </w:p>
        </w:tc>
        <w:tc>
          <w:tcPr>
            <w:tcW w:w="0" w:type="auto"/>
            <w:vAlign w:val="center"/>
            <w:hideMark/>
          </w:tcPr>
          <w:p w14:paraId="658B3FF9" w14:textId="77777777" w:rsidR="00000000" w:rsidRDefault="00A173A8">
            <w:pPr>
              <w:spacing w:after="100"/>
              <w:rPr>
                <w:rFonts w:eastAsia="Times New Roman"/>
                <w:sz w:val="20"/>
                <w:szCs w:val="20"/>
              </w:rPr>
            </w:pPr>
          </w:p>
        </w:tc>
        <w:tc>
          <w:tcPr>
            <w:tcW w:w="0" w:type="auto"/>
            <w:vAlign w:val="center"/>
            <w:hideMark/>
          </w:tcPr>
          <w:p w14:paraId="2A222B1F" w14:textId="77777777" w:rsidR="00000000" w:rsidRDefault="00A173A8">
            <w:pPr>
              <w:spacing w:after="100"/>
              <w:rPr>
                <w:rFonts w:eastAsia="Times New Roman"/>
                <w:sz w:val="20"/>
                <w:szCs w:val="20"/>
              </w:rPr>
            </w:pPr>
          </w:p>
        </w:tc>
        <w:tc>
          <w:tcPr>
            <w:tcW w:w="0" w:type="auto"/>
            <w:vAlign w:val="center"/>
            <w:hideMark/>
          </w:tcPr>
          <w:p w14:paraId="7BDCFACE" w14:textId="77777777" w:rsidR="00000000" w:rsidRDefault="00A173A8">
            <w:pPr>
              <w:spacing w:after="100"/>
              <w:rPr>
                <w:rFonts w:eastAsia="Times New Roman"/>
                <w:sz w:val="20"/>
                <w:szCs w:val="20"/>
              </w:rPr>
            </w:pPr>
          </w:p>
        </w:tc>
        <w:tc>
          <w:tcPr>
            <w:tcW w:w="0" w:type="auto"/>
            <w:vAlign w:val="center"/>
            <w:hideMark/>
          </w:tcPr>
          <w:p w14:paraId="678EBA07" w14:textId="77777777" w:rsidR="00000000" w:rsidRDefault="00A173A8">
            <w:pPr>
              <w:spacing w:after="100"/>
              <w:rPr>
                <w:rFonts w:eastAsia="Times New Roman"/>
                <w:sz w:val="20"/>
                <w:szCs w:val="20"/>
              </w:rPr>
            </w:pPr>
          </w:p>
        </w:tc>
        <w:tc>
          <w:tcPr>
            <w:tcW w:w="0" w:type="auto"/>
            <w:vAlign w:val="center"/>
            <w:hideMark/>
          </w:tcPr>
          <w:p w14:paraId="69838EDC" w14:textId="77777777" w:rsidR="00000000" w:rsidRDefault="00A173A8">
            <w:pPr>
              <w:spacing w:after="100"/>
              <w:rPr>
                <w:rFonts w:eastAsia="Times New Roman"/>
                <w:sz w:val="20"/>
                <w:szCs w:val="20"/>
              </w:rPr>
            </w:pPr>
          </w:p>
        </w:tc>
      </w:tr>
      <w:tr w:rsidR="00000000" w14:paraId="408810DF" w14:textId="77777777">
        <w:trPr>
          <w:divId w:val="261111824"/>
        </w:trPr>
        <w:tc>
          <w:tcPr>
            <w:tcW w:w="0" w:type="auto"/>
            <w:gridSpan w:val="3"/>
            <w:tcBorders>
              <w:bottom w:val="single" w:sz="8" w:space="0" w:color="000000"/>
            </w:tcBorders>
            <w:tcMar>
              <w:top w:w="30" w:type="dxa"/>
              <w:left w:w="20" w:type="dxa"/>
              <w:bottom w:w="30" w:type="dxa"/>
              <w:right w:w="20" w:type="dxa"/>
            </w:tcMar>
            <w:vAlign w:val="bottom"/>
            <w:hideMark/>
          </w:tcPr>
          <w:p w14:paraId="33908305" w14:textId="77777777" w:rsidR="00000000" w:rsidRDefault="00A173A8">
            <w:pPr>
              <w:spacing w:after="100"/>
              <w:rPr>
                <w:rFonts w:eastAsia="Times New Roman"/>
              </w:rPr>
            </w:pPr>
            <w:r>
              <w:rPr>
                <w:rFonts w:eastAsia="Times New Roman"/>
                <w:i/>
                <w:iCs/>
                <w:color w:val="000000"/>
                <w:sz w:val="20"/>
                <w:szCs w:val="20"/>
              </w:rPr>
              <w:t>(Dollars in millions, except per share data and as noted)</w:t>
            </w:r>
          </w:p>
        </w:tc>
        <w:tc>
          <w:tcPr>
            <w:tcW w:w="0" w:type="auto"/>
            <w:gridSpan w:val="3"/>
            <w:tcMar>
              <w:top w:w="0" w:type="dxa"/>
              <w:left w:w="20" w:type="dxa"/>
              <w:bottom w:w="0" w:type="dxa"/>
              <w:right w:w="20" w:type="dxa"/>
            </w:tcMar>
            <w:vAlign w:val="center"/>
            <w:hideMark/>
          </w:tcPr>
          <w:p w14:paraId="49FF226B"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BD84746"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333318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E00E85B"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73DEC7B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4A1B850"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0B28AB4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40ABCC"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60B907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4B31461"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5521A893" w14:textId="77777777" w:rsidR="00000000" w:rsidRDefault="00A173A8">
            <w:pPr>
              <w:spacing w:after="100"/>
              <w:jc w:val="center"/>
              <w:rPr>
                <w:rFonts w:eastAsia="Times New Roman"/>
              </w:rPr>
            </w:pPr>
          </w:p>
        </w:tc>
        <w:tc>
          <w:tcPr>
            <w:tcW w:w="0" w:type="auto"/>
            <w:vAlign w:val="center"/>
            <w:hideMark/>
          </w:tcPr>
          <w:p w14:paraId="074CF95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06C564" w14:textId="77777777" w:rsidR="00000000" w:rsidRDefault="00A173A8">
            <w:pPr>
              <w:spacing w:after="100"/>
              <w:rPr>
                <w:rFonts w:eastAsia="Times New Roman"/>
                <w:sz w:val="20"/>
                <w:szCs w:val="20"/>
              </w:rPr>
            </w:pPr>
          </w:p>
        </w:tc>
        <w:tc>
          <w:tcPr>
            <w:tcW w:w="0" w:type="auto"/>
            <w:vAlign w:val="center"/>
            <w:hideMark/>
          </w:tcPr>
          <w:p w14:paraId="31CF630C" w14:textId="77777777" w:rsidR="00000000" w:rsidRDefault="00A173A8">
            <w:pPr>
              <w:spacing w:after="100"/>
              <w:rPr>
                <w:rFonts w:eastAsia="Times New Roman"/>
                <w:sz w:val="20"/>
                <w:szCs w:val="20"/>
              </w:rPr>
            </w:pPr>
          </w:p>
        </w:tc>
        <w:tc>
          <w:tcPr>
            <w:tcW w:w="0" w:type="auto"/>
            <w:gridSpan w:val="3"/>
            <w:vAlign w:val="center"/>
            <w:hideMark/>
          </w:tcPr>
          <w:p w14:paraId="7C179567" w14:textId="77777777" w:rsidR="00000000" w:rsidRDefault="00A173A8">
            <w:pPr>
              <w:spacing w:after="100"/>
              <w:rPr>
                <w:rFonts w:eastAsia="Times New Roman"/>
                <w:sz w:val="20"/>
                <w:szCs w:val="20"/>
              </w:rPr>
            </w:pPr>
          </w:p>
        </w:tc>
        <w:tc>
          <w:tcPr>
            <w:tcW w:w="0" w:type="auto"/>
            <w:gridSpan w:val="3"/>
            <w:vAlign w:val="center"/>
            <w:hideMark/>
          </w:tcPr>
          <w:p w14:paraId="2FCB8CA7" w14:textId="77777777" w:rsidR="00000000" w:rsidRDefault="00A173A8">
            <w:pPr>
              <w:spacing w:after="100"/>
              <w:rPr>
                <w:rFonts w:eastAsia="Times New Roman"/>
                <w:sz w:val="20"/>
                <w:szCs w:val="20"/>
              </w:rPr>
            </w:pPr>
          </w:p>
        </w:tc>
        <w:tc>
          <w:tcPr>
            <w:tcW w:w="0" w:type="auto"/>
            <w:gridSpan w:val="3"/>
            <w:vAlign w:val="center"/>
            <w:hideMark/>
          </w:tcPr>
          <w:p w14:paraId="2EDF9C70"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3815040"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22F07FBE" w14:textId="77777777" w:rsidR="00000000" w:rsidRDefault="00A173A8">
            <w:pPr>
              <w:spacing w:after="100"/>
              <w:rPr>
                <w:rFonts w:eastAsia="Times New Roman"/>
                <w:sz w:val="20"/>
                <w:szCs w:val="20"/>
              </w:rPr>
            </w:pPr>
          </w:p>
        </w:tc>
        <w:tc>
          <w:tcPr>
            <w:tcW w:w="0" w:type="auto"/>
            <w:vAlign w:val="center"/>
            <w:hideMark/>
          </w:tcPr>
          <w:p w14:paraId="7F61635A" w14:textId="77777777" w:rsidR="00000000" w:rsidRDefault="00A173A8">
            <w:pPr>
              <w:spacing w:after="100"/>
              <w:rPr>
                <w:rFonts w:eastAsia="Times New Roman"/>
                <w:sz w:val="20"/>
                <w:szCs w:val="20"/>
              </w:rPr>
            </w:pPr>
          </w:p>
        </w:tc>
        <w:tc>
          <w:tcPr>
            <w:tcW w:w="0" w:type="auto"/>
            <w:vAlign w:val="center"/>
            <w:hideMark/>
          </w:tcPr>
          <w:p w14:paraId="562D70E6" w14:textId="77777777" w:rsidR="00000000" w:rsidRDefault="00A173A8">
            <w:pPr>
              <w:spacing w:after="100"/>
              <w:rPr>
                <w:rFonts w:eastAsia="Times New Roman"/>
                <w:sz w:val="20"/>
                <w:szCs w:val="20"/>
              </w:rPr>
            </w:pPr>
          </w:p>
        </w:tc>
        <w:tc>
          <w:tcPr>
            <w:tcW w:w="0" w:type="auto"/>
            <w:vAlign w:val="center"/>
            <w:hideMark/>
          </w:tcPr>
          <w:p w14:paraId="2851157A" w14:textId="77777777" w:rsidR="00000000" w:rsidRDefault="00A173A8">
            <w:pPr>
              <w:spacing w:after="100"/>
              <w:rPr>
                <w:rFonts w:eastAsia="Times New Roman"/>
                <w:sz w:val="20"/>
                <w:szCs w:val="20"/>
              </w:rPr>
            </w:pPr>
          </w:p>
        </w:tc>
        <w:tc>
          <w:tcPr>
            <w:tcW w:w="0" w:type="auto"/>
            <w:vAlign w:val="center"/>
            <w:hideMark/>
          </w:tcPr>
          <w:p w14:paraId="49B1AEB4" w14:textId="77777777" w:rsidR="00000000" w:rsidRDefault="00A173A8">
            <w:pPr>
              <w:spacing w:after="100"/>
              <w:rPr>
                <w:rFonts w:eastAsia="Times New Roman"/>
                <w:sz w:val="20"/>
                <w:szCs w:val="20"/>
              </w:rPr>
            </w:pPr>
          </w:p>
        </w:tc>
      </w:tr>
      <w:tr w:rsidR="00000000" w14:paraId="6FF17C30" w14:textId="77777777">
        <w:trPr>
          <w:divId w:val="26111182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EFC20EA" w14:textId="77777777" w:rsidR="00000000" w:rsidRDefault="00A173A8">
            <w:pPr>
              <w:spacing w:after="100"/>
              <w:rPr>
                <w:rFonts w:eastAsia="Times New Roman"/>
              </w:rPr>
            </w:pPr>
            <w:r>
              <w:rPr>
                <w:rFonts w:eastAsia="Times New Roman"/>
                <w:b/>
                <w:bCs/>
                <w:color w:val="000000"/>
                <w:sz w:val="20"/>
                <w:szCs w:val="20"/>
              </w:rPr>
              <w:t>Income statement</w:t>
            </w:r>
          </w:p>
        </w:tc>
        <w:tc>
          <w:tcPr>
            <w:tcW w:w="0" w:type="auto"/>
            <w:gridSpan w:val="3"/>
            <w:shd w:val="clear" w:color="auto" w:fill="CCEEFF"/>
            <w:tcMar>
              <w:top w:w="0" w:type="dxa"/>
              <w:left w:w="20" w:type="dxa"/>
              <w:bottom w:w="0" w:type="dxa"/>
              <w:right w:w="20" w:type="dxa"/>
            </w:tcMar>
            <w:vAlign w:val="center"/>
            <w:hideMark/>
          </w:tcPr>
          <w:p w14:paraId="69878C0B"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14767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10648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EC7D1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876EC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B10A6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E8E9E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6256F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AF8BA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8DC03D" w14:textId="77777777" w:rsidR="00000000" w:rsidRDefault="00A173A8">
            <w:pPr>
              <w:spacing w:after="100"/>
              <w:rPr>
                <w:rFonts w:eastAsia="Times New Roman"/>
                <w:sz w:val="20"/>
                <w:szCs w:val="20"/>
              </w:rPr>
            </w:pPr>
          </w:p>
        </w:tc>
        <w:tc>
          <w:tcPr>
            <w:tcW w:w="0" w:type="auto"/>
            <w:vAlign w:val="center"/>
            <w:hideMark/>
          </w:tcPr>
          <w:p w14:paraId="5114C8F0" w14:textId="77777777" w:rsidR="00000000" w:rsidRDefault="00A173A8">
            <w:pPr>
              <w:spacing w:after="100"/>
              <w:rPr>
                <w:rFonts w:eastAsia="Times New Roman"/>
                <w:sz w:val="20"/>
                <w:szCs w:val="20"/>
              </w:rPr>
            </w:pPr>
          </w:p>
        </w:tc>
        <w:tc>
          <w:tcPr>
            <w:tcW w:w="0" w:type="auto"/>
            <w:vAlign w:val="center"/>
            <w:hideMark/>
          </w:tcPr>
          <w:p w14:paraId="256D84C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8C1EE8" w14:textId="77777777" w:rsidR="00000000" w:rsidRDefault="00A173A8">
            <w:pPr>
              <w:spacing w:after="100"/>
              <w:rPr>
                <w:rFonts w:eastAsia="Times New Roman"/>
                <w:sz w:val="20"/>
                <w:szCs w:val="20"/>
              </w:rPr>
            </w:pPr>
          </w:p>
        </w:tc>
        <w:tc>
          <w:tcPr>
            <w:tcW w:w="0" w:type="auto"/>
            <w:vAlign w:val="center"/>
            <w:hideMark/>
          </w:tcPr>
          <w:p w14:paraId="1B8AAF35" w14:textId="77777777" w:rsidR="00000000" w:rsidRDefault="00A173A8">
            <w:pPr>
              <w:spacing w:after="100"/>
              <w:rPr>
                <w:rFonts w:eastAsia="Times New Roman"/>
                <w:sz w:val="20"/>
                <w:szCs w:val="20"/>
              </w:rPr>
            </w:pPr>
          </w:p>
        </w:tc>
        <w:tc>
          <w:tcPr>
            <w:tcW w:w="0" w:type="auto"/>
            <w:gridSpan w:val="3"/>
            <w:vAlign w:val="center"/>
            <w:hideMark/>
          </w:tcPr>
          <w:p w14:paraId="327040B9" w14:textId="77777777" w:rsidR="00000000" w:rsidRDefault="00A173A8">
            <w:pPr>
              <w:spacing w:after="100"/>
              <w:rPr>
                <w:rFonts w:eastAsia="Times New Roman"/>
                <w:sz w:val="20"/>
                <w:szCs w:val="20"/>
              </w:rPr>
            </w:pPr>
          </w:p>
        </w:tc>
        <w:tc>
          <w:tcPr>
            <w:tcW w:w="0" w:type="auto"/>
            <w:gridSpan w:val="3"/>
            <w:vAlign w:val="center"/>
            <w:hideMark/>
          </w:tcPr>
          <w:p w14:paraId="176FC317" w14:textId="77777777" w:rsidR="00000000" w:rsidRDefault="00A173A8">
            <w:pPr>
              <w:spacing w:after="100"/>
              <w:rPr>
                <w:rFonts w:eastAsia="Times New Roman"/>
                <w:sz w:val="20"/>
                <w:szCs w:val="20"/>
              </w:rPr>
            </w:pPr>
          </w:p>
        </w:tc>
        <w:tc>
          <w:tcPr>
            <w:tcW w:w="0" w:type="auto"/>
            <w:gridSpan w:val="3"/>
            <w:vAlign w:val="center"/>
            <w:hideMark/>
          </w:tcPr>
          <w:p w14:paraId="359C009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CF0296" w14:textId="77777777" w:rsidR="00000000" w:rsidRDefault="00A173A8">
            <w:pPr>
              <w:spacing w:after="100"/>
              <w:rPr>
                <w:rFonts w:eastAsia="Times New Roman"/>
                <w:sz w:val="20"/>
                <w:szCs w:val="20"/>
              </w:rPr>
            </w:pPr>
          </w:p>
        </w:tc>
        <w:tc>
          <w:tcPr>
            <w:tcW w:w="0" w:type="auto"/>
            <w:gridSpan w:val="3"/>
            <w:vAlign w:val="center"/>
            <w:hideMark/>
          </w:tcPr>
          <w:p w14:paraId="6CA2FFA5" w14:textId="77777777" w:rsidR="00000000" w:rsidRDefault="00A173A8">
            <w:pPr>
              <w:spacing w:after="100"/>
              <w:rPr>
                <w:rFonts w:eastAsia="Times New Roman"/>
                <w:sz w:val="20"/>
                <w:szCs w:val="20"/>
              </w:rPr>
            </w:pPr>
          </w:p>
        </w:tc>
        <w:tc>
          <w:tcPr>
            <w:tcW w:w="0" w:type="auto"/>
            <w:gridSpan w:val="2"/>
            <w:vAlign w:val="center"/>
            <w:hideMark/>
          </w:tcPr>
          <w:p w14:paraId="44363DE6" w14:textId="77777777" w:rsidR="00000000" w:rsidRDefault="00A173A8">
            <w:pPr>
              <w:spacing w:after="100"/>
              <w:rPr>
                <w:rFonts w:eastAsia="Times New Roman"/>
                <w:sz w:val="20"/>
                <w:szCs w:val="20"/>
              </w:rPr>
            </w:pPr>
          </w:p>
        </w:tc>
      </w:tr>
      <w:tr w:rsidR="00000000" w14:paraId="69D6A102" w14:textId="77777777">
        <w:trPr>
          <w:divId w:val="261111824"/>
        </w:trPr>
        <w:tc>
          <w:tcPr>
            <w:tcW w:w="0" w:type="auto"/>
            <w:gridSpan w:val="3"/>
            <w:vAlign w:val="center"/>
            <w:hideMark/>
          </w:tcPr>
          <w:p w14:paraId="1E364343" w14:textId="77777777" w:rsidR="00000000" w:rsidRDefault="00A173A8">
            <w:pPr>
              <w:spacing w:after="100"/>
              <w:rPr>
                <w:rFonts w:eastAsia="Times New Roman"/>
                <w:sz w:val="20"/>
                <w:szCs w:val="20"/>
              </w:rPr>
            </w:pPr>
          </w:p>
        </w:tc>
        <w:tc>
          <w:tcPr>
            <w:tcW w:w="0" w:type="auto"/>
            <w:gridSpan w:val="3"/>
            <w:vAlign w:val="center"/>
            <w:hideMark/>
          </w:tcPr>
          <w:p w14:paraId="22BF24B4" w14:textId="77777777" w:rsidR="00000000" w:rsidRDefault="00A173A8">
            <w:pPr>
              <w:spacing w:after="100"/>
              <w:rPr>
                <w:rFonts w:eastAsia="Times New Roman"/>
                <w:sz w:val="20"/>
                <w:szCs w:val="20"/>
              </w:rPr>
            </w:pPr>
          </w:p>
        </w:tc>
        <w:tc>
          <w:tcPr>
            <w:tcW w:w="0" w:type="auto"/>
            <w:gridSpan w:val="3"/>
            <w:vAlign w:val="center"/>
            <w:hideMark/>
          </w:tcPr>
          <w:p w14:paraId="19EFCC2F" w14:textId="77777777" w:rsidR="00000000" w:rsidRDefault="00A173A8">
            <w:pPr>
              <w:spacing w:after="100"/>
              <w:rPr>
                <w:rFonts w:eastAsia="Times New Roman"/>
                <w:sz w:val="20"/>
                <w:szCs w:val="20"/>
              </w:rPr>
            </w:pPr>
          </w:p>
        </w:tc>
        <w:tc>
          <w:tcPr>
            <w:tcW w:w="0" w:type="auto"/>
            <w:gridSpan w:val="3"/>
            <w:vAlign w:val="center"/>
            <w:hideMark/>
          </w:tcPr>
          <w:p w14:paraId="1F78E2CB" w14:textId="77777777" w:rsidR="00000000" w:rsidRDefault="00A173A8">
            <w:pPr>
              <w:spacing w:after="100"/>
              <w:rPr>
                <w:rFonts w:eastAsia="Times New Roman"/>
                <w:sz w:val="20"/>
                <w:szCs w:val="20"/>
              </w:rPr>
            </w:pPr>
          </w:p>
        </w:tc>
        <w:tc>
          <w:tcPr>
            <w:tcW w:w="0" w:type="auto"/>
            <w:gridSpan w:val="3"/>
            <w:vAlign w:val="center"/>
            <w:hideMark/>
          </w:tcPr>
          <w:p w14:paraId="7BA156AA" w14:textId="77777777" w:rsidR="00000000" w:rsidRDefault="00A173A8">
            <w:pPr>
              <w:spacing w:after="100"/>
              <w:rPr>
                <w:rFonts w:eastAsia="Times New Roman"/>
                <w:sz w:val="20"/>
                <w:szCs w:val="20"/>
              </w:rPr>
            </w:pPr>
          </w:p>
        </w:tc>
        <w:tc>
          <w:tcPr>
            <w:tcW w:w="0" w:type="auto"/>
            <w:gridSpan w:val="3"/>
            <w:vAlign w:val="center"/>
            <w:hideMark/>
          </w:tcPr>
          <w:p w14:paraId="7786BE8D" w14:textId="77777777" w:rsidR="00000000" w:rsidRDefault="00A173A8">
            <w:pPr>
              <w:spacing w:after="100"/>
              <w:rPr>
                <w:rFonts w:eastAsia="Times New Roman"/>
                <w:sz w:val="20"/>
                <w:szCs w:val="20"/>
              </w:rPr>
            </w:pPr>
          </w:p>
        </w:tc>
        <w:tc>
          <w:tcPr>
            <w:tcW w:w="0" w:type="auto"/>
            <w:gridSpan w:val="3"/>
            <w:vAlign w:val="center"/>
            <w:hideMark/>
          </w:tcPr>
          <w:p w14:paraId="07491EBD" w14:textId="77777777" w:rsidR="00000000" w:rsidRDefault="00A173A8">
            <w:pPr>
              <w:spacing w:after="100"/>
              <w:rPr>
                <w:rFonts w:eastAsia="Times New Roman"/>
                <w:sz w:val="20"/>
                <w:szCs w:val="20"/>
              </w:rPr>
            </w:pPr>
          </w:p>
        </w:tc>
        <w:tc>
          <w:tcPr>
            <w:tcW w:w="0" w:type="auto"/>
            <w:gridSpan w:val="3"/>
            <w:vAlign w:val="center"/>
            <w:hideMark/>
          </w:tcPr>
          <w:p w14:paraId="1B2CE159" w14:textId="77777777" w:rsidR="00000000" w:rsidRDefault="00A173A8">
            <w:pPr>
              <w:spacing w:after="100"/>
              <w:rPr>
                <w:rFonts w:eastAsia="Times New Roman"/>
                <w:sz w:val="20"/>
                <w:szCs w:val="20"/>
              </w:rPr>
            </w:pPr>
          </w:p>
        </w:tc>
        <w:tc>
          <w:tcPr>
            <w:tcW w:w="0" w:type="auto"/>
            <w:gridSpan w:val="3"/>
            <w:vAlign w:val="center"/>
            <w:hideMark/>
          </w:tcPr>
          <w:p w14:paraId="23CDDF03" w14:textId="77777777" w:rsidR="00000000" w:rsidRDefault="00A173A8">
            <w:pPr>
              <w:spacing w:after="100"/>
              <w:rPr>
                <w:rFonts w:eastAsia="Times New Roman"/>
                <w:sz w:val="20"/>
                <w:szCs w:val="20"/>
              </w:rPr>
            </w:pPr>
          </w:p>
        </w:tc>
        <w:tc>
          <w:tcPr>
            <w:tcW w:w="0" w:type="auto"/>
            <w:gridSpan w:val="3"/>
            <w:vAlign w:val="center"/>
            <w:hideMark/>
          </w:tcPr>
          <w:p w14:paraId="2BF13B1A" w14:textId="77777777" w:rsidR="00000000" w:rsidRDefault="00A173A8">
            <w:pPr>
              <w:spacing w:after="100"/>
              <w:rPr>
                <w:rFonts w:eastAsia="Times New Roman"/>
                <w:sz w:val="20"/>
                <w:szCs w:val="20"/>
              </w:rPr>
            </w:pPr>
          </w:p>
        </w:tc>
        <w:tc>
          <w:tcPr>
            <w:tcW w:w="0" w:type="auto"/>
            <w:gridSpan w:val="3"/>
            <w:vAlign w:val="center"/>
            <w:hideMark/>
          </w:tcPr>
          <w:p w14:paraId="60751315" w14:textId="77777777" w:rsidR="00000000" w:rsidRDefault="00A173A8">
            <w:pPr>
              <w:spacing w:after="100"/>
              <w:rPr>
                <w:rFonts w:eastAsia="Times New Roman"/>
                <w:sz w:val="20"/>
                <w:szCs w:val="20"/>
              </w:rPr>
            </w:pPr>
          </w:p>
        </w:tc>
        <w:tc>
          <w:tcPr>
            <w:tcW w:w="0" w:type="auto"/>
            <w:vAlign w:val="center"/>
            <w:hideMark/>
          </w:tcPr>
          <w:p w14:paraId="066A0724" w14:textId="77777777" w:rsidR="00000000" w:rsidRDefault="00A173A8">
            <w:pPr>
              <w:spacing w:after="100"/>
              <w:rPr>
                <w:rFonts w:eastAsia="Times New Roman"/>
                <w:sz w:val="20"/>
                <w:szCs w:val="20"/>
              </w:rPr>
            </w:pPr>
          </w:p>
        </w:tc>
        <w:tc>
          <w:tcPr>
            <w:tcW w:w="0" w:type="auto"/>
            <w:vAlign w:val="center"/>
            <w:hideMark/>
          </w:tcPr>
          <w:p w14:paraId="2CA0A2E2" w14:textId="77777777" w:rsidR="00000000" w:rsidRDefault="00A173A8">
            <w:pPr>
              <w:spacing w:after="100"/>
              <w:rPr>
                <w:rFonts w:eastAsia="Times New Roman"/>
                <w:sz w:val="20"/>
                <w:szCs w:val="20"/>
              </w:rPr>
            </w:pPr>
          </w:p>
        </w:tc>
        <w:tc>
          <w:tcPr>
            <w:tcW w:w="0" w:type="auto"/>
            <w:gridSpan w:val="3"/>
            <w:vAlign w:val="center"/>
            <w:hideMark/>
          </w:tcPr>
          <w:p w14:paraId="2995716C" w14:textId="77777777" w:rsidR="00000000" w:rsidRDefault="00A173A8">
            <w:pPr>
              <w:spacing w:after="100"/>
              <w:rPr>
                <w:rFonts w:eastAsia="Times New Roman"/>
                <w:sz w:val="20"/>
                <w:szCs w:val="20"/>
              </w:rPr>
            </w:pPr>
          </w:p>
        </w:tc>
        <w:tc>
          <w:tcPr>
            <w:tcW w:w="0" w:type="auto"/>
            <w:vAlign w:val="center"/>
            <w:hideMark/>
          </w:tcPr>
          <w:p w14:paraId="652D1459" w14:textId="77777777" w:rsidR="00000000" w:rsidRDefault="00A173A8">
            <w:pPr>
              <w:spacing w:after="100"/>
              <w:rPr>
                <w:rFonts w:eastAsia="Times New Roman"/>
                <w:sz w:val="20"/>
                <w:szCs w:val="20"/>
              </w:rPr>
            </w:pPr>
          </w:p>
        </w:tc>
        <w:tc>
          <w:tcPr>
            <w:tcW w:w="0" w:type="auto"/>
            <w:gridSpan w:val="3"/>
            <w:vAlign w:val="center"/>
            <w:hideMark/>
          </w:tcPr>
          <w:p w14:paraId="0D728B8D" w14:textId="77777777" w:rsidR="00000000" w:rsidRDefault="00A173A8">
            <w:pPr>
              <w:spacing w:after="100"/>
              <w:rPr>
                <w:rFonts w:eastAsia="Times New Roman"/>
                <w:sz w:val="20"/>
                <w:szCs w:val="20"/>
              </w:rPr>
            </w:pPr>
          </w:p>
        </w:tc>
        <w:tc>
          <w:tcPr>
            <w:tcW w:w="0" w:type="auto"/>
            <w:gridSpan w:val="3"/>
            <w:vAlign w:val="center"/>
            <w:hideMark/>
          </w:tcPr>
          <w:p w14:paraId="7E60654E" w14:textId="77777777" w:rsidR="00000000" w:rsidRDefault="00A173A8">
            <w:pPr>
              <w:spacing w:after="100"/>
              <w:rPr>
                <w:rFonts w:eastAsia="Times New Roman"/>
                <w:sz w:val="20"/>
                <w:szCs w:val="20"/>
              </w:rPr>
            </w:pPr>
          </w:p>
        </w:tc>
        <w:tc>
          <w:tcPr>
            <w:tcW w:w="0" w:type="auto"/>
            <w:gridSpan w:val="3"/>
            <w:vAlign w:val="center"/>
            <w:hideMark/>
          </w:tcPr>
          <w:p w14:paraId="531B4D4F" w14:textId="77777777" w:rsidR="00000000" w:rsidRDefault="00A173A8">
            <w:pPr>
              <w:spacing w:after="100"/>
              <w:rPr>
                <w:rFonts w:eastAsia="Times New Roman"/>
                <w:sz w:val="20"/>
                <w:szCs w:val="20"/>
              </w:rPr>
            </w:pPr>
          </w:p>
        </w:tc>
        <w:tc>
          <w:tcPr>
            <w:tcW w:w="0" w:type="auto"/>
            <w:gridSpan w:val="3"/>
            <w:vAlign w:val="center"/>
            <w:hideMark/>
          </w:tcPr>
          <w:p w14:paraId="59719FCC" w14:textId="77777777" w:rsidR="00000000" w:rsidRDefault="00A173A8">
            <w:pPr>
              <w:spacing w:after="100"/>
              <w:rPr>
                <w:rFonts w:eastAsia="Times New Roman"/>
                <w:sz w:val="20"/>
                <w:szCs w:val="20"/>
              </w:rPr>
            </w:pPr>
          </w:p>
        </w:tc>
        <w:tc>
          <w:tcPr>
            <w:tcW w:w="0" w:type="auto"/>
            <w:gridSpan w:val="3"/>
            <w:vAlign w:val="center"/>
            <w:hideMark/>
          </w:tcPr>
          <w:p w14:paraId="770C359D" w14:textId="77777777" w:rsidR="00000000" w:rsidRDefault="00A173A8">
            <w:pPr>
              <w:spacing w:after="100"/>
              <w:rPr>
                <w:rFonts w:eastAsia="Times New Roman"/>
                <w:sz w:val="20"/>
                <w:szCs w:val="20"/>
              </w:rPr>
            </w:pPr>
          </w:p>
        </w:tc>
        <w:tc>
          <w:tcPr>
            <w:tcW w:w="0" w:type="auto"/>
            <w:gridSpan w:val="2"/>
            <w:vAlign w:val="center"/>
            <w:hideMark/>
          </w:tcPr>
          <w:p w14:paraId="2A71C671" w14:textId="77777777" w:rsidR="00000000" w:rsidRDefault="00A173A8">
            <w:pPr>
              <w:spacing w:after="100"/>
              <w:rPr>
                <w:rFonts w:eastAsia="Times New Roman"/>
                <w:sz w:val="20"/>
                <w:szCs w:val="20"/>
              </w:rPr>
            </w:pPr>
          </w:p>
        </w:tc>
      </w:tr>
      <w:tr w:rsidR="00000000" w14:paraId="20C29BC3" w14:textId="77777777">
        <w:trPr>
          <w:divId w:val="261111824"/>
        </w:trPr>
        <w:tc>
          <w:tcPr>
            <w:tcW w:w="0" w:type="auto"/>
            <w:gridSpan w:val="3"/>
            <w:vAlign w:val="center"/>
            <w:hideMark/>
          </w:tcPr>
          <w:p w14:paraId="69EBC043" w14:textId="77777777" w:rsidR="00000000" w:rsidRDefault="00A173A8">
            <w:pPr>
              <w:spacing w:after="100"/>
              <w:rPr>
                <w:rFonts w:eastAsia="Times New Roman"/>
                <w:sz w:val="20"/>
                <w:szCs w:val="20"/>
              </w:rPr>
            </w:pPr>
          </w:p>
        </w:tc>
        <w:tc>
          <w:tcPr>
            <w:tcW w:w="0" w:type="auto"/>
            <w:gridSpan w:val="3"/>
            <w:vAlign w:val="center"/>
            <w:hideMark/>
          </w:tcPr>
          <w:p w14:paraId="143BB1D2" w14:textId="77777777" w:rsidR="00000000" w:rsidRDefault="00A173A8">
            <w:pPr>
              <w:spacing w:after="100"/>
              <w:rPr>
                <w:rFonts w:eastAsia="Times New Roman"/>
                <w:sz w:val="20"/>
                <w:szCs w:val="20"/>
              </w:rPr>
            </w:pPr>
          </w:p>
        </w:tc>
        <w:tc>
          <w:tcPr>
            <w:tcW w:w="0" w:type="auto"/>
            <w:gridSpan w:val="3"/>
            <w:vAlign w:val="center"/>
            <w:hideMark/>
          </w:tcPr>
          <w:p w14:paraId="512172D8" w14:textId="77777777" w:rsidR="00000000" w:rsidRDefault="00A173A8">
            <w:pPr>
              <w:spacing w:after="100"/>
              <w:rPr>
                <w:rFonts w:eastAsia="Times New Roman"/>
                <w:sz w:val="20"/>
                <w:szCs w:val="20"/>
              </w:rPr>
            </w:pPr>
          </w:p>
        </w:tc>
        <w:tc>
          <w:tcPr>
            <w:tcW w:w="0" w:type="auto"/>
            <w:gridSpan w:val="3"/>
            <w:vAlign w:val="center"/>
            <w:hideMark/>
          </w:tcPr>
          <w:p w14:paraId="0B3FB318" w14:textId="77777777" w:rsidR="00000000" w:rsidRDefault="00A173A8">
            <w:pPr>
              <w:spacing w:after="100"/>
              <w:rPr>
                <w:rFonts w:eastAsia="Times New Roman"/>
                <w:sz w:val="20"/>
                <w:szCs w:val="20"/>
              </w:rPr>
            </w:pPr>
          </w:p>
        </w:tc>
        <w:tc>
          <w:tcPr>
            <w:tcW w:w="0" w:type="auto"/>
            <w:gridSpan w:val="3"/>
            <w:vAlign w:val="center"/>
            <w:hideMark/>
          </w:tcPr>
          <w:p w14:paraId="25C66567" w14:textId="77777777" w:rsidR="00000000" w:rsidRDefault="00A173A8">
            <w:pPr>
              <w:spacing w:after="100"/>
              <w:rPr>
                <w:rFonts w:eastAsia="Times New Roman"/>
                <w:sz w:val="20"/>
                <w:szCs w:val="20"/>
              </w:rPr>
            </w:pPr>
          </w:p>
        </w:tc>
        <w:tc>
          <w:tcPr>
            <w:tcW w:w="0" w:type="auto"/>
            <w:gridSpan w:val="3"/>
            <w:vAlign w:val="center"/>
            <w:hideMark/>
          </w:tcPr>
          <w:p w14:paraId="472CF769" w14:textId="77777777" w:rsidR="00000000" w:rsidRDefault="00A173A8">
            <w:pPr>
              <w:spacing w:after="100"/>
              <w:rPr>
                <w:rFonts w:eastAsia="Times New Roman"/>
                <w:sz w:val="20"/>
                <w:szCs w:val="20"/>
              </w:rPr>
            </w:pPr>
          </w:p>
        </w:tc>
        <w:tc>
          <w:tcPr>
            <w:tcW w:w="0" w:type="auto"/>
            <w:gridSpan w:val="3"/>
            <w:vAlign w:val="center"/>
            <w:hideMark/>
          </w:tcPr>
          <w:p w14:paraId="231C4C91" w14:textId="77777777" w:rsidR="00000000" w:rsidRDefault="00A173A8">
            <w:pPr>
              <w:spacing w:after="100"/>
              <w:rPr>
                <w:rFonts w:eastAsia="Times New Roman"/>
                <w:sz w:val="20"/>
                <w:szCs w:val="20"/>
              </w:rPr>
            </w:pPr>
          </w:p>
        </w:tc>
        <w:tc>
          <w:tcPr>
            <w:tcW w:w="0" w:type="auto"/>
            <w:gridSpan w:val="3"/>
            <w:vAlign w:val="center"/>
            <w:hideMark/>
          </w:tcPr>
          <w:p w14:paraId="0FB20CDA" w14:textId="77777777" w:rsidR="00000000" w:rsidRDefault="00A173A8">
            <w:pPr>
              <w:spacing w:after="100"/>
              <w:rPr>
                <w:rFonts w:eastAsia="Times New Roman"/>
                <w:sz w:val="20"/>
                <w:szCs w:val="20"/>
              </w:rPr>
            </w:pPr>
          </w:p>
        </w:tc>
        <w:tc>
          <w:tcPr>
            <w:tcW w:w="0" w:type="auto"/>
            <w:gridSpan w:val="3"/>
            <w:vAlign w:val="center"/>
            <w:hideMark/>
          </w:tcPr>
          <w:p w14:paraId="3CA3C72F" w14:textId="77777777" w:rsidR="00000000" w:rsidRDefault="00A173A8">
            <w:pPr>
              <w:spacing w:after="100"/>
              <w:rPr>
                <w:rFonts w:eastAsia="Times New Roman"/>
                <w:sz w:val="20"/>
                <w:szCs w:val="20"/>
              </w:rPr>
            </w:pPr>
          </w:p>
        </w:tc>
        <w:tc>
          <w:tcPr>
            <w:tcW w:w="0" w:type="auto"/>
            <w:gridSpan w:val="3"/>
            <w:vAlign w:val="center"/>
            <w:hideMark/>
          </w:tcPr>
          <w:p w14:paraId="721D348E" w14:textId="77777777" w:rsidR="00000000" w:rsidRDefault="00A173A8">
            <w:pPr>
              <w:spacing w:after="100"/>
              <w:rPr>
                <w:rFonts w:eastAsia="Times New Roman"/>
                <w:sz w:val="20"/>
                <w:szCs w:val="20"/>
              </w:rPr>
            </w:pPr>
          </w:p>
        </w:tc>
        <w:tc>
          <w:tcPr>
            <w:tcW w:w="0" w:type="auto"/>
            <w:gridSpan w:val="3"/>
            <w:vAlign w:val="center"/>
            <w:hideMark/>
          </w:tcPr>
          <w:p w14:paraId="65762DA9" w14:textId="77777777" w:rsidR="00000000" w:rsidRDefault="00A173A8">
            <w:pPr>
              <w:spacing w:after="100"/>
              <w:rPr>
                <w:rFonts w:eastAsia="Times New Roman"/>
                <w:sz w:val="20"/>
                <w:szCs w:val="20"/>
              </w:rPr>
            </w:pPr>
          </w:p>
        </w:tc>
        <w:tc>
          <w:tcPr>
            <w:tcW w:w="0" w:type="auto"/>
            <w:vAlign w:val="center"/>
            <w:hideMark/>
          </w:tcPr>
          <w:p w14:paraId="01C292D3" w14:textId="77777777" w:rsidR="00000000" w:rsidRDefault="00A173A8">
            <w:pPr>
              <w:spacing w:after="100"/>
              <w:rPr>
                <w:rFonts w:eastAsia="Times New Roman"/>
                <w:sz w:val="20"/>
                <w:szCs w:val="20"/>
              </w:rPr>
            </w:pPr>
          </w:p>
        </w:tc>
        <w:tc>
          <w:tcPr>
            <w:tcW w:w="0" w:type="auto"/>
            <w:vAlign w:val="center"/>
            <w:hideMark/>
          </w:tcPr>
          <w:p w14:paraId="208767BF" w14:textId="77777777" w:rsidR="00000000" w:rsidRDefault="00A173A8">
            <w:pPr>
              <w:spacing w:after="100"/>
              <w:rPr>
                <w:rFonts w:eastAsia="Times New Roman"/>
                <w:sz w:val="20"/>
                <w:szCs w:val="20"/>
              </w:rPr>
            </w:pPr>
          </w:p>
        </w:tc>
        <w:tc>
          <w:tcPr>
            <w:tcW w:w="0" w:type="auto"/>
            <w:gridSpan w:val="3"/>
            <w:vAlign w:val="center"/>
            <w:hideMark/>
          </w:tcPr>
          <w:p w14:paraId="05A3BB9F" w14:textId="77777777" w:rsidR="00000000" w:rsidRDefault="00A173A8">
            <w:pPr>
              <w:spacing w:after="100"/>
              <w:rPr>
                <w:rFonts w:eastAsia="Times New Roman"/>
                <w:sz w:val="20"/>
                <w:szCs w:val="20"/>
              </w:rPr>
            </w:pPr>
          </w:p>
        </w:tc>
        <w:tc>
          <w:tcPr>
            <w:tcW w:w="0" w:type="auto"/>
            <w:vAlign w:val="center"/>
            <w:hideMark/>
          </w:tcPr>
          <w:p w14:paraId="756173D6" w14:textId="77777777" w:rsidR="00000000" w:rsidRDefault="00A173A8">
            <w:pPr>
              <w:spacing w:after="100"/>
              <w:rPr>
                <w:rFonts w:eastAsia="Times New Roman"/>
                <w:sz w:val="20"/>
                <w:szCs w:val="20"/>
              </w:rPr>
            </w:pPr>
          </w:p>
        </w:tc>
        <w:tc>
          <w:tcPr>
            <w:tcW w:w="0" w:type="auto"/>
            <w:gridSpan w:val="3"/>
            <w:vAlign w:val="center"/>
            <w:hideMark/>
          </w:tcPr>
          <w:p w14:paraId="36A5D7F9" w14:textId="77777777" w:rsidR="00000000" w:rsidRDefault="00A173A8">
            <w:pPr>
              <w:spacing w:after="100"/>
              <w:rPr>
                <w:rFonts w:eastAsia="Times New Roman"/>
                <w:sz w:val="20"/>
                <w:szCs w:val="20"/>
              </w:rPr>
            </w:pPr>
          </w:p>
        </w:tc>
        <w:tc>
          <w:tcPr>
            <w:tcW w:w="0" w:type="auto"/>
            <w:gridSpan w:val="3"/>
            <w:vAlign w:val="center"/>
            <w:hideMark/>
          </w:tcPr>
          <w:p w14:paraId="135B2F6C" w14:textId="77777777" w:rsidR="00000000" w:rsidRDefault="00A173A8">
            <w:pPr>
              <w:spacing w:after="100"/>
              <w:rPr>
                <w:rFonts w:eastAsia="Times New Roman"/>
                <w:sz w:val="20"/>
                <w:szCs w:val="20"/>
              </w:rPr>
            </w:pPr>
          </w:p>
        </w:tc>
        <w:tc>
          <w:tcPr>
            <w:tcW w:w="0" w:type="auto"/>
            <w:gridSpan w:val="3"/>
            <w:vAlign w:val="center"/>
            <w:hideMark/>
          </w:tcPr>
          <w:p w14:paraId="2C36EC0C" w14:textId="77777777" w:rsidR="00000000" w:rsidRDefault="00A173A8">
            <w:pPr>
              <w:spacing w:after="100"/>
              <w:rPr>
                <w:rFonts w:eastAsia="Times New Roman"/>
                <w:sz w:val="20"/>
                <w:szCs w:val="20"/>
              </w:rPr>
            </w:pPr>
          </w:p>
        </w:tc>
        <w:tc>
          <w:tcPr>
            <w:tcW w:w="0" w:type="auto"/>
            <w:gridSpan w:val="3"/>
            <w:vAlign w:val="center"/>
            <w:hideMark/>
          </w:tcPr>
          <w:p w14:paraId="520A4979" w14:textId="77777777" w:rsidR="00000000" w:rsidRDefault="00A173A8">
            <w:pPr>
              <w:spacing w:after="100"/>
              <w:rPr>
                <w:rFonts w:eastAsia="Times New Roman"/>
                <w:sz w:val="20"/>
                <w:szCs w:val="20"/>
              </w:rPr>
            </w:pPr>
          </w:p>
        </w:tc>
        <w:tc>
          <w:tcPr>
            <w:tcW w:w="0" w:type="auto"/>
            <w:gridSpan w:val="3"/>
            <w:vAlign w:val="center"/>
            <w:hideMark/>
          </w:tcPr>
          <w:p w14:paraId="6FB17AE0" w14:textId="77777777" w:rsidR="00000000" w:rsidRDefault="00A173A8">
            <w:pPr>
              <w:spacing w:after="100"/>
              <w:rPr>
                <w:rFonts w:eastAsia="Times New Roman"/>
                <w:sz w:val="20"/>
                <w:szCs w:val="20"/>
              </w:rPr>
            </w:pPr>
          </w:p>
        </w:tc>
        <w:tc>
          <w:tcPr>
            <w:tcW w:w="0" w:type="auto"/>
            <w:gridSpan w:val="2"/>
            <w:vAlign w:val="center"/>
            <w:hideMark/>
          </w:tcPr>
          <w:p w14:paraId="06C3CE00" w14:textId="77777777" w:rsidR="00000000" w:rsidRDefault="00A173A8">
            <w:pPr>
              <w:spacing w:after="100"/>
              <w:rPr>
                <w:rFonts w:eastAsia="Times New Roman"/>
                <w:sz w:val="20"/>
                <w:szCs w:val="20"/>
              </w:rPr>
            </w:pPr>
          </w:p>
        </w:tc>
      </w:tr>
      <w:tr w:rsidR="00000000" w14:paraId="7FF86420" w14:textId="77777777">
        <w:trPr>
          <w:divId w:val="261111824"/>
        </w:trPr>
        <w:tc>
          <w:tcPr>
            <w:tcW w:w="0" w:type="auto"/>
            <w:gridSpan w:val="3"/>
            <w:shd w:val="clear" w:color="auto" w:fill="FFFFFF"/>
            <w:tcMar>
              <w:top w:w="30" w:type="dxa"/>
              <w:left w:w="20" w:type="dxa"/>
              <w:bottom w:w="30" w:type="dxa"/>
              <w:right w:w="20" w:type="dxa"/>
            </w:tcMar>
            <w:vAlign w:val="center"/>
            <w:hideMark/>
          </w:tcPr>
          <w:p w14:paraId="64DE3F6F" w14:textId="77777777" w:rsidR="00000000" w:rsidRDefault="00A173A8">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14:paraId="3D347CF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1ABAC76"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203E755" w14:textId="77777777" w:rsidR="00000000" w:rsidRDefault="00A173A8">
            <w:pPr>
              <w:spacing w:after="100"/>
              <w:jc w:val="right"/>
              <w:rPr>
                <w:rFonts w:eastAsia="Times New Roman"/>
              </w:rPr>
            </w:pPr>
            <w:r>
              <w:rPr>
                <w:rFonts w:eastAsia="Times New Roman"/>
                <w:b/>
                <w:bCs/>
                <w:color w:val="000000"/>
                <w:sz w:val="20"/>
                <w:szCs w:val="20"/>
              </w:rPr>
              <w:t>6,517</w:t>
            </w:r>
          </w:p>
        </w:tc>
        <w:tc>
          <w:tcPr>
            <w:tcW w:w="0" w:type="auto"/>
            <w:gridSpan w:val="3"/>
            <w:shd w:val="clear" w:color="auto" w:fill="FFFFFF"/>
            <w:tcMar>
              <w:top w:w="0" w:type="dxa"/>
              <w:left w:w="20" w:type="dxa"/>
              <w:bottom w:w="0" w:type="dxa"/>
              <w:right w:w="20" w:type="dxa"/>
            </w:tcMar>
            <w:vAlign w:val="center"/>
            <w:hideMark/>
          </w:tcPr>
          <w:p w14:paraId="7ACE981E"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2AEBAD8"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442EBB9" w14:textId="77777777" w:rsidR="00000000" w:rsidRDefault="00A173A8">
            <w:pPr>
              <w:spacing w:after="100"/>
              <w:jc w:val="right"/>
              <w:rPr>
                <w:rFonts w:eastAsia="Times New Roman"/>
              </w:rPr>
            </w:pPr>
            <w:r>
              <w:rPr>
                <w:rFonts w:eastAsia="Times New Roman"/>
                <w:color w:val="000000"/>
                <w:sz w:val="20"/>
                <w:szCs w:val="20"/>
              </w:rPr>
              <w:t>5,743</w:t>
            </w:r>
          </w:p>
        </w:tc>
        <w:tc>
          <w:tcPr>
            <w:tcW w:w="0" w:type="auto"/>
            <w:gridSpan w:val="3"/>
            <w:shd w:val="clear" w:color="auto" w:fill="FFFFFF"/>
            <w:tcMar>
              <w:top w:w="0" w:type="dxa"/>
              <w:left w:w="20" w:type="dxa"/>
              <w:bottom w:w="0" w:type="dxa"/>
              <w:right w:w="20" w:type="dxa"/>
            </w:tcMar>
            <w:vAlign w:val="center"/>
            <w:hideMark/>
          </w:tcPr>
          <w:p w14:paraId="765A10B0"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83F3322" w14:textId="77777777" w:rsidR="00000000" w:rsidRDefault="00A173A8">
            <w:pPr>
              <w:spacing w:after="100"/>
              <w:jc w:val="right"/>
              <w:rPr>
                <w:rFonts w:eastAsia="Times New Roman"/>
              </w:rPr>
            </w:pPr>
            <w:r>
              <w:rPr>
                <w:rFonts w:eastAsia="Times New Roman"/>
                <w:color w:val="000000"/>
                <w:sz w:val="20"/>
                <w:szCs w:val="20"/>
              </w:rPr>
              <w:t>13%</w:t>
            </w:r>
          </w:p>
        </w:tc>
        <w:tc>
          <w:tcPr>
            <w:tcW w:w="0" w:type="auto"/>
            <w:gridSpan w:val="3"/>
            <w:shd w:val="clear" w:color="auto" w:fill="FFFFFF"/>
            <w:tcMar>
              <w:top w:w="0" w:type="dxa"/>
              <w:left w:w="20" w:type="dxa"/>
              <w:bottom w:w="0" w:type="dxa"/>
              <w:right w:w="20" w:type="dxa"/>
            </w:tcMar>
            <w:vAlign w:val="center"/>
            <w:hideMark/>
          </w:tcPr>
          <w:p w14:paraId="2B99A1A7"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FDB58B6"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CE71E2C" w14:textId="77777777" w:rsidR="00000000" w:rsidRDefault="00A173A8">
            <w:pPr>
              <w:spacing w:after="100"/>
              <w:jc w:val="right"/>
              <w:rPr>
                <w:rFonts w:eastAsia="Times New Roman"/>
              </w:rPr>
            </w:pPr>
            <w:r>
              <w:rPr>
                <w:rFonts w:eastAsia="Times New Roman"/>
                <w:b/>
                <w:bCs/>
                <w:color w:val="000000"/>
                <w:sz w:val="20"/>
                <w:szCs w:val="20"/>
              </w:rPr>
              <w:t>12,914</w:t>
            </w:r>
          </w:p>
        </w:tc>
        <w:tc>
          <w:tcPr>
            <w:tcW w:w="0" w:type="auto"/>
            <w:gridSpan w:val="3"/>
            <w:shd w:val="clear" w:color="auto" w:fill="FFFFFF"/>
            <w:tcMar>
              <w:top w:w="0" w:type="dxa"/>
              <w:left w:w="20" w:type="dxa"/>
              <w:bottom w:w="0" w:type="dxa"/>
              <w:right w:w="20" w:type="dxa"/>
            </w:tcMar>
            <w:vAlign w:val="center"/>
            <w:hideMark/>
          </w:tcPr>
          <w:p w14:paraId="297D78F2"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D959229"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E151C36" w14:textId="77777777" w:rsidR="00000000" w:rsidRDefault="00A173A8">
            <w:pPr>
              <w:spacing w:after="100"/>
              <w:jc w:val="right"/>
              <w:rPr>
                <w:rFonts w:eastAsia="Times New Roman"/>
              </w:rPr>
            </w:pPr>
            <w:r>
              <w:rPr>
                <w:rFonts w:eastAsia="Times New Roman"/>
                <w:color w:val="000000"/>
                <w:sz w:val="20"/>
                <w:szCs w:val="20"/>
              </w:rPr>
              <w:t>11,565</w:t>
            </w:r>
          </w:p>
        </w:tc>
        <w:tc>
          <w:tcPr>
            <w:tcW w:w="0" w:type="auto"/>
            <w:vAlign w:val="center"/>
            <w:hideMark/>
          </w:tcPr>
          <w:p w14:paraId="0AE84459" w14:textId="77777777" w:rsidR="00000000" w:rsidRDefault="00A173A8">
            <w:pPr>
              <w:spacing w:after="100"/>
              <w:jc w:val="right"/>
              <w:rPr>
                <w:rFonts w:eastAsia="Times New Roman"/>
              </w:rPr>
            </w:pPr>
          </w:p>
        </w:tc>
        <w:tc>
          <w:tcPr>
            <w:tcW w:w="0" w:type="auto"/>
            <w:vAlign w:val="center"/>
            <w:hideMark/>
          </w:tcPr>
          <w:p w14:paraId="0B92C03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E47BBC" w14:textId="77777777" w:rsidR="00000000" w:rsidRDefault="00A173A8">
            <w:pPr>
              <w:spacing w:after="100"/>
              <w:rPr>
                <w:rFonts w:eastAsia="Times New Roman"/>
                <w:sz w:val="20"/>
                <w:szCs w:val="20"/>
              </w:rPr>
            </w:pPr>
          </w:p>
        </w:tc>
        <w:tc>
          <w:tcPr>
            <w:tcW w:w="0" w:type="auto"/>
            <w:vAlign w:val="center"/>
            <w:hideMark/>
          </w:tcPr>
          <w:p w14:paraId="336BA3E7" w14:textId="77777777" w:rsidR="00000000" w:rsidRDefault="00A173A8">
            <w:pPr>
              <w:spacing w:after="100"/>
              <w:rPr>
                <w:rFonts w:eastAsia="Times New Roman"/>
                <w:sz w:val="20"/>
                <w:szCs w:val="20"/>
              </w:rPr>
            </w:pPr>
          </w:p>
        </w:tc>
        <w:tc>
          <w:tcPr>
            <w:tcW w:w="0" w:type="auto"/>
            <w:gridSpan w:val="3"/>
            <w:vAlign w:val="center"/>
            <w:hideMark/>
          </w:tcPr>
          <w:p w14:paraId="437BAF22" w14:textId="77777777" w:rsidR="00000000" w:rsidRDefault="00A173A8">
            <w:pPr>
              <w:spacing w:after="100"/>
              <w:rPr>
                <w:rFonts w:eastAsia="Times New Roman"/>
                <w:sz w:val="20"/>
                <w:szCs w:val="20"/>
              </w:rPr>
            </w:pPr>
          </w:p>
        </w:tc>
        <w:tc>
          <w:tcPr>
            <w:tcW w:w="0" w:type="auto"/>
            <w:gridSpan w:val="3"/>
            <w:vAlign w:val="center"/>
            <w:hideMark/>
          </w:tcPr>
          <w:p w14:paraId="7AFA7980" w14:textId="77777777" w:rsidR="00000000" w:rsidRDefault="00A173A8">
            <w:pPr>
              <w:spacing w:after="100"/>
              <w:rPr>
                <w:rFonts w:eastAsia="Times New Roman"/>
                <w:sz w:val="20"/>
                <w:szCs w:val="20"/>
              </w:rPr>
            </w:pPr>
          </w:p>
        </w:tc>
        <w:tc>
          <w:tcPr>
            <w:tcW w:w="0" w:type="auto"/>
            <w:gridSpan w:val="3"/>
            <w:vAlign w:val="center"/>
            <w:hideMark/>
          </w:tcPr>
          <w:p w14:paraId="76140EA5"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7A82C68D" w14:textId="77777777" w:rsidR="00000000" w:rsidRDefault="00A173A8">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0607FDBF" w14:textId="77777777" w:rsidR="00000000" w:rsidRDefault="00A173A8">
            <w:pPr>
              <w:spacing w:after="100"/>
              <w:jc w:val="right"/>
              <w:rPr>
                <w:rFonts w:eastAsia="Times New Roman"/>
              </w:rPr>
            </w:pPr>
          </w:p>
        </w:tc>
        <w:tc>
          <w:tcPr>
            <w:tcW w:w="0" w:type="auto"/>
            <w:gridSpan w:val="2"/>
            <w:vAlign w:val="center"/>
            <w:hideMark/>
          </w:tcPr>
          <w:p w14:paraId="7B9E38DD" w14:textId="77777777" w:rsidR="00000000" w:rsidRDefault="00A173A8">
            <w:pPr>
              <w:spacing w:after="100"/>
              <w:rPr>
                <w:rFonts w:eastAsia="Times New Roman"/>
                <w:sz w:val="20"/>
                <w:szCs w:val="20"/>
              </w:rPr>
            </w:pPr>
          </w:p>
        </w:tc>
      </w:tr>
      <w:tr w:rsidR="00000000" w14:paraId="7F71620B" w14:textId="77777777">
        <w:trPr>
          <w:divId w:val="261111824"/>
        </w:trPr>
        <w:tc>
          <w:tcPr>
            <w:tcW w:w="0" w:type="auto"/>
            <w:gridSpan w:val="3"/>
            <w:shd w:val="clear" w:color="auto" w:fill="CCEEFF"/>
            <w:tcMar>
              <w:top w:w="30" w:type="dxa"/>
              <w:left w:w="20" w:type="dxa"/>
              <w:bottom w:w="30" w:type="dxa"/>
              <w:right w:w="20" w:type="dxa"/>
            </w:tcMar>
            <w:vAlign w:val="center"/>
            <w:hideMark/>
          </w:tcPr>
          <w:p w14:paraId="77262AEA" w14:textId="77777777" w:rsidR="00000000" w:rsidRDefault="00A173A8">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14:paraId="0E4946A0"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C272618" w14:textId="77777777" w:rsidR="00000000" w:rsidRDefault="00A173A8">
            <w:pPr>
              <w:spacing w:after="100"/>
              <w:jc w:val="right"/>
              <w:rPr>
                <w:rFonts w:eastAsia="Times New Roman"/>
              </w:rPr>
            </w:pPr>
            <w:r>
              <w:rPr>
                <w:rFonts w:eastAsia="Times New Roman"/>
                <w:b/>
                <w:bCs/>
                <w:color w:val="000000"/>
                <w:sz w:val="20"/>
                <w:szCs w:val="20"/>
              </w:rPr>
              <w:t>1,715</w:t>
            </w:r>
          </w:p>
        </w:tc>
        <w:tc>
          <w:tcPr>
            <w:tcW w:w="0" w:type="auto"/>
            <w:gridSpan w:val="3"/>
            <w:shd w:val="clear" w:color="auto" w:fill="CCEEFF"/>
            <w:tcMar>
              <w:top w:w="0" w:type="dxa"/>
              <w:left w:w="20" w:type="dxa"/>
              <w:bottom w:w="0" w:type="dxa"/>
              <w:right w:w="20" w:type="dxa"/>
            </w:tcMar>
            <w:vAlign w:val="center"/>
            <w:hideMark/>
          </w:tcPr>
          <w:p w14:paraId="74ED228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851D37B" w14:textId="77777777" w:rsidR="00000000" w:rsidRDefault="00A173A8">
            <w:pPr>
              <w:spacing w:after="100"/>
              <w:jc w:val="right"/>
              <w:rPr>
                <w:rFonts w:eastAsia="Times New Roman"/>
              </w:rPr>
            </w:pPr>
            <w:r>
              <w:rPr>
                <w:rFonts w:eastAsia="Times New Roman"/>
                <w:color w:val="000000"/>
                <w:sz w:val="20"/>
                <w:szCs w:val="20"/>
              </w:rPr>
              <w:t>1,631</w:t>
            </w:r>
          </w:p>
        </w:tc>
        <w:tc>
          <w:tcPr>
            <w:tcW w:w="0" w:type="auto"/>
            <w:gridSpan w:val="3"/>
            <w:shd w:val="clear" w:color="auto" w:fill="CCEEFF"/>
            <w:tcMar>
              <w:top w:w="0" w:type="dxa"/>
              <w:left w:w="20" w:type="dxa"/>
              <w:bottom w:w="0" w:type="dxa"/>
              <w:right w:w="20" w:type="dxa"/>
            </w:tcMar>
            <w:vAlign w:val="center"/>
            <w:hideMark/>
          </w:tcPr>
          <w:p w14:paraId="062AF213"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389574F5" w14:textId="77777777" w:rsidR="00000000" w:rsidRDefault="00A173A8">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14:paraId="58B49B5E"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3B9401D" w14:textId="77777777" w:rsidR="00000000" w:rsidRDefault="00A173A8">
            <w:pPr>
              <w:spacing w:after="100"/>
              <w:jc w:val="right"/>
              <w:rPr>
                <w:rFonts w:eastAsia="Times New Roman"/>
              </w:rPr>
            </w:pPr>
            <w:r>
              <w:rPr>
                <w:rFonts w:eastAsia="Times New Roman"/>
                <w:b/>
                <w:bCs/>
                <w:color w:val="000000"/>
                <w:sz w:val="20"/>
                <w:szCs w:val="20"/>
              </w:rPr>
              <w:t>3,491</w:t>
            </w:r>
          </w:p>
        </w:tc>
        <w:tc>
          <w:tcPr>
            <w:tcW w:w="0" w:type="auto"/>
            <w:gridSpan w:val="3"/>
            <w:shd w:val="clear" w:color="auto" w:fill="CCEEFF"/>
            <w:tcMar>
              <w:top w:w="0" w:type="dxa"/>
              <w:left w:w="20" w:type="dxa"/>
              <w:bottom w:w="0" w:type="dxa"/>
              <w:right w:w="20" w:type="dxa"/>
            </w:tcMar>
            <w:vAlign w:val="center"/>
            <w:hideMark/>
          </w:tcPr>
          <w:p w14:paraId="14DD5FA5"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BAAFEE2" w14:textId="77777777" w:rsidR="00000000" w:rsidRDefault="00A173A8">
            <w:pPr>
              <w:spacing w:after="100"/>
              <w:jc w:val="right"/>
              <w:rPr>
                <w:rFonts w:eastAsia="Times New Roman"/>
              </w:rPr>
            </w:pPr>
            <w:r>
              <w:rPr>
                <w:rFonts w:eastAsia="Times New Roman"/>
                <w:color w:val="000000"/>
                <w:sz w:val="20"/>
                <w:szCs w:val="20"/>
              </w:rPr>
              <w:t>2,922</w:t>
            </w:r>
          </w:p>
        </w:tc>
        <w:tc>
          <w:tcPr>
            <w:tcW w:w="0" w:type="auto"/>
            <w:vAlign w:val="center"/>
            <w:hideMark/>
          </w:tcPr>
          <w:p w14:paraId="3A00D195" w14:textId="77777777" w:rsidR="00000000" w:rsidRDefault="00A173A8">
            <w:pPr>
              <w:spacing w:after="100"/>
              <w:jc w:val="right"/>
              <w:rPr>
                <w:rFonts w:eastAsia="Times New Roman"/>
              </w:rPr>
            </w:pPr>
          </w:p>
        </w:tc>
        <w:tc>
          <w:tcPr>
            <w:tcW w:w="0" w:type="auto"/>
            <w:vAlign w:val="center"/>
            <w:hideMark/>
          </w:tcPr>
          <w:p w14:paraId="4C7524C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10FCD3" w14:textId="77777777" w:rsidR="00000000" w:rsidRDefault="00A173A8">
            <w:pPr>
              <w:spacing w:after="100"/>
              <w:rPr>
                <w:rFonts w:eastAsia="Times New Roman"/>
                <w:sz w:val="20"/>
                <w:szCs w:val="20"/>
              </w:rPr>
            </w:pPr>
          </w:p>
        </w:tc>
        <w:tc>
          <w:tcPr>
            <w:tcW w:w="0" w:type="auto"/>
            <w:vAlign w:val="center"/>
            <w:hideMark/>
          </w:tcPr>
          <w:p w14:paraId="37C00145" w14:textId="77777777" w:rsidR="00000000" w:rsidRDefault="00A173A8">
            <w:pPr>
              <w:spacing w:after="100"/>
              <w:rPr>
                <w:rFonts w:eastAsia="Times New Roman"/>
                <w:sz w:val="20"/>
                <w:szCs w:val="20"/>
              </w:rPr>
            </w:pPr>
          </w:p>
        </w:tc>
        <w:tc>
          <w:tcPr>
            <w:tcW w:w="0" w:type="auto"/>
            <w:gridSpan w:val="3"/>
            <w:vAlign w:val="center"/>
            <w:hideMark/>
          </w:tcPr>
          <w:p w14:paraId="5BFD8D01" w14:textId="77777777" w:rsidR="00000000" w:rsidRDefault="00A173A8">
            <w:pPr>
              <w:spacing w:after="100"/>
              <w:rPr>
                <w:rFonts w:eastAsia="Times New Roman"/>
                <w:sz w:val="20"/>
                <w:szCs w:val="20"/>
              </w:rPr>
            </w:pPr>
          </w:p>
        </w:tc>
        <w:tc>
          <w:tcPr>
            <w:tcW w:w="0" w:type="auto"/>
            <w:gridSpan w:val="3"/>
            <w:vAlign w:val="center"/>
            <w:hideMark/>
          </w:tcPr>
          <w:p w14:paraId="29175082" w14:textId="77777777" w:rsidR="00000000" w:rsidRDefault="00A173A8">
            <w:pPr>
              <w:spacing w:after="100"/>
              <w:rPr>
                <w:rFonts w:eastAsia="Times New Roman"/>
                <w:sz w:val="20"/>
                <w:szCs w:val="20"/>
              </w:rPr>
            </w:pPr>
          </w:p>
        </w:tc>
        <w:tc>
          <w:tcPr>
            <w:tcW w:w="0" w:type="auto"/>
            <w:gridSpan w:val="3"/>
            <w:vAlign w:val="center"/>
            <w:hideMark/>
          </w:tcPr>
          <w:p w14:paraId="7E784957"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67A27EB2" w14:textId="77777777" w:rsidR="00000000" w:rsidRDefault="00A173A8">
            <w:pPr>
              <w:spacing w:after="100"/>
              <w:jc w:val="right"/>
              <w:rPr>
                <w:rFonts w:eastAsia="Times New Roman"/>
              </w:rPr>
            </w:pPr>
            <w:r>
              <w:rPr>
                <w:rFonts w:eastAsia="Times New Roman"/>
                <w:color w:val="000000"/>
                <w:sz w:val="20"/>
                <w:szCs w:val="20"/>
              </w:rPr>
              <w:t>19</w:t>
            </w:r>
          </w:p>
        </w:tc>
        <w:tc>
          <w:tcPr>
            <w:tcW w:w="0" w:type="auto"/>
            <w:gridSpan w:val="3"/>
            <w:vAlign w:val="center"/>
            <w:hideMark/>
          </w:tcPr>
          <w:p w14:paraId="5FE368AD" w14:textId="77777777" w:rsidR="00000000" w:rsidRDefault="00A173A8">
            <w:pPr>
              <w:spacing w:after="100"/>
              <w:jc w:val="right"/>
              <w:rPr>
                <w:rFonts w:eastAsia="Times New Roman"/>
              </w:rPr>
            </w:pPr>
          </w:p>
        </w:tc>
        <w:tc>
          <w:tcPr>
            <w:tcW w:w="0" w:type="auto"/>
            <w:gridSpan w:val="2"/>
            <w:vAlign w:val="center"/>
            <w:hideMark/>
          </w:tcPr>
          <w:p w14:paraId="323391E9" w14:textId="77777777" w:rsidR="00000000" w:rsidRDefault="00A173A8">
            <w:pPr>
              <w:spacing w:after="100"/>
              <w:rPr>
                <w:rFonts w:eastAsia="Times New Roman"/>
                <w:sz w:val="20"/>
                <w:szCs w:val="20"/>
              </w:rPr>
            </w:pPr>
          </w:p>
        </w:tc>
      </w:tr>
      <w:tr w:rsidR="00000000" w14:paraId="4D8FCD88" w14:textId="77777777">
        <w:trPr>
          <w:divId w:val="261111824"/>
        </w:trPr>
        <w:tc>
          <w:tcPr>
            <w:tcW w:w="0" w:type="auto"/>
            <w:gridSpan w:val="3"/>
            <w:shd w:val="clear" w:color="auto" w:fill="FFFFFF"/>
            <w:tcMar>
              <w:top w:w="30" w:type="dxa"/>
              <w:left w:w="20" w:type="dxa"/>
              <w:bottom w:w="30" w:type="dxa"/>
              <w:right w:w="20" w:type="dxa"/>
            </w:tcMar>
            <w:vAlign w:val="center"/>
            <w:hideMark/>
          </w:tcPr>
          <w:p w14:paraId="3BCB4E5C" w14:textId="77777777" w:rsidR="00000000" w:rsidRDefault="00A173A8">
            <w:pPr>
              <w:spacing w:after="100"/>
              <w:rPr>
                <w:rFonts w:eastAsia="Times New Roman"/>
              </w:rPr>
            </w:pPr>
            <w:r>
              <w:rPr>
                <w:rFonts w:eastAsia="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center"/>
            <w:hideMark/>
          </w:tcPr>
          <w:p w14:paraId="0189FDC3"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5D8C941" w14:textId="77777777" w:rsidR="00000000" w:rsidRDefault="00A173A8">
            <w:pPr>
              <w:spacing w:after="100"/>
              <w:jc w:val="right"/>
              <w:rPr>
                <w:rFonts w:eastAsia="Times New Roman"/>
              </w:rPr>
            </w:pPr>
            <w:r>
              <w:rPr>
                <w:rFonts w:eastAsia="Times New Roman"/>
                <w:b/>
                <w:bCs/>
                <w:color w:val="000000"/>
                <w:sz w:val="20"/>
                <w:szCs w:val="20"/>
              </w:rPr>
              <w:t>8,232</w:t>
            </w:r>
          </w:p>
        </w:tc>
        <w:tc>
          <w:tcPr>
            <w:tcW w:w="0" w:type="auto"/>
            <w:gridSpan w:val="3"/>
            <w:shd w:val="clear" w:color="auto" w:fill="FFFFFF"/>
            <w:tcMar>
              <w:top w:w="0" w:type="dxa"/>
              <w:left w:w="20" w:type="dxa"/>
              <w:bottom w:w="0" w:type="dxa"/>
              <w:right w:w="20" w:type="dxa"/>
            </w:tcMar>
            <w:vAlign w:val="center"/>
            <w:hideMark/>
          </w:tcPr>
          <w:p w14:paraId="08AD8AED"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04B74995" w14:textId="77777777" w:rsidR="00000000" w:rsidRDefault="00A173A8">
            <w:pPr>
              <w:spacing w:after="100"/>
              <w:jc w:val="right"/>
              <w:rPr>
                <w:rFonts w:eastAsia="Times New Roman"/>
              </w:rPr>
            </w:pPr>
            <w:r>
              <w:rPr>
                <w:rFonts w:eastAsia="Times New Roman"/>
                <w:color w:val="000000"/>
                <w:sz w:val="20"/>
                <w:szCs w:val="20"/>
              </w:rPr>
              <w:t>7,374</w:t>
            </w:r>
          </w:p>
        </w:tc>
        <w:tc>
          <w:tcPr>
            <w:tcW w:w="0" w:type="auto"/>
            <w:gridSpan w:val="3"/>
            <w:shd w:val="clear" w:color="auto" w:fill="FFFFFF"/>
            <w:tcMar>
              <w:top w:w="0" w:type="dxa"/>
              <w:left w:w="20" w:type="dxa"/>
              <w:bottom w:w="0" w:type="dxa"/>
              <w:right w:w="20" w:type="dxa"/>
            </w:tcMar>
            <w:vAlign w:val="center"/>
            <w:hideMark/>
          </w:tcPr>
          <w:p w14:paraId="068E79B0"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22DF18A3" w14:textId="77777777" w:rsidR="00000000" w:rsidRDefault="00A173A8">
            <w:pPr>
              <w:spacing w:after="100"/>
              <w:jc w:val="right"/>
              <w:rPr>
                <w:rFonts w:eastAsia="Times New Roman"/>
              </w:rPr>
            </w:pPr>
            <w:r>
              <w:rPr>
                <w:rFonts w:eastAsia="Times New Roman"/>
                <w:color w:val="000000"/>
                <w:sz w:val="20"/>
                <w:szCs w:val="20"/>
              </w:rPr>
              <w:t>12</w:t>
            </w:r>
          </w:p>
        </w:tc>
        <w:tc>
          <w:tcPr>
            <w:tcW w:w="0" w:type="auto"/>
            <w:gridSpan w:val="3"/>
            <w:shd w:val="clear" w:color="auto" w:fill="FFFFFF"/>
            <w:tcMar>
              <w:top w:w="0" w:type="dxa"/>
              <w:left w:w="20" w:type="dxa"/>
              <w:bottom w:w="0" w:type="dxa"/>
              <w:right w:w="20" w:type="dxa"/>
            </w:tcMar>
            <w:vAlign w:val="center"/>
            <w:hideMark/>
          </w:tcPr>
          <w:p w14:paraId="63C0F02E"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7BCAF76D" w14:textId="77777777" w:rsidR="00000000" w:rsidRDefault="00A173A8">
            <w:pPr>
              <w:spacing w:after="100"/>
              <w:jc w:val="right"/>
              <w:rPr>
                <w:rFonts w:eastAsia="Times New Roman"/>
              </w:rPr>
            </w:pPr>
            <w:r>
              <w:rPr>
                <w:rFonts w:eastAsia="Times New Roman"/>
                <w:b/>
                <w:bCs/>
                <w:color w:val="000000"/>
                <w:sz w:val="20"/>
                <w:szCs w:val="20"/>
              </w:rPr>
              <w:t>16,405</w:t>
            </w:r>
          </w:p>
        </w:tc>
        <w:tc>
          <w:tcPr>
            <w:tcW w:w="0" w:type="auto"/>
            <w:gridSpan w:val="3"/>
            <w:shd w:val="clear" w:color="auto" w:fill="FFFFFF"/>
            <w:tcMar>
              <w:top w:w="0" w:type="dxa"/>
              <w:left w:w="20" w:type="dxa"/>
              <w:bottom w:w="0" w:type="dxa"/>
              <w:right w:w="20" w:type="dxa"/>
            </w:tcMar>
            <w:vAlign w:val="center"/>
            <w:hideMark/>
          </w:tcPr>
          <w:p w14:paraId="34830988"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21186D7" w14:textId="77777777" w:rsidR="00000000" w:rsidRDefault="00A173A8">
            <w:pPr>
              <w:spacing w:after="100"/>
              <w:jc w:val="right"/>
              <w:rPr>
                <w:rFonts w:eastAsia="Times New Roman"/>
              </w:rPr>
            </w:pPr>
            <w:r>
              <w:rPr>
                <w:rFonts w:eastAsia="Times New Roman"/>
                <w:color w:val="000000"/>
                <w:sz w:val="20"/>
                <w:szCs w:val="20"/>
              </w:rPr>
              <w:t>14,487</w:t>
            </w:r>
          </w:p>
        </w:tc>
        <w:tc>
          <w:tcPr>
            <w:tcW w:w="0" w:type="auto"/>
            <w:vAlign w:val="center"/>
            <w:hideMark/>
          </w:tcPr>
          <w:p w14:paraId="156EB72E" w14:textId="77777777" w:rsidR="00000000" w:rsidRDefault="00A173A8">
            <w:pPr>
              <w:spacing w:after="100"/>
              <w:jc w:val="right"/>
              <w:rPr>
                <w:rFonts w:eastAsia="Times New Roman"/>
              </w:rPr>
            </w:pPr>
          </w:p>
        </w:tc>
        <w:tc>
          <w:tcPr>
            <w:tcW w:w="0" w:type="auto"/>
            <w:vAlign w:val="center"/>
            <w:hideMark/>
          </w:tcPr>
          <w:p w14:paraId="537627B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DE86AC" w14:textId="77777777" w:rsidR="00000000" w:rsidRDefault="00A173A8">
            <w:pPr>
              <w:spacing w:after="100"/>
              <w:rPr>
                <w:rFonts w:eastAsia="Times New Roman"/>
                <w:sz w:val="20"/>
                <w:szCs w:val="20"/>
              </w:rPr>
            </w:pPr>
          </w:p>
        </w:tc>
        <w:tc>
          <w:tcPr>
            <w:tcW w:w="0" w:type="auto"/>
            <w:vAlign w:val="center"/>
            <w:hideMark/>
          </w:tcPr>
          <w:p w14:paraId="51E1639A" w14:textId="77777777" w:rsidR="00000000" w:rsidRDefault="00A173A8">
            <w:pPr>
              <w:spacing w:after="100"/>
              <w:rPr>
                <w:rFonts w:eastAsia="Times New Roman"/>
                <w:sz w:val="20"/>
                <w:szCs w:val="20"/>
              </w:rPr>
            </w:pPr>
          </w:p>
        </w:tc>
        <w:tc>
          <w:tcPr>
            <w:tcW w:w="0" w:type="auto"/>
            <w:gridSpan w:val="3"/>
            <w:vAlign w:val="center"/>
            <w:hideMark/>
          </w:tcPr>
          <w:p w14:paraId="4EB6F32C" w14:textId="77777777" w:rsidR="00000000" w:rsidRDefault="00A173A8">
            <w:pPr>
              <w:spacing w:after="100"/>
              <w:rPr>
                <w:rFonts w:eastAsia="Times New Roman"/>
                <w:sz w:val="20"/>
                <w:szCs w:val="20"/>
              </w:rPr>
            </w:pPr>
          </w:p>
        </w:tc>
        <w:tc>
          <w:tcPr>
            <w:tcW w:w="0" w:type="auto"/>
            <w:gridSpan w:val="3"/>
            <w:vAlign w:val="center"/>
            <w:hideMark/>
          </w:tcPr>
          <w:p w14:paraId="5B9BABDC" w14:textId="77777777" w:rsidR="00000000" w:rsidRDefault="00A173A8">
            <w:pPr>
              <w:spacing w:after="100"/>
              <w:rPr>
                <w:rFonts w:eastAsia="Times New Roman"/>
                <w:sz w:val="20"/>
                <w:szCs w:val="20"/>
              </w:rPr>
            </w:pPr>
          </w:p>
        </w:tc>
        <w:tc>
          <w:tcPr>
            <w:tcW w:w="0" w:type="auto"/>
            <w:gridSpan w:val="3"/>
            <w:vAlign w:val="center"/>
            <w:hideMark/>
          </w:tcPr>
          <w:p w14:paraId="7E1CFEB2"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3963E275" w14:textId="77777777" w:rsidR="00000000" w:rsidRDefault="00A173A8">
            <w:pPr>
              <w:spacing w:after="100"/>
              <w:jc w:val="right"/>
              <w:rPr>
                <w:rFonts w:eastAsia="Times New Roman"/>
              </w:rPr>
            </w:pPr>
            <w:r>
              <w:rPr>
                <w:rFonts w:eastAsia="Times New Roman"/>
                <w:color w:val="000000"/>
                <w:sz w:val="20"/>
                <w:szCs w:val="20"/>
              </w:rPr>
              <w:t>13</w:t>
            </w:r>
          </w:p>
        </w:tc>
        <w:tc>
          <w:tcPr>
            <w:tcW w:w="0" w:type="auto"/>
            <w:gridSpan w:val="3"/>
            <w:vAlign w:val="center"/>
            <w:hideMark/>
          </w:tcPr>
          <w:p w14:paraId="47F37CA4" w14:textId="77777777" w:rsidR="00000000" w:rsidRDefault="00A173A8">
            <w:pPr>
              <w:spacing w:after="100"/>
              <w:jc w:val="right"/>
              <w:rPr>
                <w:rFonts w:eastAsia="Times New Roman"/>
              </w:rPr>
            </w:pPr>
          </w:p>
        </w:tc>
        <w:tc>
          <w:tcPr>
            <w:tcW w:w="0" w:type="auto"/>
            <w:gridSpan w:val="2"/>
            <w:vAlign w:val="center"/>
            <w:hideMark/>
          </w:tcPr>
          <w:p w14:paraId="63018D1F" w14:textId="77777777" w:rsidR="00000000" w:rsidRDefault="00A173A8">
            <w:pPr>
              <w:spacing w:after="100"/>
              <w:rPr>
                <w:rFonts w:eastAsia="Times New Roman"/>
                <w:sz w:val="20"/>
                <w:szCs w:val="20"/>
              </w:rPr>
            </w:pPr>
          </w:p>
        </w:tc>
      </w:tr>
      <w:tr w:rsidR="00000000" w14:paraId="23CA39FD" w14:textId="77777777">
        <w:trPr>
          <w:divId w:val="261111824"/>
        </w:trPr>
        <w:tc>
          <w:tcPr>
            <w:tcW w:w="0" w:type="auto"/>
            <w:gridSpan w:val="3"/>
            <w:shd w:val="clear" w:color="auto" w:fill="CCEEFF"/>
            <w:tcMar>
              <w:top w:w="30" w:type="dxa"/>
              <w:left w:w="20" w:type="dxa"/>
              <w:bottom w:w="30" w:type="dxa"/>
              <w:right w:w="20" w:type="dxa"/>
            </w:tcMar>
            <w:vAlign w:val="center"/>
            <w:hideMark/>
          </w:tcPr>
          <w:p w14:paraId="20CCAA22" w14:textId="77777777" w:rsidR="00000000" w:rsidRDefault="00A173A8">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66A79804"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67FBE19" w14:textId="77777777" w:rsidR="00000000" w:rsidRDefault="00A173A8">
            <w:pPr>
              <w:spacing w:after="100"/>
              <w:jc w:val="right"/>
              <w:rPr>
                <w:rFonts w:eastAsia="Times New Roman"/>
              </w:rPr>
            </w:pPr>
            <w:r>
              <w:rPr>
                <w:rFonts w:eastAsia="Times New Roman"/>
                <w:b/>
                <w:bCs/>
                <w:color w:val="000000"/>
                <w:sz w:val="20"/>
                <w:szCs w:val="20"/>
              </w:rPr>
              <w:t>1,085</w:t>
            </w:r>
          </w:p>
        </w:tc>
        <w:tc>
          <w:tcPr>
            <w:tcW w:w="0" w:type="auto"/>
            <w:gridSpan w:val="3"/>
            <w:shd w:val="clear" w:color="auto" w:fill="CCEEFF"/>
            <w:tcMar>
              <w:top w:w="0" w:type="dxa"/>
              <w:left w:w="20" w:type="dxa"/>
              <w:bottom w:w="0" w:type="dxa"/>
              <w:right w:w="20" w:type="dxa"/>
            </w:tcMar>
            <w:vAlign w:val="center"/>
            <w:hideMark/>
          </w:tcPr>
          <w:p w14:paraId="2DACAD75"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4873C51" w14:textId="77777777" w:rsidR="00000000" w:rsidRDefault="00A173A8">
            <w:pPr>
              <w:spacing w:after="100"/>
              <w:jc w:val="right"/>
              <w:rPr>
                <w:rFonts w:eastAsia="Times New Roman"/>
              </w:rPr>
            </w:pPr>
            <w:r>
              <w:rPr>
                <w:rFonts w:eastAsia="Times New Roman"/>
                <w:color w:val="000000"/>
                <w:sz w:val="20"/>
                <w:szCs w:val="20"/>
              </w:rPr>
              <w:t>(1,160)</w:t>
            </w:r>
          </w:p>
        </w:tc>
        <w:tc>
          <w:tcPr>
            <w:tcW w:w="0" w:type="auto"/>
            <w:gridSpan w:val="3"/>
            <w:shd w:val="clear" w:color="auto" w:fill="CCEEFF"/>
            <w:tcMar>
              <w:top w:w="0" w:type="dxa"/>
              <w:left w:w="20" w:type="dxa"/>
              <w:bottom w:w="0" w:type="dxa"/>
              <w:right w:w="20" w:type="dxa"/>
            </w:tcMar>
            <w:vAlign w:val="center"/>
            <w:hideMark/>
          </w:tcPr>
          <w:p w14:paraId="6321CEF5"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230D7D8C"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79636F4"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8C71957" w14:textId="77777777" w:rsidR="00000000" w:rsidRDefault="00A173A8">
            <w:pPr>
              <w:spacing w:after="100"/>
              <w:jc w:val="right"/>
              <w:rPr>
                <w:rFonts w:eastAsia="Times New Roman"/>
              </w:rPr>
            </w:pPr>
            <w:r>
              <w:rPr>
                <w:rFonts w:eastAsia="Times New Roman"/>
                <w:b/>
                <w:bCs/>
                <w:color w:val="000000"/>
                <w:sz w:val="20"/>
                <w:szCs w:val="20"/>
              </w:rPr>
              <w:t>1,762</w:t>
            </w:r>
          </w:p>
        </w:tc>
        <w:tc>
          <w:tcPr>
            <w:tcW w:w="0" w:type="auto"/>
            <w:gridSpan w:val="3"/>
            <w:shd w:val="clear" w:color="auto" w:fill="CCEEFF"/>
            <w:tcMar>
              <w:top w:w="0" w:type="dxa"/>
              <w:left w:w="20" w:type="dxa"/>
              <w:bottom w:w="0" w:type="dxa"/>
              <w:right w:w="20" w:type="dxa"/>
            </w:tcMar>
            <w:vAlign w:val="center"/>
            <w:hideMark/>
          </w:tcPr>
          <w:p w14:paraId="4923EB4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20515DA" w14:textId="77777777" w:rsidR="00000000" w:rsidRDefault="00A173A8">
            <w:pPr>
              <w:spacing w:after="100"/>
              <w:jc w:val="right"/>
              <w:rPr>
                <w:rFonts w:eastAsia="Times New Roman"/>
              </w:rPr>
            </w:pPr>
            <w:r>
              <w:rPr>
                <w:rFonts w:eastAsia="Times New Roman"/>
                <w:color w:val="000000"/>
                <w:sz w:val="20"/>
                <w:szCs w:val="20"/>
              </w:rPr>
              <w:t>(1,983)</w:t>
            </w:r>
          </w:p>
        </w:tc>
        <w:tc>
          <w:tcPr>
            <w:tcW w:w="0" w:type="auto"/>
            <w:vAlign w:val="center"/>
            <w:hideMark/>
          </w:tcPr>
          <w:p w14:paraId="1823FBA1" w14:textId="77777777" w:rsidR="00000000" w:rsidRDefault="00A173A8">
            <w:pPr>
              <w:spacing w:after="100"/>
              <w:jc w:val="right"/>
              <w:rPr>
                <w:rFonts w:eastAsia="Times New Roman"/>
              </w:rPr>
            </w:pPr>
          </w:p>
        </w:tc>
        <w:tc>
          <w:tcPr>
            <w:tcW w:w="0" w:type="auto"/>
            <w:vAlign w:val="center"/>
            <w:hideMark/>
          </w:tcPr>
          <w:p w14:paraId="3779022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5407D4" w14:textId="77777777" w:rsidR="00000000" w:rsidRDefault="00A173A8">
            <w:pPr>
              <w:spacing w:after="100"/>
              <w:rPr>
                <w:rFonts w:eastAsia="Times New Roman"/>
                <w:sz w:val="20"/>
                <w:szCs w:val="20"/>
              </w:rPr>
            </w:pPr>
          </w:p>
        </w:tc>
        <w:tc>
          <w:tcPr>
            <w:tcW w:w="0" w:type="auto"/>
            <w:vAlign w:val="center"/>
            <w:hideMark/>
          </w:tcPr>
          <w:p w14:paraId="0ABD2750" w14:textId="77777777" w:rsidR="00000000" w:rsidRDefault="00A173A8">
            <w:pPr>
              <w:spacing w:after="100"/>
              <w:rPr>
                <w:rFonts w:eastAsia="Times New Roman"/>
                <w:sz w:val="20"/>
                <w:szCs w:val="20"/>
              </w:rPr>
            </w:pPr>
          </w:p>
        </w:tc>
        <w:tc>
          <w:tcPr>
            <w:tcW w:w="0" w:type="auto"/>
            <w:gridSpan w:val="3"/>
            <w:vAlign w:val="center"/>
            <w:hideMark/>
          </w:tcPr>
          <w:p w14:paraId="1599CCA1" w14:textId="77777777" w:rsidR="00000000" w:rsidRDefault="00A173A8">
            <w:pPr>
              <w:spacing w:after="100"/>
              <w:rPr>
                <w:rFonts w:eastAsia="Times New Roman"/>
                <w:sz w:val="20"/>
                <w:szCs w:val="20"/>
              </w:rPr>
            </w:pPr>
          </w:p>
        </w:tc>
        <w:tc>
          <w:tcPr>
            <w:tcW w:w="0" w:type="auto"/>
            <w:gridSpan w:val="3"/>
            <w:vAlign w:val="center"/>
            <w:hideMark/>
          </w:tcPr>
          <w:p w14:paraId="484C088A" w14:textId="77777777" w:rsidR="00000000" w:rsidRDefault="00A173A8">
            <w:pPr>
              <w:spacing w:after="100"/>
              <w:rPr>
                <w:rFonts w:eastAsia="Times New Roman"/>
                <w:sz w:val="20"/>
                <w:szCs w:val="20"/>
              </w:rPr>
            </w:pPr>
          </w:p>
        </w:tc>
        <w:tc>
          <w:tcPr>
            <w:tcW w:w="0" w:type="auto"/>
            <w:gridSpan w:val="3"/>
            <w:vAlign w:val="center"/>
            <w:hideMark/>
          </w:tcPr>
          <w:p w14:paraId="27F07DFC"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501DFCF2"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297DA5EF" w14:textId="77777777" w:rsidR="00000000" w:rsidRDefault="00A173A8">
            <w:pPr>
              <w:spacing w:after="100"/>
              <w:jc w:val="right"/>
              <w:rPr>
                <w:rFonts w:eastAsia="Times New Roman"/>
              </w:rPr>
            </w:pPr>
          </w:p>
        </w:tc>
        <w:tc>
          <w:tcPr>
            <w:tcW w:w="0" w:type="auto"/>
            <w:gridSpan w:val="2"/>
            <w:vAlign w:val="center"/>
            <w:hideMark/>
          </w:tcPr>
          <w:p w14:paraId="54538961" w14:textId="77777777" w:rsidR="00000000" w:rsidRDefault="00A173A8">
            <w:pPr>
              <w:spacing w:after="100"/>
              <w:rPr>
                <w:rFonts w:eastAsia="Times New Roman"/>
                <w:sz w:val="20"/>
                <w:szCs w:val="20"/>
              </w:rPr>
            </w:pPr>
          </w:p>
        </w:tc>
      </w:tr>
      <w:tr w:rsidR="00000000" w14:paraId="1370F714" w14:textId="77777777">
        <w:trPr>
          <w:divId w:val="261111824"/>
        </w:trPr>
        <w:tc>
          <w:tcPr>
            <w:tcW w:w="0" w:type="auto"/>
            <w:gridSpan w:val="3"/>
            <w:shd w:val="clear" w:color="auto" w:fill="FFFFFF"/>
            <w:tcMar>
              <w:top w:w="30" w:type="dxa"/>
              <w:left w:w="20" w:type="dxa"/>
              <w:bottom w:w="30" w:type="dxa"/>
              <w:right w:w="20" w:type="dxa"/>
            </w:tcMar>
            <w:vAlign w:val="center"/>
            <w:hideMark/>
          </w:tcPr>
          <w:p w14:paraId="201F5A08" w14:textId="77777777" w:rsidR="00000000" w:rsidRDefault="00A173A8">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6DCDA471"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A847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28244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14:paraId="5E05160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2B010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D263E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4E3A0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15EEF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D9B2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14:paraId="5FB66E23" w14:textId="77777777" w:rsidR="00000000" w:rsidRDefault="00A173A8">
            <w:pPr>
              <w:spacing w:after="100"/>
              <w:rPr>
                <w:rFonts w:eastAsia="Times New Roman"/>
                <w:sz w:val="20"/>
                <w:szCs w:val="20"/>
              </w:rPr>
            </w:pPr>
          </w:p>
        </w:tc>
        <w:tc>
          <w:tcPr>
            <w:tcW w:w="0" w:type="auto"/>
            <w:vAlign w:val="center"/>
            <w:hideMark/>
          </w:tcPr>
          <w:p w14:paraId="74AC2F08" w14:textId="77777777" w:rsidR="00000000" w:rsidRDefault="00A173A8">
            <w:pPr>
              <w:spacing w:after="100"/>
              <w:rPr>
                <w:rFonts w:eastAsia="Times New Roman"/>
                <w:sz w:val="20"/>
                <w:szCs w:val="20"/>
              </w:rPr>
            </w:pPr>
          </w:p>
        </w:tc>
        <w:tc>
          <w:tcPr>
            <w:tcW w:w="0" w:type="auto"/>
            <w:vAlign w:val="center"/>
            <w:hideMark/>
          </w:tcPr>
          <w:p w14:paraId="0C95473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DA900D" w14:textId="77777777" w:rsidR="00000000" w:rsidRDefault="00A173A8">
            <w:pPr>
              <w:spacing w:after="100"/>
              <w:rPr>
                <w:rFonts w:eastAsia="Times New Roman"/>
                <w:sz w:val="20"/>
                <w:szCs w:val="20"/>
              </w:rPr>
            </w:pPr>
          </w:p>
        </w:tc>
        <w:tc>
          <w:tcPr>
            <w:tcW w:w="0" w:type="auto"/>
            <w:vAlign w:val="center"/>
            <w:hideMark/>
          </w:tcPr>
          <w:p w14:paraId="3CD538F6" w14:textId="77777777" w:rsidR="00000000" w:rsidRDefault="00A173A8">
            <w:pPr>
              <w:spacing w:after="100"/>
              <w:rPr>
                <w:rFonts w:eastAsia="Times New Roman"/>
                <w:sz w:val="20"/>
                <w:szCs w:val="20"/>
              </w:rPr>
            </w:pPr>
          </w:p>
        </w:tc>
        <w:tc>
          <w:tcPr>
            <w:tcW w:w="0" w:type="auto"/>
            <w:gridSpan w:val="3"/>
            <w:vAlign w:val="center"/>
            <w:hideMark/>
          </w:tcPr>
          <w:p w14:paraId="5AF700F8" w14:textId="77777777" w:rsidR="00000000" w:rsidRDefault="00A173A8">
            <w:pPr>
              <w:spacing w:after="100"/>
              <w:rPr>
                <w:rFonts w:eastAsia="Times New Roman"/>
                <w:sz w:val="20"/>
                <w:szCs w:val="20"/>
              </w:rPr>
            </w:pPr>
          </w:p>
        </w:tc>
        <w:tc>
          <w:tcPr>
            <w:tcW w:w="0" w:type="auto"/>
            <w:gridSpan w:val="3"/>
            <w:vAlign w:val="center"/>
            <w:hideMark/>
          </w:tcPr>
          <w:p w14:paraId="50ED0E7F" w14:textId="77777777" w:rsidR="00000000" w:rsidRDefault="00A173A8">
            <w:pPr>
              <w:spacing w:after="100"/>
              <w:rPr>
                <w:rFonts w:eastAsia="Times New Roman"/>
                <w:sz w:val="20"/>
                <w:szCs w:val="20"/>
              </w:rPr>
            </w:pPr>
          </w:p>
        </w:tc>
        <w:tc>
          <w:tcPr>
            <w:tcW w:w="0" w:type="auto"/>
            <w:gridSpan w:val="3"/>
            <w:vAlign w:val="center"/>
            <w:hideMark/>
          </w:tcPr>
          <w:p w14:paraId="3152074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60" w:type="dxa"/>
            </w:tcMar>
            <w:vAlign w:val="center"/>
            <w:hideMark/>
          </w:tcPr>
          <w:p w14:paraId="32ED691C" w14:textId="77777777" w:rsidR="00000000" w:rsidRDefault="00A173A8">
            <w:pPr>
              <w:spacing w:after="100"/>
              <w:rPr>
                <w:rFonts w:eastAsia="Times New Roman"/>
                <w:sz w:val="20"/>
                <w:szCs w:val="20"/>
              </w:rPr>
            </w:pPr>
          </w:p>
        </w:tc>
        <w:tc>
          <w:tcPr>
            <w:tcW w:w="0" w:type="auto"/>
            <w:gridSpan w:val="3"/>
            <w:vAlign w:val="center"/>
            <w:hideMark/>
          </w:tcPr>
          <w:p w14:paraId="58E633DB" w14:textId="77777777" w:rsidR="00000000" w:rsidRDefault="00A173A8">
            <w:pPr>
              <w:spacing w:after="100"/>
              <w:rPr>
                <w:rFonts w:eastAsia="Times New Roman"/>
                <w:sz w:val="20"/>
                <w:szCs w:val="20"/>
              </w:rPr>
            </w:pPr>
          </w:p>
        </w:tc>
        <w:tc>
          <w:tcPr>
            <w:tcW w:w="0" w:type="auto"/>
            <w:gridSpan w:val="2"/>
            <w:vAlign w:val="center"/>
            <w:hideMark/>
          </w:tcPr>
          <w:p w14:paraId="12604CDA" w14:textId="77777777" w:rsidR="00000000" w:rsidRDefault="00A173A8">
            <w:pPr>
              <w:spacing w:after="100"/>
              <w:rPr>
                <w:rFonts w:eastAsia="Times New Roman"/>
                <w:sz w:val="20"/>
                <w:szCs w:val="20"/>
              </w:rPr>
            </w:pPr>
          </w:p>
        </w:tc>
      </w:tr>
      <w:tr w:rsidR="00000000" w14:paraId="1EE854DC" w14:textId="77777777">
        <w:trPr>
          <w:divId w:val="261111824"/>
        </w:trPr>
        <w:tc>
          <w:tcPr>
            <w:tcW w:w="0" w:type="auto"/>
            <w:gridSpan w:val="3"/>
            <w:shd w:val="clear" w:color="auto" w:fill="CCEEFF"/>
            <w:tcMar>
              <w:top w:w="30" w:type="dxa"/>
              <w:left w:w="245" w:type="dxa"/>
              <w:bottom w:w="30" w:type="dxa"/>
              <w:right w:w="20" w:type="dxa"/>
            </w:tcMar>
            <w:vAlign w:val="center"/>
            <w:hideMark/>
          </w:tcPr>
          <w:p w14:paraId="6FC3705C" w14:textId="77777777" w:rsidR="00000000" w:rsidRDefault="00A173A8">
            <w:pPr>
              <w:spacing w:after="100"/>
              <w:rPr>
                <w:rFonts w:eastAsia="Times New Roman"/>
              </w:rPr>
            </w:pPr>
            <w:r>
              <w:rPr>
                <w:rFonts w:eastAsia="Times New Roman"/>
                <w:color w:val="000000"/>
                <w:sz w:val="20"/>
                <w:szCs w:val="20"/>
              </w:rPr>
              <w:t>Marketing</w:t>
            </w:r>
          </w:p>
        </w:tc>
        <w:tc>
          <w:tcPr>
            <w:tcW w:w="0" w:type="auto"/>
            <w:gridSpan w:val="3"/>
            <w:shd w:val="clear" w:color="auto" w:fill="CCEEFF"/>
            <w:tcMar>
              <w:top w:w="0" w:type="dxa"/>
              <w:left w:w="20" w:type="dxa"/>
              <w:bottom w:w="0" w:type="dxa"/>
              <w:right w:w="20" w:type="dxa"/>
            </w:tcMar>
            <w:vAlign w:val="center"/>
            <w:hideMark/>
          </w:tcPr>
          <w:p w14:paraId="37BA7F2B"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8AD774E" w14:textId="77777777" w:rsidR="00000000" w:rsidRDefault="00A173A8">
            <w:pPr>
              <w:spacing w:after="100"/>
              <w:jc w:val="right"/>
              <w:rPr>
                <w:rFonts w:eastAsia="Times New Roman"/>
              </w:rPr>
            </w:pPr>
            <w:r>
              <w:rPr>
                <w:rFonts w:eastAsia="Times New Roman"/>
                <w:b/>
                <w:bCs/>
                <w:color w:val="000000"/>
                <w:sz w:val="20"/>
                <w:szCs w:val="20"/>
              </w:rPr>
              <w:t>1,003</w:t>
            </w:r>
          </w:p>
        </w:tc>
        <w:tc>
          <w:tcPr>
            <w:tcW w:w="0" w:type="auto"/>
            <w:gridSpan w:val="3"/>
            <w:shd w:val="clear" w:color="auto" w:fill="CCEEFF"/>
            <w:tcMar>
              <w:top w:w="0" w:type="dxa"/>
              <w:left w:w="20" w:type="dxa"/>
              <w:bottom w:w="0" w:type="dxa"/>
              <w:right w:w="20" w:type="dxa"/>
            </w:tcMar>
            <w:vAlign w:val="center"/>
            <w:hideMark/>
          </w:tcPr>
          <w:p w14:paraId="01C6A748"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D0C349F" w14:textId="77777777" w:rsidR="00000000" w:rsidRDefault="00A173A8">
            <w:pPr>
              <w:spacing w:after="100"/>
              <w:jc w:val="right"/>
              <w:rPr>
                <w:rFonts w:eastAsia="Times New Roman"/>
              </w:rPr>
            </w:pPr>
            <w:r>
              <w:rPr>
                <w:rFonts w:eastAsia="Times New Roman"/>
                <w:color w:val="000000"/>
                <w:sz w:val="20"/>
                <w:szCs w:val="20"/>
              </w:rPr>
              <w:t>620</w:t>
            </w:r>
          </w:p>
        </w:tc>
        <w:tc>
          <w:tcPr>
            <w:tcW w:w="0" w:type="auto"/>
            <w:gridSpan w:val="3"/>
            <w:shd w:val="clear" w:color="auto" w:fill="CCEEFF"/>
            <w:tcMar>
              <w:top w:w="0" w:type="dxa"/>
              <w:left w:w="20" w:type="dxa"/>
              <w:bottom w:w="0" w:type="dxa"/>
              <w:right w:w="20" w:type="dxa"/>
            </w:tcMar>
            <w:vAlign w:val="center"/>
            <w:hideMark/>
          </w:tcPr>
          <w:p w14:paraId="184B8BD6"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25405395" w14:textId="77777777" w:rsidR="00000000" w:rsidRDefault="00A173A8">
            <w:pPr>
              <w:spacing w:after="100"/>
              <w:jc w:val="right"/>
              <w:rPr>
                <w:rFonts w:eastAsia="Times New Roman"/>
              </w:rPr>
            </w:pPr>
            <w:r>
              <w:rPr>
                <w:rFonts w:eastAsia="Times New Roman"/>
                <w:color w:val="000000"/>
                <w:sz w:val="20"/>
                <w:szCs w:val="20"/>
              </w:rPr>
              <w:t>62</w:t>
            </w:r>
          </w:p>
        </w:tc>
        <w:tc>
          <w:tcPr>
            <w:tcW w:w="0" w:type="auto"/>
            <w:gridSpan w:val="3"/>
            <w:shd w:val="clear" w:color="auto" w:fill="CCEEFF"/>
            <w:tcMar>
              <w:top w:w="0" w:type="dxa"/>
              <w:left w:w="20" w:type="dxa"/>
              <w:bottom w:w="0" w:type="dxa"/>
              <w:right w:w="20" w:type="dxa"/>
            </w:tcMar>
            <w:vAlign w:val="center"/>
            <w:hideMark/>
          </w:tcPr>
          <w:p w14:paraId="2FD32F81"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3D2406D" w14:textId="77777777" w:rsidR="00000000" w:rsidRDefault="00A173A8">
            <w:pPr>
              <w:spacing w:after="100"/>
              <w:jc w:val="right"/>
              <w:rPr>
                <w:rFonts w:eastAsia="Times New Roman"/>
              </w:rPr>
            </w:pPr>
            <w:r>
              <w:rPr>
                <w:rFonts w:eastAsia="Times New Roman"/>
                <w:b/>
                <w:bCs/>
                <w:color w:val="000000"/>
                <w:sz w:val="20"/>
                <w:szCs w:val="20"/>
              </w:rPr>
              <w:t>1,921</w:t>
            </w:r>
          </w:p>
        </w:tc>
        <w:tc>
          <w:tcPr>
            <w:tcW w:w="0" w:type="auto"/>
            <w:gridSpan w:val="3"/>
            <w:shd w:val="clear" w:color="auto" w:fill="CCEEFF"/>
            <w:tcMar>
              <w:top w:w="0" w:type="dxa"/>
              <w:left w:w="20" w:type="dxa"/>
              <w:bottom w:w="0" w:type="dxa"/>
              <w:right w:w="20" w:type="dxa"/>
            </w:tcMar>
            <w:vAlign w:val="center"/>
            <w:hideMark/>
          </w:tcPr>
          <w:p w14:paraId="43FE8A43"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70AFF10" w14:textId="77777777" w:rsidR="00000000" w:rsidRDefault="00A173A8">
            <w:pPr>
              <w:spacing w:after="100"/>
              <w:jc w:val="right"/>
              <w:rPr>
                <w:rFonts w:eastAsia="Times New Roman"/>
              </w:rPr>
            </w:pPr>
            <w:r>
              <w:rPr>
                <w:rFonts w:eastAsia="Times New Roman"/>
                <w:color w:val="000000"/>
                <w:sz w:val="20"/>
                <w:szCs w:val="20"/>
              </w:rPr>
              <w:t>1,121</w:t>
            </w:r>
          </w:p>
        </w:tc>
        <w:tc>
          <w:tcPr>
            <w:tcW w:w="0" w:type="auto"/>
            <w:vAlign w:val="center"/>
            <w:hideMark/>
          </w:tcPr>
          <w:p w14:paraId="1BE7D0AC" w14:textId="77777777" w:rsidR="00000000" w:rsidRDefault="00A173A8">
            <w:pPr>
              <w:spacing w:after="100"/>
              <w:jc w:val="right"/>
              <w:rPr>
                <w:rFonts w:eastAsia="Times New Roman"/>
              </w:rPr>
            </w:pPr>
          </w:p>
        </w:tc>
        <w:tc>
          <w:tcPr>
            <w:tcW w:w="0" w:type="auto"/>
            <w:vAlign w:val="center"/>
            <w:hideMark/>
          </w:tcPr>
          <w:p w14:paraId="273D116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D0873C" w14:textId="77777777" w:rsidR="00000000" w:rsidRDefault="00A173A8">
            <w:pPr>
              <w:spacing w:after="100"/>
              <w:rPr>
                <w:rFonts w:eastAsia="Times New Roman"/>
                <w:sz w:val="20"/>
                <w:szCs w:val="20"/>
              </w:rPr>
            </w:pPr>
          </w:p>
        </w:tc>
        <w:tc>
          <w:tcPr>
            <w:tcW w:w="0" w:type="auto"/>
            <w:vAlign w:val="center"/>
            <w:hideMark/>
          </w:tcPr>
          <w:p w14:paraId="16E0F033" w14:textId="77777777" w:rsidR="00000000" w:rsidRDefault="00A173A8">
            <w:pPr>
              <w:spacing w:after="100"/>
              <w:rPr>
                <w:rFonts w:eastAsia="Times New Roman"/>
                <w:sz w:val="20"/>
                <w:szCs w:val="20"/>
              </w:rPr>
            </w:pPr>
          </w:p>
        </w:tc>
        <w:tc>
          <w:tcPr>
            <w:tcW w:w="0" w:type="auto"/>
            <w:gridSpan w:val="3"/>
            <w:vAlign w:val="center"/>
            <w:hideMark/>
          </w:tcPr>
          <w:p w14:paraId="4E6BA17A" w14:textId="77777777" w:rsidR="00000000" w:rsidRDefault="00A173A8">
            <w:pPr>
              <w:spacing w:after="100"/>
              <w:rPr>
                <w:rFonts w:eastAsia="Times New Roman"/>
                <w:sz w:val="20"/>
                <w:szCs w:val="20"/>
              </w:rPr>
            </w:pPr>
          </w:p>
        </w:tc>
        <w:tc>
          <w:tcPr>
            <w:tcW w:w="0" w:type="auto"/>
            <w:gridSpan w:val="3"/>
            <w:vAlign w:val="center"/>
            <w:hideMark/>
          </w:tcPr>
          <w:p w14:paraId="121EB411" w14:textId="77777777" w:rsidR="00000000" w:rsidRDefault="00A173A8">
            <w:pPr>
              <w:spacing w:after="100"/>
              <w:rPr>
                <w:rFonts w:eastAsia="Times New Roman"/>
                <w:sz w:val="20"/>
                <w:szCs w:val="20"/>
              </w:rPr>
            </w:pPr>
          </w:p>
        </w:tc>
        <w:tc>
          <w:tcPr>
            <w:tcW w:w="0" w:type="auto"/>
            <w:gridSpan w:val="3"/>
            <w:vAlign w:val="center"/>
            <w:hideMark/>
          </w:tcPr>
          <w:p w14:paraId="3EEEB57C"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66B5308F" w14:textId="77777777" w:rsidR="00000000" w:rsidRDefault="00A173A8">
            <w:pPr>
              <w:spacing w:after="100"/>
              <w:jc w:val="right"/>
              <w:rPr>
                <w:rFonts w:eastAsia="Times New Roman"/>
              </w:rPr>
            </w:pPr>
            <w:r>
              <w:rPr>
                <w:rFonts w:eastAsia="Times New Roman"/>
                <w:color w:val="000000"/>
                <w:sz w:val="20"/>
                <w:szCs w:val="20"/>
              </w:rPr>
              <w:t>71</w:t>
            </w:r>
          </w:p>
        </w:tc>
        <w:tc>
          <w:tcPr>
            <w:tcW w:w="0" w:type="auto"/>
            <w:gridSpan w:val="3"/>
            <w:vAlign w:val="center"/>
            <w:hideMark/>
          </w:tcPr>
          <w:p w14:paraId="5014C7F9" w14:textId="77777777" w:rsidR="00000000" w:rsidRDefault="00A173A8">
            <w:pPr>
              <w:spacing w:after="100"/>
              <w:jc w:val="right"/>
              <w:rPr>
                <w:rFonts w:eastAsia="Times New Roman"/>
              </w:rPr>
            </w:pPr>
          </w:p>
        </w:tc>
        <w:tc>
          <w:tcPr>
            <w:tcW w:w="0" w:type="auto"/>
            <w:gridSpan w:val="2"/>
            <w:vAlign w:val="center"/>
            <w:hideMark/>
          </w:tcPr>
          <w:p w14:paraId="4848761F" w14:textId="77777777" w:rsidR="00000000" w:rsidRDefault="00A173A8">
            <w:pPr>
              <w:spacing w:after="100"/>
              <w:rPr>
                <w:rFonts w:eastAsia="Times New Roman"/>
                <w:sz w:val="20"/>
                <w:szCs w:val="20"/>
              </w:rPr>
            </w:pPr>
          </w:p>
        </w:tc>
      </w:tr>
      <w:tr w:rsidR="00000000" w14:paraId="7520D68B" w14:textId="77777777">
        <w:trPr>
          <w:divId w:val="261111824"/>
        </w:trPr>
        <w:tc>
          <w:tcPr>
            <w:tcW w:w="0" w:type="auto"/>
            <w:gridSpan w:val="3"/>
            <w:shd w:val="clear" w:color="auto" w:fill="FFFFFF"/>
            <w:tcMar>
              <w:top w:w="30" w:type="dxa"/>
              <w:left w:w="245" w:type="dxa"/>
              <w:bottom w:w="30" w:type="dxa"/>
              <w:right w:w="20" w:type="dxa"/>
            </w:tcMar>
            <w:vAlign w:val="center"/>
            <w:hideMark/>
          </w:tcPr>
          <w:p w14:paraId="520C4E58" w14:textId="77777777" w:rsidR="00000000" w:rsidRDefault="00A173A8">
            <w:pPr>
              <w:spacing w:after="100"/>
              <w:rPr>
                <w:rFonts w:eastAsia="Times New Roman"/>
              </w:rPr>
            </w:pPr>
            <w:r>
              <w:rPr>
                <w:rFonts w:eastAsia="Times New Roman"/>
                <w:color w:val="000000"/>
                <w:sz w:val="20"/>
                <w:szCs w:val="20"/>
              </w:rPr>
              <w:t>Operating expense</w:t>
            </w:r>
          </w:p>
        </w:tc>
        <w:tc>
          <w:tcPr>
            <w:tcW w:w="0" w:type="auto"/>
            <w:gridSpan w:val="3"/>
            <w:shd w:val="clear" w:color="auto" w:fill="FFFFFF"/>
            <w:tcMar>
              <w:top w:w="0" w:type="dxa"/>
              <w:left w:w="20" w:type="dxa"/>
              <w:bottom w:w="0" w:type="dxa"/>
              <w:right w:w="20" w:type="dxa"/>
            </w:tcMar>
            <w:vAlign w:val="center"/>
            <w:hideMark/>
          </w:tcPr>
          <w:p w14:paraId="3D265851"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316E6CF" w14:textId="77777777" w:rsidR="00000000" w:rsidRDefault="00A173A8">
            <w:pPr>
              <w:spacing w:after="100"/>
              <w:jc w:val="right"/>
              <w:rPr>
                <w:rFonts w:eastAsia="Times New Roman"/>
              </w:rPr>
            </w:pPr>
            <w:r>
              <w:rPr>
                <w:rFonts w:eastAsia="Times New Roman"/>
                <w:b/>
                <w:bCs/>
                <w:color w:val="000000"/>
                <w:sz w:val="20"/>
                <w:szCs w:val="20"/>
              </w:rPr>
              <w:t>3,580</w:t>
            </w:r>
          </w:p>
        </w:tc>
        <w:tc>
          <w:tcPr>
            <w:tcW w:w="0" w:type="auto"/>
            <w:gridSpan w:val="3"/>
            <w:shd w:val="clear" w:color="auto" w:fill="FFFFFF"/>
            <w:tcMar>
              <w:top w:w="0" w:type="dxa"/>
              <w:left w:w="20" w:type="dxa"/>
              <w:bottom w:w="0" w:type="dxa"/>
              <w:right w:w="20" w:type="dxa"/>
            </w:tcMar>
            <w:vAlign w:val="center"/>
            <w:hideMark/>
          </w:tcPr>
          <w:p w14:paraId="20A13C56"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4947E5E" w14:textId="77777777" w:rsidR="00000000" w:rsidRDefault="00A173A8">
            <w:pPr>
              <w:spacing w:after="100"/>
              <w:jc w:val="right"/>
              <w:rPr>
                <w:rFonts w:eastAsia="Times New Roman"/>
              </w:rPr>
            </w:pPr>
            <w:r>
              <w:rPr>
                <w:rFonts w:eastAsia="Times New Roman"/>
                <w:color w:val="000000"/>
                <w:sz w:val="20"/>
                <w:szCs w:val="20"/>
              </w:rPr>
              <w:t>3,346</w:t>
            </w:r>
          </w:p>
        </w:tc>
        <w:tc>
          <w:tcPr>
            <w:tcW w:w="0" w:type="auto"/>
            <w:gridSpan w:val="3"/>
            <w:shd w:val="clear" w:color="auto" w:fill="FFFFFF"/>
            <w:tcMar>
              <w:top w:w="0" w:type="dxa"/>
              <w:left w:w="20" w:type="dxa"/>
              <w:bottom w:w="0" w:type="dxa"/>
              <w:right w:w="20" w:type="dxa"/>
            </w:tcMar>
            <w:vAlign w:val="center"/>
            <w:hideMark/>
          </w:tcPr>
          <w:p w14:paraId="2FC0C5CC"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1171014C" w14:textId="77777777" w:rsidR="00000000" w:rsidRDefault="00A173A8">
            <w:pPr>
              <w:spacing w:after="100"/>
              <w:jc w:val="right"/>
              <w:rPr>
                <w:rFonts w:eastAsia="Times New Roman"/>
              </w:rPr>
            </w:pPr>
            <w:r>
              <w:rPr>
                <w:rFonts w:eastAsia="Times New Roman"/>
                <w:color w:val="000000"/>
                <w:sz w:val="20"/>
                <w:szCs w:val="20"/>
              </w:rPr>
              <w:t>7</w:t>
            </w:r>
          </w:p>
        </w:tc>
        <w:tc>
          <w:tcPr>
            <w:tcW w:w="0" w:type="auto"/>
            <w:gridSpan w:val="3"/>
            <w:shd w:val="clear" w:color="auto" w:fill="FFFFFF"/>
            <w:tcMar>
              <w:top w:w="0" w:type="dxa"/>
              <w:left w:w="20" w:type="dxa"/>
              <w:bottom w:w="0" w:type="dxa"/>
              <w:right w:w="20" w:type="dxa"/>
            </w:tcMar>
            <w:vAlign w:val="center"/>
            <w:hideMark/>
          </w:tcPr>
          <w:p w14:paraId="374B8073"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68B8C53" w14:textId="77777777" w:rsidR="00000000" w:rsidRDefault="00A173A8">
            <w:pPr>
              <w:spacing w:after="100"/>
              <w:jc w:val="right"/>
              <w:rPr>
                <w:rFonts w:eastAsia="Times New Roman"/>
              </w:rPr>
            </w:pPr>
            <w:r>
              <w:rPr>
                <w:rFonts w:eastAsia="Times New Roman"/>
                <w:b/>
                <w:bCs/>
                <w:color w:val="000000"/>
                <w:sz w:val="20"/>
                <w:szCs w:val="20"/>
              </w:rPr>
              <w:t>7,213</w:t>
            </w:r>
          </w:p>
        </w:tc>
        <w:tc>
          <w:tcPr>
            <w:tcW w:w="0" w:type="auto"/>
            <w:gridSpan w:val="3"/>
            <w:shd w:val="clear" w:color="auto" w:fill="FFFFFF"/>
            <w:tcMar>
              <w:top w:w="0" w:type="dxa"/>
              <w:left w:w="20" w:type="dxa"/>
              <w:bottom w:w="0" w:type="dxa"/>
              <w:right w:w="20" w:type="dxa"/>
            </w:tcMar>
            <w:vAlign w:val="center"/>
            <w:hideMark/>
          </w:tcPr>
          <w:p w14:paraId="1293301C"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3A9617D" w14:textId="77777777" w:rsidR="00000000" w:rsidRDefault="00A173A8">
            <w:pPr>
              <w:spacing w:after="100"/>
              <w:jc w:val="right"/>
              <w:rPr>
                <w:rFonts w:eastAsia="Times New Roman"/>
              </w:rPr>
            </w:pPr>
            <w:r>
              <w:rPr>
                <w:rFonts w:eastAsia="Times New Roman"/>
                <w:color w:val="000000"/>
                <w:sz w:val="20"/>
                <w:szCs w:val="20"/>
              </w:rPr>
              <w:t>6,585</w:t>
            </w:r>
          </w:p>
        </w:tc>
        <w:tc>
          <w:tcPr>
            <w:tcW w:w="0" w:type="auto"/>
            <w:vAlign w:val="center"/>
            <w:hideMark/>
          </w:tcPr>
          <w:p w14:paraId="040DBE8C" w14:textId="77777777" w:rsidR="00000000" w:rsidRDefault="00A173A8">
            <w:pPr>
              <w:spacing w:after="100"/>
              <w:jc w:val="right"/>
              <w:rPr>
                <w:rFonts w:eastAsia="Times New Roman"/>
              </w:rPr>
            </w:pPr>
          </w:p>
        </w:tc>
        <w:tc>
          <w:tcPr>
            <w:tcW w:w="0" w:type="auto"/>
            <w:vAlign w:val="center"/>
            <w:hideMark/>
          </w:tcPr>
          <w:p w14:paraId="1E53B4F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5117E2" w14:textId="77777777" w:rsidR="00000000" w:rsidRDefault="00A173A8">
            <w:pPr>
              <w:spacing w:after="100"/>
              <w:rPr>
                <w:rFonts w:eastAsia="Times New Roman"/>
                <w:sz w:val="20"/>
                <w:szCs w:val="20"/>
              </w:rPr>
            </w:pPr>
          </w:p>
        </w:tc>
        <w:tc>
          <w:tcPr>
            <w:tcW w:w="0" w:type="auto"/>
            <w:vAlign w:val="center"/>
            <w:hideMark/>
          </w:tcPr>
          <w:p w14:paraId="1E0DF186" w14:textId="77777777" w:rsidR="00000000" w:rsidRDefault="00A173A8">
            <w:pPr>
              <w:spacing w:after="100"/>
              <w:rPr>
                <w:rFonts w:eastAsia="Times New Roman"/>
                <w:sz w:val="20"/>
                <w:szCs w:val="20"/>
              </w:rPr>
            </w:pPr>
          </w:p>
        </w:tc>
        <w:tc>
          <w:tcPr>
            <w:tcW w:w="0" w:type="auto"/>
            <w:gridSpan w:val="3"/>
            <w:vAlign w:val="center"/>
            <w:hideMark/>
          </w:tcPr>
          <w:p w14:paraId="17F772E8" w14:textId="77777777" w:rsidR="00000000" w:rsidRDefault="00A173A8">
            <w:pPr>
              <w:spacing w:after="100"/>
              <w:rPr>
                <w:rFonts w:eastAsia="Times New Roman"/>
                <w:sz w:val="20"/>
                <w:szCs w:val="20"/>
              </w:rPr>
            </w:pPr>
          </w:p>
        </w:tc>
        <w:tc>
          <w:tcPr>
            <w:tcW w:w="0" w:type="auto"/>
            <w:gridSpan w:val="3"/>
            <w:vAlign w:val="center"/>
            <w:hideMark/>
          </w:tcPr>
          <w:p w14:paraId="0AFFDDDD" w14:textId="77777777" w:rsidR="00000000" w:rsidRDefault="00A173A8">
            <w:pPr>
              <w:spacing w:after="100"/>
              <w:rPr>
                <w:rFonts w:eastAsia="Times New Roman"/>
                <w:sz w:val="20"/>
                <w:szCs w:val="20"/>
              </w:rPr>
            </w:pPr>
          </w:p>
        </w:tc>
        <w:tc>
          <w:tcPr>
            <w:tcW w:w="0" w:type="auto"/>
            <w:gridSpan w:val="3"/>
            <w:vAlign w:val="center"/>
            <w:hideMark/>
          </w:tcPr>
          <w:p w14:paraId="14EF27E0"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35D985E1" w14:textId="77777777" w:rsidR="00000000" w:rsidRDefault="00A173A8">
            <w:pPr>
              <w:spacing w:after="100"/>
              <w:jc w:val="right"/>
              <w:rPr>
                <w:rFonts w:eastAsia="Times New Roman"/>
              </w:rPr>
            </w:pPr>
            <w:r>
              <w:rPr>
                <w:rFonts w:eastAsia="Times New Roman"/>
                <w:color w:val="000000"/>
                <w:sz w:val="20"/>
                <w:szCs w:val="20"/>
              </w:rPr>
              <w:t>10</w:t>
            </w:r>
          </w:p>
        </w:tc>
        <w:tc>
          <w:tcPr>
            <w:tcW w:w="0" w:type="auto"/>
            <w:gridSpan w:val="3"/>
            <w:vAlign w:val="center"/>
            <w:hideMark/>
          </w:tcPr>
          <w:p w14:paraId="74F1E9D8" w14:textId="77777777" w:rsidR="00000000" w:rsidRDefault="00A173A8">
            <w:pPr>
              <w:spacing w:after="100"/>
              <w:jc w:val="right"/>
              <w:rPr>
                <w:rFonts w:eastAsia="Times New Roman"/>
              </w:rPr>
            </w:pPr>
          </w:p>
        </w:tc>
        <w:tc>
          <w:tcPr>
            <w:tcW w:w="0" w:type="auto"/>
            <w:gridSpan w:val="2"/>
            <w:vAlign w:val="center"/>
            <w:hideMark/>
          </w:tcPr>
          <w:p w14:paraId="7FA4ECE4" w14:textId="77777777" w:rsidR="00000000" w:rsidRDefault="00A173A8">
            <w:pPr>
              <w:spacing w:after="100"/>
              <w:rPr>
                <w:rFonts w:eastAsia="Times New Roman"/>
                <w:sz w:val="20"/>
                <w:szCs w:val="20"/>
              </w:rPr>
            </w:pPr>
          </w:p>
        </w:tc>
      </w:tr>
      <w:tr w:rsidR="00000000" w14:paraId="16C5F5BA" w14:textId="77777777">
        <w:trPr>
          <w:divId w:val="261111824"/>
        </w:trPr>
        <w:tc>
          <w:tcPr>
            <w:tcW w:w="0" w:type="auto"/>
            <w:gridSpan w:val="3"/>
            <w:shd w:val="clear" w:color="auto" w:fill="CCEEFF"/>
            <w:tcMar>
              <w:top w:w="30" w:type="dxa"/>
              <w:left w:w="20" w:type="dxa"/>
              <w:bottom w:w="30" w:type="dxa"/>
              <w:right w:w="20" w:type="dxa"/>
            </w:tcMar>
            <w:vAlign w:val="center"/>
            <w:hideMark/>
          </w:tcPr>
          <w:p w14:paraId="07D38C1C" w14:textId="77777777" w:rsidR="00000000" w:rsidRDefault="00A173A8">
            <w:pPr>
              <w:spacing w:after="100"/>
              <w:rPr>
                <w:rFonts w:eastAsia="Times New Roman"/>
              </w:rPr>
            </w:pPr>
            <w:r>
              <w:rPr>
                <w:rFonts w:eastAsia="Times New Roman"/>
                <w:color w:val="000000"/>
                <w:sz w:val="20"/>
                <w:szCs w:val="20"/>
              </w:rPr>
              <w:t>Total non-interest expense</w:t>
            </w:r>
          </w:p>
        </w:tc>
        <w:tc>
          <w:tcPr>
            <w:tcW w:w="0" w:type="auto"/>
            <w:gridSpan w:val="3"/>
            <w:shd w:val="clear" w:color="auto" w:fill="CCEEFF"/>
            <w:tcMar>
              <w:top w:w="0" w:type="dxa"/>
              <w:left w:w="20" w:type="dxa"/>
              <w:bottom w:w="0" w:type="dxa"/>
              <w:right w:w="20" w:type="dxa"/>
            </w:tcMar>
            <w:vAlign w:val="center"/>
            <w:hideMark/>
          </w:tcPr>
          <w:p w14:paraId="59B2BA27"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389C5BE9" w14:textId="77777777" w:rsidR="00000000" w:rsidRDefault="00A173A8">
            <w:pPr>
              <w:spacing w:after="100"/>
              <w:jc w:val="right"/>
              <w:rPr>
                <w:rFonts w:eastAsia="Times New Roman"/>
              </w:rPr>
            </w:pPr>
            <w:r>
              <w:rPr>
                <w:rFonts w:eastAsia="Times New Roman"/>
                <w:b/>
                <w:bCs/>
                <w:color w:val="000000"/>
                <w:sz w:val="20"/>
                <w:szCs w:val="20"/>
              </w:rPr>
              <w:t>4,583</w:t>
            </w:r>
          </w:p>
        </w:tc>
        <w:tc>
          <w:tcPr>
            <w:tcW w:w="0" w:type="auto"/>
            <w:gridSpan w:val="3"/>
            <w:shd w:val="clear" w:color="auto" w:fill="CCEEFF"/>
            <w:tcMar>
              <w:top w:w="0" w:type="dxa"/>
              <w:left w:w="20" w:type="dxa"/>
              <w:bottom w:w="0" w:type="dxa"/>
              <w:right w:w="20" w:type="dxa"/>
            </w:tcMar>
            <w:vAlign w:val="center"/>
            <w:hideMark/>
          </w:tcPr>
          <w:p w14:paraId="617EC924"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57F75F91" w14:textId="77777777" w:rsidR="00000000" w:rsidRDefault="00A173A8">
            <w:pPr>
              <w:spacing w:after="100"/>
              <w:jc w:val="right"/>
              <w:rPr>
                <w:rFonts w:eastAsia="Times New Roman"/>
              </w:rPr>
            </w:pPr>
            <w:r>
              <w:rPr>
                <w:rFonts w:eastAsia="Times New Roman"/>
                <w:color w:val="000000"/>
                <w:sz w:val="20"/>
                <w:szCs w:val="20"/>
              </w:rPr>
              <w:t>3,966</w:t>
            </w:r>
          </w:p>
        </w:tc>
        <w:tc>
          <w:tcPr>
            <w:tcW w:w="0" w:type="auto"/>
            <w:gridSpan w:val="3"/>
            <w:shd w:val="clear" w:color="auto" w:fill="CCEEFF"/>
            <w:tcMar>
              <w:top w:w="0" w:type="dxa"/>
              <w:left w:w="20" w:type="dxa"/>
              <w:bottom w:w="0" w:type="dxa"/>
              <w:right w:w="20" w:type="dxa"/>
            </w:tcMar>
            <w:vAlign w:val="center"/>
            <w:hideMark/>
          </w:tcPr>
          <w:p w14:paraId="481A105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2AF1010B" w14:textId="77777777" w:rsidR="00000000" w:rsidRDefault="00A173A8">
            <w:pPr>
              <w:spacing w:after="100"/>
              <w:jc w:val="right"/>
              <w:rPr>
                <w:rFonts w:eastAsia="Times New Roman"/>
              </w:rPr>
            </w:pPr>
            <w:r>
              <w:rPr>
                <w:rFonts w:eastAsia="Times New Roman"/>
                <w:color w:val="000000"/>
                <w:sz w:val="20"/>
                <w:szCs w:val="20"/>
              </w:rPr>
              <w:t>16</w:t>
            </w:r>
          </w:p>
        </w:tc>
        <w:tc>
          <w:tcPr>
            <w:tcW w:w="0" w:type="auto"/>
            <w:gridSpan w:val="3"/>
            <w:shd w:val="clear" w:color="auto" w:fill="CCEEFF"/>
            <w:tcMar>
              <w:top w:w="0" w:type="dxa"/>
              <w:left w:w="20" w:type="dxa"/>
              <w:bottom w:w="0" w:type="dxa"/>
              <w:right w:w="20" w:type="dxa"/>
            </w:tcMar>
            <w:vAlign w:val="center"/>
            <w:hideMark/>
          </w:tcPr>
          <w:p w14:paraId="7AC1C202"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763CBDB6" w14:textId="77777777" w:rsidR="00000000" w:rsidRDefault="00A173A8">
            <w:pPr>
              <w:spacing w:after="100"/>
              <w:jc w:val="right"/>
              <w:rPr>
                <w:rFonts w:eastAsia="Times New Roman"/>
              </w:rPr>
            </w:pPr>
            <w:r>
              <w:rPr>
                <w:rFonts w:eastAsia="Times New Roman"/>
                <w:b/>
                <w:bCs/>
                <w:color w:val="000000"/>
                <w:sz w:val="20"/>
                <w:szCs w:val="20"/>
              </w:rPr>
              <w:t>9,134</w:t>
            </w:r>
          </w:p>
        </w:tc>
        <w:tc>
          <w:tcPr>
            <w:tcW w:w="0" w:type="auto"/>
            <w:gridSpan w:val="3"/>
            <w:shd w:val="clear" w:color="auto" w:fill="CCEEFF"/>
            <w:tcMar>
              <w:top w:w="0" w:type="dxa"/>
              <w:left w:w="20" w:type="dxa"/>
              <w:bottom w:w="0" w:type="dxa"/>
              <w:right w:w="20" w:type="dxa"/>
            </w:tcMar>
            <w:vAlign w:val="center"/>
            <w:hideMark/>
          </w:tcPr>
          <w:p w14:paraId="1346DA0B"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20279344" w14:textId="77777777" w:rsidR="00000000" w:rsidRDefault="00A173A8">
            <w:pPr>
              <w:spacing w:after="100"/>
              <w:jc w:val="right"/>
              <w:rPr>
                <w:rFonts w:eastAsia="Times New Roman"/>
              </w:rPr>
            </w:pPr>
            <w:r>
              <w:rPr>
                <w:rFonts w:eastAsia="Times New Roman"/>
                <w:color w:val="000000"/>
                <w:sz w:val="20"/>
                <w:szCs w:val="20"/>
              </w:rPr>
              <w:t>7,706</w:t>
            </w:r>
          </w:p>
        </w:tc>
        <w:tc>
          <w:tcPr>
            <w:tcW w:w="0" w:type="auto"/>
            <w:vAlign w:val="center"/>
            <w:hideMark/>
          </w:tcPr>
          <w:p w14:paraId="2949652E" w14:textId="77777777" w:rsidR="00000000" w:rsidRDefault="00A173A8">
            <w:pPr>
              <w:spacing w:after="100"/>
              <w:jc w:val="right"/>
              <w:rPr>
                <w:rFonts w:eastAsia="Times New Roman"/>
              </w:rPr>
            </w:pPr>
          </w:p>
        </w:tc>
        <w:tc>
          <w:tcPr>
            <w:tcW w:w="0" w:type="auto"/>
            <w:vAlign w:val="center"/>
            <w:hideMark/>
          </w:tcPr>
          <w:p w14:paraId="7FBB688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A5120D" w14:textId="77777777" w:rsidR="00000000" w:rsidRDefault="00A173A8">
            <w:pPr>
              <w:spacing w:after="100"/>
              <w:rPr>
                <w:rFonts w:eastAsia="Times New Roman"/>
                <w:sz w:val="20"/>
                <w:szCs w:val="20"/>
              </w:rPr>
            </w:pPr>
          </w:p>
        </w:tc>
        <w:tc>
          <w:tcPr>
            <w:tcW w:w="0" w:type="auto"/>
            <w:vAlign w:val="center"/>
            <w:hideMark/>
          </w:tcPr>
          <w:p w14:paraId="7EB259DB" w14:textId="77777777" w:rsidR="00000000" w:rsidRDefault="00A173A8">
            <w:pPr>
              <w:spacing w:after="100"/>
              <w:rPr>
                <w:rFonts w:eastAsia="Times New Roman"/>
                <w:sz w:val="20"/>
                <w:szCs w:val="20"/>
              </w:rPr>
            </w:pPr>
          </w:p>
        </w:tc>
        <w:tc>
          <w:tcPr>
            <w:tcW w:w="0" w:type="auto"/>
            <w:gridSpan w:val="3"/>
            <w:vAlign w:val="center"/>
            <w:hideMark/>
          </w:tcPr>
          <w:p w14:paraId="1B2E1E4C" w14:textId="77777777" w:rsidR="00000000" w:rsidRDefault="00A173A8">
            <w:pPr>
              <w:spacing w:after="100"/>
              <w:rPr>
                <w:rFonts w:eastAsia="Times New Roman"/>
                <w:sz w:val="20"/>
                <w:szCs w:val="20"/>
              </w:rPr>
            </w:pPr>
          </w:p>
        </w:tc>
        <w:tc>
          <w:tcPr>
            <w:tcW w:w="0" w:type="auto"/>
            <w:gridSpan w:val="3"/>
            <w:vAlign w:val="center"/>
            <w:hideMark/>
          </w:tcPr>
          <w:p w14:paraId="534D0746" w14:textId="77777777" w:rsidR="00000000" w:rsidRDefault="00A173A8">
            <w:pPr>
              <w:spacing w:after="100"/>
              <w:rPr>
                <w:rFonts w:eastAsia="Times New Roman"/>
                <w:sz w:val="20"/>
                <w:szCs w:val="20"/>
              </w:rPr>
            </w:pPr>
          </w:p>
        </w:tc>
        <w:tc>
          <w:tcPr>
            <w:tcW w:w="0" w:type="auto"/>
            <w:gridSpan w:val="3"/>
            <w:vAlign w:val="center"/>
            <w:hideMark/>
          </w:tcPr>
          <w:p w14:paraId="4D1CF513"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6AF2C246" w14:textId="77777777" w:rsidR="00000000" w:rsidRDefault="00A173A8">
            <w:pPr>
              <w:spacing w:after="100"/>
              <w:jc w:val="right"/>
              <w:rPr>
                <w:rFonts w:eastAsia="Times New Roman"/>
              </w:rPr>
            </w:pPr>
            <w:r>
              <w:rPr>
                <w:rFonts w:eastAsia="Times New Roman"/>
                <w:color w:val="000000"/>
                <w:sz w:val="20"/>
                <w:szCs w:val="20"/>
              </w:rPr>
              <w:t>19</w:t>
            </w:r>
          </w:p>
        </w:tc>
        <w:tc>
          <w:tcPr>
            <w:tcW w:w="0" w:type="auto"/>
            <w:gridSpan w:val="3"/>
            <w:vAlign w:val="center"/>
            <w:hideMark/>
          </w:tcPr>
          <w:p w14:paraId="7E13F89A" w14:textId="77777777" w:rsidR="00000000" w:rsidRDefault="00A173A8">
            <w:pPr>
              <w:spacing w:after="100"/>
              <w:jc w:val="right"/>
              <w:rPr>
                <w:rFonts w:eastAsia="Times New Roman"/>
              </w:rPr>
            </w:pPr>
          </w:p>
        </w:tc>
        <w:tc>
          <w:tcPr>
            <w:tcW w:w="0" w:type="auto"/>
            <w:gridSpan w:val="2"/>
            <w:vAlign w:val="center"/>
            <w:hideMark/>
          </w:tcPr>
          <w:p w14:paraId="5F3531D7" w14:textId="77777777" w:rsidR="00000000" w:rsidRDefault="00A173A8">
            <w:pPr>
              <w:spacing w:after="100"/>
              <w:rPr>
                <w:rFonts w:eastAsia="Times New Roman"/>
                <w:sz w:val="20"/>
                <w:szCs w:val="20"/>
              </w:rPr>
            </w:pPr>
          </w:p>
        </w:tc>
      </w:tr>
      <w:tr w:rsidR="00000000" w14:paraId="6E861115" w14:textId="77777777">
        <w:trPr>
          <w:divId w:val="261111824"/>
        </w:trPr>
        <w:tc>
          <w:tcPr>
            <w:tcW w:w="0" w:type="auto"/>
            <w:gridSpan w:val="3"/>
            <w:shd w:val="clear" w:color="auto" w:fill="FFFFFF"/>
            <w:tcMar>
              <w:top w:w="30" w:type="dxa"/>
              <w:left w:w="20" w:type="dxa"/>
              <w:bottom w:w="30" w:type="dxa"/>
              <w:right w:w="20" w:type="dxa"/>
            </w:tcMar>
            <w:vAlign w:val="center"/>
            <w:hideMark/>
          </w:tcPr>
          <w:p w14:paraId="43709445" w14:textId="77777777" w:rsidR="00000000" w:rsidRDefault="00A173A8">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50F501A4"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24CE3F7" w14:textId="77777777" w:rsidR="00000000" w:rsidRDefault="00A173A8">
            <w:pPr>
              <w:spacing w:after="100"/>
              <w:jc w:val="right"/>
              <w:rPr>
                <w:rFonts w:eastAsia="Times New Roman"/>
              </w:rPr>
            </w:pPr>
            <w:r>
              <w:rPr>
                <w:rFonts w:eastAsia="Times New Roman"/>
                <w:b/>
                <w:bCs/>
                <w:color w:val="000000"/>
                <w:sz w:val="20"/>
                <w:szCs w:val="20"/>
              </w:rPr>
              <w:t>2,564</w:t>
            </w:r>
          </w:p>
        </w:tc>
        <w:tc>
          <w:tcPr>
            <w:tcW w:w="0" w:type="auto"/>
            <w:gridSpan w:val="3"/>
            <w:shd w:val="clear" w:color="auto" w:fill="FFFFFF"/>
            <w:tcMar>
              <w:top w:w="0" w:type="dxa"/>
              <w:left w:w="20" w:type="dxa"/>
              <w:bottom w:w="0" w:type="dxa"/>
              <w:right w:w="20" w:type="dxa"/>
            </w:tcMar>
            <w:vAlign w:val="center"/>
            <w:hideMark/>
          </w:tcPr>
          <w:p w14:paraId="3AD27072"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3630869A" w14:textId="77777777" w:rsidR="00000000" w:rsidRDefault="00A173A8">
            <w:pPr>
              <w:spacing w:after="100"/>
              <w:jc w:val="right"/>
              <w:rPr>
                <w:rFonts w:eastAsia="Times New Roman"/>
              </w:rPr>
            </w:pPr>
            <w:r>
              <w:rPr>
                <w:rFonts w:eastAsia="Times New Roman"/>
                <w:color w:val="000000"/>
                <w:sz w:val="20"/>
                <w:szCs w:val="20"/>
              </w:rPr>
              <w:t>4,568</w:t>
            </w:r>
          </w:p>
        </w:tc>
        <w:tc>
          <w:tcPr>
            <w:tcW w:w="0" w:type="auto"/>
            <w:gridSpan w:val="3"/>
            <w:shd w:val="clear" w:color="auto" w:fill="FFFFFF"/>
            <w:tcMar>
              <w:top w:w="0" w:type="dxa"/>
              <w:left w:w="20" w:type="dxa"/>
              <w:bottom w:w="0" w:type="dxa"/>
              <w:right w:w="20" w:type="dxa"/>
            </w:tcMar>
            <w:vAlign w:val="center"/>
            <w:hideMark/>
          </w:tcPr>
          <w:p w14:paraId="7EA89CD4"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25957DE2" w14:textId="77777777" w:rsidR="00000000" w:rsidRDefault="00A173A8">
            <w:pPr>
              <w:spacing w:after="100"/>
              <w:jc w:val="right"/>
              <w:rPr>
                <w:rFonts w:eastAsia="Times New Roman"/>
              </w:rPr>
            </w:pPr>
            <w:r>
              <w:rPr>
                <w:rFonts w:eastAsia="Times New Roman"/>
                <w:color w:val="000000"/>
                <w:sz w:val="20"/>
                <w:szCs w:val="20"/>
              </w:rPr>
              <w:t>(44)</w:t>
            </w:r>
          </w:p>
        </w:tc>
        <w:tc>
          <w:tcPr>
            <w:tcW w:w="0" w:type="auto"/>
            <w:gridSpan w:val="3"/>
            <w:shd w:val="clear" w:color="auto" w:fill="FFFFFF"/>
            <w:tcMar>
              <w:top w:w="0" w:type="dxa"/>
              <w:left w:w="20" w:type="dxa"/>
              <w:bottom w:w="0" w:type="dxa"/>
              <w:right w:w="20" w:type="dxa"/>
            </w:tcMar>
            <w:vAlign w:val="center"/>
            <w:hideMark/>
          </w:tcPr>
          <w:p w14:paraId="730B0D28"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0A04B15E" w14:textId="77777777" w:rsidR="00000000" w:rsidRDefault="00A173A8">
            <w:pPr>
              <w:spacing w:after="100"/>
              <w:jc w:val="right"/>
              <w:rPr>
                <w:rFonts w:eastAsia="Times New Roman"/>
              </w:rPr>
            </w:pPr>
            <w:r>
              <w:rPr>
                <w:rFonts w:eastAsia="Times New Roman"/>
                <w:b/>
                <w:bCs/>
                <w:color w:val="000000"/>
                <w:sz w:val="20"/>
                <w:szCs w:val="20"/>
              </w:rPr>
              <w:t>5,509</w:t>
            </w:r>
          </w:p>
        </w:tc>
        <w:tc>
          <w:tcPr>
            <w:tcW w:w="0" w:type="auto"/>
            <w:gridSpan w:val="3"/>
            <w:shd w:val="clear" w:color="auto" w:fill="FFFFFF"/>
            <w:tcMar>
              <w:top w:w="0" w:type="dxa"/>
              <w:left w:w="20" w:type="dxa"/>
              <w:bottom w:w="0" w:type="dxa"/>
              <w:right w:w="20" w:type="dxa"/>
            </w:tcMar>
            <w:vAlign w:val="center"/>
            <w:hideMark/>
          </w:tcPr>
          <w:p w14:paraId="7115241C"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3173284" w14:textId="77777777" w:rsidR="00000000" w:rsidRDefault="00A173A8">
            <w:pPr>
              <w:spacing w:after="100"/>
              <w:jc w:val="right"/>
              <w:rPr>
                <w:rFonts w:eastAsia="Times New Roman"/>
              </w:rPr>
            </w:pPr>
            <w:r>
              <w:rPr>
                <w:rFonts w:eastAsia="Times New Roman"/>
                <w:color w:val="000000"/>
                <w:sz w:val="20"/>
                <w:szCs w:val="20"/>
              </w:rPr>
              <w:t>8,764</w:t>
            </w:r>
          </w:p>
        </w:tc>
        <w:tc>
          <w:tcPr>
            <w:tcW w:w="0" w:type="auto"/>
            <w:vAlign w:val="center"/>
            <w:hideMark/>
          </w:tcPr>
          <w:p w14:paraId="3BF9E4F8" w14:textId="77777777" w:rsidR="00000000" w:rsidRDefault="00A173A8">
            <w:pPr>
              <w:spacing w:after="100"/>
              <w:jc w:val="right"/>
              <w:rPr>
                <w:rFonts w:eastAsia="Times New Roman"/>
              </w:rPr>
            </w:pPr>
          </w:p>
        </w:tc>
        <w:tc>
          <w:tcPr>
            <w:tcW w:w="0" w:type="auto"/>
            <w:vAlign w:val="center"/>
            <w:hideMark/>
          </w:tcPr>
          <w:p w14:paraId="7CD1D0F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A6987" w14:textId="77777777" w:rsidR="00000000" w:rsidRDefault="00A173A8">
            <w:pPr>
              <w:spacing w:after="100"/>
              <w:rPr>
                <w:rFonts w:eastAsia="Times New Roman"/>
                <w:sz w:val="20"/>
                <w:szCs w:val="20"/>
              </w:rPr>
            </w:pPr>
          </w:p>
        </w:tc>
        <w:tc>
          <w:tcPr>
            <w:tcW w:w="0" w:type="auto"/>
            <w:vAlign w:val="center"/>
            <w:hideMark/>
          </w:tcPr>
          <w:p w14:paraId="79BF12C4" w14:textId="77777777" w:rsidR="00000000" w:rsidRDefault="00A173A8">
            <w:pPr>
              <w:spacing w:after="100"/>
              <w:rPr>
                <w:rFonts w:eastAsia="Times New Roman"/>
                <w:sz w:val="20"/>
                <w:szCs w:val="20"/>
              </w:rPr>
            </w:pPr>
          </w:p>
        </w:tc>
        <w:tc>
          <w:tcPr>
            <w:tcW w:w="0" w:type="auto"/>
            <w:gridSpan w:val="3"/>
            <w:vAlign w:val="center"/>
            <w:hideMark/>
          </w:tcPr>
          <w:p w14:paraId="323FE848" w14:textId="77777777" w:rsidR="00000000" w:rsidRDefault="00A173A8">
            <w:pPr>
              <w:spacing w:after="100"/>
              <w:rPr>
                <w:rFonts w:eastAsia="Times New Roman"/>
                <w:sz w:val="20"/>
                <w:szCs w:val="20"/>
              </w:rPr>
            </w:pPr>
          </w:p>
        </w:tc>
        <w:tc>
          <w:tcPr>
            <w:tcW w:w="0" w:type="auto"/>
            <w:gridSpan w:val="3"/>
            <w:vAlign w:val="center"/>
            <w:hideMark/>
          </w:tcPr>
          <w:p w14:paraId="58BEEE64" w14:textId="77777777" w:rsidR="00000000" w:rsidRDefault="00A173A8">
            <w:pPr>
              <w:spacing w:after="100"/>
              <w:rPr>
                <w:rFonts w:eastAsia="Times New Roman"/>
                <w:sz w:val="20"/>
                <w:szCs w:val="20"/>
              </w:rPr>
            </w:pPr>
          </w:p>
        </w:tc>
        <w:tc>
          <w:tcPr>
            <w:tcW w:w="0" w:type="auto"/>
            <w:gridSpan w:val="3"/>
            <w:vAlign w:val="center"/>
            <w:hideMark/>
          </w:tcPr>
          <w:p w14:paraId="2FCC632C"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F055797" w14:textId="77777777" w:rsidR="00000000" w:rsidRDefault="00A173A8">
            <w:pPr>
              <w:spacing w:after="100"/>
              <w:jc w:val="right"/>
              <w:rPr>
                <w:rFonts w:eastAsia="Times New Roman"/>
              </w:rPr>
            </w:pPr>
            <w:r>
              <w:rPr>
                <w:rFonts w:eastAsia="Times New Roman"/>
                <w:color w:val="000000"/>
                <w:sz w:val="20"/>
                <w:szCs w:val="20"/>
              </w:rPr>
              <w:t>(37)</w:t>
            </w:r>
          </w:p>
        </w:tc>
        <w:tc>
          <w:tcPr>
            <w:tcW w:w="0" w:type="auto"/>
            <w:gridSpan w:val="3"/>
            <w:vAlign w:val="center"/>
            <w:hideMark/>
          </w:tcPr>
          <w:p w14:paraId="1AFE1612" w14:textId="77777777" w:rsidR="00000000" w:rsidRDefault="00A173A8">
            <w:pPr>
              <w:spacing w:after="100"/>
              <w:jc w:val="right"/>
              <w:rPr>
                <w:rFonts w:eastAsia="Times New Roman"/>
              </w:rPr>
            </w:pPr>
          </w:p>
        </w:tc>
        <w:tc>
          <w:tcPr>
            <w:tcW w:w="0" w:type="auto"/>
            <w:gridSpan w:val="2"/>
            <w:vAlign w:val="center"/>
            <w:hideMark/>
          </w:tcPr>
          <w:p w14:paraId="20A17EB1" w14:textId="77777777" w:rsidR="00000000" w:rsidRDefault="00A173A8">
            <w:pPr>
              <w:spacing w:after="100"/>
              <w:rPr>
                <w:rFonts w:eastAsia="Times New Roman"/>
                <w:sz w:val="20"/>
                <w:szCs w:val="20"/>
              </w:rPr>
            </w:pPr>
          </w:p>
        </w:tc>
      </w:tr>
      <w:tr w:rsidR="00000000" w14:paraId="115FC429" w14:textId="77777777">
        <w:trPr>
          <w:divId w:val="261111824"/>
        </w:trPr>
        <w:tc>
          <w:tcPr>
            <w:tcW w:w="0" w:type="auto"/>
            <w:gridSpan w:val="3"/>
            <w:shd w:val="clear" w:color="auto" w:fill="CCEEFF"/>
            <w:tcMar>
              <w:top w:w="30" w:type="dxa"/>
              <w:left w:w="20" w:type="dxa"/>
              <w:bottom w:w="30" w:type="dxa"/>
              <w:right w:w="20" w:type="dxa"/>
            </w:tcMar>
            <w:vAlign w:val="center"/>
            <w:hideMark/>
          </w:tcPr>
          <w:p w14:paraId="284A4918" w14:textId="77777777" w:rsidR="00000000" w:rsidRDefault="00A173A8">
            <w:pPr>
              <w:spacing w:after="100"/>
              <w:rPr>
                <w:rFonts w:eastAsia="Times New Roman"/>
              </w:rPr>
            </w:pPr>
            <w:r>
              <w:rPr>
                <w:rFonts w:eastAsia="Times New Roman"/>
                <w:color w:val="000000"/>
                <w:sz w:val="20"/>
                <w:szCs w:val="20"/>
              </w:rPr>
              <w:t>Income tax provision</w:t>
            </w:r>
          </w:p>
        </w:tc>
        <w:tc>
          <w:tcPr>
            <w:tcW w:w="0" w:type="auto"/>
            <w:gridSpan w:val="3"/>
            <w:shd w:val="clear" w:color="auto" w:fill="CCEEFF"/>
            <w:tcMar>
              <w:top w:w="0" w:type="dxa"/>
              <w:left w:w="20" w:type="dxa"/>
              <w:bottom w:w="0" w:type="dxa"/>
              <w:right w:w="20" w:type="dxa"/>
            </w:tcMar>
            <w:vAlign w:val="center"/>
            <w:hideMark/>
          </w:tcPr>
          <w:p w14:paraId="44E2D7F0"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D82F132" w14:textId="77777777" w:rsidR="00000000" w:rsidRDefault="00A173A8">
            <w:pPr>
              <w:spacing w:after="100"/>
              <w:jc w:val="right"/>
              <w:rPr>
                <w:rFonts w:eastAsia="Times New Roman"/>
              </w:rPr>
            </w:pPr>
            <w:r>
              <w:rPr>
                <w:rFonts w:eastAsia="Times New Roman"/>
                <w:b/>
                <w:bCs/>
                <w:color w:val="000000"/>
                <w:sz w:val="20"/>
                <w:szCs w:val="20"/>
              </w:rPr>
              <w:t>533</w:t>
            </w:r>
          </w:p>
        </w:tc>
        <w:tc>
          <w:tcPr>
            <w:tcW w:w="0" w:type="auto"/>
            <w:gridSpan w:val="3"/>
            <w:shd w:val="clear" w:color="auto" w:fill="CCEEFF"/>
            <w:tcMar>
              <w:top w:w="0" w:type="dxa"/>
              <w:left w:w="20" w:type="dxa"/>
              <w:bottom w:w="0" w:type="dxa"/>
              <w:right w:w="20" w:type="dxa"/>
            </w:tcMar>
            <w:vAlign w:val="center"/>
            <w:hideMark/>
          </w:tcPr>
          <w:p w14:paraId="336BF14B"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F1493D3" w14:textId="77777777" w:rsidR="00000000" w:rsidRDefault="00A173A8">
            <w:pPr>
              <w:spacing w:after="100"/>
              <w:jc w:val="right"/>
              <w:rPr>
                <w:rFonts w:eastAsia="Times New Roman"/>
              </w:rPr>
            </w:pPr>
            <w:r>
              <w:rPr>
                <w:rFonts w:eastAsia="Times New Roman"/>
                <w:color w:val="000000"/>
                <w:sz w:val="20"/>
                <w:szCs w:val="20"/>
              </w:rPr>
              <w:t>1,031</w:t>
            </w:r>
          </w:p>
        </w:tc>
        <w:tc>
          <w:tcPr>
            <w:tcW w:w="0" w:type="auto"/>
            <w:gridSpan w:val="3"/>
            <w:shd w:val="clear" w:color="auto" w:fill="CCEEFF"/>
            <w:tcMar>
              <w:top w:w="0" w:type="dxa"/>
              <w:left w:w="20" w:type="dxa"/>
              <w:bottom w:w="0" w:type="dxa"/>
              <w:right w:w="20" w:type="dxa"/>
            </w:tcMar>
            <w:vAlign w:val="center"/>
            <w:hideMark/>
          </w:tcPr>
          <w:p w14:paraId="6377EDBA"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0AE7DDE0" w14:textId="77777777" w:rsidR="00000000" w:rsidRDefault="00A173A8">
            <w:pPr>
              <w:spacing w:after="100"/>
              <w:jc w:val="right"/>
              <w:rPr>
                <w:rFonts w:eastAsia="Times New Roman"/>
              </w:rPr>
            </w:pPr>
            <w:r>
              <w:rPr>
                <w:rFonts w:eastAsia="Times New Roman"/>
                <w:color w:val="000000"/>
                <w:sz w:val="20"/>
                <w:szCs w:val="20"/>
              </w:rPr>
              <w:t>(48)</w:t>
            </w:r>
          </w:p>
        </w:tc>
        <w:tc>
          <w:tcPr>
            <w:tcW w:w="0" w:type="auto"/>
            <w:gridSpan w:val="3"/>
            <w:shd w:val="clear" w:color="auto" w:fill="CCEEFF"/>
            <w:tcMar>
              <w:top w:w="0" w:type="dxa"/>
              <w:left w:w="20" w:type="dxa"/>
              <w:bottom w:w="0" w:type="dxa"/>
              <w:right w:w="20" w:type="dxa"/>
            </w:tcMar>
            <w:vAlign w:val="center"/>
            <w:hideMark/>
          </w:tcPr>
          <w:p w14:paraId="7C37A407"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D9C8F95" w14:textId="77777777" w:rsidR="00000000" w:rsidRDefault="00A173A8">
            <w:pPr>
              <w:spacing w:after="100"/>
              <w:jc w:val="right"/>
              <w:rPr>
                <w:rFonts w:eastAsia="Times New Roman"/>
              </w:rPr>
            </w:pPr>
            <w:r>
              <w:rPr>
                <w:rFonts w:eastAsia="Times New Roman"/>
                <w:b/>
                <w:bCs/>
                <w:color w:val="000000"/>
                <w:sz w:val="20"/>
                <w:szCs w:val="20"/>
              </w:rPr>
              <w:t>1,075</w:t>
            </w:r>
          </w:p>
        </w:tc>
        <w:tc>
          <w:tcPr>
            <w:tcW w:w="0" w:type="auto"/>
            <w:gridSpan w:val="3"/>
            <w:shd w:val="clear" w:color="auto" w:fill="CCEEFF"/>
            <w:tcMar>
              <w:top w:w="0" w:type="dxa"/>
              <w:left w:w="20" w:type="dxa"/>
              <w:bottom w:w="0" w:type="dxa"/>
              <w:right w:w="20" w:type="dxa"/>
            </w:tcMar>
            <w:vAlign w:val="center"/>
            <w:hideMark/>
          </w:tcPr>
          <w:p w14:paraId="7A3D4ED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D05CCB2" w14:textId="77777777" w:rsidR="00000000" w:rsidRDefault="00A173A8">
            <w:pPr>
              <w:spacing w:after="100"/>
              <w:jc w:val="right"/>
              <w:rPr>
                <w:rFonts w:eastAsia="Times New Roman"/>
              </w:rPr>
            </w:pPr>
            <w:r>
              <w:rPr>
                <w:rFonts w:eastAsia="Times New Roman"/>
                <w:color w:val="000000"/>
                <w:sz w:val="20"/>
                <w:szCs w:val="20"/>
              </w:rPr>
              <w:t>1,900</w:t>
            </w:r>
          </w:p>
        </w:tc>
        <w:tc>
          <w:tcPr>
            <w:tcW w:w="0" w:type="auto"/>
            <w:vAlign w:val="center"/>
            <w:hideMark/>
          </w:tcPr>
          <w:p w14:paraId="028A8CA1" w14:textId="77777777" w:rsidR="00000000" w:rsidRDefault="00A173A8">
            <w:pPr>
              <w:spacing w:after="100"/>
              <w:jc w:val="right"/>
              <w:rPr>
                <w:rFonts w:eastAsia="Times New Roman"/>
              </w:rPr>
            </w:pPr>
          </w:p>
        </w:tc>
        <w:tc>
          <w:tcPr>
            <w:tcW w:w="0" w:type="auto"/>
            <w:vAlign w:val="center"/>
            <w:hideMark/>
          </w:tcPr>
          <w:p w14:paraId="1841A64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959917" w14:textId="77777777" w:rsidR="00000000" w:rsidRDefault="00A173A8">
            <w:pPr>
              <w:spacing w:after="100"/>
              <w:rPr>
                <w:rFonts w:eastAsia="Times New Roman"/>
                <w:sz w:val="20"/>
                <w:szCs w:val="20"/>
              </w:rPr>
            </w:pPr>
          </w:p>
        </w:tc>
        <w:tc>
          <w:tcPr>
            <w:tcW w:w="0" w:type="auto"/>
            <w:vAlign w:val="center"/>
            <w:hideMark/>
          </w:tcPr>
          <w:p w14:paraId="6B1ECBEA" w14:textId="77777777" w:rsidR="00000000" w:rsidRDefault="00A173A8">
            <w:pPr>
              <w:spacing w:after="100"/>
              <w:rPr>
                <w:rFonts w:eastAsia="Times New Roman"/>
                <w:sz w:val="20"/>
                <w:szCs w:val="20"/>
              </w:rPr>
            </w:pPr>
          </w:p>
        </w:tc>
        <w:tc>
          <w:tcPr>
            <w:tcW w:w="0" w:type="auto"/>
            <w:gridSpan w:val="3"/>
            <w:vAlign w:val="center"/>
            <w:hideMark/>
          </w:tcPr>
          <w:p w14:paraId="1781B191" w14:textId="77777777" w:rsidR="00000000" w:rsidRDefault="00A173A8">
            <w:pPr>
              <w:spacing w:after="100"/>
              <w:rPr>
                <w:rFonts w:eastAsia="Times New Roman"/>
                <w:sz w:val="20"/>
                <w:szCs w:val="20"/>
              </w:rPr>
            </w:pPr>
          </w:p>
        </w:tc>
        <w:tc>
          <w:tcPr>
            <w:tcW w:w="0" w:type="auto"/>
            <w:gridSpan w:val="3"/>
            <w:vAlign w:val="center"/>
            <w:hideMark/>
          </w:tcPr>
          <w:p w14:paraId="6585CE55" w14:textId="77777777" w:rsidR="00000000" w:rsidRDefault="00A173A8">
            <w:pPr>
              <w:spacing w:after="100"/>
              <w:rPr>
                <w:rFonts w:eastAsia="Times New Roman"/>
                <w:sz w:val="20"/>
                <w:szCs w:val="20"/>
              </w:rPr>
            </w:pPr>
          </w:p>
        </w:tc>
        <w:tc>
          <w:tcPr>
            <w:tcW w:w="0" w:type="auto"/>
            <w:gridSpan w:val="3"/>
            <w:vAlign w:val="center"/>
            <w:hideMark/>
          </w:tcPr>
          <w:p w14:paraId="594977BB"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2832D80" w14:textId="77777777" w:rsidR="00000000" w:rsidRDefault="00A173A8">
            <w:pPr>
              <w:spacing w:after="100"/>
              <w:jc w:val="right"/>
              <w:rPr>
                <w:rFonts w:eastAsia="Times New Roman"/>
              </w:rPr>
            </w:pPr>
            <w:r>
              <w:rPr>
                <w:rFonts w:eastAsia="Times New Roman"/>
                <w:color w:val="000000"/>
                <w:sz w:val="20"/>
                <w:szCs w:val="20"/>
              </w:rPr>
              <w:t>(43)</w:t>
            </w:r>
          </w:p>
        </w:tc>
        <w:tc>
          <w:tcPr>
            <w:tcW w:w="0" w:type="auto"/>
            <w:gridSpan w:val="3"/>
            <w:vAlign w:val="center"/>
            <w:hideMark/>
          </w:tcPr>
          <w:p w14:paraId="2D758F46" w14:textId="77777777" w:rsidR="00000000" w:rsidRDefault="00A173A8">
            <w:pPr>
              <w:spacing w:after="100"/>
              <w:jc w:val="right"/>
              <w:rPr>
                <w:rFonts w:eastAsia="Times New Roman"/>
              </w:rPr>
            </w:pPr>
          </w:p>
        </w:tc>
        <w:tc>
          <w:tcPr>
            <w:tcW w:w="0" w:type="auto"/>
            <w:gridSpan w:val="2"/>
            <w:vAlign w:val="center"/>
            <w:hideMark/>
          </w:tcPr>
          <w:p w14:paraId="12062901" w14:textId="77777777" w:rsidR="00000000" w:rsidRDefault="00A173A8">
            <w:pPr>
              <w:spacing w:after="100"/>
              <w:rPr>
                <w:rFonts w:eastAsia="Times New Roman"/>
                <w:sz w:val="20"/>
                <w:szCs w:val="20"/>
              </w:rPr>
            </w:pPr>
          </w:p>
        </w:tc>
      </w:tr>
      <w:tr w:rsidR="00000000" w14:paraId="3617DB65" w14:textId="77777777">
        <w:trPr>
          <w:divId w:val="261111824"/>
        </w:trPr>
        <w:tc>
          <w:tcPr>
            <w:tcW w:w="0" w:type="auto"/>
            <w:gridSpan w:val="3"/>
            <w:shd w:val="clear" w:color="auto" w:fill="FFFFFF"/>
            <w:tcMar>
              <w:top w:w="30" w:type="dxa"/>
              <w:left w:w="20" w:type="dxa"/>
              <w:bottom w:w="30" w:type="dxa"/>
              <w:right w:w="20" w:type="dxa"/>
            </w:tcMar>
            <w:vAlign w:val="center"/>
            <w:hideMark/>
          </w:tcPr>
          <w:p w14:paraId="21F52699" w14:textId="77777777" w:rsidR="00000000" w:rsidRDefault="00A173A8">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14:paraId="54D67CEB"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43832C32" w14:textId="77777777" w:rsidR="00000000" w:rsidRDefault="00A173A8">
            <w:pPr>
              <w:spacing w:after="100"/>
              <w:jc w:val="right"/>
              <w:rPr>
                <w:rFonts w:eastAsia="Times New Roman"/>
              </w:rPr>
            </w:pPr>
            <w:r>
              <w:rPr>
                <w:rFonts w:eastAsia="Times New Roman"/>
                <w:b/>
                <w:bCs/>
                <w:color w:val="000000"/>
                <w:sz w:val="20"/>
                <w:szCs w:val="20"/>
              </w:rPr>
              <w:t>2,031</w:t>
            </w:r>
          </w:p>
        </w:tc>
        <w:tc>
          <w:tcPr>
            <w:tcW w:w="0" w:type="auto"/>
            <w:gridSpan w:val="3"/>
            <w:shd w:val="clear" w:color="auto" w:fill="FFFFFF"/>
            <w:tcMar>
              <w:top w:w="0" w:type="dxa"/>
              <w:left w:w="20" w:type="dxa"/>
              <w:bottom w:w="0" w:type="dxa"/>
              <w:right w:w="20" w:type="dxa"/>
            </w:tcMar>
            <w:vAlign w:val="center"/>
            <w:hideMark/>
          </w:tcPr>
          <w:p w14:paraId="1A43586D"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4A41468" w14:textId="77777777" w:rsidR="00000000" w:rsidRDefault="00A173A8">
            <w:pPr>
              <w:spacing w:after="100"/>
              <w:jc w:val="right"/>
              <w:rPr>
                <w:rFonts w:eastAsia="Times New Roman"/>
              </w:rPr>
            </w:pPr>
            <w:r>
              <w:rPr>
                <w:rFonts w:eastAsia="Times New Roman"/>
                <w:color w:val="000000"/>
                <w:sz w:val="20"/>
                <w:szCs w:val="20"/>
              </w:rPr>
              <w:t>3,537</w:t>
            </w:r>
          </w:p>
        </w:tc>
        <w:tc>
          <w:tcPr>
            <w:tcW w:w="0" w:type="auto"/>
            <w:gridSpan w:val="3"/>
            <w:shd w:val="clear" w:color="auto" w:fill="FFFFFF"/>
            <w:tcMar>
              <w:top w:w="0" w:type="dxa"/>
              <w:left w:w="20" w:type="dxa"/>
              <w:bottom w:w="0" w:type="dxa"/>
              <w:right w:w="20" w:type="dxa"/>
            </w:tcMar>
            <w:vAlign w:val="center"/>
            <w:hideMark/>
          </w:tcPr>
          <w:p w14:paraId="45AFA635"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7E882394" w14:textId="77777777" w:rsidR="00000000" w:rsidRDefault="00A173A8">
            <w:pPr>
              <w:spacing w:after="100"/>
              <w:jc w:val="right"/>
              <w:rPr>
                <w:rFonts w:eastAsia="Times New Roman"/>
              </w:rPr>
            </w:pPr>
            <w:r>
              <w:rPr>
                <w:rFonts w:eastAsia="Times New Roman"/>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14:paraId="47C9ED49"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8A0E190" w14:textId="77777777" w:rsidR="00000000" w:rsidRDefault="00A173A8">
            <w:pPr>
              <w:spacing w:after="100"/>
              <w:jc w:val="right"/>
              <w:rPr>
                <w:rFonts w:eastAsia="Times New Roman"/>
              </w:rPr>
            </w:pPr>
            <w:r>
              <w:rPr>
                <w:rFonts w:eastAsia="Times New Roman"/>
                <w:b/>
                <w:bCs/>
                <w:color w:val="000000"/>
                <w:sz w:val="20"/>
                <w:szCs w:val="20"/>
              </w:rPr>
              <w:t>4,434</w:t>
            </w:r>
          </w:p>
        </w:tc>
        <w:tc>
          <w:tcPr>
            <w:tcW w:w="0" w:type="auto"/>
            <w:gridSpan w:val="3"/>
            <w:shd w:val="clear" w:color="auto" w:fill="FFFFFF"/>
            <w:tcMar>
              <w:top w:w="0" w:type="dxa"/>
              <w:left w:w="20" w:type="dxa"/>
              <w:bottom w:w="0" w:type="dxa"/>
              <w:right w:w="20" w:type="dxa"/>
            </w:tcMar>
            <w:vAlign w:val="center"/>
            <w:hideMark/>
          </w:tcPr>
          <w:p w14:paraId="3EFA1533"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1B0C0EBC" w14:textId="77777777" w:rsidR="00000000" w:rsidRDefault="00A173A8">
            <w:pPr>
              <w:spacing w:after="100"/>
              <w:jc w:val="right"/>
              <w:rPr>
                <w:rFonts w:eastAsia="Times New Roman"/>
              </w:rPr>
            </w:pPr>
            <w:r>
              <w:rPr>
                <w:rFonts w:eastAsia="Times New Roman"/>
                <w:color w:val="000000"/>
                <w:sz w:val="20"/>
                <w:szCs w:val="20"/>
              </w:rPr>
              <w:t>6,864</w:t>
            </w:r>
          </w:p>
        </w:tc>
        <w:tc>
          <w:tcPr>
            <w:tcW w:w="0" w:type="auto"/>
            <w:vAlign w:val="center"/>
            <w:hideMark/>
          </w:tcPr>
          <w:p w14:paraId="389E0788" w14:textId="77777777" w:rsidR="00000000" w:rsidRDefault="00A173A8">
            <w:pPr>
              <w:spacing w:after="100"/>
              <w:jc w:val="right"/>
              <w:rPr>
                <w:rFonts w:eastAsia="Times New Roman"/>
              </w:rPr>
            </w:pPr>
          </w:p>
        </w:tc>
        <w:tc>
          <w:tcPr>
            <w:tcW w:w="0" w:type="auto"/>
            <w:vAlign w:val="center"/>
            <w:hideMark/>
          </w:tcPr>
          <w:p w14:paraId="2193BFF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37BB6C" w14:textId="77777777" w:rsidR="00000000" w:rsidRDefault="00A173A8">
            <w:pPr>
              <w:spacing w:after="100"/>
              <w:rPr>
                <w:rFonts w:eastAsia="Times New Roman"/>
                <w:sz w:val="20"/>
                <w:szCs w:val="20"/>
              </w:rPr>
            </w:pPr>
          </w:p>
        </w:tc>
        <w:tc>
          <w:tcPr>
            <w:tcW w:w="0" w:type="auto"/>
            <w:vAlign w:val="center"/>
            <w:hideMark/>
          </w:tcPr>
          <w:p w14:paraId="411DF886" w14:textId="77777777" w:rsidR="00000000" w:rsidRDefault="00A173A8">
            <w:pPr>
              <w:spacing w:after="100"/>
              <w:rPr>
                <w:rFonts w:eastAsia="Times New Roman"/>
                <w:sz w:val="20"/>
                <w:szCs w:val="20"/>
              </w:rPr>
            </w:pPr>
          </w:p>
        </w:tc>
        <w:tc>
          <w:tcPr>
            <w:tcW w:w="0" w:type="auto"/>
            <w:gridSpan w:val="3"/>
            <w:vAlign w:val="center"/>
            <w:hideMark/>
          </w:tcPr>
          <w:p w14:paraId="35D401CD" w14:textId="77777777" w:rsidR="00000000" w:rsidRDefault="00A173A8">
            <w:pPr>
              <w:spacing w:after="100"/>
              <w:rPr>
                <w:rFonts w:eastAsia="Times New Roman"/>
                <w:sz w:val="20"/>
                <w:szCs w:val="20"/>
              </w:rPr>
            </w:pPr>
          </w:p>
        </w:tc>
        <w:tc>
          <w:tcPr>
            <w:tcW w:w="0" w:type="auto"/>
            <w:gridSpan w:val="3"/>
            <w:vAlign w:val="center"/>
            <w:hideMark/>
          </w:tcPr>
          <w:p w14:paraId="2155D623" w14:textId="77777777" w:rsidR="00000000" w:rsidRDefault="00A173A8">
            <w:pPr>
              <w:spacing w:after="100"/>
              <w:rPr>
                <w:rFonts w:eastAsia="Times New Roman"/>
                <w:sz w:val="20"/>
                <w:szCs w:val="20"/>
              </w:rPr>
            </w:pPr>
          </w:p>
        </w:tc>
        <w:tc>
          <w:tcPr>
            <w:tcW w:w="0" w:type="auto"/>
            <w:gridSpan w:val="3"/>
            <w:vAlign w:val="center"/>
            <w:hideMark/>
          </w:tcPr>
          <w:p w14:paraId="7504CD2F"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5440876C" w14:textId="77777777" w:rsidR="00000000" w:rsidRDefault="00A173A8">
            <w:pPr>
              <w:spacing w:after="100"/>
              <w:jc w:val="right"/>
              <w:rPr>
                <w:rFonts w:eastAsia="Times New Roman"/>
              </w:rPr>
            </w:pPr>
            <w:r>
              <w:rPr>
                <w:rFonts w:eastAsia="Times New Roman"/>
                <w:color w:val="000000"/>
                <w:sz w:val="20"/>
                <w:szCs w:val="20"/>
              </w:rPr>
              <w:t>(35)</w:t>
            </w:r>
          </w:p>
        </w:tc>
        <w:tc>
          <w:tcPr>
            <w:tcW w:w="0" w:type="auto"/>
            <w:gridSpan w:val="3"/>
            <w:vAlign w:val="center"/>
            <w:hideMark/>
          </w:tcPr>
          <w:p w14:paraId="4A98241C" w14:textId="77777777" w:rsidR="00000000" w:rsidRDefault="00A173A8">
            <w:pPr>
              <w:spacing w:after="100"/>
              <w:jc w:val="right"/>
              <w:rPr>
                <w:rFonts w:eastAsia="Times New Roman"/>
              </w:rPr>
            </w:pPr>
          </w:p>
        </w:tc>
        <w:tc>
          <w:tcPr>
            <w:tcW w:w="0" w:type="auto"/>
            <w:gridSpan w:val="2"/>
            <w:vAlign w:val="center"/>
            <w:hideMark/>
          </w:tcPr>
          <w:p w14:paraId="49AE12E6" w14:textId="77777777" w:rsidR="00000000" w:rsidRDefault="00A173A8">
            <w:pPr>
              <w:spacing w:after="100"/>
              <w:rPr>
                <w:rFonts w:eastAsia="Times New Roman"/>
                <w:sz w:val="20"/>
                <w:szCs w:val="20"/>
              </w:rPr>
            </w:pPr>
          </w:p>
        </w:tc>
      </w:tr>
      <w:tr w:rsidR="00000000" w14:paraId="474B5DCF" w14:textId="77777777">
        <w:trPr>
          <w:divId w:val="261111824"/>
        </w:trPr>
        <w:tc>
          <w:tcPr>
            <w:tcW w:w="0" w:type="auto"/>
            <w:gridSpan w:val="3"/>
            <w:shd w:val="clear" w:color="auto" w:fill="CCEEFF"/>
            <w:tcMar>
              <w:top w:w="30" w:type="dxa"/>
              <w:left w:w="20" w:type="dxa"/>
              <w:bottom w:w="30" w:type="dxa"/>
              <w:right w:w="20" w:type="dxa"/>
            </w:tcMar>
            <w:vAlign w:val="center"/>
            <w:hideMark/>
          </w:tcPr>
          <w:p w14:paraId="4C48835D" w14:textId="77777777" w:rsidR="00000000" w:rsidRDefault="00A173A8">
            <w:pPr>
              <w:spacing w:after="100"/>
              <w:rPr>
                <w:rFonts w:eastAsia="Times New Roman"/>
              </w:rPr>
            </w:pPr>
            <w:r>
              <w:rPr>
                <w:rFonts w:eastAsia="Times New Roman"/>
                <w:color w:val="000000"/>
                <w:sz w:val="20"/>
                <w:szCs w:val="20"/>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14:paraId="14E4602D"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84A6C93"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A340F27"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A363D82" w14:textId="77777777" w:rsidR="00000000" w:rsidRDefault="00A173A8">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14:paraId="4DE2854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061F1770"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1D2CAB9"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EB80D66"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5E6D500"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3863DC2" w14:textId="77777777" w:rsidR="00000000" w:rsidRDefault="00A173A8">
            <w:pPr>
              <w:spacing w:after="100"/>
              <w:jc w:val="right"/>
              <w:rPr>
                <w:rFonts w:eastAsia="Times New Roman"/>
              </w:rPr>
            </w:pPr>
            <w:r>
              <w:rPr>
                <w:rFonts w:eastAsia="Times New Roman"/>
                <w:color w:val="000000"/>
                <w:sz w:val="20"/>
                <w:szCs w:val="20"/>
              </w:rPr>
              <w:t>(3)</w:t>
            </w:r>
          </w:p>
        </w:tc>
        <w:tc>
          <w:tcPr>
            <w:tcW w:w="0" w:type="auto"/>
            <w:vAlign w:val="center"/>
            <w:hideMark/>
          </w:tcPr>
          <w:p w14:paraId="7FFC36BB" w14:textId="77777777" w:rsidR="00000000" w:rsidRDefault="00A173A8">
            <w:pPr>
              <w:spacing w:after="100"/>
              <w:jc w:val="right"/>
              <w:rPr>
                <w:rFonts w:eastAsia="Times New Roman"/>
              </w:rPr>
            </w:pPr>
          </w:p>
        </w:tc>
        <w:tc>
          <w:tcPr>
            <w:tcW w:w="0" w:type="auto"/>
            <w:vAlign w:val="center"/>
            <w:hideMark/>
          </w:tcPr>
          <w:p w14:paraId="09CC9C7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9C71A8" w14:textId="77777777" w:rsidR="00000000" w:rsidRDefault="00A173A8">
            <w:pPr>
              <w:spacing w:after="100"/>
              <w:rPr>
                <w:rFonts w:eastAsia="Times New Roman"/>
                <w:sz w:val="20"/>
                <w:szCs w:val="20"/>
              </w:rPr>
            </w:pPr>
          </w:p>
        </w:tc>
        <w:tc>
          <w:tcPr>
            <w:tcW w:w="0" w:type="auto"/>
            <w:vAlign w:val="center"/>
            <w:hideMark/>
          </w:tcPr>
          <w:p w14:paraId="51C0F260" w14:textId="77777777" w:rsidR="00000000" w:rsidRDefault="00A173A8">
            <w:pPr>
              <w:spacing w:after="100"/>
              <w:rPr>
                <w:rFonts w:eastAsia="Times New Roman"/>
                <w:sz w:val="20"/>
                <w:szCs w:val="20"/>
              </w:rPr>
            </w:pPr>
          </w:p>
        </w:tc>
        <w:tc>
          <w:tcPr>
            <w:tcW w:w="0" w:type="auto"/>
            <w:gridSpan w:val="3"/>
            <w:vAlign w:val="center"/>
            <w:hideMark/>
          </w:tcPr>
          <w:p w14:paraId="721F3D7D" w14:textId="77777777" w:rsidR="00000000" w:rsidRDefault="00A173A8">
            <w:pPr>
              <w:spacing w:after="100"/>
              <w:rPr>
                <w:rFonts w:eastAsia="Times New Roman"/>
                <w:sz w:val="20"/>
                <w:szCs w:val="20"/>
              </w:rPr>
            </w:pPr>
          </w:p>
        </w:tc>
        <w:tc>
          <w:tcPr>
            <w:tcW w:w="0" w:type="auto"/>
            <w:gridSpan w:val="3"/>
            <w:vAlign w:val="center"/>
            <w:hideMark/>
          </w:tcPr>
          <w:p w14:paraId="3386E4D7" w14:textId="77777777" w:rsidR="00000000" w:rsidRDefault="00A173A8">
            <w:pPr>
              <w:spacing w:after="100"/>
              <w:rPr>
                <w:rFonts w:eastAsia="Times New Roman"/>
                <w:sz w:val="20"/>
                <w:szCs w:val="20"/>
              </w:rPr>
            </w:pPr>
          </w:p>
        </w:tc>
        <w:tc>
          <w:tcPr>
            <w:tcW w:w="0" w:type="auto"/>
            <w:gridSpan w:val="3"/>
            <w:vAlign w:val="center"/>
            <w:hideMark/>
          </w:tcPr>
          <w:p w14:paraId="5905CC78"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4E81F28E"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6A431F0E" w14:textId="77777777" w:rsidR="00000000" w:rsidRDefault="00A173A8">
            <w:pPr>
              <w:spacing w:after="100"/>
              <w:jc w:val="right"/>
              <w:rPr>
                <w:rFonts w:eastAsia="Times New Roman"/>
              </w:rPr>
            </w:pPr>
          </w:p>
        </w:tc>
        <w:tc>
          <w:tcPr>
            <w:tcW w:w="0" w:type="auto"/>
            <w:gridSpan w:val="2"/>
            <w:vAlign w:val="center"/>
            <w:hideMark/>
          </w:tcPr>
          <w:p w14:paraId="2C0B4463" w14:textId="77777777" w:rsidR="00000000" w:rsidRDefault="00A173A8">
            <w:pPr>
              <w:spacing w:after="100"/>
              <w:rPr>
                <w:rFonts w:eastAsia="Times New Roman"/>
                <w:sz w:val="20"/>
                <w:szCs w:val="20"/>
              </w:rPr>
            </w:pPr>
          </w:p>
        </w:tc>
      </w:tr>
      <w:tr w:rsidR="00000000" w14:paraId="4408BB02" w14:textId="77777777">
        <w:trPr>
          <w:divId w:val="261111824"/>
        </w:trPr>
        <w:tc>
          <w:tcPr>
            <w:tcW w:w="0" w:type="auto"/>
            <w:gridSpan w:val="3"/>
            <w:shd w:val="clear" w:color="auto" w:fill="FFFFFF"/>
            <w:tcMar>
              <w:top w:w="30" w:type="dxa"/>
              <w:left w:w="20" w:type="dxa"/>
              <w:bottom w:w="30" w:type="dxa"/>
              <w:right w:w="20" w:type="dxa"/>
            </w:tcMar>
            <w:vAlign w:val="center"/>
            <w:hideMark/>
          </w:tcPr>
          <w:p w14:paraId="315AB1DB" w14:textId="77777777" w:rsidR="00000000" w:rsidRDefault="00A173A8">
            <w:pPr>
              <w:spacing w:after="100"/>
              <w:rPr>
                <w:rFonts w:eastAsia="Times New Roman"/>
              </w:rPr>
            </w:pPr>
            <w:r>
              <w:rPr>
                <w:rFonts w:eastAsia="Times New Roman"/>
                <w:b/>
                <w:bCs/>
                <w:color w:val="000000"/>
                <w:sz w:val="20"/>
                <w:szCs w:val="20"/>
              </w:rPr>
              <w:t>Net income</w:t>
            </w:r>
          </w:p>
        </w:tc>
        <w:tc>
          <w:tcPr>
            <w:tcW w:w="0" w:type="auto"/>
            <w:gridSpan w:val="3"/>
            <w:shd w:val="clear" w:color="auto" w:fill="FFFFFF"/>
            <w:tcMar>
              <w:top w:w="0" w:type="dxa"/>
              <w:left w:w="20" w:type="dxa"/>
              <w:bottom w:w="0" w:type="dxa"/>
              <w:right w:w="20" w:type="dxa"/>
            </w:tcMar>
            <w:vAlign w:val="center"/>
            <w:hideMark/>
          </w:tcPr>
          <w:p w14:paraId="7F65E85C"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03900E68" w14:textId="77777777" w:rsidR="00000000" w:rsidRDefault="00A173A8">
            <w:pPr>
              <w:spacing w:after="100"/>
              <w:jc w:val="right"/>
              <w:rPr>
                <w:rFonts w:eastAsia="Times New Roman"/>
              </w:rPr>
            </w:pPr>
            <w:r>
              <w:rPr>
                <w:rFonts w:eastAsia="Times New Roman"/>
                <w:b/>
                <w:bCs/>
                <w:color w:val="000000"/>
                <w:sz w:val="20"/>
                <w:szCs w:val="20"/>
              </w:rPr>
              <w:t>2,031</w:t>
            </w:r>
          </w:p>
        </w:tc>
        <w:tc>
          <w:tcPr>
            <w:tcW w:w="0" w:type="auto"/>
            <w:gridSpan w:val="3"/>
            <w:shd w:val="clear" w:color="auto" w:fill="FFFFFF"/>
            <w:tcMar>
              <w:top w:w="0" w:type="dxa"/>
              <w:left w:w="20" w:type="dxa"/>
              <w:bottom w:w="0" w:type="dxa"/>
              <w:right w:w="20" w:type="dxa"/>
            </w:tcMar>
            <w:vAlign w:val="center"/>
            <w:hideMark/>
          </w:tcPr>
          <w:p w14:paraId="48855E5C"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3F81BA33" w14:textId="77777777" w:rsidR="00000000" w:rsidRDefault="00A173A8">
            <w:pPr>
              <w:spacing w:after="100"/>
              <w:jc w:val="right"/>
              <w:rPr>
                <w:rFonts w:eastAsia="Times New Roman"/>
              </w:rPr>
            </w:pPr>
            <w:r>
              <w:rPr>
                <w:rFonts w:eastAsia="Times New Roman"/>
                <w:color w:val="000000"/>
                <w:sz w:val="20"/>
                <w:szCs w:val="20"/>
              </w:rPr>
              <w:t>3,536</w:t>
            </w:r>
          </w:p>
        </w:tc>
        <w:tc>
          <w:tcPr>
            <w:tcW w:w="0" w:type="auto"/>
            <w:gridSpan w:val="3"/>
            <w:shd w:val="clear" w:color="auto" w:fill="FFFFFF"/>
            <w:tcMar>
              <w:top w:w="0" w:type="dxa"/>
              <w:left w:w="20" w:type="dxa"/>
              <w:bottom w:w="0" w:type="dxa"/>
              <w:right w:w="20" w:type="dxa"/>
            </w:tcMar>
            <w:vAlign w:val="center"/>
            <w:hideMark/>
          </w:tcPr>
          <w:p w14:paraId="6ED11B01"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6705E574" w14:textId="77777777" w:rsidR="00000000" w:rsidRDefault="00A173A8">
            <w:pPr>
              <w:spacing w:after="100"/>
              <w:jc w:val="right"/>
              <w:rPr>
                <w:rFonts w:eastAsia="Times New Roman"/>
              </w:rPr>
            </w:pPr>
            <w:r>
              <w:rPr>
                <w:rFonts w:eastAsia="Times New Roman"/>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14:paraId="68408927"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0EDA7A3B" w14:textId="77777777" w:rsidR="00000000" w:rsidRDefault="00A173A8">
            <w:pPr>
              <w:spacing w:after="100"/>
              <w:jc w:val="right"/>
              <w:rPr>
                <w:rFonts w:eastAsia="Times New Roman"/>
              </w:rPr>
            </w:pPr>
            <w:r>
              <w:rPr>
                <w:rFonts w:eastAsia="Times New Roman"/>
                <w:b/>
                <w:bCs/>
                <w:color w:val="000000"/>
                <w:sz w:val="20"/>
                <w:szCs w:val="20"/>
              </w:rPr>
              <w:t>4,434</w:t>
            </w:r>
          </w:p>
        </w:tc>
        <w:tc>
          <w:tcPr>
            <w:tcW w:w="0" w:type="auto"/>
            <w:gridSpan w:val="3"/>
            <w:shd w:val="clear" w:color="auto" w:fill="FFFFFF"/>
            <w:tcMar>
              <w:top w:w="0" w:type="dxa"/>
              <w:left w:w="20" w:type="dxa"/>
              <w:bottom w:w="0" w:type="dxa"/>
              <w:right w:w="20" w:type="dxa"/>
            </w:tcMar>
            <w:vAlign w:val="center"/>
            <w:hideMark/>
          </w:tcPr>
          <w:p w14:paraId="6E8FF3D6"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38A40BF" w14:textId="77777777" w:rsidR="00000000" w:rsidRDefault="00A173A8">
            <w:pPr>
              <w:spacing w:after="100"/>
              <w:jc w:val="right"/>
              <w:rPr>
                <w:rFonts w:eastAsia="Times New Roman"/>
              </w:rPr>
            </w:pPr>
            <w:r>
              <w:rPr>
                <w:rFonts w:eastAsia="Times New Roman"/>
                <w:color w:val="000000"/>
                <w:sz w:val="20"/>
                <w:szCs w:val="20"/>
              </w:rPr>
              <w:t>6,861</w:t>
            </w:r>
          </w:p>
        </w:tc>
        <w:tc>
          <w:tcPr>
            <w:tcW w:w="0" w:type="auto"/>
            <w:vAlign w:val="center"/>
            <w:hideMark/>
          </w:tcPr>
          <w:p w14:paraId="09E2975D" w14:textId="77777777" w:rsidR="00000000" w:rsidRDefault="00A173A8">
            <w:pPr>
              <w:spacing w:after="100"/>
              <w:jc w:val="right"/>
              <w:rPr>
                <w:rFonts w:eastAsia="Times New Roman"/>
              </w:rPr>
            </w:pPr>
          </w:p>
        </w:tc>
        <w:tc>
          <w:tcPr>
            <w:tcW w:w="0" w:type="auto"/>
            <w:vAlign w:val="center"/>
            <w:hideMark/>
          </w:tcPr>
          <w:p w14:paraId="54D5723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8AD6D6" w14:textId="77777777" w:rsidR="00000000" w:rsidRDefault="00A173A8">
            <w:pPr>
              <w:spacing w:after="100"/>
              <w:rPr>
                <w:rFonts w:eastAsia="Times New Roman"/>
                <w:sz w:val="20"/>
                <w:szCs w:val="20"/>
              </w:rPr>
            </w:pPr>
          </w:p>
        </w:tc>
        <w:tc>
          <w:tcPr>
            <w:tcW w:w="0" w:type="auto"/>
            <w:vAlign w:val="center"/>
            <w:hideMark/>
          </w:tcPr>
          <w:p w14:paraId="38608E15" w14:textId="77777777" w:rsidR="00000000" w:rsidRDefault="00A173A8">
            <w:pPr>
              <w:spacing w:after="100"/>
              <w:rPr>
                <w:rFonts w:eastAsia="Times New Roman"/>
                <w:sz w:val="20"/>
                <w:szCs w:val="20"/>
              </w:rPr>
            </w:pPr>
          </w:p>
        </w:tc>
        <w:tc>
          <w:tcPr>
            <w:tcW w:w="0" w:type="auto"/>
            <w:gridSpan w:val="3"/>
            <w:vAlign w:val="center"/>
            <w:hideMark/>
          </w:tcPr>
          <w:p w14:paraId="6B379A43" w14:textId="77777777" w:rsidR="00000000" w:rsidRDefault="00A173A8">
            <w:pPr>
              <w:spacing w:after="100"/>
              <w:rPr>
                <w:rFonts w:eastAsia="Times New Roman"/>
                <w:sz w:val="20"/>
                <w:szCs w:val="20"/>
              </w:rPr>
            </w:pPr>
          </w:p>
        </w:tc>
        <w:tc>
          <w:tcPr>
            <w:tcW w:w="0" w:type="auto"/>
            <w:gridSpan w:val="3"/>
            <w:vAlign w:val="center"/>
            <w:hideMark/>
          </w:tcPr>
          <w:p w14:paraId="4F25E5FD" w14:textId="77777777" w:rsidR="00000000" w:rsidRDefault="00A173A8">
            <w:pPr>
              <w:spacing w:after="100"/>
              <w:rPr>
                <w:rFonts w:eastAsia="Times New Roman"/>
                <w:sz w:val="20"/>
                <w:szCs w:val="20"/>
              </w:rPr>
            </w:pPr>
          </w:p>
        </w:tc>
        <w:tc>
          <w:tcPr>
            <w:tcW w:w="0" w:type="auto"/>
            <w:gridSpan w:val="3"/>
            <w:vAlign w:val="center"/>
            <w:hideMark/>
          </w:tcPr>
          <w:p w14:paraId="7BF4F93E"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00AB3AB" w14:textId="77777777" w:rsidR="00000000" w:rsidRDefault="00A173A8">
            <w:pPr>
              <w:spacing w:after="100"/>
              <w:jc w:val="right"/>
              <w:rPr>
                <w:rFonts w:eastAsia="Times New Roman"/>
              </w:rPr>
            </w:pPr>
            <w:r>
              <w:rPr>
                <w:rFonts w:eastAsia="Times New Roman"/>
                <w:color w:val="000000"/>
                <w:sz w:val="20"/>
                <w:szCs w:val="20"/>
              </w:rPr>
              <w:t>(35)</w:t>
            </w:r>
          </w:p>
        </w:tc>
        <w:tc>
          <w:tcPr>
            <w:tcW w:w="0" w:type="auto"/>
            <w:gridSpan w:val="3"/>
            <w:vAlign w:val="center"/>
            <w:hideMark/>
          </w:tcPr>
          <w:p w14:paraId="359B4937" w14:textId="77777777" w:rsidR="00000000" w:rsidRDefault="00A173A8">
            <w:pPr>
              <w:spacing w:after="100"/>
              <w:jc w:val="right"/>
              <w:rPr>
                <w:rFonts w:eastAsia="Times New Roman"/>
              </w:rPr>
            </w:pPr>
          </w:p>
        </w:tc>
        <w:tc>
          <w:tcPr>
            <w:tcW w:w="0" w:type="auto"/>
            <w:gridSpan w:val="2"/>
            <w:vAlign w:val="center"/>
            <w:hideMark/>
          </w:tcPr>
          <w:p w14:paraId="21548F43" w14:textId="77777777" w:rsidR="00000000" w:rsidRDefault="00A173A8">
            <w:pPr>
              <w:spacing w:after="100"/>
              <w:rPr>
                <w:rFonts w:eastAsia="Times New Roman"/>
                <w:sz w:val="20"/>
                <w:szCs w:val="20"/>
              </w:rPr>
            </w:pPr>
          </w:p>
        </w:tc>
      </w:tr>
      <w:tr w:rsidR="00000000" w14:paraId="15A09D7F" w14:textId="77777777">
        <w:trPr>
          <w:divId w:val="261111824"/>
        </w:trPr>
        <w:tc>
          <w:tcPr>
            <w:tcW w:w="0" w:type="auto"/>
            <w:gridSpan w:val="3"/>
            <w:shd w:val="clear" w:color="auto" w:fill="CCEEFF"/>
            <w:tcMar>
              <w:top w:w="30" w:type="dxa"/>
              <w:left w:w="20" w:type="dxa"/>
              <w:bottom w:w="30" w:type="dxa"/>
              <w:right w:w="20" w:type="dxa"/>
            </w:tcMar>
            <w:vAlign w:val="center"/>
            <w:hideMark/>
          </w:tcPr>
          <w:p w14:paraId="1DFB0203" w14:textId="77777777" w:rsidR="00000000" w:rsidRDefault="00A173A8">
            <w:pPr>
              <w:spacing w:after="100"/>
              <w:rPr>
                <w:rFonts w:eastAsia="Times New Roman"/>
              </w:rPr>
            </w:pPr>
            <w:r>
              <w:rPr>
                <w:rFonts w:eastAsia="Times New Roman"/>
                <w:color w:val="000000"/>
                <w:sz w:val="20"/>
                <w:szCs w:val="20"/>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14:paraId="4188EF1A"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D499342" w14:textId="77777777" w:rsidR="00000000" w:rsidRDefault="00A173A8">
            <w:pPr>
              <w:spacing w:after="100"/>
              <w:jc w:val="right"/>
              <w:rPr>
                <w:rFonts w:eastAsia="Times New Roman"/>
              </w:rPr>
            </w:pPr>
            <w:r>
              <w:rPr>
                <w:rFonts w:eastAsia="Times New Roman"/>
                <w:b/>
                <w:bCs/>
                <w:color w:val="000000"/>
                <w:sz w:val="20"/>
                <w:szCs w:val="20"/>
              </w:rPr>
              <w:t>(25)</w:t>
            </w:r>
          </w:p>
        </w:tc>
        <w:tc>
          <w:tcPr>
            <w:tcW w:w="0" w:type="auto"/>
            <w:gridSpan w:val="3"/>
            <w:shd w:val="clear" w:color="auto" w:fill="CCEEFF"/>
            <w:tcMar>
              <w:top w:w="0" w:type="dxa"/>
              <w:left w:w="20" w:type="dxa"/>
              <w:bottom w:w="0" w:type="dxa"/>
              <w:right w:w="20" w:type="dxa"/>
            </w:tcMar>
            <w:vAlign w:val="center"/>
            <w:hideMark/>
          </w:tcPr>
          <w:p w14:paraId="4AA32A83"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0A2ADC4" w14:textId="77777777" w:rsidR="00000000" w:rsidRDefault="00A173A8">
            <w:pPr>
              <w:spacing w:after="100"/>
              <w:jc w:val="right"/>
              <w:rPr>
                <w:rFonts w:eastAsia="Times New Roman"/>
              </w:rPr>
            </w:pPr>
            <w:r>
              <w:rPr>
                <w:rFonts w:eastAsia="Times New Roman"/>
                <w:color w:val="000000"/>
                <w:sz w:val="20"/>
                <w:szCs w:val="20"/>
              </w:rPr>
              <w:t>(30)</w:t>
            </w:r>
          </w:p>
        </w:tc>
        <w:tc>
          <w:tcPr>
            <w:tcW w:w="0" w:type="auto"/>
            <w:gridSpan w:val="3"/>
            <w:shd w:val="clear" w:color="auto" w:fill="CCEEFF"/>
            <w:tcMar>
              <w:top w:w="0" w:type="dxa"/>
              <w:left w:w="20" w:type="dxa"/>
              <w:bottom w:w="0" w:type="dxa"/>
              <w:right w:w="20" w:type="dxa"/>
            </w:tcMar>
            <w:vAlign w:val="center"/>
            <w:hideMark/>
          </w:tcPr>
          <w:p w14:paraId="2BF131AA"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5F0B0B2A" w14:textId="77777777" w:rsidR="00000000" w:rsidRDefault="00A173A8">
            <w:pPr>
              <w:spacing w:after="100"/>
              <w:jc w:val="right"/>
              <w:rPr>
                <w:rFonts w:eastAsia="Times New Roman"/>
              </w:rPr>
            </w:pPr>
            <w:r>
              <w:rPr>
                <w:rFonts w:eastAsia="Times New Roman"/>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14:paraId="45B8443E"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91ECD46" w14:textId="77777777" w:rsidR="00000000" w:rsidRDefault="00A173A8">
            <w:pPr>
              <w:spacing w:after="100"/>
              <w:jc w:val="right"/>
              <w:rPr>
                <w:rFonts w:eastAsia="Times New Roman"/>
              </w:rPr>
            </w:pPr>
            <w:r>
              <w:rPr>
                <w:rFonts w:eastAsia="Times New Roman"/>
                <w:b/>
                <w:bCs/>
                <w:color w:val="000000"/>
                <w:sz w:val="20"/>
                <w:szCs w:val="20"/>
              </w:rPr>
              <w:t>(53)</w:t>
            </w:r>
          </w:p>
        </w:tc>
        <w:tc>
          <w:tcPr>
            <w:tcW w:w="0" w:type="auto"/>
            <w:gridSpan w:val="3"/>
            <w:shd w:val="clear" w:color="auto" w:fill="CCEEFF"/>
            <w:tcMar>
              <w:top w:w="0" w:type="dxa"/>
              <w:left w:w="20" w:type="dxa"/>
              <w:bottom w:w="0" w:type="dxa"/>
              <w:right w:w="20" w:type="dxa"/>
            </w:tcMar>
            <w:vAlign w:val="center"/>
            <w:hideMark/>
          </w:tcPr>
          <w:p w14:paraId="3DB5CC99"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276DF14" w14:textId="77777777" w:rsidR="00000000" w:rsidRDefault="00A173A8">
            <w:pPr>
              <w:spacing w:after="100"/>
              <w:jc w:val="right"/>
              <w:rPr>
                <w:rFonts w:eastAsia="Times New Roman"/>
              </w:rPr>
            </w:pPr>
            <w:r>
              <w:rPr>
                <w:rFonts w:eastAsia="Times New Roman"/>
                <w:color w:val="000000"/>
                <w:sz w:val="20"/>
                <w:szCs w:val="20"/>
              </w:rPr>
              <w:t>(58)</w:t>
            </w:r>
          </w:p>
        </w:tc>
        <w:tc>
          <w:tcPr>
            <w:tcW w:w="0" w:type="auto"/>
            <w:vAlign w:val="center"/>
            <w:hideMark/>
          </w:tcPr>
          <w:p w14:paraId="2558BF69" w14:textId="77777777" w:rsidR="00000000" w:rsidRDefault="00A173A8">
            <w:pPr>
              <w:spacing w:after="100"/>
              <w:jc w:val="right"/>
              <w:rPr>
                <w:rFonts w:eastAsia="Times New Roman"/>
              </w:rPr>
            </w:pPr>
          </w:p>
        </w:tc>
        <w:tc>
          <w:tcPr>
            <w:tcW w:w="0" w:type="auto"/>
            <w:vAlign w:val="center"/>
            <w:hideMark/>
          </w:tcPr>
          <w:p w14:paraId="58B3DB0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E5F7F5" w14:textId="77777777" w:rsidR="00000000" w:rsidRDefault="00A173A8">
            <w:pPr>
              <w:spacing w:after="100"/>
              <w:rPr>
                <w:rFonts w:eastAsia="Times New Roman"/>
                <w:sz w:val="20"/>
                <w:szCs w:val="20"/>
              </w:rPr>
            </w:pPr>
          </w:p>
        </w:tc>
        <w:tc>
          <w:tcPr>
            <w:tcW w:w="0" w:type="auto"/>
            <w:vAlign w:val="center"/>
            <w:hideMark/>
          </w:tcPr>
          <w:p w14:paraId="3F661AC4" w14:textId="77777777" w:rsidR="00000000" w:rsidRDefault="00A173A8">
            <w:pPr>
              <w:spacing w:after="100"/>
              <w:rPr>
                <w:rFonts w:eastAsia="Times New Roman"/>
                <w:sz w:val="20"/>
                <w:szCs w:val="20"/>
              </w:rPr>
            </w:pPr>
          </w:p>
        </w:tc>
        <w:tc>
          <w:tcPr>
            <w:tcW w:w="0" w:type="auto"/>
            <w:gridSpan w:val="3"/>
            <w:vAlign w:val="center"/>
            <w:hideMark/>
          </w:tcPr>
          <w:p w14:paraId="4B1DA3D9" w14:textId="77777777" w:rsidR="00000000" w:rsidRDefault="00A173A8">
            <w:pPr>
              <w:spacing w:after="100"/>
              <w:rPr>
                <w:rFonts w:eastAsia="Times New Roman"/>
                <w:sz w:val="20"/>
                <w:szCs w:val="20"/>
              </w:rPr>
            </w:pPr>
          </w:p>
        </w:tc>
        <w:tc>
          <w:tcPr>
            <w:tcW w:w="0" w:type="auto"/>
            <w:gridSpan w:val="3"/>
            <w:vAlign w:val="center"/>
            <w:hideMark/>
          </w:tcPr>
          <w:p w14:paraId="4B23A315" w14:textId="77777777" w:rsidR="00000000" w:rsidRDefault="00A173A8">
            <w:pPr>
              <w:spacing w:after="100"/>
              <w:rPr>
                <w:rFonts w:eastAsia="Times New Roman"/>
                <w:sz w:val="20"/>
                <w:szCs w:val="20"/>
              </w:rPr>
            </w:pPr>
          </w:p>
        </w:tc>
        <w:tc>
          <w:tcPr>
            <w:tcW w:w="0" w:type="auto"/>
            <w:gridSpan w:val="3"/>
            <w:vAlign w:val="center"/>
            <w:hideMark/>
          </w:tcPr>
          <w:p w14:paraId="31344202"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CD5175A" w14:textId="77777777" w:rsidR="00000000" w:rsidRDefault="00A173A8">
            <w:pPr>
              <w:spacing w:after="100"/>
              <w:jc w:val="right"/>
              <w:rPr>
                <w:rFonts w:eastAsia="Times New Roman"/>
              </w:rPr>
            </w:pPr>
            <w:r>
              <w:rPr>
                <w:rFonts w:eastAsia="Times New Roman"/>
                <w:color w:val="000000"/>
                <w:sz w:val="20"/>
                <w:szCs w:val="20"/>
              </w:rPr>
              <w:t>(9)</w:t>
            </w:r>
          </w:p>
        </w:tc>
        <w:tc>
          <w:tcPr>
            <w:tcW w:w="0" w:type="auto"/>
            <w:gridSpan w:val="3"/>
            <w:vAlign w:val="center"/>
            <w:hideMark/>
          </w:tcPr>
          <w:p w14:paraId="55ED9C41" w14:textId="77777777" w:rsidR="00000000" w:rsidRDefault="00A173A8">
            <w:pPr>
              <w:spacing w:after="100"/>
              <w:jc w:val="right"/>
              <w:rPr>
                <w:rFonts w:eastAsia="Times New Roman"/>
              </w:rPr>
            </w:pPr>
          </w:p>
        </w:tc>
        <w:tc>
          <w:tcPr>
            <w:tcW w:w="0" w:type="auto"/>
            <w:gridSpan w:val="2"/>
            <w:vAlign w:val="center"/>
            <w:hideMark/>
          </w:tcPr>
          <w:p w14:paraId="17904B2C" w14:textId="77777777" w:rsidR="00000000" w:rsidRDefault="00A173A8">
            <w:pPr>
              <w:spacing w:after="100"/>
              <w:rPr>
                <w:rFonts w:eastAsia="Times New Roman"/>
                <w:sz w:val="20"/>
                <w:szCs w:val="20"/>
              </w:rPr>
            </w:pPr>
          </w:p>
        </w:tc>
      </w:tr>
      <w:tr w:rsidR="00000000" w14:paraId="236732EC" w14:textId="77777777">
        <w:trPr>
          <w:divId w:val="261111824"/>
        </w:trPr>
        <w:tc>
          <w:tcPr>
            <w:tcW w:w="0" w:type="auto"/>
            <w:gridSpan w:val="3"/>
            <w:shd w:val="clear" w:color="auto" w:fill="FFFFFF"/>
            <w:tcMar>
              <w:top w:w="30" w:type="dxa"/>
              <w:left w:w="20" w:type="dxa"/>
              <w:bottom w:w="30" w:type="dxa"/>
              <w:right w:w="20" w:type="dxa"/>
            </w:tcMar>
            <w:vAlign w:val="center"/>
            <w:hideMark/>
          </w:tcPr>
          <w:p w14:paraId="4DC6C1B1" w14:textId="77777777" w:rsidR="00000000" w:rsidRDefault="00A173A8">
            <w:pPr>
              <w:spacing w:after="100"/>
              <w:rPr>
                <w:rFonts w:eastAsia="Times New Roman"/>
              </w:rPr>
            </w:pPr>
            <w:r>
              <w:rPr>
                <w:rFonts w:eastAsia="Times New Roman"/>
                <w:color w:val="000000"/>
                <w:sz w:val="20"/>
                <w:szCs w:val="20"/>
              </w:rPr>
              <w:t>Preferred stock dividends</w:t>
            </w:r>
          </w:p>
        </w:tc>
        <w:tc>
          <w:tcPr>
            <w:tcW w:w="0" w:type="auto"/>
            <w:gridSpan w:val="3"/>
            <w:shd w:val="clear" w:color="auto" w:fill="FFFFFF"/>
            <w:tcMar>
              <w:top w:w="0" w:type="dxa"/>
              <w:left w:w="20" w:type="dxa"/>
              <w:bottom w:w="0" w:type="dxa"/>
              <w:right w:w="20" w:type="dxa"/>
            </w:tcMar>
            <w:vAlign w:val="center"/>
            <w:hideMark/>
          </w:tcPr>
          <w:p w14:paraId="5D0171C0"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B75B369" w14:textId="77777777" w:rsidR="00000000" w:rsidRDefault="00A173A8">
            <w:pPr>
              <w:spacing w:after="100"/>
              <w:jc w:val="right"/>
              <w:rPr>
                <w:rFonts w:eastAsia="Times New Roman"/>
              </w:rPr>
            </w:pPr>
            <w:r>
              <w:rPr>
                <w:rFonts w:eastAsia="Times New Roman"/>
                <w:b/>
                <w:bCs/>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14:paraId="0D7082C3"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0552E7C" w14:textId="77777777" w:rsidR="00000000" w:rsidRDefault="00A173A8">
            <w:pPr>
              <w:spacing w:after="100"/>
              <w:jc w:val="right"/>
              <w:rPr>
                <w:rFonts w:eastAsia="Times New Roman"/>
              </w:rPr>
            </w:pPr>
            <w:r>
              <w:rPr>
                <w:rFonts w:eastAsia="Times New Roman"/>
                <w:color w:val="000000"/>
                <w:sz w:val="20"/>
                <w:szCs w:val="20"/>
              </w:rPr>
              <w:t>(60)</w:t>
            </w:r>
          </w:p>
        </w:tc>
        <w:tc>
          <w:tcPr>
            <w:tcW w:w="0" w:type="auto"/>
            <w:gridSpan w:val="3"/>
            <w:shd w:val="clear" w:color="auto" w:fill="FFFFFF"/>
            <w:tcMar>
              <w:top w:w="0" w:type="dxa"/>
              <w:left w:w="20" w:type="dxa"/>
              <w:bottom w:w="0" w:type="dxa"/>
              <w:right w:w="20" w:type="dxa"/>
            </w:tcMar>
            <w:vAlign w:val="center"/>
            <w:hideMark/>
          </w:tcPr>
          <w:p w14:paraId="4EE51500"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4563858E" w14:textId="77777777" w:rsidR="00000000" w:rsidRDefault="00A173A8">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14:paraId="16076949"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55EE10C" w14:textId="77777777" w:rsidR="00000000" w:rsidRDefault="00A173A8">
            <w:pPr>
              <w:spacing w:after="100"/>
              <w:jc w:val="right"/>
              <w:rPr>
                <w:rFonts w:eastAsia="Times New Roman"/>
              </w:rPr>
            </w:pPr>
            <w:r>
              <w:rPr>
                <w:rFonts w:eastAsia="Times New Roman"/>
                <w:b/>
                <w:bCs/>
                <w:color w:val="000000"/>
                <w:sz w:val="20"/>
                <w:szCs w:val="20"/>
              </w:rPr>
              <w:t>(114)</w:t>
            </w:r>
          </w:p>
        </w:tc>
        <w:tc>
          <w:tcPr>
            <w:tcW w:w="0" w:type="auto"/>
            <w:gridSpan w:val="3"/>
            <w:shd w:val="clear" w:color="auto" w:fill="FFFFFF"/>
            <w:tcMar>
              <w:top w:w="0" w:type="dxa"/>
              <w:left w:w="20" w:type="dxa"/>
              <w:bottom w:w="0" w:type="dxa"/>
              <w:right w:w="20" w:type="dxa"/>
            </w:tcMar>
            <w:vAlign w:val="center"/>
            <w:hideMark/>
          </w:tcPr>
          <w:p w14:paraId="13EC66CC"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F3066FD" w14:textId="77777777" w:rsidR="00000000" w:rsidRDefault="00A173A8">
            <w:pPr>
              <w:spacing w:after="100"/>
              <w:jc w:val="right"/>
              <w:rPr>
                <w:rFonts w:eastAsia="Times New Roman"/>
              </w:rPr>
            </w:pPr>
            <w:r>
              <w:rPr>
                <w:rFonts w:eastAsia="Times New Roman"/>
                <w:color w:val="000000"/>
                <w:sz w:val="20"/>
                <w:szCs w:val="20"/>
              </w:rPr>
              <w:t>(121)</w:t>
            </w:r>
          </w:p>
        </w:tc>
        <w:tc>
          <w:tcPr>
            <w:tcW w:w="0" w:type="auto"/>
            <w:vAlign w:val="center"/>
            <w:hideMark/>
          </w:tcPr>
          <w:p w14:paraId="2EEBF1AC" w14:textId="77777777" w:rsidR="00000000" w:rsidRDefault="00A173A8">
            <w:pPr>
              <w:spacing w:after="100"/>
              <w:jc w:val="right"/>
              <w:rPr>
                <w:rFonts w:eastAsia="Times New Roman"/>
              </w:rPr>
            </w:pPr>
          </w:p>
        </w:tc>
        <w:tc>
          <w:tcPr>
            <w:tcW w:w="0" w:type="auto"/>
            <w:vAlign w:val="center"/>
            <w:hideMark/>
          </w:tcPr>
          <w:p w14:paraId="2CA30D6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4611EC" w14:textId="77777777" w:rsidR="00000000" w:rsidRDefault="00A173A8">
            <w:pPr>
              <w:spacing w:after="100"/>
              <w:rPr>
                <w:rFonts w:eastAsia="Times New Roman"/>
                <w:sz w:val="20"/>
                <w:szCs w:val="20"/>
              </w:rPr>
            </w:pPr>
          </w:p>
        </w:tc>
        <w:tc>
          <w:tcPr>
            <w:tcW w:w="0" w:type="auto"/>
            <w:vAlign w:val="center"/>
            <w:hideMark/>
          </w:tcPr>
          <w:p w14:paraId="492A349E" w14:textId="77777777" w:rsidR="00000000" w:rsidRDefault="00A173A8">
            <w:pPr>
              <w:spacing w:after="100"/>
              <w:rPr>
                <w:rFonts w:eastAsia="Times New Roman"/>
                <w:sz w:val="20"/>
                <w:szCs w:val="20"/>
              </w:rPr>
            </w:pPr>
          </w:p>
        </w:tc>
        <w:tc>
          <w:tcPr>
            <w:tcW w:w="0" w:type="auto"/>
            <w:gridSpan w:val="3"/>
            <w:vAlign w:val="center"/>
            <w:hideMark/>
          </w:tcPr>
          <w:p w14:paraId="73317FD7" w14:textId="77777777" w:rsidR="00000000" w:rsidRDefault="00A173A8">
            <w:pPr>
              <w:spacing w:after="100"/>
              <w:rPr>
                <w:rFonts w:eastAsia="Times New Roman"/>
                <w:sz w:val="20"/>
                <w:szCs w:val="20"/>
              </w:rPr>
            </w:pPr>
          </w:p>
        </w:tc>
        <w:tc>
          <w:tcPr>
            <w:tcW w:w="0" w:type="auto"/>
            <w:gridSpan w:val="3"/>
            <w:vAlign w:val="center"/>
            <w:hideMark/>
          </w:tcPr>
          <w:p w14:paraId="4D025144" w14:textId="77777777" w:rsidR="00000000" w:rsidRDefault="00A173A8">
            <w:pPr>
              <w:spacing w:after="100"/>
              <w:rPr>
                <w:rFonts w:eastAsia="Times New Roman"/>
                <w:sz w:val="20"/>
                <w:szCs w:val="20"/>
              </w:rPr>
            </w:pPr>
          </w:p>
        </w:tc>
        <w:tc>
          <w:tcPr>
            <w:tcW w:w="0" w:type="auto"/>
            <w:gridSpan w:val="3"/>
            <w:vAlign w:val="center"/>
            <w:hideMark/>
          </w:tcPr>
          <w:p w14:paraId="6CF488C6"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7C30036B" w14:textId="77777777" w:rsidR="00000000" w:rsidRDefault="00A173A8">
            <w:pPr>
              <w:spacing w:after="100"/>
              <w:jc w:val="right"/>
              <w:rPr>
                <w:rFonts w:eastAsia="Times New Roman"/>
              </w:rPr>
            </w:pPr>
            <w:r>
              <w:rPr>
                <w:rFonts w:eastAsia="Times New Roman"/>
                <w:color w:val="000000"/>
                <w:sz w:val="20"/>
                <w:szCs w:val="20"/>
              </w:rPr>
              <w:t>(6)</w:t>
            </w:r>
          </w:p>
        </w:tc>
        <w:tc>
          <w:tcPr>
            <w:tcW w:w="0" w:type="auto"/>
            <w:gridSpan w:val="3"/>
            <w:vAlign w:val="center"/>
            <w:hideMark/>
          </w:tcPr>
          <w:p w14:paraId="59002ADD" w14:textId="77777777" w:rsidR="00000000" w:rsidRDefault="00A173A8">
            <w:pPr>
              <w:spacing w:after="100"/>
              <w:jc w:val="right"/>
              <w:rPr>
                <w:rFonts w:eastAsia="Times New Roman"/>
              </w:rPr>
            </w:pPr>
          </w:p>
        </w:tc>
        <w:tc>
          <w:tcPr>
            <w:tcW w:w="0" w:type="auto"/>
            <w:gridSpan w:val="2"/>
            <w:vAlign w:val="center"/>
            <w:hideMark/>
          </w:tcPr>
          <w:p w14:paraId="76793806" w14:textId="77777777" w:rsidR="00000000" w:rsidRDefault="00A173A8">
            <w:pPr>
              <w:spacing w:after="100"/>
              <w:rPr>
                <w:rFonts w:eastAsia="Times New Roman"/>
                <w:sz w:val="20"/>
                <w:szCs w:val="20"/>
              </w:rPr>
            </w:pPr>
          </w:p>
        </w:tc>
      </w:tr>
      <w:tr w:rsidR="00000000" w14:paraId="5F833748" w14:textId="77777777">
        <w:trPr>
          <w:divId w:val="261111824"/>
        </w:trPr>
        <w:tc>
          <w:tcPr>
            <w:tcW w:w="0" w:type="auto"/>
            <w:gridSpan w:val="3"/>
            <w:vAlign w:val="center"/>
            <w:hideMark/>
          </w:tcPr>
          <w:p w14:paraId="49193B36" w14:textId="77777777" w:rsidR="00000000" w:rsidRDefault="00A173A8">
            <w:pPr>
              <w:spacing w:after="100"/>
              <w:rPr>
                <w:rFonts w:eastAsia="Times New Roman"/>
                <w:sz w:val="20"/>
                <w:szCs w:val="20"/>
              </w:rPr>
            </w:pPr>
          </w:p>
        </w:tc>
        <w:tc>
          <w:tcPr>
            <w:tcW w:w="0" w:type="auto"/>
            <w:gridSpan w:val="3"/>
            <w:vAlign w:val="center"/>
            <w:hideMark/>
          </w:tcPr>
          <w:p w14:paraId="68015849" w14:textId="77777777" w:rsidR="00000000" w:rsidRDefault="00A173A8">
            <w:pPr>
              <w:spacing w:after="100"/>
              <w:rPr>
                <w:rFonts w:eastAsia="Times New Roman"/>
                <w:sz w:val="20"/>
                <w:szCs w:val="20"/>
              </w:rPr>
            </w:pPr>
          </w:p>
        </w:tc>
        <w:tc>
          <w:tcPr>
            <w:tcW w:w="0" w:type="auto"/>
            <w:gridSpan w:val="3"/>
            <w:vAlign w:val="center"/>
            <w:hideMark/>
          </w:tcPr>
          <w:p w14:paraId="16A4E846" w14:textId="77777777" w:rsidR="00000000" w:rsidRDefault="00A173A8">
            <w:pPr>
              <w:spacing w:after="100"/>
              <w:rPr>
                <w:rFonts w:eastAsia="Times New Roman"/>
                <w:sz w:val="20"/>
                <w:szCs w:val="20"/>
              </w:rPr>
            </w:pPr>
          </w:p>
        </w:tc>
        <w:tc>
          <w:tcPr>
            <w:tcW w:w="0" w:type="auto"/>
            <w:gridSpan w:val="3"/>
            <w:vAlign w:val="center"/>
            <w:hideMark/>
          </w:tcPr>
          <w:p w14:paraId="4F6F93A7" w14:textId="77777777" w:rsidR="00000000" w:rsidRDefault="00A173A8">
            <w:pPr>
              <w:spacing w:after="100"/>
              <w:rPr>
                <w:rFonts w:eastAsia="Times New Roman"/>
                <w:sz w:val="20"/>
                <w:szCs w:val="20"/>
              </w:rPr>
            </w:pPr>
          </w:p>
        </w:tc>
        <w:tc>
          <w:tcPr>
            <w:tcW w:w="0" w:type="auto"/>
            <w:gridSpan w:val="3"/>
            <w:vAlign w:val="center"/>
            <w:hideMark/>
          </w:tcPr>
          <w:p w14:paraId="06805FCA" w14:textId="77777777" w:rsidR="00000000" w:rsidRDefault="00A173A8">
            <w:pPr>
              <w:spacing w:after="100"/>
              <w:rPr>
                <w:rFonts w:eastAsia="Times New Roman"/>
                <w:sz w:val="20"/>
                <w:szCs w:val="20"/>
              </w:rPr>
            </w:pPr>
          </w:p>
        </w:tc>
        <w:tc>
          <w:tcPr>
            <w:tcW w:w="0" w:type="auto"/>
            <w:gridSpan w:val="3"/>
            <w:vAlign w:val="center"/>
            <w:hideMark/>
          </w:tcPr>
          <w:p w14:paraId="05E76E00" w14:textId="77777777" w:rsidR="00000000" w:rsidRDefault="00A173A8">
            <w:pPr>
              <w:spacing w:after="100"/>
              <w:rPr>
                <w:rFonts w:eastAsia="Times New Roman"/>
                <w:sz w:val="20"/>
                <w:szCs w:val="20"/>
              </w:rPr>
            </w:pPr>
          </w:p>
        </w:tc>
        <w:tc>
          <w:tcPr>
            <w:tcW w:w="0" w:type="auto"/>
            <w:gridSpan w:val="3"/>
            <w:vAlign w:val="center"/>
            <w:hideMark/>
          </w:tcPr>
          <w:p w14:paraId="1A73B086" w14:textId="77777777" w:rsidR="00000000" w:rsidRDefault="00A173A8">
            <w:pPr>
              <w:spacing w:after="100"/>
              <w:rPr>
                <w:rFonts w:eastAsia="Times New Roman"/>
                <w:sz w:val="20"/>
                <w:szCs w:val="20"/>
              </w:rPr>
            </w:pPr>
          </w:p>
        </w:tc>
        <w:tc>
          <w:tcPr>
            <w:tcW w:w="0" w:type="auto"/>
            <w:gridSpan w:val="3"/>
            <w:vAlign w:val="center"/>
            <w:hideMark/>
          </w:tcPr>
          <w:p w14:paraId="6347B2D5" w14:textId="77777777" w:rsidR="00000000" w:rsidRDefault="00A173A8">
            <w:pPr>
              <w:spacing w:after="100"/>
              <w:rPr>
                <w:rFonts w:eastAsia="Times New Roman"/>
                <w:sz w:val="20"/>
                <w:szCs w:val="20"/>
              </w:rPr>
            </w:pPr>
          </w:p>
        </w:tc>
        <w:tc>
          <w:tcPr>
            <w:tcW w:w="0" w:type="auto"/>
            <w:gridSpan w:val="3"/>
            <w:vAlign w:val="center"/>
            <w:hideMark/>
          </w:tcPr>
          <w:p w14:paraId="50A49162" w14:textId="77777777" w:rsidR="00000000" w:rsidRDefault="00A173A8">
            <w:pPr>
              <w:spacing w:after="100"/>
              <w:rPr>
                <w:rFonts w:eastAsia="Times New Roman"/>
                <w:sz w:val="20"/>
                <w:szCs w:val="20"/>
              </w:rPr>
            </w:pPr>
          </w:p>
        </w:tc>
        <w:tc>
          <w:tcPr>
            <w:tcW w:w="0" w:type="auto"/>
            <w:gridSpan w:val="3"/>
            <w:vAlign w:val="center"/>
            <w:hideMark/>
          </w:tcPr>
          <w:p w14:paraId="546A4E0B" w14:textId="77777777" w:rsidR="00000000" w:rsidRDefault="00A173A8">
            <w:pPr>
              <w:spacing w:after="100"/>
              <w:rPr>
                <w:rFonts w:eastAsia="Times New Roman"/>
                <w:sz w:val="20"/>
                <w:szCs w:val="20"/>
              </w:rPr>
            </w:pPr>
          </w:p>
        </w:tc>
        <w:tc>
          <w:tcPr>
            <w:tcW w:w="0" w:type="auto"/>
            <w:gridSpan w:val="3"/>
            <w:vAlign w:val="center"/>
            <w:hideMark/>
          </w:tcPr>
          <w:p w14:paraId="0D40D5FD" w14:textId="77777777" w:rsidR="00000000" w:rsidRDefault="00A173A8">
            <w:pPr>
              <w:spacing w:after="100"/>
              <w:rPr>
                <w:rFonts w:eastAsia="Times New Roman"/>
                <w:sz w:val="20"/>
                <w:szCs w:val="20"/>
              </w:rPr>
            </w:pPr>
          </w:p>
        </w:tc>
        <w:tc>
          <w:tcPr>
            <w:tcW w:w="0" w:type="auto"/>
            <w:vAlign w:val="center"/>
            <w:hideMark/>
          </w:tcPr>
          <w:p w14:paraId="0B5E0429" w14:textId="77777777" w:rsidR="00000000" w:rsidRDefault="00A173A8">
            <w:pPr>
              <w:spacing w:after="100"/>
              <w:rPr>
                <w:rFonts w:eastAsia="Times New Roman"/>
                <w:sz w:val="20"/>
                <w:szCs w:val="20"/>
              </w:rPr>
            </w:pPr>
          </w:p>
        </w:tc>
        <w:tc>
          <w:tcPr>
            <w:tcW w:w="0" w:type="auto"/>
            <w:vAlign w:val="center"/>
            <w:hideMark/>
          </w:tcPr>
          <w:p w14:paraId="30D243AE" w14:textId="77777777" w:rsidR="00000000" w:rsidRDefault="00A173A8">
            <w:pPr>
              <w:spacing w:after="100"/>
              <w:rPr>
                <w:rFonts w:eastAsia="Times New Roman"/>
                <w:sz w:val="20"/>
                <w:szCs w:val="20"/>
              </w:rPr>
            </w:pPr>
          </w:p>
        </w:tc>
        <w:tc>
          <w:tcPr>
            <w:tcW w:w="0" w:type="auto"/>
            <w:gridSpan w:val="3"/>
            <w:vAlign w:val="center"/>
            <w:hideMark/>
          </w:tcPr>
          <w:p w14:paraId="0D7B3930" w14:textId="77777777" w:rsidR="00000000" w:rsidRDefault="00A173A8">
            <w:pPr>
              <w:spacing w:after="100"/>
              <w:rPr>
                <w:rFonts w:eastAsia="Times New Roman"/>
                <w:sz w:val="20"/>
                <w:szCs w:val="20"/>
              </w:rPr>
            </w:pPr>
          </w:p>
        </w:tc>
        <w:tc>
          <w:tcPr>
            <w:tcW w:w="0" w:type="auto"/>
            <w:vAlign w:val="center"/>
            <w:hideMark/>
          </w:tcPr>
          <w:p w14:paraId="4B4DAB25" w14:textId="77777777" w:rsidR="00000000" w:rsidRDefault="00A173A8">
            <w:pPr>
              <w:spacing w:after="100"/>
              <w:rPr>
                <w:rFonts w:eastAsia="Times New Roman"/>
                <w:sz w:val="20"/>
                <w:szCs w:val="20"/>
              </w:rPr>
            </w:pPr>
          </w:p>
        </w:tc>
        <w:tc>
          <w:tcPr>
            <w:tcW w:w="0" w:type="auto"/>
            <w:gridSpan w:val="3"/>
            <w:vAlign w:val="center"/>
            <w:hideMark/>
          </w:tcPr>
          <w:p w14:paraId="7DAB99EE" w14:textId="77777777" w:rsidR="00000000" w:rsidRDefault="00A173A8">
            <w:pPr>
              <w:spacing w:after="100"/>
              <w:rPr>
                <w:rFonts w:eastAsia="Times New Roman"/>
                <w:sz w:val="20"/>
                <w:szCs w:val="20"/>
              </w:rPr>
            </w:pPr>
          </w:p>
        </w:tc>
        <w:tc>
          <w:tcPr>
            <w:tcW w:w="0" w:type="auto"/>
            <w:gridSpan w:val="3"/>
            <w:vAlign w:val="center"/>
            <w:hideMark/>
          </w:tcPr>
          <w:p w14:paraId="3B3D4A74" w14:textId="77777777" w:rsidR="00000000" w:rsidRDefault="00A173A8">
            <w:pPr>
              <w:spacing w:after="100"/>
              <w:rPr>
                <w:rFonts w:eastAsia="Times New Roman"/>
                <w:sz w:val="20"/>
                <w:szCs w:val="20"/>
              </w:rPr>
            </w:pPr>
          </w:p>
        </w:tc>
        <w:tc>
          <w:tcPr>
            <w:tcW w:w="0" w:type="auto"/>
            <w:gridSpan w:val="3"/>
            <w:vAlign w:val="center"/>
            <w:hideMark/>
          </w:tcPr>
          <w:p w14:paraId="395E1BE2" w14:textId="77777777" w:rsidR="00000000" w:rsidRDefault="00A173A8">
            <w:pPr>
              <w:spacing w:after="100"/>
              <w:rPr>
                <w:rFonts w:eastAsia="Times New Roman"/>
                <w:sz w:val="20"/>
                <w:szCs w:val="20"/>
              </w:rPr>
            </w:pPr>
          </w:p>
        </w:tc>
        <w:tc>
          <w:tcPr>
            <w:tcW w:w="0" w:type="auto"/>
            <w:gridSpan w:val="3"/>
            <w:vAlign w:val="center"/>
            <w:hideMark/>
          </w:tcPr>
          <w:p w14:paraId="6A607B79" w14:textId="77777777" w:rsidR="00000000" w:rsidRDefault="00A173A8">
            <w:pPr>
              <w:spacing w:after="100"/>
              <w:rPr>
                <w:rFonts w:eastAsia="Times New Roman"/>
                <w:sz w:val="20"/>
                <w:szCs w:val="20"/>
              </w:rPr>
            </w:pPr>
          </w:p>
        </w:tc>
        <w:tc>
          <w:tcPr>
            <w:tcW w:w="0" w:type="auto"/>
            <w:gridSpan w:val="3"/>
            <w:vAlign w:val="center"/>
            <w:hideMark/>
          </w:tcPr>
          <w:p w14:paraId="126DD103" w14:textId="77777777" w:rsidR="00000000" w:rsidRDefault="00A173A8">
            <w:pPr>
              <w:spacing w:after="100"/>
              <w:rPr>
                <w:rFonts w:eastAsia="Times New Roman"/>
                <w:sz w:val="20"/>
                <w:szCs w:val="20"/>
              </w:rPr>
            </w:pPr>
          </w:p>
        </w:tc>
        <w:tc>
          <w:tcPr>
            <w:tcW w:w="0" w:type="auto"/>
            <w:gridSpan w:val="2"/>
            <w:vAlign w:val="center"/>
            <w:hideMark/>
          </w:tcPr>
          <w:p w14:paraId="19F823D4" w14:textId="77777777" w:rsidR="00000000" w:rsidRDefault="00A173A8">
            <w:pPr>
              <w:spacing w:after="100"/>
              <w:rPr>
                <w:rFonts w:eastAsia="Times New Roman"/>
                <w:sz w:val="20"/>
                <w:szCs w:val="20"/>
              </w:rPr>
            </w:pPr>
          </w:p>
        </w:tc>
      </w:tr>
      <w:tr w:rsidR="00000000" w14:paraId="7721E115" w14:textId="77777777">
        <w:trPr>
          <w:divId w:val="261111824"/>
        </w:trPr>
        <w:tc>
          <w:tcPr>
            <w:tcW w:w="0" w:type="auto"/>
            <w:gridSpan w:val="3"/>
            <w:shd w:val="clear" w:color="auto" w:fill="CCEEFF"/>
            <w:tcMar>
              <w:top w:w="30" w:type="dxa"/>
              <w:left w:w="20" w:type="dxa"/>
              <w:bottom w:w="30" w:type="dxa"/>
              <w:right w:w="20" w:type="dxa"/>
            </w:tcMar>
            <w:vAlign w:val="center"/>
            <w:hideMark/>
          </w:tcPr>
          <w:p w14:paraId="47ECB8FF" w14:textId="77777777" w:rsidR="00000000" w:rsidRDefault="00A173A8">
            <w:pPr>
              <w:spacing w:after="100"/>
              <w:rPr>
                <w:rFonts w:eastAsia="Times New Roman"/>
              </w:rPr>
            </w:pPr>
            <w:r>
              <w:rPr>
                <w:rFonts w:eastAsia="Times New Roman"/>
                <w:b/>
                <w:bCs/>
                <w:color w:val="000000"/>
                <w:sz w:val="20"/>
                <w:szCs w:val="20"/>
              </w:rPr>
              <w:t>Net income available to common stockholders</w:t>
            </w:r>
          </w:p>
        </w:tc>
        <w:tc>
          <w:tcPr>
            <w:tcW w:w="0" w:type="auto"/>
            <w:gridSpan w:val="3"/>
            <w:shd w:val="clear" w:color="auto" w:fill="CCEEFF"/>
            <w:tcMar>
              <w:top w:w="0" w:type="dxa"/>
              <w:left w:w="20" w:type="dxa"/>
              <w:bottom w:w="0" w:type="dxa"/>
              <w:right w:w="20" w:type="dxa"/>
            </w:tcMar>
            <w:vAlign w:val="center"/>
            <w:hideMark/>
          </w:tcPr>
          <w:p w14:paraId="5F81E16E"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B22E27"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12A144F2" w14:textId="77777777" w:rsidR="00000000" w:rsidRDefault="00A173A8">
            <w:pPr>
              <w:spacing w:after="100"/>
              <w:jc w:val="right"/>
              <w:rPr>
                <w:rFonts w:eastAsia="Times New Roman"/>
              </w:rPr>
            </w:pPr>
            <w:r>
              <w:rPr>
                <w:rFonts w:eastAsia="Times New Roman"/>
                <w:b/>
                <w:bCs/>
                <w:color w:val="000000"/>
                <w:sz w:val="20"/>
                <w:szCs w:val="20"/>
              </w:rPr>
              <w:t>1,949</w:t>
            </w:r>
          </w:p>
        </w:tc>
        <w:tc>
          <w:tcPr>
            <w:tcW w:w="0" w:type="auto"/>
            <w:gridSpan w:val="3"/>
            <w:shd w:val="clear" w:color="auto" w:fill="CCEEFF"/>
            <w:tcMar>
              <w:top w:w="0" w:type="dxa"/>
              <w:left w:w="20" w:type="dxa"/>
              <w:bottom w:w="0" w:type="dxa"/>
              <w:right w:w="20" w:type="dxa"/>
            </w:tcMar>
            <w:vAlign w:val="center"/>
            <w:hideMark/>
          </w:tcPr>
          <w:p w14:paraId="4FDEA2EC"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1D1B9E"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16B934BF" w14:textId="77777777" w:rsidR="00000000" w:rsidRDefault="00A173A8">
            <w:pPr>
              <w:spacing w:after="100"/>
              <w:jc w:val="right"/>
              <w:rPr>
                <w:rFonts w:eastAsia="Times New Roman"/>
              </w:rPr>
            </w:pPr>
            <w:r>
              <w:rPr>
                <w:rFonts w:eastAsia="Times New Roman"/>
                <w:color w:val="000000"/>
                <w:sz w:val="20"/>
                <w:szCs w:val="20"/>
              </w:rPr>
              <w:t>3,446</w:t>
            </w:r>
          </w:p>
        </w:tc>
        <w:tc>
          <w:tcPr>
            <w:tcW w:w="0" w:type="auto"/>
            <w:gridSpan w:val="3"/>
            <w:shd w:val="clear" w:color="auto" w:fill="CCEEFF"/>
            <w:tcMar>
              <w:top w:w="0" w:type="dxa"/>
              <w:left w:w="20" w:type="dxa"/>
              <w:bottom w:w="0" w:type="dxa"/>
              <w:right w:w="20" w:type="dxa"/>
            </w:tcMar>
            <w:vAlign w:val="center"/>
            <w:hideMark/>
          </w:tcPr>
          <w:p w14:paraId="5A294DA4"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7D9466A3" w14:textId="77777777" w:rsidR="00000000" w:rsidRDefault="00A173A8">
            <w:pPr>
              <w:spacing w:after="100"/>
              <w:jc w:val="right"/>
              <w:rPr>
                <w:rFonts w:eastAsia="Times New Roman"/>
              </w:rPr>
            </w:pPr>
            <w:r>
              <w:rPr>
                <w:rFonts w:eastAsia="Times New Roman"/>
                <w:color w:val="000000"/>
                <w:sz w:val="20"/>
                <w:szCs w:val="20"/>
              </w:rPr>
              <w:t>(43)</w:t>
            </w:r>
          </w:p>
        </w:tc>
        <w:tc>
          <w:tcPr>
            <w:tcW w:w="0" w:type="auto"/>
            <w:gridSpan w:val="3"/>
            <w:shd w:val="clear" w:color="auto" w:fill="CCEEFF"/>
            <w:tcMar>
              <w:top w:w="0" w:type="dxa"/>
              <w:left w:w="20" w:type="dxa"/>
              <w:bottom w:w="0" w:type="dxa"/>
              <w:right w:w="20" w:type="dxa"/>
            </w:tcMar>
            <w:vAlign w:val="center"/>
            <w:hideMark/>
          </w:tcPr>
          <w:p w14:paraId="41328828"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9E33A2"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322FA42C" w14:textId="77777777" w:rsidR="00000000" w:rsidRDefault="00A173A8">
            <w:pPr>
              <w:spacing w:after="100"/>
              <w:jc w:val="right"/>
              <w:rPr>
                <w:rFonts w:eastAsia="Times New Roman"/>
              </w:rPr>
            </w:pPr>
            <w:r>
              <w:rPr>
                <w:rFonts w:eastAsia="Times New Roman"/>
                <w:b/>
                <w:bCs/>
                <w:color w:val="000000"/>
                <w:sz w:val="20"/>
                <w:szCs w:val="20"/>
              </w:rPr>
              <w:t>4,267</w:t>
            </w:r>
          </w:p>
        </w:tc>
        <w:tc>
          <w:tcPr>
            <w:tcW w:w="0" w:type="auto"/>
            <w:gridSpan w:val="3"/>
            <w:shd w:val="clear" w:color="auto" w:fill="CCEEFF"/>
            <w:tcMar>
              <w:top w:w="0" w:type="dxa"/>
              <w:left w:w="20" w:type="dxa"/>
              <w:bottom w:w="0" w:type="dxa"/>
              <w:right w:w="20" w:type="dxa"/>
            </w:tcMar>
            <w:vAlign w:val="center"/>
            <w:hideMark/>
          </w:tcPr>
          <w:p w14:paraId="68B9E90C"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2E72FC"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73FE1086" w14:textId="77777777" w:rsidR="00000000" w:rsidRDefault="00A173A8">
            <w:pPr>
              <w:spacing w:after="100"/>
              <w:jc w:val="right"/>
              <w:rPr>
                <w:rFonts w:eastAsia="Times New Roman"/>
              </w:rPr>
            </w:pPr>
            <w:r>
              <w:rPr>
                <w:rFonts w:eastAsia="Times New Roman"/>
                <w:color w:val="000000"/>
                <w:sz w:val="20"/>
                <w:szCs w:val="20"/>
              </w:rPr>
              <w:t>6,682</w:t>
            </w:r>
          </w:p>
        </w:tc>
        <w:tc>
          <w:tcPr>
            <w:tcW w:w="0" w:type="auto"/>
            <w:vAlign w:val="center"/>
            <w:hideMark/>
          </w:tcPr>
          <w:p w14:paraId="74CCE2DB" w14:textId="77777777" w:rsidR="00000000" w:rsidRDefault="00A173A8">
            <w:pPr>
              <w:spacing w:after="100"/>
              <w:jc w:val="right"/>
              <w:rPr>
                <w:rFonts w:eastAsia="Times New Roman"/>
              </w:rPr>
            </w:pPr>
          </w:p>
        </w:tc>
        <w:tc>
          <w:tcPr>
            <w:tcW w:w="0" w:type="auto"/>
            <w:vAlign w:val="center"/>
            <w:hideMark/>
          </w:tcPr>
          <w:p w14:paraId="7327E74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DFF158" w14:textId="77777777" w:rsidR="00000000" w:rsidRDefault="00A173A8">
            <w:pPr>
              <w:spacing w:after="100"/>
              <w:rPr>
                <w:rFonts w:eastAsia="Times New Roman"/>
                <w:sz w:val="20"/>
                <w:szCs w:val="20"/>
              </w:rPr>
            </w:pPr>
          </w:p>
        </w:tc>
        <w:tc>
          <w:tcPr>
            <w:tcW w:w="0" w:type="auto"/>
            <w:vAlign w:val="center"/>
            <w:hideMark/>
          </w:tcPr>
          <w:p w14:paraId="163AAE7D" w14:textId="77777777" w:rsidR="00000000" w:rsidRDefault="00A173A8">
            <w:pPr>
              <w:spacing w:after="100"/>
              <w:rPr>
                <w:rFonts w:eastAsia="Times New Roman"/>
                <w:sz w:val="20"/>
                <w:szCs w:val="20"/>
              </w:rPr>
            </w:pPr>
          </w:p>
        </w:tc>
        <w:tc>
          <w:tcPr>
            <w:tcW w:w="0" w:type="auto"/>
            <w:gridSpan w:val="3"/>
            <w:vAlign w:val="center"/>
            <w:hideMark/>
          </w:tcPr>
          <w:p w14:paraId="6444AC01" w14:textId="77777777" w:rsidR="00000000" w:rsidRDefault="00A173A8">
            <w:pPr>
              <w:spacing w:after="100"/>
              <w:rPr>
                <w:rFonts w:eastAsia="Times New Roman"/>
                <w:sz w:val="20"/>
                <w:szCs w:val="20"/>
              </w:rPr>
            </w:pPr>
          </w:p>
        </w:tc>
        <w:tc>
          <w:tcPr>
            <w:tcW w:w="0" w:type="auto"/>
            <w:gridSpan w:val="3"/>
            <w:vAlign w:val="center"/>
            <w:hideMark/>
          </w:tcPr>
          <w:p w14:paraId="39877DDA" w14:textId="77777777" w:rsidR="00000000" w:rsidRDefault="00A173A8">
            <w:pPr>
              <w:spacing w:after="100"/>
              <w:rPr>
                <w:rFonts w:eastAsia="Times New Roman"/>
                <w:sz w:val="20"/>
                <w:szCs w:val="20"/>
              </w:rPr>
            </w:pPr>
          </w:p>
        </w:tc>
        <w:tc>
          <w:tcPr>
            <w:tcW w:w="0" w:type="auto"/>
            <w:gridSpan w:val="3"/>
            <w:vAlign w:val="center"/>
            <w:hideMark/>
          </w:tcPr>
          <w:p w14:paraId="1DF3E5B8"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0C08F4C" w14:textId="77777777" w:rsidR="00000000" w:rsidRDefault="00A173A8">
            <w:pPr>
              <w:spacing w:after="100"/>
              <w:jc w:val="right"/>
              <w:rPr>
                <w:rFonts w:eastAsia="Times New Roman"/>
              </w:rPr>
            </w:pPr>
            <w:r>
              <w:rPr>
                <w:rFonts w:eastAsia="Times New Roman"/>
                <w:color w:val="000000"/>
                <w:sz w:val="20"/>
                <w:szCs w:val="20"/>
              </w:rPr>
              <w:t>(36)</w:t>
            </w:r>
          </w:p>
        </w:tc>
        <w:tc>
          <w:tcPr>
            <w:tcW w:w="0" w:type="auto"/>
            <w:gridSpan w:val="3"/>
            <w:vAlign w:val="center"/>
            <w:hideMark/>
          </w:tcPr>
          <w:p w14:paraId="66462D13" w14:textId="77777777" w:rsidR="00000000" w:rsidRDefault="00A173A8">
            <w:pPr>
              <w:spacing w:after="100"/>
              <w:jc w:val="right"/>
              <w:rPr>
                <w:rFonts w:eastAsia="Times New Roman"/>
              </w:rPr>
            </w:pPr>
          </w:p>
        </w:tc>
        <w:tc>
          <w:tcPr>
            <w:tcW w:w="0" w:type="auto"/>
            <w:gridSpan w:val="2"/>
            <w:vAlign w:val="center"/>
            <w:hideMark/>
          </w:tcPr>
          <w:p w14:paraId="2D3C2345" w14:textId="77777777" w:rsidR="00000000" w:rsidRDefault="00A173A8">
            <w:pPr>
              <w:spacing w:after="100"/>
              <w:rPr>
                <w:rFonts w:eastAsia="Times New Roman"/>
                <w:sz w:val="20"/>
                <w:szCs w:val="20"/>
              </w:rPr>
            </w:pPr>
          </w:p>
        </w:tc>
      </w:tr>
      <w:tr w:rsidR="00000000" w14:paraId="4590411A" w14:textId="77777777">
        <w:trPr>
          <w:divId w:val="261111824"/>
        </w:trPr>
        <w:tc>
          <w:tcPr>
            <w:tcW w:w="0" w:type="auto"/>
            <w:gridSpan w:val="3"/>
            <w:shd w:val="clear" w:color="auto" w:fill="FFFFFF"/>
            <w:tcMar>
              <w:top w:w="30" w:type="dxa"/>
              <w:left w:w="20" w:type="dxa"/>
              <w:bottom w:w="30" w:type="dxa"/>
              <w:right w:w="20" w:type="dxa"/>
            </w:tcMar>
            <w:vAlign w:val="center"/>
            <w:hideMark/>
          </w:tcPr>
          <w:p w14:paraId="69C4ECB8" w14:textId="77777777" w:rsidR="00000000" w:rsidRDefault="00A173A8">
            <w:pPr>
              <w:spacing w:after="100"/>
              <w:rPr>
                <w:rFonts w:eastAsia="Times New Roman"/>
              </w:rPr>
            </w:pPr>
            <w:r>
              <w:rPr>
                <w:rFonts w:eastAsia="Times New Roman"/>
                <w:b/>
                <w:bCs/>
                <w:color w:val="000000"/>
                <w:sz w:val="20"/>
                <w:szCs w:val="20"/>
              </w:rPr>
              <w:t>Common share statistics</w:t>
            </w:r>
          </w:p>
        </w:tc>
        <w:tc>
          <w:tcPr>
            <w:tcW w:w="0" w:type="auto"/>
            <w:gridSpan w:val="3"/>
            <w:shd w:val="clear" w:color="auto" w:fill="FFFFFF"/>
            <w:tcMar>
              <w:top w:w="0" w:type="dxa"/>
              <w:left w:w="20" w:type="dxa"/>
              <w:bottom w:w="0" w:type="dxa"/>
              <w:right w:w="20" w:type="dxa"/>
            </w:tcMar>
            <w:vAlign w:val="center"/>
            <w:hideMark/>
          </w:tcPr>
          <w:p w14:paraId="42BA460E"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F1E608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6AD66A"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B08E9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5A971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63003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0CBE2A"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E805D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359008"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E35BD8" w14:textId="77777777" w:rsidR="00000000" w:rsidRDefault="00A173A8">
            <w:pPr>
              <w:spacing w:after="100"/>
              <w:rPr>
                <w:rFonts w:eastAsia="Times New Roman"/>
                <w:sz w:val="20"/>
                <w:szCs w:val="20"/>
              </w:rPr>
            </w:pPr>
          </w:p>
        </w:tc>
        <w:tc>
          <w:tcPr>
            <w:tcW w:w="0" w:type="auto"/>
            <w:vAlign w:val="center"/>
            <w:hideMark/>
          </w:tcPr>
          <w:p w14:paraId="0C475E9D" w14:textId="77777777" w:rsidR="00000000" w:rsidRDefault="00A173A8">
            <w:pPr>
              <w:spacing w:after="100"/>
              <w:rPr>
                <w:rFonts w:eastAsia="Times New Roman"/>
                <w:sz w:val="20"/>
                <w:szCs w:val="20"/>
              </w:rPr>
            </w:pPr>
          </w:p>
        </w:tc>
        <w:tc>
          <w:tcPr>
            <w:tcW w:w="0" w:type="auto"/>
            <w:vAlign w:val="center"/>
            <w:hideMark/>
          </w:tcPr>
          <w:p w14:paraId="29056B4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F240A3" w14:textId="77777777" w:rsidR="00000000" w:rsidRDefault="00A173A8">
            <w:pPr>
              <w:spacing w:after="100"/>
              <w:rPr>
                <w:rFonts w:eastAsia="Times New Roman"/>
                <w:sz w:val="20"/>
                <w:szCs w:val="20"/>
              </w:rPr>
            </w:pPr>
          </w:p>
        </w:tc>
        <w:tc>
          <w:tcPr>
            <w:tcW w:w="0" w:type="auto"/>
            <w:vAlign w:val="center"/>
            <w:hideMark/>
          </w:tcPr>
          <w:p w14:paraId="1BA69AFD" w14:textId="77777777" w:rsidR="00000000" w:rsidRDefault="00A173A8">
            <w:pPr>
              <w:spacing w:after="100"/>
              <w:rPr>
                <w:rFonts w:eastAsia="Times New Roman"/>
                <w:sz w:val="20"/>
                <w:szCs w:val="20"/>
              </w:rPr>
            </w:pPr>
          </w:p>
        </w:tc>
        <w:tc>
          <w:tcPr>
            <w:tcW w:w="0" w:type="auto"/>
            <w:gridSpan w:val="3"/>
            <w:vAlign w:val="center"/>
            <w:hideMark/>
          </w:tcPr>
          <w:p w14:paraId="6194935B" w14:textId="77777777" w:rsidR="00000000" w:rsidRDefault="00A173A8">
            <w:pPr>
              <w:spacing w:after="100"/>
              <w:rPr>
                <w:rFonts w:eastAsia="Times New Roman"/>
                <w:sz w:val="20"/>
                <w:szCs w:val="20"/>
              </w:rPr>
            </w:pPr>
          </w:p>
        </w:tc>
        <w:tc>
          <w:tcPr>
            <w:tcW w:w="0" w:type="auto"/>
            <w:gridSpan w:val="3"/>
            <w:vAlign w:val="center"/>
            <w:hideMark/>
          </w:tcPr>
          <w:p w14:paraId="1BE5F3C9" w14:textId="77777777" w:rsidR="00000000" w:rsidRDefault="00A173A8">
            <w:pPr>
              <w:spacing w:after="100"/>
              <w:rPr>
                <w:rFonts w:eastAsia="Times New Roman"/>
                <w:sz w:val="20"/>
                <w:szCs w:val="20"/>
              </w:rPr>
            </w:pPr>
          </w:p>
        </w:tc>
        <w:tc>
          <w:tcPr>
            <w:tcW w:w="0" w:type="auto"/>
            <w:gridSpan w:val="3"/>
            <w:vAlign w:val="center"/>
            <w:hideMark/>
          </w:tcPr>
          <w:p w14:paraId="5FC624CF"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F7EFB48" w14:textId="77777777" w:rsidR="00000000" w:rsidRDefault="00A173A8">
            <w:pPr>
              <w:spacing w:after="100"/>
              <w:jc w:val="right"/>
              <w:rPr>
                <w:rFonts w:eastAsia="Times New Roman"/>
              </w:rPr>
            </w:pPr>
            <w:r>
              <w:rPr>
                <w:rFonts w:eastAsia="Times New Roman"/>
                <w:color w:val="000000"/>
                <w:sz w:val="20"/>
                <w:szCs w:val="20"/>
              </w:rPr>
              <w:t> </w:t>
            </w:r>
          </w:p>
        </w:tc>
        <w:tc>
          <w:tcPr>
            <w:tcW w:w="0" w:type="auto"/>
            <w:gridSpan w:val="3"/>
            <w:vAlign w:val="center"/>
            <w:hideMark/>
          </w:tcPr>
          <w:p w14:paraId="557ACA14" w14:textId="77777777" w:rsidR="00000000" w:rsidRDefault="00A173A8">
            <w:pPr>
              <w:spacing w:after="100"/>
              <w:jc w:val="right"/>
              <w:rPr>
                <w:rFonts w:eastAsia="Times New Roman"/>
              </w:rPr>
            </w:pPr>
          </w:p>
        </w:tc>
        <w:tc>
          <w:tcPr>
            <w:tcW w:w="0" w:type="auto"/>
            <w:gridSpan w:val="2"/>
            <w:vAlign w:val="center"/>
            <w:hideMark/>
          </w:tcPr>
          <w:p w14:paraId="62A741B2" w14:textId="77777777" w:rsidR="00000000" w:rsidRDefault="00A173A8">
            <w:pPr>
              <w:spacing w:after="100"/>
              <w:rPr>
                <w:rFonts w:eastAsia="Times New Roman"/>
                <w:sz w:val="20"/>
                <w:szCs w:val="20"/>
              </w:rPr>
            </w:pPr>
          </w:p>
        </w:tc>
      </w:tr>
      <w:tr w:rsidR="00000000" w14:paraId="37EF82AF" w14:textId="77777777">
        <w:trPr>
          <w:divId w:val="261111824"/>
        </w:trPr>
        <w:tc>
          <w:tcPr>
            <w:tcW w:w="0" w:type="auto"/>
            <w:gridSpan w:val="3"/>
            <w:shd w:val="clear" w:color="auto" w:fill="CCEEFF"/>
            <w:tcMar>
              <w:top w:w="30" w:type="dxa"/>
              <w:left w:w="20" w:type="dxa"/>
              <w:bottom w:w="30" w:type="dxa"/>
              <w:right w:w="20" w:type="dxa"/>
            </w:tcMar>
            <w:vAlign w:val="center"/>
            <w:hideMark/>
          </w:tcPr>
          <w:p w14:paraId="4A1E4A73" w14:textId="77777777" w:rsidR="00000000" w:rsidRDefault="00A173A8">
            <w:pPr>
              <w:spacing w:after="100"/>
              <w:rPr>
                <w:rFonts w:eastAsia="Times New Roman"/>
              </w:rPr>
            </w:pPr>
            <w:r>
              <w:rPr>
                <w:rFonts w:eastAsia="Times New Roman"/>
                <w:b/>
                <w:bCs/>
                <w:color w:val="000000"/>
                <w:sz w:val="20"/>
                <w:szCs w:val="20"/>
              </w:rPr>
              <w:t>Basic earnings per common share:</w:t>
            </w:r>
          </w:p>
        </w:tc>
        <w:tc>
          <w:tcPr>
            <w:tcW w:w="0" w:type="auto"/>
            <w:gridSpan w:val="3"/>
            <w:shd w:val="clear" w:color="auto" w:fill="CCEEFF"/>
            <w:tcMar>
              <w:top w:w="0" w:type="dxa"/>
              <w:left w:w="20" w:type="dxa"/>
              <w:bottom w:w="0" w:type="dxa"/>
              <w:right w:w="20" w:type="dxa"/>
            </w:tcMar>
            <w:vAlign w:val="center"/>
            <w:hideMark/>
          </w:tcPr>
          <w:p w14:paraId="071B0CFA"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CD753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1680C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56CB7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8CCE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6A967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1BEC9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5012A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E87A8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B1F34C" w14:textId="77777777" w:rsidR="00000000" w:rsidRDefault="00A173A8">
            <w:pPr>
              <w:spacing w:after="100"/>
              <w:rPr>
                <w:rFonts w:eastAsia="Times New Roman"/>
                <w:sz w:val="20"/>
                <w:szCs w:val="20"/>
              </w:rPr>
            </w:pPr>
          </w:p>
        </w:tc>
        <w:tc>
          <w:tcPr>
            <w:tcW w:w="0" w:type="auto"/>
            <w:vAlign w:val="center"/>
            <w:hideMark/>
          </w:tcPr>
          <w:p w14:paraId="76CF8B6A" w14:textId="77777777" w:rsidR="00000000" w:rsidRDefault="00A173A8">
            <w:pPr>
              <w:spacing w:after="100"/>
              <w:rPr>
                <w:rFonts w:eastAsia="Times New Roman"/>
                <w:sz w:val="20"/>
                <w:szCs w:val="20"/>
              </w:rPr>
            </w:pPr>
          </w:p>
        </w:tc>
        <w:tc>
          <w:tcPr>
            <w:tcW w:w="0" w:type="auto"/>
            <w:vAlign w:val="center"/>
            <w:hideMark/>
          </w:tcPr>
          <w:p w14:paraId="1324556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EDEA12" w14:textId="77777777" w:rsidR="00000000" w:rsidRDefault="00A173A8">
            <w:pPr>
              <w:spacing w:after="100"/>
              <w:rPr>
                <w:rFonts w:eastAsia="Times New Roman"/>
                <w:sz w:val="20"/>
                <w:szCs w:val="20"/>
              </w:rPr>
            </w:pPr>
          </w:p>
        </w:tc>
        <w:tc>
          <w:tcPr>
            <w:tcW w:w="0" w:type="auto"/>
            <w:vAlign w:val="center"/>
            <w:hideMark/>
          </w:tcPr>
          <w:p w14:paraId="0939AC94" w14:textId="77777777" w:rsidR="00000000" w:rsidRDefault="00A173A8">
            <w:pPr>
              <w:spacing w:after="100"/>
              <w:rPr>
                <w:rFonts w:eastAsia="Times New Roman"/>
                <w:sz w:val="20"/>
                <w:szCs w:val="20"/>
              </w:rPr>
            </w:pPr>
          </w:p>
        </w:tc>
        <w:tc>
          <w:tcPr>
            <w:tcW w:w="0" w:type="auto"/>
            <w:gridSpan w:val="3"/>
            <w:vAlign w:val="center"/>
            <w:hideMark/>
          </w:tcPr>
          <w:p w14:paraId="049E5CF2" w14:textId="77777777" w:rsidR="00000000" w:rsidRDefault="00A173A8">
            <w:pPr>
              <w:spacing w:after="100"/>
              <w:rPr>
                <w:rFonts w:eastAsia="Times New Roman"/>
                <w:sz w:val="20"/>
                <w:szCs w:val="20"/>
              </w:rPr>
            </w:pPr>
          </w:p>
        </w:tc>
        <w:tc>
          <w:tcPr>
            <w:tcW w:w="0" w:type="auto"/>
            <w:gridSpan w:val="3"/>
            <w:vAlign w:val="center"/>
            <w:hideMark/>
          </w:tcPr>
          <w:p w14:paraId="4A6065B6" w14:textId="77777777" w:rsidR="00000000" w:rsidRDefault="00A173A8">
            <w:pPr>
              <w:spacing w:after="100"/>
              <w:rPr>
                <w:rFonts w:eastAsia="Times New Roman"/>
                <w:sz w:val="20"/>
                <w:szCs w:val="20"/>
              </w:rPr>
            </w:pPr>
          </w:p>
        </w:tc>
        <w:tc>
          <w:tcPr>
            <w:tcW w:w="0" w:type="auto"/>
            <w:gridSpan w:val="3"/>
            <w:vAlign w:val="center"/>
            <w:hideMark/>
          </w:tcPr>
          <w:p w14:paraId="6F2AE0F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063D00" w14:textId="77777777" w:rsidR="00000000" w:rsidRDefault="00A173A8">
            <w:pPr>
              <w:spacing w:after="100"/>
              <w:rPr>
                <w:rFonts w:eastAsia="Times New Roman"/>
                <w:sz w:val="20"/>
                <w:szCs w:val="20"/>
              </w:rPr>
            </w:pPr>
          </w:p>
        </w:tc>
        <w:tc>
          <w:tcPr>
            <w:tcW w:w="0" w:type="auto"/>
            <w:gridSpan w:val="3"/>
            <w:vAlign w:val="center"/>
            <w:hideMark/>
          </w:tcPr>
          <w:p w14:paraId="195F02D7" w14:textId="77777777" w:rsidR="00000000" w:rsidRDefault="00A173A8">
            <w:pPr>
              <w:spacing w:after="100"/>
              <w:rPr>
                <w:rFonts w:eastAsia="Times New Roman"/>
                <w:sz w:val="20"/>
                <w:szCs w:val="20"/>
              </w:rPr>
            </w:pPr>
          </w:p>
        </w:tc>
        <w:tc>
          <w:tcPr>
            <w:tcW w:w="0" w:type="auto"/>
            <w:gridSpan w:val="2"/>
            <w:vAlign w:val="center"/>
            <w:hideMark/>
          </w:tcPr>
          <w:p w14:paraId="6CFCC3C6" w14:textId="77777777" w:rsidR="00000000" w:rsidRDefault="00A173A8">
            <w:pPr>
              <w:spacing w:after="100"/>
              <w:rPr>
                <w:rFonts w:eastAsia="Times New Roman"/>
                <w:sz w:val="20"/>
                <w:szCs w:val="20"/>
              </w:rPr>
            </w:pPr>
          </w:p>
        </w:tc>
      </w:tr>
      <w:tr w:rsidR="00000000" w14:paraId="13126B94" w14:textId="77777777">
        <w:trPr>
          <w:divId w:val="261111824"/>
        </w:trPr>
        <w:tc>
          <w:tcPr>
            <w:tcW w:w="0" w:type="auto"/>
            <w:gridSpan w:val="3"/>
            <w:shd w:val="clear" w:color="auto" w:fill="FFFFFF"/>
            <w:tcMar>
              <w:top w:w="30" w:type="dxa"/>
              <w:left w:w="20" w:type="dxa"/>
              <w:bottom w:w="30" w:type="dxa"/>
              <w:right w:w="20" w:type="dxa"/>
            </w:tcMar>
            <w:vAlign w:val="center"/>
            <w:hideMark/>
          </w:tcPr>
          <w:p w14:paraId="7A7541DF" w14:textId="77777777" w:rsidR="00000000" w:rsidRDefault="00A173A8">
            <w:pPr>
              <w:spacing w:after="100"/>
              <w:rPr>
                <w:rFonts w:eastAsia="Times New Roman"/>
              </w:rPr>
            </w:pPr>
            <w:r>
              <w:rPr>
                <w:rFonts w:eastAsia="Times New Roman"/>
                <w:color w:val="000000"/>
                <w:sz w:val="20"/>
                <w:szCs w:val="20"/>
              </w:rPr>
              <w:t>Net income from continuing operations</w:t>
            </w:r>
          </w:p>
        </w:tc>
        <w:tc>
          <w:tcPr>
            <w:tcW w:w="0" w:type="auto"/>
            <w:gridSpan w:val="3"/>
            <w:shd w:val="clear" w:color="auto" w:fill="FFFFFF"/>
            <w:tcMar>
              <w:top w:w="0" w:type="dxa"/>
              <w:left w:w="20" w:type="dxa"/>
              <w:bottom w:w="0" w:type="dxa"/>
              <w:right w:w="20" w:type="dxa"/>
            </w:tcMar>
            <w:vAlign w:val="center"/>
            <w:hideMark/>
          </w:tcPr>
          <w:p w14:paraId="7F6D0118"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3CFE3F1"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9684F85" w14:textId="77777777" w:rsidR="00000000" w:rsidRDefault="00A173A8">
            <w:pPr>
              <w:spacing w:after="100"/>
              <w:jc w:val="right"/>
              <w:rPr>
                <w:rFonts w:eastAsia="Times New Roman"/>
              </w:rPr>
            </w:pPr>
            <w:r>
              <w:rPr>
                <w:rFonts w:eastAsia="Times New Roman"/>
                <w:b/>
                <w:bCs/>
                <w:color w:val="000000"/>
                <w:sz w:val="20"/>
                <w:szCs w:val="20"/>
              </w:rPr>
              <w:t>4.98</w:t>
            </w:r>
          </w:p>
        </w:tc>
        <w:tc>
          <w:tcPr>
            <w:tcW w:w="0" w:type="auto"/>
            <w:gridSpan w:val="3"/>
            <w:shd w:val="clear" w:color="auto" w:fill="FFFFFF"/>
            <w:tcMar>
              <w:top w:w="0" w:type="dxa"/>
              <w:left w:w="20" w:type="dxa"/>
              <w:bottom w:w="0" w:type="dxa"/>
              <w:right w:w="20" w:type="dxa"/>
            </w:tcMar>
            <w:vAlign w:val="center"/>
            <w:hideMark/>
          </w:tcPr>
          <w:p w14:paraId="21BF7949"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99CA270"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9107004" w14:textId="77777777" w:rsidR="00000000" w:rsidRDefault="00A173A8">
            <w:pPr>
              <w:spacing w:after="100"/>
              <w:jc w:val="right"/>
              <w:rPr>
                <w:rFonts w:eastAsia="Times New Roman"/>
              </w:rPr>
            </w:pPr>
            <w:r>
              <w:rPr>
                <w:rFonts w:eastAsia="Times New Roman"/>
                <w:color w:val="000000"/>
                <w:sz w:val="20"/>
                <w:szCs w:val="20"/>
              </w:rPr>
              <w:t>7.65</w:t>
            </w:r>
          </w:p>
        </w:tc>
        <w:tc>
          <w:tcPr>
            <w:tcW w:w="0" w:type="auto"/>
            <w:gridSpan w:val="3"/>
            <w:shd w:val="clear" w:color="auto" w:fill="FFFFFF"/>
            <w:tcMar>
              <w:top w:w="0" w:type="dxa"/>
              <w:left w:w="20" w:type="dxa"/>
              <w:bottom w:w="0" w:type="dxa"/>
              <w:right w:w="20" w:type="dxa"/>
            </w:tcMar>
            <w:vAlign w:val="center"/>
            <w:hideMark/>
          </w:tcPr>
          <w:p w14:paraId="26A60E50"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B7FEA21" w14:textId="77777777" w:rsidR="00000000" w:rsidRDefault="00A173A8">
            <w:pPr>
              <w:spacing w:after="100"/>
              <w:jc w:val="right"/>
              <w:rPr>
                <w:rFonts w:eastAsia="Times New Roman"/>
              </w:rPr>
            </w:pPr>
            <w:r>
              <w:rPr>
                <w:rFonts w:eastAsia="Times New Roman"/>
                <w:color w:val="000000"/>
                <w:sz w:val="20"/>
                <w:szCs w:val="20"/>
              </w:rPr>
              <w:t>(35)%</w:t>
            </w:r>
          </w:p>
        </w:tc>
        <w:tc>
          <w:tcPr>
            <w:tcW w:w="0" w:type="auto"/>
            <w:gridSpan w:val="3"/>
            <w:shd w:val="clear" w:color="auto" w:fill="FFFFFF"/>
            <w:tcMar>
              <w:top w:w="0" w:type="dxa"/>
              <w:left w:w="20" w:type="dxa"/>
              <w:bottom w:w="0" w:type="dxa"/>
              <w:right w:w="20" w:type="dxa"/>
            </w:tcMar>
            <w:vAlign w:val="center"/>
            <w:hideMark/>
          </w:tcPr>
          <w:p w14:paraId="0545D061"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257CB4A"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D1EBC9C" w14:textId="77777777" w:rsidR="00000000" w:rsidRDefault="00A173A8">
            <w:pPr>
              <w:spacing w:after="100"/>
              <w:jc w:val="right"/>
              <w:rPr>
                <w:rFonts w:eastAsia="Times New Roman"/>
              </w:rPr>
            </w:pPr>
            <w:r>
              <w:rPr>
                <w:rFonts w:eastAsia="Times New Roman"/>
                <w:b/>
                <w:bCs/>
                <w:color w:val="000000"/>
                <w:sz w:val="20"/>
                <w:szCs w:val="20"/>
              </w:rPr>
              <w:t>10.65</w:t>
            </w:r>
          </w:p>
        </w:tc>
        <w:tc>
          <w:tcPr>
            <w:tcW w:w="0" w:type="auto"/>
            <w:gridSpan w:val="3"/>
            <w:shd w:val="clear" w:color="auto" w:fill="FFFFFF"/>
            <w:tcMar>
              <w:top w:w="0" w:type="dxa"/>
              <w:left w:w="20" w:type="dxa"/>
              <w:bottom w:w="0" w:type="dxa"/>
              <w:right w:w="20" w:type="dxa"/>
            </w:tcMar>
            <w:vAlign w:val="center"/>
            <w:hideMark/>
          </w:tcPr>
          <w:p w14:paraId="7F3687A2"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9FE3F52"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9D0152A" w14:textId="77777777" w:rsidR="00000000" w:rsidRDefault="00A173A8">
            <w:pPr>
              <w:spacing w:after="100"/>
              <w:jc w:val="right"/>
              <w:rPr>
                <w:rFonts w:eastAsia="Times New Roman"/>
              </w:rPr>
            </w:pPr>
            <w:r>
              <w:rPr>
                <w:rFonts w:eastAsia="Times New Roman"/>
                <w:color w:val="000000"/>
                <w:sz w:val="20"/>
                <w:szCs w:val="20"/>
              </w:rPr>
              <w:t>14.70</w:t>
            </w:r>
          </w:p>
        </w:tc>
        <w:tc>
          <w:tcPr>
            <w:tcW w:w="0" w:type="auto"/>
            <w:vAlign w:val="center"/>
            <w:hideMark/>
          </w:tcPr>
          <w:p w14:paraId="1EC8C713" w14:textId="77777777" w:rsidR="00000000" w:rsidRDefault="00A173A8">
            <w:pPr>
              <w:spacing w:after="100"/>
              <w:jc w:val="right"/>
              <w:rPr>
                <w:rFonts w:eastAsia="Times New Roman"/>
              </w:rPr>
            </w:pPr>
          </w:p>
        </w:tc>
        <w:tc>
          <w:tcPr>
            <w:tcW w:w="0" w:type="auto"/>
            <w:vAlign w:val="center"/>
            <w:hideMark/>
          </w:tcPr>
          <w:p w14:paraId="1789DD1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F2EC15" w14:textId="77777777" w:rsidR="00000000" w:rsidRDefault="00A173A8">
            <w:pPr>
              <w:spacing w:after="100"/>
              <w:rPr>
                <w:rFonts w:eastAsia="Times New Roman"/>
                <w:sz w:val="20"/>
                <w:szCs w:val="20"/>
              </w:rPr>
            </w:pPr>
          </w:p>
        </w:tc>
        <w:tc>
          <w:tcPr>
            <w:tcW w:w="0" w:type="auto"/>
            <w:vAlign w:val="center"/>
            <w:hideMark/>
          </w:tcPr>
          <w:p w14:paraId="6857B4B9" w14:textId="77777777" w:rsidR="00000000" w:rsidRDefault="00A173A8">
            <w:pPr>
              <w:spacing w:after="100"/>
              <w:rPr>
                <w:rFonts w:eastAsia="Times New Roman"/>
                <w:sz w:val="20"/>
                <w:szCs w:val="20"/>
              </w:rPr>
            </w:pPr>
          </w:p>
        </w:tc>
        <w:tc>
          <w:tcPr>
            <w:tcW w:w="0" w:type="auto"/>
            <w:gridSpan w:val="3"/>
            <w:vAlign w:val="center"/>
            <w:hideMark/>
          </w:tcPr>
          <w:p w14:paraId="07BD07E9" w14:textId="77777777" w:rsidR="00000000" w:rsidRDefault="00A173A8">
            <w:pPr>
              <w:spacing w:after="100"/>
              <w:rPr>
                <w:rFonts w:eastAsia="Times New Roman"/>
                <w:sz w:val="20"/>
                <w:szCs w:val="20"/>
              </w:rPr>
            </w:pPr>
          </w:p>
        </w:tc>
        <w:tc>
          <w:tcPr>
            <w:tcW w:w="0" w:type="auto"/>
            <w:gridSpan w:val="3"/>
            <w:vAlign w:val="center"/>
            <w:hideMark/>
          </w:tcPr>
          <w:p w14:paraId="79E51BEE" w14:textId="77777777" w:rsidR="00000000" w:rsidRDefault="00A173A8">
            <w:pPr>
              <w:spacing w:after="100"/>
              <w:rPr>
                <w:rFonts w:eastAsia="Times New Roman"/>
                <w:sz w:val="20"/>
                <w:szCs w:val="20"/>
              </w:rPr>
            </w:pPr>
          </w:p>
        </w:tc>
        <w:tc>
          <w:tcPr>
            <w:tcW w:w="0" w:type="auto"/>
            <w:gridSpan w:val="3"/>
            <w:vAlign w:val="center"/>
            <w:hideMark/>
          </w:tcPr>
          <w:p w14:paraId="656D72B1"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32D5EC9C" w14:textId="77777777" w:rsidR="00000000" w:rsidRDefault="00A173A8">
            <w:pPr>
              <w:spacing w:after="100"/>
              <w:jc w:val="right"/>
              <w:rPr>
                <w:rFonts w:eastAsia="Times New Roman"/>
              </w:rPr>
            </w:pPr>
            <w:r>
              <w:rPr>
                <w:rFonts w:eastAsia="Times New Roman"/>
                <w:color w:val="000000"/>
                <w:sz w:val="20"/>
                <w:szCs w:val="20"/>
              </w:rPr>
              <w:t>(28)%</w:t>
            </w:r>
          </w:p>
        </w:tc>
        <w:tc>
          <w:tcPr>
            <w:tcW w:w="0" w:type="auto"/>
            <w:gridSpan w:val="3"/>
            <w:vAlign w:val="center"/>
            <w:hideMark/>
          </w:tcPr>
          <w:p w14:paraId="53E2DD42" w14:textId="77777777" w:rsidR="00000000" w:rsidRDefault="00A173A8">
            <w:pPr>
              <w:spacing w:after="100"/>
              <w:jc w:val="right"/>
              <w:rPr>
                <w:rFonts w:eastAsia="Times New Roman"/>
              </w:rPr>
            </w:pPr>
          </w:p>
        </w:tc>
        <w:tc>
          <w:tcPr>
            <w:tcW w:w="0" w:type="auto"/>
            <w:gridSpan w:val="2"/>
            <w:vAlign w:val="center"/>
            <w:hideMark/>
          </w:tcPr>
          <w:p w14:paraId="414F1CD8" w14:textId="77777777" w:rsidR="00000000" w:rsidRDefault="00A173A8">
            <w:pPr>
              <w:spacing w:after="100"/>
              <w:rPr>
                <w:rFonts w:eastAsia="Times New Roman"/>
                <w:sz w:val="20"/>
                <w:szCs w:val="20"/>
              </w:rPr>
            </w:pPr>
          </w:p>
        </w:tc>
      </w:tr>
      <w:tr w:rsidR="00000000" w14:paraId="4390FAE5" w14:textId="77777777">
        <w:trPr>
          <w:divId w:val="261111824"/>
        </w:trPr>
        <w:tc>
          <w:tcPr>
            <w:tcW w:w="0" w:type="auto"/>
            <w:gridSpan w:val="3"/>
            <w:vAlign w:val="center"/>
            <w:hideMark/>
          </w:tcPr>
          <w:p w14:paraId="44B5CFD4" w14:textId="77777777" w:rsidR="00000000" w:rsidRDefault="00A173A8">
            <w:pPr>
              <w:spacing w:after="100"/>
              <w:rPr>
                <w:rFonts w:eastAsia="Times New Roman"/>
                <w:sz w:val="20"/>
                <w:szCs w:val="20"/>
              </w:rPr>
            </w:pPr>
          </w:p>
        </w:tc>
        <w:tc>
          <w:tcPr>
            <w:tcW w:w="0" w:type="auto"/>
            <w:gridSpan w:val="3"/>
            <w:vAlign w:val="center"/>
            <w:hideMark/>
          </w:tcPr>
          <w:p w14:paraId="0DF2C14D" w14:textId="77777777" w:rsidR="00000000" w:rsidRDefault="00A173A8">
            <w:pPr>
              <w:spacing w:after="100"/>
              <w:rPr>
                <w:rFonts w:eastAsia="Times New Roman"/>
                <w:sz w:val="20"/>
                <w:szCs w:val="20"/>
              </w:rPr>
            </w:pPr>
          </w:p>
        </w:tc>
        <w:tc>
          <w:tcPr>
            <w:tcW w:w="0" w:type="auto"/>
            <w:gridSpan w:val="3"/>
            <w:vAlign w:val="center"/>
            <w:hideMark/>
          </w:tcPr>
          <w:p w14:paraId="34EE4CD0" w14:textId="77777777" w:rsidR="00000000" w:rsidRDefault="00A173A8">
            <w:pPr>
              <w:spacing w:after="100"/>
              <w:rPr>
                <w:rFonts w:eastAsia="Times New Roman"/>
                <w:sz w:val="20"/>
                <w:szCs w:val="20"/>
              </w:rPr>
            </w:pPr>
          </w:p>
        </w:tc>
        <w:tc>
          <w:tcPr>
            <w:tcW w:w="0" w:type="auto"/>
            <w:gridSpan w:val="3"/>
            <w:vAlign w:val="center"/>
            <w:hideMark/>
          </w:tcPr>
          <w:p w14:paraId="350596FD" w14:textId="77777777" w:rsidR="00000000" w:rsidRDefault="00A173A8">
            <w:pPr>
              <w:spacing w:after="100"/>
              <w:rPr>
                <w:rFonts w:eastAsia="Times New Roman"/>
                <w:sz w:val="20"/>
                <w:szCs w:val="20"/>
              </w:rPr>
            </w:pPr>
          </w:p>
        </w:tc>
        <w:tc>
          <w:tcPr>
            <w:tcW w:w="0" w:type="auto"/>
            <w:gridSpan w:val="3"/>
            <w:vAlign w:val="center"/>
            <w:hideMark/>
          </w:tcPr>
          <w:p w14:paraId="327E3011" w14:textId="77777777" w:rsidR="00000000" w:rsidRDefault="00A173A8">
            <w:pPr>
              <w:spacing w:after="100"/>
              <w:rPr>
                <w:rFonts w:eastAsia="Times New Roman"/>
                <w:sz w:val="20"/>
                <w:szCs w:val="20"/>
              </w:rPr>
            </w:pPr>
          </w:p>
        </w:tc>
        <w:tc>
          <w:tcPr>
            <w:tcW w:w="0" w:type="auto"/>
            <w:gridSpan w:val="3"/>
            <w:vAlign w:val="center"/>
            <w:hideMark/>
          </w:tcPr>
          <w:p w14:paraId="2E06D2F2" w14:textId="77777777" w:rsidR="00000000" w:rsidRDefault="00A173A8">
            <w:pPr>
              <w:spacing w:after="100"/>
              <w:rPr>
                <w:rFonts w:eastAsia="Times New Roman"/>
                <w:sz w:val="20"/>
                <w:szCs w:val="20"/>
              </w:rPr>
            </w:pPr>
          </w:p>
        </w:tc>
        <w:tc>
          <w:tcPr>
            <w:tcW w:w="0" w:type="auto"/>
            <w:gridSpan w:val="3"/>
            <w:vAlign w:val="center"/>
            <w:hideMark/>
          </w:tcPr>
          <w:p w14:paraId="56D74E6D" w14:textId="77777777" w:rsidR="00000000" w:rsidRDefault="00A173A8">
            <w:pPr>
              <w:spacing w:after="100"/>
              <w:rPr>
                <w:rFonts w:eastAsia="Times New Roman"/>
                <w:sz w:val="20"/>
                <w:szCs w:val="20"/>
              </w:rPr>
            </w:pPr>
          </w:p>
        </w:tc>
        <w:tc>
          <w:tcPr>
            <w:tcW w:w="0" w:type="auto"/>
            <w:gridSpan w:val="3"/>
            <w:vAlign w:val="center"/>
            <w:hideMark/>
          </w:tcPr>
          <w:p w14:paraId="1CE89480" w14:textId="77777777" w:rsidR="00000000" w:rsidRDefault="00A173A8">
            <w:pPr>
              <w:spacing w:after="100"/>
              <w:rPr>
                <w:rFonts w:eastAsia="Times New Roman"/>
                <w:sz w:val="20"/>
                <w:szCs w:val="20"/>
              </w:rPr>
            </w:pPr>
          </w:p>
        </w:tc>
        <w:tc>
          <w:tcPr>
            <w:tcW w:w="0" w:type="auto"/>
            <w:gridSpan w:val="3"/>
            <w:vAlign w:val="center"/>
            <w:hideMark/>
          </w:tcPr>
          <w:p w14:paraId="2195B15E" w14:textId="77777777" w:rsidR="00000000" w:rsidRDefault="00A173A8">
            <w:pPr>
              <w:spacing w:after="100"/>
              <w:rPr>
                <w:rFonts w:eastAsia="Times New Roman"/>
                <w:sz w:val="20"/>
                <w:szCs w:val="20"/>
              </w:rPr>
            </w:pPr>
          </w:p>
        </w:tc>
        <w:tc>
          <w:tcPr>
            <w:tcW w:w="0" w:type="auto"/>
            <w:gridSpan w:val="3"/>
            <w:vAlign w:val="center"/>
            <w:hideMark/>
          </w:tcPr>
          <w:p w14:paraId="06C225D7" w14:textId="77777777" w:rsidR="00000000" w:rsidRDefault="00A173A8">
            <w:pPr>
              <w:spacing w:after="100"/>
              <w:rPr>
                <w:rFonts w:eastAsia="Times New Roman"/>
                <w:sz w:val="20"/>
                <w:szCs w:val="20"/>
              </w:rPr>
            </w:pPr>
          </w:p>
        </w:tc>
        <w:tc>
          <w:tcPr>
            <w:tcW w:w="0" w:type="auto"/>
            <w:gridSpan w:val="3"/>
            <w:vAlign w:val="center"/>
            <w:hideMark/>
          </w:tcPr>
          <w:p w14:paraId="61324F8B" w14:textId="77777777" w:rsidR="00000000" w:rsidRDefault="00A173A8">
            <w:pPr>
              <w:spacing w:after="100"/>
              <w:rPr>
                <w:rFonts w:eastAsia="Times New Roman"/>
                <w:sz w:val="20"/>
                <w:szCs w:val="20"/>
              </w:rPr>
            </w:pPr>
          </w:p>
        </w:tc>
        <w:tc>
          <w:tcPr>
            <w:tcW w:w="0" w:type="auto"/>
            <w:vAlign w:val="center"/>
            <w:hideMark/>
          </w:tcPr>
          <w:p w14:paraId="6222684D" w14:textId="77777777" w:rsidR="00000000" w:rsidRDefault="00A173A8">
            <w:pPr>
              <w:spacing w:after="100"/>
              <w:rPr>
                <w:rFonts w:eastAsia="Times New Roman"/>
                <w:sz w:val="20"/>
                <w:szCs w:val="20"/>
              </w:rPr>
            </w:pPr>
          </w:p>
        </w:tc>
        <w:tc>
          <w:tcPr>
            <w:tcW w:w="0" w:type="auto"/>
            <w:vAlign w:val="center"/>
            <w:hideMark/>
          </w:tcPr>
          <w:p w14:paraId="5D0845E3" w14:textId="77777777" w:rsidR="00000000" w:rsidRDefault="00A173A8">
            <w:pPr>
              <w:spacing w:after="100"/>
              <w:rPr>
                <w:rFonts w:eastAsia="Times New Roman"/>
                <w:sz w:val="20"/>
                <w:szCs w:val="20"/>
              </w:rPr>
            </w:pPr>
          </w:p>
        </w:tc>
        <w:tc>
          <w:tcPr>
            <w:tcW w:w="0" w:type="auto"/>
            <w:gridSpan w:val="3"/>
            <w:vAlign w:val="center"/>
            <w:hideMark/>
          </w:tcPr>
          <w:p w14:paraId="216DEF3B" w14:textId="77777777" w:rsidR="00000000" w:rsidRDefault="00A173A8">
            <w:pPr>
              <w:spacing w:after="100"/>
              <w:rPr>
                <w:rFonts w:eastAsia="Times New Roman"/>
                <w:sz w:val="20"/>
                <w:szCs w:val="20"/>
              </w:rPr>
            </w:pPr>
          </w:p>
        </w:tc>
        <w:tc>
          <w:tcPr>
            <w:tcW w:w="0" w:type="auto"/>
            <w:vAlign w:val="center"/>
            <w:hideMark/>
          </w:tcPr>
          <w:p w14:paraId="117F7524" w14:textId="77777777" w:rsidR="00000000" w:rsidRDefault="00A173A8">
            <w:pPr>
              <w:spacing w:after="100"/>
              <w:rPr>
                <w:rFonts w:eastAsia="Times New Roman"/>
                <w:sz w:val="20"/>
                <w:szCs w:val="20"/>
              </w:rPr>
            </w:pPr>
          </w:p>
        </w:tc>
        <w:tc>
          <w:tcPr>
            <w:tcW w:w="0" w:type="auto"/>
            <w:gridSpan w:val="3"/>
            <w:vAlign w:val="center"/>
            <w:hideMark/>
          </w:tcPr>
          <w:p w14:paraId="61BD9D39" w14:textId="77777777" w:rsidR="00000000" w:rsidRDefault="00A173A8">
            <w:pPr>
              <w:spacing w:after="100"/>
              <w:rPr>
                <w:rFonts w:eastAsia="Times New Roman"/>
                <w:sz w:val="20"/>
                <w:szCs w:val="20"/>
              </w:rPr>
            </w:pPr>
          </w:p>
        </w:tc>
        <w:tc>
          <w:tcPr>
            <w:tcW w:w="0" w:type="auto"/>
            <w:gridSpan w:val="3"/>
            <w:vAlign w:val="center"/>
            <w:hideMark/>
          </w:tcPr>
          <w:p w14:paraId="424587EC" w14:textId="77777777" w:rsidR="00000000" w:rsidRDefault="00A173A8">
            <w:pPr>
              <w:spacing w:after="100"/>
              <w:rPr>
                <w:rFonts w:eastAsia="Times New Roman"/>
                <w:sz w:val="20"/>
                <w:szCs w:val="20"/>
              </w:rPr>
            </w:pPr>
          </w:p>
        </w:tc>
        <w:tc>
          <w:tcPr>
            <w:tcW w:w="0" w:type="auto"/>
            <w:gridSpan w:val="3"/>
            <w:vAlign w:val="center"/>
            <w:hideMark/>
          </w:tcPr>
          <w:p w14:paraId="007C3803" w14:textId="77777777" w:rsidR="00000000" w:rsidRDefault="00A173A8">
            <w:pPr>
              <w:spacing w:after="100"/>
              <w:rPr>
                <w:rFonts w:eastAsia="Times New Roman"/>
                <w:sz w:val="20"/>
                <w:szCs w:val="20"/>
              </w:rPr>
            </w:pPr>
          </w:p>
        </w:tc>
        <w:tc>
          <w:tcPr>
            <w:tcW w:w="0" w:type="auto"/>
            <w:gridSpan w:val="3"/>
            <w:vAlign w:val="center"/>
            <w:hideMark/>
          </w:tcPr>
          <w:p w14:paraId="387D854F" w14:textId="77777777" w:rsidR="00000000" w:rsidRDefault="00A173A8">
            <w:pPr>
              <w:spacing w:after="100"/>
              <w:rPr>
                <w:rFonts w:eastAsia="Times New Roman"/>
                <w:sz w:val="20"/>
                <w:szCs w:val="20"/>
              </w:rPr>
            </w:pPr>
          </w:p>
        </w:tc>
        <w:tc>
          <w:tcPr>
            <w:tcW w:w="0" w:type="auto"/>
            <w:gridSpan w:val="3"/>
            <w:vAlign w:val="center"/>
            <w:hideMark/>
          </w:tcPr>
          <w:p w14:paraId="427006B6" w14:textId="77777777" w:rsidR="00000000" w:rsidRDefault="00A173A8">
            <w:pPr>
              <w:spacing w:after="100"/>
              <w:rPr>
                <w:rFonts w:eastAsia="Times New Roman"/>
                <w:sz w:val="20"/>
                <w:szCs w:val="20"/>
              </w:rPr>
            </w:pPr>
          </w:p>
        </w:tc>
        <w:tc>
          <w:tcPr>
            <w:tcW w:w="0" w:type="auto"/>
            <w:gridSpan w:val="2"/>
            <w:vAlign w:val="center"/>
            <w:hideMark/>
          </w:tcPr>
          <w:p w14:paraId="5EBE3F58" w14:textId="77777777" w:rsidR="00000000" w:rsidRDefault="00A173A8">
            <w:pPr>
              <w:spacing w:after="100"/>
              <w:rPr>
                <w:rFonts w:eastAsia="Times New Roman"/>
                <w:sz w:val="20"/>
                <w:szCs w:val="20"/>
              </w:rPr>
            </w:pPr>
          </w:p>
        </w:tc>
      </w:tr>
      <w:tr w:rsidR="00000000" w14:paraId="0308FA6B" w14:textId="77777777">
        <w:trPr>
          <w:divId w:val="261111824"/>
        </w:trPr>
        <w:tc>
          <w:tcPr>
            <w:tcW w:w="0" w:type="auto"/>
            <w:gridSpan w:val="3"/>
            <w:shd w:val="clear" w:color="auto" w:fill="CCEEFF"/>
            <w:tcMar>
              <w:top w:w="30" w:type="dxa"/>
              <w:left w:w="20" w:type="dxa"/>
              <w:bottom w:w="30" w:type="dxa"/>
              <w:right w:w="20" w:type="dxa"/>
            </w:tcMar>
            <w:vAlign w:val="center"/>
            <w:hideMark/>
          </w:tcPr>
          <w:p w14:paraId="2BF5FA8F" w14:textId="77777777" w:rsidR="00000000" w:rsidRDefault="00A173A8">
            <w:pPr>
              <w:spacing w:after="100"/>
              <w:rPr>
                <w:rFonts w:eastAsia="Times New Roman"/>
              </w:rPr>
            </w:pPr>
            <w:r>
              <w:rPr>
                <w:rFonts w:eastAsia="Times New Roman"/>
                <w:color w:val="000000"/>
                <w:sz w:val="20"/>
                <w:szCs w:val="20"/>
              </w:rPr>
              <w:t>Net income per basic common share</w:t>
            </w:r>
          </w:p>
        </w:tc>
        <w:tc>
          <w:tcPr>
            <w:tcW w:w="0" w:type="auto"/>
            <w:gridSpan w:val="3"/>
            <w:shd w:val="clear" w:color="auto" w:fill="CCEEFF"/>
            <w:tcMar>
              <w:top w:w="0" w:type="dxa"/>
              <w:left w:w="20" w:type="dxa"/>
              <w:bottom w:w="0" w:type="dxa"/>
              <w:right w:w="20" w:type="dxa"/>
            </w:tcMar>
            <w:vAlign w:val="center"/>
            <w:hideMark/>
          </w:tcPr>
          <w:p w14:paraId="169A11D9"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AB79C4"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606B1610" w14:textId="77777777" w:rsidR="00000000" w:rsidRDefault="00A173A8">
            <w:pPr>
              <w:spacing w:after="100"/>
              <w:jc w:val="right"/>
              <w:rPr>
                <w:rFonts w:eastAsia="Times New Roman"/>
              </w:rPr>
            </w:pPr>
            <w:r>
              <w:rPr>
                <w:rFonts w:eastAsia="Times New Roman"/>
                <w:b/>
                <w:bCs/>
                <w:color w:val="000000"/>
                <w:sz w:val="20"/>
                <w:szCs w:val="20"/>
              </w:rPr>
              <w:t>4.98</w:t>
            </w:r>
          </w:p>
        </w:tc>
        <w:tc>
          <w:tcPr>
            <w:tcW w:w="0" w:type="auto"/>
            <w:gridSpan w:val="3"/>
            <w:shd w:val="clear" w:color="auto" w:fill="CCEEFF"/>
            <w:tcMar>
              <w:top w:w="0" w:type="dxa"/>
              <w:left w:w="20" w:type="dxa"/>
              <w:bottom w:w="0" w:type="dxa"/>
              <w:right w:w="20" w:type="dxa"/>
            </w:tcMar>
            <w:vAlign w:val="center"/>
            <w:hideMark/>
          </w:tcPr>
          <w:p w14:paraId="073A570E"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2A757F"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BEA78EE" w14:textId="77777777" w:rsidR="00000000" w:rsidRDefault="00A173A8">
            <w:pPr>
              <w:spacing w:after="100"/>
              <w:jc w:val="right"/>
              <w:rPr>
                <w:rFonts w:eastAsia="Times New Roman"/>
              </w:rPr>
            </w:pPr>
            <w:r>
              <w:rPr>
                <w:rFonts w:eastAsia="Times New Roman"/>
                <w:color w:val="000000"/>
                <w:sz w:val="20"/>
                <w:szCs w:val="20"/>
              </w:rPr>
              <w:t>7.65</w:t>
            </w:r>
          </w:p>
        </w:tc>
        <w:tc>
          <w:tcPr>
            <w:tcW w:w="0" w:type="auto"/>
            <w:gridSpan w:val="3"/>
            <w:shd w:val="clear" w:color="auto" w:fill="CCEEFF"/>
            <w:tcMar>
              <w:top w:w="0" w:type="dxa"/>
              <w:left w:w="20" w:type="dxa"/>
              <w:bottom w:w="0" w:type="dxa"/>
              <w:right w:w="20" w:type="dxa"/>
            </w:tcMar>
            <w:vAlign w:val="center"/>
            <w:hideMark/>
          </w:tcPr>
          <w:p w14:paraId="7D2E1C99"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D0C0720" w14:textId="77777777" w:rsidR="00000000" w:rsidRDefault="00A173A8">
            <w:pPr>
              <w:spacing w:after="100"/>
              <w:jc w:val="right"/>
              <w:rPr>
                <w:rFonts w:eastAsia="Times New Roman"/>
              </w:rPr>
            </w:pPr>
            <w:r>
              <w:rPr>
                <w:rFonts w:eastAsia="Times New Roman"/>
                <w:color w:val="000000"/>
                <w:sz w:val="20"/>
                <w:szCs w:val="20"/>
              </w:rPr>
              <w:t>(35)</w:t>
            </w:r>
          </w:p>
        </w:tc>
        <w:tc>
          <w:tcPr>
            <w:tcW w:w="0" w:type="auto"/>
            <w:gridSpan w:val="3"/>
            <w:shd w:val="clear" w:color="auto" w:fill="CCEEFF"/>
            <w:tcMar>
              <w:top w:w="0" w:type="dxa"/>
              <w:left w:w="20" w:type="dxa"/>
              <w:bottom w:w="0" w:type="dxa"/>
              <w:right w:w="20" w:type="dxa"/>
            </w:tcMar>
            <w:vAlign w:val="center"/>
            <w:hideMark/>
          </w:tcPr>
          <w:p w14:paraId="017A460C"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DDF1BB"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3F8F75B1" w14:textId="77777777" w:rsidR="00000000" w:rsidRDefault="00A173A8">
            <w:pPr>
              <w:spacing w:after="100"/>
              <w:jc w:val="right"/>
              <w:rPr>
                <w:rFonts w:eastAsia="Times New Roman"/>
              </w:rPr>
            </w:pPr>
            <w:r>
              <w:rPr>
                <w:rFonts w:eastAsia="Times New Roman"/>
                <w:b/>
                <w:bCs/>
                <w:color w:val="000000"/>
                <w:sz w:val="20"/>
                <w:szCs w:val="20"/>
              </w:rPr>
              <w:t>10.65</w:t>
            </w:r>
          </w:p>
        </w:tc>
        <w:tc>
          <w:tcPr>
            <w:tcW w:w="0" w:type="auto"/>
            <w:gridSpan w:val="3"/>
            <w:shd w:val="clear" w:color="auto" w:fill="CCEEFF"/>
            <w:tcMar>
              <w:top w:w="0" w:type="dxa"/>
              <w:left w:w="20" w:type="dxa"/>
              <w:bottom w:w="0" w:type="dxa"/>
              <w:right w:w="20" w:type="dxa"/>
            </w:tcMar>
            <w:vAlign w:val="center"/>
            <w:hideMark/>
          </w:tcPr>
          <w:p w14:paraId="7DA2D5AC"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EC2789"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0B59CF2" w14:textId="77777777" w:rsidR="00000000" w:rsidRDefault="00A173A8">
            <w:pPr>
              <w:spacing w:after="100"/>
              <w:jc w:val="right"/>
              <w:rPr>
                <w:rFonts w:eastAsia="Times New Roman"/>
              </w:rPr>
            </w:pPr>
            <w:r>
              <w:rPr>
                <w:rFonts w:eastAsia="Times New Roman"/>
                <w:color w:val="000000"/>
                <w:sz w:val="20"/>
                <w:szCs w:val="20"/>
              </w:rPr>
              <w:t>14.70</w:t>
            </w:r>
          </w:p>
        </w:tc>
        <w:tc>
          <w:tcPr>
            <w:tcW w:w="0" w:type="auto"/>
            <w:vAlign w:val="center"/>
            <w:hideMark/>
          </w:tcPr>
          <w:p w14:paraId="5252B23A" w14:textId="77777777" w:rsidR="00000000" w:rsidRDefault="00A173A8">
            <w:pPr>
              <w:spacing w:after="100"/>
              <w:jc w:val="right"/>
              <w:rPr>
                <w:rFonts w:eastAsia="Times New Roman"/>
              </w:rPr>
            </w:pPr>
          </w:p>
        </w:tc>
        <w:tc>
          <w:tcPr>
            <w:tcW w:w="0" w:type="auto"/>
            <w:vAlign w:val="center"/>
            <w:hideMark/>
          </w:tcPr>
          <w:p w14:paraId="498C2B6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699C35" w14:textId="77777777" w:rsidR="00000000" w:rsidRDefault="00A173A8">
            <w:pPr>
              <w:spacing w:after="100"/>
              <w:rPr>
                <w:rFonts w:eastAsia="Times New Roman"/>
                <w:sz w:val="20"/>
                <w:szCs w:val="20"/>
              </w:rPr>
            </w:pPr>
          </w:p>
        </w:tc>
        <w:tc>
          <w:tcPr>
            <w:tcW w:w="0" w:type="auto"/>
            <w:vAlign w:val="center"/>
            <w:hideMark/>
          </w:tcPr>
          <w:p w14:paraId="6B9A60E9" w14:textId="77777777" w:rsidR="00000000" w:rsidRDefault="00A173A8">
            <w:pPr>
              <w:spacing w:after="100"/>
              <w:rPr>
                <w:rFonts w:eastAsia="Times New Roman"/>
                <w:sz w:val="20"/>
                <w:szCs w:val="20"/>
              </w:rPr>
            </w:pPr>
          </w:p>
        </w:tc>
        <w:tc>
          <w:tcPr>
            <w:tcW w:w="0" w:type="auto"/>
            <w:gridSpan w:val="3"/>
            <w:vAlign w:val="center"/>
            <w:hideMark/>
          </w:tcPr>
          <w:p w14:paraId="1C84CBAC" w14:textId="77777777" w:rsidR="00000000" w:rsidRDefault="00A173A8">
            <w:pPr>
              <w:spacing w:after="100"/>
              <w:rPr>
                <w:rFonts w:eastAsia="Times New Roman"/>
                <w:sz w:val="20"/>
                <w:szCs w:val="20"/>
              </w:rPr>
            </w:pPr>
          </w:p>
        </w:tc>
        <w:tc>
          <w:tcPr>
            <w:tcW w:w="0" w:type="auto"/>
            <w:gridSpan w:val="3"/>
            <w:vAlign w:val="center"/>
            <w:hideMark/>
          </w:tcPr>
          <w:p w14:paraId="2D86573C" w14:textId="77777777" w:rsidR="00000000" w:rsidRDefault="00A173A8">
            <w:pPr>
              <w:spacing w:after="100"/>
              <w:rPr>
                <w:rFonts w:eastAsia="Times New Roman"/>
                <w:sz w:val="20"/>
                <w:szCs w:val="20"/>
              </w:rPr>
            </w:pPr>
          </w:p>
        </w:tc>
        <w:tc>
          <w:tcPr>
            <w:tcW w:w="0" w:type="auto"/>
            <w:gridSpan w:val="3"/>
            <w:vAlign w:val="center"/>
            <w:hideMark/>
          </w:tcPr>
          <w:p w14:paraId="15CD52CB"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00EDFFDB" w14:textId="77777777" w:rsidR="00000000" w:rsidRDefault="00A173A8">
            <w:pPr>
              <w:spacing w:after="100"/>
              <w:jc w:val="right"/>
              <w:rPr>
                <w:rFonts w:eastAsia="Times New Roman"/>
              </w:rPr>
            </w:pPr>
            <w:r>
              <w:rPr>
                <w:rFonts w:eastAsia="Times New Roman"/>
                <w:color w:val="000000"/>
                <w:sz w:val="20"/>
                <w:szCs w:val="20"/>
              </w:rPr>
              <w:t>(28)</w:t>
            </w:r>
          </w:p>
        </w:tc>
        <w:tc>
          <w:tcPr>
            <w:tcW w:w="0" w:type="auto"/>
            <w:gridSpan w:val="3"/>
            <w:vAlign w:val="center"/>
            <w:hideMark/>
          </w:tcPr>
          <w:p w14:paraId="457D1A53" w14:textId="77777777" w:rsidR="00000000" w:rsidRDefault="00A173A8">
            <w:pPr>
              <w:spacing w:after="100"/>
              <w:jc w:val="right"/>
              <w:rPr>
                <w:rFonts w:eastAsia="Times New Roman"/>
              </w:rPr>
            </w:pPr>
          </w:p>
        </w:tc>
        <w:tc>
          <w:tcPr>
            <w:tcW w:w="0" w:type="auto"/>
            <w:gridSpan w:val="2"/>
            <w:vAlign w:val="center"/>
            <w:hideMark/>
          </w:tcPr>
          <w:p w14:paraId="6B67AA9B" w14:textId="77777777" w:rsidR="00000000" w:rsidRDefault="00A173A8">
            <w:pPr>
              <w:spacing w:after="100"/>
              <w:rPr>
                <w:rFonts w:eastAsia="Times New Roman"/>
                <w:sz w:val="20"/>
                <w:szCs w:val="20"/>
              </w:rPr>
            </w:pPr>
          </w:p>
        </w:tc>
      </w:tr>
      <w:tr w:rsidR="00000000" w14:paraId="10651EAD" w14:textId="77777777">
        <w:trPr>
          <w:divId w:val="261111824"/>
        </w:trPr>
        <w:tc>
          <w:tcPr>
            <w:tcW w:w="0" w:type="auto"/>
            <w:gridSpan w:val="3"/>
            <w:shd w:val="clear" w:color="auto" w:fill="FFFFFF"/>
            <w:tcMar>
              <w:top w:w="30" w:type="dxa"/>
              <w:left w:w="20" w:type="dxa"/>
              <w:bottom w:w="30" w:type="dxa"/>
              <w:right w:w="20" w:type="dxa"/>
            </w:tcMar>
            <w:vAlign w:val="center"/>
            <w:hideMark/>
          </w:tcPr>
          <w:p w14:paraId="0A7B82F6" w14:textId="77777777" w:rsidR="00000000" w:rsidRDefault="00A173A8">
            <w:pPr>
              <w:spacing w:after="100"/>
              <w:rPr>
                <w:rFonts w:eastAsia="Times New Roman"/>
              </w:rPr>
            </w:pPr>
            <w:r>
              <w:rPr>
                <w:rFonts w:eastAsia="Times New Roman"/>
                <w:b/>
                <w:bCs/>
                <w:color w:val="000000"/>
                <w:sz w:val="20"/>
                <w:szCs w:val="20"/>
              </w:rPr>
              <w:t>Diluted earnings per common share:</w:t>
            </w:r>
          </w:p>
        </w:tc>
        <w:tc>
          <w:tcPr>
            <w:tcW w:w="0" w:type="auto"/>
            <w:gridSpan w:val="3"/>
            <w:shd w:val="clear" w:color="auto" w:fill="FFFFFF"/>
            <w:tcMar>
              <w:top w:w="0" w:type="dxa"/>
              <w:left w:w="20" w:type="dxa"/>
              <w:bottom w:w="0" w:type="dxa"/>
              <w:right w:w="20" w:type="dxa"/>
            </w:tcMar>
            <w:vAlign w:val="center"/>
            <w:hideMark/>
          </w:tcPr>
          <w:p w14:paraId="3F5BD1AA"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873D5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4A08CE"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140" w:type="dxa"/>
            </w:tcMar>
            <w:vAlign w:val="center"/>
            <w:hideMark/>
          </w:tcPr>
          <w:p w14:paraId="76408F8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CE9C2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48B4D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4DA86B"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42D95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984ECC"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13B571" w14:textId="77777777" w:rsidR="00000000" w:rsidRDefault="00A173A8">
            <w:pPr>
              <w:spacing w:after="100"/>
              <w:rPr>
                <w:rFonts w:eastAsia="Times New Roman"/>
                <w:sz w:val="20"/>
                <w:szCs w:val="20"/>
              </w:rPr>
            </w:pPr>
          </w:p>
        </w:tc>
        <w:tc>
          <w:tcPr>
            <w:tcW w:w="0" w:type="auto"/>
            <w:vAlign w:val="center"/>
            <w:hideMark/>
          </w:tcPr>
          <w:p w14:paraId="6C244E8B" w14:textId="77777777" w:rsidR="00000000" w:rsidRDefault="00A173A8">
            <w:pPr>
              <w:spacing w:after="100"/>
              <w:rPr>
                <w:rFonts w:eastAsia="Times New Roman"/>
                <w:sz w:val="20"/>
                <w:szCs w:val="20"/>
              </w:rPr>
            </w:pPr>
          </w:p>
        </w:tc>
        <w:tc>
          <w:tcPr>
            <w:tcW w:w="0" w:type="auto"/>
            <w:vAlign w:val="center"/>
            <w:hideMark/>
          </w:tcPr>
          <w:p w14:paraId="47E627E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969705" w14:textId="77777777" w:rsidR="00000000" w:rsidRDefault="00A173A8">
            <w:pPr>
              <w:spacing w:after="100"/>
              <w:rPr>
                <w:rFonts w:eastAsia="Times New Roman"/>
                <w:sz w:val="20"/>
                <w:szCs w:val="20"/>
              </w:rPr>
            </w:pPr>
          </w:p>
        </w:tc>
        <w:tc>
          <w:tcPr>
            <w:tcW w:w="0" w:type="auto"/>
            <w:vAlign w:val="center"/>
            <w:hideMark/>
          </w:tcPr>
          <w:p w14:paraId="232C988C" w14:textId="77777777" w:rsidR="00000000" w:rsidRDefault="00A173A8">
            <w:pPr>
              <w:spacing w:after="100"/>
              <w:rPr>
                <w:rFonts w:eastAsia="Times New Roman"/>
                <w:sz w:val="20"/>
                <w:szCs w:val="20"/>
              </w:rPr>
            </w:pPr>
          </w:p>
        </w:tc>
        <w:tc>
          <w:tcPr>
            <w:tcW w:w="0" w:type="auto"/>
            <w:gridSpan w:val="3"/>
            <w:vAlign w:val="center"/>
            <w:hideMark/>
          </w:tcPr>
          <w:p w14:paraId="00E504C3" w14:textId="77777777" w:rsidR="00000000" w:rsidRDefault="00A173A8">
            <w:pPr>
              <w:spacing w:after="100"/>
              <w:rPr>
                <w:rFonts w:eastAsia="Times New Roman"/>
                <w:sz w:val="20"/>
                <w:szCs w:val="20"/>
              </w:rPr>
            </w:pPr>
          </w:p>
        </w:tc>
        <w:tc>
          <w:tcPr>
            <w:tcW w:w="0" w:type="auto"/>
            <w:gridSpan w:val="3"/>
            <w:vAlign w:val="center"/>
            <w:hideMark/>
          </w:tcPr>
          <w:p w14:paraId="6CF44E68" w14:textId="77777777" w:rsidR="00000000" w:rsidRDefault="00A173A8">
            <w:pPr>
              <w:spacing w:after="100"/>
              <w:rPr>
                <w:rFonts w:eastAsia="Times New Roman"/>
                <w:sz w:val="20"/>
                <w:szCs w:val="20"/>
              </w:rPr>
            </w:pPr>
          </w:p>
        </w:tc>
        <w:tc>
          <w:tcPr>
            <w:tcW w:w="0" w:type="auto"/>
            <w:gridSpan w:val="3"/>
            <w:vAlign w:val="center"/>
            <w:hideMark/>
          </w:tcPr>
          <w:p w14:paraId="7370D40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14:paraId="4A822937" w14:textId="77777777" w:rsidR="00000000" w:rsidRDefault="00A173A8">
            <w:pPr>
              <w:spacing w:after="100"/>
              <w:rPr>
                <w:rFonts w:eastAsia="Times New Roman"/>
                <w:sz w:val="20"/>
                <w:szCs w:val="20"/>
              </w:rPr>
            </w:pPr>
          </w:p>
        </w:tc>
        <w:tc>
          <w:tcPr>
            <w:tcW w:w="0" w:type="auto"/>
            <w:gridSpan w:val="3"/>
            <w:vAlign w:val="center"/>
            <w:hideMark/>
          </w:tcPr>
          <w:p w14:paraId="7E7410BF" w14:textId="77777777" w:rsidR="00000000" w:rsidRDefault="00A173A8">
            <w:pPr>
              <w:spacing w:after="100"/>
              <w:rPr>
                <w:rFonts w:eastAsia="Times New Roman"/>
                <w:sz w:val="20"/>
                <w:szCs w:val="20"/>
              </w:rPr>
            </w:pPr>
          </w:p>
        </w:tc>
        <w:tc>
          <w:tcPr>
            <w:tcW w:w="0" w:type="auto"/>
            <w:gridSpan w:val="2"/>
            <w:vAlign w:val="center"/>
            <w:hideMark/>
          </w:tcPr>
          <w:p w14:paraId="45B3738F" w14:textId="77777777" w:rsidR="00000000" w:rsidRDefault="00A173A8">
            <w:pPr>
              <w:spacing w:after="100"/>
              <w:rPr>
                <w:rFonts w:eastAsia="Times New Roman"/>
                <w:sz w:val="20"/>
                <w:szCs w:val="20"/>
              </w:rPr>
            </w:pPr>
          </w:p>
        </w:tc>
      </w:tr>
      <w:tr w:rsidR="00000000" w14:paraId="08870933" w14:textId="77777777">
        <w:trPr>
          <w:divId w:val="261111824"/>
        </w:trPr>
        <w:tc>
          <w:tcPr>
            <w:tcW w:w="0" w:type="auto"/>
            <w:gridSpan w:val="3"/>
            <w:shd w:val="clear" w:color="auto" w:fill="CCEEFF"/>
            <w:tcMar>
              <w:top w:w="30" w:type="dxa"/>
              <w:left w:w="20" w:type="dxa"/>
              <w:bottom w:w="30" w:type="dxa"/>
              <w:right w:w="20" w:type="dxa"/>
            </w:tcMar>
            <w:vAlign w:val="center"/>
            <w:hideMark/>
          </w:tcPr>
          <w:p w14:paraId="125691A4" w14:textId="77777777" w:rsidR="00000000" w:rsidRDefault="00A173A8">
            <w:pPr>
              <w:spacing w:after="100"/>
              <w:rPr>
                <w:rFonts w:eastAsia="Times New Roman"/>
              </w:rPr>
            </w:pPr>
            <w:r>
              <w:rPr>
                <w:rFonts w:eastAsia="Times New Roman"/>
                <w:color w:val="000000"/>
                <w:sz w:val="20"/>
                <w:szCs w:val="20"/>
              </w:rPr>
              <w:t>Net income from continuing operations</w:t>
            </w:r>
          </w:p>
        </w:tc>
        <w:tc>
          <w:tcPr>
            <w:tcW w:w="0" w:type="auto"/>
            <w:gridSpan w:val="3"/>
            <w:shd w:val="clear" w:color="auto" w:fill="CCEEFF"/>
            <w:tcMar>
              <w:top w:w="0" w:type="dxa"/>
              <w:left w:w="20" w:type="dxa"/>
              <w:bottom w:w="0" w:type="dxa"/>
              <w:right w:w="20" w:type="dxa"/>
            </w:tcMar>
            <w:vAlign w:val="center"/>
            <w:hideMark/>
          </w:tcPr>
          <w:p w14:paraId="1E1DFC4C"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F64C087"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73B01D6" w14:textId="77777777" w:rsidR="00000000" w:rsidRDefault="00A173A8">
            <w:pPr>
              <w:spacing w:after="100"/>
              <w:jc w:val="right"/>
              <w:rPr>
                <w:rFonts w:eastAsia="Times New Roman"/>
              </w:rPr>
            </w:pPr>
            <w:r>
              <w:rPr>
                <w:rFonts w:eastAsia="Times New Roman"/>
                <w:b/>
                <w:bCs/>
                <w:color w:val="000000"/>
                <w:sz w:val="20"/>
                <w:szCs w:val="20"/>
              </w:rPr>
              <w:t>4.96</w:t>
            </w:r>
          </w:p>
        </w:tc>
        <w:tc>
          <w:tcPr>
            <w:tcW w:w="0" w:type="auto"/>
            <w:gridSpan w:val="3"/>
            <w:shd w:val="clear" w:color="auto" w:fill="CCEEFF"/>
            <w:tcMar>
              <w:top w:w="0" w:type="dxa"/>
              <w:left w:w="20" w:type="dxa"/>
              <w:bottom w:w="0" w:type="dxa"/>
              <w:right w:w="20" w:type="dxa"/>
            </w:tcMar>
            <w:vAlign w:val="center"/>
            <w:hideMark/>
          </w:tcPr>
          <w:p w14:paraId="0DC26642"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5D99A96"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80C5791" w14:textId="77777777" w:rsidR="00000000" w:rsidRDefault="00A173A8">
            <w:pPr>
              <w:spacing w:after="100"/>
              <w:jc w:val="right"/>
              <w:rPr>
                <w:rFonts w:eastAsia="Times New Roman"/>
              </w:rPr>
            </w:pPr>
            <w:r>
              <w:rPr>
                <w:rFonts w:eastAsia="Times New Roman"/>
                <w:color w:val="000000"/>
                <w:sz w:val="20"/>
                <w:szCs w:val="20"/>
              </w:rPr>
              <w:t>7.62</w:t>
            </w:r>
          </w:p>
        </w:tc>
        <w:tc>
          <w:tcPr>
            <w:tcW w:w="0" w:type="auto"/>
            <w:gridSpan w:val="3"/>
            <w:shd w:val="clear" w:color="auto" w:fill="CCEEFF"/>
            <w:tcMar>
              <w:top w:w="0" w:type="dxa"/>
              <w:left w:w="20" w:type="dxa"/>
              <w:bottom w:w="0" w:type="dxa"/>
              <w:right w:w="20" w:type="dxa"/>
            </w:tcMar>
            <w:vAlign w:val="center"/>
            <w:hideMark/>
          </w:tcPr>
          <w:p w14:paraId="4C881EE1"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D158956" w14:textId="77777777" w:rsidR="00000000" w:rsidRDefault="00A173A8">
            <w:pPr>
              <w:spacing w:after="100"/>
              <w:jc w:val="right"/>
              <w:rPr>
                <w:rFonts w:eastAsia="Times New Roman"/>
              </w:rPr>
            </w:pPr>
            <w:r>
              <w:rPr>
                <w:rFonts w:eastAsia="Times New Roman"/>
                <w:color w:val="000000"/>
                <w:sz w:val="20"/>
                <w:szCs w:val="20"/>
              </w:rPr>
              <w:t>(35)%</w:t>
            </w:r>
          </w:p>
        </w:tc>
        <w:tc>
          <w:tcPr>
            <w:tcW w:w="0" w:type="auto"/>
            <w:gridSpan w:val="3"/>
            <w:shd w:val="clear" w:color="auto" w:fill="CCEEFF"/>
            <w:tcMar>
              <w:top w:w="0" w:type="dxa"/>
              <w:left w:w="20" w:type="dxa"/>
              <w:bottom w:w="0" w:type="dxa"/>
              <w:right w:w="20" w:type="dxa"/>
            </w:tcMar>
            <w:vAlign w:val="center"/>
            <w:hideMark/>
          </w:tcPr>
          <w:p w14:paraId="5E427BC9"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793BC2A"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9A6718C" w14:textId="77777777" w:rsidR="00000000" w:rsidRDefault="00A173A8">
            <w:pPr>
              <w:spacing w:after="100"/>
              <w:jc w:val="right"/>
              <w:rPr>
                <w:rFonts w:eastAsia="Times New Roman"/>
              </w:rPr>
            </w:pPr>
            <w:r>
              <w:rPr>
                <w:rFonts w:eastAsia="Times New Roman"/>
                <w:b/>
                <w:bCs/>
                <w:color w:val="000000"/>
                <w:sz w:val="20"/>
                <w:szCs w:val="20"/>
              </w:rPr>
              <w:t>10.61</w:t>
            </w:r>
          </w:p>
        </w:tc>
        <w:tc>
          <w:tcPr>
            <w:tcW w:w="0" w:type="auto"/>
            <w:gridSpan w:val="3"/>
            <w:shd w:val="clear" w:color="auto" w:fill="CCEEFF"/>
            <w:tcMar>
              <w:top w:w="0" w:type="dxa"/>
              <w:left w:w="20" w:type="dxa"/>
              <w:bottom w:w="0" w:type="dxa"/>
              <w:right w:w="20" w:type="dxa"/>
            </w:tcMar>
            <w:vAlign w:val="center"/>
            <w:hideMark/>
          </w:tcPr>
          <w:p w14:paraId="415EDCFA"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F5049D8"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762DDA4D" w14:textId="77777777" w:rsidR="00000000" w:rsidRDefault="00A173A8">
            <w:pPr>
              <w:spacing w:after="100"/>
              <w:jc w:val="right"/>
              <w:rPr>
                <w:rFonts w:eastAsia="Times New Roman"/>
              </w:rPr>
            </w:pPr>
            <w:r>
              <w:rPr>
                <w:rFonts w:eastAsia="Times New Roman"/>
                <w:color w:val="000000"/>
                <w:sz w:val="20"/>
                <w:szCs w:val="20"/>
              </w:rPr>
              <w:t>14.65</w:t>
            </w:r>
          </w:p>
        </w:tc>
        <w:tc>
          <w:tcPr>
            <w:tcW w:w="0" w:type="auto"/>
            <w:vAlign w:val="center"/>
            <w:hideMark/>
          </w:tcPr>
          <w:p w14:paraId="581CBF78" w14:textId="77777777" w:rsidR="00000000" w:rsidRDefault="00A173A8">
            <w:pPr>
              <w:spacing w:after="100"/>
              <w:jc w:val="right"/>
              <w:rPr>
                <w:rFonts w:eastAsia="Times New Roman"/>
              </w:rPr>
            </w:pPr>
          </w:p>
        </w:tc>
        <w:tc>
          <w:tcPr>
            <w:tcW w:w="0" w:type="auto"/>
            <w:vAlign w:val="center"/>
            <w:hideMark/>
          </w:tcPr>
          <w:p w14:paraId="61EA566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019843" w14:textId="77777777" w:rsidR="00000000" w:rsidRDefault="00A173A8">
            <w:pPr>
              <w:spacing w:after="100"/>
              <w:rPr>
                <w:rFonts w:eastAsia="Times New Roman"/>
                <w:sz w:val="20"/>
                <w:szCs w:val="20"/>
              </w:rPr>
            </w:pPr>
          </w:p>
        </w:tc>
        <w:tc>
          <w:tcPr>
            <w:tcW w:w="0" w:type="auto"/>
            <w:vAlign w:val="center"/>
            <w:hideMark/>
          </w:tcPr>
          <w:p w14:paraId="363B434B" w14:textId="77777777" w:rsidR="00000000" w:rsidRDefault="00A173A8">
            <w:pPr>
              <w:spacing w:after="100"/>
              <w:rPr>
                <w:rFonts w:eastAsia="Times New Roman"/>
                <w:sz w:val="20"/>
                <w:szCs w:val="20"/>
              </w:rPr>
            </w:pPr>
          </w:p>
        </w:tc>
        <w:tc>
          <w:tcPr>
            <w:tcW w:w="0" w:type="auto"/>
            <w:gridSpan w:val="3"/>
            <w:vAlign w:val="center"/>
            <w:hideMark/>
          </w:tcPr>
          <w:p w14:paraId="1A915EF4" w14:textId="77777777" w:rsidR="00000000" w:rsidRDefault="00A173A8">
            <w:pPr>
              <w:spacing w:after="100"/>
              <w:rPr>
                <w:rFonts w:eastAsia="Times New Roman"/>
                <w:sz w:val="20"/>
                <w:szCs w:val="20"/>
              </w:rPr>
            </w:pPr>
          </w:p>
        </w:tc>
        <w:tc>
          <w:tcPr>
            <w:tcW w:w="0" w:type="auto"/>
            <w:gridSpan w:val="3"/>
            <w:vAlign w:val="center"/>
            <w:hideMark/>
          </w:tcPr>
          <w:p w14:paraId="55F46DC9" w14:textId="77777777" w:rsidR="00000000" w:rsidRDefault="00A173A8">
            <w:pPr>
              <w:spacing w:after="100"/>
              <w:rPr>
                <w:rFonts w:eastAsia="Times New Roman"/>
                <w:sz w:val="20"/>
                <w:szCs w:val="20"/>
              </w:rPr>
            </w:pPr>
          </w:p>
        </w:tc>
        <w:tc>
          <w:tcPr>
            <w:tcW w:w="0" w:type="auto"/>
            <w:gridSpan w:val="3"/>
            <w:vAlign w:val="center"/>
            <w:hideMark/>
          </w:tcPr>
          <w:p w14:paraId="1D24AC3C"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2F04913" w14:textId="77777777" w:rsidR="00000000" w:rsidRDefault="00A173A8">
            <w:pPr>
              <w:spacing w:after="100"/>
              <w:jc w:val="right"/>
              <w:rPr>
                <w:rFonts w:eastAsia="Times New Roman"/>
              </w:rPr>
            </w:pPr>
            <w:r>
              <w:rPr>
                <w:rFonts w:eastAsia="Times New Roman"/>
                <w:color w:val="000000"/>
                <w:sz w:val="20"/>
                <w:szCs w:val="20"/>
              </w:rPr>
              <w:t>(28)%</w:t>
            </w:r>
          </w:p>
        </w:tc>
        <w:tc>
          <w:tcPr>
            <w:tcW w:w="0" w:type="auto"/>
            <w:gridSpan w:val="3"/>
            <w:vAlign w:val="center"/>
            <w:hideMark/>
          </w:tcPr>
          <w:p w14:paraId="7730181E" w14:textId="77777777" w:rsidR="00000000" w:rsidRDefault="00A173A8">
            <w:pPr>
              <w:spacing w:after="100"/>
              <w:jc w:val="right"/>
              <w:rPr>
                <w:rFonts w:eastAsia="Times New Roman"/>
              </w:rPr>
            </w:pPr>
          </w:p>
        </w:tc>
        <w:tc>
          <w:tcPr>
            <w:tcW w:w="0" w:type="auto"/>
            <w:gridSpan w:val="2"/>
            <w:vAlign w:val="center"/>
            <w:hideMark/>
          </w:tcPr>
          <w:p w14:paraId="0B1A3C46" w14:textId="77777777" w:rsidR="00000000" w:rsidRDefault="00A173A8">
            <w:pPr>
              <w:spacing w:after="100"/>
              <w:rPr>
                <w:rFonts w:eastAsia="Times New Roman"/>
                <w:sz w:val="20"/>
                <w:szCs w:val="20"/>
              </w:rPr>
            </w:pPr>
          </w:p>
        </w:tc>
      </w:tr>
      <w:tr w:rsidR="00000000" w14:paraId="3E55F554" w14:textId="77777777">
        <w:trPr>
          <w:divId w:val="261111824"/>
        </w:trPr>
        <w:tc>
          <w:tcPr>
            <w:tcW w:w="0" w:type="auto"/>
            <w:gridSpan w:val="3"/>
            <w:vAlign w:val="center"/>
            <w:hideMark/>
          </w:tcPr>
          <w:p w14:paraId="3F788CBE" w14:textId="77777777" w:rsidR="00000000" w:rsidRDefault="00A173A8">
            <w:pPr>
              <w:spacing w:after="100"/>
              <w:rPr>
                <w:rFonts w:eastAsia="Times New Roman"/>
                <w:sz w:val="20"/>
                <w:szCs w:val="20"/>
              </w:rPr>
            </w:pPr>
          </w:p>
        </w:tc>
        <w:tc>
          <w:tcPr>
            <w:tcW w:w="0" w:type="auto"/>
            <w:gridSpan w:val="3"/>
            <w:vAlign w:val="center"/>
            <w:hideMark/>
          </w:tcPr>
          <w:p w14:paraId="0EBC3D1A" w14:textId="77777777" w:rsidR="00000000" w:rsidRDefault="00A173A8">
            <w:pPr>
              <w:spacing w:after="100"/>
              <w:rPr>
                <w:rFonts w:eastAsia="Times New Roman"/>
                <w:sz w:val="20"/>
                <w:szCs w:val="20"/>
              </w:rPr>
            </w:pPr>
          </w:p>
        </w:tc>
        <w:tc>
          <w:tcPr>
            <w:tcW w:w="0" w:type="auto"/>
            <w:gridSpan w:val="3"/>
            <w:vAlign w:val="center"/>
            <w:hideMark/>
          </w:tcPr>
          <w:p w14:paraId="6680CD62" w14:textId="77777777" w:rsidR="00000000" w:rsidRDefault="00A173A8">
            <w:pPr>
              <w:spacing w:after="100"/>
              <w:rPr>
                <w:rFonts w:eastAsia="Times New Roman"/>
                <w:sz w:val="20"/>
                <w:szCs w:val="20"/>
              </w:rPr>
            </w:pPr>
          </w:p>
        </w:tc>
        <w:tc>
          <w:tcPr>
            <w:tcW w:w="0" w:type="auto"/>
            <w:gridSpan w:val="3"/>
            <w:vAlign w:val="center"/>
            <w:hideMark/>
          </w:tcPr>
          <w:p w14:paraId="7654189E" w14:textId="77777777" w:rsidR="00000000" w:rsidRDefault="00A173A8">
            <w:pPr>
              <w:spacing w:after="100"/>
              <w:rPr>
                <w:rFonts w:eastAsia="Times New Roman"/>
                <w:sz w:val="20"/>
                <w:szCs w:val="20"/>
              </w:rPr>
            </w:pPr>
          </w:p>
        </w:tc>
        <w:tc>
          <w:tcPr>
            <w:tcW w:w="0" w:type="auto"/>
            <w:gridSpan w:val="3"/>
            <w:vAlign w:val="center"/>
            <w:hideMark/>
          </w:tcPr>
          <w:p w14:paraId="13415472" w14:textId="77777777" w:rsidR="00000000" w:rsidRDefault="00A173A8">
            <w:pPr>
              <w:spacing w:after="100"/>
              <w:rPr>
                <w:rFonts w:eastAsia="Times New Roman"/>
                <w:sz w:val="20"/>
                <w:szCs w:val="20"/>
              </w:rPr>
            </w:pPr>
          </w:p>
        </w:tc>
        <w:tc>
          <w:tcPr>
            <w:tcW w:w="0" w:type="auto"/>
            <w:gridSpan w:val="3"/>
            <w:vAlign w:val="center"/>
            <w:hideMark/>
          </w:tcPr>
          <w:p w14:paraId="4C515462" w14:textId="77777777" w:rsidR="00000000" w:rsidRDefault="00A173A8">
            <w:pPr>
              <w:spacing w:after="100"/>
              <w:rPr>
                <w:rFonts w:eastAsia="Times New Roman"/>
                <w:sz w:val="20"/>
                <w:szCs w:val="20"/>
              </w:rPr>
            </w:pPr>
          </w:p>
        </w:tc>
        <w:tc>
          <w:tcPr>
            <w:tcW w:w="0" w:type="auto"/>
            <w:gridSpan w:val="3"/>
            <w:vAlign w:val="center"/>
            <w:hideMark/>
          </w:tcPr>
          <w:p w14:paraId="671F0B91" w14:textId="77777777" w:rsidR="00000000" w:rsidRDefault="00A173A8">
            <w:pPr>
              <w:spacing w:after="100"/>
              <w:rPr>
                <w:rFonts w:eastAsia="Times New Roman"/>
                <w:sz w:val="20"/>
                <w:szCs w:val="20"/>
              </w:rPr>
            </w:pPr>
          </w:p>
        </w:tc>
        <w:tc>
          <w:tcPr>
            <w:tcW w:w="0" w:type="auto"/>
            <w:gridSpan w:val="3"/>
            <w:vAlign w:val="center"/>
            <w:hideMark/>
          </w:tcPr>
          <w:p w14:paraId="2D0B9CF5" w14:textId="77777777" w:rsidR="00000000" w:rsidRDefault="00A173A8">
            <w:pPr>
              <w:spacing w:after="100"/>
              <w:rPr>
                <w:rFonts w:eastAsia="Times New Roman"/>
                <w:sz w:val="20"/>
                <w:szCs w:val="20"/>
              </w:rPr>
            </w:pPr>
          </w:p>
        </w:tc>
        <w:tc>
          <w:tcPr>
            <w:tcW w:w="0" w:type="auto"/>
            <w:gridSpan w:val="3"/>
            <w:vAlign w:val="center"/>
            <w:hideMark/>
          </w:tcPr>
          <w:p w14:paraId="31913055" w14:textId="77777777" w:rsidR="00000000" w:rsidRDefault="00A173A8">
            <w:pPr>
              <w:spacing w:after="100"/>
              <w:rPr>
                <w:rFonts w:eastAsia="Times New Roman"/>
                <w:sz w:val="20"/>
                <w:szCs w:val="20"/>
              </w:rPr>
            </w:pPr>
          </w:p>
        </w:tc>
        <w:tc>
          <w:tcPr>
            <w:tcW w:w="0" w:type="auto"/>
            <w:gridSpan w:val="3"/>
            <w:vAlign w:val="center"/>
            <w:hideMark/>
          </w:tcPr>
          <w:p w14:paraId="29F7F1BD" w14:textId="77777777" w:rsidR="00000000" w:rsidRDefault="00A173A8">
            <w:pPr>
              <w:spacing w:after="100"/>
              <w:rPr>
                <w:rFonts w:eastAsia="Times New Roman"/>
                <w:sz w:val="20"/>
                <w:szCs w:val="20"/>
              </w:rPr>
            </w:pPr>
          </w:p>
        </w:tc>
        <w:tc>
          <w:tcPr>
            <w:tcW w:w="0" w:type="auto"/>
            <w:gridSpan w:val="3"/>
            <w:vAlign w:val="center"/>
            <w:hideMark/>
          </w:tcPr>
          <w:p w14:paraId="2801B6BB" w14:textId="77777777" w:rsidR="00000000" w:rsidRDefault="00A173A8">
            <w:pPr>
              <w:spacing w:after="100"/>
              <w:rPr>
                <w:rFonts w:eastAsia="Times New Roman"/>
                <w:sz w:val="20"/>
                <w:szCs w:val="20"/>
              </w:rPr>
            </w:pPr>
          </w:p>
        </w:tc>
        <w:tc>
          <w:tcPr>
            <w:tcW w:w="0" w:type="auto"/>
            <w:vAlign w:val="center"/>
            <w:hideMark/>
          </w:tcPr>
          <w:p w14:paraId="64CBD9F4" w14:textId="77777777" w:rsidR="00000000" w:rsidRDefault="00A173A8">
            <w:pPr>
              <w:spacing w:after="100"/>
              <w:rPr>
                <w:rFonts w:eastAsia="Times New Roman"/>
                <w:sz w:val="20"/>
                <w:szCs w:val="20"/>
              </w:rPr>
            </w:pPr>
          </w:p>
        </w:tc>
        <w:tc>
          <w:tcPr>
            <w:tcW w:w="0" w:type="auto"/>
            <w:vAlign w:val="center"/>
            <w:hideMark/>
          </w:tcPr>
          <w:p w14:paraId="7B75646A" w14:textId="77777777" w:rsidR="00000000" w:rsidRDefault="00A173A8">
            <w:pPr>
              <w:spacing w:after="100"/>
              <w:rPr>
                <w:rFonts w:eastAsia="Times New Roman"/>
                <w:sz w:val="20"/>
                <w:szCs w:val="20"/>
              </w:rPr>
            </w:pPr>
          </w:p>
        </w:tc>
        <w:tc>
          <w:tcPr>
            <w:tcW w:w="0" w:type="auto"/>
            <w:gridSpan w:val="3"/>
            <w:vAlign w:val="center"/>
            <w:hideMark/>
          </w:tcPr>
          <w:p w14:paraId="619A4399" w14:textId="77777777" w:rsidR="00000000" w:rsidRDefault="00A173A8">
            <w:pPr>
              <w:spacing w:after="100"/>
              <w:rPr>
                <w:rFonts w:eastAsia="Times New Roman"/>
                <w:sz w:val="20"/>
                <w:szCs w:val="20"/>
              </w:rPr>
            </w:pPr>
          </w:p>
        </w:tc>
        <w:tc>
          <w:tcPr>
            <w:tcW w:w="0" w:type="auto"/>
            <w:vAlign w:val="center"/>
            <w:hideMark/>
          </w:tcPr>
          <w:p w14:paraId="76201F9E" w14:textId="77777777" w:rsidR="00000000" w:rsidRDefault="00A173A8">
            <w:pPr>
              <w:spacing w:after="100"/>
              <w:rPr>
                <w:rFonts w:eastAsia="Times New Roman"/>
                <w:sz w:val="20"/>
                <w:szCs w:val="20"/>
              </w:rPr>
            </w:pPr>
          </w:p>
        </w:tc>
        <w:tc>
          <w:tcPr>
            <w:tcW w:w="0" w:type="auto"/>
            <w:gridSpan w:val="3"/>
            <w:vAlign w:val="center"/>
            <w:hideMark/>
          </w:tcPr>
          <w:p w14:paraId="4969E4D6" w14:textId="77777777" w:rsidR="00000000" w:rsidRDefault="00A173A8">
            <w:pPr>
              <w:spacing w:after="100"/>
              <w:rPr>
                <w:rFonts w:eastAsia="Times New Roman"/>
                <w:sz w:val="20"/>
                <w:szCs w:val="20"/>
              </w:rPr>
            </w:pPr>
          </w:p>
        </w:tc>
        <w:tc>
          <w:tcPr>
            <w:tcW w:w="0" w:type="auto"/>
            <w:gridSpan w:val="3"/>
            <w:vAlign w:val="center"/>
            <w:hideMark/>
          </w:tcPr>
          <w:p w14:paraId="7E7CCA11" w14:textId="77777777" w:rsidR="00000000" w:rsidRDefault="00A173A8">
            <w:pPr>
              <w:spacing w:after="100"/>
              <w:rPr>
                <w:rFonts w:eastAsia="Times New Roman"/>
                <w:sz w:val="20"/>
                <w:szCs w:val="20"/>
              </w:rPr>
            </w:pPr>
          </w:p>
        </w:tc>
        <w:tc>
          <w:tcPr>
            <w:tcW w:w="0" w:type="auto"/>
            <w:gridSpan w:val="3"/>
            <w:vAlign w:val="center"/>
            <w:hideMark/>
          </w:tcPr>
          <w:p w14:paraId="1460F6B3" w14:textId="77777777" w:rsidR="00000000" w:rsidRDefault="00A173A8">
            <w:pPr>
              <w:spacing w:after="100"/>
              <w:rPr>
                <w:rFonts w:eastAsia="Times New Roman"/>
                <w:sz w:val="20"/>
                <w:szCs w:val="20"/>
              </w:rPr>
            </w:pPr>
          </w:p>
        </w:tc>
        <w:tc>
          <w:tcPr>
            <w:tcW w:w="0" w:type="auto"/>
            <w:gridSpan w:val="3"/>
            <w:vAlign w:val="center"/>
            <w:hideMark/>
          </w:tcPr>
          <w:p w14:paraId="66E4E2B4" w14:textId="77777777" w:rsidR="00000000" w:rsidRDefault="00A173A8">
            <w:pPr>
              <w:spacing w:after="100"/>
              <w:rPr>
                <w:rFonts w:eastAsia="Times New Roman"/>
                <w:sz w:val="20"/>
                <w:szCs w:val="20"/>
              </w:rPr>
            </w:pPr>
          </w:p>
        </w:tc>
        <w:tc>
          <w:tcPr>
            <w:tcW w:w="0" w:type="auto"/>
            <w:gridSpan w:val="3"/>
            <w:vAlign w:val="center"/>
            <w:hideMark/>
          </w:tcPr>
          <w:p w14:paraId="75D9FDA3" w14:textId="77777777" w:rsidR="00000000" w:rsidRDefault="00A173A8">
            <w:pPr>
              <w:spacing w:after="100"/>
              <w:rPr>
                <w:rFonts w:eastAsia="Times New Roman"/>
                <w:sz w:val="20"/>
                <w:szCs w:val="20"/>
              </w:rPr>
            </w:pPr>
          </w:p>
        </w:tc>
        <w:tc>
          <w:tcPr>
            <w:tcW w:w="0" w:type="auto"/>
            <w:gridSpan w:val="2"/>
            <w:vAlign w:val="center"/>
            <w:hideMark/>
          </w:tcPr>
          <w:p w14:paraId="46E445C8" w14:textId="77777777" w:rsidR="00000000" w:rsidRDefault="00A173A8">
            <w:pPr>
              <w:spacing w:after="100"/>
              <w:rPr>
                <w:rFonts w:eastAsia="Times New Roman"/>
                <w:sz w:val="20"/>
                <w:szCs w:val="20"/>
              </w:rPr>
            </w:pPr>
          </w:p>
        </w:tc>
      </w:tr>
      <w:tr w:rsidR="00000000" w14:paraId="69EF1A22" w14:textId="77777777">
        <w:trPr>
          <w:divId w:val="261111824"/>
        </w:trPr>
        <w:tc>
          <w:tcPr>
            <w:tcW w:w="0" w:type="auto"/>
            <w:gridSpan w:val="3"/>
            <w:shd w:val="clear" w:color="auto" w:fill="FFFFFF"/>
            <w:tcMar>
              <w:top w:w="30" w:type="dxa"/>
              <w:left w:w="20" w:type="dxa"/>
              <w:bottom w:w="30" w:type="dxa"/>
              <w:right w:w="20" w:type="dxa"/>
            </w:tcMar>
            <w:vAlign w:val="center"/>
            <w:hideMark/>
          </w:tcPr>
          <w:p w14:paraId="02B17208" w14:textId="77777777" w:rsidR="00000000" w:rsidRDefault="00A173A8">
            <w:pPr>
              <w:spacing w:after="100"/>
              <w:rPr>
                <w:rFonts w:eastAsia="Times New Roman"/>
              </w:rPr>
            </w:pPr>
            <w:r>
              <w:rPr>
                <w:rFonts w:eastAsia="Times New Roman"/>
                <w:color w:val="000000"/>
                <w:sz w:val="20"/>
                <w:szCs w:val="20"/>
              </w:rPr>
              <w:t>Net income per basic common share</w:t>
            </w:r>
          </w:p>
        </w:tc>
        <w:tc>
          <w:tcPr>
            <w:tcW w:w="0" w:type="auto"/>
            <w:gridSpan w:val="3"/>
            <w:shd w:val="clear" w:color="auto" w:fill="FFFFFF"/>
            <w:tcMar>
              <w:top w:w="0" w:type="dxa"/>
              <w:left w:w="20" w:type="dxa"/>
              <w:bottom w:w="0" w:type="dxa"/>
              <w:right w:w="20" w:type="dxa"/>
            </w:tcMar>
            <w:vAlign w:val="center"/>
            <w:hideMark/>
          </w:tcPr>
          <w:p w14:paraId="6C706090"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E357558"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53E37348" w14:textId="77777777" w:rsidR="00000000" w:rsidRDefault="00A173A8">
            <w:pPr>
              <w:spacing w:after="100"/>
              <w:jc w:val="right"/>
              <w:rPr>
                <w:rFonts w:eastAsia="Times New Roman"/>
              </w:rPr>
            </w:pPr>
            <w:r>
              <w:rPr>
                <w:rFonts w:eastAsia="Times New Roman"/>
                <w:b/>
                <w:bCs/>
                <w:color w:val="000000"/>
                <w:sz w:val="20"/>
                <w:szCs w:val="20"/>
              </w:rPr>
              <w:t>4.96</w:t>
            </w:r>
          </w:p>
        </w:tc>
        <w:tc>
          <w:tcPr>
            <w:tcW w:w="0" w:type="auto"/>
            <w:gridSpan w:val="3"/>
            <w:shd w:val="clear" w:color="auto" w:fill="FFFFFF"/>
            <w:tcMar>
              <w:top w:w="0" w:type="dxa"/>
              <w:left w:w="20" w:type="dxa"/>
              <w:bottom w:w="0" w:type="dxa"/>
              <w:right w:w="20" w:type="dxa"/>
            </w:tcMar>
            <w:vAlign w:val="center"/>
            <w:hideMark/>
          </w:tcPr>
          <w:p w14:paraId="57CA617A" w14:textId="77777777" w:rsidR="00000000" w:rsidRDefault="00A173A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A0A7ABD"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4F1349F9" w14:textId="77777777" w:rsidR="00000000" w:rsidRDefault="00A173A8">
            <w:pPr>
              <w:spacing w:after="100"/>
              <w:jc w:val="right"/>
              <w:rPr>
                <w:rFonts w:eastAsia="Times New Roman"/>
              </w:rPr>
            </w:pPr>
            <w:r>
              <w:rPr>
                <w:rFonts w:eastAsia="Times New Roman"/>
                <w:color w:val="000000"/>
                <w:sz w:val="20"/>
                <w:szCs w:val="20"/>
              </w:rPr>
              <w:t>7.62</w:t>
            </w:r>
          </w:p>
        </w:tc>
        <w:tc>
          <w:tcPr>
            <w:tcW w:w="0" w:type="auto"/>
            <w:gridSpan w:val="3"/>
            <w:shd w:val="clear" w:color="auto" w:fill="FFFFFF"/>
            <w:tcMar>
              <w:top w:w="0" w:type="dxa"/>
              <w:left w:w="20" w:type="dxa"/>
              <w:bottom w:w="0" w:type="dxa"/>
              <w:right w:w="20" w:type="dxa"/>
            </w:tcMar>
            <w:vAlign w:val="center"/>
            <w:hideMark/>
          </w:tcPr>
          <w:p w14:paraId="3209C0D5"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3B376A05" w14:textId="77777777" w:rsidR="00000000" w:rsidRDefault="00A173A8">
            <w:pPr>
              <w:spacing w:after="100"/>
              <w:jc w:val="right"/>
              <w:rPr>
                <w:rFonts w:eastAsia="Times New Roman"/>
              </w:rPr>
            </w:pPr>
            <w:r>
              <w:rPr>
                <w:rFonts w:eastAsia="Times New Roman"/>
                <w:color w:val="000000"/>
                <w:sz w:val="20"/>
                <w:szCs w:val="20"/>
              </w:rPr>
              <w:t>(35)</w:t>
            </w:r>
          </w:p>
        </w:tc>
        <w:tc>
          <w:tcPr>
            <w:tcW w:w="0" w:type="auto"/>
            <w:gridSpan w:val="3"/>
            <w:shd w:val="clear" w:color="auto" w:fill="FFFFFF"/>
            <w:tcMar>
              <w:top w:w="0" w:type="dxa"/>
              <w:left w:w="20" w:type="dxa"/>
              <w:bottom w:w="0" w:type="dxa"/>
              <w:right w:w="20" w:type="dxa"/>
            </w:tcMar>
            <w:vAlign w:val="center"/>
            <w:hideMark/>
          </w:tcPr>
          <w:p w14:paraId="57EB15F6" w14:textId="77777777" w:rsidR="00000000" w:rsidRDefault="00A173A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B65787"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E48DC18" w14:textId="77777777" w:rsidR="00000000" w:rsidRDefault="00A173A8">
            <w:pPr>
              <w:spacing w:after="100"/>
              <w:jc w:val="right"/>
              <w:rPr>
                <w:rFonts w:eastAsia="Times New Roman"/>
              </w:rPr>
            </w:pPr>
            <w:r>
              <w:rPr>
                <w:rFonts w:eastAsia="Times New Roman"/>
                <w:b/>
                <w:bCs/>
                <w:color w:val="000000"/>
                <w:sz w:val="20"/>
                <w:szCs w:val="20"/>
              </w:rPr>
              <w:t>10.61</w:t>
            </w:r>
          </w:p>
        </w:tc>
        <w:tc>
          <w:tcPr>
            <w:tcW w:w="0" w:type="auto"/>
            <w:gridSpan w:val="3"/>
            <w:shd w:val="clear" w:color="auto" w:fill="FFFFFF"/>
            <w:tcMar>
              <w:top w:w="0" w:type="dxa"/>
              <w:left w:w="20" w:type="dxa"/>
              <w:bottom w:w="0" w:type="dxa"/>
              <w:right w:w="20" w:type="dxa"/>
            </w:tcMar>
            <w:vAlign w:val="center"/>
            <w:hideMark/>
          </w:tcPr>
          <w:p w14:paraId="6C30368B" w14:textId="77777777" w:rsidR="00000000" w:rsidRDefault="00A173A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A96AAF"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4E6E7C89" w14:textId="77777777" w:rsidR="00000000" w:rsidRDefault="00A173A8">
            <w:pPr>
              <w:spacing w:after="100"/>
              <w:jc w:val="right"/>
              <w:rPr>
                <w:rFonts w:eastAsia="Times New Roman"/>
              </w:rPr>
            </w:pPr>
            <w:r>
              <w:rPr>
                <w:rFonts w:eastAsia="Times New Roman"/>
                <w:color w:val="000000"/>
                <w:sz w:val="20"/>
                <w:szCs w:val="20"/>
              </w:rPr>
              <w:t>14.65</w:t>
            </w:r>
          </w:p>
        </w:tc>
        <w:tc>
          <w:tcPr>
            <w:tcW w:w="0" w:type="auto"/>
            <w:vAlign w:val="center"/>
            <w:hideMark/>
          </w:tcPr>
          <w:p w14:paraId="7FAC801D" w14:textId="77777777" w:rsidR="00000000" w:rsidRDefault="00A173A8">
            <w:pPr>
              <w:spacing w:after="100"/>
              <w:jc w:val="right"/>
              <w:rPr>
                <w:rFonts w:eastAsia="Times New Roman"/>
              </w:rPr>
            </w:pPr>
          </w:p>
        </w:tc>
        <w:tc>
          <w:tcPr>
            <w:tcW w:w="0" w:type="auto"/>
            <w:vAlign w:val="center"/>
            <w:hideMark/>
          </w:tcPr>
          <w:p w14:paraId="17BBCB6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6F36E" w14:textId="77777777" w:rsidR="00000000" w:rsidRDefault="00A173A8">
            <w:pPr>
              <w:spacing w:after="100"/>
              <w:rPr>
                <w:rFonts w:eastAsia="Times New Roman"/>
                <w:sz w:val="20"/>
                <w:szCs w:val="20"/>
              </w:rPr>
            </w:pPr>
          </w:p>
        </w:tc>
        <w:tc>
          <w:tcPr>
            <w:tcW w:w="0" w:type="auto"/>
            <w:vAlign w:val="center"/>
            <w:hideMark/>
          </w:tcPr>
          <w:p w14:paraId="60658199" w14:textId="77777777" w:rsidR="00000000" w:rsidRDefault="00A173A8">
            <w:pPr>
              <w:spacing w:after="100"/>
              <w:rPr>
                <w:rFonts w:eastAsia="Times New Roman"/>
                <w:sz w:val="20"/>
                <w:szCs w:val="20"/>
              </w:rPr>
            </w:pPr>
          </w:p>
        </w:tc>
        <w:tc>
          <w:tcPr>
            <w:tcW w:w="0" w:type="auto"/>
            <w:gridSpan w:val="3"/>
            <w:vAlign w:val="center"/>
            <w:hideMark/>
          </w:tcPr>
          <w:p w14:paraId="3129C517" w14:textId="77777777" w:rsidR="00000000" w:rsidRDefault="00A173A8">
            <w:pPr>
              <w:spacing w:after="100"/>
              <w:rPr>
                <w:rFonts w:eastAsia="Times New Roman"/>
                <w:sz w:val="20"/>
                <w:szCs w:val="20"/>
              </w:rPr>
            </w:pPr>
          </w:p>
        </w:tc>
        <w:tc>
          <w:tcPr>
            <w:tcW w:w="0" w:type="auto"/>
            <w:gridSpan w:val="3"/>
            <w:vAlign w:val="center"/>
            <w:hideMark/>
          </w:tcPr>
          <w:p w14:paraId="2A7ADC86" w14:textId="77777777" w:rsidR="00000000" w:rsidRDefault="00A173A8">
            <w:pPr>
              <w:spacing w:after="100"/>
              <w:rPr>
                <w:rFonts w:eastAsia="Times New Roman"/>
                <w:sz w:val="20"/>
                <w:szCs w:val="20"/>
              </w:rPr>
            </w:pPr>
          </w:p>
        </w:tc>
        <w:tc>
          <w:tcPr>
            <w:tcW w:w="0" w:type="auto"/>
            <w:gridSpan w:val="3"/>
            <w:vAlign w:val="center"/>
            <w:hideMark/>
          </w:tcPr>
          <w:p w14:paraId="466ABA00"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76E6A1F" w14:textId="77777777" w:rsidR="00000000" w:rsidRDefault="00A173A8">
            <w:pPr>
              <w:spacing w:after="100"/>
              <w:jc w:val="right"/>
              <w:rPr>
                <w:rFonts w:eastAsia="Times New Roman"/>
              </w:rPr>
            </w:pPr>
            <w:r>
              <w:rPr>
                <w:rFonts w:eastAsia="Times New Roman"/>
                <w:color w:val="000000"/>
                <w:sz w:val="20"/>
                <w:szCs w:val="20"/>
              </w:rPr>
              <w:t>(28)</w:t>
            </w:r>
          </w:p>
        </w:tc>
        <w:tc>
          <w:tcPr>
            <w:tcW w:w="0" w:type="auto"/>
            <w:gridSpan w:val="3"/>
            <w:vAlign w:val="center"/>
            <w:hideMark/>
          </w:tcPr>
          <w:p w14:paraId="31E9CBC1" w14:textId="77777777" w:rsidR="00000000" w:rsidRDefault="00A173A8">
            <w:pPr>
              <w:spacing w:after="100"/>
              <w:jc w:val="right"/>
              <w:rPr>
                <w:rFonts w:eastAsia="Times New Roman"/>
              </w:rPr>
            </w:pPr>
          </w:p>
        </w:tc>
        <w:tc>
          <w:tcPr>
            <w:tcW w:w="0" w:type="auto"/>
            <w:gridSpan w:val="2"/>
            <w:vAlign w:val="center"/>
            <w:hideMark/>
          </w:tcPr>
          <w:p w14:paraId="713A7032" w14:textId="77777777" w:rsidR="00000000" w:rsidRDefault="00A173A8">
            <w:pPr>
              <w:spacing w:after="100"/>
              <w:rPr>
                <w:rFonts w:eastAsia="Times New Roman"/>
                <w:sz w:val="20"/>
                <w:szCs w:val="20"/>
              </w:rPr>
            </w:pPr>
          </w:p>
        </w:tc>
      </w:tr>
      <w:tr w:rsidR="00000000" w14:paraId="01D54C8E" w14:textId="77777777">
        <w:trPr>
          <w:divId w:val="261111824"/>
        </w:trPr>
        <w:tc>
          <w:tcPr>
            <w:tcW w:w="0" w:type="auto"/>
            <w:gridSpan w:val="3"/>
            <w:shd w:val="clear" w:color="auto" w:fill="CCEEFF"/>
            <w:tcMar>
              <w:top w:w="30" w:type="dxa"/>
              <w:left w:w="20" w:type="dxa"/>
              <w:bottom w:w="30" w:type="dxa"/>
              <w:right w:w="20" w:type="dxa"/>
            </w:tcMar>
            <w:vAlign w:val="center"/>
            <w:hideMark/>
          </w:tcPr>
          <w:p w14:paraId="14CA80D1" w14:textId="77777777" w:rsidR="00000000" w:rsidRDefault="00A173A8">
            <w:pPr>
              <w:spacing w:after="100"/>
              <w:rPr>
                <w:rFonts w:eastAsia="Times New Roman"/>
              </w:rPr>
            </w:pPr>
            <w:r>
              <w:rPr>
                <w:rFonts w:eastAsia="Times New Roman"/>
                <w:b/>
                <w:bCs/>
                <w:color w:val="000000"/>
                <w:sz w:val="20"/>
                <w:szCs w:val="20"/>
              </w:rPr>
              <w:t>Weighted-average common shares outstanding (in millions):</w:t>
            </w:r>
          </w:p>
        </w:tc>
        <w:tc>
          <w:tcPr>
            <w:tcW w:w="0" w:type="auto"/>
            <w:gridSpan w:val="3"/>
            <w:shd w:val="clear" w:color="auto" w:fill="CCEEFF"/>
            <w:tcMar>
              <w:top w:w="0" w:type="dxa"/>
              <w:left w:w="20" w:type="dxa"/>
              <w:bottom w:w="0" w:type="dxa"/>
              <w:right w:w="20" w:type="dxa"/>
            </w:tcMar>
            <w:vAlign w:val="center"/>
            <w:hideMark/>
          </w:tcPr>
          <w:p w14:paraId="37BC8C12"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756669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AA2604"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8130A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3488A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6A5C0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598D0C"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85060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447648"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7A9628" w14:textId="77777777" w:rsidR="00000000" w:rsidRDefault="00A173A8">
            <w:pPr>
              <w:spacing w:after="100"/>
              <w:rPr>
                <w:rFonts w:eastAsia="Times New Roman"/>
                <w:sz w:val="20"/>
                <w:szCs w:val="20"/>
              </w:rPr>
            </w:pPr>
          </w:p>
        </w:tc>
        <w:tc>
          <w:tcPr>
            <w:tcW w:w="0" w:type="auto"/>
            <w:vAlign w:val="center"/>
            <w:hideMark/>
          </w:tcPr>
          <w:p w14:paraId="10DF2286" w14:textId="77777777" w:rsidR="00000000" w:rsidRDefault="00A173A8">
            <w:pPr>
              <w:spacing w:after="100"/>
              <w:rPr>
                <w:rFonts w:eastAsia="Times New Roman"/>
                <w:sz w:val="20"/>
                <w:szCs w:val="20"/>
              </w:rPr>
            </w:pPr>
          </w:p>
        </w:tc>
        <w:tc>
          <w:tcPr>
            <w:tcW w:w="0" w:type="auto"/>
            <w:vAlign w:val="center"/>
            <w:hideMark/>
          </w:tcPr>
          <w:p w14:paraId="5B3C25A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7E4420" w14:textId="77777777" w:rsidR="00000000" w:rsidRDefault="00A173A8">
            <w:pPr>
              <w:spacing w:after="100"/>
              <w:rPr>
                <w:rFonts w:eastAsia="Times New Roman"/>
                <w:sz w:val="20"/>
                <w:szCs w:val="20"/>
              </w:rPr>
            </w:pPr>
          </w:p>
        </w:tc>
        <w:tc>
          <w:tcPr>
            <w:tcW w:w="0" w:type="auto"/>
            <w:vAlign w:val="center"/>
            <w:hideMark/>
          </w:tcPr>
          <w:p w14:paraId="60085724" w14:textId="77777777" w:rsidR="00000000" w:rsidRDefault="00A173A8">
            <w:pPr>
              <w:spacing w:after="100"/>
              <w:rPr>
                <w:rFonts w:eastAsia="Times New Roman"/>
                <w:sz w:val="20"/>
                <w:szCs w:val="20"/>
              </w:rPr>
            </w:pPr>
          </w:p>
        </w:tc>
        <w:tc>
          <w:tcPr>
            <w:tcW w:w="0" w:type="auto"/>
            <w:gridSpan w:val="3"/>
            <w:vAlign w:val="center"/>
            <w:hideMark/>
          </w:tcPr>
          <w:p w14:paraId="3B03DFE9" w14:textId="77777777" w:rsidR="00000000" w:rsidRDefault="00A173A8">
            <w:pPr>
              <w:spacing w:after="100"/>
              <w:rPr>
                <w:rFonts w:eastAsia="Times New Roman"/>
                <w:sz w:val="20"/>
                <w:szCs w:val="20"/>
              </w:rPr>
            </w:pPr>
          </w:p>
        </w:tc>
        <w:tc>
          <w:tcPr>
            <w:tcW w:w="0" w:type="auto"/>
            <w:gridSpan w:val="3"/>
            <w:vAlign w:val="center"/>
            <w:hideMark/>
          </w:tcPr>
          <w:p w14:paraId="1EB1D3B3" w14:textId="77777777" w:rsidR="00000000" w:rsidRDefault="00A173A8">
            <w:pPr>
              <w:spacing w:after="100"/>
              <w:rPr>
                <w:rFonts w:eastAsia="Times New Roman"/>
                <w:sz w:val="20"/>
                <w:szCs w:val="20"/>
              </w:rPr>
            </w:pPr>
          </w:p>
        </w:tc>
        <w:tc>
          <w:tcPr>
            <w:tcW w:w="0" w:type="auto"/>
            <w:gridSpan w:val="3"/>
            <w:vAlign w:val="center"/>
            <w:hideMark/>
          </w:tcPr>
          <w:p w14:paraId="27133CA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280A256A" w14:textId="77777777" w:rsidR="00000000" w:rsidRDefault="00A173A8">
            <w:pPr>
              <w:spacing w:after="100"/>
              <w:rPr>
                <w:rFonts w:eastAsia="Times New Roman"/>
                <w:sz w:val="20"/>
                <w:szCs w:val="20"/>
              </w:rPr>
            </w:pPr>
          </w:p>
        </w:tc>
        <w:tc>
          <w:tcPr>
            <w:tcW w:w="0" w:type="auto"/>
            <w:gridSpan w:val="3"/>
            <w:vAlign w:val="center"/>
            <w:hideMark/>
          </w:tcPr>
          <w:p w14:paraId="284A1213" w14:textId="77777777" w:rsidR="00000000" w:rsidRDefault="00A173A8">
            <w:pPr>
              <w:spacing w:after="100"/>
              <w:rPr>
                <w:rFonts w:eastAsia="Times New Roman"/>
                <w:sz w:val="20"/>
                <w:szCs w:val="20"/>
              </w:rPr>
            </w:pPr>
          </w:p>
        </w:tc>
        <w:tc>
          <w:tcPr>
            <w:tcW w:w="0" w:type="auto"/>
            <w:gridSpan w:val="2"/>
            <w:vAlign w:val="center"/>
            <w:hideMark/>
          </w:tcPr>
          <w:p w14:paraId="3CA43014" w14:textId="77777777" w:rsidR="00000000" w:rsidRDefault="00A173A8">
            <w:pPr>
              <w:spacing w:after="100"/>
              <w:rPr>
                <w:rFonts w:eastAsia="Times New Roman"/>
                <w:sz w:val="20"/>
                <w:szCs w:val="20"/>
              </w:rPr>
            </w:pPr>
          </w:p>
        </w:tc>
      </w:tr>
      <w:tr w:rsidR="00000000" w14:paraId="2C0CFA84" w14:textId="77777777">
        <w:trPr>
          <w:divId w:val="261111824"/>
        </w:trPr>
        <w:tc>
          <w:tcPr>
            <w:tcW w:w="0" w:type="auto"/>
            <w:gridSpan w:val="3"/>
            <w:shd w:val="clear" w:color="auto" w:fill="FFFFFF"/>
            <w:tcMar>
              <w:top w:w="30" w:type="dxa"/>
              <w:left w:w="20" w:type="dxa"/>
              <w:bottom w:w="30" w:type="dxa"/>
              <w:right w:w="20" w:type="dxa"/>
            </w:tcMar>
            <w:vAlign w:val="center"/>
            <w:hideMark/>
          </w:tcPr>
          <w:p w14:paraId="6EE69C87" w14:textId="77777777" w:rsidR="00000000" w:rsidRDefault="00A173A8">
            <w:pPr>
              <w:spacing w:after="100"/>
              <w:rPr>
                <w:rFonts w:eastAsia="Times New Roman"/>
              </w:rPr>
            </w:pPr>
            <w:r>
              <w:rPr>
                <w:rFonts w:eastAsia="Times New Roman"/>
                <w:color w:val="000000"/>
                <w:sz w:val="20"/>
                <w:szCs w:val="20"/>
              </w:rPr>
              <w:t xml:space="preserve">Basic </w:t>
            </w:r>
          </w:p>
        </w:tc>
        <w:tc>
          <w:tcPr>
            <w:tcW w:w="0" w:type="auto"/>
            <w:gridSpan w:val="3"/>
            <w:shd w:val="clear" w:color="auto" w:fill="FFFFFF"/>
            <w:tcMar>
              <w:top w:w="0" w:type="dxa"/>
              <w:left w:w="20" w:type="dxa"/>
              <w:bottom w:w="0" w:type="dxa"/>
              <w:right w:w="20" w:type="dxa"/>
            </w:tcMar>
            <w:vAlign w:val="center"/>
            <w:hideMark/>
          </w:tcPr>
          <w:p w14:paraId="200FE90C"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D6C4176" w14:textId="77777777" w:rsidR="00000000" w:rsidRDefault="00A173A8">
            <w:pPr>
              <w:spacing w:after="100"/>
              <w:jc w:val="right"/>
              <w:rPr>
                <w:rFonts w:eastAsia="Times New Roman"/>
              </w:rPr>
            </w:pPr>
            <w:r>
              <w:rPr>
                <w:rFonts w:eastAsia="Times New Roman"/>
                <w:b/>
                <w:bCs/>
                <w:color w:val="000000"/>
                <w:sz w:val="20"/>
                <w:szCs w:val="20"/>
              </w:rPr>
              <w:t>391.2</w:t>
            </w:r>
          </w:p>
        </w:tc>
        <w:tc>
          <w:tcPr>
            <w:tcW w:w="0" w:type="auto"/>
            <w:gridSpan w:val="3"/>
            <w:shd w:val="clear" w:color="auto" w:fill="FFFFFF"/>
            <w:tcMar>
              <w:top w:w="0" w:type="dxa"/>
              <w:left w:w="20" w:type="dxa"/>
              <w:bottom w:w="0" w:type="dxa"/>
              <w:right w:w="20" w:type="dxa"/>
            </w:tcMar>
            <w:vAlign w:val="center"/>
            <w:hideMark/>
          </w:tcPr>
          <w:p w14:paraId="5D180603"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DAB7921" w14:textId="77777777" w:rsidR="00000000" w:rsidRDefault="00A173A8">
            <w:pPr>
              <w:spacing w:after="100"/>
              <w:jc w:val="right"/>
              <w:rPr>
                <w:rFonts w:eastAsia="Times New Roman"/>
              </w:rPr>
            </w:pPr>
            <w:r>
              <w:rPr>
                <w:rFonts w:eastAsia="Times New Roman"/>
                <w:color w:val="000000"/>
                <w:sz w:val="20"/>
                <w:szCs w:val="20"/>
              </w:rPr>
              <w:t>450.6</w:t>
            </w:r>
          </w:p>
        </w:tc>
        <w:tc>
          <w:tcPr>
            <w:tcW w:w="0" w:type="auto"/>
            <w:gridSpan w:val="3"/>
            <w:shd w:val="clear" w:color="auto" w:fill="FFFFFF"/>
            <w:tcMar>
              <w:top w:w="0" w:type="dxa"/>
              <w:left w:w="20" w:type="dxa"/>
              <w:bottom w:w="0" w:type="dxa"/>
              <w:right w:w="20" w:type="dxa"/>
            </w:tcMar>
            <w:vAlign w:val="center"/>
            <w:hideMark/>
          </w:tcPr>
          <w:p w14:paraId="3652D13D"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231DA84" w14:textId="77777777" w:rsidR="00000000" w:rsidRDefault="00A173A8">
            <w:pPr>
              <w:spacing w:after="100"/>
              <w:jc w:val="right"/>
              <w:rPr>
                <w:rFonts w:eastAsia="Times New Roman"/>
              </w:rPr>
            </w:pPr>
            <w:r>
              <w:rPr>
                <w:rFonts w:eastAsia="Times New Roman"/>
                <w:color w:val="000000"/>
                <w:sz w:val="20"/>
                <w:szCs w:val="20"/>
              </w:rPr>
              <w:t>(13)%</w:t>
            </w:r>
          </w:p>
        </w:tc>
        <w:tc>
          <w:tcPr>
            <w:tcW w:w="0" w:type="auto"/>
            <w:gridSpan w:val="3"/>
            <w:shd w:val="clear" w:color="auto" w:fill="FFFFFF"/>
            <w:tcMar>
              <w:top w:w="0" w:type="dxa"/>
              <w:left w:w="20" w:type="dxa"/>
              <w:bottom w:w="0" w:type="dxa"/>
              <w:right w:w="20" w:type="dxa"/>
            </w:tcMar>
            <w:vAlign w:val="center"/>
            <w:hideMark/>
          </w:tcPr>
          <w:p w14:paraId="6D98CD1F"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A020FEE" w14:textId="77777777" w:rsidR="00000000" w:rsidRDefault="00A173A8">
            <w:pPr>
              <w:spacing w:after="100"/>
              <w:jc w:val="right"/>
              <w:rPr>
                <w:rFonts w:eastAsia="Times New Roman"/>
              </w:rPr>
            </w:pPr>
            <w:r>
              <w:rPr>
                <w:rFonts w:eastAsia="Times New Roman"/>
                <w:b/>
                <w:bCs/>
                <w:color w:val="000000"/>
                <w:sz w:val="20"/>
                <w:szCs w:val="20"/>
              </w:rPr>
              <w:t>400.8</w:t>
            </w:r>
          </w:p>
        </w:tc>
        <w:tc>
          <w:tcPr>
            <w:tcW w:w="0" w:type="auto"/>
            <w:gridSpan w:val="3"/>
            <w:shd w:val="clear" w:color="auto" w:fill="FFFFFF"/>
            <w:tcMar>
              <w:top w:w="0" w:type="dxa"/>
              <w:left w:w="20" w:type="dxa"/>
              <w:bottom w:w="0" w:type="dxa"/>
              <w:right w:w="20" w:type="dxa"/>
            </w:tcMar>
            <w:vAlign w:val="center"/>
            <w:hideMark/>
          </w:tcPr>
          <w:p w14:paraId="5C29E611"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E6BF464" w14:textId="77777777" w:rsidR="00000000" w:rsidRDefault="00A173A8">
            <w:pPr>
              <w:spacing w:after="100"/>
              <w:jc w:val="right"/>
              <w:rPr>
                <w:rFonts w:eastAsia="Times New Roman"/>
              </w:rPr>
            </w:pPr>
            <w:r>
              <w:rPr>
                <w:rFonts w:eastAsia="Times New Roman"/>
                <w:color w:val="000000"/>
                <w:sz w:val="20"/>
                <w:szCs w:val="20"/>
              </w:rPr>
              <w:t>454.6</w:t>
            </w:r>
          </w:p>
        </w:tc>
        <w:tc>
          <w:tcPr>
            <w:tcW w:w="0" w:type="auto"/>
            <w:vAlign w:val="center"/>
            <w:hideMark/>
          </w:tcPr>
          <w:p w14:paraId="1E8B6E7B" w14:textId="77777777" w:rsidR="00000000" w:rsidRDefault="00A173A8">
            <w:pPr>
              <w:spacing w:after="100"/>
              <w:jc w:val="right"/>
              <w:rPr>
                <w:rFonts w:eastAsia="Times New Roman"/>
              </w:rPr>
            </w:pPr>
          </w:p>
        </w:tc>
        <w:tc>
          <w:tcPr>
            <w:tcW w:w="0" w:type="auto"/>
            <w:vAlign w:val="center"/>
            <w:hideMark/>
          </w:tcPr>
          <w:p w14:paraId="661A297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B5B0B2" w14:textId="77777777" w:rsidR="00000000" w:rsidRDefault="00A173A8">
            <w:pPr>
              <w:spacing w:after="100"/>
              <w:rPr>
                <w:rFonts w:eastAsia="Times New Roman"/>
                <w:sz w:val="20"/>
                <w:szCs w:val="20"/>
              </w:rPr>
            </w:pPr>
          </w:p>
        </w:tc>
        <w:tc>
          <w:tcPr>
            <w:tcW w:w="0" w:type="auto"/>
            <w:vAlign w:val="center"/>
            <w:hideMark/>
          </w:tcPr>
          <w:p w14:paraId="194856D0" w14:textId="77777777" w:rsidR="00000000" w:rsidRDefault="00A173A8">
            <w:pPr>
              <w:spacing w:after="100"/>
              <w:rPr>
                <w:rFonts w:eastAsia="Times New Roman"/>
                <w:sz w:val="20"/>
                <w:szCs w:val="20"/>
              </w:rPr>
            </w:pPr>
          </w:p>
        </w:tc>
        <w:tc>
          <w:tcPr>
            <w:tcW w:w="0" w:type="auto"/>
            <w:gridSpan w:val="3"/>
            <w:vAlign w:val="center"/>
            <w:hideMark/>
          </w:tcPr>
          <w:p w14:paraId="07371B3E" w14:textId="77777777" w:rsidR="00000000" w:rsidRDefault="00A173A8">
            <w:pPr>
              <w:spacing w:after="100"/>
              <w:rPr>
                <w:rFonts w:eastAsia="Times New Roman"/>
                <w:sz w:val="20"/>
                <w:szCs w:val="20"/>
              </w:rPr>
            </w:pPr>
          </w:p>
        </w:tc>
        <w:tc>
          <w:tcPr>
            <w:tcW w:w="0" w:type="auto"/>
            <w:gridSpan w:val="3"/>
            <w:vAlign w:val="center"/>
            <w:hideMark/>
          </w:tcPr>
          <w:p w14:paraId="681CDD68" w14:textId="77777777" w:rsidR="00000000" w:rsidRDefault="00A173A8">
            <w:pPr>
              <w:spacing w:after="100"/>
              <w:rPr>
                <w:rFonts w:eastAsia="Times New Roman"/>
                <w:sz w:val="20"/>
                <w:szCs w:val="20"/>
              </w:rPr>
            </w:pPr>
          </w:p>
        </w:tc>
        <w:tc>
          <w:tcPr>
            <w:tcW w:w="0" w:type="auto"/>
            <w:gridSpan w:val="3"/>
            <w:vAlign w:val="center"/>
            <w:hideMark/>
          </w:tcPr>
          <w:p w14:paraId="3666CE5A"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210717EE" w14:textId="77777777" w:rsidR="00000000" w:rsidRDefault="00A173A8">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282DD902" w14:textId="77777777" w:rsidR="00000000" w:rsidRDefault="00A173A8">
            <w:pPr>
              <w:spacing w:after="100"/>
              <w:jc w:val="right"/>
              <w:rPr>
                <w:rFonts w:eastAsia="Times New Roman"/>
              </w:rPr>
            </w:pPr>
          </w:p>
        </w:tc>
        <w:tc>
          <w:tcPr>
            <w:tcW w:w="0" w:type="auto"/>
            <w:gridSpan w:val="2"/>
            <w:vAlign w:val="center"/>
            <w:hideMark/>
          </w:tcPr>
          <w:p w14:paraId="01EAE983" w14:textId="77777777" w:rsidR="00000000" w:rsidRDefault="00A173A8">
            <w:pPr>
              <w:spacing w:after="100"/>
              <w:rPr>
                <w:rFonts w:eastAsia="Times New Roman"/>
                <w:sz w:val="20"/>
                <w:szCs w:val="20"/>
              </w:rPr>
            </w:pPr>
          </w:p>
        </w:tc>
      </w:tr>
      <w:tr w:rsidR="00000000" w14:paraId="21A189D0" w14:textId="77777777">
        <w:trPr>
          <w:divId w:val="261111824"/>
        </w:trPr>
        <w:tc>
          <w:tcPr>
            <w:tcW w:w="0" w:type="auto"/>
            <w:gridSpan w:val="3"/>
            <w:shd w:val="clear" w:color="auto" w:fill="CCEEFF"/>
            <w:tcMar>
              <w:top w:w="30" w:type="dxa"/>
              <w:left w:w="20" w:type="dxa"/>
              <w:bottom w:w="30" w:type="dxa"/>
              <w:right w:w="20" w:type="dxa"/>
            </w:tcMar>
            <w:vAlign w:val="center"/>
            <w:hideMark/>
          </w:tcPr>
          <w:p w14:paraId="08F36F14" w14:textId="77777777" w:rsidR="00000000" w:rsidRDefault="00A173A8">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14:paraId="7DF90391"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50ABF72" w14:textId="77777777" w:rsidR="00000000" w:rsidRDefault="00A173A8">
            <w:pPr>
              <w:spacing w:after="100"/>
              <w:jc w:val="right"/>
              <w:rPr>
                <w:rFonts w:eastAsia="Times New Roman"/>
              </w:rPr>
            </w:pPr>
            <w:r>
              <w:rPr>
                <w:rFonts w:eastAsia="Times New Roman"/>
                <w:b/>
                <w:bCs/>
                <w:color w:val="000000"/>
                <w:sz w:val="20"/>
                <w:szCs w:val="20"/>
              </w:rPr>
              <w:t>392.6</w:t>
            </w:r>
          </w:p>
        </w:tc>
        <w:tc>
          <w:tcPr>
            <w:tcW w:w="0" w:type="auto"/>
            <w:gridSpan w:val="3"/>
            <w:shd w:val="clear" w:color="auto" w:fill="CCEEFF"/>
            <w:tcMar>
              <w:top w:w="0" w:type="dxa"/>
              <w:left w:w="20" w:type="dxa"/>
              <w:bottom w:w="0" w:type="dxa"/>
              <w:right w:w="20" w:type="dxa"/>
            </w:tcMar>
            <w:vAlign w:val="center"/>
            <w:hideMark/>
          </w:tcPr>
          <w:p w14:paraId="185F564D"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C7E924E" w14:textId="77777777" w:rsidR="00000000" w:rsidRDefault="00A173A8">
            <w:pPr>
              <w:spacing w:after="100"/>
              <w:jc w:val="right"/>
              <w:rPr>
                <w:rFonts w:eastAsia="Times New Roman"/>
              </w:rPr>
            </w:pPr>
            <w:r>
              <w:rPr>
                <w:rFonts w:eastAsia="Times New Roman"/>
                <w:color w:val="000000"/>
                <w:sz w:val="20"/>
                <w:szCs w:val="20"/>
              </w:rPr>
              <w:t>452.3</w:t>
            </w:r>
          </w:p>
        </w:tc>
        <w:tc>
          <w:tcPr>
            <w:tcW w:w="0" w:type="auto"/>
            <w:gridSpan w:val="3"/>
            <w:shd w:val="clear" w:color="auto" w:fill="CCEEFF"/>
            <w:tcMar>
              <w:top w:w="0" w:type="dxa"/>
              <w:left w:w="20" w:type="dxa"/>
              <w:bottom w:w="0" w:type="dxa"/>
              <w:right w:w="20" w:type="dxa"/>
            </w:tcMar>
            <w:vAlign w:val="center"/>
            <w:hideMark/>
          </w:tcPr>
          <w:p w14:paraId="3EBF7501"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51F889D1" w14:textId="77777777" w:rsidR="00000000" w:rsidRDefault="00A173A8">
            <w:pPr>
              <w:spacing w:after="100"/>
              <w:jc w:val="right"/>
              <w:rPr>
                <w:rFonts w:eastAsia="Times New Roman"/>
              </w:rPr>
            </w:pPr>
            <w:r>
              <w:rPr>
                <w:rFonts w:eastAsia="Times New Roman"/>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14:paraId="46CC0AB1"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CC2F421" w14:textId="77777777" w:rsidR="00000000" w:rsidRDefault="00A173A8">
            <w:pPr>
              <w:spacing w:after="100"/>
              <w:jc w:val="right"/>
              <w:rPr>
                <w:rFonts w:eastAsia="Times New Roman"/>
              </w:rPr>
            </w:pPr>
            <w:r>
              <w:rPr>
                <w:rFonts w:eastAsia="Times New Roman"/>
                <w:b/>
                <w:bCs/>
                <w:color w:val="000000"/>
                <w:sz w:val="20"/>
                <w:szCs w:val="20"/>
              </w:rPr>
              <w:t>402.3</w:t>
            </w:r>
          </w:p>
        </w:tc>
        <w:tc>
          <w:tcPr>
            <w:tcW w:w="0" w:type="auto"/>
            <w:gridSpan w:val="3"/>
            <w:shd w:val="clear" w:color="auto" w:fill="CCEEFF"/>
            <w:tcMar>
              <w:top w:w="0" w:type="dxa"/>
              <w:left w:w="20" w:type="dxa"/>
              <w:bottom w:w="0" w:type="dxa"/>
              <w:right w:w="20" w:type="dxa"/>
            </w:tcMar>
            <w:vAlign w:val="center"/>
            <w:hideMark/>
          </w:tcPr>
          <w:p w14:paraId="7E1C68EE"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2F27596" w14:textId="77777777" w:rsidR="00000000" w:rsidRDefault="00A173A8">
            <w:pPr>
              <w:spacing w:after="100"/>
              <w:jc w:val="right"/>
              <w:rPr>
                <w:rFonts w:eastAsia="Times New Roman"/>
              </w:rPr>
            </w:pPr>
            <w:r>
              <w:rPr>
                <w:rFonts w:eastAsia="Times New Roman"/>
                <w:color w:val="000000"/>
                <w:sz w:val="20"/>
                <w:szCs w:val="20"/>
              </w:rPr>
              <w:t>456.2</w:t>
            </w:r>
          </w:p>
        </w:tc>
        <w:tc>
          <w:tcPr>
            <w:tcW w:w="0" w:type="auto"/>
            <w:vAlign w:val="center"/>
            <w:hideMark/>
          </w:tcPr>
          <w:p w14:paraId="4A95D089" w14:textId="77777777" w:rsidR="00000000" w:rsidRDefault="00A173A8">
            <w:pPr>
              <w:spacing w:after="100"/>
              <w:jc w:val="right"/>
              <w:rPr>
                <w:rFonts w:eastAsia="Times New Roman"/>
              </w:rPr>
            </w:pPr>
          </w:p>
        </w:tc>
        <w:tc>
          <w:tcPr>
            <w:tcW w:w="0" w:type="auto"/>
            <w:vAlign w:val="center"/>
            <w:hideMark/>
          </w:tcPr>
          <w:p w14:paraId="706DF7D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C9549C" w14:textId="77777777" w:rsidR="00000000" w:rsidRDefault="00A173A8">
            <w:pPr>
              <w:spacing w:after="100"/>
              <w:rPr>
                <w:rFonts w:eastAsia="Times New Roman"/>
                <w:sz w:val="20"/>
                <w:szCs w:val="20"/>
              </w:rPr>
            </w:pPr>
          </w:p>
        </w:tc>
        <w:tc>
          <w:tcPr>
            <w:tcW w:w="0" w:type="auto"/>
            <w:vAlign w:val="center"/>
            <w:hideMark/>
          </w:tcPr>
          <w:p w14:paraId="57BFC15B" w14:textId="77777777" w:rsidR="00000000" w:rsidRDefault="00A173A8">
            <w:pPr>
              <w:spacing w:after="100"/>
              <w:rPr>
                <w:rFonts w:eastAsia="Times New Roman"/>
                <w:sz w:val="20"/>
                <w:szCs w:val="20"/>
              </w:rPr>
            </w:pPr>
          </w:p>
        </w:tc>
        <w:tc>
          <w:tcPr>
            <w:tcW w:w="0" w:type="auto"/>
            <w:gridSpan w:val="3"/>
            <w:vAlign w:val="center"/>
            <w:hideMark/>
          </w:tcPr>
          <w:p w14:paraId="7269B458" w14:textId="77777777" w:rsidR="00000000" w:rsidRDefault="00A173A8">
            <w:pPr>
              <w:spacing w:after="100"/>
              <w:rPr>
                <w:rFonts w:eastAsia="Times New Roman"/>
                <w:sz w:val="20"/>
                <w:szCs w:val="20"/>
              </w:rPr>
            </w:pPr>
          </w:p>
        </w:tc>
        <w:tc>
          <w:tcPr>
            <w:tcW w:w="0" w:type="auto"/>
            <w:gridSpan w:val="3"/>
            <w:vAlign w:val="center"/>
            <w:hideMark/>
          </w:tcPr>
          <w:p w14:paraId="5C389093" w14:textId="77777777" w:rsidR="00000000" w:rsidRDefault="00A173A8">
            <w:pPr>
              <w:spacing w:after="100"/>
              <w:rPr>
                <w:rFonts w:eastAsia="Times New Roman"/>
                <w:sz w:val="20"/>
                <w:szCs w:val="20"/>
              </w:rPr>
            </w:pPr>
          </w:p>
        </w:tc>
        <w:tc>
          <w:tcPr>
            <w:tcW w:w="0" w:type="auto"/>
            <w:gridSpan w:val="3"/>
            <w:vAlign w:val="center"/>
            <w:hideMark/>
          </w:tcPr>
          <w:p w14:paraId="010F33F1"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3F48648A" w14:textId="77777777" w:rsidR="00000000" w:rsidRDefault="00A173A8">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5745E09E" w14:textId="77777777" w:rsidR="00000000" w:rsidRDefault="00A173A8">
            <w:pPr>
              <w:spacing w:after="100"/>
              <w:jc w:val="right"/>
              <w:rPr>
                <w:rFonts w:eastAsia="Times New Roman"/>
              </w:rPr>
            </w:pPr>
          </w:p>
        </w:tc>
        <w:tc>
          <w:tcPr>
            <w:tcW w:w="0" w:type="auto"/>
            <w:gridSpan w:val="2"/>
            <w:vAlign w:val="center"/>
            <w:hideMark/>
          </w:tcPr>
          <w:p w14:paraId="2EC6F493" w14:textId="77777777" w:rsidR="00000000" w:rsidRDefault="00A173A8">
            <w:pPr>
              <w:spacing w:after="100"/>
              <w:rPr>
                <w:rFonts w:eastAsia="Times New Roman"/>
                <w:sz w:val="20"/>
                <w:szCs w:val="20"/>
              </w:rPr>
            </w:pPr>
          </w:p>
        </w:tc>
      </w:tr>
      <w:tr w:rsidR="00000000" w14:paraId="04E69279" w14:textId="77777777">
        <w:trPr>
          <w:divId w:val="261111824"/>
        </w:trPr>
        <w:tc>
          <w:tcPr>
            <w:tcW w:w="0" w:type="auto"/>
            <w:gridSpan w:val="3"/>
            <w:shd w:val="clear" w:color="auto" w:fill="FFFFFF"/>
            <w:tcMar>
              <w:top w:w="30" w:type="dxa"/>
              <w:left w:w="20" w:type="dxa"/>
              <w:bottom w:w="30" w:type="dxa"/>
              <w:right w:w="20" w:type="dxa"/>
            </w:tcMar>
            <w:vAlign w:val="bottom"/>
            <w:hideMark/>
          </w:tcPr>
          <w:p w14:paraId="4D30C54E" w14:textId="77777777" w:rsidR="00000000" w:rsidRDefault="00A173A8">
            <w:pPr>
              <w:spacing w:after="100"/>
              <w:rPr>
                <w:rFonts w:eastAsia="Times New Roman"/>
              </w:rPr>
            </w:pPr>
            <w:r>
              <w:rPr>
                <w:rFonts w:eastAsia="Times New Roman"/>
                <w:color w:val="000000"/>
                <w:sz w:val="20"/>
                <w:szCs w:val="20"/>
              </w:rPr>
              <w:t>Common shares outstanding (period-end, in millions)</w:t>
            </w:r>
          </w:p>
        </w:tc>
        <w:tc>
          <w:tcPr>
            <w:tcW w:w="0" w:type="auto"/>
            <w:gridSpan w:val="3"/>
            <w:shd w:val="clear" w:color="auto" w:fill="FFFFFF"/>
            <w:tcMar>
              <w:top w:w="0" w:type="dxa"/>
              <w:left w:w="20" w:type="dxa"/>
              <w:bottom w:w="0" w:type="dxa"/>
              <w:right w:w="20" w:type="dxa"/>
            </w:tcMar>
            <w:vAlign w:val="center"/>
            <w:hideMark/>
          </w:tcPr>
          <w:p w14:paraId="630E2BE2"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1B6622E" w14:textId="77777777" w:rsidR="00000000" w:rsidRDefault="00A173A8">
            <w:pPr>
              <w:spacing w:after="100"/>
              <w:jc w:val="right"/>
              <w:rPr>
                <w:rFonts w:eastAsia="Times New Roman"/>
              </w:rPr>
            </w:pPr>
            <w:r>
              <w:rPr>
                <w:rFonts w:eastAsia="Times New Roman"/>
                <w:b/>
                <w:bCs/>
                <w:color w:val="000000"/>
                <w:sz w:val="20"/>
                <w:szCs w:val="20"/>
              </w:rPr>
              <w:t>383.8</w:t>
            </w:r>
          </w:p>
        </w:tc>
        <w:tc>
          <w:tcPr>
            <w:tcW w:w="0" w:type="auto"/>
            <w:gridSpan w:val="3"/>
            <w:shd w:val="clear" w:color="auto" w:fill="FFFFFF"/>
            <w:tcMar>
              <w:top w:w="0" w:type="dxa"/>
              <w:left w:w="20" w:type="dxa"/>
              <w:bottom w:w="0" w:type="dxa"/>
              <w:right w:w="20" w:type="dxa"/>
            </w:tcMar>
            <w:vAlign w:val="center"/>
            <w:hideMark/>
          </w:tcPr>
          <w:p w14:paraId="3CE159D3"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C3FC8B3" w14:textId="77777777" w:rsidR="00000000" w:rsidRDefault="00A173A8">
            <w:pPr>
              <w:spacing w:after="100"/>
              <w:jc w:val="right"/>
              <w:rPr>
                <w:rFonts w:eastAsia="Times New Roman"/>
              </w:rPr>
            </w:pPr>
            <w:r>
              <w:rPr>
                <w:rFonts w:eastAsia="Times New Roman"/>
                <w:color w:val="000000"/>
                <w:sz w:val="20"/>
                <w:szCs w:val="20"/>
              </w:rPr>
              <w:t>446.1</w:t>
            </w:r>
          </w:p>
        </w:tc>
        <w:tc>
          <w:tcPr>
            <w:tcW w:w="0" w:type="auto"/>
            <w:gridSpan w:val="3"/>
            <w:shd w:val="clear" w:color="auto" w:fill="FFFFFF"/>
            <w:tcMar>
              <w:top w:w="0" w:type="dxa"/>
              <w:left w:w="20" w:type="dxa"/>
              <w:bottom w:w="0" w:type="dxa"/>
              <w:right w:w="20" w:type="dxa"/>
            </w:tcMar>
            <w:vAlign w:val="center"/>
            <w:hideMark/>
          </w:tcPr>
          <w:p w14:paraId="260334B9"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640A71CD" w14:textId="77777777" w:rsidR="00000000" w:rsidRDefault="00A173A8">
            <w:pPr>
              <w:spacing w:after="100"/>
              <w:jc w:val="right"/>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14:paraId="7FBCA215"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2A2ECF4" w14:textId="77777777" w:rsidR="00000000" w:rsidRDefault="00A173A8">
            <w:pPr>
              <w:spacing w:after="100"/>
              <w:jc w:val="right"/>
              <w:rPr>
                <w:rFonts w:eastAsia="Times New Roman"/>
              </w:rPr>
            </w:pPr>
            <w:r>
              <w:rPr>
                <w:rFonts w:eastAsia="Times New Roman"/>
                <w:b/>
                <w:bCs/>
                <w:color w:val="000000"/>
                <w:sz w:val="20"/>
                <w:szCs w:val="20"/>
              </w:rPr>
              <w:t>383.8</w:t>
            </w:r>
          </w:p>
        </w:tc>
        <w:tc>
          <w:tcPr>
            <w:tcW w:w="0" w:type="auto"/>
            <w:gridSpan w:val="3"/>
            <w:shd w:val="clear" w:color="auto" w:fill="FFFFFF"/>
            <w:tcMar>
              <w:top w:w="0" w:type="dxa"/>
              <w:left w:w="20" w:type="dxa"/>
              <w:bottom w:w="0" w:type="dxa"/>
              <w:right w:w="20" w:type="dxa"/>
            </w:tcMar>
            <w:vAlign w:val="center"/>
            <w:hideMark/>
          </w:tcPr>
          <w:p w14:paraId="3F6900B7"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A4D4F8A" w14:textId="77777777" w:rsidR="00000000" w:rsidRDefault="00A173A8">
            <w:pPr>
              <w:spacing w:after="100"/>
              <w:jc w:val="right"/>
              <w:rPr>
                <w:rFonts w:eastAsia="Times New Roman"/>
              </w:rPr>
            </w:pPr>
            <w:r>
              <w:rPr>
                <w:rFonts w:eastAsia="Times New Roman"/>
                <w:color w:val="000000"/>
                <w:sz w:val="20"/>
                <w:szCs w:val="20"/>
              </w:rPr>
              <w:t>446.1</w:t>
            </w:r>
          </w:p>
        </w:tc>
        <w:tc>
          <w:tcPr>
            <w:tcW w:w="0" w:type="auto"/>
            <w:vAlign w:val="center"/>
            <w:hideMark/>
          </w:tcPr>
          <w:p w14:paraId="42F1308F" w14:textId="77777777" w:rsidR="00000000" w:rsidRDefault="00A173A8">
            <w:pPr>
              <w:spacing w:after="100"/>
              <w:jc w:val="right"/>
              <w:rPr>
                <w:rFonts w:eastAsia="Times New Roman"/>
              </w:rPr>
            </w:pPr>
          </w:p>
        </w:tc>
        <w:tc>
          <w:tcPr>
            <w:tcW w:w="0" w:type="auto"/>
            <w:vAlign w:val="center"/>
            <w:hideMark/>
          </w:tcPr>
          <w:p w14:paraId="39E0A61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513093" w14:textId="77777777" w:rsidR="00000000" w:rsidRDefault="00A173A8">
            <w:pPr>
              <w:spacing w:after="100"/>
              <w:rPr>
                <w:rFonts w:eastAsia="Times New Roman"/>
                <w:sz w:val="20"/>
                <w:szCs w:val="20"/>
              </w:rPr>
            </w:pPr>
          </w:p>
        </w:tc>
        <w:tc>
          <w:tcPr>
            <w:tcW w:w="0" w:type="auto"/>
            <w:vAlign w:val="center"/>
            <w:hideMark/>
          </w:tcPr>
          <w:p w14:paraId="17C15E48" w14:textId="77777777" w:rsidR="00000000" w:rsidRDefault="00A173A8">
            <w:pPr>
              <w:spacing w:after="100"/>
              <w:rPr>
                <w:rFonts w:eastAsia="Times New Roman"/>
                <w:sz w:val="20"/>
                <w:szCs w:val="20"/>
              </w:rPr>
            </w:pPr>
          </w:p>
        </w:tc>
        <w:tc>
          <w:tcPr>
            <w:tcW w:w="0" w:type="auto"/>
            <w:gridSpan w:val="3"/>
            <w:vAlign w:val="center"/>
            <w:hideMark/>
          </w:tcPr>
          <w:p w14:paraId="704AB2C4" w14:textId="77777777" w:rsidR="00000000" w:rsidRDefault="00A173A8">
            <w:pPr>
              <w:spacing w:after="100"/>
              <w:rPr>
                <w:rFonts w:eastAsia="Times New Roman"/>
                <w:sz w:val="20"/>
                <w:szCs w:val="20"/>
              </w:rPr>
            </w:pPr>
          </w:p>
        </w:tc>
        <w:tc>
          <w:tcPr>
            <w:tcW w:w="0" w:type="auto"/>
            <w:gridSpan w:val="3"/>
            <w:vAlign w:val="center"/>
            <w:hideMark/>
          </w:tcPr>
          <w:p w14:paraId="7CB8F565" w14:textId="77777777" w:rsidR="00000000" w:rsidRDefault="00A173A8">
            <w:pPr>
              <w:spacing w:after="100"/>
              <w:rPr>
                <w:rFonts w:eastAsia="Times New Roman"/>
                <w:sz w:val="20"/>
                <w:szCs w:val="20"/>
              </w:rPr>
            </w:pPr>
          </w:p>
        </w:tc>
        <w:tc>
          <w:tcPr>
            <w:tcW w:w="0" w:type="auto"/>
            <w:gridSpan w:val="3"/>
            <w:vAlign w:val="center"/>
            <w:hideMark/>
          </w:tcPr>
          <w:p w14:paraId="5EAB2EFB"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683646CC" w14:textId="77777777" w:rsidR="00000000" w:rsidRDefault="00A173A8">
            <w:pPr>
              <w:spacing w:after="100"/>
              <w:jc w:val="right"/>
              <w:rPr>
                <w:rFonts w:eastAsia="Times New Roman"/>
              </w:rPr>
            </w:pPr>
            <w:r>
              <w:rPr>
                <w:rFonts w:eastAsia="Times New Roman"/>
                <w:color w:val="000000"/>
                <w:sz w:val="20"/>
                <w:szCs w:val="20"/>
              </w:rPr>
              <w:t>(14)</w:t>
            </w:r>
          </w:p>
        </w:tc>
        <w:tc>
          <w:tcPr>
            <w:tcW w:w="0" w:type="auto"/>
            <w:gridSpan w:val="3"/>
            <w:vAlign w:val="center"/>
            <w:hideMark/>
          </w:tcPr>
          <w:p w14:paraId="0546E45E" w14:textId="77777777" w:rsidR="00000000" w:rsidRDefault="00A173A8">
            <w:pPr>
              <w:spacing w:after="100"/>
              <w:jc w:val="right"/>
              <w:rPr>
                <w:rFonts w:eastAsia="Times New Roman"/>
              </w:rPr>
            </w:pPr>
          </w:p>
        </w:tc>
        <w:tc>
          <w:tcPr>
            <w:tcW w:w="0" w:type="auto"/>
            <w:gridSpan w:val="2"/>
            <w:vAlign w:val="center"/>
            <w:hideMark/>
          </w:tcPr>
          <w:p w14:paraId="0BB39EFA" w14:textId="77777777" w:rsidR="00000000" w:rsidRDefault="00A173A8">
            <w:pPr>
              <w:spacing w:after="100"/>
              <w:rPr>
                <w:rFonts w:eastAsia="Times New Roman"/>
                <w:sz w:val="20"/>
                <w:szCs w:val="20"/>
              </w:rPr>
            </w:pPr>
          </w:p>
        </w:tc>
      </w:tr>
      <w:tr w:rsidR="00000000" w14:paraId="39AD9820" w14:textId="77777777">
        <w:trPr>
          <w:divId w:val="261111824"/>
        </w:trPr>
        <w:tc>
          <w:tcPr>
            <w:tcW w:w="0" w:type="auto"/>
            <w:gridSpan w:val="3"/>
            <w:shd w:val="clear" w:color="auto" w:fill="CCEEFF"/>
            <w:tcMar>
              <w:top w:w="30" w:type="dxa"/>
              <w:left w:w="20" w:type="dxa"/>
              <w:bottom w:w="30" w:type="dxa"/>
              <w:right w:w="20" w:type="dxa"/>
            </w:tcMar>
            <w:vAlign w:val="center"/>
            <w:hideMark/>
          </w:tcPr>
          <w:p w14:paraId="1C8DE189" w14:textId="77777777" w:rsidR="00000000" w:rsidRDefault="00A173A8">
            <w:pPr>
              <w:spacing w:after="100"/>
              <w:rPr>
                <w:rFonts w:eastAsia="Times New Roman"/>
              </w:rPr>
            </w:pPr>
            <w:r>
              <w:rPr>
                <w:rFonts w:eastAsia="Times New Roman"/>
                <w:color w:val="000000"/>
                <w:sz w:val="20"/>
                <w:szCs w:val="20"/>
              </w:rPr>
              <w:t>Dividends declared and paid per common share</w:t>
            </w:r>
          </w:p>
        </w:tc>
        <w:tc>
          <w:tcPr>
            <w:tcW w:w="0" w:type="auto"/>
            <w:gridSpan w:val="3"/>
            <w:shd w:val="clear" w:color="auto" w:fill="CCEEFF"/>
            <w:tcMar>
              <w:top w:w="0" w:type="dxa"/>
              <w:left w:w="20" w:type="dxa"/>
              <w:bottom w:w="0" w:type="dxa"/>
              <w:right w:w="20" w:type="dxa"/>
            </w:tcMar>
            <w:vAlign w:val="center"/>
            <w:hideMark/>
          </w:tcPr>
          <w:p w14:paraId="0A11F361"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DB282F6"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74571671" w14:textId="77777777" w:rsidR="00000000" w:rsidRDefault="00A173A8">
            <w:pPr>
              <w:spacing w:after="100"/>
              <w:jc w:val="right"/>
              <w:rPr>
                <w:rFonts w:eastAsia="Times New Roman"/>
              </w:rPr>
            </w:pPr>
            <w:r>
              <w:rPr>
                <w:rFonts w:eastAsia="Times New Roman"/>
                <w:b/>
                <w:bCs/>
                <w:color w:val="000000"/>
                <w:sz w:val="20"/>
                <w:szCs w:val="20"/>
              </w:rPr>
              <w:t>0.60</w:t>
            </w:r>
          </w:p>
        </w:tc>
        <w:tc>
          <w:tcPr>
            <w:tcW w:w="0" w:type="auto"/>
            <w:gridSpan w:val="3"/>
            <w:shd w:val="clear" w:color="auto" w:fill="CCEEFF"/>
            <w:tcMar>
              <w:top w:w="0" w:type="dxa"/>
              <w:left w:w="20" w:type="dxa"/>
              <w:bottom w:w="0" w:type="dxa"/>
              <w:right w:w="20" w:type="dxa"/>
            </w:tcMar>
            <w:vAlign w:val="center"/>
            <w:hideMark/>
          </w:tcPr>
          <w:p w14:paraId="4C04EFA6"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46AA438"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A2AEE48" w14:textId="77777777" w:rsidR="00000000" w:rsidRDefault="00A173A8">
            <w:pPr>
              <w:spacing w:after="100"/>
              <w:jc w:val="right"/>
              <w:rPr>
                <w:rFonts w:eastAsia="Times New Roman"/>
              </w:rPr>
            </w:pPr>
            <w:r>
              <w:rPr>
                <w:rFonts w:eastAsia="Times New Roman"/>
                <w:color w:val="000000"/>
                <w:sz w:val="20"/>
                <w:szCs w:val="20"/>
              </w:rPr>
              <w:t>0.40</w:t>
            </w:r>
          </w:p>
        </w:tc>
        <w:tc>
          <w:tcPr>
            <w:tcW w:w="0" w:type="auto"/>
            <w:gridSpan w:val="3"/>
            <w:shd w:val="clear" w:color="auto" w:fill="CCEEFF"/>
            <w:tcMar>
              <w:top w:w="0" w:type="dxa"/>
              <w:left w:w="20" w:type="dxa"/>
              <w:bottom w:w="0" w:type="dxa"/>
              <w:right w:w="20" w:type="dxa"/>
            </w:tcMar>
            <w:vAlign w:val="center"/>
            <w:hideMark/>
          </w:tcPr>
          <w:p w14:paraId="1C041667"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3DC2384" w14:textId="77777777" w:rsidR="00000000" w:rsidRDefault="00A173A8">
            <w:pPr>
              <w:spacing w:after="100"/>
              <w:jc w:val="right"/>
              <w:rPr>
                <w:rFonts w:eastAsia="Times New Roman"/>
              </w:rPr>
            </w:pPr>
            <w:r>
              <w:rPr>
                <w:rFonts w:eastAsia="Times New Roman"/>
                <w:color w:val="000000"/>
                <w:sz w:val="20"/>
                <w:szCs w:val="20"/>
              </w:rPr>
              <w:t>50</w:t>
            </w:r>
          </w:p>
        </w:tc>
        <w:tc>
          <w:tcPr>
            <w:tcW w:w="0" w:type="auto"/>
            <w:gridSpan w:val="3"/>
            <w:shd w:val="clear" w:color="auto" w:fill="CCEEFF"/>
            <w:tcMar>
              <w:top w:w="0" w:type="dxa"/>
              <w:left w:w="20" w:type="dxa"/>
              <w:bottom w:w="0" w:type="dxa"/>
              <w:right w:w="20" w:type="dxa"/>
            </w:tcMar>
            <w:vAlign w:val="center"/>
            <w:hideMark/>
          </w:tcPr>
          <w:p w14:paraId="0F4B5E57"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96EEBD9"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F5ABF2C" w14:textId="77777777" w:rsidR="00000000" w:rsidRDefault="00A173A8">
            <w:pPr>
              <w:spacing w:after="100"/>
              <w:jc w:val="right"/>
              <w:rPr>
                <w:rFonts w:eastAsia="Times New Roman"/>
              </w:rPr>
            </w:pPr>
            <w:r>
              <w:rPr>
                <w:rFonts w:eastAsia="Times New Roman"/>
                <w:b/>
                <w:bCs/>
                <w:color w:val="000000"/>
                <w:sz w:val="20"/>
                <w:szCs w:val="20"/>
              </w:rPr>
              <w:t>1.20</w:t>
            </w:r>
          </w:p>
        </w:tc>
        <w:tc>
          <w:tcPr>
            <w:tcW w:w="0" w:type="auto"/>
            <w:gridSpan w:val="3"/>
            <w:shd w:val="clear" w:color="auto" w:fill="CCEEFF"/>
            <w:tcMar>
              <w:top w:w="0" w:type="dxa"/>
              <w:left w:w="20" w:type="dxa"/>
              <w:bottom w:w="0" w:type="dxa"/>
              <w:right w:w="20" w:type="dxa"/>
            </w:tcMar>
            <w:vAlign w:val="center"/>
            <w:hideMark/>
          </w:tcPr>
          <w:p w14:paraId="2764BE92"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EEFBABB"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2DDB9404" w14:textId="77777777" w:rsidR="00000000" w:rsidRDefault="00A173A8">
            <w:pPr>
              <w:spacing w:after="100"/>
              <w:jc w:val="right"/>
              <w:rPr>
                <w:rFonts w:eastAsia="Times New Roman"/>
              </w:rPr>
            </w:pPr>
            <w:r>
              <w:rPr>
                <w:rFonts w:eastAsia="Times New Roman"/>
                <w:color w:val="000000"/>
                <w:sz w:val="20"/>
                <w:szCs w:val="20"/>
              </w:rPr>
              <w:t>0.80</w:t>
            </w:r>
          </w:p>
        </w:tc>
        <w:tc>
          <w:tcPr>
            <w:tcW w:w="0" w:type="auto"/>
            <w:vAlign w:val="center"/>
            <w:hideMark/>
          </w:tcPr>
          <w:p w14:paraId="5BCA2F80" w14:textId="77777777" w:rsidR="00000000" w:rsidRDefault="00A173A8">
            <w:pPr>
              <w:spacing w:after="100"/>
              <w:jc w:val="right"/>
              <w:rPr>
                <w:rFonts w:eastAsia="Times New Roman"/>
              </w:rPr>
            </w:pPr>
          </w:p>
        </w:tc>
        <w:tc>
          <w:tcPr>
            <w:tcW w:w="0" w:type="auto"/>
            <w:vAlign w:val="center"/>
            <w:hideMark/>
          </w:tcPr>
          <w:p w14:paraId="768D175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C65122" w14:textId="77777777" w:rsidR="00000000" w:rsidRDefault="00A173A8">
            <w:pPr>
              <w:spacing w:after="100"/>
              <w:rPr>
                <w:rFonts w:eastAsia="Times New Roman"/>
                <w:sz w:val="20"/>
                <w:szCs w:val="20"/>
              </w:rPr>
            </w:pPr>
          </w:p>
        </w:tc>
        <w:tc>
          <w:tcPr>
            <w:tcW w:w="0" w:type="auto"/>
            <w:vAlign w:val="center"/>
            <w:hideMark/>
          </w:tcPr>
          <w:p w14:paraId="5C23530D" w14:textId="77777777" w:rsidR="00000000" w:rsidRDefault="00A173A8">
            <w:pPr>
              <w:spacing w:after="100"/>
              <w:rPr>
                <w:rFonts w:eastAsia="Times New Roman"/>
                <w:sz w:val="20"/>
                <w:szCs w:val="20"/>
              </w:rPr>
            </w:pPr>
          </w:p>
        </w:tc>
        <w:tc>
          <w:tcPr>
            <w:tcW w:w="0" w:type="auto"/>
            <w:gridSpan w:val="3"/>
            <w:vAlign w:val="center"/>
            <w:hideMark/>
          </w:tcPr>
          <w:p w14:paraId="5236016C" w14:textId="77777777" w:rsidR="00000000" w:rsidRDefault="00A173A8">
            <w:pPr>
              <w:spacing w:after="100"/>
              <w:rPr>
                <w:rFonts w:eastAsia="Times New Roman"/>
                <w:sz w:val="20"/>
                <w:szCs w:val="20"/>
              </w:rPr>
            </w:pPr>
          </w:p>
        </w:tc>
        <w:tc>
          <w:tcPr>
            <w:tcW w:w="0" w:type="auto"/>
            <w:gridSpan w:val="3"/>
            <w:vAlign w:val="center"/>
            <w:hideMark/>
          </w:tcPr>
          <w:p w14:paraId="7CE1750E" w14:textId="77777777" w:rsidR="00000000" w:rsidRDefault="00A173A8">
            <w:pPr>
              <w:spacing w:after="100"/>
              <w:rPr>
                <w:rFonts w:eastAsia="Times New Roman"/>
                <w:sz w:val="20"/>
                <w:szCs w:val="20"/>
              </w:rPr>
            </w:pPr>
          </w:p>
        </w:tc>
        <w:tc>
          <w:tcPr>
            <w:tcW w:w="0" w:type="auto"/>
            <w:gridSpan w:val="3"/>
            <w:vAlign w:val="center"/>
            <w:hideMark/>
          </w:tcPr>
          <w:p w14:paraId="70549EB5"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14:paraId="79597312" w14:textId="77777777" w:rsidR="00000000" w:rsidRDefault="00A173A8">
            <w:pPr>
              <w:spacing w:after="100"/>
              <w:jc w:val="right"/>
              <w:rPr>
                <w:rFonts w:eastAsia="Times New Roman"/>
              </w:rPr>
            </w:pPr>
            <w:r>
              <w:rPr>
                <w:rFonts w:eastAsia="Times New Roman"/>
                <w:color w:val="000000"/>
                <w:sz w:val="20"/>
                <w:szCs w:val="20"/>
              </w:rPr>
              <w:t>50</w:t>
            </w:r>
          </w:p>
        </w:tc>
        <w:tc>
          <w:tcPr>
            <w:tcW w:w="0" w:type="auto"/>
            <w:gridSpan w:val="3"/>
            <w:vAlign w:val="center"/>
            <w:hideMark/>
          </w:tcPr>
          <w:p w14:paraId="77A07A56" w14:textId="77777777" w:rsidR="00000000" w:rsidRDefault="00A173A8">
            <w:pPr>
              <w:spacing w:after="100"/>
              <w:jc w:val="right"/>
              <w:rPr>
                <w:rFonts w:eastAsia="Times New Roman"/>
              </w:rPr>
            </w:pPr>
          </w:p>
        </w:tc>
        <w:tc>
          <w:tcPr>
            <w:tcW w:w="0" w:type="auto"/>
            <w:gridSpan w:val="2"/>
            <w:vAlign w:val="center"/>
            <w:hideMark/>
          </w:tcPr>
          <w:p w14:paraId="62823EBC" w14:textId="77777777" w:rsidR="00000000" w:rsidRDefault="00A173A8">
            <w:pPr>
              <w:spacing w:after="100"/>
              <w:rPr>
                <w:rFonts w:eastAsia="Times New Roman"/>
                <w:sz w:val="20"/>
                <w:szCs w:val="20"/>
              </w:rPr>
            </w:pPr>
          </w:p>
        </w:tc>
      </w:tr>
      <w:tr w:rsidR="00000000" w14:paraId="682A4DAF" w14:textId="77777777">
        <w:trPr>
          <w:divId w:val="261111824"/>
        </w:trPr>
        <w:tc>
          <w:tcPr>
            <w:tcW w:w="0" w:type="auto"/>
            <w:gridSpan w:val="3"/>
            <w:vAlign w:val="center"/>
            <w:hideMark/>
          </w:tcPr>
          <w:p w14:paraId="53B1D7B2" w14:textId="77777777" w:rsidR="00000000" w:rsidRDefault="00A173A8">
            <w:pPr>
              <w:spacing w:after="100"/>
              <w:rPr>
                <w:rFonts w:eastAsia="Times New Roman"/>
                <w:sz w:val="20"/>
                <w:szCs w:val="20"/>
              </w:rPr>
            </w:pPr>
          </w:p>
        </w:tc>
        <w:tc>
          <w:tcPr>
            <w:tcW w:w="0" w:type="auto"/>
            <w:gridSpan w:val="3"/>
            <w:vAlign w:val="center"/>
            <w:hideMark/>
          </w:tcPr>
          <w:p w14:paraId="68AC99DC" w14:textId="77777777" w:rsidR="00000000" w:rsidRDefault="00A173A8">
            <w:pPr>
              <w:spacing w:after="100"/>
              <w:rPr>
                <w:rFonts w:eastAsia="Times New Roman"/>
                <w:sz w:val="20"/>
                <w:szCs w:val="20"/>
              </w:rPr>
            </w:pPr>
          </w:p>
        </w:tc>
        <w:tc>
          <w:tcPr>
            <w:tcW w:w="0" w:type="auto"/>
            <w:gridSpan w:val="3"/>
            <w:vAlign w:val="center"/>
            <w:hideMark/>
          </w:tcPr>
          <w:p w14:paraId="409770BA" w14:textId="77777777" w:rsidR="00000000" w:rsidRDefault="00A173A8">
            <w:pPr>
              <w:spacing w:after="100"/>
              <w:rPr>
                <w:rFonts w:eastAsia="Times New Roman"/>
                <w:sz w:val="20"/>
                <w:szCs w:val="20"/>
              </w:rPr>
            </w:pPr>
          </w:p>
        </w:tc>
        <w:tc>
          <w:tcPr>
            <w:tcW w:w="0" w:type="auto"/>
            <w:gridSpan w:val="3"/>
            <w:vAlign w:val="center"/>
            <w:hideMark/>
          </w:tcPr>
          <w:p w14:paraId="0CCC6751" w14:textId="77777777" w:rsidR="00000000" w:rsidRDefault="00A173A8">
            <w:pPr>
              <w:spacing w:after="100"/>
              <w:rPr>
                <w:rFonts w:eastAsia="Times New Roman"/>
                <w:sz w:val="20"/>
                <w:szCs w:val="20"/>
              </w:rPr>
            </w:pPr>
          </w:p>
        </w:tc>
        <w:tc>
          <w:tcPr>
            <w:tcW w:w="0" w:type="auto"/>
            <w:gridSpan w:val="3"/>
            <w:vAlign w:val="center"/>
            <w:hideMark/>
          </w:tcPr>
          <w:p w14:paraId="18A43671" w14:textId="77777777" w:rsidR="00000000" w:rsidRDefault="00A173A8">
            <w:pPr>
              <w:spacing w:after="100"/>
              <w:rPr>
                <w:rFonts w:eastAsia="Times New Roman"/>
                <w:sz w:val="20"/>
                <w:szCs w:val="20"/>
              </w:rPr>
            </w:pPr>
          </w:p>
        </w:tc>
        <w:tc>
          <w:tcPr>
            <w:tcW w:w="0" w:type="auto"/>
            <w:gridSpan w:val="3"/>
            <w:vAlign w:val="center"/>
            <w:hideMark/>
          </w:tcPr>
          <w:p w14:paraId="6EC94060" w14:textId="77777777" w:rsidR="00000000" w:rsidRDefault="00A173A8">
            <w:pPr>
              <w:spacing w:after="100"/>
              <w:rPr>
                <w:rFonts w:eastAsia="Times New Roman"/>
                <w:sz w:val="20"/>
                <w:szCs w:val="20"/>
              </w:rPr>
            </w:pPr>
          </w:p>
        </w:tc>
        <w:tc>
          <w:tcPr>
            <w:tcW w:w="0" w:type="auto"/>
            <w:gridSpan w:val="3"/>
            <w:vAlign w:val="center"/>
            <w:hideMark/>
          </w:tcPr>
          <w:p w14:paraId="39B78CF9" w14:textId="77777777" w:rsidR="00000000" w:rsidRDefault="00A173A8">
            <w:pPr>
              <w:spacing w:after="100"/>
              <w:rPr>
                <w:rFonts w:eastAsia="Times New Roman"/>
                <w:sz w:val="20"/>
                <w:szCs w:val="20"/>
              </w:rPr>
            </w:pPr>
          </w:p>
        </w:tc>
        <w:tc>
          <w:tcPr>
            <w:tcW w:w="0" w:type="auto"/>
            <w:gridSpan w:val="3"/>
            <w:vAlign w:val="center"/>
            <w:hideMark/>
          </w:tcPr>
          <w:p w14:paraId="51A80E16" w14:textId="77777777" w:rsidR="00000000" w:rsidRDefault="00A173A8">
            <w:pPr>
              <w:spacing w:after="100"/>
              <w:rPr>
                <w:rFonts w:eastAsia="Times New Roman"/>
                <w:sz w:val="20"/>
                <w:szCs w:val="20"/>
              </w:rPr>
            </w:pPr>
          </w:p>
        </w:tc>
        <w:tc>
          <w:tcPr>
            <w:tcW w:w="0" w:type="auto"/>
            <w:gridSpan w:val="3"/>
            <w:vAlign w:val="center"/>
            <w:hideMark/>
          </w:tcPr>
          <w:p w14:paraId="373155D5" w14:textId="77777777" w:rsidR="00000000" w:rsidRDefault="00A173A8">
            <w:pPr>
              <w:spacing w:after="100"/>
              <w:rPr>
                <w:rFonts w:eastAsia="Times New Roman"/>
                <w:sz w:val="20"/>
                <w:szCs w:val="20"/>
              </w:rPr>
            </w:pPr>
          </w:p>
        </w:tc>
        <w:tc>
          <w:tcPr>
            <w:tcW w:w="0" w:type="auto"/>
            <w:gridSpan w:val="3"/>
            <w:vAlign w:val="center"/>
            <w:hideMark/>
          </w:tcPr>
          <w:p w14:paraId="7AB69F2C" w14:textId="77777777" w:rsidR="00000000" w:rsidRDefault="00A173A8">
            <w:pPr>
              <w:spacing w:after="100"/>
              <w:rPr>
                <w:rFonts w:eastAsia="Times New Roman"/>
                <w:sz w:val="20"/>
                <w:szCs w:val="20"/>
              </w:rPr>
            </w:pPr>
          </w:p>
        </w:tc>
        <w:tc>
          <w:tcPr>
            <w:tcW w:w="0" w:type="auto"/>
            <w:gridSpan w:val="3"/>
            <w:vAlign w:val="center"/>
            <w:hideMark/>
          </w:tcPr>
          <w:p w14:paraId="4B05502C" w14:textId="77777777" w:rsidR="00000000" w:rsidRDefault="00A173A8">
            <w:pPr>
              <w:spacing w:after="100"/>
              <w:rPr>
                <w:rFonts w:eastAsia="Times New Roman"/>
                <w:sz w:val="20"/>
                <w:szCs w:val="20"/>
              </w:rPr>
            </w:pPr>
          </w:p>
        </w:tc>
        <w:tc>
          <w:tcPr>
            <w:tcW w:w="0" w:type="auto"/>
            <w:vAlign w:val="center"/>
            <w:hideMark/>
          </w:tcPr>
          <w:p w14:paraId="25E1851F" w14:textId="77777777" w:rsidR="00000000" w:rsidRDefault="00A173A8">
            <w:pPr>
              <w:spacing w:after="100"/>
              <w:rPr>
                <w:rFonts w:eastAsia="Times New Roman"/>
                <w:sz w:val="20"/>
                <w:szCs w:val="20"/>
              </w:rPr>
            </w:pPr>
          </w:p>
        </w:tc>
        <w:tc>
          <w:tcPr>
            <w:tcW w:w="0" w:type="auto"/>
            <w:vAlign w:val="center"/>
            <w:hideMark/>
          </w:tcPr>
          <w:p w14:paraId="57BCC7A2" w14:textId="77777777" w:rsidR="00000000" w:rsidRDefault="00A173A8">
            <w:pPr>
              <w:spacing w:after="100"/>
              <w:rPr>
                <w:rFonts w:eastAsia="Times New Roman"/>
                <w:sz w:val="20"/>
                <w:szCs w:val="20"/>
              </w:rPr>
            </w:pPr>
          </w:p>
        </w:tc>
        <w:tc>
          <w:tcPr>
            <w:tcW w:w="0" w:type="auto"/>
            <w:gridSpan w:val="3"/>
            <w:vAlign w:val="center"/>
            <w:hideMark/>
          </w:tcPr>
          <w:p w14:paraId="004375BC" w14:textId="77777777" w:rsidR="00000000" w:rsidRDefault="00A173A8">
            <w:pPr>
              <w:spacing w:after="100"/>
              <w:rPr>
                <w:rFonts w:eastAsia="Times New Roman"/>
                <w:sz w:val="20"/>
                <w:szCs w:val="20"/>
              </w:rPr>
            </w:pPr>
          </w:p>
        </w:tc>
        <w:tc>
          <w:tcPr>
            <w:tcW w:w="0" w:type="auto"/>
            <w:vAlign w:val="center"/>
            <w:hideMark/>
          </w:tcPr>
          <w:p w14:paraId="370865A5" w14:textId="77777777" w:rsidR="00000000" w:rsidRDefault="00A173A8">
            <w:pPr>
              <w:spacing w:after="100"/>
              <w:rPr>
                <w:rFonts w:eastAsia="Times New Roman"/>
                <w:sz w:val="20"/>
                <w:szCs w:val="20"/>
              </w:rPr>
            </w:pPr>
          </w:p>
        </w:tc>
        <w:tc>
          <w:tcPr>
            <w:tcW w:w="0" w:type="auto"/>
            <w:gridSpan w:val="3"/>
            <w:vAlign w:val="center"/>
            <w:hideMark/>
          </w:tcPr>
          <w:p w14:paraId="58303532" w14:textId="77777777" w:rsidR="00000000" w:rsidRDefault="00A173A8">
            <w:pPr>
              <w:spacing w:after="100"/>
              <w:rPr>
                <w:rFonts w:eastAsia="Times New Roman"/>
                <w:sz w:val="20"/>
                <w:szCs w:val="20"/>
              </w:rPr>
            </w:pPr>
          </w:p>
        </w:tc>
        <w:tc>
          <w:tcPr>
            <w:tcW w:w="0" w:type="auto"/>
            <w:gridSpan w:val="3"/>
            <w:vAlign w:val="center"/>
            <w:hideMark/>
          </w:tcPr>
          <w:p w14:paraId="4C75A79D" w14:textId="77777777" w:rsidR="00000000" w:rsidRDefault="00A173A8">
            <w:pPr>
              <w:spacing w:after="100"/>
              <w:rPr>
                <w:rFonts w:eastAsia="Times New Roman"/>
                <w:sz w:val="20"/>
                <w:szCs w:val="20"/>
              </w:rPr>
            </w:pPr>
          </w:p>
        </w:tc>
        <w:tc>
          <w:tcPr>
            <w:tcW w:w="0" w:type="auto"/>
            <w:gridSpan w:val="3"/>
            <w:vAlign w:val="center"/>
            <w:hideMark/>
          </w:tcPr>
          <w:p w14:paraId="58AC13D1" w14:textId="77777777" w:rsidR="00000000" w:rsidRDefault="00A173A8">
            <w:pPr>
              <w:spacing w:after="100"/>
              <w:rPr>
                <w:rFonts w:eastAsia="Times New Roman"/>
                <w:sz w:val="20"/>
                <w:szCs w:val="20"/>
              </w:rPr>
            </w:pPr>
          </w:p>
        </w:tc>
        <w:tc>
          <w:tcPr>
            <w:tcW w:w="0" w:type="auto"/>
            <w:gridSpan w:val="3"/>
            <w:vAlign w:val="center"/>
            <w:hideMark/>
          </w:tcPr>
          <w:p w14:paraId="5C811456" w14:textId="77777777" w:rsidR="00000000" w:rsidRDefault="00A173A8">
            <w:pPr>
              <w:spacing w:after="100"/>
              <w:rPr>
                <w:rFonts w:eastAsia="Times New Roman"/>
                <w:sz w:val="20"/>
                <w:szCs w:val="20"/>
              </w:rPr>
            </w:pPr>
          </w:p>
        </w:tc>
        <w:tc>
          <w:tcPr>
            <w:tcW w:w="0" w:type="auto"/>
            <w:gridSpan w:val="3"/>
            <w:vAlign w:val="center"/>
            <w:hideMark/>
          </w:tcPr>
          <w:p w14:paraId="5EF61828" w14:textId="77777777" w:rsidR="00000000" w:rsidRDefault="00A173A8">
            <w:pPr>
              <w:spacing w:after="100"/>
              <w:rPr>
                <w:rFonts w:eastAsia="Times New Roman"/>
                <w:sz w:val="20"/>
                <w:szCs w:val="20"/>
              </w:rPr>
            </w:pPr>
          </w:p>
        </w:tc>
        <w:tc>
          <w:tcPr>
            <w:tcW w:w="0" w:type="auto"/>
            <w:gridSpan w:val="2"/>
            <w:vAlign w:val="center"/>
            <w:hideMark/>
          </w:tcPr>
          <w:p w14:paraId="2209AC78"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28B87FD7" w14:textId="77777777">
        <w:trPr>
          <w:jc w:val="center"/>
        </w:trPr>
        <w:tc>
          <w:tcPr>
            <w:tcW w:w="50" w:type="pct"/>
            <w:vAlign w:val="center"/>
            <w:hideMark/>
          </w:tcPr>
          <w:p w14:paraId="39F32777" w14:textId="77777777" w:rsidR="00000000" w:rsidRDefault="00A173A8">
            <w:pPr>
              <w:rPr>
                <w:rFonts w:eastAsia="Times New Roman"/>
              </w:rPr>
            </w:pPr>
          </w:p>
        </w:tc>
        <w:tc>
          <w:tcPr>
            <w:tcW w:w="1606" w:type="pct"/>
            <w:vAlign w:val="center"/>
            <w:hideMark/>
          </w:tcPr>
          <w:p w14:paraId="403DC17E" w14:textId="77777777" w:rsidR="00000000" w:rsidRDefault="00A173A8">
            <w:pPr>
              <w:spacing w:after="100"/>
              <w:rPr>
                <w:rFonts w:eastAsia="Times New Roman"/>
                <w:sz w:val="20"/>
                <w:szCs w:val="20"/>
              </w:rPr>
            </w:pPr>
          </w:p>
        </w:tc>
        <w:tc>
          <w:tcPr>
            <w:tcW w:w="5" w:type="pct"/>
            <w:vAlign w:val="center"/>
            <w:hideMark/>
          </w:tcPr>
          <w:p w14:paraId="1C34E0A2" w14:textId="77777777" w:rsidR="00000000" w:rsidRDefault="00A173A8">
            <w:pPr>
              <w:spacing w:after="100"/>
              <w:rPr>
                <w:rFonts w:eastAsia="Times New Roman"/>
                <w:sz w:val="20"/>
                <w:szCs w:val="20"/>
              </w:rPr>
            </w:pPr>
          </w:p>
        </w:tc>
        <w:tc>
          <w:tcPr>
            <w:tcW w:w="50" w:type="pct"/>
            <w:vAlign w:val="center"/>
            <w:hideMark/>
          </w:tcPr>
          <w:p w14:paraId="339A62DF" w14:textId="77777777" w:rsidR="00000000" w:rsidRDefault="00A173A8">
            <w:pPr>
              <w:spacing w:after="100"/>
              <w:rPr>
                <w:rFonts w:eastAsia="Times New Roman"/>
                <w:sz w:val="20"/>
                <w:szCs w:val="20"/>
              </w:rPr>
            </w:pPr>
          </w:p>
        </w:tc>
        <w:tc>
          <w:tcPr>
            <w:tcW w:w="1614" w:type="pct"/>
            <w:vAlign w:val="center"/>
            <w:hideMark/>
          </w:tcPr>
          <w:p w14:paraId="44CFCB72" w14:textId="77777777" w:rsidR="00000000" w:rsidRDefault="00A173A8">
            <w:pPr>
              <w:spacing w:after="100"/>
              <w:rPr>
                <w:rFonts w:eastAsia="Times New Roman"/>
                <w:sz w:val="20"/>
                <w:szCs w:val="20"/>
              </w:rPr>
            </w:pPr>
          </w:p>
        </w:tc>
        <w:tc>
          <w:tcPr>
            <w:tcW w:w="5" w:type="pct"/>
            <w:vAlign w:val="center"/>
            <w:hideMark/>
          </w:tcPr>
          <w:p w14:paraId="72BCA45C" w14:textId="77777777" w:rsidR="00000000" w:rsidRDefault="00A173A8">
            <w:pPr>
              <w:spacing w:after="100"/>
              <w:rPr>
                <w:rFonts w:eastAsia="Times New Roman"/>
                <w:sz w:val="20"/>
                <w:szCs w:val="20"/>
              </w:rPr>
            </w:pPr>
          </w:p>
        </w:tc>
        <w:tc>
          <w:tcPr>
            <w:tcW w:w="50" w:type="pct"/>
            <w:vAlign w:val="center"/>
            <w:hideMark/>
          </w:tcPr>
          <w:p w14:paraId="49FA565B" w14:textId="77777777" w:rsidR="00000000" w:rsidRDefault="00A173A8">
            <w:pPr>
              <w:spacing w:after="100"/>
              <w:rPr>
                <w:rFonts w:eastAsia="Times New Roman"/>
                <w:sz w:val="20"/>
                <w:szCs w:val="20"/>
              </w:rPr>
            </w:pPr>
          </w:p>
        </w:tc>
        <w:tc>
          <w:tcPr>
            <w:tcW w:w="1614" w:type="pct"/>
            <w:vAlign w:val="center"/>
            <w:hideMark/>
          </w:tcPr>
          <w:p w14:paraId="23CFC17E" w14:textId="77777777" w:rsidR="00000000" w:rsidRDefault="00A173A8">
            <w:pPr>
              <w:spacing w:after="100"/>
              <w:rPr>
                <w:rFonts w:eastAsia="Times New Roman"/>
                <w:sz w:val="20"/>
                <w:szCs w:val="20"/>
              </w:rPr>
            </w:pPr>
          </w:p>
        </w:tc>
        <w:tc>
          <w:tcPr>
            <w:tcW w:w="5" w:type="pct"/>
            <w:vAlign w:val="center"/>
            <w:hideMark/>
          </w:tcPr>
          <w:p w14:paraId="743ECFD8" w14:textId="77777777" w:rsidR="00000000" w:rsidRDefault="00A173A8">
            <w:pPr>
              <w:spacing w:after="100"/>
              <w:rPr>
                <w:rFonts w:eastAsia="Times New Roman"/>
                <w:sz w:val="20"/>
                <w:szCs w:val="20"/>
              </w:rPr>
            </w:pPr>
          </w:p>
        </w:tc>
      </w:tr>
      <w:tr w:rsidR="00000000" w14:paraId="182B56D1" w14:textId="77777777">
        <w:trPr>
          <w:trHeight w:val="300"/>
          <w:jc w:val="center"/>
        </w:trPr>
        <w:tc>
          <w:tcPr>
            <w:tcW w:w="0" w:type="auto"/>
            <w:gridSpan w:val="9"/>
            <w:tcMar>
              <w:top w:w="0" w:type="dxa"/>
              <w:left w:w="20" w:type="dxa"/>
              <w:bottom w:w="0" w:type="dxa"/>
              <w:right w:w="20" w:type="dxa"/>
            </w:tcMar>
            <w:vAlign w:val="center"/>
            <w:hideMark/>
          </w:tcPr>
          <w:p w14:paraId="490D2403" w14:textId="77777777" w:rsidR="00000000" w:rsidRDefault="00A173A8">
            <w:pPr>
              <w:spacing w:after="100"/>
              <w:rPr>
                <w:rFonts w:eastAsia="Times New Roman"/>
                <w:sz w:val="20"/>
                <w:szCs w:val="20"/>
              </w:rPr>
            </w:pPr>
          </w:p>
        </w:tc>
      </w:tr>
      <w:tr w:rsidR="00000000" w14:paraId="35ACA030" w14:textId="77777777">
        <w:trPr>
          <w:jc w:val="center"/>
        </w:trPr>
        <w:tc>
          <w:tcPr>
            <w:tcW w:w="0" w:type="auto"/>
            <w:gridSpan w:val="3"/>
            <w:tcMar>
              <w:top w:w="0" w:type="dxa"/>
              <w:left w:w="20" w:type="dxa"/>
              <w:bottom w:w="0" w:type="dxa"/>
              <w:right w:w="20" w:type="dxa"/>
            </w:tcMar>
            <w:vAlign w:val="center"/>
            <w:hideMark/>
          </w:tcPr>
          <w:p w14:paraId="51AE4D97"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6E38681" w14:textId="77777777" w:rsidR="00000000" w:rsidRDefault="00A173A8">
            <w:pPr>
              <w:spacing w:after="100"/>
              <w:jc w:val="center"/>
              <w:rPr>
                <w:rFonts w:eastAsia="Times New Roman"/>
              </w:rPr>
            </w:pPr>
            <w:r>
              <w:rPr>
                <w:rFonts w:eastAsia="Times New Roman"/>
                <w:color w:val="000000"/>
                <w:sz w:val="16"/>
                <w:szCs w:val="16"/>
              </w:rPr>
              <w:t>6</w:t>
            </w:r>
          </w:p>
        </w:tc>
        <w:tc>
          <w:tcPr>
            <w:tcW w:w="0" w:type="auto"/>
            <w:gridSpan w:val="3"/>
            <w:tcMar>
              <w:top w:w="30" w:type="dxa"/>
              <w:left w:w="20" w:type="dxa"/>
              <w:bottom w:w="30" w:type="dxa"/>
              <w:right w:w="20" w:type="dxa"/>
            </w:tcMar>
            <w:vAlign w:val="bottom"/>
            <w:hideMark/>
          </w:tcPr>
          <w:p w14:paraId="01ABC4E1"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A8A30F9" w14:textId="77777777" w:rsidR="00000000" w:rsidRDefault="00A173A8">
      <w:pPr>
        <w:rPr>
          <w:rFonts w:eastAsia="Times New Roman"/>
        </w:rPr>
      </w:pPr>
      <w:r>
        <w:rPr>
          <w:rFonts w:eastAsia="Times New Roman"/>
        </w:rPr>
        <w:pict w14:anchorId="5F54D1EC">
          <v:rect id="_x0000_i1031" style="width:0;height:1.5pt" o:hralign="center" o:hrstd="t" o:hr="t" fillcolor="#a0a0a0" stroked="f"/>
        </w:pict>
      </w:r>
    </w:p>
    <w:p w14:paraId="6285A1A3" w14:textId="77777777" w:rsidR="00000000" w:rsidRDefault="00A173A8">
      <w:pPr>
        <w:ind w:hanging="360"/>
        <w:jc w:val="both"/>
        <w:divId w:val="1907567262"/>
        <w:rPr>
          <w:rFonts w:eastAsia="Times New Roman"/>
        </w:rPr>
      </w:pPr>
      <w:hyperlink w:anchor="i7ffd5d61af6f4722b1b1b07530d51c06_13" w:history="1">
        <w:r>
          <w:rPr>
            <w:rStyle w:val="a3"/>
            <w:rFonts w:eastAsia="Times New Roman"/>
            <w:sz w:val="16"/>
            <w:szCs w:val="16"/>
          </w:rPr>
          <w:t xml:space="preserve">Table of </w:t>
        </w:r>
      </w:hyperlink>
      <w:hyperlink w:anchor="i7ffd5d61af6f4722b1b1b07530d51c06_13" w:history="1">
        <w:r>
          <w:rPr>
            <w:rStyle w:val="a3"/>
            <w:rFonts w:eastAsia="Times New Roman"/>
            <w:sz w:val="16"/>
            <w:szCs w:val="16"/>
          </w:rPr>
          <w:t>Contents</w:t>
        </w:r>
      </w:hyperlink>
    </w:p>
    <w:tbl>
      <w:tblPr>
        <w:tblW w:w="4948" w:type="pct"/>
        <w:tblCellMar>
          <w:top w:w="15" w:type="dxa"/>
          <w:left w:w="15" w:type="dxa"/>
          <w:bottom w:w="15" w:type="dxa"/>
          <w:right w:w="15" w:type="dxa"/>
        </w:tblCellMar>
        <w:tblLook w:val="04A0" w:firstRow="1" w:lastRow="0" w:firstColumn="1" w:lastColumn="0" w:noHBand="0" w:noVBand="1"/>
      </w:tblPr>
      <w:tblGrid>
        <w:gridCol w:w="41"/>
        <w:gridCol w:w="1085"/>
        <w:gridCol w:w="40"/>
        <w:gridCol w:w="36"/>
        <w:gridCol w:w="36"/>
        <w:gridCol w:w="36"/>
        <w:gridCol w:w="120"/>
        <w:gridCol w:w="781"/>
        <w:gridCol w:w="221"/>
        <w:gridCol w:w="36"/>
        <w:gridCol w:w="36"/>
        <w:gridCol w:w="36"/>
        <w:gridCol w:w="122"/>
        <w:gridCol w:w="782"/>
        <w:gridCol w:w="37"/>
        <w:gridCol w:w="36"/>
        <w:gridCol w:w="36"/>
        <w:gridCol w:w="36"/>
        <w:gridCol w:w="71"/>
        <w:gridCol w:w="618"/>
        <w:gridCol w:w="298"/>
        <w:gridCol w:w="36"/>
        <w:gridCol w:w="36"/>
        <w:gridCol w:w="36"/>
        <w:gridCol w:w="120"/>
        <w:gridCol w:w="782"/>
        <w:gridCol w:w="221"/>
        <w:gridCol w:w="36"/>
        <w:gridCol w:w="36"/>
        <w:gridCol w:w="36"/>
        <w:gridCol w:w="122"/>
        <w:gridCol w:w="782"/>
        <w:gridCol w:w="37"/>
        <w:gridCol w:w="36"/>
        <w:gridCol w:w="36"/>
        <w:gridCol w:w="36"/>
        <w:gridCol w:w="36"/>
        <w:gridCol w:w="36"/>
        <w:gridCol w:w="36"/>
        <w:gridCol w:w="36"/>
        <w:gridCol w:w="36"/>
        <w:gridCol w:w="36"/>
        <w:gridCol w:w="36"/>
        <w:gridCol w:w="36"/>
        <w:gridCol w:w="36"/>
        <w:gridCol w:w="36"/>
        <w:gridCol w:w="36"/>
        <w:gridCol w:w="36"/>
        <w:gridCol w:w="71"/>
        <w:gridCol w:w="618"/>
        <w:gridCol w:w="298"/>
        <w:gridCol w:w="36"/>
        <w:gridCol w:w="36"/>
        <w:gridCol w:w="36"/>
        <w:gridCol w:w="36"/>
        <w:gridCol w:w="36"/>
      </w:tblGrid>
      <w:tr w:rsidR="00000000" w14:paraId="5ED7F7F2" w14:textId="77777777">
        <w:trPr>
          <w:divId w:val="1533881267"/>
        </w:trPr>
        <w:tc>
          <w:tcPr>
            <w:tcW w:w="50" w:type="pct"/>
            <w:vAlign w:val="center"/>
            <w:hideMark/>
          </w:tcPr>
          <w:p w14:paraId="3B96DA9C" w14:textId="77777777" w:rsidR="00000000" w:rsidRDefault="00A173A8">
            <w:pPr>
              <w:ind w:hanging="360"/>
              <w:jc w:val="both"/>
              <w:rPr>
                <w:rFonts w:eastAsia="Times New Roman"/>
              </w:rPr>
            </w:pPr>
          </w:p>
        </w:tc>
        <w:tc>
          <w:tcPr>
            <w:tcW w:w="1769" w:type="pct"/>
            <w:vAlign w:val="center"/>
            <w:hideMark/>
          </w:tcPr>
          <w:p w14:paraId="254D57D5" w14:textId="77777777" w:rsidR="00000000" w:rsidRDefault="00A173A8">
            <w:pPr>
              <w:spacing w:after="100"/>
              <w:rPr>
                <w:rFonts w:eastAsia="Times New Roman"/>
                <w:sz w:val="20"/>
                <w:szCs w:val="20"/>
              </w:rPr>
            </w:pPr>
          </w:p>
        </w:tc>
        <w:tc>
          <w:tcPr>
            <w:tcW w:w="5" w:type="pct"/>
            <w:vAlign w:val="center"/>
            <w:hideMark/>
          </w:tcPr>
          <w:p w14:paraId="232F52F5" w14:textId="77777777" w:rsidR="00000000" w:rsidRDefault="00A173A8">
            <w:pPr>
              <w:spacing w:after="100"/>
              <w:rPr>
                <w:rFonts w:eastAsia="Times New Roman"/>
                <w:sz w:val="20"/>
                <w:szCs w:val="20"/>
              </w:rPr>
            </w:pPr>
          </w:p>
        </w:tc>
        <w:tc>
          <w:tcPr>
            <w:tcW w:w="5" w:type="pct"/>
            <w:vAlign w:val="center"/>
            <w:hideMark/>
          </w:tcPr>
          <w:p w14:paraId="698E4CE7" w14:textId="77777777" w:rsidR="00000000" w:rsidRDefault="00A173A8">
            <w:pPr>
              <w:spacing w:after="100"/>
              <w:rPr>
                <w:rFonts w:eastAsia="Times New Roman"/>
                <w:sz w:val="20"/>
                <w:szCs w:val="20"/>
              </w:rPr>
            </w:pPr>
          </w:p>
        </w:tc>
        <w:tc>
          <w:tcPr>
            <w:tcW w:w="19" w:type="pct"/>
            <w:vAlign w:val="center"/>
            <w:hideMark/>
          </w:tcPr>
          <w:p w14:paraId="13293A33" w14:textId="77777777" w:rsidR="00000000" w:rsidRDefault="00A173A8">
            <w:pPr>
              <w:spacing w:after="100"/>
              <w:rPr>
                <w:rFonts w:eastAsia="Times New Roman"/>
                <w:sz w:val="20"/>
                <w:szCs w:val="20"/>
              </w:rPr>
            </w:pPr>
          </w:p>
        </w:tc>
        <w:tc>
          <w:tcPr>
            <w:tcW w:w="5" w:type="pct"/>
            <w:vAlign w:val="center"/>
            <w:hideMark/>
          </w:tcPr>
          <w:p w14:paraId="2FAA68CE" w14:textId="77777777" w:rsidR="00000000" w:rsidRDefault="00A173A8">
            <w:pPr>
              <w:spacing w:after="100"/>
              <w:rPr>
                <w:rFonts w:eastAsia="Times New Roman"/>
                <w:sz w:val="20"/>
                <w:szCs w:val="20"/>
              </w:rPr>
            </w:pPr>
          </w:p>
        </w:tc>
        <w:tc>
          <w:tcPr>
            <w:tcW w:w="50" w:type="pct"/>
            <w:vAlign w:val="center"/>
            <w:hideMark/>
          </w:tcPr>
          <w:p w14:paraId="37837C1B" w14:textId="77777777" w:rsidR="00000000" w:rsidRDefault="00A173A8">
            <w:pPr>
              <w:spacing w:after="100"/>
              <w:rPr>
                <w:rFonts w:eastAsia="Times New Roman"/>
                <w:sz w:val="20"/>
                <w:szCs w:val="20"/>
              </w:rPr>
            </w:pPr>
          </w:p>
        </w:tc>
        <w:tc>
          <w:tcPr>
            <w:tcW w:w="439" w:type="pct"/>
            <w:vAlign w:val="center"/>
            <w:hideMark/>
          </w:tcPr>
          <w:p w14:paraId="4A3CE668" w14:textId="77777777" w:rsidR="00000000" w:rsidRDefault="00A173A8">
            <w:pPr>
              <w:spacing w:after="100"/>
              <w:rPr>
                <w:rFonts w:eastAsia="Times New Roman"/>
                <w:sz w:val="20"/>
                <w:szCs w:val="20"/>
              </w:rPr>
            </w:pPr>
          </w:p>
        </w:tc>
        <w:tc>
          <w:tcPr>
            <w:tcW w:w="5" w:type="pct"/>
            <w:vAlign w:val="center"/>
            <w:hideMark/>
          </w:tcPr>
          <w:p w14:paraId="1D601261" w14:textId="77777777" w:rsidR="00000000" w:rsidRDefault="00A173A8">
            <w:pPr>
              <w:spacing w:after="100"/>
              <w:rPr>
                <w:rFonts w:eastAsia="Times New Roman"/>
                <w:sz w:val="20"/>
                <w:szCs w:val="20"/>
              </w:rPr>
            </w:pPr>
          </w:p>
        </w:tc>
        <w:tc>
          <w:tcPr>
            <w:tcW w:w="5" w:type="pct"/>
            <w:vAlign w:val="center"/>
            <w:hideMark/>
          </w:tcPr>
          <w:p w14:paraId="09ADCA9D" w14:textId="77777777" w:rsidR="00000000" w:rsidRDefault="00A173A8">
            <w:pPr>
              <w:spacing w:after="100"/>
              <w:rPr>
                <w:rFonts w:eastAsia="Times New Roman"/>
                <w:sz w:val="20"/>
                <w:szCs w:val="20"/>
              </w:rPr>
            </w:pPr>
          </w:p>
        </w:tc>
        <w:tc>
          <w:tcPr>
            <w:tcW w:w="26" w:type="pct"/>
            <w:vAlign w:val="center"/>
            <w:hideMark/>
          </w:tcPr>
          <w:p w14:paraId="6B42A56D" w14:textId="77777777" w:rsidR="00000000" w:rsidRDefault="00A173A8">
            <w:pPr>
              <w:spacing w:after="100"/>
              <w:rPr>
                <w:rFonts w:eastAsia="Times New Roman"/>
                <w:sz w:val="20"/>
                <w:szCs w:val="20"/>
              </w:rPr>
            </w:pPr>
          </w:p>
        </w:tc>
        <w:tc>
          <w:tcPr>
            <w:tcW w:w="5" w:type="pct"/>
            <w:vAlign w:val="center"/>
            <w:hideMark/>
          </w:tcPr>
          <w:p w14:paraId="76D12FDE" w14:textId="77777777" w:rsidR="00000000" w:rsidRDefault="00A173A8">
            <w:pPr>
              <w:spacing w:after="100"/>
              <w:rPr>
                <w:rFonts w:eastAsia="Times New Roman"/>
                <w:sz w:val="20"/>
                <w:szCs w:val="20"/>
              </w:rPr>
            </w:pPr>
          </w:p>
        </w:tc>
        <w:tc>
          <w:tcPr>
            <w:tcW w:w="50" w:type="pct"/>
            <w:vAlign w:val="center"/>
            <w:hideMark/>
          </w:tcPr>
          <w:p w14:paraId="52265FCB" w14:textId="77777777" w:rsidR="00000000" w:rsidRDefault="00A173A8">
            <w:pPr>
              <w:spacing w:after="100"/>
              <w:rPr>
                <w:rFonts w:eastAsia="Times New Roman"/>
                <w:sz w:val="20"/>
                <w:szCs w:val="20"/>
              </w:rPr>
            </w:pPr>
          </w:p>
        </w:tc>
        <w:tc>
          <w:tcPr>
            <w:tcW w:w="439" w:type="pct"/>
            <w:vAlign w:val="center"/>
            <w:hideMark/>
          </w:tcPr>
          <w:p w14:paraId="2535CA3C" w14:textId="77777777" w:rsidR="00000000" w:rsidRDefault="00A173A8">
            <w:pPr>
              <w:spacing w:after="100"/>
              <w:rPr>
                <w:rFonts w:eastAsia="Times New Roman"/>
                <w:sz w:val="20"/>
                <w:szCs w:val="20"/>
              </w:rPr>
            </w:pPr>
          </w:p>
        </w:tc>
        <w:tc>
          <w:tcPr>
            <w:tcW w:w="5" w:type="pct"/>
            <w:vAlign w:val="center"/>
            <w:hideMark/>
          </w:tcPr>
          <w:p w14:paraId="1B9C3152" w14:textId="77777777" w:rsidR="00000000" w:rsidRDefault="00A173A8">
            <w:pPr>
              <w:spacing w:after="100"/>
              <w:rPr>
                <w:rFonts w:eastAsia="Times New Roman"/>
                <w:sz w:val="20"/>
                <w:szCs w:val="20"/>
              </w:rPr>
            </w:pPr>
          </w:p>
        </w:tc>
        <w:tc>
          <w:tcPr>
            <w:tcW w:w="5" w:type="pct"/>
            <w:vAlign w:val="center"/>
            <w:hideMark/>
          </w:tcPr>
          <w:p w14:paraId="521CE23E" w14:textId="77777777" w:rsidR="00000000" w:rsidRDefault="00A173A8">
            <w:pPr>
              <w:spacing w:after="100"/>
              <w:rPr>
                <w:rFonts w:eastAsia="Times New Roman"/>
                <w:sz w:val="20"/>
                <w:szCs w:val="20"/>
              </w:rPr>
            </w:pPr>
          </w:p>
        </w:tc>
        <w:tc>
          <w:tcPr>
            <w:tcW w:w="26" w:type="pct"/>
            <w:vAlign w:val="center"/>
            <w:hideMark/>
          </w:tcPr>
          <w:p w14:paraId="39203AFE" w14:textId="77777777" w:rsidR="00000000" w:rsidRDefault="00A173A8">
            <w:pPr>
              <w:spacing w:after="100"/>
              <w:rPr>
                <w:rFonts w:eastAsia="Times New Roman"/>
                <w:sz w:val="20"/>
                <w:szCs w:val="20"/>
              </w:rPr>
            </w:pPr>
          </w:p>
        </w:tc>
        <w:tc>
          <w:tcPr>
            <w:tcW w:w="5" w:type="pct"/>
            <w:vAlign w:val="center"/>
            <w:hideMark/>
          </w:tcPr>
          <w:p w14:paraId="2483ED47" w14:textId="77777777" w:rsidR="00000000" w:rsidRDefault="00A173A8">
            <w:pPr>
              <w:spacing w:after="100"/>
              <w:rPr>
                <w:rFonts w:eastAsia="Times New Roman"/>
                <w:sz w:val="20"/>
                <w:szCs w:val="20"/>
              </w:rPr>
            </w:pPr>
          </w:p>
        </w:tc>
        <w:tc>
          <w:tcPr>
            <w:tcW w:w="50" w:type="pct"/>
            <w:vAlign w:val="center"/>
            <w:hideMark/>
          </w:tcPr>
          <w:p w14:paraId="74328FD0" w14:textId="77777777" w:rsidR="00000000" w:rsidRDefault="00A173A8">
            <w:pPr>
              <w:spacing w:after="100"/>
              <w:rPr>
                <w:rFonts w:eastAsia="Times New Roman"/>
                <w:sz w:val="20"/>
                <w:szCs w:val="20"/>
              </w:rPr>
            </w:pPr>
          </w:p>
        </w:tc>
        <w:tc>
          <w:tcPr>
            <w:tcW w:w="439" w:type="pct"/>
            <w:vAlign w:val="center"/>
            <w:hideMark/>
          </w:tcPr>
          <w:p w14:paraId="52C4024B" w14:textId="77777777" w:rsidR="00000000" w:rsidRDefault="00A173A8">
            <w:pPr>
              <w:spacing w:after="100"/>
              <w:rPr>
                <w:rFonts w:eastAsia="Times New Roman"/>
                <w:sz w:val="20"/>
                <w:szCs w:val="20"/>
              </w:rPr>
            </w:pPr>
          </w:p>
        </w:tc>
        <w:tc>
          <w:tcPr>
            <w:tcW w:w="5" w:type="pct"/>
            <w:vAlign w:val="center"/>
            <w:hideMark/>
          </w:tcPr>
          <w:p w14:paraId="4498C818" w14:textId="77777777" w:rsidR="00000000" w:rsidRDefault="00A173A8">
            <w:pPr>
              <w:spacing w:after="100"/>
              <w:rPr>
                <w:rFonts w:eastAsia="Times New Roman"/>
                <w:sz w:val="20"/>
                <w:szCs w:val="20"/>
              </w:rPr>
            </w:pPr>
          </w:p>
        </w:tc>
        <w:tc>
          <w:tcPr>
            <w:tcW w:w="5" w:type="pct"/>
            <w:vAlign w:val="center"/>
            <w:hideMark/>
          </w:tcPr>
          <w:p w14:paraId="34411A2F" w14:textId="77777777" w:rsidR="00000000" w:rsidRDefault="00A173A8">
            <w:pPr>
              <w:spacing w:after="100"/>
              <w:rPr>
                <w:rFonts w:eastAsia="Times New Roman"/>
                <w:sz w:val="20"/>
                <w:szCs w:val="20"/>
              </w:rPr>
            </w:pPr>
          </w:p>
        </w:tc>
        <w:tc>
          <w:tcPr>
            <w:tcW w:w="26" w:type="pct"/>
            <w:vAlign w:val="center"/>
            <w:hideMark/>
          </w:tcPr>
          <w:p w14:paraId="40965245" w14:textId="77777777" w:rsidR="00000000" w:rsidRDefault="00A173A8">
            <w:pPr>
              <w:spacing w:after="100"/>
              <w:rPr>
                <w:rFonts w:eastAsia="Times New Roman"/>
                <w:sz w:val="20"/>
                <w:szCs w:val="20"/>
              </w:rPr>
            </w:pPr>
          </w:p>
        </w:tc>
        <w:tc>
          <w:tcPr>
            <w:tcW w:w="5" w:type="pct"/>
            <w:vAlign w:val="center"/>
            <w:hideMark/>
          </w:tcPr>
          <w:p w14:paraId="61DEE8B2" w14:textId="77777777" w:rsidR="00000000" w:rsidRDefault="00A173A8">
            <w:pPr>
              <w:spacing w:after="100"/>
              <w:rPr>
                <w:rFonts w:eastAsia="Times New Roman"/>
                <w:sz w:val="20"/>
                <w:szCs w:val="20"/>
              </w:rPr>
            </w:pPr>
          </w:p>
        </w:tc>
        <w:tc>
          <w:tcPr>
            <w:tcW w:w="50" w:type="pct"/>
            <w:vAlign w:val="center"/>
            <w:hideMark/>
          </w:tcPr>
          <w:p w14:paraId="3F91E761" w14:textId="77777777" w:rsidR="00000000" w:rsidRDefault="00A173A8">
            <w:pPr>
              <w:spacing w:after="100"/>
              <w:rPr>
                <w:rFonts w:eastAsia="Times New Roman"/>
                <w:sz w:val="20"/>
                <w:szCs w:val="20"/>
              </w:rPr>
            </w:pPr>
          </w:p>
        </w:tc>
        <w:tc>
          <w:tcPr>
            <w:tcW w:w="439" w:type="pct"/>
            <w:vAlign w:val="center"/>
            <w:hideMark/>
          </w:tcPr>
          <w:p w14:paraId="5B665199" w14:textId="77777777" w:rsidR="00000000" w:rsidRDefault="00A173A8">
            <w:pPr>
              <w:spacing w:after="100"/>
              <w:rPr>
                <w:rFonts w:eastAsia="Times New Roman"/>
                <w:sz w:val="20"/>
                <w:szCs w:val="20"/>
              </w:rPr>
            </w:pPr>
          </w:p>
        </w:tc>
        <w:tc>
          <w:tcPr>
            <w:tcW w:w="5" w:type="pct"/>
            <w:vAlign w:val="center"/>
            <w:hideMark/>
          </w:tcPr>
          <w:p w14:paraId="7F5540DB" w14:textId="77777777" w:rsidR="00000000" w:rsidRDefault="00A173A8">
            <w:pPr>
              <w:spacing w:after="100"/>
              <w:rPr>
                <w:rFonts w:eastAsia="Times New Roman"/>
                <w:sz w:val="20"/>
                <w:szCs w:val="20"/>
              </w:rPr>
            </w:pPr>
          </w:p>
        </w:tc>
        <w:tc>
          <w:tcPr>
            <w:tcW w:w="5" w:type="pct"/>
            <w:vAlign w:val="center"/>
            <w:hideMark/>
          </w:tcPr>
          <w:p w14:paraId="04A60F71" w14:textId="77777777" w:rsidR="00000000" w:rsidRDefault="00A173A8">
            <w:pPr>
              <w:spacing w:after="100"/>
              <w:rPr>
                <w:rFonts w:eastAsia="Times New Roman"/>
                <w:sz w:val="20"/>
                <w:szCs w:val="20"/>
              </w:rPr>
            </w:pPr>
          </w:p>
        </w:tc>
        <w:tc>
          <w:tcPr>
            <w:tcW w:w="26" w:type="pct"/>
            <w:vAlign w:val="center"/>
            <w:hideMark/>
          </w:tcPr>
          <w:p w14:paraId="71AB1B85" w14:textId="77777777" w:rsidR="00000000" w:rsidRDefault="00A173A8">
            <w:pPr>
              <w:spacing w:after="100"/>
              <w:rPr>
                <w:rFonts w:eastAsia="Times New Roman"/>
                <w:sz w:val="20"/>
                <w:szCs w:val="20"/>
              </w:rPr>
            </w:pPr>
          </w:p>
        </w:tc>
        <w:tc>
          <w:tcPr>
            <w:tcW w:w="5" w:type="pct"/>
            <w:vAlign w:val="center"/>
            <w:hideMark/>
          </w:tcPr>
          <w:p w14:paraId="4C4BA35E" w14:textId="77777777" w:rsidR="00000000" w:rsidRDefault="00A173A8">
            <w:pPr>
              <w:spacing w:after="100"/>
              <w:rPr>
                <w:rFonts w:eastAsia="Times New Roman"/>
                <w:sz w:val="20"/>
                <w:szCs w:val="20"/>
              </w:rPr>
            </w:pPr>
          </w:p>
        </w:tc>
        <w:tc>
          <w:tcPr>
            <w:tcW w:w="50" w:type="pct"/>
            <w:vAlign w:val="center"/>
            <w:hideMark/>
          </w:tcPr>
          <w:p w14:paraId="0CC73647" w14:textId="77777777" w:rsidR="00000000" w:rsidRDefault="00A173A8">
            <w:pPr>
              <w:spacing w:after="100"/>
              <w:rPr>
                <w:rFonts w:eastAsia="Times New Roman"/>
                <w:sz w:val="20"/>
                <w:szCs w:val="20"/>
              </w:rPr>
            </w:pPr>
          </w:p>
        </w:tc>
        <w:tc>
          <w:tcPr>
            <w:tcW w:w="439" w:type="pct"/>
            <w:vAlign w:val="center"/>
            <w:hideMark/>
          </w:tcPr>
          <w:p w14:paraId="5179EF33" w14:textId="77777777" w:rsidR="00000000" w:rsidRDefault="00A173A8">
            <w:pPr>
              <w:spacing w:after="100"/>
              <w:rPr>
                <w:rFonts w:eastAsia="Times New Roman"/>
                <w:sz w:val="20"/>
                <w:szCs w:val="20"/>
              </w:rPr>
            </w:pPr>
          </w:p>
        </w:tc>
        <w:tc>
          <w:tcPr>
            <w:tcW w:w="5" w:type="pct"/>
            <w:vAlign w:val="center"/>
            <w:hideMark/>
          </w:tcPr>
          <w:p w14:paraId="4DDA5437" w14:textId="77777777" w:rsidR="00000000" w:rsidRDefault="00A173A8">
            <w:pPr>
              <w:spacing w:after="100"/>
              <w:rPr>
                <w:rFonts w:eastAsia="Times New Roman"/>
                <w:sz w:val="20"/>
                <w:szCs w:val="20"/>
              </w:rPr>
            </w:pPr>
          </w:p>
        </w:tc>
        <w:tc>
          <w:tcPr>
            <w:tcW w:w="0" w:type="auto"/>
            <w:vAlign w:val="center"/>
            <w:hideMark/>
          </w:tcPr>
          <w:p w14:paraId="4BDD8FE8" w14:textId="77777777" w:rsidR="00000000" w:rsidRDefault="00A173A8">
            <w:pPr>
              <w:spacing w:after="100"/>
              <w:rPr>
                <w:rFonts w:eastAsia="Times New Roman"/>
                <w:sz w:val="20"/>
                <w:szCs w:val="20"/>
              </w:rPr>
            </w:pPr>
          </w:p>
        </w:tc>
        <w:tc>
          <w:tcPr>
            <w:tcW w:w="0" w:type="auto"/>
            <w:vAlign w:val="center"/>
            <w:hideMark/>
          </w:tcPr>
          <w:p w14:paraId="0DE68D87" w14:textId="77777777" w:rsidR="00000000" w:rsidRDefault="00A173A8">
            <w:pPr>
              <w:spacing w:after="100"/>
              <w:rPr>
                <w:rFonts w:eastAsia="Times New Roman"/>
                <w:sz w:val="20"/>
                <w:szCs w:val="20"/>
              </w:rPr>
            </w:pPr>
          </w:p>
        </w:tc>
        <w:tc>
          <w:tcPr>
            <w:tcW w:w="5" w:type="pct"/>
            <w:vAlign w:val="center"/>
            <w:hideMark/>
          </w:tcPr>
          <w:p w14:paraId="60D02A24" w14:textId="77777777" w:rsidR="00000000" w:rsidRDefault="00A173A8">
            <w:pPr>
              <w:spacing w:after="100"/>
              <w:rPr>
                <w:rFonts w:eastAsia="Times New Roman"/>
                <w:sz w:val="20"/>
                <w:szCs w:val="20"/>
              </w:rPr>
            </w:pPr>
          </w:p>
        </w:tc>
        <w:tc>
          <w:tcPr>
            <w:tcW w:w="19" w:type="pct"/>
            <w:vAlign w:val="center"/>
            <w:hideMark/>
          </w:tcPr>
          <w:p w14:paraId="2CED8677" w14:textId="77777777" w:rsidR="00000000" w:rsidRDefault="00A173A8">
            <w:pPr>
              <w:spacing w:after="100"/>
              <w:rPr>
                <w:rFonts w:eastAsia="Times New Roman"/>
                <w:sz w:val="20"/>
                <w:szCs w:val="20"/>
              </w:rPr>
            </w:pPr>
          </w:p>
        </w:tc>
        <w:tc>
          <w:tcPr>
            <w:tcW w:w="5" w:type="pct"/>
            <w:vAlign w:val="center"/>
            <w:hideMark/>
          </w:tcPr>
          <w:p w14:paraId="2F4C3F79" w14:textId="77777777" w:rsidR="00000000" w:rsidRDefault="00A173A8">
            <w:pPr>
              <w:spacing w:after="100"/>
              <w:rPr>
                <w:rFonts w:eastAsia="Times New Roman"/>
                <w:sz w:val="20"/>
                <w:szCs w:val="20"/>
              </w:rPr>
            </w:pPr>
          </w:p>
        </w:tc>
        <w:tc>
          <w:tcPr>
            <w:tcW w:w="0" w:type="auto"/>
            <w:vAlign w:val="center"/>
            <w:hideMark/>
          </w:tcPr>
          <w:p w14:paraId="1B2BE04C" w14:textId="77777777" w:rsidR="00000000" w:rsidRDefault="00A173A8">
            <w:pPr>
              <w:spacing w:after="100"/>
              <w:rPr>
                <w:rFonts w:eastAsia="Times New Roman"/>
                <w:sz w:val="20"/>
                <w:szCs w:val="20"/>
              </w:rPr>
            </w:pPr>
          </w:p>
        </w:tc>
        <w:tc>
          <w:tcPr>
            <w:tcW w:w="0" w:type="auto"/>
            <w:gridSpan w:val="3"/>
            <w:vAlign w:val="center"/>
            <w:hideMark/>
          </w:tcPr>
          <w:p w14:paraId="7D488731" w14:textId="77777777" w:rsidR="00000000" w:rsidRDefault="00A173A8">
            <w:pPr>
              <w:spacing w:after="100"/>
              <w:rPr>
                <w:rFonts w:eastAsia="Times New Roman"/>
                <w:sz w:val="20"/>
                <w:szCs w:val="20"/>
              </w:rPr>
            </w:pPr>
          </w:p>
        </w:tc>
        <w:tc>
          <w:tcPr>
            <w:tcW w:w="0" w:type="auto"/>
            <w:gridSpan w:val="3"/>
            <w:vAlign w:val="center"/>
            <w:hideMark/>
          </w:tcPr>
          <w:p w14:paraId="62775CDB" w14:textId="77777777" w:rsidR="00000000" w:rsidRDefault="00A173A8">
            <w:pPr>
              <w:spacing w:after="100"/>
              <w:rPr>
                <w:rFonts w:eastAsia="Times New Roman"/>
                <w:sz w:val="20"/>
                <w:szCs w:val="20"/>
              </w:rPr>
            </w:pPr>
          </w:p>
        </w:tc>
        <w:tc>
          <w:tcPr>
            <w:tcW w:w="0" w:type="auto"/>
            <w:gridSpan w:val="3"/>
            <w:vAlign w:val="center"/>
            <w:hideMark/>
          </w:tcPr>
          <w:p w14:paraId="183239B8" w14:textId="77777777" w:rsidR="00000000" w:rsidRDefault="00A173A8">
            <w:pPr>
              <w:spacing w:after="100"/>
              <w:rPr>
                <w:rFonts w:eastAsia="Times New Roman"/>
                <w:sz w:val="20"/>
                <w:szCs w:val="20"/>
              </w:rPr>
            </w:pPr>
          </w:p>
        </w:tc>
        <w:tc>
          <w:tcPr>
            <w:tcW w:w="50" w:type="pct"/>
            <w:vAlign w:val="center"/>
            <w:hideMark/>
          </w:tcPr>
          <w:p w14:paraId="59DCFA7E" w14:textId="77777777" w:rsidR="00000000" w:rsidRDefault="00A173A8">
            <w:pPr>
              <w:spacing w:after="100"/>
              <w:rPr>
                <w:rFonts w:eastAsia="Times New Roman"/>
                <w:sz w:val="20"/>
                <w:szCs w:val="20"/>
              </w:rPr>
            </w:pPr>
          </w:p>
        </w:tc>
        <w:tc>
          <w:tcPr>
            <w:tcW w:w="440" w:type="pct"/>
            <w:vAlign w:val="center"/>
            <w:hideMark/>
          </w:tcPr>
          <w:p w14:paraId="0D82ABE3" w14:textId="77777777" w:rsidR="00000000" w:rsidRDefault="00A173A8">
            <w:pPr>
              <w:spacing w:after="100"/>
              <w:rPr>
                <w:rFonts w:eastAsia="Times New Roman"/>
                <w:sz w:val="20"/>
                <w:szCs w:val="20"/>
              </w:rPr>
            </w:pPr>
          </w:p>
        </w:tc>
        <w:tc>
          <w:tcPr>
            <w:tcW w:w="5" w:type="pct"/>
            <w:vAlign w:val="center"/>
            <w:hideMark/>
          </w:tcPr>
          <w:p w14:paraId="6908DD75" w14:textId="77777777" w:rsidR="00000000" w:rsidRDefault="00A173A8">
            <w:pPr>
              <w:spacing w:after="100"/>
              <w:rPr>
                <w:rFonts w:eastAsia="Times New Roman"/>
                <w:sz w:val="20"/>
                <w:szCs w:val="20"/>
              </w:rPr>
            </w:pPr>
          </w:p>
        </w:tc>
        <w:tc>
          <w:tcPr>
            <w:tcW w:w="0" w:type="auto"/>
            <w:gridSpan w:val="3"/>
            <w:vAlign w:val="center"/>
            <w:hideMark/>
          </w:tcPr>
          <w:p w14:paraId="1424C1F9" w14:textId="77777777" w:rsidR="00000000" w:rsidRDefault="00A173A8">
            <w:pPr>
              <w:spacing w:after="100"/>
              <w:rPr>
                <w:rFonts w:eastAsia="Times New Roman"/>
                <w:sz w:val="20"/>
                <w:szCs w:val="20"/>
              </w:rPr>
            </w:pPr>
          </w:p>
        </w:tc>
        <w:tc>
          <w:tcPr>
            <w:tcW w:w="0" w:type="auto"/>
            <w:gridSpan w:val="2"/>
            <w:vAlign w:val="center"/>
            <w:hideMark/>
          </w:tcPr>
          <w:p w14:paraId="61323995" w14:textId="77777777" w:rsidR="00000000" w:rsidRDefault="00A173A8">
            <w:pPr>
              <w:spacing w:after="100"/>
              <w:rPr>
                <w:rFonts w:eastAsia="Times New Roman"/>
                <w:sz w:val="20"/>
                <w:szCs w:val="20"/>
              </w:rPr>
            </w:pPr>
          </w:p>
        </w:tc>
      </w:tr>
      <w:tr w:rsidR="00000000" w14:paraId="49256792" w14:textId="77777777">
        <w:trPr>
          <w:divId w:val="1533881267"/>
        </w:trPr>
        <w:tc>
          <w:tcPr>
            <w:tcW w:w="0" w:type="auto"/>
            <w:gridSpan w:val="3"/>
            <w:tcMar>
              <w:top w:w="0" w:type="dxa"/>
              <w:left w:w="20" w:type="dxa"/>
              <w:bottom w:w="0" w:type="dxa"/>
              <w:right w:w="20" w:type="dxa"/>
            </w:tcMar>
            <w:vAlign w:val="center"/>
            <w:hideMark/>
          </w:tcPr>
          <w:p w14:paraId="1E4FF18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F2AAFA"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7962338"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45D1F27C" w14:textId="77777777" w:rsidR="00000000" w:rsidRDefault="00A173A8">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22506267"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gridSpan w:val="3"/>
            <w:vAlign w:val="center"/>
            <w:hideMark/>
          </w:tcPr>
          <w:p w14:paraId="00DBDDB7" w14:textId="77777777" w:rsidR="00000000" w:rsidRDefault="00A173A8">
            <w:pPr>
              <w:spacing w:after="100"/>
              <w:jc w:val="center"/>
              <w:rPr>
                <w:rFonts w:eastAsia="Times New Roman"/>
              </w:rPr>
            </w:pPr>
          </w:p>
        </w:tc>
        <w:tc>
          <w:tcPr>
            <w:tcW w:w="0" w:type="auto"/>
            <w:vAlign w:val="center"/>
            <w:hideMark/>
          </w:tcPr>
          <w:p w14:paraId="0DD57639" w14:textId="77777777" w:rsidR="00000000" w:rsidRDefault="00A173A8">
            <w:pPr>
              <w:spacing w:after="100"/>
              <w:rPr>
                <w:rFonts w:eastAsia="Times New Roman"/>
                <w:sz w:val="20"/>
                <w:szCs w:val="20"/>
              </w:rPr>
            </w:pPr>
          </w:p>
        </w:tc>
        <w:tc>
          <w:tcPr>
            <w:tcW w:w="0" w:type="auto"/>
            <w:vAlign w:val="center"/>
            <w:hideMark/>
          </w:tcPr>
          <w:p w14:paraId="512519C9" w14:textId="77777777" w:rsidR="00000000" w:rsidRDefault="00A173A8">
            <w:pPr>
              <w:spacing w:after="100"/>
              <w:rPr>
                <w:rFonts w:eastAsia="Times New Roman"/>
                <w:sz w:val="20"/>
                <w:szCs w:val="20"/>
              </w:rPr>
            </w:pPr>
          </w:p>
        </w:tc>
        <w:tc>
          <w:tcPr>
            <w:tcW w:w="0" w:type="auto"/>
            <w:vAlign w:val="center"/>
            <w:hideMark/>
          </w:tcPr>
          <w:p w14:paraId="175B1864" w14:textId="77777777" w:rsidR="00000000" w:rsidRDefault="00A173A8">
            <w:pPr>
              <w:spacing w:after="100"/>
              <w:rPr>
                <w:rFonts w:eastAsia="Times New Roman"/>
                <w:sz w:val="20"/>
                <w:szCs w:val="20"/>
              </w:rPr>
            </w:pPr>
          </w:p>
        </w:tc>
        <w:tc>
          <w:tcPr>
            <w:tcW w:w="0" w:type="auto"/>
            <w:vAlign w:val="center"/>
            <w:hideMark/>
          </w:tcPr>
          <w:p w14:paraId="1CC36063" w14:textId="77777777" w:rsidR="00000000" w:rsidRDefault="00A173A8">
            <w:pPr>
              <w:spacing w:after="100"/>
              <w:rPr>
                <w:rFonts w:eastAsia="Times New Roman"/>
                <w:sz w:val="20"/>
                <w:szCs w:val="20"/>
              </w:rPr>
            </w:pPr>
          </w:p>
        </w:tc>
        <w:tc>
          <w:tcPr>
            <w:tcW w:w="0" w:type="auto"/>
            <w:vAlign w:val="center"/>
            <w:hideMark/>
          </w:tcPr>
          <w:p w14:paraId="0E558850" w14:textId="77777777" w:rsidR="00000000" w:rsidRDefault="00A173A8">
            <w:pPr>
              <w:spacing w:after="100"/>
              <w:rPr>
                <w:rFonts w:eastAsia="Times New Roman"/>
                <w:sz w:val="20"/>
                <w:szCs w:val="20"/>
              </w:rPr>
            </w:pPr>
          </w:p>
        </w:tc>
        <w:tc>
          <w:tcPr>
            <w:tcW w:w="0" w:type="auto"/>
            <w:vAlign w:val="center"/>
            <w:hideMark/>
          </w:tcPr>
          <w:p w14:paraId="025B3072" w14:textId="77777777" w:rsidR="00000000" w:rsidRDefault="00A173A8">
            <w:pPr>
              <w:spacing w:after="100"/>
              <w:rPr>
                <w:rFonts w:eastAsia="Times New Roman"/>
                <w:sz w:val="20"/>
                <w:szCs w:val="20"/>
              </w:rPr>
            </w:pPr>
          </w:p>
        </w:tc>
        <w:tc>
          <w:tcPr>
            <w:tcW w:w="0" w:type="auto"/>
            <w:vAlign w:val="center"/>
            <w:hideMark/>
          </w:tcPr>
          <w:p w14:paraId="7F5E2E8C" w14:textId="77777777" w:rsidR="00000000" w:rsidRDefault="00A173A8">
            <w:pPr>
              <w:spacing w:after="100"/>
              <w:rPr>
                <w:rFonts w:eastAsia="Times New Roman"/>
                <w:sz w:val="20"/>
                <w:szCs w:val="20"/>
              </w:rPr>
            </w:pPr>
          </w:p>
        </w:tc>
        <w:tc>
          <w:tcPr>
            <w:tcW w:w="0" w:type="auto"/>
            <w:vAlign w:val="center"/>
            <w:hideMark/>
          </w:tcPr>
          <w:p w14:paraId="5B2CA659" w14:textId="77777777" w:rsidR="00000000" w:rsidRDefault="00A173A8">
            <w:pPr>
              <w:spacing w:after="100"/>
              <w:rPr>
                <w:rFonts w:eastAsia="Times New Roman"/>
                <w:sz w:val="20"/>
                <w:szCs w:val="20"/>
              </w:rPr>
            </w:pPr>
          </w:p>
        </w:tc>
        <w:tc>
          <w:tcPr>
            <w:tcW w:w="0" w:type="auto"/>
            <w:vAlign w:val="center"/>
            <w:hideMark/>
          </w:tcPr>
          <w:p w14:paraId="5AF68E0E" w14:textId="77777777" w:rsidR="00000000" w:rsidRDefault="00A173A8">
            <w:pPr>
              <w:spacing w:after="100"/>
              <w:rPr>
                <w:rFonts w:eastAsia="Times New Roman"/>
                <w:sz w:val="20"/>
                <w:szCs w:val="20"/>
              </w:rPr>
            </w:pPr>
          </w:p>
        </w:tc>
        <w:tc>
          <w:tcPr>
            <w:tcW w:w="0" w:type="auto"/>
            <w:vAlign w:val="center"/>
            <w:hideMark/>
          </w:tcPr>
          <w:p w14:paraId="3FB4943D" w14:textId="77777777" w:rsidR="00000000" w:rsidRDefault="00A173A8">
            <w:pPr>
              <w:spacing w:after="100"/>
              <w:rPr>
                <w:rFonts w:eastAsia="Times New Roman"/>
                <w:sz w:val="20"/>
                <w:szCs w:val="20"/>
              </w:rPr>
            </w:pPr>
          </w:p>
        </w:tc>
        <w:tc>
          <w:tcPr>
            <w:tcW w:w="0" w:type="auto"/>
            <w:vAlign w:val="center"/>
            <w:hideMark/>
          </w:tcPr>
          <w:p w14:paraId="0DA7CA3F" w14:textId="77777777" w:rsidR="00000000" w:rsidRDefault="00A173A8">
            <w:pPr>
              <w:spacing w:after="100"/>
              <w:rPr>
                <w:rFonts w:eastAsia="Times New Roman"/>
                <w:sz w:val="20"/>
                <w:szCs w:val="20"/>
              </w:rPr>
            </w:pPr>
          </w:p>
        </w:tc>
        <w:tc>
          <w:tcPr>
            <w:tcW w:w="0" w:type="auto"/>
            <w:vAlign w:val="center"/>
            <w:hideMark/>
          </w:tcPr>
          <w:p w14:paraId="79067D71" w14:textId="77777777" w:rsidR="00000000" w:rsidRDefault="00A173A8">
            <w:pPr>
              <w:spacing w:after="100"/>
              <w:rPr>
                <w:rFonts w:eastAsia="Times New Roman"/>
                <w:sz w:val="20"/>
                <w:szCs w:val="20"/>
              </w:rPr>
            </w:pPr>
          </w:p>
        </w:tc>
        <w:tc>
          <w:tcPr>
            <w:tcW w:w="0" w:type="auto"/>
            <w:vAlign w:val="center"/>
            <w:hideMark/>
          </w:tcPr>
          <w:p w14:paraId="09075EDA" w14:textId="77777777" w:rsidR="00000000" w:rsidRDefault="00A173A8">
            <w:pPr>
              <w:spacing w:after="100"/>
              <w:rPr>
                <w:rFonts w:eastAsia="Times New Roman"/>
                <w:sz w:val="20"/>
                <w:szCs w:val="20"/>
              </w:rPr>
            </w:pPr>
          </w:p>
        </w:tc>
        <w:tc>
          <w:tcPr>
            <w:tcW w:w="0" w:type="auto"/>
            <w:vAlign w:val="center"/>
            <w:hideMark/>
          </w:tcPr>
          <w:p w14:paraId="7ACE7BFA" w14:textId="77777777" w:rsidR="00000000" w:rsidRDefault="00A173A8">
            <w:pPr>
              <w:spacing w:after="100"/>
              <w:rPr>
                <w:rFonts w:eastAsia="Times New Roman"/>
                <w:sz w:val="20"/>
                <w:szCs w:val="20"/>
              </w:rPr>
            </w:pPr>
          </w:p>
        </w:tc>
        <w:tc>
          <w:tcPr>
            <w:tcW w:w="0" w:type="auto"/>
            <w:vAlign w:val="center"/>
            <w:hideMark/>
          </w:tcPr>
          <w:p w14:paraId="5E771B28" w14:textId="77777777" w:rsidR="00000000" w:rsidRDefault="00A173A8">
            <w:pPr>
              <w:spacing w:after="100"/>
              <w:rPr>
                <w:rFonts w:eastAsia="Times New Roman"/>
                <w:sz w:val="20"/>
                <w:szCs w:val="20"/>
              </w:rPr>
            </w:pPr>
          </w:p>
        </w:tc>
        <w:tc>
          <w:tcPr>
            <w:tcW w:w="0" w:type="auto"/>
            <w:vAlign w:val="center"/>
            <w:hideMark/>
          </w:tcPr>
          <w:p w14:paraId="1A59B8C2" w14:textId="77777777" w:rsidR="00000000" w:rsidRDefault="00A173A8">
            <w:pPr>
              <w:spacing w:after="100"/>
              <w:rPr>
                <w:rFonts w:eastAsia="Times New Roman"/>
                <w:sz w:val="20"/>
                <w:szCs w:val="20"/>
              </w:rPr>
            </w:pPr>
          </w:p>
        </w:tc>
        <w:tc>
          <w:tcPr>
            <w:tcW w:w="0" w:type="auto"/>
            <w:vAlign w:val="center"/>
            <w:hideMark/>
          </w:tcPr>
          <w:p w14:paraId="7F119B2D" w14:textId="77777777" w:rsidR="00000000" w:rsidRDefault="00A173A8">
            <w:pPr>
              <w:spacing w:after="100"/>
              <w:rPr>
                <w:rFonts w:eastAsia="Times New Roman"/>
                <w:sz w:val="20"/>
                <w:szCs w:val="20"/>
              </w:rPr>
            </w:pPr>
          </w:p>
        </w:tc>
        <w:tc>
          <w:tcPr>
            <w:tcW w:w="0" w:type="auto"/>
            <w:vAlign w:val="center"/>
            <w:hideMark/>
          </w:tcPr>
          <w:p w14:paraId="617B1019" w14:textId="77777777" w:rsidR="00000000" w:rsidRDefault="00A173A8">
            <w:pPr>
              <w:spacing w:after="100"/>
              <w:rPr>
                <w:rFonts w:eastAsia="Times New Roman"/>
                <w:sz w:val="20"/>
                <w:szCs w:val="20"/>
              </w:rPr>
            </w:pPr>
          </w:p>
        </w:tc>
      </w:tr>
      <w:tr w:rsidR="00000000" w14:paraId="2FDC04F2" w14:textId="77777777">
        <w:trPr>
          <w:divId w:val="1533881267"/>
        </w:trPr>
        <w:tc>
          <w:tcPr>
            <w:tcW w:w="0" w:type="auto"/>
            <w:gridSpan w:val="3"/>
            <w:tcBorders>
              <w:bottom w:val="single" w:sz="8" w:space="0" w:color="000000"/>
            </w:tcBorders>
            <w:tcMar>
              <w:top w:w="30" w:type="dxa"/>
              <w:left w:w="20" w:type="dxa"/>
              <w:bottom w:w="30" w:type="dxa"/>
              <w:right w:w="20" w:type="dxa"/>
            </w:tcMar>
            <w:vAlign w:val="bottom"/>
            <w:hideMark/>
          </w:tcPr>
          <w:p w14:paraId="3B0339BC" w14:textId="77777777" w:rsidR="00000000" w:rsidRDefault="00A173A8">
            <w:pPr>
              <w:spacing w:after="100"/>
              <w:rPr>
                <w:rFonts w:eastAsia="Times New Roman"/>
              </w:rPr>
            </w:pPr>
            <w:r>
              <w:rPr>
                <w:rFonts w:eastAsia="Times New Roman"/>
                <w:i/>
                <w:iCs/>
                <w:color w:val="000000"/>
                <w:sz w:val="20"/>
                <w:szCs w:val="20"/>
              </w:rPr>
              <w:t>(Dollars in millions, except per share data and as noted)</w:t>
            </w:r>
          </w:p>
        </w:tc>
        <w:tc>
          <w:tcPr>
            <w:tcW w:w="0" w:type="auto"/>
            <w:gridSpan w:val="3"/>
            <w:tcMar>
              <w:top w:w="0" w:type="dxa"/>
              <w:left w:w="20" w:type="dxa"/>
              <w:bottom w:w="0" w:type="dxa"/>
              <w:right w:w="20" w:type="dxa"/>
            </w:tcMar>
            <w:vAlign w:val="center"/>
            <w:hideMark/>
          </w:tcPr>
          <w:p w14:paraId="05CAB825"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07048F"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146C6BB"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342B32D"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0E0848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487426"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569CB87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55E4F5A"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E171586"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A189BF"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2E2E5CF3" w14:textId="77777777" w:rsidR="00000000" w:rsidRDefault="00A173A8">
            <w:pPr>
              <w:spacing w:after="100"/>
              <w:jc w:val="center"/>
              <w:rPr>
                <w:rFonts w:eastAsia="Times New Roman"/>
              </w:rPr>
            </w:pPr>
          </w:p>
        </w:tc>
        <w:tc>
          <w:tcPr>
            <w:tcW w:w="0" w:type="auto"/>
            <w:vAlign w:val="center"/>
            <w:hideMark/>
          </w:tcPr>
          <w:p w14:paraId="43B093C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22B174" w14:textId="77777777" w:rsidR="00000000" w:rsidRDefault="00A173A8">
            <w:pPr>
              <w:spacing w:after="100"/>
              <w:rPr>
                <w:rFonts w:eastAsia="Times New Roman"/>
                <w:sz w:val="20"/>
                <w:szCs w:val="20"/>
              </w:rPr>
            </w:pPr>
          </w:p>
        </w:tc>
        <w:tc>
          <w:tcPr>
            <w:tcW w:w="0" w:type="auto"/>
            <w:vAlign w:val="center"/>
            <w:hideMark/>
          </w:tcPr>
          <w:p w14:paraId="15FE9FC3" w14:textId="77777777" w:rsidR="00000000" w:rsidRDefault="00A173A8">
            <w:pPr>
              <w:spacing w:after="100"/>
              <w:rPr>
                <w:rFonts w:eastAsia="Times New Roman"/>
                <w:sz w:val="20"/>
                <w:szCs w:val="20"/>
              </w:rPr>
            </w:pPr>
          </w:p>
        </w:tc>
        <w:tc>
          <w:tcPr>
            <w:tcW w:w="0" w:type="auto"/>
            <w:gridSpan w:val="3"/>
            <w:vAlign w:val="center"/>
            <w:hideMark/>
          </w:tcPr>
          <w:p w14:paraId="6443AF8A" w14:textId="77777777" w:rsidR="00000000" w:rsidRDefault="00A173A8">
            <w:pPr>
              <w:spacing w:after="100"/>
              <w:rPr>
                <w:rFonts w:eastAsia="Times New Roman"/>
                <w:sz w:val="20"/>
                <w:szCs w:val="20"/>
              </w:rPr>
            </w:pPr>
          </w:p>
        </w:tc>
        <w:tc>
          <w:tcPr>
            <w:tcW w:w="0" w:type="auto"/>
            <w:gridSpan w:val="3"/>
            <w:vAlign w:val="center"/>
            <w:hideMark/>
          </w:tcPr>
          <w:p w14:paraId="13B227B6" w14:textId="77777777" w:rsidR="00000000" w:rsidRDefault="00A173A8">
            <w:pPr>
              <w:spacing w:after="100"/>
              <w:rPr>
                <w:rFonts w:eastAsia="Times New Roman"/>
                <w:sz w:val="20"/>
                <w:szCs w:val="20"/>
              </w:rPr>
            </w:pPr>
          </w:p>
        </w:tc>
        <w:tc>
          <w:tcPr>
            <w:tcW w:w="0" w:type="auto"/>
            <w:gridSpan w:val="3"/>
            <w:vAlign w:val="center"/>
            <w:hideMark/>
          </w:tcPr>
          <w:p w14:paraId="34AA3E25"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1EE0CB"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75A28CEE" w14:textId="77777777" w:rsidR="00000000" w:rsidRDefault="00A173A8">
            <w:pPr>
              <w:spacing w:after="100"/>
              <w:rPr>
                <w:rFonts w:eastAsia="Times New Roman"/>
                <w:sz w:val="20"/>
                <w:szCs w:val="20"/>
              </w:rPr>
            </w:pPr>
          </w:p>
        </w:tc>
        <w:tc>
          <w:tcPr>
            <w:tcW w:w="0" w:type="auto"/>
            <w:vAlign w:val="center"/>
            <w:hideMark/>
          </w:tcPr>
          <w:p w14:paraId="780587B6" w14:textId="77777777" w:rsidR="00000000" w:rsidRDefault="00A173A8">
            <w:pPr>
              <w:spacing w:after="100"/>
              <w:rPr>
                <w:rFonts w:eastAsia="Times New Roman"/>
                <w:sz w:val="20"/>
                <w:szCs w:val="20"/>
              </w:rPr>
            </w:pPr>
          </w:p>
        </w:tc>
        <w:tc>
          <w:tcPr>
            <w:tcW w:w="0" w:type="auto"/>
            <w:vAlign w:val="center"/>
            <w:hideMark/>
          </w:tcPr>
          <w:p w14:paraId="07344EA0" w14:textId="77777777" w:rsidR="00000000" w:rsidRDefault="00A173A8">
            <w:pPr>
              <w:spacing w:after="100"/>
              <w:rPr>
                <w:rFonts w:eastAsia="Times New Roman"/>
                <w:sz w:val="20"/>
                <w:szCs w:val="20"/>
              </w:rPr>
            </w:pPr>
          </w:p>
        </w:tc>
        <w:tc>
          <w:tcPr>
            <w:tcW w:w="0" w:type="auto"/>
            <w:vAlign w:val="center"/>
            <w:hideMark/>
          </w:tcPr>
          <w:p w14:paraId="7CB90D30" w14:textId="77777777" w:rsidR="00000000" w:rsidRDefault="00A173A8">
            <w:pPr>
              <w:spacing w:after="100"/>
              <w:rPr>
                <w:rFonts w:eastAsia="Times New Roman"/>
                <w:sz w:val="20"/>
                <w:szCs w:val="20"/>
              </w:rPr>
            </w:pPr>
          </w:p>
        </w:tc>
        <w:tc>
          <w:tcPr>
            <w:tcW w:w="0" w:type="auto"/>
            <w:vAlign w:val="center"/>
            <w:hideMark/>
          </w:tcPr>
          <w:p w14:paraId="623BEC10" w14:textId="77777777" w:rsidR="00000000" w:rsidRDefault="00A173A8">
            <w:pPr>
              <w:spacing w:after="100"/>
              <w:rPr>
                <w:rFonts w:eastAsia="Times New Roman"/>
                <w:sz w:val="20"/>
                <w:szCs w:val="20"/>
              </w:rPr>
            </w:pPr>
          </w:p>
        </w:tc>
      </w:tr>
      <w:tr w:rsidR="00000000" w14:paraId="3C00580C" w14:textId="77777777">
        <w:trPr>
          <w:divId w:val="1533881267"/>
        </w:trPr>
        <w:tc>
          <w:tcPr>
            <w:tcW w:w="0" w:type="auto"/>
            <w:gridSpan w:val="3"/>
            <w:shd w:val="clear" w:color="auto" w:fill="FFFFFF"/>
            <w:tcMar>
              <w:top w:w="30" w:type="dxa"/>
              <w:left w:w="20" w:type="dxa"/>
              <w:bottom w:w="30" w:type="dxa"/>
              <w:right w:w="20" w:type="dxa"/>
            </w:tcMar>
            <w:vAlign w:val="center"/>
            <w:hideMark/>
          </w:tcPr>
          <w:p w14:paraId="26B6774E" w14:textId="77777777" w:rsidR="00000000" w:rsidRDefault="00A173A8">
            <w:pPr>
              <w:spacing w:after="100"/>
              <w:divId w:val="363482668"/>
              <w:rPr>
                <w:rFonts w:eastAsia="Times New Roman"/>
              </w:rPr>
            </w:pPr>
            <w:r>
              <w:rPr>
                <w:rFonts w:eastAsia="Times New Roman"/>
                <w:color w:val="000000"/>
                <w:sz w:val="20"/>
                <w:szCs w:val="20"/>
              </w:rPr>
              <w:t>Tangible book value per common share (period-end</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10BB870"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9AF7700" w14:textId="77777777" w:rsidR="00000000" w:rsidRDefault="00A173A8">
            <w:pPr>
              <w:spacing w:after="100"/>
              <w:jc w:val="right"/>
              <w:rPr>
                <w:rFonts w:eastAsia="Times New Roman"/>
              </w:rPr>
            </w:pPr>
            <w:r>
              <w:rPr>
                <w:rFonts w:eastAsia="Times New Roman"/>
                <w:b/>
                <w:bCs/>
                <w:color w:val="000000"/>
                <w:sz w:val="20"/>
                <w:szCs w:val="20"/>
              </w:rPr>
              <w:t>87.84</w:t>
            </w:r>
          </w:p>
        </w:tc>
        <w:tc>
          <w:tcPr>
            <w:tcW w:w="0" w:type="auto"/>
            <w:gridSpan w:val="3"/>
            <w:shd w:val="clear" w:color="auto" w:fill="FFFFFF"/>
            <w:tcMar>
              <w:top w:w="0" w:type="dxa"/>
              <w:left w:w="20" w:type="dxa"/>
              <w:bottom w:w="0" w:type="dxa"/>
              <w:right w:w="20" w:type="dxa"/>
            </w:tcMar>
            <w:vAlign w:val="center"/>
            <w:hideMark/>
          </w:tcPr>
          <w:p w14:paraId="5B7544CB"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CDCFB16" w14:textId="77777777" w:rsidR="00000000" w:rsidRDefault="00A173A8">
            <w:pPr>
              <w:spacing w:after="100"/>
              <w:jc w:val="right"/>
              <w:rPr>
                <w:rFonts w:eastAsia="Times New Roman"/>
              </w:rPr>
            </w:pPr>
            <w:r>
              <w:rPr>
                <w:rFonts w:eastAsia="Times New Roman"/>
                <w:color w:val="000000"/>
                <w:sz w:val="20"/>
                <w:szCs w:val="20"/>
              </w:rPr>
              <w:t>97.20</w:t>
            </w:r>
          </w:p>
        </w:tc>
        <w:tc>
          <w:tcPr>
            <w:tcW w:w="0" w:type="auto"/>
            <w:gridSpan w:val="3"/>
            <w:shd w:val="clear" w:color="auto" w:fill="FFFFFF"/>
            <w:tcMar>
              <w:top w:w="0" w:type="dxa"/>
              <w:left w:w="20" w:type="dxa"/>
              <w:bottom w:w="0" w:type="dxa"/>
              <w:right w:w="20" w:type="dxa"/>
            </w:tcMar>
            <w:vAlign w:val="center"/>
            <w:hideMark/>
          </w:tcPr>
          <w:p w14:paraId="04993E95"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6028777" w14:textId="77777777" w:rsidR="00000000" w:rsidRDefault="00A173A8">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2A138F9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83F8A"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5F2A6700" w14:textId="77777777" w:rsidR="00000000" w:rsidRDefault="00A173A8">
            <w:pPr>
              <w:spacing w:after="100"/>
              <w:jc w:val="right"/>
              <w:rPr>
                <w:rFonts w:eastAsia="Times New Roman"/>
              </w:rPr>
            </w:pPr>
            <w:r>
              <w:rPr>
                <w:rFonts w:eastAsia="Times New Roman"/>
                <w:b/>
                <w:bCs/>
                <w:color w:val="000000"/>
                <w:sz w:val="20"/>
                <w:szCs w:val="20"/>
              </w:rPr>
              <w:t>87.84</w:t>
            </w:r>
          </w:p>
        </w:tc>
        <w:tc>
          <w:tcPr>
            <w:tcW w:w="0" w:type="auto"/>
            <w:gridSpan w:val="3"/>
            <w:shd w:val="clear" w:color="auto" w:fill="FFFFFF"/>
            <w:tcMar>
              <w:top w:w="0" w:type="dxa"/>
              <w:left w:w="20" w:type="dxa"/>
              <w:bottom w:w="0" w:type="dxa"/>
              <w:right w:w="20" w:type="dxa"/>
            </w:tcMar>
            <w:vAlign w:val="center"/>
            <w:hideMark/>
          </w:tcPr>
          <w:p w14:paraId="78BE4AFB"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74F732C" w14:textId="77777777" w:rsidR="00000000" w:rsidRDefault="00A173A8">
            <w:pPr>
              <w:spacing w:after="100"/>
              <w:jc w:val="right"/>
              <w:rPr>
                <w:rFonts w:eastAsia="Times New Roman"/>
              </w:rPr>
            </w:pPr>
            <w:r>
              <w:rPr>
                <w:rFonts w:eastAsia="Times New Roman"/>
                <w:color w:val="000000"/>
                <w:sz w:val="20"/>
                <w:szCs w:val="20"/>
              </w:rPr>
              <w:t>97.20</w:t>
            </w:r>
          </w:p>
        </w:tc>
        <w:tc>
          <w:tcPr>
            <w:tcW w:w="0" w:type="auto"/>
            <w:vAlign w:val="center"/>
            <w:hideMark/>
          </w:tcPr>
          <w:p w14:paraId="7E023FB7" w14:textId="77777777" w:rsidR="00000000" w:rsidRDefault="00A173A8">
            <w:pPr>
              <w:spacing w:after="100"/>
              <w:jc w:val="right"/>
              <w:rPr>
                <w:rFonts w:eastAsia="Times New Roman"/>
              </w:rPr>
            </w:pPr>
          </w:p>
        </w:tc>
        <w:tc>
          <w:tcPr>
            <w:tcW w:w="0" w:type="auto"/>
            <w:vAlign w:val="center"/>
            <w:hideMark/>
          </w:tcPr>
          <w:p w14:paraId="37533C6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41FFA3" w14:textId="77777777" w:rsidR="00000000" w:rsidRDefault="00A173A8">
            <w:pPr>
              <w:spacing w:after="100"/>
              <w:rPr>
                <w:rFonts w:eastAsia="Times New Roman"/>
                <w:sz w:val="20"/>
                <w:szCs w:val="20"/>
              </w:rPr>
            </w:pPr>
          </w:p>
        </w:tc>
        <w:tc>
          <w:tcPr>
            <w:tcW w:w="0" w:type="auto"/>
            <w:vAlign w:val="center"/>
            <w:hideMark/>
          </w:tcPr>
          <w:p w14:paraId="71F8C21D" w14:textId="77777777" w:rsidR="00000000" w:rsidRDefault="00A173A8">
            <w:pPr>
              <w:spacing w:after="100"/>
              <w:rPr>
                <w:rFonts w:eastAsia="Times New Roman"/>
                <w:sz w:val="20"/>
                <w:szCs w:val="20"/>
              </w:rPr>
            </w:pPr>
          </w:p>
        </w:tc>
        <w:tc>
          <w:tcPr>
            <w:tcW w:w="0" w:type="auto"/>
            <w:gridSpan w:val="3"/>
            <w:vAlign w:val="center"/>
            <w:hideMark/>
          </w:tcPr>
          <w:p w14:paraId="6F3BD1B0" w14:textId="77777777" w:rsidR="00000000" w:rsidRDefault="00A173A8">
            <w:pPr>
              <w:spacing w:after="100"/>
              <w:rPr>
                <w:rFonts w:eastAsia="Times New Roman"/>
                <w:sz w:val="20"/>
                <w:szCs w:val="20"/>
              </w:rPr>
            </w:pPr>
          </w:p>
        </w:tc>
        <w:tc>
          <w:tcPr>
            <w:tcW w:w="0" w:type="auto"/>
            <w:gridSpan w:val="3"/>
            <w:vAlign w:val="center"/>
            <w:hideMark/>
          </w:tcPr>
          <w:p w14:paraId="64E83037" w14:textId="77777777" w:rsidR="00000000" w:rsidRDefault="00A173A8">
            <w:pPr>
              <w:spacing w:after="100"/>
              <w:rPr>
                <w:rFonts w:eastAsia="Times New Roman"/>
                <w:sz w:val="20"/>
                <w:szCs w:val="20"/>
              </w:rPr>
            </w:pPr>
          </w:p>
        </w:tc>
        <w:tc>
          <w:tcPr>
            <w:tcW w:w="0" w:type="auto"/>
            <w:gridSpan w:val="3"/>
            <w:vAlign w:val="center"/>
            <w:hideMark/>
          </w:tcPr>
          <w:p w14:paraId="3A8EA1BF"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DFE838" w14:textId="77777777" w:rsidR="00000000" w:rsidRDefault="00A173A8">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14:paraId="04DC58EE" w14:textId="77777777" w:rsidR="00000000" w:rsidRDefault="00A173A8">
            <w:pPr>
              <w:spacing w:after="100"/>
              <w:jc w:val="right"/>
              <w:rPr>
                <w:rFonts w:eastAsia="Times New Roman"/>
              </w:rPr>
            </w:pPr>
          </w:p>
        </w:tc>
        <w:tc>
          <w:tcPr>
            <w:tcW w:w="0" w:type="auto"/>
            <w:gridSpan w:val="3"/>
            <w:vAlign w:val="center"/>
            <w:hideMark/>
          </w:tcPr>
          <w:p w14:paraId="144C58DD" w14:textId="77777777" w:rsidR="00000000" w:rsidRDefault="00A173A8">
            <w:pPr>
              <w:spacing w:after="100"/>
              <w:jc w:val="right"/>
              <w:rPr>
                <w:rFonts w:eastAsia="Times New Roman"/>
                <w:sz w:val="20"/>
                <w:szCs w:val="20"/>
              </w:rPr>
            </w:pPr>
          </w:p>
        </w:tc>
        <w:tc>
          <w:tcPr>
            <w:tcW w:w="0" w:type="auto"/>
            <w:gridSpan w:val="2"/>
            <w:vAlign w:val="center"/>
            <w:hideMark/>
          </w:tcPr>
          <w:p w14:paraId="4FF9C4D1" w14:textId="77777777" w:rsidR="00000000" w:rsidRDefault="00A173A8">
            <w:pPr>
              <w:spacing w:after="100"/>
              <w:rPr>
                <w:rFonts w:eastAsia="Times New Roman"/>
                <w:sz w:val="20"/>
                <w:szCs w:val="20"/>
              </w:rPr>
            </w:pPr>
          </w:p>
        </w:tc>
      </w:tr>
      <w:tr w:rsidR="00000000" w14:paraId="636181A7" w14:textId="77777777">
        <w:trPr>
          <w:divId w:val="1533881267"/>
        </w:trPr>
        <w:tc>
          <w:tcPr>
            <w:tcW w:w="0" w:type="auto"/>
            <w:gridSpan w:val="3"/>
            <w:vAlign w:val="center"/>
            <w:hideMark/>
          </w:tcPr>
          <w:p w14:paraId="743EA131" w14:textId="77777777" w:rsidR="00000000" w:rsidRDefault="00A173A8">
            <w:pPr>
              <w:spacing w:after="100"/>
              <w:rPr>
                <w:rFonts w:eastAsia="Times New Roman"/>
                <w:sz w:val="20"/>
                <w:szCs w:val="20"/>
              </w:rPr>
            </w:pPr>
          </w:p>
        </w:tc>
        <w:tc>
          <w:tcPr>
            <w:tcW w:w="0" w:type="auto"/>
            <w:gridSpan w:val="3"/>
            <w:vAlign w:val="center"/>
            <w:hideMark/>
          </w:tcPr>
          <w:p w14:paraId="21BAD707" w14:textId="77777777" w:rsidR="00000000" w:rsidRDefault="00A173A8">
            <w:pPr>
              <w:spacing w:after="100"/>
              <w:rPr>
                <w:rFonts w:eastAsia="Times New Roman"/>
                <w:sz w:val="20"/>
                <w:szCs w:val="20"/>
              </w:rPr>
            </w:pPr>
          </w:p>
        </w:tc>
        <w:tc>
          <w:tcPr>
            <w:tcW w:w="0" w:type="auto"/>
            <w:gridSpan w:val="3"/>
            <w:vAlign w:val="center"/>
            <w:hideMark/>
          </w:tcPr>
          <w:p w14:paraId="17D7F5B2" w14:textId="77777777" w:rsidR="00000000" w:rsidRDefault="00A173A8">
            <w:pPr>
              <w:spacing w:after="100"/>
              <w:rPr>
                <w:rFonts w:eastAsia="Times New Roman"/>
                <w:sz w:val="20"/>
                <w:szCs w:val="20"/>
              </w:rPr>
            </w:pPr>
          </w:p>
        </w:tc>
        <w:tc>
          <w:tcPr>
            <w:tcW w:w="0" w:type="auto"/>
            <w:gridSpan w:val="3"/>
            <w:vAlign w:val="center"/>
            <w:hideMark/>
          </w:tcPr>
          <w:p w14:paraId="52F97273" w14:textId="77777777" w:rsidR="00000000" w:rsidRDefault="00A173A8">
            <w:pPr>
              <w:spacing w:after="100"/>
              <w:rPr>
                <w:rFonts w:eastAsia="Times New Roman"/>
                <w:sz w:val="20"/>
                <w:szCs w:val="20"/>
              </w:rPr>
            </w:pPr>
          </w:p>
        </w:tc>
        <w:tc>
          <w:tcPr>
            <w:tcW w:w="0" w:type="auto"/>
            <w:gridSpan w:val="3"/>
            <w:vAlign w:val="center"/>
            <w:hideMark/>
          </w:tcPr>
          <w:p w14:paraId="46A875E0" w14:textId="77777777" w:rsidR="00000000" w:rsidRDefault="00A173A8">
            <w:pPr>
              <w:spacing w:after="100"/>
              <w:rPr>
                <w:rFonts w:eastAsia="Times New Roman"/>
                <w:sz w:val="20"/>
                <w:szCs w:val="20"/>
              </w:rPr>
            </w:pPr>
          </w:p>
        </w:tc>
        <w:tc>
          <w:tcPr>
            <w:tcW w:w="0" w:type="auto"/>
            <w:gridSpan w:val="3"/>
            <w:vAlign w:val="center"/>
            <w:hideMark/>
          </w:tcPr>
          <w:p w14:paraId="47BEF2E2" w14:textId="77777777" w:rsidR="00000000" w:rsidRDefault="00A173A8">
            <w:pPr>
              <w:spacing w:after="100"/>
              <w:rPr>
                <w:rFonts w:eastAsia="Times New Roman"/>
                <w:sz w:val="20"/>
                <w:szCs w:val="20"/>
              </w:rPr>
            </w:pPr>
          </w:p>
        </w:tc>
        <w:tc>
          <w:tcPr>
            <w:tcW w:w="0" w:type="auto"/>
            <w:gridSpan w:val="3"/>
            <w:vAlign w:val="center"/>
            <w:hideMark/>
          </w:tcPr>
          <w:p w14:paraId="0378A025" w14:textId="77777777" w:rsidR="00000000" w:rsidRDefault="00A173A8">
            <w:pPr>
              <w:spacing w:after="100"/>
              <w:rPr>
                <w:rFonts w:eastAsia="Times New Roman"/>
                <w:sz w:val="20"/>
                <w:szCs w:val="20"/>
              </w:rPr>
            </w:pPr>
          </w:p>
        </w:tc>
        <w:tc>
          <w:tcPr>
            <w:tcW w:w="0" w:type="auto"/>
            <w:gridSpan w:val="3"/>
            <w:vAlign w:val="center"/>
            <w:hideMark/>
          </w:tcPr>
          <w:p w14:paraId="45A46F54" w14:textId="77777777" w:rsidR="00000000" w:rsidRDefault="00A173A8">
            <w:pPr>
              <w:spacing w:after="100"/>
              <w:rPr>
                <w:rFonts w:eastAsia="Times New Roman"/>
                <w:sz w:val="20"/>
                <w:szCs w:val="20"/>
              </w:rPr>
            </w:pPr>
          </w:p>
        </w:tc>
        <w:tc>
          <w:tcPr>
            <w:tcW w:w="0" w:type="auto"/>
            <w:gridSpan w:val="3"/>
            <w:vAlign w:val="center"/>
            <w:hideMark/>
          </w:tcPr>
          <w:p w14:paraId="504FB2B8" w14:textId="77777777" w:rsidR="00000000" w:rsidRDefault="00A173A8">
            <w:pPr>
              <w:spacing w:after="100"/>
              <w:rPr>
                <w:rFonts w:eastAsia="Times New Roman"/>
                <w:sz w:val="20"/>
                <w:szCs w:val="20"/>
              </w:rPr>
            </w:pPr>
          </w:p>
        </w:tc>
        <w:tc>
          <w:tcPr>
            <w:tcW w:w="0" w:type="auto"/>
            <w:gridSpan w:val="3"/>
            <w:vAlign w:val="center"/>
            <w:hideMark/>
          </w:tcPr>
          <w:p w14:paraId="1C882871" w14:textId="77777777" w:rsidR="00000000" w:rsidRDefault="00A173A8">
            <w:pPr>
              <w:spacing w:after="100"/>
              <w:rPr>
                <w:rFonts w:eastAsia="Times New Roman"/>
                <w:sz w:val="20"/>
                <w:szCs w:val="20"/>
              </w:rPr>
            </w:pPr>
          </w:p>
        </w:tc>
        <w:tc>
          <w:tcPr>
            <w:tcW w:w="0" w:type="auto"/>
            <w:gridSpan w:val="3"/>
            <w:vAlign w:val="center"/>
            <w:hideMark/>
          </w:tcPr>
          <w:p w14:paraId="2E844A99" w14:textId="77777777" w:rsidR="00000000" w:rsidRDefault="00A173A8">
            <w:pPr>
              <w:spacing w:after="100"/>
              <w:rPr>
                <w:rFonts w:eastAsia="Times New Roman"/>
                <w:sz w:val="20"/>
                <w:szCs w:val="20"/>
              </w:rPr>
            </w:pPr>
          </w:p>
        </w:tc>
        <w:tc>
          <w:tcPr>
            <w:tcW w:w="0" w:type="auto"/>
            <w:vAlign w:val="center"/>
            <w:hideMark/>
          </w:tcPr>
          <w:p w14:paraId="242E975E" w14:textId="77777777" w:rsidR="00000000" w:rsidRDefault="00A173A8">
            <w:pPr>
              <w:spacing w:after="100"/>
              <w:rPr>
                <w:rFonts w:eastAsia="Times New Roman"/>
                <w:sz w:val="20"/>
                <w:szCs w:val="20"/>
              </w:rPr>
            </w:pPr>
          </w:p>
        </w:tc>
        <w:tc>
          <w:tcPr>
            <w:tcW w:w="0" w:type="auto"/>
            <w:vAlign w:val="center"/>
            <w:hideMark/>
          </w:tcPr>
          <w:p w14:paraId="2A71A513" w14:textId="77777777" w:rsidR="00000000" w:rsidRDefault="00A173A8">
            <w:pPr>
              <w:spacing w:after="100"/>
              <w:rPr>
                <w:rFonts w:eastAsia="Times New Roman"/>
                <w:sz w:val="20"/>
                <w:szCs w:val="20"/>
              </w:rPr>
            </w:pPr>
          </w:p>
        </w:tc>
        <w:tc>
          <w:tcPr>
            <w:tcW w:w="0" w:type="auto"/>
            <w:gridSpan w:val="3"/>
            <w:vAlign w:val="center"/>
            <w:hideMark/>
          </w:tcPr>
          <w:p w14:paraId="64D69F05" w14:textId="77777777" w:rsidR="00000000" w:rsidRDefault="00A173A8">
            <w:pPr>
              <w:spacing w:after="100"/>
              <w:rPr>
                <w:rFonts w:eastAsia="Times New Roman"/>
                <w:sz w:val="20"/>
                <w:szCs w:val="20"/>
              </w:rPr>
            </w:pPr>
          </w:p>
        </w:tc>
        <w:tc>
          <w:tcPr>
            <w:tcW w:w="0" w:type="auto"/>
            <w:vAlign w:val="center"/>
            <w:hideMark/>
          </w:tcPr>
          <w:p w14:paraId="189F69D8" w14:textId="77777777" w:rsidR="00000000" w:rsidRDefault="00A173A8">
            <w:pPr>
              <w:spacing w:after="100"/>
              <w:rPr>
                <w:rFonts w:eastAsia="Times New Roman"/>
                <w:sz w:val="20"/>
                <w:szCs w:val="20"/>
              </w:rPr>
            </w:pPr>
          </w:p>
        </w:tc>
        <w:tc>
          <w:tcPr>
            <w:tcW w:w="0" w:type="auto"/>
            <w:gridSpan w:val="3"/>
            <w:vAlign w:val="center"/>
            <w:hideMark/>
          </w:tcPr>
          <w:p w14:paraId="36AC53F1" w14:textId="77777777" w:rsidR="00000000" w:rsidRDefault="00A173A8">
            <w:pPr>
              <w:spacing w:after="100"/>
              <w:rPr>
                <w:rFonts w:eastAsia="Times New Roman"/>
                <w:sz w:val="20"/>
                <w:szCs w:val="20"/>
              </w:rPr>
            </w:pPr>
          </w:p>
        </w:tc>
        <w:tc>
          <w:tcPr>
            <w:tcW w:w="0" w:type="auto"/>
            <w:gridSpan w:val="3"/>
            <w:vAlign w:val="center"/>
            <w:hideMark/>
          </w:tcPr>
          <w:p w14:paraId="0C1D218A" w14:textId="77777777" w:rsidR="00000000" w:rsidRDefault="00A173A8">
            <w:pPr>
              <w:spacing w:after="100"/>
              <w:rPr>
                <w:rFonts w:eastAsia="Times New Roman"/>
                <w:sz w:val="20"/>
                <w:szCs w:val="20"/>
              </w:rPr>
            </w:pPr>
          </w:p>
        </w:tc>
        <w:tc>
          <w:tcPr>
            <w:tcW w:w="0" w:type="auto"/>
            <w:gridSpan w:val="3"/>
            <w:vAlign w:val="center"/>
            <w:hideMark/>
          </w:tcPr>
          <w:p w14:paraId="549C6E91" w14:textId="77777777" w:rsidR="00000000" w:rsidRDefault="00A173A8">
            <w:pPr>
              <w:spacing w:after="100"/>
              <w:rPr>
                <w:rFonts w:eastAsia="Times New Roman"/>
                <w:sz w:val="20"/>
                <w:szCs w:val="20"/>
              </w:rPr>
            </w:pPr>
          </w:p>
        </w:tc>
        <w:tc>
          <w:tcPr>
            <w:tcW w:w="0" w:type="auto"/>
            <w:gridSpan w:val="3"/>
            <w:vAlign w:val="center"/>
            <w:hideMark/>
          </w:tcPr>
          <w:p w14:paraId="104A9CCD" w14:textId="77777777" w:rsidR="00000000" w:rsidRDefault="00A173A8">
            <w:pPr>
              <w:spacing w:after="100"/>
              <w:rPr>
                <w:rFonts w:eastAsia="Times New Roman"/>
                <w:sz w:val="20"/>
                <w:szCs w:val="20"/>
              </w:rPr>
            </w:pPr>
          </w:p>
        </w:tc>
        <w:tc>
          <w:tcPr>
            <w:tcW w:w="0" w:type="auto"/>
            <w:gridSpan w:val="3"/>
            <w:vAlign w:val="center"/>
            <w:hideMark/>
          </w:tcPr>
          <w:p w14:paraId="196E1C12" w14:textId="77777777" w:rsidR="00000000" w:rsidRDefault="00A173A8">
            <w:pPr>
              <w:spacing w:after="100"/>
              <w:rPr>
                <w:rFonts w:eastAsia="Times New Roman"/>
                <w:sz w:val="20"/>
                <w:szCs w:val="20"/>
              </w:rPr>
            </w:pPr>
          </w:p>
        </w:tc>
        <w:tc>
          <w:tcPr>
            <w:tcW w:w="0" w:type="auto"/>
            <w:gridSpan w:val="2"/>
            <w:vAlign w:val="center"/>
            <w:hideMark/>
          </w:tcPr>
          <w:p w14:paraId="3037AFD6" w14:textId="77777777" w:rsidR="00000000" w:rsidRDefault="00A173A8">
            <w:pPr>
              <w:spacing w:after="100"/>
              <w:rPr>
                <w:rFonts w:eastAsia="Times New Roman"/>
                <w:sz w:val="20"/>
                <w:szCs w:val="20"/>
              </w:rPr>
            </w:pPr>
          </w:p>
        </w:tc>
      </w:tr>
      <w:tr w:rsidR="00000000" w14:paraId="0F45679C" w14:textId="77777777">
        <w:trPr>
          <w:divId w:val="1533881267"/>
        </w:trPr>
        <w:tc>
          <w:tcPr>
            <w:tcW w:w="0" w:type="auto"/>
            <w:gridSpan w:val="3"/>
            <w:vAlign w:val="center"/>
            <w:hideMark/>
          </w:tcPr>
          <w:p w14:paraId="2EB7C680" w14:textId="77777777" w:rsidR="00000000" w:rsidRDefault="00A173A8">
            <w:pPr>
              <w:spacing w:after="100"/>
              <w:rPr>
                <w:rFonts w:eastAsia="Times New Roman"/>
                <w:sz w:val="20"/>
                <w:szCs w:val="20"/>
              </w:rPr>
            </w:pPr>
          </w:p>
        </w:tc>
        <w:tc>
          <w:tcPr>
            <w:tcW w:w="0" w:type="auto"/>
            <w:gridSpan w:val="3"/>
            <w:vAlign w:val="center"/>
            <w:hideMark/>
          </w:tcPr>
          <w:p w14:paraId="5B46E661" w14:textId="77777777" w:rsidR="00000000" w:rsidRDefault="00A173A8">
            <w:pPr>
              <w:spacing w:after="100"/>
              <w:rPr>
                <w:rFonts w:eastAsia="Times New Roman"/>
                <w:sz w:val="20"/>
                <w:szCs w:val="20"/>
              </w:rPr>
            </w:pPr>
          </w:p>
        </w:tc>
        <w:tc>
          <w:tcPr>
            <w:tcW w:w="0" w:type="auto"/>
            <w:gridSpan w:val="3"/>
            <w:vAlign w:val="center"/>
            <w:hideMark/>
          </w:tcPr>
          <w:p w14:paraId="4A00F4D3" w14:textId="77777777" w:rsidR="00000000" w:rsidRDefault="00A173A8">
            <w:pPr>
              <w:spacing w:after="100"/>
              <w:rPr>
                <w:rFonts w:eastAsia="Times New Roman"/>
                <w:sz w:val="20"/>
                <w:szCs w:val="20"/>
              </w:rPr>
            </w:pPr>
          </w:p>
        </w:tc>
        <w:tc>
          <w:tcPr>
            <w:tcW w:w="0" w:type="auto"/>
            <w:gridSpan w:val="3"/>
            <w:vAlign w:val="center"/>
            <w:hideMark/>
          </w:tcPr>
          <w:p w14:paraId="21BD1779" w14:textId="77777777" w:rsidR="00000000" w:rsidRDefault="00A173A8">
            <w:pPr>
              <w:spacing w:after="100"/>
              <w:rPr>
                <w:rFonts w:eastAsia="Times New Roman"/>
                <w:sz w:val="20"/>
                <w:szCs w:val="20"/>
              </w:rPr>
            </w:pPr>
          </w:p>
        </w:tc>
        <w:tc>
          <w:tcPr>
            <w:tcW w:w="0" w:type="auto"/>
            <w:gridSpan w:val="3"/>
            <w:vAlign w:val="center"/>
            <w:hideMark/>
          </w:tcPr>
          <w:p w14:paraId="6E3A481C" w14:textId="77777777" w:rsidR="00000000" w:rsidRDefault="00A173A8">
            <w:pPr>
              <w:spacing w:after="100"/>
              <w:rPr>
                <w:rFonts w:eastAsia="Times New Roman"/>
                <w:sz w:val="20"/>
                <w:szCs w:val="20"/>
              </w:rPr>
            </w:pPr>
          </w:p>
        </w:tc>
        <w:tc>
          <w:tcPr>
            <w:tcW w:w="0" w:type="auto"/>
            <w:gridSpan w:val="3"/>
            <w:vAlign w:val="center"/>
            <w:hideMark/>
          </w:tcPr>
          <w:p w14:paraId="4CED3B21" w14:textId="77777777" w:rsidR="00000000" w:rsidRDefault="00A173A8">
            <w:pPr>
              <w:spacing w:after="100"/>
              <w:rPr>
                <w:rFonts w:eastAsia="Times New Roman"/>
                <w:sz w:val="20"/>
                <w:szCs w:val="20"/>
              </w:rPr>
            </w:pPr>
          </w:p>
        </w:tc>
        <w:tc>
          <w:tcPr>
            <w:tcW w:w="0" w:type="auto"/>
            <w:gridSpan w:val="3"/>
            <w:vAlign w:val="center"/>
            <w:hideMark/>
          </w:tcPr>
          <w:p w14:paraId="44023CA0" w14:textId="77777777" w:rsidR="00000000" w:rsidRDefault="00A173A8">
            <w:pPr>
              <w:spacing w:after="100"/>
              <w:rPr>
                <w:rFonts w:eastAsia="Times New Roman"/>
                <w:sz w:val="20"/>
                <w:szCs w:val="20"/>
              </w:rPr>
            </w:pPr>
          </w:p>
        </w:tc>
        <w:tc>
          <w:tcPr>
            <w:tcW w:w="0" w:type="auto"/>
            <w:gridSpan w:val="3"/>
            <w:vAlign w:val="center"/>
            <w:hideMark/>
          </w:tcPr>
          <w:p w14:paraId="24DCA596" w14:textId="77777777" w:rsidR="00000000" w:rsidRDefault="00A173A8">
            <w:pPr>
              <w:spacing w:after="100"/>
              <w:rPr>
                <w:rFonts w:eastAsia="Times New Roman"/>
                <w:sz w:val="20"/>
                <w:szCs w:val="20"/>
              </w:rPr>
            </w:pPr>
          </w:p>
        </w:tc>
        <w:tc>
          <w:tcPr>
            <w:tcW w:w="0" w:type="auto"/>
            <w:gridSpan w:val="3"/>
            <w:vAlign w:val="center"/>
            <w:hideMark/>
          </w:tcPr>
          <w:p w14:paraId="3FC92EB4" w14:textId="77777777" w:rsidR="00000000" w:rsidRDefault="00A173A8">
            <w:pPr>
              <w:spacing w:after="100"/>
              <w:rPr>
                <w:rFonts w:eastAsia="Times New Roman"/>
                <w:sz w:val="20"/>
                <w:szCs w:val="20"/>
              </w:rPr>
            </w:pPr>
          </w:p>
        </w:tc>
        <w:tc>
          <w:tcPr>
            <w:tcW w:w="0" w:type="auto"/>
            <w:gridSpan w:val="3"/>
            <w:vAlign w:val="center"/>
            <w:hideMark/>
          </w:tcPr>
          <w:p w14:paraId="2411869C" w14:textId="77777777" w:rsidR="00000000" w:rsidRDefault="00A173A8">
            <w:pPr>
              <w:spacing w:after="100"/>
              <w:rPr>
                <w:rFonts w:eastAsia="Times New Roman"/>
                <w:sz w:val="20"/>
                <w:szCs w:val="20"/>
              </w:rPr>
            </w:pPr>
          </w:p>
        </w:tc>
        <w:tc>
          <w:tcPr>
            <w:tcW w:w="0" w:type="auto"/>
            <w:gridSpan w:val="3"/>
            <w:vAlign w:val="center"/>
            <w:hideMark/>
          </w:tcPr>
          <w:p w14:paraId="4F65D2A2" w14:textId="77777777" w:rsidR="00000000" w:rsidRDefault="00A173A8">
            <w:pPr>
              <w:spacing w:after="100"/>
              <w:rPr>
                <w:rFonts w:eastAsia="Times New Roman"/>
                <w:sz w:val="20"/>
                <w:szCs w:val="20"/>
              </w:rPr>
            </w:pPr>
          </w:p>
        </w:tc>
        <w:tc>
          <w:tcPr>
            <w:tcW w:w="0" w:type="auto"/>
            <w:vAlign w:val="center"/>
            <w:hideMark/>
          </w:tcPr>
          <w:p w14:paraId="104E6107" w14:textId="77777777" w:rsidR="00000000" w:rsidRDefault="00A173A8">
            <w:pPr>
              <w:spacing w:after="100"/>
              <w:rPr>
                <w:rFonts w:eastAsia="Times New Roman"/>
                <w:sz w:val="20"/>
                <w:szCs w:val="20"/>
              </w:rPr>
            </w:pPr>
          </w:p>
        </w:tc>
        <w:tc>
          <w:tcPr>
            <w:tcW w:w="0" w:type="auto"/>
            <w:vAlign w:val="center"/>
            <w:hideMark/>
          </w:tcPr>
          <w:p w14:paraId="29ED0AA8" w14:textId="77777777" w:rsidR="00000000" w:rsidRDefault="00A173A8">
            <w:pPr>
              <w:spacing w:after="100"/>
              <w:rPr>
                <w:rFonts w:eastAsia="Times New Roman"/>
                <w:sz w:val="20"/>
                <w:szCs w:val="20"/>
              </w:rPr>
            </w:pPr>
          </w:p>
        </w:tc>
        <w:tc>
          <w:tcPr>
            <w:tcW w:w="0" w:type="auto"/>
            <w:gridSpan w:val="3"/>
            <w:vAlign w:val="center"/>
            <w:hideMark/>
          </w:tcPr>
          <w:p w14:paraId="05BEA2F4" w14:textId="77777777" w:rsidR="00000000" w:rsidRDefault="00A173A8">
            <w:pPr>
              <w:spacing w:after="100"/>
              <w:rPr>
                <w:rFonts w:eastAsia="Times New Roman"/>
                <w:sz w:val="20"/>
                <w:szCs w:val="20"/>
              </w:rPr>
            </w:pPr>
          </w:p>
        </w:tc>
        <w:tc>
          <w:tcPr>
            <w:tcW w:w="0" w:type="auto"/>
            <w:vAlign w:val="center"/>
            <w:hideMark/>
          </w:tcPr>
          <w:p w14:paraId="7D7E2EE6" w14:textId="77777777" w:rsidR="00000000" w:rsidRDefault="00A173A8">
            <w:pPr>
              <w:spacing w:after="100"/>
              <w:rPr>
                <w:rFonts w:eastAsia="Times New Roman"/>
                <w:sz w:val="20"/>
                <w:szCs w:val="20"/>
              </w:rPr>
            </w:pPr>
          </w:p>
        </w:tc>
        <w:tc>
          <w:tcPr>
            <w:tcW w:w="0" w:type="auto"/>
            <w:gridSpan w:val="3"/>
            <w:vAlign w:val="center"/>
            <w:hideMark/>
          </w:tcPr>
          <w:p w14:paraId="6CDA1999" w14:textId="77777777" w:rsidR="00000000" w:rsidRDefault="00A173A8">
            <w:pPr>
              <w:spacing w:after="100"/>
              <w:rPr>
                <w:rFonts w:eastAsia="Times New Roman"/>
                <w:sz w:val="20"/>
                <w:szCs w:val="20"/>
              </w:rPr>
            </w:pPr>
          </w:p>
        </w:tc>
        <w:tc>
          <w:tcPr>
            <w:tcW w:w="0" w:type="auto"/>
            <w:gridSpan w:val="3"/>
            <w:vAlign w:val="center"/>
            <w:hideMark/>
          </w:tcPr>
          <w:p w14:paraId="06150017" w14:textId="77777777" w:rsidR="00000000" w:rsidRDefault="00A173A8">
            <w:pPr>
              <w:spacing w:after="100"/>
              <w:rPr>
                <w:rFonts w:eastAsia="Times New Roman"/>
                <w:sz w:val="20"/>
                <w:szCs w:val="20"/>
              </w:rPr>
            </w:pPr>
          </w:p>
        </w:tc>
        <w:tc>
          <w:tcPr>
            <w:tcW w:w="0" w:type="auto"/>
            <w:gridSpan w:val="3"/>
            <w:vAlign w:val="center"/>
            <w:hideMark/>
          </w:tcPr>
          <w:p w14:paraId="6EB12F6B" w14:textId="77777777" w:rsidR="00000000" w:rsidRDefault="00A173A8">
            <w:pPr>
              <w:spacing w:after="100"/>
              <w:rPr>
                <w:rFonts w:eastAsia="Times New Roman"/>
                <w:sz w:val="20"/>
                <w:szCs w:val="20"/>
              </w:rPr>
            </w:pPr>
          </w:p>
        </w:tc>
        <w:tc>
          <w:tcPr>
            <w:tcW w:w="0" w:type="auto"/>
            <w:gridSpan w:val="3"/>
            <w:vAlign w:val="center"/>
            <w:hideMark/>
          </w:tcPr>
          <w:p w14:paraId="1E751D80" w14:textId="77777777" w:rsidR="00000000" w:rsidRDefault="00A173A8">
            <w:pPr>
              <w:spacing w:after="100"/>
              <w:rPr>
                <w:rFonts w:eastAsia="Times New Roman"/>
                <w:sz w:val="20"/>
                <w:szCs w:val="20"/>
              </w:rPr>
            </w:pPr>
          </w:p>
        </w:tc>
        <w:tc>
          <w:tcPr>
            <w:tcW w:w="0" w:type="auto"/>
            <w:gridSpan w:val="3"/>
            <w:vAlign w:val="center"/>
            <w:hideMark/>
          </w:tcPr>
          <w:p w14:paraId="0DF97445" w14:textId="77777777" w:rsidR="00000000" w:rsidRDefault="00A173A8">
            <w:pPr>
              <w:spacing w:after="100"/>
              <w:rPr>
                <w:rFonts w:eastAsia="Times New Roman"/>
                <w:sz w:val="20"/>
                <w:szCs w:val="20"/>
              </w:rPr>
            </w:pPr>
          </w:p>
        </w:tc>
        <w:tc>
          <w:tcPr>
            <w:tcW w:w="0" w:type="auto"/>
            <w:gridSpan w:val="2"/>
            <w:vAlign w:val="center"/>
            <w:hideMark/>
          </w:tcPr>
          <w:p w14:paraId="35EE3A75" w14:textId="77777777" w:rsidR="00000000" w:rsidRDefault="00A173A8">
            <w:pPr>
              <w:spacing w:after="100"/>
              <w:rPr>
                <w:rFonts w:eastAsia="Times New Roman"/>
                <w:sz w:val="20"/>
                <w:szCs w:val="20"/>
              </w:rPr>
            </w:pPr>
          </w:p>
        </w:tc>
      </w:tr>
      <w:tr w:rsidR="00000000" w14:paraId="6640E8EA" w14:textId="77777777">
        <w:trPr>
          <w:divId w:val="1533881267"/>
        </w:trPr>
        <w:tc>
          <w:tcPr>
            <w:tcW w:w="0" w:type="auto"/>
            <w:gridSpan w:val="3"/>
            <w:vAlign w:val="center"/>
            <w:hideMark/>
          </w:tcPr>
          <w:p w14:paraId="74A47BA0" w14:textId="77777777" w:rsidR="00000000" w:rsidRDefault="00A173A8">
            <w:pPr>
              <w:spacing w:after="100"/>
              <w:rPr>
                <w:rFonts w:eastAsia="Times New Roman"/>
                <w:sz w:val="20"/>
                <w:szCs w:val="20"/>
              </w:rPr>
            </w:pPr>
          </w:p>
        </w:tc>
        <w:tc>
          <w:tcPr>
            <w:tcW w:w="0" w:type="auto"/>
            <w:gridSpan w:val="3"/>
            <w:vAlign w:val="center"/>
            <w:hideMark/>
          </w:tcPr>
          <w:p w14:paraId="65278C8E" w14:textId="77777777" w:rsidR="00000000" w:rsidRDefault="00A173A8">
            <w:pPr>
              <w:spacing w:after="100"/>
              <w:rPr>
                <w:rFonts w:eastAsia="Times New Roman"/>
                <w:sz w:val="20"/>
                <w:szCs w:val="20"/>
              </w:rPr>
            </w:pPr>
          </w:p>
        </w:tc>
        <w:tc>
          <w:tcPr>
            <w:tcW w:w="0" w:type="auto"/>
            <w:gridSpan w:val="3"/>
            <w:vAlign w:val="center"/>
            <w:hideMark/>
          </w:tcPr>
          <w:p w14:paraId="3947FEED" w14:textId="77777777" w:rsidR="00000000" w:rsidRDefault="00A173A8">
            <w:pPr>
              <w:spacing w:after="100"/>
              <w:rPr>
                <w:rFonts w:eastAsia="Times New Roman"/>
                <w:sz w:val="20"/>
                <w:szCs w:val="20"/>
              </w:rPr>
            </w:pPr>
          </w:p>
        </w:tc>
        <w:tc>
          <w:tcPr>
            <w:tcW w:w="0" w:type="auto"/>
            <w:gridSpan w:val="3"/>
            <w:vAlign w:val="center"/>
            <w:hideMark/>
          </w:tcPr>
          <w:p w14:paraId="1A0B8DB0" w14:textId="77777777" w:rsidR="00000000" w:rsidRDefault="00A173A8">
            <w:pPr>
              <w:spacing w:after="100"/>
              <w:rPr>
                <w:rFonts w:eastAsia="Times New Roman"/>
                <w:sz w:val="20"/>
                <w:szCs w:val="20"/>
              </w:rPr>
            </w:pPr>
          </w:p>
        </w:tc>
        <w:tc>
          <w:tcPr>
            <w:tcW w:w="0" w:type="auto"/>
            <w:gridSpan w:val="3"/>
            <w:vAlign w:val="center"/>
            <w:hideMark/>
          </w:tcPr>
          <w:p w14:paraId="48474645" w14:textId="77777777" w:rsidR="00000000" w:rsidRDefault="00A173A8">
            <w:pPr>
              <w:spacing w:after="100"/>
              <w:rPr>
                <w:rFonts w:eastAsia="Times New Roman"/>
                <w:sz w:val="20"/>
                <w:szCs w:val="20"/>
              </w:rPr>
            </w:pPr>
          </w:p>
        </w:tc>
        <w:tc>
          <w:tcPr>
            <w:tcW w:w="0" w:type="auto"/>
            <w:gridSpan w:val="3"/>
            <w:vAlign w:val="center"/>
            <w:hideMark/>
          </w:tcPr>
          <w:p w14:paraId="715F9AC8" w14:textId="77777777" w:rsidR="00000000" w:rsidRDefault="00A173A8">
            <w:pPr>
              <w:spacing w:after="100"/>
              <w:rPr>
                <w:rFonts w:eastAsia="Times New Roman"/>
                <w:sz w:val="20"/>
                <w:szCs w:val="20"/>
              </w:rPr>
            </w:pPr>
          </w:p>
        </w:tc>
        <w:tc>
          <w:tcPr>
            <w:tcW w:w="0" w:type="auto"/>
            <w:gridSpan w:val="3"/>
            <w:vAlign w:val="center"/>
            <w:hideMark/>
          </w:tcPr>
          <w:p w14:paraId="7BC1E310" w14:textId="77777777" w:rsidR="00000000" w:rsidRDefault="00A173A8">
            <w:pPr>
              <w:spacing w:after="100"/>
              <w:rPr>
                <w:rFonts w:eastAsia="Times New Roman"/>
                <w:sz w:val="20"/>
                <w:szCs w:val="20"/>
              </w:rPr>
            </w:pPr>
          </w:p>
        </w:tc>
        <w:tc>
          <w:tcPr>
            <w:tcW w:w="0" w:type="auto"/>
            <w:gridSpan w:val="3"/>
            <w:vAlign w:val="center"/>
            <w:hideMark/>
          </w:tcPr>
          <w:p w14:paraId="5830D91E" w14:textId="77777777" w:rsidR="00000000" w:rsidRDefault="00A173A8">
            <w:pPr>
              <w:spacing w:after="100"/>
              <w:rPr>
                <w:rFonts w:eastAsia="Times New Roman"/>
                <w:sz w:val="20"/>
                <w:szCs w:val="20"/>
              </w:rPr>
            </w:pPr>
          </w:p>
        </w:tc>
        <w:tc>
          <w:tcPr>
            <w:tcW w:w="0" w:type="auto"/>
            <w:gridSpan w:val="3"/>
            <w:vAlign w:val="center"/>
            <w:hideMark/>
          </w:tcPr>
          <w:p w14:paraId="65063AEC" w14:textId="77777777" w:rsidR="00000000" w:rsidRDefault="00A173A8">
            <w:pPr>
              <w:spacing w:after="100"/>
              <w:rPr>
                <w:rFonts w:eastAsia="Times New Roman"/>
                <w:sz w:val="20"/>
                <w:szCs w:val="20"/>
              </w:rPr>
            </w:pPr>
          </w:p>
        </w:tc>
        <w:tc>
          <w:tcPr>
            <w:tcW w:w="0" w:type="auto"/>
            <w:gridSpan w:val="3"/>
            <w:vAlign w:val="center"/>
            <w:hideMark/>
          </w:tcPr>
          <w:p w14:paraId="3B0F6692" w14:textId="77777777" w:rsidR="00000000" w:rsidRDefault="00A173A8">
            <w:pPr>
              <w:spacing w:after="100"/>
              <w:rPr>
                <w:rFonts w:eastAsia="Times New Roman"/>
                <w:sz w:val="20"/>
                <w:szCs w:val="20"/>
              </w:rPr>
            </w:pPr>
          </w:p>
        </w:tc>
        <w:tc>
          <w:tcPr>
            <w:tcW w:w="0" w:type="auto"/>
            <w:gridSpan w:val="3"/>
            <w:vAlign w:val="center"/>
            <w:hideMark/>
          </w:tcPr>
          <w:p w14:paraId="58DECC06" w14:textId="77777777" w:rsidR="00000000" w:rsidRDefault="00A173A8">
            <w:pPr>
              <w:spacing w:after="100"/>
              <w:rPr>
                <w:rFonts w:eastAsia="Times New Roman"/>
                <w:sz w:val="20"/>
                <w:szCs w:val="20"/>
              </w:rPr>
            </w:pPr>
          </w:p>
        </w:tc>
        <w:tc>
          <w:tcPr>
            <w:tcW w:w="0" w:type="auto"/>
            <w:vAlign w:val="center"/>
            <w:hideMark/>
          </w:tcPr>
          <w:p w14:paraId="7645EBFA" w14:textId="77777777" w:rsidR="00000000" w:rsidRDefault="00A173A8">
            <w:pPr>
              <w:spacing w:after="100"/>
              <w:rPr>
                <w:rFonts w:eastAsia="Times New Roman"/>
                <w:sz w:val="20"/>
                <w:szCs w:val="20"/>
              </w:rPr>
            </w:pPr>
          </w:p>
        </w:tc>
        <w:tc>
          <w:tcPr>
            <w:tcW w:w="0" w:type="auto"/>
            <w:vAlign w:val="center"/>
            <w:hideMark/>
          </w:tcPr>
          <w:p w14:paraId="737AC1F0" w14:textId="77777777" w:rsidR="00000000" w:rsidRDefault="00A173A8">
            <w:pPr>
              <w:spacing w:after="100"/>
              <w:rPr>
                <w:rFonts w:eastAsia="Times New Roman"/>
                <w:sz w:val="20"/>
                <w:szCs w:val="20"/>
              </w:rPr>
            </w:pPr>
          </w:p>
        </w:tc>
        <w:tc>
          <w:tcPr>
            <w:tcW w:w="0" w:type="auto"/>
            <w:gridSpan w:val="3"/>
            <w:vAlign w:val="center"/>
            <w:hideMark/>
          </w:tcPr>
          <w:p w14:paraId="476F1896" w14:textId="77777777" w:rsidR="00000000" w:rsidRDefault="00A173A8">
            <w:pPr>
              <w:spacing w:after="100"/>
              <w:rPr>
                <w:rFonts w:eastAsia="Times New Roman"/>
                <w:sz w:val="20"/>
                <w:szCs w:val="20"/>
              </w:rPr>
            </w:pPr>
          </w:p>
        </w:tc>
        <w:tc>
          <w:tcPr>
            <w:tcW w:w="0" w:type="auto"/>
            <w:vAlign w:val="center"/>
            <w:hideMark/>
          </w:tcPr>
          <w:p w14:paraId="0C0F0AD6" w14:textId="77777777" w:rsidR="00000000" w:rsidRDefault="00A173A8">
            <w:pPr>
              <w:spacing w:after="100"/>
              <w:rPr>
                <w:rFonts w:eastAsia="Times New Roman"/>
                <w:sz w:val="20"/>
                <w:szCs w:val="20"/>
              </w:rPr>
            </w:pPr>
          </w:p>
        </w:tc>
        <w:tc>
          <w:tcPr>
            <w:tcW w:w="0" w:type="auto"/>
            <w:gridSpan w:val="3"/>
            <w:vAlign w:val="center"/>
            <w:hideMark/>
          </w:tcPr>
          <w:p w14:paraId="381F6D23" w14:textId="77777777" w:rsidR="00000000" w:rsidRDefault="00A173A8">
            <w:pPr>
              <w:spacing w:after="100"/>
              <w:rPr>
                <w:rFonts w:eastAsia="Times New Roman"/>
                <w:sz w:val="20"/>
                <w:szCs w:val="20"/>
              </w:rPr>
            </w:pPr>
          </w:p>
        </w:tc>
        <w:tc>
          <w:tcPr>
            <w:tcW w:w="0" w:type="auto"/>
            <w:gridSpan w:val="3"/>
            <w:vAlign w:val="center"/>
            <w:hideMark/>
          </w:tcPr>
          <w:p w14:paraId="28AAB6CD" w14:textId="77777777" w:rsidR="00000000" w:rsidRDefault="00A173A8">
            <w:pPr>
              <w:spacing w:after="100"/>
              <w:rPr>
                <w:rFonts w:eastAsia="Times New Roman"/>
                <w:sz w:val="20"/>
                <w:szCs w:val="20"/>
              </w:rPr>
            </w:pPr>
          </w:p>
        </w:tc>
        <w:tc>
          <w:tcPr>
            <w:tcW w:w="0" w:type="auto"/>
            <w:gridSpan w:val="3"/>
            <w:vAlign w:val="center"/>
            <w:hideMark/>
          </w:tcPr>
          <w:p w14:paraId="38339D35" w14:textId="77777777" w:rsidR="00000000" w:rsidRDefault="00A173A8">
            <w:pPr>
              <w:spacing w:after="100"/>
              <w:rPr>
                <w:rFonts w:eastAsia="Times New Roman"/>
                <w:sz w:val="20"/>
                <w:szCs w:val="20"/>
              </w:rPr>
            </w:pPr>
          </w:p>
        </w:tc>
        <w:tc>
          <w:tcPr>
            <w:tcW w:w="0" w:type="auto"/>
            <w:gridSpan w:val="3"/>
            <w:vAlign w:val="center"/>
            <w:hideMark/>
          </w:tcPr>
          <w:p w14:paraId="2F22BFB7" w14:textId="77777777" w:rsidR="00000000" w:rsidRDefault="00A173A8">
            <w:pPr>
              <w:spacing w:after="100"/>
              <w:rPr>
                <w:rFonts w:eastAsia="Times New Roman"/>
                <w:sz w:val="20"/>
                <w:szCs w:val="20"/>
              </w:rPr>
            </w:pPr>
          </w:p>
        </w:tc>
        <w:tc>
          <w:tcPr>
            <w:tcW w:w="0" w:type="auto"/>
            <w:gridSpan w:val="3"/>
            <w:vAlign w:val="center"/>
            <w:hideMark/>
          </w:tcPr>
          <w:p w14:paraId="63219191" w14:textId="77777777" w:rsidR="00000000" w:rsidRDefault="00A173A8">
            <w:pPr>
              <w:spacing w:after="100"/>
              <w:rPr>
                <w:rFonts w:eastAsia="Times New Roman"/>
                <w:sz w:val="20"/>
                <w:szCs w:val="20"/>
              </w:rPr>
            </w:pPr>
          </w:p>
        </w:tc>
        <w:tc>
          <w:tcPr>
            <w:tcW w:w="0" w:type="auto"/>
            <w:gridSpan w:val="2"/>
            <w:vAlign w:val="center"/>
            <w:hideMark/>
          </w:tcPr>
          <w:p w14:paraId="19DA4976" w14:textId="77777777" w:rsidR="00000000" w:rsidRDefault="00A173A8">
            <w:pPr>
              <w:spacing w:after="100"/>
              <w:rPr>
                <w:rFonts w:eastAsia="Times New Roman"/>
                <w:sz w:val="20"/>
                <w:szCs w:val="20"/>
              </w:rPr>
            </w:pPr>
          </w:p>
        </w:tc>
      </w:tr>
      <w:tr w:rsidR="00000000" w14:paraId="5A06E370" w14:textId="77777777">
        <w:trPr>
          <w:divId w:val="1533881267"/>
        </w:trPr>
        <w:tc>
          <w:tcPr>
            <w:tcW w:w="0" w:type="auto"/>
            <w:gridSpan w:val="3"/>
            <w:vAlign w:val="center"/>
            <w:hideMark/>
          </w:tcPr>
          <w:p w14:paraId="633449EC" w14:textId="77777777" w:rsidR="00000000" w:rsidRDefault="00A173A8">
            <w:pPr>
              <w:spacing w:after="100"/>
              <w:rPr>
                <w:rFonts w:eastAsia="Times New Roman"/>
                <w:sz w:val="20"/>
                <w:szCs w:val="20"/>
              </w:rPr>
            </w:pPr>
          </w:p>
        </w:tc>
        <w:tc>
          <w:tcPr>
            <w:tcW w:w="0" w:type="auto"/>
            <w:gridSpan w:val="3"/>
            <w:vAlign w:val="center"/>
            <w:hideMark/>
          </w:tcPr>
          <w:p w14:paraId="6804D8AB" w14:textId="77777777" w:rsidR="00000000" w:rsidRDefault="00A173A8">
            <w:pPr>
              <w:spacing w:after="100"/>
              <w:rPr>
                <w:rFonts w:eastAsia="Times New Roman"/>
                <w:sz w:val="20"/>
                <w:szCs w:val="20"/>
              </w:rPr>
            </w:pPr>
          </w:p>
        </w:tc>
        <w:tc>
          <w:tcPr>
            <w:tcW w:w="0" w:type="auto"/>
            <w:gridSpan w:val="3"/>
            <w:vAlign w:val="center"/>
            <w:hideMark/>
          </w:tcPr>
          <w:p w14:paraId="1CF91494" w14:textId="77777777" w:rsidR="00000000" w:rsidRDefault="00A173A8">
            <w:pPr>
              <w:spacing w:after="100"/>
              <w:rPr>
                <w:rFonts w:eastAsia="Times New Roman"/>
                <w:sz w:val="20"/>
                <w:szCs w:val="20"/>
              </w:rPr>
            </w:pPr>
          </w:p>
        </w:tc>
        <w:tc>
          <w:tcPr>
            <w:tcW w:w="0" w:type="auto"/>
            <w:gridSpan w:val="3"/>
            <w:vAlign w:val="center"/>
            <w:hideMark/>
          </w:tcPr>
          <w:p w14:paraId="1A97404B" w14:textId="77777777" w:rsidR="00000000" w:rsidRDefault="00A173A8">
            <w:pPr>
              <w:spacing w:after="100"/>
              <w:rPr>
                <w:rFonts w:eastAsia="Times New Roman"/>
                <w:sz w:val="20"/>
                <w:szCs w:val="20"/>
              </w:rPr>
            </w:pPr>
          </w:p>
        </w:tc>
        <w:tc>
          <w:tcPr>
            <w:tcW w:w="0" w:type="auto"/>
            <w:gridSpan w:val="3"/>
            <w:vAlign w:val="center"/>
            <w:hideMark/>
          </w:tcPr>
          <w:p w14:paraId="378A3E82" w14:textId="77777777" w:rsidR="00000000" w:rsidRDefault="00A173A8">
            <w:pPr>
              <w:spacing w:after="100"/>
              <w:rPr>
                <w:rFonts w:eastAsia="Times New Roman"/>
                <w:sz w:val="20"/>
                <w:szCs w:val="20"/>
              </w:rPr>
            </w:pPr>
          </w:p>
        </w:tc>
        <w:tc>
          <w:tcPr>
            <w:tcW w:w="0" w:type="auto"/>
            <w:gridSpan w:val="3"/>
            <w:vAlign w:val="center"/>
            <w:hideMark/>
          </w:tcPr>
          <w:p w14:paraId="4D8CE315" w14:textId="77777777" w:rsidR="00000000" w:rsidRDefault="00A173A8">
            <w:pPr>
              <w:spacing w:after="100"/>
              <w:rPr>
                <w:rFonts w:eastAsia="Times New Roman"/>
                <w:sz w:val="20"/>
                <w:szCs w:val="20"/>
              </w:rPr>
            </w:pPr>
          </w:p>
        </w:tc>
        <w:tc>
          <w:tcPr>
            <w:tcW w:w="0" w:type="auto"/>
            <w:gridSpan w:val="3"/>
            <w:vAlign w:val="center"/>
            <w:hideMark/>
          </w:tcPr>
          <w:p w14:paraId="30F07F03" w14:textId="77777777" w:rsidR="00000000" w:rsidRDefault="00A173A8">
            <w:pPr>
              <w:spacing w:after="100"/>
              <w:rPr>
                <w:rFonts w:eastAsia="Times New Roman"/>
                <w:sz w:val="20"/>
                <w:szCs w:val="20"/>
              </w:rPr>
            </w:pPr>
          </w:p>
        </w:tc>
        <w:tc>
          <w:tcPr>
            <w:tcW w:w="0" w:type="auto"/>
            <w:gridSpan w:val="3"/>
            <w:vAlign w:val="center"/>
            <w:hideMark/>
          </w:tcPr>
          <w:p w14:paraId="15455C86" w14:textId="77777777" w:rsidR="00000000" w:rsidRDefault="00A173A8">
            <w:pPr>
              <w:spacing w:after="100"/>
              <w:rPr>
                <w:rFonts w:eastAsia="Times New Roman"/>
                <w:sz w:val="20"/>
                <w:szCs w:val="20"/>
              </w:rPr>
            </w:pPr>
          </w:p>
        </w:tc>
        <w:tc>
          <w:tcPr>
            <w:tcW w:w="0" w:type="auto"/>
            <w:gridSpan w:val="3"/>
            <w:vAlign w:val="center"/>
            <w:hideMark/>
          </w:tcPr>
          <w:p w14:paraId="20FB50A1" w14:textId="77777777" w:rsidR="00000000" w:rsidRDefault="00A173A8">
            <w:pPr>
              <w:spacing w:after="100"/>
              <w:rPr>
                <w:rFonts w:eastAsia="Times New Roman"/>
                <w:sz w:val="20"/>
                <w:szCs w:val="20"/>
              </w:rPr>
            </w:pPr>
          </w:p>
        </w:tc>
        <w:tc>
          <w:tcPr>
            <w:tcW w:w="0" w:type="auto"/>
            <w:gridSpan w:val="3"/>
            <w:vAlign w:val="center"/>
            <w:hideMark/>
          </w:tcPr>
          <w:p w14:paraId="6451030F" w14:textId="77777777" w:rsidR="00000000" w:rsidRDefault="00A173A8">
            <w:pPr>
              <w:spacing w:after="100"/>
              <w:rPr>
                <w:rFonts w:eastAsia="Times New Roman"/>
                <w:sz w:val="20"/>
                <w:szCs w:val="20"/>
              </w:rPr>
            </w:pPr>
          </w:p>
        </w:tc>
        <w:tc>
          <w:tcPr>
            <w:tcW w:w="0" w:type="auto"/>
            <w:gridSpan w:val="3"/>
            <w:vAlign w:val="center"/>
            <w:hideMark/>
          </w:tcPr>
          <w:p w14:paraId="12EF36BC" w14:textId="77777777" w:rsidR="00000000" w:rsidRDefault="00A173A8">
            <w:pPr>
              <w:spacing w:after="100"/>
              <w:rPr>
                <w:rFonts w:eastAsia="Times New Roman"/>
                <w:sz w:val="20"/>
                <w:szCs w:val="20"/>
              </w:rPr>
            </w:pPr>
          </w:p>
        </w:tc>
        <w:tc>
          <w:tcPr>
            <w:tcW w:w="0" w:type="auto"/>
            <w:vAlign w:val="center"/>
            <w:hideMark/>
          </w:tcPr>
          <w:p w14:paraId="7E138D6E" w14:textId="77777777" w:rsidR="00000000" w:rsidRDefault="00A173A8">
            <w:pPr>
              <w:spacing w:after="100"/>
              <w:rPr>
                <w:rFonts w:eastAsia="Times New Roman"/>
                <w:sz w:val="20"/>
                <w:szCs w:val="20"/>
              </w:rPr>
            </w:pPr>
          </w:p>
        </w:tc>
        <w:tc>
          <w:tcPr>
            <w:tcW w:w="0" w:type="auto"/>
            <w:vAlign w:val="center"/>
            <w:hideMark/>
          </w:tcPr>
          <w:p w14:paraId="4F25AB92" w14:textId="77777777" w:rsidR="00000000" w:rsidRDefault="00A173A8">
            <w:pPr>
              <w:spacing w:after="100"/>
              <w:rPr>
                <w:rFonts w:eastAsia="Times New Roman"/>
                <w:sz w:val="20"/>
                <w:szCs w:val="20"/>
              </w:rPr>
            </w:pPr>
          </w:p>
        </w:tc>
        <w:tc>
          <w:tcPr>
            <w:tcW w:w="0" w:type="auto"/>
            <w:gridSpan w:val="3"/>
            <w:vAlign w:val="center"/>
            <w:hideMark/>
          </w:tcPr>
          <w:p w14:paraId="7333EE8E" w14:textId="77777777" w:rsidR="00000000" w:rsidRDefault="00A173A8">
            <w:pPr>
              <w:spacing w:after="100"/>
              <w:rPr>
                <w:rFonts w:eastAsia="Times New Roman"/>
                <w:sz w:val="20"/>
                <w:szCs w:val="20"/>
              </w:rPr>
            </w:pPr>
          </w:p>
        </w:tc>
        <w:tc>
          <w:tcPr>
            <w:tcW w:w="0" w:type="auto"/>
            <w:vAlign w:val="center"/>
            <w:hideMark/>
          </w:tcPr>
          <w:p w14:paraId="2A53BAB8" w14:textId="77777777" w:rsidR="00000000" w:rsidRDefault="00A173A8">
            <w:pPr>
              <w:spacing w:after="100"/>
              <w:rPr>
                <w:rFonts w:eastAsia="Times New Roman"/>
                <w:sz w:val="20"/>
                <w:szCs w:val="20"/>
              </w:rPr>
            </w:pPr>
          </w:p>
        </w:tc>
        <w:tc>
          <w:tcPr>
            <w:tcW w:w="0" w:type="auto"/>
            <w:gridSpan w:val="3"/>
            <w:vAlign w:val="center"/>
            <w:hideMark/>
          </w:tcPr>
          <w:p w14:paraId="692EE581" w14:textId="77777777" w:rsidR="00000000" w:rsidRDefault="00A173A8">
            <w:pPr>
              <w:spacing w:after="100"/>
              <w:rPr>
                <w:rFonts w:eastAsia="Times New Roman"/>
                <w:sz w:val="20"/>
                <w:szCs w:val="20"/>
              </w:rPr>
            </w:pPr>
          </w:p>
        </w:tc>
        <w:tc>
          <w:tcPr>
            <w:tcW w:w="0" w:type="auto"/>
            <w:gridSpan w:val="3"/>
            <w:vAlign w:val="center"/>
            <w:hideMark/>
          </w:tcPr>
          <w:p w14:paraId="47277CB3" w14:textId="77777777" w:rsidR="00000000" w:rsidRDefault="00A173A8">
            <w:pPr>
              <w:spacing w:after="100"/>
              <w:rPr>
                <w:rFonts w:eastAsia="Times New Roman"/>
                <w:sz w:val="20"/>
                <w:szCs w:val="20"/>
              </w:rPr>
            </w:pPr>
          </w:p>
        </w:tc>
        <w:tc>
          <w:tcPr>
            <w:tcW w:w="0" w:type="auto"/>
            <w:gridSpan w:val="3"/>
            <w:vAlign w:val="center"/>
            <w:hideMark/>
          </w:tcPr>
          <w:p w14:paraId="50E7BC03" w14:textId="77777777" w:rsidR="00000000" w:rsidRDefault="00A173A8">
            <w:pPr>
              <w:spacing w:after="100"/>
              <w:rPr>
                <w:rFonts w:eastAsia="Times New Roman"/>
                <w:sz w:val="20"/>
                <w:szCs w:val="20"/>
              </w:rPr>
            </w:pPr>
          </w:p>
        </w:tc>
        <w:tc>
          <w:tcPr>
            <w:tcW w:w="0" w:type="auto"/>
            <w:gridSpan w:val="3"/>
            <w:vAlign w:val="center"/>
            <w:hideMark/>
          </w:tcPr>
          <w:p w14:paraId="6524A8E3" w14:textId="77777777" w:rsidR="00000000" w:rsidRDefault="00A173A8">
            <w:pPr>
              <w:spacing w:after="100"/>
              <w:rPr>
                <w:rFonts w:eastAsia="Times New Roman"/>
                <w:sz w:val="20"/>
                <w:szCs w:val="20"/>
              </w:rPr>
            </w:pPr>
          </w:p>
        </w:tc>
        <w:tc>
          <w:tcPr>
            <w:tcW w:w="0" w:type="auto"/>
            <w:gridSpan w:val="3"/>
            <w:vAlign w:val="center"/>
            <w:hideMark/>
          </w:tcPr>
          <w:p w14:paraId="4A6FF896" w14:textId="77777777" w:rsidR="00000000" w:rsidRDefault="00A173A8">
            <w:pPr>
              <w:spacing w:after="100"/>
              <w:rPr>
                <w:rFonts w:eastAsia="Times New Roman"/>
                <w:sz w:val="20"/>
                <w:szCs w:val="20"/>
              </w:rPr>
            </w:pPr>
          </w:p>
        </w:tc>
        <w:tc>
          <w:tcPr>
            <w:tcW w:w="0" w:type="auto"/>
            <w:gridSpan w:val="2"/>
            <w:vAlign w:val="center"/>
            <w:hideMark/>
          </w:tcPr>
          <w:p w14:paraId="44A07074" w14:textId="77777777" w:rsidR="00000000" w:rsidRDefault="00A173A8">
            <w:pPr>
              <w:spacing w:after="100"/>
              <w:rPr>
                <w:rFonts w:eastAsia="Times New Roman"/>
                <w:sz w:val="20"/>
                <w:szCs w:val="20"/>
              </w:rPr>
            </w:pPr>
          </w:p>
        </w:tc>
      </w:tr>
      <w:tr w:rsidR="00000000" w14:paraId="64179320" w14:textId="77777777">
        <w:trPr>
          <w:divId w:val="1533881267"/>
        </w:trPr>
        <w:tc>
          <w:tcPr>
            <w:tcW w:w="0" w:type="auto"/>
            <w:gridSpan w:val="3"/>
            <w:shd w:val="clear" w:color="auto" w:fill="CCEEFF"/>
            <w:tcMar>
              <w:top w:w="30" w:type="dxa"/>
              <w:left w:w="20" w:type="dxa"/>
              <w:bottom w:w="30" w:type="dxa"/>
              <w:right w:w="20" w:type="dxa"/>
            </w:tcMar>
            <w:vAlign w:val="center"/>
            <w:hideMark/>
          </w:tcPr>
          <w:p w14:paraId="55501C99" w14:textId="77777777" w:rsidR="00000000" w:rsidRDefault="00A173A8">
            <w:pPr>
              <w:spacing w:after="100"/>
              <w:rPr>
                <w:rFonts w:eastAsia="Times New Roman"/>
              </w:rPr>
            </w:pPr>
            <w:r>
              <w:rPr>
                <w:rFonts w:eastAsia="Times New Roman"/>
                <w:b/>
                <w:bCs/>
                <w:color w:val="000000"/>
                <w:sz w:val="20"/>
                <w:szCs w:val="20"/>
              </w:rPr>
              <w:t>Balance sheet (average balances)</w:t>
            </w:r>
          </w:p>
        </w:tc>
        <w:tc>
          <w:tcPr>
            <w:tcW w:w="0" w:type="auto"/>
            <w:gridSpan w:val="3"/>
            <w:shd w:val="clear" w:color="auto" w:fill="CCEEFF"/>
            <w:tcMar>
              <w:top w:w="0" w:type="dxa"/>
              <w:left w:w="20" w:type="dxa"/>
              <w:bottom w:w="0" w:type="dxa"/>
              <w:right w:w="20" w:type="dxa"/>
            </w:tcMar>
            <w:vAlign w:val="center"/>
            <w:hideMark/>
          </w:tcPr>
          <w:p w14:paraId="7D65FC69"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1386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2D0BB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26B4C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F2461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775CE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3422D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29AE4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0EE22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06091E" w14:textId="77777777" w:rsidR="00000000" w:rsidRDefault="00A173A8">
            <w:pPr>
              <w:spacing w:after="100"/>
              <w:rPr>
                <w:rFonts w:eastAsia="Times New Roman"/>
                <w:sz w:val="20"/>
                <w:szCs w:val="20"/>
              </w:rPr>
            </w:pPr>
          </w:p>
        </w:tc>
        <w:tc>
          <w:tcPr>
            <w:tcW w:w="0" w:type="auto"/>
            <w:vAlign w:val="center"/>
            <w:hideMark/>
          </w:tcPr>
          <w:p w14:paraId="5498AAED" w14:textId="77777777" w:rsidR="00000000" w:rsidRDefault="00A173A8">
            <w:pPr>
              <w:spacing w:after="100"/>
              <w:rPr>
                <w:rFonts w:eastAsia="Times New Roman"/>
                <w:sz w:val="20"/>
                <w:szCs w:val="20"/>
              </w:rPr>
            </w:pPr>
          </w:p>
        </w:tc>
        <w:tc>
          <w:tcPr>
            <w:tcW w:w="0" w:type="auto"/>
            <w:vAlign w:val="center"/>
            <w:hideMark/>
          </w:tcPr>
          <w:p w14:paraId="7FE216A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8B9BE6" w14:textId="77777777" w:rsidR="00000000" w:rsidRDefault="00A173A8">
            <w:pPr>
              <w:spacing w:after="100"/>
              <w:rPr>
                <w:rFonts w:eastAsia="Times New Roman"/>
                <w:sz w:val="20"/>
                <w:szCs w:val="20"/>
              </w:rPr>
            </w:pPr>
          </w:p>
        </w:tc>
        <w:tc>
          <w:tcPr>
            <w:tcW w:w="0" w:type="auto"/>
            <w:vAlign w:val="center"/>
            <w:hideMark/>
          </w:tcPr>
          <w:p w14:paraId="49E88605" w14:textId="77777777" w:rsidR="00000000" w:rsidRDefault="00A173A8">
            <w:pPr>
              <w:spacing w:after="100"/>
              <w:rPr>
                <w:rFonts w:eastAsia="Times New Roman"/>
                <w:sz w:val="20"/>
                <w:szCs w:val="20"/>
              </w:rPr>
            </w:pPr>
          </w:p>
        </w:tc>
        <w:tc>
          <w:tcPr>
            <w:tcW w:w="0" w:type="auto"/>
            <w:gridSpan w:val="3"/>
            <w:vAlign w:val="center"/>
            <w:hideMark/>
          </w:tcPr>
          <w:p w14:paraId="786A41E2" w14:textId="77777777" w:rsidR="00000000" w:rsidRDefault="00A173A8">
            <w:pPr>
              <w:spacing w:after="100"/>
              <w:rPr>
                <w:rFonts w:eastAsia="Times New Roman"/>
                <w:sz w:val="20"/>
                <w:szCs w:val="20"/>
              </w:rPr>
            </w:pPr>
          </w:p>
        </w:tc>
        <w:tc>
          <w:tcPr>
            <w:tcW w:w="0" w:type="auto"/>
            <w:gridSpan w:val="3"/>
            <w:vAlign w:val="center"/>
            <w:hideMark/>
          </w:tcPr>
          <w:p w14:paraId="1F6E73AA" w14:textId="77777777" w:rsidR="00000000" w:rsidRDefault="00A173A8">
            <w:pPr>
              <w:spacing w:after="100"/>
              <w:rPr>
                <w:rFonts w:eastAsia="Times New Roman"/>
                <w:sz w:val="20"/>
                <w:szCs w:val="20"/>
              </w:rPr>
            </w:pPr>
          </w:p>
        </w:tc>
        <w:tc>
          <w:tcPr>
            <w:tcW w:w="0" w:type="auto"/>
            <w:gridSpan w:val="3"/>
            <w:vAlign w:val="center"/>
            <w:hideMark/>
          </w:tcPr>
          <w:p w14:paraId="6B57FE4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C2A224" w14:textId="77777777" w:rsidR="00000000" w:rsidRDefault="00A173A8">
            <w:pPr>
              <w:spacing w:after="100"/>
              <w:rPr>
                <w:rFonts w:eastAsia="Times New Roman"/>
                <w:sz w:val="20"/>
                <w:szCs w:val="20"/>
              </w:rPr>
            </w:pPr>
          </w:p>
        </w:tc>
        <w:tc>
          <w:tcPr>
            <w:tcW w:w="0" w:type="auto"/>
            <w:gridSpan w:val="3"/>
            <w:vAlign w:val="center"/>
            <w:hideMark/>
          </w:tcPr>
          <w:p w14:paraId="2AD30955" w14:textId="77777777" w:rsidR="00000000" w:rsidRDefault="00A173A8">
            <w:pPr>
              <w:spacing w:after="100"/>
              <w:rPr>
                <w:rFonts w:eastAsia="Times New Roman"/>
                <w:sz w:val="20"/>
                <w:szCs w:val="20"/>
              </w:rPr>
            </w:pPr>
          </w:p>
        </w:tc>
        <w:tc>
          <w:tcPr>
            <w:tcW w:w="0" w:type="auto"/>
            <w:gridSpan w:val="2"/>
            <w:vAlign w:val="center"/>
            <w:hideMark/>
          </w:tcPr>
          <w:p w14:paraId="7D19DBF0" w14:textId="77777777" w:rsidR="00000000" w:rsidRDefault="00A173A8">
            <w:pPr>
              <w:spacing w:after="100"/>
              <w:rPr>
                <w:rFonts w:eastAsia="Times New Roman"/>
                <w:sz w:val="20"/>
                <w:szCs w:val="20"/>
              </w:rPr>
            </w:pPr>
          </w:p>
        </w:tc>
      </w:tr>
      <w:tr w:rsidR="00000000" w14:paraId="1B823E60" w14:textId="77777777">
        <w:trPr>
          <w:divId w:val="1533881267"/>
        </w:trPr>
        <w:tc>
          <w:tcPr>
            <w:tcW w:w="0" w:type="auto"/>
            <w:gridSpan w:val="3"/>
            <w:shd w:val="clear" w:color="auto" w:fill="FFFFFF"/>
            <w:tcMar>
              <w:top w:w="30" w:type="dxa"/>
              <w:left w:w="20" w:type="dxa"/>
              <w:bottom w:w="30" w:type="dxa"/>
              <w:right w:w="20" w:type="dxa"/>
            </w:tcMar>
            <w:vAlign w:val="center"/>
            <w:hideMark/>
          </w:tcPr>
          <w:p w14:paraId="77742616" w14:textId="77777777" w:rsidR="00000000" w:rsidRDefault="00A173A8">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14:paraId="3DE616A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F00A7EA"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7369746" w14:textId="77777777" w:rsidR="00000000" w:rsidRDefault="00A173A8">
            <w:pPr>
              <w:spacing w:after="100"/>
              <w:jc w:val="right"/>
              <w:rPr>
                <w:rFonts w:eastAsia="Times New Roman"/>
              </w:rPr>
            </w:pPr>
            <w:r>
              <w:rPr>
                <w:rFonts w:eastAsia="Times New Roman"/>
                <w:b/>
                <w:bCs/>
                <w:color w:val="000000"/>
                <w:sz w:val="20"/>
                <w:szCs w:val="20"/>
              </w:rPr>
              <w:t>286,110</w:t>
            </w:r>
          </w:p>
        </w:tc>
        <w:tc>
          <w:tcPr>
            <w:tcW w:w="0" w:type="auto"/>
            <w:gridSpan w:val="3"/>
            <w:shd w:val="clear" w:color="auto" w:fill="FFFFFF"/>
            <w:tcMar>
              <w:top w:w="0" w:type="dxa"/>
              <w:left w:w="20" w:type="dxa"/>
              <w:bottom w:w="0" w:type="dxa"/>
              <w:right w:w="20" w:type="dxa"/>
            </w:tcMar>
            <w:vAlign w:val="center"/>
            <w:hideMark/>
          </w:tcPr>
          <w:p w14:paraId="2456150C"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572452E"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BD4A4B1" w14:textId="77777777" w:rsidR="00000000" w:rsidRDefault="00A173A8">
            <w:pPr>
              <w:spacing w:after="100"/>
              <w:jc w:val="right"/>
              <w:rPr>
                <w:rFonts w:eastAsia="Times New Roman"/>
              </w:rPr>
            </w:pPr>
            <w:r>
              <w:rPr>
                <w:rFonts w:eastAsia="Times New Roman"/>
                <w:color w:val="000000"/>
                <w:sz w:val="20"/>
                <w:szCs w:val="20"/>
              </w:rPr>
              <w:t>246,463</w:t>
            </w:r>
          </w:p>
        </w:tc>
        <w:tc>
          <w:tcPr>
            <w:tcW w:w="0" w:type="auto"/>
            <w:gridSpan w:val="3"/>
            <w:shd w:val="clear" w:color="auto" w:fill="FFFFFF"/>
            <w:tcMar>
              <w:top w:w="0" w:type="dxa"/>
              <w:left w:w="20" w:type="dxa"/>
              <w:bottom w:w="0" w:type="dxa"/>
              <w:right w:w="20" w:type="dxa"/>
            </w:tcMar>
            <w:vAlign w:val="center"/>
            <w:hideMark/>
          </w:tcPr>
          <w:p w14:paraId="07BEEFDF"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05021F" w14:textId="77777777" w:rsidR="00000000" w:rsidRDefault="00A173A8">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322F3D5F"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95244BF"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424280E"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A2184AB" w14:textId="77777777" w:rsidR="00000000" w:rsidRDefault="00A173A8">
            <w:pPr>
              <w:spacing w:after="100"/>
              <w:jc w:val="right"/>
              <w:rPr>
                <w:rFonts w:eastAsia="Times New Roman"/>
              </w:rPr>
            </w:pPr>
            <w:r>
              <w:rPr>
                <w:rFonts w:eastAsia="Times New Roman"/>
                <w:b/>
                <w:bCs/>
                <w:color w:val="000000"/>
                <w:sz w:val="20"/>
                <w:szCs w:val="20"/>
              </w:rPr>
              <w:t>280,756</w:t>
            </w:r>
          </w:p>
        </w:tc>
        <w:tc>
          <w:tcPr>
            <w:tcW w:w="0" w:type="auto"/>
            <w:gridSpan w:val="3"/>
            <w:shd w:val="clear" w:color="auto" w:fill="FFFFFF"/>
            <w:tcMar>
              <w:top w:w="0" w:type="dxa"/>
              <w:left w:w="20" w:type="dxa"/>
              <w:bottom w:w="0" w:type="dxa"/>
              <w:right w:w="20" w:type="dxa"/>
            </w:tcMar>
            <w:vAlign w:val="center"/>
            <w:hideMark/>
          </w:tcPr>
          <w:p w14:paraId="32EB56F5"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973CFBF"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AF58497" w14:textId="77777777" w:rsidR="00000000" w:rsidRDefault="00A173A8">
            <w:pPr>
              <w:spacing w:after="100"/>
              <w:jc w:val="right"/>
              <w:rPr>
                <w:rFonts w:eastAsia="Times New Roman"/>
              </w:rPr>
            </w:pPr>
            <w:r>
              <w:rPr>
                <w:rFonts w:eastAsia="Times New Roman"/>
                <w:color w:val="000000"/>
                <w:sz w:val="20"/>
                <w:szCs w:val="20"/>
              </w:rPr>
              <w:t>245,207</w:t>
            </w:r>
          </w:p>
        </w:tc>
        <w:tc>
          <w:tcPr>
            <w:tcW w:w="0" w:type="auto"/>
            <w:vAlign w:val="center"/>
            <w:hideMark/>
          </w:tcPr>
          <w:p w14:paraId="77EC6327" w14:textId="77777777" w:rsidR="00000000" w:rsidRDefault="00A173A8">
            <w:pPr>
              <w:spacing w:after="100"/>
              <w:jc w:val="right"/>
              <w:rPr>
                <w:rFonts w:eastAsia="Times New Roman"/>
              </w:rPr>
            </w:pPr>
          </w:p>
        </w:tc>
        <w:tc>
          <w:tcPr>
            <w:tcW w:w="0" w:type="auto"/>
            <w:vAlign w:val="center"/>
            <w:hideMark/>
          </w:tcPr>
          <w:p w14:paraId="42A4C84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A32D78" w14:textId="77777777" w:rsidR="00000000" w:rsidRDefault="00A173A8">
            <w:pPr>
              <w:spacing w:after="100"/>
              <w:rPr>
                <w:rFonts w:eastAsia="Times New Roman"/>
                <w:sz w:val="20"/>
                <w:szCs w:val="20"/>
              </w:rPr>
            </w:pPr>
          </w:p>
        </w:tc>
        <w:tc>
          <w:tcPr>
            <w:tcW w:w="0" w:type="auto"/>
            <w:vAlign w:val="center"/>
            <w:hideMark/>
          </w:tcPr>
          <w:p w14:paraId="7D1435D9" w14:textId="77777777" w:rsidR="00000000" w:rsidRDefault="00A173A8">
            <w:pPr>
              <w:spacing w:after="100"/>
              <w:rPr>
                <w:rFonts w:eastAsia="Times New Roman"/>
                <w:sz w:val="20"/>
                <w:szCs w:val="20"/>
              </w:rPr>
            </w:pPr>
          </w:p>
        </w:tc>
        <w:tc>
          <w:tcPr>
            <w:tcW w:w="0" w:type="auto"/>
            <w:gridSpan w:val="3"/>
            <w:vAlign w:val="center"/>
            <w:hideMark/>
          </w:tcPr>
          <w:p w14:paraId="0B62BD32" w14:textId="77777777" w:rsidR="00000000" w:rsidRDefault="00A173A8">
            <w:pPr>
              <w:spacing w:after="100"/>
              <w:rPr>
                <w:rFonts w:eastAsia="Times New Roman"/>
                <w:sz w:val="20"/>
                <w:szCs w:val="20"/>
              </w:rPr>
            </w:pPr>
          </w:p>
        </w:tc>
        <w:tc>
          <w:tcPr>
            <w:tcW w:w="0" w:type="auto"/>
            <w:gridSpan w:val="3"/>
            <w:vAlign w:val="center"/>
            <w:hideMark/>
          </w:tcPr>
          <w:p w14:paraId="6600E846" w14:textId="77777777" w:rsidR="00000000" w:rsidRDefault="00A173A8">
            <w:pPr>
              <w:spacing w:after="100"/>
              <w:rPr>
                <w:rFonts w:eastAsia="Times New Roman"/>
                <w:sz w:val="20"/>
                <w:szCs w:val="20"/>
              </w:rPr>
            </w:pPr>
          </w:p>
        </w:tc>
        <w:tc>
          <w:tcPr>
            <w:tcW w:w="0" w:type="auto"/>
            <w:gridSpan w:val="3"/>
            <w:vAlign w:val="center"/>
            <w:hideMark/>
          </w:tcPr>
          <w:p w14:paraId="4BDBBFB6"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5693BD" w14:textId="77777777" w:rsidR="00000000" w:rsidRDefault="00A173A8">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14:paraId="3C6EA5B5"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7BD7E7BE" w14:textId="77777777" w:rsidR="00000000" w:rsidRDefault="00A173A8">
            <w:pPr>
              <w:spacing w:after="100"/>
              <w:jc w:val="right"/>
              <w:rPr>
                <w:rFonts w:eastAsia="Times New Roman"/>
              </w:rPr>
            </w:pPr>
          </w:p>
        </w:tc>
        <w:tc>
          <w:tcPr>
            <w:tcW w:w="0" w:type="auto"/>
            <w:gridSpan w:val="2"/>
            <w:vAlign w:val="center"/>
            <w:hideMark/>
          </w:tcPr>
          <w:p w14:paraId="24E25FCF" w14:textId="77777777" w:rsidR="00000000" w:rsidRDefault="00A173A8">
            <w:pPr>
              <w:spacing w:after="100"/>
              <w:rPr>
                <w:rFonts w:eastAsia="Times New Roman"/>
                <w:sz w:val="20"/>
                <w:szCs w:val="20"/>
              </w:rPr>
            </w:pPr>
          </w:p>
        </w:tc>
      </w:tr>
      <w:tr w:rsidR="00000000" w14:paraId="66FEC021" w14:textId="77777777">
        <w:trPr>
          <w:divId w:val="1533881267"/>
        </w:trPr>
        <w:tc>
          <w:tcPr>
            <w:tcW w:w="0" w:type="auto"/>
            <w:gridSpan w:val="3"/>
            <w:shd w:val="clear" w:color="auto" w:fill="CCEEFF"/>
            <w:tcMar>
              <w:top w:w="30" w:type="dxa"/>
              <w:left w:w="20" w:type="dxa"/>
              <w:bottom w:w="30" w:type="dxa"/>
              <w:right w:w="20" w:type="dxa"/>
            </w:tcMar>
            <w:vAlign w:val="center"/>
            <w:hideMark/>
          </w:tcPr>
          <w:p w14:paraId="6E9FA8DC" w14:textId="77777777" w:rsidR="00000000" w:rsidRDefault="00A173A8">
            <w:pPr>
              <w:spacing w:after="100"/>
              <w:rPr>
                <w:rFonts w:eastAsia="Times New Roman"/>
              </w:rPr>
            </w:pPr>
            <w:r>
              <w:rPr>
                <w:rFonts w:eastAsia="Times New Roman"/>
                <w:color w:val="000000"/>
                <w:sz w:val="20"/>
                <w:szCs w:val="20"/>
              </w:rPr>
              <w:t>Interest-earning assets</w:t>
            </w:r>
          </w:p>
        </w:tc>
        <w:tc>
          <w:tcPr>
            <w:tcW w:w="0" w:type="auto"/>
            <w:gridSpan w:val="3"/>
            <w:shd w:val="clear" w:color="auto" w:fill="CCEEFF"/>
            <w:tcMar>
              <w:top w:w="0" w:type="dxa"/>
              <w:left w:w="20" w:type="dxa"/>
              <w:bottom w:w="0" w:type="dxa"/>
              <w:right w:w="20" w:type="dxa"/>
            </w:tcMar>
            <w:vAlign w:val="center"/>
            <w:hideMark/>
          </w:tcPr>
          <w:p w14:paraId="7E1E04C4"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0A9D55A" w14:textId="77777777" w:rsidR="00000000" w:rsidRDefault="00A173A8">
            <w:pPr>
              <w:spacing w:after="100"/>
              <w:jc w:val="right"/>
              <w:rPr>
                <w:rFonts w:eastAsia="Times New Roman"/>
              </w:rPr>
            </w:pPr>
            <w:r>
              <w:rPr>
                <w:rFonts w:eastAsia="Times New Roman"/>
                <w:b/>
                <w:bCs/>
                <w:color w:val="000000"/>
                <w:sz w:val="20"/>
                <w:szCs w:val="20"/>
              </w:rPr>
              <w:t>398,934</w:t>
            </w:r>
          </w:p>
        </w:tc>
        <w:tc>
          <w:tcPr>
            <w:tcW w:w="0" w:type="auto"/>
            <w:gridSpan w:val="3"/>
            <w:shd w:val="clear" w:color="auto" w:fill="CCEEFF"/>
            <w:tcMar>
              <w:top w:w="0" w:type="dxa"/>
              <w:left w:w="20" w:type="dxa"/>
              <w:bottom w:w="0" w:type="dxa"/>
              <w:right w:w="20" w:type="dxa"/>
            </w:tcMar>
            <w:vAlign w:val="center"/>
            <w:hideMark/>
          </w:tcPr>
          <w:p w14:paraId="6E6ACB2A"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200F290" w14:textId="77777777" w:rsidR="00000000" w:rsidRDefault="00A173A8">
            <w:pPr>
              <w:spacing w:after="100"/>
              <w:jc w:val="right"/>
              <w:rPr>
                <w:rFonts w:eastAsia="Times New Roman"/>
              </w:rPr>
            </w:pPr>
            <w:r>
              <w:rPr>
                <w:rFonts w:eastAsia="Times New Roman"/>
                <w:color w:val="000000"/>
                <w:sz w:val="20"/>
                <w:szCs w:val="20"/>
              </w:rPr>
              <w:t>390,129</w:t>
            </w:r>
          </w:p>
        </w:tc>
        <w:tc>
          <w:tcPr>
            <w:tcW w:w="0" w:type="auto"/>
            <w:gridSpan w:val="3"/>
            <w:shd w:val="clear" w:color="auto" w:fill="CCEEFF"/>
            <w:tcMar>
              <w:top w:w="0" w:type="dxa"/>
              <w:left w:w="20" w:type="dxa"/>
              <w:bottom w:w="0" w:type="dxa"/>
              <w:right w:w="20" w:type="dxa"/>
            </w:tcMar>
            <w:vAlign w:val="center"/>
            <w:hideMark/>
          </w:tcPr>
          <w:p w14:paraId="49662BCB"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AAEE66" w14:textId="77777777" w:rsidR="00000000" w:rsidRDefault="00A173A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0B88AF3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6F467"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6CACCF7" w14:textId="77777777" w:rsidR="00000000" w:rsidRDefault="00A173A8">
            <w:pPr>
              <w:spacing w:after="100"/>
              <w:jc w:val="right"/>
              <w:rPr>
                <w:rFonts w:eastAsia="Times New Roman"/>
              </w:rPr>
            </w:pPr>
            <w:r>
              <w:rPr>
                <w:rFonts w:eastAsia="Times New Roman"/>
                <w:b/>
                <w:bCs/>
                <w:color w:val="000000"/>
                <w:sz w:val="20"/>
                <w:szCs w:val="20"/>
              </w:rPr>
              <w:t>396,521</w:t>
            </w:r>
          </w:p>
        </w:tc>
        <w:tc>
          <w:tcPr>
            <w:tcW w:w="0" w:type="auto"/>
            <w:gridSpan w:val="3"/>
            <w:shd w:val="clear" w:color="auto" w:fill="CCEEFF"/>
            <w:tcMar>
              <w:top w:w="0" w:type="dxa"/>
              <w:left w:w="20" w:type="dxa"/>
              <w:bottom w:w="0" w:type="dxa"/>
              <w:right w:w="20" w:type="dxa"/>
            </w:tcMar>
            <w:vAlign w:val="center"/>
            <w:hideMark/>
          </w:tcPr>
          <w:p w14:paraId="4D25E663"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20448D2" w14:textId="77777777" w:rsidR="00000000" w:rsidRDefault="00A173A8">
            <w:pPr>
              <w:spacing w:after="100"/>
              <w:jc w:val="right"/>
              <w:rPr>
                <w:rFonts w:eastAsia="Times New Roman"/>
              </w:rPr>
            </w:pPr>
            <w:r>
              <w:rPr>
                <w:rFonts w:eastAsia="Times New Roman"/>
                <w:color w:val="000000"/>
                <w:sz w:val="20"/>
                <w:szCs w:val="20"/>
              </w:rPr>
              <w:t>389,355</w:t>
            </w:r>
          </w:p>
        </w:tc>
        <w:tc>
          <w:tcPr>
            <w:tcW w:w="0" w:type="auto"/>
            <w:vAlign w:val="center"/>
            <w:hideMark/>
          </w:tcPr>
          <w:p w14:paraId="396A667F" w14:textId="77777777" w:rsidR="00000000" w:rsidRDefault="00A173A8">
            <w:pPr>
              <w:spacing w:after="100"/>
              <w:jc w:val="right"/>
              <w:rPr>
                <w:rFonts w:eastAsia="Times New Roman"/>
              </w:rPr>
            </w:pPr>
          </w:p>
        </w:tc>
        <w:tc>
          <w:tcPr>
            <w:tcW w:w="0" w:type="auto"/>
            <w:vAlign w:val="center"/>
            <w:hideMark/>
          </w:tcPr>
          <w:p w14:paraId="41EAF78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276E6E" w14:textId="77777777" w:rsidR="00000000" w:rsidRDefault="00A173A8">
            <w:pPr>
              <w:spacing w:after="100"/>
              <w:rPr>
                <w:rFonts w:eastAsia="Times New Roman"/>
                <w:sz w:val="20"/>
                <w:szCs w:val="20"/>
              </w:rPr>
            </w:pPr>
          </w:p>
        </w:tc>
        <w:tc>
          <w:tcPr>
            <w:tcW w:w="0" w:type="auto"/>
            <w:vAlign w:val="center"/>
            <w:hideMark/>
          </w:tcPr>
          <w:p w14:paraId="79C4511E" w14:textId="77777777" w:rsidR="00000000" w:rsidRDefault="00A173A8">
            <w:pPr>
              <w:spacing w:after="100"/>
              <w:rPr>
                <w:rFonts w:eastAsia="Times New Roman"/>
                <w:sz w:val="20"/>
                <w:szCs w:val="20"/>
              </w:rPr>
            </w:pPr>
          </w:p>
        </w:tc>
        <w:tc>
          <w:tcPr>
            <w:tcW w:w="0" w:type="auto"/>
            <w:gridSpan w:val="3"/>
            <w:vAlign w:val="center"/>
            <w:hideMark/>
          </w:tcPr>
          <w:p w14:paraId="7B68E01C" w14:textId="77777777" w:rsidR="00000000" w:rsidRDefault="00A173A8">
            <w:pPr>
              <w:spacing w:after="100"/>
              <w:rPr>
                <w:rFonts w:eastAsia="Times New Roman"/>
                <w:sz w:val="20"/>
                <w:szCs w:val="20"/>
              </w:rPr>
            </w:pPr>
          </w:p>
        </w:tc>
        <w:tc>
          <w:tcPr>
            <w:tcW w:w="0" w:type="auto"/>
            <w:gridSpan w:val="3"/>
            <w:vAlign w:val="center"/>
            <w:hideMark/>
          </w:tcPr>
          <w:p w14:paraId="016A87E3" w14:textId="77777777" w:rsidR="00000000" w:rsidRDefault="00A173A8">
            <w:pPr>
              <w:spacing w:after="100"/>
              <w:rPr>
                <w:rFonts w:eastAsia="Times New Roman"/>
                <w:sz w:val="20"/>
                <w:szCs w:val="20"/>
              </w:rPr>
            </w:pPr>
          </w:p>
        </w:tc>
        <w:tc>
          <w:tcPr>
            <w:tcW w:w="0" w:type="auto"/>
            <w:gridSpan w:val="3"/>
            <w:vAlign w:val="center"/>
            <w:hideMark/>
          </w:tcPr>
          <w:p w14:paraId="6EEBD0BA"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B3516D" w14:textId="77777777" w:rsidR="00000000" w:rsidRDefault="00A173A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6547B084" w14:textId="77777777" w:rsidR="00000000" w:rsidRDefault="00A173A8">
            <w:pPr>
              <w:spacing w:after="100"/>
              <w:jc w:val="right"/>
              <w:rPr>
                <w:rFonts w:eastAsia="Times New Roman"/>
              </w:rPr>
            </w:pPr>
          </w:p>
        </w:tc>
        <w:tc>
          <w:tcPr>
            <w:tcW w:w="0" w:type="auto"/>
            <w:gridSpan w:val="3"/>
            <w:vAlign w:val="center"/>
            <w:hideMark/>
          </w:tcPr>
          <w:p w14:paraId="0A4BA3B4" w14:textId="77777777" w:rsidR="00000000" w:rsidRDefault="00A173A8">
            <w:pPr>
              <w:spacing w:after="100"/>
              <w:jc w:val="right"/>
              <w:rPr>
                <w:rFonts w:eastAsia="Times New Roman"/>
                <w:sz w:val="20"/>
                <w:szCs w:val="20"/>
              </w:rPr>
            </w:pPr>
          </w:p>
        </w:tc>
        <w:tc>
          <w:tcPr>
            <w:tcW w:w="0" w:type="auto"/>
            <w:gridSpan w:val="2"/>
            <w:vAlign w:val="center"/>
            <w:hideMark/>
          </w:tcPr>
          <w:p w14:paraId="12D3EB83" w14:textId="77777777" w:rsidR="00000000" w:rsidRDefault="00A173A8">
            <w:pPr>
              <w:spacing w:after="100"/>
              <w:rPr>
                <w:rFonts w:eastAsia="Times New Roman"/>
                <w:sz w:val="20"/>
                <w:szCs w:val="20"/>
              </w:rPr>
            </w:pPr>
          </w:p>
        </w:tc>
      </w:tr>
      <w:tr w:rsidR="00000000" w14:paraId="603C96F0" w14:textId="77777777">
        <w:trPr>
          <w:divId w:val="1533881267"/>
        </w:trPr>
        <w:tc>
          <w:tcPr>
            <w:tcW w:w="0" w:type="auto"/>
            <w:gridSpan w:val="3"/>
            <w:shd w:val="clear" w:color="auto" w:fill="FFFFFF"/>
            <w:tcMar>
              <w:top w:w="30" w:type="dxa"/>
              <w:left w:w="20" w:type="dxa"/>
              <w:bottom w:w="30" w:type="dxa"/>
              <w:right w:w="20" w:type="dxa"/>
            </w:tcMar>
            <w:vAlign w:val="center"/>
            <w:hideMark/>
          </w:tcPr>
          <w:p w14:paraId="561D8D06" w14:textId="77777777" w:rsidR="00000000" w:rsidRDefault="00A173A8">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14:paraId="46B8139E"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ED57894" w14:textId="77777777" w:rsidR="00000000" w:rsidRDefault="00A173A8">
            <w:pPr>
              <w:spacing w:after="100"/>
              <w:jc w:val="right"/>
              <w:rPr>
                <w:rFonts w:eastAsia="Times New Roman"/>
              </w:rPr>
            </w:pPr>
            <w:r>
              <w:rPr>
                <w:rFonts w:eastAsia="Times New Roman"/>
                <w:b/>
                <w:bCs/>
                <w:color w:val="000000"/>
                <w:sz w:val="20"/>
                <w:szCs w:val="20"/>
              </w:rPr>
              <w:t>435,327</w:t>
            </w:r>
          </w:p>
        </w:tc>
        <w:tc>
          <w:tcPr>
            <w:tcW w:w="0" w:type="auto"/>
            <w:gridSpan w:val="3"/>
            <w:shd w:val="clear" w:color="auto" w:fill="FFFFFF"/>
            <w:tcMar>
              <w:top w:w="0" w:type="dxa"/>
              <w:left w:w="20" w:type="dxa"/>
              <w:bottom w:w="0" w:type="dxa"/>
              <w:right w:w="20" w:type="dxa"/>
            </w:tcMar>
            <w:vAlign w:val="center"/>
            <w:hideMark/>
          </w:tcPr>
          <w:p w14:paraId="7E7F99FB"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04338AF" w14:textId="77777777" w:rsidR="00000000" w:rsidRDefault="00A173A8">
            <w:pPr>
              <w:spacing w:after="100"/>
              <w:jc w:val="right"/>
              <w:rPr>
                <w:rFonts w:eastAsia="Times New Roman"/>
              </w:rPr>
            </w:pPr>
            <w:r>
              <w:rPr>
                <w:rFonts w:eastAsia="Times New Roman"/>
                <w:color w:val="000000"/>
                <w:sz w:val="20"/>
                <w:szCs w:val="20"/>
              </w:rPr>
              <w:t>424,099</w:t>
            </w:r>
          </w:p>
        </w:tc>
        <w:tc>
          <w:tcPr>
            <w:tcW w:w="0" w:type="auto"/>
            <w:gridSpan w:val="3"/>
            <w:shd w:val="clear" w:color="auto" w:fill="FFFFFF"/>
            <w:tcMar>
              <w:top w:w="0" w:type="dxa"/>
              <w:left w:w="20" w:type="dxa"/>
              <w:bottom w:w="0" w:type="dxa"/>
              <w:right w:w="20" w:type="dxa"/>
            </w:tcMar>
            <w:vAlign w:val="center"/>
            <w:hideMark/>
          </w:tcPr>
          <w:p w14:paraId="2DE246DA"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C4D24A" w14:textId="77777777" w:rsidR="00000000" w:rsidRDefault="00A173A8">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14:paraId="05C458D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128E4"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53DA852C" w14:textId="77777777" w:rsidR="00000000" w:rsidRDefault="00A173A8">
            <w:pPr>
              <w:spacing w:after="100"/>
              <w:jc w:val="right"/>
              <w:rPr>
                <w:rFonts w:eastAsia="Times New Roman"/>
              </w:rPr>
            </w:pPr>
            <w:r>
              <w:rPr>
                <w:rFonts w:eastAsia="Times New Roman"/>
                <w:b/>
                <w:bCs/>
                <w:color w:val="000000"/>
                <w:sz w:val="20"/>
                <w:szCs w:val="20"/>
              </w:rPr>
              <w:t>432,806</w:t>
            </w:r>
          </w:p>
        </w:tc>
        <w:tc>
          <w:tcPr>
            <w:tcW w:w="0" w:type="auto"/>
            <w:gridSpan w:val="3"/>
            <w:shd w:val="clear" w:color="auto" w:fill="FFFFFF"/>
            <w:tcMar>
              <w:top w:w="0" w:type="dxa"/>
              <w:left w:w="20" w:type="dxa"/>
              <w:bottom w:w="0" w:type="dxa"/>
              <w:right w:w="20" w:type="dxa"/>
            </w:tcMar>
            <w:vAlign w:val="center"/>
            <w:hideMark/>
          </w:tcPr>
          <w:p w14:paraId="0133DABB"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D5AE112" w14:textId="77777777" w:rsidR="00000000" w:rsidRDefault="00A173A8">
            <w:pPr>
              <w:spacing w:after="100"/>
              <w:jc w:val="right"/>
              <w:rPr>
                <w:rFonts w:eastAsia="Times New Roman"/>
              </w:rPr>
            </w:pPr>
            <w:r>
              <w:rPr>
                <w:rFonts w:eastAsia="Times New Roman"/>
                <w:color w:val="000000"/>
                <w:sz w:val="20"/>
                <w:szCs w:val="20"/>
              </w:rPr>
              <w:t>422,959</w:t>
            </w:r>
          </w:p>
        </w:tc>
        <w:tc>
          <w:tcPr>
            <w:tcW w:w="0" w:type="auto"/>
            <w:vAlign w:val="center"/>
            <w:hideMark/>
          </w:tcPr>
          <w:p w14:paraId="62793EAA" w14:textId="77777777" w:rsidR="00000000" w:rsidRDefault="00A173A8">
            <w:pPr>
              <w:spacing w:after="100"/>
              <w:jc w:val="right"/>
              <w:rPr>
                <w:rFonts w:eastAsia="Times New Roman"/>
              </w:rPr>
            </w:pPr>
          </w:p>
        </w:tc>
        <w:tc>
          <w:tcPr>
            <w:tcW w:w="0" w:type="auto"/>
            <w:vAlign w:val="center"/>
            <w:hideMark/>
          </w:tcPr>
          <w:p w14:paraId="6065DDD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FD6CE2" w14:textId="77777777" w:rsidR="00000000" w:rsidRDefault="00A173A8">
            <w:pPr>
              <w:spacing w:after="100"/>
              <w:rPr>
                <w:rFonts w:eastAsia="Times New Roman"/>
                <w:sz w:val="20"/>
                <w:szCs w:val="20"/>
              </w:rPr>
            </w:pPr>
          </w:p>
        </w:tc>
        <w:tc>
          <w:tcPr>
            <w:tcW w:w="0" w:type="auto"/>
            <w:vAlign w:val="center"/>
            <w:hideMark/>
          </w:tcPr>
          <w:p w14:paraId="1B46EEC6" w14:textId="77777777" w:rsidR="00000000" w:rsidRDefault="00A173A8">
            <w:pPr>
              <w:spacing w:after="100"/>
              <w:rPr>
                <w:rFonts w:eastAsia="Times New Roman"/>
                <w:sz w:val="20"/>
                <w:szCs w:val="20"/>
              </w:rPr>
            </w:pPr>
          </w:p>
        </w:tc>
        <w:tc>
          <w:tcPr>
            <w:tcW w:w="0" w:type="auto"/>
            <w:gridSpan w:val="3"/>
            <w:vAlign w:val="center"/>
            <w:hideMark/>
          </w:tcPr>
          <w:p w14:paraId="0B42DF26" w14:textId="77777777" w:rsidR="00000000" w:rsidRDefault="00A173A8">
            <w:pPr>
              <w:spacing w:after="100"/>
              <w:rPr>
                <w:rFonts w:eastAsia="Times New Roman"/>
                <w:sz w:val="20"/>
                <w:szCs w:val="20"/>
              </w:rPr>
            </w:pPr>
          </w:p>
        </w:tc>
        <w:tc>
          <w:tcPr>
            <w:tcW w:w="0" w:type="auto"/>
            <w:gridSpan w:val="3"/>
            <w:vAlign w:val="center"/>
            <w:hideMark/>
          </w:tcPr>
          <w:p w14:paraId="1F7777A5" w14:textId="77777777" w:rsidR="00000000" w:rsidRDefault="00A173A8">
            <w:pPr>
              <w:spacing w:after="100"/>
              <w:rPr>
                <w:rFonts w:eastAsia="Times New Roman"/>
                <w:sz w:val="20"/>
                <w:szCs w:val="20"/>
              </w:rPr>
            </w:pPr>
          </w:p>
        </w:tc>
        <w:tc>
          <w:tcPr>
            <w:tcW w:w="0" w:type="auto"/>
            <w:gridSpan w:val="3"/>
            <w:vAlign w:val="center"/>
            <w:hideMark/>
          </w:tcPr>
          <w:p w14:paraId="4535A951"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AD60FE" w14:textId="77777777" w:rsidR="00000000" w:rsidRDefault="00A173A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346EBE93" w14:textId="77777777" w:rsidR="00000000" w:rsidRDefault="00A173A8">
            <w:pPr>
              <w:spacing w:after="100"/>
              <w:jc w:val="right"/>
              <w:rPr>
                <w:rFonts w:eastAsia="Times New Roman"/>
              </w:rPr>
            </w:pPr>
          </w:p>
        </w:tc>
        <w:tc>
          <w:tcPr>
            <w:tcW w:w="0" w:type="auto"/>
            <w:gridSpan w:val="3"/>
            <w:vAlign w:val="center"/>
            <w:hideMark/>
          </w:tcPr>
          <w:p w14:paraId="1791E020" w14:textId="77777777" w:rsidR="00000000" w:rsidRDefault="00A173A8">
            <w:pPr>
              <w:spacing w:after="100"/>
              <w:jc w:val="right"/>
              <w:rPr>
                <w:rFonts w:eastAsia="Times New Roman"/>
                <w:sz w:val="20"/>
                <w:szCs w:val="20"/>
              </w:rPr>
            </w:pPr>
          </w:p>
        </w:tc>
        <w:tc>
          <w:tcPr>
            <w:tcW w:w="0" w:type="auto"/>
            <w:gridSpan w:val="2"/>
            <w:vAlign w:val="center"/>
            <w:hideMark/>
          </w:tcPr>
          <w:p w14:paraId="524FF37B" w14:textId="77777777" w:rsidR="00000000" w:rsidRDefault="00A173A8">
            <w:pPr>
              <w:spacing w:after="100"/>
              <w:rPr>
                <w:rFonts w:eastAsia="Times New Roman"/>
                <w:sz w:val="20"/>
                <w:szCs w:val="20"/>
              </w:rPr>
            </w:pPr>
          </w:p>
        </w:tc>
      </w:tr>
      <w:tr w:rsidR="00000000" w14:paraId="1C07646F" w14:textId="77777777">
        <w:trPr>
          <w:divId w:val="1533881267"/>
        </w:trPr>
        <w:tc>
          <w:tcPr>
            <w:tcW w:w="0" w:type="auto"/>
            <w:gridSpan w:val="3"/>
            <w:shd w:val="clear" w:color="auto" w:fill="CCEEFF"/>
            <w:tcMar>
              <w:top w:w="30" w:type="dxa"/>
              <w:left w:w="20" w:type="dxa"/>
              <w:bottom w:w="30" w:type="dxa"/>
              <w:right w:w="20" w:type="dxa"/>
            </w:tcMar>
            <w:vAlign w:val="center"/>
            <w:hideMark/>
          </w:tcPr>
          <w:p w14:paraId="0F776C8D" w14:textId="77777777" w:rsidR="00000000" w:rsidRDefault="00A173A8">
            <w:pPr>
              <w:spacing w:after="100"/>
              <w:rPr>
                <w:rFonts w:eastAsia="Times New Roman"/>
              </w:rPr>
            </w:pPr>
            <w:r>
              <w:rPr>
                <w:rFonts w:eastAsia="Times New Roman"/>
                <w:color w:val="000000"/>
                <w:sz w:val="20"/>
                <w:szCs w:val="20"/>
              </w:rPr>
              <w:t>Interest-bearing deposits</w:t>
            </w:r>
          </w:p>
        </w:tc>
        <w:tc>
          <w:tcPr>
            <w:tcW w:w="0" w:type="auto"/>
            <w:gridSpan w:val="3"/>
            <w:shd w:val="clear" w:color="auto" w:fill="CCEEFF"/>
            <w:tcMar>
              <w:top w:w="0" w:type="dxa"/>
              <w:left w:w="20" w:type="dxa"/>
              <w:bottom w:w="0" w:type="dxa"/>
              <w:right w:w="20" w:type="dxa"/>
            </w:tcMar>
            <w:vAlign w:val="center"/>
            <w:hideMark/>
          </w:tcPr>
          <w:p w14:paraId="738C1E42"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171BD4A" w14:textId="77777777" w:rsidR="00000000" w:rsidRDefault="00A173A8">
            <w:pPr>
              <w:spacing w:after="100"/>
              <w:jc w:val="right"/>
              <w:rPr>
                <w:rFonts w:eastAsia="Times New Roman"/>
              </w:rPr>
            </w:pPr>
            <w:r>
              <w:rPr>
                <w:rFonts w:eastAsia="Times New Roman"/>
                <w:b/>
                <w:bCs/>
                <w:color w:val="000000"/>
                <w:sz w:val="20"/>
                <w:szCs w:val="20"/>
              </w:rPr>
              <w:t>268,104</w:t>
            </w:r>
          </w:p>
        </w:tc>
        <w:tc>
          <w:tcPr>
            <w:tcW w:w="0" w:type="auto"/>
            <w:gridSpan w:val="3"/>
            <w:shd w:val="clear" w:color="auto" w:fill="CCEEFF"/>
            <w:tcMar>
              <w:top w:w="0" w:type="dxa"/>
              <w:left w:w="20" w:type="dxa"/>
              <w:bottom w:w="0" w:type="dxa"/>
              <w:right w:w="20" w:type="dxa"/>
            </w:tcMar>
            <w:vAlign w:val="center"/>
            <w:hideMark/>
          </w:tcPr>
          <w:p w14:paraId="6377AEB3"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175FBAC" w14:textId="77777777" w:rsidR="00000000" w:rsidRDefault="00A173A8">
            <w:pPr>
              <w:spacing w:after="100"/>
              <w:jc w:val="right"/>
              <w:rPr>
                <w:rFonts w:eastAsia="Times New Roman"/>
              </w:rPr>
            </w:pPr>
            <w:r>
              <w:rPr>
                <w:rFonts w:eastAsia="Times New Roman"/>
                <w:color w:val="000000"/>
                <w:sz w:val="20"/>
                <w:szCs w:val="20"/>
              </w:rPr>
              <w:t>273,476</w:t>
            </w:r>
          </w:p>
        </w:tc>
        <w:tc>
          <w:tcPr>
            <w:tcW w:w="0" w:type="auto"/>
            <w:gridSpan w:val="3"/>
            <w:shd w:val="clear" w:color="auto" w:fill="CCEEFF"/>
            <w:tcMar>
              <w:top w:w="0" w:type="dxa"/>
              <w:left w:w="20" w:type="dxa"/>
              <w:bottom w:w="0" w:type="dxa"/>
              <w:right w:w="20" w:type="dxa"/>
            </w:tcMar>
            <w:vAlign w:val="center"/>
            <w:hideMark/>
          </w:tcPr>
          <w:p w14:paraId="2644A584"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8E7CFE" w14:textId="77777777" w:rsidR="00000000" w:rsidRDefault="00A173A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14:paraId="1F5DD8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498B39"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66F04C8" w14:textId="77777777" w:rsidR="00000000" w:rsidRDefault="00A173A8">
            <w:pPr>
              <w:spacing w:after="100"/>
              <w:jc w:val="right"/>
              <w:rPr>
                <w:rFonts w:eastAsia="Times New Roman"/>
              </w:rPr>
            </w:pPr>
            <w:r>
              <w:rPr>
                <w:rFonts w:eastAsia="Times New Roman"/>
                <w:b/>
                <w:bCs/>
                <w:color w:val="000000"/>
                <w:sz w:val="20"/>
                <w:szCs w:val="20"/>
              </w:rPr>
              <w:t>269,953</w:t>
            </w:r>
          </w:p>
        </w:tc>
        <w:tc>
          <w:tcPr>
            <w:tcW w:w="0" w:type="auto"/>
            <w:gridSpan w:val="3"/>
            <w:shd w:val="clear" w:color="auto" w:fill="CCEEFF"/>
            <w:tcMar>
              <w:top w:w="0" w:type="dxa"/>
              <w:left w:w="20" w:type="dxa"/>
              <w:bottom w:w="0" w:type="dxa"/>
              <w:right w:w="20" w:type="dxa"/>
            </w:tcMar>
            <w:vAlign w:val="center"/>
            <w:hideMark/>
          </w:tcPr>
          <w:p w14:paraId="3C171A4A"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D58541C" w14:textId="77777777" w:rsidR="00000000" w:rsidRDefault="00A173A8">
            <w:pPr>
              <w:spacing w:after="100"/>
              <w:jc w:val="right"/>
              <w:rPr>
                <w:rFonts w:eastAsia="Times New Roman"/>
              </w:rPr>
            </w:pPr>
            <w:r>
              <w:rPr>
                <w:rFonts w:eastAsia="Times New Roman"/>
                <w:color w:val="000000"/>
                <w:sz w:val="20"/>
                <w:szCs w:val="20"/>
              </w:rPr>
              <w:t>273,417</w:t>
            </w:r>
          </w:p>
        </w:tc>
        <w:tc>
          <w:tcPr>
            <w:tcW w:w="0" w:type="auto"/>
            <w:vAlign w:val="center"/>
            <w:hideMark/>
          </w:tcPr>
          <w:p w14:paraId="209F9E1A" w14:textId="77777777" w:rsidR="00000000" w:rsidRDefault="00A173A8">
            <w:pPr>
              <w:spacing w:after="100"/>
              <w:jc w:val="right"/>
              <w:rPr>
                <w:rFonts w:eastAsia="Times New Roman"/>
              </w:rPr>
            </w:pPr>
          </w:p>
        </w:tc>
        <w:tc>
          <w:tcPr>
            <w:tcW w:w="0" w:type="auto"/>
            <w:vAlign w:val="center"/>
            <w:hideMark/>
          </w:tcPr>
          <w:p w14:paraId="2680FC7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199AD" w14:textId="77777777" w:rsidR="00000000" w:rsidRDefault="00A173A8">
            <w:pPr>
              <w:spacing w:after="100"/>
              <w:rPr>
                <w:rFonts w:eastAsia="Times New Roman"/>
                <w:sz w:val="20"/>
                <w:szCs w:val="20"/>
              </w:rPr>
            </w:pPr>
          </w:p>
        </w:tc>
        <w:tc>
          <w:tcPr>
            <w:tcW w:w="0" w:type="auto"/>
            <w:vAlign w:val="center"/>
            <w:hideMark/>
          </w:tcPr>
          <w:p w14:paraId="645149C7" w14:textId="77777777" w:rsidR="00000000" w:rsidRDefault="00A173A8">
            <w:pPr>
              <w:spacing w:after="100"/>
              <w:rPr>
                <w:rFonts w:eastAsia="Times New Roman"/>
                <w:sz w:val="20"/>
                <w:szCs w:val="20"/>
              </w:rPr>
            </w:pPr>
          </w:p>
        </w:tc>
        <w:tc>
          <w:tcPr>
            <w:tcW w:w="0" w:type="auto"/>
            <w:gridSpan w:val="3"/>
            <w:vAlign w:val="center"/>
            <w:hideMark/>
          </w:tcPr>
          <w:p w14:paraId="1D883F85" w14:textId="77777777" w:rsidR="00000000" w:rsidRDefault="00A173A8">
            <w:pPr>
              <w:spacing w:after="100"/>
              <w:rPr>
                <w:rFonts w:eastAsia="Times New Roman"/>
                <w:sz w:val="20"/>
                <w:szCs w:val="20"/>
              </w:rPr>
            </w:pPr>
          </w:p>
        </w:tc>
        <w:tc>
          <w:tcPr>
            <w:tcW w:w="0" w:type="auto"/>
            <w:gridSpan w:val="3"/>
            <w:vAlign w:val="center"/>
            <w:hideMark/>
          </w:tcPr>
          <w:p w14:paraId="0EF99E32" w14:textId="77777777" w:rsidR="00000000" w:rsidRDefault="00A173A8">
            <w:pPr>
              <w:spacing w:after="100"/>
              <w:rPr>
                <w:rFonts w:eastAsia="Times New Roman"/>
                <w:sz w:val="20"/>
                <w:szCs w:val="20"/>
              </w:rPr>
            </w:pPr>
          </w:p>
        </w:tc>
        <w:tc>
          <w:tcPr>
            <w:tcW w:w="0" w:type="auto"/>
            <w:gridSpan w:val="3"/>
            <w:vAlign w:val="center"/>
            <w:hideMark/>
          </w:tcPr>
          <w:p w14:paraId="1936A594"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7AE832" w14:textId="77777777" w:rsidR="00000000" w:rsidRDefault="00A173A8">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662AA04D" w14:textId="77777777" w:rsidR="00000000" w:rsidRDefault="00A173A8">
            <w:pPr>
              <w:spacing w:after="100"/>
              <w:jc w:val="right"/>
              <w:rPr>
                <w:rFonts w:eastAsia="Times New Roman"/>
              </w:rPr>
            </w:pPr>
          </w:p>
        </w:tc>
        <w:tc>
          <w:tcPr>
            <w:tcW w:w="0" w:type="auto"/>
            <w:gridSpan w:val="3"/>
            <w:vAlign w:val="center"/>
            <w:hideMark/>
          </w:tcPr>
          <w:p w14:paraId="0C549785" w14:textId="77777777" w:rsidR="00000000" w:rsidRDefault="00A173A8">
            <w:pPr>
              <w:spacing w:after="100"/>
              <w:jc w:val="right"/>
              <w:rPr>
                <w:rFonts w:eastAsia="Times New Roman"/>
                <w:sz w:val="20"/>
                <w:szCs w:val="20"/>
              </w:rPr>
            </w:pPr>
          </w:p>
        </w:tc>
        <w:tc>
          <w:tcPr>
            <w:tcW w:w="0" w:type="auto"/>
            <w:gridSpan w:val="2"/>
            <w:vAlign w:val="center"/>
            <w:hideMark/>
          </w:tcPr>
          <w:p w14:paraId="24459239" w14:textId="77777777" w:rsidR="00000000" w:rsidRDefault="00A173A8">
            <w:pPr>
              <w:spacing w:after="100"/>
              <w:rPr>
                <w:rFonts w:eastAsia="Times New Roman"/>
                <w:sz w:val="20"/>
                <w:szCs w:val="20"/>
              </w:rPr>
            </w:pPr>
          </w:p>
        </w:tc>
      </w:tr>
      <w:tr w:rsidR="00000000" w14:paraId="0FE66726" w14:textId="77777777">
        <w:trPr>
          <w:divId w:val="1533881267"/>
        </w:trPr>
        <w:tc>
          <w:tcPr>
            <w:tcW w:w="0" w:type="auto"/>
            <w:gridSpan w:val="3"/>
            <w:shd w:val="clear" w:color="auto" w:fill="FFFFFF"/>
            <w:tcMar>
              <w:top w:w="30" w:type="dxa"/>
              <w:left w:w="20" w:type="dxa"/>
              <w:bottom w:w="30" w:type="dxa"/>
              <w:right w:w="20" w:type="dxa"/>
            </w:tcMar>
            <w:vAlign w:val="center"/>
            <w:hideMark/>
          </w:tcPr>
          <w:p w14:paraId="62A4B3FD" w14:textId="77777777" w:rsidR="00000000" w:rsidRDefault="00A173A8">
            <w:pPr>
              <w:spacing w:after="100"/>
              <w:rPr>
                <w:rFonts w:eastAsia="Times New Roman"/>
              </w:rPr>
            </w:pPr>
            <w:r>
              <w:rPr>
                <w:rFonts w:eastAsia="Times New Roman"/>
                <w:color w:val="000000"/>
                <w:sz w:val="20"/>
                <w:szCs w:val="20"/>
              </w:rPr>
              <w:t>Total deposits</w:t>
            </w:r>
          </w:p>
        </w:tc>
        <w:tc>
          <w:tcPr>
            <w:tcW w:w="0" w:type="auto"/>
            <w:gridSpan w:val="3"/>
            <w:shd w:val="clear" w:color="auto" w:fill="FFFFFF"/>
            <w:tcMar>
              <w:top w:w="0" w:type="dxa"/>
              <w:left w:w="20" w:type="dxa"/>
              <w:bottom w:w="0" w:type="dxa"/>
              <w:right w:w="20" w:type="dxa"/>
            </w:tcMar>
            <w:vAlign w:val="center"/>
            <w:hideMark/>
          </w:tcPr>
          <w:p w14:paraId="6399DD8E"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0D578F7" w14:textId="77777777" w:rsidR="00000000" w:rsidRDefault="00A173A8">
            <w:pPr>
              <w:spacing w:after="100"/>
              <w:jc w:val="right"/>
              <w:rPr>
                <w:rFonts w:eastAsia="Times New Roman"/>
              </w:rPr>
            </w:pPr>
            <w:r>
              <w:rPr>
                <w:rFonts w:eastAsia="Times New Roman"/>
                <w:b/>
                <w:bCs/>
                <w:color w:val="000000"/>
                <w:sz w:val="20"/>
                <w:szCs w:val="20"/>
              </w:rPr>
              <w:t>305,954</w:t>
            </w:r>
          </w:p>
        </w:tc>
        <w:tc>
          <w:tcPr>
            <w:tcW w:w="0" w:type="auto"/>
            <w:gridSpan w:val="3"/>
            <w:shd w:val="clear" w:color="auto" w:fill="FFFFFF"/>
            <w:tcMar>
              <w:top w:w="0" w:type="dxa"/>
              <w:left w:w="20" w:type="dxa"/>
              <w:bottom w:w="0" w:type="dxa"/>
              <w:right w:w="20" w:type="dxa"/>
            </w:tcMar>
            <w:vAlign w:val="center"/>
            <w:hideMark/>
          </w:tcPr>
          <w:p w14:paraId="388E502E"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6A6D43F" w14:textId="77777777" w:rsidR="00000000" w:rsidRDefault="00A173A8">
            <w:pPr>
              <w:spacing w:after="100"/>
              <w:jc w:val="right"/>
              <w:rPr>
                <w:rFonts w:eastAsia="Times New Roman"/>
              </w:rPr>
            </w:pPr>
            <w:r>
              <w:rPr>
                <w:rFonts w:eastAsia="Times New Roman"/>
                <w:color w:val="000000"/>
                <w:sz w:val="20"/>
                <w:szCs w:val="20"/>
              </w:rPr>
              <w:t>308,217</w:t>
            </w:r>
          </w:p>
        </w:tc>
        <w:tc>
          <w:tcPr>
            <w:tcW w:w="0" w:type="auto"/>
            <w:gridSpan w:val="3"/>
            <w:shd w:val="clear" w:color="auto" w:fill="FFFFFF"/>
            <w:tcMar>
              <w:top w:w="0" w:type="dxa"/>
              <w:left w:w="20" w:type="dxa"/>
              <w:bottom w:w="0" w:type="dxa"/>
              <w:right w:w="20" w:type="dxa"/>
            </w:tcMar>
            <w:vAlign w:val="center"/>
            <w:hideMark/>
          </w:tcPr>
          <w:p w14:paraId="09293F12"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654246" w14:textId="77777777" w:rsidR="00000000" w:rsidRDefault="00A173A8">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5DAC3BC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D9ADB"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74AA966D" w14:textId="77777777" w:rsidR="00000000" w:rsidRDefault="00A173A8">
            <w:pPr>
              <w:spacing w:after="100"/>
              <w:jc w:val="right"/>
              <w:rPr>
                <w:rFonts w:eastAsia="Times New Roman"/>
              </w:rPr>
            </w:pPr>
            <w:r>
              <w:rPr>
                <w:rFonts w:eastAsia="Times New Roman"/>
                <w:b/>
                <w:bCs/>
                <w:color w:val="000000"/>
                <w:sz w:val="20"/>
                <w:szCs w:val="20"/>
              </w:rPr>
              <w:t>307,765</w:t>
            </w:r>
          </w:p>
        </w:tc>
        <w:tc>
          <w:tcPr>
            <w:tcW w:w="0" w:type="auto"/>
            <w:gridSpan w:val="3"/>
            <w:shd w:val="clear" w:color="auto" w:fill="FFFFFF"/>
            <w:tcMar>
              <w:top w:w="0" w:type="dxa"/>
              <w:left w:w="20" w:type="dxa"/>
              <w:bottom w:w="0" w:type="dxa"/>
              <w:right w:w="20" w:type="dxa"/>
            </w:tcMar>
            <w:vAlign w:val="center"/>
            <w:hideMark/>
          </w:tcPr>
          <w:p w14:paraId="4F59CFC1"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383F834" w14:textId="77777777" w:rsidR="00000000" w:rsidRDefault="00A173A8">
            <w:pPr>
              <w:spacing w:after="100"/>
              <w:jc w:val="right"/>
              <w:rPr>
                <w:rFonts w:eastAsia="Times New Roman"/>
              </w:rPr>
            </w:pPr>
            <w:r>
              <w:rPr>
                <w:rFonts w:eastAsia="Times New Roman"/>
                <w:color w:val="000000"/>
                <w:sz w:val="20"/>
                <w:szCs w:val="20"/>
              </w:rPr>
              <w:t>306,645</w:t>
            </w:r>
          </w:p>
        </w:tc>
        <w:tc>
          <w:tcPr>
            <w:tcW w:w="0" w:type="auto"/>
            <w:vAlign w:val="center"/>
            <w:hideMark/>
          </w:tcPr>
          <w:p w14:paraId="38D5BB9B" w14:textId="77777777" w:rsidR="00000000" w:rsidRDefault="00A173A8">
            <w:pPr>
              <w:spacing w:after="100"/>
              <w:jc w:val="right"/>
              <w:rPr>
                <w:rFonts w:eastAsia="Times New Roman"/>
              </w:rPr>
            </w:pPr>
          </w:p>
        </w:tc>
        <w:tc>
          <w:tcPr>
            <w:tcW w:w="0" w:type="auto"/>
            <w:vAlign w:val="center"/>
            <w:hideMark/>
          </w:tcPr>
          <w:p w14:paraId="7A8B058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609657" w14:textId="77777777" w:rsidR="00000000" w:rsidRDefault="00A173A8">
            <w:pPr>
              <w:spacing w:after="100"/>
              <w:rPr>
                <w:rFonts w:eastAsia="Times New Roman"/>
                <w:sz w:val="20"/>
                <w:szCs w:val="20"/>
              </w:rPr>
            </w:pPr>
          </w:p>
        </w:tc>
        <w:tc>
          <w:tcPr>
            <w:tcW w:w="0" w:type="auto"/>
            <w:vAlign w:val="center"/>
            <w:hideMark/>
          </w:tcPr>
          <w:p w14:paraId="0E74505D" w14:textId="77777777" w:rsidR="00000000" w:rsidRDefault="00A173A8">
            <w:pPr>
              <w:spacing w:after="100"/>
              <w:rPr>
                <w:rFonts w:eastAsia="Times New Roman"/>
                <w:sz w:val="20"/>
                <w:szCs w:val="20"/>
              </w:rPr>
            </w:pPr>
          </w:p>
        </w:tc>
        <w:tc>
          <w:tcPr>
            <w:tcW w:w="0" w:type="auto"/>
            <w:gridSpan w:val="3"/>
            <w:vAlign w:val="center"/>
            <w:hideMark/>
          </w:tcPr>
          <w:p w14:paraId="1F3BC193" w14:textId="77777777" w:rsidR="00000000" w:rsidRDefault="00A173A8">
            <w:pPr>
              <w:spacing w:after="100"/>
              <w:rPr>
                <w:rFonts w:eastAsia="Times New Roman"/>
                <w:sz w:val="20"/>
                <w:szCs w:val="20"/>
              </w:rPr>
            </w:pPr>
          </w:p>
        </w:tc>
        <w:tc>
          <w:tcPr>
            <w:tcW w:w="0" w:type="auto"/>
            <w:gridSpan w:val="3"/>
            <w:vAlign w:val="center"/>
            <w:hideMark/>
          </w:tcPr>
          <w:p w14:paraId="527DEA4F" w14:textId="77777777" w:rsidR="00000000" w:rsidRDefault="00A173A8">
            <w:pPr>
              <w:spacing w:after="100"/>
              <w:rPr>
                <w:rFonts w:eastAsia="Times New Roman"/>
                <w:sz w:val="20"/>
                <w:szCs w:val="20"/>
              </w:rPr>
            </w:pPr>
          </w:p>
        </w:tc>
        <w:tc>
          <w:tcPr>
            <w:tcW w:w="0" w:type="auto"/>
            <w:gridSpan w:val="3"/>
            <w:vAlign w:val="center"/>
            <w:hideMark/>
          </w:tcPr>
          <w:p w14:paraId="4392C499"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8CEAA2"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124CDF" w14:textId="77777777" w:rsidR="00000000" w:rsidRDefault="00A173A8">
            <w:pPr>
              <w:spacing w:after="100"/>
              <w:jc w:val="right"/>
              <w:rPr>
                <w:rFonts w:eastAsia="Times New Roman"/>
              </w:rPr>
            </w:pPr>
          </w:p>
        </w:tc>
        <w:tc>
          <w:tcPr>
            <w:tcW w:w="0" w:type="auto"/>
            <w:gridSpan w:val="3"/>
            <w:vAlign w:val="center"/>
            <w:hideMark/>
          </w:tcPr>
          <w:p w14:paraId="7E1C094F" w14:textId="77777777" w:rsidR="00000000" w:rsidRDefault="00A173A8">
            <w:pPr>
              <w:spacing w:after="100"/>
              <w:jc w:val="right"/>
              <w:rPr>
                <w:rFonts w:eastAsia="Times New Roman"/>
                <w:sz w:val="20"/>
                <w:szCs w:val="20"/>
              </w:rPr>
            </w:pPr>
          </w:p>
        </w:tc>
        <w:tc>
          <w:tcPr>
            <w:tcW w:w="0" w:type="auto"/>
            <w:gridSpan w:val="2"/>
            <w:vAlign w:val="center"/>
            <w:hideMark/>
          </w:tcPr>
          <w:p w14:paraId="149E1709" w14:textId="77777777" w:rsidR="00000000" w:rsidRDefault="00A173A8">
            <w:pPr>
              <w:spacing w:after="100"/>
              <w:rPr>
                <w:rFonts w:eastAsia="Times New Roman"/>
                <w:sz w:val="20"/>
                <w:szCs w:val="20"/>
              </w:rPr>
            </w:pPr>
          </w:p>
        </w:tc>
      </w:tr>
      <w:tr w:rsidR="00000000" w14:paraId="1E4A3618" w14:textId="77777777">
        <w:trPr>
          <w:divId w:val="1533881267"/>
        </w:trPr>
        <w:tc>
          <w:tcPr>
            <w:tcW w:w="0" w:type="auto"/>
            <w:gridSpan w:val="3"/>
            <w:shd w:val="clear" w:color="auto" w:fill="CCEEFF"/>
            <w:tcMar>
              <w:top w:w="30" w:type="dxa"/>
              <w:left w:w="20" w:type="dxa"/>
              <w:bottom w:w="30" w:type="dxa"/>
              <w:right w:w="20" w:type="dxa"/>
            </w:tcMar>
            <w:vAlign w:val="center"/>
            <w:hideMark/>
          </w:tcPr>
          <w:p w14:paraId="150FDD19" w14:textId="77777777" w:rsidR="00000000" w:rsidRDefault="00A173A8">
            <w:pPr>
              <w:spacing w:after="100"/>
              <w:rPr>
                <w:rFonts w:eastAsia="Times New Roman"/>
              </w:rPr>
            </w:pPr>
            <w:r>
              <w:rPr>
                <w:rFonts w:eastAsia="Times New Roman"/>
                <w:color w:val="000000"/>
                <w:sz w:val="20"/>
                <w:szCs w:val="20"/>
              </w:rPr>
              <w:t>Borrowings</w:t>
            </w:r>
          </w:p>
        </w:tc>
        <w:tc>
          <w:tcPr>
            <w:tcW w:w="0" w:type="auto"/>
            <w:gridSpan w:val="3"/>
            <w:shd w:val="clear" w:color="auto" w:fill="CCEEFF"/>
            <w:tcMar>
              <w:top w:w="0" w:type="dxa"/>
              <w:left w:w="20" w:type="dxa"/>
              <w:bottom w:w="0" w:type="dxa"/>
              <w:right w:w="20" w:type="dxa"/>
            </w:tcMar>
            <w:vAlign w:val="center"/>
            <w:hideMark/>
          </w:tcPr>
          <w:p w14:paraId="1CA1B5B7"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2C4F8B6" w14:textId="77777777" w:rsidR="00000000" w:rsidRDefault="00A173A8">
            <w:pPr>
              <w:spacing w:after="100"/>
              <w:jc w:val="right"/>
              <w:rPr>
                <w:rFonts w:eastAsia="Times New Roman"/>
              </w:rPr>
            </w:pPr>
            <w:r>
              <w:rPr>
                <w:rFonts w:eastAsia="Times New Roman"/>
                <w:b/>
                <w:bCs/>
                <w:color w:val="000000"/>
                <w:sz w:val="20"/>
                <w:szCs w:val="20"/>
              </w:rPr>
              <w:t>53,208</w:t>
            </w:r>
          </w:p>
        </w:tc>
        <w:tc>
          <w:tcPr>
            <w:tcW w:w="0" w:type="auto"/>
            <w:gridSpan w:val="3"/>
            <w:shd w:val="clear" w:color="auto" w:fill="CCEEFF"/>
            <w:tcMar>
              <w:top w:w="0" w:type="dxa"/>
              <w:left w:w="20" w:type="dxa"/>
              <w:bottom w:w="0" w:type="dxa"/>
              <w:right w:w="20" w:type="dxa"/>
            </w:tcMar>
            <w:vAlign w:val="center"/>
            <w:hideMark/>
          </w:tcPr>
          <w:p w14:paraId="59861FAE"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97A2D95" w14:textId="77777777" w:rsidR="00000000" w:rsidRDefault="00A173A8">
            <w:pPr>
              <w:spacing w:after="100"/>
              <w:jc w:val="right"/>
              <w:rPr>
                <w:rFonts w:eastAsia="Times New Roman"/>
              </w:rPr>
            </w:pPr>
            <w:r>
              <w:rPr>
                <w:rFonts w:eastAsia="Times New Roman"/>
                <w:color w:val="000000"/>
                <w:sz w:val="20"/>
                <w:szCs w:val="20"/>
              </w:rPr>
              <w:t>37,054</w:t>
            </w:r>
          </w:p>
        </w:tc>
        <w:tc>
          <w:tcPr>
            <w:tcW w:w="0" w:type="auto"/>
            <w:gridSpan w:val="3"/>
            <w:shd w:val="clear" w:color="auto" w:fill="CCEEFF"/>
            <w:tcMar>
              <w:top w:w="0" w:type="dxa"/>
              <w:left w:w="20" w:type="dxa"/>
              <w:bottom w:w="0" w:type="dxa"/>
              <w:right w:w="20" w:type="dxa"/>
            </w:tcMar>
            <w:vAlign w:val="center"/>
            <w:hideMark/>
          </w:tcPr>
          <w:p w14:paraId="2F336FAB"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4FB1FC" w14:textId="77777777" w:rsidR="00000000" w:rsidRDefault="00A173A8">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14:paraId="036BF99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32F62"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24DA368" w14:textId="77777777" w:rsidR="00000000" w:rsidRDefault="00A173A8">
            <w:pPr>
              <w:spacing w:after="100"/>
              <w:jc w:val="right"/>
              <w:rPr>
                <w:rFonts w:eastAsia="Times New Roman"/>
              </w:rPr>
            </w:pPr>
            <w:r>
              <w:rPr>
                <w:rFonts w:eastAsia="Times New Roman"/>
                <w:b/>
                <w:bCs/>
                <w:color w:val="000000"/>
                <w:sz w:val="20"/>
                <w:szCs w:val="20"/>
              </w:rPr>
              <w:t>47,773</w:t>
            </w:r>
          </w:p>
        </w:tc>
        <w:tc>
          <w:tcPr>
            <w:tcW w:w="0" w:type="auto"/>
            <w:gridSpan w:val="3"/>
            <w:shd w:val="clear" w:color="auto" w:fill="CCEEFF"/>
            <w:tcMar>
              <w:top w:w="0" w:type="dxa"/>
              <w:left w:w="20" w:type="dxa"/>
              <w:bottom w:w="0" w:type="dxa"/>
              <w:right w:w="20" w:type="dxa"/>
            </w:tcMar>
            <w:vAlign w:val="center"/>
            <w:hideMark/>
          </w:tcPr>
          <w:p w14:paraId="2782C0B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E274680" w14:textId="77777777" w:rsidR="00000000" w:rsidRDefault="00A173A8">
            <w:pPr>
              <w:spacing w:after="100"/>
              <w:jc w:val="right"/>
              <w:rPr>
                <w:rFonts w:eastAsia="Times New Roman"/>
              </w:rPr>
            </w:pPr>
            <w:r>
              <w:rPr>
                <w:rFonts w:eastAsia="Times New Roman"/>
                <w:color w:val="000000"/>
                <w:sz w:val="20"/>
                <w:szCs w:val="20"/>
              </w:rPr>
              <w:t>38,475</w:t>
            </w:r>
          </w:p>
        </w:tc>
        <w:tc>
          <w:tcPr>
            <w:tcW w:w="0" w:type="auto"/>
            <w:vAlign w:val="center"/>
            <w:hideMark/>
          </w:tcPr>
          <w:p w14:paraId="23C8948A" w14:textId="77777777" w:rsidR="00000000" w:rsidRDefault="00A173A8">
            <w:pPr>
              <w:spacing w:after="100"/>
              <w:jc w:val="right"/>
              <w:rPr>
                <w:rFonts w:eastAsia="Times New Roman"/>
              </w:rPr>
            </w:pPr>
          </w:p>
        </w:tc>
        <w:tc>
          <w:tcPr>
            <w:tcW w:w="0" w:type="auto"/>
            <w:vAlign w:val="center"/>
            <w:hideMark/>
          </w:tcPr>
          <w:p w14:paraId="60F7252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596420" w14:textId="77777777" w:rsidR="00000000" w:rsidRDefault="00A173A8">
            <w:pPr>
              <w:spacing w:after="100"/>
              <w:rPr>
                <w:rFonts w:eastAsia="Times New Roman"/>
                <w:sz w:val="20"/>
                <w:szCs w:val="20"/>
              </w:rPr>
            </w:pPr>
          </w:p>
        </w:tc>
        <w:tc>
          <w:tcPr>
            <w:tcW w:w="0" w:type="auto"/>
            <w:vAlign w:val="center"/>
            <w:hideMark/>
          </w:tcPr>
          <w:p w14:paraId="7462C503" w14:textId="77777777" w:rsidR="00000000" w:rsidRDefault="00A173A8">
            <w:pPr>
              <w:spacing w:after="100"/>
              <w:rPr>
                <w:rFonts w:eastAsia="Times New Roman"/>
                <w:sz w:val="20"/>
                <w:szCs w:val="20"/>
              </w:rPr>
            </w:pPr>
          </w:p>
        </w:tc>
        <w:tc>
          <w:tcPr>
            <w:tcW w:w="0" w:type="auto"/>
            <w:gridSpan w:val="3"/>
            <w:vAlign w:val="center"/>
            <w:hideMark/>
          </w:tcPr>
          <w:p w14:paraId="0C2CF66F" w14:textId="77777777" w:rsidR="00000000" w:rsidRDefault="00A173A8">
            <w:pPr>
              <w:spacing w:after="100"/>
              <w:rPr>
                <w:rFonts w:eastAsia="Times New Roman"/>
                <w:sz w:val="20"/>
                <w:szCs w:val="20"/>
              </w:rPr>
            </w:pPr>
          </w:p>
        </w:tc>
        <w:tc>
          <w:tcPr>
            <w:tcW w:w="0" w:type="auto"/>
            <w:gridSpan w:val="3"/>
            <w:vAlign w:val="center"/>
            <w:hideMark/>
          </w:tcPr>
          <w:p w14:paraId="33F6BAFE" w14:textId="77777777" w:rsidR="00000000" w:rsidRDefault="00A173A8">
            <w:pPr>
              <w:spacing w:after="100"/>
              <w:rPr>
                <w:rFonts w:eastAsia="Times New Roman"/>
                <w:sz w:val="20"/>
                <w:szCs w:val="20"/>
              </w:rPr>
            </w:pPr>
          </w:p>
        </w:tc>
        <w:tc>
          <w:tcPr>
            <w:tcW w:w="0" w:type="auto"/>
            <w:gridSpan w:val="3"/>
            <w:vAlign w:val="center"/>
            <w:hideMark/>
          </w:tcPr>
          <w:p w14:paraId="1B7084BB"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0C756" w14:textId="77777777" w:rsidR="00000000" w:rsidRDefault="00A173A8">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14:paraId="210BFA12" w14:textId="77777777" w:rsidR="00000000" w:rsidRDefault="00A173A8">
            <w:pPr>
              <w:spacing w:after="100"/>
              <w:jc w:val="right"/>
              <w:rPr>
                <w:rFonts w:eastAsia="Times New Roman"/>
              </w:rPr>
            </w:pPr>
          </w:p>
        </w:tc>
        <w:tc>
          <w:tcPr>
            <w:tcW w:w="0" w:type="auto"/>
            <w:gridSpan w:val="3"/>
            <w:vAlign w:val="center"/>
            <w:hideMark/>
          </w:tcPr>
          <w:p w14:paraId="6385577C" w14:textId="77777777" w:rsidR="00000000" w:rsidRDefault="00A173A8">
            <w:pPr>
              <w:spacing w:after="100"/>
              <w:jc w:val="right"/>
              <w:rPr>
                <w:rFonts w:eastAsia="Times New Roman"/>
                <w:sz w:val="20"/>
                <w:szCs w:val="20"/>
              </w:rPr>
            </w:pPr>
          </w:p>
        </w:tc>
        <w:tc>
          <w:tcPr>
            <w:tcW w:w="0" w:type="auto"/>
            <w:gridSpan w:val="2"/>
            <w:vAlign w:val="center"/>
            <w:hideMark/>
          </w:tcPr>
          <w:p w14:paraId="0D7A0CD0" w14:textId="77777777" w:rsidR="00000000" w:rsidRDefault="00A173A8">
            <w:pPr>
              <w:spacing w:after="100"/>
              <w:rPr>
                <w:rFonts w:eastAsia="Times New Roman"/>
                <w:sz w:val="20"/>
                <w:szCs w:val="20"/>
              </w:rPr>
            </w:pPr>
          </w:p>
        </w:tc>
      </w:tr>
      <w:tr w:rsidR="00000000" w14:paraId="1F8F04B6" w14:textId="77777777">
        <w:trPr>
          <w:divId w:val="1533881267"/>
        </w:trPr>
        <w:tc>
          <w:tcPr>
            <w:tcW w:w="0" w:type="auto"/>
            <w:gridSpan w:val="3"/>
            <w:shd w:val="clear" w:color="auto" w:fill="FFFFFF"/>
            <w:tcMar>
              <w:top w:w="30" w:type="dxa"/>
              <w:left w:w="20" w:type="dxa"/>
              <w:bottom w:w="30" w:type="dxa"/>
              <w:right w:w="20" w:type="dxa"/>
            </w:tcMar>
            <w:vAlign w:val="center"/>
            <w:hideMark/>
          </w:tcPr>
          <w:p w14:paraId="200A08D8" w14:textId="77777777" w:rsidR="00000000" w:rsidRDefault="00A173A8">
            <w:pPr>
              <w:spacing w:after="100"/>
              <w:rPr>
                <w:rFonts w:eastAsia="Times New Roman"/>
              </w:rPr>
            </w:pPr>
            <w:r>
              <w:rPr>
                <w:rFonts w:eastAsia="Times New Roman"/>
                <w:color w:val="000000"/>
                <w:sz w:val="20"/>
                <w:szCs w:val="20"/>
              </w:rPr>
              <w:t>Common equity</w:t>
            </w:r>
          </w:p>
        </w:tc>
        <w:tc>
          <w:tcPr>
            <w:tcW w:w="0" w:type="auto"/>
            <w:gridSpan w:val="3"/>
            <w:shd w:val="clear" w:color="auto" w:fill="FFFFFF"/>
            <w:tcMar>
              <w:top w:w="0" w:type="dxa"/>
              <w:left w:w="20" w:type="dxa"/>
              <w:bottom w:w="0" w:type="dxa"/>
              <w:right w:w="20" w:type="dxa"/>
            </w:tcMar>
            <w:vAlign w:val="center"/>
            <w:hideMark/>
          </w:tcPr>
          <w:p w14:paraId="3C01FCF1"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351856A" w14:textId="77777777" w:rsidR="00000000" w:rsidRDefault="00A173A8">
            <w:pPr>
              <w:spacing w:after="100"/>
              <w:jc w:val="right"/>
              <w:rPr>
                <w:rFonts w:eastAsia="Times New Roman"/>
              </w:rPr>
            </w:pPr>
            <w:r>
              <w:rPr>
                <w:rFonts w:eastAsia="Times New Roman"/>
                <w:b/>
                <w:bCs/>
                <w:color w:val="000000"/>
                <w:sz w:val="20"/>
                <w:szCs w:val="20"/>
              </w:rPr>
              <w:t>49,319</w:t>
            </w:r>
          </w:p>
        </w:tc>
        <w:tc>
          <w:tcPr>
            <w:tcW w:w="0" w:type="auto"/>
            <w:gridSpan w:val="3"/>
            <w:shd w:val="clear" w:color="auto" w:fill="FFFFFF"/>
            <w:tcMar>
              <w:top w:w="0" w:type="dxa"/>
              <w:left w:w="20" w:type="dxa"/>
              <w:bottom w:w="0" w:type="dxa"/>
              <w:right w:w="20" w:type="dxa"/>
            </w:tcMar>
            <w:vAlign w:val="center"/>
            <w:hideMark/>
          </w:tcPr>
          <w:p w14:paraId="59780182"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BDEB56F" w14:textId="77777777" w:rsidR="00000000" w:rsidRDefault="00A173A8">
            <w:pPr>
              <w:spacing w:after="100"/>
              <w:jc w:val="right"/>
              <w:rPr>
                <w:rFonts w:eastAsia="Times New Roman"/>
              </w:rPr>
            </w:pPr>
            <w:r>
              <w:rPr>
                <w:rFonts w:eastAsia="Times New Roman"/>
                <w:color w:val="000000"/>
                <w:sz w:val="20"/>
                <w:szCs w:val="20"/>
              </w:rPr>
              <w:t>56,885</w:t>
            </w:r>
          </w:p>
        </w:tc>
        <w:tc>
          <w:tcPr>
            <w:tcW w:w="0" w:type="auto"/>
            <w:gridSpan w:val="3"/>
            <w:shd w:val="clear" w:color="auto" w:fill="FFFFFF"/>
            <w:tcMar>
              <w:top w:w="0" w:type="dxa"/>
              <w:left w:w="20" w:type="dxa"/>
              <w:bottom w:w="0" w:type="dxa"/>
              <w:right w:w="20" w:type="dxa"/>
            </w:tcMar>
            <w:vAlign w:val="center"/>
            <w:hideMark/>
          </w:tcPr>
          <w:p w14:paraId="59E36207"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348661" w14:textId="77777777" w:rsidR="00000000" w:rsidRDefault="00A173A8">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14:paraId="1113F6E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4CB13"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5B1F74BD" w14:textId="77777777" w:rsidR="00000000" w:rsidRDefault="00A173A8">
            <w:pPr>
              <w:spacing w:after="100"/>
              <w:jc w:val="right"/>
              <w:rPr>
                <w:rFonts w:eastAsia="Times New Roman"/>
              </w:rPr>
            </w:pPr>
            <w:r>
              <w:rPr>
                <w:rFonts w:eastAsia="Times New Roman"/>
                <w:b/>
                <w:bCs/>
                <w:color w:val="000000"/>
                <w:sz w:val="20"/>
                <w:szCs w:val="20"/>
              </w:rPr>
              <w:t>51,940</w:t>
            </w:r>
          </w:p>
        </w:tc>
        <w:tc>
          <w:tcPr>
            <w:tcW w:w="0" w:type="auto"/>
            <w:gridSpan w:val="3"/>
            <w:shd w:val="clear" w:color="auto" w:fill="FFFFFF"/>
            <w:tcMar>
              <w:top w:w="0" w:type="dxa"/>
              <w:left w:w="20" w:type="dxa"/>
              <w:bottom w:w="0" w:type="dxa"/>
              <w:right w:w="20" w:type="dxa"/>
            </w:tcMar>
            <w:vAlign w:val="center"/>
            <w:hideMark/>
          </w:tcPr>
          <w:p w14:paraId="60CE5285"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640ACAE" w14:textId="77777777" w:rsidR="00000000" w:rsidRDefault="00A173A8">
            <w:pPr>
              <w:spacing w:after="100"/>
              <w:jc w:val="right"/>
              <w:rPr>
                <w:rFonts w:eastAsia="Times New Roman"/>
              </w:rPr>
            </w:pPr>
            <w:r>
              <w:rPr>
                <w:rFonts w:eastAsia="Times New Roman"/>
                <w:color w:val="000000"/>
                <w:sz w:val="20"/>
                <w:szCs w:val="20"/>
              </w:rPr>
              <w:t>56,333</w:t>
            </w:r>
          </w:p>
        </w:tc>
        <w:tc>
          <w:tcPr>
            <w:tcW w:w="0" w:type="auto"/>
            <w:vAlign w:val="center"/>
            <w:hideMark/>
          </w:tcPr>
          <w:p w14:paraId="5A2D6C6C" w14:textId="77777777" w:rsidR="00000000" w:rsidRDefault="00A173A8">
            <w:pPr>
              <w:spacing w:after="100"/>
              <w:jc w:val="right"/>
              <w:rPr>
                <w:rFonts w:eastAsia="Times New Roman"/>
              </w:rPr>
            </w:pPr>
          </w:p>
        </w:tc>
        <w:tc>
          <w:tcPr>
            <w:tcW w:w="0" w:type="auto"/>
            <w:vAlign w:val="center"/>
            <w:hideMark/>
          </w:tcPr>
          <w:p w14:paraId="1BA5439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1E3E2A" w14:textId="77777777" w:rsidR="00000000" w:rsidRDefault="00A173A8">
            <w:pPr>
              <w:spacing w:after="100"/>
              <w:rPr>
                <w:rFonts w:eastAsia="Times New Roman"/>
                <w:sz w:val="20"/>
                <w:szCs w:val="20"/>
              </w:rPr>
            </w:pPr>
          </w:p>
        </w:tc>
        <w:tc>
          <w:tcPr>
            <w:tcW w:w="0" w:type="auto"/>
            <w:vAlign w:val="center"/>
            <w:hideMark/>
          </w:tcPr>
          <w:p w14:paraId="594389FA" w14:textId="77777777" w:rsidR="00000000" w:rsidRDefault="00A173A8">
            <w:pPr>
              <w:spacing w:after="100"/>
              <w:rPr>
                <w:rFonts w:eastAsia="Times New Roman"/>
                <w:sz w:val="20"/>
                <w:szCs w:val="20"/>
              </w:rPr>
            </w:pPr>
          </w:p>
        </w:tc>
        <w:tc>
          <w:tcPr>
            <w:tcW w:w="0" w:type="auto"/>
            <w:gridSpan w:val="3"/>
            <w:vAlign w:val="center"/>
            <w:hideMark/>
          </w:tcPr>
          <w:p w14:paraId="0F1128EB" w14:textId="77777777" w:rsidR="00000000" w:rsidRDefault="00A173A8">
            <w:pPr>
              <w:spacing w:after="100"/>
              <w:rPr>
                <w:rFonts w:eastAsia="Times New Roman"/>
                <w:sz w:val="20"/>
                <w:szCs w:val="20"/>
              </w:rPr>
            </w:pPr>
          </w:p>
        </w:tc>
        <w:tc>
          <w:tcPr>
            <w:tcW w:w="0" w:type="auto"/>
            <w:gridSpan w:val="3"/>
            <w:vAlign w:val="center"/>
            <w:hideMark/>
          </w:tcPr>
          <w:p w14:paraId="205B84D5" w14:textId="77777777" w:rsidR="00000000" w:rsidRDefault="00A173A8">
            <w:pPr>
              <w:spacing w:after="100"/>
              <w:rPr>
                <w:rFonts w:eastAsia="Times New Roman"/>
                <w:sz w:val="20"/>
                <w:szCs w:val="20"/>
              </w:rPr>
            </w:pPr>
          </w:p>
        </w:tc>
        <w:tc>
          <w:tcPr>
            <w:tcW w:w="0" w:type="auto"/>
            <w:gridSpan w:val="3"/>
            <w:vAlign w:val="center"/>
            <w:hideMark/>
          </w:tcPr>
          <w:p w14:paraId="7203A177"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563404" w14:textId="77777777" w:rsidR="00000000" w:rsidRDefault="00A173A8">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56163294" w14:textId="77777777" w:rsidR="00000000" w:rsidRDefault="00A173A8">
            <w:pPr>
              <w:spacing w:after="100"/>
              <w:jc w:val="right"/>
              <w:rPr>
                <w:rFonts w:eastAsia="Times New Roman"/>
              </w:rPr>
            </w:pPr>
          </w:p>
        </w:tc>
        <w:tc>
          <w:tcPr>
            <w:tcW w:w="0" w:type="auto"/>
            <w:gridSpan w:val="3"/>
            <w:vAlign w:val="center"/>
            <w:hideMark/>
          </w:tcPr>
          <w:p w14:paraId="2C9F294A" w14:textId="77777777" w:rsidR="00000000" w:rsidRDefault="00A173A8">
            <w:pPr>
              <w:spacing w:after="100"/>
              <w:jc w:val="right"/>
              <w:rPr>
                <w:rFonts w:eastAsia="Times New Roman"/>
                <w:sz w:val="20"/>
                <w:szCs w:val="20"/>
              </w:rPr>
            </w:pPr>
          </w:p>
        </w:tc>
        <w:tc>
          <w:tcPr>
            <w:tcW w:w="0" w:type="auto"/>
            <w:gridSpan w:val="2"/>
            <w:vAlign w:val="center"/>
            <w:hideMark/>
          </w:tcPr>
          <w:p w14:paraId="70FFC755" w14:textId="77777777" w:rsidR="00000000" w:rsidRDefault="00A173A8">
            <w:pPr>
              <w:spacing w:after="100"/>
              <w:rPr>
                <w:rFonts w:eastAsia="Times New Roman"/>
                <w:sz w:val="20"/>
                <w:szCs w:val="20"/>
              </w:rPr>
            </w:pPr>
          </w:p>
        </w:tc>
      </w:tr>
      <w:tr w:rsidR="00000000" w14:paraId="27DA60CD" w14:textId="77777777">
        <w:trPr>
          <w:divId w:val="1533881267"/>
        </w:trPr>
        <w:tc>
          <w:tcPr>
            <w:tcW w:w="0" w:type="auto"/>
            <w:gridSpan w:val="3"/>
            <w:shd w:val="clear" w:color="auto" w:fill="CCEEFF"/>
            <w:tcMar>
              <w:top w:w="30" w:type="dxa"/>
              <w:left w:w="20" w:type="dxa"/>
              <w:bottom w:w="30" w:type="dxa"/>
              <w:right w:w="20" w:type="dxa"/>
            </w:tcMar>
            <w:vAlign w:val="center"/>
            <w:hideMark/>
          </w:tcPr>
          <w:p w14:paraId="4CB48545" w14:textId="77777777" w:rsidR="00000000" w:rsidRDefault="00A173A8">
            <w:pPr>
              <w:spacing w:after="100"/>
              <w:rPr>
                <w:rFonts w:eastAsia="Times New Roman"/>
              </w:rPr>
            </w:pPr>
            <w:r>
              <w:rPr>
                <w:rFonts w:eastAsia="Times New Roman"/>
                <w:color w:val="000000"/>
                <w:sz w:val="20"/>
                <w:szCs w:val="20"/>
              </w:rPr>
              <w:t>Total stockholders’ equity</w:t>
            </w:r>
          </w:p>
        </w:tc>
        <w:tc>
          <w:tcPr>
            <w:tcW w:w="0" w:type="auto"/>
            <w:gridSpan w:val="3"/>
            <w:shd w:val="clear" w:color="auto" w:fill="CCEEFF"/>
            <w:tcMar>
              <w:top w:w="0" w:type="dxa"/>
              <w:left w:w="20" w:type="dxa"/>
              <w:bottom w:w="0" w:type="dxa"/>
              <w:right w:w="20" w:type="dxa"/>
            </w:tcMar>
            <w:vAlign w:val="center"/>
            <w:hideMark/>
          </w:tcPr>
          <w:p w14:paraId="44698906"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FBA86AB" w14:textId="77777777" w:rsidR="00000000" w:rsidRDefault="00A173A8">
            <w:pPr>
              <w:spacing w:after="100"/>
              <w:jc w:val="right"/>
              <w:rPr>
                <w:rFonts w:eastAsia="Times New Roman"/>
              </w:rPr>
            </w:pPr>
            <w:r>
              <w:rPr>
                <w:rFonts w:eastAsia="Times New Roman"/>
                <w:b/>
                <w:bCs/>
                <w:color w:val="000000"/>
                <w:sz w:val="20"/>
                <w:szCs w:val="20"/>
              </w:rPr>
              <w:t>54,165</w:t>
            </w:r>
          </w:p>
        </w:tc>
        <w:tc>
          <w:tcPr>
            <w:tcW w:w="0" w:type="auto"/>
            <w:gridSpan w:val="3"/>
            <w:shd w:val="clear" w:color="auto" w:fill="CCEEFF"/>
            <w:tcMar>
              <w:top w:w="0" w:type="dxa"/>
              <w:left w:w="20" w:type="dxa"/>
              <w:bottom w:w="0" w:type="dxa"/>
              <w:right w:w="20" w:type="dxa"/>
            </w:tcMar>
            <w:vAlign w:val="center"/>
            <w:hideMark/>
          </w:tcPr>
          <w:p w14:paraId="51CD1FA4"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543C865" w14:textId="77777777" w:rsidR="00000000" w:rsidRDefault="00A173A8">
            <w:pPr>
              <w:spacing w:after="100"/>
              <w:jc w:val="right"/>
              <w:rPr>
                <w:rFonts w:eastAsia="Times New Roman"/>
              </w:rPr>
            </w:pPr>
            <w:r>
              <w:rPr>
                <w:rFonts w:eastAsia="Times New Roman"/>
                <w:color w:val="000000"/>
                <w:sz w:val="20"/>
                <w:szCs w:val="20"/>
              </w:rPr>
              <w:t>62,376</w:t>
            </w:r>
          </w:p>
        </w:tc>
        <w:tc>
          <w:tcPr>
            <w:tcW w:w="0" w:type="auto"/>
            <w:gridSpan w:val="3"/>
            <w:shd w:val="clear" w:color="auto" w:fill="CCEEFF"/>
            <w:tcMar>
              <w:top w:w="0" w:type="dxa"/>
              <w:left w:w="20" w:type="dxa"/>
              <w:bottom w:w="0" w:type="dxa"/>
              <w:right w:w="20" w:type="dxa"/>
            </w:tcMar>
            <w:vAlign w:val="center"/>
            <w:hideMark/>
          </w:tcPr>
          <w:p w14:paraId="546BA128"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126CE6" w14:textId="77777777" w:rsidR="00000000" w:rsidRDefault="00A173A8">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14:paraId="1DE8869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F9921"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46227E20" w14:textId="77777777" w:rsidR="00000000" w:rsidRDefault="00A173A8">
            <w:pPr>
              <w:spacing w:after="100"/>
              <w:jc w:val="right"/>
              <w:rPr>
                <w:rFonts w:eastAsia="Times New Roman"/>
              </w:rPr>
            </w:pPr>
            <w:r>
              <w:rPr>
                <w:rFonts w:eastAsia="Times New Roman"/>
                <w:b/>
                <w:bCs/>
                <w:color w:val="000000"/>
                <w:sz w:val="20"/>
                <w:szCs w:val="20"/>
              </w:rPr>
              <w:t>56,786</w:t>
            </w:r>
          </w:p>
        </w:tc>
        <w:tc>
          <w:tcPr>
            <w:tcW w:w="0" w:type="auto"/>
            <w:gridSpan w:val="3"/>
            <w:shd w:val="clear" w:color="auto" w:fill="CCEEFF"/>
            <w:tcMar>
              <w:top w:w="0" w:type="dxa"/>
              <w:left w:w="20" w:type="dxa"/>
              <w:bottom w:w="0" w:type="dxa"/>
              <w:right w:w="20" w:type="dxa"/>
            </w:tcMar>
            <w:vAlign w:val="center"/>
            <w:hideMark/>
          </w:tcPr>
          <w:p w14:paraId="344D6446"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80C9252" w14:textId="77777777" w:rsidR="00000000" w:rsidRDefault="00A173A8">
            <w:pPr>
              <w:spacing w:after="100"/>
              <w:jc w:val="right"/>
              <w:rPr>
                <w:rFonts w:eastAsia="Times New Roman"/>
              </w:rPr>
            </w:pPr>
            <w:r>
              <w:rPr>
                <w:rFonts w:eastAsia="Times New Roman"/>
                <w:color w:val="000000"/>
                <w:sz w:val="20"/>
                <w:szCs w:val="20"/>
              </w:rPr>
              <w:t>61,504</w:t>
            </w:r>
          </w:p>
        </w:tc>
        <w:tc>
          <w:tcPr>
            <w:tcW w:w="0" w:type="auto"/>
            <w:vAlign w:val="center"/>
            <w:hideMark/>
          </w:tcPr>
          <w:p w14:paraId="355612CE" w14:textId="77777777" w:rsidR="00000000" w:rsidRDefault="00A173A8">
            <w:pPr>
              <w:spacing w:after="100"/>
              <w:jc w:val="right"/>
              <w:rPr>
                <w:rFonts w:eastAsia="Times New Roman"/>
              </w:rPr>
            </w:pPr>
          </w:p>
        </w:tc>
        <w:tc>
          <w:tcPr>
            <w:tcW w:w="0" w:type="auto"/>
            <w:vAlign w:val="center"/>
            <w:hideMark/>
          </w:tcPr>
          <w:p w14:paraId="421C397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5286D" w14:textId="77777777" w:rsidR="00000000" w:rsidRDefault="00A173A8">
            <w:pPr>
              <w:spacing w:after="100"/>
              <w:rPr>
                <w:rFonts w:eastAsia="Times New Roman"/>
                <w:sz w:val="20"/>
                <w:szCs w:val="20"/>
              </w:rPr>
            </w:pPr>
          </w:p>
        </w:tc>
        <w:tc>
          <w:tcPr>
            <w:tcW w:w="0" w:type="auto"/>
            <w:vAlign w:val="center"/>
            <w:hideMark/>
          </w:tcPr>
          <w:p w14:paraId="3F7CBF28" w14:textId="77777777" w:rsidR="00000000" w:rsidRDefault="00A173A8">
            <w:pPr>
              <w:spacing w:after="100"/>
              <w:rPr>
                <w:rFonts w:eastAsia="Times New Roman"/>
                <w:sz w:val="20"/>
                <w:szCs w:val="20"/>
              </w:rPr>
            </w:pPr>
          </w:p>
        </w:tc>
        <w:tc>
          <w:tcPr>
            <w:tcW w:w="0" w:type="auto"/>
            <w:gridSpan w:val="3"/>
            <w:vAlign w:val="center"/>
            <w:hideMark/>
          </w:tcPr>
          <w:p w14:paraId="2FBE280A" w14:textId="77777777" w:rsidR="00000000" w:rsidRDefault="00A173A8">
            <w:pPr>
              <w:spacing w:after="100"/>
              <w:rPr>
                <w:rFonts w:eastAsia="Times New Roman"/>
                <w:sz w:val="20"/>
                <w:szCs w:val="20"/>
              </w:rPr>
            </w:pPr>
          </w:p>
        </w:tc>
        <w:tc>
          <w:tcPr>
            <w:tcW w:w="0" w:type="auto"/>
            <w:gridSpan w:val="3"/>
            <w:vAlign w:val="center"/>
            <w:hideMark/>
          </w:tcPr>
          <w:p w14:paraId="2D12DE8D" w14:textId="77777777" w:rsidR="00000000" w:rsidRDefault="00A173A8">
            <w:pPr>
              <w:spacing w:after="100"/>
              <w:rPr>
                <w:rFonts w:eastAsia="Times New Roman"/>
                <w:sz w:val="20"/>
                <w:szCs w:val="20"/>
              </w:rPr>
            </w:pPr>
          </w:p>
        </w:tc>
        <w:tc>
          <w:tcPr>
            <w:tcW w:w="0" w:type="auto"/>
            <w:gridSpan w:val="3"/>
            <w:vAlign w:val="center"/>
            <w:hideMark/>
          </w:tcPr>
          <w:p w14:paraId="47F095AC"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AAC824" w14:textId="77777777" w:rsidR="00000000" w:rsidRDefault="00A173A8">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79CCF30D" w14:textId="77777777" w:rsidR="00000000" w:rsidRDefault="00A173A8">
            <w:pPr>
              <w:spacing w:after="100"/>
              <w:jc w:val="right"/>
              <w:rPr>
                <w:rFonts w:eastAsia="Times New Roman"/>
              </w:rPr>
            </w:pPr>
          </w:p>
        </w:tc>
        <w:tc>
          <w:tcPr>
            <w:tcW w:w="0" w:type="auto"/>
            <w:gridSpan w:val="3"/>
            <w:vAlign w:val="center"/>
            <w:hideMark/>
          </w:tcPr>
          <w:p w14:paraId="4695422B" w14:textId="77777777" w:rsidR="00000000" w:rsidRDefault="00A173A8">
            <w:pPr>
              <w:spacing w:after="100"/>
              <w:jc w:val="right"/>
              <w:rPr>
                <w:rFonts w:eastAsia="Times New Roman"/>
                <w:sz w:val="20"/>
                <w:szCs w:val="20"/>
              </w:rPr>
            </w:pPr>
          </w:p>
        </w:tc>
        <w:tc>
          <w:tcPr>
            <w:tcW w:w="0" w:type="auto"/>
            <w:gridSpan w:val="2"/>
            <w:vAlign w:val="center"/>
            <w:hideMark/>
          </w:tcPr>
          <w:p w14:paraId="67183C9E" w14:textId="77777777" w:rsidR="00000000" w:rsidRDefault="00A173A8">
            <w:pPr>
              <w:spacing w:after="100"/>
              <w:rPr>
                <w:rFonts w:eastAsia="Times New Roman"/>
                <w:sz w:val="20"/>
                <w:szCs w:val="20"/>
              </w:rPr>
            </w:pPr>
          </w:p>
        </w:tc>
      </w:tr>
      <w:tr w:rsidR="00000000" w14:paraId="25381728" w14:textId="77777777">
        <w:trPr>
          <w:divId w:val="1533881267"/>
        </w:trPr>
        <w:tc>
          <w:tcPr>
            <w:tcW w:w="0" w:type="auto"/>
            <w:gridSpan w:val="3"/>
            <w:shd w:val="clear" w:color="auto" w:fill="FFFFFF"/>
            <w:tcMar>
              <w:top w:w="30" w:type="dxa"/>
              <w:left w:w="20" w:type="dxa"/>
              <w:bottom w:w="30" w:type="dxa"/>
              <w:right w:w="20" w:type="dxa"/>
            </w:tcMar>
            <w:vAlign w:val="center"/>
            <w:hideMark/>
          </w:tcPr>
          <w:p w14:paraId="7FC0656C" w14:textId="77777777" w:rsidR="00000000" w:rsidRDefault="00A173A8">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14:paraId="12FFCEFB"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B438A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EDD40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EBF27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C1F56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EF79E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239F4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A342C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44FAF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5DDF68" w14:textId="77777777" w:rsidR="00000000" w:rsidRDefault="00A173A8">
            <w:pPr>
              <w:spacing w:after="100"/>
              <w:rPr>
                <w:rFonts w:eastAsia="Times New Roman"/>
                <w:sz w:val="20"/>
                <w:szCs w:val="20"/>
              </w:rPr>
            </w:pPr>
          </w:p>
        </w:tc>
        <w:tc>
          <w:tcPr>
            <w:tcW w:w="0" w:type="auto"/>
            <w:vAlign w:val="center"/>
            <w:hideMark/>
          </w:tcPr>
          <w:p w14:paraId="0750594C" w14:textId="77777777" w:rsidR="00000000" w:rsidRDefault="00A173A8">
            <w:pPr>
              <w:spacing w:after="100"/>
              <w:rPr>
                <w:rFonts w:eastAsia="Times New Roman"/>
                <w:sz w:val="20"/>
                <w:szCs w:val="20"/>
              </w:rPr>
            </w:pPr>
          </w:p>
        </w:tc>
        <w:tc>
          <w:tcPr>
            <w:tcW w:w="0" w:type="auto"/>
            <w:vAlign w:val="center"/>
            <w:hideMark/>
          </w:tcPr>
          <w:p w14:paraId="307E7B2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471FAA" w14:textId="77777777" w:rsidR="00000000" w:rsidRDefault="00A173A8">
            <w:pPr>
              <w:spacing w:after="100"/>
              <w:rPr>
                <w:rFonts w:eastAsia="Times New Roman"/>
                <w:sz w:val="20"/>
                <w:szCs w:val="20"/>
              </w:rPr>
            </w:pPr>
          </w:p>
        </w:tc>
        <w:tc>
          <w:tcPr>
            <w:tcW w:w="0" w:type="auto"/>
            <w:vAlign w:val="center"/>
            <w:hideMark/>
          </w:tcPr>
          <w:p w14:paraId="6696CC2B" w14:textId="77777777" w:rsidR="00000000" w:rsidRDefault="00A173A8">
            <w:pPr>
              <w:spacing w:after="100"/>
              <w:rPr>
                <w:rFonts w:eastAsia="Times New Roman"/>
                <w:sz w:val="20"/>
                <w:szCs w:val="20"/>
              </w:rPr>
            </w:pPr>
          </w:p>
        </w:tc>
        <w:tc>
          <w:tcPr>
            <w:tcW w:w="0" w:type="auto"/>
            <w:gridSpan w:val="3"/>
            <w:vAlign w:val="center"/>
            <w:hideMark/>
          </w:tcPr>
          <w:p w14:paraId="422380F0" w14:textId="77777777" w:rsidR="00000000" w:rsidRDefault="00A173A8">
            <w:pPr>
              <w:spacing w:after="100"/>
              <w:rPr>
                <w:rFonts w:eastAsia="Times New Roman"/>
                <w:sz w:val="20"/>
                <w:szCs w:val="20"/>
              </w:rPr>
            </w:pPr>
          </w:p>
        </w:tc>
        <w:tc>
          <w:tcPr>
            <w:tcW w:w="0" w:type="auto"/>
            <w:gridSpan w:val="3"/>
            <w:vAlign w:val="center"/>
            <w:hideMark/>
          </w:tcPr>
          <w:p w14:paraId="67163F91" w14:textId="77777777" w:rsidR="00000000" w:rsidRDefault="00A173A8">
            <w:pPr>
              <w:spacing w:after="100"/>
              <w:rPr>
                <w:rFonts w:eastAsia="Times New Roman"/>
                <w:sz w:val="20"/>
                <w:szCs w:val="20"/>
              </w:rPr>
            </w:pPr>
          </w:p>
        </w:tc>
        <w:tc>
          <w:tcPr>
            <w:tcW w:w="0" w:type="auto"/>
            <w:gridSpan w:val="3"/>
            <w:vAlign w:val="center"/>
            <w:hideMark/>
          </w:tcPr>
          <w:p w14:paraId="5B918959"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94EF5D8" w14:textId="77777777" w:rsidR="00000000" w:rsidRDefault="00A173A8">
            <w:pPr>
              <w:spacing w:after="100"/>
              <w:jc w:val="right"/>
              <w:rPr>
                <w:rFonts w:eastAsia="Times New Roman"/>
              </w:rPr>
            </w:pPr>
            <w:r>
              <w:rPr>
                <w:rFonts w:eastAsia="Times New Roman"/>
                <w:color w:val="000000"/>
                <w:sz w:val="20"/>
                <w:szCs w:val="20"/>
              </w:rPr>
              <w:t> </w:t>
            </w:r>
          </w:p>
        </w:tc>
        <w:tc>
          <w:tcPr>
            <w:tcW w:w="0" w:type="auto"/>
            <w:gridSpan w:val="3"/>
            <w:vAlign w:val="center"/>
            <w:hideMark/>
          </w:tcPr>
          <w:p w14:paraId="653A497E" w14:textId="77777777" w:rsidR="00000000" w:rsidRDefault="00A173A8">
            <w:pPr>
              <w:spacing w:after="100"/>
              <w:jc w:val="right"/>
              <w:rPr>
                <w:rFonts w:eastAsia="Times New Roman"/>
              </w:rPr>
            </w:pPr>
          </w:p>
        </w:tc>
        <w:tc>
          <w:tcPr>
            <w:tcW w:w="0" w:type="auto"/>
            <w:gridSpan w:val="2"/>
            <w:vAlign w:val="center"/>
            <w:hideMark/>
          </w:tcPr>
          <w:p w14:paraId="08224184" w14:textId="77777777" w:rsidR="00000000" w:rsidRDefault="00A173A8">
            <w:pPr>
              <w:spacing w:after="100"/>
              <w:rPr>
                <w:rFonts w:eastAsia="Times New Roman"/>
                <w:sz w:val="20"/>
                <w:szCs w:val="20"/>
              </w:rPr>
            </w:pPr>
          </w:p>
        </w:tc>
      </w:tr>
      <w:tr w:rsidR="00000000" w14:paraId="2FC98C12" w14:textId="77777777">
        <w:trPr>
          <w:divId w:val="1533881267"/>
        </w:trPr>
        <w:tc>
          <w:tcPr>
            <w:tcW w:w="0" w:type="auto"/>
            <w:gridSpan w:val="3"/>
            <w:shd w:val="clear" w:color="auto" w:fill="CCEEFF"/>
            <w:tcMar>
              <w:top w:w="30" w:type="dxa"/>
              <w:left w:w="20" w:type="dxa"/>
              <w:bottom w:w="30" w:type="dxa"/>
              <w:right w:w="20" w:type="dxa"/>
            </w:tcMar>
            <w:vAlign w:val="center"/>
            <w:hideMark/>
          </w:tcPr>
          <w:p w14:paraId="73DD27D4" w14:textId="77777777" w:rsidR="00000000" w:rsidRDefault="00A173A8">
            <w:pPr>
              <w:spacing w:after="100"/>
              <w:rPr>
                <w:rFonts w:eastAsia="Times New Roman"/>
              </w:rPr>
            </w:pPr>
            <w:r>
              <w:rPr>
                <w:rFonts w:eastAsia="Times New Roman"/>
                <w:color w:val="000000"/>
                <w:sz w:val="20"/>
                <w:szCs w:val="20"/>
              </w:rPr>
              <w:t>Purchase volume</w:t>
            </w:r>
          </w:p>
        </w:tc>
        <w:tc>
          <w:tcPr>
            <w:tcW w:w="0" w:type="auto"/>
            <w:gridSpan w:val="3"/>
            <w:shd w:val="clear" w:color="auto" w:fill="CCEEFF"/>
            <w:tcMar>
              <w:top w:w="0" w:type="dxa"/>
              <w:left w:w="20" w:type="dxa"/>
              <w:bottom w:w="0" w:type="dxa"/>
              <w:right w:w="20" w:type="dxa"/>
            </w:tcMar>
            <w:vAlign w:val="center"/>
            <w:hideMark/>
          </w:tcPr>
          <w:p w14:paraId="064DE91B"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5F4524C"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906353B" w14:textId="77777777" w:rsidR="00000000" w:rsidRDefault="00A173A8">
            <w:pPr>
              <w:spacing w:after="100"/>
              <w:jc w:val="right"/>
              <w:rPr>
                <w:rFonts w:eastAsia="Times New Roman"/>
              </w:rPr>
            </w:pPr>
            <w:r>
              <w:rPr>
                <w:rFonts w:eastAsia="Times New Roman"/>
                <w:b/>
                <w:bCs/>
                <w:color w:val="000000"/>
                <w:sz w:val="20"/>
                <w:szCs w:val="20"/>
              </w:rPr>
              <w:t>148,491</w:t>
            </w:r>
          </w:p>
        </w:tc>
        <w:tc>
          <w:tcPr>
            <w:tcW w:w="0" w:type="auto"/>
            <w:gridSpan w:val="3"/>
            <w:shd w:val="clear" w:color="auto" w:fill="CCEEFF"/>
            <w:tcMar>
              <w:top w:w="0" w:type="dxa"/>
              <w:left w:w="20" w:type="dxa"/>
              <w:bottom w:w="0" w:type="dxa"/>
              <w:right w:w="20" w:type="dxa"/>
            </w:tcMar>
            <w:vAlign w:val="center"/>
            <w:hideMark/>
          </w:tcPr>
          <w:p w14:paraId="3E34E995"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EF1C81B"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C967884" w14:textId="77777777" w:rsidR="00000000" w:rsidRDefault="00A173A8">
            <w:pPr>
              <w:spacing w:after="100"/>
              <w:jc w:val="right"/>
              <w:rPr>
                <w:rFonts w:eastAsia="Times New Roman"/>
              </w:rPr>
            </w:pPr>
            <w:r>
              <w:rPr>
                <w:rFonts w:eastAsia="Times New Roman"/>
                <w:color w:val="000000"/>
                <w:sz w:val="20"/>
                <w:szCs w:val="20"/>
              </w:rPr>
              <w:t>132,676</w:t>
            </w:r>
          </w:p>
        </w:tc>
        <w:tc>
          <w:tcPr>
            <w:tcW w:w="0" w:type="auto"/>
            <w:gridSpan w:val="3"/>
            <w:shd w:val="clear" w:color="auto" w:fill="CCEEFF"/>
            <w:tcMar>
              <w:top w:w="0" w:type="dxa"/>
              <w:left w:w="20" w:type="dxa"/>
              <w:bottom w:w="0" w:type="dxa"/>
              <w:right w:w="20" w:type="dxa"/>
            </w:tcMar>
            <w:vAlign w:val="center"/>
            <w:hideMark/>
          </w:tcPr>
          <w:p w14:paraId="639A4F72"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E6AD0B" w14:textId="77777777" w:rsidR="00000000" w:rsidRDefault="00A173A8">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14:paraId="798956A9"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CE7F2B"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0F14C25"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402F1C5" w14:textId="77777777" w:rsidR="00000000" w:rsidRDefault="00A173A8">
            <w:pPr>
              <w:spacing w:after="100"/>
              <w:jc w:val="right"/>
              <w:rPr>
                <w:rFonts w:eastAsia="Times New Roman"/>
              </w:rPr>
            </w:pPr>
            <w:r>
              <w:rPr>
                <w:rFonts w:eastAsia="Times New Roman"/>
                <w:b/>
                <w:bCs/>
                <w:color w:val="000000"/>
                <w:sz w:val="20"/>
                <w:szCs w:val="20"/>
              </w:rPr>
              <w:t>282,153</w:t>
            </w:r>
          </w:p>
        </w:tc>
        <w:tc>
          <w:tcPr>
            <w:tcW w:w="0" w:type="auto"/>
            <w:gridSpan w:val="3"/>
            <w:shd w:val="clear" w:color="auto" w:fill="CCEEFF"/>
            <w:tcMar>
              <w:top w:w="0" w:type="dxa"/>
              <w:left w:w="20" w:type="dxa"/>
              <w:bottom w:w="0" w:type="dxa"/>
              <w:right w:w="20" w:type="dxa"/>
            </w:tcMar>
            <w:vAlign w:val="center"/>
            <w:hideMark/>
          </w:tcPr>
          <w:p w14:paraId="6001F399"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5EB170A"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6DFA808" w14:textId="77777777" w:rsidR="00000000" w:rsidRDefault="00A173A8">
            <w:pPr>
              <w:spacing w:after="100"/>
              <w:jc w:val="right"/>
              <w:rPr>
                <w:rFonts w:eastAsia="Times New Roman"/>
              </w:rPr>
            </w:pPr>
            <w:r>
              <w:rPr>
                <w:rFonts w:eastAsia="Times New Roman"/>
                <w:color w:val="000000"/>
                <w:sz w:val="20"/>
                <w:szCs w:val="20"/>
              </w:rPr>
              <w:t>241,009</w:t>
            </w:r>
          </w:p>
        </w:tc>
        <w:tc>
          <w:tcPr>
            <w:tcW w:w="0" w:type="auto"/>
            <w:vAlign w:val="center"/>
            <w:hideMark/>
          </w:tcPr>
          <w:p w14:paraId="2D3E2D19" w14:textId="77777777" w:rsidR="00000000" w:rsidRDefault="00A173A8">
            <w:pPr>
              <w:spacing w:after="100"/>
              <w:jc w:val="right"/>
              <w:rPr>
                <w:rFonts w:eastAsia="Times New Roman"/>
              </w:rPr>
            </w:pPr>
          </w:p>
        </w:tc>
        <w:tc>
          <w:tcPr>
            <w:tcW w:w="0" w:type="auto"/>
            <w:vAlign w:val="center"/>
            <w:hideMark/>
          </w:tcPr>
          <w:p w14:paraId="4554EB0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C9484D" w14:textId="77777777" w:rsidR="00000000" w:rsidRDefault="00A173A8">
            <w:pPr>
              <w:spacing w:after="100"/>
              <w:rPr>
                <w:rFonts w:eastAsia="Times New Roman"/>
                <w:sz w:val="20"/>
                <w:szCs w:val="20"/>
              </w:rPr>
            </w:pPr>
          </w:p>
        </w:tc>
        <w:tc>
          <w:tcPr>
            <w:tcW w:w="0" w:type="auto"/>
            <w:vAlign w:val="center"/>
            <w:hideMark/>
          </w:tcPr>
          <w:p w14:paraId="75E7AD3A" w14:textId="77777777" w:rsidR="00000000" w:rsidRDefault="00A173A8">
            <w:pPr>
              <w:spacing w:after="100"/>
              <w:rPr>
                <w:rFonts w:eastAsia="Times New Roman"/>
                <w:sz w:val="20"/>
                <w:szCs w:val="20"/>
              </w:rPr>
            </w:pPr>
          </w:p>
        </w:tc>
        <w:tc>
          <w:tcPr>
            <w:tcW w:w="0" w:type="auto"/>
            <w:gridSpan w:val="3"/>
            <w:vAlign w:val="center"/>
            <w:hideMark/>
          </w:tcPr>
          <w:p w14:paraId="53ED828E" w14:textId="77777777" w:rsidR="00000000" w:rsidRDefault="00A173A8">
            <w:pPr>
              <w:spacing w:after="100"/>
              <w:rPr>
                <w:rFonts w:eastAsia="Times New Roman"/>
                <w:sz w:val="20"/>
                <w:szCs w:val="20"/>
              </w:rPr>
            </w:pPr>
          </w:p>
        </w:tc>
        <w:tc>
          <w:tcPr>
            <w:tcW w:w="0" w:type="auto"/>
            <w:gridSpan w:val="3"/>
            <w:vAlign w:val="center"/>
            <w:hideMark/>
          </w:tcPr>
          <w:p w14:paraId="59B65E6C" w14:textId="77777777" w:rsidR="00000000" w:rsidRDefault="00A173A8">
            <w:pPr>
              <w:spacing w:after="100"/>
              <w:rPr>
                <w:rFonts w:eastAsia="Times New Roman"/>
                <w:sz w:val="20"/>
                <w:szCs w:val="20"/>
              </w:rPr>
            </w:pPr>
          </w:p>
        </w:tc>
        <w:tc>
          <w:tcPr>
            <w:tcW w:w="0" w:type="auto"/>
            <w:gridSpan w:val="3"/>
            <w:vAlign w:val="center"/>
            <w:hideMark/>
          </w:tcPr>
          <w:p w14:paraId="44513119"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D55A14" w14:textId="77777777" w:rsidR="00000000" w:rsidRDefault="00A173A8">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08EDB4D8"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223F7473" w14:textId="77777777" w:rsidR="00000000" w:rsidRDefault="00A173A8">
            <w:pPr>
              <w:spacing w:after="100"/>
              <w:jc w:val="right"/>
              <w:rPr>
                <w:rFonts w:eastAsia="Times New Roman"/>
              </w:rPr>
            </w:pPr>
          </w:p>
        </w:tc>
        <w:tc>
          <w:tcPr>
            <w:tcW w:w="0" w:type="auto"/>
            <w:gridSpan w:val="2"/>
            <w:vAlign w:val="center"/>
            <w:hideMark/>
          </w:tcPr>
          <w:p w14:paraId="7763192B" w14:textId="77777777" w:rsidR="00000000" w:rsidRDefault="00A173A8">
            <w:pPr>
              <w:spacing w:after="100"/>
              <w:rPr>
                <w:rFonts w:eastAsia="Times New Roman"/>
                <w:sz w:val="20"/>
                <w:szCs w:val="20"/>
              </w:rPr>
            </w:pPr>
          </w:p>
        </w:tc>
      </w:tr>
      <w:tr w:rsidR="00000000" w14:paraId="003E8D83" w14:textId="77777777">
        <w:trPr>
          <w:divId w:val="1533881267"/>
        </w:trPr>
        <w:tc>
          <w:tcPr>
            <w:tcW w:w="0" w:type="auto"/>
            <w:gridSpan w:val="3"/>
            <w:shd w:val="clear" w:color="auto" w:fill="FFFFFF"/>
            <w:tcMar>
              <w:top w:w="30" w:type="dxa"/>
              <w:left w:w="20" w:type="dxa"/>
              <w:bottom w:w="30" w:type="dxa"/>
              <w:right w:w="20" w:type="dxa"/>
            </w:tcMar>
            <w:vAlign w:val="center"/>
            <w:hideMark/>
          </w:tcPr>
          <w:p w14:paraId="620F5558" w14:textId="77777777" w:rsidR="00000000" w:rsidRDefault="00A173A8">
            <w:pPr>
              <w:spacing w:after="100"/>
              <w:divId w:val="424032995"/>
              <w:rPr>
                <w:rFonts w:eastAsia="Times New Roman"/>
              </w:rPr>
            </w:pPr>
            <w:r>
              <w:rPr>
                <w:rFonts w:eastAsia="Times New Roman"/>
                <w:color w:val="000000"/>
                <w:sz w:val="20"/>
                <w:szCs w:val="20"/>
              </w:rPr>
              <w:t>Total net revenue margi</w:t>
            </w:r>
            <w:r>
              <w:rPr>
                <w:rFonts w:eastAsia="Times New Roman"/>
                <w:color w:val="000000"/>
                <w:sz w:val="20"/>
                <w:szCs w:val="20"/>
              </w:rPr>
              <w:t>n</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14A03C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7F0DCF" w14:textId="77777777" w:rsidR="00000000" w:rsidRDefault="00A173A8">
            <w:pPr>
              <w:spacing w:after="100"/>
              <w:jc w:val="right"/>
              <w:rPr>
                <w:rFonts w:eastAsia="Times New Roman"/>
              </w:rPr>
            </w:pPr>
            <w:r>
              <w:rPr>
                <w:rFonts w:eastAsia="Times New Roman"/>
                <w:b/>
                <w:bCs/>
                <w:color w:val="000000"/>
                <w:sz w:val="20"/>
                <w:szCs w:val="20"/>
              </w:rPr>
              <w:t>8.25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84179FF"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2F1E8AB"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577ACB8" w14:textId="77777777" w:rsidR="00000000" w:rsidRDefault="00A173A8">
            <w:pPr>
              <w:spacing w:after="100"/>
              <w:jc w:val="right"/>
              <w:rPr>
                <w:rFonts w:eastAsia="Times New Roman"/>
              </w:rPr>
            </w:pPr>
            <w:r>
              <w:rPr>
                <w:rFonts w:eastAsia="Times New Roman"/>
                <w:color w:val="000000"/>
                <w:sz w:val="20"/>
                <w:szCs w:val="20"/>
              </w:rPr>
              <w:t>7.56%</w:t>
            </w:r>
          </w:p>
        </w:tc>
        <w:tc>
          <w:tcPr>
            <w:tcW w:w="0" w:type="auto"/>
            <w:gridSpan w:val="3"/>
            <w:shd w:val="clear" w:color="auto" w:fill="FFFFFF"/>
            <w:tcMar>
              <w:top w:w="0" w:type="dxa"/>
              <w:left w:w="20" w:type="dxa"/>
              <w:bottom w:w="0" w:type="dxa"/>
              <w:right w:w="20" w:type="dxa"/>
            </w:tcMar>
            <w:vAlign w:val="center"/>
            <w:hideMark/>
          </w:tcPr>
          <w:p w14:paraId="4B29E0B4"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9E310F" w14:textId="77777777" w:rsidR="00000000" w:rsidRDefault="00A173A8">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14:paraId="6FCCD3DA" w14:textId="77777777" w:rsidR="00000000" w:rsidRDefault="00A173A8">
            <w:pPr>
              <w:spacing w:after="100"/>
              <w:rPr>
                <w:rFonts w:eastAsia="Times New Roman"/>
              </w:rPr>
            </w:pPr>
            <w:r>
              <w:rPr>
                <w:rFonts w:eastAsia="Times New Roman"/>
                <w:color w:val="000000"/>
                <w:sz w:val="20"/>
                <w:szCs w:val="20"/>
              </w:rPr>
              <w:t>bps</w:t>
            </w:r>
          </w:p>
        </w:tc>
        <w:tc>
          <w:tcPr>
            <w:tcW w:w="0" w:type="auto"/>
            <w:gridSpan w:val="3"/>
            <w:shd w:val="clear" w:color="auto" w:fill="FFFFFF"/>
            <w:tcMar>
              <w:top w:w="0" w:type="dxa"/>
              <w:left w:w="20" w:type="dxa"/>
              <w:bottom w:w="0" w:type="dxa"/>
              <w:right w:w="20" w:type="dxa"/>
            </w:tcMar>
            <w:vAlign w:val="center"/>
            <w:hideMark/>
          </w:tcPr>
          <w:p w14:paraId="1FE8565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463DE0" w14:textId="77777777" w:rsidR="00000000" w:rsidRDefault="00A173A8">
            <w:pPr>
              <w:spacing w:after="100"/>
              <w:jc w:val="right"/>
              <w:rPr>
                <w:rFonts w:eastAsia="Times New Roman"/>
              </w:rPr>
            </w:pPr>
            <w:r>
              <w:rPr>
                <w:rFonts w:eastAsia="Times New Roman"/>
                <w:b/>
                <w:bCs/>
                <w:color w:val="000000"/>
                <w:sz w:val="20"/>
                <w:szCs w:val="20"/>
              </w:rPr>
              <w:t>8.27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C0792A"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6F52256"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5333488" w14:textId="77777777" w:rsidR="00000000" w:rsidRDefault="00A173A8">
            <w:pPr>
              <w:spacing w:after="100"/>
              <w:jc w:val="right"/>
              <w:rPr>
                <w:rFonts w:eastAsia="Times New Roman"/>
              </w:rPr>
            </w:pPr>
            <w:r>
              <w:rPr>
                <w:rFonts w:eastAsia="Times New Roman"/>
                <w:color w:val="000000"/>
                <w:sz w:val="20"/>
                <w:szCs w:val="20"/>
              </w:rPr>
              <w:t>7.44%</w:t>
            </w:r>
          </w:p>
        </w:tc>
        <w:tc>
          <w:tcPr>
            <w:tcW w:w="0" w:type="auto"/>
            <w:vAlign w:val="center"/>
            <w:hideMark/>
          </w:tcPr>
          <w:p w14:paraId="6872FF79" w14:textId="77777777" w:rsidR="00000000" w:rsidRDefault="00A173A8">
            <w:pPr>
              <w:spacing w:after="100"/>
              <w:jc w:val="right"/>
              <w:rPr>
                <w:rFonts w:eastAsia="Times New Roman"/>
              </w:rPr>
            </w:pPr>
          </w:p>
        </w:tc>
        <w:tc>
          <w:tcPr>
            <w:tcW w:w="0" w:type="auto"/>
            <w:vAlign w:val="center"/>
            <w:hideMark/>
          </w:tcPr>
          <w:p w14:paraId="1EBFBC6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AB36B3" w14:textId="77777777" w:rsidR="00000000" w:rsidRDefault="00A173A8">
            <w:pPr>
              <w:spacing w:after="100"/>
              <w:rPr>
                <w:rFonts w:eastAsia="Times New Roman"/>
                <w:sz w:val="20"/>
                <w:szCs w:val="20"/>
              </w:rPr>
            </w:pPr>
          </w:p>
        </w:tc>
        <w:tc>
          <w:tcPr>
            <w:tcW w:w="0" w:type="auto"/>
            <w:vAlign w:val="center"/>
            <w:hideMark/>
          </w:tcPr>
          <w:p w14:paraId="0F5E39DC" w14:textId="77777777" w:rsidR="00000000" w:rsidRDefault="00A173A8">
            <w:pPr>
              <w:spacing w:after="100"/>
              <w:rPr>
                <w:rFonts w:eastAsia="Times New Roman"/>
                <w:sz w:val="20"/>
                <w:szCs w:val="20"/>
              </w:rPr>
            </w:pPr>
          </w:p>
        </w:tc>
        <w:tc>
          <w:tcPr>
            <w:tcW w:w="0" w:type="auto"/>
            <w:gridSpan w:val="3"/>
            <w:vAlign w:val="center"/>
            <w:hideMark/>
          </w:tcPr>
          <w:p w14:paraId="2CDE75AE" w14:textId="77777777" w:rsidR="00000000" w:rsidRDefault="00A173A8">
            <w:pPr>
              <w:spacing w:after="100"/>
              <w:rPr>
                <w:rFonts w:eastAsia="Times New Roman"/>
                <w:sz w:val="20"/>
                <w:szCs w:val="20"/>
              </w:rPr>
            </w:pPr>
          </w:p>
        </w:tc>
        <w:tc>
          <w:tcPr>
            <w:tcW w:w="0" w:type="auto"/>
            <w:gridSpan w:val="3"/>
            <w:vAlign w:val="center"/>
            <w:hideMark/>
          </w:tcPr>
          <w:p w14:paraId="6D5555FF" w14:textId="77777777" w:rsidR="00000000" w:rsidRDefault="00A173A8">
            <w:pPr>
              <w:spacing w:after="100"/>
              <w:rPr>
                <w:rFonts w:eastAsia="Times New Roman"/>
                <w:sz w:val="20"/>
                <w:szCs w:val="20"/>
              </w:rPr>
            </w:pPr>
          </w:p>
        </w:tc>
        <w:tc>
          <w:tcPr>
            <w:tcW w:w="0" w:type="auto"/>
            <w:gridSpan w:val="3"/>
            <w:vAlign w:val="center"/>
            <w:hideMark/>
          </w:tcPr>
          <w:p w14:paraId="7DD103E8"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8FC740" w14:textId="77777777" w:rsidR="00000000" w:rsidRDefault="00A173A8">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64DBD8B6" w14:textId="77777777" w:rsidR="00000000" w:rsidRDefault="00A173A8">
            <w:pPr>
              <w:spacing w:after="100"/>
              <w:rPr>
                <w:rFonts w:eastAsia="Times New Roman"/>
              </w:rPr>
            </w:pPr>
            <w:r>
              <w:rPr>
                <w:rFonts w:eastAsia="Times New Roman"/>
                <w:color w:val="000000"/>
                <w:sz w:val="20"/>
                <w:szCs w:val="20"/>
              </w:rPr>
              <w:t>bps</w:t>
            </w:r>
          </w:p>
        </w:tc>
        <w:tc>
          <w:tcPr>
            <w:tcW w:w="0" w:type="auto"/>
            <w:gridSpan w:val="3"/>
            <w:vAlign w:val="center"/>
            <w:hideMark/>
          </w:tcPr>
          <w:p w14:paraId="61159EA0" w14:textId="77777777" w:rsidR="00000000" w:rsidRDefault="00A173A8">
            <w:pPr>
              <w:spacing w:after="100"/>
              <w:rPr>
                <w:rFonts w:eastAsia="Times New Roman"/>
              </w:rPr>
            </w:pPr>
          </w:p>
        </w:tc>
        <w:tc>
          <w:tcPr>
            <w:tcW w:w="0" w:type="auto"/>
            <w:gridSpan w:val="2"/>
            <w:vAlign w:val="center"/>
            <w:hideMark/>
          </w:tcPr>
          <w:p w14:paraId="1573382B" w14:textId="77777777" w:rsidR="00000000" w:rsidRDefault="00A173A8">
            <w:pPr>
              <w:spacing w:after="100"/>
              <w:rPr>
                <w:rFonts w:eastAsia="Times New Roman"/>
                <w:sz w:val="20"/>
                <w:szCs w:val="20"/>
              </w:rPr>
            </w:pPr>
          </w:p>
        </w:tc>
      </w:tr>
      <w:tr w:rsidR="00000000" w14:paraId="35578B48" w14:textId="77777777">
        <w:trPr>
          <w:divId w:val="1533881267"/>
        </w:trPr>
        <w:tc>
          <w:tcPr>
            <w:tcW w:w="0" w:type="auto"/>
            <w:gridSpan w:val="3"/>
            <w:shd w:val="clear" w:color="auto" w:fill="CCEEFF"/>
            <w:tcMar>
              <w:top w:w="30" w:type="dxa"/>
              <w:left w:w="20" w:type="dxa"/>
              <w:bottom w:w="30" w:type="dxa"/>
              <w:right w:w="20" w:type="dxa"/>
            </w:tcMar>
            <w:vAlign w:val="center"/>
            <w:hideMark/>
          </w:tcPr>
          <w:p w14:paraId="7AC77D6E" w14:textId="77777777" w:rsidR="00000000" w:rsidRDefault="00A173A8">
            <w:pPr>
              <w:spacing w:after="100"/>
              <w:rPr>
                <w:rFonts w:eastAsia="Times New Roman"/>
              </w:rPr>
            </w:pPr>
            <w:r>
              <w:rPr>
                <w:rFonts w:eastAsia="Times New Roman"/>
                <w:color w:val="000000"/>
                <w:sz w:val="20"/>
                <w:szCs w:val="20"/>
              </w:rPr>
              <w:t>Net interest margin</w:t>
            </w:r>
          </w:p>
        </w:tc>
        <w:tc>
          <w:tcPr>
            <w:tcW w:w="0" w:type="auto"/>
            <w:gridSpan w:val="3"/>
            <w:shd w:val="clear" w:color="auto" w:fill="CCEEFF"/>
            <w:tcMar>
              <w:top w:w="0" w:type="dxa"/>
              <w:left w:w="20" w:type="dxa"/>
              <w:bottom w:w="0" w:type="dxa"/>
              <w:right w:w="20" w:type="dxa"/>
            </w:tcMar>
            <w:vAlign w:val="center"/>
            <w:hideMark/>
          </w:tcPr>
          <w:p w14:paraId="5223D08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04DFE1" w14:textId="77777777" w:rsidR="00000000" w:rsidRDefault="00A173A8">
            <w:pPr>
              <w:spacing w:after="100"/>
              <w:jc w:val="right"/>
              <w:rPr>
                <w:rFonts w:eastAsia="Times New Roman"/>
              </w:rPr>
            </w:pPr>
            <w:r>
              <w:rPr>
                <w:rFonts w:eastAsia="Times New Roman"/>
                <w:b/>
                <w:bCs/>
                <w:color w:val="000000"/>
                <w:sz w:val="20"/>
                <w:szCs w:val="20"/>
              </w:rPr>
              <w:t>6.54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0DA41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5CC8AA"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58B1872" w14:textId="77777777" w:rsidR="00000000" w:rsidRDefault="00A173A8">
            <w:pPr>
              <w:spacing w:after="100"/>
              <w:jc w:val="right"/>
              <w:rPr>
                <w:rFonts w:eastAsia="Times New Roman"/>
              </w:rPr>
            </w:pPr>
            <w:r>
              <w:rPr>
                <w:rFonts w:eastAsia="Times New Roman"/>
                <w:color w:val="000000"/>
                <w:sz w:val="20"/>
                <w:szCs w:val="20"/>
              </w:rPr>
              <w:t>5.89</w:t>
            </w:r>
          </w:p>
        </w:tc>
        <w:tc>
          <w:tcPr>
            <w:tcW w:w="0" w:type="auto"/>
            <w:gridSpan w:val="3"/>
            <w:shd w:val="clear" w:color="auto" w:fill="CCEEFF"/>
            <w:tcMar>
              <w:top w:w="0" w:type="dxa"/>
              <w:left w:w="20" w:type="dxa"/>
              <w:bottom w:w="0" w:type="dxa"/>
              <w:right w:w="20" w:type="dxa"/>
            </w:tcMar>
            <w:vAlign w:val="center"/>
            <w:hideMark/>
          </w:tcPr>
          <w:p w14:paraId="64359C76"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C04CE8" w14:textId="77777777" w:rsidR="00000000" w:rsidRDefault="00A173A8">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14:paraId="27534B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8A2AB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96BC7F" w14:textId="77777777" w:rsidR="00000000" w:rsidRDefault="00A173A8">
            <w:pPr>
              <w:spacing w:after="100"/>
              <w:jc w:val="right"/>
              <w:rPr>
                <w:rFonts w:eastAsia="Times New Roman"/>
              </w:rPr>
            </w:pPr>
            <w:r>
              <w:rPr>
                <w:rFonts w:eastAsia="Times New Roman"/>
                <w:b/>
                <w:bCs/>
                <w:color w:val="000000"/>
                <w:sz w:val="20"/>
                <w:szCs w:val="20"/>
              </w:rPr>
              <w:t>6.51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CA4F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A67A2"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846671F" w14:textId="77777777" w:rsidR="00000000" w:rsidRDefault="00A173A8">
            <w:pPr>
              <w:spacing w:after="100"/>
              <w:jc w:val="right"/>
              <w:rPr>
                <w:rFonts w:eastAsia="Times New Roman"/>
              </w:rPr>
            </w:pPr>
            <w:r>
              <w:rPr>
                <w:rFonts w:eastAsia="Times New Roman"/>
                <w:color w:val="000000"/>
                <w:sz w:val="20"/>
                <w:szCs w:val="20"/>
              </w:rPr>
              <w:t>5.94</w:t>
            </w:r>
          </w:p>
        </w:tc>
        <w:tc>
          <w:tcPr>
            <w:tcW w:w="0" w:type="auto"/>
            <w:vAlign w:val="center"/>
            <w:hideMark/>
          </w:tcPr>
          <w:p w14:paraId="3FEF1616" w14:textId="77777777" w:rsidR="00000000" w:rsidRDefault="00A173A8">
            <w:pPr>
              <w:spacing w:after="100"/>
              <w:jc w:val="right"/>
              <w:rPr>
                <w:rFonts w:eastAsia="Times New Roman"/>
              </w:rPr>
            </w:pPr>
          </w:p>
        </w:tc>
        <w:tc>
          <w:tcPr>
            <w:tcW w:w="0" w:type="auto"/>
            <w:vAlign w:val="center"/>
            <w:hideMark/>
          </w:tcPr>
          <w:p w14:paraId="522F0D5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201AD9" w14:textId="77777777" w:rsidR="00000000" w:rsidRDefault="00A173A8">
            <w:pPr>
              <w:spacing w:after="100"/>
              <w:rPr>
                <w:rFonts w:eastAsia="Times New Roman"/>
                <w:sz w:val="20"/>
                <w:szCs w:val="20"/>
              </w:rPr>
            </w:pPr>
          </w:p>
        </w:tc>
        <w:tc>
          <w:tcPr>
            <w:tcW w:w="0" w:type="auto"/>
            <w:vAlign w:val="center"/>
            <w:hideMark/>
          </w:tcPr>
          <w:p w14:paraId="54B2D8EA" w14:textId="77777777" w:rsidR="00000000" w:rsidRDefault="00A173A8">
            <w:pPr>
              <w:spacing w:after="100"/>
              <w:rPr>
                <w:rFonts w:eastAsia="Times New Roman"/>
                <w:sz w:val="20"/>
                <w:szCs w:val="20"/>
              </w:rPr>
            </w:pPr>
          </w:p>
        </w:tc>
        <w:tc>
          <w:tcPr>
            <w:tcW w:w="0" w:type="auto"/>
            <w:gridSpan w:val="3"/>
            <w:vAlign w:val="center"/>
            <w:hideMark/>
          </w:tcPr>
          <w:p w14:paraId="6C385A01" w14:textId="77777777" w:rsidR="00000000" w:rsidRDefault="00A173A8">
            <w:pPr>
              <w:spacing w:after="100"/>
              <w:rPr>
                <w:rFonts w:eastAsia="Times New Roman"/>
                <w:sz w:val="20"/>
                <w:szCs w:val="20"/>
              </w:rPr>
            </w:pPr>
          </w:p>
        </w:tc>
        <w:tc>
          <w:tcPr>
            <w:tcW w:w="0" w:type="auto"/>
            <w:gridSpan w:val="3"/>
            <w:vAlign w:val="center"/>
            <w:hideMark/>
          </w:tcPr>
          <w:p w14:paraId="48E1BFC4" w14:textId="77777777" w:rsidR="00000000" w:rsidRDefault="00A173A8">
            <w:pPr>
              <w:spacing w:after="100"/>
              <w:rPr>
                <w:rFonts w:eastAsia="Times New Roman"/>
                <w:sz w:val="20"/>
                <w:szCs w:val="20"/>
              </w:rPr>
            </w:pPr>
          </w:p>
        </w:tc>
        <w:tc>
          <w:tcPr>
            <w:tcW w:w="0" w:type="auto"/>
            <w:gridSpan w:val="3"/>
            <w:vAlign w:val="center"/>
            <w:hideMark/>
          </w:tcPr>
          <w:p w14:paraId="17868F28"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2EB9EA" w14:textId="77777777" w:rsidR="00000000" w:rsidRDefault="00A173A8">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3B9F0B51" w14:textId="77777777" w:rsidR="00000000" w:rsidRDefault="00A173A8">
            <w:pPr>
              <w:spacing w:after="100"/>
              <w:jc w:val="right"/>
              <w:rPr>
                <w:rFonts w:eastAsia="Times New Roman"/>
              </w:rPr>
            </w:pPr>
          </w:p>
        </w:tc>
        <w:tc>
          <w:tcPr>
            <w:tcW w:w="0" w:type="auto"/>
            <w:gridSpan w:val="3"/>
            <w:vAlign w:val="center"/>
            <w:hideMark/>
          </w:tcPr>
          <w:p w14:paraId="5F81FCF0" w14:textId="77777777" w:rsidR="00000000" w:rsidRDefault="00A173A8">
            <w:pPr>
              <w:spacing w:after="100"/>
              <w:jc w:val="right"/>
              <w:rPr>
                <w:rFonts w:eastAsia="Times New Roman"/>
                <w:sz w:val="20"/>
                <w:szCs w:val="20"/>
              </w:rPr>
            </w:pPr>
          </w:p>
        </w:tc>
        <w:tc>
          <w:tcPr>
            <w:tcW w:w="0" w:type="auto"/>
            <w:gridSpan w:val="2"/>
            <w:vAlign w:val="center"/>
            <w:hideMark/>
          </w:tcPr>
          <w:p w14:paraId="18D16D37" w14:textId="77777777" w:rsidR="00000000" w:rsidRDefault="00A173A8">
            <w:pPr>
              <w:spacing w:after="100"/>
              <w:rPr>
                <w:rFonts w:eastAsia="Times New Roman"/>
                <w:sz w:val="20"/>
                <w:szCs w:val="20"/>
              </w:rPr>
            </w:pPr>
          </w:p>
        </w:tc>
      </w:tr>
      <w:tr w:rsidR="00000000" w14:paraId="3F6A5BC4" w14:textId="77777777">
        <w:trPr>
          <w:divId w:val="1533881267"/>
        </w:trPr>
        <w:tc>
          <w:tcPr>
            <w:tcW w:w="0" w:type="auto"/>
            <w:gridSpan w:val="3"/>
            <w:shd w:val="clear" w:color="auto" w:fill="FFFFFF"/>
            <w:tcMar>
              <w:top w:w="30" w:type="dxa"/>
              <w:left w:w="20" w:type="dxa"/>
              <w:bottom w:w="30" w:type="dxa"/>
              <w:right w:w="20" w:type="dxa"/>
            </w:tcMar>
            <w:vAlign w:val="center"/>
            <w:hideMark/>
          </w:tcPr>
          <w:p w14:paraId="7A871AC0" w14:textId="77777777" w:rsidR="00000000" w:rsidRDefault="00A173A8">
            <w:pPr>
              <w:spacing w:after="100"/>
              <w:divId w:val="941495907"/>
              <w:rPr>
                <w:rFonts w:eastAsia="Times New Roman"/>
              </w:rPr>
            </w:pPr>
            <w:r>
              <w:rPr>
                <w:rFonts w:eastAsia="Times New Roman"/>
                <w:color w:val="000000"/>
                <w:sz w:val="20"/>
                <w:szCs w:val="20"/>
              </w:rPr>
              <w:t>Return on average asset</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C1A308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C4CA1F" w14:textId="77777777" w:rsidR="00000000" w:rsidRDefault="00A173A8">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8AAC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FEF4A"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768BDF5E" w14:textId="77777777" w:rsidR="00000000" w:rsidRDefault="00A173A8">
            <w:pPr>
              <w:spacing w:after="100"/>
              <w:jc w:val="right"/>
              <w:rPr>
                <w:rFonts w:eastAsia="Times New Roman"/>
              </w:rPr>
            </w:pPr>
            <w:r>
              <w:rPr>
                <w:rFonts w:eastAsia="Times New Roman"/>
                <w:color w:val="000000"/>
                <w:sz w:val="20"/>
                <w:szCs w:val="20"/>
              </w:rPr>
              <w:t>3.34</w:t>
            </w:r>
          </w:p>
        </w:tc>
        <w:tc>
          <w:tcPr>
            <w:tcW w:w="0" w:type="auto"/>
            <w:gridSpan w:val="3"/>
            <w:shd w:val="clear" w:color="auto" w:fill="FFFFFF"/>
            <w:tcMar>
              <w:top w:w="0" w:type="dxa"/>
              <w:left w:w="20" w:type="dxa"/>
              <w:bottom w:w="0" w:type="dxa"/>
              <w:right w:w="20" w:type="dxa"/>
            </w:tcMar>
            <w:vAlign w:val="center"/>
            <w:hideMark/>
          </w:tcPr>
          <w:p w14:paraId="6F051228"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966FDC" w14:textId="77777777" w:rsidR="00000000" w:rsidRDefault="00A173A8">
            <w:pPr>
              <w:spacing w:after="100"/>
              <w:jc w:val="right"/>
              <w:rPr>
                <w:rFonts w:eastAsia="Times New Roman"/>
              </w:rPr>
            </w:pPr>
            <w:r>
              <w:rPr>
                <w:rFonts w:eastAsia="Times New Roman"/>
                <w:color w:val="000000"/>
                <w:sz w:val="20"/>
                <w:szCs w:val="20"/>
              </w:rPr>
              <w:t>(147)</w:t>
            </w:r>
          </w:p>
        </w:tc>
        <w:tc>
          <w:tcPr>
            <w:tcW w:w="0" w:type="auto"/>
            <w:shd w:val="clear" w:color="auto" w:fill="FFFFFF"/>
            <w:tcMar>
              <w:top w:w="30" w:type="dxa"/>
              <w:left w:w="0" w:type="dxa"/>
              <w:bottom w:w="30" w:type="dxa"/>
              <w:right w:w="20" w:type="dxa"/>
            </w:tcMar>
            <w:vAlign w:val="bottom"/>
            <w:hideMark/>
          </w:tcPr>
          <w:p w14:paraId="164E10F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E40A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332DD9" w14:textId="77777777" w:rsidR="00000000" w:rsidRDefault="00A173A8">
            <w:pPr>
              <w:spacing w:after="100"/>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7295E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ECAD7C"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3CC8323B" w14:textId="77777777" w:rsidR="00000000" w:rsidRDefault="00A173A8">
            <w:pPr>
              <w:spacing w:after="100"/>
              <w:jc w:val="right"/>
              <w:rPr>
                <w:rFonts w:eastAsia="Times New Roman"/>
              </w:rPr>
            </w:pPr>
            <w:r>
              <w:rPr>
                <w:rFonts w:eastAsia="Times New Roman"/>
                <w:color w:val="000000"/>
                <w:sz w:val="20"/>
                <w:szCs w:val="20"/>
              </w:rPr>
              <w:t>3.25</w:t>
            </w:r>
          </w:p>
        </w:tc>
        <w:tc>
          <w:tcPr>
            <w:tcW w:w="0" w:type="auto"/>
            <w:vAlign w:val="center"/>
            <w:hideMark/>
          </w:tcPr>
          <w:p w14:paraId="673BE683" w14:textId="77777777" w:rsidR="00000000" w:rsidRDefault="00A173A8">
            <w:pPr>
              <w:spacing w:after="100"/>
              <w:jc w:val="right"/>
              <w:rPr>
                <w:rFonts w:eastAsia="Times New Roman"/>
              </w:rPr>
            </w:pPr>
          </w:p>
        </w:tc>
        <w:tc>
          <w:tcPr>
            <w:tcW w:w="0" w:type="auto"/>
            <w:vAlign w:val="center"/>
            <w:hideMark/>
          </w:tcPr>
          <w:p w14:paraId="00070AB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327070" w14:textId="77777777" w:rsidR="00000000" w:rsidRDefault="00A173A8">
            <w:pPr>
              <w:spacing w:after="100"/>
              <w:rPr>
                <w:rFonts w:eastAsia="Times New Roman"/>
                <w:sz w:val="20"/>
                <w:szCs w:val="20"/>
              </w:rPr>
            </w:pPr>
          </w:p>
        </w:tc>
        <w:tc>
          <w:tcPr>
            <w:tcW w:w="0" w:type="auto"/>
            <w:vAlign w:val="center"/>
            <w:hideMark/>
          </w:tcPr>
          <w:p w14:paraId="0F103263" w14:textId="77777777" w:rsidR="00000000" w:rsidRDefault="00A173A8">
            <w:pPr>
              <w:spacing w:after="100"/>
              <w:rPr>
                <w:rFonts w:eastAsia="Times New Roman"/>
                <w:sz w:val="20"/>
                <w:szCs w:val="20"/>
              </w:rPr>
            </w:pPr>
          </w:p>
        </w:tc>
        <w:tc>
          <w:tcPr>
            <w:tcW w:w="0" w:type="auto"/>
            <w:gridSpan w:val="3"/>
            <w:vAlign w:val="center"/>
            <w:hideMark/>
          </w:tcPr>
          <w:p w14:paraId="7B69BBD4" w14:textId="77777777" w:rsidR="00000000" w:rsidRDefault="00A173A8">
            <w:pPr>
              <w:spacing w:after="100"/>
              <w:rPr>
                <w:rFonts w:eastAsia="Times New Roman"/>
                <w:sz w:val="20"/>
                <w:szCs w:val="20"/>
              </w:rPr>
            </w:pPr>
          </w:p>
        </w:tc>
        <w:tc>
          <w:tcPr>
            <w:tcW w:w="0" w:type="auto"/>
            <w:gridSpan w:val="3"/>
            <w:vAlign w:val="center"/>
            <w:hideMark/>
          </w:tcPr>
          <w:p w14:paraId="2257B93E" w14:textId="77777777" w:rsidR="00000000" w:rsidRDefault="00A173A8">
            <w:pPr>
              <w:spacing w:after="100"/>
              <w:rPr>
                <w:rFonts w:eastAsia="Times New Roman"/>
                <w:sz w:val="20"/>
                <w:szCs w:val="20"/>
              </w:rPr>
            </w:pPr>
          </w:p>
        </w:tc>
        <w:tc>
          <w:tcPr>
            <w:tcW w:w="0" w:type="auto"/>
            <w:gridSpan w:val="3"/>
            <w:vAlign w:val="center"/>
            <w:hideMark/>
          </w:tcPr>
          <w:p w14:paraId="1A6A3181"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9DB41" w14:textId="77777777" w:rsidR="00000000" w:rsidRDefault="00A173A8">
            <w:pPr>
              <w:spacing w:after="100"/>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14:paraId="6A5D520F" w14:textId="77777777" w:rsidR="00000000" w:rsidRDefault="00A173A8">
            <w:pPr>
              <w:spacing w:after="100"/>
              <w:jc w:val="right"/>
              <w:rPr>
                <w:rFonts w:eastAsia="Times New Roman"/>
              </w:rPr>
            </w:pPr>
          </w:p>
        </w:tc>
        <w:tc>
          <w:tcPr>
            <w:tcW w:w="0" w:type="auto"/>
            <w:gridSpan w:val="3"/>
            <w:vAlign w:val="center"/>
            <w:hideMark/>
          </w:tcPr>
          <w:p w14:paraId="1921F69F" w14:textId="77777777" w:rsidR="00000000" w:rsidRDefault="00A173A8">
            <w:pPr>
              <w:spacing w:after="100"/>
              <w:jc w:val="right"/>
              <w:rPr>
                <w:rFonts w:eastAsia="Times New Roman"/>
                <w:sz w:val="20"/>
                <w:szCs w:val="20"/>
              </w:rPr>
            </w:pPr>
          </w:p>
        </w:tc>
        <w:tc>
          <w:tcPr>
            <w:tcW w:w="0" w:type="auto"/>
            <w:gridSpan w:val="2"/>
            <w:vAlign w:val="center"/>
            <w:hideMark/>
          </w:tcPr>
          <w:p w14:paraId="46FEFE30" w14:textId="77777777" w:rsidR="00000000" w:rsidRDefault="00A173A8">
            <w:pPr>
              <w:spacing w:after="100"/>
              <w:rPr>
                <w:rFonts w:eastAsia="Times New Roman"/>
                <w:sz w:val="20"/>
                <w:szCs w:val="20"/>
              </w:rPr>
            </w:pPr>
          </w:p>
        </w:tc>
      </w:tr>
      <w:tr w:rsidR="00000000" w14:paraId="1319058D" w14:textId="77777777">
        <w:trPr>
          <w:divId w:val="1533881267"/>
        </w:trPr>
        <w:tc>
          <w:tcPr>
            <w:tcW w:w="0" w:type="auto"/>
            <w:gridSpan w:val="3"/>
            <w:shd w:val="clear" w:color="auto" w:fill="CCEEFF"/>
            <w:tcMar>
              <w:top w:w="30" w:type="dxa"/>
              <w:left w:w="20" w:type="dxa"/>
              <w:bottom w:w="30" w:type="dxa"/>
              <w:right w:w="20" w:type="dxa"/>
            </w:tcMar>
            <w:vAlign w:val="center"/>
            <w:hideMark/>
          </w:tcPr>
          <w:p w14:paraId="6E4F505B" w14:textId="77777777" w:rsidR="00000000" w:rsidRDefault="00A173A8">
            <w:pPr>
              <w:spacing w:after="100"/>
              <w:divId w:val="1808668943"/>
              <w:rPr>
                <w:rFonts w:eastAsia="Times New Roman"/>
              </w:rPr>
            </w:pPr>
            <w:r>
              <w:rPr>
                <w:rFonts w:eastAsia="Times New Roman"/>
                <w:color w:val="000000"/>
                <w:sz w:val="20"/>
                <w:szCs w:val="20"/>
              </w:rPr>
              <w:t>Return on average tangible asset</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3CAB14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012673" w14:textId="77777777" w:rsidR="00000000" w:rsidRDefault="00A173A8">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2CE24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13865"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4E0D77E5" w14:textId="77777777" w:rsidR="00000000" w:rsidRDefault="00A173A8">
            <w:pPr>
              <w:spacing w:after="100"/>
              <w:jc w:val="right"/>
              <w:rPr>
                <w:rFonts w:eastAsia="Times New Roman"/>
              </w:rPr>
            </w:pPr>
            <w:r>
              <w:rPr>
                <w:rFonts w:eastAsia="Times New Roman"/>
                <w:color w:val="000000"/>
                <w:sz w:val="20"/>
                <w:szCs w:val="20"/>
              </w:rPr>
              <w:t>3.46</w:t>
            </w:r>
          </w:p>
        </w:tc>
        <w:tc>
          <w:tcPr>
            <w:tcW w:w="0" w:type="auto"/>
            <w:gridSpan w:val="3"/>
            <w:shd w:val="clear" w:color="auto" w:fill="CCEEFF"/>
            <w:tcMar>
              <w:top w:w="0" w:type="dxa"/>
              <w:left w:w="20" w:type="dxa"/>
              <w:bottom w:w="0" w:type="dxa"/>
              <w:right w:w="20" w:type="dxa"/>
            </w:tcMar>
            <w:vAlign w:val="center"/>
            <w:hideMark/>
          </w:tcPr>
          <w:p w14:paraId="75BD7A1C"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026FEC" w14:textId="77777777" w:rsidR="00000000" w:rsidRDefault="00A173A8">
            <w:pPr>
              <w:spacing w:after="100"/>
              <w:jc w:val="right"/>
              <w:rPr>
                <w:rFonts w:eastAsia="Times New Roman"/>
              </w:rPr>
            </w:pPr>
            <w:r>
              <w:rPr>
                <w:rFonts w:eastAsia="Times New Roman"/>
                <w:color w:val="000000"/>
                <w:sz w:val="20"/>
                <w:szCs w:val="20"/>
              </w:rPr>
              <w:t>(153)</w:t>
            </w:r>
          </w:p>
        </w:tc>
        <w:tc>
          <w:tcPr>
            <w:tcW w:w="0" w:type="auto"/>
            <w:shd w:val="clear" w:color="auto" w:fill="CCEEFF"/>
            <w:tcMar>
              <w:top w:w="30" w:type="dxa"/>
              <w:left w:w="0" w:type="dxa"/>
              <w:bottom w:w="30" w:type="dxa"/>
              <w:right w:w="20" w:type="dxa"/>
            </w:tcMar>
            <w:vAlign w:val="bottom"/>
            <w:hideMark/>
          </w:tcPr>
          <w:p w14:paraId="558C6C0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182FD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F0295D" w14:textId="77777777" w:rsidR="00000000" w:rsidRDefault="00A173A8">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6FC1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0A06E"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5EC7804A" w14:textId="77777777" w:rsidR="00000000" w:rsidRDefault="00A173A8">
            <w:pPr>
              <w:spacing w:after="100"/>
              <w:jc w:val="right"/>
              <w:rPr>
                <w:rFonts w:eastAsia="Times New Roman"/>
              </w:rPr>
            </w:pPr>
            <w:r>
              <w:rPr>
                <w:rFonts w:eastAsia="Times New Roman"/>
                <w:color w:val="000000"/>
                <w:sz w:val="20"/>
                <w:szCs w:val="20"/>
              </w:rPr>
              <w:t>3.36</w:t>
            </w:r>
          </w:p>
        </w:tc>
        <w:tc>
          <w:tcPr>
            <w:tcW w:w="0" w:type="auto"/>
            <w:vAlign w:val="center"/>
            <w:hideMark/>
          </w:tcPr>
          <w:p w14:paraId="2691790A" w14:textId="77777777" w:rsidR="00000000" w:rsidRDefault="00A173A8">
            <w:pPr>
              <w:spacing w:after="100"/>
              <w:jc w:val="right"/>
              <w:rPr>
                <w:rFonts w:eastAsia="Times New Roman"/>
              </w:rPr>
            </w:pPr>
          </w:p>
        </w:tc>
        <w:tc>
          <w:tcPr>
            <w:tcW w:w="0" w:type="auto"/>
            <w:vAlign w:val="center"/>
            <w:hideMark/>
          </w:tcPr>
          <w:p w14:paraId="35DD4C8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CD8CFF" w14:textId="77777777" w:rsidR="00000000" w:rsidRDefault="00A173A8">
            <w:pPr>
              <w:spacing w:after="100"/>
              <w:rPr>
                <w:rFonts w:eastAsia="Times New Roman"/>
                <w:sz w:val="20"/>
                <w:szCs w:val="20"/>
              </w:rPr>
            </w:pPr>
          </w:p>
        </w:tc>
        <w:tc>
          <w:tcPr>
            <w:tcW w:w="0" w:type="auto"/>
            <w:vAlign w:val="center"/>
            <w:hideMark/>
          </w:tcPr>
          <w:p w14:paraId="39A6BDB9" w14:textId="77777777" w:rsidR="00000000" w:rsidRDefault="00A173A8">
            <w:pPr>
              <w:spacing w:after="100"/>
              <w:rPr>
                <w:rFonts w:eastAsia="Times New Roman"/>
                <w:sz w:val="20"/>
                <w:szCs w:val="20"/>
              </w:rPr>
            </w:pPr>
          </w:p>
        </w:tc>
        <w:tc>
          <w:tcPr>
            <w:tcW w:w="0" w:type="auto"/>
            <w:gridSpan w:val="3"/>
            <w:vAlign w:val="center"/>
            <w:hideMark/>
          </w:tcPr>
          <w:p w14:paraId="4CC926B1" w14:textId="77777777" w:rsidR="00000000" w:rsidRDefault="00A173A8">
            <w:pPr>
              <w:spacing w:after="100"/>
              <w:rPr>
                <w:rFonts w:eastAsia="Times New Roman"/>
                <w:sz w:val="20"/>
                <w:szCs w:val="20"/>
              </w:rPr>
            </w:pPr>
          </w:p>
        </w:tc>
        <w:tc>
          <w:tcPr>
            <w:tcW w:w="0" w:type="auto"/>
            <w:gridSpan w:val="3"/>
            <w:vAlign w:val="center"/>
            <w:hideMark/>
          </w:tcPr>
          <w:p w14:paraId="5BDE2EE3" w14:textId="77777777" w:rsidR="00000000" w:rsidRDefault="00A173A8">
            <w:pPr>
              <w:spacing w:after="100"/>
              <w:rPr>
                <w:rFonts w:eastAsia="Times New Roman"/>
                <w:sz w:val="20"/>
                <w:szCs w:val="20"/>
              </w:rPr>
            </w:pPr>
          </w:p>
        </w:tc>
        <w:tc>
          <w:tcPr>
            <w:tcW w:w="0" w:type="auto"/>
            <w:gridSpan w:val="3"/>
            <w:vAlign w:val="center"/>
            <w:hideMark/>
          </w:tcPr>
          <w:p w14:paraId="75B9AB74"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F37E0B" w14:textId="77777777" w:rsidR="00000000" w:rsidRDefault="00A173A8">
            <w:pPr>
              <w:spacing w:after="100"/>
              <w:jc w:val="right"/>
              <w:rPr>
                <w:rFonts w:eastAsia="Times New Roman"/>
              </w:rPr>
            </w:pPr>
            <w:r>
              <w:rPr>
                <w:rFonts w:eastAsia="Times New Roman"/>
                <w:color w:val="000000"/>
                <w:sz w:val="20"/>
                <w:szCs w:val="20"/>
              </w:rPr>
              <w:t>(124)</w:t>
            </w:r>
          </w:p>
        </w:tc>
        <w:tc>
          <w:tcPr>
            <w:tcW w:w="0" w:type="auto"/>
            <w:shd w:val="clear" w:color="auto" w:fill="CCEEFF"/>
            <w:tcMar>
              <w:top w:w="30" w:type="dxa"/>
              <w:left w:w="0" w:type="dxa"/>
              <w:bottom w:w="30" w:type="dxa"/>
              <w:right w:w="20" w:type="dxa"/>
            </w:tcMar>
            <w:vAlign w:val="bottom"/>
            <w:hideMark/>
          </w:tcPr>
          <w:p w14:paraId="0E376469" w14:textId="77777777" w:rsidR="00000000" w:rsidRDefault="00A173A8">
            <w:pPr>
              <w:spacing w:after="100"/>
              <w:jc w:val="right"/>
              <w:rPr>
                <w:rFonts w:eastAsia="Times New Roman"/>
              </w:rPr>
            </w:pPr>
          </w:p>
        </w:tc>
        <w:tc>
          <w:tcPr>
            <w:tcW w:w="0" w:type="auto"/>
            <w:gridSpan w:val="3"/>
            <w:vAlign w:val="center"/>
            <w:hideMark/>
          </w:tcPr>
          <w:p w14:paraId="7E13BFB8" w14:textId="77777777" w:rsidR="00000000" w:rsidRDefault="00A173A8">
            <w:pPr>
              <w:spacing w:after="100"/>
              <w:jc w:val="right"/>
              <w:rPr>
                <w:rFonts w:eastAsia="Times New Roman"/>
                <w:sz w:val="20"/>
                <w:szCs w:val="20"/>
              </w:rPr>
            </w:pPr>
          </w:p>
        </w:tc>
        <w:tc>
          <w:tcPr>
            <w:tcW w:w="0" w:type="auto"/>
            <w:gridSpan w:val="2"/>
            <w:vAlign w:val="center"/>
            <w:hideMark/>
          </w:tcPr>
          <w:p w14:paraId="56AF0328" w14:textId="77777777" w:rsidR="00000000" w:rsidRDefault="00A173A8">
            <w:pPr>
              <w:spacing w:after="100"/>
              <w:rPr>
                <w:rFonts w:eastAsia="Times New Roman"/>
                <w:sz w:val="20"/>
                <w:szCs w:val="20"/>
              </w:rPr>
            </w:pPr>
          </w:p>
        </w:tc>
      </w:tr>
      <w:tr w:rsidR="00000000" w14:paraId="696A9C2D" w14:textId="77777777">
        <w:trPr>
          <w:divId w:val="1533881267"/>
        </w:trPr>
        <w:tc>
          <w:tcPr>
            <w:tcW w:w="0" w:type="auto"/>
            <w:gridSpan w:val="3"/>
            <w:shd w:val="clear" w:color="auto" w:fill="FFFFFF"/>
            <w:tcMar>
              <w:top w:w="30" w:type="dxa"/>
              <w:left w:w="20" w:type="dxa"/>
              <w:bottom w:w="30" w:type="dxa"/>
              <w:right w:w="20" w:type="dxa"/>
            </w:tcMar>
            <w:vAlign w:val="center"/>
            <w:hideMark/>
          </w:tcPr>
          <w:p w14:paraId="41F6BAE7" w14:textId="77777777" w:rsidR="00000000" w:rsidRDefault="00A173A8">
            <w:pPr>
              <w:spacing w:after="100"/>
              <w:divId w:val="1947079155"/>
              <w:rPr>
                <w:rFonts w:eastAsia="Times New Roman"/>
              </w:rPr>
            </w:pPr>
            <w:r>
              <w:rPr>
                <w:rFonts w:eastAsia="Times New Roman"/>
                <w:color w:val="000000"/>
                <w:sz w:val="20"/>
                <w:szCs w:val="20"/>
              </w:rPr>
              <w:t>Return on average common equit</w:t>
            </w:r>
            <w:r>
              <w:rPr>
                <w:rFonts w:eastAsia="Times New Roman"/>
                <w:color w:val="000000"/>
                <w:sz w:val="20"/>
                <w:szCs w:val="20"/>
              </w:rPr>
              <w:t>y</w:t>
            </w:r>
            <w:r>
              <w:rPr>
                <w:rFonts w:eastAsia="Times New Roman"/>
                <w:color w:val="000000"/>
                <w:sz w:val="13"/>
                <w:szCs w:val="13"/>
              </w:rPr>
              <w:t>(5</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316D111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35DC7A" w14:textId="77777777" w:rsidR="00000000" w:rsidRDefault="00A173A8">
            <w:pPr>
              <w:spacing w:after="100"/>
              <w:jc w:val="right"/>
              <w:rPr>
                <w:rFonts w:eastAsia="Times New Roman"/>
              </w:rPr>
            </w:pPr>
            <w:r>
              <w:rPr>
                <w:rFonts w:eastAsia="Times New Roman"/>
                <w:b/>
                <w:bCs/>
                <w:color w:val="000000"/>
                <w:sz w:val="20"/>
                <w:szCs w:val="20"/>
              </w:rPr>
              <w:t>15.81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D57F9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AB042"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2C18C665" w14:textId="77777777" w:rsidR="00000000" w:rsidRDefault="00A173A8">
            <w:pPr>
              <w:spacing w:after="100"/>
              <w:jc w:val="right"/>
              <w:rPr>
                <w:rFonts w:eastAsia="Times New Roman"/>
              </w:rPr>
            </w:pPr>
            <w:r>
              <w:rPr>
                <w:rFonts w:eastAsia="Times New Roman"/>
                <w:color w:val="000000"/>
                <w:sz w:val="20"/>
                <w:szCs w:val="20"/>
              </w:rPr>
              <w:t>24.24</w:t>
            </w:r>
          </w:p>
        </w:tc>
        <w:tc>
          <w:tcPr>
            <w:tcW w:w="0" w:type="auto"/>
            <w:gridSpan w:val="3"/>
            <w:shd w:val="clear" w:color="auto" w:fill="FFFFFF"/>
            <w:tcMar>
              <w:top w:w="0" w:type="dxa"/>
              <w:left w:w="20" w:type="dxa"/>
              <w:bottom w:w="0" w:type="dxa"/>
              <w:right w:w="20" w:type="dxa"/>
            </w:tcMar>
            <w:vAlign w:val="center"/>
            <w:hideMark/>
          </w:tcPr>
          <w:p w14:paraId="4D7FD22E"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AEFF1C" w14:textId="77777777" w:rsidR="00000000" w:rsidRDefault="00A173A8">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437DAB31"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71D3E5B"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EE14CE" w14:textId="77777777" w:rsidR="00000000" w:rsidRDefault="00A173A8">
            <w:pPr>
              <w:spacing w:after="100"/>
              <w:jc w:val="right"/>
              <w:rPr>
                <w:rFonts w:eastAsia="Times New Roman"/>
              </w:rPr>
            </w:pPr>
            <w:r>
              <w:rPr>
                <w:rFonts w:eastAsia="Times New Roman"/>
                <w:b/>
                <w:bCs/>
                <w:color w:val="000000"/>
                <w:sz w:val="20"/>
                <w:szCs w:val="20"/>
              </w:rPr>
              <w:t>16.43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3A104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2F7D55"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6FE7DA8D" w14:textId="77777777" w:rsidR="00000000" w:rsidRDefault="00A173A8">
            <w:pPr>
              <w:spacing w:after="100"/>
              <w:jc w:val="right"/>
              <w:rPr>
                <w:rFonts w:eastAsia="Times New Roman"/>
              </w:rPr>
            </w:pPr>
            <w:r>
              <w:rPr>
                <w:rFonts w:eastAsia="Times New Roman"/>
                <w:color w:val="000000"/>
                <w:sz w:val="20"/>
                <w:szCs w:val="20"/>
              </w:rPr>
              <w:t>23.73</w:t>
            </w:r>
          </w:p>
        </w:tc>
        <w:tc>
          <w:tcPr>
            <w:tcW w:w="0" w:type="auto"/>
            <w:vAlign w:val="center"/>
            <w:hideMark/>
          </w:tcPr>
          <w:p w14:paraId="2CB847AA" w14:textId="77777777" w:rsidR="00000000" w:rsidRDefault="00A173A8">
            <w:pPr>
              <w:spacing w:after="100"/>
              <w:jc w:val="right"/>
              <w:rPr>
                <w:rFonts w:eastAsia="Times New Roman"/>
              </w:rPr>
            </w:pPr>
          </w:p>
        </w:tc>
        <w:tc>
          <w:tcPr>
            <w:tcW w:w="0" w:type="auto"/>
            <w:vAlign w:val="center"/>
            <w:hideMark/>
          </w:tcPr>
          <w:p w14:paraId="34A202B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4F555D" w14:textId="77777777" w:rsidR="00000000" w:rsidRDefault="00A173A8">
            <w:pPr>
              <w:spacing w:after="100"/>
              <w:rPr>
                <w:rFonts w:eastAsia="Times New Roman"/>
                <w:sz w:val="20"/>
                <w:szCs w:val="20"/>
              </w:rPr>
            </w:pPr>
          </w:p>
        </w:tc>
        <w:tc>
          <w:tcPr>
            <w:tcW w:w="0" w:type="auto"/>
            <w:vAlign w:val="center"/>
            <w:hideMark/>
          </w:tcPr>
          <w:p w14:paraId="6C8AA8AC" w14:textId="77777777" w:rsidR="00000000" w:rsidRDefault="00A173A8">
            <w:pPr>
              <w:spacing w:after="100"/>
              <w:rPr>
                <w:rFonts w:eastAsia="Times New Roman"/>
                <w:sz w:val="20"/>
                <w:szCs w:val="20"/>
              </w:rPr>
            </w:pPr>
          </w:p>
        </w:tc>
        <w:tc>
          <w:tcPr>
            <w:tcW w:w="0" w:type="auto"/>
            <w:gridSpan w:val="3"/>
            <w:vAlign w:val="center"/>
            <w:hideMark/>
          </w:tcPr>
          <w:p w14:paraId="1E75D129" w14:textId="77777777" w:rsidR="00000000" w:rsidRDefault="00A173A8">
            <w:pPr>
              <w:spacing w:after="100"/>
              <w:rPr>
                <w:rFonts w:eastAsia="Times New Roman"/>
                <w:sz w:val="20"/>
                <w:szCs w:val="20"/>
              </w:rPr>
            </w:pPr>
          </w:p>
        </w:tc>
        <w:tc>
          <w:tcPr>
            <w:tcW w:w="0" w:type="auto"/>
            <w:gridSpan w:val="3"/>
            <w:vAlign w:val="center"/>
            <w:hideMark/>
          </w:tcPr>
          <w:p w14:paraId="28E5E358" w14:textId="77777777" w:rsidR="00000000" w:rsidRDefault="00A173A8">
            <w:pPr>
              <w:spacing w:after="100"/>
              <w:rPr>
                <w:rFonts w:eastAsia="Times New Roman"/>
                <w:sz w:val="20"/>
                <w:szCs w:val="20"/>
              </w:rPr>
            </w:pPr>
          </w:p>
        </w:tc>
        <w:tc>
          <w:tcPr>
            <w:tcW w:w="0" w:type="auto"/>
            <w:gridSpan w:val="3"/>
            <w:vAlign w:val="center"/>
            <w:hideMark/>
          </w:tcPr>
          <w:p w14:paraId="164F6B75"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DA1BBA" w14:textId="77777777" w:rsidR="00000000" w:rsidRDefault="00A173A8">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6D669F8F"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15042DDC" w14:textId="77777777" w:rsidR="00000000" w:rsidRDefault="00A173A8">
            <w:pPr>
              <w:spacing w:after="100"/>
              <w:jc w:val="right"/>
              <w:rPr>
                <w:rFonts w:eastAsia="Times New Roman"/>
              </w:rPr>
            </w:pPr>
          </w:p>
        </w:tc>
        <w:tc>
          <w:tcPr>
            <w:tcW w:w="0" w:type="auto"/>
            <w:gridSpan w:val="2"/>
            <w:vAlign w:val="center"/>
            <w:hideMark/>
          </w:tcPr>
          <w:p w14:paraId="5C5FFC9B" w14:textId="77777777" w:rsidR="00000000" w:rsidRDefault="00A173A8">
            <w:pPr>
              <w:spacing w:after="100"/>
              <w:rPr>
                <w:rFonts w:eastAsia="Times New Roman"/>
                <w:sz w:val="20"/>
                <w:szCs w:val="20"/>
              </w:rPr>
            </w:pPr>
          </w:p>
        </w:tc>
      </w:tr>
      <w:tr w:rsidR="00000000" w14:paraId="70695D87" w14:textId="77777777">
        <w:trPr>
          <w:divId w:val="1533881267"/>
        </w:trPr>
        <w:tc>
          <w:tcPr>
            <w:tcW w:w="0" w:type="auto"/>
            <w:gridSpan w:val="3"/>
            <w:shd w:val="clear" w:color="auto" w:fill="CCEEFF"/>
            <w:tcMar>
              <w:top w:w="30" w:type="dxa"/>
              <w:left w:w="20" w:type="dxa"/>
              <w:bottom w:w="30" w:type="dxa"/>
              <w:right w:w="20" w:type="dxa"/>
            </w:tcMar>
            <w:vAlign w:val="center"/>
            <w:hideMark/>
          </w:tcPr>
          <w:p w14:paraId="39F64A55" w14:textId="77777777" w:rsidR="00000000" w:rsidRDefault="00A173A8">
            <w:pPr>
              <w:spacing w:after="100"/>
              <w:divId w:val="684289941"/>
              <w:rPr>
                <w:rFonts w:eastAsia="Times New Roman"/>
              </w:rPr>
            </w:pPr>
            <w:r>
              <w:rPr>
                <w:rFonts w:eastAsia="Times New Roman"/>
                <w:color w:val="000000"/>
                <w:sz w:val="20"/>
                <w:szCs w:val="20"/>
              </w:rPr>
              <w:t>Return on average tangible common equit</w:t>
            </w:r>
            <w:r>
              <w:rPr>
                <w:rFonts w:eastAsia="Times New Roman"/>
                <w:color w:val="000000"/>
                <w:sz w:val="20"/>
                <w:szCs w:val="20"/>
              </w:rPr>
              <w:t>y</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88E6C8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E57198" w14:textId="77777777" w:rsidR="00000000" w:rsidRDefault="00A173A8">
            <w:pPr>
              <w:spacing w:after="100"/>
              <w:jc w:val="right"/>
              <w:rPr>
                <w:rFonts w:eastAsia="Times New Roman"/>
              </w:rPr>
            </w:pPr>
            <w:r>
              <w:rPr>
                <w:rFonts w:eastAsia="Times New Roman"/>
                <w:b/>
                <w:bCs/>
                <w:color w:val="000000"/>
                <w:sz w:val="20"/>
                <w:szCs w:val="20"/>
              </w:rPr>
              <w:t>22.63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F43C12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564625"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9CDC3C6" w14:textId="77777777" w:rsidR="00000000" w:rsidRDefault="00A173A8">
            <w:pPr>
              <w:spacing w:after="100"/>
              <w:jc w:val="right"/>
              <w:rPr>
                <w:rFonts w:eastAsia="Times New Roman"/>
              </w:rPr>
            </w:pPr>
            <w:r>
              <w:rPr>
                <w:rFonts w:eastAsia="Times New Roman"/>
                <w:color w:val="000000"/>
                <w:sz w:val="20"/>
                <w:szCs w:val="20"/>
              </w:rPr>
              <w:t>32.75</w:t>
            </w:r>
          </w:p>
        </w:tc>
        <w:tc>
          <w:tcPr>
            <w:tcW w:w="0" w:type="auto"/>
            <w:gridSpan w:val="3"/>
            <w:shd w:val="clear" w:color="auto" w:fill="CCEEFF"/>
            <w:tcMar>
              <w:top w:w="0" w:type="dxa"/>
              <w:left w:w="20" w:type="dxa"/>
              <w:bottom w:w="0" w:type="dxa"/>
              <w:right w:w="20" w:type="dxa"/>
            </w:tcMar>
            <w:vAlign w:val="center"/>
            <w:hideMark/>
          </w:tcPr>
          <w:p w14:paraId="05DC3D9A"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33F909" w14:textId="77777777" w:rsidR="00000000" w:rsidRDefault="00A173A8">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7DE5C20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19F2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5434F9" w14:textId="77777777" w:rsidR="00000000" w:rsidRDefault="00A173A8">
            <w:pPr>
              <w:spacing w:after="100"/>
              <w:jc w:val="right"/>
              <w:rPr>
                <w:rFonts w:eastAsia="Times New Roman"/>
              </w:rPr>
            </w:pPr>
            <w:r>
              <w:rPr>
                <w:rFonts w:eastAsia="Times New Roman"/>
                <w:b/>
                <w:bCs/>
                <w:color w:val="000000"/>
                <w:sz w:val="20"/>
                <w:szCs w:val="20"/>
              </w:rPr>
              <w:t>23.03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981142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EE8131"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43DF2604" w14:textId="77777777" w:rsidR="00000000" w:rsidRDefault="00A173A8">
            <w:pPr>
              <w:spacing w:after="100"/>
              <w:jc w:val="right"/>
              <w:rPr>
                <w:rFonts w:eastAsia="Times New Roman"/>
              </w:rPr>
            </w:pPr>
            <w:r>
              <w:rPr>
                <w:rFonts w:eastAsia="Times New Roman"/>
                <w:color w:val="000000"/>
                <w:sz w:val="20"/>
                <w:szCs w:val="20"/>
              </w:rPr>
              <w:t>32.19</w:t>
            </w:r>
          </w:p>
        </w:tc>
        <w:tc>
          <w:tcPr>
            <w:tcW w:w="0" w:type="auto"/>
            <w:vAlign w:val="center"/>
            <w:hideMark/>
          </w:tcPr>
          <w:p w14:paraId="62C252E6" w14:textId="77777777" w:rsidR="00000000" w:rsidRDefault="00A173A8">
            <w:pPr>
              <w:spacing w:after="100"/>
              <w:jc w:val="right"/>
              <w:rPr>
                <w:rFonts w:eastAsia="Times New Roman"/>
              </w:rPr>
            </w:pPr>
          </w:p>
        </w:tc>
        <w:tc>
          <w:tcPr>
            <w:tcW w:w="0" w:type="auto"/>
            <w:vAlign w:val="center"/>
            <w:hideMark/>
          </w:tcPr>
          <w:p w14:paraId="53F32D8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266411" w14:textId="77777777" w:rsidR="00000000" w:rsidRDefault="00A173A8">
            <w:pPr>
              <w:spacing w:after="100"/>
              <w:rPr>
                <w:rFonts w:eastAsia="Times New Roman"/>
                <w:sz w:val="20"/>
                <w:szCs w:val="20"/>
              </w:rPr>
            </w:pPr>
          </w:p>
        </w:tc>
        <w:tc>
          <w:tcPr>
            <w:tcW w:w="0" w:type="auto"/>
            <w:vAlign w:val="center"/>
            <w:hideMark/>
          </w:tcPr>
          <w:p w14:paraId="62D9B9B7" w14:textId="77777777" w:rsidR="00000000" w:rsidRDefault="00A173A8">
            <w:pPr>
              <w:spacing w:after="100"/>
              <w:rPr>
                <w:rFonts w:eastAsia="Times New Roman"/>
                <w:sz w:val="20"/>
                <w:szCs w:val="20"/>
              </w:rPr>
            </w:pPr>
          </w:p>
        </w:tc>
        <w:tc>
          <w:tcPr>
            <w:tcW w:w="0" w:type="auto"/>
            <w:gridSpan w:val="3"/>
            <w:vAlign w:val="center"/>
            <w:hideMark/>
          </w:tcPr>
          <w:p w14:paraId="55B67DA4" w14:textId="77777777" w:rsidR="00000000" w:rsidRDefault="00A173A8">
            <w:pPr>
              <w:spacing w:after="100"/>
              <w:rPr>
                <w:rFonts w:eastAsia="Times New Roman"/>
                <w:sz w:val="20"/>
                <w:szCs w:val="20"/>
              </w:rPr>
            </w:pPr>
          </w:p>
        </w:tc>
        <w:tc>
          <w:tcPr>
            <w:tcW w:w="0" w:type="auto"/>
            <w:gridSpan w:val="3"/>
            <w:vAlign w:val="center"/>
            <w:hideMark/>
          </w:tcPr>
          <w:p w14:paraId="54FEE673" w14:textId="77777777" w:rsidR="00000000" w:rsidRDefault="00A173A8">
            <w:pPr>
              <w:spacing w:after="100"/>
              <w:rPr>
                <w:rFonts w:eastAsia="Times New Roman"/>
                <w:sz w:val="20"/>
                <w:szCs w:val="20"/>
              </w:rPr>
            </w:pPr>
          </w:p>
        </w:tc>
        <w:tc>
          <w:tcPr>
            <w:tcW w:w="0" w:type="auto"/>
            <w:gridSpan w:val="3"/>
            <w:vAlign w:val="center"/>
            <w:hideMark/>
          </w:tcPr>
          <w:p w14:paraId="51DBBCDE"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E96A7C" w14:textId="77777777" w:rsidR="00000000" w:rsidRDefault="00A173A8">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14:paraId="16A70F16" w14:textId="77777777" w:rsidR="00000000" w:rsidRDefault="00A173A8">
            <w:pPr>
              <w:spacing w:after="100"/>
              <w:jc w:val="right"/>
              <w:rPr>
                <w:rFonts w:eastAsia="Times New Roman"/>
              </w:rPr>
            </w:pPr>
          </w:p>
        </w:tc>
        <w:tc>
          <w:tcPr>
            <w:tcW w:w="0" w:type="auto"/>
            <w:gridSpan w:val="3"/>
            <w:vAlign w:val="center"/>
            <w:hideMark/>
          </w:tcPr>
          <w:p w14:paraId="21FA722C" w14:textId="77777777" w:rsidR="00000000" w:rsidRDefault="00A173A8">
            <w:pPr>
              <w:spacing w:after="100"/>
              <w:jc w:val="right"/>
              <w:rPr>
                <w:rFonts w:eastAsia="Times New Roman"/>
                <w:sz w:val="20"/>
                <w:szCs w:val="20"/>
              </w:rPr>
            </w:pPr>
          </w:p>
        </w:tc>
        <w:tc>
          <w:tcPr>
            <w:tcW w:w="0" w:type="auto"/>
            <w:gridSpan w:val="2"/>
            <w:vAlign w:val="center"/>
            <w:hideMark/>
          </w:tcPr>
          <w:p w14:paraId="1FFAB7C9" w14:textId="77777777" w:rsidR="00000000" w:rsidRDefault="00A173A8">
            <w:pPr>
              <w:spacing w:after="100"/>
              <w:rPr>
                <w:rFonts w:eastAsia="Times New Roman"/>
                <w:sz w:val="20"/>
                <w:szCs w:val="20"/>
              </w:rPr>
            </w:pPr>
          </w:p>
        </w:tc>
      </w:tr>
      <w:tr w:rsidR="00000000" w14:paraId="250B2AC3" w14:textId="77777777">
        <w:trPr>
          <w:divId w:val="1533881267"/>
        </w:trPr>
        <w:tc>
          <w:tcPr>
            <w:tcW w:w="0" w:type="auto"/>
            <w:gridSpan w:val="3"/>
            <w:shd w:val="clear" w:color="auto" w:fill="FFFFFF"/>
            <w:tcMar>
              <w:top w:w="30" w:type="dxa"/>
              <w:left w:w="20" w:type="dxa"/>
              <w:bottom w:w="30" w:type="dxa"/>
              <w:right w:w="20" w:type="dxa"/>
            </w:tcMar>
            <w:vAlign w:val="center"/>
            <w:hideMark/>
          </w:tcPr>
          <w:p w14:paraId="1535F723" w14:textId="77777777" w:rsidR="00000000" w:rsidRDefault="00A173A8">
            <w:pPr>
              <w:spacing w:after="100"/>
              <w:divId w:val="1220826831"/>
              <w:rPr>
                <w:rFonts w:eastAsia="Times New Roman"/>
              </w:rPr>
            </w:pPr>
            <w:r>
              <w:rPr>
                <w:rFonts w:eastAsia="Times New Roman"/>
                <w:color w:val="000000"/>
                <w:sz w:val="20"/>
                <w:szCs w:val="20"/>
              </w:rPr>
              <w:t>Equity-to-assets rati</w:t>
            </w:r>
            <w:r>
              <w:rPr>
                <w:rFonts w:eastAsia="Times New Roman"/>
                <w:color w:val="000000"/>
                <w:sz w:val="20"/>
                <w:szCs w:val="20"/>
              </w:rPr>
              <w:t>o</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256AD3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3F0279" w14:textId="77777777" w:rsidR="00000000" w:rsidRDefault="00A173A8">
            <w:pPr>
              <w:spacing w:after="100"/>
              <w:jc w:val="right"/>
              <w:rPr>
                <w:rFonts w:eastAsia="Times New Roman"/>
              </w:rPr>
            </w:pPr>
            <w:r>
              <w:rPr>
                <w:rFonts w:eastAsia="Times New Roman"/>
                <w:b/>
                <w:bCs/>
                <w:color w:val="000000"/>
                <w:sz w:val="20"/>
                <w:szCs w:val="20"/>
              </w:rPr>
              <w:t>12.44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4EB5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FE58F"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0F666AB4" w14:textId="77777777" w:rsidR="00000000" w:rsidRDefault="00A173A8">
            <w:pPr>
              <w:spacing w:after="100"/>
              <w:jc w:val="right"/>
              <w:rPr>
                <w:rFonts w:eastAsia="Times New Roman"/>
              </w:rPr>
            </w:pPr>
            <w:r>
              <w:rPr>
                <w:rFonts w:eastAsia="Times New Roman"/>
                <w:color w:val="000000"/>
                <w:sz w:val="20"/>
                <w:szCs w:val="20"/>
              </w:rPr>
              <w:t>14.71</w:t>
            </w:r>
          </w:p>
        </w:tc>
        <w:tc>
          <w:tcPr>
            <w:tcW w:w="0" w:type="auto"/>
            <w:gridSpan w:val="3"/>
            <w:shd w:val="clear" w:color="auto" w:fill="FFFFFF"/>
            <w:tcMar>
              <w:top w:w="0" w:type="dxa"/>
              <w:left w:w="20" w:type="dxa"/>
              <w:bottom w:w="0" w:type="dxa"/>
              <w:right w:w="20" w:type="dxa"/>
            </w:tcMar>
            <w:vAlign w:val="center"/>
            <w:hideMark/>
          </w:tcPr>
          <w:p w14:paraId="6718475E"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76C208" w14:textId="77777777" w:rsidR="00000000" w:rsidRDefault="00A173A8">
            <w:pPr>
              <w:spacing w:after="100"/>
              <w:jc w:val="right"/>
              <w:rPr>
                <w:rFonts w:eastAsia="Times New Roman"/>
              </w:rPr>
            </w:pPr>
            <w:r>
              <w:rPr>
                <w:rFonts w:eastAsia="Times New Roman"/>
                <w:color w:val="000000"/>
                <w:sz w:val="20"/>
                <w:szCs w:val="20"/>
              </w:rPr>
              <w:t>(227)</w:t>
            </w:r>
          </w:p>
        </w:tc>
        <w:tc>
          <w:tcPr>
            <w:tcW w:w="0" w:type="auto"/>
            <w:shd w:val="clear" w:color="auto" w:fill="FFFFFF"/>
            <w:tcMar>
              <w:top w:w="30" w:type="dxa"/>
              <w:left w:w="0" w:type="dxa"/>
              <w:bottom w:w="30" w:type="dxa"/>
              <w:right w:w="20" w:type="dxa"/>
            </w:tcMar>
            <w:vAlign w:val="bottom"/>
            <w:hideMark/>
          </w:tcPr>
          <w:p w14:paraId="4BFE816D"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shd w:val="clear" w:color="auto" w:fill="FFFFFF"/>
            <w:tcMar>
              <w:top w:w="0" w:type="dxa"/>
              <w:left w:w="20" w:type="dxa"/>
              <w:bottom w:w="0" w:type="dxa"/>
              <w:right w:w="20" w:type="dxa"/>
            </w:tcMar>
            <w:vAlign w:val="center"/>
            <w:hideMark/>
          </w:tcPr>
          <w:p w14:paraId="7DB8083D"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20FD9B" w14:textId="77777777" w:rsidR="00000000" w:rsidRDefault="00A173A8">
            <w:pPr>
              <w:spacing w:after="100"/>
              <w:jc w:val="right"/>
              <w:rPr>
                <w:rFonts w:eastAsia="Times New Roman"/>
              </w:rPr>
            </w:pPr>
            <w:r>
              <w:rPr>
                <w:rFonts w:eastAsia="Times New Roman"/>
                <w:b/>
                <w:bCs/>
                <w:color w:val="000000"/>
                <w:sz w:val="20"/>
                <w:szCs w:val="20"/>
              </w:rPr>
              <w:t>13.12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ADD71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12E2C"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7FF53D40" w14:textId="77777777" w:rsidR="00000000" w:rsidRDefault="00A173A8">
            <w:pPr>
              <w:spacing w:after="100"/>
              <w:jc w:val="right"/>
              <w:rPr>
                <w:rFonts w:eastAsia="Times New Roman"/>
              </w:rPr>
            </w:pPr>
            <w:r>
              <w:rPr>
                <w:rFonts w:eastAsia="Times New Roman"/>
                <w:color w:val="000000"/>
                <w:sz w:val="20"/>
                <w:szCs w:val="20"/>
              </w:rPr>
              <w:t>14.54</w:t>
            </w:r>
          </w:p>
        </w:tc>
        <w:tc>
          <w:tcPr>
            <w:tcW w:w="0" w:type="auto"/>
            <w:vAlign w:val="center"/>
            <w:hideMark/>
          </w:tcPr>
          <w:p w14:paraId="7E3BB655" w14:textId="77777777" w:rsidR="00000000" w:rsidRDefault="00A173A8">
            <w:pPr>
              <w:spacing w:after="100"/>
              <w:jc w:val="right"/>
              <w:rPr>
                <w:rFonts w:eastAsia="Times New Roman"/>
              </w:rPr>
            </w:pPr>
          </w:p>
        </w:tc>
        <w:tc>
          <w:tcPr>
            <w:tcW w:w="0" w:type="auto"/>
            <w:vAlign w:val="center"/>
            <w:hideMark/>
          </w:tcPr>
          <w:p w14:paraId="53CEE54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3E74CA" w14:textId="77777777" w:rsidR="00000000" w:rsidRDefault="00A173A8">
            <w:pPr>
              <w:spacing w:after="100"/>
              <w:rPr>
                <w:rFonts w:eastAsia="Times New Roman"/>
                <w:sz w:val="20"/>
                <w:szCs w:val="20"/>
              </w:rPr>
            </w:pPr>
          </w:p>
        </w:tc>
        <w:tc>
          <w:tcPr>
            <w:tcW w:w="0" w:type="auto"/>
            <w:vAlign w:val="center"/>
            <w:hideMark/>
          </w:tcPr>
          <w:p w14:paraId="4E13325D" w14:textId="77777777" w:rsidR="00000000" w:rsidRDefault="00A173A8">
            <w:pPr>
              <w:spacing w:after="100"/>
              <w:rPr>
                <w:rFonts w:eastAsia="Times New Roman"/>
                <w:sz w:val="20"/>
                <w:szCs w:val="20"/>
              </w:rPr>
            </w:pPr>
          </w:p>
        </w:tc>
        <w:tc>
          <w:tcPr>
            <w:tcW w:w="0" w:type="auto"/>
            <w:gridSpan w:val="3"/>
            <w:vAlign w:val="center"/>
            <w:hideMark/>
          </w:tcPr>
          <w:p w14:paraId="517FF07A" w14:textId="77777777" w:rsidR="00000000" w:rsidRDefault="00A173A8">
            <w:pPr>
              <w:spacing w:after="100"/>
              <w:rPr>
                <w:rFonts w:eastAsia="Times New Roman"/>
                <w:sz w:val="20"/>
                <w:szCs w:val="20"/>
              </w:rPr>
            </w:pPr>
          </w:p>
        </w:tc>
        <w:tc>
          <w:tcPr>
            <w:tcW w:w="0" w:type="auto"/>
            <w:gridSpan w:val="3"/>
            <w:vAlign w:val="center"/>
            <w:hideMark/>
          </w:tcPr>
          <w:p w14:paraId="3439583B" w14:textId="77777777" w:rsidR="00000000" w:rsidRDefault="00A173A8">
            <w:pPr>
              <w:spacing w:after="100"/>
              <w:rPr>
                <w:rFonts w:eastAsia="Times New Roman"/>
                <w:sz w:val="20"/>
                <w:szCs w:val="20"/>
              </w:rPr>
            </w:pPr>
          </w:p>
        </w:tc>
        <w:tc>
          <w:tcPr>
            <w:tcW w:w="0" w:type="auto"/>
            <w:gridSpan w:val="3"/>
            <w:vAlign w:val="center"/>
            <w:hideMark/>
          </w:tcPr>
          <w:p w14:paraId="16FA9618"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CD536" w14:textId="77777777" w:rsidR="00000000" w:rsidRDefault="00A173A8">
            <w:pPr>
              <w:spacing w:after="100"/>
              <w:jc w:val="right"/>
              <w:rPr>
                <w:rFonts w:eastAsia="Times New Roman"/>
              </w:rPr>
            </w:pPr>
            <w:r>
              <w:rPr>
                <w:rFonts w:eastAsia="Times New Roman"/>
                <w:color w:val="000000"/>
                <w:sz w:val="20"/>
                <w:szCs w:val="20"/>
              </w:rPr>
              <w:t>(142)</w:t>
            </w:r>
          </w:p>
        </w:tc>
        <w:tc>
          <w:tcPr>
            <w:tcW w:w="0" w:type="auto"/>
            <w:shd w:val="clear" w:color="auto" w:fill="FFFFFF"/>
            <w:tcMar>
              <w:top w:w="30" w:type="dxa"/>
              <w:left w:w="0" w:type="dxa"/>
              <w:bottom w:w="30" w:type="dxa"/>
              <w:right w:w="20" w:type="dxa"/>
            </w:tcMar>
            <w:vAlign w:val="bottom"/>
            <w:hideMark/>
          </w:tcPr>
          <w:p w14:paraId="526C3ED3"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1DB30610" w14:textId="77777777" w:rsidR="00000000" w:rsidRDefault="00A173A8">
            <w:pPr>
              <w:spacing w:after="100"/>
              <w:jc w:val="right"/>
              <w:rPr>
                <w:rFonts w:eastAsia="Times New Roman"/>
              </w:rPr>
            </w:pPr>
          </w:p>
        </w:tc>
        <w:tc>
          <w:tcPr>
            <w:tcW w:w="0" w:type="auto"/>
            <w:gridSpan w:val="2"/>
            <w:vAlign w:val="center"/>
            <w:hideMark/>
          </w:tcPr>
          <w:p w14:paraId="77FC4C61" w14:textId="77777777" w:rsidR="00000000" w:rsidRDefault="00A173A8">
            <w:pPr>
              <w:spacing w:after="100"/>
              <w:rPr>
                <w:rFonts w:eastAsia="Times New Roman"/>
                <w:sz w:val="20"/>
                <w:szCs w:val="20"/>
              </w:rPr>
            </w:pPr>
          </w:p>
        </w:tc>
      </w:tr>
      <w:tr w:rsidR="00000000" w14:paraId="1FFC50C3" w14:textId="77777777">
        <w:trPr>
          <w:divId w:val="1533881267"/>
        </w:trPr>
        <w:tc>
          <w:tcPr>
            <w:tcW w:w="0" w:type="auto"/>
            <w:gridSpan w:val="3"/>
            <w:shd w:val="clear" w:color="auto" w:fill="CCEEFF"/>
            <w:tcMar>
              <w:top w:w="30" w:type="dxa"/>
              <w:left w:w="20" w:type="dxa"/>
              <w:bottom w:w="30" w:type="dxa"/>
              <w:right w:w="20" w:type="dxa"/>
            </w:tcMar>
            <w:vAlign w:val="center"/>
            <w:hideMark/>
          </w:tcPr>
          <w:p w14:paraId="387448B1" w14:textId="77777777" w:rsidR="00000000" w:rsidRDefault="00A173A8">
            <w:pPr>
              <w:spacing w:after="100"/>
              <w:rPr>
                <w:rFonts w:eastAsia="Times New Roman"/>
              </w:rPr>
            </w:pPr>
            <w:r>
              <w:rPr>
                <w:rFonts w:eastAsia="Times New Roman"/>
                <w:color w:val="000000"/>
                <w:sz w:val="20"/>
                <w:szCs w:val="20"/>
              </w:rPr>
              <w:t>Non-interest expense as a percentage of average loans held for investment</w:t>
            </w:r>
          </w:p>
        </w:tc>
        <w:tc>
          <w:tcPr>
            <w:tcW w:w="0" w:type="auto"/>
            <w:gridSpan w:val="3"/>
            <w:shd w:val="clear" w:color="auto" w:fill="CCEEFF"/>
            <w:tcMar>
              <w:top w:w="0" w:type="dxa"/>
              <w:left w:w="20" w:type="dxa"/>
              <w:bottom w:w="0" w:type="dxa"/>
              <w:right w:w="20" w:type="dxa"/>
            </w:tcMar>
            <w:vAlign w:val="center"/>
            <w:hideMark/>
          </w:tcPr>
          <w:p w14:paraId="60157D9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7F50FC" w14:textId="77777777" w:rsidR="00000000" w:rsidRDefault="00A173A8">
            <w:pPr>
              <w:spacing w:after="100"/>
              <w:jc w:val="right"/>
              <w:rPr>
                <w:rFonts w:eastAsia="Times New Roman"/>
              </w:rPr>
            </w:pPr>
            <w:r>
              <w:rPr>
                <w:rFonts w:eastAsia="Times New Roman"/>
                <w:b/>
                <w:bCs/>
                <w:color w:val="000000"/>
                <w:sz w:val="20"/>
                <w:szCs w:val="20"/>
              </w:rPr>
              <w:t>6.41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652B2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8D7B7"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0B985110" w14:textId="77777777" w:rsidR="00000000" w:rsidRDefault="00A173A8">
            <w:pPr>
              <w:spacing w:after="100"/>
              <w:jc w:val="right"/>
              <w:rPr>
                <w:rFonts w:eastAsia="Times New Roman"/>
              </w:rPr>
            </w:pPr>
            <w:r>
              <w:rPr>
                <w:rFonts w:eastAsia="Times New Roman"/>
                <w:color w:val="000000"/>
                <w:sz w:val="20"/>
                <w:szCs w:val="20"/>
              </w:rPr>
              <w:t>6.44</w:t>
            </w:r>
          </w:p>
        </w:tc>
        <w:tc>
          <w:tcPr>
            <w:tcW w:w="0" w:type="auto"/>
            <w:gridSpan w:val="3"/>
            <w:shd w:val="clear" w:color="auto" w:fill="CCEEFF"/>
            <w:tcMar>
              <w:top w:w="0" w:type="dxa"/>
              <w:left w:w="20" w:type="dxa"/>
              <w:bottom w:w="0" w:type="dxa"/>
              <w:right w:w="20" w:type="dxa"/>
            </w:tcMar>
            <w:vAlign w:val="center"/>
            <w:hideMark/>
          </w:tcPr>
          <w:p w14:paraId="6D6A9486"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CD0BDFC" w14:textId="77777777" w:rsidR="00000000" w:rsidRDefault="00A173A8">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14:paraId="5F15363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CD319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F38F39" w14:textId="77777777" w:rsidR="00000000" w:rsidRDefault="00A173A8">
            <w:pPr>
              <w:spacing w:after="100"/>
              <w:jc w:val="right"/>
              <w:rPr>
                <w:rFonts w:eastAsia="Times New Roman"/>
              </w:rPr>
            </w:pPr>
            <w:r>
              <w:rPr>
                <w:rFonts w:eastAsia="Times New Roman"/>
                <w:b/>
                <w:bCs/>
                <w:color w:val="000000"/>
                <w:sz w:val="20"/>
                <w:szCs w:val="20"/>
              </w:rPr>
              <w:t>6.51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CA47B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2EE2D1"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67C05EDD" w14:textId="77777777" w:rsidR="00000000" w:rsidRDefault="00A173A8">
            <w:pPr>
              <w:spacing w:after="100"/>
              <w:jc w:val="right"/>
              <w:rPr>
                <w:rFonts w:eastAsia="Times New Roman"/>
              </w:rPr>
            </w:pPr>
            <w:r>
              <w:rPr>
                <w:rFonts w:eastAsia="Times New Roman"/>
                <w:color w:val="000000"/>
                <w:sz w:val="20"/>
                <w:szCs w:val="20"/>
              </w:rPr>
              <w:t>6.29</w:t>
            </w:r>
          </w:p>
        </w:tc>
        <w:tc>
          <w:tcPr>
            <w:tcW w:w="0" w:type="auto"/>
            <w:vAlign w:val="center"/>
            <w:hideMark/>
          </w:tcPr>
          <w:p w14:paraId="5A0436B3" w14:textId="77777777" w:rsidR="00000000" w:rsidRDefault="00A173A8">
            <w:pPr>
              <w:spacing w:after="100"/>
              <w:jc w:val="right"/>
              <w:rPr>
                <w:rFonts w:eastAsia="Times New Roman"/>
              </w:rPr>
            </w:pPr>
          </w:p>
        </w:tc>
        <w:tc>
          <w:tcPr>
            <w:tcW w:w="0" w:type="auto"/>
            <w:vAlign w:val="center"/>
            <w:hideMark/>
          </w:tcPr>
          <w:p w14:paraId="6EB358E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658022" w14:textId="77777777" w:rsidR="00000000" w:rsidRDefault="00A173A8">
            <w:pPr>
              <w:spacing w:after="100"/>
              <w:rPr>
                <w:rFonts w:eastAsia="Times New Roman"/>
                <w:sz w:val="20"/>
                <w:szCs w:val="20"/>
              </w:rPr>
            </w:pPr>
          </w:p>
        </w:tc>
        <w:tc>
          <w:tcPr>
            <w:tcW w:w="0" w:type="auto"/>
            <w:vAlign w:val="center"/>
            <w:hideMark/>
          </w:tcPr>
          <w:p w14:paraId="5DF194CE" w14:textId="77777777" w:rsidR="00000000" w:rsidRDefault="00A173A8">
            <w:pPr>
              <w:spacing w:after="100"/>
              <w:rPr>
                <w:rFonts w:eastAsia="Times New Roman"/>
                <w:sz w:val="20"/>
                <w:szCs w:val="20"/>
              </w:rPr>
            </w:pPr>
          </w:p>
        </w:tc>
        <w:tc>
          <w:tcPr>
            <w:tcW w:w="0" w:type="auto"/>
            <w:gridSpan w:val="3"/>
            <w:vAlign w:val="center"/>
            <w:hideMark/>
          </w:tcPr>
          <w:p w14:paraId="17E697CD" w14:textId="77777777" w:rsidR="00000000" w:rsidRDefault="00A173A8">
            <w:pPr>
              <w:spacing w:after="100"/>
              <w:rPr>
                <w:rFonts w:eastAsia="Times New Roman"/>
                <w:sz w:val="20"/>
                <w:szCs w:val="20"/>
              </w:rPr>
            </w:pPr>
          </w:p>
        </w:tc>
        <w:tc>
          <w:tcPr>
            <w:tcW w:w="0" w:type="auto"/>
            <w:gridSpan w:val="3"/>
            <w:vAlign w:val="center"/>
            <w:hideMark/>
          </w:tcPr>
          <w:p w14:paraId="045A5BB5" w14:textId="77777777" w:rsidR="00000000" w:rsidRDefault="00A173A8">
            <w:pPr>
              <w:spacing w:after="100"/>
              <w:rPr>
                <w:rFonts w:eastAsia="Times New Roman"/>
                <w:sz w:val="20"/>
                <w:szCs w:val="20"/>
              </w:rPr>
            </w:pPr>
          </w:p>
        </w:tc>
        <w:tc>
          <w:tcPr>
            <w:tcW w:w="0" w:type="auto"/>
            <w:gridSpan w:val="3"/>
            <w:vAlign w:val="center"/>
            <w:hideMark/>
          </w:tcPr>
          <w:p w14:paraId="197CE621"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953C61" w14:textId="77777777" w:rsidR="00000000" w:rsidRDefault="00A173A8">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633A3E83" w14:textId="77777777" w:rsidR="00000000" w:rsidRDefault="00A173A8">
            <w:pPr>
              <w:spacing w:after="100"/>
              <w:jc w:val="right"/>
              <w:rPr>
                <w:rFonts w:eastAsia="Times New Roman"/>
              </w:rPr>
            </w:pPr>
          </w:p>
        </w:tc>
        <w:tc>
          <w:tcPr>
            <w:tcW w:w="0" w:type="auto"/>
            <w:gridSpan w:val="3"/>
            <w:vAlign w:val="center"/>
            <w:hideMark/>
          </w:tcPr>
          <w:p w14:paraId="4C7D094C" w14:textId="77777777" w:rsidR="00000000" w:rsidRDefault="00A173A8">
            <w:pPr>
              <w:spacing w:after="100"/>
              <w:jc w:val="right"/>
              <w:rPr>
                <w:rFonts w:eastAsia="Times New Roman"/>
                <w:sz w:val="20"/>
                <w:szCs w:val="20"/>
              </w:rPr>
            </w:pPr>
          </w:p>
        </w:tc>
        <w:tc>
          <w:tcPr>
            <w:tcW w:w="0" w:type="auto"/>
            <w:gridSpan w:val="2"/>
            <w:vAlign w:val="center"/>
            <w:hideMark/>
          </w:tcPr>
          <w:p w14:paraId="73DA7D0D" w14:textId="77777777" w:rsidR="00000000" w:rsidRDefault="00A173A8">
            <w:pPr>
              <w:spacing w:after="100"/>
              <w:rPr>
                <w:rFonts w:eastAsia="Times New Roman"/>
                <w:sz w:val="20"/>
                <w:szCs w:val="20"/>
              </w:rPr>
            </w:pPr>
          </w:p>
        </w:tc>
      </w:tr>
      <w:tr w:rsidR="00000000" w14:paraId="28B04A73" w14:textId="77777777">
        <w:trPr>
          <w:divId w:val="1533881267"/>
        </w:trPr>
        <w:tc>
          <w:tcPr>
            <w:tcW w:w="0" w:type="auto"/>
            <w:gridSpan w:val="3"/>
            <w:shd w:val="clear" w:color="auto" w:fill="FFFFFF"/>
            <w:tcMar>
              <w:top w:w="30" w:type="dxa"/>
              <w:left w:w="20" w:type="dxa"/>
              <w:bottom w:w="30" w:type="dxa"/>
              <w:right w:w="20" w:type="dxa"/>
            </w:tcMar>
            <w:vAlign w:val="center"/>
            <w:hideMark/>
          </w:tcPr>
          <w:p w14:paraId="2DB31831" w14:textId="77777777" w:rsidR="00000000" w:rsidRDefault="00A173A8">
            <w:pPr>
              <w:spacing w:after="100"/>
              <w:divId w:val="1562253212"/>
              <w:rPr>
                <w:rFonts w:eastAsia="Times New Roman"/>
              </w:rPr>
            </w:pPr>
            <w:r>
              <w:rPr>
                <w:rFonts w:eastAsia="Times New Roman"/>
                <w:color w:val="000000"/>
                <w:sz w:val="20"/>
                <w:szCs w:val="20"/>
              </w:rPr>
              <w:t>Efficiency rati</w:t>
            </w:r>
            <w:r>
              <w:rPr>
                <w:rFonts w:eastAsia="Times New Roman"/>
                <w:color w:val="000000"/>
                <w:sz w:val="20"/>
                <w:szCs w:val="20"/>
              </w:rPr>
              <w:t>o</w:t>
            </w:r>
            <w:r>
              <w:rPr>
                <w:rFonts w:eastAsia="Times New Roman"/>
                <w:color w:val="000000"/>
                <w:sz w:val="13"/>
                <w:szCs w:val="13"/>
              </w:rPr>
              <w:t>(8</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AB3D0F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6554CC" w14:textId="77777777" w:rsidR="00000000" w:rsidRDefault="00A173A8">
            <w:pPr>
              <w:spacing w:after="100"/>
              <w:jc w:val="right"/>
              <w:rPr>
                <w:rFonts w:eastAsia="Times New Roman"/>
              </w:rPr>
            </w:pPr>
            <w:r>
              <w:rPr>
                <w:rFonts w:eastAsia="Times New Roman"/>
                <w:b/>
                <w:bCs/>
                <w:color w:val="000000"/>
                <w:sz w:val="20"/>
                <w:szCs w:val="20"/>
              </w:rPr>
              <w:t>55.67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72FC9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1D917"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62024130" w14:textId="77777777" w:rsidR="00000000" w:rsidRDefault="00A173A8">
            <w:pPr>
              <w:spacing w:after="100"/>
              <w:jc w:val="right"/>
              <w:rPr>
                <w:rFonts w:eastAsia="Times New Roman"/>
              </w:rPr>
            </w:pPr>
            <w:r>
              <w:rPr>
                <w:rFonts w:eastAsia="Times New Roman"/>
                <w:color w:val="000000"/>
                <w:sz w:val="20"/>
                <w:szCs w:val="20"/>
              </w:rPr>
              <w:t>53.78</w:t>
            </w:r>
          </w:p>
        </w:tc>
        <w:tc>
          <w:tcPr>
            <w:tcW w:w="0" w:type="auto"/>
            <w:gridSpan w:val="3"/>
            <w:shd w:val="clear" w:color="auto" w:fill="FFFFFF"/>
            <w:tcMar>
              <w:top w:w="0" w:type="dxa"/>
              <w:left w:w="20" w:type="dxa"/>
              <w:bottom w:w="0" w:type="dxa"/>
              <w:right w:w="20" w:type="dxa"/>
            </w:tcMar>
            <w:vAlign w:val="center"/>
            <w:hideMark/>
          </w:tcPr>
          <w:p w14:paraId="0B8BB59E"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C32673" w14:textId="77777777" w:rsidR="00000000" w:rsidRDefault="00A173A8">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14:paraId="1EA6B82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F3C11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430158" w14:textId="77777777" w:rsidR="00000000" w:rsidRDefault="00A173A8">
            <w:pPr>
              <w:spacing w:after="100"/>
              <w:jc w:val="right"/>
              <w:rPr>
                <w:rFonts w:eastAsia="Times New Roman"/>
              </w:rPr>
            </w:pPr>
            <w:r>
              <w:rPr>
                <w:rFonts w:eastAsia="Times New Roman"/>
                <w:b/>
                <w:bCs/>
                <w:color w:val="000000"/>
                <w:sz w:val="20"/>
                <w:szCs w:val="20"/>
              </w:rPr>
              <w:t>55.68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97682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83A28B"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06FF8A70" w14:textId="77777777" w:rsidR="00000000" w:rsidRDefault="00A173A8">
            <w:pPr>
              <w:spacing w:after="100"/>
              <w:jc w:val="right"/>
              <w:rPr>
                <w:rFonts w:eastAsia="Times New Roman"/>
              </w:rPr>
            </w:pPr>
            <w:r>
              <w:rPr>
                <w:rFonts w:eastAsia="Times New Roman"/>
                <w:color w:val="000000"/>
                <w:sz w:val="20"/>
                <w:szCs w:val="20"/>
              </w:rPr>
              <w:t>53.19</w:t>
            </w:r>
          </w:p>
        </w:tc>
        <w:tc>
          <w:tcPr>
            <w:tcW w:w="0" w:type="auto"/>
            <w:vAlign w:val="center"/>
            <w:hideMark/>
          </w:tcPr>
          <w:p w14:paraId="146E994C" w14:textId="77777777" w:rsidR="00000000" w:rsidRDefault="00A173A8">
            <w:pPr>
              <w:spacing w:after="100"/>
              <w:jc w:val="right"/>
              <w:rPr>
                <w:rFonts w:eastAsia="Times New Roman"/>
              </w:rPr>
            </w:pPr>
          </w:p>
        </w:tc>
        <w:tc>
          <w:tcPr>
            <w:tcW w:w="0" w:type="auto"/>
            <w:vAlign w:val="center"/>
            <w:hideMark/>
          </w:tcPr>
          <w:p w14:paraId="71FBAB5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E8DAF5" w14:textId="77777777" w:rsidR="00000000" w:rsidRDefault="00A173A8">
            <w:pPr>
              <w:spacing w:after="100"/>
              <w:rPr>
                <w:rFonts w:eastAsia="Times New Roman"/>
                <w:sz w:val="20"/>
                <w:szCs w:val="20"/>
              </w:rPr>
            </w:pPr>
          </w:p>
        </w:tc>
        <w:tc>
          <w:tcPr>
            <w:tcW w:w="0" w:type="auto"/>
            <w:vAlign w:val="center"/>
            <w:hideMark/>
          </w:tcPr>
          <w:p w14:paraId="2624C53E" w14:textId="77777777" w:rsidR="00000000" w:rsidRDefault="00A173A8">
            <w:pPr>
              <w:spacing w:after="100"/>
              <w:rPr>
                <w:rFonts w:eastAsia="Times New Roman"/>
                <w:sz w:val="20"/>
                <w:szCs w:val="20"/>
              </w:rPr>
            </w:pPr>
          </w:p>
        </w:tc>
        <w:tc>
          <w:tcPr>
            <w:tcW w:w="0" w:type="auto"/>
            <w:gridSpan w:val="3"/>
            <w:vAlign w:val="center"/>
            <w:hideMark/>
          </w:tcPr>
          <w:p w14:paraId="6BAFA600" w14:textId="77777777" w:rsidR="00000000" w:rsidRDefault="00A173A8">
            <w:pPr>
              <w:spacing w:after="100"/>
              <w:rPr>
                <w:rFonts w:eastAsia="Times New Roman"/>
                <w:sz w:val="20"/>
                <w:szCs w:val="20"/>
              </w:rPr>
            </w:pPr>
          </w:p>
        </w:tc>
        <w:tc>
          <w:tcPr>
            <w:tcW w:w="0" w:type="auto"/>
            <w:gridSpan w:val="3"/>
            <w:vAlign w:val="center"/>
            <w:hideMark/>
          </w:tcPr>
          <w:p w14:paraId="4C803CF8" w14:textId="77777777" w:rsidR="00000000" w:rsidRDefault="00A173A8">
            <w:pPr>
              <w:spacing w:after="100"/>
              <w:rPr>
                <w:rFonts w:eastAsia="Times New Roman"/>
                <w:sz w:val="20"/>
                <w:szCs w:val="20"/>
              </w:rPr>
            </w:pPr>
          </w:p>
        </w:tc>
        <w:tc>
          <w:tcPr>
            <w:tcW w:w="0" w:type="auto"/>
            <w:gridSpan w:val="3"/>
            <w:vAlign w:val="center"/>
            <w:hideMark/>
          </w:tcPr>
          <w:p w14:paraId="6EAFD061"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DA14B8" w14:textId="77777777" w:rsidR="00000000" w:rsidRDefault="00A173A8">
            <w:pPr>
              <w:spacing w:after="100"/>
              <w:jc w:val="right"/>
              <w:rPr>
                <w:rFonts w:eastAsia="Times New Roman"/>
              </w:rPr>
            </w:pPr>
            <w:r>
              <w:rPr>
                <w:rFonts w:eastAsia="Times New Roman"/>
                <w:color w:val="000000"/>
                <w:sz w:val="20"/>
                <w:szCs w:val="20"/>
              </w:rPr>
              <w:t>249 </w:t>
            </w:r>
          </w:p>
        </w:tc>
        <w:tc>
          <w:tcPr>
            <w:tcW w:w="0" w:type="auto"/>
            <w:shd w:val="clear" w:color="auto" w:fill="FFFFFF"/>
            <w:tcMar>
              <w:top w:w="30" w:type="dxa"/>
              <w:left w:w="0" w:type="dxa"/>
              <w:bottom w:w="30" w:type="dxa"/>
              <w:right w:w="20" w:type="dxa"/>
            </w:tcMar>
            <w:vAlign w:val="bottom"/>
            <w:hideMark/>
          </w:tcPr>
          <w:p w14:paraId="6E59BDDE" w14:textId="77777777" w:rsidR="00000000" w:rsidRDefault="00A173A8">
            <w:pPr>
              <w:spacing w:after="100"/>
              <w:jc w:val="right"/>
              <w:rPr>
                <w:rFonts w:eastAsia="Times New Roman"/>
              </w:rPr>
            </w:pPr>
          </w:p>
        </w:tc>
        <w:tc>
          <w:tcPr>
            <w:tcW w:w="0" w:type="auto"/>
            <w:gridSpan w:val="3"/>
            <w:vAlign w:val="center"/>
            <w:hideMark/>
          </w:tcPr>
          <w:p w14:paraId="03D5E47D" w14:textId="77777777" w:rsidR="00000000" w:rsidRDefault="00A173A8">
            <w:pPr>
              <w:spacing w:after="100"/>
              <w:jc w:val="right"/>
              <w:rPr>
                <w:rFonts w:eastAsia="Times New Roman"/>
                <w:sz w:val="20"/>
                <w:szCs w:val="20"/>
              </w:rPr>
            </w:pPr>
          </w:p>
        </w:tc>
        <w:tc>
          <w:tcPr>
            <w:tcW w:w="0" w:type="auto"/>
            <w:gridSpan w:val="2"/>
            <w:vAlign w:val="center"/>
            <w:hideMark/>
          </w:tcPr>
          <w:p w14:paraId="3FAB462F" w14:textId="77777777" w:rsidR="00000000" w:rsidRDefault="00A173A8">
            <w:pPr>
              <w:spacing w:after="100"/>
              <w:rPr>
                <w:rFonts w:eastAsia="Times New Roman"/>
                <w:sz w:val="20"/>
                <w:szCs w:val="20"/>
              </w:rPr>
            </w:pPr>
          </w:p>
        </w:tc>
      </w:tr>
      <w:tr w:rsidR="00000000" w14:paraId="299D51A8" w14:textId="77777777">
        <w:trPr>
          <w:divId w:val="1533881267"/>
        </w:trPr>
        <w:tc>
          <w:tcPr>
            <w:tcW w:w="0" w:type="auto"/>
            <w:gridSpan w:val="3"/>
            <w:shd w:val="clear" w:color="auto" w:fill="CCEEFF"/>
            <w:tcMar>
              <w:top w:w="30" w:type="dxa"/>
              <w:left w:w="20" w:type="dxa"/>
              <w:bottom w:w="30" w:type="dxa"/>
              <w:right w:w="20" w:type="dxa"/>
            </w:tcMar>
            <w:vAlign w:val="center"/>
            <w:hideMark/>
          </w:tcPr>
          <w:p w14:paraId="0E24DB4C" w14:textId="77777777" w:rsidR="00000000" w:rsidRDefault="00A173A8">
            <w:pPr>
              <w:spacing w:after="100"/>
              <w:divId w:val="1234391084"/>
              <w:rPr>
                <w:rFonts w:eastAsia="Times New Roman"/>
              </w:rPr>
            </w:pPr>
            <w:r>
              <w:rPr>
                <w:rFonts w:eastAsia="Times New Roman"/>
                <w:color w:val="000000"/>
                <w:sz w:val="20"/>
                <w:szCs w:val="20"/>
              </w:rPr>
              <w:t>Operating efficiency rati</w:t>
            </w:r>
            <w:r>
              <w:rPr>
                <w:rFonts w:eastAsia="Times New Roman"/>
                <w:color w:val="000000"/>
                <w:sz w:val="20"/>
                <w:szCs w:val="20"/>
              </w:rPr>
              <w:t>o</w:t>
            </w:r>
            <w:r>
              <w:rPr>
                <w:rFonts w:eastAsia="Times New Roman"/>
                <w:color w:val="000000"/>
                <w:sz w:val="13"/>
                <w:szCs w:val="13"/>
              </w:rPr>
              <w:t>(9</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6FDAAF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944342" w14:textId="77777777" w:rsidR="00000000" w:rsidRDefault="00A173A8">
            <w:pPr>
              <w:spacing w:after="100"/>
              <w:jc w:val="right"/>
              <w:rPr>
                <w:rFonts w:eastAsia="Times New Roman"/>
              </w:rPr>
            </w:pPr>
            <w:r>
              <w:rPr>
                <w:rFonts w:eastAsia="Times New Roman"/>
                <w:b/>
                <w:bCs/>
                <w:color w:val="000000"/>
                <w:sz w:val="20"/>
                <w:szCs w:val="20"/>
              </w:rPr>
              <w:t>43.49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E5150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650735"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FD26FA5" w14:textId="77777777" w:rsidR="00000000" w:rsidRDefault="00A173A8">
            <w:pPr>
              <w:spacing w:after="100"/>
              <w:jc w:val="right"/>
              <w:rPr>
                <w:rFonts w:eastAsia="Times New Roman"/>
              </w:rPr>
            </w:pPr>
            <w:r>
              <w:rPr>
                <w:rFonts w:eastAsia="Times New Roman"/>
                <w:color w:val="000000"/>
                <w:sz w:val="20"/>
                <w:szCs w:val="20"/>
              </w:rPr>
              <w:t>45.38</w:t>
            </w:r>
          </w:p>
        </w:tc>
        <w:tc>
          <w:tcPr>
            <w:tcW w:w="0" w:type="auto"/>
            <w:gridSpan w:val="3"/>
            <w:shd w:val="clear" w:color="auto" w:fill="CCEEFF"/>
            <w:tcMar>
              <w:top w:w="0" w:type="dxa"/>
              <w:left w:w="20" w:type="dxa"/>
              <w:bottom w:w="0" w:type="dxa"/>
              <w:right w:w="20" w:type="dxa"/>
            </w:tcMar>
            <w:vAlign w:val="center"/>
            <w:hideMark/>
          </w:tcPr>
          <w:p w14:paraId="6711DC4A"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3CEA6F" w14:textId="77777777" w:rsidR="00000000" w:rsidRDefault="00A173A8">
            <w:pPr>
              <w:spacing w:after="100"/>
              <w:jc w:val="right"/>
              <w:rPr>
                <w:rFonts w:eastAsia="Times New Roman"/>
              </w:rPr>
            </w:pPr>
            <w:r>
              <w:rPr>
                <w:rFonts w:eastAsia="Times New Roman"/>
                <w:color w:val="000000"/>
                <w:sz w:val="20"/>
                <w:szCs w:val="20"/>
              </w:rPr>
              <w:t>(189)</w:t>
            </w:r>
          </w:p>
        </w:tc>
        <w:tc>
          <w:tcPr>
            <w:tcW w:w="0" w:type="auto"/>
            <w:shd w:val="clear" w:color="auto" w:fill="CCEEFF"/>
            <w:tcMar>
              <w:top w:w="30" w:type="dxa"/>
              <w:left w:w="0" w:type="dxa"/>
              <w:bottom w:w="30" w:type="dxa"/>
              <w:right w:w="20" w:type="dxa"/>
            </w:tcMar>
            <w:vAlign w:val="bottom"/>
            <w:hideMark/>
          </w:tcPr>
          <w:p w14:paraId="42FA7F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EF211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D66852" w14:textId="77777777" w:rsidR="00000000" w:rsidRDefault="00A173A8">
            <w:pPr>
              <w:spacing w:after="100"/>
              <w:jc w:val="right"/>
              <w:rPr>
                <w:rFonts w:eastAsia="Times New Roman"/>
              </w:rPr>
            </w:pPr>
            <w:r>
              <w:rPr>
                <w:rFonts w:eastAsia="Times New Roman"/>
                <w:b/>
                <w:bCs/>
                <w:color w:val="000000"/>
                <w:sz w:val="20"/>
                <w:szCs w:val="20"/>
              </w:rPr>
              <w:t>43.97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6CE54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3FC27"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340D42A7" w14:textId="77777777" w:rsidR="00000000" w:rsidRDefault="00A173A8">
            <w:pPr>
              <w:spacing w:after="100"/>
              <w:jc w:val="right"/>
              <w:rPr>
                <w:rFonts w:eastAsia="Times New Roman"/>
              </w:rPr>
            </w:pPr>
            <w:r>
              <w:rPr>
                <w:rFonts w:eastAsia="Times New Roman"/>
                <w:color w:val="000000"/>
                <w:sz w:val="20"/>
                <w:szCs w:val="20"/>
              </w:rPr>
              <w:t>45.45</w:t>
            </w:r>
          </w:p>
        </w:tc>
        <w:tc>
          <w:tcPr>
            <w:tcW w:w="0" w:type="auto"/>
            <w:vAlign w:val="center"/>
            <w:hideMark/>
          </w:tcPr>
          <w:p w14:paraId="7BC2DC60" w14:textId="77777777" w:rsidR="00000000" w:rsidRDefault="00A173A8">
            <w:pPr>
              <w:spacing w:after="100"/>
              <w:jc w:val="right"/>
              <w:rPr>
                <w:rFonts w:eastAsia="Times New Roman"/>
              </w:rPr>
            </w:pPr>
          </w:p>
        </w:tc>
        <w:tc>
          <w:tcPr>
            <w:tcW w:w="0" w:type="auto"/>
            <w:vAlign w:val="center"/>
            <w:hideMark/>
          </w:tcPr>
          <w:p w14:paraId="7D8D5BA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026E49" w14:textId="77777777" w:rsidR="00000000" w:rsidRDefault="00A173A8">
            <w:pPr>
              <w:spacing w:after="100"/>
              <w:rPr>
                <w:rFonts w:eastAsia="Times New Roman"/>
                <w:sz w:val="20"/>
                <w:szCs w:val="20"/>
              </w:rPr>
            </w:pPr>
          </w:p>
        </w:tc>
        <w:tc>
          <w:tcPr>
            <w:tcW w:w="0" w:type="auto"/>
            <w:vAlign w:val="center"/>
            <w:hideMark/>
          </w:tcPr>
          <w:p w14:paraId="7F4DC527" w14:textId="77777777" w:rsidR="00000000" w:rsidRDefault="00A173A8">
            <w:pPr>
              <w:spacing w:after="100"/>
              <w:rPr>
                <w:rFonts w:eastAsia="Times New Roman"/>
                <w:sz w:val="20"/>
                <w:szCs w:val="20"/>
              </w:rPr>
            </w:pPr>
          </w:p>
        </w:tc>
        <w:tc>
          <w:tcPr>
            <w:tcW w:w="0" w:type="auto"/>
            <w:gridSpan w:val="3"/>
            <w:vAlign w:val="center"/>
            <w:hideMark/>
          </w:tcPr>
          <w:p w14:paraId="659152D1" w14:textId="77777777" w:rsidR="00000000" w:rsidRDefault="00A173A8">
            <w:pPr>
              <w:spacing w:after="100"/>
              <w:rPr>
                <w:rFonts w:eastAsia="Times New Roman"/>
                <w:sz w:val="20"/>
                <w:szCs w:val="20"/>
              </w:rPr>
            </w:pPr>
          </w:p>
        </w:tc>
        <w:tc>
          <w:tcPr>
            <w:tcW w:w="0" w:type="auto"/>
            <w:gridSpan w:val="3"/>
            <w:vAlign w:val="center"/>
            <w:hideMark/>
          </w:tcPr>
          <w:p w14:paraId="1322FA43" w14:textId="77777777" w:rsidR="00000000" w:rsidRDefault="00A173A8">
            <w:pPr>
              <w:spacing w:after="100"/>
              <w:rPr>
                <w:rFonts w:eastAsia="Times New Roman"/>
                <w:sz w:val="20"/>
                <w:szCs w:val="20"/>
              </w:rPr>
            </w:pPr>
          </w:p>
        </w:tc>
        <w:tc>
          <w:tcPr>
            <w:tcW w:w="0" w:type="auto"/>
            <w:gridSpan w:val="3"/>
            <w:vAlign w:val="center"/>
            <w:hideMark/>
          </w:tcPr>
          <w:p w14:paraId="3FE7AA1E"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760935" w14:textId="77777777" w:rsidR="00000000" w:rsidRDefault="00A173A8">
            <w:pPr>
              <w:spacing w:after="100"/>
              <w:jc w:val="right"/>
              <w:rPr>
                <w:rFonts w:eastAsia="Times New Roman"/>
              </w:rPr>
            </w:pPr>
            <w:r>
              <w:rPr>
                <w:rFonts w:eastAsia="Times New Roman"/>
                <w:color w:val="000000"/>
                <w:sz w:val="20"/>
                <w:szCs w:val="20"/>
              </w:rPr>
              <w:t>(148)</w:t>
            </w:r>
          </w:p>
        </w:tc>
        <w:tc>
          <w:tcPr>
            <w:tcW w:w="0" w:type="auto"/>
            <w:shd w:val="clear" w:color="auto" w:fill="CCEEFF"/>
            <w:tcMar>
              <w:top w:w="30" w:type="dxa"/>
              <w:left w:w="0" w:type="dxa"/>
              <w:bottom w:w="30" w:type="dxa"/>
              <w:right w:w="20" w:type="dxa"/>
            </w:tcMar>
            <w:vAlign w:val="bottom"/>
            <w:hideMark/>
          </w:tcPr>
          <w:p w14:paraId="0C4BF499" w14:textId="77777777" w:rsidR="00000000" w:rsidRDefault="00A173A8">
            <w:pPr>
              <w:spacing w:after="100"/>
              <w:jc w:val="right"/>
              <w:rPr>
                <w:rFonts w:eastAsia="Times New Roman"/>
              </w:rPr>
            </w:pPr>
          </w:p>
        </w:tc>
        <w:tc>
          <w:tcPr>
            <w:tcW w:w="0" w:type="auto"/>
            <w:gridSpan w:val="3"/>
            <w:vAlign w:val="center"/>
            <w:hideMark/>
          </w:tcPr>
          <w:p w14:paraId="58F349DA" w14:textId="77777777" w:rsidR="00000000" w:rsidRDefault="00A173A8">
            <w:pPr>
              <w:spacing w:after="100"/>
              <w:jc w:val="right"/>
              <w:rPr>
                <w:rFonts w:eastAsia="Times New Roman"/>
                <w:sz w:val="20"/>
                <w:szCs w:val="20"/>
              </w:rPr>
            </w:pPr>
          </w:p>
        </w:tc>
        <w:tc>
          <w:tcPr>
            <w:tcW w:w="0" w:type="auto"/>
            <w:gridSpan w:val="2"/>
            <w:vAlign w:val="center"/>
            <w:hideMark/>
          </w:tcPr>
          <w:p w14:paraId="086519D9" w14:textId="77777777" w:rsidR="00000000" w:rsidRDefault="00A173A8">
            <w:pPr>
              <w:spacing w:after="100"/>
              <w:rPr>
                <w:rFonts w:eastAsia="Times New Roman"/>
                <w:sz w:val="20"/>
                <w:szCs w:val="20"/>
              </w:rPr>
            </w:pPr>
          </w:p>
        </w:tc>
      </w:tr>
      <w:tr w:rsidR="00000000" w14:paraId="7C253E80" w14:textId="77777777">
        <w:trPr>
          <w:divId w:val="1533881267"/>
        </w:trPr>
        <w:tc>
          <w:tcPr>
            <w:tcW w:w="0" w:type="auto"/>
            <w:gridSpan w:val="3"/>
            <w:shd w:val="clear" w:color="auto" w:fill="FFFFFF"/>
            <w:tcMar>
              <w:top w:w="30" w:type="dxa"/>
              <w:left w:w="20" w:type="dxa"/>
              <w:bottom w:w="30" w:type="dxa"/>
              <w:right w:w="20" w:type="dxa"/>
            </w:tcMar>
            <w:vAlign w:val="center"/>
            <w:hideMark/>
          </w:tcPr>
          <w:p w14:paraId="135259E0" w14:textId="77777777" w:rsidR="00000000" w:rsidRDefault="00A173A8">
            <w:pPr>
              <w:spacing w:after="100"/>
              <w:rPr>
                <w:rFonts w:eastAsia="Times New Roman"/>
              </w:rPr>
            </w:pPr>
            <w:r>
              <w:rPr>
                <w:rFonts w:eastAsia="Times New Roman"/>
                <w:color w:val="000000"/>
                <w:sz w:val="20"/>
                <w:szCs w:val="20"/>
              </w:rPr>
              <w:t>Effective income tax rate from continuing operations</w:t>
            </w:r>
          </w:p>
        </w:tc>
        <w:tc>
          <w:tcPr>
            <w:tcW w:w="0" w:type="auto"/>
            <w:gridSpan w:val="3"/>
            <w:shd w:val="clear" w:color="auto" w:fill="FFFFFF"/>
            <w:tcMar>
              <w:top w:w="0" w:type="dxa"/>
              <w:left w:w="20" w:type="dxa"/>
              <w:bottom w:w="0" w:type="dxa"/>
              <w:right w:w="20" w:type="dxa"/>
            </w:tcMar>
            <w:vAlign w:val="center"/>
            <w:hideMark/>
          </w:tcPr>
          <w:p w14:paraId="594E908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0CA1E8" w14:textId="77777777" w:rsidR="00000000" w:rsidRDefault="00A173A8">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AC00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FB3B6"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0BBE4DEC" w14:textId="77777777" w:rsidR="00000000" w:rsidRDefault="00A173A8">
            <w:pPr>
              <w:spacing w:after="100"/>
              <w:jc w:val="right"/>
              <w:rPr>
                <w:rFonts w:eastAsia="Times New Roman"/>
              </w:rPr>
            </w:pPr>
            <w:r>
              <w:rPr>
                <w:rFonts w:eastAsia="Times New Roman"/>
                <w:color w:val="000000"/>
                <w:sz w:val="20"/>
                <w:szCs w:val="20"/>
              </w:rPr>
              <w:t>22.6</w:t>
            </w:r>
          </w:p>
        </w:tc>
        <w:tc>
          <w:tcPr>
            <w:tcW w:w="0" w:type="auto"/>
            <w:gridSpan w:val="3"/>
            <w:shd w:val="clear" w:color="auto" w:fill="FFFFFF"/>
            <w:tcMar>
              <w:top w:w="0" w:type="dxa"/>
              <w:left w:w="20" w:type="dxa"/>
              <w:bottom w:w="0" w:type="dxa"/>
              <w:right w:w="20" w:type="dxa"/>
            </w:tcMar>
            <w:vAlign w:val="center"/>
            <w:hideMark/>
          </w:tcPr>
          <w:p w14:paraId="1EC0136E"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B61B62" w14:textId="77777777" w:rsidR="00000000" w:rsidRDefault="00A173A8">
            <w:pPr>
              <w:spacing w:after="100"/>
              <w:jc w:val="right"/>
              <w:rPr>
                <w:rFonts w:eastAsia="Times New Roman"/>
              </w:rPr>
            </w:pPr>
            <w:r>
              <w:rPr>
                <w:rFonts w:eastAsia="Times New Roman"/>
                <w:color w:val="000000"/>
                <w:sz w:val="20"/>
                <w:szCs w:val="20"/>
              </w:rPr>
              <w:t>(180)</w:t>
            </w:r>
          </w:p>
        </w:tc>
        <w:tc>
          <w:tcPr>
            <w:tcW w:w="0" w:type="auto"/>
            <w:shd w:val="clear" w:color="auto" w:fill="FFFFFF"/>
            <w:tcMar>
              <w:top w:w="30" w:type="dxa"/>
              <w:left w:w="0" w:type="dxa"/>
              <w:bottom w:w="30" w:type="dxa"/>
              <w:right w:w="20" w:type="dxa"/>
            </w:tcMar>
            <w:vAlign w:val="bottom"/>
            <w:hideMark/>
          </w:tcPr>
          <w:p w14:paraId="6A454F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14279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3FD92C" w14:textId="77777777" w:rsidR="00000000" w:rsidRDefault="00A173A8">
            <w:pPr>
              <w:spacing w:after="100"/>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7B367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64828"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766AEBD6" w14:textId="77777777" w:rsidR="00000000" w:rsidRDefault="00A173A8">
            <w:pPr>
              <w:spacing w:after="100"/>
              <w:jc w:val="right"/>
              <w:rPr>
                <w:rFonts w:eastAsia="Times New Roman"/>
              </w:rPr>
            </w:pPr>
            <w:r>
              <w:rPr>
                <w:rFonts w:eastAsia="Times New Roman"/>
                <w:color w:val="000000"/>
                <w:sz w:val="20"/>
                <w:szCs w:val="20"/>
              </w:rPr>
              <w:t>21.7</w:t>
            </w:r>
          </w:p>
        </w:tc>
        <w:tc>
          <w:tcPr>
            <w:tcW w:w="0" w:type="auto"/>
            <w:vAlign w:val="center"/>
            <w:hideMark/>
          </w:tcPr>
          <w:p w14:paraId="7EE6719E" w14:textId="77777777" w:rsidR="00000000" w:rsidRDefault="00A173A8">
            <w:pPr>
              <w:spacing w:after="100"/>
              <w:jc w:val="right"/>
              <w:rPr>
                <w:rFonts w:eastAsia="Times New Roman"/>
              </w:rPr>
            </w:pPr>
          </w:p>
        </w:tc>
        <w:tc>
          <w:tcPr>
            <w:tcW w:w="0" w:type="auto"/>
            <w:vAlign w:val="center"/>
            <w:hideMark/>
          </w:tcPr>
          <w:p w14:paraId="69A1A46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2D9DF8" w14:textId="77777777" w:rsidR="00000000" w:rsidRDefault="00A173A8">
            <w:pPr>
              <w:spacing w:after="100"/>
              <w:rPr>
                <w:rFonts w:eastAsia="Times New Roman"/>
                <w:sz w:val="20"/>
                <w:szCs w:val="20"/>
              </w:rPr>
            </w:pPr>
          </w:p>
        </w:tc>
        <w:tc>
          <w:tcPr>
            <w:tcW w:w="0" w:type="auto"/>
            <w:vAlign w:val="center"/>
            <w:hideMark/>
          </w:tcPr>
          <w:p w14:paraId="66123205" w14:textId="77777777" w:rsidR="00000000" w:rsidRDefault="00A173A8">
            <w:pPr>
              <w:spacing w:after="100"/>
              <w:rPr>
                <w:rFonts w:eastAsia="Times New Roman"/>
                <w:sz w:val="20"/>
                <w:szCs w:val="20"/>
              </w:rPr>
            </w:pPr>
          </w:p>
        </w:tc>
        <w:tc>
          <w:tcPr>
            <w:tcW w:w="0" w:type="auto"/>
            <w:gridSpan w:val="3"/>
            <w:vAlign w:val="center"/>
            <w:hideMark/>
          </w:tcPr>
          <w:p w14:paraId="6315DEA1" w14:textId="77777777" w:rsidR="00000000" w:rsidRDefault="00A173A8">
            <w:pPr>
              <w:spacing w:after="100"/>
              <w:rPr>
                <w:rFonts w:eastAsia="Times New Roman"/>
                <w:sz w:val="20"/>
                <w:szCs w:val="20"/>
              </w:rPr>
            </w:pPr>
          </w:p>
        </w:tc>
        <w:tc>
          <w:tcPr>
            <w:tcW w:w="0" w:type="auto"/>
            <w:gridSpan w:val="3"/>
            <w:vAlign w:val="center"/>
            <w:hideMark/>
          </w:tcPr>
          <w:p w14:paraId="590AA725" w14:textId="77777777" w:rsidR="00000000" w:rsidRDefault="00A173A8">
            <w:pPr>
              <w:spacing w:after="100"/>
              <w:rPr>
                <w:rFonts w:eastAsia="Times New Roman"/>
                <w:sz w:val="20"/>
                <w:szCs w:val="20"/>
              </w:rPr>
            </w:pPr>
          </w:p>
        </w:tc>
        <w:tc>
          <w:tcPr>
            <w:tcW w:w="0" w:type="auto"/>
            <w:gridSpan w:val="3"/>
            <w:vAlign w:val="center"/>
            <w:hideMark/>
          </w:tcPr>
          <w:p w14:paraId="08BB1C6C"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3E16E1" w14:textId="77777777" w:rsidR="00000000" w:rsidRDefault="00A173A8">
            <w:pPr>
              <w:spacing w:after="100"/>
              <w:jc w:val="right"/>
              <w:rPr>
                <w:rFonts w:eastAsia="Times New Roman"/>
              </w:rPr>
            </w:pPr>
            <w:r>
              <w:rPr>
                <w:rFonts w:eastAsia="Times New Roman"/>
                <w:color w:val="000000"/>
                <w:sz w:val="20"/>
                <w:szCs w:val="20"/>
              </w:rPr>
              <w:t>(220)</w:t>
            </w:r>
          </w:p>
        </w:tc>
        <w:tc>
          <w:tcPr>
            <w:tcW w:w="0" w:type="auto"/>
            <w:shd w:val="clear" w:color="auto" w:fill="FFFFFF"/>
            <w:tcMar>
              <w:top w:w="30" w:type="dxa"/>
              <w:left w:w="0" w:type="dxa"/>
              <w:bottom w:w="30" w:type="dxa"/>
              <w:right w:w="20" w:type="dxa"/>
            </w:tcMar>
            <w:vAlign w:val="bottom"/>
            <w:hideMark/>
          </w:tcPr>
          <w:p w14:paraId="22007FB2" w14:textId="77777777" w:rsidR="00000000" w:rsidRDefault="00A173A8">
            <w:pPr>
              <w:spacing w:after="100"/>
              <w:jc w:val="right"/>
              <w:rPr>
                <w:rFonts w:eastAsia="Times New Roman"/>
              </w:rPr>
            </w:pPr>
          </w:p>
        </w:tc>
        <w:tc>
          <w:tcPr>
            <w:tcW w:w="0" w:type="auto"/>
            <w:gridSpan w:val="3"/>
            <w:vAlign w:val="center"/>
            <w:hideMark/>
          </w:tcPr>
          <w:p w14:paraId="082F8DDC" w14:textId="77777777" w:rsidR="00000000" w:rsidRDefault="00A173A8">
            <w:pPr>
              <w:spacing w:after="100"/>
              <w:jc w:val="right"/>
              <w:rPr>
                <w:rFonts w:eastAsia="Times New Roman"/>
                <w:sz w:val="20"/>
                <w:szCs w:val="20"/>
              </w:rPr>
            </w:pPr>
          </w:p>
        </w:tc>
        <w:tc>
          <w:tcPr>
            <w:tcW w:w="0" w:type="auto"/>
            <w:gridSpan w:val="2"/>
            <w:vAlign w:val="center"/>
            <w:hideMark/>
          </w:tcPr>
          <w:p w14:paraId="2361DB42" w14:textId="77777777" w:rsidR="00000000" w:rsidRDefault="00A173A8">
            <w:pPr>
              <w:spacing w:after="100"/>
              <w:rPr>
                <w:rFonts w:eastAsia="Times New Roman"/>
                <w:sz w:val="20"/>
                <w:szCs w:val="20"/>
              </w:rPr>
            </w:pPr>
          </w:p>
        </w:tc>
      </w:tr>
      <w:tr w:rsidR="00000000" w14:paraId="534BEF2D" w14:textId="77777777">
        <w:trPr>
          <w:divId w:val="1533881267"/>
        </w:trPr>
        <w:tc>
          <w:tcPr>
            <w:tcW w:w="0" w:type="auto"/>
            <w:gridSpan w:val="3"/>
            <w:shd w:val="clear" w:color="auto" w:fill="CCEEFF"/>
            <w:tcMar>
              <w:top w:w="30" w:type="dxa"/>
              <w:left w:w="20" w:type="dxa"/>
              <w:bottom w:w="30" w:type="dxa"/>
              <w:right w:w="20" w:type="dxa"/>
            </w:tcMar>
            <w:vAlign w:val="center"/>
            <w:hideMark/>
          </w:tcPr>
          <w:p w14:paraId="3BDBB84D" w14:textId="77777777" w:rsidR="00000000" w:rsidRDefault="00A173A8">
            <w:pPr>
              <w:spacing w:after="100"/>
              <w:rPr>
                <w:rFonts w:eastAsia="Times New Roman"/>
              </w:rPr>
            </w:pPr>
            <w:r>
              <w:rPr>
                <w:rFonts w:eastAsia="Times New Roman"/>
                <w:color w:val="000000"/>
                <w:sz w:val="20"/>
                <w:szCs w:val="20"/>
              </w:rPr>
              <w:t>Net charge-offs</w:t>
            </w:r>
          </w:p>
        </w:tc>
        <w:tc>
          <w:tcPr>
            <w:tcW w:w="0" w:type="auto"/>
            <w:gridSpan w:val="3"/>
            <w:shd w:val="clear" w:color="auto" w:fill="CCEEFF"/>
            <w:tcMar>
              <w:top w:w="0" w:type="dxa"/>
              <w:left w:w="20" w:type="dxa"/>
              <w:bottom w:w="0" w:type="dxa"/>
              <w:right w:w="20" w:type="dxa"/>
            </w:tcMar>
            <w:vAlign w:val="center"/>
            <w:hideMark/>
          </w:tcPr>
          <w:p w14:paraId="773A28ED"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D410CD4"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395D6E4" w14:textId="77777777" w:rsidR="00000000" w:rsidRDefault="00A173A8">
            <w:pPr>
              <w:spacing w:after="100"/>
              <w:jc w:val="right"/>
              <w:rPr>
                <w:rFonts w:eastAsia="Times New Roman"/>
              </w:rPr>
            </w:pPr>
            <w:r>
              <w:rPr>
                <w:rFonts w:eastAsia="Times New Roman"/>
                <w:b/>
                <w:bCs/>
                <w:color w:val="000000"/>
                <w:sz w:val="20"/>
                <w:szCs w:val="20"/>
              </w:rPr>
              <w:t>845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61B34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8A64F"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80D8A0"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903473E" w14:textId="77777777" w:rsidR="00000000" w:rsidRDefault="00A173A8">
            <w:pPr>
              <w:spacing w:after="100"/>
              <w:jc w:val="right"/>
              <w:rPr>
                <w:rFonts w:eastAsia="Times New Roman"/>
              </w:rPr>
            </w:pPr>
            <w:r>
              <w:rPr>
                <w:rFonts w:eastAsia="Times New Roman"/>
                <w:color w:val="000000"/>
                <w:sz w:val="20"/>
                <w:szCs w:val="20"/>
              </w:rPr>
              <w:t>541</w:t>
            </w:r>
          </w:p>
        </w:tc>
        <w:tc>
          <w:tcPr>
            <w:tcW w:w="0" w:type="auto"/>
            <w:gridSpan w:val="3"/>
            <w:shd w:val="clear" w:color="auto" w:fill="CCEEFF"/>
            <w:tcMar>
              <w:top w:w="0" w:type="dxa"/>
              <w:left w:w="20" w:type="dxa"/>
              <w:bottom w:w="0" w:type="dxa"/>
              <w:right w:w="20" w:type="dxa"/>
            </w:tcMar>
            <w:vAlign w:val="center"/>
            <w:hideMark/>
          </w:tcPr>
          <w:p w14:paraId="6DD0FC8C"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757DB3" w14:textId="77777777" w:rsidR="00000000" w:rsidRDefault="00A173A8">
            <w:pPr>
              <w:spacing w:after="100"/>
              <w:jc w:val="right"/>
              <w:rPr>
                <w:rFonts w:eastAsia="Times New Roman"/>
              </w:rPr>
            </w:pPr>
            <w:r>
              <w:rPr>
                <w:rFonts w:eastAsia="Times New Roman"/>
                <w:color w:val="000000"/>
                <w:sz w:val="20"/>
                <w:szCs w:val="20"/>
              </w:rPr>
              <w:t>56 </w:t>
            </w:r>
          </w:p>
        </w:tc>
        <w:tc>
          <w:tcPr>
            <w:tcW w:w="0" w:type="auto"/>
            <w:shd w:val="clear" w:color="auto" w:fill="CCEEFF"/>
            <w:tcMar>
              <w:top w:w="30" w:type="dxa"/>
              <w:left w:w="0" w:type="dxa"/>
              <w:bottom w:w="30" w:type="dxa"/>
              <w:right w:w="20" w:type="dxa"/>
            </w:tcMar>
            <w:vAlign w:val="bottom"/>
            <w:hideMark/>
          </w:tcPr>
          <w:p w14:paraId="0763F2CE"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06673D9"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1577095A"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2AE7A0B" w14:textId="77777777" w:rsidR="00000000" w:rsidRDefault="00A173A8">
            <w:pPr>
              <w:spacing w:after="100"/>
              <w:jc w:val="right"/>
              <w:rPr>
                <w:rFonts w:eastAsia="Times New Roman"/>
              </w:rPr>
            </w:pPr>
            <w:r>
              <w:rPr>
                <w:rFonts w:eastAsia="Times New Roman"/>
                <w:b/>
                <w:bCs/>
                <w:color w:val="000000"/>
                <w:sz w:val="20"/>
                <w:szCs w:val="20"/>
              </w:rPr>
              <w:t>1,612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A8CC2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4EB51"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8C442A3"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1C3D5A9B" w14:textId="77777777" w:rsidR="00000000" w:rsidRDefault="00A173A8">
            <w:pPr>
              <w:spacing w:after="100"/>
              <w:jc w:val="right"/>
              <w:rPr>
                <w:rFonts w:eastAsia="Times New Roman"/>
              </w:rPr>
            </w:pPr>
            <w:r>
              <w:rPr>
                <w:rFonts w:eastAsia="Times New Roman"/>
                <w:color w:val="000000"/>
                <w:sz w:val="20"/>
                <w:szCs w:val="20"/>
              </w:rPr>
              <w:t>1,281</w:t>
            </w:r>
          </w:p>
        </w:tc>
        <w:tc>
          <w:tcPr>
            <w:tcW w:w="0" w:type="auto"/>
            <w:vAlign w:val="center"/>
            <w:hideMark/>
          </w:tcPr>
          <w:p w14:paraId="78C9BBA8" w14:textId="77777777" w:rsidR="00000000" w:rsidRDefault="00A173A8">
            <w:pPr>
              <w:spacing w:after="100"/>
              <w:jc w:val="right"/>
              <w:rPr>
                <w:rFonts w:eastAsia="Times New Roman"/>
              </w:rPr>
            </w:pPr>
          </w:p>
        </w:tc>
        <w:tc>
          <w:tcPr>
            <w:tcW w:w="0" w:type="auto"/>
            <w:vAlign w:val="center"/>
            <w:hideMark/>
          </w:tcPr>
          <w:p w14:paraId="6E31039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63462A" w14:textId="77777777" w:rsidR="00000000" w:rsidRDefault="00A173A8">
            <w:pPr>
              <w:spacing w:after="100"/>
              <w:rPr>
                <w:rFonts w:eastAsia="Times New Roman"/>
                <w:sz w:val="20"/>
                <w:szCs w:val="20"/>
              </w:rPr>
            </w:pPr>
          </w:p>
        </w:tc>
        <w:tc>
          <w:tcPr>
            <w:tcW w:w="0" w:type="auto"/>
            <w:vAlign w:val="center"/>
            <w:hideMark/>
          </w:tcPr>
          <w:p w14:paraId="2087ADC6" w14:textId="77777777" w:rsidR="00000000" w:rsidRDefault="00A173A8">
            <w:pPr>
              <w:spacing w:after="100"/>
              <w:rPr>
                <w:rFonts w:eastAsia="Times New Roman"/>
                <w:sz w:val="20"/>
                <w:szCs w:val="20"/>
              </w:rPr>
            </w:pPr>
          </w:p>
        </w:tc>
        <w:tc>
          <w:tcPr>
            <w:tcW w:w="0" w:type="auto"/>
            <w:gridSpan w:val="3"/>
            <w:vAlign w:val="center"/>
            <w:hideMark/>
          </w:tcPr>
          <w:p w14:paraId="102249B8" w14:textId="77777777" w:rsidR="00000000" w:rsidRDefault="00A173A8">
            <w:pPr>
              <w:spacing w:after="100"/>
              <w:rPr>
                <w:rFonts w:eastAsia="Times New Roman"/>
                <w:sz w:val="20"/>
                <w:szCs w:val="20"/>
              </w:rPr>
            </w:pPr>
          </w:p>
        </w:tc>
        <w:tc>
          <w:tcPr>
            <w:tcW w:w="0" w:type="auto"/>
            <w:gridSpan w:val="3"/>
            <w:vAlign w:val="center"/>
            <w:hideMark/>
          </w:tcPr>
          <w:p w14:paraId="0E72C195" w14:textId="77777777" w:rsidR="00000000" w:rsidRDefault="00A173A8">
            <w:pPr>
              <w:spacing w:after="100"/>
              <w:rPr>
                <w:rFonts w:eastAsia="Times New Roman"/>
                <w:sz w:val="20"/>
                <w:szCs w:val="20"/>
              </w:rPr>
            </w:pPr>
          </w:p>
        </w:tc>
        <w:tc>
          <w:tcPr>
            <w:tcW w:w="0" w:type="auto"/>
            <w:gridSpan w:val="3"/>
            <w:vAlign w:val="center"/>
            <w:hideMark/>
          </w:tcPr>
          <w:p w14:paraId="63792B45"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7DF479" w14:textId="77777777" w:rsidR="00000000" w:rsidRDefault="00A173A8">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0D1889D8"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016CECAE" w14:textId="77777777" w:rsidR="00000000" w:rsidRDefault="00A173A8">
            <w:pPr>
              <w:spacing w:after="100"/>
              <w:jc w:val="right"/>
              <w:rPr>
                <w:rFonts w:eastAsia="Times New Roman"/>
              </w:rPr>
            </w:pPr>
          </w:p>
        </w:tc>
        <w:tc>
          <w:tcPr>
            <w:tcW w:w="0" w:type="auto"/>
            <w:gridSpan w:val="2"/>
            <w:vAlign w:val="center"/>
            <w:hideMark/>
          </w:tcPr>
          <w:p w14:paraId="4AC06E15" w14:textId="77777777" w:rsidR="00000000" w:rsidRDefault="00A173A8">
            <w:pPr>
              <w:spacing w:after="100"/>
              <w:rPr>
                <w:rFonts w:eastAsia="Times New Roman"/>
                <w:sz w:val="20"/>
                <w:szCs w:val="20"/>
              </w:rPr>
            </w:pPr>
          </w:p>
        </w:tc>
      </w:tr>
      <w:tr w:rsidR="00000000" w14:paraId="11E25AC2" w14:textId="77777777">
        <w:trPr>
          <w:divId w:val="1533881267"/>
        </w:trPr>
        <w:tc>
          <w:tcPr>
            <w:tcW w:w="0" w:type="auto"/>
            <w:gridSpan w:val="3"/>
            <w:shd w:val="clear" w:color="auto" w:fill="FFFFFF"/>
            <w:tcMar>
              <w:top w:w="30" w:type="dxa"/>
              <w:left w:w="20" w:type="dxa"/>
              <w:bottom w:w="30" w:type="dxa"/>
              <w:right w:w="20" w:type="dxa"/>
            </w:tcMar>
            <w:vAlign w:val="center"/>
            <w:hideMark/>
          </w:tcPr>
          <w:p w14:paraId="23236498" w14:textId="77777777" w:rsidR="00000000" w:rsidRDefault="00A173A8">
            <w:pPr>
              <w:spacing w:after="100"/>
              <w:rPr>
                <w:rFonts w:eastAsia="Times New Roman"/>
              </w:rPr>
            </w:pPr>
            <w:r>
              <w:rPr>
                <w:rFonts w:eastAsia="Times New Roman"/>
                <w:color w:val="000000"/>
                <w:sz w:val="20"/>
                <w:szCs w:val="20"/>
              </w:rPr>
              <w:t>Net charge-off rate</w:t>
            </w:r>
          </w:p>
        </w:tc>
        <w:tc>
          <w:tcPr>
            <w:tcW w:w="0" w:type="auto"/>
            <w:gridSpan w:val="3"/>
            <w:shd w:val="clear" w:color="auto" w:fill="FFFFFF"/>
            <w:tcMar>
              <w:top w:w="0" w:type="dxa"/>
              <w:left w:w="20" w:type="dxa"/>
              <w:bottom w:w="0" w:type="dxa"/>
              <w:right w:w="20" w:type="dxa"/>
            </w:tcMar>
            <w:vAlign w:val="center"/>
            <w:hideMark/>
          </w:tcPr>
          <w:p w14:paraId="1FD6ED7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61BF30" w14:textId="77777777" w:rsidR="00000000" w:rsidRDefault="00A173A8">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F041B2"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715186A"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F5670AE" w14:textId="77777777" w:rsidR="00000000" w:rsidRDefault="00A173A8">
            <w:pPr>
              <w:spacing w:after="100"/>
              <w:jc w:val="right"/>
              <w:rPr>
                <w:rFonts w:eastAsia="Times New Roman"/>
              </w:rPr>
            </w:pPr>
            <w:r>
              <w:rPr>
                <w:rFonts w:eastAsia="Times New Roman"/>
                <w:color w:val="000000"/>
                <w:sz w:val="20"/>
                <w:szCs w:val="20"/>
              </w:rPr>
              <w:t>0.88%</w:t>
            </w:r>
          </w:p>
        </w:tc>
        <w:tc>
          <w:tcPr>
            <w:tcW w:w="0" w:type="auto"/>
            <w:gridSpan w:val="3"/>
            <w:shd w:val="clear" w:color="auto" w:fill="FFFFFF"/>
            <w:tcMar>
              <w:top w:w="0" w:type="dxa"/>
              <w:left w:w="20" w:type="dxa"/>
              <w:bottom w:w="0" w:type="dxa"/>
              <w:right w:w="20" w:type="dxa"/>
            </w:tcMar>
            <w:vAlign w:val="center"/>
            <w:hideMark/>
          </w:tcPr>
          <w:p w14:paraId="022D7258"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88571D" w14:textId="77777777" w:rsidR="00000000" w:rsidRDefault="00A173A8">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1D82AF68" w14:textId="77777777" w:rsidR="00000000" w:rsidRDefault="00A173A8">
            <w:pPr>
              <w:spacing w:after="100"/>
              <w:rPr>
                <w:rFonts w:eastAsia="Times New Roman"/>
              </w:rPr>
            </w:pPr>
            <w:r>
              <w:rPr>
                <w:rFonts w:eastAsia="Times New Roman"/>
                <w:color w:val="000000"/>
                <w:sz w:val="20"/>
                <w:szCs w:val="20"/>
              </w:rPr>
              <w:t>bps</w:t>
            </w:r>
          </w:p>
        </w:tc>
        <w:tc>
          <w:tcPr>
            <w:tcW w:w="0" w:type="auto"/>
            <w:gridSpan w:val="3"/>
            <w:shd w:val="clear" w:color="auto" w:fill="FFFFFF"/>
            <w:tcMar>
              <w:top w:w="0" w:type="dxa"/>
              <w:left w:w="20" w:type="dxa"/>
              <w:bottom w:w="0" w:type="dxa"/>
              <w:right w:w="20" w:type="dxa"/>
            </w:tcMar>
            <w:vAlign w:val="center"/>
            <w:hideMark/>
          </w:tcPr>
          <w:p w14:paraId="398FF84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34B147" w14:textId="77777777" w:rsidR="00000000" w:rsidRDefault="00A173A8">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81E9CD"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DF344B9"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8A052BD" w14:textId="77777777" w:rsidR="00000000" w:rsidRDefault="00A173A8">
            <w:pPr>
              <w:spacing w:after="100"/>
              <w:jc w:val="right"/>
              <w:rPr>
                <w:rFonts w:eastAsia="Times New Roman"/>
              </w:rPr>
            </w:pPr>
            <w:r>
              <w:rPr>
                <w:rFonts w:eastAsia="Times New Roman"/>
                <w:color w:val="000000"/>
                <w:sz w:val="20"/>
                <w:szCs w:val="20"/>
              </w:rPr>
              <w:t>1.04%</w:t>
            </w:r>
          </w:p>
        </w:tc>
        <w:tc>
          <w:tcPr>
            <w:tcW w:w="0" w:type="auto"/>
            <w:vAlign w:val="center"/>
            <w:hideMark/>
          </w:tcPr>
          <w:p w14:paraId="0992D4DC" w14:textId="77777777" w:rsidR="00000000" w:rsidRDefault="00A173A8">
            <w:pPr>
              <w:spacing w:after="100"/>
              <w:jc w:val="right"/>
              <w:rPr>
                <w:rFonts w:eastAsia="Times New Roman"/>
              </w:rPr>
            </w:pPr>
          </w:p>
        </w:tc>
        <w:tc>
          <w:tcPr>
            <w:tcW w:w="0" w:type="auto"/>
            <w:vAlign w:val="center"/>
            <w:hideMark/>
          </w:tcPr>
          <w:p w14:paraId="60FCB83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34DE77" w14:textId="77777777" w:rsidR="00000000" w:rsidRDefault="00A173A8">
            <w:pPr>
              <w:spacing w:after="100"/>
              <w:rPr>
                <w:rFonts w:eastAsia="Times New Roman"/>
                <w:sz w:val="20"/>
                <w:szCs w:val="20"/>
              </w:rPr>
            </w:pPr>
          </w:p>
        </w:tc>
        <w:tc>
          <w:tcPr>
            <w:tcW w:w="0" w:type="auto"/>
            <w:vAlign w:val="center"/>
            <w:hideMark/>
          </w:tcPr>
          <w:p w14:paraId="3947610F" w14:textId="77777777" w:rsidR="00000000" w:rsidRDefault="00A173A8">
            <w:pPr>
              <w:spacing w:after="100"/>
              <w:rPr>
                <w:rFonts w:eastAsia="Times New Roman"/>
                <w:sz w:val="20"/>
                <w:szCs w:val="20"/>
              </w:rPr>
            </w:pPr>
          </w:p>
        </w:tc>
        <w:tc>
          <w:tcPr>
            <w:tcW w:w="0" w:type="auto"/>
            <w:gridSpan w:val="3"/>
            <w:vAlign w:val="center"/>
            <w:hideMark/>
          </w:tcPr>
          <w:p w14:paraId="02635086" w14:textId="77777777" w:rsidR="00000000" w:rsidRDefault="00A173A8">
            <w:pPr>
              <w:spacing w:after="100"/>
              <w:rPr>
                <w:rFonts w:eastAsia="Times New Roman"/>
                <w:sz w:val="20"/>
                <w:szCs w:val="20"/>
              </w:rPr>
            </w:pPr>
          </w:p>
        </w:tc>
        <w:tc>
          <w:tcPr>
            <w:tcW w:w="0" w:type="auto"/>
            <w:gridSpan w:val="3"/>
            <w:vAlign w:val="center"/>
            <w:hideMark/>
          </w:tcPr>
          <w:p w14:paraId="3714D083" w14:textId="77777777" w:rsidR="00000000" w:rsidRDefault="00A173A8">
            <w:pPr>
              <w:spacing w:after="100"/>
              <w:rPr>
                <w:rFonts w:eastAsia="Times New Roman"/>
                <w:sz w:val="20"/>
                <w:szCs w:val="20"/>
              </w:rPr>
            </w:pPr>
          </w:p>
        </w:tc>
        <w:tc>
          <w:tcPr>
            <w:tcW w:w="0" w:type="auto"/>
            <w:gridSpan w:val="3"/>
            <w:vAlign w:val="center"/>
            <w:hideMark/>
          </w:tcPr>
          <w:p w14:paraId="34901566"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91B270" w14:textId="77777777" w:rsidR="00000000" w:rsidRDefault="00A173A8">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6E7737FE" w14:textId="77777777" w:rsidR="00000000" w:rsidRDefault="00A173A8">
            <w:pPr>
              <w:spacing w:after="100"/>
              <w:rPr>
                <w:rFonts w:eastAsia="Times New Roman"/>
              </w:rPr>
            </w:pPr>
            <w:r>
              <w:rPr>
                <w:rFonts w:eastAsia="Times New Roman"/>
                <w:color w:val="000000"/>
                <w:sz w:val="20"/>
                <w:szCs w:val="20"/>
              </w:rPr>
              <w:t>bps</w:t>
            </w:r>
          </w:p>
        </w:tc>
        <w:tc>
          <w:tcPr>
            <w:tcW w:w="0" w:type="auto"/>
            <w:gridSpan w:val="3"/>
            <w:vAlign w:val="center"/>
            <w:hideMark/>
          </w:tcPr>
          <w:p w14:paraId="6EAC0C26" w14:textId="77777777" w:rsidR="00000000" w:rsidRDefault="00A173A8">
            <w:pPr>
              <w:spacing w:after="100"/>
              <w:rPr>
                <w:rFonts w:eastAsia="Times New Roman"/>
              </w:rPr>
            </w:pPr>
          </w:p>
        </w:tc>
        <w:tc>
          <w:tcPr>
            <w:tcW w:w="0" w:type="auto"/>
            <w:gridSpan w:val="2"/>
            <w:vAlign w:val="center"/>
            <w:hideMark/>
          </w:tcPr>
          <w:p w14:paraId="595AF7D4" w14:textId="77777777" w:rsidR="00000000" w:rsidRDefault="00A173A8">
            <w:pPr>
              <w:spacing w:after="100"/>
              <w:rPr>
                <w:rFonts w:eastAsia="Times New Roman"/>
                <w:sz w:val="20"/>
                <w:szCs w:val="20"/>
              </w:rPr>
            </w:pPr>
          </w:p>
        </w:tc>
      </w:tr>
    </w:tbl>
    <w:p w14:paraId="33C076AE" w14:textId="77777777" w:rsidR="00000000" w:rsidRDefault="00A173A8">
      <w:pPr>
        <w:divId w:val="153388126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684"/>
        <w:gridCol w:w="39"/>
        <w:gridCol w:w="36"/>
        <w:gridCol w:w="36"/>
        <w:gridCol w:w="36"/>
        <w:gridCol w:w="36"/>
        <w:gridCol w:w="36"/>
        <w:gridCol w:w="36"/>
        <w:gridCol w:w="36"/>
        <w:gridCol w:w="36"/>
        <w:gridCol w:w="36"/>
        <w:gridCol w:w="120"/>
        <w:gridCol w:w="700"/>
        <w:gridCol w:w="220"/>
        <w:gridCol w:w="36"/>
        <w:gridCol w:w="36"/>
        <w:gridCol w:w="36"/>
        <w:gridCol w:w="121"/>
        <w:gridCol w:w="840"/>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76"/>
        <w:gridCol w:w="613"/>
        <w:gridCol w:w="298"/>
        <w:gridCol w:w="36"/>
        <w:gridCol w:w="36"/>
        <w:gridCol w:w="36"/>
        <w:gridCol w:w="36"/>
        <w:gridCol w:w="36"/>
      </w:tblGrid>
      <w:tr w:rsidR="00000000" w14:paraId="2B69DEC9" w14:textId="77777777">
        <w:trPr>
          <w:divId w:val="1533881267"/>
        </w:trPr>
        <w:tc>
          <w:tcPr>
            <w:tcW w:w="50" w:type="pct"/>
            <w:vAlign w:val="center"/>
            <w:hideMark/>
          </w:tcPr>
          <w:p w14:paraId="7995BF82" w14:textId="77777777" w:rsidR="00000000" w:rsidRDefault="00A173A8">
            <w:pPr>
              <w:rPr>
                <w:rFonts w:eastAsia="Times New Roman"/>
              </w:rPr>
            </w:pPr>
          </w:p>
        </w:tc>
        <w:tc>
          <w:tcPr>
            <w:tcW w:w="2971" w:type="pct"/>
            <w:vAlign w:val="center"/>
            <w:hideMark/>
          </w:tcPr>
          <w:p w14:paraId="00E0D751" w14:textId="77777777" w:rsidR="00000000" w:rsidRDefault="00A173A8">
            <w:pPr>
              <w:spacing w:after="100"/>
              <w:rPr>
                <w:rFonts w:eastAsia="Times New Roman"/>
                <w:sz w:val="20"/>
                <w:szCs w:val="20"/>
              </w:rPr>
            </w:pPr>
          </w:p>
        </w:tc>
        <w:tc>
          <w:tcPr>
            <w:tcW w:w="5" w:type="pct"/>
            <w:vAlign w:val="center"/>
            <w:hideMark/>
          </w:tcPr>
          <w:p w14:paraId="4CB0DFEB" w14:textId="77777777" w:rsidR="00000000" w:rsidRDefault="00A173A8">
            <w:pPr>
              <w:spacing w:after="100"/>
              <w:rPr>
                <w:rFonts w:eastAsia="Times New Roman"/>
                <w:sz w:val="20"/>
                <w:szCs w:val="20"/>
              </w:rPr>
            </w:pPr>
          </w:p>
        </w:tc>
        <w:tc>
          <w:tcPr>
            <w:tcW w:w="0" w:type="auto"/>
            <w:vAlign w:val="center"/>
            <w:hideMark/>
          </w:tcPr>
          <w:p w14:paraId="388B1BA1" w14:textId="77777777" w:rsidR="00000000" w:rsidRDefault="00A173A8">
            <w:pPr>
              <w:spacing w:after="100"/>
              <w:rPr>
                <w:rFonts w:eastAsia="Times New Roman"/>
                <w:sz w:val="20"/>
                <w:szCs w:val="20"/>
              </w:rPr>
            </w:pPr>
          </w:p>
        </w:tc>
        <w:tc>
          <w:tcPr>
            <w:tcW w:w="0" w:type="auto"/>
            <w:vAlign w:val="center"/>
            <w:hideMark/>
          </w:tcPr>
          <w:p w14:paraId="4BAFCBF3" w14:textId="77777777" w:rsidR="00000000" w:rsidRDefault="00A173A8">
            <w:pPr>
              <w:spacing w:after="100"/>
              <w:rPr>
                <w:rFonts w:eastAsia="Times New Roman"/>
                <w:sz w:val="20"/>
                <w:szCs w:val="20"/>
              </w:rPr>
            </w:pPr>
          </w:p>
        </w:tc>
        <w:tc>
          <w:tcPr>
            <w:tcW w:w="0" w:type="auto"/>
            <w:vAlign w:val="center"/>
            <w:hideMark/>
          </w:tcPr>
          <w:p w14:paraId="323008AA" w14:textId="77777777" w:rsidR="00000000" w:rsidRDefault="00A173A8">
            <w:pPr>
              <w:spacing w:after="100"/>
              <w:rPr>
                <w:rFonts w:eastAsia="Times New Roman"/>
                <w:sz w:val="20"/>
                <w:szCs w:val="20"/>
              </w:rPr>
            </w:pPr>
          </w:p>
        </w:tc>
        <w:tc>
          <w:tcPr>
            <w:tcW w:w="0" w:type="auto"/>
            <w:vAlign w:val="center"/>
            <w:hideMark/>
          </w:tcPr>
          <w:p w14:paraId="77C91DFF" w14:textId="77777777" w:rsidR="00000000" w:rsidRDefault="00A173A8">
            <w:pPr>
              <w:spacing w:after="100"/>
              <w:rPr>
                <w:rFonts w:eastAsia="Times New Roman"/>
                <w:sz w:val="20"/>
                <w:szCs w:val="20"/>
              </w:rPr>
            </w:pPr>
          </w:p>
        </w:tc>
        <w:tc>
          <w:tcPr>
            <w:tcW w:w="0" w:type="auto"/>
            <w:vAlign w:val="center"/>
            <w:hideMark/>
          </w:tcPr>
          <w:p w14:paraId="7990C156" w14:textId="77777777" w:rsidR="00000000" w:rsidRDefault="00A173A8">
            <w:pPr>
              <w:spacing w:after="100"/>
              <w:rPr>
                <w:rFonts w:eastAsia="Times New Roman"/>
                <w:sz w:val="20"/>
                <w:szCs w:val="20"/>
              </w:rPr>
            </w:pPr>
          </w:p>
        </w:tc>
        <w:tc>
          <w:tcPr>
            <w:tcW w:w="0" w:type="auto"/>
            <w:vAlign w:val="center"/>
            <w:hideMark/>
          </w:tcPr>
          <w:p w14:paraId="4155EA44" w14:textId="77777777" w:rsidR="00000000" w:rsidRDefault="00A173A8">
            <w:pPr>
              <w:spacing w:after="100"/>
              <w:rPr>
                <w:rFonts w:eastAsia="Times New Roman"/>
                <w:sz w:val="20"/>
                <w:szCs w:val="20"/>
              </w:rPr>
            </w:pPr>
          </w:p>
        </w:tc>
        <w:tc>
          <w:tcPr>
            <w:tcW w:w="5" w:type="pct"/>
            <w:vAlign w:val="center"/>
            <w:hideMark/>
          </w:tcPr>
          <w:p w14:paraId="18090D72" w14:textId="77777777" w:rsidR="00000000" w:rsidRDefault="00A173A8">
            <w:pPr>
              <w:spacing w:after="100"/>
              <w:rPr>
                <w:rFonts w:eastAsia="Times New Roman"/>
                <w:sz w:val="20"/>
                <w:szCs w:val="20"/>
              </w:rPr>
            </w:pPr>
          </w:p>
        </w:tc>
        <w:tc>
          <w:tcPr>
            <w:tcW w:w="26" w:type="pct"/>
            <w:vAlign w:val="center"/>
            <w:hideMark/>
          </w:tcPr>
          <w:p w14:paraId="2E55809E" w14:textId="77777777" w:rsidR="00000000" w:rsidRDefault="00A173A8">
            <w:pPr>
              <w:spacing w:after="100"/>
              <w:rPr>
                <w:rFonts w:eastAsia="Times New Roman"/>
                <w:sz w:val="20"/>
                <w:szCs w:val="20"/>
              </w:rPr>
            </w:pPr>
          </w:p>
        </w:tc>
        <w:tc>
          <w:tcPr>
            <w:tcW w:w="5" w:type="pct"/>
            <w:vAlign w:val="center"/>
            <w:hideMark/>
          </w:tcPr>
          <w:p w14:paraId="2133FBB3" w14:textId="77777777" w:rsidR="00000000" w:rsidRDefault="00A173A8">
            <w:pPr>
              <w:spacing w:after="100"/>
              <w:rPr>
                <w:rFonts w:eastAsia="Times New Roman"/>
                <w:sz w:val="20"/>
                <w:szCs w:val="20"/>
              </w:rPr>
            </w:pPr>
          </w:p>
        </w:tc>
        <w:tc>
          <w:tcPr>
            <w:tcW w:w="50" w:type="pct"/>
            <w:vAlign w:val="center"/>
            <w:hideMark/>
          </w:tcPr>
          <w:p w14:paraId="624BD4BF" w14:textId="77777777" w:rsidR="00000000" w:rsidRDefault="00A173A8">
            <w:pPr>
              <w:spacing w:after="100"/>
              <w:rPr>
                <w:rFonts w:eastAsia="Times New Roman"/>
                <w:sz w:val="20"/>
                <w:szCs w:val="20"/>
              </w:rPr>
            </w:pPr>
          </w:p>
        </w:tc>
        <w:tc>
          <w:tcPr>
            <w:tcW w:w="602" w:type="pct"/>
            <w:vAlign w:val="center"/>
            <w:hideMark/>
          </w:tcPr>
          <w:p w14:paraId="122D919C" w14:textId="77777777" w:rsidR="00000000" w:rsidRDefault="00A173A8">
            <w:pPr>
              <w:spacing w:after="100"/>
              <w:rPr>
                <w:rFonts w:eastAsia="Times New Roman"/>
                <w:sz w:val="20"/>
                <w:szCs w:val="20"/>
              </w:rPr>
            </w:pPr>
          </w:p>
        </w:tc>
        <w:tc>
          <w:tcPr>
            <w:tcW w:w="5" w:type="pct"/>
            <w:vAlign w:val="center"/>
            <w:hideMark/>
          </w:tcPr>
          <w:p w14:paraId="7937C890" w14:textId="77777777" w:rsidR="00000000" w:rsidRDefault="00A173A8">
            <w:pPr>
              <w:spacing w:after="100"/>
              <w:rPr>
                <w:rFonts w:eastAsia="Times New Roman"/>
                <w:sz w:val="20"/>
                <w:szCs w:val="20"/>
              </w:rPr>
            </w:pPr>
          </w:p>
        </w:tc>
        <w:tc>
          <w:tcPr>
            <w:tcW w:w="5" w:type="pct"/>
            <w:vAlign w:val="center"/>
            <w:hideMark/>
          </w:tcPr>
          <w:p w14:paraId="6C1633AC" w14:textId="77777777" w:rsidR="00000000" w:rsidRDefault="00A173A8">
            <w:pPr>
              <w:spacing w:after="100"/>
              <w:rPr>
                <w:rFonts w:eastAsia="Times New Roman"/>
                <w:sz w:val="20"/>
                <w:szCs w:val="20"/>
              </w:rPr>
            </w:pPr>
          </w:p>
        </w:tc>
        <w:tc>
          <w:tcPr>
            <w:tcW w:w="26" w:type="pct"/>
            <w:vAlign w:val="center"/>
            <w:hideMark/>
          </w:tcPr>
          <w:p w14:paraId="2AC934F6" w14:textId="77777777" w:rsidR="00000000" w:rsidRDefault="00A173A8">
            <w:pPr>
              <w:spacing w:after="100"/>
              <w:rPr>
                <w:rFonts w:eastAsia="Times New Roman"/>
                <w:sz w:val="20"/>
                <w:szCs w:val="20"/>
              </w:rPr>
            </w:pPr>
          </w:p>
        </w:tc>
        <w:tc>
          <w:tcPr>
            <w:tcW w:w="5" w:type="pct"/>
            <w:vAlign w:val="center"/>
            <w:hideMark/>
          </w:tcPr>
          <w:p w14:paraId="0401955E" w14:textId="77777777" w:rsidR="00000000" w:rsidRDefault="00A173A8">
            <w:pPr>
              <w:spacing w:after="100"/>
              <w:rPr>
                <w:rFonts w:eastAsia="Times New Roman"/>
                <w:sz w:val="20"/>
                <w:szCs w:val="20"/>
              </w:rPr>
            </w:pPr>
          </w:p>
        </w:tc>
        <w:tc>
          <w:tcPr>
            <w:tcW w:w="50" w:type="pct"/>
            <w:vAlign w:val="center"/>
            <w:hideMark/>
          </w:tcPr>
          <w:p w14:paraId="4BCBDC03" w14:textId="77777777" w:rsidR="00000000" w:rsidRDefault="00A173A8">
            <w:pPr>
              <w:spacing w:after="100"/>
              <w:rPr>
                <w:rFonts w:eastAsia="Times New Roman"/>
                <w:sz w:val="20"/>
                <w:szCs w:val="20"/>
              </w:rPr>
            </w:pPr>
          </w:p>
        </w:tc>
        <w:tc>
          <w:tcPr>
            <w:tcW w:w="697" w:type="pct"/>
            <w:vAlign w:val="center"/>
            <w:hideMark/>
          </w:tcPr>
          <w:p w14:paraId="66C44703" w14:textId="77777777" w:rsidR="00000000" w:rsidRDefault="00A173A8">
            <w:pPr>
              <w:spacing w:after="100"/>
              <w:rPr>
                <w:rFonts w:eastAsia="Times New Roman"/>
                <w:sz w:val="20"/>
                <w:szCs w:val="20"/>
              </w:rPr>
            </w:pPr>
          </w:p>
        </w:tc>
        <w:tc>
          <w:tcPr>
            <w:tcW w:w="5" w:type="pct"/>
            <w:vAlign w:val="center"/>
            <w:hideMark/>
          </w:tcPr>
          <w:p w14:paraId="12E53BD3" w14:textId="77777777" w:rsidR="00000000" w:rsidRDefault="00A173A8">
            <w:pPr>
              <w:spacing w:after="100"/>
              <w:rPr>
                <w:rFonts w:eastAsia="Times New Roman"/>
                <w:sz w:val="20"/>
                <w:szCs w:val="20"/>
              </w:rPr>
            </w:pPr>
          </w:p>
        </w:tc>
        <w:tc>
          <w:tcPr>
            <w:tcW w:w="0" w:type="auto"/>
            <w:gridSpan w:val="3"/>
            <w:vAlign w:val="center"/>
            <w:hideMark/>
          </w:tcPr>
          <w:p w14:paraId="7F34B92F" w14:textId="77777777" w:rsidR="00000000" w:rsidRDefault="00A173A8">
            <w:pPr>
              <w:spacing w:after="100"/>
              <w:rPr>
                <w:rFonts w:eastAsia="Times New Roman"/>
                <w:sz w:val="20"/>
                <w:szCs w:val="20"/>
              </w:rPr>
            </w:pPr>
          </w:p>
        </w:tc>
        <w:tc>
          <w:tcPr>
            <w:tcW w:w="0" w:type="auto"/>
            <w:gridSpan w:val="3"/>
            <w:vAlign w:val="center"/>
            <w:hideMark/>
          </w:tcPr>
          <w:p w14:paraId="24B12E5F" w14:textId="77777777" w:rsidR="00000000" w:rsidRDefault="00A173A8">
            <w:pPr>
              <w:spacing w:after="100"/>
              <w:rPr>
                <w:rFonts w:eastAsia="Times New Roman"/>
                <w:sz w:val="20"/>
                <w:szCs w:val="20"/>
              </w:rPr>
            </w:pPr>
          </w:p>
        </w:tc>
        <w:tc>
          <w:tcPr>
            <w:tcW w:w="5" w:type="pct"/>
            <w:vAlign w:val="center"/>
            <w:hideMark/>
          </w:tcPr>
          <w:p w14:paraId="3C4CB460" w14:textId="77777777" w:rsidR="00000000" w:rsidRDefault="00A173A8">
            <w:pPr>
              <w:spacing w:after="100"/>
              <w:rPr>
                <w:rFonts w:eastAsia="Times New Roman"/>
                <w:sz w:val="20"/>
                <w:szCs w:val="20"/>
              </w:rPr>
            </w:pPr>
          </w:p>
        </w:tc>
        <w:tc>
          <w:tcPr>
            <w:tcW w:w="19" w:type="pct"/>
            <w:vAlign w:val="center"/>
            <w:hideMark/>
          </w:tcPr>
          <w:p w14:paraId="65B093C0" w14:textId="77777777" w:rsidR="00000000" w:rsidRDefault="00A173A8">
            <w:pPr>
              <w:spacing w:after="100"/>
              <w:rPr>
                <w:rFonts w:eastAsia="Times New Roman"/>
                <w:sz w:val="20"/>
                <w:szCs w:val="20"/>
              </w:rPr>
            </w:pPr>
          </w:p>
        </w:tc>
        <w:tc>
          <w:tcPr>
            <w:tcW w:w="5" w:type="pct"/>
            <w:vAlign w:val="center"/>
            <w:hideMark/>
          </w:tcPr>
          <w:p w14:paraId="42211487" w14:textId="77777777" w:rsidR="00000000" w:rsidRDefault="00A173A8">
            <w:pPr>
              <w:spacing w:after="100"/>
              <w:rPr>
                <w:rFonts w:eastAsia="Times New Roman"/>
                <w:sz w:val="20"/>
                <w:szCs w:val="20"/>
              </w:rPr>
            </w:pPr>
          </w:p>
        </w:tc>
        <w:tc>
          <w:tcPr>
            <w:tcW w:w="0" w:type="auto"/>
            <w:gridSpan w:val="3"/>
            <w:vAlign w:val="center"/>
            <w:hideMark/>
          </w:tcPr>
          <w:p w14:paraId="0A1D487A" w14:textId="77777777" w:rsidR="00000000" w:rsidRDefault="00A173A8">
            <w:pPr>
              <w:spacing w:after="100"/>
              <w:rPr>
                <w:rFonts w:eastAsia="Times New Roman"/>
                <w:sz w:val="20"/>
                <w:szCs w:val="20"/>
              </w:rPr>
            </w:pPr>
          </w:p>
        </w:tc>
        <w:tc>
          <w:tcPr>
            <w:tcW w:w="0" w:type="auto"/>
            <w:gridSpan w:val="3"/>
            <w:vAlign w:val="center"/>
            <w:hideMark/>
          </w:tcPr>
          <w:p w14:paraId="20722419" w14:textId="77777777" w:rsidR="00000000" w:rsidRDefault="00A173A8">
            <w:pPr>
              <w:spacing w:after="100"/>
              <w:rPr>
                <w:rFonts w:eastAsia="Times New Roman"/>
                <w:sz w:val="20"/>
                <w:szCs w:val="20"/>
              </w:rPr>
            </w:pPr>
          </w:p>
        </w:tc>
        <w:tc>
          <w:tcPr>
            <w:tcW w:w="0" w:type="auto"/>
            <w:gridSpan w:val="3"/>
            <w:vAlign w:val="center"/>
            <w:hideMark/>
          </w:tcPr>
          <w:p w14:paraId="55DF9A43" w14:textId="77777777" w:rsidR="00000000" w:rsidRDefault="00A173A8">
            <w:pPr>
              <w:spacing w:after="100"/>
              <w:rPr>
                <w:rFonts w:eastAsia="Times New Roman"/>
                <w:sz w:val="20"/>
                <w:szCs w:val="20"/>
              </w:rPr>
            </w:pPr>
          </w:p>
        </w:tc>
        <w:tc>
          <w:tcPr>
            <w:tcW w:w="0" w:type="auto"/>
            <w:gridSpan w:val="3"/>
            <w:vAlign w:val="center"/>
            <w:hideMark/>
          </w:tcPr>
          <w:p w14:paraId="7E2DEB9B" w14:textId="77777777" w:rsidR="00000000" w:rsidRDefault="00A173A8">
            <w:pPr>
              <w:spacing w:after="100"/>
              <w:rPr>
                <w:rFonts w:eastAsia="Times New Roman"/>
                <w:sz w:val="20"/>
                <w:szCs w:val="20"/>
              </w:rPr>
            </w:pPr>
          </w:p>
        </w:tc>
        <w:tc>
          <w:tcPr>
            <w:tcW w:w="50" w:type="pct"/>
            <w:vAlign w:val="center"/>
            <w:hideMark/>
          </w:tcPr>
          <w:p w14:paraId="42B48F65" w14:textId="77777777" w:rsidR="00000000" w:rsidRDefault="00A173A8">
            <w:pPr>
              <w:spacing w:after="100"/>
              <w:rPr>
                <w:rFonts w:eastAsia="Times New Roman"/>
                <w:sz w:val="20"/>
                <w:szCs w:val="20"/>
              </w:rPr>
            </w:pPr>
          </w:p>
        </w:tc>
        <w:tc>
          <w:tcPr>
            <w:tcW w:w="405" w:type="pct"/>
            <w:vAlign w:val="center"/>
            <w:hideMark/>
          </w:tcPr>
          <w:p w14:paraId="23EDF9B9" w14:textId="77777777" w:rsidR="00000000" w:rsidRDefault="00A173A8">
            <w:pPr>
              <w:spacing w:after="100"/>
              <w:rPr>
                <w:rFonts w:eastAsia="Times New Roman"/>
                <w:sz w:val="20"/>
                <w:szCs w:val="20"/>
              </w:rPr>
            </w:pPr>
          </w:p>
        </w:tc>
        <w:tc>
          <w:tcPr>
            <w:tcW w:w="5" w:type="pct"/>
            <w:vAlign w:val="center"/>
            <w:hideMark/>
          </w:tcPr>
          <w:p w14:paraId="7B91F47D" w14:textId="77777777" w:rsidR="00000000" w:rsidRDefault="00A173A8">
            <w:pPr>
              <w:spacing w:after="100"/>
              <w:rPr>
                <w:rFonts w:eastAsia="Times New Roman"/>
                <w:sz w:val="20"/>
                <w:szCs w:val="20"/>
              </w:rPr>
            </w:pPr>
          </w:p>
        </w:tc>
        <w:tc>
          <w:tcPr>
            <w:tcW w:w="0" w:type="auto"/>
            <w:gridSpan w:val="3"/>
            <w:vAlign w:val="center"/>
            <w:hideMark/>
          </w:tcPr>
          <w:p w14:paraId="295D47C9" w14:textId="77777777" w:rsidR="00000000" w:rsidRDefault="00A173A8">
            <w:pPr>
              <w:spacing w:after="100"/>
              <w:rPr>
                <w:rFonts w:eastAsia="Times New Roman"/>
                <w:sz w:val="20"/>
                <w:szCs w:val="20"/>
              </w:rPr>
            </w:pPr>
          </w:p>
        </w:tc>
        <w:tc>
          <w:tcPr>
            <w:tcW w:w="0" w:type="auto"/>
            <w:gridSpan w:val="2"/>
            <w:vAlign w:val="center"/>
            <w:hideMark/>
          </w:tcPr>
          <w:p w14:paraId="7A97C4E8" w14:textId="77777777" w:rsidR="00000000" w:rsidRDefault="00A173A8">
            <w:pPr>
              <w:spacing w:after="100"/>
              <w:rPr>
                <w:rFonts w:eastAsia="Times New Roman"/>
                <w:sz w:val="20"/>
                <w:szCs w:val="20"/>
              </w:rPr>
            </w:pPr>
          </w:p>
        </w:tc>
      </w:tr>
      <w:tr w:rsidR="00000000" w14:paraId="6E21E310" w14:textId="77777777">
        <w:trPr>
          <w:divId w:val="1533881267"/>
        </w:trPr>
        <w:tc>
          <w:tcPr>
            <w:tcW w:w="0" w:type="auto"/>
            <w:gridSpan w:val="3"/>
            <w:vAlign w:val="center"/>
            <w:hideMark/>
          </w:tcPr>
          <w:p w14:paraId="17948B15" w14:textId="77777777" w:rsidR="00000000" w:rsidRDefault="00A173A8">
            <w:pPr>
              <w:spacing w:after="100"/>
              <w:rPr>
                <w:rFonts w:eastAsia="Times New Roman"/>
                <w:sz w:val="20"/>
                <w:szCs w:val="20"/>
              </w:rPr>
            </w:pPr>
          </w:p>
        </w:tc>
        <w:tc>
          <w:tcPr>
            <w:tcW w:w="0" w:type="auto"/>
            <w:vAlign w:val="center"/>
            <w:hideMark/>
          </w:tcPr>
          <w:p w14:paraId="38A851BD" w14:textId="77777777" w:rsidR="00000000" w:rsidRDefault="00A173A8">
            <w:pPr>
              <w:spacing w:after="100"/>
              <w:rPr>
                <w:rFonts w:eastAsia="Times New Roman"/>
                <w:sz w:val="20"/>
                <w:szCs w:val="20"/>
              </w:rPr>
            </w:pPr>
          </w:p>
        </w:tc>
        <w:tc>
          <w:tcPr>
            <w:tcW w:w="0" w:type="auto"/>
            <w:vAlign w:val="center"/>
            <w:hideMark/>
          </w:tcPr>
          <w:p w14:paraId="2C54807A" w14:textId="77777777" w:rsidR="00000000" w:rsidRDefault="00A173A8">
            <w:pPr>
              <w:spacing w:after="100"/>
              <w:rPr>
                <w:rFonts w:eastAsia="Times New Roman"/>
                <w:sz w:val="20"/>
                <w:szCs w:val="20"/>
              </w:rPr>
            </w:pPr>
          </w:p>
        </w:tc>
        <w:tc>
          <w:tcPr>
            <w:tcW w:w="0" w:type="auto"/>
            <w:vAlign w:val="center"/>
            <w:hideMark/>
          </w:tcPr>
          <w:p w14:paraId="40D1805E" w14:textId="77777777" w:rsidR="00000000" w:rsidRDefault="00A173A8">
            <w:pPr>
              <w:spacing w:after="100"/>
              <w:rPr>
                <w:rFonts w:eastAsia="Times New Roman"/>
                <w:sz w:val="20"/>
                <w:szCs w:val="20"/>
              </w:rPr>
            </w:pPr>
          </w:p>
        </w:tc>
        <w:tc>
          <w:tcPr>
            <w:tcW w:w="0" w:type="auto"/>
            <w:vAlign w:val="center"/>
            <w:hideMark/>
          </w:tcPr>
          <w:p w14:paraId="40366AE5" w14:textId="77777777" w:rsidR="00000000" w:rsidRDefault="00A173A8">
            <w:pPr>
              <w:spacing w:after="100"/>
              <w:rPr>
                <w:rFonts w:eastAsia="Times New Roman"/>
                <w:sz w:val="20"/>
                <w:szCs w:val="20"/>
              </w:rPr>
            </w:pPr>
          </w:p>
        </w:tc>
        <w:tc>
          <w:tcPr>
            <w:tcW w:w="0" w:type="auto"/>
            <w:vAlign w:val="center"/>
            <w:hideMark/>
          </w:tcPr>
          <w:p w14:paraId="02AF9761" w14:textId="77777777" w:rsidR="00000000" w:rsidRDefault="00A173A8">
            <w:pPr>
              <w:spacing w:after="100"/>
              <w:rPr>
                <w:rFonts w:eastAsia="Times New Roman"/>
                <w:sz w:val="20"/>
                <w:szCs w:val="20"/>
              </w:rPr>
            </w:pPr>
          </w:p>
        </w:tc>
        <w:tc>
          <w:tcPr>
            <w:tcW w:w="0" w:type="auto"/>
            <w:vAlign w:val="center"/>
            <w:hideMark/>
          </w:tcPr>
          <w:p w14:paraId="254F22F5" w14:textId="77777777" w:rsidR="00000000" w:rsidRDefault="00A173A8">
            <w:pPr>
              <w:spacing w:after="100"/>
              <w:rPr>
                <w:rFonts w:eastAsia="Times New Roman"/>
                <w:sz w:val="20"/>
                <w:szCs w:val="20"/>
              </w:rPr>
            </w:pPr>
          </w:p>
        </w:tc>
        <w:tc>
          <w:tcPr>
            <w:tcW w:w="0" w:type="auto"/>
            <w:gridSpan w:val="3"/>
            <w:vAlign w:val="center"/>
            <w:hideMark/>
          </w:tcPr>
          <w:p w14:paraId="67FCC5C1" w14:textId="77777777" w:rsidR="00000000" w:rsidRDefault="00A173A8">
            <w:pPr>
              <w:spacing w:after="100"/>
              <w:rPr>
                <w:rFonts w:eastAsia="Times New Roman"/>
                <w:sz w:val="20"/>
                <w:szCs w:val="20"/>
              </w:rPr>
            </w:pPr>
          </w:p>
        </w:tc>
        <w:tc>
          <w:tcPr>
            <w:tcW w:w="0" w:type="auto"/>
            <w:gridSpan w:val="3"/>
            <w:vAlign w:val="center"/>
            <w:hideMark/>
          </w:tcPr>
          <w:p w14:paraId="673B6928" w14:textId="77777777" w:rsidR="00000000" w:rsidRDefault="00A173A8">
            <w:pPr>
              <w:spacing w:after="100"/>
              <w:rPr>
                <w:rFonts w:eastAsia="Times New Roman"/>
                <w:sz w:val="20"/>
                <w:szCs w:val="20"/>
              </w:rPr>
            </w:pPr>
          </w:p>
        </w:tc>
        <w:tc>
          <w:tcPr>
            <w:tcW w:w="0" w:type="auto"/>
            <w:gridSpan w:val="3"/>
            <w:vAlign w:val="center"/>
            <w:hideMark/>
          </w:tcPr>
          <w:p w14:paraId="6D3E20E2" w14:textId="77777777" w:rsidR="00000000" w:rsidRDefault="00A173A8">
            <w:pPr>
              <w:spacing w:after="100"/>
              <w:rPr>
                <w:rFonts w:eastAsia="Times New Roman"/>
                <w:sz w:val="20"/>
                <w:szCs w:val="20"/>
              </w:rPr>
            </w:pPr>
          </w:p>
        </w:tc>
        <w:tc>
          <w:tcPr>
            <w:tcW w:w="0" w:type="auto"/>
            <w:gridSpan w:val="3"/>
            <w:vAlign w:val="center"/>
            <w:hideMark/>
          </w:tcPr>
          <w:p w14:paraId="038079E3" w14:textId="77777777" w:rsidR="00000000" w:rsidRDefault="00A173A8">
            <w:pPr>
              <w:spacing w:after="100"/>
              <w:rPr>
                <w:rFonts w:eastAsia="Times New Roman"/>
                <w:sz w:val="20"/>
                <w:szCs w:val="20"/>
              </w:rPr>
            </w:pPr>
          </w:p>
        </w:tc>
        <w:tc>
          <w:tcPr>
            <w:tcW w:w="0" w:type="auto"/>
            <w:vAlign w:val="center"/>
            <w:hideMark/>
          </w:tcPr>
          <w:p w14:paraId="72D0AFA3" w14:textId="77777777" w:rsidR="00000000" w:rsidRDefault="00A173A8">
            <w:pPr>
              <w:spacing w:after="100"/>
              <w:rPr>
                <w:rFonts w:eastAsia="Times New Roman"/>
                <w:sz w:val="20"/>
                <w:szCs w:val="20"/>
              </w:rPr>
            </w:pPr>
          </w:p>
        </w:tc>
        <w:tc>
          <w:tcPr>
            <w:tcW w:w="0" w:type="auto"/>
            <w:vAlign w:val="center"/>
            <w:hideMark/>
          </w:tcPr>
          <w:p w14:paraId="4AEEE691" w14:textId="77777777" w:rsidR="00000000" w:rsidRDefault="00A173A8">
            <w:pPr>
              <w:spacing w:after="100"/>
              <w:rPr>
                <w:rFonts w:eastAsia="Times New Roman"/>
                <w:sz w:val="20"/>
                <w:szCs w:val="20"/>
              </w:rPr>
            </w:pPr>
          </w:p>
        </w:tc>
        <w:tc>
          <w:tcPr>
            <w:tcW w:w="0" w:type="auto"/>
            <w:vAlign w:val="center"/>
            <w:hideMark/>
          </w:tcPr>
          <w:p w14:paraId="4A10274F" w14:textId="77777777" w:rsidR="00000000" w:rsidRDefault="00A173A8">
            <w:pPr>
              <w:spacing w:after="100"/>
              <w:rPr>
                <w:rFonts w:eastAsia="Times New Roman"/>
                <w:sz w:val="20"/>
                <w:szCs w:val="20"/>
              </w:rPr>
            </w:pPr>
          </w:p>
        </w:tc>
        <w:tc>
          <w:tcPr>
            <w:tcW w:w="0" w:type="auto"/>
            <w:vAlign w:val="center"/>
            <w:hideMark/>
          </w:tcPr>
          <w:p w14:paraId="68C0EB59" w14:textId="77777777" w:rsidR="00000000" w:rsidRDefault="00A173A8">
            <w:pPr>
              <w:spacing w:after="100"/>
              <w:rPr>
                <w:rFonts w:eastAsia="Times New Roman"/>
                <w:sz w:val="20"/>
                <w:szCs w:val="20"/>
              </w:rPr>
            </w:pPr>
          </w:p>
        </w:tc>
        <w:tc>
          <w:tcPr>
            <w:tcW w:w="0" w:type="auto"/>
            <w:vAlign w:val="center"/>
            <w:hideMark/>
          </w:tcPr>
          <w:p w14:paraId="4C119384" w14:textId="77777777" w:rsidR="00000000" w:rsidRDefault="00A173A8">
            <w:pPr>
              <w:spacing w:after="100"/>
              <w:rPr>
                <w:rFonts w:eastAsia="Times New Roman"/>
                <w:sz w:val="20"/>
                <w:szCs w:val="20"/>
              </w:rPr>
            </w:pPr>
          </w:p>
        </w:tc>
        <w:tc>
          <w:tcPr>
            <w:tcW w:w="0" w:type="auto"/>
            <w:vAlign w:val="center"/>
            <w:hideMark/>
          </w:tcPr>
          <w:p w14:paraId="59551527" w14:textId="77777777" w:rsidR="00000000" w:rsidRDefault="00A173A8">
            <w:pPr>
              <w:spacing w:after="100"/>
              <w:rPr>
                <w:rFonts w:eastAsia="Times New Roman"/>
                <w:sz w:val="20"/>
                <w:szCs w:val="20"/>
              </w:rPr>
            </w:pPr>
          </w:p>
        </w:tc>
        <w:tc>
          <w:tcPr>
            <w:tcW w:w="0" w:type="auto"/>
            <w:vAlign w:val="center"/>
            <w:hideMark/>
          </w:tcPr>
          <w:p w14:paraId="30197015" w14:textId="77777777" w:rsidR="00000000" w:rsidRDefault="00A173A8">
            <w:pPr>
              <w:spacing w:after="100"/>
              <w:rPr>
                <w:rFonts w:eastAsia="Times New Roman"/>
                <w:sz w:val="20"/>
                <w:szCs w:val="20"/>
              </w:rPr>
            </w:pPr>
          </w:p>
        </w:tc>
        <w:tc>
          <w:tcPr>
            <w:tcW w:w="0" w:type="auto"/>
            <w:vAlign w:val="center"/>
            <w:hideMark/>
          </w:tcPr>
          <w:p w14:paraId="5AED9338" w14:textId="77777777" w:rsidR="00000000" w:rsidRDefault="00A173A8">
            <w:pPr>
              <w:spacing w:after="100"/>
              <w:rPr>
                <w:rFonts w:eastAsia="Times New Roman"/>
                <w:sz w:val="20"/>
                <w:szCs w:val="20"/>
              </w:rPr>
            </w:pPr>
          </w:p>
        </w:tc>
        <w:tc>
          <w:tcPr>
            <w:tcW w:w="0" w:type="auto"/>
            <w:vAlign w:val="center"/>
            <w:hideMark/>
          </w:tcPr>
          <w:p w14:paraId="6735B105" w14:textId="77777777" w:rsidR="00000000" w:rsidRDefault="00A173A8">
            <w:pPr>
              <w:spacing w:after="100"/>
              <w:rPr>
                <w:rFonts w:eastAsia="Times New Roman"/>
                <w:sz w:val="20"/>
                <w:szCs w:val="20"/>
              </w:rPr>
            </w:pPr>
          </w:p>
        </w:tc>
        <w:tc>
          <w:tcPr>
            <w:tcW w:w="0" w:type="auto"/>
            <w:vAlign w:val="center"/>
            <w:hideMark/>
          </w:tcPr>
          <w:p w14:paraId="11D4F951" w14:textId="77777777" w:rsidR="00000000" w:rsidRDefault="00A173A8">
            <w:pPr>
              <w:spacing w:after="100"/>
              <w:rPr>
                <w:rFonts w:eastAsia="Times New Roman"/>
                <w:sz w:val="20"/>
                <w:szCs w:val="20"/>
              </w:rPr>
            </w:pPr>
          </w:p>
        </w:tc>
        <w:tc>
          <w:tcPr>
            <w:tcW w:w="0" w:type="auto"/>
            <w:vAlign w:val="center"/>
            <w:hideMark/>
          </w:tcPr>
          <w:p w14:paraId="326D4C81" w14:textId="77777777" w:rsidR="00000000" w:rsidRDefault="00A173A8">
            <w:pPr>
              <w:spacing w:after="100"/>
              <w:rPr>
                <w:rFonts w:eastAsia="Times New Roman"/>
                <w:sz w:val="20"/>
                <w:szCs w:val="20"/>
              </w:rPr>
            </w:pPr>
          </w:p>
        </w:tc>
        <w:tc>
          <w:tcPr>
            <w:tcW w:w="0" w:type="auto"/>
            <w:vAlign w:val="center"/>
            <w:hideMark/>
          </w:tcPr>
          <w:p w14:paraId="261CAD8F" w14:textId="77777777" w:rsidR="00000000" w:rsidRDefault="00A173A8">
            <w:pPr>
              <w:spacing w:after="100"/>
              <w:rPr>
                <w:rFonts w:eastAsia="Times New Roman"/>
                <w:sz w:val="20"/>
                <w:szCs w:val="20"/>
              </w:rPr>
            </w:pPr>
          </w:p>
        </w:tc>
        <w:tc>
          <w:tcPr>
            <w:tcW w:w="0" w:type="auto"/>
            <w:vAlign w:val="center"/>
            <w:hideMark/>
          </w:tcPr>
          <w:p w14:paraId="353AFF5F" w14:textId="77777777" w:rsidR="00000000" w:rsidRDefault="00A173A8">
            <w:pPr>
              <w:spacing w:after="100"/>
              <w:rPr>
                <w:rFonts w:eastAsia="Times New Roman"/>
                <w:sz w:val="20"/>
                <w:szCs w:val="20"/>
              </w:rPr>
            </w:pPr>
          </w:p>
        </w:tc>
        <w:tc>
          <w:tcPr>
            <w:tcW w:w="0" w:type="auto"/>
            <w:vAlign w:val="center"/>
            <w:hideMark/>
          </w:tcPr>
          <w:p w14:paraId="3363B0BC" w14:textId="77777777" w:rsidR="00000000" w:rsidRDefault="00A173A8">
            <w:pPr>
              <w:spacing w:after="100"/>
              <w:rPr>
                <w:rFonts w:eastAsia="Times New Roman"/>
                <w:sz w:val="20"/>
                <w:szCs w:val="20"/>
              </w:rPr>
            </w:pPr>
          </w:p>
        </w:tc>
        <w:tc>
          <w:tcPr>
            <w:tcW w:w="0" w:type="auto"/>
            <w:vAlign w:val="center"/>
            <w:hideMark/>
          </w:tcPr>
          <w:p w14:paraId="127FF23E" w14:textId="77777777" w:rsidR="00000000" w:rsidRDefault="00A173A8">
            <w:pPr>
              <w:spacing w:after="100"/>
              <w:rPr>
                <w:rFonts w:eastAsia="Times New Roman"/>
                <w:sz w:val="20"/>
                <w:szCs w:val="20"/>
              </w:rPr>
            </w:pPr>
          </w:p>
        </w:tc>
        <w:tc>
          <w:tcPr>
            <w:tcW w:w="0" w:type="auto"/>
            <w:vAlign w:val="center"/>
            <w:hideMark/>
          </w:tcPr>
          <w:p w14:paraId="517CF51C" w14:textId="77777777" w:rsidR="00000000" w:rsidRDefault="00A173A8">
            <w:pPr>
              <w:spacing w:after="100"/>
              <w:rPr>
                <w:rFonts w:eastAsia="Times New Roman"/>
                <w:sz w:val="20"/>
                <w:szCs w:val="20"/>
              </w:rPr>
            </w:pPr>
          </w:p>
        </w:tc>
        <w:tc>
          <w:tcPr>
            <w:tcW w:w="0" w:type="auto"/>
            <w:vAlign w:val="center"/>
            <w:hideMark/>
          </w:tcPr>
          <w:p w14:paraId="41D4230A" w14:textId="77777777" w:rsidR="00000000" w:rsidRDefault="00A173A8">
            <w:pPr>
              <w:spacing w:after="100"/>
              <w:rPr>
                <w:rFonts w:eastAsia="Times New Roman"/>
                <w:sz w:val="20"/>
                <w:szCs w:val="20"/>
              </w:rPr>
            </w:pPr>
          </w:p>
        </w:tc>
        <w:tc>
          <w:tcPr>
            <w:tcW w:w="0" w:type="auto"/>
            <w:vAlign w:val="center"/>
            <w:hideMark/>
          </w:tcPr>
          <w:p w14:paraId="025117BE" w14:textId="77777777" w:rsidR="00000000" w:rsidRDefault="00A173A8">
            <w:pPr>
              <w:spacing w:after="100"/>
              <w:rPr>
                <w:rFonts w:eastAsia="Times New Roman"/>
                <w:sz w:val="20"/>
                <w:szCs w:val="20"/>
              </w:rPr>
            </w:pPr>
          </w:p>
        </w:tc>
        <w:tc>
          <w:tcPr>
            <w:tcW w:w="0" w:type="auto"/>
            <w:vAlign w:val="center"/>
            <w:hideMark/>
          </w:tcPr>
          <w:p w14:paraId="7C089715" w14:textId="77777777" w:rsidR="00000000" w:rsidRDefault="00A173A8">
            <w:pPr>
              <w:spacing w:after="100"/>
              <w:rPr>
                <w:rFonts w:eastAsia="Times New Roman"/>
                <w:sz w:val="20"/>
                <w:szCs w:val="20"/>
              </w:rPr>
            </w:pPr>
          </w:p>
        </w:tc>
        <w:tc>
          <w:tcPr>
            <w:tcW w:w="0" w:type="auto"/>
            <w:vAlign w:val="center"/>
            <w:hideMark/>
          </w:tcPr>
          <w:p w14:paraId="7098F046" w14:textId="77777777" w:rsidR="00000000" w:rsidRDefault="00A173A8">
            <w:pPr>
              <w:spacing w:after="100"/>
              <w:rPr>
                <w:rFonts w:eastAsia="Times New Roman"/>
                <w:sz w:val="20"/>
                <w:szCs w:val="20"/>
              </w:rPr>
            </w:pPr>
          </w:p>
        </w:tc>
        <w:tc>
          <w:tcPr>
            <w:tcW w:w="0" w:type="auto"/>
            <w:vAlign w:val="center"/>
            <w:hideMark/>
          </w:tcPr>
          <w:p w14:paraId="364690B6" w14:textId="77777777" w:rsidR="00000000" w:rsidRDefault="00A173A8">
            <w:pPr>
              <w:spacing w:after="100"/>
              <w:rPr>
                <w:rFonts w:eastAsia="Times New Roman"/>
                <w:sz w:val="20"/>
                <w:szCs w:val="20"/>
              </w:rPr>
            </w:pPr>
          </w:p>
        </w:tc>
        <w:tc>
          <w:tcPr>
            <w:tcW w:w="0" w:type="auto"/>
            <w:vAlign w:val="center"/>
            <w:hideMark/>
          </w:tcPr>
          <w:p w14:paraId="4C2A6385" w14:textId="77777777" w:rsidR="00000000" w:rsidRDefault="00A173A8">
            <w:pPr>
              <w:spacing w:after="100"/>
              <w:rPr>
                <w:rFonts w:eastAsia="Times New Roman"/>
                <w:sz w:val="20"/>
                <w:szCs w:val="20"/>
              </w:rPr>
            </w:pPr>
          </w:p>
        </w:tc>
        <w:tc>
          <w:tcPr>
            <w:tcW w:w="0" w:type="auto"/>
            <w:vAlign w:val="center"/>
            <w:hideMark/>
          </w:tcPr>
          <w:p w14:paraId="1138B126" w14:textId="77777777" w:rsidR="00000000" w:rsidRDefault="00A173A8">
            <w:pPr>
              <w:spacing w:after="100"/>
              <w:rPr>
                <w:rFonts w:eastAsia="Times New Roman"/>
                <w:sz w:val="20"/>
                <w:szCs w:val="20"/>
              </w:rPr>
            </w:pPr>
          </w:p>
        </w:tc>
        <w:tc>
          <w:tcPr>
            <w:tcW w:w="0" w:type="auto"/>
            <w:vAlign w:val="center"/>
            <w:hideMark/>
          </w:tcPr>
          <w:p w14:paraId="46F0AB63" w14:textId="77777777" w:rsidR="00000000" w:rsidRDefault="00A173A8">
            <w:pPr>
              <w:spacing w:after="100"/>
              <w:rPr>
                <w:rFonts w:eastAsia="Times New Roman"/>
                <w:sz w:val="20"/>
                <w:szCs w:val="20"/>
              </w:rPr>
            </w:pPr>
          </w:p>
        </w:tc>
        <w:tc>
          <w:tcPr>
            <w:tcW w:w="0" w:type="auto"/>
            <w:vAlign w:val="center"/>
            <w:hideMark/>
          </w:tcPr>
          <w:p w14:paraId="19EBD1BB" w14:textId="77777777" w:rsidR="00000000" w:rsidRDefault="00A173A8">
            <w:pPr>
              <w:spacing w:after="100"/>
              <w:rPr>
                <w:rFonts w:eastAsia="Times New Roman"/>
                <w:sz w:val="20"/>
                <w:szCs w:val="20"/>
              </w:rPr>
            </w:pPr>
          </w:p>
        </w:tc>
        <w:tc>
          <w:tcPr>
            <w:tcW w:w="0" w:type="auto"/>
            <w:vAlign w:val="center"/>
            <w:hideMark/>
          </w:tcPr>
          <w:p w14:paraId="06D9A178" w14:textId="77777777" w:rsidR="00000000" w:rsidRDefault="00A173A8">
            <w:pPr>
              <w:spacing w:after="100"/>
              <w:rPr>
                <w:rFonts w:eastAsia="Times New Roman"/>
                <w:sz w:val="20"/>
                <w:szCs w:val="20"/>
              </w:rPr>
            </w:pPr>
          </w:p>
        </w:tc>
        <w:tc>
          <w:tcPr>
            <w:tcW w:w="0" w:type="auto"/>
            <w:vAlign w:val="center"/>
            <w:hideMark/>
          </w:tcPr>
          <w:p w14:paraId="6614245A" w14:textId="77777777" w:rsidR="00000000" w:rsidRDefault="00A173A8">
            <w:pPr>
              <w:spacing w:after="100"/>
              <w:rPr>
                <w:rFonts w:eastAsia="Times New Roman"/>
                <w:sz w:val="20"/>
                <w:szCs w:val="20"/>
              </w:rPr>
            </w:pPr>
          </w:p>
        </w:tc>
        <w:tc>
          <w:tcPr>
            <w:tcW w:w="0" w:type="auto"/>
            <w:vAlign w:val="center"/>
            <w:hideMark/>
          </w:tcPr>
          <w:p w14:paraId="2DC36D88" w14:textId="77777777" w:rsidR="00000000" w:rsidRDefault="00A173A8">
            <w:pPr>
              <w:spacing w:after="100"/>
              <w:rPr>
                <w:rFonts w:eastAsia="Times New Roman"/>
                <w:sz w:val="20"/>
                <w:szCs w:val="20"/>
              </w:rPr>
            </w:pPr>
          </w:p>
        </w:tc>
        <w:tc>
          <w:tcPr>
            <w:tcW w:w="0" w:type="auto"/>
            <w:vAlign w:val="center"/>
            <w:hideMark/>
          </w:tcPr>
          <w:p w14:paraId="3D4DD645" w14:textId="77777777" w:rsidR="00000000" w:rsidRDefault="00A173A8">
            <w:pPr>
              <w:spacing w:after="100"/>
              <w:rPr>
                <w:rFonts w:eastAsia="Times New Roman"/>
                <w:sz w:val="20"/>
                <w:szCs w:val="20"/>
              </w:rPr>
            </w:pPr>
          </w:p>
        </w:tc>
      </w:tr>
      <w:tr w:rsidR="00000000" w14:paraId="24803FDD" w14:textId="77777777">
        <w:trPr>
          <w:divId w:val="1533881267"/>
        </w:trPr>
        <w:tc>
          <w:tcPr>
            <w:tcW w:w="0" w:type="auto"/>
            <w:gridSpan w:val="3"/>
            <w:tcBorders>
              <w:bottom w:val="single" w:sz="8" w:space="0" w:color="000000"/>
            </w:tcBorders>
            <w:tcMar>
              <w:top w:w="30" w:type="dxa"/>
              <w:left w:w="20" w:type="dxa"/>
              <w:bottom w:w="30" w:type="dxa"/>
              <w:right w:w="20" w:type="dxa"/>
            </w:tcMar>
            <w:vAlign w:val="bottom"/>
            <w:hideMark/>
          </w:tcPr>
          <w:p w14:paraId="2510E063"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vAlign w:val="center"/>
            <w:hideMark/>
          </w:tcPr>
          <w:p w14:paraId="137D0E4F" w14:textId="77777777" w:rsidR="00000000" w:rsidRDefault="00A173A8">
            <w:pPr>
              <w:spacing w:after="100"/>
              <w:rPr>
                <w:rFonts w:eastAsia="Times New Roman"/>
              </w:rPr>
            </w:pPr>
          </w:p>
        </w:tc>
        <w:tc>
          <w:tcPr>
            <w:tcW w:w="0" w:type="auto"/>
            <w:vAlign w:val="center"/>
            <w:hideMark/>
          </w:tcPr>
          <w:p w14:paraId="3F9AA618" w14:textId="77777777" w:rsidR="00000000" w:rsidRDefault="00A173A8">
            <w:pPr>
              <w:spacing w:after="100"/>
              <w:rPr>
                <w:rFonts w:eastAsia="Times New Roman"/>
                <w:sz w:val="20"/>
                <w:szCs w:val="20"/>
              </w:rPr>
            </w:pPr>
          </w:p>
        </w:tc>
        <w:tc>
          <w:tcPr>
            <w:tcW w:w="0" w:type="auto"/>
            <w:vAlign w:val="center"/>
            <w:hideMark/>
          </w:tcPr>
          <w:p w14:paraId="2AE2C5CE" w14:textId="77777777" w:rsidR="00000000" w:rsidRDefault="00A173A8">
            <w:pPr>
              <w:spacing w:after="100"/>
              <w:rPr>
                <w:rFonts w:eastAsia="Times New Roman"/>
                <w:sz w:val="20"/>
                <w:szCs w:val="20"/>
              </w:rPr>
            </w:pPr>
          </w:p>
        </w:tc>
        <w:tc>
          <w:tcPr>
            <w:tcW w:w="0" w:type="auto"/>
            <w:vAlign w:val="center"/>
            <w:hideMark/>
          </w:tcPr>
          <w:p w14:paraId="58CB3691" w14:textId="77777777" w:rsidR="00000000" w:rsidRDefault="00A173A8">
            <w:pPr>
              <w:spacing w:after="100"/>
              <w:rPr>
                <w:rFonts w:eastAsia="Times New Roman"/>
                <w:sz w:val="20"/>
                <w:szCs w:val="20"/>
              </w:rPr>
            </w:pPr>
          </w:p>
        </w:tc>
        <w:tc>
          <w:tcPr>
            <w:tcW w:w="0" w:type="auto"/>
            <w:vAlign w:val="center"/>
            <w:hideMark/>
          </w:tcPr>
          <w:p w14:paraId="06F94480" w14:textId="77777777" w:rsidR="00000000" w:rsidRDefault="00A173A8">
            <w:pPr>
              <w:spacing w:after="100"/>
              <w:rPr>
                <w:rFonts w:eastAsia="Times New Roman"/>
                <w:sz w:val="20"/>
                <w:szCs w:val="20"/>
              </w:rPr>
            </w:pPr>
          </w:p>
        </w:tc>
        <w:tc>
          <w:tcPr>
            <w:tcW w:w="0" w:type="auto"/>
            <w:vAlign w:val="center"/>
            <w:hideMark/>
          </w:tcPr>
          <w:p w14:paraId="23C5A49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47F045" w14:textId="77777777" w:rsidR="00000000" w:rsidRDefault="00A173A8">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12D988D8"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3E639106"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CBF62C2" w14:textId="77777777" w:rsidR="00000000" w:rsidRDefault="00A173A8">
            <w:pPr>
              <w:spacing w:after="100"/>
              <w:jc w:val="center"/>
              <w:rPr>
                <w:rFonts w:eastAsia="Times New Roman"/>
              </w:rPr>
            </w:pPr>
            <w:r>
              <w:rPr>
                <w:rFonts w:eastAsia="Times New Roman"/>
                <w:b/>
                <w:bCs/>
                <w:color w:val="000000"/>
                <w:sz w:val="20"/>
                <w:szCs w:val="20"/>
              </w:rPr>
              <w:t>December 31, 2021</w:t>
            </w:r>
          </w:p>
        </w:tc>
        <w:tc>
          <w:tcPr>
            <w:tcW w:w="0" w:type="auto"/>
            <w:gridSpan w:val="3"/>
            <w:vAlign w:val="center"/>
            <w:hideMark/>
          </w:tcPr>
          <w:p w14:paraId="253C5C35" w14:textId="77777777" w:rsidR="00000000" w:rsidRDefault="00A173A8">
            <w:pPr>
              <w:spacing w:after="100"/>
              <w:jc w:val="center"/>
              <w:rPr>
                <w:rFonts w:eastAsia="Times New Roman"/>
              </w:rPr>
            </w:pPr>
          </w:p>
        </w:tc>
        <w:tc>
          <w:tcPr>
            <w:tcW w:w="0" w:type="auto"/>
            <w:gridSpan w:val="3"/>
            <w:vAlign w:val="center"/>
            <w:hideMark/>
          </w:tcPr>
          <w:p w14:paraId="17AA2BC8"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5E58EA" w14:textId="77777777" w:rsidR="00000000" w:rsidRDefault="00A173A8">
            <w:pPr>
              <w:spacing w:after="100"/>
              <w:rPr>
                <w:rFonts w:eastAsia="Times New Roman"/>
                <w:sz w:val="20"/>
                <w:szCs w:val="20"/>
              </w:rPr>
            </w:pPr>
          </w:p>
        </w:tc>
        <w:tc>
          <w:tcPr>
            <w:tcW w:w="0" w:type="auto"/>
            <w:gridSpan w:val="3"/>
            <w:vAlign w:val="center"/>
            <w:hideMark/>
          </w:tcPr>
          <w:p w14:paraId="1C86113B" w14:textId="77777777" w:rsidR="00000000" w:rsidRDefault="00A173A8">
            <w:pPr>
              <w:spacing w:after="100"/>
              <w:rPr>
                <w:rFonts w:eastAsia="Times New Roman"/>
                <w:sz w:val="20"/>
                <w:szCs w:val="20"/>
              </w:rPr>
            </w:pPr>
          </w:p>
        </w:tc>
        <w:tc>
          <w:tcPr>
            <w:tcW w:w="0" w:type="auto"/>
            <w:gridSpan w:val="3"/>
            <w:vAlign w:val="center"/>
            <w:hideMark/>
          </w:tcPr>
          <w:p w14:paraId="5E4FC099" w14:textId="77777777" w:rsidR="00000000" w:rsidRDefault="00A173A8">
            <w:pPr>
              <w:spacing w:after="100"/>
              <w:rPr>
                <w:rFonts w:eastAsia="Times New Roman"/>
                <w:sz w:val="20"/>
                <w:szCs w:val="20"/>
              </w:rPr>
            </w:pPr>
          </w:p>
        </w:tc>
        <w:tc>
          <w:tcPr>
            <w:tcW w:w="0" w:type="auto"/>
            <w:gridSpan w:val="3"/>
            <w:vAlign w:val="center"/>
            <w:hideMark/>
          </w:tcPr>
          <w:p w14:paraId="349CA851" w14:textId="77777777" w:rsidR="00000000" w:rsidRDefault="00A173A8">
            <w:pPr>
              <w:spacing w:after="100"/>
              <w:rPr>
                <w:rFonts w:eastAsia="Times New Roman"/>
                <w:sz w:val="20"/>
                <w:szCs w:val="20"/>
              </w:rPr>
            </w:pPr>
          </w:p>
        </w:tc>
        <w:tc>
          <w:tcPr>
            <w:tcW w:w="0" w:type="auto"/>
            <w:gridSpan w:val="3"/>
            <w:vAlign w:val="center"/>
            <w:hideMark/>
          </w:tcPr>
          <w:p w14:paraId="78F1F321" w14:textId="77777777" w:rsidR="00000000" w:rsidRDefault="00A173A8">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750932AB"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vAlign w:val="center"/>
            <w:hideMark/>
          </w:tcPr>
          <w:p w14:paraId="7CE9C9B8" w14:textId="77777777" w:rsidR="00000000" w:rsidRDefault="00A173A8">
            <w:pPr>
              <w:spacing w:after="100"/>
              <w:jc w:val="center"/>
              <w:rPr>
                <w:rFonts w:eastAsia="Times New Roman"/>
              </w:rPr>
            </w:pPr>
          </w:p>
        </w:tc>
        <w:tc>
          <w:tcPr>
            <w:tcW w:w="0" w:type="auto"/>
            <w:gridSpan w:val="2"/>
            <w:vAlign w:val="center"/>
            <w:hideMark/>
          </w:tcPr>
          <w:p w14:paraId="2FECA4EF" w14:textId="77777777" w:rsidR="00000000" w:rsidRDefault="00A173A8">
            <w:pPr>
              <w:spacing w:after="100"/>
              <w:rPr>
                <w:rFonts w:eastAsia="Times New Roman"/>
                <w:sz w:val="20"/>
                <w:szCs w:val="20"/>
              </w:rPr>
            </w:pPr>
          </w:p>
        </w:tc>
      </w:tr>
      <w:tr w:rsidR="00000000" w14:paraId="4D805F17" w14:textId="77777777">
        <w:trPr>
          <w:divId w:val="153388126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71ECF5C" w14:textId="77777777" w:rsidR="00000000" w:rsidRDefault="00A173A8">
            <w:pPr>
              <w:spacing w:after="100"/>
              <w:rPr>
                <w:rFonts w:eastAsia="Times New Roman"/>
              </w:rPr>
            </w:pPr>
            <w:r>
              <w:rPr>
                <w:rFonts w:eastAsia="Times New Roman"/>
                <w:b/>
                <w:bCs/>
                <w:color w:val="000000"/>
                <w:sz w:val="20"/>
                <w:szCs w:val="20"/>
              </w:rPr>
              <w:t>Balance sheet (period-end)</w:t>
            </w:r>
          </w:p>
        </w:tc>
        <w:tc>
          <w:tcPr>
            <w:tcW w:w="0" w:type="auto"/>
            <w:vAlign w:val="center"/>
            <w:hideMark/>
          </w:tcPr>
          <w:p w14:paraId="2405E09A" w14:textId="77777777" w:rsidR="00000000" w:rsidRDefault="00A173A8">
            <w:pPr>
              <w:spacing w:after="100"/>
              <w:rPr>
                <w:rFonts w:eastAsia="Times New Roman"/>
              </w:rPr>
            </w:pPr>
          </w:p>
        </w:tc>
        <w:tc>
          <w:tcPr>
            <w:tcW w:w="0" w:type="auto"/>
            <w:vAlign w:val="center"/>
            <w:hideMark/>
          </w:tcPr>
          <w:p w14:paraId="1086482B" w14:textId="77777777" w:rsidR="00000000" w:rsidRDefault="00A173A8">
            <w:pPr>
              <w:spacing w:after="100"/>
              <w:rPr>
                <w:rFonts w:eastAsia="Times New Roman"/>
                <w:sz w:val="20"/>
                <w:szCs w:val="20"/>
              </w:rPr>
            </w:pPr>
          </w:p>
        </w:tc>
        <w:tc>
          <w:tcPr>
            <w:tcW w:w="0" w:type="auto"/>
            <w:vAlign w:val="center"/>
            <w:hideMark/>
          </w:tcPr>
          <w:p w14:paraId="0A8B5365" w14:textId="77777777" w:rsidR="00000000" w:rsidRDefault="00A173A8">
            <w:pPr>
              <w:spacing w:after="100"/>
              <w:rPr>
                <w:rFonts w:eastAsia="Times New Roman"/>
                <w:sz w:val="20"/>
                <w:szCs w:val="20"/>
              </w:rPr>
            </w:pPr>
          </w:p>
        </w:tc>
        <w:tc>
          <w:tcPr>
            <w:tcW w:w="0" w:type="auto"/>
            <w:vAlign w:val="center"/>
            <w:hideMark/>
          </w:tcPr>
          <w:p w14:paraId="1E0AFEE5" w14:textId="77777777" w:rsidR="00000000" w:rsidRDefault="00A173A8">
            <w:pPr>
              <w:spacing w:after="100"/>
              <w:rPr>
                <w:rFonts w:eastAsia="Times New Roman"/>
                <w:sz w:val="20"/>
                <w:szCs w:val="20"/>
              </w:rPr>
            </w:pPr>
          </w:p>
        </w:tc>
        <w:tc>
          <w:tcPr>
            <w:tcW w:w="0" w:type="auto"/>
            <w:vAlign w:val="center"/>
            <w:hideMark/>
          </w:tcPr>
          <w:p w14:paraId="26E14952" w14:textId="77777777" w:rsidR="00000000" w:rsidRDefault="00A173A8">
            <w:pPr>
              <w:spacing w:after="100"/>
              <w:rPr>
                <w:rFonts w:eastAsia="Times New Roman"/>
                <w:sz w:val="20"/>
                <w:szCs w:val="20"/>
              </w:rPr>
            </w:pPr>
          </w:p>
        </w:tc>
        <w:tc>
          <w:tcPr>
            <w:tcW w:w="0" w:type="auto"/>
            <w:vAlign w:val="center"/>
            <w:hideMark/>
          </w:tcPr>
          <w:p w14:paraId="2BC6961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79FA1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E7CA54A" w14:textId="77777777" w:rsidR="00000000" w:rsidRDefault="00A173A8">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EDDECD0"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2D2B4D0" w14:textId="77777777" w:rsidR="00000000" w:rsidRDefault="00A173A8">
            <w:pPr>
              <w:spacing w:after="100"/>
              <w:rPr>
                <w:rFonts w:eastAsia="Times New Roman"/>
              </w:rPr>
            </w:pPr>
            <w:r>
              <w:rPr>
                <w:rFonts w:eastAsia="Times New Roman"/>
                <w:color w:val="000000"/>
                <w:sz w:val="20"/>
                <w:szCs w:val="20"/>
              </w:rPr>
              <w:t> </w:t>
            </w:r>
          </w:p>
        </w:tc>
        <w:tc>
          <w:tcPr>
            <w:tcW w:w="0" w:type="auto"/>
            <w:gridSpan w:val="3"/>
            <w:vAlign w:val="center"/>
            <w:hideMark/>
          </w:tcPr>
          <w:p w14:paraId="486F73D1" w14:textId="77777777" w:rsidR="00000000" w:rsidRDefault="00A173A8">
            <w:pPr>
              <w:spacing w:after="100"/>
              <w:rPr>
                <w:rFonts w:eastAsia="Times New Roman"/>
              </w:rPr>
            </w:pPr>
          </w:p>
        </w:tc>
        <w:tc>
          <w:tcPr>
            <w:tcW w:w="0" w:type="auto"/>
            <w:gridSpan w:val="3"/>
            <w:vAlign w:val="center"/>
            <w:hideMark/>
          </w:tcPr>
          <w:p w14:paraId="76BAF41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33D88B" w14:textId="77777777" w:rsidR="00000000" w:rsidRDefault="00A173A8">
            <w:pPr>
              <w:spacing w:after="100"/>
              <w:rPr>
                <w:rFonts w:eastAsia="Times New Roman"/>
                <w:sz w:val="20"/>
                <w:szCs w:val="20"/>
              </w:rPr>
            </w:pPr>
          </w:p>
        </w:tc>
        <w:tc>
          <w:tcPr>
            <w:tcW w:w="0" w:type="auto"/>
            <w:gridSpan w:val="3"/>
            <w:vAlign w:val="center"/>
            <w:hideMark/>
          </w:tcPr>
          <w:p w14:paraId="49074ECC" w14:textId="77777777" w:rsidR="00000000" w:rsidRDefault="00A173A8">
            <w:pPr>
              <w:spacing w:after="100"/>
              <w:rPr>
                <w:rFonts w:eastAsia="Times New Roman"/>
                <w:sz w:val="20"/>
                <w:szCs w:val="20"/>
              </w:rPr>
            </w:pPr>
          </w:p>
        </w:tc>
        <w:tc>
          <w:tcPr>
            <w:tcW w:w="0" w:type="auto"/>
            <w:gridSpan w:val="3"/>
            <w:vAlign w:val="center"/>
            <w:hideMark/>
          </w:tcPr>
          <w:p w14:paraId="3866BD27" w14:textId="77777777" w:rsidR="00000000" w:rsidRDefault="00A173A8">
            <w:pPr>
              <w:spacing w:after="100"/>
              <w:rPr>
                <w:rFonts w:eastAsia="Times New Roman"/>
                <w:sz w:val="20"/>
                <w:szCs w:val="20"/>
              </w:rPr>
            </w:pPr>
          </w:p>
        </w:tc>
        <w:tc>
          <w:tcPr>
            <w:tcW w:w="0" w:type="auto"/>
            <w:gridSpan w:val="3"/>
            <w:vAlign w:val="center"/>
            <w:hideMark/>
          </w:tcPr>
          <w:p w14:paraId="5873613A" w14:textId="77777777" w:rsidR="00000000" w:rsidRDefault="00A173A8">
            <w:pPr>
              <w:spacing w:after="100"/>
              <w:rPr>
                <w:rFonts w:eastAsia="Times New Roman"/>
                <w:sz w:val="20"/>
                <w:szCs w:val="20"/>
              </w:rPr>
            </w:pPr>
          </w:p>
        </w:tc>
        <w:tc>
          <w:tcPr>
            <w:tcW w:w="0" w:type="auto"/>
            <w:gridSpan w:val="3"/>
            <w:vAlign w:val="center"/>
            <w:hideMark/>
          </w:tcPr>
          <w:p w14:paraId="5D65C2A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E9D05F" w14:textId="77777777" w:rsidR="00000000" w:rsidRDefault="00A173A8">
            <w:pPr>
              <w:spacing w:after="100"/>
              <w:rPr>
                <w:rFonts w:eastAsia="Times New Roman"/>
                <w:sz w:val="20"/>
                <w:szCs w:val="20"/>
              </w:rPr>
            </w:pPr>
          </w:p>
        </w:tc>
        <w:tc>
          <w:tcPr>
            <w:tcW w:w="0" w:type="auto"/>
            <w:gridSpan w:val="3"/>
            <w:vAlign w:val="center"/>
            <w:hideMark/>
          </w:tcPr>
          <w:p w14:paraId="5BEB9378" w14:textId="77777777" w:rsidR="00000000" w:rsidRDefault="00A173A8">
            <w:pPr>
              <w:spacing w:after="100"/>
              <w:rPr>
                <w:rFonts w:eastAsia="Times New Roman"/>
                <w:sz w:val="20"/>
                <w:szCs w:val="20"/>
              </w:rPr>
            </w:pPr>
          </w:p>
        </w:tc>
        <w:tc>
          <w:tcPr>
            <w:tcW w:w="0" w:type="auto"/>
            <w:gridSpan w:val="2"/>
            <w:vAlign w:val="center"/>
            <w:hideMark/>
          </w:tcPr>
          <w:p w14:paraId="77853CF4" w14:textId="77777777" w:rsidR="00000000" w:rsidRDefault="00A173A8">
            <w:pPr>
              <w:spacing w:after="100"/>
              <w:rPr>
                <w:rFonts w:eastAsia="Times New Roman"/>
                <w:sz w:val="20"/>
                <w:szCs w:val="20"/>
              </w:rPr>
            </w:pPr>
          </w:p>
        </w:tc>
      </w:tr>
      <w:tr w:rsidR="00000000" w14:paraId="74F7EF79" w14:textId="77777777">
        <w:trPr>
          <w:divId w:val="1533881267"/>
        </w:trPr>
        <w:tc>
          <w:tcPr>
            <w:tcW w:w="0" w:type="auto"/>
            <w:gridSpan w:val="3"/>
            <w:shd w:val="clear" w:color="auto" w:fill="FFFFFF"/>
            <w:tcMar>
              <w:top w:w="30" w:type="dxa"/>
              <w:left w:w="20" w:type="dxa"/>
              <w:bottom w:w="30" w:type="dxa"/>
              <w:right w:w="20" w:type="dxa"/>
            </w:tcMar>
            <w:vAlign w:val="center"/>
            <w:hideMark/>
          </w:tcPr>
          <w:p w14:paraId="50CCD856" w14:textId="77777777" w:rsidR="00000000" w:rsidRDefault="00A173A8">
            <w:pPr>
              <w:spacing w:after="100"/>
              <w:rPr>
                <w:rFonts w:eastAsia="Times New Roman"/>
              </w:rPr>
            </w:pPr>
            <w:r>
              <w:rPr>
                <w:rFonts w:eastAsia="Times New Roman"/>
                <w:color w:val="000000"/>
                <w:sz w:val="20"/>
                <w:szCs w:val="20"/>
              </w:rPr>
              <w:t>Loans held for investment</w:t>
            </w:r>
          </w:p>
        </w:tc>
        <w:tc>
          <w:tcPr>
            <w:tcW w:w="0" w:type="auto"/>
            <w:vAlign w:val="center"/>
            <w:hideMark/>
          </w:tcPr>
          <w:p w14:paraId="5D94330F" w14:textId="77777777" w:rsidR="00000000" w:rsidRDefault="00A173A8">
            <w:pPr>
              <w:spacing w:after="100"/>
              <w:rPr>
                <w:rFonts w:eastAsia="Times New Roman"/>
              </w:rPr>
            </w:pPr>
          </w:p>
        </w:tc>
        <w:tc>
          <w:tcPr>
            <w:tcW w:w="0" w:type="auto"/>
            <w:vAlign w:val="center"/>
            <w:hideMark/>
          </w:tcPr>
          <w:p w14:paraId="19779BCC" w14:textId="77777777" w:rsidR="00000000" w:rsidRDefault="00A173A8">
            <w:pPr>
              <w:spacing w:after="100"/>
              <w:rPr>
                <w:rFonts w:eastAsia="Times New Roman"/>
                <w:sz w:val="20"/>
                <w:szCs w:val="20"/>
              </w:rPr>
            </w:pPr>
          </w:p>
        </w:tc>
        <w:tc>
          <w:tcPr>
            <w:tcW w:w="0" w:type="auto"/>
            <w:vAlign w:val="center"/>
            <w:hideMark/>
          </w:tcPr>
          <w:p w14:paraId="1CA09051" w14:textId="77777777" w:rsidR="00000000" w:rsidRDefault="00A173A8">
            <w:pPr>
              <w:spacing w:after="100"/>
              <w:rPr>
                <w:rFonts w:eastAsia="Times New Roman"/>
                <w:sz w:val="20"/>
                <w:szCs w:val="20"/>
              </w:rPr>
            </w:pPr>
          </w:p>
        </w:tc>
        <w:tc>
          <w:tcPr>
            <w:tcW w:w="0" w:type="auto"/>
            <w:vAlign w:val="center"/>
            <w:hideMark/>
          </w:tcPr>
          <w:p w14:paraId="56CD3789" w14:textId="77777777" w:rsidR="00000000" w:rsidRDefault="00A173A8">
            <w:pPr>
              <w:spacing w:after="100"/>
              <w:rPr>
                <w:rFonts w:eastAsia="Times New Roman"/>
                <w:sz w:val="20"/>
                <w:szCs w:val="20"/>
              </w:rPr>
            </w:pPr>
          </w:p>
        </w:tc>
        <w:tc>
          <w:tcPr>
            <w:tcW w:w="0" w:type="auto"/>
            <w:vAlign w:val="center"/>
            <w:hideMark/>
          </w:tcPr>
          <w:p w14:paraId="19D860E2" w14:textId="77777777" w:rsidR="00000000" w:rsidRDefault="00A173A8">
            <w:pPr>
              <w:spacing w:after="100"/>
              <w:rPr>
                <w:rFonts w:eastAsia="Times New Roman"/>
                <w:sz w:val="20"/>
                <w:szCs w:val="20"/>
              </w:rPr>
            </w:pPr>
          </w:p>
        </w:tc>
        <w:tc>
          <w:tcPr>
            <w:tcW w:w="0" w:type="auto"/>
            <w:vAlign w:val="center"/>
            <w:hideMark/>
          </w:tcPr>
          <w:p w14:paraId="1D0976F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260321" w14:textId="77777777" w:rsidR="00000000" w:rsidRDefault="00A173A8">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052C634"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28AA217" w14:textId="77777777" w:rsidR="00000000" w:rsidRDefault="00A173A8">
            <w:pPr>
              <w:spacing w:after="100"/>
              <w:jc w:val="right"/>
              <w:rPr>
                <w:rFonts w:eastAsia="Times New Roman"/>
              </w:rPr>
            </w:pPr>
            <w:r>
              <w:rPr>
                <w:rFonts w:eastAsia="Times New Roman"/>
                <w:b/>
                <w:bCs/>
                <w:color w:val="000000"/>
                <w:sz w:val="20"/>
                <w:szCs w:val="20"/>
              </w:rPr>
              <w:t>296,384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7927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D9C4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C16AD2"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02BCD03" w14:textId="77777777" w:rsidR="00000000" w:rsidRDefault="00A173A8">
            <w:pPr>
              <w:spacing w:after="100"/>
              <w:jc w:val="right"/>
              <w:rPr>
                <w:rFonts w:eastAsia="Times New Roman"/>
              </w:rPr>
            </w:pPr>
            <w:r>
              <w:rPr>
                <w:rFonts w:eastAsia="Times New Roman"/>
                <w:color w:val="000000"/>
                <w:sz w:val="20"/>
                <w:szCs w:val="20"/>
              </w:rPr>
              <w:t>277,340</w:t>
            </w:r>
          </w:p>
        </w:tc>
        <w:tc>
          <w:tcPr>
            <w:tcW w:w="0" w:type="auto"/>
            <w:gridSpan w:val="3"/>
            <w:vAlign w:val="center"/>
            <w:hideMark/>
          </w:tcPr>
          <w:p w14:paraId="6B64B3F2" w14:textId="77777777" w:rsidR="00000000" w:rsidRDefault="00A173A8">
            <w:pPr>
              <w:spacing w:after="100"/>
              <w:jc w:val="right"/>
              <w:rPr>
                <w:rFonts w:eastAsia="Times New Roman"/>
              </w:rPr>
            </w:pPr>
          </w:p>
        </w:tc>
        <w:tc>
          <w:tcPr>
            <w:tcW w:w="0" w:type="auto"/>
            <w:gridSpan w:val="3"/>
            <w:vAlign w:val="center"/>
            <w:hideMark/>
          </w:tcPr>
          <w:p w14:paraId="11582C2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A36521" w14:textId="77777777" w:rsidR="00000000" w:rsidRDefault="00A173A8">
            <w:pPr>
              <w:spacing w:after="100"/>
              <w:rPr>
                <w:rFonts w:eastAsia="Times New Roman"/>
                <w:sz w:val="20"/>
                <w:szCs w:val="20"/>
              </w:rPr>
            </w:pPr>
          </w:p>
        </w:tc>
        <w:tc>
          <w:tcPr>
            <w:tcW w:w="0" w:type="auto"/>
            <w:gridSpan w:val="3"/>
            <w:vAlign w:val="center"/>
            <w:hideMark/>
          </w:tcPr>
          <w:p w14:paraId="5D6B9853" w14:textId="77777777" w:rsidR="00000000" w:rsidRDefault="00A173A8">
            <w:pPr>
              <w:spacing w:after="100"/>
              <w:rPr>
                <w:rFonts w:eastAsia="Times New Roman"/>
                <w:sz w:val="20"/>
                <w:szCs w:val="20"/>
              </w:rPr>
            </w:pPr>
          </w:p>
        </w:tc>
        <w:tc>
          <w:tcPr>
            <w:tcW w:w="0" w:type="auto"/>
            <w:gridSpan w:val="3"/>
            <w:vAlign w:val="center"/>
            <w:hideMark/>
          </w:tcPr>
          <w:p w14:paraId="03BF9361" w14:textId="77777777" w:rsidR="00000000" w:rsidRDefault="00A173A8">
            <w:pPr>
              <w:spacing w:after="100"/>
              <w:rPr>
                <w:rFonts w:eastAsia="Times New Roman"/>
                <w:sz w:val="20"/>
                <w:szCs w:val="20"/>
              </w:rPr>
            </w:pPr>
          </w:p>
        </w:tc>
        <w:tc>
          <w:tcPr>
            <w:tcW w:w="0" w:type="auto"/>
            <w:gridSpan w:val="3"/>
            <w:vAlign w:val="center"/>
            <w:hideMark/>
          </w:tcPr>
          <w:p w14:paraId="6785A0F1" w14:textId="77777777" w:rsidR="00000000" w:rsidRDefault="00A173A8">
            <w:pPr>
              <w:spacing w:after="100"/>
              <w:rPr>
                <w:rFonts w:eastAsia="Times New Roman"/>
                <w:sz w:val="20"/>
                <w:szCs w:val="20"/>
              </w:rPr>
            </w:pPr>
          </w:p>
        </w:tc>
        <w:tc>
          <w:tcPr>
            <w:tcW w:w="0" w:type="auto"/>
            <w:gridSpan w:val="3"/>
            <w:vAlign w:val="center"/>
            <w:hideMark/>
          </w:tcPr>
          <w:p w14:paraId="0C7C19F1"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FBE49B" w14:textId="77777777" w:rsidR="00000000" w:rsidRDefault="00A173A8">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4D7DCEAC" w14:textId="77777777" w:rsidR="00000000" w:rsidRDefault="00A173A8">
            <w:pPr>
              <w:spacing w:after="100"/>
              <w:rPr>
                <w:rFonts w:eastAsia="Times New Roman"/>
              </w:rPr>
            </w:pPr>
            <w:r>
              <w:rPr>
                <w:rFonts w:eastAsia="Times New Roman"/>
                <w:color w:val="000000"/>
                <w:sz w:val="20"/>
                <w:szCs w:val="20"/>
              </w:rPr>
              <w:t>%</w:t>
            </w:r>
          </w:p>
        </w:tc>
        <w:tc>
          <w:tcPr>
            <w:tcW w:w="0" w:type="auto"/>
            <w:gridSpan w:val="3"/>
            <w:vAlign w:val="center"/>
            <w:hideMark/>
          </w:tcPr>
          <w:p w14:paraId="6E6E7772" w14:textId="77777777" w:rsidR="00000000" w:rsidRDefault="00A173A8">
            <w:pPr>
              <w:spacing w:after="100"/>
              <w:rPr>
                <w:rFonts w:eastAsia="Times New Roman"/>
              </w:rPr>
            </w:pPr>
          </w:p>
        </w:tc>
        <w:tc>
          <w:tcPr>
            <w:tcW w:w="0" w:type="auto"/>
            <w:gridSpan w:val="2"/>
            <w:vAlign w:val="center"/>
            <w:hideMark/>
          </w:tcPr>
          <w:p w14:paraId="1EE93DE3" w14:textId="77777777" w:rsidR="00000000" w:rsidRDefault="00A173A8">
            <w:pPr>
              <w:spacing w:after="100"/>
              <w:rPr>
                <w:rFonts w:eastAsia="Times New Roman"/>
                <w:sz w:val="20"/>
                <w:szCs w:val="20"/>
              </w:rPr>
            </w:pPr>
          </w:p>
        </w:tc>
      </w:tr>
      <w:tr w:rsidR="00000000" w14:paraId="6C8AE39F" w14:textId="77777777">
        <w:trPr>
          <w:divId w:val="1533881267"/>
        </w:trPr>
        <w:tc>
          <w:tcPr>
            <w:tcW w:w="0" w:type="auto"/>
            <w:gridSpan w:val="3"/>
            <w:shd w:val="clear" w:color="auto" w:fill="CCEEFF"/>
            <w:tcMar>
              <w:top w:w="30" w:type="dxa"/>
              <w:left w:w="20" w:type="dxa"/>
              <w:bottom w:w="30" w:type="dxa"/>
              <w:right w:w="20" w:type="dxa"/>
            </w:tcMar>
            <w:vAlign w:val="center"/>
            <w:hideMark/>
          </w:tcPr>
          <w:p w14:paraId="66AAF622" w14:textId="77777777" w:rsidR="00000000" w:rsidRDefault="00A173A8">
            <w:pPr>
              <w:spacing w:after="100"/>
              <w:rPr>
                <w:rFonts w:eastAsia="Times New Roman"/>
              </w:rPr>
            </w:pPr>
            <w:r>
              <w:rPr>
                <w:rFonts w:eastAsia="Times New Roman"/>
                <w:color w:val="000000"/>
                <w:sz w:val="20"/>
                <w:szCs w:val="20"/>
              </w:rPr>
              <w:t>Interest-earning assets</w:t>
            </w:r>
          </w:p>
        </w:tc>
        <w:tc>
          <w:tcPr>
            <w:tcW w:w="0" w:type="auto"/>
            <w:vAlign w:val="center"/>
            <w:hideMark/>
          </w:tcPr>
          <w:p w14:paraId="47B155E3" w14:textId="77777777" w:rsidR="00000000" w:rsidRDefault="00A173A8">
            <w:pPr>
              <w:spacing w:after="100"/>
              <w:rPr>
                <w:rFonts w:eastAsia="Times New Roman"/>
              </w:rPr>
            </w:pPr>
          </w:p>
        </w:tc>
        <w:tc>
          <w:tcPr>
            <w:tcW w:w="0" w:type="auto"/>
            <w:vAlign w:val="center"/>
            <w:hideMark/>
          </w:tcPr>
          <w:p w14:paraId="7938AFA4" w14:textId="77777777" w:rsidR="00000000" w:rsidRDefault="00A173A8">
            <w:pPr>
              <w:spacing w:after="100"/>
              <w:rPr>
                <w:rFonts w:eastAsia="Times New Roman"/>
                <w:sz w:val="20"/>
                <w:szCs w:val="20"/>
              </w:rPr>
            </w:pPr>
          </w:p>
        </w:tc>
        <w:tc>
          <w:tcPr>
            <w:tcW w:w="0" w:type="auto"/>
            <w:vAlign w:val="center"/>
            <w:hideMark/>
          </w:tcPr>
          <w:p w14:paraId="0EB7200A" w14:textId="77777777" w:rsidR="00000000" w:rsidRDefault="00A173A8">
            <w:pPr>
              <w:spacing w:after="100"/>
              <w:rPr>
                <w:rFonts w:eastAsia="Times New Roman"/>
                <w:sz w:val="20"/>
                <w:szCs w:val="20"/>
              </w:rPr>
            </w:pPr>
          </w:p>
        </w:tc>
        <w:tc>
          <w:tcPr>
            <w:tcW w:w="0" w:type="auto"/>
            <w:vAlign w:val="center"/>
            <w:hideMark/>
          </w:tcPr>
          <w:p w14:paraId="2254E40B" w14:textId="77777777" w:rsidR="00000000" w:rsidRDefault="00A173A8">
            <w:pPr>
              <w:spacing w:after="100"/>
              <w:rPr>
                <w:rFonts w:eastAsia="Times New Roman"/>
                <w:sz w:val="20"/>
                <w:szCs w:val="20"/>
              </w:rPr>
            </w:pPr>
          </w:p>
        </w:tc>
        <w:tc>
          <w:tcPr>
            <w:tcW w:w="0" w:type="auto"/>
            <w:vAlign w:val="center"/>
            <w:hideMark/>
          </w:tcPr>
          <w:p w14:paraId="2DBD4D9E" w14:textId="77777777" w:rsidR="00000000" w:rsidRDefault="00A173A8">
            <w:pPr>
              <w:spacing w:after="100"/>
              <w:rPr>
                <w:rFonts w:eastAsia="Times New Roman"/>
                <w:sz w:val="20"/>
                <w:szCs w:val="20"/>
              </w:rPr>
            </w:pPr>
          </w:p>
        </w:tc>
        <w:tc>
          <w:tcPr>
            <w:tcW w:w="0" w:type="auto"/>
            <w:vAlign w:val="center"/>
            <w:hideMark/>
          </w:tcPr>
          <w:p w14:paraId="5257752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3608FA"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030DF4" w14:textId="77777777" w:rsidR="00000000" w:rsidRDefault="00A173A8">
            <w:pPr>
              <w:spacing w:after="100"/>
              <w:jc w:val="right"/>
              <w:rPr>
                <w:rFonts w:eastAsia="Times New Roman"/>
              </w:rPr>
            </w:pPr>
            <w:r>
              <w:rPr>
                <w:rFonts w:eastAsia="Times New Roman"/>
                <w:b/>
                <w:bCs/>
                <w:color w:val="000000"/>
                <w:sz w:val="20"/>
                <w:szCs w:val="20"/>
              </w:rPr>
              <w:t>406,565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3B06C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801747"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809B292" w14:textId="77777777" w:rsidR="00000000" w:rsidRDefault="00A173A8">
            <w:pPr>
              <w:spacing w:after="100"/>
              <w:jc w:val="right"/>
              <w:rPr>
                <w:rFonts w:eastAsia="Times New Roman"/>
              </w:rPr>
            </w:pPr>
            <w:r>
              <w:rPr>
                <w:rFonts w:eastAsia="Times New Roman"/>
                <w:color w:val="000000"/>
                <w:sz w:val="20"/>
                <w:szCs w:val="20"/>
              </w:rPr>
              <w:t>397,341</w:t>
            </w:r>
          </w:p>
        </w:tc>
        <w:tc>
          <w:tcPr>
            <w:tcW w:w="0" w:type="auto"/>
            <w:gridSpan w:val="3"/>
            <w:vAlign w:val="center"/>
            <w:hideMark/>
          </w:tcPr>
          <w:p w14:paraId="17145239" w14:textId="77777777" w:rsidR="00000000" w:rsidRDefault="00A173A8">
            <w:pPr>
              <w:spacing w:after="100"/>
              <w:jc w:val="right"/>
              <w:rPr>
                <w:rFonts w:eastAsia="Times New Roman"/>
              </w:rPr>
            </w:pPr>
          </w:p>
        </w:tc>
        <w:tc>
          <w:tcPr>
            <w:tcW w:w="0" w:type="auto"/>
            <w:gridSpan w:val="3"/>
            <w:vAlign w:val="center"/>
            <w:hideMark/>
          </w:tcPr>
          <w:p w14:paraId="01A31D9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B3DFC2" w14:textId="77777777" w:rsidR="00000000" w:rsidRDefault="00A173A8">
            <w:pPr>
              <w:spacing w:after="100"/>
              <w:rPr>
                <w:rFonts w:eastAsia="Times New Roman"/>
                <w:sz w:val="20"/>
                <w:szCs w:val="20"/>
              </w:rPr>
            </w:pPr>
          </w:p>
        </w:tc>
        <w:tc>
          <w:tcPr>
            <w:tcW w:w="0" w:type="auto"/>
            <w:gridSpan w:val="3"/>
            <w:vAlign w:val="center"/>
            <w:hideMark/>
          </w:tcPr>
          <w:p w14:paraId="349BF982" w14:textId="77777777" w:rsidR="00000000" w:rsidRDefault="00A173A8">
            <w:pPr>
              <w:spacing w:after="100"/>
              <w:rPr>
                <w:rFonts w:eastAsia="Times New Roman"/>
                <w:sz w:val="20"/>
                <w:szCs w:val="20"/>
              </w:rPr>
            </w:pPr>
          </w:p>
        </w:tc>
        <w:tc>
          <w:tcPr>
            <w:tcW w:w="0" w:type="auto"/>
            <w:gridSpan w:val="3"/>
            <w:vAlign w:val="center"/>
            <w:hideMark/>
          </w:tcPr>
          <w:p w14:paraId="5EBFC1F9" w14:textId="77777777" w:rsidR="00000000" w:rsidRDefault="00A173A8">
            <w:pPr>
              <w:spacing w:after="100"/>
              <w:rPr>
                <w:rFonts w:eastAsia="Times New Roman"/>
                <w:sz w:val="20"/>
                <w:szCs w:val="20"/>
              </w:rPr>
            </w:pPr>
          </w:p>
        </w:tc>
        <w:tc>
          <w:tcPr>
            <w:tcW w:w="0" w:type="auto"/>
            <w:gridSpan w:val="3"/>
            <w:vAlign w:val="center"/>
            <w:hideMark/>
          </w:tcPr>
          <w:p w14:paraId="7D814DD0" w14:textId="77777777" w:rsidR="00000000" w:rsidRDefault="00A173A8">
            <w:pPr>
              <w:spacing w:after="100"/>
              <w:rPr>
                <w:rFonts w:eastAsia="Times New Roman"/>
                <w:sz w:val="20"/>
                <w:szCs w:val="20"/>
              </w:rPr>
            </w:pPr>
          </w:p>
        </w:tc>
        <w:tc>
          <w:tcPr>
            <w:tcW w:w="0" w:type="auto"/>
            <w:gridSpan w:val="3"/>
            <w:vAlign w:val="center"/>
            <w:hideMark/>
          </w:tcPr>
          <w:p w14:paraId="64931507"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9AA01B" w14:textId="77777777" w:rsidR="00000000" w:rsidRDefault="00A173A8">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14:paraId="3BFD2199" w14:textId="77777777" w:rsidR="00000000" w:rsidRDefault="00A173A8">
            <w:pPr>
              <w:spacing w:after="100"/>
              <w:jc w:val="right"/>
              <w:rPr>
                <w:rFonts w:eastAsia="Times New Roman"/>
              </w:rPr>
            </w:pPr>
          </w:p>
        </w:tc>
        <w:tc>
          <w:tcPr>
            <w:tcW w:w="0" w:type="auto"/>
            <w:gridSpan w:val="3"/>
            <w:vAlign w:val="center"/>
            <w:hideMark/>
          </w:tcPr>
          <w:p w14:paraId="78FEB2BC" w14:textId="77777777" w:rsidR="00000000" w:rsidRDefault="00A173A8">
            <w:pPr>
              <w:spacing w:after="100"/>
              <w:jc w:val="right"/>
              <w:rPr>
                <w:rFonts w:eastAsia="Times New Roman"/>
                <w:sz w:val="20"/>
                <w:szCs w:val="20"/>
              </w:rPr>
            </w:pPr>
          </w:p>
        </w:tc>
        <w:tc>
          <w:tcPr>
            <w:tcW w:w="0" w:type="auto"/>
            <w:gridSpan w:val="2"/>
            <w:vAlign w:val="center"/>
            <w:hideMark/>
          </w:tcPr>
          <w:p w14:paraId="5E1BD36D" w14:textId="77777777" w:rsidR="00000000" w:rsidRDefault="00A173A8">
            <w:pPr>
              <w:spacing w:after="100"/>
              <w:rPr>
                <w:rFonts w:eastAsia="Times New Roman"/>
                <w:sz w:val="20"/>
                <w:szCs w:val="20"/>
              </w:rPr>
            </w:pPr>
          </w:p>
        </w:tc>
      </w:tr>
      <w:tr w:rsidR="00000000" w14:paraId="39B1EF65" w14:textId="77777777">
        <w:trPr>
          <w:divId w:val="1533881267"/>
        </w:trPr>
        <w:tc>
          <w:tcPr>
            <w:tcW w:w="0" w:type="auto"/>
            <w:gridSpan w:val="3"/>
            <w:shd w:val="clear" w:color="auto" w:fill="FFFFFF"/>
            <w:tcMar>
              <w:top w:w="30" w:type="dxa"/>
              <w:left w:w="20" w:type="dxa"/>
              <w:bottom w:w="30" w:type="dxa"/>
              <w:right w:w="20" w:type="dxa"/>
            </w:tcMar>
            <w:vAlign w:val="center"/>
            <w:hideMark/>
          </w:tcPr>
          <w:p w14:paraId="274B419A" w14:textId="77777777" w:rsidR="00000000" w:rsidRDefault="00A173A8">
            <w:pPr>
              <w:spacing w:after="100"/>
              <w:rPr>
                <w:rFonts w:eastAsia="Times New Roman"/>
              </w:rPr>
            </w:pPr>
            <w:r>
              <w:rPr>
                <w:rFonts w:eastAsia="Times New Roman"/>
                <w:color w:val="000000"/>
                <w:sz w:val="20"/>
                <w:szCs w:val="20"/>
              </w:rPr>
              <w:t>Total assets</w:t>
            </w:r>
          </w:p>
        </w:tc>
        <w:tc>
          <w:tcPr>
            <w:tcW w:w="0" w:type="auto"/>
            <w:vAlign w:val="center"/>
            <w:hideMark/>
          </w:tcPr>
          <w:p w14:paraId="0D2067B9" w14:textId="77777777" w:rsidR="00000000" w:rsidRDefault="00A173A8">
            <w:pPr>
              <w:spacing w:after="100"/>
              <w:rPr>
                <w:rFonts w:eastAsia="Times New Roman"/>
              </w:rPr>
            </w:pPr>
          </w:p>
        </w:tc>
        <w:tc>
          <w:tcPr>
            <w:tcW w:w="0" w:type="auto"/>
            <w:vAlign w:val="center"/>
            <w:hideMark/>
          </w:tcPr>
          <w:p w14:paraId="2F37CF38" w14:textId="77777777" w:rsidR="00000000" w:rsidRDefault="00A173A8">
            <w:pPr>
              <w:spacing w:after="100"/>
              <w:rPr>
                <w:rFonts w:eastAsia="Times New Roman"/>
                <w:sz w:val="20"/>
                <w:szCs w:val="20"/>
              </w:rPr>
            </w:pPr>
          </w:p>
        </w:tc>
        <w:tc>
          <w:tcPr>
            <w:tcW w:w="0" w:type="auto"/>
            <w:vAlign w:val="center"/>
            <w:hideMark/>
          </w:tcPr>
          <w:p w14:paraId="0B1554DD" w14:textId="77777777" w:rsidR="00000000" w:rsidRDefault="00A173A8">
            <w:pPr>
              <w:spacing w:after="100"/>
              <w:rPr>
                <w:rFonts w:eastAsia="Times New Roman"/>
                <w:sz w:val="20"/>
                <w:szCs w:val="20"/>
              </w:rPr>
            </w:pPr>
          </w:p>
        </w:tc>
        <w:tc>
          <w:tcPr>
            <w:tcW w:w="0" w:type="auto"/>
            <w:vAlign w:val="center"/>
            <w:hideMark/>
          </w:tcPr>
          <w:p w14:paraId="4C655AA1" w14:textId="77777777" w:rsidR="00000000" w:rsidRDefault="00A173A8">
            <w:pPr>
              <w:spacing w:after="100"/>
              <w:rPr>
                <w:rFonts w:eastAsia="Times New Roman"/>
                <w:sz w:val="20"/>
                <w:szCs w:val="20"/>
              </w:rPr>
            </w:pPr>
          </w:p>
        </w:tc>
        <w:tc>
          <w:tcPr>
            <w:tcW w:w="0" w:type="auto"/>
            <w:vAlign w:val="center"/>
            <w:hideMark/>
          </w:tcPr>
          <w:p w14:paraId="6752C31A" w14:textId="77777777" w:rsidR="00000000" w:rsidRDefault="00A173A8">
            <w:pPr>
              <w:spacing w:after="100"/>
              <w:rPr>
                <w:rFonts w:eastAsia="Times New Roman"/>
                <w:sz w:val="20"/>
                <w:szCs w:val="20"/>
              </w:rPr>
            </w:pPr>
          </w:p>
        </w:tc>
        <w:tc>
          <w:tcPr>
            <w:tcW w:w="0" w:type="auto"/>
            <w:vAlign w:val="center"/>
            <w:hideMark/>
          </w:tcPr>
          <w:p w14:paraId="6D13BCD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419D97"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4776F5" w14:textId="77777777" w:rsidR="00000000" w:rsidRDefault="00A173A8">
            <w:pPr>
              <w:spacing w:after="100"/>
              <w:jc w:val="right"/>
              <w:rPr>
                <w:rFonts w:eastAsia="Times New Roman"/>
              </w:rPr>
            </w:pPr>
            <w:r>
              <w:rPr>
                <w:rFonts w:eastAsia="Times New Roman"/>
                <w:b/>
                <w:bCs/>
                <w:color w:val="000000"/>
                <w:sz w:val="20"/>
                <w:szCs w:val="20"/>
              </w:rPr>
              <w:t>440,288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AB6B5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10C39"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127E9B9C" w14:textId="77777777" w:rsidR="00000000" w:rsidRDefault="00A173A8">
            <w:pPr>
              <w:spacing w:after="100"/>
              <w:jc w:val="right"/>
              <w:rPr>
                <w:rFonts w:eastAsia="Times New Roman"/>
              </w:rPr>
            </w:pPr>
            <w:r>
              <w:rPr>
                <w:rFonts w:eastAsia="Times New Roman"/>
                <w:color w:val="000000"/>
                <w:sz w:val="20"/>
                <w:szCs w:val="20"/>
              </w:rPr>
              <w:t>432,381</w:t>
            </w:r>
          </w:p>
        </w:tc>
        <w:tc>
          <w:tcPr>
            <w:tcW w:w="0" w:type="auto"/>
            <w:gridSpan w:val="3"/>
            <w:vAlign w:val="center"/>
            <w:hideMark/>
          </w:tcPr>
          <w:p w14:paraId="1E246C4B" w14:textId="77777777" w:rsidR="00000000" w:rsidRDefault="00A173A8">
            <w:pPr>
              <w:spacing w:after="100"/>
              <w:jc w:val="right"/>
              <w:rPr>
                <w:rFonts w:eastAsia="Times New Roman"/>
              </w:rPr>
            </w:pPr>
          </w:p>
        </w:tc>
        <w:tc>
          <w:tcPr>
            <w:tcW w:w="0" w:type="auto"/>
            <w:gridSpan w:val="3"/>
            <w:vAlign w:val="center"/>
            <w:hideMark/>
          </w:tcPr>
          <w:p w14:paraId="765B2AB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81EA5F" w14:textId="77777777" w:rsidR="00000000" w:rsidRDefault="00A173A8">
            <w:pPr>
              <w:spacing w:after="100"/>
              <w:rPr>
                <w:rFonts w:eastAsia="Times New Roman"/>
                <w:sz w:val="20"/>
                <w:szCs w:val="20"/>
              </w:rPr>
            </w:pPr>
          </w:p>
        </w:tc>
        <w:tc>
          <w:tcPr>
            <w:tcW w:w="0" w:type="auto"/>
            <w:gridSpan w:val="3"/>
            <w:vAlign w:val="center"/>
            <w:hideMark/>
          </w:tcPr>
          <w:p w14:paraId="6D091427" w14:textId="77777777" w:rsidR="00000000" w:rsidRDefault="00A173A8">
            <w:pPr>
              <w:spacing w:after="100"/>
              <w:rPr>
                <w:rFonts w:eastAsia="Times New Roman"/>
                <w:sz w:val="20"/>
                <w:szCs w:val="20"/>
              </w:rPr>
            </w:pPr>
          </w:p>
        </w:tc>
        <w:tc>
          <w:tcPr>
            <w:tcW w:w="0" w:type="auto"/>
            <w:gridSpan w:val="3"/>
            <w:vAlign w:val="center"/>
            <w:hideMark/>
          </w:tcPr>
          <w:p w14:paraId="10570D9D" w14:textId="77777777" w:rsidR="00000000" w:rsidRDefault="00A173A8">
            <w:pPr>
              <w:spacing w:after="100"/>
              <w:rPr>
                <w:rFonts w:eastAsia="Times New Roman"/>
                <w:sz w:val="20"/>
                <w:szCs w:val="20"/>
              </w:rPr>
            </w:pPr>
          </w:p>
        </w:tc>
        <w:tc>
          <w:tcPr>
            <w:tcW w:w="0" w:type="auto"/>
            <w:gridSpan w:val="3"/>
            <w:vAlign w:val="center"/>
            <w:hideMark/>
          </w:tcPr>
          <w:p w14:paraId="76B1F3CF" w14:textId="77777777" w:rsidR="00000000" w:rsidRDefault="00A173A8">
            <w:pPr>
              <w:spacing w:after="100"/>
              <w:rPr>
                <w:rFonts w:eastAsia="Times New Roman"/>
                <w:sz w:val="20"/>
                <w:szCs w:val="20"/>
              </w:rPr>
            </w:pPr>
          </w:p>
        </w:tc>
        <w:tc>
          <w:tcPr>
            <w:tcW w:w="0" w:type="auto"/>
            <w:gridSpan w:val="3"/>
            <w:vAlign w:val="center"/>
            <w:hideMark/>
          </w:tcPr>
          <w:p w14:paraId="23E339BF"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2B1D71" w14:textId="77777777" w:rsidR="00000000" w:rsidRDefault="00A173A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14:paraId="141555B7" w14:textId="77777777" w:rsidR="00000000" w:rsidRDefault="00A173A8">
            <w:pPr>
              <w:spacing w:after="100"/>
              <w:jc w:val="right"/>
              <w:rPr>
                <w:rFonts w:eastAsia="Times New Roman"/>
              </w:rPr>
            </w:pPr>
          </w:p>
        </w:tc>
        <w:tc>
          <w:tcPr>
            <w:tcW w:w="0" w:type="auto"/>
            <w:gridSpan w:val="3"/>
            <w:vAlign w:val="center"/>
            <w:hideMark/>
          </w:tcPr>
          <w:p w14:paraId="118602E8" w14:textId="77777777" w:rsidR="00000000" w:rsidRDefault="00A173A8">
            <w:pPr>
              <w:spacing w:after="100"/>
              <w:jc w:val="right"/>
              <w:rPr>
                <w:rFonts w:eastAsia="Times New Roman"/>
                <w:sz w:val="20"/>
                <w:szCs w:val="20"/>
              </w:rPr>
            </w:pPr>
          </w:p>
        </w:tc>
        <w:tc>
          <w:tcPr>
            <w:tcW w:w="0" w:type="auto"/>
            <w:gridSpan w:val="2"/>
            <w:vAlign w:val="center"/>
            <w:hideMark/>
          </w:tcPr>
          <w:p w14:paraId="5D2A4550" w14:textId="77777777" w:rsidR="00000000" w:rsidRDefault="00A173A8">
            <w:pPr>
              <w:spacing w:after="100"/>
              <w:rPr>
                <w:rFonts w:eastAsia="Times New Roman"/>
                <w:sz w:val="20"/>
                <w:szCs w:val="20"/>
              </w:rPr>
            </w:pPr>
          </w:p>
        </w:tc>
      </w:tr>
      <w:tr w:rsidR="00000000" w14:paraId="1AB72E45" w14:textId="77777777">
        <w:trPr>
          <w:divId w:val="1533881267"/>
        </w:trPr>
        <w:tc>
          <w:tcPr>
            <w:tcW w:w="0" w:type="auto"/>
            <w:gridSpan w:val="3"/>
            <w:shd w:val="clear" w:color="auto" w:fill="CCEEFF"/>
            <w:tcMar>
              <w:top w:w="30" w:type="dxa"/>
              <w:left w:w="20" w:type="dxa"/>
              <w:bottom w:w="30" w:type="dxa"/>
              <w:right w:w="20" w:type="dxa"/>
            </w:tcMar>
            <w:vAlign w:val="center"/>
            <w:hideMark/>
          </w:tcPr>
          <w:p w14:paraId="7A39CDA7" w14:textId="77777777" w:rsidR="00000000" w:rsidRDefault="00A173A8">
            <w:pPr>
              <w:spacing w:after="100"/>
              <w:rPr>
                <w:rFonts w:eastAsia="Times New Roman"/>
              </w:rPr>
            </w:pPr>
            <w:r>
              <w:rPr>
                <w:rFonts w:eastAsia="Times New Roman"/>
                <w:color w:val="000000"/>
                <w:sz w:val="20"/>
                <w:szCs w:val="20"/>
              </w:rPr>
              <w:t>Interest-bearing deposits</w:t>
            </w:r>
          </w:p>
        </w:tc>
        <w:tc>
          <w:tcPr>
            <w:tcW w:w="0" w:type="auto"/>
            <w:vAlign w:val="center"/>
            <w:hideMark/>
          </w:tcPr>
          <w:p w14:paraId="16938950" w14:textId="77777777" w:rsidR="00000000" w:rsidRDefault="00A173A8">
            <w:pPr>
              <w:spacing w:after="100"/>
              <w:rPr>
                <w:rFonts w:eastAsia="Times New Roman"/>
              </w:rPr>
            </w:pPr>
          </w:p>
        </w:tc>
        <w:tc>
          <w:tcPr>
            <w:tcW w:w="0" w:type="auto"/>
            <w:vAlign w:val="center"/>
            <w:hideMark/>
          </w:tcPr>
          <w:p w14:paraId="35078F77" w14:textId="77777777" w:rsidR="00000000" w:rsidRDefault="00A173A8">
            <w:pPr>
              <w:spacing w:after="100"/>
              <w:rPr>
                <w:rFonts w:eastAsia="Times New Roman"/>
                <w:sz w:val="20"/>
                <w:szCs w:val="20"/>
              </w:rPr>
            </w:pPr>
          </w:p>
        </w:tc>
        <w:tc>
          <w:tcPr>
            <w:tcW w:w="0" w:type="auto"/>
            <w:vAlign w:val="center"/>
            <w:hideMark/>
          </w:tcPr>
          <w:p w14:paraId="7E17940E" w14:textId="77777777" w:rsidR="00000000" w:rsidRDefault="00A173A8">
            <w:pPr>
              <w:spacing w:after="100"/>
              <w:rPr>
                <w:rFonts w:eastAsia="Times New Roman"/>
                <w:sz w:val="20"/>
                <w:szCs w:val="20"/>
              </w:rPr>
            </w:pPr>
          </w:p>
        </w:tc>
        <w:tc>
          <w:tcPr>
            <w:tcW w:w="0" w:type="auto"/>
            <w:vAlign w:val="center"/>
            <w:hideMark/>
          </w:tcPr>
          <w:p w14:paraId="6997D665" w14:textId="77777777" w:rsidR="00000000" w:rsidRDefault="00A173A8">
            <w:pPr>
              <w:spacing w:after="100"/>
              <w:rPr>
                <w:rFonts w:eastAsia="Times New Roman"/>
                <w:sz w:val="20"/>
                <w:szCs w:val="20"/>
              </w:rPr>
            </w:pPr>
          </w:p>
        </w:tc>
        <w:tc>
          <w:tcPr>
            <w:tcW w:w="0" w:type="auto"/>
            <w:vAlign w:val="center"/>
            <w:hideMark/>
          </w:tcPr>
          <w:p w14:paraId="0108BD88" w14:textId="77777777" w:rsidR="00000000" w:rsidRDefault="00A173A8">
            <w:pPr>
              <w:spacing w:after="100"/>
              <w:rPr>
                <w:rFonts w:eastAsia="Times New Roman"/>
                <w:sz w:val="20"/>
                <w:szCs w:val="20"/>
              </w:rPr>
            </w:pPr>
          </w:p>
        </w:tc>
        <w:tc>
          <w:tcPr>
            <w:tcW w:w="0" w:type="auto"/>
            <w:vAlign w:val="center"/>
            <w:hideMark/>
          </w:tcPr>
          <w:p w14:paraId="475BBFE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DDF549"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17B3D5" w14:textId="77777777" w:rsidR="00000000" w:rsidRDefault="00A173A8">
            <w:pPr>
              <w:spacing w:after="100"/>
              <w:jc w:val="right"/>
              <w:rPr>
                <w:rFonts w:eastAsia="Times New Roman"/>
              </w:rPr>
            </w:pPr>
            <w:r>
              <w:rPr>
                <w:rFonts w:eastAsia="Times New Roman"/>
                <w:b/>
                <w:bCs/>
                <w:color w:val="000000"/>
                <w:sz w:val="20"/>
                <w:szCs w:val="20"/>
              </w:rPr>
              <w:t>270,881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5AC2B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EC4271"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59BDB4BA" w14:textId="77777777" w:rsidR="00000000" w:rsidRDefault="00A173A8">
            <w:pPr>
              <w:spacing w:after="100"/>
              <w:jc w:val="right"/>
              <w:rPr>
                <w:rFonts w:eastAsia="Times New Roman"/>
              </w:rPr>
            </w:pPr>
            <w:r>
              <w:rPr>
                <w:rFonts w:eastAsia="Times New Roman"/>
                <w:color w:val="000000"/>
                <w:sz w:val="20"/>
                <w:szCs w:val="20"/>
              </w:rPr>
              <w:t>272,937</w:t>
            </w:r>
          </w:p>
        </w:tc>
        <w:tc>
          <w:tcPr>
            <w:tcW w:w="0" w:type="auto"/>
            <w:gridSpan w:val="3"/>
            <w:vAlign w:val="center"/>
            <w:hideMark/>
          </w:tcPr>
          <w:p w14:paraId="5DCB2EF1" w14:textId="77777777" w:rsidR="00000000" w:rsidRDefault="00A173A8">
            <w:pPr>
              <w:spacing w:after="100"/>
              <w:jc w:val="right"/>
              <w:rPr>
                <w:rFonts w:eastAsia="Times New Roman"/>
              </w:rPr>
            </w:pPr>
          </w:p>
        </w:tc>
        <w:tc>
          <w:tcPr>
            <w:tcW w:w="0" w:type="auto"/>
            <w:gridSpan w:val="3"/>
            <w:vAlign w:val="center"/>
            <w:hideMark/>
          </w:tcPr>
          <w:p w14:paraId="56D4B88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B8F3BB" w14:textId="77777777" w:rsidR="00000000" w:rsidRDefault="00A173A8">
            <w:pPr>
              <w:spacing w:after="100"/>
              <w:rPr>
                <w:rFonts w:eastAsia="Times New Roman"/>
                <w:sz w:val="20"/>
                <w:szCs w:val="20"/>
              </w:rPr>
            </w:pPr>
          </w:p>
        </w:tc>
        <w:tc>
          <w:tcPr>
            <w:tcW w:w="0" w:type="auto"/>
            <w:gridSpan w:val="3"/>
            <w:vAlign w:val="center"/>
            <w:hideMark/>
          </w:tcPr>
          <w:p w14:paraId="076B261A" w14:textId="77777777" w:rsidR="00000000" w:rsidRDefault="00A173A8">
            <w:pPr>
              <w:spacing w:after="100"/>
              <w:rPr>
                <w:rFonts w:eastAsia="Times New Roman"/>
                <w:sz w:val="20"/>
                <w:szCs w:val="20"/>
              </w:rPr>
            </w:pPr>
          </w:p>
        </w:tc>
        <w:tc>
          <w:tcPr>
            <w:tcW w:w="0" w:type="auto"/>
            <w:gridSpan w:val="3"/>
            <w:vAlign w:val="center"/>
            <w:hideMark/>
          </w:tcPr>
          <w:p w14:paraId="34A16CC4" w14:textId="77777777" w:rsidR="00000000" w:rsidRDefault="00A173A8">
            <w:pPr>
              <w:spacing w:after="100"/>
              <w:rPr>
                <w:rFonts w:eastAsia="Times New Roman"/>
                <w:sz w:val="20"/>
                <w:szCs w:val="20"/>
              </w:rPr>
            </w:pPr>
          </w:p>
        </w:tc>
        <w:tc>
          <w:tcPr>
            <w:tcW w:w="0" w:type="auto"/>
            <w:gridSpan w:val="3"/>
            <w:vAlign w:val="center"/>
            <w:hideMark/>
          </w:tcPr>
          <w:p w14:paraId="2FD67352" w14:textId="77777777" w:rsidR="00000000" w:rsidRDefault="00A173A8">
            <w:pPr>
              <w:spacing w:after="100"/>
              <w:rPr>
                <w:rFonts w:eastAsia="Times New Roman"/>
                <w:sz w:val="20"/>
                <w:szCs w:val="20"/>
              </w:rPr>
            </w:pPr>
          </w:p>
        </w:tc>
        <w:tc>
          <w:tcPr>
            <w:tcW w:w="0" w:type="auto"/>
            <w:gridSpan w:val="3"/>
            <w:vAlign w:val="center"/>
            <w:hideMark/>
          </w:tcPr>
          <w:p w14:paraId="5112DBA4"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810E06" w14:textId="77777777" w:rsidR="00000000" w:rsidRDefault="00A173A8">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0103E828" w14:textId="77777777" w:rsidR="00000000" w:rsidRDefault="00A173A8">
            <w:pPr>
              <w:spacing w:after="100"/>
              <w:jc w:val="right"/>
              <w:rPr>
                <w:rFonts w:eastAsia="Times New Roman"/>
              </w:rPr>
            </w:pPr>
          </w:p>
        </w:tc>
        <w:tc>
          <w:tcPr>
            <w:tcW w:w="0" w:type="auto"/>
            <w:gridSpan w:val="3"/>
            <w:vAlign w:val="center"/>
            <w:hideMark/>
          </w:tcPr>
          <w:p w14:paraId="0DEDF032" w14:textId="77777777" w:rsidR="00000000" w:rsidRDefault="00A173A8">
            <w:pPr>
              <w:spacing w:after="100"/>
              <w:jc w:val="right"/>
              <w:rPr>
                <w:rFonts w:eastAsia="Times New Roman"/>
                <w:sz w:val="20"/>
                <w:szCs w:val="20"/>
              </w:rPr>
            </w:pPr>
          </w:p>
        </w:tc>
        <w:tc>
          <w:tcPr>
            <w:tcW w:w="0" w:type="auto"/>
            <w:gridSpan w:val="2"/>
            <w:vAlign w:val="center"/>
            <w:hideMark/>
          </w:tcPr>
          <w:p w14:paraId="7C246157" w14:textId="77777777" w:rsidR="00000000" w:rsidRDefault="00A173A8">
            <w:pPr>
              <w:spacing w:after="100"/>
              <w:rPr>
                <w:rFonts w:eastAsia="Times New Roman"/>
                <w:sz w:val="20"/>
                <w:szCs w:val="20"/>
              </w:rPr>
            </w:pPr>
          </w:p>
        </w:tc>
      </w:tr>
      <w:tr w:rsidR="00000000" w14:paraId="6D17BCBC" w14:textId="77777777">
        <w:trPr>
          <w:divId w:val="1533881267"/>
        </w:trPr>
        <w:tc>
          <w:tcPr>
            <w:tcW w:w="0" w:type="auto"/>
            <w:gridSpan w:val="3"/>
            <w:shd w:val="clear" w:color="auto" w:fill="FFFFFF"/>
            <w:tcMar>
              <w:top w:w="30" w:type="dxa"/>
              <w:left w:w="20" w:type="dxa"/>
              <w:bottom w:w="30" w:type="dxa"/>
              <w:right w:w="20" w:type="dxa"/>
            </w:tcMar>
            <w:vAlign w:val="center"/>
            <w:hideMark/>
          </w:tcPr>
          <w:p w14:paraId="0076DF44" w14:textId="77777777" w:rsidR="00000000" w:rsidRDefault="00A173A8">
            <w:pPr>
              <w:spacing w:after="100"/>
              <w:rPr>
                <w:rFonts w:eastAsia="Times New Roman"/>
              </w:rPr>
            </w:pPr>
            <w:r>
              <w:rPr>
                <w:rFonts w:eastAsia="Times New Roman"/>
                <w:color w:val="000000"/>
                <w:sz w:val="20"/>
                <w:szCs w:val="20"/>
              </w:rPr>
              <w:t>Total deposits</w:t>
            </w:r>
          </w:p>
        </w:tc>
        <w:tc>
          <w:tcPr>
            <w:tcW w:w="0" w:type="auto"/>
            <w:vAlign w:val="center"/>
            <w:hideMark/>
          </w:tcPr>
          <w:p w14:paraId="6B5FF124" w14:textId="77777777" w:rsidR="00000000" w:rsidRDefault="00A173A8">
            <w:pPr>
              <w:spacing w:after="100"/>
              <w:rPr>
                <w:rFonts w:eastAsia="Times New Roman"/>
              </w:rPr>
            </w:pPr>
          </w:p>
        </w:tc>
        <w:tc>
          <w:tcPr>
            <w:tcW w:w="0" w:type="auto"/>
            <w:vAlign w:val="center"/>
            <w:hideMark/>
          </w:tcPr>
          <w:p w14:paraId="5AB2F02F" w14:textId="77777777" w:rsidR="00000000" w:rsidRDefault="00A173A8">
            <w:pPr>
              <w:spacing w:after="100"/>
              <w:rPr>
                <w:rFonts w:eastAsia="Times New Roman"/>
                <w:sz w:val="20"/>
                <w:szCs w:val="20"/>
              </w:rPr>
            </w:pPr>
          </w:p>
        </w:tc>
        <w:tc>
          <w:tcPr>
            <w:tcW w:w="0" w:type="auto"/>
            <w:vAlign w:val="center"/>
            <w:hideMark/>
          </w:tcPr>
          <w:p w14:paraId="1DB51511" w14:textId="77777777" w:rsidR="00000000" w:rsidRDefault="00A173A8">
            <w:pPr>
              <w:spacing w:after="100"/>
              <w:rPr>
                <w:rFonts w:eastAsia="Times New Roman"/>
                <w:sz w:val="20"/>
                <w:szCs w:val="20"/>
              </w:rPr>
            </w:pPr>
          </w:p>
        </w:tc>
        <w:tc>
          <w:tcPr>
            <w:tcW w:w="0" w:type="auto"/>
            <w:vAlign w:val="center"/>
            <w:hideMark/>
          </w:tcPr>
          <w:p w14:paraId="46F5E66C" w14:textId="77777777" w:rsidR="00000000" w:rsidRDefault="00A173A8">
            <w:pPr>
              <w:spacing w:after="100"/>
              <w:rPr>
                <w:rFonts w:eastAsia="Times New Roman"/>
                <w:sz w:val="20"/>
                <w:szCs w:val="20"/>
              </w:rPr>
            </w:pPr>
          </w:p>
        </w:tc>
        <w:tc>
          <w:tcPr>
            <w:tcW w:w="0" w:type="auto"/>
            <w:vAlign w:val="center"/>
            <w:hideMark/>
          </w:tcPr>
          <w:p w14:paraId="62958E61" w14:textId="77777777" w:rsidR="00000000" w:rsidRDefault="00A173A8">
            <w:pPr>
              <w:spacing w:after="100"/>
              <w:rPr>
                <w:rFonts w:eastAsia="Times New Roman"/>
                <w:sz w:val="20"/>
                <w:szCs w:val="20"/>
              </w:rPr>
            </w:pPr>
          </w:p>
        </w:tc>
        <w:tc>
          <w:tcPr>
            <w:tcW w:w="0" w:type="auto"/>
            <w:vAlign w:val="center"/>
            <w:hideMark/>
          </w:tcPr>
          <w:p w14:paraId="1E84149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163679"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34AF74" w14:textId="77777777" w:rsidR="00000000" w:rsidRDefault="00A173A8">
            <w:pPr>
              <w:spacing w:after="100"/>
              <w:jc w:val="right"/>
              <w:rPr>
                <w:rFonts w:eastAsia="Times New Roman"/>
              </w:rPr>
            </w:pPr>
            <w:r>
              <w:rPr>
                <w:rFonts w:eastAsia="Times New Roman"/>
                <w:b/>
                <w:bCs/>
                <w:color w:val="000000"/>
                <w:sz w:val="20"/>
                <w:szCs w:val="20"/>
              </w:rPr>
              <w:t>307,885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3BB3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E7473"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32A62756" w14:textId="77777777" w:rsidR="00000000" w:rsidRDefault="00A173A8">
            <w:pPr>
              <w:spacing w:after="100"/>
              <w:jc w:val="right"/>
              <w:rPr>
                <w:rFonts w:eastAsia="Times New Roman"/>
              </w:rPr>
            </w:pPr>
            <w:r>
              <w:rPr>
                <w:rFonts w:eastAsia="Times New Roman"/>
                <w:color w:val="000000"/>
                <w:sz w:val="20"/>
                <w:szCs w:val="20"/>
              </w:rPr>
              <w:t>310,980</w:t>
            </w:r>
          </w:p>
        </w:tc>
        <w:tc>
          <w:tcPr>
            <w:tcW w:w="0" w:type="auto"/>
            <w:gridSpan w:val="3"/>
            <w:vAlign w:val="center"/>
            <w:hideMark/>
          </w:tcPr>
          <w:p w14:paraId="2B3FD3A1" w14:textId="77777777" w:rsidR="00000000" w:rsidRDefault="00A173A8">
            <w:pPr>
              <w:spacing w:after="100"/>
              <w:jc w:val="right"/>
              <w:rPr>
                <w:rFonts w:eastAsia="Times New Roman"/>
              </w:rPr>
            </w:pPr>
          </w:p>
        </w:tc>
        <w:tc>
          <w:tcPr>
            <w:tcW w:w="0" w:type="auto"/>
            <w:gridSpan w:val="3"/>
            <w:vAlign w:val="center"/>
            <w:hideMark/>
          </w:tcPr>
          <w:p w14:paraId="4AA6829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ED5A35" w14:textId="77777777" w:rsidR="00000000" w:rsidRDefault="00A173A8">
            <w:pPr>
              <w:spacing w:after="100"/>
              <w:rPr>
                <w:rFonts w:eastAsia="Times New Roman"/>
                <w:sz w:val="20"/>
                <w:szCs w:val="20"/>
              </w:rPr>
            </w:pPr>
          </w:p>
        </w:tc>
        <w:tc>
          <w:tcPr>
            <w:tcW w:w="0" w:type="auto"/>
            <w:gridSpan w:val="3"/>
            <w:vAlign w:val="center"/>
            <w:hideMark/>
          </w:tcPr>
          <w:p w14:paraId="5CAAA4A7" w14:textId="77777777" w:rsidR="00000000" w:rsidRDefault="00A173A8">
            <w:pPr>
              <w:spacing w:after="100"/>
              <w:rPr>
                <w:rFonts w:eastAsia="Times New Roman"/>
                <w:sz w:val="20"/>
                <w:szCs w:val="20"/>
              </w:rPr>
            </w:pPr>
          </w:p>
        </w:tc>
        <w:tc>
          <w:tcPr>
            <w:tcW w:w="0" w:type="auto"/>
            <w:gridSpan w:val="3"/>
            <w:vAlign w:val="center"/>
            <w:hideMark/>
          </w:tcPr>
          <w:p w14:paraId="197B8F2F" w14:textId="77777777" w:rsidR="00000000" w:rsidRDefault="00A173A8">
            <w:pPr>
              <w:spacing w:after="100"/>
              <w:rPr>
                <w:rFonts w:eastAsia="Times New Roman"/>
                <w:sz w:val="20"/>
                <w:szCs w:val="20"/>
              </w:rPr>
            </w:pPr>
          </w:p>
        </w:tc>
        <w:tc>
          <w:tcPr>
            <w:tcW w:w="0" w:type="auto"/>
            <w:gridSpan w:val="3"/>
            <w:vAlign w:val="center"/>
            <w:hideMark/>
          </w:tcPr>
          <w:p w14:paraId="3430C2DC" w14:textId="77777777" w:rsidR="00000000" w:rsidRDefault="00A173A8">
            <w:pPr>
              <w:spacing w:after="100"/>
              <w:rPr>
                <w:rFonts w:eastAsia="Times New Roman"/>
                <w:sz w:val="20"/>
                <w:szCs w:val="20"/>
              </w:rPr>
            </w:pPr>
          </w:p>
        </w:tc>
        <w:tc>
          <w:tcPr>
            <w:tcW w:w="0" w:type="auto"/>
            <w:gridSpan w:val="3"/>
            <w:vAlign w:val="center"/>
            <w:hideMark/>
          </w:tcPr>
          <w:p w14:paraId="4DB04205"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19A52" w14:textId="77777777" w:rsidR="00000000" w:rsidRDefault="00A173A8">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14:paraId="52EA3A31" w14:textId="77777777" w:rsidR="00000000" w:rsidRDefault="00A173A8">
            <w:pPr>
              <w:spacing w:after="100"/>
              <w:jc w:val="right"/>
              <w:rPr>
                <w:rFonts w:eastAsia="Times New Roman"/>
              </w:rPr>
            </w:pPr>
          </w:p>
        </w:tc>
        <w:tc>
          <w:tcPr>
            <w:tcW w:w="0" w:type="auto"/>
            <w:gridSpan w:val="3"/>
            <w:vAlign w:val="center"/>
            <w:hideMark/>
          </w:tcPr>
          <w:p w14:paraId="7EC7541F" w14:textId="77777777" w:rsidR="00000000" w:rsidRDefault="00A173A8">
            <w:pPr>
              <w:spacing w:after="100"/>
              <w:jc w:val="right"/>
              <w:rPr>
                <w:rFonts w:eastAsia="Times New Roman"/>
                <w:sz w:val="20"/>
                <w:szCs w:val="20"/>
              </w:rPr>
            </w:pPr>
          </w:p>
        </w:tc>
        <w:tc>
          <w:tcPr>
            <w:tcW w:w="0" w:type="auto"/>
            <w:gridSpan w:val="2"/>
            <w:vAlign w:val="center"/>
            <w:hideMark/>
          </w:tcPr>
          <w:p w14:paraId="3FF31FCC" w14:textId="77777777" w:rsidR="00000000" w:rsidRDefault="00A173A8">
            <w:pPr>
              <w:spacing w:after="100"/>
              <w:rPr>
                <w:rFonts w:eastAsia="Times New Roman"/>
                <w:sz w:val="20"/>
                <w:szCs w:val="20"/>
              </w:rPr>
            </w:pPr>
          </w:p>
        </w:tc>
      </w:tr>
      <w:tr w:rsidR="00000000" w14:paraId="7B3FF83A" w14:textId="77777777">
        <w:trPr>
          <w:divId w:val="1533881267"/>
        </w:trPr>
        <w:tc>
          <w:tcPr>
            <w:tcW w:w="0" w:type="auto"/>
            <w:gridSpan w:val="3"/>
            <w:shd w:val="clear" w:color="auto" w:fill="CCEEFF"/>
            <w:tcMar>
              <w:top w:w="30" w:type="dxa"/>
              <w:left w:w="20" w:type="dxa"/>
              <w:bottom w:w="30" w:type="dxa"/>
              <w:right w:w="20" w:type="dxa"/>
            </w:tcMar>
            <w:vAlign w:val="center"/>
            <w:hideMark/>
          </w:tcPr>
          <w:p w14:paraId="42B05A27" w14:textId="77777777" w:rsidR="00000000" w:rsidRDefault="00A173A8">
            <w:pPr>
              <w:spacing w:after="100"/>
              <w:rPr>
                <w:rFonts w:eastAsia="Times New Roman"/>
              </w:rPr>
            </w:pPr>
            <w:r>
              <w:rPr>
                <w:rFonts w:eastAsia="Times New Roman"/>
                <w:color w:val="000000"/>
                <w:sz w:val="20"/>
                <w:szCs w:val="20"/>
              </w:rPr>
              <w:t>Borrowings</w:t>
            </w:r>
          </w:p>
        </w:tc>
        <w:tc>
          <w:tcPr>
            <w:tcW w:w="0" w:type="auto"/>
            <w:vAlign w:val="center"/>
            <w:hideMark/>
          </w:tcPr>
          <w:p w14:paraId="027F6CB4" w14:textId="77777777" w:rsidR="00000000" w:rsidRDefault="00A173A8">
            <w:pPr>
              <w:spacing w:after="100"/>
              <w:rPr>
                <w:rFonts w:eastAsia="Times New Roman"/>
              </w:rPr>
            </w:pPr>
          </w:p>
        </w:tc>
        <w:tc>
          <w:tcPr>
            <w:tcW w:w="0" w:type="auto"/>
            <w:vAlign w:val="center"/>
            <w:hideMark/>
          </w:tcPr>
          <w:p w14:paraId="6D79E365" w14:textId="77777777" w:rsidR="00000000" w:rsidRDefault="00A173A8">
            <w:pPr>
              <w:spacing w:after="100"/>
              <w:rPr>
                <w:rFonts w:eastAsia="Times New Roman"/>
                <w:sz w:val="20"/>
                <w:szCs w:val="20"/>
              </w:rPr>
            </w:pPr>
          </w:p>
        </w:tc>
        <w:tc>
          <w:tcPr>
            <w:tcW w:w="0" w:type="auto"/>
            <w:vAlign w:val="center"/>
            <w:hideMark/>
          </w:tcPr>
          <w:p w14:paraId="781587C3" w14:textId="77777777" w:rsidR="00000000" w:rsidRDefault="00A173A8">
            <w:pPr>
              <w:spacing w:after="100"/>
              <w:rPr>
                <w:rFonts w:eastAsia="Times New Roman"/>
                <w:sz w:val="20"/>
                <w:szCs w:val="20"/>
              </w:rPr>
            </w:pPr>
          </w:p>
        </w:tc>
        <w:tc>
          <w:tcPr>
            <w:tcW w:w="0" w:type="auto"/>
            <w:vAlign w:val="center"/>
            <w:hideMark/>
          </w:tcPr>
          <w:p w14:paraId="6D062E29" w14:textId="77777777" w:rsidR="00000000" w:rsidRDefault="00A173A8">
            <w:pPr>
              <w:spacing w:after="100"/>
              <w:rPr>
                <w:rFonts w:eastAsia="Times New Roman"/>
                <w:sz w:val="20"/>
                <w:szCs w:val="20"/>
              </w:rPr>
            </w:pPr>
          </w:p>
        </w:tc>
        <w:tc>
          <w:tcPr>
            <w:tcW w:w="0" w:type="auto"/>
            <w:vAlign w:val="center"/>
            <w:hideMark/>
          </w:tcPr>
          <w:p w14:paraId="2125D182" w14:textId="77777777" w:rsidR="00000000" w:rsidRDefault="00A173A8">
            <w:pPr>
              <w:spacing w:after="100"/>
              <w:rPr>
                <w:rFonts w:eastAsia="Times New Roman"/>
                <w:sz w:val="20"/>
                <w:szCs w:val="20"/>
              </w:rPr>
            </w:pPr>
          </w:p>
        </w:tc>
        <w:tc>
          <w:tcPr>
            <w:tcW w:w="0" w:type="auto"/>
            <w:vAlign w:val="center"/>
            <w:hideMark/>
          </w:tcPr>
          <w:p w14:paraId="42E3306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C3F65F"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CF5B07" w14:textId="77777777" w:rsidR="00000000" w:rsidRDefault="00A173A8">
            <w:pPr>
              <w:spacing w:after="100"/>
              <w:jc w:val="right"/>
              <w:rPr>
                <w:rFonts w:eastAsia="Times New Roman"/>
              </w:rPr>
            </w:pPr>
            <w:r>
              <w:rPr>
                <w:rFonts w:eastAsia="Times New Roman"/>
                <w:b/>
                <w:bCs/>
                <w:color w:val="000000"/>
                <w:sz w:val="20"/>
                <w:szCs w:val="20"/>
              </w:rPr>
              <w:t>58,938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E3DE1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B8A7E"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88CECD3" w14:textId="77777777" w:rsidR="00000000" w:rsidRDefault="00A173A8">
            <w:pPr>
              <w:spacing w:after="100"/>
              <w:jc w:val="right"/>
              <w:rPr>
                <w:rFonts w:eastAsia="Times New Roman"/>
              </w:rPr>
            </w:pPr>
            <w:r>
              <w:rPr>
                <w:rFonts w:eastAsia="Times New Roman"/>
                <w:color w:val="000000"/>
                <w:sz w:val="20"/>
                <w:szCs w:val="20"/>
              </w:rPr>
              <w:t>43,086</w:t>
            </w:r>
          </w:p>
        </w:tc>
        <w:tc>
          <w:tcPr>
            <w:tcW w:w="0" w:type="auto"/>
            <w:gridSpan w:val="3"/>
            <w:vAlign w:val="center"/>
            <w:hideMark/>
          </w:tcPr>
          <w:p w14:paraId="4166279B" w14:textId="77777777" w:rsidR="00000000" w:rsidRDefault="00A173A8">
            <w:pPr>
              <w:spacing w:after="100"/>
              <w:jc w:val="right"/>
              <w:rPr>
                <w:rFonts w:eastAsia="Times New Roman"/>
              </w:rPr>
            </w:pPr>
          </w:p>
        </w:tc>
        <w:tc>
          <w:tcPr>
            <w:tcW w:w="0" w:type="auto"/>
            <w:gridSpan w:val="3"/>
            <w:vAlign w:val="center"/>
            <w:hideMark/>
          </w:tcPr>
          <w:p w14:paraId="070A2DB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87A49C" w14:textId="77777777" w:rsidR="00000000" w:rsidRDefault="00A173A8">
            <w:pPr>
              <w:spacing w:after="100"/>
              <w:rPr>
                <w:rFonts w:eastAsia="Times New Roman"/>
                <w:sz w:val="20"/>
                <w:szCs w:val="20"/>
              </w:rPr>
            </w:pPr>
          </w:p>
        </w:tc>
        <w:tc>
          <w:tcPr>
            <w:tcW w:w="0" w:type="auto"/>
            <w:gridSpan w:val="3"/>
            <w:vAlign w:val="center"/>
            <w:hideMark/>
          </w:tcPr>
          <w:p w14:paraId="6AC2CF2F" w14:textId="77777777" w:rsidR="00000000" w:rsidRDefault="00A173A8">
            <w:pPr>
              <w:spacing w:after="100"/>
              <w:rPr>
                <w:rFonts w:eastAsia="Times New Roman"/>
                <w:sz w:val="20"/>
                <w:szCs w:val="20"/>
              </w:rPr>
            </w:pPr>
          </w:p>
        </w:tc>
        <w:tc>
          <w:tcPr>
            <w:tcW w:w="0" w:type="auto"/>
            <w:gridSpan w:val="3"/>
            <w:vAlign w:val="center"/>
            <w:hideMark/>
          </w:tcPr>
          <w:p w14:paraId="4E932819" w14:textId="77777777" w:rsidR="00000000" w:rsidRDefault="00A173A8">
            <w:pPr>
              <w:spacing w:after="100"/>
              <w:rPr>
                <w:rFonts w:eastAsia="Times New Roman"/>
                <w:sz w:val="20"/>
                <w:szCs w:val="20"/>
              </w:rPr>
            </w:pPr>
          </w:p>
        </w:tc>
        <w:tc>
          <w:tcPr>
            <w:tcW w:w="0" w:type="auto"/>
            <w:gridSpan w:val="3"/>
            <w:vAlign w:val="center"/>
            <w:hideMark/>
          </w:tcPr>
          <w:p w14:paraId="7E7621BE" w14:textId="77777777" w:rsidR="00000000" w:rsidRDefault="00A173A8">
            <w:pPr>
              <w:spacing w:after="100"/>
              <w:rPr>
                <w:rFonts w:eastAsia="Times New Roman"/>
                <w:sz w:val="20"/>
                <w:szCs w:val="20"/>
              </w:rPr>
            </w:pPr>
          </w:p>
        </w:tc>
        <w:tc>
          <w:tcPr>
            <w:tcW w:w="0" w:type="auto"/>
            <w:gridSpan w:val="3"/>
            <w:vAlign w:val="center"/>
            <w:hideMark/>
          </w:tcPr>
          <w:p w14:paraId="14F96DFD"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FD2F0B" w14:textId="77777777" w:rsidR="00000000" w:rsidRDefault="00A173A8">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14:paraId="6F02924F" w14:textId="77777777" w:rsidR="00000000" w:rsidRDefault="00A173A8">
            <w:pPr>
              <w:spacing w:after="100"/>
              <w:jc w:val="right"/>
              <w:rPr>
                <w:rFonts w:eastAsia="Times New Roman"/>
              </w:rPr>
            </w:pPr>
          </w:p>
        </w:tc>
        <w:tc>
          <w:tcPr>
            <w:tcW w:w="0" w:type="auto"/>
            <w:gridSpan w:val="3"/>
            <w:vAlign w:val="center"/>
            <w:hideMark/>
          </w:tcPr>
          <w:p w14:paraId="50B3CE52" w14:textId="77777777" w:rsidR="00000000" w:rsidRDefault="00A173A8">
            <w:pPr>
              <w:spacing w:after="100"/>
              <w:jc w:val="right"/>
              <w:rPr>
                <w:rFonts w:eastAsia="Times New Roman"/>
                <w:sz w:val="20"/>
                <w:szCs w:val="20"/>
              </w:rPr>
            </w:pPr>
          </w:p>
        </w:tc>
        <w:tc>
          <w:tcPr>
            <w:tcW w:w="0" w:type="auto"/>
            <w:gridSpan w:val="2"/>
            <w:vAlign w:val="center"/>
            <w:hideMark/>
          </w:tcPr>
          <w:p w14:paraId="1CFEEFBD" w14:textId="77777777" w:rsidR="00000000" w:rsidRDefault="00A173A8">
            <w:pPr>
              <w:spacing w:after="100"/>
              <w:rPr>
                <w:rFonts w:eastAsia="Times New Roman"/>
                <w:sz w:val="20"/>
                <w:szCs w:val="20"/>
              </w:rPr>
            </w:pPr>
          </w:p>
        </w:tc>
      </w:tr>
      <w:tr w:rsidR="00000000" w14:paraId="283A9D86" w14:textId="77777777">
        <w:trPr>
          <w:divId w:val="1533881267"/>
        </w:trPr>
        <w:tc>
          <w:tcPr>
            <w:tcW w:w="0" w:type="auto"/>
            <w:gridSpan w:val="3"/>
            <w:shd w:val="clear" w:color="auto" w:fill="FFFFFF"/>
            <w:tcMar>
              <w:top w:w="30" w:type="dxa"/>
              <w:left w:w="20" w:type="dxa"/>
              <w:bottom w:w="30" w:type="dxa"/>
              <w:right w:w="20" w:type="dxa"/>
            </w:tcMar>
            <w:vAlign w:val="center"/>
            <w:hideMark/>
          </w:tcPr>
          <w:p w14:paraId="6022CFB7" w14:textId="77777777" w:rsidR="00000000" w:rsidRDefault="00A173A8">
            <w:pPr>
              <w:spacing w:after="100"/>
              <w:rPr>
                <w:rFonts w:eastAsia="Times New Roman"/>
              </w:rPr>
            </w:pPr>
            <w:r>
              <w:rPr>
                <w:rFonts w:eastAsia="Times New Roman"/>
                <w:color w:val="000000"/>
                <w:sz w:val="20"/>
                <w:szCs w:val="20"/>
              </w:rPr>
              <w:t>Common equity</w:t>
            </w:r>
          </w:p>
        </w:tc>
        <w:tc>
          <w:tcPr>
            <w:tcW w:w="0" w:type="auto"/>
            <w:vAlign w:val="center"/>
            <w:hideMark/>
          </w:tcPr>
          <w:p w14:paraId="3287890E" w14:textId="77777777" w:rsidR="00000000" w:rsidRDefault="00A173A8">
            <w:pPr>
              <w:spacing w:after="100"/>
              <w:rPr>
                <w:rFonts w:eastAsia="Times New Roman"/>
              </w:rPr>
            </w:pPr>
          </w:p>
        </w:tc>
        <w:tc>
          <w:tcPr>
            <w:tcW w:w="0" w:type="auto"/>
            <w:vAlign w:val="center"/>
            <w:hideMark/>
          </w:tcPr>
          <w:p w14:paraId="14A1B54E" w14:textId="77777777" w:rsidR="00000000" w:rsidRDefault="00A173A8">
            <w:pPr>
              <w:spacing w:after="100"/>
              <w:rPr>
                <w:rFonts w:eastAsia="Times New Roman"/>
                <w:sz w:val="20"/>
                <w:szCs w:val="20"/>
              </w:rPr>
            </w:pPr>
          </w:p>
        </w:tc>
        <w:tc>
          <w:tcPr>
            <w:tcW w:w="0" w:type="auto"/>
            <w:vAlign w:val="center"/>
            <w:hideMark/>
          </w:tcPr>
          <w:p w14:paraId="1AB5354C" w14:textId="77777777" w:rsidR="00000000" w:rsidRDefault="00A173A8">
            <w:pPr>
              <w:spacing w:after="100"/>
              <w:rPr>
                <w:rFonts w:eastAsia="Times New Roman"/>
                <w:sz w:val="20"/>
                <w:szCs w:val="20"/>
              </w:rPr>
            </w:pPr>
          </w:p>
        </w:tc>
        <w:tc>
          <w:tcPr>
            <w:tcW w:w="0" w:type="auto"/>
            <w:vAlign w:val="center"/>
            <w:hideMark/>
          </w:tcPr>
          <w:p w14:paraId="34CA74C9" w14:textId="77777777" w:rsidR="00000000" w:rsidRDefault="00A173A8">
            <w:pPr>
              <w:spacing w:after="100"/>
              <w:rPr>
                <w:rFonts w:eastAsia="Times New Roman"/>
                <w:sz w:val="20"/>
                <w:szCs w:val="20"/>
              </w:rPr>
            </w:pPr>
          </w:p>
        </w:tc>
        <w:tc>
          <w:tcPr>
            <w:tcW w:w="0" w:type="auto"/>
            <w:vAlign w:val="center"/>
            <w:hideMark/>
          </w:tcPr>
          <w:p w14:paraId="55EF0422" w14:textId="77777777" w:rsidR="00000000" w:rsidRDefault="00A173A8">
            <w:pPr>
              <w:spacing w:after="100"/>
              <w:rPr>
                <w:rFonts w:eastAsia="Times New Roman"/>
                <w:sz w:val="20"/>
                <w:szCs w:val="20"/>
              </w:rPr>
            </w:pPr>
          </w:p>
        </w:tc>
        <w:tc>
          <w:tcPr>
            <w:tcW w:w="0" w:type="auto"/>
            <w:vAlign w:val="center"/>
            <w:hideMark/>
          </w:tcPr>
          <w:p w14:paraId="4D7E604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4021B1"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5948FC" w14:textId="77777777" w:rsidR="00000000" w:rsidRDefault="00A173A8">
            <w:pPr>
              <w:spacing w:after="100"/>
              <w:jc w:val="right"/>
              <w:rPr>
                <w:rFonts w:eastAsia="Times New Roman"/>
              </w:rPr>
            </w:pPr>
            <w:r>
              <w:rPr>
                <w:rFonts w:eastAsia="Times New Roman"/>
                <w:b/>
                <w:bCs/>
                <w:color w:val="000000"/>
                <w:sz w:val="20"/>
                <w:szCs w:val="20"/>
              </w:rPr>
              <w:t>48,564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51C2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0FD8D"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7D2BE6C1" w14:textId="77777777" w:rsidR="00000000" w:rsidRDefault="00A173A8">
            <w:pPr>
              <w:spacing w:after="100"/>
              <w:jc w:val="right"/>
              <w:rPr>
                <w:rFonts w:eastAsia="Times New Roman"/>
              </w:rPr>
            </w:pPr>
            <w:r>
              <w:rPr>
                <w:rFonts w:eastAsia="Times New Roman"/>
                <w:color w:val="000000"/>
                <w:sz w:val="20"/>
                <w:szCs w:val="20"/>
              </w:rPr>
              <w:t>56,184</w:t>
            </w:r>
          </w:p>
        </w:tc>
        <w:tc>
          <w:tcPr>
            <w:tcW w:w="0" w:type="auto"/>
            <w:gridSpan w:val="3"/>
            <w:vAlign w:val="center"/>
            <w:hideMark/>
          </w:tcPr>
          <w:p w14:paraId="184086D5" w14:textId="77777777" w:rsidR="00000000" w:rsidRDefault="00A173A8">
            <w:pPr>
              <w:spacing w:after="100"/>
              <w:jc w:val="right"/>
              <w:rPr>
                <w:rFonts w:eastAsia="Times New Roman"/>
              </w:rPr>
            </w:pPr>
          </w:p>
        </w:tc>
        <w:tc>
          <w:tcPr>
            <w:tcW w:w="0" w:type="auto"/>
            <w:gridSpan w:val="3"/>
            <w:vAlign w:val="center"/>
            <w:hideMark/>
          </w:tcPr>
          <w:p w14:paraId="7E8151A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2636F4" w14:textId="77777777" w:rsidR="00000000" w:rsidRDefault="00A173A8">
            <w:pPr>
              <w:spacing w:after="100"/>
              <w:rPr>
                <w:rFonts w:eastAsia="Times New Roman"/>
                <w:sz w:val="20"/>
                <w:szCs w:val="20"/>
              </w:rPr>
            </w:pPr>
          </w:p>
        </w:tc>
        <w:tc>
          <w:tcPr>
            <w:tcW w:w="0" w:type="auto"/>
            <w:gridSpan w:val="3"/>
            <w:vAlign w:val="center"/>
            <w:hideMark/>
          </w:tcPr>
          <w:p w14:paraId="4F170CFA" w14:textId="77777777" w:rsidR="00000000" w:rsidRDefault="00A173A8">
            <w:pPr>
              <w:spacing w:after="100"/>
              <w:rPr>
                <w:rFonts w:eastAsia="Times New Roman"/>
                <w:sz w:val="20"/>
                <w:szCs w:val="20"/>
              </w:rPr>
            </w:pPr>
          </w:p>
        </w:tc>
        <w:tc>
          <w:tcPr>
            <w:tcW w:w="0" w:type="auto"/>
            <w:gridSpan w:val="3"/>
            <w:vAlign w:val="center"/>
            <w:hideMark/>
          </w:tcPr>
          <w:p w14:paraId="4259A099" w14:textId="77777777" w:rsidR="00000000" w:rsidRDefault="00A173A8">
            <w:pPr>
              <w:spacing w:after="100"/>
              <w:rPr>
                <w:rFonts w:eastAsia="Times New Roman"/>
                <w:sz w:val="20"/>
                <w:szCs w:val="20"/>
              </w:rPr>
            </w:pPr>
          </w:p>
        </w:tc>
        <w:tc>
          <w:tcPr>
            <w:tcW w:w="0" w:type="auto"/>
            <w:gridSpan w:val="3"/>
            <w:vAlign w:val="center"/>
            <w:hideMark/>
          </w:tcPr>
          <w:p w14:paraId="0372D5E4" w14:textId="77777777" w:rsidR="00000000" w:rsidRDefault="00A173A8">
            <w:pPr>
              <w:spacing w:after="100"/>
              <w:rPr>
                <w:rFonts w:eastAsia="Times New Roman"/>
                <w:sz w:val="20"/>
                <w:szCs w:val="20"/>
              </w:rPr>
            </w:pPr>
          </w:p>
        </w:tc>
        <w:tc>
          <w:tcPr>
            <w:tcW w:w="0" w:type="auto"/>
            <w:gridSpan w:val="3"/>
            <w:vAlign w:val="center"/>
            <w:hideMark/>
          </w:tcPr>
          <w:p w14:paraId="67844A2B"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1E3241" w14:textId="77777777" w:rsidR="00000000" w:rsidRDefault="00A173A8">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14:paraId="767AD142" w14:textId="77777777" w:rsidR="00000000" w:rsidRDefault="00A173A8">
            <w:pPr>
              <w:spacing w:after="100"/>
              <w:jc w:val="right"/>
              <w:rPr>
                <w:rFonts w:eastAsia="Times New Roman"/>
              </w:rPr>
            </w:pPr>
          </w:p>
        </w:tc>
        <w:tc>
          <w:tcPr>
            <w:tcW w:w="0" w:type="auto"/>
            <w:gridSpan w:val="3"/>
            <w:vAlign w:val="center"/>
            <w:hideMark/>
          </w:tcPr>
          <w:p w14:paraId="60BAD586" w14:textId="77777777" w:rsidR="00000000" w:rsidRDefault="00A173A8">
            <w:pPr>
              <w:spacing w:after="100"/>
              <w:jc w:val="right"/>
              <w:rPr>
                <w:rFonts w:eastAsia="Times New Roman"/>
                <w:sz w:val="20"/>
                <w:szCs w:val="20"/>
              </w:rPr>
            </w:pPr>
          </w:p>
        </w:tc>
        <w:tc>
          <w:tcPr>
            <w:tcW w:w="0" w:type="auto"/>
            <w:gridSpan w:val="2"/>
            <w:vAlign w:val="center"/>
            <w:hideMark/>
          </w:tcPr>
          <w:p w14:paraId="7A9E5BF4" w14:textId="77777777" w:rsidR="00000000" w:rsidRDefault="00A173A8">
            <w:pPr>
              <w:spacing w:after="100"/>
              <w:rPr>
                <w:rFonts w:eastAsia="Times New Roman"/>
                <w:sz w:val="20"/>
                <w:szCs w:val="20"/>
              </w:rPr>
            </w:pPr>
          </w:p>
        </w:tc>
      </w:tr>
      <w:tr w:rsidR="00000000" w14:paraId="22172FEC" w14:textId="77777777">
        <w:trPr>
          <w:divId w:val="1533881267"/>
        </w:trPr>
        <w:tc>
          <w:tcPr>
            <w:tcW w:w="0" w:type="auto"/>
            <w:gridSpan w:val="3"/>
            <w:shd w:val="clear" w:color="auto" w:fill="CCEEFF"/>
            <w:tcMar>
              <w:top w:w="30" w:type="dxa"/>
              <w:left w:w="20" w:type="dxa"/>
              <w:bottom w:w="30" w:type="dxa"/>
              <w:right w:w="20" w:type="dxa"/>
            </w:tcMar>
            <w:vAlign w:val="center"/>
            <w:hideMark/>
          </w:tcPr>
          <w:p w14:paraId="6BB9D726" w14:textId="77777777" w:rsidR="00000000" w:rsidRDefault="00A173A8">
            <w:pPr>
              <w:spacing w:after="100"/>
              <w:rPr>
                <w:rFonts w:eastAsia="Times New Roman"/>
              </w:rPr>
            </w:pPr>
            <w:r>
              <w:rPr>
                <w:rFonts w:eastAsia="Times New Roman"/>
                <w:color w:val="000000"/>
                <w:sz w:val="20"/>
                <w:szCs w:val="20"/>
              </w:rPr>
              <w:t>Total stockholders’ equity</w:t>
            </w:r>
          </w:p>
        </w:tc>
        <w:tc>
          <w:tcPr>
            <w:tcW w:w="0" w:type="auto"/>
            <w:vAlign w:val="center"/>
            <w:hideMark/>
          </w:tcPr>
          <w:p w14:paraId="537FB2DB" w14:textId="77777777" w:rsidR="00000000" w:rsidRDefault="00A173A8">
            <w:pPr>
              <w:spacing w:after="100"/>
              <w:rPr>
                <w:rFonts w:eastAsia="Times New Roman"/>
              </w:rPr>
            </w:pPr>
          </w:p>
        </w:tc>
        <w:tc>
          <w:tcPr>
            <w:tcW w:w="0" w:type="auto"/>
            <w:vAlign w:val="center"/>
            <w:hideMark/>
          </w:tcPr>
          <w:p w14:paraId="64FD64AE" w14:textId="77777777" w:rsidR="00000000" w:rsidRDefault="00A173A8">
            <w:pPr>
              <w:spacing w:after="100"/>
              <w:rPr>
                <w:rFonts w:eastAsia="Times New Roman"/>
                <w:sz w:val="20"/>
                <w:szCs w:val="20"/>
              </w:rPr>
            </w:pPr>
          </w:p>
        </w:tc>
        <w:tc>
          <w:tcPr>
            <w:tcW w:w="0" w:type="auto"/>
            <w:vAlign w:val="center"/>
            <w:hideMark/>
          </w:tcPr>
          <w:p w14:paraId="680C6158" w14:textId="77777777" w:rsidR="00000000" w:rsidRDefault="00A173A8">
            <w:pPr>
              <w:spacing w:after="100"/>
              <w:rPr>
                <w:rFonts w:eastAsia="Times New Roman"/>
                <w:sz w:val="20"/>
                <w:szCs w:val="20"/>
              </w:rPr>
            </w:pPr>
          </w:p>
        </w:tc>
        <w:tc>
          <w:tcPr>
            <w:tcW w:w="0" w:type="auto"/>
            <w:vAlign w:val="center"/>
            <w:hideMark/>
          </w:tcPr>
          <w:p w14:paraId="3DFF49A8" w14:textId="77777777" w:rsidR="00000000" w:rsidRDefault="00A173A8">
            <w:pPr>
              <w:spacing w:after="100"/>
              <w:rPr>
                <w:rFonts w:eastAsia="Times New Roman"/>
                <w:sz w:val="20"/>
                <w:szCs w:val="20"/>
              </w:rPr>
            </w:pPr>
          </w:p>
        </w:tc>
        <w:tc>
          <w:tcPr>
            <w:tcW w:w="0" w:type="auto"/>
            <w:vAlign w:val="center"/>
            <w:hideMark/>
          </w:tcPr>
          <w:p w14:paraId="05B97FF6" w14:textId="77777777" w:rsidR="00000000" w:rsidRDefault="00A173A8">
            <w:pPr>
              <w:spacing w:after="100"/>
              <w:rPr>
                <w:rFonts w:eastAsia="Times New Roman"/>
                <w:sz w:val="20"/>
                <w:szCs w:val="20"/>
              </w:rPr>
            </w:pPr>
          </w:p>
        </w:tc>
        <w:tc>
          <w:tcPr>
            <w:tcW w:w="0" w:type="auto"/>
            <w:vAlign w:val="center"/>
            <w:hideMark/>
          </w:tcPr>
          <w:p w14:paraId="386EB03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6C3D5A"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7A5EB8" w14:textId="77777777" w:rsidR="00000000" w:rsidRDefault="00A173A8">
            <w:pPr>
              <w:spacing w:after="100"/>
              <w:jc w:val="right"/>
              <w:rPr>
                <w:rFonts w:eastAsia="Times New Roman"/>
              </w:rPr>
            </w:pPr>
            <w:r>
              <w:rPr>
                <w:rFonts w:eastAsia="Times New Roman"/>
                <w:b/>
                <w:bCs/>
                <w:color w:val="000000"/>
                <w:sz w:val="20"/>
                <w:szCs w:val="20"/>
              </w:rPr>
              <w:t>53,410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90751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8A855"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698E8876" w14:textId="77777777" w:rsidR="00000000" w:rsidRDefault="00A173A8">
            <w:pPr>
              <w:spacing w:after="100"/>
              <w:jc w:val="right"/>
              <w:rPr>
                <w:rFonts w:eastAsia="Times New Roman"/>
              </w:rPr>
            </w:pPr>
            <w:r>
              <w:rPr>
                <w:rFonts w:eastAsia="Times New Roman"/>
                <w:color w:val="000000"/>
                <w:sz w:val="20"/>
                <w:szCs w:val="20"/>
              </w:rPr>
              <w:t>61,029</w:t>
            </w:r>
          </w:p>
        </w:tc>
        <w:tc>
          <w:tcPr>
            <w:tcW w:w="0" w:type="auto"/>
            <w:gridSpan w:val="3"/>
            <w:vAlign w:val="center"/>
            <w:hideMark/>
          </w:tcPr>
          <w:p w14:paraId="1C1610EE" w14:textId="77777777" w:rsidR="00000000" w:rsidRDefault="00A173A8">
            <w:pPr>
              <w:spacing w:after="100"/>
              <w:jc w:val="right"/>
              <w:rPr>
                <w:rFonts w:eastAsia="Times New Roman"/>
              </w:rPr>
            </w:pPr>
          </w:p>
        </w:tc>
        <w:tc>
          <w:tcPr>
            <w:tcW w:w="0" w:type="auto"/>
            <w:gridSpan w:val="3"/>
            <w:vAlign w:val="center"/>
            <w:hideMark/>
          </w:tcPr>
          <w:p w14:paraId="159429D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1508F8" w14:textId="77777777" w:rsidR="00000000" w:rsidRDefault="00A173A8">
            <w:pPr>
              <w:spacing w:after="100"/>
              <w:rPr>
                <w:rFonts w:eastAsia="Times New Roman"/>
                <w:sz w:val="20"/>
                <w:szCs w:val="20"/>
              </w:rPr>
            </w:pPr>
          </w:p>
        </w:tc>
        <w:tc>
          <w:tcPr>
            <w:tcW w:w="0" w:type="auto"/>
            <w:gridSpan w:val="3"/>
            <w:vAlign w:val="center"/>
            <w:hideMark/>
          </w:tcPr>
          <w:p w14:paraId="72060E52" w14:textId="77777777" w:rsidR="00000000" w:rsidRDefault="00A173A8">
            <w:pPr>
              <w:spacing w:after="100"/>
              <w:rPr>
                <w:rFonts w:eastAsia="Times New Roman"/>
                <w:sz w:val="20"/>
                <w:szCs w:val="20"/>
              </w:rPr>
            </w:pPr>
          </w:p>
        </w:tc>
        <w:tc>
          <w:tcPr>
            <w:tcW w:w="0" w:type="auto"/>
            <w:gridSpan w:val="3"/>
            <w:vAlign w:val="center"/>
            <w:hideMark/>
          </w:tcPr>
          <w:p w14:paraId="6D606648" w14:textId="77777777" w:rsidR="00000000" w:rsidRDefault="00A173A8">
            <w:pPr>
              <w:spacing w:after="100"/>
              <w:rPr>
                <w:rFonts w:eastAsia="Times New Roman"/>
                <w:sz w:val="20"/>
                <w:szCs w:val="20"/>
              </w:rPr>
            </w:pPr>
          </w:p>
        </w:tc>
        <w:tc>
          <w:tcPr>
            <w:tcW w:w="0" w:type="auto"/>
            <w:gridSpan w:val="3"/>
            <w:vAlign w:val="center"/>
            <w:hideMark/>
          </w:tcPr>
          <w:p w14:paraId="2640DA29" w14:textId="77777777" w:rsidR="00000000" w:rsidRDefault="00A173A8">
            <w:pPr>
              <w:spacing w:after="100"/>
              <w:rPr>
                <w:rFonts w:eastAsia="Times New Roman"/>
                <w:sz w:val="20"/>
                <w:szCs w:val="20"/>
              </w:rPr>
            </w:pPr>
          </w:p>
        </w:tc>
        <w:tc>
          <w:tcPr>
            <w:tcW w:w="0" w:type="auto"/>
            <w:gridSpan w:val="3"/>
            <w:vAlign w:val="center"/>
            <w:hideMark/>
          </w:tcPr>
          <w:p w14:paraId="20FE1011"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BB265B" w14:textId="77777777" w:rsidR="00000000" w:rsidRDefault="00A173A8">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1FBB4428" w14:textId="77777777" w:rsidR="00000000" w:rsidRDefault="00A173A8">
            <w:pPr>
              <w:spacing w:after="100"/>
              <w:jc w:val="right"/>
              <w:rPr>
                <w:rFonts w:eastAsia="Times New Roman"/>
              </w:rPr>
            </w:pPr>
          </w:p>
        </w:tc>
        <w:tc>
          <w:tcPr>
            <w:tcW w:w="0" w:type="auto"/>
            <w:gridSpan w:val="3"/>
            <w:vAlign w:val="center"/>
            <w:hideMark/>
          </w:tcPr>
          <w:p w14:paraId="6E3276DD" w14:textId="77777777" w:rsidR="00000000" w:rsidRDefault="00A173A8">
            <w:pPr>
              <w:spacing w:after="100"/>
              <w:jc w:val="right"/>
              <w:rPr>
                <w:rFonts w:eastAsia="Times New Roman"/>
                <w:sz w:val="20"/>
                <w:szCs w:val="20"/>
              </w:rPr>
            </w:pPr>
          </w:p>
        </w:tc>
        <w:tc>
          <w:tcPr>
            <w:tcW w:w="0" w:type="auto"/>
            <w:gridSpan w:val="2"/>
            <w:vAlign w:val="center"/>
            <w:hideMark/>
          </w:tcPr>
          <w:p w14:paraId="2106EF4D" w14:textId="77777777" w:rsidR="00000000" w:rsidRDefault="00A173A8">
            <w:pPr>
              <w:spacing w:after="100"/>
              <w:rPr>
                <w:rFonts w:eastAsia="Times New Roman"/>
                <w:sz w:val="20"/>
                <w:szCs w:val="20"/>
              </w:rPr>
            </w:pPr>
          </w:p>
        </w:tc>
      </w:tr>
      <w:tr w:rsidR="00000000" w14:paraId="07B65706" w14:textId="77777777">
        <w:trPr>
          <w:divId w:val="1533881267"/>
        </w:trPr>
        <w:tc>
          <w:tcPr>
            <w:tcW w:w="0" w:type="auto"/>
            <w:gridSpan w:val="3"/>
            <w:shd w:val="clear" w:color="auto" w:fill="FFFFFF"/>
            <w:tcMar>
              <w:top w:w="30" w:type="dxa"/>
              <w:left w:w="20" w:type="dxa"/>
              <w:bottom w:w="30" w:type="dxa"/>
              <w:right w:w="20" w:type="dxa"/>
            </w:tcMar>
            <w:vAlign w:val="center"/>
            <w:hideMark/>
          </w:tcPr>
          <w:p w14:paraId="6E962721" w14:textId="77777777" w:rsidR="00000000" w:rsidRDefault="00A173A8">
            <w:pPr>
              <w:spacing w:after="100"/>
              <w:rPr>
                <w:rFonts w:eastAsia="Times New Roman"/>
              </w:rPr>
            </w:pPr>
            <w:r>
              <w:rPr>
                <w:rFonts w:eastAsia="Times New Roman"/>
                <w:b/>
                <w:bCs/>
                <w:color w:val="000000"/>
                <w:sz w:val="20"/>
                <w:szCs w:val="20"/>
              </w:rPr>
              <w:t>Credit quality metrics</w:t>
            </w:r>
          </w:p>
        </w:tc>
        <w:tc>
          <w:tcPr>
            <w:tcW w:w="0" w:type="auto"/>
            <w:vAlign w:val="center"/>
            <w:hideMark/>
          </w:tcPr>
          <w:p w14:paraId="11681840" w14:textId="77777777" w:rsidR="00000000" w:rsidRDefault="00A173A8">
            <w:pPr>
              <w:spacing w:after="100"/>
              <w:rPr>
                <w:rFonts w:eastAsia="Times New Roman"/>
              </w:rPr>
            </w:pPr>
          </w:p>
        </w:tc>
        <w:tc>
          <w:tcPr>
            <w:tcW w:w="0" w:type="auto"/>
            <w:vAlign w:val="center"/>
            <w:hideMark/>
          </w:tcPr>
          <w:p w14:paraId="6176FB15" w14:textId="77777777" w:rsidR="00000000" w:rsidRDefault="00A173A8">
            <w:pPr>
              <w:spacing w:after="100"/>
              <w:rPr>
                <w:rFonts w:eastAsia="Times New Roman"/>
                <w:sz w:val="20"/>
                <w:szCs w:val="20"/>
              </w:rPr>
            </w:pPr>
          </w:p>
        </w:tc>
        <w:tc>
          <w:tcPr>
            <w:tcW w:w="0" w:type="auto"/>
            <w:vAlign w:val="center"/>
            <w:hideMark/>
          </w:tcPr>
          <w:p w14:paraId="2C8B386F" w14:textId="77777777" w:rsidR="00000000" w:rsidRDefault="00A173A8">
            <w:pPr>
              <w:spacing w:after="100"/>
              <w:rPr>
                <w:rFonts w:eastAsia="Times New Roman"/>
                <w:sz w:val="20"/>
                <w:szCs w:val="20"/>
              </w:rPr>
            </w:pPr>
          </w:p>
        </w:tc>
        <w:tc>
          <w:tcPr>
            <w:tcW w:w="0" w:type="auto"/>
            <w:vAlign w:val="center"/>
            <w:hideMark/>
          </w:tcPr>
          <w:p w14:paraId="7400D210" w14:textId="77777777" w:rsidR="00000000" w:rsidRDefault="00A173A8">
            <w:pPr>
              <w:spacing w:after="100"/>
              <w:rPr>
                <w:rFonts w:eastAsia="Times New Roman"/>
                <w:sz w:val="20"/>
                <w:szCs w:val="20"/>
              </w:rPr>
            </w:pPr>
          </w:p>
        </w:tc>
        <w:tc>
          <w:tcPr>
            <w:tcW w:w="0" w:type="auto"/>
            <w:vAlign w:val="center"/>
            <w:hideMark/>
          </w:tcPr>
          <w:p w14:paraId="5E87A48D" w14:textId="77777777" w:rsidR="00000000" w:rsidRDefault="00A173A8">
            <w:pPr>
              <w:spacing w:after="100"/>
              <w:rPr>
                <w:rFonts w:eastAsia="Times New Roman"/>
                <w:sz w:val="20"/>
                <w:szCs w:val="20"/>
              </w:rPr>
            </w:pPr>
          </w:p>
        </w:tc>
        <w:tc>
          <w:tcPr>
            <w:tcW w:w="0" w:type="auto"/>
            <w:vAlign w:val="center"/>
            <w:hideMark/>
          </w:tcPr>
          <w:p w14:paraId="14C08F1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3D2A7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93B06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E486E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188AC2" w14:textId="77777777" w:rsidR="00000000" w:rsidRDefault="00A173A8">
            <w:pPr>
              <w:spacing w:after="100"/>
              <w:rPr>
                <w:rFonts w:eastAsia="Times New Roman"/>
                <w:sz w:val="20"/>
                <w:szCs w:val="20"/>
              </w:rPr>
            </w:pPr>
          </w:p>
        </w:tc>
        <w:tc>
          <w:tcPr>
            <w:tcW w:w="0" w:type="auto"/>
            <w:gridSpan w:val="3"/>
            <w:vAlign w:val="center"/>
            <w:hideMark/>
          </w:tcPr>
          <w:p w14:paraId="499026D1" w14:textId="77777777" w:rsidR="00000000" w:rsidRDefault="00A173A8">
            <w:pPr>
              <w:spacing w:after="100"/>
              <w:rPr>
                <w:rFonts w:eastAsia="Times New Roman"/>
                <w:sz w:val="20"/>
                <w:szCs w:val="20"/>
              </w:rPr>
            </w:pPr>
          </w:p>
        </w:tc>
        <w:tc>
          <w:tcPr>
            <w:tcW w:w="0" w:type="auto"/>
            <w:gridSpan w:val="3"/>
            <w:vAlign w:val="center"/>
            <w:hideMark/>
          </w:tcPr>
          <w:p w14:paraId="3A2E00F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E79976" w14:textId="77777777" w:rsidR="00000000" w:rsidRDefault="00A173A8">
            <w:pPr>
              <w:spacing w:after="100"/>
              <w:rPr>
                <w:rFonts w:eastAsia="Times New Roman"/>
                <w:sz w:val="20"/>
                <w:szCs w:val="20"/>
              </w:rPr>
            </w:pPr>
          </w:p>
        </w:tc>
        <w:tc>
          <w:tcPr>
            <w:tcW w:w="0" w:type="auto"/>
            <w:gridSpan w:val="3"/>
            <w:vAlign w:val="center"/>
            <w:hideMark/>
          </w:tcPr>
          <w:p w14:paraId="7CF71144" w14:textId="77777777" w:rsidR="00000000" w:rsidRDefault="00A173A8">
            <w:pPr>
              <w:spacing w:after="100"/>
              <w:rPr>
                <w:rFonts w:eastAsia="Times New Roman"/>
                <w:sz w:val="20"/>
                <w:szCs w:val="20"/>
              </w:rPr>
            </w:pPr>
          </w:p>
        </w:tc>
        <w:tc>
          <w:tcPr>
            <w:tcW w:w="0" w:type="auto"/>
            <w:gridSpan w:val="3"/>
            <w:vAlign w:val="center"/>
            <w:hideMark/>
          </w:tcPr>
          <w:p w14:paraId="2D5E4FE5" w14:textId="77777777" w:rsidR="00000000" w:rsidRDefault="00A173A8">
            <w:pPr>
              <w:spacing w:after="100"/>
              <w:rPr>
                <w:rFonts w:eastAsia="Times New Roman"/>
                <w:sz w:val="20"/>
                <w:szCs w:val="20"/>
              </w:rPr>
            </w:pPr>
          </w:p>
        </w:tc>
        <w:tc>
          <w:tcPr>
            <w:tcW w:w="0" w:type="auto"/>
            <w:gridSpan w:val="3"/>
            <w:vAlign w:val="center"/>
            <w:hideMark/>
          </w:tcPr>
          <w:p w14:paraId="162BD724" w14:textId="77777777" w:rsidR="00000000" w:rsidRDefault="00A173A8">
            <w:pPr>
              <w:spacing w:after="100"/>
              <w:rPr>
                <w:rFonts w:eastAsia="Times New Roman"/>
                <w:sz w:val="20"/>
                <w:szCs w:val="20"/>
              </w:rPr>
            </w:pPr>
          </w:p>
        </w:tc>
        <w:tc>
          <w:tcPr>
            <w:tcW w:w="0" w:type="auto"/>
            <w:gridSpan w:val="3"/>
            <w:vAlign w:val="center"/>
            <w:hideMark/>
          </w:tcPr>
          <w:p w14:paraId="2AE9367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DBBB37" w14:textId="77777777" w:rsidR="00000000" w:rsidRDefault="00A173A8">
            <w:pPr>
              <w:spacing w:after="100"/>
              <w:rPr>
                <w:rFonts w:eastAsia="Times New Roman"/>
                <w:sz w:val="20"/>
                <w:szCs w:val="20"/>
              </w:rPr>
            </w:pPr>
          </w:p>
        </w:tc>
        <w:tc>
          <w:tcPr>
            <w:tcW w:w="0" w:type="auto"/>
            <w:gridSpan w:val="3"/>
            <w:vAlign w:val="center"/>
            <w:hideMark/>
          </w:tcPr>
          <w:p w14:paraId="3BA9FF1A" w14:textId="77777777" w:rsidR="00000000" w:rsidRDefault="00A173A8">
            <w:pPr>
              <w:spacing w:after="100"/>
              <w:rPr>
                <w:rFonts w:eastAsia="Times New Roman"/>
                <w:sz w:val="20"/>
                <w:szCs w:val="20"/>
              </w:rPr>
            </w:pPr>
          </w:p>
        </w:tc>
        <w:tc>
          <w:tcPr>
            <w:tcW w:w="0" w:type="auto"/>
            <w:gridSpan w:val="2"/>
            <w:vAlign w:val="center"/>
            <w:hideMark/>
          </w:tcPr>
          <w:p w14:paraId="03AC6549" w14:textId="77777777" w:rsidR="00000000" w:rsidRDefault="00A173A8">
            <w:pPr>
              <w:spacing w:after="100"/>
              <w:rPr>
                <w:rFonts w:eastAsia="Times New Roman"/>
                <w:sz w:val="20"/>
                <w:szCs w:val="20"/>
              </w:rPr>
            </w:pPr>
          </w:p>
        </w:tc>
      </w:tr>
      <w:tr w:rsidR="00000000" w14:paraId="467583EA" w14:textId="77777777">
        <w:trPr>
          <w:divId w:val="1533881267"/>
        </w:trPr>
        <w:tc>
          <w:tcPr>
            <w:tcW w:w="0" w:type="auto"/>
            <w:gridSpan w:val="3"/>
            <w:shd w:val="clear" w:color="auto" w:fill="CCEEFF"/>
            <w:tcMar>
              <w:top w:w="30" w:type="dxa"/>
              <w:left w:w="20" w:type="dxa"/>
              <w:bottom w:w="30" w:type="dxa"/>
              <w:right w:w="20" w:type="dxa"/>
            </w:tcMar>
            <w:vAlign w:val="center"/>
            <w:hideMark/>
          </w:tcPr>
          <w:p w14:paraId="793528D0" w14:textId="77777777" w:rsidR="00000000" w:rsidRDefault="00A173A8">
            <w:pPr>
              <w:spacing w:after="100"/>
              <w:rPr>
                <w:rFonts w:eastAsia="Times New Roman"/>
              </w:rPr>
            </w:pPr>
            <w:r>
              <w:rPr>
                <w:rFonts w:eastAsia="Times New Roman"/>
                <w:color w:val="000000"/>
                <w:sz w:val="20"/>
                <w:szCs w:val="20"/>
              </w:rPr>
              <w:t>Allowance for credit losses</w:t>
            </w:r>
          </w:p>
        </w:tc>
        <w:tc>
          <w:tcPr>
            <w:tcW w:w="0" w:type="auto"/>
            <w:vAlign w:val="center"/>
            <w:hideMark/>
          </w:tcPr>
          <w:p w14:paraId="076BB724" w14:textId="77777777" w:rsidR="00000000" w:rsidRDefault="00A173A8">
            <w:pPr>
              <w:spacing w:after="100"/>
              <w:rPr>
                <w:rFonts w:eastAsia="Times New Roman"/>
              </w:rPr>
            </w:pPr>
          </w:p>
        </w:tc>
        <w:tc>
          <w:tcPr>
            <w:tcW w:w="0" w:type="auto"/>
            <w:vAlign w:val="center"/>
            <w:hideMark/>
          </w:tcPr>
          <w:p w14:paraId="4A5D920E" w14:textId="77777777" w:rsidR="00000000" w:rsidRDefault="00A173A8">
            <w:pPr>
              <w:spacing w:after="100"/>
              <w:rPr>
                <w:rFonts w:eastAsia="Times New Roman"/>
                <w:sz w:val="20"/>
                <w:szCs w:val="20"/>
              </w:rPr>
            </w:pPr>
          </w:p>
        </w:tc>
        <w:tc>
          <w:tcPr>
            <w:tcW w:w="0" w:type="auto"/>
            <w:vAlign w:val="center"/>
            <w:hideMark/>
          </w:tcPr>
          <w:p w14:paraId="02B902D9" w14:textId="77777777" w:rsidR="00000000" w:rsidRDefault="00A173A8">
            <w:pPr>
              <w:spacing w:after="100"/>
              <w:rPr>
                <w:rFonts w:eastAsia="Times New Roman"/>
                <w:sz w:val="20"/>
                <w:szCs w:val="20"/>
              </w:rPr>
            </w:pPr>
          </w:p>
        </w:tc>
        <w:tc>
          <w:tcPr>
            <w:tcW w:w="0" w:type="auto"/>
            <w:vAlign w:val="center"/>
            <w:hideMark/>
          </w:tcPr>
          <w:p w14:paraId="0EAEF78E" w14:textId="77777777" w:rsidR="00000000" w:rsidRDefault="00A173A8">
            <w:pPr>
              <w:spacing w:after="100"/>
              <w:rPr>
                <w:rFonts w:eastAsia="Times New Roman"/>
                <w:sz w:val="20"/>
                <w:szCs w:val="20"/>
              </w:rPr>
            </w:pPr>
          </w:p>
        </w:tc>
        <w:tc>
          <w:tcPr>
            <w:tcW w:w="0" w:type="auto"/>
            <w:vAlign w:val="center"/>
            <w:hideMark/>
          </w:tcPr>
          <w:p w14:paraId="695BC952" w14:textId="77777777" w:rsidR="00000000" w:rsidRDefault="00A173A8">
            <w:pPr>
              <w:spacing w:after="100"/>
              <w:rPr>
                <w:rFonts w:eastAsia="Times New Roman"/>
                <w:sz w:val="20"/>
                <w:szCs w:val="20"/>
              </w:rPr>
            </w:pPr>
          </w:p>
        </w:tc>
        <w:tc>
          <w:tcPr>
            <w:tcW w:w="0" w:type="auto"/>
            <w:vAlign w:val="center"/>
            <w:hideMark/>
          </w:tcPr>
          <w:p w14:paraId="01472B4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5315A3" w14:textId="77777777" w:rsidR="00000000" w:rsidRDefault="00A173A8">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71CA75"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14:paraId="7070D157" w14:textId="77777777" w:rsidR="00000000" w:rsidRDefault="00A173A8">
            <w:pPr>
              <w:spacing w:after="100"/>
              <w:jc w:val="right"/>
              <w:rPr>
                <w:rFonts w:eastAsia="Times New Roman"/>
              </w:rPr>
            </w:pPr>
            <w:r>
              <w:rPr>
                <w:rFonts w:eastAsia="Times New Roman"/>
                <w:b/>
                <w:bCs/>
                <w:color w:val="000000"/>
                <w:sz w:val="20"/>
                <w:szCs w:val="20"/>
              </w:rPr>
              <w:t>11,491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31BEF3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B5E215"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AF212F"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E98F4F2" w14:textId="77777777" w:rsidR="00000000" w:rsidRDefault="00A173A8">
            <w:pPr>
              <w:spacing w:after="100"/>
              <w:jc w:val="right"/>
              <w:rPr>
                <w:rFonts w:eastAsia="Times New Roman"/>
              </w:rPr>
            </w:pPr>
            <w:r>
              <w:rPr>
                <w:rFonts w:eastAsia="Times New Roman"/>
                <w:color w:val="000000"/>
                <w:sz w:val="20"/>
                <w:szCs w:val="20"/>
              </w:rPr>
              <w:t>11,430</w:t>
            </w:r>
          </w:p>
        </w:tc>
        <w:tc>
          <w:tcPr>
            <w:tcW w:w="0" w:type="auto"/>
            <w:gridSpan w:val="3"/>
            <w:vAlign w:val="center"/>
            <w:hideMark/>
          </w:tcPr>
          <w:p w14:paraId="2CF9BED5" w14:textId="77777777" w:rsidR="00000000" w:rsidRDefault="00A173A8">
            <w:pPr>
              <w:spacing w:after="100"/>
              <w:jc w:val="right"/>
              <w:rPr>
                <w:rFonts w:eastAsia="Times New Roman"/>
              </w:rPr>
            </w:pPr>
          </w:p>
        </w:tc>
        <w:tc>
          <w:tcPr>
            <w:tcW w:w="0" w:type="auto"/>
            <w:gridSpan w:val="3"/>
            <w:vAlign w:val="center"/>
            <w:hideMark/>
          </w:tcPr>
          <w:p w14:paraId="041ABFD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3E08AD" w14:textId="77777777" w:rsidR="00000000" w:rsidRDefault="00A173A8">
            <w:pPr>
              <w:spacing w:after="100"/>
              <w:rPr>
                <w:rFonts w:eastAsia="Times New Roman"/>
                <w:sz w:val="20"/>
                <w:szCs w:val="20"/>
              </w:rPr>
            </w:pPr>
          </w:p>
        </w:tc>
        <w:tc>
          <w:tcPr>
            <w:tcW w:w="0" w:type="auto"/>
            <w:gridSpan w:val="3"/>
            <w:vAlign w:val="center"/>
            <w:hideMark/>
          </w:tcPr>
          <w:p w14:paraId="13DF9477" w14:textId="77777777" w:rsidR="00000000" w:rsidRDefault="00A173A8">
            <w:pPr>
              <w:spacing w:after="100"/>
              <w:rPr>
                <w:rFonts w:eastAsia="Times New Roman"/>
                <w:sz w:val="20"/>
                <w:szCs w:val="20"/>
              </w:rPr>
            </w:pPr>
          </w:p>
        </w:tc>
        <w:tc>
          <w:tcPr>
            <w:tcW w:w="0" w:type="auto"/>
            <w:gridSpan w:val="3"/>
            <w:vAlign w:val="center"/>
            <w:hideMark/>
          </w:tcPr>
          <w:p w14:paraId="034F54E1" w14:textId="77777777" w:rsidR="00000000" w:rsidRDefault="00A173A8">
            <w:pPr>
              <w:spacing w:after="100"/>
              <w:rPr>
                <w:rFonts w:eastAsia="Times New Roman"/>
                <w:sz w:val="20"/>
                <w:szCs w:val="20"/>
              </w:rPr>
            </w:pPr>
          </w:p>
        </w:tc>
        <w:tc>
          <w:tcPr>
            <w:tcW w:w="0" w:type="auto"/>
            <w:gridSpan w:val="3"/>
            <w:vAlign w:val="center"/>
            <w:hideMark/>
          </w:tcPr>
          <w:p w14:paraId="1577DF55" w14:textId="77777777" w:rsidR="00000000" w:rsidRDefault="00A173A8">
            <w:pPr>
              <w:spacing w:after="100"/>
              <w:rPr>
                <w:rFonts w:eastAsia="Times New Roman"/>
                <w:sz w:val="20"/>
                <w:szCs w:val="20"/>
              </w:rPr>
            </w:pPr>
          </w:p>
        </w:tc>
        <w:tc>
          <w:tcPr>
            <w:tcW w:w="0" w:type="auto"/>
            <w:gridSpan w:val="3"/>
            <w:vAlign w:val="center"/>
            <w:hideMark/>
          </w:tcPr>
          <w:p w14:paraId="32BF7E13"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54603D" w14:textId="77777777" w:rsidR="00000000" w:rsidRDefault="00A173A8">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AFCECFB" w14:textId="77777777" w:rsidR="00000000" w:rsidRDefault="00A173A8">
            <w:pPr>
              <w:spacing w:after="100"/>
              <w:rPr>
                <w:rFonts w:eastAsia="Times New Roman"/>
              </w:rPr>
            </w:pPr>
            <w:r>
              <w:rPr>
                <w:rFonts w:eastAsia="Times New Roman"/>
                <w:color w:val="000000"/>
                <w:sz w:val="20"/>
                <w:szCs w:val="20"/>
              </w:rPr>
              <w:t>%</w:t>
            </w:r>
          </w:p>
        </w:tc>
        <w:tc>
          <w:tcPr>
            <w:tcW w:w="0" w:type="auto"/>
            <w:gridSpan w:val="3"/>
            <w:vAlign w:val="center"/>
            <w:hideMark/>
          </w:tcPr>
          <w:p w14:paraId="541C5DE1" w14:textId="77777777" w:rsidR="00000000" w:rsidRDefault="00A173A8">
            <w:pPr>
              <w:spacing w:after="100"/>
              <w:rPr>
                <w:rFonts w:eastAsia="Times New Roman"/>
              </w:rPr>
            </w:pPr>
          </w:p>
        </w:tc>
        <w:tc>
          <w:tcPr>
            <w:tcW w:w="0" w:type="auto"/>
            <w:gridSpan w:val="2"/>
            <w:vAlign w:val="center"/>
            <w:hideMark/>
          </w:tcPr>
          <w:p w14:paraId="5F4A74F3" w14:textId="77777777" w:rsidR="00000000" w:rsidRDefault="00A173A8">
            <w:pPr>
              <w:spacing w:after="100"/>
              <w:rPr>
                <w:rFonts w:eastAsia="Times New Roman"/>
                <w:sz w:val="20"/>
                <w:szCs w:val="20"/>
              </w:rPr>
            </w:pPr>
          </w:p>
        </w:tc>
      </w:tr>
      <w:tr w:rsidR="00000000" w14:paraId="454028A0" w14:textId="77777777">
        <w:trPr>
          <w:divId w:val="1533881267"/>
        </w:trPr>
        <w:tc>
          <w:tcPr>
            <w:tcW w:w="0" w:type="auto"/>
            <w:gridSpan w:val="3"/>
            <w:shd w:val="clear" w:color="auto" w:fill="FFFFFF"/>
            <w:tcMar>
              <w:top w:w="30" w:type="dxa"/>
              <w:left w:w="20" w:type="dxa"/>
              <w:bottom w:w="30" w:type="dxa"/>
              <w:right w:w="20" w:type="dxa"/>
            </w:tcMar>
            <w:vAlign w:val="center"/>
            <w:hideMark/>
          </w:tcPr>
          <w:p w14:paraId="25528898" w14:textId="77777777" w:rsidR="00000000" w:rsidRDefault="00A173A8">
            <w:pPr>
              <w:spacing w:after="100"/>
              <w:rPr>
                <w:rFonts w:eastAsia="Times New Roman"/>
              </w:rPr>
            </w:pPr>
            <w:r>
              <w:rPr>
                <w:rFonts w:eastAsia="Times New Roman"/>
                <w:color w:val="000000"/>
                <w:sz w:val="20"/>
                <w:szCs w:val="20"/>
              </w:rPr>
              <w:t>Allowance as a percentage of loans held for investment (“allowance coverage ratio”)</w:t>
            </w:r>
          </w:p>
        </w:tc>
        <w:tc>
          <w:tcPr>
            <w:tcW w:w="0" w:type="auto"/>
            <w:vAlign w:val="center"/>
            <w:hideMark/>
          </w:tcPr>
          <w:p w14:paraId="6A4EE7DD" w14:textId="77777777" w:rsidR="00000000" w:rsidRDefault="00A173A8">
            <w:pPr>
              <w:spacing w:after="100"/>
              <w:rPr>
                <w:rFonts w:eastAsia="Times New Roman"/>
              </w:rPr>
            </w:pPr>
          </w:p>
        </w:tc>
        <w:tc>
          <w:tcPr>
            <w:tcW w:w="0" w:type="auto"/>
            <w:vAlign w:val="center"/>
            <w:hideMark/>
          </w:tcPr>
          <w:p w14:paraId="7021EF69" w14:textId="77777777" w:rsidR="00000000" w:rsidRDefault="00A173A8">
            <w:pPr>
              <w:spacing w:after="100"/>
              <w:rPr>
                <w:rFonts w:eastAsia="Times New Roman"/>
                <w:sz w:val="20"/>
                <w:szCs w:val="20"/>
              </w:rPr>
            </w:pPr>
          </w:p>
        </w:tc>
        <w:tc>
          <w:tcPr>
            <w:tcW w:w="0" w:type="auto"/>
            <w:vAlign w:val="center"/>
            <w:hideMark/>
          </w:tcPr>
          <w:p w14:paraId="60EA7F16" w14:textId="77777777" w:rsidR="00000000" w:rsidRDefault="00A173A8">
            <w:pPr>
              <w:spacing w:after="100"/>
              <w:rPr>
                <w:rFonts w:eastAsia="Times New Roman"/>
                <w:sz w:val="20"/>
                <w:szCs w:val="20"/>
              </w:rPr>
            </w:pPr>
          </w:p>
        </w:tc>
        <w:tc>
          <w:tcPr>
            <w:tcW w:w="0" w:type="auto"/>
            <w:vAlign w:val="center"/>
            <w:hideMark/>
          </w:tcPr>
          <w:p w14:paraId="1F1A5738" w14:textId="77777777" w:rsidR="00000000" w:rsidRDefault="00A173A8">
            <w:pPr>
              <w:spacing w:after="100"/>
              <w:rPr>
                <w:rFonts w:eastAsia="Times New Roman"/>
                <w:sz w:val="20"/>
                <w:szCs w:val="20"/>
              </w:rPr>
            </w:pPr>
          </w:p>
        </w:tc>
        <w:tc>
          <w:tcPr>
            <w:tcW w:w="0" w:type="auto"/>
            <w:vAlign w:val="center"/>
            <w:hideMark/>
          </w:tcPr>
          <w:p w14:paraId="5090CC38" w14:textId="77777777" w:rsidR="00000000" w:rsidRDefault="00A173A8">
            <w:pPr>
              <w:spacing w:after="100"/>
              <w:rPr>
                <w:rFonts w:eastAsia="Times New Roman"/>
                <w:sz w:val="20"/>
                <w:szCs w:val="20"/>
              </w:rPr>
            </w:pPr>
          </w:p>
        </w:tc>
        <w:tc>
          <w:tcPr>
            <w:tcW w:w="0" w:type="auto"/>
            <w:vAlign w:val="center"/>
            <w:hideMark/>
          </w:tcPr>
          <w:p w14:paraId="5DF7681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6236B0"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D8FE71" w14:textId="77777777" w:rsidR="00000000" w:rsidRDefault="00A173A8">
            <w:pPr>
              <w:spacing w:after="100"/>
              <w:jc w:val="right"/>
              <w:rPr>
                <w:rFonts w:eastAsia="Times New Roman"/>
              </w:rPr>
            </w:pPr>
            <w:r>
              <w:rPr>
                <w:rFonts w:eastAsia="Times New Roman"/>
                <w:b/>
                <w:bCs/>
                <w:color w:val="000000"/>
                <w:sz w:val="20"/>
                <w:szCs w:val="20"/>
              </w:rPr>
              <w:t>3.88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A5FC4E"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2CD329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519FD01" w14:textId="77777777" w:rsidR="00000000" w:rsidRDefault="00A173A8">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bottom"/>
            <w:hideMark/>
          </w:tcPr>
          <w:p w14:paraId="110BF3D8" w14:textId="77777777" w:rsidR="00000000" w:rsidRDefault="00A173A8">
            <w:pPr>
              <w:spacing w:after="100"/>
              <w:rPr>
                <w:rFonts w:eastAsia="Times New Roman"/>
              </w:rPr>
            </w:pPr>
            <w:r>
              <w:rPr>
                <w:rFonts w:eastAsia="Times New Roman"/>
                <w:color w:val="000000"/>
                <w:sz w:val="20"/>
                <w:szCs w:val="20"/>
              </w:rPr>
              <w:t>%</w:t>
            </w:r>
          </w:p>
        </w:tc>
        <w:tc>
          <w:tcPr>
            <w:tcW w:w="0" w:type="auto"/>
            <w:gridSpan w:val="3"/>
            <w:vAlign w:val="center"/>
            <w:hideMark/>
          </w:tcPr>
          <w:p w14:paraId="12966F34" w14:textId="77777777" w:rsidR="00000000" w:rsidRDefault="00A173A8">
            <w:pPr>
              <w:spacing w:after="100"/>
              <w:rPr>
                <w:rFonts w:eastAsia="Times New Roman"/>
              </w:rPr>
            </w:pPr>
          </w:p>
        </w:tc>
        <w:tc>
          <w:tcPr>
            <w:tcW w:w="0" w:type="auto"/>
            <w:gridSpan w:val="3"/>
            <w:vAlign w:val="center"/>
            <w:hideMark/>
          </w:tcPr>
          <w:p w14:paraId="3034C72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C9E668" w14:textId="77777777" w:rsidR="00000000" w:rsidRDefault="00A173A8">
            <w:pPr>
              <w:spacing w:after="100"/>
              <w:rPr>
                <w:rFonts w:eastAsia="Times New Roman"/>
                <w:sz w:val="20"/>
                <w:szCs w:val="20"/>
              </w:rPr>
            </w:pPr>
          </w:p>
        </w:tc>
        <w:tc>
          <w:tcPr>
            <w:tcW w:w="0" w:type="auto"/>
            <w:gridSpan w:val="3"/>
            <w:vAlign w:val="center"/>
            <w:hideMark/>
          </w:tcPr>
          <w:p w14:paraId="2399148D" w14:textId="77777777" w:rsidR="00000000" w:rsidRDefault="00A173A8">
            <w:pPr>
              <w:spacing w:after="100"/>
              <w:rPr>
                <w:rFonts w:eastAsia="Times New Roman"/>
                <w:sz w:val="20"/>
                <w:szCs w:val="20"/>
              </w:rPr>
            </w:pPr>
          </w:p>
        </w:tc>
        <w:tc>
          <w:tcPr>
            <w:tcW w:w="0" w:type="auto"/>
            <w:gridSpan w:val="3"/>
            <w:vAlign w:val="center"/>
            <w:hideMark/>
          </w:tcPr>
          <w:p w14:paraId="42B626EF" w14:textId="77777777" w:rsidR="00000000" w:rsidRDefault="00A173A8">
            <w:pPr>
              <w:spacing w:after="100"/>
              <w:rPr>
                <w:rFonts w:eastAsia="Times New Roman"/>
                <w:sz w:val="20"/>
                <w:szCs w:val="20"/>
              </w:rPr>
            </w:pPr>
          </w:p>
        </w:tc>
        <w:tc>
          <w:tcPr>
            <w:tcW w:w="0" w:type="auto"/>
            <w:gridSpan w:val="3"/>
            <w:vAlign w:val="center"/>
            <w:hideMark/>
          </w:tcPr>
          <w:p w14:paraId="61008420" w14:textId="77777777" w:rsidR="00000000" w:rsidRDefault="00A173A8">
            <w:pPr>
              <w:spacing w:after="100"/>
              <w:rPr>
                <w:rFonts w:eastAsia="Times New Roman"/>
                <w:sz w:val="20"/>
                <w:szCs w:val="20"/>
              </w:rPr>
            </w:pPr>
          </w:p>
        </w:tc>
        <w:tc>
          <w:tcPr>
            <w:tcW w:w="0" w:type="auto"/>
            <w:gridSpan w:val="3"/>
            <w:vAlign w:val="center"/>
            <w:hideMark/>
          </w:tcPr>
          <w:p w14:paraId="6BD9AFA4"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3415A0" w14:textId="77777777" w:rsidR="00000000" w:rsidRDefault="00A173A8">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14:paraId="7E2E5617"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52A9AEAF" w14:textId="77777777" w:rsidR="00000000" w:rsidRDefault="00A173A8">
            <w:pPr>
              <w:spacing w:after="100"/>
              <w:jc w:val="right"/>
              <w:rPr>
                <w:rFonts w:eastAsia="Times New Roman"/>
              </w:rPr>
            </w:pPr>
          </w:p>
        </w:tc>
        <w:tc>
          <w:tcPr>
            <w:tcW w:w="0" w:type="auto"/>
            <w:gridSpan w:val="2"/>
            <w:vAlign w:val="center"/>
            <w:hideMark/>
          </w:tcPr>
          <w:p w14:paraId="529F5301" w14:textId="77777777" w:rsidR="00000000" w:rsidRDefault="00A173A8">
            <w:pPr>
              <w:spacing w:after="100"/>
              <w:rPr>
                <w:rFonts w:eastAsia="Times New Roman"/>
                <w:sz w:val="20"/>
                <w:szCs w:val="20"/>
              </w:rPr>
            </w:pPr>
          </w:p>
        </w:tc>
      </w:tr>
      <w:tr w:rsidR="00000000" w14:paraId="44536ECC" w14:textId="77777777">
        <w:trPr>
          <w:divId w:val="1533881267"/>
        </w:trPr>
        <w:tc>
          <w:tcPr>
            <w:tcW w:w="0" w:type="auto"/>
            <w:gridSpan w:val="3"/>
            <w:shd w:val="clear" w:color="auto" w:fill="CCEEFF"/>
            <w:tcMar>
              <w:top w:w="30" w:type="dxa"/>
              <w:left w:w="20" w:type="dxa"/>
              <w:bottom w:w="30" w:type="dxa"/>
              <w:right w:w="20" w:type="dxa"/>
            </w:tcMar>
            <w:vAlign w:val="center"/>
            <w:hideMark/>
          </w:tcPr>
          <w:p w14:paraId="4963651B" w14:textId="77777777" w:rsidR="00000000" w:rsidRDefault="00A173A8">
            <w:pPr>
              <w:spacing w:after="100"/>
              <w:rPr>
                <w:rFonts w:eastAsia="Times New Roman"/>
              </w:rPr>
            </w:pPr>
            <w:r>
              <w:rPr>
                <w:rFonts w:eastAsia="Times New Roman"/>
                <w:color w:val="000000"/>
                <w:sz w:val="20"/>
                <w:szCs w:val="20"/>
              </w:rPr>
              <w:t>30+ day performing delinquency rate</w:t>
            </w:r>
          </w:p>
        </w:tc>
        <w:tc>
          <w:tcPr>
            <w:tcW w:w="0" w:type="auto"/>
            <w:vAlign w:val="center"/>
            <w:hideMark/>
          </w:tcPr>
          <w:p w14:paraId="052A94A1" w14:textId="77777777" w:rsidR="00000000" w:rsidRDefault="00A173A8">
            <w:pPr>
              <w:spacing w:after="100"/>
              <w:rPr>
                <w:rFonts w:eastAsia="Times New Roman"/>
              </w:rPr>
            </w:pPr>
          </w:p>
        </w:tc>
        <w:tc>
          <w:tcPr>
            <w:tcW w:w="0" w:type="auto"/>
            <w:vAlign w:val="center"/>
            <w:hideMark/>
          </w:tcPr>
          <w:p w14:paraId="4D949378" w14:textId="77777777" w:rsidR="00000000" w:rsidRDefault="00A173A8">
            <w:pPr>
              <w:spacing w:after="100"/>
              <w:rPr>
                <w:rFonts w:eastAsia="Times New Roman"/>
                <w:sz w:val="20"/>
                <w:szCs w:val="20"/>
              </w:rPr>
            </w:pPr>
          </w:p>
        </w:tc>
        <w:tc>
          <w:tcPr>
            <w:tcW w:w="0" w:type="auto"/>
            <w:vAlign w:val="center"/>
            <w:hideMark/>
          </w:tcPr>
          <w:p w14:paraId="57EA3829" w14:textId="77777777" w:rsidR="00000000" w:rsidRDefault="00A173A8">
            <w:pPr>
              <w:spacing w:after="100"/>
              <w:rPr>
                <w:rFonts w:eastAsia="Times New Roman"/>
                <w:sz w:val="20"/>
                <w:szCs w:val="20"/>
              </w:rPr>
            </w:pPr>
          </w:p>
        </w:tc>
        <w:tc>
          <w:tcPr>
            <w:tcW w:w="0" w:type="auto"/>
            <w:vAlign w:val="center"/>
            <w:hideMark/>
          </w:tcPr>
          <w:p w14:paraId="4F79675E" w14:textId="77777777" w:rsidR="00000000" w:rsidRDefault="00A173A8">
            <w:pPr>
              <w:spacing w:after="100"/>
              <w:rPr>
                <w:rFonts w:eastAsia="Times New Roman"/>
                <w:sz w:val="20"/>
                <w:szCs w:val="20"/>
              </w:rPr>
            </w:pPr>
          </w:p>
        </w:tc>
        <w:tc>
          <w:tcPr>
            <w:tcW w:w="0" w:type="auto"/>
            <w:vAlign w:val="center"/>
            <w:hideMark/>
          </w:tcPr>
          <w:p w14:paraId="7F7F5F41" w14:textId="77777777" w:rsidR="00000000" w:rsidRDefault="00A173A8">
            <w:pPr>
              <w:spacing w:after="100"/>
              <w:rPr>
                <w:rFonts w:eastAsia="Times New Roman"/>
                <w:sz w:val="20"/>
                <w:szCs w:val="20"/>
              </w:rPr>
            </w:pPr>
          </w:p>
        </w:tc>
        <w:tc>
          <w:tcPr>
            <w:tcW w:w="0" w:type="auto"/>
            <w:vAlign w:val="center"/>
            <w:hideMark/>
          </w:tcPr>
          <w:p w14:paraId="5476463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705A5C"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4765F8" w14:textId="77777777" w:rsidR="00000000" w:rsidRDefault="00A173A8">
            <w:pPr>
              <w:spacing w:after="100"/>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1FC02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C331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E11B20" w14:textId="77777777" w:rsidR="00000000" w:rsidRDefault="00A173A8">
            <w:pPr>
              <w:spacing w:after="100"/>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bottom"/>
            <w:hideMark/>
          </w:tcPr>
          <w:p w14:paraId="1EDA7AAF" w14:textId="77777777" w:rsidR="00000000" w:rsidRDefault="00A173A8">
            <w:pPr>
              <w:spacing w:after="100"/>
              <w:jc w:val="right"/>
              <w:rPr>
                <w:rFonts w:eastAsia="Times New Roman"/>
              </w:rPr>
            </w:pPr>
          </w:p>
        </w:tc>
        <w:tc>
          <w:tcPr>
            <w:tcW w:w="0" w:type="auto"/>
            <w:gridSpan w:val="3"/>
            <w:vAlign w:val="center"/>
            <w:hideMark/>
          </w:tcPr>
          <w:p w14:paraId="3EA1602B" w14:textId="77777777" w:rsidR="00000000" w:rsidRDefault="00A173A8">
            <w:pPr>
              <w:spacing w:after="100"/>
              <w:jc w:val="right"/>
              <w:rPr>
                <w:rFonts w:eastAsia="Times New Roman"/>
                <w:sz w:val="20"/>
                <w:szCs w:val="20"/>
              </w:rPr>
            </w:pPr>
          </w:p>
        </w:tc>
        <w:tc>
          <w:tcPr>
            <w:tcW w:w="0" w:type="auto"/>
            <w:gridSpan w:val="3"/>
            <w:vAlign w:val="center"/>
            <w:hideMark/>
          </w:tcPr>
          <w:p w14:paraId="4FF32E3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417AC1" w14:textId="77777777" w:rsidR="00000000" w:rsidRDefault="00A173A8">
            <w:pPr>
              <w:spacing w:after="100"/>
              <w:rPr>
                <w:rFonts w:eastAsia="Times New Roman"/>
                <w:sz w:val="20"/>
                <w:szCs w:val="20"/>
              </w:rPr>
            </w:pPr>
          </w:p>
        </w:tc>
        <w:tc>
          <w:tcPr>
            <w:tcW w:w="0" w:type="auto"/>
            <w:gridSpan w:val="3"/>
            <w:vAlign w:val="center"/>
            <w:hideMark/>
          </w:tcPr>
          <w:p w14:paraId="4E0F187A" w14:textId="77777777" w:rsidR="00000000" w:rsidRDefault="00A173A8">
            <w:pPr>
              <w:spacing w:after="100"/>
              <w:rPr>
                <w:rFonts w:eastAsia="Times New Roman"/>
                <w:sz w:val="20"/>
                <w:szCs w:val="20"/>
              </w:rPr>
            </w:pPr>
          </w:p>
        </w:tc>
        <w:tc>
          <w:tcPr>
            <w:tcW w:w="0" w:type="auto"/>
            <w:gridSpan w:val="3"/>
            <w:vAlign w:val="center"/>
            <w:hideMark/>
          </w:tcPr>
          <w:p w14:paraId="342ADC69" w14:textId="77777777" w:rsidR="00000000" w:rsidRDefault="00A173A8">
            <w:pPr>
              <w:spacing w:after="100"/>
              <w:rPr>
                <w:rFonts w:eastAsia="Times New Roman"/>
                <w:sz w:val="20"/>
                <w:szCs w:val="20"/>
              </w:rPr>
            </w:pPr>
          </w:p>
        </w:tc>
        <w:tc>
          <w:tcPr>
            <w:tcW w:w="0" w:type="auto"/>
            <w:gridSpan w:val="3"/>
            <w:vAlign w:val="center"/>
            <w:hideMark/>
          </w:tcPr>
          <w:p w14:paraId="6B5664AF" w14:textId="77777777" w:rsidR="00000000" w:rsidRDefault="00A173A8">
            <w:pPr>
              <w:spacing w:after="100"/>
              <w:rPr>
                <w:rFonts w:eastAsia="Times New Roman"/>
                <w:sz w:val="20"/>
                <w:szCs w:val="20"/>
              </w:rPr>
            </w:pPr>
          </w:p>
        </w:tc>
        <w:tc>
          <w:tcPr>
            <w:tcW w:w="0" w:type="auto"/>
            <w:gridSpan w:val="3"/>
            <w:vAlign w:val="center"/>
            <w:hideMark/>
          </w:tcPr>
          <w:p w14:paraId="6C6184C8"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2FEC8E" w14:textId="77777777" w:rsidR="00000000" w:rsidRDefault="00A173A8">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6D93062F" w14:textId="77777777" w:rsidR="00000000" w:rsidRDefault="00A173A8">
            <w:pPr>
              <w:spacing w:after="100"/>
              <w:jc w:val="right"/>
              <w:rPr>
                <w:rFonts w:eastAsia="Times New Roman"/>
              </w:rPr>
            </w:pPr>
          </w:p>
        </w:tc>
        <w:tc>
          <w:tcPr>
            <w:tcW w:w="0" w:type="auto"/>
            <w:gridSpan w:val="3"/>
            <w:vAlign w:val="center"/>
            <w:hideMark/>
          </w:tcPr>
          <w:p w14:paraId="3C6129FE" w14:textId="77777777" w:rsidR="00000000" w:rsidRDefault="00A173A8">
            <w:pPr>
              <w:spacing w:after="100"/>
              <w:jc w:val="right"/>
              <w:rPr>
                <w:rFonts w:eastAsia="Times New Roman"/>
                <w:sz w:val="20"/>
                <w:szCs w:val="20"/>
              </w:rPr>
            </w:pPr>
          </w:p>
        </w:tc>
        <w:tc>
          <w:tcPr>
            <w:tcW w:w="0" w:type="auto"/>
            <w:gridSpan w:val="2"/>
            <w:vAlign w:val="center"/>
            <w:hideMark/>
          </w:tcPr>
          <w:p w14:paraId="7694C4EB" w14:textId="77777777" w:rsidR="00000000" w:rsidRDefault="00A173A8">
            <w:pPr>
              <w:spacing w:after="100"/>
              <w:rPr>
                <w:rFonts w:eastAsia="Times New Roman"/>
                <w:sz w:val="20"/>
                <w:szCs w:val="20"/>
              </w:rPr>
            </w:pPr>
          </w:p>
        </w:tc>
      </w:tr>
      <w:tr w:rsidR="00000000" w14:paraId="70DADF72" w14:textId="77777777">
        <w:trPr>
          <w:divId w:val="1533881267"/>
        </w:trPr>
        <w:tc>
          <w:tcPr>
            <w:tcW w:w="0" w:type="auto"/>
            <w:gridSpan w:val="3"/>
            <w:shd w:val="clear" w:color="auto" w:fill="FFFFFF"/>
            <w:tcMar>
              <w:top w:w="30" w:type="dxa"/>
              <w:left w:w="20" w:type="dxa"/>
              <w:bottom w:w="30" w:type="dxa"/>
              <w:right w:w="20" w:type="dxa"/>
            </w:tcMar>
            <w:vAlign w:val="center"/>
            <w:hideMark/>
          </w:tcPr>
          <w:p w14:paraId="4FCE52AA" w14:textId="77777777" w:rsidR="00000000" w:rsidRDefault="00A173A8">
            <w:pPr>
              <w:spacing w:after="100"/>
              <w:rPr>
                <w:rFonts w:eastAsia="Times New Roman"/>
              </w:rPr>
            </w:pPr>
            <w:r>
              <w:rPr>
                <w:rFonts w:eastAsia="Times New Roman"/>
                <w:color w:val="000000"/>
                <w:sz w:val="20"/>
                <w:szCs w:val="20"/>
              </w:rPr>
              <w:t>30+ day delinquency rate</w:t>
            </w:r>
          </w:p>
        </w:tc>
        <w:tc>
          <w:tcPr>
            <w:tcW w:w="0" w:type="auto"/>
            <w:vAlign w:val="center"/>
            <w:hideMark/>
          </w:tcPr>
          <w:p w14:paraId="39461355" w14:textId="77777777" w:rsidR="00000000" w:rsidRDefault="00A173A8">
            <w:pPr>
              <w:spacing w:after="100"/>
              <w:rPr>
                <w:rFonts w:eastAsia="Times New Roman"/>
              </w:rPr>
            </w:pPr>
          </w:p>
        </w:tc>
        <w:tc>
          <w:tcPr>
            <w:tcW w:w="0" w:type="auto"/>
            <w:vAlign w:val="center"/>
            <w:hideMark/>
          </w:tcPr>
          <w:p w14:paraId="506079F9" w14:textId="77777777" w:rsidR="00000000" w:rsidRDefault="00A173A8">
            <w:pPr>
              <w:spacing w:after="100"/>
              <w:rPr>
                <w:rFonts w:eastAsia="Times New Roman"/>
                <w:sz w:val="20"/>
                <w:szCs w:val="20"/>
              </w:rPr>
            </w:pPr>
          </w:p>
        </w:tc>
        <w:tc>
          <w:tcPr>
            <w:tcW w:w="0" w:type="auto"/>
            <w:vAlign w:val="center"/>
            <w:hideMark/>
          </w:tcPr>
          <w:p w14:paraId="203413FC" w14:textId="77777777" w:rsidR="00000000" w:rsidRDefault="00A173A8">
            <w:pPr>
              <w:spacing w:after="100"/>
              <w:rPr>
                <w:rFonts w:eastAsia="Times New Roman"/>
                <w:sz w:val="20"/>
                <w:szCs w:val="20"/>
              </w:rPr>
            </w:pPr>
          </w:p>
        </w:tc>
        <w:tc>
          <w:tcPr>
            <w:tcW w:w="0" w:type="auto"/>
            <w:vAlign w:val="center"/>
            <w:hideMark/>
          </w:tcPr>
          <w:p w14:paraId="08EF6BD0" w14:textId="77777777" w:rsidR="00000000" w:rsidRDefault="00A173A8">
            <w:pPr>
              <w:spacing w:after="100"/>
              <w:rPr>
                <w:rFonts w:eastAsia="Times New Roman"/>
                <w:sz w:val="20"/>
                <w:szCs w:val="20"/>
              </w:rPr>
            </w:pPr>
          </w:p>
        </w:tc>
        <w:tc>
          <w:tcPr>
            <w:tcW w:w="0" w:type="auto"/>
            <w:vAlign w:val="center"/>
            <w:hideMark/>
          </w:tcPr>
          <w:p w14:paraId="6407C60E" w14:textId="77777777" w:rsidR="00000000" w:rsidRDefault="00A173A8">
            <w:pPr>
              <w:spacing w:after="100"/>
              <w:rPr>
                <w:rFonts w:eastAsia="Times New Roman"/>
                <w:sz w:val="20"/>
                <w:szCs w:val="20"/>
              </w:rPr>
            </w:pPr>
          </w:p>
        </w:tc>
        <w:tc>
          <w:tcPr>
            <w:tcW w:w="0" w:type="auto"/>
            <w:vAlign w:val="center"/>
            <w:hideMark/>
          </w:tcPr>
          <w:p w14:paraId="1945E97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1A6707"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F477E" w14:textId="77777777" w:rsidR="00000000" w:rsidRDefault="00A173A8">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3967F5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0334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DB07BF" w14:textId="77777777" w:rsidR="00000000" w:rsidRDefault="00A173A8">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14:paraId="70C520FF" w14:textId="77777777" w:rsidR="00000000" w:rsidRDefault="00A173A8">
            <w:pPr>
              <w:spacing w:after="100"/>
              <w:jc w:val="right"/>
              <w:rPr>
                <w:rFonts w:eastAsia="Times New Roman"/>
              </w:rPr>
            </w:pPr>
          </w:p>
        </w:tc>
        <w:tc>
          <w:tcPr>
            <w:tcW w:w="0" w:type="auto"/>
            <w:gridSpan w:val="3"/>
            <w:vAlign w:val="center"/>
            <w:hideMark/>
          </w:tcPr>
          <w:p w14:paraId="558FC514" w14:textId="77777777" w:rsidR="00000000" w:rsidRDefault="00A173A8">
            <w:pPr>
              <w:spacing w:after="100"/>
              <w:jc w:val="right"/>
              <w:rPr>
                <w:rFonts w:eastAsia="Times New Roman"/>
                <w:sz w:val="20"/>
                <w:szCs w:val="20"/>
              </w:rPr>
            </w:pPr>
          </w:p>
        </w:tc>
        <w:tc>
          <w:tcPr>
            <w:tcW w:w="0" w:type="auto"/>
            <w:gridSpan w:val="3"/>
            <w:vAlign w:val="center"/>
            <w:hideMark/>
          </w:tcPr>
          <w:p w14:paraId="0788869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9FAE57" w14:textId="77777777" w:rsidR="00000000" w:rsidRDefault="00A173A8">
            <w:pPr>
              <w:spacing w:after="100"/>
              <w:rPr>
                <w:rFonts w:eastAsia="Times New Roman"/>
                <w:sz w:val="20"/>
                <w:szCs w:val="20"/>
              </w:rPr>
            </w:pPr>
          </w:p>
        </w:tc>
        <w:tc>
          <w:tcPr>
            <w:tcW w:w="0" w:type="auto"/>
            <w:gridSpan w:val="3"/>
            <w:vAlign w:val="center"/>
            <w:hideMark/>
          </w:tcPr>
          <w:p w14:paraId="57EFF986" w14:textId="77777777" w:rsidR="00000000" w:rsidRDefault="00A173A8">
            <w:pPr>
              <w:spacing w:after="100"/>
              <w:rPr>
                <w:rFonts w:eastAsia="Times New Roman"/>
                <w:sz w:val="20"/>
                <w:szCs w:val="20"/>
              </w:rPr>
            </w:pPr>
          </w:p>
        </w:tc>
        <w:tc>
          <w:tcPr>
            <w:tcW w:w="0" w:type="auto"/>
            <w:gridSpan w:val="3"/>
            <w:vAlign w:val="center"/>
            <w:hideMark/>
          </w:tcPr>
          <w:p w14:paraId="2C44732E" w14:textId="77777777" w:rsidR="00000000" w:rsidRDefault="00A173A8">
            <w:pPr>
              <w:spacing w:after="100"/>
              <w:rPr>
                <w:rFonts w:eastAsia="Times New Roman"/>
                <w:sz w:val="20"/>
                <w:szCs w:val="20"/>
              </w:rPr>
            </w:pPr>
          </w:p>
        </w:tc>
        <w:tc>
          <w:tcPr>
            <w:tcW w:w="0" w:type="auto"/>
            <w:gridSpan w:val="3"/>
            <w:vAlign w:val="center"/>
            <w:hideMark/>
          </w:tcPr>
          <w:p w14:paraId="59037BF5" w14:textId="77777777" w:rsidR="00000000" w:rsidRDefault="00A173A8">
            <w:pPr>
              <w:spacing w:after="100"/>
              <w:rPr>
                <w:rFonts w:eastAsia="Times New Roman"/>
                <w:sz w:val="20"/>
                <w:szCs w:val="20"/>
              </w:rPr>
            </w:pPr>
          </w:p>
        </w:tc>
        <w:tc>
          <w:tcPr>
            <w:tcW w:w="0" w:type="auto"/>
            <w:gridSpan w:val="3"/>
            <w:vAlign w:val="center"/>
            <w:hideMark/>
          </w:tcPr>
          <w:p w14:paraId="75B75472"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2F8F94" w14:textId="77777777" w:rsidR="00000000" w:rsidRDefault="00A173A8">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5CA3E579" w14:textId="77777777" w:rsidR="00000000" w:rsidRDefault="00A173A8">
            <w:pPr>
              <w:spacing w:after="100"/>
              <w:jc w:val="right"/>
              <w:rPr>
                <w:rFonts w:eastAsia="Times New Roman"/>
              </w:rPr>
            </w:pPr>
          </w:p>
        </w:tc>
        <w:tc>
          <w:tcPr>
            <w:tcW w:w="0" w:type="auto"/>
            <w:gridSpan w:val="3"/>
            <w:vAlign w:val="center"/>
            <w:hideMark/>
          </w:tcPr>
          <w:p w14:paraId="16A74274" w14:textId="77777777" w:rsidR="00000000" w:rsidRDefault="00A173A8">
            <w:pPr>
              <w:spacing w:after="100"/>
              <w:jc w:val="right"/>
              <w:rPr>
                <w:rFonts w:eastAsia="Times New Roman"/>
                <w:sz w:val="20"/>
                <w:szCs w:val="20"/>
              </w:rPr>
            </w:pPr>
          </w:p>
        </w:tc>
        <w:tc>
          <w:tcPr>
            <w:tcW w:w="0" w:type="auto"/>
            <w:gridSpan w:val="2"/>
            <w:vAlign w:val="center"/>
            <w:hideMark/>
          </w:tcPr>
          <w:p w14:paraId="29AD1A68" w14:textId="77777777" w:rsidR="00000000" w:rsidRDefault="00A173A8">
            <w:pPr>
              <w:spacing w:after="100"/>
              <w:rPr>
                <w:rFonts w:eastAsia="Times New Roman"/>
                <w:sz w:val="20"/>
                <w:szCs w:val="20"/>
              </w:rPr>
            </w:pPr>
          </w:p>
        </w:tc>
      </w:tr>
      <w:tr w:rsidR="00000000" w14:paraId="7F851C09" w14:textId="77777777">
        <w:trPr>
          <w:divId w:val="1533881267"/>
        </w:trPr>
        <w:tc>
          <w:tcPr>
            <w:tcW w:w="0" w:type="auto"/>
            <w:gridSpan w:val="3"/>
            <w:shd w:val="clear" w:color="auto" w:fill="CCEEFF"/>
            <w:tcMar>
              <w:top w:w="30" w:type="dxa"/>
              <w:left w:w="20" w:type="dxa"/>
              <w:bottom w:w="30" w:type="dxa"/>
              <w:right w:w="20" w:type="dxa"/>
            </w:tcMar>
            <w:vAlign w:val="center"/>
            <w:hideMark/>
          </w:tcPr>
          <w:p w14:paraId="17BB0630" w14:textId="77777777" w:rsidR="00000000" w:rsidRDefault="00A173A8">
            <w:pPr>
              <w:spacing w:after="100"/>
              <w:rPr>
                <w:rFonts w:eastAsia="Times New Roman"/>
              </w:rPr>
            </w:pPr>
            <w:r>
              <w:rPr>
                <w:rFonts w:eastAsia="Times New Roman"/>
                <w:b/>
                <w:bCs/>
                <w:color w:val="000000"/>
                <w:sz w:val="20"/>
                <w:szCs w:val="20"/>
              </w:rPr>
              <w:t>Capital ratios</w:t>
            </w:r>
          </w:p>
        </w:tc>
        <w:tc>
          <w:tcPr>
            <w:tcW w:w="0" w:type="auto"/>
            <w:vAlign w:val="center"/>
            <w:hideMark/>
          </w:tcPr>
          <w:p w14:paraId="7CE916F5" w14:textId="77777777" w:rsidR="00000000" w:rsidRDefault="00A173A8">
            <w:pPr>
              <w:spacing w:after="100"/>
              <w:rPr>
                <w:rFonts w:eastAsia="Times New Roman"/>
              </w:rPr>
            </w:pPr>
          </w:p>
        </w:tc>
        <w:tc>
          <w:tcPr>
            <w:tcW w:w="0" w:type="auto"/>
            <w:vAlign w:val="center"/>
            <w:hideMark/>
          </w:tcPr>
          <w:p w14:paraId="1522A5B3" w14:textId="77777777" w:rsidR="00000000" w:rsidRDefault="00A173A8">
            <w:pPr>
              <w:spacing w:after="100"/>
              <w:rPr>
                <w:rFonts w:eastAsia="Times New Roman"/>
                <w:sz w:val="20"/>
                <w:szCs w:val="20"/>
              </w:rPr>
            </w:pPr>
          </w:p>
        </w:tc>
        <w:tc>
          <w:tcPr>
            <w:tcW w:w="0" w:type="auto"/>
            <w:vAlign w:val="center"/>
            <w:hideMark/>
          </w:tcPr>
          <w:p w14:paraId="6D3B7EB2" w14:textId="77777777" w:rsidR="00000000" w:rsidRDefault="00A173A8">
            <w:pPr>
              <w:spacing w:after="100"/>
              <w:rPr>
                <w:rFonts w:eastAsia="Times New Roman"/>
                <w:sz w:val="20"/>
                <w:szCs w:val="20"/>
              </w:rPr>
            </w:pPr>
          </w:p>
        </w:tc>
        <w:tc>
          <w:tcPr>
            <w:tcW w:w="0" w:type="auto"/>
            <w:vAlign w:val="center"/>
            <w:hideMark/>
          </w:tcPr>
          <w:p w14:paraId="1E78551F" w14:textId="77777777" w:rsidR="00000000" w:rsidRDefault="00A173A8">
            <w:pPr>
              <w:spacing w:after="100"/>
              <w:rPr>
                <w:rFonts w:eastAsia="Times New Roman"/>
                <w:sz w:val="20"/>
                <w:szCs w:val="20"/>
              </w:rPr>
            </w:pPr>
          </w:p>
        </w:tc>
        <w:tc>
          <w:tcPr>
            <w:tcW w:w="0" w:type="auto"/>
            <w:vAlign w:val="center"/>
            <w:hideMark/>
          </w:tcPr>
          <w:p w14:paraId="096653D1" w14:textId="77777777" w:rsidR="00000000" w:rsidRDefault="00A173A8">
            <w:pPr>
              <w:spacing w:after="100"/>
              <w:rPr>
                <w:rFonts w:eastAsia="Times New Roman"/>
                <w:sz w:val="20"/>
                <w:szCs w:val="20"/>
              </w:rPr>
            </w:pPr>
          </w:p>
        </w:tc>
        <w:tc>
          <w:tcPr>
            <w:tcW w:w="0" w:type="auto"/>
            <w:vAlign w:val="center"/>
            <w:hideMark/>
          </w:tcPr>
          <w:p w14:paraId="35AA2C5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735D38"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0CC0ADB" w14:textId="77777777" w:rsidR="00000000" w:rsidRDefault="00A173A8">
            <w:pPr>
              <w:spacing w:after="100"/>
              <w:jc w:val="right"/>
              <w:rPr>
                <w:rFonts w:eastAsia="Times New Roman"/>
              </w:rPr>
            </w:pPr>
            <w:r>
              <w:rPr>
                <w:rFonts w:eastAsia="Times New Roman"/>
                <w:b/>
                <w:bCs/>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EC9416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DF286B" w14:textId="77777777" w:rsidR="00000000" w:rsidRDefault="00A173A8">
            <w:pPr>
              <w:spacing w:after="100"/>
              <w:rPr>
                <w:rFonts w:eastAsia="Times New Roman"/>
                <w:sz w:val="20"/>
                <w:szCs w:val="20"/>
              </w:rPr>
            </w:pPr>
          </w:p>
        </w:tc>
        <w:tc>
          <w:tcPr>
            <w:tcW w:w="0" w:type="auto"/>
            <w:gridSpan w:val="3"/>
            <w:vAlign w:val="center"/>
            <w:hideMark/>
          </w:tcPr>
          <w:p w14:paraId="111E7175" w14:textId="77777777" w:rsidR="00000000" w:rsidRDefault="00A173A8">
            <w:pPr>
              <w:spacing w:after="100"/>
              <w:rPr>
                <w:rFonts w:eastAsia="Times New Roman"/>
                <w:sz w:val="20"/>
                <w:szCs w:val="20"/>
              </w:rPr>
            </w:pPr>
          </w:p>
        </w:tc>
        <w:tc>
          <w:tcPr>
            <w:tcW w:w="0" w:type="auto"/>
            <w:gridSpan w:val="3"/>
            <w:vAlign w:val="center"/>
            <w:hideMark/>
          </w:tcPr>
          <w:p w14:paraId="57F34E2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09EDEF" w14:textId="77777777" w:rsidR="00000000" w:rsidRDefault="00A173A8">
            <w:pPr>
              <w:spacing w:after="100"/>
              <w:rPr>
                <w:rFonts w:eastAsia="Times New Roman"/>
                <w:sz w:val="20"/>
                <w:szCs w:val="20"/>
              </w:rPr>
            </w:pPr>
          </w:p>
        </w:tc>
        <w:tc>
          <w:tcPr>
            <w:tcW w:w="0" w:type="auto"/>
            <w:gridSpan w:val="3"/>
            <w:vAlign w:val="center"/>
            <w:hideMark/>
          </w:tcPr>
          <w:p w14:paraId="13F9B368" w14:textId="77777777" w:rsidR="00000000" w:rsidRDefault="00A173A8">
            <w:pPr>
              <w:spacing w:after="100"/>
              <w:rPr>
                <w:rFonts w:eastAsia="Times New Roman"/>
                <w:sz w:val="20"/>
                <w:szCs w:val="20"/>
              </w:rPr>
            </w:pPr>
          </w:p>
        </w:tc>
        <w:tc>
          <w:tcPr>
            <w:tcW w:w="0" w:type="auto"/>
            <w:gridSpan w:val="3"/>
            <w:vAlign w:val="center"/>
            <w:hideMark/>
          </w:tcPr>
          <w:p w14:paraId="6D645E7E" w14:textId="77777777" w:rsidR="00000000" w:rsidRDefault="00A173A8">
            <w:pPr>
              <w:spacing w:after="100"/>
              <w:rPr>
                <w:rFonts w:eastAsia="Times New Roman"/>
                <w:sz w:val="20"/>
                <w:szCs w:val="20"/>
              </w:rPr>
            </w:pPr>
          </w:p>
        </w:tc>
        <w:tc>
          <w:tcPr>
            <w:tcW w:w="0" w:type="auto"/>
            <w:gridSpan w:val="3"/>
            <w:vAlign w:val="center"/>
            <w:hideMark/>
          </w:tcPr>
          <w:p w14:paraId="3E89ED14" w14:textId="77777777" w:rsidR="00000000" w:rsidRDefault="00A173A8">
            <w:pPr>
              <w:spacing w:after="100"/>
              <w:rPr>
                <w:rFonts w:eastAsia="Times New Roman"/>
                <w:sz w:val="20"/>
                <w:szCs w:val="20"/>
              </w:rPr>
            </w:pPr>
          </w:p>
        </w:tc>
        <w:tc>
          <w:tcPr>
            <w:tcW w:w="0" w:type="auto"/>
            <w:gridSpan w:val="3"/>
            <w:vAlign w:val="center"/>
            <w:hideMark/>
          </w:tcPr>
          <w:p w14:paraId="4C58E1E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DFE36B" w14:textId="77777777" w:rsidR="00000000" w:rsidRDefault="00A173A8">
            <w:pPr>
              <w:spacing w:after="100"/>
              <w:rPr>
                <w:rFonts w:eastAsia="Times New Roman"/>
                <w:sz w:val="20"/>
                <w:szCs w:val="20"/>
              </w:rPr>
            </w:pPr>
          </w:p>
        </w:tc>
        <w:tc>
          <w:tcPr>
            <w:tcW w:w="0" w:type="auto"/>
            <w:gridSpan w:val="3"/>
            <w:vAlign w:val="center"/>
            <w:hideMark/>
          </w:tcPr>
          <w:p w14:paraId="10243AB1" w14:textId="77777777" w:rsidR="00000000" w:rsidRDefault="00A173A8">
            <w:pPr>
              <w:spacing w:after="100"/>
              <w:rPr>
                <w:rFonts w:eastAsia="Times New Roman"/>
                <w:sz w:val="20"/>
                <w:szCs w:val="20"/>
              </w:rPr>
            </w:pPr>
          </w:p>
        </w:tc>
        <w:tc>
          <w:tcPr>
            <w:tcW w:w="0" w:type="auto"/>
            <w:gridSpan w:val="2"/>
            <w:vAlign w:val="center"/>
            <w:hideMark/>
          </w:tcPr>
          <w:p w14:paraId="58EC6254"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A20C434" w14:textId="77777777">
        <w:trPr>
          <w:jc w:val="center"/>
        </w:trPr>
        <w:tc>
          <w:tcPr>
            <w:tcW w:w="50" w:type="pct"/>
            <w:vAlign w:val="center"/>
            <w:hideMark/>
          </w:tcPr>
          <w:p w14:paraId="30917836" w14:textId="77777777" w:rsidR="00000000" w:rsidRDefault="00A173A8">
            <w:pPr>
              <w:rPr>
                <w:rFonts w:eastAsia="Times New Roman"/>
              </w:rPr>
            </w:pPr>
          </w:p>
        </w:tc>
        <w:tc>
          <w:tcPr>
            <w:tcW w:w="1606" w:type="pct"/>
            <w:vAlign w:val="center"/>
            <w:hideMark/>
          </w:tcPr>
          <w:p w14:paraId="57BD7BAB" w14:textId="77777777" w:rsidR="00000000" w:rsidRDefault="00A173A8">
            <w:pPr>
              <w:spacing w:after="100"/>
              <w:rPr>
                <w:rFonts w:eastAsia="Times New Roman"/>
                <w:sz w:val="20"/>
                <w:szCs w:val="20"/>
              </w:rPr>
            </w:pPr>
          </w:p>
        </w:tc>
        <w:tc>
          <w:tcPr>
            <w:tcW w:w="5" w:type="pct"/>
            <w:vAlign w:val="center"/>
            <w:hideMark/>
          </w:tcPr>
          <w:p w14:paraId="1B3E36F9" w14:textId="77777777" w:rsidR="00000000" w:rsidRDefault="00A173A8">
            <w:pPr>
              <w:spacing w:after="100"/>
              <w:rPr>
                <w:rFonts w:eastAsia="Times New Roman"/>
                <w:sz w:val="20"/>
                <w:szCs w:val="20"/>
              </w:rPr>
            </w:pPr>
          </w:p>
        </w:tc>
        <w:tc>
          <w:tcPr>
            <w:tcW w:w="50" w:type="pct"/>
            <w:vAlign w:val="center"/>
            <w:hideMark/>
          </w:tcPr>
          <w:p w14:paraId="3CCFBEDB" w14:textId="77777777" w:rsidR="00000000" w:rsidRDefault="00A173A8">
            <w:pPr>
              <w:spacing w:after="100"/>
              <w:rPr>
                <w:rFonts w:eastAsia="Times New Roman"/>
                <w:sz w:val="20"/>
                <w:szCs w:val="20"/>
              </w:rPr>
            </w:pPr>
          </w:p>
        </w:tc>
        <w:tc>
          <w:tcPr>
            <w:tcW w:w="1614" w:type="pct"/>
            <w:vAlign w:val="center"/>
            <w:hideMark/>
          </w:tcPr>
          <w:p w14:paraId="08D9AD94" w14:textId="77777777" w:rsidR="00000000" w:rsidRDefault="00A173A8">
            <w:pPr>
              <w:spacing w:after="100"/>
              <w:rPr>
                <w:rFonts w:eastAsia="Times New Roman"/>
                <w:sz w:val="20"/>
                <w:szCs w:val="20"/>
              </w:rPr>
            </w:pPr>
          </w:p>
        </w:tc>
        <w:tc>
          <w:tcPr>
            <w:tcW w:w="5" w:type="pct"/>
            <w:vAlign w:val="center"/>
            <w:hideMark/>
          </w:tcPr>
          <w:p w14:paraId="21E4CE53" w14:textId="77777777" w:rsidR="00000000" w:rsidRDefault="00A173A8">
            <w:pPr>
              <w:spacing w:after="100"/>
              <w:rPr>
                <w:rFonts w:eastAsia="Times New Roman"/>
                <w:sz w:val="20"/>
                <w:szCs w:val="20"/>
              </w:rPr>
            </w:pPr>
          </w:p>
        </w:tc>
        <w:tc>
          <w:tcPr>
            <w:tcW w:w="50" w:type="pct"/>
            <w:vAlign w:val="center"/>
            <w:hideMark/>
          </w:tcPr>
          <w:p w14:paraId="61CC0B89" w14:textId="77777777" w:rsidR="00000000" w:rsidRDefault="00A173A8">
            <w:pPr>
              <w:spacing w:after="100"/>
              <w:rPr>
                <w:rFonts w:eastAsia="Times New Roman"/>
                <w:sz w:val="20"/>
                <w:szCs w:val="20"/>
              </w:rPr>
            </w:pPr>
          </w:p>
        </w:tc>
        <w:tc>
          <w:tcPr>
            <w:tcW w:w="1614" w:type="pct"/>
            <w:vAlign w:val="center"/>
            <w:hideMark/>
          </w:tcPr>
          <w:p w14:paraId="6BE36840" w14:textId="77777777" w:rsidR="00000000" w:rsidRDefault="00A173A8">
            <w:pPr>
              <w:spacing w:after="100"/>
              <w:rPr>
                <w:rFonts w:eastAsia="Times New Roman"/>
                <w:sz w:val="20"/>
                <w:szCs w:val="20"/>
              </w:rPr>
            </w:pPr>
          </w:p>
        </w:tc>
        <w:tc>
          <w:tcPr>
            <w:tcW w:w="5" w:type="pct"/>
            <w:vAlign w:val="center"/>
            <w:hideMark/>
          </w:tcPr>
          <w:p w14:paraId="0E234528" w14:textId="77777777" w:rsidR="00000000" w:rsidRDefault="00A173A8">
            <w:pPr>
              <w:spacing w:after="100"/>
              <w:rPr>
                <w:rFonts w:eastAsia="Times New Roman"/>
                <w:sz w:val="20"/>
                <w:szCs w:val="20"/>
              </w:rPr>
            </w:pPr>
          </w:p>
        </w:tc>
      </w:tr>
      <w:tr w:rsidR="00000000" w14:paraId="566AC1D8" w14:textId="77777777">
        <w:trPr>
          <w:trHeight w:val="300"/>
          <w:jc w:val="center"/>
        </w:trPr>
        <w:tc>
          <w:tcPr>
            <w:tcW w:w="0" w:type="auto"/>
            <w:gridSpan w:val="9"/>
            <w:tcMar>
              <w:top w:w="0" w:type="dxa"/>
              <w:left w:w="20" w:type="dxa"/>
              <w:bottom w:w="0" w:type="dxa"/>
              <w:right w:w="20" w:type="dxa"/>
            </w:tcMar>
            <w:vAlign w:val="center"/>
            <w:hideMark/>
          </w:tcPr>
          <w:p w14:paraId="5613F354" w14:textId="77777777" w:rsidR="00000000" w:rsidRDefault="00A173A8">
            <w:pPr>
              <w:spacing w:after="100"/>
              <w:rPr>
                <w:rFonts w:eastAsia="Times New Roman"/>
                <w:sz w:val="20"/>
                <w:szCs w:val="20"/>
              </w:rPr>
            </w:pPr>
          </w:p>
        </w:tc>
      </w:tr>
      <w:tr w:rsidR="00000000" w14:paraId="5E0F64A6" w14:textId="77777777">
        <w:trPr>
          <w:jc w:val="center"/>
        </w:trPr>
        <w:tc>
          <w:tcPr>
            <w:tcW w:w="0" w:type="auto"/>
            <w:gridSpan w:val="3"/>
            <w:tcMar>
              <w:top w:w="0" w:type="dxa"/>
              <w:left w:w="20" w:type="dxa"/>
              <w:bottom w:w="0" w:type="dxa"/>
              <w:right w:w="20" w:type="dxa"/>
            </w:tcMar>
            <w:vAlign w:val="center"/>
            <w:hideMark/>
          </w:tcPr>
          <w:p w14:paraId="589B5DA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B639B04" w14:textId="77777777" w:rsidR="00000000" w:rsidRDefault="00A173A8">
            <w:pPr>
              <w:spacing w:after="100"/>
              <w:jc w:val="center"/>
              <w:rPr>
                <w:rFonts w:eastAsia="Times New Roman"/>
              </w:rPr>
            </w:pPr>
            <w:r>
              <w:rPr>
                <w:rFonts w:eastAsia="Times New Roman"/>
                <w:color w:val="000000"/>
                <w:sz w:val="16"/>
                <w:szCs w:val="16"/>
              </w:rPr>
              <w:t>7</w:t>
            </w:r>
          </w:p>
        </w:tc>
        <w:tc>
          <w:tcPr>
            <w:tcW w:w="0" w:type="auto"/>
            <w:gridSpan w:val="3"/>
            <w:tcMar>
              <w:top w:w="30" w:type="dxa"/>
              <w:left w:w="20" w:type="dxa"/>
              <w:bottom w:w="30" w:type="dxa"/>
              <w:right w:w="20" w:type="dxa"/>
            </w:tcMar>
            <w:vAlign w:val="bottom"/>
            <w:hideMark/>
          </w:tcPr>
          <w:p w14:paraId="173EC4C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F951F28" w14:textId="77777777" w:rsidR="00000000" w:rsidRDefault="00A173A8">
      <w:pPr>
        <w:rPr>
          <w:rFonts w:eastAsia="Times New Roman"/>
        </w:rPr>
      </w:pPr>
      <w:r>
        <w:rPr>
          <w:rFonts w:eastAsia="Times New Roman"/>
        </w:rPr>
        <w:pict w14:anchorId="540625B2">
          <v:rect id="_x0000_i1032" style="width:0;height:1.5pt" o:hralign="center" o:hrstd="t" o:hr="t" fillcolor="#a0a0a0" stroked="f"/>
        </w:pict>
      </w:r>
    </w:p>
    <w:p w14:paraId="66D8F5C1" w14:textId="77777777" w:rsidR="00000000" w:rsidRDefault="00A173A8">
      <w:pPr>
        <w:ind w:hanging="360"/>
        <w:jc w:val="both"/>
        <w:divId w:val="1013338058"/>
        <w:rPr>
          <w:rFonts w:eastAsia="Times New Roman"/>
        </w:rPr>
      </w:pPr>
      <w:hyperlink w:anchor="i7ffd5d61af6f4722b1b1b07530d51c06_13" w:history="1">
        <w:r>
          <w:rPr>
            <w:rStyle w:val="a3"/>
            <w:rFonts w:eastAsia="Times New Roman"/>
            <w:sz w:val="16"/>
            <w:szCs w:val="16"/>
          </w:rPr>
          <w:t xml:space="preserve">Table of </w:t>
        </w:r>
      </w:hyperlink>
      <w:hyperlink w:anchor="i7ffd5d61af6f4722b1b1b07530d51c06_13"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4042"/>
        <w:gridCol w:w="38"/>
        <w:gridCol w:w="36"/>
        <w:gridCol w:w="36"/>
        <w:gridCol w:w="36"/>
        <w:gridCol w:w="36"/>
        <w:gridCol w:w="36"/>
        <w:gridCol w:w="36"/>
        <w:gridCol w:w="36"/>
        <w:gridCol w:w="36"/>
        <w:gridCol w:w="36"/>
        <w:gridCol w:w="37"/>
        <w:gridCol w:w="487"/>
        <w:gridCol w:w="220"/>
        <w:gridCol w:w="36"/>
        <w:gridCol w:w="36"/>
        <w:gridCol w:w="36"/>
        <w:gridCol w:w="61"/>
        <w:gridCol w:w="840"/>
        <w:gridCol w:w="18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76"/>
        <w:gridCol w:w="613"/>
        <w:gridCol w:w="298"/>
        <w:gridCol w:w="36"/>
        <w:gridCol w:w="36"/>
        <w:gridCol w:w="36"/>
        <w:gridCol w:w="36"/>
        <w:gridCol w:w="36"/>
      </w:tblGrid>
      <w:tr w:rsidR="00000000" w14:paraId="64E98C30" w14:textId="77777777">
        <w:trPr>
          <w:divId w:val="1308389788"/>
        </w:trPr>
        <w:tc>
          <w:tcPr>
            <w:tcW w:w="50" w:type="pct"/>
            <w:vAlign w:val="center"/>
            <w:hideMark/>
          </w:tcPr>
          <w:p w14:paraId="2C58DE1B" w14:textId="77777777" w:rsidR="00000000" w:rsidRDefault="00A173A8">
            <w:pPr>
              <w:ind w:hanging="360"/>
              <w:jc w:val="both"/>
              <w:rPr>
                <w:rFonts w:eastAsia="Times New Roman"/>
              </w:rPr>
            </w:pPr>
          </w:p>
        </w:tc>
        <w:tc>
          <w:tcPr>
            <w:tcW w:w="2971" w:type="pct"/>
            <w:vAlign w:val="center"/>
            <w:hideMark/>
          </w:tcPr>
          <w:p w14:paraId="684D8859" w14:textId="77777777" w:rsidR="00000000" w:rsidRDefault="00A173A8">
            <w:pPr>
              <w:spacing w:after="100"/>
              <w:rPr>
                <w:rFonts w:eastAsia="Times New Roman"/>
                <w:sz w:val="20"/>
                <w:szCs w:val="20"/>
              </w:rPr>
            </w:pPr>
          </w:p>
        </w:tc>
        <w:tc>
          <w:tcPr>
            <w:tcW w:w="5" w:type="pct"/>
            <w:vAlign w:val="center"/>
            <w:hideMark/>
          </w:tcPr>
          <w:p w14:paraId="0174B6AC" w14:textId="77777777" w:rsidR="00000000" w:rsidRDefault="00A173A8">
            <w:pPr>
              <w:spacing w:after="100"/>
              <w:rPr>
                <w:rFonts w:eastAsia="Times New Roman"/>
                <w:sz w:val="20"/>
                <w:szCs w:val="20"/>
              </w:rPr>
            </w:pPr>
          </w:p>
        </w:tc>
        <w:tc>
          <w:tcPr>
            <w:tcW w:w="0" w:type="auto"/>
            <w:vAlign w:val="center"/>
            <w:hideMark/>
          </w:tcPr>
          <w:p w14:paraId="75908D05" w14:textId="77777777" w:rsidR="00000000" w:rsidRDefault="00A173A8">
            <w:pPr>
              <w:spacing w:after="100"/>
              <w:rPr>
                <w:rFonts w:eastAsia="Times New Roman"/>
                <w:sz w:val="20"/>
                <w:szCs w:val="20"/>
              </w:rPr>
            </w:pPr>
          </w:p>
        </w:tc>
        <w:tc>
          <w:tcPr>
            <w:tcW w:w="0" w:type="auto"/>
            <w:vAlign w:val="center"/>
            <w:hideMark/>
          </w:tcPr>
          <w:p w14:paraId="457EDCEC" w14:textId="77777777" w:rsidR="00000000" w:rsidRDefault="00A173A8">
            <w:pPr>
              <w:spacing w:after="100"/>
              <w:rPr>
                <w:rFonts w:eastAsia="Times New Roman"/>
                <w:sz w:val="20"/>
                <w:szCs w:val="20"/>
              </w:rPr>
            </w:pPr>
          </w:p>
        </w:tc>
        <w:tc>
          <w:tcPr>
            <w:tcW w:w="0" w:type="auto"/>
            <w:vAlign w:val="center"/>
            <w:hideMark/>
          </w:tcPr>
          <w:p w14:paraId="2EEE2287" w14:textId="77777777" w:rsidR="00000000" w:rsidRDefault="00A173A8">
            <w:pPr>
              <w:spacing w:after="100"/>
              <w:rPr>
                <w:rFonts w:eastAsia="Times New Roman"/>
                <w:sz w:val="20"/>
                <w:szCs w:val="20"/>
              </w:rPr>
            </w:pPr>
          </w:p>
        </w:tc>
        <w:tc>
          <w:tcPr>
            <w:tcW w:w="0" w:type="auto"/>
            <w:vAlign w:val="center"/>
            <w:hideMark/>
          </w:tcPr>
          <w:p w14:paraId="00AF51E4" w14:textId="77777777" w:rsidR="00000000" w:rsidRDefault="00A173A8">
            <w:pPr>
              <w:spacing w:after="100"/>
              <w:rPr>
                <w:rFonts w:eastAsia="Times New Roman"/>
                <w:sz w:val="20"/>
                <w:szCs w:val="20"/>
              </w:rPr>
            </w:pPr>
          </w:p>
        </w:tc>
        <w:tc>
          <w:tcPr>
            <w:tcW w:w="0" w:type="auto"/>
            <w:vAlign w:val="center"/>
            <w:hideMark/>
          </w:tcPr>
          <w:p w14:paraId="60E537D2" w14:textId="77777777" w:rsidR="00000000" w:rsidRDefault="00A173A8">
            <w:pPr>
              <w:spacing w:after="100"/>
              <w:rPr>
                <w:rFonts w:eastAsia="Times New Roman"/>
                <w:sz w:val="20"/>
                <w:szCs w:val="20"/>
              </w:rPr>
            </w:pPr>
          </w:p>
        </w:tc>
        <w:tc>
          <w:tcPr>
            <w:tcW w:w="0" w:type="auto"/>
            <w:vAlign w:val="center"/>
            <w:hideMark/>
          </w:tcPr>
          <w:p w14:paraId="549B62A2" w14:textId="77777777" w:rsidR="00000000" w:rsidRDefault="00A173A8">
            <w:pPr>
              <w:spacing w:after="100"/>
              <w:rPr>
                <w:rFonts w:eastAsia="Times New Roman"/>
                <w:sz w:val="20"/>
                <w:szCs w:val="20"/>
              </w:rPr>
            </w:pPr>
          </w:p>
        </w:tc>
        <w:tc>
          <w:tcPr>
            <w:tcW w:w="5" w:type="pct"/>
            <w:vAlign w:val="center"/>
            <w:hideMark/>
          </w:tcPr>
          <w:p w14:paraId="6823C301" w14:textId="77777777" w:rsidR="00000000" w:rsidRDefault="00A173A8">
            <w:pPr>
              <w:spacing w:after="100"/>
              <w:rPr>
                <w:rFonts w:eastAsia="Times New Roman"/>
                <w:sz w:val="20"/>
                <w:szCs w:val="20"/>
              </w:rPr>
            </w:pPr>
          </w:p>
        </w:tc>
        <w:tc>
          <w:tcPr>
            <w:tcW w:w="26" w:type="pct"/>
            <w:vAlign w:val="center"/>
            <w:hideMark/>
          </w:tcPr>
          <w:p w14:paraId="3EFCFB9E" w14:textId="77777777" w:rsidR="00000000" w:rsidRDefault="00A173A8">
            <w:pPr>
              <w:spacing w:after="100"/>
              <w:rPr>
                <w:rFonts w:eastAsia="Times New Roman"/>
                <w:sz w:val="20"/>
                <w:szCs w:val="20"/>
              </w:rPr>
            </w:pPr>
          </w:p>
        </w:tc>
        <w:tc>
          <w:tcPr>
            <w:tcW w:w="5" w:type="pct"/>
            <w:vAlign w:val="center"/>
            <w:hideMark/>
          </w:tcPr>
          <w:p w14:paraId="0A4DB8B7" w14:textId="77777777" w:rsidR="00000000" w:rsidRDefault="00A173A8">
            <w:pPr>
              <w:spacing w:after="100"/>
              <w:rPr>
                <w:rFonts w:eastAsia="Times New Roman"/>
                <w:sz w:val="20"/>
                <w:szCs w:val="20"/>
              </w:rPr>
            </w:pPr>
          </w:p>
        </w:tc>
        <w:tc>
          <w:tcPr>
            <w:tcW w:w="50" w:type="pct"/>
            <w:vAlign w:val="center"/>
            <w:hideMark/>
          </w:tcPr>
          <w:p w14:paraId="62B3EF90" w14:textId="77777777" w:rsidR="00000000" w:rsidRDefault="00A173A8">
            <w:pPr>
              <w:spacing w:after="100"/>
              <w:rPr>
                <w:rFonts w:eastAsia="Times New Roman"/>
                <w:sz w:val="20"/>
                <w:szCs w:val="20"/>
              </w:rPr>
            </w:pPr>
          </w:p>
        </w:tc>
        <w:tc>
          <w:tcPr>
            <w:tcW w:w="602" w:type="pct"/>
            <w:vAlign w:val="center"/>
            <w:hideMark/>
          </w:tcPr>
          <w:p w14:paraId="2BFA5229" w14:textId="77777777" w:rsidR="00000000" w:rsidRDefault="00A173A8">
            <w:pPr>
              <w:spacing w:after="100"/>
              <w:rPr>
                <w:rFonts w:eastAsia="Times New Roman"/>
                <w:sz w:val="20"/>
                <w:szCs w:val="20"/>
              </w:rPr>
            </w:pPr>
          </w:p>
        </w:tc>
        <w:tc>
          <w:tcPr>
            <w:tcW w:w="5" w:type="pct"/>
            <w:vAlign w:val="center"/>
            <w:hideMark/>
          </w:tcPr>
          <w:p w14:paraId="3D2EC97C" w14:textId="77777777" w:rsidR="00000000" w:rsidRDefault="00A173A8">
            <w:pPr>
              <w:spacing w:after="100"/>
              <w:rPr>
                <w:rFonts w:eastAsia="Times New Roman"/>
                <w:sz w:val="20"/>
                <w:szCs w:val="20"/>
              </w:rPr>
            </w:pPr>
          </w:p>
        </w:tc>
        <w:tc>
          <w:tcPr>
            <w:tcW w:w="5" w:type="pct"/>
            <w:vAlign w:val="center"/>
            <w:hideMark/>
          </w:tcPr>
          <w:p w14:paraId="46F464AD" w14:textId="77777777" w:rsidR="00000000" w:rsidRDefault="00A173A8">
            <w:pPr>
              <w:spacing w:after="100"/>
              <w:rPr>
                <w:rFonts w:eastAsia="Times New Roman"/>
                <w:sz w:val="20"/>
                <w:szCs w:val="20"/>
              </w:rPr>
            </w:pPr>
          </w:p>
        </w:tc>
        <w:tc>
          <w:tcPr>
            <w:tcW w:w="26" w:type="pct"/>
            <w:vAlign w:val="center"/>
            <w:hideMark/>
          </w:tcPr>
          <w:p w14:paraId="28C71764" w14:textId="77777777" w:rsidR="00000000" w:rsidRDefault="00A173A8">
            <w:pPr>
              <w:spacing w:after="100"/>
              <w:rPr>
                <w:rFonts w:eastAsia="Times New Roman"/>
                <w:sz w:val="20"/>
                <w:szCs w:val="20"/>
              </w:rPr>
            </w:pPr>
          </w:p>
        </w:tc>
        <w:tc>
          <w:tcPr>
            <w:tcW w:w="5" w:type="pct"/>
            <w:vAlign w:val="center"/>
            <w:hideMark/>
          </w:tcPr>
          <w:p w14:paraId="78D9294C" w14:textId="77777777" w:rsidR="00000000" w:rsidRDefault="00A173A8">
            <w:pPr>
              <w:spacing w:after="100"/>
              <w:rPr>
                <w:rFonts w:eastAsia="Times New Roman"/>
                <w:sz w:val="20"/>
                <w:szCs w:val="20"/>
              </w:rPr>
            </w:pPr>
          </w:p>
        </w:tc>
        <w:tc>
          <w:tcPr>
            <w:tcW w:w="50" w:type="pct"/>
            <w:vAlign w:val="center"/>
            <w:hideMark/>
          </w:tcPr>
          <w:p w14:paraId="3E123DDF" w14:textId="77777777" w:rsidR="00000000" w:rsidRDefault="00A173A8">
            <w:pPr>
              <w:spacing w:after="100"/>
              <w:rPr>
                <w:rFonts w:eastAsia="Times New Roman"/>
                <w:sz w:val="20"/>
                <w:szCs w:val="20"/>
              </w:rPr>
            </w:pPr>
          </w:p>
        </w:tc>
        <w:tc>
          <w:tcPr>
            <w:tcW w:w="697" w:type="pct"/>
            <w:vAlign w:val="center"/>
            <w:hideMark/>
          </w:tcPr>
          <w:p w14:paraId="5CDC7830" w14:textId="77777777" w:rsidR="00000000" w:rsidRDefault="00A173A8">
            <w:pPr>
              <w:spacing w:after="100"/>
              <w:rPr>
                <w:rFonts w:eastAsia="Times New Roman"/>
                <w:sz w:val="20"/>
                <w:szCs w:val="20"/>
              </w:rPr>
            </w:pPr>
          </w:p>
        </w:tc>
        <w:tc>
          <w:tcPr>
            <w:tcW w:w="5" w:type="pct"/>
            <w:vAlign w:val="center"/>
            <w:hideMark/>
          </w:tcPr>
          <w:p w14:paraId="10FBC406" w14:textId="77777777" w:rsidR="00000000" w:rsidRDefault="00A173A8">
            <w:pPr>
              <w:spacing w:after="100"/>
              <w:rPr>
                <w:rFonts w:eastAsia="Times New Roman"/>
                <w:sz w:val="20"/>
                <w:szCs w:val="20"/>
              </w:rPr>
            </w:pPr>
          </w:p>
        </w:tc>
        <w:tc>
          <w:tcPr>
            <w:tcW w:w="0" w:type="auto"/>
            <w:gridSpan w:val="3"/>
            <w:vAlign w:val="center"/>
            <w:hideMark/>
          </w:tcPr>
          <w:p w14:paraId="259BD3F4" w14:textId="77777777" w:rsidR="00000000" w:rsidRDefault="00A173A8">
            <w:pPr>
              <w:spacing w:after="100"/>
              <w:rPr>
                <w:rFonts w:eastAsia="Times New Roman"/>
                <w:sz w:val="20"/>
                <w:szCs w:val="20"/>
              </w:rPr>
            </w:pPr>
          </w:p>
        </w:tc>
        <w:tc>
          <w:tcPr>
            <w:tcW w:w="0" w:type="auto"/>
            <w:gridSpan w:val="3"/>
            <w:vAlign w:val="center"/>
            <w:hideMark/>
          </w:tcPr>
          <w:p w14:paraId="661EECD6" w14:textId="77777777" w:rsidR="00000000" w:rsidRDefault="00A173A8">
            <w:pPr>
              <w:spacing w:after="100"/>
              <w:rPr>
                <w:rFonts w:eastAsia="Times New Roman"/>
                <w:sz w:val="20"/>
                <w:szCs w:val="20"/>
              </w:rPr>
            </w:pPr>
          </w:p>
        </w:tc>
        <w:tc>
          <w:tcPr>
            <w:tcW w:w="5" w:type="pct"/>
            <w:vAlign w:val="center"/>
            <w:hideMark/>
          </w:tcPr>
          <w:p w14:paraId="4B70CC98" w14:textId="77777777" w:rsidR="00000000" w:rsidRDefault="00A173A8">
            <w:pPr>
              <w:spacing w:after="100"/>
              <w:rPr>
                <w:rFonts w:eastAsia="Times New Roman"/>
                <w:sz w:val="20"/>
                <w:szCs w:val="20"/>
              </w:rPr>
            </w:pPr>
          </w:p>
        </w:tc>
        <w:tc>
          <w:tcPr>
            <w:tcW w:w="19" w:type="pct"/>
            <w:vAlign w:val="center"/>
            <w:hideMark/>
          </w:tcPr>
          <w:p w14:paraId="4165D0EA" w14:textId="77777777" w:rsidR="00000000" w:rsidRDefault="00A173A8">
            <w:pPr>
              <w:spacing w:after="100"/>
              <w:rPr>
                <w:rFonts w:eastAsia="Times New Roman"/>
                <w:sz w:val="20"/>
                <w:szCs w:val="20"/>
              </w:rPr>
            </w:pPr>
          </w:p>
        </w:tc>
        <w:tc>
          <w:tcPr>
            <w:tcW w:w="5" w:type="pct"/>
            <w:vAlign w:val="center"/>
            <w:hideMark/>
          </w:tcPr>
          <w:p w14:paraId="7A0C77D9" w14:textId="77777777" w:rsidR="00000000" w:rsidRDefault="00A173A8">
            <w:pPr>
              <w:spacing w:after="100"/>
              <w:rPr>
                <w:rFonts w:eastAsia="Times New Roman"/>
                <w:sz w:val="20"/>
                <w:szCs w:val="20"/>
              </w:rPr>
            </w:pPr>
          </w:p>
        </w:tc>
        <w:tc>
          <w:tcPr>
            <w:tcW w:w="0" w:type="auto"/>
            <w:gridSpan w:val="3"/>
            <w:vAlign w:val="center"/>
            <w:hideMark/>
          </w:tcPr>
          <w:p w14:paraId="4B5EADAD" w14:textId="77777777" w:rsidR="00000000" w:rsidRDefault="00A173A8">
            <w:pPr>
              <w:spacing w:after="100"/>
              <w:rPr>
                <w:rFonts w:eastAsia="Times New Roman"/>
                <w:sz w:val="20"/>
                <w:szCs w:val="20"/>
              </w:rPr>
            </w:pPr>
          </w:p>
        </w:tc>
        <w:tc>
          <w:tcPr>
            <w:tcW w:w="0" w:type="auto"/>
            <w:gridSpan w:val="3"/>
            <w:vAlign w:val="center"/>
            <w:hideMark/>
          </w:tcPr>
          <w:p w14:paraId="0A39AAC8" w14:textId="77777777" w:rsidR="00000000" w:rsidRDefault="00A173A8">
            <w:pPr>
              <w:spacing w:after="100"/>
              <w:rPr>
                <w:rFonts w:eastAsia="Times New Roman"/>
                <w:sz w:val="20"/>
                <w:szCs w:val="20"/>
              </w:rPr>
            </w:pPr>
          </w:p>
        </w:tc>
        <w:tc>
          <w:tcPr>
            <w:tcW w:w="0" w:type="auto"/>
            <w:gridSpan w:val="3"/>
            <w:vAlign w:val="center"/>
            <w:hideMark/>
          </w:tcPr>
          <w:p w14:paraId="61596178" w14:textId="77777777" w:rsidR="00000000" w:rsidRDefault="00A173A8">
            <w:pPr>
              <w:spacing w:after="100"/>
              <w:rPr>
                <w:rFonts w:eastAsia="Times New Roman"/>
                <w:sz w:val="20"/>
                <w:szCs w:val="20"/>
              </w:rPr>
            </w:pPr>
          </w:p>
        </w:tc>
        <w:tc>
          <w:tcPr>
            <w:tcW w:w="0" w:type="auto"/>
            <w:gridSpan w:val="3"/>
            <w:vAlign w:val="center"/>
            <w:hideMark/>
          </w:tcPr>
          <w:p w14:paraId="3CFD15E1" w14:textId="77777777" w:rsidR="00000000" w:rsidRDefault="00A173A8">
            <w:pPr>
              <w:spacing w:after="100"/>
              <w:rPr>
                <w:rFonts w:eastAsia="Times New Roman"/>
                <w:sz w:val="20"/>
                <w:szCs w:val="20"/>
              </w:rPr>
            </w:pPr>
          </w:p>
        </w:tc>
        <w:tc>
          <w:tcPr>
            <w:tcW w:w="50" w:type="pct"/>
            <w:vAlign w:val="center"/>
            <w:hideMark/>
          </w:tcPr>
          <w:p w14:paraId="543D380C" w14:textId="77777777" w:rsidR="00000000" w:rsidRDefault="00A173A8">
            <w:pPr>
              <w:spacing w:after="100"/>
              <w:rPr>
                <w:rFonts w:eastAsia="Times New Roman"/>
                <w:sz w:val="20"/>
                <w:szCs w:val="20"/>
              </w:rPr>
            </w:pPr>
          </w:p>
        </w:tc>
        <w:tc>
          <w:tcPr>
            <w:tcW w:w="405" w:type="pct"/>
            <w:vAlign w:val="center"/>
            <w:hideMark/>
          </w:tcPr>
          <w:p w14:paraId="4B9BFFFF" w14:textId="77777777" w:rsidR="00000000" w:rsidRDefault="00A173A8">
            <w:pPr>
              <w:spacing w:after="100"/>
              <w:rPr>
                <w:rFonts w:eastAsia="Times New Roman"/>
                <w:sz w:val="20"/>
                <w:szCs w:val="20"/>
              </w:rPr>
            </w:pPr>
          </w:p>
        </w:tc>
        <w:tc>
          <w:tcPr>
            <w:tcW w:w="5" w:type="pct"/>
            <w:vAlign w:val="center"/>
            <w:hideMark/>
          </w:tcPr>
          <w:p w14:paraId="3AB8B919" w14:textId="77777777" w:rsidR="00000000" w:rsidRDefault="00A173A8">
            <w:pPr>
              <w:spacing w:after="100"/>
              <w:rPr>
                <w:rFonts w:eastAsia="Times New Roman"/>
                <w:sz w:val="20"/>
                <w:szCs w:val="20"/>
              </w:rPr>
            </w:pPr>
          </w:p>
        </w:tc>
        <w:tc>
          <w:tcPr>
            <w:tcW w:w="0" w:type="auto"/>
            <w:gridSpan w:val="3"/>
            <w:vAlign w:val="center"/>
            <w:hideMark/>
          </w:tcPr>
          <w:p w14:paraId="5BA1B74B" w14:textId="77777777" w:rsidR="00000000" w:rsidRDefault="00A173A8">
            <w:pPr>
              <w:spacing w:after="100"/>
              <w:rPr>
                <w:rFonts w:eastAsia="Times New Roman"/>
                <w:sz w:val="20"/>
                <w:szCs w:val="20"/>
              </w:rPr>
            </w:pPr>
          </w:p>
        </w:tc>
        <w:tc>
          <w:tcPr>
            <w:tcW w:w="0" w:type="auto"/>
            <w:gridSpan w:val="2"/>
            <w:vAlign w:val="center"/>
            <w:hideMark/>
          </w:tcPr>
          <w:p w14:paraId="66018F76" w14:textId="77777777" w:rsidR="00000000" w:rsidRDefault="00A173A8">
            <w:pPr>
              <w:spacing w:after="100"/>
              <w:rPr>
                <w:rFonts w:eastAsia="Times New Roman"/>
                <w:sz w:val="20"/>
                <w:szCs w:val="20"/>
              </w:rPr>
            </w:pPr>
          </w:p>
        </w:tc>
      </w:tr>
      <w:tr w:rsidR="00000000" w14:paraId="41DDF08E" w14:textId="77777777">
        <w:trPr>
          <w:divId w:val="1308389788"/>
        </w:trPr>
        <w:tc>
          <w:tcPr>
            <w:tcW w:w="0" w:type="auto"/>
            <w:gridSpan w:val="3"/>
            <w:vAlign w:val="center"/>
            <w:hideMark/>
          </w:tcPr>
          <w:p w14:paraId="6EB403F9" w14:textId="77777777" w:rsidR="00000000" w:rsidRDefault="00A173A8">
            <w:pPr>
              <w:spacing w:after="100"/>
              <w:rPr>
                <w:rFonts w:eastAsia="Times New Roman"/>
                <w:sz w:val="20"/>
                <w:szCs w:val="20"/>
              </w:rPr>
            </w:pPr>
          </w:p>
        </w:tc>
        <w:tc>
          <w:tcPr>
            <w:tcW w:w="0" w:type="auto"/>
            <w:vAlign w:val="center"/>
            <w:hideMark/>
          </w:tcPr>
          <w:p w14:paraId="0B094EF0" w14:textId="77777777" w:rsidR="00000000" w:rsidRDefault="00A173A8">
            <w:pPr>
              <w:spacing w:after="100"/>
              <w:rPr>
                <w:rFonts w:eastAsia="Times New Roman"/>
                <w:sz w:val="20"/>
                <w:szCs w:val="20"/>
              </w:rPr>
            </w:pPr>
          </w:p>
        </w:tc>
        <w:tc>
          <w:tcPr>
            <w:tcW w:w="0" w:type="auto"/>
            <w:vAlign w:val="center"/>
            <w:hideMark/>
          </w:tcPr>
          <w:p w14:paraId="7F25FAD1" w14:textId="77777777" w:rsidR="00000000" w:rsidRDefault="00A173A8">
            <w:pPr>
              <w:spacing w:after="100"/>
              <w:rPr>
                <w:rFonts w:eastAsia="Times New Roman"/>
                <w:sz w:val="20"/>
                <w:szCs w:val="20"/>
              </w:rPr>
            </w:pPr>
          </w:p>
        </w:tc>
        <w:tc>
          <w:tcPr>
            <w:tcW w:w="0" w:type="auto"/>
            <w:vAlign w:val="center"/>
            <w:hideMark/>
          </w:tcPr>
          <w:p w14:paraId="6F141584" w14:textId="77777777" w:rsidR="00000000" w:rsidRDefault="00A173A8">
            <w:pPr>
              <w:spacing w:after="100"/>
              <w:rPr>
                <w:rFonts w:eastAsia="Times New Roman"/>
                <w:sz w:val="20"/>
                <w:szCs w:val="20"/>
              </w:rPr>
            </w:pPr>
          </w:p>
        </w:tc>
        <w:tc>
          <w:tcPr>
            <w:tcW w:w="0" w:type="auto"/>
            <w:vAlign w:val="center"/>
            <w:hideMark/>
          </w:tcPr>
          <w:p w14:paraId="708A50E0" w14:textId="77777777" w:rsidR="00000000" w:rsidRDefault="00A173A8">
            <w:pPr>
              <w:spacing w:after="100"/>
              <w:rPr>
                <w:rFonts w:eastAsia="Times New Roman"/>
                <w:sz w:val="20"/>
                <w:szCs w:val="20"/>
              </w:rPr>
            </w:pPr>
          </w:p>
        </w:tc>
        <w:tc>
          <w:tcPr>
            <w:tcW w:w="0" w:type="auto"/>
            <w:vAlign w:val="center"/>
            <w:hideMark/>
          </w:tcPr>
          <w:p w14:paraId="054D9F2F" w14:textId="77777777" w:rsidR="00000000" w:rsidRDefault="00A173A8">
            <w:pPr>
              <w:spacing w:after="100"/>
              <w:rPr>
                <w:rFonts w:eastAsia="Times New Roman"/>
                <w:sz w:val="20"/>
                <w:szCs w:val="20"/>
              </w:rPr>
            </w:pPr>
          </w:p>
        </w:tc>
        <w:tc>
          <w:tcPr>
            <w:tcW w:w="0" w:type="auto"/>
            <w:vAlign w:val="center"/>
            <w:hideMark/>
          </w:tcPr>
          <w:p w14:paraId="0DE080A7" w14:textId="77777777" w:rsidR="00000000" w:rsidRDefault="00A173A8">
            <w:pPr>
              <w:spacing w:after="100"/>
              <w:rPr>
                <w:rFonts w:eastAsia="Times New Roman"/>
                <w:sz w:val="20"/>
                <w:szCs w:val="20"/>
              </w:rPr>
            </w:pPr>
          </w:p>
        </w:tc>
        <w:tc>
          <w:tcPr>
            <w:tcW w:w="0" w:type="auto"/>
            <w:gridSpan w:val="3"/>
            <w:vAlign w:val="center"/>
            <w:hideMark/>
          </w:tcPr>
          <w:p w14:paraId="78B45171" w14:textId="77777777" w:rsidR="00000000" w:rsidRDefault="00A173A8">
            <w:pPr>
              <w:spacing w:after="100"/>
              <w:rPr>
                <w:rFonts w:eastAsia="Times New Roman"/>
                <w:sz w:val="20"/>
                <w:szCs w:val="20"/>
              </w:rPr>
            </w:pPr>
          </w:p>
        </w:tc>
        <w:tc>
          <w:tcPr>
            <w:tcW w:w="0" w:type="auto"/>
            <w:gridSpan w:val="3"/>
            <w:vAlign w:val="center"/>
            <w:hideMark/>
          </w:tcPr>
          <w:p w14:paraId="38A566E5" w14:textId="77777777" w:rsidR="00000000" w:rsidRDefault="00A173A8">
            <w:pPr>
              <w:spacing w:after="100"/>
              <w:rPr>
                <w:rFonts w:eastAsia="Times New Roman"/>
                <w:sz w:val="20"/>
                <w:szCs w:val="20"/>
              </w:rPr>
            </w:pPr>
          </w:p>
        </w:tc>
        <w:tc>
          <w:tcPr>
            <w:tcW w:w="0" w:type="auto"/>
            <w:gridSpan w:val="3"/>
            <w:vAlign w:val="center"/>
            <w:hideMark/>
          </w:tcPr>
          <w:p w14:paraId="3C6928FF" w14:textId="77777777" w:rsidR="00000000" w:rsidRDefault="00A173A8">
            <w:pPr>
              <w:spacing w:after="100"/>
              <w:rPr>
                <w:rFonts w:eastAsia="Times New Roman"/>
                <w:sz w:val="20"/>
                <w:szCs w:val="20"/>
              </w:rPr>
            </w:pPr>
          </w:p>
        </w:tc>
        <w:tc>
          <w:tcPr>
            <w:tcW w:w="0" w:type="auto"/>
            <w:gridSpan w:val="3"/>
            <w:vAlign w:val="center"/>
            <w:hideMark/>
          </w:tcPr>
          <w:p w14:paraId="29569541" w14:textId="77777777" w:rsidR="00000000" w:rsidRDefault="00A173A8">
            <w:pPr>
              <w:spacing w:after="100"/>
              <w:rPr>
                <w:rFonts w:eastAsia="Times New Roman"/>
                <w:sz w:val="20"/>
                <w:szCs w:val="20"/>
              </w:rPr>
            </w:pPr>
          </w:p>
        </w:tc>
        <w:tc>
          <w:tcPr>
            <w:tcW w:w="0" w:type="auto"/>
            <w:vAlign w:val="center"/>
            <w:hideMark/>
          </w:tcPr>
          <w:p w14:paraId="79A8B78D" w14:textId="77777777" w:rsidR="00000000" w:rsidRDefault="00A173A8">
            <w:pPr>
              <w:spacing w:after="100"/>
              <w:rPr>
                <w:rFonts w:eastAsia="Times New Roman"/>
                <w:sz w:val="20"/>
                <w:szCs w:val="20"/>
              </w:rPr>
            </w:pPr>
          </w:p>
        </w:tc>
        <w:tc>
          <w:tcPr>
            <w:tcW w:w="0" w:type="auto"/>
            <w:vAlign w:val="center"/>
            <w:hideMark/>
          </w:tcPr>
          <w:p w14:paraId="58968D5D" w14:textId="77777777" w:rsidR="00000000" w:rsidRDefault="00A173A8">
            <w:pPr>
              <w:spacing w:after="100"/>
              <w:rPr>
                <w:rFonts w:eastAsia="Times New Roman"/>
                <w:sz w:val="20"/>
                <w:szCs w:val="20"/>
              </w:rPr>
            </w:pPr>
          </w:p>
        </w:tc>
        <w:tc>
          <w:tcPr>
            <w:tcW w:w="0" w:type="auto"/>
            <w:vAlign w:val="center"/>
            <w:hideMark/>
          </w:tcPr>
          <w:p w14:paraId="22BA0D6A" w14:textId="77777777" w:rsidR="00000000" w:rsidRDefault="00A173A8">
            <w:pPr>
              <w:spacing w:after="100"/>
              <w:rPr>
                <w:rFonts w:eastAsia="Times New Roman"/>
                <w:sz w:val="20"/>
                <w:szCs w:val="20"/>
              </w:rPr>
            </w:pPr>
          </w:p>
        </w:tc>
        <w:tc>
          <w:tcPr>
            <w:tcW w:w="0" w:type="auto"/>
            <w:vAlign w:val="center"/>
            <w:hideMark/>
          </w:tcPr>
          <w:p w14:paraId="56A1732C" w14:textId="77777777" w:rsidR="00000000" w:rsidRDefault="00A173A8">
            <w:pPr>
              <w:spacing w:after="100"/>
              <w:rPr>
                <w:rFonts w:eastAsia="Times New Roman"/>
                <w:sz w:val="20"/>
                <w:szCs w:val="20"/>
              </w:rPr>
            </w:pPr>
          </w:p>
        </w:tc>
        <w:tc>
          <w:tcPr>
            <w:tcW w:w="0" w:type="auto"/>
            <w:vAlign w:val="center"/>
            <w:hideMark/>
          </w:tcPr>
          <w:p w14:paraId="0ACC4CC2" w14:textId="77777777" w:rsidR="00000000" w:rsidRDefault="00A173A8">
            <w:pPr>
              <w:spacing w:after="100"/>
              <w:rPr>
                <w:rFonts w:eastAsia="Times New Roman"/>
                <w:sz w:val="20"/>
                <w:szCs w:val="20"/>
              </w:rPr>
            </w:pPr>
          </w:p>
        </w:tc>
        <w:tc>
          <w:tcPr>
            <w:tcW w:w="0" w:type="auto"/>
            <w:vAlign w:val="center"/>
            <w:hideMark/>
          </w:tcPr>
          <w:p w14:paraId="5AA965EC" w14:textId="77777777" w:rsidR="00000000" w:rsidRDefault="00A173A8">
            <w:pPr>
              <w:spacing w:after="100"/>
              <w:rPr>
                <w:rFonts w:eastAsia="Times New Roman"/>
                <w:sz w:val="20"/>
                <w:szCs w:val="20"/>
              </w:rPr>
            </w:pPr>
          </w:p>
        </w:tc>
        <w:tc>
          <w:tcPr>
            <w:tcW w:w="0" w:type="auto"/>
            <w:vAlign w:val="center"/>
            <w:hideMark/>
          </w:tcPr>
          <w:p w14:paraId="2FB7F876" w14:textId="77777777" w:rsidR="00000000" w:rsidRDefault="00A173A8">
            <w:pPr>
              <w:spacing w:after="100"/>
              <w:rPr>
                <w:rFonts w:eastAsia="Times New Roman"/>
                <w:sz w:val="20"/>
                <w:szCs w:val="20"/>
              </w:rPr>
            </w:pPr>
          </w:p>
        </w:tc>
        <w:tc>
          <w:tcPr>
            <w:tcW w:w="0" w:type="auto"/>
            <w:vAlign w:val="center"/>
            <w:hideMark/>
          </w:tcPr>
          <w:p w14:paraId="3FC385A8" w14:textId="77777777" w:rsidR="00000000" w:rsidRDefault="00A173A8">
            <w:pPr>
              <w:spacing w:after="100"/>
              <w:rPr>
                <w:rFonts w:eastAsia="Times New Roman"/>
                <w:sz w:val="20"/>
                <w:szCs w:val="20"/>
              </w:rPr>
            </w:pPr>
          </w:p>
        </w:tc>
        <w:tc>
          <w:tcPr>
            <w:tcW w:w="0" w:type="auto"/>
            <w:vAlign w:val="center"/>
            <w:hideMark/>
          </w:tcPr>
          <w:p w14:paraId="4AEB601D" w14:textId="77777777" w:rsidR="00000000" w:rsidRDefault="00A173A8">
            <w:pPr>
              <w:spacing w:after="100"/>
              <w:rPr>
                <w:rFonts w:eastAsia="Times New Roman"/>
                <w:sz w:val="20"/>
                <w:szCs w:val="20"/>
              </w:rPr>
            </w:pPr>
          </w:p>
        </w:tc>
        <w:tc>
          <w:tcPr>
            <w:tcW w:w="0" w:type="auto"/>
            <w:vAlign w:val="center"/>
            <w:hideMark/>
          </w:tcPr>
          <w:p w14:paraId="42D30975" w14:textId="77777777" w:rsidR="00000000" w:rsidRDefault="00A173A8">
            <w:pPr>
              <w:spacing w:after="100"/>
              <w:rPr>
                <w:rFonts w:eastAsia="Times New Roman"/>
                <w:sz w:val="20"/>
                <w:szCs w:val="20"/>
              </w:rPr>
            </w:pPr>
          </w:p>
        </w:tc>
        <w:tc>
          <w:tcPr>
            <w:tcW w:w="0" w:type="auto"/>
            <w:vAlign w:val="center"/>
            <w:hideMark/>
          </w:tcPr>
          <w:p w14:paraId="351EADF0" w14:textId="77777777" w:rsidR="00000000" w:rsidRDefault="00A173A8">
            <w:pPr>
              <w:spacing w:after="100"/>
              <w:rPr>
                <w:rFonts w:eastAsia="Times New Roman"/>
                <w:sz w:val="20"/>
                <w:szCs w:val="20"/>
              </w:rPr>
            </w:pPr>
          </w:p>
        </w:tc>
        <w:tc>
          <w:tcPr>
            <w:tcW w:w="0" w:type="auto"/>
            <w:vAlign w:val="center"/>
            <w:hideMark/>
          </w:tcPr>
          <w:p w14:paraId="7503A142" w14:textId="77777777" w:rsidR="00000000" w:rsidRDefault="00A173A8">
            <w:pPr>
              <w:spacing w:after="100"/>
              <w:rPr>
                <w:rFonts w:eastAsia="Times New Roman"/>
                <w:sz w:val="20"/>
                <w:szCs w:val="20"/>
              </w:rPr>
            </w:pPr>
          </w:p>
        </w:tc>
        <w:tc>
          <w:tcPr>
            <w:tcW w:w="0" w:type="auto"/>
            <w:vAlign w:val="center"/>
            <w:hideMark/>
          </w:tcPr>
          <w:p w14:paraId="274E4F59" w14:textId="77777777" w:rsidR="00000000" w:rsidRDefault="00A173A8">
            <w:pPr>
              <w:spacing w:after="100"/>
              <w:rPr>
                <w:rFonts w:eastAsia="Times New Roman"/>
                <w:sz w:val="20"/>
                <w:szCs w:val="20"/>
              </w:rPr>
            </w:pPr>
          </w:p>
        </w:tc>
        <w:tc>
          <w:tcPr>
            <w:tcW w:w="0" w:type="auto"/>
            <w:vAlign w:val="center"/>
            <w:hideMark/>
          </w:tcPr>
          <w:p w14:paraId="0246D23E" w14:textId="77777777" w:rsidR="00000000" w:rsidRDefault="00A173A8">
            <w:pPr>
              <w:spacing w:after="100"/>
              <w:rPr>
                <w:rFonts w:eastAsia="Times New Roman"/>
                <w:sz w:val="20"/>
                <w:szCs w:val="20"/>
              </w:rPr>
            </w:pPr>
          </w:p>
        </w:tc>
        <w:tc>
          <w:tcPr>
            <w:tcW w:w="0" w:type="auto"/>
            <w:vAlign w:val="center"/>
            <w:hideMark/>
          </w:tcPr>
          <w:p w14:paraId="71FC3DE2" w14:textId="77777777" w:rsidR="00000000" w:rsidRDefault="00A173A8">
            <w:pPr>
              <w:spacing w:after="100"/>
              <w:rPr>
                <w:rFonts w:eastAsia="Times New Roman"/>
                <w:sz w:val="20"/>
                <w:szCs w:val="20"/>
              </w:rPr>
            </w:pPr>
          </w:p>
        </w:tc>
        <w:tc>
          <w:tcPr>
            <w:tcW w:w="0" w:type="auto"/>
            <w:vAlign w:val="center"/>
            <w:hideMark/>
          </w:tcPr>
          <w:p w14:paraId="74DEEB21" w14:textId="77777777" w:rsidR="00000000" w:rsidRDefault="00A173A8">
            <w:pPr>
              <w:spacing w:after="100"/>
              <w:rPr>
                <w:rFonts w:eastAsia="Times New Roman"/>
                <w:sz w:val="20"/>
                <w:szCs w:val="20"/>
              </w:rPr>
            </w:pPr>
          </w:p>
        </w:tc>
        <w:tc>
          <w:tcPr>
            <w:tcW w:w="0" w:type="auto"/>
            <w:vAlign w:val="center"/>
            <w:hideMark/>
          </w:tcPr>
          <w:p w14:paraId="26EF54A4" w14:textId="77777777" w:rsidR="00000000" w:rsidRDefault="00A173A8">
            <w:pPr>
              <w:spacing w:after="100"/>
              <w:rPr>
                <w:rFonts w:eastAsia="Times New Roman"/>
                <w:sz w:val="20"/>
                <w:szCs w:val="20"/>
              </w:rPr>
            </w:pPr>
          </w:p>
        </w:tc>
        <w:tc>
          <w:tcPr>
            <w:tcW w:w="0" w:type="auto"/>
            <w:vAlign w:val="center"/>
            <w:hideMark/>
          </w:tcPr>
          <w:p w14:paraId="468ED099" w14:textId="77777777" w:rsidR="00000000" w:rsidRDefault="00A173A8">
            <w:pPr>
              <w:spacing w:after="100"/>
              <w:rPr>
                <w:rFonts w:eastAsia="Times New Roman"/>
                <w:sz w:val="20"/>
                <w:szCs w:val="20"/>
              </w:rPr>
            </w:pPr>
          </w:p>
        </w:tc>
        <w:tc>
          <w:tcPr>
            <w:tcW w:w="0" w:type="auto"/>
            <w:vAlign w:val="center"/>
            <w:hideMark/>
          </w:tcPr>
          <w:p w14:paraId="6FE5602F" w14:textId="77777777" w:rsidR="00000000" w:rsidRDefault="00A173A8">
            <w:pPr>
              <w:spacing w:after="100"/>
              <w:rPr>
                <w:rFonts w:eastAsia="Times New Roman"/>
                <w:sz w:val="20"/>
                <w:szCs w:val="20"/>
              </w:rPr>
            </w:pPr>
          </w:p>
        </w:tc>
        <w:tc>
          <w:tcPr>
            <w:tcW w:w="0" w:type="auto"/>
            <w:vAlign w:val="center"/>
            <w:hideMark/>
          </w:tcPr>
          <w:p w14:paraId="4DA7ECC6" w14:textId="77777777" w:rsidR="00000000" w:rsidRDefault="00A173A8">
            <w:pPr>
              <w:spacing w:after="100"/>
              <w:rPr>
                <w:rFonts w:eastAsia="Times New Roman"/>
                <w:sz w:val="20"/>
                <w:szCs w:val="20"/>
              </w:rPr>
            </w:pPr>
          </w:p>
        </w:tc>
        <w:tc>
          <w:tcPr>
            <w:tcW w:w="0" w:type="auto"/>
            <w:vAlign w:val="center"/>
            <w:hideMark/>
          </w:tcPr>
          <w:p w14:paraId="3E3351F4" w14:textId="77777777" w:rsidR="00000000" w:rsidRDefault="00A173A8">
            <w:pPr>
              <w:spacing w:after="100"/>
              <w:rPr>
                <w:rFonts w:eastAsia="Times New Roman"/>
                <w:sz w:val="20"/>
                <w:szCs w:val="20"/>
              </w:rPr>
            </w:pPr>
          </w:p>
        </w:tc>
        <w:tc>
          <w:tcPr>
            <w:tcW w:w="0" w:type="auto"/>
            <w:vAlign w:val="center"/>
            <w:hideMark/>
          </w:tcPr>
          <w:p w14:paraId="51DBD84E" w14:textId="77777777" w:rsidR="00000000" w:rsidRDefault="00A173A8">
            <w:pPr>
              <w:spacing w:after="100"/>
              <w:rPr>
                <w:rFonts w:eastAsia="Times New Roman"/>
                <w:sz w:val="20"/>
                <w:szCs w:val="20"/>
              </w:rPr>
            </w:pPr>
          </w:p>
        </w:tc>
        <w:tc>
          <w:tcPr>
            <w:tcW w:w="0" w:type="auto"/>
            <w:vAlign w:val="center"/>
            <w:hideMark/>
          </w:tcPr>
          <w:p w14:paraId="7A05F9EE" w14:textId="77777777" w:rsidR="00000000" w:rsidRDefault="00A173A8">
            <w:pPr>
              <w:spacing w:after="100"/>
              <w:rPr>
                <w:rFonts w:eastAsia="Times New Roman"/>
                <w:sz w:val="20"/>
                <w:szCs w:val="20"/>
              </w:rPr>
            </w:pPr>
          </w:p>
        </w:tc>
        <w:tc>
          <w:tcPr>
            <w:tcW w:w="0" w:type="auto"/>
            <w:vAlign w:val="center"/>
            <w:hideMark/>
          </w:tcPr>
          <w:p w14:paraId="5252183F" w14:textId="77777777" w:rsidR="00000000" w:rsidRDefault="00A173A8">
            <w:pPr>
              <w:spacing w:after="100"/>
              <w:rPr>
                <w:rFonts w:eastAsia="Times New Roman"/>
                <w:sz w:val="20"/>
                <w:szCs w:val="20"/>
              </w:rPr>
            </w:pPr>
          </w:p>
        </w:tc>
        <w:tc>
          <w:tcPr>
            <w:tcW w:w="0" w:type="auto"/>
            <w:vAlign w:val="center"/>
            <w:hideMark/>
          </w:tcPr>
          <w:p w14:paraId="3278FB3C" w14:textId="77777777" w:rsidR="00000000" w:rsidRDefault="00A173A8">
            <w:pPr>
              <w:spacing w:after="100"/>
              <w:rPr>
                <w:rFonts w:eastAsia="Times New Roman"/>
                <w:sz w:val="20"/>
                <w:szCs w:val="20"/>
              </w:rPr>
            </w:pPr>
          </w:p>
        </w:tc>
        <w:tc>
          <w:tcPr>
            <w:tcW w:w="0" w:type="auto"/>
            <w:vAlign w:val="center"/>
            <w:hideMark/>
          </w:tcPr>
          <w:p w14:paraId="664AF82C" w14:textId="77777777" w:rsidR="00000000" w:rsidRDefault="00A173A8">
            <w:pPr>
              <w:spacing w:after="100"/>
              <w:rPr>
                <w:rFonts w:eastAsia="Times New Roman"/>
                <w:sz w:val="20"/>
                <w:szCs w:val="20"/>
              </w:rPr>
            </w:pPr>
          </w:p>
        </w:tc>
        <w:tc>
          <w:tcPr>
            <w:tcW w:w="0" w:type="auto"/>
            <w:vAlign w:val="center"/>
            <w:hideMark/>
          </w:tcPr>
          <w:p w14:paraId="651FA5D8" w14:textId="77777777" w:rsidR="00000000" w:rsidRDefault="00A173A8">
            <w:pPr>
              <w:spacing w:after="100"/>
              <w:rPr>
                <w:rFonts w:eastAsia="Times New Roman"/>
                <w:sz w:val="20"/>
                <w:szCs w:val="20"/>
              </w:rPr>
            </w:pPr>
          </w:p>
        </w:tc>
        <w:tc>
          <w:tcPr>
            <w:tcW w:w="0" w:type="auto"/>
            <w:vAlign w:val="center"/>
            <w:hideMark/>
          </w:tcPr>
          <w:p w14:paraId="0A2A44F6" w14:textId="77777777" w:rsidR="00000000" w:rsidRDefault="00A173A8">
            <w:pPr>
              <w:spacing w:after="100"/>
              <w:rPr>
                <w:rFonts w:eastAsia="Times New Roman"/>
                <w:sz w:val="20"/>
                <w:szCs w:val="20"/>
              </w:rPr>
            </w:pPr>
          </w:p>
        </w:tc>
        <w:tc>
          <w:tcPr>
            <w:tcW w:w="0" w:type="auto"/>
            <w:vAlign w:val="center"/>
            <w:hideMark/>
          </w:tcPr>
          <w:p w14:paraId="12A43DA7" w14:textId="77777777" w:rsidR="00000000" w:rsidRDefault="00A173A8">
            <w:pPr>
              <w:spacing w:after="100"/>
              <w:rPr>
                <w:rFonts w:eastAsia="Times New Roman"/>
                <w:sz w:val="20"/>
                <w:szCs w:val="20"/>
              </w:rPr>
            </w:pPr>
          </w:p>
        </w:tc>
      </w:tr>
      <w:tr w:rsidR="00000000" w14:paraId="42ECE078" w14:textId="77777777">
        <w:trPr>
          <w:divId w:val="1308389788"/>
        </w:trPr>
        <w:tc>
          <w:tcPr>
            <w:tcW w:w="0" w:type="auto"/>
            <w:gridSpan w:val="3"/>
            <w:tcBorders>
              <w:bottom w:val="single" w:sz="8" w:space="0" w:color="000000"/>
            </w:tcBorders>
            <w:tcMar>
              <w:top w:w="30" w:type="dxa"/>
              <w:left w:w="20" w:type="dxa"/>
              <w:bottom w:w="30" w:type="dxa"/>
              <w:right w:w="20" w:type="dxa"/>
            </w:tcMar>
            <w:vAlign w:val="bottom"/>
            <w:hideMark/>
          </w:tcPr>
          <w:p w14:paraId="7A625CF6"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vAlign w:val="center"/>
            <w:hideMark/>
          </w:tcPr>
          <w:p w14:paraId="2A95405B" w14:textId="77777777" w:rsidR="00000000" w:rsidRDefault="00A173A8">
            <w:pPr>
              <w:spacing w:after="100"/>
              <w:rPr>
                <w:rFonts w:eastAsia="Times New Roman"/>
              </w:rPr>
            </w:pPr>
          </w:p>
        </w:tc>
        <w:tc>
          <w:tcPr>
            <w:tcW w:w="0" w:type="auto"/>
            <w:vAlign w:val="center"/>
            <w:hideMark/>
          </w:tcPr>
          <w:p w14:paraId="3AD2A79E" w14:textId="77777777" w:rsidR="00000000" w:rsidRDefault="00A173A8">
            <w:pPr>
              <w:spacing w:after="100"/>
              <w:rPr>
                <w:rFonts w:eastAsia="Times New Roman"/>
                <w:sz w:val="20"/>
                <w:szCs w:val="20"/>
              </w:rPr>
            </w:pPr>
          </w:p>
        </w:tc>
        <w:tc>
          <w:tcPr>
            <w:tcW w:w="0" w:type="auto"/>
            <w:vAlign w:val="center"/>
            <w:hideMark/>
          </w:tcPr>
          <w:p w14:paraId="3E7539F5" w14:textId="77777777" w:rsidR="00000000" w:rsidRDefault="00A173A8">
            <w:pPr>
              <w:spacing w:after="100"/>
              <w:rPr>
                <w:rFonts w:eastAsia="Times New Roman"/>
                <w:sz w:val="20"/>
                <w:szCs w:val="20"/>
              </w:rPr>
            </w:pPr>
          </w:p>
        </w:tc>
        <w:tc>
          <w:tcPr>
            <w:tcW w:w="0" w:type="auto"/>
            <w:vAlign w:val="center"/>
            <w:hideMark/>
          </w:tcPr>
          <w:p w14:paraId="323D3283" w14:textId="77777777" w:rsidR="00000000" w:rsidRDefault="00A173A8">
            <w:pPr>
              <w:spacing w:after="100"/>
              <w:rPr>
                <w:rFonts w:eastAsia="Times New Roman"/>
                <w:sz w:val="20"/>
                <w:szCs w:val="20"/>
              </w:rPr>
            </w:pPr>
          </w:p>
        </w:tc>
        <w:tc>
          <w:tcPr>
            <w:tcW w:w="0" w:type="auto"/>
            <w:vAlign w:val="center"/>
            <w:hideMark/>
          </w:tcPr>
          <w:p w14:paraId="70C7A281" w14:textId="77777777" w:rsidR="00000000" w:rsidRDefault="00A173A8">
            <w:pPr>
              <w:spacing w:after="100"/>
              <w:rPr>
                <w:rFonts w:eastAsia="Times New Roman"/>
                <w:sz w:val="20"/>
                <w:szCs w:val="20"/>
              </w:rPr>
            </w:pPr>
          </w:p>
        </w:tc>
        <w:tc>
          <w:tcPr>
            <w:tcW w:w="0" w:type="auto"/>
            <w:vAlign w:val="center"/>
            <w:hideMark/>
          </w:tcPr>
          <w:p w14:paraId="35B223AD"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0F8495" w14:textId="77777777" w:rsidR="00000000" w:rsidRDefault="00A173A8">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045E0EB7"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27673A01"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E2902B1" w14:textId="77777777" w:rsidR="00000000" w:rsidRDefault="00A173A8">
            <w:pPr>
              <w:spacing w:after="100"/>
              <w:jc w:val="center"/>
              <w:rPr>
                <w:rFonts w:eastAsia="Times New Roman"/>
              </w:rPr>
            </w:pPr>
            <w:r>
              <w:rPr>
                <w:rFonts w:eastAsia="Times New Roman"/>
                <w:b/>
                <w:bCs/>
                <w:color w:val="000000"/>
                <w:sz w:val="20"/>
                <w:szCs w:val="20"/>
              </w:rPr>
              <w:t>December 31, 2021</w:t>
            </w:r>
          </w:p>
        </w:tc>
        <w:tc>
          <w:tcPr>
            <w:tcW w:w="0" w:type="auto"/>
            <w:gridSpan w:val="3"/>
            <w:vAlign w:val="center"/>
            <w:hideMark/>
          </w:tcPr>
          <w:p w14:paraId="46592155" w14:textId="77777777" w:rsidR="00000000" w:rsidRDefault="00A173A8">
            <w:pPr>
              <w:spacing w:after="100"/>
              <w:jc w:val="center"/>
              <w:rPr>
                <w:rFonts w:eastAsia="Times New Roman"/>
              </w:rPr>
            </w:pPr>
          </w:p>
        </w:tc>
        <w:tc>
          <w:tcPr>
            <w:tcW w:w="0" w:type="auto"/>
            <w:gridSpan w:val="3"/>
            <w:vAlign w:val="center"/>
            <w:hideMark/>
          </w:tcPr>
          <w:p w14:paraId="64609C5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5A5CA4" w14:textId="77777777" w:rsidR="00000000" w:rsidRDefault="00A173A8">
            <w:pPr>
              <w:spacing w:after="100"/>
              <w:rPr>
                <w:rFonts w:eastAsia="Times New Roman"/>
                <w:sz w:val="20"/>
                <w:szCs w:val="20"/>
              </w:rPr>
            </w:pPr>
          </w:p>
        </w:tc>
        <w:tc>
          <w:tcPr>
            <w:tcW w:w="0" w:type="auto"/>
            <w:gridSpan w:val="3"/>
            <w:vAlign w:val="center"/>
            <w:hideMark/>
          </w:tcPr>
          <w:p w14:paraId="4AA0F1C5" w14:textId="77777777" w:rsidR="00000000" w:rsidRDefault="00A173A8">
            <w:pPr>
              <w:spacing w:after="100"/>
              <w:rPr>
                <w:rFonts w:eastAsia="Times New Roman"/>
                <w:sz w:val="20"/>
                <w:szCs w:val="20"/>
              </w:rPr>
            </w:pPr>
          </w:p>
        </w:tc>
        <w:tc>
          <w:tcPr>
            <w:tcW w:w="0" w:type="auto"/>
            <w:gridSpan w:val="3"/>
            <w:vAlign w:val="center"/>
            <w:hideMark/>
          </w:tcPr>
          <w:p w14:paraId="1B67E584" w14:textId="77777777" w:rsidR="00000000" w:rsidRDefault="00A173A8">
            <w:pPr>
              <w:spacing w:after="100"/>
              <w:rPr>
                <w:rFonts w:eastAsia="Times New Roman"/>
                <w:sz w:val="20"/>
                <w:szCs w:val="20"/>
              </w:rPr>
            </w:pPr>
          </w:p>
        </w:tc>
        <w:tc>
          <w:tcPr>
            <w:tcW w:w="0" w:type="auto"/>
            <w:gridSpan w:val="3"/>
            <w:vAlign w:val="center"/>
            <w:hideMark/>
          </w:tcPr>
          <w:p w14:paraId="7BDCAF59" w14:textId="77777777" w:rsidR="00000000" w:rsidRDefault="00A173A8">
            <w:pPr>
              <w:spacing w:after="100"/>
              <w:rPr>
                <w:rFonts w:eastAsia="Times New Roman"/>
                <w:sz w:val="20"/>
                <w:szCs w:val="20"/>
              </w:rPr>
            </w:pPr>
          </w:p>
        </w:tc>
        <w:tc>
          <w:tcPr>
            <w:tcW w:w="0" w:type="auto"/>
            <w:gridSpan w:val="3"/>
            <w:vAlign w:val="center"/>
            <w:hideMark/>
          </w:tcPr>
          <w:p w14:paraId="5C3FE496" w14:textId="77777777" w:rsidR="00000000" w:rsidRDefault="00A173A8">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1A31470E"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vAlign w:val="center"/>
            <w:hideMark/>
          </w:tcPr>
          <w:p w14:paraId="6F7FA186" w14:textId="77777777" w:rsidR="00000000" w:rsidRDefault="00A173A8">
            <w:pPr>
              <w:spacing w:after="100"/>
              <w:jc w:val="center"/>
              <w:rPr>
                <w:rFonts w:eastAsia="Times New Roman"/>
              </w:rPr>
            </w:pPr>
          </w:p>
        </w:tc>
        <w:tc>
          <w:tcPr>
            <w:tcW w:w="0" w:type="auto"/>
            <w:gridSpan w:val="2"/>
            <w:vAlign w:val="center"/>
            <w:hideMark/>
          </w:tcPr>
          <w:p w14:paraId="0E648FCA" w14:textId="77777777" w:rsidR="00000000" w:rsidRDefault="00A173A8">
            <w:pPr>
              <w:spacing w:after="100"/>
              <w:rPr>
                <w:rFonts w:eastAsia="Times New Roman"/>
                <w:sz w:val="20"/>
                <w:szCs w:val="20"/>
              </w:rPr>
            </w:pPr>
          </w:p>
        </w:tc>
      </w:tr>
      <w:tr w:rsidR="00000000" w14:paraId="31260C63" w14:textId="77777777">
        <w:trPr>
          <w:divId w:val="1308389788"/>
        </w:trPr>
        <w:tc>
          <w:tcPr>
            <w:tcW w:w="0" w:type="auto"/>
            <w:gridSpan w:val="3"/>
            <w:shd w:val="clear" w:color="auto" w:fill="FFFFFF"/>
            <w:tcMar>
              <w:top w:w="30" w:type="dxa"/>
              <w:left w:w="20" w:type="dxa"/>
              <w:bottom w:w="30" w:type="dxa"/>
              <w:right w:w="20" w:type="dxa"/>
            </w:tcMar>
            <w:vAlign w:val="center"/>
            <w:hideMark/>
          </w:tcPr>
          <w:p w14:paraId="146C3C41" w14:textId="77777777" w:rsidR="00000000" w:rsidRDefault="00A173A8">
            <w:pPr>
              <w:spacing w:after="100"/>
              <w:divId w:val="1799060994"/>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(10</w:t>
            </w:r>
            <w:r>
              <w:rPr>
                <w:rFonts w:eastAsia="Times New Roman"/>
                <w:color w:val="000000"/>
                <w:sz w:val="13"/>
                <w:szCs w:val="13"/>
              </w:rPr>
              <w:t>)</w:t>
            </w:r>
          </w:p>
        </w:tc>
        <w:tc>
          <w:tcPr>
            <w:tcW w:w="0" w:type="auto"/>
            <w:vAlign w:val="center"/>
            <w:hideMark/>
          </w:tcPr>
          <w:p w14:paraId="1750493B" w14:textId="77777777" w:rsidR="00000000" w:rsidRDefault="00A173A8">
            <w:pPr>
              <w:spacing w:after="100"/>
              <w:rPr>
                <w:rFonts w:eastAsia="Times New Roman"/>
              </w:rPr>
            </w:pPr>
          </w:p>
        </w:tc>
        <w:tc>
          <w:tcPr>
            <w:tcW w:w="0" w:type="auto"/>
            <w:vAlign w:val="center"/>
            <w:hideMark/>
          </w:tcPr>
          <w:p w14:paraId="7E161813" w14:textId="77777777" w:rsidR="00000000" w:rsidRDefault="00A173A8">
            <w:pPr>
              <w:spacing w:after="100"/>
              <w:rPr>
                <w:rFonts w:eastAsia="Times New Roman"/>
                <w:sz w:val="20"/>
                <w:szCs w:val="20"/>
              </w:rPr>
            </w:pPr>
          </w:p>
        </w:tc>
        <w:tc>
          <w:tcPr>
            <w:tcW w:w="0" w:type="auto"/>
            <w:vAlign w:val="center"/>
            <w:hideMark/>
          </w:tcPr>
          <w:p w14:paraId="30A68139" w14:textId="77777777" w:rsidR="00000000" w:rsidRDefault="00A173A8">
            <w:pPr>
              <w:spacing w:after="100"/>
              <w:rPr>
                <w:rFonts w:eastAsia="Times New Roman"/>
                <w:sz w:val="20"/>
                <w:szCs w:val="20"/>
              </w:rPr>
            </w:pPr>
          </w:p>
        </w:tc>
        <w:tc>
          <w:tcPr>
            <w:tcW w:w="0" w:type="auto"/>
            <w:vAlign w:val="center"/>
            <w:hideMark/>
          </w:tcPr>
          <w:p w14:paraId="7EB825F8" w14:textId="77777777" w:rsidR="00000000" w:rsidRDefault="00A173A8">
            <w:pPr>
              <w:spacing w:after="100"/>
              <w:rPr>
                <w:rFonts w:eastAsia="Times New Roman"/>
                <w:sz w:val="20"/>
                <w:szCs w:val="20"/>
              </w:rPr>
            </w:pPr>
          </w:p>
        </w:tc>
        <w:tc>
          <w:tcPr>
            <w:tcW w:w="0" w:type="auto"/>
            <w:vAlign w:val="center"/>
            <w:hideMark/>
          </w:tcPr>
          <w:p w14:paraId="7995991F" w14:textId="77777777" w:rsidR="00000000" w:rsidRDefault="00A173A8">
            <w:pPr>
              <w:spacing w:after="100"/>
              <w:rPr>
                <w:rFonts w:eastAsia="Times New Roman"/>
                <w:sz w:val="20"/>
                <w:szCs w:val="20"/>
              </w:rPr>
            </w:pPr>
          </w:p>
        </w:tc>
        <w:tc>
          <w:tcPr>
            <w:tcW w:w="0" w:type="auto"/>
            <w:vAlign w:val="center"/>
            <w:hideMark/>
          </w:tcPr>
          <w:p w14:paraId="7B20282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B25889"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FB41EF" w14:textId="77777777" w:rsidR="00000000" w:rsidRDefault="00A173A8">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1D3035"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FCF5EE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78DBA7" w14:textId="77777777" w:rsidR="00000000" w:rsidRDefault="00A173A8">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14:paraId="148F4267" w14:textId="77777777" w:rsidR="00000000" w:rsidRDefault="00A173A8">
            <w:pPr>
              <w:spacing w:after="100"/>
              <w:rPr>
                <w:rFonts w:eastAsia="Times New Roman"/>
              </w:rPr>
            </w:pPr>
            <w:r>
              <w:rPr>
                <w:rFonts w:eastAsia="Times New Roman"/>
                <w:color w:val="000000"/>
                <w:sz w:val="20"/>
                <w:szCs w:val="20"/>
              </w:rPr>
              <w:t>%</w:t>
            </w:r>
          </w:p>
        </w:tc>
        <w:tc>
          <w:tcPr>
            <w:tcW w:w="0" w:type="auto"/>
            <w:gridSpan w:val="3"/>
            <w:vAlign w:val="center"/>
            <w:hideMark/>
          </w:tcPr>
          <w:p w14:paraId="56F32DC1" w14:textId="77777777" w:rsidR="00000000" w:rsidRDefault="00A173A8">
            <w:pPr>
              <w:spacing w:after="100"/>
              <w:rPr>
                <w:rFonts w:eastAsia="Times New Roman"/>
              </w:rPr>
            </w:pPr>
          </w:p>
        </w:tc>
        <w:tc>
          <w:tcPr>
            <w:tcW w:w="0" w:type="auto"/>
            <w:gridSpan w:val="3"/>
            <w:vAlign w:val="center"/>
            <w:hideMark/>
          </w:tcPr>
          <w:p w14:paraId="4A2F1D4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829B43" w14:textId="77777777" w:rsidR="00000000" w:rsidRDefault="00A173A8">
            <w:pPr>
              <w:spacing w:after="100"/>
              <w:rPr>
                <w:rFonts w:eastAsia="Times New Roman"/>
                <w:sz w:val="20"/>
                <w:szCs w:val="20"/>
              </w:rPr>
            </w:pPr>
          </w:p>
        </w:tc>
        <w:tc>
          <w:tcPr>
            <w:tcW w:w="0" w:type="auto"/>
            <w:gridSpan w:val="3"/>
            <w:vAlign w:val="center"/>
            <w:hideMark/>
          </w:tcPr>
          <w:p w14:paraId="098B1FDA" w14:textId="77777777" w:rsidR="00000000" w:rsidRDefault="00A173A8">
            <w:pPr>
              <w:spacing w:after="100"/>
              <w:rPr>
                <w:rFonts w:eastAsia="Times New Roman"/>
                <w:sz w:val="20"/>
                <w:szCs w:val="20"/>
              </w:rPr>
            </w:pPr>
          </w:p>
        </w:tc>
        <w:tc>
          <w:tcPr>
            <w:tcW w:w="0" w:type="auto"/>
            <w:gridSpan w:val="3"/>
            <w:vAlign w:val="center"/>
            <w:hideMark/>
          </w:tcPr>
          <w:p w14:paraId="39519EC0" w14:textId="77777777" w:rsidR="00000000" w:rsidRDefault="00A173A8">
            <w:pPr>
              <w:spacing w:after="100"/>
              <w:rPr>
                <w:rFonts w:eastAsia="Times New Roman"/>
                <w:sz w:val="20"/>
                <w:szCs w:val="20"/>
              </w:rPr>
            </w:pPr>
          </w:p>
        </w:tc>
        <w:tc>
          <w:tcPr>
            <w:tcW w:w="0" w:type="auto"/>
            <w:gridSpan w:val="3"/>
            <w:vAlign w:val="center"/>
            <w:hideMark/>
          </w:tcPr>
          <w:p w14:paraId="0B43FA34" w14:textId="77777777" w:rsidR="00000000" w:rsidRDefault="00A173A8">
            <w:pPr>
              <w:spacing w:after="100"/>
              <w:rPr>
                <w:rFonts w:eastAsia="Times New Roman"/>
                <w:sz w:val="20"/>
                <w:szCs w:val="20"/>
              </w:rPr>
            </w:pPr>
          </w:p>
        </w:tc>
        <w:tc>
          <w:tcPr>
            <w:tcW w:w="0" w:type="auto"/>
            <w:gridSpan w:val="3"/>
            <w:vAlign w:val="center"/>
            <w:hideMark/>
          </w:tcPr>
          <w:p w14:paraId="49E2572F"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378C0E" w14:textId="77777777" w:rsidR="00000000" w:rsidRDefault="00A173A8">
            <w:pPr>
              <w:spacing w:after="100"/>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bottom"/>
            <w:hideMark/>
          </w:tcPr>
          <w:p w14:paraId="6D04B0BA"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67FCBFE3" w14:textId="77777777" w:rsidR="00000000" w:rsidRDefault="00A173A8">
            <w:pPr>
              <w:spacing w:after="100"/>
              <w:jc w:val="right"/>
              <w:rPr>
                <w:rFonts w:eastAsia="Times New Roman"/>
              </w:rPr>
            </w:pPr>
          </w:p>
        </w:tc>
        <w:tc>
          <w:tcPr>
            <w:tcW w:w="0" w:type="auto"/>
            <w:gridSpan w:val="2"/>
            <w:vAlign w:val="center"/>
            <w:hideMark/>
          </w:tcPr>
          <w:p w14:paraId="665A4C17" w14:textId="77777777" w:rsidR="00000000" w:rsidRDefault="00A173A8">
            <w:pPr>
              <w:spacing w:after="100"/>
              <w:rPr>
                <w:rFonts w:eastAsia="Times New Roman"/>
                <w:sz w:val="20"/>
                <w:szCs w:val="20"/>
              </w:rPr>
            </w:pPr>
          </w:p>
        </w:tc>
      </w:tr>
      <w:tr w:rsidR="00000000" w14:paraId="120CC604" w14:textId="77777777">
        <w:trPr>
          <w:divId w:val="1308389788"/>
        </w:trPr>
        <w:tc>
          <w:tcPr>
            <w:tcW w:w="0" w:type="auto"/>
            <w:gridSpan w:val="3"/>
            <w:shd w:val="clear" w:color="auto" w:fill="CCEEFF"/>
            <w:tcMar>
              <w:top w:w="30" w:type="dxa"/>
              <w:left w:w="20" w:type="dxa"/>
              <w:bottom w:w="30" w:type="dxa"/>
              <w:right w:w="20" w:type="dxa"/>
            </w:tcMar>
            <w:vAlign w:val="center"/>
            <w:hideMark/>
          </w:tcPr>
          <w:p w14:paraId="1BB5F960" w14:textId="77777777" w:rsidR="00000000" w:rsidRDefault="00A173A8">
            <w:pPr>
              <w:spacing w:after="100"/>
              <w:divId w:val="951278890"/>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(10</w:t>
            </w:r>
            <w:r>
              <w:rPr>
                <w:rFonts w:eastAsia="Times New Roman"/>
                <w:color w:val="000000"/>
                <w:sz w:val="13"/>
                <w:szCs w:val="13"/>
              </w:rPr>
              <w:t>)</w:t>
            </w:r>
          </w:p>
        </w:tc>
        <w:tc>
          <w:tcPr>
            <w:tcW w:w="0" w:type="auto"/>
            <w:vAlign w:val="center"/>
            <w:hideMark/>
          </w:tcPr>
          <w:p w14:paraId="2F2C8F53" w14:textId="77777777" w:rsidR="00000000" w:rsidRDefault="00A173A8">
            <w:pPr>
              <w:spacing w:after="100"/>
              <w:rPr>
                <w:rFonts w:eastAsia="Times New Roman"/>
              </w:rPr>
            </w:pPr>
          </w:p>
        </w:tc>
        <w:tc>
          <w:tcPr>
            <w:tcW w:w="0" w:type="auto"/>
            <w:vAlign w:val="center"/>
            <w:hideMark/>
          </w:tcPr>
          <w:p w14:paraId="5B832683" w14:textId="77777777" w:rsidR="00000000" w:rsidRDefault="00A173A8">
            <w:pPr>
              <w:spacing w:after="100"/>
              <w:rPr>
                <w:rFonts w:eastAsia="Times New Roman"/>
                <w:sz w:val="20"/>
                <w:szCs w:val="20"/>
              </w:rPr>
            </w:pPr>
          </w:p>
        </w:tc>
        <w:tc>
          <w:tcPr>
            <w:tcW w:w="0" w:type="auto"/>
            <w:vAlign w:val="center"/>
            <w:hideMark/>
          </w:tcPr>
          <w:p w14:paraId="516954BE" w14:textId="77777777" w:rsidR="00000000" w:rsidRDefault="00A173A8">
            <w:pPr>
              <w:spacing w:after="100"/>
              <w:rPr>
                <w:rFonts w:eastAsia="Times New Roman"/>
                <w:sz w:val="20"/>
                <w:szCs w:val="20"/>
              </w:rPr>
            </w:pPr>
          </w:p>
        </w:tc>
        <w:tc>
          <w:tcPr>
            <w:tcW w:w="0" w:type="auto"/>
            <w:vAlign w:val="center"/>
            <w:hideMark/>
          </w:tcPr>
          <w:p w14:paraId="50E4DF1B" w14:textId="77777777" w:rsidR="00000000" w:rsidRDefault="00A173A8">
            <w:pPr>
              <w:spacing w:after="100"/>
              <w:rPr>
                <w:rFonts w:eastAsia="Times New Roman"/>
                <w:sz w:val="20"/>
                <w:szCs w:val="20"/>
              </w:rPr>
            </w:pPr>
          </w:p>
        </w:tc>
        <w:tc>
          <w:tcPr>
            <w:tcW w:w="0" w:type="auto"/>
            <w:vAlign w:val="center"/>
            <w:hideMark/>
          </w:tcPr>
          <w:p w14:paraId="774FDFBA" w14:textId="77777777" w:rsidR="00000000" w:rsidRDefault="00A173A8">
            <w:pPr>
              <w:spacing w:after="100"/>
              <w:rPr>
                <w:rFonts w:eastAsia="Times New Roman"/>
                <w:sz w:val="20"/>
                <w:szCs w:val="20"/>
              </w:rPr>
            </w:pPr>
          </w:p>
        </w:tc>
        <w:tc>
          <w:tcPr>
            <w:tcW w:w="0" w:type="auto"/>
            <w:vAlign w:val="center"/>
            <w:hideMark/>
          </w:tcPr>
          <w:p w14:paraId="4E46E95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738C4D"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DA0E96" w14:textId="77777777" w:rsidR="00000000" w:rsidRDefault="00A173A8">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6E553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7750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E12572" w14:textId="77777777" w:rsidR="00000000" w:rsidRDefault="00A173A8">
            <w:pPr>
              <w:spacing w:after="100"/>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14:paraId="19666996" w14:textId="77777777" w:rsidR="00000000" w:rsidRDefault="00A173A8">
            <w:pPr>
              <w:spacing w:after="100"/>
              <w:jc w:val="right"/>
              <w:rPr>
                <w:rFonts w:eastAsia="Times New Roman"/>
              </w:rPr>
            </w:pPr>
          </w:p>
        </w:tc>
        <w:tc>
          <w:tcPr>
            <w:tcW w:w="0" w:type="auto"/>
            <w:gridSpan w:val="3"/>
            <w:vAlign w:val="center"/>
            <w:hideMark/>
          </w:tcPr>
          <w:p w14:paraId="08ED4F26" w14:textId="77777777" w:rsidR="00000000" w:rsidRDefault="00A173A8">
            <w:pPr>
              <w:spacing w:after="100"/>
              <w:jc w:val="right"/>
              <w:rPr>
                <w:rFonts w:eastAsia="Times New Roman"/>
                <w:sz w:val="20"/>
                <w:szCs w:val="20"/>
              </w:rPr>
            </w:pPr>
          </w:p>
        </w:tc>
        <w:tc>
          <w:tcPr>
            <w:tcW w:w="0" w:type="auto"/>
            <w:gridSpan w:val="3"/>
            <w:vAlign w:val="center"/>
            <w:hideMark/>
          </w:tcPr>
          <w:p w14:paraId="13022C5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6CB12B" w14:textId="77777777" w:rsidR="00000000" w:rsidRDefault="00A173A8">
            <w:pPr>
              <w:spacing w:after="100"/>
              <w:rPr>
                <w:rFonts w:eastAsia="Times New Roman"/>
                <w:sz w:val="20"/>
                <w:szCs w:val="20"/>
              </w:rPr>
            </w:pPr>
          </w:p>
        </w:tc>
        <w:tc>
          <w:tcPr>
            <w:tcW w:w="0" w:type="auto"/>
            <w:gridSpan w:val="3"/>
            <w:vAlign w:val="center"/>
            <w:hideMark/>
          </w:tcPr>
          <w:p w14:paraId="45D5A01A" w14:textId="77777777" w:rsidR="00000000" w:rsidRDefault="00A173A8">
            <w:pPr>
              <w:spacing w:after="100"/>
              <w:rPr>
                <w:rFonts w:eastAsia="Times New Roman"/>
                <w:sz w:val="20"/>
                <w:szCs w:val="20"/>
              </w:rPr>
            </w:pPr>
          </w:p>
        </w:tc>
        <w:tc>
          <w:tcPr>
            <w:tcW w:w="0" w:type="auto"/>
            <w:gridSpan w:val="3"/>
            <w:vAlign w:val="center"/>
            <w:hideMark/>
          </w:tcPr>
          <w:p w14:paraId="2F6BEB59" w14:textId="77777777" w:rsidR="00000000" w:rsidRDefault="00A173A8">
            <w:pPr>
              <w:spacing w:after="100"/>
              <w:rPr>
                <w:rFonts w:eastAsia="Times New Roman"/>
                <w:sz w:val="20"/>
                <w:szCs w:val="20"/>
              </w:rPr>
            </w:pPr>
          </w:p>
        </w:tc>
        <w:tc>
          <w:tcPr>
            <w:tcW w:w="0" w:type="auto"/>
            <w:gridSpan w:val="3"/>
            <w:vAlign w:val="center"/>
            <w:hideMark/>
          </w:tcPr>
          <w:p w14:paraId="5A30905E" w14:textId="77777777" w:rsidR="00000000" w:rsidRDefault="00A173A8">
            <w:pPr>
              <w:spacing w:after="100"/>
              <w:rPr>
                <w:rFonts w:eastAsia="Times New Roman"/>
                <w:sz w:val="20"/>
                <w:szCs w:val="20"/>
              </w:rPr>
            </w:pPr>
          </w:p>
        </w:tc>
        <w:tc>
          <w:tcPr>
            <w:tcW w:w="0" w:type="auto"/>
            <w:gridSpan w:val="3"/>
            <w:vAlign w:val="center"/>
            <w:hideMark/>
          </w:tcPr>
          <w:p w14:paraId="141F5A97"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E310AD" w14:textId="77777777" w:rsidR="00000000" w:rsidRDefault="00A173A8">
            <w:pPr>
              <w:spacing w:after="100"/>
              <w:jc w:val="right"/>
              <w:rPr>
                <w:rFonts w:eastAsia="Times New Roman"/>
              </w:rPr>
            </w:pPr>
            <w:r>
              <w:rPr>
                <w:rFonts w:eastAsia="Times New Roman"/>
                <w:color w:val="000000"/>
                <w:sz w:val="20"/>
                <w:szCs w:val="20"/>
              </w:rPr>
              <w:t>(100)</w:t>
            </w:r>
          </w:p>
        </w:tc>
        <w:tc>
          <w:tcPr>
            <w:tcW w:w="0" w:type="auto"/>
            <w:shd w:val="clear" w:color="auto" w:fill="CCEEFF"/>
            <w:tcMar>
              <w:top w:w="30" w:type="dxa"/>
              <w:left w:w="0" w:type="dxa"/>
              <w:bottom w:w="30" w:type="dxa"/>
              <w:right w:w="20" w:type="dxa"/>
            </w:tcMar>
            <w:vAlign w:val="bottom"/>
            <w:hideMark/>
          </w:tcPr>
          <w:p w14:paraId="4F036AB4" w14:textId="77777777" w:rsidR="00000000" w:rsidRDefault="00A173A8">
            <w:pPr>
              <w:spacing w:after="100"/>
              <w:jc w:val="right"/>
              <w:rPr>
                <w:rFonts w:eastAsia="Times New Roman"/>
              </w:rPr>
            </w:pPr>
          </w:p>
        </w:tc>
        <w:tc>
          <w:tcPr>
            <w:tcW w:w="0" w:type="auto"/>
            <w:gridSpan w:val="3"/>
            <w:vAlign w:val="center"/>
            <w:hideMark/>
          </w:tcPr>
          <w:p w14:paraId="51215B86" w14:textId="77777777" w:rsidR="00000000" w:rsidRDefault="00A173A8">
            <w:pPr>
              <w:spacing w:after="100"/>
              <w:jc w:val="right"/>
              <w:rPr>
                <w:rFonts w:eastAsia="Times New Roman"/>
                <w:sz w:val="20"/>
                <w:szCs w:val="20"/>
              </w:rPr>
            </w:pPr>
          </w:p>
        </w:tc>
        <w:tc>
          <w:tcPr>
            <w:tcW w:w="0" w:type="auto"/>
            <w:gridSpan w:val="2"/>
            <w:vAlign w:val="center"/>
            <w:hideMark/>
          </w:tcPr>
          <w:p w14:paraId="07C0FF3F" w14:textId="77777777" w:rsidR="00000000" w:rsidRDefault="00A173A8">
            <w:pPr>
              <w:spacing w:after="100"/>
              <w:rPr>
                <w:rFonts w:eastAsia="Times New Roman"/>
                <w:sz w:val="20"/>
                <w:szCs w:val="20"/>
              </w:rPr>
            </w:pPr>
          </w:p>
        </w:tc>
      </w:tr>
      <w:tr w:rsidR="00000000" w14:paraId="7C5C5800" w14:textId="77777777">
        <w:trPr>
          <w:divId w:val="1308389788"/>
        </w:trPr>
        <w:tc>
          <w:tcPr>
            <w:tcW w:w="0" w:type="auto"/>
            <w:gridSpan w:val="3"/>
            <w:shd w:val="clear" w:color="auto" w:fill="FFFFFF"/>
            <w:tcMar>
              <w:top w:w="30" w:type="dxa"/>
              <w:left w:w="20" w:type="dxa"/>
              <w:bottom w:w="30" w:type="dxa"/>
              <w:right w:w="20" w:type="dxa"/>
            </w:tcMar>
            <w:vAlign w:val="center"/>
            <w:hideMark/>
          </w:tcPr>
          <w:p w14:paraId="0F154ECA" w14:textId="77777777" w:rsidR="00000000" w:rsidRDefault="00A173A8">
            <w:pPr>
              <w:spacing w:after="100"/>
              <w:divId w:val="917012227"/>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(10</w:t>
            </w:r>
            <w:r>
              <w:rPr>
                <w:rFonts w:eastAsia="Times New Roman"/>
                <w:color w:val="000000"/>
                <w:sz w:val="13"/>
                <w:szCs w:val="13"/>
              </w:rPr>
              <w:t>)</w:t>
            </w:r>
          </w:p>
        </w:tc>
        <w:tc>
          <w:tcPr>
            <w:tcW w:w="0" w:type="auto"/>
            <w:vAlign w:val="center"/>
            <w:hideMark/>
          </w:tcPr>
          <w:p w14:paraId="3F7C4BDD" w14:textId="77777777" w:rsidR="00000000" w:rsidRDefault="00A173A8">
            <w:pPr>
              <w:spacing w:after="100"/>
              <w:rPr>
                <w:rFonts w:eastAsia="Times New Roman"/>
              </w:rPr>
            </w:pPr>
          </w:p>
        </w:tc>
        <w:tc>
          <w:tcPr>
            <w:tcW w:w="0" w:type="auto"/>
            <w:vAlign w:val="center"/>
            <w:hideMark/>
          </w:tcPr>
          <w:p w14:paraId="1E7724C5" w14:textId="77777777" w:rsidR="00000000" w:rsidRDefault="00A173A8">
            <w:pPr>
              <w:spacing w:after="100"/>
              <w:rPr>
                <w:rFonts w:eastAsia="Times New Roman"/>
                <w:sz w:val="20"/>
                <w:szCs w:val="20"/>
              </w:rPr>
            </w:pPr>
          </w:p>
        </w:tc>
        <w:tc>
          <w:tcPr>
            <w:tcW w:w="0" w:type="auto"/>
            <w:vAlign w:val="center"/>
            <w:hideMark/>
          </w:tcPr>
          <w:p w14:paraId="5BCA57FB" w14:textId="77777777" w:rsidR="00000000" w:rsidRDefault="00A173A8">
            <w:pPr>
              <w:spacing w:after="100"/>
              <w:rPr>
                <w:rFonts w:eastAsia="Times New Roman"/>
                <w:sz w:val="20"/>
                <w:szCs w:val="20"/>
              </w:rPr>
            </w:pPr>
          </w:p>
        </w:tc>
        <w:tc>
          <w:tcPr>
            <w:tcW w:w="0" w:type="auto"/>
            <w:vAlign w:val="center"/>
            <w:hideMark/>
          </w:tcPr>
          <w:p w14:paraId="7C9E1DC8" w14:textId="77777777" w:rsidR="00000000" w:rsidRDefault="00A173A8">
            <w:pPr>
              <w:spacing w:after="100"/>
              <w:rPr>
                <w:rFonts w:eastAsia="Times New Roman"/>
                <w:sz w:val="20"/>
                <w:szCs w:val="20"/>
              </w:rPr>
            </w:pPr>
          </w:p>
        </w:tc>
        <w:tc>
          <w:tcPr>
            <w:tcW w:w="0" w:type="auto"/>
            <w:vAlign w:val="center"/>
            <w:hideMark/>
          </w:tcPr>
          <w:p w14:paraId="58E98D8C" w14:textId="77777777" w:rsidR="00000000" w:rsidRDefault="00A173A8">
            <w:pPr>
              <w:spacing w:after="100"/>
              <w:rPr>
                <w:rFonts w:eastAsia="Times New Roman"/>
                <w:sz w:val="20"/>
                <w:szCs w:val="20"/>
              </w:rPr>
            </w:pPr>
          </w:p>
        </w:tc>
        <w:tc>
          <w:tcPr>
            <w:tcW w:w="0" w:type="auto"/>
            <w:vAlign w:val="center"/>
            <w:hideMark/>
          </w:tcPr>
          <w:p w14:paraId="12E8127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1A556C"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4BEE6B" w14:textId="77777777" w:rsidR="00000000" w:rsidRDefault="00A173A8">
            <w:pPr>
              <w:spacing w:after="100"/>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06652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633A5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13BA0" w14:textId="77777777" w:rsidR="00000000" w:rsidRDefault="00A173A8">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bottom"/>
            <w:hideMark/>
          </w:tcPr>
          <w:p w14:paraId="1A19346E" w14:textId="77777777" w:rsidR="00000000" w:rsidRDefault="00A173A8">
            <w:pPr>
              <w:spacing w:after="100"/>
              <w:jc w:val="right"/>
              <w:rPr>
                <w:rFonts w:eastAsia="Times New Roman"/>
              </w:rPr>
            </w:pPr>
          </w:p>
        </w:tc>
        <w:tc>
          <w:tcPr>
            <w:tcW w:w="0" w:type="auto"/>
            <w:gridSpan w:val="3"/>
            <w:vAlign w:val="center"/>
            <w:hideMark/>
          </w:tcPr>
          <w:p w14:paraId="53FD287E" w14:textId="77777777" w:rsidR="00000000" w:rsidRDefault="00A173A8">
            <w:pPr>
              <w:spacing w:after="100"/>
              <w:jc w:val="right"/>
              <w:rPr>
                <w:rFonts w:eastAsia="Times New Roman"/>
                <w:sz w:val="20"/>
                <w:szCs w:val="20"/>
              </w:rPr>
            </w:pPr>
          </w:p>
        </w:tc>
        <w:tc>
          <w:tcPr>
            <w:tcW w:w="0" w:type="auto"/>
            <w:gridSpan w:val="3"/>
            <w:vAlign w:val="center"/>
            <w:hideMark/>
          </w:tcPr>
          <w:p w14:paraId="32073D0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BCBB16" w14:textId="77777777" w:rsidR="00000000" w:rsidRDefault="00A173A8">
            <w:pPr>
              <w:spacing w:after="100"/>
              <w:rPr>
                <w:rFonts w:eastAsia="Times New Roman"/>
                <w:sz w:val="20"/>
                <w:szCs w:val="20"/>
              </w:rPr>
            </w:pPr>
          </w:p>
        </w:tc>
        <w:tc>
          <w:tcPr>
            <w:tcW w:w="0" w:type="auto"/>
            <w:gridSpan w:val="3"/>
            <w:vAlign w:val="center"/>
            <w:hideMark/>
          </w:tcPr>
          <w:p w14:paraId="156225C5" w14:textId="77777777" w:rsidR="00000000" w:rsidRDefault="00A173A8">
            <w:pPr>
              <w:spacing w:after="100"/>
              <w:rPr>
                <w:rFonts w:eastAsia="Times New Roman"/>
                <w:sz w:val="20"/>
                <w:szCs w:val="20"/>
              </w:rPr>
            </w:pPr>
          </w:p>
        </w:tc>
        <w:tc>
          <w:tcPr>
            <w:tcW w:w="0" w:type="auto"/>
            <w:gridSpan w:val="3"/>
            <w:vAlign w:val="center"/>
            <w:hideMark/>
          </w:tcPr>
          <w:p w14:paraId="714FA3D2" w14:textId="77777777" w:rsidR="00000000" w:rsidRDefault="00A173A8">
            <w:pPr>
              <w:spacing w:after="100"/>
              <w:rPr>
                <w:rFonts w:eastAsia="Times New Roman"/>
                <w:sz w:val="20"/>
                <w:szCs w:val="20"/>
              </w:rPr>
            </w:pPr>
          </w:p>
        </w:tc>
        <w:tc>
          <w:tcPr>
            <w:tcW w:w="0" w:type="auto"/>
            <w:gridSpan w:val="3"/>
            <w:vAlign w:val="center"/>
            <w:hideMark/>
          </w:tcPr>
          <w:p w14:paraId="174CA468" w14:textId="77777777" w:rsidR="00000000" w:rsidRDefault="00A173A8">
            <w:pPr>
              <w:spacing w:after="100"/>
              <w:rPr>
                <w:rFonts w:eastAsia="Times New Roman"/>
                <w:sz w:val="20"/>
                <w:szCs w:val="20"/>
              </w:rPr>
            </w:pPr>
          </w:p>
        </w:tc>
        <w:tc>
          <w:tcPr>
            <w:tcW w:w="0" w:type="auto"/>
            <w:gridSpan w:val="3"/>
            <w:vAlign w:val="center"/>
            <w:hideMark/>
          </w:tcPr>
          <w:p w14:paraId="724BD9A8"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A04DB" w14:textId="77777777" w:rsidR="00000000" w:rsidRDefault="00A173A8">
            <w:pPr>
              <w:spacing w:after="100"/>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14:paraId="46C92518" w14:textId="77777777" w:rsidR="00000000" w:rsidRDefault="00A173A8">
            <w:pPr>
              <w:spacing w:after="100"/>
              <w:jc w:val="right"/>
              <w:rPr>
                <w:rFonts w:eastAsia="Times New Roman"/>
              </w:rPr>
            </w:pPr>
          </w:p>
        </w:tc>
        <w:tc>
          <w:tcPr>
            <w:tcW w:w="0" w:type="auto"/>
            <w:gridSpan w:val="3"/>
            <w:vAlign w:val="center"/>
            <w:hideMark/>
          </w:tcPr>
          <w:p w14:paraId="2DA0D3E6" w14:textId="77777777" w:rsidR="00000000" w:rsidRDefault="00A173A8">
            <w:pPr>
              <w:spacing w:after="100"/>
              <w:jc w:val="right"/>
              <w:rPr>
                <w:rFonts w:eastAsia="Times New Roman"/>
                <w:sz w:val="20"/>
                <w:szCs w:val="20"/>
              </w:rPr>
            </w:pPr>
          </w:p>
        </w:tc>
        <w:tc>
          <w:tcPr>
            <w:tcW w:w="0" w:type="auto"/>
            <w:gridSpan w:val="2"/>
            <w:vAlign w:val="center"/>
            <w:hideMark/>
          </w:tcPr>
          <w:p w14:paraId="0DEDF1A7" w14:textId="77777777" w:rsidR="00000000" w:rsidRDefault="00A173A8">
            <w:pPr>
              <w:spacing w:after="100"/>
              <w:rPr>
                <w:rFonts w:eastAsia="Times New Roman"/>
                <w:sz w:val="20"/>
                <w:szCs w:val="20"/>
              </w:rPr>
            </w:pPr>
          </w:p>
        </w:tc>
      </w:tr>
      <w:tr w:rsidR="00000000" w14:paraId="7EBD6F6F" w14:textId="77777777">
        <w:trPr>
          <w:divId w:val="1308389788"/>
        </w:trPr>
        <w:tc>
          <w:tcPr>
            <w:tcW w:w="0" w:type="auto"/>
            <w:gridSpan w:val="3"/>
            <w:shd w:val="clear" w:color="auto" w:fill="CCEEFF"/>
            <w:tcMar>
              <w:top w:w="30" w:type="dxa"/>
              <w:left w:w="20" w:type="dxa"/>
              <w:bottom w:w="30" w:type="dxa"/>
              <w:right w:w="20" w:type="dxa"/>
            </w:tcMar>
            <w:vAlign w:val="center"/>
            <w:hideMark/>
          </w:tcPr>
          <w:p w14:paraId="7DA8EB03" w14:textId="77777777" w:rsidR="00000000" w:rsidRDefault="00A173A8">
            <w:pPr>
              <w:spacing w:after="100"/>
              <w:divId w:val="1158423835"/>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(10</w:t>
            </w:r>
            <w:r>
              <w:rPr>
                <w:rFonts w:eastAsia="Times New Roman"/>
                <w:color w:val="000000"/>
                <w:sz w:val="13"/>
                <w:szCs w:val="13"/>
              </w:rPr>
              <w:t>)</w:t>
            </w:r>
          </w:p>
        </w:tc>
        <w:tc>
          <w:tcPr>
            <w:tcW w:w="0" w:type="auto"/>
            <w:vAlign w:val="center"/>
            <w:hideMark/>
          </w:tcPr>
          <w:p w14:paraId="544CCB66" w14:textId="77777777" w:rsidR="00000000" w:rsidRDefault="00A173A8">
            <w:pPr>
              <w:spacing w:after="100"/>
              <w:rPr>
                <w:rFonts w:eastAsia="Times New Roman"/>
              </w:rPr>
            </w:pPr>
          </w:p>
        </w:tc>
        <w:tc>
          <w:tcPr>
            <w:tcW w:w="0" w:type="auto"/>
            <w:vAlign w:val="center"/>
            <w:hideMark/>
          </w:tcPr>
          <w:p w14:paraId="2123E4E5" w14:textId="77777777" w:rsidR="00000000" w:rsidRDefault="00A173A8">
            <w:pPr>
              <w:spacing w:after="100"/>
              <w:rPr>
                <w:rFonts w:eastAsia="Times New Roman"/>
                <w:sz w:val="20"/>
                <w:szCs w:val="20"/>
              </w:rPr>
            </w:pPr>
          </w:p>
        </w:tc>
        <w:tc>
          <w:tcPr>
            <w:tcW w:w="0" w:type="auto"/>
            <w:vAlign w:val="center"/>
            <w:hideMark/>
          </w:tcPr>
          <w:p w14:paraId="7910DAB0" w14:textId="77777777" w:rsidR="00000000" w:rsidRDefault="00A173A8">
            <w:pPr>
              <w:spacing w:after="100"/>
              <w:rPr>
                <w:rFonts w:eastAsia="Times New Roman"/>
                <w:sz w:val="20"/>
                <w:szCs w:val="20"/>
              </w:rPr>
            </w:pPr>
          </w:p>
        </w:tc>
        <w:tc>
          <w:tcPr>
            <w:tcW w:w="0" w:type="auto"/>
            <w:vAlign w:val="center"/>
            <w:hideMark/>
          </w:tcPr>
          <w:p w14:paraId="16A2864E" w14:textId="77777777" w:rsidR="00000000" w:rsidRDefault="00A173A8">
            <w:pPr>
              <w:spacing w:after="100"/>
              <w:rPr>
                <w:rFonts w:eastAsia="Times New Roman"/>
                <w:sz w:val="20"/>
                <w:szCs w:val="20"/>
              </w:rPr>
            </w:pPr>
          </w:p>
        </w:tc>
        <w:tc>
          <w:tcPr>
            <w:tcW w:w="0" w:type="auto"/>
            <w:vAlign w:val="center"/>
            <w:hideMark/>
          </w:tcPr>
          <w:p w14:paraId="74071541" w14:textId="77777777" w:rsidR="00000000" w:rsidRDefault="00A173A8">
            <w:pPr>
              <w:spacing w:after="100"/>
              <w:rPr>
                <w:rFonts w:eastAsia="Times New Roman"/>
                <w:sz w:val="20"/>
                <w:szCs w:val="20"/>
              </w:rPr>
            </w:pPr>
          </w:p>
        </w:tc>
        <w:tc>
          <w:tcPr>
            <w:tcW w:w="0" w:type="auto"/>
            <w:vAlign w:val="center"/>
            <w:hideMark/>
          </w:tcPr>
          <w:p w14:paraId="4EC7644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5F2028"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617DFE" w14:textId="77777777" w:rsidR="00000000" w:rsidRDefault="00A173A8">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2B3C7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C384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C74CA9" w14:textId="77777777" w:rsidR="00000000" w:rsidRDefault="00A173A8">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14:paraId="41D4E5EE" w14:textId="77777777" w:rsidR="00000000" w:rsidRDefault="00A173A8">
            <w:pPr>
              <w:spacing w:after="100"/>
              <w:jc w:val="right"/>
              <w:rPr>
                <w:rFonts w:eastAsia="Times New Roman"/>
              </w:rPr>
            </w:pPr>
          </w:p>
        </w:tc>
        <w:tc>
          <w:tcPr>
            <w:tcW w:w="0" w:type="auto"/>
            <w:gridSpan w:val="3"/>
            <w:vAlign w:val="center"/>
            <w:hideMark/>
          </w:tcPr>
          <w:p w14:paraId="1F85C2F0" w14:textId="77777777" w:rsidR="00000000" w:rsidRDefault="00A173A8">
            <w:pPr>
              <w:spacing w:after="100"/>
              <w:jc w:val="right"/>
              <w:rPr>
                <w:rFonts w:eastAsia="Times New Roman"/>
                <w:sz w:val="20"/>
                <w:szCs w:val="20"/>
              </w:rPr>
            </w:pPr>
          </w:p>
        </w:tc>
        <w:tc>
          <w:tcPr>
            <w:tcW w:w="0" w:type="auto"/>
            <w:gridSpan w:val="3"/>
            <w:vAlign w:val="center"/>
            <w:hideMark/>
          </w:tcPr>
          <w:p w14:paraId="6994451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2C076E" w14:textId="77777777" w:rsidR="00000000" w:rsidRDefault="00A173A8">
            <w:pPr>
              <w:spacing w:after="100"/>
              <w:rPr>
                <w:rFonts w:eastAsia="Times New Roman"/>
                <w:sz w:val="20"/>
                <w:szCs w:val="20"/>
              </w:rPr>
            </w:pPr>
          </w:p>
        </w:tc>
        <w:tc>
          <w:tcPr>
            <w:tcW w:w="0" w:type="auto"/>
            <w:gridSpan w:val="3"/>
            <w:vAlign w:val="center"/>
            <w:hideMark/>
          </w:tcPr>
          <w:p w14:paraId="4C25F302" w14:textId="77777777" w:rsidR="00000000" w:rsidRDefault="00A173A8">
            <w:pPr>
              <w:spacing w:after="100"/>
              <w:rPr>
                <w:rFonts w:eastAsia="Times New Roman"/>
                <w:sz w:val="20"/>
                <w:szCs w:val="20"/>
              </w:rPr>
            </w:pPr>
          </w:p>
        </w:tc>
        <w:tc>
          <w:tcPr>
            <w:tcW w:w="0" w:type="auto"/>
            <w:gridSpan w:val="3"/>
            <w:vAlign w:val="center"/>
            <w:hideMark/>
          </w:tcPr>
          <w:p w14:paraId="66E86ADE" w14:textId="77777777" w:rsidR="00000000" w:rsidRDefault="00A173A8">
            <w:pPr>
              <w:spacing w:after="100"/>
              <w:rPr>
                <w:rFonts w:eastAsia="Times New Roman"/>
                <w:sz w:val="20"/>
                <w:szCs w:val="20"/>
              </w:rPr>
            </w:pPr>
          </w:p>
        </w:tc>
        <w:tc>
          <w:tcPr>
            <w:tcW w:w="0" w:type="auto"/>
            <w:gridSpan w:val="3"/>
            <w:vAlign w:val="center"/>
            <w:hideMark/>
          </w:tcPr>
          <w:p w14:paraId="7D58AA00" w14:textId="77777777" w:rsidR="00000000" w:rsidRDefault="00A173A8">
            <w:pPr>
              <w:spacing w:after="100"/>
              <w:rPr>
                <w:rFonts w:eastAsia="Times New Roman"/>
                <w:sz w:val="20"/>
                <w:szCs w:val="20"/>
              </w:rPr>
            </w:pPr>
          </w:p>
        </w:tc>
        <w:tc>
          <w:tcPr>
            <w:tcW w:w="0" w:type="auto"/>
            <w:gridSpan w:val="3"/>
            <w:vAlign w:val="center"/>
            <w:hideMark/>
          </w:tcPr>
          <w:p w14:paraId="4D7EBCA8"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186036" w14:textId="77777777" w:rsidR="00000000" w:rsidRDefault="00A173A8">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14:paraId="4C2FAFAA" w14:textId="77777777" w:rsidR="00000000" w:rsidRDefault="00A173A8">
            <w:pPr>
              <w:spacing w:after="100"/>
              <w:jc w:val="right"/>
              <w:rPr>
                <w:rFonts w:eastAsia="Times New Roman"/>
              </w:rPr>
            </w:pPr>
          </w:p>
        </w:tc>
        <w:tc>
          <w:tcPr>
            <w:tcW w:w="0" w:type="auto"/>
            <w:gridSpan w:val="3"/>
            <w:vAlign w:val="center"/>
            <w:hideMark/>
          </w:tcPr>
          <w:p w14:paraId="5C72E180" w14:textId="77777777" w:rsidR="00000000" w:rsidRDefault="00A173A8">
            <w:pPr>
              <w:spacing w:after="100"/>
              <w:jc w:val="right"/>
              <w:rPr>
                <w:rFonts w:eastAsia="Times New Roman"/>
                <w:sz w:val="20"/>
                <w:szCs w:val="20"/>
              </w:rPr>
            </w:pPr>
          </w:p>
        </w:tc>
        <w:tc>
          <w:tcPr>
            <w:tcW w:w="0" w:type="auto"/>
            <w:gridSpan w:val="2"/>
            <w:vAlign w:val="center"/>
            <w:hideMark/>
          </w:tcPr>
          <w:p w14:paraId="3E41D60C" w14:textId="77777777" w:rsidR="00000000" w:rsidRDefault="00A173A8">
            <w:pPr>
              <w:spacing w:after="100"/>
              <w:rPr>
                <w:rFonts w:eastAsia="Times New Roman"/>
                <w:sz w:val="20"/>
                <w:szCs w:val="20"/>
              </w:rPr>
            </w:pPr>
          </w:p>
        </w:tc>
      </w:tr>
      <w:tr w:rsidR="00000000" w14:paraId="1950B8C8" w14:textId="77777777">
        <w:trPr>
          <w:divId w:val="1308389788"/>
        </w:trPr>
        <w:tc>
          <w:tcPr>
            <w:tcW w:w="0" w:type="auto"/>
            <w:gridSpan w:val="3"/>
            <w:shd w:val="clear" w:color="auto" w:fill="FFFFFF"/>
            <w:tcMar>
              <w:top w:w="30" w:type="dxa"/>
              <w:left w:w="20" w:type="dxa"/>
              <w:bottom w:w="30" w:type="dxa"/>
              <w:right w:w="20" w:type="dxa"/>
            </w:tcMar>
            <w:vAlign w:val="center"/>
            <w:hideMark/>
          </w:tcPr>
          <w:p w14:paraId="4468F6CD" w14:textId="77777777" w:rsidR="00000000" w:rsidRDefault="00A173A8">
            <w:pPr>
              <w:spacing w:after="100"/>
              <w:divId w:val="2100368487"/>
              <w:rPr>
                <w:rFonts w:eastAsia="Times New Roman"/>
              </w:rPr>
            </w:pPr>
            <w:r>
              <w:rPr>
                <w:rFonts w:eastAsia="Times New Roman"/>
                <w:color w:val="000000"/>
                <w:sz w:val="20"/>
                <w:szCs w:val="20"/>
              </w:rPr>
              <w:t>Tangible common equit</w:t>
            </w:r>
            <w:r>
              <w:rPr>
                <w:rFonts w:eastAsia="Times New Roman"/>
                <w:color w:val="000000"/>
                <w:sz w:val="20"/>
                <w:szCs w:val="20"/>
              </w:rPr>
              <w:t>y</w:t>
            </w:r>
            <w:r>
              <w:rPr>
                <w:rFonts w:eastAsia="Times New Roman"/>
                <w:color w:val="000000"/>
                <w:sz w:val="13"/>
                <w:szCs w:val="13"/>
              </w:rPr>
              <w:t>(11</w:t>
            </w:r>
            <w:r>
              <w:rPr>
                <w:rFonts w:eastAsia="Times New Roman"/>
                <w:color w:val="000000"/>
                <w:sz w:val="13"/>
                <w:szCs w:val="13"/>
              </w:rPr>
              <w:t>)</w:t>
            </w:r>
          </w:p>
        </w:tc>
        <w:tc>
          <w:tcPr>
            <w:tcW w:w="0" w:type="auto"/>
            <w:vAlign w:val="center"/>
            <w:hideMark/>
          </w:tcPr>
          <w:p w14:paraId="09D0EB85" w14:textId="77777777" w:rsidR="00000000" w:rsidRDefault="00A173A8">
            <w:pPr>
              <w:spacing w:after="100"/>
              <w:rPr>
                <w:rFonts w:eastAsia="Times New Roman"/>
              </w:rPr>
            </w:pPr>
          </w:p>
        </w:tc>
        <w:tc>
          <w:tcPr>
            <w:tcW w:w="0" w:type="auto"/>
            <w:vAlign w:val="center"/>
            <w:hideMark/>
          </w:tcPr>
          <w:p w14:paraId="2EE80703" w14:textId="77777777" w:rsidR="00000000" w:rsidRDefault="00A173A8">
            <w:pPr>
              <w:spacing w:after="100"/>
              <w:rPr>
                <w:rFonts w:eastAsia="Times New Roman"/>
                <w:sz w:val="20"/>
                <w:szCs w:val="20"/>
              </w:rPr>
            </w:pPr>
          </w:p>
        </w:tc>
        <w:tc>
          <w:tcPr>
            <w:tcW w:w="0" w:type="auto"/>
            <w:vAlign w:val="center"/>
            <w:hideMark/>
          </w:tcPr>
          <w:p w14:paraId="1661D2B0" w14:textId="77777777" w:rsidR="00000000" w:rsidRDefault="00A173A8">
            <w:pPr>
              <w:spacing w:after="100"/>
              <w:rPr>
                <w:rFonts w:eastAsia="Times New Roman"/>
                <w:sz w:val="20"/>
                <w:szCs w:val="20"/>
              </w:rPr>
            </w:pPr>
          </w:p>
        </w:tc>
        <w:tc>
          <w:tcPr>
            <w:tcW w:w="0" w:type="auto"/>
            <w:vAlign w:val="center"/>
            <w:hideMark/>
          </w:tcPr>
          <w:p w14:paraId="41DC6030" w14:textId="77777777" w:rsidR="00000000" w:rsidRDefault="00A173A8">
            <w:pPr>
              <w:spacing w:after="100"/>
              <w:rPr>
                <w:rFonts w:eastAsia="Times New Roman"/>
                <w:sz w:val="20"/>
                <w:szCs w:val="20"/>
              </w:rPr>
            </w:pPr>
          </w:p>
        </w:tc>
        <w:tc>
          <w:tcPr>
            <w:tcW w:w="0" w:type="auto"/>
            <w:vAlign w:val="center"/>
            <w:hideMark/>
          </w:tcPr>
          <w:p w14:paraId="3E62D865" w14:textId="77777777" w:rsidR="00000000" w:rsidRDefault="00A173A8">
            <w:pPr>
              <w:spacing w:after="100"/>
              <w:rPr>
                <w:rFonts w:eastAsia="Times New Roman"/>
                <w:sz w:val="20"/>
                <w:szCs w:val="20"/>
              </w:rPr>
            </w:pPr>
          </w:p>
        </w:tc>
        <w:tc>
          <w:tcPr>
            <w:tcW w:w="0" w:type="auto"/>
            <w:vAlign w:val="center"/>
            <w:hideMark/>
          </w:tcPr>
          <w:p w14:paraId="7114750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DB762C"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5158F7" w14:textId="77777777" w:rsidR="00000000" w:rsidRDefault="00A173A8">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CED3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6773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67DB75" w14:textId="77777777" w:rsidR="00000000" w:rsidRDefault="00A173A8">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14:paraId="245B01FB" w14:textId="77777777" w:rsidR="00000000" w:rsidRDefault="00A173A8">
            <w:pPr>
              <w:spacing w:after="100"/>
              <w:jc w:val="right"/>
              <w:rPr>
                <w:rFonts w:eastAsia="Times New Roman"/>
              </w:rPr>
            </w:pPr>
          </w:p>
        </w:tc>
        <w:tc>
          <w:tcPr>
            <w:tcW w:w="0" w:type="auto"/>
            <w:gridSpan w:val="3"/>
            <w:vAlign w:val="center"/>
            <w:hideMark/>
          </w:tcPr>
          <w:p w14:paraId="5267B1EE" w14:textId="77777777" w:rsidR="00000000" w:rsidRDefault="00A173A8">
            <w:pPr>
              <w:spacing w:after="100"/>
              <w:jc w:val="right"/>
              <w:rPr>
                <w:rFonts w:eastAsia="Times New Roman"/>
                <w:sz w:val="20"/>
                <w:szCs w:val="20"/>
              </w:rPr>
            </w:pPr>
          </w:p>
        </w:tc>
        <w:tc>
          <w:tcPr>
            <w:tcW w:w="0" w:type="auto"/>
            <w:gridSpan w:val="3"/>
            <w:vAlign w:val="center"/>
            <w:hideMark/>
          </w:tcPr>
          <w:p w14:paraId="6F21D6B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363F56" w14:textId="77777777" w:rsidR="00000000" w:rsidRDefault="00A173A8">
            <w:pPr>
              <w:spacing w:after="100"/>
              <w:rPr>
                <w:rFonts w:eastAsia="Times New Roman"/>
                <w:sz w:val="20"/>
                <w:szCs w:val="20"/>
              </w:rPr>
            </w:pPr>
          </w:p>
        </w:tc>
        <w:tc>
          <w:tcPr>
            <w:tcW w:w="0" w:type="auto"/>
            <w:gridSpan w:val="3"/>
            <w:vAlign w:val="center"/>
            <w:hideMark/>
          </w:tcPr>
          <w:p w14:paraId="3C28839C" w14:textId="77777777" w:rsidR="00000000" w:rsidRDefault="00A173A8">
            <w:pPr>
              <w:spacing w:after="100"/>
              <w:rPr>
                <w:rFonts w:eastAsia="Times New Roman"/>
                <w:sz w:val="20"/>
                <w:szCs w:val="20"/>
              </w:rPr>
            </w:pPr>
          </w:p>
        </w:tc>
        <w:tc>
          <w:tcPr>
            <w:tcW w:w="0" w:type="auto"/>
            <w:gridSpan w:val="3"/>
            <w:vAlign w:val="center"/>
            <w:hideMark/>
          </w:tcPr>
          <w:p w14:paraId="794DC871" w14:textId="77777777" w:rsidR="00000000" w:rsidRDefault="00A173A8">
            <w:pPr>
              <w:spacing w:after="100"/>
              <w:rPr>
                <w:rFonts w:eastAsia="Times New Roman"/>
                <w:sz w:val="20"/>
                <w:szCs w:val="20"/>
              </w:rPr>
            </w:pPr>
          </w:p>
        </w:tc>
        <w:tc>
          <w:tcPr>
            <w:tcW w:w="0" w:type="auto"/>
            <w:gridSpan w:val="3"/>
            <w:vAlign w:val="center"/>
            <w:hideMark/>
          </w:tcPr>
          <w:p w14:paraId="380F9E4C" w14:textId="77777777" w:rsidR="00000000" w:rsidRDefault="00A173A8">
            <w:pPr>
              <w:spacing w:after="100"/>
              <w:rPr>
                <w:rFonts w:eastAsia="Times New Roman"/>
                <w:sz w:val="20"/>
                <w:szCs w:val="20"/>
              </w:rPr>
            </w:pPr>
          </w:p>
        </w:tc>
        <w:tc>
          <w:tcPr>
            <w:tcW w:w="0" w:type="auto"/>
            <w:gridSpan w:val="3"/>
            <w:vAlign w:val="center"/>
            <w:hideMark/>
          </w:tcPr>
          <w:p w14:paraId="4A389E34"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1A0D80" w14:textId="77777777" w:rsidR="00000000" w:rsidRDefault="00A173A8">
            <w:pPr>
              <w:spacing w:after="100"/>
              <w:jc w:val="right"/>
              <w:rPr>
                <w:rFonts w:eastAsia="Times New Roman"/>
              </w:rPr>
            </w:pPr>
            <w:r>
              <w:rPr>
                <w:rFonts w:eastAsia="Times New Roman"/>
                <w:color w:val="000000"/>
                <w:sz w:val="20"/>
                <w:szCs w:val="20"/>
              </w:rPr>
              <w:t>(200)</w:t>
            </w:r>
          </w:p>
        </w:tc>
        <w:tc>
          <w:tcPr>
            <w:tcW w:w="0" w:type="auto"/>
            <w:shd w:val="clear" w:color="auto" w:fill="FFFFFF"/>
            <w:tcMar>
              <w:top w:w="30" w:type="dxa"/>
              <w:left w:w="0" w:type="dxa"/>
              <w:bottom w:w="30" w:type="dxa"/>
              <w:right w:w="20" w:type="dxa"/>
            </w:tcMar>
            <w:vAlign w:val="bottom"/>
            <w:hideMark/>
          </w:tcPr>
          <w:p w14:paraId="7784D4D1" w14:textId="77777777" w:rsidR="00000000" w:rsidRDefault="00A173A8">
            <w:pPr>
              <w:spacing w:after="100"/>
              <w:jc w:val="right"/>
              <w:rPr>
                <w:rFonts w:eastAsia="Times New Roman"/>
              </w:rPr>
            </w:pPr>
          </w:p>
        </w:tc>
        <w:tc>
          <w:tcPr>
            <w:tcW w:w="0" w:type="auto"/>
            <w:gridSpan w:val="3"/>
            <w:vAlign w:val="center"/>
            <w:hideMark/>
          </w:tcPr>
          <w:p w14:paraId="3DE556BA" w14:textId="77777777" w:rsidR="00000000" w:rsidRDefault="00A173A8">
            <w:pPr>
              <w:spacing w:after="100"/>
              <w:jc w:val="right"/>
              <w:rPr>
                <w:rFonts w:eastAsia="Times New Roman"/>
                <w:sz w:val="20"/>
                <w:szCs w:val="20"/>
              </w:rPr>
            </w:pPr>
          </w:p>
        </w:tc>
        <w:tc>
          <w:tcPr>
            <w:tcW w:w="0" w:type="auto"/>
            <w:gridSpan w:val="2"/>
            <w:vAlign w:val="center"/>
            <w:hideMark/>
          </w:tcPr>
          <w:p w14:paraId="223D00B4" w14:textId="77777777" w:rsidR="00000000" w:rsidRDefault="00A173A8">
            <w:pPr>
              <w:spacing w:after="100"/>
              <w:rPr>
                <w:rFonts w:eastAsia="Times New Roman"/>
                <w:sz w:val="20"/>
                <w:szCs w:val="20"/>
              </w:rPr>
            </w:pPr>
          </w:p>
        </w:tc>
      </w:tr>
      <w:tr w:rsidR="00000000" w14:paraId="6F28B3BE" w14:textId="77777777">
        <w:trPr>
          <w:divId w:val="1308389788"/>
        </w:trPr>
        <w:tc>
          <w:tcPr>
            <w:tcW w:w="0" w:type="auto"/>
            <w:gridSpan w:val="3"/>
            <w:shd w:val="clear" w:color="auto" w:fill="CCEEFF"/>
            <w:tcMar>
              <w:top w:w="30" w:type="dxa"/>
              <w:left w:w="20" w:type="dxa"/>
              <w:bottom w:w="30" w:type="dxa"/>
              <w:right w:w="20" w:type="dxa"/>
            </w:tcMar>
            <w:vAlign w:val="center"/>
            <w:hideMark/>
          </w:tcPr>
          <w:p w14:paraId="48CD9DC2" w14:textId="77777777" w:rsidR="00000000" w:rsidRDefault="00A173A8">
            <w:pPr>
              <w:spacing w:after="100"/>
              <w:divId w:val="1035622563"/>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(10</w:t>
            </w:r>
            <w:r>
              <w:rPr>
                <w:rFonts w:eastAsia="Times New Roman"/>
                <w:color w:val="000000"/>
                <w:sz w:val="13"/>
                <w:szCs w:val="13"/>
              </w:rPr>
              <w:t>)</w:t>
            </w:r>
          </w:p>
        </w:tc>
        <w:tc>
          <w:tcPr>
            <w:tcW w:w="0" w:type="auto"/>
            <w:vAlign w:val="center"/>
            <w:hideMark/>
          </w:tcPr>
          <w:p w14:paraId="1329F1CC" w14:textId="77777777" w:rsidR="00000000" w:rsidRDefault="00A173A8">
            <w:pPr>
              <w:spacing w:after="100"/>
              <w:rPr>
                <w:rFonts w:eastAsia="Times New Roman"/>
              </w:rPr>
            </w:pPr>
          </w:p>
        </w:tc>
        <w:tc>
          <w:tcPr>
            <w:tcW w:w="0" w:type="auto"/>
            <w:vAlign w:val="center"/>
            <w:hideMark/>
          </w:tcPr>
          <w:p w14:paraId="4B2DDC2D" w14:textId="77777777" w:rsidR="00000000" w:rsidRDefault="00A173A8">
            <w:pPr>
              <w:spacing w:after="100"/>
              <w:rPr>
                <w:rFonts w:eastAsia="Times New Roman"/>
                <w:sz w:val="20"/>
                <w:szCs w:val="20"/>
              </w:rPr>
            </w:pPr>
          </w:p>
        </w:tc>
        <w:tc>
          <w:tcPr>
            <w:tcW w:w="0" w:type="auto"/>
            <w:vAlign w:val="center"/>
            <w:hideMark/>
          </w:tcPr>
          <w:p w14:paraId="3964859C" w14:textId="77777777" w:rsidR="00000000" w:rsidRDefault="00A173A8">
            <w:pPr>
              <w:spacing w:after="100"/>
              <w:rPr>
                <w:rFonts w:eastAsia="Times New Roman"/>
                <w:sz w:val="20"/>
                <w:szCs w:val="20"/>
              </w:rPr>
            </w:pPr>
          </w:p>
        </w:tc>
        <w:tc>
          <w:tcPr>
            <w:tcW w:w="0" w:type="auto"/>
            <w:vAlign w:val="center"/>
            <w:hideMark/>
          </w:tcPr>
          <w:p w14:paraId="606694A7" w14:textId="77777777" w:rsidR="00000000" w:rsidRDefault="00A173A8">
            <w:pPr>
              <w:spacing w:after="100"/>
              <w:rPr>
                <w:rFonts w:eastAsia="Times New Roman"/>
                <w:sz w:val="20"/>
                <w:szCs w:val="20"/>
              </w:rPr>
            </w:pPr>
          </w:p>
        </w:tc>
        <w:tc>
          <w:tcPr>
            <w:tcW w:w="0" w:type="auto"/>
            <w:vAlign w:val="center"/>
            <w:hideMark/>
          </w:tcPr>
          <w:p w14:paraId="5A61A27C" w14:textId="77777777" w:rsidR="00000000" w:rsidRDefault="00A173A8">
            <w:pPr>
              <w:spacing w:after="100"/>
              <w:rPr>
                <w:rFonts w:eastAsia="Times New Roman"/>
                <w:sz w:val="20"/>
                <w:szCs w:val="20"/>
              </w:rPr>
            </w:pPr>
          </w:p>
        </w:tc>
        <w:tc>
          <w:tcPr>
            <w:tcW w:w="0" w:type="auto"/>
            <w:vAlign w:val="center"/>
            <w:hideMark/>
          </w:tcPr>
          <w:p w14:paraId="6EA3446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8385E6"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B48CD1" w14:textId="77777777" w:rsidR="00000000" w:rsidRDefault="00A173A8">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8AF39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07EA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F8152D" w14:textId="77777777" w:rsidR="00000000" w:rsidRDefault="00A173A8">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14:paraId="1B51475A" w14:textId="77777777" w:rsidR="00000000" w:rsidRDefault="00A173A8">
            <w:pPr>
              <w:spacing w:after="100"/>
              <w:jc w:val="right"/>
              <w:rPr>
                <w:rFonts w:eastAsia="Times New Roman"/>
              </w:rPr>
            </w:pPr>
          </w:p>
        </w:tc>
        <w:tc>
          <w:tcPr>
            <w:tcW w:w="0" w:type="auto"/>
            <w:gridSpan w:val="3"/>
            <w:vAlign w:val="center"/>
            <w:hideMark/>
          </w:tcPr>
          <w:p w14:paraId="182AFFAB" w14:textId="77777777" w:rsidR="00000000" w:rsidRDefault="00A173A8">
            <w:pPr>
              <w:spacing w:after="100"/>
              <w:jc w:val="right"/>
              <w:rPr>
                <w:rFonts w:eastAsia="Times New Roman"/>
                <w:sz w:val="20"/>
                <w:szCs w:val="20"/>
              </w:rPr>
            </w:pPr>
          </w:p>
        </w:tc>
        <w:tc>
          <w:tcPr>
            <w:tcW w:w="0" w:type="auto"/>
            <w:gridSpan w:val="3"/>
            <w:vAlign w:val="center"/>
            <w:hideMark/>
          </w:tcPr>
          <w:p w14:paraId="449F10E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580FDD" w14:textId="77777777" w:rsidR="00000000" w:rsidRDefault="00A173A8">
            <w:pPr>
              <w:spacing w:after="100"/>
              <w:rPr>
                <w:rFonts w:eastAsia="Times New Roman"/>
                <w:sz w:val="20"/>
                <w:szCs w:val="20"/>
              </w:rPr>
            </w:pPr>
          </w:p>
        </w:tc>
        <w:tc>
          <w:tcPr>
            <w:tcW w:w="0" w:type="auto"/>
            <w:gridSpan w:val="3"/>
            <w:vAlign w:val="center"/>
            <w:hideMark/>
          </w:tcPr>
          <w:p w14:paraId="3E654FA0" w14:textId="77777777" w:rsidR="00000000" w:rsidRDefault="00A173A8">
            <w:pPr>
              <w:spacing w:after="100"/>
              <w:rPr>
                <w:rFonts w:eastAsia="Times New Roman"/>
                <w:sz w:val="20"/>
                <w:szCs w:val="20"/>
              </w:rPr>
            </w:pPr>
          </w:p>
        </w:tc>
        <w:tc>
          <w:tcPr>
            <w:tcW w:w="0" w:type="auto"/>
            <w:gridSpan w:val="3"/>
            <w:vAlign w:val="center"/>
            <w:hideMark/>
          </w:tcPr>
          <w:p w14:paraId="4FAC8BC2" w14:textId="77777777" w:rsidR="00000000" w:rsidRDefault="00A173A8">
            <w:pPr>
              <w:spacing w:after="100"/>
              <w:rPr>
                <w:rFonts w:eastAsia="Times New Roman"/>
                <w:sz w:val="20"/>
                <w:szCs w:val="20"/>
              </w:rPr>
            </w:pPr>
          </w:p>
        </w:tc>
        <w:tc>
          <w:tcPr>
            <w:tcW w:w="0" w:type="auto"/>
            <w:gridSpan w:val="3"/>
            <w:vAlign w:val="center"/>
            <w:hideMark/>
          </w:tcPr>
          <w:p w14:paraId="297A7B21" w14:textId="77777777" w:rsidR="00000000" w:rsidRDefault="00A173A8">
            <w:pPr>
              <w:spacing w:after="100"/>
              <w:rPr>
                <w:rFonts w:eastAsia="Times New Roman"/>
                <w:sz w:val="20"/>
                <w:szCs w:val="20"/>
              </w:rPr>
            </w:pPr>
          </w:p>
        </w:tc>
        <w:tc>
          <w:tcPr>
            <w:tcW w:w="0" w:type="auto"/>
            <w:gridSpan w:val="3"/>
            <w:vAlign w:val="center"/>
            <w:hideMark/>
          </w:tcPr>
          <w:p w14:paraId="5AD258CF"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A5E367" w14:textId="77777777" w:rsidR="00000000" w:rsidRDefault="00A173A8">
            <w:pPr>
              <w:spacing w:after="100"/>
              <w:jc w:val="right"/>
              <w:rPr>
                <w:rFonts w:eastAsia="Times New Roman"/>
              </w:rPr>
            </w:pPr>
            <w:r>
              <w:rPr>
                <w:rFonts w:eastAsia="Times New Roman"/>
                <w:color w:val="000000"/>
                <w:sz w:val="20"/>
                <w:szCs w:val="20"/>
              </w:rPr>
              <w:t>(50)</w:t>
            </w:r>
          </w:p>
        </w:tc>
        <w:tc>
          <w:tcPr>
            <w:tcW w:w="0" w:type="auto"/>
            <w:shd w:val="clear" w:color="auto" w:fill="CCEEFF"/>
            <w:tcMar>
              <w:top w:w="30" w:type="dxa"/>
              <w:left w:w="0" w:type="dxa"/>
              <w:bottom w:w="30" w:type="dxa"/>
              <w:right w:w="20" w:type="dxa"/>
            </w:tcMar>
            <w:vAlign w:val="bottom"/>
            <w:hideMark/>
          </w:tcPr>
          <w:p w14:paraId="4111B6F7" w14:textId="77777777" w:rsidR="00000000" w:rsidRDefault="00A173A8">
            <w:pPr>
              <w:spacing w:after="100"/>
              <w:jc w:val="right"/>
              <w:rPr>
                <w:rFonts w:eastAsia="Times New Roman"/>
              </w:rPr>
            </w:pPr>
          </w:p>
        </w:tc>
        <w:tc>
          <w:tcPr>
            <w:tcW w:w="0" w:type="auto"/>
            <w:gridSpan w:val="3"/>
            <w:vAlign w:val="center"/>
            <w:hideMark/>
          </w:tcPr>
          <w:p w14:paraId="5FA505AF" w14:textId="77777777" w:rsidR="00000000" w:rsidRDefault="00A173A8">
            <w:pPr>
              <w:spacing w:after="100"/>
              <w:jc w:val="right"/>
              <w:rPr>
                <w:rFonts w:eastAsia="Times New Roman"/>
                <w:sz w:val="20"/>
                <w:szCs w:val="20"/>
              </w:rPr>
            </w:pPr>
          </w:p>
        </w:tc>
        <w:tc>
          <w:tcPr>
            <w:tcW w:w="0" w:type="auto"/>
            <w:gridSpan w:val="2"/>
            <w:vAlign w:val="center"/>
            <w:hideMark/>
          </w:tcPr>
          <w:p w14:paraId="58D7F040" w14:textId="77777777" w:rsidR="00000000" w:rsidRDefault="00A173A8">
            <w:pPr>
              <w:spacing w:after="100"/>
              <w:rPr>
                <w:rFonts w:eastAsia="Times New Roman"/>
                <w:sz w:val="20"/>
                <w:szCs w:val="20"/>
              </w:rPr>
            </w:pPr>
          </w:p>
        </w:tc>
      </w:tr>
      <w:tr w:rsidR="00000000" w14:paraId="66327BCD" w14:textId="77777777">
        <w:trPr>
          <w:divId w:val="1308389788"/>
        </w:trPr>
        <w:tc>
          <w:tcPr>
            <w:tcW w:w="0" w:type="auto"/>
            <w:gridSpan w:val="3"/>
            <w:shd w:val="clear" w:color="auto" w:fill="FFFFFF"/>
            <w:tcMar>
              <w:top w:w="30" w:type="dxa"/>
              <w:left w:w="20" w:type="dxa"/>
              <w:bottom w:w="30" w:type="dxa"/>
              <w:right w:w="20" w:type="dxa"/>
            </w:tcMar>
            <w:vAlign w:val="center"/>
            <w:hideMark/>
          </w:tcPr>
          <w:p w14:paraId="078480D4" w14:textId="77777777" w:rsidR="00000000" w:rsidRDefault="00A173A8">
            <w:pPr>
              <w:spacing w:after="100"/>
              <w:rPr>
                <w:rFonts w:eastAsia="Times New Roman"/>
              </w:rPr>
            </w:pPr>
            <w:r>
              <w:rPr>
                <w:rFonts w:eastAsia="Times New Roman"/>
                <w:b/>
                <w:bCs/>
                <w:color w:val="000000"/>
                <w:sz w:val="20"/>
                <w:szCs w:val="20"/>
              </w:rPr>
              <w:t>Other</w:t>
            </w:r>
          </w:p>
        </w:tc>
        <w:tc>
          <w:tcPr>
            <w:tcW w:w="0" w:type="auto"/>
            <w:vAlign w:val="center"/>
            <w:hideMark/>
          </w:tcPr>
          <w:p w14:paraId="014F01C9" w14:textId="77777777" w:rsidR="00000000" w:rsidRDefault="00A173A8">
            <w:pPr>
              <w:spacing w:after="100"/>
              <w:rPr>
                <w:rFonts w:eastAsia="Times New Roman"/>
              </w:rPr>
            </w:pPr>
          </w:p>
        </w:tc>
        <w:tc>
          <w:tcPr>
            <w:tcW w:w="0" w:type="auto"/>
            <w:vAlign w:val="center"/>
            <w:hideMark/>
          </w:tcPr>
          <w:p w14:paraId="4F043B69" w14:textId="77777777" w:rsidR="00000000" w:rsidRDefault="00A173A8">
            <w:pPr>
              <w:spacing w:after="100"/>
              <w:rPr>
                <w:rFonts w:eastAsia="Times New Roman"/>
                <w:sz w:val="20"/>
                <w:szCs w:val="20"/>
              </w:rPr>
            </w:pPr>
          </w:p>
        </w:tc>
        <w:tc>
          <w:tcPr>
            <w:tcW w:w="0" w:type="auto"/>
            <w:vAlign w:val="center"/>
            <w:hideMark/>
          </w:tcPr>
          <w:p w14:paraId="7067F83F" w14:textId="77777777" w:rsidR="00000000" w:rsidRDefault="00A173A8">
            <w:pPr>
              <w:spacing w:after="100"/>
              <w:rPr>
                <w:rFonts w:eastAsia="Times New Roman"/>
                <w:sz w:val="20"/>
                <w:szCs w:val="20"/>
              </w:rPr>
            </w:pPr>
          </w:p>
        </w:tc>
        <w:tc>
          <w:tcPr>
            <w:tcW w:w="0" w:type="auto"/>
            <w:vAlign w:val="center"/>
            <w:hideMark/>
          </w:tcPr>
          <w:p w14:paraId="5FAB6AAB" w14:textId="77777777" w:rsidR="00000000" w:rsidRDefault="00A173A8">
            <w:pPr>
              <w:spacing w:after="100"/>
              <w:rPr>
                <w:rFonts w:eastAsia="Times New Roman"/>
                <w:sz w:val="20"/>
                <w:szCs w:val="20"/>
              </w:rPr>
            </w:pPr>
          </w:p>
        </w:tc>
        <w:tc>
          <w:tcPr>
            <w:tcW w:w="0" w:type="auto"/>
            <w:vAlign w:val="center"/>
            <w:hideMark/>
          </w:tcPr>
          <w:p w14:paraId="4E27FD9C" w14:textId="77777777" w:rsidR="00000000" w:rsidRDefault="00A173A8">
            <w:pPr>
              <w:spacing w:after="100"/>
              <w:rPr>
                <w:rFonts w:eastAsia="Times New Roman"/>
                <w:sz w:val="20"/>
                <w:szCs w:val="20"/>
              </w:rPr>
            </w:pPr>
          </w:p>
        </w:tc>
        <w:tc>
          <w:tcPr>
            <w:tcW w:w="0" w:type="auto"/>
            <w:vAlign w:val="center"/>
            <w:hideMark/>
          </w:tcPr>
          <w:p w14:paraId="6F391B3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D5189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1E3BF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EE5E9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AFE972" w14:textId="77777777" w:rsidR="00000000" w:rsidRDefault="00A173A8">
            <w:pPr>
              <w:spacing w:after="100"/>
              <w:rPr>
                <w:rFonts w:eastAsia="Times New Roman"/>
                <w:sz w:val="20"/>
                <w:szCs w:val="20"/>
              </w:rPr>
            </w:pPr>
          </w:p>
        </w:tc>
        <w:tc>
          <w:tcPr>
            <w:tcW w:w="0" w:type="auto"/>
            <w:gridSpan w:val="3"/>
            <w:vAlign w:val="center"/>
            <w:hideMark/>
          </w:tcPr>
          <w:p w14:paraId="3E9BC0C3" w14:textId="77777777" w:rsidR="00000000" w:rsidRDefault="00A173A8">
            <w:pPr>
              <w:spacing w:after="100"/>
              <w:rPr>
                <w:rFonts w:eastAsia="Times New Roman"/>
                <w:sz w:val="20"/>
                <w:szCs w:val="20"/>
              </w:rPr>
            </w:pPr>
          </w:p>
        </w:tc>
        <w:tc>
          <w:tcPr>
            <w:tcW w:w="0" w:type="auto"/>
            <w:gridSpan w:val="3"/>
            <w:vAlign w:val="center"/>
            <w:hideMark/>
          </w:tcPr>
          <w:p w14:paraId="783EC68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5383D6" w14:textId="77777777" w:rsidR="00000000" w:rsidRDefault="00A173A8">
            <w:pPr>
              <w:spacing w:after="100"/>
              <w:rPr>
                <w:rFonts w:eastAsia="Times New Roman"/>
                <w:sz w:val="20"/>
                <w:szCs w:val="20"/>
              </w:rPr>
            </w:pPr>
          </w:p>
        </w:tc>
        <w:tc>
          <w:tcPr>
            <w:tcW w:w="0" w:type="auto"/>
            <w:gridSpan w:val="3"/>
            <w:vAlign w:val="center"/>
            <w:hideMark/>
          </w:tcPr>
          <w:p w14:paraId="6DF56B33" w14:textId="77777777" w:rsidR="00000000" w:rsidRDefault="00A173A8">
            <w:pPr>
              <w:spacing w:after="100"/>
              <w:rPr>
                <w:rFonts w:eastAsia="Times New Roman"/>
                <w:sz w:val="20"/>
                <w:szCs w:val="20"/>
              </w:rPr>
            </w:pPr>
          </w:p>
        </w:tc>
        <w:tc>
          <w:tcPr>
            <w:tcW w:w="0" w:type="auto"/>
            <w:gridSpan w:val="3"/>
            <w:vAlign w:val="center"/>
            <w:hideMark/>
          </w:tcPr>
          <w:p w14:paraId="7B1E8826" w14:textId="77777777" w:rsidR="00000000" w:rsidRDefault="00A173A8">
            <w:pPr>
              <w:spacing w:after="100"/>
              <w:rPr>
                <w:rFonts w:eastAsia="Times New Roman"/>
                <w:sz w:val="20"/>
                <w:szCs w:val="20"/>
              </w:rPr>
            </w:pPr>
          </w:p>
        </w:tc>
        <w:tc>
          <w:tcPr>
            <w:tcW w:w="0" w:type="auto"/>
            <w:gridSpan w:val="3"/>
            <w:vAlign w:val="center"/>
            <w:hideMark/>
          </w:tcPr>
          <w:p w14:paraId="5D5A0720" w14:textId="77777777" w:rsidR="00000000" w:rsidRDefault="00A173A8">
            <w:pPr>
              <w:spacing w:after="100"/>
              <w:rPr>
                <w:rFonts w:eastAsia="Times New Roman"/>
                <w:sz w:val="20"/>
                <w:szCs w:val="20"/>
              </w:rPr>
            </w:pPr>
          </w:p>
        </w:tc>
        <w:tc>
          <w:tcPr>
            <w:tcW w:w="0" w:type="auto"/>
            <w:gridSpan w:val="3"/>
            <w:vAlign w:val="center"/>
            <w:hideMark/>
          </w:tcPr>
          <w:p w14:paraId="61D0311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F715DF" w14:textId="77777777" w:rsidR="00000000" w:rsidRDefault="00A173A8">
            <w:pPr>
              <w:spacing w:after="100"/>
              <w:rPr>
                <w:rFonts w:eastAsia="Times New Roman"/>
                <w:sz w:val="20"/>
                <w:szCs w:val="20"/>
              </w:rPr>
            </w:pPr>
          </w:p>
        </w:tc>
        <w:tc>
          <w:tcPr>
            <w:tcW w:w="0" w:type="auto"/>
            <w:gridSpan w:val="3"/>
            <w:vAlign w:val="center"/>
            <w:hideMark/>
          </w:tcPr>
          <w:p w14:paraId="440EC46F" w14:textId="77777777" w:rsidR="00000000" w:rsidRDefault="00A173A8">
            <w:pPr>
              <w:spacing w:after="100"/>
              <w:rPr>
                <w:rFonts w:eastAsia="Times New Roman"/>
                <w:sz w:val="20"/>
                <w:szCs w:val="20"/>
              </w:rPr>
            </w:pPr>
          </w:p>
        </w:tc>
        <w:tc>
          <w:tcPr>
            <w:tcW w:w="0" w:type="auto"/>
            <w:gridSpan w:val="2"/>
            <w:vAlign w:val="center"/>
            <w:hideMark/>
          </w:tcPr>
          <w:p w14:paraId="0592A78D" w14:textId="77777777" w:rsidR="00000000" w:rsidRDefault="00A173A8">
            <w:pPr>
              <w:spacing w:after="100"/>
              <w:rPr>
                <w:rFonts w:eastAsia="Times New Roman"/>
                <w:sz w:val="20"/>
                <w:szCs w:val="20"/>
              </w:rPr>
            </w:pPr>
          </w:p>
        </w:tc>
      </w:tr>
      <w:tr w:rsidR="00000000" w14:paraId="6745CAC6" w14:textId="77777777">
        <w:trPr>
          <w:divId w:val="1308389788"/>
        </w:trPr>
        <w:tc>
          <w:tcPr>
            <w:tcW w:w="0" w:type="auto"/>
            <w:gridSpan w:val="3"/>
            <w:shd w:val="clear" w:color="auto" w:fill="CCEEFF"/>
            <w:tcMar>
              <w:top w:w="30" w:type="dxa"/>
              <w:left w:w="20" w:type="dxa"/>
              <w:bottom w:w="30" w:type="dxa"/>
              <w:right w:w="20" w:type="dxa"/>
            </w:tcMar>
            <w:vAlign w:val="center"/>
            <w:hideMark/>
          </w:tcPr>
          <w:p w14:paraId="39C44E6D" w14:textId="77777777" w:rsidR="00000000" w:rsidRDefault="00A173A8">
            <w:pPr>
              <w:spacing w:after="100"/>
              <w:rPr>
                <w:rFonts w:eastAsia="Times New Roman"/>
              </w:rPr>
            </w:pPr>
            <w:r>
              <w:rPr>
                <w:rFonts w:eastAsia="Times New Roman"/>
                <w:color w:val="000000"/>
                <w:sz w:val="20"/>
                <w:szCs w:val="20"/>
              </w:rPr>
              <w:t>Employees (period end, in thousands)</w:t>
            </w:r>
          </w:p>
        </w:tc>
        <w:tc>
          <w:tcPr>
            <w:tcW w:w="0" w:type="auto"/>
            <w:vAlign w:val="center"/>
            <w:hideMark/>
          </w:tcPr>
          <w:p w14:paraId="3B01751A" w14:textId="77777777" w:rsidR="00000000" w:rsidRDefault="00A173A8">
            <w:pPr>
              <w:spacing w:after="100"/>
              <w:rPr>
                <w:rFonts w:eastAsia="Times New Roman"/>
              </w:rPr>
            </w:pPr>
          </w:p>
        </w:tc>
        <w:tc>
          <w:tcPr>
            <w:tcW w:w="0" w:type="auto"/>
            <w:vAlign w:val="center"/>
            <w:hideMark/>
          </w:tcPr>
          <w:p w14:paraId="41F6478D" w14:textId="77777777" w:rsidR="00000000" w:rsidRDefault="00A173A8">
            <w:pPr>
              <w:spacing w:after="100"/>
              <w:rPr>
                <w:rFonts w:eastAsia="Times New Roman"/>
                <w:sz w:val="20"/>
                <w:szCs w:val="20"/>
              </w:rPr>
            </w:pPr>
          </w:p>
        </w:tc>
        <w:tc>
          <w:tcPr>
            <w:tcW w:w="0" w:type="auto"/>
            <w:vAlign w:val="center"/>
            <w:hideMark/>
          </w:tcPr>
          <w:p w14:paraId="2023D5A6" w14:textId="77777777" w:rsidR="00000000" w:rsidRDefault="00A173A8">
            <w:pPr>
              <w:spacing w:after="100"/>
              <w:rPr>
                <w:rFonts w:eastAsia="Times New Roman"/>
                <w:sz w:val="20"/>
                <w:szCs w:val="20"/>
              </w:rPr>
            </w:pPr>
          </w:p>
        </w:tc>
        <w:tc>
          <w:tcPr>
            <w:tcW w:w="0" w:type="auto"/>
            <w:vAlign w:val="center"/>
            <w:hideMark/>
          </w:tcPr>
          <w:p w14:paraId="19C80A96" w14:textId="77777777" w:rsidR="00000000" w:rsidRDefault="00A173A8">
            <w:pPr>
              <w:spacing w:after="100"/>
              <w:rPr>
                <w:rFonts w:eastAsia="Times New Roman"/>
                <w:sz w:val="20"/>
                <w:szCs w:val="20"/>
              </w:rPr>
            </w:pPr>
          </w:p>
        </w:tc>
        <w:tc>
          <w:tcPr>
            <w:tcW w:w="0" w:type="auto"/>
            <w:vAlign w:val="center"/>
            <w:hideMark/>
          </w:tcPr>
          <w:p w14:paraId="2A4AE8B2" w14:textId="77777777" w:rsidR="00000000" w:rsidRDefault="00A173A8">
            <w:pPr>
              <w:spacing w:after="100"/>
              <w:rPr>
                <w:rFonts w:eastAsia="Times New Roman"/>
                <w:sz w:val="20"/>
                <w:szCs w:val="20"/>
              </w:rPr>
            </w:pPr>
          </w:p>
        </w:tc>
        <w:tc>
          <w:tcPr>
            <w:tcW w:w="0" w:type="auto"/>
            <w:vAlign w:val="center"/>
            <w:hideMark/>
          </w:tcPr>
          <w:p w14:paraId="16CDC41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E86E82"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E46E5B" w14:textId="77777777" w:rsidR="00000000" w:rsidRDefault="00A173A8">
            <w:pPr>
              <w:spacing w:after="100"/>
              <w:jc w:val="right"/>
              <w:rPr>
                <w:rFonts w:eastAsia="Times New Roman"/>
              </w:rPr>
            </w:pPr>
            <w:r>
              <w:rPr>
                <w:rFonts w:eastAsia="Times New Roman"/>
                <w:b/>
                <w:bCs/>
                <w:color w:val="000000"/>
                <w:sz w:val="20"/>
                <w:szCs w:val="20"/>
              </w:rPr>
              <w:t>53.6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6A801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09C7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3F5E37" w14:textId="77777777" w:rsidR="00000000" w:rsidRDefault="00A173A8">
            <w:pPr>
              <w:spacing w:after="100"/>
              <w:jc w:val="right"/>
              <w:rPr>
                <w:rFonts w:eastAsia="Times New Roman"/>
              </w:rPr>
            </w:pPr>
            <w:r>
              <w:rPr>
                <w:rFonts w:eastAsia="Times New Roman"/>
                <w:color w:val="000000"/>
                <w:sz w:val="20"/>
                <w:szCs w:val="20"/>
              </w:rPr>
              <w:t>50.8 </w:t>
            </w:r>
          </w:p>
        </w:tc>
        <w:tc>
          <w:tcPr>
            <w:tcW w:w="0" w:type="auto"/>
            <w:shd w:val="clear" w:color="auto" w:fill="CCEEFF"/>
            <w:tcMar>
              <w:top w:w="30" w:type="dxa"/>
              <w:left w:w="0" w:type="dxa"/>
              <w:bottom w:w="30" w:type="dxa"/>
              <w:right w:w="20" w:type="dxa"/>
            </w:tcMar>
            <w:vAlign w:val="bottom"/>
            <w:hideMark/>
          </w:tcPr>
          <w:p w14:paraId="650E4DC7" w14:textId="77777777" w:rsidR="00000000" w:rsidRDefault="00A173A8">
            <w:pPr>
              <w:spacing w:after="100"/>
              <w:jc w:val="right"/>
              <w:rPr>
                <w:rFonts w:eastAsia="Times New Roman"/>
              </w:rPr>
            </w:pPr>
          </w:p>
        </w:tc>
        <w:tc>
          <w:tcPr>
            <w:tcW w:w="0" w:type="auto"/>
            <w:gridSpan w:val="3"/>
            <w:vAlign w:val="center"/>
            <w:hideMark/>
          </w:tcPr>
          <w:p w14:paraId="70CAB769" w14:textId="77777777" w:rsidR="00000000" w:rsidRDefault="00A173A8">
            <w:pPr>
              <w:spacing w:after="100"/>
              <w:jc w:val="right"/>
              <w:rPr>
                <w:rFonts w:eastAsia="Times New Roman"/>
                <w:sz w:val="20"/>
                <w:szCs w:val="20"/>
              </w:rPr>
            </w:pPr>
          </w:p>
        </w:tc>
        <w:tc>
          <w:tcPr>
            <w:tcW w:w="0" w:type="auto"/>
            <w:gridSpan w:val="3"/>
            <w:vAlign w:val="center"/>
            <w:hideMark/>
          </w:tcPr>
          <w:p w14:paraId="2BEB3B7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553C0A" w14:textId="77777777" w:rsidR="00000000" w:rsidRDefault="00A173A8">
            <w:pPr>
              <w:spacing w:after="100"/>
              <w:rPr>
                <w:rFonts w:eastAsia="Times New Roman"/>
                <w:sz w:val="20"/>
                <w:szCs w:val="20"/>
              </w:rPr>
            </w:pPr>
          </w:p>
        </w:tc>
        <w:tc>
          <w:tcPr>
            <w:tcW w:w="0" w:type="auto"/>
            <w:gridSpan w:val="3"/>
            <w:vAlign w:val="center"/>
            <w:hideMark/>
          </w:tcPr>
          <w:p w14:paraId="32ED367B" w14:textId="77777777" w:rsidR="00000000" w:rsidRDefault="00A173A8">
            <w:pPr>
              <w:spacing w:after="100"/>
              <w:rPr>
                <w:rFonts w:eastAsia="Times New Roman"/>
                <w:sz w:val="20"/>
                <w:szCs w:val="20"/>
              </w:rPr>
            </w:pPr>
          </w:p>
        </w:tc>
        <w:tc>
          <w:tcPr>
            <w:tcW w:w="0" w:type="auto"/>
            <w:gridSpan w:val="3"/>
            <w:vAlign w:val="center"/>
            <w:hideMark/>
          </w:tcPr>
          <w:p w14:paraId="514FE76C" w14:textId="77777777" w:rsidR="00000000" w:rsidRDefault="00A173A8">
            <w:pPr>
              <w:spacing w:after="100"/>
              <w:rPr>
                <w:rFonts w:eastAsia="Times New Roman"/>
                <w:sz w:val="20"/>
                <w:szCs w:val="20"/>
              </w:rPr>
            </w:pPr>
          </w:p>
        </w:tc>
        <w:tc>
          <w:tcPr>
            <w:tcW w:w="0" w:type="auto"/>
            <w:gridSpan w:val="3"/>
            <w:vAlign w:val="center"/>
            <w:hideMark/>
          </w:tcPr>
          <w:p w14:paraId="016DF2CE" w14:textId="77777777" w:rsidR="00000000" w:rsidRDefault="00A173A8">
            <w:pPr>
              <w:spacing w:after="100"/>
              <w:rPr>
                <w:rFonts w:eastAsia="Times New Roman"/>
                <w:sz w:val="20"/>
                <w:szCs w:val="20"/>
              </w:rPr>
            </w:pPr>
          </w:p>
        </w:tc>
        <w:tc>
          <w:tcPr>
            <w:tcW w:w="0" w:type="auto"/>
            <w:gridSpan w:val="3"/>
            <w:vAlign w:val="center"/>
            <w:hideMark/>
          </w:tcPr>
          <w:p w14:paraId="720870C5"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DB2EA7" w14:textId="77777777" w:rsidR="00000000" w:rsidRDefault="00A173A8">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1B999011" w14:textId="77777777" w:rsidR="00000000" w:rsidRDefault="00A173A8">
            <w:pPr>
              <w:spacing w:after="100"/>
              <w:rPr>
                <w:rFonts w:eastAsia="Times New Roman"/>
              </w:rPr>
            </w:pPr>
            <w:r>
              <w:rPr>
                <w:rFonts w:eastAsia="Times New Roman"/>
                <w:color w:val="000000"/>
                <w:sz w:val="20"/>
                <w:szCs w:val="20"/>
              </w:rPr>
              <w:t>%</w:t>
            </w:r>
          </w:p>
        </w:tc>
        <w:tc>
          <w:tcPr>
            <w:tcW w:w="0" w:type="auto"/>
            <w:gridSpan w:val="3"/>
            <w:vAlign w:val="center"/>
            <w:hideMark/>
          </w:tcPr>
          <w:p w14:paraId="6D389605" w14:textId="77777777" w:rsidR="00000000" w:rsidRDefault="00A173A8">
            <w:pPr>
              <w:spacing w:after="100"/>
              <w:rPr>
                <w:rFonts w:eastAsia="Times New Roman"/>
              </w:rPr>
            </w:pPr>
          </w:p>
        </w:tc>
        <w:tc>
          <w:tcPr>
            <w:tcW w:w="0" w:type="auto"/>
            <w:gridSpan w:val="2"/>
            <w:vAlign w:val="center"/>
            <w:hideMark/>
          </w:tcPr>
          <w:p w14:paraId="2EE02059" w14:textId="77777777" w:rsidR="00000000" w:rsidRDefault="00A173A8">
            <w:pPr>
              <w:spacing w:after="100"/>
              <w:rPr>
                <w:rFonts w:eastAsia="Times New Roman"/>
                <w:sz w:val="20"/>
                <w:szCs w:val="20"/>
              </w:rPr>
            </w:pPr>
          </w:p>
        </w:tc>
      </w:tr>
    </w:tbl>
    <w:p w14:paraId="7B8102F7" w14:textId="77777777" w:rsidR="00000000" w:rsidRDefault="00A173A8">
      <w:pPr>
        <w:divId w:val="1308389788"/>
        <w:rPr>
          <w:rFonts w:eastAsia="Times New Roman"/>
        </w:rPr>
      </w:pPr>
      <w:r>
        <w:rPr>
          <w:rFonts w:eastAsia="Times New Roman"/>
          <w:color w:val="000000"/>
          <w:sz w:val="20"/>
          <w:szCs w:val="20"/>
        </w:rPr>
        <w:t>__________</w:t>
      </w:r>
    </w:p>
    <w:p w14:paraId="1F5BB34C" w14:textId="77777777" w:rsidR="00000000" w:rsidRDefault="00A173A8">
      <w:pPr>
        <w:ind w:hanging="360"/>
        <w:jc w:val="both"/>
        <w:divId w:val="66224571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Tangible book value per common share is a non-GAAP measure calculated based on tangible common equity (“TCE”) divided by common shares outstanding. See “MD&amp;A</w:t>
      </w:r>
      <w:r>
        <w:rPr>
          <w:rFonts w:eastAsia="Times New Roman"/>
          <w:color w:val="000000"/>
          <w:sz w:val="16"/>
          <w:szCs w:val="16"/>
        </w:rPr>
        <w:t>—Table A—Reconciliation of Non-GAAP Measures” for additional information on non-GAAP measures.</w:t>
      </w:r>
    </w:p>
    <w:p w14:paraId="1BFA1DF0" w14:textId="77777777" w:rsidR="00000000" w:rsidRDefault="00A173A8">
      <w:pPr>
        <w:ind w:hanging="360"/>
        <w:jc w:val="both"/>
        <w:divId w:val="175893835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net revenue margin is calculated based on annualized total net revenue for the period divided by average interest-earning assets for the period.</w:t>
      </w:r>
    </w:p>
    <w:p w14:paraId="655B43EC" w14:textId="77777777" w:rsidR="00000000" w:rsidRDefault="00A173A8">
      <w:pPr>
        <w:ind w:hanging="360"/>
        <w:jc w:val="both"/>
        <w:divId w:val="62832257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Return on average assets is calculated based on annualized income from continuing operations, net of t</w:t>
      </w:r>
      <w:r>
        <w:rPr>
          <w:rFonts w:eastAsia="Times New Roman"/>
          <w:color w:val="000000"/>
          <w:sz w:val="16"/>
          <w:szCs w:val="16"/>
        </w:rPr>
        <w:t>ax, for the period divided by average total assets for the period.</w:t>
      </w:r>
    </w:p>
    <w:p w14:paraId="7949965D" w14:textId="77777777" w:rsidR="00000000" w:rsidRDefault="00A173A8">
      <w:pPr>
        <w:ind w:hanging="360"/>
        <w:jc w:val="both"/>
        <w:divId w:val="1508330355"/>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Return on average tangible assets is a non-GAAP measure calculated based on annualized income from continuing operations, net of tax, for the period divided by average tangible assets fo</w:t>
      </w:r>
      <w:r>
        <w:rPr>
          <w:rFonts w:eastAsia="Times New Roman"/>
          <w:color w:val="000000"/>
          <w:sz w:val="16"/>
          <w:szCs w:val="16"/>
        </w:rPr>
        <w:t>r the period. See “MD&amp;A—Table A—Reconciliation of Non-GAAP Measures” for additional information on non-GAAP measures.</w:t>
      </w:r>
    </w:p>
    <w:p w14:paraId="171A61A1" w14:textId="77777777" w:rsidR="00000000" w:rsidRDefault="00A173A8">
      <w:pPr>
        <w:ind w:hanging="360"/>
        <w:jc w:val="both"/>
        <w:divId w:val="737215687"/>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Return on average common equity is calculated based on annualized net income (loss) available to common stockholders less annualized in</w:t>
      </w:r>
      <w:r>
        <w:rPr>
          <w:rFonts w:eastAsia="Times New Roman"/>
          <w:color w:val="000000"/>
          <w:sz w:val="16"/>
          <w:szCs w:val="16"/>
        </w:rPr>
        <w:t>come (loss) from discontinued operations, net of tax, for the period, divided by average common equity. Our calculation of return on average common equity may not be comparable to similarly-titled measures reported by other companies.</w:t>
      </w:r>
    </w:p>
    <w:p w14:paraId="6A200A12" w14:textId="77777777" w:rsidR="00000000" w:rsidRDefault="00A173A8">
      <w:pPr>
        <w:ind w:hanging="360"/>
        <w:jc w:val="both"/>
        <w:divId w:val="1212157521"/>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 xml:space="preserve">Return on average </w:t>
      </w:r>
      <w:r>
        <w:rPr>
          <w:rFonts w:eastAsia="Times New Roman"/>
          <w:color w:val="000000"/>
          <w:sz w:val="16"/>
          <w:szCs w:val="16"/>
        </w:rPr>
        <w:t>tangible common equity is a non-GAAP measure calculated based on annualized net income (loss) available to common stockholders less annualized income (loss) from discontinued operations, net of tax, for the period, divided by average TCE. Our calculation o</w:t>
      </w:r>
      <w:r>
        <w:rPr>
          <w:rFonts w:eastAsia="Times New Roman"/>
          <w:color w:val="000000"/>
          <w:sz w:val="16"/>
          <w:szCs w:val="16"/>
        </w:rPr>
        <w:t>f return on average TCE may not be comparable to similarly-titled measures reported by other companies. See “MD&amp;A—Table A—Reconciliation of Non-GAAP Measures” for additional information on non-GAAP measures.</w:t>
      </w:r>
    </w:p>
    <w:p w14:paraId="6A2F314C" w14:textId="77777777" w:rsidR="00000000" w:rsidRDefault="00A173A8">
      <w:pPr>
        <w:ind w:hanging="360"/>
        <w:jc w:val="both"/>
        <w:divId w:val="1057895135"/>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Equity-to-assets ratio is calculated based on</w:t>
      </w:r>
      <w:r>
        <w:rPr>
          <w:rFonts w:eastAsia="Times New Roman"/>
          <w:color w:val="000000"/>
          <w:sz w:val="16"/>
          <w:szCs w:val="16"/>
        </w:rPr>
        <w:t xml:space="preserve"> average stockholders’ equity for the period divided by average total assets for the period.</w:t>
      </w:r>
    </w:p>
    <w:p w14:paraId="2F832BDE" w14:textId="77777777" w:rsidR="00000000" w:rsidRDefault="00A173A8">
      <w:pPr>
        <w:ind w:hanging="360"/>
        <w:jc w:val="both"/>
        <w:divId w:val="708797269"/>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Efficiency ratio is calculated based on total non-interest expense for the period divided by total net revenue for the period.</w:t>
      </w:r>
    </w:p>
    <w:p w14:paraId="5636B5C5" w14:textId="77777777" w:rsidR="00000000" w:rsidRDefault="00A173A8">
      <w:pPr>
        <w:ind w:hanging="360"/>
        <w:jc w:val="both"/>
        <w:divId w:val="1666742377"/>
        <w:rPr>
          <w:rFonts w:eastAsia="Times New Roman"/>
        </w:rPr>
      </w:pPr>
      <w:r>
        <w:rPr>
          <w:rFonts w:eastAsia="Times New Roman"/>
          <w:color w:val="000000"/>
          <w:sz w:val="10"/>
          <w:szCs w:val="10"/>
        </w:rPr>
        <w:t>(9</w:t>
      </w:r>
      <w:r>
        <w:rPr>
          <w:rFonts w:eastAsia="Times New Roman"/>
          <w:color w:val="000000"/>
          <w:sz w:val="10"/>
          <w:szCs w:val="10"/>
        </w:rPr>
        <w:t>)</w:t>
      </w:r>
      <w:r>
        <w:rPr>
          <w:rFonts w:eastAsia="Times New Roman"/>
          <w:color w:val="000000"/>
          <w:sz w:val="16"/>
          <w:szCs w:val="16"/>
        </w:rPr>
        <w:t xml:space="preserve">Operating efficiency ratio is </w:t>
      </w:r>
      <w:r>
        <w:rPr>
          <w:rFonts w:eastAsia="Times New Roman"/>
          <w:color w:val="000000"/>
          <w:sz w:val="16"/>
          <w:szCs w:val="16"/>
        </w:rPr>
        <w:t>calculated based on operating expense for the period divided by total net revenue for the period.</w:t>
      </w:r>
    </w:p>
    <w:p w14:paraId="0BE82368" w14:textId="77777777" w:rsidR="00000000" w:rsidRDefault="00A173A8">
      <w:pPr>
        <w:ind w:hanging="360"/>
        <w:jc w:val="both"/>
        <w:divId w:val="193808350"/>
        <w:rPr>
          <w:rFonts w:eastAsia="Times New Roman"/>
        </w:rPr>
      </w:pPr>
      <w:r>
        <w:rPr>
          <w:rFonts w:eastAsia="Times New Roman"/>
          <w:color w:val="000000"/>
          <w:sz w:val="10"/>
          <w:szCs w:val="10"/>
        </w:rPr>
        <w:t>(10</w:t>
      </w:r>
      <w:r>
        <w:rPr>
          <w:rFonts w:eastAsia="Times New Roman"/>
          <w:color w:val="000000"/>
          <w:sz w:val="10"/>
          <w:szCs w:val="10"/>
        </w:rPr>
        <w:t>)</w:t>
      </w:r>
      <w:r>
        <w:rPr>
          <w:rFonts w:eastAsia="Times New Roman"/>
          <w:color w:val="000000"/>
          <w:sz w:val="16"/>
          <w:szCs w:val="16"/>
        </w:rPr>
        <w:t>Capital ratios are calculated based on the Basel III Standardized Approach framework, see “MD&amp;A—Capital Management” for additional information.</w:t>
      </w:r>
    </w:p>
    <w:p w14:paraId="63A30247" w14:textId="77777777" w:rsidR="00000000" w:rsidRDefault="00A173A8">
      <w:pPr>
        <w:ind w:hanging="360"/>
        <w:jc w:val="both"/>
        <w:divId w:val="987438187"/>
        <w:rPr>
          <w:rFonts w:eastAsia="Times New Roman"/>
        </w:rPr>
      </w:pPr>
      <w:r>
        <w:rPr>
          <w:rFonts w:eastAsia="Times New Roman"/>
          <w:color w:val="000000"/>
          <w:sz w:val="10"/>
          <w:szCs w:val="10"/>
        </w:rPr>
        <w:t>(11</w:t>
      </w:r>
      <w:r>
        <w:rPr>
          <w:rFonts w:eastAsia="Times New Roman"/>
          <w:color w:val="000000"/>
          <w:sz w:val="10"/>
          <w:szCs w:val="10"/>
        </w:rPr>
        <w:t>)</w:t>
      </w:r>
      <w:r>
        <w:rPr>
          <w:rFonts w:eastAsia="Times New Roman"/>
          <w:color w:val="000000"/>
          <w:sz w:val="16"/>
          <w:szCs w:val="16"/>
        </w:rPr>
        <w:t>Tangib</w:t>
      </w:r>
      <w:r>
        <w:rPr>
          <w:rFonts w:eastAsia="Times New Roman"/>
          <w:color w:val="000000"/>
          <w:sz w:val="16"/>
          <w:szCs w:val="16"/>
        </w:rPr>
        <w:t>le common equity ratio is a non-GAAP measure calculated based on TCE divided by tangible assets. See “MD&amp;A—Table A—Reconciliation of Non-GAAP Measures” for the calculation of this measure and reconciliation to the comparative U.S. GAAP measure.</w:t>
      </w:r>
    </w:p>
    <w:p w14:paraId="7F9B5227" w14:textId="77777777" w:rsidR="00000000" w:rsidRDefault="00A173A8">
      <w:pPr>
        <w:ind w:hanging="360"/>
        <w:jc w:val="both"/>
        <w:divId w:val="1134953969"/>
        <w:rPr>
          <w:rFonts w:eastAsia="Times New Roman"/>
        </w:rPr>
      </w:pPr>
      <w:r>
        <w:rPr>
          <w:rFonts w:eastAsia="Times New Roman"/>
          <w:color w:val="000000"/>
          <w:sz w:val="16"/>
          <w:szCs w:val="16"/>
        </w:rPr>
        <w:t>**    Not m</w:t>
      </w:r>
      <w:r>
        <w:rPr>
          <w:rFonts w:eastAsia="Times New Roman"/>
          <w:color w:val="000000"/>
          <w:sz w:val="16"/>
          <w:szCs w:val="16"/>
        </w:rPr>
        <w:t>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0D9CA3C" w14:textId="77777777">
        <w:trPr>
          <w:divId w:val="1365402860"/>
          <w:jc w:val="center"/>
        </w:trPr>
        <w:tc>
          <w:tcPr>
            <w:tcW w:w="50" w:type="pct"/>
            <w:vAlign w:val="center"/>
            <w:hideMark/>
          </w:tcPr>
          <w:p w14:paraId="04ABA5BF" w14:textId="77777777" w:rsidR="00000000" w:rsidRDefault="00A173A8">
            <w:pPr>
              <w:ind w:hanging="360"/>
              <w:jc w:val="both"/>
              <w:rPr>
                <w:rFonts w:eastAsia="Times New Roman"/>
              </w:rPr>
            </w:pPr>
          </w:p>
        </w:tc>
        <w:tc>
          <w:tcPr>
            <w:tcW w:w="1606" w:type="pct"/>
            <w:vAlign w:val="center"/>
            <w:hideMark/>
          </w:tcPr>
          <w:p w14:paraId="4802425D" w14:textId="77777777" w:rsidR="00000000" w:rsidRDefault="00A173A8">
            <w:pPr>
              <w:spacing w:after="100"/>
              <w:rPr>
                <w:rFonts w:eastAsia="Times New Roman"/>
                <w:sz w:val="20"/>
                <w:szCs w:val="20"/>
              </w:rPr>
            </w:pPr>
          </w:p>
        </w:tc>
        <w:tc>
          <w:tcPr>
            <w:tcW w:w="5" w:type="pct"/>
            <w:vAlign w:val="center"/>
            <w:hideMark/>
          </w:tcPr>
          <w:p w14:paraId="19B8C98C" w14:textId="77777777" w:rsidR="00000000" w:rsidRDefault="00A173A8">
            <w:pPr>
              <w:spacing w:after="100"/>
              <w:rPr>
                <w:rFonts w:eastAsia="Times New Roman"/>
                <w:sz w:val="20"/>
                <w:szCs w:val="20"/>
              </w:rPr>
            </w:pPr>
          </w:p>
        </w:tc>
        <w:tc>
          <w:tcPr>
            <w:tcW w:w="50" w:type="pct"/>
            <w:vAlign w:val="center"/>
            <w:hideMark/>
          </w:tcPr>
          <w:p w14:paraId="6118B894" w14:textId="77777777" w:rsidR="00000000" w:rsidRDefault="00A173A8">
            <w:pPr>
              <w:spacing w:after="100"/>
              <w:rPr>
                <w:rFonts w:eastAsia="Times New Roman"/>
                <w:sz w:val="20"/>
                <w:szCs w:val="20"/>
              </w:rPr>
            </w:pPr>
          </w:p>
        </w:tc>
        <w:tc>
          <w:tcPr>
            <w:tcW w:w="1614" w:type="pct"/>
            <w:vAlign w:val="center"/>
            <w:hideMark/>
          </w:tcPr>
          <w:p w14:paraId="0C6DF2DD" w14:textId="77777777" w:rsidR="00000000" w:rsidRDefault="00A173A8">
            <w:pPr>
              <w:spacing w:after="100"/>
              <w:rPr>
                <w:rFonts w:eastAsia="Times New Roman"/>
                <w:sz w:val="20"/>
                <w:szCs w:val="20"/>
              </w:rPr>
            </w:pPr>
          </w:p>
        </w:tc>
        <w:tc>
          <w:tcPr>
            <w:tcW w:w="5" w:type="pct"/>
            <w:vAlign w:val="center"/>
            <w:hideMark/>
          </w:tcPr>
          <w:p w14:paraId="710ACDBE" w14:textId="77777777" w:rsidR="00000000" w:rsidRDefault="00A173A8">
            <w:pPr>
              <w:spacing w:after="100"/>
              <w:rPr>
                <w:rFonts w:eastAsia="Times New Roman"/>
                <w:sz w:val="20"/>
                <w:szCs w:val="20"/>
              </w:rPr>
            </w:pPr>
          </w:p>
        </w:tc>
        <w:tc>
          <w:tcPr>
            <w:tcW w:w="50" w:type="pct"/>
            <w:vAlign w:val="center"/>
            <w:hideMark/>
          </w:tcPr>
          <w:p w14:paraId="4683DA79" w14:textId="77777777" w:rsidR="00000000" w:rsidRDefault="00A173A8">
            <w:pPr>
              <w:spacing w:after="100"/>
              <w:rPr>
                <w:rFonts w:eastAsia="Times New Roman"/>
                <w:sz w:val="20"/>
                <w:szCs w:val="20"/>
              </w:rPr>
            </w:pPr>
          </w:p>
        </w:tc>
        <w:tc>
          <w:tcPr>
            <w:tcW w:w="1614" w:type="pct"/>
            <w:vAlign w:val="center"/>
            <w:hideMark/>
          </w:tcPr>
          <w:p w14:paraId="4B6135E3" w14:textId="77777777" w:rsidR="00000000" w:rsidRDefault="00A173A8">
            <w:pPr>
              <w:spacing w:after="100"/>
              <w:rPr>
                <w:rFonts w:eastAsia="Times New Roman"/>
                <w:sz w:val="20"/>
                <w:szCs w:val="20"/>
              </w:rPr>
            </w:pPr>
          </w:p>
        </w:tc>
        <w:tc>
          <w:tcPr>
            <w:tcW w:w="5" w:type="pct"/>
            <w:vAlign w:val="center"/>
            <w:hideMark/>
          </w:tcPr>
          <w:p w14:paraId="6B5D2ED0" w14:textId="77777777" w:rsidR="00000000" w:rsidRDefault="00A173A8">
            <w:pPr>
              <w:spacing w:after="100"/>
              <w:rPr>
                <w:rFonts w:eastAsia="Times New Roman"/>
                <w:sz w:val="20"/>
                <w:szCs w:val="20"/>
              </w:rPr>
            </w:pPr>
          </w:p>
        </w:tc>
      </w:tr>
      <w:tr w:rsidR="00000000" w14:paraId="4F75820B" w14:textId="77777777">
        <w:trPr>
          <w:divId w:val="1365402860"/>
          <w:trHeight w:val="300"/>
          <w:jc w:val="center"/>
        </w:trPr>
        <w:tc>
          <w:tcPr>
            <w:tcW w:w="0" w:type="auto"/>
            <w:gridSpan w:val="9"/>
            <w:tcMar>
              <w:top w:w="0" w:type="dxa"/>
              <w:left w:w="20" w:type="dxa"/>
              <w:bottom w:w="0" w:type="dxa"/>
              <w:right w:w="20" w:type="dxa"/>
            </w:tcMar>
            <w:vAlign w:val="center"/>
            <w:hideMark/>
          </w:tcPr>
          <w:p w14:paraId="6E30568E" w14:textId="77777777" w:rsidR="00000000" w:rsidRDefault="00A173A8">
            <w:pPr>
              <w:spacing w:after="100"/>
              <w:rPr>
                <w:rFonts w:eastAsia="Times New Roman"/>
                <w:sz w:val="20"/>
                <w:szCs w:val="20"/>
              </w:rPr>
            </w:pPr>
          </w:p>
        </w:tc>
      </w:tr>
      <w:tr w:rsidR="00000000" w14:paraId="0E3D0E5E" w14:textId="77777777">
        <w:trPr>
          <w:divId w:val="1365402860"/>
          <w:jc w:val="center"/>
        </w:trPr>
        <w:tc>
          <w:tcPr>
            <w:tcW w:w="0" w:type="auto"/>
            <w:gridSpan w:val="3"/>
            <w:tcMar>
              <w:top w:w="0" w:type="dxa"/>
              <w:left w:w="20" w:type="dxa"/>
              <w:bottom w:w="0" w:type="dxa"/>
              <w:right w:w="20" w:type="dxa"/>
            </w:tcMar>
            <w:vAlign w:val="center"/>
            <w:hideMark/>
          </w:tcPr>
          <w:p w14:paraId="6A0AAE98"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D8EBD0" w14:textId="77777777" w:rsidR="00000000" w:rsidRDefault="00A173A8">
            <w:pPr>
              <w:spacing w:after="100"/>
              <w:jc w:val="center"/>
              <w:rPr>
                <w:rFonts w:eastAsia="Times New Roman"/>
              </w:rPr>
            </w:pPr>
            <w:r>
              <w:rPr>
                <w:rFonts w:eastAsia="Times New Roman"/>
                <w:color w:val="000000"/>
                <w:sz w:val="16"/>
                <w:szCs w:val="16"/>
              </w:rPr>
              <w:t>8</w:t>
            </w:r>
          </w:p>
        </w:tc>
        <w:tc>
          <w:tcPr>
            <w:tcW w:w="0" w:type="auto"/>
            <w:gridSpan w:val="3"/>
            <w:tcMar>
              <w:top w:w="30" w:type="dxa"/>
              <w:left w:w="20" w:type="dxa"/>
              <w:bottom w:w="30" w:type="dxa"/>
              <w:right w:w="20" w:type="dxa"/>
            </w:tcMar>
            <w:vAlign w:val="bottom"/>
            <w:hideMark/>
          </w:tcPr>
          <w:p w14:paraId="3ADB684C"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75CEF0F" w14:textId="77777777" w:rsidR="00000000" w:rsidRDefault="00A173A8">
      <w:pPr>
        <w:rPr>
          <w:rFonts w:eastAsia="Times New Roman"/>
        </w:rPr>
      </w:pPr>
      <w:r>
        <w:rPr>
          <w:rFonts w:eastAsia="Times New Roman"/>
        </w:rPr>
        <w:pict w14:anchorId="0AE10B23">
          <v:rect id="_x0000_i1033" style="width:0;height:1.5pt" o:hralign="center" o:hrstd="t" o:hr="t" fillcolor="#a0a0a0" stroked="f"/>
        </w:pict>
      </w:r>
    </w:p>
    <w:p w14:paraId="234BF428" w14:textId="77777777" w:rsidR="00000000" w:rsidRDefault="00A173A8">
      <w:pPr>
        <w:ind w:hanging="360"/>
        <w:jc w:val="both"/>
        <w:divId w:val="1557232296"/>
        <w:rPr>
          <w:rFonts w:eastAsia="Times New Roman"/>
        </w:rPr>
      </w:pPr>
      <w:hyperlink w:anchor="i7ffd5d61af6f4722b1b1b07530d51c06_13" w:history="1">
        <w:r>
          <w:rPr>
            <w:rStyle w:val="a3"/>
            <w:rFonts w:eastAsia="Times New Roman"/>
            <w:sz w:val="16"/>
            <w:szCs w:val="16"/>
          </w:rPr>
          <w:t xml:space="preserve">Table of </w:t>
        </w:r>
      </w:hyperlink>
      <w:hyperlink w:anchor="i7ffd5d61af6f4722b1b1b07530d51c06_13"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39A52DB" w14:textId="77777777">
        <w:trPr>
          <w:divId w:val="605045830"/>
        </w:trPr>
        <w:tc>
          <w:tcPr>
            <w:tcW w:w="50" w:type="pct"/>
            <w:vAlign w:val="center"/>
            <w:hideMark/>
          </w:tcPr>
          <w:p w14:paraId="33E276FA" w14:textId="77777777" w:rsidR="00000000" w:rsidRDefault="00A173A8">
            <w:pPr>
              <w:ind w:hanging="360"/>
              <w:jc w:val="both"/>
              <w:rPr>
                <w:rFonts w:eastAsia="Times New Roman"/>
              </w:rPr>
            </w:pPr>
          </w:p>
        </w:tc>
        <w:tc>
          <w:tcPr>
            <w:tcW w:w="4945" w:type="pct"/>
            <w:vAlign w:val="center"/>
            <w:hideMark/>
          </w:tcPr>
          <w:p w14:paraId="11FB2380" w14:textId="77777777" w:rsidR="00000000" w:rsidRDefault="00A173A8">
            <w:pPr>
              <w:spacing w:after="100"/>
              <w:rPr>
                <w:rFonts w:eastAsia="Times New Roman"/>
                <w:sz w:val="20"/>
                <w:szCs w:val="20"/>
              </w:rPr>
            </w:pPr>
          </w:p>
        </w:tc>
        <w:tc>
          <w:tcPr>
            <w:tcW w:w="5" w:type="pct"/>
            <w:vAlign w:val="center"/>
            <w:hideMark/>
          </w:tcPr>
          <w:p w14:paraId="6A8D8E55" w14:textId="77777777" w:rsidR="00000000" w:rsidRDefault="00A173A8">
            <w:pPr>
              <w:spacing w:after="100"/>
              <w:rPr>
                <w:rFonts w:eastAsia="Times New Roman"/>
                <w:sz w:val="20"/>
                <w:szCs w:val="20"/>
              </w:rPr>
            </w:pPr>
          </w:p>
        </w:tc>
      </w:tr>
      <w:tr w:rsidR="00000000" w14:paraId="042E0BB2" w14:textId="77777777">
        <w:trPr>
          <w:divId w:val="60504583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62697EB0" w14:textId="77777777" w:rsidR="00000000" w:rsidRDefault="00A173A8">
            <w:pPr>
              <w:spacing w:after="100"/>
              <w:rPr>
                <w:rFonts w:eastAsia="Times New Roman"/>
              </w:rPr>
            </w:pPr>
            <w:r>
              <w:rPr>
                <w:rFonts w:eastAsia="Times New Roman"/>
                <w:b/>
                <w:bCs/>
                <w:color w:val="000000"/>
                <w:sz w:val="20"/>
                <w:szCs w:val="20"/>
              </w:rPr>
              <w:t>EXECUTIVE SUMMARY</w:t>
            </w:r>
          </w:p>
        </w:tc>
      </w:tr>
    </w:tbl>
    <w:p w14:paraId="75835266" w14:textId="77777777" w:rsidR="00000000" w:rsidRDefault="00A173A8">
      <w:pPr>
        <w:divId w:val="1039166128"/>
        <w:rPr>
          <w:rFonts w:eastAsia="Times New Roman"/>
        </w:rPr>
      </w:pPr>
      <w:r>
        <w:rPr>
          <w:rFonts w:eastAsia="Times New Roman"/>
          <w:b/>
          <w:bCs/>
          <w:color w:val="000000"/>
          <w:sz w:val="20"/>
          <w:szCs w:val="20"/>
        </w:rPr>
        <w:t>Financial Highlights</w:t>
      </w:r>
    </w:p>
    <w:p w14:paraId="49FD0FBC" w14:textId="77777777" w:rsidR="00000000" w:rsidRDefault="00A173A8">
      <w:pPr>
        <w:jc w:val="both"/>
        <w:divId w:val="2005933280"/>
        <w:rPr>
          <w:rFonts w:eastAsia="Times New Roman"/>
        </w:rPr>
      </w:pPr>
      <w:r>
        <w:rPr>
          <w:rFonts w:eastAsia="Times New Roman"/>
          <w:color w:val="000000"/>
          <w:sz w:val="20"/>
          <w:szCs w:val="20"/>
        </w:rPr>
        <w:t xml:space="preserve">We reported net income of $2.0 billion ($4.96 per diluted common share) on total net revenue of $8.2 billion and net income of $4.4 billion ($10.61 per diluted common share) on total net revenue of $16.4 billion for the second quarter and first six months </w:t>
      </w:r>
      <w:r>
        <w:rPr>
          <w:rFonts w:eastAsia="Times New Roman"/>
          <w:color w:val="000000"/>
          <w:sz w:val="20"/>
          <w:szCs w:val="20"/>
        </w:rPr>
        <w:t>of 2022. In comparison, we reported net income of $3.5 billion ($7.62 per diluted common share) on total net revenue of $7.4 billion and net income of $6.9 billion ($14.65 per diluted common share) on total net revenue of $14.5 billion for the second quart</w:t>
      </w:r>
      <w:r>
        <w:rPr>
          <w:rFonts w:eastAsia="Times New Roman"/>
          <w:color w:val="000000"/>
          <w:sz w:val="20"/>
          <w:szCs w:val="20"/>
        </w:rPr>
        <w:t>er and first six months of 2021.</w:t>
      </w:r>
    </w:p>
    <w:p w14:paraId="0C5182BB" w14:textId="77777777" w:rsidR="00000000" w:rsidRDefault="00A173A8">
      <w:pPr>
        <w:jc w:val="both"/>
        <w:divId w:val="1482044787"/>
        <w:rPr>
          <w:rFonts w:eastAsia="Times New Roman"/>
        </w:rPr>
      </w:pPr>
      <w:r>
        <w:rPr>
          <w:rFonts w:eastAsia="Times New Roman"/>
          <w:color w:val="000000"/>
          <w:sz w:val="20"/>
          <w:szCs w:val="20"/>
        </w:rPr>
        <w:t xml:space="preserve">Our common equity Tier 1 capital ratio as calculated under the Basel III Standardized Approach was 12.1% and 13.1% as of June 30, 2022 and December 31, 2021, respectively. See “MD&amp;A—Capital Management” </w:t>
      </w:r>
      <w:r>
        <w:rPr>
          <w:rFonts w:eastAsia="Times New Roman"/>
          <w:color w:val="000000"/>
          <w:sz w:val="20"/>
          <w:szCs w:val="20"/>
        </w:rPr>
        <w:t>for additional information.</w:t>
      </w:r>
    </w:p>
    <w:p w14:paraId="2E10F4D6" w14:textId="77777777" w:rsidR="00000000" w:rsidRDefault="00A173A8">
      <w:pPr>
        <w:jc w:val="both"/>
        <w:divId w:val="58285577"/>
        <w:rPr>
          <w:rFonts w:eastAsia="Times New Roman"/>
        </w:rPr>
      </w:pPr>
      <w:r>
        <w:rPr>
          <w:rFonts w:eastAsia="Times New Roman"/>
          <w:color w:val="000000"/>
          <w:sz w:val="20"/>
          <w:szCs w:val="20"/>
        </w:rPr>
        <w:t xml:space="preserve">In January 2022, our Board of Directors authorized the repurchase of up to $5.0 billion of shares of our common stock. </w:t>
      </w:r>
      <w:r>
        <w:rPr>
          <w:rFonts w:eastAsia="Times New Roman"/>
          <w:color w:val="000000"/>
          <w:sz w:val="20"/>
          <w:szCs w:val="20"/>
          <w:shd w:val="clear" w:color="auto" w:fill="FFFFFF"/>
        </w:rPr>
        <w:t>We repurchased approximately $2.0 billion of shares of our common stock during the second quarter of 2022 and</w:t>
      </w:r>
      <w:r>
        <w:rPr>
          <w:rFonts w:eastAsia="Times New Roman"/>
          <w:color w:val="000000"/>
          <w:sz w:val="20"/>
          <w:szCs w:val="20"/>
          <w:shd w:val="clear" w:color="auto" w:fill="FFFFFF"/>
        </w:rPr>
        <w:t xml:space="preserve"> $4.4 billion during the first six months of 2022.</w:t>
      </w:r>
      <w:r>
        <w:rPr>
          <w:rFonts w:eastAsia="Times New Roman"/>
          <w:color w:val="000000"/>
          <w:sz w:val="20"/>
          <w:szCs w:val="20"/>
        </w:rPr>
        <w:t xml:space="preserve"> In April 2022, our Board of Directors authorized the repurchase of up to an additional $5.0 billion of shares of our common stock beginning in the third quarter of 2022. See “MD&amp;A—Capital Management—Divide</w:t>
      </w:r>
      <w:r>
        <w:rPr>
          <w:rFonts w:eastAsia="Times New Roman"/>
          <w:color w:val="000000"/>
          <w:sz w:val="20"/>
          <w:szCs w:val="20"/>
        </w:rPr>
        <w:t>nd Policy and Stock Purchases” for additional information.</w:t>
      </w:r>
    </w:p>
    <w:p w14:paraId="5B8D725C" w14:textId="77777777" w:rsidR="00000000" w:rsidRDefault="00A173A8">
      <w:pPr>
        <w:jc w:val="both"/>
        <w:divId w:val="488785223"/>
        <w:rPr>
          <w:rFonts w:eastAsia="Times New Roman"/>
        </w:rPr>
      </w:pPr>
      <w:r>
        <w:rPr>
          <w:rFonts w:eastAsia="Times New Roman"/>
          <w:color w:val="000000"/>
          <w:sz w:val="20"/>
          <w:szCs w:val="20"/>
        </w:rPr>
        <w:t>Below are additional highlights of our performance in the second quarter and first six months of 2022. These highlights are based on a comparison between the results of the second quarter and first</w:t>
      </w:r>
      <w:r>
        <w:rPr>
          <w:rFonts w:eastAsia="Times New Roman"/>
          <w:color w:val="000000"/>
          <w:sz w:val="20"/>
          <w:szCs w:val="20"/>
        </w:rPr>
        <w:t xml:space="preserve"> six months of 2022 and 2021, except as otherwise noted. The changes in our financial condition and credit performance are generally based on our financial condition and credit performance as of June 30, 2022 compared to December 31, 2021. We provide a mor</w:t>
      </w:r>
      <w:r>
        <w:rPr>
          <w:rFonts w:eastAsia="Times New Roman"/>
          <w:color w:val="000000"/>
          <w:sz w:val="20"/>
          <w:szCs w:val="20"/>
        </w:rPr>
        <w:t>e detailed discussion of our financial performance in the sections following this “Executive Summary.”</w:t>
      </w:r>
    </w:p>
    <w:p w14:paraId="5C690B3D" w14:textId="77777777" w:rsidR="00000000" w:rsidRDefault="00A173A8">
      <w:pPr>
        <w:divId w:val="1337538670"/>
        <w:rPr>
          <w:rFonts w:eastAsia="Times New Roman"/>
        </w:rPr>
      </w:pPr>
      <w:r>
        <w:rPr>
          <w:rFonts w:eastAsia="Times New Roman"/>
          <w:b/>
          <w:bCs/>
          <w:i/>
          <w:iCs/>
          <w:color w:val="000000"/>
          <w:sz w:val="20"/>
          <w:szCs w:val="20"/>
        </w:rPr>
        <w:t>Total Company Performance</w:t>
      </w:r>
    </w:p>
    <w:p w14:paraId="44E0F881" w14:textId="77777777" w:rsidR="00000000" w:rsidRDefault="00A173A8">
      <w:pPr>
        <w:ind w:hanging="360"/>
        <w:jc w:val="both"/>
        <w:divId w:val="1963073039"/>
        <w:rPr>
          <w:rFonts w:eastAsia="Times New Roman"/>
        </w:rPr>
      </w:pPr>
      <w:r>
        <w:rPr>
          <w:rFonts w:eastAsia="Times New Roman"/>
          <w:i/>
          <w:iCs/>
          <w:color w:val="000000"/>
          <w:sz w:val="20"/>
          <w:szCs w:val="20"/>
        </w:rPr>
        <w:t xml:space="preserve">•Earnings: </w:t>
      </w:r>
    </w:p>
    <w:p w14:paraId="05AA426F" w14:textId="77777777" w:rsidR="00000000" w:rsidRDefault="00A173A8">
      <w:pPr>
        <w:jc w:val="both"/>
        <w:divId w:val="961691555"/>
        <w:rPr>
          <w:rFonts w:eastAsia="Times New Roman"/>
        </w:rPr>
      </w:pPr>
      <w:r>
        <w:rPr>
          <w:rFonts w:eastAsia="Times New Roman"/>
          <w:color w:val="000000"/>
          <w:sz w:val="20"/>
          <w:szCs w:val="20"/>
        </w:rPr>
        <w:t>Our net income decreased by $1.5 billion to $2.0 billion in the second quarter of 2022 compared to the second quart</w:t>
      </w:r>
      <w:r>
        <w:rPr>
          <w:rFonts w:eastAsia="Times New Roman"/>
          <w:color w:val="000000"/>
          <w:sz w:val="20"/>
          <w:szCs w:val="20"/>
        </w:rPr>
        <w:t>er of 2021 and decreased by $2.4 billion to $4.4 billion in the first six months of 2022 compared to the first six months of 2021 primarily driven by:</w:t>
      </w:r>
    </w:p>
    <w:p w14:paraId="6FC3606E" w14:textId="77777777" w:rsidR="00000000" w:rsidRDefault="00A173A8">
      <w:pPr>
        <w:spacing w:before="180" w:after="180"/>
        <w:ind w:hanging="360"/>
        <w:jc w:val="both"/>
        <w:divId w:val="1665549288"/>
        <w:rPr>
          <w:rFonts w:eastAsia="Times New Roman"/>
        </w:rPr>
      </w:pPr>
      <w:r>
        <w:rPr>
          <w:rFonts w:eastAsia="Times New Roman"/>
          <w:b/>
          <w:bCs/>
          <w:i/>
          <w:iCs/>
          <w:color w:val="000000"/>
          <w:sz w:val="12"/>
          <w:szCs w:val="12"/>
        </w:rPr>
        <w:t>◦</w:t>
      </w:r>
      <w:r>
        <w:rPr>
          <w:rFonts w:eastAsia="Times New Roman"/>
          <w:color w:val="000000"/>
          <w:sz w:val="20"/>
          <w:szCs w:val="20"/>
        </w:rPr>
        <w:t xml:space="preserve">Higher provision for credit losses driven by allowance builds in our Consumer and Commercial businesses </w:t>
      </w:r>
      <w:r>
        <w:rPr>
          <w:rFonts w:eastAsia="Times New Roman"/>
          <w:color w:val="000000"/>
          <w:sz w:val="20"/>
          <w:szCs w:val="20"/>
        </w:rPr>
        <w:t xml:space="preserve">due to loan growth and continued economic uncertainty, compared to allowance releases across all of our segments in the first half of 2021. </w:t>
      </w:r>
    </w:p>
    <w:p w14:paraId="3557606F" w14:textId="77777777" w:rsidR="00000000" w:rsidRDefault="00A173A8">
      <w:pPr>
        <w:spacing w:before="180" w:after="180"/>
        <w:ind w:hanging="360"/>
        <w:jc w:val="both"/>
        <w:divId w:val="841090907"/>
        <w:rPr>
          <w:rFonts w:eastAsia="Times New Roman"/>
        </w:rPr>
      </w:pPr>
      <w:r>
        <w:rPr>
          <w:rFonts w:eastAsia="Times New Roman"/>
          <w:color w:val="000000"/>
          <w:sz w:val="20"/>
          <w:szCs w:val="20"/>
        </w:rPr>
        <w:t>◦</w:t>
      </w:r>
      <w:r>
        <w:rPr>
          <w:rFonts w:eastAsia="Times New Roman"/>
          <w:color w:val="000000"/>
          <w:sz w:val="20"/>
          <w:szCs w:val="20"/>
        </w:rPr>
        <w:t>Higher non-interest expense primarily driven by increased marketing spend primarily in our Credit Card business to</w:t>
      </w:r>
      <w:r>
        <w:rPr>
          <w:rFonts w:eastAsia="Times New Roman"/>
          <w:color w:val="000000"/>
          <w:sz w:val="20"/>
          <w:szCs w:val="20"/>
        </w:rPr>
        <w:t xml:space="preserve"> generate growth in spending and new accounts.</w:t>
      </w:r>
    </w:p>
    <w:p w14:paraId="741B618E" w14:textId="77777777" w:rsidR="00000000" w:rsidRDefault="00A173A8">
      <w:pPr>
        <w:jc w:val="both"/>
        <w:divId w:val="692650748"/>
        <w:rPr>
          <w:rFonts w:eastAsia="Times New Roman"/>
        </w:rPr>
      </w:pPr>
      <w:r>
        <w:rPr>
          <w:rFonts w:eastAsia="Times New Roman"/>
          <w:color w:val="000000"/>
          <w:sz w:val="20"/>
          <w:szCs w:val="20"/>
        </w:rPr>
        <w:t xml:space="preserve">These drivers were partially offset by: </w:t>
      </w:r>
    </w:p>
    <w:p w14:paraId="597A7F9E" w14:textId="77777777" w:rsidR="00000000" w:rsidRDefault="00A173A8">
      <w:pPr>
        <w:spacing w:before="180" w:after="180"/>
        <w:ind w:hanging="360"/>
        <w:jc w:val="both"/>
        <w:divId w:val="2057073636"/>
        <w:rPr>
          <w:rFonts w:eastAsia="Times New Roman"/>
        </w:rPr>
      </w:pPr>
      <w:r>
        <w:rPr>
          <w:rFonts w:eastAsia="Times New Roman"/>
          <w:b/>
          <w:bCs/>
          <w:color w:val="000000"/>
          <w:sz w:val="19"/>
          <w:szCs w:val="19"/>
        </w:rPr>
        <w:t>◦</w:t>
      </w:r>
      <w:r>
        <w:rPr>
          <w:rFonts w:eastAsia="Times New Roman"/>
          <w:color w:val="000000"/>
          <w:sz w:val="20"/>
          <w:szCs w:val="20"/>
        </w:rPr>
        <w:t>Higher net interest income primarily driven by higher average loan balances and margins in our credit card loan portfolio.</w:t>
      </w:r>
    </w:p>
    <w:p w14:paraId="4B7EB421" w14:textId="77777777" w:rsidR="00000000" w:rsidRDefault="00A173A8">
      <w:pPr>
        <w:spacing w:before="180" w:after="180"/>
        <w:ind w:hanging="360"/>
        <w:jc w:val="both"/>
        <w:divId w:val="770586392"/>
        <w:rPr>
          <w:rFonts w:eastAsia="Times New Roman"/>
        </w:rPr>
      </w:pPr>
      <w:r>
        <w:rPr>
          <w:rFonts w:eastAsia="Times New Roman"/>
          <w:b/>
          <w:bCs/>
          <w:color w:val="000000"/>
          <w:sz w:val="18"/>
          <w:szCs w:val="18"/>
        </w:rPr>
        <w:t>◦</w:t>
      </w:r>
      <w:r>
        <w:rPr>
          <w:rFonts w:eastAsia="Times New Roman"/>
          <w:color w:val="000000"/>
          <w:sz w:val="20"/>
          <w:szCs w:val="20"/>
        </w:rPr>
        <w:t>Higher non-interest income primarily driven by higher net interchange fees due to an increase in purchase volume.</w:t>
      </w:r>
    </w:p>
    <w:p w14:paraId="56D126C3" w14:textId="77777777" w:rsidR="00000000" w:rsidRDefault="00A173A8">
      <w:pPr>
        <w:ind w:hanging="360"/>
        <w:jc w:val="both"/>
        <w:divId w:val="534197916"/>
        <w:rPr>
          <w:rFonts w:eastAsia="Times New Roman"/>
        </w:rPr>
      </w:pPr>
      <w:r>
        <w:rPr>
          <w:rFonts w:eastAsia="Times New Roman"/>
          <w:i/>
          <w:iCs/>
          <w:color w:val="000000"/>
          <w:sz w:val="20"/>
          <w:szCs w:val="20"/>
        </w:rPr>
        <w:t>•Loans Held for Investment:</w:t>
      </w:r>
    </w:p>
    <w:p w14:paraId="30C8D956" w14:textId="77777777" w:rsidR="00000000" w:rsidRDefault="00A173A8">
      <w:pPr>
        <w:spacing w:before="180" w:after="180"/>
        <w:ind w:hanging="360"/>
        <w:jc w:val="both"/>
        <w:divId w:val="291207994"/>
        <w:rPr>
          <w:rFonts w:eastAsia="Times New Roman"/>
        </w:rPr>
      </w:pPr>
      <w:r>
        <w:rPr>
          <w:rFonts w:eastAsia="Times New Roman"/>
          <w:color w:val="000000"/>
          <w:sz w:val="20"/>
          <w:szCs w:val="20"/>
        </w:rPr>
        <w:t>◦</w:t>
      </w:r>
      <w:r>
        <w:rPr>
          <w:rFonts w:eastAsia="Times New Roman"/>
          <w:color w:val="000000"/>
          <w:sz w:val="20"/>
          <w:szCs w:val="20"/>
        </w:rPr>
        <w:t>Period-end loans held for investment increased by $19.0 billion to $296.4 billion as of June 30, 2022 from Decemb</w:t>
      </w:r>
      <w:r>
        <w:rPr>
          <w:rFonts w:eastAsia="Times New Roman"/>
          <w:color w:val="000000"/>
          <w:sz w:val="20"/>
          <w:szCs w:val="20"/>
        </w:rPr>
        <w:t xml:space="preserve">er 31, 2021 driven by growth across all of our segments. </w:t>
      </w:r>
    </w:p>
    <w:p w14:paraId="2446918F" w14:textId="77777777" w:rsidR="00000000" w:rsidRDefault="00A173A8">
      <w:pPr>
        <w:spacing w:before="180" w:after="180"/>
        <w:ind w:hanging="360"/>
        <w:jc w:val="both"/>
        <w:divId w:val="300815429"/>
        <w:rPr>
          <w:rFonts w:eastAsia="Times New Roman"/>
        </w:rPr>
      </w:pPr>
      <w:r>
        <w:rPr>
          <w:rFonts w:eastAsia="Times New Roman"/>
          <w:i/>
          <w:iCs/>
          <w:color w:val="000000"/>
          <w:sz w:val="20"/>
          <w:szCs w:val="20"/>
        </w:rPr>
        <w:t>◦</w:t>
      </w:r>
      <w:r>
        <w:rPr>
          <w:rFonts w:eastAsia="Times New Roman"/>
          <w:color w:val="000000"/>
          <w:sz w:val="20"/>
          <w:szCs w:val="20"/>
        </w:rPr>
        <w:t xml:space="preserve">Average loans held for investment increased by $39.6 billion to $286.1 billion in the second quarter of 2022 compared to the second quarter of 2021 and increased by $35.5 billion to $280.8 billion </w:t>
      </w:r>
      <w:r>
        <w:rPr>
          <w:rFonts w:eastAsia="Times New Roman"/>
          <w:color w:val="000000"/>
          <w:sz w:val="20"/>
          <w:szCs w:val="20"/>
        </w:rPr>
        <w:t xml:space="preserve">in the first six months of 2022 compared to the first six months of 2021 primarily driven by growth across all of our segments. </w:t>
      </w:r>
    </w:p>
    <w:p w14:paraId="424AE235" w14:textId="77777777" w:rsidR="00000000" w:rsidRDefault="00A173A8">
      <w:pPr>
        <w:jc w:val="both"/>
        <w:divId w:val="510460387"/>
        <w:rPr>
          <w:rFonts w:eastAsia="Times New Roman"/>
        </w:rPr>
      </w:pPr>
    </w:p>
    <w:p w14:paraId="4DD4DB20" w14:textId="77777777" w:rsidR="00000000" w:rsidRDefault="00A173A8">
      <w:pPr>
        <w:jc w:val="both"/>
        <w:divId w:val="205943492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D4435C2" w14:textId="77777777">
        <w:trPr>
          <w:divId w:val="51660634"/>
          <w:jc w:val="center"/>
        </w:trPr>
        <w:tc>
          <w:tcPr>
            <w:tcW w:w="50" w:type="pct"/>
            <w:vAlign w:val="center"/>
            <w:hideMark/>
          </w:tcPr>
          <w:p w14:paraId="79E74C96" w14:textId="77777777" w:rsidR="00000000" w:rsidRDefault="00A173A8">
            <w:pPr>
              <w:jc w:val="both"/>
              <w:rPr>
                <w:rFonts w:eastAsia="Times New Roman"/>
              </w:rPr>
            </w:pPr>
          </w:p>
        </w:tc>
        <w:tc>
          <w:tcPr>
            <w:tcW w:w="1606" w:type="pct"/>
            <w:vAlign w:val="center"/>
            <w:hideMark/>
          </w:tcPr>
          <w:p w14:paraId="39722143" w14:textId="77777777" w:rsidR="00000000" w:rsidRDefault="00A173A8">
            <w:pPr>
              <w:spacing w:after="100"/>
              <w:rPr>
                <w:rFonts w:eastAsia="Times New Roman"/>
                <w:sz w:val="20"/>
                <w:szCs w:val="20"/>
              </w:rPr>
            </w:pPr>
          </w:p>
        </w:tc>
        <w:tc>
          <w:tcPr>
            <w:tcW w:w="5" w:type="pct"/>
            <w:vAlign w:val="center"/>
            <w:hideMark/>
          </w:tcPr>
          <w:p w14:paraId="6A72CA19" w14:textId="77777777" w:rsidR="00000000" w:rsidRDefault="00A173A8">
            <w:pPr>
              <w:spacing w:after="100"/>
              <w:rPr>
                <w:rFonts w:eastAsia="Times New Roman"/>
                <w:sz w:val="20"/>
                <w:szCs w:val="20"/>
              </w:rPr>
            </w:pPr>
          </w:p>
        </w:tc>
        <w:tc>
          <w:tcPr>
            <w:tcW w:w="50" w:type="pct"/>
            <w:vAlign w:val="center"/>
            <w:hideMark/>
          </w:tcPr>
          <w:p w14:paraId="50C01B37" w14:textId="77777777" w:rsidR="00000000" w:rsidRDefault="00A173A8">
            <w:pPr>
              <w:spacing w:after="100"/>
              <w:rPr>
                <w:rFonts w:eastAsia="Times New Roman"/>
                <w:sz w:val="20"/>
                <w:szCs w:val="20"/>
              </w:rPr>
            </w:pPr>
          </w:p>
        </w:tc>
        <w:tc>
          <w:tcPr>
            <w:tcW w:w="1614" w:type="pct"/>
            <w:vAlign w:val="center"/>
            <w:hideMark/>
          </w:tcPr>
          <w:p w14:paraId="74E0E9AA" w14:textId="77777777" w:rsidR="00000000" w:rsidRDefault="00A173A8">
            <w:pPr>
              <w:spacing w:after="100"/>
              <w:rPr>
                <w:rFonts w:eastAsia="Times New Roman"/>
                <w:sz w:val="20"/>
                <w:szCs w:val="20"/>
              </w:rPr>
            </w:pPr>
          </w:p>
        </w:tc>
        <w:tc>
          <w:tcPr>
            <w:tcW w:w="5" w:type="pct"/>
            <w:vAlign w:val="center"/>
            <w:hideMark/>
          </w:tcPr>
          <w:p w14:paraId="7371130B" w14:textId="77777777" w:rsidR="00000000" w:rsidRDefault="00A173A8">
            <w:pPr>
              <w:spacing w:after="100"/>
              <w:rPr>
                <w:rFonts w:eastAsia="Times New Roman"/>
                <w:sz w:val="20"/>
                <w:szCs w:val="20"/>
              </w:rPr>
            </w:pPr>
          </w:p>
        </w:tc>
        <w:tc>
          <w:tcPr>
            <w:tcW w:w="50" w:type="pct"/>
            <w:vAlign w:val="center"/>
            <w:hideMark/>
          </w:tcPr>
          <w:p w14:paraId="53F4899A" w14:textId="77777777" w:rsidR="00000000" w:rsidRDefault="00A173A8">
            <w:pPr>
              <w:spacing w:after="100"/>
              <w:rPr>
                <w:rFonts w:eastAsia="Times New Roman"/>
                <w:sz w:val="20"/>
                <w:szCs w:val="20"/>
              </w:rPr>
            </w:pPr>
          </w:p>
        </w:tc>
        <w:tc>
          <w:tcPr>
            <w:tcW w:w="1614" w:type="pct"/>
            <w:vAlign w:val="center"/>
            <w:hideMark/>
          </w:tcPr>
          <w:p w14:paraId="674FB57B" w14:textId="77777777" w:rsidR="00000000" w:rsidRDefault="00A173A8">
            <w:pPr>
              <w:spacing w:after="100"/>
              <w:rPr>
                <w:rFonts w:eastAsia="Times New Roman"/>
                <w:sz w:val="20"/>
                <w:szCs w:val="20"/>
              </w:rPr>
            </w:pPr>
          </w:p>
        </w:tc>
        <w:tc>
          <w:tcPr>
            <w:tcW w:w="5" w:type="pct"/>
            <w:vAlign w:val="center"/>
            <w:hideMark/>
          </w:tcPr>
          <w:p w14:paraId="77F21608" w14:textId="77777777" w:rsidR="00000000" w:rsidRDefault="00A173A8">
            <w:pPr>
              <w:spacing w:after="100"/>
              <w:rPr>
                <w:rFonts w:eastAsia="Times New Roman"/>
                <w:sz w:val="20"/>
                <w:szCs w:val="20"/>
              </w:rPr>
            </w:pPr>
          </w:p>
        </w:tc>
      </w:tr>
      <w:tr w:rsidR="00000000" w14:paraId="0D954CF4" w14:textId="77777777">
        <w:trPr>
          <w:divId w:val="51660634"/>
          <w:trHeight w:val="300"/>
          <w:jc w:val="center"/>
        </w:trPr>
        <w:tc>
          <w:tcPr>
            <w:tcW w:w="0" w:type="auto"/>
            <w:gridSpan w:val="9"/>
            <w:tcMar>
              <w:top w:w="0" w:type="dxa"/>
              <w:left w:w="20" w:type="dxa"/>
              <w:bottom w:w="0" w:type="dxa"/>
              <w:right w:w="20" w:type="dxa"/>
            </w:tcMar>
            <w:vAlign w:val="center"/>
            <w:hideMark/>
          </w:tcPr>
          <w:p w14:paraId="5CCF08E6" w14:textId="77777777" w:rsidR="00000000" w:rsidRDefault="00A173A8">
            <w:pPr>
              <w:spacing w:after="100"/>
              <w:rPr>
                <w:rFonts w:eastAsia="Times New Roman"/>
                <w:sz w:val="20"/>
                <w:szCs w:val="20"/>
              </w:rPr>
            </w:pPr>
          </w:p>
        </w:tc>
      </w:tr>
      <w:tr w:rsidR="00000000" w14:paraId="5A5B6076" w14:textId="77777777">
        <w:trPr>
          <w:divId w:val="51660634"/>
          <w:jc w:val="center"/>
        </w:trPr>
        <w:tc>
          <w:tcPr>
            <w:tcW w:w="0" w:type="auto"/>
            <w:gridSpan w:val="3"/>
            <w:tcMar>
              <w:top w:w="0" w:type="dxa"/>
              <w:left w:w="20" w:type="dxa"/>
              <w:bottom w:w="0" w:type="dxa"/>
              <w:right w:w="20" w:type="dxa"/>
            </w:tcMar>
            <w:vAlign w:val="center"/>
            <w:hideMark/>
          </w:tcPr>
          <w:p w14:paraId="33B5E79C"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8323A3" w14:textId="77777777" w:rsidR="00000000" w:rsidRDefault="00A173A8">
            <w:pPr>
              <w:spacing w:after="100"/>
              <w:jc w:val="center"/>
              <w:rPr>
                <w:rFonts w:eastAsia="Times New Roman"/>
              </w:rPr>
            </w:pPr>
            <w:r>
              <w:rPr>
                <w:rFonts w:eastAsia="Times New Roman"/>
                <w:color w:val="000000"/>
                <w:sz w:val="16"/>
                <w:szCs w:val="16"/>
              </w:rPr>
              <w:t>9</w:t>
            </w:r>
          </w:p>
        </w:tc>
        <w:tc>
          <w:tcPr>
            <w:tcW w:w="0" w:type="auto"/>
            <w:gridSpan w:val="3"/>
            <w:tcMar>
              <w:top w:w="30" w:type="dxa"/>
              <w:left w:w="20" w:type="dxa"/>
              <w:bottom w:w="30" w:type="dxa"/>
              <w:right w:w="20" w:type="dxa"/>
            </w:tcMar>
            <w:vAlign w:val="bottom"/>
            <w:hideMark/>
          </w:tcPr>
          <w:p w14:paraId="15FB077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E907A16" w14:textId="77777777" w:rsidR="00000000" w:rsidRDefault="00A173A8">
      <w:pPr>
        <w:rPr>
          <w:rFonts w:eastAsia="Times New Roman"/>
        </w:rPr>
      </w:pPr>
      <w:r>
        <w:rPr>
          <w:rFonts w:eastAsia="Times New Roman"/>
        </w:rPr>
        <w:pict w14:anchorId="7674FFA6">
          <v:rect id="_x0000_i1034" style="width:0;height:1.5pt" o:hralign="center" o:hrstd="t" o:hr="t" fillcolor="#a0a0a0" stroked="f"/>
        </w:pict>
      </w:r>
    </w:p>
    <w:p w14:paraId="07A89B6D" w14:textId="77777777" w:rsidR="00000000" w:rsidRDefault="00A173A8">
      <w:pPr>
        <w:ind w:hanging="360"/>
        <w:jc w:val="both"/>
        <w:divId w:val="2132168482"/>
        <w:rPr>
          <w:rFonts w:eastAsia="Times New Roman"/>
        </w:rPr>
      </w:pPr>
      <w:hyperlink w:anchor="i7ffd5d61af6f4722b1b1b07530d51c06_13" w:history="1">
        <w:r>
          <w:rPr>
            <w:rStyle w:val="a3"/>
            <w:rFonts w:eastAsia="Times New Roman"/>
            <w:sz w:val="16"/>
            <w:szCs w:val="16"/>
          </w:rPr>
          <w:t xml:space="preserve">Table of </w:t>
        </w:r>
      </w:hyperlink>
      <w:hyperlink w:anchor="i7ffd5d61af6f4722b1b1b07530d51c06_13" w:history="1">
        <w:r>
          <w:rPr>
            <w:rStyle w:val="a3"/>
            <w:rFonts w:eastAsia="Times New Roman"/>
            <w:sz w:val="16"/>
            <w:szCs w:val="16"/>
          </w:rPr>
          <w:t>Contents</w:t>
        </w:r>
      </w:hyperlink>
    </w:p>
    <w:p w14:paraId="6A5F5AC5" w14:textId="77777777" w:rsidR="00000000" w:rsidRDefault="00A173A8">
      <w:pPr>
        <w:ind w:hanging="360"/>
        <w:jc w:val="both"/>
        <w:divId w:val="745566732"/>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w:t>
      </w:r>
    </w:p>
    <w:p w14:paraId="672A1DEB" w14:textId="77777777" w:rsidR="00000000" w:rsidRDefault="00A173A8">
      <w:pPr>
        <w:spacing w:before="180" w:after="180"/>
        <w:ind w:hanging="360"/>
        <w:jc w:val="both"/>
        <w:divId w:val="1356343087"/>
        <w:rPr>
          <w:rFonts w:eastAsia="Times New Roman"/>
        </w:rPr>
      </w:pPr>
      <w:r>
        <w:rPr>
          <w:rFonts w:eastAsia="Times New Roman"/>
          <w:color w:val="000000"/>
          <w:sz w:val="20"/>
          <w:szCs w:val="20"/>
        </w:rPr>
        <w:t>◦</w:t>
      </w:r>
      <w:r>
        <w:rPr>
          <w:rFonts w:eastAsia="Times New Roman"/>
          <w:color w:val="000000"/>
          <w:sz w:val="20"/>
          <w:szCs w:val="20"/>
        </w:rPr>
        <w:t>Our net charge-off rate increased by 30 basis points (“bps”) to 1.18% in the second quarter of 2022 compared to the second quarter of 2021 and increased by 11 basis points to 1.15% in the first six months of 2022 compared to the first six months of 2021 pr</w:t>
      </w:r>
      <w:r>
        <w:rPr>
          <w:rFonts w:eastAsia="Times New Roman"/>
          <w:color w:val="000000"/>
          <w:sz w:val="20"/>
          <w:szCs w:val="20"/>
        </w:rPr>
        <w:t>imarily driven by gradual credit normalization, partly offset by higher average loan balances.</w:t>
      </w:r>
    </w:p>
    <w:p w14:paraId="55CA9EDB" w14:textId="77777777" w:rsidR="00000000" w:rsidRDefault="00A173A8">
      <w:pPr>
        <w:spacing w:before="180" w:after="180"/>
        <w:ind w:hanging="360"/>
        <w:jc w:val="both"/>
        <w:divId w:val="1070076153"/>
        <w:rPr>
          <w:rFonts w:eastAsia="Times New Roman"/>
        </w:rPr>
      </w:pPr>
      <w:r>
        <w:rPr>
          <w:rFonts w:eastAsia="Times New Roman"/>
          <w:color w:val="000000"/>
          <w:sz w:val="20"/>
          <w:szCs w:val="20"/>
        </w:rPr>
        <w:t>◦</w:t>
      </w:r>
      <w:r>
        <w:rPr>
          <w:rFonts w:eastAsia="Times New Roman"/>
          <w:color w:val="000000"/>
          <w:sz w:val="20"/>
          <w:szCs w:val="20"/>
        </w:rPr>
        <w:t>Our 30+ day delinquency rate increased by 13 basis points to 2.54% as of June 30, 2022 from December 31, 2021 primarily driven by continued gradual credit norma</w:t>
      </w:r>
      <w:r>
        <w:rPr>
          <w:rFonts w:eastAsia="Times New Roman"/>
          <w:color w:val="000000"/>
          <w:sz w:val="20"/>
          <w:szCs w:val="20"/>
        </w:rPr>
        <w:t>lization, partly offset by higher ending loan balances.</w:t>
      </w:r>
    </w:p>
    <w:p w14:paraId="593D1345" w14:textId="77777777" w:rsidR="00000000" w:rsidRDefault="00A173A8">
      <w:pPr>
        <w:ind w:hanging="360"/>
        <w:jc w:val="both"/>
        <w:divId w:val="982469982"/>
        <w:rPr>
          <w:rFonts w:eastAsia="Times New Roman"/>
        </w:rPr>
      </w:pPr>
      <w:r>
        <w:rPr>
          <w:rFonts w:eastAsia="Times New Roman"/>
          <w:color w:val="000000"/>
          <w:sz w:val="20"/>
          <w:szCs w:val="20"/>
        </w:rPr>
        <w:t>•</w:t>
      </w:r>
      <w:r>
        <w:rPr>
          <w:rFonts w:eastAsia="Times New Roman"/>
          <w:i/>
          <w:iCs/>
          <w:color w:val="000000"/>
          <w:sz w:val="20"/>
          <w:szCs w:val="20"/>
        </w:rPr>
        <w:t>Allowance for Credit Losses:</w:t>
      </w:r>
      <w:r>
        <w:rPr>
          <w:rFonts w:eastAsia="Times New Roman"/>
          <w:color w:val="000000"/>
          <w:sz w:val="20"/>
          <w:szCs w:val="20"/>
        </w:rPr>
        <w:t xml:space="preserve"> Our allowance for credit losses increased by $61 million to $11.5 billion as of June 30, 2022 compared to December 31, 2021. Our allowance coverage ratio decreased by 24 </w:t>
      </w:r>
      <w:r>
        <w:rPr>
          <w:rFonts w:eastAsia="Times New Roman"/>
          <w:color w:val="000000"/>
          <w:sz w:val="20"/>
          <w:szCs w:val="20"/>
        </w:rPr>
        <w:t>basis points to 3.88% as of June 30, 2022 compared to December 31, 2021 primarily driven by loan growth and continued strong credit performance in Credit Card.</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22A49533" w14:textId="77777777">
        <w:trPr>
          <w:divId w:val="1325671620"/>
        </w:trPr>
        <w:tc>
          <w:tcPr>
            <w:tcW w:w="50" w:type="pct"/>
            <w:vAlign w:val="center"/>
            <w:hideMark/>
          </w:tcPr>
          <w:p w14:paraId="1719247F" w14:textId="77777777" w:rsidR="00000000" w:rsidRDefault="00A173A8">
            <w:pPr>
              <w:ind w:hanging="360"/>
              <w:jc w:val="both"/>
              <w:rPr>
                <w:rFonts w:eastAsia="Times New Roman"/>
              </w:rPr>
            </w:pPr>
          </w:p>
        </w:tc>
        <w:tc>
          <w:tcPr>
            <w:tcW w:w="4945" w:type="pct"/>
            <w:vAlign w:val="center"/>
            <w:hideMark/>
          </w:tcPr>
          <w:p w14:paraId="3A99DB3A" w14:textId="77777777" w:rsidR="00000000" w:rsidRDefault="00A173A8">
            <w:pPr>
              <w:spacing w:after="100"/>
              <w:rPr>
                <w:rFonts w:eastAsia="Times New Roman"/>
                <w:sz w:val="20"/>
                <w:szCs w:val="20"/>
              </w:rPr>
            </w:pPr>
          </w:p>
        </w:tc>
        <w:tc>
          <w:tcPr>
            <w:tcW w:w="5" w:type="pct"/>
            <w:vAlign w:val="center"/>
            <w:hideMark/>
          </w:tcPr>
          <w:p w14:paraId="3B7C17A9" w14:textId="77777777" w:rsidR="00000000" w:rsidRDefault="00A173A8">
            <w:pPr>
              <w:spacing w:after="100"/>
              <w:rPr>
                <w:rFonts w:eastAsia="Times New Roman"/>
                <w:sz w:val="20"/>
                <w:szCs w:val="20"/>
              </w:rPr>
            </w:pPr>
          </w:p>
        </w:tc>
      </w:tr>
      <w:tr w:rsidR="00000000" w14:paraId="57F15F11" w14:textId="77777777">
        <w:trPr>
          <w:divId w:val="132567162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1EFC8119" w14:textId="77777777" w:rsidR="00000000" w:rsidRDefault="00A173A8">
            <w:pPr>
              <w:spacing w:after="100"/>
              <w:rPr>
                <w:rFonts w:eastAsia="Times New Roman"/>
              </w:rPr>
            </w:pPr>
            <w:r>
              <w:rPr>
                <w:rFonts w:eastAsia="Times New Roman"/>
                <w:b/>
                <w:bCs/>
                <w:color w:val="000000"/>
                <w:sz w:val="20"/>
                <w:szCs w:val="20"/>
              </w:rPr>
              <w:t>CONSOLIDATED RESULTS OF OPERATIONS</w:t>
            </w:r>
          </w:p>
        </w:tc>
      </w:tr>
    </w:tbl>
    <w:p w14:paraId="61D8F7D9" w14:textId="77777777" w:rsidR="00000000" w:rsidRDefault="00A173A8">
      <w:pPr>
        <w:jc w:val="both"/>
        <w:divId w:val="134102871"/>
        <w:rPr>
          <w:rFonts w:eastAsia="Times New Roman"/>
        </w:rPr>
      </w:pPr>
      <w:r>
        <w:rPr>
          <w:rFonts w:eastAsia="Times New Roman"/>
          <w:color w:val="000000"/>
          <w:sz w:val="20"/>
          <w:szCs w:val="20"/>
        </w:rPr>
        <w:t>The section below provides a comparative discussion of our consolidated financial performance for the second quarter and first six months of 2022 and 2021. We provide a discussion of our business segment results in the following section, “MD&amp;A—Business Seg</w:t>
      </w:r>
      <w:r>
        <w:rPr>
          <w:rFonts w:eastAsia="Times New Roman"/>
          <w:color w:val="000000"/>
          <w:sz w:val="20"/>
          <w:szCs w:val="20"/>
        </w:rPr>
        <w:t>ment Financial Performance.” This section should be read together with our “MD&amp;A—Executive Summary,” where we discuss trends and other factors that we expect will affect our future results of operations.</w:t>
      </w:r>
    </w:p>
    <w:p w14:paraId="5BA93684" w14:textId="77777777" w:rsidR="00000000" w:rsidRDefault="00A173A8">
      <w:pPr>
        <w:divId w:val="275020408"/>
        <w:rPr>
          <w:rFonts w:eastAsia="Times New Roman"/>
        </w:rPr>
      </w:pPr>
      <w:r>
        <w:rPr>
          <w:rFonts w:eastAsia="Times New Roman"/>
          <w:b/>
          <w:bCs/>
          <w:color w:val="000000"/>
          <w:sz w:val="20"/>
          <w:szCs w:val="20"/>
        </w:rPr>
        <w:t>Net Interest Income</w:t>
      </w:r>
    </w:p>
    <w:p w14:paraId="059D5B5F" w14:textId="77777777" w:rsidR="00000000" w:rsidRDefault="00A173A8">
      <w:pPr>
        <w:jc w:val="both"/>
        <w:divId w:val="2031297734"/>
        <w:rPr>
          <w:rFonts w:eastAsia="Times New Roman"/>
        </w:rPr>
      </w:pPr>
      <w:r>
        <w:rPr>
          <w:rFonts w:eastAsia="Times New Roman"/>
          <w:color w:val="000000"/>
          <w:sz w:val="20"/>
          <w:szCs w:val="20"/>
        </w:rPr>
        <w:t>Net interest income represents t</w:t>
      </w:r>
      <w:r>
        <w:rPr>
          <w:rFonts w:eastAsia="Times New Roman"/>
          <w:color w:val="000000"/>
          <w:sz w:val="20"/>
          <w:szCs w:val="20"/>
        </w:rPr>
        <w:t>he difference between interest income, including certain fees, earned on our interest-earning assets and the interest expense incurred on our interest-bearing liabilities. Our interest-earning assets include loans, investment securities and other interest-</w:t>
      </w:r>
      <w:r>
        <w:rPr>
          <w:rFonts w:eastAsia="Times New Roman"/>
          <w:color w:val="000000"/>
          <w:sz w:val="20"/>
          <w:szCs w:val="20"/>
        </w:rPr>
        <w:t>earning assets, while our interest-bearing liabilities include interest-bearing deposits, securitized debt obligations, senior and subordinated notes, other borrowings and other interest-bearing liabilities. Generally, we include in interest income any pas</w:t>
      </w:r>
      <w:r>
        <w:rPr>
          <w:rFonts w:eastAsia="Times New Roman"/>
          <w:color w:val="000000"/>
          <w:sz w:val="20"/>
          <w:szCs w:val="20"/>
        </w:rPr>
        <w:t>t due fees on loans that we deem collectible. Our net interest margin, based on our consolidated results, represents the difference between the yield on our interest-earning assets and the cost of our interest-bearing liabilities, including the notional im</w:t>
      </w:r>
      <w:r>
        <w:rPr>
          <w:rFonts w:eastAsia="Times New Roman"/>
          <w:color w:val="000000"/>
          <w:sz w:val="20"/>
          <w:szCs w:val="20"/>
        </w:rPr>
        <w:t>pact of non-interest-bearing funding. We expect net interest income and our net interest margin to fluctuate based on changes in interest rates and changes in the amount and composition of our interest-earning assets and interest-bearing liabilities.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F83B025" w14:textId="77777777">
        <w:trPr>
          <w:divId w:val="1114666239"/>
          <w:jc w:val="center"/>
        </w:trPr>
        <w:tc>
          <w:tcPr>
            <w:tcW w:w="50" w:type="pct"/>
            <w:vAlign w:val="center"/>
            <w:hideMark/>
          </w:tcPr>
          <w:p w14:paraId="00C6F0D5" w14:textId="77777777" w:rsidR="00000000" w:rsidRDefault="00A173A8">
            <w:pPr>
              <w:jc w:val="both"/>
              <w:rPr>
                <w:rFonts w:eastAsia="Times New Roman"/>
              </w:rPr>
            </w:pPr>
          </w:p>
        </w:tc>
        <w:tc>
          <w:tcPr>
            <w:tcW w:w="1606" w:type="pct"/>
            <w:vAlign w:val="center"/>
            <w:hideMark/>
          </w:tcPr>
          <w:p w14:paraId="6B11BA06" w14:textId="77777777" w:rsidR="00000000" w:rsidRDefault="00A173A8">
            <w:pPr>
              <w:spacing w:after="100"/>
              <w:rPr>
                <w:rFonts w:eastAsia="Times New Roman"/>
                <w:sz w:val="20"/>
                <w:szCs w:val="20"/>
              </w:rPr>
            </w:pPr>
          </w:p>
        </w:tc>
        <w:tc>
          <w:tcPr>
            <w:tcW w:w="5" w:type="pct"/>
            <w:vAlign w:val="center"/>
            <w:hideMark/>
          </w:tcPr>
          <w:p w14:paraId="221A5D30" w14:textId="77777777" w:rsidR="00000000" w:rsidRDefault="00A173A8">
            <w:pPr>
              <w:spacing w:after="100"/>
              <w:rPr>
                <w:rFonts w:eastAsia="Times New Roman"/>
                <w:sz w:val="20"/>
                <w:szCs w:val="20"/>
              </w:rPr>
            </w:pPr>
          </w:p>
        </w:tc>
        <w:tc>
          <w:tcPr>
            <w:tcW w:w="50" w:type="pct"/>
            <w:vAlign w:val="center"/>
            <w:hideMark/>
          </w:tcPr>
          <w:p w14:paraId="6875B3C1" w14:textId="77777777" w:rsidR="00000000" w:rsidRDefault="00A173A8">
            <w:pPr>
              <w:spacing w:after="100"/>
              <w:rPr>
                <w:rFonts w:eastAsia="Times New Roman"/>
                <w:sz w:val="20"/>
                <w:szCs w:val="20"/>
              </w:rPr>
            </w:pPr>
          </w:p>
        </w:tc>
        <w:tc>
          <w:tcPr>
            <w:tcW w:w="1614" w:type="pct"/>
            <w:vAlign w:val="center"/>
            <w:hideMark/>
          </w:tcPr>
          <w:p w14:paraId="067DF199" w14:textId="77777777" w:rsidR="00000000" w:rsidRDefault="00A173A8">
            <w:pPr>
              <w:spacing w:after="100"/>
              <w:rPr>
                <w:rFonts w:eastAsia="Times New Roman"/>
                <w:sz w:val="20"/>
                <w:szCs w:val="20"/>
              </w:rPr>
            </w:pPr>
          </w:p>
        </w:tc>
        <w:tc>
          <w:tcPr>
            <w:tcW w:w="5" w:type="pct"/>
            <w:vAlign w:val="center"/>
            <w:hideMark/>
          </w:tcPr>
          <w:p w14:paraId="28AA1F13" w14:textId="77777777" w:rsidR="00000000" w:rsidRDefault="00A173A8">
            <w:pPr>
              <w:spacing w:after="100"/>
              <w:rPr>
                <w:rFonts w:eastAsia="Times New Roman"/>
                <w:sz w:val="20"/>
                <w:szCs w:val="20"/>
              </w:rPr>
            </w:pPr>
          </w:p>
        </w:tc>
        <w:tc>
          <w:tcPr>
            <w:tcW w:w="50" w:type="pct"/>
            <w:vAlign w:val="center"/>
            <w:hideMark/>
          </w:tcPr>
          <w:p w14:paraId="2176E0FD" w14:textId="77777777" w:rsidR="00000000" w:rsidRDefault="00A173A8">
            <w:pPr>
              <w:spacing w:after="100"/>
              <w:rPr>
                <w:rFonts w:eastAsia="Times New Roman"/>
                <w:sz w:val="20"/>
                <w:szCs w:val="20"/>
              </w:rPr>
            </w:pPr>
          </w:p>
        </w:tc>
        <w:tc>
          <w:tcPr>
            <w:tcW w:w="1614" w:type="pct"/>
            <w:vAlign w:val="center"/>
            <w:hideMark/>
          </w:tcPr>
          <w:p w14:paraId="68A20F84" w14:textId="77777777" w:rsidR="00000000" w:rsidRDefault="00A173A8">
            <w:pPr>
              <w:spacing w:after="100"/>
              <w:rPr>
                <w:rFonts w:eastAsia="Times New Roman"/>
                <w:sz w:val="20"/>
                <w:szCs w:val="20"/>
              </w:rPr>
            </w:pPr>
          </w:p>
        </w:tc>
        <w:tc>
          <w:tcPr>
            <w:tcW w:w="5" w:type="pct"/>
            <w:vAlign w:val="center"/>
            <w:hideMark/>
          </w:tcPr>
          <w:p w14:paraId="2C3A3157" w14:textId="77777777" w:rsidR="00000000" w:rsidRDefault="00A173A8">
            <w:pPr>
              <w:spacing w:after="100"/>
              <w:rPr>
                <w:rFonts w:eastAsia="Times New Roman"/>
                <w:sz w:val="20"/>
                <w:szCs w:val="20"/>
              </w:rPr>
            </w:pPr>
          </w:p>
        </w:tc>
      </w:tr>
      <w:tr w:rsidR="00000000" w14:paraId="237298D2" w14:textId="77777777">
        <w:trPr>
          <w:divId w:val="1114666239"/>
          <w:trHeight w:val="300"/>
          <w:jc w:val="center"/>
        </w:trPr>
        <w:tc>
          <w:tcPr>
            <w:tcW w:w="0" w:type="auto"/>
            <w:gridSpan w:val="9"/>
            <w:tcMar>
              <w:top w:w="0" w:type="dxa"/>
              <w:left w:w="20" w:type="dxa"/>
              <w:bottom w:w="0" w:type="dxa"/>
              <w:right w:w="20" w:type="dxa"/>
            </w:tcMar>
            <w:vAlign w:val="center"/>
            <w:hideMark/>
          </w:tcPr>
          <w:p w14:paraId="0A09579B" w14:textId="77777777" w:rsidR="00000000" w:rsidRDefault="00A173A8">
            <w:pPr>
              <w:spacing w:after="100"/>
              <w:rPr>
                <w:rFonts w:eastAsia="Times New Roman"/>
                <w:sz w:val="20"/>
                <w:szCs w:val="20"/>
              </w:rPr>
            </w:pPr>
          </w:p>
        </w:tc>
      </w:tr>
      <w:tr w:rsidR="00000000" w14:paraId="05F5C2A3" w14:textId="77777777">
        <w:trPr>
          <w:divId w:val="1114666239"/>
          <w:jc w:val="center"/>
        </w:trPr>
        <w:tc>
          <w:tcPr>
            <w:tcW w:w="0" w:type="auto"/>
            <w:gridSpan w:val="3"/>
            <w:tcMar>
              <w:top w:w="0" w:type="dxa"/>
              <w:left w:w="20" w:type="dxa"/>
              <w:bottom w:w="0" w:type="dxa"/>
              <w:right w:w="20" w:type="dxa"/>
            </w:tcMar>
            <w:vAlign w:val="center"/>
            <w:hideMark/>
          </w:tcPr>
          <w:p w14:paraId="7E5D7D03"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391DC4A" w14:textId="77777777" w:rsidR="00000000" w:rsidRDefault="00A173A8">
            <w:pPr>
              <w:spacing w:after="100"/>
              <w:jc w:val="center"/>
              <w:rPr>
                <w:rFonts w:eastAsia="Times New Roman"/>
              </w:rPr>
            </w:pPr>
            <w:r>
              <w:rPr>
                <w:rFonts w:eastAsia="Times New Roman"/>
                <w:color w:val="000000"/>
                <w:sz w:val="16"/>
                <w:szCs w:val="16"/>
              </w:rPr>
              <w:t>10</w:t>
            </w:r>
          </w:p>
        </w:tc>
        <w:tc>
          <w:tcPr>
            <w:tcW w:w="0" w:type="auto"/>
            <w:gridSpan w:val="3"/>
            <w:tcMar>
              <w:top w:w="30" w:type="dxa"/>
              <w:left w:w="20" w:type="dxa"/>
              <w:bottom w:w="30" w:type="dxa"/>
              <w:right w:w="20" w:type="dxa"/>
            </w:tcMar>
            <w:vAlign w:val="bottom"/>
            <w:hideMark/>
          </w:tcPr>
          <w:p w14:paraId="6DBCFAFE"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0388B1B" w14:textId="77777777" w:rsidR="00000000" w:rsidRDefault="00A173A8">
      <w:pPr>
        <w:rPr>
          <w:rFonts w:eastAsia="Times New Roman"/>
        </w:rPr>
      </w:pPr>
      <w:r>
        <w:rPr>
          <w:rFonts w:eastAsia="Times New Roman"/>
        </w:rPr>
        <w:pict w14:anchorId="01807D84">
          <v:rect id="_x0000_i1035" style="width:0;height:1.5pt" o:hralign="center" o:hrstd="t" o:hr="t" fillcolor="#a0a0a0" stroked="f"/>
        </w:pict>
      </w:r>
    </w:p>
    <w:p w14:paraId="543D64DF" w14:textId="77777777" w:rsidR="00000000" w:rsidRDefault="00A173A8">
      <w:pPr>
        <w:ind w:hanging="360"/>
        <w:jc w:val="both"/>
        <w:divId w:val="135996056"/>
        <w:rPr>
          <w:rFonts w:eastAsia="Times New Roman"/>
        </w:rPr>
      </w:pPr>
      <w:hyperlink w:anchor="i7ffd5d61af6f4722b1b1b07530d51c06_13" w:history="1">
        <w:r>
          <w:rPr>
            <w:rStyle w:val="a3"/>
            <w:rFonts w:eastAsia="Times New Roman"/>
            <w:sz w:val="16"/>
            <w:szCs w:val="16"/>
          </w:rPr>
          <w:t>Table of Contents</w:t>
        </w:r>
      </w:hyperlink>
    </w:p>
    <w:p w14:paraId="5253A596" w14:textId="77777777" w:rsidR="00000000" w:rsidRDefault="00A173A8">
      <w:pPr>
        <w:jc w:val="both"/>
        <w:divId w:val="40516796"/>
        <w:rPr>
          <w:rFonts w:eastAsia="Times New Roman"/>
        </w:rPr>
      </w:pPr>
      <w:r>
        <w:rPr>
          <w:rFonts w:eastAsia="Times New Roman"/>
          <w:color w:val="000000"/>
          <w:sz w:val="20"/>
          <w:szCs w:val="20"/>
        </w:rPr>
        <w:t>Table 2 below presents the average outstanding balance, interest income earned, interest expense incurred and average yield for the second quar</w:t>
      </w:r>
      <w:r>
        <w:rPr>
          <w:rFonts w:eastAsia="Times New Roman"/>
          <w:color w:val="000000"/>
          <w:sz w:val="20"/>
          <w:szCs w:val="20"/>
        </w:rPr>
        <w:t>ter and first six months of 2022 and 2021 for each major category of our interest-earning assets and interest-bearing liabilities. Nonperforming loans are included in the average loan balances below.</w:t>
      </w:r>
    </w:p>
    <w:p w14:paraId="6E045EE1" w14:textId="77777777" w:rsidR="00000000" w:rsidRDefault="00A173A8">
      <w:pPr>
        <w:divId w:val="1280793884"/>
        <w:rPr>
          <w:rFonts w:eastAsia="Times New Roman"/>
        </w:rPr>
      </w:pPr>
      <w:r>
        <w:rPr>
          <w:rFonts w:eastAsia="Times New Roman"/>
          <w:b/>
          <w:bCs/>
          <w:color w:val="000000"/>
          <w:sz w:val="18"/>
          <w:szCs w:val="18"/>
        </w:rPr>
        <w:t>Table 2: Average Balances, Net Interest Income and Net I</w:t>
      </w:r>
      <w:r>
        <w:rPr>
          <w:rFonts w:eastAsia="Times New Roman"/>
          <w:b/>
          <w:bCs/>
          <w:color w:val="000000"/>
          <w:sz w:val="18"/>
          <w:szCs w:val="18"/>
        </w:rPr>
        <w:t>nterest Margin</w:t>
      </w:r>
    </w:p>
    <w:tbl>
      <w:tblPr>
        <w:tblW w:w="5000" w:type="pct"/>
        <w:tblCellMar>
          <w:top w:w="15" w:type="dxa"/>
          <w:left w:w="15" w:type="dxa"/>
          <w:bottom w:w="15" w:type="dxa"/>
          <w:right w:w="15" w:type="dxa"/>
        </w:tblCellMar>
        <w:tblLook w:val="04A0" w:firstRow="1" w:lastRow="0" w:firstColumn="1" w:lastColumn="0" w:noHBand="0" w:noVBand="1"/>
      </w:tblPr>
      <w:tblGrid>
        <w:gridCol w:w="40"/>
        <w:gridCol w:w="1831"/>
        <w:gridCol w:w="39"/>
        <w:gridCol w:w="36"/>
        <w:gridCol w:w="36"/>
        <w:gridCol w:w="36"/>
        <w:gridCol w:w="120"/>
        <w:gridCol w:w="700"/>
        <w:gridCol w:w="36"/>
        <w:gridCol w:w="36"/>
        <w:gridCol w:w="36"/>
        <w:gridCol w:w="36"/>
        <w:gridCol w:w="121"/>
        <w:gridCol w:w="662"/>
        <w:gridCol w:w="36"/>
        <w:gridCol w:w="36"/>
        <w:gridCol w:w="36"/>
        <w:gridCol w:w="36"/>
        <w:gridCol w:w="82"/>
        <w:gridCol w:w="661"/>
        <w:gridCol w:w="220"/>
        <w:gridCol w:w="36"/>
        <w:gridCol w:w="36"/>
        <w:gridCol w:w="36"/>
        <w:gridCol w:w="120"/>
        <w:gridCol w:w="700"/>
        <w:gridCol w:w="36"/>
        <w:gridCol w:w="36"/>
        <w:gridCol w:w="36"/>
        <w:gridCol w:w="36"/>
        <w:gridCol w:w="121"/>
        <w:gridCol w:w="662"/>
        <w:gridCol w:w="36"/>
        <w:gridCol w:w="36"/>
        <w:gridCol w:w="36"/>
        <w:gridCol w:w="36"/>
        <w:gridCol w:w="78"/>
        <w:gridCol w:w="666"/>
        <w:gridCol w:w="187"/>
        <w:gridCol w:w="36"/>
        <w:gridCol w:w="36"/>
        <w:gridCol w:w="36"/>
        <w:gridCol w:w="36"/>
        <w:gridCol w:w="36"/>
        <w:gridCol w:w="36"/>
        <w:gridCol w:w="36"/>
        <w:gridCol w:w="36"/>
        <w:gridCol w:w="36"/>
        <w:gridCol w:w="36"/>
        <w:gridCol w:w="36"/>
        <w:gridCol w:w="36"/>
        <w:gridCol w:w="36"/>
        <w:gridCol w:w="36"/>
      </w:tblGrid>
      <w:tr w:rsidR="00000000" w14:paraId="684EEFC4" w14:textId="77777777">
        <w:trPr>
          <w:divId w:val="1280793884"/>
        </w:trPr>
        <w:tc>
          <w:tcPr>
            <w:tcW w:w="50" w:type="pct"/>
            <w:vAlign w:val="center"/>
            <w:hideMark/>
          </w:tcPr>
          <w:p w14:paraId="38B8D374" w14:textId="77777777" w:rsidR="00000000" w:rsidRDefault="00A173A8">
            <w:pPr>
              <w:rPr>
                <w:rFonts w:eastAsia="Times New Roman"/>
              </w:rPr>
            </w:pPr>
          </w:p>
        </w:tc>
        <w:tc>
          <w:tcPr>
            <w:tcW w:w="1940" w:type="pct"/>
            <w:vAlign w:val="center"/>
            <w:hideMark/>
          </w:tcPr>
          <w:p w14:paraId="2594CA68" w14:textId="77777777" w:rsidR="00000000" w:rsidRDefault="00A173A8">
            <w:pPr>
              <w:spacing w:after="100"/>
              <w:rPr>
                <w:rFonts w:eastAsia="Times New Roman"/>
                <w:sz w:val="20"/>
                <w:szCs w:val="20"/>
              </w:rPr>
            </w:pPr>
          </w:p>
        </w:tc>
        <w:tc>
          <w:tcPr>
            <w:tcW w:w="5" w:type="pct"/>
            <w:vAlign w:val="center"/>
            <w:hideMark/>
          </w:tcPr>
          <w:p w14:paraId="5825B346" w14:textId="77777777" w:rsidR="00000000" w:rsidRDefault="00A173A8">
            <w:pPr>
              <w:spacing w:after="100"/>
              <w:rPr>
                <w:rFonts w:eastAsia="Times New Roman"/>
                <w:sz w:val="20"/>
                <w:szCs w:val="20"/>
              </w:rPr>
            </w:pPr>
          </w:p>
        </w:tc>
        <w:tc>
          <w:tcPr>
            <w:tcW w:w="5" w:type="pct"/>
            <w:vAlign w:val="center"/>
            <w:hideMark/>
          </w:tcPr>
          <w:p w14:paraId="395B66D0" w14:textId="77777777" w:rsidR="00000000" w:rsidRDefault="00A173A8">
            <w:pPr>
              <w:spacing w:after="100"/>
              <w:rPr>
                <w:rFonts w:eastAsia="Times New Roman"/>
                <w:sz w:val="20"/>
                <w:szCs w:val="20"/>
              </w:rPr>
            </w:pPr>
          </w:p>
        </w:tc>
        <w:tc>
          <w:tcPr>
            <w:tcW w:w="26" w:type="pct"/>
            <w:vAlign w:val="center"/>
            <w:hideMark/>
          </w:tcPr>
          <w:p w14:paraId="02840000" w14:textId="77777777" w:rsidR="00000000" w:rsidRDefault="00A173A8">
            <w:pPr>
              <w:spacing w:after="100"/>
              <w:rPr>
                <w:rFonts w:eastAsia="Times New Roman"/>
                <w:sz w:val="20"/>
                <w:szCs w:val="20"/>
              </w:rPr>
            </w:pPr>
          </w:p>
        </w:tc>
        <w:tc>
          <w:tcPr>
            <w:tcW w:w="5" w:type="pct"/>
            <w:vAlign w:val="center"/>
            <w:hideMark/>
          </w:tcPr>
          <w:p w14:paraId="1D00A996" w14:textId="77777777" w:rsidR="00000000" w:rsidRDefault="00A173A8">
            <w:pPr>
              <w:spacing w:after="100"/>
              <w:rPr>
                <w:rFonts w:eastAsia="Times New Roman"/>
                <w:sz w:val="20"/>
                <w:szCs w:val="20"/>
              </w:rPr>
            </w:pPr>
          </w:p>
        </w:tc>
        <w:tc>
          <w:tcPr>
            <w:tcW w:w="50" w:type="pct"/>
            <w:vAlign w:val="center"/>
            <w:hideMark/>
          </w:tcPr>
          <w:p w14:paraId="3D76B211" w14:textId="77777777" w:rsidR="00000000" w:rsidRDefault="00A173A8">
            <w:pPr>
              <w:spacing w:after="100"/>
              <w:rPr>
                <w:rFonts w:eastAsia="Times New Roman"/>
                <w:sz w:val="20"/>
                <w:szCs w:val="20"/>
              </w:rPr>
            </w:pPr>
          </w:p>
        </w:tc>
        <w:tc>
          <w:tcPr>
            <w:tcW w:w="405" w:type="pct"/>
            <w:vAlign w:val="center"/>
            <w:hideMark/>
          </w:tcPr>
          <w:p w14:paraId="0D9A071A" w14:textId="77777777" w:rsidR="00000000" w:rsidRDefault="00A173A8">
            <w:pPr>
              <w:spacing w:after="100"/>
              <w:rPr>
                <w:rFonts w:eastAsia="Times New Roman"/>
                <w:sz w:val="20"/>
                <w:szCs w:val="20"/>
              </w:rPr>
            </w:pPr>
          </w:p>
        </w:tc>
        <w:tc>
          <w:tcPr>
            <w:tcW w:w="5" w:type="pct"/>
            <w:vAlign w:val="center"/>
            <w:hideMark/>
          </w:tcPr>
          <w:p w14:paraId="690F2A83" w14:textId="77777777" w:rsidR="00000000" w:rsidRDefault="00A173A8">
            <w:pPr>
              <w:spacing w:after="100"/>
              <w:rPr>
                <w:rFonts w:eastAsia="Times New Roman"/>
                <w:sz w:val="20"/>
                <w:szCs w:val="20"/>
              </w:rPr>
            </w:pPr>
          </w:p>
        </w:tc>
        <w:tc>
          <w:tcPr>
            <w:tcW w:w="5" w:type="pct"/>
            <w:vAlign w:val="center"/>
            <w:hideMark/>
          </w:tcPr>
          <w:p w14:paraId="05DEDB08" w14:textId="77777777" w:rsidR="00000000" w:rsidRDefault="00A173A8">
            <w:pPr>
              <w:spacing w:after="100"/>
              <w:rPr>
                <w:rFonts w:eastAsia="Times New Roman"/>
                <w:sz w:val="20"/>
                <w:szCs w:val="20"/>
              </w:rPr>
            </w:pPr>
          </w:p>
        </w:tc>
        <w:tc>
          <w:tcPr>
            <w:tcW w:w="26" w:type="pct"/>
            <w:vAlign w:val="center"/>
            <w:hideMark/>
          </w:tcPr>
          <w:p w14:paraId="5185638C" w14:textId="77777777" w:rsidR="00000000" w:rsidRDefault="00A173A8">
            <w:pPr>
              <w:spacing w:after="100"/>
              <w:rPr>
                <w:rFonts w:eastAsia="Times New Roman"/>
                <w:sz w:val="20"/>
                <w:szCs w:val="20"/>
              </w:rPr>
            </w:pPr>
          </w:p>
        </w:tc>
        <w:tc>
          <w:tcPr>
            <w:tcW w:w="5" w:type="pct"/>
            <w:vAlign w:val="center"/>
            <w:hideMark/>
          </w:tcPr>
          <w:p w14:paraId="0548E10F" w14:textId="77777777" w:rsidR="00000000" w:rsidRDefault="00A173A8">
            <w:pPr>
              <w:spacing w:after="100"/>
              <w:rPr>
                <w:rFonts w:eastAsia="Times New Roman"/>
                <w:sz w:val="20"/>
                <w:szCs w:val="20"/>
              </w:rPr>
            </w:pPr>
          </w:p>
        </w:tc>
        <w:tc>
          <w:tcPr>
            <w:tcW w:w="50" w:type="pct"/>
            <w:vAlign w:val="center"/>
            <w:hideMark/>
          </w:tcPr>
          <w:p w14:paraId="57EE9ED7" w14:textId="77777777" w:rsidR="00000000" w:rsidRDefault="00A173A8">
            <w:pPr>
              <w:spacing w:after="100"/>
              <w:rPr>
                <w:rFonts w:eastAsia="Times New Roman"/>
                <w:sz w:val="20"/>
                <w:szCs w:val="20"/>
              </w:rPr>
            </w:pPr>
          </w:p>
        </w:tc>
        <w:tc>
          <w:tcPr>
            <w:tcW w:w="405" w:type="pct"/>
            <w:vAlign w:val="center"/>
            <w:hideMark/>
          </w:tcPr>
          <w:p w14:paraId="78508641" w14:textId="77777777" w:rsidR="00000000" w:rsidRDefault="00A173A8">
            <w:pPr>
              <w:spacing w:after="100"/>
              <w:rPr>
                <w:rFonts w:eastAsia="Times New Roman"/>
                <w:sz w:val="20"/>
                <w:szCs w:val="20"/>
              </w:rPr>
            </w:pPr>
          </w:p>
        </w:tc>
        <w:tc>
          <w:tcPr>
            <w:tcW w:w="5" w:type="pct"/>
            <w:vAlign w:val="center"/>
            <w:hideMark/>
          </w:tcPr>
          <w:p w14:paraId="443B57E2" w14:textId="77777777" w:rsidR="00000000" w:rsidRDefault="00A173A8">
            <w:pPr>
              <w:spacing w:after="100"/>
              <w:rPr>
                <w:rFonts w:eastAsia="Times New Roman"/>
                <w:sz w:val="20"/>
                <w:szCs w:val="20"/>
              </w:rPr>
            </w:pPr>
          </w:p>
        </w:tc>
        <w:tc>
          <w:tcPr>
            <w:tcW w:w="5" w:type="pct"/>
            <w:vAlign w:val="center"/>
            <w:hideMark/>
          </w:tcPr>
          <w:p w14:paraId="33A76513" w14:textId="77777777" w:rsidR="00000000" w:rsidRDefault="00A173A8">
            <w:pPr>
              <w:spacing w:after="100"/>
              <w:rPr>
                <w:rFonts w:eastAsia="Times New Roman"/>
                <w:sz w:val="20"/>
                <w:szCs w:val="20"/>
              </w:rPr>
            </w:pPr>
          </w:p>
        </w:tc>
        <w:tc>
          <w:tcPr>
            <w:tcW w:w="26" w:type="pct"/>
            <w:vAlign w:val="center"/>
            <w:hideMark/>
          </w:tcPr>
          <w:p w14:paraId="37DD59ED" w14:textId="77777777" w:rsidR="00000000" w:rsidRDefault="00A173A8">
            <w:pPr>
              <w:spacing w:after="100"/>
              <w:rPr>
                <w:rFonts w:eastAsia="Times New Roman"/>
                <w:sz w:val="20"/>
                <w:szCs w:val="20"/>
              </w:rPr>
            </w:pPr>
          </w:p>
        </w:tc>
        <w:tc>
          <w:tcPr>
            <w:tcW w:w="5" w:type="pct"/>
            <w:vAlign w:val="center"/>
            <w:hideMark/>
          </w:tcPr>
          <w:p w14:paraId="41CFB2A3" w14:textId="77777777" w:rsidR="00000000" w:rsidRDefault="00A173A8">
            <w:pPr>
              <w:spacing w:after="100"/>
              <w:rPr>
                <w:rFonts w:eastAsia="Times New Roman"/>
                <w:sz w:val="20"/>
                <w:szCs w:val="20"/>
              </w:rPr>
            </w:pPr>
          </w:p>
        </w:tc>
        <w:tc>
          <w:tcPr>
            <w:tcW w:w="50" w:type="pct"/>
            <w:vAlign w:val="center"/>
            <w:hideMark/>
          </w:tcPr>
          <w:p w14:paraId="5804F360" w14:textId="77777777" w:rsidR="00000000" w:rsidRDefault="00A173A8">
            <w:pPr>
              <w:spacing w:after="100"/>
              <w:rPr>
                <w:rFonts w:eastAsia="Times New Roman"/>
                <w:sz w:val="20"/>
                <w:szCs w:val="20"/>
              </w:rPr>
            </w:pPr>
          </w:p>
        </w:tc>
        <w:tc>
          <w:tcPr>
            <w:tcW w:w="405" w:type="pct"/>
            <w:vAlign w:val="center"/>
            <w:hideMark/>
          </w:tcPr>
          <w:p w14:paraId="50F993BF" w14:textId="77777777" w:rsidR="00000000" w:rsidRDefault="00A173A8">
            <w:pPr>
              <w:spacing w:after="100"/>
              <w:rPr>
                <w:rFonts w:eastAsia="Times New Roman"/>
                <w:sz w:val="20"/>
                <w:szCs w:val="20"/>
              </w:rPr>
            </w:pPr>
          </w:p>
        </w:tc>
        <w:tc>
          <w:tcPr>
            <w:tcW w:w="5" w:type="pct"/>
            <w:vAlign w:val="center"/>
            <w:hideMark/>
          </w:tcPr>
          <w:p w14:paraId="11A5F97B" w14:textId="77777777" w:rsidR="00000000" w:rsidRDefault="00A173A8">
            <w:pPr>
              <w:spacing w:after="100"/>
              <w:rPr>
                <w:rFonts w:eastAsia="Times New Roman"/>
                <w:sz w:val="20"/>
                <w:szCs w:val="20"/>
              </w:rPr>
            </w:pPr>
          </w:p>
        </w:tc>
        <w:tc>
          <w:tcPr>
            <w:tcW w:w="5" w:type="pct"/>
            <w:vAlign w:val="center"/>
            <w:hideMark/>
          </w:tcPr>
          <w:p w14:paraId="27609729" w14:textId="77777777" w:rsidR="00000000" w:rsidRDefault="00A173A8">
            <w:pPr>
              <w:spacing w:after="100"/>
              <w:rPr>
                <w:rFonts w:eastAsia="Times New Roman"/>
                <w:sz w:val="20"/>
                <w:szCs w:val="20"/>
              </w:rPr>
            </w:pPr>
          </w:p>
        </w:tc>
        <w:tc>
          <w:tcPr>
            <w:tcW w:w="26" w:type="pct"/>
            <w:vAlign w:val="center"/>
            <w:hideMark/>
          </w:tcPr>
          <w:p w14:paraId="3F93D191" w14:textId="77777777" w:rsidR="00000000" w:rsidRDefault="00A173A8">
            <w:pPr>
              <w:spacing w:after="100"/>
              <w:rPr>
                <w:rFonts w:eastAsia="Times New Roman"/>
                <w:sz w:val="20"/>
                <w:szCs w:val="20"/>
              </w:rPr>
            </w:pPr>
          </w:p>
        </w:tc>
        <w:tc>
          <w:tcPr>
            <w:tcW w:w="5" w:type="pct"/>
            <w:vAlign w:val="center"/>
            <w:hideMark/>
          </w:tcPr>
          <w:p w14:paraId="24DB8111" w14:textId="77777777" w:rsidR="00000000" w:rsidRDefault="00A173A8">
            <w:pPr>
              <w:spacing w:after="100"/>
              <w:rPr>
                <w:rFonts w:eastAsia="Times New Roman"/>
                <w:sz w:val="20"/>
                <w:szCs w:val="20"/>
              </w:rPr>
            </w:pPr>
          </w:p>
        </w:tc>
        <w:tc>
          <w:tcPr>
            <w:tcW w:w="50" w:type="pct"/>
            <w:vAlign w:val="center"/>
            <w:hideMark/>
          </w:tcPr>
          <w:p w14:paraId="13F33767" w14:textId="77777777" w:rsidR="00000000" w:rsidRDefault="00A173A8">
            <w:pPr>
              <w:spacing w:after="100"/>
              <w:rPr>
                <w:rFonts w:eastAsia="Times New Roman"/>
                <w:sz w:val="20"/>
                <w:szCs w:val="20"/>
              </w:rPr>
            </w:pPr>
          </w:p>
        </w:tc>
        <w:tc>
          <w:tcPr>
            <w:tcW w:w="405" w:type="pct"/>
            <w:vAlign w:val="center"/>
            <w:hideMark/>
          </w:tcPr>
          <w:p w14:paraId="74A1362B" w14:textId="77777777" w:rsidR="00000000" w:rsidRDefault="00A173A8">
            <w:pPr>
              <w:spacing w:after="100"/>
              <w:rPr>
                <w:rFonts w:eastAsia="Times New Roman"/>
                <w:sz w:val="20"/>
                <w:szCs w:val="20"/>
              </w:rPr>
            </w:pPr>
          </w:p>
        </w:tc>
        <w:tc>
          <w:tcPr>
            <w:tcW w:w="5" w:type="pct"/>
            <w:vAlign w:val="center"/>
            <w:hideMark/>
          </w:tcPr>
          <w:p w14:paraId="67A801F6" w14:textId="77777777" w:rsidR="00000000" w:rsidRDefault="00A173A8">
            <w:pPr>
              <w:spacing w:after="100"/>
              <w:rPr>
                <w:rFonts w:eastAsia="Times New Roman"/>
                <w:sz w:val="20"/>
                <w:szCs w:val="20"/>
              </w:rPr>
            </w:pPr>
          </w:p>
        </w:tc>
        <w:tc>
          <w:tcPr>
            <w:tcW w:w="5" w:type="pct"/>
            <w:vAlign w:val="center"/>
            <w:hideMark/>
          </w:tcPr>
          <w:p w14:paraId="33601B67" w14:textId="77777777" w:rsidR="00000000" w:rsidRDefault="00A173A8">
            <w:pPr>
              <w:spacing w:after="100"/>
              <w:rPr>
                <w:rFonts w:eastAsia="Times New Roman"/>
                <w:sz w:val="20"/>
                <w:szCs w:val="20"/>
              </w:rPr>
            </w:pPr>
          </w:p>
        </w:tc>
        <w:tc>
          <w:tcPr>
            <w:tcW w:w="26" w:type="pct"/>
            <w:vAlign w:val="center"/>
            <w:hideMark/>
          </w:tcPr>
          <w:p w14:paraId="0907FA84" w14:textId="77777777" w:rsidR="00000000" w:rsidRDefault="00A173A8">
            <w:pPr>
              <w:spacing w:after="100"/>
              <w:rPr>
                <w:rFonts w:eastAsia="Times New Roman"/>
                <w:sz w:val="20"/>
                <w:szCs w:val="20"/>
              </w:rPr>
            </w:pPr>
          </w:p>
        </w:tc>
        <w:tc>
          <w:tcPr>
            <w:tcW w:w="5" w:type="pct"/>
            <w:vAlign w:val="center"/>
            <w:hideMark/>
          </w:tcPr>
          <w:p w14:paraId="122240FE" w14:textId="77777777" w:rsidR="00000000" w:rsidRDefault="00A173A8">
            <w:pPr>
              <w:spacing w:after="100"/>
              <w:rPr>
                <w:rFonts w:eastAsia="Times New Roman"/>
                <w:sz w:val="20"/>
                <w:szCs w:val="20"/>
              </w:rPr>
            </w:pPr>
          </w:p>
        </w:tc>
        <w:tc>
          <w:tcPr>
            <w:tcW w:w="50" w:type="pct"/>
            <w:vAlign w:val="center"/>
            <w:hideMark/>
          </w:tcPr>
          <w:p w14:paraId="47241C1A" w14:textId="77777777" w:rsidR="00000000" w:rsidRDefault="00A173A8">
            <w:pPr>
              <w:spacing w:after="100"/>
              <w:rPr>
                <w:rFonts w:eastAsia="Times New Roman"/>
                <w:sz w:val="20"/>
                <w:szCs w:val="20"/>
              </w:rPr>
            </w:pPr>
          </w:p>
        </w:tc>
        <w:tc>
          <w:tcPr>
            <w:tcW w:w="405" w:type="pct"/>
            <w:vAlign w:val="center"/>
            <w:hideMark/>
          </w:tcPr>
          <w:p w14:paraId="4F56E464" w14:textId="77777777" w:rsidR="00000000" w:rsidRDefault="00A173A8">
            <w:pPr>
              <w:spacing w:after="100"/>
              <w:rPr>
                <w:rFonts w:eastAsia="Times New Roman"/>
                <w:sz w:val="20"/>
                <w:szCs w:val="20"/>
              </w:rPr>
            </w:pPr>
          </w:p>
        </w:tc>
        <w:tc>
          <w:tcPr>
            <w:tcW w:w="5" w:type="pct"/>
            <w:vAlign w:val="center"/>
            <w:hideMark/>
          </w:tcPr>
          <w:p w14:paraId="5384AD17" w14:textId="77777777" w:rsidR="00000000" w:rsidRDefault="00A173A8">
            <w:pPr>
              <w:spacing w:after="100"/>
              <w:rPr>
                <w:rFonts w:eastAsia="Times New Roman"/>
                <w:sz w:val="20"/>
                <w:szCs w:val="20"/>
              </w:rPr>
            </w:pPr>
          </w:p>
        </w:tc>
        <w:tc>
          <w:tcPr>
            <w:tcW w:w="5" w:type="pct"/>
            <w:vAlign w:val="center"/>
            <w:hideMark/>
          </w:tcPr>
          <w:p w14:paraId="23F12040" w14:textId="77777777" w:rsidR="00000000" w:rsidRDefault="00A173A8">
            <w:pPr>
              <w:spacing w:after="100"/>
              <w:rPr>
                <w:rFonts w:eastAsia="Times New Roman"/>
                <w:sz w:val="20"/>
                <w:szCs w:val="20"/>
              </w:rPr>
            </w:pPr>
          </w:p>
        </w:tc>
        <w:tc>
          <w:tcPr>
            <w:tcW w:w="26" w:type="pct"/>
            <w:vAlign w:val="center"/>
            <w:hideMark/>
          </w:tcPr>
          <w:p w14:paraId="746F095E" w14:textId="77777777" w:rsidR="00000000" w:rsidRDefault="00A173A8">
            <w:pPr>
              <w:spacing w:after="100"/>
              <w:rPr>
                <w:rFonts w:eastAsia="Times New Roman"/>
                <w:sz w:val="20"/>
                <w:szCs w:val="20"/>
              </w:rPr>
            </w:pPr>
          </w:p>
        </w:tc>
        <w:tc>
          <w:tcPr>
            <w:tcW w:w="5" w:type="pct"/>
            <w:vAlign w:val="center"/>
            <w:hideMark/>
          </w:tcPr>
          <w:p w14:paraId="62C75E59" w14:textId="77777777" w:rsidR="00000000" w:rsidRDefault="00A173A8">
            <w:pPr>
              <w:spacing w:after="100"/>
              <w:rPr>
                <w:rFonts w:eastAsia="Times New Roman"/>
                <w:sz w:val="20"/>
                <w:szCs w:val="20"/>
              </w:rPr>
            </w:pPr>
          </w:p>
        </w:tc>
        <w:tc>
          <w:tcPr>
            <w:tcW w:w="50" w:type="pct"/>
            <w:vAlign w:val="center"/>
            <w:hideMark/>
          </w:tcPr>
          <w:p w14:paraId="157B5846" w14:textId="77777777" w:rsidR="00000000" w:rsidRDefault="00A173A8">
            <w:pPr>
              <w:spacing w:after="100"/>
              <w:rPr>
                <w:rFonts w:eastAsia="Times New Roman"/>
                <w:sz w:val="20"/>
                <w:szCs w:val="20"/>
              </w:rPr>
            </w:pPr>
          </w:p>
        </w:tc>
        <w:tc>
          <w:tcPr>
            <w:tcW w:w="427" w:type="pct"/>
            <w:vAlign w:val="center"/>
            <w:hideMark/>
          </w:tcPr>
          <w:p w14:paraId="37F62409" w14:textId="77777777" w:rsidR="00000000" w:rsidRDefault="00A173A8">
            <w:pPr>
              <w:spacing w:after="100"/>
              <w:rPr>
                <w:rFonts w:eastAsia="Times New Roman"/>
                <w:sz w:val="20"/>
                <w:szCs w:val="20"/>
              </w:rPr>
            </w:pPr>
          </w:p>
        </w:tc>
        <w:tc>
          <w:tcPr>
            <w:tcW w:w="5" w:type="pct"/>
            <w:vAlign w:val="center"/>
            <w:hideMark/>
          </w:tcPr>
          <w:p w14:paraId="78D1465B" w14:textId="77777777" w:rsidR="00000000" w:rsidRDefault="00A173A8">
            <w:pPr>
              <w:spacing w:after="100"/>
              <w:rPr>
                <w:rFonts w:eastAsia="Times New Roman"/>
                <w:sz w:val="20"/>
                <w:szCs w:val="20"/>
              </w:rPr>
            </w:pPr>
          </w:p>
        </w:tc>
        <w:tc>
          <w:tcPr>
            <w:tcW w:w="0" w:type="auto"/>
            <w:vAlign w:val="center"/>
            <w:hideMark/>
          </w:tcPr>
          <w:p w14:paraId="0F851024" w14:textId="77777777" w:rsidR="00000000" w:rsidRDefault="00A173A8">
            <w:pPr>
              <w:spacing w:after="100"/>
              <w:rPr>
                <w:rFonts w:eastAsia="Times New Roman"/>
                <w:sz w:val="20"/>
                <w:szCs w:val="20"/>
              </w:rPr>
            </w:pPr>
          </w:p>
        </w:tc>
        <w:tc>
          <w:tcPr>
            <w:tcW w:w="0" w:type="auto"/>
            <w:vAlign w:val="center"/>
            <w:hideMark/>
          </w:tcPr>
          <w:p w14:paraId="7EC8EAF3" w14:textId="77777777" w:rsidR="00000000" w:rsidRDefault="00A173A8">
            <w:pPr>
              <w:spacing w:after="100"/>
              <w:rPr>
                <w:rFonts w:eastAsia="Times New Roman"/>
                <w:sz w:val="20"/>
                <w:szCs w:val="20"/>
              </w:rPr>
            </w:pPr>
          </w:p>
        </w:tc>
        <w:tc>
          <w:tcPr>
            <w:tcW w:w="0" w:type="auto"/>
            <w:gridSpan w:val="3"/>
            <w:vAlign w:val="center"/>
            <w:hideMark/>
          </w:tcPr>
          <w:p w14:paraId="7CEA5D1E" w14:textId="77777777" w:rsidR="00000000" w:rsidRDefault="00A173A8">
            <w:pPr>
              <w:spacing w:after="100"/>
              <w:rPr>
                <w:rFonts w:eastAsia="Times New Roman"/>
                <w:sz w:val="20"/>
                <w:szCs w:val="20"/>
              </w:rPr>
            </w:pPr>
          </w:p>
        </w:tc>
        <w:tc>
          <w:tcPr>
            <w:tcW w:w="0" w:type="auto"/>
            <w:gridSpan w:val="3"/>
            <w:vAlign w:val="center"/>
            <w:hideMark/>
          </w:tcPr>
          <w:p w14:paraId="46033704" w14:textId="77777777" w:rsidR="00000000" w:rsidRDefault="00A173A8">
            <w:pPr>
              <w:spacing w:after="100"/>
              <w:rPr>
                <w:rFonts w:eastAsia="Times New Roman"/>
                <w:sz w:val="20"/>
                <w:szCs w:val="20"/>
              </w:rPr>
            </w:pPr>
          </w:p>
        </w:tc>
        <w:tc>
          <w:tcPr>
            <w:tcW w:w="0" w:type="auto"/>
            <w:gridSpan w:val="3"/>
            <w:vAlign w:val="center"/>
            <w:hideMark/>
          </w:tcPr>
          <w:p w14:paraId="04627CAF" w14:textId="77777777" w:rsidR="00000000" w:rsidRDefault="00A173A8">
            <w:pPr>
              <w:spacing w:after="100"/>
              <w:rPr>
                <w:rFonts w:eastAsia="Times New Roman"/>
                <w:sz w:val="20"/>
                <w:szCs w:val="20"/>
              </w:rPr>
            </w:pPr>
          </w:p>
        </w:tc>
        <w:tc>
          <w:tcPr>
            <w:tcW w:w="0" w:type="auto"/>
            <w:gridSpan w:val="3"/>
            <w:vAlign w:val="center"/>
            <w:hideMark/>
          </w:tcPr>
          <w:p w14:paraId="5155EC16" w14:textId="77777777" w:rsidR="00000000" w:rsidRDefault="00A173A8">
            <w:pPr>
              <w:spacing w:after="100"/>
              <w:rPr>
                <w:rFonts w:eastAsia="Times New Roman"/>
                <w:sz w:val="20"/>
                <w:szCs w:val="20"/>
              </w:rPr>
            </w:pPr>
          </w:p>
        </w:tc>
      </w:tr>
      <w:tr w:rsidR="00000000" w14:paraId="36AE9920" w14:textId="77777777">
        <w:trPr>
          <w:divId w:val="1280793884"/>
        </w:trPr>
        <w:tc>
          <w:tcPr>
            <w:tcW w:w="0" w:type="auto"/>
            <w:gridSpan w:val="3"/>
            <w:tcMar>
              <w:top w:w="30" w:type="dxa"/>
              <w:left w:w="20" w:type="dxa"/>
              <w:bottom w:w="30" w:type="dxa"/>
              <w:right w:w="20" w:type="dxa"/>
            </w:tcMar>
            <w:vAlign w:val="bottom"/>
            <w:hideMark/>
          </w:tcPr>
          <w:p w14:paraId="375121FF"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E920DC7" w14:textId="77777777" w:rsidR="00000000" w:rsidRDefault="00A173A8">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0427527B"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vAlign w:val="center"/>
            <w:hideMark/>
          </w:tcPr>
          <w:p w14:paraId="7393DB39" w14:textId="77777777" w:rsidR="00000000" w:rsidRDefault="00A173A8">
            <w:pPr>
              <w:spacing w:after="100"/>
              <w:jc w:val="center"/>
              <w:rPr>
                <w:rFonts w:eastAsia="Times New Roman"/>
              </w:rPr>
            </w:pPr>
          </w:p>
        </w:tc>
        <w:tc>
          <w:tcPr>
            <w:tcW w:w="0" w:type="auto"/>
            <w:vAlign w:val="center"/>
            <w:hideMark/>
          </w:tcPr>
          <w:p w14:paraId="0A4E0FCC" w14:textId="77777777" w:rsidR="00000000" w:rsidRDefault="00A173A8">
            <w:pPr>
              <w:spacing w:after="100"/>
              <w:rPr>
                <w:rFonts w:eastAsia="Times New Roman"/>
                <w:sz w:val="20"/>
                <w:szCs w:val="20"/>
              </w:rPr>
            </w:pPr>
          </w:p>
        </w:tc>
        <w:tc>
          <w:tcPr>
            <w:tcW w:w="0" w:type="auto"/>
            <w:gridSpan w:val="3"/>
            <w:vAlign w:val="center"/>
            <w:hideMark/>
          </w:tcPr>
          <w:p w14:paraId="6FC0C2C6" w14:textId="77777777" w:rsidR="00000000" w:rsidRDefault="00A173A8">
            <w:pPr>
              <w:spacing w:after="100"/>
              <w:rPr>
                <w:rFonts w:eastAsia="Times New Roman"/>
                <w:sz w:val="20"/>
                <w:szCs w:val="20"/>
              </w:rPr>
            </w:pPr>
          </w:p>
        </w:tc>
        <w:tc>
          <w:tcPr>
            <w:tcW w:w="0" w:type="auto"/>
            <w:gridSpan w:val="3"/>
            <w:vAlign w:val="center"/>
            <w:hideMark/>
          </w:tcPr>
          <w:p w14:paraId="50FD1293" w14:textId="77777777" w:rsidR="00000000" w:rsidRDefault="00A173A8">
            <w:pPr>
              <w:spacing w:after="100"/>
              <w:rPr>
                <w:rFonts w:eastAsia="Times New Roman"/>
                <w:sz w:val="20"/>
                <w:szCs w:val="20"/>
              </w:rPr>
            </w:pPr>
          </w:p>
        </w:tc>
        <w:tc>
          <w:tcPr>
            <w:tcW w:w="0" w:type="auto"/>
            <w:gridSpan w:val="3"/>
            <w:vAlign w:val="center"/>
            <w:hideMark/>
          </w:tcPr>
          <w:p w14:paraId="17BE79EE" w14:textId="77777777" w:rsidR="00000000" w:rsidRDefault="00A173A8">
            <w:pPr>
              <w:spacing w:after="100"/>
              <w:rPr>
                <w:rFonts w:eastAsia="Times New Roman"/>
                <w:sz w:val="20"/>
                <w:szCs w:val="20"/>
              </w:rPr>
            </w:pPr>
          </w:p>
        </w:tc>
        <w:tc>
          <w:tcPr>
            <w:tcW w:w="0" w:type="auto"/>
            <w:gridSpan w:val="3"/>
            <w:vAlign w:val="center"/>
            <w:hideMark/>
          </w:tcPr>
          <w:p w14:paraId="015861DA" w14:textId="77777777" w:rsidR="00000000" w:rsidRDefault="00A173A8">
            <w:pPr>
              <w:spacing w:after="100"/>
              <w:rPr>
                <w:rFonts w:eastAsia="Times New Roman"/>
                <w:sz w:val="20"/>
                <w:szCs w:val="20"/>
              </w:rPr>
            </w:pPr>
          </w:p>
        </w:tc>
      </w:tr>
      <w:tr w:rsidR="00000000" w14:paraId="7006B8F8" w14:textId="77777777">
        <w:trPr>
          <w:divId w:val="1280793884"/>
        </w:trPr>
        <w:tc>
          <w:tcPr>
            <w:tcW w:w="0" w:type="auto"/>
            <w:gridSpan w:val="3"/>
            <w:tcMar>
              <w:top w:w="30" w:type="dxa"/>
              <w:left w:w="20" w:type="dxa"/>
              <w:bottom w:w="30" w:type="dxa"/>
              <w:right w:w="20" w:type="dxa"/>
            </w:tcMar>
            <w:vAlign w:val="bottom"/>
            <w:hideMark/>
          </w:tcPr>
          <w:p w14:paraId="63352B8D"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9D4BE1B" w14:textId="77777777" w:rsidR="00000000" w:rsidRDefault="00A173A8">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18DCB47"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7BC48D8"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D436F72"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6F172E52" w14:textId="77777777" w:rsidR="00000000" w:rsidRDefault="00A173A8">
            <w:pPr>
              <w:spacing w:after="100"/>
              <w:jc w:val="center"/>
              <w:rPr>
                <w:rFonts w:eastAsia="Times New Roman"/>
              </w:rPr>
            </w:pPr>
          </w:p>
        </w:tc>
        <w:tc>
          <w:tcPr>
            <w:tcW w:w="0" w:type="auto"/>
            <w:vAlign w:val="center"/>
            <w:hideMark/>
          </w:tcPr>
          <w:p w14:paraId="6758EBAF" w14:textId="77777777" w:rsidR="00000000" w:rsidRDefault="00A173A8">
            <w:pPr>
              <w:spacing w:after="100"/>
              <w:rPr>
                <w:rFonts w:eastAsia="Times New Roman"/>
                <w:sz w:val="20"/>
                <w:szCs w:val="20"/>
              </w:rPr>
            </w:pPr>
          </w:p>
        </w:tc>
        <w:tc>
          <w:tcPr>
            <w:tcW w:w="0" w:type="auto"/>
            <w:vAlign w:val="center"/>
            <w:hideMark/>
          </w:tcPr>
          <w:p w14:paraId="595687FE" w14:textId="77777777" w:rsidR="00000000" w:rsidRDefault="00A173A8">
            <w:pPr>
              <w:spacing w:after="100"/>
              <w:rPr>
                <w:rFonts w:eastAsia="Times New Roman"/>
                <w:sz w:val="20"/>
                <w:szCs w:val="20"/>
              </w:rPr>
            </w:pPr>
          </w:p>
        </w:tc>
        <w:tc>
          <w:tcPr>
            <w:tcW w:w="0" w:type="auto"/>
            <w:vAlign w:val="center"/>
            <w:hideMark/>
          </w:tcPr>
          <w:p w14:paraId="67ABF8EF" w14:textId="77777777" w:rsidR="00000000" w:rsidRDefault="00A173A8">
            <w:pPr>
              <w:spacing w:after="100"/>
              <w:rPr>
                <w:rFonts w:eastAsia="Times New Roman"/>
                <w:sz w:val="20"/>
                <w:szCs w:val="20"/>
              </w:rPr>
            </w:pPr>
          </w:p>
        </w:tc>
        <w:tc>
          <w:tcPr>
            <w:tcW w:w="0" w:type="auto"/>
            <w:vAlign w:val="center"/>
            <w:hideMark/>
          </w:tcPr>
          <w:p w14:paraId="4B79C49C" w14:textId="77777777" w:rsidR="00000000" w:rsidRDefault="00A173A8">
            <w:pPr>
              <w:spacing w:after="100"/>
              <w:rPr>
                <w:rFonts w:eastAsia="Times New Roman"/>
                <w:sz w:val="20"/>
                <w:szCs w:val="20"/>
              </w:rPr>
            </w:pPr>
          </w:p>
        </w:tc>
        <w:tc>
          <w:tcPr>
            <w:tcW w:w="0" w:type="auto"/>
            <w:vAlign w:val="center"/>
            <w:hideMark/>
          </w:tcPr>
          <w:p w14:paraId="19788212" w14:textId="77777777" w:rsidR="00000000" w:rsidRDefault="00A173A8">
            <w:pPr>
              <w:spacing w:after="100"/>
              <w:rPr>
                <w:rFonts w:eastAsia="Times New Roman"/>
                <w:sz w:val="20"/>
                <w:szCs w:val="20"/>
              </w:rPr>
            </w:pPr>
          </w:p>
        </w:tc>
        <w:tc>
          <w:tcPr>
            <w:tcW w:w="0" w:type="auto"/>
            <w:vAlign w:val="center"/>
            <w:hideMark/>
          </w:tcPr>
          <w:p w14:paraId="3F22A782" w14:textId="77777777" w:rsidR="00000000" w:rsidRDefault="00A173A8">
            <w:pPr>
              <w:spacing w:after="100"/>
              <w:rPr>
                <w:rFonts w:eastAsia="Times New Roman"/>
                <w:sz w:val="20"/>
                <w:szCs w:val="20"/>
              </w:rPr>
            </w:pPr>
          </w:p>
        </w:tc>
        <w:tc>
          <w:tcPr>
            <w:tcW w:w="0" w:type="auto"/>
            <w:vAlign w:val="center"/>
            <w:hideMark/>
          </w:tcPr>
          <w:p w14:paraId="2F80FE32" w14:textId="77777777" w:rsidR="00000000" w:rsidRDefault="00A173A8">
            <w:pPr>
              <w:spacing w:after="100"/>
              <w:rPr>
                <w:rFonts w:eastAsia="Times New Roman"/>
                <w:sz w:val="20"/>
                <w:szCs w:val="20"/>
              </w:rPr>
            </w:pPr>
          </w:p>
        </w:tc>
        <w:tc>
          <w:tcPr>
            <w:tcW w:w="0" w:type="auto"/>
            <w:vAlign w:val="center"/>
            <w:hideMark/>
          </w:tcPr>
          <w:p w14:paraId="02A48116" w14:textId="77777777" w:rsidR="00000000" w:rsidRDefault="00A173A8">
            <w:pPr>
              <w:spacing w:after="100"/>
              <w:rPr>
                <w:rFonts w:eastAsia="Times New Roman"/>
                <w:sz w:val="20"/>
                <w:szCs w:val="20"/>
              </w:rPr>
            </w:pPr>
          </w:p>
        </w:tc>
        <w:tc>
          <w:tcPr>
            <w:tcW w:w="0" w:type="auto"/>
            <w:vAlign w:val="center"/>
            <w:hideMark/>
          </w:tcPr>
          <w:p w14:paraId="7BF8CFF4" w14:textId="77777777" w:rsidR="00000000" w:rsidRDefault="00A173A8">
            <w:pPr>
              <w:spacing w:after="100"/>
              <w:rPr>
                <w:rFonts w:eastAsia="Times New Roman"/>
                <w:sz w:val="20"/>
                <w:szCs w:val="20"/>
              </w:rPr>
            </w:pPr>
          </w:p>
        </w:tc>
        <w:tc>
          <w:tcPr>
            <w:tcW w:w="0" w:type="auto"/>
            <w:vAlign w:val="center"/>
            <w:hideMark/>
          </w:tcPr>
          <w:p w14:paraId="134EAEDE" w14:textId="77777777" w:rsidR="00000000" w:rsidRDefault="00A173A8">
            <w:pPr>
              <w:spacing w:after="100"/>
              <w:rPr>
                <w:rFonts w:eastAsia="Times New Roman"/>
                <w:sz w:val="20"/>
                <w:szCs w:val="20"/>
              </w:rPr>
            </w:pPr>
          </w:p>
        </w:tc>
        <w:tc>
          <w:tcPr>
            <w:tcW w:w="0" w:type="auto"/>
            <w:vAlign w:val="center"/>
            <w:hideMark/>
          </w:tcPr>
          <w:p w14:paraId="4C97425B" w14:textId="77777777" w:rsidR="00000000" w:rsidRDefault="00A173A8">
            <w:pPr>
              <w:spacing w:after="100"/>
              <w:rPr>
                <w:rFonts w:eastAsia="Times New Roman"/>
                <w:sz w:val="20"/>
                <w:szCs w:val="20"/>
              </w:rPr>
            </w:pPr>
          </w:p>
        </w:tc>
        <w:tc>
          <w:tcPr>
            <w:tcW w:w="0" w:type="auto"/>
            <w:vAlign w:val="center"/>
            <w:hideMark/>
          </w:tcPr>
          <w:p w14:paraId="61D97061" w14:textId="77777777" w:rsidR="00000000" w:rsidRDefault="00A173A8">
            <w:pPr>
              <w:spacing w:after="100"/>
              <w:rPr>
                <w:rFonts w:eastAsia="Times New Roman"/>
                <w:sz w:val="20"/>
                <w:szCs w:val="20"/>
              </w:rPr>
            </w:pPr>
          </w:p>
        </w:tc>
        <w:tc>
          <w:tcPr>
            <w:tcW w:w="0" w:type="auto"/>
            <w:vAlign w:val="center"/>
            <w:hideMark/>
          </w:tcPr>
          <w:p w14:paraId="6DB9127A" w14:textId="77777777" w:rsidR="00000000" w:rsidRDefault="00A173A8">
            <w:pPr>
              <w:spacing w:after="100"/>
              <w:rPr>
                <w:rFonts w:eastAsia="Times New Roman"/>
                <w:sz w:val="20"/>
                <w:szCs w:val="20"/>
              </w:rPr>
            </w:pPr>
          </w:p>
        </w:tc>
      </w:tr>
      <w:tr w:rsidR="00000000" w14:paraId="4CD2EC9F" w14:textId="77777777">
        <w:trPr>
          <w:divId w:val="1280793884"/>
        </w:trPr>
        <w:tc>
          <w:tcPr>
            <w:tcW w:w="0" w:type="auto"/>
            <w:gridSpan w:val="3"/>
            <w:tcBorders>
              <w:bottom w:val="single" w:sz="8" w:space="0" w:color="000000"/>
            </w:tcBorders>
            <w:tcMar>
              <w:top w:w="30" w:type="dxa"/>
              <w:left w:w="20" w:type="dxa"/>
              <w:bottom w:w="30" w:type="dxa"/>
              <w:right w:w="20" w:type="dxa"/>
            </w:tcMar>
            <w:vAlign w:val="bottom"/>
            <w:hideMark/>
          </w:tcPr>
          <w:p w14:paraId="4CF2FC9A"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20D17930"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F22E6BA"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18FA419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3B222E7" w14:textId="77777777" w:rsidR="00000000" w:rsidRDefault="00A173A8">
            <w:pPr>
              <w:spacing w:after="100"/>
              <w:jc w:val="center"/>
              <w:rPr>
                <w:rFonts w:eastAsia="Times New Roman"/>
              </w:rPr>
            </w:pPr>
            <w:r>
              <w:rPr>
                <w:rFonts w:eastAsia="Times New Roman"/>
                <w:b/>
                <w:bCs/>
                <w:color w:val="000000"/>
                <w:sz w:val="20"/>
                <w:szCs w:val="20"/>
              </w:rPr>
              <w:t>Interest Income/</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73F1DFD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12538D6" w14:textId="77777777" w:rsidR="00000000" w:rsidRDefault="00A173A8">
            <w:pPr>
              <w:spacing w:after="100"/>
              <w:jc w:val="center"/>
              <w:rPr>
                <w:rFonts w:eastAsia="Times New Roman"/>
              </w:rPr>
            </w:pPr>
            <w:r>
              <w:rPr>
                <w:rFonts w:eastAsia="Times New Roman"/>
                <w:b/>
                <w:bCs/>
                <w:color w:val="000000"/>
                <w:sz w:val="20"/>
                <w:szCs w:val="20"/>
              </w:rPr>
              <w:t>Average Yield/</w:t>
            </w:r>
          </w:p>
          <w:p w14:paraId="2C023BCA"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6CBC8A4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810993C"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4FD3607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B29CFD6" w14:textId="77777777" w:rsidR="00000000" w:rsidRDefault="00A173A8">
            <w:pPr>
              <w:spacing w:after="100"/>
              <w:jc w:val="center"/>
              <w:rPr>
                <w:rFonts w:eastAsia="Times New Roman"/>
              </w:rPr>
            </w:pPr>
            <w:r>
              <w:rPr>
                <w:rFonts w:eastAsia="Times New Roman"/>
                <w:b/>
                <w:bCs/>
                <w:color w:val="000000"/>
                <w:sz w:val="20"/>
                <w:szCs w:val="20"/>
              </w:rPr>
              <w:t>Interest Income/</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0E172D92"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3BF203" w14:textId="77777777" w:rsidR="00000000" w:rsidRDefault="00A173A8">
            <w:pPr>
              <w:spacing w:after="100"/>
              <w:jc w:val="center"/>
              <w:rPr>
                <w:rFonts w:eastAsia="Times New Roman"/>
              </w:rPr>
            </w:pPr>
            <w:r>
              <w:rPr>
                <w:rFonts w:eastAsia="Times New Roman"/>
                <w:b/>
                <w:bCs/>
                <w:color w:val="000000"/>
                <w:sz w:val="20"/>
                <w:szCs w:val="20"/>
              </w:rPr>
              <w:t>Average Yield/</w:t>
            </w:r>
            <w:r>
              <w:rPr>
                <w:rFonts w:eastAsia="Times New Roman"/>
                <w:b/>
                <w:bCs/>
                <w:color w:val="000000"/>
                <w:sz w:val="20"/>
                <w:szCs w:val="20"/>
              </w:rPr>
              <w:br/>
              <w:t>Rate</w:t>
            </w:r>
          </w:p>
        </w:tc>
        <w:tc>
          <w:tcPr>
            <w:tcW w:w="0" w:type="auto"/>
            <w:vAlign w:val="center"/>
            <w:hideMark/>
          </w:tcPr>
          <w:p w14:paraId="58C02ADD" w14:textId="77777777" w:rsidR="00000000" w:rsidRDefault="00A173A8">
            <w:pPr>
              <w:spacing w:after="100"/>
              <w:jc w:val="center"/>
              <w:rPr>
                <w:rFonts w:eastAsia="Times New Roman"/>
              </w:rPr>
            </w:pPr>
          </w:p>
        </w:tc>
        <w:tc>
          <w:tcPr>
            <w:tcW w:w="0" w:type="auto"/>
            <w:vAlign w:val="center"/>
            <w:hideMark/>
          </w:tcPr>
          <w:p w14:paraId="5F394EF4" w14:textId="77777777" w:rsidR="00000000" w:rsidRDefault="00A173A8">
            <w:pPr>
              <w:spacing w:after="100"/>
              <w:rPr>
                <w:rFonts w:eastAsia="Times New Roman"/>
                <w:sz w:val="20"/>
                <w:szCs w:val="20"/>
              </w:rPr>
            </w:pPr>
          </w:p>
        </w:tc>
        <w:tc>
          <w:tcPr>
            <w:tcW w:w="0" w:type="auto"/>
            <w:gridSpan w:val="3"/>
            <w:vAlign w:val="center"/>
            <w:hideMark/>
          </w:tcPr>
          <w:p w14:paraId="3496CB58" w14:textId="77777777" w:rsidR="00000000" w:rsidRDefault="00A173A8">
            <w:pPr>
              <w:spacing w:after="100"/>
              <w:rPr>
                <w:rFonts w:eastAsia="Times New Roman"/>
                <w:sz w:val="20"/>
                <w:szCs w:val="20"/>
              </w:rPr>
            </w:pPr>
          </w:p>
        </w:tc>
        <w:tc>
          <w:tcPr>
            <w:tcW w:w="0" w:type="auto"/>
            <w:gridSpan w:val="3"/>
            <w:vAlign w:val="center"/>
            <w:hideMark/>
          </w:tcPr>
          <w:p w14:paraId="1803CD9B" w14:textId="77777777" w:rsidR="00000000" w:rsidRDefault="00A173A8">
            <w:pPr>
              <w:spacing w:after="100"/>
              <w:rPr>
                <w:rFonts w:eastAsia="Times New Roman"/>
                <w:sz w:val="20"/>
                <w:szCs w:val="20"/>
              </w:rPr>
            </w:pPr>
          </w:p>
        </w:tc>
        <w:tc>
          <w:tcPr>
            <w:tcW w:w="0" w:type="auto"/>
            <w:gridSpan w:val="3"/>
            <w:vAlign w:val="center"/>
            <w:hideMark/>
          </w:tcPr>
          <w:p w14:paraId="64F37698" w14:textId="77777777" w:rsidR="00000000" w:rsidRDefault="00A173A8">
            <w:pPr>
              <w:spacing w:after="100"/>
              <w:rPr>
                <w:rFonts w:eastAsia="Times New Roman"/>
                <w:sz w:val="20"/>
                <w:szCs w:val="20"/>
              </w:rPr>
            </w:pPr>
          </w:p>
        </w:tc>
        <w:tc>
          <w:tcPr>
            <w:tcW w:w="0" w:type="auto"/>
            <w:gridSpan w:val="3"/>
            <w:vAlign w:val="center"/>
            <w:hideMark/>
          </w:tcPr>
          <w:p w14:paraId="6B198367" w14:textId="77777777" w:rsidR="00000000" w:rsidRDefault="00A173A8">
            <w:pPr>
              <w:spacing w:after="100"/>
              <w:rPr>
                <w:rFonts w:eastAsia="Times New Roman"/>
                <w:sz w:val="20"/>
                <w:szCs w:val="20"/>
              </w:rPr>
            </w:pPr>
          </w:p>
        </w:tc>
      </w:tr>
      <w:tr w:rsidR="00000000" w14:paraId="74501871" w14:textId="77777777">
        <w:trPr>
          <w:divId w:val="12807938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2CC604F" w14:textId="77777777" w:rsidR="00000000" w:rsidRDefault="00A173A8">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05979AA8"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14DE5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A2C27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0B29A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4A682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8B652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B39AA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40AF3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8EB3D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94FC7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A558A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463A08" w14:textId="77777777" w:rsidR="00000000" w:rsidRDefault="00A173A8">
            <w:pPr>
              <w:spacing w:after="100"/>
              <w:rPr>
                <w:rFonts w:eastAsia="Times New Roman"/>
                <w:sz w:val="20"/>
                <w:szCs w:val="20"/>
              </w:rPr>
            </w:pPr>
          </w:p>
        </w:tc>
        <w:tc>
          <w:tcPr>
            <w:tcW w:w="0" w:type="auto"/>
            <w:vAlign w:val="center"/>
            <w:hideMark/>
          </w:tcPr>
          <w:p w14:paraId="6B2D366C" w14:textId="77777777" w:rsidR="00000000" w:rsidRDefault="00A173A8">
            <w:pPr>
              <w:spacing w:after="100"/>
              <w:rPr>
                <w:rFonts w:eastAsia="Times New Roman"/>
                <w:sz w:val="20"/>
                <w:szCs w:val="20"/>
              </w:rPr>
            </w:pPr>
          </w:p>
        </w:tc>
        <w:tc>
          <w:tcPr>
            <w:tcW w:w="0" w:type="auto"/>
            <w:vAlign w:val="center"/>
            <w:hideMark/>
          </w:tcPr>
          <w:p w14:paraId="408DAE31" w14:textId="77777777" w:rsidR="00000000" w:rsidRDefault="00A173A8">
            <w:pPr>
              <w:spacing w:after="100"/>
              <w:rPr>
                <w:rFonts w:eastAsia="Times New Roman"/>
                <w:sz w:val="20"/>
                <w:szCs w:val="20"/>
              </w:rPr>
            </w:pPr>
          </w:p>
        </w:tc>
        <w:tc>
          <w:tcPr>
            <w:tcW w:w="0" w:type="auto"/>
            <w:gridSpan w:val="3"/>
            <w:vAlign w:val="center"/>
            <w:hideMark/>
          </w:tcPr>
          <w:p w14:paraId="16606971" w14:textId="77777777" w:rsidR="00000000" w:rsidRDefault="00A173A8">
            <w:pPr>
              <w:spacing w:after="100"/>
              <w:rPr>
                <w:rFonts w:eastAsia="Times New Roman"/>
                <w:sz w:val="20"/>
                <w:szCs w:val="20"/>
              </w:rPr>
            </w:pPr>
          </w:p>
        </w:tc>
        <w:tc>
          <w:tcPr>
            <w:tcW w:w="0" w:type="auto"/>
            <w:gridSpan w:val="3"/>
            <w:vAlign w:val="center"/>
            <w:hideMark/>
          </w:tcPr>
          <w:p w14:paraId="0BB9CD26" w14:textId="77777777" w:rsidR="00000000" w:rsidRDefault="00A173A8">
            <w:pPr>
              <w:spacing w:after="100"/>
              <w:rPr>
                <w:rFonts w:eastAsia="Times New Roman"/>
                <w:sz w:val="20"/>
                <w:szCs w:val="20"/>
              </w:rPr>
            </w:pPr>
          </w:p>
        </w:tc>
        <w:tc>
          <w:tcPr>
            <w:tcW w:w="0" w:type="auto"/>
            <w:gridSpan w:val="3"/>
            <w:vAlign w:val="center"/>
            <w:hideMark/>
          </w:tcPr>
          <w:p w14:paraId="71FFEE03" w14:textId="77777777" w:rsidR="00000000" w:rsidRDefault="00A173A8">
            <w:pPr>
              <w:spacing w:after="100"/>
              <w:rPr>
                <w:rFonts w:eastAsia="Times New Roman"/>
                <w:sz w:val="20"/>
                <w:szCs w:val="20"/>
              </w:rPr>
            </w:pPr>
          </w:p>
        </w:tc>
        <w:tc>
          <w:tcPr>
            <w:tcW w:w="0" w:type="auto"/>
            <w:gridSpan w:val="3"/>
            <w:vAlign w:val="center"/>
            <w:hideMark/>
          </w:tcPr>
          <w:p w14:paraId="025AE6AC" w14:textId="77777777" w:rsidR="00000000" w:rsidRDefault="00A173A8">
            <w:pPr>
              <w:spacing w:after="100"/>
              <w:rPr>
                <w:rFonts w:eastAsia="Times New Roman"/>
                <w:sz w:val="20"/>
                <w:szCs w:val="20"/>
              </w:rPr>
            </w:pPr>
          </w:p>
        </w:tc>
      </w:tr>
      <w:tr w:rsidR="00000000" w14:paraId="43299D96" w14:textId="77777777">
        <w:trPr>
          <w:divId w:val="1280793884"/>
        </w:trPr>
        <w:tc>
          <w:tcPr>
            <w:tcW w:w="0" w:type="auto"/>
            <w:gridSpan w:val="3"/>
            <w:shd w:val="clear" w:color="auto" w:fill="FFFFFF"/>
            <w:tcMar>
              <w:top w:w="30" w:type="dxa"/>
              <w:left w:w="20" w:type="dxa"/>
              <w:bottom w:w="30" w:type="dxa"/>
              <w:right w:w="20" w:type="dxa"/>
            </w:tcMar>
            <w:vAlign w:val="center"/>
            <w:hideMark/>
          </w:tcPr>
          <w:p w14:paraId="3FC69D97" w14:textId="77777777" w:rsidR="00000000" w:rsidRDefault="00A173A8">
            <w:pPr>
              <w:spacing w:after="100"/>
              <w:rPr>
                <w:rFonts w:eastAsia="Times New Roman"/>
              </w:rPr>
            </w:pPr>
            <w:r>
              <w:rPr>
                <w:rFonts w:eastAsia="Times New Roman"/>
                <w:color w:val="000000"/>
                <w:sz w:val="20"/>
                <w:szCs w:val="20"/>
              </w:rPr>
              <w:t>Interest-earning assets:</w:t>
            </w:r>
          </w:p>
        </w:tc>
        <w:tc>
          <w:tcPr>
            <w:tcW w:w="0" w:type="auto"/>
            <w:gridSpan w:val="3"/>
            <w:shd w:val="clear" w:color="auto" w:fill="FFFFFF"/>
            <w:tcMar>
              <w:top w:w="0" w:type="dxa"/>
              <w:left w:w="20" w:type="dxa"/>
              <w:bottom w:w="0" w:type="dxa"/>
              <w:right w:w="20" w:type="dxa"/>
            </w:tcMar>
            <w:vAlign w:val="center"/>
            <w:hideMark/>
          </w:tcPr>
          <w:p w14:paraId="4198820C"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1D82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8F440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31F99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41EEE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76D8D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6A013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BE0CB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FA07D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0AC02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99EB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CA7519" w14:textId="77777777" w:rsidR="00000000" w:rsidRDefault="00A173A8">
            <w:pPr>
              <w:spacing w:after="100"/>
              <w:rPr>
                <w:rFonts w:eastAsia="Times New Roman"/>
                <w:sz w:val="20"/>
                <w:szCs w:val="20"/>
              </w:rPr>
            </w:pPr>
          </w:p>
        </w:tc>
        <w:tc>
          <w:tcPr>
            <w:tcW w:w="0" w:type="auto"/>
            <w:vAlign w:val="center"/>
            <w:hideMark/>
          </w:tcPr>
          <w:p w14:paraId="5FFB16C6" w14:textId="77777777" w:rsidR="00000000" w:rsidRDefault="00A173A8">
            <w:pPr>
              <w:spacing w:after="100"/>
              <w:rPr>
                <w:rFonts w:eastAsia="Times New Roman"/>
                <w:sz w:val="20"/>
                <w:szCs w:val="20"/>
              </w:rPr>
            </w:pPr>
          </w:p>
        </w:tc>
        <w:tc>
          <w:tcPr>
            <w:tcW w:w="0" w:type="auto"/>
            <w:vAlign w:val="center"/>
            <w:hideMark/>
          </w:tcPr>
          <w:p w14:paraId="3EA589D7" w14:textId="77777777" w:rsidR="00000000" w:rsidRDefault="00A173A8">
            <w:pPr>
              <w:spacing w:after="100"/>
              <w:rPr>
                <w:rFonts w:eastAsia="Times New Roman"/>
                <w:sz w:val="20"/>
                <w:szCs w:val="20"/>
              </w:rPr>
            </w:pPr>
          </w:p>
        </w:tc>
        <w:tc>
          <w:tcPr>
            <w:tcW w:w="0" w:type="auto"/>
            <w:gridSpan w:val="3"/>
            <w:vAlign w:val="center"/>
            <w:hideMark/>
          </w:tcPr>
          <w:p w14:paraId="6FA5C3C3" w14:textId="77777777" w:rsidR="00000000" w:rsidRDefault="00A173A8">
            <w:pPr>
              <w:spacing w:after="100"/>
              <w:rPr>
                <w:rFonts w:eastAsia="Times New Roman"/>
                <w:sz w:val="20"/>
                <w:szCs w:val="20"/>
              </w:rPr>
            </w:pPr>
          </w:p>
        </w:tc>
        <w:tc>
          <w:tcPr>
            <w:tcW w:w="0" w:type="auto"/>
            <w:gridSpan w:val="3"/>
            <w:vAlign w:val="center"/>
            <w:hideMark/>
          </w:tcPr>
          <w:p w14:paraId="4553F4B1" w14:textId="77777777" w:rsidR="00000000" w:rsidRDefault="00A173A8">
            <w:pPr>
              <w:spacing w:after="100"/>
              <w:rPr>
                <w:rFonts w:eastAsia="Times New Roman"/>
                <w:sz w:val="20"/>
                <w:szCs w:val="20"/>
              </w:rPr>
            </w:pPr>
          </w:p>
        </w:tc>
        <w:tc>
          <w:tcPr>
            <w:tcW w:w="0" w:type="auto"/>
            <w:gridSpan w:val="3"/>
            <w:vAlign w:val="center"/>
            <w:hideMark/>
          </w:tcPr>
          <w:p w14:paraId="40DF1706" w14:textId="77777777" w:rsidR="00000000" w:rsidRDefault="00A173A8">
            <w:pPr>
              <w:spacing w:after="100"/>
              <w:rPr>
                <w:rFonts w:eastAsia="Times New Roman"/>
                <w:sz w:val="20"/>
                <w:szCs w:val="20"/>
              </w:rPr>
            </w:pPr>
          </w:p>
        </w:tc>
        <w:tc>
          <w:tcPr>
            <w:tcW w:w="0" w:type="auto"/>
            <w:gridSpan w:val="3"/>
            <w:vAlign w:val="center"/>
            <w:hideMark/>
          </w:tcPr>
          <w:p w14:paraId="49830A29" w14:textId="77777777" w:rsidR="00000000" w:rsidRDefault="00A173A8">
            <w:pPr>
              <w:spacing w:after="100"/>
              <w:rPr>
                <w:rFonts w:eastAsia="Times New Roman"/>
                <w:sz w:val="20"/>
                <w:szCs w:val="20"/>
              </w:rPr>
            </w:pPr>
          </w:p>
        </w:tc>
      </w:tr>
      <w:tr w:rsidR="00000000" w14:paraId="62ECC5F0" w14:textId="77777777">
        <w:trPr>
          <w:divId w:val="1280793884"/>
        </w:trPr>
        <w:tc>
          <w:tcPr>
            <w:tcW w:w="0" w:type="auto"/>
            <w:gridSpan w:val="3"/>
            <w:shd w:val="clear" w:color="auto" w:fill="CCEEFF"/>
            <w:tcMar>
              <w:top w:w="30" w:type="dxa"/>
              <w:left w:w="20" w:type="dxa"/>
              <w:bottom w:w="30" w:type="dxa"/>
              <w:right w:w="20" w:type="dxa"/>
            </w:tcMar>
            <w:vAlign w:val="center"/>
            <w:hideMark/>
          </w:tcPr>
          <w:p w14:paraId="2E8F6367" w14:textId="77777777" w:rsidR="00000000" w:rsidRDefault="00A173A8">
            <w:pPr>
              <w:spacing w:after="100"/>
              <w:divId w:val="488709843"/>
              <w:rPr>
                <w:rFonts w:eastAsia="Times New Roman"/>
              </w:rPr>
            </w:pPr>
            <w:r>
              <w:rPr>
                <w:rFonts w:eastAsia="Times New Roman"/>
                <w:color w:val="000000"/>
                <w:sz w:val="20"/>
                <w:szCs w:val="20"/>
              </w:rPr>
              <w:t>Loans</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DE52D13"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FF16C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18D6A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F0D90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C3D3F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A86BF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42175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86BBE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E254A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D70B3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D6612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59C7AC" w14:textId="77777777" w:rsidR="00000000" w:rsidRDefault="00A173A8">
            <w:pPr>
              <w:spacing w:after="100"/>
              <w:rPr>
                <w:rFonts w:eastAsia="Times New Roman"/>
                <w:sz w:val="20"/>
                <w:szCs w:val="20"/>
              </w:rPr>
            </w:pPr>
          </w:p>
        </w:tc>
        <w:tc>
          <w:tcPr>
            <w:tcW w:w="0" w:type="auto"/>
            <w:vAlign w:val="center"/>
            <w:hideMark/>
          </w:tcPr>
          <w:p w14:paraId="744DD54B" w14:textId="77777777" w:rsidR="00000000" w:rsidRDefault="00A173A8">
            <w:pPr>
              <w:spacing w:after="100"/>
              <w:rPr>
                <w:rFonts w:eastAsia="Times New Roman"/>
                <w:sz w:val="20"/>
                <w:szCs w:val="20"/>
              </w:rPr>
            </w:pPr>
          </w:p>
        </w:tc>
        <w:tc>
          <w:tcPr>
            <w:tcW w:w="0" w:type="auto"/>
            <w:vAlign w:val="center"/>
            <w:hideMark/>
          </w:tcPr>
          <w:p w14:paraId="68FC86D8" w14:textId="77777777" w:rsidR="00000000" w:rsidRDefault="00A173A8">
            <w:pPr>
              <w:spacing w:after="100"/>
              <w:rPr>
                <w:rFonts w:eastAsia="Times New Roman"/>
                <w:sz w:val="20"/>
                <w:szCs w:val="20"/>
              </w:rPr>
            </w:pPr>
          </w:p>
        </w:tc>
        <w:tc>
          <w:tcPr>
            <w:tcW w:w="0" w:type="auto"/>
            <w:gridSpan w:val="3"/>
            <w:vAlign w:val="center"/>
            <w:hideMark/>
          </w:tcPr>
          <w:p w14:paraId="3ACDFC30" w14:textId="77777777" w:rsidR="00000000" w:rsidRDefault="00A173A8">
            <w:pPr>
              <w:spacing w:after="100"/>
              <w:rPr>
                <w:rFonts w:eastAsia="Times New Roman"/>
                <w:sz w:val="20"/>
                <w:szCs w:val="20"/>
              </w:rPr>
            </w:pPr>
          </w:p>
        </w:tc>
        <w:tc>
          <w:tcPr>
            <w:tcW w:w="0" w:type="auto"/>
            <w:gridSpan w:val="3"/>
            <w:vAlign w:val="center"/>
            <w:hideMark/>
          </w:tcPr>
          <w:p w14:paraId="0B50909D" w14:textId="77777777" w:rsidR="00000000" w:rsidRDefault="00A173A8">
            <w:pPr>
              <w:spacing w:after="100"/>
              <w:rPr>
                <w:rFonts w:eastAsia="Times New Roman"/>
                <w:sz w:val="20"/>
                <w:szCs w:val="20"/>
              </w:rPr>
            </w:pPr>
          </w:p>
        </w:tc>
        <w:tc>
          <w:tcPr>
            <w:tcW w:w="0" w:type="auto"/>
            <w:gridSpan w:val="3"/>
            <w:vAlign w:val="center"/>
            <w:hideMark/>
          </w:tcPr>
          <w:p w14:paraId="2CC87BFA" w14:textId="77777777" w:rsidR="00000000" w:rsidRDefault="00A173A8">
            <w:pPr>
              <w:spacing w:after="100"/>
              <w:rPr>
                <w:rFonts w:eastAsia="Times New Roman"/>
                <w:sz w:val="20"/>
                <w:szCs w:val="20"/>
              </w:rPr>
            </w:pPr>
          </w:p>
        </w:tc>
        <w:tc>
          <w:tcPr>
            <w:tcW w:w="0" w:type="auto"/>
            <w:gridSpan w:val="3"/>
            <w:vAlign w:val="center"/>
            <w:hideMark/>
          </w:tcPr>
          <w:p w14:paraId="2248EE5A" w14:textId="77777777" w:rsidR="00000000" w:rsidRDefault="00A173A8">
            <w:pPr>
              <w:spacing w:after="100"/>
              <w:rPr>
                <w:rFonts w:eastAsia="Times New Roman"/>
                <w:sz w:val="20"/>
                <w:szCs w:val="20"/>
              </w:rPr>
            </w:pPr>
          </w:p>
        </w:tc>
      </w:tr>
      <w:tr w:rsidR="00000000" w14:paraId="73267C77" w14:textId="77777777">
        <w:trPr>
          <w:divId w:val="1280793884"/>
        </w:trPr>
        <w:tc>
          <w:tcPr>
            <w:tcW w:w="0" w:type="auto"/>
            <w:gridSpan w:val="3"/>
            <w:shd w:val="clear" w:color="auto" w:fill="FFFFFF"/>
            <w:tcMar>
              <w:top w:w="30" w:type="dxa"/>
              <w:left w:w="245" w:type="dxa"/>
              <w:bottom w:w="30" w:type="dxa"/>
              <w:right w:w="20" w:type="dxa"/>
            </w:tcMar>
            <w:vAlign w:val="center"/>
            <w:hideMark/>
          </w:tcPr>
          <w:p w14:paraId="307280D3" w14:textId="77777777" w:rsidR="00000000" w:rsidRDefault="00A173A8">
            <w:pPr>
              <w:spacing w:after="100"/>
              <w:rPr>
                <w:rFonts w:eastAsia="Times New Roman"/>
              </w:rPr>
            </w:pPr>
            <w:r>
              <w:rPr>
                <w:rFonts w:eastAsia="Times New Roman"/>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14:paraId="33C4E310"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347B06F"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10486114" w14:textId="77777777" w:rsidR="00000000" w:rsidRDefault="00A173A8">
            <w:pPr>
              <w:spacing w:after="100"/>
              <w:jc w:val="right"/>
              <w:rPr>
                <w:rFonts w:eastAsia="Times New Roman"/>
              </w:rPr>
            </w:pPr>
            <w:r>
              <w:rPr>
                <w:rFonts w:eastAsia="Times New Roman"/>
                <w:b/>
                <w:bCs/>
                <w:color w:val="000000"/>
                <w:sz w:val="20"/>
                <w:szCs w:val="20"/>
              </w:rPr>
              <w:t>115,835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C0EC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2D440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297CA69"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443D0060" w14:textId="77777777" w:rsidR="00000000" w:rsidRDefault="00A173A8">
            <w:pPr>
              <w:spacing w:after="100"/>
              <w:jc w:val="right"/>
              <w:rPr>
                <w:rFonts w:eastAsia="Times New Roman"/>
              </w:rPr>
            </w:pPr>
            <w:r>
              <w:rPr>
                <w:rFonts w:eastAsia="Times New Roman"/>
                <w:b/>
                <w:bCs/>
                <w:color w:val="000000"/>
                <w:sz w:val="20"/>
                <w:szCs w:val="20"/>
              </w:rPr>
              <w:t>4,413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34441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D815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787445" w14:textId="77777777" w:rsidR="00000000" w:rsidRDefault="00A173A8">
            <w:pPr>
              <w:spacing w:after="100"/>
              <w:jc w:val="right"/>
              <w:rPr>
                <w:rFonts w:eastAsia="Times New Roman"/>
              </w:rPr>
            </w:pPr>
            <w:r>
              <w:rPr>
                <w:rFonts w:eastAsia="Times New Roman"/>
                <w:b/>
                <w:bCs/>
                <w:color w:val="000000"/>
                <w:sz w:val="20"/>
                <w:szCs w:val="20"/>
              </w:rPr>
              <w:t>15.24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51170B4"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91D89F9"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D42F478"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7CA95F5B" w14:textId="77777777" w:rsidR="00000000" w:rsidRDefault="00A173A8">
            <w:pPr>
              <w:spacing w:after="100"/>
              <w:jc w:val="right"/>
              <w:rPr>
                <w:rFonts w:eastAsia="Times New Roman"/>
              </w:rPr>
            </w:pPr>
            <w:r>
              <w:rPr>
                <w:rFonts w:eastAsia="Times New Roman"/>
                <w:color w:val="000000"/>
                <w:sz w:val="20"/>
                <w:szCs w:val="20"/>
              </w:rPr>
              <w:t>101,642 </w:t>
            </w:r>
          </w:p>
        </w:tc>
        <w:tc>
          <w:tcPr>
            <w:tcW w:w="0" w:type="auto"/>
            <w:shd w:val="clear" w:color="auto" w:fill="FFFFFF"/>
            <w:tcMar>
              <w:top w:w="30" w:type="dxa"/>
              <w:left w:w="0" w:type="dxa"/>
              <w:bottom w:w="30" w:type="dxa"/>
              <w:right w:w="20" w:type="dxa"/>
            </w:tcMar>
            <w:vAlign w:val="center"/>
            <w:hideMark/>
          </w:tcPr>
          <w:p w14:paraId="08BC160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4E63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B210BF2"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DD42AB1" w14:textId="77777777" w:rsidR="00000000" w:rsidRDefault="00A173A8">
            <w:pPr>
              <w:spacing w:after="100"/>
              <w:jc w:val="right"/>
              <w:rPr>
                <w:rFonts w:eastAsia="Times New Roman"/>
              </w:rPr>
            </w:pPr>
            <w:r>
              <w:rPr>
                <w:rFonts w:eastAsia="Times New Roman"/>
                <w:color w:val="000000"/>
                <w:sz w:val="20"/>
                <w:szCs w:val="20"/>
              </w:rPr>
              <w:t>3,568 </w:t>
            </w:r>
          </w:p>
        </w:tc>
        <w:tc>
          <w:tcPr>
            <w:tcW w:w="0" w:type="auto"/>
            <w:shd w:val="clear" w:color="auto" w:fill="FFFFFF"/>
            <w:tcMar>
              <w:top w:w="30" w:type="dxa"/>
              <w:left w:w="0" w:type="dxa"/>
              <w:bottom w:w="30" w:type="dxa"/>
              <w:right w:w="20" w:type="dxa"/>
            </w:tcMar>
            <w:vAlign w:val="center"/>
            <w:hideMark/>
          </w:tcPr>
          <w:p w14:paraId="0F7691C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46CF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9442F9" w14:textId="77777777" w:rsidR="00000000" w:rsidRDefault="00A173A8">
            <w:pPr>
              <w:spacing w:after="100"/>
              <w:jc w:val="right"/>
              <w:rPr>
                <w:rFonts w:eastAsia="Times New Roman"/>
              </w:rPr>
            </w:pPr>
            <w:r>
              <w:rPr>
                <w:rFonts w:eastAsia="Times New Roman"/>
                <w:color w:val="000000"/>
                <w:sz w:val="20"/>
                <w:szCs w:val="20"/>
              </w:rPr>
              <w:t>14.04 </w:t>
            </w:r>
          </w:p>
        </w:tc>
        <w:tc>
          <w:tcPr>
            <w:tcW w:w="0" w:type="auto"/>
            <w:shd w:val="clear" w:color="auto" w:fill="FFFFFF"/>
            <w:tcMar>
              <w:top w:w="30" w:type="dxa"/>
              <w:left w:w="0" w:type="dxa"/>
              <w:bottom w:w="30" w:type="dxa"/>
              <w:right w:w="20" w:type="dxa"/>
            </w:tcMar>
            <w:vAlign w:val="center"/>
            <w:hideMark/>
          </w:tcPr>
          <w:p w14:paraId="56DA3A19" w14:textId="77777777" w:rsidR="00000000" w:rsidRDefault="00A173A8">
            <w:pPr>
              <w:spacing w:after="100"/>
              <w:rPr>
                <w:rFonts w:eastAsia="Times New Roman"/>
              </w:rPr>
            </w:pPr>
            <w:r>
              <w:rPr>
                <w:rFonts w:eastAsia="Times New Roman"/>
                <w:color w:val="000000"/>
                <w:sz w:val="20"/>
                <w:szCs w:val="20"/>
              </w:rPr>
              <w:t>%</w:t>
            </w:r>
          </w:p>
        </w:tc>
        <w:tc>
          <w:tcPr>
            <w:tcW w:w="0" w:type="auto"/>
            <w:vAlign w:val="center"/>
            <w:hideMark/>
          </w:tcPr>
          <w:p w14:paraId="0CF3C3A7" w14:textId="77777777" w:rsidR="00000000" w:rsidRDefault="00A173A8">
            <w:pPr>
              <w:spacing w:after="100"/>
              <w:rPr>
                <w:rFonts w:eastAsia="Times New Roman"/>
              </w:rPr>
            </w:pPr>
          </w:p>
        </w:tc>
        <w:tc>
          <w:tcPr>
            <w:tcW w:w="0" w:type="auto"/>
            <w:vAlign w:val="center"/>
            <w:hideMark/>
          </w:tcPr>
          <w:p w14:paraId="7EA586BA" w14:textId="77777777" w:rsidR="00000000" w:rsidRDefault="00A173A8">
            <w:pPr>
              <w:spacing w:after="100"/>
              <w:rPr>
                <w:rFonts w:eastAsia="Times New Roman"/>
                <w:sz w:val="20"/>
                <w:szCs w:val="20"/>
              </w:rPr>
            </w:pPr>
          </w:p>
        </w:tc>
        <w:tc>
          <w:tcPr>
            <w:tcW w:w="0" w:type="auto"/>
            <w:gridSpan w:val="3"/>
            <w:vAlign w:val="center"/>
            <w:hideMark/>
          </w:tcPr>
          <w:p w14:paraId="2F2E7C17" w14:textId="77777777" w:rsidR="00000000" w:rsidRDefault="00A173A8">
            <w:pPr>
              <w:spacing w:after="100"/>
              <w:rPr>
                <w:rFonts w:eastAsia="Times New Roman"/>
                <w:sz w:val="20"/>
                <w:szCs w:val="20"/>
              </w:rPr>
            </w:pPr>
          </w:p>
        </w:tc>
        <w:tc>
          <w:tcPr>
            <w:tcW w:w="0" w:type="auto"/>
            <w:gridSpan w:val="3"/>
            <w:vAlign w:val="center"/>
            <w:hideMark/>
          </w:tcPr>
          <w:p w14:paraId="255B5533" w14:textId="77777777" w:rsidR="00000000" w:rsidRDefault="00A173A8">
            <w:pPr>
              <w:spacing w:after="100"/>
              <w:rPr>
                <w:rFonts w:eastAsia="Times New Roman"/>
                <w:sz w:val="20"/>
                <w:szCs w:val="20"/>
              </w:rPr>
            </w:pPr>
          </w:p>
        </w:tc>
        <w:tc>
          <w:tcPr>
            <w:tcW w:w="0" w:type="auto"/>
            <w:gridSpan w:val="3"/>
            <w:vAlign w:val="center"/>
            <w:hideMark/>
          </w:tcPr>
          <w:p w14:paraId="3BE04D02" w14:textId="77777777" w:rsidR="00000000" w:rsidRDefault="00A173A8">
            <w:pPr>
              <w:spacing w:after="100"/>
              <w:rPr>
                <w:rFonts w:eastAsia="Times New Roman"/>
                <w:sz w:val="20"/>
                <w:szCs w:val="20"/>
              </w:rPr>
            </w:pPr>
          </w:p>
        </w:tc>
        <w:tc>
          <w:tcPr>
            <w:tcW w:w="0" w:type="auto"/>
            <w:gridSpan w:val="3"/>
            <w:vAlign w:val="center"/>
            <w:hideMark/>
          </w:tcPr>
          <w:p w14:paraId="26F72A82" w14:textId="77777777" w:rsidR="00000000" w:rsidRDefault="00A173A8">
            <w:pPr>
              <w:spacing w:after="100"/>
              <w:rPr>
                <w:rFonts w:eastAsia="Times New Roman"/>
                <w:sz w:val="20"/>
                <w:szCs w:val="20"/>
              </w:rPr>
            </w:pPr>
          </w:p>
        </w:tc>
      </w:tr>
      <w:tr w:rsidR="00000000" w14:paraId="2755C725" w14:textId="77777777">
        <w:trPr>
          <w:divId w:val="1280793884"/>
        </w:trPr>
        <w:tc>
          <w:tcPr>
            <w:tcW w:w="0" w:type="auto"/>
            <w:gridSpan w:val="3"/>
            <w:shd w:val="clear" w:color="auto" w:fill="CCEEFF"/>
            <w:tcMar>
              <w:top w:w="30" w:type="dxa"/>
              <w:left w:w="245" w:type="dxa"/>
              <w:bottom w:w="30" w:type="dxa"/>
              <w:right w:w="20" w:type="dxa"/>
            </w:tcMar>
            <w:vAlign w:val="center"/>
            <w:hideMark/>
          </w:tcPr>
          <w:p w14:paraId="2681C6C3" w14:textId="77777777" w:rsidR="00000000" w:rsidRDefault="00A173A8">
            <w:pPr>
              <w:spacing w:after="100"/>
              <w:rPr>
                <w:rFonts w:eastAsia="Times New Roman"/>
              </w:rPr>
            </w:pPr>
            <w:r>
              <w:rPr>
                <w:rFonts w:eastAsia="Times New Roman"/>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5BB2DF1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261ED1" w14:textId="77777777" w:rsidR="00000000" w:rsidRDefault="00A173A8">
            <w:pPr>
              <w:spacing w:after="100"/>
              <w:jc w:val="right"/>
              <w:rPr>
                <w:rFonts w:eastAsia="Times New Roman"/>
              </w:rPr>
            </w:pPr>
            <w:r>
              <w:rPr>
                <w:rFonts w:eastAsia="Times New Roman"/>
                <w:b/>
                <w:bCs/>
                <w:color w:val="000000"/>
                <w:sz w:val="20"/>
                <w:szCs w:val="20"/>
              </w:rPr>
              <w:t>81,096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9793C7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11D43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07D951" w14:textId="77777777" w:rsidR="00000000" w:rsidRDefault="00A173A8">
            <w:pPr>
              <w:spacing w:after="100"/>
              <w:jc w:val="right"/>
              <w:rPr>
                <w:rFonts w:eastAsia="Times New Roman"/>
              </w:rPr>
            </w:pPr>
            <w:r>
              <w:rPr>
                <w:rFonts w:eastAsia="Times New Roman"/>
                <w:b/>
                <w:bCs/>
                <w:color w:val="000000"/>
                <w:sz w:val="20"/>
                <w:szCs w:val="20"/>
              </w:rPr>
              <w:t>1,433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628B1E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D843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07277F" w14:textId="77777777" w:rsidR="00000000" w:rsidRDefault="00A173A8">
            <w:pPr>
              <w:spacing w:after="100"/>
              <w:jc w:val="right"/>
              <w:rPr>
                <w:rFonts w:eastAsia="Times New Roman"/>
              </w:rPr>
            </w:pPr>
            <w:r>
              <w:rPr>
                <w:rFonts w:eastAsia="Times New Roman"/>
                <w:b/>
                <w:bCs/>
                <w:color w:val="000000"/>
                <w:sz w:val="20"/>
                <w:szCs w:val="20"/>
              </w:rPr>
              <w:t>7.07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6831F5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5E4C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37A660" w14:textId="77777777" w:rsidR="00000000" w:rsidRDefault="00A173A8">
            <w:pPr>
              <w:spacing w:after="100"/>
              <w:jc w:val="right"/>
              <w:rPr>
                <w:rFonts w:eastAsia="Times New Roman"/>
              </w:rPr>
            </w:pPr>
            <w:r>
              <w:rPr>
                <w:rFonts w:eastAsia="Times New Roman"/>
                <w:color w:val="000000"/>
                <w:sz w:val="20"/>
                <w:szCs w:val="20"/>
              </w:rPr>
              <w:t>72,705 </w:t>
            </w:r>
          </w:p>
        </w:tc>
        <w:tc>
          <w:tcPr>
            <w:tcW w:w="0" w:type="auto"/>
            <w:shd w:val="clear" w:color="auto" w:fill="CCEEFF"/>
            <w:tcMar>
              <w:top w:w="30" w:type="dxa"/>
              <w:left w:w="0" w:type="dxa"/>
              <w:bottom w:w="30" w:type="dxa"/>
              <w:right w:w="20" w:type="dxa"/>
            </w:tcMar>
            <w:vAlign w:val="center"/>
            <w:hideMark/>
          </w:tcPr>
          <w:p w14:paraId="3AF68E2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89A3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009888" w14:textId="77777777" w:rsidR="00000000" w:rsidRDefault="00A173A8">
            <w:pPr>
              <w:spacing w:after="100"/>
              <w:jc w:val="right"/>
              <w:rPr>
                <w:rFonts w:eastAsia="Times New Roman"/>
              </w:rPr>
            </w:pPr>
            <w:r>
              <w:rPr>
                <w:rFonts w:eastAsia="Times New Roman"/>
                <w:color w:val="000000"/>
                <w:sz w:val="20"/>
                <w:szCs w:val="20"/>
              </w:rPr>
              <w:t>1,451 </w:t>
            </w:r>
          </w:p>
        </w:tc>
        <w:tc>
          <w:tcPr>
            <w:tcW w:w="0" w:type="auto"/>
            <w:shd w:val="clear" w:color="auto" w:fill="CCEEFF"/>
            <w:tcMar>
              <w:top w:w="30" w:type="dxa"/>
              <w:left w:w="0" w:type="dxa"/>
              <w:bottom w:w="30" w:type="dxa"/>
              <w:right w:w="20" w:type="dxa"/>
            </w:tcMar>
            <w:vAlign w:val="center"/>
            <w:hideMark/>
          </w:tcPr>
          <w:p w14:paraId="19E8528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1E21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3ACA1E" w14:textId="77777777" w:rsidR="00000000" w:rsidRDefault="00A173A8">
            <w:pPr>
              <w:spacing w:after="100"/>
              <w:jc w:val="right"/>
              <w:rPr>
                <w:rFonts w:eastAsia="Times New Roman"/>
              </w:rPr>
            </w:pPr>
            <w:r>
              <w:rPr>
                <w:rFonts w:eastAsia="Times New Roman"/>
                <w:color w:val="000000"/>
                <w:sz w:val="20"/>
                <w:szCs w:val="20"/>
              </w:rPr>
              <w:t>7.99 </w:t>
            </w:r>
          </w:p>
        </w:tc>
        <w:tc>
          <w:tcPr>
            <w:tcW w:w="0" w:type="auto"/>
            <w:shd w:val="clear" w:color="auto" w:fill="CCEEFF"/>
            <w:tcMar>
              <w:top w:w="30" w:type="dxa"/>
              <w:left w:w="0" w:type="dxa"/>
              <w:bottom w:w="30" w:type="dxa"/>
              <w:right w:w="20" w:type="dxa"/>
            </w:tcMar>
            <w:vAlign w:val="center"/>
            <w:hideMark/>
          </w:tcPr>
          <w:p w14:paraId="4168CB39" w14:textId="77777777" w:rsidR="00000000" w:rsidRDefault="00A173A8">
            <w:pPr>
              <w:spacing w:after="100"/>
              <w:jc w:val="right"/>
              <w:rPr>
                <w:rFonts w:eastAsia="Times New Roman"/>
              </w:rPr>
            </w:pPr>
          </w:p>
        </w:tc>
        <w:tc>
          <w:tcPr>
            <w:tcW w:w="0" w:type="auto"/>
            <w:vAlign w:val="center"/>
            <w:hideMark/>
          </w:tcPr>
          <w:p w14:paraId="6C492558" w14:textId="77777777" w:rsidR="00000000" w:rsidRDefault="00A173A8">
            <w:pPr>
              <w:spacing w:after="100"/>
              <w:jc w:val="right"/>
              <w:rPr>
                <w:rFonts w:eastAsia="Times New Roman"/>
                <w:sz w:val="20"/>
                <w:szCs w:val="20"/>
              </w:rPr>
            </w:pPr>
          </w:p>
        </w:tc>
        <w:tc>
          <w:tcPr>
            <w:tcW w:w="0" w:type="auto"/>
            <w:vAlign w:val="center"/>
            <w:hideMark/>
          </w:tcPr>
          <w:p w14:paraId="4D2A806D" w14:textId="77777777" w:rsidR="00000000" w:rsidRDefault="00A173A8">
            <w:pPr>
              <w:spacing w:after="100"/>
              <w:rPr>
                <w:rFonts w:eastAsia="Times New Roman"/>
                <w:sz w:val="20"/>
                <w:szCs w:val="20"/>
              </w:rPr>
            </w:pPr>
          </w:p>
        </w:tc>
        <w:tc>
          <w:tcPr>
            <w:tcW w:w="0" w:type="auto"/>
            <w:gridSpan w:val="3"/>
            <w:vAlign w:val="center"/>
            <w:hideMark/>
          </w:tcPr>
          <w:p w14:paraId="728DBF52" w14:textId="77777777" w:rsidR="00000000" w:rsidRDefault="00A173A8">
            <w:pPr>
              <w:spacing w:after="100"/>
              <w:rPr>
                <w:rFonts w:eastAsia="Times New Roman"/>
                <w:sz w:val="20"/>
                <w:szCs w:val="20"/>
              </w:rPr>
            </w:pPr>
          </w:p>
        </w:tc>
        <w:tc>
          <w:tcPr>
            <w:tcW w:w="0" w:type="auto"/>
            <w:gridSpan w:val="3"/>
            <w:vAlign w:val="center"/>
            <w:hideMark/>
          </w:tcPr>
          <w:p w14:paraId="42F191F1" w14:textId="77777777" w:rsidR="00000000" w:rsidRDefault="00A173A8">
            <w:pPr>
              <w:spacing w:after="100"/>
              <w:rPr>
                <w:rFonts w:eastAsia="Times New Roman"/>
                <w:sz w:val="20"/>
                <w:szCs w:val="20"/>
              </w:rPr>
            </w:pPr>
          </w:p>
        </w:tc>
        <w:tc>
          <w:tcPr>
            <w:tcW w:w="0" w:type="auto"/>
            <w:gridSpan w:val="3"/>
            <w:vAlign w:val="center"/>
            <w:hideMark/>
          </w:tcPr>
          <w:p w14:paraId="4878ACC8" w14:textId="77777777" w:rsidR="00000000" w:rsidRDefault="00A173A8">
            <w:pPr>
              <w:spacing w:after="100"/>
              <w:rPr>
                <w:rFonts w:eastAsia="Times New Roman"/>
                <w:sz w:val="20"/>
                <w:szCs w:val="20"/>
              </w:rPr>
            </w:pPr>
          </w:p>
        </w:tc>
        <w:tc>
          <w:tcPr>
            <w:tcW w:w="0" w:type="auto"/>
            <w:gridSpan w:val="3"/>
            <w:vAlign w:val="center"/>
            <w:hideMark/>
          </w:tcPr>
          <w:p w14:paraId="58895384" w14:textId="77777777" w:rsidR="00000000" w:rsidRDefault="00A173A8">
            <w:pPr>
              <w:spacing w:after="100"/>
              <w:rPr>
                <w:rFonts w:eastAsia="Times New Roman"/>
                <w:sz w:val="20"/>
                <w:szCs w:val="20"/>
              </w:rPr>
            </w:pPr>
          </w:p>
        </w:tc>
      </w:tr>
      <w:tr w:rsidR="00000000" w14:paraId="24A89BD4" w14:textId="77777777">
        <w:trPr>
          <w:divId w:val="1280793884"/>
        </w:trPr>
        <w:tc>
          <w:tcPr>
            <w:tcW w:w="0" w:type="auto"/>
            <w:gridSpan w:val="3"/>
            <w:shd w:val="clear" w:color="auto" w:fill="FFFFFF"/>
            <w:tcMar>
              <w:top w:w="30" w:type="dxa"/>
              <w:left w:w="20" w:type="dxa"/>
              <w:bottom w:w="30" w:type="dxa"/>
              <w:right w:w="20" w:type="dxa"/>
            </w:tcMar>
            <w:vAlign w:val="center"/>
            <w:hideMark/>
          </w:tcPr>
          <w:p w14:paraId="20C5A844" w14:textId="77777777" w:rsidR="00000000" w:rsidRDefault="00A173A8">
            <w:pPr>
              <w:spacing w:after="100"/>
              <w:divId w:val="557715170"/>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9D4F9A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A7ADB1A" w14:textId="77777777" w:rsidR="00000000" w:rsidRDefault="00A173A8">
            <w:pPr>
              <w:spacing w:after="100"/>
              <w:jc w:val="right"/>
              <w:rPr>
                <w:rFonts w:eastAsia="Times New Roman"/>
              </w:rPr>
            </w:pPr>
            <w:r>
              <w:rPr>
                <w:rFonts w:eastAsia="Times New Roman"/>
                <w:b/>
                <w:bCs/>
                <w:color w:val="000000"/>
                <w:sz w:val="20"/>
                <w:szCs w:val="20"/>
              </w:rPr>
              <w:t>90,203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634675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C2D0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0710AC" w14:textId="77777777" w:rsidR="00000000" w:rsidRDefault="00A173A8">
            <w:pPr>
              <w:spacing w:after="100"/>
              <w:jc w:val="right"/>
              <w:rPr>
                <w:rFonts w:eastAsia="Times New Roman"/>
              </w:rPr>
            </w:pPr>
            <w:r>
              <w:rPr>
                <w:rFonts w:eastAsia="Times New Roman"/>
                <w:b/>
                <w:bCs/>
                <w:color w:val="000000"/>
                <w:sz w:val="20"/>
                <w:szCs w:val="20"/>
              </w:rPr>
              <w:t>716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2176EC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0948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4F5558" w14:textId="77777777" w:rsidR="00000000" w:rsidRDefault="00A173A8">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389C7F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C9350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03653E" w14:textId="77777777" w:rsidR="00000000" w:rsidRDefault="00A173A8">
            <w:pPr>
              <w:spacing w:after="100"/>
              <w:jc w:val="right"/>
              <w:rPr>
                <w:rFonts w:eastAsia="Times New Roman"/>
              </w:rPr>
            </w:pPr>
            <w:r>
              <w:rPr>
                <w:rFonts w:eastAsia="Times New Roman"/>
                <w:color w:val="000000"/>
                <w:sz w:val="20"/>
                <w:szCs w:val="20"/>
              </w:rPr>
              <w:t>74,933 </w:t>
            </w:r>
          </w:p>
        </w:tc>
        <w:tc>
          <w:tcPr>
            <w:tcW w:w="0" w:type="auto"/>
            <w:shd w:val="clear" w:color="auto" w:fill="FFFFFF"/>
            <w:tcMar>
              <w:top w:w="30" w:type="dxa"/>
              <w:left w:w="0" w:type="dxa"/>
              <w:bottom w:w="30" w:type="dxa"/>
              <w:right w:w="20" w:type="dxa"/>
            </w:tcMar>
            <w:vAlign w:val="center"/>
            <w:hideMark/>
          </w:tcPr>
          <w:p w14:paraId="464FDB5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9F181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6CD325" w14:textId="77777777" w:rsidR="00000000" w:rsidRDefault="00A173A8">
            <w:pPr>
              <w:spacing w:after="100"/>
              <w:jc w:val="right"/>
              <w:rPr>
                <w:rFonts w:eastAsia="Times New Roman"/>
              </w:rPr>
            </w:pPr>
            <w:r>
              <w:rPr>
                <w:rFonts w:eastAsia="Times New Roman"/>
                <w:color w:val="000000"/>
                <w:sz w:val="20"/>
                <w:szCs w:val="20"/>
              </w:rPr>
              <w:t>510 </w:t>
            </w:r>
          </w:p>
        </w:tc>
        <w:tc>
          <w:tcPr>
            <w:tcW w:w="0" w:type="auto"/>
            <w:shd w:val="clear" w:color="auto" w:fill="FFFFFF"/>
            <w:tcMar>
              <w:top w:w="30" w:type="dxa"/>
              <w:left w:w="0" w:type="dxa"/>
              <w:bottom w:w="30" w:type="dxa"/>
              <w:right w:w="20" w:type="dxa"/>
            </w:tcMar>
            <w:vAlign w:val="center"/>
            <w:hideMark/>
          </w:tcPr>
          <w:p w14:paraId="53ED1EA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D43A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DA5CB3" w14:textId="77777777" w:rsidR="00000000" w:rsidRDefault="00A173A8">
            <w:pPr>
              <w:spacing w:after="100"/>
              <w:jc w:val="right"/>
              <w:rPr>
                <w:rFonts w:eastAsia="Times New Roman"/>
              </w:rPr>
            </w:pPr>
            <w:r>
              <w:rPr>
                <w:rFonts w:eastAsia="Times New Roman"/>
                <w:color w:val="000000"/>
                <w:sz w:val="20"/>
                <w:szCs w:val="20"/>
              </w:rPr>
              <w:t>2.72 </w:t>
            </w:r>
          </w:p>
        </w:tc>
        <w:tc>
          <w:tcPr>
            <w:tcW w:w="0" w:type="auto"/>
            <w:shd w:val="clear" w:color="auto" w:fill="FFFFFF"/>
            <w:tcMar>
              <w:top w:w="30" w:type="dxa"/>
              <w:left w:w="0" w:type="dxa"/>
              <w:bottom w:w="30" w:type="dxa"/>
              <w:right w:w="20" w:type="dxa"/>
            </w:tcMar>
            <w:vAlign w:val="center"/>
            <w:hideMark/>
          </w:tcPr>
          <w:p w14:paraId="29232DD9" w14:textId="77777777" w:rsidR="00000000" w:rsidRDefault="00A173A8">
            <w:pPr>
              <w:spacing w:after="100"/>
              <w:jc w:val="right"/>
              <w:rPr>
                <w:rFonts w:eastAsia="Times New Roman"/>
              </w:rPr>
            </w:pPr>
          </w:p>
        </w:tc>
        <w:tc>
          <w:tcPr>
            <w:tcW w:w="0" w:type="auto"/>
            <w:vAlign w:val="center"/>
            <w:hideMark/>
          </w:tcPr>
          <w:p w14:paraId="45A2AA1C" w14:textId="77777777" w:rsidR="00000000" w:rsidRDefault="00A173A8">
            <w:pPr>
              <w:spacing w:after="100"/>
              <w:jc w:val="right"/>
              <w:rPr>
                <w:rFonts w:eastAsia="Times New Roman"/>
                <w:sz w:val="20"/>
                <w:szCs w:val="20"/>
              </w:rPr>
            </w:pPr>
          </w:p>
        </w:tc>
        <w:tc>
          <w:tcPr>
            <w:tcW w:w="0" w:type="auto"/>
            <w:vAlign w:val="center"/>
            <w:hideMark/>
          </w:tcPr>
          <w:p w14:paraId="0C64CA91" w14:textId="77777777" w:rsidR="00000000" w:rsidRDefault="00A173A8">
            <w:pPr>
              <w:spacing w:after="100"/>
              <w:rPr>
                <w:rFonts w:eastAsia="Times New Roman"/>
                <w:sz w:val="20"/>
                <w:szCs w:val="20"/>
              </w:rPr>
            </w:pPr>
          </w:p>
        </w:tc>
        <w:tc>
          <w:tcPr>
            <w:tcW w:w="0" w:type="auto"/>
            <w:gridSpan w:val="3"/>
            <w:vAlign w:val="center"/>
            <w:hideMark/>
          </w:tcPr>
          <w:p w14:paraId="11BBE0B7" w14:textId="77777777" w:rsidR="00000000" w:rsidRDefault="00A173A8">
            <w:pPr>
              <w:spacing w:after="100"/>
              <w:rPr>
                <w:rFonts w:eastAsia="Times New Roman"/>
                <w:sz w:val="20"/>
                <w:szCs w:val="20"/>
              </w:rPr>
            </w:pPr>
          </w:p>
        </w:tc>
        <w:tc>
          <w:tcPr>
            <w:tcW w:w="0" w:type="auto"/>
            <w:gridSpan w:val="3"/>
            <w:vAlign w:val="center"/>
            <w:hideMark/>
          </w:tcPr>
          <w:p w14:paraId="6FA87D42" w14:textId="77777777" w:rsidR="00000000" w:rsidRDefault="00A173A8">
            <w:pPr>
              <w:spacing w:after="100"/>
              <w:rPr>
                <w:rFonts w:eastAsia="Times New Roman"/>
                <w:sz w:val="20"/>
                <w:szCs w:val="20"/>
              </w:rPr>
            </w:pPr>
          </w:p>
        </w:tc>
        <w:tc>
          <w:tcPr>
            <w:tcW w:w="0" w:type="auto"/>
            <w:gridSpan w:val="3"/>
            <w:vAlign w:val="center"/>
            <w:hideMark/>
          </w:tcPr>
          <w:p w14:paraId="2DDA3055" w14:textId="77777777" w:rsidR="00000000" w:rsidRDefault="00A173A8">
            <w:pPr>
              <w:spacing w:after="100"/>
              <w:rPr>
                <w:rFonts w:eastAsia="Times New Roman"/>
                <w:sz w:val="20"/>
                <w:szCs w:val="20"/>
              </w:rPr>
            </w:pPr>
          </w:p>
        </w:tc>
        <w:tc>
          <w:tcPr>
            <w:tcW w:w="0" w:type="auto"/>
            <w:gridSpan w:val="3"/>
            <w:vAlign w:val="center"/>
            <w:hideMark/>
          </w:tcPr>
          <w:p w14:paraId="267D0153" w14:textId="77777777" w:rsidR="00000000" w:rsidRDefault="00A173A8">
            <w:pPr>
              <w:spacing w:after="100"/>
              <w:rPr>
                <w:rFonts w:eastAsia="Times New Roman"/>
                <w:sz w:val="20"/>
                <w:szCs w:val="20"/>
              </w:rPr>
            </w:pPr>
          </w:p>
        </w:tc>
      </w:tr>
      <w:tr w:rsidR="00000000" w14:paraId="4881F3AC" w14:textId="77777777">
        <w:trPr>
          <w:divId w:val="1280793884"/>
        </w:trPr>
        <w:tc>
          <w:tcPr>
            <w:tcW w:w="0" w:type="auto"/>
            <w:gridSpan w:val="3"/>
            <w:shd w:val="clear" w:color="auto" w:fill="CCEEFF"/>
            <w:tcMar>
              <w:top w:w="30" w:type="dxa"/>
              <w:left w:w="20" w:type="dxa"/>
              <w:bottom w:w="30" w:type="dxa"/>
              <w:right w:w="20" w:type="dxa"/>
            </w:tcMar>
            <w:vAlign w:val="center"/>
            <w:hideMark/>
          </w:tcPr>
          <w:p w14:paraId="736EE336" w14:textId="77777777" w:rsidR="00000000" w:rsidRDefault="00A173A8">
            <w:pPr>
              <w:spacing w:after="100"/>
              <w:divId w:val="303896097"/>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00F8E9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DE4059" w14:textId="77777777" w:rsidR="00000000" w:rsidRDefault="00A173A8">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C577C1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4032E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ECC83D" w14:textId="77777777" w:rsidR="00000000" w:rsidRDefault="00A173A8">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6CAB89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18169A"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927F00F"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C312852"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4E4A675"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2D2BA1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39A0E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DE9FA0" w14:textId="77777777" w:rsidR="00000000" w:rsidRDefault="00A173A8">
            <w:pPr>
              <w:spacing w:after="100"/>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center"/>
            <w:hideMark/>
          </w:tcPr>
          <w:p w14:paraId="119EA89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5D504"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70B9A41C"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1CD9C614" w14:textId="77777777" w:rsidR="00000000" w:rsidRDefault="00A173A8">
            <w:pPr>
              <w:spacing w:after="100"/>
              <w:jc w:val="right"/>
              <w:rPr>
                <w:rFonts w:eastAsia="Times New Roman"/>
              </w:rPr>
            </w:pPr>
          </w:p>
        </w:tc>
        <w:tc>
          <w:tcPr>
            <w:tcW w:w="0" w:type="auto"/>
            <w:vAlign w:val="center"/>
            <w:hideMark/>
          </w:tcPr>
          <w:p w14:paraId="6990A323" w14:textId="77777777" w:rsidR="00000000" w:rsidRDefault="00A173A8">
            <w:pPr>
              <w:spacing w:after="100"/>
              <w:rPr>
                <w:rFonts w:eastAsia="Times New Roman"/>
                <w:sz w:val="20"/>
                <w:szCs w:val="20"/>
              </w:rPr>
            </w:pPr>
          </w:p>
        </w:tc>
        <w:tc>
          <w:tcPr>
            <w:tcW w:w="0" w:type="auto"/>
            <w:gridSpan w:val="3"/>
            <w:vAlign w:val="center"/>
            <w:hideMark/>
          </w:tcPr>
          <w:p w14:paraId="6CCF668E" w14:textId="77777777" w:rsidR="00000000" w:rsidRDefault="00A173A8">
            <w:pPr>
              <w:spacing w:after="100"/>
              <w:rPr>
                <w:rFonts w:eastAsia="Times New Roman"/>
                <w:sz w:val="20"/>
                <w:szCs w:val="20"/>
              </w:rPr>
            </w:pPr>
          </w:p>
        </w:tc>
        <w:tc>
          <w:tcPr>
            <w:tcW w:w="0" w:type="auto"/>
            <w:gridSpan w:val="3"/>
            <w:vAlign w:val="center"/>
            <w:hideMark/>
          </w:tcPr>
          <w:p w14:paraId="6B9E448D" w14:textId="77777777" w:rsidR="00000000" w:rsidRDefault="00A173A8">
            <w:pPr>
              <w:spacing w:after="100"/>
              <w:rPr>
                <w:rFonts w:eastAsia="Times New Roman"/>
                <w:sz w:val="20"/>
                <w:szCs w:val="20"/>
              </w:rPr>
            </w:pPr>
          </w:p>
        </w:tc>
        <w:tc>
          <w:tcPr>
            <w:tcW w:w="0" w:type="auto"/>
            <w:gridSpan w:val="3"/>
            <w:vAlign w:val="center"/>
            <w:hideMark/>
          </w:tcPr>
          <w:p w14:paraId="31B8D5E0" w14:textId="77777777" w:rsidR="00000000" w:rsidRDefault="00A173A8">
            <w:pPr>
              <w:spacing w:after="100"/>
              <w:rPr>
                <w:rFonts w:eastAsia="Times New Roman"/>
                <w:sz w:val="20"/>
                <w:szCs w:val="20"/>
              </w:rPr>
            </w:pPr>
          </w:p>
        </w:tc>
        <w:tc>
          <w:tcPr>
            <w:tcW w:w="0" w:type="auto"/>
            <w:gridSpan w:val="3"/>
            <w:vAlign w:val="center"/>
            <w:hideMark/>
          </w:tcPr>
          <w:p w14:paraId="1AF1C792" w14:textId="77777777" w:rsidR="00000000" w:rsidRDefault="00A173A8">
            <w:pPr>
              <w:spacing w:after="100"/>
              <w:rPr>
                <w:rFonts w:eastAsia="Times New Roman"/>
                <w:sz w:val="20"/>
                <w:szCs w:val="20"/>
              </w:rPr>
            </w:pPr>
          </w:p>
        </w:tc>
      </w:tr>
      <w:tr w:rsidR="00000000" w14:paraId="653D4FC4" w14:textId="77777777">
        <w:trPr>
          <w:divId w:val="1280793884"/>
        </w:trPr>
        <w:tc>
          <w:tcPr>
            <w:tcW w:w="0" w:type="auto"/>
            <w:gridSpan w:val="3"/>
            <w:shd w:val="clear" w:color="auto" w:fill="FFFFFF"/>
            <w:tcMar>
              <w:top w:w="30" w:type="dxa"/>
              <w:left w:w="20" w:type="dxa"/>
              <w:bottom w:w="30" w:type="dxa"/>
              <w:right w:w="20" w:type="dxa"/>
            </w:tcMar>
            <w:vAlign w:val="center"/>
            <w:hideMark/>
          </w:tcPr>
          <w:p w14:paraId="3C6DD9D6" w14:textId="77777777" w:rsidR="00000000" w:rsidRDefault="00A173A8">
            <w:pPr>
              <w:spacing w:after="100"/>
              <w:rPr>
                <w:rFonts w:eastAsia="Times New Roman"/>
              </w:rPr>
            </w:pPr>
            <w:r>
              <w:rPr>
                <w:rFonts w:eastAsia="Times New Roman"/>
                <w:color w:val="000000"/>
                <w:sz w:val="20"/>
                <w:szCs w:val="20"/>
              </w:rPr>
              <w:t>Total loans, including loans held for sale</w:t>
            </w:r>
          </w:p>
        </w:tc>
        <w:tc>
          <w:tcPr>
            <w:tcW w:w="0" w:type="auto"/>
            <w:gridSpan w:val="3"/>
            <w:shd w:val="clear" w:color="auto" w:fill="FFFFFF"/>
            <w:tcMar>
              <w:top w:w="0" w:type="dxa"/>
              <w:left w:w="20" w:type="dxa"/>
              <w:bottom w:w="0" w:type="dxa"/>
              <w:right w:w="20" w:type="dxa"/>
            </w:tcMar>
            <w:vAlign w:val="center"/>
            <w:hideMark/>
          </w:tcPr>
          <w:p w14:paraId="5D4AC41A"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851FFBA" w14:textId="77777777" w:rsidR="00000000" w:rsidRDefault="00A173A8">
            <w:pPr>
              <w:spacing w:after="100"/>
              <w:jc w:val="right"/>
              <w:rPr>
                <w:rFonts w:eastAsia="Times New Roman"/>
              </w:rPr>
            </w:pPr>
            <w:r>
              <w:rPr>
                <w:rFonts w:eastAsia="Times New Roman"/>
                <w:b/>
                <w:bCs/>
                <w:color w:val="000000"/>
                <w:sz w:val="20"/>
                <w:szCs w:val="20"/>
              </w:rPr>
              <w:t>287,134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CC33B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9200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A7F05AF" w14:textId="77777777" w:rsidR="00000000" w:rsidRDefault="00A173A8">
            <w:pPr>
              <w:spacing w:after="100"/>
              <w:jc w:val="right"/>
              <w:rPr>
                <w:rFonts w:eastAsia="Times New Roman"/>
              </w:rPr>
            </w:pPr>
            <w:r>
              <w:rPr>
                <w:rFonts w:eastAsia="Times New Roman"/>
                <w:b/>
                <w:bCs/>
                <w:color w:val="000000"/>
                <w:sz w:val="20"/>
                <w:szCs w:val="20"/>
              </w:rPr>
              <w:t>6,605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609F3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12E0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E0B405" w14:textId="77777777" w:rsidR="00000000" w:rsidRDefault="00A173A8">
            <w:pPr>
              <w:spacing w:after="100"/>
              <w:jc w:val="right"/>
              <w:rPr>
                <w:rFonts w:eastAsia="Times New Roman"/>
              </w:rPr>
            </w:pPr>
            <w:r>
              <w:rPr>
                <w:rFonts w:eastAsia="Times New Roman"/>
                <w:b/>
                <w:bCs/>
                <w:color w:val="000000"/>
                <w:sz w:val="20"/>
                <w:szCs w:val="20"/>
              </w:rPr>
              <w:t>9.20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466CAA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85FC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2FF253E" w14:textId="77777777" w:rsidR="00000000" w:rsidRDefault="00A173A8">
            <w:pPr>
              <w:spacing w:after="100"/>
              <w:jc w:val="right"/>
              <w:rPr>
                <w:rFonts w:eastAsia="Times New Roman"/>
              </w:rPr>
            </w:pPr>
            <w:r>
              <w:rPr>
                <w:rFonts w:eastAsia="Times New Roman"/>
                <w:color w:val="000000"/>
                <w:sz w:val="20"/>
                <w:szCs w:val="20"/>
              </w:rPr>
              <w:t>249,280 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448E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C0F0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A85C80" w14:textId="77777777" w:rsidR="00000000" w:rsidRDefault="00A173A8">
            <w:pPr>
              <w:spacing w:after="100"/>
              <w:jc w:val="right"/>
              <w:rPr>
                <w:rFonts w:eastAsia="Times New Roman"/>
              </w:rPr>
            </w:pPr>
            <w:r>
              <w:rPr>
                <w:rFonts w:eastAsia="Times New Roman"/>
                <w:color w:val="000000"/>
                <w:sz w:val="20"/>
                <w:szCs w:val="20"/>
              </w:rPr>
              <w:t>5,753 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8F16AC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990F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012E2E" w14:textId="77777777" w:rsidR="00000000" w:rsidRDefault="00A173A8">
            <w:pPr>
              <w:spacing w:after="100"/>
              <w:jc w:val="right"/>
              <w:rPr>
                <w:rFonts w:eastAsia="Times New Roman"/>
              </w:rPr>
            </w:pPr>
            <w:r>
              <w:rPr>
                <w:rFonts w:eastAsia="Times New Roman"/>
                <w:color w:val="000000"/>
                <w:sz w:val="20"/>
                <w:szCs w:val="20"/>
              </w:rPr>
              <w:t>9.23 </w:t>
            </w:r>
          </w:p>
        </w:tc>
        <w:tc>
          <w:tcPr>
            <w:tcW w:w="0" w:type="auto"/>
            <w:shd w:val="clear" w:color="auto" w:fill="FFFFFF"/>
            <w:tcMar>
              <w:top w:w="30" w:type="dxa"/>
              <w:left w:w="0" w:type="dxa"/>
              <w:bottom w:w="30" w:type="dxa"/>
              <w:right w:w="20" w:type="dxa"/>
            </w:tcMar>
            <w:vAlign w:val="center"/>
            <w:hideMark/>
          </w:tcPr>
          <w:p w14:paraId="47555F59" w14:textId="77777777" w:rsidR="00000000" w:rsidRDefault="00A173A8">
            <w:pPr>
              <w:spacing w:after="100"/>
              <w:jc w:val="right"/>
              <w:rPr>
                <w:rFonts w:eastAsia="Times New Roman"/>
              </w:rPr>
            </w:pPr>
          </w:p>
        </w:tc>
        <w:tc>
          <w:tcPr>
            <w:tcW w:w="0" w:type="auto"/>
            <w:vAlign w:val="center"/>
            <w:hideMark/>
          </w:tcPr>
          <w:p w14:paraId="3137A6FF" w14:textId="77777777" w:rsidR="00000000" w:rsidRDefault="00A173A8">
            <w:pPr>
              <w:spacing w:after="100"/>
              <w:jc w:val="right"/>
              <w:rPr>
                <w:rFonts w:eastAsia="Times New Roman"/>
                <w:sz w:val="20"/>
                <w:szCs w:val="20"/>
              </w:rPr>
            </w:pPr>
          </w:p>
        </w:tc>
        <w:tc>
          <w:tcPr>
            <w:tcW w:w="0" w:type="auto"/>
            <w:vAlign w:val="center"/>
            <w:hideMark/>
          </w:tcPr>
          <w:p w14:paraId="3F0E55B6" w14:textId="77777777" w:rsidR="00000000" w:rsidRDefault="00A173A8">
            <w:pPr>
              <w:spacing w:after="100"/>
              <w:rPr>
                <w:rFonts w:eastAsia="Times New Roman"/>
                <w:sz w:val="20"/>
                <w:szCs w:val="20"/>
              </w:rPr>
            </w:pPr>
          </w:p>
        </w:tc>
        <w:tc>
          <w:tcPr>
            <w:tcW w:w="0" w:type="auto"/>
            <w:gridSpan w:val="3"/>
            <w:vAlign w:val="center"/>
            <w:hideMark/>
          </w:tcPr>
          <w:p w14:paraId="23FAEF20" w14:textId="77777777" w:rsidR="00000000" w:rsidRDefault="00A173A8">
            <w:pPr>
              <w:spacing w:after="100"/>
              <w:rPr>
                <w:rFonts w:eastAsia="Times New Roman"/>
                <w:sz w:val="20"/>
                <w:szCs w:val="20"/>
              </w:rPr>
            </w:pPr>
          </w:p>
        </w:tc>
        <w:tc>
          <w:tcPr>
            <w:tcW w:w="0" w:type="auto"/>
            <w:gridSpan w:val="3"/>
            <w:vAlign w:val="center"/>
            <w:hideMark/>
          </w:tcPr>
          <w:p w14:paraId="6CB46774" w14:textId="77777777" w:rsidR="00000000" w:rsidRDefault="00A173A8">
            <w:pPr>
              <w:spacing w:after="100"/>
              <w:rPr>
                <w:rFonts w:eastAsia="Times New Roman"/>
                <w:sz w:val="20"/>
                <w:szCs w:val="20"/>
              </w:rPr>
            </w:pPr>
          </w:p>
        </w:tc>
        <w:tc>
          <w:tcPr>
            <w:tcW w:w="0" w:type="auto"/>
            <w:gridSpan w:val="3"/>
            <w:vAlign w:val="center"/>
            <w:hideMark/>
          </w:tcPr>
          <w:p w14:paraId="5FF1BC42" w14:textId="77777777" w:rsidR="00000000" w:rsidRDefault="00A173A8">
            <w:pPr>
              <w:spacing w:after="100"/>
              <w:rPr>
                <w:rFonts w:eastAsia="Times New Roman"/>
                <w:sz w:val="20"/>
                <w:szCs w:val="20"/>
              </w:rPr>
            </w:pPr>
          </w:p>
        </w:tc>
        <w:tc>
          <w:tcPr>
            <w:tcW w:w="0" w:type="auto"/>
            <w:gridSpan w:val="3"/>
            <w:vAlign w:val="center"/>
            <w:hideMark/>
          </w:tcPr>
          <w:p w14:paraId="57D01833" w14:textId="77777777" w:rsidR="00000000" w:rsidRDefault="00A173A8">
            <w:pPr>
              <w:spacing w:after="100"/>
              <w:rPr>
                <w:rFonts w:eastAsia="Times New Roman"/>
                <w:sz w:val="20"/>
                <w:szCs w:val="20"/>
              </w:rPr>
            </w:pPr>
          </w:p>
        </w:tc>
      </w:tr>
      <w:tr w:rsidR="00000000" w14:paraId="7685731C" w14:textId="77777777">
        <w:trPr>
          <w:divId w:val="1280793884"/>
        </w:trPr>
        <w:tc>
          <w:tcPr>
            <w:tcW w:w="0" w:type="auto"/>
            <w:gridSpan w:val="3"/>
            <w:shd w:val="clear" w:color="auto" w:fill="CCEEFF"/>
            <w:tcMar>
              <w:top w:w="30" w:type="dxa"/>
              <w:left w:w="20" w:type="dxa"/>
              <w:bottom w:w="30" w:type="dxa"/>
              <w:right w:w="20" w:type="dxa"/>
            </w:tcMar>
            <w:vAlign w:val="center"/>
            <w:hideMark/>
          </w:tcPr>
          <w:p w14:paraId="7C29F9FA" w14:textId="77777777" w:rsidR="00000000" w:rsidRDefault="00A173A8">
            <w:pPr>
              <w:spacing w:after="100"/>
              <w:rPr>
                <w:rFonts w:eastAsia="Times New Roman"/>
              </w:rPr>
            </w:pPr>
            <w:r>
              <w:rPr>
                <w:rFonts w:eastAsia="Times New Roman"/>
                <w:color w:val="000000"/>
                <w:sz w:val="20"/>
                <w:szCs w:val="20"/>
              </w:rPr>
              <w:t>Investment securities</w:t>
            </w:r>
          </w:p>
        </w:tc>
        <w:tc>
          <w:tcPr>
            <w:tcW w:w="0" w:type="auto"/>
            <w:gridSpan w:val="3"/>
            <w:shd w:val="clear" w:color="auto" w:fill="CCEEFF"/>
            <w:tcMar>
              <w:top w:w="0" w:type="dxa"/>
              <w:left w:w="20" w:type="dxa"/>
              <w:bottom w:w="0" w:type="dxa"/>
              <w:right w:w="20" w:type="dxa"/>
            </w:tcMar>
            <w:vAlign w:val="center"/>
            <w:hideMark/>
          </w:tcPr>
          <w:p w14:paraId="7167DB9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860F02D" w14:textId="77777777" w:rsidR="00000000" w:rsidRDefault="00A173A8">
            <w:pPr>
              <w:spacing w:after="100"/>
              <w:jc w:val="right"/>
              <w:rPr>
                <w:rFonts w:eastAsia="Times New Roman"/>
              </w:rPr>
            </w:pPr>
            <w:r>
              <w:rPr>
                <w:rFonts w:eastAsia="Times New Roman"/>
                <w:b/>
                <w:bCs/>
                <w:color w:val="000000"/>
                <w:sz w:val="20"/>
                <w:szCs w:val="20"/>
              </w:rPr>
              <w:t>92,062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9EAB59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5CB2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9095D3" w14:textId="77777777" w:rsidR="00000000" w:rsidRDefault="00A173A8">
            <w:pPr>
              <w:spacing w:after="100"/>
              <w:jc w:val="right"/>
              <w:rPr>
                <w:rFonts w:eastAsia="Times New Roman"/>
              </w:rPr>
            </w:pPr>
            <w:r>
              <w:rPr>
                <w:rFonts w:eastAsia="Times New Roman"/>
                <w:b/>
                <w:bCs/>
                <w:color w:val="000000"/>
                <w:sz w:val="20"/>
                <w:szCs w:val="20"/>
              </w:rPr>
              <w:t>435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1D0B1F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493E2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E2590D" w14:textId="77777777" w:rsidR="00000000" w:rsidRDefault="00A173A8">
            <w:pPr>
              <w:spacing w:after="100"/>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87F1D5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66A3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760D0E" w14:textId="77777777" w:rsidR="00000000" w:rsidRDefault="00A173A8">
            <w:pPr>
              <w:spacing w:after="100"/>
              <w:jc w:val="right"/>
              <w:rPr>
                <w:rFonts w:eastAsia="Times New Roman"/>
              </w:rPr>
            </w:pPr>
            <w:r>
              <w:rPr>
                <w:rFonts w:eastAsia="Times New Roman"/>
                <w:color w:val="000000"/>
                <w:sz w:val="20"/>
                <w:szCs w:val="20"/>
              </w:rPr>
              <w:t>100,071 </w:t>
            </w:r>
          </w:p>
        </w:tc>
        <w:tc>
          <w:tcPr>
            <w:tcW w:w="0" w:type="auto"/>
            <w:shd w:val="clear" w:color="auto" w:fill="CCEEFF"/>
            <w:tcMar>
              <w:top w:w="30" w:type="dxa"/>
              <w:left w:w="0" w:type="dxa"/>
              <w:bottom w:w="30" w:type="dxa"/>
              <w:right w:w="20" w:type="dxa"/>
            </w:tcMar>
            <w:vAlign w:val="center"/>
            <w:hideMark/>
          </w:tcPr>
          <w:p w14:paraId="63DFD82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73688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7E6E51" w14:textId="77777777" w:rsidR="00000000" w:rsidRDefault="00A173A8">
            <w:pPr>
              <w:spacing w:after="100"/>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center"/>
            <w:hideMark/>
          </w:tcPr>
          <w:p w14:paraId="605B00C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8B22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181575" w14:textId="77777777" w:rsidR="00000000" w:rsidRDefault="00A173A8">
            <w:pPr>
              <w:spacing w:after="100"/>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center"/>
            <w:hideMark/>
          </w:tcPr>
          <w:p w14:paraId="36FBEA51" w14:textId="77777777" w:rsidR="00000000" w:rsidRDefault="00A173A8">
            <w:pPr>
              <w:spacing w:after="100"/>
              <w:jc w:val="right"/>
              <w:rPr>
                <w:rFonts w:eastAsia="Times New Roman"/>
              </w:rPr>
            </w:pPr>
          </w:p>
        </w:tc>
        <w:tc>
          <w:tcPr>
            <w:tcW w:w="0" w:type="auto"/>
            <w:vAlign w:val="center"/>
            <w:hideMark/>
          </w:tcPr>
          <w:p w14:paraId="795903D5" w14:textId="77777777" w:rsidR="00000000" w:rsidRDefault="00A173A8">
            <w:pPr>
              <w:spacing w:after="100"/>
              <w:jc w:val="right"/>
              <w:rPr>
                <w:rFonts w:eastAsia="Times New Roman"/>
                <w:sz w:val="20"/>
                <w:szCs w:val="20"/>
              </w:rPr>
            </w:pPr>
          </w:p>
        </w:tc>
        <w:tc>
          <w:tcPr>
            <w:tcW w:w="0" w:type="auto"/>
            <w:vAlign w:val="center"/>
            <w:hideMark/>
          </w:tcPr>
          <w:p w14:paraId="66F50B1F" w14:textId="77777777" w:rsidR="00000000" w:rsidRDefault="00A173A8">
            <w:pPr>
              <w:spacing w:after="100"/>
              <w:rPr>
                <w:rFonts w:eastAsia="Times New Roman"/>
                <w:sz w:val="20"/>
                <w:szCs w:val="20"/>
              </w:rPr>
            </w:pPr>
          </w:p>
        </w:tc>
        <w:tc>
          <w:tcPr>
            <w:tcW w:w="0" w:type="auto"/>
            <w:gridSpan w:val="3"/>
            <w:vAlign w:val="center"/>
            <w:hideMark/>
          </w:tcPr>
          <w:p w14:paraId="61B89121" w14:textId="77777777" w:rsidR="00000000" w:rsidRDefault="00A173A8">
            <w:pPr>
              <w:spacing w:after="100"/>
              <w:rPr>
                <w:rFonts w:eastAsia="Times New Roman"/>
                <w:sz w:val="20"/>
                <w:szCs w:val="20"/>
              </w:rPr>
            </w:pPr>
          </w:p>
        </w:tc>
        <w:tc>
          <w:tcPr>
            <w:tcW w:w="0" w:type="auto"/>
            <w:gridSpan w:val="3"/>
            <w:vAlign w:val="center"/>
            <w:hideMark/>
          </w:tcPr>
          <w:p w14:paraId="00A49C46" w14:textId="77777777" w:rsidR="00000000" w:rsidRDefault="00A173A8">
            <w:pPr>
              <w:spacing w:after="100"/>
              <w:rPr>
                <w:rFonts w:eastAsia="Times New Roman"/>
                <w:sz w:val="20"/>
                <w:szCs w:val="20"/>
              </w:rPr>
            </w:pPr>
          </w:p>
        </w:tc>
        <w:tc>
          <w:tcPr>
            <w:tcW w:w="0" w:type="auto"/>
            <w:gridSpan w:val="3"/>
            <w:vAlign w:val="center"/>
            <w:hideMark/>
          </w:tcPr>
          <w:p w14:paraId="460BD184" w14:textId="77777777" w:rsidR="00000000" w:rsidRDefault="00A173A8">
            <w:pPr>
              <w:spacing w:after="100"/>
              <w:rPr>
                <w:rFonts w:eastAsia="Times New Roman"/>
                <w:sz w:val="20"/>
                <w:szCs w:val="20"/>
              </w:rPr>
            </w:pPr>
          </w:p>
        </w:tc>
        <w:tc>
          <w:tcPr>
            <w:tcW w:w="0" w:type="auto"/>
            <w:gridSpan w:val="3"/>
            <w:vAlign w:val="center"/>
            <w:hideMark/>
          </w:tcPr>
          <w:p w14:paraId="4E71959C" w14:textId="77777777" w:rsidR="00000000" w:rsidRDefault="00A173A8">
            <w:pPr>
              <w:spacing w:after="100"/>
              <w:rPr>
                <w:rFonts w:eastAsia="Times New Roman"/>
                <w:sz w:val="20"/>
                <w:szCs w:val="20"/>
              </w:rPr>
            </w:pPr>
          </w:p>
        </w:tc>
      </w:tr>
      <w:tr w:rsidR="00000000" w14:paraId="38E16F0D" w14:textId="77777777">
        <w:trPr>
          <w:divId w:val="1280793884"/>
        </w:trPr>
        <w:tc>
          <w:tcPr>
            <w:tcW w:w="0" w:type="auto"/>
            <w:gridSpan w:val="3"/>
            <w:shd w:val="clear" w:color="auto" w:fill="FFFFFF"/>
            <w:tcMar>
              <w:top w:w="30" w:type="dxa"/>
              <w:left w:w="20" w:type="dxa"/>
              <w:bottom w:w="30" w:type="dxa"/>
              <w:right w:w="20" w:type="dxa"/>
            </w:tcMar>
            <w:vAlign w:val="center"/>
            <w:hideMark/>
          </w:tcPr>
          <w:p w14:paraId="789DF985" w14:textId="77777777" w:rsidR="00000000" w:rsidRDefault="00A173A8">
            <w:pPr>
              <w:spacing w:after="100"/>
              <w:rPr>
                <w:rFonts w:eastAsia="Times New Roman"/>
              </w:rPr>
            </w:pPr>
            <w:r>
              <w:rPr>
                <w:rFonts w:eastAsia="Times New Roman"/>
                <w:color w:val="000000"/>
                <w:sz w:val="20"/>
                <w:szCs w:val="20"/>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14:paraId="5F7A695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28ECF9" w14:textId="77777777" w:rsidR="00000000" w:rsidRDefault="00A173A8">
            <w:pPr>
              <w:spacing w:after="100"/>
              <w:jc w:val="right"/>
              <w:rPr>
                <w:rFonts w:eastAsia="Times New Roman"/>
              </w:rPr>
            </w:pPr>
            <w:r>
              <w:rPr>
                <w:rFonts w:eastAsia="Times New Roman"/>
                <w:b/>
                <w:bCs/>
                <w:color w:val="000000"/>
                <w:sz w:val="20"/>
                <w:szCs w:val="20"/>
              </w:rPr>
              <w:t>19,738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B1804A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6EEE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B80045" w14:textId="77777777" w:rsidR="00000000" w:rsidRDefault="00A173A8">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1EEFD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749F3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0BD279" w14:textId="77777777" w:rsidR="00000000" w:rsidRDefault="00A173A8">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96443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4178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C64657" w14:textId="77777777" w:rsidR="00000000" w:rsidRDefault="00A173A8">
            <w:pPr>
              <w:spacing w:after="100"/>
              <w:jc w:val="right"/>
              <w:rPr>
                <w:rFonts w:eastAsia="Times New Roman"/>
              </w:rPr>
            </w:pPr>
            <w:r>
              <w:rPr>
                <w:rFonts w:eastAsia="Times New Roman"/>
                <w:color w:val="000000"/>
                <w:sz w:val="20"/>
                <w:szCs w:val="20"/>
              </w:rPr>
              <w:t>40,778 </w:t>
            </w:r>
          </w:p>
        </w:tc>
        <w:tc>
          <w:tcPr>
            <w:tcW w:w="0" w:type="auto"/>
            <w:shd w:val="clear" w:color="auto" w:fill="FFFFFF"/>
            <w:tcMar>
              <w:top w:w="30" w:type="dxa"/>
              <w:left w:w="0" w:type="dxa"/>
              <w:bottom w:w="30" w:type="dxa"/>
              <w:right w:w="20" w:type="dxa"/>
            </w:tcMar>
            <w:vAlign w:val="center"/>
            <w:hideMark/>
          </w:tcPr>
          <w:p w14:paraId="5E85645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6B39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03C5B4" w14:textId="77777777" w:rsidR="00000000" w:rsidRDefault="00A173A8">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center"/>
            <w:hideMark/>
          </w:tcPr>
          <w:p w14:paraId="7CC43FD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0FBF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5EC756" w14:textId="77777777" w:rsidR="00000000" w:rsidRDefault="00A173A8">
            <w:pPr>
              <w:spacing w:after="100"/>
              <w:jc w:val="right"/>
              <w:rPr>
                <w:rFonts w:eastAsia="Times New Roman"/>
              </w:rPr>
            </w:pPr>
            <w:r>
              <w:rPr>
                <w:rFonts w:eastAsia="Times New Roman"/>
                <w:color w:val="000000"/>
                <w:sz w:val="20"/>
                <w:szCs w:val="20"/>
              </w:rPr>
              <w:t>0.16 </w:t>
            </w:r>
          </w:p>
        </w:tc>
        <w:tc>
          <w:tcPr>
            <w:tcW w:w="0" w:type="auto"/>
            <w:shd w:val="clear" w:color="auto" w:fill="FFFFFF"/>
            <w:tcMar>
              <w:top w:w="30" w:type="dxa"/>
              <w:left w:w="0" w:type="dxa"/>
              <w:bottom w:w="30" w:type="dxa"/>
              <w:right w:w="20" w:type="dxa"/>
            </w:tcMar>
            <w:vAlign w:val="center"/>
            <w:hideMark/>
          </w:tcPr>
          <w:p w14:paraId="52120635" w14:textId="77777777" w:rsidR="00000000" w:rsidRDefault="00A173A8">
            <w:pPr>
              <w:spacing w:after="100"/>
              <w:jc w:val="right"/>
              <w:rPr>
                <w:rFonts w:eastAsia="Times New Roman"/>
              </w:rPr>
            </w:pPr>
          </w:p>
        </w:tc>
        <w:tc>
          <w:tcPr>
            <w:tcW w:w="0" w:type="auto"/>
            <w:vAlign w:val="center"/>
            <w:hideMark/>
          </w:tcPr>
          <w:p w14:paraId="18850289" w14:textId="77777777" w:rsidR="00000000" w:rsidRDefault="00A173A8">
            <w:pPr>
              <w:spacing w:after="100"/>
              <w:jc w:val="right"/>
              <w:rPr>
                <w:rFonts w:eastAsia="Times New Roman"/>
                <w:sz w:val="20"/>
                <w:szCs w:val="20"/>
              </w:rPr>
            </w:pPr>
          </w:p>
        </w:tc>
        <w:tc>
          <w:tcPr>
            <w:tcW w:w="0" w:type="auto"/>
            <w:vAlign w:val="center"/>
            <w:hideMark/>
          </w:tcPr>
          <w:p w14:paraId="41BF0F19" w14:textId="77777777" w:rsidR="00000000" w:rsidRDefault="00A173A8">
            <w:pPr>
              <w:spacing w:after="100"/>
              <w:rPr>
                <w:rFonts w:eastAsia="Times New Roman"/>
                <w:sz w:val="20"/>
                <w:szCs w:val="20"/>
              </w:rPr>
            </w:pPr>
          </w:p>
        </w:tc>
        <w:tc>
          <w:tcPr>
            <w:tcW w:w="0" w:type="auto"/>
            <w:gridSpan w:val="3"/>
            <w:vAlign w:val="center"/>
            <w:hideMark/>
          </w:tcPr>
          <w:p w14:paraId="59B2F6F1" w14:textId="77777777" w:rsidR="00000000" w:rsidRDefault="00A173A8">
            <w:pPr>
              <w:spacing w:after="100"/>
              <w:rPr>
                <w:rFonts w:eastAsia="Times New Roman"/>
                <w:sz w:val="20"/>
                <w:szCs w:val="20"/>
              </w:rPr>
            </w:pPr>
          </w:p>
        </w:tc>
        <w:tc>
          <w:tcPr>
            <w:tcW w:w="0" w:type="auto"/>
            <w:gridSpan w:val="3"/>
            <w:vAlign w:val="center"/>
            <w:hideMark/>
          </w:tcPr>
          <w:p w14:paraId="41B8529E" w14:textId="77777777" w:rsidR="00000000" w:rsidRDefault="00A173A8">
            <w:pPr>
              <w:spacing w:after="100"/>
              <w:rPr>
                <w:rFonts w:eastAsia="Times New Roman"/>
                <w:sz w:val="20"/>
                <w:szCs w:val="20"/>
              </w:rPr>
            </w:pPr>
          </w:p>
        </w:tc>
        <w:tc>
          <w:tcPr>
            <w:tcW w:w="0" w:type="auto"/>
            <w:gridSpan w:val="3"/>
            <w:vAlign w:val="center"/>
            <w:hideMark/>
          </w:tcPr>
          <w:p w14:paraId="574653C9" w14:textId="77777777" w:rsidR="00000000" w:rsidRDefault="00A173A8">
            <w:pPr>
              <w:spacing w:after="100"/>
              <w:rPr>
                <w:rFonts w:eastAsia="Times New Roman"/>
                <w:sz w:val="20"/>
                <w:szCs w:val="20"/>
              </w:rPr>
            </w:pPr>
          </w:p>
        </w:tc>
        <w:tc>
          <w:tcPr>
            <w:tcW w:w="0" w:type="auto"/>
            <w:gridSpan w:val="3"/>
            <w:vAlign w:val="center"/>
            <w:hideMark/>
          </w:tcPr>
          <w:p w14:paraId="40091E6F" w14:textId="77777777" w:rsidR="00000000" w:rsidRDefault="00A173A8">
            <w:pPr>
              <w:spacing w:after="100"/>
              <w:rPr>
                <w:rFonts w:eastAsia="Times New Roman"/>
                <w:sz w:val="20"/>
                <w:szCs w:val="20"/>
              </w:rPr>
            </w:pPr>
          </w:p>
        </w:tc>
      </w:tr>
      <w:tr w:rsidR="00000000" w14:paraId="662000F5" w14:textId="77777777">
        <w:trPr>
          <w:divId w:val="1280793884"/>
        </w:trPr>
        <w:tc>
          <w:tcPr>
            <w:tcW w:w="0" w:type="auto"/>
            <w:gridSpan w:val="3"/>
            <w:shd w:val="clear" w:color="auto" w:fill="CCEEFF"/>
            <w:tcMar>
              <w:top w:w="30" w:type="dxa"/>
              <w:left w:w="20" w:type="dxa"/>
              <w:bottom w:w="30" w:type="dxa"/>
              <w:right w:w="20" w:type="dxa"/>
            </w:tcMar>
            <w:vAlign w:val="center"/>
            <w:hideMark/>
          </w:tcPr>
          <w:p w14:paraId="3B6E20B0" w14:textId="77777777" w:rsidR="00000000" w:rsidRDefault="00A173A8">
            <w:pPr>
              <w:spacing w:after="100"/>
              <w:rPr>
                <w:rFonts w:eastAsia="Times New Roman"/>
              </w:rPr>
            </w:pPr>
            <w:r>
              <w:rPr>
                <w:rFonts w:eastAsia="Times New Roman"/>
                <w:color w:val="000000"/>
                <w:sz w:val="20"/>
                <w:szCs w:val="20"/>
              </w:rPr>
              <w:t>Total interest-earning assets</w:t>
            </w:r>
          </w:p>
        </w:tc>
        <w:tc>
          <w:tcPr>
            <w:tcW w:w="0" w:type="auto"/>
            <w:gridSpan w:val="3"/>
            <w:shd w:val="clear" w:color="auto" w:fill="CCEEFF"/>
            <w:tcMar>
              <w:top w:w="0" w:type="dxa"/>
              <w:left w:w="20" w:type="dxa"/>
              <w:bottom w:w="0" w:type="dxa"/>
              <w:right w:w="20" w:type="dxa"/>
            </w:tcMar>
            <w:vAlign w:val="center"/>
            <w:hideMark/>
          </w:tcPr>
          <w:p w14:paraId="0AE8C70C"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28D94C" w14:textId="77777777" w:rsidR="00000000" w:rsidRDefault="00A173A8">
            <w:pPr>
              <w:spacing w:after="100"/>
              <w:jc w:val="right"/>
              <w:rPr>
                <w:rFonts w:eastAsia="Times New Roman"/>
              </w:rPr>
            </w:pPr>
            <w:r>
              <w:rPr>
                <w:rFonts w:eastAsia="Times New Roman"/>
                <w:b/>
                <w:bCs/>
                <w:color w:val="000000"/>
                <w:sz w:val="20"/>
                <w:szCs w:val="20"/>
              </w:rPr>
              <w:t>398,934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250C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5BA1C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35AD911" w14:textId="77777777" w:rsidR="00000000" w:rsidRDefault="00A173A8">
            <w:pPr>
              <w:spacing w:after="100"/>
              <w:jc w:val="right"/>
              <w:rPr>
                <w:rFonts w:eastAsia="Times New Roman"/>
              </w:rPr>
            </w:pPr>
            <w:r>
              <w:rPr>
                <w:rFonts w:eastAsia="Times New Roman"/>
                <w:b/>
                <w:bCs/>
                <w:color w:val="000000"/>
                <w:sz w:val="20"/>
                <w:szCs w:val="20"/>
              </w:rPr>
              <w:t>7,095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461F5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E29D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08355D" w14:textId="77777777" w:rsidR="00000000" w:rsidRDefault="00A173A8">
            <w:pPr>
              <w:spacing w:after="100"/>
              <w:jc w:val="right"/>
              <w:rPr>
                <w:rFonts w:eastAsia="Times New Roman"/>
              </w:rPr>
            </w:pPr>
            <w:r>
              <w:rPr>
                <w:rFonts w:eastAsia="Times New Roman"/>
                <w:b/>
                <w:bCs/>
                <w:color w:val="000000"/>
                <w:sz w:val="20"/>
                <w:szCs w:val="20"/>
              </w:rPr>
              <w:t>7.11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F3E7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12A9C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A09173C" w14:textId="77777777" w:rsidR="00000000" w:rsidRDefault="00A173A8">
            <w:pPr>
              <w:spacing w:after="100"/>
              <w:jc w:val="right"/>
              <w:rPr>
                <w:rFonts w:eastAsia="Times New Roman"/>
              </w:rPr>
            </w:pPr>
            <w:r>
              <w:rPr>
                <w:rFonts w:eastAsia="Times New Roman"/>
                <w:color w:val="000000"/>
                <w:sz w:val="20"/>
                <w:szCs w:val="20"/>
              </w:rPr>
              <w:t>390,129 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CD12A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1001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7E068A" w14:textId="77777777" w:rsidR="00000000" w:rsidRDefault="00A173A8">
            <w:pPr>
              <w:spacing w:after="100"/>
              <w:jc w:val="right"/>
              <w:rPr>
                <w:rFonts w:eastAsia="Times New Roman"/>
              </w:rPr>
            </w:pPr>
            <w:r>
              <w:rPr>
                <w:rFonts w:eastAsia="Times New Roman"/>
                <w:color w:val="000000"/>
                <w:sz w:val="20"/>
                <w:szCs w:val="20"/>
              </w:rPr>
              <w:t>6,139 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CDCA5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D8C00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4BA482" w14:textId="77777777" w:rsidR="00000000" w:rsidRDefault="00A173A8">
            <w:pPr>
              <w:spacing w:after="100"/>
              <w:jc w:val="right"/>
              <w:rPr>
                <w:rFonts w:eastAsia="Times New Roman"/>
              </w:rPr>
            </w:pPr>
            <w:r>
              <w:rPr>
                <w:rFonts w:eastAsia="Times New Roman"/>
                <w:color w:val="000000"/>
                <w:sz w:val="20"/>
                <w:szCs w:val="20"/>
              </w:rPr>
              <w:t>6.29 </w:t>
            </w:r>
          </w:p>
        </w:tc>
        <w:tc>
          <w:tcPr>
            <w:tcW w:w="0" w:type="auto"/>
            <w:shd w:val="clear" w:color="auto" w:fill="CCEEFF"/>
            <w:tcMar>
              <w:top w:w="30" w:type="dxa"/>
              <w:left w:w="0" w:type="dxa"/>
              <w:bottom w:w="30" w:type="dxa"/>
              <w:right w:w="20" w:type="dxa"/>
            </w:tcMar>
            <w:vAlign w:val="center"/>
            <w:hideMark/>
          </w:tcPr>
          <w:p w14:paraId="15F2F2A9" w14:textId="77777777" w:rsidR="00000000" w:rsidRDefault="00A173A8">
            <w:pPr>
              <w:spacing w:after="100"/>
              <w:jc w:val="right"/>
              <w:rPr>
                <w:rFonts w:eastAsia="Times New Roman"/>
              </w:rPr>
            </w:pPr>
          </w:p>
        </w:tc>
        <w:tc>
          <w:tcPr>
            <w:tcW w:w="0" w:type="auto"/>
            <w:vAlign w:val="center"/>
            <w:hideMark/>
          </w:tcPr>
          <w:p w14:paraId="2453F24C" w14:textId="77777777" w:rsidR="00000000" w:rsidRDefault="00A173A8">
            <w:pPr>
              <w:spacing w:after="100"/>
              <w:jc w:val="right"/>
              <w:rPr>
                <w:rFonts w:eastAsia="Times New Roman"/>
                <w:sz w:val="20"/>
                <w:szCs w:val="20"/>
              </w:rPr>
            </w:pPr>
          </w:p>
        </w:tc>
        <w:tc>
          <w:tcPr>
            <w:tcW w:w="0" w:type="auto"/>
            <w:vAlign w:val="center"/>
            <w:hideMark/>
          </w:tcPr>
          <w:p w14:paraId="43830A3A" w14:textId="77777777" w:rsidR="00000000" w:rsidRDefault="00A173A8">
            <w:pPr>
              <w:spacing w:after="100"/>
              <w:rPr>
                <w:rFonts w:eastAsia="Times New Roman"/>
                <w:sz w:val="20"/>
                <w:szCs w:val="20"/>
              </w:rPr>
            </w:pPr>
          </w:p>
        </w:tc>
        <w:tc>
          <w:tcPr>
            <w:tcW w:w="0" w:type="auto"/>
            <w:gridSpan w:val="3"/>
            <w:vAlign w:val="center"/>
            <w:hideMark/>
          </w:tcPr>
          <w:p w14:paraId="152C2AE4" w14:textId="77777777" w:rsidR="00000000" w:rsidRDefault="00A173A8">
            <w:pPr>
              <w:spacing w:after="100"/>
              <w:rPr>
                <w:rFonts w:eastAsia="Times New Roman"/>
                <w:sz w:val="20"/>
                <w:szCs w:val="20"/>
              </w:rPr>
            </w:pPr>
          </w:p>
        </w:tc>
        <w:tc>
          <w:tcPr>
            <w:tcW w:w="0" w:type="auto"/>
            <w:gridSpan w:val="3"/>
            <w:vAlign w:val="center"/>
            <w:hideMark/>
          </w:tcPr>
          <w:p w14:paraId="5A761BCF" w14:textId="77777777" w:rsidR="00000000" w:rsidRDefault="00A173A8">
            <w:pPr>
              <w:spacing w:after="100"/>
              <w:rPr>
                <w:rFonts w:eastAsia="Times New Roman"/>
                <w:sz w:val="20"/>
                <w:szCs w:val="20"/>
              </w:rPr>
            </w:pPr>
          </w:p>
        </w:tc>
        <w:tc>
          <w:tcPr>
            <w:tcW w:w="0" w:type="auto"/>
            <w:gridSpan w:val="3"/>
            <w:vAlign w:val="center"/>
            <w:hideMark/>
          </w:tcPr>
          <w:p w14:paraId="0015A9C6" w14:textId="77777777" w:rsidR="00000000" w:rsidRDefault="00A173A8">
            <w:pPr>
              <w:spacing w:after="100"/>
              <w:rPr>
                <w:rFonts w:eastAsia="Times New Roman"/>
                <w:sz w:val="20"/>
                <w:szCs w:val="20"/>
              </w:rPr>
            </w:pPr>
          </w:p>
        </w:tc>
        <w:tc>
          <w:tcPr>
            <w:tcW w:w="0" w:type="auto"/>
            <w:gridSpan w:val="3"/>
            <w:vAlign w:val="center"/>
            <w:hideMark/>
          </w:tcPr>
          <w:p w14:paraId="5A1EAEAD" w14:textId="77777777" w:rsidR="00000000" w:rsidRDefault="00A173A8">
            <w:pPr>
              <w:spacing w:after="100"/>
              <w:rPr>
                <w:rFonts w:eastAsia="Times New Roman"/>
                <w:sz w:val="20"/>
                <w:szCs w:val="20"/>
              </w:rPr>
            </w:pPr>
          </w:p>
        </w:tc>
      </w:tr>
      <w:tr w:rsidR="00000000" w14:paraId="5BE82170" w14:textId="77777777">
        <w:trPr>
          <w:divId w:val="1280793884"/>
        </w:trPr>
        <w:tc>
          <w:tcPr>
            <w:tcW w:w="0" w:type="auto"/>
            <w:gridSpan w:val="3"/>
            <w:shd w:val="clear" w:color="auto" w:fill="FFFFFF"/>
            <w:tcMar>
              <w:top w:w="30" w:type="dxa"/>
              <w:left w:w="20" w:type="dxa"/>
              <w:bottom w:w="30" w:type="dxa"/>
              <w:right w:w="20" w:type="dxa"/>
            </w:tcMar>
            <w:vAlign w:val="center"/>
            <w:hideMark/>
          </w:tcPr>
          <w:p w14:paraId="74D1A3DF" w14:textId="77777777" w:rsidR="00000000" w:rsidRDefault="00A173A8">
            <w:pPr>
              <w:spacing w:after="100"/>
              <w:rPr>
                <w:rFonts w:eastAsia="Times New Roman"/>
              </w:rPr>
            </w:pPr>
            <w:r>
              <w:rPr>
                <w:rFonts w:eastAsia="Times New Roman"/>
                <w:color w:val="000000"/>
                <w:sz w:val="20"/>
                <w:szCs w:val="20"/>
              </w:rPr>
              <w:t>Cash and due from banks</w:t>
            </w:r>
          </w:p>
        </w:tc>
        <w:tc>
          <w:tcPr>
            <w:tcW w:w="0" w:type="auto"/>
            <w:gridSpan w:val="3"/>
            <w:shd w:val="clear" w:color="auto" w:fill="FFFFFF"/>
            <w:tcMar>
              <w:top w:w="0" w:type="dxa"/>
              <w:left w:w="20" w:type="dxa"/>
              <w:bottom w:w="0" w:type="dxa"/>
              <w:right w:w="20" w:type="dxa"/>
            </w:tcMar>
            <w:vAlign w:val="center"/>
            <w:hideMark/>
          </w:tcPr>
          <w:p w14:paraId="29889F4B"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953CEB1" w14:textId="77777777" w:rsidR="00000000" w:rsidRDefault="00A173A8">
            <w:pPr>
              <w:spacing w:after="100"/>
              <w:jc w:val="right"/>
              <w:rPr>
                <w:rFonts w:eastAsia="Times New Roman"/>
              </w:rPr>
            </w:pPr>
            <w:r>
              <w:rPr>
                <w:rFonts w:eastAsia="Times New Roman"/>
                <w:b/>
                <w:bCs/>
                <w:color w:val="000000"/>
                <w:sz w:val="20"/>
                <w:szCs w:val="20"/>
              </w:rPr>
              <w:t>5,162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2D635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826EB"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09CEF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55285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F9EA0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92CBA7"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E9BB4B6" w14:textId="77777777" w:rsidR="00000000" w:rsidRDefault="00A173A8">
            <w:pPr>
              <w:spacing w:after="100"/>
              <w:jc w:val="right"/>
              <w:rPr>
                <w:rFonts w:eastAsia="Times New Roman"/>
              </w:rPr>
            </w:pPr>
            <w:r>
              <w:rPr>
                <w:rFonts w:eastAsia="Times New Roman"/>
                <w:color w:val="000000"/>
                <w:sz w:val="20"/>
                <w:szCs w:val="20"/>
              </w:rPr>
              <w:t>5,417 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708B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292BE"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E4667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3B4B6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C89165" w14:textId="77777777" w:rsidR="00000000" w:rsidRDefault="00A173A8">
            <w:pPr>
              <w:spacing w:after="100"/>
              <w:rPr>
                <w:rFonts w:eastAsia="Times New Roman"/>
                <w:sz w:val="20"/>
                <w:szCs w:val="20"/>
              </w:rPr>
            </w:pPr>
          </w:p>
        </w:tc>
        <w:tc>
          <w:tcPr>
            <w:tcW w:w="0" w:type="auto"/>
            <w:vAlign w:val="center"/>
            <w:hideMark/>
          </w:tcPr>
          <w:p w14:paraId="587ECDDF" w14:textId="77777777" w:rsidR="00000000" w:rsidRDefault="00A173A8">
            <w:pPr>
              <w:spacing w:after="100"/>
              <w:rPr>
                <w:rFonts w:eastAsia="Times New Roman"/>
                <w:sz w:val="20"/>
                <w:szCs w:val="20"/>
              </w:rPr>
            </w:pPr>
          </w:p>
        </w:tc>
        <w:tc>
          <w:tcPr>
            <w:tcW w:w="0" w:type="auto"/>
            <w:vAlign w:val="center"/>
            <w:hideMark/>
          </w:tcPr>
          <w:p w14:paraId="13ACB95C" w14:textId="77777777" w:rsidR="00000000" w:rsidRDefault="00A173A8">
            <w:pPr>
              <w:spacing w:after="100"/>
              <w:rPr>
                <w:rFonts w:eastAsia="Times New Roman"/>
                <w:sz w:val="20"/>
                <w:szCs w:val="20"/>
              </w:rPr>
            </w:pPr>
          </w:p>
        </w:tc>
        <w:tc>
          <w:tcPr>
            <w:tcW w:w="0" w:type="auto"/>
            <w:gridSpan w:val="3"/>
            <w:vAlign w:val="center"/>
            <w:hideMark/>
          </w:tcPr>
          <w:p w14:paraId="644FADA0" w14:textId="77777777" w:rsidR="00000000" w:rsidRDefault="00A173A8">
            <w:pPr>
              <w:spacing w:after="100"/>
              <w:rPr>
                <w:rFonts w:eastAsia="Times New Roman"/>
                <w:sz w:val="20"/>
                <w:szCs w:val="20"/>
              </w:rPr>
            </w:pPr>
          </w:p>
        </w:tc>
        <w:tc>
          <w:tcPr>
            <w:tcW w:w="0" w:type="auto"/>
            <w:gridSpan w:val="3"/>
            <w:vAlign w:val="center"/>
            <w:hideMark/>
          </w:tcPr>
          <w:p w14:paraId="5FC4BD99" w14:textId="77777777" w:rsidR="00000000" w:rsidRDefault="00A173A8">
            <w:pPr>
              <w:spacing w:after="100"/>
              <w:rPr>
                <w:rFonts w:eastAsia="Times New Roman"/>
                <w:sz w:val="20"/>
                <w:szCs w:val="20"/>
              </w:rPr>
            </w:pPr>
          </w:p>
        </w:tc>
        <w:tc>
          <w:tcPr>
            <w:tcW w:w="0" w:type="auto"/>
            <w:gridSpan w:val="3"/>
            <w:vAlign w:val="center"/>
            <w:hideMark/>
          </w:tcPr>
          <w:p w14:paraId="19AA74B2" w14:textId="77777777" w:rsidR="00000000" w:rsidRDefault="00A173A8">
            <w:pPr>
              <w:spacing w:after="100"/>
              <w:rPr>
                <w:rFonts w:eastAsia="Times New Roman"/>
                <w:sz w:val="20"/>
                <w:szCs w:val="20"/>
              </w:rPr>
            </w:pPr>
          </w:p>
        </w:tc>
        <w:tc>
          <w:tcPr>
            <w:tcW w:w="0" w:type="auto"/>
            <w:gridSpan w:val="3"/>
            <w:vAlign w:val="center"/>
            <w:hideMark/>
          </w:tcPr>
          <w:p w14:paraId="3B4B8989" w14:textId="77777777" w:rsidR="00000000" w:rsidRDefault="00A173A8">
            <w:pPr>
              <w:spacing w:after="100"/>
              <w:rPr>
                <w:rFonts w:eastAsia="Times New Roman"/>
                <w:sz w:val="20"/>
                <w:szCs w:val="20"/>
              </w:rPr>
            </w:pPr>
          </w:p>
        </w:tc>
      </w:tr>
      <w:tr w:rsidR="00000000" w14:paraId="16B92458" w14:textId="77777777">
        <w:trPr>
          <w:divId w:val="1280793884"/>
        </w:trPr>
        <w:tc>
          <w:tcPr>
            <w:tcW w:w="0" w:type="auto"/>
            <w:gridSpan w:val="3"/>
            <w:shd w:val="clear" w:color="auto" w:fill="CCEEFF"/>
            <w:tcMar>
              <w:top w:w="30" w:type="dxa"/>
              <w:left w:w="20" w:type="dxa"/>
              <w:bottom w:w="30" w:type="dxa"/>
              <w:right w:w="20" w:type="dxa"/>
            </w:tcMar>
            <w:vAlign w:val="center"/>
            <w:hideMark/>
          </w:tcPr>
          <w:p w14:paraId="7357A944" w14:textId="77777777" w:rsidR="00000000" w:rsidRDefault="00A173A8">
            <w:pPr>
              <w:spacing w:after="100"/>
              <w:rPr>
                <w:rFonts w:eastAsia="Times New Roman"/>
              </w:rPr>
            </w:pPr>
            <w:r>
              <w:rPr>
                <w:rFonts w:eastAsia="Times New Roman"/>
                <w:color w:val="000000"/>
                <w:sz w:val="20"/>
                <w:szCs w:val="20"/>
              </w:rPr>
              <w:t>Allowance for credit losses</w:t>
            </w:r>
          </w:p>
        </w:tc>
        <w:tc>
          <w:tcPr>
            <w:tcW w:w="0" w:type="auto"/>
            <w:gridSpan w:val="3"/>
            <w:shd w:val="clear" w:color="auto" w:fill="CCEEFF"/>
            <w:tcMar>
              <w:top w:w="0" w:type="dxa"/>
              <w:left w:w="20" w:type="dxa"/>
              <w:bottom w:w="0" w:type="dxa"/>
              <w:right w:w="20" w:type="dxa"/>
            </w:tcMar>
            <w:vAlign w:val="center"/>
            <w:hideMark/>
          </w:tcPr>
          <w:p w14:paraId="05057EE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EE23EA8" w14:textId="77777777" w:rsidR="00000000" w:rsidRDefault="00A173A8">
            <w:pPr>
              <w:spacing w:after="100"/>
              <w:jc w:val="right"/>
              <w:rPr>
                <w:rFonts w:eastAsia="Times New Roman"/>
              </w:rPr>
            </w:pPr>
            <w:r>
              <w:rPr>
                <w:rFonts w:eastAsia="Times New Roman"/>
                <w:b/>
                <w:bCs/>
                <w:color w:val="000000"/>
                <w:sz w:val="20"/>
                <w:szCs w:val="20"/>
              </w:rPr>
              <w:t>(11,303)</w:t>
            </w:r>
          </w:p>
        </w:tc>
        <w:tc>
          <w:tcPr>
            <w:tcW w:w="0" w:type="auto"/>
            <w:shd w:val="clear" w:color="auto" w:fill="CCEEFF"/>
            <w:tcMar>
              <w:top w:w="30" w:type="dxa"/>
              <w:left w:w="0" w:type="dxa"/>
              <w:bottom w:w="30" w:type="dxa"/>
              <w:right w:w="20" w:type="dxa"/>
            </w:tcMar>
            <w:vAlign w:val="center"/>
            <w:hideMark/>
          </w:tcPr>
          <w:p w14:paraId="088A8B9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A3AE2"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51C2D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ABE08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D0BC8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DE91EB"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90A14A" w14:textId="77777777" w:rsidR="00000000" w:rsidRDefault="00A173A8">
            <w:pPr>
              <w:spacing w:after="100"/>
              <w:jc w:val="right"/>
              <w:rPr>
                <w:rFonts w:eastAsia="Times New Roman"/>
              </w:rPr>
            </w:pPr>
            <w:r>
              <w:rPr>
                <w:rFonts w:eastAsia="Times New Roman"/>
                <w:color w:val="000000"/>
                <w:sz w:val="20"/>
                <w:szCs w:val="20"/>
              </w:rPr>
              <w:t>(14,007)</w:t>
            </w:r>
          </w:p>
        </w:tc>
        <w:tc>
          <w:tcPr>
            <w:tcW w:w="0" w:type="auto"/>
            <w:shd w:val="clear" w:color="auto" w:fill="CCEEFF"/>
            <w:tcMar>
              <w:top w:w="30" w:type="dxa"/>
              <w:left w:w="0" w:type="dxa"/>
              <w:bottom w:w="30" w:type="dxa"/>
              <w:right w:w="20" w:type="dxa"/>
            </w:tcMar>
            <w:vAlign w:val="center"/>
            <w:hideMark/>
          </w:tcPr>
          <w:p w14:paraId="7C88613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6197B"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0C347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45763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D53D01" w14:textId="77777777" w:rsidR="00000000" w:rsidRDefault="00A173A8">
            <w:pPr>
              <w:spacing w:after="100"/>
              <w:rPr>
                <w:rFonts w:eastAsia="Times New Roman"/>
                <w:sz w:val="20"/>
                <w:szCs w:val="20"/>
              </w:rPr>
            </w:pPr>
          </w:p>
        </w:tc>
        <w:tc>
          <w:tcPr>
            <w:tcW w:w="0" w:type="auto"/>
            <w:vAlign w:val="center"/>
            <w:hideMark/>
          </w:tcPr>
          <w:p w14:paraId="2D92101A" w14:textId="77777777" w:rsidR="00000000" w:rsidRDefault="00A173A8">
            <w:pPr>
              <w:spacing w:after="100"/>
              <w:rPr>
                <w:rFonts w:eastAsia="Times New Roman"/>
                <w:sz w:val="20"/>
                <w:szCs w:val="20"/>
              </w:rPr>
            </w:pPr>
          </w:p>
        </w:tc>
        <w:tc>
          <w:tcPr>
            <w:tcW w:w="0" w:type="auto"/>
            <w:vAlign w:val="center"/>
            <w:hideMark/>
          </w:tcPr>
          <w:p w14:paraId="57808CE3" w14:textId="77777777" w:rsidR="00000000" w:rsidRDefault="00A173A8">
            <w:pPr>
              <w:spacing w:after="100"/>
              <w:rPr>
                <w:rFonts w:eastAsia="Times New Roman"/>
                <w:sz w:val="20"/>
                <w:szCs w:val="20"/>
              </w:rPr>
            </w:pPr>
          </w:p>
        </w:tc>
        <w:tc>
          <w:tcPr>
            <w:tcW w:w="0" w:type="auto"/>
            <w:gridSpan w:val="3"/>
            <w:vAlign w:val="center"/>
            <w:hideMark/>
          </w:tcPr>
          <w:p w14:paraId="79A9B954" w14:textId="77777777" w:rsidR="00000000" w:rsidRDefault="00A173A8">
            <w:pPr>
              <w:spacing w:after="100"/>
              <w:rPr>
                <w:rFonts w:eastAsia="Times New Roman"/>
                <w:sz w:val="20"/>
                <w:szCs w:val="20"/>
              </w:rPr>
            </w:pPr>
          </w:p>
        </w:tc>
        <w:tc>
          <w:tcPr>
            <w:tcW w:w="0" w:type="auto"/>
            <w:gridSpan w:val="3"/>
            <w:vAlign w:val="center"/>
            <w:hideMark/>
          </w:tcPr>
          <w:p w14:paraId="7F37B5AF" w14:textId="77777777" w:rsidR="00000000" w:rsidRDefault="00A173A8">
            <w:pPr>
              <w:spacing w:after="100"/>
              <w:rPr>
                <w:rFonts w:eastAsia="Times New Roman"/>
                <w:sz w:val="20"/>
                <w:szCs w:val="20"/>
              </w:rPr>
            </w:pPr>
          </w:p>
        </w:tc>
        <w:tc>
          <w:tcPr>
            <w:tcW w:w="0" w:type="auto"/>
            <w:gridSpan w:val="3"/>
            <w:vAlign w:val="center"/>
            <w:hideMark/>
          </w:tcPr>
          <w:p w14:paraId="1742099D" w14:textId="77777777" w:rsidR="00000000" w:rsidRDefault="00A173A8">
            <w:pPr>
              <w:spacing w:after="100"/>
              <w:rPr>
                <w:rFonts w:eastAsia="Times New Roman"/>
                <w:sz w:val="20"/>
                <w:szCs w:val="20"/>
              </w:rPr>
            </w:pPr>
          </w:p>
        </w:tc>
        <w:tc>
          <w:tcPr>
            <w:tcW w:w="0" w:type="auto"/>
            <w:gridSpan w:val="3"/>
            <w:vAlign w:val="center"/>
            <w:hideMark/>
          </w:tcPr>
          <w:p w14:paraId="5B779C6F" w14:textId="77777777" w:rsidR="00000000" w:rsidRDefault="00A173A8">
            <w:pPr>
              <w:spacing w:after="100"/>
              <w:rPr>
                <w:rFonts w:eastAsia="Times New Roman"/>
                <w:sz w:val="20"/>
                <w:szCs w:val="20"/>
              </w:rPr>
            </w:pPr>
          </w:p>
        </w:tc>
      </w:tr>
      <w:tr w:rsidR="00000000" w14:paraId="425ABD23" w14:textId="77777777">
        <w:trPr>
          <w:divId w:val="1280793884"/>
        </w:trPr>
        <w:tc>
          <w:tcPr>
            <w:tcW w:w="0" w:type="auto"/>
            <w:gridSpan w:val="3"/>
            <w:shd w:val="clear" w:color="auto" w:fill="FFFFFF"/>
            <w:tcMar>
              <w:top w:w="30" w:type="dxa"/>
              <w:left w:w="20" w:type="dxa"/>
              <w:bottom w:w="30" w:type="dxa"/>
              <w:right w:w="20" w:type="dxa"/>
            </w:tcMar>
            <w:vAlign w:val="center"/>
            <w:hideMark/>
          </w:tcPr>
          <w:p w14:paraId="57B40B86" w14:textId="77777777" w:rsidR="00000000" w:rsidRDefault="00A173A8">
            <w:pPr>
              <w:spacing w:after="100"/>
              <w:rPr>
                <w:rFonts w:eastAsia="Times New Roman"/>
              </w:rPr>
            </w:pPr>
            <w:r>
              <w:rPr>
                <w:rFonts w:eastAsia="Times New Roman"/>
                <w:color w:val="000000"/>
                <w:sz w:val="20"/>
                <w:szCs w:val="20"/>
              </w:rPr>
              <w:t>Premises and equipment, net</w:t>
            </w:r>
          </w:p>
        </w:tc>
        <w:tc>
          <w:tcPr>
            <w:tcW w:w="0" w:type="auto"/>
            <w:gridSpan w:val="3"/>
            <w:shd w:val="clear" w:color="auto" w:fill="FFFFFF"/>
            <w:tcMar>
              <w:top w:w="0" w:type="dxa"/>
              <w:left w:w="20" w:type="dxa"/>
              <w:bottom w:w="0" w:type="dxa"/>
              <w:right w:w="20" w:type="dxa"/>
            </w:tcMar>
            <w:vAlign w:val="center"/>
            <w:hideMark/>
          </w:tcPr>
          <w:p w14:paraId="312AFF6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995DA14" w14:textId="77777777" w:rsidR="00000000" w:rsidRDefault="00A173A8">
            <w:pPr>
              <w:spacing w:after="100"/>
              <w:jc w:val="right"/>
              <w:rPr>
                <w:rFonts w:eastAsia="Times New Roman"/>
              </w:rPr>
            </w:pPr>
            <w:r>
              <w:rPr>
                <w:rFonts w:eastAsia="Times New Roman"/>
                <w:b/>
                <w:bCs/>
                <w:color w:val="000000"/>
                <w:sz w:val="20"/>
                <w:szCs w:val="20"/>
              </w:rPr>
              <w:t>4,262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4DC172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71A7A8"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39CC7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65FBC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78AF2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E424F0"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69E6BF" w14:textId="77777777" w:rsidR="00000000" w:rsidRDefault="00A173A8">
            <w:pPr>
              <w:spacing w:after="100"/>
              <w:jc w:val="right"/>
              <w:rPr>
                <w:rFonts w:eastAsia="Times New Roman"/>
              </w:rPr>
            </w:pPr>
            <w:r>
              <w:rPr>
                <w:rFonts w:eastAsia="Times New Roman"/>
                <w:color w:val="000000"/>
                <w:sz w:val="20"/>
                <w:szCs w:val="20"/>
              </w:rPr>
              <w:t>4,275 </w:t>
            </w:r>
          </w:p>
        </w:tc>
        <w:tc>
          <w:tcPr>
            <w:tcW w:w="0" w:type="auto"/>
            <w:shd w:val="clear" w:color="auto" w:fill="FFFFFF"/>
            <w:tcMar>
              <w:top w:w="30" w:type="dxa"/>
              <w:left w:w="0" w:type="dxa"/>
              <w:bottom w:w="30" w:type="dxa"/>
              <w:right w:w="20" w:type="dxa"/>
            </w:tcMar>
            <w:vAlign w:val="center"/>
            <w:hideMark/>
          </w:tcPr>
          <w:p w14:paraId="1CC62C3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C0DED"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CF414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07DDC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D4739D" w14:textId="77777777" w:rsidR="00000000" w:rsidRDefault="00A173A8">
            <w:pPr>
              <w:spacing w:after="100"/>
              <w:rPr>
                <w:rFonts w:eastAsia="Times New Roman"/>
                <w:sz w:val="20"/>
                <w:szCs w:val="20"/>
              </w:rPr>
            </w:pPr>
          </w:p>
        </w:tc>
        <w:tc>
          <w:tcPr>
            <w:tcW w:w="0" w:type="auto"/>
            <w:vAlign w:val="center"/>
            <w:hideMark/>
          </w:tcPr>
          <w:p w14:paraId="4D6410B9" w14:textId="77777777" w:rsidR="00000000" w:rsidRDefault="00A173A8">
            <w:pPr>
              <w:spacing w:after="100"/>
              <w:rPr>
                <w:rFonts w:eastAsia="Times New Roman"/>
                <w:sz w:val="20"/>
                <w:szCs w:val="20"/>
              </w:rPr>
            </w:pPr>
          </w:p>
        </w:tc>
        <w:tc>
          <w:tcPr>
            <w:tcW w:w="0" w:type="auto"/>
            <w:vAlign w:val="center"/>
            <w:hideMark/>
          </w:tcPr>
          <w:p w14:paraId="12E25603" w14:textId="77777777" w:rsidR="00000000" w:rsidRDefault="00A173A8">
            <w:pPr>
              <w:spacing w:after="100"/>
              <w:rPr>
                <w:rFonts w:eastAsia="Times New Roman"/>
                <w:sz w:val="20"/>
                <w:szCs w:val="20"/>
              </w:rPr>
            </w:pPr>
          </w:p>
        </w:tc>
        <w:tc>
          <w:tcPr>
            <w:tcW w:w="0" w:type="auto"/>
            <w:gridSpan w:val="3"/>
            <w:vAlign w:val="center"/>
            <w:hideMark/>
          </w:tcPr>
          <w:p w14:paraId="100A6B8A" w14:textId="77777777" w:rsidR="00000000" w:rsidRDefault="00A173A8">
            <w:pPr>
              <w:spacing w:after="100"/>
              <w:rPr>
                <w:rFonts w:eastAsia="Times New Roman"/>
                <w:sz w:val="20"/>
                <w:szCs w:val="20"/>
              </w:rPr>
            </w:pPr>
          </w:p>
        </w:tc>
        <w:tc>
          <w:tcPr>
            <w:tcW w:w="0" w:type="auto"/>
            <w:gridSpan w:val="3"/>
            <w:vAlign w:val="center"/>
            <w:hideMark/>
          </w:tcPr>
          <w:p w14:paraId="7ACC3451" w14:textId="77777777" w:rsidR="00000000" w:rsidRDefault="00A173A8">
            <w:pPr>
              <w:spacing w:after="100"/>
              <w:rPr>
                <w:rFonts w:eastAsia="Times New Roman"/>
                <w:sz w:val="20"/>
                <w:szCs w:val="20"/>
              </w:rPr>
            </w:pPr>
          </w:p>
        </w:tc>
        <w:tc>
          <w:tcPr>
            <w:tcW w:w="0" w:type="auto"/>
            <w:gridSpan w:val="3"/>
            <w:vAlign w:val="center"/>
            <w:hideMark/>
          </w:tcPr>
          <w:p w14:paraId="0700078F" w14:textId="77777777" w:rsidR="00000000" w:rsidRDefault="00A173A8">
            <w:pPr>
              <w:spacing w:after="100"/>
              <w:rPr>
                <w:rFonts w:eastAsia="Times New Roman"/>
                <w:sz w:val="20"/>
                <w:szCs w:val="20"/>
              </w:rPr>
            </w:pPr>
          </w:p>
        </w:tc>
        <w:tc>
          <w:tcPr>
            <w:tcW w:w="0" w:type="auto"/>
            <w:gridSpan w:val="3"/>
            <w:vAlign w:val="center"/>
            <w:hideMark/>
          </w:tcPr>
          <w:p w14:paraId="272E9D71" w14:textId="77777777" w:rsidR="00000000" w:rsidRDefault="00A173A8">
            <w:pPr>
              <w:spacing w:after="100"/>
              <w:rPr>
                <w:rFonts w:eastAsia="Times New Roman"/>
                <w:sz w:val="20"/>
                <w:szCs w:val="20"/>
              </w:rPr>
            </w:pPr>
          </w:p>
        </w:tc>
      </w:tr>
      <w:tr w:rsidR="00000000" w14:paraId="7BD56C25" w14:textId="77777777">
        <w:trPr>
          <w:divId w:val="1280793884"/>
        </w:trPr>
        <w:tc>
          <w:tcPr>
            <w:tcW w:w="0" w:type="auto"/>
            <w:gridSpan w:val="3"/>
            <w:shd w:val="clear" w:color="auto" w:fill="CCEEFF"/>
            <w:tcMar>
              <w:top w:w="30" w:type="dxa"/>
              <w:left w:w="20" w:type="dxa"/>
              <w:bottom w:w="30" w:type="dxa"/>
              <w:right w:w="20" w:type="dxa"/>
            </w:tcMar>
            <w:vAlign w:val="center"/>
            <w:hideMark/>
          </w:tcPr>
          <w:p w14:paraId="2E16AD53" w14:textId="77777777" w:rsidR="00000000" w:rsidRDefault="00A173A8">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14:paraId="3704192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346ACE3" w14:textId="77777777" w:rsidR="00000000" w:rsidRDefault="00A173A8">
            <w:pPr>
              <w:spacing w:after="100"/>
              <w:jc w:val="right"/>
              <w:rPr>
                <w:rFonts w:eastAsia="Times New Roman"/>
              </w:rPr>
            </w:pPr>
            <w:r>
              <w:rPr>
                <w:rFonts w:eastAsia="Times New Roman"/>
                <w:b/>
                <w:bCs/>
                <w:color w:val="000000"/>
                <w:sz w:val="20"/>
                <w:szCs w:val="20"/>
              </w:rPr>
              <w:t>38,272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9635C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E55000"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3ADCB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32A56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007EE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10D12F"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35E88B" w14:textId="77777777" w:rsidR="00000000" w:rsidRDefault="00A173A8">
            <w:pPr>
              <w:spacing w:after="100"/>
              <w:jc w:val="right"/>
              <w:rPr>
                <w:rFonts w:eastAsia="Times New Roman"/>
              </w:rPr>
            </w:pPr>
            <w:r>
              <w:rPr>
                <w:rFonts w:eastAsia="Times New Roman"/>
                <w:color w:val="000000"/>
                <w:sz w:val="20"/>
                <w:szCs w:val="20"/>
              </w:rPr>
              <w:t>38,285 </w:t>
            </w:r>
          </w:p>
        </w:tc>
        <w:tc>
          <w:tcPr>
            <w:tcW w:w="0" w:type="auto"/>
            <w:shd w:val="clear" w:color="auto" w:fill="CCEEFF"/>
            <w:tcMar>
              <w:top w:w="30" w:type="dxa"/>
              <w:left w:w="0" w:type="dxa"/>
              <w:bottom w:w="30" w:type="dxa"/>
              <w:right w:w="20" w:type="dxa"/>
            </w:tcMar>
            <w:vAlign w:val="center"/>
            <w:hideMark/>
          </w:tcPr>
          <w:p w14:paraId="7726FF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2982E1"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8EBEF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41D42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752A72" w14:textId="77777777" w:rsidR="00000000" w:rsidRDefault="00A173A8">
            <w:pPr>
              <w:spacing w:after="100"/>
              <w:rPr>
                <w:rFonts w:eastAsia="Times New Roman"/>
                <w:sz w:val="20"/>
                <w:szCs w:val="20"/>
              </w:rPr>
            </w:pPr>
          </w:p>
        </w:tc>
        <w:tc>
          <w:tcPr>
            <w:tcW w:w="0" w:type="auto"/>
            <w:vAlign w:val="center"/>
            <w:hideMark/>
          </w:tcPr>
          <w:p w14:paraId="25EA336E" w14:textId="77777777" w:rsidR="00000000" w:rsidRDefault="00A173A8">
            <w:pPr>
              <w:spacing w:after="100"/>
              <w:rPr>
                <w:rFonts w:eastAsia="Times New Roman"/>
                <w:sz w:val="20"/>
                <w:szCs w:val="20"/>
              </w:rPr>
            </w:pPr>
          </w:p>
        </w:tc>
        <w:tc>
          <w:tcPr>
            <w:tcW w:w="0" w:type="auto"/>
            <w:vAlign w:val="center"/>
            <w:hideMark/>
          </w:tcPr>
          <w:p w14:paraId="24C3B889" w14:textId="77777777" w:rsidR="00000000" w:rsidRDefault="00A173A8">
            <w:pPr>
              <w:spacing w:after="100"/>
              <w:rPr>
                <w:rFonts w:eastAsia="Times New Roman"/>
                <w:sz w:val="20"/>
                <w:szCs w:val="20"/>
              </w:rPr>
            </w:pPr>
          </w:p>
        </w:tc>
        <w:tc>
          <w:tcPr>
            <w:tcW w:w="0" w:type="auto"/>
            <w:gridSpan w:val="3"/>
            <w:vAlign w:val="center"/>
            <w:hideMark/>
          </w:tcPr>
          <w:p w14:paraId="038B34BE" w14:textId="77777777" w:rsidR="00000000" w:rsidRDefault="00A173A8">
            <w:pPr>
              <w:spacing w:after="100"/>
              <w:rPr>
                <w:rFonts w:eastAsia="Times New Roman"/>
                <w:sz w:val="20"/>
                <w:szCs w:val="20"/>
              </w:rPr>
            </w:pPr>
          </w:p>
        </w:tc>
        <w:tc>
          <w:tcPr>
            <w:tcW w:w="0" w:type="auto"/>
            <w:gridSpan w:val="3"/>
            <w:vAlign w:val="center"/>
            <w:hideMark/>
          </w:tcPr>
          <w:p w14:paraId="0E730FC1" w14:textId="77777777" w:rsidR="00000000" w:rsidRDefault="00A173A8">
            <w:pPr>
              <w:spacing w:after="100"/>
              <w:rPr>
                <w:rFonts w:eastAsia="Times New Roman"/>
                <w:sz w:val="20"/>
                <w:szCs w:val="20"/>
              </w:rPr>
            </w:pPr>
          </w:p>
        </w:tc>
        <w:tc>
          <w:tcPr>
            <w:tcW w:w="0" w:type="auto"/>
            <w:gridSpan w:val="3"/>
            <w:vAlign w:val="center"/>
            <w:hideMark/>
          </w:tcPr>
          <w:p w14:paraId="6F301176" w14:textId="77777777" w:rsidR="00000000" w:rsidRDefault="00A173A8">
            <w:pPr>
              <w:spacing w:after="100"/>
              <w:rPr>
                <w:rFonts w:eastAsia="Times New Roman"/>
                <w:sz w:val="20"/>
                <w:szCs w:val="20"/>
              </w:rPr>
            </w:pPr>
          </w:p>
        </w:tc>
        <w:tc>
          <w:tcPr>
            <w:tcW w:w="0" w:type="auto"/>
            <w:gridSpan w:val="3"/>
            <w:vAlign w:val="center"/>
            <w:hideMark/>
          </w:tcPr>
          <w:p w14:paraId="221ADE78" w14:textId="77777777" w:rsidR="00000000" w:rsidRDefault="00A173A8">
            <w:pPr>
              <w:spacing w:after="100"/>
              <w:rPr>
                <w:rFonts w:eastAsia="Times New Roman"/>
                <w:sz w:val="20"/>
                <w:szCs w:val="20"/>
              </w:rPr>
            </w:pPr>
          </w:p>
        </w:tc>
      </w:tr>
      <w:tr w:rsidR="00000000" w14:paraId="2E1C9E89" w14:textId="77777777">
        <w:trPr>
          <w:divId w:val="1280793884"/>
        </w:trPr>
        <w:tc>
          <w:tcPr>
            <w:tcW w:w="0" w:type="auto"/>
            <w:gridSpan w:val="3"/>
            <w:shd w:val="clear" w:color="auto" w:fill="FFFFFF"/>
            <w:tcMar>
              <w:top w:w="30" w:type="dxa"/>
              <w:left w:w="20" w:type="dxa"/>
              <w:bottom w:w="30" w:type="dxa"/>
              <w:right w:w="20" w:type="dxa"/>
            </w:tcMar>
            <w:vAlign w:val="center"/>
            <w:hideMark/>
          </w:tcPr>
          <w:p w14:paraId="45A2BD61" w14:textId="77777777" w:rsidR="00000000" w:rsidRDefault="00A173A8">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14:paraId="0F48087C"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97A3325"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008F1D3" w14:textId="77777777" w:rsidR="00000000" w:rsidRDefault="00A173A8">
            <w:pPr>
              <w:spacing w:after="100"/>
              <w:jc w:val="right"/>
              <w:rPr>
                <w:rFonts w:eastAsia="Times New Roman"/>
              </w:rPr>
            </w:pPr>
            <w:r>
              <w:rPr>
                <w:rFonts w:eastAsia="Times New Roman"/>
                <w:b/>
                <w:bCs/>
                <w:color w:val="000000"/>
                <w:sz w:val="20"/>
                <w:szCs w:val="20"/>
              </w:rPr>
              <w:t>435,327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2320E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9D550"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59480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2C6EC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A2EAB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1426B4" w14:textId="77777777" w:rsidR="00000000" w:rsidRDefault="00A173A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A1DC3A0"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2E69636" w14:textId="77777777" w:rsidR="00000000" w:rsidRDefault="00A173A8">
            <w:pPr>
              <w:spacing w:after="100"/>
              <w:jc w:val="right"/>
              <w:rPr>
                <w:rFonts w:eastAsia="Times New Roman"/>
              </w:rPr>
            </w:pPr>
            <w:r>
              <w:rPr>
                <w:rFonts w:eastAsia="Times New Roman"/>
                <w:color w:val="000000"/>
                <w:sz w:val="20"/>
                <w:szCs w:val="20"/>
              </w:rPr>
              <w:t>424,099 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31D5B3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19019"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41C24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C6512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23B2E3" w14:textId="77777777" w:rsidR="00000000" w:rsidRDefault="00A173A8">
            <w:pPr>
              <w:spacing w:after="100"/>
              <w:rPr>
                <w:rFonts w:eastAsia="Times New Roman"/>
                <w:sz w:val="20"/>
                <w:szCs w:val="20"/>
              </w:rPr>
            </w:pPr>
          </w:p>
        </w:tc>
        <w:tc>
          <w:tcPr>
            <w:tcW w:w="0" w:type="auto"/>
            <w:vAlign w:val="center"/>
            <w:hideMark/>
          </w:tcPr>
          <w:p w14:paraId="36927C04" w14:textId="77777777" w:rsidR="00000000" w:rsidRDefault="00A173A8">
            <w:pPr>
              <w:spacing w:after="100"/>
              <w:rPr>
                <w:rFonts w:eastAsia="Times New Roman"/>
                <w:sz w:val="20"/>
                <w:szCs w:val="20"/>
              </w:rPr>
            </w:pPr>
          </w:p>
        </w:tc>
        <w:tc>
          <w:tcPr>
            <w:tcW w:w="0" w:type="auto"/>
            <w:vAlign w:val="center"/>
            <w:hideMark/>
          </w:tcPr>
          <w:p w14:paraId="2CAC7F38" w14:textId="77777777" w:rsidR="00000000" w:rsidRDefault="00A173A8">
            <w:pPr>
              <w:spacing w:after="100"/>
              <w:rPr>
                <w:rFonts w:eastAsia="Times New Roman"/>
                <w:sz w:val="20"/>
                <w:szCs w:val="20"/>
              </w:rPr>
            </w:pPr>
          </w:p>
        </w:tc>
        <w:tc>
          <w:tcPr>
            <w:tcW w:w="0" w:type="auto"/>
            <w:gridSpan w:val="3"/>
            <w:vAlign w:val="center"/>
            <w:hideMark/>
          </w:tcPr>
          <w:p w14:paraId="7099520B" w14:textId="77777777" w:rsidR="00000000" w:rsidRDefault="00A173A8">
            <w:pPr>
              <w:spacing w:after="100"/>
              <w:rPr>
                <w:rFonts w:eastAsia="Times New Roman"/>
                <w:sz w:val="20"/>
                <w:szCs w:val="20"/>
              </w:rPr>
            </w:pPr>
          </w:p>
        </w:tc>
        <w:tc>
          <w:tcPr>
            <w:tcW w:w="0" w:type="auto"/>
            <w:gridSpan w:val="3"/>
            <w:vAlign w:val="center"/>
            <w:hideMark/>
          </w:tcPr>
          <w:p w14:paraId="44ED73DF" w14:textId="77777777" w:rsidR="00000000" w:rsidRDefault="00A173A8">
            <w:pPr>
              <w:spacing w:after="100"/>
              <w:rPr>
                <w:rFonts w:eastAsia="Times New Roman"/>
                <w:sz w:val="20"/>
                <w:szCs w:val="20"/>
              </w:rPr>
            </w:pPr>
          </w:p>
        </w:tc>
        <w:tc>
          <w:tcPr>
            <w:tcW w:w="0" w:type="auto"/>
            <w:gridSpan w:val="3"/>
            <w:vAlign w:val="center"/>
            <w:hideMark/>
          </w:tcPr>
          <w:p w14:paraId="6482FFDC" w14:textId="77777777" w:rsidR="00000000" w:rsidRDefault="00A173A8">
            <w:pPr>
              <w:spacing w:after="100"/>
              <w:rPr>
                <w:rFonts w:eastAsia="Times New Roman"/>
                <w:sz w:val="20"/>
                <w:szCs w:val="20"/>
              </w:rPr>
            </w:pPr>
          </w:p>
        </w:tc>
        <w:tc>
          <w:tcPr>
            <w:tcW w:w="0" w:type="auto"/>
            <w:gridSpan w:val="3"/>
            <w:vAlign w:val="center"/>
            <w:hideMark/>
          </w:tcPr>
          <w:p w14:paraId="109E9090" w14:textId="77777777" w:rsidR="00000000" w:rsidRDefault="00A173A8">
            <w:pPr>
              <w:spacing w:after="100"/>
              <w:rPr>
                <w:rFonts w:eastAsia="Times New Roman"/>
                <w:sz w:val="20"/>
                <w:szCs w:val="20"/>
              </w:rPr>
            </w:pPr>
          </w:p>
        </w:tc>
      </w:tr>
      <w:tr w:rsidR="00000000" w14:paraId="165AECEF" w14:textId="77777777">
        <w:trPr>
          <w:divId w:val="1280793884"/>
        </w:trPr>
        <w:tc>
          <w:tcPr>
            <w:tcW w:w="0" w:type="auto"/>
            <w:gridSpan w:val="3"/>
            <w:shd w:val="clear" w:color="auto" w:fill="CCEEFF"/>
            <w:tcMar>
              <w:top w:w="30" w:type="dxa"/>
              <w:left w:w="20" w:type="dxa"/>
              <w:bottom w:w="30" w:type="dxa"/>
              <w:right w:w="20" w:type="dxa"/>
            </w:tcMar>
            <w:vAlign w:val="center"/>
            <w:hideMark/>
          </w:tcPr>
          <w:p w14:paraId="1AFAA66B" w14:textId="77777777" w:rsidR="00000000" w:rsidRDefault="00A173A8">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0" w:type="dxa"/>
              <w:left w:w="20" w:type="dxa"/>
              <w:bottom w:w="0" w:type="dxa"/>
              <w:right w:w="20" w:type="dxa"/>
            </w:tcMar>
            <w:vAlign w:val="center"/>
            <w:hideMark/>
          </w:tcPr>
          <w:p w14:paraId="1CCF16A3"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FA434C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8A37D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8C589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2F88E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A2C22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FE542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EEBA7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7521A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97FD9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E9985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8580A4" w14:textId="77777777" w:rsidR="00000000" w:rsidRDefault="00A173A8">
            <w:pPr>
              <w:spacing w:after="100"/>
              <w:rPr>
                <w:rFonts w:eastAsia="Times New Roman"/>
                <w:sz w:val="20"/>
                <w:szCs w:val="20"/>
              </w:rPr>
            </w:pPr>
          </w:p>
        </w:tc>
        <w:tc>
          <w:tcPr>
            <w:tcW w:w="0" w:type="auto"/>
            <w:vAlign w:val="center"/>
            <w:hideMark/>
          </w:tcPr>
          <w:p w14:paraId="06A50147" w14:textId="77777777" w:rsidR="00000000" w:rsidRDefault="00A173A8">
            <w:pPr>
              <w:spacing w:after="100"/>
              <w:rPr>
                <w:rFonts w:eastAsia="Times New Roman"/>
                <w:sz w:val="20"/>
                <w:szCs w:val="20"/>
              </w:rPr>
            </w:pPr>
          </w:p>
        </w:tc>
        <w:tc>
          <w:tcPr>
            <w:tcW w:w="0" w:type="auto"/>
            <w:vAlign w:val="center"/>
            <w:hideMark/>
          </w:tcPr>
          <w:p w14:paraId="032EB147" w14:textId="77777777" w:rsidR="00000000" w:rsidRDefault="00A173A8">
            <w:pPr>
              <w:spacing w:after="100"/>
              <w:rPr>
                <w:rFonts w:eastAsia="Times New Roman"/>
                <w:sz w:val="20"/>
                <w:szCs w:val="20"/>
              </w:rPr>
            </w:pPr>
          </w:p>
        </w:tc>
        <w:tc>
          <w:tcPr>
            <w:tcW w:w="0" w:type="auto"/>
            <w:gridSpan w:val="3"/>
            <w:vAlign w:val="center"/>
            <w:hideMark/>
          </w:tcPr>
          <w:p w14:paraId="315391EA" w14:textId="77777777" w:rsidR="00000000" w:rsidRDefault="00A173A8">
            <w:pPr>
              <w:spacing w:after="100"/>
              <w:rPr>
                <w:rFonts w:eastAsia="Times New Roman"/>
                <w:sz w:val="20"/>
                <w:szCs w:val="20"/>
              </w:rPr>
            </w:pPr>
          </w:p>
        </w:tc>
        <w:tc>
          <w:tcPr>
            <w:tcW w:w="0" w:type="auto"/>
            <w:gridSpan w:val="3"/>
            <w:vAlign w:val="center"/>
            <w:hideMark/>
          </w:tcPr>
          <w:p w14:paraId="6E117C6C" w14:textId="77777777" w:rsidR="00000000" w:rsidRDefault="00A173A8">
            <w:pPr>
              <w:spacing w:after="100"/>
              <w:rPr>
                <w:rFonts w:eastAsia="Times New Roman"/>
                <w:sz w:val="20"/>
                <w:szCs w:val="20"/>
              </w:rPr>
            </w:pPr>
          </w:p>
        </w:tc>
        <w:tc>
          <w:tcPr>
            <w:tcW w:w="0" w:type="auto"/>
            <w:gridSpan w:val="3"/>
            <w:vAlign w:val="center"/>
            <w:hideMark/>
          </w:tcPr>
          <w:p w14:paraId="2FDF37D7" w14:textId="77777777" w:rsidR="00000000" w:rsidRDefault="00A173A8">
            <w:pPr>
              <w:spacing w:after="100"/>
              <w:rPr>
                <w:rFonts w:eastAsia="Times New Roman"/>
                <w:sz w:val="20"/>
                <w:szCs w:val="20"/>
              </w:rPr>
            </w:pPr>
          </w:p>
        </w:tc>
        <w:tc>
          <w:tcPr>
            <w:tcW w:w="0" w:type="auto"/>
            <w:gridSpan w:val="3"/>
            <w:vAlign w:val="center"/>
            <w:hideMark/>
          </w:tcPr>
          <w:p w14:paraId="216E0FA5" w14:textId="77777777" w:rsidR="00000000" w:rsidRDefault="00A173A8">
            <w:pPr>
              <w:spacing w:after="100"/>
              <w:rPr>
                <w:rFonts w:eastAsia="Times New Roman"/>
                <w:sz w:val="20"/>
                <w:szCs w:val="20"/>
              </w:rPr>
            </w:pPr>
          </w:p>
        </w:tc>
      </w:tr>
      <w:tr w:rsidR="00000000" w14:paraId="00E9D76F" w14:textId="77777777">
        <w:trPr>
          <w:divId w:val="1280793884"/>
        </w:trPr>
        <w:tc>
          <w:tcPr>
            <w:tcW w:w="0" w:type="auto"/>
            <w:gridSpan w:val="3"/>
            <w:shd w:val="clear" w:color="auto" w:fill="FFFFFF"/>
            <w:tcMar>
              <w:top w:w="30" w:type="dxa"/>
              <w:left w:w="20" w:type="dxa"/>
              <w:bottom w:w="30" w:type="dxa"/>
              <w:right w:w="20" w:type="dxa"/>
            </w:tcMar>
            <w:vAlign w:val="center"/>
            <w:hideMark/>
          </w:tcPr>
          <w:p w14:paraId="394044F2" w14:textId="77777777" w:rsidR="00000000" w:rsidRDefault="00A173A8">
            <w:pPr>
              <w:spacing w:after="100"/>
              <w:rPr>
                <w:rFonts w:eastAsia="Times New Roman"/>
              </w:rPr>
            </w:pPr>
            <w:r>
              <w:rPr>
                <w:rFonts w:eastAsia="Times New Roman"/>
                <w:color w:val="000000"/>
                <w:sz w:val="20"/>
                <w:szCs w:val="20"/>
              </w:rPr>
              <w:t>Interest-bearing liabilities:</w:t>
            </w:r>
          </w:p>
        </w:tc>
        <w:tc>
          <w:tcPr>
            <w:tcW w:w="0" w:type="auto"/>
            <w:gridSpan w:val="3"/>
            <w:shd w:val="clear" w:color="auto" w:fill="FFFFFF"/>
            <w:tcMar>
              <w:top w:w="0" w:type="dxa"/>
              <w:left w:w="20" w:type="dxa"/>
              <w:bottom w:w="0" w:type="dxa"/>
              <w:right w:w="20" w:type="dxa"/>
            </w:tcMar>
            <w:vAlign w:val="center"/>
            <w:hideMark/>
          </w:tcPr>
          <w:p w14:paraId="71A1D3A0"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40878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9D11C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BED14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70A66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ABB98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F9EF5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5F173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0AB7E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3DFCB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533F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76DCF3" w14:textId="77777777" w:rsidR="00000000" w:rsidRDefault="00A173A8">
            <w:pPr>
              <w:spacing w:after="100"/>
              <w:rPr>
                <w:rFonts w:eastAsia="Times New Roman"/>
                <w:sz w:val="20"/>
                <w:szCs w:val="20"/>
              </w:rPr>
            </w:pPr>
          </w:p>
        </w:tc>
        <w:tc>
          <w:tcPr>
            <w:tcW w:w="0" w:type="auto"/>
            <w:vAlign w:val="center"/>
            <w:hideMark/>
          </w:tcPr>
          <w:p w14:paraId="130730CC" w14:textId="77777777" w:rsidR="00000000" w:rsidRDefault="00A173A8">
            <w:pPr>
              <w:spacing w:after="100"/>
              <w:rPr>
                <w:rFonts w:eastAsia="Times New Roman"/>
                <w:sz w:val="20"/>
                <w:szCs w:val="20"/>
              </w:rPr>
            </w:pPr>
          </w:p>
        </w:tc>
        <w:tc>
          <w:tcPr>
            <w:tcW w:w="0" w:type="auto"/>
            <w:vAlign w:val="center"/>
            <w:hideMark/>
          </w:tcPr>
          <w:p w14:paraId="15E7AD0C" w14:textId="77777777" w:rsidR="00000000" w:rsidRDefault="00A173A8">
            <w:pPr>
              <w:spacing w:after="100"/>
              <w:rPr>
                <w:rFonts w:eastAsia="Times New Roman"/>
                <w:sz w:val="20"/>
                <w:szCs w:val="20"/>
              </w:rPr>
            </w:pPr>
          </w:p>
        </w:tc>
        <w:tc>
          <w:tcPr>
            <w:tcW w:w="0" w:type="auto"/>
            <w:gridSpan w:val="3"/>
            <w:vAlign w:val="center"/>
            <w:hideMark/>
          </w:tcPr>
          <w:p w14:paraId="73E65BE8" w14:textId="77777777" w:rsidR="00000000" w:rsidRDefault="00A173A8">
            <w:pPr>
              <w:spacing w:after="100"/>
              <w:rPr>
                <w:rFonts w:eastAsia="Times New Roman"/>
                <w:sz w:val="20"/>
                <w:szCs w:val="20"/>
              </w:rPr>
            </w:pPr>
          </w:p>
        </w:tc>
        <w:tc>
          <w:tcPr>
            <w:tcW w:w="0" w:type="auto"/>
            <w:gridSpan w:val="3"/>
            <w:vAlign w:val="center"/>
            <w:hideMark/>
          </w:tcPr>
          <w:p w14:paraId="6760B61C" w14:textId="77777777" w:rsidR="00000000" w:rsidRDefault="00A173A8">
            <w:pPr>
              <w:spacing w:after="100"/>
              <w:rPr>
                <w:rFonts w:eastAsia="Times New Roman"/>
                <w:sz w:val="20"/>
                <w:szCs w:val="20"/>
              </w:rPr>
            </w:pPr>
          </w:p>
        </w:tc>
        <w:tc>
          <w:tcPr>
            <w:tcW w:w="0" w:type="auto"/>
            <w:gridSpan w:val="3"/>
            <w:vAlign w:val="center"/>
            <w:hideMark/>
          </w:tcPr>
          <w:p w14:paraId="0437407E" w14:textId="77777777" w:rsidR="00000000" w:rsidRDefault="00A173A8">
            <w:pPr>
              <w:spacing w:after="100"/>
              <w:rPr>
                <w:rFonts w:eastAsia="Times New Roman"/>
                <w:sz w:val="20"/>
                <w:szCs w:val="20"/>
              </w:rPr>
            </w:pPr>
          </w:p>
        </w:tc>
        <w:tc>
          <w:tcPr>
            <w:tcW w:w="0" w:type="auto"/>
            <w:gridSpan w:val="3"/>
            <w:vAlign w:val="center"/>
            <w:hideMark/>
          </w:tcPr>
          <w:p w14:paraId="56B1DFF6" w14:textId="77777777" w:rsidR="00000000" w:rsidRDefault="00A173A8">
            <w:pPr>
              <w:spacing w:after="100"/>
              <w:rPr>
                <w:rFonts w:eastAsia="Times New Roman"/>
                <w:sz w:val="20"/>
                <w:szCs w:val="20"/>
              </w:rPr>
            </w:pPr>
          </w:p>
        </w:tc>
      </w:tr>
      <w:tr w:rsidR="00000000" w14:paraId="2B474159" w14:textId="77777777">
        <w:trPr>
          <w:divId w:val="1280793884"/>
        </w:trPr>
        <w:tc>
          <w:tcPr>
            <w:tcW w:w="0" w:type="auto"/>
            <w:gridSpan w:val="3"/>
            <w:shd w:val="clear" w:color="auto" w:fill="CCEEFF"/>
            <w:tcMar>
              <w:top w:w="30" w:type="dxa"/>
              <w:left w:w="245" w:type="dxa"/>
              <w:bottom w:w="30" w:type="dxa"/>
              <w:right w:w="20" w:type="dxa"/>
            </w:tcMar>
            <w:vAlign w:val="center"/>
            <w:hideMark/>
          </w:tcPr>
          <w:p w14:paraId="25FA627E" w14:textId="77777777" w:rsidR="00000000" w:rsidRDefault="00A173A8">
            <w:pPr>
              <w:spacing w:after="100"/>
              <w:rPr>
                <w:rFonts w:eastAsia="Times New Roman"/>
              </w:rPr>
            </w:pPr>
            <w:r>
              <w:rPr>
                <w:rFonts w:eastAsia="Times New Roman"/>
                <w:color w:val="000000"/>
                <w:sz w:val="20"/>
                <w:szCs w:val="20"/>
              </w:rPr>
              <w:t>Interest-bearing deposits</w:t>
            </w:r>
          </w:p>
        </w:tc>
        <w:tc>
          <w:tcPr>
            <w:tcW w:w="0" w:type="auto"/>
            <w:gridSpan w:val="3"/>
            <w:shd w:val="clear" w:color="auto" w:fill="CCEEFF"/>
            <w:tcMar>
              <w:top w:w="0" w:type="dxa"/>
              <w:left w:w="20" w:type="dxa"/>
              <w:bottom w:w="0" w:type="dxa"/>
              <w:right w:w="20" w:type="dxa"/>
            </w:tcMar>
            <w:vAlign w:val="center"/>
            <w:hideMark/>
          </w:tcPr>
          <w:p w14:paraId="11A132DA"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70288137"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5CF1FD06" w14:textId="77777777" w:rsidR="00000000" w:rsidRDefault="00A173A8">
            <w:pPr>
              <w:spacing w:after="100"/>
              <w:jc w:val="right"/>
              <w:rPr>
                <w:rFonts w:eastAsia="Times New Roman"/>
              </w:rPr>
            </w:pPr>
            <w:r>
              <w:rPr>
                <w:rFonts w:eastAsia="Times New Roman"/>
                <w:b/>
                <w:bCs/>
                <w:color w:val="000000"/>
                <w:sz w:val="20"/>
                <w:szCs w:val="20"/>
              </w:rPr>
              <w:t>268,104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A84AF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5D6A97"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DCF00BE"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295C435B" w14:textId="77777777" w:rsidR="00000000" w:rsidRDefault="00A173A8">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90B4B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2260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29A7F2" w14:textId="77777777" w:rsidR="00000000" w:rsidRDefault="00A173A8">
            <w:pPr>
              <w:spacing w:after="100"/>
              <w:jc w:val="right"/>
              <w:rPr>
                <w:rFonts w:eastAsia="Times New Roman"/>
              </w:rPr>
            </w:pPr>
            <w:r>
              <w:rPr>
                <w:rFonts w:eastAsia="Times New Roman"/>
                <w:b/>
                <w:bCs/>
                <w:color w:val="000000"/>
                <w:sz w:val="20"/>
                <w:szCs w:val="20"/>
              </w:rPr>
              <w:t>0.44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01CBAD1"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937BDD7"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4A7AB9BF"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134A9A7" w14:textId="77777777" w:rsidR="00000000" w:rsidRDefault="00A173A8">
            <w:pPr>
              <w:spacing w:after="100"/>
              <w:jc w:val="right"/>
              <w:rPr>
                <w:rFonts w:eastAsia="Times New Roman"/>
              </w:rPr>
            </w:pPr>
            <w:r>
              <w:rPr>
                <w:rFonts w:eastAsia="Times New Roman"/>
                <w:color w:val="000000"/>
                <w:sz w:val="20"/>
                <w:szCs w:val="20"/>
              </w:rPr>
              <w:t>273,476 </w:t>
            </w:r>
          </w:p>
        </w:tc>
        <w:tc>
          <w:tcPr>
            <w:tcW w:w="0" w:type="auto"/>
            <w:shd w:val="clear" w:color="auto" w:fill="CCEEFF"/>
            <w:tcMar>
              <w:top w:w="30" w:type="dxa"/>
              <w:left w:w="0" w:type="dxa"/>
              <w:bottom w:w="30" w:type="dxa"/>
              <w:right w:w="20" w:type="dxa"/>
            </w:tcMar>
            <w:vAlign w:val="center"/>
            <w:hideMark/>
          </w:tcPr>
          <w:p w14:paraId="3C5D60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50EF15"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CF0D65D"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6E5C908A" w14:textId="77777777" w:rsidR="00000000" w:rsidRDefault="00A173A8">
            <w:pPr>
              <w:spacing w:after="100"/>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center"/>
            <w:hideMark/>
          </w:tcPr>
          <w:p w14:paraId="7021E7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D224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D9DD94" w14:textId="77777777" w:rsidR="00000000" w:rsidRDefault="00A173A8">
            <w:pPr>
              <w:spacing w:after="100"/>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center"/>
            <w:hideMark/>
          </w:tcPr>
          <w:p w14:paraId="42166F66" w14:textId="77777777" w:rsidR="00000000" w:rsidRDefault="00A173A8">
            <w:pPr>
              <w:spacing w:after="100"/>
              <w:rPr>
                <w:rFonts w:eastAsia="Times New Roman"/>
              </w:rPr>
            </w:pPr>
            <w:r>
              <w:rPr>
                <w:rFonts w:eastAsia="Times New Roman"/>
                <w:color w:val="000000"/>
                <w:sz w:val="20"/>
                <w:szCs w:val="20"/>
              </w:rPr>
              <w:t>%</w:t>
            </w:r>
          </w:p>
        </w:tc>
        <w:tc>
          <w:tcPr>
            <w:tcW w:w="0" w:type="auto"/>
            <w:vAlign w:val="center"/>
            <w:hideMark/>
          </w:tcPr>
          <w:p w14:paraId="71BC86FA" w14:textId="77777777" w:rsidR="00000000" w:rsidRDefault="00A173A8">
            <w:pPr>
              <w:spacing w:after="100"/>
              <w:rPr>
                <w:rFonts w:eastAsia="Times New Roman"/>
              </w:rPr>
            </w:pPr>
          </w:p>
        </w:tc>
        <w:tc>
          <w:tcPr>
            <w:tcW w:w="0" w:type="auto"/>
            <w:vAlign w:val="center"/>
            <w:hideMark/>
          </w:tcPr>
          <w:p w14:paraId="68930660" w14:textId="77777777" w:rsidR="00000000" w:rsidRDefault="00A173A8">
            <w:pPr>
              <w:spacing w:after="100"/>
              <w:rPr>
                <w:rFonts w:eastAsia="Times New Roman"/>
                <w:sz w:val="20"/>
                <w:szCs w:val="20"/>
              </w:rPr>
            </w:pPr>
          </w:p>
        </w:tc>
        <w:tc>
          <w:tcPr>
            <w:tcW w:w="0" w:type="auto"/>
            <w:gridSpan w:val="3"/>
            <w:vAlign w:val="center"/>
            <w:hideMark/>
          </w:tcPr>
          <w:p w14:paraId="6B687DE5" w14:textId="77777777" w:rsidR="00000000" w:rsidRDefault="00A173A8">
            <w:pPr>
              <w:spacing w:after="100"/>
              <w:rPr>
                <w:rFonts w:eastAsia="Times New Roman"/>
                <w:sz w:val="20"/>
                <w:szCs w:val="20"/>
              </w:rPr>
            </w:pPr>
          </w:p>
        </w:tc>
        <w:tc>
          <w:tcPr>
            <w:tcW w:w="0" w:type="auto"/>
            <w:gridSpan w:val="3"/>
            <w:vAlign w:val="center"/>
            <w:hideMark/>
          </w:tcPr>
          <w:p w14:paraId="22B29F0C" w14:textId="77777777" w:rsidR="00000000" w:rsidRDefault="00A173A8">
            <w:pPr>
              <w:spacing w:after="100"/>
              <w:rPr>
                <w:rFonts w:eastAsia="Times New Roman"/>
                <w:sz w:val="20"/>
                <w:szCs w:val="20"/>
              </w:rPr>
            </w:pPr>
          </w:p>
        </w:tc>
        <w:tc>
          <w:tcPr>
            <w:tcW w:w="0" w:type="auto"/>
            <w:gridSpan w:val="3"/>
            <w:vAlign w:val="center"/>
            <w:hideMark/>
          </w:tcPr>
          <w:p w14:paraId="398C55B8" w14:textId="77777777" w:rsidR="00000000" w:rsidRDefault="00A173A8">
            <w:pPr>
              <w:spacing w:after="100"/>
              <w:rPr>
                <w:rFonts w:eastAsia="Times New Roman"/>
                <w:sz w:val="20"/>
                <w:szCs w:val="20"/>
              </w:rPr>
            </w:pPr>
          </w:p>
        </w:tc>
        <w:tc>
          <w:tcPr>
            <w:tcW w:w="0" w:type="auto"/>
            <w:gridSpan w:val="3"/>
            <w:vAlign w:val="center"/>
            <w:hideMark/>
          </w:tcPr>
          <w:p w14:paraId="57C13CD3" w14:textId="77777777" w:rsidR="00000000" w:rsidRDefault="00A173A8">
            <w:pPr>
              <w:spacing w:after="100"/>
              <w:rPr>
                <w:rFonts w:eastAsia="Times New Roman"/>
                <w:sz w:val="20"/>
                <w:szCs w:val="20"/>
              </w:rPr>
            </w:pPr>
          </w:p>
        </w:tc>
      </w:tr>
      <w:tr w:rsidR="00000000" w14:paraId="35788F68" w14:textId="77777777">
        <w:trPr>
          <w:divId w:val="1280793884"/>
        </w:trPr>
        <w:tc>
          <w:tcPr>
            <w:tcW w:w="0" w:type="auto"/>
            <w:gridSpan w:val="3"/>
            <w:shd w:val="clear" w:color="auto" w:fill="FFFFFF"/>
            <w:tcMar>
              <w:top w:w="30" w:type="dxa"/>
              <w:left w:w="245" w:type="dxa"/>
              <w:bottom w:w="30" w:type="dxa"/>
              <w:right w:w="20" w:type="dxa"/>
            </w:tcMar>
            <w:vAlign w:val="center"/>
            <w:hideMark/>
          </w:tcPr>
          <w:p w14:paraId="67A2ACE0" w14:textId="77777777" w:rsidR="00000000" w:rsidRDefault="00A173A8">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FFFFFF"/>
            <w:tcMar>
              <w:top w:w="0" w:type="dxa"/>
              <w:left w:w="20" w:type="dxa"/>
              <w:bottom w:w="0" w:type="dxa"/>
              <w:right w:w="20" w:type="dxa"/>
            </w:tcMar>
            <w:vAlign w:val="center"/>
            <w:hideMark/>
          </w:tcPr>
          <w:p w14:paraId="66CEFA6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D68D98C" w14:textId="77777777" w:rsidR="00000000" w:rsidRDefault="00A173A8">
            <w:pPr>
              <w:spacing w:after="100"/>
              <w:jc w:val="right"/>
              <w:rPr>
                <w:rFonts w:eastAsia="Times New Roman"/>
              </w:rPr>
            </w:pPr>
            <w:r>
              <w:rPr>
                <w:rFonts w:eastAsia="Times New Roman"/>
                <w:b/>
                <w:bCs/>
                <w:color w:val="000000"/>
                <w:sz w:val="20"/>
                <w:szCs w:val="20"/>
              </w:rPr>
              <w:t>15,041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A6E96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FEB9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7D9211" w14:textId="77777777" w:rsidR="00000000" w:rsidRDefault="00A173A8">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1594F0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A540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B67421" w14:textId="77777777" w:rsidR="00000000" w:rsidRDefault="00A173A8">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491BDE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2FFFD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75E325" w14:textId="77777777" w:rsidR="00000000" w:rsidRDefault="00A173A8">
            <w:pPr>
              <w:spacing w:after="100"/>
              <w:jc w:val="right"/>
              <w:rPr>
                <w:rFonts w:eastAsia="Times New Roman"/>
              </w:rPr>
            </w:pPr>
            <w:r>
              <w:rPr>
                <w:rFonts w:eastAsia="Times New Roman"/>
                <w:color w:val="000000"/>
                <w:sz w:val="20"/>
                <w:szCs w:val="20"/>
              </w:rPr>
              <w:t>10,890 </w:t>
            </w:r>
          </w:p>
        </w:tc>
        <w:tc>
          <w:tcPr>
            <w:tcW w:w="0" w:type="auto"/>
            <w:shd w:val="clear" w:color="auto" w:fill="FFFFFF"/>
            <w:tcMar>
              <w:top w:w="30" w:type="dxa"/>
              <w:left w:w="0" w:type="dxa"/>
              <w:bottom w:w="30" w:type="dxa"/>
              <w:right w:w="20" w:type="dxa"/>
            </w:tcMar>
            <w:vAlign w:val="center"/>
            <w:hideMark/>
          </w:tcPr>
          <w:p w14:paraId="4797E3B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71B0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A49C95" w14:textId="77777777" w:rsidR="00000000" w:rsidRDefault="00A173A8">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center"/>
            <w:hideMark/>
          </w:tcPr>
          <w:p w14:paraId="1617CD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3670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33A366" w14:textId="77777777" w:rsidR="00000000" w:rsidRDefault="00A173A8">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center"/>
            <w:hideMark/>
          </w:tcPr>
          <w:p w14:paraId="77105A91" w14:textId="77777777" w:rsidR="00000000" w:rsidRDefault="00A173A8">
            <w:pPr>
              <w:spacing w:after="100"/>
              <w:jc w:val="right"/>
              <w:rPr>
                <w:rFonts w:eastAsia="Times New Roman"/>
              </w:rPr>
            </w:pPr>
          </w:p>
        </w:tc>
        <w:tc>
          <w:tcPr>
            <w:tcW w:w="0" w:type="auto"/>
            <w:vAlign w:val="center"/>
            <w:hideMark/>
          </w:tcPr>
          <w:p w14:paraId="496F56B3" w14:textId="77777777" w:rsidR="00000000" w:rsidRDefault="00A173A8">
            <w:pPr>
              <w:spacing w:after="100"/>
              <w:jc w:val="right"/>
              <w:rPr>
                <w:rFonts w:eastAsia="Times New Roman"/>
                <w:sz w:val="20"/>
                <w:szCs w:val="20"/>
              </w:rPr>
            </w:pPr>
          </w:p>
        </w:tc>
        <w:tc>
          <w:tcPr>
            <w:tcW w:w="0" w:type="auto"/>
            <w:vAlign w:val="center"/>
            <w:hideMark/>
          </w:tcPr>
          <w:p w14:paraId="4F5DEBC4" w14:textId="77777777" w:rsidR="00000000" w:rsidRDefault="00A173A8">
            <w:pPr>
              <w:spacing w:after="100"/>
              <w:rPr>
                <w:rFonts w:eastAsia="Times New Roman"/>
                <w:sz w:val="20"/>
                <w:szCs w:val="20"/>
              </w:rPr>
            </w:pPr>
          </w:p>
        </w:tc>
        <w:tc>
          <w:tcPr>
            <w:tcW w:w="0" w:type="auto"/>
            <w:gridSpan w:val="3"/>
            <w:vAlign w:val="center"/>
            <w:hideMark/>
          </w:tcPr>
          <w:p w14:paraId="612A96C4" w14:textId="77777777" w:rsidR="00000000" w:rsidRDefault="00A173A8">
            <w:pPr>
              <w:spacing w:after="100"/>
              <w:rPr>
                <w:rFonts w:eastAsia="Times New Roman"/>
                <w:sz w:val="20"/>
                <w:szCs w:val="20"/>
              </w:rPr>
            </w:pPr>
          </w:p>
        </w:tc>
        <w:tc>
          <w:tcPr>
            <w:tcW w:w="0" w:type="auto"/>
            <w:gridSpan w:val="3"/>
            <w:vAlign w:val="center"/>
            <w:hideMark/>
          </w:tcPr>
          <w:p w14:paraId="39E6D1DE" w14:textId="77777777" w:rsidR="00000000" w:rsidRDefault="00A173A8">
            <w:pPr>
              <w:spacing w:after="100"/>
              <w:rPr>
                <w:rFonts w:eastAsia="Times New Roman"/>
                <w:sz w:val="20"/>
                <w:szCs w:val="20"/>
              </w:rPr>
            </w:pPr>
          </w:p>
        </w:tc>
        <w:tc>
          <w:tcPr>
            <w:tcW w:w="0" w:type="auto"/>
            <w:gridSpan w:val="3"/>
            <w:vAlign w:val="center"/>
            <w:hideMark/>
          </w:tcPr>
          <w:p w14:paraId="670E045E" w14:textId="77777777" w:rsidR="00000000" w:rsidRDefault="00A173A8">
            <w:pPr>
              <w:spacing w:after="100"/>
              <w:rPr>
                <w:rFonts w:eastAsia="Times New Roman"/>
                <w:sz w:val="20"/>
                <w:szCs w:val="20"/>
              </w:rPr>
            </w:pPr>
          </w:p>
        </w:tc>
        <w:tc>
          <w:tcPr>
            <w:tcW w:w="0" w:type="auto"/>
            <w:gridSpan w:val="3"/>
            <w:vAlign w:val="center"/>
            <w:hideMark/>
          </w:tcPr>
          <w:p w14:paraId="1FCA785F" w14:textId="77777777" w:rsidR="00000000" w:rsidRDefault="00A173A8">
            <w:pPr>
              <w:spacing w:after="100"/>
              <w:rPr>
                <w:rFonts w:eastAsia="Times New Roman"/>
                <w:sz w:val="20"/>
                <w:szCs w:val="20"/>
              </w:rPr>
            </w:pPr>
          </w:p>
        </w:tc>
      </w:tr>
      <w:tr w:rsidR="00000000" w14:paraId="22F374C4" w14:textId="77777777">
        <w:trPr>
          <w:divId w:val="1280793884"/>
        </w:trPr>
        <w:tc>
          <w:tcPr>
            <w:tcW w:w="0" w:type="auto"/>
            <w:gridSpan w:val="3"/>
            <w:shd w:val="clear" w:color="auto" w:fill="CCEEFF"/>
            <w:tcMar>
              <w:top w:w="30" w:type="dxa"/>
              <w:left w:w="245" w:type="dxa"/>
              <w:bottom w:w="30" w:type="dxa"/>
              <w:right w:w="20" w:type="dxa"/>
            </w:tcMar>
            <w:vAlign w:val="center"/>
            <w:hideMark/>
          </w:tcPr>
          <w:p w14:paraId="6D2259C7" w14:textId="77777777" w:rsidR="00000000" w:rsidRDefault="00A173A8">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CCEEFF"/>
            <w:tcMar>
              <w:top w:w="0" w:type="dxa"/>
              <w:left w:w="20" w:type="dxa"/>
              <w:bottom w:w="0" w:type="dxa"/>
              <w:right w:w="20" w:type="dxa"/>
            </w:tcMar>
            <w:vAlign w:val="center"/>
            <w:hideMark/>
          </w:tcPr>
          <w:p w14:paraId="59DB0EB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3CF8F9E" w14:textId="77777777" w:rsidR="00000000" w:rsidRDefault="00A173A8">
            <w:pPr>
              <w:spacing w:after="100"/>
              <w:jc w:val="right"/>
              <w:rPr>
                <w:rFonts w:eastAsia="Times New Roman"/>
              </w:rPr>
            </w:pPr>
            <w:r>
              <w:rPr>
                <w:rFonts w:eastAsia="Times New Roman"/>
                <w:b/>
                <w:bCs/>
                <w:color w:val="000000"/>
                <w:sz w:val="20"/>
                <w:szCs w:val="20"/>
              </w:rPr>
              <w:t>28,919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CC568C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185F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8D2F3F" w14:textId="77777777" w:rsidR="00000000" w:rsidRDefault="00A173A8">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95A47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7A08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56066D" w14:textId="77777777" w:rsidR="00000000" w:rsidRDefault="00A173A8">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64163F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4781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A09660" w14:textId="77777777" w:rsidR="00000000" w:rsidRDefault="00A173A8">
            <w:pPr>
              <w:spacing w:after="100"/>
              <w:jc w:val="right"/>
              <w:rPr>
                <w:rFonts w:eastAsia="Times New Roman"/>
              </w:rPr>
            </w:pPr>
            <w:r>
              <w:rPr>
                <w:rFonts w:eastAsia="Times New Roman"/>
                <w:color w:val="000000"/>
                <w:sz w:val="20"/>
                <w:szCs w:val="20"/>
              </w:rPr>
              <w:t>25,487 </w:t>
            </w:r>
          </w:p>
        </w:tc>
        <w:tc>
          <w:tcPr>
            <w:tcW w:w="0" w:type="auto"/>
            <w:shd w:val="clear" w:color="auto" w:fill="CCEEFF"/>
            <w:tcMar>
              <w:top w:w="30" w:type="dxa"/>
              <w:left w:w="0" w:type="dxa"/>
              <w:bottom w:w="30" w:type="dxa"/>
              <w:right w:w="20" w:type="dxa"/>
            </w:tcMar>
            <w:vAlign w:val="center"/>
            <w:hideMark/>
          </w:tcPr>
          <w:p w14:paraId="18B5B04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9422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AAC2C1" w14:textId="77777777" w:rsidR="00000000" w:rsidRDefault="00A173A8">
            <w:pPr>
              <w:spacing w:after="100"/>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center"/>
            <w:hideMark/>
          </w:tcPr>
          <w:p w14:paraId="79FE4CF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DC6ED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93E06D" w14:textId="77777777" w:rsidR="00000000" w:rsidRDefault="00A173A8">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center"/>
            <w:hideMark/>
          </w:tcPr>
          <w:p w14:paraId="3E159EA6" w14:textId="77777777" w:rsidR="00000000" w:rsidRDefault="00A173A8">
            <w:pPr>
              <w:spacing w:after="100"/>
              <w:jc w:val="right"/>
              <w:rPr>
                <w:rFonts w:eastAsia="Times New Roman"/>
              </w:rPr>
            </w:pPr>
          </w:p>
        </w:tc>
        <w:tc>
          <w:tcPr>
            <w:tcW w:w="0" w:type="auto"/>
            <w:vAlign w:val="center"/>
            <w:hideMark/>
          </w:tcPr>
          <w:p w14:paraId="5E74131B" w14:textId="77777777" w:rsidR="00000000" w:rsidRDefault="00A173A8">
            <w:pPr>
              <w:spacing w:after="100"/>
              <w:jc w:val="right"/>
              <w:rPr>
                <w:rFonts w:eastAsia="Times New Roman"/>
                <w:sz w:val="20"/>
                <w:szCs w:val="20"/>
              </w:rPr>
            </w:pPr>
          </w:p>
        </w:tc>
        <w:tc>
          <w:tcPr>
            <w:tcW w:w="0" w:type="auto"/>
            <w:vAlign w:val="center"/>
            <w:hideMark/>
          </w:tcPr>
          <w:p w14:paraId="260DD39E" w14:textId="77777777" w:rsidR="00000000" w:rsidRDefault="00A173A8">
            <w:pPr>
              <w:spacing w:after="100"/>
              <w:rPr>
                <w:rFonts w:eastAsia="Times New Roman"/>
                <w:sz w:val="20"/>
                <w:szCs w:val="20"/>
              </w:rPr>
            </w:pPr>
          </w:p>
        </w:tc>
        <w:tc>
          <w:tcPr>
            <w:tcW w:w="0" w:type="auto"/>
            <w:gridSpan w:val="3"/>
            <w:vAlign w:val="center"/>
            <w:hideMark/>
          </w:tcPr>
          <w:p w14:paraId="7B7C21F2" w14:textId="77777777" w:rsidR="00000000" w:rsidRDefault="00A173A8">
            <w:pPr>
              <w:spacing w:after="100"/>
              <w:rPr>
                <w:rFonts w:eastAsia="Times New Roman"/>
                <w:sz w:val="20"/>
                <w:szCs w:val="20"/>
              </w:rPr>
            </w:pPr>
          </w:p>
        </w:tc>
        <w:tc>
          <w:tcPr>
            <w:tcW w:w="0" w:type="auto"/>
            <w:gridSpan w:val="3"/>
            <w:vAlign w:val="center"/>
            <w:hideMark/>
          </w:tcPr>
          <w:p w14:paraId="642F410A" w14:textId="77777777" w:rsidR="00000000" w:rsidRDefault="00A173A8">
            <w:pPr>
              <w:spacing w:after="100"/>
              <w:rPr>
                <w:rFonts w:eastAsia="Times New Roman"/>
                <w:sz w:val="20"/>
                <w:szCs w:val="20"/>
              </w:rPr>
            </w:pPr>
          </w:p>
        </w:tc>
        <w:tc>
          <w:tcPr>
            <w:tcW w:w="0" w:type="auto"/>
            <w:gridSpan w:val="3"/>
            <w:vAlign w:val="center"/>
            <w:hideMark/>
          </w:tcPr>
          <w:p w14:paraId="03DF0DDA" w14:textId="77777777" w:rsidR="00000000" w:rsidRDefault="00A173A8">
            <w:pPr>
              <w:spacing w:after="100"/>
              <w:rPr>
                <w:rFonts w:eastAsia="Times New Roman"/>
                <w:sz w:val="20"/>
                <w:szCs w:val="20"/>
              </w:rPr>
            </w:pPr>
          </w:p>
        </w:tc>
        <w:tc>
          <w:tcPr>
            <w:tcW w:w="0" w:type="auto"/>
            <w:gridSpan w:val="3"/>
            <w:vAlign w:val="center"/>
            <w:hideMark/>
          </w:tcPr>
          <w:p w14:paraId="1F232948" w14:textId="77777777" w:rsidR="00000000" w:rsidRDefault="00A173A8">
            <w:pPr>
              <w:spacing w:after="100"/>
              <w:rPr>
                <w:rFonts w:eastAsia="Times New Roman"/>
                <w:sz w:val="20"/>
                <w:szCs w:val="20"/>
              </w:rPr>
            </w:pPr>
          </w:p>
        </w:tc>
      </w:tr>
      <w:tr w:rsidR="00000000" w14:paraId="12BE5C02" w14:textId="77777777">
        <w:trPr>
          <w:divId w:val="1280793884"/>
        </w:trPr>
        <w:tc>
          <w:tcPr>
            <w:tcW w:w="0" w:type="auto"/>
            <w:gridSpan w:val="3"/>
            <w:shd w:val="clear" w:color="auto" w:fill="FFFFFF"/>
            <w:tcMar>
              <w:top w:w="30" w:type="dxa"/>
              <w:left w:w="245" w:type="dxa"/>
              <w:bottom w:w="30" w:type="dxa"/>
              <w:right w:w="20" w:type="dxa"/>
            </w:tcMar>
            <w:vAlign w:val="center"/>
            <w:hideMark/>
          </w:tcPr>
          <w:p w14:paraId="70D35339" w14:textId="77777777" w:rsidR="00000000" w:rsidRDefault="00A173A8">
            <w:pPr>
              <w:spacing w:after="100"/>
              <w:rPr>
                <w:rFonts w:eastAsia="Times New Roman"/>
              </w:rPr>
            </w:pPr>
            <w:r>
              <w:rPr>
                <w:rFonts w:eastAsia="Times New Roman"/>
                <w:color w:val="000000"/>
                <w:sz w:val="20"/>
                <w:szCs w:val="20"/>
              </w:rPr>
              <w:t>Other borrowings and liabilities</w:t>
            </w:r>
          </w:p>
        </w:tc>
        <w:tc>
          <w:tcPr>
            <w:tcW w:w="0" w:type="auto"/>
            <w:gridSpan w:val="3"/>
            <w:shd w:val="clear" w:color="auto" w:fill="FFFFFF"/>
            <w:tcMar>
              <w:top w:w="0" w:type="dxa"/>
              <w:left w:w="20" w:type="dxa"/>
              <w:bottom w:w="0" w:type="dxa"/>
              <w:right w:w="20" w:type="dxa"/>
            </w:tcMar>
            <w:vAlign w:val="center"/>
            <w:hideMark/>
          </w:tcPr>
          <w:p w14:paraId="762CB19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BA689E9" w14:textId="77777777" w:rsidR="00000000" w:rsidRDefault="00A173A8">
            <w:pPr>
              <w:spacing w:after="100"/>
              <w:jc w:val="right"/>
              <w:rPr>
                <w:rFonts w:eastAsia="Times New Roman"/>
              </w:rPr>
            </w:pPr>
            <w:r>
              <w:rPr>
                <w:rFonts w:eastAsia="Times New Roman"/>
                <w:b/>
                <w:bCs/>
                <w:color w:val="000000"/>
                <w:sz w:val="20"/>
                <w:szCs w:val="20"/>
              </w:rPr>
              <w:t>10,922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057A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2DC61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15A989" w14:textId="77777777" w:rsidR="00000000" w:rsidRDefault="00A173A8">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515E1A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EE00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65E30F" w14:textId="77777777" w:rsidR="00000000" w:rsidRDefault="00A173A8">
            <w:pPr>
              <w:spacing w:after="100"/>
              <w:jc w:val="right"/>
              <w:rPr>
                <w:rFonts w:eastAsia="Times New Roman"/>
              </w:rPr>
            </w:pPr>
            <w:r>
              <w:rPr>
                <w:rFonts w:eastAsia="Times New Roman"/>
                <w:b/>
                <w:bCs/>
                <w:color w:val="000000"/>
                <w:sz w:val="20"/>
                <w:szCs w:val="20"/>
              </w:rPr>
              <w:t>0.98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0C480D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0133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3D4381" w14:textId="77777777" w:rsidR="00000000" w:rsidRDefault="00A173A8">
            <w:pPr>
              <w:spacing w:after="100"/>
              <w:jc w:val="right"/>
              <w:rPr>
                <w:rFonts w:eastAsia="Times New Roman"/>
              </w:rPr>
            </w:pPr>
            <w:r>
              <w:rPr>
                <w:rFonts w:eastAsia="Times New Roman"/>
                <w:color w:val="000000"/>
                <w:sz w:val="20"/>
                <w:szCs w:val="20"/>
              </w:rPr>
              <w:t>2,198 </w:t>
            </w:r>
          </w:p>
        </w:tc>
        <w:tc>
          <w:tcPr>
            <w:tcW w:w="0" w:type="auto"/>
            <w:shd w:val="clear" w:color="auto" w:fill="FFFFFF"/>
            <w:tcMar>
              <w:top w:w="30" w:type="dxa"/>
              <w:left w:w="0" w:type="dxa"/>
              <w:bottom w:w="30" w:type="dxa"/>
              <w:right w:w="20" w:type="dxa"/>
            </w:tcMar>
            <w:vAlign w:val="center"/>
            <w:hideMark/>
          </w:tcPr>
          <w:p w14:paraId="4853534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E931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4E0ACA" w14:textId="77777777" w:rsidR="00000000" w:rsidRDefault="00A173A8">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center"/>
            <w:hideMark/>
          </w:tcPr>
          <w:p w14:paraId="78009FA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9B35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6108C2" w14:textId="77777777" w:rsidR="00000000" w:rsidRDefault="00A173A8">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center"/>
            <w:hideMark/>
          </w:tcPr>
          <w:p w14:paraId="6D99EE9D" w14:textId="77777777" w:rsidR="00000000" w:rsidRDefault="00A173A8">
            <w:pPr>
              <w:spacing w:after="100"/>
              <w:jc w:val="right"/>
              <w:rPr>
                <w:rFonts w:eastAsia="Times New Roman"/>
              </w:rPr>
            </w:pPr>
          </w:p>
        </w:tc>
        <w:tc>
          <w:tcPr>
            <w:tcW w:w="0" w:type="auto"/>
            <w:vAlign w:val="center"/>
            <w:hideMark/>
          </w:tcPr>
          <w:p w14:paraId="4563EBB4" w14:textId="77777777" w:rsidR="00000000" w:rsidRDefault="00A173A8">
            <w:pPr>
              <w:spacing w:after="100"/>
              <w:jc w:val="right"/>
              <w:rPr>
                <w:rFonts w:eastAsia="Times New Roman"/>
                <w:sz w:val="20"/>
                <w:szCs w:val="20"/>
              </w:rPr>
            </w:pPr>
          </w:p>
        </w:tc>
        <w:tc>
          <w:tcPr>
            <w:tcW w:w="0" w:type="auto"/>
            <w:vAlign w:val="center"/>
            <w:hideMark/>
          </w:tcPr>
          <w:p w14:paraId="25563D2C" w14:textId="77777777" w:rsidR="00000000" w:rsidRDefault="00A173A8">
            <w:pPr>
              <w:spacing w:after="100"/>
              <w:rPr>
                <w:rFonts w:eastAsia="Times New Roman"/>
                <w:sz w:val="20"/>
                <w:szCs w:val="20"/>
              </w:rPr>
            </w:pPr>
          </w:p>
        </w:tc>
        <w:tc>
          <w:tcPr>
            <w:tcW w:w="0" w:type="auto"/>
            <w:gridSpan w:val="3"/>
            <w:vAlign w:val="center"/>
            <w:hideMark/>
          </w:tcPr>
          <w:p w14:paraId="78758039" w14:textId="77777777" w:rsidR="00000000" w:rsidRDefault="00A173A8">
            <w:pPr>
              <w:spacing w:after="100"/>
              <w:rPr>
                <w:rFonts w:eastAsia="Times New Roman"/>
                <w:sz w:val="20"/>
                <w:szCs w:val="20"/>
              </w:rPr>
            </w:pPr>
          </w:p>
        </w:tc>
        <w:tc>
          <w:tcPr>
            <w:tcW w:w="0" w:type="auto"/>
            <w:gridSpan w:val="3"/>
            <w:vAlign w:val="center"/>
            <w:hideMark/>
          </w:tcPr>
          <w:p w14:paraId="4EC4F03C" w14:textId="77777777" w:rsidR="00000000" w:rsidRDefault="00A173A8">
            <w:pPr>
              <w:spacing w:after="100"/>
              <w:rPr>
                <w:rFonts w:eastAsia="Times New Roman"/>
                <w:sz w:val="20"/>
                <w:szCs w:val="20"/>
              </w:rPr>
            </w:pPr>
          </w:p>
        </w:tc>
        <w:tc>
          <w:tcPr>
            <w:tcW w:w="0" w:type="auto"/>
            <w:gridSpan w:val="3"/>
            <w:vAlign w:val="center"/>
            <w:hideMark/>
          </w:tcPr>
          <w:p w14:paraId="74410C6E" w14:textId="77777777" w:rsidR="00000000" w:rsidRDefault="00A173A8">
            <w:pPr>
              <w:spacing w:after="100"/>
              <w:rPr>
                <w:rFonts w:eastAsia="Times New Roman"/>
                <w:sz w:val="20"/>
                <w:szCs w:val="20"/>
              </w:rPr>
            </w:pPr>
          </w:p>
        </w:tc>
        <w:tc>
          <w:tcPr>
            <w:tcW w:w="0" w:type="auto"/>
            <w:gridSpan w:val="3"/>
            <w:vAlign w:val="center"/>
            <w:hideMark/>
          </w:tcPr>
          <w:p w14:paraId="7E86C19B" w14:textId="77777777" w:rsidR="00000000" w:rsidRDefault="00A173A8">
            <w:pPr>
              <w:spacing w:after="100"/>
              <w:rPr>
                <w:rFonts w:eastAsia="Times New Roman"/>
                <w:sz w:val="20"/>
                <w:szCs w:val="20"/>
              </w:rPr>
            </w:pPr>
          </w:p>
        </w:tc>
      </w:tr>
      <w:tr w:rsidR="00000000" w14:paraId="73D43AC3" w14:textId="77777777">
        <w:trPr>
          <w:divId w:val="1280793884"/>
        </w:trPr>
        <w:tc>
          <w:tcPr>
            <w:tcW w:w="0" w:type="auto"/>
            <w:gridSpan w:val="3"/>
            <w:shd w:val="clear" w:color="auto" w:fill="CCEEFF"/>
            <w:tcMar>
              <w:top w:w="30" w:type="dxa"/>
              <w:left w:w="20" w:type="dxa"/>
              <w:bottom w:w="30" w:type="dxa"/>
              <w:right w:w="20" w:type="dxa"/>
            </w:tcMar>
            <w:vAlign w:val="center"/>
            <w:hideMark/>
          </w:tcPr>
          <w:p w14:paraId="2BDC8694" w14:textId="77777777" w:rsidR="00000000" w:rsidRDefault="00A173A8">
            <w:pPr>
              <w:spacing w:after="100"/>
              <w:rPr>
                <w:rFonts w:eastAsia="Times New Roman"/>
              </w:rPr>
            </w:pPr>
            <w:r>
              <w:rPr>
                <w:rFonts w:eastAsia="Times New Roman"/>
                <w:color w:val="000000"/>
                <w:sz w:val="20"/>
                <w:szCs w:val="20"/>
              </w:rPr>
              <w:t>Total interest-bearing liabilities</w:t>
            </w:r>
          </w:p>
        </w:tc>
        <w:tc>
          <w:tcPr>
            <w:tcW w:w="0" w:type="auto"/>
            <w:gridSpan w:val="3"/>
            <w:shd w:val="clear" w:color="auto" w:fill="CCEEFF"/>
            <w:tcMar>
              <w:top w:w="0" w:type="dxa"/>
              <w:left w:w="20" w:type="dxa"/>
              <w:bottom w:w="0" w:type="dxa"/>
              <w:right w:w="20" w:type="dxa"/>
            </w:tcMar>
            <w:vAlign w:val="center"/>
            <w:hideMark/>
          </w:tcPr>
          <w:p w14:paraId="4623AB0A"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1657F37" w14:textId="77777777" w:rsidR="00000000" w:rsidRDefault="00A173A8">
            <w:pPr>
              <w:spacing w:after="100"/>
              <w:jc w:val="right"/>
              <w:rPr>
                <w:rFonts w:eastAsia="Times New Roman"/>
              </w:rPr>
            </w:pPr>
            <w:r>
              <w:rPr>
                <w:rFonts w:eastAsia="Times New Roman"/>
                <w:b/>
                <w:bCs/>
                <w:color w:val="000000"/>
                <w:sz w:val="20"/>
                <w:szCs w:val="20"/>
              </w:rPr>
              <w:t>322,986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CE3FF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79B30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D65037" w14:textId="77777777" w:rsidR="00000000" w:rsidRDefault="00A173A8">
            <w:pPr>
              <w:spacing w:after="100"/>
              <w:jc w:val="right"/>
              <w:rPr>
                <w:rFonts w:eastAsia="Times New Roman"/>
              </w:rPr>
            </w:pPr>
            <w:r>
              <w:rPr>
                <w:rFonts w:eastAsia="Times New Roman"/>
                <w:b/>
                <w:bCs/>
                <w:color w:val="000000"/>
                <w:sz w:val="20"/>
                <w:szCs w:val="20"/>
              </w:rPr>
              <w:t>578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D00FB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6DE9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C6A9F6" w14:textId="77777777" w:rsidR="00000000" w:rsidRDefault="00A173A8">
            <w:pPr>
              <w:spacing w:after="100"/>
              <w:jc w:val="right"/>
              <w:rPr>
                <w:rFonts w:eastAsia="Times New Roman"/>
              </w:rPr>
            </w:pPr>
            <w:r>
              <w:rPr>
                <w:rFonts w:eastAsia="Times New Roman"/>
                <w:b/>
                <w:bCs/>
                <w:color w:val="000000"/>
                <w:sz w:val="20"/>
                <w:szCs w:val="20"/>
              </w:rPr>
              <w:t>0.72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873316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3B6A5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6AE28C" w14:textId="77777777" w:rsidR="00000000" w:rsidRDefault="00A173A8">
            <w:pPr>
              <w:spacing w:after="100"/>
              <w:jc w:val="right"/>
              <w:rPr>
                <w:rFonts w:eastAsia="Times New Roman"/>
              </w:rPr>
            </w:pPr>
            <w:r>
              <w:rPr>
                <w:rFonts w:eastAsia="Times New Roman"/>
                <w:color w:val="000000"/>
                <w:sz w:val="20"/>
                <w:szCs w:val="20"/>
              </w:rPr>
              <w:t>312,051 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81DA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5BE6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2B5F4BF" w14:textId="77777777" w:rsidR="00000000" w:rsidRDefault="00A173A8">
            <w:pPr>
              <w:spacing w:after="100"/>
              <w:jc w:val="right"/>
              <w:rPr>
                <w:rFonts w:eastAsia="Times New Roman"/>
              </w:rPr>
            </w:pPr>
            <w:r>
              <w:rPr>
                <w:rFonts w:eastAsia="Times New Roman"/>
                <w:color w:val="000000"/>
                <w:sz w:val="20"/>
                <w:szCs w:val="20"/>
              </w:rPr>
              <w:t>396 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7B04E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6D5C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F3F9F4" w14:textId="77777777" w:rsidR="00000000" w:rsidRDefault="00A173A8">
            <w:pPr>
              <w:spacing w:after="100"/>
              <w:jc w:val="right"/>
              <w:rPr>
                <w:rFonts w:eastAsia="Times New Roman"/>
              </w:rPr>
            </w:pPr>
            <w:r>
              <w:rPr>
                <w:rFonts w:eastAsia="Times New Roman"/>
                <w:color w:val="000000"/>
                <w:sz w:val="20"/>
                <w:szCs w:val="20"/>
              </w:rPr>
              <w:t>0.50 </w:t>
            </w:r>
          </w:p>
        </w:tc>
        <w:tc>
          <w:tcPr>
            <w:tcW w:w="0" w:type="auto"/>
            <w:shd w:val="clear" w:color="auto" w:fill="CCEEFF"/>
            <w:tcMar>
              <w:top w:w="30" w:type="dxa"/>
              <w:left w:w="0" w:type="dxa"/>
              <w:bottom w:w="30" w:type="dxa"/>
              <w:right w:w="20" w:type="dxa"/>
            </w:tcMar>
            <w:vAlign w:val="center"/>
            <w:hideMark/>
          </w:tcPr>
          <w:p w14:paraId="26C8C422" w14:textId="77777777" w:rsidR="00000000" w:rsidRDefault="00A173A8">
            <w:pPr>
              <w:spacing w:after="100"/>
              <w:jc w:val="right"/>
              <w:rPr>
                <w:rFonts w:eastAsia="Times New Roman"/>
              </w:rPr>
            </w:pPr>
          </w:p>
        </w:tc>
        <w:tc>
          <w:tcPr>
            <w:tcW w:w="0" w:type="auto"/>
            <w:vAlign w:val="center"/>
            <w:hideMark/>
          </w:tcPr>
          <w:p w14:paraId="7F19128E" w14:textId="77777777" w:rsidR="00000000" w:rsidRDefault="00A173A8">
            <w:pPr>
              <w:spacing w:after="100"/>
              <w:jc w:val="right"/>
              <w:rPr>
                <w:rFonts w:eastAsia="Times New Roman"/>
                <w:sz w:val="20"/>
                <w:szCs w:val="20"/>
              </w:rPr>
            </w:pPr>
          </w:p>
        </w:tc>
        <w:tc>
          <w:tcPr>
            <w:tcW w:w="0" w:type="auto"/>
            <w:vAlign w:val="center"/>
            <w:hideMark/>
          </w:tcPr>
          <w:p w14:paraId="7FE9D95A" w14:textId="77777777" w:rsidR="00000000" w:rsidRDefault="00A173A8">
            <w:pPr>
              <w:spacing w:after="100"/>
              <w:rPr>
                <w:rFonts w:eastAsia="Times New Roman"/>
                <w:sz w:val="20"/>
                <w:szCs w:val="20"/>
              </w:rPr>
            </w:pPr>
          </w:p>
        </w:tc>
        <w:tc>
          <w:tcPr>
            <w:tcW w:w="0" w:type="auto"/>
            <w:gridSpan w:val="3"/>
            <w:vAlign w:val="center"/>
            <w:hideMark/>
          </w:tcPr>
          <w:p w14:paraId="494456FE" w14:textId="77777777" w:rsidR="00000000" w:rsidRDefault="00A173A8">
            <w:pPr>
              <w:spacing w:after="100"/>
              <w:rPr>
                <w:rFonts w:eastAsia="Times New Roman"/>
                <w:sz w:val="20"/>
                <w:szCs w:val="20"/>
              </w:rPr>
            </w:pPr>
          </w:p>
        </w:tc>
        <w:tc>
          <w:tcPr>
            <w:tcW w:w="0" w:type="auto"/>
            <w:gridSpan w:val="3"/>
            <w:vAlign w:val="center"/>
            <w:hideMark/>
          </w:tcPr>
          <w:p w14:paraId="5DCA2D81" w14:textId="77777777" w:rsidR="00000000" w:rsidRDefault="00A173A8">
            <w:pPr>
              <w:spacing w:after="100"/>
              <w:rPr>
                <w:rFonts w:eastAsia="Times New Roman"/>
                <w:sz w:val="20"/>
                <w:szCs w:val="20"/>
              </w:rPr>
            </w:pPr>
          </w:p>
        </w:tc>
        <w:tc>
          <w:tcPr>
            <w:tcW w:w="0" w:type="auto"/>
            <w:gridSpan w:val="3"/>
            <w:vAlign w:val="center"/>
            <w:hideMark/>
          </w:tcPr>
          <w:p w14:paraId="3040A8E6" w14:textId="77777777" w:rsidR="00000000" w:rsidRDefault="00A173A8">
            <w:pPr>
              <w:spacing w:after="100"/>
              <w:rPr>
                <w:rFonts w:eastAsia="Times New Roman"/>
                <w:sz w:val="20"/>
                <w:szCs w:val="20"/>
              </w:rPr>
            </w:pPr>
          </w:p>
        </w:tc>
        <w:tc>
          <w:tcPr>
            <w:tcW w:w="0" w:type="auto"/>
            <w:gridSpan w:val="3"/>
            <w:vAlign w:val="center"/>
            <w:hideMark/>
          </w:tcPr>
          <w:p w14:paraId="3B9C3CC6" w14:textId="77777777" w:rsidR="00000000" w:rsidRDefault="00A173A8">
            <w:pPr>
              <w:spacing w:after="100"/>
              <w:rPr>
                <w:rFonts w:eastAsia="Times New Roman"/>
                <w:sz w:val="20"/>
                <w:szCs w:val="20"/>
              </w:rPr>
            </w:pPr>
          </w:p>
        </w:tc>
      </w:tr>
      <w:tr w:rsidR="00000000" w14:paraId="2337B3CF" w14:textId="77777777">
        <w:trPr>
          <w:divId w:val="1280793884"/>
        </w:trPr>
        <w:tc>
          <w:tcPr>
            <w:tcW w:w="0" w:type="auto"/>
            <w:gridSpan w:val="3"/>
            <w:shd w:val="clear" w:color="auto" w:fill="FFFFFF"/>
            <w:tcMar>
              <w:top w:w="30" w:type="dxa"/>
              <w:left w:w="20" w:type="dxa"/>
              <w:bottom w:w="30" w:type="dxa"/>
              <w:right w:w="20" w:type="dxa"/>
            </w:tcMar>
            <w:vAlign w:val="center"/>
            <w:hideMark/>
          </w:tcPr>
          <w:p w14:paraId="2FDF4BF1" w14:textId="77777777" w:rsidR="00000000" w:rsidRDefault="00A173A8">
            <w:pPr>
              <w:spacing w:after="100"/>
              <w:rPr>
                <w:rFonts w:eastAsia="Times New Roman"/>
              </w:rPr>
            </w:pPr>
            <w:r>
              <w:rPr>
                <w:rFonts w:eastAsia="Times New Roman"/>
                <w:color w:val="000000"/>
                <w:sz w:val="20"/>
                <w:szCs w:val="20"/>
              </w:rPr>
              <w:t>Non-interest-bearing deposits</w:t>
            </w:r>
          </w:p>
        </w:tc>
        <w:tc>
          <w:tcPr>
            <w:tcW w:w="0" w:type="auto"/>
            <w:gridSpan w:val="3"/>
            <w:shd w:val="clear" w:color="auto" w:fill="FFFFFF"/>
            <w:tcMar>
              <w:top w:w="0" w:type="dxa"/>
              <w:left w:w="20" w:type="dxa"/>
              <w:bottom w:w="0" w:type="dxa"/>
              <w:right w:w="20" w:type="dxa"/>
            </w:tcMar>
            <w:vAlign w:val="center"/>
            <w:hideMark/>
          </w:tcPr>
          <w:p w14:paraId="24713531"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6126E12" w14:textId="77777777" w:rsidR="00000000" w:rsidRDefault="00A173A8">
            <w:pPr>
              <w:spacing w:after="100"/>
              <w:jc w:val="right"/>
              <w:rPr>
                <w:rFonts w:eastAsia="Times New Roman"/>
              </w:rPr>
            </w:pPr>
            <w:r>
              <w:rPr>
                <w:rFonts w:eastAsia="Times New Roman"/>
                <w:b/>
                <w:bCs/>
                <w:color w:val="000000"/>
                <w:sz w:val="20"/>
                <w:szCs w:val="20"/>
              </w:rPr>
              <w:t>37,850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15772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8684F"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167C6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B0911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BA958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07B0D7"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E17FC8C" w14:textId="77777777" w:rsidR="00000000" w:rsidRDefault="00A173A8">
            <w:pPr>
              <w:spacing w:after="100"/>
              <w:jc w:val="right"/>
              <w:rPr>
                <w:rFonts w:eastAsia="Times New Roman"/>
              </w:rPr>
            </w:pPr>
            <w:r>
              <w:rPr>
                <w:rFonts w:eastAsia="Times New Roman"/>
                <w:color w:val="000000"/>
                <w:sz w:val="20"/>
                <w:szCs w:val="20"/>
              </w:rPr>
              <w:t>34,741 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9407BE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DF5C2"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29C6B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B9B0B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BCA8DC" w14:textId="77777777" w:rsidR="00000000" w:rsidRDefault="00A173A8">
            <w:pPr>
              <w:spacing w:after="100"/>
              <w:rPr>
                <w:rFonts w:eastAsia="Times New Roman"/>
                <w:sz w:val="20"/>
                <w:szCs w:val="20"/>
              </w:rPr>
            </w:pPr>
          </w:p>
        </w:tc>
        <w:tc>
          <w:tcPr>
            <w:tcW w:w="0" w:type="auto"/>
            <w:vAlign w:val="center"/>
            <w:hideMark/>
          </w:tcPr>
          <w:p w14:paraId="1AA6ADA1" w14:textId="77777777" w:rsidR="00000000" w:rsidRDefault="00A173A8">
            <w:pPr>
              <w:spacing w:after="100"/>
              <w:rPr>
                <w:rFonts w:eastAsia="Times New Roman"/>
                <w:sz w:val="20"/>
                <w:szCs w:val="20"/>
              </w:rPr>
            </w:pPr>
          </w:p>
        </w:tc>
        <w:tc>
          <w:tcPr>
            <w:tcW w:w="0" w:type="auto"/>
            <w:vAlign w:val="center"/>
            <w:hideMark/>
          </w:tcPr>
          <w:p w14:paraId="075FCBB1" w14:textId="77777777" w:rsidR="00000000" w:rsidRDefault="00A173A8">
            <w:pPr>
              <w:spacing w:after="100"/>
              <w:rPr>
                <w:rFonts w:eastAsia="Times New Roman"/>
                <w:sz w:val="20"/>
                <w:szCs w:val="20"/>
              </w:rPr>
            </w:pPr>
          </w:p>
        </w:tc>
        <w:tc>
          <w:tcPr>
            <w:tcW w:w="0" w:type="auto"/>
            <w:gridSpan w:val="3"/>
            <w:vAlign w:val="center"/>
            <w:hideMark/>
          </w:tcPr>
          <w:p w14:paraId="0115F363" w14:textId="77777777" w:rsidR="00000000" w:rsidRDefault="00A173A8">
            <w:pPr>
              <w:spacing w:after="100"/>
              <w:rPr>
                <w:rFonts w:eastAsia="Times New Roman"/>
                <w:sz w:val="20"/>
                <w:szCs w:val="20"/>
              </w:rPr>
            </w:pPr>
          </w:p>
        </w:tc>
        <w:tc>
          <w:tcPr>
            <w:tcW w:w="0" w:type="auto"/>
            <w:gridSpan w:val="3"/>
            <w:vAlign w:val="center"/>
            <w:hideMark/>
          </w:tcPr>
          <w:p w14:paraId="4226C547" w14:textId="77777777" w:rsidR="00000000" w:rsidRDefault="00A173A8">
            <w:pPr>
              <w:spacing w:after="100"/>
              <w:rPr>
                <w:rFonts w:eastAsia="Times New Roman"/>
                <w:sz w:val="20"/>
                <w:szCs w:val="20"/>
              </w:rPr>
            </w:pPr>
          </w:p>
        </w:tc>
        <w:tc>
          <w:tcPr>
            <w:tcW w:w="0" w:type="auto"/>
            <w:gridSpan w:val="3"/>
            <w:vAlign w:val="center"/>
            <w:hideMark/>
          </w:tcPr>
          <w:p w14:paraId="646B03FE" w14:textId="77777777" w:rsidR="00000000" w:rsidRDefault="00A173A8">
            <w:pPr>
              <w:spacing w:after="100"/>
              <w:rPr>
                <w:rFonts w:eastAsia="Times New Roman"/>
                <w:sz w:val="20"/>
                <w:szCs w:val="20"/>
              </w:rPr>
            </w:pPr>
          </w:p>
        </w:tc>
        <w:tc>
          <w:tcPr>
            <w:tcW w:w="0" w:type="auto"/>
            <w:gridSpan w:val="3"/>
            <w:vAlign w:val="center"/>
            <w:hideMark/>
          </w:tcPr>
          <w:p w14:paraId="78850C59" w14:textId="77777777" w:rsidR="00000000" w:rsidRDefault="00A173A8">
            <w:pPr>
              <w:spacing w:after="100"/>
              <w:rPr>
                <w:rFonts w:eastAsia="Times New Roman"/>
                <w:sz w:val="20"/>
                <w:szCs w:val="20"/>
              </w:rPr>
            </w:pPr>
          </w:p>
        </w:tc>
      </w:tr>
      <w:tr w:rsidR="00000000" w14:paraId="5BAC7DB6" w14:textId="77777777">
        <w:trPr>
          <w:divId w:val="1280793884"/>
        </w:trPr>
        <w:tc>
          <w:tcPr>
            <w:tcW w:w="0" w:type="auto"/>
            <w:gridSpan w:val="3"/>
            <w:shd w:val="clear" w:color="auto" w:fill="CCEEFF"/>
            <w:tcMar>
              <w:top w:w="30" w:type="dxa"/>
              <w:left w:w="20" w:type="dxa"/>
              <w:bottom w:w="30" w:type="dxa"/>
              <w:right w:w="20" w:type="dxa"/>
            </w:tcMar>
            <w:vAlign w:val="center"/>
            <w:hideMark/>
          </w:tcPr>
          <w:p w14:paraId="2AF9E13F" w14:textId="77777777" w:rsidR="00000000" w:rsidRDefault="00A173A8">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14:paraId="4F42E79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4BB13B9" w14:textId="77777777" w:rsidR="00000000" w:rsidRDefault="00A173A8">
            <w:pPr>
              <w:spacing w:after="100"/>
              <w:jc w:val="right"/>
              <w:rPr>
                <w:rFonts w:eastAsia="Times New Roman"/>
              </w:rPr>
            </w:pPr>
            <w:r>
              <w:rPr>
                <w:rFonts w:eastAsia="Times New Roman"/>
                <w:b/>
                <w:bCs/>
                <w:color w:val="000000"/>
                <w:sz w:val="20"/>
                <w:szCs w:val="20"/>
              </w:rPr>
              <w:t>20,326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7F07C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14B3F"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E08A3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24955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81E73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904D85"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FAE306" w14:textId="77777777" w:rsidR="00000000" w:rsidRDefault="00A173A8">
            <w:pPr>
              <w:spacing w:after="100"/>
              <w:jc w:val="right"/>
              <w:rPr>
                <w:rFonts w:eastAsia="Times New Roman"/>
              </w:rPr>
            </w:pPr>
            <w:r>
              <w:rPr>
                <w:rFonts w:eastAsia="Times New Roman"/>
                <w:color w:val="000000"/>
                <w:sz w:val="20"/>
                <w:szCs w:val="20"/>
              </w:rPr>
              <w:t>14,931 </w:t>
            </w:r>
          </w:p>
        </w:tc>
        <w:tc>
          <w:tcPr>
            <w:tcW w:w="0" w:type="auto"/>
            <w:shd w:val="clear" w:color="auto" w:fill="CCEEFF"/>
            <w:tcMar>
              <w:top w:w="30" w:type="dxa"/>
              <w:left w:w="0" w:type="dxa"/>
              <w:bottom w:w="30" w:type="dxa"/>
              <w:right w:w="20" w:type="dxa"/>
            </w:tcMar>
            <w:vAlign w:val="center"/>
            <w:hideMark/>
          </w:tcPr>
          <w:p w14:paraId="24E432C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BB3DC"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AFDD0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BF5B2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1848BF" w14:textId="77777777" w:rsidR="00000000" w:rsidRDefault="00A173A8">
            <w:pPr>
              <w:spacing w:after="100"/>
              <w:rPr>
                <w:rFonts w:eastAsia="Times New Roman"/>
                <w:sz w:val="20"/>
                <w:szCs w:val="20"/>
              </w:rPr>
            </w:pPr>
          </w:p>
        </w:tc>
        <w:tc>
          <w:tcPr>
            <w:tcW w:w="0" w:type="auto"/>
            <w:vAlign w:val="center"/>
            <w:hideMark/>
          </w:tcPr>
          <w:p w14:paraId="28ABAAF8" w14:textId="77777777" w:rsidR="00000000" w:rsidRDefault="00A173A8">
            <w:pPr>
              <w:spacing w:after="100"/>
              <w:rPr>
                <w:rFonts w:eastAsia="Times New Roman"/>
                <w:sz w:val="20"/>
                <w:szCs w:val="20"/>
              </w:rPr>
            </w:pPr>
          </w:p>
        </w:tc>
        <w:tc>
          <w:tcPr>
            <w:tcW w:w="0" w:type="auto"/>
            <w:vAlign w:val="center"/>
            <w:hideMark/>
          </w:tcPr>
          <w:p w14:paraId="5CCAAF01" w14:textId="77777777" w:rsidR="00000000" w:rsidRDefault="00A173A8">
            <w:pPr>
              <w:spacing w:after="100"/>
              <w:rPr>
                <w:rFonts w:eastAsia="Times New Roman"/>
                <w:sz w:val="20"/>
                <w:szCs w:val="20"/>
              </w:rPr>
            </w:pPr>
          </w:p>
        </w:tc>
        <w:tc>
          <w:tcPr>
            <w:tcW w:w="0" w:type="auto"/>
            <w:gridSpan w:val="3"/>
            <w:vAlign w:val="center"/>
            <w:hideMark/>
          </w:tcPr>
          <w:p w14:paraId="66A89B11" w14:textId="77777777" w:rsidR="00000000" w:rsidRDefault="00A173A8">
            <w:pPr>
              <w:spacing w:after="100"/>
              <w:rPr>
                <w:rFonts w:eastAsia="Times New Roman"/>
                <w:sz w:val="20"/>
                <w:szCs w:val="20"/>
              </w:rPr>
            </w:pPr>
          </w:p>
        </w:tc>
        <w:tc>
          <w:tcPr>
            <w:tcW w:w="0" w:type="auto"/>
            <w:gridSpan w:val="3"/>
            <w:vAlign w:val="center"/>
            <w:hideMark/>
          </w:tcPr>
          <w:p w14:paraId="6D51D5FB" w14:textId="77777777" w:rsidR="00000000" w:rsidRDefault="00A173A8">
            <w:pPr>
              <w:spacing w:after="100"/>
              <w:rPr>
                <w:rFonts w:eastAsia="Times New Roman"/>
                <w:sz w:val="20"/>
                <w:szCs w:val="20"/>
              </w:rPr>
            </w:pPr>
          </w:p>
        </w:tc>
        <w:tc>
          <w:tcPr>
            <w:tcW w:w="0" w:type="auto"/>
            <w:gridSpan w:val="3"/>
            <w:vAlign w:val="center"/>
            <w:hideMark/>
          </w:tcPr>
          <w:p w14:paraId="778AF338" w14:textId="77777777" w:rsidR="00000000" w:rsidRDefault="00A173A8">
            <w:pPr>
              <w:spacing w:after="100"/>
              <w:rPr>
                <w:rFonts w:eastAsia="Times New Roman"/>
                <w:sz w:val="20"/>
                <w:szCs w:val="20"/>
              </w:rPr>
            </w:pPr>
          </w:p>
        </w:tc>
        <w:tc>
          <w:tcPr>
            <w:tcW w:w="0" w:type="auto"/>
            <w:gridSpan w:val="3"/>
            <w:vAlign w:val="center"/>
            <w:hideMark/>
          </w:tcPr>
          <w:p w14:paraId="28A1A10F" w14:textId="77777777" w:rsidR="00000000" w:rsidRDefault="00A173A8">
            <w:pPr>
              <w:spacing w:after="100"/>
              <w:rPr>
                <w:rFonts w:eastAsia="Times New Roman"/>
                <w:sz w:val="20"/>
                <w:szCs w:val="20"/>
              </w:rPr>
            </w:pPr>
          </w:p>
        </w:tc>
      </w:tr>
      <w:tr w:rsidR="00000000" w14:paraId="39BCE77C" w14:textId="77777777">
        <w:trPr>
          <w:divId w:val="1280793884"/>
        </w:trPr>
        <w:tc>
          <w:tcPr>
            <w:tcW w:w="0" w:type="auto"/>
            <w:gridSpan w:val="3"/>
            <w:shd w:val="clear" w:color="auto" w:fill="FFFFFF"/>
            <w:tcMar>
              <w:top w:w="30" w:type="dxa"/>
              <w:left w:w="20" w:type="dxa"/>
              <w:bottom w:w="30" w:type="dxa"/>
              <w:right w:w="20" w:type="dxa"/>
            </w:tcMar>
            <w:vAlign w:val="center"/>
            <w:hideMark/>
          </w:tcPr>
          <w:p w14:paraId="035F90FA" w14:textId="77777777" w:rsidR="00000000" w:rsidRDefault="00A173A8">
            <w:pPr>
              <w:spacing w:after="100"/>
              <w:rPr>
                <w:rFonts w:eastAsia="Times New Roman"/>
              </w:rPr>
            </w:pPr>
            <w:r>
              <w:rPr>
                <w:rFonts w:eastAsia="Times New Roman"/>
                <w:color w:val="000000"/>
                <w:sz w:val="20"/>
                <w:szCs w:val="20"/>
              </w:rPr>
              <w:t>Total liabilities</w:t>
            </w:r>
          </w:p>
        </w:tc>
        <w:tc>
          <w:tcPr>
            <w:tcW w:w="0" w:type="auto"/>
            <w:gridSpan w:val="3"/>
            <w:shd w:val="clear" w:color="auto" w:fill="FFFFFF"/>
            <w:tcMar>
              <w:top w:w="0" w:type="dxa"/>
              <w:left w:w="20" w:type="dxa"/>
              <w:bottom w:w="0" w:type="dxa"/>
              <w:right w:w="20" w:type="dxa"/>
            </w:tcMar>
            <w:vAlign w:val="center"/>
            <w:hideMark/>
          </w:tcPr>
          <w:p w14:paraId="044982D8"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32D388B" w14:textId="77777777" w:rsidR="00000000" w:rsidRDefault="00A173A8">
            <w:pPr>
              <w:spacing w:after="100"/>
              <w:jc w:val="right"/>
              <w:rPr>
                <w:rFonts w:eastAsia="Times New Roman"/>
              </w:rPr>
            </w:pPr>
            <w:r>
              <w:rPr>
                <w:rFonts w:eastAsia="Times New Roman"/>
                <w:b/>
                <w:bCs/>
                <w:color w:val="000000"/>
                <w:sz w:val="20"/>
                <w:szCs w:val="20"/>
              </w:rPr>
              <w:t>381,162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DED6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7B634"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A5A2D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63C8B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174B4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AFAAF4"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13E030C" w14:textId="77777777" w:rsidR="00000000" w:rsidRDefault="00A173A8">
            <w:pPr>
              <w:spacing w:after="100"/>
              <w:jc w:val="right"/>
              <w:rPr>
                <w:rFonts w:eastAsia="Times New Roman"/>
              </w:rPr>
            </w:pPr>
            <w:r>
              <w:rPr>
                <w:rFonts w:eastAsia="Times New Roman"/>
                <w:color w:val="000000"/>
                <w:sz w:val="20"/>
                <w:szCs w:val="20"/>
              </w:rPr>
              <w:t>361,723 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307A3E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68AE9"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ABF1E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6AE10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48EF9E" w14:textId="77777777" w:rsidR="00000000" w:rsidRDefault="00A173A8">
            <w:pPr>
              <w:spacing w:after="100"/>
              <w:rPr>
                <w:rFonts w:eastAsia="Times New Roman"/>
                <w:sz w:val="20"/>
                <w:szCs w:val="20"/>
              </w:rPr>
            </w:pPr>
          </w:p>
        </w:tc>
        <w:tc>
          <w:tcPr>
            <w:tcW w:w="0" w:type="auto"/>
            <w:vAlign w:val="center"/>
            <w:hideMark/>
          </w:tcPr>
          <w:p w14:paraId="3F1D3AD8" w14:textId="77777777" w:rsidR="00000000" w:rsidRDefault="00A173A8">
            <w:pPr>
              <w:spacing w:after="100"/>
              <w:rPr>
                <w:rFonts w:eastAsia="Times New Roman"/>
                <w:sz w:val="20"/>
                <w:szCs w:val="20"/>
              </w:rPr>
            </w:pPr>
          </w:p>
        </w:tc>
        <w:tc>
          <w:tcPr>
            <w:tcW w:w="0" w:type="auto"/>
            <w:vAlign w:val="center"/>
            <w:hideMark/>
          </w:tcPr>
          <w:p w14:paraId="5F673E05" w14:textId="77777777" w:rsidR="00000000" w:rsidRDefault="00A173A8">
            <w:pPr>
              <w:spacing w:after="100"/>
              <w:rPr>
                <w:rFonts w:eastAsia="Times New Roman"/>
                <w:sz w:val="20"/>
                <w:szCs w:val="20"/>
              </w:rPr>
            </w:pPr>
          </w:p>
        </w:tc>
        <w:tc>
          <w:tcPr>
            <w:tcW w:w="0" w:type="auto"/>
            <w:gridSpan w:val="3"/>
            <w:vAlign w:val="center"/>
            <w:hideMark/>
          </w:tcPr>
          <w:p w14:paraId="16C31F95" w14:textId="77777777" w:rsidR="00000000" w:rsidRDefault="00A173A8">
            <w:pPr>
              <w:spacing w:after="100"/>
              <w:rPr>
                <w:rFonts w:eastAsia="Times New Roman"/>
                <w:sz w:val="20"/>
                <w:szCs w:val="20"/>
              </w:rPr>
            </w:pPr>
          </w:p>
        </w:tc>
        <w:tc>
          <w:tcPr>
            <w:tcW w:w="0" w:type="auto"/>
            <w:gridSpan w:val="3"/>
            <w:vAlign w:val="center"/>
            <w:hideMark/>
          </w:tcPr>
          <w:p w14:paraId="569F61D5" w14:textId="77777777" w:rsidR="00000000" w:rsidRDefault="00A173A8">
            <w:pPr>
              <w:spacing w:after="100"/>
              <w:rPr>
                <w:rFonts w:eastAsia="Times New Roman"/>
                <w:sz w:val="20"/>
                <w:szCs w:val="20"/>
              </w:rPr>
            </w:pPr>
          </w:p>
        </w:tc>
        <w:tc>
          <w:tcPr>
            <w:tcW w:w="0" w:type="auto"/>
            <w:gridSpan w:val="3"/>
            <w:vAlign w:val="center"/>
            <w:hideMark/>
          </w:tcPr>
          <w:p w14:paraId="3B7905E4" w14:textId="77777777" w:rsidR="00000000" w:rsidRDefault="00A173A8">
            <w:pPr>
              <w:spacing w:after="100"/>
              <w:rPr>
                <w:rFonts w:eastAsia="Times New Roman"/>
                <w:sz w:val="20"/>
                <w:szCs w:val="20"/>
              </w:rPr>
            </w:pPr>
          </w:p>
        </w:tc>
        <w:tc>
          <w:tcPr>
            <w:tcW w:w="0" w:type="auto"/>
            <w:gridSpan w:val="3"/>
            <w:vAlign w:val="center"/>
            <w:hideMark/>
          </w:tcPr>
          <w:p w14:paraId="2CE3C9AE" w14:textId="77777777" w:rsidR="00000000" w:rsidRDefault="00A173A8">
            <w:pPr>
              <w:spacing w:after="100"/>
              <w:rPr>
                <w:rFonts w:eastAsia="Times New Roman"/>
                <w:sz w:val="20"/>
                <w:szCs w:val="20"/>
              </w:rPr>
            </w:pPr>
          </w:p>
        </w:tc>
      </w:tr>
      <w:tr w:rsidR="00000000" w14:paraId="167E61EC" w14:textId="77777777">
        <w:trPr>
          <w:divId w:val="1280793884"/>
        </w:trPr>
        <w:tc>
          <w:tcPr>
            <w:tcW w:w="0" w:type="auto"/>
            <w:gridSpan w:val="3"/>
            <w:shd w:val="clear" w:color="auto" w:fill="CCEEFF"/>
            <w:tcMar>
              <w:top w:w="30" w:type="dxa"/>
              <w:left w:w="20" w:type="dxa"/>
              <w:bottom w:w="30" w:type="dxa"/>
              <w:right w:w="20" w:type="dxa"/>
            </w:tcMar>
            <w:vAlign w:val="center"/>
            <w:hideMark/>
          </w:tcPr>
          <w:p w14:paraId="1F0960A2" w14:textId="77777777" w:rsidR="00000000" w:rsidRDefault="00A173A8">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45CCDF7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FA6F143" w14:textId="77777777" w:rsidR="00000000" w:rsidRDefault="00A173A8">
            <w:pPr>
              <w:spacing w:after="100"/>
              <w:jc w:val="right"/>
              <w:rPr>
                <w:rFonts w:eastAsia="Times New Roman"/>
              </w:rPr>
            </w:pPr>
            <w:r>
              <w:rPr>
                <w:rFonts w:eastAsia="Times New Roman"/>
                <w:b/>
                <w:bCs/>
                <w:color w:val="000000"/>
                <w:sz w:val="20"/>
                <w:szCs w:val="20"/>
              </w:rPr>
              <w:t>54,165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282874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CBD3C"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4465B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FFCD5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74651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579DFE"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54E360" w14:textId="77777777" w:rsidR="00000000" w:rsidRDefault="00A173A8">
            <w:pPr>
              <w:spacing w:after="100"/>
              <w:jc w:val="right"/>
              <w:rPr>
                <w:rFonts w:eastAsia="Times New Roman"/>
              </w:rPr>
            </w:pPr>
            <w:r>
              <w:rPr>
                <w:rFonts w:eastAsia="Times New Roman"/>
                <w:color w:val="000000"/>
                <w:sz w:val="20"/>
                <w:szCs w:val="20"/>
              </w:rPr>
              <w:t>62,376 </w:t>
            </w:r>
          </w:p>
        </w:tc>
        <w:tc>
          <w:tcPr>
            <w:tcW w:w="0" w:type="auto"/>
            <w:shd w:val="clear" w:color="auto" w:fill="CCEEFF"/>
            <w:tcMar>
              <w:top w:w="30" w:type="dxa"/>
              <w:left w:w="0" w:type="dxa"/>
              <w:bottom w:w="30" w:type="dxa"/>
              <w:right w:w="20" w:type="dxa"/>
            </w:tcMar>
            <w:vAlign w:val="center"/>
            <w:hideMark/>
          </w:tcPr>
          <w:p w14:paraId="63A3CC5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3FA9B"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1D89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AEC8E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5D7080" w14:textId="77777777" w:rsidR="00000000" w:rsidRDefault="00A173A8">
            <w:pPr>
              <w:spacing w:after="100"/>
              <w:rPr>
                <w:rFonts w:eastAsia="Times New Roman"/>
                <w:sz w:val="20"/>
                <w:szCs w:val="20"/>
              </w:rPr>
            </w:pPr>
          </w:p>
        </w:tc>
        <w:tc>
          <w:tcPr>
            <w:tcW w:w="0" w:type="auto"/>
            <w:vAlign w:val="center"/>
            <w:hideMark/>
          </w:tcPr>
          <w:p w14:paraId="7CB1B5A3" w14:textId="77777777" w:rsidR="00000000" w:rsidRDefault="00A173A8">
            <w:pPr>
              <w:spacing w:after="100"/>
              <w:rPr>
                <w:rFonts w:eastAsia="Times New Roman"/>
                <w:sz w:val="20"/>
                <w:szCs w:val="20"/>
              </w:rPr>
            </w:pPr>
          </w:p>
        </w:tc>
        <w:tc>
          <w:tcPr>
            <w:tcW w:w="0" w:type="auto"/>
            <w:vAlign w:val="center"/>
            <w:hideMark/>
          </w:tcPr>
          <w:p w14:paraId="489237EF" w14:textId="77777777" w:rsidR="00000000" w:rsidRDefault="00A173A8">
            <w:pPr>
              <w:spacing w:after="100"/>
              <w:rPr>
                <w:rFonts w:eastAsia="Times New Roman"/>
                <w:sz w:val="20"/>
                <w:szCs w:val="20"/>
              </w:rPr>
            </w:pPr>
          </w:p>
        </w:tc>
        <w:tc>
          <w:tcPr>
            <w:tcW w:w="0" w:type="auto"/>
            <w:gridSpan w:val="3"/>
            <w:vAlign w:val="center"/>
            <w:hideMark/>
          </w:tcPr>
          <w:p w14:paraId="2C78A045" w14:textId="77777777" w:rsidR="00000000" w:rsidRDefault="00A173A8">
            <w:pPr>
              <w:spacing w:after="100"/>
              <w:rPr>
                <w:rFonts w:eastAsia="Times New Roman"/>
                <w:sz w:val="20"/>
                <w:szCs w:val="20"/>
              </w:rPr>
            </w:pPr>
          </w:p>
        </w:tc>
        <w:tc>
          <w:tcPr>
            <w:tcW w:w="0" w:type="auto"/>
            <w:gridSpan w:val="3"/>
            <w:vAlign w:val="center"/>
            <w:hideMark/>
          </w:tcPr>
          <w:p w14:paraId="2AA945BE" w14:textId="77777777" w:rsidR="00000000" w:rsidRDefault="00A173A8">
            <w:pPr>
              <w:spacing w:after="100"/>
              <w:rPr>
                <w:rFonts w:eastAsia="Times New Roman"/>
                <w:sz w:val="20"/>
                <w:szCs w:val="20"/>
              </w:rPr>
            </w:pPr>
          </w:p>
        </w:tc>
        <w:tc>
          <w:tcPr>
            <w:tcW w:w="0" w:type="auto"/>
            <w:gridSpan w:val="3"/>
            <w:vAlign w:val="center"/>
            <w:hideMark/>
          </w:tcPr>
          <w:p w14:paraId="3AE55939" w14:textId="77777777" w:rsidR="00000000" w:rsidRDefault="00A173A8">
            <w:pPr>
              <w:spacing w:after="100"/>
              <w:rPr>
                <w:rFonts w:eastAsia="Times New Roman"/>
                <w:sz w:val="20"/>
                <w:szCs w:val="20"/>
              </w:rPr>
            </w:pPr>
          </w:p>
        </w:tc>
        <w:tc>
          <w:tcPr>
            <w:tcW w:w="0" w:type="auto"/>
            <w:gridSpan w:val="3"/>
            <w:vAlign w:val="center"/>
            <w:hideMark/>
          </w:tcPr>
          <w:p w14:paraId="0B9CB953" w14:textId="77777777" w:rsidR="00000000" w:rsidRDefault="00A173A8">
            <w:pPr>
              <w:spacing w:after="100"/>
              <w:rPr>
                <w:rFonts w:eastAsia="Times New Roman"/>
                <w:sz w:val="20"/>
                <w:szCs w:val="20"/>
              </w:rPr>
            </w:pPr>
          </w:p>
        </w:tc>
      </w:tr>
      <w:tr w:rsidR="00000000" w14:paraId="3F41EFB4" w14:textId="77777777">
        <w:trPr>
          <w:divId w:val="1280793884"/>
        </w:trPr>
        <w:tc>
          <w:tcPr>
            <w:tcW w:w="0" w:type="auto"/>
            <w:gridSpan w:val="3"/>
            <w:shd w:val="clear" w:color="auto" w:fill="FFFFFF"/>
            <w:tcMar>
              <w:top w:w="30" w:type="dxa"/>
              <w:left w:w="20" w:type="dxa"/>
              <w:bottom w:w="30" w:type="dxa"/>
              <w:right w:w="20" w:type="dxa"/>
            </w:tcMar>
            <w:vAlign w:val="center"/>
            <w:hideMark/>
          </w:tcPr>
          <w:p w14:paraId="097F5A21" w14:textId="77777777" w:rsidR="00000000" w:rsidRDefault="00A173A8">
            <w:pPr>
              <w:spacing w:after="100"/>
              <w:rPr>
                <w:rFonts w:eastAsia="Times New Roman"/>
              </w:rPr>
            </w:pPr>
            <w:r>
              <w:rPr>
                <w:rFonts w:eastAsia="Times New Roman"/>
                <w:color w:val="000000"/>
                <w:sz w:val="20"/>
                <w:szCs w:val="20"/>
              </w:rPr>
              <w:t>Total liabilities and stockholders’ equity</w:t>
            </w:r>
          </w:p>
        </w:tc>
        <w:tc>
          <w:tcPr>
            <w:tcW w:w="0" w:type="auto"/>
            <w:gridSpan w:val="3"/>
            <w:shd w:val="clear" w:color="auto" w:fill="FFFFFF"/>
            <w:tcMar>
              <w:top w:w="0" w:type="dxa"/>
              <w:left w:w="20" w:type="dxa"/>
              <w:bottom w:w="0" w:type="dxa"/>
              <w:right w:w="20" w:type="dxa"/>
            </w:tcMar>
            <w:vAlign w:val="center"/>
            <w:hideMark/>
          </w:tcPr>
          <w:p w14:paraId="75B14AB9"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D8C97E4"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5ABC2E6" w14:textId="77777777" w:rsidR="00000000" w:rsidRDefault="00A173A8">
            <w:pPr>
              <w:spacing w:after="100"/>
              <w:jc w:val="right"/>
              <w:rPr>
                <w:rFonts w:eastAsia="Times New Roman"/>
              </w:rPr>
            </w:pPr>
            <w:r>
              <w:rPr>
                <w:rFonts w:eastAsia="Times New Roman"/>
                <w:b/>
                <w:bCs/>
                <w:color w:val="000000"/>
                <w:sz w:val="20"/>
                <w:szCs w:val="20"/>
              </w:rPr>
              <w:t>435,327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960A6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E931E"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BEE41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40A89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913E3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0D94A2" w14:textId="77777777" w:rsidR="00000000" w:rsidRDefault="00A173A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C0BE8F5"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FF50499" w14:textId="77777777" w:rsidR="00000000" w:rsidRDefault="00A173A8">
            <w:pPr>
              <w:spacing w:after="100"/>
              <w:jc w:val="right"/>
              <w:rPr>
                <w:rFonts w:eastAsia="Times New Roman"/>
              </w:rPr>
            </w:pPr>
            <w:r>
              <w:rPr>
                <w:rFonts w:eastAsia="Times New Roman"/>
                <w:color w:val="000000"/>
                <w:sz w:val="20"/>
                <w:szCs w:val="20"/>
              </w:rPr>
              <w:t>424,099 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BE5CB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6B690"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C6780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F648A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4D1DE8" w14:textId="77777777" w:rsidR="00000000" w:rsidRDefault="00A173A8">
            <w:pPr>
              <w:spacing w:after="100"/>
              <w:rPr>
                <w:rFonts w:eastAsia="Times New Roman"/>
                <w:sz w:val="20"/>
                <w:szCs w:val="20"/>
              </w:rPr>
            </w:pPr>
          </w:p>
        </w:tc>
        <w:tc>
          <w:tcPr>
            <w:tcW w:w="0" w:type="auto"/>
            <w:vAlign w:val="center"/>
            <w:hideMark/>
          </w:tcPr>
          <w:p w14:paraId="698129D1" w14:textId="77777777" w:rsidR="00000000" w:rsidRDefault="00A173A8">
            <w:pPr>
              <w:spacing w:after="100"/>
              <w:rPr>
                <w:rFonts w:eastAsia="Times New Roman"/>
                <w:sz w:val="20"/>
                <w:szCs w:val="20"/>
              </w:rPr>
            </w:pPr>
          </w:p>
        </w:tc>
        <w:tc>
          <w:tcPr>
            <w:tcW w:w="0" w:type="auto"/>
            <w:vAlign w:val="center"/>
            <w:hideMark/>
          </w:tcPr>
          <w:p w14:paraId="1B2E1D48" w14:textId="77777777" w:rsidR="00000000" w:rsidRDefault="00A173A8">
            <w:pPr>
              <w:spacing w:after="100"/>
              <w:rPr>
                <w:rFonts w:eastAsia="Times New Roman"/>
                <w:sz w:val="20"/>
                <w:szCs w:val="20"/>
              </w:rPr>
            </w:pPr>
          </w:p>
        </w:tc>
        <w:tc>
          <w:tcPr>
            <w:tcW w:w="0" w:type="auto"/>
            <w:gridSpan w:val="3"/>
            <w:vAlign w:val="center"/>
            <w:hideMark/>
          </w:tcPr>
          <w:p w14:paraId="53260B47" w14:textId="77777777" w:rsidR="00000000" w:rsidRDefault="00A173A8">
            <w:pPr>
              <w:spacing w:after="100"/>
              <w:rPr>
                <w:rFonts w:eastAsia="Times New Roman"/>
                <w:sz w:val="20"/>
                <w:szCs w:val="20"/>
              </w:rPr>
            </w:pPr>
          </w:p>
        </w:tc>
        <w:tc>
          <w:tcPr>
            <w:tcW w:w="0" w:type="auto"/>
            <w:gridSpan w:val="3"/>
            <w:vAlign w:val="center"/>
            <w:hideMark/>
          </w:tcPr>
          <w:p w14:paraId="758B7E81" w14:textId="77777777" w:rsidR="00000000" w:rsidRDefault="00A173A8">
            <w:pPr>
              <w:spacing w:after="100"/>
              <w:rPr>
                <w:rFonts w:eastAsia="Times New Roman"/>
                <w:sz w:val="20"/>
                <w:szCs w:val="20"/>
              </w:rPr>
            </w:pPr>
          </w:p>
        </w:tc>
        <w:tc>
          <w:tcPr>
            <w:tcW w:w="0" w:type="auto"/>
            <w:gridSpan w:val="3"/>
            <w:vAlign w:val="center"/>
            <w:hideMark/>
          </w:tcPr>
          <w:p w14:paraId="0381014B" w14:textId="77777777" w:rsidR="00000000" w:rsidRDefault="00A173A8">
            <w:pPr>
              <w:spacing w:after="100"/>
              <w:rPr>
                <w:rFonts w:eastAsia="Times New Roman"/>
                <w:sz w:val="20"/>
                <w:szCs w:val="20"/>
              </w:rPr>
            </w:pPr>
          </w:p>
        </w:tc>
        <w:tc>
          <w:tcPr>
            <w:tcW w:w="0" w:type="auto"/>
            <w:gridSpan w:val="3"/>
            <w:vAlign w:val="center"/>
            <w:hideMark/>
          </w:tcPr>
          <w:p w14:paraId="071B596A" w14:textId="77777777" w:rsidR="00000000" w:rsidRDefault="00A173A8">
            <w:pPr>
              <w:spacing w:after="100"/>
              <w:rPr>
                <w:rFonts w:eastAsia="Times New Roman"/>
                <w:sz w:val="20"/>
                <w:szCs w:val="20"/>
              </w:rPr>
            </w:pPr>
          </w:p>
        </w:tc>
      </w:tr>
      <w:tr w:rsidR="00000000" w14:paraId="53E3BC8F" w14:textId="77777777">
        <w:trPr>
          <w:divId w:val="1280793884"/>
        </w:trPr>
        <w:tc>
          <w:tcPr>
            <w:tcW w:w="0" w:type="auto"/>
            <w:gridSpan w:val="9"/>
            <w:shd w:val="clear" w:color="auto" w:fill="CCEEFF"/>
            <w:tcMar>
              <w:top w:w="30" w:type="dxa"/>
              <w:left w:w="20" w:type="dxa"/>
              <w:bottom w:w="30" w:type="dxa"/>
              <w:right w:w="20" w:type="dxa"/>
            </w:tcMar>
            <w:vAlign w:val="center"/>
            <w:hideMark/>
          </w:tcPr>
          <w:p w14:paraId="5F95AF12" w14:textId="77777777" w:rsidR="00000000" w:rsidRDefault="00A173A8">
            <w:pPr>
              <w:spacing w:after="100"/>
              <w:rPr>
                <w:rFonts w:eastAsia="Times New Roman"/>
              </w:rPr>
            </w:pPr>
            <w:r>
              <w:rPr>
                <w:rFonts w:eastAsia="Times New Roman"/>
                <w:color w:val="000000"/>
                <w:sz w:val="20"/>
                <w:szCs w:val="20"/>
              </w:rPr>
              <w:t>Net interest income/spread</w:t>
            </w:r>
          </w:p>
        </w:tc>
        <w:tc>
          <w:tcPr>
            <w:tcW w:w="0" w:type="auto"/>
            <w:gridSpan w:val="3"/>
            <w:shd w:val="clear" w:color="auto" w:fill="CCEEFF"/>
            <w:tcMar>
              <w:top w:w="0" w:type="dxa"/>
              <w:left w:w="20" w:type="dxa"/>
              <w:bottom w:w="0" w:type="dxa"/>
              <w:right w:w="20" w:type="dxa"/>
            </w:tcMar>
            <w:vAlign w:val="center"/>
            <w:hideMark/>
          </w:tcPr>
          <w:p w14:paraId="0C6A27D9"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F876F4B"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9C58AAD" w14:textId="77777777" w:rsidR="00000000" w:rsidRDefault="00A173A8">
            <w:pPr>
              <w:spacing w:after="100"/>
              <w:jc w:val="right"/>
              <w:rPr>
                <w:rFonts w:eastAsia="Times New Roman"/>
              </w:rPr>
            </w:pPr>
            <w:r>
              <w:rPr>
                <w:rFonts w:eastAsia="Times New Roman"/>
                <w:b/>
                <w:bCs/>
                <w:color w:val="000000"/>
                <w:sz w:val="20"/>
                <w:szCs w:val="20"/>
              </w:rPr>
              <w:t>6,517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A6607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7049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B7C63C" w14:textId="77777777" w:rsidR="00000000" w:rsidRDefault="00A173A8">
            <w:pPr>
              <w:spacing w:after="100"/>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3CBA2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BF03AC" w14:textId="77777777" w:rsidR="00000000" w:rsidRDefault="00A173A8">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FFCC79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8180C4" w14:textId="77777777" w:rsidR="00000000" w:rsidRDefault="00A173A8">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6358650"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E6EA438" w14:textId="77777777" w:rsidR="00000000" w:rsidRDefault="00A173A8">
            <w:pPr>
              <w:spacing w:after="100"/>
              <w:jc w:val="right"/>
              <w:rPr>
                <w:rFonts w:eastAsia="Times New Roman"/>
              </w:rPr>
            </w:pPr>
            <w:r>
              <w:rPr>
                <w:rFonts w:eastAsia="Times New Roman"/>
                <w:color w:val="000000"/>
                <w:sz w:val="20"/>
                <w:szCs w:val="20"/>
              </w:rPr>
              <w:t>5,743 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9EED9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0E377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738AB4" w14:textId="77777777" w:rsidR="00000000" w:rsidRDefault="00A173A8">
            <w:pPr>
              <w:spacing w:after="100"/>
              <w:jc w:val="right"/>
              <w:rPr>
                <w:rFonts w:eastAsia="Times New Roman"/>
              </w:rPr>
            </w:pPr>
            <w:r>
              <w:rPr>
                <w:rFonts w:eastAsia="Times New Roman"/>
                <w:color w:val="000000"/>
                <w:sz w:val="20"/>
                <w:szCs w:val="20"/>
              </w:rPr>
              <w:t>5.79 </w:t>
            </w:r>
          </w:p>
        </w:tc>
        <w:tc>
          <w:tcPr>
            <w:tcW w:w="0" w:type="auto"/>
            <w:shd w:val="clear" w:color="auto" w:fill="CCEEFF"/>
            <w:tcMar>
              <w:top w:w="30" w:type="dxa"/>
              <w:left w:w="0" w:type="dxa"/>
              <w:bottom w:w="30" w:type="dxa"/>
              <w:right w:w="20" w:type="dxa"/>
            </w:tcMar>
            <w:vAlign w:val="center"/>
            <w:hideMark/>
          </w:tcPr>
          <w:p w14:paraId="4C9D0291" w14:textId="77777777" w:rsidR="00000000" w:rsidRDefault="00A173A8">
            <w:pPr>
              <w:spacing w:after="100"/>
              <w:jc w:val="right"/>
              <w:rPr>
                <w:rFonts w:eastAsia="Times New Roman"/>
              </w:rPr>
            </w:pPr>
          </w:p>
        </w:tc>
        <w:tc>
          <w:tcPr>
            <w:tcW w:w="0" w:type="auto"/>
            <w:vAlign w:val="center"/>
            <w:hideMark/>
          </w:tcPr>
          <w:p w14:paraId="3E785316" w14:textId="77777777" w:rsidR="00000000" w:rsidRDefault="00A173A8">
            <w:pPr>
              <w:spacing w:after="100"/>
              <w:jc w:val="right"/>
              <w:rPr>
                <w:rFonts w:eastAsia="Times New Roman"/>
                <w:sz w:val="20"/>
                <w:szCs w:val="20"/>
              </w:rPr>
            </w:pPr>
          </w:p>
        </w:tc>
        <w:tc>
          <w:tcPr>
            <w:tcW w:w="0" w:type="auto"/>
            <w:vAlign w:val="center"/>
            <w:hideMark/>
          </w:tcPr>
          <w:p w14:paraId="291847BD" w14:textId="77777777" w:rsidR="00000000" w:rsidRDefault="00A173A8">
            <w:pPr>
              <w:spacing w:after="100"/>
              <w:rPr>
                <w:rFonts w:eastAsia="Times New Roman"/>
                <w:sz w:val="20"/>
                <w:szCs w:val="20"/>
              </w:rPr>
            </w:pPr>
          </w:p>
        </w:tc>
        <w:tc>
          <w:tcPr>
            <w:tcW w:w="0" w:type="auto"/>
            <w:gridSpan w:val="3"/>
            <w:vAlign w:val="center"/>
            <w:hideMark/>
          </w:tcPr>
          <w:p w14:paraId="2384E1D9" w14:textId="77777777" w:rsidR="00000000" w:rsidRDefault="00A173A8">
            <w:pPr>
              <w:spacing w:after="100"/>
              <w:rPr>
                <w:rFonts w:eastAsia="Times New Roman"/>
                <w:sz w:val="20"/>
                <w:szCs w:val="20"/>
              </w:rPr>
            </w:pPr>
          </w:p>
        </w:tc>
        <w:tc>
          <w:tcPr>
            <w:tcW w:w="0" w:type="auto"/>
            <w:gridSpan w:val="3"/>
            <w:vAlign w:val="center"/>
            <w:hideMark/>
          </w:tcPr>
          <w:p w14:paraId="3BD9008C" w14:textId="77777777" w:rsidR="00000000" w:rsidRDefault="00A173A8">
            <w:pPr>
              <w:spacing w:after="100"/>
              <w:rPr>
                <w:rFonts w:eastAsia="Times New Roman"/>
                <w:sz w:val="20"/>
                <w:szCs w:val="20"/>
              </w:rPr>
            </w:pPr>
          </w:p>
        </w:tc>
        <w:tc>
          <w:tcPr>
            <w:tcW w:w="0" w:type="auto"/>
            <w:gridSpan w:val="3"/>
            <w:vAlign w:val="center"/>
            <w:hideMark/>
          </w:tcPr>
          <w:p w14:paraId="0EF6D5FA" w14:textId="77777777" w:rsidR="00000000" w:rsidRDefault="00A173A8">
            <w:pPr>
              <w:spacing w:after="100"/>
              <w:rPr>
                <w:rFonts w:eastAsia="Times New Roman"/>
                <w:sz w:val="20"/>
                <w:szCs w:val="20"/>
              </w:rPr>
            </w:pPr>
          </w:p>
        </w:tc>
        <w:tc>
          <w:tcPr>
            <w:tcW w:w="0" w:type="auto"/>
            <w:gridSpan w:val="3"/>
            <w:vAlign w:val="center"/>
            <w:hideMark/>
          </w:tcPr>
          <w:p w14:paraId="2E7B8681" w14:textId="77777777" w:rsidR="00000000" w:rsidRDefault="00A173A8">
            <w:pPr>
              <w:spacing w:after="100"/>
              <w:rPr>
                <w:rFonts w:eastAsia="Times New Roman"/>
                <w:sz w:val="20"/>
                <w:szCs w:val="20"/>
              </w:rPr>
            </w:pPr>
          </w:p>
        </w:tc>
      </w:tr>
      <w:tr w:rsidR="00000000" w14:paraId="733BDD27" w14:textId="77777777">
        <w:trPr>
          <w:divId w:val="1280793884"/>
        </w:trPr>
        <w:tc>
          <w:tcPr>
            <w:tcW w:w="0" w:type="auto"/>
            <w:gridSpan w:val="15"/>
            <w:shd w:val="clear" w:color="auto" w:fill="FFFFFF"/>
            <w:tcMar>
              <w:top w:w="30" w:type="dxa"/>
              <w:left w:w="20" w:type="dxa"/>
              <w:bottom w:w="30" w:type="dxa"/>
              <w:right w:w="20" w:type="dxa"/>
            </w:tcMar>
            <w:vAlign w:val="center"/>
            <w:hideMark/>
          </w:tcPr>
          <w:p w14:paraId="62C58E8B" w14:textId="77777777" w:rsidR="00000000" w:rsidRDefault="00A173A8">
            <w:pPr>
              <w:spacing w:after="100"/>
              <w:rPr>
                <w:rFonts w:eastAsia="Times New Roman"/>
              </w:rPr>
            </w:pPr>
            <w:r>
              <w:rPr>
                <w:rFonts w:eastAsia="Times New Roman"/>
                <w:color w:val="000000"/>
                <w:sz w:val="20"/>
                <w:szCs w:val="20"/>
              </w:rPr>
              <w:t>Impact of non-interest-bearing funding</w:t>
            </w:r>
          </w:p>
        </w:tc>
        <w:tc>
          <w:tcPr>
            <w:tcW w:w="0" w:type="auto"/>
            <w:gridSpan w:val="3"/>
            <w:shd w:val="clear" w:color="auto" w:fill="FFFFFF"/>
            <w:tcMar>
              <w:top w:w="0" w:type="dxa"/>
              <w:left w:w="20" w:type="dxa"/>
              <w:bottom w:w="0" w:type="dxa"/>
              <w:right w:w="20" w:type="dxa"/>
            </w:tcMar>
            <w:vAlign w:val="center"/>
            <w:hideMark/>
          </w:tcPr>
          <w:p w14:paraId="4FFA471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F86C421" w14:textId="77777777" w:rsidR="00000000" w:rsidRDefault="00A173A8">
            <w:pPr>
              <w:spacing w:after="100"/>
              <w:jc w:val="right"/>
              <w:rPr>
                <w:rFonts w:eastAsia="Times New Roman"/>
              </w:rPr>
            </w:pPr>
            <w:r>
              <w:rPr>
                <w:rFonts w:eastAsia="Times New Roman"/>
                <w:b/>
                <w:bCs/>
                <w:color w:val="000000"/>
                <w:sz w:val="20"/>
                <w:szCs w:val="20"/>
              </w:rPr>
              <w:t>0.14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01F005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D58C8"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23D39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781A8B"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9F418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A1BBC6"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AD6BB5" w14:textId="77777777" w:rsidR="00000000" w:rsidRDefault="00A173A8">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center"/>
            <w:hideMark/>
          </w:tcPr>
          <w:p w14:paraId="2E09AAE3" w14:textId="77777777" w:rsidR="00000000" w:rsidRDefault="00A173A8">
            <w:pPr>
              <w:spacing w:after="100"/>
              <w:jc w:val="right"/>
              <w:rPr>
                <w:rFonts w:eastAsia="Times New Roman"/>
              </w:rPr>
            </w:pPr>
          </w:p>
        </w:tc>
        <w:tc>
          <w:tcPr>
            <w:tcW w:w="0" w:type="auto"/>
            <w:vAlign w:val="center"/>
            <w:hideMark/>
          </w:tcPr>
          <w:p w14:paraId="43ED9FC8" w14:textId="77777777" w:rsidR="00000000" w:rsidRDefault="00A173A8">
            <w:pPr>
              <w:spacing w:after="100"/>
              <w:jc w:val="right"/>
              <w:rPr>
                <w:rFonts w:eastAsia="Times New Roman"/>
                <w:sz w:val="20"/>
                <w:szCs w:val="20"/>
              </w:rPr>
            </w:pPr>
          </w:p>
        </w:tc>
        <w:tc>
          <w:tcPr>
            <w:tcW w:w="0" w:type="auto"/>
            <w:vAlign w:val="center"/>
            <w:hideMark/>
          </w:tcPr>
          <w:p w14:paraId="0E1782EB" w14:textId="77777777" w:rsidR="00000000" w:rsidRDefault="00A173A8">
            <w:pPr>
              <w:spacing w:after="100"/>
              <w:rPr>
                <w:rFonts w:eastAsia="Times New Roman"/>
                <w:sz w:val="20"/>
                <w:szCs w:val="20"/>
              </w:rPr>
            </w:pPr>
          </w:p>
        </w:tc>
        <w:tc>
          <w:tcPr>
            <w:tcW w:w="0" w:type="auto"/>
            <w:gridSpan w:val="3"/>
            <w:vAlign w:val="center"/>
            <w:hideMark/>
          </w:tcPr>
          <w:p w14:paraId="37061AE2" w14:textId="77777777" w:rsidR="00000000" w:rsidRDefault="00A173A8">
            <w:pPr>
              <w:spacing w:after="100"/>
              <w:rPr>
                <w:rFonts w:eastAsia="Times New Roman"/>
                <w:sz w:val="20"/>
                <w:szCs w:val="20"/>
              </w:rPr>
            </w:pPr>
          </w:p>
        </w:tc>
        <w:tc>
          <w:tcPr>
            <w:tcW w:w="0" w:type="auto"/>
            <w:gridSpan w:val="3"/>
            <w:vAlign w:val="center"/>
            <w:hideMark/>
          </w:tcPr>
          <w:p w14:paraId="00421BB5" w14:textId="77777777" w:rsidR="00000000" w:rsidRDefault="00A173A8">
            <w:pPr>
              <w:spacing w:after="100"/>
              <w:rPr>
                <w:rFonts w:eastAsia="Times New Roman"/>
                <w:sz w:val="20"/>
                <w:szCs w:val="20"/>
              </w:rPr>
            </w:pPr>
          </w:p>
        </w:tc>
        <w:tc>
          <w:tcPr>
            <w:tcW w:w="0" w:type="auto"/>
            <w:gridSpan w:val="3"/>
            <w:vAlign w:val="center"/>
            <w:hideMark/>
          </w:tcPr>
          <w:p w14:paraId="032DACCC" w14:textId="77777777" w:rsidR="00000000" w:rsidRDefault="00A173A8">
            <w:pPr>
              <w:spacing w:after="100"/>
              <w:rPr>
                <w:rFonts w:eastAsia="Times New Roman"/>
                <w:sz w:val="20"/>
                <w:szCs w:val="20"/>
              </w:rPr>
            </w:pPr>
          </w:p>
        </w:tc>
        <w:tc>
          <w:tcPr>
            <w:tcW w:w="0" w:type="auto"/>
            <w:gridSpan w:val="3"/>
            <w:vAlign w:val="center"/>
            <w:hideMark/>
          </w:tcPr>
          <w:p w14:paraId="0A4AD0E0" w14:textId="77777777" w:rsidR="00000000" w:rsidRDefault="00A173A8">
            <w:pPr>
              <w:spacing w:after="100"/>
              <w:rPr>
                <w:rFonts w:eastAsia="Times New Roman"/>
                <w:sz w:val="20"/>
                <w:szCs w:val="20"/>
              </w:rPr>
            </w:pPr>
          </w:p>
        </w:tc>
      </w:tr>
      <w:tr w:rsidR="00000000" w14:paraId="7A57A610" w14:textId="77777777">
        <w:trPr>
          <w:divId w:val="1280793884"/>
        </w:trPr>
        <w:tc>
          <w:tcPr>
            <w:tcW w:w="0" w:type="auto"/>
            <w:gridSpan w:val="15"/>
            <w:shd w:val="clear" w:color="auto" w:fill="CCEEFF"/>
            <w:tcMar>
              <w:top w:w="30" w:type="dxa"/>
              <w:left w:w="20" w:type="dxa"/>
              <w:bottom w:w="30" w:type="dxa"/>
              <w:right w:w="20" w:type="dxa"/>
            </w:tcMar>
            <w:vAlign w:val="center"/>
            <w:hideMark/>
          </w:tcPr>
          <w:p w14:paraId="5AA01F89" w14:textId="77777777" w:rsidR="00000000" w:rsidRDefault="00A173A8">
            <w:pPr>
              <w:spacing w:after="100"/>
              <w:rPr>
                <w:rFonts w:eastAsia="Times New Roman"/>
              </w:rPr>
            </w:pPr>
            <w:r>
              <w:rPr>
                <w:rFonts w:eastAsia="Times New Roman"/>
                <w:color w:val="000000"/>
                <w:sz w:val="20"/>
                <w:szCs w:val="20"/>
              </w:rPr>
              <w:t>Net interest margin</w:t>
            </w:r>
          </w:p>
        </w:tc>
        <w:tc>
          <w:tcPr>
            <w:tcW w:w="0" w:type="auto"/>
            <w:gridSpan w:val="3"/>
            <w:shd w:val="clear" w:color="auto" w:fill="CCEEFF"/>
            <w:tcMar>
              <w:top w:w="0" w:type="dxa"/>
              <w:left w:w="20" w:type="dxa"/>
              <w:bottom w:w="0" w:type="dxa"/>
              <w:right w:w="20" w:type="dxa"/>
            </w:tcMar>
            <w:vAlign w:val="center"/>
            <w:hideMark/>
          </w:tcPr>
          <w:p w14:paraId="4BE69E77" w14:textId="77777777" w:rsidR="00000000" w:rsidRDefault="00A173A8">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95A10F2" w14:textId="77777777" w:rsidR="00000000" w:rsidRDefault="00A173A8">
            <w:pPr>
              <w:spacing w:after="100"/>
              <w:jc w:val="right"/>
              <w:rPr>
                <w:rFonts w:eastAsia="Times New Roman"/>
              </w:rPr>
            </w:pPr>
            <w:r>
              <w:rPr>
                <w:rFonts w:eastAsia="Times New Roman"/>
                <w:b/>
                <w:bCs/>
                <w:color w:val="000000"/>
                <w:sz w:val="20"/>
                <w:szCs w:val="20"/>
              </w:rPr>
              <w:t>6.54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F490C53"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06AA2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679C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0B7B2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812EA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E8D865" w14:textId="77777777" w:rsidR="00000000" w:rsidRDefault="00A173A8">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8C29F51" w14:textId="77777777" w:rsidR="00000000" w:rsidRDefault="00A173A8">
            <w:pPr>
              <w:spacing w:after="100"/>
              <w:jc w:val="right"/>
              <w:rPr>
                <w:rFonts w:eastAsia="Times New Roman"/>
              </w:rPr>
            </w:pPr>
            <w:r>
              <w:rPr>
                <w:rFonts w:eastAsia="Times New Roman"/>
                <w:color w:val="000000"/>
                <w:sz w:val="20"/>
                <w:szCs w:val="20"/>
              </w:rPr>
              <w:t>5.89 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D66AD61" w14:textId="77777777" w:rsidR="00000000" w:rsidRDefault="00A173A8">
            <w:pPr>
              <w:spacing w:after="100"/>
              <w:rPr>
                <w:rFonts w:eastAsia="Times New Roman"/>
              </w:rPr>
            </w:pPr>
            <w:r>
              <w:rPr>
                <w:rFonts w:eastAsia="Times New Roman"/>
                <w:color w:val="000000"/>
                <w:sz w:val="20"/>
                <w:szCs w:val="20"/>
              </w:rPr>
              <w:t>%</w:t>
            </w:r>
          </w:p>
        </w:tc>
        <w:tc>
          <w:tcPr>
            <w:tcW w:w="0" w:type="auto"/>
            <w:vAlign w:val="center"/>
            <w:hideMark/>
          </w:tcPr>
          <w:p w14:paraId="671662F7" w14:textId="77777777" w:rsidR="00000000" w:rsidRDefault="00A173A8">
            <w:pPr>
              <w:spacing w:after="100"/>
              <w:rPr>
                <w:rFonts w:eastAsia="Times New Roman"/>
              </w:rPr>
            </w:pPr>
          </w:p>
        </w:tc>
        <w:tc>
          <w:tcPr>
            <w:tcW w:w="0" w:type="auto"/>
            <w:vAlign w:val="center"/>
            <w:hideMark/>
          </w:tcPr>
          <w:p w14:paraId="60DF79F7" w14:textId="77777777" w:rsidR="00000000" w:rsidRDefault="00A173A8">
            <w:pPr>
              <w:spacing w:after="100"/>
              <w:rPr>
                <w:rFonts w:eastAsia="Times New Roman"/>
                <w:sz w:val="20"/>
                <w:szCs w:val="20"/>
              </w:rPr>
            </w:pPr>
          </w:p>
        </w:tc>
        <w:tc>
          <w:tcPr>
            <w:tcW w:w="0" w:type="auto"/>
            <w:gridSpan w:val="3"/>
            <w:vAlign w:val="center"/>
            <w:hideMark/>
          </w:tcPr>
          <w:p w14:paraId="7856E992" w14:textId="77777777" w:rsidR="00000000" w:rsidRDefault="00A173A8">
            <w:pPr>
              <w:spacing w:after="100"/>
              <w:rPr>
                <w:rFonts w:eastAsia="Times New Roman"/>
                <w:sz w:val="20"/>
                <w:szCs w:val="20"/>
              </w:rPr>
            </w:pPr>
          </w:p>
        </w:tc>
        <w:tc>
          <w:tcPr>
            <w:tcW w:w="0" w:type="auto"/>
            <w:gridSpan w:val="3"/>
            <w:vAlign w:val="center"/>
            <w:hideMark/>
          </w:tcPr>
          <w:p w14:paraId="394B7502" w14:textId="77777777" w:rsidR="00000000" w:rsidRDefault="00A173A8">
            <w:pPr>
              <w:spacing w:after="100"/>
              <w:rPr>
                <w:rFonts w:eastAsia="Times New Roman"/>
                <w:sz w:val="20"/>
                <w:szCs w:val="20"/>
              </w:rPr>
            </w:pPr>
          </w:p>
        </w:tc>
        <w:tc>
          <w:tcPr>
            <w:tcW w:w="0" w:type="auto"/>
            <w:gridSpan w:val="3"/>
            <w:vAlign w:val="center"/>
            <w:hideMark/>
          </w:tcPr>
          <w:p w14:paraId="1ED4A804" w14:textId="77777777" w:rsidR="00000000" w:rsidRDefault="00A173A8">
            <w:pPr>
              <w:spacing w:after="100"/>
              <w:rPr>
                <w:rFonts w:eastAsia="Times New Roman"/>
                <w:sz w:val="20"/>
                <w:szCs w:val="20"/>
              </w:rPr>
            </w:pPr>
          </w:p>
        </w:tc>
        <w:tc>
          <w:tcPr>
            <w:tcW w:w="0" w:type="auto"/>
            <w:gridSpan w:val="3"/>
            <w:vAlign w:val="center"/>
            <w:hideMark/>
          </w:tcPr>
          <w:p w14:paraId="5F3E7692"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9B99172" w14:textId="77777777">
        <w:trPr>
          <w:jc w:val="center"/>
        </w:trPr>
        <w:tc>
          <w:tcPr>
            <w:tcW w:w="50" w:type="pct"/>
            <w:vAlign w:val="center"/>
            <w:hideMark/>
          </w:tcPr>
          <w:p w14:paraId="0F8AAAA7" w14:textId="77777777" w:rsidR="00000000" w:rsidRDefault="00A173A8">
            <w:pPr>
              <w:rPr>
                <w:rFonts w:eastAsia="Times New Roman"/>
              </w:rPr>
            </w:pPr>
          </w:p>
        </w:tc>
        <w:tc>
          <w:tcPr>
            <w:tcW w:w="1606" w:type="pct"/>
            <w:vAlign w:val="center"/>
            <w:hideMark/>
          </w:tcPr>
          <w:p w14:paraId="55C17F71" w14:textId="77777777" w:rsidR="00000000" w:rsidRDefault="00A173A8">
            <w:pPr>
              <w:spacing w:after="100"/>
              <w:rPr>
                <w:rFonts w:eastAsia="Times New Roman"/>
                <w:sz w:val="20"/>
                <w:szCs w:val="20"/>
              </w:rPr>
            </w:pPr>
          </w:p>
        </w:tc>
        <w:tc>
          <w:tcPr>
            <w:tcW w:w="5" w:type="pct"/>
            <w:vAlign w:val="center"/>
            <w:hideMark/>
          </w:tcPr>
          <w:p w14:paraId="7B42E36B" w14:textId="77777777" w:rsidR="00000000" w:rsidRDefault="00A173A8">
            <w:pPr>
              <w:spacing w:after="100"/>
              <w:rPr>
                <w:rFonts w:eastAsia="Times New Roman"/>
                <w:sz w:val="20"/>
                <w:szCs w:val="20"/>
              </w:rPr>
            </w:pPr>
          </w:p>
        </w:tc>
        <w:tc>
          <w:tcPr>
            <w:tcW w:w="50" w:type="pct"/>
            <w:vAlign w:val="center"/>
            <w:hideMark/>
          </w:tcPr>
          <w:p w14:paraId="501B8A1D" w14:textId="77777777" w:rsidR="00000000" w:rsidRDefault="00A173A8">
            <w:pPr>
              <w:spacing w:after="100"/>
              <w:rPr>
                <w:rFonts w:eastAsia="Times New Roman"/>
                <w:sz w:val="20"/>
                <w:szCs w:val="20"/>
              </w:rPr>
            </w:pPr>
          </w:p>
        </w:tc>
        <w:tc>
          <w:tcPr>
            <w:tcW w:w="1614" w:type="pct"/>
            <w:vAlign w:val="center"/>
            <w:hideMark/>
          </w:tcPr>
          <w:p w14:paraId="4B8E5952" w14:textId="77777777" w:rsidR="00000000" w:rsidRDefault="00A173A8">
            <w:pPr>
              <w:spacing w:after="100"/>
              <w:rPr>
                <w:rFonts w:eastAsia="Times New Roman"/>
                <w:sz w:val="20"/>
                <w:szCs w:val="20"/>
              </w:rPr>
            </w:pPr>
          </w:p>
        </w:tc>
        <w:tc>
          <w:tcPr>
            <w:tcW w:w="5" w:type="pct"/>
            <w:vAlign w:val="center"/>
            <w:hideMark/>
          </w:tcPr>
          <w:p w14:paraId="2F057003" w14:textId="77777777" w:rsidR="00000000" w:rsidRDefault="00A173A8">
            <w:pPr>
              <w:spacing w:after="100"/>
              <w:rPr>
                <w:rFonts w:eastAsia="Times New Roman"/>
                <w:sz w:val="20"/>
                <w:szCs w:val="20"/>
              </w:rPr>
            </w:pPr>
          </w:p>
        </w:tc>
        <w:tc>
          <w:tcPr>
            <w:tcW w:w="50" w:type="pct"/>
            <w:vAlign w:val="center"/>
            <w:hideMark/>
          </w:tcPr>
          <w:p w14:paraId="7EA6F907" w14:textId="77777777" w:rsidR="00000000" w:rsidRDefault="00A173A8">
            <w:pPr>
              <w:spacing w:after="100"/>
              <w:rPr>
                <w:rFonts w:eastAsia="Times New Roman"/>
                <w:sz w:val="20"/>
                <w:szCs w:val="20"/>
              </w:rPr>
            </w:pPr>
          </w:p>
        </w:tc>
        <w:tc>
          <w:tcPr>
            <w:tcW w:w="1614" w:type="pct"/>
            <w:vAlign w:val="center"/>
            <w:hideMark/>
          </w:tcPr>
          <w:p w14:paraId="66AC8EDB" w14:textId="77777777" w:rsidR="00000000" w:rsidRDefault="00A173A8">
            <w:pPr>
              <w:spacing w:after="100"/>
              <w:rPr>
                <w:rFonts w:eastAsia="Times New Roman"/>
                <w:sz w:val="20"/>
                <w:szCs w:val="20"/>
              </w:rPr>
            </w:pPr>
          </w:p>
        </w:tc>
        <w:tc>
          <w:tcPr>
            <w:tcW w:w="5" w:type="pct"/>
            <w:vAlign w:val="center"/>
            <w:hideMark/>
          </w:tcPr>
          <w:p w14:paraId="04F15795" w14:textId="77777777" w:rsidR="00000000" w:rsidRDefault="00A173A8">
            <w:pPr>
              <w:spacing w:after="100"/>
              <w:rPr>
                <w:rFonts w:eastAsia="Times New Roman"/>
                <w:sz w:val="20"/>
                <w:szCs w:val="20"/>
              </w:rPr>
            </w:pPr>
          </w:p>
        </w:tc>
      </w:tr>
      <w:tr w:rsidR="00000000" w14:paraId="6949EE9C" w14:textId="77777777">
        <w:trPr>
          <w:trHeight w:val="300"/>
          <w:jc w:val="center"/>
        </w:trPr>
        <w:tc>
          <w:tcPr>
            <w:tcW w:w="0" w:type="auto"/>
            <w:gridSpan w:val="9"/>
            <w:tcMar>
              <w:top w:w="0" w:type="dxa"/>
              <w:left w:w="20" w:type="dxa"/>
              <w:bottom w:w="0" w:type="dxa"/>
              <w:right w:w="20" w:type="dxa"/>
            </w:tcMar>
            <w:vAlign w:val="center"/>
            <w:hideMark/>
          </w:tcPr>
          <w:p w14:paraId="1F0DA399" w14:textId="77777777" w:rsidR="00000000" w:rsidRDefault="00A173A8">
            <w:pPr>
              <w:spacing w:after="100"/>
              <w:rPr>
                <w:rFonts w:eastAsia="Times New Roman"/>
                <w:sz w:val="20"/>
                <w:szCs w:val="20"/>
              </w:rPr>
            </w:pPr>
          </w:p>
        </w:tc>
      </w:tr>
      <w:tr w:rsidR="00000000" w14:paraId="0808F604" w14:textId="77777777">
        <w:trPr>
          <w:jc w:val="center"/>
        </w:trPr>
        <w:tc>
          <w:tcPr>
            <w:tcW w:w="0" w:type="auto"/>
            <w:gridSpan w:val="3"/>
            <w:tcMar>
              <w:top w:w="0" w:type="dxa"/>
              <w:left w:w="20" w:type="dxa"/>
              <w:bottom w:w="0" w:type="dxa"/>
              <w:right w:w="20" w:type="dxa"/>
            </w:tcMar>
            <w:vAlign w:val="center"/>
            <w:hideMark/>
          </w:tcPr>
          <w:p w14:paraId="5453C231"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4DC4BE" w14:textId="77777777" w:rsidR="00000000" w:rsidRDefault="00A173A8">
            <w:pPr>
              <w:spacing w:after="100"/>
              <w:jc w:val="center"/>
              <w:rPr>
                <w:rFonts w:eastAsia="Times New Roman"/>
              </w:rPr>
            </w:pPr>
            <w:r>
              <w:rPr>
                <w:rFonts w:eastAsia="Times New Roman"/>
                <w:color w:val="000000"/>
                <w:sz w:val="16"/>
                <w:szCs w:val="16"/>
              </w:rPr>
              <w:t>11</w:t>
            </w:r>
          </w:p>
        </w:tc>
        <w:tc>
          <w:tcPr>
            <w:tcW w:w="0" w:type="auto"/>
            <w:gridSpan w:val="3"/>
            <w:tcMar>
              <w:top w:w="30" w:type="dxa"/>
              <w:left w:w="20" w:type="dxa"/>
              <w:bottom w:w="30" w:type="dxa"/>
              <w:right w:w="20" w:type="dxa"/>
            </w:tcMar>
            <w:vAlign w:val="bottom"/>
            <w:hideMark/>
          </w:tcPr>
          <w:p w14:paraId="3E8178ED"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AD2A9BB" w14:textId="77777777" w:rsidR="00000000" w:rsidRDefault="00A173A8">
      <w:pPr>
        <w:rPr>
          <w:rFonts w:eastAsia="Times New Roman"/>
        </w:rPr>
      </w:pPr>
      <w:r>
        <w:rPr>
          <w:rFonts w:eastAsia="Times New Roman"/>
        </w:rPr>
        <w:pict w14:anchorId="395BEE52">
          <v:rect id="_x0000_i1036" style="width:0;height:1.5pt" o:hralign="center" o:hrstd="t" o:hr="t" fillcolor="#a0a0a0" stroked="f"/>
        </w:pict>
      </w:r>
    </w:p>
    <w:p w14:paraId="5EC64033" w14:textId="77777777" w:rsidR="00000000" w:rsidRDefault="00A173A8">
      <w:pPr>
        <w:ind w:hanging="360"/>
        <w:jc w:val="both"/>
        <w:divId w:val="1631977823"/>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1957"/>
        <w:gridCol w:w="39"/>
        <w:gridCol w:w="36"/>
        <w:gridCol w:w="36"/>
        <w:gridCol w:w="36"/>
        <w:gridCol w:w="120"/>
        <w:gridCol w:w="700"/>
        <w:gridCol w:w="36"/>
        <w:gridCol w:w="36"/>
        <w:gridCol w:w="36"/>
        <w:gridCol w:w="36"/>
        <w:gridCol w:w="120"/>
        <w:gridCol w:w="600"/>
        <w:gridCol w:w="36"/>
        <w:gridCol w:w="36"/>
        <w:gridCol w:w="36"/>
        <w:gridCol w:w="36"/>
        <w:gridCol w:w="82"/>
        <w:gridCol w:w="661"/>
        <w:gridCol w:w="220"/>
        <w:gridCol w:w="36"/>
        <w:gridCol w:w="36"/>
        <w:gridCol w:w="36"/>
        <w:gridCol w:w="120"/>
        <w:gridCol w:w="700"/>
        <w:gridCol w:w="36"/>
        <w:gridCol w:w="36"/>
        <w:gridCol w:w="36"/>
        <w:gridCol w:w="36"/>
        <w:gridCol w:w="120"/>
        <w:gridCol w:w="600"/>
        <w:gridCol w:w="36"/>
        <w:gridCol w:w="36"/>
        <w:gridCol w:w="36"/>
        <w:gridCol w:w="36"/>
        <w:gridCol w:w="78"/>
        <w:gridCol w:w="666"/>
        <w:gridCol w:w="187"/>
        <w:gridCol w:w="36"/>
        <w:gridCol w:w="36"/>
        <w:gridCol w:w="36"/>
        <w:gridCol w:w="36"/>
        <w:gridCol w:w="36"/>
        <w:gridCol w:w="36"/>
        <w:gridCol w:w="36"/>
        <w:gridCol w:w="36"/>
        <w:gridCol w:w="36"/>
        <w:gridCol w:w="36"/>
        <w:gridCol w:w="36"/>
        <w:gridCol w:w="36"/>
        <w:gridCol w:w="36"/>
        <w:gridCol w:w="36"/>
      </w:tblGrid>
      <w:tr w:rsidR="00000000" w14:paraId="6E5B6320" w14:textId="77777777">
        <w:trPr>
          <w:divId w:val="2062704384"/>
        </w:trPr>
        <w:tc>
          <w:tcPr>
            <w:tcW w:w="50" w:type="pct"/>
            <w:vAlign w:val="center"/>
            <w:hideMark/>
          </w:tcPr>
          <w:p w14:paraId="7699D97D" w14:textId="77777777" w:rsidR="00000000" w:rsidRDefault="00A173A8">
            <w:pPr>
              <w:ind w:hanging="360"/>
              <w:jc w:val="both"/>
              <w:rPr>
                <w:rFonts w:eastAsia="Times New Roman"/>
              </w:rPr>
            </w:pPr>
          </w:p>
        </w:tc>
        <w:tc>
          <w:tcPr>
            <w:tcW w:w="1940" w:type="pct"/>
            <w:vAlign w:val="center"/>
            <w:hideMark/>
          </w:tcPr>
          <w:p w14:paraId="07397F02" w14:textId="77777777" w:rsidR="00000000" w:rsidRDefault="00A173A8">
            <w:pPr>
              <w:spacing w:after="100"/>
              <w:rPr>
                <w:rFonts w:eastAsia="Times New Roman"/>
                <w:sz w:val="20"/>
                <w:szCs w:val="20"/>
              </w:rPr>
            </w:pPr>
          </w:p>
        </w:tc>
        <w:tc>
          <w:tcPr>
            <w:tcW w:w="5" w:type="pct"/>
            <w:vAlign w:val="center"/>
            <w:hideMark/>
          </w:tcPr>
          <w:p w14:paraId="43CA2719" w14:textId="77777777" w:rsidR="00000000" w:rsidRDefault="00A173A8">
            <w:pPr>
              <w:spacing w:after="100"/>
              <w:rPr>
                <w:rFonts w:eastAsia="Times New Roman"/>
                <w:sz w:val="20"/>
                <w:szCs w:val="20"/>
              </w:rPr>
            </w:pPr>
          </w:p>
        </w:tc>
        <w:tc>
          <w:tcPr>
            <w:tcW w:w="5" w:type="pct"/>
            <w:vAlign w:val="center"/>
            <w:hideMark/>
          </w:tcPr>
          <w:p w14:paraId="3D4ACCD7" w14:textId="77777777" w:rsidR="00000000" w:rsidRDefault="00A173A8">
            <w:pPr>
              <w:spacing w:after="100"/>
              <w:rPr>
                <w:rFonts w:eastAsia="Times New Roman"/>
                <w:sz w:val="20"/>
                <w:szCs w:val="20"/>
              </w:rPr>
            </w:pPr>
          </w:p>
        </w:tc>
        <w:tc>
          <w:tcPr>
            <w:tcW w:w="26" w:type="pct"/>
            <w:vAlign w:val="center"/>
            <w:hideMark/>
          </w:tcPr>
          <w:p w14:paraId="79A11703" w14:textId="77777777" w:rsidR="00000000" w:rsidRDefault="00A173A8">
            <w:pPr>
              <w:spacing w:after="100"/>
              <w:rPr>
                <w:rFonts w:eastAsia="Times New Roman"/>
                <w:sz w:val="20"/>
                <w:szCs w:val="20"/>
              </w:rPr>
            </w:pPr>
          </w:p>
        </w:tc>
        <w:tc>
          <w:tcPr>
            <w:tcW w:w="5" w:type="pct"/>
            <w:vAlign w:val="center"/>
            <w:hideMark/>
          </w:tcPr>
          <w:p w14:paraId="33FCD629" w14:textId="77777777" w:rsidR="00000000" w:rsidRDefault="00A173A8">
            <w:pPr>
              <w:spacing w:after="100"/>
              <w:rPr>
                <w:rFonts w:eastAsia="Times New Roman"/>
                <w:sz w:val="20"/>
                <w:szCs w:val="20"/>
              </w:rPr>
            </w:pPr>
          </w:p>
        </w:tc>
        <w:tc>
          <w:tcPr>
            <w:tcW w:w="50" w:type="pct"/>
            <w:vAlign w:val="center"/>
            <w:hideMark/>
          </w:tcPr>
          <w:p w14:paraId="05B0B758" w14:textId="77777777" w:rsidR="00000000" w:rsidRDefault="00A173A8">
            <w:pPr>
              <w:spacing w:after="100"/>
              <w:rPr>
                <w:rFonts w:eastAsia="Times New Roman"/>
                <w:sz w:val="20"/>
                <w:szCs w:val="20"/>
              </w:rPr>
            </w:pPr>
          </w:p>
        </w:tc>
        <w:tc>
          <w:tcPr>
            <w:tcW w:w="405" w:type="pct"/>
            <w:vAlign w:val="center"/>
            <w:hideMark/>
          </w:tcPr>
          <w:p w14:paraId="67765347" w14:textId="77777777" w:rsidR="00000000" w:rsidRDefault="00A173A8">
            <w:pPr>
              <w:spacing w:after="100"/>
              <w:rPr>
                <w:rFonts w:eastAsia="Times New Roman"/>
                <w:sz w:val="20"/>
                <w:szCs w:val="20"/>
              </w:rPr>
            </w:pPr>
          </w:p>
        </w:tc>
        <w:tc>
          <w:tcPr>
            <w:tcW w:w="5" w:type="pct"/>
            <w:vAlign w:val="center"/>
            <w:hideMark/>
          </w:tcPr>
          <w:p w14:paraId="4165C05B" w14:textId="77777777" w:rsidR="00000000" w:rsidRDefault="00A173A8">
            <w:pPr>
              <w:spacing w:after="100"/>
              <w:rPr>
                <w:rFonts w:eastAsia="Times New Roman"/>
                <w:sz w:val="20"/>
                <w:szCs w:val="20"/>
              </w:rPr>
            </w:pPr>
          </w:p>
        </w:tc>
        <w:tc>
          <w:tcPr>
            <w:tcW w:w="5" w:type="pct"/>
            <w:vAlign w:val="center"/>
            <w:hideMark/>
          </w:tcPr>
          <w:p w14:paraId="77913CAB" w14:textId="77777777" w:rsidR="00000000" w:rsidRDefault="00A173A8">
            <w:pPr>
              <w:spacing w:after="100"/>
              <w:rPr>
                <w:rFonts w:eastAsia="Times New Roman"/>
                <w:sz w:val="20"/>
                <w:szCs w:val="20"/>
              </w:rPr>
            </w:pPr>
          </w:p>
        </w:tc>
        <w:tc>
          <w:tcPr>
            <w:tcW w:w="26" w:type="pct"/>
            <w:vAlign w:val="center"/>
            <w:hideMark/>
          </w:tcPr>
          <w:p w14:paraId="19D1759E" w14:textId="77777777" w:rsidR="00000000" w:rsidRDefault="00A173A8">
            <w:pPr>
              <w:spacing w:after="100"/>
              <w:rPr>
                <w:rFonts w:eastAsia="Times New Roman"/>
                <w:sz w:val="20"/>
                <w:szCs w:val="20"/>
              </w:rPr>
            </w:pPr>
          </w:p>
        </w:tc>
        <w:tc>
          <w:tcPr>
            <w:tcW w:w="5" w:type="pct"/>
            <w:vAlign w:val="center"/>
            <w:hideMark/>
          </w:tcPr>
          <w:p w14:paraId="1399EDDE" w14:textId="77777777" w:rsidR="00000000" w:rsidRDefault="00A173A8">
            <w:pPr>
              <w:spacing w:after="100"/>
              <w:rPr>
                <w:rFonts w:eastAsia="Times New Roman"/>
                <w:sz w:val="20"/>
                <w:szCs w:val="20"/>
              </w:rPr>
            </w:pPr>
          </w:p>
        </w:tc>
        <w:tc>
          <w:tcPr>
            <w:tcW w:w="50" w:type="pct"/>
            <w:vAlign w:val="center"/>
            <w:hideMark/>
          </w:tcPr>
          <w:p w14:paraId="13470B5C" w14:textId="77777777" w:rsidR="00000000" w:rsidRDefault="00A173A8">
            <w:pPr>
              <w:spacing w:after="100"/>
              <w:rPr>
                <w:rFonts w:eastAsia="Times New Roman"/>
                <w:sz w:val="20"/>
                <w:szCs w:val="20"/>
              </w:rPr>
            </w:pPr>
          </w:p>
        </w:tc>
        <w:tc>
          <w:tcPr>
            <w:tcW w:w="405" w:type="pct"/>
            <w:vAlign w:val="center"/>
            <w:hideMark/>
          </w:tcPr>
          <w:p w14:paraId="278B7442" w14:textId="77777777" w:rsidR="00000000" w:rsidRDefault="00A173A8">
            <w:pPr>
              <w:spacing w:after="100"/>
              <w:rPr>
                <w:rFonts w:eastAsia="Times New Roman"/>
                <w:sz w:val="20"/>
                <w:szCs w:val="20"/>
              </w:rPr>
            </w:pPr>
          </w:p>
        </w:tc>
        <w:tc>
          <w:tcPr>
            <w:tcW w:w="5" w:type="pct"/>
            <w:vAlign w:val="center"/>
            <w:hideMark/>
          </w:tcPr>
          <w:p w14:paraId="2BF7C56B" w14:textId="77777777" w:rsidR="00000000" w:rsidRDefault="00A173A8">
            <w:pPr>
              <w:spacing w:after="100"/>
              <w:rPr>
                <w:rFonts w:eastAsia="Times New Roman"/>
                <w:sz w:val="20"/>
                <w:szCs w:val="20"/>
              </w:rPr>
            </w:pPr>
          </w:p>
        </w:tc>
        <w:tc>
          <w:tcPr>
            <w:tcW w:w="5" w:type="pct"/>
            <w:vAlign w:val="center"/>
            <w:hideMark/>
          </w:tcPr>
          <w:p w14:paraId="5B5D719C" w14:textId="77777777" w:rsidR="00000000" w:rsidRDefault="00A173A8">
            <w:pPr>
              <w:spacing w:after="100"/>
              <w:rPr>
                <w:rFonts w:eastAsia="Times New Roman"/>
                <w:sz w:val="20"/>
                <w:szCs w:val="20"/>
              </w:rPr>
            </w:pPr>
          </w:p>
        </w:tc>
        <w:tc>
          <w:tcPr>
            <w:tcW w:w="26" w:type="pct"/>
            <w:vAlign w:val="center"/>
            <w:hideMark/>
          </w:tcPr>
          <w:p w14:paraId="2ADC6269" w14:textId="77777777" w:rsidR="00000000" w:rsidRDefault="00A173A8">
            <w:pPr>
              <w:spacing w:after="100"/>
              <w:rPr>
                <w:rFonts w:eastAsia="Times New Roman"/>
                <w:sz w:val="20"/>
                <w:szCs w:val="20"/>
              </w:rPr>
            </w:pPr>
          </w:p>
        </w:tc>
        <w:tc>
          <w:tcPr>
            <w:tcW w:w="5" w:type="pct"/>
            <w:vAlign w:val="center"/>
            <w:hideMark/>
          </w:tcPr>
          <w:p w14:paraId="63B82FD5" w14:textId="77777777" w:rsidR="00000000" w:rsidRDefault="00A173A8">
            <w:pPr>
              <w:spacing w:after="100"/>
              <w:rPr>
                <w:rFonts w:eastAsia="Times New Roman"/>
                <w:sz w:val="20"/>
                <w:szCs w:val="20"/>
              </w:rPr>
            </w:pPr>
          </w:p>
        </w:tc>
        <w:tc>
          <w:tcPr>
            <w:tcW w:w="50" w:type="pct"/>
            <w:vAlign w:val="center"/>
            <w:hideMark/>
          </w:tcPr>
          <w:p w14:paraId="2C0FE87B" w14:textId="77777777" w:rsidR="00000000" w:rsidRDefault="00A173A8">
            <w:pPr>
              <w:spacing w:after="100"/>
              <w:rPr>
                <w:rFonts w:eastAsia="Times New Roman"/>
                <w:sz w:val="20"/>
                <w:szCs w:val="20"/>
              </w:rPr>
            </w:pPr>
          </w:p>
        </w:tc>
        <w:tc>
          <w:tcPr>
            <w:tcW w:w="405" w:type="pct"/>
            <w:vAlign w:val="center"/>
            <w:hideMark/>
          </w:tcPr>
          <w:p w14:paraId="795671F3" w14:textId="77777777" w:rsidR="00000000" w:rsidRDefault="00A173A8">
            <w:pPr>
              <w:spacing w:after="100"/>
              <w:rPr>
                <w:rFonts w:eastAsia="Times New Roman"/>
                <w:sz w:val="20"/>
                <w:szCs w:val="20"/>
              </w:rPr>
            </w:pPr>
          </w:p>
        </w:tc>
        <w:tc>
          <w:tcPr>
            <w:tcW w:w="5" w:type="pct"/>
            <w:vAlign w:val="center"/>
            <w:hideMark/>
          </w:tcPr>
          <w:p w14:paraId="045E6B1F" w14:textId="77777777" w:rsidR="00000000" w:rsidRDefault="00A173A8">
            <w:pPr>
              <w:spacing w:after="100"/>
              <w:rPr>
                <w:rFonts w:eastAsia="Times New Roman"/>
                <w:sz w:val="20"/>
                <w:szCs w:val="20"/>
              </w:rPr>
            </w:pPr>
          </w:p>
        </w:tc>
        <w:tc>
          <w:tcPr>
            <w:tcW w:w="5" w:type="pct"/>
            <w:vAlign w:val="center"/>
            <w:hideMark/>
          </w:tcPr>
          <w:p w14:paraId="354030D8" w14:textId="77777777" w:rsidR="00000000" w:rsidRDefault="00A173A8">
            <w:pPr>
              <w:spacing w:after="100"/>
              <w:rPr>
                <w:rFonts w:eastAsia="Times New Roman"/>
                <w:sz w:val="20"/>
                <w:szCs w:val="20"/>
              </w:rPr>
            </w:pPr>
          </w:p>
        </w:tc>
        <w:tc>
          <w:tcPr>
            <w:tcW w:w="26" w:type="pct"/>
            <w:vAlign w:val="center"/>
            <w:hideMark/>
          </w:tcPr>
          <w:p w14:paraId="7A9EAB3A" w14:textId="77777777" w:rsidR="00000000" w:rsidRDefault="00A173A8">
            <w:pPr>
              <w:spacing w:after="100"/>
              <w:rPr>
                <w:rFonts w:eastAsia="Times New Roman"/>
                <w:sz w:val="20"/>
                <w:szCs w:val="20"/>
              </w:rPr>
            </w:pPr>
          </w:p>
        </w:tc>
        <w:tc>
          <w:tcPr>
            <w:tcW w:w="5" w:type="pct"/>
            <w:vAlign w:val="center"/>
            <w:hideMark/>
          </w:tcPr>
          <w:p w14:paraId="341BCB54" w14:textId="77777777" w:rsidR="00000000" w:rsidRDefault="00A173A8">
            <w:pPr>
              <w:spacing w:after="100"/>
              <w:rPr>
                <w:rFonts w:eastAsia="Times New Roman"/>
                <w:sz w:val="20"/>
                <w:szCs w:val="20"/>
              </w:rPr>
            </w:pPr>
          </w:p>
        </w:tc>
        <w:tc>
          <w:tcPr>
            <w:tcW w:w="50" w:type="pct"/>
            <w:vAlign w:val="center"/>
            <w:hideMark/>
          </w:tcPr>
          <w:p w14:paraId="295427B7" w14:textId="77777777" w:rsidR="00000000" w:rsidRDefault="00A173A8">
            <w:pPr>
              <w:spacing w:after="100"/>
              <w:rPr>
                <w:rFonts w:eastAsia="Times New Roman"/>
                <w:sz w:val="20"/>
                <w:szCs w:val="20"/>
              </w:rPr>
            </w:pPr>
          </w:p>
        </w:tc>
        <w:tc>
          <w:tcPr>
            <w:tcW w:w="405" w:type="pct"/>
            <w:vAlign w:val="center"/>
            <w:hideMark/>
          </w:tcPr>
          <w:p w14:paraId="1C8454ED" w14:textId="77777777" w:rsidR="00000000" w:rsidRDefault="00A173A8">
            <w:pPr>
              <w:spacing w:after="100"/>
              <w:rPr>
                <w:rFonts w:eastAsia="Times New Roman"/>
                <w:sz w:val="20"/>
                <w:szCs w:val="20"/>
              </w:rPr>
            </w:pPr>
          </w:p>
        </w:tc>
        <w:tc>
          <w:tcPr>
            <w:tcW w:w="5" w:type="pct"/>
            <w:vAlign w:val="center"/>
            <w:hideMark/>
          </w:tcPr>
          <w:p w14:paraId="1BBAB97A" w14:textId="77777777" w:rsidR="00000000" w:rsidRDefault="00A173A8">
            <w:pPr>
              <w:spacing w:after="100"/>
              <w:rPr>
                <w:rFonts w:eastAsia="Times New Roman"/>
                <w:sz w:val="20"/>
                <w:szCs w:val="20"/>
              </w:rPr>
            </w:pPr>
          </w:p>
        </w:tc>
        <w:tc>
          <w:tcPr>
            <w:tcW w:w="5" w:type="pct"/>
            <w:vAlign w:val="center"/>
            <w:hideMark/>
          </w:tcPr>
          <w:p w14:paraId="656A4BB1" w14:textId="77777777" w:rsidR="00000000" w:rsidRDefault="00A173A8">
            <w:pPr>
              <w:spacing w:after="100"/>
              <w:rPr>
                <w:rFonts w:eastAsia="Times New Roman"/>
                <w:sz w:val="20"/>
                <w:szCs w:val="20"/>
              </w:rPr>
            </w:pPr>
          </w:p>
        </w:tc>
        <w:tc>
          <w:tcPr>
            <w:tcW w:w="26" w:type="pct"/>
            <w:vAlign w:val="center"/>
            <w:hideMark/>
          </w:tcPr>
          <w:p w14:paraId="39E6C55B" w14:textId="77777777" w:rsidR="00000000" w:rsidRDefault="00A173A8">
            <w:pPr>
              <w:spacing w:after="100"/>
              <w:rPr>
                <w:rFonts w:eastAsia="Times New Roman"/>
                <w:sz w:val="20"/>
                <w:szCs w:val="20"/>
              </w:rPr>
            </w:pPr>
          </w:p>
        </w:tc>
        <w:tc>
          <w:tcPr>
            <w:tcW w:w="5" w:type="pct"/>
            <w:vAlign w:val="center"/>
            <w:hideMark/>
          </w:tcPr>
          <w:p w14:paraId="652DF7CB" w14:textId="77777777" w:rsidR="00000000" w:rsidRDefault="00A173A8">
            <w:pPr>
              <w:spacing w:after="100"/>
              <w:rPr>
                <w:rFonts w:eastAsia="Times New Roman"/>
                <w:sz w:val="20"/>
                <w:szCs w:val="20"/>
              </w:rPr>
            </w:pPr>
          </w:p>
        </w:tc>
        <w:tc>
          <w:tcPr>
            <w:tcW w:w="50" w:type="pct"/>
            <w:vAlign w:val="center"/>
            <w:hideMark/>
          </w:tcPr>
          <w:p w14:paraId="2F880861" w14:textId="77777777" w:rsidR="00000000" w:rsidRDefault="00A173A8">
            <w:pPr>
              <w:spacing w:after="100"/>
              <w:rPr>
                <w:rFonts w:eastAsia="Times New Roman"/>
                <w:sz w:val="20"/>
                <w:szCs w:val="20"/>
              </w:rPr>
            </w:pPr>
          </w:p>
        </w:tc>
        <w:tc>
          <w:tcPr>
            <w:tcW w:w="405" w:type="pct"/>
            <w:vAlign w:val="center"/>
            <w:hideMark/>
          </w:tcPr>
          <w:p w14:paraId="10B63EB8" w14:textId="77777777" w:rsidR="00000000" w:rsidRDefault="00A173A8">
            <w:pPr>
              <w:spacing w:after="100"/>
              <w:rPr>
                <w:rFonts w:eastAsia="Times New Roman"/>
                <w:sz w:val="20"/>
                <w:szCs w:val="20"/>
              </w:rPr>
            </w:pPr>
          </w:p>
        </w:tc>
        <w:tc>
          <w:tcPr>
            <w:tcW w:w="5" w:type="pct"/>
            <w:vAlign w:val="center"/>
            <w:hideMark/>
          </w:tcPr>
          <w:p w14:paraId="3A90C547" w14:textId="77777777" w:rsidR="00000000" w:rsidRDefault="00A173A8">
            <w:pPr>
              <w:spacing w:after="100"/>
              <w:rPr>
                <w:rFonts w:eastAsia="Times New Roman"/>
                <w:sz w:val="20"/>
                <w:szCs w:val="20"/>
              </w:rPr>
            </w:pPr>
          </w:p>
        </w:tc>
        <w:tc>
          <w:tcPr>
            <w:tcW w:w="5" w:type="pct"/>
            <w:vAlign w:val="center"/>
            <w:hideMark/>
          </w:tcPr>
          <w:p w14:paraId="5EED039E" w14:textId="77777777" w:rsidR="00000000" w:rsidRDefault="00A173A8">
            <w:pPr>
              <w:spacing w:after="100"/>
              <w:rPr>
                <w:rFonts w:eastAsia="Times New Roman"/>
                <w:sz w:val="20"/>
                <w:szCs w:val="20"/>
              </w:rPr>
            </w:pPr>
          </w:p>
        </w:tc>
        <w:tc>
          <w:tcPr>
            <w:tcW w:w="26" w:type="pct"/>
            <w:vAlign w:val="center"/>
            <w:hideMark/>
          </w:tcPr>
          <w:p w14:paraId="45B0A189" w14:textId="77777777" w:rsidR="00000000" w:rsidRDefault="00A173A8">
            <w:pPr>
              <w:spacing w:after="100"/>
              <w:rPr>
                <w:rFonts w:eastAsia="Times New Roman"/>
                <w:sz w:val="20"/>
                <w:szCs w:val="20"/>
              </w:rPr>
            </w:pPr>
          </w:p>
        </w:tc>
        <w:tc>
          <w:tcPr>
            <w:tcW w:w="5" w:type="pct"/>
            <w:vAlign w:val="center"/>
            <w:hideMark/>
          </w:tcPr>
          <w:p w14:paraId="2431D625" w14:textId="77777777" w:rsidR="00000000" w:rsidRDefault="00A173A8">
            <w:pPr>
              <w:spacing w:after="100"/>
              <w:rPr>
                <w:rFonts w:eastAsia="Times New Roman"/>
                <w:sz w:val="20"/>
                <w:szCs w:val="20"/>
              </w:rPr>
            </w:pPr>
          </w:p>
        </w:tc>
        <w:tc>
          <w:tcPr>
            <w:tcW w:w="50" w:type="pct"/>
            <w:vAlign w:val="center"/>
            <w:hideMark/>
          </w:tcPr>
          <w:p w14:paraId="26F106F6" w14:textId="77777777" w:rsidR="00000000" w:rsidRDefault="00A173A8">
            <w:pPr>
              <w:spacing w:after="100"/>
              <w:rPr>
                <w:rFonts w:eastAsia="Times New Roman"/>
                <w:sz w:val="20"/>
                <w:szCs w:val="20"/>
              </w:rPr>
            </w:pPr>
          </w:p>
        </w:tc>
        <w:tc>
          <w:tcPr>
            <w:tcW w:w="427" w:type="pct"/>
            <w:vAlign w:val="center"/>
            <w:hideMark/>
          </w:tcPr>
          <w:p w14:paraId="07A4C3B8" w14:textId="77777777" w:rsidR="00000000" w:rsidRDefault="00A173A8">
            <w:pPr>
              <w:spacing w:after="100"/>
              <w:rPr>
                <w:rFonts w:eastAsia="Times New Roman"/>
                <w:sz w:val="20"/>
                <w:szCs w:val="20"/>
              </w:rPr>
            </w:pPr>
          </w:p>
        </w:tc>
        <w:tc>
          <w:tcPr>
            <w:tcW w:w="5" w:type="pct"/>
            <w:vAlign w:val="center"/>
            <w:hideMark/>
          </w:tcPr>
          <w:p w14:paraId="56F50DBC" w14:textId="77777777" w:rsidR="00000000" w:rsidRDefault="00A173A8">
            <w:pPr>
              <w:spacing w:after="100"/>
              <w:rPr>
                <w:rFonts w:eastAsia="Times New Roman"/>
                <w:sz w:val="20"/>
                <w:szCs w:val="20"/>
              </w:rPr>
            </w:pPr>
          </w:p>
        </w:tc>
        <w:tc>
          <w:tcPr>
            <w:tcW w:w="0" w:type="auto"/>
            <w:vAlign w:val="center"/>
            <w:hideMark/>
          </w:tcPr>
          <w:p w14:paraId="121CBF5D" w14:textId="77777777" w:rsidR="00000000" w:rsidRDefault="00A173A8">
            <w:pPr>
              <w:spacing w:after="100"/>
              <w:rPr>
                <w:rFonts w:eastAsia="Times New Roman"/>
                <w:sz w:val="20"/>
                <w:szCs w:val="20"/>
              </w:rPr>
            </w:pPr>
          </w:p>
        </w:tc>
        <w:tc>
          <w:tcPr>
            <w:tcW w:w="0" w:type="auto"/>
            <w:vAlign w:val="center"/>
            <w:hideMark/>
          </w:tcPr>
          <w:p w14:paraId="73E612FF" w14:textId="77777777" w:rsidR="00000000" w:rsidRDefault="00A173A8">
            <w:pPr>
              <w:spacing w:after="100"/>
              <w:rPr>
                <w:rFonts w:eastAsia="Times New Roman"/>
                <w:sz w:val="20"/>
                <w:szCs w:val="20"/>
              </w:rPr>
            </w:pPr>
          </w:p>
        </w:tc>
        <w:tc>
          <w:tcPr>
            <w:tcW w:w="0" w:type="auto"/>
            <w:gridSpan w:val="3"/>
            <w:vAlign w:val="center"/>
            <w:hideMark/>
          </w:tcPr>
          <w:p w14:paraId="5C73B406" w14:textId="77777777" w:rsidR="00000000" w:rsidRDefault="00A173A8">
            <w:pPr>
              <w:spacing w:after="100"/>
              <w:rPr>
                <w:rFonts w:eastAsia="Times New Roman"/>
                <w:sz w:val="20"/>
                <w:szCs w:val="20"/>
              </w:rPr>
            </w:pPr>
          </w:p>
        </w:tc>
        <w:tc>
          <w:tcPr>
            <w:tcW w:w="0" w:type="auto"/>
            <w:gridSpan w:val="3"/>
            <w:vAlign w:val="center"/>
            <w:hideMark/>
          </w:tcPr>
          <w:p w14:paraId="5DCE3FE4" w14:textId="77777777" w:rsidR="00000000" w:rsidRDefault="00A173A8">
            <w:pPr>
              <w:spacing w:after="100"/>
              <w:rPr>
                <w:rFonts w:eastAsia="Times New Roman"/>
                <w:sz w:val="20"/>
                <w:szCs w:val="20"/>
              </w:rPr>
            </w:pPr>
          </w:p>
        </w:tc>
        <w:tc>
          <w:tcPr>
            <w:tcW w:w="0" w:type="auto"/>
            <w:gridSpan w:val="3"/>
            <w:vAlign w:val="center"/>
            <w:hideMark/>
          </w:tcPr>
          <w:p w14:paraId="4C75F561" w14:textId="77777777" w:rsidR="00000000" w:rsidRDefault="00A173A8">
            <w:pPr>
              <w:spacing w:after="100"/>
              <w:rPr>
                <w:rFonts w:eastAsia="Times New Roman"/>
                <w:sz w:val="20"/>
                <w:szCs w:val="20"/>
              </w:rPr>
            </w:pPr>
          </w:p>
        </w:tc>
        <w:tc>
          <w:tcPr>
            <w:tcW w:w="0" w:type="auto"/>
            <w:gridSpan w:val="3"/>
            <w:vAlign w:val="center"/>
            <w:hideMark/>
          </w:tcPr>
          <w:p w14:paraId="64536520" w14:textId="77777777" w:rsidR="00000000" w:rsidRDefault="00A173A8">
            <w:pPr>
              <w:spacing w:after="100"/>
              <w:rPr>
                <w:rFonts w:eastAsia="Times New Roman"/>
                <w:sz w:val="20"/>
                <w:szCs w:val="20"/>
              </w:rPr>
            </w:pPr>
          </w:p>
        </w:tc>
      </w:tr>
      <w:tr w:rsidR="00000000" w14:paraId="34175E7B" w14:textId="77777777">
        <w:trPr>
          <w:divId w:val="2062704384"/>
        </w:trPr>
        <w:tc>
          <w:tcPr>
            <w:tcW w:w="0" w:type="auto"/>
            <w:gridSpan w:val="3"/>
            <w:tcMar>
              <w:top w:w="30" w:type="dxa"/>
              <w:left w:w="20" w:type="dxa"/>
              <w:bottom w:w="30" w:type="dxa"/>
              <w:right w:w="20" w:type="dxa"/>
            </w:tcMar>
            <w:vAlign w:val="bottom"/>
            <w:hideMark/>
          </w:tcPr>
          <w:p w14:paraId="42F6AF0C"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CA632E8" w14:textId="77777777" w:rsidR="00000000" w:rsidRDefault="00A173A8">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5EFBB610"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vAlign w:val="center"/>
            <w:hideMark/>
          </w:tcPr>
          <w:p w14:paraId="79845E19" w14:textId="77777777" w:rsidR="00000000" w:rsidRDefault="00A173A8">
            <w:pPr>
              <w:spacing w:after="100"/>
              <w:jc w:val="center"/>
              <w:rPr>
                <w:rFonts w:eastAsia="Times New Roman"/>
              </w:rPr>
            </w:pPr>
          </w:p>
        </w:tc>
        <w:tc>
          <w:tcPr>
            <w:tcW w:w="0" w:type="auto"/>
            <w:vAlign w:val="center"/>
            <w:hideMark/>
          </w:tcPr>
          <w:p w14:paraId="661AE090" w14:textId="77777777" w:rsidR="00000000" w:rsidRDefault="00A173A8">
            <w:pPr>
              <w:spacing w:after="100"/>
              <w:rPr>
                <w:rFonts w:eastAsia="Times New Roman"/>
                <w:sz w:val="20"/>
                <w:szCs w:val="20"/>
              </w:rPr>
            </w:pPr>
          </w:p>
        </w:tc>
        <w:tc>
          <w:tcPr>
            <w:tcW w:w="0" w:type="auto"/>
            <w:gridSpan w:val="3"/>
            <w:vAlign w:val="center"/>
            <w:hideMark/>
          </w:tcPr>
          <w:p w14:paraId="3025DB57" w14:textId="77777777" w:rsidR="00000000" w:rsidRDefault="00A173A8">
            <w:pPr>
              <w:spacing w:after="100"/>
              <w:rPr>
                <w:rFonts w:eastAsia="Times New Roman"/>
                <w:sz w:val="20"/>
                <w:szCs w:val="20"/>
              </w:rPr>
            </w:pPr>
          </w:p>
        </w:tc>
        <w:tc>
          <w:tcPr>
            <w:tcW w:w="0" w:type="auto"/>
            <w:gridSpan w:val="3"/>
            <w:vAlign w:val="center"/>
            <w:hideMark/>
          </w:tcPr>
          <w:p w14:paraId="375C6914" w14:textId="77777777" w:rsidR="00000000" w:rsidRDefault="00A173A8">
            <w:pPr>
              <w:spacing w:after="100"/>
              <w:rPr>
                <w:rFonts w:eastAsia="Times New Roman"/>
                <w:sz w:val="20"/>
                <w:szCs w:val="20"/>
              </w:rPr>
            </w:pPr>
          </w:p>
        </w:tc>
        <w:tc>
          <w:tcPr>
            <w:tcW w:w="0" w:type="auto"/>
            <w:gridSpan w:val="3"/>
            <w:vAlign w:val="center"/>
            <w:hideMark/>
          </w:tcPr>
          <w:p w14:paraId="6F380140" w14:textId="77777777" w:rsidR="00000000" w:rsidRDefault="00A173A8">
            <w:pPr>
              <w:spacing w:after="100"/>
              <w:rPr>
                <w:rFonts w:eastAsia="Times New Roman"/>
                <w:sz w:val="20"/>
                <w:szCs w:val="20"/>
              </w:rPr>
            </w:pPr>
          </w:p>
        </w:tc>
        <w:tc>
          <w:tcPr>
            <w:tcW w:w="0" w:type="auto"/>
            <w:gridSpan w:val="3"/>
            <w:vAlign w:val="center"/>
            <w:hideMark/>
          </w:tcPr>
          <w:p w14:paraId="5294DE0C" w14:textId="77777777" w:rsidR="00000000" w:rsidRDefault="00A173A8">
            <w:pPr>
              <w:spacing w:after="100"/>
              <w:rPr>
                <w:rFonts w:eastAsia="Times New Roman"/>
                <w:sz w:val="20"/>
                <w:szCs w:val="20"/>
              </w:rPr>
            </w:pPr>
          </w:p>
        </w:tc>
      </w:tr>
      <w:tr w:rsidR="00000000" w14:paraId="2BC9BD51" w14:textId="77777777">
        <w:trPr>
          <w:divId w:val="2062704384"/>
        </w:trPr>
        <w:tc>
          <w:tcPr>
            <w:tcW w:w="0" w:type="auto"/>
            <w:gridSpan w:val="3"/>
            <w:tcMar>
              <w:top w:w="30" w:type="dxa"/>
              <w:left w:w="20" w:type="dxa"/>
              <w:bottom w:w="30" w:type="dxa"/>
              <w:right w:w="20" w:type="dxa"/>
            </w:tcMar>
            <w:vAlign w:val="bottom"/>
            <w:hideMark/>
          </w:tcPr>
          <w:p w14:paraId="7F9072A4"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38AF53D" w14:textId="77777777" w:rsidR="00000000" w:rsidRDefault="00A173A8">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4EF0225"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0322F3E"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04B2348"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3D955F1E" w14:textId="77777777" w:rsidR="00000000" w:rsidRDefault="00A173A8">
            <w:pPr>
              <w:spacing w:after="100"/>
              <w:jc w:val="center"/>
              <w:rPr>
                <w:rFonts w:eastAsia="Times New Roman"/>
              </w:rPr>
            </w:pPr>
          </w:p>
        </w:tc>
        <w:tc>
          <w:tcPr>
            <w:tcW w:w="0" w:type="auto"/>
            <w:vAlign w:val="center"/>
            <w:hideMark/>
          </w:tcPr>
          <w:p w14:paraId="266ED333" w14:textId="77777777" w:rsidR="00000000" w:rsidRDefault="00A173A8">
            <w:pPr>
              <w:spacing w:after="100"/>
              <w:rPr>
                <w:rFonts w:eastAsia="Times New Roman"/>
                <w:sz w:val="20"/>
                <w:szCs w:val="20"/>
              </w:rPr>
            </w:pPr>
          </w:p>
        </w:tc>
        <w:tc>
          <w:tcPr>
            <w:tcW w:w="0" w:type="auto"/>
            <w:vAlign w:val="center"/>
            <w:hideMark/>
          </w:tcPr>
          <w:p w14:paraId="04A90214" w14:textId="77777777" w:rsidR="00000000" w:rsidRDefault="00A173A8">
            <w:pPr>
              <w:spacing w:after="100"/>
              <w:rPr>
                <w:rFonts w:eastAsia="Times New Roman"/>
                <w:sz w:val="20"/>
                <w:szCs w:val="20"/>
              </w:rPr>
            </w:pPr>
          </w:p>
        </w:tc>
        <w:tc>
          <w:tcPr>
            <w:tcW w:w="0" w:type="auto"/>
            <w:vAlign w:val="center"/>
            <w:hideMark/>
          </w:tcPr>
          <w:p w14:paraId="62C175BB" w14:textId="77777777" w:rsidR="00000000" w:rsidRDefault="00A173A8">
            <w:pPr>
              <w:spacing w:after="100"/>
              <w:rPr>
                <w:rFonts w:eastAsia="Times New Roman"/>
                <w:sz w:val="20"/>
                <w:szCs w:val="20"/>
              </w:rPr>
            </w:pPr>
          </w:p>
        </w:tc>
        <w:tc>
          <w:tcPr>
            <w:tcW w:w="0" w:type="auto"/>
            <w:vAlign w:val="center"/>
            <w:hideMark/>
          </w:tcPr>
          <w:p w14:paraId="32CE772D" w14:textId="77777777" w:rsidR="00000000" w:rsidRDefault="00A173A8">
            <w:pPr>
              <w:spacing w:after="100"/>
              <w:rPr>
                <w:rFonts w:eastAsia="Times New Roman"/>
                <w:sz w:val="20"/>
                <w:szCs w:val="20"/>
              </w:rPr>
            </w:pPr>
          </w:p>
        </w:tc>
        <w:tc>
          <w:tcPr>
            <w:tcW w:w="0" w:type="auto"/>
            <w:vAlign w:val="center"/>
            <w:hideMark/>
          </w:tcPr>
          <w:p w14:paraId="35BED6EF" w14:textId="77777777" w:rsidR="00000000" w:rsidRDefault="00A173A8">
            <w:pPr>
              <w:spacing w:after="100"/>
              <w:rPr>
                <w:rFonts w:eastAsia="Times New Roman"/>
                <w:sz w:val="20"/>
                <w:szCs w:val="20"/>
              </w:rPr>
            </w:pPr>
          </w:p>
        </w:tc>
        <w:tc>
          <w:tcPr>
            <w:tcW w:w="0" w:type="auto"/>
            <w:vAlign w:val="center"/>
            <w:hideMark/>
          </w:tcPr>
          <w:p w14:paraId="754863A4" w14:textId="77777777" w:rsidR="00000000" w:rsidRDefault="00A173A8">
            <w:pPr>
              <w:spacing w:after="100"/>
              <w:rPr>
                <w:rFonts w:eastAsia="Times New Roman"/>
                <w:sz w:val="20"/>
                <w:szCs w:val="20"/>
              </w:rPr>
            </w:pPr>
          </w:p>
        </w:tc>
        <w:tc>
          <w:tcPr>
            <w:tcW w:w="0" w:type="auto"/>
            <w:vAlign w:val="center"/>
            <w:hideMark/>
          </w:tcPr>
          <w:p w14:paraId="75237C17" w14:textId="77777777" w:rsidR="00000000" w:rsidRDefault="00A173A8">
            <w:pPr>
              <w:spacing w:after="100"/>
              <w:rPr>
                <w:rFonts w:eastAsia="Times New Roman"/>
                <w:sz w:val="20"/>
                <w:szCs w:val="20"/>
              </w:rPr>
            </w:pPr>
          </w:p>
        </w:tc>
        <w:tc>
          <w:tcPr>
            <w:tcW w:w="0" w:type="auto"/>
            <w:vAlign w:val="center"/>
            <w:hideMark/>
          </w:tcPr>
          <w:p w14:paraId="6D5C85C0" w14:textId="77777777" w:rsidR="00000000" w:rsidRDefault="00A173A8">
            <w:pPr>
              <w:spacing w:after="100"/>
              <w:rPr>
                <w:rFonts w:eastAsia="Times New Roman"/>
                <w:sz w:val="20"/>
                <w:szCs w:val="20"/>
              </w:rPr>
            </w:pPr>
          </w:p>
        </w:tc>
        <w:tc>
          <w:tcPr>
            <w:tcW w:w="0" w:type="auto"/>
            <w:vAlign w:val="center"/>
            <w:hideMark/>
          </w:tcPr>
          <w:p w14:paraId="1183F949" w14:textId="77777777" w:rsidR="00000000" w:rsidRDefault="00A173A8">
            <w:pPr>
              <w:spacing w:after="100"/>
              <w:rPr>
                <w:rFonts w:eastAsia="Times New Roman"/>
                <w:sz w:val="20"/>
                <w:szCs w:val="20"/>
              </w:rPr>
            </w:pPr>
          </w:p>
        </w:tc>
        <w:tc>
          <w:tcPr>
            <w:tcW w:w="0" w:type="auto"/>
            <w:vAlign w:val="center"/>
            <w:hideMark/>
          </w:tcPr>
          <w:p w14:paraId="0EFF139B" w14:textId="77777777" w:rsidR="00000000" w:rsidRDefault="00A173A8">
            <w:pPr>
              <w:spacing w:after="100"/>
              <w:rPr>
                <w:rFonts w:eastAsia="Times New Roman"/>
                <w:sz w:val="20"/>
                <w:szCs w:val="20"/>
              </w:rPr>
            </w:pPr>
          </w:p>
        </w:tc>
        <w:tc>
          <w:tcPr>
            <w:tcW w:w="0" w:type="auto"/>
            <w:vAlign w:val="center"/>
            <w:hideMark/>
          </w:tcPr>
          <w:p w14:paraId="6A9FC99E" w14:textId="77777777" w:rsidR="00000000" w:rsidRDefault="00A173A8">
            <w:pPr>
              <w:spacing w:after="100"/>
              <w:rPr>
                <w:rFonts w:eastAsia="Times New Roman"/>
                <w:sz w:val="20"/>
                <w:szCs w:val="20"/>
              </w:rPr>
            </w:pPr>
          </w:p>
        </w:tc>
        <w:tc>
          <w:tcPr>
            <w:tcW w:w="0" w:type="auto"/>
            <w:vAlign w:val="center"/>
            <w:hideMark/>
          </w:tcPr>
          <w:p w14:paraId="0F06A7F7" w14:textId="77777777" w:rsidR="00000000" w:rsidRDefault="00A173A8">
            <w:pPr>
              <w:spacing w:after="100"/>
              <w:rPr>
                <w:rFonts w:eastAsia="Times New Roman"/>
                <w:sz w:val="20"/>
                <w:szCs w:val="20"/>
              </w:rPr>
            </w:pPr>
          </w:p>
        </w:tc>
        <w:tc>
          <w:tcPr>
            <w:tcW w:w="0" w:type="auto"/>
            <w:vAlign w:val="center"/>
            <w:hideMark/>
          </w:tcPr>
          <w:p w14:paraId="0D6661FC" w14:textId="77777777" w:rsidR="00000000" w:rsidRDefault="00A173A8">
            <w:pPr>
              <w:spacing w:after="100"/>
              <w:rPr>
                <w:rFonts w:eastAsia="Times New Roman"/>
                <w:sz w:val="20"/>
                <w:szCs w:val="20"/>
              </w:rPr>
            </w:pPr>
          </w:p>
        </w:tc>
      </w:tr>
      <w:tr w:rsidR="00000000" w14:paraId="7AE8AEF9" w14:textId="77777777">
        <w:trPr>
          <w:divId w:val="2062704384"/>
        </w:trPr>
        <w:tc>
          <w:tcPr>
            <w:tcW w:w="0" w:type="auto"/>
            <w:gridSpan w:val="3"/>
            <w:tcBorders>
              <w:bottom w:val="single" w:sz="8" w:space="0" w:color="000000"/>
            </w:tcBorders>
            <w:tcMar>
              <w:top w:w="30" w:type="dxa"/>
              <w:left w:w="20" w:type="dxa"/>
              <w:bottom w:w="30" w:type="dxa"/>
              <w:right w:w="20" w:type="dxa"/>
            </w:tcMar>
            <w:vAlign w:val="bottom"/>
            <w:hideMark/>
          </w:tcPr>
          <w:p w14:paraId="75708BD0"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79B09E06"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7AB48F0"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5119E34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931B8B8" w14:textId="77777777" w:rsidR="00000000" w:rsidRDefault="00A173A8">
            <w:pPr>
              <w:spacing w:after="100"/>
              <w:jc w:val="center"/>
              <w:rPr>
                <w:rFonts w:eastAsia="Times New Roman"/>
              </w:rPr>
            </w:pPr>
            <w:r>
              <w:rPr>
                <w:rFonts w:eastAsia="Times New Roman"/>
                <w:b/>
                <w:bCs/>
                <w:color w:val="000000"/>
                <w:sz w:val="20"/>
                <w:szCs w:val="20"/>
              </w:rPr>
              <w:t>Interest Income/</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33884A1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8EB5F0" w14:textId="77777777" w:rsidR="00000000" w:rsidRDefault="00A173A8">
            <w:pPr>
              <w:spacing w:after="100"/>
              <w:jc w:val="center"/>
              <w:rPr>
                <w:rFonts w:eastAsia="Times New Roman"/>
              </w:rPr>
            </w:pPr>
            <w:r>
              <w:rPr>
                <w:rFonts w:eastAsia="Times New Roman"/>
                <w:b/>
                <w:bCs/>
                <w:color w:val="000000"/>
                <w:sz w:val="20"/>
                <w:szCs w:val="20"/>
              </w:rPr>
              <w:t>Average Yield/</w:t>
            </w:r>
          </w:p>
          <w:p w14:paraId="13E67568"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0B32D99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D35D23"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1FA8E04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B0F875" w14:textId="77777777" w:rsidR="00000000" w:rsidRDefault="00A173A8">
            <w:pPr>
              <w:spacing w:after="100"/>
              <w:jc w:val="center"/>
              <w:rPr>
                <w:rFonts w:eastAsia="Times New Roman"/>
              </w:rPr>
            </w:pPr>
            <w:r>
              <w:rPr>
                <w:rFonts w:eastAsia="Times New Roman"/>
                <w:b/>
                <w:bCs/>
                <w:color w:val="000000"/>
                <w:sz w:val="20"/>
                <w:szCs w:val="20"/>
              </w:rPr>
              <w:t>Interest Income/</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1C38733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CA93FED" w14:textId="77777777" w:rsidR="00000000" w:rsidRDefault="00A173A8">
            <w:pPr>
              <w:spacing w:after="100"/>
              <w:jc w:val="center"/>
              <w:rPr>
                <w:rFonts w:eastAsia="Times New Roman"/>
              </w:rPr>
            </w:pPr>
            <w:r>
              <w:rPr>
                <w:rFonts w:eastAsia="Times New Roman"/>
                <w:b/>
                <w:bCs/>
                <w:color w:val="000000"/>
                <w:sz w:val="20"/>
                <w:szCs w:val="20"/>
              </w:rPr>
              <w:t>Average Yield/</w:t>
            </w:r>
            <w:r>
              <w:rPr>
                <w:rFonts w:eastAsia="Times New Roman"/>
                <w:b/>
                <w:bCs/>
                <w:color w:val="000000"/>
                <w:sz w:val="20"/>
                <w:szCs w:val="20"/>
              </w:rPr>
              <w:br/>
              <w:t>Rate</w:t>
            </w:r>
          </w:p>
        </w:tc>
        <w:tc>
          <w:tcPr>
            <w:tcW w:w="0" w:type="auto"/>
            <w:vAlign w:val="center"/>
            <w:hideMark/>
          </w:tcPr>
          <w:p w14:paraId="4406485B" w14:textId="77777777" w:rsidR="00000000" w:rsidRDefault="00A173A8">
            <w:pPr>
              <w:spacing w:after="100"/>
              <w:jc w:val="center"/>
              <w:rPr>
                <w:rFonts w:eastAsia="Times New Roman"/>
              </w:rPr>
            </w:pPr>
          </w:p>
        </w:tc>
        <w:tc>
          <w:tcPr>
            <w:tcW w:w="0" w:type="auto"/>
            <w:vAlign w:val="center"/>
            <w:hideMark/>
          </w:tcPr>
          <w:p w14:paraId="40129C0E" w14:textId="77777777" w:rsidR="00000000" w:rsidRDefault="00A173A8">
            <w:pPr>
              <w:spacing w:after="100"/>
              <w:rPr>
                <w:rFonts w:eastAsia="Times New Roman"/>
                <w:sz w:val="20"/>
                <w:szCs w:val="20"/>
              </w:rPr>
            </w:pPr>
          </w:p>
        </w:tc>
        <w:tc>
          <w:tcPr>
            <w:tcW w:w="0" w:type="auto"/>
            <w:gridSpan w:val="3"/>
            <w:vAlign w:val="center"/>
            <w:hideMark/>
          </w:tcPr>
          <w:p w14:paraId="24F9AC7D" w14:textId="77777777" w:rsidR="00000000" w:rsidRDefault="00A173A8">
            <w:pPr>
              <w:spacing w:after="100"/>
              <w:rPr>
                <w:rFonts w:eastAsia="Times New Roman"/>
                <w:sz w:val="20"/>
                <w:szCs w:val="20"/>
              </w:rPr>
            </w:pPr>
          </w:p>
        </w:tc>
        <w:tc>
          <w:tcPr>
            <w:tcW w:w="0" w:type="auto"/>
            <w:gridSpan w:val="3"/>
            <w:vAlign w:val="center"/>
            <w:hideMark/>
          </w:tcPr>
          <w:p w14:paraId="195B045D" w14:textId="77777777" w:rsidR="00000000" w:rsidRDefault="00A173A8">
            <w:pPr>
              <w:spacing w:after="100"/>
              <w:rPr>
                <w:rFonts w:eastAsia="Times New Roman"/>
                <w:sz w:val="20"/>
                <w:szCs w:val="20"/>
              </w:rPr>
            </w:pPr>
          </w:p>
        </w:tc>
        <w:tc>
          <w:tcPr>
            <w:tcW w:w="0" w:type="auto"/>
            <w:gridSpan w:val="3"/>
            <w:vAlign w:val="center"/>
            <w:hideMark/>
          </w:tcPr>
          <w:p w14:paraId="53C32C2A" w14:textId="77777777" w:rsidR="00000000" w:rsidRDefault="00A173A8">
            <w:pPr>
              <w:spacing w:after="100"/>
              <w:rPr>
                <w:rFonts w:eastAsia="Times New Roman"/>
                <w:sz w:val="20"/>
                <w:szCs w:val="20"/>
              </w:rPr>
            </w:pPr>
          </w:p>
        </w:tc>
        <w:tc>
          <w:tcPr>
            <w:tcW w:w="0" w:type="auto"/>
            <w:gridSpan w:val="3"/>
            <w:vAlign w:val="center"/>
            <w:hideMark/>
          </w:tcPr>
          <w:p w14:paraId="018232EF" w14:textId="77777777" w:rsidR="00000000" w:rsidRDefault="00A173A8">
            <w:pPr>
              <w:spacing w:after="100"/>
              <w:rPr>
                <w:rFonts w:eastAsia="Times New Roman"/>
                <w:sz w:val="20"/>
                <w:szCs w:val="20"/>
              </w:rPr>
            </w:pPr>
          </w:p>
        </w:tc>
      </w:tr>
      <w:tr w:rsidR="00000000" w14:paraId="42DA4BB8" w14:textId="77777777">
        <w:trPr>
          <w:divId w:val="20627043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B8D707B" w14:textId="77777777" w:rsidR="00000000" w:rsidRDefault="00A173A8">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14:paraId="0C2104F7"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C828E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D545E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E8C7E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48C55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C7D38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0AC6F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800BA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4B232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8FD50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EC22D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008B63" w14:textId="77777777" w:rsidR="00000000" w:rsidRDefault="00A173A8">
            <w:pPr>
              <w:spacing w:after="100"/>
              <w:rPr>
                <w:rFonts w:eastAsia="Times New Roman"/>
                <w:sz w:val="20"/>
                <w:szCs w:val="20"/>
              </w:rPr>
            </w:pPr>
          </w:p>
        </w:tc>
        <w:tc>
          <w:tcPr>
            <w:tcW w:w="0" w:type="auto"/>
            <w:vAlign w:val="center"/>
            <w:hideMark/>
          </w:tcPr>
          <w:p w14:paraId="0BF0182E" w14:textId="77777777" w:rsidR="00000000" w:rsidRDefault="00A173A8">
            <w:pPr>
              <w:spacing w:after="100"/>
              <w:rPr>
                <w:rFonts w:eastAsia="Times New Roman"/>
                <w:sz w:val="20"/>
                <w:szCs w:val="20"/>
              </w:rPr>
            </w:pPr>
          </w:p>
        </w:tc>
        <w:tc>
          <w:tcPr>
            <w:tcW w:w="0" w:type="auto"/>
            <w:vAlign w:val="center"/>
            <w:hideMark/>
          </w:tcPr>
          <w:p w14:paraId="14DC4D91" w14:textId="77777777" w:rsidR="00000000" w:rsidRDefault="00A173A8">
            <w:pPr>
              <w:spacing w:after="100"/>
              <w:rPr>
                <w:rFonts w:eastAsia="Times New Roman"/>
                <w:sz w:val="20"/>
                <w:szCs w:val="20"/>
              </w:rPr>
            </w:pPr>
          </w:p>
        </w:tc>
        <w:tc>
          <w:tcPr>
            <w:tcW w:w="0" w:type="auto"/>
            <w:gridSpan w:val="3"/>
            <w:vAlign w:val="center"/>
            <w:hideMark/>
          </w:tcPr>
          <w:p w14:paraId="629877A2" w14:textId="77777777" w:rsidR="00000000" w:rsidRDefault="00A173A8">
            <w:pPr>
              <w:spacing w:after="100"/>
              <w:rPr>
                <w:rFonts w:eastAsia="Times New Roman"/>
                <w:sz w:val="20"/>
                <w:szCs w:val="20"/>
              </w:rPr>
            </w:pPr>
          </w:p>
        </w:tc>
        <w:tc>
          <w:tcPr>
            <w:tcW w:w="0" w:type="auto"/>
            <w:gridSpan w:val="3"/>
            <w:vAlign w:val="center"/>
            <w:hideMark/>
          </w:tcPr>
          <w:p w14:paraId="0E327864" w14:textId="77777777" w:rsidR="00000000" w:rsidRDefault="00A173A8">
            <w:pPr>
              <w:spacing w:after="100"/>
              <w:rPr>
                <w:rFonts w:eastAsia="Times New Roman"/>
                <w:sz w:val="20"/>
                <w:szCs w:val="20"/>
              </w:rPr>
            </w:pPr>
          </w:p>
        </w:tc>
        <w:tc>
          <w:tcPr>
            <w:tcW w:w="0" w:type="auto"/>
            <w:gridSpan w:val="3"/>
            <w:vAlign w:val="center"/>
            <w:hideMark/>
          </w:tcPr>
          <w:p w14:paraId="41415571" w14:textId="77777777" w:rsidR="00000000" w:rsidRDefault="00A173A8">
            <w:pPr>
              <w:spacing w:after="100"/>
              <w:rPr>
                <w:rFonts w:eastAsia="Times New Roman"/>
                <w:sz w:val="20"/>
                <w:szCs w:val="20"/>
              </w:rPr>
            </w:pPr>
          </w:p>
        </w:tc>
        <w:tc>
          <w:tcPr>
            <w:tcW w:w="0" w:type="auto"/>
            <w:gridSpan w:val="3"/>
            <w:vAlign w:val="center"/>
            <w:hideMark/>
          </w:tcPr>
          <w:p w14:paraId="0277A3F9" w14:textId="77777777" w:rsidR="00000000" w:rsidRDefault="00A173A8">
            <w:pPr>
              <w:spacing w:after="100"/>
              <w:rPr>
                <w:rFonts w:eastAsia="Times New Roman"/>
                <w:sz w:val="20"/>
                <w:szCs w:val="20"/>
              </w:rPr>
            </w:pPr>
          </w:p>
        </w:tc>
      </w:tr>
      <w:tr w:rsidR="00000000" w14:paraId="4BEE0271" w14:textId="77777777">
        <w:trPr>
          <w:divId w:val="2062704384"/>
        </w:trPr>
        <w:tc>
          <w:tcPr>
            <w:tcW w:w="0" w:type="auto"/>
            <w:gridSpan w:val="3"/>
            <w:shd w:val="clear" w:color="auto" w:fill="FFFFFF"/>
            <w:tcMar>
              <w:top w:w="30" w:type="dxa"/>
              <w:left w:w="20" w:type="dxa"/>
              <w:bottom w:w="30" w:type="dxa"/>
              <w:right w:w="20" w:type="dxa"/>
            </w:tcMar>
            <w:vAlign w:val="center"/>
            <w:hideMark/>
          </w:tcPr>
          <w:p w14:paraId="4B979787" w14:textId="77777777" w:rsidR="00000000" w:rsidRDefault="00A173A8">
            <w:pPr>
              <w:spacing w:after="100"/>
              <w:rPr>
                <w:rFonts w:eastAsia="Times New Roman"/>
              </w:rPr>
            </w:pPr>
            <w:r>
              <w:rPr>
                <w:rFonts w:eastAsia="Times New Roman"/>
                <w:color w:val="000000"/>
                <w:sz w:val="20"/>
                <w:szCs w:val="20"/>
              </w:rPr>
              <w:t>Interest-earning assets:</w:t>
            </w:r>
          </w:p>
        </w:tc>
        <w:tc>
          <w:tcPr>
            <w:tcW w:w="0" w:type="auto"/>
            <w:gridSpan w:val="3"/>
            <w:shd w:val="clear" w:color="auto" w:fill="FFFFFF"/>
            <w:tcMar>
              <w:top w:w="0" w:type="dxa"/>
              <w:left w:w="20" w:type="dxa"/>
              <w:bottom w:w="0" w:type="dxa"/>
              <w:right w:w="20" w:type="dxa"/>
            </w:tcMar>
            <w:vAlign w:val="center"/>
            <w:hideMark/>
          </w:tcPr>
          <w:p w14:paraId="119D040A"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0BFF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C203E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1CC19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3A627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E04F1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45FED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4F4D6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5988F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E9359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B8C57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7CD64D" w14:textId="77777777" w:rsidR="00000000" w:rsidRDefault="00A173A8">
            <w:pPr>
              <w:spacing w:after="100"/>
              <w:rPr>
                <w:rFonts w:eastAsia="Times New Roman"/>
                <w:sz w:val="20"/>
                <w:szCs w:val="20"/>
              </w:rPr>
            </w:pPr>
          </w:p>
        </w:tc>
        <w:tc>
          <w:tcPr>
            <w:tcW w:w="0" w:type="auto"/>
            <w:vAlign w:val="center"/>
            <w:hideMark/>
          </w:tcPr>
          <w:p w14:paraId="763620E9" w14:textId="77777777" w:rsidR="00000000" w:rsidRDefault="00A173A8">
            <w:pPr>
              <w:spacing w:after="100"/>
              <w:rPr>
                <w:rFonts w:eastAsia="Times New Roman"/>
                <w:sz w:val="20"/>
                <w:szCs w:val="20"/>
              </w:rPr>
            </w:pPr>
          </w:p>
        </w:tc>
        <w:tc>
          <w:tcPr>
            <w:tcW w:w="0" w:type="auto"/>
            <w:vAlign w:val="center"/>
            <w:hideMark/>
          </w:tcPr>
          <w:p w14:paraId="15997BCA" w14:textId="77777777" w:rsidR="00000000" w:rsidRDefault="00A173A8">
            <w:pPr>
              <w:spacing w:after="100"/>
              <w:rPr>
                <w:rFonts w:eastAsia="Times New Roman"/>
                <w:sz w:val="20"/>
                <w:szCs w:val="20"/>
              </w:rPr>
            </w:pPr>
          </w:p>
        </w:tc>
        <w:tc>
          <w:tcPr>
            <w:tcW w:w="0" w:type="auto"/>
            <w:gridSpan w:val="3"/>
            <w:vAlign w:val="center"/>
            <w:hideMark/>
          </w:tcPr>
          <w:p w14:paraId="3C2EB2A6" w14:textId="77777777" w:rsidR="00000000" w:rsidRDefault="00A173A8">
            <w:pPr>
              <w:spacing w:after="100"/>
              <w:rPr>
                <w:rFonts w:eastAsia="Times New Roman"/>
                <w:sz w:val="20"/>
                <w:szCs w:val="20"/>
              </w:rPr>
            </w:pPr>
          </w:p>
        </w:tc>
        <w:tc>
          <w:tcPr>
            <w:tcW w:w="0" w:type="auto"/>
            <w:gridSpan w:val="3"/>
            <w:vAlign w:val="center"/>
            <w:hideMark/>
          </w:tcPr>
          <w:p w14:paraId="668861F8" w14:textId="77777777" w:rsidR="00000000" w:rsidRDefault="00A173A8">
            <w:pPr>
              <w:spacing w:after="100"/>
              <w:rPr>
                <w:rFonts w:eastAsia="Times New Roman"/>
                <w:sz w:val="20"/>
                <w:szCs w:val="20"/>
              </w:rPr>
            </w:pPr>
          </w:p>
        </w:tc>
        <w:tc>
          <w:tcPr>
            <w:tcW w:w="0" w:type="auto"/>
            <w:gridSpan w:val="3"/>
            <w:vAlign w:val="center"/>
            <w:hideMark/>
          </w:tcPr>
          <w:p w14:paraId="192354DE" w14:textId="77777777" w:rsidR="00000000" w:rsidRDefault="00A173A8">
            <w:pPr>
              <w:spacing w:after="100"/>
              <w:rPr>
                <w:rFonts w:eastAsia="Times New Roman"/>
                <w:sz w:val="20"/>
                <w:szCs w:val="20"/>
              </w:rPr>
            </w:pPr>
          </w:p>
        </w:tc>
        <w:tc>
          <w:tcPr>
            <w:tcW w:w="0" w:type="auto"/>
            <w:gridSpan w:val="3"/>
            <w:vAlign w:val="center"/>
            <w:hideMark/>
          </w:tcPr>
          <w:p w14:paraId="7B7B8018" w14:textId="77777777" w:rsidR="00000000" w:rsidRDefault="00A173A8">
            <w:pPr>
              <w:spacing w:after="100"/>
              <w:rPr>
                <w:rFonts w:eastAsia="Times New Roman"/>
                <w:sz w:val="20"/>
                <w:szCs w:val="20"/>
              </w:rPr>
            </w:pPr>
          </w:p>
        </w:tc>
      </w:tr>
      <w:tr w:rsidR="00000000" w14:paraId="1C90C68A" w14:textId="77777777">
        <w:trPr>
          <w:divId w:val="2062704384"/>
        </w:trPr>
        <w:tc>
          <w:tcPr>
            <w:tcW w:w="0" w:type="auto"/>
            <w:gridSpan w:val="3"/>
            <w:shd w:val="clear" w:color="auto" w:fill="CCEEFF"/>
            <w:tcMar>
              <w:top w:w="30" w:type="dxa"/>
              <w:left w:w="20" w:type="dxa"/>
              <w:bottom w:w="30" w:type="dxa"/>
              <w:right w:w="20" w:type="dxa"/>
            </w:tcMar>
            <w:vAlign w:val="center"/>
            <w:hideMark/>
          </w:tcPr>
          <w:p w14:paraId="04E08E48" w14:textId="77777777" w:rsidR="00000000" w:rsidRDefault="00A173A8">
            <w:pPr>
              <w:spacing w:after="100"/>
              <w:divId w:val="1788348470"/>
              <w:rPr>
                <w:rFonts w:eastAsia="Times New Roman"/>
              </w:rPr>
            </w:pPr>
            <w:r>
              <w:rPr>
                <w:rFonts w:eastAsia="Times New Roman"/>
                <w:color w:val="000000"/>
                <w:sz w:val="20"/>
                <w:szCs w:val="20"/>
              </w:rPr>
              <w:t>Loans</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5BF22D8"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8854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0D88D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48C6E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04575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96F43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233BB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B5D61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E3BDB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F23C0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F66A0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4E8E4C" w14:textId="77777777" w:rsidR="00000000" w:rsidRDefault="00A173A8">
            <w:pPr>
              <w:spacing w:after="100"/>
              <w:rPr>
                <w:rFonts w:eastAsia="Times New Roman"/>
                <w:sz w:val="20"/>
                <w:szCs w:val="20"/>
              </w:rPr>
            </w:pPr>
          </w:p>
        </w:tc>
        <w:tc>
          <w:tcPr>
            <w:tcW w:w="0" w:type="auto"/>
            <w:vAlign w:val="center"/>
            <w:hideMark/>
          </w:tcPr>
          <w:p w14:paraId="3AB5C7D6" w14:textId="77777777" w:rsidR="00000000" w:rsidRDefault="00A173A8">
            <w:pPr>
              <w:spacing w:after="100"/>
              <w:rPr>
                <w:rFonts w:eastAsia="Times New Roman"/>
                <w:sz w:val="20"/>
                <w:szCs w:val="20"/>
              </w:rPr>
            </w:pPr>
          </w:p>
        </w:tc>
        <w:tc>
          <w:tcPr>
            <w:tcW w:w="0" w:type="auto"/>
            <w:vAlign w:val="center"/>
            <w:hideMark/>
          </w:tcPr>
          <w:p w14:paraId="6AC0287E" w14:textId="77777777" w:rsidR="00000000" w:rsidRDefault="00A173A8">
            <w:pPr>
              <w:spacing w:after="100"/>
              <w:rPr>
                <w:rFonts w:eastAsia="Times New Roman"/>
                <w:sz w:val="20"/>
                <w:szCs w:val="20"/>
              </w:rPr>
            </w:pPr>
          </w:p>
        </w:tc>
        <w:tc>
          <w:tcPr>
            <w:tcW w:w="0" w:type="auto"/>
            <w:gridSpan w:val="3"/>
            <w:vAlign w:val="center"/>
            <w:hideMark/>
          </w:tcPr>
          <w:p w14:paraId="68DE5C1D" w14:textId="77777777" w:rsidR="00000000" w:rsidRDefault="00A173A8">
            <w:pPr>
              <w:spacing w:after="100"/>
              <w:rPr>
                <w:rFonts w:eastAsia="Times New Roman"/>
                <w:sz w:val="20"/>
                <w:szCs w:val="20"/>
              </w:rPr>
            </w:pPr>
          </w:p>
        </w:tc>
        <w:tc>
          <w:tcPr>
            <w:tcW w:w="0" w:type="auto"/>
            <w:gridSpan w:val="3"/>
            <w:vAlign w:val="center"/>
            <w:hideMark/>
          </w:tcPr>
          <w:p w14:paraId="3580A56B" w14:textId="77777777" w:rsidR="00000000" w:rsidRDefault="00A173A8">
            <w:pPr>
              <w:spacing w:after="100"/>
              <w:rPr>
                <w:rFonts w:eastAsia="Times New Roman"/>
                <w:sz w:val="20"/>
                <w:szCs w:val="20"/>
              </w:rPr>
            </w:pPr>
          </w:p>
        </w:tc>
        <w:tc>
          <w:tcPr>
            <w:tcW w:w="0" w:type="auto"/>
            <w:gridSpan w:val="3"/>
            <w:vAlign w:val="center"/>
            <w:hideMark/>
          </w:tcPr>
          <w:p w14:paraId="2356CE64" w14:textId="77777777" w:rsidR="00000000" w:rsidRDefault="00A173A8">
            <w:pPr>
              <w:spacing w:after="100"/>
              <w:rPr>
                <w:rFonts w:eastAsia="Times New Roman"/>
                <w:sz w:val="20"/>
                <w:szCs w:val="20"/>
              </w:rPr>
            </w:pPr>
          </w:p>
        </w:tc>
        <w:tc>
          <w:tcPr>
            <w:tcW w:w="0" w:type="auto"/>
            <w:gridSpan w:val="3"/>
            <w:vAlign w:val="center"/>
            <w:hideMark/>
          </w:tcPr>
          <w:p w14:paraId="5438A7F8" w14:textId="77777777" w:rsidR="00000000" w:rsidRDefault="00A173A8">
            <w:pPr>
              <w:spacing w:after="100"/>
              <w:rPr>
                <w:rFonts w:eastAsia="Times New Roman"/>
                <w:sz w:val="20"/>
                <w:szCs w:val="20"/>
              </w:rPr>
            </w:pPr>
          </w:p>
        </w:tc>
      </w:tr>
      <w:tr w:rsidR="00000000" w14:paraId="6F1C7F03" w14:textId="77777777">
        <w:trPr>
          <w:divId w:val="2062704384"/>
        </w:trPr>
        <w:tc>
          <w:tcPr>
            <w:tcW w:w="0" w:type="auto"/>
            <w:gridSpan w:val="3"/>
            <w:shd w:val="clear" w:color="auto" w:fill="FFFFFF"/>
            <w:tcMar>
              <w:top w:w="30" w:type="dxa"/>
              <w:left w:w="245" w:type="dxa"/>
              <w:bottom w:w="30" w:type="dxa"/>
              <w:right w:w="20" w:type="dxa"/>
            </w:tcMar>
            <w:vAlign w:val="center"/>
            <w:hideMark/>
          </w:tcPr>
          <w:p w14:paraId="791D4FC1" w14:textId="77777777" w:rsidR="00000000" w:rsidRDefault="00A173A8">
            <w:pPr>
              <w:spacing w:after="100"/>
              <w:rPr>
                <w:rFonts w:eastAsia="Times New Roman"/>
              </w:rPr>
            </w:pPr>
            <w:r>
              <w:rPr>
                <w:rFonts w:eastAsia="Times New Roman"/>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14:paraId="7489A51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F8F0E23"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0E1E4A21" w14:textId="77777777" w:rsidR="00000000" w:rsidRDefault="00A173A8">
            <w:pPr>
              <w:spacing w:after="100"/>
              <w:jc w:val="right"/>
              <w:rPr>
                <w:rFonts w:eastAsia="Times New Roman"/>
              </w:rPr>
            </w:pPr>
            <w:r>
              <w:rPr>
                <w:rFonts w:eastAsia="Times New Roman"/>
                <w:b/>
                <w:bCs/>
                <w:color w:val="000000"/>
                <w:sz w:val="20"/>
                <w:szCs w:val="20"/>
              </w:rPr>
              <w:t>115,007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B0E9FA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10282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5E05EFD"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3BA90A6B" w14:textId="77777777" w:rsidR="00000000" w:rsidRDefault="00A173A8">
            <w:pPr>
              <w:spacing w:after="100"/>
              <w:jc w:val="right"/>
              <w:rPr>
                <w:rFonts w:eastAsia="Times New Roman"/>
              </w:rPr>
            </w:pPr>
            <w:r>
              <w:rPr>
                <w:rFonts w:eastAsia="Times New Roman"/>
                <w:b/>
                <w:bCs/>
                <w:color w:val="000000"/>
                <w:sz w:val="20"/>
                <w:szCs w:val="20"/>
              </w:rPr>
              <w:t>8,687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F01841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60CD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96CEA6" w14:textId="77777777" w:rsidR="00000000" w:rsidRDefault="00A173A8">
            <w:pPr>
              <w:spacing w:after="100"/>
              <w:jc w:val="right"/>
              <w:rPr>
                <w:rFonts w:eastAsia="Times New Roman"/>
              </w:rPr>
            </w:pPr>
            <w:r>
              <w:rPr>
                <w:rFonts w:eastAsia="Times New Roman"/>
                <w:b/>
                <w:bCs/>
                <w:color w:val="000000"/>
                <w:sz w:val="20"/>
                <w:szCs w:val="20"/>
              </w:rPr>
              <w:t>15.11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0828189"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9B02656"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15BB6240"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0B4DCC8" w14:textId="77777777" w:rsidR="00000000" w:rsidRDefault="00A173A8">
            <w:pPr>
              <w:spacing w:after="100"/>
              <w:jc w:val="right"/>
              <w:rPr>
                <w:rFonts w:eastAsia="Times New Roman"/>
              </w:rPr>
            </w:pPr>
            <w:r>
              <w:rPr>
                <w:rFonts w:eastAsia="Times New Roman"/>
                <w:color w:val="000000"/>
                <w:sz w:val="20"/>
                <w:szCs w:val="20"/>
              </w:rPr>
              <w:t>102,078 </w:t>
            </w:r>
          </w:p>
        </w:tc>
        <w:tc>
          <w:tcPr>
            <w:tcW w:w="0" w:type="auto"/>
            <w:shd w:val="clear" w:color="auto" w:fill="FFFFFF"/>
            <w:tcMar>
              <w:top w:w="30" w:type="dxa"/>
              <w:left w:w="0" w:type="dxa"/>
              <w:bottom w:w="30" w:type="dxa"/>
              <w:right w:w="20" w:type="dxa"/>
            </w:tcMar>
            <w:vAlign w:val="center"/>
            <w:hideMark/>
          </w:tcPr>
          <w:p w14:paraId="4586D2F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579C8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C1BCDBE"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71B0B36F" w14:textId="77777777" w:rsidR="00000000" w:rsidRDefault="00A173A8">
            <w:pPr>
              <w:spacing w:after="100"/>
              <w:jc w:val="right"/>
              <w:rPr>
                <w:rFonts w:eastAsia="Times New Roman"/>
              </w:rPr>
            </w:pPr>
            <w:r>
              <w:rPr>
                <w:rFonts w:eastAsia="Times New Roman"/>
                <w:color w:val="000000"/>
                <w:sz w:val="20"/>
                <w:szCs w:val="20"/>
              </w:rPr>
              <w:t>7,281 </w:t>
            </w:r>
          </w:p>
        </w:tc>
        <w:tc>
          <w:tcPr>
            <w:tcW w:w="0" w:type="auto"/>
            <w:shd w:val="clear" w:color="auto" w:fill="FFFFFF"/>
            <w:tcMar>
              <w:top w:w="30" w:type="dxa"/>
              <w:left w:w="0" w:type="dxa"/>
              <w:bottom w:w="30" w:type="dxa"/>
              <w:right w:w="20" w:type="dxa"/>
            </w:tcMar>
            <w:vAlign w:val="center"/>
            <w:hideMark/>
          </w:tcPr>
          <w:p w14:paraId="22E0991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5EEE0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DEBCD0" w14:textId="77777777" w:rsidR="00000000" w:rsidRDefault="00A173A8">
            <w:pPr>
              <w:spacing w:after="100"/>
              <w:jc w:val="right"/>
              <w:rPr>
                <w:rFonts w:eastAsia="Times New Roman"/>
              </w:rPr>
            </w:pPr>
            <w:r>
              <w:rPr>
                <w:rFonts w:eastAsia="Times New Roman"/>
                <w:color w:val="000000"/>
                <w:sz w:val="20"/>
                <w:szCs w:val="20"/>
              </w:rPr>
              <w:t>14.26 </w:t>
            </w:r>
          </w:p>
        </w:tc>
        <w:tc>
          <w:tcPr>
            <w:tcW w:w="0" w:type="auto"/>
            <w:shd w:val="clear" w:color="auto" w:fill="FFFFFF"/>
            <w:tcMar>
              <w:top w:w="30" w:type="dxa"/>
              <w:left w:w="0" w:type="dxa"/>
              <w:bottom w:w="30" w:type="dxa"/>
              <w:right w:w="20" w:type="dxa"/>
            </w:tcMar>
            <w:vAlign w:val="center"/>
            <w:hideMark/>
          </w:tcPr>
          <w:p w14:paraId="44FE66D5"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6EBBC91A" w14:textId="77777777" w:rsidR="00000000" w:rsidRDefault="00A173A8">
            <w:pPr>
              <w:spacing w:after="100"/>
              <w:jc w:val="right"/>
              <w:rPr>
                <w:rFonts w:eastAsia="Times New Roman"/>
              </w:rPr>
            </w:pPr>
          </w:p>
        </w:tc>
        <w:tc>
          <w:tcPr>
            <w:tcW w:w="0" w:type="auto"/>
            <w:vAlign w:val="center"/>
            <w:hideMark/>
          </w:tcPr>
          <w:p w14:paraId="351ECE7A" w14:textId="77777777" w:rsidR="00000000" w:rsidRDefault="00A173A8">
            <w:pPr>
              <w:spacing w:after="100"/>
              <w:rPr>
                <w:rFonts w:eastAsia="Times New Roman"/>
                <w:sz w:val="20"/>
                <w:szCs w:val="20"/>
              </w:rPr>
            </w:pPr>
          </w:p>
        </w:tc>
        <w:tc>
          <w:tcPr>
            <w:tcW w:w="0" w:type="auto"/>
            <w:gridSpan w:val="3"/>
            <w:vAlign w:val="center"/>
            <w:hideMark/>
          </w:tcPr>
          <w:p w14:paraId="79E3E4AD" w14:textId="77777777" w:rsidR="00000000" w:rsidRDefault="00A173A8">
            <w:pPr>
              <w:spacing w:after="100"/>
              <w:rPr>
                <w:rFonts w:eastAsia="Times New Roman"/>
                <w:sz w:val="20"/>
                <w:szCs w:val="20"/>
              </w:rPr>
            </w:pPr>
          </w:p>
        </w:tc>
        <w:tc>
          <w:tcPr>
            <w:tcW w:w="0" w:type="auto"/>
            <w:gridSpan w:val="3"/>
            <w:vAlign w:val="center"/>
            <w:hideMark/>
          </w:tcPr>
          <w:p w14:paraId="36C8B031" w14:textId="77777777" w:rsidR="00000000" w:rsidRDefault="00A173A8">
            <w:pPr>
              <w:spacing w:after="100"/>
              <w:rPr>
                <w:rFonts w:eastAsia="Times New Roman"/>
                <w:sz w:val="20"/>
                <w:szCs w:val="20"/>
              </w:rPr>
            </w:pPr>
          </w:p>
        </w:tc>
        <w:tc>
          <w:tcPr>
            <w:tcW w:w="0" w:type="auto"/>
            <w:gridSpan w:val="3"/>
            <w:vAlign w:val="center"/>
            <w:hideMark/>
          </w:tcPr>
          <w:p w14:paraId="4C1C1EA4" w14:textId="77777777" w:rsidR="00000000" w:rsidRDefault="00A173A8">
            <w:pPr>
              <w:spacing w:after="100"/>
              <w:rPr>
                <w:rFonts w:eastAsia="Times New Roman"/>
                <w:sz w:val="20"/>
                <w:szCs w:val="20"/>
              </w:rPr>
            </w:pPr>
          </w:p>
        </w:tc>
        <w:tc>
          <w:tcPr>
            <w:tcW w:w="0" w:type="auto"/>
            <w:gridSpan w:val="3"/>
            <w:vAlign w:val="center"/>
            <w:hideMark/>
          </w:tcPr>
          <w:p w14:paraId="6DD0676C" w14:textId="77777777" w:rsidR="00000000" w:rsidRDefault="00A173A8">
            <w:pPr>
              <w:spacing w:after="100"/>
              <w:rPr>
                <w:rFonts w:eastAsia="Times New Roman"/>
                <w:sz w:val="20"/>
                <w:szCs w:val="20"/>
              </w:rPr>
            </w:pPr>
          </w:p>
        </w:tc>
      </w:tr>
      <w:tr w:rsidR="00000000" w14:paraId="6244B937" w14:textId="77777777">
        <w:trPr>
          <w:divId w:val="2062704384"/>
        </w:trPr>
        <w:tc>
          <w:tcPr>
            <w:tcW w:w="0" w:type="auto"/>
            <w:gridSpan w:val="3"/>
            <w:shd w:val="clear" w:color="auto" w:fill="CCEEFF"/>
            <w:tcMar>
              <w:top w:w="30" w:type="dxa"/>
              <w:left w:w="245" w:type="dxa"/>
              <w:bottom w:w="30" w:type="dxa"/>
              <w:right w:w="20" w:type="dxa"/>
            </w:tcMar>
            <w:vAlign w:val="center"/>
            <w:hideMark/>
          </w:tcPr>
          <w:p w14:paraId="33417BC5" w14:textId="77777777" w:rsidR="00000000" w:rsidRDefault="00A173A8">
            <w:pPr>
              <w:spacing w:after="100"/>
              <w:rPr>
                <w:rFonts w:eastAsia="Times New Roman"/>
              </w:rPr>
            </w:pPr>
            <w:r>
              <w:rPr>
                <w:rFonts w:eastAsia="Times New Roman"/>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7235FAC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BE25F57" w14:textId="77777777" w:rsidR="00000000" w:rsidRDefault="00A173A8">
            <w:pPr>
              <w:spacing w:after="100"/>
              <w:jc w:val="right"/>
              <w:rPr>
                <w:rFonts w:eastAsia="Times New Roman"/>
              </w:rPr>
            </w:pPr>
            <w:r>
              <w:rPr>
                <w:rFonts w:eastAsia="Times New Roman"/>
                <w:b/>
                <w:bCs/>
                <w:color w:val="000000"/>
                <w:sz w:val="20"/>
                <w:szCs w:val="20"/>
              </w:rPr>
              <w:t>79,957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670452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1AAE8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A57EEE" w14:textId="77777777" w:rsidR="00000000" w:rsidRDefault="00A173A8">
            <w:pPr>
              <w:spacing w:after="100"/>
              <w:jc w:val="right"/>
              <w:rPr>
                <w:rFonts w:eastAsia="Times New Roman"/>
              </w:rPr>
            </w:pPr>
            <w:r>
              <w:rPr>
                <w:rFonts w:eastAsia="Times New Roman"/>
                <w:b/>
                <w:bCs/>
                <w:color w:val="000000"/>
                <w:sz w:val="20"/>
                <w:szCs w:val="20"/>
              </w:rPr>
              <w:t>2,844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60331C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A47F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C67A15" w14:textId="77777777" w:rsidR="00000000" w:rsidRDefault="00A173A8">
            <w:pPr>
              <w:spacing w:after="100"/>
              <w:jc w:val="right"/>
              <w:rPr>
                <w:rFonts w:eastAsia="Times New Roman"/>
              </w:rPr>
            </w:pPr>
            <w:r>
              <w:rPr>
                <w:rFonts w:eastAsia="Times New Roman"/>
                <w:b/>
                <w:bCs/>
                <w:color w:val="000000"/>
                <w:sz w:val="20"/>
                <w:szCs w:val="20"/>
              </w:rPr>
              <w:t>7.11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4664C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95D8F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B1B3C1" w14:textId="77777777" w:rsidR="00000000" w:rsidRDefault="00A173A8">
            <w:pPr>
              <w:spacing w:after="100"/>
              <w:jc w:val="right"/>
              <w:rPr>
                <w:rFonts w:eastAsia="Times New Roman"/>
              </w:rPr>
            </w:pPr>
            <w:r>
              <w:rPr>
                <w:rFonts w:eastAsia="Times New Roman"/>
                <w:color w:val="000000"/>
                <w:sz w:val="20"/>
                <w:szCs w:val="20"/>
              </w:rPr>
              <w:t>70,979 </w:t>
            </w:r>
          </w:p>
        </w:tc>
        <w:tc>
          <w:tcPr>
            <w:tcW w:w="0" w:type="auto"/>
            <w:shd w:val="clear" w:color="auto" w:fill="CCEEFF"/>
            <w:tcMar>
              <w:top w:w="30" w:type="dxa"/>
              <w:left w:w="0" w:type="dxa"/>
              <w:bottom w:w="30" w:type="dxa"/>
              <w:right w:w="20" w:type="dxa"/>
            </w:tcMar>
            <w:vAlign w:val="center"/>
            <w:hideMark/>
          </w:tcPr>
          <w:p w14:paraId="7B49D12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9771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89C67A" w14:textId="77777777" w:rsidR="00000000" w:rsidRDefault="00A173A8">
            <w:pPr>
              <w:spacing w:after="100"/>
              <w:jc w:val="right"/>
              <w:rPr>
                <w:rFonts w:eastAsia="Times New Roman"/>
              </w:rPr>
            </w:pPr>
            <w:r>
              <w:rPr>
                <w:rFonts w:eastAsia="Times New Roman"/>
                <w:color w:val="000000"/>
                <w:sz w:val="20"/>
                <w:szCs w:val="20"/>
              </w:rPr>
              <w:t>2,864 </w:t>
            </w:r>
          </w:p>
        </w:tc>
        <w:tc>
          <w:tcPr>
            <w:tcW w:w="0" w:type="auto"/>
            <w:shd w:val="clear" w:color="auto" w:fill="CCEEFF"/>
            <w:tcMar>
              <w:top w:w="30" w:type="dxa"/>
              <w:left w:w="0" w:type="dxa"/>
              <w:bottom w:w="30" w:type="dxa"/>
              <w:right w:w="20" w:type="dxa"/>
            </w:tcMar>
            <w:vAlign w:val="center"/>
            <w:hideMark/>
          </w:tcPr>
          <w:p w14:paraId="7C90277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6BE7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06E5E1" w14:textId="77777777" w:rsidR="00000000" w:rsidRDefault="00A173A8">
            <w:pPr>
              <w:spacing w:after="100"/>
              <w:jc w:val="right"/>
              <w:rPr>
                <w:rFonts w:eastAsia="Times New Roman"/>
              </w:rPr>
            </w:pPr>
            <w:r>
              <w:rPr>
                <w:rFonts w:eastAsia="Times New Roman"/>
                <w:color w:val="000000"/>
                <w:sz w:val="20"/>
                <w:szCs w:val="20"/>
              </w:rPr>
              <w:t>8.07 </w:t>
            </w:r>
          </w:p>
        </w:tc>
        <w:tc>
          <w:tcPr>
            <w:tcW w:w="0" w:type="auto"/>
            <w:shd w:val="clear" w:color="auto" w:fill="CCEEFF"/>
            <w:tcMar>
              <w:top w:w="30" w:type="dxa"/>
              <w:left w:w="0" w:type="dxa"/>
              <w:bottom w:w="30" w:type="dxa"/>
              <w:right w:w="20" w:type="dxa"/>
            </w:tcMar>
            <w:vAlign w:val="center"/>
            <w:hideMark/>
          </w:tcPr>
          <w:p w14:paraId="6DADB71C" w14:textId="77777777" w:rsidR="00000000" w:rsidRDefault="00A173A8">
            <w:pPr>
              <w:spacing w:after="100"/>
              <w:jc w:val="right"/>
              <w:rPr>
                <w:rFonts w:eastAsia="Times New Roman"/>
              </w:rPr>
            </w:pPr>
          </w:p>
        </w:tc>
        <w:tc>
          <w:tcPr>
            <w:tcW w:w="0" w:type="auto"/>
            <w:vAlign w:val="center"/>
            <w:hideMark/>
          </w:tcPr>
          <w:p w14:paraId="3C56AD3A" w14:textId="77777777" w:rsidR="00000000" w:rsidRDefault="00A173A8">
            <w:pPr>
              <w:spacing w:after="100"/>
              <w:jc w:val="right"/>
              <w:rPr>
                <w:rFonts w:eastAsia="Times New Roman"/>
                <w:sz w:val="20"/>
                <w:szCs w:val="20"/>
              </w:rPr>
            </w:pPr>
          </w:p>
        </w:tc>
        <w:tc>
          <w:tcPr>
            <w:tcW w:w="0" w:type="auto"/>
            <w:vAlign w:val="center"/>
            <w:hideMark/>
          </w:tcPr>
          <w:p w14:paraId="64404DE1" w14:textId="77777777" w:rsidR="00000000" w:rsidRDefault="00A173A8">
            <w:pPr>
              <w:spacing w:after="100"/>
              <w:rPr>
                <w:rFonts w:eastAsia="Times New Roman"/>
                <w:sz w:val="20"/>
                <w:szCs w:val="20"/>
              </w:rPr>
            </w:pPr>
          </w:p>
        </w:tc>
        <w:tc>
          <w:tcPr>
            <w:tcW w:w="0" w:type="auto"/>
            <w:gridSpan w:val="3"/>
            <w:vAlign w:val="center"/>
            <w:hideMark/>
          </w:tcPr>
          <w:p w14:paraId="11F89957" w14:textId="77777777" w:rsidR="00000000" w:rsidRDefault="00A173A8">
            <w:pPr>
              <w:spacing w:after="100"/>
              <w:rPr>
                <w:rFonts w:eastAsia="Times New Roman"/>
                <w:sz w:val="20"/>
                <w:szCs w:val="20"/>
              </w:rPr>
            </w:pPr>
          </w:p>
        </w:tc>
        <w:tc>
          <w:tcPr>
            <w:tcW w:w="0" w:type="auto"/>
            <w:gridSpan w:val="3"/>
            <w:vAlign w:val="center"/>
            <w:hideMark/>
          </w:tcPr>
          <w:p w14:paraId="091F67F7" w14:textId="77777777" w:rsidR="00000000" w:rsidRDefault="00A173A8">
            <w:pPr>
              <w:spacing w:after="100"/>
              <w:rPr>
                <w:rFonts w:eastAsia="Times New Roman"/>
                <w:sz w:val="20"/>
                <w:szCs w:val="20"/>
              </w:rPr>
            </w:pPr>
          </w:p>
        </w:tc>
        <w:tc>
          <w:tcPr>
            <w:tcW w:w="0" w:type="auto"/>
            <w:gridSpan w:val="3"/>
            <w:vAlign w:val="center"/>
            <w:hideMark/>
          </w:tcPr>
          <w:p w14:paraId="14E41B8A" w14:textId="77777777" w:rsidR="00000000" w:rsidRDefault="00A173A8">
            <w:pPr>
              <w:spacing w:after="100"/>
              <w:rPr>
                <w:rFonts w:eastAsia="Times New Roman"/>
                <w:sz w:val="20"/>
                <w:szCs w:val="20"/>
              </w:rPr>
            </w:pPr>
          </w:p>
        </w:tc>
        <w:tc>
          <w:tcPr>
            <w:tcW w:w="0" w:type="auto"/>
            <w:gridSpan w:val="3"/>
            <w:vAlign w:val="center"/>
            <w:hideMark/>
          </w:tcPr>
          <w:p w14:paraId="0E014870" w14:textId="77777777" w:rsidR="00000000" w:rsidRDefault="00A173A8">
            <w:pPr>
              <w:spacing w:after="100"/>
              <w:rPr>
                <w:rFonts w:eastAsia="Times New Roman"/>
                <w:sz w:val="20"/>
                <w:szCs w:val="20"/>
              </w:rPr>
            </w:pPr>
          </w:p>
        </w:tc>
      </w:tr>
      <w:tr w:rsidR="00000000" w14:paraId="0D08F8A3" w14:textId="77777777">
        <w:trPr>
          <w:divId w:val="2062704384"/>
        </w:trPr>
        <w:tc>
          <w:tcPr>
            <w:tcW w:w="0" w:type="auto"/>
            <w:gridSpan w:val="3"/>
            <w:shd w:val="clear" w:color="auto" w:fill="FFFFFF"/>
            <w:tcMar>
              <w:top w:w="30" w:type="dxa"/>
              <w:left w:w="20" w:type="dxa"/>
              <w:bottom w:w="30" w:type="dxa"/>
              <w:right w:w="20" w:type="dxa"/>
            </w:tcMar>
            <w:vAlign w:val="center"/>
            <w:hideMark/>
          </w:tcPr>
          <w:p w14:paraId="01826C98" w14:textId="77777777" w:rsidR="00000000" w:rsidRDefault="00A173A8">
            <w:pPr>
              <w:spacing w:after="100"/>
              <w:divId w:val="370035227"/>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38CAF2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7274966" w14:textId="77777777" w:rsidR="00000000" w:rsidRDefault="00A173A8">
            <w:pPr>
              <w:spacing w:after="100"/>
              <w:jc w:val="right"/>
              <w:rPr>
                <w:rFonts w:eastAsia="Times New Roman"/>
              </w:rPr>
            </w:pPr>
            <w:r>
              <w:rPr>
                <w:rFonts w:eastAsia="Times New Roman"/>
                <w:b/>
                <w:bCs/>
                <w:color w:val="000000"/>
                <w:sz w:val="20"/>
                <w:szCs w:val="20"/>
              </w:rPr>
              <w:t>88,136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937AD2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FB46C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D7194E" w14:textId="77777777" w:rsidR="00000000" w:rsidRDefault="00A173A8">
            <w:pPr>
              <w:spacing w:after="100"/>
              <w:jc w:val="right"/>
              <w:rPr>
                <w:rFonts w:eastAsia="Times New Roman"/>
              </w:rPr>
            </w:pPr>
            <w:r>
              <w:rPr>
                <w:rFonts w:eastAsia="Times New Roman"/>
                <w:b/>
                <w:bCs/>
                <w:color w:val="000000"/>
                <w:sz w:val="20"/>
                <w:szCs w:val="20"/>
              </w:rPr>
              <w:t>1,287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FF2BD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A9ED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8CBBE7" w14:textId="77777777" w:rsidR="00000000" w:rsidRDefault="00A173A8">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3117B4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B38EB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76CB3D" w14:textId="77777777" w:rsidR="00000000" w:rsidRDefault="00A173A8">
            <w:pPr>
              <w:spacing w:after="100"/>
              <w:jc w:val="right"/>
              <w:rPr>
                <w:rFonts w:eastAsia="Times New Roman"/>
              </w:rPr>
            </w:pPr>
            <w:r>
              <w:rPr>
                <w:rFonts w:eastAsia="Times New Roman"/>
                <w:color w:val="000000"/>
                <w:sz w:val="20"/>
                <w:szCs w:val="20"/>
              </w:rPr>
              <w:t>74,927 </w:t>
            </w:r>
          </w:p>
        </w:tc>
        <w:tc>
          <w:tcPr>
            <w:tcW w:w="0" w:type="auto"/>
            <w:shd w:val="clear" w:color="auto" w:fill="FFFFFF"/>
            <w:tcMar>
              <w:top w:w="30" w:type="dxa"/>
              <w:left w:w="0" w:type="dxa"/>
              <w:bottom w:w="30" w:type="dxa"/>
              <w:right w:w="20" w:type="dxa"/>
            </w:tcMar>
            <w:vAlign w:val="center"/>
            <w:hideMark/>
          </w:tcPr>
          <w:p w14:paraId="1F5FA4F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7C43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3E2AF8" w14:textId="77777777" w:rsidR="00000000" w:rsidRDefault="00A173A8">
            <w:pPr>
              <w:spacing w:after="100"/>
              <w:jc w:val="right"/>
              <w:rPr>
                <w:rFonts w:eastAsia="Times New Roman"/>
              </w:rPr>
            </w:pPr>
            <w:r>
              <w:rPr>
                <w:rFonts w:eastAsia="Times New Roman"/>
                <w:color w:val="000000"/>
                <w:sz w:val="20"/>
                <w:szCs w:val="20"/>
              </w:rPr>
              <w:t>1,026 </w:t>
            </w:r>
          </w:p>
        </w:tc>
        <w:tc>
          <w:tcPr>
            <w:tcW w:w="0" w:type="auto"/>
            <w:shd w:val="clear" w:color="auto" w:fill="FFFFFF"/>
            <w:tcMar>
              <w:top w:w="30" w:type="dxa"/>
              <w:left w:w="0" w:type="dxa"/>
              <w:bottom w:w="30" w:type="dxa"/>
              <w:right w:w="20" w:type="dxa"/>
            </w:tcMar>
            <w:vAlign w:val="center"/>
            <w:hideMark/>
          </w:tcPr>
          <w:p w14:paraId="63035B8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A8E4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900909" w14:textId="77777777" w:rsidR="00000000" w:rsidRDefault="00A173A8">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center"/>
            <w:hideMark/>
          </w:tcPr>
          <w:p w14:paraId="61B78BAA" w14:textId="77777777" w:rsidR="00000000" w:rsidRDefault="00A173A8">
            <w:pPr>
              <w:spacing w:after="100"/>
              <w:jc w:val="right"/>
              <w:rPr>
                <w:rFonts w:eastAsia="Times New Roman"/>
              </w:rPr>
            </w:pPr>
          </w:p>
        </w:tc>
        <w:tc>
          <w:tcPr>
            <w:tcW w:w="0" w:type="auto"/>
            <w:vAlign w:val="center"/>
            <w:hideMark/>
          </w:tcPr>
          <w:p w14:paraId="5975DA17" w14:textId="77777777" w:rsidR="00000000" w:rsidRDefault="00A173A8">
            <w:pPr>
              <w:spacing w:after="100"/>
              <w:jc w:val="right"/>
              <w:rPr>
                <w:rFonts w:eastAsia="Times New Roman"/>
                <w:sz w:val="20"/>
                <w:szCs w:val="20"/>
              </w:rPr>
            </w:pPr>
          </w:p>
        </w:tc>
        <w:tc>
          <w:tcPr>
            <w:tcW w:w="0" w:type="auto"/>
            <w:vAlign w:val="center"/>
            <w:hideMark/>
          </w:tcPr>
          <w:p w14:paraId="193C7C53" w14:textId="77777777" w:rsidR="00000000" w:rsidRDefault="00A173A8">
            <w:pPr>
              <w:spacing w:after="100"/>
              <w:rPr>
                <w:rFonts w:eastAsia="Times New Roman"/>
                <w:sz w:val="20"/>
                <w:szCs w:val="20"/>
              </w:rPr>
            </w:pPr>
          </w:p>
        </w:tc>
        <w:tc>
          <w:tcPr>
            <w:tcW w:w="0" w:type="auto"/>
            <w:gridSpan w:val="3"/>
            <w:vAlign w:val="center"/>
            <w:hideMark/>
          </w:tcPr>
          <w:p w14:paraId="407A3912" w14:textId="77777777" w:rsidR="00000000" w:rsidRDefault="00A173A8">
            <w:pPr>
              <w:spacing w:after="100"/>
              <w:rPr>
                <w:rFonts w:eastAsia="Times New Roman"/>
                <w:sz w:val="20"/>
                <w:szCs w:val="20"/>
              </w:rPr>
            </w:pPr>
          </w:p>
        </w:tc>
        <w:tc>
          <w:tcPr>
            <w:tcW w:w="0" w:type="auto"/>
            <w:gridSpan w:val="3"/>
            <w:vAlign w:val="center"/>
            <w:hideMark/>
          </w:tcPr>
          <w:p w14:paraId="2BEC34DE" w14:textId="77777777" w:rsidR="00000000" w:rsidRDefault="00A173A8">
            <w:pPr>
              <w:spacing w:after="100"/>
              <w:rPr>
                <w:rFonts w:eastAsia="Times New Roman"/>
                <w:sz w:val="20"/>
                <w:szCs w:val="20"/>
              </w:rPr>
            </w:pPr>
          </w:p>
        </w:tc>
        <w:tc>
          <w:tcPr>
            <w:tcW w:w="0" w:type="auto"/>
            <w:gridSpan w:val="3"/>
            <w:vAlign w:val="center"/>
            <w:hideMark/>
          </w:tcPr>
          <w:p w14:paraId="1FB4ED83" w14:textId="77777777" w:rsidR="00000000" w:rsidRDefault="00A173A8">
            <w:pPr>
              <w:spacing w:after="100"/>
              <w:rPr>
                <w:rFonts w:eastAsia="Times New Roman"/>
                <w:sz w:val="20"/>
                <w:szCs w:val="20"/>
              </w:rPr>
            </w:pPr>
          </w:p>
        </w:tc>
        <w:tc>
          <w:tcPr>
            <w:tcW w:w="0" w:type="auto"/>
            <w:gridSpan w:val="3"/>
            <w:vAlign w:val="center"/>
            <w:hideMark/>
          </w:tcPr>
          <w:p w14:paraId="7B086B4A" w14:textId="77777777" w:rsidR="00000000" w:rsidRDefault="00A173A8">
            <w:pPr>
              <w:spacing w:after="100"/>
              <w:rPr>
                <w:rFonts w:eastAsia="Times New Roman"/>
                <w:sz w:val="20"/>
                <w:szCs w:val="20"/>
              </w:rPr>
            </w:pPr>
          </w:p>
        </w:tc>
      </w:tr>
      <w:tr w:rsidR="00000000" w14:paraId="39D1DB00" w14:textId="77777777">
        <w:trPr>
          <w:divId w:val="2062704384"/>
        </w:trPr>
        <w:tc>
          <w:tcPr>
            <w:tcW w:w="0" w:type="auto"/>
            <w:gridSpan w:val="3"/>
            <w:shd w:val="clear" w:color="auto" w:fill="CCEEFF"/>
            <w:tcMar>
              <w:top w:w="30" w:type="dxa"/>
              <w:left w:w="20" w:type="dxa"/>
              <w:bottom w:w="30" w:type="dxa"/>
              <w:right w:w="20" w:type="dxa"/>
            </w:tcMar>
            <w:vAlign w:val="center"/>
            <w:hideMark/>
          </w:tcPr>
          <w:p w14:paraId="2C373758" w14:textId="77777777" w:rsidR="00000000" w:rsidRDefault="00A173A8">
            <w:pPr>
              <w:spacing w:after="100"/>
              <w:divId w:val="187187442"/>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D52F24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2264AD0" w14:textId="77777777" w:rsidR="00000000" w:rsidRDefault="00A173A8">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210FB6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9A99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3AB88D" w14:textId="77777777" w:rsidR="00000000" w:rsidRDefault="00A173A8">
            <w:pPr>
              <w:spacing w:after="100"/>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3C6DEC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C55C5"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4536798"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EBA03F7"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36FB16"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54B6B7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659F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975417" w14:textId="77777777" w:rsidR="00000000" w:rsidRDefault="00A173A8">
            <w:pPr>
              <w:spacing w:after="100"/>
              <w:jc w:val="right"/>
              <w:rPr>
                <w:rFonts w:eastAsia="Times New Roman"/>
              </w:rPr>
            </w:pPr>
            <w:r>
              <w:rPr>
                <w:rFonts w:eastAsia="Times New Roman"/>
                <w:color w:val="000000"/>
                <w:sz w:val="20"/>
                <w:szCs w:val="20"/>
              </w:rPr>
              <w:t>436 </w:t>
            </w:r>
          </w:p>
        </w:tc>
        <w:tc>
          <w:tcPr>
            <w:tcW w:w="0" w:type="auto"/>
            <w:shd w:val="clear" w:color="auto" w:fill="CCEEFF"/>
            <w:tcMar>
              <w:top w:w="30" w:type="dxa"/>
              <w:left w:w="0" w:type="dxa"/>
              <w:bottom w:w="30" w:type="dxa"/>
              <w:right w:w="20" w:type="dxa"/>
            </w:tcMar>
            <w:vAlign w:val="center"/>
            <w:hideMark/>
          </w:tcPr>
          <w:p w14:paraId="5681E91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734E6"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6B1541D4"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298B5FE6" w14:textId="77777777" w:rsidR="00000000" w:rsidRDefault="00A173A8">
            <w:pPr>
              <w:spacing w:after="100"/>
              <w:jc w:val="right"/>
              <w:rPr>
                <w:rFonts w:eastAsia="Times New Roman"/>
              </w:rPr>
            </w:pPr>
          </w:p>
        </w:tc>
        <w:tc>
          <w:tcPr>
            <w:tcW w:w="0" w:type="auto"/>
            <w:vAlign w:val="center"/>
            <w:hideMark/>
          </w:tcPr>
          <w:p w14:paraId="62EAB406" w14:textId="77777777" w:rsidR="00000000" w:rsidRDefault="00A173A8">
            <w:pPr>
              <w:spacing w:after="100"/>
              <w:rPr>
                <w:rFonts w:eastAsia="Times New Roman"/>
                <w:sz w:val="20"/>
                <w:szCs w:val="20"/>
              </w:rPr>
            </w:pPr>
          </w:p>
        </w:tc>
        <w:tc>
          <w:tcPr>
            <w:tcW w:w="0" w:type="auto"/>
            <w:gridSpan w:val="3"/>
            <w:vAlign w:val="center"/>
            <w:hideMark/>
          </w:tcPr>
          <w:p w14:paraId="6109303B" w14:textId="77777777" w:rsidR="00000000" w:rsidRDefault="00A173A8">
            <w:pPr>
              <w:spacing w:after="100"/>
              <w:rPr>
                <w:rFonts w:eastAsia="Times New Roman"/>
                <w:sz w:val="20"/>
                <w:szCs w:val="20"/>
              </w:rPr>
            </w:pPr>
          </w:p>
        </w:tc>
        <w:tc>
          <w:tcPr>
            <w:tcW w:w="0" w:type="auto"/>
            <w:gridSpan w:val="3"/>
            <w:vAlign w:val="center"/>
            <w:hideMark/>
          </w:tcPr>
          <w:p w14:paraId="388C3069" w14:textId="77777777" w:rsidR="00000000" w:rsidRDefault="00A173A8">
            <w:pPr>
              <w:spacing w:after="100"/>
              <w:rPr>
                <w:rFonts w:eastAsia="Times New Roman"/>
                <w:sz w:val="20"/>
                <w:szCs w:val="20"/>
              </w:rPr>
            </w:pPr>
          </w:p>
        </w:tc>
        <w:tc>
          <w:tcPr>
            <w:tcW w:w="0" w:type="auto"/>
            <w:gridSpan w:val="3"/>
            <w:vAlign w:val="center"/>
            <w:hideMark/>
          </w:tcPr>
          <w:p w14:paraId="7529F1FA" w14:textId="77777777" w:rsidR="00000000" w:rsidRDefault="00A173A8">
            <w:pPr>
              <w:spacing w:after="100"/>
              <w:rPr>
                <w:rFonts w:eastAsia="Times New Roman"/>
                <w:sz w:val="20"/>
                <w:szCs w:val="20"/>
              </w:rPr>
            </w:pPr>
          </w:p>
        </w:tc>
        <w:tc>
          <w:tcPr>
            <w:tcW w:w="0" w:type="auto"/>
            <w:gridSpan w:val="3"/>
            <w:vAlign w:val="center"/>
            <w:hideMark/>
          </w:tcPr>
          <w:p w14:paraId="6534E8BF" w14:textId="77777777" w:rsidR="00000000" w:rsidRDefault="00A173A8">
            <w:pPr>
              <w:spacing w:after="100"/>
              <w:rPr>
                <w:rFonts w:eastAsia="Times New Roman"/>
                <w:sz w:val="20"/>
                <w:szCs w:val="20"/>
              </w:rPr>
            </w:pPr>
          </w:p>
        </w:tc>
      </w:tr>
      <w:tr w:rsidR="00000000" w14:paraId="2A489B58" w14:textId="77777777">
        <w:trPr>
          <w:divId w:val="2062704384"/>
        </w:trPr>
        <w:tc>
          <w:tcPr>
            <w:tcW w:w="0" w:type="auto"/>
            <w:gridSpan w:val="3"/>
            <w:shd w:val="clear" w:color="auto" w:fill="FFFFFF"/>
            <w:tcMar>
              <w:top w:w="30" w:type="dxa"/>
              <w:left w:w="20" w:type="dxa"/>
              <w:bottom w:w="30" w:type="dxa"/>
              <w:right w:w="20" w:type="dxa"/>
            </w:tcMar>
            <w:vAlign w:val="center"/>
            <w:hideMark/>
          </w:tcPr>
          <w:p w14:paraId="42CB7341" w14:textId="77777777" w:rsidR="00000000" w:rsidRDefault="00A173A8">
            <w:pPr>
              <w:spacing w:after="100"/>
              <w:rPr>
                <w:rFonts w:eastAsia="Times New Roman"/>
              </w:rPr>
            </w:pPr>
            <w:r>
              <w:rPr>
                <w:rFonts w:eastAsia="Times New Roman"/>
                <w:color w:val="000000"/>
                <w:sz w:val="20"/>
                <w:szCs w:val="20"/>
              </w:rPr>
              <w:t>Total loans, including loans held for sale</w:t>
            </w:r>
          </w:p>
        </w:tc>
        <w:tc>
          <w:tcPr>
            <w:tcW w:w="0" w:type="auto"/>
            <w:gridSpan w:val="3"/>
            <w:shd w:val="clear" w:color="auto" w:fill="FFFFFF"/>
            <w:tcMar>
              <w:top w:w="0" w:type="dxa"/>
              <w:left w:w="20" w:type="dxa"/>
              <w:bottom w:w="0" w:type="dxa"/>
              <w:right w:w="20" w:type="dxa"/>
            </w:tcMar>
            <w:vAlign w:val="center"/>
            <w:hideMark/>
          </w:tcPr>
          <w:p w14:paraId="12115FCE"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F95177C" w14:textId="77777777" w:rsidR="00000000" w:rsidRDefault="00A173A8">
            <w:pPr>
              <w:spacing w:after="100"/>
              <w:jc w:val="right"/>
              <w:rPr>
                <w:rFonts w:eastAsia="Times New Roman"/>
              </w:rPr>
            </w:pPr>
            <w:r>
              <w:rPr>
                <w:rFonts w:eastAsia="Times New Roman"/>
                <w:b/>
                <w:bCs/>
                <w:color w:val="000000"/>
                <w:sz w:val="20"/>
                <w:szCs w:val="20"/>
              </w:rPr>
              <w:t>283,100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B2CBF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8578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D523C0B" w14:textId="77777777" w:rsidR="00000000" w:rsidRDefault="00A173A8">
            <w:pPr>
              <w:spacing w:after="100"/>
              <w:jc w:val="right"/>
              <w:rPr>
                <w:rFonts w:eastAsia="Times New Roman"/>
              </w:rPr>
            </w:pPr>
            <w:r>
              <w:rPr>
                <w:rFonts w:eastAsia="Times New Roman"/>
                <w:b/>
                <w:bCs/>
                <w:color w:val="000000"/>
                <w:sz w:val="20"/>
                <w:szCs w:val="20"/>
              </w:rPr>
              <w:t>12,972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6D64AB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D045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9CE18A" w14:textId="77777777" w:rsidR="00000000" w:rsidRDefault="00A173A8">
            <w:pPr>
              <w:spacing w:after="100"/>
              <w:jc w:val="right"/>
              <w:rPr>
                <w:rFonts w:eastAsia="Times New Roman"/>
              </w:rPr>
            </w:pPr>
            <w:r>
              <w:rPr>
                <w:rFonts w:eastAsia="Times New Roman"/>
                <w:b/>
                <w:bCs/>
                <w:color w:val="000000"/>
                <w:sz w:val="20"/>
                <w:szCs w:val="20"/>
              </w:rPr>
              <w:t>9.16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B8533B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EB3E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4E76687" w14:textId="77777777" w:rsidR="00000000" w:rsidRDefault="00A173A8">
            <w:pPr>
              <w:spacing w:after="100"/>
              <w:jc w:val="right"/>
              <w:rPr>
                <w:rFonts w:eastAsia="Times New Roman"/>
              </w:rPr>
            </w:pPr>
            <w:r>
              <w:rPr>
                <w:rFonts w:eastAsia="Times New Roman"/>
                <w:color w:val="000000"/>
                <w:sz w:val="20"/>
                <w:szCs w:val="20"/>
              </w:rPr>
              <w:t>247,984 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550DD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04E1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C18F0A" w14:textId="77777777" w:rsidR="00000000" w:rsidRDefault="00A173A8">
            <w:pPr>
              <w:spacing w:after="100"/>
              <w:jc w:val="right"/>
              <w:rPr>
                <w:rFonts w:eastAsia="Times New Roman"/>
              </w:rPr>
            </w:pPr>
            <w:r>
              <w:rPr>
                <w:rFonts w:eastAsia="Times New Roman"/>
                <w:color w:val="000000"/>
                <w:sz w:val="20"/>
                <w:szCs w:val="20"/>
              </w:rPr>
              <w:t>11,607 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9971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2509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2AA764" w14:textId="77777777" w:rsidR="00000000" w:rsidRDefault="00A173A8">
            <w:pPr>
              <w:spacing w:after="100"/>
              <w:jc w:val="right"/>
              <w:rPr>
                <w:rFonts w:eastAsia="Times New Roman"/>
              </w:rPr>
            </w:pPr>
            <w:r>
              <w:rPr>
                <w:rFonts w:eastAsia="Times New Roman"/>
                <w:color w:val="000000"/>
                <w:sz w:val="20"/>
                <w:szCs w:val="20"/>
              </w:rPr>
              <w:t>9.36 </w:t>
            </w:r>
          </w:p>
        </w:tc>
        <w:tc>
          <w:tcPr>
            <w:tcW w:w="0" w:type="auto"/>
            <w:shd w:val="clear" w:color="auto" w:fill="FFFFFF"/>
            <w:tcMar>
              <w:top w:w="30" w:type="dxa"/>
              <w:left w:w="0" w:type="dxa"/>
              <w:bottom w:w="30" w:type="dxa"/>
              <w:right w:w="20" w:type="dxa"/>
            </w:tcMar>
            <w:vAlign w:val="center"/>
            <w:hideMark/>
          </w:tcPr>
          <w:p w14:paraId="48648ECE" w14:textId="77777777" w:rsidR="00000000" w:rsidRDefault="00A173A8">
            <w:pPr>
              <w:spacing w:after="100"/>
              <w:jc w:val="right"/>
              <w:rPr>
                <w:rFonts w:eastAsia="Times New Roman"/>
              </w:rPr>
            </w:pPr>
          </w:p>
        </w:tc>
        <w:tc>
          <w:tcPr>
            <w:tcW w:w="0" w:type="auto"/>
            <w:vAlign w:val="center"/>
            <w:hideMark/>
          </w:tcPr>
          <w:p w14:paraId="54C748C1" w14:textId="77777777" w:rsidR="00000000" w:rsidRDefault="00A173A8">
            <w:pPr>
              <w:spacing w:after="100"/>
              <w:jc w:val="right"/>
              <w:rPr>
                <w:rFonts w:eastAsia="Times New Roman"/>
                <w:sz w:val="20"/>
                <w:szCs w:val="20"/>
              </w:rPr>
            </w:pPr>
          </w:p>
        </w:tc>
        <w:tc>
          <w:tcPr>
            <w:tcW w:w="0" w:type="auto"/>
            <w:vAlign w:val="center"/>
            <w:hideMark/>
          </w:tcPr>
          <w:p w14:paraId="7C3EFEBC" w14:textId="77777777" w:rsidR="00000000" w:rsidRDefault="00A173A8">
            <w:pPr>
              <w:spacing w:after="100"/>
              <w:rPr>
                <w:rFonts w:eastAsia="Times New Roman"/>
                <w:sz w:val="20"/>
                <w:szCs w:val="20"/>
              </w:rPr>
            </w:pPr>
          </w:p>
        </w:tc>
        <w:tc>
          <w:tcPr>
            <w:tcW w:w="0" w:type="auto"/>
            <w:gridSpan w:val="3"/>
            <w:vAlign w:val="center"/>
            <w:hideMark/>
          </w:tcPr>
          <w:p w14:paraId="17BF5E59" w14:textId="77777777" w:rsidR="00000000" w:rsidRDefault="00A173A8">
            <w:pPr>
              <w:spacing w:after="100"/>
              <w:rPr>
                <w:rFonts w:eastAsia="Times New Roman"/>
                <w:sz w:val="20"/>
                <w:szCs w:val="20"/>
              </w:rPr>
            </w:pPr>
          </w:p>
        </w:tc>
        <w:tc>
          <w:tcPr>
            <w:tcW w:w="0" w:type="auto"/>
            <w:gridSpan w:val="3"/>
            <w:vAlign w:val="center"/>
            <w:hideMark/>
          </w:tcPr>
          <w:p w14:paraId="23932D1D" w14:textId="77777777" w:rsidR="00000000" w:rsidRDefault="00A173A8">
            <w:pPr>
              <w:spacing w:after="100"/>
              <w:rPr>
                <w:rFonts w:eastAsia="Times New Roman"/>
                <w:sz w:val="20"/>
                <w:szCs w:val="20"/>
              </w:rPr>
            </w:pPr>
          </w:p>
        </w:tc>
        <w:tc>
          <w:tcPr>
            <w:tcW w:w="0" w:type="auto"/>
            <w:gridSpan w:val="3"/>
            <w:vAlign w:val="center"/>
            <w:hideMark/>
          </w:tcPr>
          <w:p w14:paraId="60366E86" w14:textId="77777777" w:rsidR="00000000" w:rsidRDefault="00A173A8">
            <w:pPr>
              <w:spacing w:after="100"/>
              <w:rPr>
                <w:rFonts w:eastAsia="Times New Roman"/>
                <w:sz w:val="20"/>
                <w:szCs w:val="20"/>
              </w:rPr>
            </w:pPr>
          </w:p>
        </w:tc>
        <w:tc>
          <w:tcPr>
            <w:tcW w:w="0" w:type="auto"/>
            <w:gridSpan w:val="3"/>
            <w:vAlign w:val="center"/>
            <w:hideMark/>
          </w:tcPr>
          <w:p w14:paraId="233B0557" w14:textId="77777777" w:rsidR="00000000" w:rsidRDefault="00A173A8">
            <w:pPr>
              <w:spacing w:after="100"/>
              <w:rPr>
                <w:rFonts w:eastAsia="Times New Roman"/>
                <w:sz w:val="20"/>
                <w:szCs w:val="20"/>
              </w:rPr>
            </w:pPr>
          </w:p>
        </w:tc>
      </w:tr>
      <w:tr w:rsidR="00000000" w14:paraId="314E4742" w14:textId="77777777">
        <w:trPr>
          <w:divId w:val="2062704384"/>
        </w:trPr>
        <w:tc>
          <w:tcPr>
            <w:tcW w:w="0" w:type="auto"/>
            <w:gridSpan w:val="3"/>
            <w:shd w:val="clear" w:color="auto" w:fill="CCEEFF"/>
            <w:tcMar>
              <w:top w:w="30" w:type="dxa"/>
              <w:left w:w="20" w:type="dxa"/>
              <w:bottom w:w="30" w:type="dxa"/>
              <w:right w:w="20" w:type="dxa"/>
            </w:tcMar>
            <w:vAlign w:val="center"/>
            <w:hideMark/>
          </w:tcPr>
          <w:p w14:paraId="3E7C5669" w14:textId="77777777" w:rsidR="00000000" w:rsidRDefault="00A173A8">
            <w:pPr>
              <w:spacing w:after="100"/>
              <w:rPr>
                <w:rFonts w:eastAsia="Times New Roman"/>
              </w:rPr>
            </w:pPr>
            <w:r>
              <w:rPr>
                <w:rFonts w:eastAsia="Times New Roman"/>
                <w:color w:val="000000"/>
                <w:sz w:val="20"/>
                <w:szCs w:val="20"/>
              </w:rPr>
              <w:t>Investment securities</w:t>
            </w:r>
          </w:p>
        </w:tc>
        <w:tc>
          <w:tcPr>
            <w:tcW w:w="0" w:type="auto"/>
            <w:gridSpan w:val="3"/>
            <w:shd w:val="clear" w:color="auto" w:fill="CCEEFF"/>
            <w:tcMar>
              <w:top w:w="0" w:type="dxa"/>
              <w:left w:w="20" w:type="dxa"/>
              <w:bottom w:w="0" w:type="dxa"/>
              <w:right w:w="20" w:type="dxa"/>
            </w:tcMar>
            <w:vAlign w:val="center"/>
            <w:hideMark/>
          </w:tcPr>
          <w:p w14:paraId="430BD30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7AADDE7" w14:textId="77777777" w:rsidR="00000000" w:rsidRDefault="00A173A8">
            <w:pPr>
              <w:spacing w:after="100"/>
              <w:jc w:val="right"/>
              <w:rPr>
                <w:rFonts w:eastAsia="Times New Roman"/>
              </w:rPr>
            </w:pPr>
            <w:r>
              <w:rPr>
                <w:rFonts w:eastAsia="Times New Roman"/>
                <w:b/>
                <w:bCs/>
                <w:color w:val="000000"/>
                <w:sz w:val="20"/>
                <w:szCs w:val="20"/>
              </w:rPr>
              <w:t>93,374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10FA92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92CE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9BD3A2" w14:textId="77777777" w:rsidR="00000000" w:rsidRDefault="00A173A8">
            <w:pPr>
              <w:spacing w:after="100"/>
              <w:jc w:val="right"/>
              <w:rPr>
                <w:rFonts w:eastAsia="Times New Roman"/>
              </w:rPr>
            </w:pPr>
            <w:r>
              <w:rPr>
                <w:rFonts w:eastAsia="Times New Roman"/>
                <w:b/>
                <w:bCs/>
                <w:color w:val="000000"/>
                <w:sz w:val="20"/>
                <w:szCs w:val="20"/>
              </w:rPr>
              <w:t>837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312DF8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5B9D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878D15" w14:textId="77777777" w:rsidR="00000000" w:rsidRDefault="00A173A8">
            <w:pPr>
              <w:spacing w:after="100"/>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D3C218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DF30D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621B50" w14:textId="77777777" w:rsidR="00000000" w:rsidRDefault="00A173A8">
            <w:pPr>
              <w:spacing w:after="100"/>
              <w:jc w:val="right"/>
              <w:rPr>
                <w:rFonts w:eastAsia="Times New Roman"/>
              </w:rPr>
            </w:pPr>
            <w:r>
              <w:rPr>
                <w:rFonts w:eastAsia="Times New Roman"/>
                <w:color w:val="000000"/>
                <w:sz w:val="20"/>
                <w:szCs w:val="20"/>
              </w:rPr>
              <w:t>99,189 </w:t>
            </w:r>
          </w:p>
        </w:tc>
        <w:tc>
          <w:tcPr>
            <w:tcW w:w="0" w:type="auto"/>
            <w:shd w:val="clear" w:color="auto" w:fill="CCEEFF"/>
            <w:tcMar>
              <w:top w:w="30" w:type="dxa"/>
              <w:left w:w="0" w:type="dxa"/>
              <w:bottom w:w="30" w:type="dxa"/>
              <w:right w:w="20" w:type="dxa"/>
            </w:tcMar>
            <w:vAlign w:val="center"/>
            <w:hideMark/>
          </w:tcPr>
          <w:p w14:paraId="0DBEADD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012E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8132A7" w14:textId="77777777" w:rsidR="00000000" w:rsidRDefault="00A173A8">
            <w:pPr>
              <w:spacing w:after="100"/>
              <w:jc w:val="right"/>
              <w:rPr>
                <w:rFonts w:eastAsia="Times New Roman"/>
              </w:rPr>
            </w:pPr>
            <w:r>
              <w:rPr>
                <w:rFonts w:eastAsia="Times New Roman"/>
                <w:color w:val="000000"/>
                <w:sz w:val="20"/>
                <w:szCs w:val="20"/>
              </w:rPr>
              <w:t>761 </w:t>
            </w:r>
          </w:p>
        </w:tc>
        <w:tc>
          <w:tcPr>
            <w:tcW w:w="0" w:type="auto"/>
            <w:shd w:val="clear" w:color="auto" w:fill="CCEEFF"/>
            <w:tcMar>
              <w:top w:w="30" w:type="dxa"/>
              <w:left w:w="0" w:type="dxa"/>
              <w:bottom w:w="30" w:type="dxa"/>
              <w:right w:w="20" w:type="dxa"/>
            </w:tcMar>
            <w:vAlign w:val="center"/>
            <w:hideMark/>
          </w:tcPr>
          <w:p w14:paraId="7B81269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B2DE6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0AE404" w14:textId="77777777" w:rsidR="00000000" w:rsidRDefault="00A173A8">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center"/>
            <w:hideMark/>
          </w:tcPr>
          <w:p w14:paraId="25DA5C0D" w14:textId="77777777" w:rsidR="00000000" w:rsidRDefault="00A173A8">
            <w:pPr>
              <w:spacing w:after="100"/>
              <w:jc w:val="right"/>
              <w:rPr>
                <w:rFonts w:eastAsia="Times New Roman"/>
              </w:rPr>
            </w:pPr>
          </w:p>
        </w:tc>
        <w:tc>
          <w:tcPr>
            <w:tcW w:w="0" w:type="auto"/>
            <w:vAlign w:val="center"/>
            <w:hideMark/>
          </w:tcPr>
          <w:p w14:paraId="450A1618" w14:textId="77777777" w:rsidR="00000000" w:rsidRDefault="00A173A8">
            <w:pPr>
              <w:spacing w:after="100"/>
              <w:jc w:val="right"/>
              <w:rPr>
                <w:rFonts w:eastAsia="Times New Roman"/>
                <w:sz w:val="20"/>
                <w:szCs w:val="20"/>
              </w:rPr>
            </w:pPr>
          </w:p>
        </w:tc>
        <w:tc>
          <w:tcPr>
            <w:tcW w:w="0" w:type="auto"/>
            <w:vAlign w:val="center"/>
            <w:hideMark/>
          </w:tcPr>
          <w:p w14:paraId="2EFE797A" w14:textId="77777777" w:rsidR="00000000" w:rsidRDefault="00A173A8">
            <w:pPr>
              <w:spacing w:after="100"/>
              <w:rPr>
                <w:rFonts w:eastAsia="Times New Roman"/>
                <w:sz w:val="20"/>
                <w:szCs w:val="20"/>
              </w:rPr>
            </w:pPr>
          </w:p>
        </w:tc>
        <w:tc>
          <w:tcPr>
            <w:tcW w:w="0" w:type="auto"/>
            <w:gridSpan w:val="3"/>
            <w:vAlign w:val="center"/>
            <w:hideMark/>
          </w:tcPr>
          <w:p w14:paraId="7387003A" w14:textId="77777777" w:rsidR="00000000" w:rsidRDefault="00A173A8">
            <w:pPr>
              <w:spacing w:after="100"/>
              <w:rPr>
                <w:rFonts w:eastAsia="Times New Roman"/>
                <w:sz w:val="20"/>
                <w:szCs w:val="20"/>
              </w:rPr>
            </w:pPr>
          </w:p>
        </w:tc>
        <w:tc>
          <w:tcPr>
            <w:tcW w:w="0" w:type="auto"/>
            <w:gridSpan w:val="3"/>
            <w:vAlign w:val="center"/>
            <w:hideMark/>
          </w:tcPr>
          <w:p w14:paraId="1D20B924" w14:textId="77777777" w:rsidR="00000000" w:rsidRDefault="00A173A8">
            <w:pPr>
              <w:spacing w:after="100"/>
              <w:rPr>
                <w:rFonts w:eastAsia="Times New Roman"/>
                <w:sz w:val="20"/>
                <w:szCs w:val="20"/>
              </w:rPr>
            </w:pPr>
          </w:p>
        </w:tc>
        <w:tc>
          <w:tcPr>
            <w:tcW w:w="0" w:type="auto"/>
            <w:gridSpan w:val="3"/>
            <w:vAlign w:val="center"/>
            <w:hideMark/>
          </w:tcPr>
          <w:p w14:paraId="0B6B6E87" w14:textId="77777777" w:rsidR="00000000" w:rsidRDefault="00A173A8">
            <w:pPr>
              <w:spacing w:after="100"/>
              <w:rPr>
                <w:rFonts w:eastAsia="Times New Roman"/>
                <w:sz w:val="20"/>
                <w:szCs w:val="20"/>
              </w:rPr>
            </w:pPr>
          </w:p>
        </w:tc>
        <w:tc>
          <w:tcPr>
            <w:tcW w:w="0" w:type="auto"/>
            <w:gridSpan w:val="3"/>
            <w:vAlign w:val="center"/>
            <w:hideMark/>
          </w:tcPr>
          <w:p w14:paraId="337BD95B" w14:textId="77777777" w:rsidR="00000000" w:rsidRDefault="00A173A8">
            <w:pPr>
              <w:spacing w:after="100"/>
              <w:rPr>
                <w:rFonts w:eastAsia="Times New Roman"/>
                <w:sz w:val="20"/>
                <w:szCs w:val="20"/>
              </w:rPr>
            </w:pPr>
          </w:p>
        </w:tc>
      </w:tr>
      <w:tr w:rsidR="00000000" w14:paraId="7C767F75" w14:textId="77777777">
        <w:trPr>
          <w:divId w:val="2062704384"/>
        </w:trPr>
        <w:tc>
          <w:tcPr>
            <w:tcW w:w="0" w:type="auto"/>
            <w:gridSpan w:val="3"/>
            <w:shd w:val="clear" w:color="auto" w:fill="FFFFFF"/>
            <w:tcMar>
              <w:top w:w="30" w:type="dxa"/>
              <w:left w:w="20" w:type="dxa"/>
              <w:bottom w:w="30" w:type="dxa"/>
              <w:right w:w="20" w:type="dxa"/>
            </w:tcMar>
            <w:vAlign w:val="center"/>
            <w:hideMark/>
          </w:tcPr>
          <w:p w14:paraId="23108898" w14:textId="77777777" w:rsidR="00000000" w:rsidRDefault="00A173A8">
            <w:pPr>
              <w:spacing w:after="100"/>
              <w:rPr>
                <w:rFonts w:eastAsia="Times New Roman"/>
              </w:rPr>
            </w:pPr>
            <w:r>
              <w:rPr>
                <w:rFonts w:eastAsia="Times New Roman"/>
                <w:color w:val="000000"/>
                <w:sz w:val="20"/>
                <w:szCs w:val="20"/>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14:paraId="4C54EBF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0EE084C" w14:textId="77777777" w:rsidR="00000000" w:rsidRDefault="00A173A8">
            <w:pPr>
              <w:spacing w:after="100"/>
              <w:jc w:val="right"/>
              <w:rPr>
                <w:rFonts w:eastAsia="Times New Roman"/>
              </w:rPr>
            </w:pPr>
            <w:r>
              <w:rPr>
                <w:rFonts w:eastAsia="Times New Roman"/>
                <w:b/>
                <w:bCs/>
                <w:color w:val="000000"/>
                <w:sz w:val="20"/>
                <w:szCs w:val="20"/>
              </w:rPr>
              <w:t>20,047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C13F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9D924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0231B8" w14:textId="77777777" w:rsidR="00000000" w:rsidRDefault="00A173A8">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3A3E0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6A78B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A707EE" w14:textId="77777777" w:rsidR="00000000" w:rsidRDefault="00A173A8">
            <w:pPr>
              <w:spacing w:after="100"/>
              <w:jc w:val="right"/>
              <w:rPr>
                <w:rFonts w:eastAsia="Times New Roman"/>
              </w:rPr>
            </w:pPr>
            <w:r>
              <w:rPr>
                <w:rFonts w:eastAsia="Times New Roman"/>
                <w:b/>
                <w:bCs/>
                <w:color w:val="000000"/>
                <w:sz w:val="20"/>
                <w:szCs w:val="20"/>
              </w:rPr>
              <w:t>0.69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E83FC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39B1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C2C855" w14:textId="77777777" w:rsidR="00000000" w:rsidRDefault="00A173A8">
            <w:pPr>
              <w:spacing w:after="100"/>
              <w:jc w:val="right"/>
              <w:rPr>
                <w:rFonts w:eastAsia="Times New Roman"/>
              </w:rPr>
            </w:pPr>
            <w:r>
              <w:rPr>
                <w:rFonts w:eastAsia="Times New Roman"/>
                <w:color w:val="000000"/>
                <w:sz w:val="20"/>
                <w:szCs w:val="20"/>
              </w:rPr>
              <w:t>42,182 </w:t>
            </w:r>
          </w:p>
        </w:tc>
        <w:tc>
          <w:tcPr>
            <w:tcW w:w="0" w:type="auto"/>
            <w:shd w:val="clear" w:color="auto" w:fill="FFFFFF"/>
            <w:tcMar>
              <w:top w:w="30" w:type="dxa"/>
              <w:left w:w="0" w:type="dxa"/>
              <w:bottom w:w="30" w:type="dxa"/>
              <w:right w:w="20" w:type="dxa"/>
            </w:tcMar>
            <w:vAlign w:val="bottom"/>
            <w:hideMark/>
          </w:tcPr>
          <w:p w14:paraId="488C371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9B7B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79727F" w14:textId="77777777" w:rsidR="00000000" w:rsidRDefault="00A173A8">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14:paraId="532A408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9BB4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927CE5" w14:textId="77777777" w:rsidR="00000000" w:rsidRDefault="00A173A8">
            <w:pPr>
              <w:spacing w:after="100"/>
              <w:jc w:val="right"/>
              <w:rPr>
                <w:rFonts w:eastAsia="Times New Roman"/>
              </w:rPr>
            </w:pPr>
            <w:r>
              <w:rPr>
                <w:rFonts w:eastAsia="Times New Roman"/>
                <w:color w:val="000000"/>
                <w:sz w:val="20"/>
                <w:szCs w:val="20"/>
              </w:rPr>
              <w:t>0.15 </w:t>
            </w:r>
          </w:p>
        </w:tc>
        <w:tc>
          <w:tcPr>
            <w:tcW w:w="0" w:type="auto"/>
            <w:shd w:val="clear" w:color="auto" w:fill="FFFFFF"/>
            <w:tcMar>
              <w:top w:w="30" w:type="dxa"/>
              <w:left w:w="0" w:type="dxa"/>
              <w:bottom w:w="30" w:type="dxa"/>
              <w:right w:w="20" w:type="dxa"/>
            </w:tcMar>
            <w:vAlign w:val="bottom"/>
            <w:hideMark/>
          </w:tcPr>
          <w:p w14:paraId="5FCE1875" w14:textId="77777777" w:rsidR="00000000" w:rsidRDefault="00A173A8">
            <w:pPr>
              <w:spacing w:after="100"/>
              <w:jc w:val="right"/>
              <w:rPr>
                <w:rFonts w:eastAsia="Times New Roman"/>
              </w:rPr>
            </w:pPr>
          </w:p>
        </w:tc>
        <w:tc>
          <w:tcPr>
            <w:tcW w:w="0" w:type="auto"/>
            <w:vAlign w:val="center"/>
            <w:hideMark/>
          </w:tcPr>
          <w:p w14:paraId="008D3459" w14:textId="77777777" w:rsidR="00000000" w:rsidRDefault="00A173A8">
            <w:pPr>
              <w:spacing w:after="100"/>
              <w:jc w:val="right"/>
              <w:rPr>
                <w:rFonts w:eastAsia="Times New Roman"/>
                <w:sz w:val="20"/>
                <w:szCs w:val="20"/>
              </w:rPr>
            </w:pPr>
          </w:p>
        </w:tc>
        <w:tc>
          <w:tcPr>
            <w:tcW w:w="0" w:type="auto"/>
            <w:vAlign w:val="center"/>
            <w:hideMark/>
          </w:tcPr>
          <w:p w14:paraId="441DE6C4" w14:textId="77777777" w:rsidR="00000000" w:rsidRDefault="00A173A8">
            <w:pPr>
              <w:spacing w:after="100"/>
              <w:rPr>
                <w:rFonts w:eastAsia="Times New Roman"/>
                <w:sz w:val="20"/>
                <w:szCs w:val="20"/>
              </w:rPr>
            </w:pPr>
          </w:p>
        </w:tc>
        <w:tc>
          <w:tcPr>
            <w:tcW w:w="0" w:type="auto"/>
            <w:gridSpan w:val="3"/>
            <w:vAlign w:val="center"/>
            <w:hideMark/>
          </w:tcPr>
          <w:p w14:paraId="4A2ABC07" w14:textId="77777777" w:rsidR="00000000" w:rsidRDefault="00A173A8">
            <w:pPr>
              <w:spacing w:after="100"/>
              <w:rPr>
                <w:rFonts w:eastAsia="Times New Roman"/>
                <w:sz w:val="20"/>
                <w:szCs w:val="20"/>
              </w:rPr>
            </w:pPr>
          </w:p>
        </w:tc>
        <w:tc>
          <w:tcPr>
            <w:tcW w:w="0" w:type="auto"/>
            <w:gridSpan w:val="3"/>
            <w:vAlign w:val="center"/>
            <w:hideMark/>
          </w:tcPr>
          <w:p w14:paraId="647C4124" w14:textId="77777777" w:rsidR="00000000" w:rsidRDefault="00A173A8">
            <w:pPr>
              <w:spacing w:after="100"/>
              <w:rPr>
                <w:rFonts w:eastAsia="Times New Roman"/>
                <w:sz w:val="20"/>
                <w:szCs w:val="20"/>
              </w:rPr>
            </w:pPr>
          </w:p>
        </w:tc>
        <w:tc>
          <w:tcPr>
            <w:tcW w:w="0" w:type="auto"/>
            <w:gridSpan w:val="3"/>
            <w:vAlign w:val="center"/>
            <w:hideMark/>
          </w:tcPr>
          <w:p w14:paraId="0DDBF1CD" w14:textId="77777777" w:rsidR="00000000" w:rsidRDefault="00A173A8">
            <w:pPr>
              <w:spacing w:after="100"/>
              <w:rPr>
                <w:rFonts w:eastAsia="Times New Roman"/>
                <w:sz w:val="20"/>
                <w:szCs w:val="20"/>
              </w:rPr>
            </w:pPr>
          </w:p>
        </w:tc>
        <w:tc>
          <w:tcPr>
            <w:tcW w:w="0" w:type="auto"/>
            <w:gridSpan w:val="3"/>
            <w:vAlign w:val="center"/>
            <w:hideMark/>
          </w:tcPr>
          <w:p w14:paraId="49D7F248" w14:textId="77777777" w:rsidR="00000000" w:rsidRDefault="00A173A8">
            <w:pPr>
              <w:spacing w:after="100"/>
              <w:rPr>
                <w:rFonts w:eastAsia="Times New Roman"/>
                <w:sz w:val="20"/>
                <w:szCs w:val="20"/>
              </w:rPr>
            </w:pPr>
          </w:p>
        </w:tc>
      </w:tr>
      <w:tr w:rsidR="00000000" w14:paraId="37D25D21" w14:textId="77777777">
        <w:trPr>
          <w:divId w:val="2062704384"/>
        </w:trPr>
        <w:tc>
          <w:tcPr>
            <w:tcW w:w="0" w:type="auto"/>
            <w:gridSpan w:val="3"/>
            <w:shd w:val="clear" w:color="auto" w:fill="CCEEFF"/>
            <w:tcMar>
              <w:top w:w="30" w:type="dxa"/>
              <w:left w:w="20" w:type="dxa"/>
              <w:bottom w:w="30" w:type="dxa"/>
              <w:right w:w="20" w:type="dxa"/>
            </w:tcMar>
            <w:vAlign w:val="center"/>
            <w:hideMark/>
          </w:tcPr>
          <w:p w14:paraId="69049A65" w14:textId="77777777" w:rsidR="00000000" w:rsidRDefault="00A173A8">
            <w:pPr>
              <w:spacing w:after="100"/>
              <w:rPr>
                <w:rFonts w:eastAsia="Times New Roman"/>
              </w:rPr>
            </w:pPr>
            <w:r>
              <w:rPr>
                <w:rFonts w:eastAsia="Times New Roman"/>
                <w:color w:val="000000"/>
                <w:sz w:val="20"/>
                <w:szCs w:val="20"/>
              </w:rPr>
              <w:t>Total interest-earning assets</w:t>
            </w:r>
          </w:p>
        </w:tc>
        <w:tc>
          <w:tcPr>
            <w:tcW w:w="0" w:type="auto"/>
            <w:gridSpan w:val="3"/>
            <w:shd w:val="clear" w:color="auto" w:fill="CCEEFF"/>
            <w:tcMar>
              <w:top w:w="0" w:type="dxa"/>
              <w:left w:w="20" w:type="dxa"/>
              <w:bottom w:w="0" w:type="dxa"/>
              <w:right w:w="20" w:type="dxa"/>
            </w:tcMar>
            <w:vAlign w:val="center"/>
            <w:hideMark/>
          </w:tcPr>
          <w:p w14:paraId="70A40E4C"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0C5723E" w14:textId="77777777" w:rsidR="00000000" w:rsidRDefault="00A173A8">
            <w:pPr>
              <w:spacing w:after="100"/>
              <w:jc w:val="right"/>
              <w:rPr>
                <w:rFonts w:eastAsia="Times New Roman"/>
              </w:rPr>
            </w:pPr>
            <w:r>
              <w:rPr>
                <w:rFonts w:eastAsia="Times New Roman"/>
                <w:b/>
                <w:bCs/>
                <w:color w:val="000000"/>
                <w:sz w:val="20"/>
                <w:szCs w:val="20"/>
              </w:rPr>
              <w:t>396,521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1BC9F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3DB9F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144BF7" w14:textId="77777777" w:rsidR="00000000" w:rsidRDefault="00A173A8">
            <w:pPr>
              <w:spacing w:after="100"/>
              <w:jc w:val="right"/>
              <w:rPr>
                <w:rFonts w:eastAsia="Times New Roman"/>
              </w:rPr>
            </w:pPr>
            <w:r>
              <w:rPr>
                <w:rFonts w:eastAsia="Times New Roman"/>
                <w:b/>
                <w:bCs/>
                <w:color w:val="000000"/>
                <w:sz w:val="20"/>
                <w:szCs w:val="20"/>
              </w:rPr>
              <w:t>13,879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B319A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BC3C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C1A3C6" w14:textId="77777777" w:rsidR="00000000" w:rsidRDefault="00A173A8">
            <w:pPr>
              <w:spacing w:after="100"/>
              <w:jc w:val="right"/>
              <w:rPr>
                <w:rFonts w:eastAsia="Times New Roman"/>
              </w:rPr>
            </w:pPr>
            <w:r>
              <w:rPr>
                <w:rFonts w:eastAsia="Times New Roman"/>
                <w:b/>
                <w:bCs/>
                <w:color w:val="000000"/>
                <w:sz w:val="20"/>
                <w:szCs w:val="20"/>
              </w:rPr>
              <w:t>7.00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BB4A2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CC908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1D06ED2" w14:textId="77777777" w:rsidR="00000000" w:rsidRDefault="00A173A8">
            <w:pPr>
              <w:spacing w:after="100"/>
              <w:jc w:val="right"/>
              <w:rPr>
                <w:rFonts w:eastAsia="Times New Roman"/>
              </w:rPr>
            </w:pPr>
            <w:r>
              <w:rPr>
                <w:rFonts w:eastAsia="Times New Roman"/>
                <w:color w:val="000000"/>
                <w:sz w:val="20"/>
                <w:szCs w:val="20"/>
              </w:rPr>
              <w:t>389,355 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4382C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21B4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3AC5404" w14:textId="77777777" w:rsidR="00000000" w:rsidRDefault="00A173A8">
            <w:pPr>
              <w:spacing w:after="100"/>
              <w:jc w:val="right"/>
              <w:rPr>
                <w:rFonts w:eastAsia="Times New Roman"/>
              </w:rPr>
            </w:pPr>
            <w:r>
              <w:rPr>
                <w:rFonts w:eastAsia="Times New Roman"/>
                <w:color w:val="000000"/>
                <w:sz w:val="20"/>
                <w:szCs w:val="20"/>
              </w:rPr>
              <w:t>12,400 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2021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B6E0D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DCC9FB" w14:textId="77777777" w:rsidR="00000000" w:rsidRDefault="00A173A8">
            <w:pPr>
              <w:spacing w:after="100"/>
              <w:jc w:val="right"/>
              <w:rPr>
                <w:rFonts w:eastAsia="Times New Roman"/>
              </w:rPr>
            </w:pPr>
            <w:r>
              <w:rPr>
                <w:rFonts w:eastAsia="Times New Roman"/>
                <w:color w:val="000000"/>
                <w:sz w:val="20"/>
                <w:szCs w:val="20"/>
              </w:rPr>
              <w:t>6.37 </w:t>
            </w:r>
          </w:p>
        </w:tc>
        <w:tc>
          <w:tcPr>
            <w:tcW w:w="0" w:type="auto"/>
            <w:shd w:val="clear" w:color="auto" w:fill="CCEEFF"/>
            <w:tcMar>
              <w:top w:w="30" w:type="dxa"/>
              <w:left w:w="0" w:type="dxa"/>
              <w:bottom w:w="30" w:type="dxa"/>
              <w:right w:w="20" w:type="dxa"/>
            </w:tcMar>
            <w:vAlign w:val="center"/>
            <w:hideMark/>
          </w:tcPr>
          <w:p w14:paraId="773DAAA0" w14:textId="77777777" w:rsidR="00000000" w:rsidRDefault="00A173A8">
            <w:pPr>
              <w:spacing w:after="100"/>
              <w:jc w:val="right"/>
              <w:rPr>
                <w:rFonts w:eastAsia="Times New Roman"/>
              </w:rPr>
            </w:pPr>
          </w:p>
        </w:tc>
        <w:tc>
          <w:tcPr>
            <w:tcW w:w="0" w:type="auto"/>
            <w:vAlign w:val="center"/>
            <w:hideMark/>
          </w:tcPr>
          <w:p w14:paraId="13C7B37D" w14:textId="77777777" w:rsidR="00000000" w:rsidRDefault="00A173A8">
            <w:pPr>
              <w:spacing w:after="100"/>
              <w:jc w:val="right"/>
              <w:rPr>
                <w:rFonts w:eastAsia="Times New Roman"/>
                <w:sz w:val="20"/>
                <w:szCs w:val="20"/>
              </w:rPr>
            </w:pPr>
          </w:p>
        </w:tc>
        <w:tc>
          <w:tcPr>
            <w:tcW w:w="0" w:type="auto"/>
            <w:vAlign w:val="center"/>
            <w:hideMark/>
          </w:tcPr>
          <w:p w14:paraId="6F3D8385" w14:textId="77777777" w:rsidR="00000000" w:rsidRDefault="00A173A8">
            <w:pPr>
              <w:spacing w:after="100"/>
              <w:rPr>
                <w:rFonts w:eastAsia="Times New Roman"/>
                <w:sz w:val="20"/>
                <w:szCs w:val="20"/>
              </w:rPr>
            </w:pPr>
          </w:p>
        </w:tc>
        <w:tc>
          <w:tcPr>
            <w:tcW w:w="0" w:type="auto"/>
            <w:gridSpan w:val="3"/>
            <w:vAlign w:val="center"/>
            <w:hideMark/>
          </w:tcPr>
          <w:p w14:paraId="25EB7F9A" w14:textId="77777777" w:rsidR="00000000" w:rsidRDefault="00A173A8">
            <w:pPr>
              <w:spacing w:after="100"/>
              <w:rPr>
                <w:rFonts w:eastAsia="Times New Roman"/>
                <w:sz w:val="20"/>
                <w:szCs w:val="20"/>
              </w:rPr>
            </w:pPr>
          </w:p>
        </w:tc>
        <w:tc>
          <w:tcPr>
            <w:tcW w:w="0" w:type="auto"/>
            <w:gridSpan w:val="3"/>
            <w:vAlign w:val="center"/>
            <w:hideMark/>
          </w:tcPr>
          <w:p w14:paraId="568AFB34" w14:textId="77777777" w:rsidR="00000000" w:rsidRDefault="00A173A8">
            <w:pPr>
              <w:spacing w:after="100"/>
              <w:rPr>
                <w:rFonts w:eastAsia="Times New Roman"/>
                <w:sz w:val="20"/>
                <w:szCs w:val="20"/>
              </w:rPr>
            </w:pPr>
          </w:p>
        </w:tc>
        <w:tc>
          <w:tcPr>
            <w:tcW w:w="0" w:type="auto"/>
            <w:gridSpan w:val="3"/>
            <w:vAlign w:val="center"/>
            <w:hideMark/>
          </w:tcPr>
          <w:p w14:paraId="2CD3E5F0" w14:textId="77777777" w:rsidR="00000000" w:rsidRDefault="00A173A8">
            <w:pPr>
              <w:spacing w:after="100"/>
              <w:rPr>
                <w:rFonts w:eastAsia="Times New Roman"/>
                <w:sz w:val="20"/>
                <w:szCs w:val="20"/>
              </w:rPr>
            </w:pPr>
          </w:p>
        </w:tc>
        <w:tc>
          <w:tcPr>
            <w:tcW w:w="0" w:type="auto"/>
            <w:gridSpan w:val="3"/>
            <w:vAlign w:val="center"/>
            <w:hideMark/>
          </w:tcPr>
          <w:p w14:paraId="5828FF2E" w14:textId="77777777" w:rsidR="00000000" w:rsidRDefault="00A173A8">
            <w:pPr>
              <w:spacing w:after="100"/>
              <w:rPr>
                <w:rFonts w:eastAsia="Times New Roman"/>
                <w:sz w:val="20"/>
                <w:szCs w:val="20"/>
              </w:rPr>
            </w:pPr>
          </w:p>
        </w:tc>
      </w:tr>
      <w:tr w:rsidR="00000000" w14:paraId="29CD4D8E" w14:textId="77777777">
        <w:trPr>
          <w:divId w:val="2062704384"/>
        </w:trPr>
        <w:tc>
          <w:tcPr>
            <w:tcW w:w="0" w:type="auto"/>
            <w:gridSpan w:val="3"/>
            <w:shd w:val="clear" w:color="auto" w:fill="FFFFFF"/>
            <w:tcMar>
              <w:top w:w="30" w:type="dxa"/>
              <w:left w:w="20" w:type="dxa"/>
              <w:bottom w:w="30" w:type="dxa"/>
              <w:right w:w="20" w:type="dxa"/>
            </w:tcMar>
            <w:vAlign w:val="center"/>
            <w:hideMark/>
          </w:tcPr>
          <w:p w14:paraId="1C4B9787" w14:textId="77777777" w:rsidR="00000000" w:rsidRDefault="00A173A8">
            <w:pPr>
              <w:spacing w:after="100"/>
              <w:rPr>
                <w:rFonts w:eastAsia="Times New Roman"/>
              </w:rPr>
            </w:pPr>
            <w:r>
              <w:rPr>
                <w:rFonts w:eastAsia="Times New Roman"/>
                <w:color w:val="000000"/>
                <w:sz w:val="20"/>
                <w:szCs w:val="20"/>
              </w:rPr>
              <w:t>Cash and due from banks</w:t>
            </w:r>
          </w:p>
        </w:tc>
        <w:tc>
          <w:tcPr>
            <w:tcW w:w="0" w:type="auto"/>
            <w:gridSpan w:val="3"/>
            <w:shd w:val="clear" w:color="auto" w:fill="FFFFFF"/>
            <w:tcMar>
              <w:top w:w="0" w:type="dxa"/>
              <w:left w:w="20" w:type="dxa"/>
              <w:bottom w:w="0" w:type="dxa"/>
              <w:right w:w="20" w:type="dxa"/>
            </w:tcMar>
            <w:vAlign w:val="center"/>
            <w:hideMark/>
          </w:tcPr>
          <w:p w14:paraId="1B00D609"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A1FCF65" w14:textId="77777777" w:rsidR="00000000" w:rsidRDefault="00A173A8">
            <w:pPr>
              <w:spacing w:after="100"/>
              <w:jc w:val="right"/>
              <w:rPr>
                <w:rFonts w:eastAsia="Times New Roman"/>
              </w:rPr>
            </w:pPr>
            <w:r>
              <w:rPr>
                <w:rFonts w:eastAsia="Times New Roman"/>
                <w:b/>
                <w:bCs/>
                <w:color w:val="000000"/>
                <w:sz w:val="20"/>
                <w:szCs w:val="20"/>
              </w:rPr>
              <w:t>5,206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640B0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8650F"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19D5E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2FE20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FFCC1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4641A3"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E50E09C" w14:textId="77777777" w:rsidR="00000000" w:rsidRDefault="00A173A8">
            <w:pPr>
              <w:spacing w:after="100"/>
              <w:jc w:val="right"/>
              <w:rPr>
                <w:rFonts w:eastAsia="Times New Roman"/>
              </w:rPr>
            </w:pPr>
            <w:r>
              <w:rPr>
                <w:rFonts w:eastAsia="Times New Roman"/>
                <w:color w:val="000000"/>
                <w:sz w:val="20"/>
                <w:szCs w:val="20"/>
              </w:rPr>
              <w:t>5,251 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C584B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0EAE4"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C0368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F96D4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E31802" w14:textId="77777777" w:rsidR="00000000" w:rsidRDefault="00A173A8">
            <w:pPr>
              <w:spacing w:after="100"/>
              <w:rPr>
                <w:rFonts w:eastAsia="Times New Roman"/>
                <w:sz w:val="20"/>
                <w:szCs w:val="20"/>
              </w:rPr>
            </w:pPr>
          </w:p>
        </w:tc>
        <w:tc>
          <w:tcPr>
            <w:tcW w:w="0" w:type="auto"/>
            <w:vAlign w:val="center"/>
            <w:hideMark/>
          </w:tcPr>
          <w:p w14:paraId="3D1CFA4A" w14:textId="77777777" w:rsidR="00000000" w:rsidRDefault="00A173A8">
            <w:pPr>
              <w:spacing w:after="100"/>
              <w:rPr>
                <w:rFonts w:eastAsia="Times New Roman"/>
                <w:sz w:val="20"/>
                <w:szCs w:val="20"/>
              </w:rPr>
            </w:pPr>
          </w:p>
        </w:tc>
        <w:tc>
          <w:tcPr>
            <w:tcW w:w="0" w:type="auto"/>
            <w:vAlign w:val="center"/>
            <w:hideMark/>
          </w:tcPr>
          <w:p w14:paraId="1BBAC280" w14:textId="77777777" w:rsidR="00000000" w:rsidRDefault="00A173A8">
            <w:pPr>
              <w:spacing w:after="100"/>
              <w:rPr>
                <w:rFonts w:eastAsia="Times New Roman"/>
                <w:sz w:val="20"/>
                <w:szCs w:val="20"/>
              </w:rPr>
            </w:pPr>
          </w:p>
        </w:tc>
        <w:tc>
          <w:tcPr>
            <w:tcW w:w="0" w:type="auto"/>
            <w:gridSpan w:val="3"/>
            <w:vAlign w:val="center"/>
            <w:hideMark/>
          </w:tcPr>
          <w:p w14:paraId="66C46544" w14:textId="77777777" w:rsidR="00000000" w:rsidRDefault="00A173A8">
            <w:pPr>
              <w:spacing w:after="100"/>
              <w:rPr>
                <w:rFonts w:eastAsia="Times New Roman"/>
                <w:sz w:val="20"/>
                <w:szCs w:val="20"/>
              </w:rPr>
            </w:pPr>
          </w:p>
        </w:tc>
        <w:tc>
          <w:tcPr>
            <w:tcW w:w="0" w:type="auto"/>
            <w:gridSpan w:val="3"/>
            <w:vAlign w:val="center"/>
            <w:hideMark/>
          </w:tcPr>
          <w:p w14:paraId="176DC775" w14:textId="77777777" w:rsidR="00000000" w:rsidRDefault="00A173A8">
            <w:pPr>
              <w:spacing w:after="100"/>
              <w:rPr>
                <w:rFonts w:eastAsia="Times New Roman"/>
                <w:sz w:val="20"/>
                <w:szCs w:val="20"/>
              </w:rPr>
            </w:pPr>
          </w:p>
        </w:tc>
        <w:tc>
          <w:tcPr>
            <w:tcW w:w="0" w:type="auto"/>
            <w:gridSpan w:val="3"/>
            <w:vAlign w:val="center"/>
            <w:hideMark/>
          </w:tcPr>
          <w:p w14:paraId="6989A09A" w14:textId="77777777" w:rsidR="00000000" w:rsidRDefault="00A173A8">
            <w:pPr>
              <w:spacing w:after="100"/>
              <w:rPr>
                <w:rFonts w:eastAsia="Times New Roman"/>
                <w:sz w:val="20"/>
                <w:szCs w:val="20"/>
              </w:rPr>
            </w:pPr>
          </w:p>
        </w:tc>
        <w:tc>
          <w:tcPr>
            <w:tcW w:w="0" w:type="auto"/>
            <w:gridSpan w:val="3"/>
            <w:vAlign w:val="center"/>
            <w:hideMark/>
          </w:tcPr>
          <w:p w14:paraId="5FE330A0" w14:textId="77777777" w:rsidR="00000000" w:rsidRDefault="00A173A8">
            <w:pPr>
              <w:spacing w:after="100"/>
              <w:rPr>
                <w:rFonts w:eastAsia="Times New Roman"/>
                <w:sz w:val="20"/>
                <w:szCs w:val="20"/>
              </w:rPr>
            </w:pPr>
          </w:p>
        </w:tc>
      </w:tr>
      <w:tr w:rsidR="00000000" w14:paraId="2EF6231E" w14:textId="77777777">
        <w:trPr>
          <w:divId w:val="2062704384"/>
        </w:trPr>
        <w:tc>
          <w:tcPr>
            <w:tcW w:w="0" w:type="auto"/>
            <w:gridSpan w:val="3"/>
            <w:shd w:val="clear" w:color="auto" w:fill="CCEEFF"/>
            <w:tcMar>
              <w:top w:w="30" w:type="dxa"/>
              <w:left w:w="20" w:type="dxa"/>
              <w:bottom w:w="30" w:type="dxa"/>
              <w:right w:w="20" w:type="dxa"/>
            </w:tcMar>
            <w:vAlign w:val="center"/>
            <w:hideMark/>
          </w:tcPr>
          <w:p w14:paraId="44251BD9" w14:textId="77777777" w:rsidR="00000000" w:rsidRDefault="00A173A8">
            <w:pPr>
              <w:spacing w:after="100"/>
              <w:rPr>
                <w:rFonts w:eastAsia="Times New Roman"/>
              </w:rPr>
            </w:pPr>
            <w:r>
              <w:rPr>
                <w:rFonts w:eastAsia="Times New Roman"/>
                <w:color w:val="000000"/>
                <w:sz w:val="20"/>
                <w:szCs w:val="20"/>
              </w:rPr>
              <w:t>Allowance for credit losses</w:t>
            </w:r>
          </w:p>
        </w:tc>
        <w:tc>
          <w:tcPr>
            <w:tcW w:w="0" w:type="auto"/>
            <w:gridSpan w:val="3"/>
            <w:shd w:val="clear" w:color="auto" w:fill="CCEEFF"/>
            <w:tcMar>
              <w:top w:w="0" w:type="dxa"/>
              <w:left w:w="20" w:type="dxa"/>
              <w:bottom w:w="0" w:type="dxa"/>
              <w:right w:w="20" w:type="dxa"/>
            </w:tcMar>
            <w:vAlign w:val="center"/>
            <w:hideMark/>
          </w:tcPr>
          <w:p w14:paraId="5EAA36D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305A161" w14:textId="77777777" w:rsidR="00000000" w:rsidRDefault="00A173A8">
            <w:pPr>
              <w:spacing w:after="100"/>
              <w:jc w:val="right"/>
              <w:rPr>
                <w:rFonts w:eastAsia="Times New Roman"/>
              </w:rPr>
            </w:pPr>
            <w:r>
              <w:rPr>
                <w:rFonts w:eastAsia="Times New Roman"/>
                <w:b/>
                <w:bCs/>
                <w:color w:val="000000"/>
                <w:sz w:val="20"/>
                <w:szCs w:val="20"/>
              </w:rPr>
              <w:t>(11,365)</w:t>
            </w:r>
          </w:p>
        </w:tc>
        <w:tc>
          <w:tcPr>
            <w:tcW w:w="0" w:type="auto"/>
            <w:shd w:val="clear" w:color="auto" w:fill="CCEEFF"/>
            <w:tcMar>
              <w:top w:w="30" w:type="dxa"/>
              <w:left w:w="0" w:type="dxa"/>
              <w:bottom w:w="30" w:type="dxa"/>
              <w:right w:w="20" w:type="dxa"/>
            </w:tcMar>
            <w:vAlign w:val="center"/>
            <w:hideMark/>
          </w:tcPr>
          <w:p w14:paraId="4A0CDB9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0B8B2"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CA6F2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166FD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CCD0E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766922"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AC20EE" w14:textId="77777777" w:rsidR="00000000" w:rsidRDefault="00A173A8">
            <w:pPr>
              <w:spacing w:after="100"/>
              <w:jc w:val="right"/>
              <w:rPr>
                <w:rFonts w:eastAsia="Times New Roman"/>
              </w:rPr>
            </w:pPr>
            <w:r>
              <w:rPr>
                <w:rFonts w:eastAsia="Times New Roman"/>
                <w:color w:val="000000"/>
                <w:sz w:val="20"/>
                <w:szCs w:val="20"/>
              </w:rPr>
              <w:t>(14,773)</w:t>
            </w:r>
          </w:p>
        </w:tc>
        <w:tc>
          <w:tcPr>
            <w:tcW w:w="0" w:type="auto"/>
            <w:shd w:val="clear" w:color="auto" w:fill="CCEEFF"/>
            <w:tcMar>
              <w:top w:w="30" w:type="dxa"/>
              <w:left w:w="0" w:type="dxa"/>
              <w:bottom w:w="30" w:type="dxa"/>
              <w:right w:w="20" w:type="dxa"/>
            </w:tcMar>
            <w:vAlign w:val="center"/>
            <w:hideMark/>
          </w:tcPr>
          <w:p w14:paraId="0C7833A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2B521"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CBB1E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7552D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F722F2" w14:textId="77777777" w:rsidR="00000000" w:rsidRDefault="00A173A8">
            <w:pPr>
              <w:spacing w:after="100"/>
              <w:rPr>
                <w:rFonts w:eastAsia="Times New Roman"/>
                <w:sz w:val="20"/>
                <w:szCs w:val="20"/>
              </w:rPr>
            </w:pPr>
          </w:p>
        </w:tc>
        <w:tc>
          <w:tcPr>
            <w:tcW w:w="0" w:type="auto"/>
            <w:vAlign w:val="center"/>
            <w:hideMark/>
          </w:tcPr>
          <w:p w14:paraId="330483E5" w14:textId="77777777" w:rsidR="00000000" w:rsidRDefault="00A173A8">
            <w:pPr>
              <w:spacing w:after="100"/>
              <w:rPr>
                <w:rFonts w:eastAsia="Times New Roman"/>
                <w:sz w:val="20"/>
                <w:szCs w:val="20"/>
              </w:rPr>
            </w:pPr>
          </w:p>
        </w:tc>
        <w:tc>
          <w:tcPr>
            <w:tcW w:w="0" w:type="auto"/>
            <w:vAlign w:val="center"/>
            <w:hideMark/>
          </w:tcPr>
          <w:p w14:paraId="4F44A3D5" w14:textId="77777777" w:rsidR="00000000" w:rsidRDefault="00A173A8">
            <w:pPr>
              <w:spacing w:after="100"/>
              <w:rPr>
                <w:rFonts w:eastAsia="Times New Roman"/>
                <w:sz w:val="20"/>
                <w:szCs w:val="20"/>
              </w:rPr>
            </w:pPr>
          </w:p>
        </w:tc>
        <w:tc>
          <w:tcPr>
            <w:tcW w:w="0" w:type="auto"/>
            <w:gridSpan w:val="3"/>
            <w:vAlign w:val="center"/>
            <w:hideMark/>
          </w:tcPr>
          <w:p w14:paraId="174E12B3" w14:textId="77777777" w:rsidR="00000000" w:rsidRDefault="00A173A8">
            <w:pPr>
              <w:spacing w:after="100"/>
              <w:rPr>
                <w:rFonts w:eastAsia="Times New Roman"/>
                <w:sz w:val="20"/>
                <w:szCs w:val="20"/>
              </w:rPr>
            </w:pPr>
          </w:p>
        </w:tc>
        <w:tc>
          <w:tcPr>
            <w:tcW w:w="0" w:type="auto"/>
            <w:gridSpan w:val="3"/>
            <w:vAlign w:val="center"/>
            <w:hideMark/>
          </w:tcPr>
          <w:p w14:paraId="29301B38" w14:textId="77777777" w:rsidR="00000000" w:rsidRDefault="00A173A8">
            <w:pPr>
              <w:spacing w:after="100"/>
              <w:rPr>
                <w:rFonts w:eastAsia="Times New Roman"/>
                <w:sz w:val="20"/>
                <w:szCs w:val="20"/>
              </w:rPr>
            </w:pPr>
          </w:p>
        </w:tc>
        <w:tc>
          <w:tcPr>
            <w:tcW w:w="0" w:type="auto"/>
            <w:gridSpan w:val="3"/>
            <w:vAlign w:val="center"/>
            <w:hideMark/>
          </w:tcPr>
          <w:p w14:paraId="3591040B" w14:textId="77777777" w:rsidR="00000000" w:rsidRDefault="00A173A8">
            <w:pPr>
              <w:spacing w:after="100"/>
              <w:rPr>
                <w:rFonts w:eastAsia="Times New Roman"/>
                <w:sz w:val="20"/>
                <w:szCs w:val="20"/>
              </w:rPr>
            </w:pPr>
          </w:p>
        </w:tc>
        <w:tc>
          <w:tcPr>
            <w:tcW w:w="0" w:type="auto"/>
            <w:gridSpan w:val="3"/>
            <w:vAlign w:val="center"/>
            <w:hideMark/>
          </w:tcPr>
          <w:p w14:paraId="1754E587" w14:textId="77777777" w:rsidR="00000000" w:rsidRDefault="00A173A8">
            <w:pPr>
              <w:spacing w:after="100"/>
              <w:rPr>
                <w:rFonts w:eastAsia="Times New Roman"/>
                <w:sz w:val="20"/>
                <w:szCs w:val="20"/>
              </w:rPr>
            </w:pPr>
          </w:p>
        </w:tc>
      </w:tr>
      <w:tr w:rsidR="00000000" w14:paraId="5E215AFB" w14:textId="77777777">
        <w:trPr>
          <w:divId w:val="2062704384"/>
        </w:trPr>
        <w:tc>
          <w:tcPr>
            <w:tcW w:w="0" w:type="auto"/>
            <w:gridSpan w:val="3"/>
            <w:shd w:val="clear" w:color="auto" w:fill="FFFFFF"/>
            <w:tcMar>
              <w:top w:w="30" w:type="dxa"/>
              <w:left w:w="20" w:type="dxa"/>
              <w:bottom w:w="30" w:type="dxa"/>
              <w:right w:w="20" w:type="dxa"/>
            </w:tcMar>
            <w:vAlign w:val="center"/>
            <w:hideMark/>
          </w:tcPr>
          <w:p w14:paraId="33ADFCC8" w14:textId="77777777" w:rsidR="00000000" w:rsidRDefault="00A173A8">
            <w:pPr>
              <w:spacing w:after="100"/>
              <w:rPr>
                <w:rFonts w:eastAsia="Times New Roman"/>
              </w:rPr>
            </w:pPr>
            <w:r>
              <w:rPr>
                <w:rFonts w:eastAsia="Times New Roman"/>
                <w:color w:val="000000"/>
                <w:sz w:val="20"/>
                <w:szCs w:val="20"/>
              </w:rPr>
              <w:t>Premises and equipment, net</w:t>
            </w:r>
          </w:p>
        </w:tc>
        <w:tc>
          <w:tcPr>
            <w:tcW w:w="0" w:type="auto"/>
            <w:gridSpan w:val="3"/>
            <w:shd w:val="clear" w:color="auto" w:fill="FFFFFF"/>
            <w:tcMar>
              <w:top w:w="0" w:type="dxa"/>
              <w:left w:w="20" w:type="dxa"/>
              <w:bottom w:w="0" w:type="dxa"/>
              <w:right w:w="20" w:type="dxa"/>
            </w:tcMar>
            <w:vAlign w:val="center"/>
            <w:hideMark/>
          </w:tcPr>
          <w:p w14:paraId="34C7580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E89CAEE" w14:textId="77777777" w:rsidR="00000000" w:rsidRDefault="00A173A8">
            <w:pPr>
              <w:spacing w:after="100"/>
              <w:jc w:val="right"/>
              <w:rPr>
                <w:rFonts w:eastAsia="Times New Roman"/>
              </w:rPr>
            </w:pPr>
            <w:r>
              <w:rPr>
                <w:rFonts w:eastAsia="Times New Roman"/>
                <w:b/>
                <w:bCs/>
                <w:color w:val="000000"/>
                <w:sz w:val="20"/>
                <w:szCs w:val="20"/>
              </w:rPr>
              <w:t>4,248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73AEEF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F5AA4"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7533A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4B3AA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14E55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B00771"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1A27AE" w14:textId="77777777" w:rsidR="00000000" w:rsidRDefault="00A173A8">
            <w:pPr>
              <w:spacing w:after="100"/>
              <w:jc w:val="right"/>
              <w:rPr>
                <w:rFonts w:eastAsia="Times New Roman"/>
              </w:rPr>
            </w:pPr>
            <w:r>
              <w:rPr>
                <w:rFonts w:eastAsia="Times New Roman"/>
                <w:color w:val="000000"/>
                <w:sz w:val="20"/>
                <w:szCs w:val="20"/>
              </w:rPr>
              <w:t>4,279 </w:t>
            </w:r>
          </w:p>
        </w:tc>
        <w:tc>
          <w:tcPr>
            <w:tcW w:w="0" w:type="auto"/>
            <w:shd w:val="clear" w:color="auto" w:fill="FFFFFF"/>
            <w:tcMar>
              <w:top w:w="30" w:type="dxa"/>
              <w:left w:w="0" w:type="dxa"/>
              <w:bottom w:w="30" w:type="dxa"/>
              <w:right w:w="20" w:type="dxa"/>
            </w:tcMar>
            <w:vAlign w:val="center"/>
            <w:hideMark/>
          </w:tcPr>
          <w:p w14:paraId="7D712FC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3B365"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46278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660C1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EA260B" w14:textId="77777777" w:rsidR="00000000" w:rsidRDefault="00A173A8">
            <w:pPr>
              <w:spacing w:after="100"/>
              <w:rPr>
                <w:rFonts w:eastAsia="Times New Roman"/>
                <w:sz w:val="20"/>
                <w:szCs w:val="20"/>
              </w:rPr>
            </w:pPr>
          </w:p>
        </w:tc>
        <w:tc>
          <w:tcPr>
            <w:tcW w:w="0" w:type="auto"/>
            <w:vAlign w:val="center"/>
            <w:hideMark/>
          </w:tcPr>
          <w:p w14:paraId="4AC25879" w14:textId="77777777" w:rsidR="00000000" w:rsidRDefault="00A173A8">
            <w:pPr>
              <w:spacing w:after="100"/>
              <w:rPr>
                <w:rFonts w:eastAsia="Times New Roman"/>
                <w:sz w:val="20"/>
                <w:szCs w:val="20"/>
              </w:rPr>
            </w:pPr>
          </w:p>
        </w:tc>
        <w:tc>
          <w:tcPr>
            <w:tcW w:w="0" w:type="auto"/>
            <w:vAlign w:val="center"/>
            <w:hideMark/>
          </w:tcPr>
          <w:p w14:paraId="1CC90A21" w14:textId="77777777" w:rsidR="00000000" w:rsidRDefault="00A173A8">
            <w:pPr>
              <w:spacing w:after="100"/>
              <w:rPr>
                <w:rFonts w:eastAsia="Times New Roman"/>
                <w:sz w:val="20"/>
                <w:szCs w:val="20"/>
              </w:rPr>
            </w:pPr>
          </w:p>
        </w:tc>
        <w:tc>
          <w:tcPr>
            <w:tcW w:w="0" w:type="auto"/>
            <w:gridSpan w:val="3"/>
            <w:vAlign w:val="center"/>
            <w:hideMark/>
          </w:tcPr>
          <w:p w14:paraId="6796443D" w14:textId="77777777" w:rsidR="00000000" w:rsidRDefault="00A173A8">
            <w:pPr>
              <w:spacing w:after="100"/>
              <w:rPr>
                <w:rFonts w:eastAsia="Times New Roman"/>
                <w:sz w:val="20"/>
                <w:szCs w:val="20"/>
              </w:rPr>
            </w:pPr>
          </w:p>
        </w:tc>
        <w:tc>
          <w:tcPr>
            <w:tcW w:w="0" w:type="auto"/>
            <w:gridSpan w:val="3"/>
            <w:vAlign w:val="center"/>
            <w:hideMark/>
          </w:tcPr>
          <w:p w14:paraId="0AC4D778" w14:textId="77777777" w:rsidR="00000000" w:rsidRDefault="00A173A8">
            <w:pPr>
              <w:spacing w:after="100"/>
              <w:rPr>
                <w:rFonts w:eastAsia="Times New Roman"/>
                <w:sz w:val="20"/>
                <w:szCs w:val="20"/>
              </w:rPr>
            </w:pPr>
          </w:p>
        </w:tc>
        <w:tc>
          <w:tcPr>
            <w:tcW w:w="0" w:type="auto"/>
            <w:gridSpan w:val="3"/>
            <w:vAlign w:val="center"/>
            <w:hideMark/>
          </w:tcPr>
          <w:p w14:paraId="3C8ABB02" w14:textId="77777777" w:rsidR="00000000" w:rsidRDefault="00A173A8">
            <w:pPr>
              <w:spacing w:after="100"/>
              <w:rPr>
                <w:rFonts w:eastAsia="Times New Roman"/>
                <w:sz w:val="20"/>
                <w:szCs w:val="20"/>
              </w:rPr>
            </w:pPr>
          </w:p>
        </w:tc>
        <w:tc>
          <w:tcPr>
            <w:tcW w:w="0" w:type="auto"/>
            <w:gridSpan w:val="3"/>
            <w:vAlign w:val="center"/>
            <w:hideMark/>
          </w:tcPr>
          <w:p w14:paraId="31352035" w14:textId="77777777" w:rsidR="00000000" w:rsidRDefault="00A173A8">
            <w:pPr>
              <w:spacing w:after="100"/>
              <w:rPr>
                <w:rFonts w:eastAsia="Times New Roman"/>
                <w:sz w:val="20"/>
                <w:szCs w:val="20"/>
              </w:rPr>
            </w:pPr>
          </w:p>
        </w:tc>
      </w:tr>
      <w:tr w:rsidR="00000000" w14:paraId="436E3BF5" w14:textId="77777777">
        <w:trPr>
          <w:divId w:val="2062704384"/>
        </w:trPr>
        <w:tc>
          <w:tcPr>
            <w:tcW w:w="0" w:type="auto"/>
            <w:gridSpan w:val="3"/>
            <w:shd w:val="clear" w:color="auto" w:fill="CCEEFF"/>
            <w:tcMar>
              <w:top w:w="30" w:type="dxa"/>
              <w:left w:w="20" w:type="dxa"/>
              <w:bottom w:w="30" w:type="dxa"/>
              <w:right w:w="20" w:type="dxa"/>
            </w:tcMar>
            <w:vAlign w:val="center"/>
            <w:hideMark/>
          </w:tcPr>
          <w:p w14:paraId="40AC4532" w14:textId="77777777" w:rsidR="00000000" w:rsidRDefault="00A173A8">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0" w:type="dxa"/>
              <w:left w:w="20" w:type="dxa"/>
              <w:bottom w:w="0" w:type="dxa"/>
              <w:right w:w="20" w:type="dxa"/>
            </w:tcMar>
            <w:vAlign w:val="center"/>
            <w:hideMark/>
          </w:tcPr>
          <w:p w14:paraId="2BE76C3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2FB779" w14:textId="77777777" w:rsidR="00000000" w:rsidRDefault="00A173A8">
            <w:pPr>
              <w:spacing w:after="100"/>
              <w:jc w:val="right"/>
              <w:rPr>
                <w:rFonts w:eastAsia="Times New Roman"/>
              </w:rPr>
            </w:pPr>
            <w:r>
              <w:rPr>
                <w:rFonts w:eastAsia="Times New Roman"/>
                <w:b/>
                <w:bCs/>
                <w:color w:val="000000"/>
                <w:sz w:val="20"/>
                <w:szCs w:val="20"/>
              </w:rPr>
              <w:t>38,196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9E84F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F8957"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249C6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9023E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BE5FF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75252F"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203F5D" w14:textId="77777777" w:rsidR="00000000" w:rsidRDefault="00A173A8">
            <w:pPr>
              <w:spacing w:after="100"/>
              <w:jc w:val="right"/>
              <w:rPr>
                <w:rFonts w:eastAsia="Times New Roman"/>
              </w:rPr>
            </w:pPr>
            <w:r>
              <w:rPr>
                <w:rFonts w:eastAsia="Times New Roman"/>
                <w:color w:val="000000"/>
                <w:sz w:val="20"/>
                <w:szCs w:val="20"/>
              </w:rPr>
              <w:t>38,847 </w:t>
            </w:r>
          </w:p>
        </w:tc>
        <w:tc>
          <w:tcPr>
            <w:tcW w:w="0" w:type="auto"/>
            <w:shd w:val="clear" w:color="auto" w:fill="CCEEFF"/>
            <w:tcMar>
              <w:top w:w="30" w:type="dxa"/>
              <w:left w:w="0" w:type="dxa"/>
              <w:bottom w:w="30" w:type="dxa"/>
              <w:right w:w="20" w:type="dxa"/>
            </w:tcMar>
            <w:vAlign w:val="center"/>
            <w:hideMark/>
          </w:tcPr>
          <w:p w14:paraId="072B961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2A7EAA"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4A015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22921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4C5A1F" w14:textId="77777777" w:rsidR="00000000" w:rsidRDefault="00A173A8">
            <w:pPr>
              <w:spacing w:after="100"/>
              <w:rPr>
                <w:rFonts w:eastAsia="Times New Roman"/>
                <w:sz w:val="20"/>
                <w:szCs w:val="20"/>
              </w:rPr>
            </w:pPr>
          </w:p>
        </w:tc>
        <w:tc>
          <w:tcPr>
            <w:tcW w:w="0" w:type="auto"/>
            <w:vAlign w:val="center"/>
            <w:hideMark/>
          </w:tcPr>
          <w:p w14:paraId="3E2A2D34" w14:textId="77777777" w:rsidR="00000000" w:rsidRDefault="00A173A8">
            <w:pPr>
              <w:spacing w:after="100"/>
              <w:rPr>
                <w:rFonts w:eastAsia="Times New Roman"/>
                <w:sz w:val="20"/>
                <w:szCs w:val="20"/>
              </w:rPr>
            </w:pPr>
          </w:p>
        </w:tc>
        <w:tc>
          <w:tcPr>
            <w:tcW w:w="0" w:type="auto"/>
            <w:vAlign w:val="center"/>
            <w:hideMark/>
          </w:tcPr>
          <w:p w14:paraId="73150AD7" w14:textId="77777777" w:rsidR="00000000" w:rsidRDefault="00A173A8">
            <w:pPr>
              <w:spacing w:after="100"/>
              <w:rPr>
                <w:rFonts w:eastAsia="Times New Roman"/>
                <w:sz w:val="20"/>
                <w:szCs w:val="20"/>
              </w:rPr>
            </w:pPr>
          </w:p>
        </w:tc>
        <w:tc>
          <w:tcPr>
            <w:tcW w:w="0" w:type="auto"/>
            <w:gridSpan w:val="3"/>
            <w:vAlign w:val="center"/>
            <w:hideMark/>
          </w:tcPr>
          <w:p w14:paraId="094DC9FA" w14:textId="77777777" w:rsidR="00000000" w:rsidRDefault="00A173A8">
            <w:pPr>
              <w:spacing w:after="100"/>
              <w:rPr>
                <w:rFonts w:eastAsia="Times New Roman"/>
                <w:sz w:val="20"/>
                <w:szCs w:val="20"/>
              </w:rPr>
            </w:pPr>
          </w:p>
        </w:tc>
        <w:tc>
          <w:tcPr>
            <w:tcW w:w="0" w:type="auto"/>
            <w:gridSpan w:val="3"/>
            <w:vAlign w:val="center"/>
            <w:hideMark/>
          </w:tcPr>
          <w:p w14:paraId="084A36A5" w14:textId="77777777" w:rsidR="00000000" w:rsidRDefault="00A173A8">
            <w:pPr>
              <w:spacing w:after="100"/>
              <w:rPr>
                <w:rFonts w:eastAsia="Times New Roman"/>
                <w:sz w:val="20"/>
                <w:szCs w:val="20"/>
              </w:rPr>
            </w:pPr>
          </w:p>
        </w:tc>
        <w:tc>
          <w:tcPr>
            <w:tcW w:w="0" w:type="auto"/>
            <w:gridSpan w:val="3"/>
            <w:vAlign w:val="center"/>
            <w:hideMark/>
          </w:tcPr>
          <w:p w14:paraId="221EFB9C" w14:textId="77777777" w:rsidR="00000000" w:rsidRDefault="00A173A8">
            <w:pPr>
              <w:spacing w:after="100"/>
              <w:rPr>
                <w:rFonts w:eastAsia="Times New Roman"/>
                <w:sz w:val="20"/>
                <w:szCs w:val="20"/>
              </w:rPr>
            </w:pPr>
          </w:p>
        </w:tc>
        <w:tc>
          <w:tcPr>
            <w:tcW w:w="0" w:type="auto"/>
            <w:gridSpan w:val="3"/>
            <w:vAlign w:val="center"/>
            <w:hideMark/>
          </w:tcPr>
          <w:p w14:paraId="19A754D5" w14:textId="77777777" w:rsidR="00000000" w:rsidRDefault="00A173A8">
            <w:pPr>
              <w:spacing w:after="100"/>
              <w:rPr>
                <w:rFonts w:eastAsia="Times New Roman"/>
                <w:sz w:val="20"/>
                <w:szCs w:val="20"/>
              </w:rPr>
            </w:pPr>
          </w:p>
        </w:tc>
      </w:tr>
      <w:tr w:rsidR="00000000" w14:paraId="47427201" w14:textId="77777777">
        <w:trPr>
          <w:divId w:val="2062704384"/>
        </w:trPr>
        <w:tc>
          <w:tcPr>
            <w:tcW w:w="0" w:type="auto"/>
            <w:gridSpan w:val="3"/>
            <w:shd w:val="clear" w:color="auto" w:fill="FFFFFF"/>
            <w:tcMar>
              <w:top w:w="30" w:type="dxa"/>
              <w:left w:w="20" w:type="dxa"/>
              <w:bottom w:w="30" w:type="dxa"/>
              <w:right w:w="20" w:type="dxa"/>
            </w:tcMar>
            <w:vAlign w:val="center"/>
            <w:hideMark/>
          </w:tcPr>
          <w:p w14:paraId="76FEF1E7" w14:textId="77777777" w:rsidR="00000000" w:rsidRDefault="00A173A8">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14:paraId="2D932B32"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1ECF5CF"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A9EB51A" w14:textId="77777777" w:rsidR="00000000" w:rsidRDefault="00A173A8">
            <w:pPr>
              <w:spacing w:after="100"/>
              <w:jc w:val="right"/>
              <w:rPr>
                <w:rFonts w:eastAsia="Times New Roman"/>
              </w:rPr>
            </w:pPr>
            <w:r>
              <w:rPr>
                <w:rFonts w:eastAsia="Times New Roman"/>
                <w:b/>
                <w:bCs/>
                <w:color w:val="000000"/>
                <w:sz w:val="20"/>
                <w:szCs w:val="20"/>
              </w:rPr>
              <w:t>432,806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969B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4EA60"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305FE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DC2B0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6AE2D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8E0AC7" w14:textId="77777777" w:rsidR="00000000" w:rsidRDefault="00A173A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64073F8"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1ADDEB7" w14:textId="77777777" w:rsidR="00000000" w:rsidRDefault="00A173A8">
            <w:pPr>
              <w:spacing w:after="100"/>
              <w:jc w:val="right"/>
              <w:rPr>
                <w:rFonts w:eastAsia="Times New Roman"/>
              </w:rPr>
            </w:pPr>
            <w:r>
              <w:rPr>
                <w:rFonts w:eastAsia="Times New Roman"/>
                <w:color w:val="000000"/>
                <w:sz w:val="20"/>
                <w:szCs w:val="20"/>
              </w:rPr>
              <w:t>422,959 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645E25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0988AA"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CC9FC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1B3E3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2F5791" w14:textId="77777777" w:rsidR="00000000" w:rsidRDefault="00A173A8">
            <w:pPr>
              <w:spacing w:after="100"/>
              <w:rPr>
                <w:rFonts w:eastAsia="Times New Roman"/>
                <w:sz w:val="20"/>
                <w:szCs w:val="20"/>
              </w:rPr>
            </w:pPr>
          </w:p>
        </w:tc>
        <w:tc>
          <w:tcPr>
            <w:tcW w:w="0" w:type="auto"/>
            <w:vAlign w:val="center"/>
            <w:hideMark/>
          </w:tcPr>
          <w:p w14:paraId="2A3F325D" w14:textId="77777777" w:rsidR="00000000" w:rsidRDefault="00A173A8">
            <w:pPr>
              <w:spacing w:after="100"/>
              <w:rPr>
                <w:rFonts w:eastAsia="Times New Roman"/>
                <w:sz w:val="20"/>
                <w:szCs w:val="20"/>
              </w:rPr>
            </w:pPr>
          </w:p>
        </w:tc>
        <w:tc>
          <w:tcPr>
            <w:tcW w:w="0" w:type="auto"/>
            <w:vAlign w:val="center"/>
            <w:hideMark/>
          </w:tcPr>
          <w:p w14:paraId="557BE7B6" w14:textId="77777777" w:rsidR="00000000" w:rsidRDefault="00A173A8">
            <w:pPr>
              <w:spacing w:after="100"/>
              <w:rPr>
                <w:rFonts w:eastAsia="Times New Roman"/>
                <w:sz w:val="20"/>
                <w:szCs w:val="20"/>
              </w:rPr>
            </w:pPr>
          </w:p>
        </w:tc>
        <w:tc>
          <w:tcPr>
            <w:tcW w:w="0" w:type="auto"/>
            <w:gridSpan w:val="3"/>
            <w:vAlign w:val="center"/>
            <w:hideMark/>
          </w:tcPr>
          <w:p w14:paraId="0D75075D" w14:textId="77777777" w:rsidR="00000000" w:rsidRDefault="00A173A8">
            <w:pPr>
              <w:spacing w:after="100"/>
              <w:rPr>
                <w:rFonts w:eastAsia="Times New Roman"/>
                <w:sz w:val="20"/>
                <w:szCs w:val="20"/>
              </w:rPr>
            </w:pPr>
          </w:p>
        </w:tc>
        <w:tc>
          <w:tcPr>
            <w:tcW w:w="0" w:type="auto"/>
            <w:gridSpan w:val="3"/>
            <w:vAlign w:val="center"/>
            <w:hideMark/>
          </w:tcPr>
          <w:p w14:paraId="5DA830E2" w14:textId="77777777" w:rsidR="00000000" w:rsidRDefault="00A173A8">
            <w:pPr>
              <w:spacing w:after="100"/>
              <w:rPr>
                <w:rFonts w:eastAsia="Times New Roman"/>
                <w:sz w:val="20"/>
                <w:szCs w:val="20"/>
              </w:rPr>
            </w:pPr>
          </w:p>
        </w:tc>
        <w:tc>
          <w:tcPr>
            <w:tcW w:w="0" w:type="auto"/>
            <w:gridSpan w:val="3"/>
            <w:vAlign w:val="center"/>
            <w:hideMark/>
          </w:tcPr>
          <w:p w14:paraId="18682D7D" w14:textId="77777777" w:rsidR="00000000" w:rsidRDefault="00A173A8">
            <w:pPr>
              <w:spacing w:after="100"/>
              <w:rPr>
                <w:rFonts w:eastAsia="Times New Roman"/>
                <w:sz w:val="20"/>
                <w:szCs w:val="20"/>
              </w:rPr>
            </w:pPr>
          </w:p>
        </w:tc>
        <w:tc>
          <w:tcPr>
            <w:tcW w:w="0" w:type="auto"/>
            <w:gridSpan w:val="3"/>
            <w:vAlign w:val="center"/>
            <w:hideMark/>
          </w:tcPr>
          <w:p w14:paraId="6FA5D0A6" w14:textId="77777777" w:rsidR="00000000" w:rsidRDefault="00A173A8">
            <w:pPr>
              <w:spacing w:after="100"/>
              <w:rPr>
                <w:rFonts w:eastAsia="Times New Roman"/>
                <w:sz w:val="20"/>
                <w:szCs w:val="20"/>
              </w:rPr>
            </w:pPr>
          </w:p>
        </w:tc>
      </w:tr>
      <w:tr w:rsidR="00000000" w14:paraId="29EA2A80" w14:textId="77777777">
        <w:trPr>
          <w:divId w:val="2062704384"/>
        </w:trPr>
        <w:tc>
          <w:tcPr>
            <w:tcW w:w="0" w:type="auto"/>
            <w:gridSpan w:val="3"/>
            <w:shd w:val="clear" w:color="auto" w:fill="CCEEFF"/>
            <w:tcMar>
              <w:top w:w="30" w:type="dxa"/>
              <w:left w:w="20" w:type="dxa"/>
              <w:bottom w:w="30" w:type="dxa"/>
              <w:right w:w="20" w:type="dxa"/>
            </w:tcMar>
            <w:vAlign w:val="center"/>
            <w:hideMark/>
          </w:tcPr>
          <w:p w14:paraId="5B1C7A63" w14:textId="77777777" w:rsidR="00000000" w:rsidRDefault="00A173A8">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0" w:type="dxa"/>
              <w:left w:w="20" w:type="dxa"/>
              <w:bottom w:w="0" w:type="dxa"/>
              <w:right w:w="20" w:type="dxa"/>
            </w:tcMar>
            <w:vAlign w:val="center"/>
            <w:hideMark/>
          </w:tcPr>
          <w:p w14:paraId="6E9002A0"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C1AC1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F39A7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7A86B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8F54D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B618E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E5AE94"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67561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5F2AB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F59CD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8DF9E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BA10E7" w14:textId="77777777" w:rsidR="00000000" w:rsidRDefault="00A173A8">
            <w:pPr>
              <w:spacing w:after="100"/>
              <w:rPr>
                <w:rFonts w:eastAsia="Times New Roman"/>
                <w:sz w:val="20"/>
                <w:szCs w:val="20"/>
              </w:rPr>
            </w:pPr>
          </w:p>
        </w:tc>
        <w:tc>
          <w:tcPr>
            <w:tcW w:w="0" w:type="auto"/>
            <w:vAlign w:val="center"/>
            <w:hideMark/>
          </w:tcPr>
          <w:p w14:paraId="4A2747E8" w14:textId="77777777" w:rsidR="00000000" w:rsidRDefault="00A173A8">
            <w:pPr>
              <w:spacing w:after="100"/>
              <w:rPr>
                <w:rFonts w:eastAsia="Times New Roman"/>
                <w:sz w:val="20"/>
                <w:szCs w:val="20"/>
              </w:rPr>
            </w:pPr>
          </w:p>
        </w:tc>
        <w:tc>
          <w:tcPr>
            <w:tcW w:w="0" w:type="auto"/>
            <w:vAlign w:val="center"/>
            <w:hideMark/>
          </w:tcPr>
          <w:p w14:paraId="5FFE6EE3" w14:textId="77777777" w:rsidR="00000000" w:rsidRDefault="00A173A8">
            <w:pPr>
              <w:spacing w:after="100"/>
              <w:rPr>
                <w:rFonts w:eastAsia="Times New Roman"/>
                <w:sz w:val="20"/>
                <w:szCs w:val="20"/>
              </w:rPr>
            </w:pPr>
          </w:p>
        </w:tc>
        <w:tc>
          <w:tcPr>
            <w:tcW w:w="0" w:type="auto"/>
            <w:gridSpan w:val="3"/>
            <w:vAlign w:val="center"/>
            <w:hideMark/>
          </w:tcPr>
          <w:p w14:paraId="3EF0F1FA" w14:textId="77777777" w:rsidR="00000000" w:rsidRDefault="00A173A8">
            <w:pPr>
              <w:spacing w:after="100"/>
              <w:rPr>
                <w:rFonts w:eastAsia="Times New Roman"/>
                <w:sz w:val="20"/>
                <w:szCs w:val="20"/>
              </w:rPr>
            </w:pPr>
          </w:p>
        </w:tc>
        <w:tc>
          <w:tcPr>
            <w:tcW w:w="0" w:type="auto"/>
            <w:gridSpan w:val="3"/>
            <w:vAlign w:val="center"/>
            <w:hideMark/>
          </w:tcPr>
          <w:p w14:paraId="3C7FD2CC" w14:textId="77777777" w:rsidR="00000000" w:rsidRDefault="00A173A8">
            <w:pPr>
              <w:spacing w:after="100"/>
              <w:rPr>
                <w:rFonts w:eastAsia="Times New Roman"/>
                <w:sz w:val="20"/>
                <w:szCs w:val="20"/>
              </w:rPr>
            </w:pPr>
          </w:p>
        </w:tc>
        <w:tc>
          <w:tcPr>
            <w:tcW w:w="0" w:type="auto"/>
            <w:gridSpan w:val="3"/>
            <w:vAlign w:val="center"/>
            <w:hideMark/>
          </w:tcPr>
          <w:p w14:paraId="0EC6A0D2" w14:textId="77777777" w:rsidR="00000000" w:rsidRDefault="00A173A8">
            <w:pPr>
              <w:spacing w:after="100"/>
              <w:rPr>
                <w:rFonts w:eastAsia="Times New Roman"/>
                <w:sz w:val="20"/>
                <w:szCs w:val="20"/>
              </w:rPr>
            </w:pPr>
          </w:p>
        </w:tc>
        <w:tc>
          <w:tcPr>
            <w:tcW w:w="0" w:type="auto"/>
            <w:gridSpan w:val="3"/>
            <w:vAlign w:val="center"/>
            <w:hideMark/>
          </w:tcPr>
          <w:p w14:paraId="7514616B" w14:textId="77777777" w:rsidR="00000000" w:rsidRDefault="00A173A8">
            <w:pPr>
              <w:spacing w:after="100"/>
              <w:rPr>
                <w:rFonts w:eastAsia="Times New Roman"/>
                <w:sz w:val="20"/>
                <w:szCs w:val="20"/>
              </w:rPr>
            </w:pPr>
          </w:p>
        </w:tc>
      </w:tr>
      <w:tr w:rsidR="00000000" w14:paraId="6603175A" w14:textId="77777777">
        <w:trPr>
          <w:divId w:val="2062704384"/>
        </w:trPr>
        <w:tc>
          <w:tcPr>
            <w:tcW w:w="0" w:type="auto"/>
            <w:gridSpan w:val="3"/>
            <w:shd w:val="clear" w:color="auto" w:fill="FFFFFF"/>
            <w:tcMar>
              <w:top w:w="30" w:type="dxa"/>
              <w:left w:w="20" w:type="dxa"/>
              <w:bottom w:w="30" w:type="dxa"/>
              <w:right w:w="20" w:type="dxa"/>
            </w:tcMar>
            <w:vAlign w:val="center"/>
            <w:hideMark/>
          </w:tcPr>
          <w:p w14:paraId="176D483E" w14:textId="77777777" w:rsidR="00000000" w:rsidRDefault="00A173A8">
            <w:pPr>
              <w:spacing w:after="100"/>
              <w:rPr>
                <w:rFonts w:eastAsia="Times New Roman"/>
              </w:rPr>
            </w:pPr>
            <w:r>
              <w:rPr>
                <w:rFonts w:eastAsia="Times New Roman"/>
                <w:color w:val="000000"/>
                <w:sz w:val="20"/>
                <w:szCs w:val="20"/>
              </w:rPr>
              <w:t>Interest-bearing liabilities:</w:t>
            </w:r>
          </w:p>
        </w:tc>
        <w:tc>
          <w:tcPr>
            <w:tcW w:w="0" w:type="auto"/>
            <w:gridSpan w:val="3"/>
            <w:shd w:val="clear" w:color="auto" w:fill="FFFFFF"/>
            <w:tcMar>
              <w:top w:w="0" w:type="dxa"/>
              <w:left w:w="20" w:type="dxa"/>
              <w:bottom w:w="0" w:type="dxa"/>
              <w:right w:w="20" w:type="dxa"/>
            </w:tcMar>
            <w:vAlign w:val="center"/>
            <w:hideMark/>
          </w:tcPr>
          <w:p w14:paraId="567940E6"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B913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BFE1A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F726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145A2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D3F66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A135B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95E1C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04642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829DC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EBE04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08609C" w14:textId="77777777" w:rsidR="00000000" w:rsidRDefault="00A173A8">
            <w:pPr>
              <w:spacing w:after="100"/>
              <w:rPr>
                <w:rFonts w:eastAsia="Times New Roman"/>
                <w:sz w:val="20"/>
                <w:szCs w:val="20"/>
              </w:rPr>
            </w:pPr>
          </w:p>
        </w:tc>
        <w:tc>
          <w:tcPr>
            <w:tcW w:w="0" w:type="auto"/>
            <w:vAlign w:val="center"/>
            <w:hideMark/>
          </w:tcPr>
          <w:p w14:paraId="506EFF76" w14:textId="77777777" w:rsidR="00000000" w:rsidRDefault="00A173A8">
            <w:pPr>
              <w:spacing w:after="100"/>
              <w:rPr>
                <w:rFonts w:eastAsia="Times New Roman"/>
                <w:sz w:val="20"/>
                <w:szCs w:val="20"/>
              </w:rPr>
            </w:pPr>
          </w:p>
        </w:tc>
        <w:tc>
          <w:tcPr>
            <w:tcW w:w="0" w:type="auto"/>
            <w:vAlign w:val="center"/>
            <w:hideMark/>
          </w:tcPr>
          <w:p w14:paraId="4D4B33F3" w14:textId="77777777" w:rsidR="00000000" w:rsidRDefault="00A173A8">
            <w:pPr>
              <w:spacing w:after="100"/>
              <w:rPr>
                <w:rFonts w:eastAsia="Times New Roman"/>
                <w:sz w:val="20"/>
                <w:szCs w:val="20"/>
              </w:rPr>
            </w:pPr>
          </w:p>
        </w:tc>
        <w:tc>
          <w:tcPr>
            <w:tcW w:w="0" w:type="auto"/>
            <w:gridSpan w:val="3"/>
            <w:vAlign w:val="center"/>
            <w:hideMark/>
          </w:tcPr>
          <w:p w14:paraId="5914C233" w14:textId="77777777" w:rsidR="00000000" w:rsidRDefault="00A173A8">
            <w:pPr>
              <w:spacing w:after="100"/>
              <w:rPr>
                <w:rFonts w:eastAsia="Times New Roman"/>
                <w:sz w:val="20"/>
                <w:szCs w:val="20"/>
              </w:rPr>
            </w:pPr>
          </w:p>
        </w:tc>
        <w:tc>
          <w:tcPr>
            <w:tcW w:w="0" w:type="auto"/>
            <w:gridSpan w:val="3"/>
            <w:vAlign w:val="center"/>
            <w:hideMark/>
          </w:tcPr>
          <w:p w14:paraId="0C6AFEF7" w14:textId="77777777" w:rsidR="00000000" w:rsidRDefault="00A173A8">
            <w:pPr>
              <w:spacing w:after="100"/>
              <w:rPr>
                <w:rFonts w:eastAsia="Times New Roman"/>
                <w:sz w:val="20"/>
                <w:szCs w:val="20"/>
              </w:rPr>
            </w:pPr>
          </w:p>
        </w:tc>
        <w:tc>
          <w:tcPr>
            <w:tcW w:w="0" w:type="auto"/>
            <w:gridSpan w:val="3"/>
            <w:vAlign w:val="center"/>
            <w:hideMark/>
          </w:tcPr>
          <w:p w14:paraId="7FC3F470" w14:textId="77777777" w:rsidR="00000000" w:rsidRDefault="00A173A8">
            <w:pPr>
              <w:spacing w:after="100"/>
              <w:rPr>
                <w:rFonts w:eastAsia="Times New Roman"/>
                <w:sz w:val="20"/>
                <w:szCs w:val="20"/>
              </w:rPr>
            </w:pPr>
          </w:p>
        </w:tc>
        <w:tc>
          <w:tcPr>
            <w:tcW w:w="0" w:type="auto"/>
            <w:gridSpan w:val="3"/>
            <w:vAlign w:val="center"/>
            <w:hideMark/>
          </w:tcPr>
          <w:p w14:paraId="1B855B0F" w14:textId="77777777" w:rsidR="00000000" w:rsidRDefault="00A173A8">
            <w:pPr>
              <w:spacing w:after="100"/>
              <w:rPr>
                <w:rFonts w:eastAsia="Times New Roman"/>
                <w:sz w:val="20"/>
                <w:szCs w:val="20"/>
              </w:rPr>
            </w:pPr>
          </w:p>
        </w:tc>
      </w:tr>
      <w:tr w:rsidR="00000000" w14:paraId="5DB6BC63" w14:textId="77777777">
        <w:trPr>
          <w:divId w:val="2062704384"/>
        </w:trPr>
        <w:tc>
          <w:tcPr>
            <w:tcW w:w="0" w:type="auto"/>
            <w:gridSpan w:val="3"/>
            <w:shd w:val="clear" w:color="auto" w:fill="CCEEFF"/>
            <w:tcMar>
              <w:top w:w="30" w:type="dxa"/>
              <w:left w:w="245" w:type="dxa"/>
              <w:bottom w:w="30" w:type="dxa"/>
              <w:right w:w="20" w:type="dxa"/>
            </w:tcMar>
            <w:vAlign w:val="center"/>
            <w:hideMark/>
          </w:tcPr>
          <w:p w14:paraId="1FA3CDC9" w14:textId="77777777" w:rsidR="00000000" w:rsidRDefault="00A173A8">
            <w:pPr>
              <w:spacing w:after="100"/>
              <w:rPr>
                <w:rFonts w:eastAsia="Times New Roman"/>
              </w:rPr>
            </w:pPr>
            <w:r>
              <w:rPr>
                <w:rFonts w:eastAsia="Times New Roman"/>
                <w:color w:val="000000"/>
                <w:sz w:val="20"/>
                <w:szCs w:val="20"/>
              </w:rPr>
              <w:t>Interest-bearing deposits</w:t>
            </w:r>
          </w:p>
        </w:tc>
        <w:tc>
          <w:tcPr>
            <w:tcW w:w="0" w:type="auto"/>
            <w:gridSpan w:val="3"/>
            <w:shd w:val="clear" w:color="auto" w:fill="CCEEFF"/>
            <w:tcMar>
              <w:top w:w="0" w:type="dxa"/>
              <w:left w:w="20" w:type="dxa"/>
              <w:bottom w:w="0" w:type="dxa"/>
              <w:right w:w="20" w:type="dxa"/>
            </w:tcMar>
            <w:vAlign w:val="center"/>
            <w:hideMark/>
          </w:tcPr>
          <w:p w14:paraId="6A1A55AF"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0F560739"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725FD7B7" w14:textId="77777777" w:rsidR="00000000" w:rsidRDefault="00A173A8">
            <w:pPr>
              <w:spacing w:after="100"/>
              <w:jc w:val="right"/>
              <w:rPr>
                <w:rFonts w:eastAsia="Times New Roman"/>
              </w:rPr>
            </w:pPr>
            <w:r>
              <w:rPr>
                <w:rFonts w:eastAsia="Times New Roman"/>
                <w:b/>
                <w:bCs/>
                <w:color w:val="000000"/>
                <w:sz w:val="20"/>
                <w:szCs w:val="20"/>
              </w:rPr>
              <w:t>269,953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1E388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E7490"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CCAA8DA"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35BCACCE" w14:textId="77777777" w:rsidR="00000000" w:rsidRDefault="00A173A8">
            <w:pPr>
              <w:spacing w:after="100"/>
              <w:jc w:val="right"/>
              <w:rPr>
                <w:rFonts w:eastAsia="Times New Roman"/>
              </w:rPr>
            </w:pPr>
            <w:r>
              <w:rPr>
                <w:rFonts w:eastAsia="Times New Roman"/>
                <w:b/>
                <w:bCs/>
                <w:color w:val="000000"/>
                <w:sz w:val="20"/>
                <w:szCs w:val="20"/>
              </w:rPr>
              <w:t>511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23E2D2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82F7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2144A4" w14:textId="77777777" w:rsidR="00000000" w:rsidRDefault="00A173A8">
            <w:pPr>
              <w:spacing w:after="100"/>
              <w:jc w:val="right"/>
              <w:rPr>
                <w:rFonts w:eastAsia="Times New Roman"/>
              </w:rPr>
            </w:pPr>
            <w:r>
              <w:rPr>
                <w:rFonts w:eastAsia="Times New Roman"/>
                <w:b/>
                <w:bCs/>
                <w:color w:val="000000"/>
                <w:sz w:val="20"/>
                <w:szCs w:val="20"/>
              </w:rPr>
              <w:t>0.38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75316B4"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99ACA0A"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3245A286"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3478ADB2" w14:textId="77777777" w:rsidR="00000000" w:rsidRDefault="00A173A8">
            <w:pPr>
              <w:spacing w:after="100"/>
              <w:jc w:val="right"/>
              <w:rPr>
                <w:rFonts w:eastAsia="Times New Roman"/>
              </w:rPr>
            </w:pPr>
            <w:r>
              <w:rPr>
                <w:rFonts w:eastAsia="Times New Roman"/>
                <w:color w:val="000000"/>
                <w:sz w:val="20"/>
                <w:szCs w:val="20"/>
              </w:rPr>
              <w:t>273,417 </w:t>
            </w:r>
          </w:p>
        </w:tc>
        <w:tc>
          <w:tcPr>
            <w:tcW w:w="0" w:type="auto"/>
            <w:shd w:val="clear" w:color="auto" w:fill="CCEEFF"/>
            <w:tcMar>
              <w:top w:w="30" w:type="dxa"/>
              <w:left w:w="0" w:type="dxa"/>
              <w:bottom w:w="30" w:type="dxa"/>
              <w:right w:w="20" w:type="dxa"/>
            </w:tcMar>
            <w:vAlign w:val="center"/>
            <w:hideMark/>
          </w:tcPr>
          <w:p w14:paraId="14AC56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71971"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E17E59C"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5D0582F" w14:textId="77777777" w:rsidR="00000000" w:rsidRDefault="00A173A8">
            <w:pPr>
              <w:spacing w:after="100"/>
              <w:jc w:val="right"/>
              <w:rPr>
                <w:rFonts w:eastAsia="Times New Roman"/>
              </w:rPr>
            </w:pPr>
            <w:r>
              <w:rPr>
                <w:rFonts w:eastAsia="Times New Roman"/>
                <w:color w:val="000000"/>
                <w:sz w:val="20"/>
                <w:szCs w:val="20"/>
              </w:rPr>
              <w:t>506 </w:t>
            </w:r>
          </w:p>
        </w:tc>
        <w:tc>
          <w:tcPr>
            <w:tcW w:w="0" w:type="auto"/>
            <w:shd w:val="clear" w:color="auto" w:fill="CCEEFF"/>
            <w:tcMar>
              <w:top w:w="30" w:type="dxa"/>
              <w:left w:w="0" w:type="dxa"/>
              <w:bottom w:w="30" w:type="dxa"/>
              <w:right w:w="20" w:type="dxa"/>
            </w:tcMar>
            <w:vAlign w:val="center"/>
            <w:hideMark/>
          </w:tcPr>
          <w:p w14:paraId="74D3B3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EF5E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4DD8ED" w14:textId="77777777" w:rsidR="00000000" w:rsidRDefault="00A173A8">
            <w:pPr>
              <w:spacing w:after="100"/>
              <w:jc w:val="right"/>
              <w:rPr>
                <w:rFonts w:eastAsia="Times New Roman"/>
              </w:rPr>
            </w:pPr>
            <w:r>
              <w:rPr>
                <w:rFonts w:eastAsia="Times New Roman"/>
                <w:color w:val="000000"/>
                <w:sz w:val="20"/>
                <w:szCs w:val="20"/>
              </w:rPr>
              <w:t>0.37 </w:t>
            </w:r>
          </w:p>
        </w:tc>
        <w:tc>
          <w:tcPr>
            <w:tcW w:w="0" w:type="auto"/>
            <w:shd w:val="clear" w:color="auto" w:fill="CCEEFF"/>
            <w:tcMar>
              <w:top w:w="30" w:type="dxa"/>
              <w:left w:w="0" w:type="dxa"/>
              <w:bottom w:w="30" w:type="dxa"/>
              <w:right w:w="20" w:type="dxa"/>
            </w:tcMar>
            <w:vAlign w:val="center"/>
            <w:hideMark/>
          </w:tcPr>
          <w:p w14:paraId="16879C65"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6B878D2E" w14:textId="77777777" w:rsidR="00000000" w:rsidRDefault="00A173A8">
            <w:pPr>
              <w:spacing w:after="100"/>
              <w:jc w:val="right"/>
              <w:rPr>
                <w:rFonts w:eastAsia="Times New Roman"/>
              </w:rPr>
            </w:pPr>
          </w:p>
        </w:tc>
        <w:tc>
          <w:tcPr>
            <w:tcW w:w="0" w:type="auto"/>
            <w:vAlign w:val="center"/>
            <w:hideMark/>
          </w:tcPr>
          <w:p w14:paraId="4A400A48" w14:textId="77777777" w:rsidR="00000000" w:rsidRDefault="00A173A8">
            <w:pPr>
              <w:spacing w:after="100"/>
              <w:rPr>
                <w:rFonts w:eastAsia="Times New Roman"/>
                <w:sz w:val="20"/>
                <w:szCs w:val="20"/>
              </w:rPr>
            </w:pPr>
          </w:p>
        </w:tc>
        <w:tc>
          <w:tcPr>
            <w:tcW w:w="0" w:type="auto"/>
            <w:gridSpan w:val="3"/>
            <w:vAlign w:val="center"/>
            <w:hideMark/>
          </w:tcPr>
          <w:p w14:paraId="15D74DA4" w14:textId="77777777" w:rsidR="00000000" w:rsidRDefault="00A173A8">
            <w:pPr>
              <w:spacing w:after="100"/>
              <w:rPr>
                <w:rFonts w:eastAsia="Times New Roman"/>
                <w:sz w:val="20"/>
                <w:szCs w:val="20"/>
              </w:rPr>
            </w:pPr>
          </w:p>
        </w:tc>
        <w:tc>
          <w:tcPr>
            <w:tcW w:w="0" w:type="auto"/>
            <w:gridSpan w:val="3"/>
            <w:vAlign w:val="center"/>
            <w:hideMark/>
          </w:tcPr>
          <w:p w14:paraId="7FCA4C1D" w14:textId="77777777" w:rsidR="00000000" w:rsidRDefault="00A173A8">
            <w:pPr>
              <w:spacing w:after="100"/>
              <w:rPr>
                <w:rFonts w:eastAsia="Times New Roman"/>
                <w:sz w:val="20"/>
                <w:szCs w:val="20"/>
              </w:rPr>
            </w:pPr>
          </w:p>
        </w:tc>
        <w:tc>
          <w:tcPr>
            <w:tcW w:w="0" w:type="auto"/>
            <w:gridSpan w:val="3"/>
            <w:vAlign w:val="center"/>
            <w:hideMark/>
          </w:tcPr>
          <w:p w14:paraId="0ED6F5F1" w14:textId="77777777" w:rsidR="00000000" w:rsidRDefault="00A173A8">
            <w:pPr>
              <w:spacing w:after="100"/>
              <w:rPr>
                <w:rFonts w:eastAsia="Times New Roman"/>
                <w:sz w:val="20"/>
                <w:szCs w:val="20"/>
              </w:rPr>
            </w:pPr>
          </w:p>
        </w:tc>
        <w:tc>
          <w:tcPr>
            <w:tcW w:w="0" w:type="auto"/>
            <w:gridSpan w:val="3"/>
            <w:vAlign w:val="center"/>
            <w:hideMark/>
          </w:tcPr>
          <w:p w14:paraId="67A5C656" w14:textId="77777777" w:rsidR="00000000" w:rsidRDefault="00A173A8">
            <w:pPr>
              <w:spacing w:after="100"/>
              <w:rPr>
                <w:rFonts w:eastAsia="Times New Roman"/>
                <w:sz w:val="20"/>
                <w:szCs w:val="20"/>
              </w:rPr>
            </w:pPr>
          </w:p>
        </w:tc>
      </w:tr>
      <w:tr w:rsidR="00000000" w14:paraId="0B28781A" w14:textId="77777777">
        <w:trPr>
          <w:divId w:val="2062704384"/>
        </w:trPr>
        <w:tc>
          <w:tcPr>
            <w:tcW w:w="0" w:type="auto"/>
            <w:gridSpan w:val="3"/>
            <w:shd w:val="clear" w:color="auto" w:fill="FFFFFF"/>
            <w:tcMar>
              <w:top w:w="30" w:type="dxa"/>
              <w:left w:w="245" w:type="dxa"/>
              <w:bottom w:w="30" w:type="dxa"/>
              <w:right w:w="20" w:type="dxa"/>
            </w:tcMar>
            <w:vAlign w:val="center"/>
            <w:hideMark/>
          </w:tcPr>
          <w:p w14:paraId="4666186D" w14:textId="77777777" w:rsidR="00000000" w:rsidRDefault="00A173A8">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FFFFFF"/>
            <w:tcMar>
              <w:top w:w="0" w:type="dxa"/>
              <w:left w:w="20" w:type="dxa"/>
              <w:bottom w:w="0" w:type="dxa"/>
              <w:right w:w="20" w:type="dxa"/>
            </w:tcMar>
            <w:vAlign w:val="center"/>
            <w:hideMark/>
          </w:tcPr>
          <w:p w14:paraId="55C3EE1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89259D9" w14:textId="77777777" w:rsidR="00000000" w:rsidRDefault="00A173A8">
            <w:pPr>
              <w:spacing w:after="100"/>
              <w:jc w:val="right"/>
              <w:rPr>
                <w:rFonts w:eastAsia="Times New Roman"/>
              </w:rPr>
            </w:pPr>
            <w:r>
              <w:rPr>
                <w:rFonts w:eastAsia="Times New Roman"/>
                <w:b/>
                <w:bCs/>
                <w:color w:val="000000"/>
                <w:sz w:val="20"/>
                <w:szCs w:val="20"/>
              </w:rPr>
              <w:t>14,394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18DC41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822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4D30FA" w14:textId="77777777" w:rsidR="00000000" w:rsidRDefault="00A173A8">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B5CC5D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E3C2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F62104" w14:textId="77777777" w:rsidR="00000000" w:rsidRDefault="00A173A8">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05DA4E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BAFB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E201F5" w14:textId="77777777" w:rsidR="00000000" w:rsidRDefault="00A173A8">
            <w:pPr>
              <w:spacing w:after="100"/>
              <w:jc w:val="right"/>
              <w:rPr>
                <w:rFonts w:eastAsia="Times New Roman"/>
              </w:rPr>
            </w:pPr>
            <w:r>
              <w:rPr>
                <w:rFonts w:eastAsia="Times New Roman"/>
                <w:color w:val="000000"/>
                <w:sz w:val="20"/>
                <w:szCs w:val="20"/>
              </w:rPr>
              <w:t>11,561 </w:t>
            </w:r>
          </w:p>
        </w:tc>
        <w:tc>
          <w:tcPr>
            <w:tcW w:w="0" w:type="auto"/>
            <w:shd w:val="clear" w:color="auto" w:fill="FFFFFF"/>
            <w:tcMar>
              <w:top w:w="30" w:type="dxa"/>
              <w:left w:w="0" w:type="dxa"/>
              <w:bottom w:w="30" w:type="dxa"/>
              <w:right w:w="20" w:type="dxa"/>
            </w:tcMar>
            <w:vAlign w:val="center"/>
            <w:hideMark/>
          </w:tcPr>
          <w:p w14:paraId="597210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EE4D6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1BDCF4" w14:textId="77777777" w:rsidR="00000000" w:rsidRDefault="00A173A8">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center"/>
            <w:hideMark/>
          </w:tcPr>
          <w:p w14:paraId="33F85E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E108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DC84BF" w14:textId="77777777" w:rsidR="00000000" w:rsidRDefault="00A173A8">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center"/>
            <w:hideMark/>
          </w:tcPr>
          <w:p w14:paraId="49DD89B3" w14:textId="77777777" w:rsidR="00000000" w:rsidRDefault="00A173A8">
            <w:pPr>
              <w:spacing w:after="100"/>
              <w:jc w:val="right"/>
              <w:rPr>
                <w:rFonts w:eastAsia="Times New Roman"/>
              </w:rPr>
            </w:pPr>
          </w:p>
        </w:tc>
        <w:tc>
          <w:tcPr>
            <w:tcW w:w="0" w:type="auto"/>
            <w:vAlign w:val="center"/>
            <w:hideMark/>
          </w:tcPr>
          <w:p w14:paraId="52F86AAC" w14:textId="77777777" w:rsidR="00000000" w:rsidRDefault="00A173A8">
            <w:pPr>
              <w:spacing w:after="100"/>
              <w:jc w:val="right"/>
              <w:rPr>
                <w:rFonts w:eastAsia="Times New Roman"/>
                <w:sz w:val="20"/>
                <w:szCs w:val="20"/>
              </w:rPr>
            </w:pPr>
          </w:p>
        </w:tc>
        <w:tc>
          <w:tcPr>
            <w:tcW w:w="0" w:type="auto"/>
            <w:vAlign w:val="center"/>
            <w:hideMark/>
          </w:tcPr>
          <w:p w14:paraId="1F212FBD" w14:textId="77777777" w:rsidR="00000000" w:rsidRDefault="00A173A8">
            <w:pPr>
              <w:spacing w:after="100"/>
              <w:rPr>
                <w:rFonts w:eastAsia="Times New Roman"/>
                <w:sz w:val="20"/>
                <w:szCs w:val="20"/>
              </w:rPr>
            </w:pPr>
          </w:p>
        </w:tc>
        <w:tc>
          <w:tcPr>
            <w:tcW w:w="0" w:type="auto"/>
            <w:gridSpan w:val="3"/>
            <w:vAlign w:val="center"/>
            <w:hideMark/>
          </w:tcPr>
          <w:p w14:paraId="573124AC" w14:textId="77777777" w:rsidR="00000000" w:rsidRDefault="00A173A8">
            <w:pPr>
              <w:spacing w:after="100"/>
              <w:rPr>
                <w:rFonts w:eastAsia="Times New Roman"/>
                <w:sz w:val="20"/>
                <w:szCs w:val="20"/>
              </w:rPr>
            </w:pPr>
          </w:p>
        </w:tc>
        <w:tc>
          <w:tcPr>
            <w:tcW w:w="0" w:type="auto"/>
            <w:gridSpan w:val="3"/>
            <w:vAlign w:val="center"/>
            <w:hideMark/>
          </w:tcPr>
          <w:p w14:paraId="1358D179" w14:textId="77777777" w:rsidR="00000000" w:rsidRDefault="00A173A8">
            <w:pPr>
              <w:spacing w:after="100"/>
              <w:rPr>
                <w:rFonts w:eastAsia="Times New Roman"/>
                <w:sz w:val="20"/>
                <w:szCs w:val="20"/>
              </w:rPr>
            </w:pPr>
          </w:p>
        </w:tc>
        <w:tc>
          <w:tcPr>
            <w:tcW w:w="0" w:type="auto"/>
            <w:gridSpan w:val="3"/>
            <w:vAlign w:val="center"/>
            <w:hideMark/>
          </w:tcPr>
          <w:p w14:paraId="5168D384" w14:textId="77777777" w:rsidR="00000000" w:rsidRDefault="00A173A8">
            <w:pPr>
              <w:spacing w:after="100"/>
              <w:rPr>
                <w:rFonts w:eastAsia="Times New Roman"/>
                <w:sz w:val="20"/>
                <w:szCs w:val="20"/>
              </w:rPr>
            </w:pPr>
          </w:p>
        </w:tc>
        <w:tc>
          <w:tcPr>
            <w:tcW w:w="0" w:type="auto"/>
            <w:gridSpan w:val="3"/>
            <w:vAlign w:val="center"/>
            <w:hideMark/>
          </w:tcPr>
          <w:p w14:paraId="3D875083" w14:textId="77777777" w:rsidR="00000000" w:rsidRDefault="00A173A8">
            <w:pPr>
              <w:spacing w:after="100"/>
              <w:rPr>
                <w:rFonts w:eastAsia="Times New Roman"/>
                <w:sz w:val="20"/>
                <w:szCs w:val="20"/>
              </w:rPr>
            </w:pPr>
          </w:p>
        </w:tc>
      </w:tr>
      <w:tr w:rsidR="00000000" w14:paraId="2BB3AE03" w14:textId="77777777">
        <w:trPr>
          <w:divId w:val="2062704384"/>
        </w:trPr>
        <w:tc>
          <w:tcPr>
            <w:tcW w:w="0" w:type="auto"/>
            <w:gridSpan w:val="3"/>
            <w:shd w:val="clear" w:color="auto" w:fill="CCEEFF"/>
            <w:tcMar>
              <w:top w:w="30" w:type="dxa"/>
              <w:left w:w="245" w:type="dxa"/>
              <w:bottom w:w="30" w:type="dxa"/>
              <w:right w:w="20" w:type="dxa"/>
            </w:tcMar>
            <w:vAlign w:val="center"/>
            <w:hideMark/>
          </w:tcPr>
          <w:p w14:paraId="2A942E00" w14:textId="77777777" w:rsidR="00000000" w:rsidRDefault="00A173A8">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CCEEFF"/>
            <w:tcMar>
              <w:top w:w="0" w:type="dxa"/>
              <w:left w:w="20" w:type="dxa"/>
              <w:bottom w:w="0" w:type="dxa"/>
              <w:right w:w="20" w:type="dxa"/>
            </w:tcMar>
            <w:vAlign w:val="center"/>
            <w:hideMark/>
          </w:tcPr>
          <w:p w14:paraId="11B5847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BA7106E" w14:textId="77777777" w:rsidR="00000000" w:rsidRDefault="00A173A8">
            <w:pPr>
              <w:spacing w:after="100"/>
              <w:jc w:val="right"/>
              <w:rPr>
                <w:rFonts w:eastAsia="Times New Roman"/>
              </w:rPr>
            </w:pPr>
            <w:r>
              <w:rPr>
                <w:rFonts w:eastAsia="Times New Roman"/>
                <w:b/>
                <w:bCs/>
                <w:color w:val="000000"/>
                <w:sz w:val="20"/>
                <w:szCs w:val="20"/>
              </w:rPr>
              <w:t>27,707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2E584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E640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513E02" w14:textId="77777777" w:rsidR="00000000" w:rsidRDefault="00A173A8">
            <w:pPr>
              <w:spacing w:after="100"/>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4C4B32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9FCF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0A7E1A" w14:textId="77777777" w:rsidR="00000000" w:rsidRDefault="00A173A8">
            <w:pPr>
              <w:spacing w:after="100"/>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E9474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D908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DF3303" w14:textId="77777777" w:rsidR="00000000" w:rsidRDefault="00A173A8">
            <w:pPr>
              <w:spacing w:after="100"/>
              <w:jc w:val="right"/>
              <w:rPr>
                <w:rFonts w:eastAsia="Times New Roman"/>
              </w:rPr>
            </w:pPr>
            <w:r>
              <w:rPr>
                <w:rFonts w:eastAsia="Times New Roman"/>
                <w:color w:val="000000"/>
                <w:sz w:val="20"/>
                <w:szCs w:val="20"/>
              </w:rPr>
              <w:t>26,223 </w:t>
            </w:r>
          </w:p>
        </w:tc>
        <w:tc>
          <w:tcPr>
            <w:tcW w:w="0" w:type="auto"/>
            <w:shd w:val="clear" w:color="auto" w:fill="CCEEFF"/>
            <w:tcMar>
              <w:top w:w="30" w:type="dxa"/>
              <w:left w:w="0" w:type="dxa"/>
              <w:bottom w:w="30" w:type="dxa"/>
              <w:right w:w="20" w:type="dxa"/>
            </w:tcMar>
            <w:vAlign w:val="center"/>
            <w:hideMark/>
          </w:tcPr>
          <w:p w14:paraId="51B4BF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6858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ADA1D3" w14:textId="77777777" w:rsidR="00000000" w:rsidRDefault="00A173A8">
            <w:pPr>
              <w:spacing w:after="100"/>
              <w:jc w:val="right"/>
              <w:rPr>
                <w:rFonts w:eastAsia="Times New Roman"/>
              </w:rPr>
            </w:pPr>
            <w:r>
              <w:rPr>
                <w:rFonts w:eastAsia="Times New Roman"/>
                <w:color w:val="000000"/>
                <w:sz w:val="20"/>
                <w:szCs w:val="20"/>
              </w:rPr>
              <w:t>251 </w:t>
            </w:r>
          </w:p>
        </w:tc>
        <w:tc>
          <w:tcPr>
            <w:tcW w:w="0" w:type="auto"/>
            <w:shd w:val="clear" w:color="auto" w:fill="CCEEFF"/>
            <w:tcMar>
              <w:top w:w="30" w:type="dxa"/>
              <w:left w:w="0" w:type="dxa"/>
              <w:bottom w:w="30" w:type="dxa"/>
              <w:right w:w="20" w:type="dxa"/>
            </w:tcMar>
            <w:vAlign w:val="center"/>
            <w:hideMark/>
          </w:tcPr>
          <w:p w14:paraId="1C25F95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A4DD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E96B3B" w14:textId="77777777" w:rsidR="00000000" w:rsidRDefault="00A173A8">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center"/>
            <w:hideMark/>
          </w:tcPr>
          <w:p w14:paraId="71C37166" w14:textId="77777777" w:rsidR="00000000" w:rsidRDefault="00A173A8">
            <w:pPr>
              <w:spacing w:after="100"/>
              <w:jc w:val="right"/>
              <w:rPr>
                <w:rFonts w:eastAsia="Times New Roman"/>
              </w:rPr>
            </w:pPr>
          </w:p>
        </w:tc>
        <w:tc>
          <w:tcPr>
            <w:tcW w:w="0" w:type="auto"/>
            <w:vAlign w:val="center"/>
            <w:hideMark/>
          </w:tcPr>
          <w:p w14:paraId="71E25462" w14:textId="77777777" w:rsidR="00000000" w:rsidRDefault="00A173A8">
            <w:pPr>
              <w:spacing w:after="100"/>
              <w:jc w:val="right"/>
              <w:rPr>
                <w:rFonts w:eastAsia="Times New Roman"/>
                <w:sz w:val="20"/>
                <w:szCs w:val="20"/>
              </w:rPr>
            </w:pPr>
          </w:p>
        </w:tc>
        <w:tc>
          <w:tcPr>
            <w:tcW w:w="0" w:type="auto"/>
            <w:vAlign w:val="center"/>
            <w:hideMark/>
          </w:tcPr>
          <w:p w14:paraId="12CC1709" w14:textId="77777777" w:rsidR="00000000" w:rsidRDefault="00A173A8">
            <w:pPr>
              <w:spacing w:after="100"/>
              <w:rPr>
                <w:rFonts w:eastAsia="Times New Roman"/>
                <w:sz w:val="20"/>
                <w:szCs w:val="20"/>
              </w:rPr>
            </w:pPr>
          </w:p>
        </w:tc>
        <w:tc>
          <w:tcPr>
            <w:tcW w:w="0" w:type="auto"/>
            <w:gridSpan w:val="3"/>
            <w:vAlign w:val="center"/>
            <w:hideMark/>
          </w:tcPr>
          <w:p w14:paraId="3A9C693F" w14:textId="77777777" w:rsidR="00000000" w:rsidRDefault="00A173A8">
            <w:pPr>
              <w:spacing w:after="100"/>
              <w:rPr>
                <w:rFonts w:eastAsia="Times New Roman"/>
                <w:sz w:val="20"/>
                <w:szCs w:val="20"/>
              </w:rPr>
            </w:pPr>
          </w:p>
        </w:tc>
        <w:tc>
          <w:tcPr>
            <w:tcW w:w="0" w:type="auto"/>
            <w:gridSpan w:val="3"/>
            <w:vAlign w:val="center"/>
            <w:hideMark/>
          </w:tcPr>
          <w:p w14:paraId="1D7E5979" w14:textId="77777777" w:rsidR="00000000" w:rsidRDefault="00A173A8">
            <w:pPr>
              <w:spacing w:after="100"/>
              <w:rPr>
                <w:rFonts w:eastAsia="Times New Roman"/>
                <w:sz w:val="20"/>
                <w:szCs w:val="20"/>
              </w:rPr>
            </w:pPr>
          </w:p>
        </w:tc>
        <w:tc>
          <w:tcPr>
            <w:tcW w:w="0" w:type="auto"/>
            <w:gridSpan w:val="3"/>
            <w:vAlign w:val="center"/>
            <w:hideMark/>
          </w:tcPr>
          <w:p w14:paraId="133B4AA8" w14:textId="77777777" w:rsidR="00000000" w:rsidRDefault="00A173A8">
            <w:pPr>
              <w:spacing w:after="100"/>
              <w:rPr>
                <w:rFonts w:eastAsia="Times New Roman"/>
                <w:sz w:val="20"/>
                <w:szCs w:val="20"/>
              </w:rPr>
            </w:pPr>
          </w:p>
        </w:tc>
        <w:tc>
          <w:tcPr>
            <w:tcW w:w="0" w:type="auto"/>
            <w:gridSpan w:val="3"/>
            <w:vAlign w:val="center"/>
            <w:hideMark/>
          </w:tcPr>
          <w:p w14:paraId="64ABBE62" w14:textId="77777777" w:rsidR="00000000" w:rsidRDefault="00A173A8">
            <w:pPr>
              <w:spacing w:after="100"/>
              <w:rPr>
                <w:rFonts w:eastAsia="Times New Roman"/>
                <w:sz w:val="20"/>
                <w:szCs w:val="20"/>
              </w:rPr>
            </w:pPr>
          </w:p>
        </w:tc>
      </w:tr>
      <w:tr w:rsidR="00000000" w14:paraId="08F0F173" w14:textId="77777777">
        <w:trPr>
          <w:divId w:val="2062704384"/>
        </w:trPr>
        <w:tc>
          <w:tcPr>
            <w:tcW w:w="0" w:type="auto"/>
            <w:gridSpan w:val="3"/>
            <w:shd w:val="clear" w:color="auto" w:fill="FFFFFF"/>
            <w:tcMar>
              <w:top w:w="30" w:type="dxa"/>
              <w:left w:w="245" w:type="dxa"/>
              <w:bottom w:w="30" w:type="dxa"/>
              <w:right w:w="20" w:type="dxa"/>
            </w:tcMar>
            <w:vAlign w:val="center"/>
            <w:hideMark/>
          </w:tcPr>
          <w:p w14:paraId="27277EF6" w14:textId="77777777" w:rsidR="00000000" w:rsidRDefault="00A173A8">
            <w:pPr>
              <w:spacing w:after="100"/>
              <w:rPr>
                <w:rFonts w:eastAsia="Times New Roman"/>
              </w:rPr>
            </w:pPr>
            <w:r>
              <w:rPr>
                <w:rFonts w:eastAsia="Times New Roman"/>
                <w:color w:val="000000"/>
                <w:sz w:val="20"/>
                <w:szCs w:val="20"/>
              </w:rPr>
              <w:t>Other borrowings and liabilities</w:t>
            </w:r>
          </w:p>
        </w:tc>
        <w:tc>
          <w:tcPr>
            <w:tcW w:w="0" w:type="auto"/>
            <w:gridSpan w:val="3"/>
            <w:shd w:val="clear" w:color="auto" w:fill="FFFFFF"/>
            <w:tcMar>
              <w:top w:w="0" w:type="dxa"/>
              <w:left w:w="20" w:type="dxa"/>
              <w:bottom w:w="0" w:type="dxa"/>
              <w:right w:w="20" w:type="dxa"/>
            </w:tcMar>
            <w:vAlign w:val="center"/>
            <w:hideMark/>
          </w:tcPr>
          <w:p w14:paraId="313E5CF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0822389" w14:textId="77777777" w:rsidR="00000000" w:rsidRDefault="00A173A8">
            <w:pPr>
              <w:spacing w:after="100"/>
              <w:jc w:val="right"/>
              <w:rPr>
                <w:rFonts w:eastAsia="Times New Roman"/>
              </w:rPr>
            </w:pPr>
            <w:r>
              <w:rPr>
                <w:rFonts w:eastAsia="Times New Roman"/>
                <w:b/>
                <w:bCs/>
                <w:color w:val="000000"/>
                <w:sz w:val="20"/>
                <w:szCs w:val="20"/>
              </w:rPr>
              <w:t>7,298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B9A1F8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75E7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AF194D" w14:textId="77777777" w:rsidR="00000000" w:rsidRDefault="00A173A8">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B6A694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56900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DF58D2" w14:textId="77777777" w:rsidR="00000000" w:rsidRDefault="00A173A8">
            <w:pPr>
              <w:spacing w:after="100"/>
              <w:jc w:val="right"/>
              <w:rPr>
                <w:rFonts w:eastAsia="Times New Roman"/>
              </w:rPr>
            </w:pPr>
            <w:r>
              <w:rPr>
                <w:rFonts w:eastAsia="Times New Roman"/>
                <w:b/>
                <w:bCs/>
                <w:color w:val="000000"/>
                <w:sz w:val="20"/>
                <w:szCs w:val="20"/>
              </w:rPr>
              <w:t>0.98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65F3DB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E7B2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5673EF" w14:textId="77777777" w:rsidR="00000000" w:rsidRDefault="00A173A8">
            <w:pPr>
              <w:spacing w:after="100"/>
              <w:jc w:val="right"/>
              <w:rPr>
                <w:rFonts w:eastAsia="Times New Roman"/>
              </w:rPr>
            </w:pPr>
            <w:r>
              <w:rPr>
                <w:rFonts w:eastAsia="Times New Roman"/>
                <w:color w:val="000000"/>
                <w:sz w:val="20"/>
                <w:szCs w:val="20"/>
              </w:rPr>
              <w:t>2,205 </w:t>
            </w:r>
          </w:p>
        </w:tc>
        <w:tc>
          <w:tcPr>
            <w:tcW w:w="0" w:type="auto"/>
            <w:shd w:val="clear" w:color="auto" w:fill="FFFFFF"/>
            <w:tcMar>
              <w:top w:w="30" w:type="dxa"/>
              <w:left w:w="0" w:type="dxa"/>
              <w:bottom w:w="30" w:type="dxa"/>
              <w:right w:w="20" w:type="dxa"/>
            </w:tcMar>
            <w:vAlign w:val="center"/>
            <w:hideMark/>
          </w:tcPr>
          <w:p w14:paraId="09AA749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7736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226F16" w14:textId="77777777" w:rsidR="00000000" w:rsidRDefault="00A173A8">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center"/>
            <w:hideMark/>
          </w:tcPr>
          <w:p w14:paraId="570C7BD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74FE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C038BC" w14:textId="77777777" w:rsidR="00000000" w:rsidRDefault="00A173A8">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center"/>
            <w:hideMark/>
          </w:tcPr>
          <w:p w14:paraId="5F4D87DF" w14:textId="77777777" w:rsidR="00000000" w:rsidRDefault="00A173A8">
            <w:pPr>
              <w:spacing w:after="100"/>
              <w:jc w:val="right"/>
              <w:rPr>
                <w:rFonts w:eastAsia="Times New Roman"/>
              </w:rPr>
            </w:pPr>
          </w:p>
        </w:tc>
        <w:tc>
          <w:tcPr>
            <w:tcW w:w="0" w:type="auto"/>
            <w:vAlign w:val="center"/>
            <w:hideMark/>
          </w:tcPr>
          <w:p w14:paraId="3C624E5A" w14:textId="77777777" w:rsidR="00000000" w:rsidRDefault="00A173A8">
            <w:pPr>
              <w:spacing w:after="100"/>
              <w:jc w:val="right"/>
              <w:rPr>
                <w:rFonts w:eastAsia="Times New Roman"/>
                <w:sz w:val="20"/>
                <w:szCs w:val="20"/>
              </w:rPr>
            </w:pPr>
          </w:p>
        </w:tc>
        <w:tc>
          <w:tcPr>
            <w:tcW w:w="0" w:type="auto"/>
            <w:vAlign w:val="center"/>
            <w:hideMark/>
          </w:tcPr>
          <w:p w14:paraId="2264B275" w14:textId="77777777" w:rsidR="00000000" w:rsidRDefault="00A173A8">
            <w:pPr>
              <w:spacing w:after="100"/>
              <w:rPr>
                <w:rFonts w:eastAsia="Times New Roman"/>
                <w:sz w:val="20"/>
                <w:szCs w:val="20"/>
              </w:rPr>
            </w:pPr>
          </w:p>
        </w:tc>
        <w:tc>
          <w:tcPr>
            <w:tcW w:w="0" w:type="auto"/>
            <w:gridSpan w:val="3"/>
            <w:vAlign w:val="center"/>
            <w:hideMark/>
          </w:tcPr>
          <w:p w14:paraId="0C1EEB3A" w14:textId="77777777" w:rsidR="00000000" w:rsidRDefault="00A173A8">
            <w:pPr>
              <w:spacing w:after="100"/>
              <w:rPr>
                <w:rFonts w:eastAsia="Times New Roman"/>
                <w:sz w:val="20"/>
                <w:szCs w:val="20"/>
              </w:rPr>
            </w:pPr>
          </w:p>
        </w:tc>
        <w:tc>
          <w:tcPr>
            <w:tcW w:w="0" w:type="auto"/>
            <w:gridSpan w:val="3"/>
            <w:vAlign w:val="center"/>
            <w:hideMark/>
          </w:tcPr>
          <w:p w14:paraId="1932D6CE" w14:textId="77777777" w:rsidR="00000000" w:rsidRDefault="00A173A8">
            <w:pPr>
              <w:spacing w:after="100"/>
              <w:rPr>
                <w:rFonts w:eastAsia="Times New Roman"/>
                <w:sz w:val="20"/>
                <w:szCs w:val="20"/>
              </w:rPr>
            </w:pPr>
          </w:p>
        </w:tc>
        <w:tc>
          <w:tcPr>
            <w:tcW w:w="0" w:type="auto"/>
            <w:gridSpan w:val="3"/>
            <w:vAlign w:val="center"/>
            <w:hideMark/>
          </w:tcPr>
          <w:p w14:paraId="4E67624B" w14:textId="77777777" w:rsidR="00000000" w:rsidRDefault="00A173A8">
            <w:pPr>
              <w:spacing w:after="100"/>
              <w:rPr>
                <w:rFonts w:eastAsia="Times New Roman"/>
                <w:sz w:val="20"/>
                <w:szCs w:val="20"/>
              </w:rPr>
            </w:pPr>
          </w:p>
        </w:tc>
        <w:tc>
          <w:tcPr>
            <w:tcW w:w="0" w:type="auto"/>
            <w:gridSpan w:val="3"/>
            <w:vAlign w:val="center"/>
            <w:hideMark/>
          </w:tcPr>
          <w:p w14:paraId="6F32BFB2" w14:textId="77777777" w:rsidR="00000000" w:rsidRDefault="00A173A8">
            <w:pPr>
              <w:spacing w:after="100"/>
              <w:rPr>
                <w:rFonts w:eastAsia="Times New Roman"/>
                <w:sz w:val="20"/>
                <w:szCs w:val="20"/>
              </w:rPr>
            </w:pPr>
          </w:p>
        </w:tc>
      </w:tr>
      <w:tr w:rsidR="00000000" w14:paraId="7D6DF561" w14:textId="77777777">
        <w:trPr>
          <w:divId w:val="2062704384"/>
        </w:trPr>
        <w:tc>
          <w:tcPr>
            <w:tcW w:w="0" w:type="auto"/>
            <w:gridSpan w:val="3"/>
            <w:shd w:val="clear" w:color="auto" w:fill="CCEEFF"/>
            <w:tcMar>
              <w:top w:w="30" w:type="dxa"/>
              <w:left w:w="20" w:type="dxa"/>
              <w:bottom w:w="30" w:type="dxa"/>
              <w:right w:w="20" w:type="dxa"/>
            </w:tcMar>
            <w:vAlign w:val="center"/>
            <w:hideMark/>
          </w:tcPr>
          <w:p w14:paraId="1E6B7DE7" w14:textId="77777777" w:rsidR="00000000" w:rsidRDefault="00A173A8">
            <w:pPr>
              <w:spacing w:after="100"/>
              <w:rPr>
                <w:rFonts w:eastAsia="Times New Roman"/>
              </w:rPr>
            </w:pPr>
            <w:r>
              <w:rPr>
                <w:rFonts w:eastAsia="Times New Roman"/>
                <w:color w:val="000000"/>
                <w:sz w:val="20"/>
                <w:szCs w:val="20"/>
              </w:rPr>
              <w:t>Total interest-bearing liabilities</w:t>
            </w:r>
          </w:p>
        </w:tc>
        <w:tc>
          <w:tcPr>
            <w:tcW w:w="0" w:type="auto"/>
            <w:gridSpan w:val="3"/>
            <w:shd w:val="clear" w:color="auto" w:fill="CCEEFF"/>
            <w:tcMar>
              <w:top w:w="0" w:type="dxa"/>
              <w:left w:w="20" w:type="dxa"/>
              <w:bottom w:w="0" w:type="dxa"/>
              <w:right w:w="20" w:type="dxa"/>
            </w:tcMar>
            <w:vAlign w:val="center"/>
            <w:hideMark/>
          </w:tcPr>
          <w:p w14:paraId="1CC9D871"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6813282" w14:textId="77777777" w:rsidR="00000000" w:rsidRDefault="00A173A8">
            <w:pPr>
              <w:spacing w:after="100"/>
              <w:jc w:val="right"/>
              <w:rPr>
                <w:rFonts w:eastAsia="Times New Roman"/>
              </w:rPr>
            </w:pPr>
            <w:r>
              <w:rPr>
                <w:rFonts w:eastAsia="Times New Roman"/>
                <w:b/>
                <w:bCs/>
                <w:color w:val="000000"/>
                <w:sz w:val="20"/>
                <w:szCs w:val="20"/>
              </w:rPr>
              <w:t>319,352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7B555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8568E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157920" w14:textId="77777777" w:rsidR="00000000" w:rsidRDefault="00A173A8">
            <w:pPr>
              <w:spacing w:after="100"/>
              <w:jc w:val="right"/>
              <w:rPr>
                <w:rFonts w:eastAsia="Times New Roman"/>
              </w:rPr>
            </w:pPr>
            <w:r>
              <w:rPr>
                <w:rFonts w:eastAsia="Times New Roman"/>
                <w:b/>
                <w:bCs/>
                <w:color w:val="000000"/>
                <w:sz w:val="20"/>
                <w:szCs w:val="20"/>
              </w:rPr>
              <w:t>965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D47DF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F24A0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0F80DA" w14:textId="77777777" w:rsidR="00000000" w:rsidRDefault="00A173A8">
            <w:pPr>
              <w:spacing w:after="100"/>
              <w:jc w:val="right"/>
              <w:rPr>
                <w:rFonts w:eastAsia="Times New Roman"/>
              </w:rPr>
            </w:pPr>
            <w:r>
              <w:rPr>
                <w:rFonts w:eastAsia="Times New Roman"/>
                <w:b/>
                <w:bCs/>
                <w:color w:val="000000"/>
                <w:sz w:val="20"/>
                <w:szCs w:val="20"/>
              </w:rPr>
              <w:t>0.60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FCF2AD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ACA61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6CD4F0" w14:textId="77777777" w:rsidR="00000000" w:rsidRDefault="00A173A8">
            <w:pPr>
              <w:spacing w:after="100"/>
              <w:jc w:val="right"/>
              <w:rPr>
                <w:rFonts w:eastAsia="Times New Roman"/>
              </w:rPr>
            </w:pPr>
            <w:r>
              <w:rPr>
                <w:rFonts w:eastAsia="Times New Roman"/>
                <w:color w:val="000000"/>
                <w:sz w:val="20"/>
                <w:szCs w:val="20"/>
              </w:rPr>
              <w:t>313,406 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31DC8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5B25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F8374E" w14:textId="77777777" w:rsidR="00000000" w:rsidRDefault="00A173A8">
            <w:pPr>
              <w:spacing w:after="100"/>
              <w:jc w:val="right"/>
              <w:rPr>
                <w:rFonts w:eastAsia="Times New Roman"/>
              </w:rPr>
            </w:pPr>
            <w:r>
              <w:rPr>
                <w:rFonts w:eastAsia="Times New Roman"/>
                <w:color w:val="000000"/>
                <w:sz w:val="20"/>
                <w:szCs w:val="20"/>
              </w:rPr>
              <w:t>835 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6E9AE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397B8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444A7F" w14:textId="77777777" w:rsidR="00000000" w:rsidRDefault="00A173A8">
            <w:pPr>
              <w:spacing w:after="100"/>
              <w:jc w:val="right"/>
              <w:rPr>
                <w:rFonts w:eastAsia="Times New Roman"/>
              </w:rPr>
            </w:pPr>
            <w:r>
              <w:rPr>
                <w:rFonts w:eastAsia="Times New Roman"/>
                <w:color w:val="000000"/>
                <w:sz w:val="20"/>
                <w:szCs w:val="20"/>
              </w:rPr>
              <w:t>0.53 </w:t>
            </w:r>
          </w:p>
        </w:tc>
        <w:tc>
          <w:tcPr>
            <w:tcW w:w="0" w:type="auto"/>
            <w:shd w:val="clear" w:color="auto" w:fill="CCEEFF"/>
            <w:tcMar>
              <w:top w:w="30" w:type="dxa"/>
              <w:left w:w="0" w:type="dxa"/>
              <w:bottom w:w="30" w:type="dxa"/>
              <w:right w:w="20" w:type="dxa"/>
            </w:tcMar>
            <w:vAlign w:val="center"/>
            <w:hideMark/>
          </w:tcPr>
          <w:p w14:paraId="3FEAD848" w14:textId="77777777" w:rsidR="00000000" w:rsidRDefault="00A173A8">
            <w:pPr>
              <w:spacing w:after="100"/>
              <w:jc w:val="right"/>
              <w:rPr>
                <w:rFonts w:eastAsia="Times New Roman"/>
              </w:rPr>
            </w:pPr>
          </w:p>
        </w:tc>
        <w:tc>
          <w:tcPr>
            <w:tcW w:w="0" w:type="auto"/>
            <w:vAlign w:val="center"/>
            <w:hideMark/>
          </w:tcPr>
          <w:p w14:paraId="2F781C99" w14:textId="77777777" w:rsidR="00000000" w:rsidRDefault="00A173A8">
            <w:pPr>
              <w:spacing w:after="100"/>
              <w:jc w:val="right"/>
              <w:rPr>
                <w:rFonts w:eastAsia="Times New Roman"/>
                <w:sz w:val="20"/>
                <w:szCs w:val="20"/>
              </w:rPr>
            </w:pPr>
          </w:p>
        </w:tc>
        <w:tc>
          <w:tcPr>
            <w:tcW w:w="0" w:type="auto"/>
            <w:vAlign w:val="center"/>
            <w:hideMark/>
          </w:tcPr>
          <w:p w14:paraId="2DEDD646" w14:textId="77777777" w:rsidR="00000000" w:rsidRDefault="00A173A8">
            <w:pPr>
              <w:spacing w:after="100"/>
              <w:rPr>
                <w:rFonts w:eastAsia="Times New Roman"/>
                <w:sz w:val="20"/>
                <w:szCs w:val="20"/>
              </w:rPr>
            </w:pPr>
          </w:p>
        </w:tc>
        <w:tc>
          <w:tcPr>
            <w:tcW w:w="0" w:type="auto"/>
            <w:gridSpan w:val="3"/>
            <w:vAlign w:val="center"/>
            <w:hideMark/>
          </w:tcPr>
          <w:p w14:paraId="18421A37" w14:textId="77777777" w:rsidR="00000000" w:rsidRDefault="00A173A8">
            <w:pPr>
              <w:spacing w:after="100"/>
              <w:rPr>
                <w:rFonts w:eastAsia="Times New Roman"/>
                <w:sz w:val="20"/>
                <w:szCs w:val="20"/>
              </w:rPr>
            </w:pPr>
          </w:p>
        </w:tc>
        <w:tc>
          <w:tcPr>
            <w:tcW w:w="0" w:type="auto"/>
            <w:gridSpan w:val="3"/>
            <w:vAlign w:val="center"/>
            <w:hideMark/>
          </w:tcPr>
          <w:p w14:paraId="3AF48134" w14:textId="77777777" w:rsidR="00000000" w:rsidRDefault="00A173A8">
            <w:pPr>
              <w:spacing w:after="100"/>
              <w:rPr>
                <w:rFonts w:eastAsia="Times New Roman"/>
                <w:sz w:val="20"/>
                <w:szCs w:val="20"/>
              </w:rPr>
            </w:pPr>
          </w:p>
        </w:tc>
        <w:tc>
          <w:tcPr>
            <w:tcW w:w="0" w:type="auto"/>
            <w:gridSpan w:val="3"/>
            <w:vAlign w:val="center"/>
            <w:hideMark/>
          </w:tcPr>
          <w:p w14:paraId="510D7DD5" w14:textId="77777777" w:rsidR="00000000" w:rsidRDefault="00A173A8">
            <w:pPr>
              <w:spacing w:after="100"/>
              <w:rPr>
                <w:rFonts w:eastAsia="Times New Roman"/>
                <w:sz w:val="20"/>
                <w:szCs w:val="20"/>
              </w:rPr>
            </w:pPr>
          </w:p>
        </w:tc>
        <w:tc>
          <w:tcPr>
            <w:tcW w:w="0" w:type="auto"/>
            <w:gridSpan w:val="3"/>
            <w:vAlign w:val="center"/>
            <w:hideMark/>
          </w:tcPr>
          <w:p w14:paraId="0DA13B55" w14:textId="77777777" w:rsidR="00000000" w:rsidRDefault="00A173A8">
            <w:pPr>
              <w:spacing w:after="100"/>
              <w:rPr>
                <w:rFonts w:eastAsia="Times New Roman"/>
                <w:sz w:val="20"/>
                <w:szCs w:val="20"/>
              </w:rPr>
            </w:pPr>
          </w:p>
        </w:tc>
      </w:tr>
      <w:tr w:rsidR="00000000" w14:paraId="2B0DE650" w14:textId="77777777">
        <w:trPr>
          <w:divId w:val="2062704384"/>
        </w:trPr>
        <w:tc>
          <w:tcPr>
            <w:tcW w:w="0" w:type="auto"/>
            <w:gridSpan w:val="3"/>
            <w:shd w:val="clear" w:color="auto" w:fill="FFFFFF"/>
            <w:tcMar>
              <w:top w:w="30" w:type="dxa"/>
              <w:left w:w="20" w:type="dxa"/>
              <w:bottom w:w="30" w:type="dxa"/>
              <w:right w:w="20" w:type="dxa"/>
            </w:tcMar>
            <w:vAlign w:val="center"/>
            <w:hideMark/>
          </w:tcPr>
          <w:p w14:paraId="7E6B91B5" w14:textId="77777777" w:rsidR="00000000" w:rsidRDefault="00A173A8">
            <w:pPr>
              <w:spacing w:after="100"/>
              <w:rPr>
                <w:rFonts w:eastAsia="Times New Roman"/>
              </w:rPr>
            </w:pPr>
            <w:r>
              <w:rPr>
                <w:rFonts w:eastAsia="Times New Roman"/>
                <w:color w:val="000000"/>
                <w:sz w:val="20"/>
                <w:szCs w:val="20"/>
              </w:rPr>
              <w:t>Non-interest-bearing deposits</w:t>
            </w:r>
          </w:p>
        </w:tc>
        <w:tc>
          <w:tcPr>
            <w:tcW w:w="0" w:type="auto"/>
            <w:gridSpan w:val="3"/>
            <w:shd w:val="clear" w:color="auto" w:fill="FFFFFF"/>
            <w:tcMar>
              <w:top w:w="0" w:type="dxa"/>
              <w:left w:w="20" w:type="dxa"/>
              <w:bottom w:w="0" w:type="dxa"/>
              <w:right w:w="20" w:type="dxa"/>
            </w:tcMar>
            <w:vAlign w:val="center"/>
            <w:hideMark/>
          </w:tcPr>
          <w:p w14:paraId="7FC1B62D"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576CC11" w14:textId="77777777" w:rsidR="00000000" w:rsidRDefault="00A173A8">
            <w:pPr>
              <w:spacing w:after="100"/>
              <w:jc w:val="right"/>
              <w:rPr>
                <w:rFonts w:eastAsia="Times New Roman"/>
              </w:rPr>
            </w:pPr>
            <w:r>
              <w:rPr>
                <w:rFonts w:eastAsia="Times New Roman"/>
                <w:b/>
                <w:bCs/>
                <w:color w:val="000000"/>
                <w:sz w:val="20"/>
                <w:szCs w:val="20"/>
              </w:rPr>
              <w:t>37,812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97F7B6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EB082"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B62FC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54139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7FDB4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0BE35A"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1D9BC9" w14:textId="77777777" w:rsidR="00000000" w:rsidRDefault="00A173A8">
            <w:pPr>
              <w:spacing w:after="100"/>
              <w:jc w:val="right"/>
              <w:rPr>
                <w:rFonts w:eastAsia="Times New Roman"/>
              </w:rPr>
            </w:pPr>
            <w:r>
              <w:rPr>
                <w:rFonts w:eastAsia="Times New Roman"/>
                <w:color w:val="000000"/>
                <w:sz w:val="20"/>
                <w:szCs w:val="20"/>
              </w:rPr>
              <w:t>33,228 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EE28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D820B"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C2B8E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D99F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487D5C" w14:textId="77777777" w:rsidR="00000000" w:rsidRDefault="00A173A8">
            <w:pPr>
              <w:spacing w:after="100"/>
              <w:rPr>
                <w:rFonts w:eastAsia="Times New Roman"/>
                <w:sz w:val="20"/>
                <w:szCs w:val="20"/>
              </w:rPr>
            </w:pPr>
          </w:p>
        </w:tc>
        <w:tc>
          <w:tcPr>
            <w:tcW w:w="0" w:type="auto"/>
            <w:vAlign w:val="center"/>
            <w:hideMark/>
          </w:tcPr>
          <w:p w14:paraId="63FE0A16" w14:textId="77777777" w:rsidR="00000000" w:rsidRDefault="00A173A8">
            <w:pPr>
              <w:spacing w:after="100"/>
              <w:rPr>
                <w:rFonts w:eastAsia="Times New Roman"/>
                <w:sz w:val="20"/>
                <w:szCs w:val="20"/>
              </w:rPr>
            </w:pPr>
          </w:p>
        </w:tc>
        <w:tc>
          <w:tcPr>
            <w:tcW w:w="0" w:type="auto"/>
            <w:vAlign w:val="center"/>
            <w:hideMark/>
          </w:tcPr>
          <w:p w14:paraId="23D5DBC4" w14:textId="77777777" w:rsidR="00000000" w:rsidRDefault="00A173A8">
            <w:pPr>
              <w:spacing w:after="100"/>
              <w:rPr>
                <w:rFonts w:eastAsia="Times New Roman"/>
                <w:sz w:val="20"/>
                <w:szCs w:val="20"/>
              </w:rPr>
            </w:pPr>
          </w:p>
        </w:tc>
        <w:tc>
          <w:tcPr>
            <w:tcW w:w="0" w:type="auto"/>
            <w:gridSpan w:val="3"/>
            <w:vAlign w:val="center"/>
            <w:hideMark/>
          </w:tcPr>
          <w:p w14:paraId="5E5CA5A6" w14:textId="77777777" w:rsidR="00000000" w:rsidRDefault="00A173A8">
            <w:pPr>
              <w:spacing w:after="100"/>
              <w:rPr>
                <w:rFonts w:eastAsia="Times New Roman"/>
                <w:sz w:val="20"/>
                <w:szCs w:val="20"/>
              </w:rPr>
            </w:pPr>
          </w:p>
        </w:tc>
        <w:tc>
          <w:tcPr>
            <w:tcW w:w="0" w:type="auto"/>
            <w:gridSpan w:val="3"/>
            <w:vAlign w:val="center"/>
            <w:hideMark/>
          </w:tcPr>
          <w:p w14:paraId="234BBB08" w14:textId="77777777" w:rsidR="00000000" w:rsidRDefault="00A173A8">
            <w:pPr>
              <w:spacing w:after="100"/>
              <w:rPr>
                <w:rFonts w:eastAsia="Times New Roman"/>
                <w:sz w:val="20"/>
                <w:szCs w:val="20"/>
              </w:rPr>
            </w:pPr>
          </w:p>
        </w:tc>
        <w:tc>
          <w:tcPr>
            <w:tcW w:w="0" w:type="auto"/>
            <w:gridSpan w:val="3"/>
            <w:vAlign w:val="center"/>
            <w:hideMark/>
          </w:tcPr>
          <w:p w14:paraId="2B52E0B3" w14:textId="77777777" w:rsidR="00000000" w:rsidRDefault="00A173A8">
            <w:pPr>
              <w:spacing w:after="100"/>
              <w:rPr>
                <w:rFonts w:eastAsia="Times New Roman"/>
                <w:sz w:val="20"/>
                <w:szCs w:val="20"/>
              </w:rPr>
            </w:pPr>
          </w:p>
        </w:tc>
        <w:tc>
          <w:tcPr>
            <w:tcW w:w="0" w:type="auto"/>
            <w:gridSpan w:val="3"/>
            <w:vAlign w:val="center"/>
            <w:hideMark/>
          </w:tcPr>
          <w:p w14:paraId="2582EEBF" w14:textId="77777777" w:rsidR="00000000" w:rsidRDefault="00A173A8">
            <w:pPr>
              <w:spacing w:after="100"/>
              <w:rPr>
                <w:rFonts w:eastAsia="Times New Roman"/>
                <w:sz w:val="20"/>
                <w:szCs w:val="20"/>
              </w:rPr>
            </w:pPr>
          </w:p>
        </w:tc>
      </w:tr>
      <w:tr w:rsidR="00000000" w14:paraId="6539D374" w14:textId="77777777">
        <w:trPr>
          <w:divId w:val="2062704384"/>
        </w:trPr>
        <w:tc>
          <w:tcPr>
            <w:tcW w:w="0" w:type="auto"/>
            <w:gridSpan w:val="3"/>
            <w:shd w:val="clear" w:color="auto" w:fill="CCEEFF"/>
            <w:tcMar>
              <w:top w:w="30" w:type="dxa"/>
              <w:left w:w="20" w:type="dxa"/>
              <w:bottom w:w="30" w:type="dxa"/>
              <w:right w:w="20" w:type="dxa"/>
            </w:tcMar>
            <w:vAlign w:val="center"/>
            <w:hideMark/>
          </w:tcPr>
          <w:p w14:paraId="4F494522" w14:textId="77777777" w:rsidR="00000000" w:rsidRDefault="00A173A8">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0" w:type="dxa"/>
              <w:left w:w="20" w:type="dxa"/>
              <w:bottom w:w="0" w:type="dxa"/>
              <w:right w:w="20" w:type="dxa"/>
            </w:tcMar>
            <w:vAlign w:val="center"/>
            <w:hideMark/>
          </w:tcPr>
          <w:p w14:paraId="48EDFA6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ACEF9A" w14:textId="77777777" w:rsidR="00000000" w:rsidRDefault="00A173A8">
            <w:pPr>
              <w:spacing w:after="100"/>
              <w:jc w:val="right"/>
              <w:rPr>
                <w:rFonts w:eastAsia="Times New Roman"/>
              </w:rPr>
            </w:pPr>
            <w:r>
              <w:rPr>
                <w:rFonts w:eastAsia="Times New Roman"/>
                <w:b/>
                <w:bCs/>
                <w:color w:val="000000"/>
                <w:sz w:val="20"/>
                <w:szCs w:val="20"/>
              </w:rPr>
              <w:t>18,856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170D6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D3EBD6"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0B328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9E515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A2560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CB674A"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4681C8" w14:textId="77777777" w:rsidR="00000000" w:rsidRDefault="00A173A8">
            <w:pPr>
              <w:spacing w:after="100"/>
              <w:jc w:val="right"/>
              <w:rPr>
                <w:rFonts w:eastAsia="Times New Roman"/>
              </w:rPr>
            </w:pPr>
            <w:r>
              <w:rPr>
                <w:rFonts w:eastAsia="Times New Roman"/>
                <w:color w:val="000000"/>
                <w:sz w:val="20"/>
                <w:szCs w:val="20"/>
              </w:rPr>
              <w:t>14,821 </w:t>
            </w:r>
          </w:p>
        </w:tc>
        <w:tc>
          <w:tcPr>
            <w:tcW w:w="0" w:type="auto"/>
            <w:shd w:val="clear" w:color="auto" w:fill="CCEEFF"/>
            <w:tcMar>
              <w:top w:w="30" w:type="dxa"/>
              <w:left w:w="0" w:type="dxa"/>
              <w:bottom w:w="30" w:type="dxa"/>
              <w:right w:w="20" w:type="dxa"/>
            </w:tcMar>
            <w:vAlign w:val="center"/>
            <w:hideMark/>
          </w:tcPr>
          <w:p w14:paraId="2CEDD84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E2688"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68FEF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0AB94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72A752" w14:textId="77777777" w:rsidR="00000000" w:rsidRDefault="00A173A8">
            <w:pPr>
              <w:spacing w:after="100"/>
              <w:rPr>
                <w:rFonts w:eastAsia="Times New Roman"/>
                <w:sz w:val="20"/>
                <w:szCs w:val="20"/>
              </w:rPr>
            </w:pPr>
          </w:p>
        </w:tc>
        <w:tc>
          <w:tcPr>
            <w:tcW w:w="0" w:type="auto"/>
            <w:vAlign w:val="center"/>
            <w:hideMark/>
          </w:tcPr>
          <w:p w14:paraId="6989B60D" w14:textId="77777777" w:rsidR="00000000" w:rsidRDefault="00A173A8">
            <w:pPr>
              <w:spacing w:after="100"/>
              <w:rPr>
                <w:rFonts w:eastAsia="Times New Roman"/>
                <w:sz w:val="20"/>
                <w:szCs w:val="20"/>
              </w:rPr>
            </w:pPr>
          </w:p>
        </w:tc>
        <w:tc>
          <w:tcPr>
            <w:tcW w:w="0" w:type="auto"/>
            <w:vAlign w:val="center"/>
            <w:hideMark/>
          </w:tcPr>
          <w:p w14:paraId="6319F294" w14:textId="77777777" w:rsidR="00000000" w:rsidRDefault="00A173A8">
            <w:pPr>
              <w:spacing w:after="100"/>
              <w:rPr>
                <w:rFonts w:eastAsia="Times New Roman"/>
                <w:sz w:val="20"/>
                <w:szCs w:val="20"/>
              </w:rPr>
            </w:pPr>
          </w:p>
        </w:tc>
        <w:tc>
          <w:tcPr>
            <w:tcW w:w="0" w:type="auto"/>
            <w:gridSpan w:val="3"/>
            <w:vAlign w:val="center"/>
            <w:hideMark/>
          </w:tcPr>
          <w:p w14:paraId="757BFA25" w14:textId="77777777" w:rsidR="00000000" w:rsidRDefault="00A173A8">
            <w:pPr>
              <w:spacing w:after="100"/>
              <w:rPr>
                <w:rFonts w:eastAsia="Times New Roman"/>
                <w:sz w:val="20"/>
                <w:szCs w:val="20"/>
              </w:rPr>
            </w:pPr>
          </w:p>
        </w:tc>
        <w:tc>
          <w:tcPr>
            <w:tcW w:w="0" w:type="auto"/>
            <w:gridSpan w:val="3"/>
            <w:vAlign w:val="center"/>
            <w:hideMark/>
          </w:tcPr>
          <w:p w14:paraId="30384A3D" w14:textId="77777777" w:rsidR="00000000" w:rsidRDefault="00A173A8">
            <w:pPr>
              <w:spacing w:after="100"/>
              <w:rPr>
                <w:rFonts w:eastAsia="Times New Roman"/>
                <w:sz w:val="20"/>
                <w:szCs w:val="20"/>
              </w:rPr>
            </w:pPr>
          </w:p>
        </w:tc>
        <w:tc>
          <w:tcPr>
            <w:tcW w:w="0" w:type="auto"/>
            <w:gridSpan w:val="3"/>
            <w:vAlign w:val="center"/>
            <w:hideMark/>
          </w:tcPr>
          <w:p w14:paraId="7A84D61B" w14:textId="77777777" w:rsidR="00000000" w:rsidRDefault="00A173A8">
            <w:pPr>
              <w:spacing w:after="100"/>
              <w:rPr>
                <w:rFonts w:eastAsia="Times New Roman"/>
                <w:sz w:val="20"/>
                <w:szCs w:val="20"/>
              </w:rPr>
            </w:pPr>
          </w:p>
        </w:tc>
        <w:tc>
          <w:tcPr>
            <w:tcW w:w="0" w:type="auto"/>
            <w:gridSpan w:val="3"/>
            <w:vAlign w:val="center"/>
            <w:hideMark/>
          </w:tcPr>
          <w:p w14:paraId="5516C2BE" w14:textId="77777777" w:rsidR="00000000" w:rsidRDefault="00A173A8">
            <w:pPr>
              <w:spacing w:after="100"/>
              <w:rPr>
                <w:rFonts w:eastAsia="Times New Roman"/>
                <w:sz w:val="20"/>
                <w:szCs w:val="20"/>
              </w:rPr>
            </w:pPr>
          </w:p>
        </w:tc>
      </w:tr>
      <w:tr w:rsidR="00000000" w14:paraId="0F04B6C2" w14:textId="77777777">
        <w:trPr>
          <w:divId w:val="2062704384"/>
        </w:trPr>
        <w:tc>
          <w:tcPr>
            <w:tcW w:w="0" w:type="auto"/>
            <w:gridSpan w:val="3"/>
            <w:shd w:val="clear" w:color="auto" w:fill="FFFFFF"/>
            <w:tcMar>
              <w:top w:w="30" w:type="dxa"/>
              <w:left w:w="20" w:type="dxa"/>
              <w:bottom w:w="30" w:type="dxa"/>
              <w:right w:w="20" w:type="dxa"/>
            </w:tcMar>
            <w:vAlign w:val="center"/>
            <w:hideMark/>
          </w:tcPr>
          <w:p w14:paraId="76720093" w14:textId="77777777" w:rsidR="00000000" w:rsidRDefault="00A173A8">
            <w:pPr>
              <w:spacing w:after="100"/>
              <w:rPr>
                <w:rFonts w:eastAsia="Times New Roman"/>
              </w:rPr>
            </w:pPr>
            <w:r>
              <w:rPr>
                <w:rFonts w:eastAsia="Times New Roman"/>
                <w:color w:val="000000"/>
                <w:sz w:val="20"/>
                <w:szCs w:val="20"/>
              </w:rPr>
              <w:t>Total liabilities</w:t>
            </w:r>
          </w:p>
        </w:tc>
        <w:tc>
          <w:tcPr>
            <w:tcW w:w="0" w:type="auto"/>
            <w:gridSpan w:val="3"/>
            <w:shd w:val="clear" w:color="auto" w:fill="FFFFFF"/>
            <w:tcMar>
              <w:top w:w="0" w:type="dxa"/>
              <w:left w:w="20" w:type="dxa"/>
              <w:bottom w:w="0" w:type="dxa"/>
              <w:right w:w="20" w:type="dxa"/>
            </w:tcMar>
            <w:vAlign w:val="center"/>
            <w:hideMark/>
          </w:tcPr>
          <w:p w14:paraId="0E8CF5C6"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0BD75D6" w14:textId="77777777" w:rsidR="00000000" w:rsidRDefault="00A173A8">
            <w:pPr>
              <w:spacing w:after="100"/>
              <w:jc w:val="right"/>
              <w:rPr>
                <w:rFonts w:eastAsia="Times New Roman"/>
              </w:rPr>
            </w:pPr>
            <w:r>
              <w:rPr>
                <w:rFonts w:eastAsia="Times New Roman"/>
                <w:b/>
                <w:bCs/>
                <w:color w:val="000000"/>
                <w:sz w:val="20"/>
                <w:szCs w:val="20"/>
              </w:rPr>
              <w:t>376,020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F5E627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45343"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2AF79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6A772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69548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DC9E93"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BC5DF3" w14:textId="77777777" w:rsidR="00000000" w:rsidRDefault="00A173A8">
            <w:pPr>
              <w:spacing w:after="100"/>
              <w:jc w:val="right"/>
              <w:rPr>
                <w:rFonts w:eastAsia="Times New Roman"/>
              </w:rPr>
            </w:pPr>
            <w:r>
              <w:rPr>
                <w:rFonts w:eastAsia="Times New Roman"/>
                <w:color w:val="000000"/>
                <w:sz w:val="20"/>
                <w:szCs w:val="20"/>
              </w:rPr>
              <w:t>361,455 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26CEE6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027E98"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BF684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0F7A0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CA28E7" w14:textId="77777777" w:rsidR="00000000" w:rsidRDefault="00A173A8">
            <w:pPr>
              <w:spacing w:after="100"/>
              <w:rPr>
                <w:rFonts w:eastAsia="Times New Roman"/>
                <w:sz w:val="20"/>
                <w:szCs w:val="20"/>
              </w:rPr>
            </w:pPr>
          </w:p>
        </w:tc>
        <w:tc>
          <w:tcPr>
            <w:tcW w:w="0" w:type="auto"/>
            <w:vAlign w:val="center"/>
            <w:hideMark/>
          </w:tcPr>
          <w:p w14:paraId="568FFA23" w14:textId="77777777" w:rsidR="00000000" w:rsidRDefault="00A173A8">
            <w:pPr>
              <w:spacing w:after="100"/>
              <w:rPr>
                <w:rFonts w:eastAsia="Times New Roman"/>
                <w:sz w:val="20"/>
                <w:szCs w:val="20"/>
              </w:rPr>
            </w:pPr>
          </w:p>
        </w:tc>
        <w:tc>
          <w:tcPr>
            <w:tcW w:w="0" w:type="auto"/>
            <w:vAlign w:val="center"/>
            <w:hideMark/>
          </w:tcPr>
          <w:p w14:paraId="6C7BF0D8" w14:textId="77777777" w:rsidR="00000000" w:rsidRDefault="00A173A8">
            <w:pPr>
              <w:spacing w:after="100"/>
              <w:rPr>
                <w:rFonts w:eastAsia="Times New Roman"/>
                <w:sz w:val="20"/>
                <w:szCs w:val="20"/>
              </w:rPr>
            </w:pPr>
          </w:p>
        </w:tc>
        <w:tc>
          <w:tcPr>
            <w:tcW w:w="0" w:type="auto"/>
            <w:gridSpan w:val="3"/>
            <w:vAlign w:val="center"/>
            <w:hideMark/>
          </w:tcPr>
          <w:p w14:paraId="69D39064" w14:textId="77777777" w:rsidR="00000000" w:rsidRDefault="00A173A8">
            <w:pPr>
              <w:spacing w:after="100"/>
              <w:rPr>
                <w:rFonts w:eastAsia="Times New Roman"/>
                <w:sz w:val="20"/>
                <w:szCs w:val="20"/>
              </w:rPr>
            </w:pPr>
          </w:p>
        </w:tc>
        <w:tc>
          <w:tcPr>
            <w:tcW w:w="0" w:type="auto"/>
            <w:gridSpan w:val="3"/>
            <w:vAlign w:val="center"/>
            <w:hideMark/>
          </w:tcPr>
          <w:p w14:paraId="74574B54" w14:textId="77777777" w:rsidR="00000000" w:rsidRDefault="00A173A8">
            <w:pPr>
              <w:spacing w:after="100"/>
              <w:rPr>
                <w:rFonts w:eastAsia="Times New Roman"/>
                <w:sz w:val="20"/>
                <w:szCs w:val="20"/>
              </w:rPr>
            </w:pPr>
          </w:p>
        </w:tc>
        <w:tc>
          <w:tcPr>
            <w:tcW w:w="0" w:type="auto"/>
            <w:gridSpan w:val="3"/>
            <w:vAlign w:val="center"/>
            <w:hideMark/>
          </w:tcPr>
          <w:p w14:paraId="53F1D125" w14:textId="77777777" w:rsidR="00000000" w:rsidRDefault="00A173A8">
            <w:pPr>
              <w:spacing w:after="100"/>
              <w:rPr>
                <w:rFonts w:eastAsia="Times New Roman"/>
                <w:sz w:val="20"/>
                <w:szCs w:val="20"/>
              </w:rPr>
            </w:pPr>
          </w:p>
        </w:tc>
        <w:tc>
          <w:tcPr>
            <w:tcW w:w="0" w:type="auto"/>
            <w:gridSpan w:val="3"/>
            <w:vAlign w:val="center"/>
            <w:hideMark/>
          </w:tcPr>
          <w:p w14:paraId="7EF16D8D" w14:textId="77777777" w:rsidR="00000000" w:rsidRDefault="00A173A8">
            <w:pPr>
              <w:spacing w:after="100"/>
              <w:rPr>
                <w:rFonts w:eastAsia="Times New Roman"/>
                <w:sz w:val="20"/>
                <w:szCs w:val="20"/>
              </w:rPr>
            </w:pPr>
          </w:p>
        </w:tc>
      </w:tr>
      <w:tr w:rsidR="00000000" w14:paraId="7C083272" w14:textId="77777777">
        <w:trPr>
          <w:divId w:val="2062704384"/>
        </w:trPr>
        <w:tc>
          <w:tcPr>
            <w:tcW w:w="0" w:type="auto"/>
            <w:gridSpan w:val="3"/>
            <w:shd w:val="clear" w:color="auto" w:fill="CCEEFF"/>
            <w:tcMar>
              <w:top w:w="30" w:type="dxa"/>
              <w:left w:w="20" w:type="dxa"/>
              <w:bottom w:w="30" w:type="dxa"/>
              <w:right w:w="20" w:type="dxa"/>
            </w:tcMar>
            <w:vAlign w:val="center"/>
            <w:hideMark/>
          </w:tcPr>
          <w:p w14:paraId="42E3DFC2" w14:textId="77777777" w:rsidR="00000000" w:rsidRDefault="00A173A8">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3B0BE08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B28193" w14:textId="77777777" w:rsidR="00000000" w:rsidRDefault="00A173A8">
            <w:pPr>
              <w:spacing w:after="100"/>
              <w:jc w:val="right"/>
              <w:rPr>
                <w:rFonts w:eastAsia="Times New Roman"/>
              </w:rPr>
            </w:pPr>
            <w:r>
              <w:rPr>
                <w:rFonts w:eastAsia="Times New Roman"/>
                <w:b/>
                <w:bCs/>
                <w:color w:val="000000"/>
                <w:sz w:val="20"/>
                <w:szCs w:val="20"/>
              </w:rPr>
              <w:t>56,786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821C40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9783D"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368B2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84826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8C58B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34BC33"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24C831" w14:textId="77777777" w:rsidR="00000000" w:rsidRDefault="00A173A8">
            <w:pPr>
              <w:spacing w:after="100"/>
              <w:jc w:val="right"/>
              <w:rPr>
                <w:rFonts w:eastAsia="Times New Roman"/>
              </w:rPr>
            </w:pPr>
            <w:r>
              <w:rPr>
                <w:rFonts w:eastAsia="Times New Roman"/>
                <w:color w:val="000000"/>
                <w:sz w:val="20"/>
                <w:szCs w:val="20"/>
              </w:rPr>
              <w:t>61,504 </w:t>
            </w:r>
          </w:p>
        </w:tc>
        <w:tc>
          <w:tcPr>
            <w:tcW w:w="0" w:type="auto"/>
            <w:shd w:val="clear" w:color="auto" w:fill="CCEEFF"/>
            <w:tcMar>
              <w:top w:w="30" w:type="dxa"/>
              <w:left w:w="0" w:type="dxa"/>
              <w:bottom w:w="30" w:type="dxa"/>
              <w:right w:w="20" w:type="dxa"/>
            </w:tcMar>
            <w:vAlign w:val="center"/>
            <w:hideMark/>
          </w:tcPr>
          <w:p w14:paraId="4F20ED9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46D7DA"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D3898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50F1B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56C1BE" w14:textId="77777777" w:rsidR="00000000" w:rsidRDefault="00A173A8">
            <w:pPr>
              <w:spacing w:after="100"/>
              <w:rPr>
                <w:rFonts w:eastAsia="Times New Roman"/>
                <w:sz w:val="20"/>
                <w:szCs w:val="20"/>
              </w:rPr>
            </w:pPr>
          </w:p>
        </w:tc>
        <w:tc>
          <w:tcPr>
            <w:tcW w:w="0" w:type="auto"/>
            <w:vAlign w:val="center"/>
            <w:hideMark/>
          </w:tcPr>
          <w:p w14:paraId="0A5366F3" w14:textId="77777777" w:rsidR="00000000" w:rsidRDefault="00A173A8">
            <w:pPr>
              <w:spacing w:after="100"/>
              <w:rPr>
                <w:rFonts w:eastAsia="Times New Roman"/>
                <w:sz w:val="20"/>
                <w:szCs w:val="20"/>
              </w:rPr>
            </w:pPr>
          </w:p>
        </w:tc>
        <w:tc>
          <w:tcPr>
            <w:tcW w:w="0" w:type="auto"/>
            <w:vAlign w:val="center"/>
            <w:hideMark/>
          </w:tcPr>
          <w:p w14:paraId="3CA13259" w14:textId="77777777" w:rsidR="00000000" w:rsidRDefault="00A173A8">
            <w:pPr>
              <w:spacing w:after="100"/>
              <w:rPr>
                <w:rFonts w:eastAsia="Times New Roman"/>
                <w:sz w:val="20"/>
                <w:szCs w:val="20"/>
              </w:rPr>
            </w:pPr>
          </w:p>
        </w:tc>
        <w:tc>
          <w:tcPr>
            <w:tcW w:w="0" w:type="auto"/>
            <w:gridSpan w:val="3"/>
            <w:vAlign w:val="center"/>
            <w:hideMark/>
          </w:tcPr>
          <w:p w14:paraId="0F155168" w14:textId="77777777" w:rsidR="00000000" w:rsidRDefault="00A173A8">
            <w:pPr>
              <w:spacing w:after="100"/>
              <w:rPr>
                <w:rFonts w:eastAsia="Times New Roman"/>
                <w:sz w:val="20"/>
                <w:szCs w:val="20"/>
              </w:rPr>
            </w:pPr>
          </w:p>
        </w:tc>
        <w:tc>
          <w:tcPr>
            <w:tcW w:w="0" w:type="auto"/>
            <w:gridSpan w:val="3"/>
            <w:vAlign w:val="center"/>
            <w:hideMark/>
          </w:tcPr>
          <w:p w14:paraId="3FE0CACA" w14:textId="77777777" w:rsidR="00000000" w:rsidRDefault="00A173A8">
            <w:pPr>
              <w:spacing w:after="100"/>
              <w:rPr>
                <w:rFonts w:eastAsia="Times New Roman"/>
                <w:sz w:val="20"/>
                <w:szCs w:val="20"/>
              </w:rPr>
            </w:pPr>
          </w:p>
        </w:tc>
        <w:tc>
          <w:tcPr>
            <w:tcW w:w="0" w:type="auto"/>
            <w:gridSpan w:val="3"/>
            <w:vAlign w:val="center"/>
            <w:hideMark/>
          </w:tcPr>
          <w:p w14:paraId="2DD07037" w14:textId="77777777" w:rsidR="00000000" w:rsidRDefault="00A173A8">
            <w:pPr>
              <w:spacing w:after="100"/>
              <w:rPr>
                <w:rFonts w:eastAsia="Times New Roman"/>
                <w:sz w:val="20"/>
                <w:szCs w:val="20"/>
              </w:rPr>
            </w:pPr>
          </w:p>
        </w:tc>
        <w:tc>
          <w:tcPr>
            <w:tcW w:w="0" w:type="auto"/>
            <w:gridSpan w:val="3"/>
            <w:vAlign w:val="center"/>
            <w:hideMark/>
          </w:tcPr>
          <w:p w14:paraId="306DB6BD" w14:textId="77777777" w:rsidR="00000000" w:rsidRDefault="00A173A8">
            <w:pPr>
              <w:spacing w:after="100"/>
              <w:rPr>
                <w:rFonts w:eastAsia="Times New Roman"/>
                <w:sz w:val="20"/>
                <w:szCs w:val="20"/>
              </w:rPr>
            </w:pPr>
          </w:p>
        </w:tc>
      </w:tr>
      <w:tr w:rsidR="00000000" w14:paraId="1193D081" w14:textId="77777777">
        <w:trPr>
          <w:divId w:val="2062704384"/>
        </w:trPr>
        <w:tc>
          <w:tcPr>
            <w:tcW w:w="0" w:type="auto"/>
            <w:gridSpan w:val="3"/>
            <w:shd w:val="clear" w:color="auto" w:fill="FFFFFF"/>
            <w:tcMar>
              <w:top w:w="30" w:type="dxa"/>
              <w:left w:w="20" w:type="dxa"/>
              <w:bottom w:w="30" w:type="dxa"/>
              <w:right w:w="20" w:type="dxa"/>
            </w:tcMar>
            <w:vAlign w:val="center"/>
            <w:hideMark/>
          </w:tcPr>
          <w:p w14:paraId="61842BAF" w14:textId="77777777" w:rsidR="00000000" w:rsidRDefault="00A173A8">
            <w:pPr>
              <w:spacing w:after="100"/>
              <w:rPr>
                <w:rFonts w:eastAsia="Times New Roman"/>
              </w:rPr>
            </w:pPr>
            <w:r>
              <w:rPr>
                <w:rFonts w:eastAsia="Times New Roman"/>
                <w:color w:val="000000"/>
                <w:sz w:val="20"/>
                <w:szCs w:val="20"/>
              </w:rPr>
              <w:t>Total liabilities and stockholders’ equity</w:t>
            </w:r>
          </w:p>
        </w:tc>
        <w:tc>
          <w:tcPr>
            <w:tcW w:w="0" w:type="auto"/>
            <w:gridSpan w:val="3"/>
            <w:shd w:val="clear" w:color="auto" w:fill="FFFFFF"/>
            <w:tcMar>
              <w:top w:w="0" w:type="dxa"/>
              <w:left w:w="20" w:type="dxa"/>
              <w:bottom w:w="0" w:type="dxa"/>
              <w:right w:w="20" w:type="dxa"/>
            </w:tcMar>
            <w:vAlign w:val="center"/>
            <w:hideMark/>
          </w:tcPr>
          <w:p w14:paraId="268CC48C"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15CFEE3"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7AAFDA4" w14:textId="77777777" w:rsidR="00000000" w:rsidRDefault="00A173A8">
            <w:pPr>
              <w:spacing w:after="100"/>
              <w:jc w:val="right"/>
              <w:rPr>
                <w:rFonts w:eastAsia="Times New Roman"/>
              </w:rPr>
            </w:pPr>
            <w:r>
              <w:rPr>
                <w:rFonts w:eastAsia="Times New Roman"/>
                <w:b/>
                <w:bCs/>
                <w:color w:val="000000"/>
                <w:sz w:val="20"/>
                <w:szCs w:val="20"/>
              </w:rPr>
              <w:t>432,806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5D158B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63FFF"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1204B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4B835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F9CC6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22D103" w14:textId="77777777" w:rsidR="00000000" w:rsidRDefault="00A173A8">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EB93685"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26D6705" w14:textId="77777777" w:rsidR="00000000" w:rsidRDefault="00A173A8">
            <w:pPr>
              <w:spacing w:after="100"/>
              <w:jc w:val="right"/>
              <w:rPr>
                <w:rFonts w:eastAsia="Times New Roman"/>
              </w:rPr>
            </w:pPr>
            <w:r>
              <w:rPr>
                <w:rFonts w:eastAsia="Times New Roman"/>
                <w:color w:val="000000"/>
                <w:sz w:val="20"/>
                <w:szCs w:val="20"/>
              </w:rPr>
              <w:t>422,959 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A15ECC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87BF6"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2849A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9EA23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C15538" w14:textId="77777777" w:rsidR="00000000" w:rsidRDefault="00A173A8">
            <w:pPr>
              <w:spacing w:after="100"/>
              <w:rPr>
                <w:rFonts w:eastAsia="Times New Roman"/>
                <w:sz w:val="20"/>
                <w:szCs w:val="20"/>
              </w:rPr>
            </w:pPr>
          </w:p>
        </w:tc>
        <w:tc>
          <w:tcPr>
            <w:tcW w:w="0" w:type="auto"/>
            <w:vAlign w:val="center"/>
            <w:hideMark/>
          </w:tcPr>
          <w:p w14:paraId="19EF2554" w14:textId="77777777" w:rsidR="00000000" w:rsidRDefault="00A173A8">
            <w:pPr>
              <w:spacing w:after="100"/>
              <w:rPr>
                <w:rFonts w:eastAsia="Times New Roman"/>
                <w:sz w:val="20"/>
                <w:szCs w:val="20"/>
              </w:rPr>
            </w:pPr>
          </w:p>
        </w:tc>
        <w:tc>
          <w:tcPr>
            <w:tcW w:w="0" w:type="auto"/>
            <w:vAlign w:val="center"/>
            <w:hideMark/>
          </w:tcPr>
          <w:p w14:paraId="0677D525" w14:textId="77777777" w:rsidR="00000000" w:rsidRDefault="00A173A8">
            <w:pPr>
              <w:spacing w:after="100"/>
              <w:rPr>
                <w:rFonts w:eastAsia="Times New Roman"/>
                <w:sz w:val="20"/>
                <w:szCs w:val="20"/>
              </w:rPr>
            </w:pPr>
          </w:p>
        </w:tc>
        <w:tc>
          <w:tcPr>
            <w:tcW w:w="0" w:type="auto"/>
            <w:gridSpan w:val="3"/>
            <w:vAlign w:val="center"/>
            <w:hideMark/>
          </w:tcPr>
          <w:p w14:paraId="3E38A6D0" w14:textId="77777777" w:rsidR="00000000" w:rsidRDefault="00A173A8">
            <w:pPr>
              <w:spacing w:after="100"/>
              <w:rPr>
                <w:rFonts w:eastAsia="Times New Roman"/>
                <w:sz w:val="20"/>
                <w:szCs w:val="20"/>
              </w:rPr>
            </w:pPr>
          </w:p>
        </w:tc>
        <w:tc>
          <w:tcPr>
            <w:tcW w:w="0" w:type="auto"/>
            <w:gridSpan w:val="3"/>
            <w:vAlign w:val="center"/>
            <w:hideMark/>
          </w:tcPr>
          <w:p w14:paraId="1E644026" w14:textId="77777777" w:rsidR="00000000" w:rsidRDefault="00A173A8">
            <w:pPr>
              <w:spacing w:after="100"/>
              <w:rPr>
                <w:rFonts w:eastAsia="Times New Roman"/>
                <w:sz w:val="20"/>
                <w:szCs w:val="20"/>
              </w:rPr>
            </w:pPr>
          </w:p>
        </w:tc>
        <w:tc>
          <w:tcPr>
            <w:tcW w:w="0" w:type="auto"/>
            <w:gridSpan w:val="3"/>
            <w:vAlign w:val="center"/>
            <w:hideMark/>
          </w:tcPr>
          <w:p w14:paraId="06FDA955" w14:textId="77777777" w:rsidR="00000000" w:rsidRDefault="00A173A8">
            <w:pPr>
              <w:spacing w:after="100"/>
              <w:rPr>
                <w:rFonts w:eastAsia="Times New Roman"/>
                <w:sz w:val="20"/>
                <w:szCs w:val="20"/>
              </w:rPr>
            </w:pPr>
          </w:p>
        </w:tc>
        <w:tc>
          <w:tcPr>
            <w:tcW w:w="0" w:type="auto"/>
            <w:gridSpan w:val="3"/>
            <w:vAlign w:val="center"/>
            <w:hideMark/>
          </w:tcPr>
          <w:p w14:paraId="4C55C5D8" w14:textId="77777777" w:rsidR="00000000" w:rsidRDefault="00A173A8">
            <w:pPr>
              <w:spacing w:after="100"/>
              <w:rPr>
                <w:rFonts w:eastAsia="Times New Roman"/>
                <w:sz w:val="20"/>
                <w:szCs w:val="20"/>
              </w:rPr>
            </w:pPr>
          </w:p>
        </w:tc>
      </w:tr>
      <w:tr w:rsidR="00000000" w14:paraId="685BFD5C" w14:textId="77777777">
        <w:trPr>
          <w:divId w:val="2062704384"/>
        </w:trPr>
        <w:tc>
          <w:tcPr>
            <w:tcW w:w="0" w:type="auto"/>
            <w:gridSpan w:val="9"/>
            <w:shd w:val="clear" w:color="auto" w:fill="CCEEFF"/>
            <w:tcMar>
              <w:top w:w="30" w:type="dxa"/>
              <w:left w:w="20" w:type="dxa"/>
              <w:bottom w:w="30" w:type="dxa"/>
              <w:right w:w="20" w:type="dxa"/>
            </w:tcMar>
            <w:vAlign w:val="center"/>
            <w:hideMark/>
          </w:tcPr>
          <w:p w14:paraId="6EB2A0F4" w14:textId="77777777" w:rsidR="00000000" w:rsidRDefault="00A173A8">
            <w:pPr>
              <w:spacing w:after="100"/>
              <w:rPr>
                <w:rFonts w:eastAsia="Times New Roman"/>
              </w:rPr>
            </w:pPr>
            <w:r>
              <w:rPr>
                <w:rFonts w:eastAsia="Times New Roman"/>
                <w:color w:val="000000"/>
                <w:sz w:val="20"/>
                <w:szCs w:val="20"/>
              </w:rPr>
              <w:t>Net interest income/spread</w:t>
            </w:r>
          </w:p>
        </w:tc>
        <w:tc>
          <w:tcPr>
            <w:tcW w:w="0" w:type="auto"/>
            <w:gridSpan w:val="3"/>
            <w:shd w:val="clear" w:color="auto" w:fill="CCEEFF"/>
            <w:tcMar>
              <w:top w:w="0" w:type="dxa"/>
              <w:left w:w="20" w:type="dxa"/>
              <w:bottom w:w="0" w:type="dxa"/>
              <w:right w:w="20" w:type="dxa"/>
            </w:tcMar>
            <w:vAlign w:val="center"/>
            <w:hideMark/>
          </w:tcPr>
          <w:p w14:paraId="55D5A467"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010F5B0"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5AE147D" w14:textId="77777777" w:rsidR="00000000" w:rsidRDefault="00A173A8">
            <w:pPr>
              <w:spacing w:after="100"/>
              <w:jc w:val="right"/>
              <w:rPr>
                <w:rFonts w:eastAsia="Times New Roman"/>
              </w:rPr>
            </w:pPr>
            <w:r>
              <w:rPr>
                <w:rFonts w:eastAsia="Times New Roman"/>
                <w:b/>
                <w:bCs/>
                <w:color w:val="000000"/>
                <w:sz w:val="20"/>
                <w:szCs w:val="20"/>
              </w:rPr>
              <w:t>12,914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254D8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14DA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3BEA56" w14:textId="77777777" w:rsidR="00000000" w:rsidRDefault="00A173A8">
            <w:pPr>
              <w:spacing w:after="100"/>
              <w:jc w:val="right"/>
              <w:rPr>
                <w:rFonts w:eastAsia="Times New Roman"/>
              </w:rPr>
            </w:pPr>
            <w:r>
              <w:rPr>
                <w:rFonts w:eastAsia="Times New Roman"/>
                <w:b/>
                <w:bCs/>
                <w:color w:val="000000"/>
                <w:sz w:val="20"/>
                <w:szCs w:val="20"/>
              </w:rPr>
              <w:t>6.40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C99BEB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5FAF4" w14:textId="77777777" w:rsidR="00000000" w:rsidRDefault="00A173A8">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EE903E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47CE00" w14:textId="77777777" w:rsidR="00000000" w:rsidRDefault="00A173A8">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9B69881"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D053510" w14:textId="77777777" w:rsidR="00000000" w:rsidRDefault="00A173A8">
            <w:pPr>
              <w:spacing w:after="100"/>
              <w:jc w:val="right"/>
              <w:rPr>
                <w:rFonts w:eastAsia="Times New Roman"/>
              </w:rPr>
            </w:pPr>
            <w:r>
              <w:rPr>
                <w:rFonts w:eastAsia="Times New Roman"/>
                <w:color w:val="000000"/>
                <w:sz w:val="20"/>
                <w:szCs w:val="20"/>
              </w:rPr>
              <w:t>11,565 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D17E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80B9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E1DEDA" w14:textId="77777777" w:rsidR="00000000" w:rsidRDefault="00A173A8">
            <w:pPr>
              <w:spacing w:after="100"/>
              <w:jc w:val="right"/>
              <w:rPr>
                <w:rFonts w:eastAsia="Times New Roman"/>
              </w:rPr>
            </w:pPr>
            <w:r>
              <w:rPr>
                <w:rFonts w:eastAsia="Times New Roman"/>
                <w:color w:val="000000"/>
                <w:sz w:val="20"/>
                <w:szCs w:val="20"/>
              </w:rPr>
              <w:t>5.84 </w:t>
            </w:r>
          </w:p>
        </w:tc>
        <w:tc>
          <w:tcPr>
            <w:tcW w:w="0" w:type="auto"/>
            <w:shd w:val="clear" w:color="auto" w:fill="CCEEFF"/>
            <w:tcMar>
              <w:top w:w="30" w:type="dxa"/>
              <w:left w:w="0" w:type="dxa"/>
              <w:bottom w:w="30" w:type="dxa"/>
              <w:right w:w="20" w:type="dxa"/>
            </w:tcMar>
            <w:vAlign w:val="center"/>
            <w:hideMark/>
          </w:tcPr>
          <w:p w14:paraId="502F04D2" w14:textId="77777777" w:rsidR="00000000" w:rsidRDefault="00A173A8">
            <w:pPr>
              <w:spacing w:after="100"/>
              <w:jc w:val="right"/>
              <w:rPr>
                <w:rFonts w:eastAsia="Times New Roman"/>
              </w:rPr>
            </w:pPr>
          </w:p>
        </w:tc>
        <w:tc>
          <w:tcPr>
            <w:tcW w:w="0" w:type="auto"/>
            <w:vAlign w:val="center"/>
            <w:hideMark/>
          </w:tcPr>
          <w:p w14:paraId="36D8CBE6" w14:textId="77777777" w:rsidR="00000000" w:rsidRDefault="00A173A8">
            <w:pPr>
              <w:spacing w:after="100"/>
              <w:jc w:val="right"/>
              <w:rPr>
                <w:rFonts w:eastAsia="Times New Roman"/>
                <w:sz w:val="20"/>
                <w:szCs w:val="20"/>
              </w:rPr>
            </w:pPr>
          </w:p>
        </w:tc>
        <w:tc>
          <w:tcPr>
            <w:tcW w:w="0" w:type="auto"/>
            <w:vAlign w:val="center"/>
            <w:hideMark/>
          </w:tcPr>
          <w:p w14:paraId="361307B4" w14:textId="77777777" w:rsidR="00000000" w:rsidRDefault="00A173A8">
            <w:pPr>
              <w:spacing w:after="100"/>
              <w:rPr>
                <w:rFonts w:eastAsia="Times New Roman"/>
                <w:sz w:val="20"/>
                <w:szCs w:val="20"/>
              </w:rPr>
            </w:pPr>
          </w:p>
        </w:tc>
        <w:tc>
          <w:tcPr>
            <w:tcW w:w="0" w:type="auto"/>
            <w:gridSpan w:val="3"/>
            <w:vAlign w:val="center"/>
            <w:hideMark/>
          </w:tcPr>
          <w:p w14:paraId="131B535E" w14:textId="77777777" w:rsidR="00000000" w:rsidRDefault="00A173A8">
            <w:pPr>
              <w:spacing w:after="100"/>
              <w:rPr>
                <w:rFonts w:eastAsia="Times New Roman"/>
                <w:sz w:val="20"/>
                <w:szCs w:val="20"/>
              </w:rPr>
            </w:pPr>
          </w:p>
        </w:tc>
        <w:tc>
          <w:tcPr>
            <w:tcW w:w="0" w:type="auto"/>
            <w:gridSpan w:val="3"/>
            <w:vAlign w:val="center"/>
            <w:hideMark/>
          </w:tcPr>
          <w:p w14:paraId="1A5A01DC" w14:textId="77777777" w:rsidR="00000000" w:rsidRDefault="00A173A8">
            <w:pPr>
              <w:spacing w:after="100"/>
              <w:rPr>
                <w:rFonts w:eastAsia="Times New Roman"/>
                <w:sz w:val="20"/>
                <w:szCs w:val="20"/>
              </w:rPr>
            </w:pPr>
          </w:p>
        </w:tc>
        <w:tc>
          <w:tcPr>
            <w:tcW w:w="0" w:type="auto"/>
            <w:gridSpan w:val="3"/>
            <w:vAlign w:val="center"/>
            <w:hideMark/>
          </w:tcPr>
          <w:p w14:paraId="0A061E0E" w14:textId="77777777" w:rsidR="00000000" w:rsidRDefault="00A173A8">
            <w:pPr>
              <w:spacing w:after="100"/>
              <w:rPr>
                <w:rFonts w:eastAsia="Times New Roman"/>
                <w:sz w:val="20"/>
                <w:szCs w:val="20"/>
              </w:rPr>
            </w:pPr>
          </w:p>
        </w:tc>
        <w:tc>
          <w:tcPr>
            <w:tcW w:w="0" w:type="auto"/>
            <w:gridSpan w:val="3"/>
            <w:vAlign w:val="center"/>
            <w:hideMark/>
          </w:tcPr>
          <w:p w14:paraId="27BBBD5A" w14:textId="77777777" w:rsidR="00000000" w:rsidRDefault="00A173A8">
            <w:pPr>
              <w:spacing w:after="100"/>
              <w:rPr>
                <w:rFonts w:eastAsia="Times New Roman"/>
                <w:sz w:val="20"/>
                <w:szCs w:val="20"/>
              </w:rPr>
            </w:pPr>
          </w:p>
        </w:tc>
      </w:tr>
      <w:tr w:rsidR="00000000" w14:paraId="0DF1DE9D" w14:textId="77777777">
        <w:trPr>
          <w:divId w:val="2062704384"/>
        </w:trPr>
        <w:tc>
          <w:tcPr>
            <w:tcW w:w="0" w:type="auto"/>
            <w:gridSpan w:val="15"/>
            <w:shd w:val="clear" w:color="auto" w:fill="FFFFFF"/>
            <w:tcMar>
              <w:top w:w="30" w:type="dxa"/>
              <w:left w:w="20" w:type="dxa"/>
              <w:bottom w:w="30" w:type="dxa"/>
              <w:right w:w="20" w:type="dxa"/>
            </w:tcMar>
            <w:vAlign w:val="center"/>
            <w:hideMark/>
          </w:tcPr>
          <w:p w14:paraId="2C13A032" w14:textId="77777777" w:rsidR="00000000" w:rsidRDefault="00A173A8">
            <w:pPr>
              <w:spacing w:after="100"/>
              <w:rPr>
                <w:rFonts w:eastAsia="Times New Roman"/>
              </w:rPr>
            </w:pPr>
            <w:r>
              <w:rPr>
                <w:rFonts w:eastAsia="Times New Roman"/>
                <w:color w:val="000000"/>
                <w:sz w:val="20"/>
                <w:szCs w:val="20"/>
              </w:rPr>
              <w:t>Impact of non-interest-bearing funding</w:t>
            </w:r>
          </w:p>
        </w:tc>
        <w:tc>
          <w:tcPr>
            <w:tcW w:w="0" w:type="auto"/>
            <w:gridSpan w:val="3"/>
            <w:shd w:val="clear" w:color="auto" w:fill="FFFFFF"/>
            <w:tcMar>
              <w:top w:w="0" w:type="dxa"/>
              <w:left w:w="20" w:type="dxa"/>
              <w:bottom w:w="0" w:type="dxa"/>
              <w:right w:w="20" w:type="dxa"/>
            </w:tcMar>
            <w:vAlign w:val="center"/>
            <w:hideMark/>
          </w:tcPr>
          <w:p w14:paraId="07F5559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9E22B65" w14:textId="77777777" w:rsidR="00000000" w:rsidRDefault="00A173A8">
            <w:pPr>
              <w:spacing w:after="100"/>
              <w:jc w:val="right"/>
              <w:rPr>
                <w:rFonts w:eastAsia="Times New Roman"/>
              </w:rPr>
            </w:pPr>
            <w:r>
              <w:rPr>
                <w:rFonts w:eastAsia="Times New Roman"/>
                <w:b/>
                <w:bCs/>
                <w:color w:val="000000"/>
                <w:sz w:val="20"/>
                <w:szCs w:val="20"/>
              </w:rPr>
              <w:t>0.11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4A7A6D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88E8D"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41882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10D3E1"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9D097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8048C9"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7526DB" w14:textId="77777777" w:rsidR="00000000" w:rsidRDefault="00A173A8">
            <w:pPr>
              <w:spacing w:after="100"/>
              <w:jc w:val="right"/>
              <w:rPr>
                <w:rFonts w:eastAsia="Times New Roman"/>
              </w:rPr>
            </w:pPr>
            <w:r>
              <w:rPr>
                <w:rFonts w:eastAsia="Times New Roman"/>
                <w:color w:val="000000"/>
                <w:sz w:val="20"/>
                <w:szCs w:val="20"/>
              </w:rPr>
              <w:t>0.10 </w:t>
            </w:r>
          </w:p>
        </w:tc>
        <w:tc>
          <w:tcPr>
            <w:tcW w:w="0" w:type="auto"/>
            <w:shd w:val="clear" w:color="auto" w:fill="FFFFFF"/>
            <w:tcMar>
              <w:top w:w="30" w:type="dxa"/>
              <w:left w:w="0" w:type="dxa"/>
              <w:bottom w:w="30" w:type="dxa"/>
              <w:right w:w="20" w:type="dxa"/>
            </w:tcMar>
            <w:vAlign w:val="center"/>
            <w:hideMark/>
          </w:tcPr>
          <w:p w14:paraId="6A605F3F" w14:textId="77777777" w:rsidR="00000000" w:rsidRDefault="00A173A8">
            <w:pPr>
              <w:spacing w:after="100"/>
              <w:jc w:val="right"/>
              <w:rPr>
                <w:rFonts w:eastAsia="Times New Roman"/>
              </w:rPr>
            </w:pPr>
          </w:p>
        </w:tc>
        <w:tc>
          <w:tcPr>
            <w:tcW w:w="0" w:type="auto"/>
            <w:vAlign w:val="center"/>
            <w:hideMark/>
          </w:tcPr>
          <w:p w14:paraId="0E32DCDD" w14:textId="77777777" w:rsidR="00000000" w:rsidRDefault="00A173A8">
            <w:pPr>
              <w:spacing w:after="100"/>
              <w:jc w:val="right"/>
              <w:rPr>
                <w:rFonts w:eastAsia="Times New Roman"/>
                <w:sz w:val="20"/>
                <w:szCs w:val="20"/>
              </w:rPr>
            </w:pPr>
          </w:p>
        </w:tc>
        <w:tc>
          <w:tcPr>
            <w:tcW w:w="0" w:type="auto"/>
            <w:vAlign w:val="center"/>
            <w:hideMark/>
          </w:tcPr>
          <w:p w14:paraId="504FD01E" w14:textId="77777777" w:rsidR="00000000" w:rsidRDefault="00A173A8">
            <w:pPr>
              <w:spacing w:after="100"/>
              <w:rPr>
                <w:rFonts w:eastAsia="Times New Roman"/>
                <w:sz w:val="20"/>
                <w:szCs w:val="20"/>
              </w:rPr>
            </w:pPr>
          </w:p>
        </w:tc>
        <w:tc>
          <w:tcPr>
            <w:tcW w:w="0" w:type="auto"/>
            <w:gridSpan w:val="3"/>
            <w:vAlign w:val="center"/>
            <w:hideMark/>
          </w:tcPr>
          <w:p w14:paraId="20EFF3D4" w14:textId="77777777" w:rsidR="00000000" w:rsidRDefault="00A173A8">
            <w:pPr>
              <w:spacing w:after="100"/>
              <w:rPr>
                <w:rFonts w:eastAsia="Times New Roman"/>
                <w:sz w:val="20"/>
                <w:szCs w:val="20"/>
              </w:rPr>
            </w:pPr>
          </w:p>
        </w:tc>
        <w:tc>
          <w:tcPr>
            <w:tcW w:w="0" w:type="auto"/>
            <w:gridSpan w:val="3"/>
            <w:vAlign w:val="center"/>
            <w:hideMark/>
          </w:tcPr>
          <w:p w14:paraId="3069D931" w14:textId="77777777" w:rsidR="00000000" w:rsidRDefault="00A173A8">
            <w:pPr>
              <w:spacing w:after="100"/>
              <w:rPr>
                <w:rFonts w:eastAsia="Times New Roman"/>
                <w:sz w:val="20"/>
                <w:szCs w:val="20"/>
              </w:rPr>
            </w:pPr>
          </w:p>
        </w:tc>
        <w:tc>
          <w:tcPr>
            <w:tcW w:w="0" w:type="auto"/>
            <w:gridSpan w:val="3"/>
            <w:vAlign w:val="center"/>
            <w:hideMark/>
          </w:tcPr>
          <w:p w14:paraId="67BE0A16" w14:textId="77777777" w:rsidR="00000000" w:rsidRDefault="00A173A8">
            <w:pPr>
              <w:spacing w:after="100"/>
              <w:rPr>
                <w:rFonts w:eastAsia="Times New Roman"/>
                <w:sz w:val="20"/>
                <w:szCs w:val="20"/>
              </w:rPr>
            </w:pPr>
          </w:p>
        </w:tc>
        <w:tc>
          <w:tcPr>
            <w:tcW w:w="0" w:type="auto"/>
            <w:gridSpan w:val="3"/>
            <w:vAlign w:val="center"/>
            <w:hideMark/>
          </w:tcPr>
          <w:p w14:paraId="0095CD4E" w14:textId="77777777" w:rsidR="00000000" w:rsidRDefault="00A173A8">
            <w:pPr>
              <w:spacing w:after="100"/>
              <w:rPr>
                <w:rFonts w:eastAsia="Times New Roman"/>
                <w:sz w:val="20"/>
                <w:szCs w:val="20"/>
              </w:rPr>
            </w:pPr>
          </w:p>
        </w:tc>
      </w:tr>
      <w:tr w:rsidR="00000000" w14:paraId="1C9353EB" w14:textId="77777777">
        <w:trPr>
          <w:divId w:val="2062704384"/>
        </w:trPr>
        <w:tc>
          <w:tcPr>
            <w:tcW w:w="0" w:type="auto"/>
            <w:gridSpan w:val="15"/>
            <w:shd w:val="clear" w:color="auto" w:fill="CCEEFF"/>
            <w:tcMar>
              <w:top w:w="30" w:type="dxa"/>
              <w:left w:w="20" w:type="dxa"/>
              <w:bottom w:w="30" w:type="dxa"/>
              <w:right w:w="20" w:type="dxa"/>
            </w:tcMar>
            <w:vAlign w:val="center"/>
            <w:hideMark/>
          </w:tcPr>
          <w:p w14:paraId="12F5E622" w14:textId="77777777" w:rsidR="00000000" w:rsidRDefault="00A173A8">
            <w:pPr>
              <w:spacing w:after="100"/>
              <w:rPr>
                <w:rFonts w:eastAsia="Times New Roman"/>
              </w:rPr>
            </w:pPr>
            <w:r>
              <w:rPr>
                <w:rFonts w:eastAsia="Times New Roman"/>
                <w:color w:val="000000"/>
                <w:sz w:val="20"/>
                <w:szCs w:val="20"/>
              </w:rPr>
              <w:t>Net interest margin</w:t>
            </w:r>
          </w:p>
        </w:tc>
        <w:tc>
          <w:tcPr>
            <w:tcW w:w="0" w:type="auto"/>
            <w:gridSpan w:val="3"/>
            <w:shd w:val="clear" w:color="auto" w:fill="CCEEFF"/>
            <w:tcMar>
              <w:top w:w="0" w:type="dxa"/>
              <w:left w:w="20" w:type="dxa"/>
              <w:bottom w:w="0" w:type="dxa"/>
              <w:right w:w="20" w:type="dxa"/>
            </w:tcMar>
            <w:vAlign w:val="center"/>
            <w:hideMark/>
          </w:tcPr>
          <w:p w14:paraId="7E8A750F" w14:textId="77777777" w:rsidR="00000000" w:rsidRDefault="00A173A8">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0B9CCAE" w14:textId="77777777" w:rsidR="00000000" w:rsidRDefault="00A173A8">
            <w:pPr>
              <w:spacing w:after="100"/>
              <w:jc w:val="right"/>
              <w:rPr>
                <w:rFonts w:eastAsia="Times New Roman"/>
              </w:rPr>
            </w:pPr>
            <w:r>
              <w:rPr>
                <w:rFonts w:eastAsia="Times New Roman"/>
                <w:b/>
                <w:bCs/>
                <w:color w:val="000000"/>
                <w:sz w:val="20"/>
                <w:szCs w:val="20"/>
              </w:rPr>
              <w:t>6.51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2EDF3A0"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DA7EE6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0F45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5AF6D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BD51C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F722CC" w14:textId="77777777" w:rsidR="00000000" w:rsidRDefault="00A173A8">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AFECE56" w14:textId="77777777" w:rsidR="00000000" w:rsidRDefault="00A173A8">
            <w:pPr>
              <w:spacing w:after="100"/>
              <w:jc w:val="right"/>
              <w:rPr>
                <w:rFonts w:eastAsia="Times New Roman"/>
              </w:rPr>
            </w:pPr>
            <w:r>
              <w:rPr>
                <w:rFonts w:eastAsia="Times New Roman"/>
                <w:color w:val="000000"/>
                <w:sz w:val="20"/>
                <w:szCs w:val="20"/>
              </w:rPr>
              <w:t>5.94 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C3EBE78"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2E1DB393" w14:textId="77777777" w:rsidR="00000000" w:rsidRDefault="00A173A8">
            <w:pPr>
              <w:spacing w:after="100"/>
              <w:jc w:val="right"/>
              <w:rPr>
                <w:rFonts w:eastAsia="Times New Roman"/>
              </w:rPr>
            </w:pPr>
          </w:p>
        </w:tc>
        <w:tc>
          <w:tcPr>
            <w:tcW w:w="0" w:type="auto"/>
            <w:vAlign w:val="center"/>
            <w:hideMark/>
          </w:tcPr>
          <w:p w14:paraId="447EC7CC" w14:textId="77777777" w:rsidR="00000000" w:rsidRDefault="00A173A8">
            <w:pPr>
              <w:spacing w:after="100"/>
              <w:rPr>
                <w:rFonts w:eastAsia="Times New Roman"/>
                <w:sz w:val="20"/>
                <w:szCs w:val="20"/>
              </w:rPr>
            </w:pPr>
          </w:p>
        </w:tc>
        <w:tc>
          <w:tcPr>
            <w:tcW w:w="0" w:type="auto"/>
            <w:gridSpan w:val="3"/>
            <w:vAlign w:val="center"/>
            <w:hideMark/>
          </w:tcPr>
          <w:p w14:paraId="4EC3BC31" w14:textId="77777777" w:rsidR="00000000" w:rsidRDefault="00A173A8">
            <w:pPr>
              <w:spacing w:after="100"/>
              <w:rPr>
                <w:rFonts w:eastAsia="Times New Roman"/>
                <w:sz w:val="20"/>
                <w:szCs w:val="20"/>
              </w:rPr>
            </w:pPr>
          </w:p>
        </w:tc>
        <w:tc>
          <w:tcPr>
            <w:tcW w:w="0" w:type="auto"/>
            <w:gridSpan w:val="3"/>
            <w:vAlign w:val="center"/>
            <w:hideMark/>
          </w:tcPr>
          <w:p w14:paraId="461790E5" w14:textId="77777777" w:rsidR="00000000" w:rsidRDefault="00A173A8">
            <w:pPr>
              <w:spacing w:after="100"/>
              <w:rPr>
                <w:rFonts w:eastAsia="Times New Roman"/>
                <w:sz w:val="20"/>
                <w:szCs w:val="20"/>
              </w:rPr>
            </w:pPr>
          </w:p>
        </w:tc>
        <w:tc>
          <w:tcPr>
            <w:tcW w:w="0" w:type="auto"/>
            <w:gridSpan w:val="3"/>
            <w:vAlign w:val="center"/>
            <w:hideMark/>
          </w:tcPr>
          <w:p w14:paraId="111E8D04" w14:textId="77777777" w:rsidR="00000000" w:rsidRDefault="00A173A8">
            <w:pPr>
              <w:spacing w:after="100"/>
              <w:rPr>
                <w:rFonts w:eastAsia="Times New Roman"/>
                <w:sz w:val="20"/>
                <w:szCs w:val="20"/>
              </w:rPr>
            </w:pPr>
          </w:p>
        </w:tc>
        <w:tc>
          <w:tcPr>
            <w:tcW w:w="0" w:type="auto"/>
            <w:gridSpan w:val="3"/>
            <w:vAlign w:val="center"/>
            <w:hideMark/>
          </w:tcPr>
          <w:p w14:paraId="5C14948A" w14:textId="77777777" w:rsidR="00000000" w:rsidRDefault="00A173A8">
            <w:pPr>
              <w:spacing w:after="100"/>
              <w:rPr>
                <w:rFonts w:eastAsia="Times New Roman"/>
                <w:sz w:val="20"/>
                <w:szCs w:val="20"/>
              </w:rPr>
            </w:pPr>
          </w:p>
        </w:tc>
      </w:tr>
    </w:tbl>
    <w:p w14:paraId="5B07136B" w14:textId="77777777" w:rsidR="00000000" w:rsidRDefault="00A173A8">
      <w:pPr>
        <w:divId w:val="2062704384"/>
        <w:rPr>
          <w:rFonts w:eastAsia="Times New Roman"/>
        </w:rPr>
      </w:pPr>
      <w:r>
        <w:rPr>
          <w:rFonts w:eastAsia="Times New Roman"/>
          <w:color w:val="000000"/>
          <w:sz w:val="20"/>
          <w:szCs w:val="20"/>
        </w:rPr>
        <w:t>__________</w:t>
      </w:r>
    </w:p>
    <w:p w14:paraId="3980E0CA" w14:textId="77777777" w:rsidR="00000000" w:rsidRDefault="00A173A8">
      <w:pPr>
        <w:ind w:hanging="360"/>
        <w:jc w:val="both"/>
        <w:divId w:val="40252771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Annualized interest income does not include any allocations, such as funds transfer pricing. Average yield is calculated using who</w:t>
      </w:r>
      <w:r>
        <w:rPr>
          <w:rFonts w:eastAsia="Times New Roman"/>
          <w:color w:val="000000"/>
          <w:sz w:val="16"/>
          <w:szCs w:val="16"/>
        </w:rPr>
        <w:t xml:space="preserve">le dollar values for average balances and interest income/expense. Accordingly, total interest earning assets less total interest bearing liabilities may not total net interest income/spread. </w:t>
      </w:r>
    </w:p>
    <w:p w14:paraId="203C74F5" w14:textId="77777777" w:rsidR="00000000" w:rsidRDefault="00A173A8">
      <w:pPr>
        <w:ind w:hanging="360"/>
        <w:jc w:val="both"/>
        <w:divId w:val="71650774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Past due fees included in interest income totaled approximat</w:t>
      </w:r>
      <w:r>
        <w:rPr>
          <w:rFonts w:eastAsia="Times New Roman"/>
          <w:color w:val="000000"/>
          <w:sz w:val="16"/>
          <w:szCs w:val="16"/>
        </w:rPr>
        <w:t>ely $439 million and $877 million in the second quarter and first six months of 2022, respectively, and $302 million and $612 million in the the second quarter and first six months of 2021, respectively.</w:t>
      </w:r>
    </w:p>
    <w:p w14:paraId="4A5FB119" w14:textId="77777777" w:rsidR="00000000" w:rsidRDefault="00A173A8">
      <w:pPr>
        <w:ind w:hanging="360"/>
        <w:jc w:val="both"/>
        <w:divId w:val="20371212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Some of our commercial loans generate tax-exempt </w:t>
      </w:r>
      <w:r>
        <w:rPr>
          <w:rFonts w:eastAsia="Times New Roman"/>
          <w:color w:val="000000"/>
          <w:sz w:val="16"/>
          <w:szCs w:val="16"/>
        </w:rPr>
        <w:t>income. Accordingly, we present our Commercial Banking interest income and yields on a taxable-equivalent basis, calculated using the federal statutory rate of 21% and state taxes where applicable, with offsetting reductions to the Other category. Taxable-</w:t>
      </w:r>
      <w:r>
        <w:rPr>
          <w:rFonts w:eastAsia="Times New Roman"/>
          <w:color w:val="000000"/>
          <w:sz w:val="16"/>
          <w:szCs w:val="16"/>
        </w:rPr>
        <w:t>equivalent adjustments included in the interest income and yield computations for our commercial loans totaled approximately $18 million and $36 million in the second quarter and first six months of 2022, respectively, and $19 million and $38 million in th</w:t>
      </w:r>
      <w:r>
        <w:rPr>
          <w:rFonts w:eastAsia="Times New Roman"/>
          <w:color w:val="000000"/>
          <w:sz w:val="16"/>
          <w:szCs w:val="16"/>
        </w:rPr>
        <w:t>e the second quarter and first six months of 2021, respectively, with corresponding reductions to the Other category.</w:t>
      </w:r>
    </w:p>
    <w:p w14:paraId="5419DA9B" w14:textId="77777777" w:rsidR="00000000" w:rsidRDefault="00A173A8">
      <w:pPr>
        <w:ind w:hanging="360"/>
        <w:jc w:val="both"/>
        <w:divId w:val="1026444171"/>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Interest income/expense in the Other category represents the impact of hedge accounting on our loan portfolios and the offsetting reduc</w:t>
      </w:r>
      <w:r>
        <w:rPr>
          <w:rFonts w:eastAsia="Times New Roman"/>
          <w:color w:val="000000"/>
          <w:sz w:val="16"/>
          <w:szCs w:val="16"/>
        </w:rPr>
        <w:t xml:space="preserve">tion of the taxable-equivalent adjustments of our commercial loans as described above. </w:t>
      </w:r>
    </w:p>
    <w:p w14:paraId="7EE453EE" w14:textId="77777777" w:rsidR="00000000" w:rsidRDefault="00A173A8">
      <w:pPr>
        <w:ind w:hanging="360"/>
        <w:jc w:val="both"/>
        <w:divId w:val="776022784"/>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50BE726" w14:textId="77777777">
        <w:trPr>
          <w:divId w:val="1470393832"/>
          <w:jc w:val="center"/>
        </w:trPr>
        <w:tc>
          <w:tcPr>
            <w:tcW w:w="50" w:type="pct"/>
            <w:vAlign w:val="center"/>
            <w:hideMark/>
          </w:tcPr>
          <w:p w14:paraId="1874D9AF" w14:textId="77777777" w:rsidR="00000000" w:rsidRDefault="00A173A8">
            <w:pPr>
              <w:ind w:hanging="360"/>
              <w:jc w:val="both"/>
              <w:rPr>
                <w:rFonts w:eastAsia="Times New Roman"/>
              </w:rPr>
            </w:pPr>
          </w:p>
        </w:tc>
        <w:tc>
          <w:tcPr>
            <w:tcW w:w="1606" w:type="pct"/>
            <w:vAlign w:val="center"/>
            <w:hideMark/>
          </w:tcPr>
          <w:p w14:paraId="55CFCABE" w14:textId="77777777" w:rsidR="00000000" w:rsidRDefault="00A173A8">
            <w:pPr>
              <w:spacing w:after="100"/>
              <w:rPr>
                <w:rFonts w:eastAsia="Times New Roman"/>
                <w:sz w:val="20"/>
                <w:szCs w:val="20"/>
              </w:rPr>
            </w:pPr>
          </w:p>
        </w:tc>
        <w:tc>
          <w:tcPr>
            <w:tcW w:w="5" w:type="pct"/>
            <w:vAlign w:val="center"/>
            <w:hideMark/>
          </w:tcPr>
          <w:p w14:paraId="1FA1AF65" w14:textId="77777777" w:rsidR="00000000" w:rsidRDefault="00A173A8">
            <w:pPr>
              <w:spacing w:after="100"/>
              <w:rPr>
                <w:rFonts w:eastAsia="Times New Roman"/>
                <w:sz w:val="20"/>
                <w:szCs w:val="20"/>
              </w:rPr>
            </w:pPr>
          </w:p>
        </w:tc>
        <w:tc>
          <w:tcPr>
            <w:tcW w:w="50" w:type="pct"/>
            <w:vAlign w:val="center"/>
            <w:hideMark/>
          </w:tcPr>
          <w:p w14:paraId="18D27D67" w14:textId="77777777" w:rsidR="00000000" w:rsidRDefault="00A173A8">
            <w:pPr>
              <w:spacing w:after="100"/>
              <w:rPr>
                <w:rFonts w:eastAsia="Times New Roman"/>
                <w:sz w:val="20"/>
                <w:szCs w:val="20"/>
              </w:rPr>
            </w:pPr>
          </w:p>
        </w:tc>
        <w:tc>
          <w:tcPr>
            <w:tcW w:w="1614" w:type="pct"/>
            <w:vAlign w:val="center"/>
            <w:hideMark/>
          </w:tcPr>
          <w:p w14:paraId="5E218560" w14:textId="77777777" w:rsidR="00000000" w:rsidRDefault="00A173A8">
            <w:pPr>
              <w:spacing w:after="100"/>
              <w:rPr>
                <w:rFonts w:eastAsia="Times New Roman"/>
                <w:sz w:val="20"/>
                <w:szCs w:val="20"/>
              </w:rPr>
            </w:pPr>
          </w:p>
        </w:tc>
        <w:tc>
          <w:tcPr>
            <w:tcW w:w="5" w:type="pct"/>
            <w:vAlign w:val="center"/>
            <w:hideMark/>
          </w:tcPr>
          <w:p w14:paraId="47068D1D" w14:textId="77777777" w:rsidR="00000000" w:rsidRDefault="00A173A8">
            <w:pPr>
              <w:spacing w:after="100"/>
              <w:rPr>
                <w:rFonts w:eastAsia="Times New Roman"/>
                <w:sz w:val="20"/>
                <w:szCs w:val="20"/>
              </w:rPr>
            </w:pPr>
          </w:p>
        </w:tc>
        <w:tc>
          <w:tcPr>
            <w:tcW w:w="50" w:type="pct"/>
            <w:vAlign w:val="center"/>
            <w:hideMark/>
          </w:tcPr>
          <w:p w14:paraId="6160782F" w14:textId="77777777" w:rsidR="00000000" w:rsidRDefault="00A173A8">
            <w:pPr>
              <w:spacing w:after="100"/>
              <w:rPr>
                <w:rFonts w:eastAsia="Times New Roman"/>
                <w:sz w:val="20"/>
                <w:szCs w:val="20"/>
              </w:rPr>
            </w:pPr>
          </w:p>
        </w:tc>
        <w:tc>
          <w:tcPr>
            <w:tcW w:w="1614" w:type="pct"/>
            <w:vAlign w:val="center"/>
            <w:hideMark/>
          </w:tcPr>
          <w:p w14:paraId="4CEF9D6F" w14:textId="77777777" w:rsidR="00000000" w:rsidRDefault="00A173A8">
            <w:pPr>
              <w:spacing w:after="100"/>
              <w:rPr>
                <w:rFonts w:eastAsia="Times New Roman"/>
                <w:sz w:val="20"/>
                <w:szCs w:val="20"/>
              </w:rPr>
            </w:pPr>
          </w:p>
        </w:tc>
        <w:tc>
          <w:tcPr>
            <w:tcW w:w="5" w:type="pct"/>
            <w:vAlign w:val="center"/>
            <w:hideMark/>
          </w:tcPr>
          <w:p w14:paraId="1F77768E" w14:textId="77777777" w:rsidR="00000000" w:rsidRDefault="00A173A8">
            <w:pPr>
              <w:spacing w:after="100"/>
              <w:rPr>
                <w:rFonts w:eastAsia="Times New Roman"/>
                <w:sz w:val="20"/>
                <w:szCs w:val="20"/>
              </w:rPr>
            </w:pPr>
          </w:p>
        </w:tc>
      </w:tr>
      <w:tr w:rsidR="00000000" w14:paraId="0A088DE2" w14:textId="77777777">
        <w:trPr>
          <w:divId w:val="1470393832"/>
          <w:trHeight w:val="300"/>
          <w:jc w:val="center"/>
        </w:trPr>
        <w:tc>
          <w:tcPr>
            <w:tcW w:w="0" w:type="auto"/>
            <w:gridSpan w:val="9"/>
            <w:tcMar>
              <w:top w:w="0" w:type="dxa"/>
              <w:left w:w="20" w:type="dxa"/>
              <w:bottom w:w="0" w:type="dxa"/>
              <w:right w:w="20" w:type="dxa"/>
            </w:tcMar>
            <w:vAlign w:val="center"/>
            <w:hideMark/>
          </w:tcPr>
          <w:p w14:paraId="74AF742B" w14:textId="77777777" w:rsidR="00000000" w:rsidRDefault="00A173A8">
            <w:pPr>
              <w:spacing w:after="100"/>
              <w:rPr>
                <w:rFonts w:eastAsia="Times New Roman"/>
                <w:sz w:val="20"/>
                <w:szCs w:val="20"/>
              </w:rPr>
            </w:pPr>
          </w:p>
        </w:tc>
      </w:tr>
      <w:tr w:rsidR="00000000" w14:paraId="7631A80C" w14:textId="77777777">
        <w:trPr>
          <w:divId w:val="1470393832"/>
          <w:jc w:val="center"/>
        </w:trPr>
        <w:tc>
          <w:tcPr>
            <w:tcW w:w="0" w:type="auto"/>
            <w:gridSpan w:val="3"/>
            <w:tcMar>
              <w:top w:w="0" w:type="dxa"/>
              <w:left w:w="20" w:type="dxa"/>
              <w:bottom w:w="0" w:type="dxa"/>
              <w:right w:w="20" w:type="dxa"/>
            </w:tcMar>
            <w:vAlign w:val="center"/>
            <w:hideMark/>
          </w:tcPr>
          <w:p w14:paraId="0537DF1D"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B76FE00" w14:textId="77777777" w:rsidR="00000000" w:rsidRDefault="00A173A8">
            <w:pPr>
              <w:spacing w:after="100"/>
              <w:jc w:val="center"/>
              <w:rPr>
                <w:rFonts w:eastAsia="Times New Roman"/>
              </w:rPr>
            </w:pPr>
            <w:r>
              <w:rPr>
                <w:rFonts w:eastAsia="Times New Roman"/>
                <w:color w:val="000000"/>
                <w:sz w:val="16"/>
                <w:szCs w:val="16"/>
              </w:rPr>
              <w:t>12</w:t>
            </w:r>
          </w:p>
        </w:tc>
        <w:tc>
          <w:tcPr>
            <w:tcW w:w="0" w:type="auto"/>
            <w:gridSpan w:val="3"/>
            <w:tcMar>
              <w:top w:w="30" w:type="dxa"/>
              <w:left w:w="20" w:type="dxa"/>
              <w:bottom w:w="30" w:type="dxa"/>
              <w:right w:w="20" w:type="dxa"/>
            </w:tcMar>
            <w:vAlign w:val="bottom"/>
            <w:hideMark/>
          </w:tcPr>
          <w:p w14:paraId="2EFB351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A08C0A1" w14:textId="77777777" w:rsidR="00000000" w:rsidRDefault="00A173A8">
      <w:pPr>
        <w:rPr>
          <w:rFonts w:eastAsia="Times New Roman"/>
        </w:rPr>
      </w:pPr>
      <w:r>
        <w:rPr>
          <w:rFonts w:eastAsia="Times New Roman"/>
        </w:rPr>
        <w:pict w14:anchorId="16D29091">
          <v:rect id="_x0000_i1037" style="width:0;height:1.5pt" o:hralign="center" o:hrstd="t" o:hr="t" fillcolor="#a0a0a0" stroked="f"/>
        </w:pict>
      </w:r>
    </w:p>
    <w:p w14:paraId="6CD2CC75" w14:textId="77777777" w:rsidR="00000000" w:rsidRDefault="00A173A8">
      <w:pPr>
        <w:ind w:hanging="360"/>
        <w:jc w:val="both"/>
        <w:divId w:val="1916747229"/>
        <w:rPr>
          <w:rFonts w:eastAsia="Times New Roman"/>
        </w:rPr>
      </w:pPr>
      <w:hyperlink w:anchor="i7ffd5d61af6f4722b1b1b07530d51c06_13" w:history="1">
        <w:r>
          <w:rPr>
            <w:rStyle w:val="a3"/>
            <w:rFonts w:eastAsia="Times New Roman"/>
            <w:sz w:val="16"/>
            <w:szCs w:val="16"/>
          </w:rPr>
          <w:t>Table of Contents</w:t>
        </w:r>
      </w:hyperlink>
    </w:p>
    <w:p w14:paraId="6DFA9AE3" w14:textId="77777777" w:rsidR="00000000" w:rsidRDefault="00A173A8">
      <w:pPr>
        <w:jc w:val="both"/>
        <w:divId w:val="1183324122"/>
        <w:rPr>
          <w:rFonts w:eastAsia="Times New Roman"/>
        </w:rPr>
      </w:pPr>
      <w:r>
        <w:rPr>
          <w:rFonts w:eastAsia="Times New Roman"/>
          <w:color w:val="000000"/>
          <w:sz w:val="20"/>
          <w:szCs w:val="20"/>
        </w:rPr>
        <w:t>Net interest income increased by $774 </w:t>
      </w:r>
      <w:r>
        <w:rPr>
          <w:rFonts w:eastAsia="Times New Roman"/>
          <w:color w:val="000000"/>
          <w:sz w:val="20"/>
          <w:szCs w:val="20"/>
        </w:rPr>
        <w:t>million to $6.5 billion in the second quarter of 2022 compared to the second quarter of 2021 and increased by $1.3 billion to $12.9 billion in the first six months of 2022 compared to the first six months of 2021 primarily driven by higher average loan bal</w:t>
      </w:r>
      <w:r>
        <w:rPr>
          <w:rFonts w:eastAsia="Times New Roman"/>
          <w:color w:val="000000"/>
          <w:sz w:val="20"/>
          <w:szCs w:val="20"/>
        </w:rPr>
        <w:t>ances and margins in our credit card loan portfolio.</w:t>
      </w:r>
    </w:p>
    <w:p w14:paraId="4214F65E" w14:textId="77777777" w:rsidR="00000000" w:rsidRDefault="00A173A8">
      <w:pPr>
        <w:jc w:val="both"/>
        <w:divId w:val="65500917"/>
        <w:rPr>
          <w:rFonts w:eastAsia="Times New Roman"/>
        </w:rPr>
      </w:pPr>
      <w:r>
        <w:rPr>
          <w:rFonts w:eastAsia="Times New Roman"/>
          <w:color w:val="000000"/>
          <w:sz w:val="20"/>
          <w:szCs w:val="20"/>
        </w:rPr>
        <w:t>Net interest margin increased by 65 basis points to 6.54% in the second quarter of 2022 compared to the second quarter of 2021 and increased by 57 basis points to 6.51% in the first six months of 2022 co</w:t>
      </w:r>
      <w:r>
        <w:rPr>
          <w:rFonts w:eastAsia="Times New Roman"/>
          <w:color w:val="000000"/>
          <w:sz w:val="20"/>
          <w:szCs w:val="20"/>
        </w:rPr>
        <w:t>mpared to the first six months of 2021 primarily driven by lower average cash and securities balances and higher average loan balances.</w:t>
      </w:r>
    </w:p>
    <w:p w14:paraId="393C5063" w14:textId="77777777" w:rsidR="00000000" w:rsidRDefault="00A173A8">
      <w:pPr>
        <w:jc w:val="both"/>
        <w:divId w:val="1150829198"/>
        <w:rPr>
          <w:rFonts w:eastAsia="Times New Roman"/>
        </w:rPr>
      </w:pPr>
      <w:r>
        <w:rPr>
          <w:rFonts w:eastAsia="Times New Roman"/>
          <w:color w:val="000000"/>
          <w:sz w:val="20"/>
          <w:szCs w:val="20"/>
        </w:rPr>
        <w:t>Table 3 displays the change in our net interest income between periods and the extent to which the variance is attributa</w:t>
      </w:r>
      <w:r>
        <w:rPr>
          <w:rFonts w:eastAsia="Times New Roman"/>
          <w:color w:val="000000"/>
          <w:sz w:val="20"/>
          <w:szCs w:val="20"/>
        </w:rPr>
        <w:t>ble to:</w:t>
      </w:r>
    </w:p>
    <w:p w14:paraId="59E4B071" w14:textId="77777777" w:rsidR="00000000" w:rsidRDefault="00A173A8">
      <w:pPr>
        <w:ind w:hanging="360"/>
        <w:jc w:val="both"/>
        <w:divId w:val="1610353644"/>
        <w:rPr>
          <w:rFonts w:eastAsia="Times New Roman"/>
        </w:rPr>
      </w:pPr>
      <w:r>
        <w:rPr>
          <w:rFonts w:eastAsia="Times New Roman"/>
          <w:color w:val="000000"/>
          <w:sz w:val="20"/>
          <w:szCs w:val="20"/>
        </w:rPr>
        <w:t>•changes in the volume of our interest-earning assets and interest-bearing liabilities; or</w:t>
      </w:r>
    </w:p>
    <w:p w14:paraId="3551CE05" w14:textId="77777777" w:rsidR="00000000" w:rsidRDefault="00A173A8">
      <w:pPr>
        <w:ind w:hanging="360"/>
        <w:jc w:val="both"/>
        <w:divId w:val="1627158360"/>
        <w:rPr>
          <w:rFonts w:eastAsia="Times New Roman"/>
        </w:rPr>
      </w:pPr>
      <w:r>
        <w:rPr>
          <w:rFonts w:eastAsia="Times New Roman"/>
          <w:color w:val="000000"/>
          <w:sz w:val="20"/>
          <w:szCs w:val="20"/>
        </w:rPr>
        <w:t>•changes in the interest rates related to these assets and liabilities.</w:t>
      </w:r>
    </w:p>
    <w:p w14:paraId="1E597008" w14:textId="77777777" w:rsidR="00000000" w:rsidRDefault="00A173A8">
      <w:pPr>
        <w:divId w:val="306588961"/>
        <w:rPr>
          <w:rFonts w:eastAsia="Times New Roman"/>
        </w:rPr>
      </w:pPr>
      <w:r>
        <w:rPr>
          <w:rFonts w:eastAsia="Times New Roman"/>
          <w:b/>
          <w:bCs/>
          <w:color w:val="000000"/>
          <w:sz w:val="18"/>
          <w:szCs w:val="18"/>
        </w:rPr>
        <w:t>Table 3: Rate/Volume Analysis of Net Interest Incom</w:t>
      </w:r>
      <w:r>
        <w:rPr>
          <w:rFonts w:eastAsia="Times New Roman"/>
          <w:b/>
          <w:bCs/>
          <w:color w:val="000000"/>
          <w:sz w:val="18"/>
          <w:szCs w:val="18"/>
        </w:rPr>
        <w:t>e</w:t>
      </w: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3125"/>
        <w:gridCol w:w="39"/>
        <w:gridCol w:w="36"/>
        <w:gridCol w:w="36"/>
        <w:gridCol w:w="36"/>
        <w:gridCol w:w="121"/>
        <w:gridCol w:w="839"/>
        <w:gridCol w:w="36"/>
        <w:gridCol w:w="36"/>
        <w:gridCol w:w="36"/>
        <w:gridCol w:w="36"/>
        <w:gridCol w:w="121"/>
        <w:gridCol w:w="611"/>
        <w:gridCol w:w="37"/>
        <w:gridCol w:w="36"/>
        <w:gridCol w:w="36"/>
        <w:gridCol w:w="36"/>
        <w:gridCol w:w="120"/>
        <w:gridCol w:w="350"/>
        <w:gridCol w:w="36"/>
        <w:gridCol w:w="36"/>
        <w:gridCol w:w="36"/>
        <w:gridCol w:w="36"/>
        <w:gridCol w:w="121"/>
        <w:gridCol w:w="751"/>
        <w:gridCol w:w="36"/>
        <w:gridCol w:w="36"/>
        <w:gridCol w:w="36"/>
        <w:gridCol w:w="36"/>
        <w:gridCol w:w="121"/>
        <w:gridCol w:w="611"/>
        <w:gridCol w:w="37"/>
        <w:gridCol w:w="36"/>
        <w:gridCol w:w="36"/>
        <w:gridCol w:w="36"/>
        <w:gridCol w:w="120"/>
        <w:gridCol w:w="350"/>
        <w:gridCol w:w="36"/>
      </w:tblGrid>
      <w:tr w:rsidR="00000000" w14:paraId="31C7D831" w14:textId="77777777">
        <w:trPr>
          <w:divId w:val="122502650"/>
        </w:trPr>
        <w:tc>
          <w:tcPr>
            <w:tcW w:w="50" w:type="pct"/>
            <w:vAlign w:val="center"/>
            <w:hideMark/>
          </w:tcPr>
          <w:p w14:paraId="682BB10E" w14:textId="77777777" w:rsidR="00000000" w:rsidRDefault="00A173A8">
            <w:pPr>
              <w:rPr>
                <w:rFonts w:eastAsia="Times New Roman"/>
              </w:rPr>
            </w:pPr>
          </w:p>
        </w:tc>
        <w:tc>
          <w:tcPr>
            <w:tcW w:w="1977" w:type="pct"/>
            <w:vAlign w:val="center"/>
            <w:hideMark/>
          </w:tcPr>
          <w:p w14:paraId="6F34513B" w14:textId="77777777" w:rsidR="00000000" w:rsidRDefault="00A173A8">
            <w:pPr>
              <w:spacing w:after="100"/>
              <w:rPr>
                <w:rFonts w:eastAsia="Times New Roman"/>
                <w:sz w:val="20"/>
                <w:szCs w:val="20"/>
              </w:rPr>
            </w:pPr>
          </w:p>
        </w:tc>
        <w:tc>
          <w:tcPr>
            <w:tcW w:w="5" w:type="pct"/>
            <w:vAlign w:val="center"/>
            <w:hideMark/>
          </w:tcPr>
          <w:p w14:paraId="451D3AE5" w14:textId="77777777" w:rsidR="00000000" w:rsidRDefault="00A173A8">
            <w:pPr>
              <w:spacing w:after="100"/>
              <w:rPr>
                <w:rFonts w:eastAsia="Times New Roman"/>
                <w:sz w:val="20"/>
                <w:szCs w:val="20"/>
              </w:rPr>
            </w:pPr>
          </w:p>
        </w:tc>
        <w:tc>
          <w:tcPr>
            <w:tcW w:w="5" w:type="pct"/>
            <w:vAlign w:val="center"/>
            <w:hideMark/>
          </w:tcPr>
          <w:p w14:paraId="0D6943C7" w14:textId="77777777" w:rsidR="00000000" w:rsidRDefault="00A173A8">
            <w:pPr>
              <w:spacing w:after="100"/>
              <w:rPr>
                <w:rFonts w:eastAsia="Times New Roman"/>
                <w:sz w:val="20"/>
                <w:szCs w:val="20"/>
              </w:rPr>
            </w:pPr>
          </w:p>
        </w:tc>
        <w:tc>
          <w:tcPr>
            <w:tcW w:w="26" w:type="pct"/>
            <w:vAlign w:val="center"/>
            <w:hideMark/>
          </w:tcPr>
          <w:p w14:paraId="1A59E1F1" w14:textId="77777777" w:rsidR="00000000" w:rsidRDefault="00A173A8">
            <w:pPr>
              <w:spacing w:after="100"/>
              <w:rPr>
                <w:rFonts w:eastAsia="Times New Roman"/>
                <w:sz w:val="20"/>
                <w:szCs w:val="20"/>
              </w:rPr>
            </w:pPr>
          </w:p>
        </w:tc>
        <w:tc>
          <w:tcPr>
            <w:tcW w:w="5" w:type="pct"/>
            <w:vAlign w:val="center"/>
            <w:hideMark/>
          </w:tcPr>
          <w:p w14:paraId="053D9A52" w14:textId="77777777" w:rsidR="00000000" w:rsidRDefault="00A173A8">
            <w:pPr>
              <w:spacing w:after="100"/>
              <w:rPr>
                <w:rFonts w:eastAsia="Times New Roman"/>
                <w:sz w:val="20"/>
                <w:szCs w:val="20"/>
              </w:rPr>
            </w:pPr>
          </w:p>
        </w:tc>
        <w:tc>
          <w:tcPr>
            <w:tcW w:w="50" w:type="pct"/>
            <w:vAlign w:val="center"/>
            <w:hideMark/>
          </w:tcPr>
          <w:p w14:paraId="2755DF02" w14:textId="77777777" w:rsidR="00000000" w:rsidRDefault="00A173A8">
            <w:pPr>
              <w:spacing w:after="100"/>
              <w:rPr>
                <w:rFonts w:eastAsia="Times New Roman"/>
                <w:sz w:val="20"/>
                <w:szCs w:val="20"/>
              </w:rPr>
            </w:pPr>
          </w:p>
        </w:tc>
        <w:tc>
          <w:tcPr>
            <w:tcW w:w="624" w:type="pct"/>
            <w:vAlign w:val="center"/>
            <w:hideMark/>
          </w:tcPr>
          <w:p w14:paraId="24591171" w14:textId="77777777" w:rsidR="00000000" w:rsidRDefault="00A173A8">
            <w:pPr>
              <w:spacing w:after="100"/>
              <w:rPr>
                <w:rFonts w:eastAsia="Times New Roman"/>
                <w:sz w:val="20"/>
                <w:szCs w:val="20"/>
              </w:rPr>
            </w:pPr>
          </w:p>
        </w:tc>
        <w:tc>
          <w:tcPr>
            <w:tcW w:w="5" w:type="pct"/>
            <w:vAlign w:val="center"/>
            <w:hideMark/>
          </w:tcPr>
          <w:p w14:paraId="07FEDAFF" w14:textId="77777777" w:rsidR="00000000" w:rsidRDefault="00A173A8">
            <w:pPr>
              <w:spacing w:after="100"/>
              <w:rPr>
                <w:rFonts w:eastAsia="Times New Roman"/>
                <w:sz w:val="20"/>
                <w:szCs w:val="20"/>
              </w:rPr>
            </w:pPr>
          </w:p>
        </w:tc>
        <w:tc>
          <w:tcPr>
            <w:tcW w:w="5" w:type="pct"/>
            <w:vAlign w:val="center"/>
            <w:hideMark/>
          </w:tcPr>
          <w:p w14:paraId="57240BED" w14:textId="77777777" w:rsidR="00000000" w:rsidRDefault="00A173A8">
            <w:pPr>
              <w:spacing w:after="100"/>
              <w:rPr>
                <w:rFonts w:eastAsia="Times New Roman"/>
                <w:sz w:val="20"/>
                <w:szCs w:val="20"/>
              </w:rPr>
            </w:pPr>
          </w:p>
        </w:tc>
        <w:tc>
          <w:tcPr>
            <w:tcW w:w="26" w:type="pct"/>
            <w:vAlign w:val="center"/>
            <w:hideMark/>
          </w:tcPr>
          <w:p w14:paraId="1CEA7225" w14:textId="77777777" w:rsidR="00000000" w:rsidRDefault="00A173A8">
            <w:pPr>
              <w:spacing w:after="100"/>
              <w:rPr>
                <w:rFonts w:eastAsia="Times New Roman"/>
                <w:sz w:val="20"/>
                <w:szCs w:val="20"/>
              </w:rPr>
            </w:pPr>
          </w:p>
        </w:tc>
        <w:tc>
          <w:tcPr>
            <w:tcW w:w="5" w:type="pct"/>
            <w:vAlign w:val="center"/>
            <w:hideMark/>
          </w:tcPr>
          <w:p w14:paraId="6929B042" w14:textId="77777777" w:rsidR="00000000" w:rsidRDefault="00A173A8">
            <w:pPr>
              <w:spacing w:after="100"/>
              <w:rPr>
                <w:rFonts w:eastAsia="Times New Roman"/>
                <w:sz w:val="20"/>
                <w:szCs w:val="20"/>
              </w:rPr>
            </w:pPr>
          </w:p>
        </w:tc>
        <w:tc>
          <w:tcPr>
            <w:tcW w:w="50" w:type="pct"/>
            <w:vAlign w:val="center"/>
            <w:hideMark/>
          </w:tcPr>
          <w:p w14:paraId="7F5BC45E" w14:textId="77777777" w:rsidR="00000000" w:rsidRDefault="00A173A8">
            <w:pPr>
              <w:spacing w:after="100"/>
              <w:rPr>
                <w:rFonts w:eastAsia="Times New Roman"/>
                <w:sz w:val="20"/>
                <w:szCs w:val="20"/>
              </w:rPr>
            </w:pPr>
          </w:p>
        </w:tc>
        <w:tc>
          <w:tcPr>
            <w:tcW w:w="354" w:type="pct"/>
            <w:vAlign w:val="center"/>
            <w:hideMark/>
          </w:tcPr>
          <w:p w14:paraId="7E8935AB" w14:textId="77777777" w:rsidR="00000000" w:rsidRDefault="00A173A8">
            <w:pPr>
              <w:spacing w:after="100"/>
              <w:rPr>
                <w:rFonts w:eastAsia="Times New Roman"/>
                <w:sz w:val="20"/>
                <w:szCs w:val="20"/>
              </w:rPr>
            </w:pPr>
          </w:p>
        </w:tc>
        <w:tc>
          <w:tcPr>
            <w:tcW w:w="5" w:type="pct"/>
            <w:vAlign w:val="center"/>
            <w:hideMark/>
          </w:tcPr>
          <w:p w14:paraId="70DCD422" w14:textId="77777777" w:rsidR="00000000" w:rsidRDefault="00A173A8">
            <w:pPr>
              <w:spacing w:after="100"/>
              <w:rPr>
                <w:rFonts w:eastAsia="Times New Roman"/>
                <w:sz w:val="20"/>
                <w:szCs w:val="20"/>
              </w:rPr>
            </w:pPr>
          </w:p>
        </w:tc>
        <w:tc>
          <w:tcPr>
            <w:tcW w:w="5" w:type="pct"/>
            <w:vAlign w:val="center"/>
            <w:hideMark/>
          </w:tcPr>
          <w:p w14:paraId="62C315A9" w14:textId="77777777" w:rsidR="00000000" w:rsidRDefault="00A173A8">
            <w:pPr>
              <w:spacing w:after="100"/>
              <w:rPr>
                <w:rFonts w:eastAsia="Times New Roman"/>
                <w:sz w:val="20"/>
                <w:szCs w:val="20"/>
              </w:rPr>
            </w:pPr>
          </w:p>
        </w:tc>
        <w:tc>
          <w:tcPr>
            <w:tcW w:w="26" w:type="pct"/>
            <w:vAlign w:val="center"/>
            <w:hideMark/>
          </w:tcPr>
          <w:p w14:paraId="7122D13A" w14:textId="77777777" w:rsidR="00000000" w:rsidRDefault="00A173A8">
            <w:pPr>
              <w:spacing w:after="100"/>
              <w:rPr>
                <w:rFonts w:eastAsia="Times New Roman"/>
                <w:sz w:val="20"/>
                <w:szCs w:val="20"/>
              </w:rPr>
            </w:pPr>
          </w:p>
        </w:tc>
        <w:tc>
          <w:tcPr>
            <w:tcW w:w="5" w:type="pct"/>
            <w:vAlign w:val="center"/>
            <w:hideMark/>
          </w:tcPr>
          <w:p w14:paraId="5FC1A04B" w14:textId="77777777" w:rsidR="00000000" w:rsidRDefault="00A173A8">
            <w:pPr>
              <w:spacing w:after="100"/>
              <w:rPr>
                <w:rFonts w:eastAsia="Times New Roman"/>
                <w:sz w:val="20"/>
                <w:szCs w:val="20"/>
              </w:rPr>
            </w:pPr>
          </w:p>
        </w:tc>
        <w:tc>
          <w:tcPr>
            <w:tcW w:w="50" w:type="pct"/>
            <w:vAlign w:val="center"/>
            <w:hideMark/>
          </w:tcPr>
          <w:p w14:paraId="222F51C3" w14:textId="77777777" w:rsidR="00000000" w:rsidRDefault="00A173A8">
            <w:pPr>
              <w:spacing w:after="100"/>
              <w:rPr>
                <w:rFonts w:eastAsia="Times New Roman"/>
                <w:sz w:val="20"/>
                <w:szCs w:val="20"/>
              </w:rPr>
            </w:pPr>
          </w:p>
        </w:tc>
        <w:tc>
          <w:tcPr>
            <w:tcW w:w="230" w:type="pct"/>
            <w:vAlign w:val="center"/>
            <w:hideMark/>
          </w:tcPr>
          <w:p w14:paraId="0C606AA1" w14:textId="77777777" w:rsidR="00000000" w:rsidRDefault="00A173A8">
            <w:pPr>
              <w:spacing w:after="100"/>
              <w:rPr>
                <w:rFonts w:eastAsia="Times New Roman"/>
                <w:sz w:val="20"/>
                <w:szCs w:val="20"/>
              </w:rPr>
            </w:pPr>
          </w:p>
        </w:tc>
        <w:tc>
          <w:tcPr>
            <w:tcW w:w="5" w:type="pct"/>
            <w:vAlign w:val="center"/>
            <w:hideMark/>
          </w:tcPr>
          <w:p w14:paraId="69E74C39" w14:textId="77777777" w:rsidR="00000000" w:rsidRDefault="00A173A8">
            <w:pPr>
              <w:spacing w:after="100"/>
              <w:rPr>
                <w:rFonts w:eastAsia="Times New Roman"/>
                <w:sz w:val="20"/>
                <w:szCs w:val="20"/>
              </w:rPr>
            </w:pPr>
          </w:p>
        </w:tc>
        <w:tc>
          <w:tcPr>
            <w:tcW w:w="5" w:type="pct"/>
            <w:vAlign w:val="center"/>
            <w:hideMark/>
          </w:tcPr>
          <w:p w14:paraId="69640736" w14:textId="77777777" w:rsidR="00000000" w:rsidRDefault="00A173A8">
            <w:pPr>
              <w:spacing w:after="100"/>
              <w:rPr>
                <w:rFonts w:eastAsia="Times New Roman"/>
                <w:sz w:val="20"/>
                <w:szCs w:val="20"/>
              </w:rPr>
            </w:pPr>
          </w:p>
        </w:tc>
        <w:tc>
          <w:tcPr>
            <w:tcW w:w="26" w:type="pct"/>
            <w:vAlign w:val="center"/>
            <w:hideMark/>
          </w:tcPr>
          <w:p w14:paraId="3D75A106" w14:textId="77777777" w:rsidR="00000000" w:rsidRDefault="00A173A8">
            <w:pPr>
              <w:spacing w:after="100"/>
              <w:rPr>
                <w:rFonts w:eastAsia="Times New Roman"/>
                <w:sz w:val="20"/>
                <w:szCs w:val="20"/>
              </w:rPr>
            </w:pPr>
          </w:p>
        </w:tc>
        <w:tc>
          <w:tcPr>
            <w:tcW w:w="5" w:type="pct"/>
            <w:vAlign w:val="center"/>
            <w:hideMark/>
          </w:tcPr>
          <w:p w14:paraId="64AF2710" w14:textId="77777777" w:rsidR="00000000" w:rsidRDefault="00A173A8">
            <w:pPr>
              <w:spacing w:after="100"/>
              <w:rPr>
                <w:rFonts w:eastAsia="Times New Roman"/>
                <w:sz w:val="20"/>
                <w:szCs w:val="20"/>
              </w:rPr>
            </w:pPr>
          </w:p>
        </w:tc>
        <w:tc>
          <w:tcPr>
            <w:tcW w:w="50" w:type="pct"/>
            <w:vAlign w:val="center"/>
            <w:hideMark/>
          </w:tcPr>
          <w:p w14:paraId="2E7A8062" w14:textId="77777777" w:rsidR="00000000" w:rsidRDefault="00A173A8">
            <w:pPr>
              <w:spacing w:after="100"/>
              <w:rPr>
                <w:rFonts w:eastAsia="Times New Roman"/>
                <w:sz w:val="20"/>
                <w:szCs w:val="20"/>
              </w:rPr>
            </w:pPr>
          </w:p>
        </w:tc>
        <w:tc>
          <w:tcPr>
            <w:tcW w:w="624" w:type="pct"/>
            <w:vAlign w:val="center"/>
            <w:hideMark/>
          </w:tcPr>
          <w:p w14:paraId="2C9BF4D6" w14:textId="77777777" w:rsidR="00000000" w:rsidRDefault="00A173A8">
            <w:pPr>
              <w:spacing w:after="100"/>
              <w:rPr>
                <w:rFonts w:eastAsia="Times New Roman"/>
                <w:sz w:val="20"/>
                <w:szCs w:val="20"/>
              </w:rPr>
            </w:pPr>
          </w:p>
        </w:tc>
        <w:tc>
          <w:tcPr>
            <w:tcW w:w="5" w:type="pct"/>
            <w:vAlign w:val="center"/>
            <w:hideMark/>
          </w:tcPr>
          <w:p w14:paraId="760C8949" w14:textId="77777777" w:rsidR="00000000" w:rsidRDefault="00A173A8">
            <w:pPr>
              <w:spacing w:after="100"/>
              <w:rPr>
                <w:rFonts w:eastAsia="Times New Roman"/>
                <w:sz w:val="20"/>
                <w:szCs w:val="20"/>
              </w:rPr>
            </w:pPr>
          </w:p>
        </w:tc>
        <w:tc>
          <w:tcPr>
            <w:tcW w:w="5" w:type="pct"/>
            <w:vAlign w:val="center"/>
            <w:hideMark/>
          </w:tcPr>
          <w:p w14:paraId="59FBA3AA" w14:textId="77777777" w:rsidR="00000000" w:rsidRDefault="00A173A8">
            <w:pPr>
              <w:spacing w:after="100"/>
              <w:rPr>
                <w:rFonts w:eastAsia="Times New Roman"/>
                <w:sz w:val="20"/>
                <w:szCs w:val="20"/>
              </w:rPr>
            </w:pPr>
          </w:p>
        </w:tc>
        <w:tc>
          <w:tcPr>
            <w:tcW w:w="26" w:type="pct"/>
            <w:vAlign w:val="center"/>
            <w:hideMark/>
          </w:tcPr>
          <w:p w14:paraId="25C28B33" w14:textId="77777777" w:rsidR="00000000" w:rsidRDefault="00A173A8">
            <w:pPr>
              <w:spacing w:after="100"/>
              <w:rPr>
                <w:rFonts w:eastAsia="Times New Roman"/>
                <w:sz w:val="20"/>
                <w:szCs w:val="20"/>
              </w:rPr>
            </w:pPr>
          </w:p>
        </w:tc>
        <w:tc>
          <w:tcPr>
            <w:tcW w:w="5" w:type="pct"/>
            <w:vAlign w:val="center"/>
            <w:hideMark/>
          </w:tcPr>
          <w:p w14:paraId="3362E038" w14:textId="77777777" w:rsidR="00000000" w:rsidRDefault="00A173A8">
            <w:pPr>
              <w:spacing w:after="100"/>
              <w:rPr>
                <w:rFonts w:eastAsia="Times New Roman"/>
                <w:sz w:val="20"/>
                <w:szCs w:val="20"/>
              </w:rPr>
            </w:pPr>
          </w:p>
        </w:tc>
        <w:tc>
          <w:tcPr>
            <w:tcW w:w="50" w:type="pct"/>
            <w:vAlign w:val="center"/>
            <w:hideMark/>
          </w:tcPr>
          <w:p w14:paraId="7340A320" w14:textId="77777777" w:rsidR="00000000" w:rsidRDefault="00A173A8">
            <w:pPr>
              <w:spacing w:after="100"/>
              <w:rPr>
                <w:rFonts w:eastAsia="Times New Roman"/>
                <w:sz w:val="20"/>
                <w:szCs w:val="20"/>
              </w:rPr>
            </w:pPr>
          </w:p>
        </w:tc>
        <w:tc>
          <w:tcPr>
            <w:tcW w:w="354" w:type="pct"/>
            <w:vAlign w:val="center"/>
            <w:hideMark/>
          </w:tcPr>
          <w:p w14:paraId="11BEFA37" w14:textId="77777777" w:rsidR="00000000" w:rsidRDefault="00A173A8">
            <w:pPr>
              <w:spacing w:after="100"/>
              <w:rPr>
                <w:rFonts w:eastAsia="Times New Roman"/>
                <w:sz w:val="20"/>
                <w:szCs w:val="20"/>
              </w:rPr>
            </w:pPr>
          </w:p>
        </w:tc>
        <w:tc>
          <w:tcPr>
            <w:tcW w:w="5" w:type="pct"/>
            <w:vAlign w:val="center"/>
            <w:hideMark/>
          </w:tcPr>
          <w:p w14:paraId="6691BF8F" w14:textId="77777777" w:rsidR="00000000" w:rsidRDefault="00A173A8">
            <w:pPr>
              <w:spacing w:after="100"/>
              <w:rPr>
                <w:rFonts w:eastAsia="Times New Roman"/>
                <w:sz w:val="20"/>
                <w:szCs w:val="20"/>
              </w:rPr>
            </w:pPr>
          </w:p>
        </w:tc>
        <w:tc>
          <w:tcPr>
            <w:tcW w:w="5" w:type="pct"/>
            <w:vAlign w:val="center"/>
            <w:hideMark/>
          </w:tcPr>
          <w:p w14:paraId="006EB7E8" w14:textId="77777777" w:rsidR="00000000" w:rsidRDefault="00A173A8">
            <w:pPr>
              <w:spacing w:after="100"/>
              <w:rPr>
                <w:rFonts w:eastAsia="Times New Roman"/>
                <w:sz w:val="20"/>
                <w:szCs w:val="20"/>
              </w:rPr>
            </w:pPr>
          </w:p>
        </w:tc>
        <w:tc>
          <w:tcPr>
            <w:tcW w:w="26" w:type="pct"/>
            <w:vAlign w:val="center"/>
            <w:hideMark/>
          </w:tcPr>
          <w:p w14:paraId="3291E26C" w14:textId="77777777" w:rsidR="00000000" w:rsidRDefault="00A173A8">
            <w:pPr>
              <w:spacing w:after="100"/>
              <w:rPr>
                <w:rFonts w:eastAsia="Times New Roman"/>
                <w:sz w:val="20"/>
                <w:szCs w:val="20"/>
              </w:rPr>
            </w:pPr>
          </w:p>
        </w:tc>
        <w:tc>
          <w:tcPr>
            <w:tcW w:w="5" w:type="pct"/>
            <w:vAlign w:val="center"/>
            <w:hideMark/>
          </w:tcPr>
          <w:p w14:paraId="21A82A58" w14:textId="77777777" w:rsidR="00000000" w:rsidRDefault="00A173A8">
            <w:pPr>
              <w:spacing w:after="100"/>
              <w:rPr>
                <w:rFonts w:eastAsia="Times New Roman"/>
                <w:sz w:val="20"/>
                <w:szCs w:val="20"/>
              </w:rPr>
            </w:pPr>
          </w:p>
        </w:tc>
        <w:tc>
          <w:tcPr>
            <w:tcW w:w="50" w:type="pct"/>
            <w:vAlign w:val="center"/>
            <w:hideMark/>
          </w:tcPr>
          <w:p w14:paraId="4B6D4088" w14:textId="77777777" w:rsidR="00000000" w:rsidRDefault="00A173A8">
            <w:pPr>
              <w:spacing w:after="100"/>
              <w:rPr>
                <w:rFonts w:eastAsia="Times New Roman"/>
                <w:sz w:val="20"/>
                <w:szCs w:val="20"/>
              </w:rPr>
            </w:pPr>
          </w:p>
        </w:tc>
        <w:tc>
          <w:tcPr>
            <w:tcW w:w="230" w:type="pct"/>
            <w:vAlign w:val="center"/>
            <w:hideMark/>
          </w:tcPr>
          <w:p w14:paraId="39517956" w14:textId="77777777" w:rsidR="00000000" w:rsidRDefault="00A173A8">
            <w:pPr>
              <w:spacing w:after="100"/>
              <w:rPr>
                <w:rFonts w:eastAsia="Times New Roman"/>
                <w:sz w:val="20"/>
                <w:szCs w:val="20"/>
              </w:rPr>
            </w:pPr>
          </w:p>
        </w:tc>
        <w:tc>
          <w:tcPr>
            <w:tcW w:w="5" w:type="pct"/>
            <w:vAlign w:val="center"/>
            <w:hideMark/>
          </w:tcPr>
          <w:p w14:paraId="05A8A4D3" w14:textId="77777777" w:rsidR="00000000" w:rsidRDefault="00A173A8">
            <w:pPr>
              <w:spacing w:after="100"/>
              <w:rPr>
                <w:rFonts w:eastAsia="Times New Roman"/>
                <w:sz w:val="20"/>
                <w:szCs w:val="20"/>
              </w:rPr>
            </w:pPr>
          </w:p>
        </w:tc>
      </w:tr>
      <w:tr w:rsidR="00000000" w14:paraId="6164B4BD" w14:textId="77777777">
        <w:trPr>
          <w:divId w:val="122502650"/>
        </w:trPr>
        <w:tc>
          <w:tcPr>
            <w:tcW w:w="0" w:type="auto"/>
            <w:gridSpan w:val="3"/>
            <w:tcMar>
              <w:top w:w="0" w:type="dxa"/>
              <w:left w:w="20" w:type="dxa"/>
              <w:bottom w:w="0" w:type="dxa"/>
              <w:right w:w="20" w:type="dxa"/>
            </w:tcMar>
            <w:vAlign w:val="center"/>
            <w:hideMark/>
          </w:tcPr>
          <w:p w14:paraId="5ABDA9B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24AA1F" w14:textId="77777777" w:rsidR="00000000" w:rsidRDefault="00A173A8">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4E9F3C88"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4DE1FC01" w14:textId="77777777" w:rsidR="00000000" w:rsidRDefault="00A173A8">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718DA0F4"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r>
      <w:tr w:rsidR="00000000" w14:paraId="4DC5B8AF" w14:textId="77777777">
        <w:trPr>
          <w:divId w:val="122502650"/>
        </w:trPr>
        <w:tc>
          <w:tcPr>
            <w:tcW w:w="0" w:type="auto"/>
            <w:gridSpan w:val="3"/>
            <w:tcMar>
              <w:top w:w="30" w:type="dxa"/>
              <w:left w:w="20" w:type="dxa"/>
              <w:bottom w:w="30" w:type="dxa"/>
              <w:right w:w="20" w:type="dxa"/>
            </w:tcMar>
            <w:vAlign w:val="bottom"/>
            <w:hideMark/>
          </w:tcPr>
          <w:p w14:paraId="6F76997D"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3EB40A7" w14:textId="77777777" w:rsidR="00000000" w:rsidRDefault="00A173A8">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631C2467" w14:textId="77777777" w:rsidR="00000000" w:rsidRDefault="00A173A8">
            <w:pPr>
              <w:spacing w:after="100"/>
              <w:jc w:val="center"/>
              <w:rPr>
                <w:rFonts w:eastAsia="Times New Roman"/>
              </w:rPr>
            </w:pPr>
            <w:r>
              <w:rPr>
                <w:rFonts w:eastAsia="Times New Roman"/>
                <w:b/>
                <w:bCs/>
                <w:color w:val="000000"/>
                <w:sz w:val="20"/>
                <w:szCs w:val="20"/>
              </w:rPr>
              <w:t>2022 vs. 2021</w:t>
            </w:r>
          </w:p>
        </w:tc>
        <w:tc>
          <w:tcPr>
            <w:tcW w:w="0" w:type="auto"/>
            <w:gridSpan w:val="3"/>
            <w:tcMar>
              <w:top w:w="0" w:type="dxa"/>
              <w:left w:w="20" w:type="dxa"/>
              <w:bottom w:w="0" w:type="dxa"/>
              <w:right w:w="20" w:type="dxa"/>
            </w:tcMar>
            <w:vAlign w:val="center"/>
            <w:hideMark/>
          </w:tcPr>
          <w:p w14:paraId="49AD662C"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C358F43" w14:textId="77777777" w:rsidR="00000000" w:rsidRDefault="00A173A8">
            <w:pPr>
              <w:spacing w:after="100"/>
              <w:jc w:val="center"/>
              <w:rPr>
                <w:rFonts w:eastAsia="Times New Roman"/>
              </w:rPr>
            </w:pPr>
            <w:r>
              <w:rPr>
                <w:rFonts w:eastAsia="Times New Roman"/>
                <w:b/>
                <w:bCs/>
                <w:color w:val="000000"/>
                <w:sz w:val="20"/>
                <w:szCs w:val="20"/>
              </w:rPr>
              <w:t>2022 vs. 2021</w:t>
            </w:r>
          </w:p>
        </w:tc>
      </w:tr>
      <w:tr w:rsidR="00000000" w14:paraId="162F1BB7" w14:textId="77777777">
        <w:trPr>
          <w:divId w:val="122502650"/>
        </w:trPr>
        <w:tc>
          <w:tcPr>
            <w:tcW w:w="0" w:type="auto"/>
            <w:gridSpan w:val="3"/>
            <w:tcMar>
              <w:top w:w="30" w:type="dxa"/>
              <w:left w:w="20" w:type="dxa"/>
              <w:bottom w:w="30" w:type="dxa"/>
              <w:right w:w="20" w:type="dxa"/>
            </w:tcMar>
            <w:vAlign w:val="bottom"/>
            <w:hideMark/>
          </w:tcPr>
          <w:p w14:paraId="354AE605"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15671C7E"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BCDCF9" w14:textId="77777777" w:rsidR="00000000" w:rsidRDefault="00A173A8">
            <w:pPr>
              <w:spacing w:after="100"/>
              <w:jc w:val="center"/>
              <w:rPr>
                <w:rFonts w:eastAsia="Times New Roman"/>
              </w:rPr>
            </w:pPr>
            <w:r>
              <w:rPr>
                <w:rFonts w:eastAsia="Times New Roman"/>
                <w:b/>
                <w:bCs/>
                <w:color w:val="000000"/>
                <w:sz w:val="20"/>
                <w:szCs w:val="20"/>
              </w:rPr>
              <w:t>Total Variance</w:t>
            </w:r>
          </w:p>
        </w:tc>
        <w:tc>
          <w:tcPr>
            <w:tcW w:w="0" w:type="auto"/>
            <w:gridSpan w:val="3"/>
            <w:tcBorders>
              <w:top w:val="single" w:sz="8" w:space="0" w:color="000000"/>
            </w:tcBorders>
            <w:tcMar>
              <w:top w:w="0" w:type="dxa"/>
              <w:left w:w="20" w:type="dxa"/>
              <w:bottom w:w="0" w:type="dxa"/>
              <w:right w:w="20" w:type="dxa"/>
            </w:tcMar>
            <w:vAlign w:val="center"/>
            <w:hideMark/>
          </w:tcPr>
          <w:p w14:paraId="7B761611"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3993AA" w14:textId="77777777" w:rsidR="00000000" w:rsidRDefault="00A173A8">
            <w:pPr>
              <w:spacing w:after="100"/>
              <w:jc w:val="center"/>
              <w:rPr>
                <w:rFonts w:eastAsia="Times New Roman"/>
              </w:rPr>
            </w:pPr>
            <w:r>
              <w:rPr>
                <w:rFonts w:eastAsia="Times New Roman"/>
                <w:b/>
                <w:bCs/>
                <w:color w:val="000000"/>
                <w:sz w:val="20"/>
                <w:szCs w:val="20"/>
              </w:rPr>
              <w:t>Volume</w:t>
            </w:r>
          </w:p>
        </w:tc>
        <w:tc>
          <w:tcPr>
            <w:tcW w:w="0" w:type="auto"/>
            <w:gridSpan w:val="3"/>
            <w:tcBorders>
              <w:top w:val="single" w:sz="8" w:space="0" w:color="000000"/>
            </w:tcBorders>
            <w:tcMar>
              <w:top w:w="0" w:type="dxa"/>
              <w:left w:w="20" w:type="dxa"/>
              <w:bottom w:w="0" w:type="dxa"/>
              <w:right w:w="20" w:type="dxa"/>
            </w:tcMar>
            <w:vAlign w:val="center"/>
            <w:hideMark/>
          </w:tcPr>
          <w:p w14:paraId="47E2ECF3"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A8FA6B" w14:textId="77777777" w:rsidR="00000000" w:rsidRDefault="00A173A8">
            <w:pPr>
              <w:spacing w:after="100"/>
              <w:jc w:val="center"/>
              <w:rPr>
                <w:rFonts w:eastAsia="Times New Roman"/>
              </w:rPr>
            </w:pPr>
            <w:r>
              <w:rPr>
                <w:rFonts w:eastAsia="Times New Roman"/>
                <w:b/>
                <w:bCs/>
                <w:color w:val="000000"/>
                <w:sz w:val="20"/>
                <w:szCs w:val="20"/>
              </w:rPr>
              <w:t>Rate</w:t>
            </w:r>
          </w:p>
        </w:tc>
        <w:tc>
          <w:tcPr>
            <w:tcW w:w="0" w:type="auto"/>
            <w:gridSpan w:val="3"/>
            <w:tcMar>
              <w:top w:w="0" w:type="dxa"/>
              <w:left w:w="20" w:type="dxa"/>
              <w:bottom w:w="0" w:type="dxa"/>
              <w:right w:w="20" w:type="dxa"/>
            </w:tcMar>
            <w:vAlign w:val="center"/>
            <w:hideMark/>
          </w:tcPr>
          <w:p w14:paraId="589BDA6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165ABC" w14:textId="77777777" w:rsidR="00000000" w:rsidRDefault="00A173A8">
            <w:pPr>
              <w:spacing w:after="100"/>
              <w:jc w:val="center"/>
              <w:rPr>
                <w:rFonts w:eastAsia="Times New Roman"/>
              </w:rPr>
            </w:pPr>
            <w:r>
              <w:rPr>
                <w:rFonts w:eastAsia="Times New Roman"/>
                <w:b/>
                <w:bCs/>
                <w:color w:val="000000"/>
                <w:sz w:val="20"/>
                <w:szCs w:val="20"/>
              </w:rPr>
              <w:t>Total Variance</w:t>
            </w:r>
          </w:p>
        </w:tc>
        <w:tc>
          <w:tcPr>
            <w:tcW w:w="0" w:type="auto"/>
            <w:gridSpan w:val="3"/>
            <w:tcBorders>
              <w:top w:val="single" w:sz="8" w:space="0" w:color="000000"/>
            </w:tcBorders>
            <w:tcMar>
              <w:top w:w="0" w:type="dxa"/>
              <w:left w:w="20" w:type="dxa"/>
              <w:bottom w:w="0" w:type="dxa"/>
              <w:right w:w="20" w:type="dxa"/>
            </w:tcMar>
            <w:vAlign w:val="center"/>
            <w:hideMark/>
          </w:tcPr>
          <w:p w14:paraId="6AA3DCC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598926" w14:textId="77777777" w:rsidR="00000000" w:rsidRDefault="00A173A8">
            <w:pPr>
              <w:spacing w:after="100"/>
              <w:jc w:val="center"/>
              <w:rPr>
                <w:rFonts w:eastAsia="Times New Roman"/>
              </w:rPr>
            </w:pPr>
            <w:r>
              <w:rPr>
                <w:rFonts w:eastAsia="Times New Roman"/>
                <w:b/>
                <w:bCs/>
                <w:color w:val="000000"/>
                <w:sz w:val="20"/>
                <w:szCs w:val="20"/>
              </w:rPr>
              <w:t>Volume</w:t>
            </w:r>
          </w:p>
        </w:tc>
        <w:tc>
          <w:tcPr>
            <w:tcW w:w="0" w:type="auto"/>
            <w:gridSpan w:val="3"/>
            <w:tcBorders>
              <w:top w:val="single" w:sz="8" w:space="0" w:color="000000"/>
            </w:tcBorders>
            <w:tcMar>
              <w:top w:w="0" w:type="dxa"/>
              <w:left w:w="20" w:type="dxa"/>
              <w:bottom w:w="0" w:type="dxa"/>
              <w:right w:w="20" w:type="dxa"/>
            </w:tcMar>
            <w:vAlign w:val="center"/>
            <w:hideMark/>
          </w:tcPr>
          <w:p w14:paraId="24EF3BE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D95F71" w14:textId="77777777" w:rsidR="00000000" w:rsidRDefault="00A173A8">
            <w:pPr>
              <w:spacing w:after="100"/>
              <w:jc w:val="center"/>
              <w:rPr>
                <w:rFonts w:eastAsia="Times New Roman"/>
              </w:rPr>
            </w:pPr>
            <w:r>
              <w:rPr>
                <w:rFonts w:eastAsia="Times New Roman"/>
                <w:b/>
                <w:bCs/>
                <w:color w:val="000000"/>
                <w:sz w:val="20"/>
                <w:szCs w:val="20"/>
              </w:rPr>
              <w:t>Rate</w:t>
            </w:r>
          </w:p>
        </w:tc>
      </w:tr>
      <w:tr w:rsidR="00000000" w14:paraId="371E14FE" w14:textId="77777777">
        <w:trPr>
          <w:divId w:val="1225026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846EEA9" w14:textId="77777777" w:rsidR="00000000" w:rsidRDefault="00A173A8">
            <w:pPr>
              <w:spacing w:after="100"/>
              <w:rPr>
                <w:rFonts w:eastAsia="Times New Roman"/>
              </w:rPr>
            </w:pPr>
            <w:r>
              <w:rPr>
                <w:rFonts w:eastAsia="Times New Roman"/>
                <w:b/>
                <w:bCs/>
                <w:color w:val="000000"/>
                <w:sz w:val="20"/>
                <w:szCs w:val="20"/>
              </w:rPr>
              <w:t>Interest income:</w:t>
            </w:r>
          </w:p>
        </w:tc>
        <w:tc>
          <w:tcPr>
            <w:tcW w:w="0" w:type="auto"/>
            <w:gridSpan w:val="3"/>
            <w:shd w:val="clear" w:color="auto" w:fill="CCEEFF"/>
            <w:tcMar>
              <w:top w:w="0" w:type="dxa"/>
              <w:left w:w="20" w:type="dxa"/>
              <w:bottom w:w="0" w:type="dxa"/>
              <w:right w:w="20" w:type="dxa"/>
            </w:tcMar>
            <w:vAlign w:val="center"/>
            <w:hideMark/>
          </w:tcPr>
          <w:p w14:paraId="443E7F31"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A264A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FD0D9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FE9A3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700E4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E04D6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0718B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4B7D8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1B1FC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9EBB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83969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350C1A" w14:textId="77777777" w:rsidR="00000000" w:rsidRDefault="00A173A8">
            <w:pPr>
              <w:spacing w:after="100"/>
              <w:rPr>
                <w:rFonts w:eastAsia="Times New Roman"/>
                <w:sz w:val="20"/>
                <w:szCs w:val="20"/>
              </w:rPr>
            </w:pPr>
          </w:p>
        </w:tc>
      </w:tr>
      <w:tr w:rsidR="00000000" w14:paraId="5A52D6A9" w14:textId="77777777">
        <w:trPr>
          <w:divId w:val="122502650"/>
        </w:trPr>
        <w:tc>
          <w:tcPr>
            <w:tcW w:w="0" w:type="auto"/>
            <w:gridSpan w:val="3"/>
            <w:shd w:val="clear" w:color="auto" w:fill="FFFFFF"/>
            <w:tcMar>
              <w:top w:w="30" w:type="dxa"/>
              <w:left w:w="20" w:type="dxa"/>
              <w:bottom w:w="30" w:type="dxa"/>
              <w:right w:w="20" w:type="dxa"/>
            </w:tcMar>
            <w:vAlign w:val="center"/>
            <w:hideMark/>
          </w:tcPr>
          <w:p w14:paraId="18181C0F" w14:textId="77777777" w:rsidR="00000000" w:rsidRDefault="00A173A8">
            <w:pPr>
              <w:spacing w:after="100"/>
              <w:rPr>
                <w:rFonts w:eastAsia="Times New Roman"/>
              </w:rPr>
            </w:pPr>
            <w:r>
              <w:rPr>
                <w:rFonts w:eastAsia="Times New Roman"/>
                <w:color w:val="000000"/>
                <w:sz w:val="20"/>
                <w:szCs w:val="20"/>
              </w:rPr>
              <w:t>Loans:</w:t>
            </w:r>
          </w:p>
        </w:tc>
        <w:tc>
          <w:tcPr>
            <w:tcW w:w="0" w:type="auto"/>
            <w:gridSpan w:val="3"/>
            <w:shd w:val="clear" w:color="auto" w:fill="FFFFFF"/>
            <w:tcMar>
              <w:top w:w="0" w:type="dxa"/>
              <w:left w:w="20" w:type="dxa"/>
              <w:bottom w:w="0" w:type="dxa"/>
              <w:right w:w="20" w:type="dxa"/>
            </w:tcMar>
            <w:vAlign w:val="center"/>
            <w:hideMark/>
          </w:tcPr>
          <w:p w14:paraId="6FF91F5F"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57AF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BC494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54DF7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0CF58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34F39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71F24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67478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3014C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9A177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83362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C05A3E" w14:textId="77777777" w:rsidR="00000000" w:rsidRDefault="00A173A8">
            <w:pPr>
              <w:spacing w:after="100"/>
              <w:rPr>
                <w:rFonts w:eastAsia="Times New Roman"/>
                <w:sz w:val="20"/>
                <w:szCs w:val="20"/>
              </w:rPr>
            </w:pPr>
          </w:p>
        </w:tc>
      </w:tr>
      <w:tr w:rsidR="00000000" w14:paraId="6D5FC05B" w14:textId="77777777">
        <w:trPr>
          <w:divId w:val="122502650"/>
        </w:trPr>
        <w:tc>
          <w:tcPr>
            <w:tcW w:w="0" w:type="auto"/>
            <w:gridSpan w:val="3"/>
            <w:shd w:val="clear" w:color="auto" w:fill="CCEEFF"/>
            <w:tcMar>
              <w:top w:w="30" w:type="dxa"/>
              <w:left w:w="245" w:type="dxa"/>
              <w:bottom w:w="30" w:type="dxa"/>
              <w:right w:w="20" w:type="dxa"/>
            </w:tcMar>
            <w:vAlign w:val="center"/>
            <w:hideMark/>
          </w:tcPr>
          <w:p w14:paraId="3701FEF1" w14:textId="77777777" w:rsidR="00000000" w:rsidRDefault="00A173A8">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629E2C74"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691C543A"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7ED81919" w14:textId="77777777" w:rsidR="00000000" w:rsidRDefault="00A173A8">
            <w:pPr>
              <w:spacing w:after="100"/>
              <w:jc w:val="right"/>
              <w:rPr>
                <w:rFonts w:eastAsia="Times New Roman"/>
              </w:rPr>
            </w:pPr>
            <w:r>
              <w:rPr>
                <w:rFonts w:eastAsia="Times New Roman"/>
                <w:b/>
                <w:bCs/>
                <w:color w:val="000000"/>
                <w:sz w:val="20"/>
                <w:szCs w:val="20"/>
              </w:rPr>
              <w:t>845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347C0B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98819"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2A6E979"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285777E3" w14:textId="77777777" w:rsidR="00000000" w:rsidRDefault="00A173A8">
            <w:pPr>
              <w:spacing w:after="100"/>
              <w:jc w:val="right"/>
              <w:rPr>
                <w:rFonts w:eastAsia="Times New Roman"/>
              </w:rPr>
            </w:pPr>
            <w:r>
              <w:rPr>
                <w:rFonts w:eastAsia="Times New Roman"/>
                <w:b/>
                <w:bCs/>
                <w:color w:val="000000"/>
                <w:sz w:val="20"/>
                <w:szCs w:val="20"/>
              </w:rPr>
              <w:t>523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E9F0A6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E90BE"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4E3B0E0"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4E0551EC" w14:textId="77777777" w:rsidR="00000000" w:rsidRDefault="00A173A8">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D24AEB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E7B9E"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4E92288"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6EDE95D8" w14:textId="77777777" w:rsidR="00000000" w:rsidRDefault="00A173A8">
            <w:pPr>
              <w:spacing w:after="100"/>
              <w:jc w:val="right"/>
              <w:rPr>
                <w:rFonts w:eastAsia="Times New Roman"/>
              </w:rPr>
            </w:pPr>
            <w:r>
              <w:rPr>
                <w:rFonts w:eastAsia="Times New Roman"/>
                <w:b/>
                <w:bCs/>
                <w:color w:val="000000"/>
                <w:sz w:val="20"/>
                <w:szCs w:val="20"/>
              </w:rPr>
              <w:t>1,406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C27628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B8D9D"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6749F44"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730EEEBC" w14:textId="77777777" w:rsidR="00000000" w:rsidRDefault="00A173A8">
            <w:pPr>
              <w:spacing w:after="100"/>
              <w:jc w:val="right"/>
              <w:rPr>
                <w:rFonts w:eastAsia="Times New Roman"/>
              </w:rPr>
            </w:pPr>
            <w:r>
              <w:rPr>
                <w:rFonts w:eastAsia="Times New Roman"/>
                <w:b/>
                <w:bCs/>
                <w:color w:val="000000"/>
                <w:sz w:val="20"/>
                <w:szCs w:val="20"/>
              </w:rPr>
              <w:t>958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EE9860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78B63"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53B54CB"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7030C516" w14:textId="77777777" w:rsidR="00000000" w:rsidRDefault="00A173A8">
            <w:pPr>
              <w:spacing w:after="100"/>
              <w:jc w:val="right"/>
              <w:rPr>
                <w:rFonts w:eastAsia="Times New Roman"/>
              </w:rPr>
            </w:pPr>
            <w:r>
              <w:rPr>
                <w:rFonts w:eastAsia="Times New Roman"/>
                <w:b/>
                <w:bCs/>
                <w:color w:val="000000"/>
                <w:sz w:val="20"/>
                <w:szCs w:val="20"/>
              </w:rPr>
              <w:t>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A05D8ED" w14:textId="77777777" w:rsidR="00000000" w:rsidRDefault="00A173A8">
            <w:pPr>
              <w:spacing w:after="100"/>
              <w:jc w:val="right"/>
              <w:rPr>
                <w:rFonts w:eastAsia="Times New Roman"/>
              </w:rPr>
            </w:pPr>
          </w:p>
        </w:tc>
      </w:tr>
      <w:tr w:rsidR="00000000" w14:paraId="44231848" w14:textId="77777777">
        <w:trPr>
          <w:divId w:val="122502650"/>
        </w:trPr>
        <w:tc>
          <w:tcPr>
            <w:tcW w:w="0" w:type="auto"/>
            <w:gridSpan w:val="3"/>
            <w:shd w:val="clear" w:color="auto" w:fill="FFFFFF"/>
            <w:tcMar>
              <w:top w:w="30" w:type="dxa"/>
              <w:left w:w="245" w:type="dxa"/>
              <w:bottom w:w="30" w:type="dxa"/>
              <w:right w:w="20" w:type="dxa"/>
            </w:tcMar>
            <w:vAlign w:val="center"/>
            <w:hideMark/>
          </w:tcPr>
          <w:p w14:paraId="0D634F1C" w14:textId="77777777" w:rsidR="00000000" w:rsidRDefault="00A173A8">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14:paraId="35DE95F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72B6EA2" w14:textId="77777777" w:rsidR="00000000" w:rsidRDefault="00A173A8">
            <w:pPr>
              <w:spacing w:after="100"/>
              <w:jc w:val="right"/>
              <w:rPr>
                <w:rFonts w:eastAsia="Times New Roman"/>
              </w:rPr>
            </w:pPr>
            <w:r>
              <w:rPr>
                <w:rFonts w:eastAsia="Times New Roman"/>
                <w:b/>
                <w:bCs/>
                <w:color w:val="000000"/>
                <w:sz w:val="20"/>
                <w:szCs w:val="20"/>
              </w:rPr>
              <w:t>(18)</w:t>
            </w:r>
          </w:p>
        </w:tc>
        <w:tc>
          <w:tcPr>
            <w:tcW w:w="0" w:type="auto"/>
            <w:shd w:val="clear" w:color="auto" w:fill="FFFFFF"/>
            <w:tcMar>
              <w:top w:w="30" w:type="dxa"/>
              <w:left w:w="0" w:type="dxa"/>
              <w:bottom w:w="30" w:type="dxa"/>
              <w:right w:w="20" w:type="dxa"/>
            </w:tcMar>
            <w:vAlign w:val="center"/>
            <w:hideMark/>
          </w:tcPr>
          <w:p w14:paraId="1840112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E9F8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9B6EF0" w14:textId="77777777" w:rsidR="00000000" w:rsidRDefault="00A173A8">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CFBC62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CAAC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6005D5" w14:textId="77777777" w:rsidR="00000000" w:rsidRDefault="00A173A8">
            <w:pPr>
              <w:spacing w:after="100"/>
              <w:jc w:val="right"/>
              <w:rPr>
                <w:rFonts w:eastAsia="Times New Roman"/>
              </w:rPr>
            </w:pPr>
            <w:r>
              <w:rPr>
                <w:rFonts w:eastAsia="Times New Roman"/>
                <w:b/>
                <w:bCs/>
                <w:color w:val="000000"/>
                <w:sz w:val="20"/>
                <w:szCs w:val="20"/>
              </w:rPr>
              <w:t>(166)</w:t>
            </w:r>
          </w:p>
        </w:tc>
        <w:tc>
          <w:tcPr>
            <w:tcW w:w="0" w:type="auto"/>
            <w:shd w:val="clear" w:color="auto" w:fill="FFFFFF"/>
            <w:tcMar>
              <w:top w:w="30" w:type="dxa"/>
              <w:left w:w="0" w:type="dxa"/>
              <w:bottom w:w="30" w:type="dxa"/>
              <w:right w:w="20" w:type="dxa"/>
            </w:tcMar>
            <w:vAlign w:val="center"/>
            <w:hideMark/>
          </w:tcPr>
          <w:p w14:paraId="61CC940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857C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2BD803" w14:textId="77777777" w:rsidR="00000000" w:rsidRDefault="00A173A8">
            <w:pPr>
              <w:spacing w:after="100"/>
              <w:jc w:val="right"/>
              <w:rPr>
                <w:rFonts w:eastAsia="Times New Roman"/>
              </w:rPr>
            </w:pPr>
            <w:r>
              <w:rPr>
                <w:rFonts w:eastAsia="Times New Roman"/>
                <w:b/>
                <w:bCs/>
                <w:color w:val="000000"/>
                <w:sz w:val="20"/>
                <w:szCs w:val="20"/>
              </w:rPr>
              <w:t>(20)</w:t>
            </w:r>
          </w:p>
        </w:tc>
        <w:tc>
          <w:tcPr>
            <w:tcW w:w="0" w:type="auto"/>
            <w:shd w:val="clear" w:color="auto" w:fill="FFFFFF"/>
            <w:tcMar>
              <w:top w:w="30" w:type="dxa"/>
              <w:left w:w="0" w:type="dxa"/>
              <w:bottom w:w="30" w:type="dxa"/>
              <w:right w:w="20" w:type="dxa"/>
            </w:tcMar>
            <w:vAlign w:val="center"/>
            <w:hideMark/>
          </w:tcPr>
          <w:p w14:paraId="250AD4D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3231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B679BB" w14:textId="77777777" w:rsidR="00000000" w:rsidRDefault="00A173A8">
            <w:pPr>
              <w:spacing w:after="100"/>
              <w:jc w:val="right"/>
              <w:rPr>
                <w:rFonts w:eastAsia="Times New Roman"/>
              </w:rPr>
            </w:pPr>
            <w:r>
              <w:rPr>
                <w:rFonts w:eastAsia="Times New Roman"/>
                <w:b/>
                <w:bCs/>
                <w:color w:val="000000"/>
                <w:sz w:val="20"/>
                <w:szCs w:val="20"/>
              </w:rPr>
              <w:t>319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168DA3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9582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07FC5A" w14:textId="77777777" w:rsidR="00000000" w:rsidRDefault="00A173A8">
            <w:pPr>
              <w:spacing w:after="100"/>
              <w:jc w:val="right"/>
              <w:rPr>
                <w:rFonts w:eastAsia="Times New Roman"/>
              </w:rPr>
            </w:pPr>
            <w:r>
              <w:rPr>
                <w:rFonts w:eastAsia="Times New Roman"/>
                <w:b/>
                <w:bCs/>
                <w:color w:val="000000"/>
                <w:sz w:val="20"/>
                <w:szCs w:val="20"/>
              </w:rPr>
              <w:t>(339)</w:t>
            </w:r>
          </w:p>
        </w:tc>
        <w:tc>
          <w:tcPr>
            <w:tcW w:w="0" w:type="auto"/>
            <w:shd w:val="clear" w:color="auto" w:fill="FFFFFF"/>
            <w:tcMar>
              <w:top w:w="30" w:type="dxa"/>
              <w:left w:w="0" w:type="dxa"/>
              <w:bottom w:w="30" w:type="dxa"/>
              <w:right w:w="20" w:type="dxa"/>
            </w:tcMar>
            <w:vAlign w:val="center"/>
            <w:hideMark/>
          </w:tcPr>
          <w:p w14:paraId="3B68F245" w14:textId="77777777" w:rsidR="00000000" w:rsidRDefault="00A173A8">
            <w:pPr>
              <w:spacing w:after="100"/>
              <w:jc w:val="right"/>
              <w:rPr>
                <w:rFonts w:eastAsia="Times New Roman"/>
              </w:rPr>
            </w:pPr>
          </w:p>
        </w:tc>
      </w:tr>
      <w:tr w:rsidR="00000000" w14:paraId="7CA5367E" w14:textId="77777777">
        <w:trPr>
          <w:divId w:val="122502650"/>
        </w:trPr>
        <w:tc>
          <w:tcPr>
            <w:tcW w:w="0" w:type="auto"/>
            <w:gridSpan w:val="3"/>
            <w:shd w:val="clear" w:color="auto" w:fill="CCEEFF"/>
            <w:tcMar>
              <w:top w:w="30" w:type="dxa"/>
              <w:left w:w="20" w:type="dxa"/>
              <w:bottom w:w="30" w:type="dxa"/>
              <w:right w:w="20" w:type="dxa"/>
            </w:tcMar>
            <w:vAlign w:val="center"/>
            <w:hideMark/>
          </w:tcPr>
          <w:p w14:paraId="11676C7C" w14:textId="77777777" w:rsidR="00000000" w:rsidRDefault="00A173A8">
            <w:pPr>
              <w:spacing w:after="100"/>
              <w:divId w:val="1751460337"/>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7B97AD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1AB0B09" w14:textId="77777777" w:rsidR="00000000" w:rsidRDefault="00A173A8">
            <w:pPr>
              <w:spacing w:after="100"/>
              <w:jc w:val="right"/>
              <w:rPr>
                <w:rFonts w:eastAsia="Times New Roman"/>
              </w:rPr>
            </w:pPr>
            <w:r>
              <w:rPr>
                <w:rFonts w:eastAsia="Times New Roman"/>
                <w:b/>
                <w:bCs/>
                <w:color w:val="000000"/>
                <w:sz w:val="20"/>
                <w:szCs w:val="20"/>
              </w:rPr>
              <w:t>206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D32C3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3181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CEE37F" w14:textId="77777777" w:rsidR="00000000" w:rsidRDefault="00A173A8">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EFA562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C7056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274351" w14:textId="77777777" w:rsidR="00000000" w:rsidRDefault="00A173A8">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74E60C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E390C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35FE02" w14:textId="77777777" w:rsidR="00000000" w:rsidRDefault="00A173A8">
            <w:pPr>
              <w:spacing w:after="100"/>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75E52C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AF4D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AF8D55" w14:textId="77777777" w:rsidR="00000000" w:rsidRDefault="00A173A8">
            <w:pPr>
              <w:spacing w:after="100"/>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8CDDC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97E12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A50B6E" w14:textId="77777777" w:rsidR="00000000" w:rsidRDefault="00A173A8">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B43D6C" w14:textId="77777777" w:rsidR="00000000" w:rsidRDefault="00A173A8">
            <w:pPr>
              <w:spacing w:after="100"/>
              <w:jc w:val="right"/>
              <w:rPr>
                <w:rFonts w:eastAsia="Times New Roman"/>
              </w:rPr>
            </w:pPr>
          </w:p>
        </w:tc>
      </w:tr>
      <w:tr w:rsidR="00000000" w14:paraId="014C3AC4" w14:textId="77777777">
        <w:trPr>
          <w:divId w:val="122502650"/>
        </w:trPr>
        <w:tc>
          <w:tcPr>
            <w:tcW w:w="0" w:type="auto"/>
            <w:gridSpan w:val="3"/>
            <w:shd w:val="clear" w:color="auto" w:fill="FFFFFF"/>
            <w:tcMar>
              <w:top w:w="30" w:type="dxa"/>
              <w:left w:w="20" w:type="dxa"/>
              <w:bottom w:w="30" w:type="dxa"/>
              <w:right w:w="20" w:type="dxa"/>
            </w:tcMar>
            <w:vAlign w:val="center"/>
            <w:hideMark/>
          </w:tcPr>
          <w:p w14:paraId="69286D17" w14:textId="77777777" w:rsidR="00000000" w:rsidRDefault="00A173A8">
            <w:pPr>
              <w:spacing w:after="100"/>
              <w:divId w:val="68114096"/>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EEE0C2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D553D97" w14:textId="77777777" w:rsidR="00000000" w:rsidRDefault="00A173A8">
            <w:pPr>
              <w:spacing w:after="100"/>
              <w:jc w:val="right"/>
              <w:rPr>
                <w:rFonts w:eastAsia="Times New Roman"/>
              </w:rPr>
            </w:pPr>
            <w:r>
              <w:rPr>
                <w:rFonts w:eastAsia="Times New Roman"/>
                <w:b/>
                <w:bCs/>
                <w:color w:val="000000"/>
                <w:sz w:val="20"/>
                <w:szCs w:val="20"/>
              </w:rPr>
              <w:t>(181)</w:t>
            </w:r>
          </w:p>
        </w:tc>
        <w:tc>
          <w:tcPr>
            <w:tcW w:w="0" w:type="auto"/>
            <w:shd w:val="clear" w:color="auto" w:fill="FFFFFF"/>
            <w:tcMar>
              <w:top w:w="30" w:type="dxa"/>
              <w:left w:w="0" w:type="dxa"/>
              <w:bottom w:w="30" w:type="dxa"/>
              <w:right w:w="20" w:type="dxa"/>
            </w:tcMar>
            <w:vAlign w:val="center"/>
            <w:hideMark/>
          </w:tcPr>
          <w:p w14:paraId="6A28824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AAF0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B90266" w14:textId="77777777" w:rsidR="00000000" w:rsidRDefault="00A173A8">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D9DC3A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75A7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05A885" w14:textId="77777777" w:rsidR="00000000" w:rsidRDefault="00A173A8">
            <w:pPr>
              <w:spacing w:after="100"/>
              <w:jc w:val="right"/>
              <w:rPr>
                <w:rFonts w:eastAsia="Times New Roman"/>
              </w:rPr>
            </w:pPr>
            <w:r>
              <w:rPr>
                <w:rFonts w:eastAsia="Times New Roman"/>
                <w:b/>
                <w:bCs/>
                <w:color w:val="000000"/>
                <w:sz w:val="20"/>
                <w:szCs w:val="20"/>
              </w:rPr>
              <w:t>(181)</w:t>
            </w:r>
          </w:p>
        </w:tc>
        <w:tc>
          <w:tcPr>
            <w:tcW w:w="0" w:type="auto"/>
            <w:shd w:val="clear" w:color="auto" w:fill="FFFFFF"/>
            <w:tcMar>
              <w:top w:w="30" w:type="dxa"/>
              <w:left w:w="0" w:type="dxa"/>
              <w:bottom w:w="30" w:type="dxa"/>
              <w:right w:w="20" w:type="dxa"/>
            </w:tcMar>
            <w:vAlign w:val="center"/>
            <w:hideMark/>
          </w:tcPr>
          <w:p w14:paraId="041EDFB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A454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C18D8B" w14:textId="77777777" w:rsidR="00000000" w:rsidRDefault="00A173A8">
            <w:pPr>
              <w:spacing w:after="100"/>
              <w:jc w:val="right"/>
              <w:rPr>
                <w:rFonts w:eastAsia="Times New Roman"/>
              </w:rPr>
            </w:pPr>
            <w:r>
              <w:rPr>
                <w:rFonts w:eastAsia="Times New Roman"/>
                <w:b/>
                <w:bCs/>
                <w:color w:val="000000"/>
                <w:sz w:val="20"/>
                <w:szCs w:val="20"/>
              </w:rPr>
              <w:t>(282)</w:t>
            </w:r>
          </w:p>
        </w:tc>
        <w:tc>
          <w:tcPr>
            <w:tcW w:w="0" w:type="auto"/>
            <w:shd w:val="clear" w:color="auto" w:fill="FFFFFF"/>
            <w:tcMar>
              <w:top w:w="30" w:type="dxa"/>
              <w:left w:w="0" w:type="dxa"/>
              <w:bottom w:w="30" w:type="dxa"/>
              <w:right w:w="20" w:type="dxa"/>
            </w:tcMar>
            <w:vAlign w:val="center"/>
            <w:hideMark/>
          </w:tcPr>
          <w:p w14:paraId="1C5FB68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EB541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067214" w14:textId="77777777" w:rsidR="00000000" w:rsidRDefault="00A173A8">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35338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896F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B3AA97" w14:textId="77777777" w:rsidR="00000000" w:rsidRDefault="00A173A8">
            <w:pPr>
              <w:spacing w:after="100"/>
              <w:jc w:val="right"/>
              <w:rPr>
                <w:rFonts w:eastAsia="Times New Roman"/>
              </w:rPr>
            </w:pPr>
            <w:r>
              <w:rPr>
                <w:rFonts w:eastAsia="Times New Roman"/>
                <w:b/>
                <w:bCs/>
                <w:color w:val="000000"/>
                <w:sz w:val="20"/>
                <w:szCs w:val="20"/>
              </w:rPr>
              <w:t>(282)</w:t>
            </w:r>
          </w:p>
        </w:tc>
        <w:tc>
          <w:tcPr>
            <w:tcW w:w="0" w:type="auto"/>
            <w:shd w:val="clear" w:color="auto" w:fill="FFFFFF"/>
            <w:tcMar>
              <w:top w:w="30" w:type="dxa"/>
              <w:left w:w="0" w:type="dxa"/>
              <w:bottom w:w="30" w:type="dxa"/>
              <w:right w:w="20" w:type="dxa"/>
            </w:tcMar>
            <w:vAlign w:val="center"/>
            <w:hideMark/>
          </w:tcPr>
          <w:p w14:paraId="47A4332E" w14:textId="77777777" w:rsidR="00000000" w:rsidRDefault="00A173A8">
            <w:pPr>
              <w:spacing w:after="100"/>
              <w:jc w:val="right"/>
              <w:rPr>
                <w:rFonts w:eastAsia="Times New Roman"/>
              </w:rPr>
            </w:pPr>
          </w:p>
        </w:tc>
      </w:tr>
      <w:tr w:rsidR="00000000" w14:paraId="15B65F58" w14:textId="77777777">
        <w:trPr>
          <w:divId w:val="122502650"/>
        </w:trPr>
        <w:tc>
          <w:tcPr>
            <w:tcW w:w="0" w:type="auto"/>
            <w:gridSpan w:val="3"/>
            <w:shd w:val="clear" w:color="auto" w:fill="CCEEFF"/>
            <w:tcMar>
              <w:top w:w="30" w:type="dxa"/>
              <w:left w:w="20" w:type="dxa"/>
              <w:bottom w:w="30" w:type="dxa"/>
              <w:right w:w="20" w:type="dxa"/>
            </w:tcMar>
            <w:vAlign w:val="center"/>
            <w:hideMark/>
          </w:tcPr>
          <w:p w14:paraId="64771684" w14:textId="77777777" w:rsidR="00000000" w:rsidRDefault="00A173A8">
            <w:pPr>
              <w:spacing w:after="100"/>
              <w:rPr>
                <w:rFonts w:eastAsia="Times New Roman"/>
              </w:rPr>
            </w:pPr>
            <w:r>
              <w:rPr>
                <w:rFonts w:eastAsia="Times New Roman"/>
                <w:color w:val="000000"/>
                <w:sz w:val="20"/>
                <w:szCs w:val="20"/>
              </w:rPr>
              <w:t>Total loans, including loans held for sale</w:t>
            </w:r>
          </w:p>
        </w:tc>
        <w:tc>
          <w:tcPr>
            <w:tcW w:w="0" w:type="auto"/>
            <w:gridSpan w:val="3"/>
            <w:shd w:val="clear" w:color="auto" w:fill="CCEEFF"/>
            <w:tcMar>
              <w:top w:w="0" w:type="dxa"/>
              <w:left w:w="20" w:type="dxa"/>
              <w:bottom w:w="0" w:type="dxa"/>
              <w:right w:w="20" w:type="dxa"/>
            </w:tcMar>
            <w:vAlign w:val="center"/>
            <w:hideMark/>
          </w:tcPr>
          <w:p w14:paraId="47A7B154"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74AADA0" w14:textId="77777777" w:rsidR="00000000" w:rsidRDefault="00A173A8">
            <w:pPr>
              <w:spacing w:after="100"/>
              <w:jc w:val="right"/>
              <w:rPr>
                <w:rFonts w:eastAsia="Times New Roman"/>
              </w:rPr>
            </w:pPr>
            <w:r>
              <w:rPr>
                <w:rFonts w:eastAsia="Times New Roman"/>
                <w:b/>
                <w:bCs/>
                <w:color w:val="000000"/>
                <w:sz w:val="20"/>
                <w:szCs w:val="20"/>
              </w:rPr>
              <w:t>852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F378E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18B4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FF93BCB" w14:textId="77777777" w:rsidR="00000000" w:rsidRDefault="00A173A8">
            <w:pPr>
              <w:spacing w:after="100"/>
              <w:jc w:val="right"/>
              <w:rPr>
                <w:rFonts w:eastAsia="Times New Roman"/>
              </w:rPr>
            </w:pPr>
            <w:r>
              <w:rPr>
                <w:rFonts w:eastAsia="Times New Roman"/>
                <w:b/>
                <w:bCs/>
                <w:color w:val="000000"/>
                <w:sz w:val="20"/>
                <w:szCs w:val="20"/>
              </w:rPr>
              <w:t>784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77D78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333F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3DB592" w14:textId="77777777" w:rsidR="00000000" w:rsidRDefault="00A173A8">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6B5A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B715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86EDA5" w14:textId="77777777" w:rsidR="00000000" w:rsidRDefault="00A173A8">
            <w:pPr>
              <w:spacing w:after="100"/>
              <w:jc w:val="right"/>
              <w:rPr>
                <w:rFonts w:eastAsia="Times New Roman"/>
              </w:rPr>
            </w:pPr>
            <w:r>
              <w:rPr>
                <w:rFonts w:eastAsia="Times New Roman"/>
                <w:b/>
                <w:bCs/>
                <w:color w:val="000000"/>
                <w:sz w:val="20"/>
                <w:szCs w:val="20"/>
              </w:rPr>
              <w:t>1,365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5795D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CADE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5484B5D" w14:textId="77777777" w:rsidR="00000000" w:rsidRDefault="00A173A8">
            <w:pPr>
              <w:spacing w:after="100"/>
              <w:jc w:val="right"/>
              <w:rPr>
                <w:rFonts w:eastAsia="Times New Roman"/>
              </w:rPr>
            </w:pPr>
            <w:r>
              <w:rPr>
                <w:rFonts w:eastAsia="Times New Roman"/>
                <w:b/>
                <w:bCs/>
                <w:color w:val="000000"/>
                <w:sz w:val="20"/>
                <w:szCs w:val="20"/>
              </w:rPr>
              <w:t>1,466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17FFD7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B671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A1DD0CB" w14:textId="77777777" w:rsidR="00000000" w:rsidRDefault="00A173A8">
            <w:pPr>
              <w:spacing w:after="100"/>
              <w:jc w:val="right"/>
              <w:rPr>
                <w:rFonts w:eastAsia="Times New Roman"/>
              </w:rPr>
            </w:pPr>
            <w:r>
              <w:rPr>
                <w:rFonts w:eastAsia="Times New Roman"/>
                <w:b/>
                <w:bCs/>
                <w:color w:val="000000"/>
                <w:sz w:val="20"/>
                <w:szCs w:val="20"/>
              </w:rPr>
              <w:t>(101)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DFB884" w14:textId="77777777" w:rsidR="00000000" w:rsidRDefault="00A173A8">
            <w:pPr>
              <w:spacing w:after="100"/>
              <w:jc w:val="right"/>
              <w:rPr>
                <w:rFonts w:eastAsia="Times New Roman"/>
              </w:rPr>
            </w:pPr>
          </w:p>
        </w:tc>
      </w:tr>
      <w:tr w:rsidR="00000000" w14:paraId="2D7C3CA9" w14:textId="77777777">
        <w:trPr>
          <w:divId w:val="122502650"/>
        </w:trPr>
        <w:tc>
          <w:tcPr>
            <w:tcW w:w="0" w:type="auto"/>
            <w:gridSpan w:val="3"/>
            <w:shd w:val="clear" w:color="auto" w:fill="FFFFFF"/>
            <w:tcMar>
              <w:top w:w="30" w:type="dxa"/>
              <w:left w:w="20" w:type="dxa"/>
              <w:bottom w:w="30" w:type="dxa"/>
              <w:right w:w="20" w:type="dxa"/>
            </w:tcMar>
            <w:vAlign w:val="center"/>
            <w:hideMark/>
          </w:tcPr>
          <w:p w14:paraId="10748013" w14:textId="77777777" w:rsidR="00000000" w:rsidRDefault="00A173A8">
            <w:pPr>
              <w:spacing w:after="100"/>
              <w:rPr>
                <w:rFonts w:eastAsia="Times New Roman"/>
              </w:rPr>
            </w:pPr>
            <w:r>
              <w:rPr>
                <w:rFonts w:eastAsia="Times New Roman"/>
                <w:color w:val="000000"/>
                <w:sz w:val="20"/>
                <w:szCs w:val="20"/>
              </w:rPr>
              <w:t>Investment securities</w:t>
            </w:r>
          </w:p>
        </w:tc>
        <w:tc>
          <w:tcPr>
            <w:tcW w:w="0" w:type="auto"/>
            <w:gridSpan w:val="3"/>
            <w:shd w:val="clear" w:color="auto" w:fill="FFFFFF"/>
            <w:tcMar>
              <w:top w:w="0" w:type="dxa"/>
              <w:left w:w="20" w:type="dxa"/>
              <w:bottom w:w="0" w:type="dxa"/>
              <w:right w:w="20" w:type="dxa"/>
            </w:tcMar>
            <w:vAlign w:val="center"/>
            <w:hideMark/>
          </w:tcPr>
          <w:p w14:paraId="606208DB"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BFA9CFD" w14:textId="77777777" w:rsidR="00000000" w:rsidRDefault="00A173A8">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65712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387F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73E68B" w14:textId="77777777" w:rsidR="00000000" w:rsidRDefault="00A173A8">
            <w:pPr>
              <w:spacing w:after="100"/>
              <w:jc w:val="right"/>
              <w:rPr>
                <w:rFonts w:eastAsia="Times New Roman"/>
              </w:rPr>
            </w:pPr>
            <w:r>
              <w:rPr>
                <w:rFonts w:eastAsia="Times New Roman"/>
                <w:b/>
                <w:bCs/>
                <w:color w:val="000000"/>
                <w:sz w:val="20"/>
                <w:szCs w:val="20"/>
              </w:rPr>
              <w:t>(30)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9605E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AC67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56C60F9" w14:textId="77777777" w:rsidR="00000000" w:rsidRDefault="00A173A8">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9D134E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E86DB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C51A55" w14:textId="77777777" w:rsidR="00000000" w:rsidRDefault="00A173A8">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9012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0FBC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E67E300" w14:textId="77777777" w:rsidR="00000000" w:rsidRDefault="00A173A8">
            <w:pPr>
              <w:spacing w:after="100"/>
              <w:jc w:val="right"/>
              <w:rPr>
                <w:rFonts w:eastAsia="Times New Roman"/>
              </w:rPr>
            </w:pPr>
            <w:r>
              <w:rPr>
                <w:rFonts w:eastAsia="Times New Roman"/>
                <w:b/>
                <w:bCs/>
                <w:color w:val="000000"/>
                <w:sz w:val="20"/>
                <w:szCs w:val="20"/>
              </w:rPr>
              <w:t>(44)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27C4B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7231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B9F88E" w14:textId="77777777" w:rsidR="00000000" w:rsidRDefault="00A173A8">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9813933" w14:textId="77777777" w:rsidR="00000000" w:rsidRDefault="00A173A8">
            <w:pPr>
              <w:spacing w:after="100"/>
              <w:jc w:val="right"/>
              <w:rPr>
                <w:rFonts w:eastAsia="Times New Roman"/>
              </w:rPr>
            </w:pPr>
          </w:p>
        </w:tc>
      </w:tr>
      <w:tr w:rsidR="00000000" w14:paraId="0E6693B2" w14:textId="77777777">
        <w:trPr>
          <w:divId w:val="122502650"/>
        </w:trPr>
        <w:tc>
          <w:tcPr>
            <w:tcW w:w="0" w:type="auto"/>
            <w:gridSpan w:val="3"/>
            <w:shd w:val="clear" w:color="auto" w:fill="CCEEFF"/>
            <w:tcMar>
              <w:top w:w="30" w:type="dxa"/>
              <w:left w:w="20" w:type="dxa"/>
              <w:bottom w:w="30" w:type="dxa"/>
              <w:right w:w="20" w:type="dxa"/>
            </w:tcMar>
            <w:vAlign w:val="center"/>
            <w:hideMark/>
          </w:tcPr>
          <w:p w14:paraId="122FDEC9" w14:textId="77777777" w:rsidR="00000000" w:rsidRDefault="00A173A8">
            <w:pPr>
              <w:spacing w:after="100"/>
              <w:rPr>
                <w:rFonts w:eastAsia="Times New Roman"/>
              </w:rPr>
            </w:pPr>
            <w:r>
              <w:rPr>
                <w:rFonts w:eastAsia="Times New Roman"/>
                <w:color w:val="000000"/>
                <w:sz w:val="20"/>
                <w:szCs w:val="20"/>
              </w:rPr>
              <w:t>Cash equivalents and other interest-earning assets</w:t>
            </w:r>
          </w:p>
        </w:tc>
        <w:tc>
          <w:tcPr>
            <w:tcW w:w="0" w:type="auto"/>
            <w:gridSpan w:val="3"/>
            <w:shd w:val="clear" w:color="auto" w:fill="CCEEFF"/>
            <w:tcMar>
              <w:top w:w="0" w:type="dxa"/>
              <w:left w:w="20" w:type="dxa"/>
              <w:bottom w:w="0" w:type="dxa"/>
              <w:right w:w="20" w:type="dxa"/>
            </w:tcMar>
            <w:vAlign w:val="center"/>
            <w:hideMark/>
          </w:tcPr>
          <w:p w14:paraId="5182921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92C8595" w14:textId="77777777" w:rsidR="00000000" w:rsidRDefault="00A173A8">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C0D62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CF36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937F94" w14:textId="77777777" w:rsidR="00000000" w:rsidRDefault="00A173A8">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center"/>
            <w:hideMark/>
          </w:tcPr>
          <w:p w14:paraId="0192289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BB17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444487" w14:textId="77777777" w:rsidR="00000000" w:rsidRDefault="00A173A8">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805BE9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E897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9D754C" w14:textId="77777777" w:rsidR="00000000" w:rsidRDefault="00A173A8">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9A9CC3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CFBA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1F180D" w14:textId="77777777" w:rsidR="00000000" w:rsidRDefault="00A173A8">
            <w:pPr>
              <w:spacing w:after="100"/>
              <w:jc w:val="right"/>
              <w:rPr>
                <w:rFonts w:eastAsia="Times New Roman"/>
              </w:rPr>
            </w:pPr>
            <w:r>
              <w:rPr>
                <w:rFonts w:eastAsia="Times New Roman"/>
                <w:b/>
                <w:bCs/>
                <w:color w:val="000000"/>
                <w:sz w:val="20"/>
                <w:szCs w:val="20"/>
              </w:rPr>
              <w:t>(17)</w:t>
            </w:r>
          </w:p>
        </w:tc>
        <w:tc>
          <w:tcPr>
            <w:tcW w:w="0" w:type="auto"/>
            <w:shd w:val="clear" w:color="auto" w:fill="CCEEFF"/>
            <w:tcMar>
              <w:top w:w="30" w:type="dxa"/>
              <w:left w:w="0" w:type="dxa"/>
              <w:bottom w:w="30" w:type="dxa"/>
              <w:right w:w="20" w:type="dxa"/>
            </w:tcMar>
            <w:vAlign w:val="center"/>
            <w:hideMark/>
          </w:tcPr>
          <w:p w14:paraId="4EEA712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3DB7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07D042" w14:textId="77777777" w:rsidR="00000000" w:rsidRDefault="00A173A8">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4CD2DE5" w14:textId="77777777" w:rsidR="00000000" w:rsidRDefault="00A173A8">
            <w:pPr>
              <w:spacing w:after="100"/>
              <w:jc w:val="right"/>
              <w:rPr>
                <w:rFonts w:eastAsia="Times New Roman"/>
              </w:rPr>
            </w:pPr>
          </w:p>
        </w:tc>
      </w:tr>
      <w:tr w:rsidR="00000000" w14:paraId="392C1D78" w14:textId="77777777">
        <w:trPr>
          <w:divId w:val="122502650"/>
        </w:trPr>
        <w:tc>
          <w:tcPr>
            <w:tcW w:w="0" w:type="auto"/>
            <w:gridSpan w:val="3"/>
            <w:shd w:val="clear" w:color="auto" w:fill="FFFFFF"/>
            <w:tcMar>
              <w:top w:w="30" w:type="dxa"/>
              <w:left w:w="20" w:type="dxa"/>
              <w:bottom w:w="30" w:type="dxa"/>
              <w:right w:w="20" w:type="dxa"/>
            </w:tcMar>
            <w:vAlign w:val="center"/>
            <w:hideMark/>
          </w:tcPr>
          <w:p w14:paraId="103CBD8D" w14:textId="77777777" w:rsidR="00000000" w:rsidRDefault="00A173A8">
            <w:pPr>
              <w:spacing w:after="100"/>
              <w:rPr>
                <w:rFonts w:eastAsia="Times New Roman"/>
              </w:rPr>
            </w:pPr>
            <w:r>
              <w:rPr>
                <w:rFonts w:eastAsia="Times New Roman"/>
                <w:color w:val="000000"/>
                <w:sz w:val="20"/>
                <w:szCs w:val="20"/>
              </w:rPr>
              <w:t>Total interest income</w:t>
            </w:r>
          </w:p>
        </w:tc>
        <w:tc>
          <w:tcPr>
            <w:tcW w:w="0" w:type="auto"/>
            <w:gridSpan w:val="3"/>
            <w:shd w:val="clear" w:color="auto" w:fill="FFFFFF"/>
            <w:tcMar>
              <w:top w:w="0" w:type="dxa"/>
              <w:left w:w="20" w:type="dxa"/>
              <w:bottom w:w="0" w:type="dxa"/>
              <w:right w:w="20" w:type="dxa"/>
            </w:tcMar>
            <w:vAlign w:val="center"/>
            <w:hideMark/>
          </w:tcPr>
          <w:p w14:paraId="0540924F"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9398A23" w14:textId="77777777" w:rsidR="00000000" w:rsidRDefault="00A173A8">
            <w:pPr>
              <w:spacing w:after="100"/>
              <w:jc w:val="right"/>
              <w:rPr>
                <w:rFonts w:eastAsia="Times New Roman"/>
              </w:rPr>
            </w:pPr>
            <w:r>
              <w:rPr>
                <w:rFonts w:eastAsia="Times New Roman"/>
                <w:b/>
                <w:bCs/>
                <w:color w:val="000000"/>
                <w:sz w:val="20"/>
                <w:szCs w:val="20"/>
              </w:rPr>
              <w:t>956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7525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6AFD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3354D4F" w14:textId="77777777" w:rsidR="00000000" w:rsidRDefault="00A173A8">
            <w:pPr>
              <w:spacing w:after="100"/>
              <w:jc w:val="right"/>
              <w:rPr>
                <w:rFonts w:eastAsia="Times New Roman"/>
              </w:rPr>
            </w:pPr>
            <w:r>
              <w:rPr>
                <w:rFonts w:eastAsia="Times New Roman"/>
                <w:b/>
                <w:bCs/>
                <w:color w:val="000000"/>
                <w:sz w:val="20"/>
                <w:szCs w:val="20"/>
              </w:rPr>
              <w:t>746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EE3A6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A293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55B7BF1" w14:textId="77777777" w:rsidR="00000000" w:rsidRDefault="00A173A8">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AEB4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BA3D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ED85EF1" w14:textId="77777777" w:rsidR="00000000" w:rsidRDefault="00A173A8">
            <w:pPr>
              <w:spacing w:after="100"/>
              <w:jc w:val="right"/>
              <w:rPr>
                <w:rFonts w:eastAsia="Times New Roman"/>
              </w:rPr>
            </w:pPr>
            <w:r>
              <w:rPr>
                <w:rFonts w:eastAsia="Times New Roman"/>
                <w:b/>
                <w:bCs/>
                <w:color w:val="000000"/>
                <w:sz w:val="20"/>
                <w:szCs w:val="20"/>
              </w:rPr>
              <w:t>1,479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BF317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9B46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CEB2F08" w14:textId="77777777" w:rsidR="00000000" w:rsidRDefault="00A173A8">
            <w:pPr>
              <w:spacing w:after="100"/>
              <w:jc w:val="right"/>
              <w:rPr>
                <w:rFonts w:eastAsia="Times New Roman"/>
              </w:rPr>
            </w:pPr>
            <w:r>
              <w:rPr>
                <w:rFonts w:eastAsia="Times New Roman"/>
                <w:b/>
                <w:bCs/>
                <w:color w:val="000000"/>
                <w:sz w:val="20"/>
                <w:szCs w:val="20"/>
              </w:rPr>
              <w:t>1,405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782EA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2BA7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3D88CD2" w14:textId="77777777" w:rsidR="00000000" w:rsidRDefault="00A173A8">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9F3E77" w14:textId="77777777" w:rsidR="00000000" w:rsidRDefault="00A173A8">
            <w:pPr>
              <w:spacing w:after="100"/>
              <w:jc w:val="right"/>
              <w:rPr>
                <w:rFonts w:eastAsia="Times New Roman"/>
              </w:rPr>
            </w:pPr>
          </w:p>
        </w:tc>
      </w:tr>
      <w:tr w:rsidR="00000000" w14:paraId="2621727C" w14:textId="77777777">
        <w:trPr>
          <w:divId w:val="122502650"/>
        </w:trPr>
        <w:tc>
          <w:tcPr>
            <w:tcW w:w="0" w:type="auto"/>
            <w:gridSpan w:val="3"/>
            <w:shd w:val="clear" w:color="auto" w:fill="CCEEFF"/>
            <w:tcMar>
              <w:top w:w="30" w:type="dxa"/>
              <w:left w:w="20" w:type="dxa"/>
              <w:bottom w:w="30" w:type="dxa"/>
              <w:right w:w="20" w:type="dxa"/>
            </w:tcMar>
            <w:vAlign w:val="center"/>
            <w:hideMark/>
          </w:tcPr>
          <w:p w14:paraId="6C734DF2" w14:textId="77777777" w:rsidR="00000000" w:rsidRDefault="00A173A8">
            <w:pPr>
              <w:spacing w:after="100"/>
              <w:rPr>
                <w:rFonts w:eastAsia="Times New Roman"/>
              </w:rPr>
            </w:pPr>
            <w:r>
              <w:rPr>
                <w:rFonts w:eastAsia="Times New Roman"/>
                <w:b/>
                <w:bCs/>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14:paraId="1E82367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6FA53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229EE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36CEE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AD06C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E8FDD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5F183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31D50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C5FA2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19B19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BF7D8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403AED" w14:textId="77777777" w:rsidR="00000000" w:rsidRDefault="00A173A8">
            <w:pPr>
              <w:spacing w:after="100"/>
              <w:rPr>
                <w:rFonts w:eastAsia="Times New Roman"/>
                <w:sz w:val="20"/>
                <w:szCs w:val="20"/>
              </w:rPr>
            </w:pPr>
          </w:p>
        </w:tc>
      </w:tr>
      <w:tr w:rsidR="00000000" w14:paraId="7E8FDCA9" w14:textId="77777777">
        <w:trPr>
          <w:divId w:val="122502650"/>
        </w:trPr>
        <w:tc>
          <w:tcPr>
            <w:tcW w:w="0" w:type="auto"/>
            <w:gridSpan w:val="3"/>
            <w:shd w:val="clear" w:color="auto" w:fill="FFFFFF"/>
            <w:tcMar>
              <w:top w:w="30" w:type="dxa"/>
              <w:left w:w="245" w:type="dxa"/>
              <w:bottom w:w="30" w:type="dxa"/>
              <w:right w:w="20" w:type="dxa"/>
            </w:tcMar>
            <w:vAlign w:val="center"/>
            <w:hideMark/>
          </w:tcPr>
          <w:p w14:paraId="6C31D776" w14:textId="77777777" w:rsidR="00000000" w:rsidRDefault="00A173A8">
            <w:pPr>
              <w:spacing w:after="100"/>
              <w:rPr>
                <w:rFonts w:eastAsia="Times New Roman"/>
              </w:rPr>
            </w:pPr>
            <w:r>
              <w:rPr>
                <w:rFonts w:eastAsia="Times New Roman"/>
                <w:color w:val="000000"/>
                <w:sz w:val="20"/>
                <w:szCs w:val="20"/>
              </w:rPr>
              <w:t>Interest-bearing deposits</w:t>
            </w:r>
          </w:p>
        </w:tc>
        <w:tc>
          <w:tcPr>
            <w:tcW w:w="0" w:type="auto"/>
            <w:gridSpan w:val="3"/>
            <w:shd w:val="clear" w:color="auto" w:fill="FFFFFF"/>
            <w:tcMar>
              <w:top w:w="0" w:type="dxa"/>
              <w:left w:w="20" w:type="dxa"/>
              <w:bottom w:w="0" w:type="dxa"/>
              <w:right w:w="20" w:type="dxa"/>
            </w:tcMar>
            <w:vAlign w:val="center"/>
            <w:hideMark/>
          </w:tcPr>
          <w:p w14:paraId="4F23B09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73A9242" w14:textId="77777777" w:rsidR="00000000" w:rsidRDefault="00A173A8">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D09BC0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8022E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C7CC23" w14:textId="77777777" w:rsidR="00000000" w:rsidRDefault="00A173A8">
            <w:pPr>
              <w:spacing w:after="100"/>
              <w:jc w:val="right"/>
              <w:rPr>
                <w:rFonts w:eastAsia="Times New Roman"/>
              </w:rPr>
            </w:pPr>
            <w:r>
              <w:rPr>
                <w:rFonts w:eastAsia="Times New Roman"/>
                <w:b/>
                <w:bCs/>
                <w:color w:val="000000"/>
                <w:sz w:val="20"/>
                <w:szCs w:val="20"/>
              </w:rPr>
              <w:t>(5)</w:t>
            </w:r>
          </w:p>
        </w:tc>
        <w:tc>
          <w:tcPr>
            <w:tcW w:w="0" w:type="auto"/>
            <w:shd w:val="clear" w:color="auto" w:fill="FFFFFF"/>
            <w:tcMar>
              <w:top w:w="30" w:type="dxa"/>
              <w:left w:w="0" w:type="dxa"/>
              <w:bottom w:w="30" w:type="dxa"/>
              <w:right w:w="20" w:type="dxa"/>
            </w:tcMar>
            <w:vAlign w:val="center"/>
            <w:hideMark/>
          </w:tcPr>
          <w:p w14:paraId="32EF3AD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B1726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7E652F" w14:textId="77777777" w:rsidR="00000000" w:rsidRDefault="00A173A8">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FC836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A039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79D89C" w14:textId="77777777" w:rsidR="00000000" w:rsidRDefault="00A173A8">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877971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EC0C9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AC08BF" w14:textId="77777777" w:rsidR="00000000" w:rsidRDefault="00A173A8">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center"/>
            <w:hideMark/>
          </w:tcPr>
          <w:p w14:paraId="22D8660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EB77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612E6B" w14:textId="77777777" w:rsidR="00000000" w:rsidRDefault="00A173A8">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E3E7EB6" w14:textId="77777777" w:rsidR="00000000" w:rsidRDefault="00A173A8">
            <w:pPr>
              <w:spacing w:after="100"/>
              <w:jc w:val="right"/>
              <w:rPr>
                <w:rFonts w:eastAsia="Times New Roman"/>
              </w:rPr>
            </w:pPr>
          </w:p>
        </w:tc>
      </w:tr>
      <w:tr w:rsidR="00000000" w14:paraId="26B158AF" w14:textId="77777777">
        <w:trPr>
          <w:divId w:val="122502650"/>
        </w:trPr>
        <w:tc>
          <w:tcPr>
            <w:tcW w:w="0" w:type="auto"/>
            <w:gridSpan w:val="3"/>
            <w:shd w:val="clear" w:color="auto" w:fill="CCEEFF"/>
            <w:tcMar>
              <w:top w:w="30" w:type="dxa"/>
              <w:left w:w="245" w:type="dxa"/>
              <w:bottom w:w="30" w:type="dxa"/>
              <w:right w:w="20" w:type="dxa"/>
            </w:tcMar>
            <w:vAlign w:val="center"/>
            <w:hideMark/>
          </w:tcPr>
          <w:p w14:paraId="701149B6" w14:textId="77777777" w:rsidR="00000000" w:rsidRDefault="00A173A8">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CCEEFF"/>
            <w:tcMar>
              <w:top w:w="0" w:type="dxa"/>
              <w:left w:w="20" w:type="dxa"/>
              <w:bottom w:w="0" w:type="dxa"/>
              <w:right w:w="20" w:type="dxa"/>
            </w:tcMar>
            <w:vAlign w:val="center"/>
            <w:hideMark/>
          </w:tcPr>
          <w:p w14:paraId="6245B0F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6A2080F" w14:textId="77777777" w:rsidR="00000000" w:rsidRDefault="00A173A8">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11C009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066B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8178F6" w14:textId="77777777" w:rsidR="00000000" w:rsidRDefault="00A173A8">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70A403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E8FC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EF245C" w14:textId="77777777" w:rsidR="00000000" w:rsidRDefault="00A173A8">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852872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7EA0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7A59AC" w14:textId="77777777" w:rsidR="00000000" w:rsidRDefault="00A173A8">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CF05B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BC6A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A0C7D6" w14:textId="77777777" w:rsidR="00000000" w:rsidRDefault="00A173A8">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D1F4E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FDAA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44F218" w14:textId="77777777" w:rsidR="00000000" w:rsidRDefault="00A173A8">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C0854FE" w14:textId="77777777" w:rsidR="00000000" w:rsidRDefault="00A173A8">
            <w:pPr>
              <w:spacing w:after="100"/>
              <w:jc w:val="right"/>
              <w:rPr>
                <w:rFonts w:eastAsia="Times New Roman"/>
              </w:rPr>
            </w:pPr>
          </w:p>
        </w:tc>
      </w:tr>
      <w:tr w:rsidR="00000000" w14:paraId="470F0D59" w14:textId="77777777">
        <w:trPr>
          <w:divId w:val="122502650"/>
        </w:trPr>
        <w:tc>
          <w:tcPr>
            <w:tcW w:w="0" w:type="auto"/>
            <w:gridSpan w:val="3"/>
            <w:shd w:val="clear" w:color="auto" w:fill="FFFFFF"/>
            <w:tcMar>
              <w:top w:w="30" w:type="dxa"/>
              <w:left w:w="245" w:type="dxa"/>
              <w:bottom w:w="30" w:type="dxa"/>
              <w:right w:w="20" w:type="dxa"/>
            </w:tcMar>
            <w:vAlign w:val="center"/>
            <w:hideMark/>
          </w:tcPr>
          <w:p w14:paraId="7CA40531" w14:textId="77777777" w:rsidR="00000000" w:rsidRDefault="00A173A8">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FFFFFF"/>
            <w:tcMar>
              <w:top w:w="0" w:type="dxa"/>
              <w:left w:w="20" w:type="dxa"/>
              <w:bottom w:w="0" w:type="dxa"/>
              <w:right w:w="20" w:type="dxa"/>
            </w:tcMar>
            <w:vAlign w:val="center"/>
            <w:hideMark/>
          </w:tcPr>
          <w:p w14:paraId="3B681DE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4507041" w14:textId="77777777" w:rsidR="00000000" w:rsidRDefault="00A173A8">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CEF23B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9DC8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CCFD1A" w14:textId="77777777" w:rsidR="00000000" w:rsidRDefault="00A173A8">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616D02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3C057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AA80E5" w14:textId="77777777" w:rsidR="00000000" w:rsidRDefault="00A173A8">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11FA2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4F1C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AD3E2F" w14:textId="77777777" w:rsidR="00000000" w:rsidRDefault="00A173A8">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6375C7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29DA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C66BC7" w14:textId="77777777" w:rsidR="00000000" w:rsidRDefault="00A173A8">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B218AE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AC96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6DA6E7" w14:textId="77777777" w:rsidR="00000000" w:rsidRDefault="00A173A8">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DA892A7" w14:textId="77777777" w:rsidR="00000000" w:rsidRDefault="00A173A8">
            <w:pPr>
              <w:spacing w:after="100"/>
              <w:jc w:val="right"/>
              <w:rPr>
                <w:rFonts w:eastAsia="Times New Roman"/>
              </w:rPr>
            </w:pPr>
          </w:p>
        </w:tc>
      </w:tr>
      <w:tr w:rsidR="00000000" w14:paraId="0B8BA56E" w14:textId="77777777">
        <w:trPr>
          <w:divId w:val="122502650"/>
        </w:trPr>
        <w:tc>
          <w:tcPr>
            <w:tcW w:w="0" w:type="auto"/>
            <w:gridSpan w:val="3"/>
            <w:shd w:val="clear" w:color="auto" w:fill="CCEEFF"/>
            <w:tcMar>
              <w:top w:w="30" w:type="dxa"/>
              <w:left w:w="245" w:type="dxa"/>
              <w:bottom w:w="30" w:type="dxa"/>
              <w:right w:w="20" w:type="dxa"/>
            </w:tcMar>
            <w:vAlign w:val="center"/>
            <w:hideMark/>
          </w:tcPr>
          <w:p w14:paraId="277FF2C4" w14:textId="77777777" w:rsidR="00000000" w:rsidRDefault="00A173A8">
            <w:pPr>
              <w:spacing w:after="100"/>
              <w:rPr>
                <w:rFonts w:eastAsia="Times New Roman"/>
              </w:rPr>
            </w:pPr>
            <w:r>
              <w:rPr>
                <w:rFonts w:eastAsia="Times New Roman"/>
                <w:color w:val="000000"/>
                <w:sz w:val="20"/>
                <w:szCs w:val="20"/>
              </w:rPr>
              <w:t>Other borrowings and liabilities</w:t>
            </w:r>
          </w:p>
        </w:tc>
        <w:tc>
          <w:tcPr>
            <w:tcW w:w="0" w:type="auto"/>
            <w:gridSpan w:val="3"/>
            <w:shd w:val="clear" w:color="auto" w:fill="CCEEFF"/>
            <w:tcMar>
              <w:top w:w="0" w:type="dxa"/>
              <w:left w:w="20" w:type="dxa"/>
              <w:bottom w:w="0" w:type="dxa"/>
              <w:right w:w="20" w:type="dxa"/>
            </w:tcMar>
            <w:vAlign w:val="center"/>
            <w:hideMark/>
          </w:tcPr>
          <w:p w14:paraId="7290FE1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710E6D" w14:textId="77777777" w:rsidR="00000000" w:rsidRDefault="00A173A8">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F43437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80EEB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5300A8" w14:textId="77777777" w:rsidR="00000000" w:rsidRDefault="00A173A8">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64CF18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A468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D12A6D" w14:textId="77777777" w:rsidR="00000000" w:rsidRDefault="00A173A8">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center"/>
            <w:hideMark/>
          </w:tcPr>
          <w:p w14:paraId="4355489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CF0DD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52DF66" w14:textId="77777777" w:rsidR="00000000" w:rsidRDefault="00A173A8">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151344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4F7B0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2FC9AE" w14:textId="77777777" w:rsidR="00000000" w:rsidRDefault="00A173A8">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5908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4E88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A8640D" w14:textId="77777777" w:rsidR="00000000" w:rsidRDefault="00A173A8">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center"/>
            <w:hideMark/>
          </w:tcPr>
          <w:p w14:paraId="5712E943" w14:textId="77777777" w:rsidR="00000000" w:rsidRDefault="00A173A8">
            <w:pPr>
              <w:spacing w:after="100"/>
              <w:jc w:val="right"/>
              <w:rPr>
                <w:rFonts w:eastAsia="Times New Roman"/>
              </w:rPr>
            </w:pPr>
          </w:p>
        </w:tc>
      </w:tr>
      <w:tr w:rsidR="00000000" w14:paraId="48038B57" w14:textId="77777777">
        <w:trPr>
          <w:divId w:val="122502650"/>
        </w:trPr>
        <w:tc>
          <w:tcPr>
            <w:tcW w:w="0" w:type="auto"/>
            <w:gridSpan w:val="3"/>
            <w:shd w:val="clear" w:color="auto" w:fill="FFFFFF"/>
            <w:tcMar>
              <w:top w:w="30" w:type="dxa"/>
              <w:left w:w="20" w:type="dxa"/>
              <w:bottom w:w="30" w:type="dxa"/>
              <w:right w:w="20" w:type="dxa"/>
            </w:tcMar>
            <w:vAlign w:val="center"/>
            <w:hideMark/>
          </w:tcPr>
          <w:p w14:paraId="07563618" w14:textId="77777777" w:rsidR="00000000" w:rsidRDefault="00A173A8">
            <w:pPr>
              <w:spacing w:after="100"/>
              <w:rPr>
                <w:rFonts w:eastAsia="Times New Roman"/>
              </w:rPr>
            </w:pPr>
            <w:r>
              <w:rPr>
                <w:rFonts w:eastAsia="Times New Roman"/>
                <w:color w:val="000000"/>
                <w:sz w:val="20"/>
                <w:szCs w:val="20"/>
              </w:rPr>
              <w:t>Total interest expense</w:t>
            </w:r>
          </w:p>
        </w:tc>
        <w:tc>
          <w:tcPr>
            <w:tcW w:w="0" w:type="auto"/>
            <w:gridSpan w:val="3"/>
            <w:shd w:val="clear" w:color="auto" w:fill="FFFFFF"/>
            <w:tcMar>
              <w:top w:w="0" w:type="dxa"/>
              <w:left w:w="20" w:type="dxa"/>
              <w:bottom w:w="0" w:type="dxa"/>
              <w:right w:w="20" w:type="dxa"/>
            </w:tcMar>
            <w:vAlign w:val="center"/>
            <w:hideMark/>
          </w:tcPr>
          <w:p w14:paraId="1165F4FD"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F743F37" w14:textId="77777777" w:rsidR="00000000" w:rsidRDefault="00A173A8">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9A9E8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4FBC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7BC4A8" w14:textId="77777777" w:rsidR="00000000" w:rsidRDefault="00A173A8">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A341F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59D5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E631670" w14:textId="77777777" w:rsidR="00000000" w:rsidRDefault="00A173A8">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A6080C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8638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54FE03B" w14:textId="77777777" w:rsidR="00000000" w:rsidRDefault="00A173A8">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5A004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8F97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816E5A7" w14:textId="77777777" w:rsidR="00000000" w:rsidRDefault="00A173A8">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175241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659D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6E0DAD5" w14:textId="77777777" w:rsidR="00000000" w:rsidRDefault="00A173A8">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B37D56E" w14:textId="77777777" w:rsidR="00000000" w:rsidRDefault="00A173A8">
            <w:pPr>
              <w:spacing w:after="100"/>
              <w:jc w:val="right"/>
              <w:rPr>
                <w:rFonts w:eastAsia="Times New Roman"/>
              </w:rPr>
            </w:pPr>
          </w:p>
        </w:tc>
      </w:tr>
      <w:tr w:rsidR="00000000" w14:paraId="7E7021EB" w14:textId="77777777">
        <w:trPr>
          <w:divId w:val="122502650"/>
        </w:trPr>
        <w:tc>
          <w:tcPr>
            <w:tcW w:w="0" w:type="auto"/>
            <w:gridSpan w:val="3"/>
            <w:shd w:val="clear" w:color="auto" w:fill="CCEEFF"/>
            <w:tcMar>
              <w:top w:w="30" w:type="dxa"/>
              <w:left w:w="20" w:type="dxa"/>
              <w:bottom w:w="30" w:type="dxa"/>
              <w:right w:w="20" w:type="dxa"/>
            </w:tcMar>
            <w:vAlign w:val="center"/>
            <w:hideMark/>
          </w:tcPr>
          <w:p w14:paraId="4B057327" w14:textId="77777777" w:rsidR="00000000" w:rsidRDefault="00A173A8">
            <w:pPr>
              <w:spacing w:after="100"/>
              <w:rPr>
                <w:rFonts w:eastAsia="Times New Roman"/>
              </w:rPr>
            </w:pPr>
            <w:r>
              <w:rPr>
                <w:rFonts w:eastAsia="Times New Roman"/>
                <w:color w:val="000000"/>
                <w:sz w:val="20"/>
                <w:szCs w:val="20"/>
              </w:rPr>
              <w:t>Net interest income</w:t>
            </w:r>
          </w:p>
        </w:tc>
        <w:tc>
          <w:tcPr>
            <w:tcW w:w="0" w:type="auto"/>
            <w:gridSpan w:val="3"/>
            <w:shd w:val="clear" w:color="auto" w:fill="CCEEFF"/>
            <w:tcMar>
              <w:top w:w="0" w:type="dxa"/>
              <w:left w:w="20" w:type="dxa"/>
              <w:bottom w:w="0" w:type="dxa"/>
              <w:right w:w="20" w:type="dxa"/>
            </w:tcMar>
            <w:vAlign w:val="center"/>
            <w:hideMark/>
          </w:tcPr>
          <w:p w14:paraId="2B1F843F"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3213FFF"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DA1150B" w14:textId="77777777" w:rsidR="00000000" w:rsidRDefault="00A173A8">
            <w:pPr>
              <w:spacing w:after="100"/>
              <w:jc w:val="right"/>
              <w:rPr>
                <w:rFonts w:eastAsia="Times New Roman"/>
              </w:rPr>
            </w:pPr>
            <w:r>
              <w:rPr>
                <w:rFonts w:eastAsia="Times New Roman"/>
                <w:b/>
                <w:bCs/>
                <w:color w:val="000000"/>
                <w:sz w:val="20"/>
                <w:szCs w:val="20"/>
              </w:rPr>
              <w:t>774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7B1272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6F88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1EA11B8"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BB660D1" w14:textId="77777777" w:rsidR="00000000" w:rsidRDefault="00A173A8">
            <w:pPr>
              <w:spacing w:after="100"/>
              <w:jc w:val="right"/>
              <w:rPr>
                <w:rFonts w:eastAsia="Times New Roman"/>
              </w:rPr>
            </w:pPr>
            <w:r>
              <w:rPr>
                <w:rFonts w:eastAsia="Times New Roman"/>
                <w:b/>
                <w:bCs/>
                <w:color w:val="000000"/>
                <w:sz w:val="20"/>
                <w:szCs w:val="20"/>
              </w:rPr>
              <w:t>699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EACE26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68E4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43C467A"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768A1B2" w14:textId="77777777" w:rsidR="00000000" w:rsidRDefault="00A173A8">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40FE84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4FCC7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D6463ED"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F5A3B62" w14:textId="77777777" w:rsidR="00000000" w:rsidRDefault="00A173A8">
            <w:pPr>
              <w:spacing w:after="100"/>
              <w:jc w:val="right"/>
              <w:rPr>
                <w:rFonts w:eastAsia="Times New Roman"/>
              </w:rPr>
            </w:pPr>
            <w:r>
              <w:rPr>
                <w:rFonts w:eastAsia="Times New Roman"/>
                <w:b/>
                <w:bCs/>
                <w:color w:val="000000"/>
                <w:sz w:val="20"/>
                <w:szCs w:val="20"/>
              </w:rPr>
              <w:t>1,349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3A518F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B609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2758F25"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30155D0" w14:textId="77777777" w:rsidR="00000000" w:rsidRDefault="00A173A8">
            <w:pPr>
              <w:spacing w:after="100"/>
              <w:jc w:val="right"/>
              <w:rPr>
                <w:rFonts w:eastAsia="Times New Roman"/>
              </w:rPr>
            </w:pPr>
            <w:r>
              <w:rPr>
                <w:rFonts w:eastAsia="Times New Roman"/>
                <w:b/>
                <w:bCs/>
                <w:color w:val="000000"/>
                <w:sz w:val="20"/>
                <w:szCs w:val="20"/>
              </w:rPr>
              <w:t>1,356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545B81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B45F0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8ADDE50"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136964D" w14:textId="77777777" w:rsidR="00000000" w:rsidRDefault="00A173A8">
            <w:pPr>
              <w:spacing w:after="100"/>
              <w:jc w:val="right"/>
              <w:rPr>
                <w:rFonts w:eastAsia="Times New Roman"/>
              </w:rPr>
            </w:pPr>
            <w:r>
              <w:rPr>
                <w:rFonts w:eastAsia="Times New Roman"/>
                <w:b/>
                <w:bCs/>
                <w:color w:val="000000"/>
                <w:sz w:val="20"/>
                <w:szCs w:val="20"/>
              </w:rPr>
              <w:t>(7)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630EFE5" w14:textId="77777777" w:rsidR="00000000" w:rsidRDefault="00A173A8">
            <w:pPr>
              <w:spacing w:after="100"/>
              <w:jc w:val="right"/>
              <w:rPr>
                <w:rFonts w:eastAsia="Times New Roman"/>
              </w:rPr>
            </w:pPr>
          </w:p>
        </w:tc>
      </w:tr>
      <w:tr w:rsidR="00000000" w14:paraId="451CFC84" w14:textId="77777777">
        <w:trPr>
          <w:divId w:val="122502650"/>
        </w:trPr>
        <w:tc>
          <w:tcPr>
            <w:tcW w:w="0" w:type="auto"/>
            <w:gridSpan w:val="3"/>
            <w:vAlign w:val="center"/>
            <w:hideMark/>
          </w:tcPr>
          <w:p w14:paraId="2ED22CA2" w14:textId="77777777" w:rsidR="00000000" w:rsidRDefault="00A173A8">
            <w:pPr>
              <w:spacing w:after="100"/>
              <w:jc w:val="right"/>
              <w:rPr>
                <w:rFonts w:eastAsia="Times New Roman"/>
                <w:sz w:val="20"/>
                <w:szCs w:val="20"/>
              </w:rPr>
            </w:pPr>
          </w:p>
        </w:tc>
        <w:tc>
          <w:tcPr>
            <w:tcW w:w="0" w:type="auto"/>
            <w:gridSpan w:val="3"/>
            <w:vAlign w:val="center"/>
            <w:hideMark/>
          </w:tcPr>
          <w:p w14:paraId="50070ADB" w14:textId="77777777" w:rsidR="00000000" w:rsidRDefault="00A173A8">
            <w:pPr>
              <w:spacing w:after="100"/>
              <w:rPr>
                <w:rFonts w:eastAsia="Times New Roman"/>
                <w:sz w:val="20"/>
                <w:szCs w:val="20"/>
              </w:rPr>
            </w:pPr>
          </w:p>
        </w:tc>
        <w:tc>
          <w:tcPr>
            <w:tcW w:w="0" w:type="auto"/>
            <w:gridSpan w:val="3"/>
            <w:vAlign w:val="center"/>
            <w:hideMark/>
          </w:tcPr>
          <w:p w14:paraId="393862C1" w14:textId="77777777" w:rsidR="00000000" w:rsidRDefault="00A173A8">
            <w:pPr>
              <w:spacing w:after="100"/>
              <w:rPr>
                <w:rFonts w:eastAsia="Times New Roman"/>
                <w:sz w:val="20"/>
                <w:szCs w:val="20"/>
              </w:rPr>
            </w:pPr>
          </w:p>
        </w:tc>
        <w:tc>
          <w:tcPr>
            <w:tcW w:w="0" w:type="auto"/>
            <w:gridSpan w:val="3"/>
            <w:vAlign w:val="center"/>
            <w:hideMark/>
          </w:tcPr>
          <w:p w14:paraId="43314EDE" w14:textId="77777777" w:rsidR="00000000" w:rsidRDefault="00A173A8">
            <w:pPr>
              <w:spacing w:after="100"/>
              <w:rPr>
                <w:rFonts w:eastAsia="Times New Roman"/>
                <w:sz w:val="20"/>
                <w:szCs w:val="20"/>
              </w:rPr>
            </w:pPr>
          </w:p>
        </w:tc>
        <w:tc>
          <w:tcPr>
            <w:tcW w:w="0" w:type="auto"/>
            <w:gridSpan w:val="3"/>
            <w:vAlign w:val="center"/>
            <w:hideMark/>
          </w:tcPr>
          <w:p w14:paraId="55AB82CC" w14:textId="77777777" w:rsidR="00000000" w:rsidRDefault="00A173A8">
            <w:pPr>
              <w:spacing w:after="100"/>
              <w:rPr>
                <w:rFonts w:eastAsia="Times New Roman"/>
                <w:sz w:val="20"/>
                <w:szCs w:val="20"/>
              </w:rPr>
            </w:pPr>
          </w:p>
        </w:tc>
        <w:tc>
          <w:tcPr>
            <w:tcW w:w="0" w:type="auto"/>
            <w:gridSpan w:val="3"/>
            <w:vAlign w:val="center"/>
            <w:hideMark/>
          </w:tcPr>
          <w:p w14:paraId="2FC5B862" w14:textId="77777777" w:rsidR="00000000" w:rsidRDefault="00A173A8">
            <w:pPr>
              <w:spacing w:after="100"/>
              <w:rPr>
                <w:rFonts w:eastAsia="Times New Roman"/>
                <w:sz w:val="20"/>
                <w:szCs w:val="20"/>
              </w:rPr>
            </w:pPr>
          </w:p>
        </w:tc>
        <w:tc>
          <w:tcPr>
            <w:tcW w:w="0" w:type="auto"/>
            <w:gridSpan w:val="3"/>
            <w:vAlign w:val="center"/>
            <w:hideMark/>
          </w:tcPr>
          <w:p w14:paraId="4F3F4D22" w14:textId="77777777" w:rsidR="00000000" w:rsidRDefault="00A173A8">
            <w:pPr>
              <w:spacing w:after="100"/>
              <w:rPr>
                <w:rFonts w:eastAsia="Times New Roman"/>
                <w:sz w:val="20"/>
                <w:szCs w:val="20"/>
              </w:rPr>
            </w:pPr>
          </w:p>
        </w:tc>
        <w:tc>
          <w:tcPr>
            <w:tcW w:w="0" w:type="auto"/>
            <w:gridSpan w:val="3"/>
            <w:vAlign w:val="center"/>
            <w:hideMark/>
          </w:tcPr>
          <w:p w14:paraId="4A7F00C5" w14:textId="77777777" w:rsidR="00000000" w:rsidRDefault="00A173A8">
            <w:pPr>
              <w:spacing w:after="100"/>
              <w:rPr>
                <w:rFonts w:eastAsia="Times New Roman"/>
                <w:sz w:val="20"/>
                <w:szCs w:val="20"/>
              </w:rPr>
            </w:pPr>
          </w:p>
        </w:tc>
        <w:tc>
          <w:tcPr>
            <w:tcW w:w="0" w:type="auto"/>
            <w:gridSpan w:val="3"/>
            <w:vAlign w:val="center"/>
            <w:hideMark/>
          </w:tcPr>
          <w:p w14:paraId="054D633B" w14:textId="77777777" w:rsidR="00000000" w:rsidRDefault="00A173A8">
            <w:pPr>
              <w:spacing w:after="100"/>
              <w:rPr>
                <w:rFonts w:eastAsia="Times New Roman"/>
                <w:sz w:val="20"/>
                <w:szCs w:val="20"/>
              </w:rPr>
            </w:pPr>
          </w:p>
        </w:tc>
        <w:tc>
          <w:tcPr>
            <w:tcW w:w="0" w:type="auto"/>
            <w:gridSpan w:val="3"/>
            <w:vAlign w:val="center"/>
            <w:hideMark/>
          </w:tcPr>
          <w:p w14:paraId="04E483DD" w14:textId="77777777" w:rsidR="00000000" w:rsidRDefault="00A173A8">
            <w:pPr>
              <w:spacing w:after="100"/>
              <w:rPr>
                <w:rFonts w:eastAsia="Times New Roman"/>
                <w:sz w:val="20"/>
                <w:szCs w:val="20"/>
              </w:rPr>
            </w:pPr>
          </w:p>
        </w:tc>
        <w:tc>
          <w:tcPr>
            <w:tcW w:w="0" w:type="auto"/>
            <w:gridSpan w:val="3"/>
            <w:vAlign w:val="center"/>
            <w:hideMark/>
          </w:tcPr>
          <w:p w14:paraId="4DA355F4" w14:textId="77777777" w:rsidR="00000000" w:rsidRDefault="00A173A8">
            <w:pPr>
              <w:spacing w:after="100"/>
              <w:rPr>
                <w:rFonts w:eastAsia="Times New Roman"/>
                <w:sz w:val="20"/>
                <w:szCs w:val="20"/>
              </w:rPr>
            </w:pPr>
          </w:p>
        </w:tc>
        <w:tc>
          <w:tcPr>
            <w:tcW w:w="0" w:type="auto"/>
            <w:gridSpan w:val="3"/>
            <w:vAlign w:val="center"/>
            <w:hideMark/>
          </w:tcPr>
          <w:p w14:paraId="0E2552FA" w14:textId="77777777" w:rsidR="00000000" w:rsidRDefault="00A173A8">
            <w:pPr>
              <w:spacing w:after="100"/>
              <w:rPr>
                <w:rFonts w:eastAsia="Times New Roman"/>
                <w:sz w:val="20"/>
                <w:szCs w:val="20"/>
              </w:rPr>
            </w:pPr>
          </w:p>
        </w:tc>
        <w:tc>
          <w:tcPr>
            <w:tcW w:w="0" w:type="auto"/>
            <w:gridSpan w:val="3"/>
            <w:vAlign w:val="center"/>
            <w:hideMark/>
          </w:tcPr>
          <w:p w14:paraId="48ECF26C" w14:textId="77777777" w:rsidR="00000000" w:rsidRDefault="00A173A8">
            <w:pPr>
              <w:spacing w:after="100"/>
              <w:rPr>
                <w:rFonts w:eastAsia="Times New Roman"/>
                <w:sz w:val="20"/>
                <w:szCs w:val="20"/>
              </w:rPr>
            </w:pPr>
          </w:p>
        </w:tc>
      </w:tr>
    </w:tbl>
    <w:p w14:paraId="04102148" w14:textId="77777777" w:rsidR="00000000" w:rsidRDefault="00A173A8">
      <w:pPr>
        <w:divId w:val="122502650"/>
        <w:rPr>
          <w:rFonts w:eastAsia="Times New Roman"/>
        </w:rPr>
      </w:pPr>
      <w:r>
        <w:rPr>
          <w:rFonts w:eastAsia="Times New Roman"/>
          <w:color w:val="000000"/>
          <w:sz w:val="20"/>
          <w:szCs w:val="20"/>
        </w:rPr>
        <w:t>__________</w:t>
      </w:r>
    </w:p>
    <w:p w14:paraId="79D98C03" w14:textId="77777777" w:rsidR="00000000" w:rsidRDefault="00A173A8">
      <w:pPr>
        <w:ind w:hanging="360"/>
        <w:jc w:val="both"/>
        <w:divId w:val="123555464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calculate the change in in</w:t>
      </w:r>
      <w:r>
        <w:rPr>
          <w:rFonts w:eastAsia="Times New Roman"/>
          <w:color w:val="000000"/>
          <w:sz w:val="16"/>
          <w:szCs w:val="16"/>
        </w:rPr>
        <w:t>terest income and interest expense separately for each item. The portion of interest income or interest expense attributable to both volume and rate is allocated proportionately when the calculation results in a positive value. When the portion of interest</w:t>
      </w:r>
      <w:r>
        <w:rPr>
          <w:rFonts w:eastAsia="Times New Roman"/>
          <w:color w:val="000000"/>
          <w:sz w:val="16"/>
          <w:szCs w:val="16"/>
        </w:rPr>
        <w:t xml:space="preserve"> income or interest expense attributable to both volume and rate results in a negative value, the total amount is allocated to volume or rate, depending on which amount is positive.</w:t>
      </w:r>
    </w:p>
    <w:p w14:paraId="29DD4C86" w14:textId="77777777" w:rsidR="00000000" w:rsidRDefault="00A173A8">
      <w:pPr>
        <w:ind w:hanging="360"/>
        <w:jc w:val="both"/>
        <w:divId w:val="123057544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w:t>
      </w:r>
      <w:r>
        <w:rPr>
          <w:rFonts w:eastAsia="Times New Roman"/>
          <w:color w:val="000000"/>
          <w:sz w:val="16"/>
          <w:szCs w:val="16"/>
        </w:rPr>
        <w:t>e present our Commercial Banking interest income and yields on a taxable-equivalent basis, calculated using the federal statutory rate of 21% and state taxes where applicable, with offsetting reductions to the Other category.</w:t>
      </w:r>
    </w:p>
    <w:p w14:paraId="29CD66DB" w14:textId="77777777" w:rsidR="00000000" w:rsidRDefault="00A173A8">
      <w:pPr>
        <w:ind w:hanging="360"/>
        <w:jc w:val="both"/>
        <w:divId w:val="114238772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Interest income/expense in </w:t>
      </w:r>
      <w:r>
        <w:rPr>
          <w:rFonts w:eastAsia="Times New Roman"/>
          <w:color w:val="000000"/>
          <w:sz w:val="16"/>
          <w:szCs w:val="16"/>
        </w:rPr>
        <w:t>the Other category represents the impact of hedge accounting on our loan portfolios and the offsetting reduction of the taxable-equivalent adjustments of our commercial loans as described above.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60326B5" w14:textId="77777777">
        <w:trPr>
          <w:divId w:val="877739028"/>
          <w:jc w:val="center"/>
        </w:trPr>
        <w:tc>
          <w:tcPr>
            <w:tcW w:w="50" w:type="pct"/>
            <w:vAlign w:val="center"/>
            <w:hideMark/>
          </w:tcPr>
          <w:p w14:paraId="47EF9F8C" w14:textId="77777777" w:rsidR="00000000" w:rsidRDefault="00A173A8">
            <w:pPr>
              <w:ind w:hanging="360"/>
              <w:jc w:val="both"/>
              <w:rPr>
                <w:rFonts w:eastAsia="Times New Roman"/>
              </w:rPr>
            </w:pPr>
          </w:p>
        </w:tc>
        <w:tc>
          <w:tcPr>
            <w:tcW w:w="1606" w:type="pct"/>
            <w:vAlign w:val="center"/>
            <w:hideMark/>
          </w:tcPr>
          <w:p w14:paraId="4EC89C58" w14:textId="77777777" w:rsidR="00000000" w:rsidRDefault="00A173A8">
            <w:pPr>
              <w:spacing w:after="100"/>
              <w:rPr>
                <w:rFonts w:eastAsia="Times New Roman"/>
                <w:sz w:val="20"/>
                <w:szCs w:val="20"/>
              </w:rPr>
            </w:pPr>
          </w:p>
        </w:tc>
        <w:tc>
          <w:tcPr>
            <w:tcW w:w="5" w:type="pct"/>
            <w:vAlign w:val="center"/>
            <w:hideMark/>
          </w:tcPr>
          <w:p w14:paraId="0122B7AF" w14:textId="77777777" w:rsidR="00000000" w:rsidRDefault="00A173A8">
            <w:pPr>
              <w:spacing w:after="100"/>
              <w:rPr>
                <w:rFonts w:eastAsia="Times New Roman"/>
                <w:sz w:val="20"/>
                <w:szCs w:val="20"/>
              </w:rPr>
            </w:pPr>
          </w:p>
        </w:tc>
        <w:tc>
          <w:tcPr>
            <w:tcW w:w="50" w:type="pct"/>
            <w:vAlign w:val="center"/>
            <w:hideMark/>
          </w:tcPr>
          <w:p w14:paraId="2BED74A4" w14:textId="77777777" w:rsidR="00000000" w:rsidRDefault="00A173A8">
            <w:pPr>
              <w:spacing w:after="100"/>
              <w:rPr>
                <w:rFonts w:eastAsia="Times New Roman"/>
                <w:sz w:val="20"/>
                <w:szCs w:val="20"/>
              </w:rPr>
            </w:pPr>
          </w:p>
        </w:tc>
        <w:tc>
          <w:tcPr>
            <w:tcW w:w="1614" w:type="pct"/>
            <w:vAlign w:val="center"/>
            <w:hideMark/>
          </w:tcPr>
          <w:p w14:paraId="4FA076AB" w14:textId="77777777" w:rsidR="00000000" w:rsidRDefault="00A173A8">
            <w:pPr>
              <w:spacing w:after="100"/>
              <w:rPr>
                <w:rFonts w:eastAsia="Times New Roman"/>
                <w:sz w:val="20"/>
                <w:szCs w:val="20"/>
              </w:rPr>
            </w:pPr>
          </w:p>
        </w:tc>
        <w:tc>
          <w:tcPr>
            <w:tcW w:w="5" w:type="pct"/>
            <w:vAlign w:val="center"/>
            <w:hideMark/>
          </w:tcPr>
          <w:p w14:paraId="59F56136" w14:textId="77777777" w:rsidR="00000000" w:rsidRDefault="00A173A8">
            <w:pPr>
              <w:spacing w:after="100"/>
              <w:rPr>
                <w:rFonts w:eastAsia="Times New Roman"/>
                <w:sz w:val="20"/>
                <w:szCs w:val="20"/>
              </w:rPr>
            </w:pPr>
          </w:p>
        </w:tc>
        <w:tc>
          <w:tcPr>
            <w:tcW w:w="50" w:type="pct"/>
            <w:vAlign w:val="center"/>
            <w:hideMark/>
          </w:tcPr>
          <w:p w14:paraId="359F4A1B" w14:textId="77777777" w:rsidR="00000000" w:rsidRDefault="00A173A8">
            <w:pPr>
              <w:spacing w:after="100"/>
              <w:rPr>
                <w:rFonts w:eastAsia="Times New Roman"/>
                <w:sz w:val="20"/>
                <w:szCs w:val="20"/>
              </w:rPr>
            </w:pPr>
          </w:p>
        </w:tc>
        <w:tc>
          <w:tcPr>
            <w:tcW w:w="1614" w:type="pct"/>
            <w:vAlign w:val="center"/>
            <w:hideMark/>
          </w:tcPr>
          <w:p w14:paraId="3AEAC075" w14:textId="77777777" w:rsidR="00000000" w:rsidRDefault="00A173A8">
            <w:pPr>
              <w:spacing w:after="100"/>
              <w:rPr>
                <w:rFonts w:eastAsia="Times New Roman"/>
                <w:sz w:val="20"/>
                <w:szCs w:val="20"/>
              </w:rPr>
            </w:pPr>
          </w:p>
        </w:tc>
        <w:tc>
          <w:tcPr>
            <w:tcW w:w="5" w:type="pct"/>
            <w:vAlign w:val="center"/>
            <w:hideMark/>
          </w:tcPr>
          <w:p w14:paraId="5AE60964" w14:textId="77777777" w:rsidR="00000000" w:rsidRDefault="00A173A8">
            <w:pPr>
              <w:spacing w:after="100"/>
              <w:rPr>
                <w:rFonts w:eastAsia="Times New Roman"/>
                <w:sz w:val="20"/>
                <w:szCs w:val="20"/>
              </w:rPr>
            </w:pPr>
          </w:p>
        </w:tc>
      </w:tr>
      <w:tr w:rsidR="00000000" w14:paraId="0BC453CD" w14:textId="77777777">
        <w:trPr>
          <w:divId w:val="877739028"/>
          <w:trHeight w:val="300"/>
          <w:jc w:val="center"/>
        </w:trPr>
        <w:tc>
          <w:tcPr>
            <w:tcW w:w="0" w:type="auto"/>
            <w:gridSpan w:val="9"/>
            <w:tcMar>
              <w:top w:w="0" w:type="dxa"/>
              <w:left w:w="20" w:type="dxa"/>
              <w:bottom w:w="0" w:type="dxa"/>
              <w:right w:w="20" w:type="dxa"/>
            </w:tcMar>
            <w:vAlign w:val="center"/>
            <w:hideMark/>
          </w:tcPr>
          <w:p w14:paraId="01F0BE62" w14:textId="77777777" w:rsidR="00000000" w:rsidRDefault="00A173A8">
            <w:pPr>
              <w:spacing w:after="100"/>
              <w:rPr>
                <w:rFonts w:eastAsia="Times New Roman"/>
                <w:sz w:val="20"/>
                <w:szCs w:val="20"/>
              </w:rPr>
            </w:pPr>
          </w:p>
        </w:tc>
      </w:tr>
      <w:tr w:rsidR="00000000" w14:paraId="24AE666E" w14:textId="77777777">
        <w:trPr>
          <w:divId w:val="877739028"/>
          <w:jc w:val="center"/>
        </w:trPr>
        <w:tc>
          <w:tcPr>
            <w:tcW w:w="0" w:type="auto"/>
            <w:gridSpan w:val="3"/>
            <w:tcMar>
              <w:top w:w="0" w:type="dxa"/>
              <w:left w:w="20" w:type="dxa"/>
              <w:bottom w:w="0" w:type="dxa"/>
              <w:right w:w="20" w:type="dxa"/>
            </w:tcMar>
            <w:vAlign w:val="center"/>
            <w:hideMark/>
          </w:tcPr>
          <w:p w14:paraId="05CF9AAC"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86D6FA0" w14:textId="77777777" w:rsidR="00000000" w:rsidRDefault="00A173A8">
            <w:pPr>
              <w:spacing w:after="100"/>
              <w:jc w:val="center"/>
              <w:rPr>
                <w:rFonts w:eastAsia="Times New Roman"/>
              </w:rPr>
            </w:pPr>
            <w:r>
              <w:rPr>
                <w:rFonts w:eastAsia="Times New Roman"/>
                <w:color w:val="000000"/>
                <w:sz w:val="16"/>
                <w:szCs w:val="16"/>
              </w:rPr>
              <w:t>13</w:t>
            </w:r>
          </w:p>
        </w:tc>
        <w:tc>
          <w:tcPr>
            <w:tcW w:w="0" w:type="auto"/>
            <w:gridSpan w:val="3"/>
            <w:tcMar>
              <w:top w:w="30" w:type="dxa"/>
              <w:left w:w="20" w:type="dxa"/>
              <w:bottom w:w="30" w:type="dxa"/>
              <w:right w:w="20" w:type="dxa"/>
            </w:tcMar>
            <w:vAlign w:val="bottom"/>
            <w:hideMark/>
          </w:tcPr>
          <w:p w14:paraId="69600BB7"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19C5749" w14:textId="77777777" w:rsidR="00000000" w:rsidRDefault="00A173A8">
      <w:pPr>
        <w:rPr>
          <w:rFonts w:eastAsia="Times New Roman"/>
        </w:rPr>
      </w:pPr>
      <w:r>
        <w:rPr>
          <w:rFonts w:eastAsia="Times New Roman"/>
        </w:rPr>
        <w:pict w14:anchorId="2700C246">
          <v:rect id="_x0000_i1038" style="width:0;height:1.5pt" o:hralign="center" o:hrstd="t" o:hr="t" fillcolor="#a0a0a0" stroked="f"/>
        </w:pict>
      </w:r>
    </w:p>
    <w:p w14:paraId="75CD76BD" w14:textId="77777777" w:rsidR="00000000" w:rsidRDefault="00A173A8">
      <w:pPr>
        <w:ind w:hanging="360"/>
        <w:jc w:val="both"/>
        <w:divId w:val="90590329"/>
        <w:rPr>
          <w:rFonts w:eastAsia="Times New Roman"/>
        </w:rPr>
      </w:pPr>
      <w:hyperlink w:anchor="i7ffd5d61af6f4722b1b1b07530d51c06_13" w:history="1">
        <w:r>
          <w:rPr>
            <w:rStyle w:val="a3"/>
            <w:rFonts w:eastAsia="Times New Roman"/>
            <w:sz w:val="16"/>
            <w:szCs w:val="16"/>
          </w:rPr>
          <w:t>Table of Contents</w:t>
        </w:r>
      </w:hyperlink>
    </w:p>
    <w:p w14:paraId="66512E17" w14:textId="77777777" w:rsidR="00000000" w:rsidRDefault="00A173A8">
      <w:pPr>
        <w:divId w:val="1746030748"/>
        <w:rPr>
          <w:rFonts w:eastAsia="Times New Roman"/>
        </w:rPr>
      </w:pPr>
      <w:r>
        <w:rPr>
          <w:rFonts w:eastAsia="Times New Roman"/>
          <w:b/>
          <w:bCs/>
          <w:color w:val="000000"/>
          <w:sz w:val="20"/>
          <w:szCs w:val="20"/>
        </w:rPr>
        <w:t>Non-Interest Income</w:t>
      </w:r>
    </w:p>
    <w:p w14:paraId="536204E4" w14:textId="77777777" w:rsidR="00000000" w:rsidRDefault="00A173A8">
      <w:pPr>
        <w:ind w:hanging="360"/>
        <w:jc w:val="both"/>
        <w:divId w:val="26565322"/>
        <w:rPr>
          <w:rFonts w:eastAsia="Times New Roman"/>
        </w:rPr>
      </w:pPr>
      <w:r>
        <w:rPr>
          <w:rFonts w:eastAsia="Times New Roman"/>
          <w:color w:val="000000"/>
          <w:sz w:val="20"/>
          <w:szCs w:val="20"/>
        </w:rPr>
        <w:t>Table 4 displays the components of non-interest income for the second quarter and first six months of 2022 and 2021.</w:t>
      </w:r>
    </w:p>
    <w:p w14:paraId="7262852D" w14:textId="77777777" w:rsidR="00000000" w:rsidRDefault="00A173A8">
      <w:pPr>
        <w:divId w:val="399014207"/>
        <w:rPr>
          <w:rFonts w:eastAsia="Times New Roman"/>
        </w:rPr>
      </w:pPr>
      <w:r>
        <w:rPr>
          <w:rFonts w:eastAsia="Times New Roman"/>
          <w:b/>
          <w:bCs/>
          <w:color w:val="000000"/>
          <w:sz w:val="18"/>
          <w:szCs w:val="18"/>
        </w:rPr>
        <w:t>Table 4: Non-Interest Income</w:t>
      </w:r>
    </w:p>
    <w:tbl>
      <w:tblPr>
        <w:tblW w:w="4992" w:type="pct"/>
        <w:tblCellMar>
          <w:top w:w="15" w:type="dxa"/>
          <w:left w:w="15" w:type="dxa"/>
          <w:bottom w:w="15" w:type="dxa"/>
          <w:right w:w="15" w:type="dxa"/>
        </w:tblCellMar>
        <w:tblLook w:val="04A0" w:firstRow="1" w:lastRow="0" w:firstColumn="1" w:lastColumn="0" w:noHBand="0" w:noVBand="1"/>
      </w:tblPr>
      <w:tblGrid>
        <w:gridCol w:w="41"/>
        <w:gridCol w:w="3792"/>
        <w:gridCol w:w="39"/>
        <w:gridCol w:w="36"/>
        <w:gridCol w:w="36"/>
        <w:gridCol w:w="36"/>
        <w:gridCol w:w="120"/>
        <w:gridCol w:w="819"/>
        <w:gridCol w:w="36"/>
        <w:gridCol w:w="36"/>
        <w:gridCol w:w="36"/>
        <w:gridCol w:w="36"/>
        <w:gridCol w:w="120"/>
        <w:gridCol w:w="820"/>
        <w:gridCol w:w="36"/>
        <w:gridCol w:w="36"/>
        <w:gridCol w:w="36"/>
        <w:gridCol w:w="36"/>
        <w:gridCol w:w="120"/>
        <w:gridCol w:w="809"/>
        <w:gridCol w:w="36"/>
        <w:gridCol w:w="36"/>
        <w:gridCol w:w="36"/>
        <w:gridCol w:w="36"/>
        <w:gridCol w:w="120"/>
        <w:gridCol w:w="809"/>
        <w:gridCol w:w="36"/>
        <w:gridCol w:w="36"/>
        <w:gridCol w:w="36"/>
        <w:gridCol w:w="36"/>
      </w:tblGrid>
      <w:tr w:rsidR="00000000" w14:paraId="43D4136E" w14:textId="77777777">
        <w:trPr>
          <w:divId w:val="1185704555"/>
        </w:trPr>
        <w:tc>
          <w:tcPr>
            <w:tcW w:w="50" w:type="pct"/>
            <w:vAlign w:val="center"/>
            <w:hideMark/>
          </w:tcPr>
          <w:p w14:paraId="489C1432" w14:textId="77777777" w:rsidR="00000000" w:rsidRDefault="00A173A8">
            <w:pPr>
              <w:rPr>
                <w:rFonts w:eastAsia="Times New Roman"/>
              </w:rPr>
            </w:pPr>
          </w:p>
        </w:tc>
        <w:tc>
          <w:tcPr>
            <w:tcW w:w="2353" w:type="pct"/>
            <w:vAlign w:val="center"/>
            <w:hideMark/>
          </w:tcPr>
          <w:p w14:paraId="26BF9DF4" w14:textId="77777777" w:rsidR="00000000" w:rsidRDefault="00A173A8">
            <w:pPr>
              <w:spacing w:after="100"/>
              <w:rPr>
                <w:rFonts w:eastAsia="Times New Roman"/>
                <w:sz w:val="20"/>
                <w:szCs w:val="20"/>
              </w:rPr>
            </w:pPr>
          </w:p>
        </w:tc>
        <w:tc>
          <w:tcPr>
            <w:tcW w:w="5" w:type="pct"/>
            <w:vAlign w:val="center"/>
            <w:hideMark/>
          </w:tcPr>
          <w:p w14:paraId="201B60AD" w14:textId="77777777" w:rsidR="00000000" w:rsidRDefault="00A173A8">
            <w:pPr>
              <w:spacing w:after="100"/>
              <w:rPr>
                <w:rFonts w:eastAsia="Times New Roman"/>
                <w:sz w:val="20"/>
                <w:szCs w:val="20"/>
              </w:rPr>
            </w:pPr>
          </w:p>
        </w:tc>
        <w:tc>
          <w:tcPr>
            <w:tcW w:w="5" w:type="pct"/>
            <w:vAlign w:val="center"/>
            <w:hideMark/>
          </w:tcPr>
          <w:p w14:paraId="555887D1" w14:textId="77777777" w:rsidR="00000000" w:rsidRDefault="00A173A8">
            <w:pPr>
              <w:spacing w:after="100"/>
              <w:rPr>
                <w:rFonts w:eastAsia="Times New Roman"/>
                <w:sz w:val="20"/>
                <w:szCs w:val="20"/>
              </w:rPr>
            </w:pPr>
          </w:p>
        </w:tc>
        <w:tc>
          <w:tcPr>
            <w:tcW w:w="26" w:type="pct"/>
            <w:vAlign w:val="center"/>
            <w:hideMark/>
          </w:tcPr>
          <w:p w14:paraId="405F34E4" w14:textId="77777777" w:rsidR="00000000" w:rsidRDefault="00A173A8">
            <w:pPr>
              <w:spacing w:after="100"/>
              <w:rPr>
                <w:rFonts w:eastAsia="Times New Roman"/>
                <w:sz w:val="20"/>
                <w:szCs w:val="20"/>
              </w:rPr>
            </w:pPr>
          </w:p>
        </w:tc>
        <w:tc>
          <w:tcPr>
            <w:tcW w:w="5" w:type="pct"/>
            <w:vAlign w:val="center"/>
            <w:hideMark/>
          </w:tcPr>
          <w:p w14:paraId="1F7CF21C" w14:textId="77777777" w:rsidR="00000000" w:rsidRDefault="00A173A8">
            <w:pPr>
              <w:spacing w:after="100"/>
              <w:rPr>
                <w:rFonts w:eastAsia="Times New Roman"/>
                <w:sz w:val="20"/>
                <w:szCs w:val="20"/>
              </w:rPr>
            </w:pPr>
          </w:p>
        </w:tc>
        <w:tc>
          <w:tcPr>
            <w:tcW w:w="50" w:type="pct"/>
            <w:vAlign w:val="center"/>
            <w:hideMark/>
          </w:tcPr>
          <w:p w14:paraId="1760E980" w14:textId="77777777" w:rsidR="00000000" w:rsidRDefault="00A173A8">
            <w:pPr>
              <w:spacing w:after="100"/>
              <w:rPr>
                <w:rFonts w:eastAsia="Times New Roman"/>
                <w:sz w:val="20"/>
                <w:szCs w:val="20"/>
              </w:rPr>
            </w:pPr>
          </w:p>
        </w:tc>
        <w:tc>
          <w:tcPr>
            <w:tcW w:w="559" w:type="pct"/>
            <w:vAlign w:val="center"/>
            <w:hideMark/>
          </w:tcPr>
          <w:p w14:paraId="7BEA985B" w14:textId="77777777" w:rsidR="00000000" w:rsidRDefault="00A173A8">
            <w:pPr>
              <w:spacing w:after="100"/>
              <w:rPr>
                <w:rFonts w:eastAsia="Times New Roman"/>
                <w:sz w:val="20"/>
                <w:szCs w:val="20"/>
              </w:rPr>
            </w:pPr>
          </w:p>
        </w:tc>
        <w:tc>
          <w:tcPr>
            <w:tcW w:w="5" w:type="pct"/>
            <w:vAlign w:val="center"/>
            <w:hideMark/>
          </w:tcPr>
          <w:p w14:paraId="71E3D87C" w14:textId="77777777" w:rsidR="00000000" w:rsidRDefault="00A173A8">
            <w:pPr>
              <w:spacing w:after="100"/>
              <w:rPr>
                <w:rFonts w:eastAsia="Times New Roman"/>
                <w:sz w:val="20"/>
                <w:szCs w:val="20"/>
              </w:rPr>
            </w:pPr>
          </w:p>
        </w:tc>
        <w:tc>
          <w:tcPr>
            <w:tcW w:w="5" w:type="pct"/>
            <w:vAlign w:val="center"/>
            <w:hideMark/>
          </w:tcPr>
          <w:p w14:paraId="4CF50FF2" w14:textId="77777777" w:rsidR="00000000" w:rsidRDefault="00A173A8">
            <w:pPr>
              <w:spacing w:after="100"/>
              <w:rPr>
                <w:rFonts w:eastAsia="Times New Roman"/>
                <w:sz w:val="20"/>
                <w:szCs w:val="20"/>
              </w:rPr>
            </w:pPr>
          </w:p>
        </w:tc>
        <w:tc>
          <w:tcPr>
            <w:tcW w:w="26" w:type="pct"/>
            <w:vAlign w:val="center"/>
            <w:hideMark/>
          </w:tcPr>
          <w:p w14:paraId="70719D57" w14:textId="77777777" w:rsidR="00000000" w:rsidRDefault="00A173A8">
            <w:pPr>
              <w:spacing w:after="100"/>
              <w:rPr>
                <w:rFonts w:eastAsia="Times New Roman"/>
                <w:sz w:val="20"/>
                <w:szCs w:val="20"/>
              </w:rPr>
            </w:pPr>
          </w:p>
        </w:tc>
        <w:tc>
          <w:tcPr>
            <w:tcW w:w="5" w:type="pct"/>
            <w:vAlign w:val="center"/>
            <w:hideMark/>
          </w:tcPr>
          <w:p w14:paraId="51ADF80F" w14:textId="77777777" w:rsidR="00000000" w:rsidRDefault="00A173A8">
            <w:pPr>
              <w:spacing w:after="100"/>
              <w:rPr>
                <w:rFonts w:eastAsia="Times New Roman"/>
                <w:sz w:val="20"/>
                <w:szCs w:val="20"/>
              </w:rPr>
            </w:pPr>
          </w:p>
        </w:tc>
        <w:tc>
          <w:tcPr>
            <w:tcW w:w="50" w:type="pct"/>
            <w:vAlign w:val="center"/>
            <w:hideMark/>
          </w:tcPr>
          <w:p w14:paraId="1A122F31" w14:textId="77777777" w:rsidR="00000000" w:rsidRDefault="00A173A8">
            <w:pPr>
              <w:spacing w:after="100"/>
              <w:rPr>
                <w:rFonts w:eastAsia="Times New Roman"/>
                <w:sz w:val="20"/>
                <w:szCs w:val="20"/>
              </w:rPr>
            </w:pPr>
          </w:p>
        </w:tc>
        <w:tc>
          <w:tcPr>
            <w:tcW w:w="559" w:type="pct"/>
            <w:vAlign w:val="center"/>
            <w:hideMark/>
          </w:tcPr>
          <w:p w14:paraId="46A9392D" w14:textId="77777777" w:rsidR="00000000" w:rsidRDefault="00A173A8">
            <w:pPr>
              <w:spacing w:after="100"/>
              <w:rPr>
                <w:rFonts w:eastAsia="Times New Roman"/>
                <w:sz w:val="20"/>
                <w:szCs w:val="20"/>
              </w:rPr>
            </w:pPr>
          </w:p>
        </w:tc>
        <w:tc>
          <w:tcPr>
            <w:tcW w:w="5" w:type="pct"/>
            <w:vAlign w:val="center"/>
            <w:hideMark/>
          </w:tcPr>
          <w:p w14:paraId="65034D09" w14:textId="77777777" w:rsidR="00000000" w:rsidRDefault="00A173A8">
            <w:pPr>
              <w:spacing w:after="100"/>
              <w:rPr>
                <w:rFonts w:eastAsia="Times New Roman"/>
                <w:sz w:val="20"/>
                <w:szCs w:val="20"/>
              </w:rPr>
            </w:pPr>
          </w:p>
        </w:tc>
        <w:tc>
          <w:tcPr>
            <w:tcW w:w="5" w:type="pct"/>
            <w:vAlign w:val="center"/>
            <w:hideMark/>
          </w:tcPr>
          <w:p w14:paraId="4AAF3C5E" w14:textId="77777777" w:rsidR="00000000" w:rsidRDefault="00A173A8">
            <w:pPr>
              <w:spacing w:after="100"/>
              <w:rPr>
                <w:rFonts w:eastAsia="Times New Roman"/>
                <w:sz w:val="20"/>
                <w:szCs w:val="20"/>
              </w:rPr>
            </w:pPr>
          </w:p>
        </w:tc>
        <w:tc>
          <w:tcPr>
            <w:tcW w:w="26" w:type="pct"/>
            <w:vAlign w:val="center"/>
            <w:hideMark/>
          </w:tcPr>
          <w:p w14:paraId="3FABC3C8" w14:textId="77777777" w:rsidR="00000000" w:rsidRDefault="00A173A8">
            <w:pPr>
              <w:spacing w:after="100"/>
              <w:rPr>
                <w:rFonts w:eastAsia="Times New Roman"/>
                <w:sz w:val="20"/>
                <w:szCs w:val="20"/>
              </w:rPr>
            </w:pPr>
          </w:p>
        </w:tc>
        <w:tc>
          <w:tcPr>
            <w:tcW w:w="5" w:type="pct"/>
            <w:vAlign w:val="center"/>
            <w:hideMark/>
          </w:tcPr>
          <w:p w14:paraId="3B829D22" w14:textId="77777777" w:rsidR="00000000" w:rsidRDefault="00A173A8">
            <w:pPr>
              <w:spacing w:after="100"/>
              <w:rPr>
                <w:rFonts w:eastAsia="Times New Roman"/>
                <w:sz w:val="20"/>
                <w:szCs w:val="20"/>
              </w:rPr>
            </w:pPr>
          </w:p>
        </w:tc>
        <w:tc>
          <w:tcPr>
            <w:tcW w:w="50" w:type="pct"/>
            <w:vAlign w:val="center"/>
            <w:hideMark/>
          </w:tcPr>
          <w:p w14:paraId="1CD2F426" w14:textId="77777777" w:rsidR="00000000" w:rsidRDefault="00A173A8">
            <w:pPr>
              <w:spacing w:after="100"/>
              <w:rPr>
                <w:rFonts w:eastAsia="Times New Roman"/>
                <w:sz w:val="20"/>
                <w:szCs w:val="20"/>
              </w:rPr>
            </w:pPr>
          </w:p>
        </w:tc>
        <w:tc>
          <w:tcPr>
            <w:tcW w:w="552" w:type="pct"/>
            <w:vAlign w:val="center"/>
            <w:hideMark/>
          </w:tcPr>
          <w:p w14:paraId="63ED24A1" w14:textId="77777777" w:rsidR="00000000" w:rsidRDefault="00A173A8">
            <w:pPr>
              <w:spacing w:after="100"/>
              <w:rPr>
                <w:rFonts w:eastAsia="Times New Roman"/>
                <w:sz w:val="20"/>
                <w:szCs w:val="20"/>
              </w:rPr>
            </w:pPr>
          </w:p>
        </w:tc>
        <w:tc>
          <w:tcPr>
            <w:tcW w:w="5" w:type="pct"/>
            <w:vAlign w:val="center"/>
            <w:hideMark/>
          </w:tcPr>
          <w:p w14:paraId="1BA311A0" w14:textId="77777777" w:rsidR="00000000" w:rsidRDefault="00A173A8">
            <w:pPr>
              <w:spacing w:after="100"/>
              <w:rPr>
                <w:rFonts w:eastAsia="Times New Roman"/>
                <w:sz w:val="20"/>
                <w:szCs w:val="20"/>
              </w:rPr>
            </w:pPr>
          </w:p>
        </w:tc>
        <w:tc>
          <w:tcPr>
            <w:tcW w:w="5" w:type="pct"/>
            <w:vAlign w:val="center"/>
            <w:hideMark/>
          </w:tcPr>
          <w:p w14:paraId="59E7F87F" w14:textId="77777777" w:rsidR="00000000" w:rsidRDefault="00A173A8">
            <w:pPr>
              <w:spacing w:after="100"/>
              <w:rPr>
                <w:rFonts w:eastAsia="Times New Roman"/>
                <w:sz w:val="20"/>
                <w:szCs w:val="20"/>
              </w:rPr>
            </w:pPr>
          </w:p>
        </w:tc>
        <w:tc>
          <w:tcPr>
            <w:tcW w:w="26" w:type="pct"/>
            <w:vAlign w:val="center"/>
            <w:hideMark/>
          </w:tcPr>
          <w:p w14:paraId="33350404" w14:textId="77777777" w:rsidR="00000000" w:rsidRDefault="00A173A8">
            <w:pPr>
              <w:spacing w:after="100"/>
              <w:rPr>
                <w:rFonts w:eastAsia="Times New Roman"/>
                <w:sz w:val="20"/>
                <w:szCs w:val="20"/>
              </w:rPr>
            </w:pPr>
          </w:p>
        </w:tc>
        <w:tc>
          <w:tcPr>
            <w:tcW w:w="5" w:type="pct"/>
            <w:vAlign w:val="center"/>
            <w:hideMark/>
          </w:tcPr>
          <w:p w14:paraId="13E7EC2A" w14:textId="77777777" w:rsidR="00000000" w:rsidRDefault="00A173A8">
            <w:pPr>
              <w:spacing w:after="100"/>
              <w:rPr>
                <w:rFonts w:eastAsia="Times New Roman"/>
                <w:sz w:val="20"/>
                <w:szCs w:val="20"/>
              </w:rPr>
            </w:pPr>
          </w:p>
        </w:tc>
        <w:tc>
          <w:tcPr>
            <w:tcW w:w="50" w:type="pct"/>
            <w:vAlign w:val="center"/>
            <w:hideMark/>
          </w:tcPr>
          <w:p w14:paraId="435BD183" w14:textId="77777777" w:rsidR="00000000" w:rsidRDefault="00A173A8">
            <w:pPr>
              <w:spacing w:after="100"/>
              <w:rPr>
                <w:rFonts w:eastAsia="Times New Roman"/>
                <w:sz w:val="20"/>
                <w:szCs w:val="20"/>
              </w:rPr>
            </w:pPr>
          </w:p>
        </w:tc>
        <w:tc>
          <w:tcPr>
            <w:tcW w:w="552" w:type="pct"/>
            <w:vAlign w:val="center"/>
            <w:hideMark/>
          </w:tcPr>
          <w:p w14:paraId="348168A8" w14:textId="77777777" w:rsidR="00000000" w:rsidRDefault="00A173A8">
            <w:pPr>
              <w:spacing w:after="100"/>
              <w:rPr>
                <w:rFonts w:eastAsia="Times New Roman"/>
                <w:sz w:val="20"/>
                <w:szCs w:val="20"/>
              </w:rPr>
            </w:pPr>
          </w:p>
        </w:tc>
        <w:tc>
          <w:tcPr>
            <w:tcW w:w="5" w:type="pct"/>
            <w:vAlign w:val="center"/>
            <w:hideMark/>
          </w:tcPr>
          <w:p w14:paraId="6398B53E" w14:textId="77777777" w:rsidR="00000000" w:rsidRDefault="00A173A8">
            <w:pPr>
              <w:spacing w:after="100"/>
              <w:rPr>
                <w:rFonts w:eastAsia="Times New Roman"/>
                <w:sz w:val="20"/>
                <w:szCs w:val="20"/>
              </w:rPr>
            </w:pPr>
          </w:p>
        </w:tc>
        <w:tc>
          <w:tcPr>
            <w:tcW w:w="0" w:type="auto"/>
            <w:vAlign w:val="center"/>
            <w:hideMark/>
          </w:tcPr>
          <w:p w14:paraId="746DFEE9" w14:textId="77777777" w:rsidR="00000000" w:rsidRDefault="00A173A8">
            <w:pPr>
              <w:spacing w:after="100"/>
              <w:rPr>
                <w:rFonts w:eastAsia="Times New Roman"/>
                <w:sz w:val="20"/>
                <w:szCs w:val="20"/>
              </w:rPr>
            </w:pPr>
          </w:p>
        </w:tc>
        <w:tc>
          <w:tcPr>
            <w:tcW w:w="0" w:type="auto"/>
            <w:vAlign w:val="center"/>
            <w:hideMark/>
          </w:tcPr>
          <w:p w14:paraId="3AD9265C" w14:textId="77777777" w:rsidR="00000000" w:rsidRDefault="00A173A8">
            <w:pPr>
              <w:spacing w:after="100"/>
              <w:rPr>
                <w:rFonts w:eastAsia="Times New Roman"/>
                <w:sz w:val="20"/>
                <w:szCs w:val="20"/>
              </w:rPr>
            </w:pPr>
          </w:p>
        </w:tc>
        <w:tc>
          <w:tcPr>
            <w:tcW w:w="0" w:type="auto"/>
            <w:vAlign w:val="center"/>
            <w:hideMark/>
          </w:tcPr>
          <w:p w14:paraId="37A158AF" w14:textId="77777777" w:rsidR="00000000" w:rsidRDefault="00A173A8">
            <w:pPr>
              <w:spacing w:after="100"/>
              <w:rPr>
                <w:rFonts w:eastAsia="Times New Roman"/>
                <w:sz w:val="20"/>
                <w:szCs w:val="20"/>
              </w:rPr>
            </w:pPr>
          </w:p>
        </w:tc>
      </w:tr>
      <w:tr w:rsidR="00000000" w14:paraId="575E2E2C" w14:textId="77777777">
        <w:trPr>
          <w:divId w:val="1185704555"/>
        </w:trPr>
        <w:tc>
          <w:tcPr>
            <w:tcW w:w="0" w:type="auto"/>
            <w:gridSpan w:val="3"/>
            <w:tcMar>
              <w:top w:w="30" w:type="dxa"/>
              <w:left w:w="155" w:type="dxa"/>
              <w:bottom w:w="30" w:type="dxa"/>
              <w:right w:w="20" w:type="dxa"/>
            </w:tcMar>
            <w:vAlign w:val="bottom"/>
            <w:hideMark/>
          </w:tcPr>
          <w:p w14:paraId="39FA4558"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1430767" w14:textId="77777777" w:rsidR="00000000" w:rsidRDefault="00A173A8">
            <w:pPr>
              <w:spacing w:after="100"/>
              <w:rPr>
                <w:rFonts w:eastAsia="Times New Roman"/>
              </w:rPr>
            </w:pPr>
          </w:p>
        </w:tc>
        <w:tc>
          <w:tcPr>
            <w:tcW w:w="0" w:type="auto"/>
            <w:gridSpan w:val="9"/>
            <w:tcMar>
              <w:top w:w="30" w:type="dxa"/>
              <w:left w:w="20" w:type="dxa"/>
              <w:bottom w:w="30" w:type="dxa"/>
              <w:right w:w="20" w:type="dxa"/>
            </w:tcMar>
            <w:vAlign w:val="bottom"/>
            <w:hideMark/>
          </w:tcPr>
          <w:p w14:paraId="137FCA5F" w14:textId="77777777" w:rsidR="00000000" w:rsidRDefault="00A173A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28834AB9"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FD65520" w14:textId="77777777" w:rsidR="00000000" w:rsidRDefault="00A173A8">
            <w:pPr>
              <w:spacing w:after="100"/>
              <w:jc w:val="center"/>
              <w:rPr>
                <w:rFonts w:eastAsia="Times New Roman"/>
              </w:rPr>
            </w:pPr>
            <w:r>
              <w:rPr>
                <w:rFonts w:eastAsia="Times New Roman"/>
                <w:b/>
                <w:bCs/>
                <w:color w:val="000000"/>
                <w:sz w:val="18"/>
                <w:szCs w:val="18"/>
              </w:rPr>
              <w:t>Six Months Ended June 30,</w:t>
            </w:r>
          </w:p>
        </w:tc>
        <w:tc>
          <w:tcPr>
            <w:tcW w:w="0" w:type="auto"/>
            <w:vAlign w:val="center"/>
            <w:hideMark/>
          </w:tcPr>
          <w:p w14:paraId="6C8C961F" w14:textId="77777777" w:rsidR="00000000" w:rsidRDefault="00A173A8">
            <w:pPr>
              <w:spacing w:after="100"/>
              <w:jc w:val="center"/>
              <w:rPr>
                <w:rFonts w:eastAsia="Times New Roman"/>
              </w:rPr>
            </w:pPr>
          </w:p>
        </w:tc>
        <w:tc>
          <w:tcPr>
            <w:tcW w:w="0" w:type="auto"/>
            <w:vAlign w:val="center"/>
            <w:hideMark/>
          </w:tcPr>
          <w:p w14:paraId="686819DF" w14:textId="77777777" w:rsidR="00000000" w:rsidRDefault="00A173A8">
            <w:pPr>
              <w:spacing w:after="100"/>
              <w:rPr>
                <w:rFonts w:eastAsia="Times New Roman"/>
                <w:sz w:val="20"/>
                <w:szCs w:val="20"/>
              </w:rPr>
            </w:pPr>
          </w:p>
        </w:tc>
        <w:tc>
          <w:tcPr>
            <w:tcW w:w="0" w:type="auto"/>
            <w:vAlign w:val="center"/>
            <w:hideMark/>
          </w:tcPr>
          <w:p w14:paraId="7CB56E87" w14:textId="77777777" w:rsidR="00000000" w:rsidRDefault="00A173A8">
            <w:pPr>
              <w:spacing w:after="100"/>
              <w:rPr>
                <w:rFonts w:eastAsia="Times New Roman"/>
                <w:sz w:val="20"/>
                <w:szCs w:val="20"/>
              </w:rPr>
            </w:pPr>
          </w:p>
        </w:tc>
      </w:tr>
      <w:tr w:rsidR="00000000" w14:paraId="6A7AAB29" w14:textId="77777777">
        <w:trPr>
          <w:divId w:val="1185704555"/>
        </w:trPr>
        <w:tc>
          <w:tcPr>
            <w:tcW w:w="0" w:type="auto"/>
            <w:gridSpan w:val="3"/>
            <w:tcBorders>
              <w:bottom w:val="single" w:sz="8" w:space="0" w:color="000000"/>
            </w:tcBorders>
            <w:tcMar>
              <w:top w:w="30" w:type="dxa"/>
              <w:left w:w="20" w:type="dxa"/>
              <w:bottom w:w="30" w:type="dxa"/>
              <w:right w:w="20" w:type="dxa"/>
            </w:tcMar>
            <w:vAlign w:val="bottom"/>
            <w:hideMark/>
          </w:tcPr>
          <w:p w14:paraId="531E3503" w14:textId="77777777" w:rsidR="00000000" w:rsidRDefault="00A173A8">
            <w:pPr>
              <w:spacing w:after="100"/>
              <w:rPr>
                <w:rFonts w:eastAsia="Times New Roman"/>
              </w:rPr>
            </w:pPr>
            <w:r>
              <w:rPr>
                <w:rFonts w:eastAsia="Times New Roman"/>
                <w:i/>
                <w:iCs/>
                <w:color w:val="000000"/>
                <w:sz w:val="18"/>
                <w:szCs w:val="18"/>
              </w:rPr>
              <w:t>(Dollars in millions)</w:t>
            </w:r>
          </w:p>
        </w:tc>
        <w:tc>
          <w:tcPr>
            <w:tcW w:w="0" w:type="auto"/>
            <w:gridSpan w:val="3"/>
            <w:tcMar>
              <w:top w:w="0" w:type="dxa"/>
              <w:left w:w="20" w:type="dxa"/>
              <w:bottom w:w="0" w:type="dxa"/>
              <w:right w:w="20" w:type="dxa"/>
            </w:tcMar>
            <w:vAlign w:val="center"/>
            <w:hideMark/>
          </w:tcPr>
          <w:p w14:paraId="48E48490"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BE654D" w14:textId="77777777" w:rsidR="00000000" w:rsidRDefault="00A173A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0040FE6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6CC7E7" w14:textId="77777777" w:rsidR="00000000" w:rsidRDefault="00A173A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603DDDE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75B8B6" w14:textId="77777777" w:rsidR="00000000" w:rsidRDefault="00A173A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7F3BEBE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D5787F" w14:textId="77777777" w:rsidR="00000000" w:rsidRDefault="00A173A8">
            <w:pPr>
              <w:spacing w:after="100"/>
              <w:jc w:val="center"/>
              <w:rPr>
                <w:rFonts w:eastAsia="Times New Roman"/>
              </w:rPr>
            </w:pPr>
            <w:r>
              <w:rPr>
                <w:rFonts w:eastAsia="Times New Roman"/>
                <w:b/>
                <w:bCs/>
                <w:color w:val="000000"/>
                <w:sz w:val="18"/>
                <w:szCs w:val="18"/>
              </w:rPr>
              <w:t>2021</w:t>
            </w:r>
          </w:p>
        </w:tc>
        <w:tc>
          <w:tcPr>
            <w:tcW w:w="0" w:type="auto"/>
            <w:vAlign w:val="center"/>
            <w:hideMark/>
          </w:tcPr>
          <w:p w14:paraId="707C84EA" w14:textId="77777777" w:rsidR="00000000" w:rsidRDefault="00A173A8">
            <w:pPr>
              <w:spacing w:after="100"/>
              <w:jc w:val="center"/>
              <w:rPr>
                <w:rFonts w:eastAsia="Times New Roman"/>
              </w:rPr>
            </w:pPr>
          </w:p>
        </w:tc>
        <w:tc>
          <w:tcPr>
            <w:tcW w:w="0" w:type="auto"/>
            <w:vAlign w:val="center"/>
            <w:hideMark/>
          </w:tcPr>
          <w:p w14:paraId="7403EA9C" w14:textId="77777777" w:rsidR="00000000" w:rsidRDefault="00A173A8">
            <w:pPr>
              <w:spacing w:after="100"/>
              <w:rPr>
                <w:rFonts w:eastAsia="Times New Roman"/>
                <w:sz w:val="20"/>
                <w:szCs w:val="20"/>
              </w:rPr>
            </w:pPr>
          </w:p>
        </w:tc>
        <w:tc>
          <w:tcPr>
            <w:tcW w:w="0" w:type="auto"/>
            <w:vAlign w:val="center"/>
            <w:hideMark/>
          </w:tcPr>
          <w:p w14:paraId="554C4833" w14:textId="77777777" w:rsidR="00000000" w:rsidRDefault="00A173A8">
            <w:pPr>
              <w:spacing w:after="100"/>
              <w:rPr>
                <w:rFonts w:eastAsia="Times New Roman"/>
                <w:sz w:val="20"/>
                <w:szCs w:val="20"/>
              </w:rPr>
            </w:pPr>
          </w:p>
        </w:tc>
      </w:tr>
      <w:tr w:rsidR="00000000" w14:paraId="6D0E1204" w14:textId="77777777">
        <w:trPr>
          <w:divId w:val="11857045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052D8A" w14:textId="77777777" w:rsidR="00000000" w:rsidRDefault="00A173A8">
            <w:pPr>
              <w:spacing w:after="100"/>
              <w:rPr>
                <w:rFonts w:eastAsia="Times New Roman"/>
              </w:rPr>
            </w:pPr>
            <w:r>
              <w:rPr>
                <w:rFonts w:eastAsia="Times New Roman"/>
                <w:color w:val="000000"/>
                <w:sz w:val="20"/>
                <w:szCs w:val="20"/>
              </w:rPr>
              <w:t>Interchange fees, net</w:t>
            </w:r>
          </w:p>
        </w:tc>
        <w:tc>
          <w:tcPr>
            <w:tcW w:w="0" w:type="auto"/>
            <w:gridSpan w:val="3"/>
            <w:shd w:val="clear" w:color="auto" w:fill="CCEEFF"/>
            <w:tcMar>
              <w:top w:w="0" w:type="dxa"/>
              <w:left w:w="20" w:type="dxa"/>
              <w:bottom w:w="0" w:type="dxa"/>
              <w:right w:w="20" w:type="dxa"/>
            </w:tcMar>
            <w:vAlign w:val="center"/>
            <w:hideMark/>
          </w:tcPr>
          <w:p w14:paraId="04B10BAF"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719F87E"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A5EAAED" w14:textId="77777777" w:rsidR="00000000" w:rsidRDefault="00A173A8">
            <w:pPr>
              <w:spacing w:after="100"/>
              <w:jc w:val="right"/>
              <w:rPr>
                <w:rFonts w:eastAsia="Times New Roman"/>
              </w:rPr>
            </w:pPr>
            <w:r>
              <w:rPr>
                <w:rFonts w:eastAsia="Times New Roman"/>
                <w:b/>
                <w:bCs/>
                <w:color w:val="000000"/>
                <w:sz w:val="20"/>
                <w:szCs w:val="20"/>
              </w:rPr>
              <w:t>1,201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D025E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C018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6E2E7B6"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9E02B3F" w14:textId="77777777" w:rsidR="00000000" w:rsidRDefault="00A173A8">
            <w:pPr>
              <w:spacing w:after="100"/>
              <w:jc w:val="right"/>
              <w:rPr>
                <w:rFonts w:eastAsia="Times New Roman"/>
              </w:rPr>
            </w:pPr>
            <w:r>
              <w:rPr>
                <w:rFonts w:eastAsia="Times New Roman"/>
                <w:color w:val="000000"/>
                <w:sz w:val="20"/>
                <w:szCs w:val="20"/>
              </w:rPr>
              <w:t>1,016 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E8131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10EE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E16956E"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36F760D" w14:textId="77777777" w:rsidR="00000000" w:rsidRDefault="00A173A8">
            <w:pPr>
              <w:spacing w:after="100"/>
              <w:jc w:val="right"/>
              <w:rPr>
                <w:rFonts w:eastAsia="Times New Roman"/>
              </w:rPr>
            </w:pPr>
            <w:r>
              <w:rPr>
                <w:rFonts w:eastAsia="Times New Roman"/>
                <w:b/>
                <w:bCs/>
                <w:color w:val="000000"/>
                <w:sz w:val="20"/>
                <w:szCs w:val="20"/>
              </w:rPr>
              <w:t>2,234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10A97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109E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2269393"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CF85D5F" w14:textId="77777777" w:rsidR="00000000" w:rsidRDefault="00A173A8">
            <w:pPr>
              <w:spacing w:after="100"/>
              <w:jc w:val="right"/>
              <w:rPr>
                <w:rFonts w:eastAsia="Times New Roman"/>
              </w:rPr>
            </w:pPr>
            <w:r>
              <w:rPr>
                <w:rFonts w:eastAsia="Times New Roman"/>
                <w:color w:val="000000"/>
                <w:sz w:val="20"/>
                <w:szCs w:val="20"/>
              </w:rPr>
              <w:t>1,833 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22DFBA" w14:textId="77777777" w:rsidR="00000000" w:rsidRDefault="00A173A8">
            <w:pPr>
              <w:spacing w:after="100"/>
              <w:jc w:val="right"/>
              <w:rPr>
                <w:rFonts w:eastAsia="Times New Roman"/>
              </w:rPr>
            </w:pPr>
          </w:p>
        </w:tc>
        <w:tc>
          <w:tcPr>
            <w:tcW w:w="0" w:type="auto"/>
            <w:vAlign w:val="center"/>
            <w:hideMark/>
          </w:tcPr>
          <w:p w14:paraId="07EDB0B9" w14:textId="77777777" w:rsidR="00000000" w:rsidRDefault="00A173A8">
            <w:pPr>
              <w:spacing w:after="100"/>
              <w:jc w:val="right"/>
              <w:rPr>
                <w:rFonts w:eastAsia="Times New Roman"/>
                <w:sz w:val="20"/>
                <w:szCs w:val="20"/>
              </w:rPr>
            </w:pPr>
          </w:p>
        </w:tc>
        <w:tc>
          <w:tcPr>
            <w:tcW w:w="0" w:type="auto"/>
            <w:vAlign w:val="center"/>
            <w:hideMark/>
          </w:tcPr>
          <w:p w14:paraId="44A16DFE" w14:textId="77777777" w:rsidR="00000000" w:rsidRDefault="00A173A8">
            <w:pPr>
              <w:spacing w:after="100"/>
              <w:rPr>
                <w:rFonts w:eastAsia="Times New Roman"/>
                <w:sz w:val="20"/>
                <w:szCs w:val="20"/>
              </w:rPr>
            </w:pPr>
          </w:p>
        </w:tc>
        <w:tc>
          <w:tcPr>
            <w:tcW w:w="0" w:type="auto"/>
            <w:vAlign w:val="center"/>
            <w:hideMark/>
          </w:tcPr>
          <w:p w14:paraId="00057960" w14:textId="77777777" w:rsidR="00000000" w:rsidRDefault="00A173A8">
            <w:pPr>
              <w:spacing w:after="100"/>
              <w:rPr>
                <w:rFonts w:eastAsia="Times New Roman"/>
                <w:sz w:val="20"/>
                <w:szCs w:val="20"/>
              </w:rPr>
            </w:pPr>
          </w:p>
        </w:tc>
      </w:tr>
      <w:tr w:rsidR="00000000" w14:paraId="28E65301" w14:textId="77777777">
        <w:trPr>
          <w:divId w:val="1185704555"/>
        </w:trPr>
        <w:tc>
          <w:tcPr>
            <w:tcW w:w="0" w:type="auto"/>
            <w:gridSpan w:val="3"/>
            <w:shd w:val="clear" w:color="auto" w:fill="FFFFFF"/>
            <w:tcMar>
              <w:top w:w="30" w:type="dxa"/>
              <w:left w:w="20" w:type="dxa"/>
              <w:bottom w:w="30" w:type="dxa"/>
              <w:right w:w="20" w:type="dxa"/>
            </w:tcMar>
            <w:vAlign w:val="bottom"/>
            <w:hideMark/>
          </w:tcPr>
          <w:p w14:paraId="4FD621DC" w14:textId="77777777" w:rsidR="00000000" w:rsidRDefault="00A173A8">
            <w:pPr>
              <w:spacing w:after="100"/>
              <w:rPr>
                <w:rFonts w:eastAsia="Times New Roman"/>
              </w:rPr>
            </w:pPr>
            <w:r>
              <w:rPr>
                <w:rFonts w:eastAsia="Times New Roman"/>
                <w:color w:val="000000"/>
                <w:sz w:val="20"/>
                <w:szCs w:val="20"/>
              </w:rPr>
              <w:t>Service charges and other customer-related fees</w:t>
            </w:r>
          </w:p>
        </w:tc>
        <w:tc>
          <w:tcPr>
            <w:tcW w:w="0" w:type="auto"/>
            <w:gridSpan w:val="3"/>
            <w:shd w:val="clear" w:color="auto" w:fill="FFFFFF"/>
            <w:tcMar>
              <w:top w:w="0" w:type="dxa"/>
              <w:left w:w="20" w:type="dxa"/>
              <w:bottom w:w="0" w:type="dxa"/>
              <w:right w:w="20" w:type="dxa"/>
            </w:tcMar>
            <w:vAlign w:val="center"/>
            <w:hideMark/>
          </w:tcPr>
          <w:p w14:paraId="64DDC6A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B1B6E7B" w14:textId="77777777" w:rsidR="00000000" w:rsidRDefault="00A173A8">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66A2E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1C78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9FB50B" w14:textId="77777777" w:rsidR="00000000" w:rsidRDefault="00A173A8">
            <w:pPr>
              <w:spacing w:after="100"/>
              <w:jc w:val="right"/>
              <w:rPr>
                <w:rFonts w:eastAsia="Times New Roman"/>
              </w:rPr>
            </w:pPr>
            <w:r>
              <w:rPr>
                <w:rFonts w:eastAsia="Times New Roman"/>
                <w:color w:val="000000"/>
                <w:sz w:val="20"/>
                <w:szCs w:val="20"/>
              </w:rPr>
              <w:t>384 </w:t>
            </w:r>
          </w:p>
        </w:tc>
        <w:tc>
          <w:tcPr>
            <w:tcW w:w="0" w:type="auto"/>
            <w:shd w:val="clear" w:color="auto" w:fill="FFFFFF"/>
            <w:tcMar>
              <w:top w:w="30" w:type="dxa"/>
              <w:left w:w="0" w:type="dxa"/>
              <w:bottom w:w="30" w:type="dxa"/>
              <w:right w:w="20" w:type="dxa"/>
            </w:tcMar>
            <w:vAlign w:val="center"/>
            <w:hideMark/>
          </w:tcPr>
          <w:p w14:paraId="22F159A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898C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D91C74" w14:textId="77777777" w:rsidR="00000000" w:rsidRDefault="00A173A8">
            <w:pPr>
              <w:spacing w:after="100"/>
              <w:jc w:val="right"/>
              <w:rPr>
                <w:rFonts w:eastAsia="Times New Roman"/>
              </w:rPr>
            </w:pPr>
            <w:r>
              <w:rPr>
                <w:rFonts w:eastAsia="Times New Roman"/>
                <w:b/>
                <w:bCs/>
                <w:color w:val="000000"/>
                <w:sz w:val="20"/>
                <w:szCs w:val="20"/>
              </w:rPr>
              <w:t>815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82536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F6EF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4053E4" w14:textId="77777777" w:rsidR="00000000" w:rsidRDefault="00A173A8">
            <w:pPr>
              <w:spacing w:after="100"/>
              <w:jc w:val="right"/>
              <w:rPr>
                <w:rFonts w:eastAsia="Times New Roman"/>
              </w:rPr>
            </w:pPr>
            <w:r>
              <w:rPr>
                <w:rFonts w:eastAsia="Times New Roman"/>
                <w:color w:val="000000"/>
                <w:sz w:val="20"/>
                <w:szCs w:val="20"/>
              </w:rPr>
              <w:t>736 </w:t>
            </w:r>
          </w:p>
        </w:tc>
        <w:tc>
          <w:tcPr>
            <w:tcW w:w="0" w:type="auto"/>
            <w:shd w:val="clear" w:color="auto" w:fill="FFFFFF"/>
            <w:tcMar>
              <w:top w:w="30" w:type="dxa"/>
              <w:left w:w="0" w:type="dxa"/>
              <w:bottom w:w="30" w:type="dxa"/>
              <w:right w:w="20" w:type="dxa"/>
            </w:tcMar>
            <w:vAlign w:val="center"/>
            <w:hideMark/>
          </w:tcPr>
          <w:p w14:paraId="05DF3616" w14:textId="77777777" w:rsidR="00000000" w:rsidRDefault="00A173A8">
            <w:pPr>
              <w:spacing w:after="100"/>
              <w:jc w:val="right"/>
              <w:rPr>
                <w:rFonts w:eastAsia="Times New Roman"/>
              </w:rPr>
            </w:pPr>
          </w:p>
        </w:tc>
        <w:tc>
          <w:tcPr>
            <w:tcW w:w="0" w:type="auto"/>
            <w:vAlign w:val="center"/>
            <w:hideMark/>
          </w:tcPr>
          <w:p w14:paraId="5F2A9EF7" w14:textId="77777777" w:rsidR="00000000" w:rsidRDefault="00A173A8">
            <w:pPr>
              <w:spacing w:after="100"/>
              <w:jc w:val="right"/>
              <w:rPr>
                <w:rFonts w:eastAsia="Times New Roman"/>
                <w:sz w:val="20"/>
                <w:szCs w:val="20"/>
              </w:rPr>
            </w:pPr>
          </w:p>
        </w:tc>
        <w:tc>
          <w:tcPr>
            <w:tcW w:w="0" w:type="auto"/>
            <w:vAlign w:val="center"/>
            <w:hideMark/>
          </w:tcPr>
          <w:p w14:paraId="012153AF" w14:textId="77777777" w:rsidR="00000000" w:rsidRDefault="00A173A8">
            <w:pPr>
              <w:spacing w:after="100"/>
              <w:rPr>
                <w:rFonts w:eastAsia="Times New Roman"/>
                <w:sz w:val="20"/>
                <w:szCs w:val="20"/>
              </w:rPr>
            </w:pPr>
          </w:p>
        </w:tc>
        <w:tc>
          <w:tcPr>
            <w:tcW w:w="0" w:type="auto"/>
            <w:vAlign w:val="center"/>
            <w:hideMark/>
          </w:tcPr>
          <w:p w14:paraId="76940DE7" w14:textId="77777777" w:rsidR="00000000" w:rsidRDefault="00A173A8">
            <w:pPr>
              <w:spacing w:after="100"/>
              <w:rPr>
                <w:rFonts w:eastAsia="Times New Roman"/>
                <w:sz w:val="20"/>
                <w:szCs w:val="20"/>
              </w:rPr>
            </w:pPr>
          </w:p>
        </w:tc>
      </w:tr>
      <w:tr w:rsidR="00000000" w14:paraId="2085EEE9" w14:textId="77777777">
        <w:trPr>
          <w:divId w:val="1185704555"/>
        </w:trPr>
        <w:tc>
          <w:tcPr>
            <w:tcW w:w="0" w:type="auto"/>
            <w:gridSpan w:val="3"/>
            <w:vAlign w:val="center"/>
            <w:hideMark/>
          </w:tcPr>
          <w:p w14:paraId="270B0496" w14:textId="77777777" w:rsidR="00000000" w:rsidRDefault="00A173A8">
            <w:pPr>
              <w:spacing w:after="100"/>
              <w:rPr>
                <w:rFonts w:eastAsia="Times New Roman"/>
                <w:sz w:val="20"/>
                <w:szCs w:val="20"/>
              </w:rPr>
            </w:pPr>
          </w:p>
        </w:tc>
        <w:tc>
          <w:tcPr>
            <w:tcW w:w="0" w:type="auto"/>
            <w:gridSpan w:val="3"/>
            <w:vAlign w:val="center"/>
            <w:hideMark/>
          </w:tcPr>
          <w:p w14:paraId="6CBBC34F" w14:textId="77777777" w:rsidR="00000000" w:rsidRDefault="00A173A8">
            <w:pPr>
              <w:spacing w:after="100"/>
              <w:rPr>
                <w:rFonts w:eastAsia="Times New Roman"/>
                <w:sz w:val="20"/>
                <w:szCs w:val="20"/>
              </w:rPr>
            </w:pPr>
          </w:p>
        </w:tc>
        <w:tc>
          <w:tcPr>
            <w:tcW w:w="0" w:type="auto"/>
            <w:gridSpan w:val="3"/>
            <w:vAlign w:val="center"/>
            <w:hideMark/>
          </w:tcPr>
          <w:p w14:paraId="7A409F36" w14:textId="77777777" w:rsidR="00000000" w:rsidRDefault="00A173A8">
            <w:pPr>
              <w:spacing w:after="100"/>
              <w:rPr>
                <w:rFonts w:eastAsia="Times New Roman"/>
                <w:sz w:val="20"/>
                <w:szCs w:val="20"/>
              </w:rPr>
            </w:pPr>
          </w:p>
        </w:tc>
        <w:tc>
          <w:tcPr>
            <w:tcW w:w="0" w:type="auto"/>
            <w:gridSpan w:val="3"/>
            <w:vAlign w:val="center"/>
            <w:hideMark/>
          </w:tcPr>
          <w:p w14:paraId="1C28E204" w14:textId="77777777" w:rsidR="00000000" w:rsidRDefault="00A173A8">
            <w:pPr>
              <w:spacing w:after="100"/>
              <w:rPr>
                <w:rFonts w:eastAsia="Times New Roman"/>
                <w:sz w:val="20"/>
                <w:szCs w:val="20"/>
              </w:rPr>
            </w:pPr>
          </w:p>
        </w:tc>
        <w:tc>
          <w:tcPr>
            <w:tcW w:w="0" w:type="auto"/>
            <w:gridSpan w:val="3"/>
            <w:vAlign w:val="center"/>
            <w:hideMark/>
          </w:tcPr>
          <w:p w14:paraId="67736F9E" w14:textId="77777777" w:rsidR="00000000" w:rsidRDefault="00A173A8">
            <w:pPr>
              <w:spacing w:after="100"/>
              <w:rPr>
                <w:rFonts w:eastAsia="Times New Roman"/>
                <w:sz w:val="20"/>
                <w:szCs w:val="20"/>
              </w:rPr>
            </w:pPr>
          </w:p>
        </w:tc>
        <w:tc>
          <w:tcPr>
            <w:tcW w:w="0" w:type="auto"/>
            <w:gridSpan w:val="3"/>
            <w:vAlign w:val="center"/>
            <w:hideMark/>
          </w:tcPr>
          <w:p w14:paraId="528DFB21" w14:textId="77777777" w:rsidR="00000000" w:rsidRDefault="00A173A8">
            <w:pPr>
              <w:spacing w:after="100"/>
              <w:rPr>
                <w:rFonts w:eastAsia="Times New Roman"/>
                <w:sz w:val="20"/>
                <w:szCs w:val="20"/>
              </w:rPr>
            </w:pPr>
          </w:p>
        </w:tc>
        <w:tc>
          <w:tcPr>
            <w:tcW w:w="0" w:type="auto"/>
            <w:gridSpan w:val="3"/>
            <w:vAlign w:val="center"/>
            <w:hideMark/>
          </w:tcPr>
          <w:p w14:paraId="2BE80F0F" w14:textId="77777777" w:rsidR="00000000" w:rsidRDefault="00A173A8">
            <w:pPr>
              <w:spacing w:after="100"/>
              <w:rPr>
                <w:rFonts w:eastAsia="Times New Roman"/>
                <w:sz w:val="20"/>
                <w:szCs w:val="20"/>
              </w:rPr>
            </w:pPr>
          </w:p>
        </w:tc>
        <w:tc>
          <w:tcPr>
            <w:tcW w:w="0" w:type="auto"/>
            <w:gridSpan w:val="3"/>
            <w:vAlign w:val="center"/>
            <w:hideMark/>
          </w:tcPr>
          <w:p w14:paraId="009685C6" w14:textId="77777777" w:rsidR="00000000" w:rsidRDefault="00A173A8">
            <w:pPr>
              <w:spacing w:after="100"/>
              <w:rPr>
                <w:rFonts w:eastAsia="Times New Roman"/>
                <w:sz w:val="20"/>
                <w:szCs w:val="20"/>
              </w:rPr>
            </w:pPr>
          </w:p>
        </w:tc>
        <w:tc>
          <w:tcPr>
            <w:tcW w:w="0" w:type="auto"/>
            <w:gridSpan w:val="3"/>
            <w:vAlign w:val="center"/>
            <w:hideMark/>
          </w:tcPr>
          <w:p w14:paraId="2996AFCF" w14:textId="77777777" w:rsidR="00000000" w:rsidRDefault="00A173A8">
            <w:pPr>
              <w:spacing w:after="100"/>
              <w:rPr>
                <w:rFonts w:eastAsia="Times New Roman"/>
                <w:sz w:val="20"/>
                <w:szCs w:val="20"/>
              </w:rPr>
            </w:pPr>
          </w:p>
        </w:tc>
        <w:tc>
          <w:tcPr>
            <w:tcW w:w="0" w:type="auto"/>
            <w:vAlign w:val="center"/>
            <w:hideMark/>
          </w:tcPr>
          <w:p w14:paraId="14E3587E" w14:textId="77777777" w:rsidR="00000000" w:rsidRDefault="00A173A8">
            <w:pPr>
              <w:spacing w:after="100"/>
              <w:rPr>
                <w:rFonts w:eastAsia="Times New Roman"/>
                <w:sz w:val="20"/>
                <w:szCs w:val="20"/>
              </w:rPr>
            </w:pPr>
          </w:p>
        </w:tc>
        <w:tc>
          <w:tcPr>
            <w:tcW w:w="0" w:type="auto"/>
            <w:vAlign w:val="center"/>
            <w:hideMark/>
          </w:tcPr>
          <w:p w14:paraId="70C692E7" w14:textId="77777777" w:rsidR="00000000" w:rsidRDefault="00A173A8">
            <w:pPr>
              <w:spacing w:after="100"/>
              <w:rPr>
                <w:rFonts w:eastAsia="Times New Roman"/>
                <w:sz w:val="20"/>
                <w:szCs w:val="20"/>
              </w:rPr>
            </w:pPr>
          </w:p>
        </w:tc>
        <w:tc>
          <w:tcPr>
            <w:tcW w:w="0" w:type="auto"/>
            <w:vAlign w:val="center"/>
            <w:hideMark/>
          </w:tcPr>
          <w:p w14:paraId="0CFEA829" w14:textId="77777777" w:rsidR="00000000" w:rsidRDefault="00A173A8">
            <w:pPr>
              <w:spacing w:after="100"/>
              <w:rPr>
                <w:rFonts w:eastAsia="Times New Roman"/>
                <w:sz w:val="20"/>
                <w:szCs w:val="20"/>
              </w:rPr>
            </w:pPr>
          </w:p>
        </w:tc>
      </w:tr>
      <w:tr w:rsidR="00000000" w14:paraId="03135E15" w14:textId="77777777">
        <w:trPr>
          <w:divId w:val="1185704555"/>
        </w:trPr>
        <w:tc>
          <w:tcPr>
            <w:tcW w:w="0" w:type="auto"/>
            <w:gridSpan w:val="3"/>
            <w:shd w:val="clear" w:color="auto" w:fill="CCEEFF"/>
            <w:tcMar>
              <w:top w:w="30" w:type="dxa"/>
              <w:left w:w="20" w:type="dxa"/>
              <w:bottom w:w="30" w:type="dxa"/>
              <w:right w:w="20" w:type="dxa"/>
            </w:tcMar>
            <w:vAlign w:val="bottom"/>
            <w:hideMark/>
          </w:tcPr>
          <w:p w14:paraId="4D2B1518" w14:textId="77777777" w:rsidR="00000000" w:rsidRDefault="00A173A8">
            <w:pPr>
              <w:spacing w:after="100"/>
              <w:divId w:val="367028152"/>
              <w:rPr>
                <w:rFonts w:eastAsia="Times New Roman"/>
              </w:rPr>
            </w:pPr>
            <w:r>
              <w:rPr>
                <w:rFonts w:eastAsia="Times New Roman"/>
                <w:color w:val="000000"/>
                <w:sz w:val="20"/>
                <w:szCs w:val="20"/>
              </w:rPr>
              <w:t>Other non-interest income</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8D51942"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369CC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29EAD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2324E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4A9F5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D05B2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467D2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3C16A9" w14:textId="77777777" w:rsidR="00000000" w:rsidRDefault="00A173A8">
            <w:pPr>
              <w:spacing w:after="100"/>
              <w:rPr>
                <w:rFonts w:eastAsia="Times New Roman"/>
                <w:sz w:val="20"/>
                <w:szCs w:val="20"/>
              </w:rPr>
            </w:pPr>
          </w:p>
        </w:tc>
        <w:tc>
          <w:tcPr>
            <w:tcW w:w="0" w:type="auto"/>
            <w:vAlign w:val="center"/>
            <w:hideMark/>
          </w:tcPr>
          <w:p w14:paraId="663E34E6" w14:textId="77777777" w:rsidR="00000000" w:rsidRDefault="00A173A8">
            <w:pPr>
              <w:spacing w:after="100"/>
              <w:rPr>
                <w:rFonts w:eastAsia="Times New Roman"/>
                <w:sz w:val="20"/>
                <w:szCs w:val="20"/>
              </w:rPr>
            </w:pPr>
          </w:p>
        </w:tc>
        <w:tc>
          <w:tcPr>
            <w:tcW w:w="0" w:type="auto"/>
            <w:vAlign w:val="center"/>
            <w:hideMark/>
          </w:tcPr>
          <w:p w14:paraId="7B803DC8" w14:textId="77777777" w:rsidR="00000000" w:rsidRDefault="00A173A8">
            <w:pPr>
              <w:spacing w:after="100"/>
              <w:rPr>
                <w:rFonts w:eastAsia="Times New Roman"/>
                <w:sz w:val="20"/>
                <w:szCs w:val="20"/>
              </w:rPr>
            </w:pPr>
          </w:p>
        </w:tc>
        <w:tc>
          <w:tcPr>
            <w:tcW w:w="0" w:type="auto"/>
            <w:vAlign w:val="center"/>
            <w:hideMark/>
          </w:tcPr>
          <w:p w14:paraId="01CF26E2" w14:textId="77777777" w:rsidR="00000000" w:rsidRDefault="00A173A8">
            <w:pPr>
              <w:spacing w:after="100"/>
              <w:rPr>
                <w:rFonts w:eastAsia="Times New Roman"/>
                <w:sz w:val="20"/>
                <w:szCs w:val="20"/>
              </w:rPr>
            </w:pPr>
          </w:p>
        </w:tc>
      </w:tr>
      <w:tr w:rsidR="00000000" w14:paraId="6FE0F403" w14:textId="77777777">
        <w:trPr>
          <w:divId w:val="1185704555"/>
        </w:trPr>
        <w:tc>
          <w:tcPr>
            <w:tcW w:w="0" w:type="auto"/>
            <w:gridSpan w:val="3"/>
            <w:shd w:val="clear" w:color="auto" w:fill="FFFFFF"/>
            <w:tcMar>
              <w:top w:w="30" w:type="dxa"/>
              <w:left w:w="245" w:type="dxa"/>
              <w:bottom w:w="30" w:type="dxa"/>
              <w:right w:w="20" w:type="dxa"/>
            </w:tcMar>
            <w:vAlign w:val="bottom"/>
            <w:hideMark/>
          </w:tcPr>
          <w:p w14:paraId="190D0507" w14:textId="77777777" w:rsidR="00000000" w:rsidRDefault="00A173A8">
            <w:pPr>
              <w:spacing w:after="100"/>
              <w:rPr>
                <w:rFonts w:eastAsia="Times New Roman"/>
              </w:rPr>
            </w:pPr>
            <w:r>
              <w:rPr>
                <w:rFonts w:eastAsia="Times New Roman"/>
                <w:color w:val="000000"/>
                <w:sz w:val="20"/>
                <w:szCs w:val="20"/>
              </w:rPr>
              <w:t>Mortgage banking revenue</w:t>
            </w:r>
          </w:p>
        </w:tc>
        <w:tc>
          <w:tcPr>
            <w:tcW w:w="0" w:type="auto"/>
            <w:gridSpan w:val="3"/>
            <w:shd w:val="clear" w:color="auto" w:fill="FFFFFF"/>
            <w:tcMar>
              <w:top w:w="0" w:type="dxa"/>
              <w:left w:w="20" w:type="dxa"/>
              <w:bottom w:w="0" w:type="dxa"/>
              <w:right w:w="20" w:type="dxa"/>
            </w:tcMar>
            <w:vAlign w:val="center"/>
            <w:hideMark/>
          </w:tcPr>
          <w:p w14:paraId="2386AD44"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B1BFC0" w14:textId="77777777" w:rsidR="00000000" w:rsidRDefault="00A173A8">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E15D2E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9FEC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C0096F" w14:textId="77777777" w:rsidR="00000000" w:rsidRDefault="00A173A8">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center"/>
            <w:hideMark/>
          </w:tcPr>
          <w:p w14:paraId="4536CB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5679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D2F553" w14:textId="77777777" w:rsidR="00000000" w:rsidRDefault="00A173A8">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91A4E3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75E6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2CBDAD" w14:textId="77777777" w:rsidR="00000000" w:rsidRDefault="00A173A8">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14:paraId="03757B28" w14:textId="77777777" w:rsidR="00000000" w:rsidRDefault="00A173A8">
            <w:pPr>
              <w:spacing w:after="100"/>
              <w:jc w:val="right"/>
              <w:rPr>
                <w:rFonts w:eastAsia="Times New Roman"/>
              </w:rPr>
            </w:pPr>
          </w:p>
        </w:tc>
        <w:tc>
          <w:tcPr>
            <w:tcW w:w="0" w:type="auto"/>
            <w:vAlign w:val="center"/>
            <w:hideMark/>
          </w:tcPr>
          <w:p w14:paraId="4D025C49" w14:textId="77777777" w:rsidR="00000000" w:rsidRDefault="00A173A8">
            <w:pPr>
              <w:spacing w:after="100"/>
              <w:jc w:val="right"/>
              <w:rPr>
                <w:rFonts w:eastAsia="Times New Roman"/>
                <w:sz w:val="20"/>
                <w:szCs w:val="20"/>
              </w:rPr>
            </w:pPr>
          </w:p>
        </w:tc>
        <w:tc>
          <w:tcPr>
            <w:tcW w:w="0" w:type="auto"/>
            <w:vAlign w:val="center"/>
            <w:hideMark/>
          </w:tcPr>
          <w:p w14:paraId="6E9B438B" w14:textId="77777777" w:rsidR="00000000" w:rsidRDefault="00A173A8">
            <w:pPr>
              <w:spacing w:after="100"/>
              <w:rPr>
                <w:rFonts w:eastAsia="Times New Roman"/>
                <w:sz w:val="20"/>
                <w:szCs w:val="20"/>
              </w:rPr>
            </w:pPr>
          </w:p>
        </w:tc>
        <w:tc>
          <w:tcPr>
            <w:tcW w:w="0" w:type="auto"/>
            <w:vAlign w:val="center"/>
            <w:hideMark/>
          </w:tcPr>
          <w:p w14:paraId="557B2255" w14:textId="77777777" w:rsidR="00000000" w:rsidRDefault="00A173A8">
            <w:pPr>
              <w:spacing w:after="100"/>
              <w:rPr>
                <w:rFonts w:eastAsia="Times New Roman"/>
                <w:sz w:val="20"/>
                <w:szCs w:val="20"/>
              </w:rPr>
            </w:pPr>
          </w:p>
        </w:tc>
      </w:tr>
      <w:tr w:rsidR="00000000" w14:paraId="67AC5E7E" w14:textId="77777777">
        <w:trPr>
          <w:divId w:val="1185704555"/>
        </w:trPr>
        <w:tc>
          <w:tcPr>
            <w:tcW w:w="0" w:type="auto"/>
            <w:gridSpan w:val="3"/>
            <w:shd w:val="clear" w:color="auto" w:fill="CCEEFF"/>
            <w:tcMar>
              <w:top w:w="30" w:type="dxa"/>
              <w:left w:w="245" w:type="dxa"/>
              <w:bottom w:w="30" w:type="dxa"/>
              <w:right w:w="20" w:type="dxa"/>
            </w:tcMar>
            <w:vAlign w:val="bottom"/>
            <w:hideMark/>
          </w:tcPr>
          <w:p w14:paraId="23FE0ED4" w14:textId="77777777" w:rsidR="00000000" w:rsidRDefault="00A173A8">
            <w:pPr>
              <w:spacing w:after="100"/>
              <w:rPr>
                <w:rFonts w:eastAsia="Times New Roman"/>
              </w:rPr>
            </w:pPr>
            <w:r>
              <w:rPr>
                <w:rFonts w:eastAsia="Times New Roman"/>
                <w:color w:val="000000"/>
                <w:sz w:val="20"/>
                <w:szCs w:val="20"/>
              </w:rPr>
              <w:t>Treasury and other investment income</w:t>
            </w:r>
          </w:p>
        </w:tc>
        <w:tc>
          <w:tcPr>
            <w:tcW w:w="0" w:type="auto"/>
            <w:gridSpan w:val="3"/>
            <w:shd w:val="clear" w:color="auto" w:fill="CCEEFF"/>
            <w:tcMar>
              <w:top w:w="0" w:type="dxa"/>
              <w:left w:w="20" w:type="dxa"/>
              <w:bottom w:w="0" w:type="dxa"/>
              <w:right w:w="20" w:type="dxa"/>
            </w:tcMar>
            <w:vAlign w:val="center"/>
            <w:hideMark/>
          </w:tcPr>
          <w:p w14:paraId="648B98A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A6D37DB" w14:textId="77777777" w:rsidR="00000000" w:rsidRDefault="00A173A8">
            <w:pPr>
              <w:spacing w:after="100"/>
              <w:jc w:val="right"/>
              <w:rPr>
                <w:rFonts w:eastAsia="Times New Roman"/>
              </w:rPr>
            </w:pPr>
            <w:r>
              <w:rPr>
                <w:rFonts w:eastAsia="Times New Roman"/>
                <w:b/>
                <w:bCs/>
                <w:color w:val="000000"/>
                <w:sz w:val="20"/>
                <w:szCs w:val="20"/>
              </w:rPr>
              <w:t>(26)</w:t>
            </w:r>
          </w:p>
        </w:tc>
        <w:tc>
          <w:tcPr>
            <w:tcW w:w="0" w:type="auto"/>
            <w:shd w:val="clear" w:color="auto" w:fill="CCEEFF"/>
            <w:tcMar>
              <w:top w:w="30" w:type="dxa"/>
              <w:left w:w="0" w:type="dxa"/>
              <w:bottom w:w="30" w:type="dxa"/>
              <w:right w:w="20" w:type="dxa"/>
            </w:tcMar>
            <w:vAlign w:val="center"/>
            <w:hideMark/>
          </w:tcPr>
          <w:p w14:paraId="2B04B4E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9E0FA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CABFC0" w14:textId="77777777" w:rsidR="00000000" w:rsidRDefault="00A173A8">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center"/>
            <w:hideMark/>
          </w:tcPr>
          <w:p w14:paraId="3D2AF3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9476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F6072C" w14:textId="77777777" w:rsidR="00000000" w:rsidRDefault="00A173A8">
            <w:pPr>
              <w:spacing w:after="100"/>
              <w:jc w:val="right"/>
              <w:rPr>
                <w:rFonts w:eastAsia="Times New Roman"/>
              </w:rPr>
            </w:pPr>
            <w:r>
              <w:rPr>
                <w:rFonts w:eastAsia="Times New Roman"/>
                <w:b/>
                <w:bCs/>
                <w:color w:val="000000"/>
                <w:sz w:val="20"/>
                <w:szCs w:val="20"/>
              </w:rPr>
              <w:t>(44)</w:t>
            </w:r>
          </w:p>
        </w:tc>
        <w:tc>
          <w:tcPr>
            <w:tcW w:w="0" w:type="auto"/>
            <w:shd w:val="clear" w:color="auto" w:fill="CCEEFF"/>
            <w:tcMar>
              <w:top w:w="30" w:type="dxa"/>
              <w:left w:w="0" w:type="dxa"/>
              <w:bottom w:w="30" w:type="dxa"/>
              <w:right w:w="20" w:type="dxa"/>
            </w:tcMar>
            <w:vAlign w:val="center"/>
            <w:hideMark/>
          </w:tcPr>
          <w:p w14:paraId="2A7E166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D303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9FE242" w14:textId="77777777" w:rsidR="00000000" w:rsidRDefault="00A173A8">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center"/>
            <w:hideMark/>
          </w:tcPr>
          <w:p w14:paraId="42B7D8DD" w14:textId="77777777" w:rsidR="00000000" w:rsidRDefault="00A173A8">
            <w:pPr>
              <w:spacing w:after="100"/>
              <w:jc w:val="right"/>
              <w:rPr>
                <w:rFonts w:eastAsia="Times New Roman"/>
              </w:rPr>
            </w:pPr>
          </w:p>
        </w:tc>
        <w:tc>
          <w:tcPr>
            <w:tcW w:w="0" w:type="auto"/>
            <w:vAlign w:val="center"/>
            <w:hideMark/>
          </w:tcPr>
          <w:p w14:paraId="22077CCA" w14:textId="77777777" w:rsidR="00000000" w:rsidRDefault="00A173A8">
            <w:pPr>
              <w:spacing w:after="100"/>
              <w:jc w:val="right"/>
              <w:rPr>
                <w:rFonts w:eastAsia="Times New Roman"/>
                <w:sz w:val="20"/>
                <w:szCs w:val="20"/>
              </w:rPr>
            </w:pPr>
          </w:p>
        </w:tc>
        <w:tc>
          <w:tcPr>
            <w:tcW w:w="0" w:type="auto"/>
            <w:vAlign w:val="center"/>
            <w:hideMark/>
          </w:tcPr>
          <w:p w14:paraId="144B1772" w14:textId="77777777" w:rsidR="00000000" w:rsidRDefault="00A173A8">
            <w:pPr>
              <w:spacing w:after="100"/>
              <w:rPr>
                <w:rFonts w:eastAsia="Times New Roman"/>
                <w:sz w:val="20"/>
                <w:szCs w:val="20"/>
              </w:rPr>
            </w:pPr>
          </w:p>
        </w:tc>
        <w:tc>
          <w:tcPr>
            <w:tcW w:w="0" w:type="auto"/>
            <w:vAlign w:val="center"/>
            <w:hideMark/>
          </w:tcPr>
          <w:p w14:paraId="1FCF1D86" w14:textId="77777777" w:rsidR="00000000" w:rsidRDefault="00A173A8">
            <w:pPr>
              <w:spacing w:after="100"/>
              <w:rPr>
                <w:rFonts w:eastAsia="Times New Roman"/>
                <w:sz w:val="20"/>
                <w:szCs w:val="20"/>
              </w:rPr>
            </w:pPr>
          </w:p>
        </w:tc>
      </w:tr>
      <w:tr w:rsidR="00000000" w14:paraId="390CF9C1" w14:textId="77777777">
        <w:trPr>
          <w:divId w:val="1185704555"/>
        </w:trPr>
        <w:tc>
          <w:tcPr>
            <w:tcW w:w="0" w:type="auto"/>
            <w:gridSpan w:val="3"/>
            <w:shd w:val="clear" w:color="auto" w:fill="FFFFFF"/>
            <w:tcMar>
              <w:top w:w="30" w:type="dxa"/>
              <w:left w:w="245" w:type="dxa"/>
              <w:bottom w:w="30" w:type="dxa"/>
              <w:right w:w="20" w:type="dxa"/>
            </w:tcMar>
            <w:vAlign w:val="bottom"/>
            <w:hideMark/>
          </w:tcPr>
          <w:p w14:paraId="5AB1E62F" w14:textId="77777777" w:rsidR="00000000" w:rsidRDefault="00A173A8">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75D86DD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AF9D57A" w14:textId="77777777" w:rsidR="00000000" w:rsidRDefault="00A173A8">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D7F683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CBC2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59E46D" w14:textId="77777777" w:rsidR="00000000" w:rsidRDefault="00A173A8">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center"/>
            <w:hideMark/>
          </w:tcPr>
          <w:p w14:paraId="3B9D0A6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5055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CA67A4" w14:textId="77777777" w:rsidR="00000000" w:rsidRDefault="00A173A8">
            <w:pPr>
              <w:spacing w:after="100"/>
              <w:jc w:val="right"/>
              <w:rPr>
                <w:rFonts w:eastAsia="Times New Roman"/>
              </w:rPr>
            </w:pPr>
            <w:r>
              <w:rPr>
                <w:rFonts w:eastAsia="Times New Roman"/>
                <w:b/>
                <w:bCs/>
                <w:color w:val="000000"/>
                <w:sz w:val="20"/>
                <w:szCs w:val="20"/>
              </w:rPr>
              <w:t>392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2F6EFA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546A7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84B1FD" w14:textId="77777777" w:rsidR="00000000" w:rsidRDefault="00A173A8">
            <w:pPr>
              <w:spacing w:after="100"/>
              <w:jc w:val="right"/>
              <w:rPr>
                <w:rFonts w:eastAsia="Times New Roman"/>
              </w:rPr>
            </w:pPr>
            <w:r>
              <w:rPr>
                <w:rFonts w:eastAsia="Times New Roman"/>
                <w:color w:val="000000"/>
                <w:sz w:val="20"/>
                <w:szCs w:val="20"/>
              </w:rPr>
              <w:t>175 </w:t>
            </w:r>
          </w:p>
        </w:tc>
        <w:tc>
          <w:tcPr>
            <w:tcW w:w="0" w:type="auto"/>
            <w:shd w:val="clear" w:color="auto" w:fill="FFFFFF"/>
            <w:tcMar>
              <w:top w:w="30" w:type="dxa"/>
              <w:left w:w="0" w:type="dxa"/>
              <w:bottom w:w="30" w:type="dxa"/>
              <w:right w:w="20" w:type="dxa"/>
            </w:tcMar>
            <w:vAlign w:val="center"/>
            <w:hideMark/>
          </w:tcPr>
          <w:p w14:paraId="50AD2C8C" w14:textId="77777777" w:rsidR="00000000" w:rsidRDefault="00A173A8">
            <w:pPr>
              <w:spacing w:after="100"/>
              <w:jc w:val="right"/>
              <w:rPr>
                <w:rFonts w:eastAsia="Times New Roman"/>
              </w:rPr>
            </w:pPr>
          </w:p>
        </w:tc>
        <w:tc>
          <w:tcPr>
            <w:tcW w:w="0" w:type="auto"/>
            <w:vAlign w:val="center"/>
            <w:hideMark/>
          </w:tcPr>
          <w:p w14:paraId="1E92D798" w14:textId="77777777" w:rsidR="00000000" w:rsidRDefault="00A173A8">
            <w:pPr>
              <w:spacing w:after="100"/>
              <w:jc w:val="right"/>
              <w:rPr>
                <w:rFonts w:eastAsia="Times New Roman"/>
                <w:sz w:val="20"/>
                <w:szCs w:val="20"/>
              </w:rPr>
            </w:pPr>
          </w:p>
        </w:tc>
        <w:tc>
          <w:tcPr>
            <w:tcW w:w="0" w:type="auto"/>
            <w:vAlign w:val="center"/>
            <w:hideMark/>
          </w:tcPr>
          <w:p w14:paraId="0265A8CE" w14:textId="77777777" w:rsidR="00000000" w:rsidRDefault="00A173A8">
            <w:pPr>
              <w:spacing w:after="100"/>
              <w:rPr>
                <w:rFonts w:eastAsia="Times New Roman"/>
                <w:sz w:val="20"/>
                <w:szCs w:val="20"/>
              </w:rPr>
            </w:pPr>
          </w:p>
        </w:tc>
        <w:tc>
          <w:tcPr>
            <w:tcW w:w="0" w:type="auto"/>
            <w:vAlign w:val="center"/>
            <w:hideMark/>
          </w:tcPr>
          <w:p w14:paraId="11099E5C" w14:textId="77777777" w:rsidR="00000000" w:rsidRDefault="00A173A8">
            <w:pPr>
              <w:spacing w:after="100"/>
              <w:rPr>
                <w:rFonts w:eastAsia="Times New Roman"/>
                <w:sz w:val="20"/>
                <w:szCs w:val="20"/>
              </w:rPr>
            </w:pPr>
          </w:p>
        </w:tc>
      </w:tr>
      <w:tr w:rsidR="00000000" w14:paraId="41876087" w14:textId="77777777">
        <w:trPr>
          <w:divId w:val="1185704555"/>
        </w:trPr>
        <w:tc>
          <w:tcPr>
            <w:tcW w:w="0" w:type="auto"/>
            <w:gridSpan w:val="3"/>
            <w:shd w:val="clear" w:color="auto" w:fill="CCEEFF"/>
            <w:tcMar>
              <w:top w:w="30" w:type="dxa"/>
              <w:left w:w="20" w:type="dxa"/>
              <w:bottom w:w="30" w:type="dxa"/>
              <w:right w:w="20" w:type="dxa"/>
            </w:tcMar>
            <w:vAlign w:val="bottom"/>
            <w:hideMark/>
          </w:tcPr>
          <w:p w14:paraId="41D632C9" w14:textId="77777777" w:rsidR="00000000" w:rsidRDefault="00A173A8">
            <w:pPr>
              <w:spacing w:after="100"/>
              <w:rPr>
                <w:rFonts w:eastAsia="Times New Roman"/>
              </w:rPr>
            </w:pPr>
            <w:r>
              <w:rPr>
                <w:rFonts w:eastAsia="Times New Roman"/>
                <w:color w:val="000000"/>
                <w:sz w:val="20"/>
                <w:szCs w:val="20"/>
              </w:rPr>
              <w:t>Total other non-interest income</w:t>
            </w:r>
          </w:p>
        </w:tc>
        <w:tc>
          <w:tcPr>
            <w:tcW w:w="0" w:type="auto"/>
            <w:gridSpan w:val="3"/>
            <w:shd w:val="clear" w:color="auto" w:fill="CCEEFF"/>
            <w:tcMar>
              <w:top w:w="0" w:type="dxa"/>
              <w:left w:w="20" w:type="dxa"/>
              <w:bottom w:w="0" w:type="dxa"/>
              <w:right w:w="20" w:type="dxa"/>
            </w:tcMar>
            <w:vAlign w:val="center"/>
            <w:hideMark/>
          </w:tcPr>
          <w:p w14:paraId="51672269"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C9FE45E" w14:textId="77777777" w:rsidR="00000000" w:rsidRDefault="00A173A8">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08DC4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6E8C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4C1BF6" w14:textId="77777777" w:rsidR="00000000" w:rsidRDefault="00A173A8">
            <w:pPr>
              <w:spacing w:after="100"/>
              <w:jc w:val="right"/>
              <w:rPr>
                <w:rFonts w:eastAsia="Times New Roman"/>
              </w:rPr>
            </w:pPr>
            <w:r>
              <w:rPr>
                <w:rFonts w:eastAsia="Times New Roman"/>
                <w:color w:val="000000"/>
                <w:sz w:val="20"/>
                <w:szCs w:val="20"/>
              </w:rPr>
              <w:t>231 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D9A3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59BEB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F78B11" w14:textId="77777777" w:rsidR="00000000" w:rsidRDefault="00A173A8">
            <w:pPr>
              <w:spacing w:after="100"/>
              <w:jc w:val="right"/>
              <w:rPr>
                <w:rFonts w:eastAsia="Times New Roman"/>
              </w:rPr>
            </w:pPr>
            <w:r>
              <w:rPr>
                <w:rFonts w:eastAsia="Times New Roman"/>
                <w:b/>
                <w:bCs/>
                <w:color w:val="2C2C2C"/>
                <w:sz w:val="20"/>
                <w:szCs w:val="20"/>
              </w:rPr>
              <w:t>442</w:t>
            </w:r>
            <w:r>
              <w:rPr>
                <w:rFonts w:eastAsia="Times New Roman"/>
                <w:color w:val="2C2C2C"/>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9ED16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D37E0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95F1A8" w14:textId="77777777" w:rsidR="00000000" w:rsidRDefault="00A173A8">
            <w:pPr>
              <w:spacing w:after="100"/>
              <w:jc w:val="right"/>
              <w:rPr>
                <w:rFonts w:eastAsia="Times New Roman"/>
              </w:rPr>
            </w:pPr>
            <w:r>
              <w:rPr>
                <w:rFonts w:eastAsia="Times New Roman"/>
                <w:color w:val="2C2C2C"/>
                <w:sz w:val="20"/>
                <w:szCs w:val="20"/>
              </w:rPr>
              <w:t>353 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64BFA1" w14:textId="77777777" w:rsidR="00000000" w:rsidRDefault="00A173A8">
            <w:pPr>
              <w:spacing w:after="100"/>
              <w:jc w:val="right"/>
              <w:rPr>
                <w:rFonts w:eastAsia="Times New Roman"/>
              </w:rPr>
            </w:pPr>
          </w:p>
        </w:tc>
        <w:tc>
          <w:tcPr>
            <w:tcW w:w="0" w:type="auto"/>
            <w:vAlign w:val="center"/>
            <w:hideMark/>
          </w:tcPr>
          <w:p w14:paraId="2E18583C" w14:textId="77777777" w:rsidR="00000000" w:rsidRDefault="00A173A8">
            <w:pPr>
              <w:spacing w:after="100"/>
              <w:jc w:val="right"/>
              <w:rPr>
                <w:rFonts w:eastAsia="Times New Roman"/>
                <w:sz w:val="20"/>
                <w:szCs w:val="20"/>
              </w:rPr>
            </w:pPr>
          </w:p>
        </w:tc>
        <w:tc>
          <w:tcPr>
            <w:tcW w:w="0" w:type="auto"/>
            <w:vAlign w:val="center"/>
            <w:hideMark/>
          </w:tcPr>
          <w:p w14:paraId="76FDB9FB" w14:textId="77777777" w:rsidR="00000000" w:rsidRDefault="00A173A8">
            <w:pPr>
              <w:spacing w:after="100"/>
              <w:rPr>
                <w:rFonts w:eastAsia="Times New Roman"/>
                <w:sz w:val="20"/>
                <w:szCs w:val="20"/>
              </w:rPr>
            </w:pPr>
          </w:p>
        </w:tc>
        <w:tc>
          <w:tcPr>
            <w:tcW w:w="0" w:type="auto"/>
            <w:vAlign w:val="center"/>
            <w:hideMark/>
          </w:tcPr>
          <w:p w14:paraId="7ED4B742" w14:textId="77777777" w:rsidR="00000000" w:rsidRDefault="00A173A8">
            <w:pPr>
              <w:spacing w:after="100"/>
              <w:rPr>
                <w:rFonts w:eastAsia="Times New Roman"/>
                <w:sz w:val="20"/>
                <w:szCs w:val="20"/>
              </w:rPr>
            </w:pPr>
          </w:p>
        </w:tc>
      </w:tr>
      <w:tr w:rsidR="00000000" w14:paraId="3EBA5833" w14:textId="77777777">
        <w:trPr>
          <w:divId w:val="1185704555"/>
        </w:trPr>
        <w:tc>
          <w:tcPr>
            <w:tcW w:w="0" w:type="auto"/>
            <w:gridSpan w:val="3"/>
            <w:shd w:val="clear" w:color="auto" w:fill="FFFFFF"/>
            <w:tcMar>
              <w:top w:w="30" w:type="dxa"/>
              <w:left w:w="20" w:type="dxa"/>
              <w:bottom w:w="30" w:type="dxa"/>
              <w:right w:w="20" w:type="dxa"/>
            </w:tcMar>
            <w:vAlign w:val="bottom"/>
            <w:hideMark/>
          </w:tcPr>
          <w:p w14:paraId="018EF722" w14:textId="77777777" w:rsidR="00000000" w:rsidRDefault="00A173A8">
            <w:pPr>
              <w:spacing w:after="100"/>
              <w:rPr>
                <w:rFonts w:eastAsia="Times New Roman"/>
              </w:rPr>
            </w:pPr>
            <w:r>
              <w:rPr>
                <w:rFonts w:eastAsia="Times New Roman"/>
                <w:color w:val="000000"/>
                <w:sz w:val="20"/>
                <w:szCs w:val="20"/>
              </w:rPr>
              <w:t>Total non-interest income</w:t>
            </w:r>
          </w:p>
        </w:tc>
        <w:tc>
          <w:tcPr>
            <w:tcW w:w="0" w:type="auto"/>
            <w:gridSpan w:val="3"/>
            <w:shd w:val="clear" w:color="auto" w:fill="FFFFFF"/>
            <w:tcMar>
              <w:top w:w="0" w:type="dxa"/>
              <w:left w:w="20" w:type="dxa"/>
              <w:bottom w:w="0" w:type="dxa"/>
              <w:right w:w="20" w:type="dxa"/>
            </w:tcMar>
            <w:vAlign w:val="center"/>
            <w:hideMark/>
          </w:tcPr>
          <w:p w14:paraId="64AB8FE4"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4BC150B"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E80058F" w14:textId="77777777" w:rsidR="00000000" w:rsidRDefault="00A173A8">
            <w:pPr>
              <w:spacing w:after="100"/>
              <w:jc w:val="right"/>
              <w:rPr>
                <w:rFonts w:eastAsia="Times New Roman"/>
              </w:rPr>
            </w:pPr>
            <w:r>
              <w:rPr>
                <w:rFonts w:eastAsia="Times New Roman"/>
                <w:b/>
                <w:bCs/>
                <w:color w:val="000000"/>
                <w:sz w:val="20"/>
                <w:szCs w:val="20"/>
              </w:rPr>
              <w:t>1,715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06232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7C2B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35060D"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D35DCF7" w14:textId="77777777" w:rsidR="00000000" w:rsidRDefault="00A173A8">
            <w:pPr>
              <w:spacing w:after="100"/>
              <w:jc w:val="right"/>
              <w:rPr>
                <w:rFonts w:eastAsia="Times New Roman"/>
              </w:rPr>
            </w:pPr>
            <w:r>
              <w:rPr>
                <w:rFonts w:eastAsia="Times New Roman"/>
                <w:color w:val="000000"/>
                <w:sz w:val="20"/>
                <w:szCs w:val="20"/>
              </w:rPr>
              <w:t>1,631 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66AE21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6FAD9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0629C7E"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21A818A" w14:textId="77777777" w:rsidR="00000000" w:rsidRDefault="00A173A8">
            <w:pPr>
              <w:spacing w:after="100"/>
              <w:jc w:val="right"/>
              <w:rPr>
                <w:rFonts w:eastAsia="Times New Roman"/>
              </w:rPr>
            </w:pPr>
            <w:r>
              <w:rPr>
                <w:rFonts w:eastAsia="Times New Roman"/>
                <w:b/>
                <w:bCs/>
                <w:color w:val="000000"/>
                <w:sz w:val="20"/>
                <w:szCs w:val="20"/>
              </w:rPr>
              <w:t>3,491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DE856F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CEE5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92F4FD2"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716268C" w14:textId="77777777" w:rsidR="00000000" w:rsidRDefault="00A173A8">
            <w:pPr>
              <w:spacing w:after="100"/>
              <w:jc w:val="right"/>
              <w:rPr>
                <w:rFonts w:eastAsia="Times New Roman"/>
              </w:rPr>
            </w:pPr>
            <w:r>
              <w:rPr>
                <w:rFonts w:eastAsia="Times New Roman"/>
                <w:color w:val="000000"/>
                <w:sz w:val="20"/>
                <w:szCs w:val="20"/>
              </w:rPr>
              <w:t>2,922 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7D19B0F" w14:textId="77777777" w:rsidR="00000000" w:rsidRDefault="00A173A8">
            <w:pPr>
              <w:spacing w:after="100"/>
              <w:jc w:val="right"/>
              <w:rPr>
                <w:rFonts w:eastAsia="Times New Roman"/>
              </w:rPr>
            </w:pPr>
          </w:p>
        </w:tc>
        <w:tc>
          <w:tcPr>
            <w:tcW w:w="0" w:type="auto"/>
            <w:vAlign w:val="center"/>
            <w:hideMark/>
          </w:tcPr>
          <w:p w14:paraId="5F364BE4" w14:textId="77777777" w:rsidR="00000000" w:rsidRDefault="00A173A8">
            <w:pPr>
              <w:spacing w:after="100"/>
              <w:jc w:val="right"/>
              <w:rPr>
                <w:rFonts w:eastAsia="Times New Roman"/>
                <w:sz w:val="20"/>
                <w:szCs w:val="20"/>
              </w:rPr>
            </w:pPr>
          </w:p>
        </w:tc>
        <w:tc>
          <w:tcPr>
            <w:tcW w:w="0" w:type="auto"/>
            <w:vAlign w:val="center"/>
            <w:hideMark/>
          </w:tcPr>
          <w:p w14:paraId="410A4192" w14:textId="77777777" w:rsidR="00000000" w:rsidRDefault="00A173A8">
            <w:pPr>
              <w:spacing w:after="100"/>
              <w:rPr>
                <w:rFonts w:eastAsia="Times New Roman"/>
                <w:sz w:val="20"/>
                <w:szCs w:val="20"/>
              </w:rPr>
            </w:pPr>
          </w:p>
        </w:tc>
        <w:tc>
          <w:tcPr>
            <w:tcW w:w="0" w:type="auto"/>
            <w:vAlign w:val="center"/>
            <w:hideMark/>
          </w:tcPr>
          <w:p w14:paraId="41824C6A" w14:textId="77777777" w:rsidR="00000000" w:rsidRDefault="00A173A8">
            <w:pPr>
              <w:spacing w:after="100"/>
              <w:rPr>
                <w:rFonts w:eastAsia="Times New Roman"/>
                <w:sz w:val="20"/>
                <w:szCs w:val="20"/>
              </w:rPr>
            </w:pPr>
          </w:p>
        </w:tc>
      </w:tr>
    </w:tbl>
    <w:p w14:paraId="0DD66044" w14:textId="77777777" w:rsidR="00000000" w:rsidRDefault="00A173A8">
      <w:pPr>
        <w:divId w:val="1185704555"/>
        <w:rPr>
          <w:rFonts w:eastAsia="Times New Roman"/>
        </w:rPr>
      </w:pPr>
      <w:r>
        <w:rPr>
          <w:rFonts w:eastAsia="Times New Roman"/>
          <w:color w:val="000000"/>
          <w:sz w:val="20"/>
          <w:szCs w:val="20"/>
        </w:rPr>
        <w:t>________</w:t>
      </w:r>
    </w:p>
    <w:p w14:paraId="7437CBF8" w14:textId="77777777" w:rsidR="00000000" w:rsidRDefault="00A173A8">
      <w:pPr>
        <w:ind w:hanging="360"/>
        <w:jc w:val="both"/>
        <w:divId w:val="610430289"/>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Includes losses of $62 million and $87 million on deferred compensation plan investments in the second quarter and first six mont</w:t>
      </w:r>
      <w:r>
        <w:rPr>
          <w:rFonts w:eastAsia="Times New Roman"/>
          <w:color w:val="000000"/>
          <w:sz w:val="16"/>
          <w:szCs w:val="16"/>
        </w:rPr>
        <w:t>hs of 2022, respectively, and gains of $26 million and $45 million on deferred compensation plan investments in the second quarter and first six months of 2021, respectively. These amounts have corresponding offsets in non-interest expense.</w:t>
      </w:r>
    </w:p>
    <w:p w14:paraId="1B98DCEF" w14:textId="77777777" w:rsidR="00000000" w:rsidRDefault="00A173A8">
      <w:pPr>
        <w:jc w:val="both"/>
        <w:divId w:val="1866744195"/>
        <w:rPr>
          <w:rFonts w:eastAsia="Times New Roman"/>
        </w:rPr>
      </w:pPr>
      <w:r>
        <w:rPr>
          <w:rFonts w:eastAsia="Times New Roman"/>
          <w:color w:val="000000"/>
          <w:sz w:val="20"/>
          <w:szCs w:val="20"/>
        </w:rPr>
        <w:t>Non-interest in</w:t>
      </w:r>
      <w:r>
        <w:rPr>
          <w:rFonts w:eastAsia="Times New Roman"/>
          <w:color w:val="000000"/>
          <w:sz w:val="20"/>
          <w:szCs w:val="20"/>
        </w:rPr>
        <w:t>come increased by $84 million to $1.7 billion in the second quarter of 2022 compared to the second quarter of 2021 and increased by $569 million to $3.5 billion in the first six months of 2022 compared to the first six months of 2021 primarily driven by hi</w:t>
      </w:r>
      <w:r>
        <w:rPr>
          <w:rFonts w:eastAsia="Times New Roman"/>
          <w:color w:val="000000"/>
          <w:sz w:val="20"/>
          <w:szCs w:val="20"/>
        </w:rPr>
        <w:t>gher net interchange fees due to an increase in purchase volume in our Credit Card business.</w:t>
      </w:r>
    </w:p>
    <w:p w14:paraId="52608FC5" w14:textId="77777777" w:rsidR="00000000" w:rsidRDefault="00A173A8">
      <w:pPr>
        <w:jc w:val="both"/>
        <w:divId w:val="1576354278"/>
        <w:rPr>
          <w:rFonts w:eastAsia="Times New Roman"/>
        </w:rPr>
      </w:pPr>
    </w:p>
    <w:p w14:paraId="5D785553" w14:textId="77777777" w:rsidR="00000000" w:rsidRDefault="00A173A8">
      <w:pPr>
        <w:divId w:val="567302434"/>
        <w:rPr>
          <w:rFonts w:eastAsia="Times New Roman"/>
        </w:rPr>
      </w:pPr>
      <w:r>
        <w:rPr>
          <w:rFonts w:eastAsia="Times New Roman"/>
          <w:b/>
          <w:bCs/>
          <w:color w:val="000000"/>
          <w:sz w:val="20"/>
          <w:szCs w:val="20"/>
          <w:shd w:val="clear" w:color="auto" w:fill="FFFFFF"/>
        </w:rPr>
        <w:t>Provision for Credit Losses</w:t>
      </w:r>
    </w:p>
    <w:p w14:paraId="6C6E4C68" w14:textId="77777777" w:rsidR="00000000" w:rsidRDefault="00A173A8">
      <w:pPr>
        <w:jc w:val="both"/>
        <w:divId w:val="66388769"/>
        <w:rPr>
          <w:rFonts w:eastAsia="Times New Roman"/>
        </w:rPr>
      </w:pPr>
      <w:r>
        <w:rPr>
          <w:rFonts w:eastAsia="Times New Roman"/>
          <w:color w:val="000000"/>
          <w:sz w:val="20"/>
          <w:szCs w:val="20"/>
        </w:rPr>
        <w:t>Our provision for credit losses in each period is driven by net charge-offs, changes to the allowance for credit losses and changes t</w:t>
      </w:r>
      <w:r>
        <w:rPr>
          <w:rFonts w:eastAsia="Times New Roman"/>
          <w:color w:val="000000"/>
          <w:sz w:val="20"/>
          <w:szCs w:val="20"/>
        </w:rPr>
        <w:t>o the reserve for unfunded lending commitments. Our provision for credit losses increased by $2.2 billion to $1.1 billion in the second quarter of 2022 and increased by $3.7 billion to $1.8 billion in the first six months of 2022 primarily driven by allowa</w:t>
      </w:r>
      <w:r>
        <w:rPr>
          <w:rFonts w:eastAsia="Times New Roman"/>
          <w:color w:val="000000"/>
          <w:sz w:val="20"/>
          <w:szCs w:val="20"/>
        </w:rPr>
        <w:t>nce builds in our Consumer and Commercial businesses due to loan growth and continued economic uncertainty, compared to allowance releases across all of our segments in the first half of 2021.</w:t>
      </w:r>
    </w:p>
    <w:p w14:paraId="5E762A44" w14:textId="77777777" w:rsidR="00000000" w:rsidRDefault="00A173A8">
      <w:pPr>
        <w:jc w:val="both"/>
        <w:divId w:val="39937855"/>
        <w:rPr>
          <w:rFonts w:eastAsia="Times New Roman"/>
        </w:rPr>
      </w:pPr>
      <w:r>
        <w:rPr>
          <w:rFonts w:eastAsia="Times New Roman"/>
          <w:color w:val="000000"/>
          <w:sz w:val="20"/>
          <w:szCs w:val="20"/>
          <w:shd w:val="clear" w:color="auto" w:fill="FFFFFF"/>
        </w:rPr>
        <w:t>We provide additional information on the provision for credit l</w:t>
      </w:r>
      <w:r>
        <w:rPr>
          <w:rFonts w:eastAsia="Times New Roman"/>
          <w:color w:val="000000"/>
          <w:sz w:val="20"/>
          <w:szCs w:val="20"/>
          <w:shd w:val="clear" w:color="auto" w:fill="FFFFFF"/>
        </w:rPr>
        <w:t xml:space="preserve">osses and changes in the allowance for credit losses within “MD&amp;A—Credit Risk Profile” and “Note 4—Allowance for Credit Losses and Reserve for Unfunded Lending Commitments.” For information on the allowance methodology for each of our loan categories, see </w:t>
      </w:r>
      <w:r>
        <w:rPr>
          <w:rFonts w:eastAsia="Times New Roman"/>
          <w:color w:val="000000"/>
          <w:sz w:val="20"/>
          <w:szCs w:val="20"/>
          <w:shd w:val="clear" w:color="auto" w:fill="FFFFFF"/>
        </w:rPr>
        <w:t>“Note 1—Summary of Significant Accounting Policies”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54760C7" w14:textId="77777777">
        <w:trPr>
          <w:divId w:val="987709992"/>
          <w:jc w:val="center"/>
        </w:trPr>
        <w:tc>
          <w:tcPr>
            <w:tcW w:w="50" w:type="pct"/>
            <w:vAlign w:val="center"/>
            <w:hideMark/>
          </w:tcPr>
          <w:p w14:paraId="76404F89" w14:textId="77777777" w:rsidR="00000000" w:rsidRDefault="00A173A8">
            <w:pPr>
              <w:jc w:val="both"/>
              <w:rPr>
                <w:rFonts w:eastAsia="Times New Roman"/>
              </w:rPr>
            </w:pPr>
          </w:p>
        </w:tc>
        <w:tc>
          <w:tcPr>
            <w:tcW w:w="1606" w:type="pct"/>
            <w:vAlign w:val="center"/>
            <w:hideMark/>
          </w:tcPr>
          <w:p w14:paraId="1C383CFF" w14:textId="77777777" w:rsidR="00000000" w:rsidRDefault="00A173A8">
            <w:pPr>
              <w:spacing w:after="100"/>
              <w:rPr>
                <w:rFonts w:eastAsia="Times New Roman"/>
                <w:sz w:val="20"/>
                <w:szCs w:val="20"/>
              </w:rPr>
            </w:pPr>
          </w:p>
        </w:tc>
        <w:tc>
          <w:tcPr>
            <w:tcW w:w="5" w:type="pct"/>
            <w:vAlign w:val="center"/>
            <w:hideMark/>
          </w:tcPr>
          <w:p w14:paraId="3488D0CA" w14:textId="77777777" w:rsidR="00000000" w:rsidRDefault="00A173A8">
            <w:pPr>
              <w:spacing w:after="100"/>
              <w:rPr>
                <w:rFonts w:eastAsia="Times New Roman"/>
                <w:sz w:val="20"/>
                <w:szCs w:val="20"/>
              </w:rPr>
            </w:pPr>
          </w:p>
        </w:tc>
        <w:tc>
          <w:tcPr>
            <w:tcW w:w="50" w:type="pct"/>
            <w:vAlign w:val="center"/>
            <w:hideMark/>
          </w:tcPr>
          <w:p w14:paraId="7FBE9A2A" w14:textId="77777777" w:rsidR="00000000" w:rsidRDefault="00A173A8">
            <w:pPr>
              <w:spacing w:after="100"/>
              <w:rPr>
                <w:rFonts w:eastAsia="Times New Roman"/>
                <w:sz w:val="20"/>
                <w:szCs w:val="20"/>
              </w:rPr>
            </w:pPr>
          </w:p>
        </w:tc>
        <w:tc>
          <w:tcPr>
            <w:tcW w:w="1614" w:type="pct"/>
            <w:vAlign w:val="center"/>
            <w:hideMark/>
          </w:tcPr>
          <w:p w14:paraId="4E2D33B8" w14:textId="77777777" w:rsidR="00000000" w:rsidRDefault="00A173A8">
            <w:pPr>
              <w:spacing w:after="100"/>
              <w:rPr>
                <w:rFonts w:eastAsia="Times New Roman"/>
                <w:sz w:val="20"/>
                <w:szCs w:val="20"/>
              </w:rPr>
            </w:pPr>
          </w:p>
        </w:tc>
        <w:tc>
          <w:tcPr>
            <w:tcW w:w="5" w:type="pct"/>
            <w:vAlign w:val="center"/>
            <w:hideMark/>
          </w:tcPr>
          <w:p w14:paraId="3725FA6D" w14:textId="77777777" w:rsidR="00000000" w:rsidRDefault="00A173A8">
            <w:pPr>
              <w:spacing w:after="100"/>
              <w:rPr>
                <w:rFonts w:eastAsia="Times New Roman"/>
                <w:sz w:val="20"/>
                <w:szCs w:val="20"/>
              </w:rPr>
            </w:pPr>
          </w:p>
        </w:tc>
        <w:tc>
          <w:tcPr>
            <w:tcW w:w="50" w:type="pct"/>
            <w:vAlign w:val="center"/>
            <w:hideMark/>
          </w:tcPr>
          <w:p w14:paraId="4705069B" w14:textId="77777777" w:rsidR="00000000" w:rsidRDefault="00A173A8">
            <w:pPr>
              <w:spacing w:after="100"/>
              <w:rPr>
                <w:rFonts w:eastAsia="Times New Roman"/>
                <w:sz w:val="20"/>
                <w:szCs w:val="20"/>
              </w:rPr>
            </w:pPr>
          </w:p>
        </w:tc>
        <w:tc>
          <w:tcPr>
            <w:tcW w:w="1614" w:type="pct"/>
            <w:vAlign w:val="center"/>
            <w:hideMark/>
          </w:tcPr>
          <w:p w14:paraId="26DB4E70" w14:textId="77777777" w:rsidR="00000000" w:rsidRDefault="00A173A8">
            <w:pPr>
              <w:spacing w:after="100"/>
              <w:rPr>
                <w:rFonts w:eastAsia="Times New Roman"/>
                <w:sz w:val="20"/>
                <w:szCs w:val="20"/>
              </w:rPr>
            </w:pPr>
          </w:p>
        </w:tc>
        <w:tc>
          <w:tcPr>
            <w:tcW w:w="5" w:type="pct"/>
            <w:vAlign w:val="center"/>
            <w:hideMark/>
          </w:tcPr>
          <w:p w14:paraId="465CE844" w14:textId="77777777" w:rsidR="00000000" w:rsidRDefault="00A173A8">
            <w:pPr>
              <w:spacing w:after="100"/>
              <w:rPr>
                <w:rFonts w:eastAsia="Times New Roman"/>
                <w:sz w:val="20"/>
                <w:szCs w:val="20"/>
              </w:rPr>
            </w:pPr>
          </w:p>
        </w:tc>
      </w:tr>
      <w:tr w:rsidR="00000000" w14:paraId="37BC923D" w14:textId="77777777">
        <w:trPr>
          <w:divId w:val="987709992"/>
          <w:trHeight w:val="300"/>
          <w:jc w:val="center"/>
        </w:trPr>
        <w:tc>
          <w:tcPr>
            <w:tcW w:w="0" w:type="auto"/>
            <w:gridSpan w:val="9"/>
            <w:tcMar>
              <w:top w:w="0" w:type="dxa"/>
              <w:left w:w="20" w:type="dxa"/>
              <w:bottom w:w="0" w:type="dxa"/>
              <w:right w:w="20" w:type="dxa"/>
            </w:tcMar>
            <w:vAlign w:val="center"/>
            <w:hideMark/>
          </w:tcPr>
          <w:p w14:paraId="4E589798" w14:textId="77777777" w:rsidR="00000000" w:rsidRDefault="00A173A8">
            <w:pPr>
              <w:spacing w:after="100"/>
              <w:rPr>
                <w:rFonts w:eastAsia="Times New Roman"/>
                <w:sz w:val="20"/>
                <w:szCs w:val="20"/>
              </w:rPr>
            </w:pPr>
          </w:p>
        </w:tc>
      </w:tr>
      <w:tr w:rsidR="00000000" w14:paraId="1278A52B" w14:textId="77777777">
        <w:trPr>
          <w:divId w:val="987709992"/>
          <w:jc w:val="center"/>
        </w:trPr>
        <w:tc>
          <w:tcPr>
            <w:tcW w:w="0" w:type="auto"/>
            <w:gridSpan w:val="3"/>
            <w:tcMar>
              <w:top w:w="0" w:type="dxa"/>
              <w:left w:w="20" w:type="dxa"/>
              <w:bottom w:w="0" w:type="dxa"/>
              <w:right w:w="20" w:type="dxa"/>
            </w:tcMar>
            <w:vAlign w:val="center"/>
            <w:hideMark/>
          </w:tcPr>
          <w:p w14:paraId="5842F6D7"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C04774A" w14:textId="77777777" w:rsidR="00000000" w:rsidRDefault="00A173A8">
            <w:pPr>
              <w:spacing w:after="100"/>
              <w:jc w:val="center"/>
              <w:rPr>
                <w:rFonts w:eastAsia="Times New Roman"/>
              </w:rPr>
            </w:pPr>
            <w:r>
              <w:rPr>
                <w:rFonts w:eastAsia="Times New Roman"/>
                <w:color w:val="000000"/>
                <w:sz w:val="16"/>
                <w:szCs w:val="16"/>
              </w:rPr>
              <w:t>14</w:t>
            </w:r>
          </w:p>
        </w:tc>
        <w:tc>
          <w:tcPr>
            <w:tcW w:w="0" w:type="auto"/>
            <w:gridSpan w:val="3"/>
            <w:tcMar>
              <w:top w:w="30" w:type="dxa"/>
              <w:left w:w="20" w:type="dxa"/>
              <w:bottom w:w="30" w:type="dxa"/>
              <w:right w:w="20" w:type="dxa"/>
            </w:tcMar>
            <w:vAlign w:val="bottom"/>
            <w:hideMark/>
          </w:tcPr>
          <w:p w14:paraId="72611BE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9652F46" w14:textId="77777777" w:rsidR="00000000" w:rsidRDefault="00A173A8">
      <w:pPr>
        <w:rPr>
          <w:rFonts w:eastAsia="Times New Roman"/>
        </w:rPr>
      </w:pPr>
      <w:r>
        <w:rPr>
          <w:rFonts w:eastAsia="Times New Roman"/>
        </w:rPr>
        <w:pict w14:anchorId="6329C8BA">
          <v:rect id="_x0000_i1039" style="width:0;height:1.5pt" o:hralign="center" o:hrstd="t" o:hr="t" fillcolor="#a0a0a0" stroked="f"/>
        </w:pict>
      </w:r>
    </w:p>
    <w:p w14:paraId="79D3634C" w14:textId="77777777" w:rsidR="00000000" w:rsidRDefault="00A173A8">
      <w:pPr>
        <w:ind w:hanging="360"/>
        <w:jc w:val="both"/>
        <w:divId w:val="2011565517"/>
        <w:rPr>
          <w:rFonts w:eastAsia="Times New Roman"/>
        </w:rPr>
      </w:pPr>
      <w:hyperlink w:anchor="i7ffd5d61af6f4722b1b1b07530d51c06_13" w:history="1">
        <w:r>
          <w:rPr>
            <w:rStyle w:val="a3"/>
            <w:rFonts w:eastAsia="Times New Roman"/>
            <w:sz w:val="16"/>
            <w:szCs w:val="16"/>
          </w:rPr>
          <w:t>Table of Contents</w:t>
        </w:r>
      </w:hyperlink>
    </w:p>
    <w:p w14:paraId="3D9556C4" w14:textId="77777777" w:rsidR="00000000" w:rsidRDefault="00A173A8">
      <w:pPr>
        <w:divId w:val="472599405"/>
        <w:rPr>
          <w:rFonts w:eastAsia="Times New Roman"/>
        </w:rPr>
      </w:pPr>
      <w:r>
        <w:rPr>
          <w:rFonts w:eastAsia="Times New Roman"/>
          <w:b/>
          <w:bCs/>
          <w:color w:val="000000"/>
          <w:sz w:val="20"/>
          <w:szCs w:val="20"/>
        </w:rPr>
        <w:t>Non-Interest Expense</w:t>
      </w:r>
    </w:p>
    <w:p w14:paraId="252E764B" w14:textId="77777777" w:rsidR="00000000" w:rsidRDefault="00A173A8">
      <w:pPr>
        <w:ind w:hanging="360"/>
        <w:jc w:val="both"/>
        <w:divId w:val="831260005"/>
        <w:rPr>
          <w:rFonts w:eastAsia="Times New Roman"/>
        </w:rPr>
      </w:pPr>
      <w:r>
        <w:rPr>
          <w:rFonts w:eastAsia="Times New Roman"/>
          <w:color w:val="000000"/>
          <w:sz w:val="20"/>
          <w:szCs w:val="20"/>
        </w:rPr>
        <w:t xml:space="preserve">Table 5 displays the components of non-interest expense for the second quarter and first six months of 2022 and 2021. </w:t>
      </w:r>
    </w:p>
    <w:p w14:paraId="027CF3F7" w14:textId="77777777" w:rsidR="00000000" w:rsidRDefault="00A173A8">
      <w:pPr>
        <w:divId w:val="1897740677"/>
        <w:rPr>
          <w:rFonts w:eastAsia="Times New Roman"/>
        </w:rPr>
      </w:pPr>
      <w:r>
        <w:rPr>
          <w:rFonts w:eastAsia="Times New Roman"/>
          <w:b/>
          <w:bCs/>
          <w:color w:val="000000"/>
          <w:sz w:val="18"/>
          <w:szCs w:val="18"/>
        </w:rPr>
        <w:t>Tab</w:t>
      </w:r>
      <w:r>
        <w:rPr>
          <w:rFonts w:eastAsia="Times New Roman"/>
          <w:b/>
          <w:bCs/>
          <w:color w:val="000000"/>
          <w:sz w:val="18"/>
          <w:szCs w:val="18"/>
        </w:rPr>
        <w:t>le 5: Non-Interest Expense</w:t>
      </w:r>
    </w:p>
    <w:tbl>
      <w:tblPr>
        <w:tblW w:w="5000" w:type="pct"/>
        <w:tblCellMar>
          <w:top w:w="15" w:type="dxa"/>
          <w:left w:w="15" w:type="dxa"/>
          <w:bottom w:w="15" w:type="dxa"/>
          <w:right w:w="15" w:type="dxa"/>
        </w:tblCellMar>
        <w:tblLook w:val="04A0" w:firstRow="1" w:lastRow="0" w:firstColumn="1" w:lastColumn="0" w:noHBand="0" w:noVBand="1"/>
      </w:tblPr>
      <w:tblGrid>
        <w:gridCol w:w="41"/>
        <w:gridCol w:w="3795"/>
        <w:gridCol w:w="40"/>
        <w:gridCol w:w="36"/>
        <w:gridCol w:w="36"/>
        <w:gridCol w:w="36"/>
        <w:gridCol w:w="120"/>
        <w:gridCol w:w="812"/>
        <w:gridCol w:w="36"/>
        <w:gridCol w:w="36"/>
        <w:gridCol w:w="36"/>
        <w:gridCol w:w="36"/>
        <w:gridCol w:w="120"/>
        <w:gridCol w:w="813"/>
        <w:gridCol w:w="36"/>
        <w:gridCol w:w="36"/>
        <w:gridCol w:w="36"/>
        <w:gridCol w:w="36"/>
        <w:gridCol w:w="120"/>
        <w:gridCol w:w="864"/>
        <w:gridCol w:w="36"/>
        <w:gridCol w:w="36"/>
        <w:gridCol w:w="36"/>
        <w:gridCol w:w="36"/>
        <w:gridCol w:w="120"/>
        <w:gridCol w:w="813"/>
        <w:gridCol w:w="36"/>
        <w:gridCol w:w="36"/>
        <w:gridCol w:w="36"/>
      </w:tblGrid>
      <w:tr w:rsidR="00000000" w14:paraId="42312718" w14:textId="77777777">
        <w:trPr>
          <w:divId w:val="1512378366"/>
        </w:trPr>
        <w:tc>
          <w:tcPr>
            <w:tcW w:w="50" w:type="pct"/>
            <w:vAlign w:val="center"/>
            <w:hideMark/>
          </w:tcPr>
          <w:p w14:paraId="0EA8009B" w14:textId="77777777" w:rsidR="00000000" w:rsidRDefault="00A173A8">
            <w:pPr>
              <w:rPr>
                <w:rFonts w:eastAsia="Times New Roman"/>
              </w:rPr>
            </w:pPr>
          </w:p>
        </w:tc>
        <w:tc>
          <w:tcPr>
            <w:tcW w:w="2349" w:type="pct"/>
            <w:vAlign w:val="center"/>
            <w:hideMark/>
          </w:tcPr>
          <w:p w14:paraId="5E2C04CA" w14:textId="77777777" w:rsidR="00000000" w:rsidRDefault="00A173A8">
            <w:pPr>
              <w:spacing w:after="100"/>
              <w:rPr>
                <w:rFonts w:eastAsia="Times New Roman"/>
                <w:sz w:val="20"/>
                <w:szCs w:val="20"/>
              </w:rPr>
            </w:pPr>
          </w:p>
        </w:tc>
        <w:tc>
          <w:tcPr>
            <w:tcW w:w="5" w:type="pct"/>
            <w:vAlign w:val="center"/>
            <w:hideMark/>
          </w:tcPr>
          <w:p w14:paraId="59C098FD" w14:textId="77777777" w:rsidR="00000000" w:rsidRDefault="00A173A8">
            <w:pPr>
              <w:spacing w:after="100"/>
              <w:rPr>
                <w:rFonts w:eastAsia="Times New Roman"/>
                <w:sz w:val="20"/>
                <w:szCs w:val="20"/>
              </w:rPr>
            </w:pPr>
          </w:p>
        </w:tc>
        <w:tc>
          <w:tcPr>
            <w:tcW w:w="5" w:type="pct"/>
            <w:vAlign w:val="center"/>
            <w:hideMark/>
          </w:tcPr>
          <w:p w14:paraId="4CBA196C" w14:textId="77777777" w:rsidR="00000000" w:rsidRDefault="00A173A8">
            <w:pPr>
              <w:spacing w:after="100"/>
              <w:rPr>
                <w:rFonts w:eastAsia="Times New Roman"/>
                <w:sz w:val="20"/>
                <w:szCs w:val="20"/>
              </w:rPr>
            </w:pPr>
          </w:p>
        </w:tc>
        <w:tc>
          <w:tcPr>
            <w:tcW w:w="26" w:type="pct"/>
            <w:vAlign w:val="center"/>
            <w:hideMark/>
          </w:tcPr>
          <w:p w14:paraId="1A6E1336" w14:textId="77777777" w:rsidR="00000000" w:rsidRDefault="00A173A8">
            <w:pPr>
              <w:spacing w:after="100"/>
              <w:rPr>
                <w:rFonts w:eastAsia="Times New Roman"/>
                <w:sz w:val="20"/>
                <w:szCs w:val="20"/>
              </w:rPr>
            </w:pPr>
          </w:p>
        </w:tc>
        <w:tc>
          <w:tcPr>
            <w:tcW w:w="5" w:type="pct"/>
            <w:vAlign w:val="center"/>
            <w:hideMark/>
          </w:tcPr>
          <w:p w14:paraId="0BE3C354" w14:textId="77777777" w:rsidR="00000000" w:rsidRDefault="00A173A8">
            <w:pPr>
              <w:spacing w:after="100"/>
              <w:rPr>
                <w:rFonts w:eastAsia="Times New Roman"/>
                <w:sz w:val="20"/>
                <w:szCs w:val="20"/>
              </w:rPr>
            </w:pPr>
          </w:p>
        </w:tc>
        <w:tc>
          <w:tcPr>
            <w:tcW w:w="50" w:type="pct"/>
            <w:vAlign w:val="center"/>
            <w:hideMark/>
          </w:tcPr>
          <w:p w14:paraId="3BC936A5" w14:textId="77777777" w:rsidR="00000000" w:rsidRDefault="00A173A8">
            <w:pPr>
              <w:spacing w:after="100"/>
              <w:rPr>
                <w:rFonts w:eastAsia="Times New Roman"/>
                <w:sz w:val="20"/>
                <w:szCs w:val="20"/>
              </w:rPr>
            </w:pPr>
          </w:p>
        </w:tc>
        <w:tc>
          <w:tcPr>
            <w:tcW w:w="559" w:type="pct"/>
            <w:vAlign w:val="center"/>
            <w:hideMark/>
          </w:tcPr>
          <w:p w14:paraId="31423C92" w14:textId="77777777" w:rsidR="00000000" w:rsidRDefault="00A173A8">
            <w:pPr>
              <w:spacing w:after="100"/>
              <w:rPr>
                <w:rFonts w:eastAsia="Times New Roman"/>
                <w:sz w:val="20"/>
                <w:szCs w:val="20"/>
              </w:rPr>
            </w:pPr>
          </w:p>
        </w:tc>
        <w:tc>
          <w:tcPr>
            <w:tcW w:w="5" w:type="pct"/>
            <w:vAlign w:val="center"/>
            <w:hideMark/>
          </w:tcPr>
          <w:p w14:paraId="551A84B4" w14:textId="77777777" w:rsidR="00000000" w:rsidRDefault="00A173A8">
            <w:pPr>
              <w:spacing w:after="100"/>
              <w:rPr>
                <w:rFonts w:eastAsia="Times New Roman"/>
                <w:sz w:val="20"/>
                <w:szCs w:val="20"/>
              </w:rPr>
            </w:pPr>
          </w:p>
        </w:tc>
        <w:tc>
          <w:tcPr>
            <w:tcW w:w="5" w:type="pct"/>
            <w:vAlign w:val="center"/>
            <w:hideMark/>
          </w:tcPr>
          <w:p w14:paraId="7561DB28" w14:textId="77777777" w:rsidR="00000000" w:rsidRDefault="00A173A8">
            <w:pPr>
              <w:spacing w:after="100"/>
              <w:rPr>
                <w:rFonts w:eastAsia="Times New Roman"/>
                <w:sz w:val="20"/>
                <w:szCs w:val="20"/>
              </w:rPr>
            </w:pPr>
          </w:p>
        </w:tc>
        <w:tc>
          <w:tcPr>
            <w:tcW w:w="26" w:type="pct"/>
            <w:vAlign w:val="center"/>
            <w:hideMark/>
          </w:tcPr>
          <w:p w14:paraId="462191B4" w14:textId="77777777" w:rsidR="00000000" w:rsidRDefault="00A173A8">
            <w:pPr>
              <w:spacing w:after="100"/>
              <w:rPr>
                <w:rFonts w:eastAsia="Times New Roman"/>
                <w:sz w:val="20"/>
                <w:szCs w:val="20"/>
              </w:rPr>
            </w:pPr>
          </w:p>
        </w:tc>
        <w:tc>
          <w:tcPr>
            <w:tcW w:w="5" w:type="pct"/>
            <w:vAlign w:val="center"/>
            <w:hideMark/>
          </w:tcPr>
          <w:p w14:paraId="10DF901E" w14:textId="77777777" w:rsidR="00000000" w:rsidRDefault="00A173A8">
            <w:pPr>
              <w:spacing w:after="100"/>
              <w:rPr>
                <w:rFonts w:eastAsia="Times New Roman"/>
                <w:sz w:val="20"/>
                <w:szCs w:val="20"/>
              </w:rPr>
            </w:pPr>
          </w:p>
        </w:tc>
        <w:tc>
          <w:tcPr>
            <w:tcW w:w="50" w:type="pct"/>
            <w:vAlign w:val="center"/>
            <w:hideMark/>
          </w:tcPr>
          <w:p w14:paraId="6BA88DB0" w14:textId="77777777" w:rsidR="00000000" w:rsidRDefault="00A173A8">
            <w:pPr>
              <w:spacing w:after="100"/>
              <w:rPr>
                <w:rFonts w:eastAsia="Times New Roman"/>
                <w:sz w:val="20"/>
                <w:szCs w:val="20"/>
              </w:rPr>
            </w:pPr>
          </w:p>
        </w:tc>
        <w:tc>
          <w:tcPr>
            <w:tcW w:w="559" w:type="pct"/>
            <w:vAlign w:val="center"/>
            <w:hideMark/>
          </w:tcPr>
          <w:p w14:paraId="3C507B05" w14:textId="77777777" w:rsidR="00000000" w:rsidRDefault="00A173A8">
            <w:pPr>
              <w:spacing w:after="100"/>
              <w:rPr>
                <w:rFonts w:eastAsia="Times New Roman"/>
                <w:sz w:val="20"/>
                <w:szCs w:val="20"/>
              </w:rPr>
            </w:pPr>
          </w:p>
        </w:tc>
        <w:tc>
          <w:tcPr>
            <w:tcW w:w="5" w:type="pct"/>
            <w:vAlign w:val="center"/>
            <w:hideMark/>
          </w:tcPr>
          <w:p w14:paraId="768C3FD0" w14:textId="77777777" w:rsidR="00000000" w:rsidRDefault="00A173A8">
            <w:pPr>
              <w:spacing w:after="100"/>
              <w:rPr>
                <w:rFonts w:eastAsia="Times New Roman"/>
                <w:sz w:val="20"/>
                <w:szCs w:val="20"/>
              </w:rPr>
            </w:pPr>
          </w:p>
        </w:tc>
        <w:tc>
          <w:tcPr>
            <w:tcW w:w="5" w:type="pct"/>
            <w:vAlign w:val="center"/>
            <w:hideMark/>
          </w:tcPr>
          <w:p w14:paraId="7D78F5F6" w14:textId="77777777" w:rsidR="00000000" w:rsidRDefault="00A173A8">
            <w:pPr>
              <w:spacing w:after="100"/>
              <w:rPr>
                <w:rFonts w:eastAsia="Times New Roman"/>
                <w:sz w:val="20"/>
                <w:szCs w:val="20"/>
              </w:rPr>
            </w:pPr>
          </w:p>
        </w:tc>
        <w:tc>
          <w:tcPr>
            <w:tcW w:w="19" w:type="pct"/>
            <w:vAlign w:val="center"/>
            <w:hideMark/>
          </w:tcPr>
          <w:p w14:paraId="2480D1AF" w14:textId="77777777" w:rsidR="00000000" w:rsidRDefault="00A173A8">
            <w:pPr>
              <w:spacing w:after="100"/>
              <w:rPr>
                <w:rFonts w:eastAsia="Times New Roman"/>
                <w:sz w:val="20"/>
                <w:szCs w:val="20"/>
              </w:rPr>
            </w:pPr>
          </w:p>
        </w:tc>
        <w:tc>
          <w:tcPr>
            <w:tcW w:w="5" w:type="pct"/>
            <w:vAlign w:val="center"/>
            <w:hideMark/>
          </w:tcPr>
          <w:p w14:paraId="7CF8EF07" w14:textId="77777777" w:rsidR="00000000" w:rsidRDefault="00A173A8">
            <w:pPr>
              <w:spacing w:after="100"/>
              <w:rPr>
                <w:rFonts w:eastAsia="Times New Roman"/>
                <w:sz w:val="20"/>
                <w:szCs w:val="20"/>
              </w:rPr>
            </w:pPr>
          </w:p>
        </w:tc>
        <w:tc>
          <w:tcPr>
            <w:tcW w:w="50" w:type="pct"/>
            <w:vAlign w:val="center"/>
            <w:hideMark/>
          </w:tcPr>
          <w:p w14:paraId="74F6D22E" w14:textId="77777777" w:rsidR="00000000" w:rsidRDefault="00A173A8">
            <w:pPr>
              <w:spacing w:after="100"/>
              <w:rPr>
                <w:rFonts w:eastAsia="Times New Roman"/>
                <w:sz w:val="20"/>
                <w:szCs w:val="20"/>
              </w:rPr>
            </w:pPr>
          </w:p>
        </w:tc>
        <w:tc>
          <w:tcPr>
            <w:tcW w:w="559" w:type="pct"/>
            <w:vAlign w:val="center"/>
            <w:hideMark/>
          </w:tcPr>
          <w:p w14:paraId="3BEA2B9E" w14:textId="77777777" w:rsidR="00000000" w:rsidRDefault="00A173A8">
            <w:pPr>
              <w:spacing w:after="100"/>
              <w:rPr>
                <w:rFonts w:eastAsia="Times New Roman"/>
                <w:sz w:val="20"/>
                <w:szCs w:val="20"/>
              </w:rPr>
            </w:pPr>
          </w:p>
        </w:tc>
        <w:tc>
          <w:tcPr>
            <w:tcW w:w="5" w:type="pct"/>
            <w:vAlign w:val="center"/>
            <w:hideMark/>
          </w:tcPr>
          <w:p w14:paraId="21981E72" w14:textId="77777777" w:rsidR="00000000" w:rsidRDefault="00A173A8">
            <w:pPr>
              <w:spacing w:after="100"/>
              <w:rPr>
                <w:rFonts w:eastAsia="Times New Roman"/>
                <w:sz w:val="20"/>
                <w:szCs w:val="20"/>
              </w:rPr>
            </w:pPr>
          </w:p>
        </w:tc>
        <w:tc>
          <w:tcPr>
            <w:tcW w:w="5" w:type="pct"/>
            <w:vAlign w:val="center"/>
            <w:hideMark/>
          </w:tcPr>
          <w:p w14:paraId="63D4D148" w14:textId="77777777" w:rsidR="00000000" w:rsidRDefault="00A173A8">
            <w:pPr>
              <w:spacing w:after="100"/>
              <w:rPr>
                <w:rFonts w:eastAsia="Times New Roman"/>
                <w:sz w:val="20"/>
                <w:szCs w:val="20"/>
              </w:rPr>
            </w:pPr>
          </w:p>
        </w:tc>
        <w:tc>
          <w:tcPr>
            <w:tcW w:w="26" w:type="pct"/>
            <w:vAlign w:val="center"/>
            <w:hideMark/>
          </w:tcPr>
          <w:p w14:paraId="766D9723" w14:textId="77777777" w:rsidR="00000000" w:rsidRDefault="00A173A8">
            <w:pPr>
              <w:spacing w:after="100"/>
              <w:rPr>
                <w:rFonts w:eastAsia="Times New Roman"/>
                <w:sz w:val="20"/>
                <w:szCs w:val="20"/>
              </w:rPr>
            </w:pPr>
          </w:p>
        </w:tc>
        <w:tc>
          <w:tcPr>
            <w:tcW w:w="5" w:type="pct"/>
            <w:vAlign w:val="center"/>
            <w:hideMark/>
          </w:tcPr>
          <w:p w14:paraId="654C0DB4" w14:textId="77777777" w:rsidR="00000000" w:rsidRDefault="00A173A8">
            <w:pPr>
              <w:spacing w:after="100"/>
              <w:rPr>
                <w:rFonts w:eastAsia="Times New Roman"/>
                <w:sz w:val="20"/>
                <w:szCs w:val="20"/>
              </w:rPr>
            </w:pPr>
          </w:p>
        </w:tc>
        <w:tc>
          <w:tcPr>
            <w:tcW w:w="50" w:type="pct"/>
            <w:vAlign w:val="center"/>
            <w:hideMark/>
          </w:tcPr>
          <w:p w14:paraId="31B69320" w14:textId="77777777" w:rsidR="00000000" w:rsidRDefault="00A173A8">
            <w:pPr>
              <w:spacing w:after="100"/>
              <w:rPr>
                <w:rFonts w:eastAsia="Times New Roman"/>
                <w:sz w:val="20"/>
                <w:szCs w:val="20"/>
              </w:rPr>
            </w:pPr>
          </w:p>
        </w:tc>
        <w:tc>
          <w:tcPr>
            <w:tcW w:w="559" w:type="pct"/>
            <w:vAlign w:val="center"/>
            <w:hideMark/>
          </w:tcPr>
          <w:p w14:paraId="4436F935" w14:textId="77777777" w:rsidR="00000000" w:rsidRDefault="00A173A8">
            <w:pPr>
              <w:spacing w:after="100"/>
              <w:rPr>
                <w:rFonts w:eastAsia="Times New Roman"/>
                <w:sz w:val="20"/>
                <w:szCs w:val="20"/>
              </w:rPr>
            </w:pPr>
          </w:p>
        </w:tc>
        <w:tc>
          <w:tcPr>
            <w:tcW w:w="5" w:type="pct"/>
            <w:vAlign w:val="center"/>
            <w:hideMark/>
          </w:tcPr>
          <w:p w14:paraId="0C034424" w14:textId="77777777" w:rsidR="00000000" w:rsidRDefault="00A173A8">
            <w:pPr>
              <w:spacing w:after="100"/>
              <w:rPr>
                <w:rFonts w:eastAsia="Times New Roman"/>
                <w:sz w:val="20"/>
                <w:szCs w:val="20"/>
              </w:rPr>
            </w:pPr>
          </w:p>
        </w:tc>
        <w:tc>
          <w:tcPr>
            <w:tcW w:w="0" w:type="auto"/>
            <w:vAlign w:val="center"/>
            <w:hideMark/>
          </w:tcPr>
          <w:p w14:paraId="7459E367" w14:textId="77777777" w:rsidR="00000000" w:rsidRDefault="00A173A8">
            <w:pPr>
              <w:spacing w:after="100"/>
              <w:rPr>
                <w:rFonts w:eastAsia="Times New Roman"/>
                <w:sz w:val="20"/>
                <w:szCs w:val="20"/>
              </w:rPr>
            </w:pPr>
          </w:p>
        </w:tc>
        <w:tc>
          <w:tcPr>
            <w:tcW w:w="0" w:type="auto"/>
            <w:vAlign w:val="center"/>
            <w:hideMark/>
          </w:tcPr>
          <w:p w14:paraId="3775EDD0" w14:textId="77777777" w:rsidR="00000000" w:rsidRDefault="00A173A8">
            <w:pPr>
              <w:spacing w:after="100"/>
              <w:rPr>
                <w:rFonts w:eastAsia="Times New Roman"/>
                <w:sz w:val="20"/>
                <w:szCs w:val="20"/>
              </w:rPr>
            </w:pPr>
          </w:p>
        </w:tc>
      </w:tr>
      <w:tr w:rsidR="00000000" w14:paraId="5DE32EA8" w14:textId="77777777">
        <w:trPr>
          <w:divId w:val="1512378366"/>
        </w:trPr>
        <w:tc>
          <w:tcPr>
            <w:tcW w:w="0" w:type="auto"/>
            <w:gridSpan w:val="3"/>
            <w:tcMar>
              <w:top w:w="0" w:type="dxa"/>
              <w:left w:w="20" w:type="dxa"/>
              <w:bottom w:w="0" w:type="dxa"/>
              <w:right w:w="20" w:type="dxa"/>
            </w:tcMar>
            <w:vAlign w:val="center"/>
            <w:hideMark/>
          </w:tcPr>
          <w:p w14:paraId="72B59816"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987210"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25CA335" w14:textId="77777777" w:rsidR="00000000" w:rsidRDefault="00A173A8">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14:paraId="16EE0877"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4C77966" w14:textId="77777777" w:rsidR="00000000" w:rsidRDefault="00A173A8">
            <w:pPr>
              <w:spacing w:after="100"/>
              <w:jc w:val="center"/>
              <w:rPr>
                <w:rFonts w:eastAsia="Times New Roman"/>
              </w:rPr>
            </w:pPr>
            <w:r>
              <w:rPr>
                <w:rFonts w:eastAsia="Times New Roman"/>
                <w:b/>
                <w:bCs/>
                <w:color w:val="000000"/>
                <w:sz w:val="18"/>
                <w:szCs w:val="18"/>
              </w:rPr>
              <w:t>Six Months Ended June 30,</w:t>
            </w:r>
          </w:p>
        </w:tc>
        <w:tc>
          <w:tcPr>
            <w:tcW w:w="0" w:type="auto"/>
            <w:vAlign w:val="center"/>
            <w:hideMark/>
          </w:tcPr>
          <w:p w14:paraId="3389126D" w14:textId="77777777" w:rsidR="00000000" w:rsidRDefault="00A173A8">
            <w:pPr>
              <w:spacing w:after="100"/>
              <w:jc w:val="center"/>
              <w:rPr>
                <w:rFonts w:eastAsia="Times New Roman"/>
              </w:rPr>
            </w:pPr>
          </w:p>
        </w:tc>
        <w:tc>
          <w:tcPr>
            <w:tcW w:w="0" w:type="auto"/>
            <w:vAlign w:val="center"/>
            <w:hideMark/>
          </w:tcPr>
          <w:p w14:paraId="2C94A74E" w14:textId="77777777" w:rsidR="00000000" w:rsidRDefault="00A173A8">
            <w:pPr>
              <w:spacing w:after="100"/>
              <w:rPr>
                <w:rFonts w:eastAsia="Times New Roman"/>
                <w:sz w:val="20"/>
                <w:szCs w:val="20"/>
              </w:rPr>
            </w:pPr>
          </w:p>
        </w:tc>
      </w:tr>
      <w:tr w:rsidR="00000000" w14:paraId="457D148B" w14:textId="77777777">
        <w:trPr>
          <w:divId w:val="1512378366"/>
        </w:trPr>
        <w:tc>
          <w:tcPr>
            <w:tcW w:w="0" w:type="auto"/>
            <w:gridSpan w:val="3"/>
            <w:tcBorders>
              <w:bottom w:val="single" w:sz="8" w:space="0" w:color="000000"/>
            </w:tcBorders>
            <w:tcMar>
              <w:top w:w="30" w:type="dxa"/>
              <w:left w:w="20" w:type="dxa"/>
              <w:bottom w:w="30" w:type="dxa"/>
              <w:right w:w="20" w:type="dxa"/>
            </w:tcMar>
            <w:vAlign w:val="bottom"/>
            <w:hideMark/>
          </w:tcPr>
          <w:p w14:paraId="6F81BC45"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5F2089B7"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E502BFC"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64B4621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2352BC"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2129DC5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DF72B74"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6E4AFB4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96891E"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231711E7" w14:textId="77777777" w:rsidR="00000000" w:rsidRDefault="00A173A8">
            <w:pPr>
              <w:spacing w:after="100"/>
              <w:jc w:val="center"/>
              <w:rPr>
                <w:rFonts w:eastAsia="Times New Roman"/>
              </w:rPr>
            </w:pPr>
          </w:p>
        </w:tc>
        <w:tc>
          <w:tcPr>
            <w:tcW w:w="0" w:type="auto"/>
            <w:vAlign w:val="center"/>
            <w:hideMark/>
          </w:tcPr>
          <w:p w14:paraId="471681C4" w14:textId="77777777" w:rsidR="00000000" w:rsidRDefault="00A173A8">
            <w:pPr>
              <w:spacing w:after="100"/>
              <w:rPr>
                <w:rFonts w:eastAsia="Times New Roman"/>
                <w:sz w:val="20"/>
                <w:szCs w:val="20"/>
              </w:rPr>
            </w:pPr>
          </w:p>
        </w:tc>
      </w:tr>
      <w:tr w:rsidR="00000000" w14:paraId="1D2B6BE9" w14:textId="77777777">
        <w:trPr>
          <w:divId w:val="15123783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A89F841" w14:textId="77777777" w:rsidR="00000000" w:rsidRDefault="00A173A8">
            <w:pPr>
              <w:spacing w:after="100"/>
              <w:divId w:val="709065466"/>
              <w:rPr>
                <w:rFonts w:eastAsia="Times New Roman"/>
              </w:rPr>
            </w:pPr>
            <w:r>
              <w:rPr>
                <w:rFonts w:eastAsia="Times New Roman"/>
                <w:color w:val="000000"/>
                <w:sz w:val="20"/>
                <w:szCs w:val="20"/>
              </w:rPr>
              <w:t>Salaries and associate benefit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A05B4B2"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7F1FDC2"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9A0E74C" w14:textId="77777777" w:rsidR="00000000" w:rsidRDefault="00A173A8">
            <w:pPr>
              <w:spacing w:after="100"/>
              <w:jc w:val="right"/>
              <w:rPr>
                <w:rFonts w:eastAsia="Times New Roman"/>
              </w:rPr>
            </w:pPr>
            <w:r>
              <w:rPr>
                <w:rFonts w:eastAsia="Times New Roman"/>
                <w:b/>
                <w:bCs/>
                <w:color w:val="000000"/>
                <w:sz w:val="20"/>
                <w:szCs w:val="20"/>
              </w:rPr>
              <w:t>1,946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CD6371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0B1C6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24C9E97"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06CC92B" w14:textId="77777777" w:rsidR="00000000" w:rsidRDefault="00A173A8">
            <w:pPr>
              <w:spacing w:after="100"/>
              <w:jc w:val="right"/>
              <w:rPr>
                <w:rFonts w:eastAsia="Times New Roman"/>
              </w:rPr>
            </w:pPr>
            <w:r>
              <w:rPr>
                <w:rFonts w:eastAsia="Times New Roman"/>
                <w:color w:val="000000"/>
                <w:sz w:val="20"/>
                <w:szCs w:val="20"/>
              </w:rPr>
              <w:t>1,781 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6E46F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480F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6F44F69"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5973427" w14:textId="77777777" w:rsidR="00000000" w:rsidRDefault="00A173A8">
            <w:pPr>
              <w:spacing w:after="100"/>
              <w:jc w:val="right"/>
              <w:rPr>
                <w:rFonts w:eastAsia="Times New Roman"/>
              </w:rPr>
            </w:pPr>
            <w:r>
              <w:rPr>
                <w:rFonts w:eastAsia="Times New Roman"/>
                <w:b/>
                <w:bCs/>
                <w:color w:val="000000"/>
                <w:sz w:val="20"/>
                <w:szCs w:val="20"/>
              </w:rPr>
              <w:t>3,972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B8A12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BE92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FB703A"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A0D47B8" w14:textId="77777777" w:rsidR="00000000" w:rsidRDefault="00A173A8">
            <w:pPr>
              <w:spacing w:after="100"/>
              <w:jc w:val="right"/>
              <w:rPr>
                <w:rFonts w:eastAsia="Times New Roman"/>
              </w:rPr>
            </w:pPr>
            <w:r>
              <w:rPr>
                <w:rFonts w:eastAsia="Times New Roman"/>
                <w:color w:val="000000"/>
                <w:sz w:val="20"/>
                <w:szCs w:val="20"/>
              </w:rPr>
              <w:t>3,628 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855833" w14:textId="77777777" w:rsidR="00000000" w:rsidRDefault="00A173A8">
            <w:pPr>
              <w:spacing w:after="100"/>
              <w:jc w:val="right"/>
              <w:rPr>
                <w:rFonts w:eastAsia="Times New Roman"/>
              </w:rPr>
            </w:pPr>
          </w:p>
        </w:tc>
        <w:tc>
          <w:tcPr>
            <w:tcW w:w="0" w:type="auto"/>
            <w:vAlign w:val="center"/>
            <w:hideMark/>
          </w:tcPr>
          <w:p w14:paraId="18958E32" w14:textId="77777777" w:rsidR="00000000" w:rsidRDefault="00A173A8">
            <w:pPr>
              <w:spacing w:after="100"/>
              <w:jc w:val="right"/>
              <w:rPr>
                <w:rFonts w:eastAsia="Times New Roman"/>
                <w:sz w:val="20"/>
                <w:szCs w:val="20"/>
              </w:rPr>
            </w:pPr>
          </w:p>
        </w:tc>
        <w:tc>
          <w:tcPr>
            <w:tcW w:w="0" w:type="auto"/>
            <w:vAlign w:val="center"/>
            <w:hideMark/>
          </w:tcPr>
          <w:p w14:paraId="3C7CDCB2" w14:textId="77777777" w:rsidR="00000000" w:rsidRDefault="00A173A8">
            <w:pPr>
              <w:spacing w:after="100"/>
              <w:rPr>
                <w:rFonts w:eastAsia="Times New Roman"/>
                <w:sz w:val="20"/>
                <w:szCs w:val="20"/>
              </w:rPr>
            </w:pPr>
          </w:p>
        </w:tc>
      </w:tr>
      <w:tr w:rsidR="00000000" w14:paraId="5B48CBBC" w14:textId="77777777">
        <w:trPr>
          <w:divId w:val="1512378366"/>
        </w:trPr>
        <w:tc>
          <w:tcPr>
            <w:tcW w:w="0" w:type="auto"/>
            <w:gridSpan w:val="3"/>
            <w:shd w:val="clear" w:color="auto" w:fill="FFFFFF"/>
            <w:tcMar>
              <w:top w:w="30" w:type="dxa"/>
              <w:left w:w="20" w:type="dxa"/>
              <w:bottom w:w="30" w:type="dxa"/>
              <w:right w:w="20" w:type="dxa"/>
            </w:tcMar>
            <w:vAlign w:val="center"/>
            <w:hideMark/>
          </w:tcPr>
          <w:p w14:paraId="25D79BEB" w14:textId="77777777" w:rsidR="00000000" w:rsidRDefault="00A173A8">
            <w:pPr>
              <w:spacing w:after="100"/>
              <w:rPr>
                <w:rFonts w:eastAsia="Times New Roman"/>
              </w:rPr>
            </w:pPr>
            <w:r>
              <w:rPr>
                <w:rFonts w:eastAsia="Times New Roman"/>
                <w:color w:val="000000"/>
                <w:sz w:val="20"/>
                <w:szCs w:val="20"/>
              </w:rPr>
              <w:t>Occupancy and equipment</w:t>
            </w:r>
          </w:p>
        </w:tc>
        <w:tc>
          <w:tcPr>
            <w:tcW w:w="0" w:type="auto"/>
            <w:gridSpan w:val="3"/>
            <w:shd w:val="clear" w:color="auto" w:fill="FFFFFF"/>
            <w:tcMar>
              <w:top w:w="0" w:type="dxa"/>
              <w:left w:w="20" w:type="dxa"/>
              <w:bottom w:w="0" w:type="dxa"/>
              <w:right w:w="20" w:type="dxa"/>
            </w:tcMar>
            <w:vAlign w:val="center"/>
            <w:hideMark/>
          </w:tcPr>
          <w:p w14:paraId="5B854AC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92AE47" w14:textId="77777777" w:rsidR="00000000" w:rsidRDefault="00A173A8">
            <w:pPr>
              <w:spacing w:after="100"/>
              <w:jc w:val="right"/>
              <w:rPr>
                <w:rFonts w:eastAsia="Times New Roman"/>
              </w:rPr>
            </w:pPr>
            <w:r>
              <w:rPr>
                <w:rFonts w:eastAsia="Times New Roman"/>
                <w:b/>
                <w:bCs/>
                <w:color w:val="000000"/>
                <w:sz w:val="20"/>
                <w:szCs w:val="20"/>
              </w:rPr>
              <w:t>481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D34A8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32B2A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FCF940" w14:textId="77777777" w:rsidR="00000000" w:rsidRDefault="00A173A8">
            <w:pPr>
              <w:spacing w:after="100"/>
              <w:jc w:val="right"/>
              <w:rPr>
                <w:rFonts w:eastAsia="Times New Roman"/>
              </w:rPr>
            </w:pPr>
            <w:r>
              <w:rPr>
                <w:rFonts w:eastAsia="Times New Roman"/>
                <w:color w:val="000000"/>
                <w:sz w:val="20"/>
                <w:szCs w:val="20"/>
              </w:rPr>
              <w:t>523 </w:t>
            </w:r>
          </w:p>
        </w:tc>
        <w:tc>
          <w:tcPr>
            <w:tcW w:w="0" w:type="auto"/>
            <w:shd w:val="clear" w:color="auto" w:fill="FFFFFF"/>
            <w:tcMar>
              <w:top w:w="30" w:type="dxa"/>
              <w:left w:w="0" w:type="dxa"/>
              <w:bottom w:w="30" w:type="dxa"/>
              <w:right w:w="20" w:type="dxa"/>
            </w:tcMar>
            <w:vAlign w:val="center"/>
            <w:hideMark/>
          </w:tcPr>
          <w:p w14:paraId="42F2EFD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7813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54F5B8" w14:textId="77777777" w:rsidR="00000000" w:rsidRDefault="00A173A8">
            <w:pPr>
              <w:spacing w:after="100"/>
              <w:jc w:val="right"/>
              <w:rPr>
                <w:rFonts w:eastAsia="Times New Roman"/>
              </w:rPr>
            </w:pPr>
            <w:r>
              <w:rPr>
                <w:rFonts w:eastAsia="Times New Roman"/>
                <w:b/>
                <w:bCs/>
                <w:color w:val="000000"/>
                <w:sz w:val="20"/>
                <w:szCs w:val="20"/>
              </w:rPr>
              <w:t>994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E636C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5A65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0A4007" w14:textId="77777777" w:rsidR="00000000" w:rsidRDefault="00A173A8">
            <w:pPr>
              <w:spacing w:after="100"/>
              <w:jc w:val="right"/>
              <w:rPr>
                <w:rFonts w:eastAsia="Times New Roman"/>
              </w:rPr>
            </w:pPr>
            <w:r>
              <w:rPr>
                <w:rFonts w:eastAsia="Times New Roman"/>
                <w:color w:val="000000"/>
                <w:sz w:val="20"/>
                <w:szCs w:val="20"/>
              </w:rPr>
              <w:t>995 </w:t>
            </w:r>
          </w:p>
        </w:tc>
        <w:tc>
          <w:tcPr>
            <w:tcW w:w="0" w:type="auto"/>
            <w:shd w:val="clear" w:color="auto" w:fill="FFFFFF"/>
            <w:tcMar>
              <w:top w:w="30" w:type="dxa"/>
              <w:left w:w="0" w:type="dxa"/>
              <w:bottom w:w="30" w:type="dxa"/>
              <w:right w:w="20" w:type="dxa"/>
            </w:tcMar>
            <w:vAlign w:val="center"/>
            <w:hideMark/>
          </w:tcPr>
          <w:p w14:paraId="724714C5" w14:textId="77777777" w:rsidR="00000000" w:rsidRDefault="00A173A8">
            <w:pPr>
              <w:spacing w:after="100"/>
              <w:jc w:val="right"/>
              <w:rPr>
                <w:rFonts w:eastAsia="Times New Roman"/>
              </w:rPr>
            </w:pPr>
          </w:p>
        </w:tc>
        <w:tc>
          <w:tcPr>
            <w:tcW w:w="0" w:type="auto"/>
            <w:vAlign w:val="center"/>
            <w:hideMark/>
          </w:tcPr>
          <w:p w14:paraId="2BF4CDAB" w14:textId="77777777" w:rsidR="00000000" w:rsidRDefault="00A173A8">
            <w:pPr>
              <w:spacing w:after="100"/>
              <w:jc w:val="right"/>
              <w:rPr>
                <w:rFonts w:eastAsia="Times New Roman"/>
                <w:sz w:val="20"/>
                <w:szCs w:val="20"/>
              </w:rPr>
            </w:pPr>
          </w:p>
        </w:tc>
        <w:tc>
          <w:tcPr>
            <w:tcW w:w="0" w:type="auto"/>
            <w:vAlign w:val="center"/>
            <w:hideMark/>
          </w:tcPr>
          <w:p w14:paraId="6982D596" w14:textId="77777777" w:rsidR="00000000" w:rsidRDefault="00A173A8">
            <w:pPr>
              <w:spacing w:after="100"/>
              <w:rPr>
                <w:rFonts w:eastAsia="Times New Roman"/>
                <w:sz w:val="20"/>
                <w:szCs w:val="20"/>
              </w:rPr>
            </w:pPr>
          </w:p>
        </w:tc>
      </w:tr>
      <w:tr w:rsidR="00000000" w14:paraId="24288AFC" w14:textId="77777777">
        <w:trPr>
          <w:divId w:val="1512378366"/>
        </w:trPr>
        <w:tc>
          <w:tcPr>
            <w:tcW w:w="0" w:type="auto"/>
            <w:gridSpan w:val="3"/>
            <w:shd w:val="clear" w:color="auto" w:fill="CCEEFF"/>
            <w:tcMar>
              <w:top w:w="30" w:type="dxa"/>
              <w:left w:w="20" w:type="dxa"/>
              <w:bottom w:w="30" w:type="dxa"/>
              <w:right w:w="20" w:type="dxa"/>
            </w:tcMar>
            <w:vAlign w:val="center"/>
            <w:hideMark/>
          </w:tcPr>
          <w:p w14:paraId="12BCC8E3" w14:textId="77777777" w:rsidR="00000000" w:rsidRDefault="00A173A8">
            <w:pPr>
              <w:spacing w:after="100"/>
              <w:rPr>
                <w:rFonts w:eastAsia="Times New Roman"/>
              </w:rPr>
            </w:pPr>
            <w:r>
              <w:rPr>
                <w:rFonts w:eastAsia="Times New Roman"/>
                <w:color w:val="000000"/>
                <w:sz w:val="20"/>
                <w:szCs w:val="20"/>
              </w:rPr>
              <w:t>Marketing</w:t>
            </w:r>
          </w:p>
        </w:tc>
        <w:tc>
          <w:tcPr>
            <w:tcW w:w="0" w:type="auto"/>
            <w:gridSpan w:val="3"/>
            <w:shd w:val="clear" w:color="auto" w:fill="CCEEFF"/>
            <w:tcMar>
              <w:top w:w="0" w:type="dxa"/>
              <w:left w:w="20" w:type="dxa"/>
              <w:bottom w:w="0" w:type="dxa"/>
              <w:right w:w="20" w:type="dxa"/>
            </w:tcMar>
            <w:vAlign w:val="center"/>
            <w:hideMark/>
          </w:tcPr>
          <w:p w14:paraId="6F735AE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773DAE3" w14:textId="77777777" w:rsidR="00000000" w:rsidRDefault="00A173A8">
            <w:pPr>
              <w:spacing w:after="100"/>
              <w:jc w:val="right"/>
              <w:rPr>
                <w:rFonts w:eastAsia="Times New Roman"/>
              </w:rPr>
            </w:pPr>
            <w:r>
              <w:rPr>
                <w:rFonts w:eastAsia="Times New Roman"/>
                <w:b/>
                <w:bCs/>
                <w:color w:val="000000"/>
                <w:sz w:val="20"/>
                <w:szCs w:val="20"/>
              </w:rPr>
              <w:t>1,003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2A1177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0F459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EDA5C5" w14:textId="77777777" w:rsidR="00000000" w:rsidRDefault="00A173A8">
            <w:pPr>
              <w:spacing w:after="100"/>
              <w:jc w:val="right"/>
              <w:rPr>
                <w:rFonts w:eastAsia="Times New Roman"/>
              </w:rPr>
            </w:pPr>
            <w:r>
              <w:rPr>
                <w:rFonts w:eastAsia="Times New Roman"/>
                <w:color w:val="000000"/>
                <w:sz w:val="20"/>
                <w:szCs w:val="20"/>
              </w:rPr>
              <w:t>620 </w:t>
            </w:r>
          </w:p>
        </w:tc>
        <w:tc>
          <w:tcPr>
            <w:tcW w:w="0" w:type="auto"/>
            <w:shd w:val="clear" w:color="auto" w:fill="CCEEFF"/>
            <w:tcMar>
              <w:top w:w="30" w:type="dxa"/>
              <w:left w:w="0" w:type="dxa"/>
              <w:bottom w:w="30" w:type="dxa"/>
              <w:right w:w="20" w:type="dxa"/>
            </w:tcMar>
            <w:vAlign w:val="center"/>
            <w:hideMark/>
          </w:tcPr>
          <w:p w14:paraId="3CFD505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F979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670CA3" w14:textId="77777777" w:rsidR="00000000" w:rsidRDefault="00A173A8">
            <w:pPr>
              <w:spacing w:after="100"/>
              <w:jc w:val="right"/>
              <w:rPr>
                <w:rFonts w:eastAsia="Times New Roman"/>
              </w:rPr>
            </w:pPr>
            <w:r>
              <w:rPr>
                <w:rFonts w:eastAsia="Times New Roman"/>
                <w:b/>
                <w:bCs/>
                <w:color w:val="000000"/>
                <w:sz w:val="20"/>
                <w:szCs w:val="20"/>
              </w:rPr>
              <w:t>1,921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05CBD6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BF43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358262" w14:textId="77777777" w:rsidR="00000000" w:rsidRDefault="00A173A8">
            <w:pPr>
              <w:spacing w:after="100"/>
              <w:jc w:val="right"/>
              <w:rPr>
                <w:rFonts w:eastAsia="Times New Roman"/>
              </w:rPr>
            </w:pPr>
            <w:r>
              <w:rPr>
                <w:rFonts w:eastAsia="Times New Roman"/>
                <w:color w:val="000000"/>
                <w:sz w:val="20"/>
                <w:szCs w:val="20"/>
              </w:rPr>
              <w:t>1,121 </w:t>
            </w:r>
          </w:p>
        </w:tc>
        <w:tc>
          <w:tcPr>
            <w:tcW w:w="0" w:type="auto"/>
            <w:shd w:val="clear" w:color="auto" w:fill="CCEEFF"/>
            <w:tcMar>
              <w:top w:w="30" w:type="dxa"/>
              <w:left w:w="0" w:type="dxa"/>
              <w:bottom w:w="30" w:type="dxa"/>
              <w:right w:w="20" w:type="dxa"/>
            </w:tcMar>
            <w:vAlign w:val="center"/>
            <w:hideMark/>
          </w:tcPr>
          <w:p w14:paraId="1CD7A240" w14:textId="77777777" w:rsidR="00000000" w:rsidRDefault="00A173A8">
            <w:pPr>
              <w:spacing w:after="100"/>
              <w:jc w:val="right"/>
              <w:rPr>
                <w:rFonts w:eastAsia="Times New Roman"/>
              </w:rPr>
            </w:pPr>
          </w:p>
        </w:tc>
        <w:tc>
          <w:tcPr>
            <w:tcW w:w="0" w:type="auto"/>
            <w:vAlign w:val="center"/>
            <w:hideMark/>
          </w:tcPr>
          <w:p w14:paraId="17783104" w14:textId="77777777" w:rsidR="00000000" w:rsidRDefault="00A173A8">
            <w:pPr>
              <w:spacing w:after="100"/>
              <w:jc w:val="right"/>
              <w:rPr>
                <w:rFonts w:eastAsia="Times New Roman"/>
                <w:sz w:val="20"/>
                <w:szCs w:val="20"/>
              </w:rPr>
            </w:pPr>
          </w:p>
        </w:tc>
        <w:tc>
          <w:tcPr>
            <w:tcW w:w="0" w:type="auto"/>
            <w:vAlign w:val="center"/>
            <w:hideMark/>
          </w:tcPr>
          <w:p w14:paraId="78FD3008" w14:textId="77777777" w:rsidR="00000000" w:rsidRDefault="00A173A8">
            <w:pPr>
              <w:spacing w:after="100"/>
              <w:rPr>
                <w:rFonts w:eastAsia="Times New Roman"/>
                <w:sz w:val="20"/>
                <w:szCs w:val="20"/>
              </w:rPr>
            </w:pPr>
          </w:p>
        </w:tc>
      </w:tr>
      <w:tr w:rsidR="00000000" w14:paraId="3986E3F5" w14:textId="77777777">
        <w:trPr>
          <w:divId w:val="1512378366"/>
        </w:trPr>
        <w:tc>
          <w:tcPr>
            <w:tcW w:w="0" w:type="auto"/>
            <w:gridSpan w:val="3"/>
            <w:shd w:val="clear" w:color="auto" w:fill="FFFFFF"/>
            <w:tcMar>
              <w:top w:w="30" w:type="dxa"/>
              <w:left w:w="20" w:type="dxa"/>
              <w:bottom w:w="30" w:type="dxa"/>
              <w:right w:w="20" w:type="dxa"/>
            </w:tcMar>
            <w:vAlign w:val="center"/>
            <w:hideMark/>
          </w:tcPr>
          <w:p w14:paraId="4268A490" w14:textId="77777777" w:rsidR="00000000" w:rsidRDefault="00A173A8">
            <w:pPr>
              <w:spacing w:after="100"/>
              <w:rPr>
                <w:rFonts w:eastAsia="Times New Roman"/>
              </w:rPr>
            </w:pPr>
            <w:r>
              <w:rPr>
                <w:rFonts w:eastAsia="Times New Roman"/>
                <w:color w:val="000000"/>
                <w:sz w:val="20"/>
                <w:szCs w:val="20"/>
              </w:rPr>
              <w:t>Professional services</w:t>
            </w:r>
          </w:p>
        </w:tc>
        <w:tc>
          <w:tcPr>
            <w:tcW w:w="0" w:type="auto"/>
            <w:gridSpan w:val="3"/>
            <w:shd w:val="clear" w:color="auto" w:fill="FFFFFF"/>
            <w:tcMar>
              <w:top w:w="0" w:type="dxa"/>
              <w:left w:w="20" w:type="dxa"/>
              <w:bottom w:w="0" w:type="dxa"/>
              <w:right w:w="20" w:type="dxa"/>
            </w:tcMar>
            <w:vAlign w:val="center"/>
            <w:hideMark/>
          </w:tcPr>
          <w:p w14:paraId="437DF8E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2C3D3BF" w14:textId="77777777" w:rsidR="00000000" w:rsidRDefault="00A173A8">
            <w:pPr>
              <w:spacing w:after="100"/>
              <w:jc w:val="right"/>
              <w:rPr>
                <w:rFonts w:eastAsia="Times New Roman"/>
              </w:rPr>
            </w:pPr>
            <w:r>
              <w:rPr>
                <w:rFonts w:eastAsia="Times New Roman"/>
                <w:b/>
                <w:bCs/>
                <w:color w:val="000000"/>
                <w:sz w:val="20"/>
                <w:szCs w:val="20"/>
              </w:rPr>
              <w:t>458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D9F27F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C356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2A4727" w14:textId="77777777" w:rsidR="00000000" w:rsidRDefault="00A173A8">
            <w:pPr>
              <w:spacing w:after="100"/>
              <w:jc w:val="right"/>
              <w:rPr>
                <w:rFonts w:eastAsia="Times New Roman"/>
              </w:rPr>
            </w:pPr>
            <w:r>
              <w:rPr>
                <w:rFonts w:eastAsia="Times New Roman"/>
                <w:color w:val="000000"/>
                <w:sz w:val="20"/>
                <w:szCs w:val="20"/>
              </w:rPr>
              <w:t>341 </w:t>
            </w:r>
          </w:p>
        </w:tc>
        <w:tc>
          <w:tcPr>
            <w:tcW w:w="0" w:type="auto"/>
            <w:shd w:val="clear" w:color="auto" w:fill="FFFFFF"/>
            <w:tcMar>
              <w:top w:w="30" w:type="dxa"/>
              <w:left w:w="0" w:type="dxa"/>
              <w:bottom w:w="30" w:type="dxa"/>
              <w:right w:w="20" w:type="dxa"/>
            </w:tcMar>
            <w:vAlign w:val="center"/>
            <w:hideMark/>
          </w:tcPr>
          <w:p w14:paraId="76F8719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B9B0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E84E38" w14:textId="77777777" w:rsidR="00000000" w:rsidRDefault="00A173A8">
            <w:pPr>
              <w:spacing w:after="100"/>
              <w:jc w:val="right"/>
              <w:rPr>
                <w:rFonts w:eastAsia="Times New Roman"/>
              </w:rPr>
            </w:pPr>
            <w:r>
              <w:rPr>
                <w:rFonts w:eastAsia="Times New Roman"/>
                <w:b/>
                <w:bCs/>
                <w:color w:val="000000"/>
                <w:sz w:val="20"/>
                <w:szCs w:val="20"/>
              </w:rPr>
              <w:t>855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60D5D8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B1F0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720E90" w14:textId="77777777" w:rsidR="00000000" w:rsidRDefault="00A173A8">
            <w:pPr>
              <w:spacing w:after="100"/>
              <w:jc w:val="right"/>
              <w:rPr>
                <w:rFonts w:eastAsia="Times New Roman"/>
              </w:rPr>
            </w:pPr>
            <w:r>
              <w:rPr>
                <w:rFonts w:eastAsia="Times New Roman"/>
                <w:color w:val="000000"/>
                <w:sz w:val="20"/>
                <w:szCs w:val="20"/>
              </w:rPr>
              <w:t>633 </w:t>
            </w:r>
          </w:p>
        </w:tc>
        <w:tc>
          <w:tcPr>
            <w:tcW w:w="0" w:type="auto"/>
            <w:shd w:val="clear" w:color="auto" w:fill="FFFFFF"/>
            <w:tcMar>
              <w:top w:w="30" w:type="dxa"/>
              <w:left w:w="0" w:type="dxa"/>
              <w:bottom w:w="30" w:type="dxa"/>
              <w:right w:w="20" w:type="dxa"/>
            </w:tcMar>
            <w:vAlign w:val="center"/>
            <w:hideMark/>
          </w:tcPr>
          <w:p w14:paraId="32A554A6" w14:textId="77777777" w:rsidR="00000000" w:rsidRDefault="00A173A8">
            <w:pPr>
              <w:spacing w:after="100"/>
              <w:jc w:val="right"/>
              <w:rPr>
                <w:rFonts w:eastAsia="Times New Roman"/>
              </w:rPr>
            </w:pPr>
          </w:p>
        </w:tc>
        <w:tc>
          <w:tcPr>
            <w:tcW w:w="0" w:type="auto"/>
            <w:vAlign w:val="center"/>
            <w:hideMark/>
          </w:tcPr>
          <w:p w14:paraId="0BAD2FD6" w14:textId="77777777" w:rsidR="00000000" w:rsidRDefault="00A173A8">
            <w:pPr>
              <w:spacing w:after="100"/>
              <w:jc w:val="right"/>
              <w:rPr>
                <w:rFonts w:eastAsia="Times New Roman"/>
                <w:sz w:val="20"/>
                <w:szCs w:val="20"/>
              </w:rPr>
            </w:pPr>
          </w:p>
        </w:tc>
        <w:tc>
          <w:tcPr>
            <w:tcW w:w="0" w:type="auto"/>
            <w:vAlign w:val="center"/>
            <w:hideMark/>
          </w:tcPr>
          <w:p w14:paraId="0E10E752" w14:textId="77777777" w:rsidR="00000000" w:rsidRDefault="00A173A8">
            <w:pPr>
              <w:spacing w:after="100"/>
              <w:rPr>
                <w:rFonts w:eastAsia="Times New Roman"/>
                <w:sz w:val="20"/>
                <w:szCs w:val="20"/>
              </w:rPr>
            </w:pPr>
          </w:p>
        </w:tc>
      </w:tr>
      <w:tr w:rsidR="00000000" w14:paraId="4CF093F4" w14:textId="77777777">
        <w:trPr>
          <w:divId w:val="1512378366"/>
        </w:trPr>
        <w:tc>
          <w:tcPr>
            <w:tcW w:w="0" w:type="auto"/>
            <w:gridSpan w:val="3"/>
            <w:shd w:val="clear" w:color="auto" w:fill="CCEEFF"/>
            <w:tcMar>
              <w:top w:w="30" w:type="dxa"/>
              <w:left w:w="20" w:type="dxa"/>
              <w:bottom w:w="30" w:type="dxa"/>
              <w:right w:w="20" w:type="dxa"/>
            </w:tcMar>
            <w:vAlign w:val="center"/>
            <w:hideMark/>
          </w:tcPr>
          <w:p w14:paraId="06E401D1" w14:textId="77777777" w:rsidR="00000000" w:rsidRDefault="00A173A8">
            <w:pPr>
              <w:spacing w:after="100"/>
              <w:rPr>
                <w:rFonts w:eastAsia="Times New Roman"/>
              </w:rPr>
            </w:pPr>
            <w:r>
              <w:rPr>
                <w:rFonts w:eastAsia="Times New Roman"/>
                <w:color w:val="000000"/>
                <w:sz w:val="20"/>
                <w:szCs w:val="20"/>
              </w:rPr>
              <w:t>Communications and data processing</w:t>
            </w:r>
          </w:p>
        </w:tc>
        <w:tc>
          <w:tcPr>
            <w:tcW w:w="0" w:type="auto"/>
            <w:gridSpan w:val="3"/>
            <w:shd w:val="clear" w:color="auto" w:fill="CCEEFF"/>
            <w:tcMar>
              <w:top w:w="0" w:type="dxa"/>
              <w:left w:w="20" w:type="dxa"/>
              <w:bottom w:w="0" w:type="dxa"/>
              <w:right w:w="20" w:type="dxa"/>
            </w:tcMar>
            <w:vAlign w:val="center"/>
            <w:hideMark/>
          </w:tcPr>
          <w:p w14:paraId="7426559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DAE5133" w14:textId="77777777" w:rsidR="00000000" w:rsidRDefault="00A173A8">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36E1F8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BECE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7B8374" w14:textId="77777777" w:rsidR="00000000" w:rsidRDefault="00A173A8">
            <w:pPr>
              <w:spacing w:after="100"/>
              <w:jc w:val="right"/>
              <w:rPr>
                <w:rFonts w:eastAsia="Times New Roman"/>
              </w:rPr>
            </w:pPr>
            <w:r>
              <w:rPr>
                <w:rFonts w:eastAsia="Times New Roman"/>
                <w:color w:val="000000"/>
                <w:sz w:val="20"/>
                <w:szCs w:val="20"/>
              </w:rPr>
              <w:t>315 </w:t>
            </w:r>
          </w:p>
        </w:tc>
        <w:tc>
          <w:tcPr>
            <w:tcW w:w="0" w:type="auto"/>
            <w:shd w:val="clear" w:color="auto" w:fill="CCEEFF"/>
            <w:tcMar>
              <w:top w:w="30" w:type="dxa"/>
              <w:left w:w="0" w:type="dxa"/>
              <w:bottom w:w="30" w:type="dxa"/>
              <w:right w:w="20" w:type="dxa"/>
            </w:tcMar>
            <w:vAlign w:val="center"/>
            <w:hideMark/>
          </w:tcPr>
          <w:p w14:paraId="336EBB7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A217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82A148" w14:textId="77777777" w:rsidR="00000000" w:rsidRDefault="00A173A8">
            <w:pPr>
              <w:spacing w:after="100"/>
              <w:jc w:val="right"/>
              <w:rPr>
                <w:rFonts w:eastAsia="Times New Roman"/>
              </w:rPr>
            </w:pPr>
            <w:r>
              <w:rPr>
                <w:rFonts w:eastAsia="Times New Roman"/>
                <w:b/>
                <w:bCs/>
                <w:color w:val="000000"/>
                <w:sz w:val="20"/>
                <w:szCs w:val="20"/>
              </w:rPr>
              <w:t>678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7212D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960B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118AC1" w14:textId="77777777" w:rsidR="00000000" w:rsidRDefault="00A173A8">
            <w:pPr>
              <w:spacing w:after="100"/>
              <w:jc w:val="right"/>
              <w:rPr>
                <w:rFonts w:eastAsia="Times New Roman"/>
              </w:rPr>
            </w:pPr>
            <w:r>
              <w:rPr>
                <w:rFonts w:eastAsia="Times New Roman"/>
                <w:color w:val="000000"/>
                <w:sz w:val="20"/>
                <w:szCs w:val="20"/>
              </w:rPr>
              <w:t>617 </w:t>
            </w:r>
          </w:p>
        </w:tc>
        <w:tc>
          <w:tcPr>
            <w:tcW w:w="0" w:type="auto"/>
            <w:shd w:val="clear" w:color="auto" w:fill="CCEEFF"/>
            <w:tcMar>
              <w:top w:w="30" w:type="dxa"/>
              <w:left w:w="0" w:type="dxa"/>
              <w:bottom w:w="30" w:type="dxa"/>
              <w:right w:w="20" w:type="dxa"/>
            </w:tcMar>
            <w:vAlign w:val="center"/>
            <w:hideMark/>
          </w:tcPr>
          <w:p w14:paraId="6604E241" w14:textId="77777777" w:rsidR="00000000" w:rsidRDefault="00A173A8">
            <w:pPr>
              <w:spacing w:after="100"/>
              <w:jc w:val="right"/>
              <w:rPr>
                <w:rFonts w:eastAsia="Times New Roman"/>
              </w:rPr>
            </w:pPr>
          </w:p>
        </w:tc>
        <w:tc>
          <w:tcPr>
            <w:tcW w:w="0" w:type="auto"/>
            <w:vAlign w:val="center"/>
            <w:hideMark/>
          </w:tcPr>
          <w:p w14:paraId="6468D724" w14:textId="77777777" w:rsidR="00000000" w:rsidRDefault="00A173A8">
            <w:pPr>
              <w:spacing w:after="100"/>
              <w:jc w:val="right"/>
              <w:rPr>
                <w:rFonts w:eastAsia="Times New Roman"/>
                <w:sz w:val="20"/>
                <w:szCs w:val="20"/>
              </w:rPr>
            </w:pPr>
          </w:p>
        </w:tc>
        <w:tc>
          <w:tcPr>
            <w:tcW w:w="0" w:type="auto"/>
            <w:vAlign w:val="center"/>
            <w:hideMark/>
          </w:tcPr>
          <w:p w14:paraId="25125FC3" w14:textId="77777777" w:rsidR="00000000" w:rsidRDefault="00A173A8">
            <w:pPr>
              <w:spacing w:after="100"/>
              <w:rPr>
                <w:rFonts w:eastAsia="Times New Roman"/>
                <w:sz w:val="20"/>
                <w:szCs w:val="20"/>
              </w:rPr>
            </w:pPr>
          </w:p>
        </w:tc>
      </w:tr>
      <w:tr w:rsidR="00000000" w14:paraId="5AF2C697" w14:textId="77777777">
        <w:trPr>
          <w:divId w:val="1512378366"/>
        </w:trPr>
        <w:tc>
          <w:tcPr>
            <w:tcW w:w="0" w:type="auto"/>
            <w:gridSpan w:val="3"/>
            <w:shd w:val="clear" w:color="auto" w:fill="FFFFFF"/>
            <w:tcMar>
              <w:top w:w="30" w:type="dxa"/>
              <w:left w:w="20" w:type="dxa"/>
              <w:bottom w:w="30" w:type="dxa"/>
              <w:right w:w="20" w:type="dxa"/>
            </w:tcMar>
            <w:vAlign w:val="center"/>
            <w:hideMark/>
          </w:tcPr>
          <w:p w14:paraId="4468E8DB" w14:textId="77777777" w:rsidR="00000000" w:rsidRDefault="00A173A8">
            <w:pPr>
              <w:spacing w:after="100"/>
              <w:rPr>
                <w:rFonts w:eastAsia="Times New Roman"/>
              </w:rPr>
            </w:pPr>
            <w:r>
              <w:rPr>
                <w:rFonts w:eastAsia="Times New Roman"/>
                <w:color w:val="000000"/>
                <w:sz w:val="20"/>
                <w:szCs w:val="20"/>
              </w:rPr>
              <w:t>Amortization of intangibles</w:t>
            </w:r>
          </w:p>
        </w:tc>
        <w:tc>
          <w:tcPr>
            <w:tcW w:w="0" w:type="auto"/>
            <w:gridSpan w:val="3"/>
            <w:shd w:val="clear" w:color="auto" w:fill="FFFFFF"/>
            <w:tcMar>
              <w:top w:w="0" w:type="dxa"/>
              <w:left w:w="20" w:type="dxa"/>
              <w:bottom w:w="0" w:type="dxa"/>
              <w:right w:w="20" w:type="dxa"/>
            </w:tcMar>
            <w:vAlign w:val="center"/>
            <w:hideMark/>
          </w:tcPr>
          <w:p w14:paraId="07BA050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65EE357" w14:textId="77777777" w:rsidR="00000000" w:rsidRDefault="00A173A8">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1442A4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64C3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77C2B1" w14:textId="77777777" w:rsidR="00000000" w:rsidRDefault="00A173A8">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14:paraId="5E74A8F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24DA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E9D9E1" w14:textId="77777777" w:rsidR="00000000" w:rsidRDefault="00A173A8">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F58814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35F7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527C07" w14:textId="77777777" w:rsidR="00000000" w:rsidRDefault="00A173A8">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center"/>
            <w:hideMark/>
          </w:tcPr>
          <w:p w14:paraId="236CCE91" w14:textId="77777777" w:rsidR="00000000" w:rsidRDefault="00A173A8">
            <w:pPr>
              <w:spacing w:after="100"/>
              <w:jc w:val="right"/>
              <w:rPr>
                <w:rFonts w:eastAsia="Times New Roman"/>
              </w:rPr>
            </w:pPr>
          </w:p>
        </w:tc>
        <w:tc>
          <w:tcPr>
            <w:tcW w:w="0" w:type="auto"/>
            <w:vAlign w:val="center"/>
            <w:hideMark/>
          </w:tcPr>
          <w:p w14:paraId="203D6918" w14:textId="77777777" w:rsidR="00000000" w:rsidRDefault="00A173A8">
            <w:pPr>
              <w:spacing w:after="100"/>
              <w:jc w:val="right"/>
              <w:rPr>
                <w:rFonts w:eastAsia="Times New Roman"/>
                <w:sz w:val="20"/>
                <w:szCs w:val="20"/>
              </w:rPr>
            </w:pPr>
          </w:p>
        </w:tc>
        <w:tc>
          <w:tcPr>
            <w:tcW w:w="0" w:type="auto"/>
            <w:vAlign w:val="center"/>
            <w:hideMark/>
          </w:tcPr>
          <w:p w14:paraId="6EF57E14" w14:textId="77777777" w:rsidR="00000000" w:rsidRDefault="00A173A8">
            <w:pPr>
              <w:spacing w:after="100"/>
              <w:rPr>
                <w:rFonts w:eastAsia="Times New Roman"/>
                <w:sz w:val="20"/>
                <w:szCs w:val="20"/>
              </w:rPr>
            </w:pPr>
          </w:p>
        </w:tc>
      </w:tr>
      <w:tr w:rsidR="00000000" w14:paraId="68C2E6D5" w14:textId="77777777">
        <w:trPr>
          <w:divId w:val="1512378366"/>
        </w:trPr>
        <w:tc>
          <w:tcPr>
            <w:tcW w:w="0" w:type="auto"/>
            <w:gridSpan w:val="3"/>
            <w:shd w:val="clear" w:color="auto" w:fill="CCEEFF"/>
            <w:tcMar>
              <w:top w:w="30" w:type="dxa"/>
              <w:left w:w="20" w:type="dxa"/>
              <w:bottom w:w="30" w:type="dxa"/>
              <w:right w:w="20" w:type="dxa"/>
            </w:tcMar>
            <w:vAlign w:val="center"/>
            <w:hideMark/>
          </w:tcPr>
          <w:p w14:paraId="2EB97C7A" w14:textId="77777777" w:rsidR="00000000" w:rsidRDefault="00A173A8">
            <w:pPr>
              <w:spacing w:after="100"/>
              <w:rPr>
                <w:rFonts w:eastAsia="Times New Roman"/>
              </w:rPr>
            </w:pPr>
            <w:r>
              <w:rPr>
                <w:rFonts w:eastAsia="Times New Roman"/>
                <w:color w:val="000000"/>
                <w:sz w:val="20"/>
                <w:szCs w:val="20"/>
              </w:rPr>
              <w:t>Other non-interest expense:</w:t>
            </w:r>
          </w:p>
        </w:tc>
        <w:tc>
          <w:tcPr>
            <w:tcW w:w="0" w:type="auto"/>
            <w:gridSpan w:val="3"/>
            <w:shd w:val="clear" w:color="auto" w:fill="CCEEFF"/>
            <w:tcMar>
              <w:top w:w="0" w:type="dxa"/>
              <w:left w:w="20" w:type="dxa"/>
              <w:bottom w:w="0" w:type="dxa"/>
              <w:right w:w="20" w:type="dxa"/>
            </w:tcMar>
            <w:vAlign w:val="center"/>
            <w:hideMark/>
          </w:tcPr>
          <w:p w14:paraId="1CE92432"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E5DC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000C9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F07F6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55991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DF0A6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9F05B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AAC6FF" w14:textId="77777777" w:rsidR="00000000" w:rsidRDefault="00A173A8">
            <w:pPr>
              <w:spacing w:after="100"/>
              <w:rPr>
                <w:rFonts w:eastAsia="Times New Roman"/>
                <w:sz w:val="20"/>
                <w:szCs w:val="20"/>
              </w:rPr>
            </w:pPr>
          </w:p>
        </w:tc>
        <w:tc>
          <w:tcPr>
            <w:tcW w:w="0" w:type="auto"/>
            <w:vAlign w:val="center"/>
            <w:hideMark/>
          </w:tcPr>
          <w:p w14:paraId="36A10119" w14:textId="77777777" w:rsidR="00000000" w:rsidRDefault="00A173A8">
            <w:pPr>
              <w:spacing w:after="100"/>
              <w:rPr>
                <w:rFonts w:eastAsia="Times New Roman"/>
                <w:sz w:val="20"/>
                <w:szCs w:val="20"/>
              </w:rPr>
            </w:pPr>
          </w:p>
        </w:tc>
        <w:tc>
          <w:tcPr>
            <w:tcW w:w="0" w:type="auto"/>
            <w:vAlign w:val="center"/>
            <w:hideMark/>
          </w:tcPr>
          <w:p w14:paraId="59B3FB77" w14:textId="77777777" w:rsidR="00000000" w:rsidRDefault="00A173A8">
            <w:pPr>
              <w:spacing w:after="100"/>
              <w:rPr>
                <w:rFonts w:eastAsia="Times New Roman"/>
                <w:sz w:val="20"/>
                <w:szCs w:val="20"/>
              </w:rPr>
            </w:pPr>
          </w:p>
        </w:tc>
      </w:tr>
      <w:tr w:rsidR="00000000" w14:paraId="6A0B0E6C" w14:textId="77777777">
        <w:trPr>
          <w:divId w:val="1512378366"/>
        </w:trPr>
        <w:tc>
          <w:tcPr>
            <w:tcW w:w="0" w:type="auto"/>
            <w:gridSpan w:val="3"/>
            <w:shd w:val="clear" w:color="auto" w:fill="FFFFFF"/>
            <w:tcMar>
              <w:top w:w="30" w:type="dxa"/>
              <w:left w:w="245" w:type="dxa"/>
              <w:bottom w:w="30" w:type="dxa"/>
              <w:right w:w="20" w:type="dxa"/>
            </w:tcMar>
            <w:vAlign w:val="center"/>
            <w:hideMark/>
          </w:tcPr>
          <w:p w14:paraId="181E7B15" w14:textId="77777777" w:rsidR="00000000" w:rsidRDefault="00A173A8">
            <w:pPr>
              <w:spacing w:after="100"/>
              <w:rPr>
                <w:rFonts w:eastAsia="Times New Roman"/>
              </w:rPr>
            </w:pPr>
            <w:r>
              <w:rPr>
                <w:rFonts w:eastAsia="Times New Roman"/>
                <w:color w:val="000000"/>
                <w:sz w:val="20"/>
                <w:szCs w:val="20"/>
              </w:rPr>
              <w:t>Bankcard, regulatory and other fee assessments</w:t>
            </w:r>
          </w:p>
        </w:tc>
        <w:tc>
          <w:tcPr>
            <w:tcW w:w="0" w:type="auto"/>
            <w:gridSpan w:val="3"/>
            <w:shd w:val="clear" w:color="auto" w:fill="FFFFFF"/>
            <w:tcMar>
              <w:top w:w="0" w:type="dxa"/>
              <w:left w:w="20" w:type="dxa"/>
              <w:bottom w:w="0" w:type="dxa"/>
              <w:right w:w="20" w:type="dxa"/>
            </w:tcMar>
            <w:vAlign w:val="center"/>
            <w:hideMark/>
          </w:tcPr>
          <w:p w14:paraId="64649836"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23049AE" w14:textId="77777777" w:rsidR="00000000" w:rsidRDefault="00A173A8">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18747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157B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1F4114" w14:textId="77777777" w:rsidR="00000000" w:rsidRDefault="00A173A8">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center"/>
            <w:hideMark/>
          </w:tcPr>
          <w:p w14:paraId="5110732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FA08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5E1555" w14:textId="77777777" w:rsidR="00000000" w:rsidRDefault="00A173A8">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3656A5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E882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AAA24C" w14:textId="77777777" w:rsidR="00000000" w:rsidRDefault="00A173A8">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center"/>
            <w:hideMark/>
          </w:tcPr>
          <w:p w14:paraId="0B214529" w14:textId="77777777" w:rsidR="00000000" w:rsidRDefault="00A173A8">
            <w:pPr>
              <w:spacing w:after="100"/>
              <w:jc w:val="right"/>
              <w:rPr>
                <w:rFonts w:eastAsia="Times New Roman"/>
              </w:rPr>
            </w:pPr>
          </w:p>
        </w:tc>
        <w:tc>
          <w:tcPr>
            <w:tcW w:w="0" w:type="auto"/>
            <w:vAlign w:val="center"/>
            <w:hideMark/>
          </w:tcPr>
          <w:p w14:paraId="1666D9A3" w14:textId="77777777" w:rsidR="00000000" w:rsidRDefault="00A173A8">
            <w:pPr>
              <w:spacing w:after="100"/>
              <w:jc w:val="right"/>
              <w:rPr>
                <w:rFonts w:eastAsia="Times New Roman"/>
                <w:sz w:val="20"/>
                <w:szCs w:val="20"/>
              </w:rPr>
            </w:pPr>
          </w:p>
        </w:tc>
        <w:tc>
          <w:tcPr>
            <w:tcW w:w="0" w:type="auto"/>
            <w:vAlign w:val="center"/>
            <w:hideMark/>
          </w:tcPr>
          <w:p w14:paraId="02B80E59" w14:textId="77777777" w:rsidR="00000000" w:rsidRDefault="00A173A8">
            <w:pPr>
              <w:spacing w:after="100"/>
              <w:rPr>
                <w:rFonts w:eastAsia="Times New Roman"/>
                <w:sz w:val="20"/>
                <w:szCs w:val="20"/>
              </w:rPr>
            </w:pPr>
          </w:p>
        </w:tc>
      </w:tr>
      <w:tr w:rsidR="00000000" w14:paraId="750602D9" w14:textId="77777777">
        <w:trPr>
          <w:divId w:val="1512378366"/>
        </w:trPr>
        <w:tc>
          <w:tcPr>
            <w:tcW w:w="0" w:type="auto"/>
            <w:gridSpan w:val="3"/>
            <w:shd w:val="clear" w:color="auto" w:fill="CCEEFF"/>
            <w:tcMar>
              <w:top w:w="30" w:type="dxa"/>
              <w:left w:w="245" w:type="dxa"/>
              <w:bottom w:w="30" w:type="dxa"/>
              <w:right w:w="20" w:type="dxa"/>
            </w:tcMar>
            <w:vAlign w:val="center"/>
            <w:hideMark/>
          </w:tcPr>
          <w:p w14:paraId="453537E1" w14:textId="77777777" w:rsidR="00000000" w:rsidRDefault="00A173A8">
            <w:pPr>
              <w:spacing w:after="100"/>
              <w:rPr>
                <w:rFonts w:eastAsia="Times New Roman"/>
              </w:rPr>
            </w:pPr>
            <w:r>
              <w:rPr>
                <w:rFonts w:eastAsia="Times New Roman"/>
                <w:color w:val="000000"/>
                <w:sz w:val="20"/>
                <w:szCs w:val="20"/>
              </w:rPr>
              <w:t>Collections</w:t>
            </w:r>
          </w:p>
        </w:tc>
        <w:tc>
          <w:tcPr>
            <w:tcW w:w="0" w:type="auto"/>
            <w:gridSpan w:val="3"/>
            <w:shd w:val="clear" w:color="auto" w:fill="CCEEFF"/>
            <w:tcMar>
              <w:top w:w="0" w:type="dxa"/>
              <w:left w:w="20" w:type="dxa"/>
              <w:bottom w:w="0" w:type="dxa"/>
              <w:right w:w="20" w:type="dxa"/>
            </w:tcMar>
            <w:vAlign w:val="center"/>
            <w:hideMark/>
          </w:tcPr>
          <w:p w14:paraId="25AD79C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B255BE7" w14:textId="77777777" w:rsidR="00000000" w:rsidRDefault="00A173A8">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3435E8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DF79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6075E8" w14:textId="77777777" w:rsidR="00000000" w:rsidRDefault="00A173A8">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center"/>
            <w:hideMark/>
          </w:tcPr>
          <w:p w14:paraId="5698308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899C0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32B5B7" w14:textId="77777777" w:rsidR="00000000" w:rsidRDefault="00A173A8">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572282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7AADD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6B025D" w14:textId="77777777" w:rsidR="00000000" w:rsidRDefault="00A173A8">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center"/>
            <w:hideMark/>
          </w:tcPr>
          <w:p w14:paraId="6C46A903" w14:textId="77777777" w:rsidR="00000000" w:rsidRDefault="00A173A8">
            <w:pPr>
              <w:spacing w:after="100"/>
              <w:jc w:val="right"/>
              <w:rPr>
                <w:rFonts w:eastAsia="Times New Roman"/>
              </w:rPr>
            </w:pPr>
          </w:p>
        </w:tc>
        <w:tc>
          <w:tcPr>
            <w:tcW w:w="0" w:type="auto"/>
            <w:vAlign w:val="center"/>
            <w:hideMark/>
          </w:tcPr>
          <w:p w14:paraId="6DCEC243" w14:textId="77777777" w:rsidR="00000000" w:rsidRDefault="00A173A8">
            <w:pPr>
              <w:spacing w:after="100"/>
              <w:jc w:val="right"/>
              <w:rPr>
                <w:rFonts w:eastAsia="Times New Roman"/>
                <w:sz w:val="20"/>
                <w:szCs w:val="20"/>
              </w:rPr>
            </w:pPr>
          </w:p>
        </w:tc>
        <w:tc>
          <w:tcPr>
            <w:tcW w:w="0" w:type="auto"/>
            <w:vAlign w:val="center"/>
            <w:hideMark/>
          </w:tcPr>
          <w:p w14:paraId="2FFF6D04" w14:textId="77777777" w:rsidR="00000000" w:rsidRDefault="00A173A8">
            <w:pPr>
              <w:spacing w:after="100"/>
              <w:rPr>
                <w:rFonts w:eastAsia="Times New Roman"/>
                <w:sz w:val="20"/>
                <w:szCs w:val="20"/>
              </w:rPr>
            </w:pPr>
          </w:p>
        </w:tc>
      </w:tr>
      <w:tr w:rsidR="00000000" w14:paraId="3C1AB015" w14:textId="77777777">
        <w:trPr>
          <w:divId w:val="1512378366"/>
        </w:trPr>
        <w:tc>
          <w:tcPr>
            <w:tcW w:w="0" w:type="auto"/>
            <w:gridSpan w:val="3"/>
            <w:vAlign w:val="center"/>
            <w:hideMark/>
          </w:tcPr>
          <w:p w14:paraId="02A83B38" w14:textId="77777777" w:rsidR="00000000" w:rsidRDefault="00A173A8">
            <w:pPr>
              <w:spacing w:after="100"/>
              <w:rPr>
                <w:rFonts w:eastAsia="Times New Roman"/>
                <w:sz w:val="20"/>
                <w:szCs w:val="20"/>
              </w:rPr>
            </w:pPr>
          </w:p>
        </w:tc>
        <w:tc>
          <w:tcPr>
            <w:tcW w:w="0" w:type="auto"/>
            <w:gridSpan w:val="3"/>
            <w:vAlign w:val="center"/>
            <w:hideMark/>
          </w:tcPr>
          <w:p w14:paraId="0AF4748A" w14:textId="77777777" w:rsidR="00000000" w:rsidRDefault="00A173A8">
            <w:pPr>
              <w:spacing w:after="100"/>
              <w:rPr>
                <w:rFonts w:eastAsia="Times New Roman"/>
                <w:sz w:val="20"/>
                <w:szCs w:val="20"/>
              </w:rPr>
            </w:pPr>
          </w:p>
        </w:tc>
        <w:tc>
          <w:tcPr>
            <w:tcW w:w="0" w:type="auto"/>
            <w:gridSpan w:val="3"/>
            <w:vAlign w:val="center"/>
            <w:hideMark/>
          </w:tcPr>
          <w:p w14:paraId="5F279784" w14:textId="77777777" w:rsidR="00000000" w:rsidRDefault="00A173A8">
            <w:pPr>
              <w:spacing w:after="100"/>
              <w:rPr>
                <w:rFonts w:eastAsia="Times New Roman"/>
                <w:sz w:val="20"/>
                <w:szCs w:val="20"/>
              </w:rPr>
            </w:pPr>
          </w:p>
        </w:tc>
        <w:tc>
          <w:tcPr>
            <w:tcW w:w="0" w:type="auto"/>
            <w:gridSpan w:val="3"/>
            <w:vAlign w:val="center"/>
            <w:hideMark/>
          </w:tcPr>
          <w:p w14:paraId="0CEC9B6F" w14:textId="77777777" w:rsidR="00000000" w:rsidRDefault="00A173A8">
            <w:pPr>
              <w:spacing w:after="100"/>
              <w:rPr>
                <w:rFonts w:eastAsia="Times New Roman"/>
                <w:sz w:val="20"/>
                <w:szCs w:val="20"/>
              </w:rPr>
            </w:pPr>
          </w:p>
        </w:tc>
        <w:tc>
          <w:tcPr>
            <w:tcW w:w="0" w:type="auto"/>
            <w:gridSpan w:val="3"/>
            <w:vAlign w:val="center"/>
            <w:hideMark/>
          </w:tcPr>
          <w:p w14:paraId="6C139882" w14:textId="77777777" w:rsidR="00000000" w:rsidRDefault="00A173A8">
            <w:pPr>
              <w:spacing w:after="100"/>
              <w:rPr>
                <w:rFonts w:eastAsia="Times New Roman"/>
                <w:sz w:val="20"/>
                <w:szCs w:val="20"/>
              </w:rPr>
            </w:pPr>
          </w:p>
        </w:tc>
        <w:tc>
          <w:tcPr>
            <w:tcW w:w="0" w:type="auto"/>
            <w:gridSpan w:val="3"/>
            <w:vAlign w:val="center"/>
            <w:hideMark/>
          </w:tcPr>
          <w:p w14:paraId="46CEB35B" w14:textId="77777777" w:rsidR="00000000" w:rsidRDefault="00A173A8">
            <w:pPr>
              <w:spacing w:after="100"/>
              <w:rPr>
                <w:rFonts w:eastAsia="Times New Roman"/>
                <w:sz w:val="20"/>
                <w:szCs w:val="20"/>
              </w:rPr>
            </w:pPr>
          </w:p>
        </w:tc>
        <w:tc>
          <w:tcPr>
            <w:tcW w:w="0" w:type="auto"/>
            <w:gridSpan w:val="3"/>
            <w:vAlign w:val="center"/>
            <w:hideMark/>
          </w:tcPr>
          <w:p w14:paraId="02C374EB" w14:textId="77777777" w:rsidR="00000000" w:rsidRDefault="00A173A8">
            <w:pPr>
              <w:spacing w:after="100"/>
              <w:rPr>
                <w:rFonts w:eastAsia="Times New Roman"/>
                <w:sz w:val="20"/>
                <w:szCs w:val="20"/>
              </w:rPr>
            </w:pPr>
          </w:p>
        </w:tc>
        <w:tc>
          <w:tcPr>
            <w:tcW w:w="0" w:type="auto"/>
            <w:gridSpan w:val="3"/>
            <w:vAlign w:val="center"/>
            <w:hideMark/>
          </w:tcPr>
          <w:p w14:paraId="1F68FA18" w14:textId="77777777" w:rsidR="00000000" w:rsidRDefault="00A173A8">
            <w:pPr>
              <w:spacing w:after="100"/>
              <w:rPr>
                <w:rFonts w:eastAsia="Times New Roman"/>
                <w:sz w:val="20"/>
                <w:szCs w:val="20"/>
              </w:rPr>
            </w:pPr>
          </w:p>
        </w:tc>
        <w:tc>
          <w:tcPr>
            <w:tcW w:w="0" w:type="auto"/>
            <w:gridSpan w:val="3"/>
            <w:vAlign w:val="center"/>
            <w:hideMark/>
          </w:tcPr>
          <w:p w14:paraId="194F3055" w14:textId="77777777" w:rsidR="00000000" w:rsidRDefault="00A173A8">
            <w:pPr>
              <w:spacing w:after="100"/>
              <w:rPr>
                <w:rFonts w:eastAsia="Times New Roman"/>
                <w:sz w:val="20"/>
                <w:szCs w:val="20"/>
              </w:rPr>
            </w:pPr>
          </w:p>
        </w:tc>
        <w:tc>
          <w:tcPr>
            <w:tcW w:w="0" w:type="auto"/>
            <w:vAlign w:val="center"/>
            <w:hideMark/>
          </w:tcPr>
          <w:p w14:paraId="0DFDED8C" w14:textId="77777777" w:rsidR="00000000" w:rsidRDefault="00A173A8">
            <w:pPr>
              <w:spacing w:after="100"/>
              <w:rPr>
                <w:rFonts w:eastAsia="Times New Roman"/>
                <w:sz w:val="20"/>
                <w:szCs w:val="20"/>
              </w:rPr>
            </w:pPr>
          </w:p>
        </w:tc>
        <w:tc>
          <w:tcPr>
            <w:tcW w:w="0" w:type="auto"/>
            <w:vAlign w:val="center"/>
            <w:hideMark/>
          </w:tcPr>
          <w:p w14:paraId="618EBDF8" w14:textId="77777777" w:rsidR="00000000" w:rsidRDefault="00A173A8">
            <w:pPr>
              <w:spacing w:after="100"/>
              <w:rPr>
                <w:rFonts w:eastAsia="Times New Roman"/>
                <w:sz w:val="20"/>
                <w:szCs w:val="20"/>
              </w:rPr>
            </w:pPr>
          </w:p>
        </w:tc>
      </w:tr>
      <w:tr w:rsidR="00000000" w14:paraId="5E1FA0EF" w14:textId="77777777">
        <w:trPr>
          <w:divId w:val="1512378366"/>
        </w:trPr>
        <w:tc>
          <w:tcPr>
            <w:tcW w:w="0" w:type="auto"/>
            <w:gridSpan w:val="3"/>
            <w:shd w:val="clear" w:color="auto" w:fill="FFFFFF"/>
            <w:tcMar>
              <w:top w:w="30" w:type="dxa"/>
              <w:left w:w="245" w:type="dxa"/>
              <w:bottom w:w="30" w:type="dxa"/>
              <w:right w:w="20" w:type="dxa"/>
            </w:tcMar>
            <w:vAlign w:val="center"/>
            <w:hideMark/>
          </w:tcPr>
          <w:p w14:paraId="66E1D910" w14:textId="77777777" w:rsidR="00000000" w:rsidRDefault="00A173A8">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015126F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14F7CC9" w14:textId="77777777" w:rsidR="00000000" w:rsidRDefault="00A173A8">
            <w:pPr>
              <w:spacing w:after="100"/>
              <w:jc w:val="right"/>
              <w:rPr>
                <w:rFonts w:eastAsia="Times New Roman"/>
              </w:rPr>
            </w:pPr>
            <w:r>
              <w:rPr>
                <w:rFonts w:eastAsia="Times New Roman"/>
                <w:b/>
                <w:bCs/>
                <w:color w:val="000000"/>
                <w:sz w:val="20"/>
                <w:szCs w:val="20"/>
              </w:rPr>
              <w:t>202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172FC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697D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3BDE39" w14:textId="77777777" w:rsidR="00000000" w:rsidRDefault="00A173A8">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center"/>
            <w:hideMark/>
          </w:tcPr>
          <w:p w14:paraId="31C9068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0B358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10DAB3" w14:textId="77777777" w:rsidR="00000000" w:rsidRDefault="00A173A8">
            <w:pPr>
              <w:spacing w:after="100"/>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A2E5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6D11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CF6BBF" w14:textId="77777777" w:rsidR="00000000" w:rsidRDefault="00A173A8">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center"/>
            <w:hideMark/>
          </w:tcPr>
          <w:p w14:paraId="75652785" w14:textId="77777777" w:rsidR="00000000" w:rsidRDefault="00A173A8">
            <w:pPr>
              <w:spacing w:after="100"/>
              <w:jc w:val="right"/>
              <w:rPr>
                <w:rFonts w:eastAsia="Times New Roman"/>
              </w:rPr>
            </w:pPr>
          </w:p>
        </w:tc>
        <w:tc>
          <w:tcPr>
            <w:tcW w:w="0" w:type="auto"/>
            <w:vAlign w:val="center"/>
            <w:hideMark/>
          </w:tcPr>
          <w:p w14:paraId="44AA0ECE" w14:textId="77777777" w:rsidR="00000000" w:rsidRDefault="00A173A8">
            <w:pPr>
              <w:spacing w:after="100"/>
              <w:jc w:val="right"/>
              <w:rPr>
                <w:rFonts w:eastAsia="Times New Roman"/>
                <w:sz w:val="20"/>
                <w:szCs w:val="20"/>
              </w:rPr>
            </w:pPr>
          </w:p>
        </w:tc>
        <w:tc>
          <w:tcPr>
            <w:tcW w:w="0" w:type="auto"/>
            <w:vAlign w:val="center"/>
            <w:hideMark/>
          </w:tcPr>
          <w:p w14:paraId="4B06C77B" w14:textId="77777777" w:rsidR="00000000" w:rsidRDefault="00A173A8">
            <w:pPr>
              <w:spacing w:after="100"/>
              <w:rPr>
                <w:rFonts w:eastAsia="Times New Roman"/>
                <w:sz w:val="20"/>
                <w:szCs w:val="20"/>
              </w:rPr>
            </w:pPr>
          </w:p>
        </w:tc>
      </w:tr>
      <w:tr w:rsidR="00000000" w14:paraId="0CDE6E49" w14:textId="77777777">
        <w:trPr>
          <w:divId w:val="1512378366"/>
        </w:trPr>
        <w:tc>
          <w:tcPr>
            <w:tcW w:w="0" w:type="auto"/>
            <w:gridSpan w:val="3"/>
            <w:shd w:val="clear" w:color="auto" w:fill="CCEEFF"/>
            <w:tcMar>
              <w:top w:w="30" w:type="dxa"/>
              <w:left w:w="20" w:type="dxa"/>
              <w:bottom w:w="30" w:type="dxa"/>
              <w:right w:w="20" w:type="dxa"/>
            </w:tcMar>
            <w:vAlign w:val="center"/>
            <w:hideMark/>
          </w:tcPr>
          <w:p w14:paraId="7E6DD633" w14:textId="77777777" w:rsidR="00000000" w:rsidRDefault="00A173A8">
            <w:pPr>
              <w:spacing w:after="100"/>
              <w:rPr>
                <w:rFonts w:eastAsia="Times New Roman"/>
              </w:rPr>
            </w:pPr>
            <w:r>
              <w:rPr>
                <w:rFonts w:eastAsia="Times New Roman"/>
                <w:color w:val="000000"/>
                <w:sz w:val="20"/>
                <w:szCs w:val="20"/>
              </w:rPr>
              <w:t>Total other non-interest expense</w:t>
            </w:r>
          </w:p>
        </w:tc>
        <w:tc>
          <w:tcPr>
            <w:tcW w:w="0" w:type="auto"/>
            <w:gridSpan w:val="3"/>
            <w:shd w:val="clear" w:color="auto" w:fill="CCEEFF"/>
            <w:tcMar>
              <w:top w:w="0" w:type="dxa"/>
              <w:left w:w="20" w:type="dxa"/>
              <w:bottom w:w="0" w:type="dxa"/>
              <w:right w:w="20" w:type="dxa"/>
            </w:tcMar>
            <w:vAlign w:val="center"/>
            <w:hideMark/>
          </w:tcPr>
          <w:p w14:paraId="56BF5983"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D9E184" w14:textId="77777777" w:rsidR="00000000" w:rsidRDefault="00A173A8">
            <w:pPr>
              <w:spacing w:after="100"/>
              <w:jc w:val="right"/>
              <w:rPr>
                <w:rFonts w:eastAsia="Times New Roman"/>
              </w:rPr>
            </w:pPr>
            <w:r>
              <w:rPr>
                <w:rFonts w:eastAsia="Times New Roman"/>
                <w:b/>
                <w:bCs/>
                <w:color w:val="000000"/>
                <w:sz w:val="20"/>
                <w:szCs w:val="20"/>
              </w:rPr>
              <w:t>342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AD402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2B85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E5ABFC" w14:textId="77777777" w:rsidR="00000000" w:rsidRDefault="00A173A8">
            <w:pPr>
              <w:spacing w:after="100"/>
              <w:jc w:val="right"/>
              <w:rPr>
                <w:rFonts w:eastAsia="Times New Roman"/>
              </w:rPr>
            </w:pPr>
            <w:r>
              <w:rPr>
                <w:rFonts w:eastAsia="Times New Roman"/>
                <w:color w:val="000000"/>
                <w:sz w:val="20"/>
                <w:szCs w:val="20"/>
              </w:rPr>
              <w:t>381 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038AA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A498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12F1B3" w14:textId="77777777" w:rsidR="00000000" w:rsidRDefault="00A173A8">
            <w:pPr>
              <w:spacing w:after="100"/>
              <w:jc w:val="right"/>
              <w:rPr>
                <w:rFonts w:eastAsia="Times New Roman"/>
              </w:rPr>
            </w:pPr>
            <w:r>
              <w:rPr>
                <w:rFonts w:eastAsia="Times New Roman"/>
                <w:b/>
                <w:bCs/>
                <w:color w:val="000000"/>
                <w:sz w:val="20"/>
                <w:szCs w:val="20"/>
              </w:rPr>
              <w:t>686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CF491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3511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6B9D9FD" w14:textId="77777777" w:rsidR="00000000" w:rsidRDefault="00A173A8">
            <w:pPr>
              <w:spacing w:after="100"/>
              <w:jc w:val="right"/>
              <w:rPr>
                <w:rFonts w:eastAsia="Times New Roman"/>
              </w:rPr>
            </w:pPr>
            <w:r>
              <w:rPr>
                <w:rFonts w:eastAsia="Times New Roman"/>
                <w:color w:val="000000"/>
                <w:sz w:val="20"/>
                <w:szCs w:val="20"/>
              </w:rPr>
              <w:t>701 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EC661A" w14:textId="77777777" w:rsidR="00000000" w:rsidRDefault="00A173A8">
            <w:pPr>
              <w:spacing w:after="100"/>
              <w:jc w:val="right"/>
              <w:rPr>
                <w:rFonts w:eastAsia="Times New Roman"/>
              </w:rPr>
            </w:pPr>
          </w:p>
        </w:tc>
        <w:tc>
          <w:tcPr>
            <w:tcW w:w="0" w:type="auto"/>
            <w:vAlign w:val="center"/>
            <w:hideMark/>
          </w:tcPr>
          <w:p w14:paraId="6215A6D8" w14:textId="77777777" w:rsidR="00000000" w:rsidRDefault="00A173A8">
            <w:pPr>
              <w:spacing w:after="100"/>
              <w:jc w:val="right"/>
              <w:rPr>
                <w:rFonts w:eastAsia="Times New Roman"/>
                <w:sz w:val="20"/>
                <w:szCs w:val="20"/>
              </w:rPr>
            </w:pPr>
          </w:p>
        </w:tc>
        <w:tc>
          <w:tcPr>
            <w:tcW w:w="0" w:type="auto"/>
            <w:vAlign w:val="center"/>
            <w:hideMark/>
          </w:tcPr>
          <w:p w14:paraId="73AE9D88" w14:textId="77777777" w:rsidR="00000000" w:rsidRDefault="00A173A8">
            <w:pPr>
              <w:spacing w:after="100"/>
              <w:rPr>
                <w:rFonts w:eastAsia="Times New Roman"/>
                <w:sz w:val="20"/>
                <w:szCs w:val="20"/>
              </w:rPr>
            </w:pPr>
          </w:p>
        </w:tc>
      </w:tr>
      <w:tr w:rsidR="00000000" w14:paraId="3ABE92C6" w14:textId="77777777">
        <w:trPr>
          <w:divId w:val="1512378366"/>
        </w:trPr>
        <w:tc>
          <w:tcPr>
            <w:tcW w:w="0" w:type="auto"/>
            <w:gridSpan w:val="3"/>
            <w:shd w:val="clear" w:color="auto" w:fill="FFFFFF"/>
            <w:tcMar>
              <w:top w:w="30" w:type="dxa"/>
              <w:left w:w="20" w:type="dxa"/>
              <w:bottom w:w="30" w:type="dxa"/>
              <w:right w:w="20" w:type="dxa"/>
            </w:tcMar>
            <w:vAlign w:val="center"/>
            <w:hideMark/>
          </w:tcPr>
          <w:p w14:paraId="4C398E02" w14:textId="77777777" w:rsidR="00000000" w:rsidRDefault="00A173A8">
            <w:pPr>
              <w:spacing w:after="100"/>
              <w:rPr>
                <w:rFonts w:eastAsia="Times New Roman"/>
              </w:rPr>
            </w:pPr>
            <w:r>
              <w:rPr>
                <w:rFonts w:eastAsia="Times New Roman"/>
                <w:color w:val="000000"/>
                <w:sz w:val="20"/>
                <w:szCs w:val="20"/>
              </w:rPr>
              <w:t>Total non-interest expense</w:t>
            </w:r>
          </w:p>
        </w:tc>
        <w:tc>
          <w:tcPr>
            <w:tcW w:w="0" w:type="auto"/>
            <w:gridSpan w:val="3"/>
            <w:shd w:val="clear" w:color="auto" w:fill="FFFFFF"/>
            <w:tcMar>
              <w:top w:w="0" w:type="dxa"/>
              <w:left w:w="20" w:type="dxa"/>
              <w:bottom w:w="0" w:type="dxa"/>
              <w:right w:w="20" w:type="dxa"/>
            </w:tcMar>
            <w:vAlign w:val="center"/>
            <w:hideMark/>
          </w:tcPr>
          <w:p w14:paraId="5709B200"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9FE8A96"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5175524" w14:textId="77777777" w:rsidR="00000000" w:rsidRDefault="00A173A8">
            <w:pPr>
              <w:spacing w:after="100"/>
              <w:jc w:val="right"/>
              <w:rPr>
                <w:rFonts w:eastAsia="Times New Roman"/>
              </w:rPr>
            </w:pPr>
            <w:r>
              <w:rPr>
                <w:rFonts w:eastAsia="Times New Roman"/>
                <w:b/>
                <w:bCs/>
                <w:color w:val="000000"/>
                <w:sz w:val="20"/>
                <w:szCs w:val="20"/>
              </w:rPr>
              <w:t>4,583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B2A05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2EF90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3152970"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DE36CA0" w14:textId="77777777" w:rsidR="00000000" w:rsidRDefault="00A173A8">
            <w:pPr>
              <w:spacing w:after="100"/>
              <w:jc w:val="right"/>
              <w:rPr>
                <w:rFonts w:eastAsia="Times New Roman"/>
              </w:rPr>
            </w:pPr>
            <w:r>
              <w:rPr>
                <w:rFonts w:eastAsia="Times New Roman"/>
                <w:color w:val="000000"/>
                <w:sz w:val="20"/>
                <w:szCs w:val="20"/>
              </w:rPr>
              <w:t>3,966 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8CB262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3222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5C0E073"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36F3F71" w14:textId="77777777" w:rsidR="00000000" w:rsidRDefault="00A173A8">
            <w:pPr>
              <w:spacing w:after="100"/>
              <w:jc w:val="right"/>
              <w:rPr>
                <w:rFonts w:eastAsia="Times New Roman"/>
              </w:rPr>
            </w:pPr>
            <w:r>
              <w:rPr>
                <w:rFonts w:eastAsia="Times New Roman"/>
                <w:b/>
                <w:bCs/>
                <w:color w:val="000000"/>
                <w:sz w:val="20"/>
                <w:szCs w:val="20"/>
              </w:rPr>
              <w:t>9,134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DE1BD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27CF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3F1753D"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12B66A6" w14:textId="77777777" w:rsidR="00000000" w:rsidRDefault="00A173A8">
            <w:pPr>
              <w:spacing w:after="100"/>
              <w:jc w:val="right"/>
              <w:rPr>
                <w:rFonts w:eastAsia="Times New Roman"/>
              </w:rPr>
            </w:pPr>
            <w:r>
              <w:rPr>
                <w:rFonts w:eastAsia="Times New Roman"/>
                <w:color w:val="000000"/>
                <w:sz w:val="20"/>
                <w:szCs w:val="20"/>
              </w:rPr>
              <w:t>7,706 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90DBEB3" w14:textId="77777777" w:rsidR="00000000" w:rsidRDefault="00A173A8">
            <w:pPr>
              <w:spacing w:after="100"/>
              <w:jc w:val="right"/>
              <w:rPr>
                <w:rFonts w:eastAsia="Times New Roman"/>
              </w:rPr>
            </w:pPr>
          </w:p>
        </w:tc>
        <w:tc>
          <w:tcPr>
            <w:tcW w:w="0" w:type="auto"/>
            <w:vAlign w:val="center"/>
            <w:hideMark/>
          </w:tcPr>
          <w:p w14:paraId="4F59D568" w14:textId="77777777" w:rsidR="00000000" w:rsidRDefault="00A173A8">
            <w:pPr>
              <w:spacing w:after="100"/>
              <w:jc w:val="right"/>
              <w:rPr>
                <w:rFonts w:eastAsia="Times New Roman"/>
                <w:sz w:val="20"/>
                <w:szCs w:val="20"/>
              </w:rPr>
            </w:pPr>
          </w:p>
        </w:tc>
        <w:tc>
          <w:tcPr>
            <w:tcW w:w="0" w:type="auto"/>
            <w:vAlign w:val="center"/>
            <w:hideMark/>
          </w:tcPr>
          <w:p w14:paraId="445CE4B3" w14:textId="77777777" w:rsidR="00000000" w:rsidRDefault="00A173A8">
            <w:pPr>
              <w:spacing w:after="100"/>
              <w:rPr>
                <w:rFonts w:eastAsia="Times New Roman"/>
                <w:sz w:val="20"/>
                <w:szCs w:val="20"/>
              </w:rPr>
            </w:pPr>
          </w:p>
        </w:tc>
      </w:tr>
    </w:tbl>
    <w:p w14:paraId="3C119769" w14:textId="77777777" w:rsidR="00000000" w:rsidRDefault="00A173A8">
      <w:pPr>
        <w:divId w:val="1512378366"/>
        <w:rPr>
          <w:rFonts w:eastAsia="Times New Roman"/>
        </w:rPr>
      </w:pPr>
      <w:r>
        <w:rPr>
          <w:rFonts w:eastAsia="Times New Roman"/>
          <w:color w:val="000000"/>
          <w:sz w:val="20"/>
          <w:szCs w:val="20"/>
        </w:rPr>
        <w:t>_________</w:t>
      </w:r>
    </w:p>
    <w:p w14:paraId="09EA7D0D" w14:textId="77777777" w:rsidR="00000000" w:rsidRDefault="00A173A8">
      <w:pPr>
        <w:ind w:hanging="360"/>
        <w:jc w:val="both"/>
        <w:divId w:val="40372637"/>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Includes a benefit of</w:t>
      </w:r>
      <w:r>
        <w:rPr>
          <w:rFonts w:eastAsia="Times New Roman"/>
          <w:color w:val="000000"/>
          <w:sz w:val="16"/>
          <w:szCs w:val="16"/>
          <w:shd w:val="clear" w:color="auto" w:fill="FFFFFF"/>
        </w:rPr>
        <w:t xml:space="preserve"> </w:t>
      </w:r>
      <w:r>
        <w:rPr>
          <w:rFonts w:eastAsia="Times New Roman"/>
          <w:color w:val="000000"/>
          <w:sz w:val="16"/>
          <w:szCs w:val="16"/>
        </w:rPr>
        <w:t>$62 million and $87 million</w:t>
      </w:r>
      <w:r>
        <w:rPr>
          <w:rFonts w:eastAsia="Times New Roman"/>
          <w:color w:val="000000"/>
          <w:sz w:val="20"/>
          <w:szCs w:val="20"/>
        </w:rPr>
        <w:t xml:space="preserve"> </w:t>
      </w:r>
      <w:r>
        <w:rPr>
          <w:rFonts w:eastAsia="Times New Roman"/>
          <w:color w:val="000000"/>
          <w:sz w:val="16"/>
          <w:szCs w:val="16"/>
        </w:rPr>
        <w:t xml:space="preserve">related to our deferred compensation plan investments for the second quarter and first six months of 2022, respectively, and expense of </w:t>
      </w:r>
      <w:r>
        <w:rPr>
          <w:rFonts w:eastAsia="Times New Roman"/>
          <w:color w:val="000000"/>
          <w:sz w:val="16"/>
          <w:szCs w:val="16"/>
          <w:shd w:val="clear" w:color="auto" w:fill="FFFFFF"/>
        </w:rPr>
        <w:t>$2</w:t>
      </w:r>
      <w:r>
        <w:rPr>
          <w:rFonts w:eastAsia="Times New Roman"/>
          <w:color w:val="000000"/>
          <w:sz w:val="16"/>
          <w:szCs w:val="16"/>
          <w:shd w:val="clear" w:color="auto" w:fill="FFFFFF"/>
        </w:rPr>
        <w:t xml:space="preserve">6 million and $45 million </w:t>
      </w:r>
      <w:r>
        <w:rPr>
          <w:rFonts w:eastAsia="Times New Roman"/>
          <w:color w:val="000000"/>
          <w:sz w:val="16"/>
          <w:szCs w:val="16"/>
        </w:rPr>
        <w:t>related to our deferred compensation plan investments</w:t>
      </w:r>
      <w:r>
        <w:rPr>
          <w:rFonts w:eastAsia="Times New Roman"/>
          <w:color w:val="000000"/>
          <w:sz w:val="16"/>
          <w:szCs w:val="16"/>
          <w:shd w:val="clear" w:color="auto" w:fill="FFFFFF"/>
        </w:rPr>
        <w:t xml:space="preserve"> for</w:t>
      </w:r>
      <w:r>
        <w:rPr>
          <w:rFonts w:eastAsia="Times New Roman"/>
          <w:color w:val="000000"/>
          <w:sz w:val="16"/>
          <w:szCs w:val="16"/>
        </w:rPr>
        <w:t xml:space="preserve"> the second quarter and first six months of 2021, respectively. These amounts have corresponding offsets from investments in other non-interest income.</w:t>
      </w:r>
    </w:p>
    <w:p w14:paraId="03CC1067" w14:textId="77777777" w:rsidR="00000000" w:rsidRDefault="00A173A8">
      <w:pPr>
        <w:ind w:hanging="360"/>
        <w:jc w:val="both"/>
        <w:divId w:val="1675691219"/>
        <w:rPr>
          <w:rFonts w:eastAsia="Times New Roman"/>
        </w:rPr>
      </w:pPr>
    </w:p>
    <w:p w14:paraId="469DE721" w14:textId="77777777" w:rsidR="00000000" w:rsidRDefault="00A173A8">
      <w:pPr>
        <w:divId w:val="663046660"/>
        <w:rPr>
          <w:rFonts w:eastAsia="Times New Roman"/>
        </w:rPr>
      </w:pPr>
      <w:r>
        <w:rPr>
          <w:rFonts w:eastAsia="Times New Roman"/>
          <w:color w:val="000000"/>
          <w:sz w:val="20"/>
          <w:szCs w:val="20"/>
        </w:rPr>
        <w:t>Non-interest expens</w:t>
      </w:r>
      <w:r>
        <w:rPr>
          <w:rFonts w:eastAsia="Times New Roman"/>
          <w:color w:val="000000"/>
          <w:sz w:val="20"/>
          <w:szCs w:val="20"/>
        </w:rPr>
        <w:t xml:space="preserve">e increased by $617 million to $4.6 billion in the second quarter of 2022 compared to the second quarter of 2021 and increased by $1.4 billion to $9.1 billion in the first six months of 2022 compared to the the first six months of 2021 primarily driven by </w:t>
      </w:r>
      <w:r>
        <w:rPr>
          <w:rFonts w:eastAsia="Times New Roman"/>
          <w:color w:val="000000"/>
          <w:sz w:val="20"/>
          <w:szCs w:val="20"/>
        </w:rPr>
        <w:t xml:space="preserve">increased marketing spend. </w:t>
      </w:r>
    </w:p>
    <w:p w14:paraId="32B8C12B" w14:textId="77777777" w:rsidR="00000000" w:rsidRDefault="00A173A8">
      <w:pPr>
        <w:divId w:val="386876356"/>
        <w:rPr>
          <w:rFonts w:eastAsia="Times New Roman"/>
        </w:rPr>
      </w:pPr>
      <w:r>
        <w:rPr>
          <w:rFonts w:eastAsia="Times New Roman"/>
          <w:b/>
          <w:bCs/>
          <w:color w:val="000000"/>
          <w:sz w:val="20"/>
          <w:szCs w:val="20"/>
          <w:shd w:val="clear" w:color="auto" w:fill="FFFFFF"/>
        </w:rPr>
        <w:t>Income Taxes</w:t>
      </w:r>
    </w:p>
    <w:p w14:paraId="74D762D6" w14:textId="77777777" w:rsidR="00000000" w:rsidRDefault="00A173A8">
      <w:pPr>
        <w:jc w:val="both"/>
        <w:divId w:val="1205362540"/>
        <w:rPr>
          <w:rFonts w:eastAsia="Times New Roman"/>
        </w:rPr>
      </w:pPr>
      <w:r>
        <w:rPr>
          <w:rFonts w:eastAsia="Times New Roman"/>
          <w:color w:val="000000"/>
          <w:sz w:val="20"/>
          <w:szCs w:val="20"/>
        </w:rPr>
        <w:t xml:space="preserve">We recorded an income tax provision of $533 million (20.8% effective income tax rate) and $1.1 billion (19.5% effective income tax rate) in the second quarter and first six months of 2022, respectively, compared to </w:t>
      </w:r>
      <w:r>
        <w:rPr>
          <w:rFonts w:eastAsia="Times New Roman"/>
          <w:color w:val="000000"/>
          <w:sz w:val="20"/>
          <w:szCs w:val="20"/>
        </w:rPr>
        <w:t>an income tax provision of $1.0 billion (22.6% effective income tax rate) and $1.9 billion (21.7% ef</w:t>
      </w:r>
      <w:r>
        <w:rPr>
          <w:rFonts w:eastAsia="Times New Roman"/>
          <w:color w:val="000000"/>
          <w:sz w:val="20"/>
          <w:szCs w:val="20"/>
          <w:shd w:val="clear" w:color="auto" w:fill="FFFFFF"/>
        </w:rPr>
        <w:t>fective income tax rate) in</w:t>
      </w:r>
      <w:r>
        <w:rPr>
          <w:rFonts w:eastAsia="Times New Roman"/>
          <w:color w:val="000000"/>
          <w:sz w:val="20"/>
          <w:szCs w:val="20"/>
        </w:rPr>
        <w:t xml:space="preserve"> the second quarter and first six months of 2021, respectively. Our effective tax rate on income from continuing operations varie</w:t>
      </w:r>
      <w:r>
        <w:rPr>
          <w:rFonts w:eastAsia="Times New Roman"/>
          <w:color w:val="000000"/>
          <w:sz w:val="20"/>
          <w:szCs w:val="20"/>
        </w:rPr>
        <w:t>s between periods due, in part, to the impact of changes in pre-tax income and changes in tax credits, tax-exempt income and non-deductible expenses relative to our pre-tax earnings.</w:t>
      </w:r>
    </w:p>
    <w:p w14:paraId="05F7B23E" w14:textId="77777777" w:rsidR="00000000" w:rsidRDefault="00A173A8">
      <w:pPr>
        <w:divId w:val="1264537814"/>
        <w:rPr>
          <w:rFonts w:eastAsia="Times New Roman"/>
        </w:rPr>
      </w:pPr>
      <w:r>
        <w:rPr>
          <w:rFonts w:eastAsia="Times New Roman"/>
          <w:color w:val="000000"/>
          <w:sz w:val="20"/>
          <w:szCs w:val="20"/>
        </w:rPr>
        <w:t>The decrease in our effective income tax rate in the second quarter and f</w:t>
      </w:r>
      <w:r>
        <w:rPr>
          <w:rFonts w:eastAsia="Times New Roman"/>
          <w:color w:val="000000"/>
          <w:sz w:val="20"/>
          <w:szCs w:val="20"/>
        </w:rPr>
        <w:t>irst six months of 2022 compared to the second quarter and first six months of 2021 was primarily due to higher tax credits relative to our income.</w:t>
      </w:r>
    </w:p>
    <w:p w14:paraId="0A7DA9CD" w14:textId="77777777" w:rsidR="00000000" w:rsidRDefault="00A173A8">
      <w:pPr>
        <w:divId w:val="1086724999"/>
        <w:rPr>
          <w:rFonts w:eastAsia="Times New Roman"/>
        </w:rPr>
      </w:pPr>
    </w:p>
    <w:p w14:paraId="11E7D692" w14:textId="77777777" w:rsidR="00000000" w:rsidRDefault="00A173A8">
      <w:pPr>
        <w:jc w:val="both"/>
        <w:rPr>
          <w:rFonts w:eastAsia="Times New Roman"/>
        </w:rPr>
      </w:pPr>
      <w:r>
        <w:rPr>
          <w:rFonts w:eastAsia="Times New Roman"/>
          <w:color w:val="000000"/>
          <w:sz w:val="20"/>
          <w:szCs w:val="20"/>
        </w:rPr>
        <w:t>In the second quarter of 2022, the Internal Revenue Service completed the audits of tax years 2017 through 2019 resulting in a $358 million payable that was previously recognized and has no impact to our current period consolidated financial statements.</w:t>
      </w:r>
    </w:p>
    <w:p w14:paraId="061F6241" w14:textId="77777777" w:rsidR="00000000" w:rsidRDefault="00A173A8">
      <w:pPr>
        <w:jc w:val="both"/>
        <w:divId w:val="637883012"/>
        <w:rPr>
          <w:rFonts w:eastAsia="Times New Roman"/>
        </w:rPr>
      </w:pPr>
      <w:r>
        <w:rPr>
          <w:rFonts w:eastAsia="Times New Roman"/>
          <w:color w:val="000000"/>
          <w:sz w:val="20"/>
          <w:szCs w:val="20"/>
        </w:rPr>
        <w:t>We</w:t>
      </w:r>
      <w:r>
        <w:rPr>
          <w:rFonts w:eastAsia="Times New Roman"/>
          <w:color w:val="000000"/>
          <w:sz w:val="20"/>
          <w:szCs w:val="20"/>
        </w:rPr>
        <w:t xml:space="preserve"> provide additional information on items affecting our income taxes and effective tax rate in “Note 15—Income Taxes”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85E1F30" w14:textId="77777777">
        <w:trPr>
          <w:divId w:val="383874380"/>
          <w:jc w:val="center"/>
        </w:trPr>
        <w:tc>
          <w:tcPr>
            <w:tcW w:w="50" w:type="pct"/>
            <w:vAlign w:val="center"/>
            <w:hideMark/>
          </w:tcPr>
          <w:p w14:paraId="7D090877" w14:textId="77777777" w:rsidR="00000000" w:rsidRDefault="00A173A8">
            <w:pPr>
              <w:jc w:val="both"/>
              <w:rPr>
                <w:rFonts w:eastAsia="Times New Roman"/>
              </w:rPr>
            </w:pPr>
          </w:p>
        </w:tc>
        <w:tc>
          <w:tcPr>
            <w:tcW w:w="1606" w:type="pct"/>
            <w:vAlign w:val="center"/>
            <w:hideMark/>
          </w:tcPr>
          <w:p w14:paraId="5E96A78D" w14:textId="77777777" w:rsidR="00000000" w:rsidRDefault="00A173A8">
            <w:pPr>
              <w:spacing w:after="100"/>
              <w:rPr>
                <w:rFonts w:eastAsia="Times New Roman"/>
                <w:sz w:val="20"/>
                <w:szCs w:val="20"/>
              </w:rPr>
            </w:pPr>
          </w:p>
        </w:tc>
        <w:tc>
          <w:tcPr>
            <w:tcW w:w="5" w:type="pct"/>
            <w:vAlign w:val="center"/>
            <w:hideMark/>
          </w:tcPr>
          <w:p w14:paraId="54A6C2D5" w14:textId="77777777" w:rsidR="00000000" w:rsidRDefault="00A173A8">
            <w:pPr>
              <w:spacing w:after="100"/>
              <w:rPr>
                <w:rFonts w:eastAsia="Times New Roman"/>
                <w:sz w:val="20"/>
                <w:szCs w:val="20"/>
              </w:rPr>
            </w:pPr>
          </w:p>
        </w:tc>
        <w:tc>
          <w:tcPr>
            <w:tcW w:w="50" w:type="pct"/>
            <w:vAlign w:val="center"/>
            <w:hideMark/>
          </w:tcPr>
          <w:p w14:paraId="1C8D53D3" w14:textId="77777777" w:rsidR="00000000" w:rsidRDefault="00A173A8">
            <w:pPr>
              <w:spacing w:after="100"/>
              <w:rPr>
                <w:rFonts w:eastAsia="Times New Roman"/>
                <w:sz w:val="20"/>
                <w:szCs w:val="20"/>
              </w:rPr>
            </w:pPr>
          </w:p>
        </w:tc>
        <w:tc>
          <w:tcPr>
            <w:tcW w:w="1614" w:type="pct"/>
            <w:vAlign w:val="center"/>
            <w:hideMark/>
          </w:tcPr>
          <w:p w14:paraId="74D59573" w14:textId="77777777" w:rsidR="00000000" w:rsidRDefault="00A173A8">
            <w:pPr>
              <w:spacing w:after="100"/>
              <w:rPr>
                <w:rFonts w:eastAsia="Times New Roman"/>
                <w:sz w:val="20"/>
                <w:szCs w:val="20"/>
              </w:rPr>
            </w:pPr>
          </w:p>
        </w:tc>
        <w:tc>
          <w:tcPr>
            <w:tcW w:w="5" w:type="pct"/>
            <w:vAlign w:val="center"/>
            <w:hideMark/>
          </w:tcPr>
          <w:p w14:paraId="40D347C6" w14:textId="77777777" w:rsidR="00000000" w:rsidRDefault="00A173A8">
            <w:pPr>
              <w:spacing w:after="100"/>
              <w:rPr>
                <w:rFonts w:eastAsia="Times New Roman"/>
                <w:sz w:val="20"/>
                <w:szCs w:val="20"/>
              </w:rPr>
            </w:pPr>
          </w:p>
        </w:tc>
        <w:tc>
          <w:tcPr>
            <w:tcW w:w="50" w:type="pct"/>
            <w:vAlign w:val="center"/>
            <w:hideMark/>
          </w:tcPr>
          <w:p w14:paraId="04755F75" w14:textId="77777777" w:rsidR="00000000" w:rsidRDefault="00A173A8">
            <w:pPr>
              <w:spacing w:after="100"/>
              <w:rPr>
                <w:rFonts w:eastAsia="Times New Roman"/>
                <w:sz w:val="20"/>
                <w:szCs w:val="20"/>
              </w:rPr>
            </w:pPr>
          </w:p>
        </w:tc>
        <w:tc>
          <w:tcPr>
            <w:tcW w:w="1614" w:type="pct"/>
            <w:vAlign w:val="center"/>
            <w:hideMark/>
          </w:tcPr>
          <w:p w14:paraId="25DBCDE4" w14:textId="77777777" w:rsidR="00000000" w:rsidRDefault="00A173A8">
            <w:pPr>
              <w:spacing w:after="100"/>
              <w:rPr>
                <w:rFonts w:eastAsia="Times New Roman"/>
                <w:sz w:val="20"/>
                <w:szCs w:val="20"/>
              </w:rPr>
            </w:pPr>
          </w:p>
        </w:tc>
        <w:tc>
          <w:tcPr>
            <w:tcW w:w="5" w:type="pct"/>
            <w:vAlign w:val="center"/>
            <w:hideMark/>
          </w:tcPr>
          <w:p w14:paraId="7C767B1E" w14:textId="77777777" w:rsidR="00000000" w:rsidRDefault="00A173A8">
            <w:pPr>
              <w:spacing w:after="100"/>
              <w:rPr>
                <w:rFonts w:eastAsia="Times New Roman"/>
                <w:sz w:val="20"/>
                <w:szCs w:val="20"/>
              </w:rPr>
            </w:pPr>
          </w:p>
        </w:tc>
      </w:tr>
      <w:tr w:rsidR="00000000" w14:paraId="7E79A10B" w14:textId="77777777">
        <w:trPr>
          <w:divId w:val="383874380"/>
          <w:trHeight w:val="300"/>
          <w:jc w:val="center"/>
        </w:trPr>
        <w:tc>
          <w:tcPr>
            <w:tcW w:w="0" w:type="auto"/>
            <w:gridSpan w:val="9"/>
            <w:tcMar>
              <w:top w:w="0" w:type="dxa"/>
              <w:left w:w="20" w:type="dxa"/>
              <w:bottom w:w="0" w:type="dxa"/>
              <w:right w:w="20" w:type="dxa"/>
            </w:tcMar>
            <w:vAlign w:val="center"/>
            <w:hideMark/>
          </w:tcPr>
          <w:p w14:paraId="7DDF66D9" w14:textId="77777777" w:rsidR="00000000" w:rsidRDefault="00A173A8">
            <w:pPr>
              <w:spacing w:after="100"/>
              <w:rPr>
                <w:rFonts w:eastAsia="Times New Roman"/>
                <w:sz w:val="20"/>
                <w:szCs w:val="20"/>
              </w:rPr>
            </w:pPr>
          </w:p>
        </w:tc>
      </w:tr>
      <w:tr w:rsidR="00000000" w14:paraId="55BA5458" w14:textId="77777777">
        <w:trPr>
          <w:divId w:val="383874380"/>
          <w:jc w:val="center"/>
        </w:trPr>
        <w:tc>
          <w:tcPr>
            <w:tcW w:w="0" w:type="auto"/>
            <w:gridSpan w:val="3"/>
            <w:tcMar>
              <w:top w:w="0" w:type="dxa"/>
              <w:left w:w="20" w:type="dxa"/>
              <w:bottom w:w="0" w:type="dxa"/>
              <w:right w:w="20" w:type="dxa"/>
            </w:tcMar>
            <w:vAlign w:val="center"/>
            <w:hideMark/>
          </w:tcPr>
          <w:p w14:paraId="1B2419E9"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302BD4F" w14:textId="77777777" w:rsidR="00000000" w:rsidRDefault="00A173A8">
            <w:pPr>
              <w:spacing w:after="100"/>
              <w:jc w:val="center"/>
              <w:rPr>
                <w:rFonts w:eastAsia="Times New Roman"/>
              </w:rPr>
            </w:pPr>
            <w:r>
              <w:rPr>
                <w:rFonts w:eastAsia="Times New Roman"/>
                <w:color w:val="000000"/>
                <w:sz w:val="16"/>
                <w:szCs w:val="16"/>
              </w:rPr>
              <w:t>15</w:t>
            </w:r>
          </w:p>
        </w:tc>
        <w:tc>
          <w:tcPr>
            <w:tcW w:w="0" w:type="auto"/>
            <w:gridSpan w:val="3"/>
            <w:tcMar>
              <w:top w:w="30" w:type="dxa"/>
              <w:left w:w="20" w:type="dxa"/>
              <w:bottom w:w="30" w:type="dxa"/>
              <w:right w:w="20" w:type="dxa"/>
            </w:tcMar>
            <w:vAlign w:val="bottom"/>
            <w:hideMark/>
          </w:tcPr>
          <w:p w14:paraId="2B256C5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8428EC8" w14:textId="77777777" w:rsidR="00000000" w:rsidRDefault="00A173A8">
      <w:pPr>
        <w:rPr>
          <w:rFonts w:eastAsia="Times New Roman"/>
        </w:rPr>
      </w:pPr>
      <w:r>
        <w:rPr>
          <w:rFonts w:eastAsia="Times New Roman"/>
        </w:rPr>
        <w:pict w14:anchorId="5506647B">
          <v:rect id="_x0000_i1040" style="width:0;height:1.5pt" o:hralign="center" o:hrstd="t" o:hr="t" fillcolor="#a0a0a0" stroked="f"/>
        </w:pict>
      </w:r>
    </w:p>
    <w:p w14:paraId="5C6C6E30" w14:textId="77777777" w:rsidR="00000000" w:rsidRDefault="00A173A8">
      <w:pPr>
        <w:ind w:hanging="360"/>
        <w:jc w:val="both"/>
        <w:divId w:val="107967020"/>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6200A76C" w14:textId="77777777">
        <w:trPr>
          <w:divId w:val="1589146041"/>
        </w:trPr>
        <w:tc>
          <w:tcPr>
            <w:tcW w:w="50" w:type="pct"/>
            <w:vAlign w:val="center"/>
            <w:hideMark/>
          </w:tcPr>
          <w:p w14:paraId="46CC17FB" w14:textId="77777777" w:rsidR="00000000" w:rsidRDefault="00A173A8">
            <w:pPr>
              <w:ind w:hanging="360"/>
              <w:jc w:val="both"/>
              <w:rPr>
                <w:rFonts w:eastAsia="Times New Roman"/>
              </w:rPr>
            </w:pPr>
          </w:p>
        </w:tc>
        <w:tc>
          <w:tcPr>
            <w:tcW w:w="4945" w:type="pct"/>
            <w:vAlign w:val="center"/>
            <w:hideMark/>
          </w:tcPr>
          <w:p w14:paraId="1EC0CB48" w14:textId="77777777" w:rsidR="00000000" w:rsidRDefault="00A173A8">
            <w:pPr>
              <w:spacing w:after="100"/>
              <w:rPr>
                <w:rFonts w:eastAsia="Times New Roman"/>
                <w:sz w:val="20"/>
                <w:szCs w:val="20"/>
              </w:rPr>
            </w:pPr>
          </w:p>
        </w:tc>
        <w:tc>
          <w:tcPr>
            <w:tcW w:w="5" w:type="pct"/>
            <w:vAlign w:val="center"/>
            <w:hideMark/>
          </w:tcPr>
          <w:p w14:paraId="65434D7D" w14:textId="77777777" w:rsidR="00000000" w:rsidRDefault="00A173A8">
            <w:pPr>
              <w:spacing w:after="100"/>
              <w:rPr>
                <w:rFonts w:eastAsia="Times New Roman"/>
                <w:sz w:val="20"/>
                <w:szCs w:val="20"/>
              </w:rPr>
            </w:pPr>
          </w:p>
        </w:tc>
      </w:tr>
      <w:tr w:rsidR="00000000" w14:paraId="4F747863" w14:textId="77777777">
        <w:trPr>
          <w:divId w:val="158914604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E23D378" w14:textId="77777777" w:rsidR="00000000" w:rsidRDefault="00A173A8">
            <w:pPr>
              <w:spacing w:after="100"/>
              <w:rPr>
                <w:rFonts w:eastAsia="Times New Roman"/>
              </w:rPr>
            </w:pPr>
            <w:r>
              <w:rPr>
                <w:rFonts w:eastAsia="Times New Roman"/>
                <w:b/>
                <w:bCs/>
                <w:color w:val="000000"/>
                <w:sz w:val="20"/>
                <w:szCs w:val="20"/>
              </w:rPr>
              <w:t>CONSOLIDATED BALANCE SHEETS ANALYSIS</w:t>
            </w:r>
          </w:p>
        </w:tc>
      </w:tr>
    </w:tbl>
    <w:p w14:paraId="423B46FB" w14:textId="77777777" w:rsidR="00000000" w:rsidRDefault="00A173A8">
      <w:pPr>
        <w:jc w:val="both"/>
        <w:rPr>
          <w:rFonts w:eastAsia="Times New Roman"/>
        </w:rPr>
      </w:pPr>
      <w:r>
        <w:rPr>
          <w:rFonts w:eastAsia="Times New Roman"/>
          <w:color w:val="000000"/>
          <w:sz w:val="20"/>
          <w:szCs w:val="20"/>
        </w:rPr>
        <w:t>Total assets increased by $7.9 billion to $440.3 billion as of June 30, 2022 from December 31, 2021 primarily driven by growth in our loan portfolios, partially offset by net paydowns and a decline in the fair value of our investment securities portfolio.</w:t>
      </w:r>
    </w:p>
    <w:p w14:paraId="771EDCED" w14:textId="77777777" w:rsidR="00000000" w:rsidRDefault="00A173A8">
      <w:pPr>
        <w:jc w:val="both"/>
        <w:divId w:val="1744371995"/>
        <w:rPr>
          <w:rFonts w:eastAsia="Times New Roman"/>
        </w:rPr>
      </w:pPr>
      <w:r>
        <w:rPr>
          <w:rFonts w:eastAsia="Times New Roman"/>
          <w:color w:val="000000"/>
          <w:sz w:val="20"/>
          <w:szCs w:val="20"/>
        </w:rPr>
        <w:t>Total liabilities increased by $15.5 billion to $386.9 billion as of June 30, 2022 from December 31, 2021 primarily driven by net issuances of Federal Home Loan Banks (“FHLB”) advances and senior unsecured debt.</w:t>
      </w:r>
    </w:p>
    <w:p w14:paraId="760E76D1" w14:textId="77777777" w:rsidR="00000000" w:rsidRDefault="00A173A8">
      <w:pPr>
        <w:jc w:val="both"/>
        <w:divId w:val="2106614247"/>
        <w:rPr>
          <w:rFonts w:eastAsia="Times New Roman"/>
        </w:rPr>
      </w:pPr>
      <w:r>
        <w:rPr>
          <w:rFonts w:eastAsia="Times New Roman"/>
          <w:color w:val="000000"/>
          <w:sz w:val="20"/>
          <w:szCs w:val="20"/>
        </w:rPr>
        <w:t>Stockholders’ equity decreased by $7.6 billi</w:t>
      </w:r>
      <w:r>
        <w:rPr>
          <w:rFonts w:eastAsia="Times New Roman"/>
          <w:color w:val="000000"/>
          <w:sz w:val="20"/>
          <w:szCs w:val="20"/>
        </w:rPr>
        <w:t>on to $53.4 billion as of June 30, 2022 from December 31, 2021 primarily driven by a decrease in accumulated other comprehensive income due to a decline in the fair value of our investment securities portfolio, as well as common stock repurchases which wer</w:t>
      </w:r>
      <w:r>
        <w:rPr>
          <w:rFonts w:eastAsia="Times New Roman"/>
          <w:color w:val="000000"/>
          <w:sz w:val="20"/>
          <w:szCs w:val="20"/>
        </w:rPr>
        <w:t xml:space="preserve">e largely offset by net income of $4.4 billion. </w:t>
      </w:r>
    </w:p>
    <w:p w14:paraId="23F1208C" w14:textId="77777777" w:rsidR="00000000" w:rsidRDefault="00A173A8">
      <w:pPr>
        <w:jc w:val="both"/>
        <w:divId w:val="2129543648"/>
        <w:rPr>
          <w:rFonts w:eastAsia="Times New Roman"/>
        </w:rPr>
      </w:pPr>
      <w:r>
        <w:rPr>
          <w:rFonts w:eastAsia="Times New Roman"/>
          <w:color w:val="000000"/>
          <w:sz w:val="20"/>
          <w:szCs w:val="20"/>
        </w:rPr>
        <w:t>The following is a discussion of material changes in the major components of our assets and liabilities during the first six months of 2022. Period-end balance sheet amounts may vary from average balance she</w:t>
      </w:r>
      <w:r>
        <w:rPr>
          <w:rFonts w:eastAsia="Times New Roman"/>
          <w:color w:val="000000"/>
          <w:sz w:val="20"/>
          <w:szCs w:val="20"/>
        </w:rPr>
        <w:t>et amounts due to liquidity and balance sheet management activities that are intended to support the adequacy of capital while managing our liquidity requirements, our customers and our market risk exposure in accordance with our risk appetite.</w:t>
      </w:r>
    </w:p>
    <w:p w14:paraId="747A4EA2" w14:textId="77777777" w:rsidR="00000000" w:rsidRDefault="00A173A8">
      <w:pPr>
        <w:divId w:val="1060519127"/>
        <w:rPr>
          <w:rFonts w:eastAsia="Times New Roman"/>
        </w:rPr>
      </w:pPr>
      <w:r>
        <w:rPr>
          <w:rFonts w:eastAsia="Times New Roman"/>
          <w:b/>
          <w:bCs/>
          <w:color w:val="000000"/>
          <w:sz w:val="20"/>
          <w:szCs w:val="20"/>
        </w:rPr>
        <w:t xml:space="preserve">Investment </w:t>
      </w:r>
      <w:r>
        <w:rPr>
          <w:rFonts w:eastAsia="Times New Roman"/>
          <w:b/>
          <w:bCs/>
          <w:color w:val="000000"/>
          <w:sz w:val="20"/>
          <w:szCs w:val="20"/>
        </w:rPr>
        <w:t xml:space="preserve">Securities </w:t>
      </w:r>
    </w:p>
    <w:p w14:paraId="13278A66" w14:textId="77777777" w:rsidR="00000000" w:rsidRDefault="00A173A8">
      <w:pPr>
        <w:jc w:val="both"/>
        <w:divId w:val="412166815"/>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commercial mortgage-backed securities (“CMBS”), U.S.</w:t>
      </w:r>
      <w:r>
        <w:rPr>
          <w:rFonts w:eastAsia="Times New Roman"/>
          <w:color w:val="000000"/>
          <w:sz w:val="20"/>
          <w:szCs w:val="20"/>
        </w:rPr>
        <w:t xml:space="preserve"> Treasury securities and other securities. Agency securities include Government National Mortgage Association (“Ginnie Mae”) guaranteed securities, Federal National Mortgage Association (“Fannie Mae”) and Federal Home Loan Mortgage Corporation (“Freddie Ma</w:t>
      </w:r>
      <w:r>
        <w:rPr>
          <w:rFonts w:eastAsia="Times New Roman"/>
          <w:color w:val="000000"/>
          <w:sz w:val="20"/>
          <w:szCs w:val="20"/>
        </w:rPr>
        <w:t>c”) issued securities. The carrying value of our investments in Agency and U.S. Treasury securities represented 97% and 96% of our total investment securities portfolio as of June 30, 2022 and December 31, 2021, respectively.</w:t>
      </w:r>
    </w:p>
    <w:p w14:paraId="6EF5341B" w14:textId="77777777" w:rsidR="00000000" w:rsidRDefault="00A173A8">
      <w:pPr>
        <w:jc w:val="both"/>
        <w:divId w:val="1022897677"/>
        <w:rPr>
          <w:rFonts w:eastAsia="Times New Roman"/>
        </w:rPr>
      </w:pPr>
      <w:r>
        <w:rPr>
          <w:rFonts w:eastAsia="Times New Roman"/>
          <w:color w:val="000000"/>
          <w:sz w:val="20"/>
          <w:szCs w:val="20"/>
        </w:rPr>
        <w:t>The fair value of our availabl</w:t>
      </w:r>
      <w:r>
        <w:rPr>
          <w:rFonts w:eastAsia="Times New Roman"/>
          <w:color w:val="000000"/>
          <w:sz w:val="20"/>
          <w:szCs w:val="20"/>
        </w:rPr>
        <w:t xml:space="preserve">e for sale securities portfolio decreased by $12.2 billion to $83.0 billion as of June 30, 2022 from December 31, 2021, primarily driven by the increases in interest rates and net paydowns. See “Note 2—Investment Securities” for more information. </w:t>
      </w:r>
    </w:p>
    <w:p w14:paraId="4FDCF3D5" w14:textId="77777777" w:rsidR="00000000" w:rsidRDefault="00A173A8">
      <w:pPr>
        <w:divId w:val="1146625921"/>
        <w:rPr>
          <w:rFonts w:eastAsia="Times New Roman"/>
        </w:rPr>
      </w:pPr>
      <w:r>
        <w:rPr>
          <w:rFonts w:eastAsia="Times New Roman"/>
          <w:b/>
          <w:bCs/>
          <w:color w:val="000000"/>
          <w:sz w:val="20"/>
          <w:szCs w:val="20"/>
        </w:rPr>
        <w:t>Loans He</w:t>
      </w:r>
      <w:r>
        <w:rPr>
          <w:rFonts w:eastAsia="Times New Roman"/>
          <w:b/>
          <w:bCs/>
          <w:color w:val="000000"/>
          <w:sz w:val="20"/>
          <w:szCs w:val="20"/>
        </w:rPr>
        <w:t>ld for Investment</w:t>
      </w:r>
    </w:p>
    <w:p w14:paraId="6A830E50" w14:textId="77777777" w:rsidR="00000000" w:rsidRDefault="00A173A8">
      <w:pPr>
        <w:jc w:val="both"/>
        <w:divId w:val="793715303"/>
        <w:rPr>
          <w:rFonts w:eastAsia="Times New Roman"/>
        </w:rPr>
      </w:pPr>
      <w:r>
        <w:rPr>
          <w:rFonts w:eastAsia="Times New Roman"/>
          <w:color w:val="000000"/>
          <w:sz w:val="20"/>
          <w:szCs w:val="20"/>
        </w:rPr>
        <w:t>Total loans held for investment consists of both unsecuritized loans and loans held in our consolidated trusts. Table 6 summarizes, by portfolio segment, the carrying value of our loans held for investment, the allowance for credit losses</w:t>
      </w:r>
      <w:r>
        <w:rPr>
          <w:rFonts w:eastAsia="Times New Roman"/>
          <w:color w:val="000000"/>
          <w:sz w:val="20"/>
          <w:szCs w:val="20"/>
        </w:rPr>
        <w:t xml:space="preserve"> and net loan balance as of June 30, 2022 and December 31, 2021.</w:t>
      </w:r>
    </w:p>
    <w:p w14:paraId="40C90E65" w14:textId="77777777" w:rsidR="00000000" w:rsidRDefault="00A173A8">
      <w:pPr>
        <w:divId w:val="1603488009"/>
        <w:rPr>
          <w:rFonts w:eastAsia="Times New Roman"/>
        </w:rPr>
      </w:pPr>
      <w:r>
        <w:rPr>
          <w:rFonts w:eastAsia="Times New Roman"/>
          <w:b/>
          <w:bCs/>
          <w:color w:val="000000"/>
          <w:sz w:val="18"/>
          <w:szCs w:val="18"/>
        </w:rPr>
        <w:t xml:space="preserve">Table 6: Loans Held for Investment </w:t>
      </w:r>
    </w:p>
    <w:tbl>
      <w:tblPr>
        <w:tblW w:w="5000" w:type="pct"/>
        <w:tblCellMar>
          <w:top w:w="15" w:type="dxa"/>
          <w:left w:w="15" w:type="dxa"/>
          <w:bottom w:w="15" w:type="dxa"/>
          <w:right w:w="15" w:type="dxa"/>
        </w:tblCellMar>
        <w:tblLook w:val="04A0" w:firstRow="1" w:lastRow="0" w:firstColumn="1" w:lastColumn="0" w:noHBand="0" w:noVBand="1"/>
      </w:tblPr>
      <w:tblGrid>
        <w:gridCol w:w="42"/>
        <w:gridCol w:w="1871"/>
        <w:gridCol w:w="38"/>
        <w:gridCol w:w="36"/>
        <w:gridCol w:w="36"/>
        <w:gridCol w:w="36"/>
        <w:gridCol w:w="120"/>
        <w:gridCol w:w="792"/>
        <w:gridCol w:w="36"/>
        <w:gridCol w:w="36"/>
        <w:gridCol w:w="36"/>
        <w:gridCol w:w="36"/>
        <w:gridCol w:w="121"/>
        <w:gridCol w:w="836"/>
        <w:gridCol w:w="36"/>
        <w:gridCol w:w="36"/>
        <w:gridCol w:w="36"/>
        <w:gridCol w:w="36"/>
        <w:gridCol w:w="120"/>
        <w:gridCol w:w="736"/>
        <w:gridCol w:w="36"/>
        <w:gridCol w:w="36"/>
        <w:gridCol w:w="36"/>
        <w:gridCol w:w="36"/>
        <w:gridCol w:w="120"/>
        <w:gridCol w:w="794"/>
        <w:gridCol w:w="36"/>
        <w:gridCol w:w="36"/>
        <w:gridCol w:w="36"/>
        <w:gridCol w:w="36"/>
        <w:gridCol w:w="121"/>
        <w:gridCol w:w="836"/>
        <w:gridCol w:w="36"/>
        <w:gridCol w:w="36"/>
        <w:gridCol w:w="36"/>
        <w:gridCol w:w="36"/>
        <w:gridCol w:w="120"/>
        <w:gridCol w:w="775"/>
        <w:gridCol w:w="36"/>
      </w:tblGrid>
      <w:tr w:rsidR="00000000" w14:paraId="5B6A6ACE" w14:textId="77777777">
        <w:trPr>
          <w:divId w:val="463042352"/>
        </w:trPr>
        <w:tc>
          <w:tcPr>
            <w:tcW w:w="50" w:type="pct"/>
            <w:vAlign w:val="center"/>
            <w:hideMark/>
          </w:tcPr>
          <w:p w14:paraId="7C3A11C7" w14:textId="77777777" w:rsidR="00000000" w:rsidRDefault="00A173A8">
            <w:pPr>
              <w:rPr>
                <w:rFonts w:eastAsia="Times New Roman"/>
              </w:rPr>
            </w:pPr>
          </w:p>
        </w:tc>
        <w:tc>
          <w:tcPr>
            <w:tcW w:w="1180" w:type="pct"/>
            <w:vAlign w:val="center"/>
            <w:hideMark/>
          </w:tcPr>
          <w:p w14:paraId="5AC8FE5F" w14:textId="77777777" w:rsidR="00000000" w:rsidRDefault="00A173A8">
            <w:pPr>
              <w:spacing w:after="100"/>
              <w:rPr>
                <w:rFonts w:eastAsia="Times New Roman"/>
                <w:sz w:val="20"/>
                <w:szCs w:val="20"/>
              </w:rPr>
            </w:pPr>
          </w:p>
        </w:tc>
        <w:tc>
          <w:tcPr>
            <w:tcW w:w="5" w:type="pct"/>
            <w:vAlign w:val="center"/>
            <w:hideMark/>
          </w:tcPr>
          <w:p w14:paraId="6BD35EBF" w14:textId="77777777" w:rsidR="00000000" w:rsidRDefault="00A173A8">
            <w:pPr>
              <w:spacing w:after="100"/>
              <w:rPr>
                <w:rFonts w:eastAsia="Times New Roman"/>
                <w:sz w:val="20"/>
                <w:szCs w:val="20"/>
              </w:rPr>
            </w:pPr>
          </w:p>
        </w:tc>
        <w:tc>
          <w:tcPr>
            <w:tcW w:w="5" w:type="pct"/>
            <w:vAlign w:val="center"/>
            <w:hideMark/>
          </w:tcPr>
          <w:p w14:paraId="26E6B63B" w14:textId="77777777" w:rsidR="00000000" w:rsidRDefault="00A173A8">
            <w:pPr>
              <w:spacing w:after="100"/>
              <w:rPr>
                <w:rFonts w:eastAsia="Times New Roman"/>
                <w:sz w:val="20"/>
                <w:szCs w:val="20"/>
              </w:rPr>
            </w:pPr>
          </w:p>
        </w:tc>
        <w:tc>
          <w:tcPr>
            <w:tcW w:w="26" w:type="pct"/>
            <w:vAlign w:val="center"/>
            <w:hideMark/>
          </w:tcPr>
          <w:p w14:paraId="7BE9BE30" w14:textId="77777777" w:rsidR="00000000" w:rsidRDefault="00A173A8">
            <w:pPr>
              <w:spacing w:after="100"/>
              <w:rPr>
                <w:rFonts w:eastAsia="Times New Roman"/>
                <w:sz w:val="20"/>
                <w:szCs w:val="20"/>
              </w:rPr>
            </w:pPr>
          </w:p>
        </w:tc>
        <w:tc>
          <w:tcPr>
            <w:tcW w:w="5" w:type="pct"/>
            <w:vAlign w:val="center"/>
            <w:hideMark/>
          </w:tcPr>
          <w:p w14:paraId="51321F96" w14:textId="77777777" w:rsidR="00000000" w:rsidRDefault="00A173A8">
            <w:pPr>
              <w:spacing w:after="100"/>
              <w:rPr>
                <w:rFonts w:eastAsia="Times New Roman"/>
                <w:sz w:val="20"/>
                <w:szCs w:val="20"/>
              </w:rPr>
            </w:pPr>
          </w:p>
        </w:tc>
        <w:tc>
          <w:tcPr>
            <w:tcW w:w="50" w:type="pct"/>
            <w:vAlign w:val="center"/>
            <w:hideMark/>
          </w:tcPr>
          <w:p w14:paraId="0AF2A9EB" w14:textId="77777777" w:rsidR="00000000" w:rsidRDefault="00A173A8">
            <w:pPr>
              <w:spacing w:after="100"/>
              <w:rPr>
                <w:rFonts w:eastAsia="Times New Roman"/>
                <w:sz w:val="20"/>
                <w:szCs w:val="20"/>
              </w:rPr>
            </w:pPr>
          </w:p>
        </w:tc>
        <w:tc>
          <w:tcPr>
            <w:tcW w:w="551" w:type="pct"/>
            <w:vAlign w:val="center"/>
            <w:hideMark/>
          </w:tcPr>
          <w:p w14:paraId="1A6D497B" w14:textId="77777777" w:rsidR="00000000" w:rsidRDefault="00A173A8">
            <w:pPr>
              <w:spacing w:after="100"/>
              <w:rPr>
                <w:rFonts w:eastAsia="Times New Roman"/>
                <w:sz w:val="20"/>
                <w:szCs w:val="20"/>
              </w:rPr>
            </w:pPr>
          </w:p>
        </w:tc>
        <w:tc>
          <w:tcPr>
            <w:tcW w:w="5" w:type="pct"/>
            <w:vAlign w:val="center"/>
            <w:hideMark/>
          </w:tcPr>
          <w:p w14:paraId="6DA8B47E" w14:textId="77777777" w:rsidR="00000000" w:rsidRDefault="00A173A8">
            <w:pPr>
              <w:spacing w:after="100"/>
              <w:rPr>
                <w:rFonts w:eastAsia="Times New Roman"/>
                <w:sz w:val="20"/>
                <w:szCs w:val="20"/>
              </w:rPr>
            </w:pPr>
          </w:p>
        </w:tc>
        <w:tc>
          <w:tcPr>
            <w:tcW w:w="5" w:type="pct"/>
            <w:vAlign w:val="center"/>
            <w:hideMark/>
          </w:tcPr>
          <w:p w14:paraId="7C214A8B" w14:textId="77777777" w:rsidR="00000000" w:rsidRDefault="00A173A8">
            <w:pPr>
              <w:spacing w:after="100"/>
              <w:rPr>
                <w:rFonts w:eastAsia="Times New Roman"/>
                <w:sz w:val="20"/>
                <w:szCs w:val="20"/>
              </w:rPr>
            </w:pPr>
          </w:p>
        </w:tc>
        <w:tc>
          <w:tcPr>
            <w:tcW w:w="26" w:type="pct"/>
            <w:vAlign w:val="center"/>
            <w:hideMark/>
          </w:tcPr>
          <w:p w14:paraId="2435B19B" w14:textId="77777777" w:rsidR="00000000" w:rsidRDefault="00A173A8">
            <w:pPr>
              <w:spacing w:after="100"/>
              <w:rPr>
                <w:rFonts w:eastAsia="Times New Roman"/>
                <w:sz w:val="20"/>
                <w:szCs w:val="20"/>
              </w:rPr>
            </w:pPr>
          </w:p>
        </w:tc>
        <w:tc>
          <w:tcPr>
            <w:tcW w:w="5" w:type="pct"/>
            <w:vAlign w:val="center"/>
            <w:hideMark/>
          </w:tcPr>
          <w:p w14:paraId="3AEB4B92" w14:textId="77777777" w:rsidR="00000000" w:rsidRDefault="00A173A8">
            <w:pPr>
              <w:spacing w:after="100"/>
              <w:rPr>
                <w:rFonts w:eastAsia="Times New Roman"/>
                <w:sz w:val="20"/>
                <w:szCs w:val="20"/>
              </w:rPr>
            </w:pPr>
          </w:p>
        </w:tc>
        <w:tc>
          <w:tcPr>
            <w:tcW w:w="50" w:type="pct"/>
            <w:vAlign w:val="center"/>
            <w:hideMark/>
          </w:tcPr>
          <w:p w14:paraId="6FBEE5B8" w14:textId="77777777" w:rsidR="00000000" w:rsidRDefault="00A173A8">
            <w:pPr>
              <w:spacing w:after="100"/>
              <w:rPr>
                <w:rFonts w:eastAsia="Times New Roman"/>
                <w:sz w:val="20"/>
                <w:szCs w:val="20"/>
              </w:rPr>
            </w:pPr>
          </w:p>
        </w:tc>
        <w:tc>
          <w:tcPr>
            <w:tcW w:w="493" w:type="pct"/>
            <w:vAlign w:val="center"/>
            <w:hideMark/>
          </w:tcPr>
          <w:p w14:paraId="097FC134" w14:textId="77777777" w:rsidR="00000000" w:rsidRDefault="00A173A8">
            <w:pPr>
              <w:spacing w:after="100"/>
              <w:rPr>
                <w:rFonts w:eastAsia="Times New Roman"/>
                <w:sz w:val="20"/>
                <w:szCs w:val="20"/>
              </w:rPr>
            </w:pPr>
          </w:p>
        </w:tc>
        <w:tc>
          <w:tcPr>
            <w:tcW w:w="5" w:type="pct"/>
            <w:vAlign w:val="center"/>
            <w:hideMark/>
          </w:tcPr>
          <w:p w14:paraId="05239706" w14:textId="77777777" w:rsidR="00000000" w:rsidRDefault="00A173A8">
            <w:pPr>
              <w:spacing w:after="100"/>
              <w:rPr>
                <w:rFonts w:eastAsia="Times New Roman"/>
                <w:sz w:val="20"/>
                <w:szCs w:val="20"/>
              </w:rPr>
            </w:pPr>
          </w:p>
        </w:tc>
        <w:tc>
          <w:tcPr>
            <w:tcW w:w="5" w:type="pct"/>
            <w:vAlign w:val="center"/>
            <w:hideMark/>
          </w:tcPr>
          <w:p w14:paraId="41657E52" w14:textId="77777777" w:rsidR="00000000" w:rsidRDefault="00A173A8">
            <w:pPr>
              <w:spacing w:after="100"/>
              <w:rPr>
                <w:rFonts w:eastAsia="Times New Roman"/>
                <w:sz w:val="20"/>
                <w:szCs w:val="20"/>
              </w:rPr>
            </w:pPr>
          </w:p>
        </w:tc>
        <w:tc>
          <w:tcPr>
            <w:tcW w:w="26" w:type="pct"/>
            <w:vAlign w:val="center"/>
            <w:hideMark/>
          </w:tcPr>
          <w:p w14:paraId="6DABF205" w14:textId="77777777" w:rsidR="00000000" w:rsidRDefault="00A173A8">
            <w:pPr>
              <w:spacing w:after="100"/>
              <w:rPr>
                <w:rFonts w:eastAsia="Times New Roman"/>
                <w:sz w:val="20"/>
                <w:szCs w:val="20"/>
              </w:rPr>
            </w:pPr>
          </w:p>
        </w:tc>
        <w:tc>
          <w:tcPr>
            <w:tcW w:w="5" w:type="pct"/>
            <w:vAlign w:val="center"/>
            <w:hideMark/>
          </w:tcPr>
          <w:p w14:paraId="787088AC" w14:textId="77777777" w:rsidR="00000000" w:rsidRDefault="00A173A8">
            <w:pPr>
              <w:spacing w:after="100"/>
              <w:rPr>
                <w:rFonts w:eastAsia="Times New Roman"/>
                <w:sz w:val="20"/>
                <w:szCs w:val="20"/>
              </w:rPr>
            </w:pPr>
          </w:p>
        </w:tc>
        <w:tc>
          <w:tcPr>
            <w:tcW w:w="50" w:type="pct"/>
            <w:vAlign w:val="center"/>
            <w:hideMark/>
          </w:tcPr>
          <w:p w14:paraId="10382D31" w14:textId="77777777" w:rsidR="00000000" w:rsidRDefault="00A173A8">
            <w:pPr>
              <w:spacing w:after="100"/>
              <w:rPr>
                <w:rFonts w:eastAsia="Times New Roman"/>
                <w:sz w:val="20"/>
                <w:szCs w:val="20"/>
              </w:rPr>
            </w:pPr>
          </w:p>
        </w:tc>
        <w:tc>
          <w:tcPr>
            <w:tcW w:w="551" w:type="pct"/>
            <w:vAlign w:val="center"/>
            <w:hideMark/>
          </w:tcPr>
          <w:p w14:paraId="562A6A45" w14:textId="77777777" w:rsidR="00000000" w:rsidRDefault="00A173A8">
            <w:pPr>
              <w:spacing w:after="100"/>
              <w:rPr>
                <w:rFonts w:eastAsia="Times New Roman"/>
                <w:sz w:val="20"/>
                <w:szCs w:val="20"/>
              </w:rPr>
            </w:pPr>
          </w:p>
        </w:tc>
        <w:tc>
          <w:tcPr>
            <w:tcW w:w="5" w:type="pct"/>
            <w:vAlign w:val="center"/>
            <w:hideMark/>
          </w:tcPr>
          <w:p w14:paraId="343BBF1F" w14:textId="77777777" w:rsidR="00000000" w:rsidRDefault="00A173A8">
            <w:pPr>
              <w:spacing w:after="100"/>
              <w:rPr>
                <w:rFonts w:eastAsia="Times New Roman"/>
                <w:sz w:val="20"/>
                <w:szCs w:val="20"/>
              </w:rPr>
            </w:pPr>
          </w:p>
        </w:tc>
        <w:tc>
          <w:tcPr>
            <w:tcW w:w="5" w:type="pct"/>
            <w:vAlign w:val="center"/>
            <w:hideMark/>
          </w:tcPr>
          <w:p w14:paraId="731FCADF" w14:textId="77777777" w:rsidR="00000000" w:rsidRDefault="00A173A8">
            <w:pPr>
              <w:spacing w:after="100"/>
              <w:rPr>
                <w:rFonts w:eastAsia="Times New Roman"/>
                <w:sz w:val="20"/>
                <w:szCs w:val="20"/>
              </w:rPr>
            </w:pPr>
          </w:p>
        </w:tc>
        <w:tc>
          <w:tcPr>
            <w:tcW w:w="26" w:type="pct"/>
            <w:vAlign w:val="center"/>
            <w:hideMark/>
          </w:tcPr>
          <w:p w14:paraId="25B6B936" w14:textId="77777777" w:rsidR="00000000" w:rsidRDefault="00A173A8">
            <w:pPr>
              <w:spacing w:after="100"/>
              <w:rPr>
                <w:rFonts w:eastAsia="Times New Roman"/>
                <w:sz w:val="20"/>
                <w:szCs w:val="20"/>
              </w:rPr>
            </w:pPr>
          </w:p>
        </w:tc>
        <w:tc>
          <w:tcPr>
            <w:tcW w:w="5" w:type="pct"/>
            <w:vAlign w:val="center"/>
            <w:hideMark/>
          </w:tcPr>
          <w:p w14:paraId="6DEC0B2E" w14:textId="77777777" w:rsidR="00000000" w:rsidRDefault="00A173A8">
            <w:pPr>
              <w:spacing w:after="100"/>
              <w:rPr>
                <w:rFonts w:eastAsia="Times New Roman"/>
                <w:sz w:val="20"/>
                <w:szCs w:val="20"/>
              </w:rPr>
            </w:pPr>
          </w:p>
        </w:tc>
        <w:tc>
          <w:tcPr>
            <w:tcW w:w="50" w:type="pct"/>
            <w:vAlign w:val="center"/>
            <w:hideMark/>
          </w:tcPr>
          <w:p w14:paraId="1375D741" w14:textId="77777777" w:rsidR="00000000" w:rsidRDefault="00A173A8">
            <w:pPr>
              <w:spacing w:after="100"/>
              <w:rPr>
                <w:rFonts w:eastAsia="Times New Roman"/>
                <w:sz w:val="20"/>
                <w:szCs w:val="20"/>
              </w:rPr>
            </w:pPr>
          </w:p>
        </w:tc>
        <w:tc>
          <w:tcPr>
            <w:tcW w:w="551" w:type="pct"/>
            <w:vAlign w:val="center"/>
            <w:hideMark/>
          </w:tcPr>
          <w:p w14:paraId="2ACF8FB0" w14:textId="77777777" w:rsidR="00000000" w:rsidRDefault="00A173A8">
            <w:pPr>
              <w:spacing w:after="100"/>
              <w:rPr>
                <w:rFonts w:eastAsia="Times New Roman"/>
                <w:sz w:val="20"/>
                <w:szCs w:val="20"/>
              </w:rPr>
            </w:pPr>
          </w:p>
        </w:tc>
        <w:tc>
          <w:tcPr>
            <w:tcW w:w="5" w:type="pct"/>
            <w:vAlign w:val="center"/>
            <w:hideMark/>
          </w:tcPr>
          <w:p w14:paraId="77C819D1" w14:textId="77777777" w:rsidR="00000000" w:rsidRDefault="00A173A8">
            <w:pPr>
              <w:spacing w:after="100"/>
              <w:rPr>
                <w:rFonts w:eastAsia="Times New Roman"/>
                <w:sz w:val="20"/>
                <w:szCs w:val="20"/>
              </w:rPr>
            </w:pPr>
          </w:p>
        </w:tc>
        <w:tc>
          <w:tcPr>
            <w:tcW w:w="5" w:type="pct"/>
            <w:vAlign w:val="center"/>
            <w:hideMark/>
          </w:tcPr>
          <w:p w14:paraId="529360AF" w14:textId="77777777" w:rsidR="00000000" w:rsidRDefault="00A173A8">
            <w:pPr>
              <w:spacing w:after="100"/>
              <w:rPr>
                <w:rFonts w:eastAsia="Times New Roman"/>
                <w:sz w:val="20"/>
                <w:szCs w:val="20"/>
              </w:rPr>
            </w:pPr>
          </w:p>
        </w:tc>
        <w:tc>
          <w:tcPr>
            <w:tcW w:w="26" w:type="pct"/>
            <w:vAlign w:val="center"/>
            <w:hideMark/>
          </w:tcPr>
          <w:p w14:paraId="7AF0F9DB" w14:textId="77777777" w:rsidR="00000000" w:rsidRDefault="00A173A8">
            <w:pPr>
              <w:spacing w:after="100"/>
              <w:rPr>
                <w:rFonts w:eastAsia="Times New Roman"/>
                <w:sz w:val="20"/>
                <w:szCs w:val="20"/>
              </w:rPr>
            </w:pPr>
          </w:p>
        </w:tc>
        <w:tc>
          <w:tcPr>
            <w:tcW w:w="5" w:type="pct"/>
            <w:vAlign w:val="center"/>
            <w:hideMark/>
          </w:tcPr>
          <w:p w14:paraId="09AE3010" w14:textId="77777777" w:rsidR="00000000" w:rsidRDefault="00A173A8">
            <w:pPr>
              <w:spacing w:after="100"/>
              <w:rPr>
                <w:rFonts w:eastAsia="Times New Roman"/>
                <w:sz w:val="20"/>
                <w:szCs w:val="20"/>
              </w:rPr>
            </w:pPr>
          </w:p>
        </w:tc>
        <w:tc>
          <w:tcPr>
            <w:tcW w:w="50" w:type="pct"/>
            <w:vAlign w:val="center"/>
            <w:hideMark/>
          </w:tcPr>
          <w:p w14:paraId="7A767FB2" w14:textId="77777777" w:rsidR="00000000" w:rsidRDefault="00A173A8">
            <w:pPr>
              <w:spacing w:after="100"/>
              <w:rPr>
                <w:rFonts w:eastAsia="Times New Roman"/>
                <w:sz w:val="20"/>
                <w:szCs w:val="20"/>
              </w:rPr>
            </w:pPr>
          </w:p>
        </w:tc>
        <w:tc>
          <w:tcPr>
            <w:tcW w:w="493" w:type="pct"/>
            <w:vAlign w:val="center"/>
            <w:hideMark/>
          </w:tcPr>
          <w:p w14:paraId="2F0DBE1C" w14:textId="77777777" w:rsidR="00000000" w:rsidRDefault="00A173A8">
            <w:pPr>
              <w:spacing w:after="100"/>
              <w:rPr>
                <w:rFonts w:eastAsia="Times New Roman"/>
                <w:sz w:val="20"/>
                <w:szCs w:val="20"/>
              </w:rPr>
            </w:pPr>
          </w:p>
        </w:tc>
        <w:tc>
          <w:tcPr>
            <w:tcW w:w="5" w:type="pct"/>
            <w:vAlign w:val="center"/>
            <w:hideMark/>
          </w:tcPr>
          <w:p w14:paraId="3D43081F" w14:textId="77777777" w:rsidR="00000000" w:rsidRDefault="00A173A8">
            <w:pPr>
              <w:spacing w:after="100"/>
              <w:rPr>
                <w:rFonts w:eastAsia="Times New Roman"/>
                <w:sz w:val="20"/>
                <w:szCs w:val="20"/>
              </w:rPr>
            </w:pPr>
          </w:p>
        </w:tc>
        <w:tc>
          <w:tcPr>
            <w:tcW w:w="5" w:type="pct"/>
            <w:vAlign w:val="center"/>
            <w:hideMark/>
          </w:tcPr>
          <w:p w14:paraId="4F9B5FD5" w14:textId="77777777" w:rsidR="00000000" w:rsidRDefault="00A173A8">
            <w:pPr>
              <w:spacing w:after="100"/>
              <w:rPr>
                <w:rFonts w:eastAsia="Times New Roman"/>
                <w:sz w:val="20"/>
                <w:szCs w:val="20"/>
              </w:rPr>
            </w:pPr>
          </w:p>
        </w:tc>
        <w:tc>
          <w:tcPr>
            <w:tcW w:w="48" w:type="pct"/>
            <w:vAlign w:val="center"/>
            <w:hideMark/>
          </w:tcPr>
          <w:p w14:paraId="16B84EAA" w14:textId="77777777" w:rsidR="00000000" w:rsidRDefault="00A173A8">
            <w:pPr>
              <w:spacing w:after="100"/>
              <w:rPr>
                <w:rFonts w:eastAsia="Times New Roman"/>
                <w:sz w:val="20"/>
                <w:szCs w:val="20"/>
              </w:rPr>
            </w:pPr>
          </w:p>
        </w:tc>
        <w:tc>
          <w:tcPr>
            <w:tcW w:w="5" w:type="pct"/>
            <w:vAlign w:val="center"/>
            <w:hideMark/>
          </w:tcPr>
          <w:p w14:paraId="37AE92E5" w14:textId="77777777" w:rsidR="00000000" w:rsidRDefault="00A173A8">
            <w:pPr>
              <w:spacing w:after="100"/>
              <w:rPr>
                <w:rFonts w:eastAsia="Times New Roman"/>
                <w:sz w:val="20"/>
                <w:szCs w:val="20"/>
              </w:rPr>
            </w:pPr>
          </w:p>
        </w:tc>
        <w:tc>
          <w:tcPr>
            <w:tcW w:w="50" w:type="pct"/>
            <w:vAlign w:val="center"/>
            <w:hideMark/>
          </w:tcPr>
          <w:p w14:paraId="3F462B71" w14:textId="77777777" w:rsidR="00000000" w:rsidRDefault="00A173A8">
            <w:pPr>
              <w:spacing w:after="100"/>
              <w:rPr>
                <w:rFonts w:eastAsia="Times New Roman"/>
                <w:sz w:val="20"/>
                <w:szCs w:val="20"/>
              </w:rPr>
            </w:pPr>
          </w:p>
        </w:tc>
        <w:tc>
          <w:tcPr>
            <w:tcW w:w="552" w:type="pct"/>
            <w:vAlign w:val="center"/>
            <w:hideMark/>
          </w:tcPr>
          <w:p w14:paraId="01FD5623" w14:textId="77777777" w:rsidR="00000000" w:rsidRDefault="00A173A8">
            <w:pPr>
              <w:spacing w:after="100"/>
              <w:rPr>
                <w:rFonts w:eastAsia="Times New Roman"/>
                <w:sz w:val="20"/>
                <w:szCs w:val="20"/>
              </w:rPr>
            </w:pPr>
          </w:p>
        </w:tc>
        <w:tc>
          <w:tcPr>
            <w:tcW w:w="5" w:type="pct"/>
            <w:vAlign w:val="center"/>
            <w:hideMark/>
          </w:tcPr>
          <w:p w14:paraId="6EDE2626" w14:textId="77777777" w:rsidR="00000000" w:rsidRDefault="00A173A8">
            <w:pPr>
              <w:spacing w:after="100"/>
              <w:rPr>
                <w:rFonts w:eastAsia="Times New Roman"/>
                <w:sz w:val="20"/>
                <w:szCs w:val="20"/>
              </w:rPr>
            </w:pPr>
          </w:p>
        </w:tc>
      </w:tr>
      <w:tr w:rsidR="00000000" w14:paraId="455D3BFD" w14:textId="77777777">
        <w:trPr>
          <w:divId w:val="463042352"/>
        </w:trPr>
        <w:tc>
          <w:tcPr>
            <w:tcW w:w="0" w:type="auto"/>
            <w:gridSpan w:val="3"/>
            <w:tcMar>
              <w:top w:w="30" w:type="dxa"/>
              <w:left w:w="20" w:type="dxa"/>
              <w:bottom w:w="30" w:type="dxa"/>
              <w:right w:w="20" w:type="dxa"/>
            </w:tcMar>
            <w:vAlign w:val="bottom"/>
            <w:hideMark/>
          </w:tcPr>
          <w:p w14:paraId="1C903A14"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6410D18D" w14:textId="77777777" w:rsidR="00000000" w:rsidRDefault="00A173A8">
            <w:pPr>
              <w:spacing w:after="100"/>
              <w:rPr>
                <w:rFonts w:eastAsia="Times New Roman"/>
              </w:rPr>
            </w:pPr>
          </w:p>
        </w:tc>
        <w:tc>
          <w:tcPr>
            <w:tcW w:w="0" w:type="auto"/>
            <w:gridSpan w:val="15"/>
            <w:tcMar>
              <w:top w:w="30" w:type="dxa"/>
              <w:left w:w="20" w:type="dxa"/>
              <w:bottom w:w="30" w:type="dxa"/>
              <w:right w:w="20" w:type="dxa"/>
            </w:tcMar>
            <w:vAlign w:val="bottom"/>
            <w:hideMark/>
          </w:tcPr>
          <w:p w14:paraId="74440894"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710A075B" w14:textId="77777777" w:rsidR="00000000" w:rsidRDefault="00A173A8">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28C915FC"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6550BDB7" w14:textId="77777777">
        <w:trPr>
          <w:divId w:val="463042352"/>
        </w:trPr>
        <w:tc>
          <w:tcPr>
            <w:tcW w:w="0" w:type="auto"/>
            <w:gridSpan w:val="3"/>
            <w:tcBorders>
              <w:bottom w:val="single" w:sz="8" w:space="0" w:color="000000"/>
            </w:tcBorders>
            <w:tcMar>
              <w:top w:w="30" w:type="dxa"/>
              <w:left w:w="20" w:type="dxa"/>
              <w:bottom w:w="30" w:type="dxa"/>
              <w:right w:w="20" w:type="dxa"/>
            </w:tcMar>
            <w:vAlign w:val="bottom"/>
            <w:hideMark/>
          </w:tcPr>
          <w:p w14:paraId="24D331C7"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5529631A"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FCBC50C" w14:textId="77777777" w:rsidR="00000000" w:rsidRDefault="00A173A8">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375326B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C010DA8" w14:textId="77777777" w:rsidR="00000000" w:rsidRDefault="00A173A8">
            <w:pPr>
              <w:spacing w:after="100"/>
              <w:jc w:val="center"/>
              <w:rPr>
                <w:rFonts w:eastAsia="Times New Roman"/>
              </w:rPr>
            </w:pPr>
            <w:r>
              <w:rPr>
                <w:rFonts w:eastAsia="Times New Roman"/>
                <w:b/>
                <w:bCs/>
                <w:color w:val="000000"/>
                <w:sz w:val="20"/>
                <w:szCs w:val="20"/>
              </w:rPr>
              <w:t>Allowance</w:t>
            </w:r>
          </w:p>
        </w:tc>
        <w:tc>
          <w:tcPr>
            <w:tcW w:w="0" w:type="auto"/>
            <w:gridSpan w:val="3"/>
            <w:tcBorders>
              <w:top w:val="single" w:sz="8" w:space="0" w:color="000000"/>
            </w:tcBorders>
            <w:tcMar>
              <w:top w:w="0" w:type="dxa"/>
              <w:left w:w="20" w:type="dxa"/>
              <w:bottom w:w="0" w:type="dxa"/>
              <w:right w:w="20" w:type="dxa"/>
            </w:tcMar>
            <w:vAlign w:val="center"/>
            <w:hideMark/>
          </w:tcPr>
          <w:p w14:paraId="1F758AF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B613AFC" w14:textId="77777777" w:rsidR="00000000" w:rsidRDefault="00A173A8">
            <w:pPr>
              <w:spacing w:after="100"/>
              <w:jc w:val="center"/>
              <w:rPr>
                <w:rFonts w:eastAsia="Times New Roman"/>
              </w:rPr>
            </w:pPr>
            <w:r>
              <w:rPr>
                <w:rFonts w:eastAsia="Times New Roman"/>
                <w:b/>
                <w:bCs/>
                <w:color w:val="000000"/>
                <w:sz w:val="20"/>
                <w:szCs w:val="20"/>
              </w:rPr>
              <w:t>Net Loans</w:t>
            </w:r>
          </w:p>
        </w:tc>
        <w:tc>
          <w:tcPr>
            <w:tcW w:w="0" w:type="auto"/>
            <w:gridSpan w:val="3"/>
            <w:tcMar>
              <w:top w:w="0" w:type="dxa"/>
              <w:left w:w="20" w:type="dxa"/>
              <w:bottom w:w="0" w:type="dxa"/>
              <w:right w:w="20" w:type="dxa"/>
            </w:tcMar>
            <w:vAlign w:val="center"/>
            <w:hideMark/>
          </w:tcPr>
          <w:p w14:paraId="5C20CF2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B803E0" w14:textId="77777777" w:rsidR="00000000" w:rsidRDefault="00A173A8">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3B799A1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1A408C" w14:textId="77777777" w:rsidR="00000000" w:rsidRDefault="00A173A8">
            <w:pPr>
              <w:spacing w:after="100"/>
              <w:jc w:val="center"/>
              <w:rPr>
                <w:rFonts w:eastAsia="Times New Roman"/>
              </w:rPr>
            </w:pPr>
            <w:r>
              <w:rPr>
                <w:rFonts w:eastAsia="Times New Roman"/>
                <w:b/>
                <w:bCs/>
                <w:color w:val="000000"/>
                <w:sz w:val="20"/>
                <w:szCs w:val="20"/>
              </w:rPr>
              <w:t>Allowance</w:t>
            </w:r>
          </w:p>
        </w:tc>
        <w:tc>
          <w:tcPr>
            <w:tcW w:w="0" w:type="auto"/>
            <w:gridSpan w:val="3"/>
            <w:tcBorders>
              <w:top w:val="single" w:sz="8" w:space="0" w:color="000000"/>
            </w:tcBorders>
            <w:tcMar>
              <w:top w:w="0" w:type="dxa"/>
              <w:left w:w="20" w:type="dxa"/>
              <w:bottom w:w="0" w:type="dxa"/>
              <w:right w:w="20" w:type="dxa"/>
            </w:tcMar>
            <w:vAlign w:val="center"/>
            <w:hideMark/>
          </w:tcPr>
          <w:p w14:paraId="612B17EB"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418323" w14:textId="77777777" w:rsidR="00000000" w:rsidRDefault="00A173A8">
            <w:pPr>
              <w:spacing w:after="100"/>
              <w:jc w:val="center"/>
              <w:rPr>
                <w:rFonts w:eastAsia="Times New Roman"/>
              </w:rPr>
            </w:pPr>
            <w:r>
              <w:rPr>
                <w:rFonts w:eastAsia="Times New Roman"/>
                <w:b/>
                <w:bCs/>
                <w:color w:val="000000"/>
                <w:sz w:val="20"/>
                <w:szCs w:val="20"/>
              </w:rPr>
              <w:t>Net Loans</w:t>
            </w:r>
          </w:p>
        </w:tc>
      </w:tr>
      <w:tr w:rsidR="00000000" w14:paraId="66EDBAFF" w14:textId="77777777">
        <w:trPr>
          <w:divId w:val="46304235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58AF3D0" w14:textId="77777777" w:rsidR="00000000" w:rsidRDefault="00A173A8">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1EB866B4"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348CFB3"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B54C45E" w14:textId="77777777" w:rsidR="00000000" w:rsidRDefault="00A173A8">
            <w:pPr>
              <w:spacing w:after="100"/>
              <w:jc w:val="right"/>
              <w:rPr>
                <w:rFonts w:eastAsia="Times New Roman"/>
              </w:rPr>
            </w:pPr>
            <w:r>
              <w:rPr>
                <w:rFonts w:eastAsia="Times New Roman"/>
                <w:b/>
                <w:bCs/>
                <w:color w:val="000000"/>
                <w:sz w:val="20"/>
                <w:szCs w:val="20"/>
              </w:rPr>
              <w:t>120,880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FE28C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F6A4E"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F4E1084"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0DCA484" w14:textId="77777777" w:rsidR="00000000" w:rsidRDefault="00A173A8">
            <w:pPr>
              <w:spacing w:after="100"/>
              <w:jc w:val="right"/>
              <w:rPr>
                <w:rFonts w:eastAsia="Times New Roman"/>
              </w:rPr>
            </w:pPr>
            <w:r>
              <w:rPr>
                <w:rFonts w:eastAsia="Times New Roman"/>
                <w:b/>
                <w:bCs/>
                <w:color w:val="000000"/>
                <w:sz w:val="20"/>
                <w:szCs w:val="20"/>
              </w:rPr>
              <w:t>8,166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A052D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97CC5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A8605B5"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295D922" w14:textId="77777777" w:rsidR="00000000" w:rsidRDefault="00A173A8">
            <w:pPr>
              <w:spacing w:after="100"/>
              <w:jc w:val="right"/>
              <w:rPr>
                <w:rFonts w:eastAsia="Times New Roman"/>
              </w:rPr>
            </w:pPr>
            <w:r>
              <w:rPr>
                <w:rFonts w:eastAsia="Times New Roman"/>
                <w:b/>
                <w:bCs/>
                <w:color w:val="000000"/>
                <w:sz w:val="20"/>
                <w:szCs w:val="20"/>
              </w:rPr>
              <w:t>112,714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B7A1C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C7150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47DB7E8" w14:textId="77777777" w:rsidR="00000000" w:rsidRDefault="00A173A8">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6051260" w14:textId="77777777" w:rsidR="00000000" w:rsidRDefault="00A173A8">
            <w:pPr>
              <w:spacing w:after="100"/>
              <w:jc w:val="right"/>
              <w:rPr>
                <w:rFonts w:eastAsia="Times New Roman"/>
              </w:rPr>
            </w:pPr>
            <w:r>
              <w:rPr>
                <w:rFonts w:eastAsia="Times New Roman"/>
                <w:color w:val="2C2C2C"/>
                <w:sz w:val="20"/>
                <w:szCs w:val="20"/>
              </w:rPr>
              <w:t>114,772 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9ED79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0EF0E"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F9FBEF5" w14:textId="77777777" w:rsidR="00000000" w:rsidRDefault="00A173A8">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E6D92CC" w14:textId="77777777" w:rsidR="00000000" w:rsidRDefault="00A173A8">
            <w:pPr>
              <w:spacing w:after="100"/>
              <w:jc w:val="right"/>
              <w:rPr>
                <w:rFonts w:eastAsia="Times New Roman"/>
              </w:rPr>
            </w:pPr>
            <w:r>
              <w:rPr>
                <w:rFonts w:eastAsia="Times New Roman"/>
                <w:color w:val="2C2C2C"/>
                <w:sz w:val="20"/>
                <w:szCs w:val="20"/>
              </w:rPr>
              <w:t>8,345 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A5751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B1E5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E1902DF" w14:textId="77777777" w:rsidR="00000000" w:rsidRDefault="00A173A8">
            <w:pPr>
              <w:spacing w:after="100"/>
              <w:rPr>
                <w:rFonts w:eastAsia="Times New Roman"/>
              </w:rPr>
            </w:pPr>
            <w:r>
              <w:rPr>
                <w:rFonts w:eastAsia="Times New Roman"/>
                <w:color w:val="2C2C2C"/>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08FEF1D" w14:textId="77777777" w:rsidR="00000000" w:rsidRDefault="00A173A8">
            <w:pPr>
              <w:spacing w:after="100"/>
              <w:jc w:val="right"/>
              <w:rPr>
                <w:rFonts w:eastAsia="Times New Roman"/>
              </w:rPr>
            </w:pPr>
            <w:r>
              <w:rPr>
                <w:rFonts w:eastAsia="Times New Roman"/>
                <w:color w:val="2C2C2C"/>
                <w:sz w:val="20"/>
                <w:szCs w:val="20"/>
              </w:rPr>
              <w:t>106,427 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D51E07" w14:textId="77777777" w:rsidR="00000000" w:rsidRDefault="00A173A8">
            <w:pPr>
              <w:spacing w:after="100"/>
              <w:jc w:val="right"/>
              <w:rPr>
                <w:rFonts w:eastAsia="Times New Roman"/>
              </w:rPr>
            </w:pPr>
          </w:p>
        </w:tc>
      </w:tr>
      <w:tr w:rsidR="00000000" w14:paraId="188BD7D3" w14:textId="77777777">
        <w:trPr>
          <w:divId w:val="463042352"/>
        </w:trPr>
        <w:tc>
          <w:tcPr>
            <w:tcW w:w="0" w:type="auto"/>
            <w:gridSpan w:val="3"/>
            <w:shd w:val="clear" w:color="auto" w:fill="FFFFFF"/>
            <w:tcMar>
              <w:top w:w="30" w:type="dxa"/>
              <w:left w:w="20" w:type="dxa"/>
              <w:bottom w:w="30" w:type="dxa"/>
              <w:right w:w="20" w:type="dxa"/>
            </w:tcMar>
            <w:vAlign w:val="center"/>
            <w:hideMark/>
          </w:tcPr>
          <w:p w14:paraId="492BBB47" w14:textId="77777777" w:rsidR="00000000" w:rsidRDefault="00A173A8">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14:paraId="2DBC693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01C1A79" w14:textId="77777777" w:rsidR="00000000" w:rsidRDefault="00A173A8">
            <w:pPr>
              <w:spacing w:after="100"/>
              <w:jc w:val="right"/>
              <w:rPr>
                <w:rFonts w:eastAsia="Times New Roman"/>
              </w:rPr>
            </w:pPr>
            <w:r>
              <w:rPr>
                <w:rFonts w:eastAsia="Times New Roman"/>
                <w:b/>
                <w:bCs/>
                <w:color w:val="000000"/>
                <w:sz w:val="20"/>
                <w:szCs w:val="20"/>
              </w:rPr>
              <w:t>81,531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1306B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9816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3779FC" w14:textId="77777777" w:rsidR="00000000" w:rsidRDefault="00A173A8">
            <w:pPr>
              <w:spacing w:after="100"/>
              <w:jc w:val="right"/>
              <w:rPr>
                <w:rFonts w:eastAsia="Times New Roman"/>
              </w:rPr>
            </w:pPr>
            <w:r>
              <w:rPr>
                <w:rFonts w:eastAsia="Times New Roman"/>
                <w:b/>
                <w:bCs/>
                <w:color w:val="000000"/>
                <w:sz w:val="20"/>
                <w:szCs w:val="20"/>
              </w:rPr>
              <w:t>2,047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A4F79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F9CD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606C1F" w14:textId="77777777" w:rsidR="00000000" w:rsidRDefault="00A173A8">
            <w:pPr>
              <w:spacing w:after="100"/>
              <w:jc w:val="right"/>
              <w:rPr>
                <w:rFonts w:eastAsia="Times New Roman"/>
              </w:rPr>
            </w:pPr>
            <w:r>
              <w:rPr>
                <w:rFonts w:eastAsia="Times New Roman"/>
                <w:b/>
                <w:bCs/>
                <w:color w:val="000000"/>
                <w:sz w:val="20"/>
                <w:szCs w:val="20"/>
              </w:rPr>
              <w:t>79,484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220CBD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7A96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6BA3A7" w14:textId="77777777" w:rsidR="00000000" w:rsidRDefault="00A173A8">
            <w:pPr>
              <w:spacing w:after="100"/>
              <w:jc w:val="right"/>
              <w:rPr>
                <w:rFonts w:eastAsia="Times New Roman"/>
              </w:rPr>
            </w:pPr>
            <w:r>
              <w:rPr>
                <w:rFonts w:eastAsia="Times New Roman"/>
                <w:color w:val="2C2C2C"/>
                <w:sz w:val="20"/>
                <w:szCs w:val="20"/>
              </w:rPr>
              <w:t>77,646 </w:t>
            </w:r>
          </w:p>
        </w:tc>
        <w:tc>
          <w:tcPr>
            <w:tcW w:w="0" w:type="auto"/>
            <w:shd w:val="clear" w:color="auto" w:fill="FFFFFF"/>
            <w:tcMar>
              <w:top w:w="30" w:type="dxa"/>
              <w:left w:w="0" w:type="dxa"/>
              <w:bottom w:w="30" w:type="dxa"/>
              <w:right w:w="20" w:type="dxa"/>
            </w:tcMar>
            <w:vAlign w:val="center"/>
            <w:hideMark/>
          </w:tcPr>
          <w:p w14:paraId="0D71E41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48C09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123AF3" w14:textId="77777777" w:rsidR="00000000" w:rsidRDefault="00A173A8">
            <w:pPr>
              <w:spacing w:after="100"/>
              <w:jc w:val="right"/>
              <w:rPr>
                <w:rFonts w:eastAsia="Times New Roman"/>
              </w:rPr>
            </w:pPr>
            <w:r>
              <w:rPr>
                <w:rFonts w:eastAsia="Times New Roman"/>
                <w:color w:val="2C2C2C"/>
                <w:sz w:val="20"/>
                <w:szCs w:val="20"/>
              </w:rPr>
              <w:t>1,918 </w:t>
            </w:r>
          </w:p>
        </w:tc>
        <w:tc>
          <w:tcPr>
            <w:tcW w:w="0" w:type="auto"/>
            <w:shd w:val="clear" w:color="auto" w:fill="FFFFFF"/>
            <w:tcMar>
              <w:top w:w="30" w:type="dxa"/>
              <w:left w:w="0" w:type="dxa"/>
              <w:bottom w:w="30" w:type="dxa"/>
              <w:right w:w="20" w:type="dxa"/>
            </w:tcMar>
            <w:vAlign w:val="center"/>
            <w:hideMark/>
          </w:tcPr>
          <w:p w14:paraId="5D6C56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DAEB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93E68A" w14:textId="77777777" w:rsidR="00000000" w:rsidRDefault="00A173A8">
            <w:pPr>
              <w:spacing w:after="100"/>
              <w:jc w:val="right"/>
              <w:rPr>
                <w:rFonts w:eastAsia="Times New Roman"/>
              </w:rPr>
            </w:pPr>
            <w:r>
              <w:rPr>
                <w:rFonts w:eastAsia="Times New Roman"/>
                <w:color w:val="2C2C2C"/>
                <w:sz w:val="20"/>
                <w:szCs w:val="20"/>
              </w:rPr>
              <w:t>75,728 </w:t>
            </w:r>
          </w:p>
        </w:tc>
        <w:tc>
          <w:tcPr>
            <w:tcW w:w="0" w:type="auto"/>
            <w:shd w:val="clear" w:color="auto" w:fill="FFFFFF"/>
            <w:tcMar>
              <w:top w:w="30" w:type="dxa"/>
              <w:left w:w="0" w:type="dxa"/>
              <w:bottom w:w="30" w:type="dxa"/>
              <w:right w:w="20" w:type="dxa"/>
            </w:tcMar>
            <w:vAlign w:val="center"/>
            <w:hideMark/>
          </w:tcPr>
          <w:p w14:paraId="2C0009FC" w14:textId="77777777" w:rsidR="00000000" w:rsidRDefault="00A173A8">
            <w:pPr>
              <w:spacing w:after="100"/>
              <w:jc w:val="right"/>
              <w:rPr>
                <w:rFonts w:eastAsia="Times New Roman"/>
              </w:rPr>
            </w:pPr>
          </w:p>
        </w:tc>
      </w:tr>
      <w:tr w:rsidR="00000000" w14:paraId="539C038E" w14:textId="77777777">
        <w:trPr>
          <w:divId w:val="463042352"/>
        </w:trPr>
        <w:tc>
          <w:tcPr>
            <w:tcW w:w="0" w:type="auto"/>
            <w:gridSpan w:val="3"/>
            <w:shd w:val="clear" w:color="auto" w:fill="CCEEFF"/>
            <w:tcMar>
              <w:top w:w="30" w:type="dxa"/>
              <w:left w:w="20" w:type="dxa"/>
              <w:bottom w:w="30" w:type="dxa"/>
              <w:right w:w="20" w:type="dxa"/>
            </w:tcMar>
            <w:vAlign w:val="center"/>
            <w:hideMark/>
          </w:tcPr>
          <w:p w14:paraId="47E373DF" w14:textId="77777777" w:rsidR="00000000" w:rsidRDefault="00A173A8">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7BE1110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456D2F3" w14:textId="77777777" w:rsidR="00000000" w:rsidRDefault="00A173A8">
            <w:pPr>
              <w:spacing w:after="100"/>
              <w:jc w:val="right"/>
              <w:rPr>
                <w:rFonts w:eastAsia="Times New Roman"/>
              </w:rPr>
            </w:pPr>
            <w:r>
              <w:rPr>
                <w:rFonts w:eastAsia="Times New Roman"/>
                <w:b/>
                <w:bCs/>
                <w:color w:val="000000"/>
                <w:sz w:val="20"/>
                <w:szCs w:val="20"/>
              </w:rPr>
              <w:t>93,973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1E7579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744B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B42806" w14:textId="77777777" w:rsidR="00000000" w:rsidRDefault="00A173A8">
            <w:pPr>
              <w:spacing w:after="100"/>
              <w:jc w:val="right"/>
              <w:rPr>
                <w:rFonts w:eastAsia="Times New Roman"/>
              </w:rPr>
            </w:pPr>
            <w:r>
              <w:rPr>
                <w:rFonts w:eastAsia="Times New Roman"/>
                <w:b/>
                <w:bCs/>
                <w:color w:val="000000"/>
                <w:sz w:val="20"/>
                <w:szCs w:val="20"/>
              </w:rPr>
              <w:t>1,278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0705EA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BD26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F4B4C8" w14:textId="77777777" w:rsidR="00000000" w:rsidRDefault="00A173A8">
            <w:pPr>
              <w:spacing w:after="100"/>
              <w:jc w:val="right"/>
              <w:rPr>
                <w:rFonts w:eastAsia="Times New Roman"/>
              </w:rPr>
            </w:pPr>
            <w:r>
              <w:rPr>
                <w:rFonts w:eastAsia="Times New Roman"/>
                <w:b/>
                <w:bCs/>
                <w:color w:val="000000"/>
                <w:sz w:val="20"/>
                <w:szCs w:val="20"/>
              </w:rPr>
              <w:t>92,695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CC828E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D72F3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3B3B62" w14:textId="77777777" w:rsidR="00000000" w:rsidRDefault="00A173A8">
            <w:pPr>
              <w:spacing w:after="100"/>
              <w:jc w:val="right"/>
              <w:rPr>
                <w:rFonts w:eastAsia="Times New Roman"/>
              </w:rPr>
            </w:pPr>
            <w:r>
              <w:rPr>
                <w:rFonts w:eastAsia="Times New Roman"/>
                <w:color w:val="2C2C2C"/>
                <w:sz w:val="20"/>
                <w:szCs w:val="20"/>
              </w:rPr>
              <w:t>84,922 </w:t>
            </w:r>
          </w:p>
        </w:tc>
        <w:tc>
          <w:tcPr>
            <w:tcW w:w="0" w:type="auto"/>
            <w:shd w:val="clear" w:color="auto" w:fill="CCEEFF"/>
            <w:tcMar>
              <w:top w:w="30" w:type="dxa"/>
              <w:left w:w="0" w:type="dxa"/>
              <w:bottom w:w="30" w:type="dxa"/>
              <w:right w:w="20" w:type="dxa"/>
            </w:tcMar>
            <w:vAlign w:val="center"/>
            <w:hideMark/>
          </w:tcPr>
          <w:p w14:paraId="4A61CF6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D9F9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C05E84" w14:textId="77777777" w:rsidR="00000000" w:rsidRDefault="00A173A8">
            <w:pPr>
              <w:spacing w:after="100"/>
              <w:jc w:val="right"/>
              <w:rPr>
                <w:rFonts w:eastAsia="Times New Roman"/>
              </w:rPr>
            </w:pPr>
            <w:r>
              <w:rPr>
                <w:rFonts w:eastAsia="Times New Roman"/>
                <w:color w:val="2C2C2C"/>
                <w:sz w:val="20"/>
                <w:szCs w:val="20"/>
              </w:rPr>
              <w:t>1,167 </w:t>
            </w:r>
          </w:p>
        </w:tc>
        <w:tc>
          <w:tcPr>
            <w:tcW w:w="0" w:type="auto"/>
            <w:shd w:val="clear" w:color="auto" w:fill="CCEEFF"/>
            <w:tcMar>
              <w:top w:w="30" w:type="dxa"/>
              <w:left w:w="0" w:type="dxa"/>
              <w:bottom w:w="30" w:type="dxa"/>
              <w:right w:w="20" w:type="dxa"/>
            </w:tcMar>
            <w:vAlign w:val="center"/>
            <w:hideMark/>
          </w:tcPr>
          <w:p w14:paraId="55F6AEB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893B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68B8E4" w14:textId="77777777" w:rsidR="00000000" w:rsidRDefault="00A173A8">
            <w:pPr>
              <w:spacing w:after="100"/>
              <w:jc w:val="right"/>
              <w:rPr>
                <w:rFonts w:eastAsia="Times New Roman"/>
              </w:rPr>
            </w:pPr>
            <w:r>
              <w:rPr>
                <w:rFonts w:eastAsia="Times New Roman"/>
                <w:color w:val="2C2C2C"/>
                <w:sz w:val="20"/>
                <w:szCs w:val="20"/>
              </w:rPr>
              <w:t>83,755 </w:t>
            </w:r>
          </w:p>
        </w:tc>
        <w:tc>
          <w:tcPr>
            <w:tcW w:w="0" w:type="auto"/>
            <w:shd w:val="clear" w:color="auto" w:fill="CCEEFF"/>
            <w:tcMar>
              <w:top w:w="30" w:type="dxa"/>
              <w:left w:w="0" w:type="dxa"/>
              <w:bottom w:w="30" w:type="dxa"/>
              <w:right w:w="20" w:type="dxa"/>
            </w:tcMar>
            <w:vAlign w:val="center"/>
            <w:hideMark/>
          </w:tcPr>
          <w:p w14:paraId="2F89C6CA" w14:textId="77777777" w:rsidR="00000000" w:rsidRDefault="00A173A8">
            <w:pPr>
              <w:spacing w:after="100"/>
              <w:jc w:val="right"/>
              <w:rPr>
                <w:rFonts w:eastAsia="Times New Roman"/>
              </w:rPr>
            </w:pPr>
          </w:p>
        </w:tc>
      </w:tr>
      <w:tr w:rsidR="00000000" w14:paraId="54532C4A" w14:textId="77777777">
        <w:trPr>
          <w:divId w:val="463042352"/>
        </w:trPr>
        <w:tc>
          <w:tcPr>
            <w:tcW w:w="0" w:type="auto"/>
            <w:gridSpan w:val="3"/>
            <w:shd w:val="clear" w:color="auto" w:fill="FFFFFF"/>
            <w:tcMar>
              <w:top w:w="30" w:type="dxa"/>
              <w:left w:w="20" w:type="dxa"/>
              <w:bottom w:w="30" w:type="dxa"/>
              <w:right w:w="20" w:type="dxa"/>
            </w:tcMar>
            <w:vAlign w:val="center"/>
            <w:hideMark/>
          </w:tcPr>
          <w:p w14:paraId="23414610"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1A29A7BC"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B149B8E"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0A082A1" w14:textId="77777777" w:rsidR="00000000" w:rsidRDefault="00A173A8">
            <w:pPr>
              <w:spacing w:after="100"/>
              <w:jc w:val="right"/>
              <w:rPr>
                <w:rFonts w:eastAsia="Times New Roman"/>
              </w:rPr>
            </w:pPr>
            <w:r>
              <w:rPr>
                <w:rFonts w:eastAsia="Times New Roman"/>
                <w:b/>
                <w:bCs/>
                <w:color w:val="000000"/>
                <w:sz w:val="20"/>
                <w:szCs w:val="20"/>
              </w:rPr>
              <w:t>296,384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8C057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F6CEF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86E96DF"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59ECB3E" w14:textId="77777777" w:rsidR="00000000" w:rsidRDefault="00A173A8">
            <w:pPr>
              <w:spacing w:after="100"/>
              <w:jc w:val="right"/>
              <w:rPr>
                <w:rFonts w:eastAsia="Times New Roman"/>
              </w:rPr>
            </w:pPr>
            <w:r>
              <w:rPr>
                <w:rFonts w:eastAsia="Times New Roman"/>
                <w:b/>
                <w:bCs/>
                <w:color w:val="000000"/>
                <w:sz w:val="20"/>
                <w:szCs w:val="20"/>
              </w:rPr>
              <w:t>11,491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7E7E8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ACFC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D927091"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5F55201" w14:textId="77777777" w:rsidR="00000000" w:rsidRDefault="00A173A8">
            <w:pPr>
              <w:spacing w:after="100"/>
              <w:jc w:val="right"/>
              <w:rPr>
                <w:rFonts w:eastAsia="Times New Roman"/>
              </w:rPr>
            </w:pPr>
            <w:r>
              <w:rPr>
                <w:rFonts w:eastAsia="Times New Roman"/>
                <w:b/>
                <w:bCs/>
                <w:color w:val="000000"/>
                <w:sz w:val="20"/>
                <w:szCs w:val="20"/>
              </w:rPr>
              <w:t>284,893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F57B6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B40D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BF316AE" w14:textId="77777777" w:rsidR="00000000" w:rsidRDefault="00A173A8">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7B9C8E3" w14:textId="77777777" w:rsidR="00000000" w:rsidRDefault="00A173A8">
            <w:pPr>
              <w:spacing w:after="100"/>
              <w:jc w:val="right"/>
              <w:rPr>
                <w:rFonts w:eastAsia="Times New Roman"/>
              </w:rPr>
            </w:pPr>
            <w:r>
              <w:rPr>
                <w:rFonts w:eastAsia="Times New Roman"/>
                <w:color w:val="2C2C2C"/>
                <w:sz w:val="20"/>
                <w:szCs w:val="20"/>
              </w:rPr>
              <w:t>277,340 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D5C5E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9D14F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4391E78" w14:textId="77777777" w:rsidR="00000000" w:rsidRDefault="00A173A8">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E52AEEC" w14:textId="77777777" w:rsidR="00000000" w:rsidRDefault="00A173A8">
            <w:pPr>
              <w:spacing w:after="100"/>
              <w:jc w:val="right"/>
              <w:rPr>
                <w:rFonts w:eastAsia="Times New Roman"/>
              </w:rPr>
            </w:pPr>
            <w:r>
              <w:rPr>
                <w:rFonts w:eastAsia="Times New Roman"/>
                <w:color w:val="2C2C2C"/>
                <w:sz w:val="20"/>
                <w:szCs w:val="20"/>
              </w:rPr>
              <w:t>11,430 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50D58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C964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9EE4AE8" w14:textId="77777777" w:rsidR="00000000" w:rsidRDefault="00A173A8">
            <w:pPr>
              <w:spacing w:after="100"/>
              <w:rPr>
                <w:rFonts w:eastAsia="Times New Roman"/>
              </w:rPr>
            </w:pPr>
            <w:r>
              <w:rPr>
                <w:rFonts w:eastAsia="Times New Roman"/>
                <w:color w:val="2C2C2C"/>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5BC7EB2" w14:textId="77777777" w:rsidR="00000000" w:rsidRDefault="00A173A8">
            <w:pPr>
              <w:spacing w:after="100"/>
              <w:jc w:val="right"/>
              <w:rPr>
                <w:rFonts w:eastAsia="Times New Roman"/>
              </w:rPr>
            </w:pPr>
            <w:r>
              <w:rPr>
                <w:rFonts w:eastAsia="Times New Roman"/>
                <w:color w:val="2C2C2C"/>
                <w:sz w:val="20"/>
                <w:szCs w:val="20"/>
              </w:rPr>
              <w:t>265,910 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B555964" w14:textId="77777777" w:rsidR="00000000" w:rsidRDefault="00A173A8">
            <w:pPr>
              <w:spacing w:after="100"/>
              <w:jc w:val="right"/>
              <w:rPr>
                <w:rFonts w:eastAsia="Times New Roman"/>
              </w:rPr>
            </w:pPr>
          </w:p>
        </w:tc>
      </w:tr>
    </w:tbl>
    <w:p w14:paraId="15D7005B" w14:textId="77777777" w:rsidR="00000000" w:rsidRDefault="00A173A8">
      <w:pPr>
        <w:divId w:val="379012883"/>
        <w:rPr>
          <w:rFonts w:eastAsia="Times New Roman"/>
        </w:rPr>
      </w:pPr>
      <w:r>
        <w:rPr>
          <w:rFonts w:eastAsia="Times New Roman"/>
          <w:color w:val="000000"/>
          <w:sz w:val="20"/>
          <w:szCs w:val="20"/>
        </w:rPr>
        <w:t>Loans held for investment increased by $19.0 billion to $296.4 billion as of June 30, 2022 from December 31, 2021 primarily driven by growth across all of our segments.</w:t>
      </w:r>
    </w:p>
    <w:p w14:paraId="743564FE" w14:textId="77777777" w:rsidR="00000000" w:rsidRDefault="00A173A8">
      <w:pPr>
        <w:jc w:val="both"/>
        <w:divId w:val="1022780896"/>
        <w:rPr>
          <w:rFonts w:eastAsia="Times New Roman"/>
        </w:rPr>
      </w:pPr>
      <w:r>
        <w:rPr>
          <w:rFonts w:eastAsia="Times New Roman"/>
          <w:color w:val="000000"/>
          <w:sz w:val="20"/>
          <w:szCs w:val="20"/>
        </w:rPr>
        <w:t>We provide additional information on the composition of our loa</w:t>
      </w:r>
      <w:r>
        <w:rPr>
          <w:rFonts w:eastAsia="Times New Roman"/>
          <w:color w:val="000000"/>
          <w:sz w:val="20"/>
          <w:szCs w:val="20"/>
        </w:rPr>
        <w:t>n portfolio and credit quality in “MD&amp;A—Credit Risk Profile,” “MD&amp;A—Consolidated Results of Operations” and “Note 3—Loans.”</w:t>
      </w:r>
    </w:p>
    <w:p w14:paraId="3F705E7B" w14:textId="77777777" w:rsidR="00000000" w:rsidRDefault="00A173A8">
      <w:pPr>
        <w:divId w:val="1882791266"/>
        <w:rPr>
          <w:rFonts w:eastAsia="Times New Roman"/>
        </w:rPr>
      </w:pPr>
      <w:r>
        <w:rPr>
          <w:rFonts w:eastAsia="Times New Roman"/>
          <w:b/>
          <w:bCs/>
          <w:color w:val="000000"/>
          <w:sz w:val="20"/>
          <w:szCs w:val="20"/>
        </w:rPr>
        <w:t>Funding Sources</w:t>
      </w:r>
    </w:p>
    <w:p w14:paraId="54E5786A" w14:textId="77777777" w:rsidR="00000000" w:rsidRDefault="00A173A8">
      <w:pPr>
        <w:jc w:val="both"/>
        <w:divId w:val="1259216702"/>
        <w:rPr>
          <w:rFonts w:eastAsia="Times New Roman"/>
        </w:rPr>
      </w:pPr>
      <w:r>
        <w:rPr>
          <w:rFonts w:eastAsia="Times New Roman"/>
          <w:color w:val="000000"/>
          <w:sz w:val="20"/>
          <w:szCs w:val="20"/>
        </w:rPr>
        <w:t>Our primary source of funding comes from deposits, as they are a stable and relatively low cost source of funding. I</w:t>
      </w:r>
      <w:r>
        <w:rPr>
          <w:rFonts w:eastAsia="Times New Roman"/>
          <w:color w:val="000000"/>
          <w:sz w:val="20"/>
          <w:szCs w:val="20"/>
        </w:rPr>
        <w:t>n addition to deposits, we raise funding through the issuance of senior and subordinated notes, securitized debt obligations, federal funds purchased, securities loaned or sold under agreements to repurchase, and FHLB advances secured by certain portions o</w:t>
      </w:r>
      <w:r>
        <w:rPr>
          <w:rFonts w:eastAsia="Times New Roman"/>
          <w:color w:val="000000"/>
          <w:sz w:val="20"/>
          <w:szCs w:val="20"/>
        </w:rPr>
        <w:t xml:space="preserve">f our loan and securities portfolios.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098E5C5" w14:textId="77777777">
        <w:trPr>
          <w:divId w:val="1252659108"/>
          <w:jc w:val="center"/>
        </w:trPr>
        <w:tc>
          <w:tcPr>
            <w:tcW w:w="50" w:type="pct"/>
            <w:vAlign w:val="center"/>
            <w:hideMark/>
          </w:tcPr>
          <w:p w14:paraId="02494B49" w14:textId="77777777" w:rsidR="00000000" w:rsidRDefault="00A173A8">
            <w:pPr>
              <w:jc w:val="both"/>
              <w:rPr>
                <w:rFonts w:eastAsia="Times New Roman"/>
              </w:rPr>
            </w:pPr>
          </w:p>
        </w:tc>
        <w:tc>
          <w:tcPr>
            <w:tcW w:w="1606" w:type="pct"/>
            <w:vAlign w:val="center"/>
            <w:hideMark/>
          </w:tcPr>
          <w:p w14:paraId="50D9DBA7" w14:textId="77777777" w:rsidR="00000000" w:rsidRDefault="00A173A8">
            <w:pPr>
              <w:spacing w:after="100"/>
              <w:rPr>
                <w:rFonts w:eastAsia="Times New Roman"/>
                <w:sz w:val="20"/>
                <w:szCs w:val="20"/>
              </w:rPr>
            </w:pPr>
          </w:p>
        </w:tc>
        <w:tc>
          <w:tcPr>
            <w:tcW w:w="5" w:type="pct"/>
            <w:vAlign w:val="center"/>
            <w:hideMark/>
          </w:tcPr>
          <w:p w14:paraId="50CC6EFC" w14:textId="77777777" w:rsidR="00000000" w:rsidRDefault="00A173A8">
            <w:pPr>
              <w:spacing w:after="100"/>
              <w:rPr>
                <w:rFonts w:eastAsia="Times New Roman"/>
                <w:sz w:val="20"/>
                <w:szCs w:val="20"/>
              </w:rPr>
            </w:pPr>
          </w:p>
        </w:tc>
        <w:tc>
          <w:tcPr>
            <w:tcW w:w="50" w:type="pct"/>
            <w:vAlign w:val="center"/>
            <w:hideMark/>
          </w:tcPr>
          <w:p w14:paraId="4DCA97CE" w14:textId="77777777" w:rsidR="00000000" w:rsidRDefault="00A173A8">
            <w:pPr>
              <w:spacing w:after="100"/>
              <w:rPr>
                <w:rFonts w:eastAsia="Times New Roman"/>
                <w:sz w:val="20"/>
                <w:szCs w:val="20"/>
              </w:rPr>
            </w:pPr>
          </w:p>
        </w:tc>
        <w:tc>
          <w:tcPr>
            <w:tcW w:w="1614" w:type="pct"/>
            <w:vAlign w:val="center"/>
            <w:hideMark/>
          </w:tcPr>
          <w:p w14:paraId="702EA701" w14:textId="77777777" w:rsidR="00000000" w:rsidRDefault="00A173A8">
            <w:pPr>
              <w:spacing w:after="100"/>
              <w:rPr>
                <w:rFonts w:eastAsia="Times New Roman"/>
                <w:sz w:val="20"/>
                <w:szCs w:val="20"/>
              </w:rPr>
            </w:pPr>
          </w:p>
        </w:tc>
        <w:tc>
          <w:tcPr>
            <w:tcW w:w="5" w:type="pct"/>
            <w:vAlign w:val="center"/>
            <w:hideMark/>
          </w:tcPr>
          <w:p w14:paraId="48C9C427" w14:textId="77777777" w:rsidR="00000000" w:rsidRDefault="00A173A8">
            <w:pPr>
              <w:spacing w:after="100"/>
              <w:rPr>
                <w:rFonts w:eastAsia="Times New Roman"/>
                <w:sz w:val="20"/>
                <w:szCs w:val="20"/>
              </w:rPr>
            </w:pPr>
          </w:p>
        </w:tc>
        <w:tc>
          <w:tcPr>
            <w:tcW w:w="50" w:type="pct"/>
            <w:vAlign w:val="center"/>
            <w:hideMark/>
          </w:tcPr>
          <w:p w14:paraId="7F76F07E" w14:textId="77777777" w:rsidR="00000000" w:rsidRDefault="00A173A8">
            <w:pPr>
              <w:spacing w:after="100"/>
              <w:rPr>
                <w:rFonts w:eastAsia="Times New Roman"/>
                <w:sz w:val="20"/>
                <w:szCs w:val="20"/>
              </w:rPr>
            </w:pPr>
          </w:p>
        </w:tc>
        <w:tc>
          <w:tcPr>
            <w:tcW w:w="1614" w:type="pct"/>
            <w:vAlign w:val="center"/>
            <w:hideMark/>
          </w:tcPr>
          <w:p w14:paraId="10F51A4C" w14:textId="77777777" w:rsidR="00000000" w:rsidRDefault="00A173A8">
            <w:pPr>
              <w:spacing w:after="100"/>
              <w:rPr>
                <w:rFonts w:eastAsia="Times New Roman"/>
                <w:sz w:val="20"/>
                <w:szCs w:val="20"/>
              </w:rPr>
            </w:pPr>
          </w:p>
        </w:tc>
        <w:tc>
          <w:tcPr>
            <w:tcW w:w="5" w:type="pct"/>
            <w:vAlign w:val="center"/>
            <w:hideMark/>
          </w:tcPr>
          <w:p w14:paraId="25FE874A" w14:textId="77777777" w:rsidR="00000000" w:rsidRDefault="00A173A8">
            <w:pPr>
              <w:spacing w:after="100"/>
              <w:rPr>
                <w:rFonts w:eastAsia="Times New Roman"/>
                <w:sz w:val="20"/>
                <w:szCs w:val="20"/>
              </w:rPr>
            </w:pPr>
          </w:p>
        </w:tc>
      </w:tr>
      <w:tr w:rsidR="00000000" w14:paraId="2539942A" w14:textId="77777777">
        <w:trPr>
          <w:divId w:val="1252659108"/>
          <w:trHeight w:val="300"/>
          <w:jc w:val="center"/>
        </w:trPr>
        <w:tc>
          <w:tcPr>
            <w:tcW w:w="0" w:type="auto"/>
            <w:gridSpan w:val="9"/>
            <w:tcMar>
              <w:top w:w="0" w:type="dxa"/>
              <w:left w:w="20" w:type="dxa"/>
              <w:bottom w:w="0" w:type="dxa"/>
              <w:right w:w="20" w:type="dxa"/>
            </w:tcMar>
            <w:vAlign w:val="center"/>
            <w:hideMark/>
          </w:tcPr>
          <w:p w14:paraId="74B37FC5" w14:textId="77777777" w:rsidR="00000000" w:rsidRDefault="00A173A8">
            <w:pPr>
              <w:spacing w:after="100"/>
              <w:rPr>
                <w:rFonts w:eastAsia="Times New Roman"/>
                <w:sz w:val="20"/>
                <w:szCs w:val="20"/>
              </w:rPr>
            </w:pPr>
          </w:p>
        </w:tc>
      </w:tr>
      <w:tr w:rsidR="00000000" w14:paraId="0BA70022" w14:textId="77777777">
        <w:trPr>
          <w:divId w:val="1252659108"/>
          <w:jc w:val="center"/>
        </w:trPr>
        <w:tc>
          <w:tcPr>
            <w:tcW w:w="0" w:type="auto"/>
            <w:gridSpan w:val="3"/>
            <w:tcMar>
              <w:top w:w="0" w:type="dxa"/>
              <w:left w:w="20" w:type="dxa"/>
              <w:bottom w:w="0" w:type="dxa"/>
              <w:right w:w="20" w:type="dxa"/>
            </w:tcMar>
            <w:vAlign w:val="center"/>
            <w:hideMark/>
          </w:tcPr>
          <w:p w14:paraId="2CF5E2C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0AC09D" w14:textId="77777777" w:rsidR="00000000" w:rsidRDefault="00A173A8">
            <w:pPr>
              <w:spacing w:after="100"/>
              <w:jc w:val="center"/>
              <w:rPr>
                <w:rFonts w:eastAsia="Times New Roman"/>
              </w:rPr>
            </w:pPr>
            <w:r>
              <w:rPr>
                <w:rFonts w:eastAsia="Times New Roman"/>
                <w:color w:val="000000"/>
                <w:sz w:val="16"/>
                <w:szCs w:val="16"/>
              </w:rPr>
              <w:t>16</w:t>
            </w:r>
          </w:p>
        </w:tc>
        <w:tc>
          <w:tcPr>
            <w:tcW w:w="0" w:type="auto"/>
            <w:gridSpan w:val="3"/>
            <w:tcMar>
              <w:top w:w="30" w:type="dxa"/>
              <w:left w:w="20" w:type="dxa"/>
              <w:bottom w:w="30" w:type="dxa"/>
              <w:right w:w="20" w:type="dxa"/>
            </w:tcMar>
            <w:vAlign w:val="bottom"/>
            <w:hideMark/>
          </w:tcPr>
          <w:p w14:paraId="678C47A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0BCDFFC" w14:textId="77777777" w:rsidR="00000000" w:rsidRDefault="00A173A8">
      <w:pPr>
        <w:rPr>
          <w:rFonts w:eastAsia="Times New Roman"/>
        </w:rPr>
      </w:pPr>
      <w:r>
        <w:rPr>
          <w:rFonts w:eastAsia="Times New Roman"/>
        </w:rPr>
        <w:pict w14:anchorId="7149A583">
          <v:rect id="_x0000_i1041" style="width:0;height:1.5pt" o:hralign="center" o:hrstd="t" o:hr="t" fillcolor="#a0a0a0" stroked="f"/>
        </w:pict>
      </w:r>
    </w:p>
    <w:p w14:paraId="08E992E7" w14:textId="77777777" w:rsidR="00000000" w:rsidRDefault="00A173A8">
      <w:pPr>
        <w:ind w:hanging="360"/>
        <w:jc w:val="both"/>
        <w:divId w:val="1685664835"/>
        <w:rPr>
          <w:rFonts w:eastAsia="Times New Roman"/>
        </w:rPr>
      </w:pPr>
      <w:hyperlink w:anchor="i7ffd5d61af6f4722b1b1b07530d51c06_13" w:history="1">
        <w:r>
          <w:rPr>
            <w:rStyle w:val="a3"/>
            <w:rFonts w:eastAsia="Times New Roman"/>
            <w:sz w:val="16"/>
            <w:szCs w:val="16"/>
          </w:rPr>
          <w:t>Table of Contents</w:t>
        </w:r>
      </w:hyperlink>
    </w:p>
    <w:p w14:paraId="03B55EEB" w14:textId="77777777" w:rsidR="00000000" w:rsidRDefault="00A173A8">
      <w:pPr>
        <w:divId w:val="672219461"/>
        <w:rPr>
          <w:rFonts w:eastAsia="Times New Roman"/>
        </w:rPr>
      </w:pPr>
      <w:r>
        <w:rPr>
          <w:rFonts w:eastAsia="Times New Roman"/>
          <w:color w:val="000000"/>
          <w:sz w:val="20"/>
          <w:szCs w:val="20"/>
        </w:rPr>
        <w:t>Table 7 provides the composition of our primary sources of funding as of June 30, 2022 and December 31, 2021.</w:t>
      </w:r>
    </w:p>
    <w:p w14:paraId="60071D49" w14:textId="77777777" w:rsidR="00000000" w:rsidRDefault="00A173A8">
      <w:pPr>
        <w:divId w:val="518936519"/>
        <w:rPr>
          <w:rFonts w:eastAsia="Times New Roman"/>
        </w:rPr>
      </w:pPr>
      <w:r>
        <w:rPr>
          <w:rFonts w:eastAsia="Times New Roman"/>
          <w:b/>
          <w:bCs/>
          <w:color w:val="000000"/>
          <w:sz w:val="18"/>
          <w:szCs w:val="18"/>
        </w:rPr>
        <w:t xml:space="preserve">Table 7: Funding Sources Composition </w:t>
      </w:r>
    </w:p>
    <w:tbl>
      <w:tblPr>
        <w:tblW w:w="5000" w:type="pct"/>
        <w:tblCellMar>
          <w:top w:w="15" w:type="dxa"/>
          <w:left w:w="15" w:type="dxa"/>
          <w:bottom w:w="15" w:type="dxa"/>
          <w:right w:w="15" w:type="dxa"/>
        </w:tblCellMar>
        <w:tblLook w:val="04A0" w:firstRow="1" w:lastRow="0" w:firstColumn="1" w:lastColumn="0" w:noHBand="0" w:noVBand="1"/>
      </w:tblPr>
      <w:tblGrid>
        <w:gridCol w:w="39"/>
        <w:gridCol w:w="4198"/>
        <w:gridCol w:w="38"/>
        <w:gridCol w:w="36"/>
        <w:gridCol w:w="36"/>
        <w:gridCol w:w="36"/>
        <w:gridCol w:w="120"/>
        <w:gridCol w:w="796"/>
        <w:gridCol w:w="36"/>
        <w:gridCol w:w="36"/>
        <w:gridCol w:w="36"/>
        <w:gridCol w:w="36"/>
        <w:gridCol w:w="50"/>
        <w:gridCol w:w="594"/>
        <w:gridCol w:w="220"/>
        <w:gridCol w:w="36"/>
        <w:gridCol w:w="36"/>
        <w:gridCol w:w="36"/>
        <w:gridCol w:w="120"/>
        <w:gridCol w:w="796"/>
        <w:gridCol w:w="36"/>
        <w:gridCol w:w="36"/>
        <w:gridCol w:w="36"/>
        <w:gridCol w:w="36"/>
        <w:gridCol w:w="50"/>
        <w:gridCol w:w="594"/>
        <w:gridCol w:w="187"/>
      </w:tblGrid>
      <w:tr w:rsidR="00000000" w14:paraId="3BE3F108" w14:textId="77777777">
        <w:trPr>
          <w:divId w:val="955602661"/>
        </w:trPr>
        <w:tc>
          <w:tcPr>
            <w:tcW w:w="50" w:type="pct"/>
            <w:vAlign w:val="center"/>
            <w:hideMark/>
          </w:tcPr>
          <w:p w14:paraId="0BFB510A" w14:textId="77777777" w:rsidR="00000000" w:rsidRDefault="00A173A8">
            <w:pPr>
              <w:rPr>
                <w:rFonts w:eastAsia="Times New Roman"/>
              </w:rPr>
            </w:pPr>
          </w:p>
        </w:tc>
        <w:tc>
          <w:tcPr>
            <w:tcW w:w="2576" w:type="pct"/>
            <w:vAlign w:val="center"/>
            <w:hideMark/>
          </w:tcPr>
          <w:p w14:paraId="4360A61A" w14:textId="77777777" w:rsidR="00000000" w:rsidRDefault="00A173A8">
            <w:pPr>
              <w:spacing w:after="100"/>
              <w:rPr>
                <w:rFonts w:eastAsia="Times New Roman"/>
                <w:sz w:val="20"/>
                <w:szCs w:val="20"/>
              </w:rPr>
            </w:pPr>
          </w:p>
        </w:tc>
        <w:tc>
          <w:tcPr>
            <w:tcW w:w="5" w:type="pct"/>
            <w:vAlign w:val="center"/>
            <w:hideMark/>
          </w:tcPr>
          <w:p w14:paraId="6DD1197F" w14:textId="77777777" w:rsidR="00000000" w:rsidRDefault="00A173A8">
            <w:pPr>
              <w:spacing w:after="100"/>
              <w:rPr>
                <w:rFonts w:eastAsia="Times New Roman"/>
                <w:sz w:val="20"/>
                <w:szCs w:val="20"/>
              </w:rPr>
            </w:pPr>
          </w:p>
        </w:tc>
        <w:tc>
          <w:tcPr>
            <w:tcW w:w="5" w:type="pct"/>
            <w:vAlign w:val="center"/>
            <w:hideMark/>
          </w:tcPr>
          <w:p w14:paraId="09CC061D" w14:textId="77777777" w:rsidR="00000000" w:rsidRDefault="00A173A8">
            <w:pPr>
              <w:spacing w:after="100"/>
              <w:rPr>
                <w:rFonts w:eastAsia="Times New Roman"/>
                <w:sz w:val="20"/>
                <w:szCs w:val="20"/>
              </w:rPr>
            </w:pPr>
          </w:p>
        </w:tc>
        <w:tc>
          <w:tcPr>
            <w:tcW w:w="26" w:type="pct"/>
            <w:vAlign w:val="center"/>
            <w:hideMark/>
          </w:tcPr>
          <w:p w14:paraId="73134C71" w14:textId="77777777" w:rsidR="00000000" w:rsidRDefault="00A173A8">
            <w:pPr>
              <w:spacing w:after="100"/>
              <w:rPr>
                <w:rFonts w:eastAsia="Times New Roman"/>
                <w:sz w:val="20"/>
                <w:szCs w:val="20"/>
              </w:rPr>
            </w:pPr>
          </w:p>
        </w:tc>
        <w:tc>
          <w:tcPr>
            <w:tcW w:w="5" w:type="pct"/>
            <w:vAlign w:val="center"/>
            <w:hideMark/>
          </w:tcPr>
          <w:p w14:paraId="466876F3" w14:textId="77777777" w:rsidR="00000000" w:rsidRDefault="00A173A8">
            <w:pPr>
              <w:spacing w:after="100"/>
              <w:rPr>
                <w:rFonts w:eastAsia="Times New Roman"/>
                <w:sz w:val="20"/>
                <w:szCs w:val="20"/>
              </w:rPr>
            </w:pPr>
          </w:p>
        </w:tc>
        <w:tc>
          <w:tcPr>
            <w:tcW w:w="50" w:type="pct"/>
            <w:vAlign w:val="center"/>
            <w:hideMark/>
          </w:tcPr>
          <w:p w14:paraId="30A81155" w14:textId="77777777" w:rsidR="00000000" w:rsidRDefault="00A173A8">
            <w:pPr>
              <w:spacing w:after="100"/>
              <w:rPr>
                <w:rFonts w:eastAsia="Times New Roman"/>
                <w:sz w:val="20"/>
                <w:szCs w:val="20"/>
              </w:rPr>
            </w:pPr>
          </w:p>
        </w:tc>
        <w:tc>
          <w:tcPr>
            <w:tcW w:w="551" w:type="pct"/>
            <w:vAlign w:val="center"/>
            <w:hideMark/>
          </w:tcPr>
          <w:p w14:paraId="3AADC78A" w14:textId="77777777" w:rsidR="00000000" w:rsidRDefault="00A173A8">
            <w:pPr>
              <w:spacing w:after="100"/>
              <w:rPr>
                <w:rFonts w:eastAsia="Times New Roman"/>
                <w:sz w:val="20"/>
                <w:szCs w:val="20"/>
              </w:rPr>
            </w:pPr>
          </w:p>
        </w:tc>
        <w:tc>
          <w:tcPr>
            <w:tcW w:w="5" w:type="pct"/>
            <w:vAlign w:val="center"/>
            <w:hideMark/>
          </w:tcPr>
          <w:p w14:paraId="37CCD4EC" w14:textId="77777777" w:rsidR="00000000" w:rsidRDefault="00A173A8">
            <w:pPr>
              <w:spacing w:after="100"/>
              <w:rPr>
                <w:rFonts w:eastAsia="Times New Roman"/>
                <w:sz w:val="20"/>
                <w:szCs w:val="20"/>
              </w:rPr>
            </w:pPr>
          </w:p>
        </w:tc>
        <w:tc>
          <w:tcPr>
            <w:tcW w:w="5" w:type="pct"/>
            <w:vAlign w:val="center"/>
            <w:hideMark/>
          </w:tcPr>
          <w:p w14:paraId="481128C4" w14:textId="77777777" w:rsidR="00000000" w:rsidRDefault="00A173A8">
            <w:pPr>
              <w:spacing w:after="100"/>
              <w:rPr>
                <w:rFonts w:eastAsia="Times New Roman"/>
                <w:sz w:val="20"/>
                <w:szCs w:val="20"/>
              </w:rPr>
            </w:pPr>
          </w:p>
        </w:tc>
        <w:tc>
          <w:tcPr>
            <w:tcW w:w="26" w:type="pct"/>
            <w:vAlign w:val="center"/>
            <w:hideMark/>
          </w:tcPr>
          <w:p w14:paraId="5555C889" w14:textId="77777777" w:rsidR="00000000" w:rsidRDefault="00A173A8">
            <w:pPr>
              <w:spacing w:after="100"/>
              <w:rPr>
                <w:rFonts w:eastAsia="Times New Roman"/>
                <w:sz w:val="20"/>
                <w:szCs w:val="20"/>
              </w:rPr>
            </w:pPr>
          </w:p>
        </w:tc>
        <w:tc>
          <w:tcPr>
            <w:tcW w:w="5" w:type="pct"/>
            <w:vAlign w:val="center"/>
            <w:hideMark/>
          </w:tcPr>
          <w:p w14:paraId="56FB07BC" w14:textId="77777777" w:rsidR="00000000" w:rsidRDefault="00A173A8">
            <w:pPr>
              <w:spacing w:after="100"/>
              <w:rPr>
                <w:rFonts w:eastAsia="Times New Roman"/>
                <w:sz w:val="20"/>
                <w:szCs w:val="20"/>
              </w:rPr>
            </w:pPr>
          </w:p>
        </w:tc>
        <w:tc>
          <w:tcPr>
            <w:tcW w:w="50" w:type="pct"/>
            <w:vAlign w:val="center"/>
            <w:hideMark/>
          </w:tcPr>
          <w:p w14:paraId="77649A93" w14:textId="77777777" w:rsidR="00000000" w:rsidRDefault="00A173A8">
            <w:pPr>
              <w:spacing w:after="100"/>
              <w:rPr>
                <w:rFonts w:eastAsia="Times New Roman"/>
                <w:sz w:val="20"/>
                <w:szCs w:val="20"/>
              </w:rPr>
            </w:pPr>
          </w:p>
        </w:tc>
        <w:tc>
          <w:tcPr>
            <w:tcW w:w="449" w:type="pct"/>
            <w:vAlign w:val="center"/>
            <w:hideMark/>
          </w:tcPr>
          <w:p w14:paraId="698AED17" w14:textId="77777777" w:rsidR="00000000" w:rsidRDefault="00A173A8">
            <w:pPr>
              <w:spacing w:after="100"/>
              <w:rPr>
                <w:rFonts w:eastAsia="Times New Roman"/>
                <w:sz w:val="20"/>
                <w:szCs w:val="20"/>
              </w:rPr>
            </w:pPr>
          </w:p>
        </w:tc>
        <w:tc>
          <w:tcPr>
            <w:tcW w:w="5" w:type="pct"/>
            <w:vAlign w:val="center"/>
            <w:hideMark/>
          </w:tcPr>
          <w:p w14:paraId="11B67695" w14:textId="77777777" w:rsidR="00000000" w:rsidRDefault="00A173A8">
            <w:pPr>
              <w:spacing w:after="100"/>
              <w:rPr>
                <w:rFonts w:eastAsia="Times New Roman"/>
                <w:sz w:val="20"/>
                <w:szCs w:val="20"/>
              </w:rPr>
            </w:pPr>
          </w:p>
        </w:tc>
        <w:tc>
          <w:tcPr>
            <w:tcW w:w="5" w:type="pct"/>
            <w:vAlign w:val="center"/>
            <w:hideMark/>
          </w:tcPr>
          <w:p w14:paraId="1FEFE2D6" w14:textId="77777777" w:rsidR="00000000" w:rsidRDefault="00A173A8">
            <w:pPr>
              <w:spacing w:after="100"/>
              <w:rPr>
                <w:rFonts w:eastAsia="Times New Roman"/>
                <w:sz w:val="20"/>
                <w:szCs w:val="20"/>
              </w:rPr>
            </w:pPr>
          </w:p>
        </w:tc>
        <w:tc>
          <w:tcPr>
            <w:tcW w:w="26" w:type="pct"/>
            <w:vAlign w:val="center"/>
            <w:hideMark/>
          </w:tcPr>
          <w:p w14:paraId="50DDE1C4" w14:textId="77777777" w:rsidR="00000000" w:rsidRDefault="00A173A8">
            <w:pPr>
              <w:spacing w:after="100"/>
              <w:rPr>
                <w:rFonts w:eastAsia="Times New Roman"/>
                <w:sz w:val="20"/>
                <w:szCs w:val="20"/>
              </w:rPr>
            </w:pPr>
          </w:p>
        </w:tc>
        <w:tc>
          <w:tcPr>
            <w:tcW w:w="5" w:type="pct"/>
            <w:vAlign w:val="center"/>
            <w:hideMark/>
          </w:tcPr>
          <w:p w14:paraId="6B2AF49E" w14:textId="77777777" w:rsidR="00000000" w:rsidRDefault="00A173A8">
            <w:pPr>
              <w:spacing w:after="100"/>
              <w:rPr>
                <w:rFonts w:eastAsia="Times New Roman"/>
                <w:sz w:val="20"/>
                <w:szCs w:val="20"/>
              </w:rPr>
            </w:pPr>
          </w:p>
        </w:tc>
        <w:tc>
          <w:tcPr>
            <w:tcW w:w="50" w:type="pct"/>
            <w:vAlign w:val="center"/>
            <w:hideMark/>
          </w:tcPr>
          <w:p w14:paraId="69F7381F" w14:textId="77777777" w:rsidR="00000000" w:rsidRDefault="00A173A8">
            <w:pPr>
              <w:spacing w:after="100"/>
              <w:rPr>
                <w:rFonts w:eastAsia="Times New Roman"/>
                <w:sz w:val="20"/>
                <w:szCs w:val="20"/>
              </w:rPr>
            </w:pPr>
          </w:p>
        </w:tc>
        <w:tc>
          <w:tcPr>
            <w:tcW w:w="551" w:type="pct"/>
            <w:vAlign w:val="center"/>
            <w:hideMark/>
          </w:tcPr>
          <w:p w14:paraId="4C30FEAA" w14:textId="77777777" w:rsidR="00000000" w:rsidRDefault="00A173A8">
            <w:pPr>
              <w:spacing w:after="100"/>
              <w:rPr>
                <w:rFonts w:eastAsia="Times New Roman"/>
                <w:sz w:val="20"/>
                <w:szCs w:val="20"/>
              </w:rPr>
            </w:pPr>
          </w:p>
        </w:tc>
        <w:tc>
          <w:tcPr>
            <w:tcW w:w="5" w:type="pct"/>
            <w:vAlign w:val="center"/>
            <w:hideMark/>
          </w:tcPr>
          <w:p w14:paraId="0EA68DD6" w14:textId="77777777" w:rsidR="00000000" w:rsidRDefault="00A173A8">
            <w:pPr>
              <w:spacing w:after="100"/>
              <w:rPr>
                <w:rFonts w:eastAsia="Times New Roman"/>
                <w:sz w:val="20"/>
                <w:szCs w:val="20"/>
              </w:rPr>
            </w:pPr>
          </w:p>
        </w:tc>
        <w:tc>
          <w:tcPr>
            <w:tcW w:w="5" w:type="pct"/>
            <w:vAlign w:val="center"/>
            <w:hideMark/>
          </w:tcPr>
          <w:p w14:paraId="269C088F" w14:textId="77777777" w:rsidR="00000000" w:rsidRDefault="00A173A8">
            <w:pPr>
              <w:spacing w:after="100"/>
              <w:rPr>
                <w:rFonts w:eastAsia="Times New Roman"/>
                <w:sz w:val="20"/>
                <w:szCs w:val="20"/>
              </w:rPr>
            </w:pPr>
          </w:p>
        </w:tc>
        <w:tc>
          <w:tcPr>
            <w:tcW w:w="26" w:type="pct"/>
            <w:vAlign w:val="center"/>
            <w:hideMark/>
          </w:tcPr>
          <w:p w14:paraId="4B012A2B" w14:textId="77777777" w:rsidR="00000000" w:rsidRDefault="00A173A8">
            <w:pPr>
              <w:spacing w:after="100"/>
              <w:rPr>
                <w:rFonts w:eastAsia="Times New Roman"/>
                <w:sz w:val="20"/>
                <w:szCs w:val="20"/>
              </w:rPr>
            </w:pPr>
          </w:p>
        </w:tc>
        <w:tc>
          <w:tcPr>
            <w:tcW w:w="5" w:type="pct"/>
            <w:vAlign w:val="center"/>
            <w:hideMark/>
          </w:tcPr>
          <w:p w14:paraId="06BB93C2" w14:textId="77777777" w:rsidR="00000000" w:rsidRDefault="00A173A8">
            <w:pPr>
              <w:spacing w:after="100"/>
              <w:rPr>
                <w:rFonts w:eastAsia="Times New Roman"/>
                <w:sz w:val="20"/>
                <w:szCs w:val="20"/>
              </w:rPr>
            </w:pPr>
          </w:p>
        </w:tc>
        <w:tc>
          <w:tcPr>
            <w:tcW w:w="50" w:type="pct"/>
            <w:vAlign w:val="center"/>
            <w:hideMark/>
          </w:tcPr>
          <w:p w14:paraId="65202EAC" w14:textId="77777777" w:rsidR="00000000" w:rsidRDefault="00A173A8">
            <w:pPr>
              <w:spacing w:after="100"/>
              <w:rPr>
                <w:rFonts w:eastAsia="Times New Roman"/>
                <w:sz w:val="20"/>
                <w:szCs w:val="20"/>
              </w:rPr>
            </w:pPr>
          </w:p>
        </w:tc>
        <w:tc>
          <w:tcPr>
            <w:tcW w:w="449" w:type="pct"/>
            <w:vAlign w:val="center"/>
            <w:hideMark/>
          </w:tcPr>
          <w:p w14:paraId="1EAB7B57" w14:textId="77777777" w:rsidR="00000000" w:rsidRDefault="00A173A8">
            <w:pPr>
              <w:spacing w:after="100"/>
              <w:rPr>
                <w:rFonts w:eastAsia="Times New Roman"/>
                <w:sz w:val="20"/>
                <w:szCs w:val="20"/>
              </w:rPr>
            </w:pPr>
          </w:p>
        </w:tc>
        <w:tc>
          <w:tcPr>
            <w:tcW w:w="5" w:type="pct"/>
            <w:vAlign w:val="center"/>
            <w:hideMark/>
          </w:tcPr>
          <w:p w14:paraId="33A77FF0" w14:textId="77777777" w:rsidR="00000000" w:rsidRDefault="00A173A8">
            <w:pPr>
              <w:spacing w:after="100"/>
              <w:rPr>
                <w:rFonts w:eastAsia="Times New Roman"/>
                <w:sz w:val="20"/>
                <w:szCs w:val="20"/>
              </w:rPr>
            </w:pPr>
          </w:p>
        </w:tc>
      </w:tr>
      <w:tr w:rsidR="00000000" w14:paraId="5BC086C0" w14:textId="77777777">
        <w:trPr>
          <w:divId w:val="955602661"/>
        </w:trPr>
        <w:tc>
          <w:tcPr>
            <w:tcW w:w="0" w:type="auto"/>
            <w:gridSpan w:val="3"/>
            <w:tcMar>
              <w:top w:w="0" w:type="dxa"/>
              <w:left w:w="20" w:type="dxa"/>
              <w:bottom w:w="0" w:type="dxa"/>
              <w:right w:w="20" w:type="dxa"/>
            </w:tcMar>
            <w:vAlign w:val="center"/>
            <w:hideMark/>
          </w:tcPr>
          <w:p w14:paraId="32A2876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30C5BF"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A1EEFA1"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5FDBB2A7"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618F3B"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191E2121" w14:textId="77777777">
        <w:trPr>
          <w:divId w:val="955602661"/>
        </w:trPr>
        <w:tc>
          <w:tcPr>
            <w:tcW w:w="0" w:type="auto"/>
            <w:gridSpan w:val="3"/>
            <w:tcMar>
              <w:top w:w="30" w:type="dxa"/>
              <w:left w:w="20" w:type="dxa"/>
              <w:bottom w:w="30" w:type="dxa"/>
              <w:right w:w="20" w:type="dxa"/>
            </w:tcMar>
            <w:vAlign w:val="bottom"/>
            <w:hideMark/>
          </w:tcPr>
          <w:p w14:paraId="03FE560F"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4F383CEA"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85B114"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12E71E77"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8878AC" w14:textId="77777777" w:rsidR="00000000" w:rsidRDefault="00A173A8">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598A3639"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4F1D72"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4429781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F1678C" w14:textId="77777777" w:rsidR="00000000" w:rsidRDefault="00A173A8">
            <w:pPr>
              <w:spacing w:after="100"/>
              <w:jc w:val="center"/>
              <w:rPr>
                <w:rFonts w:eastAsia="Times New Roman"/>
              </w:rPr>
            </w:pPr>
            <w:r>
              <w:rPr>
                <w:rFonts w:eastAsia="Times New Roman"/>
                <w:b/>
                <w:bCs/>
                <w:color w:val="000000"/>
                <w:sz w:val="20"/>
                <w:szCs w:val="20"/>
              </w:rPr>
              <w:t>% of Total</w:t>
            </w:r>
          </w:p>
        </w:tc>
      </w:tr>
      <w:tr w:rsidR="00000000" w14:paraId="2DF479C0" w14:textId="77777777">
        <w:trPr>
          <w:divId w:val="95560266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3E9BC77" w14:textId="77777777" w:rsidR="00000000" w:rsidRDefault="00A173A8">
            <w:pPr>
              <w:spacing w:after="100"/>
              <w:rPr>
                <w:rFonts w:eastAsia="Times New Roman"/>
              </w:rPr>
            </w:pPr>
            <w:r>
              <w:rPr>
                <w:rFonts w:eastAsia="Times New Roman"/>
                <w:color w:val="000000"/>
                <w:sz w:val="20"/>
                <w:szCs w:val="20"/>
              </w:rPr>
              <w:t>Deposits:</w:t>
            </w:r>
          </w:p>
        </w:tc>
        <w:tc>
          <w:tcPr>
            <w:tcW w:w="0" w:type="auto"/>
            <w:gridSpan w:val="3"/>
            <w:shd w:val="clear" w:color="auto" w:fill="CCEEFF"/>
            <w:tcMar>
              <w:top w:w="0" w:type="dxa"/>
              <w:left w:w="20" w:type="dxa"/>
              <w:bottom w:w="0" w:type="dxa"/>
              <w:right w:w="20" w:type="dxa"/>
            </w:tcMar>
            <w:vAlign w:val="center"/>
            <w:hideMark/>
          </w:tcPr>
          <w:p w14:paraId="28EFF407"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717F5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30164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D3BFE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7571B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980B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FC9E7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58D51D" w14:textId="77777777" w:rsidR="00000000" w:rsidRDefault="00A173A8">
            <w:pPr>
              <w:spacing w:after="100"/>
              <w:rPr>
                <w:rFonts w:eastAsia="Times New Roman"/>
                <w:sz w:val="20"/>
                <w:szCs w:val="20"/>
              </w:rPr>
            </w:pPr>
          </w:p>
        </w:tc>
      </w:tr>
      <w:tr w:rsidR="00000000" w14:paraId="456A2EB4" w14:textId="77777777">
        <w:trPr>
          <w:divId w:val="955602661"/>
        </w:trPr>
        <w:tc>
          <w:tcPr>
            <w:tcW w:w="0" w:type="auto"/>
            <w:gridSpan w:val="3"/>
            <w:shd w:val="clear" w:color="auto" w:fill="FFFFFF"/>
            <w:tcMar>
              <w:top w:w="30" w:type="dxa"/>
              <w:left w:w="245" w:type="dxa"/>
              <w:bottom w:w="30" w:type="dxa"/>
              <w:right w:w="20" w:type="dxa"/>
            </w:tcMar>
            <w:vAlign w:val="center"/>
            <w:hideMark/>
          </w:tcPr>
          <w:p w14:paraId="16EF87C7" w14:textId="77777777" w:rsidR="00000000" w:rsidRDefault="00A173A8">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14:paraId="7E38ACA3"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F43F721"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4D6C8807" w14:textId="77777777" w:rsidR="00000000" w:rsidRDefault="00A173A8">
            <w:pPr>
              <w:spacing w:after="100"/>
              <w:jc w:val="right"/>
              <w:rPr>
                <w:rFonts w:eastAsia="Times New Roman"/>
              </w:rPr>
            </w:pPr>
            <w:r>
              <w:rPr>
                <w:rFonts w:eastAsia="Times New Roman"/>
                <w:b/>
                <w:bCs/>
                <w:color w:val="000000"/>
                <w:sz w:val="20"/>
                <w:szCs w:val="20"/>
              </w:rPr>
              <w:t>255,904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7AB429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278B9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2280FC" w14:textId="77777777" w:rsidR="00000000" w:rsidRDefault="00A173A8">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EBB23AF"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C54A5C6"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1668756C"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06D7791" w14:textId="77777777" w:rsidR="00000000" w:rsidRDefault="00A173A8">
            <w:pPr>
              <w:spacing w:after="100"/>
              <w:jc w:val="right"/>
              <w:rPr>
                <w:rFonts w:eastAsia="Times New Roman"/>
              </w:rPr>
            </w:pPr>
            <w:r>
              <w:rPr>
                <w:rFonts w:eastAsia="Times New Roman"/>
                <w:color w:val="000000"/>
                <w:sz w:val="20"/>
                <w:szCs w:val="20"/>
              </w:rPr>
              <w:t>256,407 </w:t>
            </w:r>
          </w:p>
        </w:tc>
        <w:tc>
          <w:tcPr>
            <w:tcW w:w="0" w:type="auto"/>
            <w:shd w:val="clear" w:color="auto" w:fill="FFFFFF"/>
            <w:tcMar>
              <w:top w:w="30" w:type="dxa"/>
              <w:left w:w="0" w:type="dxa"/>
              <w:bottom w:w="30" w:type="dxa"/>
              <w:right w:w="20" w:type="dxa"/>
            </w:tcMar>
            <w:vAlign w:val="center"/>
            <w:hideMark/>
          </w:tcPr>
          <w:p w14:paraId="4290CC8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2D1C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3763E4" w14:textId="77777777" w:rsidR="00000000" w:rsidRDefault="00A173A8">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center"/>
            <w:hideMark/>
          </w:tcPr>
          <w:p w14:paraId="7AFFE110" w14:textId="77777777" w:rsidR="00000000" w:rsidRDefault="00A173A8">
            <w:pPr>
              <w:spacing w:after="100"/>
              <w:jc w:val="right"/>
              <w:rPr>
                <w:rFonts w:eastAsia="Times New Roman"/>
              </w:rPr>
            </w:pPr>
            <w:r>
              <w:rPr>
                <w:rFonts w:eastAsia="Times New Roman"/>
                <w:color w:val="000000"/>
                <w:sz w:val="20"/>
                <w:szCs w:val="20"/>
              </w:rPr>
              <w:t>%</w:t>
            </w:r>
          </w:p>
        </w:tc>
      </w:tr>
      <w:tr w:rsidR="00000000" w14:paraId="19B892A6" w14:textId="77777777">
        <w:trPr>
          <w:divId w:val="955602661"/>
        </w:trPr>
        <w:tc>
          <w:tcPr>
            <w:tcW w:w="0" w:type="auto"/>
            <w:gridSpan w:val="3"/>
            <w:shd w:val="clear" w:color="auto" w:fill="CCEEFF"/>
            <w:tcMar>
              <w:top w:w="30" w:type="dxa"/>
              <w:left w:w="245" w:type="dxa"/>
              <w:bottom w:w="30" w:type="dxa"/>
              <w:right w:w="20" w:type="dxa"/>
            </w:tcMar>
            <w:vAlign w:val="center"/>
            <w:hideMark/>
          </w:tcPr>
          <w:p w14:paraId="158E8E07" w14:textId="77777777" w:rsidR="00000000" w:rsidRDefault="00A173A8">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18EB65D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9AE5434" w14:textId="77777777" w:rsidR="00000000" w:rsidRDefault="00A173A8">
            <w:pPr>
              <w:spacing w:after="100"/>
              <w:jc w:val="right"/>
              <w:rPr>
                <w:rFonts w:eastAsia="Times New Roman"/>
              </w:rPr>
            </w:pPr>
            <w:r>
              <w:rPr>
                <w:rFonts w:eastAsia="Times New Roman"/>
                <w:b/>
                <w:bCs/>
                <w:color w:val="000000"/>
                <w:sz w:val="20"/>
                <w:szCs w:val="20"/>
              </w:rPr>
              <w:t>38,844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FE10E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EEC7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C30EA3" w14:textId="77777777" w:rsidR="00000000" w:rsidRDefault="00A173A8">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B1568E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65DF5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354D98" w14:textId="77777777" w:rsidR="00000000" w:rsidRDefault="00A173A8">
            <w:pPr>
              <w:spacing w:after="100"/>
              <w:jc w:val="right"/>
              <w:rPr>
                <w:rFonts w:eastAsia="Times New Roman"/>
              </w:rPr>
            </w:pPr>
            <w:r>
              <w:rPr>
                <w:rFonts w:eastAsia="Times New Roman"/>
                <w:color w:val="000000"/>
                <w:sz w:val="20"/>
                <w:szCs w:val="20"/>
              </w:rPr>
              <w:t>44,809 </w:t>
            </w:r>
          </w:p>
        </w:tc>
        <w:tc>
          <w:tcPr>
            <w:tcW w:w="0" w:type="auto"/>
            <w:shd w:val="clear" w:color="auto" w:fill="CCEEFF"/>
            <w:tcMar>
              <w:top w:w="30" w:type="dxa"/>
              <w:left w:w="0" w:type="dxa"/>
              <w:bottom w:w="30" w:type="dxa"/>
              <w:right w:w="20" w:type="dxa"/>
            </w:tcMar>
            <w:vAlign w:val="center"/>
            <w:hideMark/>
          </w:tcPr>
          <w:p w14:paraId="41EE7CF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DB54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611813" w14:textId="77777777" w:rsidR="00000000" w:rsidRDefault="00A173A8">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center"/>
            <w:hideMark/>
          </w:tcPr>
          <w:p w14:paraId="36E5674C" w14:textId="77777777" w:rsidR="00000000" w:rsidRDefault="00A173A8">
            <w:pPr>
              <w:spacing w:after="100"/>
              <w:jc w:val="right"/>
              <w:rPr>
                <w:rFonts w:eastAsia="Times New Roman"/>
              </w:rPr>
            </w:pPr>
          </w:p>
        </w:tc>
      </w:tr>
      <w:tr w:rsidR="00000000" w14:paraId="52C57A30" w14:textId="77777777">
        <w:trPr>
          <w:divId w:val="955602661"/>
        </w:trPr>
        <w:tc>
          <w:tcPr>
            <w:tcW w:w="0" w:type="auto"/>
            <w:gridSpan w:val="3"/>
            <w:shd w:val="clear" w:color="auto" w:fill="FFFFFF"/>
            <w:tcMar>
              <w:top w:w="30" w:type="dxa"/>
              <w:left w:w="20" w:type="dxa"/>
              <w:bottom w:w="30" w:type="dxa"/>
              <w:right w:w="20" w:type="dxa"/>
            </w:tcMar>
            <w:vAlign w:val="center"/>
            <w:hideMark/>
          </w:tcPr>
          <w:p w14:paraId="58DE9B15" w14:textId="77777777" w:rsidR="00000000" w:rsidRDefault="00A173A8">
            <w:pPr>
              <w:spacing w:after="100"/>
              <w:divId w:val="488911436"/>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EF057F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56C32D8" w14:textId="77777777" w:rsidR="00000000" w:rsidRDefault="00A173A8">
            <w:pPr>
              <w:spacing w:after="100"/>
              <w:jc w:val="right"/>
              <w:rPr>
                <w:rFonts w:eastAsia="Times New Roman"/>
              </w:rPr>
            </w:pPr>
            <w:r>
              <w:rPr>
                <w:rFonts w:eastAsia="Times New Roman"/>
                <w:b/>
                <w:bCs/>
                <w:color w:val="000000"/>
                <w:sz w:val="20"/>
                <w:szCs w:val="20"/>
              </w:rPr>
              <w:t>13,137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2E749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32D9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27E86B" w14:textId="77777777" w:rsidR="00000000" w:rsidRDefault="00A173A8">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70C3B6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05CF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0AB165" w14:textId="77777777" w:rsidR="00000000" w:rsidRDefault="00A173A8">
            <w:pPr>
              <w:spacing w:after="100"/>
              <w:jc w:val="right"/>
              <w:rPr>
                <w:rFonts w:eastAsia="Times New Roman"/>
              </w:rPr>
            </w:pPr>
            <w:r>
              <w:rPr>
                <w:rFonts w:eastAsia="Times New Roman"/>
                <w:color w:val="000000"/>
                <w:sz w:val="20"/>
                <w:szCs w:val="20"/>
              </w:rPr>
              <w:t>9,764 </w:t>
            </w:r>
          </w:p>
        </w:tc>
        <w:tc>
          <w:tcPr>
            <w:tcW w:w="0" w:type="auto"/>
            <w:shd w:val="clear" w:color="auto" w:fill="FFFFFF"/>
            <w:tcMar>
              <w:top w:w="30" w:type="dxa"/>
              <w:left w:w="0" w:type="dxa"/>
              <w:bottom w:w="30" w:type="dxa"/>
              <w:right w:w="20" w:type="dxa"/>
            </w:tcMar>
            <w:vAlign w:val="center"/>
            <w:hideMark/>
          </w:tcPr>
          <w:p w14:paraId="56441E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E029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C56FA2" w14:textId="77777777" w:rsidR="00000000" w:rsidRDefault="00A173A8">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14:paraId="6E587676" w14:textId="77777777" w:rsidR="00000000" w:rsidRDefault="00A173A8">
            <w:pPr>
              <w:spacing w:after="100"/>
              <w:jc w:val="right"/>
              <w:rPr>
                <w:rFonts w:eastAsia="Times New Roman"/>
              </w:rPr>
            </w:pPr>
          </w:p>
        </w:tc>
      </w:tr>
      <w:tr w:rsidR="00000000" w14:paraId="141FE74C" w14:textId="77777777">
        <w:trPr>
          <w:divId w:val="955602661"/>
        </w:trPr>
        <w:tc>
          <w:tcPr>
            <w:tcW w:w="0" w:type="auto"/>
            <w:gridSpan w:val="3"/>
            <w:shd w:val="clear" w:color="auto" w:fill="CCEEFF"/>
            <w:tcMar>
              <w:top w:w="30" w:type="dxa"/>
              <w:left w:w="20" w:type="dxa"/>
              <w:bottom w:w="30" w:type="dxa"/>
              <w:right w:w="20" w:type="dxa"/>
            </w:tcMar>
            <w:vAlign w:val="center"/>
            <w:hideMark/>
          </w:tcPr>
          <w:p w14:paraId="7CED5DDF" w14:textId="77777777" w:rsidR="00000000" w:rsidRDefault="00A173A8">
            <w:pPr>
              <w:spacing w:after="100"/>
              <w:rPr>
                <w:rFonts w:eastAsia="Times New Roman"/>
              </w:rPr>
            </w:pPr>
            <w:r>
              <w:rPr>
                <w:rFonts w:eastAsia="Times New Roman"/>
                <w:color w:val="000000"/>
                <w:sz w:val="20"/>
                <w:szCs w:val="20"/>
              </w:rPr>
              <w:t>Total deposits</w:t>
            </w:r>
          </w:p>
        </w:tc>
        <w:tc>
          <w:tcPr>
            <w:tcW w:w="0" w:type="auto"/>
            <w:gridSpan w:val="3"/>
            <w:shd w:val="clear" w:color="auto" w:fill="CCEEFF"/>
            <w:tcMar>
              <w:top w:w="0" w:type="dxa"/>
              <w:left w:w="20" w:type="dxa"/>
              <w:bottom w:w="0" w:type="dxa"/>
              <w:right w:w="20" w:type="dxa"/>
            </w:tcMar>
            <w:vAlign w:val="center"/>
            <w:hideMark/>
          </w:tcPr>
          <w:p w14:paraId="39373D6E"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3C83E6" w14:textId="77777777" w:rsidR="00000000" w:rsidRDefault="00A173A8">
            <w:pPr>
              <w:spacing w:after="100"/>
              <w:jc w:val="right"/>
              <w:rPr>
                <w:rFonts w:eastAsia="Times New Roman"/>
              </w:rPr>
            </w:pPr>
            <w:r>
              <w:rPr>
                <w:rFonts w:eastAsia="Times New Roman"/>
                <w:b/>
                <w:bCs/>
                <w:color w:val="000000"/>
                <w:sz w:val="20"/>
                <w:szCs w:val="20"/>
              </w:rPr>
              <w:t>307,885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9CC75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98956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CA82B65" w14:textId="77777777" w:rsidR="00000000" w:rsidRDefault="00A173A8">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95842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BAA6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C604C6" w14:textId="77777777" w:rsidR="00000000" w:rsidRDefault="00A173A8">
            <w:pPr>
              <w:spacing w:after="100"/>
              <w:jc w:val="right"/>
              <w:rPr>
                <w:rFonts w:eastAsia="Times New Roman"/>
              </w:rPr>
            </w:pPr>
            <w:r>
              <w:rPr>
                <w:rFonts w:eastAsia="Times New Roman"/>
                <w:color w:val="000000"/>
                <w:sz w:val="20"/>
                <w:szCs w:val="20"/>
              </w:rPr>
              <w:t>310,980 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B1C5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5859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9E3471A" w14:textId="77777777" w:rsidR="00000000" w:rsidRDefault="00A173A8">
            <w:pPr>
              <w:spacing w:after="100"/>
              <w:jc w:val="right"/>
              <w:rPr>
                <w:rFonts w:eastAsia="Times New Roman"/>
              </w:rPr>
            </w:pPr>
            <w:r>
              <w:rPr>
                <w:rFonts w:eastAsia="Times New Roman"/>
                <w:color w:val="000000"/>
                <w:sz w:val="20"/>
                <w:szCs w:val="20"/>
              </w:rPr>
              <w:t>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2B887D" w14:textId="77777777" w:rsidR="00000000" w:rsidRDefault="00A173A8">
            <w:pPr>
              <w:spacing w:after="100"/>
              <w:jc w:val="right"/>
              <w:rPr>
                <w:rFonts w:eastAsia="Times New Roman"/>
              </w:rPr>
            </w:pPr>
          </w:p>
        </w:tc>
      </w:tr>
      <w:tr w:rsidR="00000000" w14:paraId="349C023E" w14:textId="77777777">
        <w:trPr>
          <w:divId w:val="955602661"/>
        </w:trPr>
        <w:tc>
          <w:tcPr>
            <w:tcW w:w="0" w:type="auto"/>
            <w:gridSpan w:val="3"/>
            <w:shd w:val="clear" w:color="auto" w:fill="FFFFFF"/>
            <w:tcMar>
              <w:top w:w="30" w:type="dxa"/>
              <w:left w:w="20" w:type="dxa"/>
              <w:bottom w:w="30" w:type="dxa"/>
              <w:right w:w="20" w:type="dxa"/>
            </w:tcMar>
            <w:vAlign w:val="center"/>
            <w:hideMark/>
          </w:tcPr>
          <w:p w14:paraId="26F917D1" w14:textId="77777777" w:rsidR="00000000" w:rsidRDefault="00A173A8">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FFFFFF"/>
            <w:tcMar>
              <w:top w:w="0" w:type="dxa"/>
              <w:left w:w="20" w:type="dxa"/>
              <w:bottom w:w="0" w:type="dxa"/>
              <w:right w:w="20" w:type="dxa"/>
            </w:tcMar>
            <w:vAlign w:val="center"/>
            <w:hideMark/>
          </w:tcPr>
          <w:p w14:paraId="3D13722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E0F6271" w14:textId="77777777" w:rsidR="00000000" w:rsidRDefault="00A173A8">
            <w:pPr>
              <w:spacing w:after="100"/>
              <w:jc w:val="right"/>
              <w:rPr>
                <w:rFonts w:eastAsia="Times New Roman"/>
              </w:rPr>
            </w:pPr>
            <w:r>
              <w:rPr>
                <w:rFonts w:eastAsia="Times New Roman"/>
                <w:b/>
                <w:bCs/>
                <w:color w:val="000000"/>
                <w:sz w:val="20"/>
                <w:szCs w:val="20"/>
              </w:rPr>
              <w:t>17,466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F4050D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9D5A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36D63D" w14:textId="77777777" w:rsidR="00000000" w:rsidRDefault="00A173A8">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6C5C93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4125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01C1D9" w14:textId="77777777" w:rsidR="00000000" w:rsidRDefault="00A173A8">
            <w:pPr>
              <w:spacing w:after="100"/>
              <w:jc w:val="right"/>
              <w:rPr>
                <w:rFonts w:eastAsia="Times New Roman"/>
              </w:rPr>
            </w:pPr>
            <w:r>
              <w:rPr>
                <w:rFonts w:eastAsia="Times New Roman"/>
                <w:color w:val="000000"/>
                <w:sz w:val="20"/>
                <w:szCs w:val="20"/>
              </w:rPr>
              <w:t>14,994 </w:t>
            </w:r>
          </w:p>
        </w:tc>
        <w:tc>
          <w:tcPr>
            <w:tcW w:w="0" w:type="auto"/>
            <w:shd w:val="clear" w:color="auto" w:fill="FFFFFF"/>
            <w:tcMar>
              <w:top w:w="30" w:type="dxa"/>
              <w:left w:w="0" w:type="dxa"/>
              <w:bottom w:w="30" w:type="dxa"/>
              <w:right w:w="20" w:type="dxa"/>
            </w:tcMar>
            <w:vAlign w:val="center"/>
            <w:hideMark/>
          </w:tcPr>
          <w:p w14:paraId="237654B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C8A6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768BC7" w14:textId="77777777" w:rsidR="00000000" w:rsidRDefault="00A173A8">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14:paraId="63DD1C85" w14:textId="77777777" w:rsidR="00000000" w:rsidRDefault="00A173A8">
            <w:pPr>
              <w:spacing w:after="100"/>
              <w:jc w:val="right"/>
              <w:rPr>
                <w:rFonts w:eastAsia="Times New Roman"/>
              </w:rPr>
            </w:pPr>
          </w:p>
        </w:tc>
      </w:tr>
      <w:tr w:rsidR="00000000" w14:paraId="1D9A8AB4" w14:textId="77777777">
        <w:trPr>
          <w:divId w:val="955602661"/>
        </w:trPr>
        <w:tc>
          <w:tcPr>
            <w:tcW w:w="0" w:type="auto"/>
            <w:gridSpan w:val="3"/>
            <w:shd w:val="clear" w:color="auto" w:fill="CCEEFF"/>
            <w:tcMar>
              <w:top w:w="30" w:type="dxa"/>
              <w:left w:w="20" w:type="dxa"/>
              <w:bottom w:w="30" w:type="dxa"/>
              <w:right w:w="20" w:type="dxa"/>
            </w:tcMar>
            <w:vAlign w:val="center"/>
            <w:hideMark/>
          </w:tcPr>
          <w:p w14:paraId="600EDBE3" w14:textId="77777777" w:rsidR="00000000" w:rsidRDefault="00A173A8">
            <w:pPr>
              <w:spacing w:after="100"/>
              <w:rPr>
                <w:rFonts w:eastAsia="Times New Roman"/>
              </w:rPr>
            </w:pPr>
            <w:r>
              <w:rPr>
                <w:rFonts w:eastAsia="Times New Roman"/>
                <w:color w:val="000000"/>
                <w:sz w:val="20"/>
                <w:szCs w:val="20"/>
              </w:rPr>
              <w:t>Other debt</w:t>
            </w:r>
          </w:p>
        </w:tc>
        <w:tc>
          <w:tcPr>
            <w:tcW w:w="0" w:type="auto"/>
            <w:gridSpan w:val="3"/>
            <w:shd w:val="clear" w:color="auto" w:fill="CCEEFF"/>
            <w:tcMar>
              <w:top w:w="0" w:type="dxa"/>
              <w:left w:w="20" w:type="dxa"/>
              <w:bottom w:w="0" w:type="dxa"/>
              <w:right w:w="20" w:type="dxa"/>
            </w:tcMar>
            <w:vAlign w:val="center"/>
            <w:hideMark/>
          </w:tcPr>
          <w:p w14:paraId="35168BB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CFB2681" w14:textId="77777777" w:rsidR="00000000" w:rsidRDefault="00A173A8">
            <w:pPr>
              <w:spacing w:after="100"/>
              <w:jc w:val="right"/>
              <w:rPr>
                <w:rFonts w:eastAsia="Times New Roman"/>
              </w:rPr>
            </w:pPr>
            <w:r>
              <w:rPr>
                <w:rFonts w:eastAsia="Times New Roman"/>
                <w:b/>
                <w:bCs/>
                <w:color w:val="000000"/>
                <w:sz w:val="20"/>
                <w:szCs w:val="20"/>
              </w:rPr>
              <w:t>41,472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A00E4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53807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737D31" w14:textId="77777777" w:rsidR="00000000" w:rsidRDefault="00A173A8">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6968A3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41D39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5E7595" w14:textId="77777777" w:rsidR="00000000" w:rsidRDefault="00A173A8">
            <w:pPr>
              <w:spacing w:after="100"/>
              <w:jc w:val="right"/>
              <w:rPr>
                <w:rFonts w:eastAsia="Times New Roman"/>
              </w:rPr>
            </w:pPr>
            <w:r>
              <w:rPr>
                <w:rFonts w:eastAsia="Times New Roman"/>
                <w:color w:val="000000"/>
                <w:sz w:val="20"/>
                <w:szCs w:val="20"/>
              </w:rPr>
              <w:t>28,092 </w:t>
            </w:r>
          </w:p>
        </w:tc>
        <w:tc>
          <w:tcPr>
            <w:tcW w:w="0" w:type="auto"/>
            <w:shd w:val="clear" w:color="auto" w:fill="CCEEFF"/>
            <w:tcMar>
              <w:top w:w="30" w:type="dxa"/>
              <w:left w:w="0" w:type="dxa"/>
              <w:bottom w:w="30" w:type="dxa"/>
              <w:right w:w="20" w:type="dxa"/>
            </w:tcMar>
            <w:vAlign w:val="center"/>
            <w:hideMark/>
          </w:tcPr>
          <w:p w14:paraId="52D1C46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84CC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565253" w14:textId="77777777" w:rsidR="00000000" w:rsidRDefault="00A173A8">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center"/>
            <w:hideMark/>
          </w:tcPr>
          <w:p w14:paraId="4AA1006F" w14:textId="77777777" w:rsidR="00000000" w:rsidRDefault="00A173A8">
            <w:pPr>
              <w:spacing w:after="100"/>
              <w:jc w:val="right"/>
              <w:rPr>
                <w:rFonts w:eastAsia="Times New Roman"/>
              </w:rPr>
            </w:pPr>
          </w:p>
        </w:tc>
      </w:tr>
      <w:tr w:rsidR="00000000" w14:paraId="1E227942" w14:textId="77777777">
        <w:trPr>
          <w:divId w:val="955602661"/>
        </w:trPr>
        <w:tc>
          <w:tcPr>
            <w:tcW w:w="0" w:type="auto"/>
            <w:gridSpan w:val="3"/>
            <w:shd w:val="clear" w:color="auto" w:fill="FFFFFF"/>
            <w:tcMar>
              <w:top w:w="30" w:type="dxa"/>
              <w:left w:w="20" w:type="dxa"/>
              <w:bottom w:w="30" w:type="dxa"/>
              <w:right w:w="20" w:type="dxa"/>
            </w:tcMar>
            <w:vAlign w:val="center"/>
            <w:hideMark/>
          </w:tcPr>
          <w:p w14:paraId="4CC7CFD7" w14:textId="77777777" w:rsidR="00000000" w:rsidRDefault="00A173A8">
            <w:pPr>
              <w:spacing w:after="100"/>
              <w:rPr>
                <w:rFonts w:eastAsia="Times New Roman"/>
              </w:rPr>
            </w:pPr>
            <w:r>
              <w:rPr>
                <w:rFonts w:eastAsia="Times New Roman"/>
                <w:color w:val="000000"/>
                <w:sz w:val="20"/>
                <w:szCs w:val="20"/>
              </w:rPr>
              <w:t>Total funding sources</w:t>
            </w:r>
          </w:p>
        </w:tc>
        <w:tc>
          <w:tcPr>
            <w:tcW w:w="0" w:type="auto"/>
            <w:gridSpan w:val="3"/>
            <w:shd w:val="clear" w:color="auto" w:fill="FFFFFF"/>
            <w:tcMar>
              <w:top w:w="0" w:type="dxa"/>
              <w:left w:w="20" w:type="dxa"/>
              <w:bottom w:w="0" w:type="dxa"/>
              <w:right w:w="20" w:type="dxa"/>
            </w:tcMar>
            <w:vAlign w:val="center"/>
            <w:hideMark/>
          </w:tcPr>
          <w:p w14:paraId="287D4AA4"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9A53FC1"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38BC893" w14:textId="77777777" w:rsidR="00000000" w:rsidRDefault="00A173A8">
            <w:pPr>
              <w:spacing w:after="100"/>
              <w:jc w:val="right"/>
              <w:rPr>
                <w:rFonts w:eastAsia="Times New Roman"/>
              </w:rPr>
            </w:pPr>
            <w:r>
              <w:rPr>
                <w:rFonts w:eastAsia="Times New Roman"/>
                <w:b/>
                <w:bCs/>
                <w:color w:val="000000"/>
                <w:sz w:val="20"/>
                <w:szCs w:val="20"/>
              </w:rPr>
              <w:t>366,823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49A73B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6E650"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4CE5DEF" w14:textId="77777777" w:rsidR="00000000" w:rsidRDefault="00A173A8">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BF66F9F"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824D969" w14:textId="77777777" w:rsidR="00000000" w:rsidRDefault="00A173A8">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8B58942"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75F62FA" w14:textId="77777777" w:rsidR="00000000" w:rsidRDefault="00A173A8">
            <w:pPr>
              <w:spacing w:after="100"/>
              <w:jc w:val="right"/>
              <w:rPr>
                <w:rFonts w:eastAsia="Times New Roman"/>
              </w:rPr>
            </w:pPr>
            <w:r>
              <w:rPr>
                <w:rFonts w:eastAsia="Times New Roman"/>
                <w:color w:val="000000"/>
                <w:sz w:val="20"/>
                <w:szCs w:val="20"/>
              </w:rPr>
              <w:t>354,066 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164B48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6FC471"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DCFEB82" w14:textId="77777777" w:rsidR="00000000" w:rsidRDefault="00A173A8">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C8AA680" w14:textId="77777777" w:rsidR="00000000" w:rsidRDefault="00A173A8">
            <w:pPr>
              <w:spacing w:after="100"/>
              <w:jc w:val="right"/>
              <w:rPr>
                <w:rFonts w:eastAsia="Times New Roman"/>
              </w:rPr>
            </w:pPr>
            <w:r>
              <w:rPr>
                <w:rFonts w:eastAsia="Times New Roman"/>
                <w:color w:val="000000"/>
                <w:sz w:val="20"/>
                <w:szCs w:val="20"/>
              </w:rPr>
              <w:t>%</w:t>
            </w:r>
          </w:p>
        </w:tc>
      </w:tr>
    </w:tbl>
    <w:p w14:paraId="2B929D17" w14:textId="77777777" w:rsidR="00000000" w:rsidRDefault="00A173A8">
      <w:pPr>
        <w:divId w:val="955602661"/>
        <w:rPr>
          <w:rFonts w:eastAsia="Times New Roman"/>
        </w:rPr>
      </w:pPr>
      <w:r>
        <w:rPr>
          <w:rFonts w:eastAsia="Times New Roman"/>
          <w:color w:val="000000"/>
          <w:sz w:val="20"/>
          <w:szCs w:val="20"/>
        </w:rPr>
        <w:t>__________</w:t>
      </w:r>
    </w:p>
    <w:p w14:paraId="32A1331A" w14:textId="77777777" w:rsidR="00000000" w:rsidRDefault="00A173A8">
      <w:pPr>
        <w:ind w:hanging="360"/>
        <w:jc w:val="both"/>
        <w:divId w:val="108869185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brokered deposits of $12.1 billion and $8.6 billion as of June 30, 2022 and December 31, 2021, respe</w:t>
      </w:r>
      <w:r>
        <w:rPr>
          <w:rFonts w:eastAsia="Times New Roman"/>
          <w:color w:val="000000"/>
          <w:sz w:val="16"/>
          <w:szCs w:val="16"/>
        </w:rPr>
        <w:t>ctively.</w:t>
      </w:r>
    </w:p>
    <w:p w14:paraId="6D324BAD" w14:textId="77777777" w:rsidR="00000000" w:rsidRDefault="00A173A8">
      <w:pPr>
        <w:jc w:val="both"/>
        <w:divId w:val="1360006899"/>
        <w:rPr>
          <w:rFonts w:eastAsia="Times New Roman"/>
        </w:rPr>
      </w:pPr>
      <w:r>
        <w:rPr>
          <w:rFonts w:eastAsia="Times New Roman"/>
          <w:color w:val="000000"/>
          <w:sz w:val="20"/>
          <w:szCs w:val="20"/>
        </w:rPr>
        <w:t>Total deposits decreased by $3.1 billion to $307.9 billion as of June 30, 2022 from December 31, 2021 primarily driven by the impact of a rising and competitive interest rate environment and seasonality in Commercial Banking.</w:t>
      </w:r>
    </w:p>
    <w:p w14:paraId="3D8E26E1" w14:textId="77777777" w:rsidR="00000000" w:rsidRDefault="00A173A8">
      <w:pPr>
        <w:jc w:val="both"/>
        <w:divId w:val="370231421"/>
        <w:rPr>
          <w:rFonts w:eastAsia="Times New Roman"/>
        </w:rPr>
      </w:pPr>
      <w:r>
        <w:rPr>
          <w:rFonts w:eastAsia="Times New Roman"/>
          <w:color w:val="000000"/>
          <w:sz w:val="20"/>
          <w:szCs w:val="20"/>
        </w:rPr>
        <w:t>Securitized debt obli</w:t>
      </w:r>
      <w:r>
        <w:rPr>
          <w:rFonts w:eastAsia="Times New Roman"/>
          <w:color w:val="000000"/>
          <w:sz w:val="20"/>
          <w:szCs w:val="20"/>
        </w:rPr>
        <w:t>gations increased by $2.5 billion to $17.5 billion as of June 30, 2022 from December 31, 2021 primarily driven by net issuances in our credit card and auto securitization programs.</w:t>
      </w:r>
    </w:p>
    <w:p w14:paraId="11766979" w14:textId="77777777" w:rsidR="00000000" w:rsidRDefault="00A173A8">
      <w:pPr>
        <w:jc w:val="both"/>
        <w:divId w:val="2003925404"/>
        <w:rPr>
          <w:rFonts w:eastAsia="Times New Roman"/>
        </w:rPr>
      </w:pPr>
      <w:r>
        <w:rPr>
          <w:rFonts w:eastAsia="Times New Roman"/>
          <w:color w:val="000000"/>
          <w:sz w:val="20"/>
          <w:szCs w:val="20"/>
        </w:rPr>
        <w:t xml:space="preserve">Other debt increased by $13.4 billion to $41.5 billion as of June 30, 2022 </w:t>
      </w:r>
      <w:r>
        <w:rPr>
          <w:rFonts w:eastAsia="Times New Roman"/>
          <w:color w:val="000000"/>
          <w:sz w:val="20"/>
          <w:szCs w:val="20"/>
        </w:rPr>
        <w:t xml:space="preserve">from December 31, 2021 primarily driven by a net increase in FHLB advances. </w:t>
      </w:r>
    </w:p>
    <w:p w14:paraId="06B8F15F" w14:textId="77777777" w:rsidR="00000000" w:rsidRDefault="00A173A8">
      <w:pPr>
        <w:jc w:val="both"/>
        <w:divId w:val="58407733"/>
        <w:rPr>
          <w:rFonts w:eastAsia="Times New Roman"/>
        </w:rPr>
      </w:pPr>
      <w:r>
        <w:rPr>
          <w:rFonts w:eastAsia="Times New Roman"/>
          <w:color w:val="000000"/>
          <w:sz w:val="20"/>
          <w:szCs w:val="20"/>
        </w:rPr>
        <w:t>We provide additional information on our funding sources in “MD&amp;A—Liquidity Risk Profile” and “Note 7—Deposits and Borrowings.”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575AE53" w14:textId="77777777">
        <w:trPr>
          <w:divId w:val="1206065658"/>
        </w:trPr>
        <w:tc>
          <w:tcPr>
            <w:tcW w:w="50" w:type="pct"/>
            <w:vAlign w:val="center"/>
            <w:hideMark/>
          </w:tcPr>
          <w:p w14:paraId="001075A6" w14:textId="77777777" w:rsidR="00000000" w:rsidRDefault="00A173A8">
            <w:pPr>
              <w:jc w:val="both"/>
              <w:rPr>
                <w:rFonts w:eastAsia="Times New Roman"/>
              </w:rPr>
            </w:pPr>
          </w:p>
        </w:tc>
        <w:tc>
          <w:tcPr>
            <w:tcW w:w="4945" w:type="pct"/>
            <w:vAlign w:val="center"/>
            <w:hideMark/>
          </w:tcPr>
          <w:p w14:paraId="127E1442" w14:textId="77777777" w:rsidR="00000000" w:rsidRDefault="00A173A8">
            <w:pPr>
              <w:spacing w:after="100"/>
              <w:rPr>
                <w:rFonts w:eastAsia="Times New Roman"/>
                <w:sz w:val="20"/>
                <w:szCs w:val="20"/>
              </w:rPr>
            </w:pPr>
          </w:p>
        </w:tc>
        <w:tc>
          <w:tcPr>
            <w:tcW w:w="5" w:type="pct"/>
            <w:vAlign w:val="center"/>
            <w:hideMark/>
          </w:tcPr>
          <w:p w14:paraId="09DBEF3D" w14:textId="77777777" w:rsidR="00000000" w:rsidRDefault="00A173A8">
            <w:pPr>
              <w:spacing w:after="100"/>
              <w:rPr>
                <w:rFonts w:eastAsia="Times New Roman"/>
                <w:sz w:val="20"/>
                <w:szCs w:val="20"/>
              </w:rPr>
            </w:pPr>
          </w:p>
        </w:tc>
      </w:tr>
      <w:tr w:rsidR="00000000" w14:paraId="03DABCF4" w14:textId="77777777">
        <w:trPr>
          <w:divId w:val="120606565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1EAD9285" w14:textId="77777777" w:rsidR="00000000" w:rsidRDefault="00A173A8">
            <w:pPr>
              <w:spacing w:after="100"/>
              <w:rPr>
                <w:rFonts w:eastAsia="Times New Roman"/>
              </w:rPr>
            </w:pPr>
            <w:r>
              <w:rPr>
                <w:rFonts w:eastAsia="Times New Roman"/>
                <w:b/>
                <w:bCs/>
                <w:color w:val="000000"/>
                <w:sz w:val="20"/>
                <w:szCs w:val="20"/>
              </w:rPr>
              <w:t xml:space="preserve">OFF-BALANCE SHEET ARRANGEMENTS </w:t>
            </w:r>
          </w:p>
        </w:tc>
      </w:tr>
    </w:tbl>
    <w:p w14:paraId="798F9ECD" w14:textId="77777777" w:rsidR="00000000" w:rsidRDefault="00A173A8">
      <w:pPr>
        <w:jc w:val="both"/>
        <w:divId w:val="216092165"/>
        <w:rPr>
          <w:rFonts w:eastAsia="Times New Roman"/>
        </w:rPr>
      </w:pPr>
      <w:r>
        <w:rPr>
          <w:rFonts w:eastAsia="Times New Roman"/>
          <w:color w:val="000000"/>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eastAsia="Times New Roman"/>
          <w:color w:val="000000"/>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eastAsia="Times New Roman"/>
          <w:color w:val="000000"/>
          <w:sz w:val="20"/>
          <w:szCs w:val="20"/>
        </w:rPr>
        <w:t>types of activities in “Note 5—Variable Interest Entities and Securitizations” and “Note 13—Commitments, Contingencies, Guarantees and Others.”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62BD1F1" w14:textId="77777777">
        <w:trPr>
          <w:divId w:val="128593666"/>
          <w:jc w:val="center"/>
        </w:trPr>
        <w:tc>
          <w:tcPr>
            <w:tcW w:w="50" w:type="pct"/>
            <w:vAlign w:val="center"/>
            <w:hideMark/>
          </w:tcPr>
          <w:p w14:paraId="15CC073A" w14:textId="77777777" w:rsidR="00000000" w:rsidRDefault="00A173A8">
            <w:pPr>
              <w:jc w:val="both"/>
              <w:rPr>
                <w:rFonts w:eastAsia="Times New Roman"/>
              </w:rPr>
            </w:pPr>
          </w:p>
        </w:tc>
        <w:tc>
          <w:tcPr>
            <w:tcW w:w="1606" w:type="pct"/>
            <w:vAlign w:val="center"/>
            <w:hideMark/>
          </w:tcPr>
          <w:p w14:paraId="4F3DED26" w14:textId="77777777" w:rsidR="00000000" w:rsidRDefault="00A173A8">
            <w:pPr>
              <w:spacing w:after="100"/>
              <w:rPr>
                <w:rFonts w:eastAsia="Times New Roman"/>
                <w:sz w:val="20"/>
                <w:szCs w:val="20"/>
              </w:rPr>
            </w:pPr>
          </w:p>
        </w:tc>
        <w:tc>
          <w:tcPr>
            <w:tcW w:w="5" w:type="pct"/>
            <w:vAlign w:val="center"/>
            <w:hideMark/>
          </w:tcPr>
          <w:p w14:paraId="15BFA3AC" w14:textId="77777777" w:rsidR="00000000" w:rsidRDefault="00A173A8">
            <w:pPr>
              <w:spacing w:after="100"/>
              <w:rPr>
                <w:rFonts w:eastAsia="Times New Roman"/>
                <w:sz w:val="20"/>
                <w:szCs w:val="20"/>
              </w:rPr>
            </w:pPr>
          </w:p>
        </w:tc>
        <w:tc>
          <w:tcPr>
            <w:tcW w:w="50" w:type="pct"/>
            <w:vAlign w:val="center"/>
            <w:hideMark/>
          </w:tcPr>
          <w:p w14:paraId="73F6C14B" w14:textId="77777777" w:rsidR="00000000" w:rsidRDefault="00A173A8">
            <w:pPr>
              <w:spacing w:after="100"/>
              <w:rPr>
                <w:rFonts w:eastAsia="Times New Roman"/>
                <w:sz w:val="20"/>
                <w:szCs w:val="20"/>
              </w:rPr>
            </w:pPr>
          </w:p>
        </w:tc>
        <w:tc>
          <w:tcPr>
            <w:tcW w:w="1614" w:type="pct"/>
            <w:vAlign w:val="center"/>
            <w:hideMark/>
          </w:tcPr>
          <w:p w14:paraId="5C6242D8" w14:textId="77777777" w:rsidR="00000000" w:rsidRDefault="00A173A8">
            <w:pPr>
              <w:spacing w:after="100"/>
              <w:rPr>
                <w:rFonts w:eastAsia="Times New Roman"/>
                <w:sz w:val="20"/>
                <w:szCs w:val="20"/>
              </w:rPr>
            </w:pPr>
          </w:p>
        </w:tc>
        <w:tc>
          <w:tcPr>
            <w:tcW w:w="5" w:type="pct"/>
            <w:vAlign w:val="center"/>
            <w:hideMark/>
          </w:tcPr>
          <w:p w14:paraId="40AB4830" w14:textId="77777777" w:rsidR="00000000" w:rsidRDefault="00A173A8">
            <w:pPr>
              <w:spacing w:after="100"/>
              <w:rPr>
                <w:rFonts w:eastAsia="Times New Roman"/>
                <w:sz w:val="20"/>
                <w:szCs w:val="20"/>
              </w:rPr>
            </w:pPr>
          </w:p>
        </w:tc>
        <w:tc>
          <w:tcPr>
            <w:tcW w:w="50" w:type="pct"/>
            <w:vAlign w:val="center"/>
            <w:hideMark/>
          </w:tcPr>
          <w:p w14:paraId="05FD2C9D" w14:textId="77777777" w:rsidR="00000000" w:rsidRDefault="00A173A8">
            <w:pPr>
              <w:spacing w:after="100"/>
              <w:rPr>
                <w:rFonts w:eastAsia="Times New Roman"/>
                <w:sz w:val="20"/>
                <w:szCs w:val="20"/>
              </w:rPr>
            </w:pPr>
          </w:p>
        </w:tc>
        <w:tc>
          <w:tcPr>
            <w:tcW w:w="1614" w:type="pct"/>
            <w:vAlign w:val="center"/>
            <w:hideMark/>
          </w:tcPr>
          <w:p w14:paraId="5CA527F9" w14:textId="77777777" w:rsidR="00000000" w:rsidRDefault="00A173A8">
            <w:pPr>
              <w:spacing w:after="100"/>
              <w:rPr>
                <w:rFonts w:eastAsia="Times New Roman"/>
                <w:sz w:val="20"/>
                <w:szCs w:val="20"/>
              </w:rPr>
            </w:pPr>
          </w:p>
        </w:tc>
        <w:tc>
          <w:tcPr>
            <w:tcW w:w="5" w:type="pct"/>
            <w:vAlign w:val="center"/>
            <w:hideMark/>
          </w:tcPr>
          <w:p w14:paraId="46FB6A5A" w14:textId="77777777" w:rsidR="00000000" w:rsidRDefault="00A173A8">
            <w:pPr>
              <w:spacing w:after="100"/>
              <w:rPr>
                <w:rFonts w:eastAsia="Times New Roman"/>
                <w:sz w:val="20"/>
                <w:szCs w:val="20"/>
              </w:rPr>
            </w:pPr>
          </w:p>
        </w:tc>
      </w:tr>
      <w:tr w:rsidR="00000000" w14:paraId="10214F11" w14:textId="77777777">
        <w:trPr>
          <w:divId w:val="128593666"/>
          <w:trHeight w:val="300"/>
          <w:jc w:val="center"/>
        </w:trPr>
        <w:tc>
          <w:tcPr>
            <w:tcW w:w="0" w:type="auto"/>
            <w:gridSpan w:val="9"/>
            <w:tcMar>
              <w:top w:w="0" w:type="dxa"/>
              <w:left w:w="20" w:type="dxa"/>
              <w:bottom w:w="0" w:type="dxa"/>
              <w:right w:w="20" w:type="dxa"/>
            </w:tcMar>
            <w:vAlign w:val="center"/>
            <w:hideMark/>
          </w:tcPr>
          <w:p w14:paraId="4A21DCD2" w14:textId="77777777" w:rsidR="00000000" w:rsidRDefault="00A173A8">
            <w:pPr>
              <w:spacing w:after="100"/>
              <w:rPr>
                <w:rFonts w:eastAsia="Times New Roman"/>
                <w:sz w:val="20"/>
                <w:szCs w:val="20"/>
              </w:rPr>
            </w:pPr>
          </w:p>
        </w:tc>
      </w:tr>
      <w:tr w:rsidR="00000000" w14:paraId="72157008" w14:textId="77777777">
        <w:trPr>
          <w:divId w:val="128593666"/>
          <w:jc w:val="center"/>
        </w:trPr>
        <w:tc>
          <w:tcPr>
            <w:tcW w:w="0" w:type="auto"/>
            <w:gridSpan w:val="3"/>
            <w:tcMar>
              <w:top w:w="0" w:type="dxa"/>
              <w:left w:w="20" w:type="dxa"/>
              <w:bottom w:w="0" w:type="dxa"/>
              <w:right w:w="20" w:type="dxa"/>
            </w:tcMar>
            <w:vAlign w:val="center"/>
            <w:hideMark/>
          </w:tcPr>
          <w:p w14:paraId="68E2EC6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952D12" w14:textId="77777777" w:rsidR="00000000" w:rsidRDefault="00A173A8">
            <w:pPr>
              <w:spacing w:after="100"/>
              <w:jc w:val="center"/>
              <w:rPr>
                <w:rFonts w:eastAsia="Times New Roman"/>
              </w:rPr>
            </w:pPr>
            <w:r>
              <w:rPr>
                <w:rFonts w:eastAsia="Times New Roman"/>
                <w:color w:val="000000"/>
                <w:sz w:val="16"/>
                <w:szCs w:val="16"/>
              </w:rPr>
              <w:t>17</w:t>
            </w:r>
          </w:p>
        </w:tc>
        <w:tc>
          <w:tcPr>
            <w:tcW w:w="0" w:type="auto"/>
            <w:gridSpan w:val="3"/>
            <w:tcMar>
              <w:top w:w="30" w:type="dxa"/>
              <w:left w:w="20" w:type="dxa"/>
              <w:bottom w:w="30" w:type="dxa"/>
              <w:right w:w="20" w:type="dxa"/>
            </w:tcMar>
            <w:vAlign w:val="bottom"/>
            <w:hideMark/>
          </w:tcPr>
          <w:p w14:paraId="49EF0812"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B77C669" w14:textId="77777777" w:rsidR="00000000" w:rsidRDefault="00A173A8">
      <w:pPr>
        <w:rPr>
          <w:rFonts w:eastAsia="Times New Roman"/>
        </w:rPr>
      </w:pPr>
      <w:r>
        <w:rPr>
          <w:rFonts w:eastAsia="Times New Roman"/>
        </w:rPr>
        <w:pict w14:anchorId="315F82D5">
          <v:rect id="_x0000_i1042" style="width:0;height:1.5pt" o:hralign="center" o:hrstd="t" o:hr="t" fillcolor="#a0a0a0" stroked="f"/>
        </w:pict>
      </w:r>
    </w:p>
    <w:p w14:paraId="7D038C5F" w14:textId="77777777" w:rsidR="00000000" w:rsidRDefault="00A173A8">
      <w:pPr>
        <w:ind w:hanging="360"/>
        <w:jc w:val="both"/>
        <w:divId w:val="201016025"/>
        <w:rPr>
          <w:rFonts w:eastAsia="Times New Roman"/>
        </w:rPr>
      </w:pPr>
      <w:hyperlink w:anchor="i7ffd5d61af6f4722b1b1b07530d51c06_13"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7AB8808A" w14:textId="77777777">
        <w:trPr>
          <w:divId w:val="499807364"/>
        </w:trPr>
        <w:tc>
          <w:tcPr>
            <w:tcW w:w="50" w:type="pct"/>
            <w:vAlign w:val="center"/>
            <w:hideMark/>
          </w:tcPr>
          <w:p w14:paraId="0C2D1DBD" w14:textId="77777777" w:rsidR="00000000" w:rsidRDefault="00A173A8">
            <w:pPr>
              <w:ind w:hanging="360"/>
              <w:jc w:val="both"/>
              <w:rPr>
                <w:rFonts w:eastAsia="Times New Roman"/>
              </w:rPr>
            </w:pPr>
          </w:p>
        </w:tc>
        <w:tc>
          <w:tcPr>
            <w:tcW w:w="4945" w:type="pct"/>
            <w:vAlign w:val="center"/>
            <w:hideMark/>
          </w:tcPr>
          <w:p w14:paraId="39DA8DA3" w14:textId="77777777" w:rsidR="00000000" w:rsidRDefault="00A173A8">
            <w:pPr>
              <w:spacing w:after="100"/>
              <w:rPr>
                <w:rFonts w:eastAsia="Times New Roman"/>
                <w:sz w:val="20"/>
                <w:szCs w:val="20"/>
              </w:rPr>
            </w:pPr>
          </w:p>
        </w:tc>
        <w:tc>
          <w:tcPr>
            <w:tcW w:w="5" w:type="pct"/>
            <w:vAlign w:val="center"/>
            <w:hideMark/>
          </w:tcPr>
          <w:p w14:paraId="107885FA" w14:textId="77777777" w:rsidR="00000000" w:rsidRDefault="00A173A8">
            <w:pPr>
              <w:spacing w:after="100"/>
              <w:rPr>
                <w:rFonts w:eastAsia="Times New Roman"/>
                <w:sz w:val="20"/>
                <w:szCs w:val="20"/>
              </w:rPr>
            </w:pPr>
          </w:p>
        </w:tc>
      </w:tr>
      <w:tr w:rsidR="00000000" w14:paraId="04A96BE5" w14:textId="77777777">
        <w:trPr>
          <w:divId w:val="49980736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13281B3B" w14:textId="77777777" w:rsidR="00000000" w:rsidRDefault="00A173A8">
            <w:pPr>
              <w:spacing w:after="100"/>
              <w:rPr>
                <w:rFonts w:eastAsia="Times New Roman"/>
              </w:rPr>
            </w:pPr>
            <w:r>
              <w:rPr>
                <w:rFonts w:eastAsia="Times New Roman"/>
                <w:b/>
                <w:bCs/>
                <w:color w:val="000000"/>
                <w:sz w:val="20"/>
                <w:szCs w:val="20"/>
              </w:rPr>
              <w:t>BUSINESS SEGMENT FINANCIAL PERFORMANCE</w:t>
            </w:r>
          </w:p>
        </w:tc>
      </w:tr>
    </w:tbl>
    <w:p w14:paraId="729CF247" w14:textId="77777777" w:rsidR="00000000" w:rsidRDefault="00A173A8">
      <w:pPr>
        <w:jc w:val="both"/>
        <w:divId w:val="670067843"/>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 Credit Card, Consumer Banking and Commerci</w:t>
      </w:r>
      <w:r>
        <w:rPr>
          <w:rFonts w:eastAsia="Times New Roman"/>
          <w:color w:val="000000"/>
          <w:sz w:val="20"/>
          <w:szCs w:val="20"/>
        </w:rPr>
        <w:t>al Banking. The operations of acquired businesses have been integrated into or managed as a part of our existing business segments. Certain activities that are not part of a segment, such as management of our corporate investment portfolio, asset/liability</w:t>
      </w:r>
      <w:r>
        <w:rPr>
          <w:rFonts w:eastAsia="Times New Roman"/>
          <w:color w:val="000000"/>
          <w:sz w:val="20"/>
          <w:szCs w:val="20"/>
        </w:rPr>
        <w:t xml:space="preserve"> management by our centralized Corporate Treasury group and calculation of our residual tax expense or benefit to arrive at the consolidated effective tax rate that is not assessed to our primary business segments, are included in the Other category.</w:t>
      </w:r>
    </w:p>
    <w:p w14:paraId="0A076F94" w14:textId="77777777" w:rsidR="00000000" w:rsidRDefault="00A173A8">
      <w:pPr>
        <w:jc w:val="both"/>
        <w:divId w:val="2020422627"/>
        <w:rPr>
          <w:rFonts w:eastAsia="Times New Roman"/>
        </w:rPr>
      </w:pPr>
      <w:r>
        <w:rPr>
          <w:rFonts w:eastAsia="Times New Roman"/>
          <w:color w:val="000000"/>
          <w:sz w:val="20"/>
          <w:szCs w:val="20"/>
        </w:rPr>
        <w:t>The r</w:t>
      </w:r>
      <w:r>
        <w:rPr>
          <w:rFonts w:eastAsia="Times New Roman"/>
          <w:color w:val="000000"/>
          <w:sz w:val="20"/>
          <w:szCs w:val="20"/>
        </w:rPr>
        <w:t>esults of our individual businesses, which we report on a continuing operations basis, reflect the manner in which management evaluates performance and makes decisions about funding our operations and allocating resources. We may periodically change our bu</w:t>
      </w:r>
      <w:r>
        <w:rPr>
          <w:rFonts w:eastAsia="Times New Roman"/>
          <w:color w:val="000000"/>
          <w:sz w:val="20"/>
          <w:szCs w:val="20"/>
        </w:rPr>
        <w:t>siness segments or reclassify business segment results based on modifications to our management reporting methodologies and changes in organizational alignment. Our business segment results are intended to reflect each segment as if it were a stand-alone b</w:t>
      </w:r>
      <w:r>
        <w:rPr>
          <w:rFonts w:eastAsia="Times New Roman"/>
          <w:color w:val="000000"/>
          <w:sz w:val="20"/>
          <w:szCs w:val="20"/>
        </w:rPr>
        <w:t>usiness. We use an internal management and reporting process to derive our business segment results. Our internal management and reporting process employs various allocation methodologies, including funds transfer pricing, to assign certain balance sheet a</w:t>
      </w:r>
      <w:r>
        <w:rPr>
          <w:rFonts w:eastAsia="Times New Roman"/>
          <w:color w:val="000000"/>
          <w:sz w:val="20"/>
          <w:szCs w:val="20"/>
        </w:rPr>
        <w:t>ssets, deposits and other liabilities and their related revenue and expenses directly or indirectly attributable to each business segment. Total interest income and non-interest income are directly attributable to the segment in which they are reported. Th</w:t>
      </w:r>
      <w:r>
        <w:rPr>
          <w:rFonts w:eastAsia="Times New Roman"/>
          <w:color w:val="000000"/>
          <w:sz w:val="20"/>
          <w:szCs w:val="20"/>
        </w:rPr>
        <w:t>e net interest income of each segment reflects the results of our funds transfer pricing process, which is primarily based on a matched funding concept that takes into consideration market interest rates. Our funds transfer pricing process provides a funds</w:t>
      </w:r>
      <w:r>
        <w:rPr>
          <w:rFonts w:eastAsia="Times New Roman"/>
          <w:color w:val="000000"/>
          <w:sz w:val="20"/>
          <w:szCs w:val="20"/>
        </w:rPr>
        <w:t xml:space="preserve"> credit for sources of funds, such as deposits generated by our Consumer Banking and Commercial Banking businesses, and a charge for the use of funds by each segment. The allocation process is unique to each business segment and acquired business. We regul</w:t>
      </w:r>
      <w:r>
        <w:rPr>
          <w:rFonts w:eastAsia="Times New Roman"/>
          <w:color w:val="000000"/>
          <w:sz w:val="20"/>
          <w:szCs w:val="20"/>
        </w:rPr>
        <w:t xml:space="preserve">arly assess the assumptions, methodologies and reporting classifications used for segment reporting, which may result in the implementation of refinements or changes in future periods. We provide additional information on the allocation methodologies used </w:t>
      </w:r>
      <w:r>
        <w:rPr>
          <w:rFonts w:eastAsia="Times New Roman"/>
          <w:color w:val="000000"/>
          <w:sz w:val="20"/>
          <w:szCs w:val="20"/>
        </w:rPr>
        <w:t>to derive our business segment results in “Note 17—Business Segments and Revenue from Contracts with Customers” in our 2021 Form 10-K.</w:t>
      </w:r>
    </w:p>
    <w:p w14:paraId="5A5035E3" w14:textId="77777777" w:rsidR="00000000" w:rsidRDefault="00A173A8">
      <w:pPr>
        <w:jc w:val="both"/>
        <w:divId w:val="467824743"/>
        <w:rPr>
          <w:rFonts w:eastAsia="Times New Roman"/>
        </w:rPr>
      </w:pPr>
      <w:r>
        <w:rPr>
          <w:rFonts w:eastAsia="Times New Roman"/>
          <w:color w:val="000000"/>
          <w:sz w:val="20"/>
          <w:szCs w:val="20"/>
        </w:rPr>
        <w:t>We refer to the business segment results derived from our internal management accounting and reporting process as our “ma</w:t>
      </w:r>
      <w:r>
        <w:rPr>
          <w:rFonts w:eastAsia="Times New Roman"/>
          <w:color w:val="000000"/>
          <w:sz w:val="20"/>
          <w:szCs w:val="20"/>
        </w:rPr>
        <w:t>naged” presentation, which differs in some cases from our reported results prepared based on U.S. GAAP. There is no comprehensive authoritative body of guidance for management accounting equivalent to U.S. GAAP; therefore, the managed presentation of our b</w:t>
      </w:r>
      <w:r>
        <w:rPr>
          <w:rFonts w:eastAsia="Times New Roman"/>
          <w:color w:val="000000"/>
          <w:sz w:val="20"/>
          <w:szCs w:val="20"/>
        </w:rPr>
        <w:t>usiness segment results may not be comparable to similar information provided by other financial services companies. In addition, our individual business segment results should not be used as a substitute for comparable results determined in accordance wit</w:t>
      </w:r>
      <w:r>
        <w:rPr>
          <w:rFonts w:eastAsia="Times New Roman"/>
          <w:color w:val="000000"/>
          <w:sz w:val="20"/>
          <w:szCs w:val="20"/>
        </w:rPr>
        <w:t>h U.S. GAAP.</w:t>
      </w:r>
    </w:p>
    <w:p w14:paraId="52303D59" w14:textId="77777777" w:rsidR="00000000" w:rsidRDefault="00A173A8">
      <w:pPr>
        <w:jc w:val="both"/>
        <w:divId w:val="1277716204"/>
        <w:rPr>
          <w:rFonts w:eastAsia="Times New Roman"/>
        </w:rPr>
      </w:pPr>
      <w:r>
        <w:rPr>
          <w:rFonts w:eastAsia="Times New Roman"/>
          <w:color w:val="000000"/>
          <w:sz w:val="20"/>
          <w:szCs w:val="20"/>
        </w:rPr>
        <w:t>We summarize our business segment results for the second quarter and first six months of 2022 and 2021 and provide a comparative discussion of these results, as well as changes in our financial condition and credit performance metrics as of Ju</w:t>
      </w:r>
      <w:r>
        <w:rPr>
          <w:rFonts w:eastAsia="Times New Roman"/>
          <w:color w:val="000000"/>
          <w:sz w:val="20"/>
          <w:szCs w:val="20"/>
        </w:rPr>
        <w:t>ne 30, 2022 compared to December 31, 2021. We provide a reconciliation of our total business segment results to our reported consolidated results in “Note 12—Business Segments and Revenue from Contracts with Customers.”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277D391" w14:textId="77777777">
        <w:trPr>
          <w:divId w:val="2091727676"/>
          <w:jc w:val="center"/>
        </w:trPr>
        <w:tc>
          <w:tcPr>
            <w:tcW w:w="50" w:type="pct"/>
            <w:vAlign w:val="center"/>
            <w:hideMark/>
          </w:tcPr>
          <w:p w14:paraId="1FAE7127" w14:textId="77777777" w:rsidR="00000000" w:rsidRDefault="00A173A8">
            <w:pPr>
              <w:jc w:val="both"/>
              <w:rPr>
                <w:rFonts w:eastAsia="Times New Roman"/>
              </w:rPr>
            </w:pPr>
          </w:p>
        </w:tc>
        <w:tc>
          <w:tcPr>
            <w:tcW w:w="1606" w:type="pct"/>
            <w:vAlign w:val="center"/>
            <w:hideMark/>
          </w:tcPr>
          <w:p w14:paraId="02379547" w14:textId="77777777" w:rsidR="00000000" w:rsidRDefault="00A173A8">
            <w:pPr>
              <w:spacing w:after="100"/>
              <w:rPr>
                <w:rFonts w:eastAsia="Times New Roman"/>
                <w:sz w:val="20"/>
                <w:szCs w:val="20"/>
              </w:rPr>
            </w:pPr>
          </w:p>
        </w:tc>
        <w:tc>
          <w:tcPr>
            <w:tcW w:w="5" w:type="pct"/>
            <w:vAlign w:val="center"/>
            <w:hideMark/>
          </w:tcPr>
          <w:p w14:paraId="2966696F" w14:textId="77777777" w:rsidR="00000000" w:rsidRDefault="00A173A8">
            <w:pPr>
              <w:spacing w:after="100"/>
              <w:rPr>
                <w:rFonts w:eastAsia="Times New Roman"/>
                <w:sz w:val="20"/>
                <w:szCs w:val="20"/>
              </w:rPr>
            </w:pPr>
          </w:p>
        </w:tc>
        <w:tc>
          <w:tcPr>
            <w:tcW w:w="50" w:type="pct"/>
            <w:vAlign w:val="center"/>
            <w:hideMark/>
          </w:tcPr>
          <w:p w14:paraId="58E79A59" w14:textId="77777777" w:rsidR="00000000" w:rsidRDefault="00A173A8">
            <w:pPr>
              <w:spacing w:after="100"/>
              <w:rPr>
                <w:rFonts w:eastAsia="Times New Roman"/>
                <w:sz w:val="20"/>
                <w:szCs w:val="20"/>
              </w:rPr>
            </w:pPr>
          </w:p>
        </w:tc>
        <w:tc>
          <w:tcPr>
            <w:tcW w:w="1614" w:type="pct"/>
            <w:vAlign w:val="center"/>
            <w:hideMark/>
          </w:tcPr>
          <w:p w14:paraId="48191CB3" w14:textId="77777777" w:rsidR="00000000" w:rsidRDefault="00A173A8">
            <w:pPr>
              <w:spacing w:after="100"/>
              <w:rPr>
                <w:rFonts w:eastAsia="Times New Roman"/>
                <w:sz w:val="20"/>
                <w:szCs w:val="20"/>
              </w:rPr>
            </w:pPr>
          </w:p>
        </w:tc>
        <w:tc>
          <w:tcPr>
            <w:tcW w:w="5" w:type="pct"/>
            <w:vAlign w:val="center"/>
            <w:hideMark/>
          </w:tcPr>
          <w:p w14:paraId="066EED1A" w14:textId="77777777" w:rsidR="00000000" w:rsidRDefault="00A173A8">
            <w:pPr>
              <w:spacing w:after="100"/>
              <w:rPr>
                <w:rFonts w:eastAsia="Times New Roman"/>
                <w:sz w:val="20"/>
                <w:szCs w:val="20"/>
              </w:rPr>
            </w:pPr>
          </w:p>
        </w:tc>
        <w:tc>
          <w:tcPr>
            <w:tcW w:w="50" w:type="pct"/>
            <w:vAlign w:val="center"/>
            <w:hideMark/>
          </w:tcPr>
          <w:p w14:paraId="688AAB66" w14:textId="77777777" w:rsidR="00000000" w:rsidRDefault="00A173A8">
            <w:pPr>
              <w:spacing w:after="100"/>
              <w:rPr>
                <w:rFonts w:eastAsia="Times New Roman"/>
                <w:sz w:val="20"/>
                <w:szCs w:val="20"/>
              </w:rPr>
            </w:pPr>
          </w:p>
        </w:tc>
        <w:tc>
          <w:tcPr>
            <w:tcW w:w="1614" w:type="pct"/>
            <w:vAlign w:val="center"/>
            <w:hideMark/>
          </w:tcPr>
          <w:p w14:paraId="2ADE67A9" w14:textId="77777777" w:rsidR="00000000" w:rsidRDefault="00A173A8">
            <w:pPr>
              <w:spacing w:after="100"/>
              <w:rPr>
                <w:rFonts w:eastAsia="Times New Roman"/>
                <w:sz w:val="20"/>
                <w:szCs w:val="20"/>
              </w:rPr>
            </w:pPr>
          </w:p>
        </w:tc>
        <w:tc>
          <w:tcPr>
            <w:tcW w:w="5" w:type="pct"/>
            <w:vAlign w:val="center"/>
            <w:hideMark/>
          </w:tcPr>
          <w:p w14:paraId="313B7EAF" w14:textId="77777777" w:rsidR="00000000" w:rsidRDefault="00A173A8">
            <w:pPr>
              <w:spacing w:after="100"/>
              <w:rPr>
                <w:rFonts w:eastAsia="Times New Roman"/>
                <w:sz w:val="20"/>
                <w:szCs w:val="20"/>
              </w:rPr>
            </w:pPr>
          </w:p>
        </w:tc>
      </w:tr>
      <w:tr w:rsidR="00000000" w14:paraId="40133FA1" w14:textId="77777777">
        <w:trPr>
          <w:divId w:val="2091727676"/>
          <w:trHeight w:val="300"/>
          <w:jc w:val="center"/>
        </w:trPr>
        <w:tc>
          <w:tcPr>
            <w:tcW w:w="0" w:type="auto"/>
            <w:gridSpan w:val="9"/>
            <w:tcMar>
              <w:top w:w="0" w:type="dxa"/>
              <w:left w:w="20" w:type="dxa"/>
              <w:bottom w:w="0" w:type="dxa"/>
              <w:right w:w="20" w:type="dxa"/>
            </w:tcMar>
            <w:vAlign w:val="center"/>
            <w:hideMark/>
          </w:tcPr>
          <w:p w14:paraId="59FC5344" w14:textId="77777777" w:rsidR="00000000" w:rsidRDefault="00A173A8">
            <w:pPr>
              <w:spacing w:after="100"/>
              <w:rPr>
                <w:rFonts w:eastAsia="Times New Roman"/>
                <w:sz w:val="20"/>
                <w:szCs w:val="20"/>
              </w:rPr>
            </w:pPr>
          </w:p>
        </w:tc>
      </w:tr>
      <w:tr w:rsidR="00000000" w14:paraId="05ECD78E" w14:textId="77777777">
        <w:trPr>
          <w:divId w:val="2091727676"/>
          <w:jc w:val="center"/>
        </w:trPr>
        <w:tc>
          <w:tcPr>
            <w:tcW w:w="0" w:type="auto"/>
            <w:gridSpan w:val="3"/>
            <w:tcMar>
              <w:top w:w="0" w:type="dxa"/>
              <w:left w:w="20" w:type="dxa"/>
              <w:bottom w:w="0" w:type="dxa"/>
              <w:right w:w="20" w:type="dxa"/>
            </w:tcMar>
            <w:vAlign w:val="center"/>
            <w:hideMark/>
          </w:tcPr>
          <w:p w14:paraId="3D7CDADB"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E4D574" w14:textId="77777777" w:rsidR="00000000" w:rsidRDefault="00A173A8">
            <w:pPr>
              <w:spacing w:after="100"/>
              <w:jc w:val="center"/>
              <w:rPr>
                <w:rFonts w:eastAsia="Times New Roman"/>
              </w:rPr>
            </w:pPr>
            <w:r>
              <w:rPr>
                <w:rFonts w:eastAsia="Times New Roman"/>
                <w:color w:val="000000"/>
                <w:sz w:val="16"/>
                <w:szCs w:val="16"/>
              </w:rPr>
              <w:t>18</w:t>
            </w:r>
          </w:p>
        </w:tc>
        <w:tc>
          <w:tcPr>
            <w:tcW w:w="0" w:type="auto"/>
            <w:gridSpan w:val="3"/>
            <w:tcMar>
              <w:top w:w="30" w:type="dxa"/>
              <w:left w:w="20" w:type="dxa"/>
              <w:bottom w:w="30" w:type="dxa"/>
              <w:right w:w="20" w:type="dxa"/>
            </w:tcMar>
            <w:vAlign w:val="bottom"/>
            <w:hideMark/>
          </w:tcPr>
          <w:p w14:paraId="5ADDB16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A160919" w14:textId="77777777" w:rsidR="00000000" w:rsidRDefault="00A173A8">
      <w:pPr>
        <w:rPr>
          <w:rFonts w:eastAsia="Times New Roman"/>
        </w:rPr>
      </w:pPr>
      <w:r>
        <w:rPr>
          <w:rFonts w:eastAsia="Times New Roman"/>
        </w:rPr>
        <w:pict w14:anchorId="382B031D">
          <v:rect id="_x0000_i1043" style="width:0;height:1.5pt" o:hralign="center" o:hrstd="t" o:hr="t" fillcolor="#a0a0a0" stroked="f"/>
        </w:pict>
      </w:r>
    </w:p>
    <w:p w14:paraId="6A67EBDB" w14:textId="77777777" w:rsidR="00000000" w:rsidRDefault="00A173A8">
      <w:pPr>
        <w:ind w:hanging="360"/>
        <w:jc w:val="both"/>
        <w:divId w:val="2123845057"/>
        <w:rPr>
          <w:rFonts w:eastAsia="Times New Roman"/>
        </w:rPr>
      </w:pPr>
      <w:hyperlink w:anchor="i7ffd5d61af6f4722b1b1b07530d51c06_13" w:history="1">
        <w:r>
          <w:rPr>
            <w:rStyle w:val="a3"/>
            <w:rFonts w:eastAsia="Times New Roman"/>
            <w:sz w:val="16"/>
            <w:szCs w:val="16"/>
          </w:rPr>
          <w:t>Table of Contents</w:t>
        </w:r>
      </w:hyperlink>
    </w:p>
    <w:p w14:paraId="2FD0205A" w14:textId="77777777" w:rsidR="00000000" w:rsidRDefault="00A173A8">
      <w:pPr>
        <w:divId w:val="1989164913"/>
        <w:rPr>
          <w:rFonts w:eastAsia="Times New Roman"/>
        </w:rPr>
      </w:pPr>
      <w:r>
        <w:rPr>
          <w:rFonts w:eastAsia="Times New Roman"/>
          <w:b/>
          <w:bCs/>
          <w:i/>
          <w:iCs/>
          <w:color w:val="000000"/>
          <w:sz w:val="20"/>
          <w:szCs w:val="20"/>
        </w:rPr>
        <w:t>Business Segment Financial Performance</w:t>
      </w:r>
    </w:p>
    <w:p w14:paraId="5E75F6D5" w14:textId="77777777" w:rsidR="00000000" w:rsidRDefault="00A173A8">
      <w:pPr>
        <w:jc w:val="both"/>
        <w:divId w:val="1733768581"/>
        <w:rPr>
          <w:rFonts w:eastAsia="Times New Roman"/>
        </w:rPr>
      </w:pPr>
      <w:r>
        <w:rPr>
          <w:rFonts w:eastAsia="Times New Roman"/>
          <w:color w:val="000000"/>
          <w:sz w:val="20"/>
          <w:szCs w:val="20"/>
        </w:rPr>
        <w:t>Table 8 summarizes our business segment results, which we report based on revenue (loss) and income (los</w:t>
      </w:r>
      <w:r>
        <w:rPr>
          <w:rFonts w:eastAsia="Times New Roman"/>
          <w:color w:val="000000"/>
          <w:sz w:val="20"/>
          <w:szCs w:val="20"/>
        </w:rPr>
        <w:t>s) from continuing operations, for the second quarter and first six months of 2022 and 2021.</w:t>
      </w:r>
    </w:p>
    <w:p w14:paraId="6E8B36EC" w14:textId="77777777" w:rsidR="00000000" w:rsidRDefault="00A173A8">
      <w:pPr>
        <w:divId w:val="634916949"/>
        <w:rPr>
          <w:rFonts w:eastAsia="Times New Roman"/>
        </w:rPr>
      </w:pPr>
      <w:r>
        <w:rPr>
          <w:rFonts w:eastAsia="Times New Roman"/>
          <w:b/>
          <w:bCs/>
          <w:color w:val="000000"/>
          <w:sz w:val="18"/>
          <w:szCs w:val="18"/>
        </w:rPr>
        <w:t xml:space="preserve">Table </w:t>
      </w:r>
      <w:r>
        <w:rPr>
          <w:rFonts w:eastAsia="Times New Roman"/>
          <w:b/>
          <w:bCs/>
          <w:color w:val="000000"/>
          <w:sz w:val="20"/>
          <w:szCs w:val="20"/>
        </w:rPr>
        <w:t>8</w:t>
      </w:r>
      <w:r>
        <w:rPr>
          <w:rFonts w:eastAsia="Times New Roman"/>
          <w:b/>
          <w:bCs/>
          <w:color w:val="000000"/>
          <w:sz w:val="18"/>
          <w:szCs w:val="18"/>
        </w:rPr>
        <w:t xml:space="preserve">: Business Segment Results </w:t>
      </w:r>
    </w:p>
    <w:tbl>
      <w:tblPr>
        <w:tblW w:w="5000" w:type="pct"/>
        <w:tblCellMar>
          <w:top w:w="15" w:type="dxa"/>
          <w:left w:w="15" w:type="dxa"/>
          <w:bottom w:w="15" w:type="dxa"/>
          <w:right w:w="15" w:type="dxa"/>
        </w:tblCellMar>
        <w:tblLook w:val="04A0" w:firstRow="1" w:lastRow="0" w:firstColumn="1" w:lastColumn="0" w:noHBand="0" w:noVBand="1"/>
      </w:tblPr>
      <w:tblGrid>
        <w:gridCol w:w="54"/>
        <w:gridCol w:w="90"/>
        <w:gridCol w:w="881"/>
        <w:gridCol w:w="38"/>
        <w:gridCol w:w="36"/>
        <w:gridCol w:w="36"/>
        <w:gridCol w:w="36"/>
        <w:gridCol w:w="121"/>
        <w:gridCol w:w="362"/>
        <w:gridCol w:w="144"/>
        <w:gridCol w:w="144"/>
        <w:gridCol w:w="4"/>
        <w:gridCol w:w="37"/>
        <w:gridCol w:w="36"/>
        <w:gridCol w:w="36"/>
        <w:gridCol w:w="31"/>
        <w:gridCol w:w="5"/>
        <w:gridCol w:w="54"/>
        <w:gridCol w:w="85"/>
        <w:gridCol w:w="144"/>
        <w:gridCol w:w="208"/>
        <w:gridCol w:w="220"/>
        <w:gridCol w:w="36"/>
        <w:gridCol w:w="36"/>
        <w:gridCol w:w="36"/>
        <w:gridCol w:w="121"/>
        <w:gridCol w:w="27"/>
        <w:gridCol w:w="144"/>
        <w:gridCol w:w="144"/>
        <w:gridCol w:w="144"/>
        <w:gridCol w:w="144"/>
        <w:gridCol w:w="51"/>
        <w:gridCol w:w="36"/>
        <w:gridCol w:w="36"/>
        <w:gridCol w:w="21"/>
        <w:gridCol w:w="15"/>
        <w:gridCol w:w="36"/>
        <w:gridCol w:w="54"/>
        <w:gridCol w:w="437"/>
        <w:gridCol w:w="142"/>
        <w:gridCol w:w="78"/>
        <w:gridCol w:w="36"/>
        <w:gridCol w:w="30"/>
        <w:gridCol w:w="6"/>
        <w:gridCol w:w="36"/>
        <w:gridCol w:w="102"/>
        <w:gridCol w:w="19"/>
        <w:gridCol w:w="125"/>
        <w:gridCol w:w="144"/>
        <w:gridCol w:w="144"/>
        <w:gridCol w:w="241"/>
        <w:gridCol w:w="37"/>
        <w:gridCol w:w="36"/>
        <w:gridCol w:w="36"/>
        <w:gridCol w:w="36"/>
        <w:gridCol w:w="54"/>
        <w:gridCol w:w="244"/>
        <w:gridCol w:w="144"/>
        <w:gridCol w:w="49"/>
        <w:gridCol w:w="95"/>
        <w:gridCol w:w="92"/>
        <w:gridCol w:w="36"/>
        <w:gridCol w:w="16"/>
        <w:gridCol w:w="20"/>
        <w:gridCol w:w="36"/>
        <w:gridCol w:w="88"/>
        <w:gridCol w:w="33"/>
        <w:gridCol w:w="111"/>
        <w:gridCol w:w="543"/>
        <w:gridCol w:w="36"/>
        <w:gridCol w:w="36"/>
        <w:gridCol w:w="36"/>
        <w:gridCol w:w="33"/>
        <w:gridCol w:w="3"/>
        <w:gridCol w:w="53"/>
        <w:gridCol w:w="88"/>
        <w:gridCol w:w="144"/>
        <w:gridCol w:w="144"/>
        <w:gridCol w:w="62"/>
        <w:gridCol w:w="82"/>
        <w:gridCol w:w="105"/>
        <w:gridCol w:w="36"/>
        <w:gridCol w:w="3"/>
        <w:gridCol w:w="33"/>
        <w:gridCol w:w="36"/>
        <w:gridCol w:w="36"/>
        <w:gridCol w:w="36"/>
        <w:gridCol w:w="36"/>
        <w:gridCol w:w="36"/>
        <w:gridCol w:w="36"/>
        <w:gridCol w:w="36"/>
        <w:gridCol w:w="36"/>
        <w:gridCol w:w="36"/>
        <w:gridCol w:w="36"/>
        <w:gridCol w:w="291"/>
        <w:gridCol w:w="144"/>
        <w:gridCol w:w="144"/>
        <w:gridCol w:w="144"/>
        <w:gridCol w:w="144"/>
        <w:gridCol w:w="144"/>
        <w:gridCol w:w="684"/>
        <w:gridCol w:w="144"/>
        <w:gridCol w:w="144"/>
        <w:gridCol w:w="144"/>
        <w:gridCol w:w="144"/>
        <w:gridCol w:w="144"/>
        <w:gridCol w:w="684"/>
        <w:gridCol w:w="144"/>
        <w:gridCol w:w="144"/>
        <w:gridCol w:w="144"/>
        <w:gridCol w:w="144"/>
        <w:gridCol w:w="144"/>
        <w:gridCol w:w="686"/>
        <w:gridCol w:w="144"/>
        <w:gridCol w:w="160"/>
        <w:gridCol w:w="160"/>
        <w:gridCol w:w="160"/>
        <w:gridCol w:w="480"/>
        <w:gridCol w:w="480"/>
        <w:gridCol w:w="480"/>
        <w:gridCol w:w="480"/>
        <w:gridCol w:w="480"/>
        <w:gridCol w:w="480"/>
        <w:gridCol w:w="480"/>
        <w:gridCol w:w="480"/>
        <w:gridCol w:w="480"/>
      </w:tblGrid>
      <w:tr w:rsidR="00000000" w14:paraId="2B023C04" w14:textId="77777777">
        <w:trPr>
          <w:gridAfter w:val="32"/>
          <w:divId w:val="634916949"/>
        </w:trPr>
        <w:tc>
          <w:tcPr>
            <w:tcW w:w="50" w:type="pct"/>
            <w:vAlign w:val="center"/>
            <w:hideMark/>
          </w:tcPr>
          <w:p w14:paraId="6DC6EB00" w14:textId="77777777" w:rsidR="00000000" w:rsidRDefault="00A173A8">
            <w:pPr>
              <w:rPr>
                <w:rFonts w:eastAsia="Times New Roman"/>
              </w:rPr>
            </w:pPr>
          </w:p>
        </w:tc>
        <w:tc>
          <w:tcPr>
            <w:tcW w:w="909" w:type="pct"/>
            <w:gridSpan w:val="2"/>
            <w:vAlign w:val="center"/>
            <w:hideMark/>
          </w:tcPr>
          <w:p w14:paraId="0332552A" w14:textId="77777777" w:rsidR="00000000" w:rsidRDefault="00A173A8">
            <w:pPr>
              <w:spacing w:after="100"/>
              <w:rPr>
                <w:rFonts w:eastAsia="Times New Roman"/>
                <w:sz w:val="20"/>
                <w:szCs w:val="20"/>
              </w:rPr>
            </w:pPr>
          </w:p>
        </w:tc>
        <w:tc>
          <w:tcPr>
            <w:tcW w:w="5" w:type="pct"/>
            <w:vAlign w:val="center"/>
            <w:hideMark/>
          </w:tcPr>
          <w:p w14:paraId="3CF9F0F8" w14:textId="77777777" w:rsidR="00000000" w:rsidRDefault="00A173A8">
            <w:pPr>
              <w:spacing w:after="100"/>
              <w:rPr>
                <w:rFonts w:eastAsia="Times New Roman"/>
                <w:sz w:val="20"/>
                <w:szCs w:val="20"/>
              </w:rPr>
            </w:pPr>
          </w:p>
        </w:tc>
        <w:tc>
          <w:tcPr>
            <w:tcW w:w="5" w:type="pct"/>
            <w:vAlign w:val="center"/>
            <w:hideMark/>
          </w:tcPr>
          <w:p w14:paraId="5B9E233A" w14:textId="77777777" w:rsidR="00000000" w:rsidRDefault="00A173A8">
            <w:pPr>
              <w:spacing w:after="100"/>
              <w:rPr>
                <w:rFonts w:eastAsia="Times New Roman"/>
                <w:sz w:val="20"/>
                <w:szCs w:val="20"/>
              </w:rPr>
            </w:pPr>
          </w:p>
        </w:tc>
        <w:tc>
          <w:tcPr>
            <w:tcW w:w="26" w:type="pct"/>
            <w:vAlign w:val="center"/>
            <w:hideMark/>
          </w:tcPr>
          <w:p w14:paraId="5CBA3D56" w14:textId="77777777" w:rsidR="00000000" w:rsidRDefault="00A173A8">
            <w:pPr>
              <w:spacing w:after="100"/>
              <w:rPr>
                <w:rFonts w:eastAsia="Times New Roman"/>
                <w:sz w:val="20"/>
                <w:szCs w:val="20"/>
              </w:rPr>
            </w:pPr>
          </w:p>
        </w:tc>
        <w:tc>
          <w:tcPr>
            <w:tcW w:w="5" w:type="pct"/>
            <w:vAlign w:val="center"/>
            <w:hideMark/>
          </w:tcPr>
          <w:p w14:paraId="6FD00134" w14:textId="77777777" w:rsidR="00000000" w:rsidRDefault="00A173A8">
            <w:pPr>
              <w:spacing w:after="100"/>
              <w:rPr>
                <w:rFonts w:eastAsia="Times New Roman"/>
                <w:sz w:val="20"/>
                <w:szCs w:val="20"/>
              </w:rPr>
            </w:pPr>
          </w:p>
        </w:tc>
        <w:tc>
          <w:tcPr>
            <w:tcW w:w="50" w:type="pct"/>
            <w:vAlign w:val="center"/>
            <w:hideMark/>
          </w:tcPr>
          <w:p w14:paraId="19CB167D" w14:textId="77777777" w:rsidR="00000000" w:rsidRDefault="00A173A8">
            <w:pPr>
              <w:spacing w:after="100"/>
              <w:rPr>
                <w:rFonts w:eastAsia="Times New Roman"/>
                <w:sz w:val="20"/>
                <w:szCs w:val="20"/>
              </w:rPr>
            </w:pPr>
          </w:p>
        </w:tc>
        <w:tc>
          <w:tcPr>
            <w:tcW w:w="412" w:type="pct"/>
            <w:gridSpan w:val="4"/>
            <w:vAlign w:val="center"/>
            <w:hideMark/>
          </w:tcPr>
          <w:p w14:paraId="1F2A70C9" w14:textId="77777777" w:rsidR="00000000" w:rsidRDefault="00A173A8">
            <w:pPr>
              <w:spacing w:after="100"/>
              <w:rPr>
                <w:rFonts w:eastAsia="Times New Roman"/>
                <w:sz w:val="20"/>
                <w:szCs w:val="20"/>
              </w:rPr>
            </w:pPr>
          </w:p>
        </w:tc>
        <w:tc>
          <w:tcPr>
            <w:tcW w:w="5" w:type="pct"/>
            <w:vAlign w:val="center"/>
            <w:hideMark/>
          </w:tcPr>
          <w:p w14:paraId="3A358B6A" w14:textId="77777777" w:rsidR="00000000" w:rsidRDefault="00A173A8">
            <w:pPr>
              <w:spacing w:after="100"/>
              <w:rPr>
                <w:rFonts w:eastAsia="Times New Roman"/>
                <w:sz w:val="20"/>
                <w:szCs w:val="20"/>
              </w:rPr>
            </w:pPr>
          </w:p>
        </w:tc>
        <w:tc>
          <w:tcPr>
            <w:tcW w:w="5" w:type="pct"/>
            <w:vAlign w:val="center"/>
            <w:hideMark/>
          </w:tcPr>
          <w:p w14:paraId="3332246B" w14:textId="77777777" w:rsidR="00000000" w:rsidRDefault="00A173A8">
            <w:pPr>
              <w:spacing w:after="100"/>
              <w:rPr>
                <w:rFonts w:eastAsia="Times New Roman"/>
                <w:sz w:val="20"/>
                <w:szCs w:val="20"/>
              </w:rPr>
            </w:pPr>
          </w:p>
        </w:tc>
        <w:tc>
          <w:tcPr>
            <w:tcW w:w="26" w:type="pct"/>
            <w:vAlign w:val="center"/>
            <w:hideMark/>
          </w:tcPr>
          <w:p w14:paraId="25ABFE94" w14:textId="77777777" w:rsidR="00000000" w:rsidRDefault="00A173A8">
            <w:pPr>
              <w:spacing w:after="100"/>
              <w:rPr>
                <w:rFonts w:eastAsia="Times New Roman"/>
                <w:sz w:val="20"/>
                <w:szCs w:val="20"/>
              </w:rPr>
            </w:pPr>
          </w:p>
        </w:tc>
        <w:tc>
          <w:tcPr>
            <w:tcW w:w="5" w:type="pct"/>
            <w:gridSpan w:val="2"/>
            <w:vAlign w:val="center"/>
            <w:hideMark/>
          </w:tcPr>
          <w:p w14:paraId="52524836" w14:textId="77777777" w:rsidR="00000000" w:rsidRDefault="00A173A8">
            <w:pPr>
              <w:spacing w:after="100"/>
              <w:rPr>
                <w:rFonts w:eastAsia="Times New Roman"/>
                <w:sz w:val="20"/>
                <w:szCs w:val="20"/>
              </w:rPr>
            </w:pPr>
          </w:p>
        </w:tc>
        <w:tc>
          <w:tcPr>
            <w:tcW w:w="50" w:type="pct"/>
            <w:vAlign w:val="center"/>
            <w:hideMark/>
          </w:tcPr>
          <w:p w14:paraId="39A90E4B" w14:textId="77777777" w:rsidR="00000000" w:rsidRDefault="00A173A8">
            <w:pPr>
              <w:spacing w:after="100"/>
              <w:rPr>
                <w:rFonts w:eastAsia="Times New Roman"/>
                <w:sz w:val="20"/>
                <w:szCs w:val="20"/>
              </w:rPr>
            </w:pPr>
          </w:p>
        </w:tc>
        <w:tc>
          <w:tcPr>
            <w:tcW w:w="412" w:type="pct"/>
            <w:gridSpan w:val="3"/>
            <w:vAlign w:val="center"/>
            <w:hideMark/>
          </w:tcPr>
          <w:p w14:paraId="25962272" w14:textId="77777777" w:rsidR="00000000" w:rsidRDefault="00A173A8">
            <w:pPr>
              <w:spacing w:after="100"/>
              <w:rPr>
                <w:rFonts w:eastAsia="Times New Roman"/>
                <w:sz w:val="20"/>
                <w:szCs w:val="20"/>
              </w:rPr>
            </w:pPr>
          </w:p>
        </w:tc>
        <w:tc>
          <w:tcPr>
            <w:tcW w:w="5" w:type="pct"/>
            <w:vAlign w:val="center"/>
            <w:hideMark/>
          </w:tcPr>
          <w:p w14:paraId="0BB44908" w14:textId="77777777" w:rsidR="00000000" w:rsidRDefault="00A173A8">
            <w:pPr>
              <w:spacing w:after="100"/>
              <w:rPr>
                <w:rFonts w:eastAsia="Times New Roman"/>
                <w:sz w:val="20"/>
                <w:szCs w:val="20"/>
              </w:rPr>
            </w:pPr>
          </w:p>
        </w:tc>
        <w:tc>
          <w:tcPr>
            <w:tcW w:w="5" w:type="pct"/>
            <w:vAlign w:val="center"/>
            <w:hideMark/>
          </w:tcPr>
          <w:p w14:paraId="1E6274AD" w14:textId="77777777" w:rsidR="00000000" w:rsidRDefault="00A173A8">
            <w:pPr>
              <w:spacing w:after="100"/>
              <w:rPr>
                <w:rFonts w:eastAsia="Times New Roman"/>
                <w:sz w:val="20"/>
                <w:szCs w:val="20"/>
              </w:rPr>
            </w:pPr>
          </w:p>
        </w:tc>
        <w:tc>
          <w:tcPr>
            <w:tcW w:w="26" w:type="pct"/>
            <w:vAlign w:val="center"/>
            <w:hideMark/>
          </w:tcPr>
          <w:p w14:paraId="4222D03D" w14:textId="77777777" w:rsidR="00000000" w:rsidRDefault="00A173A8">
            <w:pPr>
              <w:spacing w:after="100"/>
              <w:rPr>
                <w:rFonts w:eastAsia="Times New Roman"/>
                <w:sz w:val="20"/>
                <w:szCs w:val="20"/>
              </w:rPr>
            </w:pPr>
          </w:p>
        </w:tc>
        <w:tc>
          <w:tcPr>
            <w:tcW w:w="5" w:type="pct"/>
            <w:vAlign w:val="center"/>
            <w:hideMark/>
          </w:tcPr>
          <w:p w14:paraId="4C9B8143" w14:textId="77777777" w:rsidR="00000000" w:rsidRDefault="00A173A8">
            <w:pPr>
              <w:spacing w:after="100"/>
              <w:rPr>
                <w:rFonts w:eastAsia="Times New Roman"/>
                <w:sz w:val="20"/>
                <w:szCs w:val="20"/>
              </w:rPr>
            </w:pPr>
          </w:p>
        </w:tc>
        <w:tc>
          <w:tcPr>
            <w:tcW w:w="50" w:type="pct"/>
            <w:vAlign w:val="center"/>
            <w:hideMark/>
          </w:tcPr>
          <w:p w14:paraId="04BABDA9" w14:textId="77777777" w:rsidR="00000000" w:rsidRDefault="00A173A8">
            <w:pPr>
              <w:spacing w:after="100"/>
              <w:rPr>
                <w:rFonts w:eastAsia="Times New Roman"/>
                <w:sz w:val="20"/>
                <w:szCs w:val="20"/>
              </w:rPr>
            </w:pPr>
          </w:p>
        </w:tc>
        <w:tc>
          <w:tcPr>
            <w:tcW w:w="412" w:type="pct"/>
            <w:gridSpan w:val="6"/>
            <w:vAlign w:val="center"/>
            <w:hideMark/>
          </w:tcPr>
          <w:p w14:paraId="0B0AB977" w14:textId="77777777" w:rsidR="00000000" w:rsidRDefault="00A173A8">
            <w:pPr>
              <w:spacing w:after="100"/>
              <w:rPr>
                <w:rFonts w:eastAsia="Times New Roman"/>
                <w:sz w:val="20"/>
                <w:szCs w:val="20"/>
              </w:rPr>
            </w:pPr>
          </w:p>
        </w:tc>
        <w:tc>
          <w:tcPr>
            <w:tcW w:w="5" w:type="pct"/>
            <w:vAlign w:val="center"/>
            <w:hideMark/>
          </w:tcPr>
          <w:p w14:paraId="3579BF21" w14:textId="77777777" w:rsidR="00000000" w:rsidRDefault="00A173A8">
            <w:pPr>
              <w:spacing w:after="100"/>
              <w:rPr>
                <w:rFonts w:eastAsia="Times New Roman"/>
                <w:sz w:val="20"/>
                <w:szCs w:val="20"/>
              </w:rPr>
            </w:pPr>
          </w:p>
        </w:tc>
        <w:tc>
          <w:tcPr>
            <w:tcW w:w="5" w:type="pct"/>
            <w:vAlign w:val="center"/>
            <w:hideMark/>
          </w:tcPr>
          <w:p w14:paraId="1AA637F9" w14:textId="77777777" w:rsidR="00000000" w:rsidRDefault="00A173A8">
            <w:pPr>
              <w:spacing w:after="100"/>
              <w:rPr>
                <w:rFonts w:eastAsia="Times New Roman"/>
                <w:sz w:val="20"/>
                <w:szCs w:val="20"/>
              </w:rPr>
            </w:pPr>
          </w:p>
        </w:tc>
        <w:tc>
          <w:tcPr>
            <w:tcW w:w="26" w:type="pct"/>
            <w:gridSpan w:val="2"/>
            <w:vAlign w:val="center"/>
            <w:hideMark/>
          </w:tcPr>
          <w:p w14:paraId="75BDFCE8" w14:textId="77777777" w:rsidR="00000000" w:rsidRDefault="00A173A8">
            <w:pPr>
              <w:spacing w:after="100"/>
              <w:rPr>
                <w:rFonts w:eastAsia="Times New Roman"/>
                <w:sz w:val="20"/>
                <w:szCs w:val="20"/>
              </w:rPr>
            </w:pPr>
          </w:p>
        </w:tc>
        <w:tc>
          <w:tcPr>
            <w:tcW w:w="5" w:type="pct"/>
            <w:vAlign w:val="center"/>
            <w:hideMark/>
          </w:tcPr>
          <w:p w14:paraId="149C4BFE" w14:textId="77777777" w:rsidR="00000000" w:rsidRDefault="00A173A8">
            <w:pPr>
              <w:spacing w:after="100"/>
              <w:rPr>
                <w:rFonts w:eastAsia="Times New Roman"/>
                <w:sz w:val="20"/>
                <w:szCs w:val="20"/>
              </w:rPr>
            </w:pPr>
          </w:p>
        </w:tc>
        <w:tc>
          <w:tcPr>
            <w:tcW w:w="50" w:type="pct"/>
            <w:vAlign w:val="center"/>
            <w:hideMark/>
          </w:tcPr>
          <w:p w14:paraId="4B1BFE8E" w14:textId="77777777" w:rsidR="00000000" w:rsidRDefault="00A173A8">
            <w:pPr>
              <w:spacing w:after="100"/>
              <w:rPr>
                <w:rFonts w:eastAsia="Times New Roman"/>
                <w:sz w:val="20"/>
                <w:szCs w:val="20"/>
              </w:rPr>
            </w:pPr>
          </w:p>
        </w:tc>
        <w:tc>
          <w:tcPr>
            <w:tcW w:w="412" w:type="pct"/>
            <w:vAlign w:val="center"/>
            <w:hideMark/>
          </w:tcPr>
          <w:p w14:paraId="0C0158AB" w14:textId="77777777" w:rsidR="00000000" w:rsidRDefault="00A173A8">
            <w:pPr>
              <w:spacing w:after="100"/>
              <w:rPr>
                <w:rFonts w:eastAsia="Times New Roman"/>
                <w:sz w:val="20"/>
                <w:szCs w:val="20"/>
              </w:rPr>
            </w:pPr>
          </w:p>
        </w:tc>
        <w:tc>
          <w:tcPr>
            <w:tcW w:w="5" w:type="pct"/>
            <w:gridSpan w:val="2"/>
            <w:vAlign w:val="center"/>
            <w:hideMark/>
          </w:tcPr>
          <w:p w14:paraId="2AB34BC0" w14:textId="77777777" w:rsidR="00000000" w:rsidRDefault="00A173A8">
            <w:pPr>
              <w:spacing w:after="100"/>
              <w:rPr>
                <w:rFonts w:eastAsia="Times New Roman"/>
                <w:sz w:val="20"/>
                <w:szCs w:val="20"/>
              </w:rPr>
            </w:pPr>
          </w:p>
        </w:tc>
        <w:tc>
          <w:tcPr>
            <w:tcW w:w="5" w:type="pct"/>
            <w:vAlign w:val="center"/>
            <w:hideMark/>
          </w:tcPr>
          <w:p w14:paraId="3B6DBDFF" w14:textId="77777777" w:rsidR="00000000" w:rsidRDefault="00A173A8">
            <w:pPr>
              <w:spacing w:after="100"/>
              <w:rPr>
                <w:rFonts w:eastAsia="Times New Roman"/>
                <w:sz w:val="20"/>
                <w:szCs w:val="20"/>
              </w:rPr>
            </w:pPr>
          </w:p>
        </w:tc>
        <w:tc>
          <w:tcPr>
            <w:tcW w:w="26" w:type="pct"/>
            <w:gridSpan w:val="2"/>
            <w:vAlign w:val="center"/>
            <w:hideMark/>
          </w:tcPr>
          <w:p w14:paraId="7C1EB0C8" w14:textId="77777777" w:rsidR="00000000" w:rsidRDefault="00A173A8">
            <w:pPr>
              <w:spacing w:after="100"/>
              <w:rPr>
                <w:rFonts w:eastAsia="Times New Roman"/>
                <w:sz w:val="20"/>
                <w:szCs w:val="20"/>
              </w:rPr>
            </w:pPr>
          </w:p>
        </w:tc>
        <w:tc>
          <w:tcPr>
            <w:tcW w:w="5" w:type="pct"/>
            <w:vAlign w:val="center"/>
            <w:hideMark/>
          </w:tcPr>
          <w:p w14:paraId="4070DDFF" w14:textId="77777777" w:rsidR="00000000" w:rsidRDefault="00A173A8">
            <w:pPr>
              <w:spacing w:after="100"/>
              <w:rPr>
                <w:rFonts w:eastAsia="Times New Roman"/>
                <w:sz w:val="20"/>
                <w:szCs w:val="20"/>
              </w:rPr>
            </w:pPr>
          </w:p>
        </w:tc>
        <w:tc>
          <w:tcPr>
            <w:tcW w:w="50" w:type="pct"/>
            <w:gridSpan w:val="2"/>
            <w:vAlign w:val="center"/>
            <w:hideMark/>
          </w:tcPr>
          <w:p w14:paraId="4501447F" w14:textId="77777777" w:rsidR="00000000" w:rsidRDefault="00A173A8">
            <w:pPr>
              <w:spacing w:after="100"/>
              <w:rPr>
                <w:rFonts w:eastAsia="Times New Roman"/>
                <w:sz w:val="20"/>
                <w:szCs w:val="20"/>
              </w:rPr>
            </w:pPr>
          </w:p>
        </w:tc>
        <w:tc>
          <w:tcPr>
            <w:tcW w:w="412" w:type="pct"/>
            <w:gridSpan w:val="4"/>
            <w:vAlign w:val="center"/>
            <w:hideMark/>
          </w:tcPr>
          <w:p w14:paraId="5CAD9334" w14:textId="77777777" w:rsidR="00000000" w:rsidRDefault="00A173A8">
            <w:pPr>
              <w:spacing w:after="100"/>
              <w:rPr>
                <w:rFonts w:eastAsia="Times New Roman"/>
                <w:sz w:val="20"/>
                <w:szCs w:val="20"/>
              </w:rPr>
            </w:pPr>
          </w:p>
        </w:tc>
        <w:tc>
          <w:tcPr>
            <w:tcW w:w="5" w:type="pct"/>
            <w:vAlign w:val="center"/>
            <w:hideMark/>
          </w:tcPr>
          <w:p w14:paraId="09F50E48" w14:textId="77777777" w:rsidR="00000000" w:rsidRDefault="00A173A8">
            <w:pPr>
              <w:spacing w:after="100"/>
              <w:rPr>
                <w:rFonts w:eastAsia="Times New Roman"/>
                <w:sz w:val="20"/>
                <w:szCs w:val="20"/>
              </w:rPr>
            </w:pPr>
          </w:p>
        </w:tc>
        <w:tc>
          <w:tcPr>
            <w:tcW w:w="5" w:type="pct"/>
            <w:vAlign w:val="center"/>
            <w:hideMark/>
          </w:tcPr>
          <w:p w14:paraId="19319236" w14:textId="77777777" w:rsidR="00000000" w:rsidRDefault="00A173A8">
            <w:pPr>
              <w:spacing w:after="100"/>
              <w:rPr>
                <w:rFonts w:eastAsia="Times New Roman"/>
                <w:sz w:val="20"/>
                <w:szCs w:val="20"/>
              </w:rPr>
            </w:pPr>
          </w:p>
        </w:tc>
        <w:tc>
          <w:tcPr>
            <w:tcW w:w="26" w:type="pct"/>
            <w:vAlign w:val="center"/>
            <w:hideMark/>
          </w:tcPr>
          <w:p w14:paraId="1DC2E1FC" w14:textId="77777777" w:rsidR="00000000" w:rsidRDefault="00A173A8">
            <w:pPr>
              <w:spacing w:after="100"/>
              <w:rPr>
                <w:rFonts w:eastAsia="Times New Roman"/>
                <w:sz w:val="20"/>
                <w:szCs w:val="20"/>
              </w:rPr>
            </w:pPr>
          </w:p>
        </w:tc>
        <w:tc>
          <w:tcPr>
            <w:tcW w:w="5" w:type="pct"/>
            <w:vAlign w:val="center"/>
            <w:hideMark/>
          </w:tcPr>
          <w:p w14:paraId="58643525" w14:textId="77777777" w:rsidR="00000000" w:rsidRDefault="00A173A8">
            <w:pPr>
              <w:spacing w:after="100"/>
              <w:rPr>
                <w:rFonts w:eastAsia="Times New Roman"/>
                <w:sz w:val="20"/>
                <w:szCs w:val="20"/>
              </w:rPr>
            </w:pPr>
          </w:p>
        </w:tc>
        <w:tc>
          <w:tcPr>
            <w:tcW w:w="50" w:type="pct"/>
            <w:vAlign w:val="center"/>
            <w:hideMark/>
          </w:tcPr>
          <w:p w14:paraId="1757B9EA" w14:textId="77777777" w:rsidR="00000000" w:rsidRDefault="00A173A8">
            <w:pPr>
              <w:spacing w:after="100"/>
              <w:rPr>
                <w:rFonts w:eastAsia="Times New Roman"/>
                <w:sz w:val="20"/>
                <w:szCs w:val="20"/>
              </w:rPr>
            </w:pPr>
          </w:p>
        </w:tc>
        <w:tc>
          <w:tcPr>
            <w:tcW w:w="412" w:type="pct"/>
            <w:gridSpan w:val="3"/>
            <w:vAlign w:val="center"/>
            <w:hideMark/>
          </w:tcPr>
          <w:p w14:paraId="1B8407F2" w14:textId="77777777" w:rsidR="00000000" w:rsidRDefault="00A173A8">
            <w:pPr>
              <w:spacing w:after="100"/>
              <w:rPr>
                <w:rFonts w:eastAsia="Times New Roman"/>
                <w:sz w:val="20"/>
                <w:szCs w:val="20"/>
              </w:rPr>
            </w:pPr>
          </w:p>
        </w:tc>
        <w:tc>
          <w:tcPr>
            <w:tcW w:w="5" w:type="pct"/>
            <w:gridSpan w:val="2"/>
            <w:vAlign w:val="center"/>
            <w:hideMark/>
          </w:tcPr>
          <w:p w14:paraId="3331A2C3" w14:textId="77777777" w:rsidR="00000000" w:rsidRDefault="00A173A8">
            <w:pPr>
              <w:spacing w:after="100"/>
              <w:rPr>
                <w:rFonts w:eastAsia="Times New Roman"/>
                <w:sz w:val="20"/>
                <w:szCs w:val="20"/>
              </w:rPr>
            </w:pPr>
          </w:p>
        </w:tc>
        <w:tc>
          <w:tcPr>
            <w:tcW w:w="5" w:type="pct"/>
            <w:vAlign w:val="center"/>
            <w:hideMark/>
          </w:tcPr>
          <w:p w14:paraId="123DD022" w14:textId="77777777" w:rsidR="00000000" w:rsidRDefault="00A173A8">
            <w:pPr>
              <w:spacing w:after="100"/>
              <w:rPr>
                <w:rFonts w:eastAsia="Times New Roman"/>
                <w:sz w:val="20"/>
                <w:szCs w:val="20"/>
              </w:rPr>
            </w:pPr>
          </w:p>
        </w:tc>
        <w:tc>
          <w:tcPr>
            <w:tcW w:w="26" w:type="pct"/>
            <w:gridSpan w:val="2"/>
            <w:vAlign w:val="center"/>
            <w:hideMark/>
          </w:tcPr>
          <w:p w14:paraId="68667227" w14:textId="77777777" w:rsidR="00000000" w:rsidRDefault="00A173A8">
            <w:pPr>
              <w:spacing w:after="100"/>
              <w:rPr>
                <w:rFonts w:eastAsia="Times New Roman"/>
                <w:sz w:val="20"/>
                <w:szCs w:val="20"/>
              </w:rPr>
            </w:pPr>
          </w:p>
        </w:tc>
        <w:tc>
          <w:tcPr>
            <w:tcW w:w="5" w:type="pct"/>
            <w:vAlign w:val="center"/>
            <w:hideMark/>
          </w:tcPr>
          <w:p w14:paraId="3D363F26" w14:textId="77777777" w:rsidR="00000000" w:rsidRDefault="00A173A8">
            <w:pPr>
              <w:spacing w:after="100"/>
              <w:rPr>
                <w:rFonts w:eastAsia="Times New Roman"/>
                <w:sz w:val="20"/>
                <w:szCs w:val="20"/>
              </w:rPr>
            </w:pPr>
          </w:p>
        </w:tc>
        <w:tc>
          <w:tcPr>
            <w:tcW w:w="50" w:type="pct"/>
            <w:gridSpan w:val="2"/>
            <w:vAlign w:val="center"/>
            <w:hideMark/>
          </w:tcPr>
          <w:p w14:paraId="65216DBE" w14:textId="77777777" w:rsidR="00000000" w:rsidRDefault="00A173A8">
            <w:pPr>
              <w:spacing w:after="100"/>
              <w:rPr>
                <w:rFonts w:eastAsia="Times New Roman"/>
                <w:sz w:val="20"/>
                <w:szCs w:val="20"/>
              </w:rPr>
            </w:pPr>
          </w:p>
        </w:tc>
        <w:tc>
          <w:tcPr>
            <w:tcW w:w="412" w:type="pct"/>
            <w:gridSpan w:val="2"/>
            <w:vAlign w:val="center"/>
            <w:hideMark/>
          </w:tcPr>
          <w:p w14:paraId="4E7C032A" w14:textId="77777777" w:rsidR="00000000" w:rsidRDefault="00A173A8">
            <w:pPr>
              <w:spacing w:after="100"/>
              <w:rPr>
                <w:rFonts w:eastAsia="Times New Roman"/>
                <w:sz w:val="20"/>
                <w:szCs w:val="20"/>
              </w:rPr>
            </w:pPr>
          </w:p>
        </w:tc>
        <w:tc>
          <w:tcPr>
            <w:tcW w:w="5" w:type="pct"/>
            <w:vAlign w:val="center"/>
            <w:hideMark/>
          </w:tcPr>
          <w:p w14:paraId="069246BE" w14:textId="77777777" w:rsidR="00000000" w:rsidRDefault="00A173A8">
            <w:pPr>
              <w:spacing w:after="100"/>
              <w:rPr>
                <w:rFonts w:eastAsia="Times New Roman"/>
                <w:sz w:val="20"/>
                <w:szCs w:val="20"/>
              </w:rPr>
            </w:pPr>
          </w:p>
        </w:tc>
        <w:tc>
          <w:tcPr>
            <w:tcW w:w="5" w:type="pct"/>
            <w:vAlign w:val="center"/>
            <w:hideMark/>
          </w:tcPr>
          <w:p w14:paraId="34B08A64" w14:textId="77777777" w:rsidR="00000000" w:rsidRDefault="00A173A8">
            <w:pPr>
              <w:spacing w:after="100"/>
              <w:rPr>
                <w:rFonts w:eastAsia="Times New Roman"/>
                <w:sz w:val="20"/>
                <w:szCs w:val="20"/>
              </w:rPr>
            </w:pPr>
          </w:p>
        </w:tc>
        <w:tc>
          <w:tcPr>
            <w:tcW w:w="26" w:type="pct"/>
            <w:vAlign w:val="center"/>
            <w:hideMark/>
          </w:tcPr>
          <w:p w14:paraId="73B9EDF9" w14:textId="77777777" w:rsidR="00000000" w:rsidRDefault="00A173A8">
            <w:pPr>
              <w:spacing w:after="100"/>
              <w:rPr>
                <w:rFonts w:eastAsia="Times New Roman"/>
                <w:sz w:val="20"/>
                <w:szCs w:val="20"/>
              </w:rPr>
            </w:pPr>
          </w:p>
        </w:tc>
        <w:tc>
          <w:tcPr>
            <w:tcW w:w="5" w:type="pct"/>
            <w:gridSpan w:val="2"/>
            <w:vAlign w:val="center"/>
            <w:hideMark/>
          </w:tcPr>
          <w:p w14:paraId="3EEB6CE2" w14:textId="77777777" w:rsidR="00000000" w:rsidRDefault="00A173A8">
            <w:pPr>
              <w:spacing w:after="100"/>
              <w:rPr>
                <w:rFonts w:eastAsia="Times New Roman"/>
                <w:sz w:val="20"/>
                <w:szCs w:val="20"/>
              </w:rPr>
            </w:pPr>
          </w:p>
        </w:tc>
        <w:tc>
          <w:tcPr>
            <w:tcW w:w="50" w:type="pct"/>
            <w:vAlign w:val="center"/>
            <w:hideMark/>
          </w:tcPr>
          <w:p w14:paraId="68BCE4A7" w14:textId="77777777" w:rsidR="00000000" w:rsidRDefault="00A173A8">
            <w:pPr>
              <w:spacing w:after="100"/>
              <w:rPr>
                <w:rFonts w:eastAsia="Times New Roman"/>
                <w:sz w:val="20"/>
                <w:szCs w:val="20"/>
              </w:rPr>
            </w:pPr>
          </w:p>
        </w:tc>
        <w:tc>
          <w:tcPr>
            <w:tcW w:w="413" w:type="pct"/>
            <w:gridSpan w:val="4"/>
            <w:vAlign w:val="center"/>
            <w:hideMark/>
          </w:tcPr>
          <w:p w14:paraId="319CD09B" w14:textId="77777777" w:rsidR="00000000" w:rsidRDefault="00A173A8">
            <w:pPr>
              <w:spacing w:after="100"/>
              <w:rPr>
                <w:rFonts w:eastAsia="Times New Roman"/>
                <w:sz w:val="20"/>
                <w:szCs w:val="20"/>
              </w:rPr>
            </w:pPr>
          </w:p>
        </w:tc>
        <w:tc>
          <w:tcPr>
            <w:tcW w:w="5" w:type="pct"/>
            <w:gridSpan w:val="2"/>
            <w:vAlign w:val="center"/>
            <w:hideMark/>
          </w:tcPr>
          <w:p w14:paraId="67FBA066" w14:textId="77777777" w:rsidR="00000000" w:rsidRDefault="00A173A8">
            <w:pPr>
              <w:spacing w:after="100"/>
              <w:rPr>
                <w:rFonts w:eastAsia="Times New Roman"/>
                <w:sz w:val="20"/>
                <w:szCs w:val="20"/>
              </w:rPr>
            </w:pPr>
          </w:p>
        </w:tc>
        <w:tc>
          <w:tcPr>
            <w:tcW w:w="0" w:type="auto"/>
            <w:gridSpan w:val="4"/>
            <w:vAlign w:val="center"/>
            <w:hideMark/>
          </w:tcPr>
          <w:p w14:paraId="3B455DF2" w14:textId="77777777" w:rsidR="00000000" w:rsidRDefault="00A173A8">
            <w:pPr>
              <w:spacing w:after="100"/>
              <w:rPr>
                <w:rFonts w:eastAsia="Times New Roman"/>
                <w:sz w:val="20"/>
                <w:szCs w:val="20"/>
              </w:rPr>
            </w:pPr>
          </w:p>
        </w:tc>
        <w:tc>
          <w:tcPr>
            <w:tcW w:w="0" w:type="auto"/>
            <w:gridSpan w:val="3"/>
            <w:vAlign w:val="center"/>
            <w:hideMark/>
          </w:tcPr>
          <w:p w14:paraId="6F31CE2D" w14:textId="77777777" w:rsidR="00000000" w:rsidRDefault="00A173A8">
            <w:pPr>
              <w:spacing w:after="100"/>
              <w:rPr>
                <w:rFonts w:eastAsia="Times New Roman"/>
                <w:sz w:val="20"/>
                <w:szCs w:val="20"/>
              </w:rPr>
            </w:pPr>
          </w:p>
        </w:tc>
        <w:tc>
          <w:tcPr>
            <w:tcW w:w="0" w:type="auto"/>
            <w:gridSpan w:val="3"/>
            <w:vAlign w:val="center"/>
            <w:hideMark/>
          </w:tcPr>
          <w:p w14:paraId="64BF7634" w14:textId="77777777" w:rsidR="00000000" w:rsidRDefault="00A173A8">
            <w:pPr>
              <w:spacing w:after="100"/>
              <w:rPr>
                <w:rFonts w:eastAsia="Times New Roman"/>
                <w:sz w:val="20"/>
                <w:szCs w:val="20"/>
              </w:rPr>
            </w:pPr>
          </w:p>
        </w:tc>
        <w:tc>
          <w:tcPr>
            <w:tcW w:w="0" w:type="auto"/>
            <w:gridSpan w:val="2"/>
            <w:vAlign w:val="center"/>
            <w:hideMark/>
          </w:tcPr>
          <w:p w14:paraId="20268B6C" w14:textId="77777777" w:rsidR="00000000" w:rsidRDefault="00A173A8">
            <w:pPr>
              <w:spacing w:after="100"/>
              <w:rPr>
                <w:rFonts w:eastAsia="Times New Roman"/>
                <w:sz w:val="20"/>
                <w:szCs w:val="20"/>
              </w:rPr>
            </w:pPr>
          </w:p>
        </w:tc>
        <w:tc>
          <w:tcPr>
            <w:tcW w:w="0" w:type="auto"/>
            <w:vAlign w:val="center"/>
            <w:hideMark/>
          </w:tcPr>
          <w:p w14:paraId="01BF829C" w14:textId="77777777" w:rsidR="00000000" w:rsidRDefault="00A173A8">
            <w:pPr>
              <w:spacing w:after="100"/>
              <w:rPr>
                <w:rFonts w:eastAsia="Times New Roman"/>
                <w:sz w:val="20"/>
                <w:szCs w:val="20"/>
              </w:rPr>
            </w:pPr>
          </w:p>
        </w:tc>
      </w:tr>
      <w:tr w:rsidR="00000000" w14:paraId="0CF15776" w14:textId="77777777">
        <w:trPr>
          <w:gridAfter w:val="32"/>
          <w:divId w:val="634916949"/>
        </w:trPr>
        <w:tc>
          <w:tcPr>
            <w:tcW w:w="0" w:type="auto"/>
            <w:gridSpan w:val="4"/>
            <w:vAlign w:val="center"/>
            <w:hideMark/>
          </w:tcPr>
          <w:p w14:paraId="0FC538C7" w14:textId="77777777" w:rsidR="00000000" w:rsidRDefault="00A173A8">
            <w:pPr>
              <w:spacing w:after="100"/>
              <w:rPr>
                <w:rFonts w:eastAsia="Times New Roman"/>
                <w:sz w:val="20"/>
                <w:szCs w:val="20"/>
              </w:rPr>
            </w:pPr>
          </w:p>
        </w:tc>
        <w:tc>
          <w:tcPr>
            <w:tcW w:w="0" w:type="auto"/>
            <w:vAlign w:val="center"/>
            <w:hideMark/>
          </w:tcPr>
          <w:p w14:paraId="1C1FF42D" w14:textId="77777777" w:rsidR="00000000" w:rsidRDefault="00A173A8">
            <w:pPr>
              <w:spacing w:after="100"/>
              <w:rPr>
                <w:rFonts w:eastAsia="Times New Roman"/>
                <w:sz w:val="20"/>
                <w:szCs w:val="20"/>
              </w:rPr>
            </w:pPr>
          </w:p>
        </w:tc>
        <w:tc>
          <w:tcPr>
            <w:tcW w:w="0" w:type="auto"/>
            <w:vAlign w:val="center"/>
            <w:hideMark/>
          </w:tcPr>
          <w:p w14:paraId="10E71993" w14:textId="77777777" w:rsidR="00000000" w:rsidRDefault="00A173A8">
            <w:pPr>
              <w:spacing w:after="100"/>
              <w:rPr>
                <w:rFonts w:eastAsia="Times New Roman"/>
                <w:sz w:val="20"/>
                <w:szCs w:val="20"/>
              </w:rPr>
            </w:pPr>
          </w:p>
        </w:tc>
        <w:tc>
          <w:tcPr>
            <w:tcW w:w="0" w:type="auto"/>
            <w:vAlign w:val="center"/>
            <w:hideMark/>
          </w:tcPr>
          <w:p w14:paraId="0CCCCADD" w14:textId="77777777" w:rsidR="00000000" w:rsidRDefault="00A173A8">
            <w:pPr>
              <w:spacing w:after="100"/>
              <w:rPr>
                <w:rFonts w:eastAsia="Times New Roman"/>
                <w:sz w:val="20"/>
                <w:szCs w:val="20"/>
              </w:rPr>
            </w:pPr>
          </w:p>
        </w:tc>
        <w:tc>
          <w:tcPr>
            <w:tcW w:w="0" w:type="auto"/>
            <w:vAlign w:val="center"/>
            <w:hideMark/>
          </w:tcPr>
          <w:p w14:paraId="278F2514" w14:textId="77777777" w:rsidR="00000000" w:rsidRDefault="00A173A8">
            <w:pPr>
              <w:spacing w:after="100"/>
              <w:rPr>
                <w:rFonts w:eastAsia="Times New Roman"/>
                <w:sz w:val="20"/>
                <w:szCs w:val="20"/>
              </w:rPr>
            </w:pPr>
          </w:p>
        </w:tc>
        <w:tc>
          <w:tcPr>
            <w:tcW w:w="0" w:type="auto"/>
            <w:gridSpan w:val="4"/>
            <w:vAlign w:val="center"/>
            <w:hideMark/>
          </w:tcPr>
          <w:p w14:paraId="398E2ADC" w14:textId="77777777" w:rsidR="00000000" w:rsidRDefault="00A173A8">
            <w:pPr>
              <w:spacing w:after="100"/>
              <w:rPr>
                <w:rFonts w:eastAsia="Times New Roman"/>
                <w:sz w:val="20"/>
                <w:szCs w:val="20"/>
              </w:rPr>
            </w:pPr>
          </w:p>
        </w:tc>
        <w:tc>
          <w:tcPr>
            <w:tcW w:w="0" w:type="auto"/>
            <w:vAlign w:val="center"/>
            <w:hideMark/>
          </w:tcPr>
          <w:p w14:paraId="1E0F1569" w14:textId="77777777" w:rsidR="00000000" w:rsidRDefault="00A173A8">
            <w:pPr>
              <w:spacing w:after="100"/>
              <w:rPr>
                <w:rFonts w:eastAsia="Times New Roman"/>
                <w:sz w:val="20"/>
                <w:szCs w:val="20"/>
              </w:rPr>
            </w:pPr>
          </w:p>
        </w:tc>
        <w:tc>
          <w:tcPr>
            <w:tcW w:w="0" w:type="auto"/>
            <w:vAlign w:val="center"/>
            <w:hideMark/>
          </w:tcPr>
          <w:p w14:paraId="43B52EAB" w14:textId="77777777" w:rsidR="00000000" w:rsidRDefault="00A173A8">
            <w:pPr>
              <w:spacing w:after="100"/>
              <w:rPr>
                <w:rFonts w:eastAsia="Times New Roman"/>
                <w:sz w:val="20"/>
                <w:szCs w:val="20"/>
              </w:rPr>
            </w:pPr>
          </w:p>
        </w:tc>
        <w:tc>
          <w:tcPr>
            <w:tcW w:w="0" w:type="auto"/>
            <w:vAlign w:val="center"/>
            <w:hideMark/>
          </w:tcPr>
          <w:p w14:paraId="18CC2194" w14:textId="77777777" w:rsidR="00000000" w:rsidRDefault="00A173A8">
            <w:pPr>
              <w:spacing w:after="100"/>
              <w:rPr>
                <w:rFonts w:eastAsia="Times New Roman"/>
                <w:sz w:val="20"/>
                <w:szCs w:val="20"/>
              </w:rPr>
            </w:pPr>
          </w:p>
        </w:tc>
        <w:tc>
          <w:tcPr>
            <w:tcW w:w="0" w:type="auto"/>
            <w:gridSpan w:val="2"/>
            <w:vAlign w:val="center"/>
            <w:hideMark/>
          </w:tcPr>
          <w:p w14:paraId="6A30DADE" w14:textId="77777777" w:rsidR="00000000" w:rsidRDefault="00A173A8">
            <w:pPr>
              <w:spacing w:after="100"/>
              <w:rPr>
                <w:rFonts w:eastAsia="Times New Roman"/>
                <w:sz w:val="20"/>
                <w:szCs w:val="20"/>
              </w:rPr>
            </w:pPr>
          </w:p>
        </w:tc>
        <w:tc>
          <w:tcPr>
            <w:tcW w:w="0" w:type="auto"/>
            <w:vAlign w:val="center"/>
            <w:hideMark/>
          </w:tcPr>
          <w:p w14:paraId="6F496803" w14:textId="77777777" w:rsidR="00000000" w:rsidRDefault="00A173A8">
            <w:pPr>
              <w:spacing w:after="100"/>
              <w:rPr>
                <w:rFonts w:eastAsia="Times New Roman"/>
                <w:sz w:val="20"/>
                <w:szCs w:val="20"/>
              </w:rPr>
            </w:pPr>
          </w:p>
        </w:tc>
        <w:tc>
          <w:tcPr>
            <w:tcW w:w="0" w:type="auto"/>
            <w:gridSpan w:val="3"/>
            <w:vAlign w:val="center"/>
            <w:hideMark/>
          </w:tcPr>
          <w:p w14:paraId="6E283479" w14:textId="77777777" w:rsidR="00000000" w:rsidRDefault="00A173A8">
            <w:pPr>
              <w:spacing w:after="100"/>
              <w:rPr>
                <w:rFonts w:eastAsia="Times New Roman"/>
                <w:sz w:val="20"/>
                <w:szCs w:val="20"/>
              </w:rPr>
            </w:pPr>
          </w:p>
        </w:tc>
        <w:tc>
          <w:tcPr>
            <w:tcW w:w="0" w:type="auto"/>
            <w:vAlign w:val="center"/>
            <w:hideMark/>
          </w:tcPr>
          <w:p w14:paraId="1771E9B0" w14:textId="77777777" w:rsidR="00000000" w:rsidRDefault="00A173A8">
            <w:pPr>
              <w:spacing w:after="100"/>
              <w:rPr>
                <w:rFonts w:eastAsia="Times New Roman"/>
                <w:sz w:val="20"/>
                <w:szCs w:val="20"/>
              </w:rPr>
            </w:pPr>
          </w:p>
        </w:tc>
        <w:tc>
          <w:tcPr>
            <w:tcW w:w="0" w:type="auto"/>
            <w:vAlign w:val="center"/>
            <w:hideMark/>
          </w:tcPr>
          <w:p w14:paraId="081ED5CA" w14:textId="77777777" w:rsidR="00000000" w:rsidRDefault="00A173A8">
            <w:pPr>
              <w:spacing w:after="100"/>
              <w:rPr>
                <w:rFonts w:eastAsia="Times New Roman"/>
                <w:sz w:val="20"/>
                <w:szCs w:val="20"/>
              </w:rPr>
            </w:pPr>
          </w:p>
        </w:tc>
        <w:tc>
          <w:tcPr>
            <w:tcW w:w="0" w:type="auto"/>
            <w:vAlign w:val="center"/>
            <w:hideMark/>
          </w:tcPr>
          <w:p w14:paraId="21FC597C" w14:textId="77777777" w:rsidR="00000000" w:rsidRDefault="00A173A8">
            <w:pPr>
              <w:spacing w:after="100"/>
              <w:rPr>
                <w:rFonts w:eastAsia="Times New Roman"/>
                <w:sz w:val="20"/>
                <w:szCs w:val="20"/>
              </w:rPr>
            </w:pPr>
          </w:p>
        </w:tc>
        <w:tc>
          <w:tcPr>
            <w:tcW w:w="0" w:type="auto"/>
            <w:vAlign w:val="center"/>
            <w:hideMark/>
          </w:tcPr>
          <w:p w14:paraId="6901BF3D" w14:textId="77777777" w:rsidR="00000000" w:rsidRDefault="00A173A8">
            <w:pPr>
              <w:spacing w:after="100"/>
              <w:rPr>
                <w:rFonts w:eastAsia="Times New Roman"/>
                <w:sz w:val="20"/>
                <w:szCs w:val="20"/>
              </w:rPr>
            </w:pPr>
          </w:p>
        </w:tc>
        <w:tc>
          <w:tcPr>
            <w:tcW w:w="0" w:type="auto"/>
            <w:vAlign w:val="center"/>
            <w:hideMark/>
          </w:tcPr>
          <w:p w14:paraId="03127529" w14:textId="77777777" w:rsidR="00000000" w:rsidRDefault="00A173A8">
            <w:pPr>
              <w:spacing w:after="100"/>
              <w:rPr>
                <w:rFonts w:eastAsia="Times New Roman"/>
                <w:sz w:val="20"/>
                <w:szCs w:val="20"/>
              </w:rPr>
            </w:pPr>
          </w:p>
        </w:tc>
        <w:tc>
          <w:tcPr>
            <w:tcW w:w="0" w:type="auto"/>
            <w:gridSpan w:val="6"/>
            <w:vAlign w:val="center"/>
            <w:hideMark/>
          </w:tcPr>
          <w:p w14:paraId="76254BE1" w14:textId="77777777" w:rsidR="00000000" w:rsidRDefault="00A173A8">
            <w:pPr>
              <w:spacing w:after="100"/>
              <w:rPr>
                <w:rFonts w:eastAsia="Times New Roman"/>
                <w:sz w:val="20"/>
                <w:szCs w:val="20"/>
              </w:rPr>
            </w:pPr>
          </w:p>
        </w:tc>
        <w:tc>
          <w:tcPr>
            <w:tcW w:w="0" w:type="auto"/>
            <w:vAlign w:val="center"/>
            <w:hideMark/>
          </w:tcPr>
          <w:p w14:paraId="0FDCFA78" w14:textId="77777777" w:rsidR="00000000" w:rsidRDefault="00A173A8">
            <w:pPr>
              <w:spacing w:after="100"/>
              <w:rPr>
                <w:rFonts w:eastAsia="Times New Roman"/>
                <w:sz w:val="20"/>
                <w:szCs w:val="20"/>
              </w:rPr>
            </w:pPr>
          </w:p>
        </w:tc>
        <w:tc>
          <w:tcPr>
            <w:tcW w:w="0" w:type="auto"/>
            <w:vAlign w:val="center"/>
            <w:hideMark/>
          </w:tcPr>
          <w:p w14:paraId="2B817E39" w14:textId="77777777" w:rsidR="00000000" w:rsidRDefault="00A173A8">
            <w:pPr>
              <w:spacing w:after="100"/>
              <w:rPr>
                <w:rFonts w:eastAsia="Times New Roman"/>
                <w:sz w:val="20"/>
                <w:szCs w:val="20"/>
              </w:rPr>
            </w:pPr>
          </w:p>
        </w:tc>
        <w:tc>
          <w:tcPr>
            <w:tcW w:w="0" w:type="auto"/>
            <w:gridSpan w:val="2"/>
            <w:vAlign w:val="center"/>
            <w:hideMark/>
          </w:tcPr>
          <w:p w14:paraId="21D42621" w14:textId="77777777" w:rsidR="00000000" w:rsidRDefault="00A173A8">
            <w:pPr>
              <w:spacing w:after="100"/>
              <w:rPr>
                <w:rFonts w:eastAsia="Times New Roman"/>
                <w:sz w:val="20"/>
                <w:szCs w:val="20"/>
              </w:rPr>
            </w:pPr>
          </w:p>
        </w:tc>
        <w:tc>
          <w:tcPr>
            <w:tcW w:w="0" w:type="auto"/>
            <w:vAlign w:val="center"/>
            <w:hideMark/>
          </w:tcPr>
          <w:p w14:paraId="62C77629" w14:textId="77777777" w:rsidR="00000000" w:rsidRDefault="00A173A8">
            <w:pPr>
              <w:spacing w:after="100"/>
              <w:rPr>
                <w:rFonts w:eastAsia="Times New Roman"/>
                <w:sz w:val="20"/>
                <w:szCs w:val="20"/>
              </w:rPr>
            </w:pPr>
          </w:p>
        </w:tc>
        <w:tc>
          <w:tcPr>
            <w:tcW w:w="0" w:type="auto"/>
            <w:vAlign w:val="center"/>
            <w:hideMark/>
          </w:tcPr>
          <w:p w14:paraId="190CE940" w14:textId="77777777" w:rsidR="00000000" w:rsidRDefault="00A173A8">
            <w:pPr>
              <w:spacing w:after="100"/>
              <w:rPr>
                <w:rFonts w:eastAsia="Times New Roman"/>
                <w:sz w:val="20"/>
                <w:szCs w:val="20"/>
              </w:rPr>
            </w:pPr>
          </w:p>
        </w:tc>
        <w:tc>
          <w:tcPr>
            <w:tcW w:w="0" w:type="auto"/>
            <w:vAlign w:val="center"/>
            <w:hideMark/>
          </w:tcPr>
          <w:p w14:paraId="1F5CF460" w14:textId="77777777" w:rsidR="00000000" w:rsidRDefault="00A173A8">
            <w:pPr>
              <w:spacing w:after="100"/>
              <w:rPr>
                <w:rFonts w:eastAsia="Times New Roman"/>
                <w:sz w:val="20"/>
                <w:szCs w:val="20"/>
              </w:rPr>
            </w:pPr>
          </w:p>
        </w:tc>
        <w:tc>
          <w:tcPr>
            <w:tcW w:w="0" w:type="auto"/>
            <w:gridSpan w:val="2"/>
            <w:vAlign w:val="center"/>
            <w:hideMark/>
          </w:tcPr>
          <w:p w14:paraId="4C17BC39" w14:textId="77777777" w:rsidR="00000000" w:rsidRDefault="00A173A8">
            <w:pPr>
              <w:spacing w:after="100"/>
              <w:rPr>
                <w:rFonts w:eastAsia="Times New Roman"/>
                <w:sz w:val="20"/>
                <w:szCs w:val="20"/>
              </w:rPr>
            </w:pPr>
          </w:p>
        </w:tc>
        <w:tc>
          <w:tcPr>
            <w:tcW w:w="0" w:type="auto"/>
            <w:vAlign w:val="center"/>
            <w:hideMark/>
          </w:tcPr>
          <w:p w14:paraId="459CBD22" w14:textId="77777777" w:rsidR="00000000" w:rsidRDefault="00A173A8">
            <w:pPr>
              <w:spacing w:after="100"/>
              <w:rPr>
                <w:rFonts w:eastAsia="Times New Roman"/>
                <w:sz w:val="20"/>
                <w:szCs w:val="20"/>
              </w:rPr>
            </w:pPr>
          </w:p>
        </w:tc>
        <w:tc>
          <w:tcPr>
            <w:tcW w:w="0" w:type="auto"/>
            <w:gridSpan w:val="2"/>
            <w:vAlign w:val="center"/>
            <w:hideMark/>
          </w:tcPr>
          <w:p w14:paraId="2910A6CE" w14:textId="77777777" w:rsidR="00000000" w:rsidRDefault="00A173A8">
            <w:pPr>
              <w:spacing w:after="100"/>
              <w:rPr>
                <w:rFonts w:eastAsia="Times New Roman"/>
                <w:sz w:val="20"/>
                <w:szCs w:val="20"/>
              </w:rPr>
            </w:pPr>
          </w:p>
        </w:tc>
        <w:tc>
          <w:tcPr>
            <w:tcW w:w="0" w:type="auto"/>
            <w:vAlign w:val="center"/>
            <w:hideMark/>
          </w:tcPr>
          <w:p w14:paraId="7EDC046C" w14:textId="77777777" w:rsidR="00000000" w:rsidRDefault="00A173A8">
            <w:pPr>
              <w:spacing w:after="100"/>
              <w:rPr>
                <w:rFonts w:eastAsia="Times New Roman"/>
                <w:sz w:val="20"/>
                <w:szCs w:val="20"/>
              </w:rPr>
            </w:pPr>
          </w:p>
        </w:tc>
        <w:tc>
          <w:tcPr>
            <w:tcW w:w="0" w:type="auto"/>
            <w:gridSpan w:val="2"/>
            <w:vAlign w:val="center"/>
            <w:hideMark/>
          </w:tcPr>
          <w:p w14:paraId="59A2B066" w14:textId="77777777" w:rsidR="00000000" w:rsidRDefault="00A173A8">
            <w:pPr>
              <w:spacing w:after="100"/>
              <w:rPr>
                <w:rFonts w:eastAsia="Times New Roman"/>
                <w:sz w:val="20"/>
                <w:szCs w:val="20"/>
              </w:rPr>
            </w:pPr>
          </w:p>
        </w:tc>
        <w:tc>
          <w:tcPr>
            <w:tcW w:w="0" w:type="auto"/>
            <w:gridSpan w:val="4"/>
            <w:vAlign w:val="center"/>
            <w:hideMark/>
          </w:tcPr>
          <w:p w14:paraId="51561AFC" w14:textId="77777777" w:rsidR="00000000" w:rsidRDefault="00A173A8">
            <w:pPr>
              <w:spacing w:after="100"/>
              <w:rPr>
                <w:rFonts w:eastAsia="Times New Roman"/>
                <w:sz w:val="20"/>
                <w:szCs w:val="20"/>
              </w:rPr>
            </w:pPr>
          </w:p>
        </w:tc>
        <w:tc>
          <w:tcPr>
            <w:tcW w:w="0" w:type="auto"/>
            <w:vAlign w:val="center"/>
            <w:hideMark/>
          </w:tcPr>
          <w:p w14:paraId="6F561EE5" w14:textId="77777777" w:rsidR="00000000" w:rsidRDefault="00A173A8">
            <w:pPr>
              <w:spacing w:after="100"/>
              <w:rPr>
                <w:rFonts w:eastAsia="Times New Roman"/>
                <w:sz w:val="20"/>
                <w:szCs w:val="20"/>
              </w:rPr>
            </w:pPr>
          </w:p>
        </w:tc>
        <w:tc>
          <w:tcPr>
            <w:tcW w:w="0" w:type="auto"/>
            <w:vAlign w:val="center"/>
            <w:hideMark/>
          </w:tcPr>
          <w:p w14:paraId="55EC1FDD" w14:textId="77777777" w:rsidR="00000000" w:rsidRDefault="00A173A8">
            <w:pPr>
              <w:spacing w:after="100"/>
              <w:rPr>
                <w:rFonts w:eastAsia="Times New Roman"/>
                <w:sz w:val="20"/>
                <w:szCs w:val="20"/>
              </w:rPr>
            </w:pPr>
          </w:p>
        </w:tc>
        <w:tc>
          <w:tcPr>
            <w:tcW w:w="0" w:type="auto"/>
            <w:vAlign w:val="center"/>
            <w:hideMark/>
          </w:tcPr>
          <w:p w14:paraId="5E8F580C" w14:textId="77777777" w:rsidR="00000000" w:rsidRDefault="00A173A8">
            <w:pPr>
              <w:spacing w:after="100"/>
              <w:rPr>
                <w:rFonts w:eastAsia="Times New Roman"/>
                <w:sz w:val="20"/>
                <w:szCs w:val="20"/>
              </w:rPr>
            </w:pPr>
          </w:p>
        </w:tc>
        <w:tc>
          <w:tcPr>
            <w:tcW w:w="0" w:type="auto"/>
            <w:vAlign w:val="center"/>
            <w:hideMark/>
          </w:tcPr>
          <w:p w14:paraId="3C319A61" w14:textId="77777777" w:rsidR="00000000" w:rsidRDefault="00A173A8">
            <w:pPr>
              <w:spacing w:after="100"/>
              <w:rPr>
                <w:rFonts w:eastAsia="Times New Roman"/>
                <w:sz w:val="20"/>
                <w:szCs w:val="20"/>
              </w:rPr>
            </w:pPr>
          </w:p>
        </w:tc>
        <w:tc>
          <w:tcPr>
            <w:tcW w:w="0" w:type="auto"/>
            <w:vAlign w:val="center"/>
            <w:hideMark/>
          </w:tcPr>
          <w:p w14:paraId="55FC42CB" w14:textId="77777777" w:rsidR="00000000" w:rsidRDefault="00A173A8">
            <w:pPr>
              <w:spacing w:after="100"/>
              <w:rPr>
                <w:rFonts w:eastAsia="Times New Roman"/>
                <w:sz w:val="20"/>
                <w:szCs w:val="20"/>
              </w:rPr>
            </w:pPr>
          </w:p>
        </w:tc>
        <w:tc>
          <w:tcPr>
            <w:tcW w:w="0" w:type="auto"/>
            <w:gridSpan w:val="3"/>
            <w:vAlign w:val="center"/>
            <w:hideMark/>
          </w:tcPr>
          <w:p w14:paraId="499B517E" w14:textId="77777777" w:rsidR="00000000" w:rsidRDefault="00A173A8">
            <w:pPr>
              <w:spacing w:after="100"/>
              <w:rPr>
                <w:rFonts w:eastAsia="Times New Roman"/>
                <w:sz w:val="20"/>
                <w:szCs w:val="20"/>
              </w:rPr>
            </w:pPr>
          </w:p>
        </w:tc>
        <w:tc>
          <w:tcPr>
            <w:tcW w:w="0" w:type="auto"/>
            <w:gridSpan w:val="2"/>
            <w:vAlign w:val="center"/>
            <w:hideMark/>
          </w:tcPr>
          <w:p w14:paraId="66923041" w14:textId="77777777" w:rsidR="00000000" w:rsidRDefault="00A173A8">
            <w:pPr>
              <w:spacing w:after="100"/>
              <w:rPr>
                <w:rFonts w:eastAsia="Times New Roman"/>
                <w:sz w:val="20"/>
                <w:szCs w:val="20"/>
              </w:rPr>
            </w:pPr>
          </w:p>
        </w:tc>
        <w:tc>
          <w:tcPr>
            <w:tcW w:w="0" w:type="auto"/>
            <w:vAlign w:val="center"/>
            <w:hideMark/>
          </w:tcPr>
          <w:p w14:paraId="11521385" w14:textId="77777777" w:rsidR="00000000" w:rsidRDefault="00A173A8">
            <w:pPr>
              <w:spacing w:after="100"/>
              <w:rPr>
                <w:rFonts w:eastAsia="Times New Roman"/>
                <w:sz w:val="20"/>
                <w:szCs w:val="20"/>
              </w:rPr>
            </w:pPr>
          </w:p>
        </w:tc>
        <w:tc>
          <w:tcPr>
            <w:tcW w:w="0" w:type="auto"/>
            <w:gridSpan w:val="2"/>
            <w:vAlign w:val="center"/>
            <w:hideMark/>
          </w:tcPr>
          <w:p w14:paraId="14C389FE" w14:textId="77777777" w:rsidR="00000000" w:rsidRDefault="00A173A8">
            <w:pPr>
              <w:spacing w:after="100"/>
              <w:rPr>
                <w:rFonts w:eastAsia="Times New Roman"/>
                <w:sz w:val="20"/>
                <w:szCs w:val="20"/>
              </w:rPr>
            </w:pPr>
          </w:p>
        </w:tc>
        <w:tc>
          <w:tcPr>
            <w:tcW w:w="0" w:type="auto"/>
            <w:vAlign w:val="center"/>
            <w:hideMark/>
          </w:tcPr>
          <w:p w14:paraId="2C91A35A" w14:textId="77777777" w:rsidR="00000000" w:rsidRDefault="00A173A8">
            <w:pPr>
              <w:spacing w:after="100"/>
              <w:rPr>
                <w:rFonts w:eastAsia="Times New Roman"/>
                <w:sz w:val="20"/>
                <w:szCs w:val="20"/>
              </w:rPr>
            </w:pPr>
          </w:p>
        </w:tc>
        <w:tc>
          <w:tcPr>
            <w:tcW w:w="0" w:type="auto"/>
            <w:gridSpan w:val="2"/>
            <w:vAlign w:val="center"/>
            <w:hideMark/>
          </w:tcPr>
          <w:p w14:paraId="6A347182" w14:textId="77777777" w:rsidR="00000000" w:rsidRDefault="00A173A8">
            <w:pPr>
              <w:spacing w:after="100"/>
              <w:rPr>
                <w:rFonts w:eastAsia="Times New Roman"/>
                <w:sz w:val="20"/>
                <w:szCs w:val="20"/>
              </w:rPr>
            </w:pPr>
          </w:p>
        </w:tc>
        <w:tc>
          <w:tcPr>
            <w:tcW w:w="0" w:type="auto"/>
            <w:gridSpan w:val="2"/>
            <w:vAlign w:val="center"/>
            <w:hideMark/>
          </w:tcPr>
          <w:p w14:paraId="78F382CE" w14:textId="77777777" w:rsidR="00000000" w:rsidRDefault="00A173A8">
            <w:pPr>
              <w:spacing w:after="100"/>
              <w:rPr>
                <w:rFonts w:eastAsia="Times New Roman"/>
                <w:sz w:val="20"/>
                <w:szCs w:val="20"/>
              </w:rPr>
            </w:pPr>
          </w:p>
        </w:tc>
        <w:tc>
          <w:tcPr>
            <w:tcW w:w="0" w:type="auto"/>
            <w:vAlign w:val="center"/>
            <w:hideMark/>
          </w:tcPr>
          <w:p w14:paraId="30EE1F55" w14:textId="77777777" w:rsidR="00000000" w:rsidRDefault="00A173A8">
            <w:pPr>
              <w:spacing w:after="100"/>
              <w:rPr>
                <w:rFonts w:eastAsia="Times New Roman"/>
                <w:sz w:val="20"/>
                <w:szCs w:val="20"/>
              </w:rPr>
            </w:pPr>
          </w:p>
        </w:tc>
        <w:tc>
          <w:tcPr>
            <w:tcW w:w="0" w:type="auto"/>
            <w:vAlign w:val="center"/>
            <w:hideMark/>
          </w:tcPr>
          <w:p w14:paraId="3A34DB84" w14:textId="77777777" w:rsidR="00000000" w:rsidRDefault="00A173A8">
            <w:pPr>
              <w:spacing w:after="100"/>
              <w:rPr>
                <w:rFonts w:eastAsia="Times New Roman"/>
                <w:sz w:val="20"/>
                <w:szCs w:val="20"/>
              </w:rPr>
            </w:pPr>
          </w:p>
        </w:tc>
        <w:tc>
          <w:tcPr>
            <w:tcW w:w="0" w:type="auto"/>
            <w:vAlign w:val="center"/>
            <w:hideMark/>
          </w:tcPr>
          <w:p w14:paraId="18D6366A" w14:textId="77777777" w:rsidR="00000000" w:rsidRDefault="00A173A8">
            <w:pPr>
              <w:spacing w:after="100"/>
              <w:rPr>
                <w:rFonts w:eastAsia="Times New Roman"/>
                <w:sz w:val="20"/>
                <w:szCs w:val="20"/>
              </w:rPr>
            </w:pPr>
          </w:p>
        </w:tc>
        <w:tc>
          <w:tcPr>
            <w:tcW w:w="0" w:type="auto"/>
            <w:gridSpan w:val="2"/>
            <w:vAlign w:val="center"/>
            <w:hideMark/>
          </w:tcPr>
          <w:p w14:paraId="6CF243B7" w14:textId="77777777" w:rsidR="00000000" w:rsidRDefault="00A173A8">
            <w:pPr>
              <w:spacing w:after="100"/>
              <w:rPr>
                <w:rFonts w:eastAsia="Times New Roman"/>
                <w:sz w:val="20"/>
                <w:szCs w:val="20"/>
              </w:rPr>
            </w:pPr>
          </w:p>
        </w:tc>
        <w:tc>
          <w:tcPr>
            <w:tcW w:w="0" w:type="auto"/>
            <w:vAlign w:val="center"/>
            <w:hideMark/>
          </w:tcPr>
          <w:p w14:paraId="251CC110" w14:textId="77777777" w:rsidR="00000000" w:rsidRDefault="00A173A8">
            <w:pPr>
              <w:spacing w:after="100"/>
              <w:rPr>
                <w:rFonts w:eastAsia="Times New Roman"/>
                <w:sz w:val="20"/>
                <w:szCs w:val="20"/>
              </w:rPr>
            </w:pPr>
          </w:p>
        </w:tc>
        <w:tc>
          <w:tcPr>
            <w:tcW w:w="0" w:type="auto"/>
            <w:gridSpan w:val="4"/>
            <w:vAlign w:val="center"/>
            <w:hideMark/>
          </w:tcPr>
          <w:p w14:paraId="5B2746C5" w14:textId="77777777" w:rsidR="00000000" w:rsidRDefault="00A173A8">
            <w:pPr>
              <w:spacing w:after="100"/>
              <w:rPr>
                <w:rFonts w:eastAsia="Times New Roman"/>
                <w:sz w:val="20"/>
                <w:szCs w:val="20"/>
              </w:rPr>
            </w:pPr>
          </w:p>
        </w:tc>
        <w:tc>
          <w:tcPr>
            <w:tcW w:w="0" w:type="auto"/>
            <w:gridSpan w:val="2"/>
            <w:vAlign w:val="center"/>
            <w:hideMark/>
          </w:tcPr>
          <w:p w14:paraId="0CD2EA1B" w14:textId="77777777" w:rsidR="00000000" w:rsidRDefault="00A173A8">
            <w:pPr>
              <w:spacing w:after="100"/>
              <w:rPr>
                <w:rFonts w:eastAsia="Times New Roman"/>
                <w:sz w:val="20"/>
                <w:szCs w:val="20"/>
              </w:rPr>
            </w:pPr>
          </w:p>
        </w:tc>
        <w:tc>
          <w:tcPr>
            <w:tcW w:w="0" w:type="auto"/>
            <w:vAlign w:val="center"/>
            <w:hideMark/>
          </w:tcPr>
          <w:p w14:paraId="126BCEED" w14:textId="77777777" w:rsidR="00000000" w:rsidRDefault="00A173A8">
            <w:pPr>
              <w:spacing w:after="100"/>
              <w:rPr>
                <w:rFonts w:eastAsia="Times New Roman"/>
                <w:sz w:val="20"/>
                <w:szCs w:val="20"/>
              </w:rPr>
            </w:pPr>
          </w:p>
        </w:tc>
        <w:tc>
          <w:tcPr>
            <w:tcW w:w="0" w:type="auto"/>
            <w:gridSpan w:val="2"/>
            <w:vAlign w:val="center"/>
            <w:hideMark/>
          </w:tcPr>
          <w:p w14:paraId="4CEE07A7" w14:textId="77777777" w:rsidR="00000000" w:rsidRDefault="00A173A8">
            <w:pPr>
              <w:spacing w:after="100"/>
              <w:rPr>
                <w:rFonts w:eastAsia="Times New Roman"/>
                <w:sz w:val="20"/>
                <w:szCs w:val="20"/>
              </w:rPr>
            </w:pPr>
          </w:p>
        </w:tc>
        <w:tc>
          <w:tcPr>
            <w:tcW w:w="0" w:type="auto"/>
            <w:vAlign w:val="center"/>
            <w:hideMark/>
          </w:tcPr>
          <w:p w14:paraId="62A87C4A" w14:textId="77777777" w:rsidR="00000000" w:rsidRDefault="00A173A8">
            <w:pPr>
              <w:spacing w:after="100"/>
              <w:rPr>
                <w:rFonts w:eastAsia="Times New Roman"/>
                <w:sz w:val="20"/>
                <w:szCs w:val="20"/>
              </w:rPr>
            </w:pPr>
          </w:p>
        </w:tc>
        <w:tc>
          <w:tcPr>
            <w:tcW w:w="0" w:type="auto"/>
            <w:vAlign w:val="center"/>
            <w:hideMark/>
          </w:tcPr>
          <w:p w14:paraId="74B50EED" w14:textId="77777777" w:rsidR="00000000" w:rsidRDefault="00A173A8">
            <w:pPr>
              <w:spacing w:after="100"/>
              <w:rPr>
                <w:rFonts w:eastAsia="Times New Roman"/>
                <w:sz w:val="20"/>
                <w:szCs w:val="20"/>
              </w:rPr>
            </w:pPr>
          </w:p>
        </w:tc>
        <w:tc>
          <w:tcPr>
            <w:tcW w:w="0" w:type="auto"/>
            <w:vAlign w:val="center"/>
            <w:hideMark/>
          </w:tcPr>
          <w:p w14:paraId="610A9773" w14:textId="77777777" w:rsidR="00000000" w:rsidRDefault="00A173A8">
            <w:pPr>
              <w:spacing w:after="100"/>
              <w:rPr>
                <w:rFonts w:eastAsia="Times New Roman"/>
                <w:sz w:val="20"/>
                <w:szCs w:val="20"/>
              </w:rPr>
            </w:pPr>
          </w:p>
        </w:tc>
        <w:tc>
          <w:tcPr>
            <w:tcW w:w="0" w:type="auto"/>
            <w:vAlign w:val="center"/>
            <w:hideMark/>
          </w:tcPr>
          <w:p w14:paraId="6E6112A2" w14:textId="77777777" w:rsidR="00000000" w:rsidRDefault="00A173A8">
            <w:pPr>
              <w:spacing w:after="100"/>
              <w:rPr>
                <w:rFonts w:eastAsia="Times New Roman"/>
                <w:sz w:val="20"/>
                <w:szCs w:val="20"/>
              </w:rPr>
            </w:pPr>
          </w:p>
        </w:tc>
        <w:tc>
          <w:tcPr>
            <w:tcW w:w="0" w:type="auto"/>
            <w:vAlign w:val="center"/>
            <w:hideMark/>
          </w:tcPr>
          <w:p w14:paraId="1D14B45C" w14:textId="77777777" w:rsidR="00000000" w:rsidRDefault="00A173A8">
            <w:pPr>
              <w:spacing w:after="100"/>
              <w:rPr>
                <w:rFonts w:eastAsia="Times New Roman"/>
                <w:sz w:val="20"/>
                <w:szCs w:val="20"/>
              </w:rPr>
            </w:pPr>
          </w:p>
        </w:tc>
        <w:tc>
          <w:tcPr>
            <w:tcW w:w="0" w:type="auto"/>
            <w:vAlign w:val="center"/>
            <w:hideMark/>
          </w:tcPr>
          <w:p w14:paraId="3E57E94A" w14:textId="77777777" w:rsidR="00000000" w:rsidRDefault="00A173A8">
            <w:pPr>
              <w:spacing w:after="100"/>
              <w:rPr>
                <w:rFonts w:eastAsia="Times New Roman"/>
                <w:sz w:val="20"/>
                <w:szCs w:val="20"/>
              </w:rPr>
            </w:pPr>
          </w:p>
        </w:tc>
        <w:tc>
          <w:tcPr>
            <w:tcW w:w="0" w:type="auto"/>
            <w:vAlign w:val="center"/>
            <w:hideMark/>
          </w:tcPr>
          <w:p w14:paraId="4D9D9ABE" w14:textId="77777777" w:rsidR="00000000" w:rsidRDefault="00A173A8">
            <w:pPr>
              <w:spacing w:after="100"/>
              <w:rPr>
                <w:rFonts w:eastAsia="Times New Roman"/>
                <w:sz w:val="20"/>
                <w:szCs w:val="20"/>
              </w:rPr>
            </w:pPr>
          </w:p>
        </w:tc>
        <w:tc>
          <w:tcPr>
            <w:tcW w:w="0" w:type="auto"/>
            <w:vAlign w:val="center"/>
            <w:hideMark/>
          </w:tcPr>
          <w:p w14:paraId="32464337" w14:textId="77777777" w:rsidR="00000000" w:rsidRDefault="00A173A8">
            <w:pPr>
              <w:spacing w:after="100"/>
              <w:rPr>
                <w:rFonts w:eastAsia="Times New Roman"/>
                <w:sz w:val="20"/>
                <w:szCs w:val="20"/>
              </w:rPr>
            </w:pPr>
          </w:p>
        </w:tc>
        <w:tc>
          <w:tcPr>
            <w:tcW w:w="0" w:type="auto"/>
            <w:vAlign w:val="center"/>
            <w:hideMark/>
          </w:tcPr>
          <w:p w14:paraId="4C8D66CD" w14:textId="77777777" w:rsidR="00000000" w:rsidRDefault="00A173A8">
            <w:pPr>
              <w:spacing w:after="100"/>
              <w:rPr>
                <w:rFonts w:eastAsia="Times New Roman"/>
                <w:sz w:val="20"/>
                <w:szCs w:val="20"/>
              </w:rPr>
            </w:pPr>
          </w:p>
        </w:tc>
        <w:tc>
          <w:tcPr>
            <w:tcW w:w="0" w:type="auto"/>
            <w:vAlign w:val="center"/>
            <w:hideMark/>
          </w:tcPr>
          <w:p w14:paraId="67ADADCC" w14:textId="77777777" w:rsidR="00000000" w:rsidRDefault="00A173A8">
            <w:pPr>
              <w:spacing w:after="100"/>
              <w:rPr>
                <w:rFonts w:eastAsia="Times New Roman"/>
                <w:sz w:val="20"/>
                <w:szCs w:val="20"/>
              </w:rPr>
            </w:pPr>
          </w:p>
        </w:tc>
      </w:tr>
      <w:tr w:rsidR="00000000" w14:paraId="4D20F52B" w14:textId="77777777">
        <w:trPr>
          <w:gridAfter w:val="32"/>
          <w:divId w:val="634916949"/>
        </w:trPr>
        <w:tc>
          <w:tcPr>
            <w:tcW w:w="0" w:type="auto"/>
            <w:gridSpan w:val="4"/>
            <w:tcMar>
              <w:top w:w="30" w:type="dxa"/>
              <w:left w:w="20" w:type="dxa"/>
              <w:bottom w:w="30" w:type="dxa"/>
              <w:right w:w="20" w:type="dxa"/>
            </w:tcMar>
            <w:vAlign w:val="bottom"/>
            <w:hideMark/>
          </w:tcPr>
          <w:p w14:paraId="21B4F002"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56841A9" w14:textId="77777777" w:rsidR="00000000" w:rsidRDefault="00A173A8">
            <w:pPr>
              <w:spacing w:after="100"/>
              <w:rPr>
                <w:rFonts w:eastAsia="Times New Roman"/>
              </w:rPr>
            </w:pPr>
          </w:p>
        </w:tc>
        <w:tc>
          <w:tcPr>
            <w:tcW w:w="0" w:type="auto"/>
            <w:gridSpan w:val="74"/>
            <w:tcBorders>
              <w:bottom w:val="single" w:sz="8" w:space="0" w:color="000000"/>
            </w:tcBorders>
            <w:tcMar>
              <w:top w:w="30" w:type="dxa"/>
              <w:left w:w="20" w:type="dxa"/>
              <w:bottom w:w="30" w:type="dxa"/>
              <w:right w:w="20" w:type="dxa"/>
            </w:tcMar>
            <w:vAlign w:val="bottom"/>
            <w:hideMark/>
          </w:tcPr>
          <w:p w14:paraId="7BABCE6D"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vAlign w:val="center"/>
            <w:hideMark/>
          </w:tcPr>
          <w:p w14:paraId="091B2A3B" w14:textId="77777777" w:rsidR="00000000" w:rsidRDefault="00A173A8">
            <w:pPr>
              <w:spacing w:after="100"/>
              <w:rPr>
                <w:rFonts w:eastAsia="Times New Roman"/>
                <w:sz w:val="20"/>
                <w:szCs w:val="20"/>
              </w:rPr>
            </w:pPr>
          </w:p>
        </w:tc>
        <w:tc>
          <w:tcPr>
            <w:tcW w:w="0" w:type="auto"/>
            <w:gridSpan w:val="2"/>
            <w:vAlign w:val="center"/>
            <w:hideMark/>
          </w:tcPr>
          <w:p w14:paraId="722FCC02" w14:textId="77777777" w:rsidR="00000000" w:rsidRDefault="00A173A8">
            <w:pPr>
              <w:spacing w:after="100"/>
              <w:rPr>
                <w:rFonts w:eastAsia="Times New Roman"/>
                <w:sz w:val="20"/>
                <w:szCs w:val="20"/>
              </w:rPr>
            </w:pPr>
          </w:p>
        </w:tc>
        <w:tc>
          <w:tcPr>
            <w:tcW w:w="0" w:type="auto"/>
            <w:vAlign w:val="center"/>
            <w:hideMark/>
          </w:tcPr>
          <w:p w14:paraId="2EB259DF" w14:textId="77777777" w:rsidR="00000000" w:rsidRDefault="00A173A8">
            <w:pPr>
              <w:spacing w:after="100"/>
              <w:rPr>
                <w:rFonts w:eastAsia="Times New Roman"/>
                <w:sz w:val="20"/>
                <w:szCs w:val="20"/>
              </w:rPr>
            </w:pPr>
          </w:p>
        </w:tc>
        <w:tc>
          <w:tcPr>
            <w:tcW w:w="0" w:type="auto"/>
            <w:vAlign w:val="center"/>
            <w:hideMark/>
          </w:tcPr>
          <w:p w14:paraId="0B2E7E48" w14:textId="77777777" w:rsidR="00000000" w:rsidRDefault="00A173A8">
            <w:pPr>
              <w:spacing w:after="100"/>
              <w:rPr>
                <w:rFonts w:eastAsia="Times New Roman"/>
                <w:sz w:val="20"/>
                <w:szCs w:val="20"/>
              </w:rPr>
            </w:pPr>
          </w:p>
        </w:tc>
        <w:tc>
          <w:tcPr>
            <w:tcW w:w="0" w:type="auto"/>
            <w:vAlign w:val="center"/>
            <w:hideMark/>
          </w:tcPr>
          <w:p w14:paraId="11AF4176" w14:textId="77777777" w:rsidR="00000000" w:rsidRDefault="00A173A8">
            <w:pPr>
              <w:spacing w:after="100"/>
              <w:rPr>
                <w:rFonts w:eastAsia="Times New Roman"/>
                <w:sz w:val="20"/>
                <w:szCs w:val="20"/>
              </w:rPr>
            </w:pPr>
          </w:p>
        </w:tc>
        <w:tc>
          <w:tcPr>
            <w:tcW w:w="0" w:type="auto"/>
            <w:vAlign w:val="center"/>
            <w:hideMark/>
          </w:tcPr>
          <w:p w14:paraId="0B6F1347" w14:textId="77777777" w:rsidR="00000000" w:rsidRDefault="00A173A8">
            <w:pPr>
              <w:spacing w:after="100"/>
              <w:rPr>
                <w:rFonts w:eastAsia="Times New Roman"/>
                <w:sz w:val="20"/>
                <w:szCs w:val="20"/>
              </w:rPr>
            </w:pPr>
          </w:p>
        </w:tc>
        <w:tc>
          <w:tcPr>
            <w:tcW w:w="0" w:type="auto"/>
            <w:vAlign w:val="center"/>
            <w:hideMark/>
          </w:tcPr>
          <w:p w14:paraId="3F43423E" w14:textId="77777777" w:rsidR="00000000" w:rsidRDefault="00A173A8">
            <w:pPr>
              <w:spacing w:after="100"/>
              <w:rPr>
                <w:rFonts w:eastAsia="Times New Roman"/>
                <w:sz w:val="20"/>
                <w:szCs w:val="20"/>
              </w:rPr>
            </w:pPr>
          </w:p>
        </w:tc>
        <w:tc>
          <w:tcPr>
            <w:tcW w:w="0" w:type="auto"/>
            <w:vAlign w:val="center"/>
            <w:hideMark/>
          </w:tcPr>
          <w:p w14:paraId="125107E3" w14:textId="77777777" w:rsidR="00000000" w:rsidRDefault="00A173A8">
            <w:pPr>
              <w:spacing w:after="100"/>
              <w:rPr>
                <w:rFonts w:eastAsia="Times New Roman"/>
                <w:sz w:val="20"/>
                <w:szCs w:val="20"/>
              </w:rPr>
            </w:pPr>
          </w:p>
        </w:tc>
        <w:tc>
          <w:tcPr>
            <w:tcW w:w="0" w:type="auto"/>
            <w:vAlign w:val="center"/>
            <w:hideMark/>
          </w:tcPr>
          <w:p w14:paraId="49A84E41" w14:textId="77777777" w:rsidR="00000000" w:rsidRDefault="00A173A8">
            <w:pPr>
              <w:spacing w:after="100"/>
              <w:rPr>
                <w:rFonts w:eastAsia="Times New Roman"/>
                <w:sz w:val="20"/>
                <w:szCs w:val="20"/>
              </w:rPr>
            </w:pPr>
          </w:p>
        </w:tc>
        <w:tc>
          <w:tcPr>
            <w:tcW w:w="0" w:type="auto"/>
            <w:vAlign w:val="center"/>
            <w:hideMark/>
          </w:tcPr>
          <w:p w14:paraId="58CEF5B1" w14:textId="77777777" w:rsidR="00000000" w:rsidRDefault="00A173A8">
            <w:pPr>
              <w:spacing w:after="100"/>
              <w:rPr>
                <w:rFonts w:eastAsia="Times New Roman"/>
                <w:sz w:val="20"/>
                <w:szCs w:val="20"/>
              </w:rPr>
            </w:pPr>
          </w:p>
        </w:tc>
        <w:tc>
          <w:tcPr>
            <w:tcW w:w="0" w:type="auto"/>
            <w:vAlign w:val="center"/>
            <w:hideMark/>
          </w:tcPr>
          <w:p w14:paraId="16B47E97" w14:textId="77777777" w:rsidR="00000000" w:rsidRDefault="00A173A8">
            <w:pPr>
              <w:spacing w:after="100"/>
              <w:rPr>
                <w:rFonts w:eastAsia="Times New Roman"/>
                <w:sz w:val="20"/>
                <w:szCs w:val="20"/>
              </w:rPr>
            </w:pPr>
          </w:p>
        </w:tc>
        <w:tc>
          <w:tcPr>
            <w:tcW w:w="0" w:type="auto"/>
            <w:vAlign w:val="center"/>
            <w:hideMark/>
          </w:tcPr>
          <w:p w14:paraId="256920ED" w14:textId="77777777" w:rsidR="00000000" w:rsidRDefault="00A173A8">
            <w:pPr>
              <w:spacing w:after="100"/>
              <w:rPr>
                <w:rFonts w:eastAsia="Times New Roman"/>
                <w:sz w:val="20"/>
                <w:szCs w:val="20"/>
              </w:rPr>
            </w:pPr>
          </w:p>
        </w:tc>
      </w:tr>
      <w:tr w:rsidR="00000000" w14:paraId="6A01FBBB" w14:textId="77777777">
        <w:trPr>
          <w:gridAfter w:val="32"/>
          <w:divId w:val="634916949"/>
        </w:trPr>
        <w:tc>
          <w:tcPr>
            <w:tcW w:w="0" w:type="auto"/>
            <w:gridSpan w:val="4"/>
            <w:tcMar>
              <w:top w:w="30" w:type="dxa"/>
              <w:left w:w="20" w:type="dxa"/>
              <w:bottom w:w="30" w:type="dxa"/>
              <w:right w:w="20" w:type="dxa"/>
            </w:tcMar>
            <w:vAlign w:val="bottom"/>
            <w:hideMark/>
          </w:tcPr>
          <w:p w14:paraId="046A60FF"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017B91C" w14:textId="77777777" w:rsidR="00000000" w:rsidRDefault="00A173A8">
            <w:pPr>
              <w:spacing w:after="100"/>
              <w:rPr>
                <w:rFonts w:eastAsia="Times New Roman"/>
              </w:rPr>
            </w:pPr>
          </w:p>
        </w:tc>
        <w:tc>
          <w:tcPr>
            <w:tcW w:w="0" w:type="auto"/>
            <w:gridSpan w:val="34"/>
            <w:tcBorders>
              <w:top w:val="single" w:sz="8" w:space="0" w:color="000000"/>
              <w:bottom w:val="single" w:sz="8" w:space="0" w:color="000000"/>
            </w:tcBorders>
            <w:tcMar>
              <w:top w:w="30" w:type="dxa"/>
              <w:left w:w="20" w:type="dxa"/>
              <w:bottom w:w="30" w:type="dxa"/>
              <w:right w:w="20" w:type="dxa"/>
            </w:tcMar>
            <w:vAlign w:val="bottom"/>
            <w:hideMark/>
          </w:tcPr>
          <w:p w14:paraId="29250991"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4"/>
            <w:tcBorders>
              <w:top w:val="single" w:sz="8" w:space="0" w:color="000000"/>
            </w:tcBorders>
            <w:tcMar>
              <w:top w:w="0" w:type="dxa"/>
              <w:left w:w="20" w:type="dxa"/>
              <w:bottom w:w="0" w:type="dxa"/>
              <w:right w:w="20" w:type="dxa"/>
            </w:tcMar>
            <w:vAlign w:val="center"/>
            <w:hideMark/>
          </w:tcPr>
          <w:p w14:paraId="0CECC178" w14:textId="77777777" w:rsidR="00000000" w:rsidRDefault="00A173A8">
            <w:pPr>
              <w:spacing w:after="100"/>
              <w:jc w:val="center"/>
              <w:rPr>
                <w:rFonts w:eastAsia="Times New Roman"/>
              </w:rPr>
            </w:pPr>
          </w:p>
        </w:tc>
        <w:tc>
          <w:tcPr>
            <w:tcW w:w="0" w:type="auto"/>
            <w:gridSpan w:val="36"/>
            <w:tcBorders>
              <w:top w:val="single" w:sz="8" w:space="0" w:color="000000"/>
              <w:bottom w:val="single" w:sz="8" w:space="0" w:color="000000"/>
            </w:tcBorders>
            <w:tcMar>
              <w:top w:w="30" w:type="dxa"/>
              <w:left w:w="20" w:type="dxa"/>
              <w:bottom w:w="30" w:type="dxa"/>
              <w:right w:w="20" w:type="dxa"/>
            </w:tcMar>
            <w:vAlign w:val="bottom"/>
            <w:hideMark/>
          </w:tcPr>
          <w:p w14:paraId="71C6C5C6"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4"/>
            <w:vAlign w:val="center"/>
            <w:hideMark/>
          </w:tcPr>
          <w:p w14:paraId="719E2B12" w14:textId="77777777" w:rsidR="00000000" w:rsidRDefault="00A173A8">
            <w:pPr>
              <w:spacing w:after="100"/>
              <w:jc w:val="center"/>
              <w:rPr>
                <w:rFonts w:eastAsia="Times New Roman"/>
              </w:rPr>
            </w:pPr>
          </w:p>
        </w:tc>
        <w:tc>
          <w:tcPr>
            <w:tcW w:w="0" w:type="auto"/>
            <w:gridSpan w:val="3"/>
            <w:vAlign w:val="center"/>
            <w:hideMark/>
          </w:tcPr>
          <w:p w14:paraId="5BE75257" w14:textId="77777777" w:rsidR="00000000" w:rsidRDefault="00A173A8">
            <w:pPr>
              <w:spacing w:after="100"/>
              <w:rPr>
                <w:rFonts w:eastAsia="Times New Roman"/>
                <w:sz w:val="20"/>
                <w:szCs w:val="20"/>
              </w:rPr>
            </w:pPr>
          </w:p>
        </w:tc>
        <w:tc>
          <w:tcPr>
            <w:tcW w:w="0" w:type="auto"/>
            <w:vAlign w:val="center"/>
            <w:hideMark/>
          </w:tcPr>
          <w:p w14:paraId="544EB6BC" w14:textId="77777777" w:rsidR="00000000" w:rsidRDefault="00A173A8">
            <w:pPr>
              <w:spacing w:after="100"/>
              <w:rPr>
                <w:rFonts w:eastAsia="Times New Roman"/>
                <w:sz w:val="20"/>
                <w:szCs w:val="20"/>
              </w:rPr>
            </w:pPr>
          </w:p>
        </w:tc>
        <w:tc>
          <w:tcPr>
            <w:tcW w:w="0" w:type="auto"/>
            <w:vAlign w:val="center"/>
            <w:hideMark/>
          </w:tcPr>
          <w:p w14:paraId="6AC5300C" w14:textId="77777777" w:rsidR="00000000" w:rsidRDefault="00A173A8">
            <w:pPr>
              <w:spacing w:after="100"/>
              <w:rPr>
                <w:rFonts w:eastAsia="Times New Roman"/>
                <w:sz w:val="20"/>
                <w:szCs w:val="20"/>
              </w:rPr>
            </w:pPr>
          </w:p>
        </w:tc>
        <w:tc>
          <w:tcPr>
            <w:tcW w:w="0" w:type="auto"/>
            <w:vAlign w:val="center"/>
            <w:hideMark/>
          </w:tcPr>
          <w:p w14:paraId="29D12FD3" w14:textId="77777777" w:rsidR="00000000" w:rsidRDefault="00A173A8">
            <w:pPr>
              <w:spacing w:after="100"/>
              <w:rPr>
                <w:rFonts w:eastAsia="Times New Roman"/>
                <w:sz w:val="20"/>
                <w:szCs w:val="20"/>
              </w:rPr>
            </w:pPr>
          </w:p>
        </w:tc>
        <w:tc>
          <w:tcPr>
            <w:tcW w:w="0" w:type="auto"/>
            <w:vAlign w:val="center"/>
            <w:hideMark/>
          </w:tcPr>
          <w:p w14:paraId="5924880B" w14:textId="77777777" w:rsidR="00000000" w:rsidRDefault="00A173A8">
            <w:pPr>
              <w:spacing w:after="100"/>
              <w:rPr>
                <w:rFonts w:eastAsia="Times New Roman"/>
                <w:sz w:val="20"/>
                <w:szCs w:val="20"/>
              </w:rPr>
            </w:pPr>
          </w:p>
        </w:tc>
        <w:tc>
          <w:tcPr>
            <w:tcW w:w="0" w:type="auto"/>
            <w:vAlign w:val="center"/>
            <w:hideMark/>
          </w:tcPr>
          <w:p w14:paraId="6983F864" w14:textId="77777777" w:rsidR="00000000" w:rsidRDefault="00A173A8">
            <w:pPr>
              <w:spacing w:after="100"/>
              <w:rPr>
                <w:rFonts w:eastAsia="Times New Roman"/>
                <w:sz w:val="20"/>
                <w:szCs w:val="20"/>
              </w:rPr>
            </w:pPr>
          </w:p>
        </w:tc>
        <w:tc>
          <w:tcPr>
            <w:tcW w:w="0" w:type="auto"/>
            <w:vAlign w:val="center"/>
            <w:hideMark/>
          </w:tcPr>
          <w:p w14:paraId="06DD11D6" w14:textId="77777777" w:rsidR="00000000" w:rsidRDefault="00A173A8">
            <w:pPr>
              <w:spacing w:after="100"/>
              <w:rPr>
                <w:rFonts w:eastAsia="Times New Roman"/>
                <w:sz w:val="20"/>
                <w:szCs w:val="20"/>
              </w:rPr>
            </w:pPr>
          </w:p>
        </w:tc>
      </w:tr>
      <w:tr w:rsidR="00000000" w14:paraId="42FDDBE4" w14:textId="77777777">
        <w:trPr>
          <w:gridAfter w:val="32"/>
          <w:divId w:val="634916949"/>
        </w:trPr>
        <w:tc>
          <w:tcPr>
            <w:tcW w:w="0" w:type="auto"/>
            <w:gridSpan w:val="4"/>
            <w:tcMar>
              <w:top w:w="30" w:type="dxa"/>
              <w:left w:w="20" w:type="dxa"/>
              <w:bottom w:w="30" w:type="dxa"/>
              <w:right w:w="20" w:type="dxa"/>
            </w:tcMar>
            <w:vAlign w:val="bottom"/>
            <w:hideMark/>
          </w:tcPr>
          <w:p w14:paraId="69232F97"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5E59AF6" w14:textId="77777777" w:rsidR="00000000" w:rsidRDefault="00A173A8">
            <w:pPr>
              <w:spacing w:after="100"/>
              <w:rPr>
                <w:rFonts w:eastAsia="Times New Roman"/>
              </w:rPr>
            </w:pPr>
          </w:p>
        </w:tc>
        <w:tc>
          <w:tcPr>
            <w:tcW w:w="0" w:type="auto"/>
            <w:gridSpan w:val="15"/>
            <w:tcBorders>
              <w:top w:val="single" w:sz="8" w:space="0" w:color="000000"/>
              <w:bottom w:val="single" w:sz="8" w:space="0" w:color="000000"/>
            </w:tcBorders>
            <w:tcMar>
              <w:top w:w="30" w:type="dxa"/>
              <w:left w:w="20" w:type="dxa"/>
              <w:bottom w:w="30" w:type="dxa"/>
              <w:right w:w="20" w:type="dxa"/>
            </w:tcMar>
            <w:vAlign w:val="bottom"/>
            <w:hideMark/>
          </w:tcPr>
          <w:p w14:paraId="54768072" w14:textId="77777777" w:rsidR="00000000" w:rsidRDefault="00A173A8">
            <w:pPr>
              <w:spacing w:after="100"/>
              <w:jc w:val="center"/>
              <w:rPr>
                <w:rFonts w:eastAsia="Times New Roman"/>
              </w:rPr>
            </w:pPr>
            <w:r>
              <w:rPr>
                <w:rFonts w:eastAsia="Times New Roman"/>
                <w:b/>
                <w:bCs/>
                <w:color w:val="000000"/>
                <w:sz w:val="20"/>
                <w:szCs w:val="20"/>
              </w:rPr>
              <w:t>Total Net</w:t>
            </w:r>
            <w:r>
              <w:rPr>
                <w:rFonts w:eastAsia="Times New Roman"/>
                <w:b/>
                <w:bCs/>
                <w:color w:val="000000"/>
                <w:sz w:val="20"/>
                <w:szCs w:val="20"/>
              </w:rPr>
              <w:br/>
              <w:t>Revenue (Loss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tcBorders>
              <w:top w:val="single" w:sz="8" w:space="0" w:color="000000"/>
            </w:tcBorders>
            <w:tcMar>
              <w:top w:w="0" w:type="dxa"/>
              <w:left w:w="20" w:type="dxa"/>
              <w:bottom w:w="0" w:type="dxa"/>
              <w:right w:w="20" w:type="dxa"/>
            </w:tcMar>
            <w:vAlign w:val="center"/>
            <w:hideMark/>
          </w:tcPr>
          <w:p w14:paraId="612A6E47" w14:textId="77777777" w:rsidR="00000000" w:rsidRDefault="00A173A8">
            <w:pPr>
              <w:spacing w:after="100"/>
              <w:jc w:val="center"/>
              <w:rPr>
                <w:rFonts w:eastAsia="Times New Roman"/>
              </w:rPr>
            </w:pPr>
          </w:p>
        </w:tc>
        <w:tc>
          <w:tcPr>
            <w:tcW w:w="0" w:type="auto"/>
            <w:gridSpan w:val="16"/>
            <w:tcBorders>
              <w:top w:val="single" w:sz="8" w:space="0" w:color="000000"/>
              <w:bottom w:val="single" w:sz="8" w:space="0" w:color="000000"/>
            </w:tcBorders>
            <w:tcMar>
              <w:top w:w="30" w:type="dxa"/>
              <w:left w:w="20" w:type="dxa"/>
              <w:bottom w:w="30" w:type="dxa"/>
              <w:right w:w="20" w:type="dxa"/>
            </w:tcMar>
            <w:vAlign w:val="bottom"/>
            <w:hideMark/>
          </w:tcPr>
          <w:p w14:paraId="33D583F8" w14:textId="77777777" w:rsidR="00000000" w:rsidRDefault="00A173A8">
            <w:pPr>
              <w:spacing w:after="100"/>
              <w:jc w:val="center"/>
              <w:rPr>
                <w:rFonts w:eastAsia="Times New Roman"/>
              </w:rPr>
            </w:pPr>
            <w:r>
              <w:rPr>
                <w:rFonts w:eastAsia="Times New Roman"/>
                <w:b/>
                <w:bCs/>
                <w:color w:val="000000"/>
                <w:sz w:val="20"/>
                <w:szCs w:val="20"/>
              </w:rPr>
              <w:t>Net Income</w:t>
            </w:r>
          </w:p>
          <w:p w14:paraId="21348355" w14:textId="77777777" w:rsidR="00000000" w:rsidRDefault="00A173A8">
            <w:pPr>
              <w:spacing w:after="100"/>
              <w:jc w:val="center"/>
              <w:rPr>
                <w:rFonts w:eastAsia="Times New Roman"/>
              </w:rPr>
            </w:pPr>
            <w:r>
              <w:rPr>
                <w:rFonts w:eastAsia="Times New Roman"/>
                <w:b/>
                <w:bCs/>
                <w:color w:val="000000"/>
                <w:sz w:val="20"/>
                <w:szCs w:val="20"/>
              </w:rPr>
              <w:t>(Loss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4"/>
            <w:tcMar>
              <w:top w:w="0" w:type="dxa"/>
              <w:left w:w="20" w:type="dxa"/>
              <w:bottom w:w="0" w:type="dxa"/>
              <w:right w:w="20" w:type="dxa"/>
            </w:tcMar>
            <w:vAlign w:val="center"/>
            <w:hideMark/>
          </w:tcPr>
          <w:p w14:paraId="769F1D3B" w14:textId="77777777" w:rsidR="00000000" w:rsidRDefault="00A173A8">
            <w:pPr>
              <w:spacing w:after="100"/>
              <w:jc w:val="center"/>
              <w:rPr>
                <w:rFonts w:eastAsia="Times New Roman"/>
              </w:rPr>
            </w:pPr>
          </w:p>
        </w:tc>
        <w:tc>
          <w:tcPr>
            <w:tcW w:w="0" w:type="auto"/>
            <w:gridSpan w:val="16"/>
            <w:tcBorders>
              <w:top w:val="single" w:sz="8" w:space="0" w:color="000000"/>
              <w:bottom w:val="single" w:sz="8" w:space="0" w:color="000000"/>
            </w:tcBorders>
            <w:tcMar>
              <w:top w:w="30" w:type="dxa"/>
              <w:left w:w="20" w:type="dxa"/>
              <w:bottom w:w="30" w:type="dxa"/>
              <w:right w:w="20" w:type="dxa"/>
            </w:tcMar>
            <w:vAlign w:val="bottom"/>
            <w:hideMark/>
          </w:tcPr>
          <w:p w14:paraId="513159F7" w14:textId="77777777" w:rsidR="00000000" w:rsidRDefault="00A173A8">
            <w:pPr>
              <w:spacing w:after="100"/>
              <w:jc w:val="center"/>
              <w:rPr>
                <w:rFonts w:eastAsia="Times New Roman"/>
              </w:rPr>
            </w:pPr>
            <w:r>
              <w:rPr>
                <w:rFonts w:eastAsia="Times New Roman"/>
                <w:b/>
                <w:bCs/>
                <w:color w:val="000000"/>
                <w:sz w:val="20"/>
                <w:szCs w:val="20"/>
              </w:rPr>
              <w:t>Total Net</w:t>
            </w:r>
            <w:r>
              <w:rPr>
                <w:rFonts w:eastAsia="Times New Roman"/>
                <w:b/>
                <w:bCs/>
                <w:color w:val="000000"/>
                <w:sz w:val="20"/>
                <w:szCs w:val="20"/>
              </w:rPr>
              <w:br/>
            </w:r>
            <w:r>
              <w:rPr>
                <w:rFonts w:eastAsia="Times New Roman"/>
                <w:b/>
                <w:bCs/>
                <w:color w:val="000000"/>
                <w:sz w:val="20"/>
                <w:szCs w:val="20"/>
              </w:rPr>
              <w:t>Revenue (Loss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4"/>
            <w:tcBorders>
              <w:top w:val="single" w:sz="8" w:space="0" w:color="000000"/>
            </w:tcBorders>
            <w:tcMar>
              <w:top w:w="0" w:type="dxa"/>
              <w:left w:w="20" w:type="dxa"/>
              <w:bottom w:w="0" w:type="dxa"/>
              <w:right w:w="20" w:type="dxa"/>
            </w:tcMar>
            <w:vAlign w:val="center"/>
            <w:hideMark/>
          </w:tcPr>
          <w:p w14:paraId="6D554A8B" w14:textId="77777777" w:rsidR="00000000" w:rsidRDefault="00A173A8">
            <w:pPr>
              <w:spacing w:after="100"/>
              <w:jc w:val="center"/>
              <w:rPr>
                <w:rFonts w:eastAsia="Times New Roman"/>
              </w:rPr>
            </w:pPr>
          </w:p>
        </w:tc>
        <w:tc>
          <w:tcPr>
            <w:tcW w:w="0" w:type="auto"/>
            <w:gridSpan w:val="16"/>
            <w:tcBorders>
              <w:top w:val="single" w:sz="8" w:space="0" w:color="000000"/>
              <w:bottom w:val="single" w:sz="8" w:space="0" w:color="000000"/>
            </w:tcBorders>
            <w:tcMar>
              <w:top w:w="30" w:type="dxa"/>
              <w:left w:w="20" w:type="dxa"/>
              <w:bottom w:w="30" w:type="dxa"/>
              <w:right w:w="20" w:type="dxa"/>
            </w:tcMar>
            <w:vAlign w:val="bottom"/>
            <w:hideMark/>
          </w:tcPr>
          <w:p w14:paraId="7C19B353" w14:textId="77777777" w:rsidR="00000000" w:rsidRDefault="00A173A8">
            <w:pPr>
              <w:spacing w:after="100"/>
              <w:jc w:val="center"/>
              <w:rPr>
                <w:rFonts w:eastAsia="Times New Roman"/>
              </w:rPr>
            </w:pPr>
            <w:r>
              <w:rPr>
                <w:rFonts w:eastAsia="Times New Roman"/>
                <w:b/>
                <w:bCs/>
                <w:color w:val="000000"/>
                <w:sz w:val="20"/>
                <w:szCs w:val="20"/>
              </w:rPr>
              <w:t>Net Income</w:t>
            </w:r>
          </w:p>
          <w:p w14:paraId="010168AC" w14:textId="77777777" w:rsidR="00000000" w:rsidRDefault="00A173A8">
            <w:pPr>
              <w:spacing w:after="100"/>
              <w:jc w:val="center"/>
              <w:rPr>
                <w:rFonts w:eastAsia="Times New Roman"/>
              </w:rPr>
            </w:pPr>
            <w:r>
              <w:rPr>
                <w:rFonts w:eastAsia="Times New Roman"/>
                <w:b/>
                <w:bCs/>
                <w:color w:val="000000"/>
                <w:sz w:val="20"/>
                <w:szCs w:val="20"/>
              </w:rPr>
              <w:t>(Loss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4"/>
            <w:vAlign w:val="center"/>
            <w:hideMark/>
          </w:tcPr>
          <w:p w14:paraId="2E194928" w14:textId="77777777" w:rsidR="00000000" w:rsidRDefault="00A173A8">
            <w:pPr>
              <w:spacing w:after="100"/>
              <w:jc w:val="center"/>
              <w:rPr>
                <w:rFonts w:eastAsia="Times New Roman"/>
              </w:rPr>
            </w:pPr>
          </w:p>
        </w:tc>
        <w:tc>
          <w:tcPr>
            <w:tcW w:w="0" w:type="auto"/>
            <w:gridSpan w:val="3"/>
            <w:vAlign w:val="center"/>
            <w:hideMark/>
          </w:tcPr>
          <w:p w14:paraId="1B183FA1" w14:textId="77777777" w:rsidR="00000000" w:rsidRDefault="00A173A8">
            <w:pPr>
              <w:spacing w:after="100"/>
              <w:rPr>
                <w:rFonts w:eastAsia="Times New Roman"/>
                <w:sz w:val="20"/>
                <w:szCs w:val="20"/>
              </w:rPr>
            </w:pPr>
          </w:p>
        </w:tc>
        <w:tc>
          <w:tcPr>
            <w:tcW w:w="0" w:type="auto"/>
            <w:gridSpan w:val="3"/>
            <w:vAlign w:val="center"/>
            <w:hideMark/>
          </w:tcPr>
          <w:p w14:paraId="0C4DB608" w14:textId="77777777" w:rsidR="00000000" w:rsidRDefault="00A173A8">
            <w:pPr>
              <w:spacing w:after="100"/>
              <w:rPr>
                <w:rFonts w:eastAsia="Times New Roman"/>
                <w:sz w:val="20"/>
                <w:szCs w:val="20"/>
              </w:rPr>
            </w:pPr>
          </w:p>
        </w:tc>
        <w:tc>
          <w:tcPr>
            <w:tcW w:w="0" w:type="auto"/>
            <w:gridSpan w:val="2"/>
            <w:vAlign w:val="center"/>
            <w:hideMark/>
          </w:tcPr>
          <w:p w14:paraId="1C4D0505" w14:textId="77777777" w:rsidR="00000000" w:rsidRDefault="00A173A8">
            <w:pPr>
              <w:spacing w:after="100"/>
              <w:rPr>
                <w:rFonts w:eastAsia="Times New Roman"/>
                <w:sz w:val="20"/>
                <w:szCs w:val="20"/>
              </w:rPr>
            </w:pPr>
          </w:p>
        </w:tc>
        <w:tc>
          <w:tcPr>
            <w:tcW w:w="0" w:type="auto"/>
            <w:vAlign w:val="center"/>
            <w:hideMark/>
          </w:tcPr>
          <w:p w14:paraId="51C6642C" w14:textId="77777777" w:rsidR="00000000" w:rsidRDefault="00A173A8">
            <w:pPr>
              <w:spacing w:after="100"/>
              <w:rPr>
                <w:rFonts w:eastAsia="Times New Roman"/>
                <w:sz w:val="20"/>
                <w:szCs w:val="20"/>
              </w:rPr>
            </w:pPr>
          </w:p>
        </w:tc>
      </w:tr>
      <w:tr w:rsidR="00000000" w14:paraId="658A339D" w14:textId="77777777">
        <w:trPr>
          <w:gridAfter w:val="32"/>
          <w:divId w:val="634916949"/>
        </w:trPr>
        <w:tc>
          <w:tcPr>
            <w:tcW w:w="0" w:type="auto"/>
            <w:gridSpan w:val="4"/>
            <w:tcMar>
              <w:top w:w="30" w:type="dxa"/>
              <w:left w:w="20" w:type="dxa"/>
              <w:bottom w:w="30" w:type="dxa"/>
              <w:right w:w="20" w:type="dxa"/>
            </w:tcMar>
            <w:vAlign w:val="bottom"/>
            <w:hideMark/>
          </w:tcPr>
          <w:p w14:paraId="1FE98B34"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5D8E0768" w14:textId="77777777" w:rsidR="00000000" w:rsidRDefault="00A173A8">
            <w:pPr>
              <w:spacing w:after="100"/>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2CBEFF7E"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4"/>
            <w:tcBorders>
              <w:top w:val="single" w:sz="8" w:space="0" w:color="000000"/>
            </w:tcBorders>
            <w:tcMar>
              <w:top w:w="0" w:type="dxa"/>
              <w:left w:w="20" w:type="dxa"/>
              <w:bottom w:w="0" w:type="dxa"/>
              <w:right w:w="20" w:type="dxa"/>
            </w:tcMar>
            <w:vAlign w:val="center"/>
            <w:hideMark/>
          </w:tcPr>
          <w:p w14:paraId="365C4F07" w14:textId="77777777" w:rsidR="00000000" w:rsidRDefault="00A173A8">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0E50999C" w14:textId="77777777" w:rsidR="00000000" w:rsidRDefault="00A173A8">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tcMar>
              <w:top w:w="0" w:type="dxa"/>
              <w:left w:w="20" w:type="dxa"/>
              <w:bottom w:w="0" w:type="dxa"/>
              <w:right w:w="20" w:type="dxa"/>
            </w:tcMar>
            <w:vAlign w:val="center"/>
            <w:hideMark/>
          </w:tcPr>
          <w:p w14:paraId="4521B5E3" w14:textId="77777777" w:rsidR="00000000" w:rsidRDefault="00A173A8">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14:paraId="394B927E"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4"/>
            <w:tcBorders>
              <w:top w:val="single" w:sz="8" w:space="0" w:color="000000"/>
            </w:tcBorders>
            <w:tcMar>
              <w:top w:w="0" w:type="dxa"/>
              <w:left w:w="20" w:type="dxa"/>
              <w:bottom w:w="0" w:type="dxa"/>
              <w:right w:w="20" w:type="dxa"/>
            </w:tcMar>
            <w:vAlign w:val="center"/>
            <w:hideMark/>
          </w:tcPr>
          <w:p w14:paraId="233FBB20" w14:textId="77777777" w:rsidR="00000000" w:rsidRDefault="00A173A8">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14:paraId="5EFA7BD0" w14:textId="77777777" w:rsidR="00000000" w:rsidRDefault="00A173A8">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4"/>
            <w:tcMar>
              <w:top w:w="0" w:type="dxa"/>
              <w:left w:w="20" w:type="dxa"/>
              <w:bottom w:w="0" w:type="dxa"/>
              <w:right w:w="20" w:type="dxa"/>
            </w:tcMar>
            <w:vAlign w:val="center"/>
            <w:hideMark/>
          </w:tcPr>
          <w:p w14:paraId="4A6CB573" w14:textId="77777777" w:rsidR="00000000" w:rsidRDefault="00A173A8">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14:paraId="4779E347"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2A110737" w14:textId="77777777" w:rsidR="00000000" w:rsidRDefault="00A173A8">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6A4E9C73" w14:textId="77777777" w:rsidR="00000000" w:rsidRDefault="00A173A8">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4"/>
            <w:tcMar>
              <w:top w:w="0" w:type="dxa"/>
              <w:left w:w="20" w:type="dxa"/>
              <w:bottom w:w="0" w:type="dxa"/>
              <w:right w:w="20" w:type="dxa"/>
            </w:tcMar>
            <w:vAlign w:val="center"/>
            <w:hideMark/>
          </w:tcPr>
          <w:p w14:paraId="64D4CEF4" w14:textId="77777777" w:rsidR="00000000" w:rsidRDefault="00A173A8">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5314450D"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4"/>
            <w:tcBorders>
              <w:top w:val="single" w:sz="8" w:space="0" w:color="000000"/>
            </w:tcBorders>
            <w:tcMar>
              <w:top w:w="0" w:type="dxa"/>
              <w:left w:w="20" w:type="dxa"/>
              <w:bottom w:w="0" w:type="dxa"/>
              <w:right w:w="20" w:type="dxa"/>
            </w:tcMar>
            <w:vAlign w:val="center"/>
            <w:hideMark/>
          </w:tcPr>
          <w:p w14:paraId="4BA9D877" w14:textId="77777777" w:rsidR="00000000" w:rsidRDefault="00A173A8">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14:paraId="4DE237C7" w14:textId="77777777" w:rsidR="00000000" w:rsidRDefault="00A173A8">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4"/>
            <w:vAlign w:val="center"/>
            <w:hideMark/>
          </w:tcPr>
          <w:p w14:paraId="7A82B25E" w14:textId="77777777" w:rsidR="00000000" w:rsidRDefault="00A173A8">
            <w:pPr>
              <w:spacing w:after="100"/>
              <w:jc w:val="center"/>
              <w:rPr>
                <w:rFonts w:eastAsia="Times New Roman"/>
              </w:rPr>
            </w:pPr>
          </w:p>
        </w:tc>
        <w:tc>
          <w:tcPr>
            <w:tcW w:w="0" w:type="auto"/>
            <w:gridSpan w:val="3"/>
            <w:vAlign w:val="center"/>
            <w:hideMark/>
          </w:tcPr>
          <w:p w14:paraId="0301C1A1" w14:textId="77777777" w:rsidR="00000000" w:rsidRDefault="00A173A8">
            <w:pPr>
              <w:spacing w:after="100"/>
              <w:rPr>
                <w:rFonts w:eastAsia="Times New Roman"/>
                <w:sz w:val="20"/>
                <w:szCs w:val="20"/>
              </w:rPr>
            </w:pPr>
          </w:p>
        </w:tc>
        <w:tc>
          <w:tcPr>
            <w:tcW w:w="0" w:type="auto"/>
            <w:gridSpan w:val="3"/>
            <w:vAlign w:val="center"/>
            <w:hideMark/>
          </w:tcPr>
          <w:p w14:paraId="756DEC2A" w14:textId="77777777" w:rsidR="00000000" w:rsidRDefault="00A173A8">
            <w:pPr>
              <w:spacing w:after="100"/>
              <w:rPr>
                <w:rFonts w:eastAsia="Times New Roman"/>
                <w:sz w:val="20"/>
                <w:szCs w:val="20"/>
              </w:rPr>
            </w:pPr>
          </w:p>
        </w:tc>
        <w:tc>
          <w:tcPr>
            <w:tcW w:w="0" w:type="auto"/>
            <w:gridSpan w:val="2"/>
            <w:vAlign w:val="center"/>
            <w:hideMark/>
          </w:tcPr>
          <w:p w14:paraId="150A0DAF" w14:textId="77777777" w:rsidR="00000000" w:rsidRDefault="00A173A8">
            <w:pPr>
              <w:spacing w:after="100"/>
              <w:rPr>
                <w:rFonts w:eastAsia="Times New Roman"/>
                <w:sz w:val="20"/>
                <w:szCs w:val="20"/>
              </w:rPr>
            </w:pPr>
          </w:p>
        </w:tc>
        <w:tc>
          <w:tcPr>
            <w:tcW w:w="0" w:type="auto"/>
            <w:vAlign w:val="center"/>
            <w:hideMark/>
          </w:tcPr>
          <w:p w14:paraId="3DBBB7E2" w14:textId="77777777" w:rsidR="00000000" w:rsidRDefault="00A173A8">
            <w:pPr>
              <w:spacing w:after="100"/>
              <w:rPr>
                <w:rFonts w:eastAsia="Times New Roman"/>
                <w:sz w:val="20"/>
                <w:szCs w:val="20"/>
              </w:rPr>
            </w:pPr>
          </w:p>
        </w:tc>
      </w:tr>
      <w:tr w:rsidR="00A173A8" w14:paraId="2A2680F1" w14:textId="77777777">
        <w:trPr>
          <w:gridAfter w:val="32"/>
          <w:divId w:val="634916949"/>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01EAF810" w14:textId="77777777" w:rsidR="00000000" w:rsidRDefault="00A173A8">
            <w:pPr>
              <w:spacing w:after="100"/>
              <w:rPr>
                <w:rFonts w:eastAsia="Times New Roman"/>
              </w:rPr>
            </w:pPr>
            <w:r>
              <w:rPr>
                <w:rFonts w:eastAsia="Times New Roman"/>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2E3B321D"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FFE5423"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4"/>
            <w:tcBorders>
              <w:top w:val="single" w:sz="8" w:space="0" w:color="000000"/>
            </w:tcBorders>
            <w:shd w:val="clear" w:color="auto" w:fill="CCEEFF"/>
            <w:tcMar>
              <w:top w:w="30" w:type="dxa"/>
              <w:left w:w="0" w:type="dxa"/>
              <w:bottom w:w="30" w:type="dxa"/>
              <w:right w:w="0" w:type="dxa"/>
            </w:tcMar>
            <w:vAlign w:val="center"/>
            <w:hideMark/>
          </w:tcPr>
          <w:p w14:paraId="4AEE85C6" w14:textId="77777777" w:rsidR="00000000" w:rsidRDefault="00A173A8">
            <w:pPr>
              <w:spacing w:after="100"/>
              <w:jc w:val="right"/>
              <w:rPr>
                <w:rFonts w:eastAsia="Times New Roman"/>
              </w:rPr>
            </w:pPr>
            <w:r>
              <w:rPr>
                <w:rFonts w:eastAsia="Times New Roman"/>
                <w:b/>
                <w:bCs/>
                <w:color w:val="000000"/>
                <w:sz w:val="20"/>
                <w:szCs w:val="20"/>
              </w:rPr>
              <w:t>5,309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8EEC93"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5168F9A"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7D8FFCBB" w14:textId="77777777" w:rsidR="00000000" w:rsidRDefault="00A173A8">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DF8075"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44FB8FB"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1786308"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6"/>
            <w:tcBorders>
              <w:top w:val="single" w:sz="8" w:space="0" w:color="000000"/>
            </w:tcBorders>
            <w:shd w:val="clear" w:color="auto" w:fill="CCEEFF"/>
            <w:tcMar>
              <w:top w:w="30" w:type="dxa"/>
              <w:left w:w="0" w:type="dxa"/>
              <w:bottom w:w="30" w:type="dxa"/>
              <w:right w:w="0" w:type="dxa"/>
            </w:tcMar>
            <w:vAlign w:val="center"/>
            <w:hideMark/>
          </w:tcPr>
          <w:p w14:paraId="727BE878" w14:textId="77777777" w:rsidR="00000000" w:rsidRDefault="00A173A8">
            <w:pPr>
              <w:spacing w:after="100"/>
              <w:jc w:val="right"/>
              <w:rPr>
                <w:rFonts w:eastAsia="Times New Roman"/>
              </w:rPr>
            </w:pPr>
            <w:r>
              <w:rPr>
                <w:rFonts w:eastAsia="Times New Roman"/>
                <w:b/>
                <w:bCs/>
                <w:color w:val="000000"/>
                <w:sz w:val="20"/>
                <w:szCs w:val="20"/>
              </w:rPr>
              <w:t>1,491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923723"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259F0C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773C44" w14:textId="77777777" w:rsidR="00000000" w:rsidRDefault="00A173A8">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14:paraId="2C4FD01A"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4"/>
            <w:shd w:val="clear" w:color="auto" w:fill="CCEEFF"/>
            <w:tcMar>
              <w:top w:w="0" w:type="dxa"/>
              <w:left w:w="20" w:type="dxa"/>
              <w:bottom w:w="0" w:type="dxa"/>
              <w:right w:w="20" w:type="dxa"/>
            </w:tcMar>
            <w:vAlign w:val="center"/>
            <w:hideMark/>
          </w:tcPr>
          <w:p w14:paraId="0CEF464C" w14:textId="77777777" w:rsidR="00000000" w:rsidRDefault="00A173A8">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6884B6" w14:textId="77777777" w:rsidR="00000000" w:rsidRDefault="00A173A8">
            <w:pPr>
              <w:spacing w:after="100"/>
              <w:rPr>
                <w:rFonts w:eastAsia="Times New Roman"/>
              </w:rPr>
            </w:pPr>
            <w:r>
              <w:rPr>
                <w:rFonts w:eastAsia="Times New Roman"/>
                <w:color w:val="000000"/>
                <w:sz w:val="20"/>
                <w:szCs w:val="20"/>
              </w:rPr>
              <w:t>$</w:t>
            </w:r>
          </w:p>
        </w:tc>
        <w:tc>
          <w:tcPr>
            <w:tcW w:w="0" w:type="auto"/>
            <w:gridSpan w:val="4"/>
            <w:tcBorders>
              <w:top w:val="single" w:sz="8" w:space="0" w:color="000000"/>
            </w:tcBorders>
            <w:shd w:val="clear" w:color="auto" w:fill="CCEEFF"/>
            <w:tcMar>
              <w:top w:w="30" w:type="dxa"/>
              <w:left w:w="0" w:type="dxa"/>
              <w:bottom w:w="30" w:type="dxa"/>
              <w:right w:w="0" w:type="dxa"/>
            </w:tcMar>
            <w:vAlign w:val="center"/>
            <w:hideMark/>
          </w:tcPr>
          <w:p w14:paraId="0EB80F50" w14:textId="77777777" w:rsidR="00000000" w:rsidRDefault="00A173A8">
            <w:pPr>
              <w:spacing w:after="100"/>
              <w:jc w:val="right"/>
              <w:rPr>
                <w:rFonts w:eastAsia="Times New Roman"/>
              </w:rPr>
            </w:pPr>
            <w:r>
              <w:rPr>
                <w:rFonts w:eastAsia="Times New Roman"/>
                <w:color w:val="000000"/>
                <w:sz w:val="20"/>
                <w:szCs w:val="20"/>
              </w:rPr>
              <w:t>4,470 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3037B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57404"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11D09AD1" w14:textId="77777777" w:rsidR="00000000" w:rsidRDefault="00A173A8">
            <w:pPr>
              <w:spacing w:after="100"/>
              <w:jc w:val="right"/>
              <w:rPr>
                <w:rFonts w:eastAsia="Times New Roman"/>
              </w:rPr>
            </w:pPr>
            <w:r>
              <w:rPr>
                <w:rFonts w:eastAsia="Times New Roman"/>
                <w:color w:val="000000"/>
                <w:sz w:val="20"/>
                <w:szCs w:val="20"/>
              </w:rPr>
              <w:t>61 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14:paraId="0AD003D8"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4"/>
            <w:shd w:val="clear" w:color="auto" w:fill="CCEEFF"/>
            <w:tcMar>
              <w:top w:w="0" w:type="dxa"/>
              <w:left w:w="20" w:type="dxa"/>
              <w:bottom w:w="0" w:type="dxa"/>
              <w:right w:w="20" w:type="dxa"/>
            </w:tcMar>
            <w:vAlign w:val="center"/>
            <w:hideMark/>
          </w:tcPr>
          <w:p w14:paraId="6930269F" w14:textId="77777777" w:rsidR="00000000" w:rsidRDefault="00A173A8">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468198"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center"/>
            <w:hideMark/>
          </w:tcPr>
          <w:p w14:paraId="66E68A45" w14:textId="77777777" w:rsidR="00000000" w:rsidRDefault="00A173A8">
            <w:pPr>
              <w:spacing w:after="100"/>
              <w:jc w:val="right"/>
              <w:rPr>
                <w:rFonts w:eastAsia="Times New Roman"/>
              </w:rPr>
            </w:pPr>
            <w:r>
              <w:rPr>
                <w:rFonts w:eastAsia="Times New Roman"/>
                <w:color w:val="000000"/>
                <w:sz w:val="20"/>
                <w:szCs w:val="20"/>
              </w:rPr>
              <w:t>2,170 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536231"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AEAC592" w14:textId="77777777" w:rsidR="00000000" w:rsidRDefault="00A173A8">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14:paraId="7BAA4EB9" w14:textId="77777777" w:rsidR="00000000" w:rsidRDefault="00A173A8">
            <w:pPr>
              <w:spacing w:after="100"/>
              <w:jc w:val="right"/>
              <w:rPr>
                <w:rFonts w:eastAsia="Times New Roman"/>
              </w:rPr>
            </w:pPr>
            <w:r>
              <w:rPr>
                <w:rFonts w:eastAsia="Times New Roman"/>
                <w:color w:val="000000"/>
                <w:sz w:val="20"/>
                <w:szCs w:val="20"/>
              </w:rPr>
              <w:t>61 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14:paraId="4F9B037F"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4"/>
            <w:vAlign w:val="center"/>
            <w:hideMark/>
          </w:tcPr>
          <w:p w14:paraId="08E1F562" w14:textId="77777777" w:rsidR="00000000" w:rsidRDefault="00A173A8">
            <w:pPr>
              <w:spacing w:after="100"/>
              <w:jc w:val="right"/>
              <w:rPr>
                <w:rFonts w:eastAsia="Times New Roman"/>
              </w:rPr>
            </w:pPr>
          </w:p>
        </w:tc>
        <w:tc>
          <w:tcPr>
            <w:tcW w:w="0" w:type="auto"/>
            <w:gridSpan w:val="3"/>
            <w:vAlign w:val="center"/>
            <w:hideMark/>
          </w:tcPr>
          <w:p w14:paraId="5F8F66B3" w14:textId="77777777" w:rsidR="00000000" w:rsidRDefault="00A173A8">
            <w:pPr>
              <w:spacing w:after="100"/>
              <w:rPr>
                <w:rFonts w:eastAsia="Times New Roman"/>
                <w:sz w:val="20"/>
                <w:szCs w:val="20"/>
              </w:rPr>
            </w:pPr>
          </w:p>
        </w:tc>
        <w:tc>
          <w:tcPr>
            <w:tcW w:w="0" w:type="auto"/>
            <w:gridSpan w:val="3"/>
            <w:vAlign w:val="center"/>
            <w:hideMark/>
          </w:tcPr>
          <w:p w14:paraId="1B63C06A" w14:textId="77777777" w:rsidR="00000000" w:rsidRDefault="00A173A8">
            <w:pPr>
              <w:spacing w:after="100"/>
              <w:rPr>
                <w:rFonts w:eastAsia="Times New Roman"/>
                <w:sz w:val="20"/>
                <w:szCs w:val="20"/>
              </w:rPr>
            </w:pPr>
          </w:p>
        </w:tc>
        <w:tc>
          <w:tcPr>
            <w:tcW w:w="0" w:type="auto"/>
            <w:gridSpan w:val="2"/>
            <w:vAlign w:val="center"/>
            <w:hideMark/>
          </w:tcPr>
          <w:p w14:paraId="5CD95EC0" w14:textId="77777777" w:rsidR="00000000" w:rsidRDefault="00A173A8">
            <w:pPr>
              <w:spacing w:after="100"/>
              <w:rPr>
                <w:rFonts w:eastAsia="Times New Roman"/>
                <w:sz w:val="20"/>
                <w:szCs w:val="20"/>
              </w:rPr>
            </w:pPr>
          </w:p>
        </w:tc>
        <w:tc>
          <w:tcPr>
            <w:tcW w:w="0" w:type="auto"/>
            <w:vAlign w:val="center"/>
            <w:hideMark/>
          </w:tcPr>
          <w:p w14:paraId="1A14C717" w14:textId="77777777" w:rsidR="00000000" w:rsidRDefault="00A173A8">
            <w:pPr>
              <w:spacing w:after="100"/>
              <w:rPr>
                <w:rFonts w:eastAsia="Times New Roman"/>
                <w:sz w:val="20"/>
                <w:szCs w:val="20"/>
              </w:rPr>
            </w:pPr>
          </w:p>
        </w:tc>
      </w:tr>
      <w:tr w:rsidR="00A173A8" w14:paraId="73152C22" w14:textId="77777777">
        <w:trPr>
          <w:gridAfter w:val="32"/>
          <w:divId w:val="634916949"/>
        </w:trPr>
        <w:tc>
          <w:tcPr>
            <w:tcW w:w="0" w:type="auto"/>
            <w:gridSpan w:val="4"/>
            <w:shd w:val="clear" w:color="auto" w:fill="FFFFFF"/>
            <w:tcMar>
              <w:top w:w="30" w:type="dxa"/>
              <w:left w:w="20" w:type="dxa"/>
              <w:bottom w:w="30" w:type="dxa"/>
              <w:right w:w="20" w:type="dxa"/>
            </w:tcMar>
            <w:vAlign w:val="center"/>
            <w:hideMark/>
          </w:tcPr>
          <w:p w14:paraId="222D713F" w14:textId="77777777" w:rsidR="00000000" w:rsidRDefault="00A173A8">
            <w:pPr>
              <w:spacing w:after="100"/>
              <w:rPr>
                <w:rFonts w:eastAsia="Times New Roman"/>
              </w:rPr>
            </w:pPr>
            <w:r>
              <w:rPr>
                <w:rFonts w:eastAsia="Times New Roman"/>
                <w:color w:val="000000"/>
                <w:sz w:val="20"/>
                <w:szCs w:val="20"/>
              </w:rPr>
              <w:t>Consumer Banking</w:t>
            </w:r>
          </w:p>
        </w:tc>
        <w:tc>
          <w:tcPr>
            <w:tcW w:w="0" w:type="auto"/>
            <w:gridSpan w:val="3"/>
            <w:shd w:val="clear" w:color="auto" w:fill="FFFFFF"/>
            <w:tcMar>
              <w:top w:w="0" w:type="dxa"/>
              <w:left w:w="20" w:type="dxa"/>
              <w:bottom w:w="0" w:type="dxa"/>
              <w:right w:w="20" w:type="dxa"/>
            </w:tcMar>
            <w:vAlign w:val="center"/>
            <w:hideMark/>
          </w:tcPr>
          <w:p w14:paraId="445E539B" w14:textId="77777777" w:rsidR="00000000" w:rsidRDefault="00A173A8">
            <w:pPr>
              <w:spacing w:after="100"/>
              <w:rPr>
                <w:rFonts w:eastAsia="Times New Roman"/>
              </w:rPr>
            </w:pPr>
          </w:p>
        </w:tc>
        <w:tc>
          <w:tcPr>
            <w:tcW w:w="0" w:type="auto"/>
            <w:gridSpan w:val="5"/>
            <w:shd w:val="clear" w:color="auto" w:fill="FFFFFF"/>
            <w:tcMar>
              <w:top w:w="30" w:type="dxa"/>
              <w:left w:w="20" w:type="dxa"/>
              <w:bottom w:w="30" w:type="dxa"/>
              <w:right w:w="0" w:type="dxa"/>
            </w:tcMar>
            <w:vAlign w:val="center"/>
            <w:hideMark/>
          </w:tcPr>
          <w:p w14:paraId="71BA335A" w14:textId="77777777" w:rsidR="00000000" w:rsidRDefault="00A173A8">
            <w:pPr>
              <w:spacing w:after="100"/>
              <w:jc w:val="right"/>
              <w:rPr>
                <w:rFonts w:eastAsia="Times New Roman"/>
              </w:rPr>
            </w:pPr>
            <w:r>
              <w:rPr>
                <w:rFonts w:eastAsia="Times New Roman"/>
                <w:b/>
                <w:bCs/>
                <w:color w:val="000000"/>
                <w:sz w:val="20"/>
                <w:szCs w:val="20"/>
              </w:rPr>
              <w:t>2,243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F50FFEE"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177073B"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3E5D3DFF" w14:textId="77777777" w:rsidR="00000000" w:rsidRDefault="00A173A8">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A2038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61151" w14:textId="77777777" w:rsidR="00000000" w:rsidRDefault="00A173A8">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14:paraId="26A34DA2" w14:textId="77777777" w:rsidR="00000000" w:rsidRDefault="00A173A8">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1E60755"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0B42CA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220EA3" w14:textId="77777777" w:rsidR="00000000" w:rsidRDefault="00A173A8">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gridSpan w:val="2"/>
            <w:shd w:val="clear" w:color="auto" w:fill="FFFFFF"/>
            <w:tcMar>
              <w:top w:w="30" w:type="dxa"/>
              <w:left w:w="0" w:type="dxa"/>
              <w:bottom w:w="30" w:type="dxa"/>
              <w:right w:w="20" w:type="dxa"/>
            </w:tcMar>
            <w:vAlign w:val="center"/>
            <w:hideMark/>
          </w:tcPr>
          <w:p w14:paraId="54984261"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03761CC"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17AFB1CB" w14:textId="77777777" w:rsidR="00000000" w:rsidRDefault="00A173A8">
            <w:pPr>
              <w:spacing w:after="100"/>
              <w:jc w:val="right"/>
              <w:rPr>
                <w:rFonts w:eastAsia="Times New Roman"/>
              </w:rPr>
            </w:pPr>
            <w:r>
              <w:rPr>
                <w:rFonts w:eastAsia="Times New Roman"/>
                <w:color w:val="000000"/>
                <w:sz w:val="20"/>
                <w:szCs w:val="20"/>
              </w:rPr>
              <w:t>2,245 </w:t>
            </w:r>
          </w:p>
        </w:tc>
        <w:tc>
          <w:tcPr>
            <w:tcW w:w="0" w:type="auto"/>
            <w:shd w:val="clear" w:color="auto" w:fill="FFFFFF"/>
            <w:tcMar>
              <w:top w:w="30" w:type="dxa"/>
              <w:left w:w="0" w:type="dxa"/>
              <w:bottom w:w="30" w:type="dxa"/>
              <w:right w:w="20" w:type="dxa"/>
            </w:tcMar>
            <w:vAlign w:val="center"/>
            <w:hideMark/>
          </w:tcPr>
          <w:p w14:paraId="4A4474C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049A3"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2055C22A" w14:textId="77777777" w:rsidR="00000000" w:rsidRDefault="00A173A8">
            <w:pPr>
              <w:spacing w:after="100"/>
              <w:jc w:val="right"/>
              <w:rPr>
                <w:rFonts w:eastAsia="Times New Roman"/>
              </w:rPr>
            </w:pPr>
            <w:r>
              <w:rPr>
                <w:rFonts w:eastAsia="Times New Roman"/>
                <w:color w:val="000000"/>
                <w:sz w:val="20"/>
                <w:szCs w:val="20"/>
              </w:rPr>
              <w:t>30 </w:t>
            </w:r>
          </w:p>
        </w:tc>
        <w:tc>
          <w:tcPr>
            <w:tcW w:w="0" w:type="auto"/>
            <w:gridSpan w:val="2"/>
            <w:shd w:val="clear" w:color="auto" w:fill="FFFFFF"/>
            <w:tcMar>
              <w:top w:w="30" w:type="dxa"/>
              <w:left w:w="0" w:type="dxa"/>
              <w:bottom w:w="30" w:type="dxa"/>
              <w:right w:w="20" w:type="dxa"/>
            </w:tcMar>
            <w:vAlign w:val="center"/>
            <w:hideMark/>
          </w:tcPr>
          <w:p w14:paraId="150697D5"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8FB804D"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2375CD1C" w14:textId="77777777" w:rsidR="00000000" w:rsidRDefault="00A173A8">
            <w:pPr>
              <w:spacing w:after="100"/>
              <w:jc w:val="right"/>
              <w:rPr>
                <w:rFonts w:eastAsia="Times New Roman"/>
              </w:rPr>
            </w:pPr>
            <w:r>
              <w:rPr>
                <w:rFonts w:eastAsia="Times New Roman"/>
                <w:color w:val="000000"/>
                <w:sz w:val="20"/>
                <w:szCs w:val="20"/>
              </w:rPr>
              <w:t>1,091 </w:t>
            </w:r>
          </w:p>
        </w:tc>
        <w:tc>
          <w:tcPr>
            <w:tcW w:w="0" w:type="auto"/>
            <w:shd w:val="clear" w:color="auto" w:fill="FFFFFF"/>
            <w:tcMar>
              <w:top w:w="30" w:type="dxa"/>
              <w:left w:w="0" w:type="dxa"/>
              <w:bottom w:w="30" w:type="dxa"/>
              <w:right w:w="20" w:type="dxa"/>
            </w:tcMar>
            <w:vAlign w:val="center"/>
            <w:hideMark/>
          </w:tcPr>
          <w:p w14:paraId="794A7B6B"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96DA651"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3E924160" w14:textId="77777777" w:rsidR="00000000" w:rsidRDefault="00A173A8">
            <w:pPr>
              <w:spacing w:after="100"/>
              <w:jc w:val="right"/>
              <w:rPr>
                <w:rFonts w:eastAsia="Times New Roman"/>
              </w:rPr>
            </w:pPr>
            <w:r>
              <w:rPr>
                <w:rFonts w:eastAsia="Times New Roman"/>
                <w:color w:val="000000"/>
                <w:sz w:val="20"/>
                <w:szCs w:val="20"/>
              </w:rPr>
              <w:t>31 </w:t>
            </w:r>
          </w:p>
        </w:tc>
        <w:tc>
          <w:tcPr>
            <w:tcW w:w="0" w:type="auto"/>
            <w:gridSpan w:val="2"/>
            <w:shd w:val="clear" w:color="auto" w:fill="FFFFFF"/>
            <w:tcMar>
              <w:top w:w="30" w:type="dxa"/>
              <w:left w:w="0" w:type="dxa"/>
              <w:bottom w:w="30" w:type="dxa"/>
              <w:right w:w="20" w:type="dxa"/>
            </w:tcMar>
            <w:vAlign w:val="center"/>
            <w:hideMark/>
          </w:tcPr>
          <w:p w14:paraId="0BE2D273" w14:textId="77777777" w:rsidR="00000000" w:rsidRDefault="00A173A8">
            <w:pPr>
              <w:spacing w:after="100"/>
              <w:jc w:val="right"/>
              <w:rPr>
                <w:rFonts w:eastAsia="Times New Roman"/>
              </w:rPr>
            </w:pPr>
          </w:p>
        </w:tc>
        <w:tc>
          <w:tcPr>
            <w:tcW w:w="0" w:type="auto"/>
            <w:gridSpan w:val="4"/>
            <w:vAlign w:val="center"/>
            <w:hideMark/>
          </w:tcPr>
          <w:p w14:paraId="17B03FB3" w14:textId="77777777" w:rsidR="00000000" w:rsidRDefault="00A173A8">
            <w:pPr>
              <w:spacing w:after="100"/>
              <w:jc w:val="right"/>
              <w:rPr>
                <w:rFonts w:eastAsia="Times New Roman"/>
                <w:sz w:val="20"/>
                <w:szCs w:val="20"/>
              </w:rPr>
            </w:pPr>
          </w:p>
        </w:tc>
        <w:tc>
          <w:tcPr>
            <w:tcW w:w="0" w:type="auto"/>
            <w:gridSpan w:val="3"/>
            <w:vAlign w:val="center"/>
            <w:hideMark/>
          </w:tcPr>
          <w:p w14:paraId="5F887929" w14:textId="77777777" w:rsidR="00000000" w:rsidRDefault="00A173A8">
            <w:pPr>
              <w:spacing w:after="100"/>
              <w:rPr>
                <w:rFonts w:eastAsia="Times New Roman"/>
                <w:sz w:val="20"/>
                <w:szCs w:val="20"/>
              </w:rPr>
            </w:pPr>
          </w:p>
        </w:tc>
        <w:tc>
          <w:tcPr>
            <w:tcW w:w="0" w:type="auto"/>
            <w:gridSpan w:val="3"/>
            <w:vAlign w:val="center"/>
            <w:hideMark/>
          </w:tcPr>
          <w:p w14:paraId="119D1082" w14:textId="77777777" w:rsidR="00000000" w:rsidRDefault="00A173A8">
            <w:pPr>
              <w:spacing w:after="100"/>
              <w:rPr>
                <w:rFonts w:eastAsia="Times New Roman"/>
                <w:sz w:val="20"/>
                <w:szCs w:val="20"/>
              </w:rPr>
            </w:pPr>
          </w:p>
        </w:tc>
        <w:tc>
          <w:tcPr>
            <w:tcW w:w="0" w:type="auto"/>
            <w:gridSpan w:val="2"/>
            <w:vAlign w:val="center"/>
            <w:hideMark/>
          </w:tcPr>
          <w:p w14:paraId="518F134F" w14:textId="77777777" w:rsidR="00000000" w:rsidRDefault="00A173A8">
            <w:pPr>
              <w:spacing w:after="100"/>
              <w:rPr>
                <w:rFonts w:eastAsia="Times New Roman"/>
                <w:sz w:val="20"/>
                <w:szCs w:val="20"/>
              </w:rPr>
            </w:pPr>
          </w:p>
        </w:tc>
        <w:tc>
          <w:tcPr>
            <w:tcW w:w="0" w:type="auto"/>
            <w:vAlign w:val="center"/>
            <w:hideMark/>
          </w:tcPr>
          <w:p w14:paraId="78E48D7F" w14:textId="77777777" w:rsidR="00000000" w:rsidRDefault="00A173A8">
            <w:pPr>
              <w:spacing w:after="100"/>
              <w:rPr>
                <w:rFonts w:eastAsia="Times New Roman"/>
                <w:sz w:val="20"/>
                <w:szCs w:val="20"/>
              </w:rPr>
            </w:pPr>
          </w:p>
        </w:tc>
      </w:tr>
      <w:tr w:rsidR="00A173A8" w14:paraId="04C37D0E" w14:textId="77777777">
        <w:trPr>
          <w:gridAfter w:val="32"/>
          <w:divId w:val="634916949"/>
        </w:trPr>
        <w:tc>
          <w:tcPr>
            <w:tcW w:w="0" w:type="auto"/>
            <w:gridSpan w:val="4"/>
            <w:shd w:val="clear" w:color="auto" w:fill="CCEEFF"/>
            <w:tcMar>
              <w:top w:w="30" w:type="dxa"/>
              <w:left w:w="20" w:type="dxa"/>
              <w:bottom w:w="30" w:type="dxa"/>
              <w:right w:w="20" w:type="dxa"/>
            </w:tcMar>
            <w:vAlign w:val="center"/>
            <w:hideMark/>
          </w:tcPr>
          <w:p w14:paraId="0E4AFCE1" w14:textId="77777777" w:rsidR="00000000" w:rsidRDefault="00A173A8">
            <w:pPr>
              <w:spacing w:after="100"/>
              <w:divId w:val="1410079381"/>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6DD40632" w14:textId="77777777" w:rsidR="00000000" w:rsidRDefault="00A173A8">
            <w:pPr>
              <w:spacing w:after="100"/>
              <w:rPr>
                <w:rFonts w:eastAsia="Times New Roman"/>
              </w:rPr>
            </w:pPr>
          </w:p>
        </w:tc>
        <w:tc>
          <w:tcPr>
            <w:tcW w:w="0" w:type="auto"/>
            <w:gridSpan w:val="5"/>
            <w:shd w:val="clear" w:color="auto" w:fill="CCEEFF"/>
            <w:tcMar>
              <w:top w:w="30" w:type="dxa"/>
              <w:left w:w="20" w:type="dxa"/>
              <w:bottom w:w="30" w:type="dxa"/>
              <w:right w:w="0" w:type="dxa"/>
            </w:tcMar>
            <w:vAlign w:val="center"/>
            <w:hideMark/>
          </w:tcPr>
          <w:p w14:paraId="79FEB0C9" w14:textId="77777777" w:rsidR="00000000" w:rsidRDefault="00A173A8">
            <w:pPr>
              <w:spacing w:after="100"/>
              <w:jc w:val="right"/>
              <w:rPr>
                <w:rFonts w:eastAsia="Times New Roman"/>
              </w:rPr>
            </w:pPr>
            <w:r>
              <w:rPr>
                <w:rFonts w:eastAsia="Times New Roman"/>
                <w:b/>
                <w:bCs/>
                <w:color w:val="000000"/>
                <w:sz w:val="20"/>
                <w:szCs w:val="20"/>
              </w:rPr>
              <w:t>907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AD0FC57"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E6D700A"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4770390D" w14:textId="77777777" w:rsidR="00000000" w:rsidRDefault="00A173A8">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74986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BFBA31" w14:textId="77777777" w:rsidR="00000000" w:rsidRDefault="00A173A8">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14:paraId="4856B780" w14:textId="77777777" w:rsidR="00000000" w:rsidRDefault="00A173A8">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1CA9133"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3313A5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986CF4" w14:textId="77777777" w:rsidR="00000000" w:rsidRDefault="00A173A8">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center"/>
            <w:hideMark/>
          </w:tcPr>
          <w:p w14:paraId="0C98B9D1"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A1D2CFD"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2C53CA3E" w14:textId="77777777" w:rsidR="00000000" w:rsidRDefault="00A173A8">
            <w:pPr>
              <w:spacing w:after="100"/>
              <w:jc w:val="right"/>
              <w:rPr>
                <w:rFonts w:eastAsia="Times New Roman"/>
              </w:rPr>
            </w:pPr>
            <w:r>
              <w:rPr>
                <w:rFonts w:eastAsia="Times New Roman"/>
                <w:color w:val="000000"/>
                <w:sz w:val="20"/>
                <w:szCs w:val="20"/>
              </w:rPr>
              <w:t>717 </w:t>
            </w:r>
          </w:p>
        </w:tc>
        <w:tc>
          <w:tcPr>
            <w:tcW w:w="0" w:type="auto"/>
            <w:shd w:val="clear" w:color="auto" w:fill="CCEEFF"/>
            <w:tcMar>
              <w:top w:w="30" w:type="dxa"/>
              <w:left w:w="0" w:type="dxa"/>
              <w:bottom w:w="30" w:type="dxa"/>
              <w:right w:w="20" w:type="dxa"/>
            </w:tcMar>
            <w:vAlign w:val="center"/>
            <w:hideMark/>
          </w:tcPr>
          <w:p w14:paraId="2582685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E8C352"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7A99D6BC" w14:textId="77777777" w:rsidR="00000000" w:rsidRDefault="00A173A8">
            <w:pPr>
              <w:spacing w:after="100"/>
              <w:jc w:val="right"/>
              <w:rPr>
                <w:rFonts w:eastAsia="Times New Roman"/>
              </w:rPr>
            </w:pPr>
            <w:r>
              <w:rPr>
                <w:rFonts w:eastAsia="Times New Roman"/>
                <w:color w:val="000000"/>
                <w:sz w:val="20"/>
                <w:szCs w:val="20"/>
              </w:rPr>
              <w:t>10 </w:t>
            </w:r>
          </w:p>
        </w:tc>
        <w:tc>
          <w:tcPr>
            <w:tcW w:w="0" w:type="auto"/>
            <w:gridSpan w:val="2"/>
            <w:shd w:val="clear" w:color="auto" w:fill="CCEEFF"/>
            <w:tcMar>
              <w:top w:w="30" w:type="dxa"/>
              <w:left w:w="0" w:type="dxa"/>
              <w:bottom w:w="30" w:type="dxa"/>
              <w:right w:w="20" w:type="dxa"/>
            </w:tcMar>
            <w:vAlign w:val="center"/>
            <w:hideMark/>
          </w:tcPr>
          <w:p w14:paraId="7ACFE21B"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42210BC"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79E8B790" w14:textId="77777777" w:rsidR="00000000" w:rsidRDefault="00A173A8">
            <w:pPr>
              <w:spacing w:after="100"/>
              <w:jc w:val="right"/>
              <w:rPr>
                <w:rFonts w:eastAsia="Times New Roman"/>
              </w:rPr>
            </w:pPr>
            <w:r>
              <w:rPr>
                <w:rFonts w:eastAsia="Times New Roman"/>
                <w:color w:val="000000"/>
                <w:sz w:val="20"/>
                <w:szCs w:val="20"/>
              </w:rPr>
              <w:t>396 </w:t>
            </w:r>
          </w:p>
        </w:tc>
        <w:tc>
          <w:tcPr>
            <w:tcW w:w="0" w:type="auto"/>
            <w:shd w:val="clear" w:color="auto" w:fill="CCEEFF"/>
            <w:tcMar>
              <w:top w:w="30" w:type="dxa"/>
              <w:left w:w="0" w:type="dxa"/>
              <w:bottom w:w="30" w:type="dxa"/>
              <w:right w:w="20" w:type="dxa"/>
            </w:tcMar>
            <w:vAlign w:val="center"/>
            <w:hideMark/>
          </w:tcPr>
          <w:p w14:paraId="6FD70326"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6A0C21E"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0043AF60" w14:textId="77777777" w:rsidR="00000000" w:rsidRDefault="00A173A8">
            <w:pPr>
              <w:spacing w:after="100"/>
              <w:jc w:val="right"/>
              <w:rPr>
                <w:rFonts w:eastAsia="Times New Roman"/>
              </w:rPr>
            </w:pPr>
            <w:r>
              <w:rPr>
                <w:rFonts w:eastAsia="Times New Roman"/>
                <w:color w:val="000000"/>
                <w:sz w:val="20"/>
                <w:szCs w:val="20"/>
              </w:rPr>
              <w:t>11 </w:t>
            </w:r>
          </w:p>
        </w:tc>
        <w:tc>
          <w:tcPr>
            <w:tcW w:w="0" w:type="auto"/>
            <w:gridSpan w:val="2"/>
            <w:shd w:val="clear" w:color="auto" w:fill="CCEEFF"/>
            <w:tcMar>
              <w:top w:w="30" w:type="dxa"/>
              <w:left w:w="0" w:type="dxa"/>
              <w:bottom w:w="30" w:type="dxa"/>
              <w:right w:w="20" w:type="dxa"/>
            </w:tcMar>
            <w:vAlign w:val="center"/>
            <w:hideMark/>
          </w:tcPr>
          <w:p w14:paraId="3FABAB60" w14:textId="77777777" w:rsidR="00000000" w:rsidRDefault="00A173A8">
            <w:pPr>
              <w:spacing w:after="100"/>
              <w:jc w:val="right"/>
              <w:rPr>
                <w:rFonts w:eastAsia="Times New Roman"/>
              </w:rPr>
            </w:pPr>
          </w:p>
        </w:tc>
        <w:tc>
          <w:tcPr>
            <w:tcW w:w="0" w:type="auto"/>
            <w:gridSpan w:val="4"/>
            <w:vAlign w:val="center"/>
            <w:hideMark/>
          </w:tcPr>
          <w:p w14:paraId="37DA4FE1" w14:textId="77777777" w:rsidR="00000000" w:rsidRDefault="00A173A8">
            <w:pPr>
              <w:spacing w:after="100"/>
              <w:jc w:val="right"/>
              <w:rPr>
                <w:rFonts w:eastAsia="Times New Roman"/>
                <w:sz w:val="20"/>
                <w:szCs w:val="20"/>
              </w:rPr>
            </w:pPr>
          </w:p>
        </w:tc>
        <w:tc>
          <w:tcPr>
            <w:tcW w:w="0" w:type="auto"/>
            <w:gridSpan w:val="3"/>
            <w:vAlign w:val="center"/>
            <w:hideMark/>
          </w:tcPr>
          <w:p w14:paraId="4D372FF9" w14:textId="77777777" w:rsidR="00000000" w:rsidRDefault="00A173A8">
            <w:pPr>
              <w:spacing w:after="100"/>
              <w:rPr>
                <w:rFonts w:eastAsia="Times New Roman"/>
                <w:sz w:val="20"/>
                <w:szCs w:val="20"/>
              </w:rPr>
            </w:pPr>
          </w:p>
        </w:tc>
        <w:tc>
          <w:tcPr>
            <w:tcW w:w="0" w:type="auto"/>
            <w:gridSpan w:val="3"/>
            <w:vAlign w:val="center"/>
            <w:hideMark/>
          </w:tcPr>
          <w:p w14:paraId="59383700" w14:textId="77777777" w:rsidR="00000000" w:rsidRDefault="00A173A8">
            <w:pPr>
              <w:spacing w:after="100"/>
              <w:rPr>
                <w:rFonts w:eastAsia="Times New Roman"/>
                <w:sz w:val="20"/>
                <w:szCs w:val="20"/>
              </w:rPr>
            </w:pPr>
          </w:p>
        </w:tc>
        <w:tc>
          <w:tcPr>
            <w:tcW w:w="0" w:type="auto"/>
            <w:gridSpan w:val="2"/>
            <w:vAlign w:val="center"/>
            <w:hideMark/>
          </w:tcPr>
          <w:p w14:paraId="5CA2E925" w14:textId="77777777" w:rsidR="00000000" w:rsidRDefault="00A173A8">
            <w:pPr>
              <w:spacing w:after="100"/>
              <w:rPr>
                <w:rFonts w:eastAsia="Times New Roman"/>
                <w:sz w:val="20"/>
                <w:szCs w:val="20"/>
              </w:rPr>
            </w:pPr>
          </w:p>
        </w:tc>
        <w:tc>
          <w:tcPr>
            <w:tcW w:w="0" w:type="auto"/>
            <w:vAlign w:val="center"/>
            <w:hideMark/>
          </w:tcPr>
          <w:p w14:paraId="70D70ABA" w14:textId="77777777" w:rsidR="00000000" w:rsidRDefault="00A173A8">
            <w:pPr>
              <w:spacing w:after="100"/>
              <w:rPr>
                <w:rFonts w:eastAsia="Times New Roman"/>
                <w:sz w:val="20"/>
                <w:szCs w:val="20"/>
              </w:rPr>
            </w:pPr>
          </w:p>
        </w:tc>
      </w:tr>
      <w:tr w:rsidR="00A173A8" w14:paraId="1E5A1FFF" w14:textId="77777777">
        <w:trPr>
          <w:gridAfter w:val="32"/>
          <w:divId w:val="634916949"/>
        </w:trPr>
        <w:tc>
          <w:tcPr>
            <w:tcW w:w="0" w:type="auto"/>
            <w:gridSpan w:val="4"/>
            <w:shd w:val="clear" w:color="auto" w:fill="FFFFFF"/>
            <w:tcMar>
              <w:top w:w="30" w:type="dxa"/>
              <w:left w:w="20" w:type="dxa"/>
              <w:bottom w:w="30" w:type="dxa"/>
              <w:right w:w="20" w:type="dxa"/>
            </w:tcMar>
            <w:vAlign w:val="center"/>
            <w:hideMark/>
          </w:tcPr>
          <w:p w14:paraId="5AA142BF" w14:textId="77777777" w:rsidR="00000000" w:rsidRDefault="00A173A8">
            <w:pPr>
              <w:spacing w:after="100"/>
              <w:divId w:val="1452893959"/>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78A9038" w14:textId="77777777" w:rsidR="00000000" w:rsidRDefault="00A173A8">
            <w:pPr>
              <w:spacing w:after="100"/>
              <w:rPr>
                <w:rFonts w:eastAsia="Times New Roman"/>
              </w:rPr>
            </w:pPr>
          </w:p>
        </w:tc>
        <w:tc>
          <w:tcPr>
            <w:tcW w:w="0" w:type="auto"/>
            <w:gridSpan w:val="5"/>
            <w:shd w:val="clear" w:color="auto" w:fill="FFFFFF"/>
            <w:tcMar>
              <w:top w:w="30" w:type="dxa"/>
              <w:left w:w="20" w:type="dxa"/>
              <w:bottom w:w="30" w:type="dxa"/>
              <w:right w:w="0" w:type="dxa"/>
            </w:tcMar>
            <w:vAlign w:val="center"/>
            <w:hideMark/>
          </w:tcPr>
          <w:p w14:paraId="19CBB7B2" w14:textId="77777777" w:rsidR="00000000" w:rsidRDefault="00A173A8">
            <w:pPr>
              <w:spacing w:after="100"/>
              <w:jc w:val="right"/>
              <w:rPr>
                <w:rFonts w:eastAsia="Times New Roman"/>
              </w:rPr>
            </w:pPr>
            <w:r>
              <w:rPr>
                <w:rFonts w:eastAsia="Times New Roman"/>
                <w:b/>
                <w:bCs/>
                <w:color w:val="000000"/>
                <w:sz w:val="20"/>
                <w:szCs w:val="20"/>
              </w:rPr>
              <w:t>(227)</w:t>
            </w:r>
          </w:p>
        </w:tc>
        <w:tc>
          <w:tcPr>
            <w:tcW w:w="0" w:type="auto"/>
            <w:shd w:val="clear" w:color="auto" w:fill="FFFFFF"/>
            <w:tcMar>
              <w:top w:w="30" w:type="dxa"/>
              <w:left w:w="0" w:type="dxa"/>
              <w:bottom w:w="30" w:type="dxa"/>
              <w:right w:w="20" w:type="dxa"/>
            </w:tcMar>
            <w:vAlign w:val="center"/>
            <w:hideMark/>
          </w:tcPr>
          <w:p w14:paraId="3752EB2D"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314EA14"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5464B4BE" w14:textId="77777777" w:rsidR="00000000" w:rsidRDefault="00A173A8">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center"/>
            <w:hideMark/>
          </w:tcPr>
          <w:p w14:paraId="3676AEB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18D310" w14:textId="77777777" w:rsidR="00000000" w:rsidRDefault="00A173A8">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14:paraId="0D65AB9D" w14:textId="77777777" w:rsidR="00000000" w:rsidRDefault="00A173A8">
            <w:pPr>
              <w:spacing w:after="100"/>
              <w:jc w:val="right"/>
              <w:rPr>
                <w:rFonts w:eastAsia="Times New Roman"/>
              </w:rPr>
            </w:pPr>
            <w:r>
              <w:rPr>
                <w:rFonts w:eastAsia="Times New Roman"/>
                <w:b/>
                <w:bCs/>
                <w:color w:val="000000"/>
                <w:sz w:val="20"/>
                <w:szCs w:val="20"/>
              </w:rPr>
              <w:t>(128)</w:t>
            </w:r>
          </w:p>
        </w:tc>
        <w:tc>
          <w:tcPr>
            <w:tcW w:w="0" w:type="auto"/>
            <w:shd w:val="clear" w:color="auto" w:fill="FFFFFF"/>
            <w:tcMar>
              <w:top w:w="30" w:type="dxa"/>
              <w:left w:w="0" w:type="dxa"/>
              <w:bottom w:w="30" w:type="dxa"/>
              <w:right w:w="20" w:type="dxa"/>
            </w:tcMar>
            <w:vAlign w:val="center"/>
            <w:hideMark/>
          </w:tcPr>
          <w:p w14:paraId="10754C41"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EFB162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8DCD62" w14:textId="77777777" w:rsidR="00000000" w:rsidRDefault="00A173A8">
            <w:pPr>
              <w:spacing w:after="100"/>
              <w:jc w:val="right"/>
              <w:rPr>
                <w:rFonts w:eastAsia="Times New Roman"/>
              </w:rPr>
            </w:pPr>
            <w:r>
              <w:rPr>
                <w:rFonts w:eastAsia="Times New Roman"/>
                <w:b/>
                <w:bCs/>
                <w:color w:val="000000"/>
                <w:sz w:val="20"/>
                <w:szCs w:val="20"/>
              </w:rPr>
              <w:t>(6)</w:t>
            </w:r>
          </w:p>
        </w:tc>
        <w:tc>
          <w:tcPr>
            <w:tcW w:w="0" w:type="auto"/>
            <w:gridSpan w:val="2"/>
            <w:shd w:val="clear" w:color="auto" w:fill="FFFFFF"/>
            <w:tcMar>
              <w:top w:w="30" w:type="dxa"/>
              <w:left w:w="0" w:type="dxa"/>
              <w:bottom w:w="30" w:type="dxa"/>
              <w:right w:w="20" w:type="dxa"/>
            </w:tcMar>
            <w:vAlign w:val="center"/>
            <w:hideMark/>
          </w:tcPr>
          <w:p w14:paraId="380CDBC7"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0583D74"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343A807B" w14:textId="77777777" w:rsidR="00000000" w:rsidRDefault="00A173A8">
            <w:pPr>
              <w:spacing w:after="100"/>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center"/>
            <w:hideMark/>
          </w:tcPr>
          <w:p w14:paraId="435FB36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71F2D2"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337D46EB" w14:textId="77777777" w:rsidR="00000000" w:rsidRDefault="00A173A8">
            <w:pPr>
              <w:spacing w:after="100"/>
              <w:jc w:val="right"/>
              <w:rPr>
                <w:rFonts w:eastAsia="Times New Roman"/>
              </w:rPr>
            </w:pPr>
            <w:r>
              <w:rPr>
                <w:rFonts w:eastAsia="Times New Roman"/>
                <w:color w:val="000000"/>
                <w:sz w:val="20"/>
                <w:szCs w:val="20"/>
              </w:rPr>
              <w:t>(1)</w:t>
            </w:r>
          </w:p>
        </w:tc>
        <w:tc>
          <w:tcPr>
            <w:tcW w:w="0" w:type="auto"/>
            <w:gridSpan w:val="2"/>
            <w:shd w:val="clear" w:color="auto" w:fill="FFFFFF"/>
            <w:tcMar>
              <w:top w:w="30" w:type="dxa"/>
              <w:left w:w="0" w:type="dxa"/>
              <w:bottom w:w="30" w:type="dxa"/>
              <w:right w:w="20" w:type="dxa"/>
            </w:tcMar>
            <w:vAlign w:val="center"/>
            <w:hideMark/>
          </w:tcPr>
          <w:p w14:paraId="68167D09"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1C7B00A"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24B94D72" w14:textId="77777777" w:rsidR="00000000" w:rsidRDefault="00A173A8">
            <w:pPr>
              <w:spacing w:after="100"/>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center"/>
            <w:hideMark/>
          </w:tcPr>
          <w:p w14:paraId="73DCD1C6"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9687E14"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38B9CDDC" w14:textId="77777777" w:rsidR="00000000" w:rsidRDefault="00A173A8">
            <w:pPr>
              <w:spacing w:after="100"/>
              <w:jc w:val="right"/>
              <w:rPr>
                <w:rFonts w:eastAsia="Times New Roman"/>
              </w:rPr>
            </w:pPr>
            <w:r>
              <w:rPr>
                <w:rFonts w:eastAsia="Times New Roman"/>
                <w:color w:val="000000"/>
                <w:sz w:val="20"/>
                <w:szCs w:val="20"/>
              </w:rPr>
              <w:t>(3)</w:t>
            </w:r>
          </w:p>
        </w:tc>
        <w:tc>
          <w:tcPr>
            <w:tcW w:w="0" w:type="auto"/>
            <w:gridSpan w:val="2"/>
            <w:shd w:val="clear" w:color="auto" w:fill="FFFFFF"/>
            <w:tcMar>
              <w:top w:w="30" w:type="dxa"/>
              <w:left w:w="0" w:type="dxa"/>
              <w:bottom w:w="30" w:type="dxa"/>
              <w:right w:w="20" w:type="dxa"/>
            </w:tcMar>
            <w:vAlign w:val="center"/>
            <w:hideMark/>
          </w:tcPr>
          <w:p w14:paraId="4B1B4FDB" w14:textId="77777777" w:rsidR="00000000" w:rsidRDefault="00A173A8">
            <w:pPr>
              <w:spacing w:after="100"/>
              <w:jc w:val="right"/>
              <w:rPr>
                <w:rFonts w:eastAsia="Times New Roman"/>
              </w:rPr>
            </w:pPr>
          </w:p>
        </w:tc>
        <w:tc>
          <w:tcPr>
            <w:tcW w:w="0" w:type="auto"/>
            <w:gridSpan w:val="4"/>
            <w:vAlign w:val="center"/>
            <w:hideMark/>
          </w:tcPr>
          <w:p w14:paraId="71D363B7" w14:textId="77777777" w:rsidR="00000000" w:rsidRDefault="00A173A8">
            <w:pPr>
              <w:spacing w:after="100"/>
              <w:jc w:val="right"/>
              <w:rPr>
                <w:rFonts w:eastAsia="Times New Roman"/>
                <w:sz w:val="20"/>
                <w:szCs w:val="20"/>
              </w:rPr>
            </w:pPr>
          </w:p>
        </w:tc>
        <w:tc>
          <w:tcPr>
            <w:tcW w:w="0" w:type="auto"/>
            <w:gridSpan w:val="3"/>
            <w:vAlign w:val="center"/>
            <w:hideMark/>
          </w:tcPr>
          <w:p w14:paraId="55A5578B" w14:textId="77777777" w:rsidR="00000000" w:rsidRDefault="00A173A8">
            <w:pPr>
              <w:spacing w:after="100"/>
              <w:rPr>
                <w:rFonts w:eastAsia="Times New Roman"/>
                <w:sz w:val="20"/>
                <w:szCs w:val="20"/>
              </w:rPr>
            </w:pPr>
          </w:p>
        </w:tc>
        <w:tc>
          <w:tcPr>
            <w:tcW w:w="0" w:type="auto"/>
            <w:gridSpan w:val="3"/>
            <w:vAlign w:val="center"/>
            <w:hideMark/>
          </w:tcPr>
          <w:p w14:paraId="431C5746" w14:textId="77777777" w:rsidR="00000000" w:rsidRDefault="00A173A8">
            <w:pPr>
              <w:spacing w:after="100"/>
              <w:rPr>
                <w:rFonts w:eastAsia="Times New Roman"/>
                <w:sz w:val="20"/>
                <w:szCs w:val="20"/>
              </w:rPr>
            </w:pPr>
          </w:p>
        </w:tc>
        <w:tc>
          <w:tcPr>
            <w:tcW w:w="0" w:type="auto"/>
            <w:gridSpan w:val="2"/>
            <w:vAlign w:val="center"/>
            <w:hideMark/>
          </w:tcPr>
          <w:p w14:paraId="314CE1DC" w14:textId="77777777" w:rsidR="00000000" w:rsidRDefault="00A173A8">
            <w:pPr>
              <w:spacing w:after="100"/>
              <w:rPr>
                <w:rFonts w:eastAsia="Times New Roman"/>
                <w:sz w:val="20"/>
                <w:szCs w:val="20"/>
              </w:rPr>
            </w:pPr>
          </w:p>
        </w:tc>
        <w:tc>
          <w:tcPr>
            <w:tcW w:w="0" w:type="auto"/>
            <w:vAlign w:val="center"/>
            <w:hideMark/>
          </w:tcPr>
          <w:p w14:paraId="6D818F0F" w14:textId="77777777" w:rsidR="00000000" w:rsidRDefault="00A173A8">
            <w:pPr>
              <w:spacing w:after="100"/>
              <w:rPr>
                <w:rFonts w:eastAsia="Times New Roman"/>
                <w:sz w:val="20"/>
                <w:szCs w:val="20"/>
              </w:rPr>
            </w:pPr>
          </w:p>
        </w:tc>
      </w:tr>
      <w:tr w:rsidR="00A173A8" w14:paraId="25A4523F" w14:textId="77777777">
        <w:trPr>
          <w:gridAfter w:val="32"/>
          <w:divId w:val="634916949"/>
        </w:trPr>
        <w:tc>
          <w:tcPr>
            <w:tcW w:w="0" w:type="auto"/>
            <w:gridSpan w:val="4"/>
            <w:shd w:val="clear" w:color="auto" w:fill="CCEEFF"/>
            <w:tcMar>
              <w:top w:w="30" w:type="dxa"/>
              <w:left w:w="20" w:type="dxa"/>
              <w:bottom w:w="30" w:type="dxa"/>
              <w:right w:w="20" w:type="dxa"/>
            </w:tcMar>
            <w:vAlign w:val="center"/>
            <w:hideMark/>
          </w:tcPr>
          <w:p w14:paraId="028A42B2" w14:textId="77777777" w:rsidR="00000000" w:rsidRDefault="00A173A8">
            <w:pPr>
              <w:spacing w:after="100"/>
              <w:divId w:val="232591343"/>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0D2D5DF7"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07A8229"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6E0168F" w14:textId="77777777" w:rsidR="00000000" w:rsidRDefault="00A173A8">
            <w:pPr>
              <w:spacing w:after="100"/>
              <w:jc w:val="right"/>
              <w:rPr>
                <w:rFonts w:eastAsia="Times New Roman"/>
              </w:rPr>
            </w:pPr>
            <w:r>
              <w:rPr>
                <w:rFonts w:eastAsia="Times New Roman"/>
                <w:b/>
                <w:bCs/>
                <w:color w:val="000000"/>
                <w:sz w:val="20"/>
                <w:szCs w:val="20"/>
              </w:rPr>
              <w:t>8,232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DCE34F8"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AD2D516" w14:textId="77777777" w:rsidR="00000000" w:rsidRDefault="00A173A8">
            <w:pPr>
              <w:spacing w:after="100"/>
              <w:jc w:val="right"/>
              <w:rPr>
                <w:rFonts w:eastAsia="Times New Roman"/>
                <w:sz w:val="20"/>
                <w:szCs w:val="20"/>
              </w:rPr>
            </w:pP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5459E05" w14:textId="77777777" w:rsidR="00000000" w:rsidRDefault="00A173A8">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ACC1310"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2042035" w14:textId="77777777" w:rsidR="00000000" w:rsidRDefault="00A173A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3547177"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9919E66" w14:textId="77777777" w:rsidR="00000000" w:rsidRDefault="00A173A8">
            <w:pPr>
              <w:spacing w:after="100"/>
              <w:jc w:val="right"/>
              <w:rPr>
                <w:rFonts w:eastAsia="Times New Roman"/>
              </w:rPr>
            </w:pPr>
            <w:r>
              <w:rPr>
                <w:rFonts w:eastAsia="Times New Roman"/>
                <w:b/>
                <w:bCs/>
                <w:color w:val="000000"/>
                <w:sz w:val="20"/>
                <w:szCs w:val="20"/>
              </w:rPr>
              <w:t>2,031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276836C"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79CB44E"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1BDE7BB" w14:textId="77777777" w:rsidR="00000000" w:rsidRDefault="00A173A8">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D6FD124"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4"/>
            <w:shd w:val="clear" w:color="auto" w:fill="CCEEFF"/>
            <w:tcMar>
              <w:top w:w="0" w:type="dxa"/>
              <w:left w:w="20" w:type="dxa"/>
              <w:bottom w:w="0" w:type="dxa"/>
              <w:right w:w="20" w:type="dxa"/>
            </w:tcMar>
            <w:vAlign w:val="center"/>
            <w:hideMark/>
          </w:tcPr>
          <w:p w14:paraId="55B7349C" w14:textId="77777777" w:rsidR="00000000" w:rsidRDefault="00A173A8">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06A190A" w14:textId="77777777" w:rsidR="00000000" w:rsidRDefault="00A173A8">
            <w:pPr>
              <w:spacing w:after="100"/>
              <w:rPr>
                <w:rFonts w:eastAsia="Times New Roman"/>
              </w:rPr>
            </w:pPr>
            <w:r>
              <w:rPr>
                <w:rFonts w:eastAsia="Times New Roman"/>
                <w:color w:val="000000"/>
                <w:sz w:val="20"/>
                <w:szCs w:val="20"/>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14F82B4" w14:textId="77777777" w:rsidR="00000000" w:rsidRDefault="00A173A8">
            <w:pPr>
              <w:spacing w:after="100"/>
              <w:jc w:val="right"/>
              <w:rPr>
                <w:rFonts w:eastAsia="Times New Roman"/>
              </w:rPr>
            </w:pPr>
            <w:r>
              <w:rPr>
                <w:rFonts w:eastAsia="Times New Roman"/>
                <w:color w:val="000000"/>
                <w:sz w:val="20"/>
                <w:szCs w:val="20"/>
              </w:rPr>
              <w:t>7,374 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25606C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4F2D3A" w14:textId="77777777" w:rsidR="00000000" w:rsidRDefault="00A173A8">
            <w:pPr>
              <w:spacing w:after="100"/>
              <w:jc w:val="right"/>
              <w:rPr>
                <w:rFonts w:eastAsia="Times New Roman"/>
                <w:sz w:val="20"/>
                <w:szCs w:val="20"/>
              </w:rPr>
            </w:pP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D86EC99" w14:textId="77777777" w:rsidR="00000000" w:rsidRDefault="00A173A8">
            <w:pPr>
              <w:spacing w:after="100"/>
              <w:jc w:val="right"/>
              <w:rPr>
                <w:rFonts w:eastAsia="Times New Roman"/>
              </w:rPr>
            </w:pPr>
            <w:r>
              <w:rPr>
                <w:rFonts w:eastAsia="Times New Roman"/>
                <w:color w:val="000000"/>
                <w:sz w:val="20"/>
                <w:szCs w:val="20"/>
              </w:rPr>
              <w:t>100 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C2FA451"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4"/>
            <w:shd w:val="clear" w:color="auto" w:fill="CCEEFF"/>
            <w:tcMar>
              <w:top w:w="0" w:type="dxa"/>
              <w:left w:w="20" w:type="dxa"/>
              <w:bottom w:w="0" w:type="dxa"/>
              <w:right w:w="20" w:type="dxa"/>
            </w:tcMar>
            <w:vAlign w:val="center"/>
            <w:hideMark/>
          </w:tcPr>
          <w:p w14:paraId="0ABF7F49" w14:textId="77777777" w:rsidR="00000000" w:rsidRDefault="00A173A8">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F82CE69"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8358982" w14:textId="77777777" w:rsidR="00000000" w:rsidRDefault="00A173A8">
            <w:pPr>
              <w:spacing w:after="100"/>
              <w:jc w:val="right"/>
              <w:rPr>
                <w:rFonts w:eastAsia="Times New Roman"/>
              </w:rPr>
            </w:pPr>
            <w:r>
              <w:rPr>
                <w:rFonts w:eastAsia="Times New Roman"/>
                <w:color w:val="000000"/>
                <w:sz w:val="20"/>
                <w:szCs w:val="20"/>
              </w:rPr>
              <w:t>3,537 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8E90158"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DE53A86" w14:textId="77777777" w:rsidR="00000000" w:rsidRDefault="00A173A8">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E03114E" w14:textId="77777777" w:rsidR="00000000" w:rsidRDefault="00A173A8">
            <w:pPr>
              <w:spacing w:after="100"/>
              <w:jc w:val="right"/>
              <w:rPr>
                <w:rFonts w:eastAsia="Times New Roman"/>
              </w:rPr>
            </w:pPr>
            <w:r>
              <w:rPr>
                <w:rFonts w:eastAsia="Times New Roman"/>
                <w:color w:val="000000"/>
                <w:sz w:val="20"/>
                <w:szCs w:val="20"/>
              </w:rPr>
              <w:t>100 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6BBA319"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4"/>
            <w:vAlign w:val="center"/>
            <w:hideMark/>
          </w:tcPr>
          <w:p w14:paraId="076CADAF" w14:textId="77777777" w:rsidR="00000000" w:rsidRDefault="00A173A8">
            <w:pPr>
              <w:spacing w:after="100"/>
              <w:jc w:val="right"/>
              <w:rPr>
                <w:rFonts w:eastAsia="Times New Roman"/>
              </w:rPr>
            </w:pPr>
          </w:p>
        </w:tc>
        <w:tc>
          <w:tcPr>
            <w:tcW w:w="0" w:type="auto"/>
            <w:gridSpan w:val="3"/>
            <w:vAlign w:val="center"/>
            <w:hideMark/>
          </w:tcPr>
          <w:p w14:paraId="6F4FBD81" w14:textId="77777777" w:rsidR="00000000" w:rsidRDefault="00A173A8">
            <w:pPr>
              <w:spacing w:after="100"/>
              <w:rPr>
                <w:rFonts w:eastAsia="Times New Roman"/>
                <w:sz w:val="20"/>
                <w:szCs w:val="20"/>
              </w:rPr>
            </w:pPr>
          </w:p>
        </w:tc>
        <w:tc>
          <w:tcPr>
            <w:tcW w:w="0" w:type="auto"/>
            <w:gridSpan w:val="3"/>
            <w:vAlign w:val="center"/>
            <w:hideMark/>
          </w:tcPr>
          <w:p w14:paraId="61260123" w14:textId="77777777" w:rsidR="00000000" w:rsidRDefault="00A173A8">
            <w:pPr>
              <w:spacing w:after="100"/>
              <w:rPr>
                <w:rFonts w:eastAsia="Times New Roman"/>
                <w:sz w:val="20"/>
                <w:szCs w:val="20"/>
              </w:rPr>
            </w:pPr>
          </w:p>
        </w:tc>
        <w:tc>
          <w:tcPr>
            <w:tcW w:w="0" w:type="auto"/>
            <w:gridSpan w:val="2"/>
            <w:vAlign w:val="center"/>
            <w:hideMark/>
          </w:tcPr>
          <w:p w14:paraId="0A067E8D" w14:textId="77777777" w:rsidR="00000000" w:rsidRDefault="00A173A8">
            <w:pPr>
              <w:spacing w:after="100"/>
              <w:rPr>
                <w:rFonts w:eastAsia="Times New Roman"/>
                <w:sz w:val="20"/>
                <w:szCs w:val="20"/>
              </w:rPr>
            </w:pPr>
          </w:p>
        </w:tc>
        <w:tc>
          <w:tcPr>
            <w:tcW w:w="0" w:type="auto"/>
            <w:vAlign w:val="center"/>
            <w:hideMark/>
          </w:tcPr>
          <w:p w14:paraId="36318ABD" w14:textId="77777777" w:rsidR="00000000" w:rsidRDefault="00A173A8">
            <w:pPr>
              <w:spacing w:after="100"/>
              <w:rPr>
                <w:rFonts w:eastAsia="Times New Roman"/>
                <w:sz w:val="20"/>
                <w:szCs w:val="20"/>
              </w:rPr>
            </w:pPr>
          </w:p>
        </w:tc>
      </w:tr>
      <w:tr w:rsidR="00000000" w14:paraId="736D9CA4" w14:textId="77777777">
        <w:tc>
          <w:tcPr>
            <w:tcW w:w="50" w:type="pct"/>
            <w:gridSpan w:val="2"/>
            <w:vAlign w:val="center"/>
            <w:hideMark/>
          </w:tcPr>
          <w:p w14:paraId="2BF40FB5" w14:textId="77777777" w:rsidR="00000000" w:rsidRDefault="00A173A8">
            <w:pPr>
              <w:rPr>
                <w:rFonts w:eastAsia="Times New Roman"/>
              </w:rPr>
            </w:pPr>
          </w:p>
        </w:tc>
        <w:tc>
          <w:tcPr>
            <w:tcW w:w="909" w:type="pct"/>
            <w:gridSpan w:val="7"/>
            <w:vAlign w:val="center"/>
            <w:hideMark/>
          </w:tcPr>
          <w:p w14:paraId="4D0B5DE8" w14:textId="77777777" w:rsidR="00000000" w:rsidRDefault="00A173A8">
            <w:pPr>
              <w:spacing w:after="100"/>
              <w:rPr>
                <w:rFonts w:eastAsia="Times New Roman"/>
                <w:sz w:val="20"/>
                <w:szCs w:val="20"/>
              </w:rPr>
            </w:pPr>
          </w:p>
        </w:tc>
        <w:tc>
          <w:tcPr>
            <w:tcW w:w="5" w:type="pct"/>
            <w:vAlign w:val="center"/>
            <w:hideMark/>
          </w:tcPr>
          <w:p w14:paraId="481E6E3D" w14:textId="77777777" w:rsidR="00000000" w:rsidRDefault="00A173A8">
            <w:pPr>
              <w:spacing w:after="100"/>
              <w:rPr>
                <w:rFonts w:eastAsia="Times New Roman"/>
                <w:sz w:val="20"/>
                <w:szCs w:val="20"/>
              </w:rPr>
            </w:pPr>
          </w:p>
        </w:tc>
        <w:tc>
          <w:tcPr>
            <w:tcW w:w="5" w:type="pct"/>
            <w:vAlign w:val="center"/>
            <w:hideMark/>
          </w:tcPr>
          <w:p w14:paraId="5277F5A6" w14:textId="77777777" w:rsidR="00000000" w:rsidRDefault="00A173A8">
            <w:pPr>
              <w:spacing w:after="100"/>
              <w:rPr>
                <w:rFonts w:eastAsia="Times New Roman"/>
                <w:sz w:val="20"/>
                <w:szCs w:val="20"/>
              </w:rPr>
            </w:pPr>
          </w:p>
        </w:tc>
        <w:tc>
          <w:tcPr>
            <w:tcW w:w="26" w:type="pct"/>
            <w:gridSpan w:val="5"/>
            <w:vAlign w:val="center"/>
            <w:hideMark/>
          </w:tcPr>
          <w:p w14:paraId="5F17B2D3" w14:textId="77777777" w:rsidR="00000000" w:rsidRDefault="00A173A8">
            <w:pPr>
              <w:spacing w:after="100"/>
              <w:rPr>
                <w:rFonts w:eastAsia="Times New Roman"/>
                <w:sz w:val="20"/>
                <w:szCs w:val="20"/>
              </w:rPr>
            </w:pPr>
          </w:p>
        </w:tc>
        <w:tc>
          <w:tcPr>
            <w:tcW w:w="5" w:type="pct"/>
            <w:gridSpan w:val="3"/>
            <w:vAlign w:val="center"/>
            <w:hideMark/>
          </w:tcPr>
          <w:p w14:paraId="2B343A78" w14:textId="77777777" w:rsidR="00000000" w:rsidRDefault="00A173A8">
            <w:pPr>
              <w:spacing w:after="100"/>
              <w:rPr>
                <w:rFonts w:eastAsia="Times New Roman"/>
                <w:sz w:val="20"/>
                <w:szCs w:val="20"/>
              </w:rPr>
            </w:pPr>
          </w:p>
        </w:tc>
        <w:tc>
          <w:tcPr>
            <w:tcW w:w="50" w:type="pct"/>
            <w:vAlign w:val="center"/>
            <w:hideMark/>
          </w:tcPr>
          <w:p w14:paraId="0DB3E410" w14:textId="77777777" w:rsidR="00000000" w:rsidRDefault="00A173A8">
            <w:pPr>
              <w:spacing w:after="100"/>
              <w:rPr>
                <w:rFonts w:eastAsia="Times New Roman"/>
                <w:sz w:val="20"/>
                <w:szCs w:val="20"/>
              </w:rPr>
            </w:pPr>
          </w:p>
        </w:tc>
        <w:tc>
          <w:tcPr>
            <w:tcW w:w="412" w:type="pct"/>
            <w:gridSpan w:val="7"/>
            <w:vAlign w:val="center"/>
            <w:hideMark/>
          </w:tcPr>
          <w:p w14:paraId="494104D1" w14:textId="77777777" w:rsidR="00000000" w:rsidRDefault="00A173A8">
            <w:pPr>
              <w:spacing w:after="100"/>
              <w:rPr>
                <w:rFonts w:eastAsia="Times New Roman"/>
                <w:sz w:val="20"/>
                <w:szCs w:val="20"/>
              </w:rPr>
            </w:pPr>
          </w:p>
        </w:tc>
        <w:tc>
          <w:tcPr>
            <w:tcW w:w="5" w:type="pct"/>
            <w:vAlign w:val="center"/>
            <w:hideMark/>
          </w:tcPr>
          <w:p w14:paraId="5E6298F2" w14:textId="77777777" w:rsidR="00000000" w:rsidRDefault="00A173A8">
            <w:pPr>
              <w:spacing w:after="100"/>
              <w:rPr>
                <w:rFonts w:eastAsia="Times New Roman"/>
                <w:sz w:val="20"/>
                <w:szCs w:val="20"/>
              </w:rPr>
            </w:pPr>
          </w:p>
        </w:tc>
        <w:tc>
          <w:tcPr>
            <w:tcW w:w="5" w:type="pct"/>
            <w:vAlign w:val="center"/>
            <w:hideMark/>
          </w:tcPr>
          <w:p w14:paraId="07925FA6" w14:textId="77777777" w:rsidR="00000000" w:rsidRDefault="00A173A8">
            <w:pPr>
              <w:spacing w:after="100"/>
              <w:rPr>
                <w:rFonts w:eastAsia="Times New Roman"/>
                <w:sz w:val="20"/>
                <w:szCs w:val="20"/>
              </w:rPr>
            </w:pPr>
          </w:p>
        </w:tc>
        <w:tc>
          <w:tcPr>
            <w:tcW w:w="26" w:type="pct"/>
            <w:vAlign w:val="center"/>
            <w:hideMark/>
          </w:tcPr>
          <w:p w14:paraId="156C0DB8" w14:textId="77777777" w:rsidR="00000000" w:rsidRDefault="00A173A8">
            <w:pPr>
              <w:spacing w:after="100"/>
              <w:rPr>
                <w:rFonts w:eastAsia="Times New Roman"/>
                <w:sz w:val="20"/>
                <w:szCs w:val="20"/>
              </w:rPr>
            </w:pPr>
          </w:p>
        </w:tc>
        <w:tc>
          <w:tcPr>
            <w:tcW w:w="5" w:type="pct"/>
            <w:vAlign w:val="center"/>
            <w:hideMark/>
          </w:tcPr>
          <w:p w14:paraId="6D56F7F9" w14:textId="77777777" w:rsidR="00000000" w:rsidRDefault="00A173A8">
            <w:pPr>
              <w:spacing w:after="100"/>
              <w:rPr>
                <w:rFonts w:eastAsia="Times New Roman"/>
                <w:sz w:val="20"/>
                <w:szCs w:val="20"/>
              </w:rPr>
            </w:pPr>
          </w:p>
        </w:tc>
        <w:tc>
          <w:tcPr>
            <w:tcW w:w="50" w:type="pct"/>
            <w:gridSpan w:val="4"/>
            <w:vAlign w:val="center"/>
            <w:hideMark/>
          </w:tcPr>
          <w:p w14:paraId="3C740B23" w14:textId="77777777" w:rsidR="00000000" w:rsidRDefault="00A173A8">
            <w:pPr>
              <w:spacing w:after="100"/>
              <w:rPr>
                <w:rFonts w:eastAsia="Times New Roman"/>
                <w:sz w:val="20"/>
                <w:szCs w:val="20"/>
              </w:rPr>
            </w:pPr>
          </w:p>
        </w:tc>
        <w:tc>
          <w:tcPr>
            <w:tcW w:w="412" w:type="pct"/>
            <w:gridSpan w:val="5"/>
            <w:vAlign w:val="center"/>
            <w:hideMark/>
          </w:tcPr>
          <w:p w14:paraId="4ADC04F9" w14:textId="77777777" w:rsidR="00000000" w:rsidRDefault="00A173A8">
            <w:pPr>
              <w:spacing w:after="100"/>
              <w:rPr>
                <w:rFonts w:eastAsia="Times New Roman"/>
                <w:sz w:val="20"/>
                <w:szCs w:val="20"/>
              </w:rPr>
            </w:pPr>
          </w:p>
        </w:tc>
        <w:tc>
          <w:tcPr>
            <w:tcW w:w="5" w:type="pct"/>
            <w:gridSpan w:val="3"/>
            <w:vAlign w:val="center"/>
            <w:hideMark/>
          </w:tcPr>
          <w:p w14:paraId="75B79454" w14:textId="77777777" w:rsidR="00000000" w:rsidRDefault="00A173A8">
            <w:pPr>
              <w:spacing w:after="100"/>
              <w:rPr>
                <w:rFonts w:eastAsia="Times New Roman"/>
                <w:sz w:val="20"/>
                <w:szCs w:val="20"/>
              </w:rPr>
            </w:pPr>
          </w:p>
        </w:tc>
        <w:tc>
          <w:tcPr>
            <w:tcW w:w="5" w:type="pct"/>
            <w:gridSpan w:val="3"/>
            <w:vAlign w:val="center"/>
            <w:hideMark/>
          </w:tcPr>
          <w:p w14:paraId="1EC24C7C" w14:textId="77777777" w:rsidR="00000000" w:rsidRDefault="00A173A8">
            <w:pPr>
              <w:spacing w:after="100"/>
              <w:rPr>
                <w:rFonts w:eastAsia="Times New Roman"/>
                <w:sz w:val="20"/>
                <w:szCs w:val="20"/>
              </w:rPr>
            </w:pPr>
          </w:p>
        </w:tc>
        <w:tc>
          <w:tcPr>
            <w:tcW w:w="26" w:type="pct"/>
            <w:gridSpan w:val="2"/>
            <w:vAlign w:val="center"/>
            <w:hideMark/>
          </w:tcPr>
          <w:p w14:paraId="1EFCEF2A" w14:textId="77777777" w:rsidR="00000000" w:rsidRDefault="00A173A8">
            <w:pPr>
              <w:spacing w:after="100"/>
              <w:rPr>
                <w:rFonts w:eastAsia="Times New Roman"/>
                <w:sz w:val="20"/>
                <w:szCs w:val="20"/>
              </w:rPr>
            </w:pPr>
          </w:p>
        </w:tc>
        <w:tc>
          <w:tcPr>
            <w:tcW w:w="5" w:type="pct"/>
            <w:vAlign w:val="center"/>
            <w:hideMark/>
          </w:tcPr>
          <w:p w14:paraId="686FE7FC" w14:textId="77777777" w:rsidR="00000000" w:rsidRDefault="00A173A8">
            <w:pPr>
              <w:spacing w:after="100"/>
              <w:rPr>
                <w:rFonts w:eastAsia="Times New Roman"/>
                <w:sz w:val="20"/>
                <w:szCs w:val="20"/>
              </w:rPr>
            </w:pPr>
          </w:p>
        </w:tc>
        <w:tc>
          <w:tcPr>
            <w:tcW w:w="50" w:type="pct"/>
            <w:vAlign w:val="center"/>
            <w:hideMark/>
          </w:tcPr>
          <w:p w14:paraId="2823A490" w14:textId="77777777" w:rsidR="00000000" w:rsidRDefault="00A173A8">
            <w:pPr>
              <w:spacing w:after="100"/>
              <w:rPr>
                <w:rFonts w:eastAsia="Times New Roman"/>
                <w:sz w:val="20"/>
                <w:szCs w:val="20"/>
              </w:rPr>
            </w:pPr>
          </w:p>
        </w:tc>
        <w:tc>
          <w:tcPr>
            <w:tcW w:w="412" w:type="pct"/>
            <w:gridSpan w:val="7"/>
            <w:vAlign w:val="center"/>
            <w:hideMark/>
          </w:tcPr>
          <w:p w14:paraId="7A6CDF02" w14:textId="77777777" w:rsidR="00000000" w:rsidRDefault="00A173A8">
            <w:pPr>
              <w:spacing w:after="100"/>
              <w:rPr>
                <w:rFonts w:eastAsia="Times New Roman"/>
                <w:sz w:val="20"/>
                <w:szCs w:val="20"/>
              </w:rPr>
            </w:pPr>
          </w:p>
        </w:tc>
        <w:tc>
          <w:tcPr>
            <w:tcW w:w="5" w:type="pct"/>
            <w:vAlign w:val="center"/>
            <w:hideMark/>
          </w:tcPr>
          <w:p w14:paraId="3DB4407E" w14:textId="77777777" w:rsidR="00000000" w:rsidRDefault="00A173A8">
            <w:pPr>
              <w:spacing w:after="100"/>
              <w:rPr>
                <w:rFonts w:eastAsia="Times New Roman"/>
                <w:sz w:val="20"/>
                <w:szCs w:val="20"/>
              </w:rPr>
            </w:pPr>
          </w:p>
        </w:tc>
        <w:tc>
          <w:tcPr>
            <w:tcW w:w="5" w:type="pct"/>
            <w:gridSpan w:val="2"/>
            <w:vAlign w:val="center"/>
            <w:hideMark/>
          </w:tcPr>
          <w:p w14:paraId="471B09D9" w14:textId="77777777" w:rsidR="00000000" w:rsidRDefault="00A173A8">
            <w:pPr>
              <w:spacing w:after="100"/>
              <w:rPr>
                <w:rFonts w:eastAsia="Times New Roman"/>
                <w:sz w:val="20"/>
                <w:szCs w:val="20"/>
              </w:rPr>
            </w:pPr>
          </w:p>
        </w:tc>
        <w:tc>
          <w:tcPr>
            <w:tcW w:w="26" w:type="pct"/>
            <w:gridSpan w:val="3"/>
            <w:vAlign w:val="center"/>
            <w:hideMark/>
          </w:tcPr>
          <w:p w14:paraId="7355AF22" w14:textId="77777777" w:rsidR="00000000" w:rsidRDefault="00A173A8">
            <w:pPr>
              <w:spacing w:after="100"/>
              <w:rPr>
                <w:rFonts w:eastAsia="Times New Roman"/>
                <w:sz w:val="20"/>
                <w:szCs w:val="20"/>
              </w:rPr>
            </w:pPr>
          </w:p>
        </w:tc>
        <w:tc>
          <w:tcPr>
            <w:tcW w:w="5" w:type="pct"/>
            <w:gridSpan w:val="3"/>
            <w:vAlign w:val="center"/>
            <w:hideMark/>
          </w:tcPr>
          <w:p w14:paraId="392C9B5F" w14:textId="77777777" w:rsidR="00000000" w:rsidRDefault="00A173A8">
            <w:pPr>
              <w:spacing w:after="100"/>
              <w:rPr>
                <w:rFonts w:eastAsia="Times New Roman"/>
                <w:sz w:val="20"/>
                <w:szCs w:val="20"/>
              </w:rPr>
            </w:pPr>
          </w:p>
        </w:tc>
        <w:tc>
          <w:tcPr>
            <w:tcW w:w="50" w:type="pct"/>
            <w:gridSpan w:val="2"/>
            <w:vAlign w:val="center"/>
            <w:hideMark/>
          </w:tcPr>
          <w:p w14:paraId="7F515443" w14:textId="77777777" w:rsidR="00000000" w:rsidRDefault="00A173A8">
            <w:pPr>
              <w:spacing w:after="100"/>
              <w:rPr>
                <w:rFonts w:eastAsia="Times New Roman"/>
                <w:sz w:val="20"/>
                <w:szCs w:val="20"/>
              </w:rPr>
            </w:pPr>
          </w:p>
        </w:tc>
        <w:tc>
          <w:tcPr>
            <w:tcW w:w="412" w:type="pct"/>
            <w:gridSpan w:val="5"/>
            <w:vAlign w:val="center"/>
            <w:hideMark/>
          </w:tcPr>
          <w:p w14:paraId="6E1A9CDA" w14:textId="77777777" w:rsidR="00000000" w:rsidRDefault="00A173A8">
            <w:pPr>
              <w:spacing w:after="100"/>
              <w:rPr>
                <w:rFonts w:eastAsia="Times New Roman"/>
                <w:sz w:val="20"/>
                <w:szCs w:val="20"/>
              </w:rPr>
            </w:pPr>
          </w:p>
        </w:tc>
        <w:tc>
          <w:tcPr>
            <w:tcW w:w="5" w:type="pct"/>
            <w:gridSpan w:val="3"/>
            <w:vAlign w:val="center"/>
            <w:hideMark/>
          </w:tcPr>
          <w:p w14:paraId="0E00439F" w14:textId="77777777" w:rsidR="00000000" w:rsidRDefault="00A173A8">
            <w:pPr>
              <w:spacing w:after="100"/>
              <w:rPr>
                <w:rFonts w:eastAsia="Times New Roman"/>
                <w:sz w:val="20"/>
                <w:szCs w:val="20"/>
              </w:rPr>
            </w:pPr>
          </w:p>
        </w:tc>
        <w:tc>
          <w:tcPr>
            <w:tcW w:w="5" w:type="pct"/>
            <w:vAlign w:val="center"/>
            <w:hideMark/>
          </w:tcPr>
          <w:p w14:paraId="3B2ED7F2" w14:textId="77777777" w:rsidR="00000000" w:rsidRDefault="00A173A8">
            <w:pPr>
              <w:spacing w:after="100"/>
              <w:rPr>
                <w:rFonts w:eastAsia="Times New Roman"/>
                <w:sz w:val="20"/>
                <w:szCs w:val="20"/>
              </w:rPr>
            </w:pPr>
          </w:p>
        </w:tc>
        <w:tc>
          <w:tcPr>
            <w:tcW w:w="26" w:type="pct"/>
            <w:vAlign w:val="center"/>
            <w:hideMark/>
          </w:tcPr>
          <w:p w14:paraId="0F1F26B3" w14:textId="77777777" w:rsidR="00000000" w:rsidRDefault="00A173A8">
            <w:pPr>
              <w:spacing w:after="100"/>
              <w:rPr>
                <w:rFonts w:eastAsia="Times New Roman"/>
                <w:sz w:val="20"/>
                <w:szCs w:val="20"/>
              </w:rPr>
            </w:pPr>
          </w:p>
        </w:tc>
        <w:tc>
          <w:tcPr>
            <w:tcW w:w="5" w:type="pct"/>
            <w:gridSpan w:val="2"/>
            <w:vAlign w:val="center"/>
            <w:hideMark/>
          </w:tcPr>
          <w:p w14:paraId="391C54F4" w14:textId="77777777" w:rsidR="00000000" w:rsidRDefault="00A173A8">
            <w:pPr>
              <w:spacing w:after="100"/>
              <w:rPr>
                <w:rFonts w:eastAsia="Times New Roman"/>
                <w:sz w:val="20"/>
                <w:szCs w:val="20"/>
              </w:rPr>
            </w:pPr>
          </w:p>
        </w:tc>
        <w:tc>
          <w:tcPr>
            <w:tcW w:w="50" w:type="pct"/>
            <w:gridSpan w:val="3"/>
            <w:vAlign w:val="center"/>
            <w:hideMark/>
          </w:tcPr>
          <w:p w14:paraId="0EF3E9C3" w14:textId="77777777" w:rsidR="00000000" w:rsidRDefault="00A173A8">
            <w:pPr>
              <w:spacing w:after="100"/>
              <w:rPr>
                <w:rFonts w:eastAsia="Times New Roman"/>
                <w:sz w:val="20"/>
                <w:szCs w:val="20"/>
              </w:rPr>
            </w:pPr>
          </w:p>
        </w:tc>
        <w:tc>
          <w:tcPr>
            <w:tcW w:w="412" w:type="pct"/>
            <w:gridSpan w:val="12"/>
            <w:vAlign w:val="center"/>
            <w:hideMark/>
          </w:tcPr>
          <w:p w14:paraId="3E5B9E81" w14:textId="77777777" w:rsidR="00000000" w:rsidRDefault="00A173A8">
            <w:pPr>
              <w:spacing w:after="100"/>
              <w:rPr>
                <w:rFonts w:eastAsia="Times New Roman"/>
                <w:sz w:val="20"/>
                <w:szCs w:val="20"/>
              </w:rPr>
            </w:pPr>
          </w:p>
        </w:tc>
        <w:tc>
          <w:tcPr>
            <w:tcW w:w="5" w:type="pct"/>
            <w:vAlign w:val="center"/>
            <w:hideMark/>
          </w:tcPr>
          <w:p w14:paraId="5BDC8B56" w14:textId="77777777" w:rsidR="00000000" w:rsidRDefault="00A173A8">
            <w:pPr>
              <w:spacing w:after="100"/>
              <w:rPr>
                <w:rFonts w:eastAsia="Times New Roman"/>
                <w:sz w:val="20"/>
                <w:szCs w:val="20"/>
              </w:rPr>
            </w:pPr>
          </w:p>
        </w:tc>
        <w:tc>
          <w:tcPr>
            <w:tcW w:w="5" w:type="pct"/>
            <w:vAlign w:val="center"/>
            <w:hideMark/>
          </w:tcPr>
          <w:p w14:paraId="36DA3F3B" w14:textId="77777777" w:rsidR="00000000" w:rsidRDefault="00A173A8">
            <w:pPr>
              <w:spacing w:after="100"/>
              <w:rPr>
                <w:rFonts w:eastAsia="Times New Roman"/>
                <w:sz w:val="20"/>
                <w:szCs w:val="20"/>
              </w:rPr>
            </w:pPr>
          </w:p>
        </w:tc>
        <w:tc>
          <w:tcPr>
            <w:tcW w:w="26" w:type="pct"/>
            <w:vAlign w:val="center"/>
            <w:hideMark/>
          </w:tcPr>
          <w:p w14:paraId="6DB87DDE" w14:textId="77777777" w:rsidR="00000000" w:rsidRDefault="00A173A8">
            <w:pPr>
              <w:spacing w:after="100"/>
              <w:rPr>
                <w:rFonts w:eastAsia="Times New Roman"/>
                <w:sz w:val="20"/>
                <w:szCs w:val="20"/>
              </w:rPr>
            </w:pPr>
          </w:p>
        </w:tc>
        <w:tc>
          <w:tcPr>
            <w:tcW w:w="5" w:type="pct"/>
            <w:vAlign w:val="center"/>
            <w:hideMark/>
          </w:tcPr>
          <w:p w14:paraId="59C199C5" w14:textId="77777777" w:rsidR="00000000" w:rsidRDefault="00A173A8">
            <w:pPr>
              <w:spacing w:after="100"/>
              <w:rPr>
                <w:rFonts w:eastAsia="Times New Roman"/>
                <w:sz w:val="20"/>
                <w:szCs w:val="20"/>
              </w:rPr>
            </w:pPr>
          </w:p>
        </w:tc>
        <w:tc>
          <w:tcPr>
            <w:tcW w:w="50" w:type="pct"/>
            <w:vAlign w:val="center"/>
            <w:hideMark/>
          </w:tcPr>
          <w:p w14:paraId="7334F899" w14:textId="77777777" w:rsidR="00000000" w:rsidRDefault="00A173A8">
            <w:pPr>
              <w:spacing w:after="100"/>
              <w:rPr>
                <w:rFonts w:eastAsia="Times New Roman"/>
                <w:sz w:val="20"/>
                <w:szCs w:val="20"/>
              </w:rPr>
            </w:pPr>
          </w:p>
        </w:tc>
        <w:tc>
          <w:tcPr>
            <w:tcW w:w="412" w:type="pct"/>
            <w:vAlign w:val="center"/>
            <w:hideMark/>
          </w:tcPr>
          <w:p w14:paraId="52320436" w14:textId="77777777" w:rsidR="00000000" w:rsidRDefault="00A173A8">
            <w:pPr>
              <w:spacing w:after="100"/>
              <w:rPr>
                <w:rFonts w:eastAsia="Times New Roman"/>
                <w:sz w:val="20"/>
                <w:szCs w:val="20"/>
              </w:rPr>
            </w:pPr>
          </w:p>
        </w:tc>
        <w:tc>
          <w:tcPr>
            <w:tcW w:w="5" w:type="pct"/>
            <w:vAlign w:val="center"/>
            <w:hideMark/>
          </w:tcPr>
          <w:p w14:paraId="63D8648E" w14:textId="77777777" w:rsidR="00000000" w:rsidRDefault="00A173A8">
            <w:pPr>
              <w:spacing w:after="100"/>
              <w:rPr>
                <w:rFonts w:eastAsia="Times New Roman"/>
                <w:sz w:val="20"/>
                <w:szCs w:val="20"/>
              </w:rPr>
            </w:pPr>
          </w:p>
        </w:tc>
        <w:tc>
          <w:tcPr>
            <w:tcW w:w="5" w:type="pct"/>
            <w:vAlign w:val="center"/>
            <w:hideMark/>
          </w:tcPr>
          <w:p w14:paraId="7F968CB9" w14:textId="77777777" w:rsidR="00000000" w:rsidRDefault="00A173A8">
            <w:pPr>
              <w:spacing w:after="100"/>
              <w:rPr>
                <w:rFonts w:eastAsia="Times New Roman"/>
                <w:sz w:val="20"/>
                <w:szCs w:val="20"/>
              </w:rPr>
            </w:pPr>
          </w:p>
        </w:tc>
        <w:tc>
          <w:tcPr>
            <w:tcW w:w="26" w:type="pct"/>
            <w:vAlign w:val="center"/>
            <w:hideMark/>
          </w:tcPr>
          <w:p w14:paraId="4DA1A00C" w14:textId="77777777" w:rsidR="00000000" w:rsidRDefault="00A173A8">
            <w:pPr>
              <w:spacing w:after="100"/>
              <w:rPr>
                <w:rFonts w:eastAsia="Times New Roman"/>
                <w:sz w:val="20"/>
                <w:szCs w:val="20"/>
              </w:rPr>
            </w:pPr>
          </w:p>
        </w:tc>
        <w:tc>
          <w:tcPr>
            <w:tcW w:w="5" w:type="pct"/>
            <w:vAlign w:val="center"/>
            <w:hideMark/>
          </w:tcPr>
          <w:p w14:paraId="4C85DC87" w14:textId="77777777" w:rsidR="00000000" w:rsidRDefault="00A173A8">
            <w:pPr>
              <w:spacing w:after="100"/>
              <w:rPr>
                <w:rFonts w:eastAsia="Times New Roman"/>
                <w:sz w:val="20"/>
                <w:szCs w:val="20"/>
              </w:rPr>
            </w:pPr>
          </w:p>
        </w:tc>
        <w:tc>
          <w:tcPr>
            <w:tcW w:w="50" w:type="pct"/>
            <w:vAlign w:val="center"/>
            <w:hideMark/>
          </w:tcPr>
          <w:p w14:paraId="4669FDA9" w14:textId="77777777" w:rsidR="00000000" w:rsidRDefault="00A173A8">
            <w:pPr>
              <w:spacing w:after="100"/>
              <w:rPr>
                <w:rFonts w:eastAsia="Times New Roman"/>
                <w:sz w:val="20"/>
                <w:szCs w:val="20"/>
              </w:rPr>
            </w:pPr>
          </w:p>
        </w:tc>
        <w:tc>
          <w:tcPr>
            <w:tcW w:w="412" w:type="pct"/>
            <w:vAlign w:val="center"/>
            <w:hideMark/>
          </w:tcPr>
          <w:p w14:paraId="6B351555" w14:textId="77777777" w:rsidR="00000000" w:rsidRDefault="00A173A8">
            <w:pPr>
              <w:spacing w:after="100"/>
              <w:rPr>
                <w:rFonts w:eastAsia="Times New Roman"/>
                <w:sz w:val="20"/>
                <w:szCs w:val="20"/>
              </w:rPr>
            </w:pPr>
          </w:p>
        </w:tc>
        <w:tc>
          <w:tcPr>
            <w:tcW w:w="5" w:type="pct"/>
            <w:vAlign w:val="center"/>
            <w:hideMark/>
          </w:tcPr>
          <w:p w14:paraId="6E804F05" w14:textId="77777777" w:rsidR="00000000" w:rsidRDefault="00A173A8">
            <w:pPr>
              <w:spacing w:after="100"/>
              <w:rPr>
                <w:rFonts w:eastAsia="Times New Roman"/>
                <w:sz w:val="20"/>
                <w:szCs w:val="20"/>
              </w:rPr>
            </w:pPr>
          </w:p>
        </w:tc>
        <w:tc>
          <w:tcPr>
            <w:tcW w:w="5" w:type="pct"/>
            <w:vAlign w:val="center"/>
            <w:hideMark/>
          </w:tcPr>
          <w:p w14:paraId="4B645772" w14:textId="77777777" w:rsidR="00000000" w:rsidRDefault="00A173A8">
            <w:pPr>
              <w:spacing w:after="100"/>
              <w:rPr>
                <w:rFonts w:eastAsia="Times New Roman"/>
                <w:sz w:val="20"/>
                <w:szCs w:val="20"/>
              </w:rPr>
            </w:pPr>
          </w:p>
        </w:tc>
        <w:tc>
          <w:tcPr>
            <w:tcW w:w="26" w:type="pct"/>
            <w:vAlign w:val="center"/>
            <w:hideMark/>
          </w:tcPr>
          <w:p w14:paraId="637B8827" w14:textId="77777777" w:rsidR="00000000" w:rsidRDefault="00A173A8">
            <w:pPr>
              <w:spacing w:after="100"/>
              <w:rPr>
                <w:rFonts w:eastAsia="Times New Roman"/>
                <w:sz w:val="20"/>
                <w:szCs w:val="20"/>
              </w:rPr>
            </w:pPr>
          </w:p>
        </w:tc>
        <w:tc>
          <w:tcPr>
            <w:tcW w:w="5" w:type="pct"/>
            <w:vAlign w:val="center"/>
            <w:hideMark/>
          </w:tcPr>
          <w:p w14:paraId="152334E9" w14:textId="77777777" w:rsidR="00000000" w:rsidRDefault="00A173A8">
            <w:pPr>
              <w:spacing w:after="100"/>
              <w:rPr>
                <w:rFonts w:eastAsia="Times New Roman"/>
                <w:sz w:val="20"/>
                <w:szCs w:val="20"/>
              </w:rPr>
            </w:pPr>
          </w:p>
        </w:tc>
        <w:tc>
          <w:tcPr>
            <w:tcW w:w="50" w:type="pct"/>
            <w:vAlign w:val="center"/>
            <w:hideMark/>
          </w:tcPr>
          <w:p w14:paraId="02B181F9" w14:textId="77777777" w:rsidR="00000000" w:rsidRDefault="00A173A8">
            <w:pPr>
              <w:spacing w:after="100"/>
              <w:rPr>
                <w:rFonts w:eastAsia="Times New Roman"/>
                <w:sz w:val="20"/>
                <w:szCs w:val="20"/>
              </w:rPr>
            </w:pPr>
          </w:p>
        </w:tc>
        <w:tc>
          <w:tcPr>
            <w:tcW w:w="413" w:type="pct"/>
            <w:vAlign w:val="center"/>
            <w:hideMark/>
          </w:tcPr>
          <w:p w14:paraId="6ED3F131" w14:textId="77777777" w:rsidR="00000000" w:rsidRDefault="00A173A8">
            <w:pPr>
              <w:spacing w:after="100"/>
              <w:rPr>
                <w:rFonts w:eastAsia="Times New Roman"/>
                <w:sz w:val="20"/>
                <w:szCs w:val="20"/>
              </w:rPr>
            </w:pPr>
          </w:p>
        </w:tc>
        <w:tc>
          <w:tcPr>
            <w:tcW w:w="5" w:type="pct"/>
            <w:vAlign w:val="center"/>
            <w:hideMark/>
          </w:tcPr>
          <w:p w14:paraId="53D8C66F" w14:textId="77777777" w:rsidR="00000000" w:rsidRDefault="00A173A8">
            <w:pPr>
              <w:spacing w:after="100"/>
              <w:rPr>
                <w:rFonts w:eastAsia="Times New Roman"/>
                <w:sz w:val="20"/>
                <w:szCs w:val="20"/>
              </w:rPr>
            </w:pPr>
          </w:p>
        </w:tc>
        <w:tc>
          <w:tcPr>
            <w:tcW w:w="0" w:type="auto"/>
            <w:gridSpan w:val="3"/>
            <w:vAlign w:val="center"/>
            <w:hideMark/>
          </w:tcPr>
          <w:p w14:paraId="3E4174CE" w14:textId="77777777" w:rsidR="00000000" w:rsidRDefault="00A173A8">
            <w:pPr>
              <w:spacing w:after="100"/>
              <w:rPr>
                <w:rFonts w:eastAsia="Times New Roman"/>
                <w:sz w:val="20"/>
                <w:szCs w:val="20"/>
              </w:rPr>
            </w:pPr>
          </w:p>
        </w:tc>
        <w:tc>
          <w:tcPr>
            <w:tcW w:w="0" w:type="auto"/>
            <w:gridSpan w:val="3"/>
            <w:vAlign w:val="center"/>
            <w:hideMark/>
          </w:tcPr>
          <w:p w14:paraId="702ACC90" w14:textId="77777777" w:rsidR="00000000" w:rsidRDefault="00A173A8">
            <w:pPr>
              <w:spacing w:after="100"/>
              <w:rPr>
                <w:rFonts w:eastAsia="Times New Roman"/>
                <w:sz w:val="20"/>
                <w:szCs w:val="20"/>
              </w:rPr>
            </w:pPr>
          </w:p>
        </w:tc>
        <w:tc>
          <w:tcPr>
            <w:tcW w:w="0" w:type="auto"/>
            <w:gridSpan w:val="3"/>
            <w:vAlign w:val="center"/>
            <w:hideMark/>
          </w:tcPr>
          <w:p w14:paraId="34F6A653" w14:textId="77777777" w:rsidR="00000000" w:rsidRDefault="00A173A8">
            <w:pPr>
              <w:spacing w:after="100"/>
              <w:rPr>
                <w:rFonts w:eastAsia="Times New Roman"/>
                <w:sz w:val="20"/>
                <w:szCs w:val="20"/>
              </w:rPr>
            </w:pPr>
          </w:p>
        </w:tc>
        <w:tc>
          <w:tcPr>
            <w:tcW w:w="0" w:type="auto"/>
            <w:gridSpan w:val="2"/>
            <w:vAlign w:val="center"/>
            <w:hideMark/>
          </w:tcPr>
          <w:p w14:paraId="75579B49" w14:textId="77777777" w:rsidR="00000000" w:rsidRDefault="00A173A8">
            <w:pPr>
              <w:spacing w:after="100"/>
              <w:rPr>
                <w:rFonts w:eastAsia="Times New Roman"/>
                <w:sz w:val="20"/>
                <w:szCs w:val="20"/>
              </w:rPr>
            </w:pPr>
          </w:p>
        </w:tc>
        <w:tc>
          <w:tcPr>
            <w:tcW w:w="0" w:type="auto"/>
            <w:vAlign w:val="center"/>
            <w:hideMark/>
          </w:tcPr>
          <w:p w14:paraId="3CED3741" w14:textId="77777777" w:rsidR="00000000" w:rsidRDefault="00A173A8">
            <w:pPr>
              <w:spacing w:after="100"/>
              <w:rPr>
                <w:rFonts w:eastAsia="Times New Roman"/>
                <w:sz w:val="20"/>
                <w:szCs w:val="20"/>
              </w:rPr>
            </w:pPr>
          </w:p>
        </w:tc>
      </w:tr>
      <w:tr w:rsidR="00000000" w14:paraId="147BEE92" w14:textId="77777777">
        <w:tc>
          <w:tcPr>
            <w:tcW w:w="0" w:type="auto"/>
            <w:gridSpan w:val="10"/>
            <w:tcMar>
              <w:top w:w="0" w:type="dxa"/>
              <w:left w:w="20" w:type="dxa"/>
              <w:bottom w:w="0" w:type="dxa"/>
              <w:right w:w="20" w:type="dxa"/>
            </w:tcMar>
            <w:vAlign w:val="center"/>
            <w:hideMark/>
          </w:tcPr>
          <w:p w14:paraId="4F1F2C39" w14:textId="77777777" w:rsidR="00000000" w:rsidRDefault="00A173A8">
            <w:pPr>
              <w:spacing w:after="100"/>
              <w:rPr>
                <w:rFonts w:eastAsia="Times New Roman"/>
                <w:sz w:val="20"/>
                <w:szCs w:val="20"/>
              </w:rPr>
            </w:pPr>
          </w:p>
        </w:tc>
        <w:tc>
          <w:tcPr>
            <w:tcW w:w="0" w:type="auto"/>
            <w:gridSpan w:val="9"/>
            <w:tcMar>
              <w:top w:w="0" w:type="dxa"/>
              <w:left w:w="20" w:type="dxa"/>
              <w:bottom w:w="0" w:type="dxa"/>
              <w:right w:w="20" w:type="dxa"/>
            </w:tcMar>
            <w:vAlign w:val="center"/>
            <w:hideMark/>
          </w:tcPr>
          <w:p w14:paraId="79F06F3B" w14:textId="77777777" w:rsidR="00000000" w:rsidRDefault="00A173A8">
            <w:pPr>
              <w:spacing w:after="100"/>
              <w:rPr>
                <w:rFonts w:eastAsia="Times New Roman"/>
                <w:sz w:val="20"/>
                <w:szCs w:val="20"/>
              </w:rPr>
            </w:pPr>
          </w:p>
        </w:tc>
        <w:tc>
          <w:tcPr>
            <w:tcW w:w="0" w:type="auto"/>
            <w:gridSpan w:val="95"/>
            <w:tcBorders>
              <w:bottom w:val="single" w:sz="8" w:space="0" w:color="000000"/>
            </w:tcBorders>
            <w:tcMar>
              <w:top w:w="30" w:type="dxa"/>
              <w:left w:w="20" w:type="dxa"/>
              <w:bottom w:w="30" w:type="dxa"/>
              <w:right w:w="20" w:type="dxa"/>
            </w:tcMar>
            <w:vAlign w:val="bottom"/>
            <w:hideMark/>
          </w:tcPr>
          <w:p w14:paraId="17E81330"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vAlign w:val="center"/>
            <w:hideMark/>
          </w:tcPr>
          <w:p w14:paraId="3D34C984" w14:textId="77777777" w:rsidR="00000000" w:rsidRDefault="00A173A8">
            <w:pPr>
              <w:spacing w:after="100"/>
              <w:rPr>
                <w:rFonts w:eastAsia="Times New Roman"/>
                <w:sz w:val="20"/>
                <w:szCs w:val="20"/>
              </w:rPr>
            </w:pPr>
          </w:p>
        </w:tc>
        <w:tc>
          <w:tcPr>
            <w:tcW w:w="0" w:type="auto"/>
            <w:vAlign w:val="center"/>
            <w:hideMark/>
          </w:tcPr>
          <w:p w14:paraId="2D23A5D2" w14:textId="77777777" w:rsidR="00000000" w:rsidRDefault="00A173A8">
            <w:pPr>
              <w:spacing w:after="100"/>
              <w:rPr>
                <w:rFonts w:eastAsia="Times New Roman"/>
                <w:sz w:val="20"/>
                <w:szCs w:val="20"/>
              </w:rPr>
            </w:pPr>
          </w:p>
        </w:tc>
        <w:tc>
          <w:tcPr>
            <w:tcW w:w="0" w:type="auto"/>
            <w:vAlign w:val="center"/>
            <w:hideMark/>
          </w:tcPr>
          <w:p w14:paraId="4B9D2D19" w14:textId="77777777" w:rsidR="00000000" w:rsidRDefault="00A173A8">
            <w:pPr>
              <w:spacing w:after="100"/>
              <w:rPr>
                <w:rFonts w:eastAsia="Times New Roman"/>
                <w:sz w:val="20"/>
                <w:szCs w:val="20"/>
              </w:rPr>
            </w:pPr>
          </w:p>
        </w:tc>
        <w:tc>
          <w:tcPr>
            <w:tcW w:w="0" w:type="auto"/>
            <w:vAlign w:val="center"/>
            <w:hideMark/>
          </w:tcPr>
          <w:p w14:paraId="67D800AE" w14:textId="77777777" w:rsidR="00000000" w:rsidRDefault="00A173A8">
            <w:pPr>
              <w:spacing w:after="100"/>
              <w:rPr>
                <w:rFonts w:eastAsia="Times New Roman"/>
                <w:sz w:val="20"/>
                <w:szCs w:val="20"/>
              </w:rPr>
            </w:pPr>
          </w:p>
        </w:tc>
        <w:tc>
          <w:tcPr>
            <w:tcW w:w="0" w:type="auto"/>
            <w:vAlign w:val="center"/>
            <w:hideMark/>
          </w:tcPr>
          <w:p w14:paraId="649F02ED" w14:textId="77777777" w:rsidR="00000000" w:rsidRDefault="00A173A8">
            <w:pPr>
              <w:spacing w:after="100"/>
              <w:rPr>
                <w:rFonts w:eastAsia="Times New Roman"/>
                <w:sz w:val="20"/>
                <w:szCs w:val="20"/>
              </w:rPr>
            </w:pPr>
          </w:p>
        </w:tc>
        <w:tc>
          <w:tcPr>
            <w:tcW w:w="0" w:type="auto"/>
            <w:vAlign w:val="center"/>
            <w:hideMark/>
          </w:tcPr>
          <w:p w14:paraId="434037A2" w14:textId="77777777" w:rsidR="00000000" w:rsidRDefault="00A173A8">
            <w:pPr>
              <w:spacing w:after="100"/>
              <w:rPr>
                <w:rFonts w:eastAsia="Times New Roman"/>
                <w:sz w:val="20"/>
                <w:szCs w:val="20"/>
              </w:rPr>
            </w:pPr>
          </w:p>
        </w:tc>
        <w:tc>
          <w:tcPr>
            <w:tcW w:w="0" w:type="auto"/>
            <w:vAlign w:val="center"/>
            <w:hideMark/>
          </w:tcPr>
          <w:p w14:paraId="11A30D28" w14:textId="77777777" w:rsidR="00000000" w:rsidRDefault="00A173A8">
            <w:pPr>
              <w:spacing w:after="100"/>
              <w:rPr>
                <w:rFonts w:eastAsia="Times New Roman"/>
                <w:sz w:val="20"/>
                <w:szCs w:val="20"/>
              </w:rPr>
            </w:pPr>
          </w:p>
        </w:tc>
        <w:tc>
          <w:tcPr>
            <w:tcW w:w="0" w:type="auto"/>
            <w:vAlign w:val="center"/>
            <w:hideMark/>
          </w:tcPr>
          <w:p w14:paraId="373C8010" w14:textId="77777777" w:rsidR="00000000" w:rsidRDefault="00A173A8">
            <w:pPr>
              <w:spacing w:after="100"/>
              <w:rPr>
                <w:rFonts w:eastAsia="Times New Roman"/>
                <w:sz w:val="20"/>
                <w:szCs w:val="20"/>
              </w:rPr>
            </w:pPr>
          </w:p>
        </w:tc>
        <w:tc>
          <w:tcPr>
            <w:tcW w:w="0" w:type="auto"/>
            <w:vAlign w:val="center"/>
            <w:hideMark/>
          </w:tcPr>
          <w:p w14:paraId="2709B90F" w14:textId="77777777" w:rsidR="00000000" w:rsidRDefault="00A173A8">
            <w:pPr>
              <w:spacing w:after="100"/>
              <w:rPr>
                <w:rFonts w:eastAsia="Times New Roman"/>
                <w:sz w:val="20"/>
                <w:szCs w:val="20"/>
              </w:rPr>
            </w:pPr>
          </w:p>
        </w:tc>
        <w:tc>
          <w:tcPr>
            <w:tcW w:w="0" w:type="auto"/>
            <w:vAlign w:val="center"/>
            <w:hideMark/>
          </w:tcPr>
          <w:p w14:paraId="3B0D46B9" w14:textId="77777777" w:rsidR="00000000" w:rsidRDefault="00A173A8">
            <w:pPr>
              <w:spacing w:after="100"/>
              <w:rPr>
                <w:rFonts w:eastAsia="Times New Roman"/>
                <w:sz w:val="20"/>
                <w:szCs w:val="20"/>
              </w:rPr>
            </w:pPr>
          </w:p>
        </w:tc>
        <w:tc>
          <w:tcPr>
            <w:tcW w:w="0" w:type="auto"/>
            <w:vAlign w:val="center"/>
            <w:hideMark/>
          </w:tcPr>
          <w:p w14:paraId="075EEB9F" w14:textId="77777777" w:rsidR="00000000" w:rsidRDefault="00A173A8">
            <w:pPr>
              <w:spacing w:after="100"/>
              <w:rPr>
                <w:rFonts w:eastAsia="Times New Roman"/>
                <w:sz w:val="20"/>
                <w:szCs w:val="20"/>
              </w:rPr>
            </w:pPr>
          </w:p>
        </w:tc>
        <w:tc>
          <w:tcPr>
            <w:tcW w:w="0" w:type="auto"/>
            <w:vAlign w:val="center"/>
            <w:hideMark/>
          </w:tcPr>
          <w:p w14:paraId="5F81E004" w14:textId="77777777" w:rsidR="00000000" w:rsidRDefault="00A173A8">
            <w:pPr>
              <w:spacing w:after="100"/>
              <w:rPr>
                <w:rFonts w:eastAsia="Times New Roman"/>
                <w:sz w:val="20"/>
                <w:szCs w:val="20"/>
              </w:rPr>
            </w:pPr>
          </w:p>
        </w:tc>
      </w:tr>
      <w:tr w:rsidR="00000000" w14:paraId="5C0229A9" w14:textId="77777777">
        <w:tc>
          <w:tcPr>
            <w:tcW w:w="0" w:type="auto"/>
            <w:gridSpan w:val="10"/>
            <w:tcMar>
              <w:top w:w="30" w:type="dxa"/>
              <w:left w:w="20" w:type="dxa"/>
              <w:bottom w:w="30" w:type="dxa"/>
              <w:right w:w="20" w:type="dxa"/>
            </w:tcMar>
            <w:vAlign w:val="bottom"/>
            <w:hideMark/>
          </w:tcPr>
          <w:p w14:paraId="717C06D7" w14:textId="77777777" w:rsidR="00000000" w:rsidRDefault="00A173A8">
            <w:pPr>
              <w:spacing w:after="100"/>
              <w:divId w:val="244799089"/>
              <w:rPr>
                <w:rFonts w:eastAsia="Times New Roman"/>
              </w:rPr>
            </w:pPr>
            <w:r>
              <w:rPr>
                <w:rFonts w:eastAsia="Times New Roman"/>
                <w:color w:val="000000"/>
                <w:sz w:val="20"/>
                <w:szCs w:val="20"/>
              </w:rPr>
              <w:t> </w:t>
            </w:r>
          </w:p>
        </w:tc>
        <w:tc>
          <w:tcPr>
            <w:tcW w:w="0" w:type="auto"/>
            <w:gridSpan w:val="9"/>
            <w:tcMar>
              <w:top w:w="0" w:type="dxa"/>
              <w:left w:w="20" w:type="dxa"/>
              <w:bottom w:w="0" w:type="dxa"/>
              <w:right w:w="20" w:type="dxa"/>
            </w:tcMar>
            <w:vAlign w:val="center"/>
            <w:hideMark/>
          </w:tcPr>
          <w:p w14:paraId="3E1F61F6" w14:textId="77777777" w:rsidR="00000000" w:rsidRDefault="00A173A8">
            <w:pPr>
              <w:spacing w:after="100"/>
              <w:rPr>
                <w:rFonts w:eastAsia="Times New Roman"/>
              </w:rPr>
            </w:pPr>
          </w:p>
        </w:tc>
        <w:tc>
          <w:tcPr>
            <w:tcW w:w="0" w:type="auto"/>
            <w:gridSpan w:val="57"/>
            <w:tcBorders>
              <w:top w:val="single" w:sz="8" w:space="0" w:color="000000"/>
              <w:bottom w:val="single" w:sz="8" w:space="0" w:color="000000"/>
            </w:tcBorders>
            <w:tcMar>
              <w:top w:w="30" w:type="dxa"/>
              <w:left w:w="20" w:type="dxa"/>
              <w:bottom w:w="30" w:type="dxa"/>
              <w:right w:w="20" w:type="dxa"/>
            </w:tcMar>
            <w:vAlign w:val="bottom"/>
            <w:hideMark/>
          </w:tcPr>
          <w:p w14:paraId="54FDFDF2"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4"/>
            <w:tcBorders>
              <w:top w:val="single" w:sz="8" w:space="0" w:color="000000"/>
            </w:tcBorders>
            <w:tcMar>
              <w:top w:w="0" w:type="dxa"/>
              <w:left w:w="20" w:type="dxa"/>
              <w:bottom w:w="0" w:type="dxa"/>
              <w:right w:w="20" w:type="dxa"/>
            </w:tcMar>
            <w:vAlign w:val="center"/>
            <w:hideMark/>
          </w:tcPr>
          <w:p w14:paraId="2F04161D" w14:textId="77777777" w:rsidR="00000000" w:rsidRDefault="00A173A8">
            <w:pPr>
              <w:spacing w:after="100"/>
              <w:jc w:val="center"/>
              <w:rPr>
                <w:rFonts w:eastAsia="Times New Roman"/>
              </w:rPr>
            </w:pPr>
          </w:p>
        </w:tc>
        <w:tc>
          <w:tcPr>
            <w:tcW w:w="0" w:type="auto"/>
            <w:gridSpan w:val="34"/>
            <w:tcBorders>
              <w:top w:val="single" w:sz="8" w:space="0" w:color="000000"/>
              <w:bottom w:val="single" w:sz="8" w:space="0" w:color="000000"/>
            </w:tcBorders>
            <w:tcMar>
              <w:top w:w="30" w:type="dxa"/>
              <w:left w:w="20" w:type="dxa"/>
              <w:bottom w:w="30" w:type="dxa"/>
              <w:right w:w="20" w:type="dxa"/>
            </w:tcMar>
            <w:vAlign w:val="bottom"/>
            <w:hideMark/>
          </w:tcPr>
          <w:p w14:paraId="4AD13146"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14:paraId="565C22FE" w14:textId="77777777" w:rsidR="00000000" w:rsidRDefault="00A173A8">
            <w:pPr>
              <w:spacing w:after="100"/>
              <w:jc w:val="center"/>
              <w:rPr>
                <w:rFonts w:eastAsia="Times New Roman"/>
              </w:rPr>
            </w:pPr>
          </w:p>
        </w:tc>
        <w:tc>
          <w:tcPr>
            <w:tcW w:w="0" w:type="auto"/>
            <w:gridSpan w:val="3"/>
            <w:vAlign w:val="center"/>
            <w:hideMark/>
          </w:tcPr>
          <w:p w14:paraId="27B75EF0" w14:textId="77777777" w:rsidR="00000000" w:rsidRDefault="00A173A8">
            <w:pPr>
              <w:spacing w:after="100"/>
              <w:rPr>
                <w:rFonts w:eastAsia="Times New Roman"/>
                <w:sz w:val="20"/>
                <w:szCs w:val="20"/>
              </w:rPr>
            </w:pPr>
          </w:p>
        </w:tc>
        <w:tc>
          <w:tcPr>
            <w:tcW w:w="0" w:type="auto"/>
            <w:vAlign w:val="center"/>
            <w:hideMark/>
          </w:tcPr>
          <w:p w14:paraId="40C1EFE9" w14:textId="77777777" w:rsidR="00000000" w:rsidRDefault="00A173A8">
            <w:pPr>
              <w:spacing w:after="100"/>
              <w:rPr>
                <w:rFonts w:eastAsia="Times New Roman"/>
                <w:sz w:val="20"/>
                <w:szCs w:val="20"/>
              </w:rPr>
            </w:pPr>
          </w:p>
        </w:tc>
        <w:tc>
          <w:tcPr>
            <w:tcW w:w="0" w:type="auto"/>
            <w:vAlign w:val="center"/>
            <w:hideMark/>
          </w:tcPr>
          <w:p w14:paraId="6B1D8580" w14:textId="77777777" w:rsidR="00000000" w:rsidRDefault="00A173A8">
            <w:pPr>
              <w:spacing w:after="100"/>
              <w:rPr>
                <w:rFonts w:eastAsia="Times New Roman"/>
                <w:sz w:val="20"/>
                <w:szCs w:val="20"/>
              </w:rPr>
            </w:pPr>
          </w:p>
        </w:tc>
        <w:tc>
          <w:tcPr>
            <w:tcW w:w="0" w:type="auto"/>
            <w:vAlign w:val="center"/>
            <w:hideMark/>
          </w:tcPr>
          <w:p w14:paraId="669760C1" w14:textId="77777777" w:rsidR="00000000" w:rsidRDefault="00A173A8">
            <w:pPr>
              <w:spacing w:after="100"/>
              <w:rPr>
                <w:rFonts w:eastAsia="Times New Roman"/>
                <w:sz w:val="20"/>
                <w:szCs w:val="20"/>
              </w:rPr>
            </w:pPr>
          </w:p>
        </w:tc>
        <w:tc>
          <w:tcPr>
            <w:tcW w:w="0" w:type="auto"/>
            <w:vAlign w:val="center"/>
            <w:hideMark/>
          </w:tcPr>
          <w:p w14:paraId="5867C39F" w14:textId="77777777" w:rsidR="00000000" w:rsidRDefault="00A173A8">
            <w:pPr>
              <w:spacing w:after="100"/>
              <w:rPr>
                <w:rFonts w:eastAsia="Times New Roman"/>
                <w:sz w:val="20"/>
                <w:szCs w:val="20"/>
              </w:rPr>
            </w:pPr>
          </w:p>
        </w:tc>
        <w:tc>
          <w:tcPr>
            <w:tcW w:w="0" w:type="auto"/>
            <w:vAlign w:val="center"/>
            <w:hideMark/>
          </w:tcPr>
          <w:p w14:paraId="1FC8A01A" w14:textId="77777777" w:rsidR="00000000" w:rsidRDefault="00A173A8">
            <w:pPr>
              <w:spacing w:after="100"/>
              <w:rPr>
                <w:rFonts w:eastAsia="Times New Roman"/>
                <w:sz w:val="20"/>
                <w:szCs w:val="20"/>
              </w:rPr>
            </w:pPr>
          </w:p>
        </w:tc>
        <w:tc>
          <w:tcPr>
            <w:tcW w:w="0" w:type="auto"/>
            <w:vAlign w:val="center"/>
            <w:hideMark/>
          </w:tcPr>
          <w:p w14:paraId="6EB2CA27" w14:textId="77777777" w:rsidR="00000000" w:rsidRDefault="00A173A8">
            <w:pPr>
              <w:spacing w:after="100"/>
              <w:rPr>
                <w:rFonts w:eastAsia="Times New Roman"/>
                <w:sz w:val="20"/>
                <w:szCs w:val="20"/>
              </w:rPr>
            </w:pPr>
          </w:p>
        </w:tc>
      </w:tr>
      <w:tr w:rsidR="00000000" w14:paraId="6D9CE388" w14:textId="77777777">
        <w:tc>
          <w:tcPr>
            <w:tcW w:w="0" w:type="auto"/>
            <w:gridSpan w:val="10"/>
            <w:tcMar>
              <w:top w:w="30" w:type="dxa"/>
              <w:left w:w="20" w:type="dxa"/>
              <w:bottom w:w="30" w:type="dxa"/>
              <w:right w:w="20" w:type="dxa"/>
            </w:tcMar>
            <w:vAlign w:val="bottom"/>
            <w:hideMark/>
          </w:tcPr>
          <w:p w14:paraId="5A051D06" w14:textId="77777777" w:rsidR="00000000" w:rsidRDefault="00A173A8">
            <w:pPr>
              <w:spacing w:after="100"/>
              <w:divId w:val="1573469405"/>
              <w:rPr>
                <w:rFonts w:eastAsia="Times New Roman"/>
              </w:rPr>
            </w:pPr>
            <w:r>
              <w:rPr>
                <w:rFonts w:eastAsia="Times New Roman"/>
                <w:color w:val="000000"/>
                <w:sz w:val="20"/>
                <w:szCs w:val="20"/>
              </w:rPr>
              <w:t> </w:t>
            </w:r>
          </w:p>
        </w:tc>
        <w:tc>
          <w:tcPr>
            <w:tcW w:w="0" w:type="auto"/>
            <w:gridSpan w:val="9"/>
            <w:tcMar>
              <w:top w:w="0" w:type="dxa"/>
              <w:left w:w="20" w:type="dxa"/>
              <w:bottom w:w="0" w:type="dxa"/>
              <w:right w:w="20" w:type="dxa"/>
            </w:tcMar>
            <w:vAlign w:val="center"/>
            <w:hideMark/>
          </w:tcPr>
          <w:p w14:paraId="113746D9" w14:textId="77777777" w:rsidR="00000000" w:rsidRDefault="00A173A8">
            <w:pPr>
              <w:spacing w:after="100"/>
              <w:rPr>
                <w:rFonts w:eastAsia="Times New Roman"/>
              </w:rPr>
            </w:pPr>
          </w:p>
        </w:tc>
        <w:tc>
          <w:tcPr>
            <w:tcW w:w="0" w:type="auto"/>
            <w:gridSpan w:val="24"/>
            <w:tcBorders>
              <w:top w:val="single" w:sz="8" w:space="0" w:color="000000"/>
            </w:tcBorders>
            <w:tcMar>
              <w:top w:w="30" w:type="dxa"/>
              <w:left w:w="20" w:type="dxa"/>
              <w:bottom w:w="30" w:type="dxa"/>
              <w:right w:w="20" w:type="dxa"/>
            </w:tcMar>
            <w:vAlign w:val="bottom"/>
            <w:hideMark/>
          </w:tcPr>
          <w:p w14:paraId="10A5BA3E" w14:textId="77777777" w:rsidR="00000000" w:rsidRDefault="00A173A8">
            <w:pPr>
              <w:spacing w:after="100"/>
              <w:jc w:val="center"/>
              <w:rPr>
                <w:rFonts w:eastAsia="Times New Roman"/>
              </w:rPr>
            </w:pPr>
            <w:r>
              <w:rPr>
                <w:rFonts w:eastAsia="Times New Roman"/>
                <w:b/>
                <w:bCs/>
                <w:color w:val="000000"/>
                <w:sz w:val="20"/>
                <w:szCs w:val="20"/>
              </w:rPr>
              <w:t>Total Net</w:t>
            </w:r>
            <w:r>
              <w:rPr>
                <w:rFonts w:eastAsia="Times New Roman"/>
                <w:b/>
                <w:bCs/>
                <w:color w:val="000000"/>
                <w:sz w:val="20"/>
                <w:szCs w:val="20"/>
              </w:rPr>
              <w:br/>
              <w:t>Revenue (Loss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6"/>
            <w:tcBorders>
              <w:top w:val="single" w:sz="8" w:space="0" w:color="000000"/>
            </w:tcBorders>
            <w:tcMar>
              <w:top w:w="0" w:type="dxa"/>
              <w:left w:w="20" w:type="dxa"/>
              <w:bottom w:w="0" w:type="dxa"/>
              <w:right w:w="20" w:type="dxa"/>
            </w:tcMar>
            <w:vAlign w:val="center"/>
            <w:hideMark/>
          </w:tcPr>
          <w:p w14:paraId="40E693F8" w14:textId="77777777" w:rsidR="00000000" w:rsidRDefault="00A173A8">
            <w:pPr>
              <w:spacing w:after="100"/>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14:paraId="68C77AD1" w14:textId="77777777" w:rsidR="00000000" w:rsidRDefault="00A173A8">
            <w:pPr>
              <w:spacing w:after="100"/>
              <w:jc w:val="center"/>
              <w:rPr>
                <w:rFonts w:eastAsia="Times New Roman"/>
              </w:rPr>
            </w:pPr>
            <w:r>
              <w:rPr>
                <w:rFonts w:eastAsia="Times New Roman"/>
                <w:b/>
                <w:bCs/>
                <w:color w:val="000000"/>
                <w:sz w:val="20"/>
                <w:szCs w:val="20"/>
              </w:rPr>
              <w:t>Net Income</w:t>
            </w:r>
          </w:p>
          <w:p w14:paraId="47BF8914" w14:textId="77777777" w:rsidR="00000000" w:rsidRDefault="00A173A8">
            <w:pPr>
              <w:spacing w:after="100"/>
              <w:jc w:val="center"/>
              <w:rPr>
                <w:rFonts w:eastAsia="Times New Roman"/>
              </w:rPr>
            </w:pPr>
            <w:r>
              <w:rPr>
                <w:rFonts w:eastAsia="Times New Roman"/>
                <w:b/>
                <w:bCs/>
                <w:color w:val="000000"/>
                <w:sz w:val="20"/>
                <w:szCs w:val="20"/>
              </w:rPr>
              <w:t>(Loss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4"/>
            <w:tcMar>
              <w:top w:w="0" w:type="dxa"/>
              <w:left w:w="20" w:type="dxa"/>
              <w:bottom w:w="0" w:type="dxa"/>
              <w:right w:w="20" w:type="dxa"/>
            </w:tcMar>
            <w:vAlign w:val="center"/>
            <w:hideMark/>
          </w:tcPr>
          <w:p w14:paraId="19FAA659" w14:textId="77777777" w:rsidR="00000000" w:rsidRDefault="00A173A8">
            <w:pPr>
              <w:spacing w:after="100"/>
              <w:jc w:val="center"/>
              <w:rPr>
                <w:rFonts w:eastAsia="Times New Roman"/>
              </w:rPr>
            </w:pPr>
          </w:p>
        </w:tc>
        <w:tc>
          <w:tcPr>
            <w:tcW w:w="0" w:type="auto"/>
            <w:gridSpan w:val="22"/>
            <w:tcBorders>
              <w:top w:val="single" w:sz="8" w:space="0" w:color="000000"/>
            </w:tcBorders>
            <w:tcMar>
              <w:top w:w="30" w:type="dxa"/>
              <w:left w:w="20" w:type="dxa"/>
              <w:bottom w:w="30" w:type="dxa"/>
              <w:right w:w="20" w:type="dxa"/>
            </w:tcMar>
            <w:vAlign w:val="bottom"/>
            <w:hideMark/>
          </w:tcPr>
          <w:p w14:paraId="3FCC7541" w14:textId="77777777" w:rsidR="00000000" w:rsidRDefault="00A173A8">
            <w:pPr>
              <w:spacing w:after="100"/>
              <w:jc w:val="center"/>
              <w:rPr>
                <w:rFonts w:eastAsia="Times New Roman"/>
              </w:rPr>
            </w:pPr>
            <w:r>
              <w:rPr>
                <w:rFonts w:eastAsia="Times New Roman"/>
                <w:b/>
                <w:bCs/>
                <w:color w:val="000000"/>
                <w:sz w:val="20"/>
                <w:szCs w:val="20"/>
              </w:rPr>
              <w:t>Total Net</w:t>
            </w:r>
            <w:r>
              <w:rPr>
                <w:rFonts w:eastAsia="Times New Roman"/>
                <w:b/>
                <w:bCs/>
                <w:color w:val="000000"/>
                <w:sz w:val="20"/>
                <w:szCs w:val="20"/>
              </w:rPr>
              <w:br/>
              <w:t>Revenue (Loss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tcBorders>
              <w:top w:val="single" w:sz="8" w:space="0" w:color="000000"/>
            </w:tcBorders>
            <w:tcMar>
              <w:top w:w="0" w:type="dxa"/>
              <w:left w:w="20" w:type="dxa"/>
              <w:bottom w:w="0" w:type="dxa"/>
              <w:right w:w="20" w:type="dxa"/>
            </w:tcMar>
            <w:vAlign w:val="center"/>
            <w:hideMark/>
          </w:tcPr>
          <w:p w14:paraId="21BB1F0C"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2A2E06F" w14:textId="77777777" w:rsidR="00000000" w:rsidRDefault="00A173A8">
            <w:pPr>
              <w:spacing w:after="100"/>
              <w:jc w:val="center"/>
              <w:rPr>
                <w:rFonts w:eastAsia="Times New Roman"/>
              </w:rPr>
            </w:pPr>
            <w:r>
              <w:rPr>
                <w:rFonts w:eastAsia="Times New Roman"/>
                <w:b/>
                <w:bCs/>
                <w:color w:val="000000"/>
                <w:sz w:val="20"/>
                <w:szCs w:val="20"/>
              </w:rPr>
              <w:t>Net Income</w:t>
            </w:r>
          </w:p>
          <w:p w14:paraId="5D88CA54" w14:textId="77777777" w:rsidR="00000000" w:rsidRDefault="00A173A8">
            <w:pPr>
              <w:spacing w:after="100"/>
              <w:jc w:val="center"/>
              <w:rPr>
                <w:rFonts w:eastAsia="Times New Roman"/>
              </w:rPr>
            </w:pPr>
            <w:r>
              <w:rPr>
                <w:rFonts w:eastAsia="Times New Roman"/>
                <w:b/>
                <w:bCs/>
                <w:color w:val="000000"/>
                <w:sz w:val="20"/>
                <w:szCs w:val="20"/>
              </w:rPr>
              <w:t>(Loss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vAlign w:val="center"/>
            <w:hideMark/>
          </w:tcPr>
          <w:p w14:paraId="63C6E7B5" w14:textId="77777777" w:rsidR="00000000" w:rsidRDefault="00A173A8">
            <w:pPr>
              <w:spacing w:after="100"/>
              <w:jc w:val="center"/>
              <w:rPr>
                <w:rFonts w:eastAsia="Times New Roman"/>
              </w:rPr>
            </w:pPr>
          </w:p>
        </w:tc>
        <w:tc>
          <w:tcPr>
            <w:tcW w:w="0" w:type="auto"/>
            <w:gridSpan w:val="3"/>
            <w:vAlign w:val="center"/>
            <w:hideMark/>
          </w:tcPr>
          <w:p w14:paraId="60B3F9DF" w14:textId="77777777" w:rsidR="00000000" w:rsidRDefault="00A173A8">
            <w:pPr>
              <w:spacing w:after="100"/>
              <w:rPr>
                <w:rFonts w:eastAsia="Times New Roman"/>
                <w:sz w:val="20"/>
                <w:szCs w:val="20"/>
              </w:rPr>
            </w:pPr>
          </w:p>
        </w:tc>
        <w:tc>
          <w:tcPr>
            <w:tcW w:w="0" w:type="auto"/>
            <w:gridSpan w:val="3"/>
            <w:vAlign w:val="center"/>
            <w:hideMark/>
          </w:tcPr>
          <w:p w14:paraId="7385C829" w14:textId="77777777" w:rsidR="00000000" w:rsidRDefault="00A173A8">
            <w:pPr>
              <w:spacing w:after="100"/>
              <w:rPr>
                <w:rFonts w:eastAsia="Times New Roman"/>
                <w:sz w:val="20"/>
                <w:szCs w:val="20"/>
              </w:rPr>
            </w:pPr>
          </w:p>
        </w:tc>
        <w:tc>
          <w:tcPr>
            <w:tcW w:w="0" w:type="auto"/>
            <w:gridSpan w:val="2"/>
            <w:vAlign w:val="center"/>
            <w:hideMark/>
          </w:tcPr>
          <w:p w14:paraId="6E5CB92A" w14:textId="77777777" w:rsidR="00000000" w:rsidRDefault="00A173A8">
            <w:pPr>
              <w:spacing w:after="100"/>
              <w:rPr>
                <w:rFonts w:eastAsia="Times New Roman"/>
                <w:sz w:val="20"/>
                <w:szCs w:val="20"/>
              </w:rPr>
            </w:pPr>
          </w:p>
        </w:tc>
        <w:tc>
          <w:tcPr>
            <w:tcW w:w="0" w:type="auto"/>
            <w:vAlign w:val="center"/>
            <w:hideMark/>
          </w:tcPr>
          <w:p w14:paraId="76386C3A" w14:textId="77777777" w:rsidR="00000000" w:rsidRDefault="00A173A8">
            <w:pPr>
              <w:spacing w:after="100"/>
              <w:rPr>
                <w:rFonts w:eastAsia="Times New Roman"/>
                <w:sz w:val="20"/>
                <w:szCs w:val="20"/>
              </w:rPr>
            </w:pPr>
          </w:p>
        </w:tc>
      </w:tr>
      <w:tr w:rsidR="00000000" w14:paraId="27992842" w14:textId="77777777">
        <w:tc>
          <w:tcPr>
            <w:tcW w:w="0" w:type="auto"/>
            <w:gridSpan w:val="10"/>
            <w:tcBorders>
              <w:bottom w:val="single" w:sz="8" w:space="0" w:color="000000"/>
            </w:tcBorders>
            <w:tcMar>
              <w:top w:w="30" w:type="dxa"/>
              <w:left w:w="20" w:type="dxa"/>
              <w:bottom w:w="30" w:type="dxa"/>
              <w:right w:w="20" w:type="dxa"/>
            </w:tcMar>
            <w:vAlign w:val="bottom"/>
            <w:hideMark/>
          </w:tcPr>
          <w:p w14:paraId="36D1B8FD"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9"/>
            <w:tcMar>
              <w:top w:w="0" w:type="dxa"/>
              <w:left w:w="20" w:type="dxa"/>
              <w:bottom w:w="0" w:type="dxa"/>
              <w:right w:w="20" w:type="dxa"/>
            </w:tcMar>
            <w:vAlign w:val="center"/>
            <w:hideMark/>
          </w:tcPr>
          <w:p w14:paraId="26B2A0FF" w14:textId="77777777" w:rsidR="00000000" w:rsidRDefault="00A173A8">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2DD71D5F"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308E8AF9" w14:textId="77777777" w:rsidR="00000000" w:rsidRDefault="00A173A8">
            <w:pPr>
              <w:spacing w:after="100"/>
              <w:jc w:val="center"/>
              <w:rPr>
                <w:rFonts w:eastAsia="Times New Roman"/>
              </w:rPr>
            </w:pPr>
          </w:p>
        </w:tc>
        <w:tc>
          <w:tcPr>
            <w:tcW w:w="0" w:type="auto"/>
            <w:gridSpan w:val="12"/>
            <w:tcBorders>
              <w:top w:val="single" w:sz="8" w:space="0" w:color="000000"/>
              <w:bottom w:val="single" w:sz="8" w:space="0" w:color="000000"/>
            </w:tcBorders>
            <w:tcMar>
              <w:top w:w="30" w:type="dxa"/>
              <w:left w:w="20" w:type="dxa"/>
              <w:bottom w:w="30" w:type="dxa"/>
              <w:right w:w="20" w:type="dxa"/>
            </w:tcMar>
            <w:vAlign w:val="bottom"/>
            <w:hideMark/>
          </w:tcPr>
          <w:p w14:paraId="6776348B" w14:textId="77777777" w:rsidR="00000000" w:rsidRDefault="00A173A8">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6"/>
            <w:tcMar>
              <w:top w:w="0" w:type="dxa"/>
              <w:left w:w="20" w:type="dxa"/>
              <w:bottom w:w="0" w:type="dxa"/>
              <w:right w:w="20" w:type="dxa"/>
            </w:tcMar>
            <w:vAlign w:val="center"/>
            <w:hideMark/>
          </w:tcPr>
          <w:p w14:paraId="3CCA9A47" w14:textId="77777777" w:rsidR="00000000" w:rsidRDefault="00A173A8">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438D7135"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8"/>
            <w:tcBorders>
              <w:top w:val="single" w:sz="8" w:space="0" w:color="000000"/>
            </w:tcBorders>
            <w:tcMar>
              <w:top w:w="0" w:type="dxa"/>
              <w:left w:w="20" w:type="dxa"/>
              <w:bottom w:w="0" w:type="dxa"/>
              <w:right w:w="20" w:type="dxa"/>
            </w:tcMar>
            <w:vAlign w:val="center"/>
            <w:hideMark/>
          </w:tcPr>
          <w:p w14:paraId="243CC8CF" w14:textId="77777777" w:rsidR="00000000" w:rsidRDefault="00A173A8">
            <w:pPr>
              <w:spacing w:after="100"/>
              <w:jc w:val="center"/>
              <w:rPr>
                <w:rFonts w:eastAsia="Times New Roman"/>
              </w:rPr>
            </w:pPr>
          </w:p>
        </w:tc>
        <w:tc>
          <w:tcPr>
            <w:tcW w:w="0" w:type="auto"/>
            <w:gridSpan w:val="10"/>
            <w:tcBorders>
              <w:top w:val="single" w:sz="8" w:space="0" w:color="000000"/>
              <w:bottom w:val="single" w:sz="8" w:space="0" w:color="000000"/>
            </w:tcBorders>
            <w:tcMar>
              <w:top w:w="30" w:type="dxa"/>
              <w:left w:w="20" w:type="dxa"/>
              <w:bottom w:w="30" w:type="dxa"/>
              <w:right w:w="20" w:type="dxa"/>
            </w:tcMar>
            <w:vAlign w:val="bottom"/>
            <w:hideMark/>
          </w:tcPr>
          <w:p w14:paraId="4AF07CC6" w14:textId="77777777" w:rsidR="00000000" w:rsidRDefault="00A173A8">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4"/>
            <w:tcMar>
              <w:top w:w="0" w:type="dxa"/>
              <w:left w:w="20" w:type="dxa"/>
              <w:bottom w:w="0" w:type="dxa"/>
              <w:right w:w="20" w:type="dxa"/>
            </w:tcMar>
            <w:vAlign w:val="center"/>
            <w:hideMark/>
          </w:tcPr>
          <w:p w14:paraId="06EF8E07" w14:textId="77777777" w:rsidR="00000000" w:rsidRDefault="00A173A8">
            <w:pPr>
              <w:spacing w:after="100"/>
              <w:jc w:val="center"/>
              <w:rPr>
                <w:rFonts w:eastAsia="Times New Roman"/>
              </w:rPr>
            </w:pPr>
          </w:p>
        </w:tc>
        <w:tc>
          <w:tcPr>
            <w:tcW w:w="0" w:type="auto"/>
            <w:gridSpan w:val="16"/>
            <w:tcBorders>
              <w:top w:val="single" w:sz="8" w:space="0" w:color="000000"/>
              <w:bottom w:val="single" w:sz="8" w:space="0" w:color="000000"/>
            </w:tcBorders>
            <w:tcMar>
              <w:top w:w="30" w:type="dxa"/>
              <w:left w:w="20" w:type="dxa"/>
              <w:bottom w:w="30" w:type="dxa"/>
              <w:right w:w="20" w:type="dxa"/>
            </w:tcMar>
            <w:vAlign w:val="bottom"/>
            <w:hideMark/>
          </w:tcPr>
          <w:p w14:paraId="2F284AB5"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37C6C30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F34524F" w14:textId="77777777" w:rsidR="00000000" w:rsidRDefault="00A173A8">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tcMar>
              <w:top w:w="0" w:type="dxa"/>
              <w:left w:w="20" w:type="dxa"/>
              <w:bottom w:w="0" w:type="dxa"/>
              <w:right w:w="20" w:type="dxa"/>
            </w:tcMar>
            <w:vAlign w:val="center"/>
            <w:hideMark/>
          </w:tcPr>
          <w:p w14:paraId="7546831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1F8310"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2CF3CCC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003276A" w14:textId="77777777" w:rsidR="00000000" w:rsidRDefault="00A173A8">
            <w:pPr>
              <w:spacing w:after="100"/>
              <w:jc w:val="center"/>
              <w:rPr>
                <w:rFonts w:eastAsia="Times New Roman"/>
              </w:rPr>
            </w:pPr>
            <w:r>
              <w:rPr>
                <w:rFonts w:eastAsia="Times New Roman"/>
                <w:b/>
                <w:bCs/>
                <w:color w:val="000000"/>
                <w:sz w:val="20"/>
                <w:szCs w:val="20"/>
              </w:rPr>
              <w:t>% of</w:t>
            </w:r>
            <w:r>
              <w:rPr>
                <w:rFonts w:eastAsia="Times New Roman"/>
                <w:b/>
                <w:bCs/>
                <w:color w:val="000000"/>
                <w:sz w:val="20"/>
                <w:szCs w:val="20"/>
              </w:rPr>
              <w:br/>
              <w:t>Total</w:t>
            </w:r>
          </w:p>
        </w:tc>
        <w:tc>
          <w:tcPr>
            <w:tcW w:w="0" w:type="auto"/>
            <w:gridSpan w:val="3"/>
            <w:vAlign w:val="center"/>
            <w:hideMark/>
          </w:tcPr>
          <w:p w14:paraId="340BC76E" w14:textId="77777777" w:rsidR="00000000" w:rsidRDefault="00A173A8">
            <w:pPr>
              <w:spacing w:after="100"/>
              <w:jc w:val="center"/>
              <w:rPr>
                <w:rFonts w:eastAsia="Times New Roman"/>
              </w:rPr>
            </w:pPr>
          </w:p>
        </w:tc>
        <w:tc>
          <w:tcPr>
            <w:tcW w:w="0" w:type="auto"/>
            <w:gridSpan w:val="3"/>
            <w:vAlign w:val="center"/>
            <w:hideMark/>
          </w:tcPr>
          <w:p w14:paraId="42EE8A19" w14:textId="77777777" w:rsidR="00000000" w:rsidRDefault="00A173A8">
            <w:pPr>
              <w:spacing w:after="100"/>
              <w:rPr>
                <w:rFonts w:eastAsia="Times New Roman"/>
                <w:sz w:val="20"/>
                <w:szCs w:val="20"/>
              </w:rPr>
            </w:pPr>
          </w:p>
        </w:tc>
        <w:tc>
          <w:tcPr>
            <w:tcW w:w="0" w:type="auto"/>
            <w:gridSpan w:val="3"/>
            <w:vAlign w:val="center"/>
            <w:hideMark/>
          </w:tcPr>
          <w:p w14:paraId="5434B154" w14:textId="77777777" w:rsidR="00000000" w:rsidRDefault="00A173A8">
            <w:pPr>
              <w:spacing w:after="100"/>
              <w:rPr>
                <w:rFonts w:eastAsia="Times New Roman"/>
                <w:sz w:val="20"/>
                <w:szCs w:val="20"/>
              </w:rPr>
            </w:pPr>
          </w:p>
        </w:tc>
        <w:tc>
          <w:tcPr>
            <w:tcW w:w="0" w:type="auto"/>
            <w:gridSpan w:val="2"/>
            <w:vAlign w:val="center"/>
            <w:hideMark/>
          </w:tcPr>
          <w:p w14:paraId="0483D1F7" w14:textId="77777777" w:rsidR="00000000" w:rsidRDefault="00A173A8">
            <w:pPr>
              <w:spacing w:after="100"/>
              <w:rPr>
                <w:rFonts w:eastAsia="Times New Roman"/>
                <w:sz w:val="20"/>
                <w:szCs w:val="20"/>
              </w:rPr>
            </w:pPr>
          </w:p>
        </w:tc>
        <w:tc>
          <w:tcPr>
            <w:tcW w:w="0" w:type="auto"/>
            <w:vAlign w:val="center"/>
            <w:hideMark/>
          </w:tcPr>
          <w:p w14:paraId="501A9A2A" w14:textId="77777777" w:rsidR="00000000" w:rsidRDefault="00A173A8">
            <w:pPr>
              <w:spacing w:after="100"/>
              <w:rPr>
                <w:rFonts w:eastAsia="Times New Roman"/>
                <w:sz w:val="20"/>
                <w:szCs w:val="20"/>
              </w:rPr>
            </w:pPr>
          </w:p>
        </w:tc>
      </w:tr>
      <w:tr w:rsidR="00000000" w14:paraId="2A5069FA" w14:textId="77777777">
        <w:tc>
          <w:tcPr>
            <w:tcW w:w="0" w:type="auto"/>
            <w:gridSpan w:val="10"/>
            <w:tcBorders>
              <w:top w:val="single" w:sz="8" w:space="0" w:color="000000"/>
            </w:tcBorders>
            <w:shd w:val="clear" w:color="auto" w:fill="CCEEFF"/>
            <w:tcMar>
              <w:top w:w="30" w:type="dxa"/>
              <w:left w:w="20" w:type="dxa"/>
              <w:bottom w:w="30" w:type="dxa"/>
              <w:right w:w="20" w:type="dxa"/>
            </w:tcMar>
            <w:vAlign w:val="center"/>
            <w:hideMark/>
          </w:tcPr>
          <w:p w14:paraId="39AA2E24" w14:textId="77777777" w:rsidR="00000000" w:rsidRDefault="00A173A8">
            <w:pPr>
              <w:spacing w:after="100"/>
              <w:rPr>
                <w:rFonts w:eastAsia="Times New Roman"/>
              </w:rPr>
            </w:pPr>
            <w:r>
              <w:rPr>
                <w:rFonts w:eastAsia="Times New Roman"/>
                <w:color w:val="000000"/>
                <w:sz w:val="20"/>
                <w:szCs w:val="20"/>
              </w:rPr>
              <w:t>Credit Card</w:t>
            </w:r>
          </w:p>
        </w:tc>
        <w:tc>
          <w:tcPr>
            <w:tcW w:w="0" w:type="auto"/>
            <w:gridSpan w:val="9"/>
            <w:shd w:val="clear" w:color="auto" w:fill="CCEEFF"/>
            <w:tcMar>
              <w:top w:w="0" w:type="dxa"/>
              <w:left w:w="20" w:type="dxa"/>
              <w:bottom w:w="0" w:type="dxa"/>
              <w:right w:w="20" w:type="dxa"/>
            </w:tcMar>
            <w:vAlign w:val="center"/>
            <w:hideMark/>
          </w:tcPr>
          <w:p w14:paraId="50B8DD77"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F14F585"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center"/>
            <w:hideMark/>
          </w:tcPr>
          <w:p w14:paraId="421BE09C" w14:textId="77777777" w:rsidR="00000000" w:rsidRDefault="00A173A8">
            <w:pPr>
              <w:spacing w:after="100"/>
              <w:jc w:val="right"/>
              <w:rPr>
                <w:rFonts w:eastAsia="Times New Roman"/>
              </w:rPr>
            </w:pPr>
            <w:r>
              <w:rPr>
                <w:rFonts w:eastAsia="Times New Roman"/>
                <w:b/>
                <w:bCs/>
                <w:color w:val="000000"/>
                <w:sz w:val="20"/>
                <w:szCs w:val="20"/>
              </w:rPr>
              <w:t>10,606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848CB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77D0E" w14:textId="77777777" w:rsidR="00000000" w:rsidRDefault="00A173A8">
            <w:pPr>
              <w:spacing w:after="100"/>
              <w:jc w:val="right"/>
              <w:rPr>
                <w:rFonts w:eastAsia="Times New Roman"/>
                <w:sz w:val="20"/>
                <w:szCs w:val="20"/>
              </w:rPr>
            </w:pPr>
          </w:p>
        </w:tc>
        <w:tc>
          <w:tcPr>
            <w:tcW w:w="0" w:type="auto"/>
            <w:gridSpan w:val="9"/>
            <w:tcBorders>
              <w:top w:val="single" w:sz="8" w:space="0" w:color="000000"/>
            </w:tcBorders>
            <w:shd w:val="clear" w:color="auto" w:fill="CCEEFF"/>
            <w:tcMar>
              <w:top w:w="30" w:type="dxa"/>
              <w:left w:w="20" w:type="dxa"/>
              <w:bottom w:w="30" w:type="dxa"/>
              <w:right w:w="0" w:type="dxa"/>
            </w:tcMar>
            <w:vAlign w:val="center"/>
            <w:hideMark/>
          </w:tcPr>
          <w:p w14:paraId="0A2578DA" w14:textId="77777777" w:rsidR="00000000" w:rsidRDefault="00A173A8">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0" w:type="dxa"/>
              <w:bottom w:w="30" w:type="dxa"/>
              <w:right w:w="20" w:type="dxa"/>
            </w:tcMar>
            <w:vAlign w:val="center"/>
            <w:hideMark/>
          </w:tcPr>
          <w:p w14:paraId="5A99F2EC"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6"/>
            <w:shd w:val="clear" w:color="auto" w:fill="CCEEFF"/>
            <w:tcMar>
              <w:top w:w="0" w:type="dxa"/>
              <w:left w:w="20" w:type="dxa"/>
              <w:bottom w:w="0" w:type="dxa"/>
              <w:right w:w="20" w:type="dxa"/>
            </w:tcMar>
            <w:vAlign w:val="center"/>
            <w:hideMark/>
          </w:tcPr>
          <w:p w14:paraId="5F093C9F"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0678764"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7"/>
            <w:tcBorders>
              <w:top w:val="single" w:sz="8" w:space="0" w:color="000000"/>
            </w:tcBorders>
            <w:shd w:val="clear" w:color="auto" w:fill="CCEEFF"/>
            <w:tcMar>
              <w:top w:w="30" w:type="dxa"/>
              <w:left w:w="0" w:type="dxa"/>
              <w:bottom w:w="30" w:type="dxa"/>
              <w:right w:w="0" w:type="dxa"/>
            </w:tcMar>
            <w:vAlign w:val="center"/>
            <w:hideMark/>
          </w:tcPr>
          <w:p w14:paraId="1EC1C2D3" w14:textId="77777777" w:rsidR="00000000" w:rsidRDefault="00A173A8">
            <w:pPr>
              <w:spacing w:after="100"/>
              <w:jc w:val="right"/>
              <w:rPr>
                <w:rFonts w:eastAsia="Times New Roman"/>
              </w:rPr>
            </w:pPr>
            <w:r>
              <w:rPr>
                <w:rFonts w:eastAsia="Times New Roman"/>
                <w:b/>
                <w:bCs/>
                <w:color w:val="000000"/>
                <w:sz w:val="20"/>
                <w:szCs w:val="20"/>
              </w:rPr>
              <w:t>2,991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A5BD4AD" w14:textId="77777777" w:rsidR="00000000" w:rsidRDefault="00A173A8">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7FFA9F4D" w14:textId="77777777" w:rsidR="00000000" w:rsidRDefault="00A173A8">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center"/>
            <w:hideMark/>
          </w:tcPr>
          <w:p w14:paraId="4CBE3E7D" w14:textId="77777777" w:rsidR="00000000" w:rsidRDefault="00A173A8">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gridSpan w:val="3"/>
            <w:tcBorders>
              <w:top w:val="single" w:sz="8" w:space="0" w:color="000000"/>
            </w:tcBorders>
            <w:shd w:val="clear" w:color="auto" w:fill="CCEEFF"/>
            <w:tcMar>
              <w:top w:w="30" w:type="dxa"/>
              <w:left w:w="0" w:type="dxa"/>
              <w:bottom w:w="30" w:type="dxa"/>
              <w:right w:w="20" w:type="dxa"/>
            </w:tcMar>
            <w:vAlign w:val="center"/>
            <w:hideMark/>
          </w:tcPr>
          <w:p w14:paraId="39702271"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4"/>
            <w:shd w:val="clear" w:color="auto" w:fill="CCEEFF"/>
            <w:tcMar>
              <w:top w:w="0" w:type="dxa"/>
              <w:left w:w="20" w:type="dxa"/>
              <w:bottom w:w="0" w:type="dxa"/>
              <w:right w:w="20" w:type="dxa"/>
            </w:tcMar>
            <w:vAlign w:val="center"/>
            <w:hideMark/>
          </w:tcPr>
          <w:p w14:paraId="1DE62B82"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221FE7A1" w14:textId="77777777" w:rsidR="00000000" w:rsidRDefault="00A173A8">
            <w:pPr>
              <w:spacing w:after="100"/>
              <w:rPr>
                <w:rFonts w:eastAsia="Times New Roman"/>
              </w:rPr>
            </w:pPr>
            <w:r>
              <w:rPr>
                <w:rFonts w:eastAsia="Times New Roman"/>
                <w:color w:val="000000"/>
                <w:sz w:val="20"/>
                <w:szCs w:val="20"/>
              </w:rPr>
              <w:t>$</w:t>
            </w:r>
          </w:p>
        </w:tc>
        <w:tc>
          <w:tcPr>
            <w:tcW w:w="0" w:type="auto"/>
            <w:gridSpan w:val="12"/>
            <w:tcBorders>
              <w:top w:val="single" w:sz="8" w:space="0" w:color="000000"/>
            </w:tcBorders>
            <w:shd w:val="clear" w:color="auto" w:fill="CCEEFF"/>
            <w:tcMar>
              <w:top w:w="30" w:type="dxa"/>
              <w:left w:w="0" w:type="dxa"/>
              <w:bottom w:w="30" w:type="dxa"/>
              <w:right w:w="0" w:type="dxa"/>
            </w:tcMar>
            <w:vAlign w:val="center"/>
            <w:hideMark/>
          </w:tcPr>
          <w:p w14:paraId="3D05D751" w14:textId="77777777" w:rsidR="00000000" w:rsidRDefault="00A173A8">
            <w:pPr>
              <w:spacing w:after="100"/>
              <w:jc w:val="right"/>
              <w:rPr>
                <w:rFonts w:eastAsia="Times New Roman"/>
              </w:rPr>
            </w:pPr>
            <w:r>
              <w:rPr>
                <w:rFonts w:eastAsia="Times New Roman"/>
                <w:color w:val="000000"/>
                <w:sz w:val="20"/>
                <w:szCs w:val="20"/>
              </w:rPr>
              <w:t>8,871 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22116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1464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F1C053" w14:textId="77777777" w:rsidR="00000000" w:rsidRDefault="00A173A8">
            <w:pPr>
              <w:spacing w:after="100"/>
              <w:jc w:val="right"/>
              <w:rPr>
                <w:rFonts w:eastAsia="Times New Roman"/>
              </w:rPr>
            </w:pPr>
            <w:r>
              <w:rPr>
                <w:rFonts w:eastAsia="Times New Roman"/>
                <w:color w:val="000000"/>
                <w:sz w:val="20"/>
                <w:szCs w:val="20"/>
              </w:rPr>
              <w:t>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6C0246"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0A01445"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8365091"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6BD98AD" w14:textId="77777777" w:rsidR="00000000" w:rsidRDefault="00A173A8">
            <w:pPr>
              <w:spacing w:after="100"/>
              <w:jc w:val="right"/>
              <w:rPr>
                <w:rFonts w:eastAsia="Times New Roman"/>
              </w:rPr>
            </w:pPr>
            <w:r>
              <w:rPr>
                <w:rFonts w:eastAsia="Times New Roman"/>
                <w:color w:val="000000"/>
                <w:sz w:val="20"/>
                <w:szCs w:val="20"/>
              </w:rPr>
              <w:t>4,275 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970D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00DF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55004B" w14:textId="77777777" w:rsidR="00000000" w:rsidRDefault="00A173A8">
            <w:pPr>
              <w:spacing w:after="100"/>
              <w:jc w:val="right"/>
              <w:rPr>
                <w:rFonts w:eastAsia="Times New Roman"/>
              </w:rPr>
            </w:pPr>
            <w:r>
              <w:rPr>
                <w:rFonts w:eastAsia="Times New Roman"/>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F91A3B"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7170333B" w14:textId="77777777" w:rsidR="00000000" w:rsidRDefault="00A173A8">
            <w:pPr>
              <w:spacing w:after="100"/>
              <w:jc w:val="right"/>
              <w:rPr>
                <w:rFonts w:eastAsia="Times New Roman"/>
              </w:rPr>
            </w:pPr>
          </w:p>
        </w:tc>
        <w:tc>
          <w:tcPr>
            <w:tcW w:w="0" w:type="auto"/>
            <w:gridSpan w:val="3"/>
            <w:vAlign w:val="center"/>
            <w:hideMark/>
          </w:tcPr>
          <w:p w14:paraId="786A4A8D" w14:textId="77777777" w:rsidR="00000000" w:rsidRDefault="00A173A8">
            <w:pPr>
              <w:spacing w:after="100"/>
              <w:rPr>
                <w:rFonts w:eastAsia="Times New Roman"/>
                <w:sz w:val="20"/>
                <w:szCs w:val="20"/>
              </w:rPr>
            </w:pPr>
          </w:p>
        </w:tc>
        <w:tc>
          <w:tcPr>
            <w:tcW w:w="0" w:type="auto"/>
            <w:gridSpan w:val="3"/>
            <w:vAlign w:val="center"/>
            <w:hideMark/>
          </w:tcPr>
          <w:p w14:paraId="20BB07A0" w14:textId="77777777" w:rsidR="00000000" w:rsidRDefault="00A173A8">
            <w:pPr>
              <w:spacing w:after="100"/>
              <w:rPr>
                <w:rFonts w:eastAsia="Times New Roman"/>
                <w:sz w:val="20"/>
                <w:szCs w:val="20"/>
              </w:rPr>
            </w:pPr>
          </w:p>
        </w:tc>
        <w:tc>
          <w:tcPr>
            <w:tcW w:w="0" w:type="auto"/>
            <w:gridSpan w:val="2"/>
            <w:vAlign w:val="center"/>
            <w:hideMark/>
          </w:tcPr>
          <w:p w14:paraId="4220371A" w14:textId="77777777" w:rsidR="00000000" w:rsidRDefault="00A173A8">
            <w:pPr>
              <w:spacing w:after="100"/>
              <w:rPr>
                <w:rFonts w:eastAsia="Times New Roman"/>
                <w:sz w:val="20"/>
                <w:szCs w:val="20"/>
              </w:rPr>
            </w:pPr>
          </w:p>
        </w:tc>
        <w:tc>
          <w:tcPr>
            <w:tcW w:w="0" w:type="auto"/>
            <w:vAlign w:val="center"/>
            <w:hideMark/>
          </w:tcPr>
          <w:p w14:paraId="68EEC034" w14:textId="77777777" w:rsidR="00000000" w:rsidRDefault="00A173A8">
            <w:pPr>
              <w:spacing w:after="100"/>
              <w:rPr>
                <w:rFonts w:eastAsia="Times New Roman"/>
                <w:sz w:val="20"/>
                <w:szCs w:val="20"/>
              </w:rPr>
            </w:pPr>
          </w:p>
        </w:tc>
      </w:tr>
      <w:tr w:rsidR="00000000" w14:paraId="3F0F533E" w14:textId="77777777">
        <w:tc>
          <w:tcPr>
            <w:tcW w:w="0" w:type="auto"/>
            <w:gridSpan w:val="10"/>
            <w:shd w:val="clear" w:color="auto" w:fill="FFFFFF"/>
            <w:tcMar>
              <w:top w:w="30" w:type="dxa"/>
              <w:left w:w="20" w:type="dxa"/>
              <w:bottom w:w="30" w:type="dxa"/>
              <w:right w:w="20" w:type="dxa"/>
            </w:tcMar>
            <w:vAlign w:val="center"/>
            <w:hideMark/>
          </w:tcPr>
          <w:p w14:paraId="69FE628D" w14:textId="77777777" w:rsidR="00000000" w:rsidRDefault="00A173A8">
            <w:pPr>
              <w:spacing w:after="100"/>
              <w:rPr>
                <w:rFonts w:eastAsia="Times New Roman"/>
              </w:rPr>
            </w:pPr>
            <w:r>
              <w:rPr>
                <w:rFonts w:eastAsia="Times New Roman"/>
                <w:color w:val="000000"/>
                <w:sz w:val="20"/>
                <w:szCs w:val="20"/>
              </w:rPr>
              <w:t>Consumer Banking</w:t>
            </w:r>
          </w:p>
        </w:tc>
        <w:tc>
          <w:tcPr>
            <w:tcW w:w="0" w:type="auto"/>
            <w:gridSpan w:val="9"/>
            <w:shd w:val="clear" w:color="auto" w:fill="FFFFFF"/>
            <w:tcMar>
              <w:top w:w="0" w:type="dxa"/>
              <w:left w:w="20" w:type="dxa"/>
              <w:bottom w:w="0" w:type="dxa"/>
              <w:right w:w="20" w:type="dxa"/>
            </w:tcMar>
            <w:vAlign w:val="center"/>
            <w:hideMark/>
          </w:tcPr>
          <w:p w14:paraId="5F17A70B" w14:textId="77777777" w:rsidR="00000000" w:rsidRDefault="00A173A8">
            <w:pPr>
              <w:spacing w:after="100"/>
              <w:rPr>
                <w:rFonts w:eastAsia="Times New Roman"/>
              </w:rPr>
            </w:pPr>
          </w:p>
        </w:tc>
        <w:tc>
          <w:tcPr>
            <w:tcW w:w="0" w:type="auto"/>
            <w:gridSpan w:val="8"/>
            <w:shd w:val="clear" w:color="auto" w:fill="FFFFFF"/>
            <w:tcMar>
              <w:top w:w="30" w:type="dxa"/>
              <w:left w:w="20" w:type="dxa"/>
              <w:bottom w:w="30" w:type="dxa"/>
              <w:right w:w="0" w:type="dxa"/>
            </w:tcMar>
            <w:vAlign w:val="center"/>
            <w:hideMark/>
          </w:tcPr>
          <w:p w14:paraId="29703973" w14:textId="77777777" w:rsidR="00000000" w:rsidRDefault="00A173A8">
            <w:pPr>
              <w:spacing w:after="100"/>
              <w:jc w:val="right"/>
              <w:rPr>
                <w:rFonts w:eastAsia="Times New Roman"/>
              </w:rPr>
            </w:pPr>
            <w:r>
              <w:rPr>
                <w:rFonts w:eastAsia="Times New Roman"/>
                <w:b/>
                <w:bCs/>
                <w:color w:val="000000"/>
                <w:sz w:val="20"/>
                <w:szCs w:val="20"/>
              </w:rPr>
              <w:t>4,461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158AC3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2D593" w14:textId="77777777" w:rsidR="00000000" w:rsidRDefault="00A173A8">
            <w:pPr>
              <w:spacing w:after="100"/>
              <w:jc w:val="right"/>
              <w:rPr>
                <w:rFonts w:eastAsia="Times New Roman"/>
                <w:sz w:val="20"/>
                <w:szCs w:val="20"/>
              </w:rPr>
            </w:pPr>
          </w:p>
        </w:tc>
        <w:tc>
          <w:tcPr>
            <w:tcW w:w="0" w:type="auto"/>
            <w:gridSpan w:val="9"/>
            <w:shd w:val="clear" w:color="auto" w:fill="FFFFFF"/>
            <w:tcMar>
              <w:top w:w="30" w:type="dxa"/>
              <w:left w:w="20" w:type="dxa"/>
              <w:bottom w:w="30" w:type="dxa"/>
              <w:right w:w="0" w:type="dxa"/>
            </w:tcMar>
            <w:vAlign w:val="center"/>
            <w:hideMark/>
          </w:tcPr>
          <w:p w14:paraId="20585952" w14:textId="77777777" w:rsidR="00000000" w:rsidRDefault="00A173A8">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gridSpan w:val="3"/>
            <w:shd w:val="clear" w:color="auto" w:fill="FFFFFF"/>
            <w:tcMar>
              <w:top w:w="30" w:type="dxa"/>
              <w:left w:w="0" w:type="dxa"/>
              <w:bottom w:w="30" w:type="dxa"/>
              <w:right w:w="20" w:type="dxa"/>
            </w:tcMar>
            <w:vAlign w:val="center"/>
            <w:hideMark/>
          </w:tcPr>
          <w:p w14:paraId="78676E5C" w14:textId="77777777" w:rsidR="00000000" w:rsidRDefault="00A173A8">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3301BBE1"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64917556" w14:textId="77777777" w:rsidR="00000000" w:rsidRDefault="00A173A8">
            <w:pPr>
              <w:spacing w:after="100"/>
              <w:jc w:val="right"/>
              <w:rPr>
                <w:rFonts w:eastAsia="Times New Roman"/>
              </w:rPr>
            </w:pPr>
            <w:r>
              <w:rPr>
                <w:rFonts w:eastAsia="Times New Roman"/>
                <w:b/>
                <w:bCs/>
                <w:color w:val="000000"/>
                <w:sz w:val="20"/>
                <w:szCs w:val="20"/>
              </w:rPr>
              <w:t>1,166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B4F52D6"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D29B97A" w14:textId="77777777" w:rsidR="00000000" w:rsidRDefault="00A173A8">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14:paraId="74BD6013" w14:textId="77777777" w:rsidR="00000000" w:rsidRDefault="00A173A8">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gridSpan w:val="3"/>
            <w:shd w:val="clear" w:color="auto" w:fill="FFFFFF"/>
            <w:tcMar>
              <w:top w:w="30" w:type="dxa"/>
              <w:left w:w="0" w:type="dxa"/>
              <w:bottom w:w="30" w:type="dxa"/>
              <w:right w:w="20" w:type="dxa"/>
            </w:tcMar>
            <w:vAlign w:val="center"/>
            <w:hideMark/>
          </w:tcPr>
          <w:p w14:paraId="201BA254"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F2F39DE" w14:textId="77777777" w:rsidR="00000000" w:rsidRDefault="00A173A8">
            <w:pPr>
              <w:spacing w:after="100"/>
              <w:jc w:val="right"/>
              <w:rPr>
                <w:rFonts w:eastAsia="Times New Roman"/>
                <w:sz w:val="20"/>
                <w:szCs w:val="20"/>
              </w:rPr>
            </w:pPr>
          </w:p>
        </w:tc>
        <w:tc>
          <w:tcPr>
            <w:tcW w:w="0" w:type="auto"/>
            <w:gridSpan w:val="15"/>
            <w:shd w:val="clear" w:color="auto" w:fill="FFFFFF"/>
            <w:tcMar>
              <w:top w:w="30" w:type="dxa"/>
              <w:left w:w="20" w:type="dxa"/>
              <w:bottom w:w="30" w:type="dxa"/>
              <w:right w:w="0" w:type="dxa"/>
            </w:tcMar>
            <w:vAlign w:val="center"/>
            <w:hideMark/>
          </w:tcPr>
          <w:p w14:paraId="31CBF32F" w14:textId="77777777" w:rsidR="00000000" w:rsidRDefault="00A173A8">
            <w:pPr>
              <w:spacing w:after="100"/>
              <w:jc w:val="right"/>
              <w:rPr>
                <w:rFonts w:eastAsia="Times New Roman"/>
              </w:rPr>
            </w:pPr>
            <w:r>
              <w:rPr>
                <w:rFonts w:eastAsia="Times New Roman"/>
                <w:color w:val="000000"/>
                <w:sz w:val="20"/>
                <w:szCs w:val="20"/>
              </w:rPr>
              <w:t>4,416 </w:t>
            </w:r>
          </w:p>
        </w:tc>
        <w:tc>
          <w:tcPr>
            <w:tcW w:w="0" w:type="auto"/>
            <w:shd w:val="clear" w:color="auto" w:fill="FFFFFF"/>
            <w:tcMar>
              <w:top w:w="30" w:type="dxa"/>
              <w:left w:w="0" w:type="dxa"/>
              <w:bottom w:w="30" w:type="dxa"/>
              <w:right w:w="20" w:type="dxa"/>
            </w:tcMar>
            <w:vAlign w:val="center"/>
            <w:hideMark/>
          </w:tcPr>
          <w:p w14:paraId="783D1D6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9CDAC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818AD0" w14:textId="77777777" w:rsidR="00000000" w:rsidRDefault="00A173A8">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center"/>
            <w:hideMark/>
          </w:tcPr>
          <w:p w14:paraId="23B71FD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D192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CAC0C9" w14:textId="77777777" w:rsidR="00000000" w:rsidRDefault="00A173A8">
            <w:pPr>
              <w:spacing w:after="100"/>
              <w:jc w:val="right"/>
              <w:rPr>
                <w:rFonts w:eastAsia="Times New Roman"/>
              </w:rPr>
            </w:pPr>
            <w:r>
              <w:rPr>
                <w:rFonts w:eastAsia="Times New Roman"/>
                <w:color w:val="000000"/>
                <w:sz w:val="20"/>
                <w:szCs w:val="20"/>
              </w:rPr>
              <w:t>1,993 </w:t>
            </w:r>
          </w:p>
        </w:tc>
        <w:tc>
          <w:tcPr>
            <w:tcW w:w="0" w:type="auto"/>
            <w:shd w:val="clear" w:color="auto" w:fill="FFFFFF"/>
            <w:tcMar>
              <w:top w:w="30" w:type="dxa"/>
              <w:left w:w="0" w:type="dxa"/>
              <w:bottom w:w="30" w:type="dxa"/>
              <w:right w:w="20" w:type="dxa"/>
            </w:tcMar>
            <w:vAlign w:val="center"/>
            <w:hideMark/>
          </w:tcPr>
          <w:p w14:paraId="2052D42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0F29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878DAE" w14:textId="77777777" w:rsidR="00000000" w:rsidRDefault="00A173A8">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center"/>
            <w:hideMark/>
          </w:tcPr>
          <w:p w14:paraId="64532B98" w14:textId="77777777" w:rsidR="00000000" w:rsidRDefault="00A173A8">
            <w:pPr>
              <w:spacing w:after="100"/>
              <w:jc w:val="right"/>
              <w:rPr>
                <w:rFonts w:eastAsia="Times New Roman"/>
              </w:rPr>
            </w:pPr>
          </w:p>
        </w:tc>
        <w:tc>
          <w:tcPr>
            <w:tcW w:w="0" w:type="auto"/>
            <w:gridSpan w:val="3"/>
            <w:vAlign w:val="center"/>
            <w:hideMark/>
          </w:tcPr>
          <w:p w14:paraId="65BC48D3" w14:textId="77777777" w:rsidR="00000000" w:rsidRDefault="00A173A8">
            <w:pPr>
              <w:spacing w:after="100"/>
              <w:jc w:val="right"/>
              <w:rPr>
                <w:rFonts w:eastAsia="Times New Roman"/>
                <w:sz w:val="20"/>
                <w:szCs w:val="20"/>
              </w:rPr>
            </w:pPr>
          </w:p>
        </w:tc>
        <w:tc>
          <w:tcPr>
            <w:tcW w:w="0" w:type="auto"/>
            <w:gridSpan w:val="3"/>
            <w:vAlign w:val="center"/>
            <w:hideMark/>
          </w:tcPr>
          <w:p w14:paraId="0342A1FE" w14:textId="77777777" w:rsidR="00000000" w:rsidRDefault="00A173A8">
            <w:pPr>
              <w:spacing w:after="100"/>
              <w:rPr>
                <w:rFonts w:eastAsia="Times New Roman"/>
                <w:sz w:val="20"/>
                <w:szCs w:val="20"/>
              </w:rPr>
            </w:pPr>
          </w:p>
        </w:tc>
        <w:tc>
          <w:tcPr>
            <w:tcW w:w="0" w:type="auto"/>
            <w:gridSpan w:val="3"/>
            <w:vAlign w:val="center"/>
            <w:hideMark/>
          </w:tcPr>
          <w:p w14:paraId="2E4D50DC" w14:textId="77777777" w:rsidR="00000000" w:rsidRDefault="00A173A8">
            <w:pPr>
              <w:spacing w:after="100"/>
              <w:rPr>
                <w:rFonts w:eastAsia="Times New Roman"/>
                <w:sz w:val="20"/>
                <w:szCs w:val="20"/>
              </w:rPr>
            </w:pPr>
          </w:p>
        </w:tc>
        <w:tc>
          <w:tcPr>
            <w:tcW w:w="0" w:type="auto"/>
            <w:gridSpan w:val="2"/>
            <w:vAlign w:val="center"/>
            <w:hideMark/>
          </w:tcPr>
          <w:p w14:paraId="6723DB9E" w14:textId="77777777" w:rsidR="00000000" w:rsidRDefault="00A173A8">
            <w:pPr>
              <w:spacing w:after="100"/>
              <w:rPr>
                <w:rFonts w:eastAsia="Times New Roman"/>
                <w:sz w:val="20"/>
                <w:szCs w:val="20"/>
              </w:rPr>
            </w:pPr>
          </w:p>
        </w:tc>
        <w:tc>
          <w:tcPr>
            <w:tcW w:w="0" w:type="auto"/>
            <w:vAlign w:val="center"/>
            <w:hideMark/>
          </w:tcPr>
          <w:p w14:paraId="65AD291E" w14:textId="77777777" w:rsidR="00000000" w:rsidRDefault="00A173A8">
            <w:pPr>
              <w:spacing w:after="100"/>
              <w:rPr>
                <w:rFonts w:eastAsia="Times New Roman"/>
                <w:sz w:val="20"/>
                <w:szCs w:val="20"/>
              </w:rPr>
            </w:pPr>
          </w:p>
        </w:tc>
      </w:tr>
      <w:tr w:rsidR="00000000" w14:paraId="0740F44C" w14:textId="77777777">
        <w:tc>
          <w:tcPr>
            <w:tcW w:w="0" w:type="auto"/>
            <w:gridSpan w:val="10"/>
            <w:shd w:val="clear" w:color="auto" w:fill="CCEEFF"/>
            <w:tcMar>
              <w:top w:w="30" w:type="dxa"/>
              <w:left w:w="20" w:type="dxa"/>
              <w:bottom w:w="30" w:type="dxa"/>
              <w:right w:w="20" w:type="dxa"/>
            </w:tcMar>
            <w:vAlign w:val="center"/>
            <w:hideMark/>
          </w:tcPr>
          <w:p w14:paraId="49F94837" w14:textId="77777777" w:rsidR="00000000" w:rsidRDefault="00A173A8">
            <w:pPr>
              <w:spacing w:after="100"/>
              <w:divId w:val="339041655"/>
              <w:rPr>
                <w:rFonts w:eastAsia="Times New Roman"/>
              </w:rPr>
            </w:pPr>
            <w:r>
              <w:rPr>
                <w:rFonts w:eastAsia="Times New Roman"/>
                <w:color w:val="000000"/>
                <w:sz w:val="20"/>
                <w:szCs w:val="20"/>
              </w:rPr>
              <w:t>Commercial Bankin</w:t>
            </w:r>
            <w:r>
              <w:rPr>
                <w:rFonts w:eastAsia="Times New Roman"/>
                <w:color w:val="000000"/>
                <w:sz w:val="20"/>
                <w:szCs w:val="20"/>
              </w:rPr>
              <w:t>g</w:t>
            </w:r>
            <w:r>
              <w:rPr>
                <w:rFonts w:eastAsia="Times New Roman"/>
                <w:color w:val="000000"/>
                <w:sz w:val="13"/>
                <w:szCs w:val="13"/>
              </w:rPr>
              <w:t>(3</w:t>
            </w:r>
            <w:r>
              <w:rPr>
                <w:rFonts w:eastAsia="Times New Roman"/>
                <w:color w:val="000000"/>
                <w:sz w:val="13"/>
                <w:szCs w:val="13"/>
              </w:rPr>
              <w:t>)</w:t>
            </w:r>
          </w:p>
        </w:tc>
        <w:tc>
          <w:tcPr>
            <w:tcW w:w="0" w:type="auto"/>
            <w:gridSpan w:val="9"/>
            <w:shd w:val="clear" w:color="auto" w:fill="CCEEFF"/>
            <w:tcMar>
              <w:top w:w="0" w:type="dxa"/>
              <w:left w:w="20" w:type="dxa"/>
              <w:bottom w:w="0" w:type="dxa"/>
              <w:right w:w="20" w:type="dxa"/>
            </w:tcMar>
            <w:vAlign w:val="center"/>
            <w:hideMark/>
          </w:tcPr>
          <w:p w14:paraId="7B5445E3" w14:textId="77777777" w:rsidR="00000000" w:rsidRDefault="00A173A8">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6B0A027C" w14:textId="77777777" w:rsidR="00000000" w:rsidRDefault="00A173A8">
            <w:pPr>
              <w:spacing w:after="100"/>
              <w:jc w:val="right"/>
              <w:rPr>
                <w:rFonts w:eastAsia="Times New Roman"/>
              </w:rPr>
            </w:pPr>
            <w:r>
              <w:rPr>
                <w:rFonts w:eastAsia="Times New Roman"/>
                <w:b/>
                <w:bCs/>
                <w:color w:val="000000"/>
                <w:sz w:val="20"/>
                <w:szCs w:val="20"/>
              </w:rPr>
              <w:t>1,791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A0E33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ECCB13" w14:textId="77777777" w:rsidR="00000000" w:rsidRDefault="00A173A8">
            <w:pPr>
              <w:spacing w:after="100"/>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center"/>
            <w:hideMark/>
          </w:tcPr>
          <w:p w14:paraId="503755DE" w14:textId="77777777" w:rsidR="00000000" w:rsidRDefault="00A173A8">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gridSpan w:val="3"/>
            <w:shd w:val="clear" w:color="auto" w:fill="CCEEFF"/>
            <w:tcMar>
              <w:top w:w="30" w:type="dxa"/>
              <w:left w:w="0" w:type="dxa"/>
              <w:bottom w:w="30" w:type="dxa"/>
              <w:right w:w="20" w:type="dxa"/>
            </w:tcMar>
            <w:vAlign w:val="center"/>
            <w:hideMark/>
          </w:tcPr>
          <w:p w14:paraId="75E607CD" w14:textId="77777777" w:rsidR="00000000" w:rsidRDefault="00A173A8">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14C641BB"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4D458F6" w14:textId="77777777" w:rsidR="00000000" w:rsidRDefault="00A173A8">
            <w:pPr>
              <w:spacing w:after="100"/>
              <w:jc w:val="right"/>
              <w:rPr>
                <w:rFonts w:eastAsia="Times New Roman"/>
              </w:rPr>
            </w:pPr>
            <w:r>
              <w:rPr>
                <w:rFonts w:eastAsia="Times New Roman"/>
                <w:b/>
                <w:bCs/>
                <w:color w:val="000000"/>
                <w:sz w:val="20"/>
                <w:szCs w:val="20"/>
              </w:rPr>
              <w:t>448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65876C" w14:textId="77777777" w:rsidR="00000000" w:rsidRDefault="00A173A8">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1F08FA9A" w14:textId="77777777" w:rsidR="00000000" w:rsidRDefault="00A173A8">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14:paraId="36829A8C" w14:textId="77777777" w:rsidR="00000000" w:rsidRDefault="00A173A8">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gridSpan w:val="3"/>
            <w:shd w:val="clear" w:color="auto" w:fill="CCEEFF"/>
            <w:tcMar>
              <w:top w:w="30" w:type="dxa"/>
              <w:left w:w="0" w:type="dxa"/>
              <w:bottom w:w="30" w:type="dxa"/>
              <w:right w:w="20" w:type="dxa"/>
            </w:tcMar>
            <w:vAlign w:val="center"/>
            <w:hideMark/>
          </w:tcPr>
          <w:p w14:paraId="4B6FB3F7"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757F309" w14:textId="77777777" w:rsidR="00000000" w:rsidRDefault="00A173A8">
            <w:pPr>
              <w:spacing w:after="100"/>
              <w:jc w:val="right"/>
              <w:rPr>
                <w:rFonts w:eastAsia="Times New Roman"/>
                <w:sz w:val="20"/>
                <w:szCs w:val="20"/>
              </w:rPr>
            </w:pPr>
          </w:p>
        </w:tc>
        <w:tc>
          <w:tcPr>
            <w:tcW w:w="0" w:type="auto"/>
            <w:gridSpan w:val="15"/>
            <w:shd w:val="clear" w:color="auto" w:fill="CCEEFF"/>
            <w:tcMar>
              <w:top w:w="30" w:type="dxa"/>
              <w:left w:w="20" w:type="dxa"/>
              <w:bottom w:w="30" w:type="dxa"/>
              <w:right w:w="0" w:type="dxa"/>
            </w:tcMar>
            <w:vAlign w:val="center"/>
            <w:hideMark/>
          </w:tcPr>
          <w:p w14:paraId="24134DC1" w14:textId="77777777" w:rsidR="00000000" w:rsidRDefault="00A173A8">
            <w:pPr>
              <w:spacing w:after="100"/>
              <w:jc w:val="right"/>
              <w:rPr>
                <w:rFonts w:eastAsia="Times New Roman"/>
              </w:rPr>
            </w:pPr>
            <w:r>
              <w:rPr>
                <w:rFonts w:eastAsia="Times New Roman"/>
                <w:color w:val="000000"/>
                <w:sz w:val="20"/>
                <w:szCs w:val="20"/>
              </w:rPr>
              <w:t>1,477 </w:t>
            </w:r>
          </w:p>
        </w:tc>
        <w:tc>
          <w:tcPr>
            <w:tcW w:w="0" w:type="auto"/>
            <w:shd w:val="clear" w:color="auto" w:fill="CCEEFF"/>
            <w:tcMar>
              <w:top w:w="30" w:type="dxa"/>
              <w:left w:w="0" w:type="dxa"/>
              <w:bottom w:w="30" w:type="dxa"/>
              <w:right w:w="20" w:type="dxa"/>
            </w:tcMar>
            <w:vAlign w:val="center"/>
            <w:hideMark/>
          </w:tcPr>
          <w:p w14:paraId="139AA2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5399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8F061D" w14:textId="77777777" w:rsidR="00000000" w:rsidRDefault="00A173A8">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14:paraId="07EA391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DD85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80598B" w14:textId="77777777" w:rsidR="00000000" w:rsidRDefault="00A173A8">
            <w:pPr>
              <w:spacing w:after="100"/>
              <w:jc w:val="right"/>
              <w:rPr>
                <w:rFonts w:eastAsia="Times New Roman"/>
              </w:rPr>
            </w:pPr>
            <w:r>
              <w:rPr>
                <w:rFonts w:eastAsia="Times New Roman"/>
                <w:color w:val="000000"/>
                <w:sz w:val="20"/>
                <w:szCs w:val="20"/>
              </w:rPr>
              <w:t>812 </w:t>
            </w:r>
          </w:p>
        </w:tc>
        <w:tc>
          <w:tcPr>
            <w:tcW w:w="0" w:type="auto"/>
            <w:shd w:val="clear" w:color="auto" w:fill="CCEEFF"/>
            <w:tcMar>
              <w:top w:w="30" w:type="dxa"/>
              <w:left w:w="0" w:type="dxa"/>
              <w:bottom w:w="30" w:type="dxa"/>
              <w:right w:w="20" w:type="dxa"/>
            </w:tcMar>
            <w:vAlign w:val="center"/>
            <w:hideMark/>
          </w:tcPr>
          <w:p w14:paraId="47F7F33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AC7B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0CBAE9" w14:textId="77777777" w:rsidR="00000000" w:rsidRDefault="00A173A8">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center"/>
            <w:hideMark/>
          </w:tcPr>
          <w:p w14:paraId="036B20B0" w14:textId="77777777" w:rsidR="00000000" w:rsidRDefault="00A173A8">
            <w:pPr>
              <w:spacing w:after="100"/>
              <w:jc w:val="right"/>
              <w:rPr>
                <w:rFonts w:eastAsia="Times New Roman"/>
              </w:rPr>
            </w:pPr>
          </w:p>
        </w:tc>
        <w:tc>
          <w:tcPr>
            <w:tcW w:w="0" w:type="auto"/>
            <w:gridSpan w:val="3"/>
            <w:vAlign w:val="center"/>
            <w:hideMark/>
          </w:tcPr>
          <w:p w14:paraId="3FD1C194" w14:textId="77777777" w:rsidR="00000000" w:rsidRDefault="00A173A8">
            <w:pPr>
              <w:spacing w:after="100"/>
              <w:jc w:val="right"/>
              <w:rPr>
                <w:rFonts w:eastAsia="Times New Roman"/>
                <w:sz w:val="20"/>
                <w:szCs w:val="20"/>
              </w:rPr>
            </w:pPr>
          </w:p>
        </w:tc>
        <w:tc>
          <w:tcPr>
            <w:tcW w:w="0" w:type="auto"/>
            <w:gridSpan w:val="3"/>
            <w:vAlign w:val="center"/>
            <w:hideMark/>
          </w:tcPr>
          <w:p w14:paraId="6CFC1064" w14:textId="77777777" w:rsidR="00000000" w:rsidRDefault="00A173A8">
            <w:pPr>
              <w:spacing w:after="100"/>
              <w:rPr>
                <w:rFonts w:eastAsia="Times New Roman"/>
                <w:sz w:val="20"/>
                <w:szCs w:val="20"/>
              </w:rPr>
            </w:pPr>
          </w:p>
        </w:tc>
        <w:tc>
          <w:tcPr>
            <w:tcW w:w="0" w:type="auto"/>
            <w:gridSpan w:val="3"/>
            <w:vAlign w:val="center"/>
            <w:hideMark/>
          </w:tcPr>
          <w:p w14:paraId="1D0DBADA" w14:textId="77777777" w:rsidR="00000000" w:rsidRDefault="00A173A8">
            <w:pPr>
              <w:spacing w:after="100"/>
              <w:rPr>
                <w:rFonts w:eastAsia="Times New Roman"/>
                <w:sz w:val="20"/>
                <w:szCs w:val="20"/>
              </w:rPr>
            </w:pPr>
          </w:p>
        </w:tc>
        <w:tc>
          <w:tcPr>
            <w:tcW w:w="0" w:type="auto"/>
            <w:gridSpan w:val="2"/>
            <w:vAlign w:val="center"/>
            <w:hideMark/>
          </w:tcPr>
          <w:p w14:paraId="32C5EDAD" w14:textId="77777777" w:rsidR="00000000" w:rsidRDefault="00A173A8">
            <w:pPr>
              <w:spacing w:after="100"/>
              <w:rPr>
                <w:rFonts w:eastAsia="Times New Roman"/>
                <w:sz w:val="20"/>
                <w:szCs w:val="20"/>
              </w:rPr>
            </w:pPr>
          </w:p>
        </w:tc>
        <w:tc>
          <w:tcPr>
            <w:tcW w:w="0" w:type="auto"/>
            <w:vAlign w:val="center"/>
            <w:hideMark/>
          </w:tcPr>
          <w:p w14:paraId="6E3BCD54" w14:textId="77777777" w:rsidR="00000000" w:rsidRDefault="00A173A8">
            <w:pPr>
              <w:spacing w:after="100"/>
              <w:rPr>
                <w:rFonts w:eastAsia="Times New Roman"/>
                <w:sz w:val="20"/>
                <w:szCs w:val="20"/>
              </w:rPr>
            </w:pPr>
          </w:p>
        </w:tc>
      </w:tr>
      <w:tr w:rsidR="00000000" w14:paraId="3802E260" w14:textId="77777777">
        <w:tc>
          <w:tcPr>
            <w:tcW w:w="0" w:type="auto"/>
            <w:gridSpan w:val="10"/>
            <w:shd w:val="clear" w:color="auto" w:fill="FFFFFF"/>
            <w:tcMar>
              <w:top w:w="30" w:type="dxa"/>
              <w:left w:w="20" w:type="dxa"/>
              <w:bottom w:w="30" w:type="dxa"/>
              <w:right w:w="20" w:type="dxa"/>
            </w:tcMar>
            <w:vAlign w:val="center"/>
            <w:hideMark/>
          </w:tcPr>
          <w:p w14:paraId="61E8C6EC" w14:textId="77777777" w:rsidR="00000000" w:rsidRDefault="00A173A8">
            <w:pPr>
              <w:spacing w:after="100"/>
              <w:divId w:val="1142163408"/>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(3</w:t>
            </w:r>
            <w:r>
              <w:rPr>
                <w:rFonts w:eastAsia="Times New Roman"/>
                <w:color w:val="000000"/>
                <w:sz w:val="13"/>
                <w:szCs w:val="13"/>
              </w:rPr>
              <w:t>)</w:t>
            </w:r>
          </w:p>
        </w:tc>
        <w:tc>
          <w:tcPr>
            <w:tcW w:w="0" w:type="auto"/>
            <w:gridSpan w:val="9"/>
            <w:shd w:val="clear" w:color="auto" w:fill="FFFFFF"/>
            <w:tcMar>
              <w:top w:w="0" w:type="dxa"/>
              <w:left w:w="20" w:type="dxa"/>
              <w:bottom w:w="0" w:type="dxa"/>
              <w:right w:w="20" w:type="dxa"/>
            </w:tcMar>
            <w:vAlign w:val="center"/>
            <w:hideMark/>
          </w:tcPr>
          <w:p w14:paraId="3A24383B" w14:textId="77777777" w:rsidR="00000000" w:rsidRDefault="00A173A8">
            <w:pPr>
              <w:spacing w:after="100"/>
              <w:rPr>
                <w:rFonts w:eastAsia="Times New Roman"/>
              </w:rPr>
            </w:pPr>
          </w:p>
        </w:tc>
        <w:tc>
          <w:tcPr>
            <w:tcW w:w="0" w:type="auto"/>
            <w:gridSpan w:val="8"/>
            <w:shd w:val="clear" w:color="auto" w:fill="FFFFFF"/>
            <w:tcMar>
              <w:top w:w="30" w:type="dxa"/>
              <w:left w:w="20" w:type="dxa"/>
              <w:bottom w:w="30" w:type="dxa"/>
              <w:right w:w="0" w:type="dxa"/>
            </w:tcMar>
            <w:vAlign w:val="center"/>
            <w:hideMark/>
          </w:tcPr>
          <w:p w14:paraId="1A8E09E0" w14:textId="77777777" w:rsidR="00000000" w:rsidRDefault="00A173A8">
            <w:pPr>
              <w:spacing w:after="100"/>
              <w:jc w:val="right"/>
              <w:rPr>
                <w:rFonts w:eastAsia="Times New Roman"/>
              </w:rPr>
            </w:pPr>
            <w:r>
              <w:rPr>
                <w:rFonts w:eastAsia="Times New Roman"/>
                <w:b/>
                <w:bCs/>
                <w:color w:val="000000"/>
                <w:sz w:val="20"/>
                <w:szCs w:val="20"/>
              </w:rPr>
              <w:t>(453)</w:t>
            </w:r>
          </w:p>
        </w:tc>
        <w:tc>
          <w:tcPr>
            <w:tcW w:w="0" w:type="auto"/>
            <w:shd w:val="clear" w:color="auto" w:fill="FFFFFF"/>
            <w:tcMar>
              <w:top w:w="30" w:type="dxa"/>
              <w:left w:w="0" w:type="dxa"/>
              <w:bottom w:w="30" w:type="dxa"/>
              <w:right w:w="20" w:type="dxa"/>
            </w:tcMar>
            <w:vAlign w:val="center"/>
            <w:hideMark/>
          </w:tcPr>
          <w:p w14:paraId="561D931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FD1F6" w14:textId="77777777" w:rsidR="00000000" w:rsidRDefault="00A173A8">
            <w:pPr>
              <w:spacing w:after="100"/>
              <w:jc w:val="right"/>
              <w:rPr>
                <w:rFonts w:eastAsia="Times New Roman"/>
                <w:sz w:val="20"/>
                <w:szCs w:val="20"/>
              </w:rPr>
            </w:pPr>
          </w:p>
        </w:tc>
        <w:tc>
          <w:tcPr>
            <w:tcW w:w="0" w:type="auto"/>
            <w:gridSpan w:val="9"/>
            <w:shd w:val="clear" w:color="auto" w:fill="FFFFFF"/>
            <w:tcMar>
              <w:top w:w="30" w:type="dxa"/>
              <w:left w:w="20" w:type="dxa"/>
              <w:bottom w:w="30" w:type="dxa"/>
              <w:right w:w="0" w:type="dxa"/>
            </w:tcMar>
            <w:vAlign w:val="center"/>
            <w:hideMark/>
          </w:tcPr>
          <w:p w14:paraId="59469B97" w14:textId="77777777" w:rsidR="00000000" w:rsidRDefault="00A173A8">
            <w:pPr>
              <w:spacing w:after="100"/>
              <w:jc w:val="right"/>
              <w:rPr>
                <w:rFonts w:eastAsia="Times New Roman"/>
              </w:rPr>
            </w:pPr>
            <w:r>
              <w:rPr>
                <w:rFonts w:eastAsia="Times New Roman"/>
                <w:b/>
                <w:bCs/>
                <w:color w:val="000000"/>
                <w:sz w:val="20"/>
                <w:szCs w:val="20"/>
              </w:rPr>
              <w:t>(3)</w:t>
            </w:r>
          </w:p>
        </w:tc>
        <w:tc>
          <w:tcPr>
            <w:tcW w:w="0" w:type="auto"/>
            <w:gridSpan w:val="3"/>
            <w:shd w:val="clear" w:color="auto" w:fill="FFFFFF"/>
            <w:tcMar>
              <w:top w:w="30" w:type="dxa"/>
              <w:left w:w="0" w:type="dxa"/>
              <w:bottom w:w="30" w:type="dxa"/>
              <w:right w:w="20" w:type="dxa"/>
            </w:tcMar>
            <w:vAlign w:val="center"/>
            <w:hideMark/>
          </w:tcPr>
          <w:p w14:paraId="04CBC5CD" w14:textId="77777777" w:rsidR="00000000" w:rsidRDefault="00A173A8">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18700A10"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1D3ED152" w14:textId="77777777" w:rsidR="00000000" w:rsidRDefault="00A173A8">
            <w:pPr>
              <w:spacing w:after="100"/>
              <w:jc w:val="right"/>
              <w:rPr>
                <w:rFonts w:eastAsia="Times New Roman"/>
              </w:rPr>
            </w:pPr>
            <w:r>
              <w:rPr>
                <w:rFonts w:eastAsia="Times New Roman"/>
                <w:b/>
                <w:bCs/>
                <w:color w:val="000000"/>
                <w:sz w:val="20"/>
                <w:szCs w:val="20"/>
              </w:rPr>
              <w:t>(171)</w:t>
            </w:r>
          </w:p>
        </w:tc>
        <w:tc>
          <w:tcPr>
            <w:tcW w:w="0" w:type="auto"/>
            <w:shd w:val="clear" w:color="auto" w:fill="FFFFFF"/>
            <w:tcMar>
              <w:top w:w="30" w:type="dxa"/>
              <w:left w:w="0" w:type="dxa"/>
              <w:bottom w:w="30" w:type="dxa"/>
              <w:right w:w="20" w:type="dxa"/>
            </w:tcMar>
            <w:vAlign w:val="center"/>
            <w:hideMark/>
          </w:tcPr>
          <w:p w14:paraId="0DF0F189"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F6ED7D4" w14:textId="77777777" w:rsidR="00000000" w:rsidRDefault="00A173A8">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14:paraId="0A5ACFAA" w14:textId="77777777" w:rsidR="00000000" w:rsidRDefault="00A173A8">
            <w:pPr>
              <w:spacing w:after="100"/>
              <w:jc w:val="right"/>
              <w:rPr>
                <w:rFonts w:eastAsia="Times New Roman"/>
              </w:rPr>
            </w:pPr>
            <w:r>
              <w:rPr>
                <w:rFonts w:eastAsia="Times New Roman"/>
                <w:b/>
                <w:bCs/>
                <w:color w:val="000000"/>
                <w:sz w:val="20"/>
                <w:szCs w:val="20"/>
              </w:rPr>
              <w:t>(4)</w:t>
            </w:r>
          </w:p>
        </w:tc>
        <w:tc>
          <w:tcPr>
            <w:tcW w:w="0" w:type="auto"/>
            <w:gridSpan w:val="3"/>
            <w:shd w:val="clear" w:color="auto" w:fill="FFFFFF"/>
            <w:tcMar>
              <w:top w:w="30" w:type="dxa"/>
              <w:left w:w="0" w:type="dxa"/>
              <w:bottom w:w="30" w:type="dxa"/>
              <w:right w:w="20" w:type="dxa"/>
            </w:tcMar>
            <w:vAlign w:val="center"/>
            <w:hideMark/>
          </w:tcPr>
          <w:p w14:paraId="58DD52BF"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DBC46BF" w14:textId="77777777" w:rsidR="00000000" w:rsidRDefault="00A173A8">
            <w:pPr>
              <w:spacing w:after="100"/>
              <w:jc w:val="right"/>
              <w:rPr>
                <w:rFonts w:eastAsia="Times New Roman"/>
                <w:sz w:val="20"/>
                <w:szCs w:val="20"/>
              </w:rPr>
            </w:pPr>
          </w:p>
        </w:tc>
        <w:tc>
          <w:tcPr>
            <w:tcW w:w="0" w:type="auto"/>
            <w:gridSpan w:val="15"/>
            <w:shd w:val="clear" w:color="auto" w:fill="FFFFFF"/>
            <w:tcMar>
              <w:top w:w="30" w:type="dxa"/>
              <w:left w:w="20" w:type="dxa"/>
              <w:bottom w:w="30" w:type="dxa"/>
              <w:right w:w="0" w:type="dxa"/>
            </w:tcMar>
            <w:vAlign w:val="center"/>
            <w:hideMark/>
          </w:tcPr>
          <w:p w14:paraId="7AF2F3A9" w14:textId="77777777" w:rsidR="00000000" w:rsidRDefault="00A173A8">
            <w:pPr>
              <w:spacing w:after="100"/>
              <w:jc w:val="right"/>
              <w:rPr>
                <w:rFonts w:eastAsia="Times New Roman"/>
              </w:rPr>
            </w:pPr>
            <w:r>
              <w:rPr>
                <w:rFonts w:eastAsia="Times New Roman"/>
                <w:color w:val="000000"/>
                <w:sz w:val="20"/>
                <w:szCs w:val="20"/>
              </w:rPr>
              <w:t>(277)</w:t>
            </w:r>
          </w:p>
        </w:tc>
        <w:tc>
          <w:tcPr>
            <w:tcW w:w="0" w:type="auto"/>
            <w:shd w:val="clear" w:color="auto" w:fill="FFFFFF"/>
            <w:tcMar>
              <w:top w:w="30" w:type="dxa"/>
              <w:left w:w="0" w:type="dxa"/>
              <w:bottom w:w="30" w:type="dxa"/>
              <w:right w:w="20" w:type="dxa"/>
            </w:tcMar>
            <w:vAlign w:val="center"/>
            <w:hideMark/>
          </w:tcPr>
          <w:p w14:paraId="557A984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0954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DB1164" w14:textId="77777777" w:rsidR="00000000" w:rsidRDefault="00A173A8">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center"/>
            <w:hideMark/>
          </w:tcPr>
          <w:p w14:paraId="7C37124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C6003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04367F" w14:textId="77777777" w:rsidR="00000000" w:rsidRDefault="00A173A8">
            <w:pPr>
              <w:spacing w:after="100"/>
              <w:jc w:val="right"/>
              <w:rPr>
                <w:rFonts w:eastAsia="Times New Roman"/>
              </w:rPr>
            </w:pPr>
            <w:r>
              <w:rPr>
                <w:rFonts w:eastAsia="Times New Roman"/>
                <w:color w:val="000000"/>
                <w:sz w:val="20"/>
                <w:szCs w:val="20"/>
              </w:rPr>
              <w:t>(216)</w:t>
            </w:r>
          </w:p>
        </w:tc>
        <w:tc>
          <w:tcPr>
            <w:tcW w:w="0" w:type="auto"/>
            <w:shd w:val="clear" w:color="auto" w:fill="FFFFFF"/>
            <w:tcMar>
              <w:top w:w="30" w:type="dxa"/>
              <w:left w:w="0" w:type="dxa"/>
              <w:bottom w:w="30" w:type="dxa"/>
              <w:right w:w="20" w:type="dxa"/>
            </w:tcMar>
            <w:vAlign w:val="center"/>
            <w:hideMark/>
          </w:tcPr>
          <w:p w14:paraId="66AB762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0DC6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756A7C" w14:textId="77777777" w:rsidR="00000000" w:rsidRDefault="00A173A8">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center"/>
            <w:hideMark/>
          </w:tcPr>
          <w:p w14:paraId="568300EB" w14:textId="77777777" w:rsidR="00000000" w:rsidRDefault="00A173A8">
            <w:pPr>
              <w:spacing w:after="100"/>
              <w:jc w:val="right"/>
              <w:rPr>
                <w:rFonts w:eastAsia="Times New Roman"/>
              </w:rPr>
            </w:pPr>
          </w:p>
        </w:tc>
        <w:tc>
          <w:tcPr>
            <w:tcW w:w="0" w:type="auto"/>
            <w:gridSpan w:val="3"/>
            <w:vAlign w:val="center"/>
            <w:hideMark/>
          </w:tcPr>
          <w:p w14:paraId="7AC72A88" w14:textId="77777777" w:rsidR="00000000" w:rsidRDefault="00A173A8">
            <w:pPr>
              <w:spacing w:after="100"/>
              <w:jc w:val="right"/>
              <w:rPr>
                <w:rFonts w:eastAsia="Times New Roman"/>
                <w:sz w:val="20"/>
                <w:szCs w:val="20"/>
              </w:rPr>
            </w:pPr>
          </w:p>
        </w:tc>
        <w:tc>
          <w:tcPr>
            <w:tcW w:w="0" w:type="auto"/>
            <w:gridSpan w:val="3"/>
            <w:vAlign w:val="center"/>
            <w:hideMark/>
          </w:tcPr>
          <w:p w14:paraId="45B7AA94" w14:textId="77777777" w:rsidR="00000000" w:rsidRDefault="00A173A8">
            <w:pPr>
              <w:spacing w:after="100"/>
              <w:rPr>
                <w:rFonts w:eastAsia="Times New Roman"/>
                <w:sz w:val="20"/>
                <w:szCs w:val="20"/>
              </w:rPr>
            </w:pPr>
          </w:p>
        </w:tc>
        <w:tc>
          <w:tcPr>
            <w:tcW w:w="0" w:type="auto"/>
            <w:gridSpan w:val="3"/>
            <w:vAlign w:val="center"/>
            <w:hideMark/>
          </w:tcPr>
          <w:p w14:paraId="3217BD51" w14:textId="77777777" w:rsidR="00000000" w:rsidRDefault="00A173A8">
            <w:pPr>
              <w:spacing w:after="100"/>
              <w:rPr>
                <w:rFonts w:eastAsia="Times New Roman"/>
                <w:sz w:val="20"/>
                <w:szCs w:val="20"/>
              </w:rPr>
            </w:pPr>
          </w:p>
        </w:tc>
        <w:tc>
          <w:tcPr>
            <w:tcW w:w="0" w:type="auto"/>
            <w:gridSpan w:val="2"/>
            <w:vAlign w:val="center"/>
            <w:hideMark/>
          </w:tcPr>
          <w:p w14:paraId="53C6A630" w14:textId="77777777" w:rsidR="00000000" w:rsidRDefault="00A173A8">
            <w:pPr>
              <w:spacing w:after="100"/>
              <w:rPr>
                <w:rFonts w:eastAsia="Times New Roman"/>
                <w:sz w:val="20"/>
                <w:szCs w:val="20"/>
              </w:rPr>
            </w:pPr>
          </w:p>
        </w:tc>
        <w:tc>
          <w:tcPr>
            <w:tcW w:w="0" w:type="auto"/>
            <w:vAlign w:val="center"/>
            <w:hideMark/>
          </w:tcPr>
          <w:p w14:paraId="06E27082" w14:textId="77777777" w:rsidR="00000000" w:rsidRDefault="00A173A8">
            <w:pPr>
              <w:spacing w:after="100"/>
              <w:rPr>
                <w:rFonts w:eastAsia="Times New Roman"/>
                <w:sz w:val="20"/>
                <w:szCs w:val="20"/>
              </w:rPr>
            </w:pPr>
          </w:p>
        </w:tc>
      </w:tr>
      <w:tr w:rsidR="00000000" w14:paraId="78EE5A47" w14:textId="77777777">
        <w:tc>
          <w:tcPr>
            <w:tcW w:w="0" w:type="auto"/>
            <w:gridSpan w:val="10"/>
            <w:shd w:val="clear" w:color="auto" w:fill="CCEEFF"/>
            <w:tcMar>
              <w:top w:w="30" w:type="dxa"/>
              <w:left w:w="20" w:type="dxa"/>
              <w:bottom w:w="30" w:type="dxa"/>
              <w:right w:w="20" w:type="dxa"/>
            </w:tcMar>
            <w:vAlign w:val="center"/>
            <w:hideMark/>
          </w:tcPr>
          <w:p w14:paraId="61B34AB9" w14:textId="77777777" w:rsidR="00000000" w:rsidRDefault="00A173A8">
            <w:pPr>
              <w:spacing w:after="100"/>
              <w:rPr>
                <w:rFonts w:eastAsia="Times New Roman"/>
              </w:rPr>
            </w:pPr>
            <w:r>
              <w:rPr>
                <w:rFonts w:eastAsia="Times New Roman"/>
                <w:color w:val="000000"/>
                <w:sz w:val="20"/>
                <w:szCs w:val="20"/>
              </w:rPr>
              <w:t>Total</w:t>
            </w:r>
          </w:p>
        </w:tc>
        <w:tc>
          <w:tcPr>
            <w:tcW w:w="0" w:type="auto"/>
            <w:gridSpan w:val="9"/>
            <w:shd w:val="clear" w:color="auto" w:fill="CCEEFF"/>
            <w:tcMar>
              <w:top w:w="0" w:type="dxa"/>
              <w:left w:w="20" w:type="dxa"/>
              <w:bottom w:w="0" w:type="dxa"/>
              <w:right w:w="20" w:type="dxa"/>
            </w:tcMar>
            <w:vAlign w:val="center"/>
            <w:hideMark/>
          </w:tcPr>
          <w:p w14:paraId="364690D8"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C2F8F0D"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78FC4BB" w14:textId="77777777" w:rsidR="00000000" w:rsidRDefault="00A173A8">
            <w:pPr>
              <w:spacing w:after="100"/>
              <w:jc w:val="right"/>
              <w:rPr>
                <w:rFonts w:eastAsia="Times New Roman"/>
              </w:rPr>
            </w:pPr>
            <w:r>
              <w:rPr>
                <w:rFonts w:eastAsia="Times New Roman"/>
                <w:b/>
                <w:bCs/>
                <w:color w:val="000000"/>
                <w:sz w:val="20"/>
                <w:szCs w:val="20"/>
              </w:rPr>
              <w:t>16,405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17B201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89CF65" w14:textId="77777777" w:rsidR="00000000" w:rsidRDefault="00A173A8">
            <w:pPr>
              <w:spacing w:after="100"/>
              <w:jc w:val="right"/>
              <w:rPr>
                <w:rFonts w:eastAsia="Times New Roman"/>
                <w:sz w:val="20"/>
                <w:szCs w:val="20"/>
              </w:rPr>
            </w:pPr>
          </w:p>
        </w:tc>
        <w:tc>
          <w:tcPr>
            <w:tcW w:w="0" w:type="auto"/>
            <w:gridSpan w:val="9"/>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0E61767" w14:textId="77777777" w:rsidR="00000000" w:rsidRDefault="00A173A8">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61CAFB8"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6"/>
            <w:shd w:val="clear" w:color="auto" w:fill="CCEEFF"/>
            <w:tcMar>
              <w:top w:w="0" w:type="dxa"/>
              <w:left w:w="20" w:type="dxa"/>
              <w:bottom w:w="0" w:type="dxa"/>
              <w:right w:w="20" w:type="dxa"/>
            </w:tcMar>
            <w:vAlign w:val="center"/>
            <w:hideMark/>
          </w:tcPr>
          <w:p w14:paraId="458E15DD" w14:textId="77777777" w:rsidR="00000000" w:rsidRDefault="00A173A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6E9880A"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814CFC8" w14:textId="77777777" w:rsidR="00000000" w:rsidRDefault="00A173A8">
            <w:pPr>
              <w:spacing w:after="100"/>
              <w:jc w:val="right"/>
              <w:rPr>
                <w:rFonts w:eastAsia="Times New Roman"/>
              </w:rPr>
            </w:pPr>
            <w:r>
              <w:rPr>
                <w:rFonts w:eastAsia="Times New Roman"/>
                <w:b/>
                <w:bCs/>
                <w:color w:val="000000"/>
                <w:sz w:val="20"/>
                <w:szCs w:val="20"/>
              </w:rPr>
              <w:t>4,434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1741814" w14:textId="77777777" w:rsidR="00000000" w:rsidRDefault="00A173A8">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6DCC8ACF" w14:textId="77777777" w:rsidR="00000000" w:rsidRDefault="00A173A8">
            <w:pPr>
              <w:spacing w:after="100"/>
              <w:jc w:val="right"/>
              <w:rPr>
                <w:rFonts w:eastAsia="Times New Roman"/>
                <w:sz w:val="20"/>
                <w:szCs w:val="20"/>
              </w:rPr>
            </w:pPr>
          </w:p>
        </w:tc>
        <w:tc>
          <w:tcPr>
            <w:tcW w:w="0" w:type="auto"/>
            <w:gridSpan w:val="7"/>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AF61558" w14:textId="77777777" w:rsidR="00000000" w:rsidRDefault="00A173A8">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D9DAB69"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4"/>
            <w:shd w:val="clear" w:color="auto" w:fill="CCEEFF"/>
            <w:tcMar>
              <w:top w:w="0" w:type="dxa"/>
              <w:left w:w="20" w:type="dxa"/>
              <w:bottom w:w="0" w:type="dxa"/>
              <w:right w:w="20" w:type="dxa"/>
            </w:tcMar>
            <w:vAlign w:val="center"/>
            <w:hideMark/>
          </w:tcPr>
          <w:p w14:paraId="14C597D7" w14:textId="77777777" w:rsidR="00000000" w:rsidRDefault="00A173A8">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B5ECB86" w14:textId="77777777" w:rsidR="00000000" w:rsidRDefault="00A173A8">
            <w:pPr>
              <w:spacing w:after="100"/>
              <w:rPr>
                <w:rFonts w:eastAsia="Times New Roman"/>
              </w:rPr>
            </w:pPr>
            <w:r>
              <w:rPr>
                <w:rFonts w:eastAsia="Times New Roman"/>
                <w:color w:val="000000"/>
                <w:sz w:val="20"/>
                <w:szCs w:val="20"/>
              </w:rPr>
              <w:t>$</w:t>
            </w:r>
          </w:p>
        </w:tc>
        <w:tc>
          <w:tcPr>
            <w:tcW w:w="0" w:type="auto"/>
            <w:gridSpan w:val="12"/>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EB2CB43" w14:textId="77777777" w:rsidR="00000000" w:rsidRDefault="00A173A8">
            <w:pPr>
              <w:spacing w:after="100"/>
              <w:jc w:val="right"/>
              <w:rPr>
                <w:rFonts w:eastAsia="Times New Roman"/>
              </w:rPr>
            </w:pPr>
            <w:r>
              <w:rPr>
                <w:rFonts w:eastAsia="Times New Roman"/>
                <w:color w:val="000000"/>
                <w:sz w:val="20"/>
                <w:szCs w:val="20"/>
              </w:rPr>
              <w:t>14,487 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C2CC5A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731F8"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534C791" w14:textId="77777777" w:rsidR="00000000" w:rsidRDefault="00A173A8">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4D8E2AA"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F7C5731" w14:textId="77777777" w:rsidR="00000000" w:rsidRDefault="00A173A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029DEEC"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159E1B2" w14:textId="77777777" w:rsidR="00000000" w:rsidRDefault="00A173A8">
            <w:pPr>
              <w:spacing w:after="100"/>
              <w:jc w:val="right"/>
              <w:rPr>
                <w:rFonts w:eastAsia="Times New Roman"/>
              </w:rPr>
            </w:pPr>
            <w:r>
              <w:rPr>
                <w:rFonts w:eastAsia="Times New Roman"/>
                <w:color w:val="000000"/>
                <w:sz w:val="20"/>
                <w:szCs w:val="20"/>
              </w:rPr>
              <w:t>6,864 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0343AF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C6CC47"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B97A29F" w14:textId="77777777" w:rsidR="00000000" w:rsidRDefault="00A173A8">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3469E01"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37286A19" w14:textId="77777777" w:rsidR="00000000" w:rsidRDefault="00A173A8">
            <w:pPr>
              <w:spacing w:after="100"/>
              <w:jc w:val="right"/>
              <w:rPr>
                <w:rFonts w:eastAsia="Times New Roman"/>
              </w:rPr>
            </w:pPr>
          </w:p>
        </w:tc>
        <w:tc>
          <w:tcPr>
            <w:tcW w:w="0" w:type="auto"/>
            <w:gridSpan w:val="3"/>
            <w:vAlign w:val="center"/>
            <w:hideMark/>
          </w:tcPr>
          <w:p w14:paraId="247B23D7" w14:textId="77777777" w:rsidR="00000000" w:rsidRDefault="00A173A8">
            <w:pPr>
              <w:spacing w:after="100"/>
              <w:rPr>
                <w:rFonts w:eastAsia="Times New Roman"/>
                <w:sz w:val="20"/>
                <w:szCs w:val="20"/>
              </w:rPr>
            </w:pPr>
          </w:p>
        </w:tc>
        <w:tc>
          <w:tcPr>
            <w:tcW w:w="0" w:type="auto"/>
            <w:gridSpan w:val="3"/>
            <w:vAlign w:val="center"/>
            <w:hideMark/>
          </w:tcPr>
          <w:p w14:paraId="231AB205" w14:textId="77777777" w:rsidR="00000000" w:rsidRDefault="00A173A8">
            <w:pPr>
              <w:spacing w:after="100"/>
              <w:rPr>
                <w:rFonts w:eastAsia="Times New Roman"/>
                <w:sz w:val="20"/>
                <w:szCs w:val="20"/>
              </w:rPr>
            </w:pPr>
          </w:p>
        </w:tc>
        <w:tc>
          <w:tcPr>
            <w:tcW w:w="0" w:type="auto"/>
            <w:gridSpan w:val="2"/>
            <w:vAlign w:val="center"/>
            <w:hideMark/>
          </w:tcPr>
          <w:p w14:paraId="522C2529" w14:textId="77777777" w:rsidR="00000000" w:rsidRDefault="00A173A8">
            <w:pPr>
              <w:spacing w:after="100"/>
              <w:rPr>
                <w:rFonts w:eastAsia="Times New Roman"/>
                <w:sz w:val="20"/>
                <w:szCs w:val="20"/>
              </w:rPr>
            </w:pPr>
          </w:p>
        </w:tc>
        <w:tc>
          <w:tcPr>
            <w:tcW w:w="0" w:type="auto"/>
            <w:vAlign w:val="center"/>
            <w:hideMark/>
          </w:tcPr>
          <w:p w14:paraId="029A6A58" w14:textId="77777777" w:rsidR="00000000" w:rsidRDefault="00A173A8">
            <w:pPr>
              <w:spacing w:after="100"/>
              <w:rPr>
                <w:rFonts w:eastAsia="Times New Roman"/>
                <w:sz w:val="20"/>
                <w:szCs w:val="20"/>
              </w:rPr>
            </w:pPr>
          </w:p>
        </w:tc>
      </w:tr>
    </w:tbl>
    <w:p w14:paraId="6B0A4B5B" w14:textId="77777777" w:rsidR="00000000" w:rsidRDefault="00A173A8">
      <w:pPr>
        <w:jc w:val="both"/>
        <w:rPr>
          <w:rFonts w:eastAsia="Times New Roman"/>
        </w:rPr>
      </w:pPr>
      <w:r>
        <w:rPr>
          <w:rFonts w:eastAsia="Times New Roman"/>
          <w:color w:val="000000"/>
          <w:sz w:val="20"/>
          <w:szCs w:val="20"/>
        </w:rPr>
        <w:t>__________</w:t>
      </w:r>
    </w:p>
    <w:p w14:paraId="04F9D2AE" w14:textId="77777777" w:rsidR="00000000" w:rsidRDefault="00A173A8">
      <w:pPr>
        <w:ind w:hanging="360"/>
        <w:jc w:val="both"/>
        <w:divId w:val="9930249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Total net revenue (loss) consists of net interest income and non-interest income.</w:t>
      </w:r>
    </w:p>
    <w:p w14:paraId="7F1410FC" w14:textId="77777777" w:rsidR="00000000" w:rsidRDefault="00A173A8">
      <w:pPr>
        <w:ind w:hanging="360"/>
        <w:jc w:val="both"/>
        <w:divId w:val="115618943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income (loss) for our business segments and the Other category is based on income (loss) from continuing operations, net of tax.</w:t>
      </w:r>
    </w:p>
    <w:p w14:paraId="3FDC8118" w14:textId="77777777" w:rsidR="00000000" w:rsidRDefault="00A173A8">
      <w:pPr>
        <w:ind w:hanging="360"/>
        <w:jc w:val="both"/>
        <w:divId w:val="125247735"/>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Some of our comm</w:t>
      </w:r>
      <w:r>
        <w:rPr>
          <w:rFonts w:eastAsia="Times New Roman"/>
          <w:color w:val="000000"/>
          <w:sz w:val="16"/>
          <w:szCs w:val="16"/>
        </w:rPr>
        <w:t xml:space="preserve">ercial investments generate tax-exempt income, tax credits or other tax benefits. Accordingly, we present our Commercial Banking revenue and yields on a taxable-equivalent basis, calculated using the federal statutory tax rate of 21% and state taxes where </w:t>
      </w:r>
      <w:r>
        <w:rPr>
          <w:rFonts w:eastAsia="Times New Roman"/>
          <w:color w:val="000000"/>
          <w:sz w:val="16"/>
          <w:szCs w:val="16"/>
        </w:rPr>
        <w:t>applicable, with offsetting reductions to the Other category</w:t>
      </w:r>
      <w:r>
        <w:rPr>
          <w:rFonts w:eastAsia="Times New Roman"/>
          <w:color w:val="000000"/>
          <w:sz w:val="16"/>
          <w:szCs w:val="16"/>
        </w:rPr>
        <w:t>.</w:t>
      </w:r>
      <w:r>
        <w:rPr>
          <w:rFonts w:eastAsia="Times New Roman"/>
          <w:color w:val="000000"/>
          <w:sz w:val="10"/>
          <w:szCs w:val="10"/>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5C20261" w14:textId="77777777">
        <w:trPr>
          <w:divId w:val="479617075"/>
          <w:jc w:val="center"/>
        </w:trPr>
        <w:tc>
          <w:tcPr>
            <w:tcW w:w="50" w:type="pct"/>
            <w:vAlign w:val="center"/>
            <w:hideMark/>
          </w:tcPr>
          <w:p w14:paraId="09513EC7" w14:textId="77777777" w:rsidR="00000000" w:rsidRDefault="00A173A8">
            <w:pPr>
              <w:ind w:hanging="360"/>
              <w:jc w:val="both"/>
              <w:rPr>
                <w:rFonts w:eastAsia="Times New Roman"/>
              </w:rPr>
            </w:pPr>
          </w:p>
        </w:tc>
        <w:tc>
          <w:tcPr>
            <w:tcW w:w="1606" w:type="pct"/>
            <w:vAlign w:val="center"/>
            <w:hideMark/>
          </w:tcPr>
          <w:p w14:paraId="0CE20F98" w14:textId="77777777" w:rsidR="00000000" w:rsidRDefault="00A173A8">
            <w:pPr>
              <w:spacing w:after="100"/>
              <w:rPr>
                <w:rFonts w:eastAsia="Times New Roman"/>
                <w:sz w:val="20"/>
                <w:szCs w:val="20"/>
              </w:rPr>
            </w:pPr>
          </w:p>
        </w:tc>
        <w:tc>
          <w:tcPr>
            <w:tcW w:w="5" w:type="pct"/>
            <w:vAlign w:val="center"/>
            <w:hideMark/>
          </w:tcPr>
          <w:p w14:paraId="577CEFA4" w14:textId="77777777" w:rsidR="00000000" w:rsidRDefault="00A173A8">
            <w:pPr>
              <w:spacing w:after="100"/>
              <w:rPr>
                <w:rFonts w:eastAsia="Times New Roman"/>
                <w:sz w:val="20"/>
                <w:szCs w:val="20"/>
              </w:rPr>
            </w:pPr>
          </w:p>
        </w:tc>
        <w:tc>
          <w:tcPr>
            <w:tcW w:w="50" w:type="pct"/>
            <w:vAlign w:val="center"/>
            <w:hideMark/>
          </w:tcPr>
          <w:p w14:paraId="6F0253F9" w14:textId="77777777" w:rsidR="00000000" w:rsidRDefault="00A173A8">
            <w:pPr>
              <w:spacing w:after="100"/>
              <w:rPr>
                <w:rFonts w:eastAsia="Times New Roman"/>
                <w:sz w:val="20"/>
                <w:szCs w:val="20"/>
              </w:rPr>
            </w:pPr>
          </w:p>
        </w:tc>
        <w:tc>
          <w:tcPr>
            <w:tcW w:w="1614" w:type="pct"/>
            <w:vAlign w:val="center"/>
            <w:hideMark/>
          </w:tcPr>
          <w:p w14:paraId="475C58CA" w14:textId="77777777" w:rsidR="00000000" w:rsidRDefault="00A173A8">
            <w:pPr>
              <w:spacing w:after="100"/>
              <w:rPr>
                <w:rFonts w:eastAsia="Times New Roman"/>
                <w:sz w:val="20"/>
                <w:szCs w:val="20"/>
              </w:rPr>
            </w:pPr>
          </w:p>
        </w:tc>
        <w:tc>
          <w:tcPr>
            <w:tcW w:w="5" w:type="pct"/>
            <w:vAlign w:val="center"/>
            <w:hideMark/>
          </w:tcPr>
          <w:p w14:paraId="3CC7156D" w14:textId="77777777" w:rsidR="00000000" w:rsidRDefault="00A173A8">
            <w:pPr>
              <w:spacing w:after="100"/>
              <w:rPr>
                <w:rFonts w:eastAsia="Times New Roman"/>
                <w:sz w:val="20"/>
                <w:szCs w:val="20"/>
              </w:rPr>
            </w:pPr>
          </w:p>
        </w:tc>
        <w:tc>
          <w:tcPr>
            <w:tcW w:w="50" w:type="pct"/>
            <w:vAlign w:val="center"/>
            <w:hideMark/>
          </w:tcPr>
          <w:p w14:paraId="3C8DBA7C" w14:textId="77777777" w:rsidR="00000000" w:rsidRDefault="00A173A8">
            <w:pPr>
              <w:spacing w:after="100"/>
              <w:rPr>
                <w:rFonts w:eastAsia="Times New Roman"/>
                <w:sz w:val="20"/>
                <w:szCs w:val="20"/>
              </w:rPr>
            </w:pPr>
          </w:p>
        </w:tc>
        <w:tc>
          <w:tcPr>
            <w:tcW w:w="1614" w:type="pct"/>
            <w:vAlign w:val="center"/>
            <w:hideMark/>
          </w:tcPr>
          <w:p w14:paraId="2437F041" w14:textId="77777777" w:rsidR="00000000" w:rsidRDefault="00A173A8">
            <w:pPr>
              <w:spacing w:after="100"/>
              <w:rPr>
                <w:rFonts w:eastAsia="Times New Roman"/>
                <w:sz w:val="20"/>
                <w:szCs w:val="20"/>
              </w:rPr>
            </w:pPr>
          </w:p>
        </w:tc>
        <w:tc>
          <w:tcPr>
            <w:tcW w:w="5" w:type="pct"/>
            <w:vAlign w:val="center"/>
            <w:hideMark/>
          </w:tcPr>
          <w:p w14:paraId="1108B2DA" w14:textId="77777777" w:rsidR="00000000" w:rsidRDefault="00A173A8">
            <w:pPr>
              <w:spacing w:after="100"/>
              <w:rPr>
                <w:rFonts w:eastAsia="Times New Roman"/>
                <w:sz w:val="20"/>
                <w:szCs w:val="20"/>
              </w:rPr>
            </w:pPr>
          </w:p>
        </w:tc>
      </w:tr>
      <w:tr w:rsidR="00000000" w14:paraId="50CD991B" w14:textId="77777777">
        <w:trPr>
          <w:divId w:val="479617075"/>
          <w:trHeight w:val="300"/>
          <w:jc w:val="center"/>
        </w:trPr>
        <w:tc>
          <w:tcPr>
            <w:tcW w:w="0" w:type="auto"/>
            <w:gridSpan w:val="9"/>
            <w:tcMar>
              <w:top w:w="0" w:type="dxa"/>
              <w:left w:w="20" w:type="dxa"/>
              <w:bottom w:w="0" w:type="dxa"/>
              <w:right w:w="20" w:type="dxa"/>
            </w:tcMar>
            <w:vAlign w:val="center"/>
            <w:hideMark/>
          </w:tcPr>
          <w:p w14:paraId="4EE20B05" w14:textId="77777777" w:rsidR="00000000" w:rsidRDefault="00A173A8">
            <w:pPr>
              <w:spacing w:after="100"/>
              <w:rPr>
                <w:rFonts w:eastAsia="Times New Roman"/>
                <w:sz w:val="20"/>
                <w:szCs w:val="20"/>
              </w:rPr>
            </w:pPr>
          </w:p>
        </w:tc>
      </w:tr>
      <w:tr w:rsidR="00000000" w14:paraId="216173F1" w14:textId="77777777">
        <w:trPr>
          <w:divId w:val="479617075"/>
          <w:jc w:val="center"/>
        </w:trPr>
        <w:tc>
          <w:tcPr>
            <w:tcW w:w="0" w:type="auto"/>
            <w:gridSpan w:val="3"/>
            <w:tcMar>
              <w:top w:w="0" w:type="dxa"/>
              <w:left w:w="20" w:type="dxa"/>
              <w:bottom w:w="0" w:type="dxa"/>
              <w:right w:w="20" w:type="dxa"/>
            </w:tcMar>
            <w:vAlign w:val="center"/>
            <w:hideMark/>
          </w:tcPr>
          <w:p w14:paraId="7A7775ED"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3F3EC20" w14:textId="77777777" w:rsidR="00000000" w:rsidRDefault="00A173A8">
            <w:pPr>
              <w:spacing w:after="100"/>
              <w:jc w:val="center"/>
              <w:rPr>
                <w:rFonts w:eastAsia="Times New Roman"/>
              </w:rPr>
            </w:pPr>
            <w:r>
              <w:rPr>
                <w:rFonts w:eastAsia="Times New Roman"/>
                <w:color w:val="000000"/>
                <w:sz w:val="16"/>
                <w:szCs w:val="16"/>
              </w:rPr>
              <w:t>19</w:t>
            </w:r>
          </w:p>
        </w:tc>
        <w:tc>
          <w:tcPr>
            <w:tcW w:w="0" w:type="auto"/>
            <w:gridSpan w:val="3"/>
            <w:tcMar>
              <w:top w:w="30" w:type="dxa"/>
              <w:left w:w="20" w:type="dxa"/>
              <w:bottom w:w="30" w:type="dxa"/>
              <w:right w:w="20" w:type="dxa"/>
            </w:tcMar>
            <w:vAlign w:val="bottom"/>
            <w:hideMark/>
          </w:tcPr>
          <w:p w14:paraId="4FB6582C"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2A9A3DE" w14:textId="77777777" w:rsidR="00000000" w:rsidRDefault="00A173A8">
      <w:pPr>
        <w:rPr>
          <w:rFonts w:eastAsia="Times New Roman"/>
        </w:rPr>
      </w:pPr>
      <w:r>
        <w:rPr>
          <w:rFonts w:eastAsia="Times New Roman"/>
        </w:rPr>
        <w:pict w14:anchorId="6523524A">
          <v:rect id="_x0000_i1044" style="width:0;height:1.5pt" o:hralign="center" o:hrstd="t" o:hr="t" fillcolor="#a0a0a0" stroked="f"/>
        </w:pict>
      </w:r>
    </w:p>
    <w:p w14:paraId="310041C8" w14:textId="77777777" w:rsidR="00000000" w:rsidRDefault="00A173A8">
      <w:pPr>
        <w:ind w:hanging="360"/>
        <w:jc w:val="both"/>
        <w:divId w:val="592009382"/>
        <w:rPr>
          <w:rFonts w:eastAsia="Times New Roman"/>
        </w:rPr>
      </w:pPr>
      <w:hyperlink w:anchor="i7ffd5d61af6f4722b1b1b07530d51c06_13" w:history="1">
        <w:r>
          <w:rPr>
            <w:rStyle w:val="a3"/>
            <w:rFonts w:eastAsia="Times New Roman"/>
            <w:sz w:val="16"/>
            <w:szCs w:val="16"/>
          </w:rPr>
          <w:t>Table of Contents</w:t>
        </w:r>
      </w:hyperlink>
    </w:p>
    <w:p w14:paraId="71E87018" w14:textId="77777777" w:rsidR="00000000" w:rsidRDefault="00A173A8">
      <w:pPr>
        <w:divId w:val="1104615869"/>
        <w:rPr>
          <w:rFonts w:eastAsia="Times New Roman"/>
        </w:rPr>
      </w:pPr>
      <w:r>
        <w:rPr>
          <w:rFonts w:eastAsia="Times New Roman"/>
          <w:b/>
          <w:bCs/>
          <w:color w:val="000000"/>
          <w:sz w:val="20"/>
          <w:szCs w:val="20"/>
        </w:rPr>
        <w:t>Credit Card Business</w:t>
      </w:r>
    </w:p>
    <w:p w14:paraId="7D212BC5" w14:textId="77777777" w:rsidR="00000000" w:rsidRDefault="00A173A8">
      <w:pPr>
        <w:jc w:val="both"/>
        <w:divId w:val="1792747224"/>
        <w:rPr>
          <w:rFonts w:eastAsia="Times New Roman"/>
        </w:rPr>
      </w:pPr>
      <w:r>
        <w:rPr>
          <w:rFonts w:eastAsia="Times New Roman"/>
          <w:color w:val="000000"/>
          <w:sz w:val="20"/>
          <w:szCs w:val="20"/>
        </w:rPr>
        <w:t>The primary sources of revenue for our Credit Card business are net interest income, net interchange income and fees colle</w:t>
      </w:r>
      <w:r>
        <w:rPr>
          <w:rFonts w:eastAsia="Times New Roman"/>
          <w:color w:val="000000"/>
          <w:sz w:val="20"/>
          <w:szCs w:val="20"/>
        </w:rPr>
        <w:t>cted from customers. Expenses primarily consist of the provision for credit losses, operating costs and marketing expenses.</w:t>
      </w:r>
    </w:p>
    <w:p w14:paraId="7C9929DC" w14:textId="77777777" w:rsidR="00000000" w:rsidRDefault="00A173A8">
      <w:pPr>
        <w:jc w:val="both"/>
        <w:divId w:val="788819784"/>
        <w:rPr>
          <w:rFonts w:eastAsia="Times New Roman"/>
        </w:rPr>
      </w:pPr>
      <w:r>
        <w:rPr>
          <w:rFonts w:eastAsia="Times New Roman"/>
          <w:color w:val="000000"/>
          <w:sz w:val="20"/>
          <w:szCs w:val="20"/>
        </w:rPr>
        <w:t xml:space="preserve">Our Credit Card business generated net income from continuing operations of $1.5 billion and $3.0 billion in the second quarter and </w:t>
      </w:r>
      <w:r>
        <w:rPr>
          <w:rFonts w:eastAsia="Times New Roman"/>
          <w:color w:val="000000"/>
          <w:sz w:val="20"/>
          <w:szCs w:val="20"/>
        </w:rPr>
        <w:t>first six months of 2022, respectively, and $2.2 billion and $4.3 billion in the second quarter and first six months of 2021</w:t>
      </w:r>
      <w:r>
        <w:rPr>
          <w:rFonts w:eastAsia="Times New Roman"/>
          <w:color w:val="000000"/>
          <w:sz w:val="16"/>
          <w:szCs w:val="16"/>
        </w:rPr>
        <w:t xml:space="preserve">, </w:t>
      </w:r>
      <w:r>
        <w:rPr>
          <w:rFonts w:eastAsia="Times New Roman"/>
          <w:color w:val="000000"/>
          <w:sz w:val="20"/>
          <w:szCs w:val="20"/>
        </w:rPr>
        <w:t>respectively</w:t>
      </w:r>
      <w:r>
        <w:rPr>
          <w:rFonts w:eastAsia="Times New Roman"/>
          <w:color w:val="000000"/>
          <w:sz w:val="16"/>
          <w:szCs w:val="16"/>
        </w:rPr>
        <w:t>.</w:t>
      </w:r>
    </w:p>
    <w:p w14:paraId="1AE7E286" w14:textId="77777777" w:rsidR="00000000" w:rsidRDefault="00A173A8">
      <w:pPr>
        <w:jc w:val="both"/>
        <w:divId w:val="1098602260"/>
        <w:rPr>
          <w:rFonts w:eastAsia="Times New Roman"/>
        </w:rPr>
      </w:pPr>
      <w:r>
        <w:rPr>
          <w:rFonts w:eastAsia="Times New Roman"/>
          <w:color w:val="000000"/>
          <w:sz w:val="20"/>
          <w:szCs w:val="20"/>
        </w:rPr>
        <w:t>Table 9 summarizes the financial results of our Credit Card business and displays selected key metrics for the perio</w:t>
      </w:r>
      <w:r>
        <w:rPr>
          <w:rFonts w:eastAsia="Times New Roman"/>
          <w:color w:val="000000"/>
          <w:sz w:val="20"/>
          <w:szCs w:val="20"/>
        </w:rPr>
        <w:t>ds indicated.</w:t>
      </w:r>
    </w:p>
    <w:p w14:paraId="4CE9DD0F" w14:textId="77777777" w:rsidR="00000000" w:rsidRDefault="00A173A8">
      <w:pPr>
        <w:divId w:val="846335296"/>
        <w:rPr>
          <w:rFonts w:eastAsia="Times New Roman"/>
        </w:rPr>
      </w:pPr>
      <w:r>
        <w:rPr>
          <w:rFonts w:eastAsia="Times New Roman"/>
          <w:b/>
          <w:bCs/>
          <w:color w:val="000000"/>
          <w:sz w:val="18"/>
          <w:szCs w:val="18"/>
        </w:rPr>
        <w:t>Table 9: Credit Card Business Results</w:t>
      </w:r>
    </w:p>
    <w:tbl>
      <w:tblPr>
        <w:tblW w:w="4824" w:type="pct"/>
        <w:tblCellMar>
          <w:top w:w="15" w:type="dxa"/>
          <w:left w:w="15" w:type="dxa"/>
          <w:bottom w:w="15" w:type="dxa"/>
          <w:right w:w="15" w:type="dxa"/>
        </w:tblCellMar>
        <w:tblLook w:val="04A0" w:firstRow="1" w:lastRow="0" w:firstColumn="1" w:lastColumn="0" w:noHBand="0" w:noVBand="1"/>
      </w:tblPr>
      <w:tblGrid>
        <w:gridCol w:w="42"/>
        <w:gridCol w:w="1245"/>
        <w:gridCol w:w="40"/>
        <w:gridCol w:w="36"/>
        <w:gridCol w:w="36"/>
        <w:gridCol w:w="36"/>
        <w:gridCol w:w="120"/>
        <w:gridCol w:w="700"/>
        <w:gridCol w:w="220"/>
        <w:gridCol w:w="36"/>
        <w:gridCol w:w="36"/>
        <w:gridCol w:w="36"/>
        <w:gridCol w:w="120"/>
        <w:gridCol w:w="682"/>
        <w:gridCol w:w="188"/>
        <w:gridCol w:w="36"/>
        <w:gridCol w:w="36"/>
        <w:gridCol w:w="36"/>
        <w:gridCol w:w="69"/>
        <w:gridCol w:w="621"/>
        <w:gridCol w:w="298"/>
        <w:gridCol w:w="36"/>
        <w:gridCol w:w="36"/>
        <w:gridCol w:w="36"/>
        <w:gridCol w:w="120"/>
        <w:gridCol w:w="700"/>
        <w:gridCol w:w="220"/>
        <w:gridCol w:w="36"/>
        <w:gridCol w:w="36"/>
        <w:gridCol w:w="36"/>
        <w:gridCol w:w="122"/>
        <w:gridCol w:w="782"/>
        <w:gridCol w:w="37"/>
        <w:gridCol w:w="36"/>
        <w:gridCol w:w="36"/>
        <w:gridCol w:w="36"/>
        <w:gridCol w:w="36"/>
        <w:gridCol w:w="36"/>
        <w:gridCol w:w="69"/>
        <w:gridCol w:w="621"/>
        <w:gridCol w:w="298"/>
        <w:gridCol w:w="36"/>
        <w:gridCol w:w="36"/>
        <w:gridCol w:w="36"/>
        <w:gridCol w:w="36"/>
        <w:gridCol w:w="36"/>
        <w:gridCol w:w="36"/>
      </w:tblGrid>
      <w:tr w:rsidR="00000000" w14:paraId="66B76ECB" w14:textId="77777777">
        <w:trPr>
          <w:divId w:val="413861997"/>
        </w:trPr>
        <w:tc>
          <w:tcPr>
            <w:tcW w:w="50" w:type="pct"/>
            <w:vAlign w:val="center"/>
            <w:hideMark/>
          </w:tcPr>
          <w:p w14:paraId="42D272FF" w14:textId="77777777" w:rsidR="00000000" w:rsidRDefault="00A173A8">
            <w:pPr>
              <w:rPr>
                <w:rFonts w:eastAsia="Times New Roman"/>
              </w:rPr>
            </w:pPr>
          </w:p>
        </w:tc>
        <w:tc>
          <w:tcPr>
            <w:tcW w:w="1672" w:type="pct"/>
            <w:vAlign w:val="center"/>
            <w:hideMark/>
          </w:tcPr>
          <w:p w14:paraId="1E9285B8" w14:textId="77777777" w:rsidR="00000000" w:rsidRDefault="00A173A8">
            <w:pPr>
              <w:spacing w:after="100"/>
              <w:rPr>
                <w:rFonts w:eastAsia="Times New Roman"/>
                <w:sz w:val="20"/>
                <w:szCs w:val="20"/>
              </w:rPr>
            </w:pPr>
          </w:p>
        </w:tc>
        <w:tc>
          <w:tcPr>
            <w:tcW w:w="5" w:type="pct"/>
            <w:vAlign w:val="center"/>
            <w:hideMark/>
          </w:tcPr>
          <w:p w14:paraId="76209897" w14:textId="77777777" w:rsidR="00000000" w:rsidRDefault="00A173A8">
            <w:pPr>
              <w:spacing w:after="100"/>
              <w:rPr>
                <w:rFonts w:eastAsia="Times New Roman"/>
                <w:sz w:val="20"/>
                <w:szCs w:val="20"/>
              </w:rPr>
            </w:pPr>
          </w:p>
        </w:tc>
        <w:tc>
          <w:tcPr>
            <w:tcW w:w="5" w:type="pct"/>
            <w:vAlign w:val="center"/>
            <w:hideMark/>
          </w:tcPr>
          <w:p w14:paraId="5B8AD443" w14:textId="77777777" w:rsidR="00000000" w:rsidRDefault="00A173A8">
            <w:pPr>
              <w:spacing w:after="100"/>
              <w:rPr>
                <w:rFonts w:eastAsia="Times New Roman"/>
                <w:sz w:val="20"/>
                <w:szCs w:val="20"/>
              </w:rPr>
            </w:pPr>
          </w:p>
        </w:tc>
        <w:tc>
          <w:tcPr>
            <w:tcW w:w="27" w:type="pct"/>
            <w:vAlign w:val="center"/>
            <w:hideMark/>
          </w:tcPr>
          <w:p w14:paraId="77FDEE78" w14:textId="77777777" w:rsidR="00000000" w:rsidRDefault="00A173A8">
            <w:pPr>
              <w:spacing w:after="100"/>
              <w:rPr>
                <w:rFonts w:eastAsia="Times New Roman"/>
                <w:sz w:val="20"/>
                <w:szCs w:val="20"/>
              </w:rPr>
            </w:pPr>
          </w:p>
        </w:tc>
        <w:tc>
          <w:tcPr>
            <w:tcW w:w="5" w:type="pct"/>
            <w:vAlign w:val="center"/>
            <w:hideMark/>
          </w:tcPr>
          <w:p w14:paraId="63B27384" w14:textId="77777777" w:rsidR="00000000" w:rsidRDefault="00A173A8">
            <w:pPr>
              <w:spacing w:after="100"/>
              <w:rPr>
                <w:rFonts w:eastAsia="Times New Roman"/>
                <w:sz w:val="20"/>
                <w:szCs w:val="20"/>
              </w:rPr>
            </w:pPr>
          </w:p>
        </w:tc>
        <w:tc>
          <w:tcPr>
            <w:tcW w:w="50" w:type="pct"/>
            <w:vAlign w:val="center"/>
            <w:hideMark/>
          </w:tcPr>
          <w:p w14:paraId="50068DF5" w14:textId="77777777" w:rsidR="00000000" w:rsidRDefault="00A173A8">
            <w:pPr>
              <w:spacing w:after="100"/>
              <w:rPr>
                <w:rFonts w:eastAsia="Times New Roman"/>
                <w:sz w:val="20"/>
                <w:szCs w:val="20"/>
              </w:rPr>
            </w:pPr>
          </w:p>
        </w:tc>
        <w:tc>
          <w:tcPr>
            <w:tcW w:w="452" w:type="pct"/>
            <w:vAlign w:val="center"/>
            <w:hideMark/>
          </w:tcPr>
          <w:p w14:paraId="2680C546" w14:textId="77777777" w:rsidR="00000000" w:rsidRDefault="00A173A8">
            <w:pPr>
              <w:spacing w:after="100"/>
              <w:rPr>
                <w:rFonts w:eastAsia="Times New Roman"/>
                <w:sz w:val="20"/>
                <w:szCs w:val="20"/>
              </w:rPr>
            </w:pPr>
          </w:p>
        </w:tc>
        <w:tc>
          <w:tcPr>
            <w:tcW w:w="5" w:type="pct"/>
            <w:vAlign w:val="center"/>
            <w:hideMark/>
          </w:tcPr>
          <w:p w14:paraId="351CDD08" w14:textId="77777777" w:rsidR="00000000" w:rsidRDefault="00A173A8">
            <w:pPr>
              <w:spacing w:after="100"/>
              <w:rPr>
                <w:rFonts w:eastAsia="Times New Roman"/>
                <w:sz w:val="20"/>
                <w:szCs w:val="20"/>
              </w:rPr>
            </w:pPr>
          </w:p>
        </w:tc>
        <w:tc>
          <w:tcPr>
            <w:tcW w:w="5" w:type="pct"/>
            <w:vAlign w:val="center"/>
            <w:hideMark/>
          </w:tcPr>
          <w:p w14:paraId="2F584423" w14:textId="77777777" w:rsidR="00000000" w:rsidRDefault="00A173A8">
            <w:pPr>
              <w:spacing w:after="100"/>
              <w:rPr>
                <w:rFonts w:eastAsia="Times New Roman"/>
                <w:sz w:val="20"/>
                <w:szCs w:val="20"/>
              </w:rPr>
            </w:pPr>
          </w:p>
        </w:tc>
        <w:tc>
          <w:tcPr>
            <w:tcW w:w="27" w:type="pct"/>
            <w:vAlign w:val="center"/>
            <w:hideMark/>
          </w:tcPr>
          <w:p w14:paraId="683AD073" w14:textId="77777777" w:rsidR="00000000" w:rsidRDefault="00A173A8">
            <w:pPr>
              <w:spacing w:after="100"/>
              <w:rPr>
                <w:rFonts w:eastAsia="Times New Roman"/>
                <w:sz w:val="20"/>
                <w:szCs w:val="20"/>
              </w:rPr>
            </w:pPr>
          </w:p>
        </w:tc>
        <w:tc>
          <w:tcPr>
            <w:tcW w:w="5" w:type="pct"/>
            <w:vAlign w:val="center"/>
            <w:hideMark/>
          </w:tcPr>
          <w:p w14:paraId="335BAE89" w14:textId="77777777" w:rsidR="00000000" w:rsidRDefault="00A173A8">
            <w:pPr>
              <w:spacing w:after="100"/>
              <w:rPr>
                <w:rFonts w:eastAsia="Times New Roman"/>
                <w:sz w:val="20"/>
                <w:szCs w:val="20"/>
              </w:rPr>
            </w:pPr>
          </w:p>
        </w:tc>
        <w:tc>
          <w:tcPr>
            <w:tcW w:w="50" w:type="pct"/>
            <w:vAlign w:val="center"/>
            <w:hideMark/>
          </w:tcPr>
          <w:p w14:paraId="5F4380AE" w14:textId="77777777" w:rsidR="00000000" w:rsidRDefault="00A173A8">
            <w:pPr>
              <w:spacing w:after="100"/>
              <w:rPr>
                <w:rFonts w:eastAsia="Times New Roman"/>
                <w:sz w:val="20"/>
                <w:szCs w:val="20"/>
              </w:rPr>
            </w:pPr>
          </w:p>
        </w:tc>
        <w:tc>
          <w:tcPr>
            <w:tcW w:w="452" w:type="pct"/>
            <w:vAlign w:val="center"/>
            <w:hideMark/>
          </w:tcPr>
          <w:p w14:paraId="3BAC74EB" w14:textId="77777777" w:rsidR="00000000" w:rsidRDefault="00A173A8">
            <w:pPr>
              <w:spacing w:after="100"/>
              <w:rPr>
                <w:rFonts w:eastAsia="Times New Roman"/>
                <w:sz w:val="20"/>
                <w:szCs w:val="20"/>
              </w:rPr>
            </w:pPr>
          </w:p>
        </w:tc>
        <w:tc>
          <w:tcPr>
            <w:tcW w:w="5" w:type="pct"/>
            <w:vAlign w:val="center"/>
            <w:hideMark/>
          </w:tcPr>
          <w:p w14:paraId="620E2FD0" w14:textId="77777777" w:rsidR="00000000" w:rsidRDefault="00A173A8">
            <w:pPr>
              <w:spacing w:after="100"/>
              <w:rPr>
                <w:rFonts w:eastAsia="Times New Roman"/>
                <w:sz w:val="20"/>
                <w:szCs w:val="20"/>
              </w:rPr>
            </w:pPr>
          </w:p>
        </w:tc>
        <w:tc>
          <w:tcPr>
            <w:tcW w:w="5" w:type="pct"/>
            <w:vAlign w:val="center"/>
            <w:hideMark/>
          </w:tcPr>
          <w:p w14:paraId="554D3399" w14:textId="77777777" w:rsidR="00000000" w:rsidRDefault="00A173A8">
            <w:pPr>
              <w:spacing w:after="100"/>
              <w:rPr>
                <w:rFonts w:eastAsia="Times New Roman"/>
                <w:sz w:val="20"/>
                <w:szCs w:val="20"/>
              </w:rPr>
            </w:pPr>
          </w:p>
        </w:tc>
        <w:tc>
          <w:tcPr>
            <w:tcW w:w="27" w:type="pct"/>
            <w:vAlign w:val="center"/>
            <w:hideMark/>
          </w:tcPr>
          <w:p w14:paraId="0DC16A26" w14:textId="77777777" w:rsidR="00000000" w:rsidRDefault="00A173A8">
            <w:pPr>
              <w:spacing w:after="100"/>
              <w:rPr>
                <w:rFonts w:eastAsia="Times New Roman"/>
                <w:sz w:val="20"/>
                <w:szCs w:val="20"/>
              </w:rPr>
            </w:pPr>
          </w:p>
        </w:tc>
        <w:tc>
          <w:tcPr>
            <w:tcW w:w="5" w:type="pct"/>
            <w:vAlign w:val="center"/>
            <w:hideMark/>
          </w:tcPr>
          <w:p w14:paraId="5011E70E" w14:textId="77777777" w:rsidR="00000000" w:rsidRDefault="00A173A8">
            <w:pPr>
              <w:spacing w:after="100"/>
              <w:rPr>
                <w:rFonts w:eastAsia="Times New Roman"/>
                <w:sz w:val="20"/>
                <w:szCs w:val="20"/>
              </w:rPr>
            </w:pPr>
          </w:p>
        </w:tc>
        <w:tc>
          <w:tcPr>
            <w:tcW w:w="50" w:type="pct"/>
            <w:vAlign w:val="center"/>
            <w:hideMark/>
          </w:tcPr>
          <w:p w14:paraId="59D9E737" w14:textId="77777777" w:rsidR="00000000" w:rsidRDefault="00A173A8">
            <w:pPr>
              <w:spacing w:after="100"/>
              <w:rPr>
                <w:rFonts w:eastAsia="Times New Roman"/>
                <w:sz w:val="20"/>
                <w:szCs w:val="20"/>
              </w:rPr>
            </w:pPr>
          </w:p>
        </w:tc>
        <w:tc>
          <w:tcPr>
            <w:tcW w:w="452" w:type="pct"/>
            <w:vAlign w:val="center"/>
            <w:hideMark/>
          </w:tcPr>
          <w:p w14:paraId="17880EBC" w14:textId="77777777" w:rsidR="00000000" w:rsidRDefault="00A173A8">
            <w:pPr>
              <w:spacing w:after="100"/>
              <w:rPr>
                <w:rFonts w:eastAsia="Times New Roman"/>
                <w:sz w:val="20"/>
                <w:szCs w:val="20"/>
              </w:rPr>
            </w:pPr>
          </w:p>
        </w:tc>
        <w:tc>
          <w:tcPr>
            <w:tcW w:w="5" w:type="pct"/>
            <w:vAlign w:val="center"/>
            <w:hideMark/>
          </w:tcPr>
          <w:p w14:paraId="59AA0F66" w14:textId="77777777" w:rsidR="00000000" w:rsidRDefault="00A173A8">
            <w:pPr>
              <w:spacing w:after="100"/>
              <w:rPr>
                <w:rFonts w:eastAsia="Times New Roman"/>
                <w:sz w:val="20"/>
                <w:szCs w:val="20"/>
              </w:rPr>
            </w:pPr>
          </w:p>
        </w:tc>
        <w:tc>
          <w:tcPr>
            <w:tcW w:w="5" w:type="pct"/>
            <w:vAlign w:val="center"/>
            <w:hideMark/>
          </w:tcPr>
          <w:p w14:paraId="6C1D925F" w14:textId="77777777" w:rsidR="00000000" w:rsidRDefault="00A173A8">
            <w:pPr>
              <w:spacing w:after="100"/>
              <w:rPr>
                <w:rFonts w:eastAsia="Times New Roman"/>
                <w:sz w:val="20"/>
                <w:szCs w:val="20"/>
              </w:rPr>
            </w:pPr>
          </w:p>
        </w:tc>
        <w:tc>
          <w:tcPr>
            <w:tcW w:w="27" w:type="pct"/>
            <w:vAlign w:val="center"/>
            <w:hideMark/>
          </w:tcPr>
          <w:p w14:paraId="458529F1" w14:textId="77777777" w:rsidR="00000000" w:rsidRDefault="00A173A8">
            <w:pPr>
              <w:spacing w:after="100"/>
              <w:rPr>
                <w:rFonts w:eastAsia="Times New Roman"/>
                <w:sz w:val="20"/>
                <w:szCs w:val="20"/>
              </w:rPr>
            </w:pPr>
          </w:p>
        </w:tc>
        <w:tc>
          <w:tcPr>
            <w:tcW w:w="5" w:type="pct"/>
            <w:vAlign w:val="center"/>
            <w:hideMark/>
          </w:tcPr>
          <w:p w14:paraId="20A6DDE4" w14:textId="77777777" w:rsidR="00000000" w:rsidRDefault="00A173A8">
            <w:pPr>
              <w:spacing w:after="100"/>
              <w:rPr>
                <w:rFonts w:eastAsia="Times New Roman"/>
                <w:sz w:val="20"/>
                <w:szCs w:val="20"/>
              </w:rPr>
            </w:pPr>
          </w:p>
        </w:tc>
        <w:tc>
          <w:tcPr>
            <w:tcW w:w="50" w:type="pct"/>
            <w:vAlign w:val="center"/>
            <w:hideMark/>
          </w:tcPr>
          <w:p w14:paraId="3C9B376A" w14:textId="77777777" w:rsidR="00000000" w:rsidRDefault="00A173A8">
            <w:pPr>
              <w:spacing w:after="100"/>
              <w:rPr>
                <w:rFonts w:eastAsia="Times New Roman"/>
                <w:sz w:val="20"/>
                <w:szCs w:val="20"/>
              </w:rPr>
            </w:pPr>
          </w:p>
        </w:tc>
        <w:tc>
          <w:tcPr>
            <w:tcW w:w="452" w:type="pct"/>
            <w:vAlign w:val="center"/>
            <w:hideMark/>
          </w:tcPr>
          <w:p w14:paraId="29A9B134" w14:textId="77777777" w:rsidR="00000000" w:rsidRDefault="00A173A8">
            <w:pPr>
              <w:spacing w:after="100"/>
              <w:rPr>
                <w:rFonts w:eastAsia="Times New Roman"/>
                <w:sz w:val="20"/>
                <w:szCs w:val="20"/>
              </w:rPr>
            </w:pPr>
          </w:p>
        </w:tc>
        <w:tc>
          <w:tcPr>
            <w:tcW w:w="5" w:type="pct"/>
            <w:vAlign w:val="center"/>
            <w:hideMark/>
          </w:tcPr>
          <w:p w14:paraId="6DFFED9B" w14:textId="77777777" w:rsidR="00000000" w:rsidRDefault="00A173A8">
            <w:pPr>
              <w:spacing w:after="100"/>
              <w:rPr>
                <w:rFonts w:eastAsia="Times New Roman"/>
                <w:sz w:val="20"/>
                <w:szCs w:val="20"/>
              </w:rPr>
            </w:pPr>
          </w:p>
        </w:tc>
        <w:tc>
          <w:tcPr>
            <w:tcW w:w="5" w:type="pct"/>
            <w:vAlign w:val="center"/>
            <w:hideMark/>
          </w:tcPr>
          <w:p w14:paraId="0E4B4BB9" w14:textId="77777777" w:rsidR="00000000" w:rsidRDefault="00A173A8">
            <w:pPr>
              <w:spacing w:after="100"/>
              <w:rPr>
                <w:rFonts w:eastAsia="Times New Roman"/>
                <w:sz w:val="20"/>
                <w:szCs w:val="20"/>
              </w:rPr>
            </w:pPr>
          </w:p>
        </w:tc>
        <w:tc>
          <w:tcPr>
            <w:tcW w:w="27" w:type="pct"/>
            <w:vAlign w:val="center"/>
            <w:hideMark/>
          </w:tcPr>
          <w:p w14:paraId="79A4A7C9" w14:textId="77777777" w:rsidR="00000000" w:rsidRDefault="00A173A8">
            <w:pPr>
              <w:spacing w:after="100"/>
              <w:rPr>
                <w:rFonts w:eastAsia="Times New Roman"/>
                <w:sz w:val="20"/>
                <w:szCs w:val="20"/>
              </w:rPr>
            </w:pPr>
          </w:p>
        </w:tc>
        <w:tc>
          <w:tcPr>
            <w:tcW w:w="5" w:type="pct"/>
            <w:vAlign w:val="center"/>
            <w:hideMark/>
          </w:tcPr>
          <w:p w14:paraId="3CC5B0F9" w14:textId="77777777" w:rsidR="00000000" w:rsidRDefault="00A173A8">
            <w:pPr>
              <w:spacing w:after="100"/>
              <w:rPr>
                <w:rFonts w:eastAsia="Times New Roman"/>
                <w:sz w:val="20"/>
                <w:szCs w:val="20"/>
              </w:rPr>
            </w:pPr>
          </w:p>
        </w:tc>
        <w:tc>
          <w:tcPr>
            <w:tcW w:w="50" w:type="pct"/>
            <w:vAlign w:val="center"/>
            <w:hideMark/>
          </w:tcPr>
          <w:p w14:paraId="07230A1E" w14:textId="77777777" w:rsidR="00000000" w:rsidRDefault="00A173A8">
            <w:pPr>
              <w:spacing w:after="100"/>
              <w:rPr>
                <w:rFonts w:eastAsia="Times New Roman"/>
                <w:sz w:val="20"/>
                <w:szCs w:val="20"/>
              </w:rPr>
            </w:pPr>
          </w:p>
        </w:tc>
        <w:tc>
          <w:tcPr>
            <w:tcW w:w="452" w:type="pct"/>
            <w:vAlign w:val="center"/>
            <w:hideMark/>
          </w:tcPr>
          <w:p w14:paraId="6647C337" w14:textId="77777777" w:rsidR="00000000" w:rsidRDefault="00A173A8">
            <w:pPr>
              <w:spacing w:after="100"/>
              <w:rPr>
                <w:rFonts w:eastAsia="Times New Roman"/>
                <w:sz w:val="20"/>
                <w:szCs w:val="20"/>
              </w:rPr>
            </w:pPr>
          </w:p>
        </w:tc>
        <w:tc>
          <w:tcPr>
            <w:tcW w:w="5" w:type="pct"/>
            <w:vAlign w:val="center"/>
            <w:hideMark/>
          </w:tcPr>
          <w:p w14:paraId="6A18F629" w14:textId="77777777" w:rsidR="00000000" w:rsidRDefault="00A173A8">
            <w:pPr>
              <w:spacing w:after="100"/>
              <w:rPr>
                <w:rFonts w:eastAsia="Times New Roman"/>
                <w:sz w:val="20"/>
                <w:szCs w:val="20"/>
              </w:rPr>
            </w:pPr>
          </w:p>
        </w:tc>
        <w:tc>
          <w:tcPr>
            <w:tcW w:w="0" w:type="auto"/>
            <w:vAlign w:val="center"/>
            <w:hideMark/>
          </w:tcPr>
          <w:p w14:paraId="5AA87349" w14:textId="77777777" w:rsidR="00000000" w:rsidRDefault="00A173A8">
            <w:pPr>
              <w:spacing w:after="100"/>
              <w:rPr>
                <w:rFonts w:eastAsia="Times New Roman"/>
                <w:sz w:val="20"/>
                <w:szCs w:val="20"/>
              </w:rPr>
            </w:pPr>
          </w:p>
        </w:tc>
        <w:tc>
          <w:tcPr>
            <w:tcW w:w="0" w:type="auto"/>
            <w:vAlign w:val="center"/>
            <w:hideMark/>
          </w:tcPr>
          <w:p w14:paraId="0B5BA30C" w14:textId="77777777" w:rsidR="00000000" w:rsidRDefault="00A173A8">
            <w:pPr>
              <w:spacing w:after="100"/>
              <w:rPr>
                <w:rFonts w:eastAsia="Times New Roman"/>
                <w:sz w:val="20"/>
                <w:szCs w:val="20"/>
              </w:rPr>
            </w:pPr>
          </w:p>
        </w:tc>
        <w:tc>
          <w:tcPr>
            <w:tcW w:w="5" w:type="pct"/>
            <w:vAlign w:val="center"/>
            <w:hideMark/>
          </w:tcPr>
          <w:p w14:paraId="558AA992" w14:textId="77777777" w:rsidR="00000000" w:rsidRDefault="00A173A8">
            <w:pPr>
              <w:spacing w:after="100"/>
              <w:rPr>
                <w:rFonts w:eastAsia="Times New Roman"/>
                <w:sz w:val="20"/>
                <w:szCs w:val="20"/>
              </w:rPr>
            </w:pPr>
          </w:p>
        </w:tc>
        <w:tc>
          <w:tcPr>
            <w:tcW w:w="27" w:type="pct"/>
            <w:vAlign w:val="center"/>
            <w:hideMark/>
          </w:tcPr>
          <w:p w14:paraId="4398384E" w14:textId="77777777" w:rsidR="00000000" w:rsidRDefault="00A173A8">
            <w:pPr>
              <w:spacing w:after="100"/>
              <w:rPr>
                <w:rFonts w:eastAsia="Times New Roman"/>
                <w:sz w:val="20"/>
                <w:szCs w:val="20"/>
              </w:rPr>
            </w:pPr>
          </w:p>
        </w:tc>
        <w:tc>
          <w:tcPr>
            <w:tcW w:w="5" w:type="pct"/>
            <w:vAlign w:val="center"/>
            <w:hideMark/>
          </w:tcPr>
          <w:p w14:paraId="41B4E240" w14:textId="77777777" w:rsidR="00000000" w:rsidRDefault="00A173A8">
            <w:pPr>
              <w:spacing w:after="100"/>
              <w:rPr>
                <w:rFonts w:eastAsia="Times New Roman"/>
                <w:sz w:val="20"/>
                <w:szCs w:val="20"/>
              </w:rPr>
            </w:pPr>
          </w:p>
        </w:tc>
        <w:tc>
          <w:tcPr>
            <w:tcW w:w="50" w:type="pct"/>
            <w:vAlign w:val="center"/>
            <w:hideMark/>
          </w:tcPr>
          <w:p w14:paraId="535889E4" w14:textId="77777777" w:rsidR="00000000" w:rsidRDefault="00A173A8">
            <w:pPr>
              <w:spacing w:after="100"/>
              <w:rPr>
                <w:rFonts w:eastAsia="Times New Roman"/>
                <w:sz w:val="20"/>
                <w:szCs w:val="20"/>
              </w:rPr>
            </w:pPr>
          </w:p>
        </w:tc>
        <w:tc>
          <w:tcPr>
            <w:tcW w:w="452" w:type="pct"/>
            <w:vAlign w:val="center"/>
            <w:hideMark/>
          </w:tcPr>
          <w:p w14:paraId="06AEC51A" w14:textId="77777777" w:rsidR="00000000" w:rsidRDefault="00A173A8">
            <w:pPr>
              <w:spacing w:after="100"/>
              <w:rPr>
                <w:rFonts w:eastAsia="Times New Roman"/>
                <w:sz w:val="20"/>
                <w:szCs w:val="20"/>
              </w:rPr>
            </w:pPr>
          </w:p>
        </w:tc>
        <w:tc>
          <w:tcPr>
            <w:tcW w:w="5" w:type="pct"/>
            <w:vAlign w:val="center"/>
            <w:hideMark/>
          </w:tcPr>
          <w:p w14:paraId="79CC1EAE" w14:textId="77777777" w:rsidR="00000000" w:rsidRDefault="00A173A8">
            <w:pPr>
              <w:spacing w:after="100"/>
              <w:rPr>
                <w:rFonts w:eastAsia="Times New Roman"/>
                <w:sz w:val="20"/>
                <w:szCs w:val="20"/>
              </w:rPr>
            </w:pPr>
          </w:p>
        </w:tc>
        <w:tc>
          <w:tcPr>
            <w:tcW w:w="0" w:type="auto"/>
            <w:gridSpan w:val="3"/>
            <w:vAlign w:val="center"/>
            <w:hideMark/>
          </w:tcPr>
          <w:p w14:paraId="26C1E7CF" w14:textId="77777777" w:rsidR="00000000" w:rsidRDefault="00A173A8">
            <w:pPr>
              <w:spacing w:after="100"/>
              <w:rPr>
                <w:rFonts w:eastAsia="Times New Roman"/>
                <w:sz w:val="20"/>
                <w:szCs w:val="20"/>
              </w:rPr>
            </w:pPr>
          </w:p>
        </w:tc>
        <w:tc>
          <w:tcPr>
            <w:tcW w:w="0" w:type="auto"/>
            <w:gridSpan w:val="3"/>
            <w:vAlign w:val="center"/>
            <w:hideMark/>
          </w:tcPr>
          <w:p w14:paraId="77E6A791" w14:textId="77777777" w:rsidR="00000000" w:rsidRDefault="00A173A8">
            <w:pPr>
              <w:spacing w:after="100"/>
              <w:rPr>
                <w:rFonts w:eastAsia="Times New Roman"/>
                <w:sz w:val="20"/>
                <w:szCs w:val="20"/>
              </w:rPr>
            </w:pPr>
          </w:p>
        </w:tc>
      </w:tr>
      <w:tr w:rsidR="00000000" w14:paraId="373EAAD8" w14:textId="77777777">
        <w:trPr>
          <w:divId w:val="413861997"/>
        </w:trPr>
        <w:tc>
          <w:tcPr>
            <w:tcW w:w="0" w:type="auto"/>
            <w:gridSpan w:val="3"/>
            <w:tcMar>
              <w:top w:w="30" w:type="dxa"/>
              <w:left w:w="515" w:type="dxa"/>
              <w:bottom w:w="30" w:type="dxa"/>
              <w:right w:w="20" w:type="dxa"/>
            </w:tcMar>
            <w:vAlign w:val="bottom"/>
            <w:hideMark/>
          </w:tcPr>
          <w:p w14:paraId="26224B2C" w14:textId="77777777" w:rsidR="00000000" w:rsidRDefault="00A173A8">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14:paraId="0CAAA045" w14:textId="77777777" w:rsidR="00000000" w:rsidRDefault="00A173A8">
            <w:pPr>
              <w:spacing w:after="100"/>
              <w:rPr>
                <w:rFonts w:eastAsia="Times New Roman"/>
              </w:rPr>
            </w:pPr>
          </w:p>
        </w:tc>
        <w:tc>
          <w:tcPr>
            <w:tcW w:w="0" w:type="auto"/>
            <w:gridSpan w:val="15"/>
            <w:tcMar>
              <w:top w:w="30" w:type="dxa"/>
              <w:left w:w="20" w:type="dxa"/>
              <w:bottom w:w="30" w:type="dxa"/>
              <w:right w:w="20" w:type="dxa"/>
            </w:tcMar>
            <w:vAlign w:val="bottom"/>
            <w:hideMark/>
          </w:tcPr>
          <w:p w14:paraId="08D31CE9"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2608BFB5" w14:textId="77777777" w:rsidR="00000000" w:rsidRDefault="00A173A8">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38AF4AE9"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gridSpan w:val="3"/>
            <w:vAlign w:val="center"/>
            <w:hideMark/>
          </w:tcPr>
          <w:p w14:paraId="37D9A36A" w14:textId="77777777" w:rsidR="00000000" w:rsidRDefault="00A173A8">
            <w:pPr>
              <w:spacing w:after="100"/>
              <w:jc w:val="center"/>
              <w:rPr>
                <w:rFonts w:eastAsia="Times New Roman"/>
              </w:rPr>
            </w:pPr>
          </w:p>
        </w:tc>
        <w:tc>
          <w:tcPr>
            <w:tcW w:w="0" w:type="auto"/>
            <w:gridSpan w:val="3"/>
            <w:vAlign w:val="center"/>
            <w:hideMark/>
          </w:tcPr>
          <w:p w14:paraId="335EDA06" w14:textId="77777777" w:rsidR="00000000" w:rsidRDefault="00A173A8">
            <w:pPr>
              <w:spacing w:after="100"/>
              <w:rPr>
                <w:rFonts w:eastAsia="Times New Roman"/>
                <w:sz w:val="20"/>
                <w:szCs w:val="20"/>
              </w:rPr>
            </w:pPr>
          </w:p>
        </w:tc>
        <w:tc>
          <w:tcPr>
            <w:tcW w:w="0" w:type="auto"/>
            <w:vAlign w:val="center"/>
            <w:hideMark/>
          </w:tcPr>
          <w:p w14:paraId="58DEDAB7" w14:textId="77777777" w:rsidR="00000000" w:rsidRDefault="00A173A8">
            <w:pPr>
              <w:spacing w:after="100"/>
              <w:rPr>
                <w:rFonts w:eastAsia="Times New Roman"/>
                <w:sz w:val="20"/>
                <w:szCs w:val="20"/>
              </w:rPr>
            </w:pPr>
          </w:p>
        </w:tc>
        <w:tc>
          <w:tcPr>
            <w:tcW w:w="0" w:type="auto"/>
            <w:vAlign w:val="center"/>
            <w:hideMark/>
          </w:tcPr>
          <w:p w14:paraId="787983B5" w14:textId="77777777" w:rsidR="00000000" w:rsidRDefault="00A173A8">
            <w:pPr>
              <w:spacing w:after="100"/>
              <w:rPr>
                <w:rFonts w:eastAsia="Times New Roman"/>
                <w:sz w:val="20"/>
                <w:szCs w:val="20"/>
              </w:rPr>
            </w:pPr>
          </w:p>
        </w:tc>
        <w:tc>
          <w:tcPr>
            <w:tcW w:w="0" w:type="auto"/>
            <w:vAlign w:val="center"/>
            <w:hideMark/>
          </w:tcPr>
          <w:p w14:paraId="68BE9FCD" w14:textId="77777777" w:rsidR="00000000" w:rsidRDefault="00A173A8">
            <w:pPr>
              <w:spacing w:after="100"/>
              <w:rPr>
                <w:rFonts w:eastAsia="Times New Roman"/>
                <w:sz w:val="20"/>
                <w:szCs w:val="20"/>
              </w:rPr>
            </w:pPr>
          </w:p>
        </w:tc>
        <w:tc>
          <w:tcPr>
            <w:tcW w:w="0" w:type="auto"/>
            <w:vAlign w:val="center"/>
            <w:hideMark/>
          </w:tcPr>
          <w:p w14:paraId="74056EC9" w14:textId="77777777" w:rsidR="00000000" w:rsidRDefault="00A173A8">
            <w:pPr>
              <w:spacing w:after="100"/>
              <w:rPr>
                <w:rFonts w:eastAsia="Times New Roman"/>
                <w:sz w:val="20"/>
                <w:szCs w:val="20"/>
              </w:rPr>
            </w:pPr>
          </w:p>
        </w:tc>
        <w:tc>
          <w:tcPr>
            <w:tcW w:w="0" w:type="auto"/>
            <w:vAlign w:val="center"/>
            <w:hideMark/>
          </w:tcPr>
          <w:p w14:paraId="0F7803C4" w14:textId="77777777" w:rsidR="00000000" w:rsidRDefault="00A173A8">
            <w:pPr>
              <w:spacing w:after="100"/>
              <w:rPr>
                <w:rFonts w:eastAsia="Times New Roman"/>
                <w:sz w:val="20"/>
                <w:szCs w:val="20"/>
              </w:rPr>
            </w:pPr>
          </w:p>
        </w:tc>
        <w:tc>
          <w:tcPr>
            <w:tcW w:w="0" w:type="auto"/>
            <w:vAlign w:val="center"/>
            <w:hideMark/>
          </w:tcPr>
          <w:p w14:paraId="0A353BAA" w14:textId="77777777" w:rsidR="00000000" w:rsidRDefault="00A173A8">
            <w:pPr>
              <w:spacing w:after="100"/>
              <w:rPr>
                <w:rFonts w:eastAsia="Times New Roman"/>
                <w:sz w:val="20"/>
                <w:szCs w:val="20"/>
              </w:rPr>
            </w:pPr>
          </w:p>
        </w:tc>
      </w:tr>
      <w:tr w:rsidR="00000000" w14:paraId="331B117B" w14:textId="77777777">
        <w:trPr>
          <w:divId w:val="413861997"/>
        </w:trPr>
        <w:tc>
          <w:tcPr>
            <w:tcW w:w="0" w:type="auto"/>
            <w:gridSpan w:val="3"/>
            <w:tcBorders>
              <w:bottom w:val="single" w:sz="8" w:space="0" w:color="000000"/>
            </w:tcBorders>
            <w:tcMar>
              <w:top w:w="30" w:type="dxa"/>
              <w:left w:w="20" w:type="dxa"/>
              <w:bottom w:w="30" w:type="dxa"/>
              <w:right w:w="20" w:type="dxa"/>
            </w:tcMar>
            <w:vAlign w:val="bottom"/>
            <w:hideMark/>
          </w:tcPr>
          <w:p w14:paraId="7A2D023F"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2BBC2CAA"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0A404F"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D520CA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BB9F76"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2BE127F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C70E1C"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2A75512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B6AD6A"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827A576"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4034D59"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3DBB32FD" w14:textId="77777777" w:rsidR="00000000" w:rsidRDefault="00A173A8">
            <w:pPr>
              <w:spacing w:after="100"/>
              <w:jc w:val="center"/>
              <w:rPr>
                <w:rFonts w:eastAsia="Times New Roman"/>
              </w:rPr>
            </w:pPr>
          </w:p>
        </w:tc>
        <w:tc>
          <w:tcPr>
            <w:tcW w:w="0" w:type="auto"/>
            <w:vAlign w:val="center"/>
            <w:hideMark/>
          </w:tcPr>
          <w:p w14:paraId="519FDDDD"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0F4BD6"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EDD47CD"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vAlign w:val="center"/>
            <w:hideMark/>
          </w:tcPr>
          <w:p w14:paraId="1A187571" w14:textId="77777777" w:rsidR="00000000" w:rsidRDefault="00A173A8">
            <w:pPr>
              <w:spacing w:after="100"/>
              <w:jc w:val="center"/>
              <w:rPr>
                <w:rFonts w:eastAsia="Times New Roman"/>
              </w:rPr>
            </w:pPr>
          </w:p>
        </w:tc>
        <w:tc>
          <w:tcPr>
            <w:tcW w:w="0" w:type="auto"/>
            <w:gridSpan w:val="3"/>
            <w:vAlign w:val="center"/>
            <w:hideMark/>
          </w:tcPr>
          <w:p w14:paraId="375E2E18" w14:textId="77777777" w:rsidR="00000000" w:rsidRDefault="00A173A8">
            <w:pPr>
              <w:spacing w:after="100"/>
              <w:rPr>
                <w:rFonts w:eastAsia="Times New Roman"/>
                <w:sz w:val="20"/>
                <w:szCs w:val="20"/>
              </w:rPr>
            </w:pPr>
          </w:p>
        </w:tc>
      </w:tr>
      <w:tr w:rsidR="00000000" w14:paraId="1812AA5E" w14:textId="77777777">
        <w:trPr>
          <w:divId w:val="4138619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07A6F74" w14:textId="77777777" w:rsidR="00000000" w:rsidRDefault="00A173A8">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14:paraId="641291D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713FF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AED6C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73063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C1FEA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5295D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4A74A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69081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67949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BC874D" w14:textId="77777777" w:rsidR="00000000" w:rsidRDefault="00A173A8">
            <w:pPr>
              <w:spacing w:after="100"/>
              <w:rPr>
                <w:rFonts w:eastAsia="Times New Roman"/>
                <w:sz w:val="20"/>
                <w:szCs w:val="20"/>
              </w:rPr>
            </w:pPr>
          </w:p>
        </w:tc>
        <w:tc>
          <w:tcPr>
            <w:tcW w:w="0" w:type="auto"/>
            <w:vAlign w:val="center"/>
            <w:hideMark/>
          </w:tcPr>
          <w:p w14:paraId="299F6705" w14:textId="77777777" w:rsidR="00000000" w:rsidRDefault="00A173A8">
            <w:pPr>
              <w:spacing w:after="100"/>
              <w:rPr>
                <w:rFonts w:eastAsia="Times New Roman"/>
                <w:sz w:val="20"/>
                <w:szCs w:val="20"/>
              </w:rPr>
            </w:pPr>
          </w:p>
        </w:tc>
        <w:tc>
          <w:tcPr>
            <w:tcW w:w="0" w:type="auto"/>
            <w:vAlign w:val="center"/>
            <w:hideMark/>
          </w:tcPr>
          <w:p w14:paraId="634000A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67198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4C5092" w14:textId="77777777" w:rsidR="00000000" w:rsidRDefault="00A173A8">
            <w:pPr>
              <w:spacing w:after="100"/>
              <w:rPr>
                <w:rFonts w:eastAsia="Times New Roman"/>
                <w:sz w:val="20"/>
                <w:szCs w:val="20"/>
              </w:rPr>
            </w:pPr>
          </w:p>
        </w:tc>
        <w:tc>
          <w:tcPr>
            <w:tcW w:w="0" w:type="auto"/>
            <w:gridSpan w:val="3"/>
            <w:vAlign w:val="center"/>
            <w:hideMark/>
          </w:tcPr>
          <w:p w14:paraId="51BBF822" w14:textId="77777777" w:rsidR="00000000" w:rsidRDefault="00A173A8">
            <w:pPr>
              <w:spacing w:after="100"/>
              <w:rPr>
                <w:rFonts w:eastAsia="Times New Roman"/>
                <w:sz w:val="20"/>
                <w:szCs w:val="20"/>
              </w:rPr>
            </w:pPr>
          </w:p>
        </w:tc>
        <w:tc>
          <w:tcPr>
            <w:tcW w:w="0" w:type="auto"/>
            <w:gridSpan w:val="3"/>
            <w:vAlign w:val="center"/>
            <w:hideMark/>
          </w:tcPr>
          <w:p w14:paraId="332B1D60" w14:textId="77777777" w:rsidR="00000000" w:rsidRDefault="00A173A8">
            <w:pPr>
              <w:spacing w:after="100"/>
              <w:rPr>
                <w:rFonts w:eastAsia="Times New Roman"/>
                <w:sz w:val="20"/>
                <w:szCs w:val="20"/>
              </w:rPr>
            </w:pPr>
          </w:p>
        </w:tc>
      </w:tr>
      <w:tr w:rsidR="00000000" w14:paraId="506DE8C0" w14:textId="77777777">
        <w:trPr>
          <w:divId w:val="413861997"/>
        </w:trPr>
        <w:tc>
          <w:tcPr>
            <w:tcW w:w="0" w:type="auto"/>
            <w:gridSpan w:val="3"/>
            <w:shd w:val="clear" w:color="auto" w:fill="FFFFFF"/>
            <w:tcMar>
              <w:top w:w="30" w:type="dxa"/>
              <w:left w:w="20" w:type="dxa"/>
              <w:bottom w:w="30" w:type="dxa"/>
              <w:right w:w="20" w:type="dxa"/>
            </w:tcMar>
            <w:vAlign w:val="center"/>
            <w:hideMark/>
          </w:tcPr>
          <w:p w14:paraId="1F1E9E5C" w14:textId="77777777" w:rsidR="00000000" w:rsidRDefault="00A173A8">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14:paraId="74ADEA76"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F08B62A"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C41487F" w14:textId="77777777" w:rsidR="00000000" w:rsidRDefault="00A173A8">
            <w:pPr>
              <w:spacing w:after="100"/>
              <w:jc w:val="right"/>
              <w:rPr>
                <w:rFonts w:eastAsia="Times New Roman"/>
              </w:rPr>
            </w:pPr>
            <w:r>
              <w:rPr>
                <w:rFonts w:eastAsia="Times New Roman"/>
                <w:b/>
                <w:bCs/>
                <w:color w:val="000000"/>
                <w:sz w:val="20"/>
                <w:szCs w:val="20"/>
              </w:rPr>
              <w:t>3,899</w:t>
            </w:r>
          </w:p>
        </w:tc>
        <w:tc>
          <w:tcPr>
            <w:tcW w:w="0" w:type="auto"/>
            <w:gridSpan w:val="3"/>
            <w:shd w:val="clear" w:color="auto" w:fill="FFFFFF"/>
            <w:tcMar>
              <w:top w:w="0" w:type="dxa"/>
              <w:left w:w="20" w:type="dxa"/>
              <w:bottom w:w="0" w:type="dxa"/>
              <w:right w:w="20" w:type="dxa"/>
            </w:tcMar>
            <w:vAlign w:val="center"/>
            <w:hideMark/>
          </w:tcPr>
          <w:p w14:paraId="0F86DE72"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41078A1"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F0A1B0" w14:textId="77777777" w:rsidR="00000000" w:rsidRDefault="00A173A8">
            <w:pPr>
              <w:spacing w:after="100"/>
              <w:jc w:val="right"/>
              <w:rPr>
                <w:rFonts w:eastAsia="Times New Roman"/>
              </w:rPr>
            </w:pPr>
            <w:r>
              <w:rPr>
                <w:rFonts w:eastAsia="Times New Roman"/>
                <w:color w:val="000000"/>
                <w:sz w:val="20"/>
                <w:szCs w:val="20"/>
              </w:rPr>
              <w:t>3,217 </w:t>
            </w:r>
          </w:p>
        </w:tc>
        <w:tc>
          <w:tcPr>
            <w:tcW w:w="0" w:type="auto"/>
            <w:shd w:val="clear" w:color="auto" w:fill="FFFFFF"/>
            <w:tcMar>
              <w:top w:w="30" w:type="dxa"/>
              <w:left w:w="0" w:type="dxa"/>
              <w:bottom w:w="30" w:type="dxa"/>
              <w:right w:w="20" w:type="dxa"/>
            </w:tcMar>
            <w:vAlign w:val="bottom"/>
            <w:hideMark/>
          </w:tcPr>
          <w:p w14:paraId="1877B7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E406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89F0CE" w14:textId="77777777" w:rsidR="00000000" w:rsidRDefault="00A173A8">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78E807EB"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884B096"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5777231"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264737B" w14:textId="77777777" w:rsidR="00000000" w:rsidRDefault="00A173A8">
            <w:pPr>
              <w:spacing w:after="100"/>
              <w:jc w:val="right"/>
              <w:rPr>
                <w:rFonts w:eastAsia="Times New Roman"/>
              </w:rPr>
            </w:pPr>
            <w:r>
              <w:rPr>
                <w:rFonts w:eastAsia="Times New Roman"/>
                <w:b/>
                <w:bCs/>
                <w:color w:val="000000"/>
                <w:sz w:val="20"/>
                <w:szCs w:val="20"/>
              </w:rPr>
              <w:t>7,738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AEF99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91F3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C207920"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4D384CF" w14:textId="77777777" w:rsidR="00000000" w:rsidRDefault="00A173A8">
            <w:pPr>
              <w:spacing w:after="100"/>
              <w:jc w:val="right"/>
              <w:rPr>
                <w:rFonts w:eastAsia="Times New Roman"/>
              </w:rPr>
            </w:pPr>
            <w:r>
              <w:rPr>
                <w:rFonts w:eastAsia="Times New Roman"/>
                <w:color w:val="000000"/>
                <w:sz w:val="20"/>
                <w:szCs w:val="20"/>
              </w:rPr>
              <w:t>6,589</w:t>
            </w:r>
          </w:p>
        </w:tc>
        <w:tc>
          <w:tcPr>
            <w:tcW w:w="0" w:type="auto"/>
            <w:vAlign w:val="center"/>
            <w:hideMark/>
          </w:tcPr>
          <w:p w14:paraId="719ADE46" w14:textId="77777777" w:rsidR="00000000" w:rsidRDefault="00A173A8">
            <w:pPr>
              <w:spacing w:after="100"/>
              <w:jc w:val="right"/>
              <w:rPr>
                <w:rFonts w:eastAsia="Times New Roman"/>
              </w:rPr>
            </w:pPr>
          </w:p>
        </w:tc>
        <w:tc>
          <w:tcPr>
            <w:tcW w:w="0" w:type="auto"/>
            <w:vAlign w:val="center"/>
            <w:hideMark/>
          </w:tcPr>
          <w:p w14:paraId="5D4E24F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ED8D46"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5172F9" w14:textId="77777777" w:rsidR="00000000" w:rsidRDefault="00A173A8">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54B48B4E"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2D5108CD" w14:textId="77777777" w:rsidR="00000000" w:rsidRDefault="00A173A8">
            <w:pPr>
              <w:spacing w:after="100"/>
              <w:jc w:val="right"/>
              <w:rPr>
                <w:rFonts w:eastAsia="Times New Roman"/>
              </w:rPr>
            </w:pPr>
          </w:p>
        </w:tc>
        <w:tc>
          <w:tcPr>
            <w:tcW w:w="0" w:type="auto"/>
            <w:gridSpan w:val="3"/>
            <w:vAlign w:val="center"/>
            <w:hideMark/>
          </w:tcPr>
          <w:p w14:paraId="18CB75AB" w14:textId="77777777" w:rsidR="00000000" w:rsidRDefault="00A173A8">
            <w:pPr>
              <w:spacing w:after="100"/>
              <w:rPr>
                <w:rFonts w:eastAsia="Times New Roman"/>
                <w:sz w:val="20"/>
                <w:szCs w:val="20"/>
              </w:rPr>
            </w:pPr>
          </w:p>
        </w:tc>
      </w:tr>
      <w:tr w:rsidR="00000000" w14:paraId="3CBDAB26" w14:textId="77777777">
        <w:trPr>
          <w:divId w:val="413861997"/>
        </w:trPr>
        <w:tc>
          <w:tcPr>
            <w:tcW w:w="0" w:type="auto"/>
            <w:gridSpan w:val="3"/>
            <w:shd w:val="clear" w:color="auto" w:fill="CCEEFF"/>
            <w:tcMar>
              <w:top w:w="30" w:type="dxa"/>
              <w:left w:w="20" w:type="dxa"/>
              <w:bottom w:w="30" w:type="dxa"/>
              <w:right w:w="20" w:type="dxa"/>
            </w:tcMar>
            <w:vAlign w:val="center"/>
            <w:hideMark/>
          </w:tcPr>
          <w:p w14:paraId="23870078" w14:textId="77777777" w:rsidR="00000000" w:rsidRDefault="00A173A8">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14:paraId="0D29B298"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3B53123" w14:textId="77777777" w:rsidR="00000000" w:rsidRDefault="00A173A8">
            <w:pPr>
              <w:spacing w:after="100"/>
              <w:jc w:val="right"/>
              <w:rPr>
                <w:rFonts w:eastAsia="Times New Roman"/>
              </w:rPr>
            </w:pPr>
            <w:r>
              <w:rPr>
                <w:rFonts w:eastAsia="Times New Roman"/>
                <w:b/>
                <w:bCs/>
                <w:color w:val="000000"/>
                <w:sz w:val="20"/>
                <w:szCs w:val="20"/>
              </w:rPr>
              <w:t>1,410</w:t>
            </w:r>
          </w:p>
        </w:tc>
        <w:tc>
          <w:tcPr>
            <w:tcW w:w="0" w:type="auto"/>
            <w:gridSpan w:val="3"/>
            <w:shd w:val="clear" w:color="auto" w:fill="CCEEFF"/>
            <w:tcMar>
              <w:top w:w="0" w:type="dxa"/>
              <w:left w:w="20" w:type="dxa"/>
              <w:bottom w:w="0" w:type="dxa"/>
              <w:right w:w="20" w:type="dxa"/>
            </w:tcMar>
            <w:vAlign w:val="center"/>
            <w:hideMark/>
          </w:tcPr>
          <w:p w14:paraId="292ABCDF"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9C707B" w14:textId="77777777" w:rsidR="00000000" w:rsidRDefault="00A173A8">
            <w:pPr>
              <w:spacing w:after="100"/>
              <w:jc w:val="right"/>
              <w:rPr>
                <w:rFonts w:eastAsia="Times New Roman"/>
              </w:rPr>
            </w:pPr>
            <w:r>
              <w:rPr>
                <w:rFonts w:eastAsia="Times New Roman"/>
                <w:color w:val="000000"/>
                <w:sz w:val="20"/>
                <w:szCs w:val="20"/>
              </w:rPr>
              <w:t>1,253 </w:t>
            </w:r>
          </w:p>
        </w:tc>
        <w:tc>
          <w:tcPr>
            <w:tcW w:w="0" w:type="auto"/>
            <w:shd w:val="clear" w:color="auto" w:fill="CCEEFF"/>
            <w:tcMar>
              <w:top w:w="30" w:type="dxa"/>
              <w:left w:w="0" w:type="dxa"/>
              <w:bottom w:w="30" w:type="dxa"/>
              <w:right w:w="20" w:type="dxa"/>
            </w:tcMar>
            <w:vAlign w:val="bottom"/>
            <w:hideMark/>
          </w:tcPr>
          <w:p w14:paraId="779404B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86894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4D0857" w14:textId="77777777" w:rsidR="00000000" w:rsidRDefault="00A173A8">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7E45B72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FA92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585B16" w14:textId="77777777" w:rsidR="00000000" w:rsidRDefault="00A173A8">
            <w:pPr>
              <w:spacing w:after="100"/>
              <w:jc w:val="right"/>
              <w:rPr>
                <w:rFonts w:eastAsia="Times New Roman"/>
              </w:rPr>
            </w:pPr>
            <w:r>
              <w:rPr>
                <w:rFonts w:eastAsia="Times New Roman"/>
                <w:b/>
                <w:bCs/>
                <w:color w:val="000000"/>
                <w:sz w:val="20"/>
                <w:szCs w:val="20"/>
              </w:rPr>
              <w:t>2,868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AB3D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CB1AA"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DE8821A" w14:textId="77777777" w:rsidR="00000000" w:rsidRDefault="00A173A8">
            <w:pPr>
              <w:spacing w:after="100"/>
              <w:jc w:val="right"/>
              <w:rPr>
                <w:rFonts w:eastAsia="Times New Roman"/>
              </w:rPr>
            </w:pPr>
            <w:r>
              <w:rPr>
                <w:rFonts w:eastAsia="Times New Roman"/>
                <w:color w:val="000000"/>
                <w:sz w:val="20"/>
                <w:szCs w:val="20"/>
              </w:rPr>
              <w:t>2,282</w:t>
            </w:r>
          </w:p>
        </w:tc>
        <w:tc>
          <w:tcPr>
            <w:tcW w:w="0" w:type="auto"/>
            <w:vAlign w:val="center"/>
            <w:hideMark/>
          </w:tcPr>
          <w:p w14:paraId="7BD3F3E3" w14:textId="77777777" w:rsidR="00000000" w:rsidRDefault="00A173A8">
            <w:pPr>
              <w:spacing w:after="100"/>
              <w:jc w:val="right"/>
              <w:rPr>
                <w:rFonts w:eastAsia="Times New Roman"/>
              </w:rPr>
            </w:pPr>
          </w:p>
        </w:tc>
        <w:tc>
          <w:tcPr>
            <w:tcW w:w="0" w:type="auto"/>
            <w:vAlign w:val="center"/>
            <w:hideMark/>
          </w:tcPr>
          <w:p w14:paraId="0D40408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F76436"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CC532B" w14:textId="77777777" w:rsidR="00000000" w:rsidRDefault="00A173A8">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14:paraId="269F73A9" w14:textId="77777777" w:rsidR="00000000" w:rsidRDefault="00A173A8">
            <w:pPr>
              <w:spacing w:after="100"/>
              <w:jc w:val="right"/>
              <w:rPr>
                <w:rFonts w:eastAsia="Times New Roman"/>
              </w:rPr>
            </w:pPr>
          </w:p>
        </w:tc>
        <w:tc>
          <w:tcPr>
            <w:tcW w:w="0" w:type="auto"/>
            <w:gridSpan w:val="3"/>
            <w:vAlign w:val="center"/>
            <w:hideMark/>
          </w:tcPr>
          <w:p w14:paraId="4E24E878" w14:textId="77777777" w:rsidR="00000000" w:rsidRDefault="00A173A8">
            <w:pPr>
              <w:spacing w:after="100"/>
              <w:jc w:val="right"/>
              <w:rPr>
                <w:rFonts w:eastAsia="Times New Roman"/>
                <w:sz w:val="20"/>
                <w:szCs w:val="20"/>
              </w:rPr>
            </w:pPr>
          </w:p>
        </w:tc>
        <w:tc>
          <w:tcPr>
            <w:tcW w:w="0" w:type="auto"/>
            <w:gridSpan w:val="3"/>
            <w:vAlign w:val="center"/>
            <w:hideMark/>
          </w:tcPr>
          <w:p w14:paraId="78F727C5" w14:textId="77777777" w:rsidR="00000000" w:rsidRDefault="00A173A8">
            <w:pPr>
              <w:spacing w:after="100"/>
              <w:rPr>
                <w:rFonts w:eastAsia="Times New Roman"/>
                <w:sz w:val="20"/>
                <w:szCs w:val="20"/>
              </w:rPr>
            </w:pPr>
          </w:p>
        </w:tc>
      </w:tr>
      <w:tr w:rsidR="00000000" w14:paraId="5D767926" w14:textId="77777777">
        <w:trPr>
          <w:divId w:val="413861997"/>
        </w:trPr>
        <w:tc>
          <w:tcPr>
            <w:tcW w:w="0" w:type="auto"/>
            <w:gridSpan w:val="3"/>
            <w:shd w:val="clear" w:color="auto" w:fill="FFFFFF"/>
            <w:tcMar>
              <w:top w:w="30" w:type="dxa"/>
              <w:left w:w="20" w:type="dxa"/>
              <w:bottom w:w="30" w:type="dxa"/>
              <w:right w:w="20" w:type="dxa"/>
            </w:tcMar>
            <w:vAlign w:val="center"/>
            <w:hideMark/>
          </w:tcPr>
          <w:p w14:paraId="535BB0F0" w14:textId="77777777" w:rsidR="00000000" w:rsidRDefault="00A173A8">
            <w:pPr>
              <w:spacing w:after="100"/>
              <w:divId w:val="1838494256"/>
              <w:rPr>
                <w:rFonts w:eastAsia="Times New Roman"/>
              </w:rPr>
            </w:pPr>
            <w:r>
              <w:rPr>
                <w:rFonts w:eastAsia="Times New Roman"/>
                <w:color w:val="000000"/>
                <w:sz w:val="20"/>
                <w:szCs w:val="20"/>
              </w:rPr>
              <w:t>Total net revenu</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F9FC2BF"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2EFF183E" w14:textId="77777777" w:rsidR="00000000" w:rsidRDefault="00A173A8">
            <w:pPr>
              <w:spacing w:after="100"/>
              <w:jc w:val="right"/>
              <w:rPr>
                <w:rFonts w:eastAsia="Times New Roman"/>
              </w:rPr>
            </w:pPr>
            <w:r>
              <w:rPr>
                <w:rFonts w:eastAsia="Times New Roman"/>
                <w:b/>
                <w:bCs/>
                <w:color w:val="000000"/>
                <w:sz w:val="20"/>
                <w:szCs w:val="20"/>
              </w:rPr>
              <w:t>5,309</w:t>
            </w:r>
          </w:p>
        </w:tc>
        <w:tc>
          <w:tcPr>
            <w:tcW w:w="0" w:type="auto"/>
            <w:gridSpan w:val="3"/>
            <w:shd w:val="clear" w:color="auto" w:fill="FFFFFF"/>
            <w:tcMar>
              <w:top w:w="0" w:type="dxa"/>
              <w:left w:w="20" w:type="dxa"/>
              <w:bottom w:w="0" w:type="dxa"/>
              <w:right w:w="20" w:type="dxa"/>
            </w:tcMar>
            <w:vAlign w:val="center"/>
            <w:hideMark/>
          </w:tcPr>
          <w:p w14:paraId="0B51C9EF" w14:textId="77777777" w:rsidR="00000000" w:rsidRDefault="00A173A8">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BC8D45" w14:textId="77777777" w:rsidR="00000000" w:rsidRDefault="00A173A8">
            <w:pPr>
              <w:spacing w:after="100"/>
              <w:jc w:val="right"/>
              <w:rPr>
                <w:rFonts w:eastAsia="Times New Roman"/>
              </w:rPr>
            </w:pPr>
            <w:r>
              <w:rPr>
                <w:rFonts w:eastAsia="Times New Roman"/>
                <w:color w:val="000000"/>
                <w:sz w:val="20"/>
                <w:szCs w:val="20"/>
              </w:rPr>
              <w:t>4,470 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8479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11F8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63AD00" w14:textId="77777777" w:rsidR="00000000" w:rsidRDefault="00A173A8">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47F0B7D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A4B1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3B0695C" w14:textId="77777777" w:rsidR="00000000" w:rsidRDefault="00A173A8">
            <w:pPr>
              <w:spacing w:after="100"/>
              <w:jc w:val="right"/>
              <w:rPr>
                <w:rFonts w:eastAsia="Times New Roman"/>
              </w:rPr>
            </w:pPr>
            <w:r>
              <w:rPr>
                <w:rFonts w:eastAsia="Times New Roman"/>
                <w:b/>
                <w:bCs/>
                <w:color w:val="000000"/>
                <w:sz w:val="20"/>
                <w:szCs w:val="20"/>
              </w:rPr>
              <w:t>10,606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C6AF6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32EF2"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26CECC7" w14:textId="77777777" w:rsidR="00000000" w:rsidRDefault="00A173A8">
            <w:pPr>
              <w:spacing w:after="100"/>
              <w:jc w:val="right"/>
              <w:rPr>
                <w:rFonts w:eastAsia="Times New Roman"/>
              </w:rPr>
            </w:pPr>
            <w:r>
              <w:rPr>
                <w:rFonts w:eastAsia="Times New Roman"/>
                <w:color w:val="000000"/>
                <w:sz w:val="20"/>
                <w:szCs w:val="20"/>
              </w:rPr>
              <w:t>8,871</w:t>
            </w:r>
          </w:p>
        </w:tc>
        <w:tc>
          <w:tcPr>
            <w:tcW w:w="0" w:type="auto"/>
            <w:vAlign w:val="center"/>
            <w:hideMark/>
          </w:tcPr>
          <w:p w14:paraId="37C47997" w14:textId="77777777" w:rsidR="00000000" w:rsidRDefault="00A173A8">
            <w:pPr>
              <w:spacing w:after="100"/>
              <w:jc w:val="right"/>
              <w:rPr>
                <w:rFonts w:eastAsia="Times New Roman"/>
              </w:rPr>
            </w:pPr>
          </w:p>
        </w:tc>
        <w:tc>
          <w:tcPr>
            <w:tcW w:w="0" w:type="auto"/>
            <w:vAlign w:val="center"/>
            <w:hideMark/>
          </w:tcPr>
          <w:p w14:paraId="077973E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5FCA18"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D8D382" w14:textId="77777777" w:rsidR="00000000" w:rsidRDefault="00A173A8">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14:paraId="7B37056E" w14:textId="77777777" w:rsidR="00000000" w:rsidRDefault="00A173A8">
            <w:pPr>
              <w:spacing w:after="100"/>
              <w:jc w:val="right"/>
              <w:rPr>
                <w:rFonts w:eastAsia="Times New Roman"/>
              </w:rPr>
            </w:pPr>
          </w:p>
        </w:tc>
        <w:tc>
          <w:tcPr>
            <w:tcW w:w="0" w:type="auto"/>
            <w:gridSpan w:val="3"/>
            <w:vAlign w:val="center"/>
            <w:hideMark/>
          </w:tcPr>
          <w:p w14:paraId="08D839B0" w14:textId="77777777" w:rsidR="00000000" w:rsidRDefault="00A173A8">
            <w:pPr>
              <w:spacing w:after="100"/>
              <w:jc w:val="right"/>
              <w:rPr>
                <w:rFonts w:eastAsia="Times New Roman"/>
                <w:sz w:val="20"/>
                <w:szCs w:val="20"/>
              </w:rPr>
            </w:pPr>
          </w:p>
        </w:tc>
        <w:tc>
          <w:tcPr>
            <w:tcW w:w="0" w:type="auto"/>
            <w:gridSpan w:val="3"/>
            <w:vAlign w:val="center"/>
            <w:hideMark/>
          </w:tcPr>
          <w:p w14:paraId="6A29B7A1" w14:textId="77777777" w:rsidR="00000000" w:rsidRDefault="00A173A8">
            <w:pPr>
              <w:spacing w:after="100"/>
              <w:rPr>
                <w:rFonts w:eastAsia="Times New Roman"/>
                <w:sz w:val="20"/>
                <w:szCs w:val="20"/>
              </w:rPr>
            </w:pPr>
          </w:p>
        </w:tc>
      </w:tr>
      <w:tr w:rsidR="00000000" w14:paraId="673F55B9" w14:textId="77777777">
        <w:trPr>
          <w:divId w:val="413861997"/>
        </w:trPr>
        <w:tc>
          <w:tcPr>
            <w:tcW w:w="0" w:type="auto"/>
            <w:gridSpan w:val="3"/>
            <w:shd w:val="clear" w:color="auto" w:fill="CCEEFF"/>
            <w:tcMar>
              <w:top w:w="30" w:type="dxa"/>
              <w:left w:w="20" w:type="dxa"/>
              <w:bottom w:w="30" w:type="dxa"/>
              <w:right w:w="20" w:type="dxa"/>
            </w:tcMar>
            <w:vAlign w:val="center"/>
            <w:hideMark/>
          </w:tcPr>
          <w:p w14:paraId="25128298" w14:textId="77777777" w:rsidR="00000000" w:rsidRDefault="00A173A8">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5228C840"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1972096" w14:textId="77777777" w:rsidR="00000000" w:rsidRDefault="00A173A8">
            <w:pPr>
              <w:spacing w:after="100"/>
              <w:jc w:val="right"/>
              <w:rPr>
                <w:rFonts w:eastAsia="Times New Roman"/>
              </w:rPr>
            </w:pPr>
            <w:r>
              <w:rPr>
                <w:rFonts w:eastAsia="Times New Roman"/>
                <w:b/>
                <w:bCs/>
                <w:color w:val="000000"/>
                <w:sz w:val="20"/>
                <w:szCs w:val="20"/>
              </w:rPr>
              <w:t>581</w:t>
            </w:r>
          </w:p>
        </w:tc>
        <w:tc>
          <w:tcPr>
            <w:tcW w:w="0" w:type="auto"/>
            <w:gridSpan w:val="3"/>
            <w:shd w:val="clear" w:color="auto" w:fill="CCEEFF"/>
            <w:tcMar>
              <w:top w:w="0" w:type="dxa"/>
              <w:left w:w="20" w:type="dxa"/>
              <w:bottom w:w="0" w:type="dxa"/>
              <w:right w:w="20" w:type="dxa"/>
            </w:tcMar>
            <w:vAlign w:val="center"/>
            <w:hideMark/>
          </w:tcPr>
          <w:p w14:paraId="1DC9CC19"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A79800" w14:textId="77777777" w:rsidR="00000000" w:rsidRDefault="00A173A8">
            <w:pPr>
              <w:spacing w:after="100"/>
              <w:jc w:val="right"/>
              <w:rPr>
                <w:rFonts w:eastAsia="Times New Roman"/>
              </w:rPr>
            </w:pPr>
            <w:r>
              <w:rPr>
                <w:rFonts w:eastAsia="Times New Roman"/>
                <w:color w:val="000000"/>
                <w:sz w:val="20"/>
                <w:szCs w:val="20"/>
              </w:rPr>
              <w:t>(635)</w:t>
            </w:r>
          </w:p>
        </w:tc>
        <w:tc>
          <w:tcPr>
            <w:tcW w:w="0" w:type="auto"/>
            <w:shd w:val="clear" w:color="auto" w:fill="CCEEFF"/>
            <w:tcMar>
              <w:top w:w="30" w:type="dxa"/>
              <w:left w:w="0" w:type="dxa"/>
              <w:bottom w:w="30" w:type="dxa"/>
              <w:right w:w="20" w:type="dxa"/>
            </w:tcMar>
            <w:vAlign w:val="bottom"/>
            <w:hideMark/>
          </w:tcPr>
          <w:p w14:paraId="757F10D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B5687D"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18764460"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C29DCDD"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0AB06D" w14:textId="77777777" w:rsidR="00000000" w:rsidRDefault="00A173A8">
            <w:pPr>
              <w:spacing w:after="100"/>
              <w:jc w:val="right"/>
              <w:rPr>
                <w:rFonts w:eastAsia="Times New Roman"/>
              </w:rPr>
            </w:pPr>
            <w:r>
              <w:rPr>
                <w:rFonts w:eastAsia="Times New Roman"/>
                <w:b/>
                <w:bCs/>
                <w:color w:val="000000"/>
                <w:sz w:val="20"/>
                <w:szCs w:val="20"/>
              </w:rPr>
              <w:t>1,126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1F0A8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E3E170"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C4C8451" w14:textId="77777777" w:rsidR="00000000" w:rsidRDefault="00A173A8">
            <w:pPr>
              <w:spacing w:after="100"/>
              <w:jc w:val="right"/>
              <w:rPr>
                <w:rFonts w:eastAsia="Times New Roman"/>
              </w:rPr>
            </w:pPr>
            <w:r>
              <w:rPr>
                <w:rFonts w:eastAsia="Times New Roman"/>
                <w:color w:val="000000"/>
                <w:sz w:val="20"/>
                <w:szCs w:val="20"/>
              </w:rPr>
              <w:t>(1,127)</w:t>
            </w:r>
          </w:p>
        </w:tc>
        <w:tc>
          <w:tcPr>
            <w:tcW w:w="0" w:type="auto"/>
            <w:vAlign w:val="center"/>
            <w:hideMark/>
          </w:tcPr>
          <w:p w14:paraId="0E7CF038" w14:textId="77777777" w:rsidR="00000000" w:rsidRDefault="00A173A8">
            <w:pPr>
              <w:spacing w:after="100"/>
              <w:jc w:val="right"/>
              <w:rPr>
                <w:rFonts w:eastAsia="Times New Roman"/>
              </w:rPr>
            </w:pPr>
          </w:p>
        </w:tc>
        <w:tc>
          <w:tcPr>
            <w:tcW w:w="0" w:type="auto"/>
            <w:vAlign w:val="center"/>
            <w:hideMark/>
          </w:tcPr>
          <w:p w14:paraId="6A18512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F64CC"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17FAAF18"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071BDC0D" w14:textId="77777777" w:rsidR="00000000" w:rsidRDefault="00A173A8">
            <w:pPr>
              <w:spacing w:after="100"/>
              <w:jc w:val="right"/>
              <w:rPr>
                <w:rFonts w:eastAsia="Times New Roman"/>
              </w:rPr>
            </w:pPr>
          </w:p>
        </w:tc>
        <w:tc>
          <w:tcPr>
            <w:tcW w:w="0" w:type="auto"/>
            <w:gridSpan w:val="3"/>
            <w:vAlign w:val="center"/>
            <w:hideMark/>
          </w:tcPr>
          <w:p w14:paraId="52D59844" w14:textId="77777777" w:rsidR="00000000" w:rsidRDefault="00A173A8">
            <w:pPr>
              <w:spacing w:after="100"/>
              <w:rPr>
                <w:rFonts w:eastAsia="Times New Roman"/>
                <w:sz w:val="20"/>
                <w:szCs w:val="20"/>
              </w:rPr>
            </w:pPr>
          </w:p>
        </w:tc>
      </w:tr>
      <w:tr w:rsidR="00000000" w14:paraId="5B71B7C0" w14:textId="77777777">
        <w:trPr>
          <w:divId w:val="413861997"/>
        </w:trPr>
        <w:tc>
          <w:tcPr>
            <w:tcW w:w="0" w:type="auto"/>
            <w:gridSpan w:val="3"/>
            <w:shd w:val="clear" w:color="auto" w:fill="FFFFFF"/>
            <w:tcMar>
              <w:top w:w="30" w:type="dxa"/>
              <w:left w:w="20" w:type="dxa"/>
              <w:bottom w:w="30" w:type="dxa"/>
              <w:right w:w="20" w:type="dxa"/>
            </w:tcMar>
            <w:vAlign w:val="center"/>
            <w:hideMark/>
          </w:tcPr>
          <w:p w14:paraId="03C87F11" w14:textId="77777777" w:rsidR="00000000" w:rsidRDefault="00A173A8">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3DBF4F05"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F475438" w14:textId="77777777" w:rsidR="00000000" w:rsidRDefault="00A173A8">
            <w:pPr>
              <w:spacing w:after="100"/>
              <w:jc w:val="right"/>
              <w:rPr>
                <w:rFonts w:eastAsia="Times New Roman"/>
              </w:rPr>
            </w:pPr>
            <w:r>
              <w:rPr>
                <w:rFonts w:eastAsia="Times New Roman"/>
                <w:b/>
                <w:bCs/>
                <w:color w:val="000000"/>
                <w:sz w:val="20"/>
                <w:szCs w:val="20"/>
              </w:rPr>
              <w:t>2,771</w:t>
            </w:r>
          </w:p>
        </w:tc>
        <w:tc>
          <w:tcPr>
            <w:tcW w:w="0" w:type="auto"/>
            <w:gridSpan w:val="3"/>
            <w:shd w:val="clear" w:color="auto" w:fill="FFFFFF"/>
            <w:tcMar>
              <w:top w:w="0" w:type="dxa"/>
              <w:left w:w="20" w:type="dxa"/>
              <w:bottom w:w="0" w:type="dxa"/>
              <w:right w:w="20" w:type="dxa"/>
            </w:tcMar>
            <w:vAlign w:val="center"/>
            <w:hideMark/>
          </w:tcPr>
          <w:p w14:paraId="1E76EDA5"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878BD0" w14:textId="77777777" w:rsidR="00000000" w:rsidRDefault="00A173A8">
            <w:pPr>
              <w:spacing w:after="100"/>
              <w:jc w:val="right"/>
              <w:rPr>
                <w:rFonts w:eastAsia="Times New Roman"/>
              </w:rPr>
            </w:pPr>
            <w:r>
              <w:rPr>
                <w:rFonts w:eastAsia="Times New Roman"/>
                <w:color w:val="000000"/>
                <w:sz w:val="20"/>
                <w:szCs w:val="20"/>
              </w:rPr>
              <w:t>2,263 </w:t>
            </w:r>
          </w:p>
        </w:tc>
        <w:tc>
          <w:tcPr>
            <w:tcW w:w="0" w:type="auto"/>
            <w:shd w:val="clear" w:color="auto" w:fill="FFFFFF"/>
            <w:tcMar>
              <w:top w:w="30" w:type="dxa"/>
              <w:left w:w="0" w:type="dxa"/>
              <w:bottom w:w="30" w:type="dxa"/>
              <w:right w:w="20" w:type="dxa"/>
            </w:tcMar>
            <w:vAlign w:val="bottom"/>
            <w:hideMark/>
          </w:tcPr>
          <w:p w14:paraId="120B7F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1CDE0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7E024B" w14:textId="77777777" w:rsidR="00000000" w:rsidRDefault="00A173A8">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14:paraId="412AAB9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6CB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B323D1" w14:textId="77777777" w:rsidR="00000000" w:rsidRDefault="00A173A8">
            <w:pPr>
              <w:spacing w:after="100"/>
              <w:jc w:val="right"/>
              <w:rPr>
                <w:rFonts w:eastAsia="Times New Roman"/>
              </w:rPr>
            </w:pPr>
            <w:r>
              <w:rPr>
                <w:rFonts w:eastAsia="Times New Roman"/>
                <w:b/>
                <w:bCs/>
                <w:color w:val="000000"/>
                <w:sz w:val="20"/>
                <w:szCs w:val="20"/>
              </w:rPr>
              <w:t>5,554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71DBA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043729"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6EC50139" w14:textId="77777777" w:rsidR="00000000" w:rsidRDefault="00A173A8">
            <w:pPr>
              <w:spacing w:after="100"/>
              <w:jc w:val="right"/>
              <w:rPr>
                <w:rFonts w:eastAsia="Times New Roman"/>
              </w:rPr>
            </w:pPr>
            <w:r>
              <w:rPr>
                <w:rFonts w:eastAsia="Times New Roman"/>
                <w:color w:val="000000"/>
                <w:sz w:val="20"/>
                <w:szCs w:val="20"/>
              </w:rPr>
              <w:t>4,398</w:t>
            </w:r>
          </w:p>
        </w:tc>
        <w:tc>
          <w:tcPr>
            <w:tcW w:w="0" w:type="auto"/>
            <w:vAlign w:val="center"/>
            <w:hideMark/>
          </w:tcPr>
          <w:p w14:paraId="16CCE60A" w14:textId="77777777" w:rsidR="00000000" w:rsidRDefault="00A173A8">
            <w:pPr>
              <w:spacing w:after="100"/>
              <w:jc w:val="right"/>
              <w:rPr>
                <w:rFonts w:eastAsia="Times New Roman"/>
              </w:rPr>
            </w:pPr>
          </w:p>
        </w:tc>
        <w:tc>
          <w:tcPr>
            <w:tcW w:w="0" w:type="auto"/>
            <w:vAlign w:val="center"/>
            <w:hideMark/>
          </w:tcPr>
          <w:p w14:paraId="4DA1CAB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EA104A"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7FC9DC" w14:textId="77777777" w:rsidR="00000000" w:rsidRDefault="00A173A8">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596FFB1A" w14:textId="77777777" w:rsidR="00000000" w:rsidRDefault="00A173A8">
            <w:pPr>
              <w:spacing w:after="100"/>
              <w:jc w:val="right"/>
              <w:rPr>
                <w:rFonts w:eastAsia="Times New Roman"/>
              </w:rPr>
            </w:pPr>
          </w:p>
        </w:tc>
        <w:tc>
          <w:tcPr>
            <w:tcW w:w="0" w:type="auto"/>
            <w:gridSpan w:val="3"/>
            <w:vAlign w:val="center"/>
            <w:hideMark/>
          </w:tcPr>
          <w:p w14:paraId="3800E9CA" w14:textId="77777777" w:rsidR="00000000" w:rsidRDefault="00A173A8">
            <w:pPr>
              <w:spacing w:after="100"/>
              <w:jc w:val="right"/>
              <w:rPr>
                <w:rFonts w:eastAsia="Times New Roman"/>
                <w:sz w:val="20"/>
                <w:szCs w:val="20"/>
              </w:rPr>
            </w:pPr>
          </w:p>
        </w:tc>
        <w:tc>
          <w:tcPr>
            <w:tcW w:w="0" w:type="auto"/>
            <w:gridSpan w:val="3"/>
            <w:vAlign w:val="center"/>
            <w:hideMark/>
          </w:tcPr>
          <w:p w14:paraId="1615BFF4" w14:textId="77777777" w:rsidR="00000000" w:rsidRDefault="00A173A8">
            <w:pPr>
              <w:spacing w:after="100"/>
              <w:rPr>
                <w:rFonts w:eastAsia="Times New Roman"/>
                <w:sz w:val="20"/>
                <w:szCs w:val="20"/>
              </w:rPr>
            </w:pPr>
          </w:p>
        </w:tc>
      </w:tr>
      <w:tr w:rsidR="00000000" w14:paraId="2FF6F48D" w14:textId="77777777">
        <w:trPr>
          <w:divId w:val="413861997"/>
        </w:trPr>
        <w:tc>
          <w:tcPr>
            <w:tcW w:w="0" w:type="auto"/>
            <w:gridSpan w:val="3"/>
            <w:shd w:val="clear" w:color="auto" w:fill="CCEEFF"/>
            <w:tcMar>
              <w:top w:w="30" w:type="dxa"/>
              <w:left w:w="20" w:type="dxa"/>
              <w:bottom w:w="30" w:type="dxa"/>
              <w:right w:w="20" w:type="dxa"/>
            </w:tcMar>
            <w:vAlign w:val="center"/>
            <w:hideMark/>
          </w:tcPr>
          <w:p w14:paraId="34A31EDC" w14:textId="77777777" w:rsidR="00000000" w:rsidRDefault="00A173A8">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70E3BD27"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6BDC7C33" w14:textId="77777777" w:rsidR="00000000" w:rsidRDefault="00A173A8">
            <w:pPr>
              <w:spacing w:after="100"/>
              <w:jc w:val="right"/>
              <w:rPr>
                <w:rFonts w:eastAsia="Times New Roman"/>
              </w:rPr>
            </w:pPr>
            <w:r>
              <w:rPr>
                <w:rFonts w:eastAsia="Times New Roman"/>
                <w:b/>
                <w:bCs/>
                <w:color w:val="000000"/>
                <w:sz w:val="20"/>
                <w:szCs w:val="20"/>
              </w:rPr>
              <w:t>1,957</w:t>
            </w:r>
          </w:p>
        </w:tc>
        <w:tc>
          <w:tcPr>
            <w:tcW w:w="0" w:type="auto"/>
            <w:gridSpan w:val="3"/>
            <w:shd w:val="clear" w:color="auto" w:fill="CCEEFF"/>
            <w:tcMar>
              <w:top w:w="0" w:type="dxa"/>
              <w:left w:w="20" w:type="dxa"/>
              <w:bottom w:w="0" w:type="dxa"/>
              <w:right w:w="20" w:type="dxa"/>
            </w:tcMar>
            <w:vAlign w:val="center"/>
            <w:hideMark/>
          </w:tcPr>
          <w:p w14:paraId="04959443" w14:textId="77777777" w:rsidR="00000000" w:rsidRDefault="00A173A8">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6578D2" w14:textId="77777777" w:rsidR="00000000" w:rsidRDefault="00A173A8">
            <w:pPr>
              <w:spacing w:after="100"/>
              <w:jc w:val="right"/>
              <w:rPr>
                <w:rFonts w:eastAsia="Times New Roman"/>
              </w:rPr>
            </w:pPr>
            <w:r>
              <w:rPr>
                <w:rFonts w:eastAsia="Times New Roman"/>
                <w:color w:val="000000"/>
                <w:sz w:val="20"/>
                <w:szCs w:val="20"/>
              </w:rPr>
              <w:t>2,842 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D9101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C243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173417" w14:textId="77777777" w:rsidR="00000000" w:rsidRDefault="00A173A8">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14:paraId="0F3640D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1E32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5321DC" w14:textId="77777777" w:rsidR="00000000" w:rsidRDefault="00A173A8">
            <w:pPr>
              <w:spacing w:after="100"/>
              <w:jc w:val="right"/>
              <w:rPr>
                <w:rFonts w:eastAsia="Times New Roman"/>
              </w:rPr>
            </w:pPr>
            <w:r>
              <w:rPr>
                <w:rFonts w:eastAsia="Times New Roman"/>
                <w:b/>
                <w:bCs/>
                <w:color w:val="000000"/>
                <w:sz w:val="20"/>
                <w:szCs w:val="20"/>
              </w:rPr>
              <w:t>3,926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46C99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0896F"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7A955085" w14:textId="77777777" w:rsidR="00000000" w:rsidRDefault="00A173A8">
            <w:pPr>
              <w:spacing w:after="100"/>
              <w:jc w:val="right"/>
              <w:rPr>
                <w:rFonts w:eastAsia="Times New Roman"/>
              </w:rPr>
            </w:pPr>
            <w:r>
              <w:rPr>
                <w:rFonts w:eastAsia="Times New Roman"/>
                <w:color w:val="000000"/>
                <w:sz w:val="20"/>
                <w:szCs w:val="20"/>
              </w:rPr>
              <w:t>5,600</w:t>
            </w:r>
          </w:p>
        </w:tc>
        <w:tc>
          <w:tcPr>
            <w:tcW w:w="0" w:type="auto"/>
            <w:vAlign w:val="center"/>
            <w:hideMark/>
          </w:tcPr>
          <w:p w14:paraId="4D3EFF6B" w14:textId="77777777" w:rsidR="00000000" w:rsidRDefault="00A173A8">
            <w:pPr>
              <w:spacing w:after="100"/>
              <w:jc w:val="right"/>
              <w:rPr>
                <w:rFonts w:eastAsia="Times New Roman"/>
              </w:rPr>
            </w:pPr>
          </w:p>
        </w:tc>
        <w:tc>
          <w:tcPr>
            <w:tcW w:w="0" w:type="auto"/>
            <w:vAlign w:val="center"/>
            <w:hideMark/>
          </w:tcPr>
          <w:p w14:paraId="04D9848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BD6ADC"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B94886" w14:textId="77777777" w:rsidR="00000000" w:rsidRDefault="00A173A8">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14:paraId="672004E9" w14:textId="77777777" w:rsidR="00000000" w:rsidRDefault="00A173A8">
            <w:pPr>
              <w:spacing w:after="100"/>
              <w:jc w:val="right"/>
              <w:rPr>
                <w:rFonts w:eastAsia="Times New Roman"/>
              </w:rPr>
            </w:pPr>
          </w:p>
        </w:tc>
        <w:tc>
          <w:tcPr>
            <w:tcW w:w="0" w:type="auto"/>
            <w:gridSpan w:val="3"/>
            <w:vAlign w:val="center"/>
            <w:hideMark/>
          </w:tcPr>
          <w:p w14:paraId="52693C61" w14:textId="77777777" w:rsidR="00000000" w:rsidRDefault="00A173A8">
            <w:pPr>
              <w:spacing w:after="100"/>
              <w:jc w:val="right"/>
              <w:rPr>
                <w:rFonts w:eastAsia="Times New Roman"/>
                <w:sz w:val="20"/>
                <w:szCs w:val="20"/>
              </w:rPr>
            </w:pPr>
          </w:p>
        </w:tc>
        <w:tc>
          <w:tcPr>
            <w:tcW w:w="0" w:type="auto"/>
            <w:gridSpan w:val="3"/>
            <w:vAlign w:val="center"/>
            <w:hideMark/>
          </w:tcPr>
          <w:p w14:paraId="2A3E37FF" w14:textId="77777777" w:rsidR="00000000" w:rsidRDefault="00A173A8">
            <w:pPr>
              <w:spacing w:after="100"/>
              <w:rPr>
                <w:rFonts w:eastAsia="Times New Roman"/>
                <w:sz w:val="20"/>
                <w:szCs w:val="20"/>
              </w:rPr>
            </w:pPr>
          </w:p>
        </w:tc>
      </w:tr>
      <w:tr w:rsidR="00000000" w14:paraId="451221A3" w14:textId="77777777">
        <w:trPr>
          <w:divId w:val="413861997"/>
        </w:trPr>
        <w:tc>
          <w:tcPr>
            <w:tcW w:w="0" w:type="auto"/>
            <w:gridSpan w:val="3"/>
            <w:shd w:val="clear" w:color="auto" w:fill="FFFFFF"/>
            <w:tcMar>
              <w:top w:w="30" w:type="dxa"/>
              <w:left w:w="20" w:type="dxa"/>
              <w:bottom w:w="30" w:type="dxa"/>
              <w:right w:w="20" w:type="dxa"/>
            </w:tcMar>
            <w:vAlign w:val="center"/>
            <w:hideMark/>
          </w:tcPr>
          <w:p w14:paraId="30108091" w14:textId="77777777" w:rsidR="00000000" w:rsidRDefault="00A173A8">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0" w:type="dxa"/>
              <w:left w:w="20" w:type="dxa"/>
              <w:bottom w:w="0" w:type="dxa"/>
              <w:right w:w="20" w:type="dxa"/>
            </w:tcMar>
            <w:vAlign w:val="center"/>
            <w:hideMark/>
          </w:tcPr>
          <w:p w14:paraId="04210F20"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34DE6F1" w14:textId="77777777" w:rsidR="00000000" w:rsidRDefault="00A173A8">
            <w:pPr>
              <w:spacing w:after="100"/>
              <w:jc w:val="right"/>
              <w:rPr>
                <w:rFonts w:eastAsia="Times New Roman"/>
              </w:rPr>
            </w:pPr>
            <w:r>
              <w:rPr>
                <w:rFonts w:eastAsia="Times New Roman"/>
                <w:b/>
                <w:bCs/>
                <w:color w:val="000000"/>
                <w:sz w:val="20"/>
                <w:szCs w:val="20"/>
              </w:rPr>
              <w:t>466</w:t>
            </w:r>
          </w:p>
        </w:tc>
        <w:tc>
          <w:tcPr>
            <w:tcW w:w="0" w:type="auto"/>
            <w:gridSpan w:val="3"/>
            <w:shd w:val="clear" w:color="auto" w:fill="FFFFFF"/>
            <w:tcMar>
              <w:top w:w="0" w:type="dxa"/>
              <w:left w:w="20" w:type="dxa"/>
              <w:bottom w:w="0" w:type="dxa"/>
              <w:right w:w="20" w:type="dxa"/>
            </w:tcMar>
            <w:vAlign w:val="center"/>
            <w:hideMark/>
          </w:tcPr>
          <w:p w14:paraId="5EA15463"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E2F3394" w14:textId="77777777" w:rsidR="00000000" w:rsidRDefault="00A173A8">
            <w:pPr>
              <w:spacing w:after="100"/>
              <w:jc w:val="right"/>
              <w:rPr>
                <w:rFonts w:eastAsia="Times New Roman"/>
              </w:rPr>
            </w:pPr>
            <w:r>
              <w:rPr>
                <w:rFonts w:eastAsia="Times New Roman"/>
                <w:color w:val="000000"/>
                <w:sz w:val="20"/>
                <w:szCs w:val="20"/>
              </w:rPr>
              <w:t>672 </w:t>
            </w:r>
          </w:p>
        </w:tc>
        <w:tc>
          <w:tcPr>
            <w:tcW w:w="0" w:type="auto"/>
            <w:shd w:val="clear" w:color="auto" w:fill="FFFFFF"/>
            <w:tcMar>
              <w:top w:w="30" w:type="dxa"/>
              <w:left w:w="0" w:type="dxa"/>
              <w:bottom w:w="30" w:type="dxa"/>
              <w:right w:w="20" w:type="dxa"/>
            </w:tcMar>
            <w:vAlign w:val="bottom"/>
            <w:hideMark/>
          </w:tcPr>
          <w:p w14:paraId="23DAAEE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48A6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EDFA30" w14:textId="77777777" w:rsidR="00000000" w:rsidRDefault="00A173A8">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14:paraId="00A3F7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6650C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501C9" w14:textId="77777777" w:rsidR="00000000" w:rsidRDefault="00A173A8">
            <w:pPr>
              <w:spacing w:after="100"/>
              <w:jc w:val="right"/>
              <w:rPr>
                <w:rFonts w:eastAsia="Times New Roman"/>
              </w:rPr>
            </w:pPr>
            <w:r>
              <w:rPr>
                <w:rFonts w:eastAsia="Times New Roman"/>
                <w:b/>
                <w:bCs/>
                <w:color w:val="000000"/>
                <w:sz w:val="20"/>
                <w:szCs w:val="20"/>
              </w:rPr>
              <w:t>935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92632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F2E3AD"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7C153E22" w14:textId="77777777" w:rsidR="00000000" w:rsidRDefault="00A173A8">
            <w:pPr>
              <w:spacing w:after="100"/>
              <w:jc w:val="right"/>
              <w:rPr>
                <w:rFonts w:eastAsia="Times New Roman"/>
              </w:rPr>
            </w:pPr>
            <w:r>
              <w:rPr>
                <w:rFonts w:eastAsia="Times New Roman"/>
                <w:color w:val="000000"/>
                <w:sz w:val="20"/>
                <w:szCs w:val="20"/>
              </w:rPr>
              <w:t>1,325</w:t>
            </w:r>
          </w:p>
        </w:tc>
        <w:tc>
          <w:tcPr>
            <w:tcW w:w="0" w:type="auto"/>
            <w:vAlign w:val="center"/>
            <w:hideMark/>
          </w:tcPr>
          <w:p w14:paraId="55FD99D5" w14:textId="77777777" w:rsidR="00000000" w:rsidRDefault="00A173A8">
            <w:pPr>
              <w:spacing w:after="100"/>
              <w:jc w:val="right"/>
              <w:rPr>
                <w:rFonts w:eastAsia="Times New Roman"/>
              </w:rPr>
            </w:pPr>
          </w:p>
        </w:tc>
        <w:tc>
          <w:tcPr>
            <w:tcW w:w="0" w:type="auto"/>
            <w:vAlign w:val="center"/>
            <w:hideMark/>
          </w:tcPr>
          <w:p w14:paraId="7D03676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A2D142"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4287C0" w14:textId="77777777" w:rsidR="00000000" w:rsidRDefault="00A173A8">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14:paraId="265EA220" w14:textId="77777777" w:rsidR="00000000" w:rsidRDefault="00A173A8">
            <w:pPr>
              <w:spacing w:after="100"/>
              <w:jc w:val="right"/>
              <w:rPr>
                <w:rFonts w:eastAsia="Times New Roman"/>
              </w:rPr>
            </w:pPr>
          </w:p>
        </w:tc>
        <w:tc>
          <w:tcPr>
            <w:tcW w:w="0" w:type="auto"/>
            <w:gridSpan w:val="3"/>
            <w:vAlign w:val="center"/>
            <w:hideMark/>
          </w:tcPr>
          <w:p w14:paraId="177E6325" w14:textId="77777777" w:rsidR="00000000" w:rsidRDefault="00A173A8">
            <w:pPr>
              <w:spacing w:after="100"/>
              <w:jc w:val="right"/>
              <w:rPr>
                <w:rFonts w:eastAsia="Times New Roman"/>
                <w:sz w:val="20"/>
                <w:szCs w:val="20"/>
              </w:rPr>
            </w:pPr>
          </w:p>
        </w:tc>
        <w:tc>
          <w:tcPr>
            <w:tcW w:w="0" w:type="auto"/>
            <w:gridSpan w:val="3"/>
            <w:vAlign w:val="center"/>
            <w:hideMark/>
          </w:tcPr>
          <w:p w14:paraId="66AE3AC9" w14:textId="77777777" w:rsidR="00000000" w:rsidRDefault="00A173A8">
            <w:pPr>
              <w:spacing w:after="100"/>
              <w:rPr>
                <w:rFonts w:eastAsia="Times New Roman"/>
                <w:sz w:val="20"/>
                <w:szCs w:val="20"/>
              </w:rPr>
            </w:pPr>
          </w:p>
        </w:tc>
      </w:tr>
      <w:tr w:rsidR="00000000" w14:paraId="2C6BC306" w14:textId="77777777">
        <w:trPr>
          <w:divId w:val="413861997"/>
        </w:trPr>
        <w:tc>
          <w:tcPr>
            <w:tcW w:w="0" w:type="auto"/>
            <w:gridSpan w:val="3"/>
            <w:shd w:val="clear" w:color="auto" w:fill="CCEEFF"/>
            <w:tcMar>
              <w:top w:w="30" w:type="dxa"/>
              <w:left w:w="20" w:type="dxa"/>
              <w:bottom w:w="30" w:type="dxa"/>
              <w:right w:w="20" w:type="dxa"/>
            </w:tcMar>
            <w:vAlign w:val="center"/>
            <w:hideMark/>
          </w:tcPr>
          <w:p w14:paraId="63A14447" w14:textId="77777777" w:rsidR="00000000" w:rsidRDefault="00A173A8">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3CC53E5F"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F68F89"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EED707C" w14:textId="77777777" w:rsidR="00000000" w:rsidRDefault="00A173A8">
            <w:pPr>
              <w:spacing w:after="100"/>
              <w:jc w:val="right"/>
              <w:rPr>
                <w:rFonts w:eastAsia="Times New Roman"/>
              </w:rPr>
            </w:pPr>
            <w:r>
              <w:rPr>
                <w:rFonts w:eastAsia="Times New Roman"/>
                <w:b/>
                <w:bCs/>
                <w:color w:val="000000"/>
                <w:sz w:val="20"/>
                <w:szCs w:val="20"/>
              </w:rPr>
              <w:t>1,491</w:t>
            </w:r>
          </w:p>
        </w:tc>
        <w:tc>
          <w:tcPr>
            <w:tcW w:w="0" w:type="auto"/>
            <w:gridSpan w:val="3"/>
            <w:shd w:val="clear" w:color="auto" w:fill="CCEEFF"/>
            <w:tcMar>
              <w:top w:w="0" w:type="dxa"/>
              <w:left w:w="20" w:type="dxa"/>
              <w:bottom w:w="0" w:type="dxa"/>
              <w:right w:w="20" w:type="dxa"/>
            </w:tcMar>
            <w:vAlign w:val="center"/>
            <w:hideMark/>
          </w:tcPr>
          <w:p w14:paraId="4601064F"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5BE68F"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A8B7F7" w14:textId="77777777" w:rsidR="00000000" w:rsidRDefault="00A173A8">
            <w:pPr>
              <w:spacing w:after="100"/>
              <w:jc w:val="right"/>
              <w:rPr>
                <w:rFonts w:eastAsia="Times New Roman"/>
              </w:rPr>
            </w:pPr>
            <w:r>
              <w:rPr>
                <w:rFonts w:eastAsia="Times New Roman"/>
                <w:color w:val="000000"/>
                <w:sz w:val="20"/>
                <w:szCs w:val="20"/>
              </w:rPr>
              <w:t>2,170 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A66B8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7E9F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5887EB" w14:textId="77777777" w:rsidR="00000000" w:rsidRDefault="00A173A8">
            <w:pPr>
              <w:spacing w:after="100"/>
              <w:jc w:val="right"/>
              <w:rPr>
                <w:rFonts w:eastAsia="Times New Roman"/>
              </w:rPr>
            </w:pPr>
            <w:r>
              <w:rPr>
                <w:rFonts w:eastAsia="Times New Roman"/>
                <w:color w:val="000000"/>
                <w:sz w:val="20"/>
                <w:szCs w:val="20"/>
              </w:rPr>
              <w:t>(31)</w:t>
            </w:r>
          </w:p>
        </w:tc>
        <w:tc>
          <w:tcPr>
            <w:tcW w:w="0" w:type="auto"/>
            <w:shd w:val="clear" w:color="auto" w:fill="CCEEFF"/>
            <w:tcMar>
              <w:top w:w="30" w:type="dxa"/>
              <w:left w:w="0" w:type="dxa"/>
              <w:bottom w:w="30" w:type="dxa"/>
              <w:right w:w="20" w:type="dxa"/>
            </w:tcMar>
            <w:vAlign w:val="bottom"/>
            <w:hideMark/>
          </w:tcPr>
          <w:p w14:paraId="286329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09E2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FF9BB3"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050CF4" w14:textId="77777777" w:rsidR="00000000" w:rsidRDefault="00A173A8">
            <w:pPr>
              <w:spacing w:after="100"/>
              <w:jc w:val="right"/>
              <w:rPr>
                <w:rFonts w:eastAsia="Times New Roman"/>
              </w:rPr>
            </w:pPr>
            <w:r>
              <w:rPr>
                <w:rFonts w:eastAsia="Times New Roman"/>
                <w:b/>
                <w:bCs/>
                <w:color w:val="000000"/>
                <w:sz w:val="20"/>
                <w:szCs w:val="20"/>
              </w:rPr>
              <w:t>2,991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CEA7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C632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436F0F"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0086147" w14:textId="77777777" w:rsidR="00000000" w:rsidRDefault="00A173A8">
            <w:pPr>
              <w:spacing w:after="100"/>
              <w:jc w:val="right"/>
              <w:rPr>
                <w:rFonts w:eastAsia="Times New Roman"/>
              </w:rPr>
            </w:pPr>
            <w:r>
              <w:rPr>
                <w:rFonts w:eastAsia="Times New Roman"/>
                <w:color w:val="000000"/>
                <w:sz w:val="20"/>
                <w:szCs w:val="20"/>
              </w:rPr>
              <w:t>4,275</w:t>
            </w:r>
          </w:p>
        </w:tc>
        <w:tc>
          <w:tcPr>
            <w:tcW w:w="0" w:type="auto"/>
            <w:vAlign w:val="center"/>
            <w:hideMark/>
          </w:tcPr>
          <w:p w14:paraId="5C889790" w14:textId="77777777" w:rsidR="00000000" w:rsidRDefault="00A173A8">
            <w:pPr>
              <w:spacing w:after="100"/>
              <w:jc w:val="right"/>
              <w:rPr>
                <w:rFonts w:eastAsia="Times New Roman"/>
              </w:rPr>
            </w:pPr>
          </w:p>
        </w:tc>
        <w:tc>
          <w:tcPr>
            <w:tcW w:w="0" w:type="auto"/>
            <w:vAlign w:val="center"/>
            <w:hideMark/>
          </w:tcPr>
          <w:p w14:paraId="7F2B670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1D28E0"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B5FA68" w14:textId="77777777" w:rsidR="00000000" w:rsidRDefault="00A173A8">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14:paraId="4C544A3D" w14:textId="77777777" w:rsidR="00000000" w:rsidRDefault="00A173A8">
            <w:pPr>
              <w:spacing w:after="100"/>
              <w:jc w:val="right"/>
              <w:rPr>
                <w:rFonts w:eastAsia="Times New Roman"/>
              </w:rPr>
            </w:pPr>
          </w:p>
        </w:tc>
        <w:tc>
          <w:tcPr>
            <w:tcW w:w="0" w:type="auto"/>
            <w:gridSpan w:val="3"/>
            <w:vAlign w:val="center"/>
            <w:hideMark/>
          </w:tcPr>
          <w:p w14:paraId="58B0D38F" w14:textId="77777777" w:rsidR="00000000" w:rsidRDefault="00A173A8">
            <w:pPr>
              <w:spacing w:after="100"/>
              <w:jc w:val="right"/>
              <w:rPr>
                <w:rFonts w:eastAsia="Times New Roman"/>
                <w:sz w:val="20"/>
                <w:szCs w:val="20"/>
              </w:rPr>
            </w:pPr>
          </w:p>
        </w:tc>
        <w:tc>
          <w:tcPr>
            <w:tcW w:w="0" w:type="auto"/>
            <w:gridSpan w:val="3"/>
            <w:vAlign w:val="center"/>
            <w:hideMark/>
          </w:tcPr>
          <w:p w14:paraId="12B10725" w14:textId="77777777" w:rsidR="00000000" w:rsidRDefault="00A173A8">
            <w:pPr>
              <w:spacing w:after="100"/>
              <w:rPr>
                <w:rFonts w:eastAsia="Times New Roman"/>
                <w:sz w:val="20"/>
                <w:szCs w:val="20"/>
              </w:rPr>
            </w:pPr>
          </w:p>
        </w:tc>
      </w:tr>
      <w:tr w:rsidR="00000000" w14:paraId="54FC2C6E" w14:textId="77777777">
        <w:trPr>
          <w:divId w:val="413861997"/>
        </w:trPr>
        <w:tc>
          <w:tcPr>
            <w:tcW w:w="0" w:type="auto"/>
            <w:gridSpan w:val="3"/>
            <w:shd w:val="clear" w:color="auto" w:fill="FFFFFF"/>
            <w:tcMar>
              <w:top w:w="30" w:type="dxa"/>
              <w:left w:w="20" w:type="dxa"/>
              <w:bottom w:w="30" w:type="dxa"/>
              <w:right w:w="20" w:type="dxa"/>
            </w:tcMar>
            <w:vAlign w:val="center"/>
            <w:hideMark/>
          </w:tcPr>
          <w:p w14:paraId="3D2599F1" w14:textId="77777777" w:rsidR="00000000" w:rsidRDefault="00A173A8">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14:paraId="668F8771"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B4BF28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A44E9C"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686C2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0AA1F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F51DC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8373D1"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FEF8A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9730A9"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6328A33" w14:textId="77777777" w:rsidR="00000000" w:rsidRDefault="00A173A8">
            <w:pPr>
              <w:spacing w:after="100"/>
              <w:rPr>
                <w:rFonts w:eastAsia="Times New Roman"/>
                <w:sz w:val="20"/>
                <w:szCs w:val="20"/>
              </w:rPr>
            </w:pPr>
          </w:p>
        </w:tc>
        <w:tc>
          <w:tcPr>
            <w:tcW w:w="0" w:type="auto"/>
            <w:vAlign w:val="center"/>
            <w:hideMark/>
          </w:tcPr>
          <w:p w14:paraId="6BECB951" w14:textId="77777777" w:rsidR="00000000" w:rsidRDefault="00A173A8">
            <w:pPr>
              <w:spacing w:after="100"/>
              <w:rPr>
                <w:rFonts w:eastAsia="Times New Roman"/>
                <w:sz w:val="20"/>
                <w:szCs w:val="20"/>
              </w:rPr>
            </w:pPr>
          </w:p>
        </w:tc>
        <w:tc>
          <w:tcPr>
            <w:tcW w:w="0" w:type="auto"/>
            <w:vAlign w:val="center"/>
            <w:hideMark/>
          </w:tcPr>
          <w:p w14:paraId="738E3CC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BD9A5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D700E7" w14:textId="77777777" w:rsidR="00000000" w:rsidRDefault="00A173A8">
            <w:pPr>
              <w:spacing w:after="100"/>
              <w:rPr>
                <w:rFonts w:eastAsia="Times New Roman"/>
                <w:sz w:val="20"/>
                <w:szCs w:val="20"/>
              </w:rPr>
            </w:pPr>
          </w:p>
        </w:tc>
        <w:tc>
          <w:tcPr>
            <w:tcW w:w="0" w:type="auto"/>
            <w:gridSpan w:val="3"/>
            <w:vAlign w:val="center"/>
            <w:hideMark/>
          </w:tcPr>
          <w:p w14:paraId="094A7D15" w14:textId="77777777" w:rsidR="00000000" w:rsidRDefault="00A173A8">
            <w:pPr>
              <w:spacing w:after="100"/>
              <w:rPr>
                <w:rFonts w:eastAsia="Times New Roman"/>
                <w:sz w:val="20"/>
                <w:szCs w:val="20"/>
              </w:rPr>
            </w:pPr>
          </w:p>
        </w:tc>
        <w:tc>
          <w:tcPr>
            <w:tcW w:w="0" w:type="auto"/>
            <w:gridSpan w:val="3"/>
            <w:vAlign w:val="center"/>
            <w:hideMark/>
          </w:tcPr>
          <w:p w14:paraId="09AD35F8" w14:textId="77777777" w:rsidR="00000000" w:rsidRDefault="00A173A8">
            <w:pPr>
              <w:spacing w:after="100"/>
              <w:rPr>
                <w:rFonts w:eastAsia="Times New Roman"/>
                <w:sz w:val="20"/>
                <w:szCs w:val="20"/>
              </w:rPr>
            </w:pPr>
          </w:p>
        </w:tc>
      </w:tr>
      <w:tr w:rsidR="00000000" w14:paraId="65A469B4" w14:textId="77777777">
        <w:trPr>
          <w:divId w:val="413861997"/>
        </w:trPr>
        <w:tc>
          <w:tcPr>
            <w:tcW w:w="0" w:type="auto"/>
            <w:gridSpan w:val="3"/>
            <w:shd w:val="clear" w:color="auto" w:fill="CCEEFF"/>
            <w:tcMar>
              <w:top w:w="30" w:type="dxa"/>
              <w:left w:w="20" w:type="dxa"/>
              <w:bottom w:w="30" w:type="dxa"/>
              <w:right w:w="20" w:type="dxa"/>
            </w:tcMar>
            <w:vAlign w:val="center"/>
            <w:hideMark/>
          </w:tcPr>
          <w:p w14:paraId="694160C9" w14:textId="77777777" w:rsidR="00000000" w:rsidRDefault="00A173A8">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14:paraId="0C2ADD48"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377D9F6"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7F1A529" w14:textId="77777777" w:rsidR="00000000" w:rsidRDefault="00A173A8">
            <w:pPr>
              <w:spacing w:after="100"/>
              <w:jc w:val="right"/>
              <w:rPr>
                <w:rFonts w:eastAsia="Times New Roman"/>
              </w:rPr>
            </w:pPr>
            <w:r>
              <w:rPr>
                <w:rFonts w:eastAsia="Times New Roman"/>
                <w:b/>
                <w:bCs/>
                <w:color w:val="000000"/>
                <w:sz w:val="20"/>
                <w:szCs w:val="20"/>
              </w:rPr>
              <w:t>115,835</w:t>
            </w:r>
          </w:p>
        </w:tc>
        <w:tc>
          <w:tcPr>
            <w:tcW w:w="0" w:type="auto"/>
            <w:gridSpan w:val="3"/>
            <w:shd w:val="clear" w:color="auto" w:fill="CCEEFF"/>
            <w:tcMar>
              <w:top w:w="0" w:type="dxa"/>
              <w:left w:w="20" w:type="dxa"/>
              <w:bottom w:w="0" w:type="dxa"/>
              <w:right w:w="20" w:type="dxa"/>
            </w:tcMar>
            <w:vAlign w:val="center"/>
            <w:hideMark/>
          </w:tcPr>
          <w:p w14:paraId="5C59D3DC"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D218113"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0961B429" w14:textId="77777777" w:rsidR="00000000" w:rsidRDefault="00A173A8">
            <w:pPr>
              <w:spacing w:after="100"/>
              <w:jc w:val="right"/>
              <w:rPr>
                <w:rFonts w:eastAsia="Times New Roman"/>
              </w:rPr>
            </w:pPr>
            <w:r>
              <w:rPr>
                <w:rFonts w:eastAsia="Times New Roman"/>
                <w:color w:val="000000"/>
                <w:sz w:val="20"/>
                <w:szCs w:val="20"/>
              </w:rPr>
              <w:t>99,674</w:t>
            </w:r>
          </w:p>
        </w:tc>
        <w:tc>
          <w:tcPr>
            <w:tcW w:w="0" w:type="auto"/>
            <w:gridSpan w:val="3"/>
            <w:shd w:val="clear" w:color="auto" w:fill="CCEEFF"/>
            <w:tcMar>
              <w:top w:w="0" w:type="dxa"/>
              <w:left w:w="20" w:type="dxa"/>
              <w:bottom w:w="0" w:type="dxa"/>
              <w:right w:w="20" w:type="dxa"/>
            </w:tcMar>
            <w:vAlign w:val="center"/>
            <w:hideMark/>
          </w:tcPr>
          <w:p w14:paraId="04493EEC"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FF95CA" w14:textId="77777777" w:rsidR="00000000" w:rsidRDefault="00A173A8">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502226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54859"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256BCE"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62A57FC5" w14:textId="77777777" w:rsidR="00000000" w:rsidRDefault="00A173A8">
            <w:pPr>
              <w:spacing w:after="100"/>
              <w:jc w:val="right"/>
              <w:rPr>
                <w:rFonts w:eastAsia="Times New Roman"/>
              </w:rPr>
            </w:pPr>
            <w:r>
              <w:rPr>
                <w:rFonts w:eastAsia="Times New Roman"/>
                <w:b/>
                <w:bCs/>
                <w:color w:val="000000"/>
                <w:sz w:val="20"/>
                <w:szCs w:val="20"/>
              </w:rPr>
              <w:t>113,670</w:t>
            </w:r>
          </w:p>
        </w:tc>
        <w:tc>
          <w:tcPr>
            <w:tcW w:w="0" w:type="auto"/>
            <w:gridSpan w:val="3"/>
            <w:shd w:val="clear" w:color="auto" w:fill="CCEEFF"/>
            <w:tcMar>
              <w:top w:w="0" w:type="dxa"/>
              <w:left w:w="20" w:type="dxa"/>
              <w:bottom w:w="0" w:type="dxa"/>
              <w:right w:w="20" w:type="dxa"/>
            </w:tcMar>
            <w:vAlign w:val="center"/>
            <w:hideMark/>
          </w:tcPr>
          <w:p w14:paraId="0223A2C7"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C286996"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2567694D" w14:textId="77777777" w:rsidR="00000000" w:rsidRDefault="00A173A8">
            <w:pPr>
              <w:spacing w:after="100"/>
              <w:jc w:val="right"/>
              <w:rPr>
                <w:rFonts w:eastAsia="Times New Roman"/>
              </w:rPr>
            </w:pPr>
            <w:r>
              <w:rPr>
                <w:rFonts w:eastAsia="Times New Roman"/>
                <w:color w:val="000000"/>
                <w:sz w:val="20"/>
                <w:szCs w:val="20"/>
              </w:rPr>
              <w:t>100,102</w:t>
            </w:r>
          </w:p>
        </w:tc>
        <w:tc>
          <w:tcPr>
            <w:tcW w:w="0" w:type="auto"/>
            <w:vAlign w:val="center"/>
            <w:hideMark/>
          </w:tcPr>
          <w:p w14:paraId="0B3F763C" w14:textId="77777777" w:rsidR="00000000" w:rsidRDefault="00A173A8">
            <w:pPr>
              <w:spacing w:after="100"/>
              <w:jc w:val="right"/>
              <w:rPr>
                <w:rFonts w:eastAsia="Times New Roman"/>
              </w:rPr>
            </w:pPr>
          </w:p>
        </w:tc>
        <w:tc>
          <w:tcPr>
            <w:tcW w:w="0" w:type="auto"/>
            <w:vAlign w:val="center"/>
            <w:hideMark/>
          </w:tcPr>
          <w:p w14:paraId="1CA7854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B1F34D"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CFB561" w14:textId="77777777" w:rsidR="00000000" w:rsidRDefault="00A173A8">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756E0CFF" w14:textId="77777777" w:rsidR="00000000" w:rsidRDefault="00A173A8">
            <w:pPr>
              <w:spacing w:after="100"/>
              <w:jc w:val="right"/>
              <w:rPr>
                <w:rFonts w:eastAsia="Times New Roman"/>
              </w:rPr>
            </w:pPr>
          </w:p>
        </w:tc>
        <w:tc>
          <w:tcPr>
            <w:tcW w:w="0" w:type="auto"/>
            <w:gridSpan w:val="3"/>
            <w:vAlign w:val="center"/>
            <w:hideMark/>
          </w:tcPr>
          <w:p w14:paraId="19F58CC6" w14:textId="77777777" w:rsidR="00000000" w:rsidRDefault="00A173A8">
            <w:pPr>
              <w:spacing w:after="100"/>
              <w:jc w:val="right"/>
              <w:rPr>
                <w:rFonts w:eastAsia="Times New Roman"/>
                <w:sz w:val="20"/>
                <w:szCs w:val="20"/>
              </w:rPr>
            </w:pPr>
          </w:p>
        </w:tc>
        <w:tc>
          <w:tcPr>
            <w:tcW w:w="0" w:type="auto"/>
            <w:gridSpan w:val="3"/>
            <w:vAlign w:val="center"/>
            <w:hideMark/>
          </w:tcPr>
          <w:p w14:paraId="7C265554" w14:textId="77777777" w:rsidR="00000000" w:rsidRDefault="00A173A8">
            <w:pPr>
              <w:spacing w:after="100"/>
              <w:rPr>
                <w:rFonts w:eastAsia="Times New Roman"/>
                <w:sz w:val="20"/>
                <w:szCs w:val="20"/>
              </w:rPr>
            </w:pPr>
          </w:p>
        </w:tc>
      </w:tr>
      <w:tr w:rsidR="00000000" w14:paraId="288B1D68" w14:textId="77777777">
        <w:trPr>
          <w:divId w:val="413861997"/>
        </w:trPr>
        <w:tc>
          <w:tcPr>
            <w:tcW w:w="0" w:type="auto"/>
            <w:gridSpan w:val="3"/>
            <w:shd w:val="clear" w:color="auto" w:fill="FFFFFF"/>
            <w:tcMar>
              <w:top w:w="30" w:type="dxa"/>
              <w:left w:w="20" w:type="dxa"/>
              <w:bottom w:w="30" w:type="dxa"/>
              <w:right w:w="20" w:type="dxa"/>
            </w:tcMar>
            <w:vAlign w:val="center"/>
            <w:hideMark/>
          </w:tcPr>
          <w:p w14:paraId="6F7817B2" w14:textId="77777777" w:rsidR="00000000" w:rsidRDefault="00A173A8">
            <w:pPr>
              <w:spacing w:after="100"/>
              <w:divId w:val="1741169163"/>
              <w:rPr>
                <w:rFonts w:eastAsia="Times New Roman"/>
              </w:rPr>
            </w:pPr>
            <w:r>
              <w:rPr>
                <w:rFonts w:eastAsia="Times New Roman"/>
                <w:color w:val="000000"/>
                <w:sz w:val="20"/>
                <w:szCs w:val="20"/>
              </w:rPr>
              <w:t>Average yield on loan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D320AC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D4BC6D" w14:textId="77777777" w:rsidR="00000000" w:rsidRDefault="00A173A8">
            <w:pPr>
              <w:spacing w:after="100"/>
              <w:jc w:val="right"/>
              <w:rPr>
                <w:rFonts w:eastAsia="Times New Roman"/>
              </w:rPr>
            </w:pPr>
            <w:r>
              <w:rPr>
                <w:rFonts w:eastAsia="Times New Roman"/>
                <w:b/>
                <w:bCs/>
                <w:color w:val="000000"/>
                <w:sz w:val="20"/>
                <w:szCs w:val="20"/>
              </w:rPr>
              <w:t>15.24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34D81BC"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F76BE7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976E6A2" w14:textId="77777777" w:rsidR="00000000" w:rsidRDefault="00A173A8">
            <w:pPr>
              <w:spacing w:after="100"/>
              <w:jc w:val="right"/>
              <w:rPr>
                <w:rFonts w:eastAsia="Times New Roman"/>
              </w:rPr>
            </w:pPr>
            <w:r>
              <w:rPr>
                <w:rFonts w:eastAsia="Times New Roman"/>
                <w:color w:val="000000"/>
                <w:sz w:val="20"/>
                <w:szCs w:val="20"/>
              </w:rPr>
              <w:t>14.04 </w:t>
            </w:r>
          </w:p>
        </w:tc>
        <w:tc>
          <w:tcPr>
            <w:tcW w:w="0" w:type="auto"/>
            <w:shd w:val="clear" w:color="auto" w:fill="FFFFFF"/>
            <w:tcMar>
              <w:top w:w="30" w:type="dxa"/>
              <w:left w:w="0" w:type="dxa"/>
              <w:bottom w:w="30" w:type="dxa"/>
              <w:right w:w="20" w:type="dxa"/>
            </w:tcMar>
            <w:vAlign w:val="bottom"/>
            <w:hideMark/>
          </w:tcPr>
          <w:p w14:paraId="017A8CD4"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579486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DC6C45" w14:textId="77777777" w:rsidR="00000000" w:rsidRDefault="00A173A8">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14:paraId="2B325CDF"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shd w:val="clear" w:color="auto" w:fill="FFFFFF"/>
            <w:tcMar>
              <w:top w:w="0" w:type="dxa"/>
              <w:left w:w="20" w:type="dxa"/>
              <w:bottom w:w="0" w:type="dxa"/>
              <w:right w:w="20" w:type="dxa"/>
            </w:tcMar>
            <w:vAlign w:val="center"/>
            <w:hideMark/>
          </w:tcPr>
          <w:p w14:paraId="4621ADA1"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0ED26E" w14:textId="77777777" w:rsidR="00000000" w:rsidRDefault="00A173A8">
            <w:pPr>
              <w:spacing w:after="100"/>
              <w:jc w:val="right"/>
              <w:rPr>
                <w:rFonts w:eastAsia="Times New Roman"/>
              </w:rPr>
            </w:pPr>
            <w:r>
              <w:rPr>
                <w:rFonts w:eastAsia="Times New Roman"/>
                <w:b/>
                <w:bCs/>
                <w:color w:val="000000"/>
                <w:sz w:val="20"/>
                <w:szCs w:val="20"/>
              </w:rPr>
              <w:t>15.11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AB90BD"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4DC8723"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B3939E2" w14:textId="77777777" w:rsidR="00000000" w:rsidRDefault="00A173A8">
            <w:pPr>
              <w:spacing w:after="100"/>
              <w:jc w:val="right"/>
              <w:rPr>
                <w:rFonts w:eastAsia="Times New Roman"/>
              </w:rPr>
            </w:pPr>
            <w:r>
              <w:rPr>
                <w:rFonts w:eastAsia="Times New Roman"/>
                <w:color w:val="000000"/>
                <w:sz w:val="20"/>
                <w:szCs w:val="20"/>
              </w:rPr>
              <w:t>14.26%</w:t>
            </w:r>
          </w:p>
        </w:tc>
        <w:tc>
          <w:tcPr>
            <w:tcW w:w="0" w:type="auto"/>
            <w:vAlign w:val="center"/>
            <w:hideMark/>
          </w:tcPr>
          <w:p w14:paraId="6D6E69CB" w14:textId="77777777" w:rsidR="00000000" w:rsidRDefault="00A173A8">
            <w:pPr>
              <w:spacing w:after="100"/>
              <w:jc w:val="right"/>
              <w:rPr>
                <w:rFonts w:eastAsia="Times New Roman"/>
              </w:rPr>
            </w:pPr>
          </w:p>
        </w:tc>
        <w:tc>
          <w:tcPr>
            <w:tcW w:w="0" w:type="auto"/>
            <w:vAlign w:val="center"/>
            <w:hideMark/>
          </w:tcPr>
          <w:p w14:paraId="3FDD70A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37A3B1"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8F7BCA" w14:textId="77777777" w:rsidR="00000000" w:rsidRDefault="00A173A8">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14:paraId="7D8CE0F3"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209ED20D" w14:textId="77777777" w:rsidR="00000000" w:rsidRDefault="00A173A8">
            <w:pPr>
              <w:spacing w:after="100"/>
              <w:jc w:val="right"/>
              <w:rPr>
                <w:rFonts w:eastAsia="Times New Roman"/>
              </w:rPr>
            </w:pPr>
          </w:p>
        </w:tc>
        <w:tc>
          <w:tcPr>
            <w:tcW w:w="0" w:type="auto"/>
            <w:gridSpan w:val="3"/>
            <w:vAlign w:val="center"/>
            <w:hideMark/>
          </w:tcPr>
          <w:p w14:paraId="07ECF54C" w14:textId="77777777" w:rsidR="00000000" w:rsidRDefault="00A173A8">
            <w:pPr>
              <w:spacing w:after="100"/>
              <w:rPr>
                <w:rFonts w:eastAsia="Times New Roman"/>
                <w:sz w:val="20"/>
                <w:szCs w:val="20"/>
              </w:rPr>
            </w:pPr>
          </w:p>
        </w:tc>
      </w:tr>
      <w:tr w:rsidR="00000000" w14:paraId="2A994C39" w14:textId="77777777">
        <w:trPr>
          <w:divId w:val="413861997"/>
        </w:trPr>
        <w:tc>
          <w:tcPr>
            <w:tcW w:w="0" w:type="auto"/>
            <w:gridSpan w:val="3"/>
            <w:shd w:val="clear" w:color="auto" w:fill="CCEEFF"/>
            <w:tcMar>
              <w:top w:w="30" w:type="dxa"/>
              <w:left w:w="20" w:type="dxa"/>
              <w:bottom w:w="30" w:type="dxa"/>
              <w:right w:w="20" w:type="dxa"/>
            </w:tcMar>
            <w:vAlign w:val="center"/>
            <w:hideMark/>
          </w:tcPr>
          <w:p w14:paraId="7BF3EC7B" w14:textId="77777777" w:rsidR="00000000" w:rsidRDefault="00A173A8">
            <w:pPr>
              <w:spacing w:after="100"/>
              <w:divId w:val="386491643"/>
              <w:rPr>
                <w:rFonts w:eastAsia="Times New Roman"/>
              </w:rPr>
            </w:pPr>
            <w:r>
              <w:rPr>
                <w:rFonts w:eastAsia="Times New Roman"/>
                <w:color w:val="000000"/>
                <w:sz w:val="20"/>
                <w:szCs w:val="20"/>
              </w:rPr>
              <w:t>Total net revenue margi</w:t>
            </w:r>
            <w:r>
              <w:rPr>
                <w:rFonts w:eastAsia="Times New Roman"/>
                <w:color w:val="000000"/>
                <w:sz w:val="20"/>
                <w:szCs w:val="20"/>
              </w:rPr>
              <w:t>n</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7C4126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02226E" w14:textId="77777777" w:rsidR="00000000" w:rsidRDefault="00A173A8">
            <w:pPr>
              <w:spacing w:after="100"/>
              <w:jc w:val="right"/>
              <w:rPr>
                <w:rFonts w:eastAsia="Times New Roman"/>
              </w:rPr>
            </w:pPr>
            <w:r>
              <w:rPr>
                <w:rFonts w:eastAsia="Times New Roman"/>
                <w:b/>
                <w:bCs/>
                <w:color w:val="000000"/>
                <w:sz w:val="20"/>
                <w:szCs w:val="20"/>
              </w:rPr>
              <w:t>18.33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EF8D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1F7B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298D5C" w14:textId="77777777" w:rsidR="00000000" w:rsidRDefault="00A173A8">
            <w:pPr>
              <w:spacing w:after="100"/>
              <w:jc w:val="right"/>
              <w:rPr>
                <w:rFonts w:eastAsia="Times New Roman"/>
              </w:rPr>
            </w:pPr>
            <w:r>
              <w:rPr>
                <w:rFonts w:eastAsia="Times New Roman"/>
                <w:color w:val="000000"/>
                <w:sz w:val="20"/>
                <w:szCs w:val="20"/>
              </w:rPr>
              <w:t>17.59 </w:t>
            </w:r>
          </w:p>
        </w:tc>
        <w:tc>
          <w:tcPr>
            <w:tcW w:w="0" w:type="auto"/>
            <w:shd w:val="clear" w:color="auto" w:fill="CCEEFF"/>
            <w:tcMar>
              <w:top w:w="30" w:type="dxa"/>
              <w:left w:w="0" w:type="dxa"/>
              <w:bottom w:w="30" w:type="dxa"/>
              <w:right w:w="20" w:type="dxa"/>
            </w:tcMar>
            <w:vAlign w:val="bottom"/>
            <w:hideMark/>
          </w:tcPr>
          <w:p w14:paraId="7C20E6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135E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BDDD53" w14:textId="77777777" w:rsidR="00000000" w:rsidRDefault="00A173A8">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14:paraId="6BE07D0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29B1D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986158" w14:textId="77777777" w:rsidR="00000000" w:rsidRDefault="00A173A8">
            <w:pPr>
              <w:spacing w:after="100"/>
              <w:jc w:val="right"/>
              <w:rPr>
                <w:rFonts w:eastAsia="Times New Roman"/>
              </w:rPr>
            </w:pPr>
            <w:r>
              <w:rPr>
                <w:rFonts w:eastAsia="Times New Roman"/>
                <w:b/>
                <w:bCs/>
                <w:color w:val="000000"/>
                <w:sz w:val="20"/>
                <w:szCs w:val="20"/>
              </w:rPr>
              <w:t>18.44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DB37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AFF62"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6542CD1" w14:textId="77777777" w:rsidR="00000000" w:rsidRDefault="00A173A8">
            <w:pPr>
              <w:spacing w:after="100"/>
              <w:jc w:val="right"/>
              <w:rPr>
                <w:rFonts w:eastAsia="Times New Roman"/>
              </w:rPr>
            </w:pPr>
            <w:r>
              <w:rPr>
                <w:rFonts w:eastAsia="Times New Roman"/>
                <w:color w:val="000000"/>
                <w:sz w:val="20"/>
                <w:szCs w:val="20"/>
              </w:rPr>
              <w:t>17.38</w:t>
            </w:r>
          </w:p>
        </w:tc>
        <w:tc>
          <w:tcPr>
            <w:tcW w:w="0" w:type="auto"/>
            <w:vAlign w:val="center"/>
            <w:hideMark/>
          </w:tcPr>
          <w:p w14:paraId="06481C14" w14:textId="77777777" w:rsidR="00000000" w:rsidRDefault="00A173A8">
            <w:pPr>
              <w:spacing w:after="100"/>
              <w:jc w:val="right"/>
              <w:rPr>
                <w:rFonts w:eastAsia="Times New Roman"/>
              </w:rPr>
            </w:pPr>
          </w:p>
        </w:tc>
        <w:tc>
          <w:tcPr>
            <w:tcW w:w="0" w:type="auto"/>
            <w:vAlign w:val="center"/>
            <w:hideMark/>
          </w:tcPr>
          <w:p w14:paraId="1769F00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2AF2D2"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B242CC" w14:textId="77777777" w:rsidR="00000000" w:rsidRDefault="00A173A8">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14:paraId="79B96426" w14:textId="77777777" w:rsidR="00000000" w:rsidRDefault="00A173A8">
            <w:pPr>
              <w:spacing w:after="100"/>
              <w:jc w:val="right"/>
              <w:rPr>
                <w:rFonts w:eastAsia="Times New Roman"/>
              </w:rPr>
            </w:pPr>
          </w:p>
        </w:tc>
        <w:tc>
          <w:tcPr>
            <w:tcW w:w="0" w:type="auto"/>
            <w:gridSpan w:val="3"/>
            <w:vAlign w:val="center"/>
            <w:hideMark/>
          </w:tcPr>
          <w:p w14:paraId="5843F00D" w14:textId="77777777" w:rsidR="00000000" w:rsidRDefault="00A173A8">
            <w:pPr>
              <w:spacing w:after="100"/>
              <w:jc w:val="right"/>
              <w:rPr>
                <w:rFonts w:eastAsia="Times New Roman"/>
                <w:sz w:val="20"/>
                <w:szCs w:val="20"/>
              </w:rPr>
            </w:pPr>
          </w:p>
        </w:tc>
        <w:tc>
          <w:tcPr>
            <w:tcW w:w="0" w:type="auto"/>
            <w:gridSpan w:val="3"/>
            <w:vAlign w:val="center"/>
            <w:hideMark/>
          </w:tcPr>
          <w:p w14:paraId="415D1271" w14:textId="77777777" w:rsidR="00000000" w:rsidRDefault="00A173A8">
            <w:pPr>
              <w:spacing w:after="100"/>
              <w:rPr>
                <w:rFonts w:eastAsia="Times New Roman"/>
                <w:sz w:val="20"/>
                <w:szCs w:val="20"/>
              </w:rPr>
            </w:pPr>
          </w:p>
        </w:tc>
      </w:tr>
      <w:tr w:rsidR="00000000" w14:paraId="37B9D0DA" w14:textId="77777777">
        <w:trPr>
          <w:divId w:val="413861997"/>
        </w:trPr>
        <w:tc>
          <w:tcPr>
            <w:tcW w:w="0" w:type="auto"/>
            <w:gridSpan w:val="3"/>
            <w:shd w:val="clear" w:color="auto" w:fill="FFFFFF"/>
            <w:tcMar>
              <w:top w:w="30" w:type="dxa"/>
              <w:left w:w="20" w:type="dxa"/>
              <w:bottom w:w="30" w:type="dxa"/>
              <w:right w:w="20" w:type="dxa"/>
            </w:tcMar>
            <w:vAlign w:val="center"/>
            <w:hideMark/>
          </w:tcPr>
          <w:p w14:paraId="560DF202" w14:textId="77777777" w:rsidR="00000000" w:rsidRDefault="00A173A8">
            <w:pPr>
              <w:spacing w:after="100"/>
              <w:rPr>
                <w:rFonts w:eastAsia="Times New Roman"/>
              </w:rPr>
            </w:pPr>
            <w:r>
              <w:rPr>
                <w:rFonts w:eastAsia="Times New Roman"/>
                <w:color w:val="000000"/>
                <w:sz w:val="20"/>
                <w:szCs w:val="20"/>
              </w:rPr>
              <w:t>Net charge-offs</w:t>
            </w:r>
          </w:p>
        </w:tc>
        <w:tc>
          <w:tcPr>
            <w:tcW w:w="0" w:type="auto"/>
            <w:gridSpan w:val="3"/>
            <w:shd w:val="clear" w:color="auto" w:fill="FFFFFF"/>
            <w:tcMar>
              <w:top w:w="0" w:type="dxa"/>
              <w:left w:w="20" w:type="dxa"/>
              <w:bottom w:w="0" w:type="dxa"/>
              <w:right w:w="20" w:type="dxa"/>
            </w:tcMar>
            <w:vAlign w:val="center"/>
            <w:hideMark/>
          </w:tcPr>
          <w:p w14:paraId="700A259E"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0521802"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86FD712" w14:textId="77777777" w:rsidR="00000000" w:rsidRDefault="00A173A8">
            <w:pPr>
              <w:spacing w:after="100"/>
              <w:jc w:val="right"/>
              <w:rPr>
                <w:rFonts w:eastAsia="Times New Roman"/>
              </w:rPr>
            </w:pPr>
            <w:r>
              <w:rPr>
                <w:rFonts w:eastAsia="Times New Roman"/>
                <w:b/>
                <w:bCs/>
                <w:color w:val="000000"/>
                <w:sz w:val="20"/>
                <w:szCs w:val="20"/>
              </w:rPr>
              <w:t>678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9ABF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8FCC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F747FA"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90ECD4" w14:textId="77777777" w:rsidR="00000000" w:rsidRDefault="00A173A8">
            <w:pPr>
              <w:spacing w:after="100"/>
              <w:jc w:val="right"/>
              <w:rPr>
                <w:rFonts w:eastAsia="Times New Roman"/>
              </w:rPr>
            </w:pPr>
            <w:r>
              <w:rPr>
                <w:rFonts w:eastAsia="Times New Roman"/>
                <w:color w:val="000000"/>
                <w:sz w:val="20"/>
                <w:szCs w:val="20"/>
              </w:rPr>
              <w:t>571 </w:t>
            </w:r>
          </w:p>
        </w:tc>
        <w:tc>
          <w:tcPr>
            <w:tcW w:w="0" w:type="auto"/>
            <w:shd w:val="clear" w:color="auto" w:fill="FFFFFF"/>
            <w:tcMar>
              <w:top w:w="30" w:type="dxa"/>
              <w:left w:w="0" w:type="dxa"/>
              <w:bottom w:w="30" w:type="dxa"/>
              <w:right w:w="20" w:type="dxa"/>
            </w:tcMar>
            <w:vAlign w:val="bottom"/>
            <w:hideMark/>
          </w:tcPr>
          <w:p w14:paraId="48DA64E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5D83F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CDF0C" w14:textId="77777777" w:rsidR="00000000" w:rsidRDefault="00A173A8">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28257EF1"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183A424"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23CC294"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001AF3D" w14:textId="77777777" w:rsidR="00000000" w:rsidRDefault="00A173A8">
            <w:pPr>
              <w:spacing w:after="100"/>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BAC7A3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D9A5F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C1A744"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A3A92B4" w14:textId="77777777" w:rsidR="00000000" w:rsidRDefault="00A173A8">
            <w:pPr>
              <w:spacing w:after="100"/>
              <w:jc w:val="right"/>
              <w:rPr>
                <w:rFonts w:eastAsia="Times New Roman"/>
              </w:rPr>
            </w:pPr>
            <w:r>
              <w:rPr>
                <w:rFonts w:eastAsia="Times New Roman"/>
                <w:color w:val="000000"/>
                <w:sz w:val="20"/>
                <w:szCs w:val="20"/>
              </w:rPr>
              <w:t>1,204</w:t>
            </w:r>
          </w:p>
        </w:tc>
        <w:tc>
          <w:tcPr>
            <w:tcW w:w="0" w:type="auto"/>
            <w:vAlign w:val="center"/>
            <w:hideMark/>
          </w:tcPr>
          <w:p w14:paraId="241AC34E" w14:textId="77777777" w:rsidR="00000000" w:rsidRDefault="00A173A8">
            <w:pPr>
              <w:spacing w:after="100"/>
              <w:jc w:val="right"/>
              <w:rPr>
                <w:rFonts w:eastAsia="Times New Roman"/>
              </w:rPr>
            </w:pPr>
          </w:p>
        </w:tc>
        <w:tc>
          <w:tcPr>
            <w:tcW w:w="0" w:type="auto"/>
            <w:vAlign w:val="center"/>
            <w:hideMark/>
          </w:tcPr>
          <w:p w14:paraId="31C35ED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1AB108"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063F99" w14:textId="77777777" w:rsidR="00000000" w:rsidRDefault="00A173A8">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14:paraId="40C29332"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0395AB00" w14:textId="77777777" w:rsidR="00000000" w:rsidRDefault="00A173A8">
            <w:pPr>
              <w:spacing w:after="100"/>
              <w:jc w:val="right"/>
              <w:rPr>
                <w:rFonts w:eastAsia="Times New Roman"/>
              </w:rPr>
            </w:pPr>
          </w:p>
        </w:tc>
        <w:tc>
          <w:tcPr>
            <w:tcW w:w="0" w:type="auto"/>
            <w:gridSpan w:val="3"/>
            <w:vAlign w:val="center"/>
            <w:hideMark/>
          </w:tcPr>
          <w:p w14:paraId="1FCDDD91" w14:textId="77777777" w:rsidR="00000000" w:rsidRDefault="00A173A8">
            <w:pPr>
              <w:spacing w:after="100"/>
              <w:rPr>
                <w:rFonts w:eastAsia="Times New Roman"/>
                <w:sz w:val="20"/>
                <w:szCs w:val="20"/>
              </w:rPr>
            </w:pPr>
          </w:p>
        </w:tc>
      </w:tr>
      <w:tr w:rsidR="00000000" w14:paraId="3C1251E5" w14:textId="77777777">
        <w:trPr>
          <w:divId w:val="413861997"/>
        </w:trPr>
        <w:tc>
          <w:tcPr>
            <w:tcW w:w="0" w:type="auto"/>
            <w:gridSpan w:val="3"/>
            <w:shd w:val="clear" w:color="auto" w:fill="CCEEFF"/>
            <w:tcMar>
              <w:top w:w="30" w:type="dxa"/>
              <w:left w:w="20" w:type="dxa"/>
              <w:bottom w:w="30" w:type="dxa"/>
              <w:right w:w="20" w:type="dxa"/>
            </w:tcMar>
            <w:vAlign w:val="center"/>
            <w:hideMark/>
          </w:tcPr>
          <w:p w14:paraId="6E8E187B" w14:textId="77777777" w:rsidR="00000000" w:rsidRDefault="00A173A8">
            <w:pPr>
              <w:spacing w:after="100"/>
              <w:rPr>
                <w:rFonts w:eastAsia="Times New Roman"/>
              </w:rPr>
            </w:pPr>
            <w:r>
              <w:rPr>
                <w:rFonts w:eastAsia="Times New Roman"/>
                <w:color w:val="000000"/>
                <w:sz w:val="20"/>
                <w:szCs w:val="20"/>
              </w:rPr>
              <w:t>Net charge-off rate</w:t>
            </w:r>
          </w:p>
        </w:tc>
        <w:tc>
          <w:tcPr>
            <w:tcW w:w="0" w:type="auto"/>
            <w:gridSpan w:val="3"/>
            <w:shd w:val="clear" w:color="auto" w:fill="CCEEFF"/>
            <w:tcMar>
              <w:top w:w="0" w:type="dxa"/>
              <w:left w:w="20" w:type="dxa"/>
              <w:bottom w:w="0" w:type="dxa"/>
              <w:right w:w="20" w:type="dxa"/>
            </w:tcMar>
            <w:vAlign w:val="center"/>
            <w:hideMark/>
          </w:tcPr>
          <w:p w14:paraId="5C4E05F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48BCE9" w14:textId="77777777" w:rsidR="00000000" w:rsidRDefault="00A173A8">
            <w:pPr>
              <w:spacing w:after="100"/>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984161A"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B50CD0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D61009" w14:textId="77777777" w:rsidR="00000000" w:rsidRDefault="00A173A8">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14:paraId="2031ED3B"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666C09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F7E1C9" w14:textId="77777777" w:rsidR="00000000" w:rsidRDefault="00A173A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269DAFF1"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shd w:val="clear" w:color="auto" w:fill="CCEEFF"/>
            <w:tcMar>
              <w:top w:w="0" w:type="dxa"/>
              <w:left w:w="20" w:type="dxa"/>
              <w:bottom w:w="0" w:type="dxa"/>
              <w:right w:w="20" w:type="dxa"/>
            </w:tcMar>
            <w:vAlign w:val="center"/>
            <w:hideMark/>
          </w:tcPr>
          <w:p w14:paraId="0A7374D0"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551540" w14:textId="77777777" w:rsidR="00000000" w:rsidRDefault="00A173A8">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1CE8E0"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91ED528"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EE43C12" w14:textId="77777777" w:rsidR="00000000" w:rsidRDefault="00A173A8">
            <w:pPr>
              <w:spacing w:after="100"/>
              <w:jc w:val="right"/>
              <w:rPr>
                <w:rFonts w:eastAsia="Times New Roman"/>
              </w:rPr>
            </w:pPr>
            <w:r>
              <w:rPr>
                <w:rFonts w:eastAsia="Times New Roman"/>
                <w:color w:val="000000"/>
                <w:sz w:val="20"/>
                <w:szCs w:val="20"/>
              </w:rPr>
              <w:t>2.41%</w:t>
            </w:r>
          </w:p>
        </w:tc>
        <w:tc>
          <w:tcPr>
            <w:tcW w:w="0" w:type="auto"/>
            <w:vAlign w:val="center"/>
            <w:hideMark/>
          </w:tcPr>
          <w:p w14:paraId="64E13E87" w14:textId="77777777" w:rsidR="00000000" w:rsidRDefault="00A173A8">
            <w:pPr>
              <w:spacing w:after="100"/>
              <w:jc w:val="right"/>
              <w:rPr>
                <w:rFonts w:eastAsia="Times New Roman"/>
              </w:rPr>
            </w:pPr>
          </w:p>
        </w:tc>
        <w:tc>
          <w:tcPr>
            <w:tcW w:w="0" w:type="auto"/>
            <w:vAlign w:val="center"/>
            <w:hideMark/>
          </w:tcPr>
          <w:p w14:paraId="30289F8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7CD9C2"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BAA78A" w14:textId="77777777" w:rsidR="00000000" w:rsidRDefault="00A173A8">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14:paraId="0CBA3E97"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5FFFD815" w14:textId="77777777" w:rsidR="00000000" w:rsidRDefault="00A173A8">
            <w:pPr>
              <w:spacing w:after="100"/>
              <w:jc w:val="right"/>
              <w:rPr>
                <w:rFonts w:eastAsia="Times New Roman"/>
              </w:rPr>
            </w:pPr>
          </w:p>
        </w:tc>
        <w:tc>
          <w:tcPr>
            <w:tcW w:w="0" w:type="auto"/>
            <w:gridSpan w:val="3"/>
            <w:vAlign w:val="center"/>
            <w:hideMark/>
          </w:tcPr>
          <w:p w14:paraId="7511846D" w14:textId="77777777" w:rsidR="00000000" w:rsidRDefault="00A173A8">
            <w:pPr>
              <w:spacing w:after="100"/>
              <w:rPr>
                <w:rFonts w:eastAsia="Times New Roman"/>
                <w:sz w:val="20"/>
                <w:szCs w:val="20"/>
              </w:rPr>
            </w:pPr>
          </w:p>
        </w:tc>
      </w:tr>
      <w:tr w:rsidR="00000000" w14:paraId="2A4B656C" w14:textId="77777777">
        <w:trPr>
          <w:divId w:val="413861997"/>
        </w:trPr>
        <w:tc>
          <w:tcPr>
            <w:tcW w:w="0" w:type="auto"/>
            <w:gridSpan w:val="3"/>
            <w:shd w:val="clear" w:color="auto" w:fill="FFFFFF"/>
            <w:tcMar>
              <w:top w:w="30" w:type="dxa"/>
              <w:left w:w="20" w:type="dxa"/>
              <w:bottom w:w="30" w:type="dxa"/>
              <w:right w:w="20" w:type="dxa"/>
            </w:tcMar>
            <w:vAlign w:val="center"/>
            <w:hideMark/>
          </w:tcPr>
          <w:p w14:paraId="25DC8141" w14:textId="77777777" w:rsidR="00000000" w:rsidRDefault="00A173A8">
            <w:pPr>
              <w:spacing w:after="100"/>
              <w:rPr>
                <w:rFonts w:eastAsia="Times New Roman"/>
              </w:rPr>
            </w:pPr>
            <w:r>
              <w:rPr>
                <w:rFonts w:eastAsia="Times New Roman"/>
                <w:color w:val="000000"/>
                <w:sz w:val="20"/>
                <w:szCs w:val="20"/>
              </w:rPr>
              <w:t>Purchase volume</w:t>
            </w:r>
          </w:p>
        </w:tc>
        <w:tc>
          <w:tcPr>
            <w:tcW w:w="0" w:type="auto"/>
            <w:gridSpan w:val="3"/>
            <w:shd w:val="clear" w:color="auto" w:fill="FFFFFF"/>
            <w:tcMar>
              <w:top w:w="0" w:type="dxa"/>
              <w:left w:w="20" w:type="dxa"/>
              <w:bottom w:w="0" w:type="dxa"/>
              <w:right w:w="20" w:type="dxa"/>
            </w:tcMar>
            <w:vAlign w:val="center"/>
            <w:hideMark/>
          </w:tcPr>
          <w:p w14:paraId="175763E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EA01466"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E3B361E" w14:textId="77777777" w:rsidR="00000000" w:rsidRDefault="00A173A8">
            <w:pPr>
              <w:spacing w:after="100"/>
              <w:jc w:val="right"/>
              <w:rPr>
                <w:rFonts w:eastAsia="Times New Roman"/>
              </w:rPr>
            </w:pPr>
            <w:r>
              <w:rPr>
                <w:rFonts w:eastAsia="Times New Roman"/>
                <w:b/>
                <w:bCs/>
                <w:color w:val="000000"/>
                <w:sz w:val="20"/>
                <w:szCs w:val="20"/>
              </w:rPr>
              <w:t>148,491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97E50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B20D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683212"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155C571" w14:textId="77777777" w:rsidR="00000000" w:rsidRDefault="00A173A8">
            <w:pPr>
              <w:spacing w:after="100"/>
              <w:jc w:val="right"/>
              <w:rPr>
                <w:rFonts w:eastAsia="Times New Roman"/>
              </w:rPr>
            </w:pPr>
            <w:r>
              <w:rPr>
                <w:rFonts w:eastAsia="Times New Roman"/>
                <w:color w:val="000000"/>
                <w:sz w:val="20"/>
                <w:szCs w:val="20"/>
              </w:rPr>
              <w:t>132,676</w:t>
            </w:r>
          </w:p>
        </w:tc>
        <w:tc>
          <w:tcPr>
            <w:tcW w:w="0" w:type="auto"/>
            <w:gridSpan w:val="3"/>
            <w:shd w:val="clear" w:color="auto" w:fill="FFFFFF"/>
            <w:tcMar>
              <w:top w:w="0" w:type="dxa"/>
              <w:left w:w="20" w:type="dxa"/>
              <w:bottom w:w="0" w:type="dxa"/>
              <w:right w:w="20" w:type="dxa"/>
            </w:tcMar>
            <w:vAlign w:val="center"/>
            <w:hideMark/>
          </w:tcPr>
          <w:p w14:paraId="42843EEA"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6E800E" w14:textId="77777777" w:rsidR="00000000" w:rsidRDefault="00A173A8">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14:paraId="38338C40"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C98540F"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ADD90FF"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11086C3" w14:textId="77777777" w:rsidR="00000000" w:rsidRDefault="00A173A8">
            <w:pPr>
              <w:spacing w:after="100"/>
              <w:jc w:val="right"/>
              <w:rPr>
                <w:rFonts w:eastAsia="Times New Roman"/>
              </w:rPr>
            </w:pPr>
            <w:r>
              <w:rPr>
                <w:rFonts w:eastAsia="Times New Roman"/>
                <w:b/>
                <w:bCs/>
                <w:color w:val="000000"/>
                <w:sz w:val="20"/>
                <w:szCs w:val="20"/>
              </w:rPr>
              <w:t>282,153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20ED8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37C8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4D5961"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36AC543" w14:textId="77777777" w:rsidR="00000000" w:rsidRDefault="00A173A8">
            <w:pPr>
              <w:spacing w:after="100"/>
              <w:jc w:val="right"/>
              <w:rPr>
                <w:rFonts w:eastAsia="Times New Roman"/>
              </w:rPr>
            </w:pPr>
            <w:r>
              <w:rPr>
                <w:rFonts w:eastAsia="Times New Roman"/>
                <w:color w:val="000000"/>
                <w:sz w:val="20"/>
                <w:szCs w:val="20"/>
              </w:rPr>
              <w:t>241,009</w:t>
            </w:r>
          </w:p>
        </w:tc>
        <w:tc>
          <w:tcPr>
            <w:tcW w:w="0" w:type="auto"/>
            <w:vAlign w:val="center"/>
            <w:hideMark/>
          </w:tcPr>
          <w:p w14:paraId="121E922E" w14:textId="77777777" w:rsidR="00000000" w:rsidRDefault="00A173A8">
            <w:pPr>
              <w:spacing w:after="100"/>
              <w:jc w:val="right"/>
              <w:rPr>
                <w:rFonts w:eastAsia="Times New Roman"/>
              </w:rPr>
            </w:pPr>
          </w:p>
        </w:tc>
        <w:tc>
          <w:tcPr>
            <w:tcW w:w="0" w:type="auto"/>
            <w:vAlign w:val="center"/>
            <w:hideMark/>
          </w:tcPr>
          <w:p w14:paraId="39DAA55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0597AE"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98B3F8" w14:textId="77777777" w:rsidR="00000000" w:rsidRDefault="00A173A8">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3E3D0F0E"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47775D62" w14:textId="77777777" w:rsidR="00000000" w:rsidRDefault="00A173A8">
            <w:pPr>
              <w:spacing w:after="100"/>
              <w:jc w:val="right"/>
              <w:rPr>
                <w:rFonts w:eastAsia="Times New Roman"/>
              </w:rPr>
            </w:pPr>
          </w:p>
        </w:tc>
        <w:tc>
          <w:tcPr>
            <w:tcW w:w="0" w:type="auto"/>
            <w:gridSpan w:val="3"/>
            <w:vAlign w:val="center"/>
            <w:hideMark/>
          </w:tcPr>
          <w:p w14:paraId="49465583" w14:textId="77777777" w:rsidR="00000000" w:rsidRDefault="00A173A8">
            <w:pPr>
              <w:spacing w:after="100"/>
              <w:rPr>
                <w:rFonts w:eastAsia="Times New Roman"/>
                <w:sz w:val="20"/>
                <w:szCs w:val="20"/>
              </w:rPr>
            </w:pPr>
          </w:p>
        </w:tc>
      </w:tr>
      <w:tr w:rsidR="00000000" w14:paraId="32F8E87C" w14:textId="77777777">
        <w:trPr>
          <w:divId w:val="413861997"/>
          <w:trHeight w:val="300"/>
        </w:trPr>
        <w:tc>
          <w:tcPr>
            <w:tcW w:w="0" w:type="auto"/>
            <w:gridSpan w:val="3"/>
            <w:tcMar>
              <w:top w:w="0" w:type="dxa"/>
              <w:left w:w="20" w:type="dxa"/>
              <w:bottom w:w="0" w:type="dxa"/>
              <w:right w:w="20" w:type="dxa"/>
            </w:tcMar>
            <w:vAlign w:val="center"/>
            <w:hideMark/>
          </w:tcPr>
          <w:p w14:paraId="297EAA1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50F81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4B921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2FFAC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B4ABB1"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2B616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442D1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82BD8D"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AE76C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10999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E162FB" w14:textId="77777777" w:rsidR="00000000" w:rsidRDefault="00A173A8">
            <w:pPr>
              <w:spacing w:after="100"/>
              <w:rPr>
                <w:rFonts w:eastAsia="Times New Roman"/>
                <w:sz w:val="20"/>
                <w:szCs w:val="20"/>
              </w:rPr>
            </w:pPr>
          </w:p>
        </w:tc>
        <w:tc>
          <w:tcPr>
            <w:tcW w:w="0" w:type="auto"/>
            <w:vAlign w:val="center"/>
            <w:hideMark/>
          </w:tcPr>
          <w:p w14:paraId="769EF1A0" w14:textId="77777777" w:rsidR="00000000" w:rsidRDefault="00A173A8">
            <w:pPr>
              <w:spacing w:after="100"/>
              <w:rPr>
                <w:rFonts w:eastAsia="Times New Roman"/>
                <w:sz w:val="20"/>
                <w:szCs w:val="20"/>
              </w:rPr>
            </w:pPr>
          </w:p>
        </w:tc>
        <w:tc>
          <w:tcPr>
            <w:tcW w:w="0" w:type="auto"/>
            <w:vAlign w:val="center"/>
            <w:hideMark/>
          </w:tcPr>
          <w:p w14:paraId="4AA87B0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85087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A2DBA1" w14:textId="77777777" w:rsidR="00000000" w:rsidRDefault="00A173A8">
            <w:pPr>
              <w:spacing w:after="100"/>
              <w:rPr>
                <w:rFonts w:eastAsia="Times New Roman"/>
                <w:sz w:val="20"/>
                <w:szCs w:val="20"/>
              </w:rPr>
            </w:pPr>
          </w:p>
        </w:tc>
        <w:tc>
          <w:tcPr>
            <w:tcW w:w="0" w:type="auto"/>
            <w:gridSpan w:val="3"/>
            <w:vAlign w:val="center"/>
            <w:hideMark/>
          </w:tcPr>
          <w:p w14:paraId="40D088E1" w14:textId="77777777" w:rsidR="00000000" w:rsidRDefault="00A173A8">
            <w:pPr>
              <w:spacing w:after="100"/>
              <w:rPr>
                <w:rFonts w:eastAsia="Times New Roman"/>
                <w:sz w:val="20"/>
                <w:szCs w:val="20"/>
              </w:rPr>
            </w:pPr>
          </w:p>
        </w:tc>
        <w:tc>
          <w:tcPr>
            <w:tcW w:w="0" w:type="auto"/>
            <w:gridSpan w:val="3"/>
            <w:vAlign w:val="center"/>
            <w:hideMark/>
          </w:tcPr>
          <w:p w14:paraId="1B1FEDF7" w14:textId="77777777" w:rsidR="00000000" w:rsidRDefault="00A173A8">
            <w:pPr>
              <w:spacing w:after="100"/>
              <w:rPr>
                <w:rFonts w:eastAsia="Times New Roman"/>
                <w:sz w:val="20"/>
                <w:szCs w:val="20"/>
              </w:rPr>
            </w:pPr>
          </w:p>
        </w:tc>
      </w:tr>
      <w:tr w:rsidR="00000000" w14:paraId="68E14B5F" w14:textId="77777777">
        <w:trPr>
          <w:divId w:val="413861997"/>
        </w:trPr>
        <w:tc>
          <w:tcPr>
            <w:tcW w:w="0" w:type="auto"/>
            <w:gridSpan w:val="3"/>
            <w:shd w:val="clear" w:color="auto" w:fill="FFFFFF"/>
            <w:tcMar>
              <w:top w:w="30" w:type="dxa"/>
              <w:left w:w="20" w:type="dxa"/>
              <w:bottom w:w="30" w:type="dxa"/>
              <w:right w:w="20" w:type="dxa"/>
            </w:tcMar>
            <w:vAlign w:val="bottom"/>
            <w:hideMark/>
          </w:tcPr>
          <w:p w14:paraId="11FBA907"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gridSpan w:val="3"/>
            <w:shd w:val="clear" w:color="auto" w:fill="FFFFFF"/>
            <w:tcMar>
              <w:top w:w="0" w:type="dxa"/>
              <w:left w:w="20" w:type="dxa"/>
              <w:bottom w:w="0" w:type="dxa"/>
              <w:right w:w="20" w:type="dxa"/>
            </w:tcMar>
            <w:vAlign w:val="center"/>
            <w:hideMark/>
          </w:tcPr>
          <w:p w14:paraId="7E902C0F"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BF73654"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shd w:val="clear" w:color="auto" w:fill="FFFFFF"/>
            <w:tcMar>
              <w:top w:w="0" w:type="dxa"/>
              <w:left w:w="20" w:type="dxa"/>
              <w:bottom w:w="0" w:type="dxa"/>
              <w:right w:w="20" w:type="dxa"/>
            </w:tcMar>
            <w:vAlign w:val="center"/>
            <w:hideMark/>
          </w:tcPr>
          <w:p w14:paraId="55EC3085"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0E4FD5" w14:textId="77777777" w:rsidR="00000000" w:rsidRDefault="00A173A8">
            <w:pPr>
              <w:spacing w:after="100"/>
              <w:jc w:val="center"/>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14:paraId="7D197F55"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36E1BB"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shd w:val="clear" w:color="auto" w:fill="FFFFFF"/>
            <w:tcMar>
              <w:top w:w="0" w:type="dxa"/>
              <w:left w:w="20" w:type="dxa"/>
              <w:bottom w:w="0" w:type="dxa"/>
              <w:right w:w="20" w:type="dxa"/>
            </w:tcMar>
            <w:vAlign w:val="center"/>
            <w:hideMark/>
          </w:tcPr>
          <w:p w14:paraId="127E9489" w14:textId="77777777" w:rsidR="00000000" w:rsidRDefault="00A173A8">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4F7D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74525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88852A" w14:textId="77777777" w:rsidR="00000000" w:rsidRDefault="00A173A8">
            <w:pPr>
              <w:spacing w:after="100"/>
              <w:rPr>
                <w:rFonts w:eastAsia="Times New Roman"/>
                <w:sz w:val="20"/>
                <w:szCs w:val="20"/>
              </w:rPr>
            </w:pPr>
          </w:p>
        </w:tc>
        <w:tc>
          <w:tcPr>
            <w:tcW w:w="0" w:type="auto"/>
            <w:vAlign w:val="center"/>
            <w:hideMark/>
          </w:tcPr>
          <w:p w14:paraId="5D696BC1" w14:textId="77777777" w:rsidR="00000000" w:rsidRDefault="00A173A8">
            <w:pPr>
              <w:spacing w:after="100"/>
              <w:rPr>
                <w:rFonts w:eastAsia="Times New Roman"/>
                <w:sz w:val="20"/>
                <w:szCs w:val="20"/>
              </w:rPr>
            </w:pPr>
          </w:p>
        </w:tc>
        <w:tc>
          <w:tcPr>
            <w:tcW w:w="0" w:type="auto"/>
            <w:vAlign w:val="center"/>
            <w:hideMark/>
          </w:tcPr>
          <w:p w14:paraId="3057C09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84A69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F7D61B" w14:textId="77777777" w:rsidR="00000000" w:rsidRDefault="00A173A8">
            <w:pPr>
              <w:spacing w:after="100"/>
              <w:rPr>
                <w:rFonts w:eastAsia="Times New Roman"/>
                <w:sz w:val="20"/>
                <w:szCs w:val="20"/>
              </w:rPr>
            </w:pPr>
          </w:p>
        </w:tc>
        <w:tc>
          <w:tcPr>
            <w:tcW w:w="0" w:type="auto"/>
            <w:gridSpan w:val="3"/>
            <w:vAlign w:val="center"/>
            <w:hideMark/>
          </w:tcPr>
          <w:p w14:paraId="66DDAF2F" w14:textId="77777777" w:rsidR="00000000" w:rsidRDefault="00A173A8">
            <w:pPr>
              <w:spacing w:after="100"/>
              <w:rPr>
                <w:rFonts w:eastAsia="Times New Roman"/>
                <w:sz w:val="20"/>
                <w:szCs w:val="20"/>
              </w:rPr>
            </w:pPr>
          </w:p>
        </w:tc>
        <w:tc>
          <w:tcPr>
            <w:tcW w:w="0" w:type="auto"/>
            <w:gridSpan w:val="3"/>
            <w:vAlign w:val="center"/>
            <w:hideMark/>
          </w:tcPr>
          <w:p w14:paraId="6196950F" w14:textId="77777777" w:rsidR="00000000" w:rsidRDefault="00A173A8">
            <w:pPr>
              <w:spacing w:after="100"/>
              <w:rPr>
                <w:rFonts w:eastAsia="Times New Roman"/>
                <w:sz w:val="20"/>
                <w:szCs w:val="20"/>
              </w:rPr>
            </w:pPr>
          </w:p>
        </w:tc>
      </w:tr>
      <w:tr w:rsidR="00000000" w14:paraId="4535EDF9" w14:textId="77777777">
        <w:trPr>
          <w:divId w:val="4138619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6155D12" w14:textId="77777777" w:rsidR="00000000" w:rsidRDefault="00A173A8">
            <w:pPr>
              <w:spacing w:after="100"/>
              <w:rPr>
                <w:rFonts w:eastAsia="Times New Roman"/>
              </w:rPr>
            </w:pPr>
            <w:r>
              <w:rPr>
                <w:rFonts w:eastAsia="Times New Roman"/>
                <w:b/>
                <w:bCs/>
                <w:color w:val="000000"/>
                <w:sz w:val="20"/>
                <w:szCs w:val="20"/>
              </w:rPr>
              <w:t>Selected period-end data:</w:t>
            </w:r>
          </w:p>
        </w:tc>
        <w:tc>
          <w:tcPr>
            <w:tcW w:w="0" w:type="auto"/>
            <w:gridSpan w:val="3"/>
            <w:shd w:val="clear" w:color="auto" w:fill="CCEEFF"/>
            <w:tcMar>
              <w:top w:w="0" w:type="dxa"/>
              <w:left w:w="20" w:type="dxa"/>
              <w:bottom w:w="0" w:type="dxa"/>
              <w:right w:w="20" w:type="dxa"/>
            </w:tcMar>
            <w:vAlign w:val="center"/>
            <w:hideMark/>
          </w:tcPr>
          <w:p w14:paraId="1CA0420D"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129D4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287B3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0CDA2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1AFCB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5CCDF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5586D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23D73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03B69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808A63" w14:textId="77777777" w:rsidR="00000000" w:rsidRDefault="00A173A8">
            <w:pPr>
              <w:spacing w:after="100"/>
              <w:rPr>
                <w:rFonts w:eastAsia="Times New Roman"/>
                <w:sz w:val="20"/>
                <w:szCs w:val="20"/>
              </w:rPr>
            </w:pPr>
          </w:p>
        </w:tc>
        <w:tc>
          <w:tcPr>
            <w:tcW w:w="0" w:type="auto"/>
            <w:vAlign w:val="center"/>
            <w:hideMark/>
          </w:tcPr>
          <w:p w14:paraId="5249AF09" w14:textId="77777777" w:rsidR="00000000" w:rsidRDefault="00A173A8">
            <w:pPr>
              <w:spacing w:after="100"/>
              <w:rPr>
                <w:rFonts w:eastAsia="Times New Roman"/>
                <w:sz w:val="20"/>
                <w:szCs w:val="20"/>
              </w:rPr>
            </w:pPr>
          </w:p>
        </w:tc>
        <w:tc>
          <w:tcPr>
            <w:tcW w:w="0" w:type="auto"/>
            <w:vAlign w:val="center"/>
            <w:hideMark/>
          </w:tcPr>
          <w:p w14:paraId="6FCCD98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C1705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FFE69E" w14:textId="77777777" w:rsidR="00000000" w:rsidRDefault="00A173A8">
            <w:pPr>
              <w:spacing w:after="100"/>
              <w:rPr>
                <w:rFonts w:eastAsia="Times New Roman"/>
                <w:sz w:val="20"/>
                <w:szCs w:val="20"/>
              </w:rPr>
            </w:pPr>
          </w:p>
        </w:tc>
        <w:tc>
          <w:tcPr>
            <w:tcW w:w="0" w:type="auto"/>
            <w:gridSpan w:val="3"/>
            <w:vAlign w:val="center"/>
            <w:hideMark/>
          </w:tcPr>
          <w:p w14:paraId="6F3EFE88" w14:textId="77777777" w:rsidR="00000000" w:rsidRDefault="00A173A8">
            <w:pPr>
              <w:spacing w:after="100"/>
              <w:rPr>
                <w:rFonts w:eastAsia="Times New Roman"/>
                <w:sz w:val="20"/>
                <w:szCs w:val="20"/>
              </w:rPr>
            </w:pPr>
          </w:p>
        </w:tc>
        <w:tc>
          <w:tcPr>
            <w:tcW w:w="0" w:type="auto"/>
            <w:gridSpan w:val="3"/>
            <w:vAlign w:val="center"/>
            <w:hideMark/>
          </w:tcPr>
          <w:p w14:paraId="5EB79E04" w14:textId="77777777" w:rsidR="00000000" w:rsidRDefault="00A173A8">
            <w:pPr>
              <w:spacing w:after="100"/>
              <w:rPr>
                <w:rFonts w:eastAsia="Times New Roman"/>
                <w:sz w:val="20"/>
                <w:szCs w:val="20"/>
              </w:rPr>
            </w:pPr>
          </w:p>
        </w:tc>
      </w:tr>
      <w:tr w:rsidR="00000000" w14:paraId="0CC68BA1" w14:textId="77777777">
        <w:trPr>
          <w:divId w:val="413861997"/>
        </w:trPr>
        <w:tc>
          <w:tcPr>
            <w:tcW w:w="0" w:type="auto"/>
            <w:gridSpan w:val="3"/>
            <w:shd w:val="clear" w:color="auto" w:fill="FFFFFF"/>
            <w:tcMar>
              <w:top w:w="30" w:type="dxa"/>
              <w:left w:w="20" w:type="dxa"/>
              <w:bottom w:w="30" w:type="dxa"/>
              <w:right w:w="20" w:type="dxa"/>
            </w:tcMar>
            <w:vAlign w:val="center"/>
            <w:hideMark/>
          </w:tcPr>
          <w:p w14:paraId="40F74039" w14:textId="77777777" w:rsidR="00000000" w:rsidRDefault="00A173A8">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14:paraId="6867B19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D148A07"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80013C5" w14:textId="77777777" w:rsidR="00000000" w:rsidRDefault="00A173A8">
            <w:pPr>
              <w:spacing w:after="100"/>
              <w:jc w:val="right"/>
              <w:rPr>
                <w:rFonts w:eastAsia="Times New Roman"/>
              </w:rPr>
            </w:pPr>
            <w:r>
              <w:rPr>
                <w:rFonts w:eastAsia="Times New Roman"/>
                <w:b/>
                <w:bCs/>
                <w:color w:val="000000"/>
                <w:sz w:val="20"/>
                <w:szCs w:val="20"/>
              </w:rPr>
              <w:t>120,880</w:t>
            </w:r>
          </w:p>
        </w:tc>
        <w:tc>
          <w:tcPr>
            <w:tcW w:w="0" w:type="auto"/>
            <w:gridSpan w:val="3"/>
            <w:shd w:val="clear" w:color="auto" w:fill="FFFFFF"/>
            <w:tcMar>
              <w:top w:w="0" w:type="dxa"/>
              <w:left w:w="20" w:type="dxa"/>
              <w:bottom w:w="0" w:type="dxa"/>
              <w:right w:w="20" w:type="dxa"/>
            </w:tcMar>
            <w:vAlign w:val="center"/>
            <w:hideMark/>
          </w:tcPr>
          <w:p w14:paraId="460355B1"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8FB3B13"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915FE3A" w14:textId="77777777" w:rsidR="00000000" w:rsidRDefault="00A173A8">
            <w:pPr>
              <w:spacing w:after="100"/>
              <w:jc w:val="right"/>
              <w:rPr>
                <w:rFonts w:eastAsia="Times New Roman"/>
              </w:rPr>
            </w:pPr>
            <w:r>
              <w:rPr>
                <w:rFonts w:eastAsia="Times New Roman"/>
                <w:color w:val="000000"/>
                <w:sz w:val="20"/>
                <w:szCs w:val="20"/>
              </w:rPr>
              <w:t>114,772</w:t>
            </w:r>
          </w:p>
        </w:tc>
        <w:tc>
          <w:tcPr>
            <w:tcW w:w="0" w:type="auto"/>
            <w:gridSpan w:val="3"/>
            <w:shd w:val="clear" w:color="auto" w:fill="FFFFFF"/>
            <w:tcMar>
              <w:top w:w="0" w:type="dxa"/>
              <w:left w:w="20" w:type="dxa"/>
              <w:bottom w:w="0" w:type="dxa"/>
              <w:right w:w="20" w:type="dxa"/>
            </w:tcMar>
            <w:vAlign w:val="center"/>
            <w:hideMark/>
          </w:tcPr>
          <w:p w14:paraId="4BC6C4FF"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8040E2" w14:textId="77777777" w:rsidR="00000000" w:rsidRDefault="00A173A8">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14:paraId="0A45D434"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3EA87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CD84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B0EA9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246670" w14:textId="77777777" w:rsidR="00000000" w:rsidRDefault="00A173A8">
            <w:pPr>
              <w:spacing w:after="100"/>
              <w:rPr>
                <w:rFonts w:eastAsia="Times New Roman"/>
                <w:sz w:val="20"/>
                <w:szCs w:val="20"/>
              </w:rPr>
            </w:pPr>
          </w:p>
        </w:tc>
        <w:tc>
          <w:tcPr>
            <w:tcW w:w="0" w:type="auto"/>
            <w:vAlign w:val="center"/>
            <w:hideMark/>
          </w:tcPr>
          <w:p w14:paraId="127AD0C0" w14:textId="77777777" w:rsidR="00000000" w:rsidRDefault="00A173A8">
            <w:pPr>
              <w:spacing w:after="100"/>
              <w:rPr>
                <w:rFonts w:eastAsia="Times New Roman"/>
                <w:sz w:val="20"/>
                <w:szCs w:val="20"/>
              </w:rPr>
            </w:pPr>
          </w:p>
        </w:tc>
        <w:tc>
          <w:tcPr>
            <w:tcW w:w="0" w:type="auto"/>
            <w:vAlign w:val="center"/>
            <w:hideMark/>
          </w:tcPr>
          <w:p w14:paraId="0CA7051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7BAED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EFDD6D" w14:textId="77777777" w:rsidR="00000000" w:rsidRDefault="00A173A8">
            <w:pPr>
              <w:spacing w:after="100"/>
              <w:rPr>
                <w:rFonts w:eastAsia="Times New Roman"/>
                <w:sz w:val="20"/>
                <w:szCs w:val="20"/>
              </w:rPr>
            </w:pPr>
          </w:p>
        </w:tc>
        <w:tc>
          <w:tcPr>
            <w:tcW w:w="0" w:type="auto"/>
            <w:gridSpan w:val="3"/>
            <w:vAlign w:val="center"/>
            <w:hideMark/>
          </w:tcPr>
          <w:p w14:paraId="320E7EBB" w14:textId="77777777" w:rsidR="00000000" w:rsidRDefault="00A173A8">
            <w:pPr>
              <w:spacing w:after="100"/>
              <w:rPr>
                <w:rFonts w:eastAsia="Times New Roman"/>
                <w:sz w:val="20"/>
                <w:szCs w:val="20"/>
              </w:rPr>
            </w:pPr>
          </w:p>
        </w:tc>
        <w:tc>
          <w:tcPr>
            <w:tcW w:w="0" w:type="auto"/>
            <w:gridSpan w:val="3"/>
            <w:vAlign w:val="center"/>
            <w:hideMark/>
          </w:tcPr>
          <w:p w14:paraId="7120A77E" w14:textId="77777777" w:rsidR="00000000" w:rsidRDefault="00A173A8">
            <w:pPr>
              <w:spacing w:after="100"/>
              <w:rPr>
                <w:rFonts w:eastAsia="Times New Roman"/>
                <w:sz w:val="20"/>
                <w:szCs w:val="20"/>
              </w:rPr>
            </w:pPr>
          </w:p>
        </w:tc>
      </w:tr>
      <w:tr w:rsidR="00000000" w14:paraId="66DF7DFC" w14:textId="77777777">
        <w:trPr>
          <w:divId w:val="413861997"/>
        </w:trPr>
        <w:tc>
          <w:tcPr>
            <w:tcW w:w="0" w:type="auto"/>
            <w:gridSpan w:val="3"/>
            <w:shd w:val="clear" w:color="auto" w:fill="CCEEFF"/>
            <w:tcMar>
              <w:top w:w="30" w:type="dxa"/>
              <w:left w:w="20" w:type="dxa"/>
              <w:bottom w:w="30" w:type="dxa"/>
              <w:right w:w="20" w:type="dxa"/>
            </w:tcMar>
            <w:vAlign w:val="center"/>
            <w:hideMark/>
          </w:tcPr>
          <w:p w14:paraId="37E766E5" w14:textId="77777777" w:rsidR="00000000" w:rsidRDefault="00A173A8">
            <w:pPr>
              <w:spacing w:after="100"/>
              <w:rPr>
                <w:rFonts w:eastAsia="Times New Roman"/>
              </w:rPr>
            </w:pPr>
            <w:r>
              <w:rPr>
                <w:rFonts w:eastAsia="Times New Roman"/>
                <w:color w:val="000000"/>
                <w:sz w:val="20"/>
                <w:szCs w:val="20"/>
              </w:rPr>
              <w:t>30+ day performing delinquency rate</w:t>
            </w:r>
          </w:p>
        </w:tc>
        <w:tc>
          <w:tcPr>
            <w:tcW w:w="0" w:type="auto"/>
            <w:gridSpan w:val="3"/>
            <w:shd w:val="clear" w:color="auto" w:fill="CCEEFF"/>
            <w:tcMar>
              <w:top w:w="0" w:type="dxa"/>
              <w:left w:w="20" w:type="dxa"/>
              <w:bottom w:w="0" w:type="dxa"/>
              <w:right w:w="20" w:type="dxa"/>
            </w:tcMar>
            <w:vAlign w:val="center"/>
            <w:hideMark/>
          </w:tcPr>
          <w:p w14:paraId="43633D0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2812B9" w14:textId="77777777" w:rsidR="00000000" w:rsidRDefault="00A173A8">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63285D"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C10338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94ACC9" w14:textId="77777777" w:rsidR="00000000" w:rsidRDefault="00A173A8">
            <w:pPr>
              <w:spacing w:after="100"/>
              <w:jc w:val="right"/>
              <w:rPr>
                <w:rFonts w:eastAsia="Times New Roman"/>
              </w:rPr>
            </w:pPr>
            <w:r>
              <w:rPr>
                <w:rFonts w:eastAsia="Times New Roman"/>
                <w:color w:val="000000"/>
                <w:sz w:val="20"/>
                <w:szCs w:val="20"/>
              </w:rPr>
              <w:t>2.28 </w:t>
            </w:r>
          </w:p>
        </w:tc>
        <w:tc>
          <w:tcPr>
            <w:tcW w:w="0" w:type="auto"/>
            <w:shd w:val="clear" w:color="auto" w:fill="CCEEFF"/>
            <w:tcMar>
              <w:top w:w="30" w:type="dxa"/>
              <w:left w:w="0" w:type="dxa"/>
              <w:bottom w:w="30" w:type="dxa"/>
              <w:right w:w="20" w:type="dxa"/>
            </w:tcMar>
            <w:vAlign w:val="bottom"/>
            <w:hideMark/>
          </w:tcPr>
          <w:p w14:paraId="66B57B73"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B4DE23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EC1FFC" w14:textId="77777777" w:rsidR="00000000" w:rsidRDefault="00A173A8">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5E93F5BD"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shd w:val="clear" w:color="auto" w:fill="CCEEFF"/>
            <w:tcMar>
              <w:top w:w="0" w:type="dxa"/>
              <w:left w:w="20" w:type="dxa"/>
              <w:bottom w:w="0" w:type="dxa"/>
              <w:right w:w="20" w:type="dxa"/>
            </w:tcMar>
            <w:vAlign w:val="center"/>
            <w:hideMark/>
          </w:tcPr>
          <w:p w14:paraId="6D4742C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9B47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EC3F7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4BD86D" w14:textId="77777777" w:rsidR="00000000" w:rsidRDefault="00A173A8">
            <w:pPr>
              <w:spacing w:after="100"/>
              <w:rPr>
                <w:rFonts w:eastAsia="Times New Roman"/>
                <w:sz w:val="20"/>
                <w:szCs w:val="20"/>
              </w:rPr>
            </w:pPr>
          </w:p>
        </w:tc>
        <w:tc>
          <w:tcPr>
            <w:tcW w:w="0" w:type="auto"/>
            <w:vAlign w:val="center"/>
            <w:hideMark/>
          </w:tcPr>
          <w:p w14:paraId="21BAB4ED" w14:textId="77777777" w:rsidR="00000000" w:rsidRDefault="00A173A8">
            <w:pPr>
              <w:spacing w:after="100"/>
              <w:rPr>
                <w:rFonts w:eastAsia="Times New Roman"/>
                <w:sz w:val="20"/>
                <w:szCs w:val="20"/>
              </w:rPr>
            </w:pPr>
          </w:p>
        </w:tc>
        <w:tc>
          <w:tcPr>
            <w:tcW w:w="0" w:type="auto"/>
            <w:vAlign w:val="center"/>
            <w:hideMark/>
          </w:tcPr>
          <w:p w14:paraId="12BBAE1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12282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9A6549" w14:textId="77777777" w:rsidR="00000000" w:rsidRDefault="00A173A8">
            <w:pPr>
              <w:spacing w:after="100"/>
              <w:rPr>
                <w:rFonts w:eastAsia="Times New Roman"/>
                <w:sz w:val="20"/>
                <w:szCs w:val="20"/>
              </w:rPr>
            </w:pPr>
          </w:p>
        </w:tc>
        <w:tc>
          <w:tcPr>
            <w:tcW w:w="0" w:type="auto"/>
            <w:gridSpan w:val="3"/>
            <w:vAlign w:val="center"/>
            <w:hideMark/>
          </w:tcPr>
          <w:p w14:paraId="122C7F8F" w14:textId="77777777" w:rsidR="00000000" w:rsidRDefault="00A173A8">
            <w:pPr>
              <w:spacing w:after="100"/>
              <w:rPr>
                <w:rFonts w:eastAsia="Times New Roman"/>
                <w:sz w:val="20"/>
                <w:szCs w:val="20"/>
              </w:rPr>
            </w:pPr>
          </w:p>
        </w:tc>
        <w:tc>
          <w:tcPr>
            <w:tcW w:w="0" w:type="auto"/>
            <w:gridSpan w:val="3"/>
            <w:vAlign w:val="center"/>
            <w:hideMark/>
          </w:tcPr>
          <w:p w14:paraId="502642DA" w14:textId="77777777" w:rsidR="00000000" w:rsidRDefault="00A173A8">
            <w:pPr>
              <w:spacing w:after="100"/>
              <w:rPr>
                <w:rFonts w:eastAsia="Times New Roman"/>
                <w:sz w:val="20"/>
                <w:szCs w:val="20"/>
              </w:rPr>
            </w:pPr>
          </w:p>
        </w:tc>
      </w:tr>
      <w:tr w:rsidR="00000000" w14:paraId="7DD9FEBC" w14:textId="77777777">
        <w:trPr>
          <w:divId w:val="413861997"/>
        </w:trPr>
        <w:tc>
          <w:tcPr>
            <w:tcW w:w="0" w:type="auto"/>
            <w:gridSpan w:val="3"/>
            <w:shd w:val="clear" w:color="auto" w:fill="FFFFFF"/>
            <w:tcMar>
              <w:top w:w="30" w:type="dxa"/>
              <w:left w:w="20" w:type="dxa"/>
              <w:bottom w:w="30" w:type="dxa"/>
              <w:right w:w="20" w:type="dxa"/>
            </w:tcMar>
            <w:vAlign w:val="center"/>
            <w:hideMark/>
          </w:tcPr>
          <w:p w14:paraId="26F10FC1" w14:textId="77777777" w:rsidR="00000000" w:rsidRDefault="00A173A8">
            <w:pPr>
              <w:spacing w:after="100"/>
              <w:rPr>
                <w:rFonts w:eastAsia="Times New Roman"/>
              </w:rPr>
            </w:pPr>
            <w:r>
              <w:rPr>
                <w:rFonts w:eastAsia="Times New Roman"/>
                <w:color w:val="000000"/>
                <w:sz w:val="20"/>
                <w:szCs w:val="20"/>
              </w:rPr>
              <w:t>30+ day delinquency rate</w:t>
            </w:r>
          </w:p>
        </w:tc>
        <w:tc>
          <w:tcPr>
            <w:tcW w:w="0" w:type="auto"/>
            <w:gridSpan w:val="3"/>
            <w:shd w:val="clear" w:color="auto" w:fill="FFFFFF"/>
            <w:tcMar>
              <w:top w:w="0" w:type="dxa"/>
              <w:left w:w="20" w:type="dxa"/>
              <w:bottom w:w="0" w:type="dxa"/>
              <w:right w:w="20" w:type="dxa"/>
            </w:tcMar>
            <w:vAlign w:val="center"/>
            <w:hideMark/>
          </w:tcPr>
          <w:p w14:paraId="08F6257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085BEF" w14:textId="77777777" w:rsidR="00000000" w:rsidRDefault="00A173A8">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BBDCE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583A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683DF6" w14:textId="77777777" w:rsidR="00000000" w:rsidRDefault="00A173A8">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14:paraId="1D1DEB3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D5AFE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CA856A" w14:textId="77777777" w:rsidR="00000000" w:rsidRDefault="00A173A8">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6B6D127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95835"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69DD7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6213D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A10C3C" w14:textId="77777777" w:rsidR="00000000" w:rsidRDefault="00A173A8">
            <w:pPr>
              <w:spacing w:after="100"/>
              <w:rPr>
                <w:rFonts w:eastAsia="Times New Roman"/>
                <w:sz w:val="20"/>
                <w:szCs w:val="20"/>
              </w:rPr>
            </w:pPr>
          </w:p>
        </w:tc>
        <w:tc>
          <w:tcPr>
            <w:tcW w:w="0" w:type="auto"/>
            <w:vAlign w:val="center"/>
            <w:hideMark/>
          </w:tcPr>
          <w:p w14:paraId="545F1271" w14:textId="77777777" w:rsidR="00000000" w:rsidRDefault="00A173A8">
            <w:pPr>
              <w:spacing w:after="100"/>
              <w:rPr>
                <w:rFonts w:eastAsia="Times New Roman"/>
                <w:sz w:val="20"/>
                <w:szCs w:val="20"/>
              </w:rPr>
            </w:pPr>
          </w:p>
        </w:tc>
        <w:tc>
          <w:tcPr>
            <w:tcW w:w="0" w:type="auto"/>
            <w:vAlign w:val="center"/>
            <w:hideMark/>
          </w:tcPr>
          <w:p w14:paraId="5E535F2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77314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AACBF5" w14:textId="77777777" w:rsidR="00000000" w:rsidRDefault="00A173A8">
            <w:pPr>
              <w:spacing w:after="100"/>
              <w:rPr>
                <w:rFonts w:eastAsia="Times New Roman"/>
                <w:sz w:val="20"/>
                <w:szCs w:val="20"/>
              </w:rPr>
            </w:pPr>
          </w:p>
        </w:tc>
        <w:tc>
          <w:tcPr>
            <w:tcW w:w="0" w:type="auto"/>
            <w:gridSpan w:val="3"/>
            <w:vAlign w:val="center"/>
            <w:hideMark/>
          </w:tcPr>
          <w:p w14:paraId="655F5B4E" w14:textId="77777777" w:rsidR="00000000" w:rsidRDefault="00A173A8">
            <w:pPr>
              <w:spacing w:after="100"/>
              <w:rPr>
                <w:rFonts w:eastAsia="Times New Roman"/>
                <w:sz w:val="20"/>
                <w:szCs w:val="20"/>
              </w:rPr>
            </w:pPr>
          </w:p>
        </w:tc>
        <w:tc>
          <w:tcPr>
            <w:tcW w:w="0" w:type="auto"/>
            <w:gridSpan w:val="3"/>
            <w:vAlign w:val="center"/>
            <w:hideMark/>
          </w:tcPr>
          <w:p w14:paraId="163EAF5B" w14:textId="77777777" w:rsidR="00000000" w:rsidRDefault="00A173A8">
            <w:pPr>
              <w:spacing w:after="100"/>
              <w:rPr>
                <w:rFonts w:eastAsia="Times New Roman"/>
                <w:sz w:val="20"/>
                <w:szCs w:val="20"/>
              </w:rPr>
            </w:pPr>
          </w:p>
        </w:tc>
      </w:tr>
      <w:tr w:rsidR="00000000" w14:paraId="3DE6F105" w14:textId="77777777">
        <w:trPr>
          <w:divId w:val="413861997"/>
        </w:trPr>
        <w:tc>
          <w:tcPr>
            <w:tcW w:w="0" w:type="auto"/>
            <w:gridSpan w:val="3"/>
            <w:shd w:val="clear" w:color="auto" w:fill="CCEEFF"/>
            <w:tcMar>
              <w:top w:w="30" w:type="dxa"/>
              <w:left w:w="20" w:type="dxa"/>
              <w:bottom w:w="30" w:type="dxa"/>
              <w:right w:w="20" w:type="dxa"/>
            </w:tcMar>
            <w:vAlign w:val="center"/>
            <w:hideMark/>
          </w:tcPr>
          <w:p w14:paraId="2F0E79D8" w14:textId="77777777" w:rsidR="00000000" w:rsidRDefault="00A173A8">
            <w:pPr>
              <w:spacing w:after="100"/>
              <w:divId w:val="517699891"/>
              <w:rPr>
                <w:rFonts w:eastAsia="Times New Roman"/>
              </w:rPr>
            </w:pPr>
            <w:r>
              <w:rPr>
                <w:rFonts w:eastAsia="Times New Roman"/>
                <w:color w:val="000000"/>
                <w:sz w:val="20"/>
                <w:szCs w:val="20"/>
              </w:rPr>
              <w:t>Nonperforming loan rat</w:t>
            </w:r>
            <w:r>
              <w:rPr>
                <w:rFonts w:eastAsia="Times New Roman"/>
                <w:color w:val="000000"/>
                <w:sz w:val="20"/>
                <w:szCs w:val="20"/>
              </w:rPr>
              <w:t>e</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9651D9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2C5C88" w14:textId="77777777" w:rsidR="00000000" w:rsidRDefault="00A173A8">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E695D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100B8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9869B5" w14:textId="77777777" w:rsidR="00000000" w:rsidRDefault="00A173A8">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14:paraId="641C08D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CE46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22D5EE"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75B9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477C9"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541CD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E3D84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EDB42C" w14:textId="77777777" w:rsidR="00000000" w:rsidRDefault="00A173A8">
            <w:pPr>
              <w:spacing w:after="100"/>
              <w:rPr>
                <w:rFonts w:eastAsia="Times New Roman"/>
                <w:sz w:val="20"/>
                <w:szCs w:val="20"/>
              </w:rPr>
            </w:pPr>
          </w:p>
        </w:tc>
        <w:tc>
          <w:tcPr>
            <w:tcW w:w="0" w:type="auto"/>
            <w:vAlign w:val="center"/>
            <w:hideMark/>
          </w:tcPr>
          <w:p w14:paraId="0F25F0A7" w14:textId="77777777" w:rsidR="00000000" w:rsidRDefault="00A173A8">
            <w:pPr>
              <w:spacing w:after="100"/>
              <w:rPr>
                <w:rFonts w:eastAsia="Times New Roman"/>
                <w:sz w:val="20"/>
                <w:szCs w:val="20"/>
              </w:rPr>
            </w:pPr>
          </w:p>
        </w:tc>
        <w:tc>
          <w:tcPr>
            <w:tcW w:w="0" w:type="auto"/>
            <w:vAlign w:val="center"/>
            <w:hideMark/>
          </w:tcPr>
          <w:p w14:paraId="3D8DE30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4B4B6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98694F" w14:textId="77777777" w:rsidR="00000000" w:rsidRDefault="00A173A8">
            <w:pPr>
              <w:spacing w:after="100"/>
              <w:rPr>
                <w:rFonts w:eastAsia="Times New Roman"/>
                <w:sz w:val="20"/>
                <w:szCs w:val="20"/>
              </w:rPr>
            </w:pPr>
          </w:p>
        </w:tc>
        <w:tc>
          <w:tcPr>
            <w:tcW w:w="0" w:type="auto"/>
            <w:gridSpan w:val="3"/>
            <w:vAlign w:val="center"/>
            <w:hideMark/>
          </w:tcPr>
          <w:p w14:paraId="680CF30F" w14:textId="77777777" w:rsidR="00000000" w:rsidRDefault="00A173A8">
            <w:pPr>
              <w:spacing w:after="100"/>
              <w:rPr>
                <w:rFonts w:eastAsia="Times New Roman"/>
                <w:sz w:val="20"/>
                <w:szCs w:val="20"/>
              </w:rPr>
            </w:pPr>
          </w:p>
        </w:tc>
        <w:tc>
          <w:tcPr>
            <w:tcW w:w="0" w:type="auto"/>
            <w:gridSpan w:val="3"/>
            <w:vAlign w:val="center"/>
            <w:hideMark/>
          </w:tcPr>
          <w:p w14:paraId="53D56DED" w14:textId="77777777" w:rsidR="00000000" w:rsidRDefault="00A173A8">
            <w:pPr>
              <w:spacing w:after="100"/>
              <w:rPr>
                <w:rFonts w:eastAsia="Times New Roman"/>
                <w:sz w:val="20"/>
                <w:szCs w:val="20"/>
              </w:rPr>
            </w:pPr>
          </w:p>
        </w:tc>
      </w:tr>
      <w:tr w:rsidR="00000000" w14:paraId="01ACC297" w14:textId="77777777">
        <w:trPr>
          <w:divId w:val="413861997"/>
        </w:trPr>
        <w:tc>
          <w:tcPr>
            <w:tcW w:w="0" w:type="auto"/>
            <w:gridSpan w:val="3"/>
            <w:shd w:val="clear" w:color="auto" w:fill="FFFFFF"/>
            <w:tcMar>
              <w:top w:w="30" w:type="dxa"/>
              <w:left w:w="20" w:type="dxa"/>
              <w:bottom w:w="30" w:type="dxa"/>
              <w:right w:w="20" w:type="dxa"/>
            </w:tcMar>
            <w:vAlign w:val="center"/>
            <w:hideMark/>
          </w:tcPr>
          <w:p w14:paraId="5FB91113" w14:textId="77777777" w:rsidR="00000000" w:rsidRDefault="00A173A8">
            <w:pPr>
              <w:spacing w:after="100"/>
              <w:rPr>
                <w:rFonts w:eastAsia="Times New Roman"/>
              </w:rPr>
            </w:pPr>
            <w:r>
              <w:rPr>
                <w:rFonts w:eastAsia="Times New Roman"/>
                <w:color w:val="000000"/>
                <w:sz w:val="20"/>
                <w:szCs w:val="20"/>
              </w:rPr>
              <w:t>Allowance for credit losses</w:t>
            </w:r>
          </w:p>
        </w:tc>
        <w:tc>
          <w:tcPr>
            <w:tcW w:w="0" w:type="auto"/>
            <w:gridSpan w:val="3"/>
            <w:shd w:val="clear" w:color="auto" w:fill="FFFFFF"/>
            <w:tcMar>
              <w:top w:w="0" w:type="dxa"/>
              <w:left w:w="20" w:type="dxa"/>
              <w:bottom w:w="0" w:type="dxa"/>
              <w:right w:w="20" w:type="dxa"/>
            </w:tcMar>
            <w:vAlign w:val="center"/>
            <w:hideMark/>
          </w:tcPr>
          <w:p w14:paraId="59D0F1F3"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FDECE45"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19C027C" w14:textId="77777777" w:rsidR="00000000" w:rsidRDefault="00A173A8">
            <w:pPr>
              <w:spacing w:after="100"/>
              <w:jc w:val="right"/>
              <w:rPr>
                <w:rFonts w:eastAsia="Times New Roman"/>
              </w:rPr>
            </w:pPr>
            <w:r>
              <w:rPr>
                <w:rFonts w:eastAsia="Times New Roman"/>
                <w:b/>
                <w:bCs/>
                <w:color w:val="000000"/>
                <w:sz w:val="20"/>
                <w:szCs w:val="20"/>
              </w:rPr>
              <w:t>8,166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182B9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4CD97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40222A"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6BA769" w14:textId="77777777" w:rsidR="00000000" w:rsidRDefault="00A173A8">
            <w:pPr>
              <w:spacing w:after="100"/>
              <w:jc w:val="right"/>
              <w:rPr>
                <w:rFonts w:eastAsia="Times New Roman"/>
              </w:rPr>
            </w:pPr>
            <w:r>
              <w:rPr>
                <w:rFonts w:eastAsia="Times New Roman"/>
                <w:color w:val="000000"/>
                <w:sz w:val="20"/>
                <w:szCs w:val="20"/>
              </w:rPr>
              <w:t>8,345 </w:t>
            </w:r>
          </w:p>
        </w:tc>
        <w:tc>
          <w:tcPr>
            <w:tcW w:w="0" w:type="auto"/>
            <w:shd w:val="clear" w:color="auto" w:fill="FFFFFF"/>
            <w:tcMar>
              <w:top w:w="30" w:type="dxa"/>
              <w:left w:w="0" w:type="dxa"/>
              <w:bottom w:w="30" w:type="dxa"/>
              <w:right w:w="20" w:type="dxa"/>
            </w:tcMar>
            <w:vAlign w:val="bottom"/>
            <w:hideMark/>
          </w:tcPr>
          <w:p w14:paraId="3A022E4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5358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D43611" w14:textId="77777777" w:rsidR="00000000" w:rsidRDefault="00A173A8">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622B0DD4"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8BE79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4DA3E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95C38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7A5653" w14:textId="77777777" w:rsidR="00000000" w:rsidRDefault="00A173A8">
            <w:pPr>
              <w:spacing w:after="100"/>
              <w:rPr>
                <w:rFonts w:eastAsia="Times New Roman"/>
                <w:sz w:val="20"/>
                <w:szCs w:val="20"/>
              </w:rPr>
            </w:pPr>
          </w:p>
        </w:tc>
        <w:tc>
          <w:tcPr>
            <w:tcW w:w="0" w:type="auto"/>
            <w:vAlign w:val="center"/>
            <w:hideMark/>
          </w:tcPr>
          <w:p w14:paraId="174E90FC" w14:textId="77777777" w:rsidR="00000000" w:rsidRDefault="00A173A8">
            <w:pPr>
              <w:spacing w:after="100"/>
              <w:rPr>
                <w:rFonts w:eastAsia="Times New Roman"/>
                <w:sz w:val="20"/>
                <w:szCs w:val="20"/>
              </w:rPr>
            </w:pPr>
          </w:p>
        </w:tc>
        <w:tc>
          <w:tcPr>
            <w:tcW w:w="0" w:type="auto"/>
            <w:vAlign w:val="center"/>
            <w:hideMark/>
          </w:tcPr>
          <w:p w14:paraId="3C1CDD6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677C2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13EBE5" w14:textId="77777777" w:rsidR="00000000" w:rsidRDefault="00A173A8">
            <w:pPr>
              <w:spacing w:after="100"/>
              <w:rPr>
                <w:rFonts w:eastAsia="Times New Roman"/>
                <w:sz w:val="20"/>
                <w:szCs w:val="20"/>
              </w:rPr>
            </w:pPr>
          </w:p>
        </w:tc>
        <w:tc>
          <w:tcPr>
            <w:tcW w:w="0" w:type="auto"/>
            <w:gridSpan w:val="3"/>
            <w:vAlign w:val="center"/>
            <w:hideMark/>
          </w:tcPr>
          <w:p w14:paraId="2A4D7B59" w14:textId="77777777" w:rsidR="00000000" w:rsidRDefault="00A173A8">
            <w:pPr>
              <w:spacing w:after="100"/>
              <w:rPr>
                <w:rFonts w:eastAsia="Times New Roman"/>
                <w:sz w:val="20"/>
                <w:szCs w:val="20"/>
              </w:rPr>
            </w:pPr>
          </w:p>
        </w:tc>
        <w:tc>
          <w:tcPr>
            <w:tcW w:w="0" w:type="auto"/>
            <w:gridSpan w:val="3"/>
            <w:vAlign w:val="center"/>
            <w:hideMark/>
          </w:tcPr>
          <w:p w14:paraId="7981BFEC" w14:textId="77777777" w:rsidR="00000000" w:rsidRDefault="00A173A8">
            <w:pPr>
              <w:spacing w:after="100"/>
              <w:rPr>
                <w:rFonts w:eastAsia="Times New Roman"/>
                <w:sz w:val="20"/>
                <w:szCs w:val="20"/>
              </w:rPr>
            </w:pPr>
          </w:p>
        </w:tc>
      </w:tr>
      <w:tr w:rsidR="00000000" w14:paraId="470C562C" w14:textId="77777777">
        <w:trPr>
          <w:divId w:val="413861997"/>
        </w:trPr>
        <w:tc>
          <w:tcPr>
            <w:tcW w:w="0" w:type="auto"/>
            <w:gridSpan w:val="3"/>
            <w:shd w:val="clear" w:color="auto" w:fill="CCEEFF"/>
            <w:tcMar>
              <w:top w:w="30" w:type="dxa"/>
              <w:left w:w="20" w:type="dxa"/>
              <w:bottom w:w="30" w:type="dxa"/>
              <w:right w:w="20" w:type="dxa"/>
            </w:tcMar>
            <w:vAlign w:val="center"/>
            <w:hideMark/>
          </w:tcPr>
          <w:p w14:paraId="5BB1C616" w14:textId="77777777" w:rsidR="00000000" w:rsidRDefault="00A173A8">
            <w:pPr>
              <w:spacing w:after="100"/>
              <w:rPr>
                <w:rFonts w:eastAsia="Times New Roman"/>
              </w:rPr>
            </w:pPr>
            <w:r>
              <w:rPr>
                <w:rFonts w:eastAsia="Times New Roman"/>
                <w:color w:val="000000"/>
                <w:sz w:val="20"/>
                <w:szCs w:val="20"/>
              </w:rPr>
              <w:t>Allowance coverage ratio</w:t>
            </w:r>
          </w:p>
        </w:tc>
        <w:tc>
          <w:tcPr>
            <w:tcW w:w="0" w:type="auto"/>
            <w:gridSpan w:val="3"/>
            <w:shd w:val="clear" w:color="auto" w:fill="CCEEFF"/>
            <w:tcMar>
              <w:top w:w="0" w:type="dxa"/>
              <w:left w:w="20" w:type="dxa"/>
              <w:bottom w:w="0" w:type="dxa"/>
              <w:right w:w="20" w:type="dxa"/>
            </w:tcMar>
            <w:vAlign w:val="center"/>
            <w:hideMark/>
          </w:tcPr>
          <w:p w14:paraId="4E0932C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1EDE5A4" w14:textId="77777777" w:rsidR="00000000" w:rsidRDefault="00A173A8">
            <w:pPr>
              <w:spacing w:after="100"/>
              <w:jc w:val="right"/>
              <w:rPr>
                <w:rFonts w:eastAsia="Times New Roman"/>
              </w:rPr>
            </w:pPr>
            <w:r>
              <w:rPr>
                <w:rFonts w:eastAsia="Times New Roman"/>
                <w:b/>
                <w:bCs/>
                <w:color w:val="000000"/>
                <w:sz w:val="20"/>
                <w:szCs w:val="20"/>
              </w:rPr>
              <w:t>6.76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8FAD41"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F666E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D7D43C" w14:textId="77777777" w:rsidR="00000000" w:rsidRDefault="00A173A8">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14:paraId="15F5F3D7"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798444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7FB148" w14:textId="77777777" w:rsidR="00000000" w:rsidRDefault="00A173A8">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08C0E310"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shd w:val="clear" w:color="auto" w:fill="CCEEFF"/>
            <w:tcMar>
              <w:top w:w="0" w:type="dxa"/>
              <w:left w:w="20" w:type="dxa"/>
              <w:bottom w:w="0" w:type="dxa"/>
              <w:right w:w="20" w:type="dxa"/>
            </w:tcMar>
            <w:vAlign w:val="center"/>
            <w:hideMark/>
          </w:tcPr>
          <w:p w14:paraId="6AD3905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6186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F3E2F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560D1F" w14:textId="77777777" w:rsidR="00000000" w:rsidRDefault="00A173A8">
            <w:pPr>
              <w:spacing w:after="100"/>
              <w:rPr>
                <w:rFonts w:eastAsia="Times New Roman"/>
                <w:sz w:val="20"/>
                <w:szCs w:val="20"/>
              </w:rPr>
            </w:pPr>
          </w:p>
        </w:tc>
        <w:tc>
          <w:tcPr>
            <w:tcW w:w="0" w:type="auto"/>
            <w:vAlign w:val="center"/>
            <w:hideMark/>
          </w:tcPr>
          <w:p w14:paraId="09422286" w14:textId="77777777" w:rsidR="00000000" w:rsidRDefault="00A173A8">
            <w:pPr>
              <w:spacing w:after="100"/>
              <w:rPr>
                <w:rFonts w:eastAsia="Times New Roman"/>
                <w:sz w:val="20"/>
                <w:szCs w:val="20"/>
              </w:rPr>
            </w:pPr>
          </w:p>
        </w:tc>
        <w:tc>
          <w:tcPr>
            <w:tcW w:w="0" w:type="auto"/>
            <w:vAlign w:val="center"/>
            <w:hideMark/>
          </w:tcPr>
          <w:p w14:paraId="4933345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6CAAC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E069B5" w14:textId="77777777" w:rsidR="00000000" w:rsidRDefault="00A173A8">
            <w:pPr>
              <w:spacing w:after="100"/>
              <w:rPr>
                <w:rFonts w:eastAsia="Times New Roman"/>
                <w:sz w:val="20"/>
                <w:szCs w:val="20"/>
              </w:rPr>
            </w:pPr>
          </w:p>
        </w:tc>
        <w:tc>
          <w:tcPr>
            <w:tcW w:w="0" w:type="auto"/>
            <w:gridSpan w:val="3"/>
            <w:vAlign w:val="center"/>
            <w:hideMark/>
          </w:tcPr>
          <w:p w14:paraId="5F4447A7" w14:textId="77777777" w:rsidR="00000000" w:rsidRDefault="00A173A8">
            <w:pPr>
              <w:spacing w:after="100"/>
              <w:rPr>
                <w:rFonts w:eastAsia="Times New Roman"/>
                <w:sz w:val="20"/>
                <w:szCs w:val="20"/>
              </w:rPr>
            </w:pPr>
          </w:p>
        </w:tc>
        <w:tc>
          <w:tcPr>
            <w:tcW w:w="0" w:type="auto"/>
            <w:gridSpan w:val="3"/>
            <w:vAlign w:val="center"/>
            <w:hideMark/>
          </w:tcPr>
          <w:p w14:paraId="597DB818" w14:textId="77777777" w:rsidR="00000000" w:rsidRDefault="00A173A8">
            <w:pPr>
              <w:spacing w:after="100"/>
              <w:rPr>
                <w:rFonts w:eastAsia="Times New Roman"/>
                <w:sz w:val="20"/>
                <w:szCs w:val="20"/>
              </w:rPr>
            </w:pPr>
          </w:p>
        </w:tc>
      </w:tr>
    </w:tbl>
    <w:p w14:paraId="3F52AD93" w14:textId="77777777" w:rsidR="00000000" w:rsidRDefault="00A173A8">
      <w:pPr>
        <w:divId w:val="413861997"/>
        <w:rPr>
          <w:rFonts w:eastAsia="Times New Roman"/>
        </w:rPr>
      </w:pPr>
      <w:r>
        <w:rPr>
          <w:rFonts w:eastAsia="Times New Roman"/>
          <w:color w:val="000000"/>
          <w:sz w:val="20"/>
          <w:szCs w:val="20"/>
        </w:rPr>
        <w:t>__________</w:t>
      </w:r>
    </w:p>
    <w:p w14:paraId="61D9C734" w14:textId="77777777" w:rsidR="00000000" w:rsidRDefault="00A173A8">
      <w:pPr>
        <w:ind w:hanging="360"/>
        <w:jc w:val="both"/>
        <w:divId w:val="124067211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w:t>
      </w:r>
      <w:r>
        <w:rPr>
          <w:rFonts w:eastAsia="Times New Roman"/>
          <w:color w:val="000000"/>
          <w:sz w:val="16"/>
          <w:szCs w:val="16"/>
        </w:rPr>
        <w:t>ions of the credit arrangements and charge off uncollectible amounts. Total net revenue was reduced by $211 million and $403 million in the second quarter and first six months of 2022, respectively, compared to $175 million and $355 million in the second q</w:t>
      </w:r>
      <w:r>
        <w:rPr>
          <w:rFonts w:eastAsia="Times New Roman"/>
          <w:color w:val="000000"/>
          <w:sz w:val="16"/>
          <w:szCs w:val="16"/>
        </w:rPr>
        <w:t>uarter and first six months of 2021, respectively, for finance charges and fees charged-off as uncollectible.</w:t>
      </w:r>
    </w:p>
    <w:p w14:paraId="7ABBF7D2" w14:textId="77777777" w:rsidR="00000000" w:rsidRDefault="00A173A8">
      <w:pPr>
        <w:ind w:hanging="360"/>
        <w:jc w:val="both"/>
        <w:divId w:val="109066476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Average yield is calculated based on annualized interest income for the period divided by average loans during the period and does not include any allocations, such as funds transfer pricing. </w:t>
      </w:r>
    </w:p>
    <w:p w14:paraId="181F1CA4" w14:textId="77777777" w:rsidR="00000000" w:rsidRDefault="00A173A8">
      <w:pPr>
        <w:ind w:hanging="360"/>
        <w:jc w:val="both"/>
        <w:divId w:val="130373656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Total net revenue margin is calculated based on annualized t</w:t>
      </w:r>
      <w:r>
        <w:rPr>
          <w:rFonts w:eastAsia="Times New Roman"/>
          <w:color w:val="000000"/>
          <w:sz w:val="16"/>
          <w:szCs w:val="16"/>
        </w:rPr>
        <w:t>otal net revenue for the period divided by average loans during the period.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1C41C68" w14:textId="77777777">
        <w:trPr>
          <w:divId w:val="483862508"/>
          <w:jc w:val="center"/>
        </w:trPr>
        <w:tc>
          <w:tcPr>
            <w:tcW w:w="50" w:type="pct"/>
            <w:vAlign w:val="center"/>
            <w:hideMark/>
          </w:tcPr>
          <w:p w14:paraId="7C9A8209" w14:textId="77777777" w:rsidR="00000000" w:rsidRDefault="00A173A8">
            <w:pPr>
              <w:ind w:hanging="360"/>
              <w:jc w:val="both"/>
              <w:rPr>
                <w:rFonts w:eastAsia="Times New Roman"/>
              </w:rPr>
            </w:pPr>
          </w:p>
        </w:tc>
        <w:tc>
          <w:tcPr>
            <w:tcW w:w="1606" w:type="pct"/>
            <w:vAlign w:val="center"/>
            <w:hideMark/>
          </w:tcPr>
          <w:p w14:paraId="4E7B97E4" w14:textId="77777777" w:rsidR="00000000" w:rsidRDefault="00A173A8">
            <w:pPr>
              <w:spacing w:after="100"/>
              <w:rPr>
                <w:rFonts w:eastAsia="Times New Roman"/>
                <w:sz w:val="20"/>
                <w:szCs w:val="20"/>
              </w:rPr>
            </w:pPr>
          </w:p>
        </w:tc>
        <w:tc>
          <w:tcPr>
            <w:tcW w:w="5" w:type="pct"/>
            <w:vAlign w:val="center"/>
            <w:hideMark/>
          </w:tcPr>
          <w:p w14:paraId="767EF325" w14:textId="77777777" w:rsidR="00000000" w:rsidRDefault="00A173A8">
            <w:pPr>
              <w:spacing w:after="100"/>
              <w:rPr>
                <w:rFonts w:eastAsia="Times New Roman"/>
                <w:sz w:val="20"/>
                <w:szCs w:val="20"/>
              </w:rPr>
            </w:pPr>
          </w:p>
        </w:tc>
        <w:tc>
          <w:tcPr>
            <w:tcW w:w="50" w:type="pct"/>
            <w:vAlign w:val="center"/>
            <w:hideMark/>
          </w:tcPr>
          <w:p w14:paraId="7F42D32A" w14:textId="77777777" w:rsidR="00000000" w:rsidRDefault="00A173A8">
            <w:pPr>
              <w:spacing w:after="100"/>
              <w:rPr>
                <w:rFonts w:eastAsia="Times New Roman"/>
                <w:sz w:val="20"/>
                <w:szCs w:val="20"/>
              </w:rPr>
            </w:pPr>
          </w:p>
        </w:tc>
        <w:tc>
          <w:tcPr>
            <w:tcW w:w="1614" w:type="pct"/>
            <w:vAlign w:val="center"/>
            <w:hideMark/>
          </w:tcPr>
          <w:p w14:paraId="41ABF4DC" w14:textId="77777777" w:rsidR="00000000" w:rsidRDefault="00A173A8">
            <w:pPr>
              <w:spacing w:after="100"/>
              <w:rPr>
                <w:rFonts w:eastAsia="Times New Roman"/>
                <w:sz w:val="20"/>
                <w:szCs w:val="20"/>
              </w:rPr>
            </w:pPr>
          </w:p>
        </w:tc>
        <w:tc>
          <w:tcPr>
            <w:tcW w:w="5" w:type="pct"/>
            <w:vAlign w:val="center"/>
            <w:hideMark/>
          </w:tcPr>
          <w:p w14:paraId="7CDD6679" w14:textId="77777777" w:rsidR="00000000" w:rsidRDefault="00A173A8">
            <w:pPr>
              <w:spacing w:after="100"/>
              <w:rPr>
                <w:rFonts w:eastAsia="Times New Roman"/>
                <w:sz w:val="20"/>
                <w:szCs w:val="20"/>
              </w:rPr>
            </w:pPr>
          </w:p>
        </w:tc>
        <w:tc>
          <w:tcPr>
            <w:tcW w:w="50" w:type="pct"/>
            <w:vAlign w:val="center"/>
            <w:hideMark/>
          </w:tcPr>
          <w:p w14:paraId="54B125E5" w14:textId="77777777" w:rsidR="00000000" w:rsidRDefault="00A173A8">
            <w:pPr>
              <w:spacing w:after="100"/>
              <w:rPr>
                <w:rFonts w:eastAsia="Times New Roman"/>
                <w:sz w:val="20"/>
                <w:szCs w:val="20"/>
              </w:rPr>
            </w:pPr>
          </w:p>
        </w:tc>
        <w:tc>
          <w:tcPr>
            <w:tcW w:w="1614" w:type="pct"/>
            <w:vAlign w:val="center"/>
            <w:hideMark/>
          </w:tcPr>
          <w:p w14:paraId="2B07986F" w14:textId="77777777" w:rsidR="00000000" w:rsidRDefault="00A173A8">
            <w:pPr>
              <w:spacing w:after="100"/>
              <w:rPr>
                <w:rFonts w:eastAsia="Times New Roman"/>
                <w:sz w:val="20"/>
                <w:szCs w:val="20"/>
              </w:rPr>
            </w:pPr>
          </w:p>
        </w:tc>
        <w:tc>
          <w:tcPr>
            <w:tcW w:w="5" w:type="pct"/>
            <w:vAlign w:val="center"/>
            <w:hideMark/>
          </w:tcPr>
          <w:p w14:paraId="5D6FB6C9" w14:textId="77777777" w:rsidR="00000000" w:rsidRDefault="00A173A8">
            <w:pPr>
              <w:spacing w:after="100"/>
              <w:rPr>
                <w:rFonts w:eastAsia="Times New Roman"/>
                <w:sz w:val="20"/>
                <w:szCs w:val="20"/>
              </w:rPr>
            </w:pPr>
          </w:p>
        </w:tc>
      </w:tr>
      <w:tr w:rsidR="00000000" w14:paraId="58298784" w14:textId="77777777">
        <w:trPr>
          <w:divId w:val="483862508"/>
          <w:trHeight w:val="300"/>
          <w:jc w:val="center"/>
        </w:trPr>
        <w:tc>
          <w:tcPr>
            <w:tcW w:w="0" w:type="auto"/>
            <w:gridSpan w:val="9"/>
            <w:tcMar>
              <w:top w:w="0" w:type="dxa"/>
              <w:left w:w="20" w:type="dxa"/>
              <w:bottom w:w="0" w:type="dxa"/>
              <w:right w:w="20" w:type="dxa"/>
            </w:tcMar>
            <w:vAlign w:val="center"/>
            <w:hideMark/>
          </w:tcPr>
          <w:p w14:paraId="7B827E05" w14:textId="77777777" w:rsidR="00000000" w:rsidRDefault="00A173A8">
            <w:pPr>
              <w:spacing w:after="100"/>
              <w:rPr>
                <w:rFonts w:eastAsia="Times New Roman"/>
                <w:sz w:val="20"/>
                <w:szCs w:val="20"/>
              </w:rPr>
            </w:pPr>
          </w:p>
        </w:tc>
      </w:tr>
      <w:tr w:rsidR="00000000" w14:paraId="1223DF5E" w14:textId="77777777">
        <w:trPr>
          <w:divId w:val="483862508"/>
          <w:jc w:val="center"/>
        </w:trPr>
        <w:tc>
          <w:tcPr>
            <w:tcW w:w="0" w:type="auto"/>
            <w:gridSpan w:val="3"/>
            <w:tcMar>
              <w:top w:w="0" w:type="dxa"/>
              <w:left w:w="20" w:type="dxa"/>
              <w:bottom w:w="0" w:type="dxa"/>
              <w:right w:w="20" w:type="dxa"/>
            </w:tcMar>
            <w:vAlign w:val="center"/>
            <w:hideMark/>
          </w:tcPr>
          <w:p w14:paraId="4C40BCFA"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A9E9D7B" w14:textId="77777777" w:rsidR="00000000" w:rsidRDefault="00A173A8">
            <w:pPr>
              <w:spacing w:after="100"/>
              <w:jc w:val="center"/>
              <w:rPr>
                <w:rFonts w:eastAsia="Times New Roman"/>
              </w:rPr>
            </w:pPr>
            <w:r>
              <w:rPr>
                <w:rFonts w:eastAsia="Times New Roman"/>
                <w:color w:val="000000"/>
                <w:sz w:val="16"/>
                <w:szCs w:val="16"/>
              </w:rPr>
              <w:t>20</w:t>
            </w:r>
          </w:p>
        </w:tc>
        <w:tc>
          <w:tcPr>
            <w:tcW w:w="0" w:type="auto"/>
            <w:gridSpan w:val="3"/>
            <w:tcMar>
              <w:top w:w="30" w:type="dxa"/>
              <w:left w:w="20" w:type="dxa"/>
              <w:bottom w:w="30" w:type="dxa"/>
              <w:right w:w="20" w:type="dxa"/>
            </w:tcMar>
            <w:vAlign w:val="bottom"/>
            <w:hideMark/>
          </w:tcPr>
          <w:p w14:paraId="620C6FA4"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53CC523" w14:textId="77777777" w:rsidR="00000000" w:rsidRDefault="00A173A8">
      <w:pPr>
        <w:rPr>
          <w:rFonts w:eastAsia="Times New Roman"/>
        </w:rPr>
      </w:pPr>
      <w:r>
        <w:rPr>
          <w:rFonts w:eastAsia="Times New Roman"/>
        </w:rPr>
        <w:pict w14:anchorId="1718CA29">
          <v:rect id="_x0000_i1045" style="width:0;height:1.5pt" o:hralign="center" o:hrstd="t" o:hr="t" fillcolor="#a0a0a0" stroked="f"/>
        </w:pict>
      </w:r>
    </w:p>
    <w:p w14:paraId="076374BC" w14:textId="77777777" w:rsidR="00000000" w:rsidRDefault="00A173A8">
      <w:pPr>
        <w:ind w:hanging="360"/>
        <w:jc w:val="both"/>
        <w:divId w:val="1329166163"/>
        <w:rPr>
          <w:rFonts w:eastAsia="Times New Roman"/>
        </w:rPr>
      </w:pPr>
      <w:hyperlink w:anchor="i7ffd5d61af6f4722b1b1b07530d51c06_13" w:history="1">
        <w:r>
          <w:rPr>
            <w:rStyle w:val="a3"/>
            <w:rFonts w:eastAsia="Times New Roman"/>
            <w:sz w:val="16"/>
            <w:szCs w:val="16"/>
          </w:rPr>
          <w:t>Table of Contents</w:t>
        </w:r>
      </w:hyperlink>
    </w:p>
    <w:p w14:paraId="0D81F970" w14:textId="77777777" w:rsidR="00000000" w:rsidRDefault="00A173A8">
      <w:pPr>
        <w:ind w:hanging="360"/>
        <w:jc w:val="both"/>
        <w:divId w:val="59443542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Within our credit card loan portfolio, only certain loans in our international card businesses are classified as nonperforming. See “MD&amp;A—No</w:t>
      </w:r>
      <w:r>
        <w:rPr>
          <w:rFonts w:eastAsia="Times New Roman"/>
          <w:color w:val="000000"/>
          <w:sz w:val="16"/>
          <w:szCs w:val="16"/>
        </w:rPr>
        <w:t>nperforming Loans and Other Nonperforming Assets” for additional information.</w:t>
      </w:r>
    </w:p>
    <w:p w14:paraId="4E4AE673" w14:textId="77777777" w:rsidR="00000000" w:rsidRDefault="00A173A8">
      <w:pPr>
        <w:ind w:firstLine="360"/>
        <w:jc w:val="both"/>
        <w:divId w:val="252590863"/>
        <w:rPr>
          <w:rFonts w:eastAsia="Times New Roman"/>
        </w:rPr>
      </w:pPr>
      <w:r>
        <w:rPr>
          <w:rFonts w:eastAsia="Times New Roman"/>
          <w:color w:val="000000"/>
          <w:sz w:val="16"/>
          <w:szCs w:val="16"/>
        </w:rPr>
        <w:t>** Not meaningful.</w:t>
      </w:r>
    </w:p>
    <w:p w14:paraId="2A779C6D" w14:textId="77777777" w:rsidR="00000000" w:rsidRDefault="00A173A8">
      <w:pPr>
        <w:jc w:val="both"/>
        <w:divId w:val="1023046884"/>
        <w:rPr>
          <w:rFonts w:eastAsia="Times New Roman"/>
        </w:rPr>
      </w:pPr>
      <w:r>
        <w:rPr>
          <w:rFonts w:eastAsia="Times New Roman"/>
          <w:color w:val="000000"/>
          <w:sz w:val="20"/>
          <w:szCs w:val="20"/>
        </w:rPr>
        <w:t xml:space="preserve">Key factors affecting the results of our Credit Card business for the second quarter and first six months of 2022 compared to the second quarter and first six </w:t>
      </w:r>
      <w:r>
        <w:rPr>
          <w:rFonts w:eastAsia="Times New Roman"/>
          <w:color w:val="000000"/>
          <w:sz w:val="20"/>
          <w:szCs w:val="20"/>
        </w:rPr>
        <w:t>months of 2021, and changes in financial condition and credit performance between June 30, 2022 and December 31, 2021 include the following:</w:t>
      </w:r>
    </w:p>
    <w:p w14:paraId="49B8C27C" w14:textId="77777777" w:rsidR="00000000" w:rsidRDefault="00A173A8">
      <w:pPr>
        <w:ind w:hanging="360"/>
        <w:jc w:val="both"/>
        <w:divId w:val="107091701"/>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increased by $682 million to $3.9 billion in the second quarter of 2022 a</w:t>
      </w:r>
      <w:r>
        <w:rPr>
          <w:rFonts w:eastAsia="Times New Roman"/>
          <w:color w:val="000000"/>
          <w:sz w:val="20"/>
          <w:szCs w:val="20"/>
        </w:rPr>
        <w:t>nd increased by $1.1 billion to $7.7 billion in the first six months of 2022 primarily driven by higher average loan balances and higher margins.</w:t>
      </w:r>
    </w:p>
    <w:p w14:paraId="5009F46D" w14:textId="77777777" w:rsidR="00000000" w:rsidRDefault="00A173A8">
      <w:pPr>
        <w:ind w:hanging="360"/>
        <w:jc w:val="both"/>
        <w:divId w:val="1366634087"/>
        <w:rPr>
          <w:rFonts w:eastAsia="Times New Roman"/>
        </w:rPr>
      </w:pPr>
      <w:r>
        <w:rPr>
          <w:rFonts w:eastAsia="Times New Roman"/>
          <w:color w:val="000000"/>
          <w:sz w:val="18"/>
          <w:szCs w:val="18"/>
        </w:rPr>
        <w:t>•</w:t>
      </w:r>
      <w:r>
        <w:rPr>
          <w:rFonts w:eastAsia="Times New Roman"/>
          <w:i/>
          <w:iCs/>
          <w:color w:val="000000"/>
          <w:sz w:val="20"/>
          <w:szCs w:val="20"/>
        </w:rPr>
        <w:t xml:space="preserve">Non-Interest Income: </w:t>
      </w:r>
      <w:r>
        <w:rPr>
          <w:rFonts w:eastAsia="Times New Roman"/>
          <w:color w:val="000000"/>
          <w:sz w:val="20"/>
          <w:szCs w:val="20"/>
        </w:rPr>
        <w:t>Non-interest income increased by $157 million to $1.4 billion in the second quarter of 2</w:t>
      </w:r>
      <w:r>
        <w:rPr>
          <w:rFonts w:eastAsia="Times New Roman"/>
          <w:color w:val="000000"/>
          <w:sz w:val="20"/>
          <w:szCs w:val="20"/>
        </w:rPr>
        <w:t>022 and increased by $586 million to $2.9 billion in the first six months of 2022 primarily driven by higher net interchange fees due to an increase in purchase volume.</w:t>
      </w:r>
    </w:p>
    <w:p w14:paraId="28F2CA39" w14:textId="77777777" w:rsidR="00000000" w:rsidRDefault="00A173A8">
      <w:pPr>
        <w:ind w:hanging="360"/>
        <w:jc w:val="both"/>
        <w:divId w:val="928852475"/>
        <w:rPr>
          <w:rFonts w:eastAsia="Times New Roman"/>
        </w:rPr>
      </w:pPr>
      <w:r>
        <w:rPr>
          <w:rFonts w:eastAsia="Times New Roman"/>
          <w:color w:val="000000"/>
          <w:sz w:val="18"/>
          <w:szCs w:val="18"/>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increased by $1.2 billion to </w:t>
      </w:r>
      <w:r>
        <w:rPr>
          <w:rFonts w:eastAsia="Times New Roman"/>
          <w:color w:val="000000"/>
          <w:sz w:val="20"/>
          <w:szCs w:val="20"/>
        </w:rPr>
        <w:t>$581 million in the second quarter of 2022 and increased by $2.3 billion to $1.1 billion in the first six months of 2022 driven by more modest allowance releases in 2022 due to continued strong credit performance, partially offset by loan growth and contin</w:t>
      </w:r>
      <w:r>
        <w:rPr>
          <w:rFonts w:eastAsia="Times New Roman"/>
          <w:color w:val="000000"/>
          <w:sz w:val="20"/>
          <w:szCs w:val="20"/>
        </w:rPr>
        <w:t xml:space="preserve">ued economic uncertainty, compared to allowance releases in the first half of 2021. </w:t>
      </w:r>
    </w:p>
    <w:p w14:paraId="0544B145" w14:textId="77777777" w:rsidR="00000000" w:rsidRDefault="00A173A8">
      <w:pPr>
        <w:ind w:hanging="360"/>
        <w:divId w:val="591355413"/>
        <w:rPr>
          <w:rFonts w:eastAsia="Times New Roman"/>
        </w:rPr>
      </w:pPr>
      <w:r>
        <w:rPr>
          <w:rFonts w:eastAsia="Times New Roman"/>
          <w:color w:val="000000"/>
          <w:sz w:val="20"/>
          <w:szCs w:val="20"/>
        </w:rPr>
        <w:t>•</w:t>
      </w:r>
      <w:r>
        <w:rPr>
          <w:rFonts w:eastAsia="Times New Roman"/>
          <w:i/>
          <w:iCs/>
          <w:color w:val="000000"/>
          <w:sz w:val="20"/>
          <w:szCs w:val="20"/>
        </w:rPr>
        <w:t>Non-Interest Expense:</w:t>
      </w:r>
      <w:r>
        <w:rPr>
          <w:rFonts w:eastAsia="Times New Roman"/>
          <w:color w:val="000000"/>
          <w:sz w:val="20"/>
          <w:szCs w:val="20"/>
        </w:rPr>
        <w:t xml:space="preserve"> Non-interest expense increased by $508 million to $2.8 billion in the second quarter of 2022 and increased by $1.2 billion to $5.6 billion in the fi</w:t>
      </w:r>
      <w:r>
        <w:rPr>
          <w:rFonts w:eastAsia="Times New Roman"/>
          <w:color w:val="000000"/>
          <w:sz w:val="20"/>
          <w:szCs w:val="20"/>
        </w:rPr>
        <w:t>rst six months of 2022 primarily driven by increased marketing spend.</w:t>
      </w:r>
    </w:p>
    <w:p w14:paraId="37515F43" w14:textId="77777777" w:rsidR="00000000" w:rsidRDefault="00A173A8">
      <w:pPr>
        <w:divId w:val="31998942"/>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w:t>
      </w:r>
    </w:p>
    <w:p w14:paraId="47C053D9" w14:textId="77777777" w:rsidR="00000000" w:rsidRDefault="00A173A8">
      <w:pPr>
        <w:ind w:hanging="360"/>
        <w:divId w:val="1214655882"/>
        <w:rPr>
          <w:rFonts w:eastAsia="Times New Roman"/>
        </w:rPr>
      </w:pPr>
      <w:r>
        <w:rPr>
          <w:rFonts w:eastAsia="Times New Roman"/>
          <w:color w:val="000000"/>
          <w:sz w:val="20"/>
          <w:szCs w:val="20"/>
        </w:rPr>
        <w:t>•</w:t>
      </w:r>
      <w:r>
        <w:rPr>
          <w:rFonts w:eastAsia="Times New Roman"/>
          <w:color w:val="000000"/>
          <w:sz w:val="20"/>
          <w:szCs w:val="20"/>
        </w:rPr>
        <w:t>Period-end loans held for investment increased by $6.1 billion to $120.9 billion as of June 30, 2022 from December 31, 2021 primarily driven by higher purchase volume and slightly lower customer payment rates.</w:t>
      </w:r>
    </w:p>
    <w:p w14:paraId="385D82C0" w14:textId="77777777" w:rsidR="00000000" w:rsidRDefault="00A173A8">
      <w:pPr>
        <w:ind w:hanging="360"/>
        <w:divId w:val="469714428"/>
        <w:rPr>
          <w:rFonts w:eastAsia="Times New Roman"/>
        </w:rPr>
      </w:pPr>
    </w:p>
    <w:p w14:paraId="766DCE32" w14:textId="77777777" w:rsidR="00000000" w:rsidRDefault="00A173A8">
      <w:pPr>
        <w:ind w:hanging="360"/>
        <w:jc w:val="both"/>
        <w:rPr>
          <w:rFonts w:eastAsia="Times New Roman"/>
        </w:rPr>
      </w:pPr>
      <w:r>
        <w:rPr>
          <w:rFonts w:eastAsia="Times New Roman"/>
          <w:color w:val="000000"/>
          <w:sz w:val="20"/>
          <w:szCs w:val="20"/>
        </w:rPr>
        <w:t>•Average loans held for investment increased</w:t>
      </w:r>
      <w:r>
        <w:rPr>
          <w:rFonts w:eastAsia="Times New Roman"/>
          <w:color w:val="000000"/>
          <w:sz w:val="20"/>
          <w:szCs w:val="20"/>
        </w:rPr>
        <w:t xml:space="preserve"> by $16.2 billion to $115.8 billion in the second quarter of 2022 compared to the second quarter of 2021 and increased by $13.6 billion to $113.7 billion in the first six months of 2022 compared to the first six months of 2021 primarily driven by higher pu</w:t>
      </w:r>
      <w:r>
        <w:rPr>
          <w:rFonts w:eastAsia="Times New Roman"/>
          <w:color w:val="000000"/>
          <w:sz w:val="20"/>
          <w:szCs w:val="20"/>
        </w:rPr>
        <w:t>rchase volume and slightly lower customer payment rates.</w:t>
      </w:r>
    </w:p>
    <w:p w14:paraId="6D8C5B2F" w14:textId="77777777" w:rsidR="00000000" w:rsidRDefault="00A173A8">
      <w:pPr>
        <w:divId w:val="1815220765"/>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xml:space="preserve"> </w:t>
      </w:r>
    </w:p>
    <w:p w14:paraId="3C930034" w14:textId="77777777" w:rsidR="00000000" w:rsidRDefault="00A173A8">
      <w:pPr>
        <w:ind w:hanging="360"/>
        <w:jc w:val="both"/>
        <w:rPr>
          <w:rFonts w:eastAsia="Times New Roman"/>
        </w:rPr>
      </w:pPr>
      <w:r>
        <w:rPr>
          <w:rFonts w:eastAsia="Times New Roman"/>
          <w:i/>
          <w:iCs/>
          <w:color w:val="000000"/>
          <w:sz w:val="20"/>
          <w:szCs w:val="20"/>
        </w:rPr>
        <w:t>•</w:t>
      </w:r>
      <w:r>
        <w:rPr>
          <w:rFonts w:eastAsia="Times New Roman"/>
          <w:color w:val="000000"/>
          <w:sz w:val="20"/>
          <w:szCs w:val="20"/>
        </w:rPr>
        <w:t>The net charge-off rate increased by 5 basis points to 2.34% in the second quarter of 2022 compared to the second quarter of 2021. The net charge-off rate decreased by 15 basis points to 2.26% in the first six months of 2022 compared to the first six month</w:t>
      </w:r>
      <w:r>
        <w:rPr>
          <w:rFonts w:eastAsia="Times New Roman"/>
          <w:color w:val="000000"/>
          <w:sz w:val="20"/>
          <w:szCs w:val="20"/>
        </w:rPr>
        <w:t>s of 2021 primarily driven by higher average loan balances, partially offset by continued gradual credit normalization.</w:t>
      </w:r>
    </w:p>
    <w:p w14:paraId="6E7B948B" w14:textId="77777777" w:rsidR="00000000" w:rsidRDefault="00A173A8">
      <w:pPr>
        <w:divId w:val="2084333872"/>
        <w:rPr>
          <w:rFonts w:eastAsia="Times New Roman"/>
        </w:rPr>
      </w:pPr>
    </w:p>
    <w:p w14:paraId="15FE878B" w14:textId="77777777" w:rsidR="00000000" w:rsidRDefault="00A173A8">
      <w:pPr>
        <w:ind w:hanging="360"/>
        <w:jc w:val="both"/>
        <w:rPr>
          <w:rFonts w:eastAsia="Times New Roman"/>
        </w:rPr>
      </w:pPr>
      <w:r>
        <w:rPr>
          <w:rFonts w:eastAsia="Times New Roman"/>
          <w:i/>
          <w:iCs/>
          <w:color w:val="000000"/>
          <w:sz w:val="20"/>
          <w:szCs w:val="20"/>
        </w:rPr>
        <w:t>•</w:t>
      </w:r>
      <w:r>
        <w:rPr>
          <w:rFonts w:eastAsia="Times New Roman"/>
          <w:color w:val="000000"/>
          <w:sz w:val="20"/>
          <w:szCs w:val="20"/>
        </w:rPr>
        <w:t>The 30+ day delinquency rate increased by 13 basis points to 2.42% as of June 30, 2022 from December 31, 2021 primarily driven by con</w:t>
      </w:r>
      <w:r>
        <w:rPr>
          <w:rFonts w:eastAsia="Times New Roman"/>
          <w:color w:val="000000"/>
          <w:sz w:val="20"/>
          <w:szCs w:val="20"/>
        </w:rPr>
        <w:t xml:space="preserve">tinued gradual credit normalization, partially offset by higher ending loan balances. </w:t>
      </w:r>
    </w:p>
    <w:p w14:paraId="60A29A77" w14:textId="77777777" w:rsidR="00000000" w:rsidRDefault="00A173A8">
      <w:pPr>
        <w:divId w:val="2053647124"/>
        <w:rPr>
          <w:rFonts w:eastAsia="Times New Roman"/>
        </w:rPr>
      </w:pPr>
      <w:r>
        <w:rPr>
          <w:rFonts w:eastAsia="Times New Roman"/>
          <w:b/>
          <w:bCs/>
          <w:color w:val="000000"/>
          <w:sz w:val="20"/>
          <w:szCs w:val="20"/>
        </w:rPr>
        <w:t>Domestic Card Business</w:t>
      </w:r>
    </w:p>
    <w:p w14:paraId="590C9F32" w14:textId="77777777" w:rsidR="00000000" w:rsidRDefault="00A173A8">
      <w:pPr>
        <w:jc w:val="both"/>
        <w:divId w:val="546450504"/>
        <w:rPr>
          <w:rFonts w:eastAsia="Times New Roman"/>
        </w:rPr>
      </w:pPr>
      <w:r>
        <w:rPr>
          <w:rFonts w:eastAsia="Times New Roman"/>
          <w:color w:val="000000"/>
          <w:sz w:val="20"/>
          <w:szCs w:val="20"/>
        </w:rPr>
        <w:t>The Domestic Card business generated net income from continuing operations of $1.5 billion and $2.8 billion in the second quarter and first six mo</w:t>
      </w:r>
      <w:r>
        <w:rPr>
          <w:rFonts w:eastAsia="Times New Roman"/>
          <w:color w:val="000000"/>
          <w:sz w:val="20"/>
          <w:szCs w:val="20"/>
        </w:rPr>
        <w:t xml:space="preserve">nths of 2022, respectively, and $2.0 billion and $4.0 billion in the second quarter and first six months of 2021, respectively. In the second quarter and first six months of 2022 and 2021, the Domestic Card business accounted for greater than 90% of total </w:t>
      </w:r>
      <w:r>
        <w:rPr>
          <w:rFonts w:eastAsia="Times New Roman"/>
          <w:color w:val="000000"/>
          <w:sz w:val="20"/>
          <w:szCs w:val="20"/>
        </w:rPr>
        <w:t>net revenue of our Credit Card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C61C012" w14:textId="77777777">
        <w:trPr>
          <w:divId w:val="2077892981"/>
          <w:jc w:val="center"/>
        </w:trPr>
        <w:tc>
          <w:tcPr>
            <w:tcW w:w="50" w:type="pct"/>
            <w:vAlign w:val="center"/>
            <w:hideMark/>
          </w:tcPr>
          <w:p w14:paraId="54442471" w14:textId="77777777" w:rsidR="00000000" w:rsidRDefault="00A173A8">
            <w:pPr>
              <w:jc w:val="both"/>
              <w:rPr>
                <w:rFonts w:eastAsia="Times New Roman"/>
              </w:rPr>
            </w:pPr>
          </w:p>
        </w:tc>
        <w:tc>
          <w:tcPr>
            <w:tcW w:w="1606" w:type="pct"/>
            <w:vAlign w:val="center"/>
            <w:hideMark/>
          </w:tcPr>
          <w:p w14:paraId="5536F6BD" w14:textId="77777777" w:rsidR="00000000" w:rsidRDefault="00A173A8">
            <w:pPr>
              <w:spacing w:after="100"/>
              <w:rPr>
                <w:rFonts w:eastAsia="Times New Roman"/>
                <w:sz w:val="20"/>
                <w:szCs w:val="20"/>
              </w:rPr>
            </w:pPr>
          </w:p>
        </w:tc>
        <w:tc>
          <w:tcPr>
            <w:tcW w:w="5" w:type="pct"/>
            <w:vAlign w:val="center"/>
            <w:hideMark/>
          </w:tcPr>
          <w:p w14:paraId="38A49BE2" w14:textId="77777777" w:rsidR="00000000" w:rsidRDefault="00A173A8">
            <w:pPr>
              <w:spacing w:after="100"/>
              <w:rPr>
                <w:rFonts w:eastAsia="Times New Roman"/>
                <w:sz w:val="20"/>
                <w:szCs w:val="20"/>
              </w:rPr>
            </w:pPr>
          </w:p>
        </w:tc>
        <w:tc>
          <w:tcPr>
            <w:tcW w:w="50" w:type="pct"/>
            <w:vAlign w:val="center"/>
            <w:hideMark/>
          </w:tcPr>
          <w:p w14:paraId="1DFD042C" w14:textId="77777777" w:rsidR="00000000" w:rsidRDefault="00A173A8">
            <w:pPr>
              <w:spacing w:after="100"/>
              <w:rPr>
                <w:rFonts w:eastAsia="Times New Roman"/>
                <w:sz w:val="20"/>
                <w:szCs w:val="20"/>
              </w:rPr>
            </w:pPr>
          </w:p>
        </w:tc>
        <w:tc>
          <w:tcPr>
            <w:tcW w:w="1614" w:type="pct"/>
            <w:vAlign w:val="center"/>
            <w:hideMark/>
          </w:tcPr>
          <w:p w14:paraId="0E95C203" w14:textId="77777777" w:rsidR="00000000" w:rsidRDefault="00A173A8">
            <w:pPr>
              <w:spacing w:after="100"/>
              <w:rPr>
                <w:rFonts w:eastAsia="Times New Roman"/>
                <w:sz w:val="20"/>
                <w:szCs w:val="20"/>
              </w:rPr>
            </w:pPr>
          </w:p>
        </w:tc>
        <w:tc>
          <w:tcPr>
            <w:tcW w:w="5" w:type="pct"/>
            <w:vAlign w:val="center"/>
            <w:hideMark/>
          </w:tcPr>
          <w:p w14:paraId="22409F25" w14:textId="77777777" w:rsidR="00000000" w:rsidRDefault="00A173A8">
            <w:pPr>
              <w:spacing w:after="100"/>
              <w:rPr>
                <w:rFonts w:eastAsia="Times New Roman"/>
                <w:sz w:val="20"/>
                <w:szCs w:val="20"/>
              </w:rPr>
            </w:pPr>
          </w:p>
        </w:tc>
        <w:tc>
          <w:tcPr>
            <w:tcW w:w="50" w:type="pct"/>
            <w:vAlign w:val="center"/>
            <w:hideMark/>
          </w:tcPr>
          <w:p w14:paraId="24260ECF" w14:textId="77777777" w:rsidR="00000000" w:rsidRDefault="00A173A8">
            <w:pPr>
              <w:spacing w:after="100"/>
              <w:rPr>
                <w:rFonts w:eastAsia="Times New Roman"/>
                <w:sz w:val="20"/>
                <w:szCs w:val="20"/>
              </w:rPr>
            </w:pPr>
          </w:p>
        </w:tc>
        <w:tc>
          <w:tcPr>
            <w:tcW w:w="1614" w:type="pct"/>
            <w:vAlign w:val="center"/>
            <w:hideMark/>
          </w:tcPr>
          <w:p w14:paraId="6312CFCC" w14:textId="77777777" w:rsidR="00000000" w:rsidRDefault="00A173A8">
            <w:pPr>
              <w:spacing w:after="100"/>
              <w:rPr>
                <w:rFonts w:eastAsia="Times New Roman"/>
                <w:sz w:val="20"/>
                <w:szCs w:val="20"/>
              </w:rPr>
            </w:pPr>
          </w:p>
        </w:tc>
        <w:tc>
          <w:tcPr>
            <w:tcW w:w="5" w:type="pct"/>
            <w:vAlign w:val="center"/>
            <w:hideMark/>
          </w:tcPr>
          <w:p w14:paraId="63BAB294" w14:textId="77777777" w:rsidR="00000000" w:rsidRDefault="00A173A8">
            <w:pPr>
              <w:spacing w:after="100"/>
              <w:rPr>
                <w:rFonts w:eastAsia="Times New Roman"/>
                <w:sz w:val="20"/>
                <w:szCs w:val="20"/>
              </w:rPr>
            </w:pPr>
          </w:p>
        </w:tc>
      </w:tr>
      <w:tr w:rsidR="00000000" w14:paraId="5B634378" w14:textId="77777777">
        <w:trPr>
          <w:divId w:val="2077892981"/>
          <w:trHeight w:val="300"/>
          <w:jc w:val="center"/>
        </w:trPr>
        <w:tc>
          <w:tcPr>
            <w:tcW w:w="0" w:type="auto"/>
            <w:gridSpan w:val="9"/>
            <w:tcMar>
              <w:top w:w="0" w:type="dxa"/>
              <w:left w:w="20" w:type="dxa"/>
              <w:bottom w:w="0" w:type="dxa"/>
              <w:right w:w="20" w:type="dxa"/>
            </w:tcMar>
            <w:vAlign w:val="center"/>
            <w:hideMark/>
          </w:tcPr>
          <w:p w14:paraId="1D122006" w14:textId="77777777" w:rsidR="00000000" w:rsidRDefault="00A173A8">
            <w:pPr>
              <w:spacing w:after="100"/>
              <w:rPr>
                <w:rFonts w:eastAsia="Times New Roman"/>
                <w:sz w:val="20"/>
                <w:szCs w:val="20"/>
              </w:rPr>
            </w:pPr>
          </w:p>
        </w:tc>
      </w:tr>
      <w:tr w:rsidR="00000000" w14:paraId="55D72E31" w14:textId="77777777">
        <w:trPr>
          <w:divId w:val="2077892981"/>
          <w:jc w:val="center"/>
        </w:trPr>
        <w:tc>
          <w:tcPr>
            <w:tcW w:w="0" w:type="auto"/>
            <w:gridSpan w:val="3"/>
            <w:tcMar>
              <w:top w:w="0" w:type="dxa"/>
              <w:left w:w="20" w:type="dxa"/>
              <w:bottom w:w="0" w:type="dxa"/>
              <w:right w:w="20" w:type="dxa"/>
            </w:tcMar>
            <w:vAlign w:val="center"/>
            <w:hideMark/>
          </w:tcPr>
          <w:p w14:paraId="0A2042C4"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2AE0976" w14:textId="77777777" w:rsidR="00000000" w:rsidRDefault="00A173A8">
            <w:pPr>
              <w:spacing w:after="100"/>
              <w:jc w:val="center"/>
              <w:rPr>
                <w:rFonts w:eastAsia="Times New Roman"/>
              </w:rPr>
            </w:pPr>
            <w:r>
              <w:rPr>
                <w:rFonts w:eastAsia="Times New Roman"/>
                <w:color w:val="000000"/>
                <w:sz w:val="16"/>
                <w:szCs w:val="16"/>
              </w:rPr>
              <w:t>21</w:t>
            </w:r>
          </w:p>
        </w:tc>
        <w:tc>
          <w:tcPr>
            <w:tcW w:w="0" w:type="auto"/>
            <w:gridSpan w:val="3"/>
            <w:tcMar>
              <w:top w:w="30" w:type="dxa"/>
              <w:left w:w="20" w:type="dxa"/>
              <w:bottom w:w="30" w:type="dxa"/>
              <w:right w:w="20" w:type="dxa"/>
            </w:tcMar>
            <w:vAlign w:val="bottom"/>
            <w:hideMark/>
          </w:tcPr>
          <w:p w14:paraId="39ADA672"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B13F248" w14:textId="77777777" w:rsidR="00000000" w:rsidRDefault="00A173A8">
      <w:pPr>
        <w:rPr>
          <w:rFonts w:eastAsia="Times New Roman"/>
        </w:rPr>
      </w:pPr>
      <w:r>
        <w:rPr>
          <w:rFonts w:eastAsia="Times New Roman"/>
        </w:rPr>
        <w:pict w14:anchorId="2D10423D">
          <v:rect id="_x0000_i1046" style="width:0;height:1.5pt" o:hralign="center" o:hrstd="t" o:hr="t" fillcolor="#a0a0a0" stroked="f"/>
        </w:pict>
      </w:r>
    </w:p>
    <w:p w14:paraId="07427DE4" w14:textId="77777777" w:rsidR="00000000" w:rsidRDefault="00A173A8">
      <w:pPr>
        <w:ind w:hanging="360"/>
        <w:jc w:val="both"/>
        <w:divId w:val="501697676"/>
        <w:rPr>
          <w:rFonts w:eastAsia="Times New Roman"/>
        </w:rPr>
      </w:pPr>
      <w:hyperlink w:anchor="i7ffd5d61af6f4722b1b1b07530d51c06_13" w:history="1">
        <w:r>
          <w:rPr>
            <w:rStyle w:val="a3"/>
            <w:rFonts w:eastAsia="Times New Roman"/>
            <w:sz w:val="16"/>
            <w:szCs w:val="16"/>
          </w:rPr>
          <w:t>Table of Contents</w:t>
        </w:r>
      </w:hyperlink>
    </w:p>
    <w:p w14:paraId="1CE43D1E" w14:textId="77777777" w:rsidR="00000000" w:rsidRDefault="00A173A8">
      <w:pPr>
        <w:jc w:val="both"/>
        <w:divId w:val="673410871"/>
        <w:rPr>
          <w:rFonts w:eastAsia="Times New Roman"/>
        </w:rPr>
      </w:pPr>
      <w:r>
        <w:rPr>
          <w:rFonts w:eastAsia="Times New Roman"/>
          <w:color w:val="000000"/>
          <w:sz w:val="20"/>
          <w:szCs w:val="20"/>
        </w:rPr>
        <w:t>Table 9.1 summarizes the financial results for Domestic Card business and displays selected key metrics for the periods indicated.</w:t>
      </w:r>
    </w:p>
    <w:p w14:paraId="7B095E98" w14:textId="77777777" w:rsidR="00000000" w:rsidRDefault="00A173A8">
      <w:pPr>
        <w:divId w:val="734664768"/>
        <w:rPr>
          <w:rFonts w:eastAsia="Times New Roman"/>
        </w:rPr>
      </w:pPr>
      <w:r>
        <w:rPr>
          <w:rFonts w:eastAsia="Times New Roman"/>
          <w:b/>
          <w:bCs/>
          <w:color w:val="000000"/>
          <w:sz w:val="18"/>
          <w:szCs w:val="18"/>
        </w:rPr>
        <w:t>Table 9.1: D</w:t>
      </w:r>
      <w:r>
        <w:rPr>
          <w:rFonts w:eastAsia="Times New Roman"/>
          <w:b/>
          <w:bCs/>
          <w:color w:val="000000"/>
          <w:sz w:val="18"/>
          <w:szCs w:val="18"/>
        </w:rPr>
        <w:t>omestic Card Business Results</w:t>
      </w:r>
    </w:p>
    <w:tbl>
      <w:tblPr>
        <w:tblW w:w="4985" w:type="pct"/>
        <w:tblCellMar>
          <w:top w:w="15" w:type="dxa"/>
          <w:left w:w="15" w:type="dxa"/>
          <w:bottom w:w="15" w:type="dxa"/>
          <w:right w:w="15" w:type="dxa"/>
        </w:tblCellMar>
        <w:tblLook w:val="04A0" w:firstRow="1" w:lastRow="0" w:firstColumn="1" w:lastColumn="0" w:noHBand="0" w:noVBand="1"/>
      </w:tblPr>
      <w:tblGrid>
        <w:gridCol w:w="39"/>
        <w:gridCol w:w="1107"/>
        <w:gridCol w:w="38"/>
        <w:gridCol w:w="36"/>
        <w:gridCol w:w="36"/>
        <w:gridCol w:w="36"/>
        <w:gridCol w:w="120"/>
        <w:gridCol w:w="700"/>
        <w:gridCol w:w="220"/>
        <w:gridCol w:w="36"/>
        <w:gridCol w:w="36"/>
        <w:gridCol w:w="36"/>
        <w:gridCol w:w="120"/>
        <w:gridCol w:w="700"/>
        <w:gridCol w:w="187"/>
        <w:gridCol w:w="36"/>
        <w:gridCol w:w="36"/>
        <w:gridCol w:w="36"/>
        <w:gridCol w:w="73"/>
        <w:gridCol w:w="616"/>
        <w:gridCol w:w="298"/>
        <w:gridCol w:w="36"/>
        <w:gridCol w:w="36"/>
        <w:gridCol w:w="36"/>
        <w:gridCol w:w="121"/>
        <w:gridCol w:w="900"/>
        <w:gridCol w:w="37"/>
        <w:gridCol w:w="36"/>
        <w:gridCol w:w="36"/>
        <w:gridCol w:w="36"/>
        <w:gridCol w:w="122"/>
        <w:gridCol w:w="781"/>
        <w:gridCol w:w="38"/>
        <w:gridCol w:w="282"/>
        <w:gridCol w:w="282"/>
        <w:gridCol w:w="36"/>
        <w:gridCol w:w="36"/>
        <w:gridCol w:w="36"/>
        <w:gridCol w:w="80"/>
        <w:gridCol w:w="685"/>
        <w:gridCol w:w="36"/>
        <w:gridCol w:w="36"/>
        <w:gridCol w:w="36"/>
        <w:gridCol w:w="36"/>
        <w:gridCol w:w="36"/>
        <w:gridCol w:w="36"/>
        <w:gridCol w:w="36"/>
      </w:tblGrid>
      <w:tr w:rsidR="00000000" w14:paraId="44573837" w14:textId="77777777">
        <w:trPr>
          <w:divId w:val="134569232"/>
        </w:trPr>
        <w:tc>
          <w:tcPr>
            <w:tcW w:w="50" w:type="pct"/>
            <w:vAlign w:val="center"/>
            <w:hideMark/>
          </w:tcPr>
          <w:p w14:paraId="317EDDFD" w14:textId="77777777" w:rsidR="00000000" w:rsidRDefault="00A173A8">
            <w:pPr>
              <w:rPr>
                <w:rFonts w:eastAsia="Times New Roman"/>
              </w:rPr>
            </w:pPr>
          </w:p>
        </w:tc>
        <w:tc>
          <w:tcPr>
            <w:tcW w:w="1821" w:type="pct"/>
            <w:vAlign w:val="center"/>
            <w:hideMark/>
          </w:tcPr>
          <w:p w14:paraId="6B16F49F" w14:textId="77777777" w:rsidR="00000000" w:rsidRDefault="00A173A8">
            <w:pPr>
              <w:spacing w:after="100"/>
              <w:rPr>
                <w:rFonts w:eastAsia="Times New Roman"/>
                <w:sz w:val="20"/>
                <w:szCs w:val="20"/>
              </w:rPr>
            </w:pPr>
          </w:p>
        </w:tc>
        <w:tc>
          <w:tcPr>
            <w:tcW w:w="5" w:type="pct"/>
            <w:vAlign w:val="center"/>
            <w:hideMark/>
          </w:tcPr>
          <w:p w14:paraId="6AB35D10" w14:textId="77777777" w:rsidR="00000000" w:rsidRDefault="00A173A8">
            <w:pPr>
              <w:spacing w:after="100"/>
              <w:rPr>
                <w:rFonts w:eastAsia="Times New Roman"/>
                <w:sz w:val="20"/>
                <w:szCs w:val="20"/>
              </w:rPr>
            </w:pPr>
          </w:p>
        </w:tc>
        <w:tc>
          <w:tcPr>
            <w:tcW w:w="5" w:type="pct"/>
            <w:vAlign w:val="center"/>
            <w:hideMark/>
          </w:tcPr>
          <w:p w14:paraId="7E061ED4" w14:textId="77777777" w:rsidR="00000000" w:rsidRDefault="00A173A8">
            <w:pPr>
              <w:spacing w:after="100"/>
              <w:rPr>
                <w:rFonts w:eastAsia="Times New Roman"/>
                <w:sz w:val="20"/>
                <w:szCs w:val="20"/>
              </w:rPr>
            </w:pPr>
          </w:p>
        </w:tc>
        <w:tc>
          <w:tcPr>
            <w:tcW w:w="26" w:type="pct"/>
            <w:vAlign w:val="center"/>
            <w:hideMark/>
          </w:tcPr>
          <w:p w14:paraId="4BD99A0F" w14:textId="77777777" w:rsidR="00000000" w:rsidRDefault="00A173A8">
            <w:pPr>
              <w:spacing w:after="100"/>
              <w:rPr>
                <w:rFonts w:eastAsia="Times New Roman"/>
                <w:sz w:val="20"/>
                <w:szCs w:val="20"/>
              </w:rPr>
            </w:pPr>
          </w:p>
        </w:tc>
        <w:tc>
          <w:tcPr>
            <w:tcW w:w="5" w:type="pct"/>
            <w:vAlign w:val="center"/>
            <w:hideMark/>
          </w:tcPr>
          <w:p w14:paraId="75F812C7" w14:textId="77777777" w:rsidR="00000000" w:rsidRDefault="00A173A8">
            <w:pPr>
              <w:spacing w:after="100"/>
              <w:rPr>
                <w:rFonts w:eastAsia="Times New Roman"/>
                <w:sz w:val="20"/>
                <w:szCs w:val="20"/>
              </w:rPr>
            </w:pPr>
          </w:p>
        </w:tc>
        <w:tc>
          <w:tcPr>
            <w:tcW w:w="50" w:type="pct"/>
            <w:vAlign w:val="center"/>
            <w:hideMark/>
          </w:tcPr>
          <w:p w14:paraId="48F55A9F" w14:textId="77777777" w:rsidR="00000000" w:rsidRDefault="00A173A8">
            <w:pPr>
              <w:spacing w:after="100"/>
              <w:rPr>
                <w:rFonts w:eastAsia="Times New Roman"/>
                <w:sz w:val="20"/>
                <w:szCs w:val="20"/>
              </w:rPr>
            </w:pPr>
          </w:p>
        </w:tc>
        <w:tc>
          <w:tcPr>
            <w:tcW w:w="428" w:type="pct"/>
            <w:vAlign w:val="center"/>
            <w:hideMark/>
          </w:tcPr>
          <w:p w14:paraId="07A26932" w14:textId="77777777" w:rsidR="00000000" w:rsidRDefault="00A173A8">
            <w:pPr>
              <w:spacing w:after="100"/>
              <w:rPr>
                <w:rFonts w:eastAsia="Times New Roman"/>
                <w:sz w:val="20"/>
                <w:szCs w:val="20"/>
              </w:rPr>
            </w:pPr>
          </w:p>
        </w:tc>
        <w:tc>
          <w:tcPr>
            <w:tcW w:w="5" w:type="pct"/>
            <w:vAlign w:val="center"/>
            <w:hideMark/>
          </w:tcPr>
          <w:p w14:paraId="7CAA580F" w14:textId="77777777" w:rsidR="00000000" w:rsidRDefault="00A173A8">
            <w:pPr>
              <w:spacing w:after="100"/>
              <w:rPr>
                <w:rFonts w:eastAsia="Times New Roman"/>
                <w:sz w:val="20"/>
                <w:szCs w:val="20"/>
              </w:rPr>
            </w:pPr>
          </w:p>
        </w:tc>
        <w:tc>
          <w:tcPr>
            <w:tcW w:w="5" w:type="pct"/>
            <w:vAlign w:val="center"/>
            <w:hideMark/>
          </w:tcPr>
          <w:p w14:paraId="2E0140CB" w14:textId="77777777" w:rsidR="00000000" w:rsidRDefault="00A173A8">
            <w:pPr>
              <w:spacing w:after="100"/>
              <w:rPr>
                <w:rFonts w:eastAsia="Times New Roman"/>
                <w:sz w:val="20"/>
                <w:szCs w:val="20"/>
              </w:rPr>
            </w:pPr>
          </w:p>
        </w:tc>
        <w:tc>
          <w:tcPr>
            <w:tcW w:w="26" w:type="pct"/>
            <w:vAlign w:val="center"/>
            <w:hideMark/>
          </w:tcPr>
          <w:p w14:paraId="011F83A4" w14:textId="77777777" w:rsidR="00000000" w:rsidRDefault="00A173A8">
            <w:pPr>
              <w:spacing w:after="100"/>
              <w:rPr>
                <w:rFonts w:eastAsia="Times New Roman"/>
                <w:sz w:val="20"/>
                <w:szCs w:val="20"/>
              </w:rPr>
            </w:pPr>
          </w:p>
        </w:tc>
        <w:tc>
          <w:tcPr>
            <w:tcW w:w="5" w:type="pct"/>
            <w:vAlign w:val="center"/>
            <w:hideMark/>
          </w:tcPr>
          <w:p w14:paraId="3109E087" w14:textId="77777777" w:rsidR="00000000" w:rsidRDefault="00A173A8">
            <w:pPr>
              <w:spacing w:after="100"/>
              <w:rPr>
                <w:rFonts w:eastAsia="Times New Roman"/>
                <w:sz w:val="20"/>
                <w:szCs w:val="20"/>
              </w:rPr>
            </w:pPr>
          </w:p>
        </w:tc>
        <w:tc>
          <w:tcPr>
            <w:tcW w:w="50" w:type="pct"/>
            <w:vAlign w:val="center"/>
            <w:hideMark/>
          </w:tcPr>
          <w:p w14:paraId="62F76C7D" w14:textId="77777777" w:rsidR="00000000" w:rsidRDefault="00A173A8">
            <w:pPr>
              <w:spacing w:after="100"/>
              <w:rPr>
                <w:rFonts w:eastAsia="Times New Roman"/>
                <w:sz w:val="20"/>
                <w:szCs w:val="20"/>
              </w:rPr>
            </w:pPr>
          </w:p>
        </w:tc>
        <w:tc>
          <w:tcPr>
            <w:tcW w:w="428" w:type="pct"/>
            <w:vAlign w:val="center"/>
            <w:hideMark/>
          </w:tcPr>
          <w:p w14:paraId="4909EDC2" w14:textId="77777777" w:rsidR="00000000" w:rsidRDefault="00A173A8">
            <w:pPr>
              <w:spacing w:after="100"/>
              <w:rPr>
                <w:rFonts w:eastAsia="Times New Roman"/>
                <w:sz w:val="20"/>
                <w:szCs w:val="20"/>
              </w:rPr>
            </w:pPr>
          </w:p>
        </w:tc>
        <w:tc>
          <w:tcPr>
            <w:tcW w:w="5" w:type="pct"/>
            <w:vAlign w:val="center"/>
            <w:hideMark/>
          </w:tcPr>
          <w:p w14:paraId="1CF314AE" w14:textId="77777777" w:rsidR="00000000" w:rsidRDefault="00A173A8">
            <w:pPr>
              <w:spacing w:after="100"/>
              <w:rPr>
                <w:rFonts w:eastAsia="Times New Roman"/>
                <w:sz w:val="20"/>
                <w:szCs w:val="20"/>
              </w:rPr>
            </w:pPr>
          </w:p>
        </w:tc>
        <w:tc>
          <w:tcPr>
            <w:tcW w:w="5" w:type="pct"/>
            <w:vAlign w:val="center"/>
            <w:hideMark/>
          </w:tcPr>
          <w:p w14:paraId="346D0B96" w14:textId="77777777" w:rsidR="00000000" w:rsidRDefault="00A173A8">
            <w:pPr>
              <w:spacing w:after="100"/>
              <w:rPr>
                <w:rFonts w:eastAsia="Times New Roman"/>
                <w:sz w:val="20"/>
                <w:szCs w:val="20"/>
              </w:rPr>
            </w:pPr>
          </w:p>
        </w:tc>
        <w:tc>
          <w:tcPr>
            <w:tcW w:w="26" w:type="pct"/>
            <w:vAlign w:val="center"/>
            <w:hideMark/>
          </w:tcPr>
          <w:p w14:paraId="5662520E" w14:textId="77777777" w:rsidR="00000000" w:rsidRDefault="00A173A8">
            <w:pPr>
              <w:spacing w:after="100"/>
              <w:rPr>
                <w:rFonts w:eastAsia="Times New Roman"/>
                <w:sz w:val="20"/>
                <w:szCs w:val="20"/>
              </w:rPr>
            </w:pPr>
          </w:p>
        </w:tc>
        <w:tc>
          <w:tcPr>
            <w:tcW w:w="5" w:type="pct"/>
            <w:vAlign w:val="center"/>
            <w:hideMark/>
          </w:tcPr>
          <w:p w14:paraId="14F2D7C1" w14:textId="77777777" w:rsidR="00000000" w:rsidRDefault="00A173A8">
            <w:pPr>
              <w:spacing w:after="100"/>
              <w:rPr>
                <w:rFonts w:eastAsia="Times New Roman"/>
                <w:sz w:val="20"/>
                <w:szCs w:val="20"/>
              </w:rPr>
            </w:pPr>
          </w:p>
        </w:tc>
        <w:tc>
          <w:tcPr>
            <w:tcW w:w="50" w:type="pct"/>
            <w:vAlign w:val="center"/>
            <w:hideMark/>
          </w:tcPr>
          <w:p w14:paraId="434BB379" w14:textId="77777777" w:rsidR="00000000" w:rsidRDefault="00A173A8">
            <w:pPr>
              <w:spacing w:after="100"/>
              <w:rPr>
                <w:rFonts w:eastAsia="Times New Roman"/>
                <w:sz w:val="20"/>
                <w:szCs w:val="20"/>
              </w:rPr>
            </w:pPr>
          </w:p>
        </w:tc>
        <w:tc>
          <w:tcPr>
            <w:tcW w:w="428" w:type="pct"/>
            <w:vAlign w:val="center"/>
            <w:hideMark/>
          </w:tcPr>
          <w:p w14:paraId="4A30F0D0" w14:textId="77777777" w:rsidR="00000000" w:rsidRDefault="00A173A8">
            <w:pPr>
              <w:spacing w:after="100"/>
              <w:rPr>
                <w:rFonts w:eastAsia="Times New Roman"/>
                <w:sz w:val="20"/>
                <w:szCs w:val="20"/>
              </w:rPr>
            </w:pPr>
          </w:p>
        </w:tc>
        <w:tc>
          <w:tcPr>
            <w:tcW w:w="5" w:type="pct"/>
            <w:vAlign w:val="center"/>
            <w:hideMark/>
          </w:tcPr>
          <w:p w14:paraId="52933CD2" w14:textId="77777777" w:rsidR="00000000" w:rsidRDefault="00A173A8">
            <w:pPr>
              <w:spacing w:after="100"/>
              <w:rPr>
                <w:rFonts w:eastAsia="Times New Roman"/>
                <w:sz w:val="20"/>
                <w:szCs w:val="20"/>
              </w:rPr>
            </w:pPr>
          </w:p>
        </w:tc>
        <w:tc>
          <w:tcPr>
            <w:tcW w:w="5" w:type="pct"/>
            <w:vAlign w:val="center"/>
            <w:hideMark/>
          </w:tcPr>
          <w:p w14:paraId="75911549" w14:textId="77777777" w:rsidR="00000000" w:rsidRDefault="00A173A8">
            <w:pPr>
              <w:spacing w:after="100"/>
              <w:rPr>
                <w:rFonts w:eastAsia="Times New Roman"/>
                <w:sz w:val="20"/>
                <w:szCs w:val="20"/>
              </w:rPr>
            </w:pPr>
          </w:p>
        </w:tc>
        <w:tc>
          <w:tcPr>
            <w:tcW w:w="26" w:type="pct"/>
            <w:vAlign w:val="center"/>
            <w:hideMark/>
          </w:tcPr>
          <w:p w14:paraId="59EA78EB" w14:textId="77777777" w:rsidR="00000000" w:rsidRDefault="00A173A8">
            <w:pPr>
              <w:spacing w:after="100"/>
              <w:rPr>
                <w:rFonts w:eastAsia="Times New Roman"/>
                <w:sz w:val="20"/>
                <w:szCs w:val="20"/>
              </w:rPr>
            </w:pPr>
          </w:p>
        </w:tc>
        <w:tc>
          <w:tcPr>
            <w:tcW w:w="5" w:type="pct"/>
            <w:vAlign w:val="center"/>
            <w:hideMark/>
          </w:tcPr>
          <w:p w14:paraId="132DC2B0" w14:textId="77777777" w:rsidR="00000000" w:rsidRDefault="00A173A8">
            <w:pPr>
              <w:spacing w:after="100"/>
              <w:rPr>
                <w:rFonts w:eastAsia="Times New Roman"/>
                <w:sz w:val="20"/>
                <w:szCs w:val="20"/>
              </w:rPr>
            </w:pPr>
          </w:p>
        </w:tc>
        <w:tc>
          <w:tcPr>
            <w:tcW w:w="50" w:type="pct"/>
            <w:vAlign w:val="center"/>
            <w:hideMark/>
          </w:tcPr>
          <w:p w14:paraId="5D92A251" w14:textId="77777777" w:rsidR="00000000" w:rsidRDefault="00A173A8">
            <w:pPr>
              <w:spacing w:after="100"/>
              <w:rPr>
                <w:rFonts w:eastAsia="Times New Roman"/>
                <w:sz w:val="20"/>
                <w:szCs w:val="20"/>
              </w:rPr>
            </w:pPr>
          </w:p>
        </w:tc>
        <w:tc>
          <w:tcPr>
            <w:tcW w:w="428" w:type="pct"/>
            <w:vAlign w:val="center"/>
            <w:hideMark/>
          </w:tcPr>
          <w:p w14:paraId="5D69E919" w14:textId="77777777" w:rsidR="00000000" w:rsidRDefault="00A173A8">
            <w:pPr>
              <w:spacing w:after="100"/>
              <w:rPr>
                <w:rFonts w:eastAsia="Times New Roman"/>
                <w:sz w:val="20"/>
                <w:szCs w:val="20"/>
              </w:rPr>
            </w:pPr>
          </w:p>
        </w:tc>
        <w:tc>
          <w:tcPr>
            <w:tcW w:w="5" w:type="pct"/>
            <w:vAlign w:val="center"/>
            <w:hideMark/>
          </w:tcPr>
          <w:p w14:paraId="43203E98" w14:textId="77777777" w:rsidR="00000000" w:rsidRDefault="00A173A8">
            <w:pPr>
              <w:spacing w:after="100"/>
              <w:rPr>
                <w:rFonts w:eastAsia="Times New Roman"/>
                <w:sz w:val="20"/>
                <w:szCs w:val="20"/>
              </w:rPr>
            </w:pPr>
          </w:p>
        </w:tc>
        <w:tc>
          <w:tcPr>
            <w:tcW w:w="5" w:type="pct"/>
            <w:vAlign w:val="center"/>
            <w:hideMark/>
          </w:tcPr>
          <w:p w14:paraId="470E373E" w14:textId="77777777" w:rsidR="00000000" w:rsidRDefault="00A173A8">
            <w:pPr>
              <w:spacing w:after="100"/>
              <w:rPr>
                <w:rFonts w:eastAsia="Times New Roman"/>
                <w:sz w:val="20"/>
                <w:szCs w:val="20"/>
              </w:rPr>
            </w:pPr>
          </w:p>
        </w:tc>
        <w:tc>
          <w:tcPr>
            <w:tcW w:w="26" w:type="pct"/>
            <w:vAlign w:val="center"/>
            <w:hideMark/>
          </w:tcPr>
          <w:p w14:paraId="076A2031" w14:textId="77777777" w:rsidR="00000000" w:rsidRDefault="00A173A8">
            <w:pPr>
              <w:spacing w:after="100"/>
              <w:rPr>
                <w:rFonts w:eastAsia="Times New Roman"/>
                <w:sz w:val="20"/>
                <w:szCs w:val="20"/>
              </w:rPr>
            </w:pPr>
          </w:p>
        </w:tc>
        <w:tc>
          <w:tcPr>
            <w:tcW w:w="5" w:type="pct"/>
            <w:vAlign w:val="center"/>
            <w:hideMark/>
          </w:tcPr>
          <w:p w14:paraId="0D61A30A" w14:textId="77777777" w:rsidR="00000000" w:rsidRDefault="00A173A8">
            <w:pPr>
              <w:spacing w:after="100"/>
              <w:rPr>
                <w:rFonts w:eastAsia="Times New Roman"/>
                <w:sz w:val="20"/>
                <w:szCs w:val="20"/>
              </w:rPr>
            </w:pPr>
          </w:p>
        </w:tc>
        <w:tc>
          <w:tcPr>
            <w:tcW w:w="50" w:type="pct"/>
            <w:vAlign w:val="center"/>
            <w:hideMark/>
          </w:tcPr>
          <w:p w14:paraId="75B862B0" w14:textId="77777777" w:rsidR="00000000" w:rsidRDefault="00A173A8">
            <w:pPr>
              <w:spacing w:after="100"/>
              <w:rPr>
                <w:rFonts w:eastAsia="Times New Roman"/>
                <w:sz w:val="20"/>
                <w:szCs w:val="20"/>
              </w:rPr>
            </w:pPr>
          </w:p>
        </w:tc>
        <w:tc>
          <w:tcPr>
            <w:tcW w:w="428" w:type="pct"/>
            <w:vAlign w:val="center"/>
            <w:hideMark/>
          </w:tcPr>
          <w:p w14:paraId="3DAEF2A6" w14:textId="77777777" w:rsidR="00000000" w:rsidRDefault="00A173A8">
            <w:pPr>
              <w:spacing w:after="100"/>
              <w:rPr>
                <w:rFonts w:eastAsia="Times New Roman"/>
                <w:sz w:val="20"/>
                <w:szCs w:val="20"/>
              </w:rPr>
            </w:pPr>
          </w:p>
        </w:tc>
        <w:tc>
          <w:tcPr>
            <w:tcW w:w="5" w:type="pct"/>
            <w:vAlign w:val="center"/>
            <w:hideMark/>
          </w:tcPr>
          <w:p w14:paraId="7B9F95C1" w14:textId="77777777" w:rsidR="00000000" w:rsidRDefault="00A173A8">
            <w:pPr>
              <w:spacing w:after="100"/>
              <w:rPr>
                <w:rFonts w:eastAsia="Times New Roman"/>
                <w:sz w:val="20"/>
                <w:szCs w:val="20"/>
              </w:rPr>
            </w:pPr>
          </w:p>
        </w:tc>
        <w:tc>
          <w:tcPr>
            <w:tcW w:w="0" w:type="auto"/>
            <w:vAlign w:val="center"/>
            <w:hideMark/>
          </w:tcPr>
          <w:p w14:paraId="344109F2" w14:textId="77777777" w:rsidR="00000000" w:rsidRDefault="00A173A8">
            <w:pPr>
              <w:spacing w:after="100"/>
              <w:rPr>
                <w:rFonts w:eastAsia="Times New Roman"/>
                <w:sz w:val="20"/>
                <w:szCs w:val="20"/>
              </w:rPr>
            </w:pPr>
          </w:p>
        </w:tc>
        <w:tc>
          <w:tcPr>
            <w:tcW w:w="0" w:type="auto"/>
            <w:vAlign w:val="center"/>
            <w:hideMark/>
          </w:tcPr>
          <w:p w14:paraId="3E275411" w14:textId="77777777" w:rsidR="00000000" w:rsidRDefault="00A173A8">
            <w:pPr>
              <w:spacing w:after="100"/>
              <w:rPr>
                <w:rFonts w:eastAsia="Times New Roman"/>
                <w:sz w:val="20"/>
                <w:szCs w:val="20"/>
              </w:rPr>
            </w:pPr>
          </w:p>
        </w:tc>
        <w:tc>
          <w:tcPr>
            <w:tcW w:w="5" w:type="pct"/>
            <w:vAlign w:val="center"/>
            <w:hideMark/>
          </w:tcPr>
          <w:p w14:paraId="05D0F123" w14:textId="77777777" w:rsidR="00000000" w:rsidRDefault="00A173A8">
            <w:pPr>
              <w:spacing w:after="100"/>
              <w:rPr>
                <w:rFonts w:eastAsia="Times New Roman"/>
                <w:sz w:val="20"/>
                <w:szCs w:val="20"/>
              </w:rPr>
            </w:pPr>
          </w:p>
        </w:tc>
        <w:tc>
          <w:tcPr>
            <w:tcW w:w="26" w:type="pct"/>
            <w:vAlign w:val="center"/>
            <w:hideMark/>
          </w:tcPr>
          <w:p w14:paraId="3BBF80D7" w14:textId="77777777" w:rsidR="00000000" w:rsidRDefault="00A173A8">
            <w:pPr>
              <w:spacing w:after="100"/>
              <w:rPr>
                <w:rFonts w:eastAsia="Times New Roman"/>
                <w:sz w:val="20"/>
                <w:szCs w:val="20"/>
              </w:rPr>
            </w:pPr>
          </w:p>
        </w:tc>
        <w:tc>
          <w:tcPr>
            <w:tcW w:w="5" w:type="pct"/>
            <w:vAlign w:val="center"/>
            <w:hideMark/>
          </w:tcPr>
          <w:p w14:paraId="3CBE89A1" w14:textId="77777777" w:rsidR="00000000" w:rsidRDefault="00A173A8">
            <w:pPr>
              <w:spacing w:after="100"/>
              <w:rPr>
                <w:rFonts w:eastAsia="Times New Roman"/>
                <w:sz w:val="20"/>
                <w:szCs w:val="20"/>
              </w:rPr>
            </w:pPr>
          </w:p>
        </w:tc>
        <w:tc>
          <w:tcPr>
            <w:tcW w:w="50" w:type="pct"/>
            <w:vAlign w:val="center"/>
            <w:hideMark/>
          </w:tcPr>
          <w:p w14:paraId="74B2B0F0" w14:textId="77777777" w:rsidR="00000000" w:rsidRDefault="00A173A8">
            <w:pPr>
              <w:spacing w:after="100"/>
              <w:rPr>
                <w:rFonts w:eastAsia="Times New Roman"/>
                <w:sz w:val="20"/>
                <w:szCs w:val="20"/>
              </w:rPr>
            </w:pPr>
          </w:p>
        </w:tc>
        <w:tc>
          <w:tcPr>
            <w:tcW w:w="429" w:type="pct"/>
            <w:vAlign w:val="center"/>
            <w:hideMark/>
          </w:tcPr>
          <w:p w14:paraId="063AE406" w14:textId="77777777" w:rsidR="00000000" w:rsidRDefault="00A173A8">
            <w:pPr>
              <w:spacing w:after="100"/>
              <w:rPr>
                <w:rFonts w:eastAsia="Times New Roman"/>
                <w:sz w:val="20"/>
                <w:szCs w:val="20"/>
              </w:rPr>
            </w:pPr>
          </w:p>
        </w:tc>
        <w:tc>
          <w:tcPr>
            <w:tcW w:w="5" w:type="pct"/>
            <w:vAlign w:val="center"/>
            <w:hideMark/>
          </w:tcPr>
          <w:p w14:paraId="1C4A5EF9" w14:textId="77777777" w:rsidR="00000000" w:rsidRDefault="00A173A8">
            <w:pPr>
              <w:spacing w:after="100"/>
              <w:rPr>
                <w:rFonts w:eastAsia="Times New Roman"/>
                <w:sz w:val="20"/>
                <w:szCs w:val="20"/>
              </w:rPr>
            </w:pPr>
          </w:p>
        </w:tc>
        <w:tc>
          <w:tcPr>
            <w:tcW w:w="0" w:type="auto"/>
            <w:gridSpan w:val="3"/>
            <w:vAlign w:val="center"/>
            <w:hideMark/>
          </w:tcPr>
          <w:p w14:paraId="6C2A310C" w14:textId="77777777" w:rsidR="00000000" w:rsidRDefault="00A173A8">
            <w:pPr>
              <w:spacing w:after="100"/>
              <w:rPr>
                <w:rFonts w:eastAsia="Times New Roman"/>
                <w:sz w:val="20"/>
                <w:szCs w:val="20"/>
              </w:rPr>
            </w:pPr>
          </w:p>
        </w:tc>
        <w:tc>
          <w:tcPr>
            <w:tcW w:w="0" w:type="auto"/>
            <w:gridSpan w:val="3"/>
            <w:vAlign w:val="center"/>
            <w:hideMark/>
          </w:tcPr>
          <w:p w14:paraId="29A89B36" w14:textId="77777777" w:rsidR="00000000" w:rsidRDefault="00A173A8">
            <w:pPr>
              <w:spacing w:after="100"/>
              <w:rPr>
                <w:rFonts w:eastAsia="Times New Roman"/>
                <w:sz w:val="20"/>
                <w:szCs w:val="20"/>
              </w:rPr>
            </w:pPr>
          </w:p>
        </w:tc>
      </w:tr>
      <w:tr w:rsidR="00000000" w14:paraId="4A2A7D94" w14:textId="77777777">
        <w:trPr>
          <w:divId w:val="134569232"/>
        </w:trPr>
        <w:tc>
          <w:tcPr>
            <w:tcW w:w="0" w:type="auto"/>
            <w:gridSpan w:val="3"/>
            <w:tcMar>
              <w:top w:w="0" w:type="dxa"/>
              <w:left w:w="20" w:type="dxa"/>
              <w:bottom w:w="0" w:type="dxa"/>
              <w:right w:w="20" w:type="dxa"/>
            </w:tcMar>
            <w:vAlign w:val="center"/>
            <w:hideMark/>
          </w:tcPr>
          <w:p w14:paraId="61146866"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F609C3"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7E16F96"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6E8276A0" w14:textId="77777777" w:rsidR="00000000" w:rsidRDefault="00A173A8">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1E0DCD9D"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gridSpan w:val="3"/>
            <w:vAlign w:val="center"/>
            <w:hideMark/>
          </w:tcPr>
          <w:p w14:paraId="1295D2AF" w14:textId="77777777" w:rsidR="00000000" w:rsidRDefault="00A173A8">
            <w:pPr>
              <w:spacing w:after="100"/>
              <w:jc w:val="center"/>
              <w:rPr>
                <w:rFonts w:eastAsia="Times New Roman"/>
              </w:rPr>
            </w:pPr>
          </w:p>
        </w:tc>
        <w:tc>
          <w:tcPr>
            <w:tcW w:w="0" w:type="auto"/>
            <w:gridSpan w:val="3"/>
            <w:vAlign w:val="center"/>
            <w:hideMark/>
          </w:tcPr>
          <w:p w14:paraId="18C04477" w14:textId="77777777" w:rsidR="00000000" w:rsidRDefault="00A173A8">
            <w:pPr>
              <w:spacing w:after="100"/>
              <w:rPr>
                <w:rFonts w:eastAsia="Times New Roman"/>
                <w:sz w:val="20"/>
                <w:szCs w:val="20"/>
              </w:rPr>
            </w:pPr>
          </w:p>
        </w:tc>
        <w:tc>
          <w:tcPr>
            <w:tcW w:w="0" w:type="auto"/>
            <w:vAlign w:val="center"/>
            <w:hideMark/>
          </w:tcPr>
          <w:p w14:paraId="230F483F" w14:textId="77777777" w:rsidR="00000000" w:rsidRDefault="00A173A8">
            <w:pPr>
              <w:spacing w:after="100"/>
              <w:rPr>
                <w:rFonts w:eastAsia="Times New Roman"/>
                <w:sz w:val="20"/>
                <w:szCs w:val="20"/>
              </w:rPr>
            </w:pPr>
          </w:p>
        </w:tc>
        <w:tc>
          <w:tcPr>
            <w:tcW w:w="0" w:type="auto"/>
            <w:vAlign w:val="center"/>
            <w:hideMark/>
          </w:tcPr>
          <w:p w14:paraId="1C536983" w14:textId="77777777" w:rsidR="00000000" w:rsidRDefault="00A173A8">
            <w:pPr>
              <w:spacing w:after="100"/>
              <w:rPr>
                <w:rFonts w:eastAsia="Times New Roman"/>
                <w:sz w:val="20"/>
                <w:szCs w:val="20"/>
              </w:rPr>
            </w:pPr>
          </w:p>
        </w:tc>
        <w:tc>
          <w:tcPr>
            <w:tcW w:w="0" w:type="auto"/>
            <w:vAlign w:val="center"/>
            <w:hideMark/>
          </w:tcPr>
          <w:p w14:paraId="47038B26" w14:textId="77777777" w:rsidR="00000000" w:rsidRDefault="00A173A8">
            <w:pPr>
              <w:spacing w:after="100"/>
              <w:rPr>
                <w:rFonts w:eastAsia="Times New Roman"/>
                <w:sz w:val="20"/>
                <w:szCs w:val="20"/>
              </w:rPr>
            </w:pPr>
          </w:p>
        </w:tc>
        <w:tc>
          <w:tcPr>
            <w:tcW w:w="0" w:type="auto"/>
            <w:vAlign w:val="center"/>
            <w:hideMark/>
          </w:tcPr>
          <w:p w14:paraId="6DFE125C" w14:textId="77777777" w:rsidR="00000000" w:rsidRDefault="00A173A8">
            <w:pPr>
              <w:spacing w:after="100"/>
              <w:rPr>
                <w:rFonts w:eastAsia="Times New Roman"/>
                <w:sz w:val="20"/>
                <w:szCs w:val="20"/>
              </w:rPr>
            </w:pPr>
          </w:p>
        </w:tc>
        <w:tc>
          <w:tcPr>
            <w:tcW w:w="0" w:type="auto"/>
            <w:vAlign w:val="center"/>
            <w:hideMark/>
          </w:tcPr>
          <w:p w14:paraId="4713404B" w14:textId="77777777" w:rsidR="00000000" w:rsidRDefault="00A173A8">
            <w:pPr>
              <w:spacing w:after="100"/>
              <w:rPr>
                <w:rFonts w:eastAsia="Times New Roman"/>
                <w:sz w:val="20"/>
                <w:szCs w:val="20"/>
              </w:rPr>
            </w:pPr>
          </w:p>
        </w:tc>
        <w:tc>
          <w:tcPr>
            <w:tcW w:w="0" w:type="auto"/>
            <w:vAlign w:val="center"/>
            <w:hideMark/>
          </w:tcPr>
          <w:p w14:paraId="4896543D" w14:textId="77777777" w:rsidR="00000000" w:rsidRDefault="00A173A8">
            <w:pPr>
              <w:spacing w:after="100"/>
              <w:rPr>
                <w:rFonts w:eastAsia="Times New Roman"/>
                <w:sz w:val="20"/>
                <w:szCs w:val="20"/>
              </w:rPr>
            </w:pPr>
          </w:p>
        </w:tc>
      </w:tr>
      <w:tr w:rsidR="00000000" w14:paraId="43D18B34" w14:textId="77777777">
        <w:trPr>
          <w:divId w:val="134569232"/>
        </w:trPr>
        <w:tc>
          <w:tcPr>
            <w:tcW w:w="0" w:type="auto"/>
            <w:gridSpan w:val="3"/>
            <w:tcBorders>
              <w:bottom w:val="single" w:sz="8" w:space="0" w:color="000000"/>
            </w:tcBorders>
            <w:tcMar>
              <w:top w:w="30" w:type="dxa"/>
              <w:left w:w="20" w:type="dxa"/>
              <w:bottom w:w="30" w:type="dxa"/>
              <w:right w:w="20" w:type="dxa"/>
            </w:tcMar>
            <w:vAlign w:val="bottom"/>
            <w:hideMark/>
          </w:tcPr>
          <w:p w14:paraId="5B20734D"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06F43754"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FB49A3"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044CDE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A9CE386"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1FD1712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EE0B54"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0735778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93719A3"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1DF406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B6A67B"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761D8835" w14:textId="77777777" w:rsidR="00000000" w:rsidRDefault="00A173A8">
            <w:pPr>
              <w:spacing w:after="100"/>
              <w:jc w:val="center"/>
              <w:rPr>
                <w:rFonts w:eastAsia="Times New Roman"/>
              </w:rPr>
            </w:pPr>
          </w:p>
        </w:tc>
        <w:tc>
          <w:tcPr>
            <w:tcW w:w="0" w:type="auto"/>
            <w:vAlign w:val="center"/>
            <w:hideMark/>
          </w:tcPr>
          <w:p w14:paraId="65FF5D0D"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A1A90C"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4DEE55D"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1611D683" w14:textId="77777777" w:rsidR="00000000" w:rsidRDefault="00A173A8">
            <w:pPr>
              <w:spacing w:after="100"/>
              <w:rPr>
                <w:rFonts w:eastAsia="Times New Roman"/>
                <w:sz w:val="20"/>
                <w:szCs w:val="20"/>
              </w:rPr>
            </w:pPr>
          </w:p>
        </w:tc>
        <w:tc>
          <w:tcPr>
            <w:tcW w:w="0" w:type="auto"/>
            <w:vAlign w:val="center"/>
            <w:hideMark/>
          </w:tcPr>
          <w:p w14:paraId="455F1C22" w14:textId="77777777" w:rsidR="00000000" w:rsidRDefault="00A173A8">
            <w:pPr>
              <w:spacing w:after="100"/>
              <w:rPr>
                <w:rFonts w:eastAsia="Times New Roman"/>
                <w:sz w:val="20"/>
                <w:szCs w:val="20"/>
              </w:rPr>
            </w:pPr>
          </w:p>
        </w:tc>
        <w:tc>
          <w:tcPr>
            <w:tcW w:w="0" w:type="auto"/>
            <w:vAlign w:val="center"/>
            <w:hideMark/>
          </w:tcPr>
          <w:p w14:paraId="6CC71532" w14:textId="77777777" w:rsidR="00000000" w:rsidRDefault="00A173A8">
            <w:pPr>
              <w:spacing w:after="100"/>
              <w:rPr>
                <w:rFonts w:eastAsia="Times New Roman"/>
                <w:sz w:val="20"/>
                <w:szCs w:val="20"/>
              </w:rPr>
            </w:pPr>
          </w:p>
        </w:tc>
        <w:tc>
          <w:tcPr>
            <w:tcW w:w="0" w:type="auto"/>
            <w:vAlign w:val="center"/>
            <w:hideMark/>
          </w:tcPr>
          <w:p w14:paraId="2C851EFE" w14:textId="77777777" w:rsidR="00000000" w:rsidRDefault="00A173A8">
            <w:pPr>
              <w:spacing w:after="100"/>
              <w:rPr>
                <w:rFonts w:eastAsia="Times New Roman"/>
                <w:sz w:val="20"/>
                <w:szCs w:val="20"/>
              </w:rPr>
            </w:pPr>
          </w:p>
        </w:tc>
        <w:tc>
          <w:tcPr>
            <w:tcW w:w="0" w:type="auto"/>
            <w:vAlign w:val="center"/>
            <w:hideMark/>
          </w:tcPr>
          <w:p w14:paraId="0A02CB9F" w14:textId="77777777" w:rsidR="00000000" w:rsidRDefault="00A173A8">
            <w:pPr>
              <w:spacing w:after="100"/>
              <w:rPr>
                <w:rFonts w:eastAsia="Times New Roman"/>
                <w:sz w:val="20"/>
                <w:szCs w:val="20"/>
              </w:rPr>
            </w:pPr>
          </w:p>
        </w:tc>
        <w:tc>
          <w:tcPr>
            <w:tcW w:w="0" w:type="auto"/>
            <w:vAlign w:val="center"/>
            <w:hideMark/>
          </w:tcPr>
          <w:p w14:paraId="284A41F8" w14:textId="77777777" w:rsidR="00000000" w:rsidRDefault="00A173A8">
            <w:pPr>
              <w:spacing w:after="100"/>
              <w:rPr>
                <w:rFonts w:eastAsia="Times New Roman"/>
                <w:sz w:val="20"/>
                <w:szCs w:val="20"/>
              </w:rPr>
            </w:pPr>
          </w:p>
        </w:tc>
      </w:tr>
      <w:tr w:rsidR="00000000" w14:paraId="01D9CC90" w14:textId="77777777">
        <w:trPr>
          <w:divId w:val="1345692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8D62800" w14:textId="77777777" w:rsidR="00000000" w:rsidRDefault="00A173A8">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14:paraId="2AC9673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8A3D7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64E1C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37AB6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B742C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8A3E5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85515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8F2F8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1E561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D944F6" w14:textId="77777777" w:rsidR="00000000" w:rsidRDefault="00A173A8">
            <w:pPr>
              <w:spacing w:after="100"/>
              <w:rPr>
                <w:rFonts w:eastAsia="Times New Roman"/>
                <w:sz w:val="20"/>
                <w:szCs w:val="20"/>
              </w:rPr>
            </w:pPr>
          </w:p>
        </w:tc>
        <w:tc>
          <w:tcPr>
            <w:tcW w:w="0" w:type="auto"/>
            <w:vAlign w:val="center"/>
            <w:hideMark/>
          </w:tcPr>
          <w:p w14:paraId="60376955" w14:textId="77777777" w:rsidR="00000000" w:rsidRDefault="00A173A8">
            <w:pPr>
              <w:spacing w:after="100"/>
              <w:rPr>
                <w:rFonts w:eastAsia="Times New Roman"/>
                <w:sz w:val="20"/>
                <w:szCs w:val="20"/>
              </w:rPr>
            </w:pPr>
          </w:p>
        </w:tc>
        <w:tc>
          <w:tcPr>
            <w:tcW w:w="0" w:type="auto"/>
            <w:vAlign w:val="center"/>
            <w:hideMark/>
          </w:tcPr>
          <w:p w14:paraId="48D0C52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28833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3EE692" w14:textId="77777777" w:rsidR="00000000" w:rsidRDefault="00A173A8">
            <w:pPr>
              <w:spacing w:after="100"/>
              <w:rPr>
                <w:rFonts w:eastAsia="Times New Roman"/>
                <w:sz w:val="20"/>
                <w:szCs w:val="20"/>
              </w:rPr>
            </w:pPr>
          </w:p>
        </w:tc>
        <w:tc>
          <w:tcPr>
            <w:tcW w:w="0" w:type="auto"/>
            <w:gridSpan w:val="3"/>
            <w:vAlign w:val="center"/>
            <w:hideMark/>
          </w:tcPr>
          <w:p w14:paraId="4D201FBE" w14:textId="77777777" w:rsidR="00000000" w:rsidRDefault="00A173A8">
            <w:pPr>
              <w:spacing w:after="100"/>
              <w:rPr>
                <w:rFonts w:eastAsia="Times New Roman"/>
                <w:sz w:val="20"/>
                <w:szCs w:val="20"/>
              </w:rPr>
            </w:pPr>
          </w:p>
        </w:tc>
        <w:tc>
          <w:tcPr>
            <w:tcW w:w="0" w:type="auto"/>
            <w:gridSpan w:val="3"/>
            <w:vAlign w:val="center"/>
            <w:hideMark/>
          </w:tcPr>
          <w:p w14:paraId="646E9868" w14:textId="77777777" w:rsidR="00000000" w:rsidRDefault="00A173A8">
            <w:pPr>
              <w:spacing w:after="100"/>
              <w:rPr>
                <w:rFonts w:eastAsia="Times New Roman"/>
                <w:sz w:val="20"/>
                <w:szCs w:val="20"/>
              </w:rPr>
            </w:pPr>
          </w:p>
        </w:tc>
      </w:tr>
      <w:tr w:rsidR="00000000" w14:paraId="0B533E77" w14:textId="77777777">
        <w:trPr>
          <w:divId w:val="134569232"/>
        </w:trPr>
        <w:tc>
          <w:tcPr>
            <w:tcW w:w="0" w:type="auto"/>
            <w:gridSpan w:val="3"/>
            <w:shd w:val="clear" w:color="auto" w:fill="FFFFFF"/>
            <w:tcMar>
              <w:top w:w="30" w:type="dxa"/>
              <w:left w:w="20" w:type="dxa"/>
              <w:bottom w:w="30" w:type="dxa"/>
              <w:right w:w="20" w:type="dxa"/>
            </w:tcMar>
            <w:vAlign w:val="center"/>
            <w:hideMark/>
          </w:tcPr>
          <w:p w14:paraId="1B8970AE" w14:textId="77777777" w:rsidR="00000000" w:rsidRDefault="00A173A8">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14:paraId="02B477D1"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06544AC"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280859B9" w14:textId="77777777" w:rsidR="00000000" w:rsidRDefault="00A173A8">
            <w:pPr>
              <w:spacing w:after="100"/>
              <w:jc w:val="right"/>
              <w:rPr>
                <w:rFonts w:eastAsia="Times New Roman"/>
              </w:rPr>
            </w:pPr>
            <w:r>
              <w:rPr>
                <w:rFonts w:eastAsia="Times New Roman"/>
                <w:b/>
                <w:bCs/>
                <w:color w:val="000000"/>
                <w:sz w:val="20"/>
                <w:szCs w:val="20"/>
              </w:rPr>
              <w:t>3,651</w:t>
            </w:r>
          </w:p>
        </w:tc>
        <w:tc>
          <w:tcPr>
            <w:tcW w:w="0" w:type="auto"/>
            <w:gridSpan w:val="3"/>
            <w:shd w:val="clear" w:color="auto" w:fill="FFFFFF"/>
            <w:tcMar>
              <w:top w:w="0" w:type="dxa"/>
              <w:left w:w="20" w:type="dxa"/>
              <w:bottom w:w="0" w:type="dxa"/>
              <w:right w:w="20" w:type="dxa"/>
            </w:tcMar>
            <w:vAlign w:val="center"/>
            <w:hideMark/>
          </w:tcPr>
          <w:p w14:paraId="6366D384"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ACD4977"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0884441" w14:textId="77777777" w:rsidR="00000000" w:rsidRDefault="00A173A8">
            <w:pPr>
              <w:spacing w:after="100"/>
              <w:jc w:val="right"/>
              <w:rPr>
                <w:rFonts w:eastAsia="Times New Roman"/>
              </w:rPr>
            </w:pPr>
            <w:r>
              <w:rPr>
                <w:rFonts w:eastAsia="Times New Roman"/>
                <w:color w:val="000000"/>
                <w:sz w:val="20"/>
                <w:szCs w:val="20"/>
              </w:rPr>
              <w:t>2,944</w:t>
            </w:r>
          </w:p>
        </w:tc>
        <w:tc>
          <w:tcPr>
            <w:tcW w:w="0" w:type="auto"/>
            <w:gridSpan w:val="3"/>
            <w:shd w:val="clear" w:color="auto" w:fill="FFFFFF"/>
            <w:tcMar>
              <w:top w:w="0" w:type="dxa"/>
              <w:left w:w="20" w:type="dxa"/>
              <w:bottom w:w="0" w:type="dxa"/>
              <w:right w:w="20" w:type="dxa"/>
            </w:tcMar>
            <w:vAlign w:val="center"/>
            <w:hideMark/>
          </w:tcPr>
          <w:p w14:paraId="76AF4C59"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3E10F143" w14:textId="77777777" w:rsidR="00000000" w:rsidRDefault="00A173A8">
            <w:pPr>
              <w:spacing w:after="100"/>
              <w:jc w:val="right"/>
              <w:rPr>
                <w:rFonts w:eastAsia="Times New Roman"/>
              </w:rPr>
            </w:pPr>
            <w:r>
              <w:rPr>
                <w:rFonts w:eastAsia="Times New Roman"/>
                <w:color w:val="000000"/>
                <w:sz w:val="20"/>
                <w:szCs w:val="20"/>
              </w:rPr>
              <w:t>24%</w:t>
            </w:r>
          </w:p>
        </w:tc>
        <w:tc>
          <w:tcPr>
            <w:tcW w:w="0" w:type="auto"/>
            <w:gridSpan w:val="3"/>
            <w:shd w:val="clear" w:color="auto" w:fill="FFFFFF"/>
            <w:tcMar>
              <w:top w:w="0" w:type="dxa"/>
              <w:left w:w="20" w:type="dxa"/>
              <w:bottom w:w="0" w:type="dxa"/>
              <w:right w:w="20" w:type="dxa"/>
            </w:tcMar>
            <w:vAlign w:val="center"/>
            <w:hideMark/>
          </w:tcPr>
          <w:p w14:paraId="2B0465CB"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2C1D70A"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4163809C" w14:textId="77777777" w:rsidR="00000000" w:rsidRDefault="00A173A8">
            <w:pPr>
              <w:spacing w:after="100"/>
              <w:jc w:val="right"/>
              <w:rPr>
                <w:rFonts w:eastAsia="Times New Roman"/>
              </w:rPr>
            </w:pPr>
            <w:r>
              <w:rPr>
                <w:rFonts w:eastAsia="Times New Roman"/>
                <w:b/>
                <w:bCs/>
                <w:color w:val="000000"/>
                <w:sz w:val="20"/>
                <w:szCs w:val="20"/>
              </w:rPr>
              <w:t>7,271</w:t>
            </w:r>
          </w:p>
        </w:tc>
        <w:tc>
          <w:tcPr>
            <w:tcW w:w="0" w:type="auto"/>
            <w:gridSpan w:val="3"/>
            <w:shd w:val="clear" w:color="auto" w:fill="FFFFFF"/>
            <w:tcMar>
              <w:top w:w="0" w:type="dxa"/>
              <w:left w:w="20" w:type="dxa"/>
              <w:bottom w:w="0" w:type="dxa"/>
              <w:right w:w="20" w:type="dxa"/>
            </w:tcMar>
            <w:vAlign w:val="center"/>
            <w:hideMark/>
          </w:tcPr>
          <w:p w14:paraId="2149C2AE"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5BE572B"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222CAD1" w14:textId="77777777" w:rsidR="00000000" w:rsidRDefault="00A173A8">
            <w:pPr>
              <w:spacing w:after="100"/>
              <w:jc w:val="right"/>
              <w:rPr>
                <w:rFonts w:eastAsia="Times New Roman"/>
              </w:rPr>
            </w:pPr>
            <w:r>
              <w:rPr>
                <w:rFonts w:eastAsia="Times New Roman"/>
                <w:color w:val="000000"/>
                <w:sz w:val="20"/>
                <w:szCs w:val="20"/>
              </w:rPr>
              <w:t>6,039</w:t>
            </w:r>
          </w:p>
        </w:tc>
        <w:tc>
          <w:tcPr>
            <w:tcW w:w="0" w:type="auto"/>
            <w:vAlign w:val="center"/>
            <w:hideMark/>
          </w:tcPr>
          <w:p w14:paraId="5BCB5E42" w14:textId="77777777" w:rsidR="00000000" w:rsidRDefault="00A173A8">
            <w:pPr>
              <w:spacing w:after="100"/>
              <w:jc w:val="right"/>
              <w:rPr>
                <w:rFonts w:eastAsia="Times New Roman"/>
              </w:rPr>
            </w:pPr>
          </w:p>
        </w:tc>
        <w:tc>
          <w:tcPr>
            <w:tcW w:w="0" w:type="auto"/>
            <w:vAlign w:val="center"/>
            <w:hideMark/>
          </w:tcPr>
          <w:p w14:paraId="23EBFBD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2A5116"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05757FE1" w14:textId="77777777" w:rsidR="00000000" w:rsidRDefault="00A173A8">
            <w:pPr>
              <w:spacing w:after="100"/>
              <w:jc w:val="right"/>
              <w:rPr>
                <w:rFonts w:eastAsia="Times New Roman"/>
              </w:rPr>
            </w:pPr>
            <w:r>
              <w:rPr>
                <w:rFonts w:eastAsia="Times New Roman"/>
                <w:color w:val="000000"/>
                <w:sz w:val="20"/>
                <w:szCs w:val="20"/>
              </w:rPr>
              <w:t>20%</w:t>
            </w:r>
          </w:p>
        </w:tc>
        <w:tc>
          <w:tcPr>
            <w:tcW w:w="0" w:type="auto"/>
            <w:gridSpan w:val="3"/>
            <w:vAlign w:val="center"/>
            <w:hideMark/>
          </w:tcPr>
          <w:p w14:paraId="07B787C6" w14:textId="77777777" w:rsidR="00000000" w:rsidRDefault="00A173A8">
            <w:pPr>
              <w:spacing w:after="100"/>
              <w:jc w:val="right"/>
              <w:rPr>
                <w:rFonts w:eastAsia="Times New Roman"/>
              </w:rPr>
            </w:pPr>
          </w:p>
        </w:tc>
        <w:tc>
          <w:tcPr>
            <w:tcW w:w="0" w:type="auto"/>
            <w:gridSpan w:val="3"/>
            <w:vAlign w:val="center"/>
            <w:hideMark/>
          </w:tcPr>
          <w:p w14:paraId="26E070C7" w14:textId="77777777" w:rsidR="00000000" w:rsidRDefault="00A173A8">
            <w:pPr>
              <w:spacing w:after="100"/>
              <w:rPr>
                <w:rFonts w:eastAsia="Times New Roman"/>
                <w:sz w:val="20"/>
                <w:szCs w:val="20"/>
              </w:rPr>
            </w:pPr>
          </w:p>
        </w:tc>
      </w:tr>
      <w:tr w:rsidR="00000000" w14:paraId="672DCE96" w14:textId="77777777">
        <w:trPr>
          <w:divId w:val="134569232"/>
        </w:trPr>
        <w:tc>
          <w:tcPr>
            <w:tcW w:w="0" w:type="auto"/>
            <w:gridSpan w:val="3"/>
            <w:shd w:val="clear" w:color="auto" w:fill="CCEEFF"/>
            <w:tcMar>
              <w:top w:w="30" w:type="dxa"/>
              <w:left w:w="20" w:type="dxa"/>
              <w:bottom w:w="30" w:type="dxa"/>
              <w:right w:w="20" w:type="dxa"/>
            </w:tcMar>
            <w:vAlign w:val="center"/>
            <w:hideMark/>
          </w:tcPr>
          <w:p w14:paraId="1390093D" w14:textId="77777777" w:rsidR="00000000" w:rsidRDefault="00A173A8">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14:paraId="17BF30DF"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1CC287F9" w14:textId="77777777" w:rsidR="00000000" w:rsidRDefault="00A173A8">
            <w:pPr>
              <w:spacing w:after="100"/>
              <w:jc w:val="right"/>
              <w:rPr>
                <w:rFonts w:eastAsia="Times New Roman"/>
              </w:rPr>
            </w:pPr>
            <w:r>
              <w:rPr>
                <w:rFonts w:eastAsia="Times New Roman"/>
                <w:b/>
                <w:bCs/>
                <w:color w:val="000000"/>
                <w:sz w:val="20"/>
                <w:szCs w:val="20"/>
              </w:rPr>
              <w:t>1,340</w:t>
            </w:r>
          </w:p>
        </w:tc>
        <w:tc>
          <w:tcPr>
            <w:tcW w:w="0" w:type="auto"/>
            <w:gridSpan w:val="3"/>
            <w:shd w:val="clear" w:color="auto" w:fill="CCEEFF"/>
            <w:tcMar>
              <w:top w:w="0" w:type="dxa"/>
              <w:left w:w="20" w:type="dxa"/>
              <w:bottom w:w="0" w:type="dxa"/>
              <w:right w:w="20" w:type="dxa"/>
            </w:tcMar>
            <w:vAlign w:val="center"/>
            <w:hideMark/>
          </w:tcPr>
          <w:p w14:paraId="6DE70E55"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41DB988" w14:textId="77777777" w:rsidR="00000000" w:rsidRDefault="00A173A8">
            <w:pPr>
              <w:spacing w:after="100"/>
              <w:jc w:val="right"/>
              <w:rPr>
                <w:rFonts w:eastAsia="Times New Roman"/>
              </w:rPr>
            </w:pPr>
            <w:r>
              <w:rPr>
                <w:rFonts w:eastAsia="Times New Roman"/>
                <w:color w:val="000000"/>
                <w:sz w:val="20"/>
                <w:szCs w:val="20"/>
              </w:rPr>
              <w:t>1,183</w:t>
            </w:r>
          </w:p>
        </w:tc>
        <w:tc>
          <w:tcPr>
            <w:tcW w:w="0" w:type="auto"/>
            <w:gridSpan w:val="3"/>
            <w:shd w:val="clear" w:color="auto" w:fill="CCEEFF"/>
            <w:tcMar>
              <w:top w:w="0" w:type="dxa"/>
              <w:left w:w="20" w:type="dxa"/>
              <w:bottom w:w="0" w:type="dxa"/>
              <w:right w:w="20" w:type="dxa"/>
            </w:tcMar>
            <w:vAlign w:val="center"/>
            <w:hideMark/>
          </w:tcPr>
          <w:p w14:paraId="13636A8E"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67FB7C63" w14:textId="77777777" w:rsidR="00000000" w:rsidRDefault="00A173A8">
            <w:pPr>
              <w:spacing w:after="100"/>
              <w:jc w:val="right"/>
              <w:rPr>
                <w:rFonts w:eastAsia="Times New Roman"/>
              </w:rPr>
            </w:pPr>
            <w:r>
              <w:rPr>
                <w:rFonts w:eastAsia="Times New Roman"/>
                <w:color w:val="000000"/>
                <w:sz w:val="20"/>
                <w:szCs w:val="20"/>
              </w:rPr>
              <w:t>13</w:t>
            </w:r>
          </w:p>
        </w:tc>
        <w:tc>
          <w:tcPr>
            <w:tcW w:w="0" w:type="auto"/>
            <w:gridSpan w:val="3"/>
            <w:shd w:val="clear" w:color="auto" w:fill="CCEEFF"/>
            <w:tcMar>
              <w:top w:w="0" w:type="dxa"/>
              <w:left w:w="20" w:type="dxa"/>
              <w:bottom w:w="0" w:type="dxa"/>
              <w:right w:w="20" w:type="dxa"/>
            </w:tcMar>
            <w:vAlign w:val="center"/>
            <w:hideMark/>
          </w:tcPr>
          <w:p w14:paraId="35DFC1A6"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414D56B" w14:textId="77777777" w:rsidR="00000000" w:rsidRDefault="00A173A8">
            <w:pPr>
              <w:spacing w:after="100"/>
              <w:jc w:val="right"/>
              <w:rPr>
                <w:rFonts w:eastAsia="Times New Roman"/>
              </w:rPr>
            </w:pPr>
            <w:r>
              <w:rPr>
                <w:rFonts w:eastAsia="Times New Roman"/>
                <w:b/>
                <w:bCs/>
                <w:color w:val="000000"/>
                <w:sz w:val="20"/>
                <w:szCs w:val="20"/>
              </w:rPr>
              <w:t>2,588</w:t>
            </w:r>
          </w:p>
        </w:tc>
        <w:tc>
          <w:tcPr>
            <w:tcW w:w="0" w:type="auto"/>
            <w:gridSpan w:val="3"/>
            <w:shd w:val="clear" w:color="auto" w:fill="CCEEFF"/>
            <w:tcMar>
              <w:top w:w="0" w:type="dxa"/>
              <w:left w:w="20" w:type="dxa"/>
              <w:bottom w:w="0" w:type="dxa"/>
              <w:right w:w="20" w:type="dxa"/>
            </w:tcMar>
            <w:vAlign w:val="center"/>
            <w:hideMark/>
          </w:tcPr>
          <w:p w14:paraId="0E4C5B17"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24F4671" w14:textId="77777777" w:rsidR="00000000" w:rsidRDefault="00A173A8">
            <w:pPr>
              <w:spacing w:after="100"/>
              <w:jc w:val="right"/>
              <w:rPr>
                <w:rFonts w:eastAsia="Times New Roman"/>
              </w:rPr>
            </w:pPr>
            <w:r>
              <w:rPr>
                <w:rFonts w:eastAsia="Times New Roman"/>
                <w:color w:val="000000"/>
                <w:sz w:val="20"/>
                <w:szCs w:val="20"/>
              </w:rPr>
              <w:t>2,142</w:t>
            </w:r>
          </w:p>
        </w:tc>
        <w:tc>
          <w:tcPr>
            <w:tcW w:w="0" w:type="auto"/>
            <w:vAlign w:val="center"/>
            <w:hideMark/>
          </w:tcPr>
          <w:p w14:paraId="564E22A8" w14:textId="77777777" w:rsidR="00000000" w:rsidRDefault="00A173A8">
            <w:pPr>
              <w:spacing w:after="100"/>
              <w:jc w:val="right"/>
              <w:rPr>
                <w:rFonts w:eastAsia="Times New Roman"/>
              </w:rPr>
            </w:pPr>
          </w:p>
        </w:tc>
        <w:tc>
          <w:tcPr>
            <w:tcW w:w="0" w:type="auto"/>
            <w:vAlign w:val="center"/>
            <w:hideMark/>
          </w:tcPr>
          <w:p w14:paraId="0E947D6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9C4B68"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405D74F" w14:textId="77777777" w:rsidR="00000000" w:rsidRDefault="00A173A8">
            <w:pPr>
              <w:spacing w:after="100"/>
              <w:jc w:val="right"/>
              <w:rPr>
                <w:rFonts w:eastAsia="Times New Roman"/>
              </w:rPr>
            </w:pPr>
            <w:r>
              <w:rPr>
                <w:rFonts w:eastAsia="Times New Roman"/>
                <w:color w:val="000000"/>
                <w:sz w:val="20"/>
                <w:szCs w:val="20"/>
              </w:rPr>
              <w:t>21</w:t>
            </w:r>
          </w:p>
        </w:tc>
        <w:tc>
          <w:tcPr>
            <w:tcW w:w="0" w:type="auto"/>
            <w:gridSpan w:val="3"/>
            <w:vAlign w:val="center"/>
            <w:hideMark/>
          </w:tcPr>
          <w:p w14:paraId="3F21B55C" w14:textId="77777777" w:rsidR="00000000" w:rsidRDefault="00A173A8">
            <w:pPr>
              <w:spacing w:after="100"/>
              <w:jc w:val="right"/>
              <w:rPr>
                <w:rFonts w:eastAsia="Times New Roman"/>
              </w:rPr>
            </w:pPr>
          </w:p>
        </w:tc>
        <w:tc>
          <w:tcPr>
            <w:tcW w:w="0" w:type="auto"/>
            <w:gridSpan w:val="3"/>
            <w:vAlign w:val="center"/>
            <w:hideMark/>
          </w:tcPr>
          <w:p w14:paraId="0B376517" w14:textId="77777777" w:rsidR="00000000" w:rsidRDefault="00A173A8">
            <w:pPr>
              <w:spacing w:after="100"/>
              <w:rPr>
                <w:rFonts w:eastAsia="Times New Roman"/>
                <w:sz w:val="20"/>
                <w:szCs w:val="20"/>
              </w:rPr>
            </w:pPr>
          </w:p>
        </w:tc>
      </w:tr>
      <w:tr w:rsidR="00000000" w14:paraId="79FBC5CC" w14:textId="77777777">
        <w:trPr>
          <w:divId w:val="134569232"/>
        </w:trPr>
        <w:tc>
          <w:tcPr>
            <w:tcW w:w="0" w:type="auto"/>
            <w:gridSpan w:val="3"/>
            <w:shd w:val="clear" w:color="auto" w:fill="FFFFFF"/>
            <w:tcMar>
              <w:top w:w="30" w:type="dxa"/>
              <w:left w:w="20" w:type="dxa"/>
              <w:bottom w:w="30" w:type="dxa"/>
              <w:right w:w="20" w:type="dxa"/>
            </w:tcMar>
            <w:vAlign w:val="center"/>
            <w:hideMark/>
          </w:tcPr>
          <w:p w14:paraId="635B4946" w14:textId="77777777" w:rsidR="00000000" w:rsidRDefault="00A173A8">
            <w:pPr>
              <w:spacing w:after="100"/>
              <w:divId w:val="1306157455"/>
              <w:rPr>
                <w:rFonts w:eastAsia="Times New Roman"/>
              </w:rPr>
            </w:pPr>
            <w:r>
              <w:rPr>
                <w:rFonts w:eastAsia="Times New Roman"/>
                <w:color w:val="000000"/>
                <w:sz w:val="20"/>
                <w:szCs w:val="20"/>
              </w:rPr>
              <w:t>Total net revenu</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016FB24"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bottom"/>
            <w:hideMark/>
          </w:tcPr>
          <w:p w14:paraId="4CAD5F75" w14:textId="77777777" w:rsidR="00000000" w:rsidRDefault="00A173A8">
            <w:pPr>
              <w:spacing w:after="100"/>
              <w:jc w:val="right"/>
              <w:rPr>
                <w:rFonts w:eastAsia="Times New Roman"/>
              </w:rPr>
            </w:pPr>
            <w:r>
              <w:rPr>
                <w:rFonts w:eastAsia="Times New Roman"/>
                <w:b/>
                <w:bCs/>
                <w:color w:val="000000"/>
                <w:sz w:val="20"/>
                <w:szCs w:val="20"/>
              </w:rPr>
              <w:t>4,991</w:t>
            </w:r>
          </w:p>
        </w:tc>
        <w:tc>
          <w:tcPr>
            <w:tcW w:w="0" w:type="auto"/>
            <w:gridSpan w:val="3"/>
            <w:shd w:val="clear" w:color="auto" w:fill="FFFFFF"/>
            <w:tcMar>
              <w:top w:w="0" w:type="dxa"/>
              <w:left w:w="20" w:type="dxa"/>
              <w:bottom w:w="0" w:type="dxa"/>
              <w:right w:w="20" w:type="dxa"/>
            </w:tcMar>
            <w:vAlign w:val="center"/>
            <w:hideMark/>
          </w:tcPr>
          <w:p w14:paraId="3233DB01"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0A65847E" w14:textId="77777777" w:rsidR="00000000" w:rsidRDefault="00A173A8">
            <w:pPr>
              <w:spacing w:after="100"/>
              <w:jc w:val="right"/>
              <w:rPr>
                <w:rFonts w:eastAsia="Times New Roman"/>
              </w:rPr>
            </w:pPr>
            <w:r>
              <w:rPr>
                <w:rFonts w:eastAsia="Times New Roman"/>
                <w:color w:val="000000"/>
                <w:sz w:val="20"/>
                <w:szCs w:val="20"/>
              </w:rPr>
              <w:t>4,127</w:t>
            </w:r>
          </w:p>
        </w:tc>
        <w:tc>
          <w:tcPr>
            <w:tcW w:w="0" w:type="auto"/>
            <w:gridSpan w:val="3"/>
            <w:shd w:val="clear" w:color="auto" w:fill="FFFFFF"/>
            <w:tcMar>
              <w:top w:w="0" w:type="dxa"/>
              <w:left w:w="20" w:type="dxa"/>
              <w:bottom w:w="0" w:type="dxa"/>
              <w:right w:w="20" w:type="dxa"/>
            </w:tcMar>
            <w:vAlign w:val="center"/>
            <w:hideMark/>
          </w:tcPr>
          <w:p w14:paraId="7398820E"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3CC23A56" w14:textId="77777777" w:rsidR="00000000" w:rsidRDefault="00A173A8">
            <w:pPr>
              <w:spacing w:after="100"/>
              <w:jc w:val="right"/>
              <w:rPr>
                <w:rFonts w:eastAsia="Times New Roman"/>
              </w:rPr>
            </w:pPr>
            <w:r>
              <w:rPr>
                <w:rFonts w:eastAsia="Times New Roman"/>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14:paraId="0244DAC6"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60" w:type="dxa"/>
            </w:tcMar>
            <w:vAlign w:val="bottom"/>
            <w:hideMark/>
          </w:tcPr>
          <w:p w14:paraId="26899621" w14:textId="77777777" w:rsidR="00000000" w:rsidRDefault="00A173A8">
            <w:pPr>
              <w:spacing w:after="100"/>
              <w:jc w:val="right"/>
              <w:rPr>
                <w:rFonts w:eastAsia="Times New Roman"/>
              </w:rPr>
            </w:pPr>
            <w:r>
              <w:rPr>
                <w:rFonts w:eastAsia="Times New Roman"/>
                <w:b/>
                <w:bCs/>
                <w:color w:val="000000"/>
                <w:sz w:val="20"/>
                <w:szCs w:val="20"/>
              </w:rPr>
              <w:t>9,859</w:t>
            </w:r>
          </w:p>
        </w:tc>
        <w:tc>
          <w:tcPr>
            <w:tcW w:w="0" w:type="auto"/>
            <w:gridSpan w:val="3"/>
            <w:shd w:val="clear" w:color="auto" w:fill="FFFFFF"/>
            <w:tcMar>
              <w:top w:w="0" w:type="dxa"/>
              <w:left w:w="20" w:type="dxa"/>
              <w:bottom w:w="0" w:type="dxa"/>
              <w:right w:w="20" w:type="dxa"/>
            </w:tcMar>
            <w:vAlign w:val="center"/>
            <w:hideMark/>
          </w:tcPr>
          <w:p w14:paraId="07512C50"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501DA5A5" w14:textId="77777777" w:rsidR="00000000" w:rsidRDefault="00A173A8">
            <w:pPr>
              <w:spacing w:after="100"/>
              <w:jc w:val="right"/>
              <w:rPr>
                <w:rFonts w:eastAsia="Times New Roman"/>
              </w:rPr>
            </w:pPr>
            <w:r>
              <w:rPr>
                <w:rFonts w:eastAsia="Times New Roman"/>
                <w:color w:val="000000"/>
                <w:sz w:val="20"/>
                <w:szCs w:val="20"/>
              </w:rPr>
              <w:t>8,181</w:t>
            </w:r>
          </w:p>
        </w:tc>
        <w:tc>
          <w:tcPr>
            <w:tcW w:w="0" w:type="auto"/>
            <w:vAlign w:val="center"/>
            <w:hideMark/>
          </w:tcPr>
          <w:p w14:paraId="1C6887B5" w14:textId="77777777" w:rsidR="00000000" w:rsidRDefault="00A173A8">
            <w:pPr>
              <w:spacing w:after="100"/>
              <w:jc w:val="right"/>
              <w:rPr>
                <w:rFonts w:eastAsia="Times New Roman"/>
              </w:rPr>
            </w:pPr>
          </w:p>
        </w:tc>
        <w:tc>
          <w:tcPr>
            <w:tcW w:w="0" w:type="auto"/>
            <w:vAlign w:val="center"/>
            <w:hideMark/>
          </w:tcPr>
          <w:p w14:paraId="712AD94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DE97A5"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5D6C4B6A" w14:textId="77777777" w:rsidR="00000000" w:rsidRDefault="00A173A8">
            <w:pPr>
              <w:spacing w:after="100"/>
              <w:jc w:val="right"/>
              <w:rPr>
                <w:rFonts w:eastAsia="Times New Roman"/>
              </w:rPr>
            </w:pPr>
            <w:r>
              <w:rPr>
                <w:rFonts w:eastAsia="Times New Roman"/>
                <w:color w:val="000000"/>
                <w:sz w:val="20"/>
                <w:szCs w:val="20"/>
              </w:rPr>
              <w:t>21</w:t>
            </w:r>
          </w:p>
        </w:tc>
        <w:tc>
          <w:tcPr>
            <w:tcW w:w="0" w:type="auto"/>
            <w:gridSpan w:val="3"/>
            <w:vAlign w:val="center"/>
            <w:hideMark/>
          </w:tcPr>
          <w:p w14:paraId="1E95FD5F" w14:textId="77777777" w:rsidR="00000000" w:rsidRDefault="00A173A8">
            <w:pPr>
              <w:spacing w:after="100"/>
              <w:jc w:val="right"/>
              <w:rPr>
                <w:rFonts w:eastAsia="Times New Roman"/>
              </w:rPr>
            </w:pPr>
          </w:p>
        </w:tc>
        <w:tc>
          <w:tcPr>
            <w:tcW w:w="0" w:type="auto"/>
            <w:gridSpan w:val="3"/>
            <w:vAlign w:val="center"/>
            <w:hideMark/>
          </w:tcPr>
          <w:p w14:paraId="7B25F382" w14:textId="77777777" w:rsidR="00000000" w:rsidRDefault="00A173A8">
            <w:pPr>
              <w:spacing w:after="100"/>
              <w:rPr>
                <w:rFonts w:eastAsia="Times New Roman"/>
                <w:sz w:val="20"/>
                <w:szCs w:val="20"/>
              </w:rPr>
            </w:pPr>
          </w:p>
        </w:tc>
      </w:tr>
      <w:tr w:rsidR="00000000" w14:paraId="1BAB8786" w14:textId="77777777">
        <w:trPr>
          <w:divId w:val="134569232"/>
        </w:trPr>
        <w:tc>
          <w:tcPr>
            <w:tcW w:w="0" w:type="auto"/>
            <w:gridSpan w:val="3"/>
            <w:shd w:val="clear" w:color="auto" w:fill="CCEEFF"/>
            <w:tcMar>
              <w:top w:w="30" w:type="dxa"/>
              <w:left w:w="20" w:type="dxa"/>
              <w:bottom w:w="30" w:type="dxa"/>
              <w:right w:w="20" w:type="dxa"/>
            </w:tcMar>
            <w:vAlign w:val="center"/>
            <w:hideMark/>
          </w:tcPr>
          <w:p w14:paraId="4AE021D0" w14:textId="77777777" w:rsidR="00000000" w:rsidRDefault="00A173A8">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137E0866"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514F0BE" w14:textId="77777777" w:rsidR="00000000" w:rsidRDefault="00A173A8">
            <w:pPr>
              <w:spacing w:after="100"/>
              <w:jc w:val="right"/>
              <w:rPr>
                <w:rFonts w:eastAsia="Times New Roman"/>
              </w:rPr>
            </w:pPr>
            <w:r>
              <w:rPr>
                <w:rFonts w:eastAsia="Times New Roman"/>
                <w:b/>
                <w:bCs/>
                <w:color w:val="000000"/>
                <w:sz w:val="20"/>
                <w:szCs w:val="20"/>
              </w:rPr>
              <w:t>494</w:t>
            </w:r>
          </w:p>
        </w:tc>
        <w:tc>
          <w:tcPr>
            <w:tcW w:w="0" w:type="auto"/>
            <w:gridSpan w:val="3"/>
            <w:shd w:val="clear" w:color="auto" w:fill="CCEEFF"/>
            <w:tcMar>
              <w:top w:w="0" w:type="dxa"/>
              <w:left w:w="20" w:type="dxa"/>
              <w:bottom w:w="0" w:type="dxa"/>
              <w:right w:w="20" w:type="dxa"/>
            </w:tcMar>
            <w:vAlign w:val="center"/>
            <w:hideMark/>
          </w:tcPr>
          <w:p w14:paraId="6F6491FF"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041CFD6" w14:textId="77777777" w:rsidR="00000000" w:rsidRDefault="00A173A8">
            <w:pPr>
              <w:spacing w:after="100"/>
              <w:jc w:val="right"/>
              <w:rPr>
                <w:rFonts w:eastAsia="Times New Roman"/>
              </w:rPr>
            </w:pPr>
            <w:r>
              <w:rPr>
                <w:rFonts w:eastAsia="Times New Roman"/>
                <w:color w:val="000000"/>
                <w:sz w:val="20"/>
                <w:szCs w:val="20"/>
              </w:rPr>
              <w:t>(561)</w:t>
            </w:r>
          </w:p>
        </w:tc>
        <w:tc>
          <w:tcPr>
            <w:tcW w:w="0" w:type="auto"/>
            <w:gridSpan w:val="3"/>
            <w:shd w:val="clear" w:color="auto" w:fill="CCEEFF"/>
            <w:tcMar>
              <w:top w:w="0" w:type="dxa"/>
              <w:left w:w="20" w:type="dxa"/>
              <w:bottom w:w="0" w:type="dxa"/>
              <w:right w:w="20" w:type="dxa"/>
            </w:tcMar>
            <w:vAlign w:val="center"/>
            <w:hideMark/>
          </w:tcPr>
          <w:p w14:paraId="77CF034E"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5BBEBAE0"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F140F0C"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7F9219DF" w14:textId="77777777" w:rsidR="00000000" w:rsidRDefault="00A173A8">
            <w:pPr>
              <w:spacing w:after="100"/>
              <w:jc w:val="right"/>
              <w:rPr>
                <w:rFonts w:eastAsia="Times New Roman"/>
              </w:rPr>
            </w:pPr>
            <w:r>
              <w:rPr>
                <w:rFonts w:eastAsia="Times New Roman"/>
                <w:b/>
                <w:bCs/>
                <w:color w:val="000000"/>
                <w:sz w:val="20"/>
                <w:szCs w:val="20"/>
              </w:rPr>
              <w:t>1,053</w:t>
            </w:r>
          </w:p>
        </w:tc>
        <w:tc>
          <w:tcPr>
            <w:tcW w:w="0" w:type="auto"/>
            <w:gridSpan w:val="3"/>
            <w:shd w:val="clear" w:color="auto" w:fill="CCEEFF"/>
            <w:tcMar>
              <w:top w:w="0" w:type="dxa"/>
              <w:left w:w="20" w:type="dxa"/>
              <w:bottom w:w="0" w:type="dxa"/>
              <w:right w:w="20" w:type="dxa"/>
            </w:tcMar>
            <w:vAlign w:val="center"/>
            <w:hideMark/>
          </w:tcPr>
          <w:p w14:paraId="22F76A0A"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8ABB603" w14:textId="77777777" w:rsidR="00000000" w:rsidRDefault="00A173A8">
            <w:pPr>
              <w:spacing w:after="100"/>
              <w:jc w:val="right"/>
              <w:rPr>
                <w:rFonts w:eastAsia="Times New Roman"/>
              </w:rPr>
            </w:pPr>
            <w:r>
              <w:rPr>
                <w:rFonts w:eastAsia="Times New Roman"/>
                <w:color w:val="000000"/>
                <w:sz w:val="20"/>
                <w:szCs w:val="20"/>
              </w:rPr>
              <w:t>(1,052)</w:t>
            </w:r>
          </w:p>
        </w:tc>
        <w:tc>
          <w:tcPr>
            <w:tcW w:w="0" w:type="auto"/>
            <w:vAlign w:val="center"/>
            <w:hideMark/>
          </w:tcPr>
          <w:p w14:paraId="3E72434B" w14:textId="77777777" w:rsidR="00000000" w:rsidRDefault="00A173A8">
            <w:pPr>
              <w:spacing w:after="100"/>
              <w:jc w:val="right"/>
              <w:rPr>
                <w:rFonts w:eastAsia="Times New Roman"/>
              </w:rPr>
            </w:pPr>
          </w:p>
        </w:tc>
        <w:tc>
          <w:tcPr>
            <w:tcW w:w="0" w:type="auto"/>
            <w:vAlign w:val="center"/>
            <w:hideMark/>
          </w:tcPr>
          <w:p w14:paraId="408C628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AD6794"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6B6B86FC"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172652CE" w14:textId="77777777" w:rsidR="00000000" w:rsidRDefault="00A173A8">
            <w:pPr>
              <w:spacing w:after="100"/>
              <w:jc w:val="right"/>
              <w:rPr>
                <w:rFonts w:eastAsia="Times New Roman"/>
              </w:rPr>
            </w:pPr>
          </w:p>
        </w:tc>
        <w:tc>
          <w:tcPr>
            <w:tcW w:w="0" w:type="auto"/>
            <w:gridSpan w:val="3"/>
            <w:vAlign w:val="center"/>
            <w:hideMark/>
          </w:tcPr>
          <w:p w14:paraId="344379FC" w14:textId="77777777" w:rsidR="00000000" w:rsidRDefault="00A173A8">
            <w:pPr>
              <w:spacing w:after="100"/>
              <w:rPr>
                <w:rFonts w:eastAsia="Times New Roman"/>
                <w:sz w:val="20"/>
                <w:szCs w:val="20"/>
              </w:rPr>
            </w:pPr>
          </w:p>
        </w:tc>
      </w:tr>
      <w:tr w:rsidR="00000000" w14:paraId="308E13FA" w14:textId="77777777">
        <w:trPr>
          <w:divId w:val="134569232"/>
        </w:trPr>
        <w:tc>
          <w:tcPr>
            <w:tcW w:w="0" w:type="auto"/>
            <w:gridSpan w:val="3"/>
            <w:shd w:val="clear" w:color="auto" w:fill="FFFFFF"/>
            <w:tcMar>
              <w:top w:w="30" w:type="dxa"/>
              <w:left w:w="20" w:type="dxa"/>
              <w:bottom w:w="30" w:type="dxa"/>
              <w:right w:w="20" w:type="dxa"/>
            </w:tcMar>
            <w:vAlign w:val="center"/>
            <w:hideMark/>
          </w:tcPr>
          <w:p w14:paraId="1E7AE464" w14:textId="77777777" w:rsidR="00000000" w:rsidRDefault="00A173A8">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6B989975"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58440222" w14:textId="77777777" w:rsidR="00000000" w:rsidRDefault="00A173A8">
            <w:pPr>
              <w:spacing w:after="100"/>
              <w:jc w:val="right"/>
              <w:rPr>
                <w:rFonts w:eastAsia="Times New Roman"/>
              </w:rPr>
            </w:pPr>
            <w:r>
              <w:rPr>
                <w:rFonts w:eastAsia="Times New Roman"/>
                <w:b/>
                <w:bCs/>
                <w:color w:val="000000"/>
                <w:sz w:val="20"/>
                <w:szCs w:val="20"/>
              </w:rPr>
              <w:t>2,594</w:t>
            </w:r>
          </w:p>
        </w:tc>
        <w:tc>
          <w:tcPr>
            <w:tcW w:w="0" w:type="auto"/>
            <w:gridSpan w:val="3"/>
            <w:shd w:val="clear" w:color="auto" w:fill="FFFFFF"/>
            <w:tcMar>
              <w:top w:w="0" w:type="dxa"/>
              <w:left w:w="20" w:type="dxa"/>
              <w:bottom w:w="0" w:type="dxa"/>
              <w:right w:w="20" w:type="dxa"/>
            </w:tcMar>
            <w:vAlign w:val="center"/>
            <w:hideMark/>
          </w:tcPr>
          <w:p w14:paraId="4412AA18"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B142919" w14:textId="77777777" w:rsidR="00000000" w:rsidRDefault="00A173A8">
            <w:pPr>
              <w:spacing w:after="100"/>
              <w:jc w:val="right"/>
              <w:rPr>
                <w:rFonts w:eastAsia="Times New Roman"/>
              </w:rPr>
            </w:pPr>
            <w:r>
              <w:rPr>
                <w:rFonts w:eastAsia="Times New Roman"/>
                <w:color w:val="000000"/>
                <w:sz w:val="20"/>
                <w:szCs w:val="20"/>
              </w:rPr>
              <w:t>2,034</w:t>
            </w:r>
          </w:p>
        </w:tc>
        <w:tc>
          <w:tcPr>
            <w:tcW w:w="0" w:type="auto"/>
            <w:gridSpan w:val="3"/>
            <w:shd w:val="clear" w:color="auto" w:fill="FFFFFF"/>
            <w:tcMar>
              <w:top w:w="0" w:type="dxa"/>
              <w:left w:w="20" w:type="dxa"/>
              <w:bottom w:w="0" w:type="dxa"/>
              <w:right w:w="20" w:type="dxa"/>
            </w:tcMar>
            <w:vAlign w:val="center"/>
            <w:hideMark/>
          </w:tcPr>
          <w:p w14:paraId="6F795768"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1D1B1AE2" w14:textId="77777777" w:rsidR="00000000" w:rsidRDefault="00A173A8">
            <w:pPr>
              <w:spacing w:after="100"/>
              <w:jc w:val="right"/>
              <w:rPr>
                <w:rFonts w:eastAsia="Times New Roman"/>
              </w:rPr>
            </w:pPr>
            <w:r>
              <w:rPr>
                <w:rFonts w:eastAsia="Times New Roman"/>
                <w:color w:val="000000"/>
                <w:sz w:val="20"/>
                <w:szCs w:val="20"/>
              </w:rPr>
              <w:t>28</w:t>
            </w:r>
          </w:p>
        </w:tc>
        <w:tc>
          <w:tcPr>
            <w:tcW w:w="0" w:type="auto"/>
            <w:gridSpan w:val="3"/>
            <w:shd w:val="clear" w:color="auto" w:fill="FFFFFF"/>
            <w:tcMar>
              <w:top w:w="0" w:type="dxa"/>
              <w:left w:w="20" w:type="dxa"/>
              <w:bottom w:w="0" w:type="dxa"/>
              <w:right w:w="20" w:type="dxa"/>
            </w:tcMar>
            <w:vAlign w:val="center"/>
            <w:hideMark/>
          </w:tcPr>
          <w:p w14:paraId="33E30B5F"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283808FD" w14:textId="77777777" w:rsidR="00000000" w:rsidRDefault="00A173A8">
            <w:pPr>
              <w:spacing w:after="100"/>
              <w:jc w:val="right"/>
              <w:rPr>
                <w:rFonts w:eastAsia="Times New Roman"/>
              </w:rPr>
            </w:pPr>
            <w:r>
              <w:rPr>
                <w:rFonts w:eastAsia="Times New Roman"/>
                <w:b/>
                <w:bCs/>
                <w:color w:val="000000"/>
                <w:sz w:val="20"/>
                <w:szCs w:val="20"/>
              </w:rPr>
              <w:t>5,158</w:t>
            </w:r>
          </w:p>
        </w:tc>
        <w:tc>
          <w:tcPr>
            <w:tcW w:w="0" w:type="auto"/>
            <w:gridSpan w:val="3"/>
            <w:shd w:val="clear" w:color="auto" w:fill="FFFFFF"/>
            <w:tcMar>
              <w:top w:w="0" w:type="dxa"/>
              <w:left w:w="20" w:type="dxa"/>
              <w:bottom w:w="0" w:type="dxa"/>
              <w:right w:w="20" w:type="dxa"/>
            </w:tcMar>
            <w:vAlign w:val="center"/>
            <w:hideMark/>
          </w:tcPr>
          <w:p w14:paraId="08BDA4B6"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E648293" w14:textId="77777777" w:rsidR="00000000" w:rsidRDefault="00A173A8">
            <w:pPr>
              <w:spacing w:after="100"/>
              <w:jc w:val="right"/>
              <w:rPr>
                <w:rFonts w:eastAsia="Times New Roman"/>
              </w:rPr>
            </w:pPr>
            <w:r>
              <w:rPr>
                <w:rFonts w:eastAsia="Times New Roman"/>
                <w:color w:val="000000"/>
                <w:sz w:val="20"/>
                <w:szCs w:val="20"/>
              </w:rPr>
              <w:t>3,957</w:t>
            </w:r>
          </w:p>
        </w:tc>
        <w:tc>
          <w:tcPr>
            <w:tcW w:w="0" w:type="auto"/>
            <w:vAlign w:val="center"/>
            <w:hideMark/>
          </w:tcPr>
          <w:p w14:paraId="20F244E7" w14:textId="77777777" w:rsidR="00000000" w:rsidRDefault="00A173A8">
            <w:pPr>
              <w:spacing w:after="100"/>
              <w:jc w:val="right"/>
              <w:rPr>
                <w:rFonts w:eastAsia="Times New Roman"/>
              </w:rPr>
            </w:pPr>
          </w:p>
        </w:tc>
        <w:tc>
          <w:tcPr>
            <w:tcW w:w="0" w:type="auto"/>
            <w:vAlign w:val="center"/>
            <w:hideMark/>
          </w:tcPr>
          <w:p w14:paraId="094A235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3B91A1"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144ECE71" w14:textId="77777777" w:rsidR="00000000" w:rsidRDefault="00A173A8">
            <w:pPr>
              <w:spacing w:after="100"/>
              <w:jc w:val="right"/>
              <w:rPr>
                <w:rFonts w:eastAsia="Times New Roman"/>
              </w:rPr>
            </w:pPr>
            <w:r>
              <w:rPr>
                <w:rFonts w:eastAsia="Times New Roman"/>
                <w:color w:val="000000"/>
                <w:sz w:val="20"/>
                <w:szCs w:val="20"/>
              </w:rPr>
              <w:t>30</w:t>
            </w:r>
          </w:p>
        </w:tc>
        <w:tc>
          <w:tcPr>
            <w:tcW w:w="0" w:type="auto"/>
            <w:gridSpan w:val="3"/>
            <w:vAlign w:val="center"/>
            <w:hideMark/>
          </w:tcPr>
          <w:p w14:paraId="2E528FC1" w14:textId="77777777" w:rsidR="00000000" w:rsidRDefault="00A173A8">
            <w:pPr>
              <w:spacing w:after="100"/>
              <w:jc w:val="right"/>
              <w:rPr>
                <w:rFonts w:eastAsia="Times New Roman"/>
              </w:rPr>
            </w:pPr>
          </w:p>
        </w:tc>
        <w:tc>
          <w:tcPr>
            <w:tcW w:w="0" w:type="auto"/>
            <w:gridSpan w:val="3"/>
            <w:vAlign w:val="center"/>
            <w:hideMark/>
          </w:tcPr>
          <w:p w14:paraId="3061BCA0" w14:textId="77777777" w:rsidR="00000000" w:rsidRDefault="00A173A8">
            <w:pPr>
              <w:spacing w:after="100"/>
              <w:rPr>
                <w:rFonts w:eastAsia="Times New Roman"/>
                <w:sz w:val="20"/>
                <w:szCs w:val="20"/>
              </w:rPr>
            </w:pPr>
          </w:p>
        </w:tc>
      </w:tr>
      <w:tr w:rsidR="00000000" w14:paraId="2B0C06C6" w14:textId="77777777">
        <w:trPr>
          <w:divId w:val="134569232"/>
        </w:trPr>
        <w:tc>
          <w:tcPr>
            <w:tcW w:w="0" w:type="auto"/>
            <w:gridSpan w:val="3"/>
            <w:shd w:val="clear" w:color="auto" w:fill="CCEEFF"/>
            <w:tcMar>
              <w:top w:w="30" w:type="dxa"/>
              <w:left w:w="20" w:type="dxa"/>
              <w:bottom w:w="30" w:type="dxa"/>
              <w:right w:w="20" w:type="dxa"/>
            </w:tcMar>
            <w:vAlign w:val="center"/>
            <w:hideMark/>
          </w:tcPr>
          <w:p w14:paraId="55A12D18" w14:textId="77777777" w:rsidR="00000000" w:rsidRDefault="00A173A8">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234BD24E"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14:paraId="2ECFB2FC" w14:textId="77777777" w:rsidR="00000000" w:rsidRDefault="00A173A8">
            <w:pPr>
              <w:spacing w:after="100"/>
              <w:jc w:val="right"/>
              <w:rPr>
                <w:rFonts w:eastAsia="Times New Roman"/>
              </w:rPr>
            </w:pPr>
            <w:r>
              <w:rPr>
                <w:rFonts w:eastAsia="Times New Roman"/>
                <w:b/>
                <w:bCs/>
                <w:color w:val="000000"/>
                <w:sz w:val="20"/>
                <w:szCs w:val="20"/>
              </w:rPr>
              <w:t>1,903</w:t>
            </w:r>
          </w:p>
        </w:tc>
        <w:tc>
          <w:tcPr>
            <w:tcW w:w="0" w:type="auto"/>
            <w:gridSpan w:val="3"/>
            <w:shd w:val="clear" w:color="auto" w:fill="CCEEFF"/>
            <w:tcMar>
              <w:top w:w="0" w:type="dxa"/>
              <w:left w:w="20" w:type="dxa"/>
              <w:bottom w:w="0" w:type="dxa"/>
              <w:right w:w="20" w:type="dxa"/>
            </w:tcMar>
            <w:vAlign w:val="center"/>
            <w:hideMark/>
          </w:tcPr>
          <w:p w14:paraId="71122D4F"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61611FA4" w14:textId="77777777" w:rsidR="00000000" w:rsidRDefault="00A173A8">
            <w:pPr>
              <w:spacing w:after="100"/>
              <w:jc w:val="right"/>
              <w:rPr>
                <w:rFonts w:eastAsia="Times New Roman"/>
              </w:rPr>
            </w:pPr>
            <w:r>
              <w:rPr>
                <w:rFonts w:eastAsia="Times New Roman"/>
                <w:color w:val="000000"/>
                <w:sz w:val="20"/>
                <w:szCs w:val="20"/>
              </w:rPr>
              <w:t>2,654</w:t>
            </w:r>
          </w:p>
        </w:tc>
        <w:tc>
          <w:tcPr>
            <w:tcW w:w="0" w:type="auto"/>
            <w:gridSpan w:val="3"/>
            <w:shd w:val="clear" w:color="auto" w:fill="CCEEFF"/>
            <w:tcMar>
              <w:top w:w="0" w:type="dxa"/>
              <w:left w:w="20" w:type="dxa"/>
              <w:bottom w:w="0" w:type="dxa"/>
              <w:right w:w="20" w:type="dxa"/>
            </w:tcMar>
            <w:vAlign w:val="center"/>
            <w:hideMark/>
          </w:tcPr>
          <w:p w14:paraId="6607BECD"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2FB1B6" w14:textId="77777777" w:rsidR="00000000" w:rsidRDefault="00A173A8">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0AC17AE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946C9F"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14:paraId="4817E9E6" w14:textId="77777777" w:rsidR="00000000" w:rsidRDefault="00A173A8">
            <w:pPr>
              <w:spacing w:after="100"/>
              <w:jc w:val="right"/>
              <w:rPr>
                <w:rFonts w:eastAsia="Times New Roman"/>
              </w:rPr>
            </w:pPr>
            <w:r>
              <w:rPr>
                <w:rFonts w:eastAsia="Times New Roman"/>
                <w:b/>
                <w:bCs/>
                <w:color w:val="000000"/>
                <w:sz w:val="20"/>
                <w:szCs w:val="20"/>
              </w:rPr>
              <w:t>3,648</w:t>
            </w:r>
          </w:p>
        </w:tc>
        <w:tc>
          <w:tcPr>
            <w:tcW w:w="0" w:type="auto"/>
            <w:gridSpan w:val="3"/>
            <w:shd w:val="clear" w:color="auto" w:fill="CCEEFF"/>
            <w:tcMar>
              <w:top w:w="0" w:type="dxa"/>
              <w:left w:w="20" w:type="dxa"/>
              <w:bottom w:w="0" w:type="dxa"/>
              <w:right w:w="20" w:type="dxa"/>
            </w:tcMar>
            <w:vAlign w:val="center"/>
            <w:hideMark/>
          </w:tcPr>
          <w:p w14:paraId="58750A19"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1D11505A" w14:textId="77777777" w:rsidR="00000000" w:rsidRDefault="00A173A8">
            <w:pPr>
              <w:spacing w:after="100"/>
              <w:jc w:val="right"/>
              <w:rPr>
                <w:rFonts w:eastAsia="Times New Roman"/>
              </w:rPr>
            </w:pPr>
            <w:r>
              <w:rPr>
                <w:rFonts w:eastAsia="Times New Roman"/>
                <w:color w:val="000000"/>
                <w:sz w:val="20"/>
                <w:szCs w:val="20"/>
              </w:rPr>
              <w:t>5,276</w:t>
            </w:r>
          </w:p>
        </w:tc>
        <w:tc>
          <w:tcPr>
            <w:tcW w:w="0" w:type="auto"/>
            <w:vAlign w:val="center"/>
            <w:hideMark/>
          </w:tcPr>
          <w:p w14:paraId="3C445C6B" w14:textId="77777777" w:rsidR="00000000" w:rsidRDefault="00A173A8">
            <w:pPr>
              <w:spacing w:after="100"/>
              <w:jc w:val="right"/>
              <w:rPr>
                <w:rFonts w:eastAsia="Times New Roman"/>
              </w:rPr>
            </w:pPr>
          </w:p>
        </w:tc>
        <w:tc>
          <w:tcPr>
            <w:tcW w:w="0" w:type="auto"/>
            <w:vAlign w:val="center"/>
            <w:hideMark/>
          </w:tcPr>
          <w:p w14:paraId="259A58E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515C34"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54AF8E8" w14:textId="77777777" w:rsidR="00000000" w:rsidRDefault="00A173A8">
            <w:pPr>
              <w:spacing w:after="100"/>
              <w:jc w:val="right"/>
              <w:rPr>
                <w:rFonts w:eastAsia="Times New Roman"/>
              </w:rPr>
            </w:pPr>
            <w:r>
              <w:rPr>
                <w:rFonts w:eastAsia="Times New Roman"/>
                <w:color w:val="000000"/>
                <w:sz w:val="20"/>
                <w:szCs w:val="20"/>
              </w:rPr>
              <w:t>(31)</w:t>
            </w:r>
          </w:p>
        </w:tc>
        <w:tc>
          <w:tcPr>
            <w:tcW w:w="0" w:type="auto"/>
            <w:gridSpan w:val="3"/>
            <w:vAlign w:val="center"/>
            <w:hideMark/>
          </w:tcPr>
          <w:p w14:paraId="483B90BB" w14:textId="77777777" w:rsidR="00000000" w:rsidRDefault="00A173A8">
            <w:pPr>
              <w:spacing w:after="100"/>
              <w:jc w:val="right"/>
              <w:rPr>
                <w:rFonts w:eastAsia="Times New Roman"/>
              </w:rPr>
            </w:pPr>
          </w:p>
        </w:tc>
        <w:tc>
          <w:tcPr>
            <w:tcW w:w="0" w:type="auto"/>
            <w:gridSpan w:val="3"/>
            <w:vAlign w:val="center"/>
            <w:hideMark/>
          </w:tcPr>
          <w:p w14:paraId="302C3578" w14:textId="77777777" w:rsidR="00000000" w:rsidRDefault="00A173A8">
            <w:pPr>
              <w:spacing w:after="100"/>
              <w:rPr>
                <w:rFonts w:eastAsia="Times New Roman"/>
                <w:sz w:val="20"/>
                <w:szCs w:val="20"/>
              </w:rPr>
            </w:pPr>
          </w:p>
        </w:tc>
      </w:tr>
      <w:tr w:rsidR="00000000" w14:paraId="1D7CB49B" w14:textId="77777777">
        <w:trPr>
          <w:divId w:val="134569232"/>
        </w:trPr>
        <w:tc>
          <w:tcPr>
            <w:tcW w:w="0" w:type="auto"/>
            <w:gridSpan w:val="3"/>
            <w:shd w:val="clear" w:color="auto" w:fill="FFFFFF"/>
            <w:tcMar>
              <w:top w:w="30" w:type="dxa"/>
              <w:left w:w="20" w:type="dxa"/>
              <w:bottom w:w="30" w:type="dxa"/>
              <w:right w:w="20" w:type="dxa"/>
            </w:tcMar>
            <w:vAlign w:val="center"/>
            <w:hideMark/>
          </w:tcPr>
          <w:p w14:paraId="076CAD07" w14:textId="77777777" w:rsidR="00000000" w:rsidRDefault="00A173A8">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0" w:type="dxa"/>
              <w:left w:w="20" w:type="dxa"/>
              <w:bottom w:w="0" w:type="dxa"/>
              <w:right w:w="20" w:type="dxa"/>
            </w:tcMar>
            <w:vAlign w:val="center"/>
            <w:hideMark/>
          </w:tcPr>
          <w:p w14:paraId="6F36A9E0"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1F1FE964" w14:textId="77777777" w:rsidR="00000000" w:rsidRDefault="00A173A8">
            <w:pPr>
              <w:spacing w:after="100"/>
              <w:jc w:val="right"/>
              <w:rPr>
                <w:rFonts w:eastAsia="Times New Roman"/>
              </w:rPr>
            </w:pPr>
            <w:r>
              <w:rPr>
                <w:rFonts w:eastAsia="Times New Roman"/>
                <w:b/>
                <w:bCs/>
                <w:color w:val="000000"/>
                <w:sz w:val="20"/>
                <w:szCs w:val="20"/>
              </w:rPr>
              <w:t>450</w:t>
            </w:r>
          </w:p>
        </w:tc>
        <w:tc>
          <w:tcPr>
            <w:tcW w:w="0" w:type="auto"/>
            <w:gridSpan w:val="3"/>
            <w:shd w:val="clear" w:color="auto" w:fill="FFFFFF"/>
            <w:tcMar>
              <w:top w:w="0" w:type="dxa"/>
              <w:left w:w="20" w:type="dxa"/>
              <w:bottom w:w="0" w:type="dxa"/>
              <w:right w:w="20" w:type="dxa"/>
            </w:tcMar>
            <w:vAlign w:val="center"/>
            <w:hideMark/>
          </w:tcPr>
          <w:p w14:paraId="26497447"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AFE7E30" w14:textId="77777777" w:rsidR="00000000" w:rsidRDefault="00A173A8">
            <w:pPr>
              <w:spacing w:after="100"/>
              <w:jc w:val="right"/>
              <w:rPr>
                <w:rFonts w:eastAsia="Times New Roman"/>
              </w:rPr>
            </w:pPr>
            <w:r>
              <w:rPr>
                <w:rFonts w:eastAsia="Times New Roman"/>
                <w:color w:val="000000"/>
                <w:sz w:val="20"/>
                <w:szCs w:val="20"/>
              </w:rPr>
              <w:t>626</w:t>
            </w:r>
          </w:p>
        </w:tc>
        <w:tc>
          <w:tcPr>
            <w:tcW w:w="0" w:type="auto"/>
            <w:gridSpan w:val="3"/>
            <w:shd w:val="clear" w:color="auto" w:fill="FFFFFF"/>
            <w:tcMar>
              <w:top w:w="0" w:type="dxa"/>
              <w:left w:w="20" w:type="dxa"/>
              <w:bottom w:w="0" w:type="dxa"/>
              <w:right w:w="20" w:type="dxa"/>
            </w:tcMar>
            <w:vAlign w:val="center"/>
            <w:hideMark/>
          </w:tcPr>
          <w:p w14:paraId="403BF2B2"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DA68DC" w14:textId="77777777" w:rsidR="00000000" w:rsidRDefault="00A173A8">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14:paraId="13F5A3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6EE50"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26414170" w14:textId="77777777" w:rsidR="00000000" w:rsidRDefault="00A173A8">
            <w:pPr>
              <w:spacing w:after="100"/>
              <w:jc w:val="right"/>
              <w:rPr>
                <w:rFonts w:eastAsia="Times New Roman"/>
              </w:rPr>
            </w:pPr>
            <w:r>
              <w:rPr>
                <w:rFonts w:eastAsia="Times New Roman"/>
                <w:b/>
                <w:bCs/>
                <w:color w:val="000000"/>
                <w:sz w:val="20"/>
                <w:szCs w:val="20"/>
              </w:rPr>
              <w:t>864</w:t>
            </w:r>
          </w:p>
        </w:tc>
        <w:tc>
          <w:tcPr>
            <w:tcW w:w="0" w:type="auto"/>
            <w:gridSpan w:val="3"/>
            <w:shd w:val="clear" w:color="auto" w:fill="FFFFFF"/>
            <w:tcMar>
              <w:top w:w="0" w:type="dxa"/>
              <w:left w:w="20" w:type="dxa"/>
              <w:bottom w:w="0" w:type="dxa"/>
              <w:right w:w="20" w:type="dxa"/>
            </w:tcMar>
            <w:vAlign w:val="center"/>
            <w:hideMark/>
          </w:tcPr>
          <w:p w14:paraId="30783F61"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0242FFA" w14:textId="77777777" w:rsidR="00000000" w:rsidRDefault="00A173A8">
            <w:pPr>
              <w:spacing w:after="100"/>
              <w:jc w:val="right"/>
              <w:rPr>
                <w:rFonts w:eastAsia="Times New Roman"/>
              </w:rPr>
            </w:pPr>
            <w:r>
              <w:rPr>
                <w:rFonts w:eastAsia="Times New Roman"/>
                <w:color w:val="000000"/>
                <w:sz w:val="20"/>
                <w:szCs w:val="20"/>
              </w:rPr>
              <w:t>1,245</w:t>
            </w:r>
          </w:p>
        </w:tc>
        <w:tc>
          <w:tcPr>
            <w:tcW w:w="0" w:type="auto"/>
            <w:vAlign w:val="center"/>
            <w:hideMark/>
          </w:tcPr>
          <w:p w14:paraId="57514516" w14:textId="77777777" w:rsidR="00000000" w:rsidRDefault="00A173A8">
            <w:pPr>
              <w:spacing w:after="100"/>
              <w:jc w:val="right"/>
              <w:rPr>
                <w:rFonts w:eastAsia="Times New Roman"/>
              </w:rPr>
            </w:pPr>
          </w:p>
        </w:tc>
        <w:tc>
          <w:tcPr>
            <w:tcW w:w="0" w:type="auto"/>
            <w:vAlign w:val="center"/>
            <w:hideMark/>
          </w:tcPr>
          <w:p w14:paraId="63D450D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2DCE2C"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6F4B632B" w14:textId="77777777" w:rsidR="00000000" w:rsidRDefault="00A173A8">
            <w:pPr>
              <w:spacing w:after="100"/>
              <w:jc w:val="right"/>
              <w:rPr>
                <w:rFonts w:eastAsia="Times New Roman"/>
              </w:rPr>
            </w:pPr>
            <w:r>
              <w:rPr>
                <w:rFonts w:eastAsia="Times New Roman"/>
                <w:color w:val="000000"/>
                <w:sz w:val="20"/>
                <w:szCs w:val="20"/>
              </w:rPr>
              <w:t>(31)</w:t>
            </w:r>
          </w:p>
        </w:tc>
        <w:tc>
          <w:tcPr>
            <w:tcW w:w="0" w:type="auto"/>
            <w:gridSpan w:val="3"/>
            <w:vAlign w:val="center"/>
            <w:hideMark/>
          </w:tcPr>
          <w:p w14:paraId="3A286C1F" w14:textId="77777777" w:rsidR="00000000" w:rsidRDefault="00A173A8">
            <w:pPr>
              <w:spacing w:after="100"/>
              <w:jc w:val="right"/>
              <w:rPr>
                <w:rFonts w:eastAsia="Times New Roman"/>
              </w:rPr>
            </w:pPr>
          </w:p>
        </w:tc>
        <w:tc>
          <w:tcPr>
            <w:tcW w:w="0" w:type="auto"/>
            <w:gridSpan w:val="3"/>
            <w:vAlign w:val="center"/>
            <w:hideMark/>
          </w:tcPr>
          <w:p w14:paraId="3BC8B2B6" w14:textId="77777777" w:rsidR="00000000" w:rsidRDefault="00A173A8">
            <w:pPr>
              <w:spacing w:after="100"/>
              <w:rPr>
                <w:rFonts w:eastAsia="Times New Roman"/>
                <w:sz w:val="20"/>
                <w:szCs w:val="20"/>
              </w:rPr>
            </w:pPr>
          </w:p>
        </w:tc>
      </w:tr>
      <w:tr w:rsidR="00000000" w14:paraId="4F8D7872" w14:textId="77777777">
        <w:trPr>
          <w:divId w:val="134569232"/>
        </w:trPr>
        <w:tc>
          <w:tcPr>
            <w:tcW w:w="0" w:type="auto"/>
            <w:gridSpan w:val="3"/>
            <w:shd w:val="clear" w:color="auto" w:fill="CCEEFF"/>
            <w:tcMar>
              <w:top w:w="30" w:type="dxa"/>
              <w:left w:w="20" w:type="dxa"/>
              <w:bottom w:w="30" w:type="dxa"/>
              <w:right w:w="20" w:type="dxa"/>
            </w:tcMar>
            <w:vAlign w:val="center"/>
            <w:hideMark/>
          </w:tcPr>
          <w:p w14:paraId="54295288" w14:textId="77777777" w:rsidR="00000000" w:rsidRDefault="00A173A8">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50501C66"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5E4B99"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60" w:type="dxa"/>
            </w:tcMar>
            <w:vAlign w:val="bottom"/>
            <w:hideMark/>
          </w:tcPr>
          <w:p w14:paraId="3886FE8E" w14:textId="77777777" w:rsidR="00000000" w:rsidRDefault="00A173A8">
            <w:pPr>
              <w:spacing w:after="100"/>
              <w:jc w:val="right"/>
              <w:rPr>
                <w:rFonts w:eastAsia="Times New Roman"/>
              </w:rPr>
            </w:pPr>
            <w:r>
              <w:rPr>
                <w:rFonts w:eastAsia="Times New Roman"/>
                <w:b/>
                <w:bCs/>
                <w:color w:val="000000"/>
                <w:sz w:val="20"/>
                <w:szCs w:val="20"/>
              </w:rPr>
              <w:t>1,453</w:t>
            </w:r>
          </w:p>
        </w:tc>
        <w:tc>
          <w:tcPr>
            <w:tcW w:w="0" w:type="auto"/>
            <w:gridSpan w:val="3"/>
            <w:shd w:val="clear" w:color="auto" w:fill="CCEEFF"/>
            <w:tcMar>
              <w:top w:w="0" w:type="dxa"/>
              <w:left w:w="20" w:type="dxa"/>
              <w:bottom w:w="0" w:type="dxa"/>
              <w:right w:w="20" w:type="dxa"/>
            </w:tcMar>
            <w:vAlign w:val="center"/>
            <w:hideMark/>
          </w:tcPr>
          <w:p w14:paraId="2DE05C7D"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48E527"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6E8BD66B" w14:textId="77777777" w:rsidR="00000000" w:rsidRDefault="00A173A8">
            <w:pPr>
              <w:spacing w:after="100"/>
              <w:jc w:val="right"/>
              <w:rPr>
                <w:rFonts w:eastAsia="Times New Roman"/>
              </w:rPr>
            </w:pPr>
            <w:r>
              <w:rPr>
                <w:rFonts w:eastAsia="Times New Roman"/>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14:paraId="05ADAB21"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8AC5F6" w14:textId="77777777" w:rsidR="00000000" w:rsidRDefault="00A173A8">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14:paraId="50D9585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1DEF4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710DB9"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60" w:type="dxa"/>
            </w:tcMar>
            <w:vAlign w:val="bottom"/>
            <w:hideMark/>
          </w:tcPr>
          <w:p w14:paraId="4C283C03" w14:textId="77777777" w:rsidR="00000000" w:rsidRDefault="00A173A8">
            <w:pPr>
              <w:spacing w:after="100"/>
              <w:jc w:val="right"/>
              <w:rPr>
                <w:rFonts w:eastAsia="Times New Roman"/>
              </w:rPr>
            </w:pPr>
            <w:r>
              <w:rPr>
                <w:rFonts w:eastAsia="Times New Roman"/>
                <w:b/>
                <w:bCs/>
                <w:color w:val="000000"/>
                <w:sz w:val="20"/>
                <w:szCs w:val="20"/>
              </w:rPr>
              <w:t>2,784</w:t>
            </w:r>
          </w:p>
        </w:tc>
        <w:tc>
          <w:tcPr>
            <w:tcW w:w="0" w:type="auto"/>
            <w:gridSpan w:val="3"/>
            <w:shd w:val="clear" w:color="auto" w:fill="CCEEFF"/>
            <w:tcMar>
              <w:top w:w="0" w:type="dxa"/>
              <w:left w:w="20" w:type="dxa"/>
              <w:bottom w:w="0" w:type="dxa"/>
              <w:right w:w="20" w:type="dxa"/>
            </w:tcMar>
            <w:vAlign w:val="center"/>
            <w:hideMark/>
          </w:tcPr>
          <w:p w14:paraId="3E9315B5"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B499B2"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A790C71" w14:textId="77777777" w:rsidR="00000000" w:rsidRDefault="00A173A8">
            <w:pPr>
              <w:spacing w:after="100"/>
              <w:jc w:val="right"/>
              <w:rPr>
                <w:rFonts w:eastAsia="Times New Roman"/>
              </w:rPr>
            </w:pPr>
            <w:r>
              <w:rPr>
                <w:rFonts w:eastAsia="Times New Roman"/>
                <w:color w:val="000000"/>
                <w:sz w:val="20"/>
                <w:szCs w:val="20"/>
              </w:rPr>
              <w:t>4,031</w:t>
            </w:r>
          </w:p>
        </w:tc>
        <w:tc>
          <w:tcPr>
            <w:tcW w:w="0" w:type="auto"/>
            <w:vAlign w:val="center"/>
            <w:hideMark/>
          </w:tcPr>
          <w:p w14:paraId="20DF2F88" w14:textId="77777777" w:rsidR="00000000" w:rsidRDefault="00A173A8">
            <w:pPr>
              <w:spacing w:after="100"/>
              <w:jc w:val="right"/>
              <w:rPr>
                <w:rFonts w:eastAsia="Times New Roman"/>
              </w:rPr>
            </w:pPr>
          </w:p>
        </w:tc>
        <w:tc>
          <w:tcPr>
            <w:tcW w:w="0" w:type="auto"/>
            <w:vAlign w:val="center"/>
            <w:hideMark/>
          </w:tcPr>
          <w:p w14:paraId="2D2F3E2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6F945E"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3B9B90D9" w14:textId="77777777" w:rsidR="00000000" w:rsidRDefault="00A173A8">
            <w:pPr>
              <w:spacing w:after="100"/>
              <w:jc w:val="right"/>
              <w:rPr>
                <w:rFonts w:eastAsia="Times New Roman"/>
              </w:rPr>
            </w:pPr>
            <w:r>
              <w:rPr>
                <w:rFonts w:eastAsia="Times New Roman"/>
                <w:color w:val="000000"/>
                <w:sz w:val="20"/>
                <w:szCs w:val="20"/>
              </w:rPr>
              <w:t>(31)</w:t>
            </w:r>
          </w:p>
        </w:tc>
        <w:tc>
          <w:tcPr>
            <w:tcW w:w="0" w:type="auto"/>
            <w:gridSpan w:val="3"/>
            <w:vAlign w:val="center"/>
            <w:hideMark/>
          </w:tcPr>
          <w:p w14:paraId="5A109F3C" w14:textId="77777777" w:rsidR="00000000" w:rsidRDefault="00A173A8">
            <w:pPr>
              <w:spacing w:after="100"/>
              <w:jc w:val="right"/>
              <w:rPr>
                <w:rFonts w:eastAsia="Times New Roman"/>
              </w:rPr>
            </w:pPr>
          </w:p>
        </w:tc>
        <w:tc>
          <w:tcPr>
            <w:tcW w:w="0" w:type="auto"/>
            <w:gridSpan w:val="3"/>
            <w:vAlign w:val="center"/>
            <w:hideMark/>
          </w:tcPr>
          <w:p w14:paraId="4AB9A8CC" w14:textId="77777777" w:rsidR="00000000" w:rsidRDefault="00A173A8">
            <w:pPr>
              <w:spacing w:after="100"/>
              <w:rPr>
                <w:rFonts w:eastAsia="Times New Roman"/>
                <w:sz w:val="20"/>
                <w:szCs w:val="20"/>
              </w:rPr>
            </w:pPr>
          </w:p>
        </w:tc>
      </w:tr>
      <w:tr w:rsidR="00000000" w14:paraId="5CF1C8D2" w14:textId="77777777">
        <w:trPr>
          <w:divId w:val="134569232"/>
        </w:trPr>
        <w:tc>
          <w:tcPr>
            <w:tcW w:w="0" w:type="auto"/>
            <w:gridSpan w:val="3"/>
            <w:vAlign w:val="center"/>
            <w:hideMark/>
          </w:tcPr>
          <w:p w14:paraId="01527B32" w14:textId="77777777" w:rsidR="00000000" w:rsidRDefault="00A173A8">
            <w:pPr>
              <w:spacing w:after="100"/>
              <w:rPr>
                <w:rFonts w:eastAsia="Times New Roman"/>
                <w:sz w:val="20"/>
                <w:szCs w:val="20"/>
              </w:rPr>
            </w:pPr>
          </w:p>
        </w:tc>
        <w:tc>
          <w:tcPr>
            <w:tcW w:w="0" w:type="auto"/>
            <w:gridSpan w:val="3"/>
            <w:vAlign w:val="center"/>
            <w:hideMark/>
          </w:tcPr>
          <w:p w14:paraId="544CCF1B" w14:textId="77777777" w:rsidR="00000000" w:rsidRDefault="00A173A8">
            <w:pPr>
              <w:spacing w:after="100"/>
              <w:rPr>
                <w:rFonts w:eastAsia="Times New Roman"/>
                <w:sz w:val="20"/>
                <w:szCs w:val="20"/>
              </w:rPr>
            </w:pPr>
          </w:p>
        </w:tc>
        <w:tc>
          <w:tcPr>
            <w:tcW w:w="0" w:type="auto"/>
            <w:gridSpan w:val="3"/>
            <w:vAlign w:val="center"/>
            <w:hideMark/>
          </w:tcPr>
          <w:p w14:paraId="21B22384" w14:textId="77777777" w:rsidR="00000000" w:rsidRDefault="00A173A8">
            <w:pPr>
              <w:spacing w:after="100"/>
              <w:rPr>
                <w:rFonts w:eastAsia="Times New Roman"/>
                <w:sz w:val="20"/>
                <w:szCs w:val="20"/>
              </w:rPr>
            </w:pPr>
          </w:p>
        </w:tc>
        <w:tc>
          <w:tcPr>
            <w:tcW w:w="0" w:type="auto"/>
            <w:gridSpan w:val="3"/>
            <w:vAlign w:val="center"/>
            <w:hideMark/>
          </w:tcPr>
          <w:p w14:paraId="4A0942B0" w14:textId="77777777" w:rsidR="00000000" w:rsidRDefault="00A173A8">
            <w:pPr>
              <w:spacing w:after="100"/>
              <w:rPr>
                <w:rFonts w:eastAsia="Times New Roman"/>
                <w:sz w:val="20"/>
                <w:szCs w:val="20"/>
              </w:rPr>
            </w:pPr>
          </w:p>
        </w:tc>
        <w:tc>
          <w:tcPr>
            <w:tcW w:w="0" w:type="auto"/>
            <w:gridSpan w:val="3"/>
            <w:vAlign w:val="center"/>
            <w:hideMark/>
          </w:tcPr>
          <w:p w14:paraId="60503B91" w14:textId="77777777" w:rsidR="00000000" w:rsidRDefault="00A173A8">
            <w:pPr>
              <w:spacing w:after="100"/>
              <w:rPr>
                <w:rFonts w:eastAsia="Times New Roman"/>
                <w:sz w:val="20"/>
                <w:szCs w:val="20"/>
              </w:rPr>
            </w:pPr>
          </w:p>
        </w:tc>
        <w:tc>
          <w:tcPr>
            <w:tcW w:w="0" w:type="auto"/>
            <w:gridSpan w:val="3"/>
            <w:vAlign w:val="center"/>
            <w:hideMark/>
          </w:tcPr>
          <w:p w14:paraId="010A1D85" w14:textId="77777777" w:rsidR="00000000" w:rsidRDefault="00A173A8">
            <w:pPr>
              <w:spacing w:after="100"/>
              <w:rPr>
                <w:rFonts w:eastAsia="Times New Roman"/>
                <w:sz w:val="20"/>
                <w:szCs w:val="20"/>
              </w:rPr>
            </w:pPr>
          </w:p>
        </w:tc>
        <w:tc>
          <w:tcPr>
            <w:tcW w:w="0" w:type="auto"/>
            <w:gridSpan w:val="3"/>
            <w:vAlign w:val="center"/>
            <w:hideMark/>
          </w:tcPr>
          <w:p w14:paraId="7C1B23BF" w14:textId="77777777" w:rsidR="00000000" w:rsidRDefault="00A173A8">
            <w:pPr>
              <w:spacing w:after="100"/>
              <w:rPr>
                <w:rFonts w:eastAsia="Times New Roman"/>
                <w:sz w:val="20"/>
                <w:szCs w:val="20"/>
              </w:rPr>
            </w:pPr>
          </w:p>
        </w:tc>
        <w:tc>
          <w:tcPr>
            <w:tcW w:w="0" w:type="auto"/>
            <w:gridSpan w:val="3"/>
            <w:vAlign w:val="center"/>
            <w:hideMark/>
          </w:tcPr>
          <w:p w14:paraId="38374B94" w14:textId="77777777" w:rsidR="00000000" w:rsidRDefault="00A173A8">
            <w:pPr>
              <w:spacing w:after="100"/>
              <w:rPr>
                <w:rFonts w:eastAsia="Times New Roman"/>
                <w:sz w:val="20"/>
                <w:szCs w:val="20"/>
              </w:rPr>
            </w:pPr>
          </w:p>
        </w:tc>
        <w:tc>
          <w:tcPr>
            <w:tcW w:w="0" w:type="auto"/>
            <w:gridSpan w:val="3"/>
            <w:vAlign w:val="center"/>
            <w:hideMark/>
          </w:tcPr>
          <w:p w14:paraId="3C5B2F14" w14:textId="77777777" w:rsidR="00000000" w:rsidRDefault="00A173A8">
            <w:pPr>
              <w:spacing w:after="100"/>
              <w:rPr>
                <w:rFonts w:eastAsia="Times New Roman"/>
                <w:sz w:val="20"/>
                <w:szCs w:val="20"/>
              </w:rPr>
            </w:pPr>
          </w:p>
        </w:tc>
        <w:tc>
          <w:tcPr>
            <w:tcW w:w="0" w:type="auto"/>
            <w:gridSpan w:val="3"/>
            <w:vAlign w:val="center"/>
            <w:hideMark/>
          </w:tcPr>
          <w:p w14:paraId="1129E298" w14:textId="77777777" w:rsidR="00000000" w:rsidRDefault="00A173A8">
            <w:pPr>
              <w:spacing w:after="100"/>
              <w:rPr>
                <w:rFonts w:eastAsia="Times New Roman"/>
                <w:sz w:val="20"/>
                <w:szCs w:val="20"/>
              </w:rPr>
            </w:pPr>
          </w:p>
        </w:tc>
        <w:tc>
          <w:tcPr>
            <w:tcW w:w="0" w:type="auto"/>
            <w:gridSpan w:val="3"/>
            <w:vAlign w:val="center"/>
            <w:hideMark/>
          </w:tcPr>
          <w:p w14:paraId="0EE689E8" w14:textId="77777777" w:rsidR="00000000" w:rsidRDefault="00A173A8">
            <w:pPr>
              <w:spacing w:after="100"/>
              <w:rPr>
                <w:rFonts w:eastAsia="Times New Roman"/>
                <w:sz w:val="20"/>
                <w:szCs w:val="20"/>
              </w:rPr>
            </w:pPr>
          </w:p>
        </w:tc>
        <w:tc>
          <w:tcPr>
            <w:tcW w:w="0" w:type="auto"/>
            <w:vAlign w:val="center"/>
            <w:hideMark/>
          </w:tcPr>
          <w:p w14:paraId="3D4554F6" w14:textId="77777777" w:rsidR="00000000" w:rsidRDefault="00A173A8">
            <w:pPr>
              <w:spacing w:after="100"/>
              <w:rPr>
                <w:rFonts w:eastAsia="Times New Roman"/>
                <w:sz w:val="20"/>
                <w:szCs w:val="20"/>
              </w:rPr>
            </w:pPr>
          </w:p>
        </w:tc>
        <w:tc>
          <w:tcPr>
            <w:tcW w:w="0" w:type="auto"/>
            <w:vAlign w:val="center"/>
            <w:hideMark/>
          </w:tcPr>
          <w:p w14:paraId="27D92661" w14:textId="77777777" w:rsidR="00000000" w:rsidRDefault="00A173A8">
            <w:pPr>
              <w:spacing w:after="100"/>
              <w:rPr>
                <w:rFonts w:eastAsia="Times New Roman"/>
                <w:sz w:val="20"/>
                <w:szCs w:val="20"/>
              </w:rPr>
            </w:pPr>
          </w:p>
        </w:tc>
        <w:tc>
          <w:tcPr>
            <w:tcW w:w="0" w:type="auto"/>
            <w:gridSpan w:val="3"/>
            <w:vAlign w:val="center"/>
            <w:hideMark/>
          </w:tcPr>
          <w:p w14:paraId="50A215E1" w14:textId="77777777" w:rsidR="00000000" w:rsidRDefault="00A173A8">
            <w:pPr>
              <w:spacing w:after="100"/>
              <w:rPr>
                <w:rFonts w:eastAsia="Times New Roman"/>
                <w:sz w:val="20"/>
                <w:szCs w:val="20"/>
              </w:rPr>
            </w:pPr>
          </w:p>
        </w:tc>
        <w:tc>
          <w:tcPr>
            <w:tcW w:w="0" w:type="auto"/>
            <w:gridSpan w:val="3"/>
            <w:vAlign w:val="center"/>
            <w:hideMark/>
          </w:tcPr>
          <w:p w14:paraId="752E2CE1" w14:textId="77777777" w:rsidR="00000000" w:rsidRDefault="00A173A8">
            <w:pPr>
              <w:spacing w:after="100"/>
              <w:rPr>
                <w:rFonts w:eastAsia="Times New Roman"/>
                <w:sz w:val="20"/>
                <w:szCs w:val="20"/>
              </w:rPr>
            </w:pPr>
          </w:p>
        </w:tc>
        <w:tc>
          <w:tcPr>
            <w:tcW w:w="0" w:type="auto"/>
            <w:gridSpan w:val="3"/>
            <w:vAlign w:val="center"/>
            <w:hideMark/>
          </w:tcPr>
          <w:p w14:paraId="077CB345" w14:textId="77777777" w:rsidR="00000000" w:rsidRDefault="00A173A8">
            <w:pPr>
              <w:spacing w:after="100"/>
              <w:rPr>
                <w:rFonts w:eastAsia="Times New Roman"/>
                <w:sz w:val="20"/>
                <w:szCs w:val="20"/>
              </w:rPr>
            </w:pPr>
          </w:p>
        </w:tc>
        <w:tc>
          <w:tcPr>
            <w:tcW w:w="0" w:type="auto"/>
            <w:gridSpan w:val="3"/>
            <w:vAlign w:val="center"/>
            <w:hideMark/>
          </w:tcPr>
          <w:p w14:paraId="55F61789" w14:textId="77777777" w:rsidR="00000000" w:rsidRDefault="00A173A8">
            <w:pPr>
              <w:spacing w:after="100"/>
              <w:rPr>
                <w:rFonts w:eastAsia="Times New Roman"/>
                <w:sz w:val="20"/>
                <w:szCs w:val="20"/>
              </w:rPr>
            </w:pPr>
          </w:p>
        </w:tc>
      </w:tr>
      <w:tr w:rsidR="00000000" w14:paraId="57ACF5FE" w14:textId="77777777">
        <w:trPr>
          <w:divId w:val="134569232"/>
        </w:trPr>
        <w:tc>
          <w:tcPr>
            <w:tcW w:w="0" w:type="auto"/>
            <w:gridSpan w:val="3"/>
            <w:shd w:val="clear" w:color="auto" w:fill="FFFFFF"/>
            <w:tcMar>
              <w:top w:w="30" w:type="dxa"/>
              <w:left w:w="20" w:type="dxa"/>
              <w:bottom w:w="30" w:type="dxa"/>
              <w:right w:w="20" w:type="dxa"/>
            </w:tcMar>
            <w:vAlign w:val="center"/>
            <w:hideMark/>
          </w:tcPr>
          <w:p w14:paraId="42B20944" w14:textId="77777777" w:rsidR="00000000" w:rsidRDefault="00A173A8">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14:paraId="431A3B89"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6ADBB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7B2F3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6CEBB2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EF8CB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F6C48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DEBD78"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178E8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C43E30"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992B384" w14:textId="77777777" w:rsidR="00000000" w:rsidRDefault="00A173A8">
            <w:pPr>
              <w:spacing w:after="100"/>
              <w:rPr>
                <w:rFonts w:eastAsia="Times New Roman"/>
                <w:sz w:val="20"/>
                <w:szCs w:val="20"/>
              </w:rPr>
            </w:pPr>
          </w:p>
        </w:tc>
        <w:tc>
          <w:tcPr>
            <w:tcW w:w="0" w:type="auto"/>
            <w:vAlign w:val="center"/>
            <w:hideMark/>
          </w:tcPr>
          <w:p w14:paraId="0BFDC75E" w14:textId="77777777" w:rsidR="00000000" w:rsidRDefault="00A173A8">
            <w:pPr>
              <w:spacing w:after="100"/>
              <w:rPr>
                <w:rFonts w:eastAsia="Times New Roman"/>
                <w:sz w:val="20"/>
                <w:szCs w:val="20"/>
              </w:rPr>
            </w:pPr>
          </w:p>
        </w:tc>
        <w:tc>
          <w:tcPr>
            <w:tcW w:w="0" w:type="auto"/>
            <w:vAlign w:val="center"/>
            <w:hideMark/>
          </w:tcPr>
          <w:p w14:paraId="21D610B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4C968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375C30" w14:textId="77777777" w:rsidR="00000000" w:rsidRDefault="00A173A8">
            <w:pPr>
              <w:spacing w:after="100"/>
              <w:rPr>
                <w:rFonts w:eastAsia="Times New Roman"/>
                <w:sz w:val="20"/>
                <w:szCs w:val="20"/>
              </w:rPr>
            </w:pPr>
          </w:p>
        </w:tc>
        <w:tc>
          <w:tcPr>
            <w:tcW w:w="0" w:type="auto"/>
            <w:gridSpan w:val="3"/>
            <w:vAlign w:val="center"/>
            <w:hideMark/>
          </w:tcPr>
          <w:p w14:paraId="13D8582F" w14:textId="77777777" w:rsidR="00000000" w:rsidRDefault="00A173A8">
            <w:pPr>
              <w:spacing w:after="100"/>
              <w:rPr>
                <w:rFonts w:eastAsia="Times New Roman"/>
                <w:sz w:val="20"/>
                <w:szCs w:val="20"/>
              </w:rPr>
            </w:pPr>
          </w:p>
        </w:tc>
        <w:tc>
          <w:tcPr>
            <w:tcW w:w="0" w:type="auto"/>
            <w:gridSpan w:val="3"/>
            <w:vAlign w:val="center"/>
            <w:hideMark/>
          </w:tcPr>
          <w:p w14:paraId="6DBBC622" w14:textId="77777777" w:rsidR="00000000" w:rsidRDefault="00A173A8">
            <w:pPr>
              <w:spacing w:after="100"/>
              <w:rPr>
                <w:rFonts w:eastAsia="Times New Roman"/>
                <w:sz w:val="20"/>
                <w:szCs w:val="20"/>
              </w:rPr>
            </w:pPr>
          </w:p>
        </w:tc>
      </w:tr>
      <w:tr w:rsidR="00000000" w14:paraId="0F29DB04" w14:textId="77777777">
        <w:trPr>
          <w:divId w:val="134569232"/>
        </w:trPr>
        <w:tc>
          <w:tcPr>
            <w:tcW w:w="0" w:type="auto"/>
            <w:gridSpan w:val="3"/>
            <w:shd w:val="clear" w:color="auto" w:fill="CCEEFF"/>
            <w:tcMar>
              <w:top w:w="30" w:type="dxa"/>
              <w:left w:w="20" w:type="dxa"/>
              <w:bottom w:w="30" w:type="dxa"/>
              <w:right w:w="20" w:type="dxa"/>
            </w:tcMar>
            <w:vAlign w:val="center"/>
            <w:hideMark/>
          </w:tcPr>
          <w:p w14:paraId="216603FE" w14:textId="77777777" w:rsidR="00000000" w:rsidRDefault="00A173A8">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14:paraId="61B3DE45"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C62E358"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14:paraId="08B87E7D" w14:textId="77777777" w:rsidR="00000000" w:rsidRDefault="00A173A8">
            <w:pPr>
              <w:spacing w:after="100"/>
              <w:jc w:val="right"/>
              <w:rPr>
                <w:rFonts w:eastAsia="Times New Roman"/>
              </w:rPr>
            </w:pPr>
            <w:r>
              <w:rPr>
                <w:rFonts w:eastAsia="Times New Roman"/>
                <w:b/>
                <w:bCs/>
                <w:color w:val="000000"/>
                <w:sz w:val="20"/>
                <w:szCs w:val="20"/>
              </w:rPr>
              <w:t>109,962</w:t>
            </w:r>
          </w:p>
        </w:tc>
        <w:tc>
          <w:tcPr>
            <w:tcW w:w="0" w:type="auto"/>
            <w:gridSpan w:val="3"/>
            <w:shd w:val="clear" w:color="auto" w:fill="CCEEFF"/>
            <w:tcMar>
              <w:top w:w="0" w:type="dxa"/>
              <w:left w:w="20" w:type="dxa"/>
              <w:bottom w:w="0" w:type="dxa"/>
              <w:right w:w="20" w:type="dxa"/>
            </w:tcMar>
            <w:vAlign w:val="center"/>
            <w:hideMark/>
          </w:tcPr>
          <w:p w14:paraId="28D93AE2"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0B4AFCB"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1EC8C15C" w14:textId="77777777" w:rsidR="00000000" w:rsidRDefault="00A173A8">
            <w:pPr>
              <w:spacing w:after="100"/>
              <w:jc w:val="right"/>
              <w:rPr>
                <w:rFonts w:eastAsia="Times New Roman"/>
              </w:rPr>
            </w:pPr>
            <w:r>
              <w:rPr>
                <w:rFonts w:eastAsia="Times New Roman"/>
                <w:color w:val="000000"/>
                <w:sz w:val="20"/>
                <w:szCs w:val="20"/>
              </w:rPr>
              <w:t>91,535</w:t>
            </w:r>
          </w:p>
        </w:tc>
        <w:tc>
          <w:tcPr>
            <w:tcW w:w="0" w:type="auto"/>
            <w:gridSpan w:val="3"/>
            <w:shd w:val="clear" w:color="auto" w:fill="CCEEFF"/>
            <w:tcMar>
              <w:top w:w="0" w:type="dxa"/>
              <w:left w:w="20" w:type="dxa"/>
              <w:bottom w:w="0" w:type="dxa"/>
              <w:right w:w="20" w:type="dxa"/>
            </w:tcMar>
            <w:vAlign w:val="center"/>
            <w:hideMark/>
          </w:tcPr>
          <w:p w14:paraId="16AEAC4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46131E8B" w14:textId="77777777" w:rsidR="00000000" w:rsidRDefault="00A173A8">
            <w:pPr>
              <w:spacing w:after="100"/>
              <w:jc w:val="right"/>
              <w:rPr>
                <w:rFonts w:eastAsia="Times New Roman"/>
              </w:rPr>
            </w:pPr>
            <w:r>
              <w:rPr>
                <w:rFonts w:eastAsia="Times New Roman"/>
                <w:color w:val="000000"/>
                <w:sz w:val="20"/>
                <w:szCs w:val="20"/>
              </w:rPr>
              <w:t>20%</w:t>
            </w:r>
          </w:p>
        </w:tc>
        <w:tc>
          <w:tcPr>
            <w:tcW w:w="0" w:type="auto"/>
            <w:gridSpan w:val="3"/>
            <w:shd w:val="clear" w:color="auto" w:fill="CCEEFF"/>
            <w:tcMar>
              <w:top w:w="0" w:type="dxa"/>
              <w:left w:w="20" w:type="dxa"/>
              <w:bottom w:w="0" w:type="dxa"/>
              <w:right w:w="20" w:type="dxa"/>
            </w:tcMar>
            <w:vAlign w:val="center"/>
            <w:hideMark/>
          </w:tcPr>
          <w:p w14:paraId="668787AC"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86CAEC4"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14:paraId="7C799ADF" w14:textId="77777777" w:rsidR="00000000" w:rsidRDefault="00A173A8">
            <w:pPr>
              <w:spacing w:after="100"/>
              <w:jc w:val="right"/>
              <w:rPr>
                <w:rFonts w:eastAsia="Times New Roman"/>
              </w:rPr>
            </w:pPr>
            <w:r>
              <w:rPr>
                <w:rFonts w:eastAsia="Times New Roman"/>
                <w:b/>
                <w:bCs/>
                <w:color w:val="000000"/>
                <w:sz w:val="20"/>
                <w:szCs w:val="20"/>
              </w:rPr>
              <w:t>107,761</w:t>
            </w:r>
          </w:p>
        </w:tc>
        <w:tc>
          <w:tcPr>
            <w:tcW w:w="0" w:type="auto"/>
            <w:gridSpan w:val="3"/>
            <w:shd w:val="clear" w:color="auto" w:fill="CCEEFF"/>
            <w:tcMar>
              <w:top w:w="0" w:type="dxa"/>
              <w:left w:w="20" w:type="dxa"/>
              <w:bottom w:w="0" w:type="dxa"/>
              <w:right w:w="20" w:type="dxa"/>
            </w:tcMar>
            <w:vAlign w:val="center"/>
            <w:hideMark/>
          </w:tcPr>
          <w:p w14:paraId="60375F03"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4744D5A0"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36C4254E" w14:textId="77777777" w:rsidR="00000000" w:rsidRDefault="00A173A8">
            <w:pPr>
              <w:spacing w:after="100"/>
              <w:jc w:val="right"/>
              <w:rPr>
                <w:rFonts w:eastAsia="Times New Roman"/>
              </w:rPr>
            </w:pPr>
            <w:r>
              <w:rPr>
                <w:rFonts w:eastAsia="Times New Roman"/>
                <w:color w:val="000000"/>
                <w:sz w:val="20"/>
                <w:szCs w:val="20"/>
              </w:rPr>
              <w:t>92,062</w:t>
            </w:r>
          </w:p>
        </w:tc>
        <w:tc>
          <w:tcPr>
            <w:tcW w:w="0" w:type="auto"/>
            <w:vAlign w:val="center"/>
            <w:hideMark/>
          </w:tcPr>
          <w:p w14:paraId="1DD7F46F" w14:textId="77777777" w:rsidR="00000000" w:rsidRDefault="00A173A8">
            <w:pPr>
              <w:spacing w:after="100"/>
              <w:jc w:val="right"/>
              <w:rPr>
                <w:rFonts w:eastAsia="Times New Roman"/>
              </w:rPr>
            </w:pPr>
          </w:p>
        </w:tc>
        <w:tc>
          <w:tcPr>
            <w:tcW w:w="0" w:type="auto"/>
            <w:vAlign w:val="center"/>
            <w:hideMark/>
          </w:tcPr>
          <w:p w14:paraId="00C90AA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AAC20C"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0E3193C" w14:textId="77777777" w:rsidR="00000000" w:rsidRDefault="00A173A8">
            <w:pPr>
              <w:spacing w:after="100"/>
              <w:jc w:val="right"/>
              <w:rPr>
                <w:rFonts w:eastAsia="Times New Roman"/>
              </w:rPr>
            </w:pPr>
            <w:r>
              <w:rPr>
                <w:rFonts w:eastAsia="Times New Roman"/>
                <w:color w:val="000000"/>
                <w:sz w:val="20"/>
                <w:szCs w:val="20"/>
              </w:rPr>
              <w:t>17%</w:t>
            </w:r>
          </w:p>
        </w:tc>
        <w:tc>
          <w:tcPr>
            <w:tcW w:w="0" w:type="auto"/>
            <w:gridSpan w:val="3"/>
            <w:vAlign w:val="center"/>
            <w:hideMark/>
          </w:tcPr>
          <w:p w14:paraId="434BCDB1" w14:textId="77777777" w:rsidR="00000000" w:rsidRDefault="00A173A8">
            <w:pPr>
              <w:spacing w:after="100"/>
              <w:jc w:val="right"/>
              <w:rPr>
                <w:rFonts w:eastAsia="Times New Roman"/>
              </w:rPr>
            </w:pPr>
          </w:p>
        </w:tc>
        <w:tc>
          <w:tcPr>
            <w:tcW w:w="0" w:type="auto"/>
            <w:gridSpan w:val="3"/>
            <w:vAlign w:val="center"/>
            <w:hideMark/>
          </w:tcPr>
          <w:p w14:paraId="4E1ED04C" w14:textId="77777777" w:rsidR="00000000" w:rsidRDefault="00A173A8">
            <w:pPr>
              <w:spacing w:after="100"/>
              <w:rPr>
                <w:rFonts w:eastAsia="Times New Roman"/>
                <w:sz w:val="20"/>
                <w:szCs w:val="20"/>
              </w:rPr>
            </w:pPr>
          </w:p>
        </w:tc>
      </w:tr>
      <w:tr w:rsidR="00000000" w14:paraId="47C83CCE" w14:textId="77777777">
        <w:trPr>
          <w:divId w:val="134569232"/>
        </w:trPr>
        <w:tc>
          <w:tcPr>
            <w:tcW w:w="0" w:type="auto"/>
            <w:gridSpan w:val="3"/>
            <w:shd w:val="clear" w:color="auto" w:fill="FFFFFF"/>
            <w:tcMar>
              <w:top w:w="30" w:type="dxa"/>
              <w:left w:w="20" w:type="dxa"/>
              <w:bottom w:w="30" w:type="dxa"/>
              <w:right w:w="20" w:type="dxa"/>
            </w:tcMar>
            <w:vAlign w:val="center"/>
            <w:hideMark/>
          </w:tcPr>
          <w:p w14:paraId="53C3CF0A" w14:textId="77777777" w:rsidR="00000000" w:rsidRDefault="00A173A8">
            <w:pPr>
              <w:spacing w:after="100"/>
              <w:divId w:val="1411192734"/>
              <w:rPr>
                <w:rFonts w:eastAsia="Times New Roman"/>
              </w:rPr>
            </w:pPr>
            <w:r>
              <w:rPr>
                <w:rFonts w:eastAsia="Times New Roman"/>
                <w:color w:val="000000"/>
                <w:sz w:val="20"/>
                <w:szCs w:val="20"/>
              </w:rPr>
              <w:t>Average yield on loan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9EAA161"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93DCB8C" w14:textId="77777777" w:rsidR="00000000" w:rsidRDefault="00A173A8">
            <w:pPr>
              <w:spacing w:after="100"/>
              <w:jc w:val="right"/>
              <w:rPr>
                <w:rFonts w:eastAsia="Times New Roman"/>
              </w:rPr>
            </w:pPr>
            <w:r>
              <w:rPr>
                <w:rFonts w:eastAsia="Times New Roman"/>
                <w:b/>
                <w:bCs/>
                <w:color w:val="000000"/>
                <w:sz w:val="20"/>
                <w:szCs w:val="20"/>
              </w:rPr>
              <w:t>15.03%</w:t>
            </w:r>
          </w:p>
        </w:tc>
        <w:tc>
          <w:tcPr>
            <w:tcW w:w="0" w:type="auto"/>
            <w:gridSpan w:val="3"/>
            <w:shd w:val="clear" w:color="auto" w:fill="FFFFFF"/>
            <w:tcMar>
              <w:top w:w="0" w:type="dxa"/>
              <w:left w:w="20" w:type="dxa"/>
              <w:bottom w:w="0" w:type="dxa"/>
              <w:right w:w="20" w:type="dxa"/>
            </w:tcMar>
            <w:vAlign w:val="center"/>
            <w:hideMark/>
          </w:tcPr>
          <w:p w14:paraId="32B69460"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2166EA8A" w14:textId="77777777" w:rsidR="00000000" w:rsidRDefault="00A173A8">
            <w:pPr>
              <w:spacing w:after="100"/>
              <w:jc w:val="right"/>
              <w:rPr>
                <w:rFonts w:eastAsia="Times New Roman"/>
              </w:rPr>
            </w:pPr>
            <w:r>
              <w:rPr>
                <w:rFonts w:eastAsia="Times New Roman"/>
                <w:color w:val="000000"/>
                <w:sz w:val="20"/>
                <w:szCs w:val="20"/>
              </w:rPr>
              <w:t>13.91%</w:t>
            </w:r>
          </w:p>
        </w:tc>
        <w:tc>
          <w:tcPr>
            <w:tcW w:w="0" w:type="auto"/>
            <w:gridSpan w:val="3"/>
            <w:shd w:val="clear" w:color="auto" w:fill="FFFFFF"/>
            <w:tcMar>
              <w:top w:w="0" w:type="dxa"/>
              <w:left w:w="20" w:type="dxa"/>
              <w:bottom w:w="0" w:type="dxa"/>
              <w:right w:w="20" w:type="dxa"/>
            </w:tcMar>
            <w:vAlign w:val="center"/>
            <w:hideMark/>
          </w:tcPr>
          <w:p w14:paraId="04406470"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559C7EC" w14:textId="77777777" w:rsidR="00000000" w:rsidRDefault="00A173A8">
            <w:pPr>
              <w:spacing w:after="100"/>
              <w:jc w:val="right"/>
              <w:rPr>
                <w:rFonts w:eastAsia="Times New Roman"/>
              </w:rPr>
            </w:pPr>
            <w:r>
              <w:rPr>
                <w:rFonts w:eastAsia="Times New Roman"/>
                <w:color w:val="000000"/>
                <w:sz w:val="20"/>
                <w:szCs w:val="20"/>
              </w:rPr>
              <w:t>112bps</w:t>
            </w:r>
          </w:p>
        </w:tc>
        <w:tc>
          <w:tcPr>
            <w:tcW w:w="0" w:type="auto"/>
            <w:gridSpan w:val="3"/>
            <w:shd w:val="clear" w:color="auto" w:fill="FFFFFF"/>
            <w:tcMar>
              <w:top w:w="0" w:type="dxa"/>
              <w:left w:w="20" w:type="dxa"/>
              <w:bottom w:w="0" w:type="dxa"/>
              <w:right w:w="20" w:type="dxa"/>
            </w:tcMar>
            <w:vAlign w:val="center"/>
            <w:hideMark/>
          </w:tcPr>
          <w:p w14:paraId="50577B28"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71C7FE1" w14:textId="77777777" w:rsidR="00000000" w:rsidRDefault="00A173A8">
            <w:pPr>
              <w:spacing w:after="100"/>
              <w:jc w:val="right"/>
              <w:rPr>
                <w:rFonts w:eastAsia="Times New Roman"/>
              </w:rPr>
            </w:pPr>
            <w:r>
              <w:rPr>
                <w:rFonts w:eastAsia="Times New Roman"/>
                <w:b/>
                <w:bCs/>
                <w:color w:val="000000"/>
                <w:sz w:val="20"/>
                <w:szCs w:val="20"/>
              </w:rPr>
              <w:t>14.92%</w:t>
            </w:r>
          </w:p>
        </w:tc>
        <w:tc>
          <w:tcPr>
            <w:tcW w:w="0" w:type="auto"/>
            <w:gridSpan w:val="3"/>
            <w:shd w:val="clear" w:color="auto" w:fill="FFFFFF"/>
            <w:tcMar>
              <w:top w:w="0" w:type="dxa"/>
              <w:left w:w="20" w:type="dxa"/>
              <w:bottom w:w="0" w:type="dxa"/>
              <w:right w:w="20" w:type="dxa"/>
            </w:tcMar>
            <w:vAlign w:val="center"/>
            <w:hideMark/>
          </w:tcPr>
          <w:p w14:paraId="2B62A61E"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28B9C67" w14:textId="77777777" w:rsidR="00000000" w:rsidRDefault="00A173A8">
            <w:pPr>
              <w:spacing w:after="100"/>
              <w:jc w:val="right"/>
              <w:rPr>
                <w:rFonts w:eastAsia="Times New Roman"/>
              </w:rPr>
            </w:pPr>
            <w:r>
              <w:rPr>
                <w:rFonts w:eastAsia="Times New Roman"/>
                <w:color w:val="000000"/>
                <w:sz w:val="20"/>
                <w:szCs w:val="20"/>
              </w:rPr>
              <w:t>14.13%</w:t>
            </w:r>
          </w:p>
        </w:tc>
        <w:tc>
          <w:tcPr>
            <w:tcW w:w="0" w:type="auto"/>
            <w:vAlign w:val="center"/>
            <w:hideMark/>
          </w:tcPr>
          <w:p w14:paraId="40FBC42E" w14:textId="77777777" w:rsidR="00000000" w:rsidRDefault="00A173A8">
            <w:pPr>
              <w:spacing w:after="100"/>
              <w:jc w:val="right"/>
              <w:rPr>
                <w:rFonts w:eastAsia="Times New Roman"/>
              </w:rPr>
            </w:pPr>
          </w:p>
        </w:tc>
        <w:tc>
          <w:tcPr>
            <w:tcW w:w="0" w:type="auto"/>
            <w:vAlign w:val="center"/>
            <w:hideMark/>
          </w:tcPr>
          <w:p w14:paraId="15A1EB5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CF004F"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434BD960" w14:textId="77777777" w:rsidR="00000000" w:rsidRDefault="00A173A8">
            <w:pPr>
              <w:spacing w:after="100"/>
              <w:jc w:val="right"/>
              <w:rPr>
                <w:rFonts w:eastAsia="Times New Roman"/>
              </w:rPr>
            </w:pPr>
            <w:r>
              <w:rPr>
                <w:rFonts w:eastAsia="Times New Roman"/>
                <w:color w:val="000000"/>
                <w:sz w:val="20"/>
                <w:szCs w:val="20"/>
              </w:rPr>
              <w:t>79bps</w:t>
            </w:r>
          </w:p>
        </w:tc>
        <w:tc>
          <w:tcPr>
            <w:tcW w:w="0" w:type="auto"/>
            <w:gridSpan w:val="3"/>
            <w:vAlign w:val="center"/>
            <w:hideMark/>
          </w:tcPr>
          <w:p w14:paraId="4FDF0952" w14:textId="77777777" w:rsidR="00000000" w:rsidRDefault="00A173A8">
            <w:pPr>
              <w:spacing w:after="100"/>
              <w:jc w:val="right"/>
              <w:rPr>
                <w:rFonts w:eastAsia="Times New Roman"/>
              </w:rPr>
            </w:pPr>
          </w:p>
        </w:tc>
        <w:tc>
          <w:tcPr>
            <w:tcW w:w="0" w:type="auto"/>
            <w:gridSpan w:val="3"/>
            <w:vAlign w:val="center"/>
            <w:hideMark/>
          </w:tcPr>
          <w:p w14:paraId="3A7579A3" w14:textId="77777777" w:rsidR="00000000" w:rsidRDefault="00A173A8">
            <w:pPr>
              <w:spacing w:after="100"/>
              <w:rPr>
                <w:rFonts w:eastAsia="Times New Roman"/>
                <w:sz w:val="20"/>
                <w:szCs w:val="20"/>
              </w:rPr>
            </w:pPr>
          </w:p>
        </w:tc>
      </w:tr>
      <w:tr w:rsidR="00000000" w14:paraId="7E03AB29" w14:textId="77777777">
        <w:trPr>
          <w:divId w:val="134569232"/>
        </w:trPr>
        <w:tc>
          <w:tcPr>
            <w:tcW w:w="0" w:type="auto"/>
            <w:gridSpan w:val="3"/>
            <w:shd w:val="clear" w:color="auto" w:fill="CCEEFF"/>
            <w:tcMar>
              <w:top w:w="30" w:type="dxa"/>
              <w:left w:w="20" w:type="dxa"/>
              <w:bottom w:w="30" w:type="dxa"/>
              <w:right w:w="20" w:type="dxa"/>
            </w:tcMar>
            <w:vAlign w:val="center"/>
            <w:hideMark/>
          </w:tcPr>
          <w:p w14:paraId="67D17576" w14:textId="77777777" w:rsidR="00000000" w:rsidRDefault="00A173A8">
            <w:pPr>
              <w:spacing w:after="100"/>
              <w:divId w:val="450363928"/>
              <w:rPr>
                <w:rFonts w:eastAsia="Times New Roman"/>
              </w:rPr>
            </w:pPr>
            <w:r>
              <w:rPr>
                <w:rFonts w:eastAsia="Times New Roman"/>
                <w:color w:val="000000"/>
                <w:sz w:val="20"/>
                <w:szCs w:val="20"/>
              </w:rPr>
              <w:t>Total net revenue margi</w:t>
            </w:r>
            <w:r>
              <w:rPr>
                <w:rFonts w:eastAsia="Times New Roman"/>
                <w:color w:val="000000"/>
                <w:sz w:val="20"/>
                <w:szCs w:val="20"/>
              </w:rPr>
              <w:t>n</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69942CC5"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48679E6" w14:textId="77777777" w:rsidR="00000000" w:rsidRDefault="00A173A8">
            <w:pPr>
              <w:spacing w:after="100"/>
              <w:jc w:val="right"/>
              <w:rPr>
                <w:rFonts w:eastAsia="Times New Roman"/>
              </w:rPr>
            </w:pPr>
            <w:r>
              <w:rPr>
                <w:rFonts w:eastAsia="Times New Roman"/>
                <w:b/>
                <w:bCs/>
                <w:color w:val="000000"/>
                <w:sz w:val="20"/>
                <w:szCs w:val="20"/>
              </w:rPr>
              <w:t>18.16</w:t>
            </w:r>
          </w:p>
        </w:tc>
        <w:tc>
          <w:tcPr>
            <w:tcW w:w="0" w:type="auto"/>
            <w:gridSpan w:val="3"/>
            <w:shd w:val="clear" w:color="auto" w:fill="CCEEFF"/>
            <w:tcMar>
              <w:top w:w="0" w:type="dxa"/>
              <w:left w:w="20" w:type="dxa"/>
              <w:bottom w:w="0" w:type="dxa"/>
              <w:right w:w="20" w:type="dxa"/>
            </w:tcMar>
            <w:vAlign w:val="center"/>
            <w:hideMark/>
          </w:tcPr>
          <w:p w14:paraId="65FF61D1"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158731C" w14:textId="77777777" w:rsidR="00000000" w:rsidRDefault="00A173A8">
            <w:pPr>
              <w:spacing w:after="100"/>
              <w:jc w:val="right"/>
              <w:rPr>
                <w:rFonts w:eastAsia="Times New Roman"/>
              </w:rPr>
            </w:pPr>
            <w:r>
              <w:rPr>
                <w:rFonts w:eastAsia="Times New Roman"/>
                <w:color w:val="000000"/>
                <w:sz w:val="20"/>
                <w:szCs w:val="20"/>
              </w:rPr>
              <w:t>17.66</w:t>
            </w:r>
          </w:p>
        </w:tc>
        <w:tc>
          <w:tcPr>
            <w:tcW w:w="0" w:type="auto"/>
            <w:gridSpan w:val="3"/>
            <w:shd w:val="clear" w:color="auto" w:fill="CCEEFF"/>
            <w:tcMar>
              <w:top w:w="0" w:type="dxa"/>
              <w:left w:w="20" w:type="dxa"/>
              <w:bottom w:w="0" w:type="dxa"/>
              <w:right w:w="20" w:type="dxa"/>
            </w:tcMar>
            <w:vAlign w:val="center"/>
            <w:hideMark/>
          </w:tcPr>
          <w:p w14:paraId="0944A708"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29C897AD" w14:textId="77777777" w:rsidR="00000000" w:rsidRDefault="00A173A8">
            <w:pPr>
              <w:spacing w:after="100"/>
              <w:jc w:val="right"/>
              <w:rPr>
                <w:rFonts w:eastAsia="Times New Roman"/>
              </w:rPr>
            </w:pPr>
            <w:r>
              <w:rPr>
                <w:rFonts w:eastAsia="Times New Roman"/>
                <w:color w:val="000000"/>
                <w:sz w:val="20"/>
                <w:szCs w:val="20"/>
              </w:rPr>
              <w:t>50</w:t>
            </w:r>
          </w:p>
        </w:tc>
        <w:tc>
          <w:tcPr>
            <w:tcW w:w="0" w:type="auto"/>
            <w:gridSpan w:val="3"/>
            <w:shd w:val="clear" w:color="auto" w:fill="CCEEFF"/>
            <w:tcMar>
              <w:top w:w="0" w:type="dxa"/>
              <w:left w:w="20" w:type="dxa"/>
              <w:bottom w:w="0" w:type="dxa"/>
              <w:right w:w="20" w:type="dxa"/>
            </w:tcMar>
            <w:vAlign w:val="center"/>
            <w:hideMark/>
          </w:tcPr>
          <w:p w14:paraId="0F6FA36A"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8DCCBA2" w14:textId="77777777" w:rsidR="00000000" w:rsidRDefault="00A173A8">
            <w:pPr>
              <w:spacing w:after="100"/>
              <w:jc w:val="right"/>
              <w:rPr>
                <w:rFonts w:eastAsia="Times New Roman"/>
              </w:rPr>
            </w:pPr>
            <w:r>
              <w:rPr>
                <w:rFonts w:eastAsia="Times New Roman"/>
                <w:b/>
                <w:bCs/>
                <w:color w:val="000000"/>
                <w:sz w:val="20"/>
                <w:szCs w:val="20"/>
              </w:rPr>
              <w:t>18.21</w:t>
            </w:r>
          </w:p>
        </w:tc>
        <w:tc>
          <w:tcPr>
            <w:tcW w:w="0" w:type="auto"/>
            <w:gridSpan w:val="3"/>
            <w:shd w:val="clear" w:color="auto" w:fill="CCEEFF"/>
            <w:tcMar>
              <w:top w:w="0" w:type="dxa"/>
              <w:left w:w="20" w:type="dxa"/>
              <w:bottom w:w="0" w:type="dxa"/>
              <w:right w:w="20" w:type="dxa"/>
            </w:tcMar>
            <w:vAlign w:val="center"/>
            <w:hideMark/>
          </w:tcPr>
          <w:p w14:paraId="597CF38C"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99818B4" w14:textId="77777777" w:rsidR="00000000" w:rsidRDefault="00A173A8">
            <w:pPr>
              <w:spacing w:after="100"/>
              <w:jc w:val="right"/>
              <w:rPr>
                <w:rFonts w:eastAsia="Times New Roman"/>
              </w:rPr>
            </w:pPr>
            <w:r>
              <w:rPr>
                <w:rFonts w:eastAsia="Times New Roman"/>
                <w:color w:val="000000"/>
                <w:sz w:val="20"/>
                <w:szCs w:val="20"/>
              </w:rPr>
              <w:t>17.40</w:t>
            </w:r>
          </w:p>
        </w:tc>
        <w:tc>
          <w:tcPr>
            <w:tcW w:w="0" w:type="auto"/>
            <w:vAlign w:val="center"/>
            <w:hideMark/>
          </w:tcPr>
          <w:p w14:paraId="4AF878DF" w14:textId="77777777" w:rsidR="00000000" w:rsidRDefault="00A173A8">
            <w:pPr>
              <w:spacing w:after="100"/>
              <w:jc w:val="right"/>
              <w:rPr>
                <w:rFonts w:eastAsia="Times New Roman"/>
              </w:rPr>
            </w:pPr>
          </w:p>
        </w:tc>
        <w:tc>
          <w:tcPr>
            <w:tcW w:w="0" w:type="auto"/>
            <w:vAlign w:val="center"/>
            <w:hideMark/>
          </w:tcPr>
          <w:p w14:paraId="3941E7C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6615FD"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57664A13" w14:textId="77777777" w:rsidR="00000000" w:rsidRDefault="00A173A8">
            <w:pPr>
              <w:spacing w:after="100"/>
              <w:jc w:val="right"/>
              <w:rPr>
                <w:rFonts w:eastAsia="Times New Roman"/>
              </w:rPr>
            </w:pPr>
            <w:r>
              <w:rPr>
                <w:rFonts w:eastAsia="Times New Roman"/>
                <w:color w:val="000000"/>
                <w:sz w:val="20"/>
                <w:szCs w:val="20"/>
              </w:rPr>
              <w:t>81</w:t>
            </w:r>
          </w:p>
        </w:tc>
        <w:tc>
          <w:tcPr>
            <w:tcW w:w="0" w:type="auto"/>
            <w:gridSpan w:val="3"/>
            <w:vAlign w:val="center"/>
            <w:hideMark/>
          </w:tcPr>
          <w:p w14:paraId="0A349977" w14:textId="77777777" w:rsidR="00000000" w:rsidRDefault="00A173A8">
            <w:pPr>
              <w:spacing w:after="100"/>
              <w:jc w:val="right"/>
              <w:rPr>
                <w:rFonts w:eastAsia="Times New Roman"/>
              </w:rPr>
            </w:pPr>
          </w:p>
        </w:tc>
        <w:tc>
          <w:tcPr>
            <w:tcW w:w="0" w:type="auto"/>
            <w:gridSpan w:val="3"/>
            <w:vAlign w:val="center"/>
            <w:hideMark/>
          </w:tcPr>
          <w:p w14:paraId="1EF0268D" w14:textId="77777777" w:rsidR="00000000" w:rsidRDefault="00A173A8">
            <w:pPr>
              <w:spacing w:after="100"/>
              <w:rPr>
                <w:rFonts w:eastAsia="Times New Roman"/>
                <w:sz w:val="20"/>
                <w:szCs w:val="20"/>
              </w:rPr>
            </w:pPr>
          </w:p>
        </w:tc>
      </w:tr>
      <w:tr w:rsidR="00000000" w14:paraId="6836439D" w14:textId="77777777">
        <w:trPr>
          <w:divId w:val="134569232"/>
        </w:trPr>
        <w:tc>
          <w:tcPr>
            <w:tcW w:w="0" w:type="auto"/>
            <w:gridSpan w:val="3"/>
            <w:shd w:val="clear" w:color="auto" w:fill="FFFFFF"/>
            <w:tcMar>
              <w:top w:w="30" w:type="dxa"/>
              <w:left w:w="20" w:type="dxa"/>
              <w:bottom w:w="30" w:type="dxa"/>
              <w:right w:w="20" w:type="dxa"/>
            </w:tcMar>
            <w:vAlign w:val="center"/>
            <w:hideMark/>
          </w:tcPr>
          <w:p w14:paraId="6DCA5015" w14:textId="77777777" w:rsidR="00000000" w:rsidRDefault="00A173A8">
            <w:pPr>
              <w:spacing w:after="100"/>
              <w:rPr>
                <w:rFonts w:eastAsia="Times New Roman"/>
              </w:rPr>
            </w:pPr>
            <w:r>
              <w:rPr>
                <w:rFonts w:eastAsia="Times New Roman"/>
                <w:color w:val="000000"/>
                <w:sz w:val="20"/>
                <w:szCs w:val="20"/>
              </w:rPr>
              <w:t>Net charge-offs</w:t>
            </w:r>
          </w:p>
        </w:tc>
        <w:tc>
          <w:tcPr>
            <w:tcW w:w="0" w:type="auto"/>
            <w:gridSpan w:val="3"/>
            <w:shd w:val="clear" w:color="auto" w:fill="FFFFFF"/>
            <w:tcMar>
              <w:top w:w="0" w:type="dxa"/>
              <w:left w:w="20" w:type="dxa"/>
              <w:bottom w:w="0" w:type="dxa"/>
              <w:right w:w="20" w:type="dxa"/>
            </w:tcMar>
            <w:vAlign w:val="center"/>
            <w:hideMark/>
          </w:tcPr>
          <w:p w14:paraId="056F3024"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59687F5"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AEA824B" w14:textId="77777777" w:rsidR="00000000" w:rsidRDefault="00A173A8">
            <w:pPr>
              <w:spacing w:after="100"/>
              <w:jc w:val="right"/>
              <w:rPr>
                <w:rFonts w:eastAsia="Times New Roman"/>
              </w:rPr>
            </w:pPr>
            <w:r>
              <w:rPr>
                <w:rFonts w:eastAsia="Times New Roman"/>
                <w:b/>
                <w:bCs/>
                <w:color w:val="000000"/>
                <w:sz w:val="20"/>
                <w:szCs w:val="20"/>
              </w:rPr>
              <w:t>622</w:t>
            </w:r>
          </w:p>
        </w:tc>
        <w:tc>
          <w:tcPr>
            <w:tcW w:w="0" w:type="auto"/>
            <w:gridSpan w:val="3"/>
            <w:shd w:val="clear" w:color="auto" w:fill="FFFFFF"/>
            <w:tcMar>
              <w:top w:w="0" w:type="dxa"/>
              <w:left w:w="20" w:type="dxa"/>
              <w:bottom w:w="0" w:type="dxa"/>
              <w:right w:w="20" w:type="dxa"/>
            </w:tcMar>
            <w:vAlign w:val="center"/>
            <w:hideMark/>
          </w:tcPr>
          <w:p w14:paraId="21954B3E"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77454C0"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4E431AD" w14:textId="77777777" w:rsidR="00000000" w:rsidRDefault="00A173A8">
            <w:pPr>
              <w:spacing w:after="100"/>
              <w:jc w:val="right"/>
              <w:rPr>
                <w:rFonts w:eastAsia="Times New Roman"/>
              </w:rPr>
            </w:pPr>
            <w:r>
              <w:rPr>
                <w:rFonts w:eastAsia="Times New Roman"/>
                <w:color w:val="000000"/>
                <w:sz w:val="20"/>
                <w:szCs w:val="20"/>
              </w:rPr>
              <w:t>522</w:t>
            </w:r>
          </w:p>
        </w:tc>
        <w:tc>
          <w:tcPr>
            <w:tcW w:w="0" w:type="auto"/>
            <w:gridSpan w:val="3"/>
            <w:shd w:val="clear" w:color="auto" w:fill="FFFFFF"/>
            <w:tcMar>
              <w:top w:w="0" w:type="dxa"/>
              <w:left w:w="20" w:type="dxa"/>
              <w:bottom w:w="0" w:type="dxa"/>
              <w:right w:w="20" w:type="dxa"/>
            </w:tcMar>
            <w:vAlign w:val="center"/>
            <w:hideMark/>
          </w:tcPr>
          <w:p w14:paraId="0152914B"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579C9CBF" w14:textId="77777777" w:rsidR="00000000" w:rsidRDefault="00A173A8">
            <w:pPr>
              <w:spacing w:after="100"/>
              <w:jc w:val="right"/>
              <w:rPr>
                <w:rFonts w:eastAsia="Times New Roman"/>
              </w:rPr>
            </w:pPr>
            <w:r>
              <w:rPr>
                <w:rFonts w:eastAsia="Times New Roman"/>
                <w:color w:val="000000"/>
                <w:sz w:val="20"/>
                <w:szCs w:val="20"/>
              </w:rPr>
              <w:t>19%</w:t>
            </w:r>
          </w:p>
        </w:tc>
        <w:tc>
          <w:tcPr>
            <w:tcW w:w="0" w:type="auto"/>
            <w:gridSpan w:val="3"/>
            <w:shd w:val="clear" w:color="auto" w:fill="FFFFFF"/>
            <w:tcMar>
              <w:top w:w="0" w:type="dxa"/>
              <w:left w:w="20" w:type="dxa"/>
              <w:bottom w:w="0" w:type="dxa"/>
              <w:right w:w="20" w:type="dxa"/>
            </w:tcMar>
            <w:vAlign w:val="center"/>
            <w:hideMark/>
          </w:tcPr>
          <w:p w14:paraId="2E363590"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0B1A303"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9C791CA" w14:textId="77777777" w:rsidR="00000000" w:rsidRDefault="00A173A8">
            <w:pPr>
              <w:spacing w:after="100"/>
              <w:jc w:val="right"/>
              <w:rPr>
                <w:rFonts w:eastAsia="Times New Roman"/>
              </w:rPr>
            </w:pPr>
            <w:r>
              <w:rPr>
                <w:rFonts w:eastAsia="Times New Roman"/>
                <w:b/>
                <w:bCs/>
                <w:color w:val="000000"/>
                <w:sz w:val="20"/>
                <w:szCs w:val="20"/>
              </w:rPr>
              <w:t>1,181</w:t>
            </w:r>
          </w:p>
        </w:tc>
        <w:tc>
          <w:tcPr>
            <w:tcW w:w="0" w:type="auto"/>
            <w:gridSpan w:val="3"/>
            <w:shd w:val="clear" w:color="auto" w:fill="FFFFFF"/>
            <w:tcMar>
              <w:top w:w="0" w:type="dxa"/>
              <w:left w:w="20" w:type="dxa"/>
              <w:bottom w:w="0" w:type="dxa"/>
              <w:right w:w="20" w:type="dxa"/>
            </w:tcMar>
            <w:vAlign w:val="center"/>
            <w:hideMark/>
          </w:tcPr>
          <w:p w14:paraId="2830DB36"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5565E83"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D74B4C4" w14:textId="77777777" w:rsidR="00000000" w:rsidRDefault="00A173A8">
            <w:pPr>
              <w:spacing w:after="100"/>
              <w:jc w:val="right"/>
              <w:rPr>
                <w:rFonts w:eastAsia="Times New Roman"/>
              </w:rPr>
            </w:pPr>
            <w:r>
              <w:rPr>
                <w:rFonts w:eastAsia="Times New Roman"/>
                <w:color w:val="000000"/>
                <w:sz w:val="20"/>
                <w:szCs w:val="20"/>
              </w:rPr>
              <w:t>1,109</w:t>
            </w:r>
          </w:p>
        </w:tc>
        <w:tc>
          <w:tcPr>
            <w:tcW w:w="0" w:type="auto"/>
            <w:vAlign w:val="center"/>
            <w:hideMark/>
          </w:tcPr>
          <w:p w14:paraId="51476957" w14:textId="77777777" w:rsidR="00000000" w:rsidRDefault="00A173A8">
            <w:pPr>
              <w:spacing w:after="100"/>
              <w:jc w:val="right"/>
              <w:rPr>
                <w:rFonts w:eastAsia="Times New Roman"/>
              </w:rPr>
            </w:pPr>
          </w:p>
        </w:tc>
        <w:tc>
          <w:tcPr>
            <w:tcW w:w="0" w:type="auto"/>
            <w:vAlign w:val="center"/>
            <w:hideMark/>
          </w:tcPr>
          <w:p w14:paraId="3BA119E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6B90F4"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6FA4B8E7" w14:textId="77777777" w:rsidR="00000000" w:rsidRDefault="00A173A8">
            <w:pPr>
              <w:spacing w:after="100"/>
              <w:jc w:val="right"/>
              <w:rPr>
                <w:rFonts w:eastAsia="Times New Roman"/>
              </w:rPr>
            </w:pPr>
            <w:r>
              <w:rPr>
                <w:rFonts w:eastAsia="Times New Roman"/>
                <w:color w:val="000000"/>
                <w:sz w:val="20"/>
                <w:szCs w:val="20"/>
              </w:rPr>
              <w:t>6%</w:t>
            </w:r>
          </w:p>
        </w:tc>
        <w:tc>
          <w:tcPr>
            <w:tcW w:w="0" w:type="auto"/>
            <w:gridSpan w:val="3"/>
            <w:vAlign w:val="center"/>
            <w:hideMark/>
          </w:tcPr>
          <w:p w14:paraId="1D567513" w14:textId="77777777" w:rsidR="00000000" w:rsidRDefault="00A173A8">
            <w:pPr>
              <w:spacing w:after="100"/>
              <w:jc w:val="right"/>
              <w:rPr>
                <w:rFonts w:eastAsia="Times New Roman"/>
              </w:rPr>
            </w:pPr>
          </w:p>
        </w:tc>
        <w:tc>
          <w:tcPr>
            <w:tcW w:w="0" w:type="auto"/>
            <w:gridSpan w:val="3"/>
            <w:vAlign w:val="center"/>
            <w:hideMark/>
          </w:tcPr>
          <w:p w14:paraId="18D616D2" w14:textId="77777777" w:rsidR="00000000" w:rsidRDefault="00A173A8">
            <w:pPr>
              <w:spacing w:after="100"/>
              <w:rPr>
                <w:rFonts w:eastAsia="Times New Roman"/>
                <w:sz w:val="20"/>
                <w:szCs w:val="20"/>
              </w:rPr>
            </w:pPr>
          </w:p>
        </w:tc>
      </w:tr>
      <w:tr w:rsidR="00000000" w14:paraId="3B54D2B2" w14:textId="77777777">
        <w:trPr>
          <w:divId w:val="134569232"/>
        </w:trPr>
        <w:tc>
          <w:tcPr>
            <w:tcW w:w="0" w:type="auto"/>
            <w:gridSpan w:val="3"/>
            <w:shd w:val="clear" w:color="auto" w:fill="CCEEFF"/>
            <w:tcMar>
              <w:top w:w="30" w:type="dxa"/>
              <w:left w:w="20" w:type="dxa"/>
              <w:bottom w:w="30" w:type="dxa"/>
              <w:right w:w="20" w:type="dxa"/>
            </w:tcMar>
            <w:vAlign w:val="center"/>
            <w:hideMark/>
          </w:tcPr>
          <w:p w14:paraId="04CCC943" w14:textId="77777777" w:rsidR="00000000" w:rsidRDefault="00A173A8">
            <w:pPr>
              <w:spacing w:after="100"/>
              <w:rPr>
                <w:rFonts w:eastAsia="Times New Roman"/>
              </w:rPr>
            </w:pPr>
            <w:r>
              <w:rPr>
                <w:rFonts w:eastAsia="Times New Roman"/>
                <w:color w:val="000000"/>
                <w:sz w:val="20"/>
                <w:szCs w:val="20"/>
              </w:rPr>
              <w:t>Net charge-off rate</w:t>
            </w:r>
          </w:p>
        </w:tc>
        <w:tc>
          <w:tcPr>
            <w:tcW w:w="0" w:type="auto"/>
            <w:gridSpan w:val="3"/>
            <w:shd w:val="clear" w:color="auto" w:fill="CCEEFF"/>
            <w:tcMar>
              <w:top w:w="0" w:type="dxa"/>
              <w:left w:w="20" w:type="dxa"/>
              <w:bottom w:w="0" w:type="dxa"/>
              <w:right w:w="20" w:type="dxa"/>
            </w:tcMar>
            <w:vAlign w:val="center"/>
            <w:hideMark/>
          </w:tcPr>
          <w:p w14:paraId="3F51C00B"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E414262" w14:textId="77777777" w:rsidR="00000000" w:rsidRDefault="00A173A8">
            <w:pPr>
              <w:spacing w:after="100"/>
              <w:jc w:val="right"/>
              <w:rPr>
                <w:rFonts w:eastAsia="Times New Roman"/>
              </w:rPr>
            </w:pPr>
            <w:r>
              <w:rPr>
                <w:rFonts w:eastAsia="Times New Roman"/>
                <w:b/>
                <w:bCs/>
                <w:color w:val="000000"/>
                <w:sz w:val="20"/>
                <w:szCs w:val="20"/>
              </w:rPr>
              <w:t>2.26%</w:t>
            </w:r>
          </w:p>
        </w:tc>
        <w:tc>
          <w:tcPr>
            <w:tcW w:w="0" w:type="auto"/>
            <w:gridSpan w:val="3"/>
            <w:shd w:val="clear" w:color="auto" w:fill="CCEEFF"/>
            <w:tcMar>
              <w:top w:w="0" w:type="dxa"/>
              <w:left w:w="20" w:type="dxa"/>
              <w:bottom w:w="0" w:type="dxa"/>
              <w:right w:w="20" w:type="dxa"/>
            </w:tcMar>
            <w:vAlign w:val="center"/>
            <w:hideMark/>
          </w:tcPr>
          <w:p w14:paraId="689C8204"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5734BA2E" w14:textId="77777777" w:rsidR="00000000" w:rsidRDefault="00A173A8">
            <w:pPr>
              <w:spacing w:after="100"/>
              <w:jc w:val="right"/>
              <w:rPr>
                <w:rFonts w:eastAsia="Times New Roman"/>
              </w:rPr>
            </w:pPr>
            <w:r>
              <w:rPr>
                <w:rFonts w:eastAsia="Times New Roman"/>
                <w:color w:val="000000"/>
                <w:sz w:val="20"/>
                <w:szCs w:val="20"/>
              </w:rPr>
              <w:t>2.28%</w:t>
            </w:r>
          </w:p>
        </w:tc>
        <w:tc>
          <w:tcPr>
            <w:tcW w:w="0" w:type="auto"/>
            <w:gridSpan w:val="3"/>
            <w:shd w:val="clear" w:color="auto" w:fill="CCEEFF"/>
            <w:tcMar>
              <w:top w:w="0" w:type="dxa"/>
              <w:left w:w="20" w:type="dxa"/>
              <w:bottom w:w="0" w:type="dxa"/>
              <w:right w:w="20" w:type="dxa"/>
            </w:tcMar>
            <w:vAlign w:val="center"/>
            <w:hideMark/>
          </w:tcPr>
          <w:p w14:paraId="1CD751AD"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B6520F5" w14:textId="77777777" w:rsidR="00000000" w:rsidRDefault="00A173A8">
            <w:pPr>
              <w:spacing w:after="100"/>
              <w:jc w:val="right"/>
              <w:rPr>
                <w:rFonts w:eastAsia="Times New Roman"/>
              </w:rPr>
            </w:pPr>
            <w:r>
              <w:rPr>
                <w:rFonts w:eastAsia="Times New Roman"/>
                <w:color w:val="000000"/>
                <w:sz w:val="20"/>
                <w:szCs w:val="20"/>
              </w:rPr>
              <w:t>(2)bps</w:t>
            </w:r>
          </w:p>
        </w:tc>
        <w:tc>
          <w:tcPr>
            <w:tcW w:w="0" w:type="auto"/>
            <w:gridSpan w:val="3"/>
            <w:shd w:val="clear" w:color="auto" w:fill="CCEEFF"/>
            <w:tcMar>
              <w:top w:w="0" w:type="dxa"/>
              <w:left w:w="20" w:type="dxa"/>
              <w:bottom w:w="0" w:type="dxa"/>
              <w:right w:w="20" w:type="dxa"/>
            </w:tcMar>
            <w:vAlign w:val="center"/>
            <w:hideMark/>
          </w:tcPr>
          <w:p w14:paraId="41AE18F1"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EFFA965" w14:textId="77777777" w:rsidR="00000000" w:rsidRDefault="00A173A8">
            <w:pPr>
              <w:spacing w:after="100"/>
              <w:jc w:val="right"/>
              <w:rPr>
                <w:rFonts w:eastAsia="Times New Roman"/>
              </w:rPr>
            </w:pPr>
            <w:r>
              <w:rPr>
                <w:rFonts w:eastAsia="Times New Roman"/>
                <w:b/>
                <w:bCs/>
                <w:color w:val="000000"/>
                <w:sz w:val="20"/>
                <w:szCs w:val="20"/>
              </w:rPr>
              <w:t>2.19%</w:t>
            </w:r>
          </w:p>
        </w:tc>
        <w:tc>
          <w:tcPr>
            <w:tcW w:w="0" w:type="auto"/>
            <w:gridSpan w:val="3"/>
            <w:shd w:val="clear" w:color="auto" w:fill="CCEEFF"/>
            <w:tcMar>
              <w:top w:w="0" w:type="dxa"/>
              <w:left w:w="20" w:type="dxa"/>
              <w:bottom w:w="0" w:type="dxa"/>
              <w:right w:w="20" w:type="dxa"/>
            </w:tcMar>
            <w:vAlign w:val="center"/>
            <w:hideMark/>
          </w:tcPr>
          <w:p w14:paraId="41126B59"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7AACFF22" w14:textId="77777777" w:rsidR="00000000" w:rsidRDefault="00A173A8">
            <w:pPr>
              <w:spacing w:after="100"/>
              <w:jc w:val="right"/>
              <w:rPr>
                <w:rFonts w:eastAsia="Times New Roman"/>
              </w:rPr>
            </w:pPr>
            <w:r>
              <w:rPr>
                <w:rFonts w:eastAsia="Times New Roman"/>
                <w:color w:val="000000"/>
                <w:sz w:val="20"/>
                <w:szCs w:val="20"/>
              </w:rPr>
              <w:t>2.41%</w:t>
            </w:r>
          </w:p>
        </w:tc>
        <w:tc>
          <w:tcPr>
            <w:tcW w:w="0" w:type="auto"/>
            <w:vAlign w:val="center"/>
            <w:hideMark/>
          </w:tcPr>
          <w:p w14:paraId="59C4B855" w14:textId="77777777" w:rsidR="00000000" w:rsidRDefault="00A173A8">
            <w:pPr>
              <w:spacing w:after="100"/>
              <w:jc w:val="right"/>
              <w:rPr>
                <w:rFonts w:eastAsia="Times New Roman"/>
              </w:rPr>
            </w:pPr>
          </w:p>
        </w:tc>
        <w:tc>
          <w:tcPr>
            <w:tcW w:w="0" w:type="auto"/>
            <w:vAlign w:val="center"/>
            <w:hideMark/>
          </w:tcPr>
          <w:p w14:paraId="6AE06DD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E1DC11"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9C45CCD" w14:textId="77777777" w:rsidR="00000000" w:rsidRDefault="00A173A8">
            <w:pPr>
              <w:spacing w:after="100"/>
              <w:jc w:val="right"/>
              <w:rPr>
                <w:rFonts w:eastAsia="Times New Roman"/>
              </w:rPr>
            </w:pPr>
            <w:r>
              <w:rPr>
                <w:rFonts w:eastAsia="Times New Roman"/>
                <w:color w:val="000000"/>
                <w:sz w:val="20"/>
                <w:szCs w:val="20"/>
              </w:rPr>
              <w:t>(22)bps</w:t>
            </w:r>
          </w:p>
        </w:tc>
        <w:tc>
          <w:tcPr>
            <w:tcW w:w="0" w:type="auto"/>
            <w:gridSpan w:val="3"/>
            <w:vAlign w:val="center"/>
            <w:hideMark/>
          </w:tcPr>
          <w:p w14:paraId="7D292280" w14:textId="77777777" w:rsidR="00000000" w:rsidRDefault="00A173A8">
            <w:pPr>
              <w:spacing w:after="100"/>
              <w:jc w:val="right"/>
              <w:rPr>
                <w:rFonts w:eastAsia="Times New Roman"/>
              </w:rPr>
            </w:pPr>
          </w:p>
        </w:tc>
        <w:tc>
          <w:tcPr>
            <w:tcW w:w="0" w:type="auto"/>
            <w:gridSpan w:val="3"/>
            <w:vAlign w:val="center"/>
            <w:hideMark/>
          </w:tcPr>
          <w:p w14:paraId="2E1D766C" w14:textId="77777777" w:rsidR="00000000" w:rsidRDefault="00A173A8">
            <w:pPr>
              <w:spacing w:after="100"/>
              <w:rPr>
                <w:rFonts w:eastAsia="Times New Roman"/>
                <w:sz w:val="20"/>
                <w:szCs w:val="20"/>
              </w:rPr>
            </w:pPr>
          </w:p>
        </w:tc>
      </w:tr>
      <w:tr w:rsidR="00000000" w14:paraId="3C02DA2A" w14:textId="77777777">
        <w:trPr>
          <w:divId w:val="134569232"/>
        </w:trPr>
        <w:tc>
          <w:tcPr>
            <w:tcW w:w="0" w:type="auto"/>
            <w:gridSpan w:val="3"/>
            <w:shd w:val="clear" w:color="auto" w:fill="FFFFFF"/>
            <w:tcMar>
              <w:top w:w="30" w:type="dxa"/>
              <w:left w:w="20" w:type="dxa"/>
              <w:bottom w:w="30" w:type="dxa"/>
              <w:right w:w="20" w:type="dxa"/>
            </w:tcMar>
            <w:vAlign w:val="center"/>
            <w:hideMark/>
          </w:tcPr>
          <w:p w14:paraId="4023B8C0" w14:textId="77777777" w:rsidR="00000000" w:rsidRDefault="00A173A8">
            <w:pPr>
              <w:spacing w:after="100"/>
              <w:rPr>
                <w:rFonts w:eastAsia="Times New Roman"/>
              </w:rPr>
            </w:pPr>
            <w:r>
              <w:rPr>
                <w:rFonts w:eastAsia="Times New Roman"/>
                <w:color w:val="000000"/>
                <w:sz w:val="20"/>
                <w:szCs w:val="20"/>
              </w:rPr>
              <w:t>Purchase volume</w:t>
            </w:r>
          </w:p>
        </w:tc>
        <w:tc>
          <w:tcPr>
            <w:tcW w:w="0" w:type="auto"/>
            <w:gridSpan w:val="3"/>
            <w:shd w:val="clear" w:color="auto" w:fill="FFFFFF"/>
            <w:tcMar>
              <w:top w:w="0" w:type="dxa"/>
              <w:left w:w="20" w:type="dxa"/>
              <w:bottom w:w="0" w:type="dxa"/>
              <w:right w:w="20" w:type="dxa"/>
            </w:tcMar>
            <w:vAlign w:val="center"/>
            <w:hideMark/>
          </w:tcPr>
          <w:p w14:paraId="35737F88"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AF05FD2"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298C5D7" w14:textId="77777777" w:rsidR="00000000" w:rsidRDefault="00A173A8">
            <w:pPr>
              <w:spacing w:after="100"/>
              <w:jc w:val="right"/>
              <w:rPr>
                <w:rFonts w:eastAsia="Times New Roman"/>
              </w:rPr>
            </w:pPr>
            <w:r>
              <w:rPr>
                <w:rFonts w:eastAsia="Times New Roman"/>
                <w:b/>
                <w:bCs/>
                <w:color w:val="000000"/>
                <w:sz w:val="20"/>
                <w:szCs w:val="20"/>
              </w:rPr>
              <w:t>144,668</w:t>
            </w:r>
          </w:p>
        </w:tc>
        <w:tc>
          <w:tcPr>
            <w:tcW w:w="0" w:type="auto"/>
            <w:gridSpan w:val="3"/>
            <w:shd w:val="clear" w:color="auto" w:fill="FFFFFF"/>
            <w:tcMar>
              <w:top w:w="0" w:type="dxa"/>
              <w:left w:w="20" w:type="dxa"/>
              <w:bottom w:w="0" w:type="dxa"/>
              <w:right w:w="20" w:type="dxa"/>
            </w:tcMar>
            <w:vAlign w:val="center"/>
            <w:hideMark/>
          </w:tcPr>
          <w:p w14:paraId="19EABF0C"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DAFDF16"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F0E43E1" w14:textId="77777777" w:rsidR="00000000" w:rsidRDefault="00A173A8">
            <w:pPr>
              <w:spacing w:after="100"/>
              <w:jc w:val="right"/>
              <w:rPr>
                <w:rFonts w:eastAsia="Times New Roman"/>
              </w:rPr>
            </w:pPr>
            <w:r>
              <w:rPr>
                <w:rFonts w:eastAsia="Times New Roman"/>
                <w:color w:val="000000"/>
                <w:sz w:val="20"/>
                <w:szCs w:val="20"/>
              </w:rPr>
              <w:t>122,456</w:t>
            </w:r>
          </w:p>
        </w:tc>
        <w:tc>
          <w:tcPr>
            <w:tcW w:w="0" w:type="auto"/>
            <w:gridSpan w:val="3"/>
            <w:shd w:val="clear" w:color="auto" w:fill="FFFFFF"/>
            <w:tcMar>
              <w:top w:w="0" w:type="dxa"/>
              <w:left w:w="20" w:type="dxa"/>
              <w:bottom w:w="0" w:type="dxa"/>
              <w:right w:w="20" w:type="dxa"/>
            </w:tcMar>
            <w:vAlign w:val="center"/>
            <w:hideMark/>
          </w:tcPr>
          <w:p w14:paraId="214EF65E"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6D4E2FA4" w14:textId="77777777" w:rsidR="00000000" w:rsidRDefault="00A173A8">
            <w:pPr>
              <w:spacing w:after="100"/>
              <w:jc w:val="right"/>
              <w:rPr>
                <w:rFonts w:eastAsia="Times New Roman"/>
              </w:rPr>
            </w:pPr>
            <w:r>
              <w:rPr>
                <w:rFonts w:eastAsia="Times New Roman"/>
                <w:color w:val="000000"/>
                <w:sz w:val="20"/>
                <w:szCs w:val="20"/>
              </w:rPr>
              <w:t>18%</w:t>
            </w:r>
          </w:p>
        </w:tc>
        <w:tc>
          <w:tcPr>
            <w:tcW w:w="0" w:type="auto"/>
            <w:gridSpan w:val="3"/>
            <w:shd w:val="clear" w:color="auto" w:fill="FFFFFF"/>
            <w:tcMar>
              <w:top w:w="0" w:type="dxa"/>
              <w:left w:w="20" w:type="dxa"/>
              <w:bottom w:w="0" w:type="dxa"/>
              <w:right w:w="20" w:type="dxa"/>
            </w:tcMar>
            <w:vAlign w:val="center"/>
            <w:hideMark/>
          </w:tcPr>
          <w:p w14:paraId="6B8688F5"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3410BE0"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171675F" w14:textId="77777777" w:rsidR="00000000" w:rsidRDefault="00A173A8">
            <w:pPr>
              <w:spacing w:after="100"/>
              <w:jc w:val="right"/>
              <w:rPr>
                <w:rFonts w:eastAsia="Times New Roman"/>
              </w:rPr>
            </w:pPr>
            <w:r>
              <w:rPr>
                <w:rFonts w:eastAsia="Times New Roman"/>
                <w:b/>
                <w:bCs/>
                <w:color w:val="000000"/>
                <w:sz w:val="20"/>
                <w:szCs w:val="20"/>
              </w:rPr>
              <w:t>270,952</w:t>
            </w:r>
          </w:p>
        </w:tc>
        <w:tc>
          <w:tcPr>
            <w:tcW w:w="0" w:type="auto"/>
            <w:gridSpan w:val="3"/>
            <w:shd w:val="clear" w:color="auto" w:fill="FFFFFF"/>
            <w:tcMar>
              <w:top w:w="0" w:type="dxa"/>
              <w:left w:w="20" w:type="dxa"/>
              <w:bottom w:w="0" w:type="dxa"/>
              <w:right w:w="20" w:type="dxa"/>
            </w:tcMar>
            <w:vAlign w:val="center"/>
            <w:hideMark/>
          </w:tcPr>
          <w:p w14:paraId="46975691"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6E0D537"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A605EF8" w14:textId="77777777" w:rsidR="00000000" w:rsidRDefault="00A173A8">
            <w:pPr>
              <w:spacing w:after="100"/>
              <w:jc w:val="right"/>
              <w:rPr>
                <w:rFonts w:eastAsia="Times New Roman"/>
              </w:rPr>
            </w:pPr>
            <w:r>
              <w:rPr>
                <w:rFonts w:eastAsia="Times New Roman"/>
                <w:color w:val="000000"/>
                <w:sz w:val="20"/>
                <w:szCs w:val="20"/>
              </w:rPr>
              <w:t>222,416</w:t>
            </w:r>
          </w:p>
        </w:tc>
        <w:tc>
          <w:tcPr>
            <w:tcW w:w="0" w:type="auto"/>
            <w:vAlign w:val="center"/>
            <w:hideMark/>
          </w:tcPr>
          <w:p w14:paraId="0E282E95" w14:textId="77777777" w:rsidR="00000000" w:rsidRDefault="00A173A8">
            <w:pPr>
              <w:spacing w:after="100"/>
              <w:jc w:val="right"/>
              <w:rPr>
                <w:rFonts w:eastAsia="Times New Roman"/>
              </w:rPr>
            </w:pPr>
          </w:p>
        </w:tc>
        <w:tc>
          <w:tcPr>
            <w:tcW w:w="0" w:type="auto"/>
            <w:vAlign w:val="center"/>
            <w:hideMark/>
          </w:tcPr>
          <w:p w14:paraId="368FBF7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B191BF"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0E3131D8" w14:textId="77777777" w:rsidR="00000000" w:rsidRDefault="00A173A8">
            <w:pPr>
              <w:spacing w:after="100"/>
              <w:jc w:val="right"/>
              <w:rPr>
                <w:rFonts w:eastAsia="Times New Roman"/>
              </w:rPr>
            </w:pPr>
            <w:r>
              <w:rPr>
                <w:rFonts w:eastAsia="Times New Roman"/>
                <w:color w:val="000000"/>
                <w:sz w:val="20"/>
                <w:szCs w:val="20"/>
              </w:rPr>
              <w:t>22%</w:t>
            </w:r>
          </w:p>
        </w:tc>
        <w:tc>
          <w:tcPr>
            <w:tcW w:w="0" w:type="auto"/>
            <w:gridSpan w:val="3"/>
            <w:vAlign w:val="center"/>
            <w:hideMark/>
          </w:tcPr>
          <w:p w14:paraId="1051DCB3" w14:textId="77777777" w:rsidR="00000000" w:rsidRDefault="00A173A8">
            <w:pPr>
              <w:spacing w:after="100"/>
              <w:jc w:val="right"/>
              <w:rPr>
                <w:rFonts w:eastAsia="Times New Roman"/>
              </w:rPr>
            </w:pPr>
          </w:p>
        </w:tc>
        <w:tc>
          <w:tcPr>
            <w:tcW w:w="0" w:type="auto"/>
            <w:gridSpan w:val="3"/>
            <w:vAlign w:val="center"/>
            <w:hideMark/>
          </w:tcPr>
          <w:p w14:paraId="2F8C7F78" w14:textId="77777777" w:rsidR="00000000" w:rsidRDefault="00A173A8">
            <w:pPr>
              <w:spacing w:after="100"/>
              <w:rPr>
                <w:rFonts w:eastAsia="Times New Roman"/>
                <w:sz w:val="20"/>
                <w:szCs w:val="20"/>
              </w:rPr>
            </w:pPr>
          </w:p>
        </w:tc>
      </w:tr>
      <w:tr w:rsidR="00000000" w14:paraId="798E7E8D" w14:textId="77777777">
        <w:trPr>
          <w:divId w:val="134569232"/>
          <w:trHeight w:val="300"/>
        </w:trPr>
        <w:tc>
          <w:tcPr>
            <w:tcW w:w="0" w:type="auto"/>
            <w:gridSpan w:val="3"/>
            <w:tcMar>
              <w:top w:w="0" w:type="dxa"/>
              <w:left w:w="20" w:type="dxa"/>
              <w:bottom w:w="0" w:type="dxa"/>
              <w:right w:w="20" w:type="dxa"/>
            </w:tcMar>
            <w:vAlign w:val="center"/>
            <w:hideMark/>
          </w:tcPr>
          <w:p w14:paraId="5478403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457333"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613BD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41E94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9DE19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E33CA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9BEA9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8303E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39DAC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8C16E2"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56B438" w14:textId="77777777" w:rsidR="00000000" w:rsidRDefault="00A173A8">
            <w:pPr>
              <w:spacing w:after="100"/>
              <w:rPr>
                <w:rFonts w:eastAsia="Times New Roman"/>
                <w:sz w:val="20"/>
                <w:szCs w:val="20"/>
              </w:rPr>
            </w:pPr>
          </w:p>
        </w:tc>
        <w:tc>
          <w:tcPr>
            <w:tcW w:w="0" w:type="auto"/>
            <w:vAlign w:val="center"/>
            <w:hideMark/>
          </w:tcPr>
          <w:p w14:paraId="7F4C9332" w14:textId="77777777" w:rsidR="00000000" w:rsidRDefault="00A173A8">
            <w:pPr>
              <w:spacing w:after="100"/>
              <w:rPr>
                <w:rFonts w:eastAsia="Times New Roman"/>
                <w:sz w:val="20"/>
                <w:szCs w:val="20"/>
              </w:rPr>
            </w:pPr>
          </w:p>
        </w:tc>
        <w:tc>
          <w:tcPr>
            <w:tcW w:w="0" w:type="auto"/>
            <w:vAlign w:val="center"/>
            <w:hideMark/>
          </w:tcPr>
          <w:p w14:paraId="37B7D09D"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CADCC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8535B4" w14:textId="77777777" w:rsidR="00000000" w:rsidRDefault="00A173A8">
            <w:pPr>
              <w:spacing w:after="100"/>
              <w:rPr>
                <w:rFonts w:eastAsia="Times New Roman"/>
                <w:sz w:val="20"/>
                <w:szCs w:val="20"/>
              </w:rPr>
            </w:pPr>
          </w:p>
        </w:tc>
        <w:tc>
          <w:tcPr>
            <w:tcW w:w="0" w:type="auto"/>
            <w:gridSpan w:val="3"/>
            <w:vAlign w:val="center"/>
            <w:hideMark/>
          </w:tcPr>
          <w:p w14:paraId="576A320D" w14:textId="77777777" w:rsidR="00000000" w:rsidRDefault="00A173A8">
            <w:pPr>
              <w:spacing w:after="100"/>
              <w:rPr>
                <w:rFonts w:eastAsia="Times New Roman"/>
                <w:sz w:val="20"/>
                <w:szCs w:val="20"/>
              </w:rPr>
            </w:pPr>
          </w:p>
        </w:tc>
        <w:tc>
          <w:tcPr>
            <w:tcW w:w="0" w:type="auto"/>
            <w:gridSpan w:val="3"/>
            <w:vAlign w:val="center"/>
            <w:hideMark/>
          </w:tcPr>
          <w:p w14:paraId="200EF9B6" w14:textId="77777777" w:rsidR="00000000" w:rsidRDefault="00A173A8">
            <w:pPr>
              <w:spacing w:after="100"/>
              <w:rPr>
                <w:rFonts w:eastAsia="Times New Roman"/>
                <w:sz w:val="20"/>
                <w:szCs w:val="20"/>
              </w:rPr>
            </w:pPr>
          </w:p>
        </w:tc>
      </w:tr>
      <w:tr w:rsidR="00000000" w14:paraId="0D2FE97C" w14:textId="77777777">
        <w:trPr>
          <w:divId w:val="134569232"/>
        </w:trPr>
        <w:tc>
          <w:tcPr>
            <w:tcW w:w="0" w:type="auto"/>
            <w:gridSpan w:val="3"/>
            <w:tcMar>
              <w:top w:w="30" w:type="dxa"/>
              <w:left w:w="20" w:type="dxa"/>
              <w:bottom w:w="30" w:type="dxa"/>
              <w:right w:w="20" w:type="dxa"/>
            </w:tcMar>
            <w:vAlign w:val="bottom"/>
            <w:hideMark/>
          </w:tcPr>
          <w:p w14:paraId="6A99D358"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2A4DB501"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0225BFA2"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7D355C46"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21F301" w14:textId="77777777" w:rsidR="00000000" w:rsidRDefault="00A173A8">
            <w:pPr>
              <w:spacing w:after="100"/>
              <w:jc w:val="center"/>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14:paraId="4874246F"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A6A393"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55DE0270"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11059D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52FD5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CEF9CF" w14:textId="77777777" w:rsidR="00000000" w:rsidRDefault="00A173A8">
            <w:pPr>
              <w:spacing w:after="100"/>
              <w:rPr>
                <w:rFonts w:eastAsia="Times New Roman"/>
                <w:sz w:val="20"/>
                <w:szCs w:val="20"/>
              </w:rPr>
            </w:pPr>
          </w:p>
        </w:tc>
        <w:tc>
          <w:tcPr>
            <w:tcW w:w="0" w:type="auto"/>
            <w:vAlign w:val="center"/>
            <w:hideMark/>
          </w:tcPr>
          <w:p w14:paraId="04523AF1" w14:textId="77777777" w:rsidR="00000000" w:rsidRDefault="00A173A8">
            <w:pPr>
              <w:spacing w:after="100"/>
              <w:rPr>
                <w:rFonts w:eastAsia="Times New Roman"/>
                <w:sz w:val="20"/>
                <w:szCs w:val="20"/>
              </w:rPr>
            </w:pPr>
          </w:p>
        </w:tc>
        <w:tc>
          <w:tcPr>
            <w:tcW w:w="0" w:type="auto"/>
            <w:vAlign w:val="center"/>
            <w:hideMark/>
          </w:tcPr>
          <w:p w14:paraId="61ABE0A1"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D5595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D1BBDF" w14:textId="77777777" w:rsidR="00000000" w:rsidRDefault="00A173A8">
            <w:pPr>
              <w:spacing w:after="100"/>
              <w:rPr>
                <w:rFonts w:eastAsia="Times New Roman"/>
                <w:sz w:val="20"/>
                <w:szCs w:val="20"/>
              </w:rPr>
            </w:pPr>
          </w:p>
        </w:tc>
        <w:tc>
          <w:tcPr>
            <w:tcW w:w="0" w:type="auto"/>
            <w:gridSpan w:val="3"/>
            <w:vAlign w:val="center"/>
            <w:hideMark/>
          </w:tcPr>
          <w:p w14:paraId="11211C40" w14:textId="77777777" w:rsidR="00000000" w:rsidRDefault="00A173A8">
            <w:pPr>
              <w:spacing w:after="100"/>
              <w:rPr>
                <w:rFonts w:eastAsia="Times New Roman"/>
                <w:sz w:val="20"/>
                <w:szCs w:val="20"/>
              </w:rPr>
            </w:pPr>
          </w:p>
        </w:tc>
        <w:tc>
          <w:tcPr>
            <w:tcW w:w="0" w:type="auto"/>
            <w:gridSpan w:val="3"/>
            <w:vAlign w:val="center"/>
            <w:hideMark/>
          </w:tcPr>
          <w:p w14:paraId="3E458C9B" w14:textId="77777777" w:rsidR="00000000" w:rsidRDefault="00A173A8">
            <w:pPr>
              <w:spacing w:after="100"/>
              <w:rPr>
                <w:rFonts w:eastAsia="Times New Roman"/>
                <w:sz w:val="20"/>
                <w:szCs w:val="20"/>
              </w:rPr>
            </w:pPr>
          </w:p>
        </w:tc>
      </w:tr>
      <w:tr w:rsidR="00000000" w14:paraId="162028C3" w14:textId="77777777">
        <w:trPr>
          <w:divId w:val="1345692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21CDEFE" w14:textId="77777777" w:rsidR="00000000" w:rsidRDefault="00A173A8">
            <w:pPr>
              <w:spacing w:after="100"/>
              <w:rPr>
                <w:rFonts w:eastAsia="Times New Roman"/>
              </w:rPr>
            </w:pPr>
            <w:r>
              <w:rPr>
                <w:rFonts w:eastAsia="Times New Roman"/>
                <w:b/>
                <w:bCs/>
                <w:color w:val="000000"/>
                <w:sz w:val="20"/>
                <w:szCs w:val="20"/>
              </w:rPr>
              <w:t>Selected period-end data:</w:t>
            </w:r>
          </w:p>
        </w:tc>
        <w:tc>
          <w:tcPr>
            <w:tcW w:w="0" w:type="auto"/>
            <w:gridSpan w:val="3"/>
            <w:shd w:val="clear" w:color="auto" w:fill="CCEEFF"/>
            <w:tcMar>
              <w:top w:w="0" w:type="dxa"/>
              <w:left w:w="20" w:type="dxa"/>
              <w:bottom w:w="0" w:type="dxa"/>
              <w:right w:w="20" w:type="dxa"/>
            </w:tcMar>
            <w:vAlign w:val="center"/>
            <w:hideMark/>
          </w:tcPr>
          <w:p w14:paraId="28A35871"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84BA4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EBDEE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D265C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988AA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0BAAB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A01E7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BDB71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25AA8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0AAC5E" w14:textId="77777777" w:rsidR="00000000" w:rsidRDefault="00A173A8">
            <w:pPr>
              <w:spacing w:after="100"/>
              <w:rPr>
                <w:rFonts w:eastAsia="Times New Roman"/>
                <w:sz w:val="20"/>
                <w:szCs w:val="20"/>
              </w:rPr>
            </w:pPr>
          </w:p>
        </w:tc>
        <w:tc>
          <w:tcPr>
            <w:tcW w:w="0" w:type="auto"/>
            <w:vAlign w:val="center"/>
            <w:hideMark/>
          </w:tcPr>
          <w:p w14:paraId="4F837102" w14:textId="77777777" w:rsidR="00000000" w:rsidRDefault="00A173A8">
            <w:pPr>
              <w:spacing w:after="100"/>
              <w:rPr>
                <w:rFonts w:eastAsia="Times New Roman"/>
                <w:sz w:val="20"/>
                <w:szCs w:val="20"/>
              </w:rPr>
            </w:pPr>
          </w:p>
        </w:tc>
        <w:tc>
          <w:tcPr>
            <w:tcW w:w="0" w:type="auto"/>
            <w:vAlign w:val="center"/>
            <w:hideMark/>
          </w:tcPr>
          <w:p w14:paraId="009348E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614E7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0CF991" w14:textId="77777777" w:rsidR="00000000" w:rsidRDefault="00A173A8">
            <w:pPr>
              <w:spacing w:after="100"/>
              <w:rPr>
                <w:rFonts w:eastAsia="Times New Roman"/>
                <w:sz w:val="20"/>
                <w:szCs w:val="20"/>
              </w:rPr>
            </w:pPr>
          </w:p>
        </w:tc>
        <w:tc>
          <w:tcPr>
            <w:tcW w:w="0" w:type="auto"/>
            <w:gridSpan w:val="3"/>
            <w:vAlign w:val="center"/>
            <w:hideMark/>
          </w:tcPr>
          <w:p w14:paraId="51CEDAB9" w14:textId="77777777" w:rsidR="00000000" w:rsidRDefault="00A173A8">
            <w:pPr>
              <w:spacing w:after="100"/>
              <w:rPr>
                <w:rFonts w:eastAsia="Times New Roman"/>
                <w:sz w:val="20"/>
                <w:szCs w:val="20"/>
              </w:rPr>
            </w:pPr>
          </w:p>
        </w:tc>
        <w:tc>
          <w:tcPr>
            <w:tcW w:w="0" w:type="auto"/>
            <w:gridSpan w:val="3"/>
            <w:vAlign w:val="center"/>
            <w:hideMark/>
          </w:tcPr>
          <w:p w14:paraId="07A9BF65" w14:textId="77777777" w:rsidR="00000000" w:rsidRDefault="00A173A8">
            <w:pPr>
              <w:spacing w:after="100"/>
              <w:rPr>
                <w:rFonts w:eastAsia="Times New Roman"/>
                <w:sz w:val="20"/>
                <w:szCs w:val="20"/>
              </w:rPr>
            </w:pPr>
          </w:p>
        </w:tc>
      </w:tr>
      <w:tr w:rsidR="00000000" w14:paraId="0679DE48" w14:textId="77777777">
        <w:trPr>
          <w:divId w:val="134569232"/>
        </w:trPr>
        <w:tc>
          <w:tcPr>
            <w:tcW w:w="0" w:type="auto"/>
            <w:gridSpan w:val="3"/>
            <w:shd w:val="clear" w:color="auto" w:fill="FFFFFF"/>
            <w:tcMar>
              <w:top w:w="30" w:type="dxa"/>
              <w:left w:w="20" w:type="dxa"/>
              <w:bottom w:w="30" w:type="dxa"/>
              <w:right w:w="20" w:type="dxa"/>
            </w:tcMar>
            <w:vAlign w:val="center"/>
            <w:hideMark/>
          </w:tcPr>
          <w:p w14:paraId="6AC8749D" w14:textId="77777777" w:rsidR="00000000" w:rsidRDefault="00A173A8">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14:paraId="272E989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1A0552F"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EF0C9BC" w14:textId="77777777" w:rsidR="00000000" w:rsidRDefault="00A173A8">
            <w:pPr>
              <w:spacing w:after="100"/>
              <w:jc w:val="right"/>
              <w:rPr>
                <w:rFonts w:eastAsia="Times New Roman"/>
              </w:rPr>
            </w:pPr>
            <w:r>
              <w:rPr>
                <w:rFonts w:eastAsia="Times New Roman"/>
                <w:b/>
                <w:bCs/>
                <w:color w:val="000000"/>
                <w:sz w:val="20"/>
                <w:szCs w:val="20"/>
              </w:rPr>
              <w:t>115,004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6780D1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ACC0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91E382"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6D1F08E" w14:textId="77777777" w:rsidR="00000000" w:rsidRDefault="00A173A8">
            <w:pPr>
              <w:spacing w:after="100"/>
              <w:jc w:val="right"/>
              <w:rPr>
                <w:rFonts w:eastAsia="Times New Roman"/>
              </w:rPr>
            </w:pPr>
            <w:r>
              <w:rPr>
                <w:rFonts w:eastAsia="Times New Roman"/>
                <w:color w:val="000000"/>
                <w:sz w:val="20"/>
                <w:szCs w:val="20"/>
              </w:rPr>
              <w:t>108,723 </w:t>
            </w:r>
          </w:p>
        </w:tc>
        <w:tc>
          <w:tcPr>
            <w:tcW w:w="0" w:type="auto"/>
            <w:shd w:val="clear" w:color="auto" w:fill="FFFFFF"/>
            <w:tcMar>
              <w:top w:w="30" w:type="dxa"/>
              <w:left w:w="0" w:type="dxa"/>
              <w:bottom w:w="30" w:type="dxa"/>
              <w:right w:w="20" w:type="dxa"/>
            </w:tcMar>
            <w:vAlign w:val="bottom"/>
            <w:hideMark/>
          </w:tcPr>
          <w:p w14:paraId="4F065B0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E83B7"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106FE677" w14:textId="77777777" w:rsidR="00000000" w:rsidRDefault="00A173A8">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14:paraId="2FE914A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B52E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38D6F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9A9FA9" w14:textId="77777777" w:rsidR="00000000" w:rsidRDefault="00A173A8">
            <w:pPr>
              <w:spacing w:after="100"/>
              <w:rPr>
                <w:rFonts w:eastAsia="Times New Roman"/>
                <w:sz w:val="20"/>
                <w:szCs w:val="20"/>
              </w:rPr>
            </w:pPr>
          </w:p>
        </w:tc>
        <w:tc>
          <w:tcPr>
            <w:tcW w:w="0" w:type="auto"/>
            <w:vAlign w:val="center"/>
            <w:hideMark/>
          </w:tcPr>
          <w:p w14:paraId="7BEBF480" w14:textId="77777777" w:rsidR="00000000" w:rsidRDefault="00A173A8">
            <w:pPr>
              <w:spacing w:after="100"/>
              <w:rPr>
                <w:rFonts w:eastAsia="Times New Roman"/>
                <w:sz w:val="20"/>
                <w:szCs w:val="20"/>
              </w:rPr>
            </w:pPr>
          </w:p>
        </w:tc>
        <w:tc>
          <w:tcPr>
            <w:tcW w:w="0" w:type="auto"/>
            <w:vAlign w:val="center"/>
            <w:hideMark/>
          </w:tcPr>
          <w:p w14:paraId="260FD81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E20BD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EC8834" w14:textId="77777777" w:rsidR="00000000" w:rsidRDefault="00A173A8">
            <w:pPr>
              <w:spacing w:after="100"/>
              <w:rPr>
                <w:rFonts w:eastAsia="Times New Roman"/>
                <w:sz w:val="20"/>
                <w:szCs w:val="20"/>
              </w:rPr>
            </w:pPr>
          </w:p>
        </w:tc>
        <w:tc>
          <w:tcPr>
            <w:tcW w:w="0" w:type="auto"/>
            <w:gridSpan w:val="3"/>
            <w:vAlign w:val="center"/>
            <w:hideMark/>
          </w:tcPr>
          <w:p w14:paraId="6731F19B" w14:textId="77777777" w:rsidR="00000000" w:rsidRDefault="00A173A8">
            <w:pPr>
              <w:spacing w:after="100"/>
              <w:rPr>
                <w:rFonts w:eastAsia="Times New Roman"/>
                <w:sz w:val="20"/>
                <w:szCs w:val="20"/>
              </w:rPr>
            </w:pPr>
          </w:p>
        </w:tc>
        <w:tc>
          <w:tcPr>
            <w:tcW w:w="0" w:type="auto"/>
            <w:gridSpan w:val="3"/>
            <w:vAlign w:val="center"/>
            <w:hideMark/>
          </w:tcPr>
          <w:p w14:paraId="020EA26D" w14:textId="77777777" w:rsidR="00000000" w:rsidRDefault="00A173A8">
            <w:pPr>
              <w:spacing w:after="100"/>
              <w:rPr>
                <w:rFonts w:eastAsia="Times New Roman"/>
                <w:sz w:val="20"/>
                <w:szCs w:val="20"/>
              </w:rPr>
            </w:pPr>
          </w:p>
        </w:tc>
      </w:tr>
      <w:tr w:rsidR="00000000" w14:paraId="4B3F11E0" w14:textId="77777777">
        <w:trPr>
          <w:divId w:val="134569232"/>
        </w:trPr>
        <w:tc>
          <w:tcPr>
            <w:tcW w:w="0" w:type="auto"/>
            <w:gridSpan w:val="3"/>
            <w:shd w:val="clear" w:color="auto" w:fill="CCEEFF"/>
            <w:tcMar>
              <w:top w:w="30" w:type="dxa"/>
              <w:left w:w="20" w:type="dxa"/>
              <w:bottom w:w="30" w:type="dxa"/>
              <w:right w:w="20" w:type="dxa"/>
            </w:tcMar>
            <w:vAlign w:val="center"/>
            <w:hideMark/>
          </w:tcPr>
          <w:p w14:paraId="0C5129DB" w14:textId="77777777" w:rsidR="00000000" w:rsidRDefault="00A173A8">
            <w:pPr>
              <w:spacing w:after="100"/>
              <w:rPr>
                <w:rFonts w:eastAsia="Times New Roman"/>
              </w:rPr>
            </w:pPr>
            <w:r>
              <w:rPr>
                <w:rFonts w:eastAsia="Times New Roman"/>
                <w:color w:val="000000"/>
                <w:sz w:val="20"/>
                <w:szCs w:val="20"/>
              </w:rPr>
              <w:t>30+ day performing delinquency rate</w:t>
            </w:r>
          </w:p>
        </w:tc>
        <w:tc>
          <w:tcPr>
            <w:tcW w:w="0" w:type="auto"/>
            <w:gridSpan w:val="3"/>
            <w:shd w:val="clear" w:color="auto" w:fill="CCEEFF"/>
            <w:tcMar>
              <w:top w:w="0" w:type="dxa"/>
              <w:left w:w="20" w:type="dxa"/>
              <w:bottom w:w="0" w:type="dxa"/>
              <w:right w:w="20" w:type="dxa"/>
            </w:tcMar>
            <w:vAlign w:val="center"/>
            <w:hideMark/>
          </w:tcPr>
          <w:p w14:paraId="20BF7BC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FC924E" w14:textId="77777777" w:rsidR="00000000" w:rsidRDefault="00A173A8">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85ADCD"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36967D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C273AF" w14:textId="77777777" w:rsidR="00000000" w:rsidRDefault="00A173A8">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14:paraId="37DCD7B7"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E4C6AD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AB6809" w14:textId="77777777" w:rsidR="00000000" w:rsidRDefault="00A173A8">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7EC3085E"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shd w:val="clear" w:color="auto" w:fill="CCEEFF"/>
            <w:tcMar>
              <w:top w:w="0" w:type="dxa"/>
              <w:left w:w="20" w:type="dxa"/>
              <w:bottom w:w="0" w:type="dxa"/>
              <w:right w:w="20" w:type="dxa"/>
            </w:tcMar>
            <w:vAlign w:val="center"/>
            <w:hideMark/>
          </w:tcPr>
          <w:p w14:paraId="1B24FB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2989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0456E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86E6E9" w14:textId="77777777" w:rsidR="00000000" w:rsidRDefault="00A173A8">
            <w:pPr>
              <w:spacing w:after="100"/>
              <w:rPr>
                <w:rFonts w:eastAsia="Times New Roman"/>
                <w:sz w:val="20"/>
                <w:szCs w:val="20"/>
              </w:rPr>
            </w:pPr>
          </w:p>
        </w:tc>
        <w:tc>
          <w:tcPr>
            <w:tcW w:w="0" w:type="auto"/>
            <w:vAlign w:val="center"/>
            <w:hideMark/>
          </w:tcPr>
          <w:p w14:paraId="43555050" w14:textId="77777777" w:rsidR="00000000" w:rsidRDefault="00A173A8">
            <w:pPr>
              <w:spacing w:after="100"/>
              <w:rPr>
                <w:rFonts w:eastAsia="Times New Roman"/>
                <w:sz w:val="20"/>
                <w:szCs w:val="20"/>
              </w:rPr>
            </w:pPr>
          </w:p>
        </w:tc>
        <w:tc>
          <w:tcPr>
            <w:tcW w:w="0" w:type="auto"/>
            <w:vAlign w:val="center"/>
            <w:hideMark/>
          </w:tcPr>
          <w:p w14:paraId="3AF6D47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41DD6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D7A224" w14:textId="77777777" w:rsidR="00000000" w:rsidRDefault="00A173A8">
            <w:pPr>
              <w:spacing w:after="100"/>
              <w:rPr>
                <w:rFonts w:eastAsia="Times New Roman"/>
                <w:sz w:val="20"/>
                <w:szCs w:val="20"/>
              </w:rPr>
            </w:pPr>
          </w:p>
        </w:tc>
        <w:tc>
          <w:tcPr>
            <w:tcW w:w="0" w:type="auto"/>
            <w:gridSpan w:val="3"/>
            <w:vAlign w:val="center"/>
            <w:hideMark/>
          </w:tcPr>
          <w:p w14:paraId="5A74243B" w14:textId="77777777" w:rsidR="00000000" w:rsidRDefault="00A173A8">
            <w:pPr>
              <w:spacing w:after="100"/>
              <w:rPr>
                <w:rFonts w:eastAsia="Times New Roman"/>
                <w:sz w:val="20"/>
                <w:szCs w:val="20"/>
              </w:rPr>
            </w:pPr>
          </w:p>
        </w:tc>
        <w:tc>
          <w:tcPr>
            <w:tcW w:w="0" w:type="auto"/>
            <w:gridSpan w:val="3"/>
            <w:vAlign w:val="center"/>
            <w:hideMark/>
          </w:tcPr>
          <w:p w14:paraId="349ECD84" w14:textId="77777777" w:rsidR="00000000" w:rsidRDefault="00A173A8">
            <w:pPr>
              <w:spacing w:after="100"/>
              <w:rPr>
                <w:rFonts w:eastAsia="Times New Roman"/>
                <w:sz w:val="20"/>
                <w:szCs w:val="20"/>
              </w:rPr>
            </w:pPr>
          </w:p>
        </w:tc>
      </w:tr>
      <w:tr w:rsidR="00000000" w14:paraId="403B6641" w14:textId="77777777">
        <w:trPr>
          <w:divId w:val="134569232"/>
        </w:trPr>
        <w:tc>
          <w:tcPr>
            <w:tcW w:w="0" w:type="auto"/>
            <w:gridSpan w:val="3"/>
            <w:shd w:val="clear" w:color="auto" w:fill="FFFFFF"/>
            <w:tcMar>
              <w:top w:w="30" w:type="dxa"/>
              <w:left w:w="20" w:type="dxa"/>
              <w:bottom w:w="30" w:type="dxa"/>
              <w:right w:w="20" w:type="dxa"/>
            </w:tcMar>
            <w:vAlign w:val="center"/>
            <w:hideMark/>
          </w:tcPr>
          <w:p w14:paraId="4D9D9ECF" w14:textId="77777777" w:rsidR="00000000" w:rsidRDefault="00A173A8">
            <w:pPr>
              <w:spacing w:after="100"/>
              <w:rPr>
                <w:rFonts w:eastAsia="Times New Roman"/>
              </w:rPr>
            </w:pPr>
            <w:r>
              <w:rPr>
                <w:rFonts w:eastAsia="Times New Roman"/>
                <w:color w:val="000000"/>
                <w:sz w:val="20"/>
                <w:szCs w:val="20"/>
              </w:rPr>
              <w:t>Allowance for credit losses</w:t>
            </w:r>
          </w:p>
        </w:tc>
        <w:tc>
          <w:tcPr>
            <w:tcW w:w="0" w:type="auto"/>
            <w:gridSpan w:val="3"/>
            <w:shd w:val="clear" w:color="auto" w:fill="FFFFFF"/>
            <w:tcMar>
              <w:top w:w="0" w:type="dxa"/>
              <w:left w:w="20" w:type="dxa"/>
              <w:bottom w:w="0" w:type="dxa"/>
              <w:right w:w="20" w:type="dxa"/>
            </w:tcMar>
            <w:vAlign w:val="center"/>
            <w:hideMark/>
          </w:tcPr>
          <w:p w14:paraId="32E23C46"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C2F1170"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4BCBE85" w14:textId="77777777" w:rsidR="00000000" w:rsidRDefault="00A173A8">
            <w:pPr>
              <w:spacing w:after="100"/>
              <w:jc w:val="right"/>
              <w:rPr>
                <w:rFonts w:eastAsia="Times New Roman"/>
              </w:rPr>
            </w:pPr>
            <w:r>
              <w:rPr>
                <w:rFonts w:eastAsia="Times New Roman"/>
                <w:b/>
                <w:bCs/>
                <w:color w:val="000000"/>
                <w:sz w:val="20"/>
                <w:szCs w:val="20"/>
              </w:rPr>
              <w:t>7,840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E5BD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343B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98A35D"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BFD3E5" w14:textId="77777777" w:rsidR="00000000" w:rsidRDefault="00A173A8">
            <w:pPr>
              <w:spacing w:after="100"/>
              <w:jc w:val="right"/>
              <w:rPr>
                <w:rFonts w:eastAsia="Times New Roman"/>
              </w:rPr>
            </w:pPr>
            <w:r>
              <w:rPr>
                <w:rFonts w:eastAsia="Times New Roman"/>
                <w:color w:val="000000"/>
                <w:sz w:val="20"/>
                <w:szCs w:val="20"/>
              </w:rPr>
              <w:t>7,968 </w:t>
            </w:r>
          </w:p>
        </w:tc>
        <w:tc>
          <w:tcPr>
            <w:tcW w:w="0" w:type="auto"/>
            <w:shd w:val="clear" w:color="auto" w:fill="FFFFFF"/>
            <w:tcMar>
              <w:top w:w="30" w:type="dxa"/>
              <w:left w:w="0" w:type="dxa"/>
              <w:bottom w:w="30" w:type="dxa"/>
              <w:right w:w="20" w:type="dxa"/>
            </w:tcMar>
            <w:vAlign w:val="bottom"/>
            <w:hideMark/>
          </w:tcPr>
          <w:p w14:paraId="0730B90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639C5"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25335AD" w14:textId="77777777" w:rsidR="00000000" w:rsidRDefault="00A173A8">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4D3EF21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AE1D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177C8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121FF0" w14:textId="77777777" w:rsidR="00000000" w:rsidRDefault="00A173A8">
            <w:pPr>
              <w:spacing w:after="100"/>
              <w:rPr>
                <w:rFonts w:eastAsia="Times New Roman"/>
                <w:sz w:val="20"/>
                <w:szCs w:val="20"/>
              </w:rPr>
            </w:pPr>
          </w:p>
        </w:tc>
        <w:tc>
          <w:tcPr>
            <w:tcW w:w="0" w:type="auto"/>
            <w:vAlign w:val="center"/>
            <w:hideMark/>
          </w:tcPr>
          <w:p w14:paraId="24602E8E" w14:textId="77777777" w:rsidR="00000000" w:rsidRDefault="00A173A8">
            <w:pPr>
              <w:spacing w:after="100"/>
              <w:rPr>
                <w:rFonts w:eastAsia="Times New Roman"/>
                <w:sz w:val="20"/>
                <w:szCs w:val="20"/>
              </w:rPr>
            </w:pPr>
          </w:p>
        </w:tc>
        <w:tc>
          <w:tcPr>
            <w:tcW w:w="0" w:type="auto"/>
            <w:vAlign w:val="center"/>
            <w:hideMark/>
          </w:tcPr>
          <w:p w14:paraId="18E6B48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A7BE8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456967" w14:textId="77777777" w:rsidR="00000000" w:rsidRDefault="00A173A8">
            <w:pPr>
              <w:spacing w:after="100"/>
              <w:rPr>
                <w:rFonts w:eastAsia="Times New Roman"/>
                <w:sz w:val="20"/>
                <w:szCs w:val="20"/>
              </w:rPr>
            </w:pPr>
          </w:p>
        </w:tc>
        <w:tc>
          <w:tcPr>
            <w:tcW w:w="0" w:type="auto"/>
            <w:gridSpan w:val="3"/>
            <w:vAlign w:val="center"/>
            <w:hideMark/>
          </w:tcPr>
          <w:p w14:paraId="54E99A3D" w14:textId="77777777" w:rsidR="00000000" w:rsidRDefault="00A173A8">
            <w:pPr>
              <w:spacing w:after="100"/>
              <w:rPr>
                <w:rFonts w:eastAsia="Times New Roman"/>
                <w:sz w:val="20"/>
                <w:szCs w:val="20"/>
              </w:rPr>
            </w:pPr>
          </w:p>
        </w:tc>
        <w:tc>
          <w:tcPr>
            <w:tcW w:w="0" w:type="auto"/>
            <w:gridSpan w:val="3"/>
            <w:vAlign w:val="center"/>
            <w:hideMark/>
          </w:tcPr>
          <w:p w14:paraId="20CEFFE3" w14:textId="77777777" w:rsidR="00000000" w:rsidRDefault="00A173A8">
            <w:pPr>
              <w:spacing w:after="100"/>
              <w:rPr>
                <w:rFonts w:eastAsia="Times New Roman"/>
                <w:sz w:val="20"/>
                <w:szCs w:val="20"/>
              </w:rPr>
            </w:pPr>
          </w:p>
        </w:tc>
      </w:tr>
      <w:tr w:rsidR="00000000" w14:paraId="609CB61C" w14:textId="77777777">
        <w:trPr>
          <w:divId w:val="134569232"/>
        </w:trPr>
        <w:tc>
          <w:tcPr>
            <w:tcW w:w="0" w:type="auto"/>
            <w:gridSpan w:val="3"/>
            <w:shd w:val="clear" w:color="auto" w:fill="CCEEFF"/>
            <w:tcMar>
              <w:top w:w="30" w:type="dxa"/>
              <w:left w:w="20" w:type="dxa"/>
              <w:bottom w:w="30" w:type="dxa"/>
              <w:right w:w="20" w:type="dxa"/>
            </w:tcMar>
            <w:vAlign w:val="center"/>
            <w:hideMark/>
          </w:tcPr>
          <w:p w14:paraId="41CEADB2" w14:textId="77777777" w:rsidR="00000000" w:rsidRDefault="00A173A8">
            <w:pPr>
              <w:spacing w:after="100"/>
              <w:rPr>
                <w:rFonts w:eastAsia="Times New Roman"/>
              </w:rPr>
            </w:pPr>
            <w:r>
              <w:rPr>
                <w:rFonts w:eastAsia="Times New Roman"/>
                <w:color w:val="000000"/>
                <w:sz w:val="20"/>
                <w:szCs w:val="20"/>
              </w:rPr>
              <w:t>Allowance coverage ratio</w:t>
            </w:r>
          </w:p>
        </w:tc>
        <w:tc>
          <w:tcPr>
            <w:tcW w:w="0" w:type="auto"/>
            <w:gridSpan w:val="3"/>
            <w:shd w:val="clear" w:color="auto" w:fill="CCEEFF"/>
            <w:tcMar>
              <w:top w:w="0" w:type="dxa"/>
              <w:left w:w="20" w:type="dxa"/>
              <w:bottom w:w="0" w:type="dxa"/>
              <w:right w:w="20" w:type="dxa"/>
            </w:tcMar>
            <w:vAlign w:val="center"/>
            <w:hideMark/>
          </w:tcPr>
          <w:p w14:paraId="30EA569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0898ED" w14:textId="77777777" w:rsidR="00000000" w:rsidRDefault="00A173A8">
            <w:pPr>
              <w:spacing w:after="100"/>
              <w:jc w:val="right"/>
              <w:rPr>
                <w:rFonts w:eastAsia="Times New Roman"/>
              </w:rPr>
            </w:pPr>
            <w:r>
              <w:rPr>
                <w:rFonts w:eastAsia="Times New Roman"/>
                <w:b/>
                <w:bCs/>
                <w:color w:val="000000"/>
                <w:sz w:val="20"/>
                <w:szCs w:val="20"/>
              </w:rPr>
              <w:t>6.82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DF8D2B"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03798F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FF5111B" w14:textId="77777777" w:rsidR="00000000" w:rsidRDefault="00A173A8">
            <w:pPr>
              <w:spacing w:after="100"/>
              <w:jc w:val="right"/>
              <w:rPr>
                <w:rFonts w:eastAsia="Times New Roman"/>
              </w:rPr>
            </w:pPr>
            <w:r>
              <w:rPr>
                <w:rFonts w:eastAsia="Times New Roman"/>
                <w:color w:val="000000"/>
                <w:sz w:val="20"/>
                <w:szCs w:val="20"/>
              </w:rPr>
              <w:t>7.33 </w:t>
            </w:r>
          </w:p>
        </w:tc>
        <w:tc>
          <w:tcPr>
            <w:tcW w:w="0" w:type="auto"/>
            <w:shd w:val="clear" w:color="auto" w:fill="CCEEFF"/>
            <w:tcMar>
              <w:top w:w="30" w:type="dxa"/>
              <w:left w:w="0" w:type="dxa"/>
              <w:bottom w:w="30" w:type="dxa"/>
              <w:right w:w="20" w:type="dxa"/>
            </w:tcMar>
            <w:vAlign w:val="bottom"/>
            <w:hideMark/>
          </w:tcPr>
          <w:p w14:paraId="479E0190"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3AED97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D97024" w14:textId="77777777" w:rsidR="00000000" w:rsidRDefault="00A173A8">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71AFDA9C"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shd w:val="clear" w:color="auto" w:fill="CCEEFF"/>
            <w:tcMar>
              <w:top w:w="0" w:type="dxa"/>
              <w:left w:w="20" w:type="dxa"/>
              <w:bottom w:w="0" w:type="dxa"/>
              <w:right w:w="20" w:type="dxa"/>
            </w:tcMar>
            <w:vAlign w:val="center"/>
            <w:hideMark/>
          </w:tcPr>
          <w:p w14:paraId="0262821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58A1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2F771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F96D72" w14:textId="77777777" w:rsidR="00000000" w:rsidRDefault="00A173A8">
            <w:pPr>
              <w:spacing w:after="100"/>
              <w:rPr>
                <w:rFonts w:eastAsia="Times New Roman"/>
                <w:sz w:val="20"/>
                <w:szCs w:val="20"/>
              </w:rPr>
            </w:pPr>
          </w:p>
        </w:tc>
        <w:tc>
          <w:tcPr>
            <w:tcW w:w="0" w:type="auto"/>
            <w:vAlign w:val="center"/>
            <w:hideMark/>
          </w:tcPr>
          <w:p w14:paraId="41E8AD6B" w14:textId="77777777" w:rsidR="00000000" w:rsidRDefault="00A173A8">
            <w:pPr>
              <w:spacing w:after="100"/>
              <w:rPr>
                <w:rFonts w:eastAsia="Times New Roman"/>
                <w:sz w:val="20"/>
                <w:szCs w:val="20"/>
              </w:rPr>
            </w:pPr>
          </w:p>
        </w:tc>
        <w:tc>
          <w:tcPr>
            <w:tcW w:w="0" w:type="auto"/>
            <w:vAlign w:val="center"/>
            <w:hideMark/>
          </w:tcPr>
          <w:p w14:paraId="1651B73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EE8E8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DF7B54" w14:textId="77777777" w:rsidR="00000000" w:rsidRDefault="00A173A8">
            <w:pPr>
              <w:spacing w:after="100"/>
              <w:rPr>
                <w:rFonts w:eastAsia="Times New Roman"/>
                <w:sz w:val="20"/>
                <w:szCs w:val="20"/>
              </w:rPr>
            </w:pPr>
          </w:p>
        </w:tc>
        <w:tc>
          <w:tcPr>
            <w:tcW w:w="0" w:type="auto"/>
            <w:gridSpan w:val="3"/>
            <w:vAlign w:val="center"/>
            <w:hideMark/>
          </w:tcPr>
          <w:p w14:paraId="198B49FE" w14:textId="77777777" w:rsidR="00000000" w:rsidRDefault="00A173A8">
            <w:pPr>
              <w:spacing w:after="100"/>
              <w:rPr>
                <w:rFonts w:eastAsia="Times New Roman"/>
                <w:sz w:val="20"/>
                <w:szCs w:val="20"/>
              </w:rPr>
            </w:pPr>
          </w:p>
        </w:tc>
        <w:tc>
          <w:tcPr>
            <w:tcW w:w="0" w:type="auto"/>
            <w:gridSpan w:val="3"/>
            <w:vAlign w:val="center"/>
            <w:hideMark/>
          </w:tcPr>
          <w:p w14:paraId="0FA24E26" w14:textId="77777777" w:rsidR="00000000" w:rsidRDefault="00A173A8">
            <w:pPr>
              <w:spacing w:after="100"/>
              <w:rPr>
                <w:rFonts w:eastAsia="Times New Roman"/>
                <w:sz w:val="20"/>
                <w:szCs w:val="20"/>
              </w:rPr>
            </w:pPr>
          </w:p>
        </w:tc>
      </w:tr>
    </w:tbl>
    <w:p w14:paraId="770333C0" w14:textId="77777777" w:rsidR="00000000" w:rsidRDefault="00A173A8">
      <w:pPr>
        <w:divId w:val="134569232"/>
        <w:rPr>
          <w:rFonts w:eastAsia="Times New Roman"/>
        </w:rPr>
      </w:pPr>
      <w:r>
        <w:rPr>
          <w:rFonts w:eastAsia="Times New Roman"/>
          <w:color w:val="000000"/>
          <w:sz w:val="20"/>
          <w:szCs w:val="20"/>
        </w:rPr>
        <w:t>__________</w:t>
      </w:r>
    </w:p>
    <w:p w14:paraId="50E535F3" w14:textId="77777777" w:rsidR="00000000" w:rsidRDefault="00A173A8">
      <w:pPr>
        <w:ind w:hanging="360"/>
        <w:jc w:val="both"/>
        <w:divId w:val="16654296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w:t>
      </w:r>
      <w:r>
        <w:rPr>
          <w:rFonts w:eastAsia="Times New Roman"/>
          <w:color w:val="000000"/>
          <w:sz w:val="16"/>
          <w:szCs w:val="16"/>
        </w:rPr>
        <w:t>-ended loans in accordance with the contractual provisions of the credit arrangements and charge off uncollectible amounts. Finance charges and fees charged off as uncollectible are reflected as a reduction in total net revenue.</w:t>
      </w:r>
    </w:p>
    <w:p w14:paraId="04538605" w14:textId="77777777" w:rsidR="00000000" w:rsidRDefault="00A173A8">
      <w:pPr>
        <w:ind w:hanging="360"/>
        <w:jc w:val="both"/>
        <w:divId w:val="26846679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w:t>
      </w:r>
      <w:r>
        <w:rPr>
          <w:rFonts w:eastAsia="Times New Roman"/>
          <w:color w:val="000000"/>
          <w:sz w:val="16"/>
          <w:szCs w:val="16"/>
        </w:rPr>
        <w:t>ted based on annualized interest income for the period divided by average loans during the period and does not include any allocations, such as funds transfer pricing.</w:t>
      </w:r>
    </w:p>
    <w:p w14:paraId="13492005" w14:textId="77777777" w:rsidR="00000000" w:rsidRDefault="00A173A8">
      <w:pPr>
        <w:ind w:hanging="360"/>
        <w:jc w:val="both"/>
        <w:divId w:val="85970147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Total net revenue margin is calculated based on annualized total net revenue for the </w:t>
      </w:r>
      <w:r>
        <w:rPr>
          <w:rFonts w:eastAsia="Times New Roman"/>
          <w:color w:val="000000"/>
          <w:sz w:val="16"/>
          <w:szCs w:val="16"/>
        </w:rPr>
        <w:t>period divided by average loans during the period.</w:t>
      </w:r>
    </w:p>
    <w:p w14:paraId="775E2E1D" w14:textId="77777777" w:rsidR="00000000" w:rsidRDefault="00A173A8">
      <w:pPr>
        <w:ind w:hanging="360"/>
        <w:jc w:val="both"/>
        <w:divId w:val="1002051180"/>
        <w:rPr>
          <w:rFonts w:eastAsia="Times New Roman"/>
        </w:rPr>
      </w:pPr>
      <w:r>
        <w:rPr>
          <w:rFonts w:eastAsia="Times New Roman"/>
          <w:color w:val="000000"/>
          <w:sz w:val="16"/>
          <w:szCs w:val="16"/>
        </w:rPr>
        <w:t>**    Not meaningful.</w:t>
      </w:r>
    </w:p>
    <w:p w14:paraId="731C079E" w14:textId="77777777" w:rsidR="00000000" w:rsidRDefault="00A173A8">
      <w:pPr>
        <w:ind w:hanging="360"/>
        <w:jc w:val="both"/>
        <w:divId w:val="1266840786"/>
        <w:rPr>
          <w:rFonts w:eastAsia="Times New Roman"/>
        </w:rPr>
      </w:pPr>
    </w:p>
    <w:p w14:paraId="155D269F" w14:textId="77777777" w:rsidR="00000000" w:rsidRDefault="00A173A8">
      <w:pPr>
        <w:divId w:val="1248615161"/>
        <w:rPr>
          <w:rFonts w:eastAsia="Times New Roman"/>
        </w:rPr>
      </w:pPr>
      <w:r>
        <w:rPr>
          <w:rFonts w:eastAsia="Times New Roman"/>
          <w:color w:val="000000"/>
          <w:sz w:val="20"/>
          <w:szCs w:val="20"/>
        </w:rPr>
        <w:t>Because our Domestic Card business accounts for the substantial majority of our Credit Card business, the key factors driving the results are similar to the key factors affecting ou</w:t>
      </w:r>
      <w:r>
        <w:rPr>
          <w:rFonts w:eastAsia="Times New Roman"/>
          <w:color w:val="000000"/>
          <w:sz w:val="20"/>
          <w:szCs w:val="20"/>
        </w:rPr>
        <w:t xml:space="preserve">r total Credit Card business. Net income for our Domestic Card business decreased in the second quarter of 2022 and in the first six months of 2022 compared to the second quarter of 2021 and in the first six months of 2021 primarily driven by: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1C20B01" w14:textId="77777777">
        <w:trPr>
          <w:divId w:val="842285366"/>
          <w:jc w:val="center"/>
        </w:trPr>
        <w:tc>
          <w:tcPr>
            <w:tcW w:w="50" w:type="pct"/>
            <w:vAlign w:val="center"/>
            <w:hideMark/>
          </w:tcPr>
          <w:p w14:paraId="319F5CBB" w14:textId="77777777" w:rsidR="00000000" w:rsidRDefault="00A173A8">
            <w:pPr>
              <w:rPr>
                <w:rFonts w:eastAsia="Times New Roman"/>
              </w:rPr>
            </w:pPr>
          </w:p>
        </w:tc>
        <w:tc>
          <w:tcPr>
            <w:tcW w:w="1606" w:type="pct"/>
            <w:vAlign w:val="center"/>
            <w:hideMark/>
          </w:tcPr>
          <w:p w14:paraId="49B549E6" w14:textId="77777777" w:rsidR="00000000" w:rsidRDefault="00A173A8">
            <w:pPr>
              <w:spacing w:after="100"/>
              <w:rPr>
                <w:rFonts w:eastAsia="Times New Roman"/>
                <w:sz w:val="20"/>
                <w:szCs w:val="20"/>
              </w:rPr>
            </w:pPr>
          </w:p>
        </w:tc>
        <w:tc>
          <w:tcPr>
            <w:tcW w:w="5" w:type="pct"/>
            <w:vAlign w:val="center"/>
            <w:hideMark/>
          </w:tcPr>
          <w:p w14:paraId="4AE0DFD6" w14:textId="77777777" w:rsidR="00000000" w:rsidRDefault="00A173A8">
            <w:pPr>
              <w:spacing w:after="100"/>
              <w:rPr>
                <w:rFonts w:eastAsia="Times New Roman"/>
                <w:sz w:val="20"/>
                <w:szCs w:val="20"/>
              </w:rPr>
            </w:pPr>
          </w:p>
        </w:tc>
        <w:tc>
          <w:tcPr>
            <w:tcW w:w="50" w:type="pct"/>
            <w:vAlign w:val="center"/>
            <w:hideMark/>
          </w:tcPr>
          <w:p w14:paraId="2FF7E212" w14:textId="77777777" w:rsidR="00000000" w:rsidRDefault="00A173A8">
            <w:pPr>
              <w:spacing w:after="100"/>
              <w:rPr>
                <w:rFonts w:eastAsia="Times New Roman"/>
                <w:sz w:val="20"/>
                <w:szCs w:val="20"/>
              </w:rPr>
            </w:pPr>
          </w:p>
        </w:tc>
        <w:tc>
          <w:tcPr>
            <w:tcW w:w="1614" w:type="pct"/>
            <w:vAlign w:val="center"/>
            <w:hideMark/>
          </w:tcPr>
          <w:p w14:paraId="53A89166" w14:textId="77777777" w:rsidR="00000000" w:rsidRDefault="00A173A8">
            <w:pPr>
              <w:spacing w:after="100"/>
              <w:rPr>
                <w:rFonts w:eastAsia="Times New Roman"/>
                <w:sz w:val="20"/>
                <w:szCs w:val="20"/>
              </w:rPr>
            </w:pPr>
          </w:p>
        </w:tc>
        <w:tc>
          <w:tcPr>
            <w:tcW w:w="5" w:type="pct"/>
            <w:vAlign w:val="center"/>
            <w:hideMark/>
          </w:tcPr>
          <w:p w14:paraId="04DECD20" w14:textId="77777777" w:rsidR="00000000" w:rsidRDefault="00A173A8">
            <w:pPr>
              <w:spacing w:after="100"/>
              <w:rPr>
                <w:rFonts w:eastAsia="Times New Roman"/>
                <w:sz w:val="20"/>
                <w:szCs w:val="20"/>
              </w:rPr>
            </w:pPr>
          </w:p>
        </w:tc>
        <w:tc>
          <w:tcPr>
            <w:tcW w:w="50" w:type="pct"/>
            <w:vAlign w:val="center"/>
            <w:hideMark/>
          </w:tcPr>
          <w:p w14:paraId="726FFAA5" w14:textId="77777777" w:rsidR="00000000" w:rsidRDefault="00A173A8">
            <w:pPr>
              <w:spacing w:after="100"/>
              <w:rPr>
                <w:rFonts w:eastAsia="Times New Roman"/>
                <w:sz w:val="20"/>
                <w:szCs w:val="20"/>
              </w:rPr>
            </w:pPr>
          </w:p>
        </w:tc>
        <w:tc>
          <w:tcPr>
            <w:tcW w:w="1614" w:type="pct"/>
            <w:vAlign w:val="center"/>
            <w:hideMark/>
          </w:tcPr>
          <w:p w14:paraId="4CEF8AB8" w14:textId="77777777" w:rsidR="00000000" w:rsidRDefault="00A173A8">
            <w:pPr>
              <w:spacing w:after="100"/>
              <w:rPr>
                <w:rFonts w:eastAsia="Times New Roman"/>
                <w:sz w:val="20"/>
                <w:szCs w:val="20"/>
              </w:rPr>
            </w:pPr>
          </w:p>
        </w:tc>
        <w:tc>
          <w:tcPr>
            <w:tcW w:w="5" w:type="pct"/>
            <w:vAlign w:val="center"/>
            <w:hideMark/>
          </w:tcPr>
          <w:p w14:paraId="1CA99B93" w14:textId="77777777" w:rsidR="00000000" w:rsidRDefault="00A173A8">
            <w:pPr>
              <w:spacing w:after="100"/>
              <w:rPr>
                <w:rFonts w:eastAsia="Times New Roman"/>
                <w:sz w:val="20"/>
                <w:szCs w:val="20"/>
              </w:rPr>
            </w:pPr>
          </w:p>
        </w:tc>
      </w:tr>
      <w:tr w:rsidR="00000000" w14:paraId="62789FE4" w14:textId="77777777">
        <w:trPr>
          <w:divId w:val="842285366"/>
          <w:trHeight w:val="300"/>
          <w:jc w:val="center"/>
        </w:trPr>
        <w:tc>
          <w:tcPr>
            <w:tcW w:w="0" w:type="auto"/>
            <w:gridSpan w:val="9"/>
            <w:tcMar>
              <w:top w:w="0" w:type="dxa"/>
              <w:left w:w="20" w:type="dxa"/>
              <w:bottom w:w="0" w:type="dxa"/>
              <w:right w:w="20" w:type="dxa"/>
            </w:tcMar>
            <w:vAlign w:val="center"/>
            <w:hideMark/>
          </w:tcPr>
          <w:p w14:paraId="7C2CEC78" w14:textId="77777777" w:rsidR="00000000" w:rsidRDefault="00A173A8">
            <w:pPr>
              <w:spacing w:after="100"/>
              <w:rPr>
                <w:rFonts w:eastAsia="Times New Roman"/>
                <w:sz w:val="20"/>
                <w:szCs w:val="20"/>
              </w:rPr>
            </w:pPr>
          </w:p>
        </w:tc>
      </w:tr>
      <w:tr w:rsidR="00000000" w14:paraId="53E9119C" w14:textId="77777777">
        <w:trPr>
          <w:divId w:val="842285366"/>
          <w:jc w:val="center"/>
        </w:trPr>
        <w:tc>
          <w:tcPr>
            <w:tcW w:w="0" w:type="auto"/>
            <w:gridSpan w:val="3"/>
            <w:tcMar>
              <w:top w:w="0" w:type="dxa"/>
              <w:left w:w="20" w:type="dxa"/>
              <w:bottom w:w="0" w:type="dxa"/>
              <w:right w:w="20" w:type="dxa"/>
            </w:tcMar>
            <w:vAlign w:val="center"/>
            <w:hideMark/>
          </w:tcPr>
          <w:p w14:paraId="489AE809"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C484EC" w14:textId="77777777" w:rsidR="00000000" w:rsidRDefault="00A173A8">
            <w:pPr>
              <w:spacing w:after="100"/>
              <w:jc w:val="center"/>
              <w:rPr>
                <w:rFonts w:eastAsia="Times New Roman"/>
              </w:rPr>
            </w:pPr>
            <w:r>
              <w:rPr>
                <w:rFonts w:eastAsia="Times New Roman"/>
                <w:color w:val="000000"/>
                <w:sz w:val="16"/>
                <w:szCs w:val="16"/>
              </w:rPr>
              <w:t>22</w:t>
            </w:r>
          </w:p>
        </w:tc>
        <w:tc>
          <w:tcPr>
            <w:tcW w:w="0" w:type="auto"/>
            <w:gridSpan w:val="3"/>
            <w:tcMar>
              <w:top w:w="30" w:type="dxa"/>
              <w:left w:w="20" w:type="dxa"/>
              <w:bottom w:w="30" w:type="dxa"/>
              <w:right w:w="20" w:type="dxa"/>
            </w:tcMar>
            <w:vAlign w:val="bottom"/>
            <w:hideMark/>
          </w:tcPr>
          <w:p w14:paraId="032C41E8"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F556D95" w14:textId="77777777" w:rsidR="00000000" w:rsidRDefault="00A173A8">
      <w:pPr>
        <w:rPr>
          <w:rFonts w:eastAsia="Times New Roman"/>
        </w:rPr>
      </w:pPr>
      <w:r>
        <w:rPr>
          <w:rFonts w:eastAsia="Times New Roman"/>
        </w:rPr>
        <w:pict w14:anchorId="63C9F29A">
          <v:rect id="_x0000_i1047" style="width:0;height:1.5pt" o:hralign="center" o:hrstd="t" o:hr="t" fillcolor="#a0a0a0" stroked="f"/>
        </w:pict>
      </w:r>
    </w:p>
    <w:p w14:paraId="7B59CAC9" w14:textId="77777777" w:rsidR="00000000" w:rsidRDefault="00A173A8">
      <w:pPr>
        <w:ind w:hanging="360"/>
        <w:jc w:val="both"/>
        <w:divId w:val="629751332"/>
        <w:rPr>
          <w:rFonts w:eastAsia="Times New Roman"/>
        </w:rPr>
      </w:pPr>
      <w:hyperlink w:anchor="i7ffd5d61af6f4722b1b1b07530d51c06_13" w:history="1">
        <w:r>
          <w:rPr>
            <w:rStyle w:val="a3"/>
            <w:rFonts w:eastAsia="Times New Roman"/>
            <w:sz w:val="16"/>
            <w:szCs w:val="16"/>
          </w:rPr>
          <w:t>Table of Contents</w:t>
        </w:r>
      </w:hyperlink>
    </w:p>
    <w:p w14:paraId="3EC5832C" w14:textId="77777777" w:rsidR="00000000" w:rsidRDefault="00A173A8">
      <w:pPr>
        <w:ind w:hanging="360"/>
        <w:divId w:val="830948617"/>
        <w:rPr>
          <w:rFonts w:eastAsia="Times New Roman"/>
        </w:rPr>
      </w:pPr>
      <w:r>
        <w:rPr>
          <w:rFonts w:eastAsia="Times New Roman"/>
          <w:b/>
          <w:bCs/>
          <w:color w:val="000000"/>
          <w:sz w:val="18"/>
          <w:szCs w:val="18"/>
        </w:rPr>
        <w:t>•</w:t>
      </w:r>
      <w:r>
        <w:rPr>
          <w:rFonts w:eastAsia="Times New Roman"/>
          <w:color w:val="000000"/>
          <w:sz w:val="20"/>
          <w:szCs w:val="20"/>
        </w:rPr>
        <w:t>Higher provision for credit losses as we had more modest allowance releases in 2022 due to continued strong credit performance, partially offs</w:t>
      </w:r>
      <w:r>
        <w:rPr>
          <w:rFonts w:eastAsia="Times New Roman"/>
          <w:color w:val="000000"/>
          <w:sz w:val="20"/>
          <w:szCs w:val="20"/>
        </w:rPr>
        <w:t>et by loan growth and continued economic uncertainty, compared to allowance releases in the first half of 2021.</w:t>
      </w:r>
    </w:p>
    <w:p w14:paraId="3A45F618" w14:textId="77777777" w:rsidR="00000000" w:rsidRDefault="00A173A8">
      <w:pPr>
        <w:ind w:hanging="360"/>
        <w:divId w:val="2097703245"/>
        <w:rPr>
          <w:rFonts w:eastAsia="Times New Roman"/>
        </w:rPr>
      </w:pPr>
      <w:r>
        <w:rPr>
          <w:rFonts w:eastAsia="Times New Roman"/>
          <w:b/>
          <w:bCs/>
          <w:color w:val="000000"/>
          <w:sz w:val="18"/>
          <w:szCs w:val="18"/>
        </w:rPr>
        <w:t>•</w:t>
      </w:r>
      <w:r>
        <w:rPr>
          <w:rFonts w:eastAsia="Times New Roman"/>
          <w:color w:val="000000"/>
          <w:sz w:val="20"/>
          <w:szCs w:val="20"/>
        </w:rPr>
        <w:t>Higher non-interest expense primarily driven by increased marketing spend.</w:t>
      </w:r>
    </w:p>
    <w:p w14:paraId="28FEB8A8" w14:textId="77777777" w:rsidR="00000000" w:rsidRDefault="00A173A8">
      <w:pPr>
        <w:divId w:val="1264341135"/>
        <w:rPr>
          <w:rFonts w:eastAsia="Times New Roman"/>
        </w:rPr>
      </w:pPr>
      <w:r>
        <w:rPr>
          <w:rFonts w:eastAsia="Times New Roman"/>
          <w:color w:val="000000"/>
          <w:sz w:val="20"/>
          <w:szCs w:val="20"/>
        </w:rPr>
        <w:t>These drivers were partially offset by:</w:t>
      </w:r>
    </w:p>
    <w:p w14:paraId="4EFED8E0" w14:textId="77777777" w:rsidR="00000000" w:rsidRDefault="00A173A8">
      <w:pPr>
        <w:ind w:hanging="360"/>
        <w:divId w:val="447774507"/>
        <w:rPr>
          <w:rFonts w:eastAsia="Times New Roman"/>
        </w:rPr>
      </w:pPr>
      <w:r>
        <w:rPr>
          <w:rFonts w:eastAsia="Times New Roman"/>
          <w:b/>
          <w:bCs/>
          <w:color w:val="000000"/>
          <w:sz w:val="18"/>
          <w:szCs w:val="18"/>
        </w:rPr>
        <w:t>•</w:t>
      </w:r>
      <w:r>
        <w:rPr>
          <w:rFonts w:eastAsia="Times New Roman"/>
          <w:color w:val="000000"/>
          <w:sz w:val="20"/>
          <w:szCs w:val="20"/>
        </w:rPr>
        <w:t>Higher net interest income primarily driven by higher average loan balances and higher margins.</w:t>
      </w:r>
    </w:p>
    <w:p w14:paraId="21D2ED08" w14:textId="77777777" w:rsidR="00000000" w:rsidRDefault="00A173A8">
      <w:pPr>
        <w:ind w:hanging="360"/>
        <w:jc w:val="both"/>
        <w:divId w:val="1227717990"/>
        <w:rPr>
          <w:rFonts w:eastAsia="Times New Roman"/>
        </w:rPr>
      </w:pPr>
      <w:r>
        <w:rPr>
          <w:rFonts w:eastAsia="Times New Roman"/>
          <w:color w:val="000000"/>
          <w:sz w:val="18"/>
          <w:szCs w:val="18"/>
        </w:rPr>
        <w:t>•</w:t>
      </w:r>
      <w:r>
        <w:rPr>
          <w:rFonts w:eastAsia="Times New Roman"/>
          <w:color w:val="000000"/>
          <w:sz w:val="20"/>
          <w:szCs w:val="20"/>
        </w:rPr>
        <w:t>Higher non-interest income primarily driven by higher net interchange fees due to an increase in purchase volume.</w:t>
      </w:r>
    </w:p>
    <w:p w14:paraId="33DC15B6" w14:textId="77777777" w:rsidR="00000000" w:rsidRDefault="00A173A8">
      <w:pPr>
        <w:divId w:val="1579942678"/>
        <w:rPr>
          <w:rFonts w:eastAsia="Times New Roman"/>
        </w:rPr>
      </w:pPr>
      <w:r>
        <w:rPr>
          <w:rFonts w:eastAsia="Times New Roman"/>
          <w:b/>
          <w:bCs/>
          <w:color w:val="000000"/>
          <w:sz w:val="20"/>
          <w:szCs w:val="20"/>
        </w:rPr>
        <w:t>Cons</w:t>
      </w:r>
      <w:r>
        <w:rPr>
          <w:rFonts w:eastAsia="Times New Roman"/>
          <w:b/>
          <w:bCs/>
          <w:color w:val="000000"/>
          <w:sz w:val="20"/>
          <w:szCs w:val="20"/>
        </w:rPr>
        <w:t>umer Banking Business</w:t>
      </w:r>
    </w:p>
    <w:p w14:paraId="1D39BDBD" w14:textId="77777777" w:rsidR="00000000" w:rsidRDefault="00A173A8">
      <w:pPr>
        <w:jc w:val="both"/>
        <w:divId w:val="1614242767"/>
        <w:rPr>
          <w:rFonts w:eastAsia="Times New Roman"/>
        </w:rPr>
      </w:pPr>
      <w:r>
        <w:rPr>
          <w:rFonts w:eastAsia="Times New Roman"/>
          <w:color w:val="000000"/>
          <w:sz w:val="20"/>
          <w:szCs w:val="20"/>
        </w:rPr>
        <w:t>The primary sources of revenue for our Consumer Banking business are net interest income from loans and deposits. Expenses primarily consist of the provision for credit losses, operating costs and marketing expenses.</w:t>
      </w:r>
    </w:p>
    <w:p w14:paraId="4B30AE3D" w14:textId="77777777" w:rsidR="00000000" w:rsidRDefault="00A173A8">
      <w:pPr>
        <w:jc w:val="both"/>
        <w:divId w:val="720518017"/>
        <w:rPr>
          <w:rFonts w:eastAsia="Times New Roman"/>
        </w:rPr>
      </w:pPr>
      <w:r>
        <w:rPr>
          <w:rFonts w:eastAsia="Times New Roman"/>
          <w:color w:val="000000"/>
          <w:sz w:val="20"/>
          <w:szCs w:val="20"/>
        </w:rPr>
        <w:t>Our Consumer Bank</w:t>
      </w:r>
      <w:r>
        <w:rPr>
          <w:rFonts w:eastAsia="Times New Roman"/>
          <w:color w:val="000000"/>
          <w:sz w:val="20"/>
          <w:szCs w:val="20"/>
        </w:rPr>
        <w:t>ing business generated net income from continuing operations of $516 million and $1.2 billion in the second quarter and first six months of 2022, respectively, and $1.1 billion and $2.0 billion in the second quarter and first six months of 2021, respective</w:t>
      </w:r>
      <w:r>
        <w:rPr>
          <w:rFonts w:eastAsia="Times New Roman"/>
          <w:color w:val="000000"/>
          <w:sz w:val="20"/>
          <w:szCs w:val="20"/>
        </w:rPr>
        <w:t>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5392D1F" w14:textId="77777777">
        <w:trPr>
          <w:divId w:val="2009599235"/>
          <w:jc w:val="center"/>
        </w:trPr>
        <w:tc>
          <w:tcPr>
            <w:tcW w:w="50" w:type="pct"/>
            <w:vAlign w:val="center"/>
            <w:hideMark/>
          </w:tcPr>
          <w:p w14:paraId="259924F1" w14:textId="77777777" w:rsidR="00000000" w:rsidRDefault="00A173A8">
            <w:pPr>
              <w:jc w:val="both"/>
              <w:rPr>
                <w:rFonts w:eastAsia="Times New Roman"/>
              </w:rPr>
            </w:pPr>
          </w:p>
        </w:tc>
        <w:tc>
          <w:tcPr>
            <w:tcW w:w="1606" w:type="pct"/>
            <w:vAlign w:val="center"/>
            <w:hideMark/>
          </w:tcPr>
          <w:p w14:paraId="7F2AEFAA" w14:textId="77777777" w:rsidR="00000000" w:rsidRDefault="00A173A8">
            <w:pPr>
              <w:spacing w:after="100"/>
              <w:rPr>
                <w:rFonts w:eastAsia="Times New Roman"/>
                <w:sz w:val="20"/>
                <w:szCs w:val="20"/>
              </w:rPr>
            </w:pPr>
          </w:p>
        </w:tc>
        <w:tc>
          <w:tcPr>
            <w:tcW w:w="5" w:type="pct"/>
            <w:vAlign w:val="center"/>
            <w:hideMark/>
          </w:tcPr>
          <w:p w14:paraId="2D393CDA" w14:textId="77777777" w:rsidR="00000000" w:rsidRDefault="00A173A8">
            <w:pPr>
              <w:spacing w:after="100"/>
              <w:rPr>
                <w:rFonts w:eastAsia="Times New Roman"/>
                <w:sz w:val="20"/>
                <w:szCs w:val="20"/>
              </w:rPr>
            </w:pPr>
          </w:p>
        </w:tc>
        <w:tc>
          <w:tcPr>
            <w:tcW w:w="50" w:type="pct"/>
            <w:vAlign w:val="center"/>
            <w:hideMark/>
          </w:tcPr>
          <w:p w14:paraId="07E046D9" w14:textId="77777777" w:rsidR="00000000" w:rsidRDefault="00A173A8">
            <w:pPr>
              <w:spacing w:after="100"/>
              <w:rPr>
                <w:rFonts w:eastAsia="Times New Roman"/>
                <w:sz w:val="20"/>
                <w:szCs w:val="20"/>
              </w:rPr>
            </w:pPr>
          </w:p>
        </w:tc>
        <w:tc>
          <w:tcPr>
            <w:tcW w:w="1614" w:type="pct"/>
            <w:vAlign w:val="center"/>
            <w:hideMark/>
          </w:tcPr>
          <w:p w14:paraId="420AA988" w14:textId="77777777" w:rsidR="00000000" w:rsidRDefault="00A173A8">
            <w:pPr>
              <w:spacing w:after="100"/>
              <w:rPr>
                <w:rFonts w:eastAsia="Times New Roman"/>
                <w:sz w:val="20"/>
                <w:szCs w:val="20"/>
              </w:rPr>
            </w:pPr>
          </w:p>
        </w:tc>
        <w:tc>
          <w:tcPr>
            <w:tcW w:w="5" w:type="pct"/>
            <w:vAlign w:val="center"/>
            <w:hideMark/>
          </w:tcPr>
          <w:p w14:paraId="2E1690D0" w14:textId="77777777" w:rsidR="00000000" w:rsidRDefault="00A173A8">
            <w:pPr>
              <w:spacing w:after="100"/>
              <w:rPr>
                <w:rFonts w:eastAsia="Times New Roman"/>
                <w:sz w:val="20"/>
                <w:szCs w:val="20"/>
              </w:rPr>
            </w:pPr>
          </w:p>
        </w:tc>
        <w:tc>
          <w:tcPr>
            <w:tcW w:w="50" w:type="pct"/>
            <w:vAlign w:val="center"/>
            <w:hideMark/>
          </w:tcPr>
          <w:p w14:paraId="32BE3D33" w14:textId="77777777" w:rsidR="00000000" w:rsidRDefault="00A173A8">
            <w:pPr>
              <w:spacing w:after="100"/>
              <w:rPr>
                <w:rFonts w:eastAsia="Times New Roman"/>
                <w:sz w:val="20"/>
                <w:szCs w:val="20"/>
              </w:rPr>
            </w:pPr>
          </w:p>
        </w:tc>
        <w:tc>
          <w:tcPr>
            <w:tcW w:w="1614" w:type="pct"/>
            <w:vAlign w:val="center"/>
            <w:hideMark/>
          </w:tcPr>
          <w:p w14:paraId="473EABDD" w14:textId="77777777" w:rsidR="00000000" w:rsidRDefault="00A173A8">
            <w:pPr>
              <w:spacing w:after="100"/>
              <w:rPr>
                <w:rFonts w:eastAsia="Times New Roman"/>
                <w:sz w:val="20"/>
                <w:szCs w:val="20"/>
              </w:rPr>
            </w:pPr>
          </w:p>
        </w:tc>
        <w:tc>
          <w:tcPr>
            <w:tcW w:w="5" w:type="pct"/>
            <w:vAlign w:val="center"/>
            <w:hideMark/>
          </w:tcPr>
          <w:p w14:paraId="4A540B0F" w14:textId="77777777" w:rsidR="00000000" w:rsidRDefault="00A173A8">
            <w:pPr>
              <w:spacing w:after="100"/>
              <w:rPr>
                <w:rFonts w:eastAsia="Times New Roman"/>
                <w:sz w:val="20"/>
                <w:szCs w:val="20"/>
              </w:rPr>
            </w:pPr>
          </w:p>
        </w:tc>
      </w:tr>
      <w:tr w:rsidR="00000000" w14:paraId="78443E94" w14:textId="77777777">
        <w:trPr>
          <w:divId w:val="2009599235"/>
          <w:trHeight w:val="300"/>
          <w:jc w:val="center"/>
        </w:trPr>
        <w:tc>
          <w:tcPr>
            <w:tcW w:w="0" w:type="auto"/>
            <w:gridSpan w:val="9"/>
            <w:tcMar>
              <w:top w:w="0" w:type="dxa"/>
              <w:left w:w="20" w:type="dxa"/>
              <w:bottom w:w="0" w:type="dxa"/>
              <w:right w:w="20" w:type="dxa"/>
            </w:tcMar>
            <w:vAlign w:val="center"/>
            <w:hideMark/>
          </w:tcPr>
          <w:p w14:paraId="4D84BC9A" w14:textId="77777777" w:rsidR="00000000" w:rsidRDefault="00A173A8">
            <w:pPr>
              <w:spacing w:after="100"/>
              <w:rPr>
                <w:rFonts w:eastAsia="Times New Roman"/>
                <w:sz w:val="20"/>
                <w:szCs w:val="20"/>
              </w:rPr>
            </w:pPr>
          </w:p>
        </w:tc>
      </w:tr>
      <w:tr w:rsidR="00000000" w14:paraId="3DACE610" w14:textId="77777777">
        <w:trPr>
          <w:divId w:val="2009599235"/>
          <w:jc w:val="center"/>
        </w:trPr>
        <w:tc>
          <w:tcPr>
            <w:tcW w:w="0" w:type="auto"/>
            <w:gridSpan w:val="3"/>
            <w:tcMar>
              <w:top w:w="0" w:type="dxa"/>
              <w:left w:w="20" w:type="dxa"/>
              <w:bottom w:w="0" w:type="dxa"/>
              <w:right w:w="20" w:type="dxa"/>
            </w:tcMar>
            <w:vAlign w:val="center"/>
            <w:hideMark/>
          </w:tcPr>
          <w:p w14:paraId="6D219D69"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DA0C9D8" w14:textId="77777777" w:rsidR="00000000" w:rsidRDefault="00A173A8">
            <w:pPr>
              <w:spacing w:after="100"/>
              <w:jc w:val="center"/>
              <w:rPr>
                <w:rFonts w:eastAsia="Times New Roman"/>
              </w:rPr>
            </w:pPr>
            <w:r>
              <w:rPr>
                <w:rFonts w:eastAsia="Times New Roman"/>
                <w:color w:val="000000"/>
                <w:sz w:val="16"/>
                <w:szCs w:val="16"/>
              </w:rPr>
              <w:t>23</w:t>
            </w:r>
          </w:p>
        </w:tc>
        <w:tc>
          <w:tcPr>
            <w:tcW w:w="0" w:type="auto"/>
            <w:gridSpan w:val="3"/>
            <w:tcMar>
              <w:top w:w="30" w:type="dxa"/>
              <w:left w:w="20" w:type="dxa"/>
              <w:bottom w:w="30" w:type="dxa"/>
              <w:right w:w="20" w:type="dxa"/>
            </w:tcMar>
            <w:vAlign w:val="bottom"/>
            <w:hideMark/>
          </w:tcPr>
          <w:p w14:paraId="5C6C3151"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D02D466" w14:textId="77777777" w:rsidR="00000000" w:rsidRDefault="00A173A8">
      <w:pPr>
        <w:rPr>
          <w:rFonts w:eastAsia="Times New Roman"/>
        </w:rPr>
      </w:pPr>
      <w:r>
        <w:rPr>
          <w:rFonts w:eastAsia="Times New Roman"/>
        </w:rPr>
        <w:pict w14:anchorId="556CF2FB">
          <v:rect id="_x0000_i1048" style="width:0;height:1.5pt" o:hralign="center" o:hrstd="t" o:hr="t" fillcolor="#a0a0a0" stroked="f"/>
        </w:pict>
      </w:r>
    </w:p>
    <w:p w14:paraId="609B05B3" w14:textId="77777777" w:rsidR="00000000" w:rsidRDefault="00A173A8">
      <w:pPr>
        <w:ind w:hanging="360"/>
        <w:jc w:val="both"/>
        <w:divId w:val="1144663996"/>
        <w:rPr>
          <w:rFonts w:eastAsia="Times New Roman"/>
        </w:rPr>
      </w:pPr>
      <w:hyperlink w:anchor="i7ffd5d61af6f4722b1b1b07530d51c06_13" w:history="1">
        <w:r>
          <w:rPr>
            <w:rStyle w:val="a3"/>
            <w:rFonts w:eastAsia="Times New Roman"/>
            <w:sz w:val="16"/>
            <w:szCs w:val="16"/>
          </w:rPr>
          <w:t>Table of Contents</w:t>
        </w:r>
      </w:hyperlink>
    </w:p>
    <w:p w14:paraId="36368A28" w14:textId="77777777" w:rsidR="00000000" w:rsidRDefault="00A173A8">
      <w:pPr>
        <w:jc w:val="both"/>
        <w:divId w:val="2037610910"/>
        <w:rPr>
          <w:rFonts w:eastAsia="Times New Roman"/>
        </w:rPr>
      </w:pPr>
      <w:r>
        <w:rPr>
          <w:rFonts w:eastAsia="Times New Roman"/>
          <w:color w:val="000000"/>
          <w:sz w:val="20"/>
          <w:szCs w:val="20"/>
        </w:rPr>
        <w:t>Table 10 summarizes the financial results of our Consumer Banking business and displays selected key metrics for the periods indicated.</w:t>
      </w:r>
    </w:p>
    <w:p w14:paraId="655EEA1C" w14:textId="77777777" w:rsidR="00000000" w:rsidRDefault="00A173A8">
      <w:pPr>
        <w:divId w:val="1359698124"/>
        <w:rPr>
          <w:rFonts w:eastAsia="Times New Roman"/>
        </w:rPr>
      </w:pPr>
      <w:r>
        <w:rPr>
          <w:rFonts w:eastAsia="Times New Roman"/>
          <w:b/>
          <w:bCs/>
          <w:color w:val="000000"/>
          <w:sz w:val="18"/>
          <w:szCs w:val="18"/>
        </w:rPr>
        <w:t>Table 1</w:t>
      </w:r>
      <w:r>
        <w:rPr>
          <w:rFonts w:eastAsia="Times New Roman"/>
          <w:b/>
          <w:bCs/>
          <w:color w:val="000000"/>
          <w:sz w:val="18"/>
          <w:szCs w:val="18"/>
        </w:rPr>
        <w:t>0: Consumer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1463"/>
        <w:gridCol w:w="39"/>
        <w:gridCol w:w="36"/>
        <w:gridCol w:w="36"/>
        <w:gridCol w:w="36"/>
        <w:gridCol w:w="121"/>
        <w:gridCol w:w="681"/>
        <w:gridCol w:w="222"/>
        <w:gridCol w:w="36"/>
        <w:gridCol w:w="36"/>
        <w:gridCol w:w="36"/>
        <w:gridCol w:w="120"/>
        <w:gridCol w:w="780"/>
        <w:gridCol w:w="189"/>
        <w:gridCol w:w="36"/>
        <w:gridCol w:w="36"/>
        <w:gridCol w:w="36"/>
        <w:gridCol w:w="81"/>
        <w:gridCol w:w="682"/>
        <w:gridCol w:w="38"/>
        <w:gridCol w:w="36"/>
        <w:gridCol w:w="36"/>
        <w:gridCol w:w="36"/>
        <w:gridCol w:w="121"/>
        <w:gridCol w:w="681"/>
        <w:gridCol w:w="222"/>
        <w:gridCol w:w="36"/>
        <w:gridCol w:w="36"/>
        <w:gridCol w:w="36"/>
        <w:gridCol w:w="120"/>
        <w:gridCol w:w="780"/>
        <w:gridCol w:w="189"/>
        <w:gridCol w:w="36"/>
        <w:gridCol w:w="36"/>
        <w:gridCol w:w="36"/>
        <w:gridCol w:w="36"/>
        <w:gridCol w:w="36"/>
        <w:gridCol w:w="82"/>
        <w:gridCol w:w="682"/>
        <w:gridCol w:w="36"/>
        <w:gridCol w:w="36"/>
        <w:gridCol w:w="36"/>
        <w:gridCol w:w="36"/>
        <w:gridCol w:w="36"/>
        <w:gridCol w:w="36"/>
        <w:gridCol w:w="36"/>
      </w:tblGrid>
      <w:tr w:rsidR="00000000" w14:paraId="5AF17609" w14:textId="77777777">
        <w:trPr>
          <w:divId w:val="189149186"/>
        </w:trPr>
        <w:tc>
          <w:tcPr>
            <w:tcW w:w="50" w:type="pct"/>
            <w:vAlign w:val="center"/>
            <w:hideMark/>
          </w:tcPr>
          <w:p w14:paraId="05481C40" w14:textId="77777777" w:rsidR="00000000" w:rsidRDefault="00A173A8">
            <w:pPr>
              <w:rPr>
                <w:rFonts w:eastAsia="Times New Roman"/>
              </w:rPr>
            </w:pPr>
          </w:p>
        </w:tc>
        <w:tc>
          <w:tcPr>
            <w:tcW w:w="1882" w:type="pct"/>
            <w:vAlign w:val="center"/>
            <w:hideMark/>
          </w:tcPr>
          <w:p w14:paraId="3A708231" w14:textId="77777777" w:rsidR="00000000" w:rsidRDefault="00A173A8">
            <w:pPr>
              <w:spacing w:after="100"/>
              <w:rPr>
                <w:rFonts w:eastAsia="Times New Roman"/>
                <w:sz w:val="20"/>
                <w:szCs w:val="20"/>
              </w:rPr>
            </w:pPr>
          </w:p>
        </w:tc>
        <w:tc>
          <w:tcPr>
            <w:tcW w:w="5" w:type="pct"/>
            <w:vAlign w:val="center"/>
            <w:hideMark/>
          </w:tcPr>
          <w:p w14:paraId="093F5B75" w14:textId="77777777" w:rsidR="00000000" w:rsidRDefault="00A173A8">
            <w:pPr>
              <w:spacing w:after="100"/>
              <w:rPr>
                <w:rFonts w:eastAsia="Times New Roman"/>
                <w:sz w:val="20"/>
                <w:szCs w:val="20"/>
              </w:rPr>
            </w:pPr>
          </w:p>
        </w:tc>
        <w:tc>
          <w:tcPr>
            <w:tcW w:w="5" w:type="pct"/>
            <w:vAlign w:val="center"/>
            <w:hideMark/>
          </w:tcPr>
          <w:p w14:paraId="5EA4602F" w14:textId="77777777" w:rsidR="00000000" w:rsidRDefault="00A173A8">
            <w:pPr>
              <w:spacing w:after="100"/>
              <w:rPr>
                <w:rFonts w:eastAsia="Times New Roman"/>
                <w:sz w:val="20"/>
                <w:szCs w:val="20"/>
              </w:rPr>
            </w:pPr>
          </w:p>
        </w:tc>
        <w:tc>
          <w:tcPr>
            <w:tcW w:w="26" w:type="pct"/>
            <w:vAlign w:val="center"/>
            <w:hideMark/>
          </w:tcPr>
          <w:p w14:paraId="630ACC41" w14:textId="77777777" w:rsidR="00000000" w:rsidRDefault="00A173A8">
            <w:pPr>
              <w:spacing w:after="100"/>
              <w:rPr>
                <w:rFonts w:eastAsia="Times New Roman"/>
                <w:sz w:val="20"/>
                <w:szCs w:val="20"/>
              </w:rPr>
            </w:pPr>
          </w:p>
        </w:tc>
        <w:tc>
          <w:tcPr>
            <w:tcW w:w="5" w:type="pct"/>
            <w:vAlign w:val="center"/>
            <w:hideMark/>
          </w:tcPr>
          <w:p w14:paraId="304ACA02" w14:textId="77777777" w:rsidR="00000000" w:rsidRDefault="00A173A8">
            <w:pPr>
              <w:spacing w:after="100"/>
              <w:rPr>
                <w:rFonts w:eastAsia="Times New Roman"/>
                <w:sz w:val="20"/>
                <w:szCs w:val="20"/>
              </w:rPr>
            </w:pPr>
          </w:p>
        </w:tc>
        <w:tc>
          <w:tcPr>
            <w:tcW w:w="50" w:type="pct"/>
            <w:vAlign w:val="center"/>
            <w:hideMark/>
          </w:tcPr>
          <w:p w14:paraId="403473E3" w14:textId="77777777" w:rsidR="00000000" w:rsidRDefault="00A173A8">
            <w:pPr>
              <w:spacing w:after="100"/>
              <w:rPr>
                <w:rFonts w:eastAsia="Times New Roman"/>
                <w:sz w:val="20"/>
                <w:szCs w:val="20"/>
              </w:rPr>
            </w:pPr>
          </w:p>
        </w:tc>
        <w:tc>
          <w:tcPr>
            <w:tcW w:w="420" w:type="pct"/>
            <w:vAlign w:val="center"/>
            <w:hideMark/>
          </w:tcPr>
          <w:p w14:paraId="374E980B" w14:textId="77777777" w:rsidR="00000000" w:rsidRDefault="00A173A8">
            <w:pPr>
              <w:spacing w:after="100"/>
              <w:rPr>
                <w:rFonts w:eastAsia="Times New Roman"/>
                <w:sz w:val="20"/>
                <w:szCs w:val="20"/>
              </w:rPr>
            </w:pPr>
          </w:p>
        </w:tc>
        <w:tc>
          <w:tcPr>
            <w:tcW w:w="5" w:type="pct"/>
            <w:vAlign w:val="center"/>
            <w:hideMark/>
          </w:tcPr>
          <w:p w14:paraId="5D2BA9E6" w14:textId="77777777" w:rsidR="00000000" w:rsidRDefault="00A173A8">
            <w:pPr>
              <w:spacing w:after="100"/>
              <w:rPr>
                <w:rFonts w:eastAsia="Times New Roman"/>
                <w:sz w:val="20"/>
                <w:szCs w:val="20"/>
              </w:rPr>
            </w:pPr>
          </w:p>
        </w:tc>
        <w:tc>
          <w:tcPr>
            <w:tcW w:w="5" w:type="pct"/>
            <w:vAlign w:val="center"/>
            <w:hideMark/>
          </w:tcPr>
          <w:p w14:paraId="6F21B677" w14:textId="77777777" w:rsidR="00000000" w:rsidRDefault="00A173A8">
            <w:pPr>
              <w:spacing w:after="100"/>
              <w:rPr>
                <w:rFonts w:eastAsia="Times New Roman"/>
                <w:sz w:val="20"/>
                <w:szCs w:val="20"/>
              </w:rPr>
            </w:pPr>
          </w:p>
        </w:tc>
        <w:tc>
          <w:tcPr>
            <w:tcW w:w="26" w:type="pct"/>
            <w:vAlign w:val="center"/>
            <w:hideMark/>
          </w:tcPr>
          <w:p w14:paraId="7B61F23B" w14:textId="77777777" w:rsidR="00000000" w:rsidRDefault="00A173A8">
            <w:pPr>
              <w:spacing w:after="100"/>
              <w:rPr>
                <w:rFonts w:eastAsia="Times New Roman"/>
                <w:sz w:val="20"/>
                <w:szCs w:val="20"/>
              </w:rPr>
            </w:pPr>
          </w:p>
        </w:tc>
        <w:tc>
          <w:tcPr>
            <w:tcW w:w="5" w:type="pct"/>
            <w:vAlign w:val="center"/>
            <w:hideMark/>
          </w:tcPr>
          <w:p w14:paraId="7796BD23" w14:textId="77777777" w:rsidR="00000000" w:rsidRDefault="00A173A8">
            <w:pPr>
              <w:spacing w:after="100"/>
              <w:rPr>
                <w:rFonts w:eastAsia="Times New Roman"/>
                <w:sz w:val="20"/>
                <w:szCs w:val="20"/>
              </w:rPr>
            </w:pPr>
          </w:p>
        </w:tc>
        <w:tc>
          <w:tcPr>
            <w:tcW w:w="50" w:type="pct"/>
            <w:vAlign w:val="center"/>
            <w:hideMark/>
          </w:tcPr>
          <w:p w14:paraId="6CE2E3B8" w14:textId="77777777" w:rsidR="00000000" w:rsidRDefault="00A173A8">
            <w:pPr>
              <w:spacing w:after="100"/>
              <w:rPr>
                <w:rFonts w:eastAsia="Times New Roman"/>
                <w:sz w:val="20"/>
                <w:szCs w:val="20"/>
              </w:rPr>
            </w:pPr>
          </w:p>
        </w:tc>
        <w:tc>
          <w:tcPr>
            <w:tcW w:w="420" w:type="pct"/>
            <w:vAlign w:val="center"/>
            <w:hideMark/>
          </w:tcPr>
          <w:p w14:paraId="5746FB5C" w14:textId="77777777" w:rsidR="00000000" w:rsidRDefault="00A173A8">
            <w:pPr>
              <w:spacing w:after="100"/>
              <w:rPr>
                <w:rFonts w:eastAsia="Times New Roman"/>
                <w:sz w:val="20"/>
                <w:szCs w:val="20"/>
              </w:rPr>
            </w:pPr>
          </w:p>
        </w:tc>
        <w:tc>
          <w:tcPr>
            <w:tcW w:w="5" w:type="pct"/>
            <w:vAlign w:val="center"/>
            <w:hideMark/>
          </w:tcPr>
          <w:p w14:paraId="5925D974" w14:textId="77777777" w:rsidR="00000000" w:rsidRDefault="00A173A8">
            <w:pPr>
              <w:spacing w:after="100"/>
              <w:rPr>
                <w:rFonts w:eastAsia="Times New Roman"/>
                <w:sz w:val="20"/>
                <w:szCs w:val="20"/>
              </w:rPr>
            </w:pPr>
          </w:p>
        </w:tc>
        <w:tc>
          <w:tcPr>
            <w:tcW w:w="5" w:type="pct"/>
            <w:vAlign w:val="center"/>
            <w:hideMark/>
          </w:tcPr>
          <w:p w14:paraId="1C141999" w14:textId="77777777" w:rsidR="00000000" w:rsidRDefault="00A173A8">
            <w:pPr>
              <w:spacing w:after="100"/>
              <w:rPr>
                <w:rFonts w:eastAsia="Times New Roman"/>
                <w:sz w:val="20"/>
                <w:szCs w:val="20"/>
              </w:rPr>
            </w:pPr>
          </w:p>
        </w:tc>
        <w:tc>
          <w:tcPr>
            <w:tcW w:w="26" w:type="pct"/>
            <w:vAlign w:val="center"/>
            <w:hideMark/>
          </w:tcPr>
          <w:p w14:paraId="4A26CFFC" w14:textId="77777777" w:rsidR="00000000" w:rsidRDefault="00A173A8">
            <w:pPr>
              <w:spacing w:after="100"/>
              <w:rPr>
                <w:rFonts w:eastAsia="Times New Roman"/>
                <w:sz w:val="20"/>
                <w:szCs w:val="20"/>
              </w:rPr>
            </w:pPr>
          </w:p>
        </w:tc>
        <w:tc>
          <w:tcPr>
            <w:tcW w:w="5" w:type="pct"/>
            <w:vAlign w:val="center"/>
            <w:hideMark/>
          </w:tcPr>
          <w:p w14:paraId="4E05C260" w14:textId="77777777" w:rsidR="00000000" w:rsidRDefault="00A173A8">
            <w:pPr>
              <w:spacing w:after="100"/>
              <w:rPr>
                <w:rFonts w:eastAsia="Times New Roman"/>
                <w:sz w:val="20"/>
                <w:szCs w:val="20"/>
              </w:rPr>
            </w:pPr>
          </w:p>
        </w:tc>
        <w:tc>
          <w:tcPr>
            <w:tcW w:w="50" w:type="pct"/>
            <w:vAlign w:val="center"/>
            <w:hideMark/>
          </w:tcPr>
          <w:p w14:paraId="4DFEAFD2" w14:textId="77777777" w:rsidR="00000000" w:rsidRDefault="00A173A8">
            <w:pPr>
              <w:spacing w:after="100"/>
              <w:rPr>
                <w:rFonts w:eastAsia="Times New Roman"/>
                <w:sz w:val="20"/>
                <w:szCs w:val="20"/>
              </w:rPr>
            </w:pPr>
          </w:p>
        </w:tc>
        <w:tc>
          <w:tcPr>
            <w:tcW w:w="420" w:type="pct"/>
            <w:vAlign w:val="center"/>
            <w:hideMark/>
          </w:tcPr>
          <w:p w14:paraId="3EABE80D" w14:textId="77777777" w:rsidR="00000000" w:rsidRDefault="00A173A8">
            <w:pPr>
              <w:spacing w:after="100"/>
              <w:rPr>
                <w:rFonts w:eastAsia="Times New Roman"/>
                <w:sz w:val="20"/>
                <w:szCs w:val="20"/>
              </w:rPr>
            </w:pPr>
          </w:p>
        </w:tc>
        <w:tc>
          <w:tcPr>
            <w:tcW w:w="5" w:type="pct"/>
            <w:vAlign w:val="center"/>
            <w:hideMark/>
          </w:tcPr>
          <w:p w14:paraId="63F20F9D" w14:textId="77777777" w:rsidR="00000000" w:rsidRDefault="00A173A8">
            <w:pPr>
              <w:spacing w:after="100"/>
              <w:rPr>
                <w:rFonts w:eastAsia="Times New Roman"/>
                <w:sz w:val="20"/>
                <w:szCs w:val="20"/>
              </w:rPr>
            </w:pPr>
          </w:p>
        </w:tc>
        <w:tc>
          <w:tcPr>
            <w:tcW w:w="5" w:type="pct"/>
            <w:vAlign w:val="center"/>
            <w:hideMark/>
          </w:tcPr>
          <w:p w14:paraId="584DF285" w14:textId="77777777" w:rsidR="00000000" w:rsidRDefault="00A173A8">
            <w:pPr>
              <w:spacing w:after="100"/>
              <w:rPr>
                <w:rFonts w:eastAsia="Times New Roman"/>
                <w:sz w:val="20"/>
                <w:szCs w:val="20"/>
              </w:rPr>
            </w:pPr>
          </w:p>
        </w:tc>
        <w:tc>
          <w:tcPr>
            <w:tcW w:w="26" w:type="pct"/>
            <w:vAlign w:val="center"/>
            <w:hideMark/>
          </w:tcPr>
          <w:p w14:paraId="415DB527" w14:textId="77777777" w:rsidR="00000000" w:rsidRDefault="00A173A8">
            <w:pPr>
              <w:spacing w:after="100"/>
              <w:rPr>
                <w:rFonts w:eastAsia="Times New Roman"/>
                <w:sz w:val="20"/>
                <w:szCs w:val="20"/>
              </w:rPr>
            </w:pPr>
          </w:p>
        </w:tc>
        <w:tc>
          <w:tcPr>
            <w:tcW w:w="5" w:type="pct"/>
            <w:vAlign w:val="center"/>
            <w:hideMark/>
          </w:tcPr>
          <w:p w14:paraId="42FB7508" w14:textId="77777777" w:rsidR="00000000" w:rsidRDefault="00A173A8">
            <w:pPr>
              <w:spacing w:after="100"/>
              <w:rPr>
                <w:rFonts w:eastAsia="Times New Roman"/>
                <w:sz w:val="20"/>
                <w:szCs w:val="20"/>
              </w:rPr>
            </w:pPr>
          </w:p>
        </w:tc>
        <w:tc>
          <w:tcPr>
            <w:tcW w:w="50" w:type="pct"/>
            <w:vAlign w:val="center"/>
            <w:hideMark/>
          </w:tcPr>
          <w:p w14:paraId="43C581E8" w14:textId="77777777" w:rsidR="00000000" w:rsidRDefault="00A173A8">
            <w:pPr>
              <w:spacing w:after="100"/>
              <w:rPr>
                <w:rFonts w:eastAsia="Times New Roman"/>
                <w:sz w:val="20"/>
                <w:szCs w:val="20"/>
              </w:rPr>
            </w:pPr>
          </w:p>
        </w:tc>
        <w:tc>
          <w:tcPr>
            <w:tcW w:w="412" w:type="pct"/>
            <w:vAlign w:val="center"/>
            <w:hideMark/>
          </w:tcPr>
          <w:p w14:paraId="0B157E7F" w14:textId="77777777" w:rsidR="00000000" w:rsidRDefault="00A173A8">
            <w:pPr>
              <w:spacing w:after="100"/>
              <w:rPr>
                <w:rFonts w:eastAsia="Times New Roman"/>
                <w:sz w:val="20"/>
                <w:szCs w:val="20"/>
              </w:rPr>
            </w:pPr>
          </w:p>
        </w:tc>
        <w:tc>
          <w:tcPr>
            <w:tcW w:w="5" w:type="pct"/>
            <w:vAlign w:val="center"/>
            <w:hideMark/>
          </w:tcPr>
          <w:p w14:paraId="52A2801D" w14:textId="77777777" w:rsidR="00000000" w:rsidRDefault="00A173A8">
            <w:pPr>
              <w:spacing w:after="100"/>
              <w:rPr>
                <w:rFonts w:eastAsia="Times New Roman"/>
                <w:sz w:val="20"/>
                <w:szCs w:val="20"/>
              </w:rPr>
            </w:pPr>
          </w:p>
        </w:tc>
        <w:tc>
          <w:tcPr>
            <w:tcW w:w="5" w:type="pct"/>
            <w:vAlign w:val="center"/>
            <w:hideMark/>
          </w:tcPr>
          <w:p w14:paraId="3F19B84B" w14:textId="77777777" w:rsidR="00000000" w:rsidRDefault="00A173A8">
            <w:pPr>
              <w:spacing w:after="100"/>
              <w:rPr>
                <w:rFonts w:eastAsia="Times New Roman"/>
                <w:sz w:val="20"/>
                <w:szCs w:val="20"/>
              </w:rPr>
            </w:pPr>
          </w:p>
        </w:tc>
        <w:tc>
          <w:tcPr>
            <w:tcW w:w="26" w:type="pct"/>
            <w:vAlign w:val="center"/>
            <w:hideMark/>
          </w:tcPr>
          <w:p w14:paraId="58BFF454" w14:textId="77777777" w:rsidR="00000000" w:rsidRDefault="00A173A8">
            <w:pPr>
              <w:spacing w:after="100"/>
              <w:rPr>
                <w:rFonts w:eastAsia="Times New Roman"/>
                <w:sz w:val="20"/>
                <w:szCs w:val="20"/>
              </w:rPr>
            </w:pPr>
          </w:p>
        </w:tc>
        <w:tc>
          <w:tcPr>
            <w:tcW w:w="5" w:type="pct"/>
            <w:vAlign w:val="center"/>
            <w:hideMark/>
          </w:tcPr>
          <w:p w14:paraId="570D279C" w14:textId="77777777" w:rsidR="00000000" w:rsidRDefault="00A173A8">
            <w:pPr>
              <w:spacing w:after="100"/>
              <w:rPr>
                <w:rFonts w:eastAsia="Times New Roman"/>
                <w:sz w:val="20"/>
                <w:szCs w:val="20"/>
              </w:rPr>
            </w:pPr>
          </w:p>
        </w:tc>
        <w:tc>
          <w:tcPr>
            <w:tcW w:w="50" w:type="pct"/>
            <w:vAlign w:val="center"/>
            <w:hideMark/>
          </w:tcPr>
          <w:p w14:paraId="2EB5777F" w14:textId="77777777" w:rsidR="00000000" w:rsidRDefault="00A173A8">
            <w:pPr>
              <w:spacing w:after="100"/>
              <w:rPr>
                <w:rFonts w:eastAsia="Times New Roman"/>
                <w:sz w:val="20"/>
                <w:szCs w:val="20"/>
              </w:rPr>
            </w:pPr>
          </w:p>
        </w:tc>
        <w:tc>
          <w:tcPr>
            <w:tcW w:w="420" w:type="pct"/>
            <w:vAlign w:val="center"/>
            <w:hideMark/>
          </w:tcPr>
          <w:p w14:paraId="02B6053A" w14:textId="77777777" w:rsidR="00000000" w:rsidRDefault="00A173A8">
            <w:pPr>
              <w:spacing w:after="100"/>
              <w:rPr>
                <w:rFonts w:eastAsia="Times New Roman"/>
                <w:sz w:val="20"/>
                <w:szCs w:val="20"/>
              </w:rPr>
            </w:pPr>
          </w:p>
        </w:tc>
        <w:tc>
          <w:tcPr>
            <w:tcW w:w="5" w:type="pct"/>
            <w:vAlign w:val="center"/>
            <w:hideMark/>
          </w:tcPr>
          <w:p w14:paraId="1BF33D7E" w14:textId="77777777" w:rsidR="00000000" w:rsidRDefault="00A173A8">
            <w:pPr>
              <w:spacing w:after="100"/>
              <w:rPr>
                <w:rFonts w:eastAsia="Times New Roman"/>
                <w:sz w:val="20"/>
                <w:szCs w:val="20"/>
              </w:rPr>
            </w:pPr>
          </w:p>
        </w:tc>
        <w:tc>
          <w:tcPr>
            <w:tcW w:w="0" w:type="auto"/>
            <w:vAlign w:val="center"/>
            <w:hideMark/>
          </w:tcPr>
          <w:p w14:paraId="5D8ABFD3" w14:textId="77777777" w:rsidR="00000000" w:rsidRDefault="00A173A8">
            <w:pPr>
              <w:spacing w:after="100"/>
              <w:rPr>
                <w:rFonts w:eastAsia="Times New Roman"/>
                <w:sz w:val="20"/>
                <w:szCs w:val="20"/>
              </w:rPr>
            </w:pPr>
          </w:p>
        </w:tc>
        <w:tc>
          <w:tcPr>
            <w:tcW w:w="0" w:type="auto"/>
            <w:vAlign w:val="center"/>
            <w:hideMark/>
          </w:tcPr>
          <w:p w14:paraId="2EEDE336" w14:textId="77777777" w:rsidR="00000000" w:rsidRDefault="00A173A8">
            <w:pPr>
              <w:spacing w:after="100"/>
              <w:rPr>
                <w:rFonts w:eastAsia="Times New Roman"/>
                <w:sz w:val="20"/>
                <w:szCs w:val="20"/>
              </w:rPr>
            </w:pPr>
          </w:p>
        </w:tc>
        <w:tc>
          <w:tcPr>
            <w:tcW w:w="5" w:type="pct"/>
            <w:vAlign w:val="center"/>
            <w:hideMark/>
          </w:tcPr>
          <w:p w14:paraId="7732551F" w14:textId="77777777" w:rsidR="00000000" w:rsidRDefault="00A173A8">
            <w:pPr>
              <w:spacing w:after="100"/>
              <w:rPr>
                <w:rFonts w:eastAsia="Times New Roman"/>
                <w:sz w:val="20"/>
                <w:szCs w:val="20"/>
              </w:rPr>
            </w:pPr>
          </w:p>
        </w:tc>
        <w:tc>
          <w:tcPr>
            <w:tcW w:w="26" w:type="pct"/>
            <w:vAlign w:val="center"/>
            <w:hideMark/>
          </w:tcPr>
          <w:p w14:paraId="60F8838A" w14:textId="77777777" w:rsidR="00000000" w:rsidRDefault="00A173A8">
            <w:pPr>
              <w:spacing w:after="100"/>
              <w:rPr>
                <w:rFonts w:eastAsia="Times New Roman"/>
                <w:sz w:val="20"/>
                <w:szCs w:val="20"/>
              </w:rPr>
            </w:pPr>
          </w:p>
        </w:tc>
        <w:tc>
          <w:tcPr>
            <w:tcW w:w="5" w:type="pct"/>
            <w:vAlign w:val="center"/>
            <w:hideMark/>
          </w:tcPr>
          <w:p w14:paraId="38DB39F2" w14:textId="77777777" w:rsidR="00000000" w:rsidRDefault="00A173A8">
            <w:pPr>
              <w:spacing w:after="100"/>
              <w:rPr>
                <w:rFonts w:eastAsia="Times New Roman"/>
                <w:sz w:val="20"/>
                <w:szCs w:val="20"/>
              </w:rPr>
            </w:pPr>
          </w:p>
        </w:tc>
        <w:tc>
          <w:tcPr>
            <w:tcW w:w="50" w:type="pct"/>
            <w:vAlign w:val="center"/>
            <w:hideMark/>
          </w:tcPr>
          <w:p w14:paraId="4D4AD992" w14:textId="77777777" w:rsidR="00000000" w:rsidRDefault="00A173A8">
            <w:pPr>
              <w:spacing w:after="100"/>
              <w:rPr>
                <w:rFonts w:eastAsia="Times New Roman"/>
                <w:sz w:val="20"/>
                <w:szCs w:val="20"/>
              </w:rPr>
            </w:pPr>
          </w:p>
        </w:tc>
        <w:tc>
          <w:tcPr>
            <w:tcW w:w="420" w:type="pct"/>
            <w:vAlign w:val="center"/>
            <w:hideMark/>
          </w:tcPr>
          <w:p w14:paraId="4B899C04" w14:textId="77777777" w:rsidR="00000000" w:rsidRDefault="00A173A8">
            <w:pPr>
              <w:spacing w:after="100"/>
              <w:rPr>
                <w:rFonts w:eastAsia="Times New Roman"/>
                <w:sz w:val="20"/>
                <w:szCs w:val="20"/>
              </w:rPr>
            </w:pPr>
          </w:p>
        </w:tc>
        <w:tc>
          <w:tcPr>
            <w:tcW w:w="5" w:type="pct"/>
            <w:vAlign w:val="center"/>
            <w:hideMark/>
          </w:tcPr>
          <w:p w14:paraId="79332775" w14:textId="77777777" w:rsidR="00000000" w:rsidRDefault="00A173A8">
            <w:pPr>
              <w:spacing w:after="100"/>
              <w:rPr>
                <w:rFonts w:eastAsia="Times New Roman"/>
                <w:sz w:val="20"/>
                <w:szCs w:val="20"/>
              </w:rPr>
            </w:pPr>
          </w:p>
        </w:tc>
        <w:tc>
          <w:tcPr>
            <w:tcW w:w="0" w:type="auto"/>
            <w:gridSpan w:val="3"/>
            <w:vAlign w:val="center"/>
            <w:hideMark/>
          </w:tcPr>
          <w:p w14:paraId="3A7DA3D2" w14:textId="77777777" w:rsidR="00000000" w:rsidRDefault="00A173A8">
            <w:pPr>
              <w:spacing w:after="100"/>
              <w:rPr>
                <w:rFonts w:eastAsia="Times New Roman"/>
                <w:sz w:val="20"/>
                <w:szCs w:val="20"/>
              </w:rPr>
            </w:pPr>
          </w:p>
        </w:tc>
        <w:tc>
          <w:tcPr>
            <w:tcW w:w="0" w:type="auto"/>
            <w:gridSpan w:val="3"/>
            <w:vAlign w:val="center"/>
            <w:hideMark/>
          </w:tcPr>
          <w:p w14:paraId="010293EC" w14:textId="77777777" w:rsidR="00000000" w:rsidRDefault="00A173A8">
            <w:pPr>
              <w:spacing w:after="100"/>
              <w:rPr>
                <w:rFonts w:eastAsia="Times New Roman"/>
                <w:sz w:val="20"/>
                <w:szCs w:val="20"/>
              </w:rPr>
            </w:pPr>
          </w:p>
        </w:tc>
      </w:tr>
      <w:tr w:rsidR="00000000" w14:paraId="7947199C" w14:textId="77777777">
        <w:trPr>
          <w:divId w:val="189149186"/>
        </w:trPr>
        <w:tc>
          <w:tcPr>
            <w:tcW w:w="0" w:type="auto"/>
            <w:gridSpan w:val="3"/>
            <w:tcMar>
              <w:top w:w="30" w:type="dxa"/>
              <w:left w:w="245" w:type="dxa"/>
              <w:bottom w:w="30" w:type="dxa"/>
              <w:right w:w="20" w:type="dxa"/>
            </w:tcMar>
            <w:vAlign w:val="bottom"/>
            <w:hideMark/>
          </w:tcPr>
          <w:p w14:paraId="7C4A250A"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37BD9E8" w14:textId="77777777" w:rsidR="00000000" w:rsidRDefault="00A173A8">
            <w:pPr>
              <w:spacing w:after="100"/>
              <w:rPr>
                <w:rFonts w:eastAsia="Times New Roman"/>
              </w:rPr>
            </w:pPr>
          </w:p>
        </w:tc>
        <w:tc>
          <w:tcPr>
            <w:tcW w:w="0" w:type="auto"/>
            <w:gridSpan w:val="15"/>
            <w:tcMar>
              <w:top w:w="30" w:type="dxa"/>
              <w:left w:w="20" w:type="dxa"/>
              <w:bottom w:w="30" w:type="dxa"/>
              <w:right w:w="20" w:type="dxa"/>
            </w:tcMar>
            <w:vAlign w:val="bottom"/>
            <w:hideMark/>
          </w:tcPr>
          <w:p w14:paraId="01637B11"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6074F039" w14:textId="77777777" w:rsidR="00000000" w:rsidRDefault="00A173A8">
            <w:pPr>
              <w:spacing w:after="100"/>
              <w:jc w:val="center"/>
              <w:rPr>
                <w:rFonts w:eastAsia="Times New Roman"/>
              </w:rPr>
            </w:pPr>
          </w:p>
        </w:tc>
        <w:tc>
          <w:tcPr>
            <w:tcW w:w="0" w:type="auto"/>
            <w:gridSpan w:val="11"/>
            <w:tcBorders>
              <w:bottom w:val="single" w:sz="8" w:space="0" w:color="000000"/>
            </w:tcBorders>
            <w:tcMar>
              <w:top w:w="30" w:type="dxa"/>
              <w:left w:w="20" w:type="dxa"/>
              <w:bottom w:w="30" w:type="dxa"/>
              <w:right w:w="20" w:type="dxa"/>
            </w:tcMar>
            <w:vAlign w:val="bottom"/>
            <w:hideMark/>
          </w:tcPr>
          <w:p w14:paraId="0130ABA1"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vAlign w:val="center"/>
            <w:hideMark/>
          </w:tcPr>
          <w:p w14:paraId="4334F42A" w14:textId="77777777" w:rsidR="00000000" w:rsidRDefault="00A173A8">
            <w:pPr>
              <w:spacing w:after="100"/>
              <w:rPr>
                <w:rFonts w:eastAsia="Times New Roman"/>
                <w:sz w:val="20"/>
                <w:szCs w:val="20"/>
              </w:rPr>
            </w:pPr>
          </w:p>
        </w:tc>
        <w:tc>
          <w:tcPr>
            <w:tcW w:w="0" w:type="auto"/>
            <w:vAlign w:val="center"/>
            <w:hideMark/>
          </w:tcPr>
          <w:p w14:paraId="6187BD55" w14:textId="77777777" w:rsidR="00000000" w:rsidRDefault="00A173A8">
            <w:pPr>
              <w:spacing w:after="100"/>
              <w:rPr>
                <w:rFonts w:eastAsia="Times New Roman"/>
                <w:sz w:val="20"/>
                <w:szCs w:val="20"/>
              </w:rPr>
            </w:pPr>
          </w:p>
        </w:tc>
        <w:tc>
          <w:tcPr>
            <w:tcW w:w="0" w:type="auto"/>
            <w:vAlign w:val="center"/>
            <w:hideMark/>
          </w:tcPr>
          <w:p w14:paraId="2F775586" w14:textId="77777777" w:rsidR="00000000" w:rsidRDefault="00A173A8">
            <w:pPr>
              <w:spacing w:after="100"/>
              <w:rPr>
                <w:rFonts w:eastAsia="Times New Roman"/>
                <w:sz w:val="20"/>
                <w:szCs w:val="20"/>
              </w:rPr>
            </w:pPr>
          </w:p>
        </w:tc>
        <w:tc>
          <w:tcPr>
            <w:tcW w:w="0" w:type="auto"/>
            <w:vAlign w:val="center"/>
            <w:hideMark/>
          </w:tcPr>
          <w:p w14:paraId="1018C1E3" w14:textId="77777777" w:rsidR="00000000" w:rsidRDefault="00A173A8">
            <w:pPr>
              <w:spacing w:after="100"/>
              <w:rPr>
                <w:rFonts w:eastAsia="Times New Roman"/>
                <w:sz w:val="20"/>
                <w:szCs w:val="20"/>
              </w:rPr>
            </w:pPr>
          </w:p>
        </w:tc>
        <w:tc>
          <w:tcPr>
            <w:tcW w:w="0" w:type="auto"/>
            <w:vAlign w:val="center"/>
            <w:hideMark/>
          </w:tcPr>
          <w:p w14:paraId="20D2CA87" w14:textId="77777777" w:rsidR="00000000" w:rsidRDefault="00A173A8">
            <w:pPr>
              <w:spacing w:after="100"/>
              <w:rPr>
                <w:rFonts w:eastAsia="Times New Roman"/>
                <w:sz w:val="20"/>
                <w:szCs w:val="20"/>
              </w:rPr>
            </w:pPr>
          </w:p>
        </w:tc>
        <w:tc>
          <w:tcPr>
            <w:tcW w:w="0" w:type="auto"/>
            <w:vAlign w:val="center"/>
            <w:hideMark/>
          </w:tcPr>
          <w:p w14:paraId="51B06533" w14:textId="77777777" w:rsidR="00000000" w:rsidRDefault="00A173A8">
            <w:pPr>
              <w:spacing w:after="100"/>
              <w:rPr>
                <w:rFonts w:eastAsia="Times New Roman"/>
                <w:sz w:val="20"/>
                <w:szCs w:val="20"/>
              </w:rPr>
            </w:pPr>
          </w:p>
        </w:tc>
        <w:tc>
          <w:tcPr>
            <w:tcW w:w="0" w:type="auto"/>
            <w:vAlign w:val="center"/>
            <w:hideMark/>
          </w:tcPr>
          <w:p w14:paraId="77272C4B" w14:textId="77777777" w:rsidR="00000000" w:rsidRDefault="00A173A8">
            <w:pPr>
              <w:spacing w:after="100"/>
              <w:rPr>
                <w:rFonts w:eastAsia="Times New Roman"/>
                <w:sz w:val="20"/>
                <w:szCs w:val="20"/>
              </w:rPr>
            </w:pPr>
          </w:p>
        </w:tc>
        <w:tc>
          <w:tcPr>
            <w:tcW w:w="0" w:type="auto"/>
            <w:vAlign w:val="center"/>
            <w:hideMark/>
          </w:tcPr>
          <w:p w14:paraId="34DB2020" w14:textId="77777777" w:rsidR="00000000" w:rsidRDefault="00A173A8">
            <w:pPr>
              <w:spacing w:after="100"/>
              <w:rPr>
                <w:rFonts w:eastAsia="Times New Roman"/>
                <w:sz w:val="20"/>
                <w:szCs w:val="20"/>
              </w:rPr>
            </w:pPr>
          </w:p>
        </w:tc>
        <w:tc>
          <w:tcPr>
            <w:tcW w:w="0" w:type="auto"/>
            <w:vAlign w:val="center"/>
            <w:hideMark/>
          </w:tcPr>
          <w:p w14:paraId="556C2E3C" w14:textId="77777777" w:rsidR="00000000" w:rsidRDefault="00A173A8">
            <w:pPr>
              <w:spacing w:after="100"/>
              <w:rPr>
                <w:rFonts w:eastAsia="Times New Roman"/>
                <w:sz w:val="20"/>
                <w:szCs w:val="20"/>
              </w:rPr>
            </w:pPr>
          </w:p>
        </w:tc>
        <w:tc>
          <w:tcPr>
            <w:tcW w:w="0" w:type="auto"/>
            <w:vAlign w:val="center"/>
            <w:hideMark/>
          </w:tcPr>
          <w:p w14:paraId="32369FFF" w14:textId="77777777" w:rsidR="00000000" w:rsidRDefault="00A173A8">
            <w:pPr>
              <w:spacing w:after="100"/>
              <w:rPr>
                <w:rFonts w:eastAsia="Times New Roman"/>
                <w:sz w:val="20"/>
                <w:szCs w:val="20"/>
              </w:rPr>
            </w:pPr>
          </w:p>
        </w:tc>
        <w:tc>
          <w:tcPr>
            <w:tcW w:w="0" w:type="auto"/>
            <w:vAlign w:val="center"/>
            <w:hideMark/>
          </w:tcPr>
          <w:p w14:paraId="74A4B833" w14:textId="77777777" w:rsidR="00000000" w:rsidRDefault="00A173A8">
            <w:pPr>
              <w:spacing w:after="100"/>
              <w:rPr>
                <w:rFonts w:eastAsia="Times New Roman"/>
                <w:sz w:val="20"/>
                <w:szCs w:val="20"/>
              </w:rPr>
            </w:pPr>
          </w:p>
        </w:tc>
        <w:tc>
          <w:tcPr>
            <w:tcW w:w="0" w:type="auto"/>
            <w:vAlign w:val="center"/>
            <w:hideMark/>
          </w:tcPr>
          <w:p w14:paraId="6E3B7010" w14:textId="77777777" w:rsidR="00000000" w:rsidRDefault="00A173A8">
            <w:pPr>
              <w:spacing w:after="100"/>
              <w:rPr>
                <w:rFonts w:eastAsia="Times New Roman"/>
                <w:sz w:val="20"/>
                <w:szCs w:val="20"/>
              </w:rPr>
            </w:pPr>
          </w:p>
        </w:tc>
      </w:tr>
      <w:tr w:rsidR="00000000" w14:paraId="32C2EC67" w14:textId="77777777">
        <w:trPr>
          <w:divId w:val="189149186"/>
        </w:trPr>
        <w:tc>
          <w:tcPr>
            <w:tcW w:w="0" w:type="auto"/>
            <w:gridSpan w:val="3"/>
            <w:tcMar>
              <w:top w:w="30" w:type="dxa"/>
              <w:left w:w="20" w:type="dxa"/>
              <w:bottom w:w="30" w:type="dxa"/>
              <w:right w:w="20" w:type="dxa"/>
            </w:tcMar>
            <w:vAlign w:val="bottom"/>
            <w:hideMark/>
          </w:tcPr>
          <w:p w14:paraId="37AE62FE"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381884B6"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A81D2D"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F73FFC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27F9C9"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48A69053"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FBA72E"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2949603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FBC80F"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C36D14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064A01"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52520CB0" w14:textId="77777777" w:rsidR="00000000" w:rsidRDefault="00A173A8">
            <w:pPr>
              <w:spacing w:after="100"/>
              <w:jc w:val="center"/>
              <w:rPr>
                <w:rFonts w:eastAsia="Times New Roman"/>
              </w:rPr>
            </w:pPr>
          </w:p>
        </w:tc>
        <w:tc>
          <w:tcPr>
            <w:tcW w:w="0" w:type="auto"/>
            <w:vAlign w:val="center"/>
            <w:hideMark/>
          </w:tcPr>
          <w:p w14:paraId="30BD8D63"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E5D372"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5EDBD5D"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3C8689DA" w14:textId="77777777" w:rsidR="00000000" w:rsidRDefault="00A173A8">
            <w:pPr>
              <w:spacing w:after="100"/>
              <w:rPr>
                <w:rFonts w:eastAsia="Times New Roman"/>
                <w:sz w:val="20"/>
                <w:szCs w:val="20"/>
              </w:rPr>
            </w:pPr>
          </w:p>
        </w:tc>
        <w:tc>
          <w:tcPr>
            <w:tcW w:w="0" w:type="auto"/>
            <w:vAlign w:val="center"/>
            <w:hideMark/>
          </w:tcPr>
          <w:p w14:paraId="10634DC9" w14:textId="77777777" w:rsidR="00000000" w:rsidRDefault="00A173A8">
            <w:pPr>
              <w:spacing w:after="100"/>
              <w:rPr>
                <w:rFonts w:eastAsia="Times New Roman"/>
                <w:sz w:val="20"/>
                <w:szCs w:val="20"/>
              </w:rPr>
            </w:pPr>
          </w:p>
        </w:tc>
        <w:tc>
          <w:tcPr>
            <w:tcW w:w="0" w:type="auto"/>
            <w:vAlign w:val="center"/>
            <w:hideMark/>
          </w:tcPr>
          <w:p w14:paraId="4CABC67A" w14:textId="77777777" w:rsidR="00000000" w:rsidRDefault="00A173A8">
            <w:pPr>
              <w:spacing w:after="100"/>
              <w:rPr>
                <w:rFonts w:eastAsia="Times New Roman"/>
                <w:sz w:val="20"/>
                <w:szCs w:val="20"/>
              </w:rPr>
            </w:pPr>
          </w:p>
        </w:tc>
        <w:tc>
          <w:tcPr>
            <w:tcW w:w="0" w:type="auto"/>
            <w:vAlign w:val="center"/>
            <w:hideMark/>
          </w:tcPr>
          <w:p w14:paraId="74EA0178" w14:textId="77777777" w:rsidR="00000000" w:rsidRDefault="00A173A8">
            <w:pPr>
              <w:spacing w:after="100"/>
              <w:rPr>
                <w:rFonts w:eastAsia="Times New Roman"/>
                <w:sz w:val="20"/>
                <w:szCs w:val="20"/>
              </w:rPr>
            </w:pPr>
          </w:p>
        </w:tc>
        <w:tc>
          <w:tcPr>
            <w:tcW w:w="0" w:type="auto"/>
            <w:vAlign w:val="center"/>
            <w:hideMark/>
          </w:tcPr>
          <w:p w14:paraId="50475FEA" w14:textId="77777777" w:rsidR="00000000" w:rsidRDefault="00A173A8">
            <w:pPr>
              <w:spacing w:after="100"/>
              <w:rPr>
                <w:rFonts w:eastAsia="Times New Roman"/>
                <w:sz w:val="20"/>
                <w:szCs w:val="20"/>
              </w:rPr>
            </w:pPr>
          </w:p>
        </w:tc>
        <w:tc>
          <w:tcPr>
            <w:tcW w:w="0" w:type="auto"/>
            <w:vAlign w:val="center"/>
            <w:hideMark/>
          </w:tcPr>
          <w:p w14:paraId="5D376FA5" w14:textId="77777777" w:rsidR="00000000" w:rsidRDefault="00A173A8">
            <w:pPr>
              <w:spacing w:after="100"/>
              <w:rPr>
                <w:rFonts w:eastAsia="Times New Roman"/>
                <w:sz w:val="20"/>
                <w:szCs w:val="20"/>
              </w:rPr>
            </w:pPr>
          </w:p>
        </w:tc>
      </w:tr>
      <w:tr w:rsidR="00000000" w14:paraId="554C1ECA" w14:textId="77777777">
        <w:trPr>
          <w:divId w:val="1891491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AF3EEA0" w14:textId="77777777" w:rsidR="00000000" w:rsidRDefault="00A173A8">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14:paraId="7B166DB4"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7B7CB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6C48B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2EF60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A0C74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08CD4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B6D26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B2EEE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839E7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63C5FA" w14:textId="77777777" w:rsidR="00000000" w:rsidRDefault="00A173A8">
            <w:pPr>
              <w:spacing w:after="100"/>
              <w:rPr>
                <w:rFonts w:eastAsia="Times New Roman"/>
                <w:sz w:val="20"/>
                <w:szCs w:val="20"/>
              </w:rPr>
            </w:pPr>
          </w:p>
        </w:tc>
        <w:tc>
          <w:tcPr>
            <w:tcW w:w="0" w:type="auto"/>
            <w:vAlign w:val="center"/>
            <w:hideMark/>
          </w:tcPr>
          <w:p w14:paraId="1FAEEAE1" w14:textId="77777777" w:rsidR="00000000" w:rsidRDefault="00A173A8">
            <w:pPr>
              <w:spacing w:after="100"/>
              <w:rPr>
                <w:rFonts w:eastAsia="Times New Roman"/>
                <w:sz w:val="20"/>
                <w:szCs w:val="20"/>
              </w:rPr>
            </w:pPr>
          </w:p>
        </w:tc>
        <w:tc>
          <w:tcPr>
            <w:tcW w:w="0" w:type="auto"/>
            <w:vAlign w:val="center"/>
            <w:hideMark/>
          </w:tcPr>
          <w:p w14:paraId="1475722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A9601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D934D8" w14:textId="77777777" w:rsidR="00000000" w:rsidRDefault="00A173A8">
            <w:pPr>
              <w:spacing w:after="100"/>
              <w:rPr>
                <w:rFonts w:eastAsia="Times New Roman"/>
                <w:sz w:val="20"/>
                <w:szCs w:val="20"/>
              </w:rPr>
            </w:pPr>
          </w:p>
        </w:tc>
        <w:tc>
          <w:tcPr>
            <w:tcW w:w="0" w:type="auto"/>
            <w:gridSpan w:val="3"/>
            <w:vAlign w:val="center"/>
            <w:hideMark/>
          </w:tcPr>
          <w:p w14:paraId="6BCD0321" w14:textId="77777777" w:rsidR="00000000" w:rsidRDefault="00A173A8">
            <w:pPr>
              <w:spacing w:after="100"/>
              <w:rPr>
                <w:rFonts w:eastAsia="Times New Roman"/>
                <w:sz w:val="20"/>
                <w:szCs w:val="20"/>
              </w:rPr>
            </w:pPr>
          </w:p>
        </w:tc>
        <w:tc>
          <w:tcPr>
            <w:tcW w:w="0" w:type="auto"/>
            <w:gridSpan w:val="3"/>
            <w:vAlign w:val="center"/>
            <w:hideMark/>
          </w:tcPr>
          <w:p w14:paraId="32FDFFD3" w14:textId="77777777" w:rsidR="00000000" w:rsidRDefault="00A173A8">
            <w:pPr>
              <w:spacing w:after="100"/>
              <w:rPr>
                <w:rFonts w:eastAsia="Times New Roman"/>
                <w:sz w:val="20"/>
                <w:szCs w:val="20"/>
              </w:rPr>
            </w:pPr>
          </w:p>
        </w:tc>
      </w:tr>
      <w:tr w:rsidR="00000000" w14:paraId="170D789D" w14:textId="77777777">
        <w:trPr>
          <w:divId w:val="189149186"/>
        </w:trPr>
        <w:tc>
          <w:tcPr>
            <w:tcW w:w="0" w:type="auto"/>
            <w:gridSpan w:val="3"/>
            <w:shd w:val="clear" w:color="auto" w:fill="FFFFFF"/>
            <w:tcMar>
              <w:top w:w="30" w:type="dxa"/>
              <w:left w:w="20" w:type="dxa"/>
              <w:bottom w:w="30" w:type="dxa"/>
              <w:right w:w="20" w:type="dxa"/>
            </w:tcMar>
            <w:vAlign w:val="center"/>
            <w:hideMark/>
          </w:tcPr>
          <w:p w14:paraId="6445FCC1" w14:textId="77777777" w:rsidR="00000000" w:rsidRDefault="00A173A8">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14:paraId="6BFE5BFE"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81BFDFC"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4EB76CE" w14:textId="77777777" w:rsidR="00000000" w:rsidRDefault="00A173A8">
            <w:pPr>
              <w:spacing w:after="100"/>
              <w:jc w:val="right"/>
              <w:rPr>
                <w:rFonts w:eastAsia="Times New Roman"/>
              </w:rPr>
            </w:pPr>
            <w:r>
              <w:rPr>
                <w:rFonts w:eastAsia="Times New Roman"/>
                <w:b/>
                <w:bCs/>
                <w:color w:val="000000"/>
                <w:sz w:val="20"/>
                <w:szCs w:val="20"/>
              </w:rPr>
              <w:t>2,147</w:t>
            </w:r>
          </w:p>
        </w:tc>
        <w:tc>
          <w:tcPr>
            <w:tcW w:w="0" w:type="auto"/>
            <w:gridSpan w:val="3"/>
            <w:shd w:val="clear" w:color="auto" w:fill="FFFFFF"/>
            <w:tcMar>
              <w:top w:w="0" w:type="dxa"/>
              <w:left w:w="20" w:type="dxa"/>
              <w:bottom w:w="0" w:type="dxa"/>
              <w:right w:w="20" w:type="dxa"/>
            </w:tcMar>
            <w:vAlign w:val="center"/>
            <w:hideMark/>
          </w:tcPr>
          <w:p w14:paraId="58397089"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E9F1E59"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95C095C" w14:textId="77777777" w:rsidR="00000000" w:rsidRDefault="00A173A8">
            <w:pPr>
              <w:spacing w:after="100"/>
              <w:jc w:val="right"/>
              <w:rPr>
                <w:rFonts w:eastAsia="Times New Roman"/>
              </w:rPr>
            </w:pPr>
            <w:r>
              <w:rPr>
                <w:rFonts w:eastAsia="Times New Roman"/>
                <w:color w:val="000000"/>
                <w:sz w:val="20"/>
                <w:szCs w:val="20"/>
              </w:rPr>
              <w:t>2,101</w:t>
            </w:r>
          </w:p>
        </w:tc>
        <w:tc>
          <w:tcPr>
            <w:tcW w:w="0" w:type="auto"/>
            <w:gridSpan w:val="3"/>
            <w:shd w:val="clear" w:color="auto" w:fill="FFFFFF"/>
            <w:tcMar>
              <w:top w:w="0" w:type="dxa"/>
              <w:left w:w="20" w:type="dxa"/>
              <w:bottom w:w="0" w:type="dxa"/>
              <w:right w:w="20" w:type="dxa"/>
            </w:tcMar>
            <w:vAlign w:val="center"/>
            <w:hideMark/>
          </w:tcPr>
          <w:p w14:paraId="4ADFDDC5"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094BB61F" w14:textId="77777777" w:rsidR="00000000" w:rsidRDefault="00A173A8">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14:paraId="389677CA"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F7E4085"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97E1ABD" w14:textId="77777777" w:rsidR="00000000" w:rsidRDefault="00A173A8">
            <w:pPr>
              <w:spacing w:after="100"/>
              <w:jc w:val="right"/>
              <w:rPr>
                <w:rFonts w:eastAsia="Times New Roman"/>
              </w:rPr>
            </w:pPr>
            <w:r>
              <w:rPr>
                <w:rFonts w:eastAsia="Times New Roman"/>
                <w:b/>
                <w:bCs/>
                <w:color w:val="000000"/>
                <w:sz w:val="20"/>
                <w:szCs w:val="20"/>
              </w:rPr>
              <w:t>4,260</w:t>
            </w:r>
          </w:p>
        </w:tc>
        <w:tc>
          <w:tcPr>
            <w:tcW w:w="0" w:type="auto"/>
            <w:gridSpan w:val="3"/>
            <w:shd w:val="clear" w:color="auto" w:fill="FFFFFF"/>
            <w:tcMar>
              <w:top w:w="0" w:type="dxa"/>
              <w:left w:w="20" w:type="dxa"/>
              <w:bottom w:w="0" w:type="dxa"/>
              <w:right w:w="20" w:type="dxa"/>
            </w:tcMar>
            <w:vAlign w:val="center"/>
            <w:hideMark/>
          </w:tcPr>
          <w:p w14:paraId="65D49834"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7DFF109"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52EC08F" w14:textId="77777777" w:rsidR="00000000" w:rsidRDefault="00A173A8">
            <w:pPr>
              <w:spacing w:after="100"/>
              <w:jc w:val="right"/>
              <w:rPr>
                <w:rFonts w:eastAsia="Times New Roman"/>
              </w:rPr>
            </w:pPr>
            <w:r>
              <w:rPr>
                <w:rFonts w:eastAsia="Times New Roman"/>
                <w:color w:val="000000"/>
                <w:sz w:val="20"/>
                <w:szCs w:val="20"/>
              </w:rPr>
              <w:t>4,131</w:t>
            </w:r>
          </w:p>
        </w:tc>
        <w:tc>
          <w:tcPr>
            <w:tcW w:w="0" w:type="auto"/>
            <w:vAlign w:val="center"/>
            <w:hideMark/>
          </w:tcPr>
          <w:p w14:paraId="7D9E0310" w14:textId="77777777" w:rsidR="00000000" w:rsidRDefault="00A173A8">
            <w:pPr>
              <w:spacing w:after="100"/>
              <w:jc w:val="right"/>
              <w:rPr>
                <w:rFonts w:eastAsia="Times New Roman"/>
              </w:rPr>
            </w:pPr>
          </w:p>
        </w:tc>
        <w:tc>
          <w:tcPr>
            <w:tcW w:w="0" w:type="auto"/>
            <w:vAlign w:val="center"/>
            <w:hideMark/>
          </w:tcPr>
          <w:p w14:paraId="31E88A3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0ABD70"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541255A4" w14:textId="77777777" w:rsidR="00000000" w:rsidRDefault="00A173A8">
            <w:pPr>
              <w:spacing w:after="100"/>
              <w:jc w:val="right"/>
              <w:rPr>
                <w:rFonts w:eastAsia="Times New Roman"/>
              </w:rPr>
            </w:pPr>
            <w:r>
              <w:rPr>
                <w:rFonts w:eastAsia="Times New Roman"/>
                <w:color w:val="000000"/>
                <w:sz w:val="20"/>
                <w:szCs w:val="20"/>
              </w:rPr>
              <w:t>3%</w:t>
            </w:r>
          </w:p>
        </w:tc>
        <w:tc>
          <w:tcPr>
            <w:tcW w:w="0" w:type="auto"/>
            <w:gridSpan w:val="3"/>
            <w:vAlign w:val="center"/>
            <w:hideMark/>
          </w:tcPr>
          <w:p w14:paraId="5E6C5A41" w14:textId="77777777" w:rsidR="00000000" w:rsidRDefault="00A173A8">
            <w:pPr>
              <w:spacing w:after="100"/>
              <w:jc w:val="right"/>
              <w:rPr>
                <w:rFonts w:eastAsia="Times New Roman"/>
              </w:rPr>
            </w:pPr>
          </w:p>
        </w:tc>
        <w:tc>
          <w:tcPr>
            <w:tcW w:w="0" w:type="auto"/>
            <w:gridSpan w:val="3"/>
            <w:vAlign w:val="center"/>
            <w:hideMark/>
          </w:tcPr>
          <w:p w14:paraId="7DCF5C1B" w14:textId="77777777" w:rsidR="00000000" w:rsidRDefault="00A173A8">
            <w:pPr>
              <w:spacing w:after="100"/>
              <w:rPr>
                <w:rFonts w:eastAsia="Times New Roman"/>
                <w:sz w:val="20"/>
                <w:szCs w:val="20"/>
              </w:rPr>
            </w:pPr>
          </w:p>
        </w:tc>
      </w:tr>
      <w:tr w:rsidR="00000000" w14:paraId="63D7D03F" w14:textId="77777777">
        <w:trPr>
          <w:divId w:val="189149186"/>
        </w:trPr>
        <w:tc>
          <w:tcPr>
            <w:tcW w:w="0" w:type="auto"/>
            <w:gridSpan w:val="3"/>
            <w:shd w:val="clear" w:color="auto" w:fill="CCEEFF"/>
            <w:tcMar>
              <w:top w:w="30" w:type="dxa"/>
              <w:left w:w="20" w:type="dxa"/>
              <w:bottom w:w="30" w:type="dxa"/>
              <w:right w:w="20" w:type="dxa"/>
            </w:tcMar>
            <w:vAlign w:val="center"/>
            <w:hideMark/>
          </w:tcPr>
          <w:p w14:paraId="7AD8DBCC" w14:textId="77777777" w:rsidR="00000000" w:rsidRDefault="00A173A8">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14:paraId="6C752D39"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654D752" w14:textId="77777777" w:rsidR="00000000" w:rsidRDefault="00A173A8">
            <w:pPr>
              <w:spacing w:after="100"/>
              <w:jc w:val="right"/>
              <w:rPr>
                <w:rFonts w:eastAsia="Times New Roman"/>
              </w:rPr>
            </w:pPr>
            <w:r>
              <w:rPr>
                <w:rFonts w:eastAsia="Times New Roman"/>
                <w:b/>
                <w:bCs/>
                <w:color w:val="000000"/>
                <w:sz w:val="20"/>
                <w:szCs w:val="20"/>
              </w:rPr>
              <w:t>96</w:t>
            </w:r>
          </w:p>
        </w:tc>
        <w:tc>
          <w:tcPr>
            <w:tcW w:w="0" w:type="auto"/>
            <w:gridSpan w:val="3"/>
            <w:shd w:val="clear" w:color="auto" w:fill="CCEEFF"/>
            <w:tcMar>
              <w:top w:w="0" w:type="dxa"/>
              <w:left w:w="20" w:type="dxa"/>
              <w:bottom w:w="0" w:type="dxa"/>
              <w:right w:w="20" w:type="dxa"/>
            </w:tcMar>
            <w:vAlign w:val="center"/>
            <w:hideMark/>
          </w:tcPr>
          <w:p w14:paraId="5FD5491E"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462E60F" w14:textId="77777777" w:rsidR="00000000" w:rsidRDefault="00A173A8">
            <w:pPr>
              <w:spacing w:after="100"/>
              <w:jc w:val="right"/>
              <w:rPr>
                <w:rFonts w:eastAsia="Times New Roman"/>
              </w:rPr>
            </w:pPr>
            <w:r>
              <w:rPr>
                <w:rFonts w:eastAsia="Times New Roman"/>
                <w:color w:val="000000"/>
                <w:sz w:val="20"/>
                <w:szCs w:val="20"/>
              </w:rPr>
              <w:t>144</w:t>
            </w:r>
          </w:p>
        </w:tc>
        <w:tc>
          <w:tcPr>
            <w:tcW w:w="0" w:type="auto"/>
            <w:gridSpan w:val="3"/>
            <w:shd w:val="clear" w:color="auto" w:fill="CCEEFF"/>
            <w:tcMar>
              <w:top w:w="0" w:type="dxa"/>
              <w:left w:w="20" w:type="dxa"/>
              <w:bottom w:w="0" w:type="dxa"/>
              <w:right w:w="20" w:type="dxa"/>
            </w:tcMar>
            <w:vAlign w:val="center"/>
            <w:hideMark/>
          </w:tcPr>
          <w:p w14:paraId="31207EFA"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46B41922" w14:textId="77777777" w:rsidR="00000000" w:rsidRDefault="00A173A8">
            <w:pPr>
              <w:spacing w:after="100"/>
              <w:jc w:val="right"/>
              <w:rPr>
                <w:rFonts w:eastAsia="Times New Roman"/>
              </w:rPr>
            </w:pPr>
            <w:r>
              <w:rPr>
                <w:rFonts w:eastAsia="Times New Roman"/>
                <w:color w:val="000000"/>
                <w:sz w:val="20"/>
                <w:szCs w:val="20"/>
              </w:rPr>
              <w:t>(33)</w:t>
            </w:r>
          </w:p>
        </w:tc>
        <w:tc>
          <w:tcPr>
            <w:tcW w:w="0" w:type="auto"/>
            <w:gridSpan w:val="3"/>
            <w:shd w:val="clear" w:color="auto" w:fill="CCEEFF"/>
            <w:tcMar>
              <w:top w:w="0" w:type="dxa"/>
              <w:left w:w="20" w:type="dxa"/>
              <w:bottom w:w="0" w:type="dxa"/>
              <w:right w:w="20" w:type="dxa"/>
            </w:tcMar>
            <w:vAlign w:val="center"/>
            <w:hideMark/>
          </w:tcPr>
          <w:p w14:paraId="0634FECD"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A1FC2F5" w14:textId="77777777" w:rsidR="00000000" w:rsidRDefault="00A173A8">
            <w:pPr>
              <w:spacing w:after="100"/>
              <w:jc w:val="right"/>
              <w:rPr>
                <w:rFonts w:eastAsia="Times New Roman"/>
              </w:rPr>
            </w:pPr>
            <w:r>
              <w:rPr>
                <w:rFonts w:eastAsia="Times New Roman"/>
                <w:b/>
                <w:bCs/>
                <w:color w:val="000000"/>
                <w:sz w:val="20"/>
                <w:szCs w:val="20"/>
              </w:rPr>
              <w:t>201</w:t>
            </w:r>
          </w:p>
        </w:tc>
        <w:tc>
          <w:tcPr>
            <w:tcW w:w="0" w:type="auto"/>
            <w:gridSpan w:val="3"/>
            <w:shd w:val="clear" w:color="auto" w:fill="CCEEFF"/>
            <w:tcMar>
              <w:top w:w="0" w:type="dxa"/>
              <w:left w:w="20" w:type="dxa"/>
              <w:bottom w:w="0" w:type="dxa"/>
              <w:right w:w="20" w:type="dxa"/>
            </w:tcMar>
            <w:vAlign w:val="center"/>
            <w:hideMark/>
          </w:tcPr>
          <w:p w14:paraId="6F870B97"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AD490D9" w14:textId="77777777" w:rsidR="00000000" w:rsidRDefault="00A173A8">
            <w:pPr>
              <w:spacing w:after="100"/>
              <w:jc w:val="right"/>
              <w:rPr>
                <w:rFonts w:eastAsia="Times New Roman"/>
              </w:rPr>
            </w:pPr>
            <w:r>
              <w:rPr>
                <w:rFonts w:eastAsia="Times New Roman"/>
                <w:color w:val="000000"/>
                <w:sz w:val="20"/>
                <w:szCs w:val="20"/>
              </w:rPr>
              <w:t>285</w:t>
            </w:r>
          </w:p>
        </w:tc>
        <w:tc>
          <w:tcPr>
            <w:tcW w:w="0" w:type="auto"/>
            <w:vAlign w:val="center"/>
            <w:hideMark/>
          </w:tcPr>
          <w:p w14:paraId="37C5AB60" w14:textId="77777777" w:rsidR="00000000" w:rsidRDefault="00A173A8">
            <w:pPr>
              <w:spacing w:after="100"/>
              <w:jc w:val="right"/>
              <w:rPr>
                <w:rFonts w:eastAsia="Times New Roman"/>
              </w:rPr>
            </w:pPr>
          </w:p>
        </w:tc>
        <w:tc>
          <w:tcPr>
            <w:tcW w:w="0" w:type="auto"/>
            <w:vAlign w:val="center"/>
            <w:hideMark/>
          </w:tcPr>
          <w:p w14:paraId="354C53D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397ABB"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54263C09" w14:textId="77777777" w:rsidR="00000000" w:rsidRDefault="00A173A8">
            <w:pPr>
              <w:spacing w:after="100"/>
              <w:jc w:val="right"/>
              <w:rPr>
                <w:rFonts w:eastAsia="Times New Roman"/>
              </w:rPr>
            </w:pPr>
            <w:r>
              <w:rPr>
                <w:rFonts w:eastAsia="Times New Roman"/>
                <w:color w:val="000000"/>
                <w:sz w:val="20"/>
                <w:szCs w:val="20"/>
              </w:rPr>
              <w:t>(29)</w:t>
            </w:r>
          </w:p>
        </w:tc>
        <w:tc>
          <w:tcPr>
            <w:tcW w:w="0" w:type="auto"/>
            <w:gridSpan w:val="3"/>
            <w:vAlign w:val="center"/>
            <w:hideMark/>
          </w:tcPr>
          <w:p w14:paraId="59DA18E2" w14:textId="77777777" w:rsidR="00000000" w:rsidRDefault="00A173A8">
            <w:pPr>
              <w:spacing w:after="100"/>
              <w:jc w:val="right"/>
              <w:rPr>
                <w:rFonts w:eastAsia="Times New Roman"/>
              </w:rPr>
            </w:pPr>
          </w:p>
        </w:tc>
        <w:tc>
          <w:tcPr>
            <w:tcW w:w="0" w:type="auto"/>
            <w:gridSpan w:val="3"/>
            <w:vAlign w:val="center"/>
            <w:hideMark/>
          </w:tcPr>
          <w:p w14:paraId="1EF97A5C" w14:textId="77777777" w:rsidR="00000000" w:rsidRDefault="00A173A8">
            <w:pPr>
              <w:spacing w:after="100"/>
              <w:rPr>
                <w:rFonts w:eastAsia="Times New Roman"/>
                <w:sz w:val="20"/>
                <w:szCs w:val="20"/>
              </w:rPr>
            </w:pPr>
          </w:p>
        </w:tc>
      </w:tr>
      <w:tr w:rsidR="00000000" w14:paraId="7CE4B09A" w14:textId="77777777">
        <w:trPr>
          <w:divId w:val="189149186"/>
        </w:trPr>
        <w:tc>
          <w:tcPr>
            <w:tcW w:w="0" w:type="auto"/>
            <w:gridSpan w:val="3"/>
            <w:shd w:val="clear" w:color="auto" w:fill="FFFFFF"/>
            <w:tcMar>
              <w:top w:w="30" w:type="dxa"/>
              <w:left w:w="20" w:type="dxa"/>
              <w:bottom w:w="30" w:type="dxa"/>
              <w:right w:w="20" w:type="dxa"/>
            </w:tcMar>
            <w:vAlign w:val="center"/>
            <w:hideMark/>
          </w:tcPr>
          <w:p w14:paraId="695CDCE5" w14:textId="77777777" w:rsidR="00000000" w:rsidRDefault="00A173A8">
            <w:pPr>
              <w:spacing w:after="100"/>
              <w:rPr>
                <w:rFonts w:eastAsia="Times New Roman"/>
              </w:rPr>
            </w:pPr>
            <w:r>
              <w:rPr>
                <w:rFonts w:eastAsia="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center"/>
            <w:hideMark/>
          </w:tcPr>
          <w:p w14:paraId="2A933F7E"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DF799BD" w14:textId="77777777" w:rsidR="00000000" w:rsidRDefault="00A173A8">
            <w:pPr>
              <w:spacing w:after="100"/>
              <w:jc w:val="right"/>
              <w:rPr>
                <w:rFonts w:eastAsia="Times New Roman"/>
              </w:rPr>
            </w:pPr>
            <w:r>
              <w:rPr>
                <w:rFonts w:eastAsia="Times New Roman"/>
                <w:b/>
                <w:bCs/>
                <w:color w:val="000000"/>
                <w:sz w:val="20"/>
                <w:szCs w:val="20"/>
              </w:rPr>
              <w:t>2,243</w:t>
            </w:r>
          </w:p>
        </w:tc>
        <w:tc>
          <w:tcPr>
            <w:tcW w:w="0" w:type="auto"/>
            <w:gridSpan w:val="3"/>
            <w:shd w:val="clear" w:color="auto" w:fill="FFFFFF"/>
            <w:tcMar>
              <w:top w:w="0" w:type="dxa"/>
              <w:left w:w="20" w:type="dxa"/>
              <w:bottom w:w="0" w:type="dxa"/>
              <w:right w:w="20" w:type="dxa"/>
            </w:tcMar>
            <w:vAlign w:val="center"/>
            <w:hideMark/>
          </w:tcPr>
          <w:p w14:paraId="4ED1E71D"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59C1C53" w14:textId="77777777" w:rsidR="00000000" w:rsidRDefault="00A173A8">
            <w:pPr>
              <w:spacing w:after="100"/>
              <w:jc w:val="right"/>
              <w:rPr>
                <w:rFonts w:eastAsia="Times New Roman"/>
              </w:rPr>
            </w:pPr>
            <w:r>
              <w:rPr>
                <w:rFonts w:eastAsia="Times New Roman"/>
                <w:color w:val="000000"/>
                <w:sz w:val="20"/>
                <w:szCs w:val="20"/>
              </w:rPr>
              <w:t>2,245</w:t>
            </w:r>
          </w:p>
        </w:tc>
        <w:tc>
          <w:tcPr>
            <w:tcW w:w="0" w:type="auto"/>
            <w:gridSpan w:val="3"/>
            <w:shd w:val="clear" w:color="auto" w:fill="FFFFFF"/>
            <w:tcMar>
              <w:top w:w="0" w:type="dxa"/>
              <w:left w:w="20" w:type="dxa"/>
              <w:bottom w:w="0" w:type="dxa"/>
              <w:right w:w="20" w:type="dxa"/>
            </w:tcMar>
            <w:vAlign w:val="center"/>
            <w:hideMark/>
          </w:tcPr>
          <w:p w14:paraId="30F77F5C"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21DDB2C8"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206BA3"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63CE22E8" w14:textId="77777777" w:rsidR="00000000" w:rsidRDefault="00A173A8">
            <w:pPr>
              <w:spacing w:after="100"/>
              <w:jc w:val="right"/>
              <w:rPr>
                <w:rFonts w:eastAsia="Times New Roman"/>
              </w:rPr>
            </w:pPr>
            <w:r>
              <w:rPr>
                <w:rFonts w:eastAsia="Times New Roman"/>
                <w:b/>
                <w:bCs/>
                <w:color w:val="000000"/>
                <w:sz w:val="20"/>
                <w:szCs w:val="20"/>
              </w:rPr>
              <w:t>4,461</w:t>
            </w:r>
          </w:p>
        </w:tc>
        <w:tc>
          <w:tcPr>
            <w:tcW w:w="0" w:type="auto"/>
            <w:gridSpan w:val="3"/>
            <w:shd w:val="clear" w:color="auto" w:fill="FFFFFF"/>
            <w:tcMar>
              <w:top w:w="0" w:type="dxa"/>
              <w:left w:w="20" w:type="dxa"/>
              <w:bottom w:w="0" w:type="dxa"/>
              <w:right w:w="20" w:type="dxa"/>
            </w:tcMar>
            <w:vAlign w:val="center"/>
            <w:hideMark/>
          </w:tcPr>
          <w:p w14:paraId="761DFE30"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77AD6475" w14:textId="77777777" w:rsidR="00000000" w:rsidRDefault="00A173A8">
            <w:pPr>
              <w:spacing w:after="100"/>
              <w:jc w:val="right"/>
              <w:rPr>
                <w:rFonts w:eastAsia="Times New Roman"/>
              </w:rPr>
            </w:pPr>
            <w:r>
              <w:rPr>
                <w:rFonts w:eastAsia="Times New Roman"/>
                <w:color w:val="000000"/>
                <w:sz w:val="20"/>
                <w:szCs w:val="20"/>
              </w:rPr>
              <w:t>4,416</w:t>
            </w:r>
          </w:p>
        </w:tc>
        <w:tc>
          <w:tcPr>
            <w:tcW w:w="0" w:type="auto"/>
            <w:vAlign w:val="center"/>
            <w:hideMark/>
          </w:tcPr>
          <w:p w14:paraId="51F3C16E" w14:textId="77777777" w:rsidR="00000000" w:rsidRDefault="00A173A8">
            <w:pPr>
              <w:spacing w:after="100"/>
              <w:jc w:val="right"/>
              <w:rPr>
                <w:rFonts w:eastAsia="Times New Roman"/>
              </w:rPr>
            </w:pPr>
          </w:p>
        </w:tc>
        <w:tc>
          <w:tcPr>
            <w:tcW w:w="0" w:type="auto"/>
            <w:vAlign w:val="center"/>
            <w:hideMark/>
          </w:tcPr>
          <w:p w14:paraId="0F508C9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2DC7A9"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17515339" w14:textId="77777777" w:rsidR="00000000" w:rsidRDefault="00A173A8">
            <w:pPr>
              <w:spacing w:after="100"/>
              <w:jc w:val="right"/>
              <w:rPr>
                <w:rFonts w:eastAsia="Times New Roman"/>
              </w:rPr>
            </w:pPr>
            <w:r>
              <w:rPr>
                <w:rFonts w:eastAsia="Times New Roman"/>
                <w:color w:val="000000"/>
                <w:sz w:val="20"/>
                <w:szCs w:val="20"/>
              </w:rPr>
              <w:t>1</w:t>
            </w:r>
          </w:p>
        </w:tc>
        <w:tc>
          <w:tcPr>
            <w:tcW w:w="0" w:type="auto"/>
            <w:gridSpan w:val="3"/>
            <w:vAlign w:val="center"/>
            <w:hideMark/>
          </w:tcPr>
          <w:p w14:paraId="25F2675C" w14:textId="77777777" w:rsidR="00000000" w:rsidRDefault="00A173A8">
            <w:pPr>
              <w:spacing w:after="100"/>
              <w:jc w:val="right"/>
              <w:rPr>
                <w:rFonts w:eastAsia="Times New Roman"/>
              </w:rPr>
            </w:pPr>
          </w:p>
        </w:tc>
        <w:tc>
          <w:tcPr>
            <w:tcW w:w="0" w:type="auto"/>
            <w:gridSpan w:val="3"/>
            <w:vAlign w:val="center"/>
            <w:hideMark/>
          </w:tcPr>
          <w:p w14:paraId="5F73E9FE" w14:textId="77777777" w:rsidR="00000000" w:rsidRDefault="00A173A8">
            <w:pPr>
              <w:spacing w:after="100"/>
              <w:rPr>
                <w:rFonts w:eastAsia="Times New Roman"/>
                <w:sz w:val="20"/>
                <w:szCs w:val="20"/>
              </w:rPr>
            </w:pPr>
          </w:p>
        </w:tc>
      </w:tr>
      <w:tr w:rsidR="00000000" w14:paraId="6634649F" w14:textId="77777777">
        <w:trPr>
          <w:divId w:val="189149186"/>
        </w:trPr>
        <w:tc>
          <w:tcPr>
            <w:tcW w:w="0" w:type="auto"/>
            <w:gridSpan w:val="3"/>
            <w:shd w:val="clear" w:color="auto" w:fill="CCEEFF"/>
            <w:tcMar>
              <w:top w:w="30" w:type="dxa"/>
              <w:left w:w="20" w:type="dxa"/>
              <w:bottom w:w="30" w:type="dxa"/>
              <w:right w:w="20" w:type="dxa"/>
            </w:tcMar>
            <w:vAlign w:val="center"/>
            <w:hideMark/>
          </w:tcPr>
          <w:p w14:paraId="6C580365" w14:textId="77777777" w:rsidR="00000000" w:rsidRDefault="00A173A8">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078738D9"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99C99BF" w14:textId="77777777" w:rsidR="00000000" w:rsidRDefault="00A173A8">
            <w:pPr>
              <w:spacing w:after="100"/>
              <w:jc w:val="right"/>
              <w:rPr>
                <w:rFonts w:eastAsia="Times New Roman"/>
              </w:rPr>
            </w:pPr>
            <w:r>
              <w:rPr>
                <w:rFonts w:eastAsia="Times New Roman"/>
                <w:b/>
                <w:bCs/>
                <w:color w:val="000000"/>
                <w:sz w:val="20"/>
                <w:szCs w:val="20"/>
              </w:rPr>
              <w:t>281</w:t>
            </w:r>
          </w:p>
        </w:tc>
        <w:tc>
          <w:tcPr>
            <w:tcW w:w="0" w:type="auto"/>
            <w:gridSpan w:val="3"/>
            <w:shd w:val="clear" w:color="auto" w:fill="CCEEFF"/>
            <w:tcMar>
              <w:top w:w="0" w:type="dxa"/>
              <w:left w:w="20" w:type="dxa"/>
              <w:bottom w:w="0" w:type="dxa"/>
              <w:right w:w="20" w:type="dxa"/>
            </w:tcMar>
            <w:vAlign w:val="center"/>
            <w:hideMark/>
          </w:tcPr>
          <w:p w14:paraId="37C32814"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4E54C20" w14:textId="77777777" w:rsidR="00000000" w:rsidRDefault="00A173A8">
            <w:pPr>
              <w:spacing w:after="100"/>
              <w:jc w:val="right"/>
              <w:rPr>
                <w:rFonts w:eastAsia="Times New Roman"/>
              </w:rPr>
            </w:pPr>
            <w:r>
              <w:rPr>
                <w:rFonts w:eastAsia="Times New Roman"/>
                <w:color w:val="000000"/>
                <w:sz w:val="20"/>
                <w:szCs w:val="20"/>
              </w:rPr>
              <w:t>(306)</w:t>
            </w:r>
          </w:p>
        </w:tc>
        <w:tc>
          <w:tcPr>
            <w:tcW w:w="0" w:type="auto"/>
            <w:gridSpan w:val="3"/>
            <w:shd w:val="clear" w:color="auto" w:fill="CCEEFF"/>
            <w:tcMar>
              <w:top w:w="0" w:type="dxa"/>
              <w:left w:w="20" w:type="dxa"/>
              <w:bottom w:w="0" w:type="dxa"/>
              <w:right w:w="20" w:type="dxa"/>
            </w:tcMar>
            <w:vAlign w:val="center"/>
            <w:hideMark/>
          </w:tcPr>
          <w:p w14:paraId="7BA63EB0"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33BFE8B0"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44E806D"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2A1C34B" w14:textId="77777777" w:rsidR="00000000" w:rsidRDefault="00A173A8">
            <w:pPr>
              <w:spacing w:after="100"/>
              <w:jc w:val="right"/>
              <w:rPr>
                <w:rFonts w:eastAsia="Times New Roman"/>
              </w:rPr>
            </w:pPr>
            <w:r>
              <w:rPr>
                <w:rFonts w:eastAsia="Times New Roman"/>
                <w:b/>
                <w:bCs/>
                <w:color w:val="000000"/>
                <w:sz w:val="20"/>
                <w:szCs w:val="20"/>
              </w:rPr>
              <w:t>411</w:t>
            </w:r>
          </w:p>
        </w:tc>
        <w:tc>
          <w:tcPr>
            <w:tcW w:w="0" w:type="auto"/>
            <w:gridSpan w:val="3"/>
            <w:shd w:val="clear" w:color="auto" w:fill="CCEEFF"/>
            <w:tcMar>
              <w:top w:w="0" w:type="dxa"/>
              <w:left w:w="20" w:type="dxa"/>
              <w:bottom w:w="0" w:type="dxa"/>
              <w:right w:w="20" w:type="dxa"/>
            </w:tcMar>
            <w:vAlign w:val="center"/>
            <w:hideMark/>
          </w:tcPr>
          <w:p w14:paraId="02CDEB18"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0C098D7" w14:textId="77777777" w:rsidR="00000000" w:rsidRDefault="00A173A8">
            <w:pPr>
              <w:spacing w:after="100"/>
              <w:jc w:val="right"/>
              <w:rPr>
                <w:rFonts w:eastAsia="Times New Roman"/>
              </w:rPr>
            </w:pPr>
            <w:r>
              <w:rPr>
                <w:rFonts w:eastAsia="Times New Roman"/>
                <w:color w:val="000000"/>
                <w:sz w:val="20"/>
                <w:szCs w:val="20"/>
              </w:rPr>
              <w:t>(432)</w:t>
            </w:r>
          </w:p>
        </w:tc>
        <w:tc>
          <w:tcPr>
            <w:tcW w:w="0" w:type="auto"/>
            <w:vAlign w:val="center"/>
            <w:hideMark/>
          </w:tcPr>
          <w:p w14:paraId="67B42E85" w14:textId="77777777" w:rsidR="00000000" w:rsidRDefault="00A173A8">
            <w:pPr>
              <w:spacing w:after="100"/>
              <w:jc w:val="right"/>
              <w:rPr>
                <w:rFonts w:eastAsia="Times New Roman"/>
              </w:rPr>
            </w:pPr>
          </w:p>
        </w:tc>
        <w:tc>
          <w:tcPr>
            <w:tcW w:w="0" w:type="auto"/>
            <w:vAlign w:val="center"/>
            <w:hideMark/>
          </w:tcPr>
          <w:p w14:paraId="0669A0E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4F5A33"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08440F8D"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36155077" w14:textId="77777777" w:rsidR="00000000" w:rsidRDefault="00A173A8">
            <w:pPr>
              <w:spacing w:after="100"/>
              <w:jc w:val="right"/>
              <w:rPr>
                <w:rFonts w:eastAsia="Times New Roman"/>
              </w:rPr>
            </w:pPr>
          </w:p>
        </w:tc>
        <w:tc>
          <w:tcPr>
            <w:tcW w:w="0" w:type="auto"/>
            <w:gridSpan w:val="3"/>
            <w:vAlign w:val="center"/>
            <w:hideMark/>
          </w:tcPr>
          <w:p w14:paraId="6ABCC091" w14:textId="77777777" w:rsidR="00000000" w:rsidRDefault="00A173A8">
            <w:pPr>
              <w:spacing w:after="100"/>
              <w:rPr>
                <w:rFonts w:eastAsia="Times New Roman"/>
                <w:sz w:val="20"/>
                <w:szCs w:val="20"/>
              </w:rPr>
            </w:pPr>
          </w:p>
        </w:tc>
      </w:tr>
      <w:tr w:rsidR="00000000" w14:paraId="032E28BF" w14:textId="77777777">
        <w:trPr>
          <w:divId w:val="189149186"/>
        </w:trPr>
        <w:tc>
          <w:tcPr>
            <w:tcW w:w="0" w:type="auto"/>
            <w:gridSpan w:val="3"/>
            <w:shd w:val="clear" w:color="auto" w:fill="FFFFFF"/>
            <w:tcMar>
              <w:top w:w="30" w:type="dxa"/>
              <w:left w:w="20" w:type="dxa"/>
              <w:bottom w:w="30" w:type="dxa"/>
              <w:right w:w="20" w:type="dxa"/>
            </w:tcMar>
            <w:vAlign w:val="center"/>
            <w:hideMark/>
          </w:tcPr>
          <w:p w14:paraId="030521D3" w14:textId="77777777" w:rsidR="00000000" w:rsidRDefault="00A173A8">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76EF4B01"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51D5DC6" w14:textId="77777777" w:rsidR="00000000" w:rsidRDefault="00A173A8">
            <w:pPr>
              <w:spacing w:after="100"/>
              <w:jc w:val="right"/>
              <w:rPr>
                <w:rFonts w:eastAsia="Times New Roman"/>
              </w:rPr>
            </w:pPr>
            <w:r>
              <w:rPr>
                <w:rFonts w:eastAsia="Times New Roman"/>
                <w:b/>
                <w:bCs/>
                <w:color w:val="000000"/>
                <w:sz w:val="20"/>
                <w:szCs w:val="20"/>
              </w:rPr>
              <w:t>1,286</w:t>
            </w:r>
          </w:p>
        </w:tc>
        <w:tc>
          <w:tcPr>
            <w:tcW w:w="0" w:type="auto"/>
            <w:gridSpan w:val="3"/>
            <w:shd w:val="clear" w:color="auto" w:fill="FFFFFF"/>
            <w:tcMar>
              <w:top w:w="0" w:type="dxa"/>
              <w:left w:w="20" w:type="dxa"/>
              <w:bottom w:w="0" w:type="dxa"/>
              <w:right w:w="20" w:type="dxa"/>
            </w:tcMar>
            <w:vAlign w:val="center"/>
            <w:hideMark/>
          </w:tcPr>
          <w:p w14:paraId="62A361CC"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0EBCC64" w14:textId="77777777" w:rsidR="00000000" w:rsidRDefault="00A173A8">
            <w:pPr>
              <w:spacing w:after="100"/>
              <w:jc w:val="right"/>
              <w:rPr>
                <w:rFonts w:eastAsia="Times New Roman"/>
              </w:rPr>
            </w:pPr>
            <w:r>
              <w:rPr>
                <w:rFonts w:eastAsia="Times New Roman"/>
                <w:color w:val="000000"/>
                <w:sz w:val="20"/>
                <w:szCs w:val="20"/>
              </w:rPr>
              <w:t>1,123</w:t>
            </w:r>
          </w:p>
        </w:tc>
        <w:tc>
          <w:tcPr>
            <w:tcW w:w="0" w:type="auto"/>
            <w:gridSpan w:val="3"/>
            <w:shd w:val="clear" w:color="auto" w:fill="FFFFFF"/>
            <w:tcMar>
              <w:top w:w="0" w:type="dxa"/>
              <w:left w:w="20" w:type="dxa"/>
              <w:bottom w:w="0" w:type="dxa"/>
              <w:right w:w="20" w:type="dxa"/>
            </w:tcMar>
            <w:vAlign w:val="center"/>
            <w:hideMark/>
          </w:tcPr>
          <w:p w14:paraId="610CE6C7"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46FE40F3" w14:textId="77777777" w:rsidR="00000000" w:rsidRDefault="00A173A8">
            <w:pPr>
              <w:spacing w:after="100"/>
              <w:jc w:val="right"/>
              <w:rPr>
                <w:rFonts w:eastAsia="Times New Roman"/>
              </w:rPr>
            </w:pPr>
            <w:r>
              <w:rPr>
                <w:rFonts w:eastAsia="Times New Roman"/>
                <w:color w:val="000000"/>
                <w:sz w:val="20"/>
                <w:szCs w:val="20"/>
              </w:rPr>
              <w:t>15</w:t>
            </w:r>
          </w:p>
        </w:tc>
        <w:tc>
          <w:tcPr>
            <w:tcW w:w="0" w:type="auto"/>
            <w:gridSpan w:val="3"/>
            <w:shd w:val="clear" w:color="auto" w:fill="FFFFFF"/>
            <w:tcMar>
              <w:top w:w="0" w:type="dxa"/>
              <w:left w:w="20" w:type="dxa"/>
              <w:bottom w:w="0" w:type="dxa"/>
              <w:right w:w="20" w:type="dxa"/>
            </w:tcMar>
            <w:vAlign w:val="center"/>
            <w:hideMark/>
          </w:tcPr>
          <w:p w14:paraId="230E9042"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0C0EFA0" w14:textId="77777777" w:rsidR="00000000" w:rsidRDefault="00A173A8">
            <w:pPr>
              <w:spacing w:after="100"/>
              <w:jc w:val="right"/>
              <w:rPr>
                <w:rFonts w:eastAsia="Times New Roman"/>
              </w:rPr>
            </w:pPr>
            <w:r>
              <w:rPr>
                <w:rFonts w:eastAsia="Times New Roman"/>
                <w:b/>
                <w:bCs/>
                <w:color w:val="000000"/>
                <w:sz w:val="20"/>
                <w:szCs w:val="20"/>
              </w:rPr>
              <w:t>2,522</w:t>
            </w:r>
          </w:p>
        </w:tc>
        <w:tc>
          <w:tcPr>
            <w:tcW w:w="0" w:type="auto"/>
            <w:gridSpan w:val="3"/>
            <w:shd w:val="clear" w:color="auto" w:fill="FFFFFF"/>
            <w:tcMar>
              <w:top w:w="0" w:type="dxa"/>
              <w:left w:w="20" w:type="dxa"/>
              <w:bottom w:w="0" w:type="dxa"/>
              <w:right w:w="20" w:type="dxa"/>
            </w:tcMar>
            <w:vAlign w:val="center"/>
            <w:hideMark/>
          </w:tcPr>
          <w:p w14:paraId="04B570B8"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FB20109" w14:textId="77777777" w:rsidR="00000000" w:rsidRDefault="00A173A8">
            <w:pPr>
              <w:spacing w:after="100"/>
              <w:jc w:val="right"/>
              <w:rPr>
                <w:rFonts w:eastAsia="Times New Roman"/>
              </w:rPr>
            </w:pPr>
            <w:r>
              <w:rPr>
                <w:rFonts w:eastAsia="Times New Roman"/>
                <w:color w:val="000000"/>
                <w:sz w:val="20"/>
                <w:szCs w:val="20"/>
              </w:rPr>
              <w:t>2,240</w:t>
            </w:r>
          </w:p>
        </w:tc>
        <w:tc>
          <w:tcPr>
            <w:tcW w:w="0" w:type="auto"/>
            <w:vAlign w:val="center"/>
            <w:hideMark/>
          </w:tcPr>
          <w:p w14:paraId="2ADE9277" w14:textId="77777777" w:rsidR="00000000" w:rsidRDefault="00A173A8">
            <w:pPr>
              <w:spacing w:after="100"/>
              <w:jc w:val="right"/>
              <w:rPr>
                <w:rFonts w:eastAsia="Times New Roman"/>
              </w:rPr>
            </w:pPr>
          </w:p>
        </w:tc>
        <w:tc>
          <w:tcPr>
            <w:tcW w:w="0" w:type="auto"/>
            <w:vAlign w:val="center"/>
            <w:hideMark/>
          </w:tcPr>
          <w:p w14:paraId="37A5B1C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A2E5C1"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0655069E" w14:textId="77777777" w:rsidR="00000000" w:rsidRDefault="00A173A8">
            <w:pPr>
              <w:spacing w:after="100"/>
              <w:jc w:val="right"/>
              <w:rPr>
                <w:rFonts w:eastAsia="Times New Roman"/>
              </w:rPr>
            </w:pPr>
            <w:r>
              <w:rPr>
                <w:rFonts w:eastAsia="Times New Roman"/>
                <w:color w:val="000000"/>
                <w:sz w:val="20"/>
                <w:szCs w:val="20"/>
              </w:rPr>
              <w:t>13</w:t>
            </w:r>
          </w:p>
        </w:tc>
        <w:tc>
          <w:tcPr>
            <w:tcW w:w="0" w:type="auto"/>
            <w:gridSpan w:val="3"/>
            <w:vAlign w:val="center"/>
            <w:hideMark/>
          </w:tcPr>
          <w:p w14:paraId="06EB854A" w14:textId="77777777" w:rsidR="00000000" w:rsidRDefault="00A173A8">
            <w:pPr>
              <w:spacing w:after="100"/>
              <w:jc w:val="right"/>
              <w:rPr>
                <w:rFonts w:eastAsia="Times New Roman"/>
              </w:rPr>
            </w:pPr>
          </w:p>
        </w:tc>
        <w:tc>
          <w:tcPr>
            <w:tcW w:w="0" w:type="auto"/>
            <w:gridSpan w:val="3"/>
            <w:vAlign w:val="center"/>
            <w:hideMark/>
          </w:tcPr>
          <w:p w14:paraId="1465099B" w14:textId="77777777" w:rsidR="00000000" w:rsidRDefault="00A173A8">
            <w:pPr>
              <w:spacing w:after="100"/>
              <w:rPr>
                <w:rFonts w:eastAsia="Times New Roman"/>
                <w:sz w:val="20"/>
                <w:szCs w:val="20"/>
              </w:rPr>
            </w:pPr>
          </w:p>
        </w:tc>
      </w:tr>
      <w:tr w:rsidR="00000000" w14:paraId="187D2A42" w14:textId="77777777">
        <w:trPr>
          <w:divId w:val="189149186"/>
        </w:trPr>
        <w:tc>
          <w:tcPr>
            <w:tcW w:w="0" w:type="auto"/>
            <w:gridSpan w:val="3"/>
            <w:shd w:val="clear" w:color="auto" w:fill="CCEEFF"/>
            <w:tcMar>
              <w:top w:w="30" w:type="dxa"/>
              <w:left w:w="20" w:type="dxa"/>
              <w:bottom w:w="30" w:type="dxa"/>
              <w:right w:w="20" w:type="dxa"/>
            </w:tcMar>
            <w:vAlign w:val="center"/>
            <w:hideMark/>
          </w:tcPr>
          <w:p w14:paraId="1CDDEC06" w14:textId="77777777" w:rsidR="00000000" w:rsidRDefault="00A173A8">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08B46459"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0B7A5D5D" w14:textId="77777777" w:rsidR="00000000" w:rsidRDefault="00A173A8">
            <w:pPr>
              <w:spacing w:after="100"/>
              <w:jc w:val="right"/>
              <w:rPr>
                <w:rFonts w:eastAsia="Times New Roman"/>
              </w:rPr>
            </w:pPr>
            <w:r>
              <w:rPr>
                <w:rFonts w:eastAsia="Times New Roman"/>
                <w:b/>
                <w:bCs/>
                <w:color w:val="000000"/>
                <w:sz w:val="20"/>
                <w:szCs w:val="20"/>
              </w:rPr>
              <w:t>676</w:t>
            </w:r>
          </w:p>
        </w:tc>
        <w:tc>
          <w:tcPr>
            <w:tcW w:w="0" w:type="auto"/>
            <w:gridSpan w:val="3"/>
            <w:shd w:val="clear" w:color="auto" w:fill="CCEEFF"/>
            <w:tcMar>
              <w:top w:w="0" w:type="dxa"/>
              <w:left w:w="20" w:type="dxa"/>
              <w:bottom w:w="0" w:type="dxa"/>
              <w:right w:w="20" w:type="dxa"/>
            </w:tcMar>
            <w:vAlign w:val="center"/>
            <w:hideMark/>
          </w:tcPr>
          <w:p w14:paraId="705C60A5"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22F48C0F" w14:textId="77777777" w:rsidR="00000000" w:rsidRDefault="00A173A8">
            <w:pPr>
              <w:spacing w:after="100"/>
              <w:jc w:val="right"/>
              <w:rPr>
                <w:rFonts w:eastAsia="Times New Roman"/>
              </w:rPr>
            </w:pPr>
            <w:r>
              <w:rPr>
                <w:rFonts w:eastAsia="Times New Roman"/>
                <w:color w:val="000000"/>
                <w:sz w:val="20"/>
                <w:szCs w:val="20"/>
              </w:rPr>
              <w:t>1,428</w:t>
            </w:r>
          </w:p>
        </w:tc>
        <w:tc>
          <w:tcPr>
            <w:tcW w:w="0" w:type="auto"/>
            <w:gridSpan w:val="3"/>
            <w:shd w:val="clear" w:color="auto" w:fill="CCEEFF"/>
            <w:tcMar>
              <w:top w:w="0" w:type="dxa"/>
              <w:left w:w="20" w:type="dxa"/>
              <w:bottom w:w="0" w:type="dxa"/>
              <w:right w:w="20" w:type="dxa"/>
            </w:tcMar>
            <w:vAlign w:val="center"/>
            <w:hideMark/>
          </w:tcPr>
          <w:p w14:paraId="1AADE781"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1C97015A" w14:textId="77777777" w:rsidR="00000000" w:rsidRDefault="00A173A8">
            <w:pPr>
              <w:spacing w:after="100"/>
              <w:jc w:val="right"/>
              <w:rPr>
                <w:rFonts w:eastAsia="Times New Roman"/>
              </w:rPr>
            </w:pPr>
            <w:r>
              <w:rPr>
                <w:rFonts w:eastAsia="Times New Roman"/>
                <w:color w:val="000000"/>
                <w:sz w:val="20"/>
                <w:szCs w:val="20"/>
              </w:rPr>
              <w:t>(53)</w:t>
            </w:r>
          </w:p>
        </w:tc>
        <w:tc>
          <w:tcPr>
            <w:tcW w:w="0" w:type="auto"/>
            <w:gridSpan w:val="3"/>
            <w:shd w:val="clear" w:color="auto" w:fill="CCEEFF"/>
            <w:tcMar>
              <w:top w:w="0" w:type="dxa"/>
              <w:left w:w="20" w:type="dxa"/>
              <w:bottom w:w="0" w:type="dxa"/>
              <w:right w:w="20" w:type="dxa"/>
            </w:tcMar>
            <w:vAlign w:val="center"/>
            <w:hideMark/>
          </w:tcPr>
          <w:p w14:paraId="681BAA17"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085930BD" w14:textId="77777777" w:rsidR="00000000" w:rsidRDefault="00A173A8">
            <w:pPr>
              <w:spacing w:after="100"/>
              <w:jc w:val="right"/>
              <w:rPr>
                <w:rFonts w:eastAsia="Times New Roman"/>
              </w:rPr>
            </w:pPr>
            <w:r>
              <w:rPr>
                <w:rFonts w:eastAsia="Times New Roman"/>
                <w:b/>
                <w:bCs/>
                <w:color w:val="000000"/>
                <w:sz w:val="20"/>
                <w:szCs w:val="20"/>
              </w:rPr>
              <w:t>1,528</w:t>
            </w:r>
          </w:p>
        </w:tc>
        <w:tc>
          <w:tcPr>
            <w:tcW w:w="0" w:type="auto"/>
            <w:gridSpan w:val="3"/>
            <w:shd w:val="clear" w:color="auto" w:fill="CCEEFF"/>
            <w:tcMar>
              <w:top w:w="0" w:type="dxa"/>
              <w:left w:w="20" w:type="dxa"/>
              <w:bottom w:w="0" w:type="dxa"/>
              <w:right w:w="20" w:type="dxa"/>
            </w:tcMar>
            <w:vAlign w:val="center"/>
            <w:hideMark/>
          </w:tcPr>
          <w:p w14:paraId="60AF8A37"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49564BBA" w14:textId="77777777" w:rsidR="00000000" w:rsidRDefault="00A173A8">
            <w:pPr>
              <w:spacing w:after="100"/>
              <w:jc w:val="right"/>
              <w:rPr>
                <w:rFonts w:eastAsia="Times New Roman"/>
              </w:rPr>
            </w:pPr>
            <w:r>
              <w:rPr>
                <w:rFonts w:eastAsia="Times New Roman"/>
                <w:color w:val="000000"/>
                <w:sz w:val="20"/>
                <w:szCs w:val="20"/>
              </w:rPr>
              <w:t>2,608</w:t>
            </w:r>
          </w:p>
        </w:tc>
        <w:tc>
          <w:tcPr>
            <w:tcW w:w="0" w:type="auto"/>
            <w:vAlign w:val="center"/>
            <w:hideMark/>
          </w:tcPr>
          <w:p w14:paraId="0EA4000E" w14:textId="77777777" w:rsidR="00000000" w:rsidRDefault="00A173A8">
            <w:pPr>
              <w:spacing w:after="100"/>
              <w:jc w:val="right"/>
              <w:rPr>
                <w:rFonts w:eastAsia="Times New Roman"/>
              </w:rPr>
            </w:pPr>
          </w:p>
        </w:tc>
        <w:tc>
          <w:tcPr>
            <w:tcW w:w="0" w:type="auto"/>
            <w:vAlign w:val="center"/>
            <w:hideMark/>
          </w:tcPr>
          <w:p w14:paraId="44A2D8A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5D4D2A"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34661256" w14:textId="77777777" w:rsidR="00000000" w:rsidRDefault="00A173A8">
            <w:pPr>
              <w:spacing w:after="100"/>
              <w:jc w:val="right"/>
              <w:rPr>
                <w:rFonts w:eastAsia="Times New Roman"/>
              </w:rPr>
            </w:pPr>
            <w:r>
              <w:rPr>
                <w:rFonts w:eastAsia="Times New Roman"/>
                <w:color w:val="000000"/>
                <w:sz w:val="20"/>
                <w:szCs w:val="20"/>
              </w:rPr>
              <w:t>(41)</w:t>
            </w:r>
          </w:p>
        </w:tc>
        <w:tc>
          <w:tcPr>
            <w:tcW w:w="0" w:type="auto"/>
            <w:gridSpan w:val="3"/>
            <w:vAlign w:val="center"/>
            <w:hideMark/>
          </w:tcPr>
          <w:p w14:paraId="4ADA2B0F" w14:textId="77777777" w:rsidR="00000000" w:rsidRDefault="00A173A8">
            <w:pPr>
              <w:spacing w:after="100"/>
              <w:jc w:val="right"/>
              <w:rPr>
                <w:rFonts w:eastAsia="Times New Roman"/>
              </w:rPr>
            </w:pPr>
          </w:p>
        </w:tc>
        <w:tc>
          <w:tcPr>
            <w:tcW w:w="0" w:type="auto"/>
            <w:gridSpan w:val="3"/>
            <w:vAlign w:val="center"/>
            <w:hideMark/>
          </w:tcPr>
          <w:p w14:paraId="2EB2B2AC" w14:textId="77777777" w:rsidR="00000000" w:rsidRDefault="00A173A8">
            <w:pPr>
              <w:spacing w:after="100"/>
              <w:rPr>
                <w:rFonts w:eastAsia="Times New Roman"/>
                <w:sz w:val="20"/>
                <w:szCs w:val="20"/>
              </w:rPr>
            </w:pPr>
          </w:p>
        </w:tc>
      </w:tr>
      <w:tr w:rsidR="00000000" w14:paraId="1673EED1" w14:textId="77777777">
        <w:trPr>
          <w:divId w:val="189149186"/>
        </w:trPr>
        <w:tc>
          <w:tcPr>
            <w:tcW w:w="0" w:type="auto"/>
            <w:gridSpan w:val="3"/>
            <w:shd w:val="clear" w:color="auto" w:fill="FFFFFF"/>
            <w:tcMar>
              <w:top w:w="30" w:type="dxa"/>
              <w:left w:w="20" w:type="dxa"/>
              <w:bottom w:w="30" w:type="dxa"/>
              <w:right w:w="20" w:type="dxa"/>
            </w:tcMar>
            <w:vAlign w:val="center"/>
            <w:hideMark/>
          </w:tcPr>
          <w:p w14:paraId="14CADB2E" w14:textId="77777777" w:rsidR="00000000" w:rsidRDefault="00A173A8">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0" w:type="dxa"/>
              <w:left w:w="20" w:type="dxa"/>
              <w:bottom w:w="0" w:type="dxa"/>
              <w:right w:w="20" w:type="dxa"/>
            </w:tcMar>
            <w:vAlign w:val="center"/>
            <w:hideMark/>
          </w:tcPr>
          <w:p w14:paraId="454725D7"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5837070" w14:textId="77777777" w:rsidR="00000000" w:rsidRDefault="00A173A8">
            <w:pPr>
              <w:spacing w:after="100"/>
              <w:jc w:val="right"/>
              <w:rPr>
                <w:rFonts w:eastAsia="Times New Roman"/>
              </w:rPr>
            </w:pPr>
            <w:r>
              <w:rPr>
                <w:rFonts w:eastAsia="Times New Roman"/>
                <w:b/>
                <w:bCs/>
                <w:color w:val="000000"/>
                <w:sz w:val="20"/>
                <w:szCs w:val="20"/>
              </w:rPr>
              <w:t>160</w:t>
            </w:r>
          </w:p>
        </w:tc>
        <w:tc>
          <w:tcPr>
            <w:tcW w:w="0" w:type="auto"/>
            <w:gridSpan w:val="3"/>
            <w:shd w:val="clear" w:color="auto" w:fill="FFFFFF"/>
            <w:tcMar>
              <w:top w:w="0" w:type="dxa"/>
              <w:left w:w="20" w:type="dxa"/>
              <w:bottom w:w="0" w:type="dxa"/>
              <w:right w:w="20" w:type="dxa"/>
            </w:tcMar>
            <w:vAlign w:val="center"/>
            <w:hideMark/>
          </w:tcPr>
          <w:p w14:paraId="2E7D4F88"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860DBE4" w14:textId="77777777" w:rsidR="00000000" w:rsidRDefault="00A173A8">
            <w:pPr>
              <w:spacing w:after="100"/>
              <w:jc w:val="right"/>
              <w:rPr>
                <w:rFonts w:eastAsia="Times New Roman"/>
              </w:rPr>
            </w:pPr>
            <w:r>
              <w:rPr>
                <w:rFonts w:eastAsia="Times New Roman"/>
                <w:color w:val="000000"/>
                <w:sz w:val="20"/>
                <w:szCs w:val="20"/>
              </w:rPr>
              <w:t>337</w:t>
            </w:r>
          </w:p>
        </w:tc>
        <w:tc>
          <w:tcPr>
            <w:tcW w:w="0" w:type="auto"/>
            <w:gridSpan w:val="3"/>
            <w:shd w:val="clear" w:color="auto" w:fill="FFFFFF"/>
            <w:tcMar>
              <w:top w:w="0" w:type="dxa"/>
              <w:left w:w="20" w:type="dxa"/>
              <w:bottom w:w="0" w:type="dxa"/>
              <w:right w:w="20" w:type="dxa"/>
            </w:tcMar>
            <w:vAlign w:val="center"/>
            <w:hideMark/>
          </w:tcPr>
          <w:p w14:paraId="56E0783E"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7C71C81F" w14:textId="77777777" w:rsidR="00000000" w:rsidRDefault="00A173A8">
            <w:pPr>
              <w:spacing w:after="100"/>
              <w:jc w:val="right"/>
              <w:rPr>
                <w:rFonts w:eastAsia="Times New Roman"/>
              </w:rPr>
            </w:pPr>
            <w:r>
              <w:rPr>
                <w:rFonts w:eastAsia="Times New Roman"/>
                <w:color w:val="000000"/>
                <w:sz w:val="20"/>
                <w:szCs w:val="20"/>
              </w:rPr>
              <w:t>(53)</w:t>
            </w:r>
          </w:p>
        </w:tc>
        <w:tc>
          <w:tcPr>
            <w:tcW w:w="0" w:type="auto"/>
            <w:gridSpan w:val="3"/>
            <w:shd w:val="clear" w:color="auto" w:fill="FFFFFF"/>
            <w:tcMar>
              <w:top w:w="0" w:type="dxa"/>
              <w:left w:w="20" w:type="dxa"/>
              <w:bottom w:w="0" w:type="dxa"/>
              <w:right w:w="20" w:type="dxa"/>
            </w:tcMar>
            <w:vAlign w:val="center"/>
            <w:hideMark/>
          </w:tcPr>
          <w:p w14:paraId="34175927"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7EC40BCD" w14:textId="77777777" w:rsidR="00000000" w:rsidRDefault="00A173A8">
            <w:pPr>
              <w:spacing w:after="100"/>
              <w:jc w:val="right"/>
              <w:rPr>
                <w:rFonts w:eastAsia="Times New Roman"/>
              </w:rPr>
            </w:pPr>
            <w:r>
              <w:rPr>
                <w:rFonts w:eastAsia="Times New Roman"/>
                <w:b/>
                <w:bCs/>
                <w:color w:val="000000"/>
                <w:sz w:val="20"/>
                <w:szCs w:val="20"/>
              </w:rPr>
              <w:t>362</w:t>
            </w:r>
          </w:p>
        </w:tc>
        <w:tc>
          <w:tcPr>
            <w:tcW w:w="0" w:type="auto"/>
            <w:gridSpan w:val="3"/>
            <w:shd w:val="clear" w:color="auto" w:fill="FFFFFF"/>
            <w:tcMar>
              <w:top w:w="0" w:type="dxa"/>
              <w:left w:w="20" w:type="dxa"/>
              <w:bottom w:w="0" w:type="dxa"/>
              <w:right w:w="20" w:type="dxa"/>
            </w:tcMar>
            <w:vAlign w:val="center"/>
            <w:hideMark/>
          </w:tcPr>
          <w:p w14:paraId="4205A11F"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D030098" w14:textId="77777777" w:rsidR="00000000" w:rsidRDefault="00A173A8">
            <w:pPr>
              <w:spacing w:after="100"/>
              <w:jc w:val="right"/>
              <w:rPr>
                <w:rFonts w:eastAsia="Times New Roman"/>
              </w:rPr>
            </w:pPr>
            <w:r>
              <w:rPr>
                <w:rFonts w:eastAsia="Times New Roman"/>
                <w:color w:val="000000"/>
                <w:sz w:val="20"/>
                <w:szCs w:val="20"/>
              </w:rPr>
              <w:t>615</w:t>
            </w:r>
          </w:p>
        </w:tc>
        <w:tc>
          <w:tcPr>
            <w:tcW w:w="0" w:type="auto"/>
            <w:vAlign w:val="center"/>
            <w:hideMark/>
          </w:tcPr>
          <w:p w14:paraId="273ABB5C" w14:textId="77777777" w:rsidR="00000000" w:rsidRDefault="00A173A8">
            <w:pPr>
              <w:spacing w:after="100"/>
              <w:jc w:val="right"/>
              <w:rPr>
                <w:rFonts w:eastAsia="Times New Roman"/>
              </w:rPr>
            </w:pPr>
          </w:p>
        </w:tc>
        <w:tc>
          <w:tcPr>
            <w:tcW w:w="0" w:type="auto"/>
            <w:vAlign w:val="center"/>
            <w:hideMark/>
          </w:tcPr>
          <w:p w14:paraId="133280E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870405"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3DB1E3D9" w14:textId="77777777" w:rsidR="00000000" w:rsidRDefault="00A173A8">
            <w:pPr>
              <w:spacing w:after="100"/>
              <w:jc w:val="right"/>
              <w:rPr>
                <w:rFonts w:eastAsia="Times New Roman"/>
              </w:rPr>
            </w:pPr>
            <w:r>
              <w:rPr>
                <w:rFonts w:eastAsia="Times New Roman"/>
                <w:color w:val="000000"/>
                <w:sz w:val="20"/>
                <w:szCs w:val="20"/>
              </w:rPr>
              <w:t>(41)</w:t>
            </w:r>
          </w:p>
        </w:tc>
        <w:tc>
          <w:tcPr>
            <w:tcW w:w="0" w:type="auto"/>
            <w:gridSpan w:val="3"/>
            <w:vAlign w:val="center"/>
            <w:hideMark/>
          </w:tcPr>
          <w:p w14:paraId="6C7EBFDD" w14:textId="77777777" w:rsidR="00000000" w:rsidRDefault="00A173A8">
            <w:pPr>
              <w:spacing w:after="100"/>
              <w:jc w:val="right"/>
              <w:rPr>
                <w:rFonts w:eastAsia="Times New Roman"/>
              </w:rPr>
            </w:pPr>
          </w:p>
        </w:tc>
        <w:tc>
          <w:tcPr>
            <w:tcW w:w="0" w:type="auto"/>
            <w:gridSpan w:val="3"/>
            <w:vAlign w:val="center"/>
            <w:hideMark/>
          </w:tcPr>
          <w:p w14:paraId="55937ECA" w14:textId="77777777" w:rsidR="00000000" w:rsidRDefault="00A173A8">
            <w:pPr>
              <w:spacing w:after="100"/>
              <w:rPr>
                <w:rFonts w:eastAsia="Times New Roman"/>
                <w:sz w:val="20"/>
                <w:szCs w:val="20"/>
              </w:rPr>
            </w:pPr>
          </w:p>
        </w:tc>
      </w:tr>
      <w:tr w:rsidR="00000000" w14:paraId="7831F7F9" w14:textId="77777777">
        <w:trPr>
          <w:divId w:val="189149186"/>
        </w:trPr>
        <w:tc>
          <w:tcPr>
            <w:tcW w:w="0" w:type="auto"/>
            <w:gridSpan w:val="3"/>
            <w:shd w:val="clear" w:color="auto" w:fill="CCEEFF"/>
            <w:tcMar>
              <w:top w:w="30" w:type="dxa"/>
              <w:left w:w="20" w:type="dxa"/>
              <w:bottom w:w="30" w:type="dxa"/>
              <w:right w:w="20" w:type="dxa"/>
            </w:tcMar>
            <w:vAlign w:val="center"/>
            <w:hideMark/>
          </w:tcPr>
          <w:p w14:paraId="789D7CD2" w14:textId="77777777" w:rsidR="00000000" w:rsidRDefault="00A173A8">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4CCA8DA2"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A857BF"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23AF057" w14:textId="77777777" w:rsidR="00000000" w:rsidRDefault="00A173A8">
            <w:pPr>
              <w:spacing w:after="100"/>
              <w:jc w:val="right"/>
              <w:rPr>
                <w:rFonts w:eastAsia="Times New Roman"/>
              </w:rPr>
            </w:pPr>
            <w:r>
              <w:rPr>
                <w:rFonts w:eastAsia="Times New Roman"/>
                <w:b/>
                <w:bCs/>
                <w:color w:val="000000"/>
                <w:sz w:val="20"/>
                <w:szCs w:val="20"/>
              </w:rPr>
              <w:t>516</w:t>
            </w:r>
          </w:p>
        </w:tc>
        <w:tc>
          <w:tcPr>
            <w:tcW w:w="0" w:type="auto"/>
            <w:gridSpan w:val="3"/>
            <w:shd w:val="clear" w:color="auto" w:fill="CCEEFF"/>
            <w:tcMar>
              <w:top w:w="0" w:type="dxa"/>
              <w:left w:w="20" w:type="dxa"/>
              <w:bottom w:w="0" w:type="dxa"/>
              <w:right w:w="20" w:type="dxa"/>
            </w:tcMar>
            <w:vAlign w:val="center"/>
            <w:hideMark/>
          </w:tcPr>
          <w:p w14:paraId="2A22E4B1"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AC1ECA"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125F69C" w14:textId="77777777" w:rsidR="00000000" w:rsidRDefault="00A173A8">
            <w:pPr>
              <w:spacing w:after="100"/>
              <w:jc w:val="right"/>
              <w:rPr>
                <w:rFonts w:eastAsia="Times New Roman"/>
              </w:rPr>
            </w:pPr>
            <w:r>
              <w:rPr>
                <w:rFonts w:eastAsia="Times New Roman"/>
                <w:color w:val="000000"/>
                <w:sz w:val="20"/>
                <w:szCs w:val="20"/>
              </w:rPr>
              <w:t>1,091</w:t>
            </w:r>
          </w:p>
        </w:tc>
        <w:tc>
          <w:tcPr>
            <w:tcW w:w="0" w:type="auto"/>
            <w:gridSpan w:val="3"/>
            <w:shd w:val="clear" w:color="auto" w:fill="CCEEFF"/>
            <w:tcMar>
              <w:top w:w="0" w:type="dxa"/>
              <w:left w:w="20" w:type="dxa"/>
              <w:bottom w:w="0" w:type="dxa"/>
              <w:right w:w="20" w:type="dxa"/>
            </w:tcMar>
            <w:vAlign w:val="center"/>
            <w:hideMark/>
          </w:tcPr>
          <w:p w14:paraId="6872A698"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116E12F4" w14:textId="77777777" w:rsidR="00000000" w:rsidRDefault="00A173A8">
            <w:pPr>
              <w:spacing w:after="100"/>
              <w:jc w:val="right"/>
              <w:rPr>
                <w:rFonts w:eastAsia="Times New Roman"/>
              </w:rPr>
            </w:pPr>
            <w:r>
              <w:rPr>
                <w:rFonts w:eastAsia="Times New Roman"/>
                <w:color w:val="000000"/>
                <w:sz w:val="20"/>
                <w:szCs w:val="20"/>
              </w:rPr>
              <w:t>(53)</w:t>
            </w:r>
          </w:p>
        </w:tc>
        <w:tc>
          <w:tcPr>
            <w:tcW w:w="0" w:type="auto"/>
            <w:gridSpan w:val="3"/>
            <w:shd w:val="clear" w:color="auto" w:fill="CCEEFF"/>
            <w:tcMar>
              <w:top w:w="0" w:type="dxa"/>
              <w:left w:w="20" w:type="dxa"/>
              <w:bottom w:w="0" w:type="dxa"/>
              <w:right w:w="20" w:type="dxa"/>
            </w:tcMar>
            <w:vAlign w:val="center"/>
            <w:hideMark/>
          </w:tcPr>
          <w:p w14:paraId="46D9C62D"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947448"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793DB004" w14:textId="77777777" w:rsidR="00000000" w:rsidRDefault="00A173A8">
            <w:pPr>
              <w:spacing w:after="100"/>
              <w:jc w:val="right"/>
              <w:rPr>
                <w:rFonts w:eastAsia="Times New Roman"/>
              </w:rPr>
            </w:pPr>
            <w:r>
              <w:rPr>
                <w:rFonts w:eastAsia="Times New Roman"/>
                <w:b/>
                <w:bCs/>
                <w:color w:val="000000"/>
                <w:sz w:val="20"/>
                <w:szCs w:val="20"/>
              </w:rPr>
              <w:t>1,166</w:t>
            </w:r>
          </w:p>
        </w:tc>
        <w:tc>
          <w:tcPr>
            <w:tcW w:w="0" w:type="auto"/>
            <w:gridSpan w:val="3"/>
            <w:shd w:val="clear" w:color="auto" w:fill="CCEEFF"/>
            <w:tcMar>
              <w:top w:w="0" w:type="dxa"/>
              <w:left w:w="20" w:type="dxa"/>
              <w:bottom w:w="0" w:type="dxa"/>
              <w:right w:w="20" w:type="dxa"/>
            </w:tcMar>
            <w:vAlign w:val="center"/>
            <w:hideMark/>
          </w:tcPr>
          <w:p w14:paraId="4E967CB1"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3A7A39"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246FDA70" w14:textId="77777777" w:rsidR="00000000" w:rsidRDefault="00A173A8">
            <w:pPr>
              <w:spacing w:after="100"/>
              <w:jc w:val="right"/>
              <w:rPr>
                <w:rFonts w:eastAsia="Times New Roman"/>
              </w:rPr>
            </w:pPr>
            <w:r>
              <w:rPr>
                <w:rFonts w:eastAsia="Times New Roman"/>
                <w:color w:val="000000"/>
                <w:sz w:val="20"/>
                <w:szCs w:val="20"/>
              </w:rPr>
              <w:t>1,993</w:t>
            </w:r>
          </w:p>
        </w:tc>
        <w:tc>
          <w:tcPr>
            <w:tcW w:w="0" w:type="auto"/>
            <w:vAlign w:val="center"/>
            <w:hideMark/>
          </w:tcPr>
          <w:p w14:paraId="721BCCBB" w14:textId="77777777" w:rsidR="00000000" w:rsidRDefault="00A173A8">
            <w:pPr>
              <w:spacing w:after="100"/>
              <w:jc w:val="right"/>
              <w:rPr>
                <w:rFonts w:eastAsia="Times New Roman"/>
              </w:rPr>
            </w:pPr>
          </w:p>
        </w:tc>
        <w:tc>
          <w:tcPr>
            <w:tcW w:w="0" w:type="auto"/>
            <w:vAlign w:val="center"/>
            <w:hideMark/>
          </w:tcPr>
          <w:p w14:paraId="2F8A1E2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B41164"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770C04E3" w14:textId="77777777" w:rsidR="00000000" w:rsidRDefault="00A173A8">
            <w:pPr>
              <w:spacing w:after="100"/>
              <w:jc w:val="right"/>
              <w:rPr>
                <w:rFonts w:eastAsia="Times New Roman"/>
              </w:rPr>
            </w:pPr>
            <w:r>
              <w:rPr>
                <w:rFonts w:eastAsia="Times New Roman"/>
                <w:color w:val="000000"/>
                <w:sz w:val="20"/>
                <w:szCs w:val="20"/>
              </w:rPr>
              <w:t>(41)</w:t>
            </w:r>
          </w:p>
        </w:tc>
        <w:tc>
          <w:tcPr>
            <w:tcW w:w="0" w:type="auto"/>
            <w:gridSpan w:val="3"/>
            <w:vAlign w:val="center"/>
            <w:hideMark/>
          </w:tcPr>
          <w:p w14:paraId="23247752" w14:textId="77777777" w:rsidR="00000000" w:rsidRDefault="00A173A8">
            <w:pPr>
              <w:spacing w:after="100"/>
              <w:jc w:val="right"/>
              <w:rPr>
                <w:rFonts w:eastAsia="Times New Roman"/>
              </w:rPr>
            </w:pPr>
          </w:p>
        </w:tc>
        <w:tc>
          <w:tcPr>
            <w:tcW w:w="0" w:type="auto"/>
            <w:gridSpan w:val="3"/>
            <w:vAlign w:val="center"/>
            <w:hideMark/>
          </w:tcPr>
          <w:p w14:paraId="49024C32" w14:textId="77777777" w:rsidR="00000000" w:rsidRDefault="00A173A8">
            <w:pPr>
              <w:spacing w:after="100"/>
              <w:rPr>
                <w:rFonts w:eastAsia="Times New Roman"/>
                <w:sz w:val="20"/>
                <w:szCs w:val="20"/>
              </w:rPr>
            </w:pPr>
          </w:p>
        </w:tc>
      </w:tr>
      <w:tr w:rsidR="00000000" w14:paraId="6AE656C9" w14:textId="77777777">
        <w:trPr>
          <w:divId w:val="189149186"/>
        </w:trPr>
        <w:tc>
          <w:tcPr>
            <w:tcW w:w="0" w:type="auto"/>
            <w:gridSpan w:val="3"/>
            <w:shd w:val="clear" w:color="auto" w:fill="FFFFFF"/>
            <w:tcMar>
              <w:top w:w="30" w:type="dxa"/>
              <w:left w:w="20" w:type="dxa"/>
              <w:bottom w:w="30" w:type="dxa"/>
              <w:right w:w="20" w:type="dxa"/>
            </w:tcMar>
            <w:vAlign w:val="center"/>
            <w:hideMark/>
          </w:tcPr>
          <w:p w14:paraId="3002F52F" w14:textId="77777777" w:rsidR="00000000" w:rsidRDefault="00A173A8">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14:paraId="7C84CAF0"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D6A423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7BEB1D"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F77FE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F31FA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1330C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43F32D"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3D4E2D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0FDFC6"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087E48" w14:textId="77777777" w:rsidR="00000000" w:rsidRDefault="00A173A8">
            <w:pPr>
              <w:spacing w:after="100"/>
              <w:rPr>
                <w:rFonts w:eastAsia="Times New Roman"/>
                <w:sz w:val="20"/>
                <w:szCs w:val="20"/>
              </w:rPr>
            </w:pPr>
          </w:p>
        </w:tc>
        <w:tc>
          <w:tcPr>
            <w:tcW w:w="0" w:type="auto"/>
            <w:vAlign w:val="center"/>
            <w:hideMark/>
          </w:tcPr>
          <w:p w14:paraId="3DE15158" w14:textId="77777777" w:rsidR="00000000" w:rsidRDefault="00A173A8">
            <w:pPr>
              <w:spacing w:after="100"/>
              <w:rPr>
                <w:rFonts w:eastAsia="Times New Roman"/>
                <w:sz w:val="20"/>
                <w:szCs w:val="20"/>
              </w:rPr>
            </w:pPr>
          </w:p>
        </w:tc>
        <w:tc>
          <w:tcPr>
            <w:tcW w:w="0" w:type="auto"/>
            <w:vAlign w:val="center"/>
            <w:hideMark/>
          </w:tcPr>
          <w:p w14:paraId="07FA77D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D4FE8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353F16" w14:textId="77777777" w:rsidR="00000000" w:rsidRDefault="00A173A8">
            <w:pPr>
              <w:spacing w:after="100"/>
              <w:rPr>
                <w:rFonts w:eastAsia="Times New Roman"/>
                <w:sz w:val="20"/>
                <w:szCs w:val="20"/>
              </w:rPr>
            </w:pPr>
          </w:p>
        </w:tc>
        <w:tc>
          <w:tcPr>
            <w:tcW w:w="0" w:type="auto"/>
            <w:gridSpan w:val="3"/>
            <w:vAlign w:val="center"/>
            <w:hideMark/>
          </w:tcPr>
          <w:p w14:paraId="61C1F1C0" w14:textId="77777777" w:rsidR="00000000" w:rsidRDefault="00A173A8">
            <w:pPr>
              <w:spacing w:after="100"/>
              <w:rPr>
                <w:rFonts w:eastAsia="Times New Roman"/>
                <w:sz w:val="20"/>
                <w:szCs w:val="20"/>
              </w:rPr>
            </w:pPr>
          </w:p>
        </w:tc>
        <w:tc>
          <w:tcPr>
            <w:tcW w:w="0" w:type="auto"/>
            <w:gridSpan w:val="3"/>
            <w:vAlign w:val="center"/>
            <w:hideMark/>
          </w:tcPr>
          <w:p w14:paraId="68644CE2" w14:textId="77777777" w:rsidR="00000000" w:rsidRDefault="00A173A8">
            <w:pPr>
              <w:spacing w:after="100"/>
              <w:rPr>
                <w:rFonts w:eastAsia="Times New Roman"/>
                <w:sz w:val="20"/>
                <w:szCs w:val="20"/>
              </w:rPr>
            </w:pPr>
          </w:p>
        </w:tc>
      </w:tr>
      <w:tr w:rsidR="00000000" w14:paraId="0B743C08" w14:textId="77777777">
        <w:trPr>
          <w:divId w:val="189149186"/>
        </w:trPr>
        <w:tc>
          <w:tcPr>
            <w:tcW w:w="0" w:type="auto"/>
            <w:gridSpan w:val="3"/>
            <w:shd w:val="clear" w:color="auto" w:fill="CCEEFF"/>
            <w:tcMar>
              <w:top w:w="30" w:type="dxa"/>
              <w:left w:w="20" w:type="dxa"/>
              <w:bottom w:w="30" w:type="dxa"/>
              <w:right w:w="20" w:type="dxa"/>
            </w:tcMar>
            <w:vAlign w:val="center"/>
            <w:hideMark/>
          </w:tcPr>
          <w:p w14:paraId="219C514F" w14:textId="77777777" w:rsidR="00000000" w:rsidRDefault="00A173A8">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14:paraId="04E819F2"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80F0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A4C57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38958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CE90A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901A5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4EE32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6E2D4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CD023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DA117A" w14:textId="77777777" w:rsidR="00000000" w:rsidRDefault="00A173A8">
            <w:pPr>
              <w:spacing w:after="100"/>
              <w:rPr>
                <w:rFonts w:eastAsia="Times New Roman"/>
                <w:sz w:val="20"/>
                <w:szCs w:val="20"/>
              </w:rPr>
            </w:pPr>
          </w:p>
        </w:tc>
        <w:tc>
          <w:tcPr>
            <w:tcW w:w="0" w:type="auto"/>
            <w:vAlign w:val="center"/>
            <w:hideMark/>
          </w:tcPr>
          <w:p w14:paraId="40DD62F1" w14:textId="77777777" w:rsidR="00000000" w:rsidRDefault="00A173A8">
            <w:pPr>
              <w:spacing w:after="100"/>
              <w:rPr>
                <w:rFonts w:eastAsia="Times New Roman"/>
                <w:sz w:val="20"/>
                <w:szCs w:val="20"/>
              </w:rPr>
            </w:pPr>
          </w:p>
        </w:tc>
        <w:tc>
          <w:tcPr>
            <w:tcW w:w="0" w:type="auto"/>
            <w:vAlign w:val="center"/>
            <w:hideMark/>
          </w:tcPr>
          <w:p w14:paraId="0829876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3D2C3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D584EF" w14:textId="77777777" w:rsidR="00000000" w:rsidRDefault="00A173A8">
            <w:pPr>
              <w:spacing w:after="100"/>
              <w:rPr>
                <w:rFonts w:eastAsia="Times New Roman"/>
                <w:sz w:val="20"/>
                <w:szCs w:val="20"/>
              </w:rPr>
            </w:pPr>
          </w:p>
        </w:tc>
        <w:tc>
          <w:tcPr>
            <w:tcW w:w="0" w:type="auto"/>
            <w:gridSpan w:val="3"/>
            <w:vAlign w:val="center"/>
            <w:hideMark/>
          </w:tcPr>
          <w:p w14:paraId="47598796" w14:textId="77777777" w:rsidR="00000000" w:rsidRDefault="00A173A8">
            <w:pPr>
              <w:spacing w:after="100"/>
              <w:rPr>
                <w:rFonts w:eastAsia="Times New Roman"/>
                <w:sz w:val="20"/>
                <w:szCs w:val="20"/>
              </w:rPr>
            </w:pPr>
          </w:p>
        </w:tc>
        <w:tc>
          <w:tcPr>
            <w:tcW w:w="0" w:type="auto"/>
            <w:gridSpan w:val="3"/>
            <w:vAlign w:val="center"/>
            <w:hideMark/>
          </w:tcPr>
          <w:p w14:paraId="50B35943" w14:textId="77777777" w:rsidR="00000000" w:rsidRDefault="00A173A8">
            <w:pPr>
              <w:spacing w:after="100"/>
              <w:rPr>
                <w:rFonts w:eastAsia="Times New Roman"/>
                <w:sz w:val="20"/>
                <w:szCs w:val="20"/>
              </w:rPr>
            </w:pPr>
          </w:p>
        </w:tc>
      </w:tr>
      <w:tr w:rsidR="00000000" w14:paraId="64E9C23B" w14:textId="77777777">
        <w:trPr>
          <w:divId w:val="189149186"/>
        </w:trPr>
        <w:tc>
          <w:tcPr>
            <w:tcW w:w="0" w:type="auto"/>
            <w:gridSpan w:val="3"/>
            <w:shd w:val="clear" w:color="auto" w:fill="FFFFFF"/>
            <w:tcMar>
              <w:top w:w="30" w:type="dxa"/>
              <w:left w:w="245" w:type="dxa"/>
              <w:bottom w:w="30" w:type="dxa"/>
              <w:right w:w="20" w:type="dxa"/>
            </w:tcMar>
            <w:vAlign w:val="center"/>
            <w:hideMark/>
          </w:tcPr>
          <w:p w14:paraId="052FA679" w14:textId="77777777" w:rsidR="00000000" w:rsidRDefault="00A173A8">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10121FD7"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25C3135"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5D87746" w14:textId="77777777" w:rsidR="00000000" w:rsidRDefault="00A173A8">
            <w:pPr>
              <w:spacing w:after="100"/>
              <w:jc w:val="right"/>
              <w:rPr>
                <w:rFonts w:eastAsia="Times New Roman"/>
              </w:rPr>
            </w:pPr>
            <w:r>
              <w:rPr>
                <w:rFonts w:eastAsia="Times New Roman"/>
                <w:b/>
                <w:bCs/>
                <w:color w:val="000000"/>
                <w:sz w:val="20"/>
                <w:szCs w:val="20"/>
              </w:rPr>
              <w:t>79,313</w:t>
            </w:r>
          </w:p>
        </w:tc>
        <w:tc>
          <w:tcPr>
            <w:tcW w:w="0" w:type="auto"/>
            <w:gridSpan w:val="3"/>
            <w:shd w:val="clear" w:color="auto" w:fill="FFFFFF"/>
            <w:tcMar>
              <w:top w:w="0" w:type="dxa"/>
              <w:left w:w="20" w:type="dxa"/>
              <w:bottom w:w="0" w:type="dxa"/>
              <w:right w:w="20" w:type="dxa"/>
            </w:tcMar>
            <w:vAlign w:val="center"/>
            <w:hideMark/>
          </w:tcPr>
          <w:p w14:paraId="1C649B0A"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A9C839B"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171BB42" w14:textId="77777777" w:rsidR="00000000" w:rsidRDefault="00A173A8">
            <w:pPr>
              <w:spacing w:after="100"/>
              <w:jc w:val="right"/>
              <w:rPr>
                <w:rFonts w:eastAsia="Times New Roman"/>
              </w:rPr>
            </w:pPr>
            <w:r>
              <w:rPr>
                <w:rFonts w:eastAsia="Times New Roman"/>
                <w:color w:val="000000"/>
                <w:sz w:val="20"/>
                <w:szCs w:val="20"/>
              </w:rPr>
              <w:t>69,543</w:t>
            </w:r>
          </w:p>
        </w:tc>
        <w:tc>
          <w:tcPr>
            <w:tcW w:w="0" w:type="auto"/>
            <w:gridSpan w:val="3"/>
            <w:shd w:val="clear" w:color="auto" w:fill="FFFFFF"/>
            <w:tcMar>
              <w:top w:w="0" w:type="dxa"/>
              <w:left w:w="20" w:type="dxa"/>
              <w:bottom w:w="0" w:type="dxa"/>
              <w:right w:w="20" w:type="dxa"/>
            </w:tcMar>
            <w:vAlign w:val="center"/>
            <w:hideMark/>
          </w:tcPr>
          <w:p w14:paraId="4329A6AC"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2FEBEA34" w14:textId="77777777" w:rsidR="00000000" w:rsidRDefault="00A173A8">
            <w:pPr>
              <w:spacing w:after="100"/>
              <w:jc w:val="right"/>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14:paraId="08849EF1"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2D2330E"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4FD8012" w14:textId="77777777" w:rsidR="00000000" w:rsidRDefault="00A173A8">
            <w:pPr>
              <w:spacing w:after="100"/>
              <w:jc w:val="right"/>
              <w:rPr>
                <w:rFonts w:eastAsia="Times New Roman"/>
              </w:rPr>
            </w:pPr>
            <w:r>
              <w:rPr>
                <w:rFonts w:eastAsia="Times New Roman"/>
                <w:b/>
                <w:bCs/>
                <w:color w:val="000000"/>
                <w:sz w:val="20"/>
                <w:szCs w:val="20"/>
              </w:rPr>
              <w:t>78,109</w:t>
            </w:r>
          </w:p>
        </w:tc>
        <w:tc>
          <w:tcPr>
            <w:tcW w:w="0" w:type="auto"/>
            <w:gridSpan w:val="3"/>
            <w:shd w:val="clear" w:color="auto" w:fill="FFFFFF"/>
            <w:tcMar>
              <w:top w:w="0" w:type="dxa"/>
              <w:left w:w="20" w:type="dxa"/>
              <w:bottom w:w="0" w:type="dxa"/>
              <w:right w:w="20" w:type="dxa"/>
            </w:tcMar>
            <w:vAlign w:val="center"/>
            <w:hideMark/>
          </w:tcPr>
          <w:p w14:paraId="7C270029"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F3E2BFD"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F2A75EF" w14:textId="77777777" w:rsidR="00000000" w:rsidRDefault="00A173A8">
            <w:pPr>
              <w:spacing w:after="100"/>
              <w:jc w:val="right"/>
              <w:rPr>
                <w:rFonts w:eastAsia="Times New Roman"/>
              </w:rPr>
            </w:pPr>
            <w:r>
              <w:rPr>
                <w:rFonts w:eastAsia="Times New Roman"/>
                <w:color w:val="000000"/>
                <w:sz w:val="20"/>
                <w:szCs w:val="20"/>
              </w:rPr>
              <w:t>67,873</w:t>
            </w:r>
          </w:p>
        </w:tc>
        <w:tc>
          <w:tcPr>
            <w:tcW w:w="0" w:type="auto"/>
            <w:vAlign w:val="center"/>
            <w:hideMark/>
          </w:tcPr>
          <w:p w14:paraId="6AFB1063" w14:textId="77777777" w:rsidR="00000000" w:rsidRDefault="00A173A8">
            <w:pPr>
              <w:spacing w:after="100"/>
              <w:jc w:val="right"/>
              <w:rPr>
                <w:rFonts w:eastAsia="Times New Roman"/>
              </w:rPr>
            </w:pPr>
          </w:p>
        </w:tc>
        <w:tc>
          <w:tcPr>
            <w:tcW w:w="0" w:type="auto"/>
            <w:vAlign w:val="center"/>
            <w:hideMark/>
          </w:tcPr>
          <w:p w14:paraId="3CB0998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FDC74C"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6BD39BDA" w14:textId="77777777" w:rsidR="00000000" w:rsidRDefault="00A173A8">
            <w:pPr>
              <w:spacing w:after="100"/>
              <w:jc w:val="right"/>
              <w:rPr>
                <w:rFonts w:eastAsia="Times New Roman"/>
              </w:rPr>
            </w:pPr>
            <w:r>
              <w:rPr>
                <w:rFonts w:eastAsia="Times New Roman"/>
                <w:color w:val="000000"/>
                <w:sz w:val="20"/>
                <w:szCs w:val="20"/>
              </w:rPr>
              <w:t>15</w:t>
            </w:r>
          </w:p>
        </w:tc>
        <w:tc>
          <w:tcPr>
            <w:tcW w:w="0" w:type="auto"/>
            <w:gridSpan w:val="3"/>
            <w:vAlign w:val="center"/>
            <w:hideMark/>
          </w:tcPr>
          <w:p w14:paraId="300EF3F5" w14:textId="77777777" w:rsidR="00000000" w:rsidRDefault="00A173A8">
            <w:pPr>
              <w:spacing w:after="100"/>
              <w:jc w:val="right"/>
              <w:rPr>
                <w:rFonts w:eastAsia="Times New Roman"/>
              </w:rPr>
            </w:pPr>
          </w:p>
        </w:tc>
        <w:tc>
          <w:tcPr>
            <w:tcW w:w="0" w:type="auto"/>
            <w:gridSpan w:val="3"/>
            <w:vAlign w:val="center"/>
            <w:hideMark/>
          </w:tcPr>
          <w:p w14:paraId="48B1B7EC" w14:textId="77777777" w:rsidR="00000000" w:rsidRDefault="00A173A8">
            <w:pPr>
              <w:spacing w:after="100"/>
              <w:rPr>
                <w:rFonts w:eastAsia="Times New Roman"/>
                <w:sz w:val="20"/>
                <w:szCs w:val="20"/>
              </w:rPr>
            </w:pPr>
          </w:p>
        </w:tc>
      </w:tr>
      <w:tr w:rsidR="00000000" w14:paraId="5511797A" w14:textId="77777777">
        <w:trPr>
          <w:divId w:val="189149186"/>
        </w:trPr>
        <w:tc>
          <w:tcPr>
            <w:tcW w:w="0" w:type="auto"/>
            <w:gridSpan w:val="3"/>
            <w:shd w:val="clear" w:color="auto" w:fill="CCEEFF"/>
            <w:tcMar>
              <w:top w:w="30" w:type="dxa"/>
              <w:left w:w="245" w:type="dxa"/>
              <w:bottom w:w="30" w:type="dxa"/>
              <w:right w:w="20" w:type="dxa"/>
            </w:tcMar>
            <w:vAlign w:val="center"/>
            <w:hideMark/>
          </w:tcPr>
          <w:p w14:paraId="76CD480B" w14:textId="77777777" w:rsidR="00000000" w:rsidRDefault="00A173A8">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14:paraId="3C51BC71"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6B70B00" w14:textId="77777777" w:rsidR="00000000" w:rsidRDefault="00A173A8">
            <w:pPr>
              <w:spacing w:after="100"/>
              <w:jc w:val="right"/>
              <w:rPr>
                <w:rFonts w:eastAsia="Times New Roman"/>
              </w:rPr>
            </w:pPr>
            <w:r>
              <w:rPr>
                <w:rFonts w:eastAsia="Times New Roman"/>
                <w:b/>
                <w:bCs/>
                <w:color w:val="000000"/>
                <w:sz w:val="20"/>
                <w:szCs w:val="20"/>
              </w:rPr>
              <w:t>1,668</w:t>
            </w:r>
          </w:p>
        </w:tc>
        <w:tc>
          <w:tcPr>
            <w:tcW w:w="0" w:type="auto"/>
            <w:gridSpan w:val="3"/>
            <w:shd w:val="clear" w:color="auto" w:fill="CCEEFF"/>
            <w:tcMar>
              <w:top w:w="0" w:type="dxa"/>
              <w:left w:w="20" w:type="dxa"/>
              <w:bottom w:w="0" w:type="dxa"/>
              <w:right w:w="20" w:type="dxa"/>
            </w:tcMar>
            <w:vAlign w:val="center"/>
            <w:hideMark/>
          </w:tcPr>
          <w:p w14:paraId="572DD19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3CDAE53" w14:textId="77777777" w:rsidR="00000000" w:rsidRDefault="00A173A8">
            <w:pPr>
              <w:spacing w:after="100"/>
              <w:jc w:val="right"/>
              <w:rPr>
                <w:rFonts w:eastAsia="Times New Roman"/>
              </w:rPr>
            </w:pPr>
            <w:r>
              <w:rPr>
                <w:rFonts w:eastAsia="Times New Roman"/>
                <w:color w:val="000000"/>
                <w:sz w:val="20"/>
                <w:szCs w:val="20"/>
              </w:rPr>
              <w:t>3,162</w:t>
            </w:r>
          </w:p>
        </w:tc>
        <w:tc>
          <w:tcPr>
            <w:tcW w:w="0" w:type="auto"/>
            <w:gridSpan w:val="3"/>
            <w:shd w:val="clear" w:color="auto" w:fill="CCEEFF"/>
            <w:tcMar>
              <w:top w:w="0" w:type="dxa"/>
              <w:left w:w="20" w:type="dxa"/>
              <w:bottom w:w="0" w:type="dxa"/>
              <w:right w:w="20" w:type="dxa"/>
            </w:tcMar>
            <w:vAlign w:val="center"/>
            <w:hideMark/>
          </w:tcPr>
          <w:p w14:paraId="54A5694A"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68C50C21" w14:textId="77777777" w:rsidR="00000000" w:rsidRDefault="00A173A8">
            <w:pPr>
              <w:spacing w:after="100"/>
              <w:jc w:val="right"/>
              <w:rPr>
                <w:rFonts w:eastAsia="Times New Roman"/>
              </w:rPr>
            </w:pPr>
            <w:r>
              <w:rPr>
                <w:rFonts w:eastAsia="Times New Roman"/>
                <w:color w:val="000000"/>
                <w:sz w:val="20"/>
                <w:szCs w:val="20"/>
              </w:rPr>
              <w:t>(47)</w:t>
            </w:r>
          </w:p>
        </w:tc>
        <w:tc>
          <w:tcPr>
            <w:tcW w:w="0" w:type="auto"/>
            <w:gridSpan w:val="3"/>
            <w:shd w:val="clear" w:color="auto" w:fill="CCEEFF"/>
            <w:tcMar>
              <w:top w:w="0" w:type="dxa"/>
              <w:left w:w="20" w:type="dxa"/>
              <w:bottom w:w="0" w:type="dxa"/>
              <w:right w:w="20" w:type="dxa"/>
            </w:tcMar>
            <w:vAlign w:val="center"/>
            <w:hideMark/>
          </w:tcPr>
          <w:p w14:paraId="6A6F3C6E"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86E3E1F" w14:textId="77777777" w:rsidR="00000000" w:rsidRDefault="00A173A8">
            <w:pPr>
              <w:spacing w:after="100"/>
              <w:jc w:val="right"/>
              <w:rPr>
                <w:rFonts w:eastAsia="Times New Roman"/>
              </w:rPr>
            </w:pPr>
            <w:r>
              <w:rPr>
                <w:rFonts w:eastAsia="Times New Roman"/>
                <w:b/>
                <w:bCs/>
                <w:color w:val="000000"/>
                <w:sz w:val="20"/>
                <w:szCs w:val="20"/>
              </w:rPr>
              <w:t>1,732</w:t>
            </w:r>
          </w:p>
        </w:tc>
        <w:tc>
          <w:tcPr>
            <w:tcW w:w="0" w:type="auto"/>
            <w:gridSpan w:val="3"/>
            <w:shd w:val="clear" w:color="auto" w:fill="CCEEFF"/>
            <w:tcMar>
              <w:top w:w="0" w:type="dxa"/>
              <w:left w:w="20" w:type="dxa"/>
              <w:bottom w:w="0" w:type="dxa"/>
              <w:right w:w="20" w:type="dxa"/>
            </w:tcMar>
            <w:vAlign w:val="center"/>
            <w:hideMark/>
          </w:tcPr>
          <w:p w14:paraId="4852164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102CCA81" w14:textId="77777777" w:rsidR="00000000" w:rsidRDefault="00A173A8">
            <w:pPr>
              <w:spacing w:after="100"/>
              <w:jc w:val="right"/>
              <w:rPr>
                <w:rFonts w:eastAsia="Times New Roman"/>
              </w:rPr>
            </w:pPr>
            <w:r>
              <w:rPr>
                <w:rFonts w:eastAsia="Times New Roman"/>
                <w:color w:val="000000"/>
                <w:sz w:val="20"/>
                <w:szCs w:val="20"/>
              </w:rPr>
              <w:t>3,106</w:t>
            </w:r>
          </w:p>
        </w:tc>
        <w:tc>
          <w:tcPr>
            <w:tcW w:w="0" w:type="auto"/>
            <w:vAlign w:val="center"/>
            <w:hideMark/>
          </w:tcPr>
          <w:p w14:paraId="21617940" w14:textId="77777777" w:rsidR="00000000" w:rsidRDefault="00A173A8">
            <w:pPr>
              <w:spacing w:after="100"/>
              <w:jc w:val="right"/>
              <w:rPr>
                <w:rFonts w:eastAsia="Times New Roman"/>
              </w:rPr>
            </w:pPr>
          </w:p>
        </w:tc>
        <w:tc>
          <w:tcPr>
            <w:tcW w:w="0" w:type="auto"/>
            <w:vAlign w:val="center"/>
            <w:hideMark/>
          </w:tcPr>
          <w:p w14:paraId="3375638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78966D"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622F9FA6" w14:textId="77777777" w:rsidR="00000000" w:rsidRDefault="00A173A8">
            <w:pPr>
              <w:spacing w:after="100"/>
              <w:jc w:val="right"/>
              <w:rPr>
                <w:rFonts w:eastAsia="Times New Roman"/>
              </w:rPr>
            </w:pPr>
            <w:r>
              <w:rPr>
                <w:rFonts w:eastAsia="Times New Roman"/>
                <w:color w:val="000000"/>
                <w:sz w:val="20"/>
                <w:szCs w:val="20"/>
              </w:rPr>
              <w:t>(44)</w:t>
            </w:r>
          </w:p>
        </w:tc>
        <w:tc>
          <w:tcPr>
            <w:tcW w:w="0" w:type="auto"/>
            <w:gridSpan w:val="3"/>
            <w:vAlign w:val="center"/>
            <w:hideMark/>
          </w:tcPr>
          <w:p w14:paraId="580C8B27" w14:textId="77777777" w:rsidR="00000000" w:rsidRDefault="00A173A8">
            <w:pPr>
              <w:spacing w:after="100"/>
              <w:jc w:val="right"/>
              <w:rPr>
                <w:rFonts w:eastAsia="Times New Roman"/>
              </w:rPr>
            </w:pPr>
          </w:p>
        </w:tc>
        <w:tc>
          <w:tcPr>
            <w:tcW w:w="0" w:type="auto"/>
            <w:gridSpan w:val="3"/>
            <w:vAlign w:val="center"/>
            <w:hideMark/>
          </w:tcPr>
          <w:p w14:paraId="74434DED" w14:textId="77777777" w:rsidR="00000000" w:rsidRDefault="00A173A8">
            <w:pPr>
              <w:spacing w:after="100"/>
              <w:rPr>
                <w:rFonts w:eastAsia="Times New Roman"/>
                <w:sz w:val="20"/>
                <w:szCs w:val="20"/>
              </w:rPr>
            </w:pPr>
          </w:p>
        </w:tc>
      </w:tr>
      <w:tr w:rsidR="00000000" w14:paraId="6DA12C16" w14:textId="77777777">
        <w:trPr>
          <w:divId w:val="189149186"/>
        </w:trPr>
        <w:tc>
          <w:tcPr>
            <w:tcW w:w="0" w:type="auto"/>
            <w:gridSpan w:val="3"/>
            <w:shd w:val="clear" w:color="auto" w:fill="FFFFFF"/>
            <w:tcMar>
              <w:top w:w="30" w:type="dxa"/>
              <w:left w:w="20" w:type="dxa"/>
              <w:bottom w:w="30" w:type="dxa"/>
              <w:right w:w="20" w:type="dxa"/>
            </w:tcMar>
            <w:vAlign w:val="center"/>
            <w:hideMark/>
          </w:tcPr>
          <w:p w14:paraId="1A6E2B3E" w14:textId="77777777" w:rsidR="00000000" w:rsidRDefault="00A173A8">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0F7DAEE9"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ABDBC3"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531AADBE" w14:textId="77777777" w:rsidR="00000000" w:rsidRDefault="00A173A8">
            <w:pPr>
              <w:spacing w:after="100"/>
              <w:jc w:val="right"/>
              <w:rPr>
                <w:rFonts w:eastAsia="Times New Roman"/>
              </w:rPr>
            </w:pPr>
            <w:r>
              <w:rPr>
                <w:rFonts w:eastAsia="Times New Roman"/>
                <w:b/>
                <w:bCs/>
                <w:color w:val="000000"/>
                <w:sz w:val="20"/>
                <w:szCs w:val="20"/>
              </w:rPr>
              <w:t>80,981</w:t>
            </w:r>
          </w:p>
        </w:tc>
        <w:tc>
          <w:tcPr>
            <w:tcW w:w="0" w:type="auto"/>
            <w:gridSpan w:val="3"/>
            <w:shd w:val="clear" w:color="auto" w:fill="FFFFFF"/>
            <w:tcMar>
              <w:top w:w="0" w:type="dxa"/>
              <w:left w:w="20" w:type="dxa"/>
              <w:bottom w:w="0" w:type="dxa"/>
              <w:right w:w="20" w:type="dxa"/>
            </w:tcMar>
            <w:vAlign w:val="center"/>
            <w:hideMark/>
          </w:tcPr>
          <w:p w14:paraId="41882D10" w14:textId="77777777" w:rsidR="00000000" w:rsidRDefault="00A173A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358CE4"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416AC4A5" w14:textId="77777777" w:rsidR="00000000" w:rsidRDefault="00A173A8">
            <w:pPr>
              <w:spacing w:after="100"/>
              <w:jc w:val="right"/>
              <w:rPr>
                <w:rFonts w:eastAsia="Times New Roman"/>
              </w:rPr>
            </w:pPr>
            <w:r>
              <w:rPr>
                <w:rFonts w:eastAsia="Times New Roman"/>
                <w:color w:val="000000"/>
                <w:sz w:val="20"/>
                <w:szCs w:val="20"/>
              </w:rPr>
              <w:t>72,705</w:t>
            </w:r>
          </w:p>
        </w:tc>
        <w:tc>
          <w:tcPr>
            <w:tcW w:w="0" w:type="auto"/>
            <w:gridSpan w:val="3"/>
            <w:shd w:val="clear" w:color="auto" w:fill="FFFFFF"/>
            <w:tcMar>
              <w:top w:w="0" w:type="dxa"/>
              <w:left w:w="20" w:type="dxa"/>
              <w:bottom w:w="0" w:type="dxa"/>
              <w:right w:w="20" w:type="dxa"/>
            </w:tcMar>
            <w:vAlign w:val="center"/>
            <w:hideMark/>
          </w:tcPr>
          <w:p w14:paraId="3806C229"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76537F06" w14:textId="77777777" w:rsidR="00000000" w:rsidRDefault="00A173A8">
            <w:pPr>
              <w:spacing w:after="100"/>
              <w:jc w:val="right"/>
              <w:rPr>
                <w:rFonts w:eastAsia="Times New Roman"/>
              </w:rPr>
            </w:pPr>
            <w:r>
              <w:rPr>
                <w:rFonts w:eastAsia="Times New Roman"/>
                <w:color w:val="000000"/>
                <w:sz w:val="20"/>
                <w:szCs w:val="20"/>
              </w:rPr>
              <w:t>11</w:t>
            </w:r>
          </w:p>
        </w:tc>
        <w:tc>
          <w:tcPr>
            <w:tcW w:w="0" w:type="auto"/>
            <w:gridSpan w:val="3"/>
            <w:shd w:val="clear" w:color="auto" w:fill="FFFFFF"/>
            <w:tcMar>
              <w:top w:w="0" w:type="dxa"/>
              <w:left w:w="20" w:type="dxa"/>
              <w:bottom w:w="0" w:type="dxa"/>
              <w:right w:w="20" w:type="dxa"/>
            </w:tcMar>
            <w:vAlign w:val="center"/>
            <w:hideMark/>
          </w:tcPr>
          <w:p w14:paraId="7C3D0B1A" w14:textId="77777777" w:rsidR="00000000" w:rsidRDefault="00A173A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DFE373"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4425881F" w14:textId="77777777" w:rsidR="00000000" w:rsidRDefault="00A173A8">
            <w:pPr>
              <w:spacing w:after="100"/>
              <w:jc w:val="right"/>
              <w:rPr>
                <w:rFonts w:eastAsia="Times New Roman"/>
              </w:rPr>
            </w:pPr>
            <w:r>
              <w:rPr>
                <w:rFonts w:eastAsia="Times New Roman"/>
                <w:b/>
                <w:bCs/>
                <w:color w:val="000000"/>
                <w:sz w:val="20"/>
                <w:szCs w:val="20"/>
              </w:rPr>
              <w:t>79,841</w:t>
            </w:r>
          </w:p>
        </w:tc>
        <w:tc>
          <w:tcPr>
            <w:tcW w:w="0" w:type="auto"/>
            <w:gridSpan w:val="3"/>
            <w:shd w:val="clear" w:color="auto" w:fill="FFFFFF"/>
            <w:tcMar>
              <w:top w:w="0" w:type="dxa"/>
              <w:left w:w="20" w:type="dxa"/>
              <w:bottom w:w="0" w:type="dxa"/>
              <w:right w:w="20" w:type="dxa"/>
            </w:tcMar>
            <w:vAlign w:val="center"/>
            <w:hideMark/>
          </w:tcPr>
          <w:p w14:paraId="6EE3E2D4" w14:textId="77777777" w:rsidR="00000000" w:rsidRDefault="00A173A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81C97D"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091B9E99" w14:textId="77777777" w:rsidR="00000000" w:rsidRDefault="00A173A8">
            <w:pPr>
              <w:spacing w:after="100"/>
              <w:jc w:val="right"/>
              <w:rPr>
                <w:rFonts w:eastAsia="Times New Roman"/>
              </w:rPr>
            </w:pPr>
            <w:r>
              <w:rPr>
                <w:rFonts w:eastAsia="Times New Roman"/>
                <w:color w:val="000000"/>
                <w:sz w:val="20"/>
                <w:szCs w:val="20"/>
              </w:rPr>
              <w:t>70,979</w:t>
            </w:r>
          </w:p>
        </w:tc>
        <w:tc>
          <w:tcPr>
            <w:tcW w:w="0" w:type="auto"/>
            <w:vAlign w:val="center"/>
            <w:hideMark/>
          </w:tcPr>
          <w:p w14:paraId="03A0136D" w14:textId="77777777" w:rsidR="00000000" w:rsidRDefault="00A173A8">
            <w:pPr>
              <w:spacing w:after="100"/>
              <w:jc w:val="right"/>
              <w:rPr>
                <w:rFonts w:eastAsia="Times New Roman"/>
              </w:rPr>
            </w:pPr>
          </w:p>
        </w:tc>
        <w:tc>
          <w:tcPr>
            <w:tcW w:w="0" w:type="auto"/>
            <w:vAlign w:val="center"/>
            <w:hideMark/>
          </w:tcPr>
          <w:p w14:paraId="2F15E6C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436A9C"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135DC85A" w14:textId="77777777" w:rsidR="00000000" w:rsidRDefault="00A173A8">
            <w:pPr>
              <w:spacing w:after="100"/>
              <w:jc w:val="right"/>
              <w:rPr>
                <w:rFonts w:eastAsia="Times New Roman"/>
              </w:rPr>
            </w:pPr>
            <w:r>
              <w:rPr>
                <w:rFonts w:eastAsia="Times New Roman"/>
                <w:color w:val="000000"/>
                <w:sz w:val="20"/>
                <w:szCs w:val="20"/>
              </w:rPr>
              <w:t>12</w:t>
            </w:r>
          </w:p>
        </w:tc>
        <w:tc>
          <w:tcPr>
            <w:tcW w:w="0" w:type="auto"/>
            <w:gridSpan w:val="3"/>
            <w:vAlign w:val="center"/>
            <w:hideMark/>
          </w:tcPr>
          <w:p w14:paraId="0FDBEAE8" w14:textId="77777777" w:rsidR="00000000" w:rsidRDefault="00A173A8">
            <w:pPr>
              <w:spacing w:after="100"/>
              <w:jc w:val="right"/>
              <w:rPr>
                <w:rFonts w:eastAsia="Times New Roman"/>
              </w:rPr>
            </w:pPr>
          </w:p>
        </w:tc>
        <w:tc>
          <w:tcPr>
            <w:tcW w:w="0" w:type="auto"/>
            <w:gridSpan w:val="3"/>
            <w:vAlign w:val="center"/>
            <w:hideMark/>
          </w:tcPr>
          <w:p w14:paraId="02CF8154" w14:textId="77777777" w:rsidR="00000000" w:rsidRDefault="00A173A8">
            <w:pPr>
              <w:spacing w:after="100"/>
              <w:rPr>
                <w:rFonts w:eastAsia="Times New Roman"/>
                <w:sz w:val="20"/>
                <w:szCs w:val="20"/>
              </w:rPr>
            </w:pPr>
          </w:p>
        </w:tc>
      </w:tr>
      <w:tr w:rsidR="00000000" w14:paraId="537C4DFB" w14:textId="77777777">
        <w:trPr>
          <w:divId w:val="189149186"/>
        </w:trPr>
        <w:tc>
          <w:tcPr>
            <w:tcW w:w="0" w:type="auto"/>
            <w:gridSpan w:val="3"/>
            <w:shd w:val="clear" w:color="auto" w:fill="CCEEFF"/>
            <w:tcMar>
              <w:top w:w="30" w:type="dxa"/>
              <w:left w:w="20" w:type="dxa"/>
              <w:bottom w:w="30" w:type="dxa"/>
              <w:right w:w="20" w:type="dxa"/>
            </w:tcMar>
            <w:vAlign w:val="center"/>
            <w:hideMark/>
          </w:tcPr>
          <w:p w14:paraId="5B252727" w14:textId="77777777" w:rsidR="00000000" w:rsidRDefault="00A173A8">
            <w:pPr>
              <w:spacing w:after="100"/>
              <w:divId w:val="686057190"/>
              <w:rPr>
                <w:rFonts w:eastAsia="Times New Roman"/>
              </w:rPr>
            </w:pPr>
            <w:r>
              <w:rPr>
                <w:rFonts w:eastAsia="Times New Roman"/>
                <w:color w:val="000000"/>
                <w:sz w:val="20"/>
                <w:szCs w:val="20"/>
              </w:rPr>
              <w:t>Average yield on loans held for investmen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B5BE7F2" w14:textId="77777777" w:rsidR="00000000" w:rsidRDefault="00A173A8">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FDE1484" w14:textId="77777777" w:rsidR="00000000" w:rsidRDefault="00A173A8">
            <w:pPr>
              <w:spacing w:after="100"/>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5C5F17C"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5CDDA3E"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140" w:type="dxa"/>
            </w:tcMar>
            <w:vAlign w:val="bottom"/>
            <w:hideMark/>
          </w:tcPr>
          <w:p w14:paraId="253A5F35" w14:textId="77777777" w:rsidR="00000000" w:rsidRDefault="00A173A8">
            <w:pPr>
              <w:spacing w:after="100"/>
              <w:jc w:val="right"/>
              <w:rPr>
                <w:rFonts w:eastAsia="Times New Roman"/>
              </w:rPr>
            </w:pPr>
            <w:r>
              <w:rPr>
                <w:rFonts w:eastAsia="Times New Roman"/>
                <w:color w:val="000000"/>
                <w:sz w:val="20"/>
                <w:szCs w:val="20"/>
              </w:rPr>
              <w:t>7.99%</w:t>
            </w:r>
          </w:p>
        </w:tc>
        <w:tc>
          <w:tcPr>
            <w:tcW w:w="0" w:type="auto"/>
            <w:gridSpan w:val="3"/>
            <w:shd w:val="clear" w:color="auto" w:fill="CCEEFF"/>
            <w:tcMar>
              <w:top w:w="0" w:type="dxa"/>
              <w:left w:w="20" w:type="dxa"/>
              <w:bottom w:w="0" w:type="dxa"/>
              <w:right w:w="20" w:type="dxa"/>
            </w:tcMar>
            <w:vAlign w:val="center"/>
            <w:hideMark/>
          </w:tcPr>
          <w:p w14:paraId="4B63303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73CD3FE" w14:textId="77777777" w:rsidR="00000000" w:rsidRDefault="00A173A8">
            <w:pPr>
              <w:spacing w:after="100"/>
              <w:jc w:val="right"/>
              <w:rPr>
                <w:rFonts w:eastAsia="Times New Roman"/>
              </w:rPr>
            </w:pPr>
            <w:r>
              <w:rPr>
                <w:rFonts w:eastAsia="Times New Roman"/>
                <w:color w:val="000000"/>
                <w:sz w:val="20"/>
                <w:szCs w:val="20"/>
              </w:rPr>
              <w:t>(91)bps</w:t>
            </w:r>
          </w:p>
        </w:tc>
        <w:tc>
          <w:tcPr>
            <w:tcW w:w="0" w:type="auto"/>
            <w:gridSpan w:val="3"/>
            <w:shd w:val="clear" w:color="auto" w:fill="CCEEFF"/>
            <w:tcMar>
              <w:top w:w="0" w:type="dxa"/>
              <w:left w:w="20" w:type="dxa"/>
              <w:bottom w:w="0" w:type="dxa"/>
              <w:right w:w="20" w:type="dxa"/>
            </w:tcMar>
            <w:vAlign w:val="center"/>
            <w:hideMark/>
          </w:tcPr>
          <w:p w14:paraId="339D8B58"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DF7812A" w14:textId="77777777" w:rsidR="00000000" w:rsidRDefault="00A173A8">
            <w:pPr>
              <w:spacing w:after="100"/>
              <w:jc w:val="right"/>
              <w:rPr>
                <w:rFonts w:eastAsia="Times New Roman"/>
              </w:rPr>
            </w:pPr>
            <w:r>
              <w:rPr>
                <w:rFonts w:eastAsia="Times New Roman"/>
                <w:b/>
                <w:bCs/>
                <w:color w:val="000000"/>
                <w:sz w:val="20"/>
                <w:szCs w:val="20"/>
              </w:rPr>
              <w:t>7.13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B230C10"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92998D"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140" w:type="dxa"/>
            </w:tcMar>
            <w:vAlign w:val="bottom"/>
            <w:hideMark/>
          </w:tcPr>
          <w:p w14:paraId="1519AAF7" w14:textId="77777777" w:rsidR="00000000" w:rsidRDefault="00A173A8">
            <w:pPr>
              <w:spacing w:after="100"/>
              <w:jc w:val="right"/>
              <w:rPr>
                <w:rFonts w:eastAsia="Times New Roman"/>
              </w:rPr>
            </w:pPr>
            <w:r>
              <w:rPr>
                <w:rFonts w:eastAsia="Times New Roman"/>
                <w:color w:val="000000"/>
                <w:sz w:val="20"/>
                <w:szCs w:val="20"/>
              </w:rPr>
              <w:t>8.07%</w:t>
            </w:r>
          </w:p>
        </w:tc>
        <w:tc>
          <w:tcPr>
            <w:tcW w:w="0" w:type="auto"/>
            <w:vAlign w:val="center"/>
            <w:hideMark/>
          </w:tcPr>
          <w:p w14:paraId="14C0790F" w14:textId="77777777" w:rsidR="00000000" w:rsidRDefault="00A173A8">
            <w:pPr>
              <w:spacing w:after="100"/>
              <w:jc w:val="right"/>
              <w:rPr>
                <w:rFonts w:eastAsia="Times New Roman"/>
              </w:rPr>
            </w:pPr>
          </w:p>
        </w:tc>
        <w:tc>
          <w:tcPr>
            <w:tcW w:w="0" w:type="auto"/>
            <w:vAlign w:val="center"/>
            <w:hideMark/>
          </w:tcPr>
          <w:p w14:paraId="36F0F82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6E04B4"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78B7613A" w14:textId="77777777" w:rsidR="00000000" w:rsidRDefault="00A173A8">
            <w:pPr>
              <w:spacing w:after="100"/>
              <w:jc w:val="right"/>
              <w:rPr>
                <w:rFonts w:eastAsia="Times New Roman"/>
              </w:rPr>
            </w:pPr>
            <w:r>
              <w:rPr>
                <w:rFonts w:eastAsia="Times New Roman"/>
                <w:color w:val="000000"/>
                <w:sz w:val="20"/>
                <w:szCs w:val="20"/>
              </w:rPr>
              <w:t>(94)bps</w:t>
            </w:r>
          </w:p>
        </w:tc>
        <w:tc>
          <w:tcPr>
            <w:tcW w:w="0" w:type="auto"/>
            <w:gridSpan w:val="3"/>
            <w:vAlign w:val="center"/>
            <w:hideMark/>
          </w:tcPr>
          <w:p w14:paraId="2E19E73B" w14:textId="77777777" w:rsidR="00000000" w:rsidRDefault="00A173A8">
            <w:pPr>
              <w:spacing w:after="100"/>
              <w:jc w:val="right"/>
              <w:rPr>
                <w:rFonts w:eastAsia="Times New Roman"/>
              </w:rPr>
            </w:pPr>
          </w:p>
        </w:tc>
        <w:tc>
          <w:tcPr>
            <w:tcW w:w="0" w:type="auto"/>
            <w:gridSpan w:val="3"/>
            <w:vAlign w:val="center"/>
            <w:hideMark/>
          </w:tcPr>
          <w:p w14:paraId="32C89156" w14:textId="77777777" w:rsidR="00000000" w:rsidRDefault="00A173A8">
            <w:pPr>
              <w:spacing w:after="100"/>
              <w:rPr>
                <w:rFonts w:eastAsia="Times New Roman"/>
                <w:sz w:val="20"/>
                <w:szCs w:val="20"/>
              </w:rPr>
            </w:pPr>
          </w:p>
        </w:tc>
      </w:tr>
      <w:tr w:rsidR="00000000" w14:paraId="06336975" w14:textId="77777777">
        <w:trPr>
          <w:divId w:val="189149186"/>
        </w:trPr>
        <w:tc>
          <w:tcPr>
            <w:tcW w:w="0" w:type="auto"/>
            <w:gridSpan w:val="3"/>
            <w:shd w:val="clear" w:color="auto" w:fill="FFFFFF"/>
            <w:tcMar>
              <w:top w:w="30" w:type="dxa"/>
              <w:left w:w="20" w:type="dxa"/>
              <w:bottom w:w="30" w:type="dxa"/>
              <w:right w:w="20" w:type="dxa"/>
            </w:tcMar>
            <w:vAlign w:val="center"/>
            <w:hideMark/>
          </w:tcPr>
          <w:p w14:paraId="62C889CC" w14:textId="77777777" w:rsidR="00000000" w:rsidRDefault="00A173A8">
            <w:pPr>
              <w:spacing w:after="100"/>
              <w:rPr>
                <w:rFonts w:eastAsia="Times New Roman"/>
              </w:rPr>
            </w:pPr>
            <w:r>
              <w:rPr>
                <w:rFonts w:eastAsia="Times New Roman"/>
                <w:color w:val="000000"/>
                <w:sz w:val="20"/>
                <w:szCs w:val="20"/>
              </w:rPr>
              <w:t>Average deposits</w:t>
            </w:r>
          </w:p>
        </w:tc>
        <w:tc>
          <w:tcPr>
            <w:tcW w:w="0" w:type="auto"/>
            <w:gridSpan w:val="3"/>
            <w:shd w:val="clear" w:color="auto" w:fill="FFFFFF"/>
            <w:tcMar>
              <w:top w:w="0" w:type="dxa"/>
              <w:left w:w="20" w:type="dxa"/>
              <w:bottom w:w="0" w:type="dxa"/>
              <w:right w:w="20" w:type="dxa"/>
            </w:tcMar>
            <w:vAlign w:val="center"/>
            <w:hideMark/>
          </w:tcPr>
          <w:p w14:paraId="425B3B5D"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10139F9"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719E178" w14:textId="77777777" w:rsidR="00000000" w:rsidRDefault="00A173A8">
            <w:pPr>
              <w:spacing w:after="100"/>
              <w:jc w:val="right"/>
              <w:rPr>
                <w:rFonts w:eastAsia="Times New Roman"/>
              </w:rPr>
            </w:pPr>
            <w:r>
              <w:rPr>
                <w:rFonts w:eastAsia="Times New Roman"/>
                <w:b/>
                <w:bCs/>
                <w:color w:val="000000"/>
                <w:sz w:val="20"/>
                <w:szCs w:val="20"/>
              </w:rPr>
              <w:t>254,336</w:t>
            </w:r>
          </w:p>
        </w:tc>
        <w:tc>
          <w:tcPr>
            <w:tcW w:w="0" w:type="auto"/>
            <w:gridSpan w:val="3"/>
            <w:shd w:val="clear" w:color="auto" w:fill="FFFFFF"/>
            <w:tcMar>
              <w:top w:w="0" w:type="dxa"/>
              <w:left w:w="20" w:type="dxa"/>
              <w:bottom w:w="0" w:type="dxa"/>
              <w:right w:w="20" w:type="dxa"/>
            </w:tcMar>
            <w:vAlign w:val="center"/>
            <w:hideMark/>
          </w:tcPr>
          <w:p w14:paraId="66EB9487"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6ADFA5F"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B6B0DF8" w14:textId="77777777" w:rsidR="00000000" w:rsidRDefault="00A173A8">
            <w:pPr>
              <w:spacing w:after="100"/>
              <w:jc w:val="right"/>
              <w:rPr>
                <w:rFonts w:eastAsia="Times New Roman"/>
              </w:rPr>
            </w:pPr>
            <w:r>
              <w:rPr>
                <w:rFonts w:eastAsia="Times New Roman"/>
                <w:color w:val="000000"/>
                <w:sz w:val="20"/>
                <w:szCs w:val="20"/>
              </w:rPr>
              <w:t>252,488</w:t>
            </w:r>
          </w:p>
        </w:tc>
        <w:tc>
          <w:tcPr>
            <w:tcW w:w="0" w:type="auto"/>
            <w:gridSpan w:val="3"/>
            <w:shd w:val="clear" w:color="auto" w:fill="FFFFFF"/>
            <w:tcMar>
              <w:top w:w="0" w:type="dxa"/>
              <w:left w:w="20" w:type="dxa"/>
              <w:bottom w:w="0" w:type="dxa"/>
              <w:right w:w="20" w:type="dxa"/>
            </w:tcMar>
            <w:vAlign w:val="center"/>
            <w:hideMark/>
          </w:tcPr>
          <w:p w14:paraId="25039586"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158BF286" w14:textId="77777777" w:rsidR="00000000" w:rsidRDefault="00A173A8">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14:paraId="34E3C50A"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10AD99D"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84B32BA" w14:textId="77777777" w:rsidR="00000000" w:rsidRDefault="00A173A8">
            <w:pPr>
              <w:spacing w:after="100"/>
              <w:jc w:val="right"/>
              <w:rPr>
                <w:rFonts w:eastAsia="Times New Roman"/>
              </w:rPr>
            </w:pPr>
            <w:r>
              <w:rPr>
                <w:rFonts w:eastAsia="Times New Roman"/>
                <w:b/>
                <w:bCs/>
                <w:color w:val="000000"/>
                <w:sz w:val="20"/>
                <w:szCs w:val="20"/>
              </w:rPr>
              <w:t>254,798</w:t>
            </w:r>
          </w:p>
        </w:tc>
        <w:tc>
          <w:tcPr>
            <w:tcW w:w="0" w:type="auto"/>
            <w:gridSpan w:val="3"/>
            <w:shd w:val="clear" w:color="auto" w:fill="FFFFFF"/>
            <w:tcMar>
              <w:top w:w="0" w:type="dxa"/>
              <w:left w:w="20" w:type="dxa"/>
              <w:bottom w:w="0" w:type="dxa"/>
              <w:right w:w="20" w:type="dxa"/>
            </w:tcMar>
            <w:vAlign w:val="center"/>
            <w:hideMark/>
          </w:tcPr>
          <w:p w14:paraId="37E5E97B"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A3ADA58"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ED72076" w14:textId="77777777" w:rsidR="00000000" w:rsidRDefault="00A173A8">
            <w:pPr>
              <w:spacing w:after="100"/>
              <w:jc w:val="right"/>
              <w:rPr>
                <w:rFonts w:eastAsia="Times New Roman"/>
              </w:rPr>
            </w:pPr>
            <w:r>
              <w:rPr>
                <w:rFonts w:eastAsia="Times New Roman"/>
                <w:color w:val="000000"/>
                <w:sz w:val="20"/>
                <w:szCs w:val="20"/>
              </w:rPr>
              <w:t>251,002</w:t>
            </w:r>
          </w:p>
        </w:tc>
        <w:tc>
          <w:tcPr>
            <w:tcW w:w="0" w:type="auto"/>
            <w:vAlign w:val="center"/>
            <w:hideMark/>
          </w:tcPr>
          <w:p w14:paraId="6E051513" w14:textId="77777777" w:rsidR="00000000" w:rsidRDefault="00A173A8">
            <w:pPr>
              <w:spacing w:after="100"/>
              <w:jc w:val="right"/>
              <w:rPr>
                <w:rFonts w:eastAsia="Times New Roman"/>
              </w:rPr>
            </w:pPr>
          </w:p>
        </w:tc>
        <w:tc>
          <w:tcPr>
            <w:tcW w:w="0" w:type="auto"/>
            <w:vAlign w:val="center"/>
            <w:hideMark/>
          </w:tcPr>
          <w:p w14:paraId="54065B4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E9C4A3"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2D295A03" w14:textId="77777777" w:rsidR="00000000" w:rsidRDefault="00A173A8">
            <w:pPr>
              <w:spacing w:after="100"/>
              <w:jc w:val="right"/>
              <w:rPr>
                <w:rFonts w:eastAsia="Times New Roman"/>
              </w:rPr>
            </w:pPr>
            <w:r>
              <w:rPr>
                <w:rFonts w:eastAsia="Times New Roman"/>
                <w:color w:val="000000"/>
                <w:sz w:val="20"/>
                <w:szCs w:val="20"/>
              </w:rPr>
              <w:t>2%</w:t>
            </w:r>
          </w:p>
        </w:tc>
        <w:tc>
          <w:tcPr>
            <w:tcW w:w="0" w:type="auto"/>
            <w:gridSpan w:val="3"/>
            <w:vAlign w:val="center"/>
            <w:hideMark/>
          </w:tcPr>
          <w:p w14:paraId="266EF2CB" w14:textId="77777777" w:rsidR="00000000" w:rsidRDefault="00A173A8">
            <w:pPr>
              <w:spacing w:after="100"/>
              <w:jc w:val="right"/>
              <w:rPr>
                <w:rFonts w:eastAsia="Times New Roman"/>
              </w:rPr>
            </w:pPr>
          </w:p>
        </w:tc>
        <w:tc>
          <w:tcPr>
            <w:tcW w:w="0" w:type="auto"/>
            <w:gridSpan w:val="3"/>
            <w:vAlign w:val="center"/>
            <w:hideMark/>
          </w:tcPr>
          <w:p w14:paraId="09651716" w14:textId="77777777" w:rsidR="00000000" w:rsidRDefault="00A173A8">
            <w:pPr>
              <w:spacing w:after="100"/>
              <w:rPr>
                <w:rFonts w:eastAsia="Times New Roman"/>
                <w:sz w:val="20"/>
                <w:szCs w:val="20"/>
              </w:rPr>
            </w:pPr>
          </w:p>
        </w:tc>
      </w:tr>
      <w:tr w:rsidR="00000000" w14:paraId="4E428969" w14:textId="77777777">
        <w:trPr>
          <w:divId w:val="189149186"/>
        </w:trPr>
        <w:tc>
          <w:tcPr>
            <w:tcW w:w="0" w:type="auto"/>
            <w:gridSpan w:val="3"/>
            <w:shd w:val="clear" w:color="auto" w:fill="CCEEFF"/>
            <w:tcMar>
              <w:top w:w="30" w:type="dxa"/>
              <w:left w:w="20" w:type="dxa"/>
              <w:bottom w:w="30" w:type="dxa"/>
              <w:right w:w="20" w:type="dxa"/>
            </w:tcMar>
            <w:vAlign w:val="center"/>
            <w:hideMark/>
          </w:tcPr>
          <w:p w14:paraId="7D616566" w14:textId="77777777" w:rsidR="00000000" w:rsidRDefault="00A173A8">
            <w:pPr>
              <w:spacing w:after="100"/>
              <w:rPr>
                <w:rFonts w:eastAsia="Times New Roman"/>
              </w:rPr>
            </w:pPr>
            <w:r>
              <w:rPr>
                <w:rFonts w:eastAsia="Times New Roman"/>
                <w:color w:val="000000"/>
                <w:sz w:val="20"/>
                <w:szCs w:val="20"/>
              </w:rPr>
              <w:t>Average deposits interest rate</w:t>
            </w:r>
          </w:p>
        </w:tc>
        <w:tc>
          <w:tcPr>
            <w:tcW w:w="0" w:type="auto"/>
            <w:gridSpan w:val="3"/>
            <w:shd w:val="clear" w:color="auto" w:fill="CCEEFF"/>
            <w:tcMar>
              <w:top w:w="0" w:type="dxa"/>
              <w:left w:w="20" w:type="dxa"/>
              <w:bottom w:w="0" w:type="dxa"/>
              <w:right w:w="20" w:type="dxa"/>
            </w:tcMar>
            <w:vAlign w:val="center"/>
            <w:hideMark/>
          </w:tcPr>
          <w:p w14:paraId="1C7BE73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626892" w14:textId="77777777" w:rsidR="00000000" w:rsidRDefault="00A173A8">
            <w:pPr>
              <w:spacing w:after="100"/>
              <w:jc w:val="right"/>
              <w:rPr>
                <w:rFonts w:eastAsia="Times New Roman"/>
              </w:rPr>
            </w:pPr>
            <w:r>
              <w:rPr>
                <w:rFonts w:eastAsia="Times New Roman"/>
                <w:b/>
                <w:bCs/>
                <w:color w:val="000000"/>
                <w:sz w:val="20"/>
                <w:szCs w:val="20"/>
              </w:rPr>
              <w:t>0.38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529456"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511854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C32CD0F" w14:textId="77777777" w:rsidR="00000000" w:rsidRDefault="00A173A8">
            <w:pPr>
              <w:spacing w:after="100"/>
              <w:jc w:val="right"/>
              <w:rPr>
                <w:rFonts w:eastAsia="Times New Roman"/>
              </w:rPr>
            </w:pPr>
            <w:r>
              <w:rPr>
                <w:rFonts w:eastAsia="Times New Roman"/>
                <w:color w:val="000000"/>
                <w:sz w:val="20"/>
                <w:szCs w:val="20"/>
              </w:rPr>
              <w:t>0.31 </w:t>
            </w:r>
          </w:p>
        </w:tc>
        <w:tc>
          <w:tcPr>
            <w:tcW w:w="0" w:type="auto"/>
            <w:shd w:val="clear" w:color="auto" w:fill="CCEEFF"/>
            <w:tcMar>
              <w:top w:w="30" w:type="dxa"/>
              <w:left w:w="0" w:type="dxa"/>
              <w:bottom w:w="30" w:type="dxa"/>
              <w:right w:w="20" w:type="dxa"/>
            </w:tcMar>
            <w:vAlign w:val="bottom"/>
            <w:hideMark/>
          </w:tcPr>
          <w:p w14:paraId="53F1913D"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55DB45D"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6DD4082" w14:textId="77777777" w:rsidR="00000000" w:rsidRDefault="00A173A8">
            <w:pPr>
              <w:spacing w:after="100"/>
              <w:jc w:val="right"/>
              <w:rPr>
                <w:rFonts w:eastAsia="Times New Roman"/>
              </w:rPr>
            </w:pPr>
            <w:r>
              <w:rPr>
                <w:rFonts w:eastAsia="Times New Roman"/>
                <w:color w:val="000000"/>
                <w:sz w:val="20"/>
                <w:szCs w:val="20"/>
              </w:rPr>
              <w:t>7bps</w:t>
            </w:r>
          </w:p>
        </w:tc>
        <w:tc>
          <w:tcPr>
            <w:tcW w:w="0" w:type="auto"/>
            <w:gridSpan w:val="3"/>
            <w:shd w:val="clear" w:color="auto" w:fill="CCEEFF"/>
            <w:tcMar>
              <w:top w:w="0" w:type="dxa"/>
              <w:left w:w="20" w:type="dxa"/>
              <w:bottom w:w="0" w:type="dxa"/>
              <w:right w:w="20" w:type="dxa"/>
            </w:tcMar>
            <w:vAlign w:val="center"/>
            <w:hideMark/>
          </w:tcPr>
          <w:p w14:paraId="11008449"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DF9BD1" w14:textId="77777777" w:rsidR="00000000" w:rsidRDefault="00A173A8">
            <w:pPr>
              <w:spacing w:after="100"/>
              <w:jc w:val="right"/>
              <w:rPr>
                <w:rFonts w:eastAsia="Times New Roman"/>
              </w:rPr>
            </w:pPr>
            <w:r>
              <w:rPr>
                <w:rFonts w:eastAsia="Times New Roman"/>
                <w:b/>
                <w:bCs/>
                <w:color w:val="000000"/>
                <w:sz w:val="20"/>
                <w:szCs w:val="20"/>
              </w:rPr>
              <w:t>0.33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697CB7"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5E23F83"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AB65EC" w14:textId="77777777" w:rsidR="00000000" w:rsidRDefault="00A173A8">
            <w:pPr>
              <w:spacing w:after="100"/>
              <w:jc w:val="right"/>
              <w:rPr>
                <w:rFonts w:eastAsia="Times New Roman"/>
              </w:rPr>
            </w:pPr>
            <w:r>
              <w:rPr>
                <w:rFonts w:eastAsia="Times New Roman"/>
                <w:color w:val="000000"/>
                <w:sz w:val="20"/>
                <w:szCs w:val="20"/>
              </w:rPr>
              <w:t>0.33 </w:t>
            </w:r>
          </w:p>
        </w:tc>
        <w:tc>
          <w:tcPr>
            <w:tcW w:w="0" w:type="auto"/>
            <w:shd w:val="clear" w:color="auto" w:fill="CCEEFF"/>
            <w:tcMar>
              <w:top w:w="30" w:type="dxa"/>
              <w:left w:w="0" w:type="dxa"/>
              <w:bottom w:w="30" w:type="dxa"/>
              <w:right w:w="20" w:type="dxa"/>
            </w:tcMar>
            <w:vAlign w:val="bottom"/>
            <w:hideMark/>
          </w:tcPr>
          <w:p w14:paraId="5171E6B3" w14:textId="77777777" w:rsidR="00000000" w:rsidRDefault="00A173A8">
            <w:pPr>
              <w:spacing w:after="100"/>
              <w:rPr>
                <w:rFonts w:eastAsia="Times New Roman"/>
              </w:rPr>
            </w:pPr>
            <w:r>
              <w:rPr>
                <w:rFonts w:eastAsia="Times New Roman"/>
                <w:color w:val="000000"/>
                <w:sz w:val="20"/>
                <w:szCs w:val="20"/>
              </w:rPr>
              <w:t>%</w:t>
            </w:r>
          </w:p>
        </w:tc>
        <w:tc>
          <w:tcPr>
            <w:tcW w:w="0" w:type="auto"/>
            <w:vAlign w:val="center"/>
            <w:hideMark/>
          </w:tcPr>
          <w:p w14:paraId="19AC444F" w14:textId="77777777" w:rsidR="00000000" w:rsidRDefault="00A173A8">
            <w:pPr>
              <w:spacing w:after="100"/>
              <w:rPr>
                <w:rFonts w:eastAsia="Times New Roman"/>
              </w:rPr>
            </w:pPr>
          </w:p>
        </w:tc>
        <w:tc>
          <w:tcPr>
            <w:tcW w:w="0" w:type="auto"/>
            <w:vAlign w:val="center"/>
            <w:hideMark/>
          </w:tcPr>
          <w:p w14:paraId="00C5580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CEC967"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71114B7C"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3F89BBEF" w14:textId="77777777" w:rsidR="00000000" w:rsidRDefault="00A173A8">
            <w:pPr>
              <w:spacing w:after="100"/>
              <w:jc w:val="right"/>
              <w:rPr>
                <w:rFonts w:eastAsia="Times New Roman"/>
              </w:rPr>
            </w:pPr>
          </w:p>
        </w:tc>
        <w:tc>
          <w:tcPr>
            <w:tcW w:w="0" w:type="auto"/>
            <w:gridSpan w:val="3"/>
            <w:vAlign w:val="center"/>
            <w:hideMark/>
          </w:tcPr>
          <w:p w14:paraId="21FBA701" w14:textId="77777777" w:rsidR="00000000" w:rsidRDefault="00A173A8">
            <w:pPr>
              <w:spacing w:after="100"/>
              <w:rPr>
                <w:rFonts w:eastAsia="Times New Roman"/>
                <w:sz w:val="20"/>
                <w:szCs w:val="20"/>
              </w:rPr>
            </w:pPr>
          </w:p>
        </w:tc>
      </w:tr>
      <w:tr w:rsidR="00000000" w14:paraId="4F3582FF" w14:textId="77777777">
        <w:trPr>
          <w:divId w:val="189149186"/>
        </w:trPr>
        <w:tc>
          <w:tcPr>
            <w:tcW w:w="0" w:type="auto"/>
            <w:gridSpan w:val="3"/>
            <w:shd w:val="clear" w:color="auto" w:fill="FFFFFF"/>
            <w:tcMar>
              <w:top w:w="30" w:type="dxa"/>
              <w:left w:w="20" w:type="dxa"/>
              <w:bottom w:w="30" w:type="dxa"/>
              <w:right w:w="20" w:type="dxa"/>
            </w:tcMar>
            <w:vAlign w:val="center"/>
            <w:hideMark/>
          </w:tcPr>
          <w:p w14:paraId="699E55E3" w14:textId="77777777" w:rsidR="00000000" w:rsidRDefault="00A173A8">
            <w:pPr>
              <w:spacing w:after="100"/>
              <w:rPr>
                <w:rFonts w:eastAsia="Times New Roman"/>
              </w:rPr>
            </w:pPr>
            <w:r>
              <w:rPr>
                <w:rFonts w:eastAsia="Times New Roman"/>
                <w:color w:val="000000"/>
                <w:sz w:val="20"/>
                <w:szCs w:val="20"/>
              </w:rPr>
              <w:t>Net charge-offs (recoveries)</w:t>
            </w:r>
          </w:p>
        </w:tc>
        <w:tc>
          <w:tcPr>
            <w:tcW w:w="0" w:type="auto"/>
            <w:gridSpan w:val="3"/>
            <w:shd w:val="clear" w:color="auto" w:fill="FFFFFF"/>
            <w:tcMar>
              <w:top w:w="0" w:type="dxa"/>
              <w:left w:w="20" w:type="dxa"/>
              <w:bottom w:w="0" w:type="dxa"/>
              <w:right w:w="20" w:type="dxa"/>
            </w:tcMar>
            <w:vAlign w:val="center"/>
            <w:hideMark/>
          </w:tcPr>
          <w:p w14:paraId="7A51D002"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FA5E82B"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AC894D0" w14:textId="77777777" w:rsidR="00000000" w:rsidRDefault="00A173A8">
            <w:pPr>
              <w:spacing w:after="100"/>
              <w:jc w:val="right"/>
              <w:rPr>
                <w:rFonts w:eastAsia="Times New Roman"/>
              </w:rPr>
            </w:pPr>
            <w:r>
              <w:rPr>
                <w:rFonts w:eastAsia="Times New Roman"/>
                <w:b/>
                <w:bCs/>
                <w:color w:val="000000"/>
                <w:sz w:val="20"/>
                <w:szCs w:val="20"/>
              </w:rPr>
              <w:t>136</w:t>
            </w:r>
          </w:p>
        </w:tc>
        <w:tc>
          <w:tcPr>
            <w:tcW w:w="0" w:type="auto"/>
            <w:gridSpan w:val="3"/>
            <w:shd w:val="clear" w:color="auto" w:fill="FFFFFF"/>
            <w:tcMar>
              <w:top w:w="0" w:type="dxa"/>
              <w:left w:w="20" w:type="dxa"/>
              <w:bottom w:w="0" w:type="dxa"/>
              <w:right w:w="20" w:type="dxa"/>
            </w:tcMar>
            <w:vAlign w:val="center"/>
            <w:hideMark/>
          </w:tcPr>
          <w:p w14:paraId="4C01A536"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762BE48D"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EBF08F" w14:textId="77777777" w:rsidR="00000000" w:rsidRDefault="00A173A8">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527850D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1954D"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5989A554"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098792F"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46DC89B"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260" w:type="dxa"/>
            </w:tcMar>
            <w:vAlign w:val="bottom"/>
            <w:hideMark/>
          </w:tcPr>
          <w:p w14:paraId="42B5B58E" w14:textId="77777777" w:rsidR="00000000" w:rsidRDefault="00A173A8">
            <w:pPr>
              <w:spacing w:after="100"/>
              <w:jc w:val="right"/>
              <w:rPr>
                <w:rFonts w:eastAsia="Times New Roman"/>
              </w:rPr>
            </w:pPr>
            <w:r>
              <w:rPr>
                <w:rFonts w:eastAsia="Times New Roman"/>
                <w:b/>
                <w:bCs/>
                <w:color w:val="000000"/>
                <w:sz w:val="20"/>
                <w:szCs w:val="20"/>
              </w:rPr>
              <w:t>282</w:t>
            </w:r>
          </w:p>
        </w:tc>
        <w:tc>
          <w:tcPr>
            <w:tcW w:w="0" w:type="auto"/>
            <w:gridSpan w:val="3"/>
            <w:shd w:val="clear" w:color="auto" w:fill="FFFFFF"/>
            <w:tcMar>
              <w:top w:w="0" w:type="dxa"/>
              <w:left w:w="20" w:type="dxa"/>
              <w:bottom w:w="0" w:type="dxa"/>
              <w:right w:w="20" w:type="dxa"/>
            </w:tcMar>
            <w:vAlign w:val="center"/>
            <w:hideMark/>
          </w:tcPr>
          <w:p w14:paraId="5002DADB"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892EE56"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7CE067F" w14:textId="77777777" w:rsidR="00000000" w:rsidRDefault="00A173A8">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14:paraId="15DC2B41" w14:textId="77777777" w:rsidR="00000000" w:rsidRDefault="00A173A8">
            <w:pPr>
              <w:spacing w:after="100"/>
              <w:jc w:val="right"/>
              <w:rPr>
                <w:rFonts w:eastAsia="Times New Roman"/>
              </w:rPr>
            </w:pPr>
          </w:p>
        </w:tc>
        <w:tc>
          <w:tcPr>
            <w:tcW w:w="0" w:type="auto"/>
            <w:vAlign w:val="center"/>
            <w:hideMark/>
          </w:tcPr>
          <w:p w14:paraId="3A740C6B" w14:textId="77777777" w:rsidR="00000000" w:rsidRDefault="00A173A8">
            <w:pPr>
              <w:spacing w:after="100"/>
              <w:jc w:val="right"/>
              <w:rPr>
                <w:rFonts w:eastAsia="Times New Roman"/>
                <w:sz w:val="20"/>
                <w:szCs w:val="20"/>
              </w:rPr>
            </w:pPr>
          </w:p>
        </w:tc>
        <w:tc>
          <w:tcPr>
            <w:tcW w:w="0" w:type="auto"/>
            <w:vAlign w:val="center"/>
            <w:hideMark/>
          </w:tcPr>
          <w:p w14:paraId="110D3A5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84E54A"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5C5D2A1D"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7D257964" w14:textId="77777777" w:rsidR="00000000" w:rsidRDefault="00A173A8">
            <w:pPr>
              <w:spacing w:after="100"/>
              <w:jc w:val="right"/>
              <w:rPr>
                <w:rFonts w:eastAsia="Times New Roman"/>
              </w:rPr>
            </w:pPr>
          </w:p>
        </w:tc>
        <w:tc>
          <w:tcPr>
            <w:tcW w:w="0" w:type="auto"/>
            <w:gridSpan w:val="3"/>
            <w:vAlign w:val="center"/>
            <w:hideMark/>
          </w:tcPr>
          <w:p w14:paraId="21AEEFE2" w14:textId="77777777" w:rsidR="00000000" w:rsidRDefault="00A173A8">
            <w:pPr>
              <w:spacing w:after="100"/>
              <w:rPr>
                <w:rFonts w:eastAsia="Times New Roman"/>
                <w:sz w:val="20"/>
                <w:szCs w:val="20"/>
              </w:rPr>
            </w:pPr>
          </w:p>
        </w:tc>
      </w:tr>
      <w:tr w:rsidR="00000000" w14:paraId="1E776660" w14:textId="77777777">
        <w:trPr>
          <w:divId w:val="189149186"/>
        </w:trPr>
        <w:tc>
          <w:tcPr>
            <w:tcW w:w="0" w:type="auto"/>
            <w:gridSpan w:val="3"/>
            <w:shd w:val="clear" w:color="auto" w:fill="CCEEFF"/>
            <w:tcMar>
              <w:top w:w="30" w:type="dxa"/>
              <w:left w:w="20" w:type="dxa"/>
              <w:bottom w:w="30" w:type="dxa"/>
              <w:right w:w="20" w:type="dxa"/>
            </w:tcMar>
            <w:vAlign w:val="center"/>
            <w:hideMark/>
          </w:tcPr>
          <w:p w14:paraId="52EF5EEE" w14:textId="77777777" w:rsidR="00000000" w:rsidRDefault="00A173A8">
            <w:pPr>
              <w:spacing w:after="100"/>
              <w:rPr>
                <w:rFonts w:eastAsia="Times New Roman"/>
              </w:rPr>
            </w:pPr>
            <w:r>
              <w:rPr>
                <w:rFonts w:eastAsia="Times New Roman"/>
                <w:color w:val="000000"/>
                <w:sz w:val="20"/>
                <w:szCs w:val="20"/>
              </w:rPr>
              <w:t>Net charge-off (recovery) rate</w:t>
            </w:r>
          </w:p>
        </w:tc>
        <w:tc>
          <w:tcPr>
            <w:tcW w:w="0" w:type="auto"/>
            <w:gridSpan w:val="3"/>
            <w:shd w:val="clear" w:color="auto" w:fill="CCEEFF"/>
            <w:tcMar>
              <w:top w:w="0" w:type="dxa"/>
              <w:left w:w="20" w:type="dxa"/>
              <w:bottom w:w="0" w:type="dxa"/>
              <w:right w:w="20" w:type="dxa"/>
            </w:tcMar>
            <w:vAlign w:val="center"/>
            <w:hideMark/>
          </w:tcPr>
          <w:p w14:paraId="4419B8B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CF04D1" w14:textId="77777777" w:rsidR="00000000" w:rsidRDefault="00A173A8">
            <w:pPr>
              <w:spacing w:after="100"/>
              <w:jc w:val="right"/>
              <w:rPr>
                <w:rFonts w:eastAsia="Times New Roman"/>
              </w:rPr>
            </w:pPr>
            <w:r>
              <w:rPr>
                <w:rFonts w:eastAsia="Times New Roman"/>
                <w:b/>
                <w:bCs/>
                <w:color w:val="000000"/>
                <w:sz w:val="20"/>
                <w:szCs w:val="20"/>
              </w:rPr>
              <w:t>0.67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F88758"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A6CDE0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8ED969" w14:textId="77777777" w:rsidR="00000000" w:rsidRDefault="00A173A8">
            <w:pPr>
              <w:spacing w:after="100"/>
              <w:jc w:val="right"/>
              <w:rPr>
                <w:rFonts w:eastAsia="Times New Roman"/>
              </w:rPr>
            </w:pPr>
            <w:r>
              <w:rPr>
                <w:rFonts w:eastAsia="Times New Roman"/>
                <w:color w:val="000000"/>
                <w:sz w:val="20"/>
                <w:szCs w:val="20"/>
              </w:rPr>
              <w:t>(0.06)</w:t>
            </w:r>
          </w:p>
        </w:tc>
        <w:tc>
          <w:tcPr>
            <w:tcW w:w="0" w:type="auto"/>
            <w:shd w:val="clear" w:color="auto" w:fill="CCEEFF"/>
            <w:tcMar>
              <w:top w:w="30" w:type="dxa"/>
              <w:left w:w="0" w:type="dxa"/>
              <w:bottom w:w="30" w:type="dxa"/>
              <w:right w:w="20" w:type="dxa"/>
            </w:tcMar>
            <w:vAlign w:val="bottom"/>
            <w:hideMark/>
          </w:tcPr>
          <w:p w14:paraId="5C375853"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244576C"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22DA99F6" w14:textId="77777777" w:rsidR="00000000" w:rsidRDefault="00A173A8">
            <w:pPr>
              <w:spacing w:after="100"/>
              <w:jc w:val="right"/>
              <w:rPr>
                <w:rFonts w:eastAsia="Times New Roman"/>
              </w:rPr>
            </w:pPr>
            <w:r>
              <w:rPr>
                <w:rFonts w:eastAsia="Times New Roman"/>
                <w:color w:val="000000"/>
                <w:sz w:val="20"/>
                <w:szCs w:val="20"/>
              </w:rPr>
              <w:t>73bps</w:t>
            </w:r>
          </w:p>
        </w:tc>
        <w:tc>
          <w:tcPr>
            <w:tcW w:w="0" w:type="auto"/>
            <w:gridSpan w:val="3"/>
            <w:shd w:val="clear" w:color="auto" w:fill="CCEEFF"/>
            <w:tcMar>
              <w:top w:w="0" w:type="dxa"/>
              <w:left w:w="20" w:type="dxa"/>
              <w:bottom w:w="0" w:type="dxa"/>
              <w:right w:w="20" w:type="dxa"/>
            </w:tcMar>
            <w:vAlign w:val="center"/>
            <w:hideMark/>
          </w:tcPr>
          <w:p w14:paraId="37513009"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AC8F8D" w14:textId="77777777" w:rsidR="00000000" w:rsidRDefault="00A173A8">
            <w:pPr>
              <w:spacing w:after="100"/>
              <w:jc w:val="right"/>
              <w:rPr>
                <w:rFonts w:eastAsia="Times New Roman"/>
              </w:rPr>
            </w:pPr>
            <w:r>
              <w:rPr>
                <w:rFonts w:eastAsia="Times New Roman"/>
                <w:b/>
                <w:bCs/>
                <w:color w:val="000000"/>
                <w:sz w:val="20"/>
                <w:szCs w:val="20"/>
              </w:rPr>
              <w:t>0.71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0BFC99"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1E6546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408639" w14:textId="77777777" w:rsidR="00000000" w:rsidRDefault="00A173A8">
            <w:pPr>
              <w:spacing w:after="100"/>
              <w:jc w:val="right"/>
              <w:rPr>
                <w:rFonts w:eastAsia="Times New Roman"/>
              </w:rPr>
            </w:pPr>
            <w:r>
              <w:rPr>
                <w:rFonts w:eastAsia="Times New Roman"/>
                <w:color w:val="000000"/>
                <w:sz w:val="20"/>
                <w:szCs w:val="20"/>
              </w:rPr>
              <w:t>0.23 </w:t>
            </w:r>
          </w:p>
        </w:tc>
        <w:tc>
          <w:tcPr>
            <w:tcW w:w="0" w:type="auto"/>
            <w:shd w:val="clear" w:color="auto" w:fill="CCEEFF"/>
            <w:tcMar>
              <w:top w:w="30" w:type="dxa"/>
              <w:left w:w="0" w:type="dxa"/>
              <w:bottom w:w="30" w:type="dxa"/>
              <w:right w:w="20" w:type="dxa"/>
            </w:tcMar>
            <w:vAlign w:val="bottom"/>
            <w:hideMark/>
          </w:tcPr>
          <w:p w14:paraId="326A2940" w14:textId="77777777" w:rsidR="00000000" w:rsidRDefault="00A173A8">
            <w:pPr>
              <w:spacing w:after="100"/>
              <w:rPr>
                <w:rFonts w:eastAsia="Times New Roman"/>
              </w:rPr>
            </w:pPr>
            <w:r>
              <w:rPr>
                <w:rFonts w:eastAsia="Times New Roman"/>
                <w:color w:val="000000"/>
                <w:sz w:val="20"/>
                <w:szCs w:val="20"/>
              </w:rPr>
              <w:t>%</w:t>
            </w:r>
          </w:p>
        </w:tc>
        <w:tc>
          <w:tcPr>
            <w:tcW w:w="0" w:type="auto"/>
            <w:vAlign w:val="center"/>
            <w:hideMark/>
          </w:tcPr>
          <w:p w14:paraId="2DBD4F59" w14:textId="77777777" w:rsidR="00000000" w:rsidRDefault="00A173A8">
            <w:pPr>
              <w:spacing w:after="100"/>
              <w:rPr>
                <w:rFonts w:eastAsia="Times New Roman"/>
              </w:rPr>
            </w:pPr>
          </w:p>
        </w:tc>
        <w:tc>
          <w:tcPr>
            <w:tcW w:w="0" w:type="auto"/>
            <w:vAlign w:val="center"/>
            <w:hideMark/>
          </w:tcPr>
          <w:p w14:paraId="5299CDA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73E5C5"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0642AFCE" w14:textId="77777777" w:rsidR="00000000" w:rsidRDefault="00A173A8">
            <w:pPr>
              <w:spacing w:after="100"/>
              <w:jc w:val="right"/>
              <w:rPr>
                <w:rFonts w:eastAsia="Times New Roman"/>
              </w:rPr>
            </w:pPr>
            <w:r>
              <w:rPr>
                <w:rFonts w:eastAsia="Times New Roman"/>
                <w:color w:val="000000"/>
                <w:sz w:val="20"/>
                <w:szCs w:val="20"/>
              </w:rPr>
              <w:t>48bps</w:t>
            </w:r>
          </w:p>
        </w:tc>
        <w:tc>
          <w:tcPr>
            <w:tcW w:w="0" w:type="auto"/>
            <w:gridSpan w:val="3"/>
            <w:vAlign w:val="center"/>
            <w:hideMark/>
          </w:tcPr>
          <w:p w14:paraId="475F216A" w14:textId="77777777" w:rsidR="00000000" w:rsidRDefault="00A173A8">
            <w:pPr>
              <w:spacing w:after="100"/>
              <w:jc w:val="right"/>
              <w:rPr>
                <w:rFonts w:eastAsia="Times New Roman"/>
              </w:rPr>
            </w:pPr>
          </w:p>
        </w:tc>
        <w:tc>
          <w:tcPr>
            <w:tcW w:w="0" w:type="auto"/>
            <w:gridSpan w:val="3"/>
            <w:vAlign w:val="center"/>
            <w:hideMark/>
          </w:tcPr>
          <w:p w14:paraId="2791C676" w14:textId="77777777" w:rsidR="00000000" w:rsidRDefault="00A173A8">
            <w:pPr>
              <w:spacing w:after="100"/>
              <w:rPr>
                <w:rFonts w:eastAsia="Times New Roman"/>
                <w:sz w:val="20"/>
                <w:szCs w:val="20"/>
              </w:rPr>
            </w:pPr>
          </w:p>
        </w:tc>
      </w:tr>
      <w:tr w:rsidR="00000000" w14:paraId="18366F81" w14:textId="77777777">
        <w:trPr>
          <w:divId w:val="189149186"/>
        </w:trPr>
        <w:tc>
          <w:tcPr>
            <w:tcW w:w="0" w:type="auto"/>
            <w:gridSpan w:val="3"/>
            <w:shd w:val="clear" w:color="auto" w:fill="FFFFFF"/>
            <w:tcMar>
              <w:top w:w="30" w:type="dxa"/>
              <w:left w:w="20" w:type="dxa"/>
              <w:bottom w:w="30" w:type="dxa"/>
              <w:right w:w="20" w:type="dxa"/>
            </w:tcMar>
            <w:vAlign w:val="center"/>
            <w:hideMark/>
          </w:tcPr>
          <w:p w14:paraId="659F2B9E" w14:textId="77777777" w:rsidR="00000000" w:rsidRDefault="00A173A8">
            <w:pPr>
              <w:spacing w:after="100"/>
              <w:rPr>
                <w:rFonts w:eastAsia="Times New Roman"/>
              </w:rPr>
            </w:pPr>
            <w:r>
              <w:rPr>
                <w:rFonts w:eastAsia="Times New Roman"/>
                <w:color w:val="000000"/>
                <w:sz w:val="20"/>
                <w:szCs w:val="20"/>
              </w:rPr>
              <w:t>Auto loan originations</w:t>
            </w:r>
          </w:p>
        </w:tc>
        <w:tc>
          <w:tcPr>
            <w:tcW w:w="0" w:type="auto"/>
            <w:gridSpan w:val="3"/>
            <w:shd w:val="clear" w:color="auto" w:fill="FFFFFF"/>
            <w:tcMar>
              <w:top w:w="0" w:type="dxa"/>
              <w:left w:w="20" w:type="dxa"/>
              <w:bottom w:w="0" w:type="dxa"/>
              <w:right w:w="20" w:type="dxa"/>
            </w:tcMar>
            <w:vAlign w:val="center"/>
            <w:hideMark/>
          </w:tcPr>
          <w:p w14:paraId="265935D3"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772A8EF"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4C7A507" w14:textId="77777777" w:rsidR="00000000" w:rsidRDefault="00A173A8">
            <w:pPr>
              <w:spacing w:after="100"/>
              <w:jc w:val="right"/>
              <w:rPr>
                <w:rFonts w:eastAsia="Times New Roman"/>
              </w:rPr>
            </w:pPr>
            <w:r>
              <w:rPr>
                <w:rFonts w:eastAsia="Times New Roman"/>
                <w:b/>
                <w:bCs/>
                <w:color w:val="000000"/>
                <w:sz w:val="20"/>
                <w:szCs w:val="20"/>
              </w:rPr>
              <w:t>10,328</w:t>
            </w:r>
          </w:p>
        </w:tc>
        <w:tc>
          <w:tcPr>
            <w:tcW w:w="0" w:type="auto"/>
            <w:gridSpan w:val="3"/>
            <w:shd w:val="clear" w:color="auto" w:fill="FFFFFF"/>
            <w:tcMar>
              <w:top w:w="0" w:type="dxa"/>
              <w:left w:w="20" w:type="dxa"/>
              <w:bottom w:w="0" w:type="dxa"/>
              <w:right w:w="20" w:type="dxa"/>
            </w:tcMar>
            <w:vAlign w:val="center"/>
            <w:hideMark/>
          </w:tcPr>
          <w:p w14:paraId="4A12CCF7"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E4E0E40"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3858405" w14:textId="77777777" w:rsidR="00000000" w:rsidRDefault="00A173A8">
            <w:pPr>
              <w:spacing w:after="100"/>
              <w:jc w:val="right"/>
              <w:rPr>
                <w:rFonts w:eastAsia="Times New Roman"/>
              </w:rPr>
            </w:pPr>
            <w:r>
              <w:rPr>
                <w:rFonts w:eastAsia="Times New Roman"/>
                <w:color w:val="000000"/>
                <w:sz w:val="20"/>
                <w:szCs w:val="20"/>
              </w:rPr>
              <w:t>12,959</w:t>
            </w:r>
          </w:p>
        </w:tc>
        <w:tc>
          <w:tcPr>
            <w:tcW w:w="0" w:type="auto"/>
            <w:gridSpan w:val="3"/>
            <w:shd w:val="clear" w:color="auto" w:fill="FFFFFF"/>
            <w:tcMar>
              <w:top w:w="0" w:type="dxa"/>
              <w:left w:w="20" w:type="dxa"/>
              <w:bottom w:w="0" w:type="dxa"/>
              <w:right w:w="20" w:type="dxa"/>
            </w:tcMar>
            <w:vAlign w:val="center"/>
            <w:hideMark/>
          </w:tcPr>
          <w:p w14:paraId="54267454"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249A36A" w14:textId="77777777" w:rsidR="00000000" w:rsidRDefault="00A173A8">
            <w:pPr>
              <w:spacing w:after="100"/>
              <w:jc w:val="right"/>
              <w:rPr>
                <w:rFonts w:eastAsia="Times New Roman"/>
              </w:rPr>
            </w:pPr>
            <w:r>
              <w:rPr>
                <w:rFonts w:eastAsia="Times New Roman"/>
                <w:color w:val="000000"/>
                <w:sz w:val="20"/>
                <w:szCs w:val="20"/>
              </w:rPr>
              <w:t>(20)%</w:t>
            </w:r>
          </w:p>
        </w:tc>
        <w:tc>
          <w:tcPr>
            <w:tcW w:w="0" w:type="auto"/>
            <w:gridSpan w:val="3"/>
            <w:shd w:val="clear" w:color="auto" w:fill="FFFFFF"/>
            <w:tcMar>
              <w:top w:w="0" w:type="dxa"/>
              <w:left w:w="20" w:type="dxa"/>
              <w:bottom w:w="0" w:type="dxa"/>
              <w:right w:w="20" w:type="dxa"/>
            </w:tcMar>
            <w:vAlign w:val="center"/>
            <w:hideMark/>
          </w:tcPr>
          <w:p w14:paraId="3E0EFEBD"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04F5B58"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F703222" w14:textId="77777777" w:rsidR="00000000" w:rsidRDefault="00A173A8">
            <w:pPr>
              <w:spacing w:after="100"/>
              <w:jc w:val="right"/>
              <w:rPr>
                <w:rFonts w:eastAsia="Times New Roman"/>
              </w:rPr>
            </w:pPr>
            <w:r>
              <w:rPr>
                <w:rFonts w:eastAsia="Times New Roman"/>
                <w:b/>
                <w:bCs/>
                <w:color w:val="000000"/>
                <w:sz w:val="20"/>
                <w:szCs w:val="20"/>
              </w:rPr>
              <w:t>22,041</w:t>
            </w:r>
          </w:p>
        </w:tc>
        <w:tc>
          <w:tcPr>
            <w:tcW w:w="0" w:type="auto"/>
            <w:gridSpan w:val="3"/>
            <w:shd w:val="clear" w:color="auto" w:fill="FFFFFF"/>
            <w:tcMar>
              <w:top w:w="0" w:type="dxa"/>
              <w:left w:w="20" w:type="dxa"/>
              <w:bottom w:w="0" w:type="dxa"/>
              <w:right w:w="20" w:type="dxa"/>
            </w:tcMar>
            <w:vAlign w:val="center"/>
            <w:hideMark/>
          </w:tcPr>
          <w:p w14:paraId="6E402328"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D91A972"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81E5441" w14:textId="77777777" w:rsidR="00000000" w:rsidRDefault="00A173A8">
            <w:pPr>
              <w:spacing w:after="100"/>
              <w:jc w:val="right"/>
              <w:rPr>
                <w:rFonts w:eastAsia="Times New Roman"/>
              </w:rPr>
            </w:pPr>
            <w:r>
              <w:rPr>
                <w:rFonts w:eastAsia="Times New Roman"/>
                <w:color w:val="000000"/>
                <w:sz w:val="20"/>
                <w:szCs w:val="20"/>
              </w:rPr>
              <w:t>21,792</w:t>
            </w:r>
          </w:p>
        </w:tc>
        <w:tc>
          <w:tcPr>
            <w:tcW w:w="0" w:type="auto"/>
            <w:vAlign w:val="center"/>
            <w:hideMark/>
          </w:tcPr>
          <w:p w14:paraId="4E931349" w14:textId="77777777" w:rsidR="00000000" w:rsidRDefault="00A173A8">
            <w:pPr>
              <w:spacing w:after="100"/>
              <w:jc w:val="right"/>
              <w:rPr>
                <w:rFonts w:eastAsia="Times New Roman"/>
              </w:rPr>
            </w:pPr>
          </w:p>
        </w:tc>
        <w:tc>
          <w:tcPr>
            <w:tcW w:w="0" w:type="auto"/>
            <w:vAlign w:val="center"/>
            <w:hideMark/>
          </w:tcPr>
          <w:p w14:paraId="7B57B0E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2AA8DE"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759D3EC3" w14:textId="77777777" w:rsidR="00000000" w:rsidRDefault="00A173A8">
            <w:pPr>
              <w:spacing w:after="100"/>
              <w:jc w:val="right"/>
              <w:rPr>
                <w:rFonts w:eastAsia="Times New Roman"/>
              </w:rPr>
            </w:pPr>
            <w:r>
              <w:rPr>
                <w:rFonts w:eastAsia="Times New Roman"/>
                <w:color w:val="000000"/>
                <w:sz w:val="20"/>
                <w:szCs w:val="20"/>
              </w:rPr>
              <w:t>1%</w:t>
            </w:r>
          </w:p>
        </w:tc>
        <w:tc>
          <w:tcPr>
            <w:tcW w:w="0" w:type="auto"/>
            <w:gridSpan w:val="3"/>
            <w:vAlign w:val="center"/>
            <w:hideMark/>
          </w:tcPr>
          <w:p w14:paraId="2C7DB142" w14:textId="77777777" w:rsidR="00000000" w:rsidRDefault="00A173A8">
            <w:pPr>
              <w:spacing w:after="100"/>
              <w:jc w:val="right"/>
              <w:rPr>
                <w:rFonts w:eastAsia="Times New Roman"/>
              </w:rPr>
            </w:pPr>
          </w:p>
        </w:tc>
        <w:tc>
          <w:tcPr>
            <w:tcW w:w="0" w:type="auto"/>
            <w:gridSpan w:val="3"/>
            <w:vAlign w:val="center"/>
            <w:hideMark/>
          </w:tcPr>
          <w:p w14:paraId="6D05F289" w14:textId="77777777" w:rsidR="00000000" w:rsidRDefault="00A173A8">
            <w:pPr>
              <w:spacing w:after="100"/>
              <w:rPr>
                <w:rFonts w:eastAsia="Times New Roman"/>
                <w:sz w:val="20"/>
                <w:szCs w:val="20"/>
              </w:rPr>
            </w:pPr>
          </w:p>
        </w:tc>
      </w:tr>
      <w:tr w:rsidR="00000000" w14:paraId="07FF0516" w14:textId="77777777">
        <w:trPr>
          <w:divId w:val="189149186"/>
          <w:trHeight w:val="300"/>
        </w:trPr>
        <w:tc>
          <w:tcPr>
            <w:tcW w:w="0" w:type="auto"/>
            <w:gridSpan w:val="3"/>
            <w:tcMar>
              <w:top w:w="0" w:type="dxa"/>
              <w:left w:w="20" w:type="dxa"/>
              <w:bottom w:w="0" w:type="dxa"/>
              <w:right w:w="20" w:type="dxa"/>
            </w:tcMar>
            <w:vAlign w:val="center"/>
            <w:hideMark/>
          </w:tcPr>
          <w:p w14:paraId="7B60538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71F7B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397AB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2526F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543722"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D3DAA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79426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F5CA5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60C37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37DE8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61F97B" w14:textId="77777777" w:rsidR="00000000" w:rsidRDefault="00A173A8">
            <w:pPr>
              <w:spacing w:after="100"/>
              <w:rPr>
                <w:rFonts w:eastAsia="Times New Roman"/>
                <w:sz w:val="20"/>
                <w:szCs w:val="20"/>
              </w:rPr>
            </w:pPr>
          </w:p>
        </w:tc>
        <w:tc>
          <w:tcPr>
            <w:tcW w:w="0" w:type="auto"/>
            <w:vAlign w:val="center"/>
            <w:hideMark/>
          </w:tcPr>
          <w:p w14:paraId="2FAC9BF5" w14:textId="77777777" w:rsidR="00000000" w:rsidRDefault="00A173A8">
            <w:pPr>
              <w:spacing w:after="100"/>
              <w:rPr>
                <w:rFonts w:eastAsia="Times New Roman"/>
                <w:sz w:val="20"/>
                <w:szCs w:val="20"/>
              </w:rPr>
            </w:pPr>
          </w:p>
        </w:tc>
        <w:tc>
          <w:tcPr>
            <w:tcW w:w="0" w:type="auto"/>
            <w:vAlign w:val="center"/>
            <w:hideMark/>
          </w:tcPr>
          <w:p w14:paraId="0BE7C94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21FA11"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834460" w14:textId="77777777" w:rsidR="00000000" w:rsidRDefault="00A173A8">
            <w:pPr>
              <w:spacing w:after="100"/>
              <w:rPr>
                <w:rFonts w:eastAsia="Times New Roman"/>
                <w:sz w:val="20"/>
                <w:szCs w:val="20"/>
              </w:rPr>
            </w:pPr>
          </w:p>
        </w:tc>
        <w:tc>
          <w:tcPr>
            <w:tcW w:w="0" w:type="auto"/>
            <w:gridSpan w:val="3"/>
            <w:vAlign w:val="center"/>
            <w:hideMark/>
          </w:tcPr>
          <w:p w14:paraId="76E30DC8" w14:textId="77777777" w:rsidR="00000000" w:rsidRDefault="00A173A8">
            <w:pPr>
              <w:spacing w:after="100"/>
              <w:rPr>
                <w:rFonts w:eastAsia="Times New Roman"/>
                <w:sz w:val="20"/>
                <w:szCs w:val="20"/>
              </w:rPr>
            </w:pPr>
          </w:p>
        </w:tc>
        <w:tc>
          <w:tcPr>
            <w:tcW w:w="0" w:type="auto"/>
            <w:gridSpan w:val="3"/>
            <w:vAlign w:val="center"/>
            <w:hideMark/>
          </w:tcPr>
          <w:p w14:paraId="7F94BC0C" w14:textId="77777777" w:rsidR="00000000" w:rsidRDefault="00A173A8">
            <w:pPr>
              <w:spacing w:after="100"/>
              <w:rPr>
                <w:rFonts w:eastAsia="Times New Roman"/>
                <w:sz w:val="20"/>
                <w:szCs w:val="20"/>
              </w:rPr>
            </w:pPr>
          </w:p>
        </w:tc>
      </w:tr>
      <w:tr w:rsidR="00000000" w14:paraId="51A91FC6" w14:textId="77777777">
        <w:trPr>
          <w:divId w:val="189149186"/>
        </w:trPr>
        <w:tc>
          <w:tcPr>
            <w:tcW w:w="0" w:type="auto"/>
            <w:gridSpan w:val="3"/>
            <w:shd w:val="clear" w:color="auto" w:fill="FFFFFF"/>
            <w:tcMar>
              <w:top w:w="30" w:type="dxa"/>
              <w:left w:w="20" w:type="dxa"/>
              <w:bottom w:w="30" w:type="dxa"/>
              <w:right w:w="20" w:type="dxa"/>
            </w:tcMar>
            <w:vAlign w:val="bottom"/>
            <w:hideMark/>
          </w:tcPr>
          <w:p w14:paraId="5D72BFAF"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gridSpan w:val="3"/>
            <w:shd w:val="clear" w:color="auto" w:fill="FFFFFF"/>
            <w:tcMar>
              <w:top w:w="0" w:type="dxa"/>
              <w:left w:w="20" w:type="dxa"/>
              <w:bottom w:w="0" w:type="dxa"/>
              <w:right w:w="20" w:type="dxa"/>
            </w:tcMar>
            <w:vAlign w:val="center"/>
            <w:hideMark/>
          </w:tcPr>
          <w:p w14:paraId="16307A3D"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CE2B95"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shd w:val="clear" w:color="auto" w:fill="FFFFFF"/>
            <w:tcMar>
              <w:top w:w="0" w:type="dxa"/>
              <w:left w:w="20" w:type="dxa"/>
              <w:bottom w:w="0" w:type="dxa"/>
              <w:right w:w="20" w:type="dxa"/>
            </w:tcMar>
            <w:vAlign w:val="center"/>
            <w:hideMark/>
          </w:tcPr>
          <w:p w14:paraId="6C6AE086"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B345603" w14:textId="77777777" w:rsidR="00000000" w:rsidRDefault="00A173A8">
            <w:pPr>
              <w:spacing w:after="100"/>
              <w:jc w:val="center"/>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14:paraId="01D48922"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9DA13C"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shd w:val="clear" w:color="auto" w:fill="FFFFFF"/>
            <w:tcMar>
              <w:top w:w="0" w:type="dxa"/>
              <w:left w:w="20" w:type="dxa"/>
              <w:bottom w:w="0" w:type="dxa"/>
              <w:right w:w="20" w:type="dxa"/>
            </w:tcMar>
            <w:vAlign w:val="center"/>
            <w:hideMark/>
          </w:tcPr>
          <w:p w14:paraId="273F6A5F" w14:textId="77777777" w:rsidR="00000000" w:rsidRDefault="00A173A8">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0746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DDC47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C61204" w14:textId="77777777" w:rsidR="00000000" w:rsidRDefault="00A173A8">
            <w:pPr>
              <w:spacing w:after="100"/>
              <w:rPr>
                <w:rFonts w:eastAsia="Times New Roman"/>
                <w:sz w:val="20"/>
                <w:szCs w:val="20"/>
              </w:rPr>
            </w:pPr>
          </w:p>
        </w:tc>
        <w:tc>
          <w:tcPr>
            <w:tcW w:w="0" w:type="auto"/>
            <w:vAlign w:val="center"/>
            <w:hideMark/>
          </w:tcPr>
          <w:p w14:paraId="4AAE2408" w14:textId="77777777" w:rsidR="00000000" w:rsidRDefault="00A173A8">
            <w:pPr>
              <w:spacing w:after="100"/>
              <w:rPr>
                <w:rFonts w:eastAsia="Times New Roman"/>
                <w:sz w:val="20"/>
                <w:szCs w:val="20"/>
              </w:rPr>
            </w:pPr>
          </w:p>
        </w:tc>
        <w:tc>
          <w:tcPr>
            <w:tcW w:w="0" w:type="auto"/>
            <w:vAlign w:val="center"/>
            <w:hideMark/>
          </w:tcPr>
          <w:p w14:paraId="15A9150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99A53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64BEE6" w14:textId="77777777" w:rsidR="00000000" w:rsidRDefault="00A173A8">
            <w:pPr>
              <w:spacing w:after="100"/>
              <w:rPr>
                <w:rFonts w:eastAsia="Times New Roman"/>
                <w:sz w:val="20"/>
                <w:szCs w:val="20"/>
              </w:rPr>
            </w:pPr>
          </w:p>
        </w:tc>
        <w:tc>
          <w:tcPr>
            <w:tcW w:w="0" w:type="auto"/>
            <w:vAlign w:val="center"/>
            <w:hideMark/>
          </w:tcPr>
          <w:p w14:paraId="52FC37B3" w14:textId="77777777" w:rsidR="00000000" w:rsidRDefault="00A173A8">
            <w:pPr>
              <w:spacing w:after="100"/>
              <w:rPr>
                <w:rFonts w:eastAsia="Times New Roman"/>
                <w:sz w:val="20"/>
                <w:szCs w:val="20"/>
              </w:rPr>
            </w:pPr>
          </w:p>
        </w:tc>
        <w:tc>
          <w:tcPr>
            <w:tcW w:w="0" w:type="auto"/>
            <w:vAlign w:val="center"/>
            <w:hideMark/>
          </w:tcPr>
          <w:p w14:paraId="30F1A612" w14:textId="77777777" w:rsidR="00000000" w:rsidRDefault="00A173A8">
            <w:pPr>
              <w:spacing w:after="100"/>
              <w:rPr>
                <w:rFonts w:eastAsia="Times New Roman"/>
                <w:sz w:val="20"/>
                <w:szCs w:val="20"/>
              </w:rPr>
            </w:pPr>
          </w:p>
        </w:tc>
        <w:tc>
          <w:tcPr>
            <w:tcW w:w="0" w:type="auto"/>
            <w:vAlign w:val="center"/>
            <w:hideMark/>
          </w:tcPr>
          <w:p w14:paraId="417CC46D" w14:textId="77777777" w:rsidR="00000000" w:rsidRDefault="00A173A8">
            <w:pPr>
              <w:spacing w:after="100"/>
              <w:rPr>
                <w:rFonts w:eastAsia="Times New Roman"/>
                <w:sz w:val="20"/>
                <w:szCs w:val="20"/>
              </w:rPr>
            </w:pPr>
          </w:p>
        </w:tc>
        <w:tc>
          <w:tcPr>
            <w:tcW w:w="0" w:type="auto"/>
            <w:vAlign w:val="center"/>
            <w:hideMark/>
          </w:tcPr>
          <w:p w14:paraId="6A8852CD" w14:textId="77777777" w:rsidR="00000000" w:rsidRDefault="00A173A8">
            <w:pPr>
              <w:spacing w:after="100"/>
              <w:rPr>
                <w:rFonts w:eastAsia="Times New Roman"/>
                <w:sz w:val="20"/>
                <w:szCs w:val="20"/>
              </w:rPr>
            </w:pPr>
          </w:p>
        </w:tc>
        <w:tc>
          <w:tcPr>
            <w:tcW w:w="0" w:type="auto"/>
            <w:vAlign w:val="center"/>
            <w:hideMark/>
          </w:tcPr>
          <w:p w14:paraId="0ADD6E13" w14:textId="77777777" w:rsidR="00000000" w:rsidRDefault="00A173A8">
            <w:pPr>
              <w:spacing w:after="100"/>
              <w:rPr>
                <w:rFonts w:eastAsia="Times New Roman"/>
                <w:sz w:val="20"/>
                <w:szCs w:val="20"/>
              </w:rPr>
            </w:pPr>
          </w:p>
        </w:tc>
        <w:tc>
          <w:tcPr>
            <w:tcW w:w="0" w:type="auto"/>
            <w:vAlign w:val="center"/>
            <w:hideMark/>
          </w:tcPr>
          <w:p w14:paraId="6BD47C15" w14:textId="77777777" w:rsidR="00000000" w:rsidRDefault="00A173A8">
            <w:pPr>
              <w:spacing w:after="100"/>
              <w:rPr>
                <w:rFonts w:eastAsia="Times New Roman"/>
                <w:sz w:val="20"/>
                <w:szCs w:val="20"/>
              </w:rPr>
            </w:pPr>
          </w:p>
        </w:tc>
      </w:tr>
      <w:tr w:rsidR="00000000" w14:paraId="4DC7F216" w14:textId="77777777">
        <w:trPr>
          <w:divId w:val="1891491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034C95E" w14:textId="77777777" w:rsidR="00000000" w:rsidRDefault="00A173A8">
            <w:pPr>
              <w:spacing w:after="100"/>
              <w:rPr>
                <w:rFonts w:eastAsia="Times New Roman"/>
              </w:rPr>
            </w:pPr>
            <w:r>
              <w:rPr>
                <w:rFonts w:eastAsia="Times New Roman"/>
                <w:b/>
                <w:bCs/>
                <w:color w:val="000000"/>
                <w:sz w:val="20"/>
                <w:szCs w:val="20"/>
              </w:rPr>
              <w:t>Selected period-end data:</w:t>
            </w:r>
          </w:p>
        </w:tc>
        <w:tc>
          <w:tcPr>
            <w:tcW w:w="0" w:type="auto"/>
            <w:gridSpan w:val="3"/>
            <w:shd w:val="clear" w:color="auto" w:fill="CCEEFF"/>
            <w:tcMar>
              <w:top w:w="0" w:type="dxa"/>
              <w:left w:w="20" w:type="dxa"/>
              <w:bottom w:w="0" w:type="dxa"/>
              <w:right w:w="20" w:type="dxa"/>
            </w:tcMar>
            <w:vAlign w:val="center"/>
            <w:hideMark/>
          </w:tcPr>
          <w:p w14:paraId="641DFE34"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ADEFA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D0911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5A357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C296A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19B4B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36D80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A4E9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75229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BBBAE4" w14:textId="77777777" w:rsidR="00000000" w:rsidRDefault="00A173A8">
            <w:pPr>
              <w:spacing w:after="100"/>
              <w:rPr>
                <w:rFonts w:eastAsia="Times New Roman"/>
                <w:sz w:val="20"/>
                <w:szCs w:val="20"/>
              </w:rPr>
            </w:pPr>
          </w:p>
        </w:tc>
        <w:tc>
          <w:tcPr>
            <w:tcW w:w="0" w:type="auto"/>
            <w:vAlign w:val="center"/>
            <w:hideMark/>
          </w:tcPr>
          <w:p w14:paraId="09FD88BC" w14:textId="77777777" w:rsidR="00000000" w:rsidRDefault="00A173A8">
            <w:pPr>
              <w:spacing w:after="100"/>
              <w:rPr>
                <w:rFonts w:eastAsia="Times New Roman"/>
                <w:sz w:val="20"/>
                <w:szCs w:val="20"/>
              </w:rPr>
            </w:pPr>
          </w:p>
        </w:tc>
        <w:tc>
          <w:tcPr>
            <w:tcW w:w="0" w:type="auto"/>
            <w:vAlign w:val="center"/>
            <w:hideMark/>
          </w:tcPr>
          <w:p w14:paraId="5E7347D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98287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557F39" w14:textId="77777777" w:rsidR="00000000" w:rsidRDefault="00A173A8">
            <w:pPr>
              <w:spacing w:after="100"/>
              <w:rPr>
                <w:rFonts w:eastAsia="Times New Roman"/>
                <w:sz w:val="20"/>
                <w:szCs w:val="20"/>
              </w:rPr>
            </w:pPr>
          </w:p>
        </w:tc>
        <w:tc>
          <w:tcPr>
            <w:tcW w:w="0" w:type="auto"/>
            <w:gridSpan w:val="3"/>
            <w:vAlign w:val="center"/>
            <w:hideMark/>
          </w:tcPr>
          <w:p w14:paraId="31FEA2AC" w14:textId="77777777" w:rsidR="00000000" w:rsidRDefault="00A173A8">
            <w:pPr>
              <w:spacing w:after="100"/>
              <w:rPr>
                <w:rFonts w:eastAsia="Times New Roman"/>
                <w:sz w:val="20"/>
                <w:szCs w:val="20"/>
              </w:rPr>
            </w:pPr>
          </w:p>
        </w:tc>
        <w:tc>
          <w:tcPr>
            <w:tcW w:w="0" w:type="auto"/>
            <w:gridSpan w:val="3"/>
            <w:vAlign w:val="center"/>
            <w:hideMark/>
          </w:tcPr>
          <w:p w14:paraId="10B368CB" w14:textId="77777777" w:rsidR="00000000" w:rsidRDefault="00A173A8">
            <w:pPr>
              <w:spacing w:after="100"/>
              <w:rPr>
                <w:rFonts w:eastAsia="Times New Roman"/>
                <w:sz w:val="20"/>
                <w:szCs w:val="20"/>
              </w:rPr>
            </w:pPr>
          </w:p>
        </w:tc>
      </w:tr>
      <w:tr w:rsidR="00000000" w14:paraId="77DCE227" w14:textId="77777777">
        <w:trPr>
          <w:divId w:val="189149186"/>
        </w:trPr>
        <w:tc>
          <w:tcPr>
            <w:tcW w:w="0" w:type="auto"/>
            <w:gridSpan w:val="3"/>
            <w:shd w:val="clear" w:color="auto" w:fill="FFFFFF"/>
            <w:tcMar>
              <w:top w:w="30" w:type="dxa"/>
              <w:left w:w="20" w:type="dxa"/>
              <w:bottom w:w="30" w:type="dxa"/>
              <w:right w:w="20" w:type="dxa"/>
            </w:tcMar>
            <w:vAlign w:val="center"/>
            <w:hideMark/>
          </w:tcPr>
          <w:p w14:paraId="0A9F14A1" w14:textId="77777777" w:rsidR="00000000" w:rsidRDefault="00A173A8">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14:paraId="13E727C7"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DB51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49FFB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E4C63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94C33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11ADE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4A700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B8C45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500FF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8288CC" w14:textId="77777777" w:rsidR="00000000" w:rsidRDefault="00A173A8">
            <w:pPr>
              <w:spacing w:after="100"/>
              <w:rPr>
                <w:rFonts w:eastAsia="Times New Roman"/>
                <w:sz w:val="20"/>
                <w:szCs w:val="20"/>
              </w:rPr>
            </w:pPr>
          </w:p>
        </w:tc>
        <w:tc>
          <w:tcPr>
            <w:tcW w:w="0" w:type="auto"/>
            <w:vAlign w:val="center"/>
            <w:hideMark/>
          </w:tcPr>
          <w:p w14:paraId="03C6C7D0" w14:textId="77777777" w:rsidR="00000000" w:rsidRDefault="00A173A8">
            <w:pPr>
              <w:spacing w:after="100"/>
              <w:rPr>
                <w:rFonts w:eastAsia="Times New Roman"/>
                <w:sz w:val="20"/>
                <w:szCs w:val="20"/>
              </w:rPr>
            </w:pPr>
          </w:p>
        </w:tc>
        <w:tc>
          <w:tcPr>
            <w:tcW w:w="0" w:type="auto"/>
            <w:vAlign w:val="center"/>
            <w:hideMark/>
          </w:tcPr>
          <w:p w14:paraId="7BEC37E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295B6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A37693" w14:textId="77777777" w:rsidR="00000000" w:rsidRDefault="00A173A8">
            <w:pPr>
              <w:spacing w:after="100"/>
              <w:rPr>
                <w:rFonts w:eastAsia="Times New Roman"/>
                <w:sz w:val="20"/>
                <w:szCs w:val="20"/>
              </w:rPr>
            </w:pPr>
          </w:p>
        </w:tc>
        <w:tc>
          <w:tcPr>
            <w:tcW w:w="0" w:type="auto"/>
            <w:gridSpan w:val="3"/>
            <w:vAlign w:val="center"/>
            <w:hideMark/>
          </w:tcPr>
          <w:p w14:paraId="4308B32E" w14:textId="77777777" w:rsidR="00000000" w:rsidRDefault="00A173A8">
            <w:pPr>
              <w:spacing w:after="100"/>
              <w:rPr>
                <w:rFonts w:eastAsia="Times New Roman"/>
                <w:sz w:val="20"/>
                <w:szCs w:val="20"/>
              </w:rPr>
            </w:pPr>
          </w:p>
        </w:tc>
        <w:tc>
          <w:tcPr>
            <w:tcW w:w="0" w:type="auto"/>
            <w:gridSpan w:val="3"/>
            <w:vAlign w:val="center"/>
            <w:hideMark/>
          </w:tcPr>
          <w:p w14:paraId="3FCEB404" w14:textId="77777777" w:rsidR="00000000" w:rsidRDefault="00A173A8">
            <w:pPr>
              <w:spacing w:after="100"/>
              <w:rPr>
                <w:rFonts w:eastAsia="Times New Roman"/>
                <w:sz w:val="20"/>
                <w:szCs w:val="20"/>
              </w:rPr>
            </w:pPr>
          </w:p>
        </w:tc>
      </w:tr>
      <w:tr w:rsidR="00000000" w14:paraId="535DBD38" w14:textId="77777777">
        <w:trPr>
          <w:divId w:val="189149186"/>
        </w:trPr>
        <w:tc>
          <w:tcPr>
            <w:tcW w:w="0" w:type="auto"/>
            <w:gridSpan w:val="3"/>
            <w:shd w:val="clear" w:color="auto" w:fill="CCEEFF"/>
            <w:tcMar>
              <w:top w:w="30" w:type="dxa"/>
              <w:left w:w="245" w:type="dxa"/>
              <w:bottom w:w="30" w:type="dxa"/>
              <w:right w:w="20" w:type="dxa"/>
            </w:tcMar>
            <w:vAlign w:val="center"/>
            <w:hideMark/>
          </w:tcPr>
          <w:p w14:paraId="6FDCF72A" w14:textId="77777777" w:rsidR="00000000" w:rsidRDefault="00A173A8">
            <w:pPr>
              <w:spacing w:after="100"/>
              <w:rPr>
                <w:rFonts w:eastAsia="Times New Roman"/>
              </w:rPr>
            </w:pPr>
            <w:r>
              <w:rPr>
                <w:rFonts w:eastAsia="Times New Roman"/>
                <w:color w:val="000000"/>
                <w:sz w:val="20"/>
                <w:szCs w:val="20"/>
              </w:rPr>
              <w:t>Auto</w:t>
            </w:r>
          </w:p>
        </w:tc>
        <w:tc>
          <w:tcPr>
            <w:tcW w:w="0" w:type="auto"/>
            <w:gridSpan w:val="3"/>
            <w:shd w:val="clear" w:color="auto" w:fill="CCEEFF"/>
            <w:tcMar>
              <w:top w:w="0" w:type="dxa"/>
              <w:left w:w="20" w:type="dxa"/>
              <w:bottom w:w="0" w:type="dxa"/>
              <w:right w:w="20" w:type="dxa"/>
            </w:tcMar>
            <w:vAlign w:val="center"/>
            <w:hideMark/>
          </w:tcPr>
          <w:p w14:paraId="0B02EFFC"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ABD556A"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1C828632" w14:textId="77777777" w:rsidR="00000000" w:rsidRDefault="00A173A8">
            <w:pPr>
              <w:spacing w:after="100"/>
              <w:jc w:val="right"/>
              <w:rPr>
                <w:rFonts w:eastAsia="Times New Roman"/>
              </w:rPr>
            </w:pPr>
            <w:r>
              <w:rPr>
                <w:rFonts w:eastAsia="Times New Roman"/>
                <w:b/>
                <w:bCs/>
                <w:color w:val="000000"/>
                <w:sz w:val="20"/>
                <w:szCs w:val="20"/>
              </w:rPr>
              <w:t>79,926</w:t>
            </w:r>
          </w:p>
        </w:tc>
        <w:tc>
          <w:tcPr>
            <w:tcW w:w="0" w:type="auto"/>
            <w:gridSpan w:val="3"/>
            <w:shd w:val="clear" w:color="auto" w:fill="CCEEFF"/>
            <w:tcMar>
              <w:top w:w="0" w:type="dxa"/>
              <w:left w:w="20" w:type="dxa"/>
              <w:bottom w:w="0" w:type="dxa"/>
              <w:right w:w="20" w:type="dxa"/>
            </w:tcMar>
            <w:vAlign w:val="center"/>
            <w:hideMark/>
          </w:tcPr>
          <w:p w14:paraId="5662F8F7"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DF5FC8A"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50E607AF" w14:textId="77777777" w:rsidR="00000000" w:rsidRDefault="00A173A8">
            <w:pPr>
              <w:spacing w:after="100"/>
              <w:jc w:val="right"/>
              <w:rPr>
                <w:rFonts w:eastAsia="Times New Roman"/>
              </w:rPr>
            </w:pPr>
            <w:r>
              <w:rPr>
                <w:rFonts w:eastAsia="Times New Roman"/>
                <w:color w:val="000000"/>
                <w:sz w:val="20"/>
                <w:szCs w:val="20"/>
              </w:rPr>
              <w:t>75,779</w:t>
            </w:r>
          </w:p>
        </w:tc>
        <w:tc>
          <w:tcPr>
            <w:tcW w:w="0" w:type="auto"/>
            <w:gridSpan w:val="3"/>
            <w:shd w:val="clear" w:color="auto" w:fill="CCEEFF"/>
            <w:tcMar>
              <w:top w:w="0" w:type="dxa"/>
              <w:left w:w="20" w:type="dxa"/>
              <w:bottom w:w="0" w:type="dxa"/>
              <w:right w:w="20" w:type="dxa"/>
            </w:tcMar>
            <w:vAlign w:val="center"/>
            <w:hideMark/>
          </w:tcPr>
          <w:p w14:paraId="23C19E57"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55E43A4F" w14:textId="77777777" w:rsidR="00000000" w:rsidRDefault="00A173A8">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14:paraId="2F9DC6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9D37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C271D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97323A" w14:textId="77777777" w:rsidR="00000000" w:rsidRDefault="00A173A8">
            <w:pPr>
              <w:spacing w:after="100"/>
              <w:rPr>
                <w:rFonts w:eastAsia="Times New Roman"/>
                <w:sz w:val="20"/>
                <w:szCs w:val="20"/>
              </w:rPr>
            </w:pPr>
          </w:p>
        </w:tc>
        <w:tc>
          <w:tcPr>
            <w:tcW w:w="0" w:type="auto"/>
            <w:vAlign w:val="center"/>
            <w:hideMark/>
          </w:tcPr>
          <w:p w14:paraId="446EE071" w14:textId="77777777" w:rsidR="00000000" w:rsidRDefault="00A173A8">
            <w:pPr>
              <w:spacing w:after="100"/>
              <w:rPr>
                <w:rFonts w:eastAsia="Times New Roman"/>
                <w:sz w:val="20"/>
                <w:szCs w:val="20"/>
              </w:rPr>
            </w:pPr>
          </w:p>
        </w:tc>
        <w:tc>
          <w:tcPr>
            <w:tcW w:w="0" w:type="auto"/>
            <w:vAlign w:val="center"/>
            <w:hideMark/>
          </w:tcPr>
          <w:p w14:paraId="6CA5352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F5EF4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E9D21C" w14:textId="77777777" w:rsidR="00000000" w:rsidRDefault="00A173A8">
            <w:pPr>
              <w:spacing w:after="100"/>
              <w:rPr>
                <w:rFonts w:eastAsia="Times New Roman"/>
                <w:sz w:val="20"/>
                <w:szCs w:val="20"/>
              </w:rPr>
            </w:pPr>
          </w:p>
        </w:tc>
        <w:tc>
          <w:tcPr>
            <w:tcW w:w="0" w:type="auto"/>
            <w:gridSpan w:val="3"/>
            <w:vAlign w:val="center"/>
            <w:hideMark/>
          </w:tcPr>
          <w:p w14:paraId="7E2E490B" w14:textId="77777777" w:rsidR="00000000" w:rsidRDefault="00A173A8">
            <w:pPr>
              <w:spacing w:after="100"/>
              <w:rPr>
                <w:rFonts w:eastAsia="Times New Roman"/>
                <w:sz w:val="20"/>
                <w:szCs w:val="20"/>
              </w:rPr>
            </w:pPr>
          </w:p>
        </w:tc>
        <w:tc>
          <w:tcPr>
            <w:tcW w:w="0" w:type="auto"/>
            <w:gridSpan w:val="3"/>
            <w:vAlign w:val="center"/>
            <w:hideMark/>
          </w:tcPr>
          <w:p w14:paraId="50B53922" w14:textId="77777777" w:rsidR="00000000" w:rsidRDefault="00A173A8">
            <w:pPr>
              <w:spacing w:after="100"/>
              <w:rPr>
                <w:rFonts w:eastAsia="Times New Roman"/>
                <w:sz w:val="20"/>
                <w:szCs w:val="20"/>
              </w:rPr>
            </w:pPr>
          </w:p>
        </w:tc>
      </w:tr>
      <w:tr w:rsidR="00000000" w14:paraId="0A76DF15" w14:textId="77777777">
        <w:trPr>
          <w:divId w:val="189149186"/>
        </w:trPr>
        <w:tc>
          <w:tcPr>
            <w:tcW w:w="0" w:type="auto"/>
            <w:gridSpan w:val="3"/>
            <w:shd w:val="clear" w:color="auto" w:fill="FFFFFF"/>
            <w:tcMar>
              <w:top w:w="30" w:type="dxa"/>
              <w:left w:w="245" w:type="dxa"/>
              <w:bottom w:w="30" w:type="dxa"/>
              <w:right w:w="20" w:type="dxa"/>
            </w:tcMar>
            <w:vAlign w:val="center"/>
            <w:hideMark/>
          </w:tcPr>
          <w:p w14:paraId="4E30EE73" w14:textId="77777777" w:rsidR="00000000" w:rsidRDefault="00A173A8">
            <w:pPr>
              <w:spacing w:after="100"/>
              <w:rPr>
                <w:rFonts w:eastAsia="Times New Roman"/>
              </w:rPr>
            </w:pPr>
            <w:r>
              <w:rPr>
                <w:rFonts w:eastAsia="Times New Roman"/>
                <w:color w:val="000000"/>
                <w:sz w:val="20"/>
                <w:szCs w:val="20"/>
              </w:rPr>
              <w:t>Retail banking</w:t>
            </w:r>
          </w:p>
        </w:tc>
        <w:tc>
          <w:tcPr>
            <w:tcW w:w="0" w:type="auto"/>
            <w:gridSpan w:val="3"/>
            <w:shd w:val="clear" w:color="auto" w:fill="FFFFFF"/>
            <w:tcMar>
              <w:top w:w="0" w:type="dxa"/>
              <w:left w:w="20" w:type="dxa"/>
              <w:bottom w:w="0" w:type="dxa"/>
              <w:right w:w="20" w:type="dxa"/>
            </w:tcMar>
            <w:vAlign w:val="center"/>
            <w:hideMark/>
          </w:tcPr>
          <w:p w14:paraId="46389B34"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4A6E32D" w14:textId="77777777" w:rsidR="00000000" w:rsidRDefault="00A173A8">
            <w:pPr>
              <w:spacing w:after="100"/>
              <w:jc w:val="right"/>
              <w:rPr>
                <w:rFonts w:eastAsia="Times New Roman"/>
              </w:rPr>
            </w:pPr>
            <w:r>
              <w:rPr>
                <w:rFonts w:eastAsia="Times New Roman"/>
                <w:b/>
                <w:bCs/>
                <w:color w:val="000000"/>
                <w:sz w:val="20"/>
                <w:szCs w:val="20"/>
              </w:rPr>
              <w:t>1,605</w:t>
            </w:r>
          </w:p>
        </w:tc>
        <w:tc>
          <w:tcPr>
            <w:tcW w:w="0" w:type="auto"/>
            <w:gridSpan w:val="3"/>
            <w:shd w:val="clear" w:color="auto" w:fill="FFFFFF"/>
            <w:tcMar>
              <w:top w:w="0" w:type="dxa"/>
              <w:left w:w="20" w:type="dxa"/>
              <w:bottom w:w="0" w:type="dxa"/>
              <w:right w:w="20" w:type="dxa"/>
            </w:tcMar>
            <w:vAlign w:val="center"/>
            <w:hideMark/>
          </w:tcPr>
          <w:p w14:paraId="1165DB31"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B968FDD" w14:textId="77777777" w:rsidR="00000000" w:rsidRDefault="00A173A8">
            <w:pPr>
              <w:spacing w:after="100"/>
              <w:jc w:val="right"/>
              <w:rPr>
                <w:rFonts w:eastAsia="Times New Roman"/>
              </w:rPr>
            </w:pPr>
            <w:r>
              <w:rPr>
                <w:rFonts w:eastAsia="Times New Roman"/>
                <w:color w:val="000000"/>
                <w:sz w:val="20"/>
                <w:szCs w:val="20"/>
              </w:rPr>
              <w:t>1,867</w:t>
            </w:r>
          </w:p>
        </w:tc>
        <w:tc>
          <w:tcPr>
            <w:tcW w:w="0" w:type="auto"/>
            <w:gridSpan w:val="3"/>
            <w:shd w:val="clear" w:color="auto" w:fill="FFFFFF"/>
            <w:tcMar>
              <w:top w:w="0" w:type="dxa"/>
              <w:left w:w="20" w:type="dxa"/>
              <w:bottom w:w="0" w:type="dxa"/>
              <w:right w:w="20" w:type="dxa"/>
            </w:tcMar>
            <w:vAlign w:val="center"/>
            <w:hideMark/>
          </w:tcPr>
          <w:p w14:paraId="2A19D971"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3CB79AD1" w14:textId="77777777" w:rsidR="00000000" w:rsidRDefault="00A173A8">
            <w:pPr>
              <w:spacing w:after="100"/>
              <w:jc w:val="right"/>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14:paraId="6ABB2AC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5E36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D098B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8073B6" w14:textId="77777777" w:rsidR="00000000" w:rsidRDefault="00A173A8">
            <w:pPr>
              <w:spacing w:after="100"/>
              <w:rPr>
                <w:rFonts w:eastAsia="Times New Roman"/>
                <w:sz w:val="20"/>
                <w:szCs w:val="20"/>
              </w:rPr>
            </w:pPr>
          </w:p>
        </w:tc>
        <w:tc>
          <w:tcPr>
            <w:tcW w:w="0" w:type="auto"/>
            <w:vAlign w:val="center"/>
            <w:hideMark/>
          </w:tcPr>
          <w:p w14:paraId="07E3D9EC" w14:textId="77777777" w:rsidR="00000000" w:rsidRDefault="00A173A8">
            <w:pPr>
              <w:spacing w:after="100"/>
              <w:rPr>
                <w:rFonts w:eastAsia="Times New Roman"/>
                <w:sz w:val="20"/>
                <w:szCs w:val="20"/>
              </w:rPr>
            </w:pPr>
          </w:p>
        </w:tc>
        <w:tc>
          <w:tcPr>
            <w:tcW w:w="0" w:type="auto"/>
            <w:vAlign w:val="center"/>
            <w:hideMark/>
          </w:tcPr>
          <w:p w14:paraId="4B2BED2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36CB4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20A31B" w14:textId="77777777" w:rsidR="00000000" w:rsidRDefault="00A173A8">
            <w:pPr>
              <w:spacing w:after="100"/>
              <w:rPr>
                <w:rFonts w:eastAsia="Times New Roman"/>
                <w:sz w:val="20"/>
                <w:szCs w:val="20"/>
              </w:rPr>
            </w:pPr>
          </w:p>
        </w:tc>
        <w:tc>
          <w:tcPr>
            <w:tcW w:w="0" w:type="auto"/>
            <w:gridSpan w:val="3"/>
            <w:vAlign w:val="center"/>
            <w:hideMark/>
          </w:tcPr>
          <w:p w14:paraId="131E0DAA" w14:textId="77777777" w:rsidR="00000000" w:rsidRDefault="00A173A8">
            <w:pPr>
              <w:spacing w:after="100"/>
              <w:rPr>
                <w:rFonts w:eastAsia="Times New Roman"/>
                <w:sz w:val="20"/>
                <w:szCs w:val="20"/>
              </w:rPr>
            </w:pPr>
          </w:p>
        </w:tc>
        <w:tc>
          <w:tcPr>
            <w:tcW w:w="0" w:type="auto"/>
            <w:gridSpan w:val="3"/>
            <w:vAlign w:val="center"/>
            <w:hideMark/>
          </w:tcPr>
          <w:p w14:paraId="02FEF7D9" w14:textId="77777777" w:rsidR="00000000" w:rsidRDefault="00A173A8">
            <w:pPr>
              <w:spacing w:after="100"/>
              <w:rPr>
                <w:rFonts w:eastAsia="Times New Roman"/>
                <w:sz w:val="20"/>
                <w:szCs w:val="20"/>
              </w:rPr>
            </w:pPr>
          </w:p>
        </w:tc>
      </w:tr>
      <w:tr w:rsidR="00000000" w14:paraId="5C1596C4" w14:textId="77777777">
        <w:trPr>
          <w:divId w:val="189149186"/>
        </w:trPr>
        <w:tc>
          <w:tcPr>
            <w:tcW w:w="0" w:type="auto"/>
            <w:gridSpan w:val="3"/>
            <w:shd w:val="clear" w:color="auto" w:fill="CCEEFF"/>
            <w:tcMar>
              <w:top w:w="30" w:type="dxa"/>
              <w:left w:w="20" w:type="dxa"/>
              <w:bottom w:w="30" w:type="dxa"/>
              <w:right w:w="20" w:type="dxa"/>
            </w:tcMar>
            <w:vAlign w:val="center"/>
            <w:hideMark/>
          </w:tcPr>
          <w:p w14:paraId="0D58D24B" w14:textId="77777777" w:rsidR="00000000" w:rsidRDefault="00A173A8">
            <w:pPr>
              <w:spacing w:after="100"/>
              <w:rPr>
                <w:rFonts w:eastAsia="Times New Roman"/>
              </w:rPr>
            </w:pPr>
            <w:r>
              <w:rPr>
                <w:rFonts w:eastAsia="Times New Roman"/>
                <w:color w:val="000000"/>
                <w:sz w:val="20"/>
                <w:szCs w:val="20"/>
              </w:rPr>
              <w:t>Total consumer banking</w:t>
            </w:r>
          </w:p>
        </w:tc>
        <w:tc>
          <w:tcPr>
            <w:tcW w:w="0" w:type="auto"/>
            <w:gridSpan w:val="3"/>
            <w:shd w:val="clear" w:color="auto" w:fill="CCEEFF"/>
            <w:tcMar>
              <w:top w:w="0" w:type="dxa"/>
              <w:left w:w="20" w:type="dxa"/>
              <w:bottom w:w="0" w:type="dxa"/>
              <w:right w:w="20" w:type="dxa"/>
            </w:tcMar>
            <w:vAlign w:val="center"/>
            <w:hideMark/>
          </w:tcPr>
          <w:p w14:paraId="2388516B"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A839B8"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33BB20BF" w14:textId="77777777" w:rsidR="00000000" w:rsidRDefault="00A173A8">
            <w:pPr>
              <w:spacing w:after="100"/>
              <w:jc w:val="right"/>
              <w:rPr>
                <w:rFonts w:eastAsia="Times New Roman"/>
              </w:rPr>
            </w:pPr>
            <w:r>
              <w:rPr>
                <w:rFonts w:eastAsia="Times New Roman"/>
                <w:b/>
                <w:bCs/>
                <w:color w:val="000000"/>
                <w:sz w:val="20"/>
                <w:szCs w:val="20"/>
              </w:rPr>
              <w:t>81,531</w:t>
            </w:r>
          </w:p>
        </w:tc>
        <w:tc>
          <w:tcPr>
            <w:tcW w:w="0" w:type="auto"/>
            <w:gridSpan w:val="3"/>
            <w:shd w:val="clear" w:color="auto" w:fill="CCEEFF"/>
            <w:tcMar>
              <w:top w:w="0" w:type="dxa"/>
              <w:left w:w="20" w:type="dxa"/>
              <w:bottom w:w="0" w:type="dxa"/>
              <w:right w:w="20" w:type="dxa"/>
            </w:tcMar>
            <w:vAlign w:val="center"/>
            <w:hideMark/>
          </w:tcPr>
          <w:p w14:paraId="2CE419E7"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C27694"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04BE66E" w14:textId="77777777" w:rsidR="00000000" w:rsidRDefault="00A173A8">
            <w:pPr>
              <w:spacing w:after="100"/>
              <w:jc w:val="right"/>
              <w:rPr>
                <w:rFonts w:eastAsia="Times New Roman"/>
              </w:rPr>
            </w:pPr>
            <w:r>
              <w:rPr>
                <w:rFonts w:eastAsia="Times New Roman"/>
                <w:color w:val="000000"/>
                <w:sz w:val="20"/>
                <w:szCs w:val="20"/>
              </w:rPr>
              <w:t>77,646</w:t>
            </w:r>
          </w:p>
        </w:tc>
        <w:tc>
          <w:tcPr>
            <w:tcW w:w="0" w:type="auto"/>
            <w:gridSpan w:val="3"/>
            <w:shd w:val="clear" w:color="auto" w:fill="CCEEFF"/>
            <w:tcMar>
              <w:top w:w="0" w:type="dxa"/>
              <w:left w:w="20" w:type="dxa"/>
              <w:bottom w:w="0" w:type="dxa"/>
              <w:right w:w="20" w:type="dxa"/>
            </w:tcMar>
            <w:vAlign w:val="center"/>
            <w:hideMark/>
          </w:tcPr>
          <w:p w14:paraId="0AD3DB90"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7C9ACF5E" w14:textId="77777777" w:rsidR="00000000" w:rsidRDefault="00A173A8">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14:paraId="5A1241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5606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FF195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7C0FF9" w14:textId="77777777" w:rsidR="00000000" w:rsidRDefault="00A173A8">
            <w:pPr>
              <w:spacing w:after="100"/>
              <w:rPr>
                <w:rFonts w:eastAsia="Times New Roman"/>
                <w:sz w:val="20"/>
                <w:szCs w:val="20"/>
              </w:rPr>
            </w:pPr>
          </w:p>
        </w:tc>
        <w:tc>
          <w:tcPr>
            <w:tcW w:w="0" w:type="auto"/>
            <w:vAlign w:val="center"/>
            <w:hideMark/>
          </w:tcPr>
          <w:p w14:paraId="397D968E" w14:textId="77777777" w:rsidR="00000000" w:rsidRDefault="00A173A8">
            <w:pPr>
              <w:spacing w:after="100"/>
              <w:rPr>
                <w:rFonts w:eastAsia="Times New Roman"/>
                <w:sz w:val="20"/>
                <w:szCs w:val="20"/>
              </w:rPr>
            </w:pPr>
          </w:p>
        </w:tc>
        <w:tc>
          <w:tcPr>
            <w:tcW w:w="0" w:type="auto"/>
            <w:vAlign w:val="center"/>
            <w:hideMark/>
          </w:tcPr>
          <w:p w14:paraId="220589E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88EF6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547BD6" w14:textId="77777777" w:rsidR="00000000" w:rsidRDefault="00A173A8">
            <w:pPr>
              <w:spacing w:after="100"/>
              <w:rPr>
                <w:rFonts w:eastAsia="Times New Roman"/>
                <w:sz w:val="20"/>
                <w:szCs w:val="20"/>
              </w:rPr>
            </w:pPr>
          </w:p>
        </w:tc>
        <w:tc>
          <w:tcPr>
            <w:tcW w:w="0" w:type="auto"/>
            <w:gridSpan w:val="3"/>
            <w:vAlign w:val="center"/>
            <w:hideMark/>
          </w:tcPr>
          <w:p w14:paraId="351F9689" w14:textId="77777777" w:rsidR="00000000" w:rsidRDefault="00A173A8">
            <w:pPr>
              <w:spacing w:after="100"/>
              <w:rPr>
                <w:rFonts w:eastAsia="Times New Roman"/>
                <w:sz w:val="20"/>
                <w:szCs w:val="20"/>
              </w:rPr>
            </w:pPr>
          </w:p>
        </w:tc>
        <w:tc>
          <w:tcPr>
            <w:tcW w:w="0" w:type="auto"/>
            <w:gridSpan w:val="3"/>
            <w:vAlign w:val="center"/>
            <w:hideMark/>
          </w:tcPr>
          <w:p w14:paraId="17DEDECA" w14:textId="77777777" w:rsidR="00000000" w:rsidRDefault="00A173A8">
            <w:pPr>
              <w:spacing w:after="100"/>
              <w:rPr>
                <w:rFonts w:eastAsia="Times New Roman"/>
                <w:sz w:val="20"/>
                <w:szCs w:val="20"/>
              </w:rPr>
            </w:pPr>
          </w:p>
        </w:tc>
      </w:tr>
      <w:tr w:rsidR="00000000" w14:paraId="03509463" w14:textId="77777777">
        <w:trPr>
          <w:divId w:val="189149186"/>
        </w:trPr>
        <w:tc>
          <w:tcPr>
            <w:tcW w:w="0" w:type="auto"/>
            <w:gridSpan w:val="3"/>
            <w:shd w:val="clear" w:color="auto" w:fill="FFFFFF"/>
            <w:tcMar>
              <w:top w:w="30" w:type="dxa"/>
              <w:left w:w="20" w:type="dxa"/>
              <w:bottom w:w="30" w:type="dxa"/>
              <w:right w:w="20" w:type="dxa"/>
            </w:tcMar>
            <w:vAlign w:val="center"/>
            <w:hideMark/>
          </w:tcPr>
          <w:p w14:paraId="4345BD90" w14:textId="77777777" w:rsidR="00000000" w:rsidRDefault="00A173A8">
            <w:pPr>
              <w:spacing w:after="100"/>
              <w:rPr>
                <w:rFonts w:eastAsia="Times New Roman"/>
              </w:rPr>
            </w:pPr>
            <w:r>
              <w:rPr>
                <w:rFonts w:eastAsia="Times New Roman"/>
                <w:color w:val="000000"/>
                <w:sz w:val="20"/>
                <w:szCs w:val="20"/>
              </w:rPr>
              <w:t>30+ day performing delinquency rate</w:t>
            </w:r>
          </w:p>
        </w:tc>
        <w:tc>
          <w:tcPr>
            <w:tcW w:w="0" w:type="auto"/>
            <w:gridSpan w:val="3"/>
            <w:shd w:val="clear" w:color="auto" w:fill="FFFFFF"/>
            <w:tcMar>
              <w:top w:w="0" w:type="dxa"/>
              <w:left w:w="20" w:type="dxa"/>
              <w:bottom w:w="0" w:type="dxa"/>
              <w:right w:w="20" w:type="dxa"/>
            </w:tcMar>
            <w:vAlign w:val="center"/>
            <w:hideMark/>
          </w:tcPr>
          <w:p w14:paraId="6586076A" w14:textId="77777777" w:rsidR="00000000" w:rsidRDefault="00A173A8">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1D75FFF" w14:textId="77777777" w:rsidR="00000000" w:rsidRDefault="00A173A8">
            <w:pPr>
              <w:spacing w:after="100"/>
              <w:jc w:val="right"/>
              <w:rPr>
                <w:rFonts w:eastAsia="Times New Roman"/>
              </w:rPr>
            </w:pPr>
            <w:r>
              <w:rPr>
                <w:rFonts w:eastAsia="Times New Roman"/>
                <w:b/>
                <w:bCs/>
                <w:color w:val="000000"/>
                <w:sz w:val="20"/>
                <w:szCs w:val="20"/>
              </w:rPr>
              <w:t>4.39</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E8AA875"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6D5CC8" w14:textId="77777777" w:rsidR="00000000" w:rsidRDefault="00A173A8">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68D3B0D" w14:textId="77777777" w:rsidR="00000000" w:rsidRDefault="00A173A8">
            <w:pPr>
              <w:spacing w:after="100"/>
              <w:jc w:val="right"/>
              <w:rPr>
                <w:rFonts w:eastAsia="Times New Roman"/>
              </w:rPr>
            </w:pPr>
            <w:r>
              <w:rPr>
                <w:rFonts w:eastAsia="Times New Roman"/>
                <w:color w:val="000000"/>
                <w:sz w:val="20"/>
                <w:szCs w:val="20"/>
              </w:rPr>
              <w:t>4.26 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31F25C3"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CF85A9F"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EB942C1" w14:textId="77777777" w:rsidR="00000000" w:rsidRDefault="00A173A8">
            <w:pPr>
              <w:spacing w:after="100"/>
              <w:jc w:val="right"/>
              <w:rPr>
                <w:rFonts w:eastAsia="Times New Roman"/>
              </w:rPr>
            </w:pPr>
            <w:r>
              <w:rPr>
                <w:rFonts w:eastAsia="Times New Roman"/>
                <w:color w:val="000000"/>
                <w:sz w:val="20"/>
                <w:szCs w:val="20"/>
              </w:rPr>
              <w:t>13bps</w:t>
            </w:r>
          </w:p>
        </w:tc>
        <w:tc>
          <w:tcPr>
            <w:tcW w:w="0" w:type="auto"/>
            <w:gridSpan w:val="3"/>
            <w:shd w:val="clear" w:color="auto" w:fill="FFFFFF"/>
            <w:tcMar>
              <w:top w:w="0" w:type="dxa"/>
              <w:left w:w="20" w:type="dxa"/>
              <w:bottom w:w="0" w:type="dxa"/>
              <w:right w:w="20" w:type="dxa"/>
            </w:tcMar>
            <w:vAlign w:val="center"/>
            <w:hideMark/>
          </w:tcPr>
          <w:p w14:paraId="3442BA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F60EE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A5CB8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7E6C70" w14:textId="77777777" w:rsidR="00000000" w:rsidRDefault="00A173A8">
            <w:pPr>
              <w:spacing w:after="100"/>
              <w:rPr>
                <w:rFonts w:eastAsia="Times New Roman"/>
                <w:sz w:val="20"/>
                <w:szCs w:val="20"/>
              </w:rPr>
            </w:pPr>
          </w:p>
        </w:tc>
        <w:tc>
          <w:tcPr>
            <w:tcW w:w="0" w:type="auto"/>
            <w:vAlign w:val="center"/>
            <w:hideMark/>
          </w:tcPr>
          <w:p w14:paraId="1412CF78" w14:textId="77777777" w:rsidR="00000000" w:rsidRDefault="00A173A8">
            <w:pPr>
              <w:spacing w:after="100"/>
              <w:rPr>
                <w:rFonts w:eastAsia="Times New Roman"/>
                <w:sz w:val="20"/>
                <w:szCs w:val="20"/>
              </w:rPr>
            </w:pPr>
          </w:p>
        </w:tc>
        <w:tc>
          <w:tcPr>
            <w:tcW w:w="0" w:type="auto"/>
            <w:vAlign w:val="center"/>
            <w:hideMark/>
          </w:tcPr>
          <w:p w14:paraId="30ADECB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5ECBD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BF137C" w14:textId="77777777" w:rsidR="00000000" w:rsidRDefault="00A173A8">
            <w:pPr>
              <w:spacing w:after="100"/>
              <w:rPr>
                <w:rFonts w:eastAsia="Times New Roman"/>
                <w:sz w:val="20"/>
                <w:szCs w:val="20"/>
              </w:rPr>
            </w:pPr>
          </w:p>
        </w:tc>
        <w:tc>
          <w:tcPr>
            <w:tcW w:w="0" w:type="auto"/>
            <w:gridSpan w:val="3"/>
            <w:vAlign w:val="center"/>
            <w:hideMark/>
          </w:tcPr>
          <w:p w14:paraId="235B32BF" w14:textId="77777777" w:rsidR="00000000" w:rsidRDefault="00A173A8">
            <w:pPr>
              <w:spacing w:after="100"/>
              <w:rPr>
                <w:rFonts w:eastAsia="Times New Roman"/>
                <w:sz w:val="20"/>
                <w:szCs w:val="20"/>
              </w:rPr>
            </w:pPr>
          </w:p>
        </w:tc>
        <w:tc>
          <w:tcPr>
            <w:tcW w:w="0" w:type="auto"/>
            <w:gridSpan w:val="3"/>
            <w:vAlign w:val="center"/>
            <w:hideMark/>
          </w:tcPr>
          <w:p w14:paraId="7CB693CA" w14:textId="77777777" w:rsidR="00000000" w:rsidRDefault="00A173A8">
            <w:pPr>
              <w:spacing w:after="100"/>
              <w:rPr>
                <w:rFonts w:eastAsia="Times New Roman"/>
                <w:sz w:val="20"/>
                <w:szCs w:val="20"/>
              </w:rPr>
            </w:pPr>
          </w:p>
        </w:tc>
      </w:tr>
      <w:tr w:rsidR="00000000" w14:paraId="319A8C92" w14:textId="77777777">
        <w:trPr>
          <w:divId w:val="189149186"/>
        </w:trPr>
        <w:tc>
          <w:tcPr>
            <w:tcW w:w="0" w:type="auto"/>
            <w:gridSpan w:val="3"/>
            <w:shd w:val="clear" w:color="auto" w:fill="CCEEFF"/>
            <w:tcMar>
              <w:top w:w="30" w:type="dxa"/>
              <w:left w:w="20" w:type="dxa"/>
              <w:bottom w:w="30" w:type="dxa"/>
              <w:right w:w="20" w:type="dxa"/>
            </w:tcMar>
            <w:vAlign w:val="center"/>
            <w:hideMark/>
          </w:tcPr>
          <w:p w14:paraId="455951F0" w14:textId="77777777" w:rsidR="00000000" w:rsidRDefault="00A173A8">
            <w:pPr>
              <w:spacing w:after="100"/>
              <w:rPr>
                <w:rFonts w:eastAsia="Times New Roman"/>
              </w:rPr>
            </w:pPr>
            <w:r>
              <w:rPr>
                <w:rFonts w:eastAsia="Times New Roman"/>
                <w:color w:val="000000"/>
                <w:sz w:val="20"/>
                <w:szCs w:val="20"/>
              </w:rPr>
              <w:t>30+ day delinquency rate</w:t>
            </w:r>
          </w:p>
        </w:tc>
        <w:tc>
          <w:tcPr>
            <w:tcW w:w="0" w:type="auto"/>
            <w:gridSpan w:val="3"/>
            <w:shd w:val="clear" w:color="auto" w:fill="CCEEFF"/>
            <w:tcMar>
              <w:top w:w="0" w:type="dxa"/>
              <w:left w:w="20" w:type="dxa"/>
              <w:bottom w:w="0" w:type="dxa"/>
              <w:right w:w="20" w:type="dxa"/>
            </w:tcMar>
            <w:vAlign w:val="center"/>
            <w:hideMark/>
          </w:tcPr>
          <w:p w14:paraId="0EA931F8"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0BEEB00B" w14:textId="77777777" w:rsidR="00000000" w:rsidRDefault="00A173A8">
            <w:pPr>
              <w:spacing w:after="100"/>
              <w:jc w:val="right"/>
              <w:rPr>
                <w:rFonts w:eastAsia="Times New Roman"/>
              </w:rPr>
            </w:pPr>
            <w:r>
              <w:rPr>
                <w:rFonts w:eastAsia="Times New Roman"/>
                <w:b/>
                <w:bCs/>
                <w:color w:val="000000"/>
                <w:sz w:val="20"/>
                <w:szCs w:val="20"/>
              </w:rPr>
              <w:t>4.81</w:t>
            </w:r>
          </w:p>
        </w:tc>
        <w:tc>
          <w:tcPr>
            <w:tcW w:w="0" w:type="auto"/>
            <w:gridSpan w:val="3"/>
            <w:shd w:val="clear" w:color="auto" w:fill="CCEEFF"/>
            <w:tcMar>
              <w:top w:w="0" w:type="dxa"/>
              <w:left w:w="20" w:type="dxa"/>
              <w:bottom w:w="0" w:type="dxa"/>
              <w:right w:w="20" w:type="dxa"/>
            </w:tcMar>
            <w:vAlign w:val="center"/>
            <w:hideMark/>
          </w:tcPr>
          <w:p w14:paraId="5EE44B45"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77287586" w14:textId="77777777" w:rsidR="00000000" w:rsidRDefault="00A173A8">
            <w:pPr>
              <w:spacing w:after="100"/>
              <w:jc w:val="right"/>
              <w:rPr>
                <w:rFonts w:eastAsia="Times New Roman"/>
              </w:rPr>
            </w:pPr>
            <w:r>
              <w:rPr>
                <w:rFonts w:eastAsia="Times New Roman"/>
                <w:color w:val="000000"/>
                <w:sz w:val="20"/>
                <w:szCs w:val="20"/>
              </w:rPr>
              <w:t>4.66</w:t>
            </w:r>
          </w:p>
        </w:tc>
        <w:tc>
          <w:tcPr>
            <w:tcW w:w="0" w:type="auto"/>
            <w:gridSpan w:val="3"/>
            <w:shd w:val="clear" w:color="auto" w:fill="CCEEFF"/>
            <w:tcMar>
              <w:top w:w="0" w:type="dxa"/>
              <w:left w:w="20" w:type="dxa"/>
              <w:bottom w:w="0" w:type="dxa"/>
              <w:right w:w="20" w:type="dxa"/>
            </w:tcMar>
            <w:vAlign w:val="center"/>
            <w:hideMark/>
          </w:tcPr>
          <w:p w14:paraId="66317F40"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13EBB7E8" w14:textId="77777777" w:rsidR="00000000" w:rsidRDefault="00A173A8">
            <w:pPr>
              <w:spacing w:after="100"/>
              <w:jc w:val="right"/>
              <w:rPr>
                <w:rFonts w:eastAsia="Times New Roman"/>
              </w:rPr>
            </w:pPr>
            <w:r>
              <w:rPr>
                <w:rFonts w:eastAsia="Times New Roman"/>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14:paraId="54FB0A3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385A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EBD8F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EF98DB" w14:textId="77777777" w:rsidR="00000000" w:rsidRDefault="00A173A8">
            <w:pPr>
              <w:spacing w:after="100"/>
              <w:rPr>
                <w:rFonts w:eastAsia="Times New Roman"/>
                <w:sz w:val="20"/>
                <w:szCs w:val="20"/>
              </w:rPr>
            </w:pPr>
          </w:p>
        </w:tc>
        <w:tc>
          <w:tcPr>
            <w:tcW w:w="0" w:type="auto"/>
            <w:vAlign w:val="center"/>
            <w:hideMark/>
          </w:tcPr>
          <w:p w14:paraId="7CC7DF93" w14:textId="77777777" w:rsidR="00000000" w:rsidRDefault="00A173A8">
            <w:pPr>
              <w:spacing w:after="100"/>
              <w:rPr>
                <w:rFonts w:eastAsia="Times New Roman"/>
                <w:sz w:val="20"/>
                <w:szCs w:val="20"/>
              </w:rPr>
            </w:pPr>
          </w:p>
        </w:tc>
        <w:tc>
          <w:tcPr>
            <w:tcW w:w="0" w:type="auto"/>
            <w:vAlign w:val="center"/>
            <w:hideMark/>
          </w:tcPr>
          <w:p w14:paraId="1AD8F85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BB4D9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9D421E" w14:textId="77777777" w:rsidR="00000000" w:rsidRDefault="00A173A8">
            <w:pPr>
              <w:spacing w:after="100"/>
              <w:rPr>
                <w:rFonts w:eastAsia="Times New Roman"/>
                <w:sz w:val="20"/>
                <w:szCs w:val="20"/>
              </w:rPr>
            </w:pPr>
          </w:p>
        </w:tc>
        <w:tc>
          <w:tcPr>
            <w:tcW w:w="0" w:type="auto"/>
            <w:gridSpan w:val="3"/>
            <w:vAlign w:val="center"/>
            <w:hideMark/>
          </w:tcPr>
          <w:p w14:paraId="37FE810B" w14:textId="77777777" w:rsidR="00000000" w:rsidRDefault="00A173A8">
            <w:pPr>
              <w:spacing w:after="100"/>
              <w:rPr>
                <w:rFonts w:eastAsia="Times New Roman"/>
                <w:sz w:val="20"/>
                <w:szCs w:val="20"/>
              </w:rPr>
            </w:pPr>
          </w:p>
        </w:tc>
        <w:tc>
          <w:tcPr>
            <w:tcW w:w="0" w:type="auto"/>
            <w:gridSpan w:val="3"/>
            <w:vAlign w:val="center"/>
            <w:hideMark/>
          </w:tcPr>
          <w:p w14:paraId="39A95E7C" w14:textId="77777777" w:rsidR="00000000" w:rsidRDefault="00A173A8">
            <w:pPr>
              <w:spacing w:after="100"/>
              <w:rPr>
                <w:rFonts w:eastAsia="Times New Roman"/>
                <w:sz w:val="20"/>
                <w:szCs w:val="20"/>
              </w:rPr>
            </w:pPr>
          </w:p>
        </w:tc>
      </w:tr>
      <w:tr w:rsidR="00000000" w14:paraId="4C8C75CC" w14:textId="77777777">
        <w:trPr>
          <w:divId w:val="189149186"/>
        </w:trPr>
        <w:tc>
          <w:tcPr>
            <w:tcW w:w="0" w:type="auto"/>
            <w:gridSpan w:val="3"/>
            <w:shd w:val="clear" w:color="auto" w:fill="FFFFFF"/>
            <w:tcMar>
              <w:top w:w="30" w:type="dxa"/>
              <w:left w:w="20" w:type="dxa"/>
              <w:bottom w:w="30" w:type="dxa"/>
              <w:right w:w="20" w:type="dxa"/>
            </w:tcMar>
            <w:vAlign w:val="center"/>
            <w:hideMark/>
          </w:tcPr>
          <w:p w14:paraId="110F887F" w14:textId="77777777" w:rsidR="00000000" w:rsidRDefault="00A173A8">
            <w:pPr>
              <w:spacing w:after="100"/>
              <w:rPr>
                <w:rFonts w:eastAsia="Times New Roman"/>
              </w:rPr>
            </w:pPr>
            <w:r>
              <w:rPr>
                <w:rFonts w:eastAsia="Times New Roman"/>
                <w:color w:val="000000"/>
                <w:sz w:val="20"/>
                <w:szCs w:val="20"/>
              </w:rPr>
              <w:t>Nonperforming loan rate</w:t>
            </w:r>
          </w:p>
        </w:tc>
        <w:tc>
          <w:tcPr>
            <w:tcW w:w="0" w:type="auto"/>
            <w:gridSpan w:val="3"/>
            <w:shd w:val="clear" w:color="auto" w:fill="FFFFFF"/>
            <w:tcMar>
              <w:top w:w="0" w:type="dxa"/>
              <w:left w:w="20" w:type="dxa"/>
              <w:bottom w:w="0" w:type="dxa"/>
              <w:right w:w="20" w:type="dxa"/>
            </w:tcMar>
            <w:vAlign w:val="center"/>
            <w:hideMark/>
          </w:tcPr>
          <w:p w14:paraId="1BF4203E"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7F85B586" w14:textId="77777777" w:rsidR="00000000" w:rsidRDefault="00A173A8">
            <w:pPr>
              <w:spacing w:after="100"/>
              <w:jc w:val="right"/>
              <w:rPr>
                <w:rFonts w:eastAsia="Times New Roman"/>
              </w:rPr>
            </w:pPr>
            <w:r>
              <w:rPr>
                <w:rFonts w:eastAsia="Times New Roman"/>
                <w:b/>
                <w:bCs/>
                <w:color w:val="000000"/>
                <w:sz w:val="20"/>
                <w:szCs w:val="20"/>
              </w:rPr>
              <w:t>0.54</w:t>
            </w:r>
          </w:p>
        </w:tc>
        <w:tc>
          <w:tcPr>
            <w:tcW w:w="0" w:type="auto"/>
            <w:gridSpan w:val="3"/>
            <w:shd w:val="clear" w:color="auto" w:fill="FFFFFF"/>
            <w:tcMar>
              <w:top w:w="0" w:type="dxa"/>
              <w:left w:w="20" w:type="dxa"/>
              <w:bottom w:w="0" w:type="dxa"/>
              <w:right w:w="20" w:type="dxa"/>
            </w:tcMar>
            <w:vAlign w:val="center"/>
            <w:hideMark/>
          </w:tcPr>
          <w:p w14:paraId="4791CF10"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3FC17C8B" w14:textId="77777777" w:rsidR="00000000" w:rsidRDefault="00A173A8">
            <w:pPr>
              <w:spacing w:after="100"/>
              <w:jc w:val="right"/>
              <w:rPr>
                <w:rFonts w:eastAsia="Times New Roman"/>
              </w:rPr>
            </w:pPr>
            <w:r>
              <w:rPr>
                <w:rFonts w:eastAsia="Times New Roman"/>
                <w:color w:val="000000"/>
                <w:sz w:val="20"/>
                <w:szCs w:val="20"/>
              </w:rPr>
              <w:t>0.50</w:t>
            </w:r>
          </w:p>
        </w:tc>
        <w:tc>
          <w:tcPr>
            <w:tcW w:w="0" w:type="auto"/>
            <w:gridSpan w:val="3"/>
            <w:shd w:val="clear" w:color="auto" w:fill="FFFFFF"/>
            <w:tcMar>
              <w:top w:w="0" w:type="dxa"/>
              <w:left w:w="20" w:type="dxa"/>
              <w:bottom w:w="0" w:type="dxa"/>
              <w:right w:w="20" w:type="dxa"/>
            </w:tcMar>
            <w:vAlign w:val="center"/>
            <w:hideMark/>
          </w:tcPr>
          <w:p w14:paraId="7CD3B144"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14:paraId="60447690" w14:textId="77777777" w:rsidR="00000000" w:rsidRDefault="00A173A8">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14:paraId="3D854BB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B6069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28A72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A14F25" w14:textId="77777777" w:rsidR="00000000" w:rsidRDefault="00A173A8">
            <w:pPr>
              <w:spacing w:after="100"/>
              <w:rPr>
                <w:rFonts w:eastAsia="Times New Roman"/>
                <w:sz w:val="20"/>
                <w:szCs w:val="20"/>
              </w:rPr>
            </w:pPr>
          </w:p>
        </w:tc>
        <w:tc>
          <w:tcPr>
            <w:tcW w:w="0" w:type="auto"/>
            <w:vAlign w:val="center"/>
            <w:hideMark/>
          </w:tcPr>
          <w:p w14:paraId="14661F54" w14:textId="77777777" w:rsidR="00000000" w:rsidRDefault="00A173A8">
            <w:pPr>
              <w:spacing w:after="100"/>
              <w:rPr>
                <w:rFonts w:eastAsia="Times New Roman"/>
                <w:sz w:val="20"/>
                <w:szCs w:val="20"/>
              </w:rPr>
            </w:pPr>
          </w:p>
        </w:tc>
        <w:tc>
          <w:tcPr>
            <w:tcW w:w="0" w:type="auto"/>
            <w:vAlign w:val="center"/>
            <w:hideMark/>
          </w:tcPr>
          <w:p w14:paraId="2CCC87A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7DA72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816812" w14:textId="77777777" w:rsidR="00000000" w:rsidRDefault="00A173A8">
            <w:pPr>
              <w:spacing w:after="100"/>
              <w:rPr>
                <w:rFonts w:eastAsia="Times New Roman"/>
                <w:sz w:val="20"/>
                <w:szCs w:val="20"/>
              </w:rPr>
            </w:pPr>
          </w:p>
        </w:tc>
        <w:tc>
          <w:tcPr>
            <w:tcW w:w="0" w:type="auto"/>
            <w:gridSpan w:val="3"/>
            <w:vAlign w:val="center"/>
            <w:hideMark/>
          </w:tcPr>
          <w:p w14:paraId="37822E2A" w14:textId="77777777" w:rsidR="00000000" w:rsidRDefault="00A173A8">
            <w:pPr>
              <w:spacing w:after="100"/>
              <w:rPr>
                <w:rFonts w:eastAsia="Times New Roman"/>
                <w:sz w:val="20"/>
                <w:szCs w:val="20"/>
              </w:rPr>
            </w:pPr>
          </w:p>
        </w:tc>
        <w:tc>
          <w:tcPr>
            <w:tcW w:w="0" w:type="auto"/>
            <w:gridSpan w:val="3"/>
            <w:vAlign w:val="center"/>
            <w:hideMark/>
          </w:tcPr>
          <w:p w14:paraId="1831E0DE" w14:textId="77777777" w:rsidR="00000000" w:rsidRDefault="00A173A8">
            <w:pPr>
              <w:spacing w:after="100"/>
              <w:rPr>
                <w:rFonts w:eastAsia="Times New Roman"/>
                <w:sz w:val="20"/>
                <w:szCs w:val="20"/>
              </w:rPr>
            </w:pPr>
          </w:p>
        </w:tc>
      </w:tr>
      <w:tr w:rsidR="00000000" w14:paraId="36F7A57D" w14:textId="77777777">
        <w:trPr>
          <w:divId w:val="189149186"/>
        </w:trPr>
        <w:tc>
          <w:tcPr>
            <w:tcW w:w="0" w:type="auto"/>
            <w:gridSpan w:val="3"/>
            <w:shd w:val="clear" w:color="auto" w:fill="CCEEFF"/>
            <w:tcMar>
              <w:top w:w="30" w:type="dxa"/>
              <w:left w:w="20" w:type="dxa"/>
              <w:bottom w:w="30" w:type="dxa"/>
              <w:right w:w="20" w:type="dxa"/>
            </w:tcMar>
            <w:vAlign w:val="center"/>
            <w:hideMark/>
          </w:tcPr>
          <w:p w14:paraId="438FE215" w14:textId="77777777" w:rsidR="00000000" w:rsidRDefault="00A173A8">
            <w:pPr>
              <w:spacing w:after="100"/>
              <w:divId w:val="731536414"/>
              <w:rPr>
                <w:rFonts w:eastAsia="Times New Roman"/>
              </w:rPr>
            </w:pPr>
            <w:r>
              <w:rPr>
                <w:rFonts w:eastAsia="Times New Roman"/>
                <w:color w:val="000000"/>
                <w:sz w:val="20"/>
                <w:szCs w:val="20"/>
              </w:rPr>
              <w:t>Nonperforming asset rat</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1E12AB5"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36300486" w14:textId="77777777" w:rsidR="00000000" w:rsidRDefault="00A173A8">
            <w:pPr>
              <w:spacing w:after="100"/>
              <w:jc w:val="right"/>
              <w:rPr>
                <w:rFonts w:eastAsia="Times New Roman"/>
              </w:rPr>
            </w:pPr>
            <w:r>
              <w:rPr>
                <w:rFonts w:eastAsia="Times New Roman"/>
                <w:b/>
                <w:bCs/>
                <w:color w:val="000000"/>
                <w:sz w:val="20"/>
                <w:szCs w:val="20"/>
              </w:rPr>
              <w:t>0.60</w:t>
            </w:r>
          </w:p>
        </w:tc>
        <w:tc>
          <w:tcPr>
            <w:tcW w:w="0" w:type="auto"/>
            <w:gridSpan w:val="3"/>
            <w:shd w:val="clear" w:color="auto" w:fill="CCEEFF"/>
            <w:tcMar>
              <w:top w:w="0" w:type="dxa"/>
              <w:left w:w="20" w:type="dxa"/>
              <w:bottom w:w="0" w:type="dxa"/>
              <w:right w:w="20" w:type="dxa"/>
            </w:tcMar>
            <w:vAlign w:val="center"/>
            <w:hideMark/>
          </w:tcPr>
          <w:p w14:paraId="6B2A46F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4FF0A095" w14:textId="77777777" w:rsidR="00000000" w:rsidRDefault="00A173A8">
            <w:pPr>
              <w:spacing w:after="100"/>
              <w:jc w:val="right"/>
              <w:rPr>
                <w:rFonts w:eastAsia="Times New Roman"/>
              </w:rPr>
            </w:pPr>
            <w:r>
              <w:rPr>
                <w:rFonts w:eastAsia="Times New Roman"/>
                <w:color w:val="000000"/>
                <w:sz w:val="20"/>
                <w:szCs w:val="20"/>
              </w:rPr>
              <w:t>0.56</w:t>
            </w:r>
          </w:p>
        </w:tc>
        <w:tc>
          <w:tcPr>
            <w:tcW w:w="0" w:type="auto"/>
            <w:gridSpan w:val="3"/>
            <w:shd w:val="clear" w:color="auto" w:fill="CCEEFF"/>
            <w:tcMar>
              <w:top w:w="0" w:type="dxa"/>
              <w:left w:w="20" w:type="dxa"/>
              <w:bottom w:w="0" w:type="dxa"/>
              <w:right w:w="20" w:type="dxa"/>
            </w:tcMar>
            <w:vAlign w:val="center"/>
            <w:hideMark/>
          </w:tcPr>
          <w:p w14:paraId="5D4D58E8"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380" w:type="dxa"/>
            </w:tcMar>
            <w:vAlign w:val="bottom"/>
            <w:hideMark/>
          </w:tcPr>
          <w:p w14:paraId="7B58A1E1" w14:textId="77777777" w:rsidR="00000000" w:rsidRDefault="00A173A8">
            <w:pPr>
              <w:spacing w:after="100"/>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14:paraId="124740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73F1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8D71E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57D5D5" w14:textId="77777777" w:rsidR="00000000" w:rsidRDefault="00A173A8">
            <w:pPr>
              <w:spacing w:after="100"/>
              <w:rPr>
                <w:rFonts w:eastAsia="Times New Roman"/>
                <w:sz w:val="20"/>
                <w:szCs w:val="20"/>
              </w:rPr>
            </w:pPr>
          </w:p>
        </w:tc>
        <w:tc>
          <w:tcPr>
            <w:tcW w:w="0" w:type="auto"/>
            <w:vAlign w:val="center"/>
            <w:hideMark/>
          </w:tcPr>
          <w:p w14:paraId="6EB30C37" w14:textId="77777777" w:rsidR="00000000" w:rsidRDefault="00A173A8">
            <w:pPr>
              <w:spacing w:after="100"/>
              <w:rPr>
                <w:rFonts w:eastAsia="Times New Roman"/>
                <w:sz w:val="20"/>
                <w:szCs w:val="20"/>
              </w:rPr>
            </w:pPr>
          </w:p>
        </w:tc>
        <w:tc>
          <w:tcPr>
            <w:tcW w:w="0" w:type="auto"/>
            <w:vAlign w:val="center"/>
            <w:hideMark/>
          </w:tcPr>
          <w:p w14:paraId="65E890E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0B5ED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42E435" w14:textId="77777777" w:rsidR="00000000" w:rsidRDefault="00A173A8">
            <w:pPr>
              <w:spacing w:after="100"/>
              <w:rPr>
                <w:rFonts w:eastAsia="Times New Roman"/>
                <w:sz w:val="20"/>
                <w:szCs w:val="20"/>
              </w:rPr>
            </w:pPr>
          </w:p>
        </w:tc>
        <w:tc>
          <w:tcPr>
            <w:tcW w:w="0" w:type="auto"/>
            <w:gridSpan w:val="3"/>
            <w:vAlign w:val="center"/>
            <w:hideMark/>
          </w:tcPr>
          <w:p w14:paraId="2A398744" w14:textId="77777777" w:rsidR="00000000" w:rsidRDefault="00A173A8">
            <w:pPr>
              <w:spacing w:after="100"/>
              <w:rPr>
                <w:rFonts w:eastAsia="Times New Roman"/>
                <w:sz w:val="20"/>
                <w:szCs w:val="20"/>
              </w:rPr>
            </w:pPr>
          </w:p>
        </w:tc>
        <w:tc>
          <w:tcPr>
            <w:tcW w:w="0" w:type="auto"/>
            <w:gridSpan w:val="3"/>
            <w:vAlign w:val="center"/>
            <w:hideMark/>
          </w:tcPr>
          <w:p w14:paraId="7C071683" w14:textId="77777777" w:rsidR="00000000" w:rsidRDefault="00A173A8">
            <w:pPr>
              <w:spacing w:after="100"/>
              <w:rPr>
                <w:rFonts w:eastAsia="Times New Roman"/>
                <w:sz w:val="20"/>
                <w:szCs w:val="20"/>
              </w:rPr>
            </w:pPr>
          </w:p>
        </w:tc>
      </w:tr>
      <w:tr w:rsidR="00000000" w14:paraId="0CD86372" w14:textId="77777777">
        <w:trPr>
          <w:divId w:val="189149186"/>
        </w:trPr>
        <w:tc>
          <w:tcPr>
            <w:tcW w:w="0" w:type="auto"/>
            <w:gridSpan w:val="3"/>
            <w:shd w:val="clear" w:color="auto" w:fill="FFFFFF"/>
            <w:tcMar>
              <w:top w:w="30" w:type="dxa"/>
              <w:left w:w="20" w:type="dxa"/>
              <w:bottom w:w="30" w:type="dxa"/>
              <w:right w:w="20" w:type="dxa"/>
            </w:tcMar>
            <w:vAlign w:val="center"/>
            <w:hideMark/>
          </w:tcPr>
          <w:p w14:paraId="559476AA" w14:textId="77777777" w:rsidR="00000000" w:rsidRDefault="00A173A8">
            <w:pPr>
              <w:spacing w:after="100"/>
              <w:rPr>
                <w:rFonts w:eastAsia="Times New Roman"/>
              </w:rPr>
            </w:pPr>
            <w:r>
              <w:rPr>
                <w:rFonts w:eastAsia="Times New Roman"/>
                <w:color w:val="000000"/>
                <w:sz w:val="20"/>
                <w:szCs w:val="20"/>
              </w:rPr>
              <w:t>Allowance for credit losses</w:t>
            </w:r>
          </w:p>
        </w:tc>
        <w:tc>
          <w:tcPr>
            <w:tcW w:w="0" w:type="auto"/>
            <w:gridSpan w:val="3"/>
            <w:shd w:val="clear" w:color="auto" w:fill="FFFFFF"/>
            <w:tcMar>
              <w:top w:w="0" w:type="dxa"/>
              <w:left w:w="20" w:type="dxa"/>
              <w:bottom w:w="0" w:type="dxa"/>
              <w:right w:w="20" w:type="dxa"/>
            </w:tcMar>
            <w:vAlign w:val="center"/>
            <w:hideMark/>
          </w:tcPr>
          <w:p w14:paraId="3B9931D2"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F192BDD"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3B4B0AE" w14:textId="77777777" w:rsidR="00000000" w:rsidRDefault="00A173A8">
            <w:pPr>
              <w:spacing w:after="100"/>
              <w:jc w:val="right"/>
              <w:rPr>
                <w:rFonts w:eastAsia="Times New Roman"/>
              </w:rPr>
            </w:pPr>
            <w:r>
              <w:rPr>
                <w:rFonts w:eastAsia="Times New Roman"/>
                <w:b/>
                <w:bCs/>
                <w:color w:val="000000"/>
                <w:sz w:val="20"/>
                <w:szCs w:val="20"/>
              </w:rPr>
              <w:t>2,047</w:t>
            </w:r>
          </w:p>
        </w:tc>
        <w:tc>
          <w:tcPr>
            <w:tcW w:w="0" w:type="auto"/>
            <w:gridSpan w:val="3"/>
            <w:shd w:val="clear" w:color="auto" w:fill="FFFFFF"/>
            <w:tcMar>
              <w:top w:w="0" w:type="dxa"/>
              <w:left w:w="20" w:type="dxa"/>
              <w:bottom w:w="0" w:type="dxa"/>
              <w:right w:w="20" w:type="dxa"/>
            </w:tcMar>
            <w:vAlign w:val="center"/>
            <w:hideMark/>
          </w:tcPr>
          <w:p w14:paraId="45EAAC32"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6DCE1B7"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2CC045E" w14:textId="77777777" w:rsidR="00000000" w:rsidRDefault="00A173A8">
            <w:pPr>
              <w:spacing w:after="100"/>
              <w:jc w:val="right"/>
              <w:rPr>
                <w:rFonts w:eastAsia="Times New Roman"/>
              </w:rPr>
            </w:pPr>
            <w:r>
              <w:rPr>
                <w:rFonts w:eastAsia="Times New Roman"/>
                <w:color w:val="000000"/>
                <w:sz w:val="20"/>
                <w:szCs w:val="20"/>
              </w:rPr>
              <w:t>1,918</w:t>
            </w:r>
          </w:p>
        </w:tc>
        <w:tc>
          <w:tcPr>
            <w:tcW w:w="0" w:type="auto"/>
            <w:gridSpan w:val="3"/>
            <w:shd w:val="clear" w:color="auto" w:fill="FFFFFF"/>
            <w:tcMar>
              <w:top w:w="0" w:type="dxa"/>
              <w:left w:w="20" w:type="dxa"/>
              <w:bottom w:w="0" w:type="dxa"/>
              <w:right w:w="20" w:type="dxa"/>
            </w:tcMar>
            <w:vAlign w:val="center"/>
            <w:hideMark/>
          </w:tcPr>
          <w:p w14:paraId="17D070A7"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327E7CBA" w14:textId="77777777" w:rsidR="00000000" w:rsidRDefault="00A173A8">
            <w:pPr>
              <w:spacing w:after="100"/>
              <w:jc w:val="right"/>
              <w:rPr>
                <w:rFonts w:eastAsia="Times New Roman"/>
              </w:rPr>
            </w:pPr>
            <w:r>
              <w:rPr>
                <w:rFonts w:eastAsia="Times New Roman"/>
                <w:color w:val="000000"/>
                <w:sz w:val="20"/>
                <w:szCs w:val="20"/>
              </w:rPr>
              <w:t>7%</w:t>
            </w:r>
          </w:p>
        </w:tc>
        <w:tc>
          <w:tcPr>
            <w:tcW w:w="0" w:type="auto"/>
            <w:gridSpan w:val="3"/>
            <w:shd w:val="clear" w:color="auto" w:fill="FFFFFF"/>
            <w:tcMar>
              <w:top w:w="0" w:type="dxa"/>
              <w:left w:w="20" w:type="dxa"/>
              <w:bottom w:w="0" w:type="dxa"/>
              <w:right w:w="20" w:type="dxa"/>
            </w:tcMar>
            <w:vAlign w:val="center"/>
            <w:hideMark/>
          </w:tcPr>
          <w:p w14:paraId="3983BF0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4C9D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FEE89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2E7D6A" w14:textId="77777777" w:rsidR="00000000" w:rsidRDefault="00A173A8">
            <w:pPr>
              <w:spacing w:after="100"/>
              <w:rPr>
                <w:rFonts w:eastAsia="Times New Roman"/>
                <w:sz w:val="20"/>
                <w:szCs w:val="20"/>
              </w:rPr>
            </w:pPr>
          </w:p>
        </w:tc>
        <w:tc>
          <w:tcPr>
            <w:tcW w:w="0" w:type="auto"/>
            <w:vAlign w:val="center"/>
            <w:hideMark/>
          </w:tcPr>
          <w:p w14:paraId="1F8E3622" w14:textId="77777777" w:rsidR="00000000" w:rsidRDefault="00A173A8">
            <w:pPr>
              <w:spacing w:after="100"/>
              <w:rPr>
                <w:rFonts w:eastAsia="Times New Roman"/>
                <w:sz w:val="20"/>
                <w:szCs w:val="20"/>
              </w:rPr>
            </w:pPr>
          </w:p>
        </w:tc>
        <w:tc>
          <w:tcPr>
            <w:tcW w:w="0" w:type="auto"/>
            <w:vAlign w:val="center"/>
            <w:hideMark/>
          </w:tcPr>
          <w:p w14:paraId="2DBF7C1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091C2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8915A6" w14:textId="77777777" w:rsidR="00000000" w:rsidRDefault="00A173A8">
            <w:pPr>
              <w:spacing w:after="100"/>
              <w:rPr>
                <w:rFonts w:eastAsia="Times New Roman"/>
                <w:sz w:val="20"/>
                <w:szCs w:val="20"/>
              </w:rPr>
            </w:pPr>
          </w:p>
        </w:tc>
        <w:tc>
          <w:tcPr>
            <w:tcW w:w="0" w:type="auto"/>
            <w:gridSpan w:val="3"/>
            <w:vAlign w:val="center"/>
            <w:hideMark/>
          </w:tcPr>
          <w:p w14:paraId="14105E38" w14:textId="77777777" w:rsidR="00000000" w:rsidRDefault="00A173A8">
            <w:pPr>
              <w:spacing w:after="100"/>
              <w:rPr>
                <w:rFonts w:eastAsia="Times New Roman"/>
                <w:sz w:val="20"/>
                <w:szCs w:val="20"/>
              </w:rPr>
            </w:pPr>
          </w:p>
        </w:tc>
        <w:tc>
          <w:tcPr>
            <w:tcW w:w="0" w:type="auto"/>
            <w:gridSpan w:val="3"/>
            <w:vAlign w:val="center"/>
            <w:hideMark/>
          </w:tcPr>
          <w:p w14:paraId="52FB46CF" w14:textId="77777777" w:rsidR="00000000" w:rsidRDefault="00A173A8">
            <w:pPr>
              <w:spacing w:after="100"/>
              <w:rPr>
                <w:rFonts w:eastAsia="Times New Roman"/>
                <w:sz w:val="20"/>
                <w:szCs w:val="20"/>
              </w:rPr>
            </w:pPr>
          </w:p>
        </w:tc>
      </w:tr>
      <w:tr w:rsidR="00000000" w14:paraId="67DFD6C8" w14:textId="77777777">
        <w:trPr>
          <w:divId w:val="189149186"/>
        </w:trPr>
        <w:tc>
          <w:tcPr>
            <w:tcW w:w="0" w:type="auto"/>
            <w:gridSpan w:val="3"/>
            <w:vAlign w:val="center"/>
            <w:hideMark/>
          </w:tcPr>
          <w:p w14:paraId="646BC3A2" w14:textId="77777777" w:rsidR="00000000" w:rsidRDefault="00A173A8">
            <w:pPr>
              <w:spacing w:after="100"/>
              <w:rPr>
                <w:rFonts w:eastAsia="Times New Roman"/>
                <w:sz w:val="20"/>
                <w:szCs w:val="20"/>
              </w:rPr>
            </w:pPr>
          </w:p>
        </w:tc>
        <w:tc>
          <w:tcPr>
            <w:tcW w:w="0" w:type="auto"/>
            <w:gridSpan w:val="3"/>
            <w:vAlign w:val="center"/>
            <w:hideMark/>
          </w:tcPr>
          <w:p w14:paraId="153D1909" w14:textId="77777777" w:rsidR="00000000" w:rsidRDefault="00A173A8">
            <w:pPr>
              <w:spacing w:after="100"/>
              <w:rPr>
                <w:rFonts w:eastAsia="Times New Roman"/>
                <w:sz w:val="20"/>
                <w:szCs w:val="20"/>
              </w:rPr>
            </w:pPr>
          </w:p>
        </w:tc>
        <w:tc>
          <w:tcPr>
            <w:tcW w:w="0" w:type="auto"/>
            <w:gridSpan w:val="3"/>
            <w:vAlign w:val="center"/>
            <w:hideMark/>
          </w:tcPr>
          <w:p w14:paraId="63F6396C" w14:textId="77777777" w:rsidR="00000000" w:rsidRDefault="00A173A8">
            <w:pPr>
              <w:spacing w:after="100"/>
              <w:rPr>
                <w:rFonts w:eastAsia="Times New Roman"/>
                <w:sz w:val="20"/>
                <w:szCs w:val="20"/>
              </w:rPr>
            </w:pPr>
          </w:p>
        </w:tc>
        <w:tc>
          <w:tcPr>
            <w:tcW w:w="0" w:type="auto"/>
            <w:gridSpan w:val="3"/>
            <w:vAlign w:val="center"/>
            <w:hideMark/>
          </w:tcPr>
          <w:p w14:paraId="7805C530" w14:textId="77777777" w:rsidR="00000000" w:rsidRDefault="00A173A8">
            <w:pPr>
              <w:spacing w:after="100"/>
              <w:rPr>
                <w:rFonts w:eastAsia="Times New Roman"/>
                <w:sz w:val="20"/>
                <w:szCs w:val="20"/>
              </w:rPr>
            </w:pPr>
          </w:p>
        </w:tc>
        <w:tc>
          <w:tcPr>
            <w:tcW w:w="0" w:type="auto"/>
            <w:gridSpan w:val="3"/>
            <w:vAlign w:val="center"/>
            <w:hideMark/>
          </w:tcPr>
          <w:p w14:paraId="106AC44B" w14:textId="77777777" w:rsidR="00000000" w:rsidRDefault="00A173A8">
            <w:pPr>
              <w:spacing w:after="100"/>
              <w:rPr>
                <w:rFonts w:eastAsia="Times New Roman"/>
                <w:sz w:val="20"/>
                <w:szCs w:val="20"/>
              </w:rPr>
            </w:pPr>
          </w:p>
        </w:tc>
        <w:tc>
          <w:tcPr>
            <w:tcW w:w="0" w:type="auto"/>
            <w:gridSpan w:val="3"/>
            <w:vAlign w:val="center"/>
            <w:hideMark/>
          </w:tcPr>
          <w:p w14:paraId="6AF91C7A" w14:textId="77777777" w:rsidR="00000000" w:rsidRDefault="00A173A8">
            <w:pPr>
              <w:spacing w:after="100"/>
              <w:rPr>
                <w:rFonts w:eastAsia="Times New Roman"/>
                <w:sz w:val="20"/>
                <w:szCs w:val="20"/>
              </w:rPr>
            </w:pPr>
          </w:p>
        </w:tc>
        <w:tc>
          <w:tcPr>
            <w:tcW w:w="0" w:type="auto"/>
            <w:gridSpan w:val="3"/>
            <w:vAlign w:val="center"/>
            <w:hideMark/>
          </w:tcPr>
          <w:p w14:paraId="71C66D1A" w14:textId="77777777" w:rsidR="00000000" w:rsidRDefault="00A173A8">
            <w:pPr>
              <w:spacing w:after="100"/>
              <w:rPr>
                <w:rFonts w:eastAsia="Times New Roman"/>
                <w:sz w:val="20"/>
                <w:szCs w:val="20"/>
              </w:rPr>
            </w:pPr>
          </w:p>
        </w:tc>
        <w:tc>
          <w:tcPr>
            <w:tcW w:w="0" w:type="auto"/>
            <w:gridSpan w:val="3"/>
            <w:vAlign w:val="center"/>
            <w:hideMark/>
          </w:tcPr>
          <w:p w14:paraId="64547727" w14:textId="77777777" w:rsidR="00000000" w:rsidRDefault="00A173A8">
            <w:pPr>
              <w:spacing w:after="100"/>
              <w:rPr>
                <w:rFonts w:eastAsia="Times New Roman"/>
                <w:sz w:val="20"/>
                <w:szCs w:val="20"/>
              </w:rPr>
            </w:pPr>
          </w:p>
        </w:tc>
        <w:tc>
          <w:tcPr>
            <w:tcW w:w="0" w:type="auto"/>
            <w:gridSpan w:val="3"/>
            <w:vAlign w:val="center"/>
            <w:hideMark/>
          </w:tcPr>
          <w:p w14:paraId="176C04FD" w14:textId="77777777" w:rsidR="00000000" w:rsidRDefault="00A173A8">
            <w:pPr>
              <w:spacing w:after="100"/>
              <w:rPr>
                <w:rFonts w:eastAsia="Times New Roman"/>
                <w:sz w:val="20"/>
                <w:szCs w:val="20"/>
              </w:rPr>
            </w:pPr>
          </w:p>
        </w:tc>
        <w:tc>
          <w:tcPr>
            <w:tcW w:w="0" w:type="auto"/>
            <w:gridSpan w:val="3"/>
            <w:vAlign w:val="center"/>
            <w:hideMark/>
          </w:tcPr>
          <w:p w14:paraId="26080E04" w14:textId="77777777" w:rsidR="00000000" w:rsidRDefault="00A173A8">
            <w:pPr>
              <w:spacing w:after="100"/>
              <w:rPr>
                <w:rFonts w:eastAsia="Times New Roman"/>
                <w:sz w:val="20"/>
                <w:szCs w:val="20"/>
              </w:rPr>
            </w:pPr>
          </w:p>
        </w:tc>
        <w:tc>
          <w:tcPr>
            <w:tcW w:w="0" w:type="auto"/>
            <w:gridSpan w:val="3"/>
            <w:vAlign w:val="center"/>
            <w:hideMark/>
          </w:tcPr>
          <w:p w14:paraId="1E0E7A75" w14:textId="77777777" w:rsidR="00000000" w:rsidRDefault="00A173A8">
            <w:pPr>
              <w:spacing w:after="100"/>
              <w:rPr>
                <w:rFonts w:eastAsia="Times New Roman"/>
                <w:sz w:val="20"/>
                <w:szCs w:val="20"/>
              </w:rPr>
            </w:pPr>
          </w:p>
        </w:tc>
        <w:tc>
          <w:tcPr>
            <w:tcW w:w="0" w:type="auto"/>
            <w:vAlign w:val="center"/>
            <w:hideMark/>
          </w:tcPr>
          <w:p w14:paraId="2C7CAD87" w14:textId="77777777" w:rsidR="00000000" w:rsidRDefault="00A173A8">
            <w:pPr>
              <w:spacing w:after="100"/>
              <w:rPr>
                <w:rFonts w:eastAsia="Times New Roman"/>
                <w:sz w:val="20"/>
                <w:szCs w:val="20"/>
              </w:rPr>
            </w:pPr>
          </w:p>
        </w:tc>
        <w:tc>
          <w:tcPr>
            <w:tcW w:w="0" w:type="auto"/>
            <w:vAlign w:val="center"/>
            <w:hideMark/>
          </w:tcPr>
          <w:p w14:paraId="4619D169" w14:textId="77777777" w:rsidR="00000000" w:rsidRDefault="00A173A8">
            <w:pPr>
              <w:spacing w:after="100"/>
              <w:rPr>
                <w:rFonts w:eastAsia="Times New Roman"/>
                <w:sz w:val="20"/>
                <w:szCs w:val="20"/>
              </w:rPr>
            </w:pPr>
          </w:p>
        </w:tc>
        <w:tc>
          <w:tcPr>
            <w:tcW w:w="0" w:type="auto"/>
            <w:gridSpan w:val="3"/>
            <w:vAlign w:val="center"/>
            <w:hideMark/>
          </w:tcPr>
          <w:p w14:paraId="678379EA" w14:textId="77777777" w:rsidR="00000000" w:rsidRDefault="00A173A8">
            <w:pPr>
              <w:spacing w:after="100"/>
              <w:rPr>
                <w:rFonts w:eastAsia="Times New Roman"/>
                <w:sz w:val="20"/>
                <w:szCs w:val="20"/>
              </w:rPr>
            </w:pPr>
          </w:p>
        </w:tc>
        <w:tc>
          <w:tcPr>
            <w:tcW w:w="0" w:type="auto"/>
            <w:gridSpan w:val="3"/>
            <w:vAlign w:val="center"/>
            <w:hideMark/>
          </w:tcPr>
          <w:p w14:paraId="39E8FEDE" w14:textId="77777777" w:rsidR="00000000" w:rsidRDefault="00A173A8">
            <w:pPr>
              <w:spacing w:after="100"/>
              <w:rPr>
                <w:rFonts w:eastAsia="Times New Roman"/>
                <w:sz w:val="20"/>
                <w:szCs w:val="20"/>
              </w:rPr>
            </w:pPr>
          </w:p>
        </w:tc>
        <w:tc>
          <w:tcPr>
            <w:tcW w:w="0" w:type="auto"/>
            <w:gridSpan w:val="3"/>
            <w:vAlign w:val="center"/>
            <w:hideMark/>
          </w:tcPr>
          <w:p w14:paraId="3A8663F7" w14:textId="77777777" w:rsidR="00000000" w:rsidRDefault="00A173A8">
            <w:pPr>
              <w:spacing w:after="100"/>
              <w:rPr>
                <w:rFonts w:eastAsia="Times New Roman"/>
                <w:sz w:val="20"/>
                <w:szCs w:val="20"/>
              </w:rPr>
            </w:pPr>
          </w:p>
        </w:tc>
        <w:tc>
          <w:tcPr>
            <w:tcW w:w="0" w:type="auto"/>
            <w:gridSpan w:val="3"/>
            <w:vAlign w:val="center"/>
            <w:hideMark/>
          </w:tcPr>
          <w:p w14:paraId="50B5C1FD" w14:textId="77777777" w:rsidR="00000000" w:rsidRDefault="00A173A8">
            <w:pPr>
              <w:spacing w:after="100"/>
              <w:rPr>
                <w:rFonts w:eastAsia="Times New Roman"/>
                <w:sz w:val="20"/>
                <w:szCs w:val="20"/>
              </w:rPr>
            </w:pPr>
          </w:p>
        </w:tc>
      </w:tr>
      <w:tr w:rsidR="00000000" w14:paraId="55A8F666" w14:textId="77777777">
        <w:trPr>
          <w:divId w:val="189149186"/>
        </w:trPr>
        <w:tc>
          <w:tcPr>
            <w:tcW w:w="0" w:type="auto"/>
            <w:gridSpan w:val="3"/>
            <w:vAlign w:val="center"/>
            <w:hideMark/>
          </w:tcPr>
          <w:p w14:paraId="113FA8A0" w14:textId="77777777" w:rsidR="00000000" w:rsidRDefault="00A173A8">
            <w:pPr>
              <w:spacing w:after="100"/>
              <w:rPr>
                <w:rFonts w:eastAsia="Times New Roman"/>
                <w:sz w:val="20"/>
                <w:szCs w:val="20"/>
              </w:rPr>
            </w:pPr>
          </w:p>
        </w:tc>
        <w:tc>
          <w:tcPr>
            <w:tcW w:w="0" w:type="auto"/>
            <w:gridSpan w:val="3"/>
            <w:vAlign w:val="center"/>
            <w:hideMark/>
          </w:tcPr>
          <w:p w14:paraId="5234C02A" w14:textId="77777777" w:rsidR="00000000" w:rsidRDefault="00A173A8">
            <w:pPr>
              <w:spacing w:after="100"/>
              <w:rPr>
                <w:rFonts w:eastAsia="Times New Roman"/>
                <w:sz w:val="20"/>
                <w:szCs w:val="20"/>
              </w:rPr>
            </w:pPr>
          </w:p>
        </w:tc>
        <w:tc>
          <w:tcPr>
            <w:tcW w:w="0" w:type="auto"/>
            <w:gridSpan w:val="3"/>
            <w:vAlign w:val="center"/>
            <w:hideMark/>
          </w:tcPr>
          <w:p w14:paraId="4CBCF462" w14:textId="77777777" w:rsidR="00000000" w:rsidRDefault="00A173A8">
            <w:pPr>
              <w:spacing w:after="100"/>
              <w:rPr>
                <w:rFonts w:eastAsia="Times New Roman"/>
                <w:sz w:val="20"/>
                <w:szCs w:val="20"/>
              </w:rPr>
            </w:pPr>
          </w:p>
        </w:tc>
        <w:tc>
          <w:tcPr>
            <w:tcW w:w="0" w:type="auto"/>
            <w:gridSpan w:val="3"/>
            <w:vAlign w:val="center"/>
            <w:hideMark/>
          </w:tcPr>
          <w:p w14:paraId="07F82760" w14:textId="77777777" w:rsidR="00000000" w:rsidRDefault="00A173A8">
            <w:pPr>
              <w:spacing w:after="100"/>
              <w:rPr>
                <w:rFonts w:eastAsia="Times New Roman"/>
                <w:sz w:val="20"/>
                <w:szCs w:val="20"/>
              </w:rPr>
            </w:pPr>
          </w:p>
        </w:tc>
        <w:tc>
          <w:tcPr>
            <w:tcW w:w="0" w:type="auto"/>
            <w:gridSpan w:val="3"/>
            <w:vAlign w:val="center"/>
            <w:hideMark/>
          </w:tcPr>
          <w:p w14:paraId="560B4432" w14:textId="77777777" w:rsidR="00000000" w:rsidRDefault="00A173A8">
            <w:pPr>
              <w:spacing w:after="100"/>
              <w:rPr>
                <w:rFonts w:eastAsia="Times New Roman"/>
                <w:sz w:val="20"/>
                <w:szCs w:val="20"/>
              </w:rPr>
            </w:pPr>
          </w:p>
        </w:tc>
        <w:tc>
          <w:tcPr>
            <w:tcW w:w="0" w:type="auto"/>
            <w:gridSpan w:val="3"/>
            <w:vAlign w:val="center"/>
            <w:hideMark/>
          </w:tcPr>
          <w:p w14:paraId="09442675" w14:textId="77777777" w:rsidR="00000000" w:rsidRDefault="00A173A8">
            <w:pPr>
              <w:spacing w:after="100"/>
              <w:rPr>
                <w:rFonts w:eastAsia="Times New Roman"/>
                <w:sz w:val="20"/>
                <w:szCs w:val="20"/>
              </w:rPr>
            </w:pPr>
          </w:p>
        </w:tc>
        <w:tc>
          <w:tcPr>
            <w:tcW w:w="0" w:type="auto"/>
            <w:gridSpan w:val="3"/>
            <w:vAlign w:val="center"/>
            <w:hideMark/>
          </w:tcPr>
          <w:p w14:paraId="16840663" w14:textId="77777777" w:rsidR="00000000" w:rsidRDefault="00A173A8">
            <w:pPr>
              <w:spacing w:after="100"/>
              <w:rPr>
                <w:rFonts w:eastAsia="Times New Roman"/>
                <w:sz w:val="20"/>
                <w:szCs w:val="20"/>
              </w:rPr>
            </w:pPr>
          </w:p>
        </w:tc>
        <w:tc>
          <w:tcPr>
            <w:tcW w:w="0" w:type="auto"/>
            <w:gridSpan w:val="3"/>
            <w:vAlign w:val="center"/>
            <w:hideMark/>
          </w:tcPr>
          <w:p w14:paraId="61F5BA10" w14:textId="77777777" w:rsidR="00000000" w:rsidRDefault="00A173A8">
            <w:pPr>
              <w:spacing w:after="100"/>
              <w:rPr>
                <w:rFonts w:eastAsia="Times New Roman"/>
                <w:sz w:val="20"/>
                <w:szCs w:val="20"/>
              </w:rPr>
            </w:pPr>
          </w:p>
        </w:tc>
        <w:tc>
          <w:tcPr>
            <w:tcW w:w="0" w:type="auto"/>
            <w:gridSpan w:val="3"/>
            <w:vAlign w:val="center"/>
            <w:hideMark/>
          </w:tcPr>
          <w:p w14:paraId="2AEFD733" w14:textId="77777777" w:rsidR="00000000" w:rsidRDefault="00A173A8">
            <w:pPr>
              <w:spacing w:after="100"/>
              <w:rPr>
                <w:rFonts w:eastAsia="Times New Roman"/>
                <w:sz w:val="20"/>
                <w:szCs w:val="20"/>
              </w:rPr>
            </w:pPr>
          </w:p>
        </w:tc>
        <w:tc>
          <w:tcPr>
            <w:tcW w:w="0" w:type="auto"/>
            <w:gridSpan w:val="3"/>
            <w:vAlign w:val="center"/>
            <w:hideMark/>
          </w:tcPr>
          <w:p w14:paraId="4E1F7BC5" w14:textId="77777777" w:rsidR="00000000" w:rsidRDefault="00A173A8">
            <w:pPr>
              <w:spacing w:after="100"/>
              <w:rPr>
                <w:rFonts w:eastAsia="Times New Roman"/>
                <w:sz w:val="20"/>
                <w:szCs w:val="20"/>
              </w:rPr>
            </w:pPr>
          </w:p>
        </w:tc>
        <w:tc>
          <w:tcPr>
            <w:tcW w:w="0" w:type="auto"/>
            <w:gridSpan w:val="3"/>
            <w:vAlign w:val="center"/>
            <w:hideMark/>
          </w:tcPr>
          <w:p w14:paraId="28DC0FE8" w14:textId="77777777" w:rsidR="00000000" w:rsidRDefault="00A173A8">
            <w:pPr>
              <w:spacing w:after="100"/>
              <w:rPr>
                <w:rFonts w:eastAsia="Times New Roman"/>
                <w:sz w:val="20"/>
                <w:szCs w:val="20"/>
              </w:rPr>
            </w:pPr>
          </w:p>
        </w:tc>
        <w:tc>
          <w:tcPr>
            <w:tcW w:w="0" w:type="auto"/>
            <w:vAlign w:val="center"/>
            <w:hideMark/>
          </w:tcPr>
          <w:p w14:paraId="1D5AFADE" w14:textId="77777777" w:rsidR="00000000" w:rsidRDefault="00A173A8">
            <w:pPr>
              <w:spacing w:after="100"/>
              <w:rPr>
                <w:rFonts w:eastAsia="Times New Roman"/>
                <w:sz w:val="20"/>
                <w:szCs w:val="20"/>
              </w:rPr>
            </w:pPr>
          </w:p>
        </w:tc>
        <w:tc>
          <w:tcPr>
            <w:tcW w:w="0" w:type="auto"/>
            <w:vAlign w:val="center"/>
            <w:hideMark/>
          </w:tcPr>
          <w:p w14:paraId="4656EA58" w14:textId="77777777" w:rsidR="00000000" w:rsidRDefault="00A173A8">
            <w:pPr>
              <w:spacing w:after="100"/>
              <w:rPr>
                <w:rFonts w:eastAsia="Times New Roman"/>
                <w:sz w:val="20"/>
                <w:szCs w:val="20"/>
              </w:rPr>
            </w:pPr>
          </w:p>
        </w:tc>
        <w:tc>
          <w:tcPr>
            <w:tcW w:w="0" w:type="auto"/>
            <w:gridSpan w:val="3"/>
            <w:vAlign w:val="center"/>
            <w:hideMark/>
          </w:tcPr>
          <w:p w14:paraId="0F6907B1" w14:textId="77777777" w:rsidR="00000000" w:rsidRDefault="00A173A8">
            <w:pPr>
              <w:spacing w:after="100"/>
              <w:rPr>
                <w:rFonts w:eastAsia="Times New Roman"/>
                <w:sz w:val="20"/>
                <w:szCs w:val="20"/>
              </w:rPr>
            </w:pPr>
          </w:p>
        </w:tc>
        <w:tc>
          <w:tcPr>
            <w:tcW w:w="0" w:type="auto"/>
            <w:gridSpan w:val="3"/>
            <w:vAlign w:val="center"/>
            <w:hideMark/>
          </w:tcPr>
          <w:p w14:paraId="4B58BCFC" w14:textId="77777777" w:rsidR="00000000" w:rsidRDefault="00A173A8">
            <w:pPr>
              <w:spacing w:after="100"/>
              <w:rPr>
                <w:rFonts w:eastAsia="Times New Roman"/>
                <w:sz w:val="20"/>
                <w:szCs w:val="20"/>
              </w:rPr>
            </w:pPr>
          </w:p>
        </w:tc>
        <w:tc>
          <w:tcPr>
            <w:tcW w:w="0" w:type="auto"/>
            <w:gridSpan w:val="3"/>
            <w:vAlign w:val="center"/>
            <w:hideMark/>
          </w:tcPr>
          <w:p w14:paraId="2656E56B" w14:textId="77777777" w:rsidR="00000000" w:rsidRDefault="00A173A8">
            <w:pPr>
              <w:spacing w:after="100"/>
              <w:rPr>
                <w:rFonts w:eastAsia="Times New Roman"/>
                <w:sz w:val="20"/>
                <w:szCs w:val="20"/>
              </w:rPr>
            </w:pPr>
          </w:p>
        </w:tc>
        <w:tc>
          <w:tcPr>
            <w:tcW w:w="0" w:type="auto"/>
            <w:gridSpan w:val="3"/>
            <w:vAlign w:val="center"/>
            <w:hideMark/>
          </w:tcPr>
          <w:p w14:paraId="6EABF37D" w14:textId="77777777" w:rsidR="00000000" w:rsidRDefault="00A173A8">
            <w:pPr>
              <w:spacing w:after="100"/>
              <w:rPr>
                <w:rFonts w:eastAsia="Times New Roman"/>
                <w:sz w:val="20"/>
                <w:szCs w:val="20"/>
              </w:rPr>
            </w:pPr>
          </w:p>
        </w:tc>
      </w:tr>
      <w:tr w:rsidR="00000000" w14:paraId="3A326441" w14:textId="77777777">
        <w:trPr>
          <w:divId w:val="189149186"/>
        </w:trPr>
        <w:tc>
          <w:tcPr>
            <w:tcW w:w="0" w:type="auto"/>
            <w:gridSpan w:val="3"/>
            <w:vAlign w:val="center"/>
            <w:hideMark/>
          </w:tcPr>
          <w:p w14:paraId="4E0187C9" w14:textId="77777777" w:rsidR="00000000" w:rsidRDefault="00A173A8">
            <w:pPr>
              <w:spacing w:after="100"/>
              <w:rPr>
                <w:rFonts w:eastAsia="Times New Roman"/>
                <w:sz w:val="20"/>
                <w:szCs w:val="20"/>
              </w:rPr>
            </w:pPr>
          </w:p>
        </w:tc>
        <w:tc>
          <w:tcPr>
            <w:tcW w:w="0" w:type="auto"/>
            <w:gridSpan w:val="3"/>
            <w:vAlign w:val="center"/>
            <w:hideMark/>
          </w:tcPr>
          <w:p w14:paraId="2BC316F8" w14:textId="77777777" w:rsidR="00000000" w:rsidRDefault="00A173A8">
            <w:pPr>
              <w:spacing w:after="100"/>
              <w:rPr>
                <w:rFonts w:eastAsia="Times New Roman"/>
                <w:sz w:val="20"/>
                <w:szCs w:val="20"/>
              </w:rPr>
            </w:pPr>
          </w:p>
        </w:tc>
        <w:tc>
          <w:tcPr>
            <w:tcW w:w="0" w:type="auto"/>
            <w:gridSpan w:val="3"/>
            <w:vAlign w:val="center"/>
            <w:hideMark/>
          </w:tcPr>
          <w:p w14:paraId="7654DF9D" w14:textId="77777777" w:rsidR="00000000" w:rsidRDefault="00A173A8">
            <w:pPr>
              <w:spacing w:after="100"/>
              <w:rPr>
                <w:rFonts w:eastAsia="Times New Roman"/>
                <w:sz w:val="20"/>
                <w:szCs w:val="20"/>
              </w:rPr>
            </w:pPr>
          </w:p>
        </w:tc>
        <w:tc>
          <w:tcPr>
            <w:tcW w:w="0" w:type="auto"/>
            <w:gridSpan w:val="3"/>
            <w:vAlign w:val="center"/>
            <w:hideMark/>
          </w:tcPr>
          <w:p w14:paraId="31137ABB" w14:textId="77777777" w:rsidR="00000000" w:rsidRDefault="00A173A8">
            <w:pPr>
              <w:spacing w:after="100"/>
              <w:rPr>
                <w:rFonts w:eastAsia="Times New Roman"/>
                <w:sz w:val="20"/>
                <w:szCs w:val="20"/>
              </w:rPr>
            </w:pPr>
          </w:p>
        </w:tc>
        <w:tc>
          <w:tcPr>
            <w:tcW w:w="0" w:type="auto"/>
            <w:gridSpan w:val="3"/>
            <w:vAlign w:val="center"/>
            <w:hideMark/>
          </w:tcPr>
          <w:p w14:paraId="5358129A" w14:textId="77777777" w:rsidR="00000000" w:rsidRDefault="00A173A8">
            <w:pPr>
              <w:spacing w:after="100"/>
              <w:rPr>
                <w:rFonts w:eastAsia="Times New Roman"/>
                <w:sz w:val="20"/>
                <w:szCs w:val="20"/>
              </w:rPr>
            </w:pPr>
          </w:p>
        </w:tc>
        <w:tc>
          <w:tcPr>
            <w:tcW w:w="0" w:type="auto"/>
            <w:gridSpan w:val="3"/>
            <w:vAlign w:val="center"/>
            <w:hideMark/>
          </w:tcPr>
          <w:p w14:paraId="74CE8066" w14:textId="77777777" w:rsidR="00000000" w:rsidRDefault="00A173A8">
            <w:pPr>
              <w:spacing w:after="100"/>
              <w:rPr>
                <w:rFonts w:eastAsia="Times New Roman"/>
                <w:sz w:val="20"/>
                <w:szCs w:val="20"/>
              </w:rPr>
            </w:pPr>
          </w:p>
        </w:tc>
        <w:tc>
          <w:tcPr>
            <w:tcW w:w="0" w:type="auto"/>
            <w:gridSpan w:val="3"/>
            <w:vAlign w:val="center"/>
            <w:hideMark/>
          </w:tcPr>
          <w:p w14:paraId="3120BCD2" w14:textId="77777777" w:rsidR="00000000" w:rsidRDefault="00A173A8">
            <w:pPr>
              <w:spacing w:after="100"/>
              <w:rPr>
                <w:rFonts w:eastAsia="Times New Roman"/>
                <w:sz w:val="20"/>
                <w:szCs w:val="20"/>
              </w:rPr>
            </w:pPr>
          </w:p>
        </w:tc>
        <w:tc>
          <w:tcPr>
            <w:tcW w:w="0" w:type="auto"/>
            <w:gridSpan w:val="3"/>
            <w:vAlign w:val="center"/>
            <w:hideMark/>
          </w:tcPr>
          <w:p w14:paraId="4FF89031" w14:textId="77777777" w:rsidR="00000000" w:rsidRDefault="00A173A8">
            <w:pPr>
              <w:spacing w:after="100"/>
              <w:rPr>
                <w:rFonts w:eastAsia="Times New Roman"/>
                <w:sz w:val="20"/>
                <w:szCs w:val="20"/>
              </w:rPr>
            </w:pPr>
          </w:p>
        </w:tc>
        <w:tc>
          <w:tcPr>
            <w:tcW w:w="0" w:type="auto"/>
            <w:gridSpan w:val="3"/>
            <w:vAlign w:val="center"/>
            <w:hideMark/>
          </w:tcPr>
          <w:p w14:paraId="0DC081B8" w14:textId="77777777" w:rsidR="00000000" w:rsidRDefault="00A173A8">
            <w:pPr>
              <w:spacing w:after="100"/>
              <w:rPr>
                <w:rFonts w:eastAsia="Times New Roman"/>
                <w:sz w:val="20"/>
                <w:szCs w:val="20"/>
              </w:rPr>
            </w:pPr>
          </w:p>
        </w:tc>
        <w:tc>
          <w:tcPr>
            <w:tcW w:w="0" w:type="auto"/>
            <w:gridSpan w:val="3"/>
            <w:vAlign w:val="center"/>
            <w:hideMark/>
          </w:tcPr>
          <w:p w14:paraId="2D3D221F" w14:textId="77777777" w:rsidR="00000000" w:rsidRDefault="00A173A8">
            <w:pPr>
              <w:spacing w:after="100"/>
              <w:rPr>
                <w:rFonts w:eastAsia="Times New Roman"/>
                <w:sz w:val="20"/>
                <w:szCs w:val="20"/>
              </w:rPr>
            </w:pPr>
          </w:p>
        </w:tc>
        <w:tc>
          <w:tcPr>
            <w:tcW w:w="0" w:type="auto"/>
            <w:gridSpan w:val="3"/>
            <w:vAlign w:val="center"/>
            <w:hideMark/>
          </w:tcPr>
          <w:p w14:paraId="1D52D488" w14:textId="77777777" w:rsidR="00000000" w:rsidRDefault="00A173A8">
            <w:pPr>
              <w:spacing w:after="100"/>
              <w:rPr>
                <w:rFonts w:eastAsia="Times New Roman"/>
                <w:sz w:val="20"/>
                <w:szCs w:val="20"/>
              </w:rPr>
            </w:pPr>
          </w:p>
        </w:tc>
        <w:tc>
          <w:tcPr>
            <w:tcW w:w="0" w:type="auto"/>
            <w:vAlign w:val="center"/>
            <w:hideMark/>
          </w:tcPr>
          <w:p w14:paraId="0DB03402" w14:textId="77777777" w:rsidR="00000000" w:rsidRDefault="00A173A8">
            <w:pPr>
              <w:spacing w:after="100"/>
              <w:rPr>
                <w:rFonts w:eastAsia="Times New Roman"/>
                <w:sz w:val="20"/>
                <w:szCs w:val="20"/>
              </w:rPr>
            </w:pPr>
          </w:p>
        </w:tc>
        <w:tc>
          <w:tcPr>
            <w:tcW w:w="0" w:type="auto"/>
            <w:vAlign w:val="center"/>
            <w:hideMark/>
          </w:tcPr>
          <w:p w14:paraId="3BC7F8F5" w14:textId="77777777" w:rsidR="00000000" w:rsidRDefault="00A173A8">
            <w:pPr>
              <w:spacing w:after="100"/>
              <w:rPr>
                <w:rFonts w:eastAsia="Times New Roman"/>
                <w:sz w:val="20"/>
                <w:szCs w:val="20"/>
              </w:rPr>
            </w:pPr>
          </w:p>
        </w:tc>
        <w:tc>
          <w:tcPr>
            <w:tcW w:w="0" w:type="auto"/>
            <w:gridSpan w:val="3"/>
            <w:vAlign w:val="center"/>
            <w:hideMark/>
          </w:tcPr>
          <w:p w14:paraId="01A6ACBE" w14:textId="77777777" w:rsidR="00000000" w:rsidRDefault="00A173A8">
            <w:pPr>
              <w:spacing w:after="100"/>
              <w:rPr>
                <w:rFonts w:eastAsia="Times New Roman"/>
                <w:sz w:val="20"/>
                <w:szCs w:val="20"/>
              </w:rPr>
            </w:pPr>
          </w:p>
        </w:tc>
        <w:tc>
          <w:tcPr>
            <w:tcW w:w="0" w:type="auto"/>
            <w:gridSpan w:val="3"/>
            <w:vAlign w:val="center"/>
            <w:hideMark/>
          </w:tcPr>
          <w:p w14:paraId="723DB16A" w14:textId="77777777" w:rsidR="00000000" w:rsidRDefault="00A173A8">
            <w:pPr>
              <w:spacing w:after="100"/>
              <w:rPr>
                <w:rFonts w:eastAsia="Times New Roman"/>
                <w:sz w:val="20"/>
                <w:szCs w:val="20"/>
              </w:rPr>
            </w:pPr>
          </w:p>
        </w:tc>
        <w:tc>
          <w:tcPr>
            <w:tcW w:w="0" w:type="auto"/>
            <w:vAlign w:val="center"/>
            <w:hideMark/>
          </w:tcPr>
          <w:p w14:paraId="43CC18C9" w14:textId="77777777" w:rsidR="00000000" w:rsidRDefault="00A173A8">
            <w:pPr>
              <w:spacing w:after="100"/>
              <w:rPr>
                <w:rFonts w:eastAsia="Times New Roman"/>
                <w:sz w:val="20"/>
                <w:szCs w:val="20"/>
              </w:rPr>
            </w:pPr>
          </w:p>
        </w:tc>
        <w:tc>
          <w:tcPr>
            <w:tcW w:w="0" w:type="auto"/>
            <w:vAlign w:val="center"/>
            <w:hideMark/>
          </w:tcPr>
          <w:p w14:paraId="07DF9DFB" w14:textId="77777777" w:rsidR="00000000" w:rsidRDefault="00A173A8">
            <w:pPr>
              <w:spacing w:after="100"/>
              <w:rPr>
                <w:rFonts w:eastAsia="Times New Roman"/>
                <w:sz w:val="20"/>
                <w:szCs w:val="20"/>
              </w:rPr>
            </w:pPr>
          </w:p>
        </w:tc>
        <w:tc>
          <w:tcPr>
            <w:tcW w:w="0" w:type="auto"/>
            <w:vAlign w:val="center"/>
            <w:hideMark/>
          </w:tcPr>
          <w:p w14:paraId="28BC5A30" w14:textId="77777777" w:rsidR="00000000" w:rsidRDefault="00A173A8">
            <w:pPr>
              <w:spacing w:after="100"/>
              <w:rPr>
                <w:rFonts w:eastAsia="Times New Roman"/>
                <w:sz w:val="20"/>
                <w:szCs w:val="20"/>
              </w:rPr>
            </w:pPr>
          </w:p>
        </w:tc>
        <w:tc>
          <w:tcPr>
            <w:tcW w:w="0" w:type="auto"/>
            <w:vAlign w:val="center"/>
            <w:hideMark/>
          </w:tcPr>
          <w:p w14:paraId="5CDC9929" w14:textId="77777777" w:rsidR="00000000" w:rsidRDefault="00A173A8">
            <w:pPr>
              <w:spacing w:after="100"/>
              <w:rPr>
                <w:rFonts w:eastAsia="Times New Roman"/>
                <w:sz w:val="20"/>
                <w:szCs w:val="20"/>
              </w:rPr>
            </w:pPr>
          </w:p>
        </w:tc>
        <w:tc>
          <w:tcPr>
            <w:tcW w:w="0" w:type="auto"/>
            <w:vAlign w:val="center"/>
            <w:hideMark/>
          </w:tcPr>
          <w:p w14:paraId="15EC9CCE" w14:textId="77777777" w:rsidR="00000000" w:rsidRDefault="00A173A8">
            <w:pPr>
              <w:spacing w:after="100"/>
              <w:rPr>
                <w:rFonts w:eastAsia="Times New Roman"/>
                <w:sz w:val="20"/>
                <w:szCs w:val="20"/>
              </w:rPr>
            </w:pPr>
          </w:p>
        </w:tc>
        <w:tc>
          <w:tcPr>
            <w:tcW w:w="0" w:type="auto"/>
            <w:vAlign w:val="center"/>
            <w:hideMark/>
          </w:tcPr>
          <w:p w14:paraId="31483552" w14:textId="77777777" w:rsidR="00000000" w:rsidRDefault="00A173A8">
            <w:pPr>
              <w:spacing w:after="100"/>
              <w:rPr>
                <w:rFonts w:eastAsia="Times New Roman"/>
                <w:sz w:val="20"/>
                <w:szCs w:val="20"/>
              </w:rPr>
            </w:pPr>
          </w:p>
        </w:tc>
      </w:tr>
      <w:tr w:rsidR="00000000" w14:paraId="23FBB992" w14:textId="77777777">
        <w:trPr>
          <w:divId w:val="189149186"/>
        </w:trPr>
        <w:tc>
          <w:tcPr>
            <w:tcW w:w="0" w:type="auto"/>
            <w:gridSpan w:val="3"/>
            <w:shd w:val="clear" w:color="auto" w:fill="CCEEFF"/>
            <w:tcMar>
              <w:top w:w="30" w:type="dxa"/>
              <w:left w:w="20" w:type="dxa"/>
              <w:bottom w:w="30" w:type="dxa"/>
              <w:right w:w="20" w:type="dxa"/>
            </w:tcMar>
            <w:vAlign w:val="center"/>
            <w:hideMark/>
          </w:tcPr>
          <w:p w14:paraId="3A3CE6CF" w14:textId="77777777" w:rsidR="00000000" w:rsidRDefault="00A173A8">
            <w:pPr>
              <w:spacing w:after="100"/>
              <w:rPr>
                <w:rFonts w:eastAsia="Times New Roman"/>
              </w:rPr>
            </w:pPr>
            <w:r>
              <w:rPr>
                <w:rFonts w:eastAsia="Times New Roman"/>
                <w:color w:val="000000"/>
                <w:sz w:val="20"/>
                <w:szCs w:val="20"/>
              </w:rPr>
              <w:t>Allowance coverage ratio</w:t>
            </w:r>
          </w:p>
        </w:tc>
        <w:tc>
          <w:tcPr>
            <w:tcW w:w="0" w:type="auto"/>
            <w:gridSpan w:val="3"/>
            <w:shd w:val="clear" w:color="auto" w:fill="CCEEFF"/>
            <w:tcMar>
              <w:top w:w="0" w:type="dxa"/>
              <w:left w:w="20" w:type="dxa"/>
              <w:bottom w:w="0" w:type="dxa"/>
              <w:right w:w="20" w:type="dxa"/>
            </w:tcMar>
            <w:vAlign w:val="center"/>
            <w:hideMark/>
          </w:tcPr>
          <w:p w14:paraId="4D6F5AD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FC69BB" w14:textId="77777777" w:rsidR="00000000" w:rsidRDefault="00A173A8">
            <w:pPr>
              <w:spacing w:after="100"/>
              <w:jc w:val="right"/>
              <w:rPr>
                <w:rFonts w:eastAsia="Times New Roman"/>
              </w:rPr>
            </w:pPr>
            <w:r>
              <w:rPr>
                <w:rFonts w:eastAsia="Times New Roman"/>
                <w:b/>
                <w:bCs/>
                <w:color w:val="000000"/>
                <w:sz w:val="20"/>
                <w:szCs w:val="20"/>
              </w:rPr>
              <w:t>2.51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71084B"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C580B8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BEEB31" w14:textId="77777777" w:rsidR="00000000" w:rsidRDefault="00A173A8">
            <w:pPr>
              <w:spacing w:after="100"/>
              <w:jc w:val="right"/>
              <w:rPr>
                <w:rFonts w:eastAsia="Times New Roman"/>
              </w:rPr>
            </w:pPr>
            <w:r>
              <w:rPr>
                <w:rFonts w:eastAsia="Times New Roman"/>
                <w:color w:val="000000"/>
                <w:sz w:val="20"/>
                <w:szCs w:val="20"/>
              </w:rPr>
              <w:t>2.47 </w:t>
            </w:r>
          </w:p>
        </w:tc>
        <w:tc>
          <w:tcPr>
            <w:tcW w:w="0" w:type="auto"/>
            <w:shd w:val="clear" w:color="auto" w:fill="CCEEFF"/>
            <w:tcMar>
              <w:top w:w="30" w:type="dxa"/>
              <w:left w:w="0" w:type="dxa"/>
              <w:bottom w:w="30" w:type="dxa"/>
              <w:right w:w="20" w:type="dxa"/>
            </w:tcMar>
            <w:vAlign w:val="bottom"/>
            <w:hideMark/>
          </w:tcPr>
          <w:p w14:paraId="4F51BCFF"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DCC68C4"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5DBF0C8" w14:textId="77777777" w:rsidR="00000000" w:rsidRDefault="00A173A8">
            <w:pPr>
              <w:spacing w:after="100"/>
              <w:jc w:val="right"/>
              <w:rPr>
                <w:rFonts w:eastAsia="Times New Roman"/>
              </w:rPr>
            </w:pPr>
            <w:r>
              <w:rPr>
                <w:rFonts w:eastAsia="Times New Roman"/>
                <w:color w:val="000000"/>
                <w:sz w:val="20"/>
                <w:szCs w:val="20"/>
              </w:rPr>
              <w:t>4bps</w:t>
            </w:r>
          </w:p>
        </w:tc>
        <w:tc>
          <w:tcPr>
            <w:tcW w:w="0" w:type="auto"/>
            <w:gridSpan w:val="3"/>
            <w:shd w:val="clear" w:color="auto" w:fill="CCEEFF"/>
            <w:tcMar>
              <w:top w:w="0" w:type="dxa"/>
              <w:left w:w="20" w:type="dxa"/>
              <w:bottom w:w="0" w:type="dxa"/>
              <w:right w:w="20" w:type="dxa"/>
            </w:tcMar>
            <w:vAlign w:val="center"/>
            <w:hideMark/>
          </w:tcPr>
          <w:p w14:paraId="11B110B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BBB5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ADBCB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2C707F" w14:textId="77777777" w:rsidR="00000000" w:rsidRDefault="00A173A8">
            <w:pPr>
              <w:spacing w:after="100"/>
              <w:rPr>
                <w:rFonts w:eastAsia="Times New Roman"/>
                <w:sz w:val="20"/>
                <w:szCs w:val="20"/>
              </w:rPr>
            </w:pPr>
          </w:p>
        </w:tc>
        <w:tc>
          <w:tcPr>
            <w:tcW w:w="0" w:type="auto"/>
            <w:vAlign w:val="center"/>
            <w:hideMark/>
          </w:tcPr>
          <w:p w14:paraId="2FE499B2" w14:textId="77777777" w:rsidR="00000000" w:rsidRDefault="00A173A8">
            <w:pPr>
              <w:spacing w:after="100"/>
              <w:rPr>
                <w:rFonts w:eastAsia="Times New Roman"/>
                <w:sz w:val="20"/>
                <w:szCs w:val="20"/>
              </w:rPr>
            </w:pPr>
          </w:p>
        </w:tc>
        <w:tc>
          <w:tcPr>
            <w:tcW w:w="0" w:type="auto"/>
            <w:vAlign w:val="center"/>
            <w:hideMark/>
          </w:tcPr>
          <w:p w14:paraId="6FE9082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EB56E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71AA5E" w14:textId="77777777" w:rsidR="00000000" w:rsidRDefault="00A173A8">
            <w:pPr>
              <w:spacing w:after="100"/>
              <w:rPr>
                <w:rFonts w:eastAsia="Times New Roman"/>
                <w:sz w:val="20"/>
                <w:szCs w:val="20"/>
              </w:rPr>
            </w:pPr>
          </w:p>
        </w:tc>
        <w:tc>
          <w:tcPr>
            <w:tcW w:w="0" w:type="auto"/>
            <w:gridSpan w:val="3"/>
            <w:vAlign w:val="center"/>
            <w:hideMark/>
          </w:tcPr>
          <w:p w14:paraId="07A1B8CF" w14:textId="77777777" w:rsidR="00000000" w:rsidRDefault="00A173A8">
            <w:pPr>
              <w:spacing w:after="100"/>
              <w:rPr>
                <w:rFonts w:eastAsia="Times New Roman"/>
                <w:sz w:val="20"/>
                <w:szCs w:val="20"/>
              </w:rPr>
            </w:pPr>
          </w:p>
        </w:tc>
        <w:tc>
          <w:tcPr>
            <w:tcW w:w="0" w:type="auto"/>
            <w:gridSpan w:val="3"/>
            <w:vAlign w:val="center"/>
            <w:hideMark/>
          </w:tcPr>
          <w:p w14:paraId="623B9CD0" w14:textId="77777777" w:rsidR="00000000" w:rsidRDefault="00A173A8">
            <w:pPr>
              <w:spacing w:after="100"/>
              <w:rPr>
                <w:rFonts w:eastAsia="Times New Roman"/>
                <w:sz w:val="20"/>
                <w:szCs w:val="20"/>
              </w:rPr>
            </w:pPr>
          </w:p>
        </w:tc>
      </w:tr>
      <w:tr w:rsidR="00000000" w14:paraId="7BBCB2F9" w14:textId="77777777">
        <w:trPr>
          <w:divId w:val="189149186"/>
        </w:trPr>
        <w:tc>
          <w:tcPr>
            <w:tcW w:w="0" w:type="auto"/>
            <w:gridSpan w:val="3"/>
            <w:shd w:val="clear" w:color="auto" w:fill="FFFFFF"/>
            <w:tcMar>
              <w:top w:w="30" w:type="dxa"/>
              <w:left w:w="20" w:type="dxa"/>
              <w:bottom w:w="30" w:type="dxa"/>
              <w:right w:w="20" w:type="dxa"/>
            </w:tcMar>
            <w:vAlign w:val="center"/>
            <w:hideMark/>
          </w:tcPr>
          <w:p w14:paraId="0B0ADFFF" w14:textId="77777777" w:rsidR="00000000" w:rsidRDefault="00A173A8">
            <w:pPr>
              <w:spacing w:after="100"/>
              <w:rPr>
                <w:rFonts w:eastAsia="Times New Roman"/>
              </w:rPr>
            </w:pPr>
            <w:r>
              <w:rPr>
                <w:rFonts w:eastAsia="Times New Roman"/>
                <w:color w:val="000000"/>
                <w:sz w:val="20"/>
                <w:szCs w:val="20"/>
              </w:rPr>
              <w:t>Deposits</w:t>
            </w:r>
          </w:p>
        </w:tc>
        <w:tc>
          <w:tcPr>
            <w:tcW w:w="0" w:type="auto"/>
            <w:gridSpan w:val="3"/>
            <w:shd w:val="clear" w:color="auto" w:fill="FFFFFF"/>
            <w:tcMar>
              <w:top w:w="0" w:type="dxa"/>
              <w:left w:w="20" w:type="dxa"/>
              <w:bottom w:w="0" w:type="dxa"/>
              <w:right w:w="20" w:type="dxa"/>
            </w:tcMar>
            <w:vAlign w:val="center"/>
            <w:hideMark/>
          </w:tcPr>
          <w:p w14:paraId="3B3FF7D4"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01350B7"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00C4803" w14:textId="77777777" w:rsidR="00000000" w:rsidRDefault="00A173A8">
            <w:pPr>
              <w:spacing w:after="100"/>
              <w:jc w:val="right"/>
              <w:rPr>
                <w:rFonts w:eastAsia="Times New Roman"/>
              </w:rPr>
            </w:pPr>
            <w:r>
              <w:rPr>
                <w:rFonts w:eastAsia="Times New Roman"/>
                <w:b/>
                <w:bCs/>
                <w:color w:val="000000"/>
                <w:sz w:val="20"/>
                <w:szCs w:val="20"/>
              </w:rPr>
              <w:t>255,904</w:t>
            </w:r>
          </w:p>
        </w:tc>
        <w:tc>
          <w:tcPr>
            <w:tcW w:w="0" w:type="auto"/>
            <w:gridSpan w:val="3"/>
            <w:shd w:val="clear" w:color="auto" w:fill="FFFFFF"/>
            <w:tcMar>
              <w:top w:w="0" w:type="dxa"/>
              <w:left w:w="20" w:type="dxa"/>
              <w:bottom w:w="0" w:type="dxa"/>
              <w:right w:w="20" w:type="dxa"/>
            </w:tcMar>
            <w:vAlign w:val="center"/>
            <w:hideMark/>
          </w:tcPr>
          <w:p w14:paraId="1233522A"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5E3DC24"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181247A" w14:textId="77777777" w:rsidR="00000000" w:rsidRDefault="00A173A8">
            <w:pPr>
              <w:spacing w:after="100"/>
              <w:jc w:val="right"/>
              <w:rPr>
                <w:rFonts w:eastAsia="Times New Roman"/>
              </w:rPr>
            </w:pPr>
            <w:r>
              <w:rPr>
                <w:rFonts w:eastAsia="Times New Roman"/>
                <w:color w:val="000000"/>
                <w:sz w:val="20"/>
                <w:szCs w:val="20"/>
              </w:rPr>
              <w:t>256,407</w:t>
            </w:r>
          </w:p>
        </w:tc>
        <w:tc>
          <w:tcPr>
            <w:tcW w:w="0" w:type="auto"/>
            <w:gridSpan w:val="3"/>
            <w:shd w:val="clear" w:color="auto" w:fill="FFFFFF"/>
            <w:tcMar>
              <w:top w:w="0" w:type="dxa"/>
              <w:left w:w="20" w:type="dxa"/>
              <w:bottom w:w="0" w:type="dxa"/>
              <w:right w:w="20" w:type="dxa"/>
            </w:tcMar>
            <w:vAlign w:val="center"/>
            <w:hideMark/>
          </w:tcPr>
          <w:p w14:paraId="7261162A"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119C2BCB"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F48B8D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140" w:type="dxa"/>
            </w:tcMar>
            <w:vAlign w:val="center"/>
            <w:hideMark/>
          </w:tcPr>
          <w:p w14:paraId="13E76BB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1B348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14:paraId="1EB9EC1E" w14:textId="77777777" w:rsidR="00000000" w:rsidRDefault="00A173A8">
            <w:pPr>
              <w:spacing w:after="100"/>
              <w:rPr>
                <w:rFonts w:eastAsia="Times New Roman"/>
                <w:sz w:val="20"/>
                <w:szCs w:val="20"/>
              </w:rPr>
            </w:pPr>
          </w:p>
        </w:tc>
        <w:tc>
          <w:tcPr>
            <w:tcW w:w="0" w:type="auto"/>
            <w:vAlign w:val="center"/>
            <w:hideMark/>
          </w:tcPr>
          <w:p w14:paraId="5DA3F7AA" w14:textId="77777777" w:rsidR="00000000" w:rsidRDefault="00A173A8">
            <w:pPr>
              <w:spacing w:after="100"/>
              <w:rPr>
                <w:rFonts w:eastAsia="Times New Roman"/>
                <w:sz w:val="20"/>
                <w:szCs w:val="20"/>
              </w:rPr>
            </w:pPr>
          </w:p>
        </w:tc>
        <w:tc>
          <w:tcPr>
            <w:tcW w:w="0" w:type="auto"/>
            <w:vAlign w:val="center"/>
            <w:hideMark/>
          </w:tcPr>
          <w:p w14:paraId="76611A8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42E0B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B2BCB1" w14:textId="77777777" w:rsidR="00000000" w:rsidRDefault="00A173A8">
            <w:pPr>
              <w:spacing w:after="100"/>
              <w:rPr>
                <w:rFonts w:eastAsia="Times New Roman"/>
                <w:sz w:val="20"/>
                <w:szCs w:val="20"/>
              </w:rPr>
            </w:pPr>
          </w:p>
        </w:tc>
        <w:tc>
          <w:tcPr>
            <w:tcW w:w="0" w:type="auto"/>
            <w:gridSpan w:val="3"/>
            <w:vAlign w:val="center"/>
            <w:hideMark/>
          </w:tcPr>
          <w:p w14:paraId="39FDBCB3" w14:textId="77777777" w:rsidR="00000000" w:rsidRDefault="00A173A8">
            <w:pPr>
              <w:spacing w:after="100"/>
              <w:rPr>
                <w:rFonts w:eastAsia="Times New Roman"/>
                <w:sz w:val="20"/>
                <w:szCs w:val="20"/>
              </w:rPr>
            </w:pPr>
          </w:p>
        </w:tc>
        <w:tc>
          <w:tcPr>
            <w:tcW w:w="0" w:type="auto"/>
            <w:gridSpan w:val="3"/>
            <w:vAlign w:val="center"/>
            <w:hideMark/>
          </w:tcPr>
          <w:p w14:paraId="563CF62B" w14:textId="77777777" w:rsidR="00000000" w:rsidRDefault="00A173A8">
            <w:pPr>
              <w:spacing w:after="100"/>
              <w:rPr>
                <w:rFonts w:eastAsia="Times New Roman"/>
                <w:sz w:val="20"/>
                <w:szCs w:val="20"/>
              </w:rPr>
            </w:pPr>
          </w:p>
        </w:tc>
      </w:tr>
    </w:tbl>
    <w:p w14:paraId="112AF51E" w14:textId="77777777" w:rsidR="00000000" w:rsidRDefault="00A173A8">
      <w:pPr>
        <w:divId w:val="189149186"/>
        <w:rPr>
          <w:rFonts w:eastAsia="Times New Roman"/>
        </w:rPr>
      </w:pPr>
      <w:r>
        <w:rPr>
          <w:rFonts w:eastAsia="Times New Roman"/>
          <w:color w:val="000000"/>
          <w:sz w:val="20"/>
          <w:szCs w:val="20"/>
        </w:rPr>
        <w:t>__________</w:t>
      </w:r>
    </w:p>
    <w:p w14:paraId="380A40B6" w14:textId="77777777" w:rsidR="00000000" w:rsidRDefault="00A173A8">
      <w:pPr>
        <w:ind w:hanging="360"/>
        <w:jc w:val="both"/>
        <w:divId w:val="114334713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Average yield is calculated based on annualized interest income for the</w:t>
      </w:r>
      <w:r>
        <w:rPr>
          <w:rFonts w:eastAsia="Times New Roman"/>
          <w:color w:val="000000"/>
          <w:sz w:val="16"/>
          <w:szCs w:val="16"/>
        </w:rPr>
        <w:t xml:space="preserve"> period divided by average loans during the period and does not include any allocations, such as funds transfer pricing.</w:t>
      </w:r>
    </w:p>
    <w:p w14:paraId="7C616486" w14:textId="77777777" w:rsidR="00000000" w:rsidRDefault="00A173A8">
      <w:pPr>
        <w:ind w:hanging="360"/>
        <w:jc w:val="both"/>
        <w:divId w:val="22873504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assets primarily consist of nonperforming loans and repossessed assets. The total nonperforming asset rate is calculat</w:t>
      </w:r>
      <w:r>
        <w:rPr>
          <w:rFonts w:eastAsia="Times New Roman"/>
          <w:color w:val="000000"/>
          <w:sz w:val="16"/>
          <w:szCs w:val="16"/>
        </w:rPr>
        <w:t xml:space="preserve">ed based on total nonperforming assets divided by the combined period-end total loans held for investment and repossessed assets. </w:t>
      </w:r>
    </w:p>
    <w:p w14:paraId="3F5A63CA" w14:textId="77777777" w:rsidR="00000000" w:rsidRDefault="00A173A8">
      <w:pPr>
        <w:ind w:hanging="360"/>
        <w:jc w:val="both"/>
        <w:divId w:val="1296106599"/>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6F5677B" w14:textId="77777777">
        <w:trPr>
          <w:divId w:val="1461920771"/>
          <w:jc w:val="center"/>
        </w:trPr>
        <w:tc>
          <w:tcPr>
            <w:tcW w:w="50" w:type="pct"/>
            <w:vAlign w:val="center"/>
            <w:hideMark/>
          </w:tcPr>
          <w:p w14:paraId="09B300A5" w14:textId="77777777" w:rsidR="00000000" w:rsidRDefault="00A173A8">
            <w:pPr>
              <w:ind w:hanging="360"/>
              <w:jc w:val="both"/>
              <w:rPr>
                <w:rFonts w:eastAsia="Times New Roman"/>
              </w:rPr>
            </w:pPr>
          </w:p>
        </w:tc>
        <w:tc>
          <w:tcPr>
            <w:tcW w:w="1606" w:type="pct"/>
            <w:vAlign w:val="center"/>
            <w:hideMark/>
          </w:tcPr>
          <w:p w14:paraId="332C7FA0" w14:textId="77777777" w:rsidR="00000000" w:rsidRDefault="00A173A8">
            <w:pPr>
              <w:spacing w:after="100"/>
              <w:rPr>
                <w:rFonts w:eastAsia="Times New Roman"/>
                <w:sz w:val="20"/>
                <w:szCs w:val="20"/>
              </w:rPr>
            </w:pPr>
          </w:p>
        </w:tc>
        <w:tc>
          <w:tcPr>
            <w:tcW w:w="5" w:type="pct"/>
            <w:vAlign w:val="center"/>
            <w:hideMark/>
          </w:tcPr>
          <w:p w14:paraId="4D28F41E" w14:textId="77777777" w:rsidR="00000000" w:rsidRDefault="00A173A8">
            <w:pPr>
              <w:spacing w:after="100"/>
              <w:rPr>
                <w:rFonts w:eastAsia="Times New Roman"/>
                <w:sz w:val="20"/>
                <w:szCs w:val="20"/>
              </w:rPr>
            </w:pPr>
          </w:p>
        </w:tc>
        <w:tc>
          <w:tcPr>
            <w:tcW w:w="50" w:type="pct"/>
            <w:vAlign w:val="center"/>
            <w:hideMark/>
          </w:tcPr>
          <w:p w14:paraId="3729F851" w14:textId="77777777" w:rsidR="00000000" w:rsidRDefault="00A173A8">
            <w:pPr>
              <w:spacing w:after="100"/>
              <w:rPr>
                <w:rFonts w:eastAsia="Times New Roman"/>
                <w:sz w:val="20"/>
                <w:szCs w:val="20"/>
              </w:rPr>
            </w:pPr>
          </w:p>
        </w:tc>
        <w:tc>
          <w:tcPr>
            <w:tcW w:w="1614" w:type="pct"/>
            <w:vAlign w:val="center"/>
            <w:hideMark/>
          </w:tcPr>
          <w:p w14:paraId="602817F6" w14:textId="77777777" w:rsidR="00000000" w:rsidRDefault="00A173A8">
            <w:pPr>
              <w:spacing w:after="100"/>
              <w:rPr>
                <w:rFonts w:eastAsia="Times New Roman"/>
                <w:sz w:val="20"/>
                <w:szCs w:val="20"/>
              </w:rPr>
            </w:pPr>
          </w:p>
        </w:tc>
        <w:tc>
          <w:tcPr>
            <w:tcW w:w="5" w:type="pct"/>
            <w:vAlign w:val="center"/>
            <w:hideMark/>
          </w:tcPr>
          <w:p w14:paraId="7D2C1EB7" w14:textId="77777777" w:rsidR="00000000" w:rsidRDefault="00A173A8">
            <w:pPr>
              <w:spacing w:after="100"/>
              <w:rPr>
                <w:rFonts w:eastAsia="Times New Roman"/>
                <w:sz w:val="20"/>
                <w:szCs w:val="20"/>
              </w:rPr>
            </w:pPr>
          </w:p>
        </w:tc>
        <w:tc>
          <w:tcPr>
            <w:tcW w:w="50" w:type="pct"/>
            <w:vAlign w:val="center"/>
            <w:hideMark/>
          </w:tcPr>
          <w:p w14:paraId="20A35755" w14:textId="77777777" w:rsidR="00000000" w:rsidRDefault="00A173A8">
            <w:pPr>
              <w:spacing w:after="100"/>
              <w:rPr>
                <w:rFonts w:eastAsia="Times New Roman"/>
                <w:sz w:val="20"/>
                <w:szCs w:val="20"/>
              </w:rPr>
            </w:pPr>
          </w:p>
        </w:tc>
        <w:tc>
          <w:tcPr>
            <w:tcW w:w="1614" w:type="pct"/>
            <w:vAlign w:val="center"/>
            <w:hideMark/>
          </w:tcPr>
          <w:p w14:paraId="355A0D4E" w14:textId="77777777" w:rsidR="00000000" w:rsidRDefault="00A173A8">
            <w:pPr>
              <w:spacing w:after="100"/>
              <w:rPr>
                <w:rFonts w:eastAsia="Times New Roman"/>
                <w:sz w:val="20"/>
                <w:szCs w:val="20"/>
              </w:rPr>
            </w:pPr>
          </w:p>
        </w:tc>
        <w:tc>
          <w:tcPr>
            <w:tcW w:w="5" w:type="pct"/>
            <w:vAlign w:val="center"/>
            <w:hideMark/>
          </w:tcPr>
          <w:p w14:paraId="5ABD305E" w14:textId="77777777" w:rsidR="00000000" w:rsidRDefault="00A173A8">
            <w:pPr>
              <w:spacing w:after="100"/>
              <w:rPr>
                <w:rFonts w:eastAsia="Times New Roman"/>
                <w:sz w:val="20"/>
                <w:szCs w:val="20"/>
              </w:rPr>
            </w:pPr>
          </w:p>
        </w:tc>
      </w:tr>
      <w:tr w:rsidR="00000000" w14:paraId="369F1096" w14:textId="77777777">
        <w:trPr>
          <w:divId w:val="1461920771"/>
          <w:trHeight w:val="300"/>
          <w:jc w:val="center"/>
        </w:trPr>
        <w:tc>
          <w:tcPr>
            <w:tcW w:w="0" w:type="auto"/>
            <w:gridSpan w:val="9"/>
            <w:tcMar>
              <w:top w:w="0" w:type="dxa"/>
              <w:left w:w="20" w:type="dxa"/>
              <w:bottom w:w="0" w:type="dxa"/>
              <w:right w:w="20" w:type="dxa"/>
            </w:tcMar>
            <w:vAlign w:val="center"/>
            <w:hideMark/>
          </w:tcPr>
          <w:p w14:paraId="2F8FB1A7" w14:textId="77777777" w:rsidR="00000000" w:rsidRDefault="00A173A8">
            <w:pPr>
              <w:spacing w:after="100"/>
              <w:rPr>
                <w:rFonts w:eastAsia="Times New Roman"/>
                <w:sz w:val="20"/>
                <w:szCs w:val="20"/>
              </w:rPr>
            </w:pPr>
          </w:p>
        </w:tc>
      </w:tr>
      <w:tr w:rsidR="00000000" w14:paraId="6653078C" w14:textId="77777777">
        <w:trPr>
          <w:divId w:val="1461920771"/>
          <w:jc w:val="center"/>
        </w:trPr>
        <w:tc>
          <w:tcPr>
            <w:tcW w:w="0" w:type="auto"/>
            <w:gridSpan w:val="3"/>
            <w:tcMar>
              <w:top w:w="0" w:type="dxa"/>
              <w:left w:w="20" w:type="dxa"/>
              <w:bottom w:w="0" w:type="dxa"/>
              <w:right w:w="20" w:type="dxa"/>
            </w:tcMar>
            <w:vAlign w:val="center"/>
            <w:hideMark/>
          </w:tcPr>
          <w:p w14:paraId="0F4C17D2"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53A9825" w14:textId="77777777" w:rsidR="00000000" w:rsidRDefault="00A173A8">
            <w:pPr>
              <w:spacing w:after="100"/>
              <w:jc w:val="center"/>
              <w:rPr>
                <w:rFonts w:eastAsia="Times New Roman"/>
              </w:rPr>
            </w:pPr>
            <w:r>
              <w:rPr>
                <w:rFonts w:eastAsia="Times New Roman"/>
                <w:color w:val="000000"/>
                <w:sz w:val="16"/>
                <w:szCs w:val="16"/>
              </w:rPr>
              <w:t>24</w:t>
            </w:r>
          </w:p>
        </w:tc>
        <w:tc>
          <w:tcPr>
            <w:tcW w:w="0" w:type="auto"/>
            <w:gridSpan w:val="3"/>
            <w:tcMar>
              <w:top w:w="30" w:type="dxa"/>
              <w:left w:w="20" w:type="dxa"/>
              <w:bottom w:w="30" w:type="dxa"/>
              <w:right w:w="20" w:type="dxa"/>
            </w:tcMar>
            <w:vAlign w:val="bottom"/>
            <w:hideMark/>
          </w:tcPr>
          <w:p w14:paraId="63EBC0D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A556C37" w14:textId="77777777" w:rsidR="00000000" w:rsidRDefault="00A173A8">
      <w:pPr>
        <w:rPr>
          <w:rFonts w:eastAsia="Times New Roman"/>
        </w:rPr>
      </w:pPr>
      <w:r>
        <w:rPr>
          <w:rFonts w:eastAsia="Times New Roman"/>
        </w:rPr>
        <w:pict w14:anchorId="4FB27CBF">
          <v:rect id="_x0000_i1049" style="width:0;height:1.5pt" o:hralign="center" o:hrstd="t" o:hr="t" fillcolor="#a0a0a0" stroked="f"/>
        </w:pict>
      </w:r>
    </w:p>
    <w:p w14:paraId="5A25321A" w14:textId="77777777" w:rsidR="00000000" w:rsidRDefault="00A173A8">
      <w:pPr>
        <w:ind w:hanging="360"/>
        <w:jc w:val="both"/>
        <w:divId w:val="226502097"/>
        <w:rPr>
          <w:rFonts w:eastAsia="Times New Roman"/>
        </w:rPr>
      </w:pPr>
      <w:hyperlink w:anchor="i7ffd5d61af6f4722b1b1b07530d51c06_13" w:history="1">
        <w:r>
          <w:rPr>
            <w:rStyle w:val="a3"/>
            <w:rFonts w:eastAsia="Times New Roman"/>
            <w:sz w:val="16"/>
            <w:szCs w:val="16"/>
          </w:rPr>
          <w:t>Table of Contents</w:t>
        </w:r>
      </w:hyperlink>
    </w:p>
    <w:p w14:paraId="5FFFEB28" w14:textId="77777777" w:rsidR="00000000" w:rsidRDefault="00A173A8">
      <w:pPr>
        <w:jc w:val="both"/>
        <w:divId w:val="2032291615"/>
        <w:rPr>
          <w:rFonts w:eastAsia="Times New Roman"/>
        </w:rPr>
      </w:pPr>
      <w:r>
        <w:rPr>
          <w:rFonts w:eastAsia="Times New Roman"/>
          <w:color w:val="000000"/>
          <w:sz w:val="20"/>
          <w:szCs w:val="20"/>
        </w:rPr>
        <w:t>Key factors affecting the results of our Consumer Banking business for the second quarter and first six months of 2022 compared to the second quarter and first six months of 2021, and changes in financial condition and credit performance between June 30, 2</w:t>
      </w:r>
      <w:r>
        <w:rPr>
          <w:rFonts w:eastAsia="Times New Roman"/>
          <w:color w:val="000000"/>
          <w:sz w:val="20"/>
          <w:szCs w:val="20"/>
        </w:rPr>
        <w:t>022 and December 31, 2021 include the following:</w:t>
      </w:r>
    </w:p>
    <w:p w14:paraId="77ED43F5" w14:textId="77777777" w:rsidR="00000000" w:rsidRDefault="00A173A8">
      <w:pPr>
        <w:ind w:hanging="360"/>
        <w:jc w:val="both"/>
        <w:divId w:val="1739398140"/>
        <w:rPr>
          <w:rFonts w:eastAsia="Times New Roman"/>
        </w:rPr>
      </w:pPr>
      <w:r>
        <w:rPr>
          <w:rFonts w:eastAsia="Times New Roman"/>
          <w:color w:val="000000"/>
          <w:sz w:val="20"/>
          <w:szCs w:val="20"/>
        </w:rPr>
        <w:t>•</w:t>
      </w:r>
      <w:r>
        <w:rPr>
          <w:rFonts w:eastAsia="Times New Roman"/>
          <w:i/>
          <w:iCs/>
          <w:color w:val="000000"/>
          <w:sz w:val="20"/>
          <w:szCs w:val="20"/>
        </w:rPr>
        <w:t>Net Interest Income: </w:t>
      </w:r>
      <w:r>
        <w:rPr>
          <w:rFonts w:eastAsia="Times New Roman"/>
          <w:color w:val="000000"/>
          <w:sz w:val="20"/>
          <w:szCs w:val="20"/>
        </w:rPr>
        <w:t>Net interest income increased by $46 million to $2.1 billion in the second quarter of 2022 and increased by $129 million to $4.3 billion in the first six months of 2022 primarily driven</w:t>
      </w:r>
      <w:r>
        <w:rPr>
          <w:rFonts w:eastAsia="Times New Roman"/>
          <w:color w:val="000000"/>
          <w:sz w:val="20"/>
          <w:szCs w:val="20"/>
        </w:rPr>
        <w:t xml:space="preserve"> by higher margins in our Retail Banking business due to the increases in interest rates.</w:t>
      </w:r>
    </w:p>
    <w:p w14:paraId="6454F374" w14:textId="77777777" w:rsidR="00000000" w:rsidRDefault="00A173A8">
      <w:pPr>
        <w:ind w:hanging="360"/>
        <w:jc w:val="both"/>
        <w:divId w:val="767848076"/>
        <w:rPr>
          <w:rFonts w:eastAsia="Times New Roman"/>
        </w:rPr>
      </w:pPr>
      <w:r>
        <w:rPr>
          <w:rFonts w:eastAsia="Times New Roman"/>
          <w:i/>
          <w:iCs/>
          <w:color w:val="000000"/>
          <w:sz w:val="20"/>
          <w:szCs w:val="20"/>
        </w:rPr>
        <w:t xml:space="preserve">•Non-Interest Income: </w:t>
      </w:r>
      <w:r>
        <w:rPr>
          <w:rFonts w:eastAsia="Times New Roman"/>
          <w:color w:val="000000"/>
          <w:sz w:val="20"/>
          <w:szCs w:val="20"/>
        </w:rPr>
        <w:t>Non-interest income decreased by $48 million to $96 million in the second quarter of 2022 and decreased by $84 million to $201 million in the fi</w:t>
      </w:r>
      <w:r>
        <w:rPr>
          <w:rFonts w:eastAsia="Times New Roman"/>
          <w:color w:val="000000"/>
          <w:sz w:val="20"/>
          <w:szCs w:val="20"/>
        </w:rPr>
        <w:t>rst six months of 2022 primarily driven by changes to our customer overdraft and non-sufficient funds policies in our Retail Banking business.</w:t>
      </w:r>
    </w:p>
    <w:p w14:paraId="2A0CA73F" w14:textId="77777777" w:rsidR="00000000" w:rsidRDefault="00A173A8">
      <w:pPr>
        <w:ind w:hanging="360"/>
        <w:jc w:val="both"/>
        <w:divId w:val="468278746"/>
        <w:rPr>
          <w:rFonts w:eastAsia="Times New Roman"/>
        </w:rPr>
      </w:pPr>
      <w:r>
        <w:rPr>
          <w:rFonts w:eastAsia="Times New Roman"/>
          <w:i/>
          <w:iCs/>
          <w:color w:val="000000"/>
          <w:sz w:val="18"/>
          <w:szCs w:val="18"/>
        </w:rPr>
        <w:t>•</w:t>
      </w:r>
      <w:r>
        <w:rPr>
          <w:rFonts w:eastAsia="Times New Roman"/>
          <w:i/>
          <w:iCs/>
          <w:color w:val="000000"/>
          <w:sz w:val="20"/>
          <w:szCs w:val="20"/>
        </w:rPr>
        <w:t xml:space="preserve">Provision for Credit Losses: </w:t>
      </w:r>
      <w:r>
        <w:rPr>
          <w:rFonts w:eastAsia="Times New Roman"/>
          <w:color w:val="000000"/>
          <w:sz w:val="20"/>
          <w:szCs w:val="20"/>
        </w:rPr>
        <w:t>Provision for credit losses increased by $587 million to $281 million in the second quarter of 2022 and increased by $843 million to $411 million in the first six months of 2022 primarily driven by an allowance build due to loan growth and continued econom</w:t>
      </w:r>
      <w:r>
        <w:rPr>
          <w:rFonts w:eastAsia="Times New Roman"/>
          <w:color w:val="000000"/>
          <w:sz w:val="20"/>
          <w:szCs w:val="20"/>
        </w:rPr>
        <w:t>ic uncertainty, compared to allowance releases in the first half of 2021.</w:t>
      </w:r>
    </w:p>
    <w:p w14:paraId="4278EA43" w14:textId="77777777" w:rsidR="00000000" w:rsidRDefault="00A173A8">
      <w:pPr>
        <w:ind w:hanging="360"/>
        <w:jc w:val="both"/>
        <w:divId w:val="593243569"/>
        <w:rPr>
          <w:rFonts w:eastAsia="Times New Roman"/>
        </w:rPr>
      </w:pPr>
      <w:r>
        <w:rPr>
          <w:rFonts w:eastAsia="Times New Roman"/>
          <w:i/>
          <w:iCs/>
          <w:color w:val="000000"/>
          <w:sz w:val="18"/>
          <w:szCs w:val="18"/>
        </w:rPr>
        <w:t>•</w:t>
      </w:r>
      <w:r>
        <w:rPr>
          <w:rFonts w:eastAsia="Times New Roman"/>
          <w:i/>
          <w:iCs/>
          <w:color w:val="000000"/>
          <w:sz w:val="20"/>
          <w:szCs w:val="20"/>
        </w:rPr>
        <w:t>Non-Interest Expense:</w:t>
      </w:r>
      <w:r>
        <w:rPr>
          <w:rFonts w:eastAsia="Times New Roman"/>
          <w:color w:val="000000"/>
          <w:sz w:val="20"/>
          <w:szCs w:val="20"/>
        </w:rPr>
        <w:t xml:space="preserve"> Non-interest expense increased by $163 million to $1.3 billion in the second quarter of 2022 and increased by $282 million to $2.5 billion in the first six mon</w:t>
      </w:r>
      <w:r>
        <w:rPr>
          <w:rFonts w:eastAsia="Times New Roman"/>
          <w:color w:val="000000"/>
          <w:sz w:val="20"/>
          <w:szCs w:val="20"/>
        </w:rPr>
        <w:t>ths of 2022 primarily driven by continued investment in technology and infrastructure, as well as increased marketing spend.</w:t>
      </w:r>
    </w:p>
    <w:p w14:paraId="33BFE608" w14:textId="77777777" w:rsidR="00000000" w:rsidRDefault="00A173A8">
      <w:pPr>
        <w:jc w:val="both"/>
        <w:divId w:val="1903560126"/>
        <w:rPr>
          <w:rFonts w:eastAsia="Times New Roman"/>
        </w:rPr>
      </w:pPr>
      <w:r>
        <w:rPr>
          <w:rFonts w:eastAsia="Times New Roman"/>
          <w:i/>
          <w:iCs/>
          <w:color w:val="000000"/>
          <w:sz w:val="20"/>
          <w:szCs w:val="20"/>
        </w:rPr>
        <w:t>Loans Held for Investment:</w:t>
      </w:r>
      <w:r>
        <w:rPr>
          <w:rFonts w:eastAsia="Times New Roman"/>
          <w:color w:val="000000"/>
          <w:sz w:val="20"/>
          <w:szCs w:val="20"/>
        </w:rPr>
        <w:t> </w:t>
      </w:r>
    </w:p>
    <w:p w14:paraId="63E884A4" w14:textId="77777777" w:rsidR="00000000" w:rsidRDefault="00A173A8">
      <w:pPr>
        <w:ind w:hanging="360"/>
        <w:jc w:val="both"/>
        <w:divId w:val="1532574628"/>
        <w:rPr>
          <w:rFonts w:eastAsia="Times New Roman"/>
        </w:rPr>
      </w:pPr>
      <w:r>
        <w:rPr>
          <w:rFonts w:eastAsia="Times New Roman"/>
          <w:color w:val="000000"/>
          <w:sz w:val="20"/>
          <w:szCs w:val="20"/>
        </w:rPr>
        <w:t>•Period-end loans held for investment increased by $3.9 billion to $81.5 billion as of June 30, 2022 fr</w:t>
      </w:r>
      <w:r>
        <w:rPr>
          <w:rFonts w:eastAsia="Times New Roman"/>
          <w:color w:val="000000"/>
          <w:sz w:val="20"/>
          <w:szCs w:val="20"/>
        </w:rPr>
        <w:t>om December 31, 2021 primarily driven by growth in our auto loan portfolio.</w:t>
      </w:r>
    </w:p>
    <w:p w14:paraId="6A356935" w14:textId="77777777" w:rsidR="00000000" w:rsidRDefault="00A173A8">
      <w:pPr>
        <w:ind w:hanging="360"/>
        <w:jc w:val="both"/>
        <w:divId w:val="609749173"/>
        <w:rPr>
          <w:rFonts w:eastAsia="Times New Roman"/>
        </w:rPr>
      </w:pPr>
      <w:r>
        <w:rPr>
          <w:rFonts w:eastAsia="Times New Roman"/>
          <w:color w:val="000000"/>
          <w:sz w:val="20"/>
          <w:szCs w:val="20"/>
        </w:rPr>
        <w:t>•Average loans held for investment increased by $8.3 billion to $81.0 billion in the second quarter of 2022 compared to the the second quarter of 2021 and increased by $8.9 billion</w:t>
      </w:r>
      <w:r>
        <w:rPr>
          <w:rFonts w:eastAsia="Times New Roman"/>
          <w:color w:val="000000"/>
          <w:sz w:val="20"/>
          <w:szCs w:val="20"/>
        </w:rPr>
        <w:t xml:space="preserve"> to $79.8 billion in the first six months of 2022 compared to the first six months of 2021 primarily driven by growth in our auto loan portfolio.</w:t>
      </w:r>
    </w:p>
    <w:p w14:paraId="1E120A18" w14:textId="77777777" w:rsidR="00000000" w:rsidRDefault="00A173A8">
      <w:pPr>
        <w:jc w:val="both"/>
        <w:divId w:val="584802320"/>
        <w:rPr>
          <w:rFonts w:eastAsia="Times New Roman"/>
        </w:rPr>
      </w:pPr>
      <w:r>
        <w:rPr>
          <w:rFonts w:eastAsia="Times New Roman"/>
          <w:i/>
          <w:iCs/>
          <w:color w:val="000000"/>
          <w:sz w:val="20"/>
          <w:szCs w:val="20"/>
        </w:rPr>
        <w:t>Deposits:</w:t>
      </w:r>
      <w:r>
        <w:rPr>
          <w:rFonts w:eastAsia="Times New Roman"/>
          <w:color w:val="000000"/>
          <w:sz w:val="20"/>
          <w:szCs w:val="20"/>
        </w:rPr>
        <w:t> </w:t>
      </w:r>
    </w:p>
    <w:p w14:paraId="351A0D84" w14:textId="77777777" w:rsidR="00000000" w:rsidRDefault="00A173A8">
      <w:pPr>
        <w:ind w:hanging="360"/>
        <w:jc w:val="both"/>
        <w:divId w:val="1644196472"/>
        <w:rPr>
          <w:rFonts w:eastAsia="Times New Roman"/>
        </w:rPr>
      </w:pPr>
      <w:r>
        <w:rPr>
          <w:rFonts w:eastAsia="Times New Roman"/>
          <w:color w:val="000000"/>
          <w:sz w:val="20"/>
          <w:szCs w:val="20"/>
        </w:rPr>
        <w:t>•Period-end deposits decreased by $503 million to $255.9 billion as of June 30, 2022 compared to De</w:t>
      </w:r>
      <w:r>
        <w:rPr>
          <w:rFonts w:eastAsia="Times New Roman"/>
          <w:color w:val="000000"/>
          <w:sz w:val="20"/>
          <w:szCs w:val="20"/>
        </w:rPr>
        <w:t>cember 31, 2021.</w:t>
      </w:r>
    </w:p>
    <w:p w14:paraId="43854FC7" w14:textId="77777777" w:rsidR="00000000" w:rsidRDefault="00A173A8">
      <w:pPr>
        <w:jc w:val="both"/>
        <w:divId w:val="226380872"/>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w:t>
      </w:r>
    </w:p>
    <w:p w14:paraId="6C52626D" w14:textId="77777777" w:rsidR="00000000" w:rsidRDefault="00A173A8">
      <w:pPr>
        <w:ind w:hanging="360"/>
        <w:jc w:val="both"/>
        <w:divId w:val="216012160"/>
        <w:rPr>
          <w:rFonts w:eastAsia="Times New Roman"/>
        </w:rPr>
      </w:pPr>
      <w:r>
        <w:rPr>
          <w:rFonts w:eastAsia="Times New Roman"/>
          <w:i/>
          <w:iCs/>
          <w:color w:val="000000"/>
          <w:sz w:val="18"/>
          <w:szCs w:val="18"/>
        </w:rPr>
        <w:t>•</w:t>
      </w:r>
      <w:r>
        <w:rPr>
          <w:rFonts w:eastAsia="Times New Roman"/>
          <w:color w:val="000000"/>
          <w:sz w:val="20"/>
          <w:szCs w:val="20"/>
        </w:rPr>
        <w:t>The net charge-off rate increased by 73 basis points to 0.67% in the second quarter of 2022 compared to the the second quarter of 2021 and increased by 48 basis points to 0.71% in the first six mon</w:t>
      </w:r>
      <w:r>
        <w:rPr>
          <w:rFonts w:eastAsia="Times New Roman"/>
          <w:color w:val="000000"/>
          <w:sz w:val="20"/>
          <w:szCs w:val="20"/>
        </w:rPr>
        <w:t>ths of 2022 compared to the first six months of 2021 primarily driven by gradual credit normalization in our auto loan portfolio.</w:t>
      </w:r>
    </w:p>
    <w:p w14:paraId="2F96E756" w14:textId="77777777" w:rsidR="00000000" w:rsidRDefault="00A173A8">
      <w:pPr>
        <w:ind w:hanging="360"/>
        <w:jc w:val="both"/>
        <w:divId w:val="1852987293"/>
        <w:rPr>
          <w:rFonts w:eastAsia="Times New Roman"/>
        </w:rPr>
      </w:pPr>
      <w:r>
        <w:rPr>
          <w:rFonts w:eastAsia="Times New Roman"/>
          <w:color w:val="000000"/>
          <w:sz w:val="20"/>
          <w:szCs w:val="20"/>
        </w:rPr>
        <w:t>•The 30+ day delinquency rate increased by 15 basis points to 4.81% as of June 30, 2022 from December 31, 2021 primarily drive</w:t>
      </w:r>
      <w:r>
        <w:rPr>
          <w:rFonts w:eastAsia="Times New Roman"/>
          <w:color w:val="000000"/>
          <w:sz w:val="20"/>
          <w:szCs w:val="20"/>
        </w:rPr>
        <w:t>n by gradual credit normalization in our auto loan portfolio.</w:t>
      </w:r>
    </w:p>
    <w:p w14:paraId="4B358BE8" w14:textId="77777777" w:rsidR="00000000" w:rsidRDefault="00A173A8">
      <w:pPr>
        <w:divId w:val="998652411"/>
        <w:rPr>
          <w:rFonts w:eastAsia="Times New Roman"/>
        </w:rPr>
      </w:pPr>
      <w:r>
        <w:rPr>
          <w:rFonts w:eastAsia="Times New Roman"/>
          <w:b/>
          <w:bCs/>
          <w:color w:val="000000"/>
          <w:sz w:val="20"/>
          <w:szCs w:val="20"/>
        </w:rPr>
        <w:t>Commercial Banking Business</w:t>
      </w:r>
    </w:p>
    <w:p w14:paraId="60452FED" w14:textId="77777777" w:rsidR="00000000" w:rsidRDefault="00A173A8">
      <w:pPr>
        <w:jc w:val="both"/>
        <w:divId w:val="1694260090"/>
        <w:rPr>
          <w:rFonts w:eastAsia="Times New Roman"/>
        </w:rPr>
      </w:pPr>
      <w:r>
        <w:rPr>
          <w:rFonts w:eastAsia="Times New Roman"/>
          <w:color w:val="000000"/>
          <w:sz w:val="20"/>
          <w:szCs w:val="20"/>
        </w:rPr>
        <w:t>The primary sources of revenue for our Commercial Banking business are net interest income from loans and deposits and non-interest income earned from products and se</w:t>
      </w:r>
      <w:r>
        <w:rPr>
          <w:rFonts w:eastAsia="Times New Roman"/>
          <w:color w:val="000000"/>
          <w:sz w:val="20"/>
          <w:szCs w:val="20"/>
        </w:rPr>
        <w:t>rvices provided to our clients such as capital markets and treasury management. Because our Commercial Banking business has loans and investments that generate tax-exempt income, tax credits or other tax benefits, we present the revenues on a taxable-equiv</w:t>
      </w:r>
      <w:r>
        <w:rPr>
          <w:rFonts w:eastAsia="Times New Roman"/>
          <w:color w:val="000000"/>
          <w:sz w:val="20"/>
          <w:szCs w:val="20"/>
        </w:rPr>
        <w:t>alent basis. Expenses primarily consist of the provision for credit losses and operating costs.</w:t>
      </w:r>
    </w:p>
    <w:p w14:paraId="594C7F79" w14:textId="77777777" w:rsidR="00000000" w:rsidRDefault="00A173A8">
      <w:pPr>
        <w:jc w:val="both"/>
        <w:divId w:val="1806661290"/>
        <w:rPr>
          <w:rFonts w:eastAsia="Times New Roman"/>
        </w:rPr>
      </w:pPr>
      <w:r>
        <w:rPr>
          <w:rFonts w:eastAsia="Times New Roman"/>
          <w:color w:val="000000"/>
          <w:sz w:val="20"/>
          <w:szCs w:val="20"/>
        </w:rPr>
        <w:t>Our Commercial Banking business generated net income from continuing operations of $152 million and $448 million in the second quarter and first six months of 2</w:t>
      </w:r>
      <w:r>
        <w:rPr>
          <w:rFonts w:eastAsia="Times New Roman"/>
          <w:color w:val="000000"/>
          <w:sz w:val="20"/>
          <w:szCs w:val="20"/>
        </w:rPr>
        <w:t>022, respectively, and $396 million and $812 million in the second quarter and first six months of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F9AE077" w14:textId="77777777">
        <w:trPr>
          <w:divId w:val="897281935"/>
          <w:jc w:val="center"/>
        </w:trPr>
        <w:tc>
          <w:tcPr>
            <w:tcW w:w="50" w:type="pct"/>
            <w:vAlign w:val="center"/>
            <w:hideMark/>
          </w:tcPr>
          <w:p w14:paraId="66C31FC5" w14:textId="77777777" w:rsidR="00000000" w:rsidRDefault="00A173A8">
            <w:pPr>
              <w:jc w:val="both"/>
              <w:rPr>
                <w:rFonts w:eastAsia="Times New Roman"/>
              </w:rPr>
            </w:pPr>
          </w:p>
        </w:tc>
        <w:tc>
          <w:tcPr>
            <w:tcW w:w="1606" w:type="pct"/>
            <w:vAlign w:val="center"/>
            <w:hideMark/>
          </w:tcPr>
          <w:p w14:paraId="66A6A819" w14:textId="77777777" w:rsidR="00000000" w:rsidRDefault="00A173A8">
            <w:pPr>
              <w:spacing w:after="100"/>
              <w:rPr>
                <w:rFonts w:eastAsia="Times New Roman"/>
                <w:sz w:val="20"/>
                <w:szCs w:val="20"/>
              </w:rPr>
            </w:pPr>
          </w:p>
        </w:tc>
        <w:tc>
          <w:tcPr>
            <w:tcW w:w="5" w:type="pct"/>
            <w:vAlign w:val="center"/>
            <w:hideMark/>
          </w:tcPr>
          <w:p w14:paraId="228BB7A0" w14:textId="77777777" w:rsidR="00000000" w:rsidRDefault="00A173A8">
            <w:pPr>
              <w:spacing w:after="100"/>
              <w:rPr>
                <w:rFonts w:eastAsia="Times New Roman"/>
                <w:sz w:val="20"/>
                <w:szCs w:val="20"/>
              </w:rPr>
            </w:pPr>
          </w:p>
        </w:tc>
        <w:tc>
          <w:tcPr>
            <w:tcW w:w="50" w:type="pct"/>
            <w:vAlign w:val="center"/>
            <w:hideMark/>
          </w:tcPr>
          <w:p w14:paraId="65104838" w14:textId="77777777" w:rsidR="00000000" w:rsidRDefault="00A173A8">
            <w:pPr>
              <w:spacing w:after="100"/>
              <w:rPr>
                <w:rFonts w:eastAsia="Times New Roman"/>
                <w:sz w:val="20"/>
                <w:szCs w:val="20"/>
              </w:rPr>
            </w:pPr>
          </w:p>
        </w:tc>
        <w:tc>
          <w:tcPr>
            <w:tcW w:w="1614" w:type="pct"/>
            <w:vAlign w:val="center"/>
            <w:hideMark/>
          </w:tcPr>
          <w:p w14:paraId="3CAF770B" w14:textId="77777777" w:rsidR="00000000" w:rsidRDefault="00A173A8">
            <w:pPr>
              <w:spacing w:after="100"/>
              <w:rPr>
                <w:rFonts w:eastAsia="Times New Roman"/>
                <w:sz w:val="20"/>
                <w:szCs w:val="20"/>
              </w:rPr>
            </w:pPr>
          </w:p>
        </w:tc>
        <w:tc>
          <w:tcPr>
            <w:tcW w:w="5" w:type="pct"/>
            <w:vAlign w:val="center"/>
            <w:hideMark/>
          </w:tcPr>
          <w:p w14:paraId="3276ADA6" w14:textId="77777777" w:rsidR="00000000" w:rsidRDefault="00A173A8">
            <w:pPr>
              <w:spacing w:after="100"/>
              <w:rPr>
                <w:rFonts w:eastAsia="Times New Roman"/>
                <w:sz w:val="20"/>
                <w:szCs w:val="20"/>
              </w:rPr>
            </w:pPr>
          </w:p>
        </w:tc>
        <w:tc>
          <w:tcPr>
            <w:tcW w:w="50" w:type="pct"/>
            <w:vAlign w:val="center"/>
            <w:hideMark/>
          </w:tcPr>
          <w:p w14:paraId="0DF08C2E" w14:textId="77777777" w:rsidR="00000000" w:rsidRDefault="00A173A8">
            <w:pPr>
              <w:spacing w:after="100"/>
              <w:rPr>
                <w:rFonts w:eastAsia="Times New Roman"/>
                <w:sz w:val="20"/>
                <w:szCs w:val="20"/>
              </w:rPr>
            </w:pPr>
          </w:p>
        </w:tc>
        <w:tc>
          <w:tcPr>
            <w:tcW w:w="1614" w:type="pct"/>
            <w:vAlign w:val="center"/>
            <w:hideMark/>
          </w:tcPr>
          <w:p w14:paraId="603E7024" w14:textId="77777777" w:rsidR="00000000" w:rsidRDefault="00A173A8">
            <w:pPr>
              <w:spacing w:after="100"/>
              <w:rPr>
                <w:rFonts w:eastAsia="Times New Roman"/>
                <w:sz w:val="20"/>
                <w:szCs w:val="20"/>
              </w:rPr>
            </w:pPr>
          </w:p>
        </w:tc>
        <w:tc>
          <w:tcPr>
            <w:tcW w:w="5" w:type="pct"/>
            <w:vAlign w:val="center"/>
            <w:hideMark/>
          </w:tcPr>
          <w:p w14:paraId="5660EE18" w14:textId="77777777" w:rsidR="00000000" w:rsidRDefault="00A173A8">
            <w:pPr>
              <w:spacing w:after="100"/>
              <w:rPr>
                <w:rFonts w:eastAsia="Times New Roman"/>
                <w:sz w:val="20"/>
                <w:szCs w:val="20"/>
              </w:rPr>
            </w:pPr>
          </w:p>
        </w:tc>
      </w:tr>
      <w:tr w:rsidR="00000000" w14:paraId="0C230BF7" w14:textId="77777777">
        <w:trPr>
          <w:divId w:val="897281935"/>
          <w:trHeight w:val="300"/>
          <w:jc w:val="center"/>
        </w:trPr>
        <w:tc>
          <w:tcPr>
            <w:tcW w:w="0" w:type="auto"/>
            <w:gridSpan w:val="9"/>
            <w:tcMar>
              <w:top w:w="0" w:type="dxa"/>
              <w:left w:w="20" w:type="dxa"/>
              <w:bottom w:w="0" w:type="dxa"/>
              <w:right w:w="20" w:type="dxa"/>
            </w:tcMar>
            <w:vAlign w:val="center"/>
            <w:hideMark/>
          </w:tcPr>
          <w:p w14:paraId="53A21596" w14:textId="77777777" w:rsidR="00000000" w:rsidRDefault="00A173A8">
            <w:pPr>
              <w:spacing w:after="100"/>
              <w:rPr>
                <w:rFonts w:eastAsia="Times New Roman"/>
                <w:sz w:val="20"/>
                <w:szCs w:val="20"/>
              </w:rPr>
            </w:pPr>
          </w:p>
        </w:tc>
      </w:tr>
      <w:tr w:rsidR="00000000" w14:paraId="3871DDAE" w14:textId="77777777">
        <w:trPr>
          <w:divId w:val="897281935"/>
          <w:jc w:val="center"/>
        </w:trPr>
        <w:tc>
          <w:tcPr>
            <w:tcW w:w="0" w:type="auto"/>
            <w:gridSpan w:val="3"/>
            <w:tcMar>
              <w:top w:w="0" w:type="dxa"/>
              <w:left w:w="20" w:type="dxa"/>
              <w:bottom w:w="0" w:type="dxa"/>
              <w:right w:w="20" w:type="dxa"/>
            </w:tcMar>
            <w:vAlign w:val="center"/>
            <w:hideMark/>
          </w:tcPr>
          <w:p w14:paraId="378EA87F"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6E2D897" w14:textId="77777777" w:rsidR="00000000" w:rsidRDefault="00A173A8">
            <w:pPr>
              <w:spacing w:after="100"/>
              <w:jc w:val="center"/>
              <w:rPr>
                <w:rFonts w:eastAsia="Times New Roman"/>
              </w:rPr>
            </w:pPr>
            <w:r>
              <w:rPr>
                <w:rFonts w:eastAsia="Times New Roman"/>
                <w:color w:val="000000"/>
                <w:sz w:val="16"/>
                <w:szCs w:val="16"/>
              </w:rPr>
              <w:t>25</w:t>
            </w:r>
          </w:p>
        </w:tc>
        <w:tc>
          <w:tcPr>
            <w:tcW w:w="0" w:type="auto"/>
            <w:gridSpan w:val="3"/>
            <w:tcMar>
              <w:top w:w="30" w:type="dxa"/>
              <w:left w:w="20" w:type="dxa"/>
              <w:bottom w:w="30" w:type="dxa"/>
              <w:right w:w="20" w:type="dxa"/>
            </w:tcMar>
            <w:vAlign w:val="bottom"/>
            <w:hideMark/>
          </w:tcPr>
          <w:p w14:paraId="779C0B7E"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3522E43" w14:textId="77777777" w:rsidR="00000000" w:rsidRDefault="00A173A8">
      <w:pPr>
        <w:rPr>
          <w:rFonts w:eastAsia="Times New Roman"/>
        </w:rPr>
      </w:pPr>
      <w:r>
        <w:rPr>
          <w:rFonts w:eastAsia="Times New Roman"/>
        </w:rPr>
        <w:pict w14:anchorId="0D688501">
          <v:rect id="_x0000_i1050" style="width:0;height:1.5pt" o:hralign="center" o:hrstd="t" o:hr="t" fillcolor="#a0a0a0" stroked="f"/>
        </w:pict>
      </w:r>
    </w:p>
    <w:p w14:paraId="02C56FD9" w14:textId="77777777" w:rsidR="00000000" w:rsidRDefault="00A173A8">
      <w:pPr>
        <w:ind w:hanging="360"/>
        <w:jc w:val="both"/>
        <w:divId w:val="137695864"/>
        <w:rPr>
          <w:rFonts w:eastAsia="Times New Roman"/>
        </w:rPr>
      </w:pPr>
      <w:hyperlink w:anchor="i7ffd5d61af6f4722b1b1b07530d51c06_13" w:history="1">
        <w:r>
          <w:rPr>
            <w:rStyle w:val="a3"/>
            <w:rFonts w:eastAsia="Times New Roman"/>
            <w:sz w:val="16"/>
            <w:szCs w:val="16"/>
          </w:rPr>
          <w:t>Table of Contents</w:t>
        </w:r>
      </w:hyperlink>
    </w:p>
    <w:p w14:paraId="6B609174" w14:textId="77777777" w:rsidR="00000000" w:rsidRDefault="00A173A8">
      <w:pPr>
        <w:jc w:val="both"/>
        <w:divId w:val="484661468"/>
        <w:rPr>
          <w:rFonts w:eastAsia="Times New Roman"/>
        </w:rPr>
      </w:pPr>
      <w:r>
        <w:rPr>
          <w:rFonts w:eastAsia="Times New Roman"/>
          <w:color w:val="000000"/>
          <w:sz w:val="20"/>
          <w:szCs w:val="20"/>
        </w:rPr>
        <w:t>Table 11 summarizes the financial results of our Commercial Banking business and displays selected key metrics for the periods indicated.</w:t>
      </w:r>
    </w:p>
    <w:p w14:paraId="72B8F3C3" w14:textId="77777777" w:rsidR="00000000" w:rsidRDefault="00A173A8">
      <w:pPr>
        <w:divId w:val="519323713"/>
        <w:rPr>
          <w:rFonts w:eastAsia="Times New Roman"/>
        </w:rPr>
      </w:pPr>
      <w:r>
        <w:rPr>
          <w:rFonts w:eastAsia="Times New Roman"/>
          <w:b/>
          <w:bCs/>
          <w:color w:val="000000"/>
          <w:sz w:val="18"/>
          <w:szCs w:val="18"/>
        </w:rPr>
        <w:t>Table 11: Commercial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1563"/>
        <w:gridCol w:w="38"/>
        <w:gridCol w:w="36"/>
        <w:gridCol w:w="36"/>
        <w:gridCol w:w="36"/>
        <w:gridCol w:w="120"/>
        <w:gridCol w:w="678"/>
        <w:gridCol w:w="221"/>
        <w:gridCol w:w="36"/>
        <w:gridCol w:w="36"/>
        <w:gridCol w:w="36"/>
        <w:gridCol w:w="120"/>
        <w:gridCol w:w="600"/>
        <w:gridCol w:w="187"/>
        <w:gridCol w:w="36"/>
        <w:gridCol w:w="36"/>
        <w:gridCol w:w="36"/>
        <w:gridCol w:w="71"/>
        <w:gridCol w:w="618"/>
        <w:gridCol w:w="298"/>
        <w:gridCol w:w="36"/>
        <w:gridCol w:w="36"/>
        <w:gridCol w:w="36"/>
        <w:gridCol w:w="120"/>
        <w:gridCol w:w="582"/>
        <w:gridCol w:w="221"/>
        <w:gridCol w:w="36"/>
        <w:gridCol w:w="36"/>
        <w:gridCol w:w="36"/>
        <w:gridCol w:w="120"/>
        <w:gridCol w:w="600"/>
        <w:gridCol w:w="187"/>
        <w:gridCol w:w="36"/>
        <w:gridCol w:w="36"/>
        <w:gridCol w:w="36"/>
        <w:gridCol w:w="36"/>
        <w:gridCol w:w="36"/>
        <w:gridCol w:w="71"/>
        <w:gridCol w:w="618"/>
        <w:gridCol w:w="298"/>
        <w:gridCol w:w="36"/>
        <w:gridCol w:w="36"/>
        <w:gridCol w:w="36"/>
        <w:gridCol w:w="36"/>
        <w:gridCol w:w="36"/>
        <w:gridCol w:w="36"/>
      </w:tblGrid>
      <w:tr w:rsidR="00000000" w14:paraId="5DC9A722" w14:textId="77777777">
        <w:trPr>
          <w:divId w:val="464082963"/>
        </w:trPr>
        <w:tc>
          <w:tcPr>
            <w:tcW w:w="50" w:type="pct"/>
            <w:vAlign w:val="center"/>
            <w:hideMark/>
          </w:tcPr>
          <w:p w14:paraId="3C6C764D" w14:textId="77777777" w:rsidR="00000000" w:rsidRDefault="00A173A8">
            <w:pPr>
              <w:rPr>
                <w:rFonts w:eastAsia="Times New Roman"/>
              </w:rPr>
            </w:pPr>
          </w:p>
        </w:tc>
        <w:tc>
          <w:tcPr>
            <w:tcW w:w="1845" w:type="pct"/>
            <w:vAlign w:val="center"/>
            <w:hideMark/>
          </w:tcPr>
          <w:p w14:paraId="2803488F" w14:textId="77777777" w:rsidR="00000000" w:rsidRDefault="00A173A8">
            <w:pPr>
              <w:spacing w:after="100"/>
              <w:rPr>
                <w:rFonts w:eastAsia="Times New Roman"/>
                <w:sz w:val="20"/>
                <w:szCs w:val="20"/>
              </w:rPr>
            </w:pPr>
          </w:p>
        </w:tc>
        <w:tc>
          <w:tcPr>
            <w:tcW w:w="5" w:type="pct"/>
            <w:vAlign w:val="center"/>
            <w:hideMark/>
          </w:tcPr>
          <w:p w14:paraId="21034E99" w14:textId="77777777" w:rsidR="00000000" w:rsidRDefault="00A173A8">
            <w:pPr>
              <w:spacing w:after="100"/>
              <w:rPr>
                <w:rFonts w:eastAsia="Times New Roman"/>
                <w:sz w:val="20"/>
                <w:szCs w:val="20"/>
              </w:rPr>
            </w:pPr>
          </w:p>
        </w:tc>
        <w:tc>
          <w:tcPr>
            <w:tcW w:w="5" w:type="pct"/>
            <w:vAlign w:val="center"/>
            <w:hideMark/>
          </w:tcPr>
          <w:p w14:paraId="16EB0359" w14:textId="77777777" w:rsidR="00000000" w:rsidRDefault="00A173A8">
            <w:pPr>
              <w:spacing w:after="100"/>
              <w:rPr>
                <w:rFonts w:eastAsia="Times New Roman"/>
                <w:sz w:val="20"/>
                <w:szCs w:val="20"/>
              </w:rPr>
            </w:pPr>
          </w:p>
        </w:tc>
        <w:tc>
          <w:tcPr>
            <w:tcW w:w="26" w:type="pct"/>
            <w:vAlign w:val="center"/>
            <w:hideMark/>
          </w:tcPr>
          <w:p w14:paraId="50EC36E9" w14:textId="77777777" w:rsidR="00000000" w:rsidRDefault="00A173A8">
            <w:pPr>
              <w:spacing w:after="100"/>
              <w:rPr>
                <w:rFonts w:eastAsia="Times New Roman"/>
                <w:sz w:val="20"/>
                <w:szCs w:val="20"/>
              </w:rPr>
            </w:pPr>
          </w:p>
        </w:tc>
        <w:tc>
          <w:tcPr>
            <w:tcW w:w="5" w:type="pct"/>
            <w:vAlign w:val="center"/>
            <w:hideMark/>
          </w:tcPr>
          <w:p w14:paraId="110370B9" w14:textId="77777777" w:rsidR="00000000" w:rsidRDefault="00A173A8">
            <w:pPr>
              <w:spacing w:after="100"/>
              <w:rPr>
                <w:rFonts w:eastAsia="Times New Roman"/>
                <w:sz w:val="20"/>
                <w:szCs w:val="20"/>
              </w:rPr>
            </w:pPr>
          </w:p>
        </w:tc>
        <w:tc>
          <w:tcPr>
            <w:tcW w:w="50" w:type="pct"/>
            <w:vAlign w:val="center"/>
            <w:hideMark/>
          </w:tcPr>
          <w:p w14:paraId="4C082825" w14:textId="77777777" w:rsidR="00000000" w:rsidRDefault="00A173A8">
            <w:pPr>
              <w:spacing w:after="100"/>
              <w:rPr>
                <w:rFonts w:eastAsia="Times New Roman"/>
                <w:sz w:val="20"/>
                <w:szCs w:val="20"/>
              </w:rPr>
            </w:pPr>
          </w:p>
        </w:tc>
        <w:tc>
          <w:tcPr>
            <w:tcW w:w="412" w:type="pct"/>
            <w:vAlign w:val="center"/>
            <w:hideMark/>
          </w:tcPr>
          <w:p w14:paraId="6FF90375" w14:textId="77777777" w:rsidR="00000000" w:rsidRDefault="00A173A8">
            <w:pPr>
              <w:spacing w:after="100"/>
              <w:rPr>
                <w:rFonts w:eastAsia="Times New Roman"/>
                <w:sz w:val="20"/>
                <w:szCs w:val="20"/>
              </w:rPr>
            </w:pPr>
          </w:p>
        </w:tc>
        <w:tc>
          <w:tcPr>
            <w:tcW w:w="5" w:type="pct"/>
            <w:vAlign w:val="center"/>
            <w:hideMark/>
          </w:tcPr>
          <w:p w14:paraId="3F068E8C" w14:textId="77777777" w:rsidR="00000000" w:rsidRDefault="00A173A8">
            <w:pPr>
              <w:spacing w:after="100"/>
              <w:rPr>
                <w:rFonts w:eastAsia="Times New Roman"/>
                <w:sz w:val="20"/>
                <w:szCs w:val="20"/>
              </w:rPr>
            </w:pPr>
          </w:p>
        </w:tc>
        <w:tc>
          <w:tcPr>
            <w:tcW w:w="5" w:type="pct"/>
            <w:vAlign w:val="center"/>
            <w:hideMark/>
          </w:tcPr>
          <w:p w14:paraId="79977230" w14:textId="77777777" w:rsidR="00000000" w:rsidRDefault="00A173A8">
            <w:pPr>
              <w:spacing w:after="100"/>
              <w:rPr>
                <w:rFonts w:eastAsia="Times New Roman"/>
                <w:sz w:val="20"/>
                <w:szCs w:val="20"/>
              </w:rPr>
            </w:pPr>
          </w:p>
        </w:tc>
        <w:tc>
          <w:tcPr>
            <w:tcW w:w="26" w:type="pct"/>
            <w:vAlign w:val="center"/>
            <w:hideMark/>
          </w:tcPr>
          <w:p w14:paraId="420499C4" w14:textId="77777777" w:rsidR="00000000" w:rsidRDefault="00A173A8">
            <w:pPr>
              <w:spacing w:after="100"/>
              <w:rPr>
                <w:rFonts w:eastAsia="Times New Roman"/>
                <w:sz w:val="20"/>
                <w:szCs w:val="20"/>
              </w:rPr>
            </w:pPr>
          </w:p>
        </w:tc>
        <w:tc>
          <w:tcPr>
            <w:tcW w:w="5" w:type="pct"/>
            <w:vAlign w:val="center"/>
            <w:hideMark/>
          </w:tcPr>
          <w:p w14:paraId="458BD7A2" w14:textId="77777777" w:rsidR="00000000" w:rsidRDefault="00A173A8">
            <w:pPr>
              <w:spacing w:after="100"/>
              <w:rPr>
                <w:rFonts w:eastAsia="Times New Roman"/>
                <w:sz w:val="20"/>
                <w:szCs w:val="20"/>
              </w:rPr>
            </w:pPr>
          </w:p>
        </w:tc>
        <w:tc>
          <w:tcPr>
            <w:tcW w:w="50" w:type="pct"/>
            <w:vAlign w:val="center"/>
            <w:hideMark/>
          </w:tcPr>
          <w:p w14:paraId="20DC3D1E" w14:textId="77777777" w:rsidR="00000000" w:rsidRDefault="00A173A8">
            <w:pPr>
              <w:spacing w:after="100"/>
              <w:rPr>
                <w:rFonts w:eastAsia="Times New Roman"/>
                <w:sz w:val="20"/>
                <w:szCs w:val="20"/>
              </w:rPr>
            </w:pPr>
          </w:p>
        </w:tc>
        <w:tc>
          <w:tcPr>
            <w:tcW w:w="434" w:type="pct"/>
            <w:vAlign w:val="center"/>
            <w:hideMark/>
          </w:tcPr>
          <w:p w14:paraId="3C216484" w14:textId="77777777" w:rsidR="00000000" w:rsidRDefault="00A173A8">
            <w:pPr>
              <w:spacing w:after="100"/>
              <w:rPr>
                <w:rFonts w:eastAsia="Times New Roman"/>
                <w:sz w:val="20"/>
                <w:szCs w:val="20"/>
              </w:rPr>
            </w:pPr>
          </w:p>
        </w:tc>
        <w:tc>
          <w:tcPr>
            <w:tcW w:w="5" w:type="pct"/>
            <w:vAlign w:val="center"/>
            <w:hideMark/>
          </w:tcPr>
          <w:p w14:paraId="6819F3C4" w14:textId="77777777" w:rsidR="00000000" w:rsidRDefault="00A173A8">
            <w:pPr>
              <w:spacing w:after="100"/>
              <w:rPr>
                <w:rFonts w:eastAsia="Times New Roman"/>
                <w:sz w:val="20"/>
                <w:szCs w:val="20"/>
              </w:rPr>
            </w:pPr>
          </w:p>
        </w:tc>
        <w:tc>
          <w:tcPr>
            <w:tcW w:w="5" w:type="pct"/>
            <w:vAlign w:val="center"/>
            <w:hideMark/>
          </w:tcPr>
          <w:p w14:paraId="46A9A1E9" w14:textId="77777777" w:rsidR="00000000" w:rsidRDefault="00A173A8">
            <w:pPr>
              <w:spacing w:after="100"/>
              <w:rPr>
                <w:rFonts w:eastAsia="Times New Roman"/>
                <w:sz w:val="20"/>
                <w:szCs w:val="20"/>
              </w:rPr>
            </w:pPr>
          </w:p>
        </w:tc>
        <w:tc>
          <w:tcPr>
            <w:tcW w:w="26" w:type="pct"/>
            <w:vAlign w:val="center"/>
            <w:hideMark/>
          </w:tcPr>
          <w:p w14:paraId="74B53D36" w14:textId="77777777" w:rsidR="00000000" w:rsidRDefault="00A173A8">
            <w:pPr>
              <w:spacing w:after="100"/>
              <w:rPr>
                <w:rFonts w:eastAsia="Times New Roman"/>
                <w:sz w:val="20"/>
                <w:szCs w:val="20"/>
              </w:rPr>
            </w:pPr>
          </w:p>
        </w:tc>
        <w:tc>
          <w:tcPr>
            <w:tcW w:w="5" w:type="pct"/>
            <w:vAlign w:val="center"/>
            <w:hideMark/>
          </w:tcPr>
          <w:p w14:paraId="67FA2B17" w14:textId="77777777" w:rsidR="00000000" w:rsidRDefault="00A173A8">
            <w:pPr>
              <w:spacing w:after="100"/>
              <w:rPr>
                <w:rFonts w:eastAsia="Times New Roman"/>
                <w:sz w:val="20"/>
                <w:szCs w:val="20"/>
              </w:rPr>
            </w:pPr>
          </w:p>
        </w:tc>
        <w:tc>
          <w:tcPr>
            <w:tcW w:w="50" w:type="pct"/>
            <w:vAlign w:val="center"/>
            <w:hideMark/>
          </w:tcPr>
          <w:p w14:paraId="0353EF8B" w14:textId="77777777" w:rsidR="00000000" w:rsidRDefault="00A173A8">
            <w:pPr>
              <w:spacing w:after="100"/>
              <w:rPr>
                <w:rFonts w:eastAsia="Times New Roman"/>
                <w:sz w:val="20"/>
                <w:szCs w:val="20"/>
              </w:rPr>
            </w:pPr>
          </w:p>
        </w:tc>
        <w:tc>
          <w:tcPr>
            <w:tcW w:w="442" w:type="pct"/>
            <w:vAlign w:val="center"/>
            <w:hideMark/>
          </w:tcPr>
          <w:p w14:paraId="46196756" w14:textId="77777777" w:rsidR="00000000" w:rsidRDefault="00A173A8">
            <w:pPr>
              <w:spacing w:after="100"/>
              <w:rPr>
                <w:rFonts w:eastAsia="Times New Roman"/>
                <w:sz w:val="20"/>
                <w:szCs w:val="20"/>
              </w:rPr>
            </w:pPr>
          </w:p>
        </w:tc>
        <w:tc>
          <w:tcPr>
            <w:tcW w:w="5" w:type="pct"/>
            <w:vAlign w:val="center"/>
            <w:hideMark/>
          </w:tcPr>
          <w:p w14:paraId="579E1ECB" w14:textId="77777777" w:rsidR="00000000" w:rsidRDefault="00A173A8">
            <w:pPr>
              <w:spacing w:after="100"/>
              <w:rPr>
                <w:rFonts w:eastAsia="Times New Roman"/>
                <w:sz w:val="20"/>
                <w:szCs w:val="20"/>
              </w:rPr>
            </w:pPr>
          </w:p>
        </w:tc>
        <w:tc>
          <w:tcPr>
            <w:tcW w:w="5" w:type="pct"/>
            <w:vAlign w:val="center"/>
            <w:hideMark/>
          </w:tcPr>
          <w:p w14:paraId="68102657" w14:textId="77777777" w:rsidR="00000000" w:rsidRDefault="00A173A8">
            <w:pPr>
              <w:spacing w:after="100"/>
              <w:rPr>
                <w:rFonts w:eastAsia="Times New Roman"/>
                <w:sz w:val="20"/>
                <w:szCs w:val="20"/>
              </w:rPr>
            </w:pPr>
          </w:p>
        </w:tc>
        <w:tc>
          <w:tcPr>
            <w:tcW w:w="19" w:type="pct"/>
            <w:vAlign w:val="center"/>
            <w:hideMark/>
          </w:tcPr>
          <w:p w14:paraId="4E9BB437" w14:textId="77777777" w:rsidR="00000000" w:rsidRDefault="00A173A8">
            <w:pPr>
              <w:spacing w:after="100"/>
              <w:rPr>
                <w:rFonts w:eastAsia="Times New Roman"/>
                <w:sz w:val="20"/>
                <w:szCs w:val="20"/>
              </w:rPr>
            </w:pPr>
          </w:p>
        </w:tc>
        <w:tc>
          <w:tcPr>
            <w:tcW w:w="5" w:type="pct"/>
            <w:vAlign w:val="center"/>
            <w:hideMark/>
          </w:tcPr>
          <w:p w14:paraId="465D8F4D" w14:textId="77777777" w:rsidR="00000000" w:rsidRDefault="00A173A8">
            <w:pPr>
              <w:spacing w:after="100"/>
              <w:rPr>
                <w:rFonts w:eastAsia="Times New Roman"/>
                <w:sz w:val="20"/>
                <w:szCs w:val="20"/>
              </w:rPr>
            </w:pPr>
          </w:p>
        </w:tc>
        <w:tc>
          <w:tcPr>
            <w:tcW w:w="50" w:type="pct"/>
            <w:vAlign w:val="center"/>
            <w:hideMark/>
          </w:tcPr>
          <w:p w14:paraId="0E4F5757" w14:textId="77777777" w:rsidR="00000000" w:rsidRDefault="00A173A8">
            <w:pPr>
              <w:spacing w:after="100"/>
              <w:rPr>
                <w:rFonts w:eastAsia="Times New Roman"/>
                <w:sz w:val="20"/>
                <w:szCs w:val="20"/>
              </w:rPr>
            </w:pPr>
          </w:p>
        </w:tc>
        <w:tc>
          <w:tcPr>
            <w:tcW w:w="412" w:type="pct"/>
            <w:vAlign w:val="center"/>
            <w:hideMark/>
          </w:tcPr>
          <w:p w14:paraId="14D65A55" w14:textId="77777777" w:rsidR="00000000" w:rsidRDefault="00A173A8">
            <w:pPr>
              <w:spacing w:after="100"/>
              <w:rPr>
                <w:rFonts w:eastAsia="Times New Roman"/>
                <w:sz w:val="20"/>
                <w:szCs w:val="20"/>
              </w:rPr>
            </w:pPr>
          </w:p>
        </w:tc>
        <w:tc>
          <w:tcPr>
            <w:tcW w:w="5" w:type="pct"/>
            <w:vAlign w:val="center"/>
            <w:hideMark/>
          </w:tcPr>
          <w:p w14:paraId="7E542B6B" w14:textId="77777777" w:rsidR="00000000" w:rsidRDefault="00A173A8">
            <w:pPr>
              <w:spacing w:after="100"/>
              <w:rPr>
                <w:rFonts w:eastAsia="Times New Roman"/>
                <w:sz w:val="20"/>
                <w:szCs w:val="20"/>
              </w:rPr>
            </w:pPr>
          </w:p>
        </w:tc>
        <w:tc>
          <w:tcPr>
            <w:tcW w:w="5" w:type="pct"/>
            <w:vAlign w:val="center"/>
            <w:hideMark/>
          </w:tcPr>
          <w:p w14:paraId="7E129F14" w14:textId="77777777" w:rsidR="00000000" w:rsidRDefault="00A173A8">
            <w:pPr>
              <w:spacing w:after="100"/>
              <w:rPr>
                <w:rFonts w:eastAsia="Times New Roman"/>
                <w:sz w:val="20"/>
                <w:szCs w:val="20"/>
              </w:rPr>
            </w:pPr>
          </w:p>
        </w:tc>
        <w:tc>
          <w:tcPr>
            <w:tcW w:w="26" w:type="pct"/>
            <w:vAlign w:val="center"/>
            <w:hideMark/>
          </w:tcPr>
          <w:p w14:paraId="2B6DC22B" w14:textId="77777777" w:rsidR="00000000" w:rsidRDefault="00A173A8">
            <w:pPr>
              <w:spacing w:after="100"/>
              <w:rPr>
                <w:rFonts w:eastAsia="Times New Roman"/>
                <w:sz w:val="20"/>
                <w:szCs w:val="20"/>
              </w:rPr>
            </w:pPr>
          </w:p>
        </w:tc>
        <w:tc>
          <w:tcPr>
            <w:tcW w:w="5" w:type="pct"/>
            <w:vAlign w:val="center"/>
            <w:hideMark/>
          </w:tcPr>
          <w:p w14:paraId="2CBEC7DC" w14:textId="77777777" w:rsidR="00000000" w:rsidRDefault="00A173A8">
            <w:pPr>
              <w:spacing w:after="100"/>
              <w:rPr>
                <w:rFonts w:eastAsia="Times New Roman"/>
                <w:sz w:val="20"/>
                <w:szCs w:val="20"/>
              </w:rPr>
            </w:pPr>
          </w:p>
        </w:tc>
        <w:tc>
          <w:tcPr>
            <w:tcW w:w="50" w:type="pct"/>
            <w:vAlign w:val="center"/>
            <w:hideMark/>
          </w:tcPr>
          <w:p w14:paraId="2E060D67" w14:textId="77777777" w:rsidR="00000000" w:rsidRDefault="00A173A8">
            <w:pPr>
              <w:spacing w:after="100"/>
              <w:rPr>
                <w:rFonts w:eastAsia="Times New Roman"/>
                <w:sz w:val="20"/>
                <w:szCs w:val="20"/>
              </w:rPr>
            </w:pPr>
          </w:p>
        </w:tc>
        <w:tc>
          <w:tcPr>
            <w:tcW w:w="412" w:type="pct"/>
            <w:vAlign w:val="center"/>
            <w:hideMark/>
          </w:tcPr>
          <w:p w14:paraId="393CF106" w14:textId="77777777" w:rsidR="00000000" w:rsidRDefault="00A173A8">
            <w:pPr>
              <w:spacing w:after="100"/>
              <w:rPr>
                <w:rFonts w:eastAsia="Times New Roman"/>
                <w:sz w:val="20"/>
                <w:szCs w:val="20"/>
              </w:rPr>
            </w:pPr>
          </w:p>
        </w:tc>
        <w:tc>
          <w:tcPr>
            <w:tcW w:w="5" w:type="pct"/>
            <w:vAlign w:val="center"/>
            <w:hideMark/>
          </w:tcPr>
          <w:p w14:paraId="71F74D64" w14:textId="77777777" w:rsidR="00000000" w:rsidRDefault="00A173A8">
            <w:pPr>
              <w:spacing w:after="100"/>
              <w:rPr>
                <w:rFonts w:eastAsia="Times New Roman"/>
                <w:sz w:val="20"/>
                <w:szCs w:val="20"/>
              </w:rPr>
            </w:pPr>
          </w:p>
        </w:tc>
        <w:tc>
          <w:tcPr>
            <w:tcW w:w="0" w:type="auto"/>
            <w:vAlign w:val="center"/>
            <w:hideMark/>
          </w:tcPr>
          <w:p w14:paraId="3760E9D8" w14:textId="77777777" w:rsidR="00000000" w:rsidRDefault="00A173A8">
            <w:pPr>
              <w:spacing w:after="100"/>
              <w:rPr>
                <w:rFonts w:eastAsia="Times New Roman"/>
                <w:sz w:val="20"/>
                <w:szCs w:val="20"/>
              </w:rPr>
            </w:pPr>
          </w:p>
        </w:tc>
        <w:tc>
          <w:tcPr>
            <w:tcW w:w="0" w:type="auto"/>
            <w:vAlign w:val="center"/>
            <w:hideMark/>
          </w:tcPr>
          <w:p w14:paraId="1BF7C855" w14:textId="77777777" w:rsidR="00000000" w:rsidRDefault="00A173A8">
            <w:pPr>
              <w:spacing w:after="100"/>
              <w:rPr>
                <w:rFonts w:eastAsia="Times New Roman"/>
                <w:sz w:val="20"/>
                <w:szCs w:val="20"/>
              </w:rPr>
            </w:pPr>
          </w:p>
        </w:tc>
        <w:tc>
          <w:tcPr>
            <w:tcW w:w="5" w:type="pct"/>
            <w:vAlign w:val="center"/>
            <w:hideMark/>
          </w:tcPr>
          <w:p w14:paraId="0BCD1596" w14:textId="77777777" w:rsidR="00000000" w:rsidRDefault="00A173A8">
            <w:pPr>
              <w:spacing w:after="100"/>
              <w:rPr>
                <w:rFonts w:eastAsia="Times New Roman"/>
                <w:sz w:val="20"/>
                <w:szCs w:val="20"/>
              </w:rPr>
            </w:pPr>
          </w:p>
        </w:tc>
        <w:tc>
          <w:tcPr>
            <w:tcW w:w="26" w:type="pct"/>
            <w:vAlign w:val="center"/>
            <w:hideMark/>
          </w:tcPr>
          <w:p w14:paraId="55C1D184" w14:textId="77777777" w:rsidR="00000000" w:rsidRDefault="00A173A8">
            <w:pPr>
              <w:spacing w:after="100"/>
              <w:rPr>
                <w:rFonts w:eastAsia="Times New Roman"/>
                <w:sz w:val="20"/>
                <w:szCs w:val="20"/>
              </w:rPr>
            </w:pPr>
          </w:p>
        </w:tc>
        <w:tc>
          <w:tcPr>
            <w:tcW w:w="5" w:type="pct"/>
            <w:vAlign w:val="center"/>
            <w:hideMark/>
          </w:tcPr>
          <w:p w14:paraId="078F8D5F" w14:textId="77777777" w:rsidR="00000000" w:rsidRDefault="00A173A8">
            <w:pPr>
              <w:spacing w:after="100"/>
              <w:rPr>
                <w:rFonts w:eastAsia="Times New Roman"/>
                <w:sz w:val="20"/>
                <w:szCs w:val="20"/>
              </w:rPr>
            </w:pPr>
          </w:p>
        </w:tc>
        <w:tc>
          <w:tcPr>
            <w:tcW w:w="50" w:type="pct"/>
            <w:vAlign w:val="center"/>
            <w:hideMark/>
          </w:tcPr>
          <w:p w14:paraId="292F35E0" w14:textId="77777777" w:rsidR="00000000" w:rsidRDefault="00A173A8">
            <w:pPr>
              <w:spacing w:after="100"/>
              <w:rPr>
                <w:rFonts w:eastAsia="Times New Roman"/>
                <w:sz w:val="20"/>
                <w:szCs w:val="20"/>
              </w:rPr>
            </w:pPr>
          </w:p>
        </w:tc>
        <w:tc>
          <w:tcPr>
            <w:tcW w:w="442" w:type="pct"/>
            <w:vAlign w:val="center"/>
            <w:hideMark/>
          </w:tcPr>
          <w:p w14:paraId="1332AD57" w14:textId="77777777" w:rsidR="00000000" w:rsidRDefault="00A173A8">
            <w:pPr>
              <w:spacing w:after="100"/>
              <w:rPr>
                <w:rFonts w:eastAsia="Times New Roman"/>
                <w:sz w:val="20"/>
                <w:szCs w:val="20"/>
              </w:rPr>
            </w:pPr>
          </w:p>
        </w:tc>
        <w:tc>
          <w:tcPr>
            <w:tcW w:w="5" w:type="pct"/>
            <w:vAlign w:val="center"/>
            <w:hideMark/>
          </w:tcPr>
          <w:p w14:paraId="1A30A9B7" w14:textId="77777777" w:rsidR="00000000" w:rsidRDefault="00A173A8">
            <w:pPr>
              <w:spacing w:after="100"/>
              <w:rPr>
                <w:rFonts w:eastAsia="Times New Roman"/>
                <w:sz w:val="20"/>
                <w:szCs w:val="20"/>
              </w:rPr>
            </w:pPr>
          </w:p>
        </w:tc>
        <w:tc>
          <w:tcPr>
            <w:tcW w:w="0" w:type="auto"/>
            <w:gridSpan w:val="3"/>
            <w:vAlign w:val="center"/>
            <w:hideMark/>
          </w:tcPr>
          <w:p w14:paraId="57EB936B" w14:textId="77777777" w:rsidR="00000000" w:rsidRDefault="00A173A8">
            <w:pPr>
              <w:spacing w:after="100"/>
              <w:rPr>
                <w:rFonts w:eastAsia="Times New Roman"/>
                <w:sz w:val="20"/>
                <w:szCs w:val="20"/>
              </w:rPr>
            </w:pPr>
          </w:p>
        </w:tc>
        <w:tc>
          <w:tcPr>
            <w:tcW w:w="0" w:type="auto"/>
            <w:gridSpan w:val="3"/>
            <w:vAlign w:val="center"/>
            <w:hideMark/>
          </w:tcPr>
          <w:p w14:paraId="038343B8" w14:textId="77777777" w:rsidR="00000000" w:rsidRDefault="00A173A8">
            <w:pPr>
              <w:spacing w:after="100"/>
              <w:rPr>
                <w:rFonts w:eastAsia="Times New Roman"/>
                <w:sz w:val="20"/>
                <w:szCs w:val="20"/>
              </w:rPr>
            </w:pPr>
          </w:p>
        </w:tc>
      </w:tr>
      <w:tr w:rsidR="00000000" w14:paraId="5BACCCED" w14:textId="77777777">
        <w:trPr>
          <w:divId w:val="464082963"/>
        </w:trPr>
        <w:tc>
          <w:tcPr>
            <w:tcW w:w="0" w:type="auto"/>
            <w:gridSpan w:val="3"/>
            <w:tcMar>
              <w:top w:w="30" w:type="dxa"/>
              <w:left w:w="20" w:type="dxa"/>
              <w:bottom w:w="30" w:type="dxa"/>
              <w:right w:w="20" w:type="dxa"/>
            </w:tcMar>
            <w:vAlign w:val="bottom"/>
            <w:hideMark/>
          </w:tcPr>
          <w:p w14:paraId="1C1DB386"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A7CCBEF" w14:textId="77777777" w:rsidR="00000000" w:rsidRDefault="00A173A8">
            <w:pPr>
              <w:spacing w:after="100"/>
              <w:rPr>
                <w:rFonts w:eastAsia="Times New Roman"/>
              </w:rPr>
            </w:pPr>
          </w:p>
        </w:tc>
        <w:tc>
          <w:tcPr>
            <w:tcW w:w="0" w:type="auto"/>
            <w:gridSpan w:val="15"/>
            <w:tcMar>
              <w:top w:w="30" w:type="dxa"/>
              <w:left w:w="20" w:type="dxa"/>
              <w:bottom w:w="30" w:type="dxa"/>
              <w:right w:w="20" w:type="dxa"/>
            </w:tcMar>
            <w:vAlign w:val="bottom"/>
            <w:hideMark/>
          </w:tcPr>
          <w:p w14:paraId="60A868C3"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37C7F1FB" w14:textId="77777777" w:rsidR="00000000" w:rsidRDefault="00A173A8">
            <w:pPr>
              <w:spacing w:after="100"/>
              <w:jc w:val="center"/>
              <w:rPr>
                <w:rFonts w:eastAsia="Times New Roman"/>
              </w:rPr>
            </w:pPr>
          </w:p>
        </w:tc>
        <w:tc>
          <w:tcPr>
            <w:tcW w:w="0" w:type="auto"/>
            <w:gridSpan w:val="11"/>
            <w:tcMar>
              <w:top w:w="30" w:type="dxa"/>
              <w:left w:w="20" w:type="dxa"/>
              <w:bottom w:w="30" w:type="dxa"/>
              <w:right w:w="20" w:type="dxa"/>
            </w:tcMar>
            <w:vAlign w:val="bottom"/>
            <w:hideMark/>
          </w:tcPr>
          <w:p w14:paraId="0C9B0EAA"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gridSpan w:val="3"/>
            <w:vAlign w:val="center"/>
            <w:hideMark/>
          </w:tcPr>
          <w:p w14:paraId="338E597D" w14:textId="77777777" w:rsidR="00000000" w:rsidRDefault="00A173A8">
            <w:pPr>
              <w:spacing w:after="100"/>
              <w:jc w:val="center"/>
              <w:rPr>
                <w:rFonts w:eastAsia="Times New Roman"/>
              </w:rPr>
            </w:pPr>
          </w:p>
        </w:tc>
        <w:tc>
          <w:tcPr>
            <w:tcW w:w="0" w:type="auto"/>
            <w:gridSpan w:val="3"/>
            <w:vAlign w:val="center"/>
            <w:hideMark/>
          </w:tcPr>
          <w:p w14:paraId="770BE00E" w14:textId="77777777" w:rsidR="00000000" w:rsidRDefault="00A173A8">
            <w:pPr>
              <w:spacing w:after="100"/>
              <w:rPr>
                <w:rFonts w:eastAsia="Times New Roman"/>
                <w:sz w:val="20"/>
                <w:szCs w:val="20"/>
              </w:rPr>
            </w:pPr>
          </w:p>
        </w:tc>
        <w:tc>
          <w:tcPr>
            <w:tcW w:w="0" w:type="auto"/>
            <w:vAlign w:val="center"/>
            <w:hideMark/>
          </w:tcPr>
          <w:p w14:paraId="1D9F7C83" w14:textId="77777777" w:rsidR="00000000" w:rsidRDefault="00A173A8">
            <w:pPr>
              <w:spacing w:after="100"/>
              <w:rPr>
                <w:rFonts w:eastAsia="Times New Roman"/>
                <w:sz w:val="20"/>
                <w:szCs w:val="20"/>
              </w:rPr>
            </w:pPr>
          </w:p>
        </w:tc>
        <w:tc>
          <w:tcPr>
            <w:tcW w:w="0" w:type="auto"/>
            <w:vAlign w:val="center"/>
            <w:hideMark/>
          </w:tcPr>
          <w:p w14:paraId="0A787826" w14:textId="77777777" w:rsidR="00000000" w:rsidRDefault="00A173A8">
            <w:pPr>
              <w:spacing w:after="100"/>
              <w:rPr>
                <w:rFonts w:eastAsia="Times New Roman"/>
                <w:sz w:val="20"/>
                <w:szCs w:val="20"/>
              </w:rPr>
            </w:pPr>
          </w:p>
        </w:tc>
        <w:tc>
          <w:tcPr>
            <w:tcW w:w="0" w:type="auto"/>
            <w:vAlign w:val="center"/>
            <w:hideMark/>
          </w:tcPr>
          <w:p w14:paraId="4AA5F304" w14:textId="77777777" w:rsidR="00000000" w:rsidRDefault="00A173A8">
            <w:pPr>
              <w:spacing w:after="100"/>
              <w:rPr>
                <w:rFonts w:eastAsia="Times New Roman"/>
                <w:sz w:val="20"/>
                <w:szCs w:val="20"/>
              </w:rPr>
            </w:pPr>
          </w:p>
        </w:tc>
        <w:tc>
          <w:tcPr>
            <w:tcW w:w="0" w:type="auto"/>
            <w:vAlign w:val="center"/>
            <w:hideMark/>
          </w:tcPr>
          <w:p w14:paraId="5B68B68B" w14:textId="77777777" w:rsidR="00000000" w:rsidRDefault="00A173A8">
            <w:pPr>
              <w:spacing w:after="100"/>
              <w:rPr>
                <w:rFonts w:eastAsia="Times New Roman"/>
                <w:sz w:val="20"/>
                <w:szCs w:val="20"/>
              </w:rPr>
            </w:pPr>
          </w:p>
        </w:tc>
        <w:tc>
          <w:tcPr>
            <w:tcW w:w="0" w:type="auto"/>
            <w:vAlign w:val="center"/>
            <w:hideMark/>
          </w:tcPr>
          <w:p w14:paraId="5B2FE762" w14:textId="77777777" w:rsidR="00000000" w:rsidRDefault="00A173A8">
            <w:pPr>
              <w:spacing w:after="100"/>
              <w:rPr>
                <w:rFonts w:eastAsia="Times New Roman"/>
                <w:sz w:val="20"/>
                <w:szCs w:val="20"/>
              </w:rPr>
            </w:pPr>
          </w:p>
        </w:tc>
        <w:tc>
          <w:tcPr>
            <w:tcW w:w="0" w:type="auto"/>
            <w:vAlign w:val="center"/>
            <w:hideMark/>
          </w:tcPr>
          <w:p w14:paraId="57CC823A" w14:textId="77777777" w:rsidR="00000000" w:rsidRDefault="00A173A8">
            <w:pPr>
              <w:spacing w:after="100"/>
              <w:rPr>
                <w:rFonts w:eastAsia="Times New Roman"/>
                <w:sz w:val="20"/>
                <w:szCs w:val="20"/>
              </w:rPr>
            </w:pPr>
          </w:p>
        </w:tc>
      </w:tr>
      <w:tr w:rsidR="00000000" w14:paraId="6391B74F" w14:textId="77777777">
        <w:trPr>
          <w:divId w:val="464082963"/>
        </w:trPr>
        <w:tc>
          <w:tcPr>
            <w:tcW w:w="0" w:type="auto"/>
            <w:gridSpan w:val="3"/>
            <w:tcMar>
              <w:top w:w="30" w:type="dxa"/>
              <w:left w:w="20" w:type="dxa"/>
              <w:bottom w:w="30" w:type="dxa"/>
              <w:right w:w="20" w:type="dxa"/>
            </w:tcMar>
            <w:vAlign w:val="bottom"/>
            <w:hideMark/>
          </w:tcPr>
          <w:p w14:paraId="0F3E827B"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6C206F1D"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53A1D9"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A74D47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083392"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58AF4D6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39D27E"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3D4D16B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6C8C38"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C4C2D37"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6F6DE6"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4AD7DF01" w14:textId="77777777" w:rsidR="00000000" w:rsidRDefault="00A173A8">
            <w:pPr>
              <w:spacing w:after="100"/>
              <w:jc w:val="center"/>
              <w:rPr>
                <w:rFonts w:eastAsia="Times New Roman"/>
              </w:rPr>
            </w:pPr>
          </w:p>
        </w:tc>
        <w:tc>
          <w:tcPr>
            <w:tcW w:w="0" w:type="auto"/>
            <w:vAlign w:val="center"/>
            <w:hideMark/>
          </w:tcPr>
          <w:p w14:paraId="56930A05"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F447C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37318C0"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21896E12" w14:textId="77777777" w:rsidR="00000000" w:rsidRDefault="00A173A8">
            <w:pPr>
              <w:spacing w:after="100"/>
              <w:rPr>
                <w:rFonts w:eastAsia="Times New Roman"/>
                <w:sz w:val="20"/>
                <w:szCs w:val="20"/>
              </w:rPr>
            </w:pPr>
          </w:p>
        </w:tc>
        <w:tc>
          <w:tcPr>
            <w:tcW w:w="0" w:type="auto"/>
            <w:vAlign w:val="center"/>
            <w:hideMark/>
          </w:tcPr>
          <w:p w14:paraId="305066CE" w14:textId="77777777" w:rsidR="00000000" w:rsidRDefault="00A173A8">
            <w:pPr>
              <w:spacing w:after="100"/>
              <w:rPr>
                <w:rFonts w:eastAsia="Times New Roman"/>
                <w:sz w:val="20"/>
                <w:szCs w:val="20"/>
              </w:rPr>
            </w:pPr>
          </w:p>
        </w:tc>
        <w:tc>
          <w:tcPr>
            <w:tcW w:w="0" w:type="auto"/>
            <w:vAlign w:val="center"/>
            <w:hideMark/>
          </w:tcPr>
          <w:p w14:paraId="1784C481" w14:textId="77777777" w:rsidR="00000000" w:rsidRDefault="00A173A8">
            <w:pPr>
              <w:spacing w:after="100"/>
              <w:rPr>
                <w:rFonts w:eastAsia="Times New Roman"/>
                <w:sz w:val="20"/>
                <w:szCs w:val="20"/>
              </w:rPr>
            </w:pPr>
          </w:p>
        </w:tc>
        <w:tc>
          <w:tcPr>
            <w:tcW w:w="0" w:type="auto"/>
            <w:vAlign w:val="center"/>
            <w:hideMark/>
          </w:tcPr>
          <w:p w14:paraId="5B735045" w14:textId="77777777" w:rsidR="00000000" w:rsidRDefault="00A173A8">
            <w:pPr>
              <w:spacing w:after="100"/>
              <w:rPr>
                <w:rFonts w:eastAsia="Times New Roman"/>
                <w:sz w:val="20"/>
                <w:szCs w:val="20"/>
              </w:rPr>
            </w:pPr>
          </w:p>
        </w:tc>
        <w:tc>
          <w:tcPr>
            <w:tcW w:w="0" w:type="auto"/>
            <w:vAlign w:val="center"/>
            <w:hideMark/>
          </w:tcPr>
          <w:p w14:paraId="71DB44E0" w14:textId="77777777" w:rsidR="00000000" w:rsidRDefault="00A173A8">
            <w:pPr>
              <w:spacing w:after="100"/>
              <w:rPr>
                <w:rFonts w:eastAsia="Times New Roman"/>
                <w:sz w:val="20"/>
                <w:szCs w:val="20"/>
              </w:rPr>
            </w:pPr>
          </w:p>
        </w:tc>
        <w:tc>
          <w:tcPr>
            <w:tcW w:w="0" w:type="auto"/>
            <w:vAlign w:val="center"/>
            <w:hideMark/>
          </w:tcPr>
          <w:p w14:paraId="03EE2F1A" w14:textId="77777777" w:rsidR="00000000" w:rsidRDefault="00A173A8">
            <w:pPr>
              <w:spacing w:after="100"/>
              <w:rPr>
                <w:rFonts w:eastAsia="Times New Roman"/>
                <w:sz w:val="20"/>
                <w:szCs w:val="20"/>
              </w:rPr>
            </w:pPr>
          </w:p>
        </w:tc>
      </w:tr>
      <w:tr w:rsidR="00000000" w14:paraId="55C7EBDA" w14:textId="77777777">
        <w:trPr>
          <w:divId w:val="46408296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8323ABF" w14:textId="77777777" w:rsidR="00000000" w:rsidRDefault="00A173A8">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14:paraId="6A04A48D"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29960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6D7E7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99284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AAA9C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3FC81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EB751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F8CF2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30AB9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32B8C2" w14:textId="77777777" w:rsidR="00000000" w:rsidRDefault="00A173A8">
            <w:pPr>
              <w:spacing w:after="100"/>
              <w:rPr>
                <w:rFonts w:eastAsia="Times New Roman"/>
                <w:sz w:val="20"/>
                <w:szCs w:val="20"/>
              </w:rPr>
            </w:pPr>
          </w:p>
        </w:tc>
        <w:tc>
          <w:tcPr>
            <w:tcW w:w="0" w:type="auto"/>
            <w:vAlign w:val="center"/>
            <w:hideMark/>
          </w:tcPr>
          <w:p w14:paraId="0AE6D793" w14:textId="77777777" w:rsidR="00000000" w:rsidRDefault="00A173A8">
            <w:pPr>
              <w:spacing w:after="100"/>
              <w:rPr>
                <w:rFonts w:eastAsia="Times New Roman"/>
                <w:sz w:val="20"/>
                <w:szCs w:val="20"/>
              </w:rPr>
            </w:pPr>
          </w:p>
        </w:tc>
        <w:tc>
          <w:tcPr>
            <w:tcW w:w="0" w:type="auto"/>
            <w:vAlign w:val="center"/>
            <w:hideMark/>
          </w:tcPr>
          <w:p w14:paraId="54E8E7D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13CB6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6DDD4B" w14:textId="77777777" w:rsidR="00000000" w:rsidRDefault="00A173A8">
            <w:pPr>
              <w:spacing w:after="100"/>
              <w:rPr>
                <w:rFonts w:eastAsia="Times New Roman"/>
                <w:sz w:val="20"/>
                <w:szCs w:val="20"/>
              </w:rPr>
            </w:pPr>
          </w:p>
        </w:tc>
        <w:tc>
          <w:tcPr>
            <w:tcW w:w="0" w:type="auto"/>
            <w:gridSpan w:val="3"/>
            <w:vAlign w:val="center"/>
            <w:hideMark/>
          </w:tcPr>
          <w:p w14:paraId="51CF61A8" w14:textId="77777777" w:rsidR="00000000" w:rsidRDefault="00A173A8">
            <w:pPr>
              <w:spacing w:after="100"/>
              <w:rPr>
                <w:rFonts w:eastAsia="Times New Roman"/>
                <w:sz w:val="20"/>
                <w:szCs w:val="20"/>
              </w:rPr>
            </w:pPr>
          </w:p>
        </w:tc>
        <w:tc>
          <w:tcPr>
            <w:tcW w:w="0" w:type="auto"/>
            <w:gridSpan w:val="3"/>
            <w:vAlign w:val="center"/>
            <w:hideMark/>
          </w:tcPr>
          <w:p w14:paraId="1BE25AF3" w14:textId="77777777" w:rsidR="00000000" w:rsidRDefault="00A173A8">
            <w:pPr>
              <w:spacing w:after="100"/>
              <w:rPr>
                <w:rFonts w:eastAsia="Times New Roman"/>
                <w:sz w:val="20"/>
                <w:szCs w:val="20"/>
              </w:rPr>
            </w:pPr>
          </w:p>
        </w:tc>
      </w:tr>
      <w:tr w:rsidR="00000000" w14:paraId="52DA7F33" w14:textId="77777777">
        <w:trPr>
          <w:divId w:val="464082963"/>
        </w:trPr>
        <w:tc>
          <w:tcPr>
            <w:tcW w:w="0" w:type="auto"/>
            <w:gridSpan w:val="3"/>
            <w:shd w:val="clear" w:color="auto" w:fill="FFFFFF"/>
            <w:tcMar>
              <w:top w:w="30" w:type="dxa"/>
              <w:left w:w="20" w:type="dxa"/>
              <w:bottom w:w="30" w:type="dxa"/>
              <w:right w:w="20" w:type="dxa"/>
            </w:tcMar>
            <w:vAlign w:val="center"/>
            <w:hideMark/>
          </w:tcPr>
          <w:p w14:paraId="71AFE049" w14:textId="77777777" w:rsidR="00000000" w:rsidRDefault="00A173A8">
            <w:pPr>
              <w:spacing w:after="100"/>
              <w:rPr>
                <w:rFonts w:eastAsia="Times New Roman"/>
              </w:rPr>
            </w:pPr>
            <w:r>
              <w:rPr>
                <w:rFonts w:eastAsia="Times New Roman"/>
                <w:color w:val="000000"/>
                <w:sz w:val="20"/>
                <w:szCs w:val="20"/>
              </w:rPr>
              <w:t>Net interest income</w:t>
            </w:r>
          </w:p>
        </w:tc>
        <w:tc>
          <w:tcPr>
            <w:tcW w:w="0" w:type="auto"/>
            <w:gridSpan w:val="3"/>
            <w:shd w:val="clear" w:color="auto" w:fill="FFFFFF"/>
            <w:tcMar>
              <w:top w:w="0" w:type="dxa"/>
              <w:left w:w="20" w:type="dxa"/>
              <w:bottom w:w="0" w:type="dxa"/>
              <w:right w:w="20" w:type="dxa"/>
            </w:tcMar>
            <w:vAlign w:val="center"/>
            <w:hideMark/>
          </w:tcPr>
          <w:p w14:paraId="033C4569"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A3F8E68"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3470DA4" w14:textId="77777777" w:rsidR="00000000" w:rsidRDefault="00A173A8">
            <w:pPr>
              <w:spacing w:after="100"/>
              <w:jc w:val="right"/>
              <w:rPr>
                <w:rFonts w:eastAsia="Times New Roman"/>
              </w:rPr>
            </w:pPr>
            <w:r>
              <w:rPr>
                <w:rFonts w:eastAsia="Times New Roman"/>
                <w:b/>
                <w:bCs/>
                <w:color w:val="000000"/>
                <w:sz w:val="20"/>
                <w:szCs w:val="20"/>
              </w:rPr>
              <w:t>635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E31F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40144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5811D7"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5B11164" w14:textId="77777777" w:rsidR="00000000" w:rsidRDefault="00A173A8">
            <w:pPr>
              <w:spacing w:after="100"/>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14:paraId="64F4EA3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A255C"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40080B0C" w14:textId="77777777" w:rsidR="00000000" w:rsidRDefault="00A173A8">
            <w:pPr>
              <w:spacing w:after="100"/>
              <w:jc w:val="right"/>
              <w:rPr>
                <w:rFonts w:eastAsia="Times New Roman"/>
              </w:rPr>
            </w:pPr>
            <w:r>
              <w:rPr>
                <w:rFonts w:eastAsia="Times New Roman"/>
                <w:color w:val="000000"/>
                <w:sz w:val="20"/>
                <w:szCs w:val="20"/>
              </w:rPr>
              <w:t>38%</w:t>
            </w:r>
          </w:p>
        </w:tc>
        <w:tc>
          <w:tcPr>
            <w:tcW w:w="0" w:type="auto"/>
            <w:gridSpan w:val="3"/>
            <w:shd w:val="clear" w:color="auto" w:fill="FFFFFF"/>
            <w:tcMar>
              <w:top w:w="0" w:type="dxa"/>
              <w:left w:w="20" w:type="dxa"/>
              <w:bottom w:w="0" w:type="dxa"/>
              <w:right w:w="20" w:type="dxa"/>
            </w:tcMar>
            <w:vAlign w:val="center"/>
            <w:hideMark/>
          </w:tcPr>
          <w:p w14:paraId="0F9C8FEC"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044A0BEF"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7B86FF8" w14:textId="77777777" w:rsidR="00000000" w:rsidRDefault="00A173A8">
            <w:pPr>
              <w:spacing w:after="100"/>
              <w:jc w:val="right"/>
              <w:rPr>
                <w:rFonts w:eastAsia="Times New Roman"/>
              </w:rPr>
            </w:pPr>
            <w:r>
              <w:rPr>
                <w:rFonts w:eastAsia="Times New Roman"/>
                <w:b/>
                <w:bCs/>
                <w:color w:val="000000"/>
                <w:sz w:val="20"/>
                <w:szCs w:val="20"/>
              </w:rPr>
              <w:t>1,242</w:t>
            </w:r>
          </w:p>
        </w:tc>
        <w:tc>
          <w:tcPr>
            <w:tcW w:w="0" w:type="auto"/>
            <w:gridSpan w:val="3"/>
            <w:shd w:val="clear" w:color="auto" w:fill="FFFFFF"/>
            <w:tcMar>
              <w:top w:w="0" w:type="dxa"/>
              <w:left w:w="20" w:type="dxa"/>
              <w:bottom w:w="0" w:type="dxa"/>
              <w:right w:w="20" w:type="dxa"/>
            </w:tcMar>
            <w:vAlign w:val="center"/>
            <w:hideMark/>
          </w:tcPr>
          <w:p w14:paraId="69AC5402"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31FC58B"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EA1FCA" w14:textId="77777777" w:rsidR="00000000" w:rsidRDefault="00A173A8">
            <w:pPr>
              <w:spacing w:after="100"/>
              <w:jc w:val="right"/>
              <w:rPr>
                <w:rFonts w:eastAsia="Times New Roman"/>
              </w:rPr>
            </w:pPr>
            <w:r>
              <w:rPr>
                <w:rFonts w:eastAsia="Times New Roman"/>
                <w:color w:val="000000"/>
                <w:sz w:val="20"/>
                <w:szCs w:val="20"/>
              </w:rPr>
              <w:t>980 </w:t>
            </w:r>
          </w:p>
        </w:tc>
        <w:tc>
          <w:tcPr>
            <w:tcW w:w="0" w:type="auto"/>
            <w:shd w:val="clear" w:color="auto" w:fill="FFFFFF"/>
            <w:tcMar>
              <w:top w:w="30" w:type="dxa"/>
              <w:left w:w="0" w:type="dxa"/>
              <w:bottom w:w="30" w:type="dxa"/>
              <w:right w:w="20" w:type="dxa"/>
            </w:tcMar>
            <w:vAlign w:val="bottom"/>
            <w:hideMark/>
          </w:tcPr>
          <w:p w14:paraId="64D26E5C" w14:textId="77777777" w:rsidR="00000000" w:rsidRDefault="00A173A8">
            <w:pPr>
              <w:spacing w:after="100"/>
              <w:jc w:val="right"/>
              <w:rPr>
                <w:rFonts w:eastAsia="Times New Roman"/>
              </w:rPr>
            </w:pPr>
          </w:p>
        </w:tc>
        <w:tc>
          <w:tcPr>
            <w:tcW w:w="0" w:type="auto"/>
            <w:vAlign w:val="center"/>
            <w:hideMark/>
          </w:tcPr>
          <w:p w14:paraId="77E0A16D" w14:textId="77777777" w:rsidR="00000000" w:rsidRDefault="00A173A8">
            <w:pPr>
              <w:spacing w:after="100"/>
              <w:jc w:val="right"/>
              <w:rPr>
                <w:rFonts w:eastAsia="Times New Roman"/>
                <w:sz w:val="20"/>
                <w:szCs w:val="20"/>
              </w:rPr>
            </w:pPr>
          </w:p>
        </w:tc>
        <w:tc>
          <w:tcPr>
            <w:tcW w:w="0" w:type="auto"/>
            <w:vAlign w:val="center"/>
            <w:hideMark/>
          </w:tcPr>
          <w:p w14:paraId="7F9DC2E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4B6FA2"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30697F6" w14:textId="77777777" w:rsidR="00000000" w:rsidRDefault="00A173A8">
            <w:pPr>
              <w:spacing w:after="100"/>
              <w:jc w:val="right"/>
              <w:rPr>
                <w:rFonts w:eastAsia="Times New Roman"/>
              </w:rPr>
            </w:pPr>
            <w:r>
              <w:rPr>
                <w:rFonts w:eastAsia="Times New Roman"/>
                <w:color w:val="000000"/>
                <w:sz w:val="20"/>
                <w:szCs w:val="20"/>
              </w:rPr>
              <w:t>27%</w:t>
            </w:r>
          </w:p>
        </w:tc>
        <w:tc>
          <w:tcPr>
            <w:tcW w:w="0" w:type="auto"/>
            <w:gridSpan w:val="3"/>
            <w:vAlign w:val="center"/>
            <w:hideMark/>
          </w:tcPr>
          <w:p w14:paraId="2F006061" w14:textId="77777777" w:rsidR="00000000" w:rsidRDefault="00A173A8">
            <w:pPr>
              <w:spacing w:after="100"/>
              <w:jc w:val="right"/>
              <w:rPr>
                <w:rFonts w:eastAsia="Times New Roman"/>
              </w:rPr>
            </w:pPr>
          </w:p>
        </w:tc>
        <w:tc>
          <w:tcPr>
            <w:tcW w:w="0" w:type="auto"/>
            <w:gridSpan w:val="3"/>
            <w:vAlign w:val="center"/>
            <w:hideMark/>
          </w:tcPr>
          <w:p w14:paraId="3C7E42EE" w14:textId="77777777" w:rsidR="00000000" w:rsidRDefault="00A173A8">
            <w:pPr>
              <w:spacing w:after="100"/>
              <w:rPr>
                <w:rFonts w:eastAsia="Times New Roman"/>
                <w:sz w:val="20"/>
                <w:szCs w:val="20"/>
              </w:rPr>
            </w:pPr>
          </w:p>
        </w:tc>
      </w:tr>
      <w:tr w:rsidR="00000000" w14:paraId="3884D1FB" w14:textId="77777777">
        <w:trPr>
          <w:divId w:val="464082963"/>
        </w:trPr>
        <w:tc>
          <w:tcPr>
            <w:tcW w:w="0" w:type="auto"/>
            <w:gridSpan w:val="3"/>
            <w:shd w:val="clear" w:color="auto" w:fill="CCEEFF"/>
            <w:tcMar>
              <w:top w:w="30" w:type="dxa"/>
              <w:left w:w="20" w:type="dxa"/>
              <w:bottom w:w="30" w:type="dxa"/>
              <w:right w:w="20" w:type="dxa"/>
            </w:tcMar>
            <w:vAlign w:val="center"/>
            <w:hideMark/>
          </w:tcPr>
          <w:p w14:paraId="234EA018" w14:textId="77777777" w:rsidR="00000000" w:rsidRDefault="00A173A8">
            <w:pPr>
              <w:spacing w:after="100"/>
              <w:rPr>
                <w:rFonts w:eastAsia="Times New Roman"/>
              </w:rPr>
            </w:pPr>
            <w:r>
              <w:rPr>
                <w:rFonts w:eastAsia="Times New Roman"/>
                <w:color w:val="000000"/>
                <w:sz w:val="20"/>
                <w:szCs w:val="20"/>
              </w:rPr>
              <w:t>Non-interest income</w:t>
            </w:r>
          </w:p>
        </w:tc>
        <w:tc>
          <w:tcPr>
            <w:tcW w:w="0" w:type="auto"/>
            <w:gridSpan w:val="3"/>
            <w:shd w:val="clear" w:color="auto" w:fill="CCEEFF"/>
            <w:tcMar>
              <w:top w:w="0" w:type="dxa"/>
              <w:left w:w="20" w:type="dxa"/>
              <w:bottom w:w="0" w:type="dxa"/>
              <w:right w:w="20" w:type="dxa"/>
            </w:tcMar>
            <w:vAlign w:val="center"/>
            <w:hideMark/>
          </w:tcPr>
          <w:p w14:paraId="1A60870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289D8B" w14:textId="77777777" w:rsidR="00000000" w:rsidRDefault="00A173A8">
            <w:pPr>
              <w:spacing w:after="100"/>
              <w:jc w:val="right"/>
              <w:rPr>
                <w:rFonts w:eastAsia="Times New Roman"/>
              </w:rPr>
            </w:pPr>
            <w:r>
              <w:rPr>
                <w:rFonts w:eastAsia="Times New Roman"/>
                <w:b/>
                <w:bCs/>
                <w:color w:val="000000"/>
                <w:sz w:val="20"/>
                <w:szCs w:val="20"/>
              </w:rPr>
              <w:t>272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5307EF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4912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C1EF9F" w14:textId="77777777" w:rsidR="00000000" w:rsidRDefault="00A173A8">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14:paraId="131267C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4F06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284DFA" w14:textId="77777777" w:rsidR="00000000" w:rsidRDefault="00A173A8">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14:paraId="1D445B7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6CB49"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0261998C" w14:textId="77777777" w:rsidR="00000000" w:rsidRDefault="00A173A8">
            <w:pPr>
              <w:spacing w:after="100"/>
              <w:jc w:val="right"/>
              <w:rPr>
                <w:rFonts w:eastAsia="Times New Roman"/>
              </w:rPr>
            </w:pPr>
            <w:r>
              <w:rPr>
                <w:rFonts w:eastAsia="Times New Roman"/>
                <w:b/>
                <w:bCs/>
                <w:color w:val="000000"/>
                <w:sz w:val="20"/>
                <w:szCs w:val="20"/>
              </w:rPr>
              <w:t>549</w:t>
            </w:r>
          </w:p>
        </w:tc>
        <w:tc>
          <w:tcPr>
            <w:tcW w:w="0" w:type="auto"/>
            <w:gridSpan w:val="3"/>
            <w:shd w:val="clear" w:color="auto" w:fill="CCEEFF"/>
            <w:tcMar>
              <w:top w:w="0" w:type="dxa"/>
              <w:left w:w="20" w:type="dxa"/>
              <w:bottom w:w="0" w:type="dxa"/>
              <w:right w:w="20" w:type="dxa"/>
            </w:tcMar>
            <w:vAlign w:val="center"/>
            <w:hideMark/>
          </w:tcPr>
          <w:p w14:paraId="754C4428"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DFAA7F" w14:textId="77777777" w:rsidR="00000000" w:rsidRDefault="00A173A8">
            <w:pPr>
              <w:spacing w:after="100"/>
              <w:jc w:val="right"/>
              <w:rPr>
                <w:rFonts w:eastAsia="Times New Roman"/>
              </w:rPr>
            </w:pPr>
            <w:r>
              <w:rPr>
                <w:rFonts w:eastAsia="Times New Roman"/>
                <w:color w:val="000000"/>
                <w:sz w:val="20"/>
                <w:szCs w:val="20"/>
              </w:rPr>
              <w:t>497 </w:t>
            </w:r>
          </w:p>
        </w:tc>
        <w:tc>
          <w:tcPr>
            <w:tcW w:w="0" w:type="auto"/>
            <w:shd w:val="clear" w:color="auto" w:fill="CCEEFF"/>
            <w:tcMar>
              <w:top w:w="30" w:type="dxa"/>
              <w:left w:w="0" w:type="dxa"/>
              <w:bottom w:w="30" w:type="dxa"/>
              <w:right w:w="20" w:type="dxa"/>
            </w:tcMar>
            <w:vAlign w:val="bottom"/>
            <w:hideMark/>
          </w:tcPr>
          <w:p w14:paraId="649C8D32" w14:textId="77777777" w:rsidR="00000000" w:rsidRDefault="00A173A8">
            <w:pPr>
              <w:spacing w:after="100"/>
              <w:jc w:val="right"/>
              <w:rPr>
                <w:rFonts w:eastAsia="Times New Roman"/>
              </w:rPr>
            </w:pPr>
          </w:p>
        </w:tc>
        <w:tc>
          <w:tcPr>
            <w:tcW w:w="0" w:type="auto"/>
            <w:vAlign w:val="center"/>
            <w:hideMark/>
          </w:tcPr>
          <w:p w14:paraId="64E1A6CE" w14:textId="77777777" w:rsidR="00000000" w:rsidRDefault="00A173A8">
            <w:pPr>
              <w:spacing w:after="100"/>
              <w:jc w:val="right"/>
              <w:rPr>
                <w:rFonts w:eastAsia="Times New Roman"/>
                <w:sz w:val="20"/>
                <w:szCs w:val="20"/>
              </w:rPr>
            </w:pPr>
          </w:p>
        </w:tc>
        <w:tc>
          <w:tcPr>
            <w:tcW w:w="0" w:type="auto"/>
            <w:vAlign w:val="center"/>
            <w:hideMark/>
          </w:tcPr>
          <w:p w14:paraId="3FC91F6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C681D8"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7003A0" w14:textId="77777777" w:rsidR="00000000" w:rsidRDefault="00A173A8">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7F47E7E3" w14:textId="77777777" w:rsidR="00000000" w:rsidRDefault="00A173A8">
            <w:pPr>
              <w:spacing w:after="100"/>
              <w:jc w:val="right"/>
              <w:rPr>
                <w:rFonts w:eastAsia="Times New Roman"/>
              </w:rPr>
            </w:pPr>
          </w:p>
        </w:tc>
        <w:tc>
          <w:tcPr>
            <w:tcW w:w="0" w:type="auto"/>
            <w:gridSpan w:val="3"/>
            <w:vAlign w:val="center"/>
            <w:hideMark/>
          </w:tcPr>
          <w:p w14:paraId="0497FCB5" w14:textId="77777777" w:rsidR="00000000" w:rsidRDefault="00A173A8">
            <w:pPr>
              <w:spacing w:after="100"/>
              <w:jc w:val="right"/>
              <w:rPr>
                <w:rFonts w:eastAsia="Times New Roman"/>
                <w:sz w:val="20"/>
                <w:szCs w:val="20"/>
              </w:rPr>
            </w:pPr>
          </w:p>
        </w:tc>
        <w:tc>
          <w:tcPr>
            <w:tcW w:w="0" w:type="auto"/>
            <w:gridSpan w:val="3"/>
            <w:vAlign w:val="center"/>
            <w:hideMark/>
          </w:tcPr>
          <w:p w14:paraId="55C66E5D" w14:textId="77777777" w:rsidR="00000000" w:rsidRDefault="00A173A8">
            <w:pPr>
              <w:spacing w:after="100"/>
              <w:rPr>
                <w:rFonts w:eastAsia="Times New Roman"/>
                <w:sz w:val="20"/>
                <w:szCs w:val="20"/>
              </w:rPr>
            </w:pPr>
          </w:p>
        </w:tc>
      </w:tr>
      <w:tr w:rsidR="00000000" w14:paraId="19D7478B" w14:textId="77777777">
        <w:trPr>
          <w:divId w:val="464082963"/>
        </w:trPr>
        <w:tc>
          <w:tcPr>
            <w:tcW w:w="0" w:type="auto"/>
            <w:gridSpan w:val="3"/>
            <w:shd w:val="clear" w:color="auto" w:fill="FFFFFF"/>
            <w:tcMar>
              <w:top w:w="30" w:type="dxa"/>
              <w:left w:w="20" w:type="dxa"/>
              <w:bottom w:w="30" w:type="dxa"/>
              <w:right w:w="20" w:type="dxa"/>
            </w:tcMar>
            <w:vAlign w:val="center"/>
            <w:hideMark/>
          </w:tcPr>
          <w:p w14:paraId="5A786F1C" w14:textId="77777777" w:rsidR="00000000" w:rsidRDefault="00A173A8">
            <w:pPr>
              <w:spacing w:after="100"/>
              <w:divId w:val="527643757"/>
              <w:rPr>
                <w:rFonts w:eastAsia="Times New Roman"/>
              </w:rPr>
            </w:pPr>
            <w:r>
              <w:rPr>
                <w:rFonts w:eastAsia="Times New Roman"/>
                <w:color w:val="000000"/>
                <w:sz w:val="20"/>
                <w:szCs w:val="20"/>
              </w:rPr>
              <w:t>Total net revenu</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594B78B6"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62BB67" w14:textId="77777777" w:rsidR="00000000" w:rsidRDefault="00A173A8">
            <w:pPr>
              <w:spacing w:after="100"/>
              <w:jc w:val="right"/>
              <w:rPr>
                <w:rFonts w:eastAsia="Times New Roman"/>
              </w:rPr>
            </w:pPr>
            <w:r>
              <w:rPr>
                <w:rFonts w:eastAsia="Times New Roman"/>
                <w:b/>
                <w:bCs/>
                <w:color w:val="000000"/>
                <w:sz w:val="20"/>
                <w:szCs w:val="20"/>
              </w:rPr>
              <w:t>907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BC3DB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8E43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77A4B6" w14:textId="77777777" w:rsidR="00000000" w:rsidRDefault="00A173A8">
            <w:pPr>
              <w:spacing w:after="100"/>
              <w:jc w:val="right"/>
              <w:rPr>
                <w:rFonts w:eastAsia="Times New Roman"/>
              </w:rPr>
            </w:pPr>
            <w:r>
              <w:rPr>
                <w:rFonts w:eastAsia="Times New Roman"/>
                <w:color w:val="000000"/>
                <w:sz w:val="20"/>
                <w:szCs w:val="20"/>
              </w:rPr>
              <w:t>717 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F6C3B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E348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F19646" w14:textId="77777777" w:rsidR="00000000" w:rsidRDefault="00A173A8">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14:paraId="381EF1F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5785C"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14:paraId="1C571CEB" w14:textId="77777777" w:rsidR="00000000" w:rsidRDefault="00A173A8">
            <w:pPr>
              <w:spacing w:after="100"/>
              <w:jc w:val="right"/>
              <w:rPr>
                <w:rFonts w:eastAsia="Times New Roman"/>
              </w:rPr>
            </w:pPr>
            <w:r>
              <w:rPr>
                <w:rFonts w:eastAsia="Times New Roman"/>
                <w:b/>
                <w:bCs/>
                <w:color w:val="000000"/>
                <w:sz w:val="20"/>
                <w:szCs w:val="20"/>
              </w:rPr>
              <w:t>1,791</w:t>
            </w:r>
          </w:p>
        </w:tc>
        <w:tc>
          <w:tcPr>
            <w:tcW w:w="0" w:type="auto"/>
            <w:gridSpan w:val="3"/>
            <w:shd w:val="clear" w:color="auto" w:fill="FFFFFF"/>
            <w:tcMar>
              <w:top w:w="0" w:type="dxa"/>
              <w:left w:w="20" w:type="dxa"/>
              <w:bottom w:w="0" w:type="dxa"/>
              <w:right w:w="20" w:type="dxa"/>
            </w:tcMar>
            <w:vAlign w:val="center"/>
            <w:hideMark/>
          </w:tcPr>
          <w:p w14:paraId="54FD1F63" w14:textId="77777777" w:rsidR="00000000" w:rsidRDefault="00A173A8">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AA05C4" w14:textId="77777777" w:rsidR="00000000" w:rsidRDefault="00A173A8">
            <w:pPr>
              <w:spacing w:after="100"/>
              <w:jc w:val="right"/>
              <w:rPr>
                <w:rFonts w:eastAsia="Times New Roman"/>
              </w:rPr>
            </w:pPr>
            <w:r>
              <w:rPr>
                <w:rFonts w:eastAsia="Times New Roman"/>
                <w:color w:val="000000"/>
                <w:sz w:val="20"/>
                <w:szCs w:val="20"/>
              </w:rPr>
              <w:t>1,477 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ABD9CA" w14:textId="77777777" w:rsidR="00000000" w:rsidRDefault="00A173A8">
            <w:pPr>
              <w:spacing w:after="100"/>
              <w:jc w:val="right"/>
              <w:rPr>
                <w:rFonts w:eastAsia="Times New Roman"/>
              </w:rPr>
            </w:pPr>
          </w:p>
        </w:tc>
        <w:tc>
          <w:tcPr>
            <w:tcW w:w="0" w:type="auto"/>
            <w:vAlign w:val="center"/>
            <w:hideMark/>
          </w:tcPr>
          <w:p w14:paraId="31CEECF4" w14:textId="77777777" w:rsidR="00000000" w:rsidRDefault="00A173A8">
            <w:pPr>
              <w:spacing w:after="100"/>
              <w:jc w:val="right"/>
              <w:rPr>
                <w:rFonts w:eastAsia="Times New Roman"/>
                <w:sz w:val="20"/>
                <w:szCs w:val="20"/>
              </w:rPr>
            </w:pPr>
          </w:p>
        </w:tc>
        <w:tc>
          <w:tcPr>
            <w:tcW w:w="0" w:type="auto"/>
            <w:vAlign w:val="center"/>
            <w:hideMark/>
          </w:tcPr>
          <w:p w14:paraId="6A652CE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79433C"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15250C" w14:textId="77777777" w:rsidR="00000000" w:rsidRDefault="00A173A8">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073B0572" w14:textId="77777777" w:rsidR="00000000" w:rsidRDefault="00A173A8">
            <w:pPr>
              <w:spacing w:after="100"/>
              <w:jc w:val="right"/>
              <w:rPr>
                <w:rFonts w:eastAsia="Times New Roman"/>
              </w:rPr>
            </w:pPr>
          </w:p>
        </w:tc>
        <w:tc>
          <w:tcPr>
            <w:tcW w:w="0" w:type="auto"/>
            <w:gridSpan w:val="3"/>
            <w:vAlign w:val="center"/>
            <w:hideMark/>
          </w:tcPr>
          <w:p w14:paraId="7E4C8FD9" w14:textId="77777777" w:rsidR="00000000" w:rsidRDefault="00A173A8">
            <w:pPr>
              <w:spacing w:after="100"/>
              <w:jc w:val="right"/>
              <w:rPr>
                <w:rFonts w:eastAsia="Times New Roman"/>
                <w:sz w:val="20"/>
                <w:szCs w:val="20"/>
              </w:rPr>
            </w:pPr>
          </w:p>
        </w:tc>
        <w:tc>
          <w:tcPr>
            <w:tcW w:w="0" w:type="auto"/>
            <w:gridSpan w:val="3"/>
            <w:vAlign w:val="center"/>
            <w:hideMark/>
          </w:tcPr>
          <w:p w14:paraId="5A3762D4" w14:textId="77777777" w:rsidR="00000000" w:rsidRDefault="00A173A8">
            <w:pPr>
              <w:spacing w:after="100"/>
              <w:rPr>
                <w:rFonts w:eastAsia="Times New Roman"/>
                <w:sz w:val="20"/>
                <w:szCs w:val="20"/>
              </w:rPr>
            </w:pPr>
          </w:p>
        </w:tc>
      </w:tr>
      <w:tr w:rsidR="00000000" w14:paraId="6D137600" w14:textId="77777777">
        <w:trPr>
          <w:divId w:val="464082963"/>
        </w:trPr>
        <w:tc>
          <w:tcPr>
            <w:tcW w:w="0" w:type="auto"/>
            <w:gridSpan w:val="3"/>
            <w:shd w:val="clear" w:color="auto" w:fill="CCEEFF"/>
            <w:tcMar>
              <w:top w:w="30" w:type="dxa"/>
              <w:left w:w="20" w:type="dxa"/>
              <w:bottom w:w="30" w:type="dxa"/>
              <w:right w:w="20" w:type="dxa"/>
            </w:tcMar>
            <w:vAlign w:val="center"/>
            <w:hideMark/>
          </w:tcPr>
          <w:p w14:paraId="72E061E1" w14:textId="77777777" w:rsidR="00000000" w:rsidRDefault="00A173A8">
            <w:pPr>
              <w:spacing w:after="100"/>
              <w:divId w:val="1572883551"/>
              <w:rPr>
                <w:rFonts w:eastAsia="Times New Roman"/>
              </w:rPr>
            </w:pPr>
            <w:r>
              <w:rPr>
                <w:rFonts w:eastAsia="Times New Roman"/>
                <w:color w:val="000000"/>
                <w:sz w:val="20"/>
                <w:szCs w:val="20"/>
              </w:rPr>
              <w:t>Provision (benefit) for credit losse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517F26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BAD7B2" w14:textId="77777777" w:rsidR="00000000" w:rsidRDefault="00A173A8">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F19AA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80F4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FFF42F" w14:textId="77777777" w:rsidR="00000000" w:rsidRDefault="00A173A8">
            <w:pPr>
              <w:spacing w:after="100"/>
              <w:jc w:val="right"/>
              <w:rPr>
                <w:rFonts w:eastAsia="Times New Roman"/>
              </w:rPr>
            </w:pPr>
            <w:r>
              <w:rPr>
                <w:rFonts w:eastAsia="Times New Roman"/>
                <w:color w:val="000000"/>
                <w:sz w:val="20"/>
                <w:szCs w:val="20"/>
              </w:rPr>
              <w:t>(219)</w:t>
            </w:r>
          </w:p>
        </w:tc>
        <w:tc>
          <w:tcPr>
            <w:tcW w:w="0" w:type="auto"/>
            <w:shd w:val="clear" w:color="auto" w:fill="CCEEFF"/>
            <w:tcMar>
              <w:top w:w="30" w:type="dxa"/>
              <w:left w:w="0" w:type="dxa"/>
              <w:bottom w:w="30" w:type="dxa"/>
              <w:right w:w="20" w:type="dxa"/>
            </w:tcMar>
            <w:vAlign w:val="bottom"/>
            <w:hideMark/>
          </w:tcPr>
          <w:p w14:paraId="6247889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0CB32"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4F90270A"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836776F"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C90BE23" w14:textId="77777777" w:rsidR="00000000" w:rsidRDefault="00A173A8">
            <w:pPr>
              <w:spacing w:after="100"/>
              <w:jc w:val="right"/>
              <w:rPr>
                <w:rFonts w:eastAsia="Times New Roman"/>
              </w:rPr>
            </w:pPr>
            <w:r>
              <w:rPr>
                <w:rFonts w:eastAsia="Times New Roman"/>
                <w:b/>
                <w:bCs/>
                <w:color w:val="000000"/>
                <w:sz w:val="20"/>
                <w:szCs w:val="20"/>
              </w:rPr>
              <w:t>230</w:t>
            </w:r>
          </w:p>
        </w:tc>
        <w:tc>
          <w:tcPr>
            <w:tcW w:w="0" w:type="auto"/>
            <w:gridSpan w:val="3"/>
            <w:shd w:val="clear" w:color="auto" w:fill="CCEEFF"/>
            <w:tcMar>
              <w:top w:w="0" w:type="dxa"/>
              <w:left w:w="20" w:type="dxa"/>
              <w:bottom w:w="0" w:type="dxa"/>
              <w:right w:w="20" w:type="dxa"/>
            </w:tcMar>
            <w:vAlign w:val="center"/>
            <w:hideMark/>
          </w:tcPr>
          <w:p w14:paraId="27DAEBE7"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98D6AF" w14:textId="77777777" w:rsidR="00000000" w:rsidRDefault="00A173A8">
            <w:pPr>
              <w:spacing w:after="100"/>
              <w:jc w:val="right"/>
              <w:rPr>
                <w:rFonts w:eastAsia="Times New Roman"/>
              </w:rPr>
            </w:pPr>
            <w:r>
              <w:rPr>
                <w:rFonts w:eastAsia="Times New Roman"/>
                <w:color w:val="000000"/>
                <w:sz w:val="20"/>
                <w:szCs w:val="20"/>
              </w:rPr>
              <w:t>(422)</w:t>
            </w:r>
          </w:p>
        </w:tc>
        <w:tc>
          <w:tcPr>
            <w:tcW w:w="0" w:type="auto"/>
            <w:shd w:val="clear" w:color="auto" w:fill="CCEEFF"/>
            <w:tcMar>
              <w:top w:w="30" w:type="dxa"/>
              <w:left w:w="0" w:type="dxa"/>
              <w:bottom w:w="30" w:type="dxa"/>
              <w:right w:w="20" w:type="dxa"/>
            </w:tcMar>
            <w:vAlign w:val="bottom"/>
            <w:hideMark/>
          </w:tcPr>
          <w:p w14:paraId="4670C247" w14:textId="77777777" w:rsidR="00000000" w:rsidRDefault="00A173A8">
            <w:pPr>
              <w:spacing w:after="100"/>
              <w:jc w:val="right"/>
              <w:rPr>
                <w:rFonts w:eastAsia="Times New Roman"/>
              </w:rPr>
            </w:pPr>
          </w:p>
        </w:tc>
        <w:tc>
          <w:tcPr>
            <w:tcW w:w="0" w:type="auto"/>
            <w:vAlign w:val="center"/>
            <w:hideMark/>
          </w:tcPr>
          <w:p w14:paraId="6ED9FB4D" w14:textId="77777777" w:rsidR="00000000" w:rsidRDefault="00A173A8">
            <w:pPr>
              <w:spacing w:after="100"/>
              <w:jc w:val="right"/>
              <w:rPr>
                <w:rFonts w:eastAsia="Times New Roman"/>
                <w:sz w:val="20"/>
                <w:szCs w:val="20"/>
              </w:rPr>
            </w:pPr>
          </w:p>
        </w:tc>
        <w:tc>
          <w:tcPr>
            <w:tcW w:w="0" w:type="auto"/>
            <w:vAlign w:val="center"/>
            <w:hideMark/>
          </w:tcPr>
          <w:p w14:paraId="3B8AAD3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22D9C9"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380" w:type="dxa"/>
            </w:tcMar>
            <w:vAlign w:val="bottom"/>
            <w:hideMark/>
          </w:tcPr>
          <w:p w14:paraId="1E09DB93"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7B394AEC" w14:textId="77777777" w:rsidR="00000000" w:rsidRDefault="00A173A8">
            <w:pPr>
              <w:spacing w:after="100"/>
              <w:jc w:val="right"/>
              <w:rPr>
                <w:rFonts w:eastAsia="Times New Roman"/>
              </w:rPr>
            </w:pPr>
          </w:p>
        </w:tc>
        <w:tc>
          <w:tcPr>
            <w:tcW w:w="0" w:type="auto"/>
            <w:gridSpan w:val="3"/>
            <w:vAlign w:val="center"/>
            <w:hideMark/>
          </w:tcPr>
          <w:p w14:paraId="5FFC4C99" w14:textId="77777777" w:rsidR="00000000" w:rsidRDefault="00A173A8">
            <w:pPr>
              <w:spacing w:after="100"/>
              <w:rPr>
                <w:rFonts w:eastAsia="Times New Roman"/>
                <w:sz w:val="20"/>
                <w:szCs w:val="20"/>
              </w:rPr>
            </w:pPr>
          </w:p>
        </w:tc>
      </w:tr>
      <w:tr w:rsidR="00000000" w14:paraId="725B3558" w14:textId="77777777">
        <w:trPr>
          <w:divId w:val="464082963"/>
        </w:trPr>
        <w:tc>
          <w:tcPr>
            <w:tcW w:w="0" w:type="auto"/>
            <w:gridSpan w:val="3"/>
            <w:shd w:val="clear" w:color="auto" w:fill="FFFFFF"/>
            <w:tcMar>
              <w:top w:w="30" w:type="dxa"/>
              <w:left w:w="20" w:type="dxa"/>
              <w:bottom w:w="30" w:type="dxa"/>
              <w:right w:w="20" w:type="dxa"/>
            </w:tcMar>
            <w:vAlign w:val="center"/>
            <w:hideMark/>
          </w:tcPr>
          <w:p w14:paraId="1EA2D7D6" w14:textId="77777777" w:rsidR="00000000" w:rsidRDefault="00A173A8">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683EEDB4"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31FEBC" w14:textId="77777777" w:rsidR="00000000" w:rsidRDefault="00A173A8">
            <w:pPr>
              <w:spacing w:after="100"/>
              <w:jc w:val="right"/>
              <w:rPr>
                <w:rFonts w:eastAsia="Times New Roman"/>
              </w:rPr>
            </w:pPr>
            <w:r>
              <w:rPr>
                <w:rFonts w:eastAsia="Times New Roman"/>
                <w:b/>
                <w:bCs/>
                <w:color w:val="000000"/>
                <w:sz w:val="20"/>
                <w:szCs w:val="20"/>
              </w:rPr>
              <w:t>485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06652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3C13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F752D7" w14:textId="77777777" w:rsidR="00000000" w:rsidRDefault="00A173A8">
            <w:pPr>
              <w:spacing w:after="100"/>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14:paraId="1231B40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3898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4F7029" w14:textId="77777777" w:rsidR="00000000" w:rsidRDefault="00A173A8">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678E9B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6D597"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069CFEEA" w14:textId="77777777" w:rsidR="00000000" w:rsidRDefault="00A173A8">
            <w:pPr>
              <w:spacing w:after="100"/>
              <w:jc w:val="right"/>
              <w:rPr>
                <w:rFonts w:eastAsia="Times New Roman"/>
              </w:rPr>
            </w:pPr>
            <w:r>
              <w:rPr>
                <w:rFonts w:eastAsia="Times New Roman"/>
                <w:b/>
                <w:bCs/>
                <w:color w:val="000000"/>
                <w:sz w:val="20"/>
                <w:szCs w:val="20"/>
              </w:rPr>
              <w:t>973</w:t>
            </w:r>
          </w:p>
        </w:tc>
        <w:tc>
          <w:tcPr>
            <w:tcW w:w="0" w:type="auto"/>
            <w:gridSpan w:val="3"/>
            <w:shd w:val="clear" w:color="auto" w:fill="FFFFFF"/>
            <w:tcMar>
              <w:top w:w="0" w:type="dxa"/>
              <w:left w:w="20" w:type="dxa"/>
              <w:bottom w:w="0" w:type="dxa"/>
              <w:right w:w="20" w:type="dxa"/>
            </w:tcMar>
            <w:vAlign w:val="center"/>
            <w:hideMark/>
          </w:tcPr>
          <w:p w14:paraId="4FEC108D"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43DE3F" w14:textId="77777777" w:rsidR="00000000" w:rsidRDefault="00A173A8">
            <w:pPr>
              <w:spacing w:after="100"/>
              <w:jc w:val="right"/>
              <w:rPr>
                <w:rFonts w:eastAsia="Times New Roman"/>
              </w:rPr>
            </w:pPr>
            <w:r>
              <w:rPr>
                <w:rFonts w:eastAsia="Times New Roman"/>
                <w:color w:val="000000"/>
                <w:sz w:val="20"/>
                <w:szCs w:val="20"/>
              </w:rPr>
              <w:t>836 </w:t>
            </w:r>
          </w:p>
        </w:tc>
        <w:tc>
          <w:tcPr>
            <w:tcW w:w="0" w:type="auto"/>
            <w:shd w:val="clear" w:color="auto" w:fill="FFFFFF"/>
            <w:tcMar>
              <w:top w:w="30" w:type="dxa"/>
              <w:left w:w="0" w:type="dxa"/>
              <w:bottom w:w="30" w:type="dxa"/>
              <w:right w:w="20" w:type="dxa"/>
            </w:tcMar>
            <w:vAlign w:val="bottom"/>
            <w:hideMark/>
          </w:tcPr>
          <w:p w14:paraId="7CB1D560" w14:textId="77777777" w:rsidR="00000000" w:rsidRDefault="00A173A8">
            <w:pPr>
              <w:spacing w:after="100"/>
              <w:jc w:val="right"/>
              <w:rPr>
                <w:rFonts w:eastAsia="Times New Roman"/>
              </w:rPr>
            </w:pPr>
          </w:p>
        </w:tc>
        <w:tc>
          <w:tcPr>
            <w:tcW w:w="0" w:type="auto"/>
            <w:vAlign w:val="center"/>
            <w:hideMark/>
          </w:tcPr>
          <w:p w14:paraId="4D53B072" w14:textId="77777777" w:rsidR="00000000" w:rsidRDefault="00A173A8">
            <w:pPr>
              <w:spacing w:after="100"/>
              <w:jc w:val="right"/>
              <w:rPr>
                <w:rFonts w:eastAsia="Times New Roman"/>
                <w:sz w:val="20"/>
                <w:szCs w:val="20"/>
              </w:rPr>
            </w:pPr>
          </w:p>
        </w:tc>
        <w:tc>
          <w:tcPr>
            <w:tcW w:w="0" w:type="auto"/>
            <w:vAlign w:val="center"/>
            <w:hideMark/>
          </w:tcPr>
          <w:p w14:paraId="1EA4E6E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3AC518"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804C1" w14:textId="77777777" w:rsidR="00000000" w:rsidRDefault="00A173A8">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14:paraId="1CCB548E" w14:textId="77777777" w:rsidR="00000000" w:rsidRDefault="00A173A8">
            <w:pPr>
              <w:spacing w:after="100"/>
              <w:jc w:val="right"/>
              <w:rPr>
                <w:rFonts w:eastAsia="Times New Roman"/>
              </w:rPr>
            </w:pPr>
          </w:p>
        </w:tc>
        <w:tc>
          <w:tcPr>
            <w:tcW w:w="0" w:type="auto"/>
            <w:gridSpan w:val="3"/>
            <w:vAlign w:val="center"/>
            <w:hideMark/>
          </w:tcPr>
          <w:p w14:paraId="3F778967" w14:textId="77777777" w:rsidR="00000000" w:rsidRDefault="00A173A8">
            <w:pPr>
              <w:spacing w:after="100"/>
              <w:jc w:val="right"/>
              <w:rPr>
                <w:rFonts w:eastAsia="Times New Roman"/>
                <w:sz w:val="20"/>
                <w:szCs w:val="20"/>
              </w:rPr>
            </w:pPr>
          </w:p>
        </w:tc>
        <w:tc>
          <w:tcPr>
            <w:tcW w:w="0" w:type="auto"/>
            <w:gridSpan w:val="3"/>
            <w:vAlign w:val="center"/>
            <w:hideMark/>
          </w:tcPr>
          <w:p w14:paraId="67DF08A3" w14:textId="77777777" w:rsidR="00000000" w:rsidRDefault="00A173A8">
            <w:pPr>
              <w:spacing w:after="100"/>
              <w:rPr>
                <w:rFonts w:eastAsia="Times New Roman"/>
                <w:sz w:val="20"/>
                <w:szCs w:val="20"/>
              </w:rPr>
            </w:pPr>
          </w:p>
        </w:tc>
      </w:tr>
      <w:tr w:rsidR="00000000" w14:paraId="7E82E310" w14:textId="77777777">
        <w:trPr>
          <w:divId w:val="464082963"/>
        </w:trPr>
        <w:tc>
          <w:tcPr>
            <w:tcW w:w="0" w:type="auto"/>
            <w:gridSpan w:val="3"/>
            <w:shd w:val="clear" w:color="auto" w:fill="CCEEFF"/>
            <w:tcMar>
              <w:top w:w="30" w:type="dxa"/>
              <w:left w:w="20" w:type="dxa"/>
              <w:bottom w:w="30" w:type="dxa"/>
              <w:right w:w="20" w:type="dxa"/>
            </w:tcMar>
            <w:vAlign w:val="center"/>
            <w:hideMark/>
          </w:tcPr>
          <w:p w14:paraId="301A72E5" w14:textId="77777777" w:rsidR="00000000" w:rsidRDefault="00A173A8">
            <w:pPr>
              <w:spacing w:after="100"/>
              <w:rPr>
                <w:rFonts w:eastAsia="Times New Roman"/>
              </w:rPr>
            </w:pPr>
            <w:r>
              <w:rPr>
                <w:rFonts w:eastAsia="Times New Roman"/>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01B693D6"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5227A5" w14:textId="77777777" w:rsidR="00000000" w:rsidRDefault="00A173A8">
            <w:pPr>
              <w:spacing w:after="100"/>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C7D9E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FF788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BF34B2" w14:textId="77777777" w:rsidR="00000000" w:rsidRDefault="00A173A8">
            <w:pPr>
              <w:spacing w:after="100"/>
              <w:jc w:val="right"/>
              <w:rPr>
                <w:rFonts w:eastAsia="Times New Roman"/>
              </w:rPr>
            </w:pPr>
            <w:r>
              <w:rPr>
                <w:rFonts w:eastAsia="Times New Roman"/>
                <w:color w:val="000000"/>
                <w:sz w:val="20"/>
                <w:szCs w:val="20"/>
              </w:rPr>
              <w:t>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557B3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64ABD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216684" w14:textId="77777777" w:rsidR="00000000" w:rsidRDefault="00A173A8">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14:paraId="0766C91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3E64B6"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14:paraId="2DAA414E" w14:textId="77777777" w:rsidR="00000000" w:rsidRDefault="00A173A8">
            <w:pPr>
              <w:spacing w:after="100"/>
              <w:jc w:val="right"/>
              <w:rPr>
                <w:rFonts w:eastAsia="Times New Roman"/>
              </w:rPr>
            </w:pPr>
            <w:r>
              <w:rPr>
                <w:rFonts w:eastAsia="Times New Roman"/>
                <w:b/>
                <w:bCs/>
                <w:color w:val="000000"/>
                <w:sz w:val="20"/>
                <w:szCs w:val="20"/>
              </w:rPr>
              <w:t>588</w:t>
            </w:r>
          </w:p>
        </w:tc>
        <w:tc>
          <w:tcPr>
            <w:tcW w:w="0" w:type="auto"/>
            <w:gridSpan w:val="3"/>
            <w:shd w:val="clear" w:color="auto" w:fill="CCEEFF"/>
            <w:tcMar>
              <w:top w:w="0" w:type="dxa"/>
              <w:left w:w="20" w:type="dxa"/>
              <w:bottom w:w="0" w:type="dxa"/>
              <w:right w:w="20" w:type="dxa"/>
            </w:tcMar>
            <w:vAlign w:val="center"/>
            <w:hideMark/>
          </w:tcPr>
          <w:p w14:paraId="77982719" w14:textId="77777777" w:rsidR="00000000" w:rsidRDefault="00A173A8">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20DB27" w14:textId="77777777" w:rsidR="00000000" w:rsidRDefault="00A173A8">
            <w:pPr>
              <w:spacing w:after="100"/>
              <w:jc w:val="right"/>
              <w:rPr>
                <w:rFonts w:eastAsia="Times New Roman"/>
              </w:rPr>
            </w:pPr>
            <w:r>
              <w:rPr>
                <w:rFonts w:eastAsia="Times New Roman"/>
                <w:color w:val="000000"/>
                <w:sz w:val="20"/>
                <w:szCs w:val="20"/>
              </w:rPr>
              <w:t>1,063 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841E64" w14:textId="77777777" w:rsidR="00000000" w:rsidRDefault="00A173A8">
            <w:pPr>
              <w:spacing w:after="100"/>
              <w:jc w:val="right"/>
              <w:rPr>
                <w:rFonts w:eastAsia="Times New Roman"/>
              </w:rPr>
            </w:pPr>
          </w:p>
        </w:tc>
        <w:tc>
          <w:tcPr>
            <w:tcW w:w="0" w:type="auto"/>
            <w:vAlign w:val="center"/>
            <w:hideMark/>
          </w:tcPr>
          <w:p w14:paraId="6D8EB725" w14:textId="77777777" w:rsidR="00000000" w:rsidRDefault="00A173A8">
            <w:pPr>
              <w:spacing w:after="100"/>
              <w:jc w:val="right"/>
              <w:rPr>
                <w:rFonts w:eastAsia="Times New Roman"/>
                <w:sz w:val="20"/>
                <w:szCs w:val="20"/>
              </w:rPr>
            </w:pPr>
          </w:p>
        </w:tc>
        <w:tc>
          <w:tcPr>
            <w:tcW w:w="0" w:type="auto"/>
            <w:vAlign w:val="center"/>
            <w:hideMark/>
          </w:tcPr>
          <w:p w14:paraId="1714F7F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79530A"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7362BA" w14:textId="77777777" w:rsidR="00000000" w:rsidRDefault="00A173A8">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14:paraId="549F46F8" w14:textId="77777777" w:rsidR="00000000" w:rsidRDefault="00A173A8">
            <w:pPr>
              <w:spacing w:after="100"/>
              <w:jc w:val="right"/>
              <w:rPr>
                <w:rFonts w:eastAsia="Times New Roman"/>
              </w:rPr>
            </w:pPr>
          </w:p>
        </w:tc>
        <w:tc>
          <w:tcPr>
            <w:tcW w:w="0" w:type="auto"/>
            <w:gridSpan w:val="3"/>
            <w:vAlign w:val="center"/>
            <w:hideMark/>
          </w:tcPr>
          <w:p w14:paraId="7D728A48" w14:textId="77777777" w:rsidR="00000000" w:rsidRDefault="00A173A8">
            <w:pPr>
              <w:spacing w:after="100"/>
              <w:jc w:val="right"/>
              <w:rPr>
                <w:rFonts w:eastAsia="Times New Roman"/>
                <w:sz w:val="20"/>
                <w:szCs w:val="20"/>
              </w:rPr>
            </w:pPr>
          </w:p>
        </w:tc>
        <w:tc>
          <w:tcPr>
            <w:tcW w:w="0" w:type="auto"/>
            <w:gridSpan w:val="3"/>
            <w:vAlign w:val="center"/>
            <w:hideMark/>
          </w:tcPr>
          <w:p w14:paraId="2E2FE577" w14:textId="77777777" w:rsidR="00000000" w:rsidRDefault="00A173A8">
            <w:pPr>
              <w:spacing w:after="100"/>
              <w:rPr>
                <w:rFonts w:eastAsia="Times New Roman"/>
                <w:sz w:val="20"/>
                <w:szCs w:val="20"/>
              </w:rPr>
            </w:pPr>
          </w:p>
        </w:tc>
      </w:tr>
      <w:tr w:rsidR="00000000" w14:paraId="2D886585" w14:textId="77777777">
        <w:trPr>
          <w:divId w:val="464082963"/>
        </w:trPr>
        <w:tc>
          <w:tcPr>
            <w:tcW w:w="0" w:type="auto"/>
            <w:gridSpan w:val="3"/>
            <w:shd w:val="clear" w:color="auto" w:fill="FFFFFF"/>
            <w:tcMar>
              <w:top w:w="30" w:type="dxa"/>
              <w:left w:w="20" w:type="dxa"/>
              <w:bottom w:w="30" w:type="dxa"/>
              <w:right w:w="20" w:type="dxa"/>
            </w:tcMar>
            <w:vAlign w:val="center"/>
            <w:hideMark/>
          </w:tcPr>
          <w:p w14:paraId="7E4DDF09" w14:textId="77777777" w:rsidR="00000000" w:rsidRDefault="00A173A8">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0" w:type="dxa"/>
              <w:left w:w="20" w:type="dxa"/>
              <w:bottom w:w="0" w:type="dxa"/>
              <w:right w:w="20" w:type="dxa"/>
            </w:tcMar>
            <w:vAlign w:val="center"/>
            <w:hideMark/>
          </w:tcPr>
          <w:p w14:paraId="0C7250C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91F3E2" w14:textId="77777777" w:rsidR="00000000" w:rsidRDefault="00A173A8">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245D5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281C3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CF8F1F" w14:textId="77777777" w:rsidR="00000000" w:rsidRDefault="00A173A8">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14:paraId="5AB27EF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BE8AE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E27A7C" w14:textId="77777777" w:rsidR="00000000" w:rsidRDefault="00A173A8">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14:paraId="7F81A8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3C9F65"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2CBBA30F" w14:textId="77777777" w:rsidR="00000000" w:rsidRDefault="00A173A8">
            <w:pPr>
              <w:spacing w:after="100"/>
              <w:jc w:val="right"/>
              <w:rPr>
                <w:rFonts w:eastAsia="Times New Roman"/>
              </w:rPr>
            </w:pPr>
            <w:r>
              <w:rPr>
                <w:rFonts w:eastAsia="Times New Roman"/>
                <w:b/>
                <w:bCs/>
                <w:color w:val="000000"/>
                <w:sz w:val="20"/>
                <w:szCs w:val="20"/>
              </w:rPr>
              <w:t>140</w:t>
            </w:r>
          </w:p>
        </w:tc>
        <w:tc>
          <w:tcPr>
            <w:tcW w:w="0" w:type="auto"/>
            <w:gridSpan w:val="3"/>
            <w:shd w:val="clear" w:color="auto" w:fill="FFFFFF"/>
            <w:tcMar>
              <w:top w:w="0" w:type="dxa"/>
              <w:left w:w="20" w:type="dxa"/>
              <w:bottom w:w="0" w:type="dxa"/>
              <w:right w:w="20" w:type="dxa"/>
            </w:tcMar>
            <w:vAlign w:val="center"/>
            <w:hideMark/>
          </w:tcPr>
          <w:p w14:paraId="356B4739"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F982833" w14:textId="77777777" w:rsidR="00000000" w:rsidRDefault="00A173A8">
            <w:pPr>
              <w:spacing w:after="100"/>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14:paraId="3B4B2C35" w14:textId="77777777" w:rsidR="00000000" w:rsidRDefault="00A173A8">
            <w:pPr>
              <w:spacing w:after="100"/>
              <w:jc w:val="right"/>
              <w:rPr>
                <w:rFonts w:eastAsia="Times New Roman"/>
              </w:rPr>
            </w:pPr>
          </w:p>
        </w:tc>
        <w:tc>
          <w:tcPr>
            <w:tcW w:w="0" w:type="auto"/>
            <w:vAlign w:val="center"/>
            <w:hideMark/>
          </w:tcPr>
          <w:p w14:paraId="4DEBB483" w14:textId="77777777" w:rsidR="00000000" w:rsidRDefault="00A173A8">
            <w:pPr>
              <w:spacing w:after="100"/>
              <w:jc w:val="right"/>
              <w:rPr>
                <w:rFonts w:eastAsia="Times New Roman"/>
                <w:sz w:val="20"/>
                <w:szCs w:val="20"/>
              </w:rPr>
            </w:pPr>
          </w:p>
        </w:tc>
        <w:tc>
          <w:tcPr>
            <w:tcW w:w="0" w:type="auto"/>
            <w:vAlign w:val="center"/>
            <w:hideMark/>
          </w:tcPr>
          <w:p w14:paraId="6678D57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A201D5"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2D2CC9" w14:textId="77777777" w:rsidR="00000000" w:rsidRDefault="00A173A8">
            <w:pPr>
              <w:spacing w:after="100"/>
              <w:jc w:val="right"/>
              <w:rPr>
                <w:rFonts w:eastAsia="Times New Roman"/>
              </w:rPr>
            </w:pPr>
            <w:r>
              <w:rPr>
                <w:rFonts w:eastAsia="Times New Roman"/>
                <w:color w:val="000000"/>
                <w:sz w:val="20"/>
                <w:szCs w:val="20"/>
              </w:rPr>
              <w:t>(44)</w:t>
            </w:r>
          </w:p>
        </w:tc>
        <w:tc>
          <w:tcPr>
            <w:tcW w:w="0" w:type="auto"/>
            <w:shd w:val="clear" w:color="auto" w:fill="FFFFFF"/>
            <w:tcMar>
              <w:top w:w="30" w:type="dxa"/>
              <w:left w:w="0" w:type="dxa"/>
              <w:bottom w:w="30" w:type="dxa"/>
              <w:right w:w="20" w:type="dxa"/>
            </w:tcMar>
            <w:vAlign w:val="bottom"/>
            <w:hideMark/>
          </w:tcPr>
          <w:p w14:paraId="5E1BDDC7" w14:textId="77777777" w:rsidR="00000000" w:rsidRDefault="00A173A8">
            <w:pPr>
              <w:spacing w:after="100"/>
              <w:jc w:val="right"/>
              <w:rPr>
                <w:rFonts w:eastAsia="Times New Roman"/>
              </w:rPr>
            </w:pPr>
          </w:p>
        </w:tc>
        <w:tc>
          <w:tcPr>
            <w:tcW w:w="0" w:type="auto"/>
            <w:gridSpan w:val="3"/>
            <w:vAlign w:val="center"/>
            <w:hideMark/>
          </w:tcPr>
          <w:p w14:paraId="6E18156C" w14:textId="77777777" w:rsidR="00000000" w:rsidRDefault="00A173A8">
            <w:pPr>
              <w:spacing w:after="100"/>
              <w:jc w:val="right"/>
              <w:rPr>
                <w:rFonts w:eastAsia="Times New Roman"/>
                <w:sz w:val="20"/>
                <w:szCs w:val="20"/>
              </w:rPr>
            </w:pPr>
          </w:p>
        </w:tc>
        <w:tc>
          <w:tcPr>
            <w:tcW w:w="0" w:type="auto"/>
            <w:gridSpan w:val="3"/>
            <w:vAlign w:val="center"/>
            <w:hideMark/>
          </w:tcPr>
          <w:p w14:paraId="2CFAD349" w14:textId="77777777" w:rsidR="00000000" w:rsidRDefault="00A173A8">
            <w:pPr>
              <w:spacing w:after="100"/>
              <w:rPr>
                <w:rFonts w:eastAsia="Times New Roman"/>
                <w:sz w:val="20"/>
                <w:szCs w:val="20"/>
              </w:rPr>
            </w:pPr>
          </w:p>
        </w:tc>
      </w:tr>
      <w:tr w:rsidR="00000000" w14:paraId="518E5B99" w14:textId="77777777">
        <w:trPr>
          <w:divId w:val="464082963"/>
        </w:trPr>
        <w:tc>
          <w:tcPr>
            <w:tcW w:w="0" w:type="auto"/>
            <w:gridSpan w:val="3"/>
            <w:shd w:val="clear" w:color="auto" w:fill="CCEEFF"/>
            <w:tcMar>
              <w:top w:w="30" w:type="dxa"/>
              <w:left w:w="20" w:type="dxa"/>
              <w:bottom w:w="30" w:type="dxa"/>
              <w:right w:w="20" w:type="dxa"/>
            </w:tcMar>
            <w:vAlign w:val="center"/>
            <w:hideMark/>
          </w:tcPr>
          <w:p w14:paraId="64AB7C86" w14:textId="77777777" w:rsidR="00000000" w:rsidRDefault="00A173A8">
            <w:pPr>
              <w:spacing w:after="100"/>
              <w:rPr>
                <w:rFonts w:eastAsia="Times New Roman"/>
              </w:rPr>
            </w:pPr>
            <w:r>
              <w:rPr>
                <w:rFonts w:eastAsia="Times New Roman"/>
                <w:color w:val="000000"/>
                <w:sz w:val="20"/>
                <w:szCs w:val="20"/>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21D51F63"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21D25D"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8FF282" w14:textId="77777777" w:rsidR="00000000" w:rsidRDefault="00A173A8">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572B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E41D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70242D"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28BB19" w14:textId="77777777" w:rsidR="00000000" w:rsidRDefault="00A173A8">
            <w:pPr>
              <w:spacing w:after="100"/>
              <w:jc w:val="right"/>
              <w:rPr>
                <w:rFonts w:eastAsia="Times New Roman"/>
              </w:rPr>
            </w:pPr>
            <w:r>
              <w:rPr>
                <w:rFonts w:eastAsia="Times New Roman"/>
                <w:color w:val="000000"/>
                <w:sz w:val="20"/>
                <w:szCs w:val="20"/>
              </w:rPr>
              <w:t>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9E856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F7EC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6070E3" w14:textId="77777777" w:rsidR="00000000" w:rsidRDefault="00A173A8">
            <w:pPr>
              <w:spacing w:after="100"/>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14:paraId="57D79C6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77FB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0AA190"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2E4D93E" w14:textId="77777777" w:rsidR="00000000" w:rsidRDefault="00A173A8">
            <w:pPr>
              <w:spacing w:after="100"/>
              <w:jc w:val="right"/>
              <w:rPr>
                <w:rFonts w:eastAsia="Times New Roman"/>
              </w:rPr>
            </w:pPr>
            <w:r>
              <w:rPr>
                <w:rFonts w:eastAsia="Times New Roman"/>
                <w:b/>
                <w:bCs/>
                <w:color w:val="000000"/>
                <w:sz w:val="20"/>
                <w:szCs w:val="20"/>
              </w:rPr>
              <w:t>448</w:t>
            </w:r>
          </w:p>
        </w:tc>
        <w:tc>
          <w:tcPr>
            <w:tcW w:w="0" w:type="auto"/>
            <w:gridSpan w:val="3"/>
            <w:shd w:val="clear" w:color="auto" w:fill="CCEEFF"/>
            <w:tcMar>
              <w:top w:w="0" w:type="dxa"/>
              <w:left w:w="20" w:type="dxa"/>
              <w:bottom w:w="0" w:type="dxa"/>
              <w:right w:w="20" w:type="dxa"/>
            </w:tcMar>
            <w:vAlign w:val="center"/>
            <w:hideMark/>
          </w:tcPr>
          <w:p w14:paraId="306F07C0"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891DA1"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426AE6" w14:textId="77777777" w:rsidR="00000000" w:rsidRDefault="00A173A8">
            <w:pPr>
              <w:spacing w:after="100"/>
              <w:jc w:val="right"/>
              <w:rPr>
                <w:rFonts w:eastAsia="Times New Roman"/>
              </w:rPr>
            </w:pPr>
            <w:r>
              <w:rPr>
                <w:rFonts w:eastAsia="Times New Roman"/>
                <w:color w:val="000000"/>
                <w:sz w:val="20"/>
                <w:szCs w:val="20"/>
              </w:rPr>
              <w:t>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0BE959" w14:textId="77777777" w:rsidR="00000000" w:rsidRDefault="00A173A8">
            <w:pPr>
              <w:spacing w:after="100"/>
              <w:jc w:val="right"/>
              <w:rPr>
                <w:rFonts w:eastAsia="Times New Roman"/>
              </w:rPr>
            </w:pPr>
          </w:p>
        </w:tc>
        <w:tc>
          <w:tcPr>
            <w:tcW w:w="0" w:type="auto"/>
            <w:vAlign w:val="center"/>
            <w:hideMark/>
          </w:tcPr>
          <w:p w14:paraId="5C03D578" w14:textId="77777777" w:rsidR="00000000" w:rsidRDefault="00A173A8">
            <w:pPr>
              <w:spacing w:after="100"/>
              <w:jc w:val="right"/>
              <w:rPr>
                <w:rFonts w:eastAsia="Times New Roman"/>
                <w:sz w:val="20"/>
                <w:szCs w:val="20"/>
              </w:rPr>
            </w:pPr>
          </w:p>
        </w:tc>
        <w:tc>
          <w:tcPr>
            <w:tcW w:w="0" w:type="auto"/>
            <w:vAlign w:val="center"/>
            <w:hideMark/>
          </w:tcPr>
          <w:p w14:paraId="1A214A2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260FFD"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400645" w14:textId="77777777" w:rsidR="00000000" w:rsidRDefault="00A173A8">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14:paraId="403D6919" w14:textId="77777777" w:rsidR="00000000" w:rsidRDefault="00A173A8">
            <w:pPr>
              <w:spacing w:after="100"/>
              <w:jc w:val="right"/>
              <w:rPr>
                <w:rFonts w:eastAsia="Times New Roman"/>
              </w:rPr>
            </w:pPr>
          </w:p>
        </w:tc>
        <w:tc>
          <w:tcPr>
            <w:tcW w:w="0" w:type="auto"/>
            <w:gridSpan w:val="3"/>
            <w:vAlign w:val="center"/>
            <w:hideMark/>
          </w:tcPr>
          <w:p w14:paraId="0EF5AA71" w14:textId="77777777" w:rsidR="00000000" w:rsidRDefault="00A173A8">
            <w:pPr>
              <w:spacing w:after="100"/>
              <w:jc w:val="right"/>
              <w:rPr>
                <w:rFonts w:eastAsia="Times New Roman"/>
                <w:sz w:val="20"/>
                <w:szCs w:val="20"/>
              </w:rPr>
            </w:pPr>
          </w:p>
        </w:tc>
        <w:tc>
          <w:tcPr>
            <w:tcW w:w="0" w:type="auto"/>
            <w:gridSpan w:val="3"/>
            <w:vAlign w:val="center"/>
            <w:hideMark/>
          </w:tcPr>
          <w:p w14:paraId="01987A09" w14:textId="77777777" w:rsidR="00000000" w:rsidRDefault="00A173A8">
            <w:pPr>
              <w:spacing w:after="100"/>
              <w:rPr>
                <w:rFonts w:eastAsia="Times New Roman"/>
                <w:sz w:val="20"/>
                <w:szCs w:val="20"/>
              </w:rPr>
            </w:pPr>
          </w:p>
        </w:tc>
      </w:tr>
      <w:tr w:rsidR="00000000" w14:paraId="56FED612" w14:textId="77777777">
        <w:trPr>
          <w:divId w:val="464082963"/>
        </w:trPr>
        <w:tc>
          <w:tcPr>
            <w:tcW w:w="0" w:type="auto"/>
            <w:gridSpan w:val="3"/>
            <w:shd w:val="clear" w:color="auto" w:fill="FFFFFF"/>
            <w:tcMar>
              <w:top w:w="30" w:type="dxa"/>
              <w:left w:w="20" w:type="dxa"/>
              <w:bottom w:w="30" w:type="dxa"/>
              <w:right w:w="20" w:type="dxa"/>
            </w:tcMar>
            <w:vAlign w:val="center"/>
            <w:hideMark/>
          </w:tcPr>
          <w:p w14:paraId="5D5CDC7D" w14:textId="77777777" w:rsidR="00000000" w:rsidRDefault="00A173A8">
            <w:pPr>
              <w:spacing w:after="100"/>
              <w:rPr>
                <w:rFonts w:eastAsia="Times New Roman"/>
              </w:rPr>
            </w:pPr>
            <w:r>
              <w:rPr>
                <w:rFonts w:eastAsia="Times New Roman"/>
                <w:b/>
                <w:bCs/>
                <w:color w:val="000000"/>
                <w:sz w:val="20"/>
                <w:szCs w:val="20"/>
              </w:rPr>
              <w:t>Selected performance metrics:</w:t>
            </w:r>
          </w:p>
        </w:tc>
        <w:tc>
          <w:tcPr>
            <w:tcW w:w="0" w:type="auto"/>
            <w:gridSpan w:val="3"/>
            <w:shd w:val="clear" w:color="auto" w:fill="FFFFFF"/>
            <w:tcMar>
              <w:top w:w="0" w:type="dxa"/>
              <w:left w:w="20" w:type="dxa"/>
              <w:bottom w:w="0" w:type="dxa"/>
              <w:right w:w="20" w:type="dxa"/>
            </w:tcMar>
            <w:vAlign w:val="center"/>
            <w:hideMark/>
          </w:tcPr>
          <w:p w14:paraId="4E839FE5"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99F10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C07567"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864E4C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A9A9F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E961D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5C108F"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EF428E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D0D491"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77AB8C" w14:textId="77777777" w:rsidR="00000000" w:rsidRDefault="00A173A8">
            <w:pPr>
              <w:spacing w:after="100"/>
              <w:rPr>
                <w:rFonts w:eastAsia="Times New Roman"/>
                <w:sz w:val="20"/>
                <w:szCs w:val="20"/>
              </w:rPr>
            </w:pPr>
          </w:p>
        </w:tc>
        <w:tc>
          <w:tcPr>
            <w:tcW w:w="0" w:type="auto"/>
            <w:vAlign w:val="center"/>
            <w:hideMark/>
          </w:tcPr>
          <w:p w14:paraId="76FCF0C6" w14:textId="77777777" w:rsidR="00000000" w:rsidRDefault="00A173A8">
            <w:pPr>
              <w:spacing w:after="100"/>
              <w:rPr>
                <w:rFonts w:eastAsia="Times New Roman"/>
                <w:sz w:val="20"/>
                <w:szCs w:val="20"/>
              </w:rPr>
            </w:pPr>
          </w:p>
        </w:tc>
        <w:tc>
          <w:tcPr>
            <w:tcW w:w="0" w:type="auto"/>
            <w:vAlign w:val="center"/>
            <w:hideMark/>
          </w:tcPr>
          <w:p w14:paraId="60ADD0B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2DE9C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6D7E10" w14:textId="77777777" w:rsidR="00000000" w:rsidRDefault="00A173A8">
            <w:pPr>
              <w:spacing w:after="100"/>
              <w:rPr>
                <w:rFonts w:eastAsia="Times New Roman"/>
                <w:sz w:val="20"/>
                <w:szCs w:val="20"/>
              </w:rPr>
            </w:pPr>
          </w:p>
        </w:tc>
        <w:tc>
          <w:tcPr>
            <w:tcW w:w="0" w:type="auto"/>
            <w:gridSpan w:val="3"/>
            <w:vAlign w:val="center"/>
            <w:hideMark/>
          </w:tcPr>
          <w:p w14:paraId="0E89E356" w14:textId="77777777" w:rsidR="00000000" w:rsidRDefault="00A173A8">
            <w:pPr>
              <w:spacing w:after="100"/>
              <w:rPr>
                <w:rFonts w:eastAsia="Times New Roman"/>
                <w:sz w:val="20"/>
                <w:szCs w:val="20"/>
              </w:rPr>
            </w:pPr>
          </w:p>
        </w:tc>
        <w:tc>
          <w:tcPr>
            <w:tcW w:w="0" w:type="auto"/>
            <w:gridSpan w:val="3"/>
            <w:vAlign w:val="center"/>
            <w:hideMark/>
          </w:tcPr>
          <w:p w14:paraId="5AE32492" w14:textId="77777777" w:rsidR="00000000" w:rsidRDefault="00A173A8">
            <w:pPr>
              <w:spacing w:after="100"/>
              <w:rPr>
                <w:rFonts w:eastAsia="Times New Roman"/>
                <w:sz w:val="20"/>
                <w:szCs w:val="20"/>
              </w:rPr>
            </w:pPr>
          </w:p>
        </w:tc>
      </w:tr>
      <w:tr w:rsidR="00000000" w14:paraId="58B10928" w14:textId="77777777">
        <w:trPr>
          <w:divId w:val="464082963"/>
        </w:trPr>
        <w:tc>
          <w:tcPr>
            <w:tcW w:w="0" w:type="auto"/>
            <w:gridSpan w:val="3"/>
            <w:shd w:val="clear" w:color="auto" w:fill="CCEEFF"/>
            <w:tcMar>
              <w:top w:w="30" w:type="dxa"/>
              <w:left w:w="20" w:type="dxa"/>
              <w:bottom w:w="30" w:type="dxa"/>
              <w:right w:w="20" w:type="dxa"/>
            </w:tcMar>
            <w:vAlign w:val="center"/>
            <w:hideMark/>
          </w:tcPr>
          <w:p w14:paraId="09675300" w14:textId="77777777" w:rsidR="00000000" w:rsidRDefault="00A173A8">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CCEEFF"/>
            <w:tcMar>
              <w:top w:w="0" w:type="dxa"/>
              <w:left w:w="20" w:type="dxa"/>
              <w:bottom w:w="0" w:type="dxa"/>
              <w:right w:w="20" w:type="dxa"/>
            </w:tcMar>
            <w:vAlign w:val="center"/>
            <w:hideMark/>
          </w:tcPr>
          <w:p w14:paraId="5BE7CE09"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8217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887ED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75CE5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791B0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0F6D8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EAC46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7D081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AB68F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E792A4" w14:textId="77777777" w:rsidR="00000000" w:rsidRDefault="00A173A8">
            <w:pPr>
              <w:spacing w:after="100"/>
              <w:rPr>
                <w:rFonts w:eastAsia="Times New Roman"/>
                <w:sz w:val="20"/>
                <w:szCs w:val="20"/>
              </w:rPr>
            </w:pPr>
          </w:p>
        </w:tc>
        <w:tc>
          <w:tcPr>
            <w:tcW w:w="0" w:type="auto"/>
            <w:vAlign w:val="center"/>
            <w:hideMark/>
          </w:tcPr>
          <w:p w14:paraId="5CF18A86" w14:textId="77777777" w:rsidR="00000000" w:rsidRDefault="00A173A8">
            <w:pPr>
              <w:spacing w:after="100"/>
              <w:rPr>
                <w:rFonts w:eastAsia="Times New Roman"/>
                <w:sz w:val="20"/>
                <w:szCs w:val="20"/>
              </w:rPr>
            </w:pPr>
          </w:p>
        </w:tc>
        <w:tc>
          <w:tcPr>
            <w:tcW w:w="0" w:type="auto"/>
            <w:vAlign w:val="center"/>
            <w:hideMark/>
          </w:tcPr>
          <w:p w14:paraId="395C149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8DC90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650C66" w14:textId="77777777" w:rsidR="00000000" w:rsidRDefault="00A173A8">
            <w:pPr>
              <w:spacing w:after="100"/>
              <w:rPr>
                <w:rFonts w:eastAsia="Times New Roman"/>
                <w:sz w:val="20"/>
                <w:szCs w:val="20"/>
              </w:rPr>
            </w:pPr>
          </w:p>
        </w:tc>
        <w:tc>
          <w:tcPr>
            <w:tcW w:w="0" w:type="auto"/>
            <w:gridSpan w:val="3"/>
            <w:vAlign w:val="center"/>
            <w:hideMark/>
          </w:tcPr>
          <w:p w14:paraId="6D996125" w14:textId="77777777" w:rsidR="00000000" w:rsidRDefault="00A173A8">
            <w:pPr>
              <w:spacing w:after="100"/>
              <w:rPr>
                <w:rFonts w:eastAsia="Times New Roman"/>
                <w:sz w:val="20"/>
                <w:szCs w:val="20"/>
              </w:rPr>
            </w:pPr>
          </w:p>
        </w:tc>
        <w:tc>
          <w:tcPr>
            <w:tcW w:w="0" w:type="auto"/>
            <w:gridSpan w:val="3"/>
            <w:vAlign w:val="center"/>
            <w:hideMark/>
          </w:tcPr>
          <w:p w14:paraId="3030BC35" w14:textId="77777777" w:rsidR="00000000" w:rsidRDefault="00A173A8">
            <w:pPr>
              <w:spacing w:after="100"/>
              <w:rPr>
                <w:rFonts w:eastAsia="Times New Roman"/>
                <w:sz w:val="20"/>
                <w:szCs w:val="20"/>
              </w:rPr>
            </w:pPr>
          </w:p>
        </w:tc>
      </w:tr>
      <w:tr w:rsidR="00000000" w14:paraId="31F215DA" w14:textId="77777777">
        <w:trPr>
          <w:divId w:val="464082963"/>
        </w:trPr>
        <w:tc>
          <w:tcPr>
            <w:tcW w:w="0" w:type="auto"/>
            <w:gridSpan w:val="3"/>
            <w:shd w:val="clear" w:color="auto" w:fill="FFFFFF"/>
            <w:tcMar>
              <w:top w:w="30" w:type="dxa"/>
              <w:left w:w="245" w:type="dxa"/>
              <w:bottom w:w="30" w:type="dxa"/>
              <w:right w:w="20" w:type="dxa"/>
            </w:tcMar>
            <w:vAlign w:val="center"/>
            <w:hideMark/>
          </w:tcPr>
          <w:p w14:paraId="1AB91D73" w14:textId="77777777" w:rsidR="00000000" w:rsidRDefault="00A173A8">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4AAB770E"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F03295B"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275656A9" w14:textId="77777777" w:rsidR="00000000" w:rsidRDefault="00A173A8">
            <w:pPr>
              <w:spacing w:after="100"/>
              <w:jc w:val="right"/>
              <w:rPr>
                <w:rFonts w:eastAsia="Times New Roman"/>
              </w:rPr>
            </w:pPr>
            <w:r>
              <w:rPr>
                <w:rFonts w:eastAsia="Times New Roman"/>
                <w:b/>
                <w:bCs/>
                <w:color w:val="000000"/>
                <w:sz w:val="20"/>
                <w:szCs w:val="20"/>
              </w:rPr>
              <w:t>35,754</w:t>
            </w:r>
          </w:p>
        </w:tc>
        <w:tc>
          <w:tcPr>
            <w:tcW w:w="0" w:type="auto"/>
            <w:gridSpan w:val="3"/>
            <w:shd w:val="clear" w:color="auto" w:fill="FFFFFF"/>
            <w:tcMar>
              <w:top w:w="0" w:type="dxa"/>
              <w:left w:w="20" w:type="dxa"/>
              <w:bottom w:w="0" w:type="dxa"/>
              <w:right w:w="20" w:type="dxa"/>
            </w:tcMar>
            <w:vAlign w:val="center"/>
            <w:hideMark/>
          </w:tcPr>
          <w:p w14:paraId="364759A0"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A462CDC"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33D6AE" w14:textId="77777777" w:rsidR="00000000" w:rsidRDefault="00A173A8">
            <w:pPr>
              <w:spacing w:after="100"/>
              <w:jc w:val="right"/>
              <w:rPr>
                <w:rFonts w:eastAsia="Times New Roman"/>
              </w:rPr>
            </w:pPr>
            <w:r>
              <w:rPr>
                <w:rFonts w:eastAsia="Times New Roman"/>
                <w:color w:val="000000"/>
                <w:sz w:val="20"/>
                <w:szCs w:val="20"/>
              </w:rPr>
              <w:t>30,124 </w:t>
            </w:r>
          </w:p>
        </w:tc>
        <w:tc>
          <w:tcPr>
            <w:tcW w:w="0" w:type="auto"/>
            <w:shd w:val="clear" w:color="auto" w:fill="FFFFFF"/>
            <w:tcMar>
              <w:top w:w="30" w:type="dxa"/>
              <w:left w:w="0" w:type="dxa"/>
              <w:bottom w:w="30" w:type="dxa"/>
              <w:right w:w="20" w:type="dxa"/>
            </w:tcMar>
            <w:vAlign w:val="bottom"/>
            <w:hideMark/>
          </w:tcPr>
          <w:p w14:paraId="5CBF941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24AF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22E08A" w14:textId="77777777" w:rsidR="00000000" w:rsidRDefault="00A173A8">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14:paraId="0A0CDCD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FC06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204E2AC"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10789D41" w14:textId="77777777" w:rsidR="00000000" w:rsidRDefault="00A173A8">
            <w:pPr>
              <w:spacing w:after="100"/>
              <w:jc w:val="right"/>
              <w:rPr>
                <w:rFonts w:eastAsia="Times New Roman"/>
              </w:rPr>
            </w:pPr>
            <w:r>
              <w:rPr>
                <w:rFonts w:eastAsia="Times New Roman"/>
                <w:b/>
                <w:bCs/>
                <w:color w:val="000000"/>
                <w:sz w:val="20"/>
                <w:szCs w:val="20"/>
              </w:rPr>
              <w:t>35,215</w:t>
            </w:r>
          </w:p>
        </w:tc>
        <w:tc>
          <w:tcPr>
            <w:tcW w:w="0" w:type="auto"/>
            <w:gridSpan w:val="3"/>
            <w:shd w:val="clear" w:color="auto" w:fill="FFFFFF"/>
            <w:tcMar>
              <w:top w:w="0" w:type="dxa"/>
              <w:left w:w="20" w:type="dxa"/>
              <w:bottom w:w="0" w:type="dxa"/>
              <w:right w:w="20" w:type="dxa"/>
            </w:tcMar>
            <w:vAlign w:val="center"/>
            <w:hideMark/>
          </w:tcPr>
          <w:p w14:paraId="7E358600"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662B877"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4BA0D8" w14:textId="77777777" w:rsidR="00000000" w:rsidRDefault="00A173A8">
            <w:pPr>
              <w:spacing w:after="100"/>
              <w:jc w:val="right"/>
              <w:rPr>
                <w:rFonts w:eastAsia="Times New Roman"/>
              </w:rPr>
            </w:pPr>
            <w:r>
              <w:rPr>
                <w:rFonts w:eastAsia="Times New Roman"/>
                <w:color w:val="000000"/>
                <w:sz w:val="20"/>
                <w:szCs w:val="20"/>
              </w:rPr>
              <w:t>29,991 </w:t>
            </w:r>
          </w:p>
        </w:tc>
        <w:tc>
          <w:tcPr>
            <w:tcW w:w="0" w:type="auto"/>
            <w:shd w:val="clear" w:color="auto" w:fill="FFFFFF"/>
            <w:tcMar>
              <w:top w:w="30" w:type="dxa"/>
              <w:left w:w="0" w:type="dxa"/>
              <w:bottom w:w="30" w:type="dxa"/>
              <w:right w:w="20" w:type="dxa"/>
            </w:tcMar>
            <w:vAlign w:val="bottom"/>
            <w:hideMark/>
          </w:tcPr>
          <w:p w14:paraId="146662BA" w14:textId="77777777" w:rsidR="00000000" w:rsidRDefault="00A173A8">
            <w:pPr>
              <w:spacing w:after="100"/>
              <w:jc w:val="right"/>
              <w:rPr>
                <w:rFonts w:eastAsia="Times New Roman"/>
              </w:rPr>
            </w:pPr>
          </w:p>
        </w:tc>
        <w:tc>
          <w:tcPr>
            <w:tcW w:w="0" w:type="auto"/>
            <w:vAlign w:val="center"/>
            <w:hideMark/>
          </w:tcPr>
          <w:p w14:paraId="36E62E8C" w14:textId="77777777" w:rsidR="00000000" w:rsidRDefault="00A173A8">
            <w:pPr>
              <w:spacing w:after="100"/>
              <w:jc w:val="right"/>
              <w:rPr>
                <w:rFonts w:eastAsia="Times New Roman"/>
                <w:sz w:val="20"/>
                <w:szCs w:val="20"/>
              </w:rPr>
            </w:pPr>
          </w:p>
        </w:tc>
        <w:tc>
          <w:tcPr>
            <w:tcW w:w="0" w:type="auto"/>
            <w:vAlign w:val="center"/>
            <w:hideMark/>
          </w:tcPr>
          <w:p w14:paraId="3794747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440D1C"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B7C0E4" w14:textId="77777777" w:rsidR="00000000" w:rsidRDefault="00A173A8">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14:paraId="5A6FBCE0" w14:textId="77777777" w:rsidR="00000000" w:rsidRDefault="00A173A8">
            <w:pPr>
              <w:spacing w:after="100"/>
              <w:jc w:val="right"/>
              <w:rPr>
                <w:rFonts w:eastAsia="Times New Roman"/>
              </w:rPr>
            </w:pPr>
          </w:p>
        </w:tc>
        <w:tc>
          <w:tcPr>
            <w:tcW w:w="0" w:type="auto"/>
            <w:gridSpan w:val="3"/>
            <w:vAlign w:val="center"/>
            <w:hideMark/>
          </w:tcPr>
          <w:p w14:paraId="0BADB33F" w14:textId="77777777" w:rsidR="00000000" w:rsidRDefault="00A173A8">
            <w:pPr>
              <w:spacing w:after="100"/>
              <w:jc w:val="right"/>
              <w:rPr>
                <w:rFonts w:eastAsia="Times New Roman"/>
                <w:sz w:val="20"/>
                <w:szCs w:val="20"/>
              </w:rPr>
            </w:pPr>
          </w:p>
        </w:tc>
        <w:tc>
          <w:tcPr>
            <w:tcW w:w="0" w:type="auto"/>
            <w:gridSpan w:val="3"/>
            <w:vAlign w:val="center"/>
            <w:hideMark/>
          </w:tcPr>
          <w:p w14:paraId="21C23182" w14:textId="77777777" w:rsidR="00000000" w:rsidRDefault="00A173A8">
            <w:pPr>
              <w:spacing w:after="100"/>
              <w:rPr>
                <w:rFonts w:eastAsia="Times New Roman"/>
                <w:sz w:val="20"/>
                <w:szCs w:val="20"/>
              </w:rPr>
            </w:pPr>
          </w:p>
        </w:tc>
      </w:tr>
      <w:tr w:rsidR="00000000" w14:paraId="289665DA" w14:textId="77777777">
        <w:trPr>
          <w:divId w:val="464082963"/>
        </w:trPr>
        <w:tc>
          <w:tcPr>
            <w:tcW w:w="0" w:type="auto"/>
            <w:gridSpan w:val="3"/>
            <w:shd w:val="clear" w:color="auto" w:fill="CCEEFF"/>
            <w:tcMar>
              <w:top w:w="30" w:type="dxa"/>
              <w:left w:w="245" w:type="dxa"/>
              <w:bottom w:w="30" w:type="dxa"/>
              <w:right w:w="20" w:type="dxa"/>
            </w:tcMar>
            <w:vAlign w:val="center"/>
            <w:hideMark/>
          </w:tcPr>
          <w:p w14:paraId="2F3D2CEE" w14:textId="77777777" w:rsidR="00000000" w:rsidRDefault="00A173A8">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14:paraId="58F16D0B"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0F11CE2" w14:textId="77777777" w:rsidR="00000000" w:rsidRDefault="00A173A8">
            <w:pPr>
              <w:spacing w:after="100"/>
              <w:jc w:val="right"/>
              <w:rPr>
                <w:rFonts w:eastAsia="Times New Roman"/>
              </w:rPr>
            </w:pPr>
            <w:r>
              <w:rPr>
                <w:rFonts w:eastAsia="Times New Roman"/>
                <w:b/>
                <w:bCs/>
                <w:color w:val="000000"/>
                <w:sz w:val="20"/>
                <w:szCs w:val="20"/>
              </w:rPr>
              <w:t>53,540</w:t>
            </w:r>
          </w:p>
        </w:tc>
        <w:tc>
          <w:tcPr>
            <w:tcW w:w="0" w:type="auto"/>
            <w:gridSpan w:val="3"/>
            <w:shd w:val="clear" w:color="auto" w:fill="CCEEFF"/>
            <w:tcMar>
              <w:top w:w="0" w:type="dxa"/>
              <w:left w:w="20" w:type="dxa"/>
              <w:bottom w:w="0" w:type="dxa"/>
              <w:right w:w="20" w:type="dxa"/>
            </w:tcMar>
            <w:vAlign w:val="center"/>
            <w:hideMark/>
          </w:tcPr>
          <w:p w14:paraId="7CEDD46D"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FB60FE" w14:textId="77777777" w:rsidR="00000000" w:rsidRDefault="00A173A8">
            <w:pPr>
              <w:spacing w:after="100"/>
              <w:jc w:val="right"/>
              <w:rPr>
                <w:rFonts w:eastAsia="Times New Roman"/>
              </w:rPr>
            </w:pPr>
            <w:r>
              <w:rPr>
                <w:rFonts w:eastAsia="Times New Roman"/>
                <w:color w:val="000000"/>
                <w:sz w:val="20"/>
                <w:szCs w:val="20"/>
              </w:rPr>
              <w:t>43,960 </w:t>
            </w:r>
          </w:p>
        </w:tc>
        <w:tc>
          <w:tcPr>
            <w:tcW w:w="0" w:type="auto"/>
            <w:shd w:val="clear" w:color="auto" w:fill="CCEEFF"/>
            <w:tcMar>
              <w:top w:w="30" w:type="dxa"/>
              <w:left w:w="0" w:type="dxa"/>
              <w:bottom w:w="30" w:type="dxa"/>
              <w:right w:w="20" w:type="dxa"/>
            </w:tcMar>
            <w:vAlign w:val="bottom"/>
            <w:hideMark/>
          </w:tcPr>
          <w:p w14:paraId="28C4D2C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7FD3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19A1F5" w14:textId="77777777" w:rsidR="00000000" w:rsidRDefault="00A173A8">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50672DB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0922E"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2B04AF00" w14:textId="77777777" w:rsidR="00000000" w:rsidRDefault="00A173A8">
            <w:pPr>
              <w:spacing w:after="100"/>
              <w:jc w:val="right"/>
              <w:rPr>
                <w:rFonts w:eastAsia="Times New Roman"/>
              </w:rPr>
            </w:pPr>
            <w:r>
              <w:rPr>
                <w:rFonts w:eastAsia="Times New Roman"/>
                <w:b/>
                <w:bCs/>
                <w:color w:val="000000"/>
                <w:sz w:val="20"/>
                <w:szCs w:val="20"/>
              </w:rPr>
              <w:t>52,030</w:t>
            </w:r>
          </w:p>
        </w:tc>
        <w:tc>
          <w:tcPr>
            <w:tcW w:w="0" w:type="auto"/>
            <w:gridSpan w:val="3"/>
            <w:shd w:val="clear" w:color="auto" w:fill="CCEEFF"/>
            <w:tcMar>
              <w:top w:w="0" w:type="dxa"/>
              <w:left w:w="20" w:type="dxa"/>
              <w:bottom w:w="0" w:type="dxa"/>
              <w:right w:w="20" w:type="dxa"/>
            </w:tcMar>
            <w:vAlign w:val="center"/>
            <w:hideMark/>
          </w:tcPr>
          <w:p w14:paraId="6DBA66FE"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0E0FDE" w14:textId="77777777" w:rsidR="00000000" w:rsidRDefault="00A173A8">
            <w:pPr>
              <w:spacing w:after="100"/>
              <w:jc w:val="right"/>
              <w:rPr>
                <w:rFonts w:eastAsia="Times New Roman"/>
              </w:rPr>
            </w:pPr>
            <w:r>
              <w:rPr>
                <w:rFonts w:eastAsia="Times New Roman"/>
                <w:color w:val="000000"/>
                <w:sz w:val="20"/>
                <w:szCs w:val="20"/>
              </w:rPr>
              <w:t>44,135 </w:t>
            </w:r>
          </w:p>
        </w:tc>
        <w:tc>
          <w:tcPr>
            <w:tcW w:w="0" w:type="auto"/>
            <w:shd w:val="clear" w:color="auto" w:fill="CCEEFF"/>
            <w:tcMar>
              <w:top w:w="30" w:type="dxa"/>
              <w:left w:w="0" w:type="dxa"/>
              <w:bottom w:w="30" w:type="dxa"/>
              <w:right w:w="20" w:type="dxa"/>
            </w:tcMar>
            <w:vAlign w:val="bottom"/>
            <w:hideMark/>
          </w:tcPr>
          <w:p w14:paraId="6D837935" w14:textId="77777777" w:rsidR="00000000" w:rsidRDefault="00A173A8">
            <w:pPr>
              <w:spacing w:after="100"/>
              <w:jc w:val="right"/>
              <w:rPr>
                <w:rFonts w:eastAsia="Times New Roman"/>
              </w:rPr>
            </w:pPr>
          </w:p>
        </w:tc>
        <w:tc>
          <w:tcPr>
            <w:tcW w:w="0" w:type="auto"/>
            <w:vAlign w:val="center"/>
            <w:hideMark/>
          </w:tcPr>
          <w:p w14:paraId="67CDE3FB" w14:textId="77777777" w:rsidR="00000000" w:rsidRDefault="00A173A8">
            <w:pPr>
              <w:spacing w:after="100"/>
              <w:jc w:val="right"/>
              <w:rPr>
                <w:rFonts w:eastAsia="Times New Roman"/>
                <w:sz w:val="20"/>
                <w:szCs w:val="20"/>
              </w:rPr>
            </w:pPr>
          </w:p>
        </w:tc>
        <w:tc>
          <w:tcPr>
            <w:tcW w:w="0" w:type="auto"/>
            <w:vAlign w:val="center"/>
            <w:hideMark/>
          </w:tcPr>
          <w:p w14:paraId="60B00C9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DFF916"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63A0FA" w14:textId="77777777" w:rsidR="00000000" w:rsidRDefault="00A173A8">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64236472" w14:textId="77777777" w:rsidR="00000000" w:rsidRDefault="00A173A8">
            <w:pPr>
              <w:spacing w:after="100"/>
              <w:jc w:val="right"/>
              <w:rPr>
                <w:rFonts w:eastAsia="Times New Roman"/>
              </w:rPr>
            </w:pPr>
          </w:p>
        </w:tc>
        <w:tc>
          <w:tcPr>
            <w:tcW w:w="0" w:type="auto"/>
            <w:gridSpan w:val="3"/>
            <w:vAlign w:val="center"/>
            <w:hideMark/>
          </w:tcPr>
          <w:p w14:paraId="3CD14A26" w14:textId="77777777" w:rsidR="00000000" w:rsidRDefault="00A173A8">
            <w:pPr>
              <w:spacing w:after="100"/>
              <w:jc w:val="right"/>
              <w:rPr>
                <w:rFonts w:eastAsia="Times New Roman"/>
                <w:sz w:val="20"/>
                <w:szCs w:val="20"/>
              </w:rPr>
            </w:pPr>
          </w:p>
        </w:tc>
        <w:tc>
          <w:tcPr>
            <w:tcW w:w="0" w:type="auto"/>
            <w:gridSpan w:val="3"/>
            <w:vAlign w:val="center"/>
            <w:hideMark/>
          </w:tcPr>
          <w:p w14:paraId="44165A63" w14:textId="77777777" w:rsidR="00000000" w:rsidRDefault="00A173A8">
            <w:pPr>
              <w:spacing w:after="100"/>
              <w:rPr>
                <w:rFonts w:eastAsia="Times New Roman"/>
                <w:sz w:val="20"/>
                <w:szCs w:val="20"/>
              </w:rPr>
            </w:pPr>
          </w:p>
        </w:tc>
      </w:tr>
      <w:tr w:rsidR="00000000" w14:paraId="44CE8BD2" w14:textId="77777777">
        <w:trPr>
          <w:divId w:val="464082963"/>
        </w:trPr>
        <w:tc>
          <w:tcPr>
            <w:tcW w:w="0" w:type="auto"/>
            <w:gridSpan w:val="3"/>
            <w:vAlign w:val="center"/>
            <w:hideMark/>
          </w:tcPr>
          <w:p w14:paraId="2CCE2687" w14:textId="77777777" w:rsidR="00000000" w:rsidRDefault="00A173A8">
            <w:pPr>
              <w:spacing w:after="100"/>
              <w:rPr>
                <w:rFonts w:eastAsia="Times New Roman"/>
                <w:sz w:val="20"/>
                <w:szCs w:val="20"/>
              </w:rPr>
            </w:pPr>
          </w:p>
        </w:tc>
        <w:tc>
          <w:tcPr>
            <w:tcW w:w="0" w:type="auto"/>
            <w:gridSpan w:val="3"/>
            <w:vAlign w:val="center"/>
            <w:hideMark/>
          </w:tcPr>
          <w:p w14:paraId="7BA8C3B5" w14:textId="77777777" w:rsidR="00000000" w:rsidRDefault="00A173A8">
            <w:pPr>
              <w:spacing w:after="100"/>
              <w:rPr>
                <w:rFonts w:eastAsia="Times New Roman"/>
                <w:sz w:val="20"/>
                <w:szCs w:val="20"/>
              </w:rPr>
            </w:pPr>
          </w:p>
        </w:tc>
        <w:tc>
          <w:tcPr>
            <w:tcW w:w="0" w:type="auto"/>
            <w:gridSpan w:val="3"/>
            <w:vAlign w:val="center"/>
            <w:hideMark/>
          </w:tcPr>
          <w:p w14:paraId="1468FF93" w14:textId="77777777" w:rsidR="00000000" w:rsidRDefault="00A173A8">
            <w:pPr>
              <w:spacing w:after="100"/>
              <w:rPr>
                <w:rFonts w:eastAsia="Times New Roman"/>
                <w:sz w:val="20"/>
                <w:szCs w:val="20"/>
              </w:rPr>
            </w:pPr>
          </w:p>
        </w:tc>
        <w:tc>
          <w:tcPr>
            <w:tcW w:w="0" w:type="auto"/>
            <w:gridSpan w:val="3"/>
            <w:vAlign w:val="center"/>
            <w:hideMark/>
          </w:tcPr>
          <w:p w14:paraId="1B2177F5" w14:textId="77777777" w:rsidR="00000000" w:rsidRDefault="00A173A8">
            <w:pPr>
              <w:spacing w:after="100"/>
              <w:rPr>
                <w:rFonts w:eastAsia="Times New Roman"/>
                <w:sz w:val="20"/>
                <w:szCs w:val="20"/>
              </w:rPr>
            </w:pPr>
          </w:p>
        </w:tc>
        <w:tc>
          <w:tcPr>
            <w:tcW w:w="0" w:type="auto"/>
            <w:gridSpan w:val="3"/>
            <w:vAlign w:val="center"/>
            <w:hideMark/>
          </w:tcPr>
          <w:p w14:paraId="6E03A567" w14:textId="77777777" w:rsidR="00000000" w:rsidRDefault="00A173A8">
            <w:pPr>
              <w:spacing w:after="100"/>
              <w:rPr>
                <w:rFonts w:eastAsia="Times New Roman"/>
                <w:sz w:val="20"/>
                <w:szCs w:val="20"/>
              </w:rPr>
            </w:pPr>
          </w:p>
        </w:tc>
        <w:tc>
          <w:tcPr>
            <w:tcW w:w="0" w:type="auto"/>
            <w:gridSpan w:val="3"/>
            <w:vAlign w:val="center"/>
            <w:hideMark/>
          </w:tcPr>
          <w:p w14:paraId="1CED517D" w14:textId="77777777" w:rsidR="00000000" w:rsidRDefault="00A173A8">
            <w:pPr>
              <w:spacing w:after="100"/>
              <w:rPr>
                <w:rFonts w:eastAsia="Times New Roman"/>
                <w:sz w:val="20"/>
                <w:szCs w:val="20"/>
              </w:rPr>
            </w:pPr>
          </w:p>
        </w:tc>
        <w:tc>
          <w:tcPr>
            <w:tcW w:w="0" w:type="auto"/>
            <w:gridSpan w:val="3"/>
            <w:vAlign w:val="center"/>
            <w:hideMark/>
          </w:tcPr>
          <w:p w14:paraId="575BDFA2" w14:textId="77777777" w:rsidR="00000000" w:rsidRDefault="00A173A8">
            <w:pPr>
              <w:spacing w:after="100"/>
              <w:rPr>
                <w:rFonts w:eastAsia="Times New Roman"/>
                <w:sz w:val="20"/>
                <w:szCs w:val="20"/>
              </w:rPr>
            </w:pPr>
          </w:p>
        </w:tc>
        <w:tc>
          <w:tcPr>
            <w:tcW w:w="0" w:type="auto"/>
            <w:gridSpan w:val="3"/>
            <w:vAlign w:val="center"/>
            <w:hideMark/>
          </w:tcPr>
          <w:p w14:paraId="7A9F1EAB" w14:textId="77777777" w:rsidR="00000000" w:rsidRDefault="00A173A8">
            <w:pPr>
              <w:spacing w:after="100"/>
              <w:rPr>
                <w:rFonts w:eastAsia="Times New Roman"/>
                <w:sz w:val="20"/>
                <w:szCs w:val="20"/>
              </w:rPr>
            </w:pPr>
          </w:p>
        </w:tc>
        <w:tc>
          <w:tcPr>
            <w:tcW w:w="0" w:type="auto"/>
            <w:gridSpan w:val="3"/>
            <w:vAlign w:val="center"/>
            <w:hideMark/>
          </w:tcPr>
          <w:p w14:paraId="456877A3" w14:textId="77777777" w:rsidR="00000000" w:rsidRDefault="00A173A8">
            <w:pPr>
              <w:spacing w:after="100"/>
              <w:rPr>
                <w:rFonts w:eastAsia="Times New Roman"/>
                <w:sz w:val="20"/>
                <w:szCs w:val="20"/>
              </w:rPr>
            </w:pPr>
          </w:p>
        </w:tc>
        <w:tc>
          <w:tcPr>
            <w:tcW w:w="0" w:type="auto"/>
            <w:gridSpan w:val="3"/>
            <w:vAlign w:val="center"/>
            <w:hideMark/>
          </w:tcPr>
          <w:p w14:paraId="53C2893F" w14:textId="77777777" w:rsidR="00000000" w:rsidRDefault="00A173A8">
            <w:pPr>
              <w:spacing w:after="100"/>
              <w:rPr>
                <w:rFonts w:eastAsia="Times New Roman"/>
                <w:sz w:val="20"/>
                <w:szCs w:val="20"/>
              </w:rPr>
            </w:pPr>
          </w:p>
        </w:tc>
        <w:tc>
          <w:tcPr>
            <w:tcW w:w="0" w:type="auto"/>
            <w:gridSpan w:val="3"/>
            <w:vAlign w:val="center"/>
            <w:hideMark/>
          </w:tcPr>
          <w:p w14:paraId="69181857" w14:textId="77777777" w:rsidR="00000000" w:rsidRDefault="00A173A8">
            <w:pPr>
              <w:spacing w:after="100"/>
              <w:rPr>
                <w:rFonts w:eastAsia="Times New Roman"/>
                <w:sz w:val="20"/>
                <w:szCs w:val="20"/>
              </w:rPr>
            </w:pPr>
          </w:p>
        </w:tc>
        <w:tc>
          <w:tcPr>
            <w:tcW w:w="0" w:type="auto"/>
            <w:vAlign w:val="center"/>
            <w:hideMark/>
          </w:tcPr>
          <w:p w14:paraId="5C6AB55E" w14:textId="77777777" w:rsidR="00000000" w:rsidRDefault="00A173A8">
            <w:pPr>
              <w:spacing w:after="100"/>
              <w:rPr>
                <w:rFonts w:eastAsia="Times New Roman"/>
                <w:sz w:val="20"/>
                <w:szCs w:val="20"/>
              </w:rPr>
            </w:pPr>
          </w:p>
        </w:tc>
        <w:tc>
          <w:tcPr>
            <w:tcW w:w="0" w:type="auto"/>
            <w:vAlign w:val="center"/>
            <w:hideMark/>
          </w:tcPr>
          <w:p w14:paraId="04BCC958" w14:textId="77777777" w:rsidR="00000000" w:rsidRDefault="00A173A8">
            <w:pPr>
              <w:spacing w:after="100"/>
              <w:rPr>
                <w:rFonts w:eastAsia="Times New Roman"/>
                <w:sz w:val="20"/>
                <w:szCs w:val="20"/>
              </w:rPr>
            </w:pPr>
          </w:p>
        </w:tc>
        <w:tc>
          <w:tcPr>
            <w:tcW w:w="0" w:type="auto"/>
            <w:gridSpan w:val="3"/>
            <w:vAlign w:val="center"/>
            <w:hideMark/>
          </w:tcPr>
          <w:p w14:paraId="5984E18D" w14:textId="77777777" w:rsidR="00000000" w:rsidRDefault="00A173A8">
            <w:pPr>
              <w:spacing w:after="100"/>
              <w:rPr>
                <w:rFonts w:eastAsia="Times New Roman"/>
                <w:sz w:val="20"/>
                <w:szCs w:val="20"/>
              </w:rPr>
            </w:pPr>
          </w:p>
        </w:tc>
        <w:tc>
          <w:tcPr>
            <w:tcW w:w="0" w:type="auto"/>
            <w:gridSpan w:val="3"/>
            <w:vAlign w:val="center"/>
            <w:hideMark/>
          </w:tcPr>
          <w:p w14:paraId="59CDBAFC" w14:textId="77777777" w:rsidR="00000000" w:rsidRDefault="00A173A8">
            <w:pPr>
              <w:spacing w:after="100"/>
              <w:rPr>
                <w:rFonts w:eastAsia="Times New Roman"/>
                <w:sz w:val="20"/>
                <w:szCs w:val="20"/>
              </w:rPr>
            </w:pPr>
          </w:p>
        </w:tc>
        <w:tc>
          <w:tcPr>
            <w:tcW w:w="0" w:type="auto"/>
            <w:gridSpan w:val="3"/>
            <w:vAlign w:val="center"/>
            <w:hideMark/>
          </w:tcPr>
          <w:p w14:paraId="448B2A71" w14:textId="77777777" w:rsidR="00000000" w:rsidRDefault="00A173A8">
            <w:pPr>
              <w:spacing w:after="100"/>
              <w:rPr>
                <w:rFonts w:eastAsia="Times New Roman"/>
                <w:sz w:val="20"/>
                <w:szCs w:val="20"/>
              </w:rPr>
            </w:pPr>
          </w:p>
        </w:tc>
        <w:tc>
          <w:tcPr>
            <w:tcW w:w="0" w:type="auto"/>
            <w:gridSpan w:val="3"/>
            <w:vAlign w:val="center"/>
            <w:hideMark/>
          </w:tcPr>
          <w:p w14:paraId="29E8032D" w14:textId="77777777" w:rsidR="00000000" w:rsidRDefault="00A173A8">
            <w:pPr>
              <w:spacing w:after="100"/>
              <w:rPr>
                <w:rFonts w:eastAsia="Times New Roman"/>
                <w:sz w:val="20"/>
                <w:szCs w:val="20"/>
              </w:rPr>
            </w:pPr>
          </w:p>
        </w:tc>
      </w:tr>
      <w:tr w:rsidR="00000000" w14:paraId="6B6F7FF9" w14:textId="77777777">
        <w:trPr>
          <w:divId w:val="464082963"/>
        </w:trPr>
        <w:tc>
          <w:tcPr>
            <w:tcW w:w="0" w:type="auto"/>
            <w:gridSpan w:val="3"/>
            <w:vAlign w:val="center"/>
            <w:hideMark/>
          </w:tcPr>
          <w:p w14:paraId="42D6D327" w14:textId="77777777" w:rsidR="00000000" w:rsidRDefault="00A173A8">
            <w:pPr>
              <w:spacing w:after="100"/>
              <w:rPr>
                <w:rFonts w:eastAsia="Times New Roman"/>
                <w:sz w:val="20"/>
                <w:szCs w:val="20"/>
              </w:rPr>
            </w:pPr>
          </w:p>
        </w:tc>
        <w:tc>
          <w:tcPr>
            <w:tcW w:w="0" w:type="auto"/>
            <w:gridSpan w:val="3"/>
            <w:vAlign w:val="center"/>
            <w:hideMark/>
          </w:tcPr>
          <w:p w14:paraId="466F4D2B" w14:textId="77777777" w:rsidR="00000000" w:rsidRDefault="00A173A8">
            <w:pPr>
              <w:spacing w:after="100"/>
              <w:rPr>
                <w:rFonts w:eastAsia="Times New Roman"/>
                <w:sz w:val="20"/>
                <w:szCs w:val="20"/>
              </w:rPr>
            </w:pPr>
          </w:p>
        </w:tc>
        <w:tc>
          <w:tcPr>
            <w:tcW w:w="0" w:type="auto"/>
            <w:gridSpan w:val="3"/>
            <w:vAlign w:val="center"/>
            <w:hideMark/>
          </w:tcPr>
          <w:p w14:paraId="36F047D5" w14:textId="77777777" w:rsidR="00000000" w:rsidRDefault="00A173A8">
            <w:pPr>
              <w:spacing w:after="100"/>
              <w:rPr>
                <w:rFonts w:eastAsia="Times New Roman"/>
                <w:sz w:val="20"/>
                <w:szCs w:val="20"/>
              </w:rPr>
            </w:pPr>
          </w:p>
        </w:tc>
        <w:tc>
          <w:tcPr>
            <w:tcW w:w="0" w:type="auto"/>
            <w:gridSpan w:val="3"/>
            <w:vAlign w:val="center"/>
            <w:hideMark/>
          </w:tcPr>
          <w:p w14:paraId="3B008EB8" w14:textId="77777777" w:rsidR="00000000" w:rsidRDefault="00A173A8">
            <w:pPr>
              <w:spacing w:after="100"/>
              <w:rPr>
                <w:rFonts w:eastAsia="Times New Roman"/>
                <w:sz w:val="20"/>
                <w:szCs w:val="20"/>
              </w:rPr>
            </w:pPr>
          </w:p>
        </w:tc>
        <w:tc>
          <w:tcPr>
            <w:tcW w:w="0" w:type="auto"/>
            <w:gridSpan w:val="3"/>
            <w:vAlign w:val="center"/>
            <w:hideMark/>
          </w:tcPr>
          <w:p w14:paraId="1F70089B" w14:textId="77777777" w:rsidR="00000000" w:rsidRDefault="00A173A8">
            <w:pPr>
              <w:spacing w:after="100"/>
              <w:rPr>
                <w:rFonts w:eastAsia="Times New Roman"/>
                <w:sz w:val="20"/>
                <w:szCs w:val="20"/>
              </w:rPr>
            </w:pPr>
          </w:p>
        </w:tc>
        <w:tc>
          <w:tcPr>
            <w:tcW w:w="0" w:type="auto"/>
            <w:gridSpan w:val="3"/>
            <w:vAlign w:val="center"/>
            <w:hideMark/>
          </w:tcPr>
          <w:p w14:paraId="2806DB08" w14:textId="77777777" w:rsidR="00000000" w:rsidRDefault="00A173A8">
            <w:pPr>
              <w:spacing w:after="100"/>
              <w:rPr>
                <w:rFonts w:eastAsia="Times New Roman"/>
                <w:sz w:val="20"/>
                <w:szCs w:val="20"/>
              </w:rPr>
            </w:pPr>
          </w:p>
        </w:tc>
        <w:tc>
          <w:tcPr>
            <w:tcW w:w="0" w:type="auto"/>
            <w:gridSpan w:val="3"/>
            <w:vAlign w:val="center"/>
            <w:hideMark/>
          </w:tcPr>
          <w:p w14:paraId="2A0D88A4" w14:textId="77777777" w:rsidR="00000000" w:rsidRDefault="00A173A8">
            <w:pPr>
              <w:spacing w:after="100"/>
              <w:rPr>
                <w:rFonts w:eastAsia="Times New Roman"/>
                <w:sz w:val="20"/>
                <w:szCs w:val="20"/>
              </w:rPr>
            </w:pPr>
          </w:p>
        </w:tc>
        <w:tc>
          <w:tcPr>
            <w:tcW w:w="0" w:type="auto"/>
            <w:gridSpan w:val="3"/>
            <w:vAlign w:val="center"/>
            <w:hideMark/>
          </w:tcPr>
          <w:p w14:paraId="643FC109" w14:textId="77777777" w:rsidR="00000000" w:rsidRDefault="00A173A8">
            <w:pPr>
              <w:spacing w:after="100"/>
              <w:rPr>
                <w:rFonts w:eastAsia="Times New Roman"/>
                <w:sz w:val="20"/>
                <w:szCs w:val="20"/>
              </w:rPr>
            </w:pPr>
          </w:p>
        </w:tc>
        <w:tc>
          <w:tcPr>
            <w:tcW w:w="0" w:type="auto"/>
            <w:gridSpan w:val="3"/>
            <w:vAlign w:val="center"/>
            <w:hideMark/>
          </w:tcPr>
          <w:p w14:paraId="7CDD5EB7" w14:textId="77777777" w:rsidR="00000000" w:rsidRDefault="00A173A8">
            <w:pPr>
              <w:spacing w:after="100"/>
              <w:rPr>
                <w:rFonts w:eastAsia="Times New Roman"/>
                <w:sz w:val="20"/>
                <w:szCs w:val="20"/>
              </w:rPr>
            </w:pPr>
          </w:p>
        </w:tc>
        <w:tc>
          <w:tcPr>
            <w:tcW w:w="0" w:type="auto"/>
            <w:gridSpan w:val="3"/>
            <w:vAlign w:val="center"/>
            <w:hideMark/>
          </w:tcPr>
          <w:p w14:paraId="53879AA0" w14:textId="77777777" w:rsidR="00000000" w:rsidRDefault="00A173A8">
            <w:pPr>
              <w:spacing w:after="100"/>
              <w:rPr>
                <w:rFonts w:eastAsia="Times New Roman"/>
                <w:sz w:val="20"/>
                <w:szCs w:val="20"/>
              </w:rPr>
            </w:pPr>
          </w:p>
        </w:tc>
        <w:tc>
          <w:tcPr>
            <w:tcW w:w="0" w:type="auto"/>
            <w:gridSpan w:val="3"/>
            <w:vAlign w:val="center"/>
            <w:hideMark/>
          </w:tcPr>
          <w:p w14:paraId="1443C79E" w14:textId="77777777" w:rsidR="00000000" w:rsidRDefault="00A173A8">
            <w:pPr>
              <w:spacing w:after="100"/>
              <w:rPr>
                <w:rFonts w:eastAsia="Times New Roman"/>
                <w:sz w:val="20"/>
                <w:szCs w:val="20"/>
              </w:rPr>
            </w:pPr>
          </w:p>
        </w:tc>
        <w:tc>
          <w:tcPr>
            <w:tcW w:w="0" w:type="auto"/>
            <w:vAlign w:val="center"/>
            <w:hideMark/>
          </w:tcPr>
          <w:p w14:paraId="074DA390" w14:textId="77777777" w:rsidR="00000000" w:rsidRDefault="00A173A8">
            <w:pPr>
              <w:spacing w:after="100"/>
              <w:rPr>
                <w:rFonts w:eastAsia="Times New Roman"/>
                <w:sz w:val="20"/>
                <w:szCs w:val="20"/>
              </w:rPr>
            </w:pPr>
          </w:p>
        </w:tc>
        <w:tc>
          <w:tcPr>
            <w:tcW w:w="0" w:type="auto"/>
            <w:vAlign w:val="center"/>
            <w:hideMark/>
          </w:tcPr>
          <w:p w14:paraId="48887067" w14:textId="77777777" w:rsidR="00000000" w:rsidRDefault="00A173A8">
            <w:pPr>
              <w:spacing w:after="100"/>
              <w:rPr>
                <w:rFonts w:eastAsia="Times New Roman"/>
                <w:sz w:val="20"/>
                <w:szCs w:val="20"/>
              </w:rPr>
            </w:pPr>
          </w:p>
        </w:tc>
        <w:tc>
          <w:tcPr>
            <w:tcW w:w="0" w:type="auto"/>
            <w:gridSpan w:val="3"/>
            <w:vAlign w:val="center"/>
            <w:hideMark/>
          </w:tcPr>
          <w:p w14:paraId="354CF5E3" w14:textId="77777777" w:rsidR="00000000" w:rsidRDefault="00A173A8">
            <w:pPr>
              <w:spacing w:after="100"/>
              <w:rPr>
                <w:rFonts w:eastAsia="Times New Roman"/>
                <w:sz w:val="20"/>
                <w:szCs w:val="20"/>
              </w:rPr>
            </w:pPr>
          </w:p>
        </w:tc>
        <w:tc>
          <w:tcPr>
            <w:tcW w:w="0" w:type="auto"/>
            <w:gridSpan w:val="3"/>
            <w:vAlign w:val="center"/>
            <w:hideMark/>
          </w:tcPr>
          <w:p w14:paraId="6481D077" w14:textId="77777777" w:rsidR="00000000" w:rsidRDefault="00A173A8">
            <w:pPr>
              <w:spacing w:after="100"/>
              <w:rPr>
                <w:rFonts w:eastAsia="Times New Roman"/>
                <w:sz w:val="20"/>
                <w:szCs w:val="20"/>
              </w:rPr>
            </w:pPr>
          </w:p>
        </w:tc>
        <w:tc>
          <w:tcPr>
            <w:tcW w:w="0" w:type="auto"/>
            <w:gridSpan w:val="3"/>
            <w:vAlign w:val="center"/>
            <w:hideMark/>
          </w:tcPr>
          <w:p w14:paraId="63275E9D" w14:textId="77777777" w:rsidR="00000000" w:rsidRDefault="00A173A8">
            <w:pPr>
              <w:spacing w:after="100"/>
              <w:rPr>
                <w:rFonts w:eastAsia="Times New Roman"/>
                <w:sz w:val="20"/>
                <w:szCs w:val="20"/>
              </w:rPr>
            </w:pPr>
          </w:p>
        </w:tc>
        <w:tc>
          <w:tcPr>
            <w:tcW w:w="0" w:type="auto"/>
            <w:gridSpan w:val="3"/>
            <w:vAlign w:val="center"/>
            <w:hideMark/>
          </w:tcPr>
          <w:p w14:paraId="786590C3" w14:textId="77777777" w:rsidR="00000000" w:rsidRDefault="00A173A8">
            <w:pPr>
              <w:spacing w:after="100"/>
              <w:rPr>
                <w:rFonts w:eastAsia="Times New Roman"/>
                <w:sz w:val="20"/>
                <w:szCs w:val="20"/>
              </w:rPr>
            </w:pPr>
          </w:p>
        </w:tc>
      </w:tr>
      <w:tr w:rsidR="00000000" w14:paraId="68326C6D" w14:textId="77777777">
        <w:trPr>
          <w:divId w:val="464082963"/>
        </w:trPr>
        <w:tc>
          <w:tcPr>
            <w:tcW w:w="0" w:type="auto"/>
            <w:gridSpan w:val="3"/>
            <w:shd w:val="clear" w:color="auto" w:fill="FFFFFF"/>
            <w:tcMar>
              <w:top w:w="30" w:type="dxa"/>
              <w:left w:w="20" w:type="dxa"/>
              <w:bottom w:w="30" w:type="dxa"/>
              <w:right w:w="20" w:type="dxa"/>
            </w:tcMar>
            <w:vAlign w:val="center"/>
            <w:hideMark/>
          </w:tcPr>
          <w:p w14:paraId="2F8D6C78" w14:textId="77777777" w:rsidR="00000000" w:rsidRDefault="00A173A8">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14:paraId="5F86F88E"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FA4BEE"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383FDC54" w14:textId="77777777" w:rsidR="00000000" w:rsidRDefault="00A173A8">
            <w:pPr>
              <w:spacing w:after="100"/>
              <w:jc w:val="right"/>
              <w:rPr>
                <w:rFonts w:eastAsia="Times New Roman"/>
              </w:rPr>
            </w:pPr>
            <w:r>
              <w:rPr>
                <w:rFonts w:eastAsia="Times New Roman"/>
                <w:b/>
                <w:bCs/>
                <w:color w:val="000000"/>
                <w:sz w:val="20"/>
                <w:szCs w:val="20"/>
              </w:rPr>
              <w:t>89,294</w:t>
            </w:r>
          </w:p>
        </w:tc>
        <w:tc>
          <w:tcPr>
            <w:tcW w:w="0" w:type="auto"/>
            <w:gridSpan w:val="3"/>
            <w:shd w:val="clear" w:color="auto" w:fill="FFFFFF"/>
            <w:tcMar>
              <w:top w:w="0" w:type="dxa"/>
              <w:left w:w="20" w:type="dxa"/>
              <w:bottom w:w="0" w:type="dxa"/>
              <w:right w:w="20" w:type="dxa"/>
            </w:tcMar>
            <w:vAlign w:val="center"/>
            <w:hideMark/>
          </w:tcPr>
          <w:p w14:paraId="04F44774" w14:textId="77777777" w:rsidR="00000000" w:rsidRDefault="00A173A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65E4D0"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07D7D5" w14:textId="77777777" w:rsidR="00000000" w:rsidRDefault="00A173A8">
            <w:pPr>
              <w:spacing w:after="100"/>
              <w:jc w:val="right"/>
              <w:rPr>
                <w:rFonts w:eastAsia="Times New Roman"/>
              </w:rPr>
            </w:pPr>
            <w:r>
              <w:rPr>
                <w:rFonts w:eastAsia="Times New Roman"/>
                <w:color w:val="000000"/>
                <w:sz w:val="20"/>
                <w:szCs w:val="20"/>
              </w:rPr>
              <w:t>74,084 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EFB8C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19A0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CF5E5A" w14:textId="77777777" w:rsidR="00000000" w:rsidRDefault="00A173A8">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14:paraId="0E63920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6605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0A300F"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AE29C79" w14:textId="77777777" w:rsidR="00000000" w:rsidRDefault="00A173A8">
            <w:pPr>
              <w:spacing w:after="100"/>
              <w:jc w:val="right"/>
              <w:rPr>
                <w:rFonts w:eastAsia="Times New Roman"/>
              </w:rPr>
            </w:pPr>
            <w:r>
              <w:rPr>
                <w:rFonts w:eastAsia="Times New Roman"/>
                <w:b/>
                <w:bCs/>
                <w:color w:val="000000"/>
                <w:sz w:val="20"/>
                <w:szCs w:val="20"/>
              </w:rPr>
              <w:t>87,245</w:t>
            </w:r>
          </w:p>
        </w:tc>
        <w:tc>
          <w:tcPr>
            <w:tcW w:w="0" w:type="auto"/>
            <w:gridSpan w:val="3"/>
            <w:shd w:val="clear" w:color="auto" w:fill="FFFFFF"/>
            <w:tcMar>
              <w:top w:w="0" w:type="dxa"/>
              <w:left w:w="20" w:type="dxa"/>
              <w:bottom w:w="0" w:type="dxa"/>
              <w:right w:w="20" w:type="dxa"/>
            </w:tcMar>
            <w:vAlign w:val="center"/>
            <w:hideMark/>
          </w:tcPr>
          <w:p w14:paraId="02998C74" w14:textId="77777777" w:rsidR="00000000" w:rsidRDefault="00A173A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ADDDFC"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29EDF5" w14:textId="77777777" w:rsidR="00000000" w:rsidRDefault="00A173A8">
            <w:pPr>
              <w:spacing w:after="100"/>
              <w:jc w:val="right"/>
              <w:rPr>
                <w:rFonts w:eastAsia="Times New Roman"/>
              </w:rPr>
            </w:pPr>
            <w:r>
              <w:rPr>
                <w:rFonts w:eastAsia="Times New Roman"/>
                <w:color w:val="000000"/>
                <w:sz w:val="20"/>
                <w:szCs w:val="20"/>
              </w:rPr>
              <w:t>74,126 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9A9F95" w14:textId="77777777" w:rsidR="00000000" w:rsidRDefault="00A173A8">
            <w:pPr>
              <w:spacing w:after="100"/>
              <w:jc w:val="right"/>
              <w:rPr>
                <w:rFonts w:eastAsia="Times New Roman"/>
              </w:rPr>
            </w:pPr>
          </w:p>
        </w:tc>
        <w:tc>
          <w:tcPr>
            <w:tcW w:w="0" w:type="auto"/>
            <w:vAlign w:val="center"/>
            <w:hideMark/>
          </w:tcPr>
          <w:p w14:paraId="21E8C6DC" w14:textId="77777777" w:rsidR="00000000" w:rsidRDefault="00A173A8">
            <w:pPr>
              <w:spacing w:after="100"/>
              <w:jc w:val="right"/>
              <w:rPr>
                <w:rFonts w:eastAsia="Times New Roman"/>
                <w:sz w:val="20"/>
                <w:szCs w:val="20"/>
              </w:rPr>
            </w:pPr>
          </w:p>
        </w:tc>
        <w:tc>
          <w:tcPr>
            <w:tcW w:w="0" w:type="auto"/>
            <w:vAlign w:val="center"/>
            <w:hideMark/>
          </w:tcPr>
          <w:p w14:paraId="7A21B47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146109"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DB9E90" w14:textId="77777777" w:rsidR="00000000" w:rsidRDefault="00A173A8">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14:paraId="565EE3BC" w14:textId="77777777" w:rsidR="00000000" w:rsidRDefault="00A173A8">
            <w:pPr>
              <w:spacing w:after="100"/>
              <w:jc w:val="right"/>
              <w:rPr>
                <w:rFonts w:eastAsia="Times New Roman"/>
              </w:rPr>
            </w:pPr>
          </w:p>
        </w:tc>
        <w:tc>
          <w:tcPr>
            <w:tcW w:w="0" w:type="auto"/>
            <w:gridSpan w:val="3"/>
            <w:vAlign w:val="center"/>
            <w:hideMark/>
          </w:tcPr>
          <w:p w14:paraId="11539305" w14:textId="77777777" w:rsidR="00000000" w:rsidRDefault="00A173A8">
            <w:pPr>
              <w:spacing w:after="100"/>
              <w:jc w:val="right"/>
              <w:rPr>
                <w:rFonts w:eastAsia="Times New Roman"/>
                <w:sz w:val="20"/>
                <w:szCs w:val="20"/>
              </w:rPr>
            </w:pPr>
          </w:p>
        </w:tc>
        <w:tc>
          <w:tcPr>
            <w:tcW w:w="0" w:type="auto"/>
            <w:gridSpan w:val="3"/>
            <w:vAlign w:val="center"/>
            <w:hideMark/>
          </w:tcPr>
          <w:p w14:paraId="4E3BD39F" w14:textId="77777777" w:rsidR="00000000" w:rsidRDefault="00A173A8">
            <w:pPr>
              <w:spacing w:after="100"/>
              <w:rPr>
                <w:rFonts w:eastAsia="Times New Roman"/>
                <w:sz w:val="20"/>
                <w:szCs w:val="20"/>
              </w:rPr>
            </w:pPr>
          </w:p>
        </w:tc>
      </w:tr>
      <w:tr w:rsidR="00000000" w14:paraId="2405121C" w14:textId="77777777">
        <w:trPr>
          <w:divId w:val="464082963"/>
        </w:trPr>
        <w:tc>
          <w:tcPr>
            <w:tcW w:w="0" w:type="auto"/>
            <w:gridSpan w:val="3"/>
            <w:shd w:val="clear" w:color="auto" w:fill="CCEEFF"/>
            <w:tcMar>
              <w:top w:w="30" w:type="dxa"/>
              <w:left w:w="20" w:type="dxa"/>
              <w:bottom w:w="30" w:type="dxa"/>
              <w:right w:w="20" w:type="dxa"/>
            </w:tcMar>
            <w:vAlign w:val="center"/>
            <w:hideMark/>
          </w:tcPr>
          <w:p w14:paraId="7176807D" w14:textId="77777777" w:rsidR="00000000" w:rsidRDefault="00A173A8">
            <w:pPr>
              <w:spacing w:after="100"/>
              <w:divId w:val="2011786041"/>
              <w:rPr>
                <w:rFonts w:eastAsia="Times New Roman"/>
              </w:rPr>
            </w:pPr>
            <w:r>
              <w:rPr>
                <w:rFonts w:eastAsia="Times New Roman"/>
                <w:color w:val="000000"/>
                <w:sz w:val="20"/>
                <w:szCs w:val="20"/>
              </w:rPr>
              <w:t>Average yield on loans held for investmen</w:t>
            </w:r>
            <w:r>
              <w:rPr>
                <w:rFonts w:eastAsia="Times New Roman"/>
                <w:color w:val="000000"/>
                <w:sz w:val="20"/>
                <w:szCs w:val="20"/>
              </w:rPr>
              <w:t>t</w:t>
            </w:r>
            <w:r>
              <w:rPr>
                <w:rFonts w:eastAsia="Times New Roman"/>
                <w:color w:val="000000"/>
                <w:sz w:val="13"/>
                <w:szCs w:val="13"/>
              </w:rPr>
              <w:t>(1)(3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6A2C3504" w14:textId="77777777" w:rsidR="00000000" w:rsidRDefault="00A173A8">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CFAD32A" w14:textId="77777777" w:rsidR="00000000" w:rsidRDefault="00A173A8">
            <w:pPr>
              <w:spacing w:after="100"/>
              <w:jc w:val="right"/>
              <w:rPr>
                <w:rFonts w:eastAsia="Times New Roman"/>
              </w:rPr>
            </w:pPr>
            <w:r>
              <w:rPr>
                <w:rFonts w:eastAsia="Times New Roman"/>
                <w:b/>
                <w:bCs/>
                <w:color w:val="000000"/>
                <w:sz w:val="20"/>
                <w:szCs w:val="20"/>
              </w:rPr>
              <w:t>3.18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D83BDA2"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20EE5B7" w14:textId="77777777" w:rsidR="00000000" w:rsidRDefault="00A173A8">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08F6CAE" w14:textId="77777777" w:rsidR="00000000" w:rsidRDefault="00A173A8">
            <w:pPr>
              <w:spacing w:after="100"/>
              <w:jc w:val="right"/>
              <w:rPr>
                <w:rFonts w:eastAsia="Times New Roman"/>
              </w:rPr>
            </w:pPr>
            <w:r>
              <w:rPr>
                <w:rFonts w:eastAsia="Times New Roman"/>
                <w:color w:val="000000"/>
                <w:sz w:val="20"/>
                <w:szCs w:val="20"/>
              </w:rPr>
              <w:t>2.72 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94928D4"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6B009C8"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A742368" w14:textId="77777777" w:rsidR="00000000" w:rsidRDefault="00A173A8">
            <w:pPr>
              <w:spacing w:after="100"/>
              <w:jc w:val="right"/>
              <w:rPr>
                <w:rFonts w:eastAsia="Times New Roman"/>
              </w:rPr>
            </w:pPr>
            <w:r>
              <w:rPr>
                <w:rFonts w:eastAsia="Times New Roman"/>
                <w:color w:val="000000"/>
                <w:sz w:val="20"/>
                <w:szCs w:val="20"/>
              </w:rPr>
              <w:t>46bps</w:t>
            </w:r>
          </w:p>
        </w:tc>
        <w:tc>
          <w:tcPr>
            <w:tcW w:w="0" w:type="auto"/>
            <w:gridSpan w:val="3"/>
            <w:shd w:val="clear" w:color="auto" w:fill="CCEEFF"/>
            <w:tcMar>
              <w:top w:w="0" w:type="dxa"/>
              <w:left w:w="20" w:type="dxa"/>
              <w:bottom w:w="0" w:type="dxa"/>
              <w:right w:w="20" w:type="dxa"/>
            </w:tcMar>
            <w:vAlign w:val="center"/>
            <w:hideMark/>
          </w:tcPr>
          <w:p w14:paraId="347F4066"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0D646F3" w14:textId="77777777" w:rsidR="00000000" w:rsidRDefault="00A173A8">
            <w:pPr>
              <w:spacing w:after="100"/>
              <w:jc w:val="right"/>
              <w:rPr>
                <w:rFonts w:eastAsia="Times New Roman"/>
              </w:rPr>
            </w:pPr>
            <w:r>
              <w:rPr>
                <w:rFonts w:eastAsia="Times New Roman"/>
                <w:b/>
                <w:bCs/>
                <w:color w:val="000000"/>
                <w:sz w:val="20"/>
                <w:szCs w:val="20"/>
              </w:rPr>
              <w:t>2.92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76C8D1B"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A6DFA74" w14:textId="77777777" w:rsidR="00000000" w:rsidRDefault="00A173A8">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82E3672" w14:textId="77777777" w:rsidR="00000000" w:rsidRDefault="00A173A8">
            <w:pPr>
              <w:spacing w:after="100"/>
              <w:jc w:val="right"/>
              <w:rPr>
                <w:rFonts w:eastAsia="Times New Roman"/>
              </w:rPr>
            </w:pPr>
            <w:r>
              <w:rPr>
                <w:rFonts w:eastAsia="Times New Roman"/>
                <w:color w:val="000000"/>
                <w:sz w:val="20"/>
                <w:szCs w:val="20"/>
              </w:rPr>
              <w:t>2.74 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FEB6205"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441C32E8" w14:textId="77777777" w:rsidR="00000000" w:rsidRDefault="00A173A8">
            <w:pPr>
              <w:spacing w:after="100"/>
              <w:jc w:val="right"/>
              <w:rPr>
                <w:rFonts w:eastAsia="Times New Roman"/>
              </w:rPr>
            </w:pPr>
          </w:p>
        </w:tc>
        <w:tc>
          <w:tcPr>
            <w:tcW w:w="0" w:type="auto"/>
            <w:vAlign w:val="center"/>
            <w:hideMark/>
          </w:tcPr>
          <w:p w14:paraId="08D9C70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B400E0"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05925BDC" w14:textId="77777777" w:rsidR="00000000" w:rsidRDefault="00A173A8">
            <w:pPr>
              <w:spacing w:after="100"/>
              <w:jc w:val="right"/>
              <w:rPr>
                <w:rFonts w:eastAsia="Times New Roman"/>
              </w:rPr>
            </w:pPr>
            <w:r>
              <w:rPr>
                <w:rFonts w:eastAsia="Times New Roman"/>
                <w:color w:val="000000"/>
                <w:sz w:val="20"/>
                <w:szCs w:val="20"/>
              </w:rPr>
              <w:t>18bps</w:t>
            </w:r>
          </w:p>
        </w:tc>
        <w:tc>
          <w:tcPr>
            <w:tcW w:w="0" w:type="auto"/>
            <w:gridSpan w:val="3"/>
            <w:vAlign w:val="center"/>
            <w:hideMark/>
          </w:tcPr>
          <w:p w14:paraId="5ADAA92A" w14:textId="77777777" w:rsidR="00000000" w:rsidRDefault="00A173A8">
            <w:pPr>
              <w:spacing w:after="100"/>
              <w:jc w:val="right"/>
              <w:rPr>
                <w:rFonts w:eastAsia="Times New Roman"/>
              </w:rPr>
            </w:pPr>
          </w:p>
        </w:tc>
        <w:tc>
          <w:tcPr>
            <w:tcW w:w="0" w:type="auto"/>
            <w:gridSpan w:val="3"/>
            <w:vAlign w:val="center"/>
            <w:hideMark/>
          </w:tcPr>
          <w:p w14:paraId="11988A7A" w14:textId="77777777" w:rsidR="00000000" w:rsidRDefault="00A173A8">
            <w:pPr>
              <w:spacing w:after="100"/>
              <w:rPr>
                <w:rFonts w:eastAsia="Times New Roman"/>
                <w:sz w:val="20"/>
                <w:szCs w:val="20"/>
              </w:rPr>
            </w:pPr>
          </w:p>
        </w:tc>
      </w:tr>
      <w:tr w:rsidR="00000000" w14:paraId="287AAD4A" w14:textId="77777777">
        <w:trPr>
          <w:divId w:val="464082963"/>
        </w:trPr>
        <w:tc>
          <w:tcPr>
            <w:tcW w:w="0" w:type="auto"/>
            <w:gridSpan w:val="3"/>
            <w:shd w:val="clear" w:color="auto" w:fill="FFFFFF"/>
            <w:tcMar>
              <w:top w:w="30" w:type="dxa"/>
              <w:left w:w="20" w:type="dxa"/>
              <w:bottom w:w="30" w:type="dxa"/>
              <w:right w:w="20" w:type="dxa"/>
            </w:tcMar>
            <w:vAlign w:val="center"/>
            <w:hideMark/>
          </w:tcPr>
          <w:p w14:paraId="719480F4" w14:textId="77777777" w:rsidR="00000000" w:rsidRDefault="00A173A8">
            <w:pPr>
              <w:spacing w:after="100"/>
              <w:rPr>
                <w:rFonts w:eastAsia="Times New Roman"/>
              </w:rPr>
            </w:pPr>
            <w:r>
              <w:rPr>
                <w:rFonts w:eastAsia="Times New Roman"/>
                <w:color w:val="000000"/>
                <w:sz w:val="20"/>
                <w:szCs w:val="20"/>
              </w:rPr>
              <w:t>Average deposits</w:t>
            </w:r>
          </w:p>
        </w:tc>
        <w:tc>
          <w:tcPr>
            <w:tcW w:w="0" w:type="auto"/>
            <w:gridSpan w:val="3"/>
            <w:shd w:val="clear" w:color="auto" w:fill="FFFFFF"/>
            <w:tcMar>
              <w:top w:w="0" w:type="dxa"/>
              <w:left w:w="20" w:type="dxa"/>
              <w:bottom w:w="0" w:type="dxa"/>
              <w:right w:w="20" w:type="dxa"/>
            </w:tcMar>
            <w:vAlign w:val="center"/>
            <w:hideMark/>
          </w:tcPr>
          <w:p w14:paraId="6924071A"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6315108"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4CFE588D" w14:textId="77777777" w:rsidR="00000000" w:rsidRDefault="00A173A8">
            <w:pPr>
              <w:spacing w:after="100"/>
              <w:jc w:val="right"/>
              <w:rPr>
                <w:rFonts w:eastAsia="Times New Roman"/>
              </w:rPr>
            </w:pPr>
            <w:r>
              <w:rPr>
                <w:rFonts w:eastAsia="Times New Roman"/>
                <w:b/>
                <w:bCs/>
                <w:color w:val="000000"/>
                <w:sz w:val="20"/>
                <w:szCs w:val="20"/>
              </w:rPr>
              <w:t>40,536</w:t>
            </w:r>
          </w:p>
        </w:tc>
        <w:tc>
          <w:tcPr>
            <w:tcW w:w="0" w:type="auto"/>
            <w:gridSpan w:val="3"/>
            <w:shd w:val="clear" w:color="auto" w:fill="FFFFFF"/>
            <w:tcMar>
              <w:top w:w="0" w:type="dxa"/>
              <w:left w:w="20" w:type="dxa"/>
              <w:bottom w:w="0" w:type="dxa"/>
              <w:right w:w="20" w:type="dxa"/>
            </w:tcMar>
            <w:vAlign w:val="center"/>
            <w:hideMark/>
          </w:tcPr>
          <w:p w14:paraId="5497FF59"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62BE946"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A10A81" w14:textId="77777777" w:rsidR="00000000" w:rsidRDefault="00A173A8">
            <w:pPr>
              <w:spacing w:after="100"/>
              <w:jc w:val="right"/>
              <w:rPr>
                <w:rFonts w:eastAsia="Times New Roman"/>
              </w:rPr>
            </w:pPr>
            <w:r>
              <w:rPr>
                <w:rFonts w:eastAsia="Times New Roman"/>
                <w:color w:val="000000"/>
                <w:sz w:val="20"/>
                <w:szCs w:val="20"/>
              </w:rPr>
              <w:t>42,311 </w:t>
            </w:r>
          </w:p>
        </w:tc>
        <w:tc>
          <w:tcPr>
            <w:tcW w:w="0" w:type="auto"/>
            <w:shd w:val="clear" w:color="auto" w:fill="FFFFFF"/>
            <w:tcMar>
              <w:top w:w="30" w:type="dxa"/>
              <w:left w:w="0" w:type="dxa"/>
              <w:bottom w:w="30" w:type="dxa"/>
              <w:right w:w="20" w:type="dxa"/>
            </w:tcMar>
            <w:vAlign w:val="bottom"/>
            <w:hideMark/>
          </w:tcPr>
          <w:p w14:paraId="661CDC2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72746"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6AEA9779" w14:textId="77777777" w:rsidR="00000000" w:rsidRDefault="00A173A8">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14:paraId="44C1DE4A"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5C7994EC"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3F530BFC" w14:textId="77777777" w:rsidR="00000000" w:rsidRDefault="00A173A8">
            <w:pPr>
              <w:spacing w:after="100"/>
              <w:jc w:val="right"/>
              <w:rPr>
                <w:rFonts w:eastAsia="Times New Roman"/>
              </w:rPr>
            </w:pPr>
            <w:r>
              <w:rPr>
                <w:rFonts w:eastAsia="Times New Roman"/>
                <w:b/>
                <w:bCs/>
                <w:color w:val="000000"/>
                <w:sz w:val="20"/>
                <w:szCs w:val="20"/>
              </w:rPr>
              <w:t>42,760</w:t>
            </w:r>
          </w:p>
        </w:tc>
        <w:tc>
          <w:tcPr>
            <w:tcW w:w="0" w:type="auto"/>
            <w:gridSpan w:val="3"/>
            <w:shd w:val="clear" w:color="auto" w:fill="FFFFFF"/>
            <w:tcMar>
              <w:top w:w="0" w:type="dxa"/>
              <w:left w:w="20" w:type="dxa"/>
              <w:bottom w:w="0" w:type="dxa"/>
              <w:right w:w="20" w:type="dxa"/>
            </w:tcMar>
            <w:vAlign w:val="center"/>
            <w:hideMark/>
          </w:tcPr>
          <w:p w14:paraId="6FFF8BC0"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9A13059"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77C899E0" w14:textId="77777777" w:rsidR="00000000" w:rsidRDefault="00A173A8">
            <w:pPr>
              <w:spacing w:after="100"/>
              <w:jc w:val="right"/>
              <w:rPr>
                <w:rFonts w:eastAsia="Times New Roman"/>
              </w:rPr>
            </w:pPr>
            <w:r>
              <w:rPr>
                <w:rFonts w:eastAsia="Times New Roman"/>
                <w:color w:val="000000"/>
                <w:sz w:val="20"/>
                <w:szCs w:val="20"/>
              </w:rPr>
              <w:t>41,215</w:t>
            </w:r>
          </w:p>
        </w:tc>
        <w:tc>
          <w:tcPr>
            <w:tcW w:w="0" w:type="auto"/>
            <w:vAlign w:val="center"/>
            <w:hideMark/>
          </w:tcPr>
          <w:p w14:paraId="65C41485" w14:textId="77777777" w:rsidR="00000000" w:rsidRDefault="00A173A8">
            <w:pPr>
              <w:spacing w:after="100"/>
              <w:jc w:val="right"/>
              <w:rPr>
                <w:rFonts w:eastAsia="Times New Roman"/>
              </w:rPr>
            </w:pPr>
          </w:p>
        </w:tc>
        <w:tc>
          <w:tcPr>
            <w:tcW w:w="0" w:type="auto"/>
            <w:vAlign w:val="center"/>
            <w:hideMark/>
          </w:tcPr>
          <w:p w14:paraId="2E540CC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7A2B2B"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0ED6EF69" w14:textId="77777777" w:rsidR="00000000" w:rsidRDefault="00A173A8">
            <w:pPr>
              <w:spacing w:after="100"/>
              <w:jc w:val="right"/>
              <w:rPr>
                <w:rFonts w:eastAsia="Times New Roman"/>
              </w:rPr>
            </w:pPr>
            <w:r>
              <w:rPr>
                <w:rFonts w:eastAsia="Times New Roman"/>
                <w:color w:val="000000"/>
                <w:sz w:val="20"/>
                <w:szCs w:val="20"/>
              </w:rPr>
              <w:t>4%</w:t>
            </w:r>
          </w:p>
        </w:tc>
        <w:tc>
          <w:tcPr>
            <w:tcW w:w="0" w:type="auto"/>
            <w:gridSpan w:val="3"/>
            <w:vAlign w:val="center"/>
            <w:hideMark/>
          </w:tcPr>
          <w:p w14:paraId="66AB3A00" w14:textId="77777777" w:rsidR="00000000" w:rsidRDefault="00A173A8">
            <w:pPr>
              <w:spacing w:after="100"/>
              <w:jc w:val="right"/>
              <w:rPr>
                <w:rFonts w:eastAsia="Times New Roman"/>
              </w:rPr>
            </w:pPr>
          </w:p>
        </w:tc>
        <w:tc>
          <w:tcPr>
            <w:tcW w:w="0" w:type="auto"/>
            <w:gridSpan w:val="3"/>
            <w:vAlign w:val="center"/>
            <w:hideMark/>
          </w:tcPr>
          <w:p w14:paraId="51DD0E4E" w14:textId="77777777" w:rsidR="00000000" w:rsidRDefault="00A173A8">
            <w:pPr>
              <w:spacing w:after="100"/>
              <w:rPr>
                <w:rFonts w:eastAsia="Times New Roman"/>
                <w:sz w:val="20"/>
                <w:szCs w:val="20"/>
              </w:rPr>
            </w:pPr>
          </w:p>
        </w:tc>
      </w:tr>
      <w:tr w:rsidR="00000000" w14:paraId="74BBC8F9" w14:textId="77777777">
        <w:trPr>
          <w:divId w:val="464082963"/>
        </w:trPr>
        <w:tc>
          <w:tcPr>
            <w:tcW w:w="0" w:type="auto"/>
            <w:gridSpan w:val="3"/>
            <w:shd w:val="clear" w:color="auto" w:fill="CCEEFF"/>
            <w:tcMar>
              <w:top w:w="30" w:type="dxa"/>
              <w:left w:w="20" w:type="dxa"/>
              <w:bottom w:w="30" w:type="dxa"/>
              <w:right w:w="20" w:type="dxa"/>
            </w:tcMar>
            <w:vAlign w:val="center"/>
            <w:hideMark/>
          </w:tcPr>
          <w:p w14:paraId="0556B964" w14:textId="77777777" w:rsidR="00000000" w:rsidRDefault="00A173A8">
            <w:pPr>
              <w:spacing w:after="100"/>
              <w:rPr>
                <w:rFonts w:eastAsia="Times New Roman"/>
              </w:rPr>
            </w:pPr>
            <w:r>
              <w:rPr>
                <w:rFonts w:eastAsia="Times New Roman"/>
                <w:color w:val="000000"/>
                <w:sz w:val="20"/>
                <w:szCs w:val="20"/>
              </w:rPr>
              <w:t>Average deposits interest rate</w:t>
            </w:r>
          </w:p>
        </w:tc>
        <w:tc>
          <w:tcPr>
            <w:tcW w:w="0" w:type="auto"/>
            <w:gridSpan w:val="3"/>
            <w:shd w:val="clear" w:color="auto" w:fill="CCEEFF"/>
            <w:tcMar>
              <w:top w:w="0" w:type="dxa"/>
              <w:left w:w="20" w:type="dxa"/>
              <w:bottom w:w="0" w:type="dxa"/>
              <w:right w:w="20" w:type="dxa"/>
            </w:tcMar>
            <w:vAlign w:val="center"/>
            <w:hideMark/>
          </w:tcPr>
          <w:p w14:paraId="6B12EC1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FF757F6" w14:textId="77777777" w:rsidR="00000000" w:rsidRDefault="00A173A8">
            <w:pPr>
              <w:spacing w:after="100"/>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EF66815"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E03E72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C8018F" w14:textId="77777777" w:rsidR="00000000" w:rsidRDefault="00A173A8">
            <w:pPr>
              <w:spacing w:after="100"/>
              <w:jc w:val="right"/>
              <w:rPr>
                <w:rFonts w:eastAsia="Times New Roman"/>
              </w:rPr>
            </w:pPr>
            <w:r>
              <w:rPr>
                <w:rFonts w:eastAsia="Times New Roman"/>
                <w:color w:val="000000"/>
                <w:sz w:val="20"/>
                <w:szCs w:val="20"/>
              </w:rPr>
              <w:t>0.14 </w:t>
            </w:r>
          </w:p>
        </w:tc>
        <w:tc>
          <w:tcPr>
            <w:tcW w:w="0" w:type="auto"/>
            <w:shd w:val="clear" w:color="auto" w:fill="CCEEFF"/>
            <w:tcMar>
              <w:top w:w="30" w:type="dxa"/>
              <w:left w:w="0" w:type="dxa"/>
              <w:bottom w:w="30" w:type="dxa"/>
              <w:right w:w="20" w:type="dxa"/>
            </w:tcMar>
            <w:vAlign w:val="bottom"/>
            <w:hideMark/>
          </w:tcPr>
          <w:p w14:paraId="21F0B9D8"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1666B7"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156F4CC1" w14:textId="77777777" w:rsidR="00000000" w:rsidRDefault="00A173A8">
            <w:pPr>
              <w:spacing w:after="100"/>
              <w:jc w:val="right"/>
              <w:rPr>
                <w:rFonts w:eastAsia="Times New Roman"/>
              </w:rPr>
            </w:pPr>
            <w:r>
              <w:rPr>
                <w:rFonts w:eastAsia="Times New Roman"/>
                <w:color w:val="000000"/>
                <w:sz w:val="20"/>
                <w:szCs w:val="20"/>
              </w:rPr>
              <w:t>5bps</w:t>
            </w:r>
          </w:p>
        </w:tc>
        <w:tc>
          <w:tcPr>
            <w:tcW w:w="0" w:type="auto"/>
            <w:gridSpan w:val="3"/>
            <w:shd w:val="clear" w:color="auto" w:fill="CCEEFF"/>
            <w:tcMar>
              <w:top w:w="0" w:type="dxa"/>
              <w:left w:w="20" w:type="dxa"/>
              <w:bottom w:w="0" w:type="dxa"/>
              <w:right w:w="20" w:type="dxa"/>
            </w:tcMar>
            <w:vAlign w:val="center"/>
            <w:hideMark/>
          </w:tcPr>
          <w:p w14:paraId="69E04C85"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E4844C" w14:textId="77777777" w:rsidR="00000000" w:rsidRDefault="00A173A8">
            <w:pPr>
              <w:spacing w:after="100"/>
              <w:jc w:val="right"/>
              <w:rPr>
                <w:rFonts w:eastAsia="Times New Roman"/>
              </w:rPr>
            </w:pPr>
            <w:r>
              <w:rPr>
                <w:rFonts w:eastAsia="Times New Roman"/>
                <w:b/>
                <w:bCs/>
                <w:color w:val="000000"/>
                <w:sz w:val="20"/>
                <w:szCs w:val="20"/>
              </w:rPr>
              <w:t>0.15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B44CB9"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0F02B6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BCD75F" w14:textId="77777777" w:rsidR="00000000" w:rsidRDefault="00A173A8">
            <w:pPr>
              <w:spacing w:after="100"/>
              <w:jc w:val="right"/>
              <w:rPr>
                <w:rFonts w:eastAsia="Times New Roman"/>
              </w:rPr>
            </w:pPr>
            <w:r>
              <w:rPr>
                <w:rFonts w:eastAsia="Times New Roman"/>
                <w:color w:val="000000"/>
                <w:sz w:val="20"/>
                <w:szCs w:val="20"/>
              </w:rPr>
              <w:t>0.16 </w:t>
            </w:r>
          </w:p>
        </w:tc>
        <w:tc>
          <w:tcPr>
            <w:tcW w:w="0" w:type="auto"/>
            <w:shd w:val="clear" w:color="auto" w:fill="CCEEFF"/>
            <w:tcMar>
              <w:top w:w="30" w:type="dxa"/>
              <w:left w:w="0" w:type="dxa"/>
              <w:bottom w:w="30" w:type="dxa"/>
              <w:right w:w="20" w:type="dxa"/>
            </w:tcMar>
            <w:vAlign w:val="bottom"/>
            <w:hideMark/>
          </w:tcPr>
          <w:p w14:paraId="4F9F14A7"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24E82CE7" w14:textId="77777777" w:rsidR="00000000" w:rsidRDefault="00A173A8">
            <w:pPr>
              <w:spacing w:after="100"/>
              <w:jc w:val="right"/>
              <w:rPr>
                <w:rFonts w:eastAsia="Times New Roman"/>
              </w:rPr>
            </w:pPr>
          </w:p>
        </w:tc>
        <w:tc>
          <w:tcPr>
            <w:tcW w:w="0" w:type="auto"/>
            <w:vAlign w:val="center"/>
            <w:hideMark/>
          </w:tcPr>
          <w:p w14:paraId="7A0F526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D984B3"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C498ED" w14:textId="77777777" w:rsidR="00000000" w:rsidRDefault="00A173A8">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102B8408"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vAlign w:val="center"/>
            <w:hideMark/>
          </w:tcPr>
          <w:p w14:paraId="7074E8C4" w14:textId="77777777" w:rsidR="00000000" w:rsidRDefault="00A173A8">
            <w:pPr>
              <w:spacing w:after="100"/>
              <w:jc w:val="right"/>
              <w:rPr>
                <w:rFonts w:eastAsia="Times New Roman"/>
              </w:rPr>
            </w:pPr>
          </w:p>
        </w:tc>
        <w:tc>
          <w:tcPr>
            <w:tcW w:w="0" w:type="auto"/>
            <w:gridSpan w:val="3"/>
            <w:vAlign w:val="center"/>
            <w:hideMark/>
          </w:tcPr>
          <w:p w14:paraId="50129A71" w14:textId="77777777" w:rsidR="00000000" w:rsidRDefault="00A173A8">
            <w:pPr>
              <w:spacing w:after="100"/>
              <w:rPr>
                <w:rFonts w:eastAsia="Times New Roman"/>
                <w:sz w:val="20"/>
                <w:szCs w:val="20"/>
              </w:rPr>
            </w:pPr>
          </w:p>
        </w:tc>
      </w:tr>
      <w:tr w:rsidR="00000000" w14:paraId="1B786664" w14:textId="77777777">
        <w:trPr>
          <w:divId w:val="464082963"/>
        </w:trPr>
        <w:tc>
          <w:tcPr>
            <w:tcW w:w="0" w:type="auto"/>
            <w:gridSpan w:val="3"/>
            <w:shd w:val="clear" w:color="auto" w:fill="FFFFFF"/>
            <w:tcMar>
              <w:top w:w="30" w:type="dxa"/>
              <w:left w:w="20" w:type="dxa"/>
              <w:bottom w:w="30" w:type="dxa"/>
              <w:right w:w="20" w:type="dxa"/>
            </w:tcMar>
            <w:vAlign w:val="center"/>
            <w:hideMark/>
          </w:tcPr>
          <w:p w14:paraId="6319F62F" w14:textId="77777777" w:rsidR="00000000" w:rsidRDefault="00A173A8">
            <w:pPr>
              <w:spacing w:after="100"/>
              <w:rPr>
                <w:rFonts w:eastAsia="Times New Roman"/>
              </w:rPr>
            </w:pPr>
            <w:r>
              <w:rPr>
                <w:rFonts w:eastAsia="Times New Roman"/>
                <w:color w:val="000000"/>
                <w:sz w:val="20"/>
                <w:szCs w:val="20"/>
              </w:rPr>
              <w:t>Net charge-offs (recoveries)</w:t>
            </w:r>
          </w:p>
        </w:tc>
        <w:tc>
          <w:tcPr>
            <w:tcW w:w="0" w:type="auto"/>
            <w:gridSpan w:val="3"/>
            <w:shd w:val="clear" w:color="auto" w:fill="FFFFFF"/>
            <w:tcMar>
              <w:top w:w="0" w:type="dxa"/>
              <w:left w:w="20" w:type="dxa"/>
              <w:bottom w:w="0" w:type="dxa"/>
              <w:right w:w="20" w:type="dxa"/>
            </w:tcMar>
            <w:vAlign w:val="center"/>
            <w:hideMark/>
          </w:tcPr>
          <w:p w14:paraId="7606617B"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DD6A7EA"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EF49C24" w14:textId="77777777" w:rsidR="00000000" w:rsidRDefault="00A173A8">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16ECB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407F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316BC2"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FFEF0F" w14:textId="77777777" w:rsidR="00000000" w:rsidRDefault="00A173A8">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14:paraId="1E82D6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84A52"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67F7ECE6"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482DD7"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513555D"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1BEBCD6" w14:textId="77777777" w:rsidR="00000000" w:rsidRDefault="00A173A8">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5F0E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727E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83B1FF"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25069FD" w14:textId="77777777" w:rsidR="00000000" w:rsidRDefault="00A173A8">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14:paraId="21FEED66" w14:textId="77777777" w:rsidR="00000000" w:rsidRDefault="00A173A8">
            <w:pPr>
              <w:spacing w:after="100"/>
              <w:jc w:val="right"/>
              <w:rPr>
                <w:rFonts w:eastAsia="Times New Roman"/>
              </w:rPr>
            </w:pPr>
          </w:p>
        </w:tc>
        <w:tc>
          <w:tcPr>
            <w:tcW w:w="0" w:type="auto"/>
            <w:vAlign w:val="center"/>
            <w:hideMark/>
          </w:tcPr>
          <w:p w14:paraId="4BE61767" w14:textId="77777777" w:rsidR="00000000" w:rsidRDefault="00A173A8">
            <w:pPr>
              <w:spacing w:after="100"/>
              <w:jc w:val="right"/>
              <w:rPr>
                <w:rFonts w:eastAsia="Times New Roman"/>
                <w:sz w:val="20"/>
                <w:szCs w:val="20"/>
              </w:rPr>
            </w:pPr>
          </w:p>
        </w:tc>
        <w:tc>
          <w:tcPr>
            <w:tcW w:w="0" w:type="auto"/>
            <w:vAlign w:val="center"/>
            <w:hideMark/>
          </w:tcPr>
          <w:p w14:paraId="551CB0D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B933EC"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380" w:type="dxa"/>
            </w:tcMar>
            <w:vAlign w:val="bottom"/>
            <w:hideMark/>
          </w:tcPr>
          <w:p w14:paraId="0409BC54"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048AA2F5" w14:textId="77777777" w:rsidR="00000000" w:rsidRDefault="00A173A8">
            <w:pPr>
              <w:spacing w:after="100"/>
              <w:jc w:val="right"/>
              <w:rPr>
                <w:rFonts w:eastAsia="Times New Roman"/>
              </w:rPr>
            </w:pPr>
          </w:p>
        </w:tc>
        <w:tc>
          <w:tcPr>
            <w:tcW w:w="0" w:type="auto"/>
            <w:gridSpan w:val="3"/>
            <w:vAlign w:val="center"/>
            <w:hideMark/>
          </w:tcPr>
          <w:p w14:paraId="559A4C92" w14:textId="77777777" w:rsidR="00000000" w:rsidRDefault="00A173A8">
            <w:pPr>
              <w:spacing w:after="100"/>
              <w:rPr>
                <w:rFonts w:eastAsia="Times New Roman"/>
                <w:sz w:val="20"/>
                <w:szCs w:val="20"/>
              </w:rPr>
            </w:pPr>
          </w:p>
        </w:tc>
      </w:tr>
      <w:tr w:rsidR="00000000" w14:paraId="414BB13F" w14:textId="77777777">
        <w:trPr>
          <w:divId w:val="464082963"/>
        </w:trPr>
        <w:tc>
          <w:tcPr>
            <w:tcW w:w="0" w:type="auto"/>
            <w:gridSpan w:val="3"/>
            <w:shd w:val="clear" w:color="auto" w:fill="CCEEFF"/>
            <w:tcMar>
              <w:top w:w="30" w:type="dxa"/>
              <w:left w:w="20" w:type="dxa"/>
              <w:bottom w:w="30" w:type="dxa"/>
              <w:right w:w="20" w:type="dxa"/>
            </w:tcMar>
            <w:vAlign w:val="center"/>
            <w:hideMark/>
          </w:tcPr>
          <w:p w14:paraId="74FCCCA3" w14:textId="77777777" w:rsidR="00000000" w:rsidRDefault="00A173A8">
            <w:pPr>
              <w:spacing w:after="100"/>
              <w:rPr>
                <w:rFonts w:eastAsia="Times New Roman"/>
              </w:rPr>
            </w:pPr>
            <w:r>
              <w:rPr>
                <w:rFonts w:eastAsia="Times New Roman"/>
                <w:color w:val="000000"/>
                <w:sz w:val="20"/>
                <w:szCs w:val="20"/>
              </w:rPr>
              <w:t>Net charge-off (recovery) rate</w:t>
            </w:r>
          </w:p>
        </w:tc>
        <w:tc>
          <w:tcPr>
            <w:tcW w:w="0" w:type="auto"/>
            <w:gridSpan w:val="3"/>
            <w:shd w:val="clear" w:color="auto" w:fill="CCEEFF"/>
            <w:tcMar>
              <w:top w:w="0" w:type="dxa"/>
              <w:left w:w="20" w:type="dxa"/>
              <w:bottom w:w="0" w:type="dxa"/>
              <w:right w:w="20" w:type="dxa"/>
            </w:tcMar>
            <w:vAlign w:val="center"/>
            <w:hideMark/>
          </w:tcPr>
          <w:p w14:paraId="21437FE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8E8FF8" w14:textId="77777777" w:rsidR="00000000" w:rsidRDefault="00A173A8">
            <w:pPr>
              <w:spacing w:after="100"/>
              <w:jc w:val="right"/>
              <w:rPr>
                <w:rFonts w:eastAsia="Times New Roman"/>
              </w:rPr>
            </w:pPr>
            <w:r>
              <w:rPr>
                <w:rFonts w:eastAsia="Times New Roman"/>
                <w:b/>
                <w:bCs/>
                <w:color w:val="000000"/>
                <w:sz w:val="20"/>
                <w:szCs w:val="20"/>
              </w:rPr>
              <w:t>0.14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35E8C6"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42FB8F0"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D6B432" w14:textId="77777777" w:rsidR="00000000" w:rsidRDefault="00A173A8">
            <w:pPr>
              <w:spacing w:after="100"/>
              <w:jc w:val="right"/>
              <w:rPr>
                <w:rFonts w:eastAsia="Times New Roman"/>
              </w:rPr>
            </w:pPr>
            <w:r>
              <w:rPr>
                <w:rFonts w:eastAsia="Times New Roman"/>
                <w:color w:val="000000"/>
                <w:sz w:val="20"/>
                <w:szCs w:val="20"/>
              </w:rPr>
              <w:t>(0.11)</w:t>
            </w:r>
          </w:p>
        </w:tc>
        <w:tc>
          <w:tcPr>
            <w:tcW w:w="0" w:type="auto"/>
            <w:shd w:val="clear" w:color="auto" w:fill="CCEEFF"/>
            <w:tcMar>
              <w:top w:w="30" w:type="dxa"/>
              <w:left w:w="0" w:type="dxa"/>
              <w:bottom w:w="30" w:type="dxa"/>
              <w:right w:w="20" w:type="dxa"/>
            </w:tcMar>
            <w:vAlign w:val="bottom"/>
            <w:hideMark/>
          </w:tcPr>
          <w:p w14:paraId="68CB8FF1"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45E1014"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079BAEF4" w14:textId="77777777" w:rsidR="00000000" w:rsidRDefault="00A173A8">
            <w:pPr>
              <w:spacing w:after="100"/>
              <w:jc w:val="right"/>
              <w:rPr>
                <w:rFonts w:eastAsia="Times New Roman"/>
              </w:rPr>
            </w:pPr>
            <w:r>
              <w:rPr>
                <w:rFonts w:eastAsia="Times New Roman"/>
                <w:color w:val="000000"/>
                <w:sz w:val="20"/>
                <w:szCs w:val="20"/>
              </w:rPr>
              <w:t>25bps</w:t>
            </w:r>
          </w:p>
        </w:tc>
        <w:tc>
          <w:tcPr>
            <w:tcW w:w="0" w:type="auto"/>
            <w:gridSpan w:val="3"/>
            <w:shd w:val="clear" w:color="auto" w:fill="CCEEFF"/>
            <w:tcMar>
              <w:top w:w="0" w:type="dxa"/>
              <w:left w:w="20" w:type="dxa"/>
              <w:bottom w:w="0" w:type="dxa"/>
              <w:right w:w="20" w:type="dxa"/>
            </w:tcMar>
            <w:vAlign w:val="center"/>
            <w:hideMark/>
          </w:tcPr>
          <w:p w14:paraId="7A937864"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7E858C" w14:textId="77777777" w:rsidR="00000000" w:rsidRDefault="00A173A8">
            <w:pPr>
              <w:spacing w:after="100"/>
              <w:jc w:val="right"/>
              <w:rPr>
                <w:rFonts w:eastAsia="Times New Roman"/>
              </w:rPr>
            </w:pPr>
            <w:r>
              <w:rPr>
                <w:rFonts w:eastAsia="Times New Roman"/>
                <w:b/>
                <w:bCs/>
                <w:color w:val="000000"/>
                <w:sz w:val="20"/>
                <w:szCs w:val="20"/>
              </w:rPr>
              <w:t>0.10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D61105"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557B965"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702399" w14:textId="77777777" w:rsidR="00000000" w:rsidRDefault="00A173A8">
            <w:pPr>
              <w:spacing w:after="100"/>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14:paraId="46125822"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48CBE8FE" w14:textId="77777777" w:rsidR="00000000" w:rsidRDefault="00A173A8">
            <w:pPr>
              <w:spacing w:after="100"/>
              <w:jc w:val="right"/>
              <w:rPr>
                <w:rFonts w:eastAsia="Times New Roman"/>
              </w:rPr>
            </w:pPr>
          </w:p>
        </w:tc>
        <w:tc>
          <w:tcPr>
            <w:tcW w:w="0" w:type="auto"/>
            <w:vAlign w:val="center"/>
            <w:hideMark/>
          </w:tcPr>
          <w:p w14:paraId="51B6390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B5C84F"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16D25C96" w14:textId="77777777" w:rsidR="00000000" w:rsidRDefault="00A173A8">
            <w:pPr>
              <w:spacing w:after="100"/>
              <w:jc w:val="right"/>
              <w:rPr>
                <w:rFonts w:eastAsia="Times New Roman"/>
              </w:rPr>
            </w:pPr>
            <w:r>
              <w:rPr>
                <w:rFonts w:eastAsia="Times New Roman"/>
                <w:color w:val="000000"/>
                <w:sz w:val="20"/>
                <w:szCs w:val="20"/>
              </w:rPr>
              <w:t>11bps</w:t>
            </w:r>
          </w:p>
        </w:tc>
        <w:tc>
          <w:tcPr>
            <w:tcW w:w="0" w:type="auto"/>
            <w:gridSpan w:val="3"/>
            <w:vAlign w:val="center"/>
            <w:hideMark/>
          </w:tcPr>
          <w:p w14:paraId="1F36B0D3" w14:textId="77777777" w:rsidR="00000000" w:rsidRDefault="00A173A8">
            <w:pPr>
              <w:spacing w:after="100"/>
              <w:jc w:val="right"/>
              <w:rPr>
                <w:rFonts w:eastAsia="Times New Roman"/>
              </w:rPr>
            </w:pPr>
          </w:p>
        </w:tc>
        <w:tc>
          <w:tcPr>
            <w:tcW w:w="0" w:type="auto"/>
            <w:gridSpan w:val="3"/>
            <w:vAlign w:val="center"/>
            <w:hideMark/>
          </w:tcPr>
          <w:p w14:paraId="102A4953" w14:textId="77777777" w:rsidR="00000000" w:rsidRDefault="00A173A8">
            <w:pPr>
              <w:spacing w:after="100"/>
              <w:rPr>
                <w:rFonts w:eastAsia="Times New Roman"/>
                <w:sz w:val="20"/>
                <w:szCs w:val="20"/>
              </w:rPr>
            </w:pPr>
          </w:p>
        </w:tc>
      </w:tr>
      <w:tr w:rsidR="00000000" w14:paraId="7C69014B" w14:textId="77777777">
        <w:trPr>
          <w:divId w:val="464082963"/>
          <w:trHeight w:val="300"/>
        </w:trPr>
        <w:tc>
          <w:tcPr>
            <w:tcW w:w="0" w:type="auto"/>
            <w:gridSpan w:val="3"/>
            <w:shd w:val="clear" w:color="auto" w:fill="FFFFFF"/>
            <w:tcMar>
              <w:top w:w="0" w:type="dxa"/>
              <w:left w:w="20" w:type="dxa"/>
              <w:bottom w:w="0" w:type="dxa"/>
              <w:right w:w="20" w:type="dxa"/>
            </w:tcMar>
            <w:vAlign w:val="center"/>
            <w:hideMark/>
          </w:tcPr>
          <w:p w14:paraId="0FDB8B4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7B61B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60561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D280A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9E3C2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770BA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05AFF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3CBBC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FD60D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7A03E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F3C9D9" w14:textId="77777777" w:rsidR="00000000" w:rsidRDefault="00A173A8">
            <w:pPr>
              <w:spacing w:after="100"/>
              <w:rPr>
                <w:rFonts w:eastAsia="Times New Roman"/>
                <w:sz w:val="20"/>
                <w:szCs w:val="20"/>
              </w:rPr>
            </w:pPr>
          </w:p>
        </w:tc>
        <w:tc>
          <w:tcPr>
            <w:tcW w:w="0" w:type="auto"/>
            <w:vAlign w:val="center"/>
            <w:hideMark/>
          </w:tcPr>
          <w:p w14:paraId="35934E05" w14:textId="77777777" w:rsidR="00000000" w:rsidRDefault="00A173A8">
            <w:pPr>
              <w:spacing w:after="100"/>
              <w:rPr>
                <w:rFonts w:eastAsia="Times New Roman"/>
                <w:sz w:val="20"/>
                <w:szCs w:val="20"/>
              </w:rPr>
            </w:pPr>
          </w:p>
        </w:tc>
        <w:tc>
          <w:tcPr>
            <w:tcW w:w="0" w:type="auto"/>
            <w:vAlign w:val="center"/>
            <w:hideMark/>
          </w:tcPr>
          <w:p w14:paraId="6F24D48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FA408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8A035D" w14:textId="77777777" w:rsidR="00000000" w:rsidRDefault="00A173A8">
            <w:pPr>
              <w:spacing w:after="100"/>
              <w:rPr>
                <w:rFonts w:eastAsia="Times New Roman"/>
                <w:sz w:val="20"/>
                <w:szCs w:val="20"/>
              </w:rPr>
            </w:pPr>
          </w:p>
        </w:tc>
        <w:tc>
          <w:tcPr>
            <w:tcW w:w="0" w:type="auto"/>
            <w:gridSpan w:val="3"/>
            <w:vAlign w:val="center"/>
            <w:hideMark/>
          </w:tcPr>
          <w:p w14:paraId="1AAFC08F" w14:textId="77777777" w:rsidR="00000000" w:rsidRDefault="00A173A8">
            <w:pPr>
              <w:spacing w:after="100"/>
              <w:rPr>
                <w:rFonts w:eastAsia="Times New Roman"/>
                <w:sz w:val="20"/>
                <w:szCs w:val="20"/>
              </w:rPr>
            </w:pPr>
          </w:p>
        </w:tc>
        <w:tc>
          <w:tcPr>
            <w:tcW w:w="0" w:type="auto"/>
            <w:gridSpan w:val="3"/>
            <w:vAlign w:val="center"/>
            <w:hideMark/>
          </w:tcPr>
          <w:p w14:paraId="637AE325" w14:textId="77777777" w:rsidR="00000000" w:rsidRDefault="00A173A8">
            <w:pPr>
              <w:spacing w:after="100"/>
              <w:rPr>
                <w:rFonts w:eastAsia="Times New Roman"/>
                <w:sz w:val="20"/>
                <w:szCs w:val="20"/>
              </w:rPr>
            </w:pPr>
          </w:p>
        </w:tc>
      </w:tr>
      <w:tr w:rsidR="00000000" w14:paraId="036DE306" w14:textId="77777777">
        <w:trPr>
          <w:divId w:val="464082963"/>
        </w:trPr>
        <w:tc>
          <w:tcPr>
            <w:tcW w:w="0" w:type="auto"/>
            <w:gridSpan w:val="3"/>
            <w:tcMar>
              <w:top w:w="30" w:type="dxa"/>
              <w:left w:w="20" w:type="dxa"/>
              <w:bottom w:w="30" w:type="dxa"/>
              <w:right w:w="20" w:type="dxa"/>
            </w:tcMar>
            <w:vAlign w:val="bottom"/>
            <w:hideMark/>
          </w:tcPr>
          <w:p w14:paraId="636387F0"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7C62FF64"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7CEC8D2B"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19F0B5EA"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7F9F42" w14:textId="77777777" w:rsidR="00000000" w:rsidRDefault="00A173A8">
            <w:pPr>
              <w:spacing w:after="100"/>
              <w:jc w:val="center"/>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14:paraId="350D8B3B"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A3319F"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06B37CC7"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EC693D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23809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0A067D" w14:textId="77777777" w:rsidR="00000000" w:rsidRDefault="00A173A8">
            <w:pPr>
              <w:spacing w:after="100"/>
              <w:rPr>
                <w:rFonts w:eastAsia="Times New Roman"/>
                <w:sz w:val="20"/>
                <w:szCs w:val="20"/>
              </w:rPr>
            </w:pPr>
          </w:p>
        </w:tc>
        <w:tc>
          <w:tcPr>
            <w:tcW w:w="0" w:type="auto"/>
            <w:vAlign w:val="center"/>
            <w:hideMark/>
          </w:tcPr>
          <w:p w14:paraId="1FA7C221" w14:textId="77777777" w:rsidR="00000000" w:rsidRDefault="00A173A8">
            <w:pPr>
              <w:spacing w:after="100"/>
              <w:rPr>
                <w:rFonts w:eastAsia="Times New Roman"/>
                <w:sz w:val="20"/>
                <w:szCs w:val="20"/>
              </w:rPr>
            </w:pPr>
          </w:p>
        </w:tc>
        <w:tc>
          <w:tcPr>
            <w:tcW w:w="0" w:type="auto"/>
            <w:vAlign w:val="center"/>
            <w:hideMark/>
          </w:tcPr>
          <w:p w14:paraId="01CF21D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52E5C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4558D0" w14:textId="77777777" w:rsidR="00000000" w:rsidRDefault="00A173A8">
            <w:pPr>
              <w:spacing w:after="100"/>
              <w:rPr>
                <w:rFonts w:eastAsia="Times New Roman"/>
                <w:sz w:val="20"/>
                <w:szCs w:val="20"/>
              </w:rPr>
            </w:pPr>
          </w:p>
        </w:tc>
        <w:tc>
          <w:tcPr>
            <w:tcW w:w="0" w:type="auto"/>
            <w:gridSpan w:val="3"/>
            <w:vAlign w:val="center"/>
            <w:hideMark/>
          </w:tcPr>
          <w:p w14:paraId="1C6CEE6A" w14:textId="77777777" w:rsidR="00000000" w:rsidRDefault="00A173A8">
            <w:pPr>
              <w:spacing w:after="100"/>
              <w:rPr>
                <w:rFonts w:eastAsia="Times New Roman"/>
                <w:sz w:val="20"/>
                <w:szCs w:val="20"/>
              </w:rPr>
            </w:pPr>
          </w:p>
        </w:tc>
        <w:tc>
          <w:tcPr>
            <w:tcW w:w="0" w:type="auto"/>
            <w:gridSpan w:val="3"/>
            <w:vAlign w:val="center"/>
            <w:hideMark/>
          </w:tcPr>
          <w:p w14:paraId="1A0315F4" w14:textId="77777777" w:rsidR="00000000" w:rsidRDefault="00A173A8">
            <w:pPr>
              <w:spacing w:after="100"/>
              <w:rPr>
                <w:rFonts w:eastAsia="Times New Roman"/>
                <w:sz w:val="20"/>
                <w:szCs w:val="20"/>
              </w:rPr>
            </w:pPr>
          </w:p>
        </w:tc>
      </w:tr>
      <w:tr w:rsidR="00000000" w14:paraId="344245C4" w14:textId="77777777">
        <w:trPr>
          <w:divId w:val="46408296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9AB0531" w14:textId="77777777" w:rsidR="00000000" w:rsidRDefault="00A173A8">
            <w:pPr>
              <w:spacing w:after="100"/>
              <w:rPr>
                <w:rFonts w:eastAsia="Times New Roman"/>
              </w:rPr>
            </w:pPr>
            <w:r>
              <w:rPr>
                <w:rFonts w:eastAsia="Times New Roman"/>
                <w:b/>
                <w:bCs/>
                <w:color w:val="000000"/>
                <w:sz w:val="20"/>
                <w:szCs w:val="20"/>
              </w:rPr>
              <w:t>Selected period-end data:</w:t>
            </w:r>
          </w:p>
        </w:tc>
        <w:tc>
          <w:tcPr>
            <w:tcW w:w="0" w:type="auto"/>
            <w:gridSpan w:val="3"/>
            <w:shd w:val="clear" w:color="auto" w:fill="CCEEFF"/>
            <w:tcMar>
              <w:top w:w="0" w:type="dxa"/>
              <w:left w:w="20" w:type="dxa"/>
              <w:bottom w:w="0" w:type="dxa"/>
              <w:right w:w="20" w:type="dxa"/>
            </w:tcMar>
            <w:vAlign w:val="center"/>
            <w:hideMark/>
          </w:tcPr>
          <w:p w14:paraId="20F3027E"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B35F8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63DFD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8FC86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07C40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F710C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4ADDB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29476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A5B0B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78EB9D" w14:textId="77777777" w:rsidR="00000000" w:rsidRDefault="00A173A8">
            <w:pPr>
              <w:spacing w:after="100"/>
              <w:rPr>
                <w:rFonts w:eastAsia="Times New Roman"/>
                <w:sz w:val="20"/>
                <w:szCs w:val="20"/>
              </w:rPr>
            </w:pPr>
          </w:p>
        </w:tc>
        <w:tc>
          <w:tcPr>
            <w:tcW w:w="0" w:type="auto"/>
            <w:vAlign w:val="center"/>
            <w:hideMark/>
          </w:tcPr>
          <w:p w14:paraId="00F3DA67" w14:textId="77777777" w:rsidR="00000000" w:rsidRDefault="00A173A8">
            <w:pPr>
              <w:spacing w:after="100"/>
              <w:rPr>
                <w:rFonts w:eastAsia="Times New Roman"/>
                <w:sz w:val="20"/>
                <w:szCs w:val="20"/>
              </w:rPr>
            </w:pPr>
          </w:p>
        </w:tc>
        <w:tc>
          <w:tcPr>
            <w:tcW w:w="0" w:type="auto"/>
            <w:vAlign w:val="center"/>
            <w:hideMark/>
          </w:tcPr>
          <w:p w14:paraId="260E585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5FE0E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445825" w14:textId="77777777" w:rsidR="00000000" w:rsidRDefault="00A173A8">
            <w:pPr>
              <w:spacing w:after="100"/>
              <w:rPr>
                <w:rFonts w:eastAsia="Times New Roman"/>
                <w:sz w:val="20"/>
                <w:szCs w:val="20"/>
              </w:rPr>
            </w:pPr>
          </w:p>
        </w:tc>
        <w:tc>
          <w:tcPr>
            <w:tcW w:w="0" w:type="auto"/>
            <w:gridSpan w:val="3"/>
            <w:vAlign w:val="center"/>
            <w:hideMark/>
          </w:tcPr>
          <w:p w14:paraId="14F6718D" w14:textId="77777777" w:rsidR="00000000" w:rsidRDefault="00A173A8">
            <w:pPr>
              <w:spacing w:after="100"/>
              <w:rPr>
                <w:rFonts w:eastAsia="Times New Roman"/>
                <w:sz w:val="20"/>
                <w:szCs w:val="20"/>
              </w:rPr>
            </w:pPr>
          </w:p>
        </w:tc>
        <w:tc>
          <w:tcPr>
            <w:tcW w:w="0" w:type="auto"/>
            <w:gridSpan w:val="3"/>
            <w:vAlign w:val="center"/>
            <w:hideMark/>
          </w:tcPr>
          <w:p w14:paraId="4D6EF1E2" w14:textId="77777777" w:rsidR="00000000" w:rsidRDefault="00A173A8">
            <w:pPr>
              <w:spacing w:after="100"/>
              <w:rPr>
                <w:rFonts w:eastAsia="Times New Roman"/>
                <w:sz w:val="20"/>
                <w:szCs w:val="20"/>
              </w:rPr>
            </w:pPr>
          </w:p>
        </w:tc>
      </w:tr>
      <w:tr w:rsidR="00000000" w14:paraId="761EED13" w14:textId="77777777">
        <w:trPr>
          <w:divId w:val="464082963"/>
        </w:trPr>
        <w:tc>
          <w:tcPr>
            <w:tcW w:w="0" w:type="auto"/>
            <w:gridSpan w:val="3"/>
            <w:shd w:val="clear" w:color="auto" w:fill="FFFFFF"/>
            <w:tcMar>
              <w:top w:w="30" w:type="dxa"/>
              <w:left w:w="20" w:type="dxa"/>
              <w:bottom w:w="30" w:type="dxa"/>
              <w:right w:w="20" w:type="dxa"/>
            </w:tcMar>
            <w:vAlign w:val="center"/>
            <w:hideMark/>
          </w:tcPr>
          <w:p w14:paraId="6D7B41CC" w14:textId="77777777" w:rsidR="00000000" w:rsidRDefault="00A173A8">
            <w:pPr>
              <w:spacing w:after="100"/>
              <w:rPr>
                <w:rFonts w:eastAsia="Times New Roman"/>
              </w:rPr>
            </w:pPr>
            <w:r>
              <w:rPr>
                <w:rFonts w:eastAsia="Times New Roman"/>
                <w:color w:val="000000"/>
                <w:sz w:val="20"/>
                <w:szCs w:val="20"/>
              </w:rPr>
              <w:t>Loans held for investment:</w:t>
            </w:r>
          </w:p>
        </w:tc>
        <w:tc>
          <w:tcPr>
            <w:tcW w:w="0" w:type="auto"/>
            <w:gridSpan w:val="3"/>
            <w:shd w:val="clear" w:color="auto" w:fill="FFFFFF"/>
            <w:tcMar>
              <w:top w:w="0" w:type="dxa"/>
              <w:left w:w="20" w:type="dxa"/>
              <w:bottom w:w="0" w:type="dxa"/>
              <w:right w:w="20" w:type="dxa"/>
            </w:tcMar>
            <w:vAlign w:val="center"/>
            <w:hideMark/>
          </w:tcPr>
          <w:p w14:paraId="2C9827E5"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3F4E8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B4CF8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89A41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68D58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D5823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F0C1A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422FC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2FFF2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5B1EA8" w14:textId="77777777" w:rsidR="00000000" w:rsidRDefault="00A173A8">
            <w:pPr>
              <w:spacing w:after="100"/>
              <w:rPr>
                <w:rFonts w:eastAsia="Times New Roman"/>
                <w:sz w:val="20"/>
                <w:szCs w:val="20"/>
              </w:rPr>
            </w:pPr>
          </w:p>
        </w:tc>
        <w:tc>
          <w:tcPr>
            <w:tcW w:w="0" w:type="auto"/>
            <w:vAlign w:val="center"/>
            <w:hideMark/>
          </w:tcPr>
          <w:p w14:paraId="35B3D711" w14:textId="77777777" w:rsidR="00000000" w:rsidRDefault="00A173A8">
            <w:pPr>
              <w:spacing w:after="100"/>
              <w:rPr>
                <w:rFonts w:eastAsia="Times New Roman"/>
                <w:sz w:val="20"/>
                <w:szCs w:val="20"/>
              </w:rPr>
            </w:pPr>
          </w:p>
        </w:tc>
        <w:tc>
          <w:tcPr>
            <w:tcW w:w="0" w:type="auto"/>
            <w:vAlign w:val="center"/>
            <w:hideMark/>
          </w:tcPr>
          <w:p w14:paraId="4F4E7E5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50CCC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CCE8F3" w14:textId="77777777" w:rsidR="00000000" w:rsidRDefault="00A173A8">
            <w:pPr>
              <w:spacing w:after="100"/>
              <w:rPr>
                <w:rFonts w:eastAsia="Times New Roman"/>
                <w:sz w:val="20"/>
                <w:szCs w:val="20"/>
              </w:rPr>
            </w:pPr>
          </w:p>
        </w:tc>
        <w:tc>
          <w:tcPr>
            <w:tcW w:w="0" w:type="auto"/>
            <w:gridSpan w:val="3"/>
            <w:vAlign w:val="center"/>
            <w:hideMark/>
          </w:tcPr>
          <w:p w14:paraId="47119961" w14:textId="77777777" w:rsidR="00000000" w:rsidRDefault="00A173A8">
            <w:pPr>
              <w:spacing w:after="100"/>
              <w:rPr>
                <w:rFonts w:eastAsia="Times New Roman"/>
                <w:sz w:val="20"/>
                <w:szCs w:val="20"/>
              </w:rPr>
            </w:pPr>
          </w:p>
        </w:tc>
        <w:tc>
          <w:tcPr>
            <w:tcW w:w="0" w:type="auto"/>
            <w:gridSpan w:val="3"/>
            <w:vAlign w:val="center"/>
            <w:hideMark/>
          </w:tcPr>
          <w:p w14:paraId="0935F5AF" w14:textId="77777777" w:rsidR="00000000" w:rsidRDefault="00A173A8">
            <w:pPr>
              <w:spacing w:after="100"/>
              <w:rPr>
                <w:rFonts w:eastAsia="Times New Roman"/>
                <w:sz w:val="20"/>
                <w:szCs w:val="20"/>
              </w:rPr>
            </w:pPr>
          </w:p>
        </w:tc>
      </w:tr>
      <w:tr w:rsidR="00000000" w14:paraId="4E05A5C2" w14:textId="77777777">
        <w:trPr>
          <w:divId w:val="464082963"/>
        </w:trPr>
        <w:tc>
          <w:tcPr>
            <w:tcW w:w="0" w:type="auto"/>
            <w:gridSpan w:val="3"/>
            <w:shd w:val="clear" w:color="auto" w:fill="CCEEFF"/>
            <w:tcMar>
              <w:top w:w="30" w:type="dxa"/>
              <w:left w:w="245" w:type="dxa"/>
              <w:bottom w:w="30" w:type="dxa"/>
              <w:right w:w="20" w:type="dxa"/>
            </w:tcMar>
            <w:vAlign w:val="center"/>
            <w:hideMark/>
          </w:tcPr>
          <w:p w14:paraId="1B79DC14" w14:textId="77777777" w:rsidR="00000000" w:rsidRDefault="00A173A8">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CCEEFF"/>
            <w:tcMar>
              <w:top w:w="0" w:type="dxa"/>
              <w:left w:w="20" w:type="dxa"/>
              <w:bottom w:w="0" w:type="dxa"/>
              <w:right w:w="20" w:type="dxa"/>
            </w:tcMar>
            <w:vAlign w:val="center"/>
            <w:hideMark/>
          </w:tcPr>
          <w:p w14:paraId="2CFCAD94"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49BD716"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19975C68" w14:textId="77777777" w:rsidR="00000000" w:rsidRDefault="00A173A8">
            <w:pPr>
              <w:spacing w:after="100"/>
              <w:jc w:val="right"/>
              <w:rPr>
                <w:rFonts w:eastAsia="Times New Roman"/>
              </w:rPr>
            </w:pPr>
            <w:r>
              <w:rPr>
                <w:rFonts w:eastAsia="Times New Roman"/>
                <w:b/>
                <w:bCs/>
                <w:color w:val="000000"/>
                <w:sz w:val="20"/>
                <w:szCs w:val="20"/>
              </w:rPr>
              <w:t>37,845</w:t>
            </w:r>
          </w:p>
        </w:tc>
        <w:tc>
          <w:tcPr>
            <w:tcW w:w="0" w:type="auto"/>
            <w:gridSpan w:val="3"/>
            <w:shd w:val="clear" w:color="auto" w:fill="CCEEFF"/>
            <w:tcMar>
              <w:top w:w="0" w:type="dxa"/>
              <w:left w:w="20" w:type="dxa"/>
              <w:bottom w:w="0" w:type="dxa"/>
              <w:right w:w="20" w:type="dxa"/>
            </w:tcMar>
            <w:vAlign w:val="center"/>
            <w:hideMark/>
          </w:tcPr>
          <w:p w14:paraId="5EC0CD88"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599CCC0"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14:paraId="18509C46" w14:textId="77777777" w:rsidR="00000000" w:rsidRDefault="00A173A8">
            <w:pPr>
              <w:spacing w:after="100"/>
              <w:jc w:val="right"/>
              <w:rPr>
                <w:rFonts w:eastAsia="Times New Roman"/>
              </w:rPr>
            </w:pPr>
            <w:r>
              <w:rPr>
                <w:rFonts w:eastAsia="Times New Roman"/>
                <w:color w:val="000000"/>
                <w:sz w:val="20"/>
                <w:szCs w:val="20"/>
              </w:rPr>
              <w:t>35,262</w:t>
            </w:r>
          </w:p>
        </w:tc>
        <w:tc>
          <w:tcPr>
            <w:tcW w:w="0" w:type="auto"/>
            <w:gridSpan w:val="3"/>
            <w:shd w:val="clear" w:color="auto" w:fill="CCEEFF"/>
            <w:tcMar>
              <w:top w:w="0" w:type="dxa"/>
              <w:left w:w="20" w:type="dxa"/>
              <w:bottom w:w="0" w:type="dxa"/>
              <w:right w:w="20" w:type="dxa"/>
            </w:tcMar>
            <w:vAlign w:val="center"/>
            <w:hideMark/>
          </w:tcPr>
          <w:p w14:paraId="6787D795"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14:paraId="61666B22" w14:textId="77777777" w:rsidR="00000000" w:rsidRDefault="00A173A8">
            <w:pPr>
              <w:spacing w:after="100"/>
              <w:jc w:val="right"/>
              <w:rPr>
                <w:rFonts w:eastAsia="Times New Roman"/>
              </w:rPr>
            </w:pPr>
            <w:r>
              <w:rPr>
                <w:rFonts w:eastAsia="Times New Roman"/>
                <w:color w:val="000000"/>
                <w:sz w:val="20"/>
                <w:szCs w:val="20"/>
              </w:rPr>
              <w:t>7%</w:t>
            </w:r>
          </w:p>
        </w:tc>
        <w:tc>
          <w:tcPr>
            <w:tcW w:w="0" w:type="auto"/>
            <w:gridSpan w:val="3"/>
            <w:shd w:val="clear" w:color="auto" w:fill="CCEEFF"/>
            <w:tcMar>
              <w:top w:w="0" w:type="dxa"/>
              <w:left w:w="20" w:type="dxa"/>
              <w:bottom w:w="0" w:type="dxa"/>
              <w:right w:w="20" w:type="dxa"/>
            </w:tcMar>
            <w:vAlign w:val="center"/>
            <w:hideMark/>
          </w:tcPr>
          <w:p w14:paraId="3128E8C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78DB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8544E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B1496D" w14:textId="77777777" w:rsidR="00000000" w:rsidRDefault="00A173A8">
            <w:pPr>
              <w:spacing w:after="100"/>
              <w:rPr>
                <w:rFonts w:eastAsia="Times New Roman"/>
                <w:sz w:val="20"/>
                <w:szCs w:val="20"/>
              </w:rPr>
            </w:pPr>
          </w:p>
        </w:tc>
        <w:tc>
          <w:tcPr>
            <w:tcW w:w="0" w:type="auto"/>
            <w:vAlign w:val="center"/>
            <w:hideMark/>
          </w:tcPr>
          <w:p w14:paraId="2D5ACFF0" w14:textId="77777777" w:rsidR="00000000" w:rsidRDefault="00A173A8">
            <w:pPr>
              <w:spacing w:after="100"/>
              <w:rPr>
                <w:rFonts w:eastAsia="Times New Roman"/>
                <w:sz w:val="20"/>
                <w:szCs w:val="20"/>
              </w:rPr>
            </w:pPr>
          </w:p>
        </w:tc>
        <w:tc>
          <w:tcPr>
            <w:tcW w:w="0" w:type="auto"/>
            <w:vAlign w:val="center"/>
            <w:hideMark/>
          </w:tcPr>
          <w:p w14:paraId="0FE7EF0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CA766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2E0FFC" w14:textId="77777777" w:rsidR="00000000" w:rsidRDefault="00A173A8">
            <w:pPr>
              <w:spacing w:after="100"/>
              <w:rPr>
                <w:rFonts w:eastAsia="Times New Roman"/>
                <w:sz w:val="20"/>
                <w:szCs w:val="20"/>
              </w:rPr>
            </w:pPr>
          </w:p>
        </w:tc>
        <w:tc>
          <w:tcPr>
            <w:tcW w:w="0" w:type="auto"/>
            <w:gridSpan w:val="3"/>
            <w:vAlign w:val="center"/>
            <w:hideMark/>
          </w:tcPr>
          <w:p w14:paraId="73280EF6" w14:textId="77777777" w:rsidR="00000000" w:rsidRDefault="00A173A8">
            <w:pPr>
              <w:spacing w:after="100"/>
              <w:rPr>
                <w:rFonts w:eastAsia="Times New Roman"/>
                <w:sz w:val="20"/>
                <w:szCs w:val="20"/>
              </w:rPr>
            </w:pPr>
          </w:p>
        </w:tc>
        <w:tc>
          <w:tcPr>
            <w:tcW w:w="0" w:type="auto"/>
            <w:gridSpan w:val="3"/>
            <w:vAlign w:val="center"/>
            <w:hideMark/>
          </w:tcPr>
          <w:p w14:paraId="62D2DA18" w14:textId="77777777" w:rsidR="00000000" w:rsidRDefault="00A173A8">
            <w:pPr>
              <w:spacing w:after="100"/>
              <w:rPr>
                <w:rFonts w:eastAsia="Times New Roman"/>
                <w:sz w:val="20"/>
                <w:szCs w:val="20"/>
              </w:rPr>
            </w:pPr>
          </w:p>
        </w:tc>
      </w:tr>
      <w:tr w:rsidR="00000000" w14:paraId="4D185B3C" w14:textId="77777777">
        <w:trPr>
          <w:divId w:val="464082963"/>
        </w:trPr>
        <w:tc>
          <w:tcPr>
            <w:tcW w:w="0" w:type="auto"/>
            <w:gridSpan w:val="3"/>
            <w:shd w:val="clear" w:color="auto" w:fill="FFFFFF"/>
            <w:tcMar>
              <w:top w:w="30" w:type="dxa"/>
              <w:left w:w="245" w:type="dxa"/>
              <w:bottom w:w="30" w:type="dxa"/>
              <w:right w:w="20" w:type="dxa"/>
            </w:tcMar>
            <w:vAlign w:val="center"/>
            <w:hideMark/>
          </w:tcPr>
          <w:p w14:paraId="49B4D18D" w14:textId="77777777" w:rsidR="00000000" w:rsidRDefault="00A173A8">
            <w:pPr>
              <w:spacing w:after="100"/>
              <w:rPr>
                <w:rFonts w:eastAsia="Times New Roman"/>
              </w:rPr>
            </w:pPr>
            <w:r>
              <w:rPr>
                <w:rFonts w:eastAsia="Times New Roman"/>
                <w:color w:val="000000"/>
                <w:sz w:val="20"/>
                <w:szCs w:val="20"/>
              </w:rPr>
              <w:t>Commercial and industrial</w:t>
            </w:r>
          </w:p>
        </w:tc>
        <w:tc>
          <w:tcPr>
            <w:tcW w:w="0" w:type="auto"/>
            <w:gridSpan w:val="3"/>
            <w:shd w:val="clear" w:color="auto" w:fill="FFFFFF"/>
            <w:tcMar>
              <w:top w:w="0" w:type="dxa"/>
              <w:left w:w="20" w:type="dxa"/>
              <w:bottom w:w="0" w:type="dxa"/>
              <w:right w:w="20" w:type="dxa"/>
            </w:tcMar>
            <w:vAlign w:val="center"/>
            <w:hideMark/>
          </w:tcPr>
          <w:p w14:paraId="38D7F267"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4F7B2DA3" w14:textId="77777777" w:rsidR="00000000" w:rsidRDefault="00A173A8">
            <w:pPr>
              <w:spacing w:after="100"/>
              <w:jc w:val="right"/>
              <w:rPr>
                <w:rFonts w:eastAsia="Times New Roman"/>
              </w:rPr>
            </w:pPr>
            <w:r>
              <w:rPr>
                <w:rFonts w:eastAsia="Times New Roman"/>
                <w:b/>
                <w:bCs/>
                <w:color w:val="000000"/>
                <w:sz w:val="20"/>
                <w:szCs w:val="20"/>
              </w:rPr>
              <w:t>56,128</w:t>
            </w:r>
          </w:p>
        </w:tc>
        <w:tc>
          <w:tcPr>
            <w:tcW w:w="0" w:type="auto"/>
            <w:gridSpan w:val="3"/>
            <w:shd w:val="clear" w:color="auto" w:fill="FFFFFF"/>
            <w:tcMar>
              <w:top w:w="0" w:type="dxa"/>
              <w:left w:w="20" w:type="dxa"/>
              <w:bottom w:w="0" w:type="dxa"/>
              <w:right w:w="20" w:type="dxa"/>
            </w:tcMar>
            <w:vAlign w:val="center"/>
            <w:hideMark/>
          </w:tcPr>
          <w:p w14:paraId="4392A659"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C047FE4" w14:textId="77777777" w:rsidR="00000000" w:rsidRDefault="00A173A8">
            <w:pPr>
              <w:spacing w:after="100"/>
              <w:jc w:val="right"/>
              <w:rPr>
                <w:rFonts w:eastAsia="Times New Roman"/>
              </w:rPr>
            </w:pPr>
            <w:r>
              <w:rPr>
                <w:rFonts w:eastAsia="Times New Roman"/>
                <w:color w:val="000000"/>
                <w:sz w:val="20"/>
                <w:szCs w:val="20"/>
              </w:rPr>
              <w:t>49,660</w:t>
            </w:r>
          </w:p>
        </w:tc>
        <w:tc>
          <w:tcPr>
            <w:tcW w:w="0" w:type="auto"/>
            <w:gridSpan w:val="3"/>
            <w:shd w:val="clear" w:color="auto" w:fill="FFFFFF"/>
            <w:tcMar>
              <w:top w:w="0" w:type="dxa"/>
              <w:left w:w="20" w:type="dxa"/>
              <w:bottom w:w="0" w:type="dxa"/>
              <w:right w:w="20" w:type="dxa"/>
            </w:tcMar>
            <w:vAlign w:val="center"/>
            <w:hideMark/>
          </w:tcPr>
          <w:p w14:paraId="03AB4CB0"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A99CFB" w14:textId="77777777" w:rsidR="00000000" w:rsidRDefault="00A173A8">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14:paraId="4EF826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FCC800"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9166C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21357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0CE727" w14:textId="77777777" w:rsidR="00000000" w:rsidRDefault="00A173A8">
            <w:pPr>
              <w:spacing w:after="100"/>
              <w:rPr>
                <w:rFonts w:eastAsia="Times New Roman"/>
                <w:sz w:val="20"/>
                <w:szCs w:val="20"/>
              </w:rPr>
            </w:pPr>
          </w:p>
        </w:tc>
        <w:tc>
          <w:tcPr>
            <w:tcW w:w="0" w:type="auto"/>
            <w:vAlign w:val="center"/>
            <w:hideMark/>
          </w:tcPr>
          <w:p w14:paraId="040CA39B" w14:textId="77777777" w:rsidR="00000000" w:rsidRDefault="00A173A8">
            <w:pPr>
              <w:spacing w:after="100"/>
              <w:rPr>
                <w:rFonts w:eastAsia="Times New Roman"/>
                <w:sz w:val="20"/>
                <w:szCs w:val="20"/>
              </w:rPr>
            </w:pPr>
          </w:p>
        </w:tc>
        <w:tc>
          <w:tcPr>
            <w:tcW w:w="0" w:type="auto"/>
            <w:vAlign w:val="center"/>
            <w:hideMark/>
          </w:tcPr>
          <w:p w14:paraId="73ED1C0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58B3D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F76E8E" w14:textId="77777777" w:rsidR="00000000" w:rsidRDefault="00A173A8">
            <w:pPr>
              <w:spacing w:after="100"/>
              <w:rPr>
                <w:rFonts w:eastAsia="Times New Roman"/>
                <w:sz w:val="20"/>
                <w:szCs w:val="20"/>
              </w:rPr>
            </w:pPr>
          </w:p>
        </w:tc>
        <w:tc>
          <w:tcPr>
            <w:tcW w:w="0" w:type="auto"/>
            <w:gridSpan w:val="3"/>
            <w:vAlign w:val="center"/>
            <w:hideMark/>
          </w:tcPr>
          <w:p w14:paraId="1A5933AD" w14:textId="77777777" w:rsidR="00000000" w:rsidRDefault="00A173A8">
            <w:pPr>
              <w:spacing w:after="100"/>
              <w:rPr>
                <w:rFonts w:eastAsia="Times New Roman"/>
                <w:sz w:val="20"/>
                <w:szCs w:val="20"/>
              </w:rPr>
            </w:pPr>
          </w:p>
        </w:tc>
        <w:tc>
          <w:tcPr>
            <w:tcW w:w="0" w:type="auto"/>
            <w:gridSpan w:val="3"/>
            <w:vAlign w:val="center"/>
            <w:hideMark/>
          </w:tcPr>
          <w:p w14:paraId="6B203183" w14:textId="77777777" w:rsidR="00000000" w:rsidRDefault="00A173A8">
            <w:pPr>
              <w:spacing w:after="100"/>
              <w:rPr>
                <w:rFonts w:eastAsia="Times New Roman"/>
                <w:sz w:val="20"/>
                <w:szCs w:val="20"/>
              </w:rPr>
            </w:pPr>
          </w:p>
        </w:tc>
      </w:tr>
      <w:tr w:rsidR="00000000" w14:paraId="2955A84A" w14:textId="77777777">
        <w:trPr>
          <w:divId w:val="464082963"/>
        </w:trPr>
        <w:tc>
          <w:tcPr>
            <w:tcW w:w="0" w:type="auto"/>
            <w:gridSpan w:val="3"/>
            <w:shd w:val="clear" w:color="auto" w:fill="CCEEFF"/>
            <w:tcMar>
              <w:top w:w="30" w:type="dxa"/>
              <w:left w:w="20" w:type="dxa"/>
              <w:bottom w:w="30" w:type="dxa"/>
              <w:right w:w="20" w:type="dxa"/>
            </w:tcMar>
            <w:vAlign w:val="center"/>
            <w:hideMark/>
          </w:tcPr>
          <w:p w14:paraId="3A70F553" w14:textId="77777777" w:rsidR="00000000" w:rsidRDefault="00A173A8">
            <w:pPr>
              <w:spacing w:after="100"/>
              <w:rPr>
                <w:rFonts w:eastAsia="Times New Roman"/>
              </w:rPr>
            </w:pPr>
            <w:r>
              <w:rPr>
                <w:rFonts w:eastAsia="Times New Roman"/>
                <w:color w:val="000000"/>
                <w:sz w:val="20"/>
                <w:szCs w:val="20"/>
              </w:rPr>
              <w:t>Total commercial banking</w:t>
            </w:r>
          </w:p>
        </w:tc>
        <w:tc>
          <w:tcPr>
            <w:tcW w:w="0" w:type="auto"/>
            <w:gridSpan w:val="3"/>
            <w:shd w:val="clear" w:color="auto" w:fill="CCEEFF"/>
            <w:tcMar>
              <w:top w:w="0" w:type="dxa"/>
              <w:left w:w="20" w:type="dxa"/>
              <w:bottom w:w="0" w:type="dxa"/>
              <w:right w:w="20" w:type="dxa"/>
            </w:tcMar>
            <w:vAlign w:val="center"/>
            <w:hideMark/>
          </w:tcPr>
          <w:p w14:paraId="1A80338B"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460C6D"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71577C86" w14:textId="77777777" w:rsidR="00000000" w:rsidRDefault="00A173A8">
            <w:pPr>
              <w:spacing w:after="100"/>
              <w:jc w:val="right"/>
              <w:rPr>
                <w:rFonts w:eastAsia="Times New Roman"/>
              </w:rPr>
            </w:pPr>
            <w:r>
              <w:rPr>
                <w:rFonts w:eastAsia="Times New Roman"/>
                <w:b/>
                <w:bCs/>
                <w:color w:val="000000"/>
                <w:sz w:val="20"/>
                <w:szCs w:val="20"/>
              </w:rPr>
              <w:t>93,973</w:t>
            </w:r>
          </w:p>
        </w:tc>
        <w:tc>
          <w:tcPr>
            <w:tcW w:w="0" w:type="auto"/>
            <w:gridSpan w:val="3"/>
            <w:shd w:val="clear" w:color="auto" w:fill="CCEEFF"/>
            <w:tcMar>
              <w:top w:w="0" w:type="dxa"/>
              <w:left w:w="20" w:type="dxa"/>
              <w:bottom w:w="0" w:type="dxa"/>
              <w:right w:w="20" w:type="dxa"/>
            </w:tcMar>
            <w:vAlign w:val="center"/>
            <w:hideMark/>
          </w:tcPr>
          <w:p w14:paraId="44511318"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5667A4" w14:textId="77777777" w:rsidR="00000000" w:rsidRDefault="00A173A8">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ED2FC50" w14:textId="77777777" w:rsidR="00000000" w:rsidRDefault="00A173A8">
            <w:pPr>
              <w:spacing w:after="100"/>
              <w:jc w:val="right"/>
              <w:rPr>
                <w:rFonts w:eastAsia="Times New Roman"/>
              </w:rPr>
            </w:pPr>
            <w:r>
              <w:rPr>
                <w:rFonts w:eastAsia="Times New Roman"/>
                <w:color w:val="000000"/>
                <w:sz w:val="20"/>
                <w:szCs w:val="20"/>
              </w:rPr>
              <w:t>84,922</w:t>
            </w:r>
          </w:p>
        </w:tc>
        <w:tc>
          <w:tcPr>
            <w:tcW w:w="0" w:type="auto"/>
            <w:gridSpan w:val="3"/>
            <w:shd w:val="clear" w:color="auto" w:fill="CCEEFF"/>
            <w:tcMar>
              <w:top w:w="0" w:type="dxa"/>
              <w:left w:w="20" w:type="dxa"/>
              <w:bottom w:w="0" w:type="dxa"/>
              <w:right w:w="20" w:type="dxa"/>
            </w:tcMar>
            <w:vAlign w:val="center"/>
            <w:hideMark/>
          </w:tcPr>
          <w:p w14:paraId="4F2634BF"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C25942" w14:textId="77777777" w:rsidR="00000000" w:rsidRDefault="00A173A8">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45E6F29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5A535"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CFC2F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782A7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301A8" w14:textId="77777777" w:rsidR="00000000" w:rsidRDefault="00A173A8">
            <w:pPr>
              <w:spacing w:after="100"/>
              <w:rPr>
                <w:rFonts w:eastAsia="Times New Roman"/>
                <w:sz w:val="20"/>
                <w:szCs w:val="20"/>
              </w:rPr>
            </w:pPr>
          </w:p>
        </w:tc>
        <w:tc>
          <w:tcPr>
            <w:tcW w:w="0" w:type="auto"/>
            <w:vAlign w:val="center"/>
            <w:hideMark/>
          </w:tcPr>
          <w:p w14:paraId="05637ACD" w14:textId="77777777" w:rsidR="00000000" w:rsidRDefault="00A173A8">
            <w:pPr>
              <w:spacing w:after="100"/>
              <w:rPr>
                <w:rFonts w:eastAsia="Times New Roman"/>
                <w:sz w:val="20"/>
                <w:szCs w:val="20"/>
              </w:rPr>
            </w:pPr>
          </w:p>
        </w:tc>
        <w:tc>
          <w:tcPr>
            <w:tcW w:w="0" w:type="auto"/>
            <w:vAlign w:val="center"/>
            <w:hideMark/>
          </w:tcPr>
          <w:p w14:paraId="546ACC1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252C8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294500" w14:textId="77777777" w:rsidR="00000000" w:rsidRDefault="00A173A8">
            <w:pPr>
              <w:spacing w:after="100"/>
              <w:rPr>
                <w:rFonts w:eastAsia="Times New Roman"/>
                <w:sz w:val="20"/>
                <w:szCs w:val="20"/>
              </w:rPr>
            </w:pPr>
          </w:p>
        </w:tc>
        <w:tc>
          <w:tcPr>
            <w:tcW w:w="0" w:type="auto"/>
            <w:gridSpan w:val="3"/>
            <w:vAlign w:val="center"/>
            <w:hideMark/>
          </w:tcPr>
          <w:p w14:paraId="4348FFAB" w14:textId="77777777" w:rsidR="00000000" w:rsidRDefault="00A173A8">
            <w:pPr>
              <w:spacing w:after="100"/>
              <w:rPr>
                <w:rFonts w:eastAsia="Times New Roman"/>
                <w:sz w:val="20"/>
                <w:szCs w:val="20"/>
              </w:rPr>
            </w:pPr>
          </w:p>
        </w:tc>
        <w:tc>
          <w:tcPr>
            <w:tcW w:w="0" w:type="auto"/>
            <w:gridSpan w:val="3"/>
            <w:vAlign w:val="center"/>
            <w:hideMark/>
          </w:tcPr>
          <w:p w14:paraId="628527D3" w14:textId="77777777" w:rsidR="00000000" w:rsidRDefault="00A173A8">
            <w:pPr>
              <w:spacing w:after="100"/>
              <w:rPr>
                <w:rFonts w:eastAsia="Times New Roman"/>
                <w:sz w:val="20"/>
                <w:szCs w:val="20"/>
              </w:rPr>
            </w:pPr>
          </w:p>
        </w:tc>
      </w:tr>
      <w:tr w:rsidR="00000000" w14:paraId="4E833B12" w14:textId="77777777">
        <w:trPr>
          <w:divId w:val="464082963"/>
        </w:trPr>
        <w:tc>
          <w:tcPr>
            <w:tcW w:w="0" w:type="auto"/>
            <w:gridSpan w:val="3"/>
            <w:shd w:val="clear" w:color="auto" w:fill="FFFFFF"/>
            <w:tcMar>
              <w:top w:w="30" w:type="dxa"/>
              <w:left w:w="20" w:type="dxa"/>
              <w:bottom w:w="30" w:type="dxa"/>
              <w:right w:w="20" w:type="dxa"/>
            </w:tcMar>
            <w:vAlign w:val="center"/>
            <w:hideMark/>
          </w:tcPr>
          <w:p w14:paraId="5625E22B" w14:textId="77777777" w:rsidR="00000000" w:rsidRDefault="00A173A8">
            <w:pPr>
              <w:spacing w:after="100"/>
              <w:rPr>
                <w:rFonts w:eastAsia="Times New Roman"/>
              </w:rPr>
            </w:pPr>
            <w:r>
              <w:rPr>
                <w:rFonts w:eastAsia="Times New Roman"/>
                <w:color w:val="000000"/>
                <w:sz w:val="20"/>
                <w:szCs w:val="20"/>
              </w:rPr>
              <w:t>Nonperforming loan rate</w:t>
            </w:r>
          </w:p>
        </w:tc>
        <w:tc>
          <w:tcPr>
            <w:tcW w:w="0" w:type="auto"/>
            <w:gridSpan w:val="3"/>
            <w:shd w:val="clear" w:color="auto" w:fill="FFFFFF"/>
            <w:tcMar>
              <w:top w:w="0" w:type="dxa"/>
              <w:left w:w="20" w:type="dxa"/>
              <w:bottom w:w="0" w:type="dxa"/>
              <w:right w:w="20" w:type="dxa"/>
            </w:tcMar>
            <w:vAlign w:val="center"/>
            <w:hideMark/>
          </w:tcPr>
          <w:p w14:paraId="066269CF" w14:textId="77777777" w:rsidR="00000000" w:rsidRDefault="00A173A8">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881EA0B" w14:textId="77777777" w:rsidR="00000000" w:rsidRDefault="00A173A8">
            <w:pPr>
              <w:spacing w:after="100"/>
              <w:jc w:val="right"/>
              <w:rPr>
                <w:rFonts w:eastAsia="Times New Roman"/>
              </w:rPr>
            </w:pPr>
            <w:r>
              <w:rPr>
                <w:rFonts w:eastAsia="Times New Roman"/>
                <w:b/>
                <w:bCs/>
                <w:color w:val="000000"/>
                <w:sz w:val="20"/>
                <w:szCs w:val="20"/>
              </w:rPr>
              <w:t>0.70</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AFC522D"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CE992AA" w14:textId="77777777" w:rsidR="00000000" w:rsidRDefault="00A173A8">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7AC6995" w14:textId="77777777" w:rsidR="00000000" w:rsidRDefault="00A173A8">
            <w:pPr>
              <w:spacing w:after="100"/>
              <w:jc w:val="right"/>
              <w:rPr>
                <w:rFonts w:eastAsia="Times New Roman"/>
              </w:rPr>
            </w:pPr>
            <w:r>
              <w:rPr>
                <w:rFonts w:eastAsia="Times New Roman"/>
                <w:color w:val="000000"/>
                <w:sz w:val="20"/>
                <w:szCs w:val="20"/>
              </w:rPr>
              <w:t>0.82 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C5B738F"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B6D2D8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77B807" w14:textId="77777777" w:rsidR="00000000" w:rsidRDefault="00A173A8">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14:paraId="19DBE2A6"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shd w:val="clear" w:color="auto" w:fill="FFFFFF"/>
            <w:tcMar>
              <w:top w:w="0" w:type="dxa"/>
              <w:left w:w="20" w:type="dxa"/>
              <w:bottom w:w="0" w:type="dxa"/>
              <w:right w:w="20" w:type="dxa"/>
            </w:tcMar>
            <w:vAlign w:val="center"/>
            <w:hideMark/>
          </w:tcPr>
          <w:p w14:paraId="2392C8A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994E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4225A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AB594C" w14:textId="77777777" w:rsidR="00000000" w:rsidRDefault="00A173A8">
            <w:pPr>
              <w:spacing w:after="100"/>
              <w:rPr>
                <w:rFonts w:eastAsia="Times New Roman"/>
                <w:sz w:val="20"/>
                <w:szCs w:val="20"/>
              </w:rPr>
            </w:pPr>
          </w:p>
        </w:tc>
        <w:tc>
          <w:tcPr>
            <w:tcW w:w="0" w:type="auto"/>
            <w:vAlign w:val="center"/>
            <w:hideMark/>
          </w:tcPr>
          <w:p w14:paraId="578DAC73" w14:textId="77777777" w:rsidR="00000000" w:rsidRDefault="00A173A8">
            <w:pPr>
              <w:spacing w:after="100"/>
              <w:rPr>
                <w:rFonts w:eastAsia="Times New Roman"/>
                <w:sz w:val="20"/>
                <w:szCs w:val="20"/>
              </w:rPr>
            </w:pPr>
          </w:p>
        </w:tc>
        <w:tc>
          <w:tcPr>
            <w:tcW w:w="0" w:type="auto"/>
            <w:vAlign w:val="center"/>
            <w:hideMark/>
          </w:tcPr>
          <w:p w14:paraId="711D8A9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59F83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94A635" w14:textId="77777777" w:rsidR="00000000" w:rsidRDefault="00A173A8">
            <w:pPr>
              <w:spacing w:after="100"/>
              <w:rPr>
                <w:rFonts w:eastAsia="Times New Roman"/>
                <w:sz w:val="20"/>
                <w:szCs w:val="20"/>
              </w:rPr>
            </w:pPr>
          </w:p>
        </w:tc>
        <w:tc>
          <w:tcPr>
            <w:tcW w:w="0" w:type="auto"/>
            <w:gridSpan w:val="3"/>
            <w:vAlign w:val="center"/>
            <w:hideMark/>
          </w:tcPr>
          <w:p w14:paraId="5CB910A0" w14:textId="77777777" w:rsidR="00000000" w:rsidRDefault="00A173A8">
            <w:pPr>
              <w:spacing w:after="100"/>
              <w:rPr>
                <w:rFonts w:eastAsia="Times New Roman"/>
                <w:sz w:val="20"/>
                <w:szCs w:val="20"/>
              </w:rPr>
            </w:pPr>
          </w:p>
        </w:tc>
        <w:tc>
          <w:tcPr>
            <w:tcW w:w="0" w:type="auto"/>
            <w:gridSpan w:val="3"/>
            <w:vAlign w:val="center"/>
            <w:hideMark/>
          </w:tcPr>
          <w:p w14:paraId="42BFAE01" w14:textId="77777777" w:rsidR="00000000" w:rsidRDefault="00A173A8">
            <w:pPr>
              <w:spacing w:after="100"/>
              <w:rPr>
                <w:rFonts w:eastAsia="Times New Roman"/>
                <w:sz w:val="20"/>
                <w:szCs w:val="20"/>
              </w:rPr>
            </w:pPr>
          </w:p>
        </w:tc>
      </w:tr>
      <w:tr w:rsidR="00000000" w14:paraId="634761EB" w14:textId="77777777">
        <w:trPr>
          <w:divId w:val="464082963"/>
        </w:trPr>
        <w:tc>
          <w:tcPr>
            <w:tcW w:w="0" w:type="auto"/>
            <w:gridSpan w:val="3"/>
            <w:shd w:val="clear" w:color="auto" w:fill="CCEEFF"/>
            <w:tcMar>
              <w:top w:w="30" w:type="dxa"/>
              <w:left w:w="20" w:type="dxa"/>
              <w:bottom w:w="30" w:type="dxa"/>
              <w:right w:w="20" w:type="dxa"/>
            </w:tcMar>
            <w:vAlign w:val="center"/>
            <w:hideMark/>
          </w:tcPr>
          <w:p w14:paraId="1B7E1229" w14:textId="77777777" w:rsidR="00000000" w:rsidRDefault="00A173A8">
            <w:pPr>
              <w:spacing w:after="100"/>
              <w:divId w:val="106698615"/>
              <w:rPr>
                <w:rFonts w:eastAsia="Times New Roman"/>
              </w:rPr>
            </w:pPr>
            <w:r>
              <w:rPr>
                <w:rFonts w:eastAsia="Times New Roman"/>
                <w:color w:val="000000"/>
                <w:sz w:val="20"/>
                <w:szCs w:val="20"/>
              </w:rPr>
              <w:t>Nonperforming asset rat</w:t>
            </w:r>
            <w:r>
              <w:rPr>
                <w:rFonts w:eastAsia="Times New Roman"/>
                <w:color w:val="000000"/>
                <w:sz w:val="20"/>
                <w:szCs w:val="20"/>
              </w:rPr>
              <w:t>e</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E8B629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5247CB" w14:textId="77777777" w:rsidR="00000000" w:rsidRDefault="00A173A8">
            <w:pPr>
              <w:spacing w:after="100"/>
              <w:jc w:val="right"/>
              <w:rPr>
                <w:rFonts w:eastAsia="Times New Roman"/>
              </w:rPr>
            </w:pPr>
            <w:r>
              <w:rPr>
                <w:rFonts w:eastAsia="Times New Roman"/>
                <w:b/>
                <w:bCs/>
                <w:color w:val="000000"/>
                <w:sz w:val="20"/>
                <w:szCs w:val="20"/>
              </w:rPr>
              <w:t>0.70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3992A2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F2501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F65D70" w14:textId="77777777" w:rsidR="00000000" w:rsidRDefault="00A173A8">
            <w:pPr>
              <w:spacing w:after="100"/>
              <w:jc w:val="right"/>
              <w:rPr>
                <w:rFonts w:eastAsia="Times New Roman"/>
              </w:rPr>
            </w:pPr>
            <w:r>
              <w:rPr>
                <w:rFonts w:eastAsia="Times New Roman"/>
                <w:color w:val="000000"/>
                <w:sz w:val="20"/>
                <w:szCs w:val="20"/>
              </w:rPr>
              <w:t>0.82 </w:t>
            </w:r>
          </w:p>
        </w:tc>
        <w:tc>
          <w:tcPr>
            <w:tcW w:w="0" w:type="auto"/>
            <w:shd w:val="clear" w:color="auto" w:fill="CCEEFF"/>
            <w:tcMar>
              <w:top w:w="30" w:type="dxa"/>
              <w:left w:w="0" w:type="dxa"/>
              <w:bottom w:w="30" w:type="dxa"/>
              <w:right w:w="20" w:type="dxa"/>
            </w:tcMar>
            <w:vAlign w:val="bottom"/>
            <w:hideMark/>
          </w:tcPr>
          <w:p w14:paraId="456B73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C7DE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B5E72C" w14:textId="77777777" w:rsidR="00000000" w:rsidRDefault="00A173A8">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14:paraId="727252E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46D66"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459C2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8348B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88C308" w14:textId="77777777" w:rsidR="00000000" w:rsidRDefault="00A173A8">
            <w:pPr>
              <w:spacing w:after="100"/>
              <w:rPr>
                <w:rFonts w:eastAsia="Times New Roman"/>
                <w:sz w:val="20"/>
                <w:szCs w:val="20"/>
              </w:rPr>
            </w:pPr>
          </w:p>
        </w:tc>
        <w:tc>
          <w:tcPr>
            <w:tcW w:w="0" w:type="auto"/>
            <w:vAlign w:val="center"/>
            <w:hideMark/>
          </w:tcPr>
          <w:p w14:paraId="29AEF91A" w14:textId="77777777" w:rsidR="00000000" w:rsidRDefault="00A173A8">
            <w:pPr>
              <w:spacing w:after="100"/>
              <w:rPr>
                <w:rFonts w:eastAsia="Times New Roman"/>
                <w:sz w:val="20"/>
                <w:szCs w:val="20"/>
              </w:rPr>
            </w:pPr>
          </w:p>
        </w:tc>
        <w:tc>
          <w:tcPr>
            <w:tcW w:w="0" w:type="auto"/>
            <w:vAlign w:val="center"/>
            <w:hideMark/>
          </w:tcPr>
          <w:p w14:paraId="3897233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2E43A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E7301F" w14:textId="77777777" w:rsidR="00000000" w:rsidRDefault="00A173A8">
            <w:pPr>
              <w:spacing w:after="100"/>
              <w:rPr>
                <w:rFonts w:eastAsia="Times New Roman"/>
                <w:sz w:val="20"/>
                <w:szCs w:val="20"/>
              </w:rPr>
            </w:pPr>
          </w:p>
        </w:tc>
        <w:tc>
          <w:tcPr>
            <w:tcW w:w="0" w:type="auto"/>
            <w:gridSpan w:val="3"/>
            <w:vAlign w:val="center"/>
            <w:hideMark/>
          </w:tcPr>
          <w:p w14:paraId="262DDACC" w14:textId="77777777" w:rsidR="00000000" w:rsidRDefault="00A173A8">
            <w:pPr>
              <w:spacing w:after="100"/>
              <w:rPr>
                <w:rFonts w:eastAsia="Times New Roman"/>
                <w:sz w:val="20"/>
                <w:szCs w:val="20"/>
              </w:rPr>
            </w:pPr>
          </w:p>
        </w:tc>
        <w:tc>
          <w:tcPr>
            <w:tcW w:w="0" w:type="auto"/>
            <w:gridSpan w:val="3"/>
            <w:vAlign w:val="center"/>
            <w:hideMark/>
          </w:tcPr>
          <w:p w14:paraId="482F8D2A" w14:textId="77777777" w:rsidR="00000000" w:rsidRDefault="00A173A8">
            <w:pPr>
              <w:spacing w:after="100"/>
              <w:rPr>
                <w:rFonts w:eastAsia="Times New Roman"/>
                <w:sz w:val="20"/>
                <w:szCs w:val="20"/>
              </w:rPr>
            </w:pPr>
          </w:p>
        </w:tc>
      </w:tr>
      <w:tr w:rsidR="00000000" w14:paraId="1E5A346D" w14:textId="77777777">
        <w:trPr>
          <w:divId w:val="464082963"/>
        </w:trPr>
        <w:tc>
          <w:tcPr>
            <w:tcW w:w="0" w:type="auto"/>
            <w:gridSpan w:val="3"/>
            <w:shd w:val="clear" w:color="auto" w:fill="FFFFFF"/>
            <w:tcMar>
              <w:top w:w="30" w:type="dxa"/>
              <w:left w:w="20" w:type="dxa"/>
              <w:bottom w:w="30" w:type="dxa"/>
              <w:right w:w="20" w:type="dxa"/>
            </w:tcMar>
            <w:vAlign w:val="center"/>
            <w:hideMark/>
          </w:tcPr>
          <w:p w14:paraId="44845029" w14:textId="77777777" w:rsidR="00000000" w:rsidRDefault="00A173A8">
            <w:pPr>
              <w:spacing w:after="100"/>
              <w:divId w:val="1089541530"/>
              <w:rPr>
                <w:rFonts w:eastAsia="Times New Roman"/>
              </w:rPr>
            </w:pPr>
            <w:r>
              <w:rPr>
                <w:rFonts w:eastAsia="Times New Roman"/>
                <w:color w:val="000000"/>
                <w:sz w:val="20"/>
                <w:szCs w:val="20"/>
              </w:rPr>
              <w:t>Allowance for credit losse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303FBEE"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AE4946D"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E1F17ED" w14:textId="77777777" w:rsidR="00000000" w:rsidRDefault="00A173A8">
            <w:pPr>
              <w:spacing w:after="100"/>
              <w:jc w:val="right"/>
              <w:rPr>
                <w:rFonts w:eastAsia="Times New Roman"/>
              </w:rPr>
            </w:pPr>
            <w:r>
              <w:rPr>
                <w:rFonts w:eastAsia="Times New Roman"/>
                <w:b/>
                <w:bCs/>
                <w:color w:val="000000"/>
                <w:sz w:val="20"/>
                <w:szCs w:val="20"/>
              </w:rPr>
              <w:t>1,278</w:t>
            </w:r>
          </w:p>
        </w:tc>
        <w:tc>
          <w:tcPr>
            <w:tcW w:w="0" w:type="auto"/>
            <w:gridSpan w:val="3"/>
            <w:shd w:val="clear" w:color="auto" w:fill="FFFFFF"/>
            <w:tcMar>
              <w:top w:w="0" w:type="dxa"/>
              <w:left w:w="20" w:type="dxa"/>
              <w:bottom w:w="0" w:type="dxa"/>
              <w:right w:w="20" w:type="dxa"/>
            </w:tcMar>
            <w:vAlign w:val="center"/>
            <w:hideMark/>
          </w:tcPr>
          <w:p w14:paraId="69E5C286"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E64904F"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6300E350" w14:textId="77777777" w:rsidR="00000000" w:rsidRDefault="00A173A8">
            <w:pPr>
              <w:spacing w:after="100"/>
              <w:jc w:val="right"/>
              <w:rPr>
                <w:rFonts w:eastAsia="Times New Roman"/>
              </w:rPr>
            </w:pPr>
            <w:r>
              <w:rPr>
                <w:rFonts w:eastAsia="Times New Roman"/>
                <w:color w:val="000000"/>
                <w:sz w:val="20"/>
                <w:szCs w:val="20"/>
              </w:rPr>
              <w:t>1,167</w:t>
            </w:r>
          </w:p>
        </w:tc>
        <w:tc>
          <w:tcPr>
            <w:tcW w:w="0" w:type="auto"/>
            <w:gridSpan w:val="3"/>
            <w:shd w:val="clear" w:color="auto" w:fill="FFFFFF"/>
            <w:tcMar>
              <w:top w:w="0" w:type="dxa"/>
              <w:left w:w="20" w:type="dxa"/>
              <w:bottom w:w="0" w:type="dxa"/>
              <w:right w:w="20" w:type="dxa"/>
            </w:tcMar>
            <w:vAlign w:val="center"/>
            <w:hideMark/>
          </w:tcPr>
          <w:p w14:paraId="341D723E"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14:paraId="68B489DD" w14:textId="77777777" w:rsidR="00000000" w:rsidRDefault="00A173A8">
            <w:pPr>
              <w:spacing w:after="100"/>
              <w:jc w:val="right"/>
              <w:rPr>
                <w:rFonts w:eastAsia="Times New Roman"/>
              </w:rPr>
            </w:pPr>
            <w:r>
              <w:rPr>
                <w:rFonts w:eastAsia="Times New Roman"/>
                <w:color w:val="000000"/>
                <w:sz w:val="20"/>
                <w:szCs w:val="20"/>
              </w:rPr>
              <w:t>10%</w:t>
            </w:r>
          </w:p>
        </w:tc>
        <w:tc>
          <w:tcPr>
            <w:tcW w:w="0" w:type="auto"/>
            <w:gridSpan w:val="3"/>
            <w:shd w:val="clear" w:color="auto" w:fill="FFFFFF"/>
            <w:tcMar>
              <w:top w:w="0" w:type="dxa"/>
              <w:left w:w="20" w:type="dxa"/>
              <w:bottom w:w="0" w:type="dxa"/>
              <w:right w:w="20" w:type="dxa"/>
            </w:tcMar>
            <w:vAlign w:val="center"/>
            <w:hideMark/>
          </w:tcPr>
          <w:p w14:paraId="7119DF3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52B7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B0DF5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74595A" w14:textId="77777777" w:rsidR="00000000" w:rsidRDefault="00A173A8">
            <w:pPr>
              <w:spacing w:after="100"/>
              <w:rPr>
                <w:rFonts w:eastAsia="Times New Roman"/>
                <w:sz w:val="20"/>
                <w:szCs w:val="20"/>
              </w:rPr>
            </w:pPr>
          </w:p>
        </w:tc>
        <w:tc>
          <w:tcPr>
            <w:tcW w:w="0" w:type="auto"/>
            <w:vAlign w:val="center"/>
            <w:hideMark/>
          </w:tcPr>
          <w:p w14:paraId="3B94C89B" w14:textId="77777777" w:rsidR="00000000" w:rsidRDefault="00A173A8">
            <w:pPr>
              <w:spacing w:after="100"/>
              <w:rPr>
                <w:rFonts w:eastAsia="Times New Roman"/>
                <w:sz w:val="20"/>
                <w:szCs w:val="20"/>
              </w:rPr>
            </w:pPr>
          </w:p>
        </w:tc>
        <w:tc>
          <w:tcPr>
            <w:tcW w:w="0" w:type="auto"/>
            <w:vAlign w:val="center"/>
            <w:hideMark/>
          </w:tcPr>
          <w:p w14:paraId="55E0C64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22DE0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AC2BF2" w14:textId="77777777" w:rsidR="00000000" w:rsidRDefault="00A173A8">
            <w:pPr>
              <w:spacing w:after="100"/>
              <w:rPr>
                <w:rFonts w:eastAsia="Times New Roman"/>
                <w:sz w:val="20"/>
                <w:szCs w:val="20"/>
              </w:rPr>
            </w:pPr>
          </w:p>
        </w:tc>
        <w:tc>
          <w:tcPr>
            <w:tcW w:w="0" w:type="auto"/>
            <w:gridSpan w:val="3"/>
            <w:vAlign w:val="center"/>
            <w:hideMark/>
          </w:tcPr>
          <w:p w14:paraId="2F1EE3B8" w14:textId="77777777" w:rsidR="00000000" w:rsidRDefault="00A173A8">
            <w:pPr>
              <w:spacing w:after="100"/>
              <w:rPr>
                <w:rFonts w:eastAsia="Times New Roman"/>
                <w:sz w:val="20"/>
                <w:szCs w:val="20"/>
              </w:rPr>
            </w:pPr>
          </w:p>
        </w:tc>
        <w:tc>
          <w:tcPr>
            <w:tcW w:w="0" w:type="auto"/>
            <w:gridSpan w:val="3"/>
            <w:vAlign w:val="center"/>
            <w:hideMark/>
          </w:tcPr>
          <w:p w14:paraId="4F12C69C" w14:textId="77777777" w:rsidR="00000000" w:rsidRDefault="00A173A8">
            <w:pPr>
              <w:spacing w:after="100"/>
              <w:rPr>
                <w:rFonts w:eastAsia="Times New Roman"/>
                <w:sz w:val="20"/>
                <w:szCs w:val="20"/>
              </w:rPr>
            </w:pPr>
          </w:p>
        </w:tc>
      </w:tr>
      <w:tr w:rsidR="00000000" w14:paraId="0E43F6A6" w14:textId="77777777">
        <w:trPr>
          <w:divId w:val="464082963"/>
        </w:trPr>
        <w:tc>
          <w:tcPr>
            <w:tcW w:w="0" w:type="auto"/>
            <w:gridSpan w:val="3"/>
            <w:shd w:val="clear" w:color="auto" w:fill="CCEEFF"/>
            <w:tcMar>
              <w:top w:w="30" w:type="dxa"/>
              <w:left w:w="20" w:type="dxa"/>
              <w:bottom w:w="30" w:type="dxa"/>
              <w:right w:w="20" w:type="dxa"/>
            </w:tcMar>
            <w:vAlign w:val="center"/>
            <w:hideMark/>
          </w:tcPr>
          <w:p w14:paraId="059A06B4" w14:textId="77777777" w:rsidR="00000000" w:rsidRDefault="00A173A8">
            <w:pPr>
              <w:spacing w:after="100"/>
              <w:rPr>
                <w:rFonts w:eastAsia="Times New Roman"/>
              </w:rPr>
            </w:pPr>
            <w:r>
              <w:rPr>
                <w:rFonts w:eastAsia="Times New Roman"/>
                <w:color w:val="000000"/>
                <w:sz w:val="20"/>
                <w:szCs w:val="20"/>
              </w:rPr>
              <w:t>Allowance coverage ratio</w:t>
            </w:r>
          </w:p>
        </w:tc>
        <w:tc>
          <w:tcPr>
            <w:tcW w:w="0" w:type="auto"/>
            <w:gridSpan w:val="3"/>
            <w:shd w:val="clear" w:color="auto" w:fill="CCEEFF"/>
            <w:tcMar>
              <w:top w:w="0" w:type="dxa"/>
              <w:left w:w="20" w:type="dxa"/>
              <w:bottom w:w="0" w:type="dxa"/>
              <w:right w:w="20" w:type="dxa"/>
            </w:tcMar>
            <w:vAlign w:val="center"/>
            <w:hideMark/>
          </w:tcPr>
          <w:p w14:paraId="00FFD759"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1F52E65" w14:textId="77777777" w:rsidR="00000000" w:rsidRDefault="00A173A8">
            <w:pPr>
              <w:spacing w:after="100"/>
              <w:jc w:val="right"/>
              <w:rPr>
                <w:rFonts w:eastAsia="Times New Roman"/>
              </w:rPr>
            </w:pPr>
            <w:r>
              <w:rPr>
                <w:rFonts w:eastAsia="Times New Roman"/>
                <w:b/>
                <w:bCs/>
                <w:color w:val="000000"/>
                <w:sz w:val="20"/>
                <w:szCs w:val="20"/>
              </w:rPr>
              <w:t>1.36%</w:t>
            </w:r>
          </w:p>
        </w:tc>
        <w:tc>
          <w:tcPr>
            <w:tcW w:w="0" w:type="auto"/>
            <w:gridSpan w:val="3"/>
            <w:shd w:val="clear" w:color="auto" w:fill="CCEEFF"/>
            <w:tcMar>
              <w:top w:w="0" w:type="dxa"/>
              <w:left w:w="20" w:type="dxa"/>
              <w:bottom w:w="0" w:type="dxa"/>
              <w:right w:w="20" w:type="dxa"/>
            </w:tcMar>
            <w:vAlign w:val="center"/>
            <w:hideMark/>
          </w:tcPr>
          <w:p w14:paraId="6601DA51"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02143F1" w14:textId="77777777" w:rsidR="00000000" w:rsidRDefault="00A173A8">
            <w:pPr>
              <w:spacing w:after="100"/>
              <w:jc w:val="right"/>
              <w:rPr>
                <w:rFonts w:eastAsia="Times New Roman"/>
              </w:rPr>
            </w:pPr>
            <w:r>
              <w:rPr>
                <w:rFonts w:eastAsia="Times New Roman"/>
                <w:color w:val="000000"/>
                <w:sz w:val="20"/>
                <w:szCs w:val="20"/>
              </w:rPr>
              <w:t>1.37%</w:t>
            </w:r>
          </w:p>
        </w:tc>
        <w:tc>
          <w:tcPr>
            <w:tcW w:w="0" w:type="auto"/>
            <w:gridSpan w:val="3"/>
            <w:shd w:val="clear" w:color="auto" w:fill="CCEEFF"/>
            <w:tcMar>
              <w:top w:w="0" w:type="dxa"/>
              <w:left w:w="20" w:type="dxa"/>
              <w:bottom w:w="0" w:type="dxa"/>
              <w:right w:w="20" w:type="dxa"/>
            </w:tcMar>
            <w:vAlign w:val="center"/>
            <w:hideMark/>
          </w:tcPr>
          <w:p w14:paraId="473871AE"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6E073C" w14:textId="77777777" w:rsidR="00000000" w:rsidRDefault="00A173A8">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27187FA3" w14:textId="77777777" w:rsidR="00000000" w:rsidRDefault="00A173A8">
            <w:pPr>
              <w:spacing w:after="100"/>
              <w:jc w:val="right"/>
              <w:rPr>
                <w:rFonts w:eastAsia="Times New Roman"/>
              </w:rPr>
            </w:pPr>
            <w:r>
              <w:rPr>
                <w:rFonts w:eastAsia="Times New Roman"/>
                <w:color w:val="000000"/>
                <w:sz w:val="20"/>
                <w:szCs w:val="20"/>
              </w:rPr>
              <w:t>bps</w:t>
            </w:r>
          </w:p>
        </w:tc>
        <w:tc>
          <w:tcPr>
            <w:tcW w:w="0" w:type="auto"/>
            <w:gridSpan w:val="3"/>
            <w:shd w:val="clear" w:color="auto" w:fill="CCEEFF"/>
            <w:tcMar>
              <w:top w:w="0" w:type="dxa"/>
              <w:left w:w="20" w:type="dxa"/>
              <w:bottom w:w="0" w:type="dxa"/>
              <w:right w:w="20" w:type="dxa"/>
            </w:tcMar>
            <w:vAlign w:val="center"/>
            <w:hideMark/>
          </w:tcPr>
          <w:p w14:paraId="71E546D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B698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6CBF4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F1FE93" w14:textId="77777777" w:rsidR="00000000" w:rsidRDefault="00A173A8">
            <w:pPr>
              <w:spacing w:after="100"/>
              <w:rPr>
                <w:rFonts w:eastAsia="Times New Roman"/>
                <w:sz w:val="20"/>
                <w:szCs w:val="20"/>
              </w:rPr>
            </w:pPr>
          </w:p>
        </w:tc>
        <w:tc>
          <w:tcPr>
            <w:tcW w:w="0" w:type="auto"/>
            <w:vAlign w:val="center"/>
            <w:hideMark/>
          </w:tcPr>
          <w:p w14:paraId="57C01EB3" w14:textId="77777777" w:rsidR="00000000" w:rsidRDefault="00A173A8">
            <w:pPr>
              <w:spacing w:after="100"/>
              <w:rPr>
                <w:rFonts w:eastAsia="Times New Roman"/>
                <w:sz w:val="20"/>
                <w:szCs w:val="20"/>
              </w:rPr>
            </w:pPr>
          </w:p>
        </w:tc>
        <w:tc>
          <w:tcPr>
            <w:tcW w:w="0" w:type="auto"/>
            <w:vAlign w:val="center"/>
            <w:hideMark/>
          </w:tcPr>
          <w:p w14:paraId="006695F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92FB0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B4B8B2" w14:textId="77777777" w:rsidR="00000000" w:rsidRDefault="00A173A8">
            <w:pPr>
              <w:spacing w:after="100"/>
              <w:rPr>
                <w:rFonts w:eastAsia="Times New Roman"/>
                <w:sz w:val="20"/>
                <w:szCs w:val="20"/>
              </w:rPr>
            </w:pPr>
          </w:p>
        </w:tc>
        <w:tc>
          <w:tcPr>
            <w:tcW w:w="0" w:type="auto"/>
            <w:gridSpan w:val="3"/>
            <w:vAlign w:val="center"/>
            <w:hideMark/>
          </w:tcPr>
          <w:p w14:paraId="771E70A2" w14:textId="77777777" w:rsidR="00000000" w:rsidRDefault="00A173A8">
            <w:pPr>
              <w:spacing w:after="100"/>
              <w:rPr>
                <w:rFonts w:eastAsia="Times New Roman"/>
                <w:sz w:val="20"/>
                <w:szCs w:val="20"/>
              </w:rPr>
            </w:pPr>
          </w:p>
        </w:tc>
        <w:tc>
          <w:tcPr>
            <w:tcW w:w="0" w:type="auto"/>
            <w:gridSpan w:val="3"/>
            <w:vAlign w:val="center"/>
            <w:hideMark/>
          </w:tcPr>
          <w:p w14:paraId="65D3ED50" w14:textId="77777777" w:rsidR="00000000" w:rsidRDefault="00A173A8">
            <w:pPr>
              <w:spacing w:after="100"/>
              <w:rPr>
                <w:rFonts w:eastAsia="Times New Roman"/>
                <w:sz w:val="20"/>
                <w:szCs w:val="20"/>
              </w:rPr>
            </w:pPr>
          </w:p>
        </w:tc>
      </w:tr>
      <w:tr w:rsidR="00000000" w14:paraId="4511F82F" w14:textId="77777777">
        <w:trPr>
          <w:divId w:val="464082963"/>
        </w:trPr>
        <w:tc>
          <w:tcPr>
            <w:tcW w:w="0" w:type="auto"/>
            <w:gridSpan w:val="3"/>
            <w:shd w:val="clear" w:color="auto" w:fill="FFFFFF"/>
            <w:tcMar>
              <w:top w:w="30" w:type="dxa"/>
              <w:left w:w="20" w:type="dxa"/>
              <w:bottom w:w="30" w:type="dxa"/>
              <w:right w:w="20" w:type="dxa"/>
            </w:tcMar>
            <w:vAlign w:val="center"/>
            <w:hideMark/>
          </w:tcPr>
          <w:p w14:paraId="6059F6F3" w14:textId="77777777" w:rsidR="00000000" w:rsidRDefault="00A173A8">
            <w:pPr>
              <w:spacing w:after="100"/>
              <w:rPr>
                <w:rFonts w:eastAsia="Times New Roman"/>
              </w:rPr>
            </w:pPr>
            <w:r>
              <w:rPr>
                <w:rFonts w:eastAsia="Times New Roman"/>
                <w:color w:val="000000"/>
                <w:sz w:val="20"/>
                <w:szCs w:val="20"/>
              </w:rPr>
              <w:t>Deposits</w:t>
            </w:r>
          </w:p>
        </w:tc>
        <w:tc>
          <w:tcPr>
            <w:tcW w:w="0" w:type="auto"/>
            <w:gridSpan w:val="3"/>
            <w:shd w:val="clear" w:color="auto" w:fill="FFFFFF"/>
            <w:tcMar>
              <w:top w:w="0" w:type="dxa"/>
              <w:left w:w="20" w:type="dxa"/>
              <w:bottom w:w="0" w:type="dxa"/>
              <w:right w:w="20" w:type="dxa"/>
            </w:tcMar>
            <w:vAlign w:val="center"/>
            <w:hideMark/>
          </w:tcPr>
          <w:p w14:paraId="7663AE67"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926955C"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083CD2A7" w14:textId="77777777" w:rsidR="00000000" w:rsidRDefault="00A173A8">
            <w:pPr>
              <w:spacing w:after="100"/>
              <w:jc w:val="right"/>
              <w:rPr>
                <w:rFonts w:eastAsia="Times New Roman"/>
              </w:rPr>
            </w:pPr>
            <w:r>
              <w:rPr>
                <w:rFonts w:eastAsia="Times New Roman"/>
                <w:b/>
                <w:bCs/>
                <w:color w:val="000000"/>
                <w:sz w:val="20"/>
                <w:szCs w:val="20"/>
              </w:rPr>
              <w:t>38,844</w:t>
            </w:r>
          </w:p>
        </w:tc>
        <w:tc>
          <w:tcPr>
            <w:tcW w:w="0" w:type="auto"/>
            <w:gridSpan w:val="3"/>
            <w:shd w:val="clear" w:color="auto" w:fill="FFFFFF"/>
            <w:tcMar>
              <w:top w:w="0" w:type="dxa"/>
              <w:left w:w="20" w:type="dxa"/>
              <w:bottom w:w="0" w:type="dxa"/>
              <w:right w:w="20" w:type="dxa"/>
            </w:tcMar>
            <w:vAlign w:val="center"/>
            <w:hideMark/>
          </w:tcPr>
          <w:p w14:paraId="2069F72F"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1C3C877D" w14:textId="77777777" w:rsidR="00000000" w:rsidRDefault="00A173A8">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14:paraId="59268FD7" w14:textId="77777777" w:rsidR="00000000" w:rsidRDefault="00A173A8">
            <w:pPr>
              <w:spacing w:after="100"/>
              <w:jc w:val="right"/>
              <w:rPr>
                <w:rFonts w:eastAsia="Times New Roman"/>
              </w:rPr>
            </w:pPr>
            <w:r>
              <w:rPr>
                <w:rFonts w:eastAsia="Times New Roman"/>
                <w:color w:val="000000"/>
                <w:sz w:val="20"/>
                <w:szCs w:val="20"/>
              </w:rPr>
              <w:t>44,809</w:t>
            </w:r>
          </w:p>
        </w:tc>
        <w:tc>
          <w:tcPr>
            <w:tcW w:w="0" w:type="auto"/>
            <w:gridSpan w:val="3"/>
            <w:shd w:val="clear" w:color="auto" w:fill="FFFFFF"/>
            <w:tcMar>
              <w:top w:w="0" w:type="dxa"/>
              <w:left w:w="20" w:type="dxa"/>
              <w:bottom w:w="0" w:type="dxa"/>
              <w:right w:w="20" w:type="dxa"/>
            </w:tcMar>
            <w:vAlign w:val="center"/>
            <w:hideMark/>
          </w:tcPr>
          <w:p w14:paraId="3769053F"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52FB0911" w14:textId="77777777" w:rsidR="00000000" w:rsidRDefault="00A173A8">
            <w:pPr>
              <w:spacing w:after="100"/>
              <w:jc w:val="right"/>
              <w:rPr>
                <w:rFonts w:eastAsia="Times New Roman"/>
              </w:rPr>
            </w:pPr>
            <w:r>
              <w:rPr>
                <w:rFonts w:eastAsia="Times New Roman"/>
                <w:color w:val="000000"/>
                <w:sz w:val="20"/>
                <w:szCs w:val="20"/>
              </w:rPr>
              <w:t>(13)%</w:t>
            </w:r>
          </w:p>
        </w:tc>
        <w:tc>
          <w:tcPr>
            <w:tcW w:w="0" w:type="auto"/>
            <w:gridSpan w:val="3"/>
            <w:shd w:val="clear" w:color="auto" w:fill="FFFFFF"/>
            <w:tcMar>
              <w:top w:w="0" w:type="dxa"/>
              <w:left w:w="20" w:type="dxa"/>
              <w:bottom w:w="0" w:type="dxa"/>
              <w:right w:w="20" w:type="dxa"/>
            </w:tcMar>
            <w:vAlign w:val="center"/>
            <w:hideMark/>
          </w:tcPr>
          <w:p w14:paraId="0397C07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BEA52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D213B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4C4CBF" w14:textId="77777777" w:rsidR="00000000" w:rsidRDefault="00A173A8">
            <w:pPr>
              <w:spacing w:after="100"/>
              <w:rPr>
                <w:rFonts w:eastAsia="Times New Roman"/>
                <w:sz w:val="20"/>
                <w:szCs w:val="20"/>
              </w:rPr>
            </w:pPr>
          </w:p>
        </w:tc>
        <w:tc>
          <w:tcPr>
            <w:tcW w:w="0" w:type="auto"/>
            <w:vAlign w:val="center"/>
            <w:hideMark/>
          </w:tcPr>
          <w:p w14:paraId="3F290471" w14:textId="77777777" w:rsidR="00000000" w:rsidRDefault="00A173A8">
            <w:pPr>
              <w:spacing w:after="100"/>
              <w:rPr>
                <w:rFonts w:eastAsia="Times New Roman"/>
                <w:sz w:val="20"/>
                <w:szCs w:val="20"/>
              </w:rPr>
            </w:pPr>
          </w:p>
        </w:tc>
        <w:tc>
          <w:tcPr>
            <w:tcW w:w="0" w:type="auto"/>
            <w:vAlign w:val="center"/>
            <w:hideMark/>
          </w:tcPr>
          <w:p w14:paraId="239C40B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6B61E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97C84F" w14:textId="77777777" w:rsidR="00000000" w:rsidRDefault="00A173A8">
            <w:pPr>
              <w:spacing w:after="100"/>
              <w:rPr>
                <w:rFonts w:eastAsia="Times New Roman"/>
                <w:sz w:val="20"/>
                <w:szCs w:val="20"/>
              </w:rPr>
            </w:pPr>
          </w:p>
        </w:tc>
        <w:tc>
          <w:tcPr>
            <w:tcW w:w="0" w:type="auto"/>
            <w:gridSpan w:val="3"/>
            <w:vAlign w:val="center"/>
            <w:hideMark/>
          </w:tcPr>
          <w:p w14:paraId="1FEC8666" w14:textId="77777777" w:rsidR="00000000" w:rsidRDefault="00A173A8">
            <w:pPr>
              <w:spacing w:after="100"/>
              <w:rPr>
                <w:rFonts w:eastAsia="Times New Roman"/>
                <w:sz w:val="20"/>
                <w:szCs w:val="20"/>
              </w:rPr>
            </w:pPr>
          </w:p>
        </w:tc>
        <w:tc>
          <w:tcPr>
            <w:tcW w:w="0" w:type="auto"/>
            <w:gridSpan w:val="3"/>
            <w:vAlign w:val="center"/>
            <w:hideMark/>
          </w:tcPr>
          <w:p w14:paraId="4FECA8BB" w14:textId="77777777" w:rsidR="00000000" w:rsidRDefault="00A173A8">
            <w:pPr>
              <w:spacing w:after="100"/>
              <w:rPr>
                <w:rFonts w:eastAsia="Times New Roman"/>
                <w:sz w:val="20"/>
                <w:szCs w:val="20"/>
              </w:rPr>
            </w:pPr>
          </w:p>
        </w:tc>
      </w:tr>
      <w:tr w:rsidR="00000000" w14:paraId="08008275" w14:textId="77777777">
        <w:trPr>
          <w:divId w:val="464082963"/>
        </w:trPr>
        <w:tc>
          <w:tcPr>
            <w:tcW w:w="0" w:type="auto"/>
            <w:gridSpan w:val="3"/>
            <w:shd w:val="clear" w:color="auto" w:fill="CCEEFF"/>
            <w:tcMar>
              <w:top w:w="30" w:type="dxa"/>
              <w:left w:w="20" w:type="dxa"/>
              <w:bottom w:w="30" w:type="dxa"/>
              <w:right w:w="20" w:type="dxa"/>
            </w:tcMar>
            <w:vAlign w:val="center"/>
            <w:hideMark/>
          </w:tcPr>
          <w:p w14:paraId="5D6AEC47" w14:textId="77777777" w:rsidR="00000000" w:rsidRDefault="00A173A8">
            <w:pPr>
              <w:spacing w:after="100"/>
              <w:rPr>
                <w:rFonts w:eastAsia="Times New Roman"/>
              </w:rPr>
            </w:pPr>
            <w:r>
              <w:rPr>
                <w:rFonts w:eastAsia="Times New Roman"/>
                <w:color w:val="000000"/>
                <w:sz w:val="20"/>
                <w:szCs w:val="20"/>
              </w:rPr>
              <w:t>Loans serviced for others</w:t>
            </w:r>
          </w:p>
        </w:tc>
        <w:tc>
          <w:tcPr>
            <w:tcW w:w="0" w:type="auto"/>
            <w:gridSpan w:val="3"/>
            <w:shd w:val="clear" w:color="auto" w:fill="CCEEFF"/>
            <w:tcMar>
              <w:top w:w="0" w:type="dxa"/>
              <w:left w:w="20" w:type="dxa"/>
              <w:bottom w:w="0" w:type="dxa"/>
              <w:right w:w="20" w:type="dxa"/>
            </w:tcMar>
            <w:vAlign w:val="center"/>
            <w:hideMark/>
          </w:tcPr>
          <w:p w14:paraId="69F74B63"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F140EDF" w14:textId="77777777" w:rsidR="00000000" w:rsidRDefault="00A173A8">
            <w:pPr>
              <w:spacing w:after="100"/>
              <w:jc w:val="right"/>
              <w:rPr>
                <w:rFonts w:eastAsia="Times New Roman"/>
              </w:rPr>
            </w:pPr>
            <w:r>
              <w:rPr>
                <w:rFonts w:eastAsia="Times New Roman"/>
                <w:b/>
                <w:bCs/>
                <w:color w:val="000000"/>
                <w:sz w:val="20"/>
                <w:szCs w:val="20"/>
              </w:rPr>
              <w:t>50,111</w:t>
            </w:r>
          </w:p>
        </w:tc>
        <w:tc>
          <w:tcPr>
            <w:tcW w:w="0" w:type="auto"/>
            <w:gridSpan w:val="3"/>
            <w:shd w:val="clear" w:color="auto" w:fill="CCEEFF"/>
            <w:tcMar>
              <w:top w:w="0" w:type="dxa"/>
              <w:left w:w="20" w:type="dxa"/>
              <w:bottom w:w="0" w:type="dxa"/>
              <w:right w:w="20" w:type="dxa"/>
            </w:tcMar>
            <w:vAlign w:val="center"/>
            <w:hideMark/>
          </w:tcPr>
          <w:p w14:paraId="4F8B6F28"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33342BD2" w14:textId="77777777" w:rsidR="00000000" w:rsidRDefault="00A173A8">
            <w:pPr>
              <w:spacing w:after="100"/>
              <w:jc w:val="right"/>
              <w:rPr>
                <w:rFonts w:eastAsia="Times New Roman"/>
              </w:rPr>
            </w:pPr>
            <w:r>
              <w:rPr>
                <w:rFonts w:eastAsia="Times New Roman"/>
                <w:color w:val="000000"/>
                <w:sz w:val="20"/>
                <w:szCs w:val="20"/>
              </w:rPr>
              <w:t>48,562</w:t>
            </w:r>
          </w:p>
        </w:tc>
        <w:tc>
          <w:tcPr>
            <w:tcW w:w="0" w:type="auto"/>
            <w:gridSpan w:val="3"/>
            <w:shd w:val="clear" w:color="auto" w:fill="CCEEFF"/>
            <w:tcMar>
              <w:top w:w="0" w:type="dxa"/>
              <w:left w:w="20" w:type="dxa"/>
              <w:bottom w:w="0" w:type="dxa"/>
              <w:right w:w="20" w:type="dxa"/>
            </w:tcMar>
            <w:vAlign w:val="center"/>
            <w:hideMark/>
          </w:tcPr>
          <w:p w14:paraId="7381EC68"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5738CE" w14:textId="77777777" w:rsidR="00000000" w:rsidRDefault="00A173A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14:paraId="5F2B2D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6DC58"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BFDB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4C45A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18F21B" w14:textId="77777777" w:rsidR="00000000" w:rsidRDefault="00A173A8">
            <w:pPr>
              <w:spacing w:after="100"/>
              <w:rPr>
                <w:rFonts w:eastAsia="Times New Roman"/>
                <w:sz w:val="20"/>
                <w:szCs w:val="20"/>
              </w:rPr>
            </w:pPr>
          </w:p>
        </w:tc>
        <w:tc>
          <w:tcPr>
            <w:tcW w:w="0" w:type="auto"/>
            <w:vAlign w:val="center"/>
            <w:hideMark/>
          </w:tcPr>
          <w:p w14:paraId="160CD8DE" w14:textId="77777777" w:rsidR="00000000" w:rsidRDefault="00A173A8">
            <w:pPr>
              <w:spacing w:after="100"/>
              <w:rPr>
                <w:rFonts w:eastAsia="Times New Roman"/>
                <w:sz w:val="20"/>
                <w:szCs w:val="20"/>
              </w:rPr>
            </w:pPr>
          </w:p>
        </w:tc>
        <w:tc>
          <w:tcPr>
            <w:tcW w:w="0" w:type="auto"/>
            <w:vAlign w:val="center"/>
            <w:hideMark/>
          </w:tcPr>
          <w:p w14:paraId="05E8751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004C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2382C8" w14:textId="77777777" w:rsidR="00000000" w:rsidRDefault="00A173A8">
            <w:pPr>
              <w:spacing w:after="100"/>
              <w:rPr>
                <w:rFonts w:eastAsia="Times New Roman"/>
                <w:sz w:val="20"/>
                <w:szCs w:val="20"/>
              </w:rPr>
            </w:pPr>
          </w:p>
        </w:tc>
        <w:tc>
          <w:tcPr>
            <w:tcW w:w="0" w:type="auto"/>
            <w:gridSpan w:val="3"/>
            <w:vAlign w:val="center"/>
            <w:hideMark/>
          </w:tcPr>
          <w:p w14:paraId="4F5D199B" w14:textId="77777777" w:rsidR="00000000" w:rsidRDefault="00A173A8">
            <w:pPr>
              <w:spacing w:after="100"/>
              <w:rPr>
                <w:rFonts w:eastAsia="Times New Roman"/>
                <w:sz w:val="20"/>
                <w:szCs w:val="20"/>
              </w:rPr>
            </w:pPr>
          </w:p>
        </w:tc>
        <w:tc>
          <w:tcPr>
            <w:tcW w:w="0" w:type="auto"/>
            <w:gridSpan w:val="3"/>
            <w:vAlign w:val="center"/>
            <w:hideMark/>
          </w:tcPr>
          <w:p w14:paraId="41AC3F2D" w14:textId="77777777" w:rsidR="00000000" w:rsidRDefault="00A173A8">
            <w:pPr>
              <w:spacing w:after="100"/>
              <w:rPr>
                <w:rFonts w:eastAsia="Times New Roman"/>
                <w:sz w:val="20"/>
                <w:szCs w:val="20"/>
              </w:rPr>
            </w:pPr>
          </w:p>
        </w:tc>
      </w:tr>
    </w:tbl>
    <w:p w14:paraId="16998591" w14:textId="77777777" w:rsidR="00000000" w:rsidRDefault="00A173A8">
      <w:pPr>
        <w:divId w:val="464082963"/>
        <w:rPr>
          <w:rFonts w:eastAsia="Times New Roman"/>
        </w:rPr>
      </w:pPr>
      <w:r>
        <w:rPr>
          <w:rFonts w:eastAsia="Times New Roman"/>
          <w:color w:val="000000"/>
          <w:sz w:val="20"/>
          <w:szCs w:val="20"/>
        </w:rPr>
        <w:t>__________</w:t>
      </w:r>
    </w:p>
    <w:p w14:paraId="1AA5D4F5" w14:textId="77777777" w:rsidR="00000000" w:rsidRDefault="00A173A8">
      <w:pPr>
        <w:ind w:hanging="360"/>
        <w:jc w:val="both"/>
        <w:divId w:val="188830135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w:t>
      </w:r>
      <w:r>
        <w:rPr>
          <w:rFonts w:eastAsia="Times New Roman"/>
          <w:color w:val="000000"/>
          <w:sz w:val="16"/>
          <w:szCs w:val="16"/>
        </w:rPr>
        <w:t>uivalent basis, calculated using the federal statutory tax rate of 21% and state taxes where applicable, with offsetting reductions to the Other category.</w:t>
      </w:r>
    </w:p>
    <w:p w14:paraId="66E78734" w14:textId="77777777" w:rsidR="00000000" w:rsidRDefault="00A173A8">
      <w:pPr>
        <w:ind w:hanging="360"/>
        <w:jc w:val="both"/>
        <w:divId w:val="30863417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provision for losses on unfunded lending commitments is included in the provision for credit l</w:t>
      </w:r>
      <w:r>
        <w:rPr>
          <w:rFonts w:eastAsia="Times New Roman"/>
          <w:color w:val="000000"/>
          <w:sz w:val="16"/>
          <w:szCs w:val="16"/>
        </w:rPr>
        <w:t xml:space="preserve">osses in our consolidated statements of income and the related reserve is included in other liabilities on our consolidated balance sheets. Our reserve for unfunded lending commitments totaled $239 million and $165 million as of June 30, 2022 and December </w:t>
      </w:r>
      <w:r>
        <w:rPr>
          <w:rFonts w:eastAsia="Times New Roman"/>
          <w:color w:val="000000"/>
          <w:sz w:val="16"/>
          <w:szCs w:val="16"/>
        </w:rPr>
        <w:t>31, 2021, respectively.</w:t>
      </w:r>
    </w:p>
    <w:p w14:paraId="5B3ACBAD" w14:textId="77777777" w:rsidR="00000000" w:rsidRDefault="00A173A8">
      <w:pPr>
        <w:ind w:hanging="360"/>
        <w:jc w:val="both"/>
        <w:divId w:val="47182443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yield is calculated based on annualized interest income for the period divided by average loans during the period and does not include any allocations, such as funds transfer pricing.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2C25291" w14:textId="77777777">
        <w:trPr>
          <w:divId w:val="720791809"/>
          <w:jc w:val="center"/>
        </w:trPr>
        <w:tc>
          <w:tcPr>
            <w:tcW w:w="50" w:type="pct"/>
            <w:vAlign w:val="center"/>
            <w:hideMark/>
          </w:tcPr>
          <w:p w14:paraId="79A49A5D" w14:textId="77777777" w:rsidR="00000000" w:rsidRDefault="00A173A8">
            <w:pPr>
              <w:ind w:hanging="360"/>
              <w:jc w:val="both"/>
              <w:rPr>
                <w:rFonts w:eastAsia="Times New Roman"/>
              </w:rPr>
            </w:pPr>
          </w:p>
        </w:tc>
        <w:tc>
          <w:tcPr>
            <w:tcW w:w="1606" w:type="pct"/>
            <w:vAlign w:val="center"/>
            <w:hideMark/>
          </w:tcPr>
          <w:p w14:paraId="3AC2DEEB" w14:textId="77777777" w:rsidR="00000000" w:rsidRDefault="00A173A8">
            <w:pPr>
              <w:spacing w:after="100"/>
              <w:rPr>
                <w:rFonts w:eastAsia="Times New Roman"/>
                <w:sz w:val="20"/>
                <w:szCs w:val="20"/>
              </w:rPr>
            </w:pPr>
          </w:p>
        </w:tc>
        <w:tc>
          <w:tcPr>
            <w:tcW w:w="5" w:type="pct"/>
            <w:vAlign w:val="center"/>
            <w:hideMark/>
          </w:tcPr>
          <w:p w14:paraId="60EE9E08" w14:textId="77777777" w:rsidR="00000000" w:rsidRDefault="00A173A8">
            <w:pPr>
              <w:spacing w:after="100"/>
              <w:rPr>
                <w:rFonts w:eastAsia="Times New Roman"/>
                <w:sz w:val="20"/>
                <w:szCs w:val="20"/>
              </w:rPr>
            </w:pPr>
          </w:p>
        </w:tc>
        <w:tc>
          <w:tcPr>
            <w:tcW w:w="50" w:type="pct"/>
            <w:vAlign w:val="center"/>
            <w:hideMark/>
          </w:tcPr>
          <w:p w14:paraId="3D318FBE" w14:textId="77777777" w:rsidR="00000000" w:rsidRDefault="00A173A8">
            <w:pPr>
              <w:spacing w:after="100"/>
              <w:rPr>
                <w:rFonts w:eastAsia="Times New Roman"/>
                <w:sz w:val="20"/>
                <w:szCs w:val="20"/>
              </w:rPr>
            </w:pPr>
          </w:p>
        </w:tc>
        <w:tc>
          <w:tcPr>
            <w:tcW w:w="1614" w:type="pct"/>
            <w:vAlign w:val="center"/>
            <w:hideMark/>
          </w:tcPr>
          <w:p w14:paraId="31644903" w14:textId="77777777" w:rsidR="00000000" w:rsidRDefault="00A173A8">
            <w:pPr>
              <w:spacing w:after="100"/>
              <w:rPr>
                <w:rFonts w:eastAsia="Times New Roman"/>
                <w:sz w:val="20"/>
                <w:szCs w:val="20"/>
              </w:rPr>
            </w:pPr>
          </w:p>
        </w:tc>
        <w:tc>
          <w:tcPr>
            <w:tcW w:w="5" w:type="pct"/>
            <w:vAlign w:val="center"/>
            <w:hideMark/>
          </w:tcPr>
          <w:p w14:paraId="6F51BB86" w14:textId="77777777" w:rsidR="00000000" w:rsidRDefault="00A173A8">
            <w:pPr>
              <w:spacing w:after="100"/>
              <w:rPr>
                <w:rFonts w:eastAsia="Times New Roman"/>
                <w:sz w:val="20"/>
                <w:szCs w:val="20"/>
              </w:rPr>
            </w:pPr>
          </w:p>
        </w:tc>
        <w:tc>
          <w:tcPr>
            <w:tcW w:w="50" w:type="pct"/>
            <w:vAlign w:val="center"/>
            <w:hideMark/>
          </w:tcPr>
          <w:p w14:paraId="2D93EFCD" w14:textId="77777777" w:rsidR="00000000" w:rsidRDefault="00A173A8">
            <w:pPr>
              <w:spacing w:after="100"/>
              <w:rPr>
                <w:rFonts w:eastAsia="Times New Roman"/>
                <w:sz w:val="20"/>
                <w:szCs w:val="20"/>
              </w:rPr>
            </w:pPr>
          </w:p>
        </w:tc>
        <w:tc>
          <w:tcPr>
            <w:tcW w:w="1614" w:type="pct"/>
            <w:vAlign w:val="center"/>
            <w:hideMark/>
          </w:tcPr>
          <w:p w14:paraId="1F636983" w14:textId="77777777" w:rsidR="00000000" w:rsidRDefault="00A173A8">
            <w:pPr>
              <w:spacing w:after="100"/>
              <w:rPr>
                <w:rFonts w:eastAsia="Times New Roman"/>
                <w:sz w:val="20"/>
                <w:szCs w:val="20"/>
              </w:rPr>
            </w:pPr>
          </w:p>
        </w:tc>
        <w:tc>
          <w:tcPr>
            <w:tcW w:w="5" w:type="pct"/>
            <w:vAlign w:val="center"/>
            <w:hideMark/>
          </w:tcPr>
          <w:p w14:paraId="43D3787E" w14:textId="77777777" w:rsidR="00000000" w:rsidRDefault="00A173A8">
            <w:pPr>
              <w:spacing w:after="100"/>
              <w:rPr>
                <w:rFonts w:eastAsia="Times New Roman"/>
                <w:sz w:val="20"/>
                <w:szCs w:val="20"/>
              </w:rPr>
            </w:pPr>
          </w:p>
        </w:tc>
      </w:tr>
      <w:tr w:rsidR="00000000" w14:paraId="036C51AE" w14:textId="77777777">
        <w:trPr>
          <w:divId w:val="720791809"/>
          <w:trHeight w:val="300"/>
          <w:jc w:val="center"/>
        </w:trPr>
        <w:tc>
          <w:tcPr>
            <w:tcW w:w="0" w:type="auto"/>
            <w:gridSpan w:val="9"/>
            <w:tcMar>
              <w:top w:w="0" w:type="dxa"/>
              <w:left w:w="20" w:type="dxa"/>
              <w:bottom w:w="0" w:type="dxa"/>
              <w:right w:w="20" w:type="dxa"/>
            </w:tcMar>
            <w:vAlign w:val="center"/>
            <w:hideMark/>
          </w:tcPr>
          <w:p w14:paraId="13E64185" w14:textId="77777777" w:rsidR="00000000" w:rsidRDefault="00A173A8">
            <w:pPr>
              <w:spacing w:after="100"/>
              <w:rPr>
                <w:rFonts w:eastAsia="Times New Roman"/>
                <w:sz w:val="20"/>
                <w:szCs w:val="20"/>
              </w:rPr>
            </w:pPr>
          </w:p>
        </w:tc>
      </w:tr>
      <w:tr w:rsidR="00000000" w14:paraId="462E2049" w14:textId="77777777">
        <w:trPr>
          <w:divId w:val="720791809"/>
          <w:jc w:val="center"/>
        </w:trPr>
        <w:tc>
          <w:tcPr>
            <w:tcW w:w="0" w:type="auto"/>
            <w:gridSpan w:val="3"/>
            <w:tcMar>
              <w:top w:w="0" w:type="dxa"/>
              <w:left w:w="20" w:type="dxa"/>
              <w:bottom w:w="0" w:type="dxa"/>
              <w:right w:w="20" w:type="dxa"/>
            </w:tcMar>
            <w:vAlign w:val="center"/>
            <w:hideMark/>
          </w:tcPr>
          <w:p w14:paraId="6D8622D3"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DF2F5B5" w14:textId="77777777" w:rsidR="00000000" w:rsidRDefault="00A173A8">
            <w:pPr>
              <w:spacing w:after="100"/>
              <w:jc w:val="center"/>
              <w:rPr>
                <w:rFonts w:eastAsia="Times New Roman"/>
              </w:rPr>
            </w:pPr>
            <w:r>
              <w:rPr>
                <w:rFonts w:eastAsia="Times New Roman"/>
                <w:color w:val="000000"/>
                <w:sz w:val="16"/>
                <w:szCs w:val="16"/>
              </w:rPr>
              <w:t>26</w:t>
            </w:r>
          </w:p>
        </w:tc>
        <w:tc>
          <w:tcPr>
            <w:tcW w:w="0" w:type="auto"/>
            <w:gridSpan w:val="3"/>
            <w:tcMar>
              <w:top w:w="30" w:type="dxa"/>
              <w:left w:w="20" w:type="dxa"/>
              <w:bottom w:w="30" w:type="dxa"/>
              <w:right w:w="20" w:type="dxa"/>
            </w:tcMar>
            <w:vAlign w:val="bottom"/>
            <w:hideMark/>
          </w:tcPr>
          <w:p w14:paraId="7CC900BC"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2997140" w14:textId="77777777" w:rsidR="00000000" w:rsidRDefault="00A173A8">
      <w:pPr>
        <w:rPr>
          <w:rFonts w:eastAsia="Times New Roman"/>
        </w:rPr>
      </w:pPr>
      <w:r>
        <w:rPr>
          <w:rFonts w:eastAsia="Times New Roman"/>
        </w:rPr>
        <w:pict w14:anchorId="7DC33420">
          <v:rect id="_x0000_i1051" style="width:0;height:1.5pt" o:hralign="center" o:hrstd="t" o:hr="t" fillcolor="#a0a0a0" stroked="f"/>
        </w:pict>
      </w:r>
    </w:p>
    <w:p w14:paraId="039A9133" w14:textId="77777777" w:rsidR="00000000" w:rsidRDefault="00A173A8">
      <w:pPr>
        <w:ind w:hanging="360"/>
        <w:jc w:val="both"/>
        <w:divId w:val="630205602"/>
        <w:rPr>
          <w:rFonts w:eastAsia="Times New Roman"/>
        </w:rPr>
      </w:pPr>
      <w:hyperlink w:anchor="i7ffd5d61af6f4722b1b1b07530d51c06_13" w:history="1">
        <w:r>
          <w:rPr>
            <w:rStyle w:val="a3"/>
            <w:rFonts w:eastAsia="Times New Roman"/>
            <w:sz w:val="16"/>
            <w:szCs w:val="16"/>
          </w:rPr>
          <w:t>Table of Contents</w:t>
        </w:r>
      </w:hyperlink>
    </w:p>
    <w:p w14:paraId="5BC10933" w14:textId="77777777" w:rsidR="00000000" w:rsidRDefault="00A173A8">
      <w:pPr>
        <w:ind w:hanging="360"/>
        <w:jc w:val="both"/>
        <w:divId w:val="661274925"/>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Nonperforming assets consist of nonperforming loans and other foreclosed assets. The total nonperforming asset rate is calculated based on t</w:t>
      </w:r>
      <w:r>
        <w:rPr>
          <w:rFonts w:eastAsia="Times New Roman"/>
          <w:color w:val="000000"/>
          <w:sz w:val="16"/>
          <w:szCs w:val="16"/>
        </w:rPr>
        <w:t>otal nonperforming assets divided by the combined period-end total loans held for investment and other foreclosed assets.</w:t>
      </w:r>
    </w:p>
    <w:p w14:paraId="178AC1CC" w14:textId="77777777" w:rsidR="00000000" w:rsidRDefault="00A173A8">
      <w:pPr>
        <w:ind w:hanging="360"/>
        <w:jc w:val="both"/>
        <w:divId w:val="84228501"/>
        <w:rPr>
          <w:rFonts w:eastAsia="Times New Roman"/>
        </w:rPr>
      </w:pPr>
      <w:r>
        <w:rPr>
          <w:rFonts w:eastAsia="Times New Roman"/>
          <w:color w:val="000000"/>
          <w:sz w:val="16"/>
          <w:szCs w:val="16"/>
        </w:rPr>
        <w:t>**    Not meaningful.</w:t>
      </w:r>
    </w:p>
    <w:p w14:paraId="41396189" w14:textId="77777777" w:rsidR="00000000" w:rsidRDefault="00A173A8">
      <w:pPr>
        <w:jc w:val="both"/>
        <w:divId w:val="829246937"/>
        <w:rPr>
          <w:rFonts w:eastAsia="Times New Roman"/>
        </w:rPr>
      </w:pPr>
      <w:r>
        <w:rPr>
          <w:rFonts w:eastAsia="Times New Roman"/>
          <w:color w:val="000000"/>
          <w:sz w:val="20"/>
          <w:szCs w:val="20"/>
        </w:rPr>
        <w:t>Key factors affecting the results of our Commercial Banking business for the second quarter and first six months</w:t>
      </w:r>
      <w:r>
        <w:rPr>
          <w:rFonts w:eastAsia="Times New Roman"/>
          <w:color w:val="000000"/>
          <w:sz w:val="20"/>
          <w:szCs w:val="20"/>
        </w:rPr>
        <w:t xml:space="preserve"> of 2022 compared to the second quarter and first six months of 2021, and changes in financial condition and credit performance between June 30, 2022 and December 31, 2021 include the following:</w:t>
      </w:r>
    </w:p>
    <w:p w14:paraId="515FA7F9" w14:textId="77777777" w:rsidR="00000000" w:rsidRDefault="00A173A8">
      <w:pPr>
        <w:ind w:hanging="360"/>
        <w:jc w:val="both"/>
        <w:divId w:val="761030708"/>
        <w:rPr>
          <w:rFonts w:eastAsia="Times New Roman"/>
        </w:rPr>
      </w:pPr>
      <w:r>
        <w:rPr>
          <w:rFonts w:eastAsia="Times New Roman"/>
          <w:i/>
          <w:iCs/>
          <w:color w:val="000000"/>
          <w:sz w:val="18"/>
          <w:szCs w:val="18"/>
        </w:rPr>
        <w:t>•</w:t>
      </w:r>
      <w:r>
        <w:rPr>
          <w:rFonts w:eastAsia="Times New Roman"/>
          <w:i/>
          <w:iCs/>
          <w:color w:val="000000"/>
          <w:sz w:val="20"/>
          <w:szCs w:val="20"/>
        </w:rPr>
        <w:t>Net Interest Income:</w:t>
      </w:r>
      <w:r>
        <w:rPr>
          <w:rFonts w:eastAsia="Times New Roman"/>
          <w:color w:val="000000"/>
          <w:sz w:val="20"/>
          <w:szCs w:val="20"/>
        </w:rPr>
        <w:t xml:space="preserve"> </w:t>
      </w:r>
      <w:r>
        <w:rPr>
          <w:rFonts w:eastAsia="Times New Roman"/>
          <w:color w:val="000000"/>
          <w:sz w:val="20"/>
          <w:szCs w:val="20"/>
        </w:rPr>
        <w:t>Net interest income increased by $175 million to $635 million in the second quarter of 2022 and increased by $262 million to $1.2 billion in the first six months of 2022 primarily driven by higher average loan balances.</w:t>
      </w:r>
    </w:p>
    <w:p w14:paraId="5DBBE82D" w14:textId="77777777" w:rsidR="00000000" w:rsidRDefault="00A173A8">
      <w:pPr>
        <w:ind w:hanging="360"/>
        <w:jc w:val="both"/>
        <w:divId w:val="946355399"/>
        <w:rPr>
          <w:rFonts w:eastAsia="Times New Roman"/>
        </w:rPr>
      </w:pPr>
      <w:r>
        <w:rPr>
          <w:rFonts w:eastAsia="Times New Roman"/>
          <w:i/>
          <w:iCs/>
          <w:color w:val="000000"/>
          <w:sz w:val="18"/>
          <w:szCs w:val="18"/>
        </w:rPr>
        <w:t>•</w:t>
      </w:r>
      <w:r>
        <w:rPr>
          <w:rFonts w:eastAsia="Times New Roman"/>
          <w:i/>
          <w:iCs/>
          <w:color w:val="000000"/>
          <w:sz w:val="20"/>
          <w:szCs w:val="20"/>
        </w:rPr>
        <w:t xml:space="preserve">Non-Interest Income: </w:t>
      </w:r>
      <w:r>
        <w:rPr>
          <w:rFonts w:eastAsia="Times New Roman"/>
          <w:color w:val="000000"/>
          <w:sz w:val="20"/>
          <w:szCs w:val="20"/>
        </w:rPr>
        <w:t>Non-interest i</w:t>
      </w:r>
      <w:r>
        <w:rPr>
          <w:rFonts w:eastAsia="Times New Roman"/>
          <w:color w:val="000000"/>
          <w:sz w:val="20"/>
          <w:szCs w:val="20"/>
        </w:rPr>
        <w:t>ncome increased by $15 million to $272 million in the second quarter of 2022 and increased by $52 million to $549 million in the first six months of 2022 primarily driven by higher activity in our capital markets business.</w:t>
      </w:r>
    </w:p>
    <w:p w14:paraId="0CC6F5B2" w14:textId="77777777" w:rsidR="00000000" w:rsidRDefault="00A173A8">
      <w:pPr>
        <w:ind w:hanging="360"/>
        <w:jc w:val="both"/>
        <w:divId w:val="1177159953"/>
        <w:rPr>
          <w:rFonts w:eastAsia="Times New Roman"/>
        </w:rPr>
      </w:pPr>
      <w:r>
        <w:rPr>
          <w:rFonts w:eastAsia="Times New Roman"/>
          <w:i/>
          <w:iCs/>
          <w:color w:val="000000"/>
          <w:sz w:val="18"/>
          <w:szCs w:val="18"/>
        </w:rPr>
        <w:t>•</w:t>
      </w:r>
      <w:r>
        <w:rPr>
          <w:rFonts w:eastAsia="Times New Roman"/>
          <w:i/>
          <w:iCs/>
          <w:color w:val="000000"/>
          <w:sz w:val="20"/>
          <w:szCs w:val="20"/>
        </w:rPr>
        <w:t>Provision for Credit Losses:</w:t>
      </w:r>
      <w:r>
        <w:rPr>
          <w:rFonts w:eastAsia="Times New Roman"/>
          <w:color w:val="000000"/>
          <w:sz w:val="20"/>
          <w:szCs w:val="20"/>
        </w:rPr>
        <w:t xml:space="preserve"> Pro</w:t>
      </w:r>
      <w:r>
        <w:rPr>
          <w:rFonts w:eastAsia="Times New Roman"/>
          <w:color w:val="000000"/>
          <w:sz w:val="20"/>
          <w:szCs w:val="20"/>
        </w:rPr>
        <w:t xml:space="preserve">vision for credit losses increased by $441 million to $222 million in the second quarter of 2022 and increased by $652 million to $230 million in the first six months of 2022 primarily driven by an allowance build due to loan growth and continued economic </w:t>
      </w:r>
      <w:r>
        <w:rPr>
          <w:rFonts w:eastAsia="Times New Roman"/>
          <w:color w:val="000000"/>
          <w:sz w:val="20"/>
          <w:szCs w:val="20"/>
        </w:rPr>
        <w:t>uncertainty, compared to allowance releases in the first half of 2021.</w:t>
      </w:r>
    </w:p>
    <w:p w14:paraId="47CC5DFE" w14:textId="77777777" w:rsidR="00000000" w:rsidRDefault="00A173A8">
      <w:pPr>
        <w:ind w:hanging="360"/>
        <w:jc w:val="both"/>
        <w:divId w:val="1347633065"/>
        <w:rPr>
          <w:rFonts w:eastAsia="Times New Roman"/>
        </w:rPr>
      </w:pPr>
      <w:r>
        <w:rPr>
          <w:rFonts w:eastAsia="Times New Roman"/>
          <w:i/>
          <w:iCs/>
          <w:color w:val="000000"/>
          <w:sz w:val="18"/>
          <w:szCs w:val="18"/>
        </w:rPr>
        <w:t>•</w:t>
      </w:r>
      <w:r>
        <w:rPr>
          <w:rFonts w:eastAsia="Times New Roman"/>
          <w:i/>
          <w:iCs/>
          <w:color w:val="000000"/>
          <w:sz w:val="20"/>
          <w:szCs w:val="20"/>
        </w:rPr>
        <w:t xml:space="preserve">Non-Interest Expense: </w:t>
      </w:r>
      <w:r>
        <w:rPr>
          <w:rFonts w:eastAsia="Times New Roman"/>
          <w:color w:val="000000"/>
          <w:sz w:val="20"/>
          <w:szCs w:val="20"/>
        </w:rPr>
        <w:t xml:space="preserve">Non-interest expense increased by $68 million to $485 million in the second quarter of 2022 and increased by $137 million to $973 million in the first six months </w:t>
      </w:r>
      <w:r>
        <w:rPr>
          <w:rFonts w:eastAsia="Times New Roman"/>
          <w:color w:val="000000"/>
          <w:sz w:val="20"/>
          <w:szCs w:val="20"/>
        </w:rPr>
        <w:t>of 2022 primarily driven by continued investment in our growth strategies, infrastructure and technology</w:t>
      </w:r>
      <w:r>
        <w:rPr>
          <w:rFonts w:eastAsia="Times New Roman"/>
          <w:i/>
          <w:iCs/>
          <w:color w:val="000000"/>
          <w:sz w:val="20"/>
          <w:szCs w:val="20"/>
        </w:rPr>
        <w:t>.</w:t>
      </w:r>
    </w:p>
    <w:p w14:paraId="063EB92F" w14:textId="77777777" w:rsidR="00000000" w:rsidRDefault="00A173A8">
      <w:pPr>
        <w:jc w:val="both"/>
        <w:divId w:val="1531844350"/>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w:t>
      </w:r>
    </w:p>
    <w:p w14:paraId="2F5306BC" w14:textId="77777777" w:rsidR="00000000" w:rsidRDefault="00A173A8">
      <w:pPr>
        <w:ind w:hanging="360"/>
        <w:jc w:val="both"/>
        <w:divId w:val="515660120"/>
        <w:rPr>
          <w:rFonts w:eastAsia="Times New Roman"/>
        </w:rPr>
      </w:pPr>
      <w:r>
        <w:rPr>
          <w:rFonts w:eastAsia="Times New Roman"/>
          <w:color w:val="000000"/>
          <w:sz w:val="20"/>
          <w:szCs w:val="20"/>
        </w:rPr>
        <w:t>•</w:t>
      </w:r>
      <w:r>
        <w:rPr>
          <w:rFonts w:eastAsia="Times New Roman"/>
          <w:color w:val="000000"/>
          <w:sz w:val="20"/>
          <w:szCs w:val="20"/>
        </w:rPr>
        <w:t>Period-end loans held for investment increased by $9.1 billion to $94.0 billion as of June 30, 2022 from December 31, 2021 primarily driven by growth across our loan portfolio.</w:t>
      </w:r>
    </w:p>
    <w:p w14:paraId="1F3618CA" w14:textId="77777777" w:rsidR="00000000" w:rsidRDefault="00A173A8">
      <w:pPr>
        <w:ind w:hanging="360"/>
        <w:jc w:val="both"/>
        <w:divId w:val="412821422"/>
        <w:rPr>
          <w:rFonts w:eastAsia="Times New Roman"/>
        </w:rPr>
      </w:pPr>
      <w:r>
        <w:rPr>
          <w:rFonts w:eastAsia="Times New Roman"/>
          <w:i/>
          <w:iCs/>
          <w:color w:val="000000"/>
          <w:sz w:val="18"/>
          <w:szCs w:val="18"/>
        </w:rPr>
        <w:t>•</w:t>
      </w:r>
      <w:r>
        <w:rPr>
          <w:rFonts w:eastAsia="Times New Roman"/>
          <w:color w:val="000000"/>
          <w:sz w:val="20"/>
          <w:szCs w:val="20"/>
        </w:rPr>
        <w:t xml:space="preserve">Average loans held for investment increased by $15.2 billion to $89.3 billion </w:t>
      </w:r>
      <w:r>
        <w:rPr>
          <w:rFonts w:eastAsia="Times New Roman"/>
          <w:color w:val="000000"/>
          <w:sz w:val="20"/>
          <w:szCs w:val="20"/>
        </w:rPr>
        <w:t>in the second quarter of 2022 compared to the second quarter of 2021 and increased by $13.1 billion to $87.2 billion in the first six months of 2022 compared to the first six months of 2021 primarily driven by growth across our loan portfolio.</w:t>
      </w:r>
    </w:p>
    <w:p w14:paraId="7961C396" w14:textId="77777777" w:rsidR="00000000" w:rsidRDefault="00A173A8">
      <w:pPr>
        <w:jc w:val="both"/>
        <w:divId w:val="1573346761"/>
        <w:rPr>
          <w:rFonts w:eastAsia="Times New Roman"/>
        </w:rPr>
      </w:pPr>
      <w:r>
        <w:rPr>
          <w:rFonts w:eastAsia="Times New Roman"/>
          <w:i/>
          <w:iCs/>
          <w:color w:val="000000"/>
          <w:sz w:val="20"/>
          <w:szCs w:val="20"/>
        </w:rPr>
        <w:t>Deposits:</w:t>
      </w:r>
      <w:r>
        <w:rPr>
          <w:rFonts w:eastAsia="Times New Roman"/>
          <w:color w:val="000000"/>
          <w:sz w:val="20"/>
          <w:szCs w:val="20"/>
        </w:rPr>
        <w:t xml:space="preserve"> </w:t>
      </w:r>
    </w:p>
    <w:p w14:paraId="36995943" w14:textId="77777777" w:rsidR="00000000" w:rsidRDefault="00A173A8">
      <w:pPr>
        <w:ind w:hanging="360"/>
        <w:jc w:val="both"/>
        <w:divId w:val="108009948"/>
        <w:rPr>
          <w:rFonts w:eastAsia="Times New Roman"/>
        </w:rPr>
      </w:pPr>
      <w:r>
        <w:rPr>
          <w:rFonts w:eastAsia="Times New Roman"/>
          <w:color w:val="000000"/>
          <w:sz w:val="20"/>
          <w:szCs w:val="20"/>
        </w:rPr>
        <w:t>•</w:t>
      </w:r>
      <w:r>
        <w:rPr>
          <w:rFonts w:eastAsia="Times New Roman"/>
          <w:color w:val="000000"/>
          <w:sz w:val="20"/>
          <w:szCs w:val="20"/>
        </w:rPr>
        <w:t>Period-end deposits decreased by $6.0 billion to $38.8 billion as of June 30, 2022 from December 31, 2021 primarily driven by the transfer of deposits to our retail banking portfolio, the impact of a rising and competitive interest rate environment and sea</w:t>
      </w:r>
      <w:r>
        <w:rPr>
          <w:rFonts w:eastAsia="Times New Roman"/>
          <w:color w:val="000000"/>
          <w:sz w:val="20"/>
          <w:szCs w:val="20"/>
        </w:rPr>
        <w:t>sonality.</w:t>
      </w:r>
    </w:p>
    <w:p w14:paraId="34023E46" w14:textId="77777777" w:rsidR="00000000" w:rsidRDefault="00A173A8">
      <w:pPr>
        <w:jc w:val="both"/>
        <w:divId w:val="470828781"/>
        <w:rPr>
          <w:rFonts w:eastAsia="Times New Roman"/>
        </w:rPr>
      </w:pPr>
      <w:r>
        <w:rPr>
          <w:rFonts w:eastAsia="Times New Roman"/>
          <w:i/>
          <w:iCs/>
          <w:color w:val="000000"/>
          <w:sz w:val="20"/>
          <w:szCs w:val="20"/>
        </w:rPr>
        <w:t>Net Charge-Off and Nonperforming Metrics:</w:t>
      </w:r>
      <w:r>
        <w:rPr>
          <w:rFonts w:eastAsia="Times New Roman"/>
          <w:color w:val="000000"/>
          <w:sz w:val="20"/>
          <w:szCs w:val="20"/>
        </w:rPr>
        <w:t xml:space="preserve"> </w:t>
      </w:r>
    </w:p>
    <w:p w14:paraId="551BE296" w14:textId="77777777" w:rsidR="00000000" w:rsidRDefault="00A173A8">
      <w:pPr>
        <w:ind w:hanging="360"/>
        <w:jc w:val="both"/>
        <w:divId w:val="220599575"/>
        <w:rPr>
          <w:rFonts w:eastAsia="Times New Roman"/>
        </w:rPr>
      </w:pPr>
      <w:r>
        <w:rPr>
          <w:rFonts w:eastAsia="Times New Roman"/>
          <w:i/>
          <w:iCs/>
          <w:color w:val="000000"/>
          <w:sz w:val="18"/>
          <w:szCs w:val="18"/>
        </w:rPr>
        <w:t>•</w:t>
      </w:r>
      <w:r>
        <w:rPr>
          <w:rFonts w:eastAsia="Times New Roman"/>
          <w:color w:val="000000"/>
          <w:sz w:val="20"/>
          <w:szCs w:val="20"/>
        </w:rPr>
        <w:t xml:space="preserve">The net charge-off rate increased by 25 basis points to 0.14% in the second quarter of 2022 and increased by 11 basis points to 0.10% in the first six months of 2022 primarily driven by isolated charge </w:t>
      </w:r>
      <w:r>
        <w:rPr>
          <w:rFonts w:eastAsia="Times New Roman"/>
          <w:color w:val="000000"/>
          <w:sz w:val="20"/>
          <w:szCs w:val="20"/>
        </w:rPr>
        <w:t>offs in our commercial and industrial loan portfolio.</w:t>
      </w:r>
    </w:p>
    <w:p w14:paraId="29D0888F" w14:textId="77777777" w:rsidR="00000000" w:rsidRDefault="00A173A8">
      <w:pPr>
        <w:ind w:hanging="360"/>
        <w:jc w:val="both"/>
        <w:divId w:val="570971280"/>
        <w:rPr>
          <w:rFonts w:eastAsia="Times New Roman"/>
        </w:rPr>
      </w:pPr>
      <w:r>
        <w:rPr>
          <w:rFonts w:eastAsia="Times New Roman"/>
          <w:i/>
          <w:iCs/>
          <w:color w:val="000000"/>
          <w:sz w:val="18"/>
          <w:szCs w:val="18"/>
        </w:rPr>
        <w:t>•</w:t>
      </w:r>
      <w:r>
        <w:rPr>
          <w:rFonts w:eastAsia="Times New Roman"/>
          <w:color w:val="000000"/>
          <w:sz w:val="20"/>
          <w:szCs w:val="20"/>
        </w:rPr>
        <w:t>The nonperforming loan rate decreased by 12 basis points to 0.70% as of June 30, 2022 compared to December 31, 2021 primarily driven by higher ending loan balances and improvements in our commercial re</w:t>
      </w:r>
      <w:r>
        <w:rPr>
          <w:rFonts w:eastAsia="Times New Roman"/>
          <w:color w:val="000000"/>
          <w:sz w:val="20"/>
          <w:szCs w:val="20"/>
        </w:rPr>
        <w:t>al estate portfolio.</w:t>
      </w:r>
    </w:p>
    <w:p w14:paraId="40139749" w14:textId="77777777" w:rsidR="00000000" w:rsidRDefault="00A173A8">
      <w:pPr>
        <w:divId w:val="899823078"/>
        <w:rPr>
          <w:rFonts w:eastAsia="Times New Roman"/>
        </w:rPr>
      </w:pPr>
      <w:r>
        <w:rPr>
          <w:rFonts w:eastAsia="Times New Roman"/>
          <w:b/>
          <w:bCs/>
          <w:color w:val="000000"/>
          <w:sz w:val="20"/>
          <w:szCs w:val="20"/>
        </w:rPr>
        <w:t>Other Category</w:t>
      </w:r>
    </w:p>
    <w:p w14:paraId="4A9FB458" w14:textId="77777777" w:rsidR="00000000" w:rsidRDefault="00A173A8">
      <w:pPr>
        <w:jc w:val="both"/>
        <w:divId w:val="1534465799"/>
        <w:rPr>
          <w:rFonts w:eastAsia="Times New Roman"/>
        </w:rPr>
      </w:pPr>
      <w:r>
        <w:rPr>
          <w:rFonts w:eastAsia="Times New Roman"/>
          <w:color w:val="000000"/>
          <w:sz w:val="20"/>
          <w:szCs w:val="20"/>
        </w:rPr>
        <w:t>Other includes unallocated amounts related to our centralized Corporate Treasury group activities, such as management of our corporate investment securities portfolio, asset/liability management and certain capital manag</w:t>
      </w:r>
      <w:r>
        <w:rPr>
          <w:rFonts w:eastAsia="Times New Roman"/>
          <w:color w:val="000000"/>
          <w:sz w:val="20"/>
          <w:szCs w:val="20"/>
        </w:rPr>
        <w:t>ement activities. Other also includes:</w:t>
      </w:r>
    </w:p>
    <w:p w14:paraId="6BD6723A" w14:textId="77777777" w:rsidR="00000000" w:rsidRDefault="00A173A8">
      <w:pPr>
        <w:ind w:hanging="360"/>
        <w:jc w:val="both"/>
        <w:divId w:val="2089226127"/>
        <w:rPr>
          <w:rFonts w:eastAsia="Times New Roman"/>
        </w:rPr>
      </w:pPr>
      <w:r>
        <w:rPr>
          <w:rFonts w:eastAsia="Times New Roman"/>
          <w:color w:val="000000"/>
          <w:sz w:val="20"/>
          <w:szCs w:val="20"/>
        </w:rPr>
        <w:t>•unallocated corporate revenue and expenses that do not directly support the operations of the business segments or for which the business segments are not considered financially accountable in evaluating their perfor</w:t>
      </w:r>
      <w:r>
        <w:rPr>
          <w:rFonts w:eastAsia="Times New Roman"/>
          <w:color w:val="000000"/>
          <w:sz w:val="20"/>
          <w:szCs w:val="20"/>
        </w:rPr>
        <w:t>mance, such as certain restructuring charges;</w:t>
      </w:r>
    </w:p>
    <w:p w14:paraId="1CE9083E" w14:textId="77777777" w:rsidR="00000000" w:rsidRDefault="00A173A8">
      <w:pPr>
        <w:ind w:hanging="360"/>
        <w:jc w:val="both"/>
        <w:divId w:val="1943953412"/>
        <w:rPr>
          <w:rFonts w:eastAsia="Times New Roman"/>
        </w:rPr>
      </w:pPr>
      <w:r>
        <w:rPr>
          <w:rFonts w:eastAsia="Times New Roman"/>
          <w:color w:val="000000"/>
          <w:sz w:val="20"/>
          <w:szCs w:val="20"/>
        </w:rPr>
        <w:t>•offsets related to certain line-item reclassifications;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960B649" w14:textId="77777777">
        <w:trPr>
          <w:divId w:val="1096441562"/>
          <w:jc w:val="center"/>
        </w:trPr>
        <w:tc>
          <w:tcPr>
            <w:tcW w:w="50" w:type="pct"/>
            <w:vAlign w:val="center"/>
            <w:hideMark/>
          </w:tcPr>
          <w:p w14:paraId="32EDFF07" w14:textId="77777777" w:rsidR="00000000" w:rsidRDefault="00A173A8">
            <w:pPr>
              <w:ind w:hanging="360"/>
              <w:jc w:val="both"/>
              <w:rPr>
                <w:rFonts w:eastAsia="Times New Roman"/>
              </w:rPr>
            </w:pPr>
          </w:p>
        </w:tc>
        <w:tc>
          <w:tcPr>
            <w:tcW w:w="1606" w:type="pct"/>
            <w:vAlign w:val="center"/>
            <w:hideMark/>
          </w:tcPr>
          <w:p w14:paraId="6F5D7479" w14:textId="77777777" w:rsidR="00000000" w:rsidRDefault="00A173A8">
            <w:pPr>
              <w:spacing w:after="100"/>
              <w:rPr>
                <w:rFonts w:eastAsia="Times New Roman"/>
                <w:sz w:val="20"/>
                <w:szCs w:val="20"/>
              </w:rPr>
            </w:pPr>
          </w:p>
        </w:tc>
        <w:tc>
          <w:tcPr>
            <w:tcW w:w="5" w:type="pct"/>
            <w:vAlign w:val="center"/>
            <w:hideMark/>
          </w:tcPr>
          <w:p w14:paraId="6F4A4A5A" w14:textId="77777777" w:rsidR="00000000" w:rsidRDefault="00A173A8">
            <w:pPr>
              <w:spacing w:after="100"/>
              <w:rPr>
                <w:rFonts w:eastAsia="Times New Roman"/>
                <w:sz w:val="20"/>
                <w:szCs w:val="20"/>
              </w:rPr>
            </w:pPr>
          </w:p>
        </w:tc>
        <w:tc>
          <w:tcPr>
            <w:tcW w:w="50" w:type="pct"/>
            <w:vAlign w:val="center"/>
            <w:hideMark/>
          </w:tcPr>
          <w:p w14:paraId="10135D67" w14:textId="77777777" w:rsidR="00000000" w:rsidRDefault="00A173A8">
            <w:pPr>
              <w:spacing w:after="100"/>
              <w:rPr>
                <w:rFonts w:eastAsia="Times New Roman"/>
                <w:sz w:val="20"/>
                <w:szCs w:val="20"/>
              </w:rPr>
            </w:pPr>
          </w:p>
        </w:tc>
        <w:tc>
          <w:tcPr>
            <w:tcW w:w="1614" w:type="pct"/>
            <w:vAlign w:val="center"/>
            <w:hideMark/>
          </w:tcPr>
          <w:p w14:paraId="51F2F1E3" w14:textId="77777777" w:rsidR="00000000" w:rsidRDefault="00A173A8">
            <w:pPr>
              <w:spacing w:after="100"/>
              <w:rPr>
                <w:rFonts w:eastAsia="Times New Roman"/>
                <w:sz w:val="20"/>
                <w:szCs w:val="20"/>
              </w:rPr>
            </w:pPr>
          </w:p>
        </w:tc>
        <w:tc>
          <w:tcPr>
            <w:tcW w:w="5" w:type="pct"/>
            <w:vAlign w:val="center"/>
            <w:hideMark/>
          </w:tcPr>
          <w:p w14:paraId="70367784" w14:textId="77777777" w:rsidR="00000000" w:rsidRDefault="00A173A8">
            <w:pPr>
              <w:spacing w:after="100"/>
              <w:rPr>
                <w:rFonts w:eastAsia="Times New Roman"/>
                <w:sz w:val="20"/>
                <w:szCs w:val="20"/>
              </w:rPr>
            </w:pPr>
          </w:p>
        </w:tc>
        <w:tc>
          <w:tcPr>
            <w:tcW w:w="50" w:type="pct"/>
            <w:vAlign w:val="center"/>
            <w:hideMark/>
          </w:tcPr>
          <w:p w14:paraId="7493EBED" w14:textId="77777777" w:rsidR="00000000" w:rsidRDefault="00A173A8">
            <w:pPr>
              <w:spacing w:after="100"/>
              <w:rPr>
                <w:rFonts w:eastAsia="Times New Roman"/>
                <w:sz w:val="20"/>
                <w:szCs w:val="20"/>
              </w:rPr>
            </w:pPr>
          </w:p>
        </w:tc>
        <w:tc>
          <w:tcPr>
            <w:tcW w:w="1614" w:type="pct"/>
            <w:vAlign w:val="center"/>
            <w:hideMark/>
          </w:tcPr>
          <w:p w14:paraId="69CECF5E" w14:textId="77777777" w:rsidR="00000000" w:rsidRDefault="00A173A8">
            <w:pPr>
              <w:spacing w:after="100"/>
              <w:rPr>
                <w:rFonts w:eastAsia="Times New Roman"/>
                <w:sz w:val="20"/>
                <w:szCs w:val="20"/>
              </w:rPr>
            </w:pPr>
          </w:p>
        </w:tc>
        <w:tc>
          <w:tcPr>
            <w:tcW w:w="5" w:type="pct"/>
            <w:vAlign w:val="center"/>
            <w:hideMark/>
          </w:tcPr>
          <w:p w14:paraId="3DF6351F" w14:textId="77777777" w:rsidR="00000000" w:rsidRDefault="00A173A8">
            <w:pPr>
              <w:spacing w:after="100"/>
              <w:rPr>
                <w:rFonts w:eastAsia="Times New Roman"/>
                <w:sz w:val="20"/>
                <w:szCs w:val="20"/>
              </w:rPr>
            </w:pPr>
          </w:p>
        </w:tc>
      </w:tr>
      <w:tr w:rsidR="00000000" w14:paraId="27FC639D" w14:textId="77777777">
        <w:trPr>
          <w:divId w:val="1096441562"/>
          <w:trHeight w:val="300"/>
          <w:jc w:val="center"/>
        </w:trPr>
        <w:tc>
          <w:tcPr>
            <w:tcW w:w="0" w:type="auto"/>
            <w:gridSpan w:val="9"/>
            <w:tcMar>
              <w:top w:w="0" w:type="dxa"/>
              <w:left w:w="20" w:type="dxa"/>
              <w:bottom w:w="0" w:type="dxa"/>
              <w:right w:w="20" w:type="dxa"/>
            </w:tcMar>
            <w:vAlign w:val="center"/>
            <w:hideMark/>
          </w:tcPr>
          <w:p w14:paraId="7E3DE80E" w14:textId="77777777" w:rsidR="00000000" w:rsidRDefault="00A173A8">
            <w:pPr>
              <w:spacing w:after="100"/>
              <w:rPr>
                <w:rFonts w:eastAsia="Times New Roman"/>
                <w:sz w:val="20"/>
                <w:szCs w:val="20"/>
              </w:rPr>
            </w:pPr>
          </w:p>
        </w:tc>
      </w:tr>
      <w:tr w:rsidR="00000000" w14:paraId="62D73708" w14:textId="77777777">
        <w:trPr>
          <w:divId w:val="1096441562"/>
          <w:jc w:val="center"/>
        </w:trPr>
        <w:tc>
          <w:tcPr>
            <w:tcW w:w="0" w:type="auto"/>
            <w:gridSpan w:val="3"/>
            <w:tcMar>
              <w:top w:w="0" w:type="dxa"/>
              <w:left w:w="20" w:type="dxa"/>
              <w:bottom w:w="0" w:type="dxa"/>
              <w:right w:w="20" w:type="dxa"/>
            </w:tcMar>
            <w:vAlign w:val="center"/>
            <w:hideMark/>
          </w:tcPr>
          <w:p w14:paraId="188641B3"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1932453" w14:textId="77777777" w:rsidR="00000000" w:rsidRDefault="00A173A8">
            <w:pPr>
              <w:spacing w:after="100"/>
              <w:jc w:val="center"/>
              <w:rPr>
                <w:rFonts w:eastAsia="Times New Roman"/>
              </w:rPr>
            </w:pPr>
            <w:r>
              <w:rPr>
                <w:rFonts w:eastAsia="Times New Roman"/>
                <w:color w:val="000000"/>
                <w:sz w:val="16"/>
                <w:szCs w:val="16"/>
              </w:rPr>
              <w:t>27</w:t>
            </w:r>
          </w:p>
        </w:tc>
        <w:tc>
          <w:tcPr>
            <w:tcW w:w="0" w:type="auto"/>
            <w:gridSpan w:val="3"/>
            <w:tcMar>
              <w:top w:w="30" w:type="dxa"/>
              <w:left w:w="20" w:type="dxa"/>
              <w:bottom w:w="30" w:type="dxa"/>
              <w:right w:w="20" w:type="dxa"/>
            </w:tcMar>
            <w:vAlign w:val="bottom"/>
            <w:hideMark/>
          </w:tcPr>
          <w:p w14:paraId="34E57C1D"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5670738" w14:textId="77777777" w:rsidR="00000000" w:rsidRDefault="00A173A8">
      <w:pPr>
        <w:rPr>
          <w:rFonts w:eastAsia="Times New Roman"/>
        </w:rPr>
      </w:pPr>
      <w:r>
        <w:rPr>
          <w:rFonts w:eastAsia="Times New Roman"/>
        </w:rPr>
        <w:pict w14:anchorId="44B3BBBE">
          <v:rect id="_x0000_i1052" style="width:0;height:1.5pt" o:hralign="center" o:hrstd="t" o:hr="t" fillcolor="#a0a0a0" stroked="f"/>
        </w:pict>
      </w:r>
    </w:p>
    <w:p w14:paraId="0C8CDCF8" w14:textId="77777777" w:rsidR="00000000" w:rsidRDefault="00A173A8">
      <w:pPr>
        <w:ind w:hanging="360"/>
        <w:jc w:val="both"/>
        <w:divId w:val="70584803"/>
        <w:rPr>
          <w:rFonts w:eastAsia="Times New Roman"/>
        </w:rPr>
      </w:pPr>
      <w:hyperlink w:anchor="i7ffd5d61af6f4722b1b1b07530d51c06_13" w:history="1">
        <w:r>
          <w:rPr>
            <w:rStyle w:val="a3"/>
            <w:rFonts w:eastAsia="Times New Roman"/>
            <w:sz w:val="16"/>
            <w:szCs w:val="16"/>
          </w:rPr>
          <w:t>Table of Contents</w:t>
        </w:r>
      </w:hyperlink>
    </w:p>
    <w:p w14:paraId="1305BFAF" w14:textId="77777777" w:rsidR="00000000" w:rsidRDefault="00A173A8">
      <w:pPr>
        <w:ind w:hanging="360"/>
        <w:jc w:val="both"/>
        <w:divId w:val="1482700299"/>
        <w:rPr>
          <w:rFonts w:eastAsia="Times New Roman"/>
        </w:rPr>
      </w:pPr>
      <w:r>
        <w:rPr>
          <w:rFonts w:eastAsia="Times New Roman"/>
          <w:i/>
          <w:iCs/>
          <w:color w:val="000000"/>
          <w:sz w:val="20"/>
          <w:szCs w:val="20"/>
        </w:rPr>
        <w:t>•</w:t>
      </w:r>
      <w:r>
        <w:rPr>
          <w:rFonts w:eastAsia="Times New Roman"/>
          <w:color w:val="000000"/>
          <w:sz w:val="20"/>
          <w:szCs w:val="20"/>
        </w:rPr>
        <w:t>residual tax expense or benefit to arrive at the consolidated effective tax rate that is not assessed to our primary business segments; and</w:t>
      </w:r>
    </w:p>
    <w:p w14:paraId="5E9748C8" w14:textId="77777777" w:rsidR="00000000" w:rsidRDefault="00A173A8">
      <w:pPr>
        <w:ind w:hanging="360"/>
        <w:jc w:val="both"/>
        <w:divId w:val="1301762832"/>
        <w:rPr>
          <w:rFonts w:eastAsia="Times New Roman"/>
        </w:rPr>
      </w:pPr>
      <w:r>
        <w:rPr>
          <w:rFonts w:eastAsia="Times New Roman"/>
          <w:color w:val="000000"/>
          <w:sz w:val="20"/>
          <w:szCs w:val="20"/>
        </w:rPr>
        <w:t>•f</w:t>
      </w:r>
      <w:r>
        <w:rPr>
          <w:rFonts w:eastAsia="Times New Roman"/>
          <w:color w:val="000000"/>
          <w:sz w:val="20"/>
          <w:szCs w:val="20"/>
        </w:rPr>
        <w:t>oreign exchange-rate fluctuations on foreign currency-denominated balances.</w:t>
      </w:r>
    </w:p>
    <w:p w14:paraId="6CD000F0" w14:textId="77777777" w:rsidR="00000000" w:rsidRDefault="00A173A8">
      <w:pPr>
        <w:jc w:val="both"/>
        <w:divId w:val="494497072"/>
        <w:rPr>
          <w:rFonts w:eastAsia="Times New Roman"/>
        </w:rPr>
      </w:pPr>
      <w:r>
        <w:rPr>
          <w:rFonts w:eastAsia="Times New Roman"/>
          <w:color w:val="000000"/>
          <w:sz w:val="20"/>
          <w:szCs w:val="20"/>
        </w:rPr>
        <w:t>Table 12 summarizes the financial results of our Other category for the periods indicated.</w:t>
      </w:r>
    </w:p>
    <w:p w14:paraId="02C0E0B1" w14:textId="77777777" w:rsidR="00000000" w:rsidRDefault="00A173A8">
      <w:pPr>
        <w:divId w:val="36324688"/>
        <w:rPr>
          <w:rFonts w:eastAsia="Times New Roman"/>
        </w:rPr>
      </w:pPr>
      <w:r>
        <w:rPr>
          <w:rFonts w:eastAsia="Times New Roman"/>
          <w:b/>
          <w:bCs/>
          <w:color w:val="000000"/>
          <w:sz w:val="18"/>
          <w:szCs w:val="18"/>
        </w:rPr>
        <w:t>Table 12: Other Category Results</w:t>
      </w:r>
    </w:p>
    <w:tbl>
      <w:tblPr>
        <w:tblW w:w="4941" w:type="pct"/>
        <w:tblCellMar>
          <w:top w:w="15" w:type="dxa"/>
          <w:left w:w="15" w:type="dxa"/>
          <w:bottom w:w="15" w:type="dxa"/>
          <w:right w:w="15" w:type="dxa"/>
        </w:tblCellMar>
        <w:tblLook w:val="04A0" w:firstRow="1" w:lastRow="0" w:firstColumn="1" w:lastColumn="0" w:noHBand="0" w:noVBand="1"/>
      </w:tblPr>
      <w:tblGrid>
        <w:gridCol w:w="38"/>
        <w:gridCol w:w="2920"/>
        <w:gridCol w:w="37"/>
        <w:gridCol w:w="36"/>
        <w:gridCol w:w="36"/>
        <w:gridCol w:w="36"/>
        <w:gridCol w:w="120"/>
        <w:gridCol w:w="490"/>
        <w:gridCol w:w="36"/>
        <w:gridCol w:w="36"/>
        <w:gridCol w:w="36"/>
        <w:gridCol w:w="36"/>
        <w:gridCol w:w="120"/>
        <w:gridCol w:w="492"/>
        <w:gridCol w:w="36"/>
        <w:gridCol w:w="36"/>
        <w:gridCol w:w="36"/>
        <w:gridCol w:w="36"/>
        <w:gridCol w:w="75"/>
        <w:gridCol w:w="614"/>
        <w:gridCol w:w="187"/>
        <w:gridCol w:w="36"/>
        <w:gridCol w:w="36"/>
        <w:gridCol w:w="36"/>
        <w:gridCol w:w="120"/>
        <w:gridCol w:w="434"/>
        <w:gridCol w:w="36"/>
        <w:gridCol w:w="36"/>
        <w:gridCol w:w="36"/>
        <w:gridCol w:w="36"/>
        <w:gridCol w:w="120"/>
        <w:gridCol w:w="486"/>
        <w:gridCol w:w="36"/>
        <w:gridCol w:w="36"/>
        <w:gridCol w:w="36"/>
        <w:gridCol w:w="36"/>
        <w:gridCol w:w="36"/>
        <w:gridCol w:w="36"/>
        <w:gridCol w:w="85"/>
        <w:gridCol w:w="603"/>
        <w:gridCol w:w="187"/>
        <w:gridCol w:w="36"/>
        <w:gridCol w:w="36"/>
        <w:gridCol w:w="36"/>
        <w:gridCol w:w="36"/>
        <w:gridCol w:w="36"/>
        <w:gridCol w:w="36"/>
      </w:tblGrid>
      <w:tr w:rsidR="00000000" w14:paraId="5DC39F0D" w14:textId="77777777">
        <w:trPr>
          <w:divId w:val="1699895162"/>
        </w:trPr>
        <w:tc>
          <w:tcPr>
            <w:tcW w:w="50" w:type="pct"/>
            <w:vAlign w:val="center"/>
            <w:hideMark/>
          </w:tcPr>
          <w:p w14:paraId="3C789030" w14:textId="77777777" w:rsidR="00000000" w:rsidRDefault="00A173A8">
            <w:pPr>
              <w:rPr>
                <w:rFonts w:eastAsia="Times New Roman"/>
              </w:rPr>
            </w:pPr>
          </w:p>
        </w:tc>
        <w:tc>
          <w:tcPr>
            <w:tcW w:w="1919" w:type="pct"/>
            <w:vAlign w:val="center"/>
            <w:hideMark/>
          </w:tcPr>
          <w:p w14:paraId="78404985" w14:textId="77777777" w:rsidR="00000000" w:rsidRDefault="00A173A8">
            <w:pPr>
              <w:spacing w:after="100"/>
              <w:rPr>
                <w:rFonts w:eastAsia="Times New Roman"/>
                <w:sz w:val="20"/>
                <w:szCs w:val="20"/>
              </w:rPr>
            </w:pPr>
          </w:p>
        </w:tc>
        <w:tc>
          <w:tcPr>
            <w:tcW w:w="5" w:type="pct"/>
            <w:vAlign w:val="center"/>
            <w:hideMark/>
          </w:tcPr>
          <w:p w14:paraId="55515A1E" w14:textId="77777777" w:rsidR="00000000" w:rsidRDefault="00A173A8">
            <w:pPr>
              <w:spacing w:after="100"/>
              <w:rPr>
                <w:rFonts w:eastAsia="Times New Roman"/>
                <w:sz w:val="20"/>
                <w:szCs w:val="20"/>
              </w:rPr>
            </w:pPr>
          </w:p>
        </w:tc>
        <w:tc>
          <w:tcPr>
            <w:tcW w:w="5" w:type="pct"/>
            <w:vAlign w:val="center"/>
            <w:hideMark/>
          </w:tcPr>
          <w:p w14:paraId="2CFB12D5" w14:textId="77777777" w:rsidR="00000000" w:rsidRDefault="00A173A8">
            <w:pPr>
              <w:spacing w:after="100"/>
              <w:rPr>
                <w:rFonts w:eastAsia="Times New Roman"/>
                <w:sz w:val="20"/>
                <w:szCs w:val="20"/>
              </w:rPr>
            </w:pPr>
          </w:p>
        </w:tc>
        <w:tc>
          <w:tcPr>
            <w:tcW w:w="26" w:type="pct"/>
            <w:vAlign w:val="center"/>
            <w:hideMark/>
          </w:tcPr>
          <w:p w14:paraId="370E385E" w14:textId="77777777" w:rsidR="00000000" w:rsidRDefault="00A173A8">
            <w:pPr>
              <w:spacing w:after="100"/>
              <w:rPr>
                <w:rFonts w:eastAsia="Times New Roman"/>
                <w:sz w:val="20"/>
                <w:szCs w:val="20"/>
              </w:rPr>
            </w:pPr>
          </w:p>
        </w:tc>
        <w:tc>
          <w:tcPr>
            <w:tcW w:w="5" w:type="pct"/>
            <w:vAlign w:val="center"/>
            <w:hideMark/>
          </w:tcPr>
          <w:p w14:paraId="37953076" w14:textId="77777777" w:rsidR="00000000" w:rsidRDefault="00A173A8">
            <w:pPr>
              <w:spacing w:after="100"/>
              <w:rPr>
                <w:rFonts w:eastAsia="Times New Roman"/>
                <w:sz w:val="20"/>
                <w:szCs w:val="20"/>
              </w:rPr>
            </w:pPr>
          </w:p>
        </w:tc>
        <w:tc>
          <w:tcPr>
            <w:tcW w:w="50" w:type="pct"/>
            <w:vAlign w:val="center"/>
            <w:hideMark/>
          </w:tcPr>
          <w:p w14:paraId="7170EF30" w14:textId="77777777" w:rsidR="00000000" w:rsidRDefault="00A173A8">
            <w:pPr>
              <w:spacing w:after="100"/>
              <w:rPr>
                <w:rFonts w:eastAsia="Times New Roman"/>
                <w:sz w:val="20"/>
                <w:szCs w:val="20"/>
              </w:rPr>
            </w:pPr>
          </w:p>
        </w:tc>
        <w:tc>
          <w:tcPr>
            <w:tcW w:w="410" w:type="pct"/>
            <w:vAlign w:val="center"/>
            <w:hideMark/>
          </w:tcPr>
          <w:p w14:paraId="1494F9DA" w14:textId="77777777" w:rsidR="00000000" w:rsidRDefault="00A173A8">
            <w:pPr>
              <w:spacing w:after="100"/>
              <w:rPr>
                <w:rFonts w:eastAsia="Times New Roman"/>
                <w:sz w:val="20"/>
                <w:szCs w:val="20"/>
              </w:rPr>
            </w:pPr>
          </w:p>
        </w:tc>
        <w:tc>
          <w:tcPr>
            <w:tcW w:w="5" w:type="pct"/>
            <w:vAlign w:val="center"/>
            <w:hideMark/>
          </w:tcPr>
          <w:p w14:paraId="3241EBF3" w14:textId="77777777" w:rsidR="00000000" w:rsidRDefault="00A173A8">
            <w:pPr>
              <w:spacing w:after="100"/>
              <w:rPr>
                <w:rFonts w:eastAsia="Times New Roman"/>
                <w:sz w:val="20"/>
                <w:szCs w:val="20"/>
              </w:rPr>
            </w:pPr>
          </w:p>
        </w:tc>
        <w:tc>
          <w:tcPr>
            <w:tcW w:w="5" w:type="pct"/>
            <w:vAlign w:val="center"/>
            <w:hideMark/>
          </w:tcPr>
          <w:p w14:paraId="26059542" w14:textId="77777777" w:rsidR="00000000" w:rsidRDefault="00A173A8">
            <w:pPr>
              <w:spacing w:after="100"/>
              <w:rPr>
                <w:rFonts w:eastAsia="Times New Roman"/>
                <w:sz w:val="20"/>
                <w:szCs w:val="20"/>
              </w:rPr>
            </w:pPr>
          </w:p>
        </w:tc>
        <w:tc>
          <w:tcPr>
            <w:tcW w:w="26" w:type="pct"/>
            <w:vAlign w:val="center"/>
            <w:hideMark/>
          </w:tcPr>
          <w:p w14:paraId="3F3BBF7F" w14:textId="77777777" w:rsidR="00000000" w:rsidRDefault="00A173A8">
            <w:pPr>
              <w:spacing w:after="100"/>
              <w:rPr>
                <w:rFonts w:eastAsia="Times New Roman"/>
                <w:sz w:val="20"/>
                <w:szCs w:val="20"/>
              </w:rPr>
            </w:pPr>
          </w:p>
        </w:tc>
        <w:tc>
          <w:tcPr>
            <w:tcW w:w="5" w:type="pct"/>
            <w:vAlign w:val="center"/>
            <w:hideMark/>
          </w:tcPr>
          <w:p w14:paraId="722E3FA7" w14:textId="77777777" w:rsidR="00000000" w:rsidRDefault="00A173A8">
            <w:pPr>
              <w:spacing w:after="100"/>
              <w:rPr>
                <w:rFonts w:eastAsia="Times New Roman"/>
                <w:sz w:val="20"/>
                <w:szCs w:val="20"/>
              </w:rPr>
            </w:pPr>
          </w:p>
        </w:tc>
        <w:tc>
          <w:tcPr>
            <w:tcW w:w="50" w:type="pct"/>
            <w:vAlign w:val="center"/>
            <w:hideMark/>
          </w:tcPr>
          <w:p w14:paraId="734CE5AC" w14:textId="77777777" w:rsidR="00000000" w:rsidRDefault="00A173A8">
            <w:pPr>
              <w:spacing w:after="100"/>
              <w:rPr>
                <w:rFonts w:eastAsia="Times New Roman"/>
                <w:sz w:val="20"/>
                <w:szCs w:val="20"/>
              </w:rPr>
            </w:pPr>
          </w:p>
        </w:tc>
        <w:tc>
          <w:tcPr>
            <w:tcW w:w="410" w:type="pct"/>
            <w:vAlign w:val="center"/>
            <w:hideMark/>
          </w:tcPr>
          <w:p w14:paraId="6813E900" w14:textId="77777777" w:rsidR="00000000" w:rsidRDefault="00A173A8">
            <w:pPr>
              <w:spacing w:after="100"/>
              <w:rPr>
                <w:rFonts w:eastAsia="Times New Roman"/>
                <w:sz w:val="20"/>
                <w:szCs w:val="20"/>
              </w:rPr>
            </w:pPr>
          </w:p>
        </w:tc>
        <w:tc>
          <w:tcPr>
            <w:tcW w:w="5" w:type="pct"/>
            <w:vAlign w:val="center"/>
            <w:hideMark/>
          </w:tcPr>
          <w:p w14:paraId="5EDE8608" w14:textId="77777777" w:rsidR="00000000" w:rsidRDefault="00A173A8">
            <w:pPr>
              <w:spacing w:after="100"/>
              <w:rPr>
                <w:rFonts w:eastAsia="Times New Roman"/>
                <w:sz w:val="20"/>
                <w:szCs w:val="20"/>
              </w:rPr>
            </w:pPr>
          </w:p>
        </w:tc>
        <w:tc>
          <w:tcPr>
            <w:tcW w:w="5" w:type="pct"/>
            <w:vAlign w:val="center"/>
            <w:hideMark/>
          </w:tcPr>
          <w:p w14:paraId="19C8C35D" w14:textId="77777777" w:rsidR="00000000" w:rsidRDefault="00A173A8">
            <w:pPr>
              <w:spacing w:after="100"/>
              <w:rPr>
                <w:rFonts w:eastAsia="Times New Roman"/>
                <w:sz w:val="20"/>
                <w:szCs w:val="20"/>
              </w:rPr>
            </w:pPr>
          </w:p>
        </w:tc>
        <w:tc>
          <w:tcPr>
            <w:tcW w:w="26" w:type="pct"/>
            <w:vAlign w:val="center"/>
            <w:hideMark/>
          </w:tcPr>
          <w:p w14:paraId="45FB9430" w14:textId="77777777" w:rsidR="00000000" w:rsidRDefault="00A173A8">
            <w:pPr>
              <w:spacing w:after="100"/>
              <w:rPr>
                <w:rFonts w:eastAsia="Times New Roman"/>
                <w:sz w:val="20"/>
                <w:szCs w:val="20"/>
              </w:rPr>
            </w:pPr>
          </w:p>
        </w:tc>
        <w:tc>
          <w:tcPr>
            <w:tcW w:w="5" w:type="pct"/>
            <w:vAlign w:val="center"/>
            <w:hideMark/>
          </w:tcPr>
          <w:p w14:paraId="5F70C143" w14:textId="77777777" w:rsidR="00000000" w:rsidRDefault="00A173A8">
            <w:pPr>
              <w:spacing w:after="100"/>
              <w:rPr>
                <w:rFonts w:eastAsia="Times New Roman"/>
                <w:sz w:val="20"/>
                <w:szCs w:val="20"/>
              </w:rPr>
            </w:pPr>
          </w:p>
        </w:tc>
        <w:tc>
          <w:tcPr>
            <w:tcW w:w="50" w:type="pct"/>
            <w:vAlign w:val="center"/>
            <w:hideMark/>
          </w:tcPr>
          <w:p w14:paraId="03B320A7" w14:textId="77777777" w:rsidR="00000000" w:rsidRDefault="00A173A8">
            <w:pPr>
              <w:spacing w:after="100"/>
              <w:rPr>
                <w:rFonts w:eastAsia="Times New Roman"/>
                <w:sz w:val="20"/>
                <w:szCs w:val="20"/>
              </w:rPr>
            </w:pPr>
          </w:p>
        </w:tc>
        <w:tc>
          <w:tcPr>
            <w:tcW w:w="410" w:type="pct"/>
            <w:vAlign w:val="center"/>
            <w:hideMark/>
          </w:tcPr>
          <w:p w14:paraId="09F85D12" w14:textId="77777777" w:rsidR="00000000" w:rsidRDefault="00A173A8">
            <w:pPr>
              <w:spacing w:after="100"/>
              <w:rPr>
                <w:rFonts w:eastAsia="Times New Roman"/>
                <w:sz w:val="20"/>
                <w:szCs w:val="20"/>
              </w:rPr>
            </w:pPr>
          </w:p>
        </w:tc>
        <w:tc>
          <w:tcPr>
            <w:tcW w:w="5" w:type="pct"/>
            <w:vAlign w:val="center"/>
            <w:hideMark/>
          </w:tcPr>
          <w:p w14:paraId="18172A13" w14:textId="77777777" w:rsidR="00000000" w:rsidRDefault="00A173A8">
            <w:pPr>
              <w:spacing w:after="100"/>
              <w:rPr>
                <w:rFonts w:eastAsia="Times New Roman"/>
                <w:sz w:val="20"/>
                <w:szCs w:val="20"/>
              </w:rPr>
            </w:pPr>
          </w:p>
        </w:tc>
        <w:tc>
          <w:tcPr>
            <w:tcW w:w="5" w:type="pct"/>
            <w:vAlign w:val="center"/>
            <w:hideMark/>
          </w:tcPr>
          <w:p w14:paraId="4BB5C6A9" w14:textId="77777777" w:rsidR="00000000" w:rsidRDefault="00A173A8">
            <w:pPr>
              <w:spacing w:after="100"/>
              <w:rPr>
                <w:rFonts w:eastAsia="Times New Roman"/>
                <w:sz w:val="20"/>
                <w:szCs w:val="20"/>
              </w:rPr>
            </w:pPr>
          </w:p>
        </w:tc>
        <w:tc>
          <w:tcPr>
            <w:tcW w:w="26" w:type="pct"/>
            <w:vAlign w:val="center"/>
            <w:hideMark/>
          </w:tcPr>
          <w:p w14:paraId="17931E3C" w14:textId="77777777" w:rsidR="00000000" w:rsidRDefault="00A173A8">
            <w:pPr>
              <w:spacing w:after="100"/>
              <w:rPr>
                <w:rFonts w:eastAsia="Times New Roman"/>
                <w:sz w:val="20"/>
                <w:szCs w:val="20"/>
              </w:rPr>
            </w:pPr>
          </w:p>
        </w:tc>
        <w:tc>
          <w:tcPr>
            <w:tcW w:w="5" w:type="pct"/>
            <w:vAlign w:val="center"/>
            <w:hideMark/>
          </w:tcPr>
          <w:p w14:paraId="01FB994D" w14:textId="77777777" w:rsidR="00000000" w:rsidRDefault="00A173A8">
            <w:pPr>
              <w:spacing w:after="100"/>
              <w:rPr>
                <w:rFonts w:eastAsia="Times New Roman"/>
                <w:sz w:val="20"/>
                <w:szCs w:val="20"/>
              </w:rPr>
            </w:pPr>
          </w:p>
        </w:tc>
        <w:tc>
          <w:tcPr>
            <w:tcW w:w="50" w:type="pct"/>
            <w:vAlign w:val="center"/>
            <w:hideMark/>
          </w:tcPr>
          <w:p w14:paraId="2C34C69C" w14:textId="77777777" w:rsidR="00000000" w:rsidRDefault="00A173A8">
            <w:pPr>
              <w:spacing w:after="100"/>
              <w:rPr>
                <w:rFonts w:eastAsia="Times New Roman"/>
                <w:sz w:val="20"/>
                <w:szCs w:val="20"/>
              </w:rPr>
            </w:pPr>
          </w:p>
        </w:tc>
        <w:tc>
          <w:tcPr>
            <w:tcW w:w="440" w:type="pct"/>
            <w:vAlign w:val="center"/>
            <w:hideMark/>
          </w:tcPr>
          <w:p w14:paraId="7FB42BE2" w14:textId="77777777" w:rsidR="00000000" w:rsidRDefault="00A173A8">
            <w:pPr>
              <w:spacing w:after="100"/>
              <w:rPr>
                <w:rFonts w:eastAsia="Times New Roman"/>
                <w:sz w:val="20"/>
                <w:szCs w:val="20"/>
              </w:rPr>
            </w:pPr>
          </w:p>
        </w:tc>
        <w:tc>
          <w:tcPr>
            <w:tcW w:w="5" w:type="pct"/>
            <w:vAlign w:val="center"/>
            <w:hideMark/>
          </w:tcPr>
          <w:p w14:paraId="3E046C72" w14:textId="77777777" w:rsidR="00000000" w:rsidRDefault="00A173A8">
            <w:pPr>
              <w:spacing w:after="100"/>
              <w:rPr>
                <w:rFonts w:eastAsia="Times New Roman"/>
                <w:sz w:val="20"/>
                <w:szCs w:val="20"/>
              </w:rPr>
            </w:pPr>
          </w:p>
        </w:tc>
        <w:tc>
          <w:tcPr>
            <w:tcW w:w="5" w:type="pct"/>
            <w:vAlign w:val="center"/>
            <w:hideMark/>
          </w:tcPr>
          <w:p w14:paraId="4AC12841" w14:textId="77777777" w:rsidR="00000000" w:rsidRDefault="00A173A8">
            <w:pPr>
              <w:spacing w:after="100"/>
              <w:rPr>
                <w:rFonts w:eastAsia="Times New Roman"/>
                <w:sz w:val="20"/>
                <w:szCs w:val="20"/>
              </w:rPr>
            </w:pPr>
          </w:p>
        </w:tc>
        <w:tc>
          <w:tcPr>
            <w:tcW w:w="26" w:type="pct"/>
            <w:vAlign w:val="center"/>
            <w:hideMark/>
          </w:tcPr>
          <w:p w14:paraId="6F323375" w14:textId="77777777" w:rsidR="00000000" w:rsidRDefault="00A173A8">
            <w:pPr>
              <w:spacing w:after="100"/>
              <w:rPr>
                <w:rFonts w:eastAsia="Times New Roman"/>
                <w:sz w:val="20"/>
                <w:szCs w:val="20"/>
              </w:rPr>
            </w:pPr>
          </w:p>
        </w:tc>
        <w:tc>
          <w:tcPr>
            <w:tcW w:w="5" w:type="pct"/>
            <w:vAlign w:val="center"/>
            <w:hideMark/>
          </w:tcPr>
          <w:p w14:paraId="73ECF448" w14:textId="77777777" w:rsidR="00000000" w:rsidRDefault="00A173A8">
            <w:pPr>
              <w:spacing w:after="100"/>
              <w:rPr>
                <w:rFonts w:eastAsia="Times New Roman"/>
                <w:sz w:val="20"/>
                <w:szCs w:val="20"/>
              </w:rPr>
            </w:pPr>
          </w:p>
        </w:tc>
        <w:tc>
          <w:tcPr>
            <w:tcW w:w="50" w:type="pct"/>
            <w:vAlign w:val="center"/>
            <w:hideMark/>
          </w:tcPr>
          <w:p w14:paraId="646453D5" w14:textId="77777777" w:rsidR="00000000" w:rsidRDefault="00A173A8">
            <w:pPr>
              <w:spacing w:after="100"/>
              <w:rPr>
                <w:rFonts w:eastAsia="Times New Roman"/>
                <w:sz w:val="20"/>
                <w:szCs w:val="20"/>
              </w:rPr>
            </w:pPr>
          </w:p>
        </w:tc>
        <w:tc>
          <w:tcPr>
            <w:tcW w:w="440" w:type="pct"/>
            <w:vAlign w:val="center"/>
            <w:hideMark/>
          </w:tcPr>
          <w:p w14:paraId="77F0FEF2" w14:textId="77777777" w:rsidR="00000000" w:rsidRDefault="00A173A8">
            <w:pPr>
              <w:spacing w:after="100"/>
              <w:rPr>
                <w:rFonts w:eastAsia="Times New Roman"/>
                <w:sz w:val="20"/>
                <w:szCs w:val="20"/>
              </w:rPr>
            </w:pPr>
          </w:p>
        </w:tc>
        <w:tc>
          <w:tcPr>
            <w:tcW w:w="5" w:type="pct"/>
            <w:vAlign w:val="center"/>
            <w:hideMark/>
          </w:tcPr>
          <w:p w14:paraId="737191AE" w14:textId="77777777" w:rsidR="00000000" w:rsidRDefault="00A173A8">
            <w:pPr>
              <w:spacing w:after="100"/>
              <w:rPr>
                <w:rFonts w:eastAsia="Times New Roman"/>
                <w:sz w:val="20"/>
                <w:szCs w:val="20"/>
              </w:rPr>
            </w:pPr>
          </w:p>
        </w:tc>
        <w:tc>
          <w:tcPr>
            <w:tcW w:w="0" w:type="auto"/>
            <w:vAlign w:val="center"/>
            <w:hideMark/>
          </w:tcPr>
          <w:p w14:paraId="66EEC582" w14:textId="77777777" w:rsidR="00000000" w:rsidRDefault="00A173A8">
            <w:pPr>
              <w:spacing w:after="100"/>
              <w:rPr>
                <w:rFonts w:eastAsia="Times New Roman"/>
                <w:sz w:val="20"/>
                <w:szCs w:val="20"/>
              </w:rPr>
            </w:pPr>
          </w:p>
        </w:tc>
        <w:tc>
          <w:tcPr>
            <w:tcW w:w="0" w:type="auto"/>
            <w:vAlign w:val="center"/>
            <w:hideMark/>
          </w:tcPr>
          <w:p w14:paraId="711BEB75" w14:textId="77777777" w:rsidR="00000000" w:rsidRDefault="00A173A8">
            <w:pPr>
              <w:spacing w:after="100"/>
              <w:rPr>
                <w:rFonts w:eastAsia="Times New Roman"/>
                <w:sz w:val="20"/>
                <w:szCs w:val="20"/>
              </w:rPr>
            </w:pPr>
          </w:p>
        </w:tc>
        <w:tc>
          <w:tcPr>
            <w:tcW w:w="5" w:type="pct"/>
            <w:vAlign w:val="center"/>
            <w:hideMark/>
          </w:tcPr>
          <w:p w14:paraId="5724E289" w14:textId="77777777" w:rsidR="00000000" w:rsidRDefault="00A173A8">
            <w:pPr>
              <w:spacing w:after="100"/>
              <w:rPr>
                <w:rFonts w:eastAsia="Times New Roman"/>
                <w:sz w:val="20"/>
                <w:szCs w:val="20"/>
              </w:rPr>
            </w:pPr>
          </w:p>
        </w:tc>
        <w:tc>
          <w:tcPr>
            <w:tcW w:w="26" w:type="pct"/>
            <w:vAlign w:val="center"/>
            <w:hideMark/>
          </w:tcPr>
          <w:p w14:paraId="3D138580" w14:textId="77777777" w:rsidR="00000000" w:rsidRDefault="00A173A8">
            <w:pPr>
              <w:spacing w:after="100"/>
              <w:rPr>
                <w:rFonts w:eastAsia="Times New Roman"/>
                <w:sz w:val="20"/>
                <w:szCs w:val="20"/>
              </w:rPr>
            </w:pPr>
          </w:p>
        </w:tc>
        <w:tc>
          <w:tcPr>
            <w:tcW w:w="5" w:type="pct"/>
            <w:vAlign w:val="center"/>
            <w:hideMark/>
          </w:tcPr>
          <w:p w14:paraId="30F55046" w14:textId="77777777" w:rsidR="00000000" w:rsidRDefault="00A173A8">
            <w:pPr>
              <w:spacing w:after="100"/>
              <w:rPr>
                <w:rFonts w:eastAsia="Times New Roman"/>
                <w:sz w:val="20"/>
                <w:szCs w:val="20"/>
              </w:rPr>
            </w:pPr>
          </w:p>
        </w:tc>
        <w:tc>
          <w:tcPr>
            <w:tcW w:w="50" w:type="pct"/>
            <w:vAlign w:val="center"/>
            <w:hideMark/>
          </w:tcPr>
          <w:p w14:paraId="4E155FED" w14:textId="77777777" w:rsidR="00000000" w:rsidRDefault="00A173A8">
            <w:pPr>
              <w:spacing w:after="100"/>
              <w:rPr>
                <w:rFonts w:eastAsia="Times New Roman"/>
                <w:sz w:val="20"/>
                <w:szCs w:val="20"/>
              </w:rPr>
            </w:pPr>
          </w:p>
        </w:tc>
        <w:tc>
          <w:tcPr>
            <w:tcW w:w="359" w:type="pct"/>
            <w:vAlign w:val="center"/>
            <w:hideMark/>
          </w:tcPr>
          <w:p w14:paraId="250DE06A" w14:textId="77777777" w:rsidR="00000000" w:rsidRDefault="00A173A8">
            <w:pPr>
              <w:spacing w:after="100"/>
              <w:rPr>
                <w:rFonts w:eastAsia="Times New Roman"/>
                <w:sz w:val="20"/>
                <w:szCs w:val="20"/>
              </w:rPr>
            </w:pPr>
          </w:p>
        </w:tc>
        <w:tc>
          <w:tcPr>
            <w:tcW w:w="5" w:type="pct"/>
            <w:vAlign w:val="center"/>
            <w:hideMark/>
          </w:tcPr>
          <w:p w14:paraId="206709C4" w14:textId="77777777" w:rsidR="00000000" w:rsidRDefault="00A173A8">
            <w:pPr>
              <w:spacing w:after="100"/>
              <w:rPr>
                <w:rFonts w:eastAsia="Times New Roman"/>
                <w:sz w:val="20"/>
                <w:szCs w:val="20"/>
              </w:rPr>
            </w:pPr>
          </w:p>
        </w:tc>
        <w:tc>
          <w:tcPr>
            <w:tcW w:w="0" w:type="auto"/>
            <w:gridSpan w:val="3"/>
            <w:vAlign w:val="center"/>
            <w:hideMark/>
          </w:tcPr>
          <w:p w14:paraId="2BEE7414" w14:textId="77777777" w:rsidR="00000000" w:rsidRDefault="00A173A8">
            <w:pPr>
              <w:spacing w:after="100"/>
              <w:rPr>
                <w:rFonts w:eastAsia="Times New Roman"/>
                <w:sz w:val="20"/>
                <w:szCs w:val="20"/>
              </w:rPr>
            </w:pPr>
          </w:p>
        </w:tc>
        <w:tc>
          <w:tcPr>
            <w:tcW w:w="0" w:type="auto"/>
            <w:gridSpan w:val="3"/>
            <w:vAlign w:val="center"/>
            <w:hideMark/>
          </w:tcPr>
          <w:p w14:paraId="75E7EEDE" w14:textId="77777777" w:rsidR="00000000" w:rsidRDefault="00A173A8">
            <w:pPr>
              <w:spacing w:after="100"/>
              <w:rPr>
                <w:rFonts w:eastAsia="Times New Roman"/>
                <w:sz w:val="20"/>
                <w:szCs w:val="20"/>
              </w:rPr>
            </w:pPr>
          </w:p>
        </w:tc>
      </w:tr>
      <w:tr w:rsidR="00000000" w14:paraId="7E99F45F" w14:textId="77777777">
        <w:trPr>
          <w:divId w:val="1699895162"/>
        </w:trPr>
        <w:tc>
          <w:tcPr>
            <w:tcW w:w="0" w:type="auto"/>
            <w:gridSpan w:val="3"/>
            <w:tcMar>
              <w:top w:w="30" w:type="dxa"/>
              <w:left w:w="20" w:type="dxa"/>
              <w:bottom w:w="30" w:type="dxa"/>
              <w:right w:w="20" w:type="dxa"/>
            </w:tcMar>
            <w:vAlign w:val="bottom"/>
            <w:hideMark/>
          </w:tcPr>
          <w:p w14:paraId="34B99ED9"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00FBE9A" w14:textId="77777777" w:rsidR="00000000" w:rsidRDefault="00A173A8">
            <w:pPr>
              <w:spacing w:after="100"/>
              <w:rPr>
                <w:rFonts w:eastAsia="Times New Roman"/>
              </w:rPr>
            </w:pPr>
          </w:p>
        </w:tc>
        <w:tc>
          <w:tcPr>
            <w:tcW w:w="0" w:type="auto"/>
            <w:gridSpan w:val="15"/>
            <w:tcMar>
              <w:top w:w="30" w:type="dxa"/>
              <w:left w:w="20" w:type="dxa"/>
              <w:bottom w:w="30" w:type="dxa"/>
              <w:right w:w="20" w:type="dxa"/>
            </w:tcMar>
            <w:vAlign w:val="bottom"/>
            <w:hideMark/>
          </w:tcPr>
          <w:p w14:paraId="070FF6A3"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0A7572C8" w14:textId="77777777" w:rsidR="00000000" w:rsidRDefault="00A173A8">
            <w:pPr>
              <w:spacing w:after="100"/>
              <w:jc w:val="center"/>
              <w:rPr>
                <w:rFonts w:eastAsia="Times New Roman"/>
              </w:rPr>
            </w:pPr>
          </w:p>
        </w:tc>
        <w:tc>
          <w:tcPr>
            <w:tcW w:w="0" w:type="auto"/>
            <w:gridSpan w:val="11"/>
            <w:tcBorders>
              <w:bottom w:val="single" w:sz="8" w:space="0" w:color="000000"/>
            </w:tcBorders>
            <w:tcMar>
              <w:top w:w="30" w:type="dxa"/>
              <w:left w:w="20" w:type="dxa"/>
              <w:bottom w:w="30" w:type="dxa"/>
              <w:right w:w="20" w:type="dxa"/>
            </w:tcMar>
            <w:vAlign w:val="bottom"/>
            <w:hideMark/>
          </w:tcPr>
          <w:p w14:paraId="56C11289"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vAlign w:val="center"/>
            <w:hideMark/>
          </w:tcPr>
          <w:p w14:paraId="47F0EE3B" w14:textId="77777777" w:rsidR="00000000" w:rsidRDefault="00A173A8">
            <w:pPr>
              <w:spacing w:after="100"/>
              <w:rPr>
                <w:rFonts w:eastAsia="Times New Roman"/>
                <w:sz w:val="20"/>
                <w:szCs w:val="20"/>
              </w:rPr>
            </w:pPr>
          </w:p>
        </w:tc>
        <w:tc>
          <w:tcPr>
            <w:tcW w:w="0" w:type="auto"/>
            <w:vAlign w:val="center"/>
            <w:hideMark/>
          </w:tcPr>
          <w:p w14:paraId="00F02CD2" w14:textId="77777777" w:rsidR="00000000" w:rsidRDefault="00A173A8">
            <w:pPr>
              <w:spacing w:after="100"/>
              <w:rPr>
                <w:rFonts w:eastAsia="Times New Roman"/>
                <w:sz w:val="20"/>
                <w:szCs w:val="20"/>
              </w:rPr>
            </w:pPr>
          </w:p>
        </w:tc>
        <w:tc>
          <w:tcPr>
            <w:tcW w:w="0" w:type="auto"/>
            <w:vAlign w:val="center"/>
            <w:hideMark/>
          </w:tcPr>
          <w:p w14:paraId="18F43089" w14:textId="77777777" w:rsidR="00000000" w:rsidRDefault="00A173A8">
            <w:pPr>
              <w:spacing w:after="100"/>
              <w:rPr>
                <w:rFonts w:eastAsia="Times New Roman"/>
                <w:sz w:val="20"/>
                <w:szCs w:val="20"/>
              </w:rPr>
            </w:pPr>
          </w:p>
        </w:tc>
        <w:tc>
          <w:tcPr>
            <w:tcW w:w="0" w:type="auto"/>
            <w:vAlign w:val="center"/>
            <w:hideMark/>
          </w:tcPr>
          <w:p w14:paraId="6AF6ACBE" w14:textId="77777777" w:rsidR="00000000" w:rsidRDefault="00A173A8">
            <w:pPr>
              <w:spacing w:after="100"/>
              <w:rPr>
                <w:rFonts w:eastAsia="Times New Roman"/>
                <w:sz w:val="20"/>
                <w:szCs w:val="20"/>
              </w:rPr>
            </w:pPr>
          </w:p>
        </w:tc>
        <w:tc>
          <w:tcPr>
            <w:tcW w:w="0" w:type="auto"/>
            <w:vAlign w:val="center"/>
            <w:hideMark/>
          </w:tcPr>
          <w:p w14:paraId="144DEA7A" w14:textId="77777777" w:rsidR="00000000" w:rsidRDefault="00A173A8">
            <w:pPr>
              <w:spacing w:after="100"/>
              <w:rPr>
                <w:rFonts w:eastAsia="Times New Roman"/>
                <w:sz w:val="20"/>
                <w:szCs w:val="20"/>
              </w:rPr>
            </w:pPr>
          </w:p>
        </w:tc>
        <w:tc>
          <w:tcPr>
            <w:tcW w:w="0" w:type="auto"/>
            <w:vAlign w:val="center"/>
            <w:hideMark/>
          </w:tcPr>
          <w:p w14:paraId="0C290657" w14:textId="77777777" w:rsidR="00000000" w:rsidRDefault="00A173A8">
            <w:pPr>
              <w:spacing w:after="100"/>
              <w:rPr>
                <w:rFonts w:eastAsia="Times New Roman"/>
                <w:sz w:val="20"/>
                <w:szCs w:val="20"/>
              </w:rPr>
            </w:pPr>
          </w:p>
        </w:tc>
        <w:tc>
          <w:tcPr>
            <w:tcW w:w="0" w:type="auto"/>
            <w:vAlign w:val="center"/>
            <w:hideMark/>
          </w:tcPr>
          <w:p w14:paraId="1CE4FE0A" w14:textId="77777777" w:rsidR="00000000" w:rsidRDefault="00A173A8">
            <w:pPr>
              <w:spacing w:after="100"/>
              <w:rPr>
                <w:rFonts w:eastAsia="Times New Roman"/>
                <w:sz w:val="20"/>
                <w:szCs w:val="20"/>
              </w:rPr>
            </w:pPr>
          </w:p>
        </w:tc>
        <w:tc>
          <w:tcPr>
            <w:tcW w:w="0" w:type="auto"/>
            <w:vAlign w:val="center"/>
            <w:hideMark/>
          </w:tcPr>
          <w:p w14:paraId="17F29596" w14:textId="77777777" w:rsidR="00000000" w:rsidRDefault="00A173A8">
            <w:pPr>
              <w:spacing w:after="100"/>
              <w:rPr>
                <w:rFonts w:eastAsia="Times New Roman"/>
                <w:sz w:val="20"/>
                <w:szCs w:val="20"/>
              </w:rPr>
            </w:pPr>
          </w:p>
        </w:tc>
        <w:tc>
          <w:tcPr>
            <w:tcW w:w="0" w:type="auto"/>
            <w:vAlign w:val="center"/>
            <w:hideMark/>
          </w:tcPr>
          <w:p w14:paraId="506147B3" w14:textId="77777777" w:rsidR="00000000" w:rsidRDefault="00A173A8">
            <w:pPr>
              <w:spacing w:after="100"/>
              <w:rPr>
                <w:rFonts w:eastAsia="Times New Roman"/>
                <w:sz w:val="20"/>
                <w:szCs w:val="20"/>
              </w:rPr>
            </w:pPr>
          </w:p>
        </w:tc>
        <w:tc>
          <w:tcPr>
            <w:tcW w:w="0" w:type="auto"/>
            <w:vAlign w:val="center"/>
            <w:hideMark/>
          </w:tcPr>
          <w:p w14:paraId="3F087E50" w14:textId="77777777" w:rsidR="00000000" w:rsidRDefault="00A173A8">
            <w:pPr>
              <w:spacing w:after="100"/>
              <w:rPr>
                <w:rFonts w:eastAsia="Times New Roman"/>
                <w:sz w:val="20"/>
                <w:szCs w:val="20"/>
              </w:rPr>
            </w:pPr>
          </w:p>
        </w:tc>
        <w:tc>
          <w:tcPr>
            <w:tcW w:w="0" w:type="auto"/>
            <w:vAlign w:val="center"/>
            <w:hideMark/>
          </w:tcPr>
          <w:p w14:paraId="43E28633" w14:textId="77777777" w:rsidR="00000000" w:rsidRDefault="00A173A8">
            <w:pPr>
              <w:spacing w:after="100"/>
              <w:rPr>
                <w:rFonts w:eastAsia="Times New Roman"/>
                <w:sz w:val="20"/>
                <w:szCs w:val="20"/>
              </w:rPr>
            </w:pPr>
          </w:p>
        </w:tc>
        <w:tc>
          <w:tcPr>
            <w:tcW w:w="0" w:type="auto"/>
            <w:vAlign w:val="center"/>
            <w:hideMark/>
          </w:tcPr>
          <w:p w14:paraId="644322C6" w14:textId="77777777" w:rsidR="00000000" w:rsidRDefault="00A173A8">
            <w:pPr>
              <w:spacing w:after="100"/>
              <w:rPr>
                <w:rFonts w:eastAsia="Times New Roman"/>
                <w:sz w:val="20"/>
                <w:szCs w:val="20"/>
              </w:rPr>
            </w:pPr>
          </w:p>
        </w:tc>
      </w:tr>
      <w:tr w:rsidR="00000000" w14:paraId="4C7452E6" w14:textId="77777777">
        <w:trPr>
          <w:divId w:val="1699895162"/>
        </w:trPr>
        <w:tc>
          <w:tcPr>
            <w:tcW w:w="0" w:type="auto"/>
            <w:gridSpan w:val="3"/>
            <w:tcBorders>
              <w:bottom w:val="single" w:sz="8" w:space="0" w:color="000000"/>
            </w:tcBorders>
            <w:tcMar>
              <w:top w:w="30" w:type="dxa"/>
              <w:left w:w="20" w:type="dxa"/>
              <w:bottom w:w="30" w:type="dxa"/>
              <w:right w:w="20" w:type="dxa"/>
            </w:tcMar>
            <w:vAlign w:val="bottom"/>
            <w:hideMark/>
          </w:tcPr>
          <w:p w14:paraId="7340D6AC"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19786F8F"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C5C8A28"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52CE5C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7763BF"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0D3A848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8FB2FB3"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gridSpan w:val="3"/>
            <w:tcMar>
              <w:top w:w="0" w:type="dxa"/>
              <w:left w:w="20" w:type="dxa"/>
              <w:bottom w:w="0" w:type="dxa"/>
              <w:right w:w="20" w:type="dxa"/>
            </w:tcMar>
            <w:vAlign w:val="center"/>
            <w:hideMark/>
          </w:tcPr>
          <w:p w14:paraId="776194C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595A3AE"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8B5412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90264B"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3119D188" w14:textId="77777777" w:rsidR="00000000" w:rsidRDefault="00A173A8">
            <w:pPr>
              <w:spacing w:after="100"/>
              <w:jc w:val="center"/>
              <w:rPr>
                <w:rFonts w:eastAsia="Times New Roman"/>
              </w:rPr>
            </w:pPr>
          </w:p>
        </w:tc>
        <w:tc>
          <w:tcPr>
            <w:tcW w:w="0" w:type="auto"/>
            <w:vAlign w:val="center"/>
            <w:hideMark/>
          </w:tcPr>
          <w:p w14:paraId="4688106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EAB3AF"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FC201D" w14:textId="77777777" w:rsidR="00000000" w:rsidRDefault="00A173A8">
            <w:pPr>
              <w:spacing w:after="100"/>
              <w:jc w:val="center"/>
              <w:rPr>
                <w:rFonts w:eastAsia="Times New Roman"/>
              </w:rPr>
            </w:pPr>
            <w:r>
              <w:rPr>
                <w:rFonts w:eastAsia="Times New Roman"/>
                <w:b/>
                <w:bCs/>
                <w:color w:val="000000"/>
                <w:sz w:val="20"/>
                <w:szCs w:val="20"/>
              </w:rPr>
              <w:t>Change</w:t>
            </w:r>
          </w:p>
        </w:tc>
        <w:tc>
          <w:tcPr>
            <w:tcW w:w="0" w:type="auto"/>
            <w:vAlign w:val="center"/>
            <w:hideMark/>
          </w:tcPr>
          <w:p w14:paraId="1D689C6E" w14:textId="77777777" w:rsidR="00000000" w:rsidRDefault="00A173A8">
            <w:pPr>
              <w:spacing w:after="100"/>
              <w:rPr>
                <w:rFonts w:eastAsia="Times New Roman"/>
                <w:sz w:val="20"/>
                <w:szCs w:val="20"/>
              </w:rPr>
            </w:pPr>
          </w:p>
        </w:tc>
        <w:tc>
          <w:tcPr>
            <w:tcW w:w="0" w:type="auto"/>
            <w:vAlign w:val="center"/>
            <w:hideMark/>
          </w:tcPr>
          <w:p w14:paraId="5145DBAA" w14:textId="77777777" w:rsidR="00000000" w:rsidRDefault="00A173A8">
            <w:pPr>
              <w:spacing w:after="100"/>
              <w:rPr>
                <w:rFonts w:eastAsia="Times New Roman"/>
                <w:sz w:val="20"/>
                <w:szCs w:val="20"/>
              </w:rPr>
            </w:pPr>
          </w:p>
        </w:tc>
        <w:tc>
          <w:tcPr>
            <w:tcW w:w="0" w:type="auto"/>
            <w:vAlign w:val="center"/>
            <w:hideMark/>
          </w:tcPr>
          <w:p w14:paraId="0008DFFB" w14:textId="77777777" w:rsidR="00000000" w:rsidRDefault="00A173A8">
            <w:pPr>
              <w:spacing w:after="100"/>
              <w:rPr>
                <w:rFonts w:eastAsia="Times New Roman"/>
                <w:sz w:val="20"/>
                <w:szCs w:val="20"/>
              </w:rPr>
            </w:pPr>
          </w:p>
        </w:tc>
        <w:tc>
          <w:tcPr>
            <w:tcW w:w="0" w:type="auto"/>
            <w:vAlign w:val="center"/>
            <w:hideMark/>
          </w:tcPr>
          <w:p w14:paraId="6F853DC7" w14:textId="77777777" w:rsidR="00000000" w:rsidRDefault="00A173A8">
            <w:pPr>
              <w:spacing w:after="100"/>
              <w:rPr>
                <w:rFonts w:eastAsia="Times New Roman"/>
                <w:sz w:val="20"/>
                <w:szCs w:val="20"/>
              </w:rPr>
            </w:pPr>
          </w:p>
        </w:tc>
        <w:tc>
          <w:tcPr>
            <w:tcW w:w="0" w:type="auto"/>
            <w:vAlign w:val="center"/>
            <w:hideMark/>
          </w:tcPr>
          <w:p w14:paraId="659FF1D4" w14:textId="77777777" w:rsidR="00000000" w:rsidRDefault="00A173A8">
            <w:pPr>
              <w:spacing w:after="100"/>
              <w:rPr>
                <w:rFonts w:eastAsia="Times New Roman"/>
                <w:sz w:val="20"/>
                <w:szCs w:val="20"/>
              </w:rPr>
            </w:pPr>
          </w:p>
        </w:tc>
        <w:tc>
          <w:tcPr>
            <w:tcW w:w="0" w:type="auto"/>
            <w:vAlign w:val="center"/>
            <w:hideMark/>
          </w:tcPr>
          <w:p w14:paraId="440D4747" w14:textId="77777777" w:rsidR="00000000" w:rsidRDefault="00A173A8">
            <w:pPr>
              <w:spacing w:after="100"/>
              <w:rPr>
                <w:rFonts w:eastAsia="Times New Roman"/>
                <w:sz w:val="20"/>
                <w:szCs w:val="20"/>
              </w:rPr>
            </w:pPr>
          </w:p>
        </w:tc>
      </w:tr>
      <w:tr w:rsidR="00000000" w14:paraId="63D63BB4" w14:textId="77777777">
        <w:trPr>
          <w:divId w:val="16998951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59D0ECF" w14:textId="77777777" w:rsidR="00000000" w:rsidRDefault="00A173A8">
            <w:pPr>
              <w:spacing w:after="100"/>
              <w:rPr>
                <w:rFonts w:eastAsia="Times New Roman"/>
              </w:rPr>
            </w:pPr>
            <w:r>
              <w:rPr>
                <w:rFonts w:eastAsia="Times New Roman"/>
                <w:b/>
                <w:bCs/>
                <w:color w:val="000000"/>
                <w:sz w:val="20"/>
                <w:szCs w:val="20"/>
              </w:rPr>
              <w:t>Selected income statement data:</w:t>
            </w:r>
          </w:p>
        </w:tc>
        <w:tc>
          <w:tcPr>
            <w:tcW w:w="0" w:type="auto"/>
            <w:gridSpan w:val="3"/>
            <w:shd w:val="clear" w:color="auto" w:fill="CCEEFF"/>
            <w:tcMar>
              <w:top w:w="0" w:type="dxa"/>
              <w:left w:w="20" w:type="dxa"/>
              <w:bottom w:w="0" w:type="dxa"/>
              <w:right w:w="20" w:type="dxa"/>
            </w:tcMar>
            <w:vAlign w:val="center"/>
            <w:hideMark/>
          </w:tcPr>
          <w:p w14:paraId="154DD918"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8E228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D00A8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2FF92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76954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4A8B0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C4867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68B92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95347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0989F9" w14:textId="77777777" w:rsidR="00000000" w:rsidRDefault="00A173A8">
            <w:pPr>
              <w:spacing w:after="100"/>
              <w:rPr>
                <w:rFonts w:eastAsia="Times New Roman"/>
                <w:sz w:val="20"/>
                <w:szCs w:val="20"/>
              </w:rPr>
            </w:pPr>
          </w:p>
        </w:tc>
        <w:tc>
          <w:tcPr>
            <w:tcW w:w="0" w:type="auto"/>
            <w:vAlign w:val="center"/>
            <w:hideMark/>
          </w:tcPr>
          <w:p w14:paraId="0BFEF4C5" w14:textId="77777777" w:rsidR="00000000" w:rsidRDefault="00A173A8">
            <w:pPr>
              <w:spacing w:after="100"/>
              <w:rPr>
                <w:rFonts w:eastAsia="Times New Roman"/>
                <w:sz w:val="20"/>
                <w:szCs w:val="20"/>
              </w:rPr>
            </w:pPr>
          </w:p>
        </w:tc>
        <w:tc>
          <w:tcPr>
            <w:tcW w:w="0" w:type="auto"/>
            <w:vAlign w:val="center"/>
            <w:hideMark/>
          </w:tcPr>
          <w:p w14:paraId="4F00DED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71BD9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8226E2" w14:textId="77777777" w:rsidR="00000000" w:rsidRDefault="00A173A8">
            <w:pPr>
              <w:spacing w:after="100"/>
              <w:rPr>
                <w:rFonts w:eastAsia="Times New Roman"/>
                <w:sz w:val="20"/>
                <w:szCs w:val="20"/>
              </w:rPr>
            </w:pPr>
          </w:p>
        </w:tc>
        <w:tc>
          <w:tcPr>
            <w:tcW w:w="0" w:type="auto"/>
            <w:gridSpan w:val="3"/>
            <w:vAlign w:val="center"/>
            <w:hideMark/>
          </w:tcPr>
          <w:p w14:paraId="111AA9C2" w14:textId="77777777" w:rsidR="00000000" w:rsidRDefault="00A173A8">
            <w:pPr>
              <w:spacing w:after="100"/>
              <w:rPr>
                <w:rFonts w:eastAsia="Times New Roman"/>
                <w:sz w:val="20"/>
                <w:szCs w:val="20"/>
              </w:rPr>
            </w:pPr>
          </w:p>
        </w:tc>
        <w:tc>
          <w:tcPr>
            <w:tcW w:w="0" w:type="auto"/>
            <w:gridSpan w:val="3"/>
            <w:vAlign w:val="center"/>
            <w:hideMark/>
          </w:tcPr>
          <w:p w14:paraId="46EF427B" w14:textId="77777777" w:rsidR="00000000" w:rsidRDefault="00A173A8">
            <w:pPr>
              <w:spacing w:after="100"/>
              <w:rPr>
                <w:rFonts w:eastAsia="Times New Roman"/>
                <w:sz w:val="20"/>
                <w:szCs w:val="20"/>
              </w:rPr>
            </w:pPr>
          </w:p>
        </w:tc>
      </w:tr>
      <w:tr w:rsidR="00000000" w14:paraId="2AA6EC15" w14:textId="77777777">
        <w:trPr>
          <w:divId w:val="1699895162"/>
        </w:trPr>
        <w:tc>
          <w:tcPr>
            <w:tcW w:w="0" w:type="auto"/>
            <w:gridSpan w:val="3"/>
            <w:shd w:val="clear" w:color="auto" w:fill="FFFFFF"/>
            <w:tcMar>
              <w:top w:w="30" w:type="dxa"/>
              <w:left w:w="20" w:type="dxa"/>
              <w:bottom w:w="30" w:type="dxa"/>
              <w:right w:w="20" w:type="dxa"/>
            </w:tcMar>
            <w:vAlign w:val="center"/>
            <w:hideMark/>
          </w:tcPr>
          <w:p w14:paraId="2CBD4C1F" w14:textId="77777777" w:rsidR="00000000" w:rsidRDefault="00A173A8">
            <w:pPr>
              <w:spacing w:after="100"/>
              <w:rPr>
                <w:rFonts w:eastAsia="Times New Roman"/>
              </w:rPr>
            </w:pPr>
            <w:r>
              <w:rPr>
                <w:rFonts w:eastAsia="Times New Roman"/>
                <w:color w:val="000000"/>
                <w:sz w:val="20"/>
                <w:szCs w:val="20"/>
              </w:rPr>
              <w:t>Net interest loss</w:t>
            </w:r>
          </w:p>
        </w:tc>
        <w:tc>
          <w:tcPr>
            <w:tcW w:w="0" w:type="auto"/>
            <w:gridSpan w:val="3"/>
            <w:shd w:val="clear" w:color="auto" w:fill="FFFFFF"/>
            <w:tcMar>
              <w:top w:w="0" w:type="dxa"/>
              <w:left w:w="20" w:type="dxa"/>
              <w:bottom w:w="0" w:type="dxa"/>
              <w:right w:w="20" w:type="dxa"/>
            </w:tcMar>
            <w:vAlign w:val="center"/>
            <w:hideMark/>
          </w:tcPr>
          <w:p w14:paraId="751E1208"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DA6B5C5"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1F97F998" w14:textId="77777777" w:rsidR="00000000" w:rsidRDefault="00A173A8">
            <w:pPr>
              <w:spacing w:after="100"/>
              <w:jc w:val="right"/>
              <w:rPr>
                <w:rFonts w:eastAsia="Times New Roman"/>
              </w:rPr>
            </w:pPr>
            <w:r>
              <w:rPr>
                <w:rFonts w:eastAsia="Times New Roman"/>
                <w:b/>
                <w:bCs/>
                <w:color w:val="000000"/>
                <w:sz w:val="20"/>
                <w:szCs w:val="20"/>
              </w:rPr>
              <w:t>(164)</w:t>
            </w:r>
          </w:p>
        </w:tc>
        <w:tc>
          <w:tcPr>
            <w:tcW w:w="0" w:type="auto"/>
            <w:shd w:val="clear" w:color="auto" w:fill="FFFFFF"/>
            <w:tcMar>
              <w:top w:w="30" w:type="dxa"/>
              <w:left w:w="0" w:type="dxa"/>
              <w:bottom w:w="30" w:type="dxa"/>
              <w:right w:w="20" w:type="dxa"/>
            </w:tcMar>
            <w:vAlign w:val="center"/>
            <w:hideMark/>
          </w:tcPr>
          <w:p w14:paraId="244F0A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50832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6C4D499"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81CD277" w14:textId="77777777" w:rsidR="00000000" w:rsidRDefault="00A173A8">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center"/>
            <w:hideMark/>
          </w:tcPr>
          <w:p w14:paraId="44C2F3C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0DE266" w14:textId="77777777" w:rsidR="00000000" w:rsidRDefault="00A173A8">
            <w:pPr>
              <w:spacing w:after="100"/>
              <w:jc w:val="right"/>
              <w:rPr>
                <w:rFonts w:eastAsia="Times New Roman"/>
                <w:sz w:val="20"/>
                <w:szCs w:val="20"/>
              </w:rPr>
            </w:pPr>
          </w:p>
        </w:tc>
        <w:tc>
          <w:tcPr>
            <w:tcW w:w="0" w:type="auto"/>
            <w:gridSpan w:val="3"/>
            <w:tcMar>
              <w:top w:w="30" w:type="dxa"/>
              <w:left w:w="20" w:type="dxa"/>
              <w:bottom w:w="30" w:type="dxa"/>
              <w:right w:w="260" w:type="dxa"/>
            </w:tcMar>
            <w:vAlign w:val="center"/>
            <w:hideMark/>
          </w:tcPr>
          <w:p w14:paraId="5DB307C5"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83DEA8E"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A5C2932"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CA5344F" w14:textId="77777777" w:rsidR="00000000" w:rsidRDefault="00A173A8">
            <w:pPr>
              <w:spacing w:after="100"/>
              <w:jc w:val="right"/>
              <w:rPr>
                <w:rFonts w:eastAsia="Times New Roman"/>
              </w:rPr>
            </w:pPr>
            <w:r>
              <w:rPr>
                <w:rFonts w:eastAsia="Times New Roman"/>
                <w:b/>
                <w:bCs/>
                <w:color w:val="000000"/>
                <w:sz w:val="20"/>
                <w:szCs w:val="20"/>
              </w:rPr>
              <w:t>(326)</w:t>
            </w:r>
          </w:p>
        </w:tc>
        <w:tc>
          <w:tcPr>
            <w:tcW w:w="0" w:type="auto"/>
            <w:shd w:val="clear" w:color="auto" w:fill="FFFFFF"/>
            <w:tcMar>
              <w:top w:w="30" w:type="dxa"/>
              <w:left w:w="0" w:type="dxa"/>
              <w:bottom w:w="30" w:type="dxa"/>
              <w:right w:w="20" w:type="dxa"/>
            </w:tcMar>
            <w:vAlign w:val="center"/>
            <w:hideMark/>
          </w:tcPr>
          <w:p w14:paraId="68D4B00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72347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2549CD7"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7311C07D" w14:textId="77777777" w:rsidR="00000000" w:rsidRDefault="00A173A8">
            <w:pPr>
              <w:spacing w:after="100"/>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center"/>
            <w:hideMark/>
          </w:tcPr>
          <w:p w14:paraId="0B127A31" w14:textId="77777777" w:rsidR="00000000" w:rsidRDefault="00A173A8">
            <w:pPr>
              <w:spacing w:after="100"/>
              <w:jc w:val="right"/>
              <w:rPr>
                <w:rFonts w:eastAsia="Times New Roman"/>
              </w:rPr>
            </w:pPr>
          </w:p>
        </w:tc>
        <w:tc>
          <w:tcPr>
            <w:tcW w:w="0" w:type="auto"/>
            <w:vAlign w:val="center"/>
            <w:hideMark/>
          </w:tcPr>
          <w:p w14:paraId="5EE66A2A" w14:textId="77777777" w:rsidR="00000000" w:rsidRDefault="00A173A8">
            <w:pPr>
              <w:spacing w:after="100"/>
              <w:jc w:val="right"/>
              <w:rPr>
                <w:rFonts w:eastAsia="Times New Roman"/>
                <w:sz w:val="20"/>
                <w:szCs w:val="20"/>
              </w:rPr>
            </w:pPr>
          </w:p>
        </w:tc>
        <w:tc>
          <w:tcPr>
            <w:tcW w:w="0" w:type="auto"/>
            <w:vAlign w:val="center"/>
            <w:hideMark/>
          </w:tcPr>
          <w:p w14:paraId="4883A83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D959CF" w14:textId="77777777" w:rsidR="00000000" w:rsidRDefault="00A173A8">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14:paraId="165768DE" w14:textId="77777777" w:rsidR="00000000" w:rsidRDefault="00A173A8">
            <w:pPr>
              <w:spacing w:after="100"/>
              <w:jc w:val="right"/>
              <w:rPr>
                <w:rFonts w:eastAsia="Times New Roman"/>
              </w:rPr>
            </w:pPr>
            <w:r>
              <w:rPr>
                <w:rFonts w:eastAsia="Times New Roman"/>
                <w:color w:val="000000"/>
                <w:sz w:val="20"/>
                <w:szCs w:val="20"/>
              </w:rPr>
              <w:t>141 </w:t>
            </w:r>
          </w:p>
        </w:tc>
        <w:tc>
          <w:tcPr>
            <w:tcW w:w="0" w:type="auto"/>
            <w:tcMar>
              <w:top w:w="30" w:type="dxa"/>
              <w:left w:w="0" w:type="dxa"/>
              <w:bottom w:w="30" w:type="dxa"/>
              <w:right w:w="20" w:type="dxa"/>
            </w:tcMar>
            <w:vAlign w:val="center"/>
            <w:hideMark/>
          </w:tcPr>
          <w:p w14:paraId="325EBA22"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771767A4" w14:textId="77777777" w:rsidR="00000000" w:rsidRDefault="00A173A8">
            <w:pPr>
              <w:spacing w:after="100"/>
              <w:jc w:val="right"/>
              <w:rPr>
                <w:rFonts w:eastAsia="Times New Roman"/>
              </w:rPr>
            </w:pPr>
          </w:p>
        </w:tc>
        <w:tc>
          <w:tcPr>
            <w:tcW w:w="0" w:type="auto"/>
            <w:gridSpan w:val="3"/>
            <w:vAlign w:val="center"/>
            <w:hideMark/>
          </w:tcPr>
          <w:p w14:paraId="57EFEEBF" w14:textId="77777777" w:rsidR="00000000" w:rsidRDefault="00A173A8">
            <w:pPr>
              <w:spacing w:after="100"/>
              <w:rPr>
                <w:rFonts w:eastAsia="Times New Roman"/>
                <w:sz w:val="20"/>
                <w:szCs w:val="20"/>
              </w:rPr>
            </w:pPr>
          </w:p>
        </w:tc>
      </w:tr>
      <w:tr w:rsidR="00000000" w14:paraId="0C43A3E5" w14:textId="77777777">
        <w:trPr>
          <w:divId w:val="1699895162"/>
        </w:trPr>
        <w:tc>
          <w:tcPr>
            <w:tcW w:w="0" w:type="auto"/>
            <w:gridSpan w:val="3"/>
            <w:shd w:val="clear" w:color="auto" w:fill="CCEEFF"/>
            <w:tcMar>
              <w:top w:w="30" w:type="dxa"/>
              <w:left w:w="20" w:type="dxa"/>
              <w:bottom w:w="30" w:type="dxa"/>
              <w:right w:w="20" w:type="dxa"/>
            </w:tcMar>
            <w:vAlign w:val="center"/>
            <w:hideMark/>
          </w:tcPr>
          <w:p w14:paraId="60BB9B2C" w14:textId="77777777" w:rsidR="00000000" w:rsidRDefault="00A173A8">
            <w:pPr>
              <w:spacing w:after="100"/>
              <w:rPr>
                <w:rFonts w:eastAsia="Times New Roman"/>
              </w:rPr>
            </w:pPr>
            <w:r>
              <w:rPr>
                <w:rFonts w:eastAsia="Times New Roman"/>
                <w:color w:val="000000"/>
                <w:sz w:val="20"/>
                <w:szCs w:val="20"/>
              </w:rPr>
              <w:t>Non-interest loss</w:t>
            </w:r>
          </w:p>
        </w:tc>
        <w:tc>
          <w:tcPr>
            <w:tcW w:w="0" w:type="auto"/>
            <w:gridSpan w:val="3"/>
            <w:shd w:val="clear" w:color="auto" w:fill="CCEEFF"/>
            <w:tcMar>
              <w:top w:w="0" w:type="dxa"/>
              <w:left w:w="20" w:type="dxa"/>
              <w:bottom w:w="0" w:type="dxa"/>
              <w:right w:w="20" w:type="dxa"/>
            </w:tcMar>
            <w:vAlign w:val="center"/>
            <w:hideMark/>
          </w:tcPr>
          <w:p w14:paraId="183CD40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09E0F37" w14:textId="77777777" w:rsidR="00000000" w:rsidRDefault="00A173A8">
            <w:pPr>
              <w:spacing w:after="100"/>
              <w:jc w:val="right"/>
              <w:rPr>
                <w:rFonts w:eastAsia="Times New Roman"/>
              </w:rPr>
            </w:pPr>
            <w:r>
              <w:rPr>
                <w:rFonts w:eastAsia="Times New Roman"/>
                <w:b/>
                <w:bCs/>
                <w:color w:val="000000"/>
                <w:sz w:val="20"/>
                <w:szCs w:val="20"/>
              </w:rPr>
              <w:t>(63)</w:t>
            </w:r>
          </w:p>
        </w:tc>
        <w:tc>
          <w:tcPr>
            <w:tcW w:w="0" w:type="auto"/>
            <w:shd w:val="clear" w:color="auto" w:fill="CCEEFF"/>
            <w:tcMar>
              <w:top w:w="30" w:type="dxa"/>
              <w:left w:w="0" w:type="dxa"/>
              <w:bottom w:w="30" w:type="dxa"/>
              <w:right w:w="20" w:type="dxa"/>
            </w:tcMar>
            <w:vAlign w:val="center"/>
            <w:hideMark/>
          </w:tcPr>
          <w:p w14:paraId="7ABA9D8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B0BB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3CDE5E" w14:textId="77777777" w:rsidR="00000000" w:rsidRDefault="00A173A8">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center"/>
            <w:hideMark/>
          </w:tcPr>
          <w:p w14:paraId="622B9E2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F2E7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872F99" w14:textId="77777777" w:rsidR="00000000" w:rsidRDefault="00A173A8">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center"/>
            <w:hideMark/>
          </w:tcPr>
          <w:p w14:paraId="3139F7A5"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7DE4079"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45C1908" w14:textId="77777777" w:rsidR="00000000" w:rsidRDefault="00A173A8">
            <w:pPr>
              <w:spacing w:after="100"/>
              <w:jc w:val="right"/>
              <w:rPr>
                <w:rFonts w:eastAsia="Times New Roman"/>
              </w:rPr>
            </w:pPr>
            <w:r>
              <w:rPr>
                <w:rFonts w:eastAsia="Times New Roman"/>
                <w:b/>
                <w:bCs/>
                <w:color w:val="000000"/>
                <w:sz w:val="20"/>
                <w:szCs w:val="20"/>
              </w:rPr>
              <w:t>(127)</w:t>
            </w:r>
          </w:p>
        </w:tc>
        <w:tc>
          <w:tcPr>
            <w:tcW w:w="0" w:type="auto"/>
            <w:shd w:val="clear" w:color="auto" w:fill="CCEEFF"/>
            <w:tcMar>
              <w:top w:w="30" w:type="dxa"/>
              <w:left w:w="0" w:type="dxa"/>
              <w:bottom w:w="30" w:type="dxa"/>
              <w:right w:w="20" w:type="dxa"/>
            </w:tcMar>
            <w:vAlign w:val="center"/>
            <w:hideMark/>
          </w:tcPr>
          <w:p w14:paraId="1C390EC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F92EC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846881" w14:textId="77777777" w:rsidR="00000000" w:rsidRDefault="00A173A8">
            <w:pPr>
              <w:spacing w:after="100"/>
              <w:jc w:val="right"/>
              <w:rPr>
                <w:rFonts w:eastAsia="Times New Roman"/>
              </w:rPr>
            </w:pPr>
            <w:r>
              <w:rPr>
                <w:rFonts w:eastAsia="Times New Roman"/>
                <w:color w:val="000000"/>
                <w:sz w:val="20"/>
                <w:szCs w:val="20"/>
              </w:rPr>
              <w:t>(142)</w:t>
            </w:r>
          </w:p>
        </w:tc>
        <w:tc>
          <w:tcPr>
            <w:tcW w:w="0" w:type="auto"/>
            <w:shd w:val="clear" w:color="auto" w:fill="CCEEFF"/>
            <w:tcMar>
              <w:top w:w="30" w:type="dxa"/>
              <w:left w:w="0" w:type="dxa"/>
              <w:bottom w:w="30" w:type="dxa"/>
              <w:right w:w="20" w:type="dxa"/>
            </w:tcMar>
            <w:vAlign w:val="center"/>
            <w:hideMark/>
          </w:tcPr>
          <w:p w14:paraId="07A9D909" w14:textId="77777777" w:rsidR="00000000" w:rsidRDefault="00A173A8">
            <w:pPr>
              <w:spacing w:after="100"/>
              <w:jc w:val="right"/>
              <w:rPr>
                <w:rFonts w:eastAsia="Times New Roman"/>
              </w:rPr>
            </w:pPr>
          </w:p>
        </w:tc>
        <w:tc>
          <w:tcPr>
            <w:tcW w:w="0" w:type="auto"/>
            <w:vAlign w:val="center"/>
            <w:hideMark/>
          </w:tcPr>
          <w:p w14:paraId="19F7DC47" w14:textId="77777777" w:rsidR="00000000" w:rsidRDefault="00A173A8">
            <w:pPr>
              <w:spacing w:after="100"/>
              <w:jc w:val="right"/>
              <w:rPr>
                <w:rFonts w:eastAsia="Times New Roman"/>
                <w:sz w:val="20"/>
                <w:szCs w:val="20"/>
              </w:rPr>
            </w:pPr>
          </w:p>
        </w:tc>
        <w:tc>
          <w:tcPr>
            <w:tcW w:w="0" w:type="auto"/>
            <w:vAlign w:val="center"/>
            <w:hideMark/>
          </w:tcPr>
          <w:p w14:paraId="54CA578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8B9CD1"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0BFD88" w14:textId="77777777" w:rsidR="00000000" w:rsidRDefault="00A173A8">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center"/>
            <w:hideMark/>
          </w:tcPr>
          <w:p w14:paraId="2B0A0AC5" w14:textId="77777777" w:rsidR="00000000" w:rsidRDefault="00A173A8">
            <w:pPr>
              <w:spacing w:after="100"/>
              <w:jc w:val="right"/>
              <w:rPr>
                <w:rFonts w:eastAsia="Times New Roman"/>
              </w:rPr>
            </w:pPr>
          </w:p>
        </w:tc>
        <w:tc>
          <w:tcPr>
            <w:tcW w:w="0" w:type="auto"/>
            <w:gridSpan w:val="3"/>
            <w:vAlign w:val="center"/>
            <w:hideMark/>
          </w:tcPr>
          <w:p w14:paraId="3B4C0288" w14:textId="77777777" w:rsidR="00000000" w:rsidRDefault="00A173A8">
            <w:pPr>
              <w:spacing w:after="100"/>
              <w:jc w:val="right"/>
              <w:rPr>
                <w:rFonts w:eastAsia="Times New Roman"/>
                <w:sz w:val="20"/>
                <w:szCs w:val="20"/>
              </w:rPr>
            </w:pPr>
          </w:p>
        </w:tc>
        <w:tc>
          <w:tcPr>
            <w:tcW w:w="0" w:type="auto"/>
            <w:gridSpan w:val="3"/>
            <w:vAlign w:val="center"/>
            <w:hideMark/>
          </w:tcPr>
          <w:p w14:paraId="6E09E283" w14:textId="77777777" w:rsidR="00000000" w:rsidRDefault="00A173A8">
            <w:pPr>
              <w:spacing w:after="100"/>
              <w:rPr>
                <w:rFonts w:eastAsia="Times New Roman"/>
                <w:sz w:val="20"/>
                <w:szCs w:val="20"/>
              </w:rPr>
            </w:pPr>
          </w:p>
        </w:tc>
      </w:tr>
      <w:tr w:rsidR="00000000" w14:paraId="238BE85F" w14:textId="77777777">
        <w:trPr>
          <w:divId w:val="1699895162"/>
        </w:trPr>
        <w:tc>
          <w:tcPr>
            <w:tcW w:w="0" w:type="auto"/>
            <w:gridSpan w:val="3"/>
            <w:shd w:val="clear" w:color="auto" w:fill="FFFFFF"/>
            <w:tcMar>
              <w:top w:w="30" w:type="dxa"/>
              <w:left w:w="20" w:type="dxa"/>
              <w:bottom w:w="30" w:type="dxa"/>
              <w:right w:w="20" w:type="dxa"/>
            </w:tcMar>
            <w:vAlign w:val="center"/>
            <w:hideMark/>
          </w:tcPr>
          <w:p w14:paraId="19F335AD" w14:textId="77777777" w:rsidR="00000000" w:rsidRDefault="00A173A8">
            <w:pPr>
              <w:spacing w:after="100"/>
              <w:divId w:val="636179169"/>
              <w:rPr>
                <w:rFonts w:eastAsia="Times New Roman"/>
              </w:rPr>
            </w:pPr>
            <w:r>
              <w:rPr>
                <w:rFonts w:eastAsia="Times New Roman"/>
                <w:color w:val="000000"/>
                <w:sz w:val="20"/>
                <w:szCs w:val="20"/>
              </w:rPr>
              <w:t>Total net los</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25EEB24"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6F8DE2" w14:textId="77777777" w:rsidR="00000000" w:rsidRDefault="00A173A8">
            <w:pPr>
              <w:spacing w:after="100"/>
              <w:jc w:val="right"/>
              <w:rPr>
                <w:rFonts w:eastAsia="Times New Roman"/>
              </w:rPr>
            </w:pPr>
            <w:r>
              <w:rPr>
                <w:rFonts w:eastAsia="Times New Roman"/>
                <w:b/>
                <w:bCs/>
                <w:color w:val="000000"/>
                <w:sz w:val="20"/>
                <w:szCs w:val="20"/>
              </w:rPr>
              <w:t>(227)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A2EDB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8684C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CA0DDCC" w14:textId="77777777" w:rsidR="00000000" w:rsidRDefault="00A173A8">
            <w:pPr>
              <w:spacing w:after="100"/>
              <w:jc w:val="right"/>
              <w:rPr>
                <w:rFonts w:eastAsia="Times New Roman"/>
              </w:rPr>
            </w:pPr>
            <w:r>
              <w:rPr>
                <w:rFonts w:eastAsia="Times New Roman"/>
                <w:color w:val="000000"/>
                <w:sz w:val="20"/>
                <w:szCs w:val="20"/>
              </w:rPr>
              <w:t>(58)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69BFB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ED8D53" w14:textId="77777777" w:rsidR="00000000" w:rsidRDefault="00A173A8">
            <w:pPr>
              <w:spacing w:after="100"/>
              <w:jc w:val="right"/>
              <w:rPr>
                <w:rFonts w:eastAsia="Times New Roman"/>
                <w:sz w:val="20"/>
                <w:szCs w:val="20"/>
              </w:rPr>
            </w:pPr>
          </w:p>
        </w:tc>
        <w:tc>
          <w:tcPr>
            <w:tcW w:w="0" w:type="auto"/>
            <w:gridSpan w:val="3"/>
            <w:tcMar>
              <w:top w:w="30" w:type="dxa"/>
              <w:left w:w="20" w:type="dxa"/>
              <w:bottom w:w="30" w:type="dxa"/>
              <w:right w:w="260" w:type="dxa"/>
            </w:tcMar>
            <w:vAlign w:val="center"/>
            <w:hideMark/>
          </w:tcPr>
          <w:p w14:paraId="2D5396EC"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AD1B98B" w14:textId="77777777" w:rsidR="00000000" w:rsidRDefault="00A173A8">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AC7F338" w14:textId="77777777" w:rsidR="00000000" w:rsidRDefault="00A173A8">
            <w:pPr>
              <w:spacing w:after="100"/>
              <w:jc w:val="right"/>
              <w:rPr>
                <w:rFonts w:eastAsia="Times New Roman"/>
              </w:rPr>
            </w:pPr>
            <w:r>
              <w:rPr>
                <w:rFonts w:eastAsia="Times New Roman"/>
                <w:b/>
                <w:bCs/>
                <w:color w:val="000000"/>
                <w:sz w:val="20"/>
                <w:szCs w:val="20"/>
              </w:rPr>
              <w:t>(453)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CA90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191A1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70AB128" w14:textId="77777777" w:rsidR="00000000" w:rsidRDefault="00A173A8">
            <w:pPr>
              <w:spacing w:after="100"/>
              <w:jc w:val="right"/>
              <w:rPr>
                <w:rFonts w:eastAsia="Times New Roman"/>
              </w:rPr>
            </w:pPr>
            <w:r>
              <w:rPr>
                <w:rFonts w:eastAsia="Times New Roman"/>
                <w:color w:val="000000"/>
                <w:sz w:val="20"/>
                <w:szCs w:val="20"/>
              </w:rPr>
              <w:t>(277)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3B2C57" w14:textId="77777777" w:rsidR="00000000" w:rsidRDefault="00A173A8">
            <w:pPr>
              <w:spacing w:after="100"/>
              <w:jc w:val="right"/>
              <w:rPr>
                <w:rFonts w:eastAsia="Times New Roman"/>
              </w:rPr>
            </w:pPr>
          </w:p>
        </w:tc>
        <w:tc>
          <w:tcPr>
            <w:tcW w:w="0" w:type="auto"/>
            <w:vAlign w:val="center"/>
            <w:hideMark/>
          </w:tcPr>
          <w:p w14:paraId="0920D329" w14:textId="77777777" w:rsidR="00000000" w:rsidRDefault="00A173A8">
            <w:pPr>
              <w:spacing w:after="100"/>
              <w:jc w:val="right"/>
              <w:rPr>
                <w:rFonts w:eastAsia="Times New Roman"/>
                <w:sz w:val="20"/>
                <w:szCs w:val="20"/>
              </w:rPr>
            </w:pPr>
          </w:p>
        </w:tc>
        <w:tc>
          <w:tcPr>
            <w:tcW w:w="0" w:type="auto"/>
            <w:vAlign w:val="center"/>
            <w:hideMark/>
          </w:tcPr>
          <w:p w14:paraId="4B517F4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8D5151" w14:textId="77777777" w:rsidR="00000000" w:rsidRDefault="00A173A8">
            <w:pPr>
              <w:spacing w:after="100"/>
              <w:rPr>
                <w:rFonts w:eastAsia="Times New Roman"/>
                <w:sz w:val="20"/>
                <w:szCs w:val="20"/>
              </w:rPr>
            </w:pPr>
          </w:p>
        </w:tc>
        <w:tc>
          <w:tcPr>
            <w:tcW w:w="0" w:type="auto"/>
            <w:gridSpan w:val="2"/>
            <w:tcMar>
              <w:top w:w="30" w:type="dxa"/>
              <w:left w:w="20" w:type="dxa"/>
              <w:bottom w:w="30" w:type="dxa"/>
              <w:right w:w="0" w:type="dxa"/>
            </w:tcMar>
            <w:vAlign w:val="center"/>
            <w:hideMark/>
          </w:tcPr>
          <w:p w14:paraId="18754793" w14:textId="77777777" w:rsidR="00000000" w:rsidRDefault="00A173A8">
            <w:pPr>
              <w:spacing w:after="100"/>
              <w:jc w:val="right"/>
              <w:rPr>
                <w:rFonts w:eastAsia="Times New Roman"/>
              </w:rPr>
            </w:pPr>
            <w:r>
              <w:rPr>
                <w:rFonts w:eastAsia="Times New Roman"/>
                <w:color w:val="000000"/>
                <w:sz w:val="20"/>
                <w:szCs w:val="20"/>
              </w:rPr>
              <w:t>64 </w:t>
            </w:r>
          </w:p>
        </w:tc>
        <w:tc>
          <w:tcPr>
            <w:tcW w:w="0" w:type="auto"/>
            <w:tcMar>
              <w:top w:w="30" w:type="dxa"/>
              <w:left w:w="0" w:type="dxa"/>
              <w:bottom w:w="30" w:type="dxa"/>
              <w:right w:w="20" w:type="dxa"/>
            </w:tcMar>
            <w:vAlign w:val="center"/>
            <w:hideMark/>
          </w:tcPr>
          <w:p w14:paraId="6647A040" w14:textId="77777777" w:rsidR="00000000" w:rsidRDefault="00A173A8">
            <w:pPr>
              <w:spacing w:after="100"/>
              <w:jc w:val="right"/>
              <w:rPr>
                <w:rFonts w:eastAsia="Times New Roman"/>
              </w:rPr>
            </w:pPr>
          </w:p>
        </w:tc>
        <w:tc>
          <w:tcPr>
            <w:tcW w:w="0" w:type="auto"/>
            <w:gridSpan w:val="3"/>
            <w:vAlign w:val="center"/>
            <w:hideMark/>
          </w:tcPr>
          <w:p w14:paraId="64DBACE3" w14:textId="77777777" w:rsidR="00000000" w:rsidRDefault="00A173A8">
            <w:pPr>
              <w:spacing w:after="100"/>
              <w:jc w:val="right"/>
              <w:rPr>
                <w:rFonts w:eastAsia="Times New Roman"/>
                <w:sz w:val="20"/>
                <w:szCs w:val="20"/>
              </w:rPr>
            </w:pPr>
          </w:p>
        </w:tc>
        <w:tc>
          <w:tcPr>
            <w:tcW w:w="0" w:type="auto"/>
            <w:gridSpan w:val="3"/>
            <w:vAlign w:val="center"/>
            <w:hideMark/>
          </w:tcPr>
          <w:p w14:paraId="5A84610C" w14:textId="77777777" w:rsidR="00000000" w:rsidRDefault="00A173A8">
            <w:pPr>
              <w:spacing w:after="100"/>
              <w:rPr>
                <w:rFonts w:eastAsia="Times New Roman"/>
                <w:sz w:val="20"/>
                <w:szCs w:val="20"/>
              </w:rPr>
            </w:pPr>
          </w:p>
        </w:tc>
      </w:tr>
      <w:tr w:rsidR="00000000" w14:paraId="596BA87B" w14:textId="77777777">
        <w:trPr>
          <w:divId w:val="1699895162"/>
        </w:trPr>
        <w:tc>
          <w:tcPr>
            <w:tcW w:w="0" w:type="auto"/>
            <w:gridSpan w:val="3"/>
            <w:shd w:val="clear" w:color="auto" w:fill="CCEEFF"/>
            <w:tcMar>
              <w:top w:w="30" w:type="dxa"/>
              <w:left w:w="20" w:type="dxa"/>
              <w:bottom w:w="30" w:type="dxa"/>
              <w:right w:w="20" w:type="dxa"/>
            </w:tcMar>
            <w:vAlign w:val="center"/>
            <w:hideMark/>
          </w:tcPr>
          <w:p w14:paraId="495E4447" w14:textId="77777777" w:rsidR="00000000" w:rsidRDefault="00A173A8">
            <w:pPr>
              <w:spacing w:after="100"/>
              <w:rPr>
                <w:rFonts w:eastAsia="Times New Roman"/>
              </w:rPr>
            </w:pPr>
            <w:r>
              <w:rPr>
                <w:rFonts w:eastAsia="Times New Roman"/>
                <w:color w:val="000000"/>
                <w:sz w:val="20"/>
                <w:szCs w:val="20"/>
              </w:rPr>
              <w:t>Provision (benefit) for credit losses</w:t>
            </w:r>
          </w:p>
        </w:tc>
        <w:tc>
          <w:tcPr>
            <w:tcW w:w="0" w:type="auto"/>
            <w:gridSpan w:val="3"/>
            <w:shd w:val="clear" w:color="auto" w:fill="CCEEFF"/>
            <w:tcMar>
              <w:top w:w="0" w:type="dxa"/>
              <w:left w:w="20" w:type="dxa"/>
              <w:bottom w:w="0" w:type="dxa"/>
              <w:right w:w="20" w:type="dxa"/>
            </w:tcMar>
            <w:vAlign w:val="center"/>
            <w:hideMark/>
          </w:tcPr>
          <w:p w14:paraId="406E215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C032196" w14:textId="77777777" w:rsidR="00000000" w:rsidRDefault="00A173A8">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F2C5CC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F0C7C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2C72F6"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F43092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30970"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4A4DF9A9"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C6F987F"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039FA48" w14:textId="77777777" w:rsidR="00000000" w:rsidRDefault="00A173A8">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center"/>
            <w:hideMark/>
          </w:tcPr>
          <w:p w14:paraId="5B4374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D8C6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9087B6" w14:textId="77777777" w:rsidR="00000000" w:rsidRDefault="00A173A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center"/>
            <w:hideMark/>
          </w:tcPr>
          <w:p w14:paraId="38B33CB7" w14:textId="77777777" w:rsidR="00000000" w:rsidRDefault="00A173A8">
            <w:pPr>
              <w:spacing w:after="100"/>
              <w:jc w:val="right"/>
              <w:rPr>
                <w:rFonts w:eastAsia="Times New Roman"/>
              </w:rPr>
            </w:pPr>
          </w:p>
        </w:tc>
        <w:tc>
          <w:tcPr>
            <w:tcW w:w="0" w:type="auto"/>
            <w:vAlign w:val="center"/>
            <w:hideMark/>
          </w:tcPr>
          <w:p w14:paraId="4F2D0C06" w14:textId="77777777" w:rsidR="00000000" w:rsidRDefault="00A173A8">
            <w:pPr>
              <w:spacing w:after="100"/>
              <w:jc w:val="right"/>
              <w:rPr>
                <w:rFonts w:eastAsia="Times New Roman"/>
                <w:sz w:val="20"/>
                <w:szCs w:val="20"/>
              </w:rPr>
            </w:pPr>
          </w:p>
        </w:tc>
        <w:tc>
          <w:tcPr>
            <w:tcW w:w="0" w:type="auto"/>
            <w:vAlign w:val="center"/>
            <w:hideMark/>
          </w:tcPr>
          <w:p w14:paraId="0E33305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D1BA71"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EA562B" w14:textId="77777777" w:rsidR="00000000" w:rsidRDefault="00A173A8">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center"/>
            <w:hideMark/>
          </w:tcPr>
          <w:p w14:paraId="5CF896A5" w14:textId="77777777" w:rsidR="00000000" w:rsidRDefault="00A173A8">
            <w:pPr>
              <w:spacing w:after="100"/>
              <w:jc w:val="right"/>
              <w:rPr>
                <w:rFonts w:eastAsia="Times New Roman"/>
              </w:rPr>
            </w:pPr>
          </w:p>
        </w:tc>
        <w:tc>
          <w:tcPr>
            <w:tcW w:w="0" w:type="auto"/>
            <w:gridSpan w:val="3"/>
            <w:vAlign w:val="center"/>
            <w:hideMark/>
          </w:tcPr>
          <w:p w14:paraId="47B82EDA" w14:textId="77777777" w:rsidR="00000000" w:rsidRDefault="00A173A8">
            <w:pPr>
              <w:spacing w:after="100"/>
              <w:jc w:val="right"/>
              <w:rPr>
                <w:rFonts w:eastAsia="Times New Roman"/>
                <w:sz w:val="20"/>
                <w:szCs w:val="20"/>
              </w:rPr>
            </w:pPr>
          </w:p>
        </w:tc>
        <w:tc>
          <w:tcPr>
            <w:tcW w:w="0" w:type="auto"/>
            <w:gridSpan w:val="3"/>
            <w:vAlign w:val="center"/>
            <w:hideMark/>
          </w:tcPr>
          <w:p w14:paraId="7FEA4525" w14:textId="77777777" w:rsidR="00000000" w:rsidRDefault="00A173A8">
            <w:pPr>
              <w:spacing w:after="100"/>
              <w:rPr>
                <w:rFonts w:eastAsia="Times New Roman"/>
                <w:sz w:val="20"/>
                <w:szCs w:val="20"/>
              </w:rPr>
            </w:pPr>
          </w:p>
        </w:tc>
      </w:tr>
      <w:tr w:rsidR="00000000" w14:paraId="0D64DF87" w14:textId="77777777">
        <w:trPr>
          <w:divId w:val="1699895162"/>
        </w:trPr>
        <w:tc>
          <w:tcPr>
            <w:tcW w:w="0" w:type="auto"/>
            <w:gridSpan w:val="3"/>
            <w:shd w:val="clear" w:color="auto" w:fill="FFFFFF"/>
            <w:tcMar>
              <w:top w:w="30" w:type="dxa"/>
              <w:left w:w="20" w:type="dxa"/>
              <w:bottom w:w="30" w:type="dxa"/>
              <w:right w:w="20" w:type="dxa"/>
            </w:tcMar>
            <w:vAlign w:val="center"/>
            <w:hideMark/>
          </w:tcPr>
          <w:p w14:paraId="122B6342" w14:textId="77777777" w:rsidR="00000000" w:rsidRDefault="00A173A8">
            <w:pPr>
              <w:spacing w:after="100"/>
              <w:rPr>
                <w:rFonts w:eastAsia="Times New Roman"/>
              </w:rPr>
            </w:pPr>
            <w:r>
              <w:rPr>
                <w:rFonts w:eastAsia="Times New Roman"/>
                <w:color w:val="000000"/>
                <w:sz w:val="20"/>
                <w:szCs w:val="20"/>
              </w:rPr>
              <w:t>Non-interest expense</w:t>
            </w:r>
          </w:p>
        </w:tc>
        <w:tc>
          <w:tcPr>
            <w:tcW w:w="0" w:type="auto"/>
            <w:gridSpan w:val="3"/>
            <w:shd w:val="clear" w:color="auto" w:fill="FFFFFF"/>
            <w:tcMar>
              <w:top w:w="0" w:type="dxa"/>
              <w:left w:w="20" w:type="dxa"/>
              <w:bottom w:w="0" w:type="dxa"/>
              <w:right w:w="20" w:type="dxa"/>
            </w:tcMar>
            <w:vAlign w:val="center"/>
            <w:hideMark/>
          </w:tcPr>
          <w:p w14:paraId="258B9606"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071CBF" w14:textId="77777777" w:rsidR="00000000" w:rsidRDefault="00A173A8">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6E6D0E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E9487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8EFF68" w14:textId="77777777" w:rsidR="00000000" w:rsidRDefault="00A173A8">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center"/>
            <w:hideMark/>
          </w:tcPr>
          <w:p w14:paraId="4FE93FB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EA1A8" w14:textId="77777777" w:rsidR="00000000" w:rsidRDefault="00A173A8">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14:paraId="77CC70C3" w14:textId="77777777" w:rsidR="00000000" w:rsidRDefault="00A173A8">
            <w:pPr>
              <w:spacing w:after="100"/>
              <w:jc w:val="right"/>
              <w:rPr>
                <w:rFonts w:eastAsia="Times New Roman"/>
              </w:rPr>
            </w:pPr>
            <w:r>
              <w:rPr>
                <w:rFonts w:eastAsia="Times New Roman"/>
                <w:color w:val="000000"/>
                <w:sz w:val="20"/>
                <w:szCs w:val="20"/>
              </w:rPr>
              <w:t>(75)</w:t>
            </w:r>
          </w:p>
        </w:tc>
        <w:tc>
          <w:tcPr>
            <w:tcW w:w="0" w:type="auto"/>
            <w:tcMar>
              <w:top w:w="30" w:type="dxa"/>
              <w:left w:w="0" w:type="dxa"/>
              <w:bottom w:w="30" w:type="dxa"/>
              <w:right w:w="20" w:type="dxa"/>
            </w:tcMar>
            <w:vAlign w:val="center"/>
            <w:hideMark/>
          </w:tcPr>
          <w:p w14:paraId="790ED4A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13FE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FE0332" w14:textId="77777777" w:rsidR="00000000" w:rsidRDefault="00A173A8">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ECD736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1E36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0DD936" w14:textId="77777777" w:rsidR="00000000" w:rsidRDefault="00A173A8">
            <w:pPr>
              <w:spacing w:after="100"/>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center"/>
            <w:hideMark/>
          </w:tcPr>
          <w:p w14:paraId="7B52AA94" w14:textId="77777777" w:rsidR="00000000" w:rsidRDefault="00A173A8">
            <w:pPr>
              <w:spacing w:after="100"/>
              <w:jc w:val="right"/>
              <w:rPr>
                <w:rFonts w:eastAsia="Times New Roman"/>
              </w:rPr>
            </w:pPr>
          </w:p>
        </w:tc>
        <w:tc>
          <w:tcPr>
            <w:tcW w:w="0" w:type="auto"/>
            <w:vAlign w:val="center"/>
            <w:hideMark/>
          </w:tcPr>
          <w:p w14:paraId="2D66F849" w14:textId="77777777" w:rsidR="00000000" w:rsidRDefault="00A173A8">
            <w:pPr>
              <w:spacing w:after="100"/>
              <w:jc w:val="right"/>
              <w:rPr>
                <w:rFonts w:eastAsia="Times New Roman"/>
                <w:sz w:val="20"/>
                <w:szCs w:val="20"/>
              </w:rPr>
            </w:pPr>
          </w:p>
        </w:tc>
        <w:tc>
          <w:tcPr>
            <w:tcW w:w="0" w:type="auto"/>
            <w:vAlign w:val="center"/>
            <w:hideMark/>
          </w:tcPr>
          <w:p w14:paraId="624FE08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66B833"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B545BB" w14:textId="77777777" w:rsidR="00000000" w:rsidRDefault="00A173A8">
            <w:pPr>
              <w:spacing w:after="100"/>
              <w:jc w:val="right"/>
              <w:rPr>
                <w:rFonts w:eastAsia="Times New Roman"/>
              </w:rPr>
            </w:pPr>
            <w:r>
              <w:rPr>
                <w:rFonts w:eastAsia="Times New Roman"/>
                <w:color w:val="000000"/>
                <w:sz w:val="20"/>
                <w:szCs w:val="20"/>
              </w:rPr>
              <w:t>(63)</w:t>
            </w:r>
          </w:p>
        </w:tc>
        <w:tc>
          <w:tcPr>
            <w:tcW w:w="0" w:type="auto"/>
            <w:shd w:val="clear" w:color="auto" w:fill="FFFFFF"/>
            <w:tcMar>
              <w:top w:w="30" w:type="dxa"/>
              <w:left w:w="0" w:type="dxa"/>
              <w:bottom w:w="30" w:type="dxa"/>
              <w:right w:w="20" w:type="dxa"/>
            </w:tcMar>
            <w:vAlign w:val="center"/>
            <w:hideMark/>
          </w:tcPr>
          <w:p w14:paraId="3D410288" w14:textId="77777777" w:rsidR="00000000" w:rsidRDefault="00A173A8">
            <w:pPr>
              <w:spacing w:after="100"/>
              <w:jc w:val="right"/>
              <w:rPr>
                <w:rFonts w:eastAsia="Times New Roman"/>
              </w:rPr>
            </w:pPr>
          </w:p>
        </w:tc>
        <w:tc>
          <w:tcPr>
            <w:tcW w:w="0" w:type="auto"/>
            <w:gridSpan w:val="3"/>
            <w:vAlign w:val="center"/>
            <w:hideMark/>
          </w:tcPr>
          <w:p w14:paraId="020AEEF5" w14:textId="77777777" w:rsidR="00000000" w:rsidRDefault="00A173A8">
            <w:pPr>
              <w:spacing w:after="100"/>
              <w:jc w:val="right"/>
              <w:rPr>
                <w:rFonts w:eastAsia="Times New Roman"/>
                <w:sz w:val="20"/>
                <w:szCs w:val="20"/>
              </w:rPr>
            </w:pPr>
          </w:p>
        </w:tc>
        <w:tc>
          <w:tcPr>
            <w:tcW w:w="0" w:type="auto"/>
            <w:gridSpan w:val="3"/>
            <w:vAlign w:val="center"/>
            <w:hideMark/>
          </w:tcPr>
          <w:p w14:paraId="787DCE6B" w14:textId="77777777" w:rsidR="00000000" w:rsidRDefault="00A173A8">
            <w:pPr>
              <w:spacing w:after="100"/>
              <w:rPr>
                <w:rFonts w:eastAsia="Times New Roman"/>
                <w:sz w:val="20"/>
                <w:szCs w:val="20"/>
              </w:rPr>
            </w:pPr>
          </w:p>
        </w:tc>
      </w:tr>
      <w:tr w:rsidR="00000000" w14:paraId="52ED8588" w14:textId="77777777">
        <w:trPr>
          <w:divId w:val="1699895162"/>
        </w:trPr>
        <w:tc>
          <w:tcPr>
            <w:tcW w:w="0" w:type="auto"/>
            <w:gridSpan w:val="3"/>
            <w:shd w:val="clear" w:color="auto" w:fill="CCEEFF"/>
            <w:tcMar>
              <w:top w:w="30" w:type="dxa"/>
              <w:left w:w="20" w:type="dxa"/>
              <w:bottom w:w="30" w:type="dxa"/>
              <w:right w:w="20" w:type="dxa"/>
            </w:tcMar>
            <w:vAlign w:val="center"/>
            <w:hideMark/>
          </w:tcPr>
          <w:p w14:paraId="71E003CC" w14:textId="77777777" w:rsidR="00000000" w:rsidRDefault="00A173A8">
            <w:pPr>
              <w:spacing w:after="100"/>
              <w:rPr>
                <w:rFonts w:eastAsia="Times New Roman"/>
              </w:rPr>
            </w:pPr>
            <w:r>
              <w:rPr>
                <w:rFonts w:eastAsia="Times New Roman"/>
                <w:color w:val="000000"/>
                <w:sz w:val="20"/>
                <w:szCs w:val="20"/>
              </w:rPr>
              <w:t>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39FEAD6F"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504CC5" w14:textId="77777777" w:rsidR="00000000" w:rsidRDefault="00A173A8">
            <w:pPr>
              <w:spacing w:after="100"/>
              <w:jc w:val="right"/>
              <w:rPr>
                <w:rFonts w:eastAsia="Times New Roman"/>
              </w:rPr>
            </w:pPr>
            <w:r>
              <w:rPr>
                <w:rFonts w:eastAsia="Times New Roman"/>
                <w:b/>
                <w:bCs/>
                <w:color w:val="000000"/>
                <w:sz w:val="20"/>
                <w:szCs w:val="20"/>
              </w:rPr>
              <w:t>(269)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9E0C6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F193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885E87" w14:textId="77777777" w:rsidR="00000000" w:rsidRDefault="00A173A8">
            <w:pPr>
              <w:spacing w:after="100"/>
              <w:jc w:val="right"/>
              <w:rPr>
                <w:rFonts w:eastAsia="Times New Roman"/>
              </w:rPr>
            </w:pPr>
            <w:r>
              <w:rPr>
                <w:rFonts w:eastAsia="Times New Roman"/>
                <w:color w:val="000000"/>
                <w:sz w:val="20"/>
                <w:szCs w:val="20"/>
              </w:rPr>
              <w:t>(221)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9F364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F369A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296710" w14:textId="77777777" w:rsidR="00000000" w:rsidRDefault="00A173A8">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3C63B59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A477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D43908" w14:textId="77777777" w:rsidR="00000000" w:rsidRDefault="00A173A8">
            <w:pPr>
              <w:spacing w:after="100"/>
              <w:jc w:val="right"/>
              <w:rPr>
                <w:rFonts w:eastAsia="Times New Roman"/>
              </w:rPr>
            </w:pPr>
            <w:r>
              <w:rPr>
                <w:rFonts w:eastAsia="Times New Roman"/>
                <w:b/>
                <w:bCs/>
                <w:color w:val="000000"/>
                <w:sz w:val="20"/>
                <w:szCs w:val="20"/>
              </w:rPr>
              <w:t>(533)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9CC67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6A5E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C7BDF4" w14:textId="77777777" w:rsidR="00000000" w:rsidRDefault="00A173A8">
            <w:pPr>
              <w:spacing w:after="100"/>
              <w:jc w:val="right"/>
              <w:rPr>
                <w:rFonts w:eastAsia="Times New Roman"/>
              </w:rPr>
            </w:pPr>
            <w:r>
              <w:rPr>
                <w:rFonts w:eastAsia="Times New Roman"/>
                <w:color w:val="000000"/>
                <w:sz w:val="20"/>
                <w:szCs w:val="20"/>
              </w:rPr>
              <w:t>(507)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CEF91A" w14:textId="77777777" w:rsidR="00000000" w:rsidRDefault="00A173A8">
            <w:pPr>
              <w:spacing w:after="100"/>
              <w:jc w:val="right"/>
              <w:rPr>
                <w:rFonts w:eastAsia="Times New Roman"/>
              </w:rPr>
            </w:pPr>
          </w:p>
        </w:tc>
        <w:tc>
          <w:tcPr>
            <w:tcW w:w="0" w:type="auto"/>
            <w:vAlign w:val="center"/>
            <w:hideMark/>
          </w:tcPr>
          <w:p w14:paraId="713754E0" w14:textId="77777777" w:rsidR="00000000" w:rsidRDefault="00A173A8">
            <w:pPr>
              <w:spacing w:after="100"/>
              <w:jc w:val="right"/>
              <w:rPr>
                <w:rFonts w:eastAsia="Times New Roman"/>
                <w:sz w:val="20"/>
                <w:szCs w:val="20"/>
              </w:rPr>
            </w:pPr>
          </w:p>
        </w:tc>
        <w:tc>
          <w:tcPr>
            <w:tcW w:w="0" w:type="auto"/>
            <w:vAlign w:val="center"/>
            <w:hideMark/>
          </w:tcPr>
          <w:p w14:paraId="72C00E1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E92D72"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8144F5" w14:textId="77777777" w:rsidR="00000000" w:rsidRDefault="00A173A8">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14:paraId="023F3CFB" w14:textId="77777777" w:rsidR="00000000" w:rsidRDefault="00A173A8">
            <w:pPr>
              <w:spacing w:after="100"/>
              <w:jc w:val="right"/>
              <w:rPr>
                <w:rFonts w:eastAsia="Times New Roman"/>
              </w:rPr>
            </w:pPr>
          </w:p>
        </w:tc>
        <w:tc>
          <w:tcPr>
            <w:tcW w:w="0" w:type="auto"/>
            <w:gridSpan w:val="3"/>
            <w:vAlign w:val="center"/>
            <w:hideMark/>
          </w:tcPr>
          <w:p w14:paraId="4F1311B8" w14:textId="77777777" w:rsidR="00000000" w:rsidRDefault="00A173A8">
            <w:pPr>
              <w:spacing w:after="100"/>
              <w:jc w:val="right"/>
              <w:rPr>
                <w:rFonts w:eastAsia="Times New Roman"/>
                <w:sz w:val="20"/>
                <w:szCs w:val="20"/>
              </w:rPr>
            </w:pPr>
          </w:p>
        </w:tc>
        <w:tc>
          <w:tcPr>
            <w:tcW w:w="0" w:type="auto"/>
            <w:gridSpan w:val="3"/>
            <w:vAlign w:val="center"/>
            <w:hideMark/>
          </w:tcPr>
          <w:p w14:paraId="299BA3F4" w14:textId="77777777" w:rsidR="00000000" w:rsidRDefault="00A173A8">
            <w:pPr>
              <w:spacing w:after="100"/>
              <w:rPr>
                <w:rFonts w:eastAsia="Times New Roman"/>
                <w:sz w:val="20"/>
                <w:szCs w:val="20"/>
              </w:rPr>
            </w:pPr>
          </w:p>
        </w:tc>
      </w:tr>
      <w:tr w:rsidR="00000000" w14:paraId="3644DAD4" w14:textId="77777777">
        <w:trPr>
          <w:divId w:val="1699895162"/>
        </w:trPr>
        <w:tc>
          <w:tcPr>
            <w:tcW w:w="0" w:type="auto"/>
            <w:gridSpan w:val="3"/>
            <w:shd w:val="clear" w:color="auto" w:fill="FFFFFF"/>
            <w:tcMar>
              <w:top w:w="30" w:type="dxa"/>
              <w:left w:w="20" w:type="dxa"/>
              <w:bottom w:w="30" w:type="dxa"/>
              <w:right w:w="20" w:type="dxa"/>
            </w:tcMar>
            <w:vAlign w:val="center"/>
            <w:hideMark/>
          </w:tcPr>
          <w:p w14:paraId="7D288D97" w14:textId="77777777" w:rsidR="00000000" w:rsidRDefault="00A173A8">
            <w:pPr>
              <w:spacing w:after="100"/>
              <w:rPr>
                <w:rFonts w:eastAsia="Times New Roman"/>
              </w:rPr>
            </w:pPr>
            <w:r>
              <w:rPr>
                <w:rFonts w:eastAsia="Times New Roman"/>
                <w:color w:val="000000"/>
                <w:sz w:val="20"/>
                <w:szCs w:val="20"/>
              </w:rPr>
              <w:t>Income tax benefit</w:t>
            </w:r>
          </w:p>
        </w:tc>
        <w:tc>
          <w:tcPr>
            <w:tcW w:w="0" w:type="auto"/>
            <w:gridSpan w:val="3"/>
            <w:shd w:val="clear" w:color="auto" w:fill="FFFFFF"/>
            <w:tcMar>
              <w:top w:w="0" w:type="dxa"/>
              <w:left w:w="20" w:type="dxa"/>
              <w:bottom w:w="0" w:type="dxa"/>
              <w:right w:w="20" w:type="dxa"/>
            </w:tcMar>
            <w:vAlign w:val="center"/>
            <w:hideMark/>
          </w:tcPr>
          <w:p w14:paraId="17CCDC3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9299F5F" w14:textId="77777777" w:rsidR="00000000" w:rsidRDefault="00A173A8">
            <w:pPr>
              <w:spacing w:after="100"/>
              <w:jc w:val="right"/>
              <w:rPr>
                <w:rFonts w:eastAsia="Times New Roman"/>
              </w:rPr>
            </w:pPr>
            <w:r>
              <w:rPr>
                <w:rFonts w:eastAsia="Times New Roman"/>
                <w:b/>
                <w:bCs/>
                <w:color w:val="000000"/>
                <w:sz w:val="20"/>
                <w:szCs w:val="20"/>
              </w:rPr>
              <w:t>(141)</w:t>
            </w:r>
          </w:p>
        </w:tc>
        <w:tc>
          <w:tcPr>
            <w:tcW w:w="0" w:type="auto"/>
            <w:shd w:val="clear" w:color="auto" w:fill="FFFFFF"/>
            <w:tcMar>
              <w:top w:w="30" w:type="dxa"/>
              <w:left w:w="0" w:type="dxa"/>
              <w:bottom w:w="30" w:type="dxa"/>
              <w:right w:w="20" w:type="dxa"/>
            </w:tcMar>
            <w:vAlign w:val="center"/>
            <w:hideMark/>
          </w:tcPr>
          <w:p w14:paraId="3CD3D47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B4BC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E6C3A4" w14:textId="77777777" w:rsidR="00000000" w:rsidRDefault="00A173A8">
            <w:pPr>
              <w:spacing w:after="100"/>
              <w:jc w:val="right"/>
              <w:rPr>
                <w:rFonts w:eastAsia="Times New Roman"/>
              </w:rPr>
            </w:pPr>
            <w:r>
              <w:rPr>
                <w:rFonts w:eastAsia="Times New Roman"/>
                <w:color w:val="000000"/>
                <w:sz w:val="20"/>
                <w:szCs w:val="20"/>
              </w:rPr>
              <w:t>(101)</w:t>
            </w:r>
          </w:p>
        </w:tc>
        <w:tc>
          <w:tcPr>
            <w:tcW w:w="0" w:type="auto"/>
            <w:shd w:val="clear" w:color="auto" w:fill="FFFFFF"/>
            <w:tcMar>
              <w:top w:w="30" w:type="dxa"/>
              <w:left w:w="0" w:type="dxa"/>
              <w:bottom w:w="30" w:type="dxa"/>
              <w:right w:w="20" w:type="dxa"/>
            </w:tcMar>
            <w:vAlign w:val="center"/>
            <w:hideMark/>
          </w:tcPr>
          <w:p w14:paraId="0EEC6D2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5484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522846" w14:textId="77777777" w:rsidR="00000000" w:rsidRDefault="00A173A8">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center"/>
            <w:hideMark/>
          </w:tcPr>
          <w:p w14:paraId="0EE001E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5301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01C468" w14:textId="77777777" w:rsidR="00000000" w:rsidRDefault="00A173A8">
            <w:pPr>
              <w:spacing w:after="100"/>
              <w:jc w:val="right"/>
              <w:rPr>
                <w:rFonts w:eastAsia="Times New Roman"/>
              </w:rPr>
            </w:pPr>
            <w:r>
              <w:rPr>
                <w:rFonts w:eastAsia="Times New Roman"/>
                <w:b/>
                <w:bCs/>
                <w:color w:val="000000"/>
                <w:sz w:val="20"/>
                <w:szCs w:val="20"/>
              </w:rPr>
              <w:t>(362)</w:t>
            </w:r>
          </w:p>
        </w:tc>
        <w:tc>
          <w:tcPr>
            <w:tcW w:w="0" w:type="auto"/>
            <w:shd w:val="clear" w:color="auto" w:fill="FFFFFF"/>
            <w:tcMar>
              <w:top w:w="30" w:type="dxa"/>
              <w:left w:w="0" w:type="dxa"/>
              <w:bottom w:w="30" w:type="dxa"/>
              <w:right w:w="20" w:type="dxa"/>
            </w:tcMar>
            <w:vAlign w:val="center"/>
            <w:hideMark/>
          </w:tcPr>
          <w:p w14:paraId="2AD8A78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F55B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A7EA06" w14:textId="77777777" w:rsidR="00000000" w:rsidRDefault="00A173A8">
            <w:pPr>
              <w:spacing w:after="100"/>
              <w:jc w:val="right"/>
              <w:rPr>
                <w:rFonts w:eastAsia="Times New Roman"/>
              </w:rPr>
            </w:pPr>
            <w:r>
              <w:rPr>
                <w:rFonts w:eastAsia="Times New Roman"/>
                <w:color w:val="000000"/>
                <w:sz w:val="20"/>
                <w:szCs w:val="20"/>
              </w:rPr>
              <w:t>(291)</w:t>
            </w:r>
          </w:p>
        </w:tc>
        <w:tc>
          <w:tcPr>
            <w:tcW w:w="0" w:type="auto"/>
            <w:shd w:val="clear" w:color="auto" w:fill="FFFFFF"/>
            <w:tcMar>
              <w:top w:w="30" w:type="dxa"/>
              <w:left w:w="0" w:type="dxa"/>
              <w:bottom w:w="30" w:type="dxa"/>
              <w:right w:w="20" w:type="dxa"/>
            </w:tcMar>
            <w:vAlign w:val="center"/>
            <w:hideMark/>
          </w:tcPr>
          <w:p w14:paraId="67C9F03F" w14:textId="77777777" w:rsidR="00000000" w:rsidRDefault="00A173A8">
            <w:pPr>
              <w:spacing w:after="100"/>
              <w:jc w:val="right"/>
              <w:rPr>
                <w:rFonts w:eastAsia="Times New Roman"/>
              </w:rPr>
            </w:pPr>
          </w:p>
        </w:tc>
        <w:tc>
          <w:tcPr>
            <w:tcW w:w="0" w:type="auto"/>
            <w:vAlign w:val="center"/>
            <w:hideMark/>
          </w:tcPr>
          <w:p w14:paraId="49129BB2" w14:textId="77777777" w:rsidR="00000000" w:rsidRDefault="00A173A8">
            <w:pPr>
              <w:spacing w:after="100"/>
              <w:jc w:val="right"/>
              <w:rPr>
                <w:rFonts w:eastAsia="Times New Roman"/>
                <w:sz w:val="20"/>
                <w:szCs w:val="20"/>
              </w:rPr>
            </w:pPr>
          </w:p>
        </w:tc>
        <w:tc>
          <w:tcPr>
            <w:tcW w:w="0" w:type="auto"/>
            <w:vAlign w:val="center"/>
            <w:hideMark/>
          </w:tcPr>
          <w:p w14:paraId="69EBCA5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BE3ACF"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E2CA73" w14:textId="77777777" w:rsidR="00000000" w:rsidRDefault="00A173A8">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center"/>
            <w:hideMark/>
          </w:tcPr>
          <w:p w14:paraId="407D80E8" w14:textId="77777777" w:rsidR="00000000" w:rsidRDefault="00A173A8">
            <w:pPr>
              <w:spacing w:after="100"/>
              <w:jc w:val="right"/>
              <w:rPr>
                <w:rFonts w:eastAsia="Times New Roman"/>
              </w:rPr>
            </w:pPr>
          </w:p>
        </w:tc>
        <w:tc>
          <w:tcPr>
            <w:tcW w:w="0" w:type="auto"/>
            <w:gridSpan w:val="3"/>
            <w:vAlign w:val="center"/>
            <w:hideMark/>
          </w:tcPr>
          <w:p w14:paraId="29C72A09" w14:textId="77777777" w:rsidR="00000000" w:rsidRDefault="00A173A8">
            <w:pPr>
              <w:spacing w:after="100"/>
              <w:jc w:val="right"/>
              <w:rPr>
                <w:rFonts w:eastAsia="Times New Roman"/>
                <w:sz w:val="20"/>
                <w:szCs w:val="20"/>
              </w:rPr>
            </w:pPr>
          </w:p>
        </w:tc>
        <w:tc>
          <w:tcPr>
            <w:tcW w:w="0" w:type="auto"/>
            <w:gridSpan w:val="3"/>
            <w:vAlign w:val="center"/>
            <w:hideMark/>
          </w:tcPr>
          <w:p w14:paraId="58A4685F" w14:textId="77777777" w:rsidR="00000000" w:rsidRDefault="00A173A8">
            <w:pPr>
              <w:spacing w:after="100"/>
              <w:rPr>
                <w:rFonts w:eastAsia="Times New Roman"/>
                <w:sz w:val="20"/>
                <w:szCs w:val="20"/>
              </w:rPr>
            </w:pPr>
          </w:p>
        </w:tc>
      </w:tr>
      <w:tr w:rsidR="00000000" w14:paraId="76DA9B18" w14:textId="77777777">
        <w:trPr>
          <w:divId w:val="1699895162"/>
        </w:trPr>
        <w:tc>
          <w:tcPr>
            <w:tcW w:w="0" w:type="auto"/>
            <w:gridSpan w:val="3"/>
            <w:shd w:val="clear" w:color="auto" w:fill="CCEEFF"/>
            <w:tcMar>
              <w:top w:w="30" w:type="dxa"/>
              <w:left w:w="20" w:type="dxa"/>
              <w:bottom w:w="30" w:type="dxa"/>
              <w:right w:w="20" w:type="dxa"/>
            </w:tcMar>
            <w:vAlign w:val="center"/>
            <w:hideMark/>
          </w:tcPr>
          <w:p w14:paraId="0A8BDA73" w14:textId="77777777" w:rsidR="00000000" w:rsidRDefault="00A173A8">
            <w:pPr>
              <w:spacing w:after="100"/>
              <w:rPr>
                <w:rFonts w:eastAsia="Times New Roman"/>
              </w:rPr>
            </w:pPr>
            <w:r>
              <w:rPr>
                <w:rFonts w:eastAsia="Times New Roman"/>
                <w:color w:val="000000"/>
                <w:sz w:val="20"/>
                <w:szCs w:val="20"/>
              </w:rPr>
              <w:t>Loss from continuing operations, net of tax</w:t>
            </w:r>
          </w:p>
        </w:tc>
        <w:tc>
          <w:tcPr>
            <w:tcW w:w="0" w:type="auto"/>
            <w:gridSpan w:val="3"/>
            <w:shd w:val="clear" w:color="auto" w:fill="CCEEFF"/>
            <w:tcMar>
              <w:top w:w="0" w:type="dxa"/>
              <w:left w:w="20" w:type="dxa"/>
              <w:bottom w:w="0" w:type="dxa"/>
              <w:right w:w="20" w:type="dxa"/>
            </w:tcMar>
            <w:vAlign w:val="center"/>
            <w:hideMark/>
          </w:tcPr>
          <w:p w14:paraId="324822AE"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46729D5"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4BC81D5" w14:textId="77777777" w:rsidR="00000000" w:rsidRDefault="00A173A8">
            <w:pPr>
              <w:spacing w:after="100"/>
              <w:jc w:val="right"/>
              <w:rPr>
                <w:rFonts w:eastAsia="Times New Roman"/>
              </w:rPr>
            </w:pPr>
            <w:r>
              <w:rPr>
                <w:rFonts w:eastAsia="Times New Roman"/>
                <w:b/>
                <w:bCs/>
                <w:color w:val="000000"/>
                <w:sz w:val="20"/>
                <w:szCs w:val="20"/>
              </w:rPr>
              <w:t>(128)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ECD9DB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897C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D537167"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5325A87" w14:textId="77777777" w:rsidR="00000000" w:rsidRDefault="00A173A8">
            <w:pPr>
              <w:spacing w:after="100"/>
              <w:jc w:val="right"/>
              <w:rPr>
                <w:rFonts w:eastAsia="Times New Roman"/>
              </w:rPr>
            </w:pPr>
            <w:r>
              <w:rPr>
                <w:rFonts w:eastAsia="Times New Roman"/>
                <w:color w:val="000000"/>
                <w:sz w:val="20"/>
                <w:szCs w:val="20"/>
              </w:rPr>
              <w:t>(120)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7C7CC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4947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F05673" w14:textId="77777777" w:rsidR="00000000" w:rsidRDefault="00A173A8">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center"/>
            <w:hideMark/>
          </w:tcPr>
          <w:p w14:paraId="12313C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F2DC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3BBDD7F"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92D1F71" w14:textId="77777777" w:rsidR="00000000" w:rsidRDefault="00A173A8">
            <w:pPr>
              <w:spacing w:after="100"/>
              <w:jc w:val="right"/>
              <w:rPr>
                <w:rFonts w:eastAsia="Times New Roman"/>
              </w:rPr>
            </w:pPr>
            <w:r>
              <w:rPr>
                <w:rFonts w:eastAsia="Times New Roman"/>
                <w:b/>
                <w:bCs/>
                <w:color w:val="000000"/>
                <w:sz w:val="20"/>
                <w:szCs w:val="20"/>
              </w:rPr>
              <w:t>(171)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31BDE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02A0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5C82355"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A004BD9" w14:textId="77777777" w:rsidR="00000000" w:rsidRDefault="00A173A8">
            <w:pPr>
              <w:spacing w:after="100"/>
              <w:jc w:val="right"/>
              <w:rPr>
                <w:rFonts w:eastAsia="Times New Roman"/>
              </w:rPr>
            </w:pPr>
            <w:r>
              <w:rPr>
                <w:rFonts w:eastAsia="Times New Roman"/>
                <w:color w:val="000000"/>
                <w:sz w:val="20"/>
                <w:szCs w:val="20"/>
              </w:rPr>
              <w:t>(216)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86A80BF" w14:textId="77777777" w:rsidR="00000000" w:rsidRDefault="00A173A8">
            <w:pPr>
              <w:spacing w:after="100"/>
              <w:jc w:val="right"/>
              <w:rPr>
                <w:rFonts w:eastAsia="Times New Roman"/>
              </w:rPr>
            </w:pPr>
          </w:p>
        </w:tc>
        <w:tc>
          <w:tcPr>
            <w:tcW w:w="0" w:type="auto"/>
            <w:vAlign w:val="center"/>
            <w:hideMark/>
          </w:tcPr>
          <w:p w14:paraId="58DA1313" w14:textId="77777777" w:rsidR="00000000" w:rsidRDefault="00A173A8">
            <w:pPr>
              <w:spacing w:after="100"/>
              <w:jc w:val="right"/>
              <w:rPr>
                <w:rFonts w:eastAsia="Times New Roman"/>
                <w:sz w:val="20"/>
                <w:szCs w:val="20"/>
              </w:rPr>
            </w:pPr>
          </w:p>
        </w:tc>
        <w:tc>
          <w:tcPr>
            <w:tcW w:w="0" w:type="auto"/>
            <w:vAlign w:val="center"/>
            <w:hideMark/>
          </w:tcPr>
          <w:p w14:paraId="411AAB2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23C1B1"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CA7FAF" w14:textId="77777777" w:rsidR="00000000" w:rsidRDefault="00A173A8">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center"/>
            <w:hideMark/>
          </w:tcPr>
          <w:p w14:paraId="00915B5B" w14:textId="77777777" w:rsidR="00000000" w:rsidRDefault="00A173A8">
            <w:pPr>
              <w:spacing w:after="100"/>
              <w:jc w:val="right"/>
              <w:rPr>
                <w:rFonts w:eastAsia="Times New Roman"/>
              </w:rPr>
            </w:pPr>
          </w:p>
        </w:tc>
        <w:tc>
          <w:tcPr>
            <w:tcW w:w="0" w:type="auto"/>
            <w:gridSpan w:val="3"/>
            <w:vAlign w:val="center"/>
            <w:hideMark/>
          </w:tcPr>
          <w:p w14:paraId="636A726C" w14:textId="77777777" w:rsidR="00000000" w:rsidRDefault="00A173A8">
            <w:pPr>
              <w:spacing w:after="100"/>
              <w:jc w:val="right"/>
              <w:rPr>
                <w:rFonts w:eastAsia="Times New Roman"/>
                <w:sz w:val="20"/>
                <w:szCs w:val="20"/>
              </w:rPr>
            </w:pPr>
          </w:p>
        </w:tc>
        <w:tc>
          <w:tcPr>
            <w:tcW w:w="0" w:type="auto"/>
            <w:gridSpan w:val="3"/>
            <w:vAlign w:val="center"/>
            <w:hideMark/>
          </w:tcPr>
          <w:p w14:paraId="05B47434" w14:textId="77777777" w:rsidR="00000000" w:rsidRDefault="00A173A8">
            <w:pPr>
              <w:spacing w:after="100"/>
              <w:rPr>
                <w:rFonts w:eastAsia="Times New Roman"/>
                <w:sz w:val="20"/>
                <w:szCs w:val="20"/>
              </w:rPr>
            </w:pPr>
          </w:p>
        </w:tc>
      </w:tr>
    </w:tbl>
    <w:p w14:paraId="3B7CEE5E" w14:textId="77777777" w:rsidR="00000000" w:rsidRDefault="00A173A8">
      <w:pPr>
        <w:divId w:val="1699895162"/>
        <w:rPr>
          <w:rFonts w:eastAsia="Times New Roman"/>
        </w:rPr>
      </w:pPr>
      <w:r>
        <w:rPr>
          <w:rFonts w:eastAsia="Times New Roman"/>
          <w:color w:val="000000"/>
          <w:sz w:val="20"/>
          <w:szCs w:val="20"/>
        </w:rPr>
        <w:t>__________</w:t>
      </w:r>
    </w:p>
    <w:p w14:paraId="42D14F5C" w14:textId="77777777" w:rsidR="00000000" w:rsidRDefault="00A173A8">
      <w:pPr>
        <w:ind w:hanging="360"/>
        <w:jc w:val="both"/>
        <w:divId w:val="1130069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w:t>
      </w:r>
      <w:r>
        <w:rPr>
          <w:rFonts w:eastAsia="Times New Roman"/>
          <w:color w:val="000000"/>
          <w:sz w:val="16"/>
          <w:szCs w:val="16"/>
        </w:rPr>
        <w:t xml:space="preserve">ome, tax credits or other tax benefits. Accordingly, we present our Commercial Banking revenue and yields on a taxable-equivalent basis, calculated using the federal statutory tax rate of 21% and state taxes where applicable, with offsetting reductions to </w:t>
      </w:r>
      <w:r>
        <w:rPr>
          <w:rFonts w:eastAsia="Times New Roman"/>
          <w:color w:val="000000"/>
          <w:sz w:val="16"/>
          <w:szCs w:val="16"/>
        </w:rPr>
        <w:t>the Other category.</w:t>
      </w:r>
    </w:p>
    <w:p w14:paraId="72DE53A3" w14:textId="77777777" w:rsidR="00000000" w:rsidRDefault="00A173A8">
      <w:pPr>
        <w:ind w:hanging="360"/>
        <w:jc w:val="both"/>
        <w:divId w:val="989678919"/>
        <w:rPr>
          <w:rFonts w:eastAsia="Times New Roman"/>
        </w:rPr>
      </w:pPr>
      <w:r>
        <w:rPr>
          <w:rFonts w:eastAsia="Times New Roman"/>
          <w:color w:val="000000"/>
          <w:sz w:val="16"/>
          <w:szCs w:val="16"/>
        </w:rPr>
        <w:t>**    Not meaningful.</w:t>
      </w:r>
    </w:p>
    <w:p w14:paraId="563B7E89" w14:textId="77777777" w:rsidR="00000000" w:rsidRDefault="00A173A8">
      <w:pPr>
        <w:jc w:val="both"/>
        <w:divId w:val="1167209629"/>
        <w:rPr>
          <w:rFonts w:eastAsia="Times New Roman"/>
        </w:rPr>
      </w:pPr>
      <w:r>
        <w:rPr>
          <w:rFonts w:eastAsia="Times New Roman"/>
          <w:color w:val="000000"/>
          <w:sz w:val="20"/>
          <w:szCs w:val="20"/>
        </w:rPr>
        <w:t>Loss from continuing operations increased by $8 million to a loss of $128 million in the second quarter of 2022 compared to the second quarter of 2021.</w:t>
      </w:r>
    </w:p>
    <w:p w14:paraId="43724462" w14:textId="77777777" w:rsidR="00000000" w:rsidRDefault="00A173A8">
      <w:pPr>
        <w:jc w:val="both"/>
        <w:divId w:val="303000655"/>
        <w:rPr>
          <w:rFonts w:eastAsia="Times New Roman"/>
        </w:rPr>
      </w:pPr>
      <w:r>
        <w:rPr>
          <w:rFonts w:eastAsia="Times New Roman"/>
          <w:color w:val="000000"/>
          <w:sz w:val="20"/>
          <w:szCs w:val="20"/>
        </w:rPr>
        <w:t>Loss from continuing operations decreased by $45 million to a loss of $171 million in the first six months of 2022 compared to the first six months of 2021 primarily driven by a higher income tax benefit due to the relative impact of tax credits.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13976C0" w14:textId="77777777">
        <w:trPr>
          <w:divId w:val="1092825238"/>
        </w:trPr>
        <w:tc>
          <w:tcPr>
            <w:tcW w:w="50" w:type="pct"/>
            <w:vAlign w:val="center"/>
            <w:hideMark/>
          </w:tcPr>
          <w:p w14:paraId="11B62BB0" w14:textId="77777777" w:rsidR="00000000" w:rsidRDefault="00A173A8">
            <w:pPr>
              <w:jc w:val="both"/>
              <w:rPr>
                <w:rFonts w:eastAsia="Times New Roman"/>
              </w:rPr>
            </w:pPr>
          </w:p>
        </w:tc>
        <w:tc>
          <w:tcPr>
            <w:tcW w:w="4945" w:type="pct"/>
            <w:vAlign w:val="center"/>
            <w:hideMark/>
          </w:tcPr>
          <w:p w14:paraId="14B6A860" w14:textId="77777777" w:rsidR="00000000" w:rsidRDefault="00A173A8">
            <w:pPr>
              <w:spacing w:after="100"/>
              <w:rPr>
                <w:rFonts w:eastAsia="Times New Roman"/>
                <w:sz w:val="20"/>
                <w:szCs w:val="20"/>
              </w:rPr>
            </w:pPr>
          </w:p>
        </w:tc>
        <w:tc>
          <w:tcPr>
            <w:tcW w:w="5" w:type="pct"/>
            <w:vAlign w:val="center"/>
            <w:hideMark/>
          </w:tcPr>
          <w:p w14:paraId="3E662F82" w14:textId="77777777" w:rsidR="00000000" w:rsidRDefault="00A173A8">
            <w:pPr>
              <w:spacing w:after="100"/>
              <w:rPr>
                <w:rFonts w:eastAsia="Times New Roman"/>
                <w:sz w:val="20"/>
                <w:szCs w:val="20"/>
              </w:rPr>
            </w:pPr>
          </w:p>
        </w:tc>
      </w:tr>
      <w:tr w:rsidR="00000000" w14:paraId="0553E1F2" w14:textId="77777777">
        <w:trPr>
          <w:divId w:val="109282523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48D8C80" w14:textId="77777777" w:rsidR="00000000" w:rsidRDefault="00A173A8">
            <w:pPr>
              <w:spacing w:after="100"/>
              <w:rPr>
                <w:rFonts w:eastAsia="Times New Roman"/>
              </w:rPr>
            </w:pPr>
            <w:r>
              <w:rPr>
                <w:rFonts w:eastAsia="Times New Roman"/>
                <w:b/>
                <w:bCs/>
                <w:color w:val="000000"/>
                <w:sz w:val="20"/>
                <w:szCs w:val="20"/>
              </w:rPr>
              <w:t>CRITI</w:t>
            </w:r>
            <w:r>
              <w:rPr>
                <w:rFonts w:eastAsia="Times New Roman"/>
                <w:b/>
                <w:bCs/>
                <w:color w:val="000000"/>
                <w:sz w:val="20"/>
                <w:szCs w:val="20"/>
              </w:rPr>
              <w:t>CAL ACCOUNTING POLICIES AND ESTIMATES</w:t>
            </w:r>
          </w:p>
        </w:tc>
      </w:tr>
    </w:tbl>
    <w:p w14:paraId="7E0FB36A" w14:textId="77777777" w:rsidR="00000000" w:rsidRDefault="00A173A8">
      <w:pPr>
        <w:jc w:val="both"/>
        <w:divId w:val="114716123"/>
        <w:rPr>
          <w:rFonts w:eastAsia="Times New Roman"/>
        </w:rPr>
      </w:pPr>
      <w:r>
        <w:rPr>
          <w:rFonts w:eastAsia="Times New Roman"/>
          <w:color w:val="000000"/>
          <w:sz w:val="20"/>
          <w:szCs w:val="20"/>
        </w:rPr>
        <w:t>The preparation of financial statements in accordance with U.S. GAAP requires management to make a number of judgments, estimates and assumptions that affect the amount of assets, liabilities, income and expenses on the consolidated financial statements. U</w:t>
      </w:r>
      <w:r>
        <w:rPr>
          <w:rFonts w:eastAsia="Times New Roman"/>
          <w:color w:val="000000"/>
          <w:sz w:val="20"/>
          <w:szCs w:val="20"/>
        </w:rPr>
        <w:t xml:space="preserve">nderstanding our accounting policies and the extent to which we use management judgment and estimates in applying these policies is integral to understanding our financial statements. We provide a summary of our significant accounting policies under “Note </w:t>
      </w:r>
      <w:r>
        <w:rPr>
          <w:rFonts w:eastAsia="Times New Roman"/>
          <w:color w:val="000000"/>
          <w:sz w:val="20"/>
          <w:szCs w:val="20"/>
        </w:rPr>
        <w:t>1—Summary of Significant Accounting Policies” in our 2021 Form 10-K.</w:t>
      </w:r>
    </w:p>
    <w:p w14:paraId="3B62D3AF" w14:textId="77777777" w:rsidR="00000000" w:rsidRDefault="00A173A8">
      <w:pPr>
        <w:jc w:val="both"/>
        <w:divId w:val="545064609"/>
        <w:rPr>
          <w:rFonts w:eastAsia="Times New Roman"/>
        </w:rPr>
      </w:pPr>
      <w:r>
        <w:rPr>
          <w:rFonts w:eastAsia="Times New Roman"/>
          <w:color w:val="000000"/>
          <w:sz w:val="20"/>
          <w:szCs w:val="20"/>
        </w:rPr>
        <w:t xml:space="preserve">We have identified the following accounting estimates as critical because they require significant judgments and assumptions about highly complex and inherently uncertain matters and the </w:t>
      </w:r>
      <w:r>
        <w:rPr>
          <w:rFonts w:eastAsia="Times New Roman"/>
          <w:color w:val="000000"/>
          <w:sz w:val="20"/>
          <w:szCs w:val="20"/>
        </w:rPr>
        <w:t>use of reasonably different estimates and assumptions could have a material impact on our results of operations or financial condition. Our critical accounting policies and estimates are as follows:</w:t>
      </w:r>
    </w:p>
    <w:p w14:paraId="595FA2E2" w14:textId="77777777" w:rsidR="00000000" w:rsidRDefault="00A173A8">
      <w:pPr>
        <w:ind w:hanging="360"/>
        <w:divId w:val="1327828842"/>
        <w:rPr>
          <w:rFonts w:eastAsia="Times New Roman"/>
        </w:rPr>
      </w:pPr>
      <w:r>
        <w:rPr>
          <w:rFonts w:eastAsia="Times New Roman"/>
          <w:color w:val="000000"/>
          <w:sz w:val="20"/>
          <w:szCs w:val="20"/>
        </w:rPr>
        <w:t>•Loan loss reserves</w:t>
      </w:r>
    </w:p>
    <w:p w14:paraId="44F8AECA" w14:textId="77777777" w:rsidR="00000000" w:rsidRDefault="00A173A8">
      <w:pPr>
        <w:ind w:hanging="360"/>
        <w:divId w:val="1799686445"/>
        <w:rPr>
          <w:rFonts w:eastAsia="Times New Roman"/>
        </w:rPr>
      </w:pPr>
      <w:r>
        <w:rPr>
          <w:rFonts w:eastAsia="Times New Roman"/>
          <w:color w:val="000000"/>
          <w:sz w:val="20"/>
          <w:szCs w:val="20"/>
        </w:rPr>
        <w:t>•Goodwill</w:t>
      </w:r>
    </w:p>
    <w:p w14:paraId="13564A6F" w14:textId="77777777" w:rsidR="00000000" w:rsidRDefault="00A173A8">
      <w:pPr>
        <w:ind w:hanging="360"/>
        <w:divId w:val="486439557"/>
        <w:rPr>
          <w:rFonts w:eastAsia="Times New Roman"/>
        </w:rPr>
      </w:pPr>
      <w:r>
        <w:rPr>
          <w:rFonts w:eastAsia="Times New Roman"/>
          <w:color w:val="000000"/>
          <w:sz w:val="20"/>
          <w:szCs w:val="20"/>
        </w:rPr>
        <w:t xml:space="preserve">•Fair value </w:t>
      </w:r>
    </w:p>
    <w:p w14:paraId="70725000" w14:textId="77777777" w:rsidR="00000000" w:rsidRDefault="00A173A8">
      <w:pPr>
        <w:ind w:hanging="360"/>
        <w:divId w:val="2104102008"/>
        <w:rPr>
          <w:rFonts w:eastAsia="Times New Roman"/>
        </w:rPr>
      </w:pPr>
      <w:r>
        <w:rPr>
          <w:rFonts w:eastAsia="Times New Roman"/>
          <w:color w:val="000000"/>
          <w:sz w:val="20"/>
          <w:szCs w:val="20"/>
        </w:rPr>
        <w:t>•Customer rewa</w:t>
      </w:r>
      <w:r>
        <w:rPr>
          <w:rFonts w:eastAsia="Times New Roman"/>
          <w:color w:val="000000"/>
          <w:sz w:val="20"/>
          <w:szCs w:val="20"/>
        </w:rPr>
        <w:t>rds reserve</w:t>
      </w:r>
    </w:p>
    <w:p w14:paraId="6C73FB5F" w14:textId="77777777" w:rsidR="00000000" w:rsidRDefault="00A173A8">
      <w:pPr>
        <w:jc w:val="both"/>
        <w:divId w:val="1525905001"/>
        <w:rPr>
          <w:rFonts w:eastAsia="Times New Roman"/>
        </w:rPr>
      </w:pPr>
      <w:r>
        <w:rPr>
          <w:rFonts w:eastAsia="Times New Roman"/>
          <w:color w:val="000000"/>
          <w:sz w:val="20"/>
          <w:szCs w:val="20"/>
        </w:rPr>
        <w:t xml:space="preserve">We evaluate our critical accounting estimates and judgments on an ongoing basis and update them as necessary, based on changing conditions. </w:t>
      </w:r>
      <w:r>
        <w:rPr>
          <w:rFonts w:eastAsia="Times New Roman"/>
          <w:color w:val="000000"/>
          <w:sz w:val="20"/>
          <w:szCs w:val="20"/>
          <w:shd w:val="clear" w:color="auto" w:fill="FFFFFF"/>
        </w:rPr>
        <w:t>There have been no changes to our critical accounting policies and estimates d</w:t>
      </w:r>
      <w:r>
        <w:rPr>
          <w:rFonts w:eastAsia="Times New Roman"/>
          <w:color w:val="000000"/>
          <w:sz w:val="20"/>
          <w:szCs w:val="20"/>
        </w:rPr>
        <w:t xml:space="preserve">escribed in our 2021 Form </w:t>
      </w:r>
      <w:r>
        <w:rPr>
          <w:rFonts w:eastAsia="Times New Roman"/>
          <w:color w:val="000000"/>
          <w:sz w:val="20"/>
          <w:szCs w:val="20"/>
        </w:rPr>
        <w:t>10-K under “MD&amp;A—Critical Accounting Policies and Estimates.”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8F556BA" w14:textId="77777777">
        <w:trPr>
          <w:divId w:val="78019345"/>
          <w:jc w:val="center"/>
        </w:trPr>
        <w:tc>
          <w:tcPr>
            <w:tcW w:w="50" w:type="pct"/>
            <w:vAlign w:val="center"/>
            <w:hideMark/>
          </w:tcPr>
          <w:p w14:paraId="387F5097" w14:textId="77777777" w:rsidR="00000000" w:rsidRDefault="00A173A8">
            <w:pPr>
              <w:jc w:val="both"/>
              <w:rPr>
                <w:rFonts w:eastAsia="Times New Roman"/>
              </w:rPr>
            </w:pPr>
          </w:p>
        </w:tc>
        <w:tc>
          <w:tcPr>
            <w:tcW w:w="1606" w:type="pct"/>
            <w:vAlign w:val="center"/>
            <w:hideMark/>
          </w:tcPr>
          <w:p w14:paraId="07438C0C" w14:textId="77777777" w:rsidR="00000000" w:rsidRDefault="00A173A8">
            <w:pPr>
              <w:spacing w:after="100"/>
              <w:rPr>
                <w:rFonts w:eastAsia="Times New Roman"/>
                <w:sz w:val="20"/>
                <w:szCs w:val="20"/>
              </w:rPr>
            </w:pPr>
          </w:p>
        </w:tc>
        <w:tc>
          <w:tcPr>
            <w:tcW w:w="5" w:type="pct"/>
            <w:vAlign w:val="center"/>
            <w:hideMark/>
          </w:tcPr>
          <w:p w14:paraId="45605E02" w14:textId="77777777" w:rsidR="00000000" w:rsidRDefault="00A173A8">
            <w:pPr>
              <w:spacing w:after="100"/>
              <w:rPr>
                <w:rFonts w:eastAsia="Times New Roman"/>
                <w:sz w:val="20"/>
                <w:szCs w:val="20"/>
              </w:rPr>
            </w:pPr>
          </w:p>
        </w:tc>
        <w:tc>
          <w:tcPr>
            <w:tcW w:w="50" w:type="pct"/>
            <w:vAlign w:val="center"/>
            <w:hideMark/>
          </w:tcPr>
          <w:p w14:paraId="1D034EAB" w14:textId="77777777" w:rsidR="00000000" w:rsidRDefault="00A173A8">
            <w:pPr>
              <w:spacing w:after="100"/>
              <w:rPr>
                <w:rFonts w:eastAsia="Times New Roman"/>
                <w:sz w:val="20"/>
                <w:szCs w:val="20"/>
              </w:rPr>
            </w:pPr>
          </w:p>
        </w:tc>
        <w:tc>
          <w:tcPr>
            <w:tcW w:w="1614" w:type="pct"/>
            <w:vAlign w:val="center"/>
            <w:hideMark/>
          </w:tcPr>
          <w:p w14:paraId="22EDA4BB" w14:textId="77777777" w:rsidR="00000000" w:rsidRDefault="00A173A8">
            <w:pPr>
              <w:spacing w:after="100"/>
              <w:rPr>
                <w:rFonts w:eastAsia="Times New Roman"/>
                <w:sz w:val="20"/>
                <w:szCs w:val="20"/>
              </w:rPr>
            </w:pPr>
          </w:p>
        </w:tc>
        <w:tc>
          <w:tcPr>
            <w:tcW w:w="5" w:type="pct"/>
            <w:vAlign w:val="center"/>
            <w:hideMark/>
          </w:tcPr>
          <w:p w14:paraId="11D54CAA" w14:textId="77777777" w:rsidR="00000000" w:rsidRDefault="00A173A8">
            <w:pPr>
              <w:spacing w:after="100"/>
              <w:rPr>
                <w:rFonts w:eastAsia="Times New Roman"/>
                <w:sz w:val="20"/>
                <w:szCs w:val="20"/>
              </w:rPr>
            </w:pPr>
          </w:p>
        </w:tc>
        <w:tc>
          <w:tcPr>
            <w:tcW w:w="50" w:type="pct"/>
            <w:vAlign w:val="center"/>
            <w:hideMark/>
          </w:tcPr>
          <w:p w14:paraId="3EEAC81C" w14:textId="77777777" w:rsidR="00000000" w:rsidRDefault="00A173A8">
            <w:pPr>
              <w:spacing w:after="100"/>
              <w:rPr>
                <w:rFonts w:eastAsia="Times New Roman"/>
                <w:sz w:val="20"/>
                <w:szCs w:val="20"/>
              </w:rPr>
            </w:pPr>
          </w:p>
        </w:tc>
        <w:tc>
          <w:tcPr>
            <w:tcW w:w="1614" w:type="pct"/>
            <w:vAlign w:val="center"/>
            <w:hideMark/>
          </w:tcPr>
          <w:p w14:paraId="500BB668" w14:textId="77777777" w:rsidR="00000000" w:rsidRDefault="00A173A8">
            <w:pPr>
              <w:spacing w:after="100"/>
              <w:rPr>
                <w:rFonts w:eastAsia="Times New Roman"/>
                <w:sz w:val="20"/>
                <w:szCs w:val="20"/>
              </w:rPr>
            </w:pPr>
          </w:p>
        </w:tc>
        <w:tc>
          <w:tcPr>
            <w:tcW w:w="5" w:type="pct"/>
            <w:vAlign w:val="center"/>
            <w:hideMark/>
          </w:tcPr>
          <w:p w14:paraId="6C61A49F" w14:textId="77777777" w:rsidR="00000000" w:rsidRDefault="00A173A8">
            <w:pPr>
              <w:spacing w:after="100"/>
              <w:rPr>
                <w:rFonts w:eastAsia="Times New Roman"/>
                <w:sz w:val="20"/>
                <w:szCs w:val="20"/>
              </w:rPr>
            </w:pPr>
          </w:p>
        </w:tc>
      </w:tr>
      <w:tr w:rsidR="00000000" w14:paraId="4D4D45E6" w14:textId="77777777">
        <w:trPr>
          <w:divId w:val="78019345"/>
          <w:trHeight w:val="300"/>
          <w:jc w:val="center"/>
        </w:trPr>
        <w:tc>
          <w:tcPr>
            <w:tcW w:w="0" w:type="auto"/>
            <w:gridSpan w:val="9"/>
            <w:tcMar>
              <w:top w:w="0" w:type="dxa"/>
              <w:left w:w="20" w:type="dxa"/>
              <w:bottom w:w="0" w:type="dxa"/>
              <w:right w:w="20" w:type="dxa"/>
            </w:tcMar>
            <w:vAlign w:val="center"/>
            <w:hideMark/>
          </w:tcPr>
          <w:p w14:paraId="770D1E38" w14:textId="77777777" w:rsidR="00000000" w:rsidRDefault="00A173A8">
            <w:pPr>
              <w:spacing w:after="100"/>
              <w:rPr>
                <w:rFonts w:eastAsia="Times New Roman"/>
                <w:sz w:val="20"/>
                <w:szCs w:val="20"/>
              </w:rPr>
            </w:pPr>
          </w:p>
        </w:tc>
      </w:tr>
      <w:tr w:rsidR="00000000" w14:paraId="7544A651" w14:textId="77777777">
        <w:trPr>
          <w:divId w:val="78019345"/>
          <w:jc w:val="center"/>
        </w:trPr>
        <w:tc>
          <w:tcPr>
            <w:tcW w:w="0" w:type="auto"/>
            <w:gridSpan w:val="3"/>
            <w:tcMar>
              <w:top w:w="0" w:type="dxa"/>
              <w:left w:w="20" w:type="dxa"/>
              <w:bottom w:w="0" w:type="dxa"/>
              <w:right w:w="20" w:type="dxa"/>
            </w:tcMar>
            <w:vAlign w:val="center"/>
            <w:hideMark/>
          </w:tcPr>
          <w:p w14:paraId="287F76A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CF6AB72" w14:textId="77777777" w:rsidR="00000000" w:rsidRDefault="00A173A8">
            <w:pPr>
              <w:spacing w:after="100"/>
              <w:jc w:val="center"/>
              <w:rPr>
                <w:rFonts w:eastAsia="Times New Roman"/>
              </w:rPr>
            </w:pPr>
            <w:r>
              <w:rPr>
                <w:rFonts w:eastAsia="Times New Roman"/>
                <w:color w:val="000000"/>
                <w:sz w:val="16"/>
                <w:szCs w:val="16"/>
              </w:rPr>
              <w:t>28</w:t>
            </w:r>
          </w:p>
        </w:tc>
        <w:tc>
          <w:tcPr>
            <w:tcW w:w="0" w:type="auto"/>
            <w:gridSpan w:val="3"/>
            <w:tcMar>
              <w:top w:w="30" w:type="dxa"/>
              <w:left w:w="20" w:type="dxa"/>
              <w:bottom w:w="30" w:type="dxa"/>
              <w:right w:w="20" w:type="dxa"/>
            </w:tcMar>
            <w:vAlign w:val="bottom"/>
            <w:hideMark/>
          </w:tcPr>
          <w:p w14:paraId="5E1C0DA7"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5AD6BC8" w14:textId="77777777" w:rsidR="00000000" w:rsidRDefault="00A173A8">
      <w:pPr>
        <w:rPr>
          <w:rFonts w:eastAsia="Times New Roman"/>
        </w:rPr>
      </w:pPr>
      <w:r>
        <w:rPr>
          <w:rFonts w:eastAsia="Times New Roman"/>
        </w:rPr>
        <w:pict w14:anchorId="3E363546">
          <v:rect id="_x0000_i1053" style="width:0;height:1.5pt" o:hralign="center" o:hrstd="t" o:hr="t" fillcolor="#a0a0a0" stroked="f"/>
        </w:pict>
      </w:r>
    </w:p>
    <w:p w14:paraId="490CC952" w14:textId="77777777" w:rsidR="00000000" w:rsidRDefault="00A173A8">
      <w:pPr>
        <w:ind w:hanging="360"/>
        <w:jc w:val="both"/>
        <w:divId w:val="1495607096"/>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246D7DF" w14:textId="77777777">
        <w:trPr>
          <w:divId w:val="1133906170"/>
        </w:trPr>
        <w:tc>
          <w:tcPr>
            <w:tcW w:w="50" w:type="pct"/>
            <w:vAlign w:val="center"/>
            <w:hideMark/>
          </w:tcPr>
          <w:p w14:paraId="0A943DB0" w14:textId="77777777" w:rsidR="00000000" w:rsidRDefault="00A173A8">
            <w:pPr>
              <w:ind w:hanging="360"/>
              <w:jc w:val="both"/>
              <w:rPr>
                <w:rFonts w:eastAsia="Times New Roman"/>
              </w:rPr>
            </w:pPr>
          </w:p>
        </w:tc>
        <w:tc>
          <w:tcPr>
            <w:tcW w:w="4945" w:type="pct"/>
            <w:vAlign w:val="center"/>
            <w:hideMark/>
          </w:tcPr>
          <w:p w14:paraId="740F35D1" w14:textId="77777777" w:rsidR="00000000" w:rsidRDefault="00A173A8">
            <w:pPr>
              <w:spacing w:after="100"/>
              <w:rPr>
                <w:rFonts w:eastAsia="Times New Roman"/>
                <w:sz w:val="20"/>
                <w:szCs w:val="20"/>
              </w:rPr>
            </w:pPr>
          </w:p>
        </w:tc>
        <w:tc>
          <w:tcPr>
            <w:tcW w:w="5" w:type="pct"/>
            <w:vAlign w:val="center"/>
            <w:hideMark/>
          </w:tcPr>
          <w:p w14:paraId="06908B90" w14:textId="77777777" w:rsidR="00000000" w:rsidRDefault="00A173A8">
            <w:pPr>
              <w:spacing w:after="100"/>
              <w:rPr>
                <w:rFonts w:eastAsia="Times New Roman"/>
                <w:sz w:val="20"/>
                <w:szCs w:val="20"/>
              </w:rPr>
            </w:pPr>
          </w:p>
        </w:tc>
      </w:tr>
      <w:tr w:rsidR="00000000" w14:paraId="499612B2" w14:textId="77777777">
        <w:trPr>
          <w:divId w:val="113390617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22D46792" w14:textId="77777777" w:rsidR="00000000" w:rsidRDefault="00A173A8">
            <w:pPr>
              <w:spacing w:after="100"/>
              <w:rPr>
                <w:rFonts w:eastAsia="Times New Roman"/>
              </w:rPr>
            </w:pPr>
            <w:r>
              <w:rPr>
                <w:rFonts w:eastAsia="Times New Roman"/>
                <w:b/>
                <w:bCs/>
                <w:color w:val="000000"/>
                <w:sz w:val="20"/>
                <w:szCs w:val="20"/>
              </w:rPr>
              <w:t>ACCOUNTING CHANGES AND DEVELOPMENTS</w:t>
            </w:r>
          </w:p>
        </w:tc>
      </w:tr>
    </w:tbl>
    <w:p w14:paraId="1D581B85" w14:textId="77777777" w:rsidR="00000000" w:rsidRDefault="00A173A8">
      <w:pPr>
        <w:divId w:val="2059236997"/>
        <w:rPr>
          <w:rFonts w:eastAsia="Times New Roman"/>
        </w:rPr>
      </w:pPr>
      <w:r>
        <w:rPr>
          <w:rFonts w:eastAsia="Times New Roman"/>
          <w:b/>
          <w:bCs/>
          <w:color w:val="000000"/>
          <w:sz w:val="20"/>
          <w:szCs w:val="20"/>
        </w:rPr>
        <w:t xml:space="preserve">Accounting Standards Issued but Not Adopted as of June 30, 2022 </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6"/>
        <w:gridCol w:w="36"/>
        <w:gridCol w:w="36"/>
        <w:gridCol w:w="36"/>
        <w:gridCol w:w="40"/>
        <w:gridCol w:w="2593"/>
        <w:gridCol w:w="36"/>
        <w:gridCol w:w="36"/>
        <w:gridCol w:w="36"/>
        <w:gridCol w:w="36"/>
        <w:gridCol w:w="42"/>
        <w:gridCol w:w="2606"/>
        <w:gridCol w:w="37"/>
      </w:tblGrid>
      <w:tr w:rsidR="00000000" w14:paraId="3A1DD402" w14:textId="77777777">
        <w:trPr>
          <w:divId w:val="999120718"/>
          <w:jc w:val="center"/>
        </w:trPr>
        <w:tc>
          <w:tcPr>
            <w:tcW w:w="50" w:type="pct"/>
            <w:vAlign w:val="center"/>
            <w:hideMark/>
          </w:tcPr>
          <w:p w14:paraId="58248386" w14:textId="77777777" w:rsidR="00000000" w:rsidRDefault="00A173A8">
            <w:pPr>
              <w:rPr>
                <w:rFonts w:eastAsia="Times New Roman"/>
              </w:rPr>
            </w:pPr>
          </w:p>
        </w:tc>
        <w:tc>
          <w:tcPr>
            <w:tcW w:w="1584" w:type="pct"/>
            <w:vAlign w:val="center"/>
            <w:hideMark/>
          </w:tcPr>
          <w:p w14:paraId="0BD68D17" w14:textId="77777777" w:rsidR="00000000" w:rsidRDefault="00A173A8">
            <w:pPr>
              <w:spacing w:after="100"/>
              <w:rPr>
                <w:rFonts w:eastAsia="Times New Roman"/>
                <w:sz w:val="20"/>
                <w:szCs w:val="20"/>
              </w:rPr>
            </w:pPr>
          </w:p>
        </w:tc>
        <w:tc>
          <w:tcPr>
            <w:tcW w:w="5" w:type="pct"/>
            <w:vAlign w:val="center"/>
            <w:hideMark/>
          </w:tcPr>
          <w:p w14:paraId="40EF63ED" w14:textId="77777777" w:rsidR="00000000" w:rsidRDefault="00A173A8">
            <w:pPr>
              <w:spacing w:after="100"/>
              <w:rPr>
                <w:rFonts w:eastAsia="Times New Roman"/>
                <w:sz w:val="20"/>
                <w:szCs w:val="20"/>
              </w:rPr>
            </w:pPr>
          </w:p>
        </w:tc>
        <w:tc>
          <w:tcPr>
            <w:tcW w:w="5" w:type="pct"/>
            <w:vAlign w:val="center"/>
            <w:hideMark/>
          </w:tcPr>
          <w:p w14:paraId="3AD95A42" w14:textId="77777777" w:rsidR="00000000" w:rsidRDefault="00A173A8">
            <w:pPr>
              <w:spacing w:after="100"/>
              <w:rPr>
                <w:rFonts w:eastAsia="Times New Roman"/>
                <w:sz w:val="20"/>
                <w:szCs w:val="20"/>
              </w:rPr>
            </w:pPr>
          </w:p>
        </w:tc>
        <w:tc>
          <w:tcPr>
            <w:tcW w:w="26" w:type="pct"/>
            <w:vAlign w:val="center"/>
            <w:hideMark/>
          </w:tcPr>
          <w:p w14:paraId="3F6863AD" w14:textId="77777777" w:rsidR="00000000" w:rsidRDefault="00A173A8">
            <w:pPr>
              <w:spacing w:after="100"/>
              <w:rPr>
                <w:rFonts w:eastAsia="Times New Roman"/>
                <w:sz w:val="20"/>
                <w:szCs w:val="20"/>
              </w:rPr>
            </w:pPr>
          </w:p>
        </w:tc>
        <w:tc>
          <w:tcPr>
            <w:tcW w:w="5" w:type="pct"/>
            <w:vAlign w:val="center"/>
            <w:hideMark/>
          </w:tcPr>
          <w:p w14:paraId="22C4CB8D" w14:textId="77777777" w:rsidR="00000000" w:rsidRDefault="00A173A8">
            <w:pPr>
              <w:spacing w:after="100"/>
              <w:rPr>
                <w:rFonts w:eastAsia="Times New Roman"/>
                <w:sz w:val="20"/>
                <w:szCs w:val="20"/>
              </w:rPr>
            </w:pPr>
          </w:p>
        </w:tc>
        <w:tc>
          <w:tcPr>
            <w:tcW w:w="50" w:type="pct"/>
            <w:vAlign w:val="center"/>
            <w:hideMark/>
          </w:tcPr>
          <w:p w14:paraId="72C1A2AE" w14:textId="77777777" w:rsidR="00000000" w:rsidRDefault="00A173A8">
            <w:pPr>
              <w:spacing w:after="100"/>
              <w:rPr>
                <w:rFonts w:eastAsia="Times New Roman"/>
                <w:sz w:val="20"/>
                <w:szCs w:val="20"/>
              </w:rPr>
            </w:pPr>
          </w:p>
        </w:tc>
        <w:tc>
          <w:tcPr>
            <w:tcW w:w="1584" w:type="pct"/>
            <w:vAlign w:val="center"/>
            <w:hideMark/>
          </w:tcPr>
          <w:p w14:paraId="098AF1D6" w14:textId="77777777" w:rsidR="00000000" w:rsidRDefault="00A173A8">
            <w:pPr>
              <w:spacing w:after="100"/>
              <w:rPr>
                <w:rFonts w:eastAsia="Times New Roman"/>
                <w:sz w:val="20"/>
                <w:szCs w:val="20"/>
              </w:rPr>
            </w:pPr>
          </w:p>
        </w:tc>
        <w:tc>
          <w:tcPr>
            <w:tcW w:w="5" w:type="pct"/>
            <w:vAlign w:val="center"/>
            <w:hideMark/>
          </w:tcPr>
          <w:p w14:paraId="326C65B3" w14:textId="77777777" w:rsidR="00000000" w:rsidRDefault="00A173A8">
            <w:pPr>
              <w:spacing w:after="100"/>
              <w:rPr>
                <w:rFonts w:eastAsia="Times New Roman"/>
                <w:sz w:val="20"/>
                <w:szCs w:val="20"/>
              </w:rPr>
            </w:pPr>
          </w:p>
        </w:tc>
        <w:tc>
          <w:tcPr>
            <w:tcW w:w="5" w:type="pct"/>
            <w:vAlign w:val="center"/>
            <w:hideMark/>
          </w:tcPr>
          <w:p w14:paraId="03865E65" w14:textId="77777777" w:rsidR="00000000" w:rsidRDefault="00A173A8">
            <w:pPr>
              <w:spacing w:after="100"/>
              <w:rPr>
                <w:rFonts w:eastAsia="Times New Roman"/>
                <w:sz w:val="20"/>
                <w:szCs w:val="20"/>
              </w:rPr>
            </w:pPr>
          </w:p>
        </w:tc>
        <w:tc>
          <w:tcPr>
            <w:tcW w:w="26" w:type="pct"/>
            <w:vAlign w:val="center"/>
            <w:hideMark/>
          </w:tcPr>
          <w:p w14:paraId="54DFFE6A" w14:textId="77777777" w:rsidR="00000000" w:rsidRDefault="00A173A8">
            <w:pPr>
              <w:spacing w:after="100"/>
              <w:rPr>
                <w:rFonts w:eastAsia="Times New Roman"/>
                <w:sz w:val="20"/>
                <w:szCs w:val="20"/>
              </w:rPr>
            </w:pPr>
          </w:p>
        </w:tc>
        <w:tc>
          <w:tcPr>
            <w:tcW w:w="5" w:type="pct"/>
            <w:vAlign w:val="center"/>
            <w:hideMark/>
          </w:tcPr>
          <w:p w14:paraId="30300B6A" w14:textId="77777777" w:rsidR="00000000" w:rsidRDefault="00A173A8">
            <w:pPr>
              <w:spacing w:after="100"/>
              <w:rPr>
                <w:rFonts w:eastAsia="Times New Roman"/>
                <w:sz w:val="20"/>
                <w:szCs w:val="20"/>
              </w:rPr>
            </w:pPr>
          </w:p>
        </w:tc>
        <w:tc>
          <w:tcPr>
            <w:tcW w:w="50" w:type="pct"/>
            <w:vAlign w:val="center"/>
            <w:hideMark/>
          </w:tcPr>
          <w:p w14:paraId="3E32B25B" w14:textId="77777777" w:rsidR="00000000" w:rsidRDefault="00A173A8">
            <w:pPr>
              <w:spacing w:after="100"/>
              <w:rPr>
                <w:rFonts w:eastAsia="Times New Roman"/>
                <w:sz w:val="20"/>
                <w:szCs w:val="20"/>
              </w:rPr>
            </w:pPr>
          </w:p>
        </w:tc>
        <w:tc>
          <w:tcPr>
            <w:tcW w:w="1592" w:type="pct"/>
            <w:vAlign w:val="center"/>
            <w:hideMark/>
          </w:tcPr>
          <w:p w14:paraId="39F12686" w14:textId="77777777" w:rsidR="00000000" w:rsidRDefault="00A173A8">
            <w:pPr>
              <w:spacing w:after="100"/>
              <w:rPr>
                <w:rFonts w:eastAsia="Times New Roman"/>
                <w:sz w:val="20"/>
                <w:szCs w:val="20"/>
              </w:rPr>
            </w:pPr>
          </w:p>
        </w:tc>
        <w:tc>
          <w:tcPr>
            <w:tcW w:w="5" w:type="pct"/>
            <w:vAlign w:val="center"/>
            <w:hideMark/>
          </w:tcPr>
          <w:p w14:paraId="735FB7DF" w14:textId="77777777" w:rsidR="00000000" w:rsidRDefault="00A173A8">
            <w:pPr>
              <w:spacing w:after="100"/>
              <w:rPr>
                <w:rFonts w:eastAsia="Times New Roman"/>
                <w:sz w:val="20"/>
                <w:szCs w:val="20"/>
              </w:rPr>
            </w:pPr>
          </w:p>
        </w:tc>
      </w:tr>
      <w:tr w:rsidR="00000000" w14:paraId="3DABCE16" w14:textId="77777777">
        <w:trPr>
          <w:divId w:val="999120718"/>
          <w:jc w:val="center"/>
        </w:trPr>
        <w:tc>
          <w:tcPr>
            <w:tcW w:w="0" w:type="auto"/>
            <w:gridSpan w:val="3"/>
            <w:tcMar>
              <w:top w:w="30" w:type="dxa"/>
              <w:left w:w="20" w:type="dxa"/>
              <w:bottom w:w="30" w:type="dxa"/>
              <w:right w:w="20" w:type="dxa"/>
            </w:tcMar>
            <w:vAlign w:val="center"/>
            <w:hideMark/>
          </w:tcPr>
          <w:p w14:paraId="255B1D15" w14:textId="77777777" w:rsidR="00000000" w:rsidRDefault="00A173A8">
            <w:pPr>
              <w:spacing w:after="100"/>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14:paraId="337765A1"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6829168" w14:textId="77777777" w:rsidR="00000000" w:rsidRDefault="00A173A8">
            <w:pPr>
              <w:spacing w:after="100"/>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14:paraId="5A10F3EF"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76AF7A8" w14:textId="77777777" w:rsidR="00000000" w:rsidRDefault="00A173A8">
            <w:pPr>
              <w:spacing w:after="100"/>
              <w:jc w:val="center"/>
              <w:rPr>
                <w:rFonts w:eastAsia="Times New Roman"/>
              </w:rPr>
            </w:pPr>
            <w:r>
              <w:rPr>
                <w:rFonts w:eastAsia="Times New Roman"/>
                <w:b/>
                <w:bCs/>
                <w:color w:val="000000"/>
                <w:sz w:val="16"/>
                <w:szCs w:val="16"/>
              </w:rPr>
              <w:t>Adoption Timing and Financial Statement Impacts</w:t>
            </w:r>
          </w:p>
        </w:tc>
      </w:tr>
      <w:tr w:rsidR="00000000" w14:paraId="48A07CA2" w14:textId="77777777">
        <w:trPr>
          <w:divId w:val="999120718"/>
          <w:jc w:val="center"/>
        </w:trPr>
        <w:tc>
          <w:tcPr>
            <w:tcW w:w="0" w:type="auto"/>
            <w:gridSpan w:val="3"/>
            <w:vAlign w:val="center"/>
            <w:hideMark/>
          </w:tcPr>
          <w:p w14:paraId="030DE49C" w14:textId="77777777" w:rsidR="00000000" w:rsidRDefault="00A173A8">
            <w:pPr>
              <w:spacing w:after="100"/>
              <w:jc w:val="center"/>
              <w:rPr>
                <w:rFonts w:eastAsia="Times New Roman"/>
              </w:rPr>
            </w:pPr>
          </w:p>
        </w:tc>
        <w:tc>
          <w:tcPr>
            <w:tcW w:w="0" w:type="auto"/>
            <w:gridSpan w:val="3"/>
            <w:vAlign w:val="center"/>
            <w:hideMark/>
          </w:tcPr>
          <w:p w14:paraId="4707D424" w14:textId="77777777" w:rsidR="00000000" w:rsidRDefault="00A173A8">
            <w:pPr>
              <w:spacing w:after="100"/>
              <w:rPr>
                <w:rFonts w:eastAsia="Times New Roman"/>
                <w:sz w:val="20"/>
                <w:szCs w:val="20"/>
              </w:rPr>
            </w:pPr>
          </w:p>
        </w:tc>
        <w:tc>
          <w:tcPr>
            <w:tcW w:w="0" w:type="auto"/>
            <w:gridSpan w:val="3"/>
            <w:vAlign w:val="center"/>
            <w:hideMark/>
          </w:tcPr>
          <w:p w14:paraId="12624E03" w14:textId="77777777" w:rsidR="00000000" w:rsidRDefault="00A173A8">
            <w:pPr>
              <w:spacing w:after="100"/>
              <w:rPr>
                <w:rFonts w:eastAsia="Times New Roman"/>
                <w:sz w:val="20"/>
                <w:szCs w:val="20"/>
              </w:rPr>
            </w:pPr>
          </w:p>
        </w:tc>
        <w:tc>
          <w:tcPr>
            <w:tcW w:w="0" w:type="auto"/>
            <w:gridSpan w:val="3"/>
            <w:vAlign w:val="center"/>
            <w:hideMark/>
          </w:tcPr>
          <w:p w14:paraId="605786E7" w14:textId="77777777" w:rsidR="00000000" w:rsidRDefault="00A173A8">
            <w:pPr>
              <w:spacing w:after="100"/>
              <w:rPr>
                <w:rFonts w:eastAsia="Times New Roman"/>
                <w:sz w:val="20"/>
                <w:szCs w:val="20"/>
              </w:rPr>
            </w:pPr>
          </w:p>
        </w:tc>
        <w:tc>
          <w:tcPr>
            <w:tcW w:w="0" w:type="auto"/>
            <w:gridSpan w:val="3"/>
            <w:vAlign w:val="center"/>
            <w:hideMark/>
          </w:tcPr>
          <w:p w14:paraId="18DF4681" w14:textId="77777777" w:rsidR="00000000" w:rsidRDefault="00A173A8">
            <w:pPr>
              <w:spacing w:after="100"/>
              <w:rPr>
                <w:rFonts w:eastAsia="Times New Roman"/>
                <w:sz w:val="20"/>
                <w:szCs w:val="20"/>
              </w:rPr>
            </w:pPr>
          </w:p>
        </w:tc>
      </w:tr>
      <w:tr w:rsidR="00000000" w14:paraId="57CF3AE2" w14:textId="77777777">
        <w:trPr>
          <w:divId w:val="999120718"/>
          <w:jc w:val="center"/>
        </w:trPr>
        <w:tc>
          <w:tcPr>
            <w:tcW w:w="0" w:type="auto"/>
            <w:gridSpan w:val="3"/>
            <w:vAlign w:val="center"/>
            <w:hideMark/>
          </w:tcPr>
          <w:p w14:paraId="4FDA2E6A" w14:textId="77777777" w:rsidR="00000000" w:rsidRDefault="00A173A8">
            <w:pPr>
              <w:spacing w:after="100"/>
              <w:rPr>
                <w:rFonts w:eastAsia="Times New Roman"/>
                <w:sz w:val="20"/>
                <w:szCs w:val="20"/>
              </w:rPr>
            </w:pPr>
          </w:p>
        </w:tc>
        <w:tc>
          <w:tcPr>
            <w:tcW w:w="0" w:type="auto"/>
            <w:gridSpan w:val="3"/>
            <w:vAlign w:val="center"/>
            <w:hideMark/>
          </w:tcPr>
          <w:p w14:paraId="00337101" w14:textId="77777777" w:rsidR="00000000" w:rsidRDefault="00A173A8">
            <w:pPr>
              <w:spacing w:after="100"/>
              <w:rPr>
                <w:rFonts w:eastAsia="Times New Roman"/>
                <w:sz w:val="20"/>
                <w:szCs w:val="20"/>
              </w:rPr>
            </w:pPr>
          </w:p>
        </w:tc>
        <w:tc>
          <w:tcPr>
            <w:tcW w:w="0" w:type="auto"/>
            <w:gridSpan w:val="3"/>
            <w:vAlign w:val="center"/>
            <w:hideMark/>
          </w:tcPr>
          <w:p w14:paraId="5082D455" w14:textId="77777777" w:rsidR="00000000" w:rsidRDefault="00A173A8">
            <w:pPr>
              <w:spacing w:after="100"/>
              <w:rPr>
                <w:rFonts w:eastAsia="Times New Roman"/>
                <w:sz w:val="20"/>
                <w:szCs w:val="20"/>
              </w:rPr>
            </w:pPr>
          </w:p>
        </w:tc>
        <w:tc>
          <w:tcPr>
            <w:tcW w:w="0" w:type="auto"/>
            <w:gridSpan w:val="3"/>
            <w:vAlign w:val="center"/>
            <w:hideMark/>
          </w:tcPr>
          <w:p w14:paraId="461897B9" w14:textId="77777777" w:rsidR="00000000" w:rsidRDefault="00A173A8">
            <w:pPr>
              <w:spacing w:after="100"/>
              <w:rPr>
                <w:rFonts w:eastAsia="Times New Roman"/>
                <w:sz w:val="20"/>
                <w:szCs w:val="20"/>
              </w:rPr>
            </w:pPr>
          </w:p>
        </w:tc>
        <w:tc>
          <w:tcPr>
            <w:tcW w:w="0" w:type="auto"/>
            <w:gridSpan w:val="3"/>
            <w:vAlign w:val="center"/>
            <w:hideMark/>
          </w:tcPr>
          <w:p w14:paraId="38816A13" w14:textId="77777777" w:rsidR="00000000" w:rsidRDefault="00A173A8">
            <w:pPr>
              <w:spacing w:after="100"/>
              <w:rPr>
                <w:rFonts w:eastAsia="Times New Roman"/>
                <w:sz w:val="20"/>
                <w:szCs w:val="20"/>
              </w:rPr>
            </w:pPr>
          </w:p>
        </w:tc>
      </w:tr>
      <w:tr w:rsidR="00000000" w14:paraId="55451B77" w14:textId="77777777">
        <w:trPr>
          <w:divId w:val="999120718"/>
          <w:jc w:val="center"/>
        </w:trPr>
        <w:tc>
          <w:tcPr>
            <w:tcW w:w="0" w:type="auto"/>
            <w:gridSpan w:val="3"/>
            <w:vAlign w:val="center"/>
            <w:hideMark/>
          </w:tcPr>
          <w:p w14:paraId="4412E417" w14:textId="77777777" w:rsidR="00000000" w:rsidRDefault="00A173A8">
            <w:pPr>
              <w:spacing w:after="100"/>
              <w:rPr>
                <w:rFonts w:eastAsia="Times New Roman"/>
                <w:sz w:val="20"/>
                <w:szCs w:val="20"/>
              </w:rPr>
            </w:pPr>
          </w:p>
        </w:tc>
        <w:tc>
          <w:tcPr>
            <w:tcW w:w="0" w:type="auto"/>
            <w:gridSpan w:val="3"/>
            <w:vAlign w:val="center"/>
            <w:hideMark/>
          </w:tcPr>
          <w:p w14:paraId="23C52717" w14:textId="77777777" w:rsidR="00000000" w:rsidRDefault="00A173A8">
            <w:pPr>
              <w:spacing w:after="100"/>
              <w:rPr>
                <w:rFonts w:eastAsia="Times New Roman"/>
                <w:sz w:val="20"/>
                <w:szCs w:val="20"/>
              </w:rPr>
            </w:pPr>
          </w:p>
        </w:tc>
        <w:tc>
          <w:tcPr>
            <w:tcW w:w="0" w:type="auto"/>
            <w:gridSpan w:val="3"/>
            <w:vAlign w:val="center"/>
            <w:hideMark/>
          </w:tcPr>
          <w:p w14:paraId="5D7963F0" w14:textId="77777777" w:rsidR="00000000" w:rsidRDefault="00A173A8">
            <w:pPr>
              <w:spacing w:after="100"/>
              <w:rPr>
                <w:rFonts w:eastAsia="Times New Roman"/>
                <w:sz w:val="20"/>
                <w:szCs w:val="20"/>
              </w:rPr>
            </w:pPr>
          </w:p>
        </w:tc>
        <w:tc>
          <w:tcPr>
            <w:tcW w:w="0" w:type="auto"/>
            <w:gridSpan w:val="3"/>
            <w:vAlign w:val="center"/>
            <w:hideMark/>
          </w:tcPr>
          <w:p w14:paraId="14FBCC13" w14:textId="77777777" w:rsidR="00000000" w:rsidRDefault="00A173A8">
            <w:pPr>
              <w:spacing w:after="100"/>
              <w:rPr>
                <w:rFonts w:eastAsia="Times New Roman"/>
                <w:sz w:val="20"/>
                <w:szCs w:val="20"/>
              </w:rPr>
            </w:pPr>
          </w:p>
        </w:tc>
        <w:tc>
          <w:tcPr>
            <w:tcW w:w="0" w:type="auto"/>
            <w:gridSpan w:val="3"/>
            <w:vAlign w:val="center"/>
            <w:hideMark/>
          </w:tcPr>
          <w:p w14:paraId="1AD0BF3C" w14:textId="77777777" w:rsidR="00000000" w:rsidRDefault="00A173A8">
            <w:pPr>
              <w:spacing w:after="100"/>
              <w:rPr>
                <w:rFonts w:eastAsia="Times New Roman"/>
                <w:sz w:val="20"/>
                <w:szCs w:val="20"/>
              </w:rPr>
            </w:pPr>
          </w:p>
        </w:tc>
      </w:tr>
      <w:tr w:rsidR="00000000" w14:paraId="5B581564" w14:textId="77777777">
        <w:trPr>
          <w:divId w:val="999120718"/>
          <w:jc w:val="center"/>
        </w:trPr>
        <w:tc>
          <w:tcPr>
            <w:tcW w:w="0" w:type="auto"/>
            <w:gridSpan w:val="3"/>
            <w:tcBorders>
              <w:top w:val="single" w:sz="8" w:space="0" w:color="000000"/>
            </w:tcBorders>
            <w:tcMar>
              <w:top w:w="30" w:type="dxa"/>
              <w:left w:w="20" w:type="dxa"/>
              <w:bottom w:w="30" w:type="dxa"/>
              <w:right w:w="20" w:type="dxa"/>
            </w:tcMar>
            <w:hideMark/>
          </w:tcPr>
          <w:p w14:paraId="573B86AF" w14:textId="77777777" w:rsidR="00000000" w:rsidRDefault="00A173A8">
            <w:pPr>
              <w:spacing w:after="100"/>
              <w:divId w:val="2040470647"/>
              <w:rPr>
                <w:rFonts w:eastAsia="Times New Roman"/>
              </w:rPr>
            </w:pPr>
            <w:r>
              <w:rPr>
                <w:rFonts w:eastAsia="Times New Roman"/>
                <w:b/>
                <w:bCs/>
                <w:color w:val="000000"/>
                <w:sz w:val="18"/>
                <w:szCs w:val="18"/>
              </w:rPr>
              <w:t>TDR and Vintage Disclosures</w:t>
            </w:r>
          </w:p>
          <w:p w14:paraId="21AADB57" w14:textId="77777777" w:rsidR="00000000" w:rsidRDefault="00A173A8">
            <w:pPr>
              <w:spacing w:after="100"/>
              <w:jc w:val="both"/>
              <w:divId w:val="145098075"/>
              <w:rPr>
                <w:rFonts w:eastAsia="Times New Roman"/>
              </w:rPr>
            </w:pPr>
            <w:r>
              <w:rPr>
                <w:rFonts w:eastAsia="Times New Roman"/>
                <w:color w:val="000000"/>
                <w:sz w:val="18"/>
                <w:szCs w:val="18"/>
              </w:rPr>
              <w:t xml:space="preserve">ASU No. 2022-02, Financial Instruments - Credit Losses (Topic 326): </w:t>
            </w:r>
            <w:r>
              <w:rPr>
                <w:rFonts w:eastAsia="Times New Roman"/>
                <w:i/>
                <w:iCs/>
                <w:color w:val="000000"/>
                <w:sz w:val="18"/>
                <w:szCs w:val="18"/>
              </w:rPr>
              <w:t>Troubled Debt Restructuring and Vintage Disclosures</w:t>
            </w:r>
          </w:p>
          <w:p w14:paraId="32AD646F" w14:textId="77777777" w:rsidR="00000000" w:rsidRDefault="00A173A8">
            <w:pPr>
              <w:spacing w:after="100"/>
              <w:divId w:val="212080023"/>
              <w:rPr>
                <w:rFonts w:eastAsia="Times New Roman"/>
              </w:rPr>
            </w:pPr>
            <w:r>
              <w:rPr>
                <w:rFonts w:eastAsia="Times New Roman"/>
                <w:i/>
                <w:iCs/>
                <w:color w:val="000000"/>
                <w:sz w:val="18"/>
                <w:szCs w:val="18"/>
              </w:rPr>
              <w:t>Issued March 2022</w:t>
            </w:r>
          </w:p>
          <w:p w14:paraId="40F2C945" w14:textId="77777777" w:rsidR="00000000" w:rsidRDefault="00A173A8">
            <w:pPr>
              <w:spacing w:after="100"/>
              <w:divId w:val="1364791998"/>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D2038D4"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830F1EA" w14:textId="77777777" w:rsidR="00000000" w:rsidRDefault="00A173A8">
            <w:pPr>
              <w:spacing w:after="100"/>
              <w:jc w:val="both"/>
              <w:divId w:val="489948031"/>
              <w:rPr>
                <w:rFonts w:eastAsia="Times New Roman"/>
              </w:rPr>
            </w:pPr>
            <w:r>
              <w:rPr>
                <w:rFonts w:eastAsia="Times New Roman"/>
                <w:color w:val="000000"/>
                <w:sz w:val="18"/>
                <w:szCs w:val="18"/>
              </w:rPr>
              <w:t>The amendments in this update eliminate the accounting guidance for Troubled Debt R</w:t>
            </w:r>
            <w:r>
              <w:rPr>
                <w:rFonts w:eastAsia="Times New Roman"/>
                <w:color w:val="000000"/>
                <w:sz w:val="18"/>
                <w:szCs w:val="18"/>
              </w:rPr>
              <w:t>estructurings, while enhancing disclosure requirements for certain loan refinancings and restructurings for borrowers experiencing financial difficulty. The amendments also require public entities to disclose current-period gross charge offs by year of ori</w:t>
            </w:r>
            <w:r>
              <w:rPr>
                <w:rFonts w:eastAsia="Times New Roman"/>
                <w:color w:val="000000"/>
                <w:sz w:val="18"/>
                <w:szCs w:val="18"/>
              </w:rPr>
              <w:t>gination for loans held for investment.</w:t>
            </w:r>
          </w:p>
        </w:tc>
        <w:tc>
          <w:tcPr>
            <w:tcW w:w="0" w:type="auto"/>
            <w:gridSpan w:val="3"/>
            <w:tcBorders>
              <w:top w:val="single" w:sz="8" w:space="0" w:color="000000"/>
            </w:tcBorders>
            <w:tcMar>
              <w:top w:w="0" w:type="dxa"/>
              <w:left w:w="20" w:type="dxa"/>
              <w:bottom w:w="0" w:type="dxa"/>
              <w:right w:w="20" w:type="dxa"/>
            </w:tcMar>
            <w:vAlign w:val="center"/>
            <w:hideMark/>
          </w:tcPr>
          <w:p w14:paraId="28BD49C5" w14:textId="77777777" w:rsidR="00000000" w:rsidRDefault="00A173A8">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0C3C10B" w14:textId="77777777" w:rsidR="00000000" w:rsidRDefault="00A173A8">
            <w:pPr>
              <w:spacing w:after="100"/>
              <w:jc w:val="both"/>
              <w:rPr>
                <w:rFonts w:eastAsia="Times New Roman"/>
              </w:rPr>
            </w:pPr>
            <w:r>
              <w:rPr>
                <w:rFonts w:eastAsia="Times New Roman"/>
                <w:color w:val="000000"/>
                <w:sz w:val="18"/>
                <w:szCs w:val="18"/>
              </w:rPr>
              <w:t>This ASU is effective for us on January 1, 2023.</w:t>
            </w:r>
          </w:p>
          <w:p w14:paraId="70D1787E" w14:textId="77777777" w:rsidR="00000000" w:rsidRDefault="00A173A8">
            <w:pPr>
              <w:spacing w:after="100"/>
              <w:divId w:val="870068332"/>
              <w:rPr>
                <w:rFonts w:eastAsia="Times New Roman"/>
              </w:rPr>
            </w:pPr>
          </w:p>
          <w:p w14:paraId="2F086E24" w14:textId="77777777" w:rsidR="00000000" w:rsidRDefault="00A173A8">
            <w:pPr>
              <w:spacing w:after="100"/>
              <w:divId w:val="794635902"/>
              <w:rPr>
                <w:rFonts w:eastAsia="Times New Roman"/>
              </w:rPr>
            </w:pPr>
          </w:p>
          <w:p w14:paraId="71761D89" w14:textId="77777777" w:rsidR="00000000" w:rsidRDefault="00A173A8">
            <w:pPr>
              <w:spacing w:after="100"/>
              <w:jc w:val="both"/>
              <w:rPr>
                <w:rFonts w:eastAsia="Times New Roman"/>
              </w:rPr>
            </w:pPr>
            <w:r>
              <w:rPr>
                <w:rFonts w:eastAsia="Times New Roman"/>
                <w:color w:val="000000"/>
                <w:sz w:val="18"/>
                <w:szCs w:val="18"/>
              </w:rPr>
              <w:t>We plan to adopt the standard on its effective date using the modified retrospective method. We do not expect such adoption to have a material impact on our consolidated financial statements.</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8214"/>
        <w:gridCol w:w="144"/>
      </w:tblGrid>
      <w:tr w:rsidR="00000000" w14:paraId="23589C29" w14:textId="77777777">
        <w:tc>
          <w:tcPr>
            <w:tcW w:w="50" w:type="pct"/>
            <w:vAlign w:val="center"/>
            <w:hideMark/>
          </w:tcPr>
          <w:p w14:paraId="5D398AA6" w14:textId="77777777" w:rsidR="00000000" w:rsidRDefault="00A173A8">
            <w:pPr>
              <w:jc w:val="center"/>
              <w:rPr>
                <w:rFonts w:eastAsia="Times New Roman"/>
              </w:rPr>
            </w:pPr>
          </w:p>
        </w:tc>
        <w:tc>
          <w:tcPr>
            <w:tcW w:w="4945" w:type="pct"/>
            <w:vAlign w:val="center"/>
            <w:hideMark/>
          </w:tcPr>
          <w:p w14:paraId="0388DCAC" w14:textId="77777777" w:rsidR="00000000" w:rsidRDefault="00A173A8">
            <w:pPr>
              <w:spacing w:after="100"/>
              <w:rPr>
                <w:rFonts w:eastAsia="Times New Roman"/>
                <w:sz w:val="20"/>
                <w:szCs w:val="20"/>
              </w:rPr>
            </w:pPr>
          </w:p>
        </w:tc>
        <w:tc>
          <w:tcPr>
            <w:tcW w:w="5" w:type="pct"/>
            <w:vAlign w:val="center"/>
            <w:hideMark/>
          </w:tcPr>
          <w:p w14:paraId="34866836" w14:textId="77777777" w:rsidR="00000000" w:rsidRDefault="00A173A8">
            <w:pPr>
              <w:spacing w:after="100"/>
              <w:rPr>
                <w:rFonts w:eastAsia="Times New Roman"/>
                <w:sz w:val="20"/>
                <w:szCs w:val="20"/>
              </w:rPr>
            </w:pPr>
          </w:p>
        </w:tc>
      </w:tr>
      <w:tr w:rsidR="00000000" w14:paraId="5128CF7D" w14:textId="77777777">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14:paraId="196BA1BF" w14:textId="77777777" w:rsidR="00000000" w:rsidRDefault="00A173A8">
            <w:pPr>
              <w:spacing w:after="100"/>
              <w:rPr>
                <w:rFonts w:eastAsia="Times New Roman"/>
              </w:rPr>
            </w:pPr>
            <w:r>
              <w:rPr>
                <w:rFonts w:eastAsia="Times New Roman"/>
                <w:b/>
                <w:bCs/>
                <w:color w:val="000000"/>
                <w:sz w:val="20"/>
                <w:szCs w:val="20"/>
              </w:rPr>
              <w:t>CAPITAL MANAGEMENT</w:t>
            </w:r>
          </w:p>
        </w:tc>
      </w:tr>
    </w:tbl>
    <w:p w14:paraId="25ACC39B" w14:textId="77777777" w:rsidR="00000000" w:rsidRDefault="00A173A8">
      <w:pPr>
        <w:jc w:val="both"/>
        <w:divId w:val="2014412748"/>
        <w:rPr>
          <w:rFonts w:eastAsia="Times New Roman"/>
        </w:rPr>
      </w:pPr>
      <w:r>
        <w:rPr>
          <w:rFonts w:eastAsia="Times New Roman"/>
          <w:color w:val="000000"/>
          <w:sz w:val="20"/>
          <w:szCs w:val="20"/>
        </w:rPr>
        <w:t>The level and composition of our capital are determined by multiple factors, including our consolidated regulatory capital requirements as described in more detail below and internal risk-based capital assessments such as internal stress testing and econom</w:t>
      </w:r>
      <w:r>
        <w:rPr>
          <w:rFonts w:eastAsia="Times New Roman"/>
          <w:color w:val="000000"/>
          <w:sz w:val="20"/>
          <w:szCs w:val="20"/>
        </w:rPr>
        <w:t>ic capital. The level and composition of our capital may also be influenced by rating agency guidelines, subsidiary capital requirements, business environment, conditions in the financial markets and assessments of potential future losses due to adverse ch</w:t>
      </w:r>
      <w:r>
        <w:rPr>
          <w:rFonts w:eastAsia="Times New Roman"/>
          <w:color w:val="000000"/>
          <w:sz w:val="20"/>
          <w:szCs w:val="20"/>
        </w:rPr>
        <w:t xml:space="preserve">anges in our business and market environments. </w:t>
      </w:r>
    </w:p>
    <w:p w14:paraId="6FD8D8F0" w14:textId="77777777" w:rsidR="00000000" w:rsidRDefault="00A173A8">
      <w:pPr>
        <w:divId w:val="1524705382"/>
        <w:rPr>
          <w:rFonts w:eastAsia="Times New Roman"/>
        </w:rPr>
      </w:pPr>
      <w:r>
        <w:rPr>
          <w:rFonts w:eastAsia="Times New Roman"/>
          <w:b/>
          <w:bCs/>
          <w:color w:val="000000"/>
          <w:sz w:val="20"/>
          <w:szCs w:val="20"/>
        </w:rPr>
        <w:t>Capital Standards and Prompt Corrective Action</w:t>
      </w:r>
    </w:p>
    <w:p w14:paraId="6D0761E6" w14:textId="77777777" w:rsidR="00000000" w:rsidRDefault="00A173A8">
      <w:pPr>
        <w:jc w:val="both"/>
        <w:divId w:val="1736391214"/>
        <w:rPr>
          <w:rFonts w:eastAsia="Times New Roman"/>
        </w:rPr>
      </w:pPr>
      <w:r>
        <w:rPr>
          <w:rFonts w:eastAsia="Times New Roman"/>
          <w:color w:val="000000"/>
          <w:sz w:val="20"/>
          <w:szCs w:val="20"/>
        </w:rPr>
        <w:t>The Company and the Banks are subject to the regulatory capital requirements established by the Board of Governors of the Federal Reserve System (“Federal Reserv</w:t>
      </w:r>
      <w:r>
        <w:rPr>
          <w:rFonts w:eastAsia="Times New Roman"/>
          <w:color w:val="000000"/>
          <w:sz w:val="20"/>
          <w:szCs w:val="20"/>
        </w:rPr>
        <w:t>e”) and the Office of the Comptroller of the Currency (“OCC”) respectively (the “Basel III Capital Rules”). The Basel III Capital Rules implement certain capital requirements published by the Basel Committee on Banking Supervision (“Basel Committee”), alon</w:t>
      </w:r>
      <w:r>
        <w:rPr>
          <w:rFonts w:eastAsia="Times New Roman"/>
          <w:color w:val="000000"/>
          <w:sz w:val="20"/>
          <w:szCs w:val="20"/>
        </w:rPr>
        <w:t xml:space="preserve">g with certain provisions of the Dodd-Frank Wall Street Reform and Consumer Protection Act of 2010 (“Dodd-Frank Act”) and other capital provisions. </w:t>
      </w:r>
    </w:p>
    <w:p w14:paraId="4F43B85A" w14:textId="77777777" w:rsidR="00000000" w:rsidRDefault="00A173A8">
      <w:pPr>
        <w:jc w:val="both"/>
        <w:divId w:val="576673343"/>
        <w:rPr>
          <w:rFonts w:eastAsia="Times New Roman"/>
        </w:rPr>
      </w:pPr>
      <w:r>
        <w:rPr>
          <w:rFonts w:eastAsia="Times New Roman"/>
          <w:color w:val="000000"/>
          <w:sz w:val="20"/>
          <w:szCs w:val="20"/>
        </w:rPr>
        <w:t>As a bank holding company (“BHC”) with total consolidated assets of at least $250 billion but less than $70</w:t>
      </w:r>
      <w:r>
        <w:rPr>
          <w:rFonts w:eastAsia="Times New Roman"/>
          <w:color w:val="000000"/>
          <w:sz w:val="20"/>
          <w:szCs w:val="20"/>
        </w:rPr>
        <w:t>0 billion and not exceeding any of the applicable risk-based thresholds, the Company is a Category III institution.</w:t>
      </w:r>
    </w:p>
    <w:p w14:paraId="74044203" w14:textId="77777777" w:rsidR="00000000" w:rsidRDefault="00A173A8">
      <w:pPr>
        <w:jc w:val="both"/>
        <w:divId w:val="1179540990"/>
        <w:rPr>
          <w:rFonts w:eastAsia="Times New Roman"/>
        </w:rPr>
      </w:pPr>
      <w:r>
        <w:rPr>
          <w:rFonts w:eastAsia="Times New Roman"/>
          <w:color w:val="000000"/>
          <w:sz w:val="20"/>
          <w:szCs w:val="20"/>
        </w:rPr>
        <w:t>The Banks, as subsidiaries of a Category III institution, are Category III banks. Moreover, the Banks, as insured depository institutions, a</w:t>
      </w:r>
      <w:r>
        <w:rPr>
          <w:rFonts w:eastAsia="Times New Roman"/>
          <w:color w:val="000000"/>
          <w:sz w:val="20"/>
          <w:szCs w:val="20"/>
        </w:rPr>
        <w:t>re subject to prompt corrective action (“PCA”) capital regulations.</w:t>
      </w:r>
    </w:p>
    <w:p w14:paraId="62656DD1" w14:textId="77777777" w:rsidR="00000000" w:rsidRDefault="00A173A8">
      <w:pPr>
        <w:jc w:val="both"/>
        <w:divId w:val="1801341016"/>
        <w:rPr>
          <w:rFonts w:eastAsia="Times New Roman"/>
        </w:rPr>
      </w:pPr>
      <w:r>
        <w:rPr>
          <w:rFonts w:eastAsia="Times New Roman"/>
          <w:b/>
          <w:bCs/>
          <w:i/>
          <w:iCs/>
          <w:color w:val="000000"/>
          <w:sz w:val="20"/>
          <w:szCs w:val="20"/>
        </w:rPr>
        <w:t>Basel III and United States Capital Rules</w:t>
      </w:r>
    </w:p>
    <w:p w14:paraId="6832C729" w14:textId="77777777" w:rsidR="00000000" w:rsidRDefault="00A173A8">
      <w:pPr>
        <w:jc w:val="both"/>
        <w:divId w:val="2038501057"/>
        <w:rPr>
          <w:rFonts w:eastAsia="Times New Roman"/>
        </w:rPr>
      </w:pPr>
      <w:r>
        <w:rPr>
          <w:rFonts w:eastAsia="Times New Roman"/>
          <w:color w:val="000000"/>
          <w:sz w:val="20"/>
          <w:szCs w:val="20"/>
        </w:rPr>
        <w:t xml:space="preserve">Under the Basel III Capital Rules, we must maintain a minimum common equity Tier 1 (“CET1”) capital ratio of 4.5%, a Tier 1 capital ratio of 6.0% </w:t>
      </w:r>
      <w:r>
        <w:rPr>
          <w:rFonts w:eastAsia="Times New Roman"/>
          <w:color w:val="000000"/>
          <w:sz w:val="20"/>
          <w:szCs w:val="20"/>
        </w:rPr>
        <w:t>and a total capital ratio of 8.0%, in each case in relation to risk-weighted assets. In addition, we must maintain a minimum leverage ratio of 4.0% and a minimum supplementary leverage ratio of 3.0%. We are also subject to the capital conservation buffer a</w:t>
      </w:r>
      <w:r>
        <w:rPr>
          <w:rFonts w:eastAsia="Times New Roman"/>
          <w:color w:val="000000"/>
          <w:sz w:val="20"/>
          <w:szCs w:val="20"/>
        </w:rPr>
        <w:t>nd countercyclical capital buffer requirements as described below.</w:t>
      </w:r>
    </w:p>
    <w:p w14:paraId="7F0F60BC" w14:textId="77777777" w:rsidR="00000000" w:rsidRDefault="00A173A8">
      <w:pPr>
        <w:jc w:val="both"/>
        <w:divId w:val="217864821"/>
        <w:rPr>
          <w:rFonts w:eastAsia="Times New Roman"/>
        </w:rPr>
      </w:pPr>
      <w:r>
        <w:rPr>
          <w:rFonts w:eastAsia="Times New Roman"/>
          <w:color w:val="000000"/>
          <w:sz w:val="20"/>
          <w:szCs w:val="20"/>
        </w:rPr>
        <w:t>As a Category III institution, we are not subject to the Basel III Advanced Approaches framework and certain associated capital requirements, and we have elected to exclude certain elements of accumulated other comprehensive income (“AOCI”) from our regula</w:t>
      </w:r>
      <w:r>
        <w:rPr>
          <w:rFonts w:eastAsia="Times New Roman"/>
          <w:color w:val="000000"/>
          <w:sz w:val="20"/>
          <w:szCs w:val="20"/>
        </w:rPr>
        <w:t xml:space="preserve">tory capital as permitted for a Category III institution. </w:t>
      </w:r>
    </w:p>
    <w:p w14:paraId="0BFEFB45" w14:textId="77777777" w:rsidR="00000000" w:rsidRDefault="00A173A8">
      <w:pPr>
        <w:jc w:val="both"/>
        <w:divId w:val="1275789674"/>
        <w:rPr>
          <w:rFonts w:eastAsia="Times New Roman"/>
        </w:rPr>
      </w:pPr>
      <w:r>
        <w:rPr>
          <w:rFonts w:eastAsia="Times New Roman"/>
          <w:color w:val="000000"/>
          <w:sz w:val="20"/>
          <w:szCs w:val="20"/>
        </w:rPr>
        <w:t xml:space="preserve">Global systemically important banks (“G-SIBs”) that are based in the U.S. are subject to an additional CET1 capital requirement known as the “G-SIB Surcharge.” We are not a G-SIB based on the most </w:t>
      </w:r>
      <w:r>
        <w:rPr>
          <w:rFonts w:eastAsia="Times New Roman"/>
          <w:color w:val="000000"/>
          <w:sz w:val="20"/>
          <w:szCs w:val="20"/>
        </w:rPr>
        <w:t>recent available data and thus we are not subject to a G-SIB Surcharge.</w:t>
      </w:r>
    </w:p>
    <w:p w14:paraId="4FFA39FE" w14:textId="77777777" w:rsidR="00000000" w:rsidRDefault="00A173A8">
      <w:pPr>
        <w:jc w:val="both"/>
        <w:divId w:val="892041708"/>
        <w:rPr>
          <w:rFonts w:eastAsia="Times New Roman"/>
        </w:rPr>
      </w:pPr>
      <w:r>
        <w:rPr>
          <w:rFonts w:eastAsia="Times New Roman"/>
          <w:b/>
          <w:bCs/>
          <w:i/>
          <w:iCs/>
          <w:color w:val="000000"/>
          <w:sz w:val="20"/>
          <w:szCs w:val="20"/>
        </w:rPr>
        <w:t>Stress Capital Buffer Rule</w:t>
      </w:r>
    </w:p>
    <w:p w14:paraId="4D8F9A64" w14:textId="77777777" w:rsidR="00000000" w:rsidRDefault="00A173A8">
      <w:pPr>
        <w:jc w:val="both"/>
        <w:divId w:val="240873623"/>
        <w:rPr>
          <w:rFonts w:eastAsia="Times New Roman"/>
        </w:rPr>
      </w:pPr>
      <w:r>
        <w:rPr>
          <w:rFonts w:eastAsia="Times New Roman"/>
          <w:color w:val="000000"/>
          <w:sz w:val="20"/>
          <w:szCs w:val="20"/>
        </w:rPr>
        <w:t>The Basel III Capital Rules require banking institutions to maintain a capital conservation buffer, composed of CET1 capital, above the regulatory minimum ra</w:t>
      </w:r>
      <w:r>
        <w:rPr>
          <w:rFonts w:eastAsia="Times New Roman"/>
          <w:color w:val="000000"/>
          <w:sz w:val="20"/>
          <w:szCs w:val="20"/>
        </w:rPr>
        <w:t xml:space="preserve">tios. Under the Federal Reserve’s final rule to implement the stress capital buffer requirement (the “Stress Capital Buffer Rule”), the Company’s “standardized approach capital conservation buffer” includes its stress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D6F973B" w14:textId="77777777">
        <w:trPr>
          <w:divId w:val="965232928"/>
          <w:jc w:val="center"/>
        </w:trPr>
        <w:tc>
          <w:tcPr>
            <w:tcW w:w="50" w:type="pct"/>
            <w:vAlign w:val="center"/>
            <w:hideMark/>
          </w:tcPr>
          <w:p w14:paraId="1922D55B" w14:textId="77777777" w:rsidR="00000000" w:rsidRDefault="00A173A8">
            <w:pPr>
              <w:jc w:val="both"/>
              <w:rPr>
                <w:rFonts w:eastAsia="Times New Roman"/>
              </w:rPr>
            </w:pPr>
          </w:p>
        </w:tc>
        <w:tc>
          <w:tcPr>
            <w:tcW w:w="1606" w:type="pct"/>
            <w:vAlign w:val="center"/>
            <w:hideMark/>
          </w:tcPr>
          <w:p w14:paraId="685FD488" w14:textId="77777777" w:rsidR="00000000" w:rsidRDefault="00A173A8">
            <w:pPr>
              <w:spacing w:after="100"/>
              <w:rPr>
                <w:rFonts w:eastAsia="Times New Roman"/>
                <w:sz w:val="20"/>
                <w:szCs w:val="20"/>
              </w:rPr>
            </w:pPr>
          </w:p>
        </w:tc>
        <w:tc>
          <w:tcPr>
            <w:tcW w:w="5" w:type="pct"/>
            <w:vAlign w:val="center"/>
            <w:hideMark/>
          </w:tcPr>
          <w:p w14:paraId="3F694265" w14:textId="77777777" w:rsidR="00000000" w:rsidRDefault="00A173A8">
            <w:pPr>
              <w:spacing w:after="100"/>
              <w:rPr>
                <w:rFonts w:eastAsia="Times New Roman"/>
                <w:sz w:val="20"/>
                <w:szCs w:val="20"/>
              </w:rPr>
            </w:pPr>
          </w:p>
        </w:tc>
        <w:tc>
          <w:tcPr>
            <w:tcW w:w="50" w:type="pct"/>
            <w:vAlign w:val="center"/>
            <w:hideMark/>
          </w:tcPr>
          <w:p w14:paraId="4424E020" w14:textId="77777777" w:rsidR="00000000" w:rsidRDefault="00A173A8">
            <w:pPr>
              <w:spacing w:after="100"/>
              <w:rPr>
                <w:rFonts w:eastAsia="Times New Roman"/>
                <w:sz w:val="20"/>
                <w:szCs w:val="20"/>
              </w:rPr>
            </w:pPr>
          </w:p>
        </w:tc>
        <w:tc>
          <w:tcPr>
            <w:tcW w:w="1614" w:type="pct"/>
            <w:vAlign w:val="center"/>
            <w:hideMark/>
          </w:tcPr>
          <w:p w14:paraId="55B717BF" w14:textId="77777777" w:rsidR="00000000" w:rsidRDefault="00A173A8">
            <w:pPr>
              <w:spacing w:after="100"/>
              <w:rPr>
                <w:rFonts w:eastAsia="Times New Roman"/>
                <w:sz w:val="20"/>
                <w:szCs w:val="20"/>
              </w:rPr>
            </w:pPr>
          </w:p>
        </w:tc>
        <w:tc>
          <w:tcPr>
            <w:tcW w:w="5" w:type="pct"/>
            <w:vAlign w:val="center"/>
            <w:hideMark/>
          </w:tcPr>
          <w:p w14:paraId="6C16D858" w14:textId="77777777" w:rsidR="00000000" w:rsidRDefault="00A173A8">
            <w:pPr>
              <w:spacing w:after="100"/>
              <w:rPr>
                <w:rFonts w:eastAsia="Times New Roman"/>
                <w:sz w:val="20"/>
                <w:szCs w:val="20"/>
              </w:rPr>
            </w:pPr>
          </w:p>
        </w:tc>
        <w:tc>
          <w:tcPr>
            <w:tcW w:w="50" w:type="pct"/>
            <w:vAlign w:val="center"/>
            <w:hideMark/>
          </w:tcPr>
          <w:p w14:paraId="43769FA1" w14:textId="77777777" w:rsidR="00000000" w:rsidRDefault="00A173A8">
            <w:pPr>
              <w:spacing w:after="100"/>
              <w:rPr>
                <w:rFonts w:eastAsia="Times New Roman"/>
                <w:sz w:val="20"/>
                <w:szCs w:val="20"/>
              </w:rPr>
            </w:pPr>
          </w:p>
        </w:tc>
        <w:tc>
          <w:tcPr>
            <w:tcW w:w="1614" w:type="pct"/>
            <w:vAlign w:val="center"/>
            <w:hideMark/>
          </w:tcPr>
          <w:p w14:paraId="38D6C07A" w14:textId="77777777" w:rsidR="00000000" w:rsidRDefault="00A173A8">
            <w:pPr>
              <w:spacing w:after="100"/>
              <w:rPr>
                <w:rFonts w:eastAsia="Times New Roman"/>
                <w:sz w:val="20"/>
                <w:szCs w:val="20"/>
              </w:rPr>
            </w:pPr>
          </w:p>
        </w:tc>
        <w:tc>
          <w:tcPr>
            <w:tcW w:w="5" w:type="pct"/>
            <w:vAlign w:val="center"/>
            <w:hideMark/>
          </w:tcPr>
          <w:p w14:paraId="21A2CBC2" w14:textId="77777777" w:rsidR="00000000" w:rsidRDefault="00A173A8">
            <w:pPr>
              <w:spacing w:after="100"/>
              <w:rPr>
                <w:rFonts w:eastAsia="Times New Roman"/>
                <w:sz w:val="20"/>
                <w:szCs w:val="20"/>
              </w:rPr>
            </w:pPr>
          </w:p>
        </w:tc>
      </w:tr>
      <w:tr w:rsidR="00000000" w14:paraId="38B501ED" w14:textId="77777777">
        <w:trPr>
          <w:divId w:val="965232928"/>
          <w:trHeight w:val="300"/>
          <w:jc w:val="center"/>
        </w:trPr>
        <w:tc>
          <w:tcPr>
            <w:tcW w:w="0" w:type="auto"/>
            <w:gridSpan w:val="9"/>
            <w:tcMar>
              <w:top w:w="0" w:type="dxa"/>
              <w:left w:w="20" w:type="dxa"/>
              <w:bottom w:w="0" w:type="dxa"/>
              <w:right w:w="20" w:type="dxa"/>
            </w:tcMar>
            <w:vAlign w:val="center"/>
            <w:hideMark/>
          </w:tcPr>
          <w:p w14:paraId="3D09B6C2" w14:textId="77777777" w:rsidR="00000000" w:rsidRDefault="00A173A8">
            <w:pPr>
              <w:spacing w:after="100"/>
              <w:rPr>
                <w:rFonts w:eastAsia="Times New Roman"/>
                <w:sz w:val="20"/>
                <w:szCs w:val="20"/>
              </w:rPr>
            </w:pPr>
          </w:p>
        </w:tc>
      </w:tr>
      <w:tr w:rsidR="00000000" w14:paraId="678A187F" w14:textId="77777777">
        <w:trPr>
          <w:divId w:val="965232928"/>
          <w:jc w:val="center"/>
        </w:trPr>
        <w:tc>
          <w:tcPr>
            <w:tcW w:w="0" w:type="auto"/>
            <w:gridSpan w:val="3"/>
            <w:tcMar>
              <w:top w:w="0" w:type="dxa"/>
              <w:left w:w="20" w:type="dxa"/>
              <w:bottom w:w="0" w:type="dxa"/>
              <w:right w:w="20" w:type="dxa"/>
            </w:tcMar>
            <w:vAlign w:val="center"/>
            <w:hideMark/>
          </w:tcPr>
          <w:p w14:paraId="1317A596"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D381FB8" w14:textId="77777777" w:rsidR="00000000" w:rsidRDefault="00A173A8">
            <w:pPr>
              <w:spacing w:after="100"/>
              <w:jc w:val="center"/>
              <w:rPr>
                <w:rFonts w:eastAsia="Times New Roman"/>
              </w:rPr>
            </w:pPr>
            <w:r>
              <w:rPr>
                <w:rFonts w:eastAsia="Times New Roman"/>
                <w:color w:val="000000"/>
                <w:sz w:val="16"/>
                <w:szCs w:val="16"/>
              </w:rPr>
              <w:t>29</w:t>
            </w:r>
          </w:p>
        </w:tc>
        <w:tc>
          <w:tcPr>
            <w:tcW w:w="0" w:type="auto"/>
            <w:gridSpan w:val="3"/>
            <w:tcMar>
              <w:top w:w="30" w:type="dxa"/>
              <w:left w:w="20" w:type="dxa"/>
              <w:bottom w:w="30" w:type="dxa"/>
              <w:right w:w="20" w:type="dxa"/>
            </w:tcMar>
            <w:vAlign w:val="bottom"/>
            <w:hideMark/>
          </w:tcPr>
          <w:p w14:paraId="3D25A07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7DAB879" w14:textId="77777777" w:rsidR="00000000" w:rsidRDefault="00A173A8">
      <w:pPr>
        <w:rPr>
          <w:rFonts w:eastAsia="Times New Roman"/>
        </w:rPr>
      </w:pPr>
      <w:r>
        <w:rPr>
          <w:rFonts w:eastAsia="Times New Roman"/>
        </w:rPr>
        <w:pict w14:anchorId="40A6A2AF">
          <v:rect id="_x0000_i1054" style="width:0;height:1.5pt" o:hralign="center" o:hrstd="t" o:hr="t" fillcolor="#a0a0a0" stroked="f"/>
        </w:pict>
      </w:r>
    </w:p>
    <w:p w14:paraId="5CE3C8DB" w14:textId="77777777" w:rsidR="00000000" w:rsidRDefault="00A173A8">
      <w:pPr>
        <w:ind w:hanging="360"/>
        <w:jc w:val="both"/>
        <w:divId w:val="422994621"/>
        <w:rPr>
          <w:rFonts w:eastAsia="Times New Roman"/>
        </w:rPr>
      </w:pPr>
      <w:hyperlink w:anchor="i7ffd5d61af6f4722b1b1b07530d51c06_13" w:history="1">
        <w:r>
          <w:rPr>
            <w:rStyle w:val="a3"/>
            <w:rFonts w:eastAsia="Times New Roman"/>
            <w:sz w:val="16"/>
            <w:szCs w:val="16"/>
          </w:rPr>
          <w:t>Table of Contents</w:t>
        </w:r>
      </w:hyperlink>
    </w:p>
    <w:p w14:paraId="299D5DAA" w14:textId="77777777" w:rsidR="00000000" w:rsidRDefault="00A173A8">
      <w:pPr>
        <w:jc w:val="both"/>
        <w:divId w:val="1847547829"/>
        <w:rPr>
          <w:rFonts w:eastAsia="Times New Roman"/>
        </w:rPr>
      </w:pPr>
      <w:r>
        <w:rPr>
          <w:rFonts w:eastAsia="Times New Roman"/>
          <w:color w:val="000000"/>
          <w:sz w:val="20"/>
          <w:szCs w:val="20"/>
        </w:rPr>
        <w:t>capital buffer requirement (as described below), any G-SIB Surcharge (which is not applicable to us) and the countercyclical capital buffer req</w:t>
      </w:r>
      <w:r>
        <w:rPr>
          <w:rFonts w:eastAsia="Times New Roman"/>
          <w:color w:val="000000"/>
          <w:sz w:val="20"/>
          <w:szCs w:val="20"/>
        </w:rPr>
        <w:t>uirement (which is currently set at 0%). Any determination to increase the countercyclical capital buffer generally would be effective twelve months after the announcement of such an increase, unless the Federal Reserve, OCC and Federal Deposit Insurance C</w:t>
      </w:r>
      <w:r>
        <w:rPr>
          <w:rFonts w:eastAsia="Times New Roman"/>
          <w:color w:val="000000"/>
          <w:sz w:val="20"/>
          <w:szCs w:val="20"/>
        </w:rPr>
        <w:t xml:space="preserve">orporation (the “FDIC”), hereafter collectively referred to as the “Federal Banking Agencies”, set an earlier effective date. </w:t>
      </w:r>
    </w:p>
    <w:p w14:paraId="151F1003" w14:textId="77777777" w:rsidR="00000000" w:rsidRDefault="00A173A8">
      <w:pPr>
        <w:jc w:val="both"/>
        <w:divId w:val="1244603398"/>
        <w:rPr>
          <w:rFonts w:eastAsia="Times New Roman"/>
        </w:rPr>
      </w:pPr>
      <w:r>
        <w:rPr>
          <w:rFonts w:eastAsia="Times New Roman"/>
          <w:color w:val="000000"/>
          <w:sz w:val="20"/>
          <w:szCs w:val="20"/>
        </w:rPr>
        <w:t>The Company’s stress capital buffer requirement will be recalibrated every year based on the Company’s supervisory stress test re</w:t>
      </w:r>
      <w:r>
        <w:rPr>
          <w:rFonts w:eastAsia="Times New Roman"/>
          <w:color w:val="000000"/>
          <w:sz w:val="20"/>
          <w:szCs w:val="20"/>
        </w:rPr>
        <w:t>sults. In particular, the Company’s stress capital buffer requirement equals, subject to a floor of 2.5%, the sum of (i) the difference between the Company’s starting CET1 capital ratio and its lowest projected CET1 capital ratio under the severely adverse</w:t>
      </w:r>
      <w:r>
        <w:rPr>
          <w:rFonts w:eastAsia="Times New Roman"/>
          <w:color w:val="000000"/>
          <w:sz w:val="20"/>
          <w:szCs w:val="20"/>
        </w:rPr>
        <w:t xml:space="preserve"> scenario of the Federal Reserve’s supervisory stress test plus (ii) the ratio of the Company’s projected four quarters of common stock dividends (for the fourth to seventh quarters of the planning horizon) to the projected risk-weighted assets for the qua</w:t>
      </w:r>
      <w:r>
        <w:rPr>
          <w:rFonts w:eastAsia="Times New Roman"/>
          <w:color w:val="000000"/>
          <w:sz w:val="20"/>
          <w:szCs w:val="20"/>
        </w:rPr>
        <w:t>rter in which the Company’s projected CET1 capital ratio reaches its minimum under the supervisory stress test.</w:t>
      </w:r>
    </w:p>
    <w:p w14:paraId="63B600FB" w14:textId="77777777" w:rsidR="00000000" w:rsidRDefault="00A173A8">
      <w:pPr>
        <w:jc w:val="both"/>
        <w:divId w:val="480852700"/>
        <w:rPr>
          <w:rFonts w:eastAsia="Times New Roman"/>
        </w:rPr>
      </w:pPr>
      <w:r>
        <w:rPr>
          <w:rFonts w:eastAsia="Times New Roman"/>
          <w:color w:val="000000"/>
          <w:sz w:val="20"/>
          <w:szCs w:val="20"/>
        </w:rPr>
        <w:t>Based on the Company’s 2021 supervisory stress test results, the Company’s stress capital buffer requirement for the period beginning on October</w:t>
      </w:r>
      <w:r>
        <w:rPr>
          <w:rFonts w:eastAsia="Times New Roman"/>
          <w:color w:val="000000"/>
          <w:sz w:val="20"/>
          <w:szCs w:val="20"/>
        </w:rPr>
        <w:t xml:space="preserve"> 1, 2021 through September 30, 2022 is 2.5%. Therefore, the Company’s minimum capital requirements plus the standardized approach capital conservation buffer for CET1 capital, Tier 1 capital and total capital ratios under the stress capital buffer framewor</w:t>
      </w:r>
      <w:r>
        <w:rPr>
          <w:rFonts w:eastAsia="Times New Roman"/>
          <w:color w:val="000000"/>
          <w:sz w:val="20"/>
          <w:szCs w:val="20"/>
        </w:rPr>
        <w:t>k are 7.0%, 8.5% and 10.5%, respectively, for the period from October 1, 2021 through September 30, 2022.</w:t>
      </w:r>
    </w:p>
    <w:p w14:paraId="5850785F" w14:textId="77777777" w:rsidR="00000000" w:rsidRDefault="00A173A8">
      <w:pPr>
        <w:jc w:val="both"/>
        <w:divId w:val="659845769"/>
        <w:rPr>
          <w:rFonts w:eastAsia="Times New Roman"/>
        </w:rPr>
      </w:pPr>
      <w:r>
        <w:rPr>
          <w:rFonts w:eastAsia="Times New Roman"/>
          <w:color w:val="000000"/>
          <w:sz w:val="20"/>
          <w:szCs w:val="20"/>
          <w:shd w:val="clear" w:color="auto" w:fill="FFFFFF"/>
        </w:rPr>
        <w:t>Based on the Company’s 2022 supervisory stress test results, the Company’s stress capital buffer requirement for the period beginning on October 1, 20</w:t>
      </w:r>
      <w:r>
        <w:rPr>
          <w:rFonts w:eastAsia="Times New Roman"/>
          <w:color w:val="000000"/>
          <w:sz w:val="20"/>
          <w:szCs w:val="20"/>
          <w:shd w:val="clear" w:color="auto" w:fill="FFFFFF"/>
        </w:rPr>
        <w:t xml:space="preserve">22 through September 30, 2023 is 3.1%. Therefore, the Company’s minimum capital requirements plus the standardized approach capital conservation buffer for CET1 capital, Tier 1 capital and total capital ratios under the stress capital buffer framework are </w:t>
      </w:r>
      <w:r>
        <w:rPr>
          <w:rFonts w:eastAsia="Times New Roman"/>
          <w:color w:val="000000"/>
          <w:sz w:val="20"/>
          <w:szCs w:val="20"/>
          <w:shd w:val="clear" w:color="auto" w:fill="FFFFFF"/>
        </w:rPr>
        <w:t>7.6%, 9.1% and 11.1%, respectively, for the period from October 1, 2022 through September 30, 2023</w:t>
      </w:r>
      <w:r>
        <w:rPr>
          <w:rFonts w:eastAsia="Times New Roman"/>
          <w:color w:val="000000"/>
          <w:sz w:val="20"/>
          <w:szCs w:val="20"/>
        </w:rPr>
        <w:t>.</w:t>
      </w:r>
    </w:p>
    <w:p w14:paraId="2226B087" w14:textId="77777777" w:rsidR="00000000" w:rsidRDefault="00A173A8">
      <w:pPr>
        <w:jc w:val="both"/>
        <w:divId w:val="439842474"/>
        <w:rPr>
          <w:rFonts w:eastAsia="Times New Roman"/>
        </w:rPr>
      </w:pPr>
      <w:r>
        <w:rPr>
          <w:rFonts w:eastAsia="Times New Roman"/>
          <w:color w:val="000000"/>
          <w:sz w:val="20"/>
          <w:szCs w:val="20"/>
        </w:rPr>
        <w:t>The Stress Capital Buffer Rule does not apply to the Banks. The capital conservation buffer for the Banks continues to be fixed at 2.5%. Accordingly, each B</w:t>
      </w:r>
      <w:r>
        <w:rPr>
          <w:rFonts w:eastAsia="Times New Roman"/>
          <w:color w:val="000000"/>
          <w:sz w:val="20"/>
          <w:szCs w:val="20"/>
        </w:rPr>
        <w:t>ank’s minimum capital requirements plus its capital conservation buffer for CET1 capital, Tier 1 capital and total capital ratios are 7.0%, 8.5% and 10.5% respectively.</w:t>
      </w:r>
    </w:p>
    <w:p w14:paraId="414EE09E" w14:textId="77777777" w:rsidR="00000000" w:rsidRDefault="00A173A8">
      <w:pPr>
        <w:jc w:val="both"/>
        <w:divId w:val="76095079"/>
        <w:rPr>
          <w:rFonts w:eastAsia="Times New Roman"/>
        </w:rPr>
      </w:pPr>
      <w:r>
        <w:rPr>
          <w:rFonts w:eastAsia="Times New Roman"/>
          <w:color w:val="000000"/>
          <w:sz w:val="20"/>
          <w:szCs w:val="20"/>
        </w:rPr>
        <w:t>If the Company or any of the Banks fails to maintain its capital ratios above the minim</w:t>
      </w:r>
      <w:r>
        <w:rPr>
          <w:rFonts w:eastAsia="Times New Roman"/>
          <w:color w:val="000000"/>
          <w:sz w:val="20"/>
          <w:szCs w:val="20"/>
        </w:rPr>
        <w:t>um capital requirements plus the applicable capital conservation buffer requirements, it will face increasingly strict automatic limitations on capital distributions and discretionary bonus payments to certain executive officers.</w:t>
      </w:r>
    </w:p>
    <w:p w14:paraId="0A0BE25F" w14:textId="77777777" w:rsidR="00000000" w:rsidRDefault="00A173A8">
      <w:pPr>
        <w:jc w:val="both"/>
        <w:divId w:val="1938295091"/>
        <w:rPr>
          <w:rFonts w:eastAsia="Times New Roman"/>
        </w:rPr>
      </w:pPr>
      <w:r>
        <w:rPr>
          <w:rFonts w:eastAsia="Times New Roman"/>
          <w:color w:val="000000"/>
          <w:sz w:val="20"/>
          <w:szCs w:val="20"/>
        </w:rPr>
        <w:t>As of June 30, 2022 and De</w:t>
      </w:r>
      <w:r>
        <w:rPr>
          <w:rFonts w:eastAsia="Times New Roman"/>
          <w:color w:val="000000"/>
          <w:sz w:val="20"/>
          <w:szCs w:val="20"/>
        </w:rPr>
        <w:t xml:space="preserve">cember 31, 2021, respectively, each of the Company and the Banks </w:t>
      </w:r>
      <w:r>
        <w:rPr>
          <w:rFonts w:eastAsia="Times New Roman"/>
          <w:color w:val="000000"/>
          <w:sz w:val="20"/>
          <w:szCs w:val="20"/>
          <w:shd w:val="clear" w:color="auto" w:fill="FFFFFF"/>
        </w:rPr>
        <w:t>exceeded</w:t>
      </w:r>
      <w:r>
        <w:rPr>
          <w:rFonts w:eastAsia="Times New Roman"/>
          <w:color w:val="000000"/>
          <w:sz w:val="20"/>
          <w:szCs w:val="20"/>
        </w:rPr>
        <w:t xml:space="preserve"> the </w:t>
      </w:r>
      <w:r>
        <w:rPr>
          <w:rFonts w:eastAsia="Times New Roman"/>
          <w:color w:val="000000"/>
          <w:sz w:val="20"/>
          <w:szCs w:val="20"/>
          <w:shd w:val="clear" w:color="auto" w:fill="FFFFFF"/>
        </w:rPr>
        <w:t>minimum capital requirements and the capital conservation buffer requirements</w:t>
      </w:r>
      <w:r>
        <w:rPr>
          <w:rFonts w:eastAsia="Times New Roman"/>
          <w:color w:val="000000"/>
          <w:sz w:val="20"/>
          <w:szCs w:val="20"/>
        </w:rPr>
        <w:t xml:space="preserve"> applicable to them, and each of the Company and the Banks were “</w:t>
      </w:r>
      <w:r>
        <w:rPr>
          <w:rFonts w:eastAsia="Times New Roman"/>
          <w:color w:val="000000"/>
          <w:sz w:val="20"/>
          <w:szCs w:val="20"/>
          <w:shd w:val="clear" w:color="auto" w:fill="FFFFFF"/>
        </w:rPr>
        <w:t>well-capitalized</w:t>
      </w:r>
      <w:r>
        <w:rPr>
          <w:rFonts w:eastAsia="Times New Roman"/>
          <w:color w:val="000000"/>
          <w:sz w:val="20"/>
          <w:szCs w:val="20"/>
        </w:rPr>
        <w:t>.” The “well-capital</w:t>
      </w:r>
      <w:r>
        <w:rPr>
          <w:rFonts w:eastAsia="Times New Roman"/>
          <w:color w:val="000000"/>
          <w:sz w:val="20"/>
          <w:szCs w:val="20"/>
        </w:rPr>
        <w:t>ized” standards applicable to the Company are established in the Federal Reserve’s regulations, and the “well-capitalized” standards applicable to the Banks are established in the OCC’s PCA capital requirements.</w:t>
      </w:r>
    </w:p>
    <w:p w14:paraId="04F8093E" w14:textId="77777777" w:rsidR="00000000" w:rsidRDefault="00A173A8">
      <w:pPr>
        <w:jc w:val="both"/>
        <w:divId w:val="1850900238"/>
        <w:rPr>
          <w:rFonts w:eastAsia="Times New Roman"/>
        </w:rPr>
      </w:pPr>
      <w:r>
        <w:rPr>
          <w:rFonts w:eastAsia="Times New Roman"/>
          <w:b/>
          <w:bCs/>
          <w:i/>
          <w:iCs/>
          <w:color w:val="000000"/>
          <w:sz w:val="20"/>
          <w:szCs w:val="20"/>
        </w:rPr>
        <w:t>Market Risk Rule</w:t>
      </w:r>
    </w:p>
    <w:p w14:paraId="3A8741E0" w14:textId="77777777" w:rsidR="00000000" w:rsidRDefault="00A173A8">
      <w:pPr>
        <w:jc w:val="both"/>
        <w:divId w:val="1754548832"/>
        <w:rPr>
          <w:rFonts w:eastAsia="Times New Roman"/>
        </w:rPr>
      </w:pPr>
      <w:r>
        <w:rPr>
          <w:rFonts w:eastAsia="Times New Roman"/>
          <w:color w:val="000000"/>
          <w:sz w:val="20"/>
          <w:szCs w:val="20"/>
        </w:rPr>
        <w:t>The “Market Risk Rule” supp</w:t>
      </w:r>
      <w:r>
        <w:rPr>
          <w:rFonts w:eastAsia="Times New Roman"/>
          <w:color w:val="000000"/>
          <w:sz w:val="20"/>
          <w:szCs w:val="20"/>
        </w:rPr>
        <w:t>lements the Basel III Capital Rules by requiring institutions subject to the rule to adjust their risk-based capital ratios to reflect the market risk in their trading book. The Market Risk Rule generally applies to institutions with aggregate trading asse</w:t>
      </w:r>
      <w:r>
        <w:rPr>
          <w:rFonts w:eastAsia="Times New Roman"/>
          <w:color w:val="000000"/>
          <w:sz w:val="20"/>
          <w:szCs w:val="20"/>
        </w:rPr>
        <w:t xml:space="preserve">ts and liabilities equal to </w:t>
      </w:r>
      <w:r>
        <w:rPr>
          <w:rFonts w:eastAsia="Times New Roman"/>
          <w:color w:val="000000"/>
          <w:sz w:val="20"/>
          <w:szCs w:val="20"/>
          <w:shd w:val="clear" w:color="auto" w:fill="FFFFFF"/>
        </w:rPr>
        <w:t xml:space="preserve">10% or more of total assets or $1 billion or more. </w:t>
      </w:r>
      <w:r>
        <w:rPr>
          <w:rFonts w:eastAsia="Times New Roman"/>
          <w:color w:val="000000"/>
          <w:sz w:val="20"/>
          <w:szCs w:val="20"/>
        </w:rPr>
        <w:t>As of June 30, 2022, the Company and CONA are</w:t>
      </w:r>
      <w:r>
        <w:rPr>
          <w:rFonts w:eastAsia="Times New Roman"/>
          <w:color w:val="000000"/>
          <w:sz w:val="20"/>
          <w:szCs w:val="20"/>
          <w:shd w:val="clear" w:color="auto" w:fill="FFFFFF"/>
        </w:rPr>
        <w:t xml:space="preserve"> subject to the Market Risk Rule</w:t>
      </w:r>
      <w:r>
        <w:rPr>
          <w:rFonts w:eastAsia="Times New Roman"/>
          <w:color w:val="000000"/>
          <w:sz w:val="20"/>
          <w:szCs w:val="20"/>
        </w:rPr>
        <w:t xml:space="preserve">. See “MD&amp;A—Market Risk Profile” below for additional information. </w:t>
      </w:r>
    </w:p>
    <w:p w14:paraId="71F70A9C" w14:textId="77777777" w:rsidR="00000000" w:rsidRDefault="00A173A8">
      <w:pPr>
        <w:jc w:val="both"/>
        <w:divId w:val="1580018569"/>
        <w:rPr>
          <w:rFonts w:eastAsia="Times New Roman"/>
        </w:rPr>
      </w:pPr>
      <w:r>
        <w:rPr>
          <w:rFonts w:eastAsia="Times New Roman"/>
          <w:b/>
          <w:bCs/>
          <w:i/>
          <w:iCs/>
          <w:color w:val="000000"/>
          <w:sz w:val="20"/>
          <w:szCs w:val="20"/>
        </w:rPr>
        <w:t>CECL Transition Rule</w:t>
      </w:r>
    </w:p>
    <w:p w14:paraId="2D5EF384" w14:textId="77777777" w:rsidR="00000000" w:rsidRDefault="00A173A8">
      <w:pPr>
        <w:jc w:val="both"/>
        <w:divId w:val="781194165"/>
        <w:rPr>
          <w:rFonts w:eastAsia="Times New Roman"/>
        </w:rPr>
      </w:pPr>
      <w:r>
        <w:rPr>
          <w:rFonts w:eastAsia="Times New Roman"/>
          <w:color w:val="000000"/>
          <w:sz w:val="20"/>
          <w:szCs w:val="20"/>
        </w:rPr>
        <w:t>The Federal</w:t>
      </w:r>
      <w:r>
        <w:rPr>
          <w:rFonts w:eastAsia="Times New Roman"/>
          <w:color w:val="000000"/>
          <w:sz w:val="20"/>
          <w:szCs w:val="20"/>
        </w:rPr>
        <w:t xml:space="preserve"> Banking Agencies adopted a final rule (the “CECL Transition Rule”) that provides banking institutions an optional five-year transition period to phase in the impact of the current expected credit loss (“CECL”) standard on their regulatory capital (the “CE</w:t>
      </w:r>
      <w:r>
        <w:rPr>
          <w:rFonts w:eastAsia="Times New Roman"/>
          <w:color w:val="000000"/>
          <w:sz w:val="20"/>
          <w:szCs w:val="20"/>
        </w:rPr>
        <w:t>CL Transition Election”). We adopted the CECL standard (for accounting purposes) as of January 1, 2020, and made the CECL Transition Election (for regulatory capital purposes) in the first quarter of 2020. Therefore, the applicable amounts presented in thi</w:t>
      </w:r>
      <w:r>
        <w:rPr>
          <w:rFonts w:eastAsia="Times New Roman"/>
          <w:color w:val="000000"/>
          <w:sz w:val="20"/>
          <w:szCs w:val="20"/>
        </w:rPr>
        <w:t>s Report reflect such election.</w:t>
      </w:r>
    </w:p>
    <w:p w14:paraId="2EB0D7B6" w14:textId="77777777" w:rsidR="00000000" w:rsidRDefault="00A173A8">
      <w:pPr>
        <w:jc w:val="both"/>
        <w:divId w:val="605578883"/>
        <w:rPr>
          <w:rFonts w:eastAsia="Times New Roman"/>
        </w:rPr>
      </w:pPr>
      <w:r>
        <w:rPr>
          <w:rFonts w:eastAsia="Times New Roman"/>
          <w:color w:val="000000"/>
          <w:sz w:val="20"/>
          <w:szCs w:val="20"/>
        </w:rPr>
        <w:t>Pursuant to the CECL Transition Rule, a banking institution could elect to delay the estimated impact of adopting CECL on its regulatory capital through December 31, 2021 and then phase in the estimated cumulative impact fro</w:t>
      </w:r>
      <w:r>
        <w:rPr>
          <w:rFonts w:eastAsia="Times New Roman"/>
          <w:color w:val="000000"/>
          <w:sz w:val="20"/>
          <w:szCs w:val="20"/>
        </w:rPr>
        <w:t xml:space="preserve">m January 1, 2022 through December 31, 2024. For the “day 2” ongoing impact of CECL during the initial two years, the Federal Banking Agencies used a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BF831B2" w14:textId="77777777">
        <w:trPr>
          <w:divId w:val="1599943132"/>
          <w:jc w:val="center"/>
        </w:trPr>
        <w:tc>
          <w:tcPr>
            <w:tcW w:w="50" w:type="pct"/>
            <w:vAlign w:val="center"/>
            <w:hideMark/>
          </w:tcPr>
          <w:p w14:paraId="515022E7" w14:textId="77777777" w:rsidR="00000000" w:rsidRDefault="00A173A8">
            <w:pPr>
              <w:jc w:val="both"/>
              <w:rPr>
                <w:rFonts w:eastAsia="Times New Roman"/>
              </w:rPr>
            </w:pPr>
          </w:p>
        </w:tc>
        <w:tc>
          <w:tcPr>
            <w:tcW w:w="1606" w:type="pct"/>
            <w:vAlign w:val="center"/>
            <w:hideMark/>
          </w:tcPr>
          <w:p w14:paraId="0A57E431" w14:textId="77777777" w:rsidR="00000000" w:rsidRDefault="00A173A8">
            <w:pPr>
              <w:spacing w:after="100"/>
              <w:rPr>
                <w:rFonts w:eastAsia="Times New Roman"/>
                <w:sz w:val="20"/>
                <w:szCs w:val="20"/>
              </w:rPr>
            </w:pPr>
          </w:p>
        </w:tc>
        <w:tc>
          <w:tcPr>
            <w:tcW w:w="5" w:type="pct"/>
            <w:vAlign w:val="center"/>
            <w:hideMark/>
          </w:tcPr>
          <w:p w14:paraId="68D9F155" w14:textId="77777777" w:rsidR="00000000" w:rsidRDefault="00A173A8">
            <w:pPr>
              <w:spacing w:after="100"/>
              <w:rPr>
                <w:rFonts w:eastAsia="Times New Roman"/>
                <w:sz w:val="20"/>
                <w:szCs w:val="20"/>
              </w:rPr>
            </w:pPr>
          </w:p>
        </w:tc>
        <w:tc>
          <w:tcPr>
            <w:tcW w:w="50" w:type="pct"/>
            <w:vAlign w:val="center"/>
            <w:hideMark/>
          </w:tcPr>
          <w:p w14:paraId="0C0C394D" w14:textId="77777777" w:rsidR="00000000" w:rsidRDefault="00A173A8">
            <w:pPr>
              <w:spacing w:after="100"/>
              <w:rPr>
                <w:rFonts w:eastAsia="Times New Roman"/>
                <w:sz w:val="20"/>
                <w:szCs w:val="20"/>
              </w:rPr>
            </w:pPr>
          </w:p>
        </w:tc>
        <w:tc>
          <w:tcPr>
            <w:tcW w:w="1614" w:type="pct"/>
            <w:vAlign w:val="center"/>
            <w:hideMark/>
          </w:tcPr>
          <w:p w14:paraId="4BFEF645" w14:textId="77777777" w:rsidR="00000000" w:rsidRDefault="00A173A8">
            <w:pPr>
              <w:spacing w:after="100"/>
              <w:rPr>
                <w:rFonts w:eastAsia="Times New Roman"/>
                <w:sz w:val="20"/>
                <w:szCs w:val="20"/>
              </w:rPr>
            </w:pPr>
          </w:p>
        </w:tc>
        <w:tc>
          <w:tcPr>
            <w:tcW w:w="5" w:type="pct"/>
            <w:vAlign w:val="center"/>
            <w:hideMark/>
          </w:tcPr>
          <w:p w14:paraId="0F3A90DB" w14:textId="77777777" w:rsidR="00000000" w:rsidRDefault="00A173A8">
            <w:pPr>
              <w:spacing w:after="100"/>
              <w:rPr>
                <w:rFonts w:eastAsia="Times New Roman"/>
                <w:sz w:val="20"/>
                <w:szCs w:val="20"/>
              </w:rPr>
            </w:pPr>
          </w:p>
        </w:tc>
        <w:tc>
          <w:tcPr>
            <w:tcW w:w="50" w:type="pct"/>
            <w:vAlign w:val="center"/>
            <w:hideMark/>
          </w:tcPr>
          <w:p w14:paraId="54D3E897" w14:textId="77777777" w:rsidR="00000000" w:rsidRDefault="00A173A8">
            <w:pPr>
              <w:spacing w:after="100"/>
              <w:rPr>
                <w:rFonts w:eastAsia="Times New Roman"/>
                <w:sz w:val="20"/>
                <w:szCs w:val="20"/>
              </w:rPr>
            </w:pPr>
          </w:p>
        </w:tc>
        <w:tc>
          <w:tcPr>
            <w:tcW w:w="1614" w:type="pct"/>
            <w:vAlign w:val="center"/>
            <w:hideMark/>
          </w:tcPr>
          <w:p w14:paraId="608ECA30" w14:textId="77777777" w:rsidR="00000000" w:rsidRDefault="00A173A8">
            <w:pPr>
              <w:spacing w:after="100"/>
              <w:rPr>
                <w:rFonts w:eastAsia="Times New Roman"/>
                <w:sz w:val="20"/>
                <w:szCs w:val="20"/>
              </w:rPr>
            </w:pPr>
          </w:p>
        </w:tc>
        <w:tc>
          <w:tcPr>
            <w:tcW w:w="5" w:type="pct"/>
            <w:vAlign w:val="center"/>
            <w:hideMark/>
          </w:tcPr>
          <w:p w14:paraId="60EF6B67" w14:textId="77777777" w:rsidR="00000000" w:rsidRDefault="00A173A8">
            <w:pPr>
              <w:spacing w:after="100"/>
              <w:rPr>
                <w:rFonts w:eastAsia="Times New Roman"/>
                <w:sz w:val="20"/>
                <w:szCs w:val="20"/>
              </w:rPr>
            </w:pPr>
          </w:p>
        </w:tc>
      </w:tr>
      <w:tr w:rsidR="00000000" w14:paraId="5B4B00EB" w14:textId="77777777">
        <w:trPr>
          <w:divId w:val="1599943132"/>
          <w:trHeight w:val="300"/>
          <w:jc w:val="center"/>
        </w:trPr>
        <w:tc>
          <w:tcPr>
            <w:tcW w:w="0" w:type="auto"/>
            <w:gridSpan w:val="9"/>
            <w:tcMar>
              <w:top w:w="0" w:type="dxa"/>
              <w:left w:w="20" w:type="dxa"/>
              <w:bottom w:w="0" w:type="dxa"/>
              <w:right w:w="20" w:type="dxa"/>
            </w:tcMar>
            <w:vAlign w:val="center"/>
            <w:hideMark/>
          </w:tcPr>
          <w:p w14:paraId="5B976D5A" w14:textId="77777777" w:rsidR="00000000" w:rsidRDefault="00A173A8">
            <w:pPr>
              <w:spacing w:after="100"/>
              <w:rPr>
                <w:rFonts w:eastAsia="Times New Roman"/>
                <w:sz w:val="20"/>
                <w:szCs w:val="20"/>
              </w:rPr>
            </w:pPr>
          </w:p>
        </w:tc>
      </w:tr>
      <w:tr w:rsidR="00000000" w14:paraId="5E452A27" w14:textId="77777777">
        <w:trPr>
          <w:divId w:val="1599943132"/>
          <w:jc w:val="center"/>
        </w:trPr>
        <w:tc>
          <w:tcPr>
            <w:tcW w:w="0" w:type="auto"/>
            <w:gridSpan w:val="3"/>
            <w:tcMar>
              <w:top w:w="0" w:type="dxa"/>
              <w:left w:w="20" w:type="dxa"/>
              <w:bottom w:w="0" w:type="dxa"/>
              <w:right w:w="20" w:type="dxa"/>
            </w:tcMar>
            <w:vAlign w:val="center"/>
            <w:hideMark/>
          </w:tcPr>
          <w:p w14:paraId="676F0E7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A89BB13" w14:textId="77777777" w:rsidR="00000000" w:rsidRDefault="00A173A8">
            <w:pPr>
              <w:spacing w:after="100"/>
              <w:jc w:val="center"/>
              <w:rPr>
                <w:rFonts w:eastAsia="Times New Roman"/>
              </w:rPr>
            </w:pPr>
            <w:r>
              <w:rPr>
                <w:rFonts w:eastAsia="Times New Roman"/>
                <w:color w:val="000000"/>
                <w:sz w:val="16"/>
                <w:szCs w:val="16"/>
              </w:rPr>
              <w:t>30</w:t>
            </w:r>
          </w:p>
        </w:tc>
        <w:tc>
          <w:tcPr>
            <w:tcW w:w="0" w:type="auto"/>
            <w:gridSpan w:val="3"/>
            <w:tcMar>
              <w:top w:w="30" w:type="dxa"/>
              <w:left w:w="20" w:type="dxa"/>
              <w:bottom w:w="30" w:type="dxa"/>
              <w:right w:w="20" w:type="dxa"/>
            </w:tcMar>
            <w:vAlign w:val="bottom"/>
            <w:hideMark/>
          </w:tcPr>
          <w:p w14:paraId="00DAA052"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E6EF522" w14:textId="77777777" w:rsidR="00000000" w:rsidRDefault="00A173A8">
      <w:pPr>
        <w:rPr>
          <w:rFonts w:eastAsia="Times New Roman"/>
        </w:rPr>
      </w:pPr>
      <w:r>
        <w:rPr>
          <w:rFonts w:eastAsia="Times New Roman"/>
        </w:rPr>
        <w:pict w14:anchorId="53BBEEC3">
          <v:rect id="_x0000_i1055" style="width:0;height:1.5pt" o:hralign="center" o:hrstd="t" o:hr="t" fillcolor="#a0a0a0" stroked="f"/>
        </w:pict>
      </w:r>
    </w:p>
    <w:p w14:paraId="21BEEBED" w14:textId="77777777" w:rsidR="00000000" w:rsidRDefault="00A173A8">
      <w:pPr>
        <w:ind w:hanging="360"/>
        <w:jc w:val="both"/>
        <w:divId w:val="959341924"/>
        <w:rPr>
          <w:rFonts w:eastAsia="Times New Roman"/>
        </w:rPr>
      </w:pPr>
      <w:hyperlink w:anchor="i7ffd5d61af6f4722b1b1b07530d51c06_13" w:history="1">
        <w:r>
          <w:rPr>
            <w:rStyle w:val="a3"/>
            <w:rFonts w:eastAsia="Times New Roman"/>
            <w:sz w:val="16"/>
            <w:szCs w:val="16"/>
          </w:rPr>
          <w:t>Table of Contents</w:t>
        </w:r>
      </w:hyperlink>
    </w:p>
    <w:p w14:paraId="346D9D05" w14:textId="77777777" w:rsidR="00000000" w:rsidRDefault="00A173A8">
      <w:pPr>
        <w:jc w:val="both"/>
        <w:divId w:val="315497343"/>
        <w:rPr>
          <w:rFonts w:eastAsia="Times New Roman"/>
        </w:rPr>
      </w:pPr>
      <w:r>
        <w:rPr>
          <w:rFonts w:eastAsia="Times New Roman"/>
          <w:color w:val="000000"/>
          <w:sz w:val="20"/>
          <w:szCs w:val="20"/>
        </w:rPr>
        <w:t xml:space="preserve">uniform “scaling factor” </w:t>
      </w:r>
      <w:r>
        <w:rPr>
          <w:rFonts w:eastAsia="Times New Roman"/>
          <w:color w:val="000000"/>
          <w:sz w:val="20"/>
          <w:szCs w:val="20"/>
        </w:rPr>
        <w:t>of 25% as an approximation of the increase in the allowance under the CECL standard compared to the prior incurred loss methodology. Accordingly, from January 1, 2020 through December 31, 2021, electing banking institutions were permitted to add back to th</w:t>
      </w:r>
      <w:r>
        <w:rPr>
          <w:rFonts w:eastAsia="Times New Roman"/>
          <w:color w:val="000000"/>
          <w:sz w:val="20"/>
          <w:szCs w:val="20"/>
        </w:rPr>
        <w:t>eir regulatory capital an amount equal to the sum of the after-tax “day 1” CECL adoption impact and 25% of the increase in the allowance since the adoption of the CECL standard. From January 1, 2022 through December 31, 2024, the after-tax “day 1” CECL ado</w:t>
      </w:r>
      <w:r>
        <w:rPr>
          <w:rFonts w:eastAsia="Times New Roman"/>
          <w:color w:val="000000"/>
          <w:sz w:val="20"/>
          <w:szCs w:val="20"/>
        </w:rPr>
        <w:t>ption impact and the cumulative “day 2” ongoing impact are being phased in to regulatory capital at 25% per year. The following table summarizes the capital impact delay and phase in period on our regulatory capital from years 2020 to 2025.</w:t>
      </w: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14:paraId="483DB0F8" w14:textId="77777777">
        <w:trPr>
          <w:divId w:val="653146490"/>
        </w:trPr>
        <w:tc>
          <w:tcPr>
            <w:tcW w:w="50" w:type="pct"/>
            <w:vAlign w:val="center"/>
            <w:hideMark/>
          </w:tcPr>
          <w:p w14:paraId="6C2D8BF3" w14:textId="77777777" w:rsidR="00000000" w:rsidRDefault="00A173A8">
            <w:pPr>
              <w:jc w:val="both"/>
              <w:rPr>
                <w:rFonts w:eastAsia="Times New Roman"/>
              </w:rPr>
            </w:pPr>
          </w:p>
        </w:tc>
        <w:tc>
          <w:tcPr>
            <w:tcW w:w="1410" w:type="pct"/>
            <w:vAlign w:val="center"/>
            <w:hideMark/>
          </w:tcPr>
          <w:p w14:paraId="2A5EDFE4" w14:textId="77777777" w:rsidR="00000000" w:rsidRDefault="00A173A8">
            <w:pPr>
              <w:spacing w:after="100"/>
              <w:rPr>
                <w:rFonts w:eastAsia="Times New Roman"/>
                <w:sz w:val="20"/>
                <w:szCs w:val="20"/>
              </w:rPr>
            </w:pPr>
          </w:p>
        </w:tc>
        <w:tc>
          <w:tcPr>
            <w:tcW w:w="5" w:type="pct"/>
            <w:vAlign w:val="center"/>
            <w:hideMark/>
          </w:tcPr>
          <w:p w14:paraId="14BFF5FD" w14:textId="77777777" w:rsidR="00000000" w:rsidRDefault="00A173A8">
            <w:pPr>
              <w:spacing w:after="100"/>
              <w:rPr>
                <w:rFonts w:eastAsia="Times New Roman"/>
                <w:sz w:val="20"/>
                <w:szCs w:val="20"/>
              </w:rPr>
            </w:pPr>
          </w:p>
        </w:tc>
        <w:tc>
          <w:tcPr>
            <w:tcW w:w="5" w:type="pct"/>
            <w:vAlign w:val="center"/>
            <w:hideMark/>
          </w:tcPr>
          <w:p w14:paraId="234C9B51" w14:textId="77777777" w:rsidR="00000000" w:rsidRDefault="00A173A8">
            <w:pPr>
              <w:spacing w:after="100"/>
              <w:rPr>
                <w:rFonts w:eastAsia="Times New Roman"/>
                <w:sz w:val="20"/>
                <w:szCs w:val="20"/>
              </w:rPr>
            </w:pPr>
          </w:p>
        </w:tc>
        <w:tc>
          <w:tcPr>
            <w:tcW w:w="26" w:type="pct"/>
            <w:vAlign w:val="center"/>
            <w:hideMark/>
          </w:tcPr>
          <w:p w14:paraId="4CEF32F0" w14:textId="77777777" w:rsidR="00000000" w:rsidRDefault="00A173A8">
            <w:pPr>
              <w:spacing w:after="100"/>
              <w:rPr>
                <w:rFonts w:eastAsia="Times New Roman"/>
                <w:sz w:val="20"/>
                <w:szCs w:val="20"/>
              </w:rPr>
            </w:pPr>
          </w:p>
        </w:tc>
        <w:tc>
          <w:tcPr>
            <w:tcW w:w="5" w:type="pct"/>
            <w:vAlign w:val="center"/>
            <w:hideMark/>
          </w:tcPr>
          <w:p w14:paraId="0F820A17" w14:textId="77777777" w:rsidR="00000000" w:rsidRDefault="00A173A8">
            <w:pPr>
              <w:spacing w:after="100"/>
              <w:rPr>
                <w:rFonts w:eastAsia="Times New Roman"/>
                <w:sz w:val="20"/>
                <w:szCs w:val="20"/>
              </w:rPr>
            </w:pPr>
          </w:p>
        </w:tc>
        <w:tc>
          <w:tcPr>
            <w:tcW w:w="50" w:type="pct"/>
            <w:vAlign w:val="center"/>
            <w:hideMark/>
          </w:tcPr>
          <w:p w14:paraId="0AC9D339" w14:textId="77777777" w:rsidR="00000000" w:rsidRDefault="00A173A8">
            <w:pPr>
              <w:spacing w:after="100"/>
              <w:rPr>
                <w:rFonts w:eastAsia="Times New Roman"/>
                <w:sz w:val="20"/>
                <w:szCs w:val="20"/>
              </w:rPr>
            </w:pPr>
          </w:p>
        </w:tc>
        <w:tc>
          <w:tcPr>
            <w:tcW w:w="497" w:type="pct"/>
            <w:vAlign w:val="center"/>
            <w:hideMark/>
          </w:tcPr>
          <w:p w14:paraId="7BB8F464" w14:textId="77777777" w:rsidR="00000000" w:rsidRDefault="00A173A8">
            <w:pPr>
              <w:spacing w:after="100"/>
              <w:rPr>
                <w:rFonts w:eastAsia="Times New Roman"/>
                <w:sz w:val="20"/>
                <w:szCs w:val="20"/>
              </w:rPr>
            </w:pPr>
          </w:p>
        </w:tc>
        <w:tc>
          <w:tcPr>
            <w:tcW w:w="5" w:type="pct"/>
            <w:vAlign w:val="center"/>
            <w:hideMark/>
          </w:tcPr>
          <w:p w14:paraId="0184937F" w14:textId="77777777" w:rsidR="00000000" w:rsidRDefault="00A173A8">
            <w:pPr>
              <w:spacing w:after="100"/>
              <w:rPr>
                <w:rFonts w:eastAsia="Times New Roman"/>
                <w:sz w:val="20"/>
                <w:szCs w:val="20"/>
              </w:rPr>
            </w:pPr>
          </w:p>
        </w:tc>
        <w:tc>
          <w:tcPr>
            <w:tcW w:w="5" w:type="pct"/>
            <w:vAlign w:val="center"/>
            <w:hideMark/>
          </w:tcPr>
          <w:p w14:paraId="561B29A8" w14:textId="77777777" w:rsidR="00000000" w:rsidRDefault="00A173A8">
            <w:pPr>
              <w:spacing w:after="100"/>
              <w:rPr>
                <w:rFonts w:eastAsia="Times New Roman"/>
                <w:sz w:val="20"/>
                <w:szCs w:val="20"/>
              </w:rPr>
            </w:pPr>
          </w:p>
        </w:tc>
        <w:tc>
          <w:tcPr>
            <w:tcW w:w="26" w:type="pct"/>
            <w:vAlign w:val="center"/>
            <w:hideMark/>
          </w:tcPr>
          <w:p w14:paraId="6B19E68D" w14:textId="77777777" w:rsidR="00000000" w:rsidRDefault="00A173A8">
            <w:pPr>
              <w:spacing w:after="100"/>
              <w:rPr>
                <w:rFonts w:eastAsia="Times New Roman"/>
                <w:sz w:val="20"/>
                <w:szCs w:val="20"/>
              </w:rPr>
            </w:pPr>
          </w:p>
        </w:tc>
        <w:tc>
          <w:tcPr>
            <w:tcW w:w="5" w:type="pct"/>
            <w:vAlign w:val="center"/>
            <w:hideMark/>
          </w:tcPr>
          <w:p w14:paraId="5BAE9054" w14:textId="77777777" w:rsidR="00000000" w:rsidRDefault="00A173A8">
            <w:pPr>
              <w:spacing w:after="100"/>
              <w:rPr>
                <w:rFonts w:eastAsia="Times New Roman"/>
                <w:sz w:val="20"/>
                <w:szCs w:val="20"/>
              </w:rPr>
            </w:pPr>
          </w:p>
        </w:tc>
        <w:tc>
          <w:tcPr>
            <w:tcW w:w="50" w:type="pct"/>
            <w:vAlign w:val="center"/>
            <w:hideMark/>
          </w:tcPr>
          <w:p w14:paraId="52E3CFF0" w14:textId="77777777" w:rsidR="00000000" w:rsidRDefault="00A173A8">
            <w:pPr>
              <w:spacing w:after="100"/>
              <w:rPr>
                <w:rFonts w:eastAsia="Times New Roman"/>
                <w:sz w:val="20"/>
                <w:szCs w:val="20"/>
              </w:rPr>
            </w:pPr>
          </w:p>
        </w:tc>
        <w:tc>
          <w:tcPr>
            <w:tcW w:w="497" w:type="pct"/>
            <w:vAlign w:val="center"/>
            <w:hideMark/>
          </w:tcPr>
          <w:p w14:paraId="08AD19D6" w14:textId="77777777" w:rsidR="00000000" w:rsidRDefault="00A173A8">
            <w:pPr>
              <w:spacing w:after="100"/>
              <w:rPr>
                <w:rFonts w:eastAsia="Times New Roman"/>
                <w:sz w:val="20"/>
                <w:szCs w:val="20"/>
              </w:rPr>
            </w:pPr>
          </w:p>
        </w:tc>
        <w:tc>
          <w:tcPr>
            <w:tcW w:w="5" w:type="pct"/>
            <w:vAlign w:val="center"/>
            <w:hideMark/>
          </w:tcPr>
          <w:p w14:paraId="73C4CC94" w14:textId="77777777" w:rsidR="00000000" w:rsidRDefault="00A173A8">
            <w:pPr>
              <w:spacing w:after="100"/>
              <w:rPr>
                <w:rFonts w:eastAsia="Times New Roman"/>
                <w:sz w:val="20"/>
                <w:szCs w:val="20"/>
              </w:rPr>
            </w:pPr>
          </w:p>
        </w:tc>
        <w:tc>
          <w:tcPr>
            <w:tcW w:w="5" w:type="pct"/>
            <w:vAlign w:val="center"/>
            <w:hideMark/>
          </w:tcPr>
          <w:p w14:paraId="5FE93F8D" w14:textId="77777777" w:rsidR="00000000" w:rsidRDefault="00A173A8">
            <w:pPr>
              <w:spacing w:after="100"/>
              <w:rPr>
                <w:rFonts w:eastAsia="Times New Roman"/>
                <w:sz w:val="20"/>
                <w:szCs w:val="20"/>
              </w:rPr>
            </w:pPr>
          </w:p>
        </w:tc>
        <w:tc>
          <w:tcPr>
            <w:tcW w:w="26" w:type="pct"/>
            <w:vAlign w:val="center"/>
            <w:hideMark/>
          </w:tcPr>
          <w:p w14:paraId="1237F2BF" w14:textId="77777777" w:rsidR="00000000" w:rsidRDefault="00A173A8">
            <w:pPr>
              <w:spacing w:after="100"/>
              <w:rPr>
                <w:rFonts w:eastAsia="Times New Roman"/>
                <w:sz w:val="20"/>
                <w:szCs w:val="20"/>
              </w:rPr>
            </w:pPr>
          </w:p>
        </w:tc>
        <w:tc>
          <w:tcPr>
            <w:tcW w:w="5" w:type="pct"/>
            <w:vAlign w:val="center"/>
            <w:hideMark/>
          </w:tcPr>
          <w:p w14:paraId="076839CB" w14:textId="77777777" w:rsidR="00000000" w:rsidRDefault="00A173A8">
            <w:pPr>
              <w:spacing w:after="100"/>
              <w:rPr>
                <w:rFonts w:eastAsia="Times New Roman"/>
                <w:sz w:val="20"/>
                <w:szCs w:val="20"/>
              </w:rPr>
            </w:pPr>
          </w:p>
        </w:tc>
        <w:tc>
          <w:tcPr>
            <w:tcW w:w="50" w:type="pct"/>
            <w:vAlign w:val="center"/>
            <w:hideMark/>
          </w:tcPr>
          <w:p w14:paraId="447DE142" w14:textId="77777777" w:rsidR="00000000" w:rsidRDefault="00A173A8">
            <w:pPr>
              <w:spacing w:after="100"/>
              <w:rPr>
                <w:rFonts w:eastAsia="Times New Roman"/>
                <w:sz w:val="20"/>
                <w:szCs w:val="20"/>
              </w:rPr>
            </w:pPr>
          </w:p>
        </w:tc>
        <w:tc>
          <w:tcPr>
            <w:tcW w:w="497" w:type="pct"/>
            <w:vAlign w:val="center"/>
            <w:hideMark/>
          </w:tcPr>
          <w:p w14:paraId="2C3789E1" w14:textId="77777777" w:rsidR="00000000" w:rsidRDefault="00A173A8">
            <w:pPr>
              <w:spacing w:after="100"/>
              <w:rPr>
                <w:rFonts w:eastAsia="Times New Roman"/>
                <w:sz w:val="20"/>
                <w:szCs w:val="20"/>
              </w:rPr>
            </w:pPr>
          </w:p>
        </w:tc>
        <w:tc>
          <w:tcPr>
            <w:tcW w:w="5" w:type="pct"/>
            <w:vAlign w:val="center"/>
            <w:hideMark/>
          </w:tcPr>
          <w:p w14:paraId="69B13B9A" w14:textId="77777777" w:rsidR="00000000" w:rsidRDefault="00A173A8">
            <w:pPr>
              <w:spacing w:after="100"/>
              <w:rPr>
                <w:rFonts w:eastAsia="Times New Roman"/>
                <w:sz w:val="20"/>
                <w:szCs w:val="20"/>
              </w:rPr>
            </w:pPr>
          </w:p>
        </w:tc>
        <w:tc>
          <w:tcPr>
            <w:tcW w:w="5" w:type="pct"/>
            <w:vAlign w:val="center"/>
            <w:hideMark/>
          </w:tcPr>
          <w:p w14:paraId="4F486BFF" w14:textId="77777777" w:rsidR="00000000" w:rsidRDefault="00A173A8">
            <w:pPr>
              <w:spacing w:after="100"/>
              <w:rPr>
                <w:rFonts w:eastAsia="Times New Roman"/>
                <w:sz w:val="20"/>
                <w:szCs w:val="20"/>
              </w:rPr>
            </w:pPr>
          </w:p>
        </w:tc>
        <w:tc>
          <w:tcPr>
            <w:tcW w:w="26" w:type="pct"/>
            <w:vAlign w:val="center"/>
            <w:hideMark/>
          </w:tcPr>
          <w:p w14:paraId="2863E271" w14:textId="77777777" w:rsidR="00000000" w:rsidRDefault="00A173A8">
            <w:pPr>
              <w:spacing w:after="100"/>
              <w:rPr>
                <w:rFonts w:eastAsia="Times New Roman"/>
                <w:sz w:val="20"/>
                <w:szCs w:val="20"/>
              </w:rPr>
            </w:pPr>
          </w:p>
        </w:tc>
        <w:tc>
          <w:tcPr>
            <w:tcW w:w="5" w:type="pct"/>
            <w:vAlign w:val="center"/>
            <w:hideMark/>
          </w:tcPr>
          <w:p w14:paraId="1AF2C37F" w14:textId="77777777" w:rsidR="00000000" w:rsidRDefault="00A173A8">
            <w:pPr>
              <w:spacing w:after="100"/>
              <w:rPr>
                <w:rFonts w:eastAsia="Times New Roman"/>
                <w:sz w:val="20"/>
                <w:szCs w:val="20"/>
              </w:rPr>
            </w:pPr>
          </w:p>
        </w:tc>
        <w:tc>
          <w:tcPr>
            <w:tcW w:w="50" w:type="pct"/>
            <w:vAlign w:val="center"/>
            <w:hideMark/>
          </w:tcPr>
          <w:p w14:paraId="6E42ACAF" w14:textId="77777777" w:rsidR="00000000" w:rsidRDefault="00A173A8">
            <w:pPr>
              <w:spacing w:after="100"/>
              <w:rPr>
                <w:rFonts w:eastAsia="Times New Roman"/>
                <w:sz w:val="20"/>
                <w:szCs w:val="20"/>
              </w:rPr>
            </w:pPr>
          </w:p>
        </w:tc>
        <w:tc>
          <w:tcPr>
            <w:tcW w:w="497" w:type="pct"/>
            <w:vAlign w:val="center"/>
            <w:hideMark/>
          </w:tcPr>
          <w:p w14:paraId="0EE7B5B4" w14:textId="77777777" w:rsidR="00000000" w:rsidRDefault="00A173A8">
            <w:pPr>
              <w:spacing w:after="100"/>
              <w:rPr>
                <w:rFonts w:eastAsia="Times New Roman"/>
                <w:sz w:val="20"/>
                <w:szCs w:val="20"/>
              </w:rPr>
            </w:pPr>
          </w:p>
        </w:tc>
        <w:tc>
          <w:tcPr>
            <w:tcW w:w="5" w:type="pct"/>
            <w:vAlign w:val="center"/>
            <w:hideMark/>
          </w:tcPr>
          <w:p w14:paraId="6A32853E" w14:textId="77777777" w:rsidR="00000000" w:rsidRDefault="00A173A8">
            <w:pPr>
              <w:spacing w:after="100"/>
              <w:rPr>
                <w:rFonts w:eastAsia="Times New Roman"/>
                <w:sz w:val="20"/>
                <w:szCs w:val="20"/>
              </w:rPr>
            </w:pPr>
          </w:p>
        </w:tc>
        <w:tc>
          <w:tcPr>
            <w:tcW w:w="5" w:type="pct"/>
            <w:vAlign w:val="center"/>
            <w:hideMark/>
          </w:tcPr>
          <w:p w14:paraId="2F2E86F9" w14:textId="77777777" w:rsidR="00000000" w:rsidRDefault="00A173A8">
            <w:pPr>
              <w:spacing w:after="100"/>
              <w:rPr>
                <w:rFonts w:eastAsia="Times New Roman"/>
                <w:sz w:val="20"/>
                <w:szCs w:val="20"/>
              </w:rPr>
            </w:pPr>
          </w:p>
        </w:tc>
        <w:tc>
          <w:tcPr>
            <w:tcW w:w="34" w:type="pct"/>
            <w:vAlign w:val="center"/>
            <w:hideMark/>
          </w:tcPr>
          <w:p w14:paraId="26FCC411" w14:textId="77777777" w:rsidR="00000000" w:rsidRDefault="00A173A8">
            <w:pPr>
              <w:spacing w:after="100"/>
              <w:rPr>
                <w:rFonts w:eastAsia="Times New Roman"/>
                <w:sz w:val="20"/>
                <w:szCs w:val="20"/>
              </w:rPr>
            </w:pPr>
          </w:p>
        </w:tc>
        <w:tc>
          <w:tcPr>
            <w:tcW w:w="5" w:type="pct"/>
            <w:vAlign w:val="center"/>
            <w:hideMark/>
          </w:tcPr>
          <w:p w14:paraId="49FA9033" w14:textId="77777777" w:rsidR="00000000" w:rsidRDefault="00A173A8">
            <w:pPr>
              <w:spacing w:after="100"/>
              <w:rPr>
                <w:rFonts w:eastAsia="Times New Roman"/>
                <w:sz w:val="20"/>
                <w:szCs w:val="20"/>
              </w:rPr>
            </w:pPr>
          </w:p>
        </w:tc>
        <w:tc>
          <w:tcPr>
            <w:tcW w:w="50" w:type="pct"/>
            <w:vAlign w:val="center"/>
            <w:hideMark/>
          </w:tcPr>
          <w:p w14:paraId="2C7ACE11" w14:textId="77777777" w:rsidR="00000000" w:rsidRDefault="00A173A8">
            <w:pPr>
              <w:spacing w:after="100"/>
              <w:rPr>
                <w:rFonts w:eastAsia="Times New Roman"/>
                <w:sz w:val="20"/>
                <w:szCs w:val="20"/>
              </w:rPr>
            </w:pPr>
          </w:p>
        </w:tc>
        <w:tc>
          <w:tcPr>
            <w:tcW w:w="497" w:type="pct"/>
            <w:vAlign w:val="center"/>
            <w:hideMark/>
          </w:tcPr>
          <w:p w14:paraId="7E403E56" w14:textId="77777777" w:rsidR="00000000" w:rsidRDefault="00A173A8">
            <w:pPr>
              <w:spacing w:after="100"/>
              <w:rPr>
                <w:rFonts w:eastAsia="Times New Roman"/>
                <w:sz w:val="20"/>
                <w:szCs w:val="20"/>
              </w:rPr>
            </w:pPr>
          </w:p>
        </w:tc>
        <w:tc>
          <w:tcPr>
            <w:tcW w:w="5" w:type="pct"/>
            <w:vAlign w:val="center"/>
            <w:hideMark/>
          </w:tcPr>
          <w:p w14:paraId="01A4531F" w14:textId="77777777" w:rsidR="00000000" w:rsidRDefault="00A173A8">
            <w:pPr>
              <w:spacing w:after="100"/>
              <w:rPr>
                <w:rFonts w:eastAsia="Times New Roman"/>
                <w:sz w:val="20"/>
                <w:szCs w:val="20"/>
              </w:rPr>
            </w:pPr>
          </w:p>
        </w:tc>
        <w:tc>
          <w:tcPr>
            <w:tcW w:w="5" w:type="pct"/>
            <w:vAlign w:val="center"/>
            <w:hideMark/>
          </w:tcPr>
          <w:p w14:paraId="181572B4" w14:textId="77777777" w:rsidR="00000000" w:rsidRDefault="00A173A8">
            <w:pPr>
              <w:spacing w:after="100"/>
              <w:rPr>
                <w:rFonts w:eastAsia="Times New Roman"/>
                <w:sz w:val="20"/>
                <w:szCs w:val="20"/>
              </w:rPr>
            </w:pPr>
          </w:p>
        </w:tc>
        <w:tc>
          <w:tcPr>
            <w:tcW w:w="19" w:type="pct"/>
            <w:vAlign w:val="center"/>
            <w:hideMark/>
          </w:tcPr>
          <w:p w14:paraId="09DE1DD7" w14:textId="77777777" w:rsidR="00000000" w:rsidRDefault="00A173A8">
            <w:pPr>
              <w:spacing w:after="100"/>
              <w:rPr>
                <w:rFonts w:eastAsia="Times New Roman"/>
                <w:sz w:val="20"/>
                <w:szCs w:val="20"/>
              </w:rPr>
            </w:pPr>
          </w:p>
        </w:tc>
        <w:tc>
          <w:tcPr>
            <w:tcW w:w="5" w:type="pct"/>
            <w:vAlign w:val="center"/>
            <w:hideMark/>
          </w:tcPr>
          <w:p w14:paraId="292B73CC" w14:textId="77777777" w:rsidR="00000000" w:rsidRDefault="00A173A8">
            <w:pPr>
              <w:spacing w:after="100"/>
              <w:rPr>
                <w:rFonts w:eastAsia="Times New Roman"/>
                <w:sz w:val="20"/>
                <w:szCs w:val="20"/>
              </w:rPr>
            </w:pPr>
          </w:p>
        </w:tc>
        <w:tc>
          <w:tcPr>
            <w:tcW w:w="50" w:type="pct"/>
            <w:vAlign w:val="center"/>
            <w:hideMark/>
          </w:tcPr>
          <w:p w14:paraId="03061B2A" w14:textId="77777777" w:rsidR="00000000" w:rsidRDefault="00A173A8">
            <w:pPr>
              <w:spacing w:after="100"/>
              <w:rPr>
                <w:rFonts w:eastAsia="Times New Roman"/>
                <w:sz w:val="20"/>
                <w:szCs w:val="20"/>
              </w:rPr>
            </w:pPr>
          </w:p>
        </w:tc>
        <w:tc>
          <w:tcPr>
            <w:tcW w:w="497" w:type="pct"/>
            <w:vAlign w:val="center"/>
            <w:hideMark/>
          </w:tcPr>
          <w:p w14:paraId="1C4CBF03" w14:textId="77777777" w:rsidR="00000000" w:rsidRDefault="00A173A8">
            <w:pPr>
              <w:spacing w:after="100"/>
              <w:rPr>
                <w:rFonts w:eastAsia="Times New Roman"/>
                <w:sz w:val="20"/>
                <w:szCs w:val="20"/>
              </w:rPr>
            </w:pPr>
          </w:p>
        </w:tc>
        <w:tc>
          <w:tcPr>
            <w:tcW w:w="5" w:type="pct"/>
            <w:vAlign w:val="center"/>
            <w:hideMark/>
          </w:tcPr>
          <w:p w14:paraId="4748A062" w14:textId="77777777" w:rsidR="00000000" w:rsidRDefault="00A173A8">
            <w:pPr>
              <w:spacing w:after="100"/>
              <w:rPr>
                <w:rFonts w:eastAsia="Times New Roman"/>
                <w:sz w:val="20"/>
                <w:szCs w:val="20"/>
              </w:rPr>
            </w:pPr>
          </w:p>
        </w:tc>
      </w:tr>
      <w:tr w:rsidR="00000000" w14:paraId="416318AD" w14:textId="77777777">
        <w:trPr>
          <w:divId w:val="653146490"/>
        </w:trPr>
        <w:tc>
          <w:tcPr>
            <w:tcW w:w="0" w:type="auto"/>
            <w:gridSpan w:val="3"/>
            <w:tcMar>
              <w:top w:w="0" w:type="dxa"/>
              <w:left w:w="20" w:type="dxa"/>
              <w:bottom w:w="0" w:type="dxa"/>
              <w:right w:w="20" w:type="dxa"/>
            </w:tcMar>
            <w:vAlign w:val="center"/>
            <w:hideMark/>
          </w:tcPr>
          <w:p w14:paraId="01BB08B1"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4925AB"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4371A3E" w14:textId="77777777" w:rsidR="00000000" w:rsidRDefault="00A173A8">
            <w:pPr>
              <w:spacing w:after="100"/>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14:paraId="40F69683" w14:textId="77777777" w:rsidR="00000000" w:rsidRDefault="00A173A8">
            <w:pPr>
              <w:spacing w:after="100"/>
              <w:jc w:val="center"/>
              <w:rPr>
                <w:rFonts w:eastAsia="Times New Roman"/>
              </w:rPr>
            </w:pPr>
          </w:p>
        </w:tc>
        <w:tc>
          <w:tcPr>
            <w:tcW w:w="0" w:type="auto"/>
            <w:gridSpan w:val="21"/>
            <w:tcMar>
              <w:top w:w="30" w:type="dxa"/>
              <w:left w:w="20" w:type="dxa"/>
              <w:bottom w:w="30" w:type="dxa"/>
              <w:right w:w="20" w:type="dxa"/>
            </w:tcMar>
            <w:vAlign w:val="bottom"/>
            <w:hideMark/>
          </w:tcPr>
          <w:p w14:paraId="4EF8FF33" w14:textId="77777777" w:rsidR="00000000" w:rsidRDefault="00A173A8">
            <w:pPr>
              <w:spacing w:after="100"/>
              <w:jc w:val="center"/>
              <w:rPr>
                <w:rFonts w:eastAsia="Times New Roman"/>
              </w:rPr>
            </w:pPr>
            <w:r>
              <w:rPr>
                <w:rFonts w:eastAsia="Times New Roman"/>
                <w:b/>
                <w:bCs/>
                <w:color w:val="000000"/>
                <w:sz w:val="18"/>
                <w:szCs w:val="18"/>
              </w:rPr>
              <w:t>Phase In Period</w:t>
            </w:r>
          </w:p>
        </w:tc>
      </w:tr>
      <w:tr w:rsidR="00000000" w14:paraId="7D221843" w14:textId="77777777">
        <w:trPr>
          <w:divId w:val="653146490"/>
        </w:trPr>
        <w:tc>
          <w:tcPr>
            <w:tcW w:w="0" w:type="auto"/>
            <w:gridSpan w:val="3"/>
            <w:tcMar>
              <w:top w:w="0" w:type="dxa"/>
              <w:left w:w="20" w:type="dxa"/>
              <w:bottom w:w="0" w:type="dxa"/>
              <w:right w:w="20" w:type="dxa"/>
            </w:tcMar>
            <w:vAlign w:val="center"/>
            <w:hideMark/>
          </w:tcPr>
          <w:p w14:paraId="11B673D3"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F862A5D"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913FAE9" w14:textId="77777777" w:rsidR="00000000" w:rsidRDefault="00A173A8">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14:paraId="0E8DC7A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308FF4" w14:textId="77777777" w:rsidR="00000000" w:rsidRDefault="00A173A8">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120F786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89FB13" w14:textId="77777777" w:rsidR="00000000" w:rsidRDefault="00A173A8">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14:paraId="2671FFF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7473B9" w14:textId="77777777" w:rsidR="00000000" w:rsidRDefault="00A173A8">
            <w:pPr>
              <w:spacing w:after="100"/>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14:paraId="548882B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0C29F6" w14:textId="77777777" w:rsidR="00000000" w:rsidRDefault="00A173A8">
            <w:pPr>
              <w:spacing w:after="100"/>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14:paraId="31B276A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7F4FB8" w14:textId="77777777" w:rsidR="00000000" w:rsidRDefault="00A173A8">
            <w:pPr>
              <w:spacing w:after="100"/>
              <w:jc w:val="center"/>
              <w:rPr>
                <w:rFonts w:eastAsia="Times New Roman"/>
              </w:rPr>
            </w:pPr>
            <w:r>
              <w:rPr>
                <w:rFonts w:eastAsia="Times New Roman"/>
                <w:b/>
                <w:bCs/>
                <w:color w:val="000000"/>
                <w:sz w:val="18"/>
                <w:szCs w:val="18"/>
              </w:rPr>
              <w:t>2025</w:t>
            </w:r>
          </w:p>
        </w:tc>
      </w:tr>
      <w:tr w:rsidR="00000000" w14:paraId="1728AC04" w14:textId="77777777">
        <w:trPr>
          <w:divId w:val="653146490"/>
          <w:trHeight w:val="480"/>
        </w:trPr>
        <w:tc>
          <w:tcPr>
            <w:tcW w:w="0" w:type="auto"/>
            <w:gridSpan w:val="3"/>
            <w:tcBorders>
              <w:top w:val="single" w:sz="8" w:space="0" w:color="000000"/>
            </w:tcBorders>
            <w:tcMar>
              <w:top w:w="30" w:type="dxa"/>
              <w:left w:w="20" w:type="dxa"/>
              <w:bottom w:w="30" w:type="dxa"/>
              <w:right w:w="20" w:type="dxa"/>
            </w:tcMar>
            <w:vAlign w:val="center"/>
            <w:hideMark/>
          </w:tcPr>
          <w:p w14:paraId="2009BB0D" w14:textId="77777777" w:rsidR="00000000" w:rsidRDefault="00A173A8">
            <w:pPr>
              <w:spacing w:after="100"/>
              <w:rPr>
                <w:rFonts w:eastAsia="Times New Roman"/>
              </w:rPr>
            </w:pPr>
            <w:r>
              <w:rPr>
                <w:rFonts w:eastAsia="Times New Roman"/>
                <w:color w:val="000000"/>
                <w:sz w:val="18"/>
                <w:szCs w:val="18"/>
              </w:rPr>
              <w:t>“Day 1” CECL adoption impact</w:t>
            </w:r>
          </w:p>
        </w:tc>
        <w:tc>
          <w:tcPr>
            <w:tcW w:w="0" w:type="auto"/>
            <w:gridSpan w:val="3"/>
            <w:tcMar>
              <w:top w:w="0" w:type="dxa"/>
              <w:left w:w="20" w:type="dxa"/>
              <w:bottom w:w="0" w:type="dxa"/>
              <w:right w:w="20" w:type="dxa"/>
            </w:tcMar>
            <w:vAlign w:val="center"/>
            <w:hideMark/>
          </w:tcPr>
          <w:p w14:paraId="3059AD2D" w14:textId="77777777" w:rsidR="00000000" w:rsidRDefault="00A173A8">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7B556DD0" w14:textId="77777777" w:rsidR="00000000" w:rsidRDefault="00A173A8">
            <w:pPr>
              <w:spacing w:after="100"/>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14:paraId="1762B5EF" w14:textId="77777777" w:rsidR="00000000" w:rsidRDefault="00A173A8">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40EA3E8F" w14:textId="77777777" w:rsidR="00000000" w:rsidRDefault="00A173A8">
            <w:pPr>
              <w:spacing w:after="100"/>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14:paraId="756EB848" w14:textId="77777777" w:rsidR="00000000" w:rsidRDefault="00A173A8">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33A0952C" w14:textId="77777777" w:rsidR="00000000" w:rsidRDefault="00A173A8">
            <w:pPr>
              <w:spacing w:after="100"/>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14:paraId="32878BEE" w14:textId="77777777" w:rsidR="00000000" w:rsidRDefault="00A173A8">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1510063A" w14:textId="77777777" w:rsidR="00000000" w:rsidRDefault="00A173A8">
            <w:pPr>
              <w:spacing w:after="100"/>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14:paraId="22CB8D9A" w14:textId="77777777" w:rsidR="00000000" w:rsidRDefault="00A173A8">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14:paraId="76041F10" w14:textId="77777777" w:rsidR="00000000" w:rsidRDefault="00A173A8">
            <w:pPr>
              <w:spacing w:after="100"/>
              <w:jc w:val="center"/>
              <w:rPr>
                <w:rFonts w:eastAsia="Times New Roman"/>
              </w:rPr>
            </w:pPr>
            <w:r>
              <w:rPr>
                <w:rFonts w:eastAsia="Times New Roman"/>
                <w:color w:val="000000"/>
                <w:sz w:val="18"/>
                <w:szCs w:val="18"/>
              </w:rPr>
              <w:t>Fully Phased In</w:t>
            </w:r>
          </w:p>
        </w:tc>
      </w:tr>
      <w:tr w:rsidR="00000000" w14:paraId="3652DF82" w14:textId="77777777">
        <w:trPr>
          <w:divId w:val="653146490"/>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0E5BCB08" w14:textId="77777777" w:rsidR="00000000" w:rsidRDefault="00A173A8">
            <w:pPr>
              <w:spacing w:after="100"/>
              <w:rPr>
                <w:rFonts w:eastAsia="Times New Roman"/>
              </w:rPr>
            </w:pPr>
            <w:r>
              <w:rPr>
                <w:rFonts w:eastAsia="Times New Roman"/>
                <w:color w:val="000000"/>
                <w:sz w:val="18"/>
                <w:szCs w:val="18"/>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14:paraId="7288A082" w14:textId="77777777" w:rsidR="00000000" w:rsidRDefault="00A173A8">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7E829AAD" w14:textId="77777777" w:rsidR="00000000" w:rsidRDefault="00A173A8">
            <w:pPr>
              <w:spacing w:after="100"/>
              <w:jc w:val="center"/>
              <w:rPr>
                <w:rFonts w:eastAsia="Times New Roman"/>
              </w:rPr>
            </w:pPr>
            <w:r>
              <w:rPr>
                <w:rFonts w:eastAsia="Times New Roman"/>
                <w:color w:val="000000"/>
                <w:sz w:val="18"/>
                <w:szCs w:val="18"/>
              </w:rPr>
              <w:t> </w:t>
            </w:r>
            <w:r>
              <w:rPr>
                <w:rFonts w:eastAsia="Times New Roman"/>
                <w:color w:val="000000"/>
                <w:sz w:val="18"/>
                <w:szCs w:val="18"/>
              </w:rPr>
              <w:t>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14:paraId="7374DE00" w14:textId="77777777" w:rsidR="00000000" w:rsidRDefault="00A173A8">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14:paraId="65758947" w14:textId="77777777" w:rsidR="00000000" w:rsidRDefault="00A173A8">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14:paraId="69205C8E" w14:textId="77777777" w:rsidR="00000000" w:rsidRDefault="00A173A8">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198BA5C8" w14:textId="77777777" w:rsidR="00000000" w:rsidRDefault="00A173A8">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14:paraId="1D63963E" w14:textId="77777777" w:rsidR="00000000" w:rsidRDefault="00A173A8">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10877EED" w14:textId="77777777" w:rsidR="00000000" w:rsidRDefault="00A173A8">
            <w:pPr>
              <w:spacing w:after="100"/>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14:paraId="391CF8A1" w14:textId="77777777" w:rsidR="00000000" w:rsidRDefault="00A173A8">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14:paraId="277B0A9D" w14:textId="77777777" w:rsidR="00000000" w:rsidRDefault="00A173A8">
            <w:pPr>
              <w:spacing w:after="100"/>
              <w:rPr>
                <w:rFonts w:eastAsia="Times New Roman"/>
              </w:rPr>
            </w:pPr>
          </w:p>
        </w:tc>
      </w:tr>
    </w:tbl>
    <w:p w14:paraId="24555A17" w14:textId="77777777" w:rsidR="00000000" w:rsidRDefault="00A173A8">
      <w:pPr>
        <w:jc w:val="both"/>
        <w:divId w:val="311831306"/>
        <w:rPr>
          <w:rFonts w:eastAsia="Times New Roman"/>
        </w:rPr>
      </w:pPr>
      <w:r>
        <w:rPr>
          <w:rFonts w:eastAsia="Times New Roman"/>
          <w:color w:val="000000"/>
          <w:sz w:val="20"/>
          <w:szCs w:val="20"/>
        </w:rPr>
        <w:t xml:space="preserve">As of December 31, 2021, we added back an aggregate amount of $2.4 billion to our regulatory capital pursuant to the CECL Transition Rule. Consistent with the rule, we phased in 25% of this amount, or $599 million, on January 1, 2022, leaving $1.8 billion </w:t>
      </w:r>
      <w:r>
        <w:rPr>
          <w:rFonts w:eastAsia="Times New Roman"/>
          <w:color w:val="000000"/>
          <w:sz w:val="20"/>
          <w:szCs w:val="20"/>
        </w:rPr>
        <w:t xml:space="preserve">to be phased in over 2023-2025. As of June 30, 2022, the Company’s CET1 capital ratio, reflecting the CECL Transition Rule, was </w:t>
      </w:r>
      <w:r>
        <w:rPr>
          <w:rFonts w:eastAsia="Times New Roman"/>
          <w:color w:val="000000"/>
          <w:sz w:val="20"/>
          <w:szCs w:val="20"/>
          <w:shd w:val="clear" w:color="auto" w:fill="FFFFFF"/>
        </w:rPr>
        <w:t xml:space="preserve">12.1% </w:t>
      </w:r>
      <w:r>
        <w:rPr>
          <w:rFonts w:eastAsia="Times New Roman"/>
          <w:color w:val="000000"/>
          <w:sz w:val="20"/>
          <w:szCs w:val="20"/>
        </w:rPr>
        <w:t>and would have been</w:t>
      </w:r>
      <w:r>
        <w:rPr>
          <w:rFonts w:eastAsia="Times New Roman"/>
          <w:color w:val="000000"/>
          <w:sz w:val="20"/>
          <w:szCs w:val="20"/>
          <w:shd w:val="clear" w:color="auto" w:fill="FFFFFF"/>
        </w:rPr>
        <w:t xml:space="preserve"> 11.6</w:t>
      </w:r>
      <w:r>
        <w:rPr>
          <w:rFonts w:eastAsia="Times New Roman"/>
          <w:color w:val="000000"/>
          <w:sz w:val="20"/>
          <w:szCs w:val="20"/>
        </w:rPr>
        <w:t>% excluding the impact of the CECL Transition Rule (or "on a fully phased-in basis").</w:t>
      </w:r>
    </w:p>
    <w:p w14:paraId="796DF25A" w14:textId="77777777" w:rsidR="00000000" w:rsidRDefault="00A173A8">
      <w:pPr>
        <w:divId w:val="835682295"/>
        <w:rPr>
          <w:rFonts w:eastAsia="Times New Roman"/>
        </w:rPr>
      </w:pPr>
      <w:r>
        <w:rPr>
          <w:rFonts w:eastAsia="Times New Roman"/>
          <w:color w:val="000000"/>
          <w:sz w:val="20"/>
          <w:szCs w:val="20"/>
        </w:rPr>
        <w:t>For the description of the regulatory capital rules to which we are subject, see “MD&amp;A—Supervision and Regulation” of this Report as well as “Part I—Item 1. Business—Supe</w:t>
      </w:r>
      <w:r>
        <w:rPr>
          <w:rFonts w:eastAsia="Times New Roman"/>
          <w:color w:val="000000"/>
          <w:sz w:val="20"/>
          <w:szCs w:val="20"/>
        </w:rPr>
        <w:t>rvision and Regulation” in our 2021 Form 10-K.</w:t>
      </w:r>
    </w:p>
    <w:p w14:paraId="09F76A46" w14:textId="77777777" w:rsidR="00000000" w:rsidRDefault="00A173A8">
      <w:pPr>
        <w:jc w:val="both"/>
        <w:divId w:val="1507359508"/>
        <w:rPr>
          <w:rFonts w:eastAsia="Times New Roman"/>
        </w:rPr>
      </w:pPr>
      <w:r>
        <w:rPr>
          <w:rFonts w:eastAsia="Times New Roman"/>
          <w:color w:val="000000"/>
          <w:sz w:val="20"/>
          <w:szCs w:val="20"/>
        </w:rPr>
        <w:t xml:space="preserve">Table 13 provides a comparison of our regulatory capital ratios under the Basel III Standardized Approach, the regulatory minimum capital adequacy ratios and the applicable well-capitalized standards as of June 30, 2022 and December 31, 2021. </w:t>
      </w:r>
    </w:p>
    <w:p w14:paraId="73B4B167" w14:textId="77777777" w:rsidR="00000000" w:rsidRDefault="00A173A8">
      <w:pPr>
        <w:divId w:val="1537154772"/>
        <w:rPr>
          <w:rFonts w:eastAsia="Times New Roman"/>
        </w:rPr>
      </w:pPr>
      <w:r>
        <w:rPr>
          <w:rFonts w:eastAsia="Times New Roman"/>
          <w:b/>
          <w:bCs/>
          <w:color w:val="000000"/>
          <w:sz w:val="18"/>
          <w:szCs w:val="18"/>
        </w:rPr>
        <w:t>Table 13: Ca</w:t>
      </w:r>
      <w:r>
        <w:rPr>
          <w:rFonts w:eastAsia="Times New Roman"/>
          <w:b/>
          <w:bCs/>
          <w:color w:val="000000"/>
          <w:sz w:val="18"/>
          <w:szCs w:val="18"/>
        </w:rPr>
        <w:t>pital Ratios Under Basel II</w:t>
      </w:r>
      <w:r>
        <w:rPr>
          <w:rFonts w:eastAsia="Times New Roman"/>
          <w:b/>
          <w:bCs/>
          <w:color w:val="000000"/>
          <w:sz w:val="18"/>
          <w:szCs w:val="18"/>
        </w:rPr>
        <w:t>I</w:t>
      </w:r>
      <w:r>
        <w:rPr>
          <w:rFonts w:eastAsia="Times New Roman"/>
          <w:b/>
          <w:bCs/>
          <w:color w:val="000000"/>
          <w:sz w:val="12"/>
          <w:szCs w:val="12"/>
        </w:rPr>
        <w:t>(1)(2</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1566"/>
        <w:gridCol w:w="37"/>
        <w:gridCol w:w="36"/>
        <w:gridCol w:w="36"/>
        <w:gridCol w:w="36"/>
        <w:gridCol w:w="60"/>
        <w:gridCol w:w="442"/>
        <w:gridCol w:w="220"/>
        <w:gridCol w:w="36"/>
        <w:gridCol w:w="36"/>
        <w:gridCol w:w="36"/>
        <w:gridCol w:w="95"/>
        <w:gridCol w:w="792"/>
        <w:gridCol w:w="220"/>
        <w:gridCol w:w="36"/>
        <w:gridCol w:w="36"/>
        <w:gridCol w:w="36"/>
        <w:gridCol w:w="96"/>
        <w:gridCol w:w="913"/>
        <w:gridCol w:w="220"/>
        <w:gridCol w:w="36"/>
        <w:gridCol w:w="36"/>
        <w:gridCol w:w="36"/>
        <w:gridCol w:w="60"/>
        <w:gridCol w:w="442"/>
        <w:gridCol w:w="187"/>
        <w:gridCol w:w="36"/>
        <w:gridCol w:w="36"/>
        <w:gridCol w:w="36"/>
        <w:gridCol w:w="95"/>
        <w:gridCol w:w="792"/>
        <w:gridCol w:w="187"/>
        <w:gridCol w:w="36"/>
        <w:gridCol w:w="36"/>
        <w:gridCol w:w="36"/>
        <w:gridCol w:w="96"/>
        <w:gridCol w:w="913"/>
        <w:gridCol w:w="187"/>
      </w:tblGrid>
      <w:tr w:rsidR="00000000" w14:paraId="58D290B7" w14:textId="77777777">
        <w:trPr>
          <w:divId w:val="422608506"/>
        </w:trPr>
        <w:tc>
          <w:tcPr>
            <w:tcW w:w="50" w:type="pct"/>
            <w:vAlign w:val="center"/>
            <w:hideMark/>
          </w:tcPr>
          <w:p w14:paraId="7606C289" w14:textId="77777777" w:rsidR="00000000" w:rsidRDefault="00A173A8">
            <w:pPr>
              <w:rPr>
                <w:rFonts w:eastAsia="Times New Roman"/>
              </w:rPr>
            </w:pPr>
          </w:p>
        </w:tc>
        <w:tc>
          <w:tcPr>
            <w:tcW w:w="1860" w:type="pct"/>
            <w:vAlign w:val="center"/>
            <w:hideMark/>
          </w:tcPr>
          <w:p w14:paraId="7C62075D" w14:textId="77777777" w:rsidR="00000000" w:rsidRDefault="00A173A8">
            <w:pPr>
              <w:spacing w:after="100"/>
              <w:rPr>
                <w:rFonts w:eastAsia="Times New Roman"/>
                <w:sz w:val="20"/>
                <w:szCs w:val="20"/>
              </w:rPr>
            </w:pPr>
          </w:p>
        </w:tc>
        <w:tc>
          <w:tcPr>
            <w:tcW w:w="5" w:type="pct"/>
            <w:vAlign w:val="center"/>
            <w:hideMark/>
          </w:tcPr>
          <w:p w14:paraId="57C175E4" w14:textId="77777777" w:rsidR="00000000" w:rsidRDefault="00A173A8">
            <w:pPr>
              <w:spacing w:after="100"/>
              <w:rPr>
                <w:rFonts w:eastAsia="Times New Roman"/>
                <w:sz w:val="20"/>
                <w:szCs w:val="20"/>
              </w:rPr>
            </w:pPr>
          </w:p>
        </w:tc>
        <w:tc>
          <w:tcPr>
            <w:tcW w:w="5" w:type="pct"/>
            <w:vAlign w:val="center"/>
            <w:hideMark/>
          </w:tcPr>
          <w:p w14:paraId="33D49674" w14:textId="77777777" w:rsidR="00000000" w:rsidRDefault="00A173A8">
            <w:pPr>
              <w:spacing w:after="100"/>
              <w:rPr>
                <w:rFonts w:eastAsia="Times New Roman"/>
                <w:sz w:val="20"/>
                <w:szCs w:val="20"/>
              </w:rPr>
            </w:pPr>
          </w:p>
        </w:tc>
        <w:tc>
          <w:tcPr>
            <w:tcW w:w="26" w:type="pct"/>
            <w:vAlign w:val="center"/>
            <w:hideMark/>
          </w:tcPr>
          <w:p w14:paraId="7D9CA5D2" w14:textId="77777777" w:rsidR="00000000" w:rsidRDefault="00A173A8">
            <w:pPr>
              <w:spacing w:after="100"/>
              <w:rPr>
                <w:rFonts w:eastAsia="Times New Roman"/>
                <w:sz w:val="20"/>
                <w:szCs w:val="20"/>
              </w:rPr>
            </w:pPr>
          </w:p>
        </w:tc>
        <w:tc>
          <w:tcPr>
            <w:tcW w:w="5" w:type="pct"/>
            <w:vAlign w:val="center"/>
            <w:hideMark/>
          </w:tcPr>
          <w:p w14:paraId="7D9266A4" w14:textId="77777777" w:rsidR="00000000" w:rsidRDefault="00A173A8">
            <w:pPr>
              <w:spacing w:after="100"/>
              <w:rPr>
                <w:rFonts w:eastAsia="Times New Roman"/>
                <w:sz w:val="20"/>
                <w:szCs w:val="20"/>
              </w:rPr>
            </w:pPr>
          </w:p>
        </w:tc>
        <w:tc>
          <w:tcPr>
            <w:tcW w:w="50" w:type="pct"/>
            <w:vAlign w:val="center"/>
            <w:hideMark/>
          </w:tcPr>
          <w:p w14:paraId="74789D6F" w14:textId="77777777" w:rsidR="00000000" w:rsidRDefault="00A173A8">
            <w:pPr>
              <w:spacing w:after="100"/>
              <w:rPr>
                <w:rFonts w:eastAsia="Times New Roman"/>
                <w:sz w:val="20"/>
                <w:szCs w:val="20"/>
              </w:rPr>
            </w:pPr>
          </w:p>
        </w:tc>
        <w:tc>
          <w:tcPr>
            <w:tcW w:w="368" w:type="pct"/>
            <w:vAlign w:val="center"/>
            <w:hideMark/>
          </w:tcPr>
          <w:p w14:paraId="523C8EE7" w14:textId="77777777" w:rsidR="00000000" w:rsidRDefault="00A173A8">
            <w:pPr>
              <w:spacing w:after="100"/>
              <w:rPr>
                <w:rFonts w:eastAsia="Times New Roman"/>
                <w:sz w:val="20"/>
                <w:szCs w:val="20"/>
              </w:rPr>
            </w:pPr>
          </w:p>
        </w:tc>
        <w:tc>
          <w:tcPr>
            <w:tcW w:w="5" w:type="pct"/>
            <w:vAlign w:val="center"/>
            <w:hideMark/>
          </w:tcPr>
          <w:p w14:paraId="78431D30" w14:textId="77777777" w:rsidR="00000000" w:rsidRDefault="00A173A8">
            <w:pPr>
              <w:spacing w:after="100"/>
              <w:rPr>
                <w:rFonts w:eastAsia="Times New Roman"/>
                <w:sz w:val="20"/>
                <w:szCs w:val="20"/>
              </w:rPr>
            </w:pPr>
          </w:p>
        </w:tc>
        <w:tc>
          <w:tcPr>
            <w:tcW w:w="5" w:type="pct"/>
            <w:vAlign w:val="center"/>
            <w:hideMark/>
          </w:tcPr>
          <w:p w14:paraId="41C3C282" w14:textId="77777777" w:rsidR="00000000" w:rsidRDefault="00A173A8">
            <w:pPr>
              <w:spacing w:after="100"/>
              <w:rPr>
                <w:rFonts w:eastAsia="Times New Roman"/>
                <w:sz w:val="20"/>
                <w:szCs w:val="20"/>
              </w:rPr>
            </w:pPr>
          </w:p>
        </w:tc>
        <w:tc>
          <w:tcPr>
            <w:tcW w:w="26" w:type="pct"/>
            <w:vAlign w:val="center"/>
            <w:hideMark/>
          </w:tcPr>
          <w:p w14:paraId="0E09C9AD" w14:textId="77777777" w:rsidR="00000000" w:rsidRDefault="00A173A8">
            <w:pPr>
              <w:spacing w:after="100"/>
              <w:rPr>
                <w:rFonts w:eastAsia="Times New Roman"/>
                <w:sz w:val="20"/>
                <w:szCs w:val="20"/>
              </w:rPr>
            </w:pPr>
          </w:p>
        </w:tc>
        <w:tc>
          <w:tcPr>
            <w:tcW w:w="5" w:type="pct"/>
            <w:vAlign w:val="center"/>
            <w:hideMark/>
          </w:tcPr>
          <w:p w14:paraId="288A9A29" w14:textId="77777777" w:rsidR="00000000" w:rsidRDefault="00A173A8">
            <w:pPr>
              <w:spacing w:after="100"/>
              <w:rPr>
                <w:rFonts w:eastAsia="Times New Roman"/>
                <w:sz w:val="20"/>
                <w:szCs w:val="20"/>
              </w:rPr>
            </w:pPr>
          </w:p>
        </w:tc>
        <w:tc>
          <w:tcPr>
            <w:tcW w:w="50" w:type="pct"/>
            <w:vAlign w:val="center"/>
            <w:hideMark/>
          </w:tcPr>
          <w:p w14:paraId="6848E617" w14:textId="77777777" w:rsidR="00000000" w:rsidRDefault="00A173A8">
            <w:pPr>
              <w:spacing w:after="100"/>
              <w:rPr>
                <w:rFonts w:eastAsia="Times New Roman"/>
                <w:sz w:val="20"/>
                <w:szCs w:val="20"/>
              </w:rPr>
            </w:pPr>
          </w:p>
        </w:tc>
        <w:tc>
          <w:tcPr>
            <w:tcW w:w="420" w:type="pct"/>
            <w:vAlign w:val="center"/>
            <w:hideMark/>
          </w:tcPr>
          <w:p w14:paraId="4FB00055" w14:textId="77777777" w:rsidR="00000000" w:rsidRDefault="00A173A8">
            <w:pPr>
              <w:spacing w:after="100"/>
              <w:rPr>
                <w:rFonts w:eastAsia="Times New Roman"/>
                <w:sz w:val="20"/>
                <w:szCs w:val="20"/>
              </w:rPr>
            </w:pPr>
          </w:p>
        </w:tc>
        <w:tc>
          <w:tcPr>
            <w:tcW w:w="5" w:type="pct"/>
            <w:vAlign w:val="center"/>
            <w:hideMark/>
          </w:tcPr>
          <w:p w14:paraId="2E09A003" w14:textId="77777777" w:rsidR="00000000" w:rsidRDefault="00A173A8">
            <w:pPr>
              <w:spacing w:after="100"/>
              <w:rPr>
                <w:rFonts w:eastAsia="Times New Roman"/>
                <w:sz w:val="20"/>
                <w:szCs w:val="20"/>
              </w:rPr>
            </w:pPr>
          </w:p>
        </w:tc>
        <w:tc>
          <w:tcPr>
            <w:tcW w:w="5" w:type="pct"/>
            <w:vAlign w:val="center"/>
            <w:hideMark/>
          </w:tcPr>
          <w:p w14:paraId="424C527B" w14:textId="77777777" w:rsidR="00000000" w:rsidRDefault="00A173A8">
            <w:pPr>
              <w:spacing w:after="100"/>
              <w:rPr>
                <w:rFonts w:eastAsia="Times New Roman"/>
                <w:sz w:val="20"/>
                <w:szCs w:val="20"/>
              </w:rPr>
            </w:pPr>
          </w:p>
        </w:tc>
        <w:tc>
          <w:tcPr>
            <w:tcW w:w="26" w:type="pct"/>
            <w:vAlign w:val="center"/>
            <w:hideMark/>
          </w:tcPr>
          <w:p w14:paraId="050505CA" w14:textId="77777777" w:rsidR="00000000" w:rsidRDefault="00A173A8">
            <w:pPr>
              <w:spacing w:after="100"/>
              <w:rPr>
                <w:rFonts w:eastAsia="Times New Roman"/>
                <w:sz w:val="20"/>
                <w:szCs w:val="20"/>
              </w:rPr>
            </w:pPr>
          </w:p>
        </w:tc>
        <w:tc>
          <w:tcPr>
            <w:tcW w:w="5" w:type="pct"/>
            <w:vAlign w:val="center"/>
            <w:hideMark/>
          </w:tcPr>
          <w:p w14:paraId="2CBBC657" w14:textId="77777777" w:rsidR="00000000" w:rsidRDefault="00A173A8">
            <w:pPr>
              <w:spacing w:after="100"/>
              <w:rPr>
                <w:rFonts w:eastAsia="Times New Roman"/>
                <w:sz w:val="20"/>
                <w:szCs w:val="20"/>
              </w:rPr>
            </w:pPr>
          </w:p>
        </w:tc>
        <w:tc>
          <w:tcPr>
            <w:tcW w:w="50" w:type="pct"/>
            <w:vAlign w:val="center"/>
            <w:hideMark/>
          </w:tcPr>
          <w:p w14:paraId="3AB4B4AC" w14:textId="77777777" w:rsidR="00000000" w:rsidRDefault="00A173A8">
            <w:pPr>
              <w:spacing w:after="100"/>
              <w:rPr>
                <w:rFonts w:eastAsia="Times New Roman"/>
                <w:sz w:val="20"/>
                <w:szCs w:val="20"/>
              </w:rPr>
            </w:pPr>
          </w:p>
        </w:tc>
        <w:tc>
          <w:tcPr>
            <w:tcW w:w="478" w:type="pct"/>
            <w:vAlign w:val="center"/>
            <w:hideMark/>
          </w:tcPr>
          <w:p w14:paraId="418405BF" w14:textId="77777777" w:rsidR="00000000" w:rsidRDefault="00A173A8">
            <w:pPr>
              <w:spacing w:after="100"/>
              <w:rPr>
                <w:rFonts w:eastAsia="Times New Roman"/>
                <w:sz w:val="20"/>
                <w:szCs w:val="20"/>
              </w:rPr>
            </w:pPr>
          </w:p>
        </w:tc>
        <w:tc>
          <w:tcPr>
            <w:tcW w:w="5" w:type="pct"/>
            <w:vAlign w:val="center"/>
            <w:hideMark/>
          </w:tcPr>
          <w:p w14:paraId="00DD535F" w14:textId="77777777" w:rsidR="00000000" w:rsidRDefault="00A173A8">
            <w:pPr>
              <w:spacing w:after="100"/>
              <w:rPr>
                <w:rFonts w:eastAsia="Times New Roman"/>
                <w:sz w:val="20"/>
                <w:szCs w:val="20"/>
              </w:rPr>
            </w:pPr>
          </w:p>
        </w:tc>
        <w:tc>
          <w:tcPr>
            <w:tcW w:w="5" w:type="pct"/>
            <w:vAlign w:val="center"/>
            <w:hideMark/>
          </w:tcPr>
          <w:p w14:paraId="45D414F7" w14:textId="77777777" w:rsidR="00000000" w:rsidRDefault="00A173A8">
            <w:pPr>
              <w:spacing w:after="100"/>
              <w:rPr>
                <w:rFonts w:eastAsia="Times New Roman"/>
                <w:sz w:val="20"/>
                <w:szCs w:val="20"/>
              </w:rPr>
            </w:pPr>
          </w:p>
        </w:tc>
        <w:tc>
          <w:tcPr>
            <w:tcW w:w="26" w:type="pct"/>
            <w:vAlign w:val="center"/>
            <w:hideMark/>
          </w:tcPr>
          <w:p w14:paraId="74351D12" w14:textId="77777777" w:rsidR="00000000" w:rsidRDefault="00A173A8">
            <w:pPr>
              <w:spacing w:after="100"/>
              <w:rPr>
                <w:rFonts w:eastAsia="Times New Roman"/>
                <w:sz w:val="20"/>
                <w:szCs w:val="20"/>
              </w:rPr>
            </w:pPr>
          </w:p>
        </w:tc>
        <w:tc>
          <w:tcPr>
            <w:tcW w:w="5" w:type="pct"/>
            <w:vAlign w:val="center"/>
            <w:hideMark/>
          </w:tcPr>
          <w:p w14:paraId="34A942EF" w14:textId="77777777" w:rsidR="00000000" w:rsidRDefault="00A173A8">
            <w:pPr>
              <w:spacing w:after="100"/>
              <w:rPr>
                <w:rFonts w:eastAsia="Times New Roman"/>
                <w:sz w:val="20"/>
                <w:szCs w:val="20"/>
              </w:rPr>
            </w:pPr>
          </w:p>
        </w:tc>
        <w:tc>
          <w:tcPr>
            <w:tcW w:w="50" w:type="pct"/>
            <w:vAlign w:val="center"/>
            <w:hideMark/>
          </w:tcPr>
          <w:p w14:paraId="5C79AD5A" w14:textId="77777777" w:rsidR="00000000" w:rsidRDefault="00A173A8">
            <w:pPr>
              <w:spacing w:after="100"/>
              <w:rPr>
                <w:rFonts w:eastAsia="Times New Roman"/>
                <w:sz w:val="20"/>
                <w:szCs w:val="20"/>
              </w:rPr>
            </w:pPr>
          </w:p>
        </w:tc>
        <w:tc>
          <w:tcPr>
            <w:tcW w:w="368" w:type="pct"/>
            <w:vAlign w:val="center"/>
            <w:hideMark/>
          </w:tcPr>
          <w:p w14:paraId="42FC506E" w14:textId="77777777" w:rsidR="00000000" w:rsidRDefault="00A173A8">
            <w:pPr>
              <w:spacing w:after="100"/>
              <w:rPr>
                <w:rFonts w:eastAsia="Times New Roman"/>
                <w:sz w:val="20"/>
                <w:szCs w:val="20"/>
              </w:rPr>
            </w:pPr>
          </w:p>
        </w:tc>
        <w:tc>
          <w:tcPr>
            <w:tcW w:w="5" w:type="pct"/>
            <w:vAlign w:val="center"/>
            <w:hideMark/>
          </w:tcPr>
          <w:p w14:paraId="64A653AA" w14:textId="77777777" w:rsidR="00000000" w:rsidRDefault="00A173A8">
            <w:pPr>
              <w:spacing w:after="100"/>
              <w:rPr>
                <w:rFonts w:eastAsia="Times New Roman"/>
                <w:sz w:val="20"/>
                <w:szCs w:val="20"/>
              </w:rPr>
            </w:pPr>
          </w:p>
        </w:tc>
        <w:tc>
          <w:tcPr>
            <w:tcW w:w="5" w:type="pct"/>
            <w:vAlign w:val="center"/>
            <w:hideMark/>
          </w:tcPr>
          <w:p w14:paraId="5BE49A71" w14:textId="77777777" w:rsidR="00000000" w:rsidRDefault="00A173A8">
            <w:pPr>
              <w:spacing w:after="100"/>
              <w:rPr>
                <w:rFonts w:eastAsia="Times New Roman"/>
                <w:sz w:val="20"/>
                <w:szCs w:val="20"/>
              </w:rPr>
            </w:pPr>
          </w:p>
        </w:tc>
        <w:tc>
          <w:tcPr>
            <w:tcW w:w="26" w:type="pct"/>
            <w:vAlign w:val="center"/>
            <w:hideMark/>
          </w:tcPr>
          <w:p w14:paraId="6C05BA4A" w14:textId="77777777" w:rsidR="00000000" w:rsidRDefault="00A173A8">
            <w:pPr>
              <w:spacing w:after="100"/>
              <w:rPr>
                <w:rFonts w:eastAsia="Times New Roman"/>
                <w:sz w:val="20"/>
                <w:szCs w:val="20"/>
              </w:rPr>
            </w:pPr>
          </w:p>
        </w:tc>
        <w:tc>
          <w:tcPr>
            <w:tcW w:w="5" w:type="pct"/>
            <w:vAlign w:val="center"/>
            <w:hideMark/>
          </w:tcPr>
          <w:p w14:paraId="32C88F89" w14:textId="77777777" w:rsidR="00000000" w:rsidRDefault="00A173A8">
            <w:pPr>
              <w:spacing w:after="100"/>
              <w:rPr>
                <w:rFonts w:eastAsia="Times New Roman"/>
                <w:sz w:val="20"/>
                <w:szCs w:val="20"/>
              </w:rPr>
            </w:pPr>
          </w:p>
        </w:tc>
        <w:tc>
          <w:tcPr>
            <w:tcW w:w="50" w:type="pct"/>
            <w:vAlign w:val="center"/>
            <w:hideMark/>
          </w:tcPr>
          <w:p w14:paraId="53374EEA" w14:textId="77777777" w:rsidR="00000000" w:rsidRDefault="00A173A8">
            <w:pPr>
              <w:spacing w:after="100"/>
              <w:rPr>
                <w:rFonts w:eastAsia="Times New Roman"/>
                <w:sz w:val="20"/>
                <w:szCs w:val="20"/>
              </w:rPr>
            </w:pPr>
          </w:p>
        </w:tc>
        <w:tc>
          <w:tcPr>
            <w:tcW w:w="420" w:type="pct"/>
            <w:vAlign w:val="center"/>
            <w:hideMark/>
          </w:tcPr>
          <w:p w14:paraId="0BDB402D" w14:textId="77777777" w:rsidR="00000000" w:rsidRDefault="00A173A8">
            <w:pPr>
              <w:spacing w:after="100"/>
              <w:rPr>
                <w:rFonts w:eastAsia="Times New Roman"/>
                <w:sz w:val="20"/>
                <w:szCs w:val="20"/>
              </w:rPr>
            </w:pPr>
          </w:p>
        </w:tc>
        <w:tc>
          <w:tcPr>
            <w:tcW w:w="5" w:type="pct"/>
            <w:vAlign w:val="center"/>
            <w:hideMark/>
          </w:tcPr>
          <w:p w14:paraId="7539B7AA" w14:textId="77777777" w:rsidR="00000000" w:rsidRDefault="00A173A8">
            <w:pPr>
              <w:spacing w:after="100"/>
              <w:rPr>
                <w:rFonts w:eastAsia="Times New Roman"/>
                <w:sz w:val="20"/>
                <w:szCs w:val="20"/>
              </w:rPr>
            </w:pPr>
          </w:p>
        </w:tc>
        <w:tc>
          <w:tcPr>
            <w:tcW w:w="5" w:type="pct"/>
            <w:vAlign w:val="center"/>
            <w:hideMark/>
          </w:tcPr>
          <w:p w14:paraId="4247F33D" w14:textId="77777777" w:rsidR="00000000" w:rsidRDefault="00A173A8">
            <w:pPr>
              <w:spacing w:after="100"/>
              <w:rPr>
                <w:rFonts w:eastAsia="Times New Roman"/>
                <w:sz w:val="20"/>
                <w:szCs w:val="20"/>
              </w:rPr>
            </w:pPr>
          </w:p>
        </w:tc>
        <w:tc>
          <w:tcPr>
            <w:tcW w:w="26" w:type="pct"/>
            <w:vAlign w:val="center"/>
            <w:hideMark/>
          </w:tcPr>
          <w:p w14:paraId="5D4B3603" w14:textId="77777777" w:rsidR="00000000" w:rsidRDefault="00A173A8">
            <w:pPr>
              <w:spacing w:after="100"/>
              <w:rPr>
                <w:rFonts w:eastAsia="Times New Roman"/>
                <w:sz w:val="20"/>
                <w:szCs w:val="20"/>
              </w:rPr>
            </w:pPr>
          </w:p>
        </w:tc>
        <w:tc>
          <w:tcPr>
            <w:tcW w:w="5" w:type="pct"/>
            <w:vAlign w:val="center"/>
            <w:hideMark/>
          </w:tcPr>
          <w:p w14:paraId="2963FC8A" w14:textId="77777777" w:rsidR="00000000" w:rsidRDefault="00A173A8">
            <w:pPr>
              <w:spacing w:after="100"/>
              <w:rPr>
                <w:rFonts w:eastAsia="Times New Roman"/>
                <w:sz w:val="20"/>
                <w:szCs w:val="20"/>
              </w:rPr>
            </w:pPr>
          </w:p>
        </w:tc>
        <w:tc>
          <w:tcPr>
            <w:tcW w:w="50" w:type="pct"/>
            <w:vAlign w:val="center"/>
            <w:hideMark/>
          </w:tcPr>
          <w:p w14:paraId="7BDBFFBD" w14:textId="77777777" w:rsidR="00000000" w:rsidRDefault="00A173A8">
            <w:pPr>
              <w:spacing w:after="100"/>
              <w:rPr>
                <w:rFonts w:eastAsia="Times New Roman"/>
                <w:sz w:val="20"/>
                <w:szCs w:val="20"/>
              </w:rPr>
            </w:pPr>
          </w:p>
        </w:tc>
        <w:tc>
          <w:tcPr>
            <w:tcW w:w="479" w:type="pct"/>
            <w:vAlign w:val="center"/>
            <w:hideMark/>
          </w:tcPr>
          <w:p w14:paraId="41EEEC0C" w14:textId="77777777" w:rsidR="00000000" w:rsidRDefault="00A173A8">
            <w:pPr>
              <w:spacing w:after="100"/>
              <w:rPr>
                <w:rFonts w:eastAsia="Times New Roman"/>
                <w:sz w:val="20"/>
                <w:szCs w:val="20"/>
              </w:rPr>
            </w:pPr>
          </w:p>
        </w:tc>
        <w:tc>
          <w:tcPr>
            <w:tcW w:w="5" w:type="pct"/>
            <w:vAlign w:val="center"/>
            <w:hideMark/>
          </w:tcPr>
          <w:p w14:paraId="05E261E7" w14:textId="77777777" w:rsidR="00000000" w:rsidRDefault="00A173A8">
            <w:pPr>
              <w:spacing w:after="100"/>
              <w:rPr>
                <w:rFonts w:eastAsia="Times New Roman"/>
                <w:sz w:val="20"/>
                <w:szCs w:val="20"/>
              </w:rPr>
            </w:pPr>
          </w:p>
        </w:tc>
      </w:tr>
      <w:tr w:rsidR="00000000" w14:paraId="4A1144E6" w14:textId="77777777">
        <w:trPr>
          <w:divId w:val="422608506"/>
        </w:trPr>
        <w:tc>
          <w:tcPr>
            <w:tcW w:w="0" w:type="auto"/>
            <w:gridSpan w:val="3"/>
            <w:tcMar>
              <w:top w:w="30" w:type="dxa"/>
              <w:left w:w="20" w:type="dxa"/>
              <w:bottom w:w="30" w:type="dxa"/>
              <w:right w:w="20" w:type="dxa"/>
            </w:tcMar>
            <w:vAlign w:val="bottom"/>
            <w:hideMark/>
          </w:tcPr>
          <w:p w14:paraId="2106A65B"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728BDCA" w14:textId="77777777" w:rsidR="00000000" w:rsidRDefault="00A173A8">
            <w:pPr>
              <w:spacing w:after="100"/>
              <w:rPr>
                <w:rFonts w:eastAsia="Times New Roman"/>
              </w:rPr>
            </w:pPr>
          </w:p>
        </w:tc>
        <w:tc>
          <w:tcPr>
            <w:tcW w:w="0" w:type="auto"/>
            <w:gridSpan w:val="15"/>
            <w:tcMar>
              <w:top w:w="30" w:type="dxa"/>
              <w:left w:w="20" w:type="dxa"/>
              <w:bottom w:w="30" w:type="dxa"/>
              <w:right w:w="20" w:type="dxa"/>
            </w:tcMar>
            <w:vAlign w:val="bottom"/>
            <w:hideMark/>
          </w:tcPr>
          <w:p w14:paraId="1105A1DD"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201F4699" w14:textId="77777777" w:rsidR="00000000" w:rsidRDefault="00A173A8">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6AE40E9B"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4A38A404" w14:textId="77777777">
        <w:trPr>
          <w:divId w:val="422608506"/>
        </w:trPr>
        <w:tc>
          <w:tcPr>
            <w:tcW w:w="0" w:type="auto"/>
            <w:gridSpan w:val="3"/>
            <w:tcBorders>
              <w:bottom w:val="single" w:sz="8" w:space="0" w:color="000000"/>
            </w:tcBorders>
            <w:tcMar>
              <w:top w:w="0" w:type="dxa"/>
              <w:left w:w="20" w:type="dxa"/>
              <w:bottom w:w="0" w:type="dxa"/>
              <w:right w:w="20" w:type="dxa"/>
            </w:tcMar>
            <w:vAlign w:val="center"/>
            <w:hideMark/>
          </w:tcPr>
          <w:p w14:paraId="138CF74F"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1F85DAE"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02E96BB" w14:textId="77777777" w:rsidR="00000000" w:rsidRDefault="00A173A8">
            <w:pPr>
              <w:spacing w:after="100"/>
              <w:jc w:val="center"/>
              <w:rPr>
                <w:rFonts w:eastAsia="Times New Roman"/>
              </w:rPr>
            </w:pPr>
            <w:r>
              <w:rPr>
                <w:rFonts w:eastAsia="Times New Roman"/>
                <w:b/>
                <w:bCs/>
                <w:color w:val="000000"/>
                <w:sz w:val="20"/>
                <w:szCs w:val="20"/>
              </w:rPr>
              <w:t>Ratio</w:t>
            </w:r>
          </w:p>
        </w:tc>
        <w:tc>
          <w:tcPr>
            <w:tcW w:w="0" w:type="auto"/>
            <w:gridSpan w:val="3"/>
            <w:tcBorders>
              <w:top w:val="single" w:sz="8" w:space="0" w:color="000000"/>
            </w:tcBorders>
            <w:tcMar>
              <w:top w:w="0" w:type="dxa"/>
              <w:left w:w="20" w:type="dxa"/>
              <w:bottom w:w="0" w:type="dxa"/>
              <w:right w:w="20" w:type="dxa"/>
            </w:tcMar>
            <w:vAlign w:val="center"/>
            <w:hideMark/>
          </w:tcPr>
          <w:p w14:paraId="2659587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CA32FC9" w14:textId="77777777" w:rsidR="00000000" w:rsidRDefault="00A173A8">
            <w:pPr>
              <w:spacing w:after="100"/>
              <w:jc w:val="center"/>
              <w:rPr>
                <w:rFonts w:eastAsia="Times New Roman"/>
              </w:rPr>
            </w:pPr>
            <w:r>
              <w:rPr>
                <w:rFonts w:eastAsia="Times New Roman"/>
                <w:b/>
                <w:bCs/>
                <w:color w:val="000000"/>
                <w:sz w:val="20"/>
                <w:szCs w:val="20"/>
              </w:rPr>
              <w:t>Minimum</w:t>
            </w:r>
            <w:r>
              <w:rPr>
                <w:rFonts w:eastAsia="Times New Roman"/>
                <w:b/>
                <w:bCs/>
                <w:color w:val="000000"/>
                <w:sz w:val="20"/>
                <w:szCs w:val="20"/>
              </w:rPr>
              <w:br/>
              <w:t>Capital</w:t>
            </w:r>
            <w:r>
              <w:rPr>
                <w:rFonts w:eastAsia="Times New Roman"/>
                <w:b/>
                <w:bCs/>
                <w:color w:val="000000"/>
                <w:sz w:val="20"/>
                <w:szCs w:val="20"/>
              </w:rPr>
              <w:br/>
              <w:t>Adequacy</w:t>
            </w:r>
          </w:p>
        </w:tc>
        <w:tc>
          <w:tcPr>
            <w:tcW w:w="0" w:type="auto"/>
            <w:gridSpan w:val="3"/>
            <w:tcBorders>
              <w:top w:val="single" w:sz="8" w:space="0" w:color="000000"/>
            </w:tcBorders>
            <w:tcMar>
              <w:top w:w="0" w:type="dxa"/>
              <w:left w:w="20" w:type="dxa"/>
              <w:bottom w:w="0" w:type="dxa"/>
              <w:right w:w="20" w:type="dxa"/>
            </w:tcMar>
            <w:vAlign w:val="center"/>
            <w:hideMark/>
          </w:tcPr>
          <w:p w14:paraId="2B6CFD1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368213" w14:textId="77777777" w:rsidR="00000000" w:rsidRDefault="00A173A8">
            <w:pPr>
              <w:spacing w:after="100"/>
              <w:jc w:val="center"/>
              <w:rPr>
                <w:rFonts w:eastAsia="Times New Roman"/>
              </w:rPr>
            </w:pPr>
            <w:r>
              <w:rPr>
                <w:rFonts w:eastAsia="Times New Roman"/>
                <w:b/>
                <w:bCs/>
                <w:color w:val="000000"/>
                <w:sz w:val="20"/>
                <w:szCs w:val="20"/>
              </w:rPr>
              <w:t>Well-</w:t>
            </w:r>
            <w:r>
              <w:rPr>
                <w:rFonts w:eastAsia="Times New Roman"/>
                <w:b/>
                <w:bCs/>
                <w:color w:val="000000"/>
                <w:sz w:val="20"/>
                <w:szCs w:val="20"/>
              </w:rPr>
              <w:br/>
              <w:t>Capitalized</w:t>
            </w:r>
          </w:p>
        </w:tc>
        <w:tc>
          <w:tcPr>
            <w:tcW w:w="0" w:type="auto"/>
            <w:gridSpan w:val="3"/>
            <w:tcMar>
              <w:top w:w="0" w:type="dxa"/>
              <w:left w:w="20" w:type="dxa"/>
              <w:bottom w:w="0" w:type="dxa"/>
              <w:right w:w="20" w:type="dxa"/>
            </w:tcMar>
            <w:vAlign w:val="center"/>
            <w:hideMark/>
          </w:tcPr>
          <w:p w14:paraId="3928CC26"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2C9EF3" w14:textId="77777777" w:rsidR="00000000" w:rsidRDefault="00A173A8">
            <w:pPr>
              <w:spacing w:after="100"/>
              <w:jc w:val="center"/>
              <w:rPr>
                <w:rFonts w:eastAsia="Times New Roman"/>
              </w:rPr>
            </w:pPr>
            <w:r>
              <w:rPr>
                <w:rFonts w:eastAsia="Times New Roman"/>
                <w:b/>
                <w:bCs/>
                <w:color w:val="000000"/>
                <w:sz w:val="20"/>
                <w:szCs w:val="20"/>
              </w:rPr>
              <w:t>Ratio</w:t>
            </w:r>
          </w:p>
        </w:tc>
        <w:tc>
          <w:tcPr>
            <w:tcW w:w="0" w:type="auto"/>
            <w:gridSpan w:val="3"/>
            <w:tcBorders>
              <w:top w:val="single" w:sz="8" w:space="0" w:color="000000"/>
            </w:tcBorders>
            <w:tcMar>
              <w:top w:w="0" w:type="dxa"/>
              <w:left w:w="20" w:type="dxa"/>
              <w:bottom w:w="0" w:type="dxa"/>
              <w:right w:w="20" w:type="dxa"/>
            </w:tcMar>
            <w:vAlign w:val="center"/>
            <w:hideMark/>
          </w:tcPr>
          <w:p w14:paraId="63DAC59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DC0342" w14:textId="77777777" w:rsidR="00000000" w:rsidRDefault="00A173A8">
            <w:pPr>
              <w:spacing w:after="100"/>
              <w:jc w:val="center"/>
              <w:rPr>
                <w:rFonts w:eastAsia="Times New Roman"/>
              </w:rPr>
            </w:pPr>
            <w:r>
              <w:rPr>
                <w:rFonts w:eastAsia="Times New Roman"/>
                <w:b/>
                <w:bCs/>
                <w:color w:val="000000"/>
                <w:sz w:val="20"/>
                <w:szCs w:val="20"/>
              </w:rPr>
              <w:t>Minimum</w:t>
            </w:r>
            <w:r>
              <w:rPr>
                <w:rFonts w:eastAsia="Times New Roman"/>
                <w:b/>
                <w:bCs/>
                <w:color w:val="000000"/>
                <w:sz w:val="20"/>
                <w:szCs w:val="20"/>
              </w:rPr>
              <w:br/>
              <w:t>Capital</w:t>
            </w:r>
            <w:r>
              <w:rPr>
                <w:rFonts w:eastAsia="Times New Roman"/>
                <w:b/>
                <w:bCs/>
                <w:color w:val="000000"/>
                <w:sz w:val="20"/>
                <w:szCs w:val="20"/>
              </w:rPr>
              <w:br/>
            </w:r>
            <w:r>
              <w:rPr>
                <w:rFonts w:eastAsia="Times New Roman"/>
                <w:b/>
                <w:bCs/>
                <w:color w:val="000000"/>
                <w:sz w:val="20"/>
                <w:szCs w:val="20"/>
              </w:rPr>
              <w:t>Adequacy</w:t>
            </w:r>
          </w:p>
        </w:tc>
        <w:tc>
          <w:tcPr>
            <w:tcW w:w="0" w:type="auto"/>
            <w:gridSpan w:val="3"/>
            <w:tcBorders>
              <w:top w:val="single" w:sz="8" w:space="0" w:color="000000"/>
            </w:tcBorders>
            <w:tcMar>
              <w:top w:w="0" w:type="dxa"/>
              <w:left w:w="20" w:type="dxa"/>
              <w:bottom w:w="0" w:type="dxa"/>
              <w:right w:w="20" w:type="dxa"/>
            </w:tcMar>
            <w:vAlign w:val="center"/>
            <w:hideMark/>
          </w:tcPr>
          <w:p w14:paraId="4575D20B"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407CC62" w14:textId="77777777" w:rsidR="00000000" w:rsidRDefault="00A173A8">
            <w:pPr>
              <w:spacing w:after="100"/>
              <w:jc w:val="center"/>
              <w:rPr>
                <w:rFonts w:eastAsia="Times New Roman"/>
              </w:rPr>
            </w:pPr>
            <w:r>
              <w:rPr>
                <w:rFonts w:eastAsia="Times New Roman"/>
                <w:b/>
                <w:bCs/>
                <w:color w:val="000000"/>
                <w:sz w:val="20"/>
                <w:szCs w:val="20"/>
              </w:rPr>
              <w:t>Well-</w:t>
            </w:r>
            <w:r>
              <w:rPr>
                <w:rFonts w:eastAsia="Times New Roman"/>
                <w:b/>
                <w:bCs/>
                <w:color w:val="000000"/>
                <w:sz w:val="20"/>
                <w:szCs w:val="20"/>
              </w:rPr>
              <w:br/>
              <w:t>Capitalized</w:t>
            </w:r>
          </w:p>
        </w:tc>
      </w:tr>
      <w:tr w:rsidR="00000000" w14:paraId="5ECBC00E" w14:textId="77777777">
        <w:trPr>
          <w:divId w:val="4226085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9F9142D" w14:textId="77777777" w:rsidR="00000000" w:rsidRDefault="00A173A8">
            <w:pPr>
              <w:spacing w:after="100"/>
              <w:rPr>
                <w:rFonts w:eastAsia="Times New Roman"/>
              </w:rPr>
            </w:pPr>
            <w:r>
              <w:rPr>
                <w:rFonts w:eastAsia="Times New Roman"/>
                <w:b/>
                <w:bCs/>
                <w:color w:val="000000"/>
                <w:sz w:val="20"/>
                <w:szCs w:val="20"/>
              </w:rPr>
              <w:t>Capital One Financial Corp:</w:t>
            </w:r>
          </w:p>
        </w:tc>
        <w:tc>
          <w:tcPr>
            <w:tcW w:w="0" w:type="auto"/>
            <w:gridSpan w:val="3"/>
            <w:shd w:val="clear" w:color="auto" w:fill="CCEEFF"/>
            <w:tcMar>
              <w:top w:w="0" w:type="dxa"/>
              <w:left w:w="20" w:type="dxa"/>
              <w:bottom w:w="0" w:type="dxa"/>
              <w:right w:w="20" w:type="dxa"/>
            </w:tcMar>
            <w:vAlign w:val="center"/>
            <w:hideMark/>
          </w:tcPr>
          <w:p w14:paraId="638803A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01CB1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D99AB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0FF75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901D7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C84BA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B408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B836D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1DADB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9E928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69578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50DA18" w14:textId="77777777" w:rsidR="00000000" w:rsidRDefault="00A173A8">
            <w:pPr>
              <w:spacing w:after="100"/>
              <w:rPr>
                <w:rFonts w:eastAsia="Times New Roman"/>
                <w:sz w:val="20"/>
                <w:szCs w:val="20"/>
              </w:rPr>
            </w:pPr>
          </w:p>
        </w:tc>
      </w:tr>
      <w:tr w:rsidR="00000000" w14:paraId="202CDC83" w14:textId="77777777">
        <w:trPr>
          <w:divId w:val="422608506"/>
        </w:trPr>
        <w:tc>
          <w:tcPr>
            <w:tcW w:w="0" w:type="auto"/>
            <w:gridSpan w:val="3"/>
            <w:shd w:val="clear" w:color="auto" w:fill="FFFFFF"/>
            <w:tcMar>
              <w:top w:w="30" w:type="dxa"/>
              <w:left w:w="20" w:type="dxa"/>
              <w:bottom w:w="30" w:type="dxa"/>
              <w:right w:w="20" w:type="dxa"/>
            </w:tcMar>
            <w:vAlign w:val="center"/>
            <w:hideMark/>
          </w:tcPr>
          <w:p w14:paraId="4993C429" w14:textId="77777777" w:rsidR="00000000" w:rsidRDefault="00A173A8">
            <w:pPr>
              <w:spacing w:after="100"/>
              <w:divId w:val="1329286969"/>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4D92206"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8FB24CF" w14:textId="77777777" w:rsidR="00000000" w:rsidRDefault="00A173A8">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5BFF0DE"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F883C0F"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874C2E5" w14:textId="77777777" w:rsidR="00000000" w:rsidRDefault="00A173A8">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265B4EA"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2DA5A29"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1DC1B8FA" w14:textId="77777777" w:rsidR="00000000" w:rsidRDefault="00A173A8">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2BE21FBF"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CE89C75" w14:textId="77777777" w:rsidR="00000000" w:rsidRDefault="00A173A8">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center"/>
            <w:hideMark/>
          </w:tcPr>
          <w:p w14:paraId="22C70594"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2DC6C6"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F2F62C3" w14:textId="77777777" w:rsidR="00000000" w:rsidRDefault="00A173A8">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14:paraId="77EC9B98"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B19FE5E"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3F404892" w14:textId="77777777" w:rsidR="00000000" w:rsidRDefault="00A173A8">
            <w:pPr>
              <w:spacing w:after="100"/>
              <w:jc w:val="right"/>
              <w:rPr>
                <w:rFonts w:eastAsia="Times New Roman"/>
              </w:rPr>
            </w:pPr>
            <w:r>
              <w:rPr>
                <w:rFonts w:eastAsia="Times New Roman"/>
                <w:color w:val="000000"/>
                <w:sz w:val="20"/>
                <w:szCs w:val="20"/>
              </w:rPr>
              <w:t>N/A</w:t>
            </w:r>
          </w:p>
        </w:tc>
      </w:tr>
      <w:tr w:rsidR="00000000" w14:paraId="2A3F502D" w14:textId="77777777">
        <w:trPr>
          <w:divId w:val="422608506"/>
        </w:trPr>
        <w:tc>
          <w:tcPr>
            <w:tcW w:w="0" w:type="auto"/>
            <w:gridSpan w:val="3"/>
            <w:shd w:val="clear" w:color="auto" w:fill="CCEEFF"/>
            <w:tcMar>
              <w:top w:w="30" w:type="dxa"/>
              <w:left w:w="20" w:type="dxa"/>
              <w:bottom w:w="30" w:type="dxa"/>
              <w:right w:w="20" w:type="dxa"/>
            </w:tcMar>
            <w:vAlign w:val="center"/>
            <w:hideMark/>
          </w:tcPr>
          <w:p w14:paraId="74144E66" w14:textId="77777777" w:rsidR="00000000" w:rsidRDefault="00A173A8">
            <w:pPr>
              <w:spacing w:after="100"/>
              <w:divId w:val="1601714270"/>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A10A3D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B69D0C2" w14:textId="77777777" w:rsidR="00000000" w:rsidRDefault="00A173A8">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57A8D0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1046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92F2D5" w14:textId="77777777" w:rsidR="00000000" w:rsidRDefault="00A173A8">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17AA22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C9F8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707EDE" w14:textId="77777777" w:rsidR="00000000" w:rsidRDefault="00A173A8">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3BFE46A"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3AA8136"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F2BD221" w14:textId="77777777" w:rsidR="00000000" w:rsidRDefault="00A173A8">
            <w:pPr>
              <w:spacing w:after="100"/>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center"/>
            <w:hideMark/>
          </w:tcPr>
          <w:p w14:paraId="3F2909D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6B4C6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5E05D2" w14:textId="77777777" w:rsidR="00000000" w:rsidRDefault="00A173A8">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0912284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0D1B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9B093D" w14:textId="77777777" w:rsidR="00000000" w:rsidRDefault="00A173A8">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12BE513D" w14:textId="77777777" w:rsidR="00000000" w:rsidRDefault="00A173A8">
            <w:pPr>
              <w:spacing w:after="100"/>
              <w:jc w:val="right"/>
              <w:rPr>
                <w:rFonts w:eastAsia="Times New Roman"/>
              </w:rPr>
            </w:pPr>
            <w:r>
              <w:rPr>
                <w:rFonts w:eastAsia="Times New Roman"/>
                <w:color w:val="000000"/>
                <w:sz w:val="20"/>
                <w:szCs w:val="20"/>
              </w:rPr>
              <w:t>%</w:t>
            </w:r>
          </w:p>
        </w:tc>
      </w:tr>
      <w:tr w:rsidR="00000000" w14:paraId="5EE88304" w14:textId="77777777">
        <w:trPr>
          <w:divId w:val="422608506"/>
        </w:trPr>
        <w:tc>
          <w:tcPr>
            <w:tcW w:w="0" w:type="auto"/>
            <w:gridSpan w:val="3"/>
            <w:shd w:val="clear" w:color="auto" w:fill="FFFFFF"/>
            <w:tcMar>
              <w:top w:w="30" w:type="dxa"/>
              <w:left w:w="20" w:type="dxa"/>
              <w:bottom w:w="30" w:type="dxa"/>
              <w:right w:w="20" w:type="dxa"/>
            </w:tcMar>
            <w:vAlign w:val="center"/>
            <w:hideMark/>
          </w:tcPr>
          <w:p w14:paraId="59F39EF8" w14:textId="77777777" w:rsidR="00000000" w:rsidRDefault="00A173A8">
            <w:pPr>
              <w:spacing w:after="100"/>
              <w:divId w:val="376780585"/>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(5</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72267B04"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94A2A02" w14:textId="77777777" w:rsidR="00000000" w:rsidRDefault="00A173A8">
            <w:pPr>
              <w:spacing w:after="100"/>
              <w:jc w:val="right"/>
              <w:rPr>
                <w:rFonts w:eastAsia="Times New Roman"/>
              </w:rPr>
            </w:pPr>
            <w:r>
              <w:rPr>
                <w:rFonts w:eastAsia="Times New Roman"/>
                <w:b/>
                <w:bCs/>
                <w:color w:val="000000"/>
                <w:sz w:val="20"/>
                <w:szCs w:val="20"/>
              </w:rPr>
              <w:t>15.7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D3A7BB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A333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7C97BC" w14:textId="77777777" w:rsidR="00000000" w:rsidRDefault="00A173A8">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1D5C25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D628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0A275E" w14:textId="77777777" w:rsidR="00000000" w:rsidRDefault="00A173A8">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F9515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2D68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9BFC11" w14:textId="77777777" w:rsidR="00000000" w:rsidRDefault="00A173A8">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14:paraId="5821CC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115C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9DC025" w14:textId="77777777" w:rsidR="00000000" w:rsidRDefault="00A173A8">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center"/>
            <w:hideMark/>
          </w:tcPr>
          <w:p w14:paraId="4DE13C8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B24B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1D3482" w14:textId="77777777" w:rsidR="00000000" w:rsidRDefault="00A173A8">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14:paraId="597454DD" w14:textId="77777777" w:rsidR="00000000" w:rsidRDefault="00A173A8">
            <w:pPr>
              <w:spacing w:after="100"/>
              <w:jc w:val="right"/>
              <w:rPr>
                <w:rFonts w:eastAsia="Times New Roman"/>
              </w:rPr>
            </w:pPr>
          </w:p>
        </w:tc>
      </w:tr>
      <w:tr w:rsidR="00000000" w14:paraId="01658A08" w14:textId="77777777">
        <w:trPr>
          <w:divId w:val="422608506"/>
        </w:trPr>
        <w:tc>
          <w:tcPr>
            <w:tcW w:w="0" w:type="auto"/>
            <w:gridSpan w:val="3"/>
            <w:shd w:val="clear" w:color="auto" w:fill="CCEEFF"/>
            <w:tcMar>
              <w:top w:w="30" w:type="dxa"/>
              <w:left w:w="20" w:type="dxa"/>
              <w:bottom w:w="30" w:type="dxa"/>
              <w:right w:w="20" w:type="dxa"/>
            </w:tcMar>
            <w:vAlign w:val="center"/>
            <w:hideMark/>
          </w:tcPr>
          <w:p w14:paraId="18F71D67" w14:textId="77777777" w:rsidR="00000000" w:rsidRDefault="00A173A8">
            <w:pPr>
              <w:spacing w:after="100"/>
              <w:divId w:val="820119860"/>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B2FAFF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F7D7AE1" w14:textId="77777777" w:rsidR="00000000" w:rsidRDefault="00A173A8">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BDFEAC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3E6A0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763596" w14:textId="77777777" w:rsidR="00000000" w:rsidRDefault="00A173A8">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AF2610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149D3"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6DF9D5ED" w14:textId="77777777" w:rsidR="00000000" w:rsidRDefault="00A173A8">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2490E0BB"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50A34AE" w14:textId="77777777" w:rsidR="00000000" w:rsidRDefault="00A173A8">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center"/>
            <w:hideMark/>
          </w:tcPr>
          <w:p w14:paraId="5393F3B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FA958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46CC75" w14:textId="77777777" w:rsidR="00000000" w:rsidRDefault="00A173A8">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14:paraId="541E86B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3B928"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F830BB9" w14:textId="77777777" w:rsidR="00000000" w:rsidRDefault="00A173A8">
            <w:pPr>
              <w:spacing w:after="100"/>
              <w:jc w:val="right"/>
              <w:rPr>
                <w:rFonts w:eastAsia="Times New Roman"/>
              </w:rPr>
            </w:pPr>
            <w:r>
              <w:rPr>
                <w:rFonts w:eastAsia="Times New Roman"/>
                <w:color w:val="000000"/>
                <w:sz w:val="20"/>
                <w:szCs w:val="20"/>
              </w:rPr>
              <w:t>N/A</w:t>
            </w:r>
          </w:p>
        </w:tc>
      </w:tr>
      <w:tr w:rsidR="00000000" w14:paraId="107DC5B2" w14:textId="77777777">
        <w:trPr>
          <w:divId w:val="422608506"/>
        </w:trPr>
        <w:tc>
          <w:tcPr>
            <w:tcW w:w="0" w:type="auto"/>
            <w:gridSpan w:val="3"/>
            <w:shd w:val="clear" w:color="auto" w:fill="FFFFFF"/>
            <w:tcMar>
              <w:top w:w="30" w:type="dxa"/>
              <w:left w:w="20" w:type="dxa"/>
              <w:bottom w:w="30" w:type="dxa"/>
              <w:right w:w="20" w:type="dxa"/>
            </w:tcMar>
            <w:vAlign w:val="center"/>
            <w:hideMark/>
          </w:tcPr>
          <w:p w14:paraId="2F6D15DF" w14:textId="77777777" w:rsidR="00000000" w:rsidRDefault="00A173A8">
            <w:pPr>
              <w:spacing w:after="100"/>
              <w:divId w:val="211961087"/>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06ECD20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40FBA4" w14:textId="77777777" w:rsidR="00000000" w:rsidRDefault="00A173A8">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602962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7814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386215" w14:textId="77777777" w:rsidR="00000000" w:rsidRDefault="00A173A8">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41783E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2B8783"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61FA8394" w14:textId="77777777" w:rsidR="00000000" w:rsidRDefault="00A173A8">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6296C08C"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C659765" w14:textId="77777777" w:rsidR="00000000" w:rsidRDefault="00A173A8">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center"/>
            <w:hideMark/>
          </w:tcPr>
          <w:p w14:paraId="706DE4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2587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994279" w14:textId="77777777" w:rsidR="00000000" w:rsidRDefault="00A173A8">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14:paraId="0497E2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BE53E"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61C6537D" w14:textId="77777777" w:rsidR="00000000" w:rsidRDefault="00A173A8">
            <w:pPr>
              <w:spacing w:after="100"/>
              <w:jc w:val="right"/>
              <w:rPr>
                <w:rFonts w:eastAsia="Times New Roman"/>
              </w:rPr>
            </w:pPr>
            <w:r>
              <w:rPr>
                <w:rFonts w:eastAsia="Times New Roman"/>
                <w:color w:val="000000"/>
                <w:sz w:val="20"/>
                <w:szCs w:val="20"/>
              </w:rPr>
              <w:t>N/A</w:t>
            </w:r>
          </w:p>
        </w:tc>
      </w:tr>
      <w:tr w:rsidR="00000000" w14:paraId="5ABCD5D7" w14:textId="77777777">
        <w:trPr>
          <w:divId w:val="422608506"/>
        </w:trPr>
        <w:tc>
          <w:tcPr>
            <w:tcW w:w="0" w:type="auto"/>
            <w:gridSpan w:val="3"/>
            <w:shd w:val="clear" w:color="auto" w:fill="CCEEFF"/>
            <w:tcMar>
              <w:top w:w="30" w:type="dxa"/>
              <w:left w:w="20" w:type="dxa"/>
              <w:bottom w:w="30" w:type="dxa"/>
              <w:right w:w="20" w:type="dxa"/>
            </w:tcMar>
            <w:vAlign w:val="center"/>
            <w:hideMark/>
          </w:tcPr>
          <w:p w14:paraId="4415E4A0" w14:textId="77777777" w:rsidR="00000000" w:rsidRDefault="00A173A8">
            <w:pPr>
              <w:spacing w:after="100"/>
              <w:rPr>
                <w:rFonts w:eastAsia="Times New Roman"/>
              </w:rPr>
            </w:pPr>
            <w:r>
              <w:rPr>
                <w:rFonts w:eastAsia="Times New Roman"/>
                <w:b/>
                <w:bCs/>
                <w:color w:val="000000"/>
                <w:sz w:val="20"/>
                <w:szCs w:val="20"/>
              </w:rPr>
              <w:t>COBNA:</w:t>
            </w:r>
          </w:p>
        </w:tc>
        <w:tc>
          <w:tcPr>
            <w:tcW w:w="0" w:type="auto"/>
            <w:gridSpan w:val="3"/>
            <w:shd w:val="clear" w:color="auto" w:fill="CCEEFF"/>
            <w:tcMar>
              <w:top w:w="0" w:type="dxa"/>
              <w:left w:w="20" w:type="dxa"/>
              <w:bottom w:w="0" w:type="dxa"/>
              <w:right w:w="20" w:type="dxa"/>
            </w:tcMar>
            <w:vAlign w:val="center"/>
            <w:hideMark/>
          </w:tcPr>
          <w:p w14:paraId="16F0B95A"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3626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E2BF7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D72A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84FDF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0F7AF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ED433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37E3D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2C0FD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694E9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F84D9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C4B0BA" w14:textId="77777777" w:rsidR="00000000" w:rsidRDefault="00A173A8">
            <w:pPr>
              <w:spacing w:after="100"/>
              <w:rPr>
                <w:rFonts w:eastAsia="Times New Roman"/>
                <w:sz w:val="20"/>
                <w:szCs w:val="20"/>
              </w:rPr>
            </w:pPr>
          </w:p>
        </w:tc>
      </w:tr>
      <w:tr w:rsidR="00000000" w14:paraId="7667D34A" w14:textId="77777777">
        <w:trPr>
          <w:divId w:val="422608506"/>
        </w:trPr>
        <w:tc>
          <w:tcPr>
            <w:tcW w:w="0" w:type="auto"/>
            <w:gridSpan w:val="3"/>
            <w:shd w:val="clear" w:color="auto" w:fill="FFFFFF"/>
            <w:tcMar>
              <w:top w:w="30" w:type="dxa"/>
              <w:left w:w="20" w:type="dxa"/>
              <w:bottom w:w="30" w:type="dxa"/>
              <w:right w:w="20" w:type="dxa"/>
            </w:tcMar>
            <w:vAlign w:val="center"/>
            <w:hideMark/>
          </w:tcPr>
          <w:p w14:paraId="19648621" w14:textId="77777777" w:rsidR="00000000" w:rsidRDefault="00A173A8">
            <w:pPr>
              <w:spacing w:after="100"/>
              <w:divId w:val="41633679"/>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07A5E7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1875AE5" w14:textId="77777777" w:rsidR="00000000" w:rsidRDefault="00A173A8">
            <w:pPr>
              <w:spacing w:after="100"/>
              <w:jc w:val="right"/>
              <w:rPr>
                <w:rFonts w:eastAsia="Times New Roman"/>
              </w:rPr>
            </w:pPr>
            <w:r>
              <w:rPr>
                <w:rFonts w:eastAsia="Times New Roman"/>
                <w:b/>
                <w:bCs/>
                <w:color w:val="000000"/>
                <w:sz w:val="20"/>
                <w:szCs w:val="20"/>
              </w:rPr>
              <w:t>17.7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0B6BE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ACE2B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82FF18" w14:textId="77777777" w:rsidR="00000000" w:rsidRDefault="00A173A8">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88109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8F55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C7DEA6" w14:textId="77777777" w:rsidR="00000000" w:rsidRDefault="00A173A8">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2B53EF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CD66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FA1D5D" w14:textId="77777777" w:rsidR="00000000" w:rsidRDefault="00A173A8">
            <w:pPr>
              <w:spacing w:after="100"/>
              <w:jc w:val="right"/>
              <w:rPr>
                <w:rFonts w:eastAsia="Times New Roman"/>
              </w:rPr>
            </w:pPr>
            <w:r>
              <w:rPr>
                <w:rFonts w:eastAsia="Times New Roman"/>
                <w:color w:val="000000"/>
                <w:sz w:val="20"/>
                <w:szCs w:val="20"/>
              </w:rPr>
              <w:t>16.5 </w:t>
            </w:r>
          </w:p>
        </w:tc>
        <w:tc>
          <w:tcPr>
            <w:tcW w:w="0" w:type="auto"/>
            <w:shd w:val="clear" w:color="auto" w:fill="FFFFFF"/>
            <w:tcMar>
              <w:top w:w="30" w:type="dxa"/>
              <w:left w:w="0" w:type="dxa"/>
              <w:bottom w:w="30" w:type="dxa"/>
              <w:right w:w="20" w:type="dxa"/>
            </w:tcMar>
            <w:vAlign w:val="center"/>
            <w:hideMark/>
          </w:tcPr>
          <w:p w14:paraId="7C453A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1FF7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115BB5" w14:textId="77777777" w:rsidR="00000000" w:rsidRDefault="00A173A8">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14:paraId="5FF7F76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C3E8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56CB42" w14:textId="77777777" w:rsidR="00000000" w:rsidRDefault="00A173A8">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center"/>
            <w:hideMark/>
          </w:tcPr>
          <w:p w14:paraId="3EC06823" w14:textId="77777777" w:rsidR="00000000" w:rsidRDefault="00A173A8">
            <w:pPr>
              <w:spacing w:after="100"/>
              <w:jc w:val="right"/>
              <w:rPr>
                <w:rFonts w:eastAsia="Times New Roman"/>
              </w:rPr>
            </w:pPr>
          </w:p>
        </w:tc>
      </w:tr>
      <w:tr w:rsidR="00000000" w14:paraId="60E9D6CC" w14:textId="77777777">
        <w:trPr>
          <w:divId w:val="422608506"/>
        </w:trPr>
        <w:tc>
          <w:tcPr>
            <w:tcW w:w="0" w:type="auto"/>
            <w:gridSpan w:val="3"/>
            <w:shd w:val="clear" w:color="auto" w:fill="CCEEFF"/>
            <w:tcMar>
              <w:top w:w="30" w:type="dxa"/>
              <w:left w:w="20" w:type="dxa"/>
              <w:bottom w:w="30" w:type="dxa"/>
              <w:right w:w="20" w:type="dxa"/>
            </w:tcMar>
            <w:vAlign w:val="center"/>
            <w:hideMark/>
          </w:tcPr>
          <w:p w14:paraId="0821B027" w14:textId="77777777" w:rsidR="00000000" w:rsidRDefault="00A173A8">
            <w:pPr>
              <w:spacing w:after="100"/>
              <w:divId w:val="1317808543"/>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0F6F7BC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2ECFA5B" w14:textId="77777777" w:rsidR="00000000" w:rsidRDefault="00A173A8">
            <w:pPr>
              <w:spacing w:after="100"/>
              <w:jc w:val="right"/>
              <w:rPr>
                <w:rFonts w:eastAsia="Times New Roman"/>
              </w:rPr>
            </w:pPr>
            <w:r>
              <w:rPr>
                <w:rFonts w:eastAsia="Times New Roman"/>
                <w:b/>
                <w:bCs/>
                <w:color w:val="000000"/>
                <w:sz w:val="20"/>
                <w:szCs w:val="20"/>
              </w:rPr>
              <w:t>17.7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84D463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8B2E3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795224" w14:textId="77777777" w:rsidR="00000000" w:rsidRDefault="00A173A8">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6511E9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EABA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DC96C9" w14:textId="77777777" w:rsidR="00000000" w:rsidRDefault="00A173A8">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B918AF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C04E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A6264F" w14:textId="77777777" w:rsidR="00000000" w:rsidRDefault="00A173A8">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center"/>
            <w:hideMark/>
          </w:tcPr>
          <w:p w14:paraId="0018645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D331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2D037E" w14:textId="77777777" w:rsidR="00000000" w:rsidRDefault="00A173A8">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3AEBEAF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1D8A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02419B" w14:textId="77777777" w:rsidR="00000000" w:rsidRDefault="00A173A8">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center"/>
            <w:hideMark/>
          </w:tcPr>
          <w:p w14:paraId="5C9BD290" w14:textId="77777777" w:rsidR="00000000" w:rsidRDefault="00A173A8">
            <w:pPr>
              <w:spacing w:after="100"/>
              <w:jc w:val="right"/>
              <w:rPr>
                <w:rFonts w:eastAsia="Times New Roman"/>
              </w:rPr>
            </w:pPr>
          </w:p>
        </w:tc>
      </w:tr>
      <w:tr w:rsidR="00000000" w14:paraId="7DEA7B00" w14:textId="77777777">
        <w:trPr>
          <w:divId w:val="422608506"/>
        </w:trPr>
        <w:tc>
          <w:tcPr>
            <w:tcW w:w="0" w:type="auto"/>
            <w:gridSpan w:val="3"/>
            <w:shd w:val="clear" w:color="auto" w:fill="FFFFFF"/>
            <w:tcMar>
              <w:top w:w="30" w:type="dxa"/>
              <w:left w:w="20" w:type="dxa"/>
              <w:bottom w:w="30" w:type="dxa"/>
              <w:right w:w="20" w:type="dxa"/>
            </w:tcMar>
            <w:vAlign w:val="center"/>
            <w:hideMark/>
          </w:tcPr>
          <w:p w14:paraId="05E22CF3" w14:textId="77777777" w:rsidR="00000000" w:rsidRDefault="00A173A8">
            <w:pPr>
              <w:spacing w:after="100"/>
              <w:divId w:val="1110587858"/>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(5</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50E31BC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AD6F4B" w14:textId="77777777" w:rsidR="00000000" w:rsidRDefault="00A173A8">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F936D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AF9D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AFB33A" w14:textId="77777777" w:rsidR="00000000" w:rsidRDefault="00A173A8">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B7B974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68601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3AC9D1" w14:textId="77777777" w:rsidR="00000000" w:rsidRDefault="00A173A8">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45D15A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140FB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AACE59" w14:textId="77777777" w:rsidR="00000000" w:rsidRDefault="00A173A8">
            <w:pPr>
              <w:spacing w:after="100"/>
              <w:jc w:val="right"/>
              <w:rPr>
                <w:rFonts w:eastAsia="Times New Roman"/>
              </w:rPr>
            </w:pPr>
            <w:r>
              <w:rPr>
                <w:rFonts w:eastAsia="Times New Roman"/>
                <w:color w:val="000000"/>
                <w:sz w:val="20"/>
                <w:szCs w:val="20"/>
              </w:rPr>
              <w:t>18.0 </w:t>
            </w:r>
          </w:p>
        </w:tc>
        <w:tc>
          <w:tcPr>
            <w:tcW w:w="0" w:type="auto"/>
            <w:shd w:val="clear" w:color="auto" w:fill="FFFFFF"/>
            <w:tcMar>
              <w:top w:w="30" w:type="dxa"/>
              <w:left w:w="0" w:type="dxa"/>
              <w:bottom w:w="30" w:type="dxa"/>
              <w:right w:w="20" w:type="dxa"/>
            </w:tcMar>
            <w:vAlign w:val="center"/>
            <w:hideMark/>
          </w:tcPr>
          <w:p w14:paraId="31BAE60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176F2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0F6E54" w14:textId="77777777" w:rsidR="00000000" w:rsidRDefault="00A173A8">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center"/>
            <w:hideMark/>
          </w:tcPr>
          <w:p w14:paraId="0B0853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77235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92DCE0" w14:textId="77777777" w:rsidR="00000000" w:rsidRDefault="00A173A8">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14:paraId="7F306047" w14:textId="77777777" w:rsidR="00000000" w:rsidRDefault="00A173A8">
            <w:pPr>
              <w:spacing w:after="100"/>
              <w:jc w:val="right"/>
              <w:rPr>
                <w:rFonts w:eastAsia="Times New Roman"/>
              </w:rPr>
            </w:pPr>
          </w:p>
        </w:tc>
      </w:tr>
      <w:tr w:rsidR="00000000" w14:paraId="686E1324" w14:textId="77777777">
        <w:trPr>
          <w:divId w:val="422608506"/>
        </w:trPr>
        <w:tc>
          <w:tcPr>
            <w:tcW w:w="0" w:type="auto"/>
            <w:gridSpan w:val="3"/>
            <w:shd w:val="clear" w:color="auto" w:fill="CCEEFF"/>
            <w:tcMar>
              <w:top w:w="30" w:type="dxa"/>
              <w:left w:w="20" w:type="dxa"/>
              <w:bottom w:w="30" w:type="dxa"/>
              <w:right w:w="20" w:type="dxa"/>
            </w:tcMar>
            <w:vAlign w:val="center"/>
            <w:hideMark/>
          </w:tcPr>
          <w:p w14:paraId="277DAEE8" w14:textId="77777777" w:rsidR="00000000" w:rsidRDefault="00A173A8">
            <w:pPr>
              <w:spacing w:after="100"/>
              <w:divId w:val="1287542658"/>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BABB02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491B903" w14:textId="77777777" w:rsidR="00000000" w:rsidRDefault="00A173A8">
            <w:pPr>
              <w:spacing w:after="100"/>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57370B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736E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C123E3" w14:textId="77777777" w:rsidR="00000000" w:rsidRDefault="00A173A8">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78AA69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6A52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99E9EE" w14:textId="77777777" w:rsidR="00000000" w:rsidRDefault="00A173A8">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1B054D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B3558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E425CE" w14:textId="77777777" w:rsidR="00000000" w:rsidRDefault="00A173A8">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center"/>
            <w:hideMark/>
          </w:tcPr>
          <w:p w14:paraId="418B37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CCB0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3575CD" w14:textId="77777777" w:rsidR="00000000" w:rsidRDefault="00A173A8">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14:paraId="2CF5246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2183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E915C2" w14:textId="77777777" w:rsidR="00000000" w:rsidRDefault="00A173A8">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center"/>
            <w:hideMark/>
          </w:tcPr>
          <w:p w14:paraId="48F48A65" w14:textId="77777777" w:rsidR="00000000" w:rsidRDefault="00A173A8">
            <w:pPr>
              <w:spacing w:after="100"/>
              <w:jc w:val="right"/>
              <w:rPr>
                <w:rFonts w:eastAsia="Times New Roman"/>
              </w:rPr>
            </w:pPr>
          </w:p>
        </w:tc>
      </w:tr>
      <w:tr w:rsidR="00000000" w14:paraId="4E5DAC55" w14:textId="77777777">
        <w:trPr>
          <w:divId w:val="422608506"/>
        </w:trPr>
        <w:tc>
          <w:tcPr>
            <w:tcW w:w="0" w:type="auto"/>
            <w:gridSpan w:val="3"/>
            <w:shd w:val="clear" w:color="auto" w:fill="FFFFFF"/>
            <w:tcMar>
              <w:top w:w="30" w:type="dxa"/>
              <w:left w:w="20" w:type="dxa"/>
              <w:bottom w:w="30" w:type="dxa"/>
              <w:right w:w="20" w:type="dxa"/>
            </w:tcMar>
            <w:vAlign w:val="center"/>
            <w:hideMark/>
          </w:tcPr>
          <w:p w14:paraId="61E12CBC" w14:textId="77777777" w:rsidR="00000000" w:rsidRDefault="00A173A8">
            <w:pPr>
              <w:spacing w:after="100"/>
              <w:divId w:val="1078945542"/>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67E0E4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CF6756F" w14:textId="77777777" w:rsidR="00000000" w:rsidRDefault="00A173A8">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60413A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25F3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BB4BEB" w14:textId="77777777" w:rsidR="00000000" w:rsidRDefault="00A173A8">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F5C642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A96F7"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47FE4C0F" w14:textId="77777777" w:rsidR="00000000" w:rsidRDefault="00A173A8">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01B8BC7C"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7239D24" w14:textId="77777777" w:rsidR="00000000" w:rsidRDefault="00A173A8">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center"/>
            <w:hideMark/>
          </w:tcPr>
          <w:p w14:paraId="1C503B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6C08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1451D6" w14:textId="77777777" w:rsidR="00000000" w:rsidRDefault="00A173A8">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14:paraId="019435F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7198D"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15CC0161" w14:textId="77777777" w:rsidR="00000000" w:rsidRDefault="00A173A8">
            <w:pPr>
              <w:spacing w:after="100"/>
              <w:jc w:val="right"/>
              <w:rPr>
                <w:rFonts w:eastAsia="Times New Roman"/>
              </w:rPr>
            </w:pPr>
            <w:r>
              <w:rPr>
                <w:rFonts w:eastAsia="Times New Roman"/>
                <w:color w:val="000000"/>
                <w:sz w:val="20"/>
                <w:szCs w:val="20"/>
              </w:rPr>
              <w:t>N/A</w:t>
            </w:r>
          </w:p>
        </w:tc>
      </w:tr>
      <w:tr w:rsidR="00000000" w14:paraId="003342DB" w14:textId="77777777">
        <w:trPr>
          <w:divId w:val="422608506"/>
        </w:trPr>
        <w:tc>
          <w:tcPr>
            <w:tcW w:w="0" w:type="auto"/>
            <w:gridSpan w:val="3"/>
            <w:shd w:val="clear" w:color="auto" w:fill="CCEEFF"/>
            <w:tcMar>
              <w:top w:w="30" w:type="dxa"/>
              <w:left w:w="20" w:type="dxa"/>
              <w:bottom w:w="30" w:type="dxa"/>
              <w:right w:w="20" w:type="dxa"/>
            </w:tcMar>
            <w:vAlign w:val="center"/>
            <w:hideMark/>
          </w:tcPr>
          <w:p w14:paraId="7AA92303" w14:textId="77777777" w:rsidR="00000000" w:rsidRDefault="00A173A8">
            <w:pPr>
              <w:spacing w:after="100"/>
              <w:rPr>
                <w:rFonts w:eastAsia="Times New Roman"/>
              </w:rPr>
            </w:pPr>
            <w:r>
              <w:rPr>
                <w:rFonts w:eastAsia="Times New Roman"/>
                <w:b/>
                <w:bCs/>
                <w:color w:val="000000"/>
                <w:sz w:val="20"/>
                <w:szCs w:val="20"/>
              </w:rPr>
              <w:t>CONA:</w:t>
            </w:r>
          </w:p>
        </w:tc>
        <w:tc>
          <w:tcPr>
            <w:tcW w:w="0" w:type="auto"/>
            <w:gridSpan w:val="3"/>
            <w:shd w:val="clear" w:color="auto" w:fill="CCEEFF"/>
            <w:tcMar>
              <w:top w:w="0" w:type="dxa"/>
              <w:left w:w="20" w:type="dxa"/>
              <w:bottom w:w="0" w:type="dxa"/>
              <w:right w:w="20" w:type="dxa"/>
            </w:tcMar>
            <w:vAlign w:val="center"/>
            <w:hideMark/>
          </w:tcPr>
          <w:p w14:paraId="45B1226D"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27EA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4171F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BE958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7C4D9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B96E0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BDCF2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C15DF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3DBEA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C870F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A2EBE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40E8E4" w14:textId="77777777" w:rsidR="00000000" w:rsidRDefault="00A173A8">
            <w:pPr>
              <w:spacing w:after="100"/>
              <w:rPr>
                <w:rFonts w:eastAsia="Times New Roman"/>
                <w:sz w:val="20"/>
                <w:szCs w:val="20"/>
              </w:rPr>
            </w:pPr>
          </w:p>
        </w:tc>
      </w:tr>
      <w:tr w:rsidR="00000000" w14:paraId="553B0B61" w14:textId="77777777">
        <w:trPr>
          <w:divId w:val="422608506"/>
        </w:trPr>
        <w:tc>
          <w:tcPr>
            <w:tcW w:w="0" w:type="auto"/>
            <w:gridSpan w:val="3"/>
            <w:shd w:val="clear" w:color="auto" w:fill="FFFFFF"/>
            <w:tcMar>
              <w:top w:w="30" w:type="dxa"/>
              <w:left w:w="20" w:type="dxa"/>
              <w:bottom w:w="30" w:type="dxa"/>
              <w:right w:w="20" w:type="dxa"/>
            </w:tcMar>
            <w:vAlign w:val="center"/>
            <w:hideMark/>
          </w:tcPr>
          <w:p w14:paraId="49987EBC" w14:textId="77777777" w:rsidR="00000000" w:rsidRDefault="00A173A8">
            <w:pPr>
              <w:spacing w:after="100"/>
              <w:divId w:val="1871143245"/>
              <w:rPr>
                <w:rFonts w:eastAsia="Times New Roman"/>
              </w:rPr>
            </w:pPr>
            <w:r>
              <w:rPr>
                <w:rFonts w:eastAsia="Times New Roman"/>
                <w:color w:val="000000"/>
                <w:sz w:val="20"/>
                <w:szCs w:val="20"/>
              </w:rPr>
              <w:t>Common equity Tier 1 capita</w:t>
            </w:r>
            <w:r>
              <w:rPr>
                <w:rFonts w:eastAsia="Times New Roman"/>
                <w:color w:val="000000"/>
                <w:sz w:val="20"/>
                <w:szCs w:val="20"/>
              </w:rPr>
              <w:t>l</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A42CE7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FF756C3" w14:textId="77777777" w:rsidR="00000000" w:rsidRDefault="00A173A8">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EC865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F918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DE917A" w14:textId="77777777" w:rsidR="00000000" w:rsidRDefault="00A173A8">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C7FE05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D6BF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B3321A" w14:textId="77777777" w:rsidR="00000000" w:rsidRDefault="00A173A8">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C95EDB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CD0B0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2CD01B" w14:textId="77777777" w:rsidR="00000000" w:rsidRDefault="00A173A8">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center"/>
            <w:hideMark/>
          </w:tcPr>
          <w:p w14:paraId="7138570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E87E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5F4D01" w14:textId="77777777" w:rsidR="00000000" w:rsidRDefault="00A173A8">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14:paraId="2319F4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0793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C63328" w14:textId="77777777" w:rsidR="00000000" w:rsidRDefault="00A173A8">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center"/>
            <w:hideMark/>
          </w:tcPr>
          <w:p w14:paraId="63A53DA7" w14:textId="77777777" w:rsidR="00000000" w:rsidRDefault="00A173A8">
            <w:pPr>
              <w:spacing w:after="100"/>
              <w:jc w:val="right"/>
              <w:rPr>
                <w:rFonts w:eastAsia="Times New Roman"/>
              </w:rPr>
            </w:pPr>
          </w:p>
        </w:tc>
      </w:tr>
      <w:tr w:rsidR="00000000" w14:paraId="125FF7AA" w14:textId="77777777">
        <w:trPr>
          <w:divId w:val="422608506"/>
        </w:trPr>
        <w:tc>
          <w:tcPr>
            <w:tcW w:w="0" w:type="auto"/>
            <w:gridSpan w:val="3"/>
            <w:shd w:val="clear" w:color="auto" w:fill="CCEEFF"/>
            <w:tcMar>
              <w:top w:w="30" w:type="dxa"/>
              <w:left w:w="20" w:type="dxa"/>
              <w:bottom w:w="30" w:type="dxa"/>
              <w:right w:w="20" w:type="dxa"/>
            </w:tcMar>
            <w:vAlign w:val="center"/>
            <w:hideMark/>
          </w:tcPr>
          <w:p w14:paraId="55306EAA" w14:textId="77777777" w:rsidR="00000000" w:rsidRDefault="00A173A8">
            <w:pPr>
              <w:spacing w:after="100"/>
              <w:divId w:val="2026781877"/>
              <w:rPr>
                <w:rFonts w:eastAsia="Times New Roman"/>
              </w:rPr>
            </w:pPr>
            <w:r>
              <w:rPr>
                <w:rFonts w:eastAsia="Times New Roman"/>
                <w:color w:val="000000"/>
                <w:sz w:val="20"/>
                <w:szCs w:val="20"/>
              </w:rPr>
              <w:t>Tier 1 capita</w:t>
            </w:r>
            <w:r>
              <w:rPr>
                <w:rFonts w:eastAsia="Times New Roman"/>
                <w:color w:val="000000"/>
                <w:sz w:val="20"/>
                <w:szCs w:val="20"/>
              </w:rPr>
              <w:t>l</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E12553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05BD035" w14:textId="77777777" w:rsidR="00000000" w:rsidRDefault="00A173A8">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D4F68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7C30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E159CE" w14:textId="77777777" w:rsidR="00000000" w:rsidRDefault="00A173A8">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73EF62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5E02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242109" w14:textId="77777777" w:rsidR="00000000" w:rsidRDefault="00A173A8">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314484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6EA1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EE998A" w14:textId="77777777" w:rsidR="00000000" w:rsidRDefault="00A173A8">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center"/>
            <w:hideMark/>
          </w:tcPr>
          <w:p w14:paraId="0B853DA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A95D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725993" w14:textId="77777777" w:rsidR="00000000" w:rsidRDefault="00A173A8">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27E356C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84422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EA4DFA" w14:textId="77777777" w:rsidR="00000000" w:rsidRDefault="00A173A8">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center"/>
            <w:hideMark/>
          </w:tcPr>
          <w:p w14:paraId="42BE1CB4" w14:textId="77777777" w:rsidR="00000000" w:rsidRDefault="00A173A8">
            <w:pPr>
              <w:spacing w:after="100"/>
              <w:jc w:val="right"/>
              <w:rPr>
                <w:rFonts w:eastAsia="Times New Roman"/>
              </w:rPr>
            </w:pPr>
          </w:p>
        </w:tc>
      </w:tr>
      <w:tr w:rsidR="00000000" w14:paraId="27CFDF98" w14:textId="77777777">
        <w:trPr>
          <w:divId w:val="422608506"/>
        </w:trPr>
        <w:tc>
          <w:tcPr>
            <w:tcW w:w="0" w:type="auto"/>
            <w:gridSpan w:val="3"/>
            <w:shd w:val="clear" w:color="auto" w:fill="FFFFFF"/>
            <w:tcMar>
              <w:top w:w="30" w:type="dxa"/>
              <w:left w:w="20" w:type="dxa"/>
              <w:bottom w:w="30" w:type="dxa"/>
              <w:right w:w="20" w:type="dxa"/>
            </w:tcMar>
            <w:vAlign w:val="center"/>
            <w:hideMark/>
          </w:tcPr>
          <w:p w14:paraId="06ACF92C" w14:textId="77777777" w:rsidR="00000000" w:rsidRDefault="00A173A8">
            <w:pPr>
              <w:spacing w:after="100"/>
              <w:divId w:val="2056733864"/>
              <w:rPr>
                <w:rFonts w:eastAsia="Times New Roman"/>
              </w:rPr>
            </w:pPr>
            <w:r>
              <w:rPr>
                <w:rFonts w:eastAsia="Times New Roman"/>
                <w:color w:val="000000"/>
                <w:sz w:val="20"/>
                <w:szCs w:val="20"/>
              </w:rPr>
              <w:t>Total capita</w:t>
            </w:r>
            <w:r>
              <w:rPr>
                <w:rFonts w:eastAsia="Times New Roman"/>
                <w:color w:val="000000"/>
                <w:sz w:val="20"/>
                <w:szCs w:val="20"/>
              </w:rPr>
              <w:t>l</w:t>
            </w:r>
            <w:r>
              <w:rPr>
                <w:rFonts w:eastAsia="Times New Roman"/>
                <w:color w:val="000000"/>
                <w:sz w:val="13"/>
                <w:szCs w:val="13"/>
              </w:rPr>
              <w:t>(5</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14:paraId="34DFBA3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5F8AB47" w14:textId="77777777" w:rsidR="00000000" w:rsidRDefault="00A173A8">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FCF72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C2D1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0A1569" w14:textId="77777777" w:rsidR="00000000" w:rsidRDefault="00A173A8">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EE4190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066F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9A509F" w14:textId="77777777" w:rsidR="00000000" w:rsidRDefault="00A173A8">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6139D2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0E69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1C0221" w14:textId="77777777" w:rsidR="00000000" w:rsidRDefault="00A173A8">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center"/>
            <w:hideMark/>
          </w:tcPr>
          <w:p w14:paraId="0A8A97D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EEC8A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946A16" w14:textId="77777777" w:rsidR="00000000" w:rsidRDefault="00A173A8">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center"/>
            <w:hideMark/>
          </w:tcPr>
          <w:p w14:paraId="18B6A9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DDC5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4ABC1E" w14:textId="77777777" w:rsidR="00000000" w:rsidRDefault="00A173A8">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center"/>
            <w:hideMark/>
          </w:tcPr>
          <w:p w14:paraId="591F7B73" w14:textId="77777777" w:rsidR="00000000" w:rsidRDefault="00A173A8">
            <w:pPr>
              <w:spacing w:after="100"/>
              <w:jc w:val="right"/>
              <w:rPr>
                <w:rFonts w:eastAsia="Times New Roman"/>
              </w:rPr>
            </w:pPr>
          </w:p>
        </w:tc>
      </w:tr>
      <w:tr w:rsidR="00000000" w14:paraId="299033ED" w14:textId="77777777">
        <w:trPr>
          <w:divId w:val="422608506"/>
        </w:trPr>
        <w:tc>
          <w:tcPr>
            <w:tcW w:w="0" w:type="auto"/>
            <w:gridSpan w:val="3"/>
            <w:shd w:val="clear" w:color="auto" w:fill="CCEEFF"/>
            <w:tcMar>
              <w:top w:w="30" w:type="dxa"/>
              <w:left w:w="20" w:type="dxa"/>
              <w:bottom w:w="30" w:type="dxa"/>
              <w:right w:w="20" w:type="dxa"/>
            </w:tcMar>
            <w:vAlign w:val="center"/>
            <w:hideMark/>
          </w:tcPr>
          <w:p w14:paraId="6CC18483" w14:textId="77777777" w:rsidR="00000000" w:rsidRDefault="00A173A8">
            <w:pPr>
              <w:spacing w:after="100"/>
              <w:divId w:val="1976791827"/>
              <w:rPr>
                <w:rFonts w:eastAsia="Times New Roman"/>
              </w:rPr>
            </w:pPr>
            <w:r>
              <w:rPr>
                <w:rFonts w:eastAsia="Times New Roman"/>
                <w:color w:val="000000"/>
                <w:sz w:val="20"/>
                <w:szCs w:val="20"/>
              </w:rPr>
              <w:t>Tier 1 leverag</w:t>
            </w:r>
            <w:r>
              <w:rPr>
                <w:rFonts w:eastAsia="Times New Roman"/>
                <w:color w:val="000000"/>
                <w:sz w:val="20"/>
                <w:szCs w:val="20"/>
              </w:rPr>
              <w:t>e</w:t>
            </w:r>
            <w:r>
              <w:rPr>
                <w:rFonts w:eastAsia="Times New Roman"/>
                <w:color w:val="000000"/>
                <w:sz w:val="13"/>
                <w:szCs w:val="13"/>
              </w:rPr>
              <w:t>(6</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7057B9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8624BC3" w14:textId="77777777" w:rsidR="00000000" w:rsidRDefault="00A173A8">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E01226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1837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6E237D" w14:textId="77777777" w:rsidR="00000000" w:rsidRDefault="00A173A8">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D54140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225E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C57120" w14:textId="77777777" w:rsidR="00000000" w:rsidRDefault="00A173A8">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391C0C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D585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53482A" w14:textId="77777777" w:rsidR="00000000" w:rsidRDefault="00A173A8">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center"/>
            <w:hideMark/>
          </w:tcPr>
          <w:p w14:paraId="3A045A6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E32C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C00AE9" w14:textId="77777777" w:rsidR="00000000" w:rsidRDefault="00A173A8">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center"/>
            <w:hideMark/>
          </w:tcPr>
          <w:p w14:paraId="456F731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E5EF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AF0DDD" w14:textId="77777777" w:rsidR="00000000" w:rsidRDefault="00A173A8">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center"/>
            <w:hideMark/>
          </w:tcPr>
          <w:p w14:paraId="2BB3BE17" w14:textId="77777777" w:rsidR="00000000" w:rsidRDefault="00A173A8">
            <w:pPr>
              <w:spacing w:after="100"/>
              <w:jc w:val="right"/>
              <w:rPr>
                <w:rFonts w:eastAsia="Times New Roman"/>
              </w:rPr>
            </w:pPr>
          </w:p>
        </w:tc>
      </w:tr>
      <w:tr w:rsidR="00000000" w14:paraId="17154BAF" w14:textId="77777777">
        <w:trPr>
          <w:divId w:val="422608506"/>
        </w:trPr>
        <w:tc>
          <w:tcPr>
            <w:tcW w:w="0" w:type="auto"/>
            <w:gridSpan w:val="3"/>
            <w:shd w:val="clear" w:color="auto" w:fill="FFFFFF"/>
            <w:tcMar>
              <w:top w:w="30" w:type="dxa"/>
              <w:left w:w="20" w:type="dxa"/>
              <w:bottom w:w="30" w:type="dxa"/>
              <w:right w:w="20" w:type="dxa"/>
            </w:tcMar>
            <w:vAlign w:val="center"/>
            <w:hideMark/>
          </w:tcPr>
          <w:p w14:paraId="1C24CE16" w14:textId="77777777" w:rsidR="00000000" w:rsidRDefault="00A173A8">
            <w:pPr>
              <w:spacing w:after="100"/>
              <w:divId w:val="1066998098"/>
              <w:rPr>
                <w:rFonts w:eastAsia="Times New Roman"/>
              </w:rPr>
            </w:pPr>
            <w:r>
              <w:rPr>
                <w:rFonts w:eastAsia="Times New Roman"/>
                <w:color w:val="000000"/>
                <w:sz w:val="20"/>
                <w:szCs w:val="20"/>
              </w:rPr>
              <w:t>Supplementary leverag</w:t>
            </w:r>
            <w:r>
              <w:rPr>
                <w:rFonts w:eastAsia="Times New Roman"/>
                <w:color w:val="000000"/>
                <w:sz w:val="20"/>
                <w:szCs w:val="20"/>
              </w:rPr>
              <w:t>e</w:t>
            </w:r>
            <w:r>
              <w:rPr>
                <w:rFonts w:eastAsia="Times New Roman"/>
                <w:color w:val="000000"/>
                <w:sz w:val="13"/>
                <w:szCs w:val="13"/>
              </w:rPr>
              <w:t>(7</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B02E44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8FD54A9" w14:textId="77777777" w:rsidR="00000000" w:rsidRDefault="00A173A8">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9A5A6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F2F1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EE70BA" w14:textId="77777777" w:rsidR="00000000" w:rsidRDefault="00A173A8">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26774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FFF8D"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632B7719" w14:textId="77777777" w:rsidR="00000000" w:rsidRDefault="00A173A8">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1584E0BD"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5AE604B" w14:textId="77777777" w:rsidR="00000000" w:rsidRDefault="00A173A8">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center"/>
            <w:hideMark/>
          </w:tcPr>
          <w:p w14:paraId="2DB0E8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351E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F92278" w14:textId="77777777" w:rsidR="00000000" w:rsidRDefault="00A173A8">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14:paraId="27AC27A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99473"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5D40B965" w14:textId="77777777" w:rsidR="00000000" w:rsidRDefault="00A173A8">
            <w:pPr>
              <w:spacing w:after="100"/>
              <w:jc w:val="right"/>
              <w:rPr>
                <w:rFonts w:eastAsia="Times New Roman"/>
              </w:rPr>
            </w:pPr>
            <w:r>
              <w:rPr>
                <w:rFonts w:eastAsia="Times New Roman"/>
                <w:color w:val="000000"/>
                <w:sz w:val="20"/>
                <w:szCs w:val="20"/>
              </w:rPr>
              <w:t>N/A</w:t>
            </w:r>
          </w:p>
        </w:tc>
      </w:tr>
    </w:tbl>
    <w:p w14:paraId="270532F2" w14:textId="77777777" w:rsidR="00000000" w:rsidRDefault="00A173A8">
      <w:pPr>
        <w:divId w:val="422608506"/>
        <w:rPr>
          <w:rFonts w:eastAsia="Times New Roman"/>
        </w:rPr>
      </w:pPr>
      <w:r>
        <w:rPr>
          <w:rFonts w:eastAsia="Times New Roman"/>
          <w:color w:val="000000"/>
          <w:sz w:val="20"/>
          <w:szCs w:val="20"/>
        </w:rPr>
        <w:t>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FBEAFE2" w14:textId="77777777">
        <w:trPr>
          <w:divId w:val="1450974521"/>
          <w:jc w:val="center"/>
        </w:trPr>
        <w:tc>
          <w:tcPr>
            <w:tcW w:w="50" w:type="pct"/>
            <w:vAlign w:val="center"/>
            <w:hideMark/>
          </w:tcPr>
          <w:p w14:paraId="0D803480" w14:textId="77777777" w:rsidR="00000000" w:rsidRDefault="00A173A8">
            <w:pPr>
              <w:rPr>
                <w:rFonts w:eastAsia="Times New Roman"/>
              </w:rPr>
            </w:pPr>
          </w:p>
        </w:tc>
        <w:tc>
          <w:tcPr>
            <w:tcW w:w="1606" w:type="pct"/>
            <w:vAlign w:val="center"/>
            <w:hideMark/>
          </w:tcPr>
          <w:p w14:paraId="0A6ACA07" w14:textId="77777777" w:rsidR="00000000" w:rsidRDefault="00A173A8">
            <w:pPr>
              <w:spacing w:after="100"/>
              <w:rPr>
                <w:rFonts w:eastAsia="Times New Roman"/>
                <w:sz w:val="20"/>
                <w:szCs w:val="20"/>
              </w:rPr>
            </w:pPr>
          </w:p>
        </w:tc>
        <w:tc>
          <w:tcPr>
            <w:tcW w:w="5" w:type="pct"/>
            <w:vAlign w:val="center"/>
            <w:hideMark/>
          </w:tcPr>
          <w:p w14:paraId="3DD51282" w14:textId="77777777" w:rsidR="00000000" w:rsidRDefault="00A173A8">
            <w:pPr>
              <w:spacing w:after="100"/>
              <w:rPr>
                <w:rFonts w:eastAsia="Times New Roman"/>
                <w:sz w:val="20"/>
                <w:szCs w:val="20"/>
              </w:rPr>
            </w:pPr>
          </w:p>
        </w:tc>
        <w:tc>
          <w:tcPr>
            <w:tcW w:w="50" w:type="pct"/>
            <w:vAlign w:val="center"/>
            <w:hideMark/>
          </w:tcPr>
          <w:p w14:paraId="3233E643" w14:textId="77777777" w:rsidR="00000000" w:rsidRDefault="00A173A8">
            <w:pPr>
              <w:spacing w:after="100"/>
              <w:rPr>
                <w:rFonts w:eastAsia="Times New Roman"/>
                <w:sz w:val="20"/>
                <w:szCs w:val="20"/>
              </w:rPr>
            </w:pPr>
          </w:p>
        </w:tc>
        <w:tc>
          <w:tcPr>
            <w:tcW w:w="1614" w:type="pct"/>
            <w:vAlign w:val="center"/>
            <w:hideMark/>
          </w:tcPr>
          <w:p w14:paraId="0C155470" w14:textId="77777777" w:rsidR="00000000" w:rsidRDefault="00A173A8">
            <w:pPr>
              <w:spacing w:after="100"/>
              <w:rPr>
                <w:rFonts w:eastAsia="Times New Roman"/>
                <w:sz w:val="20"/>
                <w:szCs w:val="20"/>
              </w:rPr>
            </w:pPr>
          </w:p>
        </w:tc>
        <w:tc>
          <w:tcPr>
            <w:tcW w:w="5" w:type="pct"/>
            <w:vAlign w:val="center"/>
            <w:hideMark/>
          </w:tcPr>
          <w:p w14:paraId="2954F3BA" w14:textId="77777777" w:rsidR="00000000" w:rsidRDefault="00A173A8">
            <w:pPr>
              <w:spacing w:after="100"/>
              <w:rPr>
                <w:rFonts w:eastAsia="Times New Roman"/>
                <w:sz w:val="20"/>
                <w:szCs w:val="20"/>
              </w:rPr>
            </w:pPr>
          </w:p>
        </w:tc>
        <w:tc>
          <w:tcPr>
            <w:tcW w:w="50" w:type="pct"/>
            <w:vAlign w:val="center"/>
            <w:hideMark/>
          </w:tcPr>
          <w:p w14:paraId="3B16F266" w14:textId="77777777" w:rsidR="00000000" w:rsidRDefault="00A173A8">
            <w:pPr>
              <w:spacing w:after="100"/>
              <w:rPr>
                <w:rFonts w:eastAsia="Times New Roman"/>
                <w:sz w:val="20"/>
                <w:szCs w:val="20"/>
              </w:rPr>
            </w:pPr>
          </w:p>
        </w:tc>
        <w:tc>
          <w:tcPr>
            <w:tcW w:w="1614" w:type="pct"/>
            <w:vAlign w:val="center"/>
            <w:hideMark/>
          </w:tcPr>
          <w:p w14:paraId="7A5E05FF" w14:textId="77777777" w:rsidR="00000000" w:rsidRDefault="00A173A8">
            <w:pPr>
              <w:spacing w:after="100"/>
              <w:rPr>
                <w:rFonts w:eastAsia="Times New Roman"/>
                <w:sz w:val="20"/>
                <w:szCs w:val="20"/>
              </w:rPr>
            </w:pPr>
          </w:p>
        </w:tc>
        <w:tc>
          <w:tcPr>
            <w:tcW w:w="5" w:type="pct"/>
            <w:vAlign w:val="center"/>
            <w:hideMark/>
          </w:tcPr>
          <w:p w14:paraId="04190AC4" w14:textId="77777777" w:rsidR="00000000" w:rsidRDefault="00A173A8">
            <w:pPr>
              <w:spacing w:after="100"/>
              <w:rPr>
                <w:rFonts w:eastAsia="Times New Roman"/>
                <w:sz w:val="20"/>
                <w:szCs w:val="20"/>
              </w:rPr>
            </w:pPr>
          </w:p>
        </w:tc>
      </w:tr>
      <w:tr w:rsidR="00000000" w14:paraId="602C667D" w14:textId="77777777">
        <w:trPr>
          <w:divId w:val="1450974521"/>
          <w:trHeight w:val="300"/>
          <w:jc w:val="center"/>
        </w:trPr>
        <w:tc>
          <w:tcPr>
            <w:tcW w:w="0" w:type="auto"/>
            <w:gridSpan w:val="9"/>
            <w:tcMar>
              <w:top w:w="0" w:type="dxa"/>
              <w:left w:w="20" w:type="dxa"/>
              <w:bottom w:w="0" w:type="dxa"/>
              <w:right w:w="20" w:type="dxa"/>
            </w:tcMar>
            <w:vAlign w:val="center"/>
            <w:hideMark/>
          </w:tcPr>
          <w:p w14:paraId="616E5128" w14:textId="77777777" w:rsidR="00000000" w:rsidRDefault="00A173A8">
            <w:pPr>
              <w:spacing w:after="100"/>
              <w:rPr>
                <w:rFonts w:eastAsia="Times New Roman"/>
                <w:sz w:val="20"/>
                <w:szCs w:val="20"/>
              </w:rPr>
            </w:pPr>
          </w:p>
        </w:tc>
      </w:tr>
      <w:tr w:rsidR="00000000" w14:paraId="2976035B" w14:textId="77777777">
        <w:trPr>
          <w:divId w:val="1450974521"/>
          <w:jc w:val="center"/>
        </w:trPr>
        <w:tc>
          <w:tcPr>
            <w:tcW w:w="0" w:type="auto"/>
            <w:gridSpan w:val="3"/>
            <w:tcMar>
              <w:top w:w="0" w:type="dxa"/>
              <w:left w:w="20" w:type="dxa"/>
              <w:bottom w:w="0" w:type="dxa"/>
              <w:right w:w="20" w:type="dxa"/>
            </w:tcMar>
            <w:vAlign w:val="center"/>
            <w:hideMark/>
          </w:tcPr>
          <w:p w14:paraId="2264A606"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A41FB24" w14:textId="77777777" w:rsidR="00000000" w:rsidRDefault="00A173A8">
            <w:pPr>
              <w:spacing w:after="100"/>
              <w:jc w:val="center"/>
              <w:rPr>
                <w:rFonts w:eastAsia="Times New Roman"/>
              </w:rPr>
            </w:pPr>
            <w:r>
              <w:rPr>
                <w:rFonts w:eastAsia="Times New Roman"/>
                <w:color w:val="000000"/>
                <w:sz w:val="16"/>
                <w:szCs w:val="16"/>
              </w:rPr>
              <w:t>31</w:t>
            </w:r>
          </w:p>
        </w:tc>
        <w:tc>
          <w:tcPr>
            <w:tcW w:w="0" w:type="auto"/>
            <w:gridSpan w:val="3"/>
            <w:tcMar>
              <w:top w:w="30" w:type="dxa"/>
              <w:left w:w="20" w:type="dxa"/>
              <w:bottom w:w="30" w:type="dxa"/>
              <w:right w:w="20" w:type="dxa"/>
            </w:tcMar>
            <w:vAlign w:val="bottom"/>
            <w:hideMark/>
          </w:tcPr>
          <w:p w14:paraId="204C481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F6B769A" w14:textId="77777777" w:rsidR="00000000" w:rsidRDefault="00A173A8">
      <w:pPr>
        <w:rPr>
          <w:rFonts w:eastAsia="Times New Roman"/>
        </w:rPr>
      </w:pPr>
      <w:r>
        <w:rPr>
          <w:rFonts w:eastAsia="Times New Roman"/>
        </w:rPr>
        <w:pict w14:anchorId="6BC38AD9">
          <v:rect id="_x0000_i1056" style="width:0;height:1.5pt" o:hralign="center" o:hrstd="t" o:hr="t" fillcolor="#a0a0a0" stroked="f"/>
        </w:pict>
      </w:r>
    </w:p>
    <w:p w14:paraId="48B1C2CB" w14:textId="77777777" w:rsidR="00000000" w:rsidRDefault="00A173A8">
      <w:pPr>
        <w:ind w:hanging="360"/>
        <w:jc w:val="both"/>
        <w:divId w:val="1400059583"/>
        <w:rPr>
          <w:rFonts w:eastAsia="Times New Roman"/>
        </w:rPr>
      </w:pPr>
      <w:hyperlink w:anchor="i7ffd5d61af6f4722b1b1b07530d51c06_13" w:history="1">
        <w:r>
          <w:rPr>
            <w:rStyle w:val="a3"/>
            <w:rFonts w:eastAsia="Times New Roman"/>
            <w:sz w:val="16"/>
            <w:szCs w:val="16"/>
          </w:rPr>
          <w:t>Table of Contents</w:t>
        </w:r>
      </w:hyperlink>
    </w:p>
    <w:p w14:paraId="668ABF35" w14:textId="77777777" w:rsidR="00000000" w:rsidRDefault="00A173A8">
      <w:pPr>
        <w:ind w:hanging="360"/>
        <w:jc w:val="both"/>
        <w:divId w:val="120837844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requirements that are not applicable are denoted by “N/A.”</w:t>
      </w:r>
    </w:p>
    <w:p w14:paraId="73D64FCF" w14:textId="77777777" w:rsidR="00000000" w:rsidRDefault="00A173A8">
      <w:pPr>
        <w:ind w:hanging="360"/>
        <w:jc w:val="both"/>
        <w:divId w:val="209612894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Ratios as of June 30, 2022 are preliminary and therefore subject to change until we file our June 30, 2022 Form FR Y-9C—Consolidated Financial Statements for Holding Companies and Call Reports.</w:t>
      </w:r>
    </w:p>
    <w:p w14:paraId="7FC0A631" w14:textId="77777777" w:rsidR="00000000" w:rsidRDefault="00A173A8">
      <w:pPr>
        <w:ind w:hanging="360"/>
        <w:jc w:val="both"/>
        <w:divId w:val="193871327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Common equity Tier 1 capital ratio is a regulatory capital </w:t>
      </w:r>
      <w:r>
        <w:rPr>
          <w:rFonts w:eastAsia="Times New Roman"/>
          <w:color w:val="000000"/>
          <w:sz w:val="16"/>
          <w:szCs w:val="16"/>
        </w:rPr>
        <w:t>measure calculated based on common equity Tier 1 capital divided by risk-weighted assets.</w:t>
      </w:r>
    </w:p>
    <w:p w14:paraId="1CB49885" w14:textId="77777777" w:rsidR="00000000" w:rsidRDefault="00A173A8">
      <w:pPr>
        <w:ind w:hanging="360"/>
        <w:jc w:val="both"/>
        <w:divId w:val="1912615676"/>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Tier 1 capital ratio is a regulatory capital measure calculated based on Tier 1 capital divided by risk-weighted assets.</w:t>
      </w:r>
    </w:p>
    <w:p w14:paraId="574BDD63" w14:textId="77777777" w:rsidR="00000000" w:rsidRDefault="00A173A8">
      <w:pPr>
        <w:ind w:hanging="360"/>
        <w:jc w:val="both"/>
        <w:divId w:val="216943193"/>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Total capital ratio is a regulatory cap</w:t>
      </w:r>
      <w:r>
        <w:rPr>
          <w:rFonts w:eastAsia="Times New Roman"/>
          <w:color w:val="000000"/>
          <w:sz w:val="16"/>
          <w:szCs w:val="16"/>
        </w:rPr>
        <w:t>ital measure calculated based on total capital divided by risk-weighted assets.</w:t>
      </w:r>
    </w:p>
    <w:p w14:paraId="14790C37" w14:textId="77777777" w:rsidR="00000000" w:rsidRDefault="00A173A8">
      <w:pPr>
        <w:ind w:hanging="360"/>
        <w:jc w:val="both"/>
        <w:divId w:val="1493370573"/>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Tier 1 leverage ratio is a regulatory capital measure calculated based on Tier 1 capital divided by adjusted average assets.</w:t>
      </w:r>
    </w:p>
    <w:p w14:paraId="02D64704" w14:textId="77777777" w:rsidR="00000000" w:rsidRDefault="00A173A8">
      <w:pPr>
        <w:ind w:hanging="360"/>
        <w:jc w:val="both"/>
        <w:divId w:val="1593319948"/>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 xml:space="preserve">Supplementary leverage ratio is a regulatory </w:t>
      </w:r>
      <w:r>
        <w:rPr>
          <w:rFonts w:eastAsia="Times New Roman"/>
          <w:color w:val="000000"/>
          <w:sz w:val="16"/>
          <w:szCs w:val="16"/>
        </w:rPr>
        <w:t>capital measure calculated based on Tier 1 capital divided by total leverage exposure.</w:t>
      </w:r>
    </w:p>
    <w:p w14:paraId="716F1E4C" w14:textId="77777777" w:rsidR="00000000" w:rsidRDefault="00A173A8">
      <w:pPr>
        <w:ind w:firstLine="360"/>
        <w:jc w:val="both"/>
        <w:divId w:val="645203980"/>
        <w:rPr>
          <w:rFonts w:eastAsia="Times New Roman"/>
        </w:rPr>
      </w:pPr>
    </w:p>
    <w:p w14:paraId="4EEA2C24" w14:textId="77777777" w:rsidR="00000000" w:rsidRDefault="00A173A8">
      <w:pPr>
        <w:jc w:val="both"/>
        <w:divId w:val="1151140821"/>
        <w:rPr>
          <w:rFonts w:eastAsia="Times New Roman"/>
        </w:rPr>
      </w:pPr>
      <w:r>
        <w:rPr>
          <w:rFonts w:eastAsia="Times New Roman"/>
          <w:color w:val="000000"/>
          <w:sz w:val="20"/>
          <w:szCs w:val="20"/>
        </w:rPr>
        <w:t>Table 14 presents regulatory capital under the Basel III Standardized Approach and regulatory capital metrics as of June 30, 2022 and December 31, 2021.</w:t>
      </w:r>
    </w:p>
    <w:p w14:paraId="08AC4C74" w14:textId="77777777" w:rsidR="00000000" w:rsidRDefault="00A173A8">
      <w:pPr>
        <w:divId w:val="304362722"/>
        <w:rPr>
          <w:rFonts w:eastAsia="Times New Roman"/>
        </w:rPr>
      </w:pPr>
      <w:r>
        <w:rPr>
          <w:rFonts w:eastAsia="Times New Roman"/>
          <w:b/>
          <w:bCs/>
          <w:color w:val="000000"/>
          <w:sz w:val="18"/>
          <w:szCs w:val="18"/>
        </w:rPr>
        <w:t>Table 14: Regu</w:t>
      </w:r>
      <w:r>
        <w:rPr>
          <w:rFonts w:eastAsia="Times New Roman"/>
          <w:b/>
          <w:bCs/>
          <w:color w:val="000000"/>
          <w:sz w:val="18"/>
          <w:szCs w:val="18"/>
        </w:rPr>
        <w:t>latory Risk-Based Capital Components and Regulatory Capital Metrics</w:t>
      </w:r>
    </w:p>
    <w:tbl>
      <w:tblPr>
        <w:tblW w:w="4985" w:type="pct"/>
        <w:tblCellMar>
          <w:top w:w="15" w:type="dxa"/>
          <w:left w:w="15" w:type="dxa"/>
          <w:bottom w:w="15" w:type="dxa"/>
          <w:right w:w="15" w:type="dxa"/>
        </w:tblCellMar>
        <w:tblLook w:val="04A0" w:firstRow="1" w:lastRow="0" w:firstColumn="1" w:lastColumn="0" w:noHBand="0" w:noVBand="1"/>
      </w:tblPr>
      <w:tblGrid>
        <w:gridCol w:w="38"/>
        <w:gridCol w:w="5588"/>
        <w:gridCol w:w="37"/>
        <w:gridCol w:w="36"/>
        <w:gridCol w:w="36"/>
        <w:gridCol w:w="36"/>
        <w:gridCol w:w="120"/>
        <w:gridCol w:w="1068"/>
        <w:gridCol w:w="36"/>
        <w:gridCol w:w="36"/>
        <w:gridCol w:w="36"/>
        <w:gridCol w:w="36"/>
        <w:gridCol w:w="120"/>
        <w:gridCol w:w="1022"/>
        <w:gridCol w:w="36"/>
      </w:tblGrid>
      <w:tr w:rsidR="00000000" w14:paraId="43BEA593" w14:textId="77777777">
        <w:trPr>
          <w:divId w:val="1813016301"/>
        </w:trPr>
        <w:tc>
          <w:tcPr>
            <w:tcW w:w="50" w:type="pct"/>
            <w:vAlign w:val="center"/>
            <w:hideMark/>
          </w:tcPr>
          <w:p w14:paraId="54FDBCC8" w14:textId="77777777" w:rsidR="00000000" w:rsidRDefault="00A173A8">
            <w:pPr>
              <w:rPr>
                <w:rFonts w:eastAsia="Times New Roman"/>
              </w:rPr>
            </w:pPr>
          </w:p>
        </w:tc>
        <w:tc>
          <w:tcPr>
            <w:tcW w:w="3412" w:type="pct"/>
            <w:vAlign w:val="center"/>
            <w:hideMark/>
          </w:tcPr>
          <w:p w14:paraId="254018CD" w14:textId="77777777" w:rsidR="00000000" w:rsidRDefault="00A173A8">
            <w:pPr>
              <w:spacing w:after="100"/>
              <w:rPr>
                <w:rFonts w:eastAsia="Times New Roman"/>
                <w:sz w:val="20"/>
                <w:szCs w:val="20"/>
              </w:rPr>
            </w:pPr>
          </w:p>
        </w:tc>
        <w:tc>
          <w:tcPr>
            <w:tcW w:w="5" w:type="pct"/>
            <w:vAlign w:val="center"/>
            <w:hideMark/>
          </w:tcPr>
          <w:p w14:paraId="270449A4" w14:textId="77777777" w:rsidR="00000000" w:rsidRDefault="00A173A8">
            <w:pPr>
              <w:spacing w:after="100"/>
              <w:rPr>
                <w:rFonts w:eastAsia="Times New Roman"/>
                <w:sz w:val="20"/>
                <w:szCs w:val="20"/>
              </w:rPr>
            </w:pPr>
          </w:p>
        </w:tc>
        <w:tc>
          <w:tcPr>
            <w:tcW w:w="5" w:type="pct"/>
            <w:vAlign w:val="center"/>
            <w:hideMark/>
          </w:tcPr>
          <w:p w14:paraId="6A89D1E5" w14:textId="77777777" w:rsidR="00000000" w:rsidRDefault="00A173A8">
            <w:pPr>
              <w:spacing w:after="100"/>
              <w:rPr>
                <w:rFonts w:eastAsia="Times New Roman"/>
                <w:sz w:val="20"/>
                <w:szCs w:val="20"/>
              </w:rPr>
            </w:pPr>
          </w:p>
        </w:tc>
        <w:tc>
          <w:tcPr>
            <w:tcW w:w="19" w:type="pct"/>
            <w:vAlign w:val="center"/>
            <w:hideMark/>
          </w:tcPr>
          <w:p w14:paraId="44463CAC" w14:textId="77777777" w:rsidR="00000000" w:rsidRDefault="00A173A8">
            <w:pPr>
              <w:spacing w:after="100"/>
              <w:rPr>
                <w:rFonts w:eastAsia="Times New Roman"/>
                <w:sz w:val="20"/>
                <w:szCs w:val="20"/>
              </w:rPr>
            </w:pPr>
          </w:p>
        </w:tc>
        <w:tc>
          <w:tcPr>
            <w:tcW w:w="5" w:type="pct"/>
            <w:vAlign w:val="center"/>
            <w:hideMark/>
          </w:tcPr>
          <w:p w14:paraId="55925D56" w14:textId="77777777" w:rsidR="00000000" w:rsidRDefault="00A173A8">
            <w:pPr>
              <w:spacing w:after="100"/>
              <w:rPr>
                <w:rFonts w:eastAsia="Times New Roman"/>
                <w:sz w:val="20"/>
                <w:szCs w:val="20"/>
              </w:rPr>
            </w:pPr>
          </w:p>
        </w:tc>
        <w:tc>
          <w:tcPr>
            <w:tcW w:w="50" w:type="pct"/>
            <w:vAlign w:val="center"/>
            <w:hideMark/>
          </w:tcPr>
          <w:p w14:paraId="6B1397B0" w14:textId="77777777" w:rsidR="00000000" w:rsidRDefault="00A173A8">
            <w:pPr>
              <w:spacing w:after="100"/>
              <w:rPr>
                <w:rFonts w:eastAsia="Times New Roman"/>
                <w:sz w:val="20"/>
                <w:szCs w:val="20"/>
              </w:rPr>
            </w:pPr>
          </w:p>
        </w:tc>
        <w:tc>
          <w:tcPr>
            <w:tcW w:w="678" w:type="pct"/>
            <w:vAlign w:val="center"/>
            <w:hideMark/>
          </w:tcPr>
          <w:p w14:paraId="69AF26E8" w14:textId="77777777" w:rsidR="00000000" w:rsidRDefault="00A173A8">
            <w:pPr>
              <w:spacing w:after="100"/>
              <w:rPr>
                <w:rFonts w:eastAsia="Times New Roman"/>
                <w:sz w:val="20"/>
                <w:szCs w:val="20"/>
              </w:rPr>
            </w:pPr>
          </w:p>
        </w:tc>
        <w:tc>
          <w:tcPr>
            <w:tcW w:w="5" w:type="pct"/>
            <w:vAlign w:val="center"/>
            <w:hideMark/>
          </w:tcPr>
          <w:p w14:paraId="7F7488BD" w14:textId="77777777" w:rsidR="00000000" w:rsidRDefault="00A173A8">
            <w:pPr>
              <w:spacing w:after="100"/>
              <w:rPr>
                <w:rFonts w:eastAsia="Times New Roman"/>
                <w:sz w:val="20"/>
                <w:szCs w:val="20"/>
              </w:rPr>
            </w:pPr>
          </w:p>
        </w:tc>
        <w:tc>
          <w:tcPr>
            <w:tcW w:w="5" w:type="pct"/>
            <w:vAlign w:val="center"/>
            <w:hideMark/>
          </w:tcPr>
          <w:p w14:paraId="34AEC188" w14:textId="77777777" w:rsidR="00000000" w:rsidRDefault="00A173A8">
            <w:pPr>
              <w:spacing w:after="100"/>
              <w:rPr>
                <w:rFonts w:eastAsia="Times New Roman"/>
                <w:sz w:val="20"/>
                <w:szCs w:val="20"/>
              </w:rPr>
            </w:pPr>
          </w:p>
        </w:tc>
        <w:tc>
          <w:tcPr>
            <w:tcW w:w="26" w:type="pct"/>
            <w:vAlign w:val="center"/>
            <w:hideMark/>
          </w:tcPr>
          <w:p w14:paraId="2F435673" w14:textId="77777777" w:rsidR="00000000" w:rsidRDefault="00A173A8">
            <w:pPr>
              <w:spacing w:after="100"/>
              <w:rPr>
                <w:rFonts w:eastAsia="Times New Roman"/>
                <w:sz w:val="20"/>
                <w:szCs w:val="20"/>
              </w:rPr>
            </w:pPr>
          </w:p>
        </w:tc>
        <w:tc>
          <w:tcPr>
            <w:tcW w:w="5" w:type="pct"/>
            <w:vAlign w:val="center"/>
            <w:hideMark/>
          </w:tcPr>
          <w:p w14:paraId="45583DAA" w14:textId="77777777" w:rsidR="00000000" w:rsidRDefault="00A173A8">
            <w:pPr>
              <w:spacing w:after="100"/>
              <w:rPr>
                <w:rFonts w:eastAsia="Times New Roman"/>
                <w:sz w:val="20"/>
                <w:szCs w:val="20"/>
              </w:rPr>
            </w:pPr>
          </w:p>
        </w:tc>
        <w:tc>
          <w:tcPr>
            <w:tcW w:w="50" w:type="pct"/>
            <w:vAlign w:val="center"/>
            <w:hideMark/>
          </w:tcPr>
          <w:p w14:paraId="65426BF6" w14:textId="77777777" w:rsidR="00000000" w:rsidRDefault="00A173A8">
            <w:pPr>
              <w:spacing w:after="100"/>
              <w:rPr>
                <w:rFonts w:eastAsia="Times New Roman"/>
                <w:sz w:val="20"/>
                <w:szCs w:val="20"/>
              </w:rPr>
            </w:pPr>
          </w:p>
        </w:tc>
        <w:tc>
          <w:tcPr>
            <w:tcW w:w="678" w:type="pct"/>
            <w:vAlign w:val="center"/>
            <w:hideMark/>
          </w:tcPr>
          <w:p w14:paraId="4034A7F7" w14:textId="77777777" w:rsidR="00000000" w:rsidRDefault="00A173A8">
            <w:pPr>
              <w:spacing w:after="100"/>
              <w:rPr>
                <w:rFonts w:eastAsia="Times New Roman"/>
                <w:sz w:val="20"/>
                <w:szCs w:val="20"/>
              </w:rPr>
            </w:pPr>
          </w:p>
        </w:tc>
        <w:tc>
          <w:tcPr>
            <w:tcW w:w="5" w:type="pct"/>
            <w:vAlign w:val="center"/>
            <w:hideMark/>
          </w:tcPr>
          <w:p w14:paraId="3F1C8247" w14:textId="77777777" w:rsidR="00000000" w:rsidRDefault="00A173A8">
            <w:pPr>
              <w:spacing w:after="100"/>
              <w:rPr>
                <w:rFonts w:eastAsia="Times New Roman"/>
                <w:sz w:val="20"/>
                <w:szCs w:val="20"/>
              </w:rPr>
            </w:pPr>
          </w:p>
        </w:tc>
      </w:tr>
      <w:tr w:rsidR="00000000" w14:paraId="5F47BF7A" w14:textId="77777777">
        <w:trPr>
          <w:divId w:val="1813016301"/>
        </w:trPr>
        <w:tc>
          <w:tcPr>
            <w:tcW w:w="0" w:type="auto"/>
            <w:gridSpan w:val="3"/>
            <w:shd w:val="clear" w:color="auto" w:fill="FFFFFF"/>
            <w:tcMar>
              <w:top w:w="30" w:type="dxa"/>
              <w:left w:w="20" w:type="dxa"/>
              <w:bottom w:w="30" w:type="dxa"/>
              <w:right w:w="20" w:type="dxa"/>
            </w:tcMar>
            <w:vAlign w:val="bottom"/>
            <w:hideMark/>
          </w:tcPr>
          <w:p w14:paraId="03E2D2B2"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shd w:val="clear" w:color="auto" w:fill="FFFFFF"/>
            <w:tcMar>
              <w:top w:w="0" w:type="dxa"/>
              <w:left w:w="20" w:type="dxa"/>
              <w:bottom w:w="0" w:type="dxa"/>
              <w:right w:w="20" w:type="dxa"/>
            </w:tcMar>
            <w:vAlign w:val="center"/>
            <w:hideMark/>
          </w:tcPr>
          <w:p w14:paraId="2FB9A56C"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center"/>
            <w:hideMark/>
          </w:tcPr>
          <w:p w14:paraId="000BE0E7"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shd w:val="clear" w:color="auto" w:fill="FFFFFF"/>
            <w:tcMar>
              <w:top w:w="0" w:type="dxa"/>
              <w:left w:w="20" w:type="dxa"/>
              <w:bottom w:w="0" w:type="dxa"/>
              <w:right w:w="20" w:type="dxa"/>
            </w:tcMar>
            <w:vAlign w:val="center"/>
            <w:hideMark/>
          </w:tcPr>
          <w:p w14:paraId="62BFA807"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D9DF187"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59947A23" w14:textId="77777777">
        <w:trPr>
          <w:divId w:val="18130163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8999D7" w14:textId="77777777" w:rsidR="00000000" w:rsidRDefault="00A173A8">
            <w:pPr>
              <w:spacing w:after="100"/>
              <w:rPr>
                <w:rFonts w:eastAsia="Times New Roman"/>
              </w:rPr>
            </w:pPr>
            <w:r>
              <w:rPr>
                <w:rFonts w:eastAsia="Times New Roman"/>
                <w:b/>
                <w:bCs/>
                <w:color w:val="000000"/>
                <w:sz w:val="20"/>
                <w:szCs w:val="20"/>
              </w:rPr>
              <w:t>Regulatory Capital Under Basel III Standardized Approach</w:t>
            </w:r>
          </w:p>
        </w:tc>
        <w:tc>
          <w:tcPr>
            <w:tcW w:w="0" w:type="auto"/>
            <w:gridSpan w:val="3"/>
            <w:shd w:val="clear" w:color="auto" w:fill="CCEEFF"/>
            <w:tcMar>
              <w:top w:w="0" w:type="dxa"/>
              <w:left w:w="20" w:type="dxa"/>
              <w:bottom w:w="0" w:type="dxa"/>
              <w:right w:w="20" w:type="dxa"/>
            </w:tcMar>
            <w:vAlign w:val="center"/>
            <w:hideMark/>
          </w:tcPr>
          <w:p w14:paraId="5FDFA3DF"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9E88E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F6555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35B603" w14:textId="77777777" w:rsidR="00000000" w:rsidRDefault="00A173A8">
            <w:pPr>
              <w:spacing w:after="100"/>
              <w:rPr>
                <w:rFonts w:eastAsia="Times New Roman"/>
                <w:sz w:val="20"/>
                <w:szCs w:val="20"/>
              </w:rPr>
            </w:pPr>
          </w:p>
        </w:tc>
      </w:tr>
      <w:tr w:rsidR="00000000" w14:paraId="41D72A83" w14:textId="77777777">
        <w:trPr>
          <w:divId w:val="1813016301"/>
        </w:trPr>
        <w:tc>
          <w:tcPr>
            <w:tcW w:w="0" w:type="auto"/>
            <w:gridSpan w:val="3"/>
            <w:shd w:val="clear" w:color="auto" w:fill="FFFFFF"/>
            <w:tcMar>
              <w:top w:w="30" w:type="dxa"/>
              <w:left w:w="20" w:type="dxa"/>
              <w:bottom w:w="30" w:type="dxa"/>
              <w:right w:w="20" w:type="dxa"/>
            </w:tcMar>
            <w:vAlign w:val="bottom"/>
            <w:hideMark/>
          </w:tcPr>
          <w:p w14:paraId="301E83E2" w14:textId="77777777" w:rsidR="00000000" w:rsidRDefault="00A173A8">
            <w:pPr>
              <w:spacing w:after="100"/>
              <w:rPr>
                <w:rFonts w:eastAsia="Times New Roman"/>
              </w:rPr>
            </w:pPr>
            <w:r>
              <w:rPr>
                <w:rFonts w:eastAsia="Times New Roman"/>
                <w:color w:val="000000"/>
                <w:sz w:val="20"/>
                <w:szCs w:val="20"/>
              </w:rPr>
              <w:t>Common equity excluding AOCI</w:t>
            </w:r>
          </w:p>
        </w:tc>
        <w:tc>
          <w:tcPr>
            <w:tcW w:w="0" w:type="auto"/>
            <w:gridSpan w:val="3"/>
            <w:shd w:val="clear" w:color="auto" w:fill="FFFFFF"/>
            <w:tcMar>
              <w:top w:w="0" w:type="dxa"/>
              <w:left w:w="20" w:type="dxa"/>
              <w:bottom w:w="0" w:type="dxa"/>
              <w:right w:w="20" w:type="dxa"/>
            </w:tcMar>
            <w:vAlign w:val="center"/>
            <w:hideMark/>
          </w:tcPr>
          <w:p w14:paraId="1DB62F8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14ADB68"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FD024E8" w14:textId="77777777" w:rsidR="00000000" w:rsidRDefault="00A173A8">
            <w:pPr>
              <w:spacing w:after="100"/>
              <w:jc w:val="right"/>
              <w:rPr>
                <w:rFonts w:eastAsia="Times New Roman"/>
              </w:rPr>
            </w:pPr>
            <w:r>
              <w:rPr>
                <w:rFonts w:eastAsia="Times New Roman"/>
                <w:b/>
                <w:bCs/>
                <w:color w:val="000000"/>
                <w:sz w:val="20"/>
                <w:szCs w:val="20"/>
              </w:rPr>
              <w:t>57,278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F24C9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52F89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7175819"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59BAD78" w14:textId="77777777" w:rsidR="00000000" w:rsidRDefault="00A173A8">
            <w:pPr>
              <w:spacing w:after="100"/>
              <w:jc w:val="right"/>
              <w:rPr>
                <w:rFonts w:eastAsia="Times New Roman"/>
              </w:rPr>
            </w:pPr>
            <w:r>
              <w:rPr>
                <w:rFonts w:eastAsia="Times New Roman"/>
                <w:color w:val="000000"/>
                <w:sz w:val="20"/>
                <w:szCs w:val="20"/>
              </w:rPr>
              <w:t>58,206 </w:t>
            </w:r>
          </w:p>
        </w:tc>
        <w:tc>
          <w:tcPr>
            <w:tcW w:w="0" w:type="auto"/>
            <w:shd w:val="clear" w:color="auto" w:fill="FFFFFF"/>
            <w:tcMar>
              <w:top w:w="30" w:type="dxa"/>
              <w:left w:w="0" w:type="dxa"/>
              <w:bottom w:w="30" w:type="dxa"/>
              <w:right w:w="20" w:type="dxa"/>
            </w:tcMar>
            <w:vAlign w:val="center"/>
            <w:hideMark/>
          </w:tcPr>
          <w:p w14:paraId="505AAE22" w14:textId="77777777" w:rsidR="00000000" w:rsidRDefault="00A173A8">
            <w:pPr>
              <w:spacing w:after="100"/>
              <w:jc w:val="right"/>
              <w:rPr>
                <w:rFonts w:eastAsia="Times New Roman"/>
              </w:rPr>
            </w:pPr>
          </w:p>
        </w:tc>
      </w:tr>
      <w:tr w:rsidR="00000000" w14:paraId="3F7609E5" w14:textId="77777777">
        <w:trPr>
          <w:divId w:val="1813016301"/>
        </w:trPr>
        <w:tc>
          <w:tcPr>
            <w:tcW w:w="0" w:type="auto"/>
            <w:gridSpan w:val="3"/>
            <w:shd w:val="clear" w:color="auto" w:fill="CCEEFF"/>
            <w:tcMar>
              <w:top w:w="30" w:type="dxa"/>
              <w:left w:w="20" w:type="dxa"/>
              <w:bottom w:w="30" w:type="dxa"/>
              <w:right w:w="20" w:type="dxa"/>
            </w:tcMar>
            <w:vAlign w:val="bottom"/>
            <w:hideMark/>
          </w:tcPr>
          <w:p w14:paraId="7686CD76" w14:textId="77777777" w:rsidR="00000000" w:rsidRDefault="00A173A8">
            <w:pPr>
              <w:spacing w:after="100"/>
              <w:rPr>
                <w:rFonts w:eastAsia="Times New Roman"/>
              </w:rPr>
            </w:pPr>
            <w:r>
              <w:rPr>
                <w:rFonts w:eastAsia="Times New Roman"/>
                <w:color w:val="000000"/>
                <w:sz w:val="20"/>
                <w:szCs w:val="20"/>
              </w:rPr>
              <w:t>Adjustments:</w:t>
            </w:r>
          </w:p>
        </w:tc>
        <w:tc>
          <w:tcPr>
            <w:tcW w:w="0" w:type="auto"/>
            <w:gridSpan w:val="3"/>
            <w:shd w:val="clear" w:color="auto" w:fill="CCEEFF"/>
            <w:tcMar>
              <w:top w:w="0" w:type="dxa"/>
              <w:left w:w="20" w:type="dxa"/>
              <w:bottom w:w="0" w:type="dxa"/>
              <w:right w:w="20" w:type="dxa"/>
            </w:tcMar>
            <w:vAlign w:val="center"/>
            <w:hideMark/>
          </w:tcPr>
          <w:p w14:paraId="2C851AF5"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6802D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41EA2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C04077" w14:textId="77777777" w:rsidR="00000000" w:rsidRDefault="00A173A8">
            <w:pPr>
              <w:spacing w:after="100"/>
              <w:rPr>
                <w:rFonts w:eastAsia="Times New Roman"/>
                <w:sz w:val="20"/>
                <w:szCs w:val="20"/>
              </w:rPr>
            </w:pPr>
          </w:p>
        </w:tc>
      </w:tr>
      <w:tr w:rsidR="00000000" w14:paraId="3618AA5E" w14:textId="77777777">
        <w:trPr>
          <w:divId w:val="1813016301"/>
        </w:trPr>
        <w:tc>
          <w:tcPr>
            <w:tcW w:w="0" w:type="auto"/>
            <w:gridSpan w:val="3"/>
            <w:shd w:val="clear" w:color="auto" w:fill="FFFFFF"/>
            <w:tcMar>
              <w:top w:w="30" w:type="dxa"/>
              <w:left w:w="20" w:type="dxa"/>
              <w:bottom w:w="30" w:type="dxa"/>
              <w:right w:w="20" w:type="dxa"/>
            </w:tcMar>
            <w:vAlign w:val="bottom"/>
            <w:hideMark/>
          </w:tcPr>
          <w:p w14:paraId="2E6668EA" w14:textId="77777777" w:rsidR="00000000" w:rsidRDefault="00A173A8">
            <w:pPr>
              <w:spacing w:after="100"/>
              <w:divId w:val="1605113994"/>
              <w:rPr>
                <w:rFonts w:eastAsia="Times New Roman"/>
              </w:rPr>
            </w:pPr>
            <w:r>
              <w:rPr>
                <w:rFonts w:eastAsia="Times New Roman"/>
                <w:color w:val="000000"/>
                <w:sz w:val="20"/>
                <w:szCs w:val="20"/>
              </w:rPr>
              <w:t>AOCI, net of ta</w:t>
            </w:r>
            <w:r>
              <w:rPr>
                <w:rFonts w:eastAsia="Times New Roman"/>
                <w:color w:val="000000"/>
                <w:sz w:val="20"/>
                <w:szCs w:val="20"/>
              </w:rPr>
              <w:t>x</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9D3A0D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CF1F8B" w14:textId="77777777" w:rsidR="00000000" w:rsidRDefault="00A173A8">
            <w:pPr>
              <w:spacing w:after="100"/>
              <w:jc w:val="right"/>
              <w:rPr>
                <w:rFonts w:eastAsia="Times New Roman"/>
              </w:rPr>
            </w:pPr>
            <w:r>
              <w:rPr>
                <w:rFonts w:eastAsia="Times New Roman"/>
                <w:b/>
                <w:bCs/>
                <w:color w:val="000000"/>
                <w:sz w:val="20"/>
                <w:szCs w:val="20"/>
              </w:rPr>
              <w:t>(72)</w:t>
            </w:r>
          </w:p>
        </w:tc>
        <w:tc>
          <w:tcPr>
            <w:tcW w:w="0" w:type="auto"/>
            <w:shd w:val="clear" w:color="auto" w:fill="FFFFFF"/>
            <w:tcMar>
              <w:top w:w="30" w:type="dxa"/>
              <w:left w:w="0" w:type="dxa"/>
              <w:bottom w:w="30" w:type="dxa"/>
              <w:right w:w="20" w:type="dxa"/>
            </w:tcMar>
            <w:vAlign w:val="center"/>
            <w:hideMark/>
          </w:tcPr>
          <w:p w14:paraId="42F9E8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9112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F4B84C" w14:textId="77777777" w:rsidR="00000000" w:rsidRDefault="00A173A8">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center"/>
            <w:hideMark/>
          </w:tcPr>
          <w:p w14:paraId="564F2A5A" w14:textId="77777777" w:rsidR="00000000" w:rsidRDefault="00A173A8">
            <w:pPr>
              <w:spacing w:after="100"/>
              <w:jc w:val="right"/>
              <w:rPr>
                <w:rFonts w:eastAsia="Times New Roman"/>
              </w:rPr>
            </w:pPr>
          </w:p>
        </w:tc>
      </w:tr>
      <w:tr w:rsidR="00000000" w14:paraId="483C08BE" w14:textId="77777777">
        <w:trPr>
          <w:divId w:val="1813016301"/>
        </w:trPr>
        <w:tc>
          <w:tcPr>
            <w:tcW w:w="0" w:type="auto"/>
            <w:gridSpan w:val="3"/>
            <w:shd w:val="clear" w:color="auto" w:fill="CCEEFF"/>
            <w:tcMar>
              <w:top w:w="30" w:type="dxa"/>
              <w:left w:w="245" w:type="dxa"/>
              <w:bottom w:w="30" w:type="dxa"/>
              <w:right w:w="20" w:type="dxa"/>
            </w:tcMar>
            <w:vAlign w:val="bottom"/>
            <w:hideMark/>
          </w:tcPr>
          <w:p w14:paraId="6B4CB2A9" w14:textId="77777777" w:rsidR="00000000" w:rsidRDefault="00A173A8">
            <w:pPr>
              <w:spacing w:after="100"/>
              <w:rPr>
                <w:rFonts w:eastAsia="Times New Roman"/>
              </w:rPr>
            </w:pPr>
            <w:r>
              <w:rPr>
                <w:rFonts w:eastAsia="Times New Roman"/>
                <w:color w:val="000000"/>
                <w:sz w:val="20"/>
                <w:szCs w:val="20"/>
              </w:rPr>
              <w:t>Goodwill, net of related deferred tax liabilities</w:t>
            </w:r>
          </w:p>
        </w:tc>
        <w:tc>
          <w:tcPr>
            <w:tcW w:w="0" w:type="auto"/>
            <w:gridSpan w:val="3"/>
            <w:shd w:val="clear" w:color="auto" w:fill="CCEEFF"/>
            <w:tcMar>
              <w:top w:w="0" w:type="dxa"/>
              <w:left w:w="20" w:type="dxa"/>
              <w:bottom w:w="0" w:type="dxa"/>
              <w:right w:w="20" w:type="dxa"/>
            </w:tcMar>
            <w:vAlign w:val="center"/>
            <w:hideMark/>
          </w:tcPr>
          <w:p w14:paraId="786EE76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B0CE9C" w14:textId="77777777" w:rsidR="00000000" w:rsidRDefault="00A173A8">
            <w:pPr>
              <w:spacing w:after="100"/>
              <w:jc w:val="right"/>
              <w:rPr>
                <w:rFonts w:eastAsia="Times New Roman"/>
              </w:rPr>
            </w:pPr>
            <w:r>
              <w:rPr>
                <w:rFonts w:eastAsia="Times New Roman"/>
                <w:b/>
                <w:bCs/>
                <w:color w:val="000000"/>
                <w:sz w:val="20"/>
                <w:szCs w:val="20"/>
              </w:rPr>
              <w:t>(14,548)</w:t>
            </w:r>
          </w:p>
        </w:tc>
        <w:tc>
          <w:tcPr>
            <w:tcW w:w="0" w:type="auto"/>
            <w:shd w:val="clear" w:color="auto" w:fill="CCEEFF"/>
            <w:tcMar>
              <w:top w:w="30" w:type="dxa"/>
              <w:left w:w="0" w:type="dxa"/>
              <w:bottom w:w="30" w:type="dxa"/>
              <w:right w:w="20" w:type="dxa"/>
            </w:tcMar>
            <w:vAlign w:val="center"/>
            <w:hideMark/>
          </w:tcPr>
          <w:p w14:paraId="06F30F5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F455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339C7B" w14:textId="77777777" w:rsidR="00000000" w:rsidRDefault="00A173A8">
            <w:pPr>
              <w:spacing w:after="100"/>
              <w:jc w:val="right"/>
              <w:rPr>
                <w:rFonts w:eastAsia="Times New Roman"/>
              </w:rPr>
            </w:pPr>
            <w:r>
              <w:rPr>
                <w:rFonts w:eastAsia="Times New Roman"/>
                <w:color w:val="000000"/>
                <w:sz w:val="20"/>
                <w:szCs w:val="20"/>
              </w:rPr>
              <w:t>(14,562)</w:t>
            </w:r>
          </w:p>
        </w:tc>
        <w:tc>
          <w:tcPr>
            <w:tcW w:w="0" w:type="auto"/>
            <w:shd w:val="clear" w:color="auto" w:fill="CCEEFF"/>
            <w:tcMar>
              <w:top w:w="30" w:type="dxa"/>
              <w:left w:w="0" w:type="dxa"/>
              <w:bottom w:w="30" w:type="dxa"/>
              <w:right w:w="20" w:type="dxa"/>
            </w:tcMar>
            <w:vAlign w:val="center"/>
            <w:hideMark/>
          </w:tcPr>
          <w:p w14:paraId="6906E2EA" w14:textId="77777777" w:rsidR="00000000" w:rsidRDefault="00A173A8">
            <w:pPr>
              <w:spacing w:after="100"/>
              <w:jc w:val="right"/>
              <w:rPr>
                <w:rFonts w:eastAsia="Times New Roman"/>
              </w:rPr>
            </w:pPr>
          </w:p>
        </w:tc>
      </w:tr>
      <w:tr w:rsidR="00000000" w14:paraId="5AC350A0" w14:textId="77777777">
        <w:trPr>
          <w:divId w:val="1813016301"/>
        </w:trPr>
        <w:tc>
          <w:tcPr>
            <w:tcW w:w="0" w:type="auto"/>
            <w:gridSpan w:val="3"/>
            <w:shd w:val="clear" w:color="auto" w:fill="FFFFFF"/>
            <w:tcMar>
              <w:top w:w="30" w:type="dxa"/>
              <w:left w:w="245" w:type="dxa"/>
              <w:bottom w:w="30" w:type="dxa"/>
              <w:right w:w="20" w:type="dxa"/>
            </w:tcMar>
            <w:vAlign w:val="bottom"/>
            <w:hideMark/>
          </w:tcPr>
          <w:p w14:paraId="422843C7" w14:textId="77777777" w:rsidR="00000000" w:rsidRDefault="00A173A8">
            <w:pPr>
              <w:spacing w:after="100"/>
              <w:rPr>
                <w:rFonts w:eastAsia="Times New Roman"/>
              </w:rPr>
            </w:pPr>
            <w:r>
              <w:rPr>
                <w:rFonts w:eastAsia="Times New Roman"/>
                <w:color w:val="000000"/>
                <w:sz w:val="20"/>
                <w:szCs w:val="20"/>
              </w:rPr>
              <w:t>Other Intangible assets, net of related deferred tax liabilities</w:t>
            </w:r>
          </w:p>
        </w:tc>
        <w:tc>
          <w:tcPr>
            <w:tcW w:w="0" w:type="auto"/>
            <w:gridSpan w:val="3"/>
            <w:shd w:val="clear" w:color="auto" w:fill="FFFFFF"/>
            <w:tcMar>
              <w:top w:w="0" w:type="dxa"/>
              <w:left w:w="20" w:type="dxa"/>
              <w:bottom w:w="0" w:type="dxa"/>
              <w:right w:w="20" w:type="dxa"/>
            </w:tcMar>
            <w:vAlign w:val="center"/>
            <w:hideMark/>
          </w:tcPr>
          <w:p w14:paraId="1DBD129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97E2661" w14:textId="77777777" w:rsidR="00000000" w:rsidRDefault="00A173A8">
            <w:pPr>
              <w:spacing w:after="100"/>
              <w:jc w:val="right"/>
              <w:rPr>
                <w:rFonts w:eastAsia="Times New Roman"/>
              </w:rPr>
            </w:pPr>
            <w:r>
              <w:rPr>
                <w:rFonts w:eastAsia="Times New Roman"/>
                <w:b/>
                <w:bCs/>
                <w:color w:val="000000"/>
                <w:sz w:val="20"/>
                <w:szCs w:val="20"/>
              </w:rPr>
              <w:t>(80)</w:t>
            </w:r>
          </w:p>
        </w:tc>
        <w:tc>
          <w:tcPr>
            <w:tcW w:w="0" w:type="auto"/>
            <w:shd w:val="clear" w:color="auto" w:fill="FFFFFF"/>
            <w:tcMar>
              <w:top w:w="30" w:type="dxa"/>
              <w:left w:w="0" w:type="dxa"/>
              <w:bottom w:w="30" w:type="dxa"/>
              <w:right w:w="20" w:type="dxa"/>
            </w:tcMar>
            <w:vAlign w:val="center"/>
            <w:hideMark/>
          </w:tcPr>
          <w:p w14:paraId="7793520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F651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96B969" w14:textId="77777777" w:rsidR="00000000" w:rsidRDefault="00A173A8">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center"/>
            <w:hideMark/>
          </w:tcPr>
          <w:p w14:paraId="2753F3F9" w14:textId="77777777" w:rsidR="00000000" w:rsidRDefault="00A173A8">
            <w:pPr>
              <w:spacing w:after="100"/>
              <w:jc w:val="right"/>
              <w:rPr>
                <w:rFonts w:eastAsia="Times New Roman"/>
              </w:rPr>
            </w:pPr>
          </w:p>
        </w:tc>
      </w:tr>
      <w:tr w:rsidR="00000000" w14:paraId="07343DAB" w14:textId="77777777">
        <w:trPr>
          <w:divId w:val="1813016301"/>
        </w:trPr>
        <w:tc>
          <w:tcPr>
            <w:tcW w:w="0" w:type="auto"/>
            <w:gridSpan w:val="3"/>
            <w:shd w:val="clear" w:color="auto" w:fill="CCEEFF"/>
            <w:tcMar>
              <w:top w:w="30" w:type="dxa"/>
              <w:left w:w="20" w:type="dxa"/>
              <w:bottom w:w="30" w:type="dxa"/>
              <w:right w:w="20" w:type="dxa"/>
            </w:tcMar>
            <w:vAlign w:val="bottom"/>
            <w:hideMark/>
          </w:tcPr>
          <w:p w14:paraId="11F8FAAC" w14:textId="77777777" w:rsidR="00000000" w:rsidRDefault="00A173A8">
            <w:pPr>
              <w:spacing w:after="100"/>
              <w:divId w:val="23865667"/>
              <w:rPr>
                <w:rFonts w:eastAsia="Times New Roman"/>
              </w:rPr>
            </w:pPr>
            <w:r>
              <w:rPr>
                <w:rFonts w:eastAsia="Times New Roman"/>
                <w:color w:val="000000"/>
                <w:sz w:val="20"/>
                <w:szCs w:val="20"/>
              </w:rPr>
              <w:t>Othe</w:t>
            </w:r>
            <w:r>
              <w:rPr>
                <w:rFonts w:eastAsia="Times New Roman"/>
                <w:color w:val="000000"/>
                <w:sz w:val="20"/>
                <w:szCs w:val="20"/>
              </w:rPr>
              <w:t>r</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7B5453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02D39AE" w14:textId="77777777" w:rsidR="00000000" w:rsidRDefault="00A173A8">
            <w:pPr>
              <w:spacing w:after="100"/>
              <w:jc w:val="right"/>
              <w:rPr>
                <w:rFonts w:eastAsia="Times New Roman"/>
              </w:rPr>
            </w:pPr>
            <w:r>
              <w:rPr>
                <w:rFonts w:eastAsia="Times New Roman"/>
                <w:b/>
                <w:bCs/>
                <w:color w:val="000000"/>
                <w:sz w:val="20"/>
                <w:szCs w:val="20"/>
              </w:rPr>
              <w:t>(15)</w:t>
            </w:r>
          </w:p>
        </w:tc>
        <w:tc>
          <w:tcPr>
            <w:tcW w:w="0" w:type="auto"/>
            <w:shd w:val="clear" w:color="auto" w:fill="CCEEFF"/>
            <w:tcMar>
              <w:top w:w="30" w:type="dxa"/>
              <w:left w:w="0" w:type="dxa"/>
              <w:bottom w:w="30" w:type="dxa"/>
              <w:right w:w="20" w:type="dxa"/>
            </w:tcMar>
            <w:vAlign w:val="center"/>
            <w:hideMark/>
          </w:tcPr>
          <w:p w14:paraId="020A94D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DB52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1B9554" w14:textId="77777777" w:rsidR="00000000" w:rsidRDefault="00A173A8">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center"/>
            <w:hideMark/>
          </w:tcPr>
          <w:p w14:paraId="173C812C" w14:textId="77777777" w:rsidR="00000000" w:rsidRDefault="00A173A8">
            <w:pPr>
              <w:spacing w:after="100"/>
              <w:jc w:val="right"/>
              <w:rPr>
                <w:rFonts w:eastAsia="Times New Roman"/>
              </w:rPr>
            </w:pPr>
          </w:p>
        </w:tc>
      </w:tr>
      <w:tr w:rsidR="00000000" w14:paraId="41B3CF6C" w14:textId="77777777">
        <w:trPr>
          <w:divId w:val="1813016301"/>
        </w:trPr>
        <w:tc>
          <w:tcPr>
            <w:tcW w:w="0" w:type="auto"/>
            <w:gridSpan w:val="3"/>
            <w:shd w:val="clear" w:color="auto" w:fill="FFFFFF"/>
            <w:tcMar>
              <w:top w:w="30" w:type="dxa"/>
              <w:left w:w="20" w:type="dxa"/>
              <w:bottom w:w="30" w:type="dxa"/>
              <w:right w:w="20" w:type="dxa"/>
            </w:tcMar>
            <w:vAlign w:val="bottom"/>
            <w:hideMark/>
          </w:tcPr>
          <w:p w14:paraId="7A2E83F0" w14:textId="77777777" w:rsidR="00000000" w:rsidRDefault="00A173A8">
            <w:pPr>
              <w:spacing w:after="100"/>
              <w:rPr>
                <w:rFonts w:eastAsia="Times New Roman"/>
              </w:rPr>
            </w:pPr>
            <w:r>
              <w:rPr>
                <w:rFonts w:eastAsia="Times New Roman"/>
                <w:color w:val="000000"/>
                <w:sz w:val="20"/>
                <w:szCs w:val="20"/>
              </w:rPr>
              <w:t>Common equity Tier 1 capital</w:t>
            </w:r>
          </w:p>
        </w:tc>
        <w:tc>
          <w:tcPr>
            <w:tcW w:w="0" w:type="auto"/>
            <w:gridSpan w:val="3"/>
            <w:shd w:val="clear" w:color="auto" w:fill="FFFFFF"/>
            <w:tcMar>
              <w:top w:w="0" w:type="dxa"/>
              <w:left w:w="20" w:type="dxa"/>
              <w:bottom w:w="0" w:type="dxa"/>
              <w:right w:w="20" w:type="dxa"/>
            </w:tcMar>
            <w:vAlign w:val="center"/>
            <w:hideMark/>
          </w:tcPr>
          <w:p w14:paraId="65887E94"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6CDF4A" w14:textId="77777777" w:rsidR="00000000" w:rsidRDefault="00A173A8">
            <w:pPr>
              <w:spacing w:after="100"/>
              <w:jc w:val="right"/>
              <w:rPr>
                <w:rFonts w:eastAsia="Times New Roman"/>
              </w:rPr>
            </w:pPr>
            <w:r>
              <w:rPr>
                <w:rFonts w:eastAsia="Times New Roman"/>
                <w:b/>
                <w:bCs/>
                <w:color w:val="000000"/>
                <w:sz w:val="20"/>
                <w:szCs w:val="20"/>
              </w:rPr>
              <w:t>42,563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BEE6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9C08C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E09477B" w14:textId="77777777" w:rsidR="00000000" w:rsidRDefault="00A173A8">
            <w:pPr>
              <w:spacing w:after="100"/>
              <w:jc w:val="right"/>
              <w:rPr>
                <w:rFonts w:eastAsia="Times New Roman"/>
              </w:rPr>
            </w:pPr>
            <w:r>
              <w:rPr>
                <w:rFonts w:eastAsia="Times New Roman"/>
                <w:color w:val="000000"/>
                <w:sz w:val="20"/>
                <w:szCs w:val="20"/>
              </w:rPr>
              <w:t>43,501 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081253" w14:textId="77777777" w:rsidR="00000000" w:rsidRDefault="00A173A8">
            <w:pPr>
              <w:spacing w:after="100"/>
              <w:jc w:val="right"/>
              <w:rPr>
                <w:rFonts w:eastAsia="Times New Roman"/>
              </w:rPr>
            </w:pPr>
          </w:p>
        </w:tc>
      </w:tr>
      <w:tr w:rsidR="00000000" w14:paraId="28C545E8" w14:textId="77777777">
        <w:trPr>
          <w:divId w:val="1813016301"/>
        </w:trPr>
        <w:tc>
          <w:tcPr>
            <w:tcW w:w="0" w:type="auto"/>
            <w:gridSpan w:val="3"/>
            <w:shd w:val="clear" w:color="auto" w:fill="CCEEFF"/>
            <w:tcMar>
              <w:top w:w="30" w:type="dxa"/>
              <w:left w:w="20" w:type="dxa"/>
              <w:bottom w:w="30" w:type="dxa"/>
              <w:right w:w="20" w:type="dxa"/>
            </w:tcMar>
            <w:vAlign w:val="bottom"/>
            <w:hideMark/>
          </w:tcPr>
          <w:p w14:paraId="2A2930D6" w14:textId="77777777" w:rsidR="00000000" w:rsidRDefault="00A173A8">
            <w:pPr>
              <w:spacing w:after="100"/>
              <w:rPr>
                <w:rFonts w:eastAsia="Times New Roman"/>
              </w:rPr>
            </w:pPr>
            <w:r>
              <w:rPr>
                <w:rFonts w:eastAsia="Times New Roman"/>
                <w:color w:val="000000"/>
                <w:sz w:val="20"/>
                <w:szCs w:val="20"/>
              </w:rPr>
              <w:t>Tier 1 capital instruments</w:t>
            </w:r>
          </w:p>
        </w:tc>
        <w:tc>
          <w:tcPr>
            <w:tcW w:w="0" w:type="auto"/>
            <w:gridSpan w:val="3"/>
            <w:shd w:val="clear" w:color="auto" w:fill="CCEEFF"/>
            <w:tcMar>
              <w:top w:w="0" w:type="dxa"/>
              <w:left w:w="20" w:type="dxa"/>
              <w:bottom w:w="0" w:type="dxa"/>
              <w:right w:w="20" w:type="dxa"/>
            </w:tcMar>
            <w:vAlign w:val="center"/>
            <w:hideMark/>
          </w:tcPr>
          <w:p w14:paraId="094349F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79B330" w14:textId="77777777" w:rsidR="00000000" w:rsidRDefault="00A173A8">
            <w:pPr>
              <w:spacing w:after="100"/>
              <w:jc w:val="right"/>
              <w:rPr>
                <w:rFonts w:eastAsia="Times New Roman"/>
              </w:rPr>
            </w:pPr>
            <w:r>
              <w:rPr>
                <w:rFonts w:eastAsia="Times New Roman"/>
                <w:b/>
                <w:bCs/>
                <w:color w:val="000000"/>
                <w:sz w:val="20"/>
                <w:szCs w:val="20"/>
              </w:rPr>
              <w:t>4,845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8DC41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BCE0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AB125E" w14:textId="77777777" w:rsidR="00000000" w:rsidRDefault="00A173A8">
            <w:pPr>
              <w:spacing w:after="100"/>
              <w:jc w:val="right"/>
              <w:rPr>
                <w:rFonts w:eastAsia="Times New Roman"/>
              </w:rPr>
            </w:pPr>
            <w:r>
              <w:rPr>
                <w:rFonts w:eastAsia="Times New Roman"/>
                <w:color w:val="000000"/>
                <w:sz w:val="20"/>
                <w:szCs w:val="20"/>
              </w:rPr>
              <w:t>4,845 </w:t>
            </w:r>
          </w:p>
        </w:tc>
        <w:tc>
          <w:tcPr>
            <w:tcW w:w="0" w:type="auto"/>
            <w:shd w:val="clear" w:color="auto" w:fill="CCEEFF"/>
            <w:tcMar>
              <w:top w:w="30" w:type="dxa"/>
              <w:left w:w="0" w:type="dxa"/>
              <w:bottom w:w="30" w:type="dxa"/>
              <w:right w:w="20" w:type="dxa"/>
            </w:tcMar>
            <w:vAlign w:val="center"/>
            <w:hideMark/>
          </w:tcPr>
          <w:p w14:paraId="62EC92B6" w14:textId="77777777" w:rsidR="00000000" w:rsidRDefault="00A173A8">
            <w:pPr>
              <w:spacing w:after="100"/>
              <w:jc w:val="right"/>
              <w:rPr>
                <w:rFonts w:eastAsia="Times New Roman"/>
              </w:rPr>
            </w:pPr>
          </w:p>
        </w:tc>
      </w:tr>
      <w:tr w:rsidR="00000000" w14:paraId="36B02AC9" w14:textId="77777777">
        <w:trPr>
          <w:divId w:val="1813016301"/>
        </w:trPr>
        <w:tc>
          <w:tcPr>
            <w:tcW w:w="0" w:type="auto"/>
            <w:gridSpan w:val="3"/>
            <w:vAlign w:val="center"/>
            <w:hideMark/>
          </w:tcPr>
          <w:p w14:paraId="33179D70" w14:textId="77777777" w:rsidR="00000000" w:rsidRDefault="00A173A8">
            <w:pPr>
              <w:spacing w:after="100"/>
              <w:jc w:val="right"/>
              <w:rPr>
                <w:rFonts w:eastAsia="Times New Roman"/>
                <w:sz w:val="20"/>
                <w:szCs w:val="20"/>
              </w:rPr>
            </w:pPr>
          </w:p>
        </w:tc>
        <w:tc>
          <w:tcPr>
            <w:tcW w:w="0" w:type="auto"/>
            <w:gridSpan w:val="3"/>
            <w:vAlign w:val="center"/>
            <w:hideMark/>
          </w:tcPr>
          <w:p w14:paraId="2BFFA875" w14:textId="77777777" w:rsidR="00000000" w:rsidRDefault="00A173A8">
            <w:pPr>
              <w:spacing w:after="100"/>
              <w:rPr>
                <w:rFonts w:eastAsia="Times New Roman"/>
                <w:sz w:val="20"/>
                <w:szCs w:val="20"/>
              </w:rPr>
            </w:pPr>
          </w:p>
        </w:tc>
        <w:tc>
          <w:tcPr>
            <w:tcW w:w="0" w:type="auto"/>
            <w:gridSpan w:val="3"/>
            <w:vAlign w:val="center"/>
            <w:hideMark/>
          </w:tcPr>
          <w:p w14:paraId="09EE5105" w14:textId="77777777" w:rsidR="00000000" w:rsidRDefault="00A173A8">
            <w:pPr>
              <w:spacing w:after="100"/>
              <w:rPr>
                <w:rFonts w:eastAsia="Times New Roman"/>
                <w:sz w:val="20"/>
                <w:szCs w:val="20"/>
              </w:rPr>
            </w:pPr>
          </w:p>
        </w:tc>
        <w:tc>
          <w:tcPr>
            <w:tcW w:w="0" w:type="auto"/>
            <w:gridSpan w:val="3"/>
            <w:vAlign w:val="center"/>
            <w:hideMark/>
          </w:tcPr>
          <w:p w14:paraId="16A6EF5B" w14:textId="77777777" w:rsidR="00000000" w:rsidRDefault="00A173A8">
            <w:pPr>
              <w:spacing w:after="100"/>
              <w:rPr>
                <w:rFonts w:eastAsia="Times New Roman"/>
                <w:sz w:val="20"/>
                <w:szCs w:val="20"/>
              </w:rPr>
            </w:pPr>
          </w:p>
        </w:tc>
        <w:tc>
          <w:tcPr>
            <w:tcW w:w="0" w:type="auto"/>
            <w:gridSpan w:val="3"/>
            <w:vAlign w:val="center"/>
            <w:hideMark/>
          </w:tcPr>
          <w:p w14:paraId="1D3934ED" w14:textId="77777777" w:rsidR="00000000" w:rsidRDefault="00A173A8">
            <w:pPr>
              <w:spacing w:after="100"/>
              <w:rPr>
                <w:rFonts w:eastAsia="Times New Roman"/>
                <w:sz w:val="20"/>
                <w:szCs w:val="20"/>
              </w:rPr>
            </w:pPr>
          </w:p>
        </w:tc>
      </w:tr>
      <w:tr w:rsidR="00000000" w14:paraId="1ED55CD6" w14:textId="77777777">
        <w:trPr>
          <w:divId w:val="1813016301"/>
        </w:trPr>
        <w:tc>
          <w:tcPr>
            <w:tcW w:w="0" w:type="auto"/>
            <w:gridSpan w:val="3"/>
            <w:shd w:val="clear" w:color="auto" w:fill="FFFFFF"/>
            <w:tcMar>
              <w:top w:w="30" w:type="dxa"/>
              <w:left w:w="20" w:type="dxa"/>
              <w:bottom w:w="30" w:type="dxa"/>
              <w:right w:w="20" w:type="dxa"/>
            </w:tcMar>
            <w:vAlign w:val="bottom"/>
            <w:hideMark/>
          </w:tcPr>
          <w:p w14:paraId="1F662DD3" w14:textId="77777777" w:rsidR="00000000" w:rsidRDefault="00A173A8">
            <w:pPr>
              <w:spacing w:after="100"/>
              <w:rPr>
                <w:rFonts w:eastAsia="Times New Roman"/>
              </w:rPr>
            </w:pPr>
            <w:r>
              <w:rPr>
                <w:rFonts w:eastAsia="Times New Roman"/>
                <w:color w:val="000000"/>
                <w:sz w:val="20"/>
                <w:szCs w:val="20"/>
              </w:rPr>
              <w:t>Tier 1 capital</w:t>
            </w:r>
          </w:p>
        </w:tc>
        <w:tc>
          <w:tcPr>
            <w:tcW w:w="0" w:type="auto"/>
            <w:gridSpan w:val="3"/>
            <w:shd w:val="clear" w:color="auto" w:fill="FFFFFF"/>
            <w:tcMar>
              <w:top w:w="0" w:type="dxa"/>
              <w:left w:w="20" w:type="dxa"/>
              <w:bottom w:w="0" w:type="dxa"/>
              <w:right w:w="20" w:type="dxa"/>
            </w:tcMar>
            <w:vAlign w:val="center"/>
            <w:hideMark/>
          </w:tcPr>
          <w:p w14:paraId="2DF8B219"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8D536A2" w14:textId="77777777" w:rsidR="00000000" w:rsidRDefault="00A173A8">
            <w:pPr>
              <w:spacing w:after="100"/>
              <w:jc w:val="right"/>
              <w:rPr>
                <w:rFonts w:eastAsia="Times New Roman"/>
              </w:rPr>
            </w:pPr>
            <w:r>
              <w:rPr>
                <w:rFonts w:eastAsia="Times New Roman"/>
                <w:b/>
                <w:bCs/>
                <w:color w:val="000000"/>
                <w:sz w:val="20"/>
                <w:szCs w:val="20"/>
              </w:rPr>
              <w:t>47,408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69DBE9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67E1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A4088F5" w14:textId="77777777" w:rsidR="00000000" w:rsidRDefault="00A173A8">
            <w:pPr>
              <w:spacing w:after="100"/>
              <w:jc w:val="right"/>
              <w:rPr>
                <w:rFonts w:eastAsia="Times New Roman"/>
              </w:rPr>
            </w:pPr>
            <w:r>
              <w:rPr>
                <w:rFonts w:eastAsia="Times New Roman"/>
                <w:color w:val="000000"/>
                <w:sz w:val="20"/>
                <w:szCs w:val="20"/>
              </w:rPr>
              <w:t>48,346 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D2ECDC" w14:textId="77777777" w:rsidR="00000000" w:rsidRDefault="00A173A8">
            <w:pPr>
              <w:spacing w:after="100"/>
              <w:jc w:val="right"/>
              <w:rPr>
                <w:rFonts w:eastAsia="Times New Roman"/>
              </w:rPr>
            </w:pPr>
          </w:p>
        </w:tc>
      </w:tr>
      <w:tr w:rsidR="00000000" w14:paraId="496E0151" w14:textId="77777777">
        <w:trPr>
          <w:divId w:val="1813016301"/>
        </w:trPr>
        <w:tc>
          <w:tcPr>
            <w:tcW w:w="0" w:type="auto"/>
            <w:gridSpan w:val="3"/>
            <w:shd w:val="clear" w:color="auto" w:fill="CCEEFF"/>
            <w:tcMar>
              <w:top w:w="30" w:type="dxa"/>
              <w:left w:w="20" w:type="dxa"/>
              <w:bottom w:w="30" w:type="dxa"/>
              <w:right w:w="20" w:type="dxa"/>
            </w:tcMar>
            <w:vAlign w:val="bottom"/>
            <w:hideMark/>
          </w:tcPr>
          <w:p w14:paraId="7A5737F5" w14:textId="77777777" w:rsidR="00000000" w:rsidRDefault="00A173A8">
            <w:pPr>
              <w:spacing w:after="100"/>
              <w:rPr>
                <w:rFonts w:eastAsia="Times New Roman"/>
              </w:rPr>
            </w:pPr>
            <w:r>
              <w:rPr>
                <w:rFonts w:eastAsia="Times New Roman"/>
                <w:color w:val="000000"/>
                <w:sz w:val="20"/>
                <w:szCs w:val="20"/>
              </w:rPr>
              <w:t>Tier 2 capital instruments</w:t>
            </w:r>
          </w:p>
        </w:tc>
        <w:tc>
          <w:tcPr>
            <w:tcW w:w="0" w:type="auto"/>
            <w:gridSpan w:val="3"/>
            <w:shd w:val="clear" w:color="auto" w:fill="CCEEFF"/>
            <w:tcMar>
              <w:top w:w="0" w:type="dxa"/>
              <w:left w:w="20" w:type="dxa"/>
              <w:bottom w:w="0" w:type="dxa"/>
              <w:right w:w="20" w:type="dxa"/>
            </w:tcMar>
            <w:vAlign w:val="center"/>
            <w:hideMark/>
          </w:tcPr>
          <w:p w14:paraId="7F0AB75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929C400" w14:textId="77777777" w:rsidR="00000000" w:rsidRDefault="00A173A8">
            <w:pPr>
              <w:spacing w:after="100"/>
              <w:jc w:val="right"/>
              <w:rPr>
                <w:rFonts w:eastAsia="Times New Roman"/>
              </w:rPr>
            </w:pPr>
            <w:r>
              <w:rPr>
                <w:rFonts w:eastAsia="Times New Roman"/>
                <w:b/>
                <w:bCs/>
                <w:color w:val="000000"/>
                <w:sz w:val="20"/>
                <w:szCs w:val="20"/>
              </w:rPr>
              <w:t>3,235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251240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DF9C7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839552" w14:textId="77777777" w:rsidR="00000000" w:rsidRDefault="00A173A8">
            <w:pPr>
              <w:spacing w:after="100"/>
              <w:jc w:val="right"/>
              <w:rPr>
                <w:rFonts w:eastAsia="Times New Roman"/>
              </w:rPr>
            </w:pPr>
            <w:r>
              <w:rPr>
                <w:rFonts w:eastAsia="Times New Roman"/>
                <w:color w:val="000000"/>
                <w:sz w:val="20"/>
                <w:szCs w:val="20"/>
              </w:rPr>
              <w:t>3,532 </w:t>
            </w:r>
          </w:p>
        </w:tc>
        <w:tc>
          <w:tcPr>
            <w:tcW w:w="0" w:type="auto"/>
            <w:shd w:val="clear" w:color="auto" w:fill="CCEEFF"/>
            <w:tcMar>
              <w:top w:w="30" w:type="dxa"/>
              <w:left w:w="0" w:type="dxa"/>
              <w:bottom w:w="30" w:type="dxa"/>
              <w:right w:w="20" w:type="dxa"/>
            </w:tcMar>
            <w:vAlign w:val="center"/>
            <w:hideMark/>
          </w:tcPr>
          <w:p w14:paraId="710434E4" w14:textId="77777777" w:rsidR="00000000" w:rsidRDefault="00A173A8">
            <w:pPr>
              <w:spacing w:after="100"/>
              <w:jc w:val="right"/>
              <w:rPr>
                <w:rFonts w:eastAsia="Times New Roman"/>
              </w:rPr>
            </w:pPr>
          </w:p>
        </w:tc>
      </w:tr>
      <w:tr w:rsidR="00000000" w14:paraId="4050B387" w14:textId="77777777">
        <w:trPr>
          <w:divId w:val="1813016301"/>
        </w:trPr>
        <w:tc>
          <w:tcPr>
            <w:tcW w:w="0" w:type="auto"/>
            <w:gridSpan w:val="3"/>
            <w:shd w:val="clear" w:color="auto" w:fill="FFFFFF"/>
            <w:tcMar>
              <w:top w:w="30" w:type="dxa"/>
              <w:left w:w="20" w:type="dxa"/>
              <w:bottom w:w="30" w:type="dxa"/>
              <w:right w:w="20" w:type="dxa"/>
            </w:tcMar>
            <w:vAlign w:val="bottom"/>
            <w:hideMark/>
          </w:tcPr>
          <w:p w14:paraId="1C356F3F" w14:textId="77777777" w:rsidR="00000000" w:rsidRDefault="00A173A8">
            <w:pPr>
              <w:spacing w:after="100"/>
              <w:rPr>
                <w:rFonts w:eastAsia="Times New Roman"/>
              </w:rPr>
            </w:pPr>
            <w:r>
              <w:rPr>
                <w:rFonts w:eastAsia="Times New Roman"/>
                <w:color w:val="000000"/>
                <w:sz w:val="20"/>
                <w:szCs w:val="20"/>
              </w:rPr>
              <w:t>Qualifying allowance for credit losses</w:t>
            </w:r>
          </w:p>
        </w:tc>
        <w:tc>
          <w:tcPr>
            <w:tcW w:w="0" w:type="auto"/>
            <w:gridSpan w:val="3"/>
            <w:shd w:val="clear" w:color="auto" w:fill="FFFFFF"/>
            <w:tcMar>
              <w:top w:w="0" w:type="dxa"/>
              <w:left w:w="20" w:type="dxa"/>
              <w:bottom w:w="0" w:type="dxa"/>
              <w:right w:w="20" w:type="dxa"/>
            </w:tcMar>
            <w:vAlign w:val="center"/>
            <w:hideMark/>
          </w:tcPr>
          <w:p w14:paraId="48F9902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91C71A7" w14:textId="77777777" w:rsidR="00000000" w:rsidRDefault="00A173A8">
            <w:pPr>
              <w:spacing w:after="100"/>
              <w:jc w:val="right"/>
              <w:rPr>
                <w:rFonts w:eastAsia="Times New Roman"/>
              </w:rPr>
            </w:pPr>
            <w:r>
              <w:rPr>
                <w:rFonts w:eastAsia="Times New Roman"/>
                <w:b/>
                <w:bCs/>
                <w:color w:val="000000"/>
                <w:sz w:val="20"/>
                <w:szCs w:val="20"/>
              </w:rPr>
              <w:t>4,457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40D7B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FEB8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1BA3C2" w14:textId="77777777" w:rsidR="00000000" w:rsidRDefault="00A173A8">
            <w:pPr>
              <w:spacing w:after="100"/>
              <w:jc w:val="right"/>
              <w:rPr>
                <w:rFonts w:eastAsia="Times New Roman"/>
              </w:rPr>
            </w:pPr>
            <w:r>
              <w:rPr>
                <w:rFonts w:eastAsia="Times New Roman"/>
                <w:color w:val="000000"/>
                <w:sz w:val="20"/>
                <w:szCs w:val="20"/>
              </w:rPr>
              <w:t>4,211 </w:t>
            </w:r>
          </w:p>
        </w:tc>
        <w:tc>
          <w:tcPr>
            <w:tcW w:w="0" w:type="auto"/>
            <w:shd w:val="clear" w:color="auto" w:fill="FFFFFF"/>
            <w:tcMar>
              <w:top w:w="30" w:type="dxa"/>
              <w:left w:w="0" w:type="dxa"/>
              <w:bottom w:w="30" w:type="dxa"/>
              <w:right w:w="20" w:type="dxa"/>
            </w:tcMar>
            <w:vAlign w:val="center"/>
            <w:hideMark/>
          </w:tcPr>
          <w:p w14:paraId="7A664422" w14:textId="77777777" w:rsidR="00000000" w:rsidRDefault="00A173A8">
            <w:pPr>
              <w:spacing w:after="100"/>
              <w:jc w:val="right"/>
              <w:rPr>
                <w:rFonts w:eastAsia="Times New Roman"/>
              </w:rPr>
            </w:pPr>
          </w:p>
        </w:tc>
      </w:tr>
      <w:tr w:rsidR="00000000" w14:paraId="52A7C388" w14:textId="77777777">
        <w:trPr>
          <w:divId w:val="1813016301"/>
        </w:trPr>
        <w:tc>
          <w:tcPr>
            <w:tcW w:w="0" w:type="auto"/>
            <w:gridSpan w:val="3"/>
            <w:shd w:val="clear" w:color="auto" w:fill="CCEEFF"/>
            <w:tcMar>
              <w:top w:w="30" w:type="dxa"/>
              <w:left w:w="20" w:type="dxa"/>
              <w:bottom w:w="30" w:type="dxa"/>
              <w:right w:w="20" w:type="dxa"/>
            </w:tcMar>
            <w:vAlign w:val="bottom"/>
            <w:hideMark/>
          </w:tcPr>
          <w:p w14:paraId="73042086" w14:textId="77777777" w:rsidR="00000000" w:rsidRDefault="00A173A8">
            <w:pPr>
              <w:spacing w:after="100"/>
              <w:rPr>
                <w:rFonts w:eastAsia="Times New Roman"/>
              </w:rPr>
            </w:pPr>
            <w:r>
              <w:rPr>
                <w:rFonts w:eastAsia="Times New Roman"/>
                <w:color w:val="000000"/>
                <w:sz w:val="20"/>
                <w:szCs w:val="20"/>
              </w:rPr>
              <w:t>Tier 2 capital</w:t>
            </w:r>
          </w:p>
        </w:tc>
        <w:tc>
          <w:tcPr>
            <w:tcW w:w="0" w:type="auto"/>
            <w:gridSpan w:val="3"/>
            <w:shd w:val="clear" w:color="auto" w:fill="CCEEFF"/>
            <w:tcMar>
              <w:top w:w="0" w:type="dxa"/>
              <w:left w:w="20" w:type="dxa"/>
              <w:bottom w:w="0" w:type="dxa"/>
              <w:right w:w="20" w:type="dxa"/>
            </w:tcMar>
            <w:vAlign w:val="center"/>
            <w:hideMark/>
          </w:tcPr>
          <w:p w14:paraId="0060B6C2"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94FF08B" w14:textId="77777777" w:rsidR="00000000" w:rsidRDefault="00A173A8">
            <w:pPr>
              <w:spacing w:after="100"/>
              <w:jc w:val="right"/>
              <w:rPr>
                <w:rFonts w:eastAsia="Times New Roman"/>
              </w:rPr>
            </w:pPr>
            <w:r>
              <w:rPr>
                <w:rFonts w:eastAsia="Times New Roman"/>
                <w:b/>
                <w:bCs/>
                <w:color w:val="000000"/>
                <w:sz w:val="20"/>
                <w:szCs w:val="20"/>
              </w:rPr>
              <w:t>7,692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CBC39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B377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2B20A7" w14:textId="77777777" w:rsidR="00000000" w:rsidRDefault="00A173A8">
            <w:pPr>
              <w:spacing w:after="100"/>
              <w:jc w:val="right"/>
              <w:rPr>
                <w:rFonts w:eastAsia="Times New Roman"/>
              </w:rPr>
            </w:pPr>
            <w:r>
              <w:rPr>
                <w:rFonts w:eastAsia="Times New Roman"/>
                <w:color w:val="000000"/>
                <w:sz w:val="20"/>
                <w:szCs w:val="20"/>
              </w:rPr>
              <w:t>7,743 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907365" w14:textId="77777777" w:rsidR="00000000" w:rsidRDefault="00A173A8">
            <w:pPr>
              <w:spacing w:after="100"/>
              <w:jc w:val="right"/>
              <w:rPr>
                <w:rFonts w:eastAsia="Times New Roman"/>
              </w:rPr>
            </w:pPr>
          </w:p>
        </w:tc>
      </w:tr>
      <w:tr w:rsidR="00000000" w14:paraId="563F0DEA" w14:textId="77777777">
        <w:trPr>
          <w:divId w:val="1813016301"/>
        </w:trPr>
        <w:tc>
          <w:tcPr>
            <w:tcW w:w="0" w:type="auto"/>
            <w:gridSpan w:val="3"/>
            <w:shd w:val="clear" w:color="auto" w:fill="FFFFFF"/>
            <w:tcMar>
              <w:top w:w="30" w:type="dxa"/>
              <w:left w:w="20" w:type="dxa"/>
              <w:bottom w:w="30" w:type="dxa"/>
              <w:right w:w="20" w:type="dxa"/>
            </w:tcMar>
            <w:vAlign w:val="bottom"/>
            <w:hideMark/>
          </w:tcPr>
          <w:p w14:paraId="09050A15" w14:textId="77777777" w:rsidR="00000000" w:rsidRDefault="00A173A8">
            <w:pPr>
              <w:spacing w:after="100"/>
              <w:rPr>
                <w:rFonts w:eastAsia="Times New Roman"/>
              </w:rPr>
            </w:pPr>
            <w:r>
              <w:rPr>
                <w:rFonts w:eastAsia="Times New Roman"/>
                <w:color w:val="000000"/>
                <w:sz w:val="20"/>
                <w:szCs w:val="20"/>
              </w:rPr>
              <w:t>Total capital</w:t>
            </w:r>
          </w:p>
        </w:tc>
        <w:tc>
          <w:tcPr>
            <w:tcW w:w="0" w:type="auto"/>
            <w:gridSpan w:val="3"/>
            <w:shd w:val="clear" w:color="auto" w:fill="FFFFFF"/>
            <w:tcMar>
              <w:top w:w="0" w:type="dxa"/>
              <w:left w:w="20" w:type="dxa"/>
              <w:bottom w:w="0" w:type="dxa"/>
              <w:right w:w="20" w:type="dxa"/>
            </w:tcMar>
            <w:vAlign w:val="center"/>
            <w:hideMark/>
          </w:tcPr>
          <w:p w14:paraId="21607AA8"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D4E4D43"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FF6A8BB" w14:textId="77777777" w:rsidR="00000000" w:rsidRDefault="00A173A8">
            <w:pPr>
              <w:spacing w:after="100"/>
              <w:jc w:val="right"/>
              <w:rPr>
                <w:rFonts w:eastAsia="Times New Roman"/>
              </w:rPr>
            </w:pPr>
            <w:r>
              <w:rPr>
                <w:rFonts w:eastAsia="Times New Roman"/>
                <w:b/>
                <w:bCs/>
                <w:color w:val="000000"/>
                <w:sz w:val="20"/>
                <w:szCs w:val="20"/>
              </w:rPr>
              <w:t>55,100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4B3D9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BA08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30A2F8F"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8CF7CF5" w14:textId="77777777" w:rsidR="00000000" w:rsidRDefault="00A173A8">
            <w:pPr>
              <w:spacing w:after="100"/>
              <w:jc w:val="right"/>
              <w:rPr>
                <w:rFonts w:eastAsia="Times New Roman"/>
              </w:rPr>
            </w:pPr>
            <w:r>
              <w:rPr>
                <w:rFonts w:eastAsia="Times New Roman"/>
                <w:color w:val="000000"/>
                <w:sz w:val="20"/>
                <w:szCs w:val="20"/>
              </w:rPr>
              <w:t>56,089 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F9A515" w14:textId="77777777" w:rsidR="00000000" w:rsidRDefault="00A173A8">
            <w:pPr>
              <w:spacing w:after="100"/>
              <w:jc w:val="right"/>
              <w:rPr>
                <w:rFonts w:eastAsia="Times New Roman"/>
              </w:rPr>
            </w:pPr>
          </w:p>
        </w:tc>
      </w:tr>
      <w:tr w:rsidR="00000000" w14:paraId="3C8D00AB" w14:textId="77777777">
        <w:trPr>
          <w:divId w:val="1813016301"/>
          <w:trHeight w:val="280"/>
        </w:trPr>
        <w:tc>
          <w:tcPr>
            <w:tcW w:w="0" w:type="auto"/>
            <w:gridSpan w:val="3"/>
            <w:shd w:val="clear" w:color="auto" w:fill="CCEEFF"/>
            <w:tcMar>
              <w:top w:w="0" w:type="dxa"/>
              <w:left w:w="20" w:type="dxa"/>
              <w:bottom w:w="0" w:type="dxa"/>
              <w:right w:w="20" w:type="dxa"/>
            </w:tcMar>
            <w:vAlign w:val="center"/>
            <w:hideMark/>
          </w:tcPr>
          <w:p w14:paraId="4C05AA71"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688220"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54CDA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6188AF"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CC56A54" w14:textId="77777777" w:rsidR="00000000" w:rsidRDefault="00A173A8">
            <w:pPr>
              <w:spacing w:after="100"/>
              <w:rPr>
                <w:rFonts w:eastAsia="Times New Roman"/>
                <w:sz w:val="20"/>
                <w:szCs w:val="20"/>
              </w:rPr>
            </w:pPr>
          </w:p>
        </w:tc>
      </w:tr>
      <w:tr w:rsidR="00000000" w14:paraId="6D0F8672" w14:textId="77777777">
        <w:trPr>
          <w:divId w:val="1813016301"/>
        </w:trPr>
        <w:tc>
          <w:tcPr>
            <w:tcW w:w="0" w:type="auto"/>
            <w:gridSpan w:val="3"/>
            <w:shd w:val="clear" w:color="auto" w:fill="FFFFFF"/>
            <w:tcMar>
              <w:top w:w="30" w:type="dxa"/>
              <w:left w:w="20" w:type="dxa"/>
              <w:bottom w:w="30" w:type="dxa"/>
              <w:right w:w="20" w:type="dxa"/>
            </w:tcMar>
            <w:vAlign w:val="bottom"/>
            <w:hideMark/>
          </w:tcPr>
          <w:p w14:paraId="085F662F" w14:textId="77777777" w:rsidR="00000000" w:rsidRDefault="00A173A8">
            <w:pPr>
              <w:spacing w:after="100"/>
              <w:rPr>
                <w:rFonts w:eastAsia="Times New Roman"/>
              </w:rPr>
            </w:pPr>
            <w:r>
              <w:rPr>
                <w:rFonts w:eastAsia="Times New Roman"/>
                <w:b/>
                <w:bCs/>
                <w:color w:val="000000"/>
                <w:sz w:val="20"/>
                <w:szCs w:val="20"/>
              </w:rPr>
              <w:t>Regulatory Capital Metrics</w:t>
            </w:r>
          </w:p>
        </w:tc>
        <w:tc>
          <w:tcPr>
            <w:tcW w:w="0" w:type="auto"/>
            <w:gridSpan w:val="3"/>
            <w:shd w:val="clear" w:color="auto" w:fill="FFFFFF"/>
            <w:tcMar>
              <w:top w:w="0" w:type="dxa"/>
              <w:left w:w="20" w:type="dxa"/>
              <w:bottom w:w="0" w:type="dxa"/>
              <w:right w:w="20" w:type="dxa"/>
            </w:tcMar>
            <w:vAlign w:val="center"/>
            <w:hideMark/>
          </w:tcPr>
          <w:p w14:paraId="4EDFC62E"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2B9E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6217E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3AC11E" w14:textId="77777777" w:rsidR="00000000" w:rsidRDefault="00A173A8">
            <w:pPr>
              <w:spacing w:after="100"/>
              <w:rPr>
                <w:rFonts w:eastAsia="Times New Roman"/>
                <w:sz w:val="20"/>
                <w:szCs w:val="20"/>
              </w:rPr>
            </w:pPr>
          </w:p>
        </w:tc>
      </w:tr>
      <w:tr w:rsidR="00000000" w14:paraId="060C6A87" w14:textId="77777777">
        <w:trPr>
          <w:divId w:val="1813016301"/>
        </w:trPr>
        <w:tc>
          <w:tcPr>
            <w:tcW w:w="0" w:type="auto"/>
            <w:gridSpan w:val="3"/>
            <w:shd w:val="clear" w:color="auto" w:fill="CCEEFF"/>
            <w:tcMar>
              <w:top w:w="30" w:type="dxa"/>
              <w:left w:w="20" w:type="dxa"/>
              <w:bottom w:w="30" w:type="dxa"/>
              <w:right w:w="20" w:type="dxa"/>
            </w:tcMar>
            <w:vAlign w:val="bottom"/>
            <w:hideMark/>
          </w:tcPr>
          <w:p w14:paraId="07A5A87F" w14:textId="77777777" w:rsidR="00000000" w:rsidRDefault="00A173A8">
            <w:pPr>
              <w:spacing w:after="100"/>
              <w:rPr>
                <w:rFonts w:eastAsia="Times New Roman"/>
              </w:rPr>
            </w:pPr>
            <w:r>
              <w:rPr>
                <w:rFonts w:eastAsia="Times New Roman"/>
                <w:color w:val="000000"/>
                <w:sz w:val="20"/>
                <w:szCs w:val="20"/>
              </w:rPr>
              <w:t>Risk-weighted assets</w:t>
            </w:r>
          </w:p>
        </w:tc>
        <w:tc>
          <w:tcPr>
            <w:tcW w:w="0" w:type="auto"/>
            <w:gridSpan w:val="3"/>
            <w:shd w:val="clear" w:color="auto" w:fill="CCEEFF"/>
            <w:tcMar>
              <w:top w:w="0" w:type="dxa"/>
              <w:left w:w="20" w:type="dxa"/>
              <w:bottom w:w="0" w:type="dxa"/>
              <w:right w:w="20" w:type="dxa"/>
            </w:tcMar>
            <w:vAlign w:val="center"/>
            <w:hideMark/>
          </w:tcPr>
          <w:p w14:paraId="793DC4F5"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51B9ED61"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64D47E2C" w14:textId="77777777" w:rsidR="00000000" w:rsidRDefault="00A173A8">
            <w:pPr>
              <w:spacing w:after="100"/>
              <w:jc w:val="right"/>
              <w:rPr>
                <w:rFonts w:eastAsia="Times New Roman"/>
              </w:rPr>
            </w:pPr>
            <w:r>
              <w:rPr>
                <w:rFonts w:eastAsia="Times New Roman"/>
                <w:b/>
                <w:bCs/>
                <w:color w:val="000000"/>
                <w:sz w:val="20"/>
                <w:szCs w:val="20"/>
              </w:rPr>
              <w:t>351,746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6F9595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45183"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0180DAB"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15D1355C" w14:textId="77777777" w:rsidR="00000000" w:rsidRDefault="00A173A8">
            <w:pPr>
              <w:spacing w:after="100"/>
              <w:jc w:val="right"/>
              <w:rPr>
                <w:rFonts w:eastAsia="Times New Roman"/>
              </w:rPr>
            </w:pPr>
            <w:r>
              <w:rPr>
                <w:rFonts w:eastAsia="Times New Roman"/>
                <w:color w:val="000000"/>
                <w:sz w:val="20"/>
                <w:szCs w:val="20"/>
              </w:rPr>
              <w:t>332,673 </w:t>
            </w:r>
          </w:p>
        </w:tc>
        <w:tc>
          <w:tcPr>
            <w:tcW w:w="0" w:type="auto"/>
            <w:shd w:val="clear" w:color="auto" w:fill="CCEEFF"/>
            <w:tcMar>
              <w:top w:w="30" w:type="dxa"/>
              <w:left w:w="0" w:type="dxa"/>
              <w:bottom w:w="30" w:type="dxa"/>
              <w:right w:w="20" w:type="dxa"/>
            </w:tcMar>
            <w:vAlign w:val="center"/>
            <w:hideMark/>
          </w:tcPr>
          <w:p w14:paraId="15F8D4E7" w14:textId="77777777" w:rsidR="00000000" w:rsidRDefault="00A173A8">
            <w:pPr>
              <w:spacing w:after="100"/>
              <w:jc w:val="right"/>
              <w:rPr>
                <w:rFonts w:eastAsia="Times New Roman"/>
              </w:rPr>
            </w:pPr>
          </w:p>
        </w:tc>
      </w:tr>
      <w:tr w:rsidR="00000000" w14:paraId="654EB3CD" w14:textId="77777777">
        <w:trPr>
          <w:divId w:val="1813016301"/>
        </w:trPr>
        <w:tc>
          <w:tcPr>
            <w:tcW w:w="0" w:type="auto"/>
            <w:gridSpan w:val="3"/>
            <w:shd w:val="clear" w:color="auto" w:fill="FFFFFF"/>
            <w:tcMar>
              <w:top w:w="30" w:type="dxa"/>
              <w:left w:w="20" w:type="dxa"/>
              <w:bottom w:w="30" w:type="dxa"/>
              <w:right w:w="20" w:type="dxa"/>
            </w:tcMar>
            <w:vAlign w:val="bottom"/>
            <w:hideMark/>
          </w:tcPr>
          <w:p w14:paraId="255F70E5" w14:textId="77777777" w:rsidR="00000000" w:rsidRDefault="00A173A8">
            <w:pPr>
              <w:spacing w:after="100"/>
              <w:rPr>
                <w:rFonts w:eastAsia="Times New Roman"/>
              </w:rPr>
            </w:pPr>
            <w:r>
              <w:rPr>
                <w:rFonts w:eastAsia="Times New Roman"/>
                <w:color w:val="000000"/>
                <w:sz w:val="20"/>
                <w:szCs w:val="20"/>
              </w:rPr>
              <w:t>Adjusted average assets</w:t>
            </w:r>
          </w:p>
        </w:tc>
        <w:tc>
          <w:tcPr>
            <w:tcW w:w="0" w:type="auto"/>
            <w:gridSpan w:val="3"/>
            <w:shd w:val="clear" w:color="auto" w:fill="FFFFFF"/>
            <w:tcMar>
              <w:top w:w="0" w:type="dxa"/>
              <w:left w:w="20" w:type="dxa"/>
              <w:bottom w:w="0" w:type="dxa"/>
              <w:right w:w="20" w:type="dxa"/>
            </w:tcMar>
            <w:vAlign w:val="center"/>
            <w:hideMark/>
          </w:tcPr>
          <w:p w14:paraId="597ACF5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77127C0" w14:textId="77777777" w:rsidR="00000000" w:rsidRDefault="00A173A8">
            <w:pPr>
              <w:spacing w:after="100"/>
              <w:jc w:val="right"/>
              <w:rPr>
                <w:rFonts w:eastAsia="Times New Roman"/>
              </w:rPr>
            </w:pPr>
            <w:r>
              <w:rPr>
                <w:rFonts w:eastAsia="Times New Roman"/>
                <w:b/>
                <w:bCs/>
                <w:color w:val="000000"/>
                <w:sz w:val="20"/>
                <w:szCs w:val="20"/>
              </w:rPr>
              <w:t>427,446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B0EE73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C8E31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BE1AAB" w14:textId="77777777" w:rsidR="00000000" w:rsidRDefault="00A173A8">
            <w:pPr>
              <w:spacing w:after="100"/>
              <w:jc w:val="right"/>
              <w:rPr>
                <w:rFonts w:eastAsia="Times New Roman"/>
              </w:rPr>
            </w:pPr>
            <w:r>
              <w:rPr>
                <w:rFonts w:eastAsia="Times New Roman"/>
                <w:color w:val="000000"/>
                <w:sz w:val="20"/>
                <w:szCs w:val="20"/>
              </w:rPr>
              <w:t>415,141 </w:t>
            </w:r>
          </w:p>
        </w:tc>
        <w:tc>
          <w:tcPr>
            <w:tcW w:w="0" w:type="auto"/>
            <w:shd w:val="clear" w:color="auto" w:fill="FFFFFF"/>
            <w:tcMar>
              <w:top w:w="30" w:type="dxa"/>
              <w:left w:w="0" w:type="dxa"/>
              <w:bottom w:w="30" w:type="dxa"/>
              <w:right w:w="20" w:type="dxa"/>
            </w:tcMar>
            <w:vAlign w:val="center"/>
            <w:hideMark/>
          </w:tcPr>
          <w:p w14:paraId="3611D615" w14:textId="77777777" w:rsidR="00000000" w:rsidRDefault="00A173A8">
            <w:pPr>
              <w:spacing w:after="100"/>
              <w:jc w:val="right"/>
              <w:rPr>
                <w:rFonts w:eastAsia="Times New Roman"/>
              </w:rPr>
            </w:pPr>
          </w:p>
        </w:tc>
      </w:tr>
      <w:tr w:rsidR="00000000" w14:paraId="3AEE0161" w14:textId="77777777">
        <w:trPr>
          <w:divId w:val="1813016301"/>
        </w:trPr>
        <w:tc>
          <w:tcPr>
            <w:tcW w:w="0" w:type="auto"/>
            <w:gridSpan w:val="3"/>
            <w:shd w:val="clear" w:color="auto" w:fill="CCEEFF"/>
            <w:tcMar>
              <w:top w:w="30" w:type="dxa"/>
              <w:left w:w="20" w:type="dxa"/>
              <w:bottom w:w="30" w:type="dxa"/>
              <w:right w:w="20" w:type="dxa"/>
            </w:tcMar>
            <w:vAlign w:val="bottom"/>
            <w:hideMark/>
          </w:tcPr>
          <w:p w14:paraId="1754A6F4" w14:textId="77777777" w:rsidR="00000000" w:rsidRDefault="00A173A8">
            <w:pPr>
              <w:spacing w:after="100"/>
              <w:rPr>
                <w:rFonts w:eastAsia="Times New Roman"/>
              </w:rPr>
            </w:pPr>
            <w:r>
              <w:rPr>
                <w:rFonts w:eastAsia="Times New Roman"/>
                <w:color w:val="000000"/>
                <w:sz w:val="20"/>
                <w:szCs w:val="20"/>
              </w:rPr>
              <w:t>Total leverage exposure</w:t>
            </w:r>
          </w:p>
        </w:tc>
        <w:tc>
          <w:tcPr>
            <w:tcW w:w="0" w:type="auto"/>
            <w:gridSpan w:val="3"/>
            <w:shd w:val="clear" w:color="auto" w:fill="CCEEFF"/>
            <w:tcMar>
              <w:top w:w="0" w:type="dxa"/>
              <w:left w:w="20" w:type="dxa"/>
              <w:bottom w:w="0" w:type="dxa"/>
              <w:right w:w="20" w:type="dxa"/>
            </w:tcMar>
            <w:vAlign w:val="center"/>
            <w:hideMark/>
          </w:tcPr>
          <w:p w14:paraId="25958C3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3044C9" w14:textId="77777777" w:rsidR="00000000" w:rsidRDefault="00A173A8">
            <w:pPr>
              <w:spacing w:after="100"/>
              <w:jc w:val="right"/>
              <w:rPr>
                <w:rFonts w:eastAsia="Times New Roman"/>
              </w:rPr>
            </w:pPr>
            <w:r>
              <w:rPr>
                <w:rFonts w:eastAsia="Times New Roman"/>
                <w:b/>
                <w:bCs/>
                <w:color w:val="000000"/>
                <w:sz w:val="20"/>
                <w:szCs w:val="20"/>
              </w:rPr>
              <w:t>501,795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7CBBF1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DC65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5DF4C9" w14:textId="77777777" w:rsidR="00000000" w:rsidRDefault="00A173A8">
            <w:pPr>
              <w:spacing w:after="100"/>
              <w:jc w:val="right"/>
              <w:rPr>
                <w:rFonts w:eastAsia="Times New Roman"/>
              </w:rPr>
            </w:pPr>
            <w:r>
              <w:rPr>
                <w:rFonts w:eastAsia="Times New Roman"/>
                <w:color w:val="000000"/>
                <w:sz w:val="20"/>
                <w:szCs w:val="20"/>
              </w:rPr>
              <w:t>486,405 </w:t>
            </w:r>
          </w:p>
        </w:tc>
        <w:tc>
          <w:tcPr>
            <w:tcW w:w="0" w:type="auto"/>
            <w:shd w:val="clear" w:color="auto" w:fill="CCEEFF"/>
            <w:tcMar>
              <w:top w:w="30" w:type="dxa"/>
              <w:left w:w="0" w:type="dxa"/>
              <w:bottom w:w="30" w:type="dxa"/>
              <w:right w:w="20" w:type="dxa"/>
            </w:tcMar>
            <w:vAlign w:val="center"/>
            <w:hideMark/>
          </w:tcPr>
          <w:p w14:paraId="738470F3" w14:textId="77777777" w:rsidR="00000000" w:rsidRDefault="00A173A8">
            <w:pPr>
              <w:spacing w:after="100"/>
              <w:jc w:val="right"/>
              <w:rPr>
                <w:rFonts w:eastAsia="Times New Roman"/>
              </w:rPr>
            </w:pPr>
          </w:p>
        </w:tc>
      </w:tr>
    </w:tbl>
    <w:p w14:paraId="57B7BDAE" w14:textId="77777777" w:rsidR="00000000" w:rsidRDefault="00A173A8">
      <w:pPr>
        <w:jc w:val="both"/>
        <w:divId w:val="1813016301"/>
        <w:rPr>
          <w:rFonts w:eastAsia="Times New Roman"/>
        </w:rPr>
      </w:pPr>
      <w:r>
        <w:rPr>
          <w:rFonts w:eastAsia="Times New Roman"/>
          <w:color w:val="000000"/>
          <w:sz w:val="20"/>
          <w:szCs w:val="20"/>
        </w:rPr>
        <w:t>__________</w:t>
      </w:r>
    </w:p>
    <w:p w14:paraId="3EF49514" w14:textId="77777777" w:rsidR="00000000" w:rsidRDefault="00A173A8">
      <w:pPr>
        <w:ind w:hanging="360"/>
        <w:jc w:val="both"/>
        <w:divId w:val="343243827"/>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 xml:space="preserve">Excludes certain components of AOCI in accordance with rules applicable to Category III institutions. See </w:t>
      </w:r>
      <w:r>
        <w:rPr>
          <w:rFonts w:eastAsia="Times New Roman"/>
          <w:color w:val="000000"/>
          <w:sz w:val="20"/>
          <w:szCs w:val="20"/>
        </w:rPr>
        <w:t>“</w:t>
      </w:r>
      <w:r>
        <w:rPr>
          <w:rFonts w:eastAsia="Times New Roman"/>
          <w:color w:val="000000"/>
          <w:sz w:val="16"/>
          <w:szCs w:val="16"/>
        </w:rPr>
        <w:t>MD&amp;A—Capital Management—Basel III and United States Capital Rules” in this Report.</w:t>
      </w:r>
    </w:p>
    <w:p w14:paraId="4807E413" w14:textId="77777777" w:rsidR="00000000" w:rsidRDefault="00A173A8">
      <w:pPr>
        <w:ind w:hanging="360"/>
        <w:jc w:val="both"/>
        <w:divId w:val="186994965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deferred tax assets deducted from regulatory capital.</w:t>
      </w:r>
    </w:p>
    <w:p w14:paraId="71C59580" w14:textId="77777777" w:rsidR="00000000" w:rsidRDefault="00A173A8">
      <w:pPr>
        <w:divId w:val="53429606"/>
        <w:rPr>
          <w:rFonts w:eastAsia="Times New Roman"/>
        </w:rPr>
      </w:pPr>
      <w:r>
        <w:rPr>
          <w:rFonts w:eastAsia="Times New Roman"/>
          <w:b/>
          <w:bCs/>
          <w:color w:val="000000"/>
          <w:sz w:val="20"/>
          <w:szCs w:val="20"/>
        </w:rPr>
        <w:t>Capital Planning and Regulatory Stress Testing</w:t>
      </w:r>
    </w:p>
    <w:p w14:paraId="44053F38" w14:textId="77777777" w:rsidR="00000000" w:rsidRDefault="00A173A8">
      <w:pPr>
        <w:jc w:val="both"/>
        <w:divId w:val="1726879077"/>
        <w:rPr>
          <w:rFonts w:eastAsia="Times New Roman"/>
        </w:rPr>
      </w:pPr>
      <w:r>
        <w:rPr>
          <w:rFonts w:eastAsia="Times New Roman"/>
          <w:color w:val="000000"/>
          <w:sz w:val="20"/>
          <w:szCs w:val="20"/>
        </w:rPr>
        <w:t xml:space="preserve">In January 2022, our Board of Directors authorized the repurchase of up to $5.0 billion of shares of our common stock. </w:t>
      </w:r>
      <w:r>
        <w:rPr>
          <w:rFonts w:eastAsia="Times New Roman"/>
          <w:color w:val="000000"/>
          <w:sz w:val="20"/>
          <w:szCs w:val="20"/>
          <w:shd w:val="clear" w:color="auto" w:fill="FFFFFF"/>
        </w:rPr>
        <w:t>We repurchased approximately $2.0 billion of shares of our common stock during the second</w:t>
      </w:r>
      <w:r>
        <w:rPr>
          <w:rFonts w:eastAsia="Times New Roman"/>
          <w:color w:val="000000"/>
          <w:sz w:val="20"/>
          <w:szCs w:val="20"/>
          <w:shd w:val="clear" w:color="auto" w:fill="FFFFFF"/>
        </w:rPr>
        <w:t xml:space="preserve"> quarter of 2022 and $4.4 billion during the first six months of 2022.</w:t>
      </w:r>
      <w:r>
        <w:rPr>
          <w:rFonts w:eastAsia="Times New Roman"/>
          <w:color w:val="000000"/>
          <w:sz w:val="20"/>
          <w:szCs w:val="20"/>
        </w:rPr>
        <w:t xml:space="preserve"> In April 2022, our Board of Directors authorized the repurchase of up to an additional $5.0 billion of shares of our common stock beginning in the third quarter of 2022. </w:t>
      </w:r>
    </w:p>
    <w:p w14:paraId="18571A98" w14:textId="77777777" w:rsidR="00000000" w:rsidRDefault="00A173A8">
      <w:pPr>
        <w:jc w:val="both"/>
        <w:rPr>
          <w:rFonts w:eastAsia="Times New Roman"/>
        </w:rPr>
      </w:pPr>
      <w:r>
        <w:rPr>
          <w:rFonts w:eastAsia="Times New Roman"/>
          <w:color w:val="000000"/>
          <w:sz w:val="20"/>
          <w:szCs w:val="20"/>
          <w:shd w:val="clear" w:color="auto" w:fill="FFFFFF"/>
        </w:rPr>
        <w:t>On June 23, 20</w:t>
      </w:r>
      <w:r>
        <w:rPr>
          <w:rFonts w:eastAsia="Times New Roman"/>
          <w:color w:val="000000"/>
          <w:sz w:val="20"/>
          <w:szCs w:val="20"/>
          <w:shd w:val="clear" w:color="auto" w:fill="FFFFFF"/>
        </w:rPr>
        <w:t>22, the Federal Reserve released the supervisory stress test results for the 2022 Comprehensive Capital Analysis and Review (“CCAR”) cycle. Based on the Company’s 2022 supervisory stress test results, the Company’s stress capital buffer requirement for the</w:t>
      </w:r>
      <w:r>
        <w:rPr>
          <w:rFonts w:eastAsia="Times New Roman"/>
          <w:color w:val="000000"/>
          <w:sz w:val="20"/>
          <w:szCs w:val="20"/>
          <w:shd w:val="clear" w:color="auto" w:fill="FFFFFF"/>
        </w:rPr>
        <w:t xml:space="preserve"> period beginning on October 1, 2022 through September 30, 2023 is 3.1%. Therefore, the Company’s minimum capital requirements plus the standardized approach capital conservation buffer for CET1 capital, Tier 1 capital and total capital ratios under the st</w:t>
      </w:r>
      <w:r>
        <w:rPr>
          <w:rFonts w:eastAsia="Times New Roman"/>
          <w:color w:val="000000"/>
          <w:sz w:val="20"/>
          <w:szCs w:val="20"/>
          <w:shd w:val="clear" w:color="auto" w:fill="FFFFFF"/>
        </w:rPr>
        <w:t>ress capital buffer framework are 7.6%, 9.1% and 11.1%, respectively, for the period from October 1, 2022 through September 30, 2023.</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0AEEA96" w14:textId="77777777">
        <w:trPr>
          <w:divId w:val="1224175721"/>
          <w:jc w:val="center"/>
        </w:trPr>
        <w:tc>
          <w:tcPr>
            <w:tcW w:w="50" w:type="pct"/>
            <w:vAlign w:val="center"/>
            <w:hideMark/>
          </w:tcPr>
          <w:p w14:paraId="60A3E520" w14:textId="77777777" w:rsidR="00000000" w:rsidRDefault="00A173A8">
            <w:pPr>
              <w:jc w:val="both"/>
              <w:rPr>
                <w:rFonts w:eastAsia="Times New Roman"/>
              </w:rPr>
            </w:pPr>
          </w:p>
        </w:tc>
        <w:tc>
          <w:tcPr>
            <w:tcW w:w="1606" w:type="pct"/>
            <w:vAlign w:val="center"/>
            <w:hideMark/>
          </w:tcPr>
          <w:p w14:paraId="0A99E767" w14:textId="77777777" w:rsidR="00000000" w:rsidRDefault="00A173A8">
            <w:pPr>
              <w:spacing w:after="100"/>
              <w:rPr>
                <w:rFonts w:eastAsia="Times New Roman"/>
                <w:sz w:val="20"/>
                <w:szCs w:val="20"/>
              </w:rPr>
            </w:pPr>
          </w:p>
        </w:tc>
        <w:tc>
          <w:tcPr>
            <w:tcW w:w="5" w:type="pct"/>
            <w:vAlign w:val="center"/>
            <w:hideMark/>
          </w:tcPr>
          <w:p w14:paraId="4D4F07AD" w14:textId="77777777" w:rsidR="00000000" w:rsidRDefault="00A173A8">
            <w:pPr>
              <w:spacing w:after="100"/>
              <w:rPr>
                <w:rFonts w:eastAsia="Times New Roman"/>
                <w:sz w:val="20"/>
                <w:szCs w:val="20"/>
              </w:rPr>
            </w:pPr>
          </w:p>
        </w:tc>
        <w:tc>
          <w:tcPr>
            <w:tcW w:w="50" w:type="pct"/>
            <w:vAlign w:val="center"/>
            <w:hideMark/>
          </w:tcPr>
          <w:p w14:paraId="6BE64698" w14:textId="77777777" w:rsidR="00000000" w:rsidRDefault="00A173A8">
            <w:pPr>
              <w:spacing w:after="100"/>
              <w:rPr>
                <w:rFonts w:eastAsia="Times New Roman"/>
                <w:sz w:val="20"/>
                <w:szCs w:val="20"/>
              </w:rPr>
            </w:pPr>
          </w:p>
        </w:tc>
        <w:tc>
          <w:tcPr>
            <w:tcW w:w="1614" w:type="pct"/>
            <w:vAlign w:val="center"/>
            <w:hideMark/>
          </w:tcPr>
          <w:p w14:paraId="7C2F31BF" w14:textId="77777777" w:rsidR="00000000" w:rsidRDefault="00A173A8">
            <w:pPr>
              <w:spacing w:after="100"/>
              <w:rPr>
                <w:rFonts w:eastAsia="Times New Roman"/>
                <w:sz w:val="20"/>
                <w:szCs w:val="20"/>
              </w:rPr>
            </w:pPr>
          </w:p>
        </w:tc>
        <w:tc>
          <w:tcPr>
            <w:tcW w:w="5" w:type="pct"/>
            <w:vAlign w:val="center"/>
            <w:hideMark/>
          </w:tcPr>
          <w:p w14:paraId="39946865" w14:textId="77777777" w:rsidR="00000000" w:rsidRDefault="00A173A8">
            <w:pPr>
              <w:spacing w:after="100"/>
              <w:rPr>
                <w:rFonts w:eastAsia="Times New Roman"/>
                <w:sz w:val="20"/>
                <w:szCs w:val="20"/>
              </w:rPr>
            </w:pPr>
          </w:p>
        </w:tc>
        <w:tc>
          <w:tcPr>
            <w:tcW w:w="50" w:type="pct"/>
            <w:vAlign w:val="center"/>
            <w:hideMark/>
          </w:tcPr>
          <w:p w14:paraId="0D75B5D9" w14:textId="77777777" w:rsidR="00000000" w:rsidRDefault="00A173A8">
            <w:pPr>
              <w:spacing w:after="100"/>
              <w:rPr>
                <w:rFonts w:eastAsia="Times New Roman"/>
                <w:sz w:val="20"/>
                <w:szCs w:val="20"/>
              </w:rPr>
            </w:pPr>
          </w:p>
        </w:tc>
        <w:tc>
          <w:tcPr>
            <w:tcW w:w="1614" w:type="pct"/>
            <w:vAlign w:val="center"/>
            <w:hideMark/>
          </w:tcPr>
          <w:p w14:paraId="77CE006C" w14:textId="77777777" w:rsidR="00000000" w:rsidRDefault="00A173A8">
            <w:pPr>
              <w:spacing w:after="100"/>
              <w:rPr>
                <w:rFonts w:eastAsia="Times New Roman"/>
                <w:sz w:val="20"/>
                <w:szCs w:val="20"/>
              </w:rPr>
            </w:pPr>
          </w:p>
        </w:tc>
        <w:tc>
          <w:tcPr>
            <w:tcW w:w="5" w:type="pct"/>
            <w:vAlign w:val="center"/>
            <w:hideMark/>
          </w:tcPr>
          <w:p w14:paraId="34F33116" w14:textId="77777777" w:rsidR="00000000" w:rsidRDefault="00A173A8">
            <w:pPr>
              <w:spacing w:after="100"/>
              <w:rPr>
                <w:rFonts w:eastAsia="Times New Roman"/>
                <w:sz w:val="20"/>
                <w:szCs w:val="20"/>
              </w:rPr>
            </w:pPr>
          </w:p>
        </w:tc>
      </w:tr>
      <w:tr w:rsidR="00000000" w14:paraId="6C21F723" w14:textId="77777777">
        <w:trPr>
          <w:divId w:val="1224175721"/>
          <w:trHeight w:val="300"/>
          <w:jc w:val="center"/>
        </w:trPr>
        <w:tc>
          <w:tcPr>
            <w:tcW w:w="0" w:type="auto"/>
            <w:gridSpan w:val="9"/>
            <w:tcMar>
              <w:top w:w="0" w:type="dxa"/>
              <w:left w:w="20" w:type="dxa"/>
              <w:bottom w:w="0" w:type="dxa"/>
              <w:right w:w="20" w:type="dxa"/>
            </w:tcMar>
            <w:vAlign w:val="center"/>
            <w:hideMark/>
          </w:tcPr>
          <w:p w14:paraId="016A7548" w14:textId="77777777" w:rsidR="00000000" w:rsidRDefault="00A173A8">
            <w:pPr>
              <w:spacing w:after="100"/>
              <w:rPr>
                <w:rFonts w:eastAsia="Times New Roman"/>
                <w:sz w:val="20"/>
                <w:szCs w:val="20"/>
              </w:rPr>
            </w:pPr>
          </w:p>
        </w:tc>
      </w:tr>
      <w:tr w:rsidR="00000000" w14:paraId="2A52D117" w14:textId="77777777">
        <w:trPr>
          <w:divId w:val="1224175721"/>
          <w:jc w:val="center"/>
        </w:trPr>
        <w:tc>
          <w:tcPr>
            <w:tcW w:w="0" w:type="auto"/>
            <w:gridSpan w:val="3"/>
            <w:tcMar>
              <w:top w:w="0" w:type="dxa"/>
              <w:left w:w="20" w:type="dxa"/>
              <w:bottom w:w="0" w:type="dxa"/>
              <w:right w:w="20" w:type="dxa"/>
            </w:tcMar>
            <w:vAlign w:val="center"/>
            <w:hideMark/>
          </w:tcPr>
          <w:p w14:paraId="6E12EB74"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DFC28A" w14:textId="77777777" w:rsidR="00000000" w:rsidRDefault="00A173A8">
            <w:pPr>
              <w:spacing w:after="100"/>
              <w:jc w:val="center"/>
              <w:rPr>
                <w:rFonts w:eastAsia="Times New Roman"/>
              </w:rPr>
            </w:pPr>
            <w:r>
              <w:rPr>
                <w:rFonts w:eastAsia="Times New Roman"/>
                <w:color w:val="000000"/>
                <w:sz w:val="16"/>
                <w:szCs w:val="16"/>
              </w:rPr>
              <w:t>32</w:t>
            </w:r>
          </w:p>
        </w:tc>
        <w:tc>
          <w:tcPr>
            <w:tcW w:w="0" w:type="auto"/>
            <w:gridSpan w:val="3"/>
            <w:tcMar>
              <w:top w:w="30" w:type="dxa"/>
              <w:left w:w="20" w:type="dxa"/>
              <w:bottom w:w="30" w:type="dxa"/>
              <w:right w:w="20" w:type="dxa"/>
            </w:tcMar>
            <w:vAlign w:val="bottom"/>
            <w:hideMark/>
          </w:tcPr>
          <w:p w14:paraId="31371CA6"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62C2F74" w14:textId="77777777" w:rsidR="00000000" w:rsidRDefault="00A173A8">
      <w:pPr>
        <w:rPr>
          <w:rFonts w:eastAsia="Times New Roman"/>
        </w:rPr>
      </w:pPr>
      <w:r>
        <w:rPr>
          <w:rFonts w:eastAsia="Times New Roman"/>
        </w:rPr>
        <w:pict w14:anchorId="47B2A922">
          <v:rect id="_x0000_i1057" style="width:0;height:1.5pt" o:hralign="center" o:hrstd="t" o:hr="t" fillcolor="#a0a0a0" stroked="f"/>
        </w:pict>
      </w:r>
    </w:p>
    <w:p w14:paraId="282555A6" w14:textId="77777777" w:rsidR="00000000" w:rsidRDefault="00A173A8">
      <w:pPr>
        <w:ind w:hanging="360"/>
        <w:jc w:val="both"/>
        <w:divId w:val="1098791386"/>
        <w:rPr>
          <w:rFonts w:eastAsia="Times New Roman"/>
        </w:rPr>
      </w:pPr>
      <w:hyperlink w:anchor="i7ffd5d61af6f4722b1b1b07530d51c06_13" w:history="1">
        <w:r>
          <w:rPr>
            <w:rStyle w:val="a3"/>
            <w:rFonts w:eastAsia="Times New Roman"/>
            <w:sz w:val="16"/>
            <w:szCs w:val="16"/>
          </w:rPr>
          <w:t>Table of Contents</w:t>
        </w:r>
      </w:hyperlink>
    </w:p>
    <w:p w14:paraId="3B539959" w14:textId="77777777" w:rsidR="00000000" w:rsidRDefault="00A173A8">
      <w:pPr>
        <w:jc w:val="both"/>
        <w:divId w:val="948203713"/>
        <w:rPr>
          <w:rFonts w:eastAsia="Times New Roman"/>
        </w:rPr>
      </w:pPr>
      <w:r>
        <w:rPr>
          <w:rFonts w:eastAsia="Times New Roman"/>
          <w:color w:val="000000"/>
          <w:sz w:val="20"/>
          <w:szCs w:val="20"/>
        </w:rPr>
        <w:t>For the description of the regulatory capital planning rules and stress testing requirements to which we are subject, see “MD&amp;A—Supervision and</w:t>
      </w:r>
      <w:r>
        <w:rPr>
          <w:rFonts w:eastAsia="Times New Roman"/>
          <w:color w:val="000000"/>
          <w:sz w:val="20"/>
          <w:szCs w:val="20"/>
        </w:rPr>
        <w:t xml:space="preserve"> Regulation” in this Report as well as “Part I—Item 1. Business—Supervision and Regulation” in our 2021 Form 10-K.</w:t>
      </w:r>
    </w:p>
    <w:p w14:paraId="112EAF38" w14:textId="77777777" w:rsidR="00000000" w:rsidRDefault="00A173A8">
      <w:pPr>
        <w:divId w:val="1265649996"/>
        <w:rPr>
          <w:rFonts w:eastAsia="Times New Roman"/>
        </w:rPr>
      </w:pPr>
      <w:r>
        <w:rPr>
          <w:rFonts w:eastAsia="Times New Roman"/>
          <w:b/>
          <w:bCs/>
          <w:color w:val="000000"/>
          <w:sz w:val="20"/>
          <w:szCs w:val="20"/>
        </w:rPr>
        <w:t xml:space="preserve">Dividend Policy and Stock Purchases </w:t>
      </w:r>
    </w:p>
    <w:p w14:paraId="4704C08C" w14:textId="77777777" w:rsidR="00000000" w:rsidRDefault="00A173A8">
      <w:pPr>
        <w:jc w:val="both"/>
        <w:divId w:val="1943685047"/>
        <w:rPr>
          <w:rFonts w:eastAsia="Times New Roman"/>
        </w:rPr>
      </w:pPr>
      <w:r>
        <w:rPr>
          <w:rFonts w:eastAsia="Times New Roman"/>
          <w:color w:val="000000"/>
          <w:sz w:val="20"/>
          <w:szCs w:val="20"/>
        </w:rPr>
        <w:t>In the first six months of 2022</w:t>
      </w:r>
      <w:r>
        <w:rPr>
          <w:rFonts w:eastAsia="Times New Roman"/>
          <w:color w:val="000000"/>
          <w:sz w:val="20"/>
          <w:szCs w:val="20"/>
          <w:shd w:val="clear" w:color="auto" w:fill="FFFFFF"/>
        </w:rPr>
        <w:t>,</w:t>
      </w:r>
      <w:r>
        <w:rPr>
          <w:rFonts w:eastAsia="Times New Roman"/>
          <w:color w:val="000000"/>
          <w:sz w:val="20"/>
          <w:szCs w:val="20"/>
        </w:rPr>
        <w:t xml:space="preserve"> we declared and paid common stock dividends of </w:t>
      </w:r>
      <w:r>
        <w:rPr>
          <w:rFonts w:eastAsia="Times New Roman"/>
          <w:color w:val="000000"/>
          <w:sz w:val="20"/>
          <w:szCs w:val="20"/>
          <w:shd w:val="clear" w:color="auto" w:fill="FFFFFF"/>
        </w:rPr>
        <w:t>$490 million,</w:t>
      </w:r>
      <w:r>
        <w:rPr>
          <w:rFonts w:eastAsia="Times New Roman"/>
          <w:color w:val="000000"/>
          <w:sz w:val="20"/>
          <w:szCs w:val="20"/>
        </w:rPr>
        <w:t xml:space="preserve"> or </w:t>
      </w:r>
      <w:r>
        <w:rPr>
          <w:rFonts w:eastAsia="Times New Roman"/>
          <w:color w:val="000000"/>
          <w:sz w:val="20"/>
          <w:szCs w:val="20"/>
          <w:shd w:val="clear" w:color="auto" w:fill="FFFFFF"/>
        </w:rPr>
        <w:t>$1.20</w:t>
      </w:r>
      <w:r>
        <w:rPr>
          <w:rFonts w:eastAsia="Times New Roman"/>
          <w:color w:val="000000"/>
          <w:sz w:val="20"/>
          <w:szCs w:val="20"/>
        </w:rPr>
        <w:t xml:space="preserve"> p</w:t>
      </w:r>
      <w:r>
        <w:rPr>
          <w:rFonts w:eastAsia="Times New Roman"/>
          <w:color w:val="000000"/>
          <w:sz w:val="20"/>
          <w:szCs w:val="20"/>
        </w:rPr>
        <w:t xml:space="preserve">er share, and preferred stock dividends of </w:t>
      </w:r>
      <w:r>
        <w:rPr>
          <w:rFonts w:eastAsia="Times New Roman"/>
          <w:color w:val="000000"/>
          <w:sz w:val="20"/>
          <w:szCs w:val="20"/>
          <w:shd w:val="clear" w:color="auto" w:fill="FFFFFF"/>
        </w:rPr>
        <w:t>$114 million.</w:t>
      </w:r>
      <w:r>
        <w:rPr>
          <w:rFonts w:eastAsia="Times New Roman"/>
          <w:color w:val="000000"/>
          <w:sz w:val="20"/>
          <w:szCs w:val="20"/>
        </w:rPr>
        <w:t xml:space="preserve"> The following table summarizes the dividends paid per share on our various preferred stock series in the first six months of 2022.</w:t>
      </w:r>
    </w:p>
    <w:p w14:paraId="1C5BA675" w14:textId="77777777" w:rsidR="00000000" w:rsidRDefault="00A173A8">
      <w:pPr>
        <w:divId w:val="1519999337"/>
        <w:rPr>
          <w:rFonts w:eastAsia="Times New Roman"/>
        </w:rPr>
      </w:pPr>
      <w:r>
        <w:rPr>
          <w:rFonts w:eastAsia="Times New Roman"/>
          <w:b/>
          <w:bCs/>
          <w:color w:val="000000"/>
          <w:sz w:val="18"/>
          <w:szCs w:val="18"/>
        </w:rPr>
        <w:t xml:space="preserve">Table 15: Preferred Stock Dividends Paid Per Share </w:t>
      </w:r>
    </w:p>
    <w:tbl>
      <w:tblPr>
        <w:tblW w:w="5000" w:type="pct"/>
        <w:tblCellMar>
          <w:top w:w="15" w:type="dxa"/>
          <w:left w:w="15" w:type="dxa"/>
          <w:bottom w:w="15" w:type="dxa"/>
          <w:right w:w="15" w:type="dxa"/>
        </w:tblCellMar>
        <w:tblLook w:val="04A0" w:firstRow="1" w:lastRow="0" w:firstColumn="1" w:lastColumn="0" w:noHBand="0" w:noVBand="1"/>
      </w:tblPr>
      <w:tblGrid>
        <w:gridCol w:w="63"/>
        <w:gridCol w:w="584"/>
        <w:gridCol w:w="36"/>
        <w:gridCol w:w="36"/>
        <w:gridCol w:w="36"/>
        <w:gridCol w:w="36"/>
        <w:gridCol w:w="57"/>
        <w:gridCol w:w="1328"/>
        <w:gridCol w:w="36"/>
        <w:gridCol w:w="36"/>
        <w:gridCol w:w="36"/>
        <w:gridCol w:w="36"/>
        <w:gridCol w:w="54"/>
        <w:gridCol w:w="1224"/>
        <w:gridCol w:w="37"/>
        <w:gridCol w:w="36"/>
        <w:gridCol w:w="36"/>
        <w:gridCol w:w="36"/>
        <w:gridCol w:w="54"/>
        <w:gridCol w:w="1331"/>
        <w:gridCol w:w="37"/>
        <w:gridCol w:w="36"/>
        <w:gridCol w:w="36"/>
        <w:gridCol w:w="36"/>
        <w:gridCol w:w="62"/>
        <w:gridCol w:w="1097"/>
        <w:gridCol w:w="36"/>
        <w:gridCol w:w="36"/>
        <w:gridCol w:w="36"/>
        <w:gridCol w:w="36"/>
        <w:gridCol w:w="65"/>
        <w:gridCol w:w="600"/>
        <w:gridCol w:w="37"/>
        <w:gridCol w:w="37"/>
        <w:gridCol w:w="37"/>
        <w:gridCol w:w="36"/>
        <w:gridCol w:w="64"/>
        <w:gridCol w:w="602"/>
        <w:gridCol w:w="36"/>
        <w:gridCol w:w="36"/>
        <w:gridCol w:w="36"/>
        <w:gridCol w:w="36"/>
        <w:gridCol w:w="36"/>
        <w:gridCol w:w="36"/>
        <w:gridCol w:w="36"/>
      </w:tblGrid>
      <w:tr w:rsidR="00000000" w14:paraId="32FA4BF6" w14:textId="77777777">
        <w:trPr>
          <w:divId w:val="1758401982"/>
        </w:trPr>
        <w:tc>
          <w:tcPr>
            <w:tcW w:w="50" w:type="pct"/>
            <w:vAlign w:val="center"/>
            <w:hideMark/>
          </w:tcPr>
          <w:p w14:paraId="030DAA0E" w14:textId="77777777" w:rsidR="00000000" w:rsidRDefault="00A173A8">
            <w:pPr>
              <w:rPr>
                <w:rFonts w:eastAsia="Times New Roman"/>
              </w:rPr>
            </w:pPr>
          </w:p>
        </w:tc>
        <w:tc>
          <w:tcPr>
            <w:tcW w:w="383" w:type="pct"/>
            <w:vAlign w:val="center"/>
            <w:hideMark/>
          </w:tcPr>
          <w:p w14:paraId="3E417C81" w14:textId="77777777" w:rsidR="00000000" w:rsidRDefault="00A173A8">
            <w:pPr>
              <w:spacing w:after="100"/>
              <w:rPr>
                <w:rFonts w:eastAsia="Times New Roman"/>
                <w:sz w:val="20"/>
                <w:szCs w:val="20"/>
              </w:rPr>
            </w:pPr>
          </w:p>
        </w:tc>
        <w:tc>
          <w:tcPr>
            <w:tcW w:w="5" w:type="pct"/>
            <w:vAlign w:val="center"/>
            <w:hideMark/>
          </w:tcPr>
          <w:p w14:paraId="71523B27" w14:textId="77777777" w:rsidR="00000000" w:rsidRDefault="00A173A8">
            <w:pPr>
              <w:spacing w:after="100"/>
              <w:rPr>
                <w:rFonts w:eastAsia="Times New Roman"/>
                <w:sz w:val="20"/>
                <w:szCs w:val="20"/>
              </w:rPr>
            </w:pPr>
          </w:p>
        </w:tc>
        <w:tc>
          <w:tcPr>
            <w:tcW w:w="5" w:type="pct"/>
            <w:vAlign w:val="center"/>
            <w:hideMark/>
          </w:tcPr>
          <w:p w14:paraId="7AB43349" w14:textId="77777777" w:rsidR="00000000" w:rsidRDefault="00A173A8">
            <w:pPr>
              <w:spacing w:after="100"/>
              <w:rPr>
                <w:rFonts w:eastAsia="Times New Roman"/>
                <w:sz w:val="20"/>
                <w:szCs w:val="20"/>
              </w:rPr>
            </w:pPr>
          </w:p>
        </w:tc>
        <w:tc>
          <w:tcPr>
            <w:tcW w:w="26" w:type="pct"/>
            <w:vAlign w:val="center"/>
            <w:hideMark/>
          </w:tcPr>
          <w:p w14:paraId="6E207BEA" w14:textId="77777777" w:rsidR="00000000" w:rsidRDefault="00A173A8">
            <w:pPr>
              <w:spacing w:after="100"/>
              <w:rPr>
                <w:rFonts w:eastAsia="Times New Roman"/>
                <w:sz w:val="20"/>
                <w:szCs w:val="20"/>
              </w:rPr>
            </w:pPr>
          </w:p>
        </w:tc>
        <w:tc>
          <w:tcPr>
            <w:tcW w:w="5" w:type="pct"/>
            <w:vAlign w:val="center"/>
            <w:hideMark/>
          </w:tcPr>
          <w:p w14:paraId="6F3EBEB6" w14:textId="77777777" w:rsidR="00000000" w:rsidRDefault="00A173A8">
            <w:pPr>
              <w:spacing w:after="100"/>
              <w:rPr>
                <w:rFonts w:eastAsia="Times New Roman"/>
                <w:sz w:val="20"/>
                <w:szCs w:val="20"/>
              </w:rPr>
            </w:pPr>
          </w:p>
        </w:tc>
        <w:tc>
          <w:tcPr>
            <w:tcW w:w="50" w:type="pct"/>
            <w:vAlign w:val="center"/>
            <w:hideMark/>
          </w:tcPr>
          <w:p w14:paraId="55272BF3" w14:textId="77777777" w:rsidR="00000000" w:rsidRDefault="00A173A8">
            <w:pPr>
              <w:spacing w:after="100"/>
              <w:rPr>
                <w:rFonts w:eastAsia="Times New Roman"/>
                <w:sz w:val="20"/>
                <w:szCs w:val="20"/>
              </w:rPr>
            </w:pPr>
          </w:p>
        </w:tc>
        <w:tc>
          <w:tcPr>
            <w:tcW w:w="851" w:type="pct"/>
            <w:vAlign w:val="center"/>
            <w:hideMark/>
          </w:tcPr>
          <w:p w14:paraId="5ACDEF67" w14:textId="77777777" w:rsidR="00000000" w:rsidRDefault="00A173A8">
            <w:pPr>
              <w:spacing w:after="100"/>
              <w:rPr>
                <w:rFonts w:eastAsia="Times New Roman"/>
                <w:sz w:val="20"/>
                <w:szCs w:val="20"/>
              </w:rPr>
            </w:pPr>
          </w:p>
        </w:tc>
        <w:tc>
          <w:tcPr>
            <w:tcW w:w="5" w:type="pct"/>
            <w:vAlign w:val="center"/>
            <w:hideMark/>
          </w:tcPr>
          <w:p w14:paraId="2966325D" w14:textId="77777777" w:rsidR="00000000" w:rsidRDefault="00A173A8">
            <w:pPr>
              <w:spacing w:after="100"/>
              <w:rPr>
                <w:rFonts w:eastAsia="Times New Roman"/>
                <w:sz w:val="20"/>
                <w:szCs w:val="20"/>
              </w:rPr>
            </w:pPr>
          </w:p>
        </w:tc>
        <w:tc>
          <w:tcPr>
            <w:tcW w:w="5" w:type="pct"/>
            <w:vAlign w:val="center"/>
            <w:hideMark/>
          </w:tcPr>
          <w:p w14:paraId="50A6DB7F" w14:textId="77777777" w:rsidR="00000000" w:rsidRDefault="00A173A8">
            <w:pPr>
              <w:spacing w:after="100"/>
              <w:rPr>
                <w:rFonts w:eastAsia="Times New Roman"/>
                <w:sz w:val="20"/>
                <w:szCs w:val="20"/>
              </w:rPr>
            </w:pPr>
          </w:p>
        </w:tc>
        <w:tc>
          <w:tcPr>
            <w:tcW w:w="26" w:type="pct"/>
            <w:vAlign w:val="center"/>
            <w:hideMark/>
          </w:tcPr>
          <w:p w14:paraId="2C3F7C71" w14:textId="77777777" w:rsidR="00000000" w:rsidRDefault="00A173A8">
            <w:pPr>
              <w:spacing w:after="100"/>
              <w:rPr>
                <w:rFonts w:eastAsia="Times New Roman"/>
                <w:sz w:val="20"/>
                <w:szCs w:val="20"/>
              </w:rPr>
            </w:pPr>
          </w:p>
        </w:tc>
        <w:tc>
          <w:tcPr>
            <w:tcW w:w="5" w:type="pct"/>
            <w:vAlign w:val="center"/>
            <w:hideMark/>
          </w:tcPr>
          <w:p w14:paraId="1A95C4B5" w14:textId="77777777" w:rsidR="00000000" w:rsidRDefault="00A173A8">
            <w:pPr>
              <w:spacing w:after="100"/>
              <w:rPr>
                <w:rFonts w:eastAsia="Times New Roman"/>
                <w:sz w:val="20"/>
                <w:szCs w:val="20"/>
              </w:rPr>
            </w:pPr>
          </w:p>
        </w:tc>
        <w:tc>
          <w:tcPr>
            <w:tcW w:w="50" w:type="pct"/>
            <w:vAlign w:val="center"/>
            <w:hideMark/>
          </w:tcPr>
          <w:p w14:paraId="7EA81C6E" w14:textId="77777777" w:rsidR="00000000" w:rsidRDefault="00A173A8">
            <w:pPr>
              <w:spacing w:after="100"/>
              <w:rPr>
                <w:rFonts w:eastAsia="Times New Roman"/>
                <w:sz w:val="20"/>
                <w:szCs w:val="20"/>
              </w:rPr>
            </w:pPr>
          </w:p>
        </w:tc>
        <w:tc>
          <w:tcPr>
            <w:tcW w:w="785" w:type="pct"/>
            <w:vAlign w:val="center"/>
            <w:hideMark/>
          </w:tcPr>
          <w:p w14:paraId="1257AF82" w14:textId="77777777" w:rsidR="00000000" w:rsidRDefault="00A173A8">
            <w:pPr>
              <w:spacing w:after="100"/>
              <w:rPr>
                <w:rFonts w:eastAsia="Times New Roman"/>
                <w:sz w:val="20"/>
                <w:szCs w:val="20"/>
              </w:rPr>
            </w:pPr>
          </w:p>
        </w:tc>
        <w:tc>
          <w:tcPr>
            <w:tcW w:w="5" w:type="pct"/>
            <w:vAlign w:val="center"/>
            <w:hideMark/>
          </w:tcPr>
          <w:p w14:paraId="48F4D855" w14:textId="77777777" w:rsidR="00000000" w:rsidRDefault="00A173A8">
            <w:pPr>
              <w:spacing w:after="100"/>
              <w:rPr>
                <w:rFonts w:eastAsia="Times New Roman"/>
                <w:sz w:val="20"/>
                <w:szCs w:val="20"/>
              </w:rPr>
            </w:pPr>
          </w:p>
        </w:tc>
        <w:tc>
          <w:tcPr>
            <w:tcW w:w="5" w:type="pct"/>
            <w:vAlign w:val="center"/>
            <w:hideMark/>
          </w:tcPr>
          <w:p w14:paraId="741C0101" w14:textId="77777777" w:rsidR="00000000" w:rsidRDefault="00A173A8">
            <w:pPr>
              <w:spacing w:after="100"/>
              <w:rPr>
                <w:rFonts w:eastAsia="Times New Roman"/>
                <w:sz w:val="20"/>
                <w:szCs w:val="20"/>
              </w:rPr>
            </w:pPr>
          </w:p>
        </w:tc>
        <w:tc>
          <w:tcPr>
            <w:tcW w:w="26" w:type="pct"/>
            <w:vAlign w:val="center"/>
            <w:hideMark/>
          </w:tcPr>
          <w:p w14:paraId="715F722E" w14:textId="77777777" w:rsidR="00000000" w:rsidRDefault="00A173A8">
            <w:pPr>
              <w:spacing w:after="100"/>
              <w:rPr>
                <w:rFonts w:eastAsia="Times New Roman"/>
                <w:sz w:val="20"/>
                <w:szCs w:val="20"/>
              </w:rPr>
            </w:pPr>
          </w:p>
        </w:tc>
        <w:tc>
          <w:tcPr>
            <w:tcW w:w="5" w:type="pct"/>
            <w:vAlign w:val="center"/>
            <w:hideMark/>
          </w:tcPr>
          <w:p w14:paraId="75AC416C" w14:textId="77777777" w:rsidR="00000000" w:rsidRDefault="00A173A8">
            <w:pPr>
              <w:spacing w:after="100"/>
              <w:rPr>
                <w:rFonts w:eastAsia="Times New Roman"/>
                <w:sz w:val="20"/>
                <w:szCs w:val="20"/>
              </w:rPr>
            </w:pPr>
          </w:p>
        </w:tc>
        <w:tc>
          <w:tcPr>
            <w:tcW w:w="50" w:type="pct"/>
            <w:vAlign w:val="center"/>
            <w:hideMark/>
          </w:tcPr>
          <w:p w14:paraId="6C56D008" w14:textId="77777777" w:rsidR="00000000" w:rsidRDefault="00A173A8">
            <w:pPr>
              <w:spacing w:after="100"/>
              <w:rPr>
                <w:rFonts w:eastAsia="Times New Roman"/>
                <w:sz w:val="20"/>
                <w:szCs w:val="20"/>
              </w:rPr>
            </w:pPr>
          </w:p>
        </w:tc>
        <w:tc>
          <w:tcPr>
            <w:tcW w:w="851" w:type="pct"/>
            <w:vAlign w:val="center"/>
            <w:hideMark/>
          </w:tcPr>
          <w:p w14:paraId="5977B03A" w14:textId="77777777" w:rsidR="00000000" w:rsidRDefault="00A173A8">
            <w:pPr>
              <w:spacing w:after="100"/>
              <w:rPr>
                <w:rFonts w:eastAsia="Times New Roman"/>
                <w:sz w:val="20"/>
                <w:szCs w:val="20"/>
              </w:rPr>
            </w:pPr>
          </w:p>
        </w:tc>
        <w:tc>
          <w:tcPr>
            <w:tcW w:w="5" w:type="pct"/>
            <w:vAlign w:val="center"/>
            <w:hideMark/>
          </w:tcPr>
          <w:p w14:paraId="5FB07B82" w14:textId="77777777" w:rsidR="00000000" w:rsidRDefault="00A173A8">
            <w:pPr>
              <w:spacing w:after="100"/>
              <w:rPr>
                <w:rFonts w:eastAsia="Times New Roman"/>
                <w:sz w:val="20"/>
                <w:szCs w:val="20"/>
              </w:rPr>
            </w:pPr>
          </w:p>
        </w:tc>
        <w:tc>
          <w:tcPr>
            <w:tcW w:w="5" w:type="pct"/>
            <w:vAlign w:val="center"/>
            <w:hideMark/>
          </w:tcPr>
          <w:p w14:paraId="107F0D49" w14:textId="77777777" w:rsidR="00000000" w:rsidRDefault="00A173A8">
            <w:pPr>
              <w:spacing w:after="100"/>
              <w:rPr>
                <w:rFonts w:eastAsia="Times New Roman"/>
                <w:sz w:val="20"/>
                <w:szCs w:val="20"/>
              </w:rPr>
            </w:pPr>
          </w:p>
        </w:tc>
        <w:tc>
          <w:tcPr>
            <w:tcW w:w="26" w:type="pct"/>
            <w:vAlign w:val="center"/>
            <w:hideMark/>
          </w:tcPr>
          <w:p w14:paraId="752D61F0" w14:textId="77777777" w:rsidR="00000000" w:rsidRDefault="00A173A8">
            <w:pPr>
              <w:spacing w:after="100"/>
              <w:rPr>
                <w:rFonts w:eastAsia="Times New Roman"/>
                <w:sz w:val="20"/>
                <w:szCs w:val="20"/>
              </w:rPr>
            </w:pPr>
          </w:p>
        </w:tc>
        <w:tc>
          <w:tcPr>
            <w:tcW w:w="5" w:type="pct"/>
            <w:vAlign w:val="center"/>
            <w:hideMark/>
          </w:tcPr>
          <w:p w14:paraId="69132BC5" w14:textId="77777777" w:rsidR="00000000" w:rsidRDefault="00A173A8">
            <w:pPr>
              <w:spacing w:after="100"/>
              <w:rPr>
                <w:rFonts w:eastAsia="Times New Roman"/>
                <w:sz w:val="20"/>
                <w:szCs w:val="20"/>
              </w:rPr>
            </w:pPr>
          </w:p>
        </w:tc>
        <w:tc>
          <w:tcPr>
            <w:tcW w:w="50" w:type="pct"/>
            <w:vAlign w:val="center"/>
            <w:hideMark/>
          </w:tcPr>
          <w:p w14:paraId="1F8320E0" w14:textId="77777777" w:rsidR="00000000" w:rsidRDefault="00A173A8">
            <w:pPr>
              <w:spacing w:after="100"/>
              <w:rPr>
                <w:rFonts w:eastAsia="Times New Roman"/>
                <w:sz w:val="20"/>
                <w:szCs w:val="20"/>
              </w:rPr>
            </w:pPr>
          </w:p>
        </w:tc>
        <w:tc>
          <w:tcPr>
            <w:tcW w:w="712" w:type="pct"/>
            <w:vAlign w:val="center"/>
            <w:hideMark/>
          </w:tcPr>
          <w:p w14:paraId="0490F1F8" w14:textId="77777777" w:rsidR="00000000" w:rsidRDefault="00A173A8">
            <w:pPr>
              <w:spacing w:after="100"/>
              <w:rPr>
                <w:rFonts w:eastAsia="Times New Roman"/>
                <w:sz w:val="20"/>
                <w:szCs w:val="20"/>
              </w:rPr>
            </w:pPr>
          </w:p>
        </w:tc>
        <w:tc>
          <w:tcPr>
            <w:tcW w:w="5" w:type="pct"/>
            <w:vAlign w:val="center"/>
            <w:hideMark/>
          </w:tcPr>
          <w:p w14:paraId="479F5A3C" w14:textId="77777777" w:rsidR="00000000" w:rsidRDefault="00A173A8">
            <w:pPr>
              <w:spacing w:after="100"/>
              <w:rPr>
                <w:rFonts w:eastAsia="Times New Roman"/>
                <w:sz w:val="20"/>
                <w:szCs w:val="20"/>
              </w:rPr>
            </w:pPr>
          </w:p>
        </w:tc>
        <w:tc>
          <w:tcPr>
            <w:tcW w:w="5" w:type="pct"/>
            <w:vAlign w:val="center"/>
            <w:hideMark/>
          </w:tcPr>
          <w:p w14:paraId="475590E7" w14:textId="77777777" w:rsidR="00000000" w:rsidRDefault="00A173A8">
            <w:pPr>
              <w:spacing w:after="100"/>
              <w:rPr>
                <w:rFonts w:eastAsia="Times New Roman"/>
                <w:sz w:val="20"/>
                <w:szCs w:val="20"/>
              </w:rPr>
            </w:pPr>
          </w:p>
        </w:tc>
        <w:tc>
          <w:tcPr>
            <w:tcW w:w="26" w:type="pct"/>
            <w:vAlign w:val="center"/>
            <w:hideMark/>
          </w:tcPr>
          <w:p w14:paraId="38A4D758" w14:textId="77777777" w:rsidR="00000000" w:rsidRDefault="00A173A8">
            <w:pPr>
              <w:spacing w:after="100"/>
              <w:rPr>
                <w:rFonts w:eastAsia="Times New Roman"/>
                <w:sz w:val="20"/>
                <w:szCs w:val="20"/>
              </w:rPr>
            </w:pPr>
          </w:p>
        </w:tc>
        <w:tc>
          <w:tcPr>
            <w:tcW w:w="5" w:type="pct"/>
            <w:vAlign w:val="center"/>
            <w:hideMark/>
          </w:tcPr>
          <w:p w14:paraId="26E61440" w14:textId="77777777" w:rsidR="00000000" w:rsidRDefault="00A173A8">
            <w:pPr>
              <w:spacing w:after="100"/>
              <w:rPr>
                <w:rFonts w:eastAsia="Times New Roman"/>
                <w:sz w:val="20"/>
                <w:szCs w:val="20"/>
              </w:rPr>
            </w:pPr>
          </w:p>
        </w:tc>
        <w:tc>
          <w:tcPr>
            <w:tcW w:w="50" w:type="pct"/>
            <w:vAlign w:val="center"/>
            <w:hideMark/>
          </w:tcPr>
          <w:p w14:paraId="63A3A773" w14:textId="77777777" w:rsidR="00000000" w:rsidRDefault="00A173A8">
            <w:pPr>
              <w:spacing w:after="100"/>
              <w:rPr>
                <w:rFonts w:eastAsia="Times New Roman"/>
                <w:sz w:val="20"/>
                <w:szCs w:val="20"/>
              </w:rPr>
            </w:pPr>
          </w:p>
        </w:tc>
        <w:tc>
          <w:tcPr>
            <w:tcW w:w="405" w:type="pct"/>
            <w:vAlign w:val="center"/>
            <w:hideMark/>
          </w:tcPr>
          <w:p w14:paraId="185BDC91" w14:textId="77777777" w:rsidR="00000000" w:rsidRDefault="00A173A8">
            <w:pPr>
              <w:spacing w:after="100"/>
              <w:rPr>
                <w:rFonts w:eastAsia="Times New Roman"/>
                <w:sz w:val="20"/>
                <w:szCs w:val="20"/>
              </w:rPr>
            </w:pPr>
          </w:p>
        </w:tc>
        <w:tc>
          <w:tcPr>
            <w:tcW w:w="5" w:type="pct"/>
            <w:vAlign w:val="center"/>
            <w:hideMark/>
          </w:tcPr>
          <w:p w14:paraId="17296ED6" w14:textId="77777777" w:rsidR="00000000" w:rsidRDefault="00A173A8">
            <w:pPr>
              <w:spacing w:after="100"/>
              <w:rPr>
                <w:rFonts w:eastAsia="Times New Roman"/>
                <w:sz w:val="20"/>
                <w:szCs w:val="20"/>
              </w:rPr>
            </w:pPr>
          </w:p>
        </w:tc>
        <w:tc>
          <w:tcPr>
            <w:tcW w:w="5" w:type="pct"/>
            <w:vAlign w:val="center"/>
            <w:hideMark/>
          </w:tcPr>
          <w:p w14:paraId="2B8DB826" w14:textId="77777777" w:rsidR="00000000" w:rsidRDefault="00A173A8">
            <w:pPr>
              <w:spacing w:after="100"/>
              <w:rPr>
                <w:rFonts w:eastAsia="Times New Roman"/>
                <w:sz w:val="20"/>
                <w:szCs w:val="20"/>
              </w:rPr>
            </w:pPr>
          </w:p>
        </w:tc>
        <w:tc>
          <w:tcPr>
            <w:tcW w:w="26" w:type="pct"/>
            <w:vAlign w:val="center"/>
            <w:hideMark/>
          </w:tcPr>
          <w:p w14:paraId="76DE4A51" w14:textId="77777777" w:rsidR="00000000" w:rsidRDefault="00A173A8">
            <w:pPr>
              <w:spacing w:after="100"/>
              <w:rPr>
                <w:rFonts w:eastAsia="Times New Roman"/>
                <w:sz w:val="20"/>
                <w:szCs w:val="20"/>
              </w:rPr>
            </w:pPr>
          </w:p>
        </w:tc>
        <w:tc>
          <w:tcPr>
            <w:tcW w:w="5" w:type="pct"/>
            <w:vAlign w:val="center"/>
            <w:hideMark/>
          </w:tcPr>
          <w:p w14:paraId="48D5EE53" w14:textId="77777777" w:rsidR="00000000" w:rsidRDefault="00A173A8">
            <w:pPr>
              <w:spacing w:after="100"/>
              <w:rPr>
                <w:rFonts w:eastAsia="Times New Roman"/>
                <w:sz w:val="20"/>
                <w:szCs w:val="20"/>
              </w:rPr>
            </w:pPr>
          </w:p>
        </w:tc>
        <w:tc>
          <w:tcPr>
            <w:tcW w:w="50" w:type="pct"/>
            <w:vAlign w:val="center"/>
            <w:hideMark/>
          </w:tcPr>
          <w:p w14:paraId="5224CB61" w14:textId="77777777" w:rsidR="00000000" w:rsidRDefault="00A173A8">
            <w:pPr>
              <w:spacing w:after="100"/>
              <w:rPr>
                <w:rFonts w:eastAsia="Times New Roman"/>
                <w:sz w:val="20"/>
                <w:szCs w:val="20"/>
              </w:rPr>
            </w:pPr>
          </w:p>
        </w:tc>
        <w:tc>
          <w:tcPr>
            <w:tcW w:w="406" w:type="pct"/>
            <w:vAlign w:val="center"/>
            <w:hideMark/>
          </w:tcPr>
          <w:p w14:paraId="689B3149" w14:textId="77777777" w:rsidR="00000000" w:rsidRDefault="00A173A8">
            <w:pPr>
              <w:spacing w:after="100"/>
              <w:rPr>
                <w:rFonts w:eastAsia="Times New Roman"/>
                <w:sz w:val="20"/>
                <w:szCs w:val="20"/>
              </w:rPr>
            </w:pPr>
          </w:p>
        </w:tc>
        <w:tc>
          <w:tcPr>
            <w:tcW w:w="5" w:type="pct"/>
            <w:vAlign w:val="center"/>
            <w:hideMark/>
          </w:tcPr>
          <w:p w14:paraId="24BEB0B0" w14:textId="77777777" w:rsidR="00000000" w:rsidRDefault="00A173A8">
            <w:pPr>
              <w:spacing w:after="100"/>
              <w:rPr>
                <w:rFonts w:eastAsia="Times New Roman"/>
                <w:sz w:val="20"/>
                <w:szCs w:val="20"/>
              </w:rPr>
            </w:pPr>
          </w:p>
        </w:tc>
        <w:tc>
          <w:tcPr>
            <w:tcW w:w="0" w:type="auto"/>
            <w:vAlign w:val="center"/>
            <w:hideMark/>
          </w:tcPr>
          <w:p w14:paraId="428D0A62" w14:textId="77777777" w:rsidR="00000000" w:rsidRDefault="00A173A8">
            <w:pPr>
              <w:spacing w:after="100"/>
              <w:rPr>
                <w:rFonts w:eastAsia="Times New Roman"/>
                <w:sz w:val="20"/>
                <w:szCs w:val="20"/>
              </w:rPr>
            </w:pPr>
          </w:p>
        </w:tc>
        <w:tc>
          <w:tcPr>
            <w:tcW w:w="0" w:type="auto"/>
            <w:vAlign w:val="center"/>
            <w:hideMark/>
          </w:tcPr>
          <w:p w14:paraId="37D41F27" w14:textId="77777777" w:rsidR="00000000" w:rsidRDefault="00A173A8">
            <w:pPr>
              <w:spacing w:after="100"/>
              <w:rPr>
                <w:rFonts w:eastAsia="Times New Roman"/>
                <w:sz w:val="20"/>
                <w:szCs w:val="20"/>
              </w:rPr>
            </w:pPr>
          </w:p>
        </w:tc>
        <w:tc>
          <w:tcPr>
            <w:tcW w:w="0" w:type="auto"/>
            <w:vAlign w:val="center"/>
            <w:hideMark/>
          </w:tcPr>
          <w:p w14:paraId="5FBBF4EE" w14:textId="77777777" w:rsidR="00000000" w:rsidRDefault="00A173A8">
            <w:pPr>
              <w:spacing w:after="100"/>
              <w:rPr>
                <w:rFonts w:eastAsia="Times New Roman"/>
                <w:sz w:val="20"/>
                <w:szCs w:val="20"/>
              </w:rPr>
            </w:pPr>
          </w:p>
        </w:tc>
        <w:tc>
          <w:tcPr>
            <w:tcW w:w="0" w:type="auto"/>
            <w:vAlign w:val="center"/>
            <w:hideMark/>
          </w:tcPr>
          <w:p w14:paraId="48B03F87" w14:textId="77777777" w:rsidR="00000000" w:rsidRDefault="00A173A8">
            <w:pPr>
              <w:spacing w:after="100"/>
              <w:rPr>
                <w:rFonts w:eastAsia="Times New Roman"/>
                <w:sz w:val="20"/>
                <w:szCs w:val="20"/>
              </w:rPr>
            </w:pPr>
          </w:p>
        </w:tc>
        <w:tc>
          <w:tcPr>
            <w:tcW w:w="0" w:type="auto"/>
            <w:vAlign w:val="center"/>
            <w:hideMark/>
          </w:tcPr>
          <w:p w14:paraId="2C81FB8E" w14:textId="77777777" w:rsidR="00000000" w:rsidRDefault="00A173A8">
            <w:pPr>
              <w:spacing w:after="100"/>
              <w:rPr>
                <w:rFonts w:eastAsia="Times New Roman"/>
                <w:sz w:val="20"/>
                <w:szCs w:val="20"/>
              </w:rPr>
            </w:pPr>
          </w:p>
        </w:tc>
        <w:tc>
          <w:tcPr>
            <w:tcW w:w="0" w:type="auto"/>
            <w:vAlign w:val="center"/>
            <w:hideMark/>
          </w:tcPr>
          <w:p w14:paraId="119C4471" w14:textId="77777777" w:rsidR="00000000" w:rsidRDefault="00A173A8">
            <w:pPr>
              <w:spacing w:after="100"/>
              <w:rPr>
                <w:rFonts w:eastAsia="Times New Roman"/>
                <w:sz w:val="20"/>
                <w:szCs w:val="20"/>
              </w:rPr>
            </w:pPr>
          </w:p>
        </w:tc>
      </w:tr>
      <w:tr w:rsidR="00000000" w14:paraId="42BEB49C" w14:textId="77777777">
        <w:trPr>
          <w:divId w:val="1758401982"/>
          <w:trHeight w:val="280"/>
        </w:trPr>
        <w:tc>
          <w:tcPr>
            <w:tcW w:w="0" w:type="auto"/>
            <w:gridSpan w:val="3"/>
            <w:vMerge w:val="restart"/>
            <w:tcMar>
              <w:top w:w="30" w:type="dxa"/>
              <w:left w:w="20" w:type="dxa"/>
              <w:bottom w:w="30" w:type="dxa"/>
              <w:right w:w="20" w:type="dxa"/>
            </w:tcMar>
            <w:vAlign w:val="bottom"/>
            <w:hideMark/>
          </w:tcPr>
          <w:p w14:paraId="4740FCF3" w14:textId="77777777" w:rsidR="00000000" w:rsidRDefault="00A173A8">
            <w:pPr>
              <w:spacing w:after="100"/>
              <w:jc w:val="center"/>
              <w:rPr>
                <w:rFonts w:eastAsia="Times New Roman"/>
              </w:rPr>
            </w:pPr>
            <w:r>
              <w:rPr>
                <w:rFonts w:eastAsia="Times New Roman"/>
                <w:b/>
                <w:bCs/>
                <w:color w:val="000000"/>
                <w:sz w:val="20"/>
                <w:szCs w:val="20"/>
              </w:rPr>
              <w:t>Series</w:t>
            </w:r>
          </w:p>
        </w:tc>
        <w:tc>
          <w:tcPr>
            <w:tcW w:w="0" w:type="auto"/>
            <w:gridSpan w:val="3"/>
            <w:vMerge w:val="restart"/>
            <w:tcMar>
              <w:top w:w="0" w:type="dxa"/>
              <w:left w:w="20" w:type="dxa"/>
              <w:bottom w:w="0" w:type="dxa"/>
              <w:right w:w="20" w:type="dxa"/>
            </w:tcMar>
            <w:vAlign w:val="center"/>
            <w:hideMark/>
          </w:tcPr>
          <w:p w14:paraId="2334D54A"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CE737A6" w14:textId="77777777" w:rsidR="00000000" w:rsidRDefault="00A173A8">
            <w:pPr>
              <w:spacing w:after="100"/>
              <w:jc w:val="center"/>
              <w:rPr>
                <w:rFonts w:eastAsia="Times New Roman"/>
              </w:rPr>
            </w:pPr>
            <w:r>
              <w:rPr>
                <w:rFonts w:eastAsia="Times New Roman"/>
                <w:b/>
                <w:bCs/>
                <w:color w:val="000000"/>
                <w:sz w:val="20"/>
                <w:szCs w:val="20"/>
              </w:rPr>
              <w:t>Description</w:t>
            </w:r>
          </w:p>
        </w:tc>
        <w:tc>
          <w:tcPr>
            <w:tcW w:w="0" w:type="auto"/>
            <w:gridSpan w:val="3"/>
            <w:vMerge w:val="restart"/>
            <w:tcMar>
              <w:top w:w="0" w:type="dxa"/>
              <w:left w:w="20" w:type="dxa"/>
              <w:bottom w:w="0" w:type="dxa"/>
              <w:right w:w="20" w:type="dxa"/>
            </w:tcMar>
            <w:vAlign w:val="center"/>
            <w:hideMark/>
          </w:tcPr>
          <w:p w14:paraId="0D4EA4E3"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D185A2E" w14:textId="77777777" w:rsidR="00000000" w:rsidRDefault="00A173A8">
            <w:pPr>
              <w:spacing w:after="100"/>
              <w:jc w:val="center"/>
              <w:rPr>
                <w:rFonts w:eastAsia="Times New Roman"/>
              </w:rPr>
            </w:pPr>
            <w:r>
              <w:rPr>
                <w:rFonts w:eastAsia="Times New Roman"/>
                <w:b/>
                <w:bCs/>
                <w:color w:val="000000"/>
                <w:sz w:val="20"/>
                <w:szCs w:val="20"/>
              </w:rPr>
              <w:t>Issuance Date</w:t>
            </w:r>
          </w:p>
        </w:tc>
        <w:tc>
          <w:tcPr>
            <w:tcW w:w="0" w:type="auto"/>
            <w:gridSpan w:val="3"/>
            <w:vMerge w:val="restart"/>
            <w:tcMar>
              <w:top w:w="0" w:type="dxa"/>
              <w:left w:w="20" w:type="dxa"/>
              <w:bottom w:w="0" w:type="dxa"/>
              <w:right w:w="20" w:type="dxa"/>
            </w:tcMar>
            <w:vAlign w:val="center"/>
            <w:hideMark/>
          </w:tcPr>
          <w:p w14:paraId="4A4855A7"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40AB152" w14:textId="77777777" w:rsidR="00000000" w:rsidRDefault="00A173A8">
            <w:pPr>
              <w:spacing w:after="100"/>
              <w:jc w:val="center"/>
              <w:rPr>
                <w:rFonts w:eastAsia="Times New Roman"/>
              </w:rPr>
            </w:pPr>
            <w:r>
              <w:rPr>
                <w:rFonts w:eastAsia="Times New Roman"/>
                <w:b/>
                <w:bCs/>
                <w:color w:val="000000"/>
                <w:sz w:val="20"/>
                <w:szCs w:val="20"/>
              </w:rPr>
              <w:t xml:space="preserve">Per Annum </w:t>
            </w:r>
            <w:r>
              <w:rPr>
                <w:rFonts w:eastAsia="Times New Roman"/>
                <w:b/>
                <w:bCs/>
                <w:color w:val="000000"/>
                <w:sz w:val="20"/>
                <w:szCs w:val="20"/>
              </w:rPr>
              <w:br/>
              <w:t>Dividend Rate</w:t>
            </w:r>
          </w:p>
        </w:tc>
        <w:tc>
          <w:tcPr>
            <w:tcW w:w="0" w:type="auto"/>
            <w:gridSpan w:val="3"/>
            <w:vMerge w:val="restart"/>
            <w:tcMar>
              <w:top w:w="0" w:type="dxa"/>
              <w:left w:w="20" w:type="dxa"/>
              <w:bottom w:w="0" w:type="dxa"/>
              <w:right w:w="20" w:type="dxa"/>
            </w:tcMar>
            <w:vAlign w:val="center"/>
            <w:hideMark/>
          </w:tcPr>
          <w:p w14:paraId="394185D5"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1B81D90" w14:textId="77777777" w:rsidR="00000000" w:rsidRDefault="00A173A8">
            <w:pPr>
              <w:spacing w:after="100"/>
              <w:jc w:val="center"/>
              <w:rPr>
                <w:rFonts w:eastAsia="Times New Roman"/>
              </w:rPr>
            </w:pPr>
            <w:r>
              <w:rPr>
                <w:rFonts w:eastAsia="Times New Roman"/>
                <w:b/>
                <w:bCs/>
                <w:color w:val="000000"/>
                <w:sz w:val="20"/>
                <w:szCs w:val="20"/>
              </w:rPr>
              <w:t>Dividend Frequency</w:t>
            </w:r>
          </w:p>
        </w:tc>
        <w:tc>
          <w:tcPr>
            <w:tcW w:w="0" w:type="auto"/>
            <w:gridSpan w:val="3"/>
            <w:vMerge w:val="restart"/>
            <w:tcMar>
              <w:top w:w="0" w:type="dxa"/>
              <w:left w:w="20" w:type="dxa"/>
              <w:bottom w:w="0" w:type="dxa"/>
              <w:right w:w="20" w:type="dxa"/>
            </w:tcMar>
            <w:vAlign w:val="center"/>
            <w:hideMark/>
          </w:tcPr>
          <w:p w14:paraId="2F52E758"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A81E021"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vAlign w:val="center"/>
            <w:hideMark/>
          </w:tcPr>
          <w:p w14:paraId="03801E92" w14:textId="77777777" w:rsidR="00000000" w:rsidRDefault="00A173A8">
            <w:pPr>
              <w:spacing w:after="100"/>
              <w:jc w:val="center"/>
              <w:rPr>
                <w:rFonts w:eastAsia="Times New Roman"/>
              </w:rPr>
            </w:pPr>
          </w:p>
        </w:tc>
        <w:tc>
          <w:tcPr>
            <w:tcW w:w="0" w:type="auto"/>
            <w:vAlign w:val="center"/>
            <w:hideMark/>
          </w:tcPr>
          <w:p w14:paraId="65216C94" w14:textId="77777777" w:rsidR="00000000" w:rsidRDefault="00A173A8">
            <w:pPr>
              <w:spacing w:after="100"/>
              <w:rPr>
                <w:rFonts w:eastAsia="Times New Roman"/>
                <w:sz w:val="20"/>
                <w:szCs w:val="20"/>
              </w:rPr>
            </w:pPr>
          </w:p>
        </w:tc>
        <w:tc>
          <w:tcPr>
            <w:tcW w:w="0" w:type="auto"/>
            <w:vAlign w:val="center"/>
            <w:hideMark/>
          </w:tcPr>
          <w:p w14:paraId="4E4F43AE" w14:textId="77777777" w:rsidR="00000000" w:rsidRDefault="00A173A8">
            <w:pPr>
              <w:spacing w:after="100"/>
              <w:rPr>
                <w:rFonts w:eastAsia="Times New Roman"/>
                <w:sz w:val="20"/>
                <w:szCs w:val="20"/>
              </w:rPr>
            </w:pPr>
          </w:p>
        </w:tc>
        <w:tc>
          <w:tcPr>
            <w:tcW w:w="0" w:type="auto"/>
            <w:vAlign w:val="center"/>
            <w:hideMark/>
          </w:tcPr>
          <w:p w14:paraId="51E442DA" w14:textId="77777777" w:rsidR="00000000" w:rsidRDefault="00A173A8">
            <w:pPr>
              <w:spacing w:after="100"/>
              <w:rPr>
                <w:rFonts w:eastAsia="Times New Roman"/>
                <w:sz w:val="20"/>
                <w:szCs w:val="20"/>
              </w:rPr>
            </w:pPr>
          </w:p>
        </w:tc>
        <w:tc>
          <w:tcPr>
            <w:tcW w:w="0" w:type="auto"/>
            <w:vAlign w:val="center"/>
            <w:hideMark/>
          </w:tcPr>
          <w:p w14:paraId="3CE57A77" w14:textId="77777777" w:rsidR="00000000" w:rsidRDefault="00A173A8">
            <w:pPr>
              <w:spacing w:after="100"/>
              <w:rPr>
                <w:rFonts w:eastAsia="Times New Roman"/>
                <w:sz w:val="20"/>
                <w:szCs w:val="20"/>
              </w:rPr>
            </w:pPr>
          </w:p>
        </w:tc>
        <w:tc>
          <w:tcPr>
            <w:tcW w:w="0" w:type="auto"/>
            <w:vAlign w:val="center"/>
            <w:hideMark/>
          </w:tcPr>
          <w:p w14:paraId="4A97F5D4" w14:textId="77777777" w:rsidR="00000000" w:rsidRDefault="00A173A8">
            <w:pPr>
              <w:spacing w:after="100"/>
              <w:rPr>
                <w:rFonts w:eastAsia="Times New Roman"/>
                <w:sz w:val="20"/>
                <w:szCs w:val="20"/>
              </w:rPr>
            </w:pPr>
          </w:p>
        </w:tc>
      </w:tr>
      <w:tr w:rsidR="00000000" w14:paraId="63FB5E5B" w14:textId="77777777">
        <w:trPr>
          <w:divId w:val="1758401982"/>
          <w:trHeight w:val="280"/>
        </w:trPr>
        <w:tc>
          <w:tcPr>
            <w:tcW w:w="0" w:type="auto"/>
            <w:gridSpan w:val="3"/>
            <w:vMerge/>
            <w:vAlign w:val="center"/>
            <w:hideMark/>
          </w:tcPr>
          <w:p w14:paraId="2923A269" w14:textId="77777777" w:rsidR="00000000" w:rsidRDefault="00A173A8">
            <w:pPr>
              <w:spacing w:after="100"/>
              <w:rPr>
                <w:rFonts w:eastAsia="Times New Roman"/>
              </w:rPr>
            </w:pPr>
          </w:p>
        </w:tc>
        <w:tc>
          <w:tcPr>
            <w:tcW w:w="0" w:type="auto"/>
            <w:gridSpan w:val="3"/>
            <w:vMerge/>
            <w:vAlign w:val="center"/>
            <w:hideMark/>
          </w:tcPr>
          <w:p w14:paraId="571A5289" w14:textId="77777777" w:rsidR="00000000" w:rsidRDefault="00A173A8">
            <w:pPr>
              <w:spacing w:after="100"/>
              <w:rPr>
                <w:rFonts w:eastAsia="Times New Roman"/>
              </w:rPr>
            </w:pPr>
          </w:p>
        </w:tc>
        <w:tc>
          <w:tcPr>
            <w:tcW w:w="0" w:type="auto"/>
            <w:gridSpan w:val="3"/>
            <w:vMerge/>
            <w:vAlign w:val="center"/>
            <w:hideMark/>
          </w:tcPr>
          <w:p w14:paraId="27DD3B0C" w14:textId="77777777" w:rsidR="00000000" w:rsidRDefault="00A173A8">
            <w:pPr>
              <w:spacing w:after="100"/>
              <w:rPr>
                <w:rFonts w:eastAsia="Times New Roman"/>
              </w:rPr>
            </w:pPr>
          </w:p>
        </w:tc>
        <w:tc>
          <w:tcPr>
            <w:tcW w:w="0" w:type="auto"/>
            <w:gridSpan w:val="3"/>
            <w:vMerge/>
            <w:vAlign w:val="center"/>
            <w:hideMark/>
          </w:tcPr>
          <w:p w14:paraId="6D2EF6B3" w14:textId="77777777" w:rsidR="00000000" w:rsidRDefault="00A173A8">
            <w:pPr>
              <w:spacing w:after="100"/>
              <w:rPr>
                <w:rFonts w:eastAsia="Times New Roman"/>
              </w:rPr>
            </w:pPr>
          </w:p>
        </w:tc>
        <w:tc>
          <w:tcPr>
            <w:tcW w:w="0" w:type="auto"/>
            <w:gridSpan w:val="3"/>
            <w:vMerge/>
            <w:vAlign w:val="center"/>
            <w:hideMark/>
          </w:tcPr>
          <w:p w14:paraId="3DBB2BD6" w14:textId="77777777" w:rsidR="00000000" w:rsidRDefault="00A173A8">
            <w:pPr>
              <w:spacing w:after="100"/>
              <w:rPr>
                <w:rFonts w:eastAsia="Times New Roman"/>
              </w:rPr>
            </w:pPr>
          </w:p>
        </w:tc>
        <w:tc>
          <w:tcPr>
            <w:tcW w:w="0" w:type="auto"/>
            <w:gridSpan w:val="3"/>
            <w:vMerge/>
            <w:vAlign w:val="center"/>
            <w:hideMark/>
          </w:tcPr>
          <w:p w14:paraId="508D7F7E" w14:textId="77777777" w:rsidR="00000000" w:rsidRDefault="00A173A8">
            <w:pPr>
              <w:spacing w:after="100"/>
              <w:rPr>
                <w:rFonts w:eastAsia="Times New Roman"/>
              </w:rPr>
            </w:pPr>
          </w:p>
        </w:tc>
        <w:tc>
          <w:tcPr>
            <w:tcW w:w="0" w:type="auto"/>
            <w:gridSpan w:val="3"/>
            <w:vMerge/>
            <w:vAlign w:val="center"/>
            <w:hideMark/>
          </w:tcPr>
          <w:p w14:paraId="5F60DAF0" w14:textId="77777777" w:rsidR="00000000" w:rsidRDefault="00A173A8">
            <w:pPr>
              <w:spacing w:after="100"/>
              <w:rPr>
                <w:rFonts w:eastAsia="Times New Roman"/>
              </w:rPr>
            </w:pPr>
          </w:p>
        </w:tc>
        <w:tc>
          <w:tcPr>
            <w:tcW w:w="0" w:type="auto"/>
            <w:gridSpan w:val="3"/>
            <w:vMerge/>
            <w:vAlign w:val="center"/>
            <w:hideMark/>
          </w:tcPr>
          <w:p w14:paraId="21BC250C" w14:textId="77777777" w:rsidR="00000000" w:rsidRDefault="00A173A8">
            <w:pPr>
              <w:spacing w:after="100"/>
              <w:rPr>
                <w:rFonts w:eastAsia="Times New Roman"/>
              </w:rPr>
            </w:pPr>
          </w:p>
        </w:tc>
        <w:tc>
          <w:tcPr>
            <w:tcW w:w="0" w:type="auto"/>
            <w:gridSpan w:val="3"/>
            <w:vMerge/>
            <w:vAlign w:val="center"/>
            <w:hideMark/>
          </w:tcPr>
          <w:p w14:paraId="49E5FA80" w14:textId="77777777" w:rsidR="00000000" w:rsidRDefault="00A173A8">
            <w:pPr>
              <w:spacing w:after="100"/>
              <w:rPr>
                <w:rFonts w:eastAsia="Times New Roman"/>
              </w:rPr>
            </w:pPr>
          </w:p>
        </w:tc>
        <w:tc>
          <w:tcPr>
            <w:tcW w:w="0" w:type="auto"/>
            <w:gridSpan w:val="3"/>
            <w:vMerge/>
            <w:vAlign w:val="center"/>
            <w:hideMark/>
          </w:tcPr>
          <w:p w14:paraId="16C7E2BC"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51FECC" w14:textId="77777777" w:rsidR="00000000" w:rsidRDefault="00A173A8">
            <w:pPr>
              <w:spacing w:after="100"/>
              <w:jc w:val="center"/>
              <w:rPr>
                <w:rFonts w:eastAsia="Times New Roman"/>
              </w:rPr>
            </w:pPr>
            <w:r>
              <w:rPr>
                <w:rFonts w:eastAsia="Times New Roman"/>
                <w:b/>
                <w:bCs/>
                <w:color w:val="000000"/>
                <w:sz w:val="20"/>
                <w:szCs w:val="20"/>
              </w:rPr>
              <w:t>Q2</w:t>
            </w:r>
          </w:p>
        </w:tc>
        <w:tc>
          <w:tcPr>
            <w:tcW w:w="0" w:type="auto"/>
            <w:gridSpan w:val="3"/>
            <w:tcBorders>
              <w:top w:val="single" w:sz="8" w:space="0" w:color="000000"/>
            </w:tcBorders>
            <w:tcMar>
              <w:top w:w="0" w:type="dxa"/>
              <w:left w:w="20" w:type="dxa"/>
              <w:bottom w:w="0" w:type="dxa"/>
              <w:right w:w="20" w:type="dxa"/>
            </w:tcMar>
            <w:vAlign w:val="center"/>
            <w:hideMark/>
          </w:tcPr>
          <w:p w14:paraId="1DA889F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C08E02" w14:textId="77777777" w:rsidR="00000000" w:rsidRDefault="00A173A8">
            <w:pPr>
              <w:spacing w:after="100"/>
              <w:jc w:val="center"/>
              <w:rPr>
                <w:rFonts w:eastAsia="Times New Roman"/>
              </w:rPr>
            </w:pPr>
            <w:r>
              <w:rPr>
                <w:rFonts w:eastAsia="Times New Roman"/>
                <w:b/>
                <w:bCs/>
                <w:color w:val="000000"/>
                <w:sz w:val="20"/>
                <w:szCs w:val="20"/>
              </w:rPr>
              <w:t>Q1</w:t>
            </w:r>
          </w:p>
        </w:tc>
        <w:tc>
          <w:tcPr>
            <w:tcW w:w="0" w:type="auto"/>
            <w:vAlign w:val="center"/>
            <w:hideMark/>
          </w:tcPr>
          <w:p w14:paraId="2714CA0E" w14:textId="77777777" w:rsidR="00000000" w:rsidRDefault="00A173A8">
            <w:pPr>
              <w:spacing w:after="100"/>
              <w:jc w:val="center"/>
              <w:rPr>
                <w:rFonts w:eastAsia="Times New Roman"/>
              </w:rPr>
            </w:pPr>
          </w:p>
        </w:tc>
        <w:tc>
          <w:tcPr>
            <w:tcW w:w="0" w:type="auto"/>
            <w:vAlign w:val="center"/>
            <w:hideMark/>
          </w:tcPr>
          <w:p w14:paraId="63984111" w14:textId="77777777" w:rsidR="00000000" w:rsidRDefault="00A173A8">
            <w:pPr>
              <w:spacing w:after="100"/>
              <w:rPr>
                <w:rFonts w:eastAsia="Times New Roman"/>
                <w:sz w:val="20"/>
                <w:szCs w:val="20"/>
              </w:rPr>
            </w:pPr>
          </w:p>
        </w:tc>
        <w:tc>
          <w:tcPr>
            <w:tcW w:w="0" w:type="auto"/>
            <w:vAlign w:val="center"/>
            <w:hideMark/>
          </w:tcPr>
          <w:p w14:paraId="63051C0A" w14:textId="77777777" w:rsidR="00000000" w:rsidRDefault="00A173A8">
            <w:pPr>
              <w:spacing w:after="100"/>
              <w:rPr>
                <w:rFonts w:eastAsia="Times New Roman"/>
                <w:sz w:val="20"/>
                <w:szCs w:val="20"/>
              </w:rPr>
            </w:pPr>
          </w:p>
        </w:tc>
        <w:tc>
          <w:tcPr>
            <w:tcW w:w="0" w:type="auto"/>
            <w:vAlign w:val="center"/>
            <w:hideMark/>
          </w:tcPr>
          <w:p w14:paraId="561196EE" w14:textId="77777777" w:rsidR="00000000" w:rsidRDefault="00A173A8">
            <w:pPr>
              <w:spacing w:after="100"/>
              <w:rPr>
                <w:rFonts w:eastAsia="Times New Roman"/>
                <w:sz w:val="20"/>
                <w:szCs w:val="20"/>
              </w:rPr>
            </w:pPr>
          </w:p>
        </w:tc>
        <w:tc>
          <w:tcPr>
            <w:tcW w:w="0" w:type="auto"/>
            <w:vAlign w:val="center"/>
            <w:hideMark/>
          </w:tcPr>
          <w:p w14:paraId="7BD8067E" w14:textId="77777777" w:rsidR="00000000" w:rsidRDefault="00A173A8">
            <w:pPr>
              <w:spacing w:after="100"/>
              <w:rPr>
                <w:rFonts w:eastAsia="Times New Roman"/>
                <w:sz w:val="20"/>
                <w:szCs w:val="20"/>
              </w:rPr>
            </w:pPr>
          </w:p>
        </w:tc>
        <w:tc>
          <w:tcPr>
            <w:tcW w:w="0" w:type="auto"/>
            <w:vAlign w:val="center"/>
            <w:hideMark/>
          </w:tcPr>
          <w:p w14:paraId="297E0E67" w14:textId="77777777" w:rsidR="00000000" w:rsidRDefault="00A173A8">
            <w:pPr>
              <w:spacing w:after="100"/>
              <w:rPr>
                <w:rFonts w:eastAsia="Times New Roman"/>
                <w:sz w:val="20"/>
                <w:szCs w:val="20"/>
              </w:rPr>
            </w:pPr>
          </w:p>
        </w:tc>
      </w:tr>
      <w:tr w:rsidR="00000000" w14:paraId="22F84008" w14:textId="77777777">
        <w:trPr>
          <w:divId w:val="1758401982"/>
        </w:trPr>
        <w:tc>
          <w:tcPr>
            <w:tcW w:w="0" w:type="auto"/>
            <w:gridSpan w:val="3"/>
            <w:vAlign w:val="center"/>
            <w:hideMark/>
          </w:tcPr>
          <w:p w14:paraId="3D5FBA33" w14:textId="77777777" w:rsidR="00000000" w:rsidRDefault="00A173A8">
            <w:pPr>
              <w:spacing w:after="100"/>
              <w:rPr>
                <w:rFonts w:eastAsia="Times New Roman"/>
                <w:sz w:val="20"/>
                <w:szCs w:val="20"/>
              </w:rPr>
            </w:pPr>
          </w:p>
        </w:tc>
        <w:tc>
          <w:tcPr>
            <w:tcW w:w="0" w:type="auto"/>
            <w:gridSpan w:val="3"/>
            <w:vAlign w:val="center"/>
            <w:hideMark/>
          </w:tcPr>
          <w:p w14:paraId="1C771B02" w14:textId="77777777" w:rsidR="00000000" w:rsidRDefault="00A173A8">
            <w:pPr>
              <w:spacing w:after="100"/>
              <w:rPr>
                <w:rFonts w:eastAsia="Times New Roman"/>
                <w:sz w:val="20"/>
                <w:szCs w:val="20"/>
              </w:rPr>
            </w:pPr>
          </w:p>
        </w:tc>
        <w:tc>
          <w:tcPr>
            <w:tcW w:w="0" w:type="auto"/>
            <w:gridSpan w:val="3"/>
            <w:vAlign w:val="center"/>
            <w:hideMark/>
          </w:tcPr>
          <w:p w14:paraId="2053E575" w14:textId="77777777" w:rsidR="00000000" w:rsidRDefault="00A173A8">
            <w:pPr>
              <w:spacing w:after="100"/>
              <w:rPr>
                <w:rFonts w:eastAsia="Times New Roman"/>
                <w:sz w:val="20"/>
                <w:szCs w:val="20"/>
              </w:rPr>
            </w:pPr>
          </w:p>
        </w:tc>
        <w:tc>
          <w:tcPr>
            <w:tcW w:w="0" w:type="auto"/>
            <w:gridSpan w:val="3"/>
            <w:vAlign w:val="center"/>
            <w:hideMark/>
          </w:tcPr>
          <w:p w14:paraId="4D968927" w14:textId="77777777" w:rsidR="00000000" w:rsidRDefault="00A173A8">
            <w:pPr>
              <w:spacing w:after="100"/>
              <w:rPr>
                <w:rFonts w:eastAsia="Times New Roman"/>
                <w:sz w:val="20"/>
                <w:szCs w:val="20"/>
              </w:rPr>
            </w:pPr>
          </w:p>
        </w:tc>
        <w:tc>
          <w:tcPr>
            <w:tcW w:w="0" w:type="auto"/>
            <w:gridSpan w:val="3"/>
            <w:vAlign w:val="center"/>
            <w:hideMark/>
          </w:tcPr>
          <w:p w14:paraId="23187A3B" w14:textId="77777777" w:rsidR="00000000" w:rsidRDefault="00A173A8">
            <w:pPr>
              <w:spacing w:after="100"/>
              <w:rPr>
                <w:rFonts w:eastAsia="Times New Roman"/>
                <w:sz w:val="20"/>
                <w:szCs w:val="20"/>
              </w:rPr>
            </w:pPr>
          </w:p>
        </w:tc>
        <w:tc>
          <w:tcPr>
            <w:tcW w:w="0" w:type="auto"/>
            <w:gridSpan w:val="3"/>
            <w:vAlign w:val="center"/>
            <w:hideMark/>
          </w:tcPr>
          <w:p w14:paraId="7D15F3D6" w14:textId="77777777" w:rsidR="00000000" w:rsidRDefault="00A173A8">
            <w:pPr>
              <w:spacing w:after="100"/>
              <w:rPr>
                <w:rFonts w:eastAsia="Times New Roman"/>
                <w:sz w:val="20"/>
                <w:szCs w:val="20"/>
              </w:rPr>
            </w:pPr>
          </w:p>
        </w:tc>
        <w:tc>
          <w:tcPr>
            <w:tcW w:w="0" w:type="auto"/>
            <w:gridSpan w:val="3"/>
            <w:vAlign w:val="center"/>
            <w:hideMark/>
          </w:tcPr>
          <w:p w14:paraId="4E3840BE" w14:textId="77777777" w:rsidR="00000000" w:rsidRDefault="00A173A8">
            <w:pPr>
              <w:spacing w:after="100"/>
              <w:rPr>
                <w:rFonts w:eastAsia="Times New Roman"/>
                <w:sz w:val="20"/>
                <w:szCs w:val="20"/>
              </w:rPr>
            </w:pPr>
          </w:p>
        </w:tc>
        <w:tc>
          <w:tcPr>
            <w:tcW w:w="0" w:type="auto"/>
            <w:gridSpan w:val="3"/>
            <w:vAlign w:val="center"/>
            <w:hideMark/>
          </w:tcPr>
          <w:p w14:paraId="5F18975B" w14:textId="77777777" w:rsidR="00000000" w:rsidRDefault="00A173A8">
            <w:pPr>
              <w:spacing w:after="100"/>
              <w:rPr>
                <w:rFonts w:eastAsia="Times New Roman"/>
                <w:sz w:val="20"/>
                <w:szCs w:val="20"/>
              </w:rPr>
            </w:pPr>
          </w:p>
        </w:tc>
        <w:tc>
          <w:tcPr>
            <w:tcW w:w="0" w:type="auto"/>
            <w:gridSpan w:val="3"/>
            <w:vAlign w:val="center"/>
            <w:hideMark/>
          </w:tcPr>
          <w:p w14:paraId="4D737232" w14:textId="77777777" w:rsidR="00000000" w:rsidRDefault="00A173A8">
            <w:pPr>
              <w:spacing w:after="100"/>
              <w:rPr>
                <w:rFonts w:eastAsia="Times New Roman"/>
                <w:sz w:val="20"/>
                <w:szCs w:val="20"/>
              </w:rPr>
            </w:pPr>
          </w:p>
        </w:tc>
        <w:tc>
          <w:tcPr>
            <w:tcW w:w="0" w:type="auto"/>
            <w:gridSpan w:val="3"/>
            <w:vAlign w:val="center"/>
            <w:hideMark/>
          </w:tcPr>
          <w:p w14:paraId="60F0D6D5" w14:textId="77777777" w:rsidR="00000000" w:rsidRDefault="00A173A8">
            <w:pPr>
              <w:spacing w:after="100"/>
              <w:rPr>
                <w:rFonts w:eastAsia="Times New Roman"/>
                <w:sz w:val="20"/>
                <w:szCs w:val="20"/>
              </w:rPr>
            </w:pPr>
          </w:p>
        </w:tc>
        <w:tc>
          <w:tcPr>
            <w:tcW w:w="0" w:type="auto"/>
            <w:gridSpan w:val="3"/>
            <w:vAlign w:val="center"/>
            <w:hideMark/>
          </w:tcPr>
          <w:p w14:paraId="126E8E16" w14:textId="77777777" w:rsidR="00000000" w:rsidRDefault="00A173A8">
            <w:pPr>
              <w:spacing w:after="100"/>
              <w:rPr>
                <w:rFonts w:eastAsia="Times New Roman"/>
                <w:sz w:val="20"/>
                <w:szCs w:val="20"/>
              </w:rPr>
            </w:pPr>
          </w:p>
        </w:tc>
        <w:tc>
          <w:tcPr>
            <w:tcW w:w="0" w:type="auto"/>
            <w:gridSpan w:val="3"/>
            <w:vAlign w:val="center"/>
            <w:hideMark/>
          </w:tcPr>
          <w:p w14:paraId="364D9A44" w14:textId="77777777" w:rsidR="00000000" w:rsidRDefault="00A173A8">
            <w:pPr>
              <w:spacing w:after="100"/>
              <w:rPr>
                <w:rFonts w:eastAsia="Times New Roman"/>
                <w:sz w:val="20"/>
                <w:szCs w:val="20"/>
              </w:rPr>
            </w:pPr>
          </w:p>
        </w:tc>
        <w:tc>
          <w:tcPr>
            <w:tcW w:w="0" w:type="auto"/>
            <w:gridSpan w:val="3"/>
            <w:vAlign w:val="center"/>
            <w:hideMark/>
          </w:tcPr>
          <w:p w14:paraId="5A23E5FD" w14:textId="77777777" w:rsidR="00000000" w:rsidRDefault="00A173A8">
            <w:pPr>
              <w:spacing w:after="100"/>
              <w:rPr>
                <w:rFonts w:eastAsia="Times New Roman"/>
                <w:sz w:val="20"/>
                <w:szCs w:val="20"/>
              </w:rPr>
            </w:pPr>
          </w:p>
        </w:tc>
        <w:tc>
          <w:tcPr>
            <w:tcW w:w="0" w:type="auto"/>
            <w:vAlign w:val="center"/>
            <w:hideMark/>
          </w:tcPr>
          <w:p w14:paraId="2E3AF919" w14:textId="77777777" w:rsidR="00000000" w:rsidRDefault="00A173A8">
            <w:pPr>
              <w:spacing w:after="100"/>
              <w:rPr>
                <w:rFonts w:eastAsia="Times New Roman"/>
                <w:sz w:val="20"/>
                <w:szCs w:val="20"/>
              </w:rPr>
            </w:pPr>
          </w:p>
        </w:tc>
        <w:tc>
          <w:tcPr>
            <w:tcW w:w="0" w:type="auto"/>
            <w:vAlign w:val="center"/>
            <w:hideMark/>
          </w:tcPr>
          <w:p w14:paraId="2772F3EC" w14:textId="77777777" w:rsidR="00000000" w:rsidRDefault="00A173A8">
            <w:pPr>
              <w:spacing w:after="100"/>
              <w:rPr>
                <w:rFonts w:eastAsia="Times New Roman"/>
                <w:sz w:val="20"/>
                <w:szCs w:val="20"/>
              </w:rPr>
            </w:pPr>
          </w:p>
        </w:tc>
        <w:tc>
          <w:tcPr>
            <w:tcW w:w="0" w:type="auto"/>
            <w:vAlign w:val="center"/>
            <w:hideMark/>
          </w:tcPr>
          <w:p w14:paraId="00047549" w14:textId="77777777" w:rsidR="00000000" w:rsidRDefault="00A173A8">
            <w:pPr>
              <w:spacing w:after="100"/>
              <w:rPr>
                <w:rFonts w:eastAsia="Times New Roman"/>
                <w:sz w:val="20"/>
                <w:szCs w:val="20"/>
              </w:rPr>
            </w:pPr>
          </w:p>
        </w:tc>
        <w:tc>
          <w:tcPr>
            <w:tcW w:w="0" w:type="auto"/>
            <w:vAlign w:val="center"/>
            <w:hideMark/>
          </w:tcPr>
          <w:p w14:paraId="46142F1C" w14:textId="77777777" w:rsidR="00000000" w:rsidRDefault="00A173A8">
            <w:pPr>
              <w:spacing w:after="100"/>
              <w:rPr>
                <w:rFonts w:eastAsia="Times New Roman"/>
                <w:sz w:val="20"/>
                <w:szCs w:val="20"/>
              </w:rPr>
            </w:pPr>
          </w:p>
        </w:tc>
        <w:tc>
          <w:tcPr>
            <w:tcW w:w="0" w:type="auto"/>
            <w:vAlign w:val="center"/>
            <w:hideMark/>
          </w:tcPr>
          <w:p w14:paraId="0F602ADB" w14:textId="77777777" w:rsidR="00000000" w:rsidRDefault="00A173A8">
            <w:pPr>
              <w:spacing w:after="100"/>
              <w:rPr>
                <w:rFonts w:eastAsia="Times New Roman"/>
                <w:sz w:val="20"/>
                <w:szCs w:val="20"/>
              </w:rPr>
            </w:pPr>
          </w:p>
        </w:tc>
        <w:tc>
          <w:tcPr>
            <w:tcW w:w="0" w:type="auto"/>
            <w:vAlign w:val="center"/>
            <w:hideMark/>
          </w:tcPr>
          <w:p w14:paraId="7758C130" w14:textId="77777777" w:rsidR="00000000" w:rsidRDefault="00A173A8">
            <w:pPr>
              <w:spacing w:after="100"/>
              <w:rPr>
                <w:rFonts w:eastAsia="Times New Roman"/>
                <w:sz w:val="20"/>
                <w:szCs w:val="20"/>
              </w:rPr>
            </w:pPr>
          </w:p>
        </w:tc>
      </w:tr>
      <w:tr w:rsidR="00000000" w14:paraId="4684B3F2" w14:textId="77777777">
        <w:trPr>
          <w:divId w:val="1758401982"/>
        </w:trPr>
        <w:tc>
          <w:tcPr>
            <w:tcW w:w="0" w:type="auto"/>
            <w:gridSpan w:val="3"/>
            <w:vAlign w:val="center"/>
            <w:hideMark/>
          </w:tcPr>
          <w:p w14:paraId="28BD3478" w14:textId="77777777" w:rsidR="00000000" w:rsidRDefault="00A173A8">
            <w:pPr>
              <w:spacing w:after="100"/>
              <w:rPr>
                <w:rFonts w:eastAsia="Times New Roman"/>
                <w:sz w:val="20"/>
                <w:szCs w:val="20"/>
              </w:rPr>
            </w:pPr>
          </w:p>
        </w:tc>
        <w:tc>
          <w:tcPr>
            <w:tcW w:w="0" w:type="auto"/>
            <w:gridSpan w:val="3"/>
            <w:vAlign w:val="center"/>
            <w:hideMark/>
          </w:tcPr>
          <w:p w14:paraId="7D92B6F5" w14:textId="77777777" w:rsidR="00000000" w:rsidRDefault="00A173A8">
            <w:pPr>
              <w:spacing w:after="100"/>
              <w:rPr>
                <w:rFonts w:eastAsia="Times New Roman"/>
                <w:sz w:val="20"/>
                <w:szCs w:val="20"/>
              </w:rPr>
            </w:pPr>
          </w:p>
        </w:tc>
        <w:tc>
          <w:tcPr>
            <w:tcW w:w="0" w:type="auto"/>
            <w:gridSpan w:val="3"/>
            <w:vAlign w:val="center"/>
            <w:hideMark/>
          </w:tcPr>
          <w:p w14:paraId="0081CD45" w14:textId="77777777" w:rsidR="00000000" w:rsidRDefault="00A173A8">
            <w:pPr>
              <w:spacing w:after="100"/>
              <w:rPr>
                <w:rFonts w:eastAsia="Times New Roman"/>
                <w:sz w:val="20"/>
                <w:szCs w:val="20"/>
              </w:rPr>
            </w:pPr>
          </w:p>
        </w:tc>
        <w:tc>
          <w:tcPr>
            <w:tcW w:w="0" w:type="auto"/>
            <w:gridSpan w:val="3"/>
            <w:vAlign w:val="center"/>
            <w:hideMark/>
          </w:tcPr>
          <w:p w14:paraId="0EAC71B6" w14:textId="77777777" w:rsidR="00000000" w:rsidRDefault="00A173A8">
            <w:pPr>
              <w:spacing w:after="100"/>
              <w:rPr>
                <w:rFonts w:eastAsia="Times New Roman"/>
                <w:sz w:val="20"/>
                <w:szCs w:val="20"/>
              </w:rPr>
            </w:pPr>
          </w:p>
        </w:tc>
        <w:tc>
          <w:tcPr>
            <w:tcW w:w="0" w:type="auto"/>
            <w:gridSpan w:val="3"/>
            <w:vAlign w:val="center"/>
            <w:hideMark/>
          </w:tcPr>
          <w:p w14:paraId="08931BF4" w14:textId="77777777" w:rsidR="00000000" w:rsidRDefault="00A173A8">
            <w:pPr>
              <w:spacing w:after="100"/>
              <w:rPr>
                <w:rFonts w:eastAsia="Times New Roman"/>
                <w:sz w:val="20"/>
                <w:szCs w:val="20"/>
              </w:rPr>
            </w:pPr>
          </w:p>
        </w:tc>
        <w:tc>
          <w:tcPr>
            <w:tcW w:w="0" w:type="auto"/>
            <w:gridSpan w:val="3"/>
            <w:vAlign w:val="center"/>
            <w:hideMark/>
          </w:tcPr>
          <w:p w14:paraId="0EA40D8A" w14:textId="77777777" w:rsidR="00000000" w:rsidRDefault="00A173A8">
            <w:pPr>
              <w:spacing w:after="100"/>
              <w:rPr>
                <w:rFonts w:eastAsia="Times New Roman"/>
                <w:sz w:val="20"/>
                <w:szCs w:val="20"/>
              </w:rPr>
            </w:pPr>
          </w:p>
        </w:tc>
        <w:tc>
          <w:tcPr>
            <w:tcW w:w="0" w:type="auto"/>
            <w:gridSpan w:val="3"/>
            <w:vAlign w:val="center"/>
            <w:hideMark/>
          </w:tcPr>
          <w:p w14:paraId="46A81134" w14:textId="77777777" w:rsidR="00000000" w:rsidRDefault="00A173A8">
            <w:pPr>
              <w:spacing w:after="100"/>
              <w:rPr>
                <w:rFonts w:eastAsia="Times New Roman"/>
                <w:sz w:val="20"/>
                <w:szCs w:val="20"/>
              </w:rPr>
            </w:pPr>
          </w:p>
        </w:tc>
        <w:tc>
          <w:tcPr>
            <w:tcW w:w="0" w:type="auto"/>
            <w:gridSpan w:val="3"/>
            <w:vAlign w:val="center"/>
            <w:hideMark/>
          </w:tcPr>
          <w:p w14:paraId="38A8E493" w14:textId="77777777" w:rsidR="00000000" w:rsidRDefault="00A173A8">
            <w:pPr>
              <w:spacing w:after="100"/>
              <w:rPr>
                <w:rFonts w:eastAsia="Times New Roman"/>
                <w:sz w:val="20"/>
                <w:szCs w:val="20"/>
              </w:rPr>
            </w:pPr>
          </w:p>
        </w:tc>
        <w:tc>
          <w:tcPr>
            <w:tcW w:w="0" w:type="auto"/>
            <w:gridSpan w:val="3"/>
            <w:vAlign w:val="center"/>
            <w:hideMark/>
          </w:tcPr>
          <w:p w14:paraId="4255B41E" w14:textId="77777777" w:rsidR="00000000" w:rsidRDefault="00A173A8">
            <w:pPr>
              <w:spacing w:after="100"/>
              <w:rPr>
                <w:rFonts w:eastAsia="Times New Roman"/>
                <w:sz w:val="20"/>
                <w:szCs w:val="20"/>
              </w:rPr>
            </w:pPr>
          </w:p>
        </w:tc>
        <w:tc>
          <w:tcPr>
            <w:tcW w:w="0" w:type="auto"/>
            <w:gridSpan w:val="3"/>
            <w:vAlign w:val="center"/>
            <w:hideMark/>
          </w:tcPr>
          <w:p w14:paraId="6CEBBF22" w14:textId="77777777" w:rsidR="00000000" w:rsidRDefault="00A173A8">
            <w:pPr>
              <w:spacing w:after="100"/>
              <w:rPr>
                <w:rFonts w:eastAsia="Times New Roman"/>
                <w:sz w:val="20"/>
                <w:szCs w:val="20"/>
              </w:rPr>
            </w:pPr>
          </w:p>
        </w:tc>
        <w:tc>
          <w:tcPr>
            <w:tcW w:w="0" w:type="auto"/>
            <w:gridSpan w:val="3"/>
            <w:vAlign w:val="center"/>
            <w:hideMark/>
          </w:tcPr>
          <w:p w14:paraId="2B106C32" w14:textId="77777777" w:rsidR="00000000" w:rsidRDefault="00A173A8">
            <w:pPr>
              <w:spacing w:after="100"/>
              <w:rPr>
                <w:rFonts w:eastAsia="Times New Roman"/>
                <w:sz w:val="20"/>
                <w:szCs w:val="20"/>
              </w:rPr>
            </w:pPr>
          </w:p>
        </w:tc>
        <w:tc>
          <w:tcPr>
            <w:tcW w:w="0" w:type="auto"/>
            <w:gridSpan w:val="3"/>
            <w:vAlign w:val="center"/>
            <w:hideMark/>
          </w:tcPr>
          <w:p w14:paraId="301382EC" w14:textId="77777777" w:rsidR="00000000" w:rsidRDefault="00A173A8">
            <w:pPr>
              <w:spacing w:after="100"/>
              <w:rPr>
                <w:rFonts w:eastAsia="Times New Roman"/>
                <w:sz w:val="20"/>
                <w:szCs w:val="20"/>
              </w:rPr>
            </w:pPr>
          </w:p>
        </w:tc>
        <w:tc>
          <w:tcPr>
            <w:tcW w:w="0" w:type="auto"/>
            <w:gridSpan w:val="3"/>
            <w:vAlign w:val="center"/>
            <w:hideMark/>
          </w:tcPr>
          <w:p w14:paraId="77925985" w14:textId="77777777" w:rsidR="00000000" w:rsidRDefault="00A173A8">
            <w:pPr>
              <w:spacing w:after="100"/>
              <w:rPr>
                <w:rFonts w:eastAsia="Times New Roman"/>
                <w:sz w:val="20"/>
                <w:szCs w:val="20"/>
              </w:rPr>
            </w:pPr>
          </w:p>
        </w:tc>
        <w:tc>
          <w:tcPr>
            <w:tcW w:w="0" w:type="auto"/>
            <w:vAlign w:val="center"/>
            <w:hideMark/>
          </w:tcPr>
          <w:p w14:paraId="44812F96" w14:textId="77777777" w:rsidR="00000000" w:rsidRDefault="00A173A8">
            <w:pPr>
              <w:spacing w:after="100"/>
              <w:rPr>
                <w:rFonts w:eastAsia="Times New Roman"/>
                <w:sz w:val="20"/>
                <w:szCs w:val="20"/>
              </w:rPr>
            </w:pPr>
          </w:p>
        </w:tc>
        <w:tc>
          <w:tcPr>
            <w:tcW w:w="0" w:type="auto"/>
            <w:vAlign w:val="center"/>
            <w:hideMark/>
          </w:tcPr>
          <w:p w14:paraId="2B0B7977" w14:textId="77777777" w:rsidR="00000000" w:rsidRDefault="00A173A8">
            <w:pPr>
              <w:spacing w:after="100"/>
              <w:rPr>
                <w:rFonts w:eastAsia="Times New Roman"/>
                <w:sz w:val="20"/>
                <w:szCs w:val="20"/>
              </w:rPr>
            </w:pPr>
          </w:p>
        </w:tc>
        <w:tc>
          <w:tcPr>
            <w:tcW w:w="0" w:type="auto"/>
            <w:vAlign w:val="center"/>
            <w:hideMark/>
          </w:tcPr>
          <w:p w14:paraId="723F9A40" w14:textId="77777777" w:rsidR="00000000" w:rsidRDefault="00A173A8">
            <w:pPr>
              <w:spacing w:after="100"/>
              <w:rPr>
                <w:rFonts w:eastAsia="Times New Roman"/>
                <w:sz w:val="20"/>
                <w:szCs w:val="20"/>
              </w:rPr>
            </w:pPr>
          </w:p>
        </w:tc>
        <w:tc>
          <w:tcPr>
            <w:tcW w:w="0" w:type="auto"/>
            <w:vAlign w:val="center"/>
            <w:hideMark/>
          </w:tcPr>
          <w:p w14:paraId="0D0D8928" w14:textId="77777777" w:rsidR="00000000" w:rsidRDefault="00A173A8">
            <w:pPr>
              <w:spacing w:after="100"/>
              <w:rPr>
                <w:rFonts w:eastAsia="Times New Roman"/>
                <w:sz w:val="20"/>
                <w:szCs w:val="20"/>
              </w:rPr>
            </w:pPr>
          </w:p>
        </w:tc>
        <w:tc>
          <w:tcPr>
            <w:tcW w:w="0" w:type="auto"/>
            <w:vAlign w:val="center"/>
            <w:hideMark/>
          </w:tcPr>
          <w:p w14:paraId="5B537967" w14:textId="77777777" w:rsidR="00000000" w:rsidRDefault="00A173A8">
            <w:pPr>
              <w:spacing w:after="100"/>
              <w:rPr>
                <w:rFonts w:eastAsia="Times New Roman"/>
                <w:sz w:val="20"/>
                <w:szCs w:val="20"/>
              </w:rPr>
            </w:pPr>
          </w:p>
        </w:tc>
        <w:tc>
          <w:tcPr>
            <w:tcW w:w="0" w:type="auto"/>
            <w:vAlign w:val="center"/>
            <w:hideMark/>
          </w:tcPr>
          <w:p w14:paraId="2C655543" w14:textId="77777777" w:rsidR="00000000" w:rsidRDefault="00A173A8">
            <w:pPr>
              <w:spacing w:after="100"/>
              <w:rPr>
                <w:rFonts w:eastAsia="Times New Roman"/>
                <w:sz w:val="20"/>
                <w:szCs w:val="20"/>
              </w:rPr>
            </w:pPr>
          </w:p>
        </w:tc>
      </w:tr>
      <w:tr w:rsidR="00000000" w14:paraId="4197621F" w14:textId="77777777">
        <w:trPr>
          <w:divId w:val="1758401982"/>
        </w:trPr>
        <w:tc>
          <w:tcPr>
            <w:tcW w:w="0" w:type="auto"/>
            <w:gridSpan w:val="3"/>
            <w:vAlign w:val="center"/>
            <w:hideMark/>
          </w:tcPr>
          <w:p w14:paraId="6BF82520" w14:textId="77777777" w:rsidR="00000000" w:rsidRDefault="00A173A8">
            <w:pPr>
              <w:spacing w:after="100"/>
              <w:rPr>
                <w:rFonts w:eastAsia="Times New Roman"/>
                <w:sz w:val="20"/>
                <w:szCs w:val="20"/>
              </w:rPr>
            </w:pPr>
          </w:p>
        </w:tc>
        <w:tc>
          <w:tcPr>
            <w:tcW w:w="0" w:type="auto"/>
            <w:gridSpan w:val="3"/>
            <w:vAlign w:val="center"/>
            <w:hideMark/>
          </w:tcPr>
          <w:p w14:paraId="29B53124" w14:textId="77777777" w:rsidR="00000000" w:rsidRDefault="00A173A8">
            <w:pPr>
              <w:spacing w:after="100"/>
              <w:rPr>
                <w:rFonts w:eastAsia="Times New Roman"/>
                <w:sz w:val="20"/>
                <w:szCs w:val="20"/>
              </w:rPr>
            </w:pPr>
          </w:p>
        </w:tc>
        <w:tc>
          <w:tcPr>
            <w:tcW w:w="0" w:type="auto"/>
            <w:gridSpan w:val="3"/>
            <w:vAlign w:val="center"/>
            <w:hideMark/>
          </w:tcPr>
          <w:p w14:paraId="272AF6F0" w14:textId="77777777" w:rsidR="00000000" w:rsidRDefault="00A173A8">
            <w:pPr>
              <w:spacing w:after="100"/>
              <w:rPr>
                <w:rFonts w:eastAsia="Times New Roman"/>
                <w:sz w:val="20"/>
                <w:szCs w:val="20"/>
              </w:rPr>
            </w:pPr>
          </w:p>
        </w:tc>
        <w:tc>
          <w:tcPr>
            <w:tcW w:w="0" w:type="auto"/>
            <w:gridSpan w:val="3"/>
            <w:vAlign w:val="center"/>
            <w:hideMark/>
          </w:tcPr>
          <w:p w14:paraId="36502C41" w14:textId="77777777" w:rsidR="00000000" w:rsidRDefault="00A173A8">
            <w:pPr>
              <w:spacing w:after="100"/>
              <w:rPr>
                <w:rFonts w:eastAsia="Times New Roman"/>
                <w:sz w:val="20"/>
                <w:szCs w:val="20"/>
              </w:rPr>
            </w:pPr>
          </w:p>
        </w:tc>
        <w:tc>
          <w:tcPr>
            <w:tcW w:w="0" w:type="auto"/>
            <w:gridSpan w:val="3"/>
            <w:vAlign w:val="center"/>
            <w:hideMark/>
          </w:tcPr>
          <w:p w14:paraId="3CBE9600" w14:textId="77777777" w:rsidR="00000000" w:rsidRDefault="00A173A8">
            <w:pPr>
              <w:spacing w:after="100"/>
              <w:rPr>
                <w:rFonts w:eastAsia="Times New Roman"/>
                <w:sz w:val="20"/>
                <w:szCs w:val="20"/>
              </w:rPr>
            </w:pPr>
          </w:p>
        </w:tc>
        <w:tc>
          <w:tcPr>
            <w:tcW w:w="0" w:type="auto"/>
            <w:gridSpan w:val="3"/>
            <w:vAlign w:val="center"/>
            <w:hideMark/>
          </w:tcPr>
          <w:p w14:paraId="768D566A" w14:textId="77777777" w:rsidR="00000000" w:rsidRDefault="00A173A8">
            <w:pPr>
              <w:spacing w:after="100"/>
              <w:rPr>
                <w:rFonts w:eastAsia="Times New Roman"/>
                <w:sz w:val="20"/>
                <w:szCs w:val="20"/>
              </w:rPr>
            </w:pPr>
          </w:p>
        </w:tc>
        <w:tc>
          <w:tcPr>
            <w:tcW w:w="0" w:type="auto"/>
            <w:gridSpan w:val="3"/>
            <w:vAlign w:val="center"/>
            <w:hideMark/>
          </w:tcPr>
          <w:p w14:paraId="2739073D" w14:textId="77777777" w:rsidR="00000000" w:rsidRDefault="00A173A8">
            <w:pPr>
              <w:spacing w:after="100"/>
              <w:rPr>
                <w:rFonts w:eastAsia="Times New Roman"/>
                <w:sz w:val="20"/>
                <w:szCs w:val="20"/>
              </w:rPr>
            </w:pPr>
          </w:p>
        </w:tc>
        <w:tc>
          <w:tcPr>
            <w:tcW w:w="0" w:type="auto"/>
            <w:gridSpan w:val="3"/>
            <w:vAlign w:val="center"/>
            <w:hideMark/>
          </w:tcPr>
          <w:p w14:paraId="51D763D6" w14:textId="77777777" w:rsidR="00000000" w:rsidRDefault="00A173A8">
            <w:pPr>
              <w:spacing w:after="100"/>
              <w:rPr>
                <w:rFonts w:eastAsia="Times New Roman"/>
                <w:sz w:val="20"/>
                <w:szCs w:val="20"/>
              </w:rPr>
            </w:pPr>
          </w:p>
        </w:tc>
        <w:tc>
          <w:tcPr>
            <w:tcW w:w="0" w:type="auto"/>
            <w:gridSpan w:val="3"/>
            <w:vAlign w:val="center"/>
            <w:hideMark/>
          </w:tcPr>
          <w:p w14:paraId="4F1DD6D1" w14:textId="77777777" w:rsidR="00000000" w:rsidRDefault="00A173A8">
            <w:pPr>
              <w:spacing w:after="100"/>
              <w:rPr>
                <w:rFonts w:eastAsia="Times New Roman"/>
                <w:sz w:val="20"/>
                <w:szCs w:val="20"/>
              </w:rPr>
            </w:pPr>
          </w:p>
        </w:tc>
        <w:tc>
          <w:tcPr>
            <w:tcW w:w="0" w:type="auto"/>
            <w:gridSpan w:val="3"/>
            <w:vAlign w:val="center"/>
            <w:hideMark/>
          </w:tcPr>
          <w:p w14:paraId="46C6F41B" w14:textId="77777777" w:rsidR="00000000" w:rsidRDefault="00A173A8">
            <w:pPr>
              <w:spacing w:after="100"/>
              <w:rPr>
                <w:rFonts w:eastAsia="Times New Roman"/>
                <w:sz w:val="20"/>
                <w:szCs w:val="20"/>
              </w:rPr>
            </w:pPr>
          </w:p>
        </w:tc>
        <w:tc>
          <w:tcPr>
            <w:tcW w:w="0" w:type="auto"/>
            <w:gridSpan w:val="3"/>
            <w:vAlign w:val="center"/>
            <w:hideMark/>
          </w:tcPr>
          <w:p w14:paraId="598F8407" w14:textId="77777777" w:rsidR="00000000" w:rsidRDefault="00A173A8">
            <w:pPr>
              <w:spacing w:after="100"/>
              <w:rPr>
                <w:rFonts w:eastAsia="Times New Roman"/>
                <w:sz w:val="20"/>
                <w:szCs w:val="20"/>
              </w:rPr>
            </w:pPr>
          </w:p>
        </w:tc>
        <w:tc>
          <w:tcPr>
            <w:tcW w:w="0" w:type="auto"/>
            <w:gridSpan w:val="3"/>
            <w:vAlign w:val="center"/>
            <w:hideMark/>
          </w:tcPr>
          <w:p w14:paraId="71C8E0AC" w14:textId="77777777" w:rsidR="00000000" w:rsidRDefault="00A173A8">
            <w:pPr>
              <w:spacing w:after="100"/>
              <w:rPr>
                <w:rFonts w:eastAsia="Times New Roman"/>
                <w:sz w:val="20"/>
                <w:szCs w:val="20"/>
              </w:rPr>
            </w:pPr>
          </w:p>
        </w:tc>
        <w:tc>
          <w:tcPr>
            <w:tcW w:w="0" w:type="auto"/>
            <w:gridSpan w:val="3"/>
            <w:vAlign w:val="center"/>
            <w:hideMark/>
          </w:tcPr>
          <w:p w14:paraId="42602869" w14:textId="77777777" w:rsidR="00000000" w:rsidRDefault="00A173A8">
            <w:pPr>
              <w:spacing w:after="100"/>
              <w:rPr>
                <w:rFonts w:eastAsia="Times New Roman"/>
                <w:sz w:val="20"/>
                <w:szCs w:val="20"/>
              </w:rPr>
            </w:pPr>
          </w:p>
        </w:tc>
        <w:tc>
          <w:tcPr>
            <w:tcW w:w="0" w:type="auto"/>
            <w:vAlign w:val="center"/>
            <w:hideMark/>
          </w:tcPr>
          <w:p w14:paraId="7DFB1CC8" w14:textId="77777777" w:rsidR="00000000" w:rsidRDefault="00A173A8">
            <w:pPr>
              <w:spacing w:after="100"/>
              <w:rPr>
                <w:rFonts w:eastAsia="Times New Roman"/>
                <w:sz w:val="20"/>
                <w:szCs w:val="20"/>
              </w:rPr>
            </w:pPr>
          </w:p>
        </w:tc>
        <w:tc>
          <w:tcPr>
            <w:tcW w:w="0" w:type="auto"/>
            <w:vAlign w:val="center"/>
            <w:hideMark/>
          </w:tcPr>
          <w:p w14:paraId="258C204A" w14:textId="77777777" w:rsidR="00000000" w:rsidRDefault="00A173A8">
            <w:pPr>
              <w:spacing w:after="100"/>
              <w:rPr>
                <w:rFonts w:eastAsia="Times New Roman"/>
                <w:sz w:val="20"/>
                <w:szCs w:val="20"/>
              </w:rPr>
            </w:pPr>
          </w:p>
        </w:tc>
        <w:tc>
          <w:tcPr>
            <w:tcW w:w="0" w:type="auto"/>
            <w:vAlign w:val="center"/>
            <w:hideMark/>
          </w:tcPr>
          <w:p w14:paraId="0BBF85A3" w14:textId="77777777" w:rsidR="00000000" w:rsidRDefault="00A173A8">
            <w:pPr>
              <w:spacing w:after="100"/>
              <w:rPr>
                <w:rFonts w:eastAsia="Times New Roman"/>
                <w:sz w:val="20"/>
                <w:szCs w:val="20"/>
              </w:rPr>
            </w:pPr>
          </w:p>
        </w:tc>
        <w:tc>
          <w:tcPr>
            <w:tcW w:w="0" w:type="auto"/>
            <w:vAlign w:val="center"/>
            <w:hideMark/>
          </w:tcPr>
          <w:p w14:paraId="4D766E05" w14:textId="77777777" w:rsidR="00000000" w:rsidRDefault="00A173A8">
            <w:pPr>
              <w:spacing w:after="100"/>
              <w:rPr>
                <w:rFonts w:eastAsia="Times New Roman"/>
                <w:sz w:val="20"/>
                <w:szCs w:val="20"/>
              </w:rPr>
            </w:pPr>
          </w:p>
        </w:tc>
        <w:tc>
          <w:tcPr>
            <w:tcW w:w="0" w:type="auto"/>
            <w:vAlign w:val="center"/>
            <w:hideMark/>
          </w:tcPr>
          <w:p w14:paraId="53678B4F" w14:textId="77777777" w:rsidR="00000000" w:rsidRDefault="00A173A8">
            <w:pPr>
              <w:spacing w:after="100"/>
              <w:rPr>
                <w:rFonts w:eastAsia="Times New Roman"/>
                <w:sz w:val="20"/>
                <w:szCs w:val="20"/>
              </w:rPr>
            </w:pPr>
          </w:p>
        </w:tc>
        <w:tc>
          <w:tcPr>
            <w:tcW w:w="0" w:type="auto"/>
            <w:vAlign w:val="center"/>
            <w:hideMark/>
          </w:tcPr>
          <w:p w14:paraId="46583934" w14:textId="77777777" w:rsidR="00000000" w:rsidRDefault="00A173A8">
            <w:pPr>
              <w:spacing w:after="100"/>
              <w:rPr>
                <w:rFonts w:eastAsia="Times New Roman"/>
                <w:sz w:val="20"/>
                <w:szCs w:val="20"/>
              </w:rPr>
            </w:pPr>
          </w:p>
        </w:tc>
      </w:tr>
      <w:tr w:rsidR="00000000" w14:paraId="6778CF0C" w14:textId="77777777">
        <w:trPr>
          <w:divId w:val="1758401982"/>
        </w:trPr>
        <w:tc>
          <w:tcPr>
            <w:tcW w:w="0" w:type="auto"/>
            <w:gridSpan w:val="3"/>
            <w:tcBorders>
              <w:top w:val="single" w:sz="8" w:space="0" w:color="000000"/>
            </w:tcBorders>
            <w:shd w:val="clear" w:color="auto" w:fill="CCEEFF"/>
            <w:tcMar>
              <w:top w:w="30" w:type="dxa"/>
              <w:left w:w="20" w:type="dxa"/>
              <w:bottom w:w="30" w:type="dxa"/>
              <w:right w:w="20" w:type="dxa"/>
            </w:tcMar>
            <w:hideMark/>
          </w:tcPr>
          <w:p w14:paraId="679C1E1E" w14:textId="77777777" w:rsidR="00000000" w:rsidRDefault="00A173A8">
            <w:pPr>
              <w:spacing w:after="100"/>
              <w:rPr>
                <w:rFonts w:eastAsia="Times New Roman"/>
              </w:rPr>
            </w:pPr>
            <w:r>
              <w:rPr>
                <w:rFonts w:eastAsia="Times New Roman"/>
                <w:b/>
                <w:bCs/>
                <w:color w:val="000000"/>
                <w:sz w:val="20"/>
                <w:szCs w:val="20"/>
              </w:rPr>
              <w:t>Series I</w:t>
            </w:r>
          </w:p>
        </w:tc>
        <w:tc>
          <w:tcPr>
            <w:tcW w:w="0" w:type="auto"/>
            <w:gridSpan w:val="3"/>
            <w:shd w:val="clear" w:color="auto" w:fill="CCEEFF"/>
            <w:tcMar>
              <w:top w:w="0" w:type="dxa"/>
              <w:left w:w="20" w:type="dxa"/>
              <w:bottom w:w="0" w:type="dxa"/>
              <w:right w:w="20" w:type="dxa"/>
            </w:tcMar>
            <w:vAlign w:val="center"/>
            <w:hideMark/>
          </w:tcPr>
          <w:p w14:paraId="6B3C637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6C02AF7" w14:textId="77777777" w:rsidR="00000000" w:rsidRDefault="00A173A8">
            <w:pPr>
              <w:spacing w:after="100"/>
              <w:jc w:val="center"/>
              <w:rPr>
                <w:rFonts w:eastAsia="Times New Roman"/>
              </w:rPr>
            </w:pPr>
            <w:r>
              <w:rPr>
                <w:rFonts w:eastAsia="Times New Roman"/>
                <w:color w:val="000000"/>
                <w:sz w:val="20"/>
                <w:szCs w:val="20"/>
              </w:rPr>
              <w:t xml:space="preserve">5.000%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14:paraId="153D06B2" w14:textId="77777777" w:rsidR="00000000" w:rsidRDefault="00A173A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6136A0A5" w14:textId="77777777" w:rsidR="00000000" w:rsidRDefault="00A173A8">
            <w:pPr>
              <w:spacing w:after="100"/>
              <w:jc w:val="center"/>
              <w:rPr>
                <w:rFonts w:eastAsia="Times New Roman"/>
              </w:rPr>
            </w:pPr>
            <w:r>
              <w:rPr>
                <w:rFonts w:eastAsia="Times New Roman"/>
                <w:color w:val="000000"/>
                <w:sz w:val="20"/>
                <w:szCs w:val="20"/>
              </w:rPr>
              <w:t>September 11, 2019</w:t>
            </w:r>
          </w:p>
        </w:tc>
        <w:tc>
          <w:tcPr>
            <w:tcW w:w="0" w:type="auto"/>
            <w:gridSpan w:val="3"/>
            <w:shd w:val="clear" w:color="auto" w:fill="CCEEFF"/>
            <w:tcMar>
              <w:top w:w="0" w:type="dxa"/>
              <w:left w:w="20" w:type="dxa"/>
              <w:bottom w:w="0" w:type="dxa"/>
              <w:right w:w="20" w:type="dxa"/>
            </w:tcMar>
            <w:vAlign w:val="center"/>
            <w:hideMark/>
          </w:tcPr>
          <w:p w14:paraId="07BDCCCF" w14:textId="77777777" w:rsidR="00000000" w:rsidRDefault="00A173A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1766E623" w14:textId="77777777" w:rsidR="00000000" w:rsidRDefault="00A173A8">
            <w:pPr>
              <w:spacing w:after="100"/>
              <w:jc w:val="center"/>
              <w:rPr>
                <w:rFonts w:eastAsia="Times New Roman"/>
              </w:rPr>
            </w:pPr>
            <w:r>
              <w:rPr>
                <w:rFonts w:eastAsia="Times New Roman"/>
                <w:color w:val="000000"/>
                <w:sz w:val="20"/>
                <w:szCs w:val="20"/>
              </w:rPr>
              <w:t>5.000%</w:t>
            </w:r>
          </w:p>
        </w:tc>
        <w:tc>
          <w:tcPr>
            <w:tcW w:w="0" w:type="auto"/>
            <w:gridSpan w:val="3"/>
            <w:shd w:val="clear" w:color="auto" w:fill="CCEEFF"/>
            <w:tcMar>
              <w:top w:w="0" w:type="dxa"/>
              <w:left w:w="20" w:type="dxa"/>
              <w:bottom w:w="0" w:type="dxa"/>
              <w:right w:w="20" w:type="dxa"/>
            </w:tcMar>
            <w:vAlign w:val="center"/>
            <w:hideMark/>
          </w:tcPr>
          <w:p w14:paraId="61978463" w14:textId="77777777" w:rsidR="00000000" w:rsidRDefault="00A173A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CBEA23C" w14:textId="77777777" w:rsidR="00000000" w:rsidRDefault="00A173A8">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14:paraId="08628A3A" w14:textId="77777777" w:rsidR="00000000" w:rsidRDefault="00A173A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475D8FE9" w14:textId="77777777" w:rsidR="00000000" w:rsidRDefault="00A173A8">
            <w:pPr>
              <w:spacing w:after="100"/>
              <w:jc w:val="center"/>
              <w:rPr>
                <w:rFonts w:eastAsia="Times New Roman"/>
              </w:rPr>
            </w:pPr>
            <w:r>
              <w:rPr>
                <w:rFonts w:eastAsia="Times New Roman"/>
                <w:b/>
                <w:bCs/>
                <w:color w:val="000000"/>
                <w:sz w:val="20"/>
                <w:szCs w:val="20"/>
              </w:rPr>
              <w:t>$12.50</w:t>
            </w:r>
          </w:p>
        </w:tc>
        <w:tc>
          <w:tcPr>
            <w:tcW w:w="0" w:type="auto"/>
            <w:gridSpan w:val="3"/>
            <w:shd w:val="clear" w:color="auto" w:fill="CCEEFF"/>
            <w:tcMar>
              <w:top w:w="0" w:type="dxa"/>
              <w:left w:w="20" w:type="dxa"/>
              <w:bottom w:w="0" w:type="dxa"/>
              <w:right w:w="20" w:type="dxa"/>
            </w:tcMar>
            <w:vAlign w:val="center"/>
            <w:hideMark/>
          </w:tcPr>
          <w:p w14:paraId="6B66CA5D" w14:textId="77777777" w:rsidR="00000000" w:rsidRDefault="00A173A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616E4120" w14:textId="77777777" w:rsidR="00000000" w:rsidRDefault="00A173A8">
            <w:pPr>
              <w:spacing w:after="100"/>
              <w:jc w:val="center"/>
              <w:rPr>
                <w:rFonts w:eastAsia="Times New Roman"/>
              </w:rPr>
            </w:pPr>
            <w:r>
              <w:rPr>
                <w:rFonts w:eastAsia="Times New Roman"/>
                <w:color w:val="000000"/>
                <w:sz w:val="20"/>
                <w:szCs w:val="20"/>
              </w:rPr>
              <w:t>$12.50</w:t>
            </w:r>
          </w:p>
        </w:tc>
        <w:tc>
          <w:tcPr>
            <w:tcW w:w="0" w:type="auto"/>
            <w:vAlign w:val="center"/>
            <w:hideMark/>
          </w:tcPr>
          <w:p w14:paraId="5DC565D4" w14:textId="77777777" w:rsidR="00000000" w:rsidRDefault="00A173A8">
            <w:pPr>
              <w:spacing w:after="100"/>
              <w:jc w:val="center"/>
              <w:rPr>
                <w:rFonts w:eastAsia="Times New Roman"/>
              </w:rPr>
            </w:pPr>
          </w:p>
        </w:tc>
        <w:tc>
          <w:tcPr>
            <w:tcW w:w="0" w:type="auto"/>
            <w:vAlign w:val="center"/>
            <w:hideMark/>
          </w:tcPr>
          <w:p w14:paraId="78E063DB" w14:textId="77777777" w:rsidR="00000000" w:rsidRDefault="00A173A8">
            <w:pPr>
              <w:spacing w:after="100"/>
              <w:rPr>
                <w:rFonts w:eastAsia="Times New Roman"/>
                <w:sz w:val="20"/>
                <w:szCs w:val="20"/>
              </w:rPr>
            </w:pPr>
          </w:p>
        </w:tc>
        <w:tc>
          <w:tcPr>
            <w:tcW w:w="0" w:type="auto"/>
            <w:vAlign w:val="center"/>
            <w:hideMark/>
          </w:tcPr>
          <w:p w14:paraId="5363D3B3" w14:textId="77777777" w:rsidR="00000000" w:rsidRDefault="00A173A8">
            <w:pPr>
              <w:spacing w:after="100"/>
              <w:rPr>
                <w:rFonts w:eastAsia="Times New Roman"/>
                <w:sz w:val="20"/>
                <w:szCs w:val="20"/>
              </w:rPr>
            </w:pPr>
          </w:p>
        </w:tc>
        <w:tc>
          <w:tcPr>
            <w:tcW w:w="0" w:type="auto"/>
            <w:vAlign w:val="center"/>
            <w:hideMark/>
          </w:tcPr>
          <w:p w14:paraId="37BD5FB5" w14:textId="77777777" w:rsidR="00000000" w:rsidRDefault="00A173A8">
            <w:pPr>
              <w:spacing w:after="100"/>
              <w:rPr>
                <w:rFonts w:eastAsia="Times New Roman"/>
                <w:sz w:val="20"/>
                <w:szCs w:val="20"/>
              </w:rPr>
            </w:pPr>
          </w:p>
        </w:tc>
        <w:tc>
          <w:tcPr>
            <w:tcW w:w="0" w:type="auto"/>
            <w:vAlign w:val="center"/>
            <w:hideMark/>
          </w:tcPr>
          <w:p w14:paraId="770D68E2" w14:textId="77777777" w:rsidR="00000000" w:rsidRDefault="00A173A8">
            <w:pPr>
              <w:spacing w:after="100"/>
              <w:rPr>
                <w:rFonts w:eastAsia="Times New Roman"/>
                <w:sz w:val="20"/>
                <w:szCs w:val="20"/>
              </w:rPr>
            </w:pPr>
          </w:p>
        </w:tc>
        <w:tc>
          <w:tcPr>
            <w:tcW w:w="0" w:type="auto"/>
            <w:vAlign w:val="center"/>
            <w:hideMark/>
          </w:tcPr>
          <w:p w14:paraId="587DA6E7" w14:textId="77777777" w:rsidR="00000000" w:rsidRDefault="00A173A8">
            <w:pPr>
              <w:spacing w:after="100"/>
              <w:rPr>
                <w:rFonts w:eastAsia="Times New Roman"/>
                <w:sz w:val="20"/>
                <w:szCs w:val="20"/>
              </w:rPr>
            </w:pPr>
          </w:p>
        </w:tc>
      </w:tr>
      <w:tr w:rsidR="00000000" w14:paraId="57AB5EA7" w14:textId="77777777">
        <w:trPr>
          <w:divId w:val="1758401982"/>
        </w:trPr>
        <w:tc>
          <w:tcPr>
            <w:tcW w:w="0" w:type="auto"/>
            <w:gridSpan w:val="3"/>
            <w:shd w:val="clear" w:color="auto" w:fill="FFFFFF"/>
            <w:tcMar>
              <w:top w:w="30" w:type="dxa"/>
              <w:left w:w="20" w:type="dxa"/>
              <w:bottom w:w="30" w:type="dxa"/>
              <w:right w:w="20" w:type="dxa"/>
            </w:tcMar>
            <w:hideMark/>
          </w:tcPr>
          <w:p w14:paraId="20ABE51D" w14:textId="77777777" w:rsidR="00000000" w:rsidRDefault="00A173A8">
            <w:pPr>
              <w:spacing w:after="100"/>
              <w:rPr>
                <w:rFonts w:eastAsia="Times New Roman"/>
              </w:rPr>
            </w:pPr>
            <w:r>
              <w:rPr>
                <w:rFonts w:eastAsia="Times New Roman"/>
                <w:b/>
                <w:bCs/>
                <w:color w:val="000000"/>
                <w:sz w:val="20"/>
                <w:szCs w:val="20"/>
              </w:rPr>
              <w:t>Series J</w:t>
            </w:r>
          </w:p>
        </w:tc>
        <w:tc>
          <w:tcPr>
            <w:tcW w:w="0" w:type="auto"/>
            <w:gridSpan w:val="3"/>
            <w:shd w:val="clear" w:color="auto" w:fill="FFFFFF"/>
            <w:tcMar>
              <w:top w:w="0" w:type="dxa"/>
              <w:left w:w="20" w:type="dxa"/>
              <w:bottom w:w="0" w:type="dxa"/>
              <w:right w:w="20" w:type="dxa"/>
            </w:tcMar>
            <w:vAlign w:val="center"/>
            <w:hideMark/>
          </w:tcPr>
          <w:p w14:paraId="7D8156A2"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5E58188" w14:textId="77777777" w:rsidR="00000000" w:rsidRDefault="00A173A8">
            <w:pPr>
              <w:spacing w:after="100"/>
              <w:jc w:val="center"/>
              <w:rPr>
                <w:rFonts w:eastAsia="Times New Roman"/>
              </w:rPr>
            </w:pPr>
            <w:r>
              <w:rPr>
                <w:rFonts w:eastAsia="Times New Roman"/>
                <w:color w:val="000000"/>
                <w:sz w:val="20"/>
                <w:szCs w:val="20"/>
              </w:rPr>
              <w:t xml:space="preserve">4.800% </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14:paraId="30A721D6"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16C9EA02" w14:textId="77777777" w:rsidR="00000000" w:rsidRDefault="00A173A8">
            <w:pPr>
              <w:spacing w:after="100"/>
              <w:jc w:val="center"/>
              <w:rPr>
                <w:rFonts w:eastAsia="Times New Roman"/>
              </w:rPr>
            </w:pPr>
            <w:r>
              <w:rPr>
                <w:rFonts w:eastAsia="Times New Roman"/>
                <w:color w:val="000000"/>
                <w:sz w:val="20"/>
                <w:szCs w:val="20"/>
              </w:rPr>
              <w:t>January 31, 2020</w:t>
            </w:r>
          </w:p>
        </w:tc>
        <w:tc>
          <w:tcPr>
            <w:tcW w:w="0" w:type="auto"/>
            <w:gridSpan w:val="3"/>
            <w:shd w:val="clear" w:color="auto" w:fill="FFFFFF"/>
            <w:tcMar>
              <w:top w:w="0" w:type="dxa"/>
              <w:left w:w="20" w:type="dxa"/>
              <w:bottom w:w="0" w:type="dxa"/>
              <w:right w:w="20" w:type="dxa"/>
            </w:tcMar>
            <w:vAlign w:val="center"/>
            <w:hideMark/>
          </w:tcPr>
          <w:p w14:paraId="5B230B58"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6A7706C8" w14:textId="77777777" w:rsidR="00000000" w:rsidRDefault="00A173A8">
            <w:pPr>
              <w:spacing w:after="100"/>
              <w:jc w:val="center"/>
              <w:rPr>
                <w:rFonts w:eastAsia="Times New Roman"/>
              </w:rPr>
            </w:pPr>
            <w:r>
              <w:rPr>
                <w:rFonts w:eastAsia="Times New Roman"/>
                <w:color w:val="000000"/>
                <w:sz w:val="20"/>
                <w:szCs w:val="20"/>
              </w:rPr>
              <w:t>4.800</w:t>
            </w:r>
          </w:p>
        </w:tc>
        <w:tc>
          <w:tcPr>
            <w:tcW w:w="0" w:type="auto"/>
            <w:gridSpan w:val="3"/>
            <w:shd w:val="clear" w:color="auto" w:fill="FFFFFF"/>
            <w:tcMar>
              <w:top w:w="0" w:type="dxa"/>
              <w:left w:w="20" w:type="dxa"/>
              <w:bottom w:w="0" w:type="dxa"/>
              <w:right w:w="20" w:type="dxa"/>
            </w:tcMar>
            <w:vAlign w:val="center"/>
            <w:hideMark/>
          </w:tcPr>
          <w:p w14:paraId="734C225C"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ACF1F5A" w14:textId="77777777" w:rsidR="00000000" w:rsidRDefault="00A173A8">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14:paraId="06F2AA52"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67CD179" w14:textId="77777777" w:rsidR="00000000" w:rsidRDefault="00A173A8">
            <w:pPr>
              <w:spacing w:after="100"/>
              <w:jc w:val="center"/>
              <w:rPr>
                <w:rFonts w:eastAsia="Times New Roman"/>
              </w:rPr>
            </w:pPr>
            <w:r>
              <w:rPr>
                <w:rFonts w:eastAsia="Times New Roman"/>
                <w:b/>
                <w:bCs/>
                <w:color w:val="000000"/>
                <w:sz w:val="20"/>
                <w:szCs w:val="20"/>
              </w:rPr>
              <w:t>12.00</w:t>
            </w:r>
          </w:p>
        </w:tc>
        <w:tc>
          <w:tcPr>
            <w:tcW w:w="0" w:type="auto"/>
            <w:gridSpan w:val="3"/>
            <w:shd w:val="clear" w:color="auto" w:fill="FFFFFF"/>
            <w:tcMar>
              <w:top w:w="0" w:type="dxa"/>
              <w:left w:w="20" w:type="dxa"/>
              <w:bottom w:w="0" w:type="dxa"/>
              <w:right w:w="20" w:type="dxa"/>
            </w:tcMar>
            <w:vAlign w:val="center"/>
            <w:hideMark/>
          </w:tcPr>
          <w:p w14:paraId="1D7CE5F4"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B8E70B2" w14:textId="77777777" w:rsidR="00000000" w:rsidRDefault="00A173A8">
            <w:pPr>
              <w:spacing w:after="100"/>
              <w:jc w:val="center"/>
              <w:rPr>
                <w:rFonts w:eastAsia="Times New Roman"/>
              </w:rPr>
            </w:pPr>
            <w:r>
              <w:rPr>
                <w:rFonts w:eastAsia="Times New Roman"/>
                <w:color w:val="000000"/>
                <w:sz w:val="20"/>
                <w:szCs w:val="20"/>
              </w:rPr>
              <w:t>12.00</w:t>
            </w:r>
          </w:p>
        </w:tc>
        <w:tc>
          <w:tcPr>
            <w:tcW w:w="0" w:type="auto"/>
            <w:vAlign w:val="center"/>
            <w:hideMark/>
          </w:tcPr>
          <w:p w14:paraId="02863934" w14:textId="77777777" w:rsidR="00000000" w:rsidRDefault="00A173A8">
            <w:pPr>
              <w:spacing w:after="100"/>
              <w:jc w:val="center"/>
              <w:rPr>
                <w:rFonts w:eastAsia="Times New Roman"/>
              </w:rPr>
            </w:pPr>
          </w:p>
        </w:tc>
        <w:tc>
          <w:tcPr>
            <w:tcW w:w="0" w:type="auto"/>
            <w:vAlign w:val="center"/>
            <w:hideMark/>
          </w:tcPr>
          <w:p w14:paraId="724D3FE0" w14:textId="77777777" w:rsidR="00000000" w:rsidRDefault="00A173A8">
            <w:pPr>
              <w:spacing w:after="100"/>
              <w:rPr>
                <w:rFonts w:eastAsia="Times New Roman"/>
                <w:sz w:val="20"/>
                <w:szCs w:val="20"/>
              </w:rPr>
            </w:pPr>
          </w:p>
        </w:tc>
        <w:tc>
          <w:tcPr>
            <w:tcW w:w="0" w:type="auto"/>
            <w:vAlign w:val="center"/>
            <w:hideMark/>
          </w:tcPr>
          <w:p w14:paraId="1898793A" w14:textId="77777777" w:rsidR="00000000" w:rsidRDefault="00A173A8">
            <w:pPr>
              <w:spacing w:after="100"/>
              <w:rPr>
                <w:rFonts w:eastAsia="Times New Roman"/>
                <w:sz w:val="20"/>
                <w:szCs w:val="20"/>
              </w:rPr>
            </w:pPr>
          </w:p>
        </w:tc>
        <w:tc>
          <w:tcPr>
            <w:tcW w:w="0" w:type="auto"/>
            <w:vAlign w:val="center"/>
            <w:hideMark/>
          </w:tcPr>
          <w:p w14:paraId="2C6F726C" w14:textId="77777777" w:rsidR="00000000" w:rsidRDefault="00A173A8">
            <w:pPr>
              <w:spacing w:after="100"/>
              <w:rPr>
                <w:rFonts w:eastAsia="Times New Roman"/>
                <w:sz w:val="20"/>
                <w:szCs w:val="20"/>
              </w:rPr>
            </w:pPr>
          </w:p>
        </w:tc>
        <w:tc>
          <w:tcPr>
            <w:tcW w:w="0" w:type="auto"/>
            <w:vAlign w:val="center"/>
            <w:hideMark/>
          </w:tcPr>
          <w:p w14:paraId="4A857698" w14:textId="77777777" w:rsidR="00000000" w:rsidRDefault="00A173A8">
            <w:pPr>
              <w:spacing w:after="100"/>
              <w:rPr>
                <w:rFonts w:eastAsia="Times New Roman"/>
                <w:sz w:val="20"/>
                <w:szCs w:val="20"/>
              </w:rPr>
            </w:pPr>
          </w:p>
        </w:tc>
        <w:tc>
          <w:tcPr>
            <w:tcW w:w="0" w:type="auto"/>
            <w:vAlign w:val="center"/>
            <w:hideMark/>
          </w:tcPr>
          <w:p w14:paraId="7D238B7E" w14:textId="77777777" w:rsidR="00000000" w:rsidRDefault="00A173A8">
            <w:pPr>
              <w:spacing w:after="100"/>
              <w:rPr>
                <w:rFonts w:eastAsia="Times New Roman"/>
                <w:sz w:val="20"/>
                <w:szCs w:val="20"/>
              </w:rPr>
            </w:pPr>
          </w:p>
        </w:tc>
      </w:tr>
      <w:tr w:rsidR="00000000" w14:paraId="468ADCAB" w14:textId="77777777">
        <w:trPr>
          <w:divId w:val="1758401982"/>
        </w:trPr>
        <w:tc>
          <w:tcPr>
            <w:tcW w:w="0" w:type="auto"/>
            <w:gridSpan w:val="3"/>
            <w:shd w:val="clear" w:color="auto" w:fill="CCEEFF"/>
            <w:tcMar>
              <w:top w:w="30" w:type="dxa"/>
              <w:left w:w="20" w:type="dxa"/>
              <w:bottom w:w="30" w:type="dxa"/>
              <w:right w:w="20" w:type="dxa"/>
            </w:tcMar>
            <w:hideMark/>
          </w:tcPr>
          <w:p w14:paraId="645B0C80" w14:textId="77777777" w:rsidR="00000000" w:rsidRDefault="00A173A8">
            <w:pPr>
              <w:spacing w:after="100"/>
              <w:rPr>
                <w:rFonts w:eastAsia="Times New Roman"/>
              </w:rPr>
            </w:pPr>
            <w:r>
              <w:rPr>
                <w:rFonts w:eastAsia="Times New Roman"/>
                <w:b/>
                <w:bCs/>
                <w:color w:val="000000"/>
                <w:sz w:val="20"/>
                <w:szCs w:val="20"/>
              </w:rPr>
              <w:t>Series K</w:t>
            </w:r>
          </w:p>
        </w:tc>
        <w:tc>
          <w:tcPr>
            <w:tcW w:w="0" w:type="auto"/>
            <w:gridSpan w:val="3"/>
            <w:shd w:val="clear" w:color="auto" w:fill="CCEEFF"/>
            <w:tcMar>
              <w:top w:w="0" w:type="dxa"/>
              <w:left w:w="20" w:type="dxa"/>
              <w:bottom w:w="0" w:type="dxa"/>
              <w:right w:w="20" w:type="dxa"/>
            </w:tcMar>
            <w:vAlign w:val="center"/>
            <w:hideMark/>
          </w:tcPr>
          <w:p w14:paraId="13FB708E"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019BA33" w14:textId="77777777" w:rsidR="00000000" w:rsidRDefault="00A173A8">
            <w:pPr>
              <w:spacing w:after="100"/>
              <w:jc w:val="center"/>
              <w:rPr>
                <w:rFonts w:eastAsia="Times New Roman"/>
              </w:rPr>
            </w:pPr>
            <w:r>
              <w:rPr>
                <w:rFonts w:eastAsia="Times New Roman"/>
                <w:color w:val="000000"/>
                <w:sz w:val="20"/>
                <w:szCs w:val="20"/>
              </w:rPr>
              <w:t>4.625%</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14:paraId="6608FC5C"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1C63A5B" w14:textId="77777777" w:rsidR="00000000" w:rsidRDefault="00A173A8">
            <w:pPr>
              <w:spacing w:after="100"/>
              <w:jc w:val="center"/>
              <w:rPr>
                <w:rFonts w:eastAsia="Times New Roman"/>
              </w:rPr>
            </w:pPr>
            <w:r>
              <w:rPr>
                <w:rFonts w:eastAsia="Times New Roman"/>
                <w:color w:val="000000"/>
                <w:sz w:val="20"/>
                <w:szCs w:val="20"/>
              </w:rPr>
              <w:t>September 17, 2020</w:t>
            </w:r>
          </w:p>
        </w:tc>
        <w:tc>
          <w:tcPr>
            <w:tcW w:w="0" w:type="auto"/>
            <w:gridSpan w:val="3"/>
            <w:shd w:val="clear" w:color="auto" w:fill="CCEEFF"/>
            <w:tcMar>
              <w:top w:w="0" w:type="dxa"/>
              <w:left w:w="20" w:type="dxa"/>
              <w:bottom w:w="0" w:type="dxa"/>
              <w:right w:w="20" w:type="dxa"/>
            </w:tcMar>
            <w:vAlign w:val="center"/>
            <w:hideMark/>
          </w:tcPr>
          <w:p w14:paraId="2CB95BDF"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E06574C" w14:textId="77777777" w:rsidR="00000000" w:rsidRDefault="00A173A8">
            <w:pPr>
              <w:spacing w:after="100"/>
              <w:jc w:val="center"/>
              <w:rPr>
                <w:rFonts w:eastAsia="Times New Roman"/>
              </w:rPr>
            </w:pPr>
            <w:r>
              <w:rPr>
                <w:rFonts w:eastAsia="Times New Roman"/>
                <w:color w:val="000000"/>
                <w:sz w:val="20"/>
                <w:szCs w:val="20"/>
              </w:rPr>
              <w:t>4.625</w:t>
            </w:r>
          </w:p>
        </w:tc>
        <w:tc>
          <w:tcPr>
            <w:tcW w:w="0" w:type="auto"/>
            <w:gridSpan w:val="3"/>
            <w:shd w:val="clear" w:color="auto" w:fill="CCEEFF"/>
            <w:tcMar>
              <w:top w:w="0" w:type="dxa"/>
              <w:left w:w="20" w:type="dxa"/>
              <w:bottom w:w="0" w:type="dxa"/>
              <w:right w:w="20" w:type="dxa"/>
            </w:tcMar>
            <w:vAlign w:val="center"/>
            <w:hideMark/>
          </w:tcPr>
          <w:p w14:paraId="344FF4EC"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A73D44D" w14:textId="77777777" w:rsidR="00000000" w:rsidRDefault="00A173A8">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14:paraId="48A4949E"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6CE65AF8" w14:textId="77777777" w:rsidR="00000000" w:rsidRDefault="00A173A8">
            <w:pPr>
              <w:spacing w:after="100"/>
              <w:jc w:val="center"/>
              <w:rPr>
                <w:rFonts w:eastAsia="Times New Roman"/>
              </w:rPr>
            </w:pPr>
            <w:r>
              <w:rPr>
                <w:rFonts w:eastAsia="Times New Roman"/>
                <w:b/>
                <w:bCs/>
                <w:color w:val="000000"/>
                <w:sz w:val="20"/>
                <w:szCs w:val="20"/>
              </w:rPr>
              <w:t>11.56</w:t>
            </w:r>
          </w:p>
        </w:tc>
        <w:tc>
          <w:tcPr>
            <w:tcW w:w="0" w:type="auto"/>
            <w:gridSpan w:val="3"/>
            <w:shd w:val="clear" w:color="auto" w:fill="CCEEFF"/>
            <w:tcMar>
              <w:top w:w="0" w:type="dxa"/>
              <w:left w:w="20" w:type="dxa"/>
              <w:bottom w:w="0" w:type="dxa"/>
              <w:right w:w="20" w:type="dxa"/>
            </w:tcMar>
            <w:vAlign w:val="center"/>
            <w:hideMark/>
          </w:tcPr>
          <w:p w14:paraId="5C3CD9AC"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57785CF" w14:textId="77777777" w:rsidR="00000000" w:rsidRDefault="00A173A8">
            <w:pPr>
              <w:spacing w:after="100"/>
              <w:jc w:val="center"/>
              <w:rPr>
                <w:rFonts w:eastAsia="Times New Roman"/>
              </w:rPr>
            </w:pPr>
            <w:r>
              <w:rPr>
                <w:rFonts w:eastAsia="Times New Roman"/>
                <w:color w:val="000000"/>
                <w:sz w:val="20"/>
                <w:szCs w:val="20"/>
              </w:rPr>
              <w:t>11.56</w:t>
            </w:r>
          </w:p>
        </w:tc>
        <w:tc>
          <w:tcPr>
            <w:tcW w:w="0" w:type="auto"/>
            <w:vAlign w:val="center"/>
            <w:hideMark/>
          </w:tcPr>
          <w:p w14:paraId="7555265F" w14:textId="77777777" w:rsidR="00000000" w:rsidRDefault="00A173A8">
            <w:pPr>
              <w:spacing w:after="100"/>
              <w:jc w:val="center"/>
              <w:rPr>
                <w:rFonts w:eastAsia="Times New Roman"/>
              </w:rPr>
            </w:pPr>
          </w:p>
        </w:tc>
        <w:tc>
          <w:tcPr>
            <w:tcW w:w="0" w:type="auto"/>
            <w:vAlign w:val="center"/>
            <w:hideMark/>
          </w:tcPr>
          <w:p w14:paraId="5EADF1FC" w14:textId="77777777" w:rsidR="00000000" w:rsidRDefault="00A173A8">
            <w:pPr>
              <w:spacing w:after="100"/>
              <w:rPr>
                <w:rFonts w:eastAsia="Times New Roman"/>
                <w:sz w:val="20"/>
                <w:szCs w:val="20"/>
              </w:rPr>
            </w:pPr>
          </w:p>
        </w:tc>
        <w:tc>
          <w:tcPr>
            <w:tcW w:w="0" w:type="auto"/>
            <w:vAlign w:val="center"/>
            <w:hideMark/>
          </w:tcPr>
          <w:p w14:paraId="52294AE7" w14:textId="77777777" w:rsidR="00000000" w:rsidRDefault="00A173A8">
            <w:pPr>
              <w:spacing w:after="100"/>
              <w:rPr>
                <w:rFonts w:eastAsia="Times New Roman"/>
                <w:sz w:val="20"/>
                <w:szCs w:val="20"/>
              </w:rPr>
            </w:pPr>
          </w:p>
        </w:tc>
        <w:tc>
          <w:tcPr>
            <w:tcW w:w="0" w:type="auto"/>
            <w:vAlign w:val="center"/>
            <w:hideMark/>
          </w:tcPr>
          <w:p w14:paraId="152B7183" w14:textId="77777777" w:rsidR="00000000" w:rsidRDefault="00A173A8">
            <w:pPr>
              <w:spacing w:after="100"/>
              <w:rPr>
                <w:rFonts w:eastAsia="Times New Roman"/>
                <w:sz w:val="20"/>
                <w:szCs w:val="20"/>
              </w:rPr>
            </w:pPr>
          </w:p>
        </w:tc>
        <w:tc>
          <w:tcPr>
            <w:tcW w:w="0" w:type="auto"/>
            <w:vAlign w:val="center"/>
            <w:hideMark/>
          </w:tcPr>
          <w:p w14:paraId="3EAE7027" w14:textId="77777777" w:rsidR="00000000" w:rsidRDefault="00A173A8">
            <w:pPr>
              <w:spacing w:after="100"/>
              <w:rPr>
                <w:rFonts w:eastAsia="Times New Roman"/>
                <w:sz w:val="20"/>
                <w:szCs w:val="20"/>
              </w:rPr>
            </w:pPr>
          </w:p>
        </w:tc>
        <w:tc>
          <w:tcPr>
            <w:tcW w:w="0" w:type="auto"/>
            <w:vAlign w:val="center"/>
            <w:hideMark/>
          </w:tcPr>
          <w:p w14:paraId="45115F89" w14:textId="77777777" w:rsidR="00000000" w:rsidRDefault="00A173A8">
            <w:pPr>
              <w:spacing w:after="100"/>
              <w:rPr>
                <w:rFonts w:eastAsia="Times New Roman"/>
                <w:sz w:val="20"/>
                <w:szCs w:val="20"/>
              </w:rPr>
            </w:pPr>
          </w:p>
        </w:tc>
      </w:tr>
      <w:tr w:rsidR="00000000" w14:paraId="4696151E" w14:textId="77777777">
        <w:trPr>
          <w:divId w:val="1758401982"/>
        </w:trPr>
        <w:tc>
          <w:tcPr>
            <w:tcW w:w="0" w:type="auto"/>
            <w:gridSpan w:val="3"/>
            <w:shd w:val="clear" w:color="auto" w:fill="FFFFFF"/>
            <w:tcMar>
              <w:top w:w="30" w:type="dxa"/>
              <w:left w:w="20" w:type="dxa"/>
              <w:bottom w:w="30" w:type="dxa"/>
              <w:right w:w="20" w:type="dxa"/>
            </w:tcMar>
            <w:hideMark/>
          </w:tcPr>
          <w:p w14:paraId="5840540D" w14:textId="77777777" w:rsidR="00000000" w:rsidRDefault="00A173A8">
            <w:pPr>
              <w:spacing w:after="100"/>
              <w:rPr>
                <w:rFonts w:eastAsia="Times New Roman"/>
              </w:rPr>
            </w:pPr>
            <w:r>
              <w:rPr>
                <w:rFonts w:eastAsia="Times New Roman"/>
                <w:b/>
                <w:bCs/>
                <w:color w:val="000000"/>
                <w:sz w:val="20"/>
                <w:szCs w:val="20"/>
              </w:rPr>
              <w:t>Series L</w:t>
            </w:r>
          </w:p>
        </w:tc>
        <w:tc>
          <w:tcPr>
            <w:tcW w:w="0" w:type="auto"/>
            <w:gridSpan w:val="3"/>
            <w:shd w:val="clear" w:color="auto" w:fill="FFFFFF"/>
            <w:tcMar>
              <w:top w:w="0" w:type="dxa"/>
              <w:left w:w="20" w:type="dxa"/>
              <w:bottom w:w="0" w:type="dxa"/>
              <w:right w:w="20" w:type="dxa"/>
            </w:tcMar>
            <w:vAlign w:val="center"/>
            <w:hideMark/>
          </w:tcPr>
          <w:p w14:paraId="36E55EF3"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8785D28" w14:textId="77777777" w:rsidR="00000000" w:rsidRDefault="00A173A8">
            <w:pPr>
              <w:spacing w:after="100"/>
              <w:jc w:val="center"/>
              <w:rPr>
                <w:rFonts w:eastAsia="Times New Roman"/>
              </w:rPr>
            </w:pPr>
            <w:r>
              <w:rPr>
                <w:rFonts w:eastAsia="Times New Roman"/>
                <w:color w:val="000000"/>
                <w:sz w:val="20"/>
                <w:szCs w:val="20"/>
              </w:rPr>
              <w:t>4.375%</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14:paraId="5C9A88F1"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F847558" w14:textId="77777777" w:rsidR="00000000" w:rsidRDefault="00A173A8">
            <w:pPr>
              <w:spacing w:after="100"/>
              <w:jc w:val="center"/>
              <w:rPr>
                <w:rFonts w:eastAsia="Times New Roman"/>
              </w:rPr>
            </w:pPr>
            <w:r>
              <w:rPr>
                <w:rFonts w:eastAsia="Times New Roman"/>
                <w:color w:val="000000"/>
                <w:sz w:val="20"/>
                <w:szCs w:val="20"/>
              </w:rPr>
              <w:t>May 4, 2021</w:t>
            </w:r>
          </w:p>
        </w:tc>
        <w:tc>
          <w:tcPr>
            <w:tcW w:w="0" w:type="auto"/>
            <w:gridSpan w:val="3"/>
            <w:shd w:val="clear" w:color="auto" w:fill="FFFFFF"/>
            <w:tcMar>
              <w:top w:w="0" w:type="dxa"/>
              <w:left w:w="20" w:type="dxa"/>
              <w:bottom w:w="0" w:type="dxa"/>
              <w:right w:w="20" w:type="dxa"/>
            </w:tcMar>
            <w:vAlign w:val="center"/>
            <w:hideMark/>
          </w:tcPr>
          <w:p w14:paraId="07968B1C"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3563785B" w14:textId="77777777" w:rsidR="00000000" w:rsidRDefault="00A173A8">
            <w:pPr>
              <w:spacing w:after="100"/>
              <w:jc w:val="center"/>
              <w:rPr>
                <w:rFonts w:eastAsia="Times New Roman"/>
              </w:rPr>
            </w:pPr>
            <w:r>
              <w:rPr>
                <w:rFonts w:eastAsia="Times New Roman"/>
                <w:color w:val="000000"/>
                <w:sz w:val="20"/>
                <w:szCs w:val="20"/>
              </w:rPr>
              <w:t>4.375</w:t>
            </w:r>
          </w:p>
        </w:tc>
        <w:tc>
          <w:tcPr>
            <w:tcW w:w="0" w:type="auto"/>
            <w:gridSpan w:val="3"/>
            <w:shd w:val="clear" w:color="auto" w:fill="FFFFFF"/>
            <w:tcMar>
              <w:top w:w="0" w:type="dxa"/>
              <w:left w:w="20" w:type="dxa"/>
              <w:bottom w:w="0" w:type="dxa"/>
              <w:right w:w="20" w:type="dxa"/>
            </w:tcMar>
            <w:vAlign w:val="center"/>
            <w:hideMark/>
          </w:tcPr>
          <w:p w14:paraId="440D03F7"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25DEA74" w14:textId="77777777" w:rsidR="00000000" w:rsidRDefault="00A173A8">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14:paraId="27F8482C"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7AF58644" w14:textId="77777777" w:rsidR="00000000" w:rsidRDefault="00A173A8">
            <w:pPr>
              <w:spacing w:after="100"/>
              <w:jc w:val="center"/>
              <w:rPr>
                <w:rFonts w:eastAsia="Times New Roman"/>
              </w:rPr>
            </w:pPr>
            <w:r>
              <w:rPr>
                <w:rFonts w:eastAsia="Times New Roman"/>
                <w:b/>
                <w:bCs/>
                <w:color w:val="000000"/>
                <w:sz w:val="20"/>
                <w:szCs w:val="20"/>
              </w:rPr>
              <w:t>10.94</w:t>
            </w:r>
          </w:p>
        </w:tc>
        <w:tc>
          <w:tcPr>
            <w:tcW w:w="0" w:type="auto"/>
            <w:gridSpan w:val="3"/>
            <w:shd w:val="clear" w:color="auto" w:fill="FFFFFF"/>
            <w:tcMar>
              <w:top w:w="0" w:type="dxa"/>
              <w:left w:w="20" w:type="dxa"/>
              <w:bottom w:w="0" w:type="dxa"/>
              <w:right w:w="20" w:type="dxa"/>
            </w:tcMar>
            <w:vAlign w:val="center"/>
            <w:hideMark/>
          </w:tcPr>
          <w:p w14:paraId="382CC714"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8DE2528" w14:textId="77777777" w:rsidR="00000000" w:rsidRDefault="00A173A8">
            <w:pPr>
              <w:spacing w:after="100"/>
              <w:jc w:val="center"/>
              <w:rPr>
                <w:rFonts w:eastAsia="Times New Roman"/>
              </w:rPr>
            </w:pPr>
            <w:r>
              <w:rPr>
                <w:rFonts w:eastAsia="Times New Roman"/>
                <w:color w:val="000000"/>
                <w:sz w:val="20"/>
                <w:szCs w:val="20"/>
              </w:rPr>
              <w:t>10.94</w:t>
            </w:r>
          </w:p>
        </w:tc>
        <w:tc>
          <w:tcPr>
            <w:tcW w:w="0" w:type="auto"/>
            <w:vAlign w:val="center"/>
            <w:hideMark/>
          </w:tcPr>
          <w:p w14:paraId="6D442FAB" w14:textId="77777777" w:rsidR="00000000" w:rsidRDefault="00A173A8">
            <w:pPr>
              <w:spacing w:after="100"/>
              <w:jc w:val="center"/>
              <w:rPr>
                <w:rFonts w:eastAsia="Times New Roman"/>
              </w:rPr>
            </w:pPr>
          </w:p>
        </w:tc>
        <w:tc>
          <w:tcPr>
            <w:tcW w:w="0" w:type="auto"/>
            <w:vAlign w:val="center"/>
            <w:hideMark/>
          </w:tcPr>
          <w:p w14:paraId="6BE59F8A" w14:textId="77777777" w:rsidR="00000000" w:rsidRDefault="00A173A8">
            <w:pPr>
              <w:spacing w:after="100"/>
              <w:rPr>
                <w:rFonts w:eastAsia="Times New Roman"/>
                <w:sz w:val="20"/>
                <w:szCs w:val="20"/>
              </w:rPr>
            </w:pPr>
          </w:p>
        </w:tc>
        <w:tc>
          <w:tcPr>
            <w:tcW w:w="0" w:type="auto"/>
            <w:vAlign w:val="center"/>
            <w:hideMark/>
          </w:tcPr>
          <w:p w14:paraId="63266B0A" w14:textId="77777777" w:rsidR="00000000" w:rsidRDefault="00A173A8">
            <w:pPr>
              <w:spacing w:after="100"/>
              <w:rPr>
                <w:rFonts w:eastAsia="Times New Roman"/>
                <w:sz w:val="20"/>
                <w:szCs w:val="20"/>
              </w:rPr>
            </w:pPr>
          </w:p>
        </w:tc>
        <w:tc>
          <w:tcPr>
            <w:tcW w:w="0" w:type="auto"/>
            <w:vAlign w:val="center"/>
            <w:hideMark/>
          </w:tcPr>
          <w:p w14:paraId="53E54CDA" w14:textId="77777777" w:rsidR="00000000" w:rsidRDefault="00A173A8">
            <w:pPr>
              <w:spacing w:after="100"/>
              <w:rPr>
                <w:rFonts w:eastAsia="Times New Roman"/>
                <w:sz w:val="20"/>
                <w:szCs w:val="20"/>
              </w:rPr>
            </w:pPr>
          </w:p>
        </w:tc>
        <w:tc>
          <w:tcPr>
            <w:tcW w:w="0" w:type="auto"/>
            <w:vAlign w:val="center"/>
            <w:hideMark/>
          </w:tcPr>
          <w:p w14:paraId="1EC22874" w14:textId="77777777" w:rsidR="00000000" w:rsidRDefault="00A173A8">
            <w:pPr>
              <w:spacing w:after="100"/>
              <w:rPr>
                <w:rFonts w:eastAsia="Times New Roman"/>
                <w:sz w:val="20"/>
                <w:szCs w:val="20"/>
              </w:rPr>
            </w:pPr>
          </w:p>
        </w:tc>
        <w:tc>
          <w:tcPr>
            <w:tcW w:w="0" w:type="auto"/>
            <w:vAlign w:val="center"/>
            <w:hideMark/>
          </w:tcPr>
          <w:p w14:paraId="1996BB24" w14:textId="77777777" w:rsidR="00000000" w:rsidRDefault="00A173A8">
            <w:pPr>
              <w:spacing w:after="100"/>
              <w:rPr>
                <w:rFonts w:eastAsia="Times New Roman"/>
                <w:sz w:val="20"/>
                <w:szCs w:val="20"/>
              </w:rPr>
            </w:pPr>
          </w:p>
        </w:tc>
      </w:tr>
      <w:tr w:rsidR="00000000" w14:paraId="60E5A58A" w14:textId="77777777">
        <w:trPr>
          <w:divId w:val="1758401982"/>
        </w:trPr>
        <w:tc>
          <w:tcPr>
            <w:tcW w:w="0" w:type="auto"/>
            <w:gridSpan w:val="3"/>
            <w:shd w:val="clear" w:color="auto" w:fill="CCEEFF"/>
            <w:tcMar>
              <w:top w:w="30" w:type="dxa"/>
              <w:left w:w="20" w:type="dxa"/>
              <w:bottom w:w="30" w:type="dxa"/>
              <w:right w:w="20" w:type="dxa"/>
            </w:tcMar>
            <w:hideMark/>
          </w:tcPr>
          <w:p w14:paraId="06B4ECDB" w14:textId="77777777" w:rsidR="00000000" w:rsidRDefault="00A173A8">
            <w:pPr>
              <w:spacing w:after="100"/>
              <w:rPr>
                <w:rFonts w:eastAsia="Times New Roman"/>
              </w:rPr>
            </w:pPr>
            <w:r>
              <w:rPr>
                <w:rFonts w:eastAsia="Times New Roman"/>
                <w:b/>
                <w:bCs/>
                <w:color w:val="000000"/>
                <w:sz w:val="20"/>
                <w:szCs w:val="20"/>
              </w:rPr>
              <w:t>Series M</w:t>
            </w:r>
          </w:p>
        </w:tc>
        <w:tc>
          <w:tcPr>
            <w:tcW w:w="0" w:type="auto"/>
            <w:gridSpan w:val="3"/>
            <w:shd w:val="clear" w:color="auto" w:fill="CCEEFF"/>
            <w:tcMar>
              <w:top w:w="0" w:type="dxa"/>
              <w:left w:w="20" w:type="dxa"/>
              <w:bottom w:w="0" w:type="dxa"/>
              <w:right w:w="20" w:type="dxa"/>
            </w:tcMar>
            <w:vAlign w:val="center"/>
            <w:hideMark/>
          </w:tcPr>
          <w:p w14:paraId="65EF2F93"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4010614" w14:textId="77777777" w:rsidR="00000000" w:rsidRDefault="00A173A8">
            <w:pPr>
              <w:spacing w:after="100"/>
              <w:jc w:val="center"/>
              <w:rPr>
                <w:rFonts w:eastAsia="Times New Roman"/>
              </w:rPr>
            </w:pPr>
            <w:r>
              <w:rPr>
                <w:rFonts w:eastAsia="Times New Roman"/>
                <w:color w:val="000000"/>
                <w:sz w:val="20"/>
                <w:szCs w:val="20"/>
              </w:rPr>
              <w:t>3.950% Fixed Rate Reset</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14:paraId="5652E16A"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449E8988" w14:textId="77777777" w:rsidR="00000000" w:rsidRDefault="00A173A8">
            <w:pPr>
              <w:spacing w:after="100"/>
              <w:jc w:val="center"/>
              <w:rPr>
                <w:rFonts w:eastAsia="Times New Roman"/>
              </w:rPr>
            </w:pPr>
            <w:r>
              <w:rPr>
                <w:rFonts w:eastAsia="Times New Roman"/>
                <w:color w:val="000000"/>
                <w:sz w:val="20"/>
                <w:szCs w:val="20"/>
              </w:rPr>
              <w:t>June 10, 2021</w:t>
            </w:r>
          </w:p>
        </w:tc>
        <w:tc>
          <w:tcPr>
            <w:tcW w:w="0" w:type="auto"/>
            <w:gridSpan w:val="3"/>
            <w:shd w:val="clear" w:color="auto" w:fill="CCEEFF"/>
            <w:tcMar>
              <w:top w:w="0" w:type="dxa"/>
              <w:left w:w="20" w:type="dxa"/>
              <w:bottom w:w="0" w:type="dxa"/>
              <w:right w:w="20" w:type="dxa"/>
            </w:tcMar>
            <w:vAlign w:val="center"/>
            <w:hideMark/>
          </w:tcPr>
          <w:p w14:paraId="110F0113"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07A8E124" w14:textId="77777777" w:rsidR="00000000" w:rsidRDefault="00A173A8">
            <w:pPr>
              <w:spacing w:after="100"/>
              <w:jc w:val="center"/>
              <w:rPr>
                <w:rFonts w:eastAsia="Times New Roman"/>
              </w:rPr>
            </w:pPr>
            <w:r>
              <w:rPr>
                <w:rFonts w:eastAsia="Times New Roman"/>
                <w:color w:val="000000"/>
                <w:sz w:val="20"/>
                <w:szCs w:val="20"/>
              </w:rPr>
              <w:t>3.950% through 8/31/2026; resets 9/1/2026 and every subsequent 5 year anniversary at 5-Year Treasury Rate +3.157%</w:t>
            </w:r>
          </w:p>
        </w:tc>
        <w:tc>
          <w:tcPr>
            <w:tcW w:w="0" w:type="auto"/>
            <w:gridSpan w:val="3"/>
            <w:shd w:val="clear" w:color="auto" w:fill="CCEEFF"/>
            <w:tcMar>
              <w:top w:w="0" w:type="dxa"/>
              <w:left w:w="20" w:type="dxa"/>
              <w:bottom w:w="0" w:type="dxa"/>
              <w:right w:w="20" w:type="dxa"/>
            </w:tcMar>
            <w:vAlign w:val="center"/>
            <w:hideMark/>
          </w:tcPr>
          <w:p w14:paraId="74D1CE22"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2FDDE710" w14:textId="77777777" w:rsidR="00000000" w:rsidRDefault="00A173A8">
            <w:pPr>
              <w:spacing w:after="100"/>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14:paraId="6EF61C43"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72A7332B" w14:textId="77777777" w:rsidR="00000000" w:rsidRDefault="00A173A8">
            <w:pPr>
              <w:spacing w:after="100"/>
              <w:jc w:val="center"/>
              <w:rPr>
                <w:rFonts w:eastAsia="Times New Roman"/>
              </w:rPr>
            </w:pPr>
            <w:r>
              <w:rPr>
                <w:rFonts w:eastAsia="Times New Roman"/>
                <w:b/>
                <w:bCs/>
                <w:color w:val="000000"/>
                <w:sz w:val="20"/>
                <w:szCs w:val="20"/>
              </w:rPr>
              <w:t>9.88</w:t>
            </w:r>
          </w:p>
        </w:tc>
        <w:tc>
          <w:tcPr>
            <w:tcW w:w="0" w:type="auto"/>
            <w:gridSpan w:val="3"/>
            <w:shd w:val="clear" w:color="auto" w:fill="CCEEFF"/>
            <w:tcMar>
              <w:top w:w="0" w:type="dxa"/>
              <w:left w:w="20" w:type="dxa"/>
              <w:bottom w:w="0" w:type="dxa"/>
              <w:right w:w="20" w:type="dxa"/>
            </w:tcMar>
            <w:vAlign w:val="center"/>
            <w:hideMark/>
          </w:tcPr>
          <w:p w14:paraId="1362EA24"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14:paraId="54BD21BF" w14:textId="77777777" w:rsidR="00000000" w:rsidRDefault="00A173A8">
            <w:pPr>
              <w:spacing w:after="100"/>
              <w:jc w:val="center"/>
              <w:rPr>
                <w:rFonts w:eastAsia="Times New Roman"/>
              </w:rPr>
            </w:pPr>
            <w:r>
              <w:rPr>
                <w:rFonts w:eastAsia="Times New Roman"/>
                <w:color w:val="000000"/>
                <w:sz w:val="20"/>
                <w:szCs w:val="20"/>
              </w:rPr>
              <w:t>9.88</w:t>
            </w:r>
          </w:p>
        </w:tc>
        <w:tc>
          <w:tcPr>
            <w:tcW w:w="0" w:type="auto"/>
            <w:vAlign w:val="center"/>
            <w:hideMark/>
          </w:tcPr>
          <w:p w14:paraId="76C47ED7" w14:textId="77777777" w:rsidR="00000000" w:rsidRDefault="00A173A8">
            <w:pPr>
              <w:spacing w:after="100"/>
              <w:jc w:val="center"/>
              <w:rPr>
                <w:rFonts w:eastAsia="Times New Roman"/>
              </w:rPr>
            </w:pPr>
          </w:p>
        </w:tc>
        <w:tc>
          <w:tcPr>
            <w:tcW w:w="0" w:type="auto"/>
            <w:vAlign w:val="center"/>
            <w:hideMark/>
          </w:tcPr>
          <w:p w14:paraId="6B42F1DE" w14:textId="77777777" w:rsidR="00000000" w:rsidRDefault="00A173A8">
            <w:pPr>
              <w:spacing w:after="100"/>
              <w:rPr>
                <w:rFonts w:eastAsia="Times New Roman"/>
                <w:sz w:val="20"/>
                <w:szCs w:val="20"/>
              </w:rPr>
            </w:pPr>
          </w:p>
        </w:tc>
        <w:tc>
          <w:tcPr>
            <w:tcW w:w="0" w:type="auto"/>
            <w:vAlign w:val="center"/>
            <w:hideMark/>
          </w:tcPr>
          <w:p w14:paraId="0245C3EB" w14:textId="77777777" w:rsidR="00000000" w:rsidRDefault="00A173A8">
            <w:pPr>
              <w:spacing w:after="100"/>
              <w:rPr>
                <w:rFonts w:eastAsia="Times New Roman"/>
                <w:sz w:val="20"/>
                <w:szCs w:val="20"/>
              </w:rPr>
            </w:pPr>
          </w:p>
        </w:tc>
        <w:tc>
          <w:tcPr>
            <w:tcW w:w="0" w:type="auto"/>
            <w:vAlign w:val="center"/>
            <w:hideMark/>
          </w:tcPr>
          <w:p w14:paraId="4979C1FF" w14:textId="77777777" w:rsidR="00000000" w:rsidRDefault="00A173A8">
            <w:pPr>
              <w:spacing w:after="100"/>
              <w:rPr>
                <w:rFonts w:eastAsia="Times New Roman"/>
                <w:sz w:val="20"/>
                <w:szCs w:val="20"/>
              </w:rPr>
            </w:pPr>
          </w:p>
        </w:tc>
        <w:tc>
          <w:tcPr>
            <w:tcW w:w="0" w:type="auto"/>
            <w:vAlign w:val="center"/>
            <w:hideMark/>
          </w:tcPr>
          <w:p w14:paraId="5F14333F" w14:textId="77777777" w:rsidR="00000000" w:rsidRDefault="00A173A8">
            <w:pPr>
              <w:spacing w:after="100"/>
              <w:rPr>
                <w:rFonts w:eastAsia="Times New Roman"/>
                <w:sz w:val="20"/>
                <w:szCs w:val="20"/>
              </w:rPr>
            </w:pPr>
          </w:p>
        </w:tc>
        <w:tc>
          <w:tcPr>
            <w:tcW w:w="0" w:type="auto"/>
            <w:vAlign w:val="center"/>
            <w:hideMark/>
          </w:tcPr>
          <w:p w14:paraId="24FEE00A" w14:textId="77777777" w:rsidR="00000000" w:rsidRDefault="00A173A8">
            <w:pPr>
              <w:spacing w:after="100"/>
              <w:rPr>
                <w:rFonts w:eastAsia="Times New Roman"/>
                <w:sz w:val="20"/>
                <w:szCs w:val="20"/>
              </w:rPr>
            </w:pPr>
          </w:p>
        </w:tc>
      </w:tr>
      <w:tr w:rsidR="00000000" w14:paraId="4BB76F94" w14:textId="77777777">
        <w:trPr>
          <w:divId w:val="1758401982"/>
        </w:trPr>
        <w:tc>
          <w:tcPr>
            <w:tcW w:w="0" w:type="auto"/>
            <w:gridSpan w:val="3"/>
            <w:shd w:val="clear" w:color="auto" w:fill="FFFFFF"/>
            <w:tcMar>
              <w:top w:w="30" w:type="dxa"/>
              <w:left w:w="20" w:type="dxa"/>
              <w:bottom w:w="30" w:type="dxa"/>
              <w:right w:w="20" w:type="dxa"/>
            </w:tcMar>
            <w:hideMark/>
          </w:tcPr>
          <w:p w14:paraId="650C8B07" w14:textId="77777777" w:rsidR="00000000" w:rsidRDefault="00A173A8">
            <w:pPr>
              <w:spacing w:after="100"/>
              <w:rPr>
                <w:rFonts w:eastAsia="Times New Roman"/>
              </w:rPr>
            </w:pPr>
            <w:r>
              <w:rPr>
                <w:rFonts w:eastAsia="Times New Roman"/>
                <w:b/>
                <w:bCs/>
                <w:color w:val="000000"/>
                <w:sz w:val="20"/>
                <w:szCs w:val="20"/>
              </w:rPr>
              <w:t>Series N</w:t>
            </w:r>
          </w:p>
        </w:tc>
        <w:tc>
          <w:tcPr>
            <w:tcW w:w="0" w:type="auto"/>
            <w:gridSpan w:val="3"/>
            <w:shd w:val="clear" w:color="auto" w:fill="FFFFFF"/>
            <w:tcMar>
              <w:top w:w="0" w:type="dxa"/>
              <w:left w:w="20" w:type="dxa"/>
              <w:bottom w:w="0" w:type="dxa"/>
              <w:right w:w="20" w:type="dxa"/>
            </w:tcMar>
            <w:vAlign w:val="center"/>
            <w:hideMark/>
          </w:tcPr>
          <w:p w14:paraId="2D3E7AF6"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51000D07" w14:textId="77777777" w:rsidR="00000000" w:rsidRDefault="00A173A8">
            <w:pPr>
              <w:spacing w:after="100"/>
              <w:jc w:val="center"/>
              <w:rPr>
                <w:rFonts w:eastAsia="Times New Roman"/>
              </w:rPr>
            </w:pPr>
            <w:r>
              <w:rPr>
                <w:rFonts w:eastAsia="Times New Roman"/>
                <w:color w:val="000000"/>
                <w:sz w:val="20"/>
                <w:szCs w:val="20"/>
              </w:rPr>
              <w:t>4.250%</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14:paraId="0A00A155"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53A00E9" w14:textId="77777777" w:rsidR="00000000" w:rsidRDefault="00A173A8">
            <w:pPr>
              <w:spacing w:after="100"/>
              <w:jc w:val="center"/>
              <w:rPr>
                <w:rFonts w:eastAsia="Times New Roman"/>
              </w:rPr>
            </w:pPr>
            <w:r>
              <w:rPr>
                <w:rFonts w:eastAsia="Times New Roman"/>
                <w:color w:val="000000"/>
                <w:sz w:val="20"/>
                <w:szCs w:val="20"/>
              </w:rPr>
              <w:t>July 29, 2021</w:t>
            </w:r>
          </w:p>
        </w:tc>
        <w:tc>
          <w:tcPr>
            <w:tcW w:w="0" w:type="auto"/>
            <w:gridSpan w:val="3"/>
            <w:shd w:val="clear" w:color="auto" w:fill="FFFFFF"/>
            <w:tcMar>
              <w:top w:w="0" w:type="dxa"/>
              <w:left w:w="20" w:type="dxa"/>
              <w:bottom w:w="0" w:type="dxa"/>
              <w:right w:w="20" w:type="dxa"/>
            </w:tcMar>
            <w:vAlign w:val="center"/>
            <w:hideMark/>
          </w:tcPr>
          <w:p w14:paraId="2D41CBFA"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03B0DC9" w14:textId="77777777" w:rsidR="00000000" w:rsidRDefault="00A173A8">
            <w:pPr>
              <w:spacing w:after="100"/>
              <w:jc w:val="center"/>
              <w:rPr>
                <w:rFonts w:eastAsia="Times New Roman"/>
              </w:rPr>
            </w:pPr>
            <w:r>
              <w:rPr>
                <w:rFonts w:eastAsia="Times New Roman"/>
                <w:color w:val="000000"/>
                <w:sz w:val="20"/>
                <w:szCs w:val="20"/>
              </w:rPr>
              <w:t>4.250</w:t>
            </w:r>
          </w:p>
        </w:tc>
        <w:tc>
          <w:tcPr>
            <w:tcW w:w="0" w:type="auto"/>
            <w:gridSpan w:val="3"/>
            <w:shd w:val="clear" w:color="auto" w:fill="FFFFFF"/>
            <w:tcMar>
              <w:top w:w="0" w:type="dxa"/>
              <w:left w:w="20" w:type="dxa"/>
              <w:bottom w:w="0" w:type="dxa"/>
              <w:right w:w="20" w:type="dxa"/>
            </w:tcMar>
            <w:vAlign w:val="center"/>
            <w:hideMark/>
          </w:tcPr>
          <w:p w14:paraId="048CBB4E"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25FA464D" w14:textId="77777777" w:rsidR="00000000" w:rsidRDefault="00A173A8">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14:paraId="0D67BCD6"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5FC40E72" w14:textId="77777777" w:rsidR="00000000" w:rsidRDefault="00A173A8">
            <w:pPr>
              <w:spacing w:after="100"/>
              <w:jc w:val="center"/>
              <w:rPr>
                <w:rFonts w:eastAsia="Times New Roman"/>
              </w:rPr>
            </w:pPr>
            <w:r>
              <w:rPr>
                <w:rFonts w:eastAsia="Times New Roman"/>
                <w:b/>
                <w:bCs/>
                <w:color w:val="000000"/>
                <w:sz w:val="20"/>
                <w:szCs w:val="20"/>
              </w:rPr>
              <w:t>10.63</w:t>
            </w:r>
          </w:p>
        </w:tc>
        <w:tc>
          <w:tcPr>
            <w:tcW w:w="0" w:type="auto"/>
            <w:gridSpan w:val="3"/>
            <w:shd w:val="clear" w:color="auto" w:fill="FFFFFF"/>
            <w:tcMar>
              <w:top w:w="0" w:type="dxa"/>
              <w:left w:w="20" w:type="dxa"/>
              <w:bottom w:w="0" w:type="dxa"/>
              <w:right w:w="20" w:type="dxa"/>
            </w:tcMar>
            <w:vAlign w:val="center"/>
            <w:hideMark/>
          </w:tcPr>
          <w:p w14:paraId="7F6B07CC"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14:paraId="48171BE3" w14:textId="77777777" w:rsidR="00000000" w:rsidRDefault="00A173A8">
            <w:pPr>
              <w:spacing w:after="100"/>
              <w:jc w:val="center"/>
              <w:rPr>
                <w:rFonts w:eastAsia="Times New Roman"/>
              </w:rPr>
            </w:pPr>
            <w:r>
              <w:rPr>
                <w:rFonts w:eastAsia="Times New Roman"/>
                <w:color w:val="000000"/>
                <w:sz w:val="20"/>
                <w:szCs w:val="20"/>
              </w:rPr>
              <w:t>10.63</w:t>
            </w:r>
          </w:p>
        </w:tc>
        <w:tc>
          <w:tcPr>
            <w:tcW w:w="0" w:type="auto"/>
            <w:vAlign w:val="center"/>
            <w:hideMark/>
          </w:tcPr>
          <w:p w14:paraId="3995BA31" w14:textId="77777777" w:rsidR="00000000" w:rsidRDefault="00A173A8">
            <w:pPr>
              <w:spacing w:after="100"/>
              <w:jc w:val="center"/>
              <w:rPr>
                <w:rFonts w:eastAsia="Times New Roman"/>
              </w:rPr>
            </w:pPr>
          </w:p>
        </w:tc>
        <w:tc>
          <w:tcPr>
            <w:tcW w:w="0" w:type="auto"/>
            <w:vAlign w:val="center"/>
            <w:hideMark/>
          </w:tcPr>
          <w:p w14:paraId="4014C4C4" w14:textId="77777777" w:rsidR="00000000" w:rsidRDefault="00A173A8">
            <w:pPr>
              <w:spacing w:after="100"/>
              <w:rPr>
                <w:rFonts w:eastAsia="Times New Roman"/>
                <w:sz w:val="20"/>
                <w:szCs w:val="20"/>
              </w:rPr>
            </w:pPr>
          </w:p>
        </w:tc>
        <w:tc>
          <w:tcPr>
            <w:tcW w:w="0" w:type="auto"/>
            <w:vAlign w:val="center"/>
            <w:hideMark/>
          </w:tcPr>
          <w:p w14:paraId="77CD5A4F" w14:textId="77777777" w:rsidR="00000000" w:rsidRDefault="00A173A8">
            <w:pPr>
              <w:spacing w:after="100"/>
              <w:rPr>
                <w:rFonts w:eastAsia="Times New Roman"/>
                <w:sz w:val="20"/>
                <w:szCs w:val="20"/>
              </w:rPr>
            </w:pPr>
          </w:p>
        </w:tc>
        <w:tc>
          <w:tcPr>
            <w:tcW w:w="0" w:type="auto"/>
            <w:vAlign w:val="center"/>
            <w:hideMark/>
          </w:tcPr>
          <w:p w14:paraId="1C0E7100" w14:textId="77777777" w:rsidR="00000000" w:rsidRDefault="00A173A8">
            <w:pPr>
              <w:spacing w:after="100"/>
              <w:rPr>
                <w:rFonts w:eastAsia="Times New Roman"/>
                <w:sz w:val="20"/>
                <w:szCs w:val="20"/>
              </w:rPr>
            </w:pPr>
          </w:p>
        </w:tc>
        <w:tc>
          <w:tcPr>
            <w:tcW w:w="0" w:type="auto"/>
            <w:vAlign w:val="center"/>
            <w:hideMark/>
          </w:tcPr>
          <w:p w14:paraId="7111E0D8" w14:textId="77777777" w:rsidR="00000000" w:rsidRDefault="00A173A8">
            <w:pPr>
              <w:spacing w:after="100"/>
              <w:rPr>
                <w:rFonts w:eastAsia="Times New Roman"/>
                <w:sz w:val="20"/>
                <w:szCs w:val="20"/>
              </w:rPr>
            </w:pPr>
          </w:p>
        </w:tc>
        <w:tc>
          <w:tcPr>
            <w:tcW w:w="0" w:type="auto"/>
            <w:vAlign w:val="center"/>
            <w:hideMark/>
          </w:tcPr>
          <w:p w14:paraId="55EBA21F" w14:textId="77777777" w:rsidR="00000000" w:rsidRDefault="00A173A8">
            <w:pPr>
              <w:spacing w:after="100"/>
              <w:rPr>
                <w:rFonts w:eastAsia="Times New Roman"/>
                <w:sz w:val="20"/>
                <w:szCs w:val="20"/>
              </w:rPr>
            </w:pPr>
          </w:p>
        </w:tc>
      </w:tr>
    </w:tbl>
    <w:p w14:paraId="57406551" w14:textId="77777777" w:rsidR="00000000" w:rsidRDefault="00A173A8">
      <w:pPr>
        <w:jc w:val="both"/>
        <w:divId w:val="442265186"/>
        <w:rPr>
          <w:rFonts w:eastAsia="Times New Roman"/>
        </w:rPr>
      </w:pPr>
      <w:r>
        <w:rPr>
          <w:rFonts w:eastAsia="Times New Roman"/>
          <w:color w:val="000000"/>
          <w:sz w:val="20"/>
          <w:szCs w:val="20"/>
        </w:rPr>
        <w:t xml:space="preserve">The declaration </w:t>
      </w:r>
      <w:r>
        <w:rPr>
          <w:rFonts w:eastAsia="Times New Roman"/>
          <w:color w:val="000000"/>
          <w:sz w:val="20"/>
          <w:szCs w:val="20"/>
        </w:rPr>
        <w:t>and payment of dividends to our stockholders, as well as the amount thereof, are subject to the discretion of our Board of Directors and depend upon our results of operations, financial condition, capital levels, cash requirements, future prospects, regula</w:t>
      </w:r>
      <w:r>
        <w:rPr>
          <w:rFonts w:eastAsia="Times New Roman"/>
          <w:color w:val="000000"/>
          <w:sz w:val="20"/>
          <w:szCs w:val="20"/>
        </w:rPr>
        <w:t>tory requirements and other factors deemed relevant by the Board of Directors. As a BHC, our ability to pay dividends is largely dependent upon the receipt of dividends or other payments from our subsidiaries. The Banks are subject to regulatory restrictio</w:t>
      </w:r>
      <w:r>
        <w:rPr>
          <w:rFonts w:eastAsia="Times New Roman"/>
          <w:color w:val="000000"/>
          <w:sz w:val="20"/>
          <w:szCs w:val="20"/>
        </w:rPr>
        <w:t xml:space="preserve">ns that limit their ability to transfer funds to our BHC. As of June 30, 2022, funds available for dividend payments from COBNA and CONA were </w:t>
      </w:r>
      <w:r>
        <w:rPr>
          <w:rFonts w:eastAsia="Times New Roman"/>
          <w:color w:val="000000"/>
          <w:sz w:val="20"/>
          <w:szCs w:val="20"/>
          <w:shd w:val="clear" w:color="auto" w:fill="FFFFFF"/>
        </w:rPr>
        <w:t xml:space="preserve">$2.3 billion </w:t>
      </w:r>
      <w:r>
        <w:rPr>
          <w:rFonts w:eastAsia="Times New Roman"/>
          <w:color w:val="000000"/>
          <w:sz w:val="20"/>
          <w:szCs w:val="20"/>
        </w:rPr>
        <w:t xml:space="preserve">and </w:t>
      </w:r>
      <w:r>
        <w:rPr>
          <w:rFonts w:eastAsia="Times New Roman"/>
          <w:color w:val="000000"/>
          <w:sz w:val="20"/>
          <w:szCs w:val="20"/>
          <w:shd w:val="clear" w:color="auto" w:fill="FFFFFF"/>
        </w:rPr>
        <w:t>$530 million,</w:t>
      </w:r>
      <w:r>
        <w:rPr>
          <w:rFonts w:eastAsia="Times New Roman"/>
          <w:color w:val="000000"/>
          <w:sz w:val="20"/>
          <w:szCs w:val="20"/>
        </w:rPr>
        <w:t xml:space="preserve"> respectively. </w:t>
      </w:r>
      <w:r>
        <w:rPr>
          <w:rFonts w:eastAsia="Times New Roman"/>
          <w:color w:val="000000"/>
          <w:sz w:val="20"/>
          <w:szCs w:val="20"/>
          <w:shd w:val="clear" w:color="auto" w:fill="FFFFFF"/>
        </w:rPr>
        <w:t xml:space="preserve">There can be no assurance that we will declare and pay any dividends </w:t>
      </w:r>
      <w:r>
        <w:rPr>
          <w:rFonts w:eastAsia="Times New Roman"/>
          <w:color w:val="000000"/>
          <w:sz w:val="20"/>
          <w:szCs w:val="20"/>
          <w:shd w:val="clear" w:color="auto" w:fill="FFFFFF"/>
        </w:rPr>
        <w:t xml:space="preserve">to stockholders. </w:t>
      </w:r>
    </w:p>
    <w:p w14:paraId="5C7BCB7C" w14:textId="77777777" w:rsidR="00000000" w:rsidRDefault="00A173A8">
      <w:pPr>
        <w:jc w:val="both"/>
        <w:divId w:val="1080835168"/>
        <w:rPr>
          <w:rFonts w:eastAsia="Times New Roman"/>
        </w:rPr>
      </w:pPr>
      <w:r>
        <w:rPr>
          <w:rFonts w:eastAsia="Times New Roman"/>
          <w:color w:val="000000"/>
          <w:sz w:val="20"/>
          <w:szCs w:val="20"/>
        </w:rPr>
        <w:t xml:space="preserve">In January 2022, our Board of Directors authorized the repurchase of up to $5.0 billion of shares of our common stock. </w:t>
      </w:r>
      <w:r>
        <w:rPr>
          <w:rFonts w:eastAsia="Times New Roman"/>
          <w:color w:val="000000"/>
          <w:sz w:val="20"/>
          <w:szCs w:val="20"/>
          <w:shd w:val="clear" w:color="auto" w:fill="FFFFFF"/>
        </w:rPr>
        <w:t>We repurchased approximately $2.0 billion of shares of our common stock during the second quarter of 2022 and $4.4 bill</w:t>
      </w:r>
      <w:r>
        <w:rPr>
          <w:rFonts w:eastAsia="Times New Roman"/>
          <w:color w:val="000000"/>
          <w:sz w:val="20"/>
          <w:szCs w:val="20"/>
          <w:shd w:val="clear" w:color="auto" w:fill="FFFFFF"/>
        </w:rPr>
        <w:t>ion during the first six months of 2022.</w:t>
      </w:r>
      <w:r>
        <w:rPr>
          <w:rFonts w:eastAsia="Times New Roman"/>
          <w:color w:val="000000"/>
          <w:sz w:val="20"/>
          <w:szCs w:val="20"/>
        </w:rPr>
        <w:t xml:space="preserve"> In April 2022, our Board of Directors authorized the repurchase of up to an additional $5.0 billion of shares of our common stock beginning in the third quarter of 2022. </w:t>
      </w:r>
    </w:p>
    <w:p w14:paraId="143A45F1" w14:textId="77777777" w:rsidR="00000000" w:rsidRDefault="00A173A8">
      <w:pPr>
        <w:jc w:val="both"/>
        <w:divId w:val="1445231737"/>
        <w:rPr>
          <w:rFonts w:eastAsia="Times New Roman"/>
        </w:rPr>
      </w:pPr>
      <w:r>
        <w:rPr>
          <w:rFonts w:eastAsia="Times New Roman"/>
          <w:color w:val="000000"/>
          <w:sz w:val="20"/>
          <w:szCs w:val="20"/>
        </w:rPr>
        <w:t>The timing and exact amount of any future co</w:t>
      </w:r>
      <w:r>
        <w:rPr>
          <w:rFonts w:eastAsia="Times New Roman"/>
          <w:color w:val="000000"/>
          <w:sz w:val="20"/>
          <w:szCs w:val="20"/>
        </w:rPr>
        <w:t>mmon stock repurchases will depend on various factors, including regulatory approval, market conditions, opportunities for growth, our capital position and the amount of retained earnings. Our stock repurchase program does not include specific price target</w:t>
      </w:r>
      <w:r>
        <w:rPr>
          <w:rFonts w:eastAsia="Times New Roman"/>
          <w:color w:val="000000"/>
          <w:sz w:val="20"/>
          <w:szCs w:val="20"/>
        </w:rPr>
        <w:t>s, may be executed through open market purchases, tender offers, or privately negotiated transactions, including utilizing Rule 10b5-1 programs, and may be suspended at any time. For additional information on dividends and stock repurchases, see “MD&amp;A—Capi</w:t>
      </w:r>
      <w:r>
        <w:rPr>
          <w:rFonts w:eastAsia="Times New Roman"/>
          <w:color w:val="000000"/>
          <w:sz w:val="20"/>
          <w:szCs w:val="20"/>
        </w:rPr>
        <w:t>tal Management—Capital Planning and Regulatory Stress Testing” and “Part I—Item 1. Business—Supervision and Regulation—Dividends, Stock Repurchases and Transfers of Funds”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2183B37" w14:textId="77777777">
        <w:trPr>
          <w:divId w:val="349986817"/>
          <w:jc w:val="center"/>
        </w:trPr>
        <w:tc>
          <w:tcPr>
            <w:tcW w:w="50" w:type="pct"/>
            <w:vAlign w:val="center"/>
            <w:hideMark/>
          </w:tcPr>
          <w:p w14:paraId="1A99E5A0" w14:textId="77777777" w:rsidR="00000000" w:rsidRDefault="00A173A8">
            <w:pPr>
              <w:jc w:val="both"/>
              <w:rPr>
                <w:rFonts w:eastAsia="Times New Roman"/>
              </w:rPr>
            </w:pPr>
          </w:p>
        </w:tc>
        <w:tc>
          <w:tcPr>
            <w:tcW w:w="1606" w:type="pct"/>
            <w:vAlign w:val="center"/>
            <w:hideMark/>
          </w:tcPr>
          <w:p w14:paraId="1D0AF202" w14:textId="77777777" w:rsidR="00000000" w:rsidRDefault="00A173A8">
            <w:pPr>
              <w:spacing w:after="100"/>
              <w:rPr>
                <w:rFonts w:eastAsia="Times New Roman"/>
                <w:sz w:val="20"/>
                <w:szCs w:val="20"/>
              </w:rPr>
            </w:pPr>
          </w:p>
        </w:tc>
        <w:tc>
          <w:tcPr>
            <w:tcW w:w="5" w:type="pct"/>
            <w:vAlign w:val="center"/>
            <w:hideMark/>
          </w:tcPr>
          <w:p w14:paraId="47F30A1F" w14:textId="77777777" w:rsidR="00000000" w:rsidRDefault="00A173A8">
            <w:pPr>
              <w:spacing w:after="100"/>
              <w:rPr>
                <w:rFonts w:eastAsia="Times New Roman"/>
                <w:sz w:val="20"/>
                <w:szCs w:val="20"/>
              </w:rPr>
            </w:pPr>
          </w:p>
        </w:tc>
        <w:tc>
          <w:tcPr>
            <w:tcW w:w="50" w:type="pct"/>
            <w:vAlign w:val="center"/>
            <w:hideMark/>
          </w:tcPr>
          <w:p w14:paraId="51D82778" w14:textId="77777777" w:rsidR="00000000" w:rsidRDefault="00A173A8">
            <w:pPr>
              <w:spacing w:after="100"/>
              <w:rPr>
                <w:rFonts w:eastAsia="Times New Roman"/>
                <w:sz w:val="20"/>
                <w:szCs w:val="20"/>
              </w:rPr>
            </w:pPr>
          </w:p>
        </w:tc>
        <w:tc>
          <w:tcPr>
            <w:tcW w:w="1614" w:type="pct"/>
            <w:vAlign w:val="center"/>
            <w:hideMark/>
          </w:tcPr>
          <w:p w14:paraId="6C6F091F" w14:textId="77777777" w:rsidR="00000000" w:rsidRDefault="00A173A8">
            <w:pPr>
              <w:spacing w:after="100"/>
              <w:rPr>
                <w:rFonts w:eastAsia="Times New Roman"/>
                <w:sz w:val="20"/>
                <w:szCs w:val="20"/>
              </w:rPr>
            </w:pPr>
          </w:p>
        </w:tc>
        <w:tc>
          <w:tcPr>
            <w:tcW w:w="5" w:type="pct"/>
            <w:vAlign w:val="center"/>
            <w:hideMark/>
          </w:tcPr>
          <w:p w14:paraId="7ABDE4FE" w14:textId="77777777" w:rsidR="00000000" w:rsidRDefault="00A173A8">
            <w:pPr>
              <w:spacing w:after="100"/>
              <w:rPr>
                <w:rFonts w:eastAsia="Times New Roman"/>
                <w:sz w:val="20"/>
                <w:szCs w:val="20"/>
              </w:rPr>
            </w:pPr>
          </w:p>
        </w:tc>
        <w:tc>
          <w:tcPr>
            <w:tcW w:w="50" w:type="pct"/>
            <w:vAlign w:val="center"/>
            <w:hideMark/>
          </w:tcPr>
          <w:p w14:paraId="6206D27E" w14:textId="77777777" w:rsidR="00000000" w:rsidRDefault="00A173A8">
            <w:pPr>
              <w:spacing w:after="100"/>
              <w:rPr>
                <w:rFonts w:eastAsia="Times New Roman"/>
                <w:sz w:val="20"/>
                <w:szCs w:val="20"/>
              </w:rPr>
            </w:pPr>
          </w:p>
        </w:tc>
        <w:tc>
          <w:tcPr>
            <w:tcW w:w="1614" w:type="pct"/>
            <w:vAlign w:val="center"/>
            <w:hideMark/>
          </w:tcPr>
          <w:p w14:paraId="3AC60D1B" w14:textId="77777777" w:rsidR="00000000" w:rsidRDefault="00A173A8">
            <w:pPr>
              <w:spacing w:after="100"/>
              <w:rPr>
                <w:rFonts w:eastAsia="Times New Roman"/>
                <w:sz w:val="20"/>
                <w:szCs w:val="20"/>
              </w:rPr>
            </w:pPr>
          </w:p>
        </w:tc>
        <w:tc>
          <w:tcPr>
            <w:tcW w:w="5" w:type="pct"/>
            <w:vAlign w:val="center"/>
            <w:hideMark/>
          </w:tcPr>
          <w:p w14:paraId="5AF19CC6" w14:textId="77777777" w:rsidR="00000000" w:rsidRDefault="00A173A8">
            <w:pPr>
              <w:spacing w:after="100"/>
              <w:rPr>
                <w:rFonts w:eastAsia="Times New Roman"/>
                <w:sz w:val="20"/>
                <w:szCs w:val="20"/>
              </w:rPr>
            </w:pPr>
          </w:p>
        </w:tc>
      </w:tr>
      <w:tr w:rsidR="00000000" w14:paraId="19352FC7" w14:textId="77777777">
        <w:trPr>
          <w:divId w:val="349986817"/>
          <w:trHeight w:val="300"/>
          <w:jc w:val="center"/>
        </w:trPr>
        <w:tc>
          <w:tcPr>
            <w:tcW w:w="0" w:type="auto"/>
            <w:gridSpan w:val="9"/>
            <w:tcMar>
              <w:top w:w="0" w:type="dxa"/>
              <w:left w:w="20" w:type="dxa"/>
              <w:bottom w:w="0" w:type="dxa"/>
              <w:right w:w="20" w:type="dxa"/>
            </w:tcMar>
            <w:vAlign w:val="center"/>
            <w:hideMark/>
          </w:tcPr>
          <w:p w14:paraId="76A453F1" w14:textId="77777777" w:rsidR="00000000" w:rsidRDefault="00A173A8">
            <w:pPr>
              <w:spacing w:after="100"/>
              <w:rPr>
                <w:rFonts w:eastAsia="Times New Roman"/>
                <w:sz w:val="20"/>
                <w:szCs w:val="20"/>
              </w:rPr>
            </w:pPr>
          </w:p>
        </w:tc>
      </w:tr>
      <w:tr w:rsidR="00000000" w14:paraId="68B3B644" w14:textId="77777777">
        <w:trPr>
          <w:divId w:val="349986817"/>
          <w:jc w:val="center"/>
        </w:trPr>
        <w:tc>
          <w:tcPr>
            <w:tcW w:w="0" w:type="auto"/>
            <w:gridSpan w:val="3"/>
            <w:tcMar>
              <w:top w:w="0" w:type="dxa"/>
              <w:left w:w="20" w:type="dxa"/>
              <w:bottom w:w="0" w:type="dxa"/>
              <w:right w:w="20" w:type="dxa"/>
            </w:tcMar>
            <w:vAlign w:val="center"/>
            <w:hideMark/>
          </w:tcPr>
          <w:p w14:paraId="2876AD0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BD7AC51" w14:textId="77777777" w:rsidR="00000000" w:rsidRDefault="00A173A8">
            <w:pPr>
              <w:spacing w:after="100"/>
              <w:jc w:val="center"/>
              <w:rPr>
                <w:rFonts w:eastAsia="Times New Roman"/>
              </w:rPr>
            </w:pPr>
            <w:r>
              <w:rPr>
                <w:rFonts w:eastAsia="Times New Roman"/>
                <w:color w:val="000000"/>
                <w:sz w:val="16"/>
                <w:szCs w:val="16"/>
              </w:rPr>
              <w:t>33</w:t>
            </w:r>
          </w:p>
        </w:tc>
        <w:tc>
          <w:tcPr>
            <w:tcW w:w="0" w:type="auto"/>
            <w:gridSpan w:val="3"/>
            <w:tcMar>
              <w:top w:w="30" w:type="dxa"/>
              <w:left w:w="20" w:type="dxa"/>
              <w:bottom w:w="30" w:type="dxa"/>
              <w:right w:w="20" w:type="dxa"/>
            </w:tcMar>
            <w:vAlign w:val="bottom"/>
            <w:hideMark/>
          </w:tcPr>
          <w:p w14:paraId="4BFA9F07"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1645007" w14:textId="77777777" w:rsidR="00000000" w:rsidRDefault="00A173A8">
      <w:pPr>
        <w:rPr>
          <w:rFonts w:eastAsia="Times New Roman"/>
        </w:rPr>
      </w:pPr>
      <w:r>
        <w:rPr>
          <w:rFonts w:eastAsia="Times New Roman"/>
        </w:rPr>
        <w:pict w14:anchorId="2C0F5266">
          <v:rect id="_x0000_i1058" style="width:0;height:1.5pt" o:hralign="center" o:hrstd="t" o:hr="t" fillcolor="#a0a0a0" stroked="f"/>
        </w:pict>
      </w:r>
    </w:p>
    <w:p w14:paraId="105F0A04" w14:textId="77777777" w:rsidR="00000000" w:rsidRDefault="00A173A8">
      <w:pPr>
        <w:ind w:hanging="360"/>
        <w:jc w:val="both"/>
        <w:divId w:val="1402405936"/>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8D94D62" w14:textId="77777777">
        <w:trPr>
          <w:divId w:val="1681003159"/>
        </w:trPr>
        <w:tc>
          <w:tcPr>
            <w:tcW w:w="50" w:type="pct"/>
            <w:vAlign w:val="center"/>
            <w:hideMark/>
          </w:tcPr>
          <w:p w14:paraId="290FFD64" w14:textId="77777777" w:rsidR="00000000" w:rsidRDefault="00A173A8">
            <w:pPr>
              <w:ind w:hanging="360"/>
              <w:jc w:val="both"/>
              <w:rPr>
                <w:rFonts w:eastAsia="Times New Roman"/>
              </w:rPr>
            </w:pPr>
          </w:p>
        </w:tc>
        <w:tc>
          <w:tcPr>
            <w:tcW w:w="4945" w:type="pct"/>
            <w:vAlign w:val="center"/>
            <w:hideMark/>
          </w:tcPr>
          <w:p w14:paraId="6578B92C" w14:textId="77777777" w:rsidR="00000000" w:rsidRDefault="00A173A8">
            <w:pPr>
              <w:spacing w:after="100"/>
              <w:rPr>
                <w:rFonts w:eastAsia="Times New Roman"/>
                <w:sz w:val="20"/>
                <w:szCs w:val="20"/>
              </w:rPr>
            </w:pPr>
          </w:p>
        </w:tc>
        <w:tc>
          <w:tcPr>
            <w:tcW w:w="5" w:type="pct"/>
            <w:vAlign w:val="center"/>
            <w:hideMark/>
          </w:tcPr>
          <w:p w14:paraId="6364B0A3" w14:textId="77777777" w:rsidR="00000000" w:rsidRDefault="00A173A8">
            <w:pPr>
              <w:spacing w:after="100"/>
              <w:rPr>
                <w:rFonts w:eastAsia="Times New Roman"/>
                <w:sz w:val="20"/>
                <w:szCs w:val="20"/>
              </w:rPr>
            </w:pPr>
          </w:p>
        </w:tc>
      </w:tr>
      <w:tr w:rsidR="00000000" w14:paraId="7D6F6048" w14:textId="77777777">
        <w:trPr>
          <w:divId w:val="1681003159"/>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14:paraId="337A7F38" w14:textId="77777777" w:rsidR="00000000" w:rsidRDefault="00A173A8">
            <w:pPr>
              <w:spacing w:after="100"/>
              <w:rPr>
                <w:rFonts w:eastAsia="Times New Roman"/>
              </w:rPr>
            </w:pPr>
            <w:r>
              <w:rPr>
                <w:rFonts w:eastAsia="Times New Roman"/>
                <w:b/>
                <w:bCs/>
                <w:color w:val="000000"/>
                <w:sz w:val="20"/>
                <w:szCs w:val="20"/>
              </w:rPr>
              <w:t>RISK MANAGEMENT</w:t>
            </w:r>
          </w:p>
        </w:tc>
      </w:tr>
    </w:tbl>
    <w:p w14:paraId="34CD9B4D" w14:textId="77777777" w:rsidR="00000000" w:rsidRDefault="00A173A8">
      <w:pPr>
        <w:divId w:val="951518772"/>
        <w:rPr>
          <w:rFonts w:eastAsia="Times New Roman"/>
        </w:rPr>
      </w:pPr>
      <w:r>
        <w:rPr>
          <w:rFonts w:eastAsia="Times New Roman"/>
          <w:b/>
          <w:bCs/>
          <w:color w:val="000000"/>
          <w:sz w:val="20"/>
          <w:szCs w:val="20"/>
        </w:rPr>
        <w:t>Risk Management Framework</w:t>
      </w:r>
    </w:p>
    <w:p w14:paraId="4ECB973D" w14:textId="77777777" w:rsidR="00000000" w:rsidRDefault="00A173A8">
      <w:pPr>
        <w:jc w:val="both"/>
        <w:divId w:val="211770520"/>
        <w:rPr>
          <w:rFonts w:eastAsia="Times New Roman"/>
        </w:rPr>
      </w:pPr>
      <w:r>
        <w:rPr>
          <w:rFonts w:eastAsia="Times New Roman"/>
          <w:color w:val="000000"/>
          <w:sz w:val="20"/>
          <w:szCs w:val="20"/>
        </w:rPr>
        <w:t>Our Risk Management Framework (the “Framework”) sets consistent expectations for risk management across the Company. It also sets expectations for our “Three Lines of Defense” model, which defines the roles, responsibilities and accountabilities for taking</w:t>
      </w:r>
      <w:r>
        <w:rPr>
          <w:rFonts w:eastAsia="Times New Roman"/>
          <w:color w:val="000000"/>
          <w:sz w:val="20"/>
          <w:szCs w:val="20"/>
        </w:rPr>
        <w:t xml:space="preserve"> and managing risk across the Company. Accountability for overseeing an effective Framework resides with our Board of Directors either directly or through its committees. </w:t>
      </w:r>
    </w:p>
    <w:p w14:paraId="7375D6D3" w14:textId="77777777" w:rsidR="00000000" w:rsidRDefault="00A173A8">
      <w:pPr>
        <w:jc w:val="both"/>
        <w:divId w:val="1524243545"/>
        <w:rPr>
          <w:rFonts w:eastAsia="Times New Roman"/>
        </w:rPr>
      </w:pPr>
      <w:r>
        <w:rPr>
          <w:rFonts w:eastAsia="Times New Roman"/>
          <w:color w:val="000000"/>
          <w:sz w:val="20"/>
          <w:szCs w:val="20"/>
        </w:rPr>
        <w:t xml:space="preserve">The “First Line of Defense” </w:t>
      </w:r>
      <w:r>
        <w:rPr>
          <w:rFonts w:eastAsia="Times New Roman"/>
          <w:color w:val="000000"/>
          <w:sz w:val="20"/>
          <w:szCs w:val="20"/>
        </w:rPr>
        <w:t>consists of any line of business or function that is accountable for risk taking and is responsible for: (i) engaging in activities designed to generate revenue or reduce expenses; (ii) providing operational support or servicing to any business function fo</w:t>
      </w:r>
      <w:r>
        <w:rPr>
          <w:rFonts w:eastAsia="Times New Roman"/>
          <w:color w:val="000000"/>
          <w:sz w:val="20"/>
          <w:szCs w:val="20"/>
        </w:rPr>
        <w:t>r the delivery of products or services to customers; or (iii) providing technology services in direct support of first line business areas. Each line of business or first line function is responsible for managing the risks associated with their activities,</w:t>
      </w:r>
      <w:r>
        <w:rPr>
          <w:rFonts w:eastAsia="Times New Roman"/>
          <w:color w:val="000000"/>
          <w:sz w:val="20"/>
          <w:szCs w:val="20"/>
        </w:rPr>
        <w:t xml:space="preserve"> including identifying, assessing, measuring, monitoring, controlling and reporting the risks within its business activities, consistent with the risk framework. The “Second Line of Defense” consists of two types of functions: Independent Risk Management (</w:t>
      </w:r>
      <w:r>
        <w:rPr>
          <w:rFonts w:eastAsia="Times New Roman"/>
          <w:color w:val="000000"/>
          <w:sz w:val="20"/>
          <w:szCs w:val="20"/>
        </w:rPr>
        <w:t>“IRM”) and Support Functions. IRM oversees risk-taking activities and assesses risks and issues independent from the first line of defense. Support Functions are centers of specialized expertise (e.g., Human Resources, Accounting, Legal) that provide suppo</w:t>
      </w:r>
      <w:r>
        <w:rPr>
          <w:rFonts w:eastAsia="Times New Roman"/>
          <w:color w:val="000000"/>
          <w:sz w:val="20"/>
          <w:szCs w:val="20"/>
        </w:rPr>
        <w:t>rt services to the Company. The “Third Line of Defense” is comprised of the Internal Audit and Credit Review functions. The third line provides independent and objective assurance to senior management and to the Board of Directors that the first and second</w:t>
      </w:r>
      <w:r>
        <w:rPr>
          <w:rFonts w:eastAsia="Times New Roman"/>
          <w:color w:val="000000"/>
          <w:sz w:val="20"/>
          <w:szCs w:val="20"/>
        </w:rPr>
        <w:t xml:space="preserve"> lines of defense have systems and governance processes which are well-designed and working as intended, and that the Framework is appropriate for our size, complexity and risk profile. </w:t>
      </w:r>
    </w:p>
    <w:p w14:paraId="0ABF4A6D" w14:textId="77777777" w:rsidR="00000000" w:rsidRDefault="00A173A8">
      <w:pPr>
        <w:jc w:val="both"/>
        <w:divId w:val="47459980"/>
        <w:rPr>
          <w:rFonts w:eastAsia="Times New Roman"/>
        </w:rPr>
      </w:pPr>
      <w:r>
        <w:rPr>
          <w:rFonts w:eastAsia="Times New Roman"/>
          <w:color w:val="000000"/>
          <w:sz w:val="20"/>
          <w:szCs w:val="20"/>
        </w:rPr>
        <w:t xml:space="preserve">Our Framework consists of the following nine elements: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7"/>
        <w:gridCol w:w="37"/>
        <w:gridCol w:w="37"/>
        <w:gridCol w:w="37"/>
        <w:gridCol w:w="46"/>
        <w:gridCol w:w="1903"/>
        <w:gridCol w:w="36"/>
        <w:gridCol w:w="36"/>
        <w:gridCol w:w="36"/>
        <w:gridCol w:w="36"/>
        <w:gridCol w:w="40"/>
        <w:gridCol w:w="1912"/>
        <w:gridCol w:w="36"/>
        <w:gridCol w:w="36"/>
        <w:gridCol w:w="36"/>
        <w:gridCol w:w="36"/>
        <w:gridCol w:w="43"/>
        <w:gridCol w:w="1909"/>
        <w:gridCol w:w="36"/>
      </w:tblGrid>
      <w:tr w:rsidR="00000000" w14:paraId="10532A2A" w14:textId="77777777">
        <w:trPr>
          <w:divId w:val="374307887"/>
        </w:trPr>
        <w:tc>
          <w:tcPr>
            <w:tcW w:w="50" w:type="pct"/>
            <w:vAlign w:val="center"/>
            <w:hideMark/>
          </w:tcPr>
          <w:p w14:paraId="6796EF1E" w14:textId="77777777" w:rsidR="00000000" w:rsidRDefault="00A173A8">
            <w:pPr>
              <w:jc w:val="both"/>
              <w:rPr>
                <w:rFonts w:eastAsia="Times New Roman"/>
              </w:rPr>
            </w:pPr>
          </w:p>
        </w:tc>
        <w:tc>
          <w:tcPr>
            <w:tcW w:w="1167" w:type="pct"/>
            <w:vAlign w:val="center"/>
            <w:hideMark/>
          </w:tcPr>
          <w:p w14:paraId="24604298" w14:textId="77777777" w:rsidR="00000000" w:rsidRDefault="00A173A8">
            <w:pPr>
              <w:spacing w:after="100"/>
              <w:rPr>
                <w:rFonts w:eastAsia="Times New Roman"/>
                <w:sz w:val="20"/>
                <w:szCs w:val="20"/>
              </w:rPr>
            </w:pPr>
          </w:p>
        </w:tc>
        <w:tc>
          <w:tcPr>
            <w:tcW w:w="5" w:type="pct"/>
            <w:vAlign w:val="center"/>
            <w:hideMark/>
          </w:tcPr>
          <w:p w14:paraId="1BE77BE4" w14:textId="77777777" w:rsidR="00000000" w:rsidRDefault="00A173A8">
            <w:pPr>
              <w:spacing w:after="100"/>
              <w:rPr>
                <w:rFonts w:eastAsia="Times New Roman"/>
                <w:sz w:val="20"/>
                <w:szCs w:val="20"/>
              </w:rPr>
            </w:pPr>
          </w:p>
        </w:tc>
        <w:tc>
          <w:tcPr>
            <w:tcW w:w="5" w:type="pct"/>
            <w:vAlign w:val="center"/>
            <w:hideMark/>
          </w:tcPr>
          <w:p w14:paraId="1A8895EC" w14:textId="77777777" w:rsidR="00000000" w:rsidRDefault="00A173A8">
            <w:pPr>
              <w:spacing w:after="100"/>
              <w:rPr>
                <w:rFonts w:eastAsia="Times New Roman"/>
                <w:sz w:val="20"/>
                <w:szCs w:val="20"/>
              </w:rPr>
            </w:pPr>
          </w:p>
        </w:tc>
        <w:tc>
          <w:tcPr>
            <w:tcW w:w="26" w:type="pct"/>
            <w:vAlign w:val="center"/>
            <w:hideMark/>
          </w:tcPr>
          <w:p w14:paraId="04EC4C24" w14:textId="77777777" w:rsidR="00000000" w:rsidRDefault="00A173A8">
            <w:pPr>
              <w:spacing w:after="100"/>
              <w:rPr>
                <w:rFonts w:eastAsia="Times New Roman"/>
                <w:sz w:val="20"/>
                <w:szCs w:val="20"/>
              </w:rPr>
            </w:pPr>
          </w:p>
        </w:tc>
        <w:tc>
          <w:tcPr>
            <w:tcW w:w="5" w:type="pct"/>
            <w:vAlign w:val="center"/>
            <w:hideMark/>
          </w:tcPr>
          <w:p w14:paraId="7831A68A" w14:textId="77777777" w:rsidR="00000000" w:rsidRDefault="00A173A8">
            <w:pPr>
              <w:spacing w:after="100"/>
              <w:rPr>
                <w:rFonts w:eastAsia="Times New Roman"/>
                <w:sz w:val="20"/>
                <w:szCs w:val="20"/>
              </w:rPr>
            </w:pPr>
          </w:p>
        </w:tc>
        <w:tc>
          <w:tcPr>
            <w:tcW w:w="50" w:type="pct"/>
            <w:vAlign w:val="center"/>
            <w:hideMark/>
          </w:tcPr>
          <w:p w14:paraId="23CEF572" w14:textId="77777777" w:rsidR="00000000" w:rsidRDefault="00A173A8">
            <w:pPr>
              <w:spacing w:after="100"/>
              <w:rPr>
                <w:rFonts w:eastAsia="Times New Roman"/>
                <w:sz w:val="20"/>
                <w:szCs w:val="20"/>
              </w:rPr>
            </w:pPr>
          </w:p>
        </w:tc>
        <w:tc>
          <w:tcPr>
            <w:tcW w:w="1167" w:type="pct"/>
            <w:vAlign w:val="center"/>
            <w:hideMark/>
          </w:tcPr>
          <w:p w14:paraId="55AACCE3" w14:textId="77777777" w:rsidR="00000000" w:rsidRDefault="00A173A8">
            <w:pPr>
              <w:spacing w:after="100"/>
              <w:rPr>
                <w:rFonts w:eastAsia="Times New Roman"/>
                <w:sz w:val="20"/>
                <w:szCs w:val="20"/>
              </w:rPr>
            </w:pPr>
          </w:p>
        </w:tc>
        <w:tc>
          <w:tcPr>
            <w:tcW w:w="5" w:type="pct"/>
            <w:vAlign w:val="center"/>
            <w:hideMark/>
          </w:tcPr>
          <w:p w14:paraId="1482FC54" w14:textId="77777777" w:rsidR="00000000" w:rsidRDefault="00A173A8">
            <w:pPr>
              <w:spacing w:after="100"/>
              <w:rPr>
                <w:rFonts w:eastAsia="Times New Roman"/>
                <w:sz w:val="20"/>
                <w:szCs w:val="20"/>
              </w:rPr>
            </w:pPr>
          </w:p>
        </w:tc>
        <w:tc>
          <w:tcPr>
            <w:tcW w:w="5" w:type="pct"/>
            <w:vAlign w:val="center"/>
            <w:hideMark/>
          </w:tcPr>
          <w:p w14:paraId="0016F085" w14:textId="77777777" w:rsidR="00000000" w:rsidRDefault="00A173A8">
            <w:pPr>
              <w:spacing w:after="100"/>
              <w:rPr>
                <w:rFonts w:eastAsia="Times New Roman"/>
                <w:sz w:val="20"/>
                <w:szCs w:val="20"/>
              </w:rPr>
            </w:pPr>
          </w:p>
        </w:tc>
        <w:tc>
          <w:tcPr>
            <w:tcW w:w="26" w:type="pct"/>
            <w:vAlign w:val="center"/>
            <w:hideMark/>
          </w:tcPr>
          <w:p w14:paraId="0B15D52B" w14:textId="77777777" w:rsidR="00000000" w:rsidRDefault="00A173A8">
            <w:pPr>
              <w:spacing w:after="100"/>
              <w:rPr>
                <w:rFonts w:eastAsia="Times New Roman"/>
                <w:sz w:val="20"/>
                <w:szCs w:val="20"/>
              </w:rPr>
            </w:pPr>
          </w:p>
        </w:tc>
        <w:tc>
          <w:tcPr>
            <w:tcW w:w="5" w:type="pct"/>
            <w:vAlign w:val="center"/>
            <w:hideMark/>
          </w:tcPr>
          <w:p w14:paraId="5F9F8499" w14:textId="77777777" w:rsidR="00000000" w:rsidRDefault="00A173A8">
            <w:pPr>
              <w:spacing w:after="100"/>
              <w:rPr>
                <w:rFonts w:eastAsia="Times New Roman"/>
                <w:sz w:val="20"/>
                <w:szCs w:val="20"/>
              </w:rPr>
            </w:pPr>
          </w:p>
        </w:tc>
        <w:tc>
          <w:tcPr>
            <w:tcW w:w="50" w:type="pct"/>
            <w:vAlign w:val="center"/>
            <w:hideMark/>
          </w:tcPr>
          <w:p w14:paraId="05AECF00" w14:textId="77777777" w:rsidR="00000000" w:rsidRDefault="00A173A8">
            <w:pPr>
              <w:spacing w:after="100"/>
              <w:rPr>
                <w:rFonts w:eastAsia="Times New Roman"/>
                <w:sz w:val="20"/>
                <w:szCs w:val="20"/>
              </w:rPr>
            </w:pPr>
          </w:p>
        </w:tc>
        <w:tc>
          <w:tcPr>
            <w:tcW w:w="1167" w:type="pct"/>
            <w:vAlign w:val="center"/>
            <w:hideMark/>
          </w:tcPr>
          <w:p w14:paraId="1E47E61A" w14:textId="77777777" w:rsidR="00000000" w:rsidRDefault="00A173A8">
            <w:pPr>
              <w:spacing w:after="100"/>
              <w:rPr>
                <w:rFonts w:eastAsia="Times New Roman"/>
                <w:sz w:val="20"/>
                <w:szCs w:val="20"/>
              </w:rPr>
            </w:pPr>
          </w:p>
        </w:tc>
        <w:tc>
          <w:tcPr>
            <w:tcW w:w="5" w:type="pct"/>
            <w:vAlign w:val="center"/>
            <w:hideMark/>
          </w:tcPr>
          <w:p w14:paraId="475348A3" w14:textId="77777777" w:rsidR="00000000" w:rsidRDefault="00A173A8">
            <w:pPr>
              <w:spacing w:after="100"/>
              <w:rPr>
                <w:rFonts w:eastAsia="Times New Roman"/>
                <w:sz w:val="20"/>
                <w:szCs w:val="20"/>
              </w:rPr>
            </w:pPr>
          </w:p>
        </w:tc>
        <w:tc>
          <w:tcPr>
            <w:tcW w:w="5" w:type="pct"/>
            <w:vAlign w:val="center"/>
            <w:hideMark/>
          </w:tcPr>
          <w:p w14:paraId="61168335" w14:textId="77777777" w:rsidR="00000000" w:rsidRDefault="00A173A8">
            <w:pPr>
              <w:spacing w:after="100"/>
              <w:rPr>
                <w:rFonts w:eastAsia="Times New Roman"/>
                <w:sz w:val="20"/>
                <w:szCs w:val="20"/>
              </w:rPr>
            </w:pPr>
          </w:p>
        </w:tc>
        <w:tc>
          <w:tcPr>
            <w:tcW w:w="26" w:type="pct"/>
            <w:vAlign w:val="center"/>
            <w:hideMark/>
          </w:tcPr>
          <w:p w14:paraId="37B47AF8" w14:textId="77777777" w:rsidR="00000000" w:rsidRDefault="00A173A8">
            <w:pPr>
              <w:spacing w:after="100"/>
              <w:rPr>
                <w:rFonts w:eastAsia="Times New Roman"/>
                <w:sz w:val="20"/>
                <w:szCs w:val="20"/>
              </w:rPr>
            </w:pPr>
          </w:p>
        </w:tc>
        <w:tc>
          <w:tcPr>
            <w:tcW w:w="5" w:type="pct"/>
            <w:vAlign w:val="center"/>
            <w:hideMark/>
          </w:tcPr>
          <w:p w14:paraId="21DE5975" w14:textId="77777777" w:rsidR="00000000" w:rsidRDefault="00A173A8">
            <w:pPr>
              <w:spacing w:after="100"/>
              <w:rPr>
                <w:rFonts w:eastAsia="Times New Roman"/>
                <w:sz w:val="20"/>
                <w:szCs w:val="20"/>
              </w:rPr>
            </w:pPr>
          </w:p>
        </w:tc>
        <w:tc>
          <w:tcPr>
            <w:tcW w:w="50" w:type="pct"/>
            <w:vAlign w:val="center"/>
            <w:hideMark/>
          </w:tcPr>
          <w:p w14:paraId="6A1A9D6A" w14:textId="77777777" w:rsidR="00000000" w:rsidRDefault="00A173A8">
            <w:pPr>
              <w:spacing w:after="100"/>
              <w:rPr>
                <w:rFonts w:eastAsia="Times New Roman"/>
                <w:sz w:val="20"/>
                <w:szCs w:val="20"/>
              </w:rPr>
            </w:pPr>
          </w:p>
        </w:tc>
        <w:tc>
          <w:tcPr>
            <w:tcW w:w="1167" w:type="pct"/>
            <w:vAlign w:val="center"/>
            <w:hideMark/>
          </w:tcPr>
          <w:p w14:paraId="1A15E964" w14:textId="77777777" w:rsidR="00000000" w:rsidRDefault="00A173A8">
            <w:pPr>
              <w:spacing w:after="100"/>
              <w:rPr>
                <w:rFonts w:eastAsia="Times New Roman"/>
                <w:sz w:val="20"/>
                <w:szCs w:val="20"/>
              </w:rPr>
            </w:pPr>
          </w:p>
        </w:tc>
        <w:tc>
          <w:tcPr>
            <w:tcW w:w="5" w:type="pct"/>
            <w:vAlign w:val="center"/>
            <w:hideMark/>
          </w:tcPr>
          <w:p w14:paraId="55A75ACC" w14:textId="77777777" w:rsidR="00000000" w:rsidRDefault="00A173A8">
            <w:pPr>
              <w:spacing w:after="100"/>
              <w:rPr>
                <w:rFonts w:eastAsia="Times New Roman"/>
                <w:sz w:val="20"/>
                <w:szCs w:val="20"/>
              </w:rPr>
            </w:pPr>
          </w:p>
        </w:tc>
      </w:tr>
      <w:tr w:rsidR="00000000" w14:paraId="1D85A83C" w14:textId="77777777">
        <w:trPr>
          <w:divId w:val="374307887"/>
        </w:trPr>
        <w:tc>
          <w:tcPr>
            <w:tcW w:w="0" w:type="auto"/>
            <w:gridSpan w:val="21"/>
            <w:shd w:val="clear" w:color="auto" w:fill="004977"/>
            <w:tcMar>
              <w:top w:w="30" w:type="dxa"/>
              <w:left w:w="20" w:type="dxa"/>
              <w:bottom w:w="30" w:type="dxa"/>
              <w:right w:w="20" w:type="dxa"/>
            </w:tcMar>
            <w:vAlign w:val="center"/>
            <w:hideMark/>
          </w:tcPr>
          <w:p w14:paraId="61854FDE" w14:textId="77777777" w:rsidR="00000000" w:rsidRDefault="00A173A8">
            <w:pPr>
              <w:spacing w:after="100"/>
              <w:jc w:val="center"/>
              <w:rPr>
                <w:rFonts w:eastAsia="Times New Roman"/>
              </w:rPr>
            </w:pPr>
          </w:p>
          <w:p w14:paraId="5255E3D8" w14:textId="77777777" w:rsidR="00000000" w:rsidRDefault="00A173A8">
            <w:pPr>
              <w:spacing w:after="100"/>
              <w:jc w:val="center"/>
              <w:rPr>
                <w:rFonts w:eastAsia="Times New Roman"/>
              </w:rPr>
            </w:pPr>
            <w:r>
              <w:rPr>
                <w:rFonts w:eastAsia="Times New Roman"/>
                <w:b/>
                <w:bCs/>
                <w:color w:val="FFFFFF"/>
                <w:sz w:val="18"/>
                <w:szCs w:val="18"/>
              </w:rPr>
              <w:t> Governance and Accountability</w:t>
            </w:r>
          </w:p>
          <w:p w14:paraId="4412BA66" w14:textId="77777777" w:rsidR="00000000" w:rsidRDefault="00A173A8">
            <w:pPr>
              <w:spacing w:after="100"/>
              <w:jc w:val="center"/>
              <w:rPr>
                <w:rFonts w:eastAsia="Times New Roman"/>
              </w:rPr>
            </w:pPr>
          </w:p>
        </w:tc>
      </w:tr>
      <w:tr w:rsidR="00000000" w14:paraId="5DBBBE27" w14:textId="77777777">
        <w:trPr>
          <w:divId w:val="374307887"/>
          <w:trHeight w:val="60"/>
        </w:trPr>
        <w:tc>
          <w:tcPr>
            <w:tcW w:w="0" w:type="auto"/>
            <w:gridSpan w:val="21"/>
            <w:tcMar>
              <w:top w:w="0" w:type="dxa"/>
              <w:left w:w="20" w:type="dxa"/>
              <w:bottom w:w="0" w:type="dxa"/>
              <w:right w:w="20" w:type="dxa"/>
            </w:tcMar>
            <w:vAlign w:val="center"/>
            <w:hideMark/>
          </w:tcPr>
          <w:p w14:paraId="2B93BCB9" w14:textId="77777777" w:rsidR="00000000" w:rsidRDefault="00A173A8">
            <w:pPr>
              <w:spacing w:after="100"/>
              <w:jc w:val="center"/>
              <w:rPr>
                <w:rFonts w:eastAsia="Times New Roman"/>
              </w:rPr>
            </w:pPr>
          </w:p>
        </w:tc>
      </w:tr>
      <w:tr w:rsidR="00000000" w14:paraId="6721E881" w14:textId="77777777">
        <w:trPr>
          <w:divId w:val="374307887"/>
        </w:trPr>
        <w:tc>
          <w:tcPr>
            <w:tcW w:w="0" w:type="auto"/>
            <w:gridSpan w:val="21"/>
            <w:shd w:val="clear" w:color="auto" w:fill="004977"/>
            <w:tcMar>
              <w:top w:w="30" w:type="dxa"/>
              <w:left w:w="20" w:type="dxa"/>
              <w:bottom w:w="30" w:type="dxa"/>
              <w:right w:w="20" w:type="dxa"/>
            </w:tcMar>
            <w:vAlign w:val="center"/>
            <w:hideMark/>
          </w:tcPr>
          <w:p w14:paraId="067AB9CF" w14:textId="77777777" w:rsidR="00000000" w:rsidRDefault="00A173A8">
            <w:pPr>
              <w:spacing w:after="100"/>
              <w:jc w:val="center"/>
              <w:rPr>
                <w:rFonts w:eastAsia="Times New Roman"/>
              </w:rPr>
            </w:pPr>
          </w:p>
          <w:p w14:paraId="2D36F34C" w14:textId="77777777" w:rsidR="00000000" w:rsidRDefault="00A173A8">
            <w:pPr>
              <w:spacing w:after="100"/>
              <w:jc w:val="center"/>
              <w:rPr>
                <w:rFonts w:eastAsia="Times New Roman"/>
              </w:rPr>
            </w:pPr>
            <w:r>
              <w:rPr>
                <w:rFonts w:eastAsia="Times New Roman"/>
                <w:b/>
                <w:bCs/>
                <w:color w:val="FFFFFF"/>
                <w:sz w:val="18"/>
                <w:szCs w:val="18"/>
              </w:rPr>
              <w:t>Strategy and Risk Alignment</w:t>
            </w:r>
          </w:p>
          <w:p w14:paraId="30206DD2" w14:textId="77777777" w:rsidR="00000000" w:rsidRDefault="00A173A8">
            <w:pPr>
              <w:spacing w:after="100"/>
              <w:jc w:val="center"/>
              <w:rPr>
                <w:rFonts w:eastAsia="Times New Roman"/>
              </w:rPr>
            </w:pPr>
          </w:p>
        </w:tc>
      </w:tr>
      <w:tr w:rsidR="00000000" w14:paraId="51891154" w14:textId="77777777">
        <w:trPr>
          <w:divId w:val="374307887"/>
          <w:trHeight w:val="60"/>
        </w:trPr>
        <w:tc>
          <w:tcPr>
            <w:tcW w:w="0" w:type="auto"/>
            <w:gridSpan w:val="3"/>
            <w:tcMar>
              <w:top w:w="0" w:type="dxa"/>
              <w:left w:w="20" w:type="dxa"/>
              <w:bottom w:w="0" w:type="dxa"/>
              <w:right w:w="20" w:type="dxa"/>
            </w:tcMar>
            <w:vAlign w:val="center"/>
            <w:hideMark/>
          </w:tcPr>
          <w:p w14:paraId="1AE18730"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90C0C9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4CA426"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4219B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E1B8D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7C890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A301CE" w14:textId="77777777" w:rsidR="00000000" w:rsidRDefault="00A173A8">
            <w:pPr>
              <w:spacing w:after="100"/>
              <w:rPr>
                <w:rFonts w:eastAsia="Times New Roman"/>
                <w:sz w:val="20"/>
                <w:szCs w:val="20"/>
              </w:rPr>
            </w:pPr>
          </w:p>
        </w:tc>
      </w:tr>
      <w:tr w:rsidR="00000000" w14:paraId="02521B89" w14:textId="77777777">
        <w:trPr>
          <w:divId w:val="374307887"/>
        </w:trPr>
        <w:tc>
          <w:tcPr>
            <w:tcW w:w="0" w:type="auto"/>
            <w:gridSpan w:val="3"/>
            <w:shd w:val="clear" w:color="auto" w:fill="004977"/>
            <w:tcMar>
              <w:top w:w="30" w:type="dxa"/>
              <w:left w:w="20" w:type="dxa"/>
              <w:bottom w:w="30" w:type="dxa"/>
              <w:right w:w="20" w:type="dxa"/>
            </w:tcMar>
            <w:vAlign w:val="center"/>
            <w:hideMark/>
          </w:tcPr>
          <w:p w14:paraId="126AA706" w14:textId="77777777" w:rsidR="00000000" w:rsidRDefault="00A173A8">
            <w:pPr>
              <w:spacing w:after="100"/>
              <w:jc w:val="center"/>
              <w:rPr>
                <w:rFonts w:eastAsia="Times New Roman"/>
              </w:rPr>
            </w:pPr>
            <w:r>
              <w:rPr>
                <w:rFonts w:eastAsia="Times New Roman"/>
                <w:b/>
                <w:bCs/>
                <w:sz w:val="18"/>
                <w:szCs w:val="18"/>
              </w:rPr>
              <w:br/>
            </w:r>
            <w:r>
              <w:rPr>
                <w:rFonts w:eastAsia="Times New Roman"/>
                <w:b/>
                <w:bCs/>
                <w:color w:val="FFFFFF"/>
                <w:sz w:val="18"/>
                <w:szCs w:val="18"/>
              </w:rPr>
              <w:t>Risk Identification</w:t>
            </w:r>
          </w:p>
        </w:tc>
        <w:tc>
          <w:tcPr>
            <w:tcW w:w="0" w:type="auto"/>
            <w:gridSpan w:val="3"/>
            <w:tcMar>
              <w:top w:w="0" w:type="dxa"/>
              <w:left w:w="20" w:type="dxa"/>
              <w:bottom w:w="0" w:type="dxa"/>
              <w:right w:w="20" w:type="dxa"/>
            </w:tcMar>
            <w:vAlign w:val="center"/>
            <w:hideMark/>
          </w:tcPr>
          <w:p w14:paraId="20964D0D" w14:textId="77777777" w:rsidR="00000000" w:rsidRDefault="00A173A8">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14:paraId="4116A438" w14:textId="77777777" w:rsidR="00000000" w:rsidRDefault="00A173A8">
            <w:pPr>
              <w:spacing w:after="100"/>
              <w:jc w:val="center"/>
              <w:rPr>
                <w:rFonts w:eastAsia="Times New Roman"/>
              </w:rPr>
            </w:pPr>
          </w:p>
          <w:p w14:paraId="1CA6D089" w14:textId="77777777" w:rsidR="00000000" w:rsidRDefault="00A173A8">
            <w:pPr>
              <w:spacing w:after="100"/>
              <w:jc w:val="center"/>
              <w:rPr>
                <w:rFonts w:eastAsia="Times New Roman"/>
              </w:rPr>
            </w:pPr>
            <w:r>
              <w:rPr>
                <w:rFonts w:eastAsia="Times New Roman"/>
                <w:b/>
                <w:bCs/>
                <w:color w:val="FFFFFF"/>
                <w:sz w:val="18"/>
                <w:szCs w:val="18"/>
              </w:rPr>
              <w:t>Assessment, Measurement</w:t>
            </w:r>
          </w:p>
          <w:p w14:paraId="469AE997" w14:textId="77777777" w:rsidR="00000000" w:rsidRDefault="00A173A8">
            <w:pPr>
              <w:spacing w:after="100"/>
              <w:jc w:val="center"/>
              <w:rPr>
                <w:rFonts w:eastAsia="Times New Roman"/>
              </w:rPr>
            </w:pPr>
            <w:r>
              <w:rPr>
                <w:rFonts w:eastAsia="Times New Roman"/>
                <w:b/>
                <w:bCs/>
                <w:color w:val="FFFFFF"/>
                <w:sz w:val="18"/>
                <w:szCs w:val="18"/>
              </w:rPr>
              <w:t>and Response</w:t>
            </w:r>
          </w:p>
          <w:p w14:paraId="40002D2F"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1D22A0E" w14:textId="77777777" w:rsidR="00000000" w:rsidRDefault="00A173A8">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14:paraId="56A44DF3" w14:textId="77777777" w:rsidR="00000000" w:rsidRDefault="00A173A8">
            <w:pPr>
              <w:spacing w:after="100"/>
              <w:jc w:val="center"/>
              <w:rPr>
                <w:rFonts w:eastAsia="Times New Roman"/>
              </w:rPr>
            </w:pPr>
          </w:p>
          <w:p w14:paraId="784F4E92" w14:textId="77777777" w:rsidR="00000000" w:rsidRDefault="00A173A8">
            <w:pPr>
              <w:spacing w:after="100"/>
              <w:jc w:val="center"/>
              <w:rPr>
                <w:rFonts w:eastAsia="Times New Roman"/>
              </w:rPr>
            </w:pPr>
            <w:r>
              <w:rPr>
                <w:rFonts w:eastAsia="Times New Roman"/>
                <w:b/>
                <w:bCs/>
                <w:color w:val="FFFFFF"/>
                <w:sz w:val="18"/>
                <w:szCs w:val="18"/>
              </w:rPr>
              <w:t>Monitoring and Testing</w:t>
            </w:r>
          </w:p>
          <w:p w14:paraId="15863B71"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9A31007" w14:textId="77777777" w:rsidR="00000000" w:rsidRDefault="00A173A8">
            <w:pPr>
              <w:spacing w:after="100"/>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14:paraId="5FAABC4D" w14:textId="77777777" w:rsidR="00000000" w:rsidRDefault="00A173A8">
            <w:pPr>
              <w:spacing w:after="100"/>
              <w:jc w:val="center"/>
              <w:rPr>
                <w:rFonts w:eastAsia="Times New Roman"/>
              </w:rPr>
            </w:pPr>
          </w:p>
          <w:p w14:paraId="3406B50F" w14:textId="77777777" w:rsidR="00000000" w:rsidRDefault="00A173A8">
            <w:pPr>
              <w:spacing w:after="100"/>
              <w:jc w:val="center"/>
              <w:rPr>
                <w:rFonts w:eastAsia="Times New Roman"/>
              </w:rPr>
            </w:pPr>
            <w:r>
              <w:rPr>
                <w:rFonts w:eastAsia="Times New Roman"/>
                <w:b/>
                <w:bCs/>
                <w:color w:val="FFFFFF"/>
                <w:sz w:val="18"/>
                <w:szCs w:val="18"/>
              </w:rPr>
              <w:t>Aggregation, Reporting and Escalation</w:t>
            </w:r>
          </w:p>
          <w:p w14:paraId="005CC730" w14:textId="77777777" w:rsidR="00000000" w:rsidRDefault="00A173A8">
            <w:pPr>
              <w:spacing w:after="100"/>
              <w:jc w:val="center"/>
              <w:rPr>
                <w:rFonts w:eastAsia="Times New Roman"/>
              </w:rPr>
            </w:pPr>
          </w:p>
        </w:tc>
      </w:tr>
      <w:tr w:rsidR="00000000" w14:paraId="31B6AAFD" w14:textId="77777777">
        <w:trPr>
          <w:divId w:val="374307887"/>
          <w:trHeight w:val="60"/>
        </w:trPr>
        <w:tc>
          <w:tcPr>
            <w:tcW w:w="0" w:type="auto"/>
            <w:gridSpan w:val="3"/>
            <w:tcMar>
              <w:top w:w="0" w:type="dxa"/>
              <w:left w:w="20" w:type="dxa"/>
              <w:bottom w:w="0" w:type="dxa"/>
              <w:right w:w="20" w:type="dxa"/>
            </w:tcMar>
            <w:vAlign w:val="center"/>
            <w:hideMark/>
          </w:tcPr>
          <w:p w14:paraId="22F718DC"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C8179B6"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27383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A43FD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32EFB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23A8B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0CF8EE" w14:textId="77777777" w:rsidR="00000000" w:rsidRDefault="00A173A8">
            <w:pPr>
              <w:spacing w:after="100"/>
              <w:rPr>
                <w:rFonts w:eastAsia="Times New Roman"/>
                <w:sz w:val="20"/>
                <w:szCs w:val="20"/>
              </w:rPr>
            </w:pPr>
          </w:p>
        </w:tc>
      </w:tr>
      <w:tr w:rsidR="00000000" w14:paraId="2A91C8E3" w14:textId="77777777">
        <w:trPr>
          <w:divId w:val="374307887"/>
        </w:trPr>
        <w:tc>
          <w:tcPr>
            <w:tcW w:w="0" w:type="auto"/>
            <w:gridSpan w:val="21"/>
            <w:shd w:val="clear" w:color="auto" w:fill="004977"/>
            <w:tcMar>
              <w:top w:w="30" w:type="dxa"/>
              <w:left w:w="20" w:type="dxa"/>
              <w:bottom w:w="30" w:type="dxa"/>
              <w:right w:w="20" w:type="dxa"/>
            </w:tcMar>
            <w:vAlign w:val="center"/>
            <w:hideMark/>
          </w:tcPr>
          <w:p w14:paraId="47CA6E4C" w14:textId="77777777" w:rsidR="00000000" w:rsidRDefault="00A173A8">
            <w:pPr>
              <w:spacing w:after="100"/>
              <w:jc w:val="center"/>
              <w:rPr>
                <w:rFonts w:eastAsia="Times New Roman"/>
              </w:rPr>
            </w:pPr>
          </w:p>
          <w:p w14:paraId="3BF630E7" w14:textId="77777777" w:rsidR="00000000" w:rsidRDefault="00A173A8">
            <w:pPr>
              <w:spacing w:after="100"/>
              <w:jc w:val="center"/>
              <w:rPr>
                <w:rFonts w:eastAsia="Times New Roman"/>
              </w:rPr>
            </w:pPr>
            <w:r>
              <w:rPr>
                <w:rFonts w:eastAsia="Times New Roman"/>
                <w:b/>
                <w:bCs/>
                <w:color w:val="FFFFFF"/>
                <w:sz w:val="18"/>
                <w:szCs w:val="18"/>
              </w:rPr>
              <w:t>Capital and Liquidity Management (including Stress Testing)</w:t>
            </w:r>
          </w:p>
          <w:p w14:paraId="6EBED8D8" w14:textId="77777777" w:rsidR="00000000" w:rsidRDefault="00A173A8">
            <w:pPr>
              <w:spacing w:after="100"/>
              <w:jc w:val="center"/>
              <w:rPr>
                <w:rFonts w:eastAsia="Times New Roman"/>
              </w:rPr>
            </w:pPr>
          </w:p>
        </w:tc>
      </w:tr>
      <w:tr w:rsidR="00000000" w14:paraId="318DD9E9" w14:textId="77777777">
        <w:trPr>
          <w:divId w:val="374307887"/>
          <w:trHeight w:val="60"/>
        </w:trPr>
        <w:tc>
          <w:tcPr>
            <w:tcW w:w="0" w:type="auto"/>
            <w:gridSpan w:val="21"/>
            <w:tcMar>
              <w:top w:w="0" w:type="dxa"/>
              <w:left w:w="20" w:type="dxa"/>
              <w:bottom w:w="0" w:type="dxa"/>
              <w:right w:w="20" w:type="dxa"/>
            </w:tcMar>
            <w:vAlign w:val="center"/>
            <w:hideMark/>
          </w:tcPr>
          <w:p w14:paraId="35D46E07" w14:textId="77777777" w:rsidR="00000000" w:rsidRDefault="00A173A8">
            <w:pPr>
              <w:spacing w:after="100"/>
              <w:jc w:val="center"/>
              <w:rPr>
                <w:rFonts w:eastAsia="Times New Roman"/>
              </w:rPr>
            </w:pPr>
          </w:p>
        </w:tc>
      </w:tr>
      <w:tr w:rsidR="00000000" w14:paraId="3B54E588" w14:textId="77777777">
        <w:trPr>
          <w:divId w:val="374307887"/>
        </w:trPr>
        <w:tc>
          <w:tcPr>
            <w:tcW w:w="0" w:type="auto"/>
            <w:gridSpan w:val="21"/>
            <w:shd w:val="clear" w:color="auto" w:fill="004977"/>
            <w:tcMar>
              <w:top w:w="30" w:type="dxa"/>
              <w:left w:w="20" w:type="dxa"/>
              <w:bottom w:w="30" w:type="dxa"/>
              <w:right w:w="20" w:type="dxa"/>
            </w:tcMar>
            <w:vAlign w:val="center"/>
            <w:hideMark/>
          </w:tcPr>
          <w:p w14:paraId="29ED918B" w14:textId="77777777" w:rsidR="00000000" w:rsidRDefault="00A173A8">
            <w:pPr>
              <w:spacing w:after="100"/>
              <w:jc w:val="center"/>
              <w:rPr>
                <w:rFonts w:eastAsia="Times New Roman"/>
              </w:rPr>
            </w:pPr>
          </w:p>
          <w:p w14:paraId="19F5496E" w14:textId="77777777" w:rsidR="00000000" w:rsidRDefault="00A173A8">
            <w:pPr>
              <w:spacing w:after="100"/>
              <w:jc w:val="center"/>
              <w:rPr>
                <w:rFonts w:eastAsia="Times New Roman"/>
              </w:rPr>
            </w:pPr>
            <w:r>
              <w:rPr>
                <w:rFonts w:eastAsia="Times New Roman"/>
                <w:b/>
                <w:bCs/>
                <w:color w:val="FFFFFF"/>
                <w:sz w:val="18"/>
                <w:szCs w:val="18"/>
              </w:rPr>
              <w:t>Risk Data and Enabling Technology</w:t>
            </w:r>
          </w:p>
          <w:p w14:paraId="720EC2D2" w14:textId="77777777" w:rsidR="00000000" w:rsidRDefault="00A173A8">
            <w:pPr>
              <w:spacing w:after="100"/>
              <w:jc w:val="center"/>
              <w:rPr>
                <w:rFonts w:eastAsia="Times New Roman"/>
              </w:rPr>
            </w:pPr>
          </w:p>
        </w:tc>
      </w:tr>
      <w:tr w:rsidR="00000000" w14:paraId="7F002875" w14:textId="77777777">
        <w:trPr>
          <w:divId w:val="374307887"/>
          <w:trHeight w:val="60"/>
        </w:trPr>
        <w:tc>
          <w:tcPr>
            <w:tcW w:w="0" w:type="auto"/>
            <w:gridSpan w:val="21"/>
            <w:tcMar>
              <w:top w:w="0" w:type="dxa"/>
              <w:left w:w="20" w:type="dxa"/>
              <w:bottom w:w="0" w:type="dxa"/>
              <w:right w:w="20" w:type="dxa"/>
            </w:tcMar>
            <w:vAlign w:val="center"/>
            <w:hideMark/>
          </w:tcPr>
          <w:p w14:paraId="42F653F8" w14:textId="77777777" w:rsidR="00000000" w:rsidRDefault="00A173A8">
            <w:pPr>
              <w:spacing w:after="100"/>
              <w:jc w:val="center"/>
              <w:rPr>
                <w:rFonts w:eastAsia="Times New Roman"/>
              </w:rPr>
            </w:pPr>
          </w:p>
        </w:tc>
      </w:tr>
      <w:tr w:rsidR="00000000" w14:paraId="31A82B89" w14:textId="77777777">
        <w:trPr>
          <w:divId w:val="374307887"/>
        </w:trPr>
        <w:tc>
          <w:tcPr>
            <w:tcW w:w="0" w:type="auto"/>
            <w:gridSpan w:val="21"/>
            <w:shd w:val="clear" w:color="auto" w:fill="004977"/>
            <w:tcMar>
              <w:top w:w="30" w:type="dxa"/>
              <w:left w:w="20" w:type="dxa"/>
              <w:bottom w:w="30" w:type="dxa"/>
              <w:right w:w="20" w:type="dxa"/>
            </w:tcMar>
            <w:vAlign w:val="center"/>
            <w:hideMark/>
          </w:tcPr>
          <w:p w14:paraId="441D08C4" w14:textId="77777777" w:rsidR="00000000" w:rsidRDefault="00A173A8">
            <w:pPr>
              <w:spacing w:after="100"/>
              <w:jc w:val="center"/>
              <w:rPr>
                <w:rFonts w:eastAsia="Times New Roman"/>
              </w:rPr>
            </w:pPr>
          </w:p>
          <w:p w14:paraId="28E60F36" w14:textId="77777777" w:rsidR="00000000" w:rsidRDefault="00A173A8">
            <w:pPr>
              <w:spacing w:after="100"/>
              <w:jc w:val="center"/>
              <w:rPr>
                <w:rFonts w:eastAsia="Times New Roman"/>
              </w:rPr>
            </w:pPr>
            <w:r>
              <w:rPr>
                <w:rFonts w:eastAsia="Times New Roman"/>
                <w:b/>
                <w:bCs/>
                <w:color w:val="FFFFFF"/>
                <w:sz w:val="18"/>
                <w:szCs w:val="18"/>
              </w:rPr>
              <w:t>Culture and Talent Management</w:t>
            </w:r>
          </w:p>
          <w:p w14:paraId="1CE25373" w14:textId="77777777" w:rsidR="00000000" w:rsidRDefault="00A173A8">
            <w:pPr>
              <w:spacing w:after="100"/>
              <w:jc w:val="center"/>
              <w:rPr>
                <w:rFonts w:eastAsia="Times New Roman"/>
              </w:rPr>
            </w:pPr>
          </w:p>
        </w:tc>
      </w:tr>
    </w:tbl>
    <w:p w14:paraId="1B9AE88F" w14:textId="77777777" w:rsidR="00000000" w:rsidRDefault="00A173A8">
      <w:pPr>
        <w:jc w:val="both"/>
        <w:divId w:val="1330446729"/>
        <w:rPr>
          <w:rFonts w:eastAsia="Times New Roman"/>
        </w:rPr>
      </w:pPr>
      <w:r>
        <w:rPr>
          <w:rFonts w:eastAsia="Times New Roman"/>
          <w:color w:val="000000"/>
          <w:sz w:val="20"/>
          <w:szCs w:val="20"/>
        </w:rPr>
        <w:t>We provide additional discussion of our risk management principles, roles and responsibilities, framework and risk appetite under “MD&amp;A—Risk Management” in our 2021 Form 10-K.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A0803DA" w14:textId="77777777">
        <w:trPr>
          <w:divId w:val="1506869571"/>
          <w:jc w:val="center"/>
        </w:trPr>
        <w:tc>
          <w:tcPr>
            <w:tcW w:w="50" w:type="pct"/>
            <w:vAlign w:val="center"/>
            <w:hideMark/>
          </w:tcPr>
          <w:p w14:paraId="20D87BDC" w14:textId="77777777" w:rsidR="00000000" w:rsidRDefault="00A173A8">
            <w:pPr>
              <w:jc w:val="both"/>
              <w:rPr>
                <w:rFonts w:eastAsia="Times New Roman"/>
              </w:rPr>
            </w:pPr>
          </w:p>
        </w:tc>
        <w:tc>
          <w:tcPr>
            <w:tcW w:w="1606" w:type="pct"/>
            <w:vAlign w:val="center"/>
            <w:hideMark/>
          </w:tcPr>
          <w:p w14:paraId="2C146C75" w14:textId="77777777" w:rsidR="00000000" w:rsidRDefault="00A173A8">
            <w:pPr>
              <w:spacing w:after="100"/>
              <w:rPr>
                <w:rFonts w:eastAsia="Times New Roman"/>
                <w:sz w:val="20"/>
                <w:szCs w:val="20"/>
              </w:rPr>
            </w:pPr>
          </w:p>
        </w:tc>
        <w:tc>
          <w:tcPr>
            <w:tcW w:w="5" w:type="pct"/>
            <w:vAlign w:val="center"/>
            <w:hideMark/>
          </w:tcPr>
          <w:p w14:paraId="26918D90" w14:textId="77777777" w:rsidR="00000000" w:rsidRDefault="00A173A8">
            <w:pPr>
              <w:spacing w:after="100"/>
              <w:rPr>
                <w:rFonts w:eastAsia="Times New Roman"/>
                <w:sz w:val="20"/>
                <w:szCs w:val="20"/>
              </w:rPr>
            </w:pPr>
          </w:p>
        </w:tc>
        <w:tc>
          <w:tcPr>
            <w:tcW w:w="50" w:type="pct"/>
            <w:vAlign w:val="center"/>
            <w:hideMark/>
          </w:tcPr>
          <w:p w14:paraId="38F0849C" w14:textId="77777777" w:rsidR="00000000" w:rsidRDefault="00A173A8">
            <w:pPr>
              <w:spacing w:after="100"/>
              <w:rPr>
                <w:rFonts w:eastAsia="Times New Roman"/>
                <w:sz w:val="20"/>
                <w:szCs w:val="20"/>
              </w:rPr>
            </w:pPr>
          </w:p>
        </w:tc>
        <w:tc>
          <w:tcPr>
            <w:tcW w:w="1614" w:type="pct"/>
            <w:vAlign w:val="center"/>
            <w:hideMark/>
          </w:tcPr>
          <w:p w14:paraId="7E1C3075" w14:textId="77777777" w:rsidR="00000000" w:rsidRDefault="00A173A8">
            <w:pPr>
              <w:spacing w:after="100"/>
              <w:rPr>
                <w:rFonts w:eastAsia="Times New Roman"/>
                <w:sz w:val="20"/>
                <w:szCs w:val="20"/>
              </w:rPr>
            </w:pPr>
          </w:p>
        </w:tc>
        <w:tc>
          <w:tcPr>
            <w:tcW w:w="5" w:type="pct"/>
            <w:vAlign w:val="center"/>
            <w:hideMark/>
          </w:tcPr>
          <w:p w14:paraId="1A7BE5E7" w14:textId="77777777" w:rsidR="00000000" w:rsidRDefault="00A173A8">
            <w:pPr>
              <w:spacing w:after="100"/>
              <w:rPr>
                <w:rFonts w:eastAsia="Times New Roman"/>
                <w:sz w:val="20"/>
                <w:szCs w:val="20"/>
              </w:rPr>
            </w:pPr>
          </w:p>
        </w:tc>
        <w:tc>
          <w:tcPr>
            <w:tcW w:w="50" w:type="pct"/>
            <w:vAlign w:val="center"/>
            <w:hideMark/>
          </w:tcPr>
          <w:p w14:paraId="1E2F89E4" w14:textId="77777777" w:rsidR="00000000" w:rsidRDefault="00A173A8">
            <w:pPr>
              <w:spacing w:after="100"/>
              <w:rPr>
                <w:rFonts w:eastAsia="Times New Roman"/>
                <w:sz w:val="20"/>
                <w:szCs w:val="20"/>
              </w:rPr>
            </w:pPr>
          </w:p>
        </w:tc>
        <w:tc>
          <w:tcPr>
            <w:tcW w:w="1614" w:type="pct"/>
            <w:vAlign w:val="center"/>
            <w:hideMark/>
          </w:tcPr>
          <w:p w14:paraId="20C9A16F" w14:textId="77777777" w:rsidR="00000000" w:rsidRDefault="00A173A8">
            <w:pPr>
              <w:spacing w:after="100"/>
              <w:rPr>
                <w:rFonts w:eastAsia="Times New Roman"/>
                <w:sz w:val="20"/>
                <w:szCs w:val="20"/>
              </w:rPr>
            </w:pPr>
          </w:p>
        </w:tc>
        <w:tc>
          <w:tcPr>
            <w:tcW w:w="5" w:type="pct"/>
            <w:vAlign w:val="center"/>
            <w:hideMark/>
          </w:tcPr>
          <w:p w14:paraId="7242DC3D" w14:textId="77777777" w:rsidR="00000000" w:rsidRDefault="00A173A8">
            <w:pPr>
              <w:spacing w:after="100"/>
              <w:rPr>
                <w:rFonts w:eastAsia="Times New Roman"/>
                <w:sz w:val="20"/>
                <w:szCs w:val="20"/>
              </w:rPr>
            </w:pPr>
          </w:p>
        </w:tc>
      </w:tr>
      <w:tr w:rsidR="00000000" w14:paraId="40B1FB27" w14:textId="77777777">
        <w:trPr>
          <w:divId w:val="1506869571"/>
          <w:trHeight w:val="300"/>
          <w:jc w:val="center"/>
        </w:trPr>
        <w:tc>
          <w:tcPr>
            <w:tcW w:w="0" w:type="auto"/>
            <w:gridSpan w:val="9"/>
            <w:tcMar>
              <w:top w:w="0" w:type="dxa"/>
              <w:left w:w="20" w:type="dxa"/>
              <w:bottom w:w="0" w:type="dxa"/>
              <w:right w:w="20" w:type="dxa"/>
            </w:tcMar>
            <w:vAlign w:val="center"/>
            <w:hideMark/>
          </w:tcPr>
          <w:p w14:paraId="7088870D" w14:textId="77777777" w:rsidR="00000000" w:rsidRDefault="00A173A8">
            <w:pPr>
              <w:spacing w:after="100"/>
              <w:rPr>
                <w:rFonts w:eastAsia="Times New Roman"/>
                <w:sz w:val="20"/>
                <w:szCs w:val="20"/>
              </w:rPr>
            </w:pPr>
          </w:p>
        </w:tc>
      </w:tr>
      <w:tr w:rsidR="00000000" w14:paraId="0C4877F1" w14:textId="77777777">
        <w:trPr>
          <w:divId w:val="1506869571"/>
          <w:jc w:val="center"/>
        </w:trPr>
        <w:tc>
          <w:tcPr>
            <w:tcW w:w="0" w:type="auto"/>
            <w:gridSpan w:val="3"/>
            <w:tcMar>
              <w:top w:w="0" w:type="dxa"/>
              <w:left w:w="20" w:type="dxa"/>
              <w:bottom w:w="0" w:type="dxa"/>
              <w:right w:w="20" w:type="dxa"/>
            </w:tcMar>
            <w:vAlign w:val="center"/>
            <w:hideMark/>
          </w:tcPr>
          <w:p w14:paraId="06FCE3B5"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EB856BE" w14:textId="77777777" w:rsidR="00000000" w:rsidRDefault="00A173A8">
            <w:pPr>
              <w:spacing w:after="100"/>
              <w:jc w:val="center"/>
              <w:rPr>
                <w:rFonts w:eastAsia="Times New Roman"/>
              </w:rPr>
            </w:pPr>
            <w:r>
              <w:rPr>
                <w:rFonts w:eastAsia="Times New Roman"/>
                <w:color w:val="000000"/>
                <w:sz w:val="16"/>
                <w:szCs w:val="16"/>
              </w:rPr>
              <w:t>34</w:t>
            </w:r>
          </w:p>
        </w:tc>
        <w:tc>
          <w:tcPr>
            <w:tcW w:w="0" w:type="auto"/>
            <w:gridSpan w:val="3"/>
            <w:tcMar>
              <w:top w:w="30" w:type="dxa"/>
              <w:left w:w="20" w:type="dxa"/>
              <w:bottom w:w="30" w:type="dxa"/>
              <w:right w:w="20" w:type="dxa"/>
            </w:tcMar>
            <w:vAlign w:val="bottom"/>
            <w:hideMark/>
          </w:tcPr>
          <w:p w14:paraId="70E49581"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32E189D" w14:textId="77777777" w:rsidR="00000000" w:rsidRDefault="00A173A8">
      <w:pPr>
        <w:rPr>
          <w:rFonts w:eastAsia="Times New Roman"/>
        </w:rPr>
      </w:pPr>
      <w:r>
        <w:rPr>
          <w:rFonts w:eastAsia="Times New Roman"/>
        </w:rPr>
        <w:pict w14:anchorId="62D8CCBF">
          <v:rect id="_x0000_i1059" style="width:0;height:1.5pt" o:hralign="center" o:hrstd="t" o:hr="t" fillcolor="#a0a0a0" stroked="f"/>
        </w:pict>
      </w:r>
    </w:p>
    <w:p w14:paraId="2A73247D" w14:textId="77777777" w:rsidR="00000000" w:rsidRDefault="00A173A8">
      <w:pPr>
        <w:ind w:hanging="360"/>
        <w:jc w:val="both"/>
        <w:divId w:val="324674869"/>
        <w:rPr>
          <w:rFonts w:eastAsia="Times New Roman"/>
        </w:rPr>
      </w:pPr>
      <w:hyperlink w:anchor="i7ffd5d61af6f4722b1b1b07530d51c06_13" w:history="1">
        <w:r>
          <w:rPr>
            <w:rStyle w:val="a3"/>
            <w:rFonts w:eastAsia="Times New Roman"/>
            <w:sz w:val="16"/>
            <w:szCs w:val="16"/>
          </w:rPr>
          <w:t>Table of Contents</w:t>
        </w:r>
      </w:hyperlink>
    </w:p>
    <w:p w14:paraId="1E4BA701" w14:textId="77777777" w:rsidR="00000000" w:rsidRDefault="00A173A8">
      <w:pPr>
        <w:divId w:val="1855145507"/>
        <w:rPr>
          <w:rFonts w:eastAsia="Times New Roman"/>
        </w:rPr>
      </w:pPr>
      <w:r>
        <w:rPr>
          <w:rFonts w:eastAsia="Times New Roman"/>
          <w:b/>
          <w:bCs/>
          <w:color w:val="000000"/>
          <w:sz w:val="20"/>
          <w:szCs w:val="20"/>
        </w:rPr>
        <w:t>Risk Categories</w:t>
      </w:r>
    </w:p>
    <w:p w14:paraId="575291CD" w14:textId="77777777" w:rsidR="00000000" w:rsidRDefault="00A173A8">
      <w:pPr>
        <w:jc w:val="both"/>
        <w:divId w:val="1152483319"/>
        <w:rPr>
          <w:rFonts w:eastAsia="Times New Roman"/>
        </w:rPr>
      </w:pPr>
      <w:r>
        <w:rPr>
          <w:rFonts w:eastAsia="Times New Roman"/>
          <w:color w:val="000000"/>
          <w:sz w:val="20"/>
          <w:szCs w:val="20"/>
        </w:rPr>
        <w:t>We apply our Framework to protect the Company from the major categories of risk that we are exposed to through our business act</w:t>
      </w:r>
      <w:r>
        <w:rPr>
          <w:rFonts w:eastAsia="Times New Roman"/>
          <w:color w:val="000000"/>
          <w:sz w:val="20"/>
          <w:szCs w:val="20"/>
        </w:rPr>
        <w:t>ivities. We have seven major categories of risk as noted below. We provide a description of these categories and how we manage them under “MD&amp;A—Risk Management” in our 2021 Form 10-K.</w:t>
      </w:r>
    </w:p>
    <w:p w14:paraId="15B04768" w14:textId="77777777" w:rsidR="00000000" w:rsidRDefault="00A173A8">
      <w:pPr>
        <w:ind w:hanging="360"/>
        <w:jc w:val="both"/>
        <w:divId w:val="1138304842"/>
        <w:rPr>
          <w:rFonts w:eastAsia="Times New Roman"/>
        </w:rPr>
      </w:pPr>
      <w:r>
        <w:rPr>
          <w:rFonts w:eastAsia="Times New Roman"/>
          <w:color w:val="000000"/>
          <w:sz w:val="20"/>
          <w:szCs w:val="20"/>
        </w:rPr>
        <w:t>•Compliance risk</w:t>
      </w:r>
    </w:p>
    <w:p w14:paraId="26B023C5" w14:textId="77777777" w:rsidR="00000000" w:rsidRDefault="00A173A8">
      <w:pPr>
        <w:ind w:hanging="360"/>
        <w:jc w:val="both"/>
        <w:divId w:val="1645233404"/>
        <w:rPr>
          <w:rFonts w:eastAsia="Times New Roman"/>
        </w:rPr>
      </w:pPr>
      <w:r>
        <w:rPr>
          <w:rFonts w:eastAsia="Times New Roman"/>
          <w:color w:val="000000"/>
          <w:sz w:val="20"/>
          <w:szCs w:val="20"/>
        </w:rPr>
        <w:t>•Credit risk</w:t>
      </w:r>
    </w:p>
    <w:p w14:paraId="4E58FEE1" w14:textId="77777777" w:rsidR="00000000" w:rsidRDefault="00A173A8">
      <w:pPr>
        <w:ind w:hanging="360"/>
        <w:jc w:val="both"/>
        <w:divId w:val="544292978"/>
        <w:rPr>
          <w:rFonts w:eastAsia="Times New Roman"/>
        </w:rPr>
      </w:pPr>
      <w:r>
        <w:rPr>
          <w:rFonts w:eastAsia="Times New Roman"/>
          <w:color w:val="000000"/>
          <w:sz w:val="20"/>
          <w:szCs w:val="20"/>
        </w:rPr>
        <w:t>•Liquidity risk</w:t>
      </w:r>
    </w:p>
    <w:p w14:paraId="4736CE10" w14:textId="77777777" w:rsidR="00000000" w:rsidRDefault="00A173A8">
      <w:pPr>
        <w:ind w:hanging="360"/>
        <w:jc w:val="both"/>
        <w:divId w:val="2083210373"/>
        <w:rPr>
          <w:rFonts w:eastAsia="Times New Roman"/>
        </w:rPr>
      </w:pPr>
      <w:r>
        <w:rPr>
          <w:rFonts w:eastAsia="Times New Roman"/>
          <w:color w:val="000000"/>
          <w:sz w:val="20"/>
          <w:szCs w:val="20"/>
        </w:rPr>
        <w:t>•Market risk</w:t>
      </w:r>
    </w:p>
    <w:p w14:paraId="1C8C0ADD" w14:textId="77777777" w:rsidR="00000000" w:rsidRDefault="00A173A8">
      <w:pPr>
        <w:ind w:hanging="360"/>
        <w:jc w:val="both"/>
        <w:divId w:val="986515774"/>
        <w:rPr>
          <w:rFonts w:eastAsia="Times New Roman"/>
        </w:rPr>
      </w:pPr>
      <w:r>
        <w:rPr>
          <w:rFonts w:eastAsia="Times New Roman"/>
          <w:color w:val="000000"/>
          <w:sz w:val="20"/>
          <w:szCs w:val="20"/>
        </w:rPr>
        <w:t>•</w:t>
      </w:r>
      <w:r>
        <w:rPr>
          <w:rFonts w:eastAsia="Times New Roman"/>
          <w:color w:val="000000"/>
          <w:sz w:val="20"/>
          <w:szCs w:val="20"/>
        </w:rPr>
        <w:t>Operational risk</w:t>
      </w:r>
    </w:p>
    <w:p w14:paraId="43898BF6" w14:textId="77777777" w:rsidR="00000000" w:rsidRDefault="00A173A8">
      <w:pPr>
        <w:ind w:hanging="360"/>
        <w:jc w:val="both"/>
        <w:divId w:val="704448315"/>
        <w:rPr>
          <w:rFonts w:eastAsia="Times New Roman"/>
        </w:rPr>
      </w:pPr>
      <w:r>
        <w:rPr>
          <w:rFonts w:eastAsia="Times New Roman"/>
          <w:color w:val="000000"/>
          <w:sz w:val="20"/>
          <w:szCs w:val="20"/>
        </w:rPr>
        <w:t>•Reputation risk</w:t>
      </w:r>
    </w:p>
    <w:p w14:paraId="0ECB47BE" w14:textId="77777777" w:rsidR="00000000" w:rsidRDefault="00A173A8">
      <w:pPr>
        <w:ind w:hanging="360"/>
        <w:jc w:val="both"/>
        <w:divId w:val="2070030250"/>
        <w:rPr>
          <w:rFonts w:eastAsia="Times New Roman"/>
        </w:rPr>
      </w:pPr>
      <w:r>
        <w:rPr>
          <w:rFonts w:eastAsia="Times New Roman"/>
          <w:color w:val="000000"/>
          <w:sz w:val="20"/>
          <w:szCs w:val="20"/>
        </w:rPr>
        <w:t>•Strategic risk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F2FBF50" w14:textId="77777777">
        <w:trPr>
          <w:divId w:val="170070998"/>
        </w:trPr>
        <w:tc>
          <w:tcPr>
            <w:tcW w:w="50" w:type="pct"/>
            <w:vAlign w:val="center"/>
            <w:hideMark/>
          </w:tcPr>
          <w:p w14:paraId="278C02AA" w14:textId="77777777" w:rsidR="00000000" w:rsidRDefault="00A173A8">
            <w:pPr>
              <w:ind w:hanging="360"/>
              <w:jc w:val="both"/>
              <w:rPr>
                <w:rFonts w:eastAsia="Times New Roman"/>
              </w:rPr>
            </w:pPr>
          </w:p>
        </w:tc>
        <w:tc>
          <w:tcPr>
            <w:tcW w:w="4945" w:type="pct"/>
            <w:vAlign w:val="center"/>
            <w:hideMark/>
          </w:tcPr>
          <w:p w14:paraId="414F07E7" w14:textId="77777777" w:rsidR="00000000" w:rsidRDefault="00A173A8">
            <w:pPr>
              <w:spacing w:after="100"/>
              <w:rPr>
                <w:rFonts w:eastAsia="Times New Roman"/>
                <w:sz w:val="20"/>
                <w:szCs w:val="20"/>
              </w:rPr>
            </w:pPr>
          </w:p>
        </w:tc>
        <w:tc>
          <w:tcPr>
            <w:tcW w:w="5" w:type="pct"/>
            <w:vAlign w:val="center"/>
            <w:hideMark/>
          </w:tcPr>
          <w:p w14:paraId="0FEF0216" w14:textId="77777777" w:rsidR="00000000" w:rsidRDefault="00A173A8">
            <w:pPr>
              <w:spacing w:after="100"/>
              <w:rPr>
                <w:rFonts w:eastAsia="Times New Roman"/>
                <w:sz w:val="20"/>
                <w:szCs w:val="20"/>
              </w:rPr>
            </w:pPr>
          </w:p>
        </w:tc>
      </w:tr>
      <w:tr w:rsidR="00000000" w14:paraId="20370791" w14:textId="77777777">
        <w:trPr>
          <w:divId w:val="17007099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5CB382E" w14:textId="77777777" w:rsidR="00000000" w:rsidRDefault="00A173A8">
            <w:pPr>
              <w:spacing w:after="100"/>
              <w:rPr>
                <w:rFonts w:eastAsia="Times New Roman"/>
              </w:rPr>
            </w:pPr>
            <w:r>
              <w:rPr>
                <w:rFonts w:eastAsia="Times New Roman"/>
                <w:b/>
                <w:bCs/>
                <w:color w:val="000000"/>
                <w:sz w:val="20"/>
                <w:szCs w:val="20"/>
              </w:rPr>
              <w:t>CREDIT RISK PROFILE</w:t>
            </w:r>
          </w:p>
        </w:tc>
      </w:tr>
    </w:tbl>
    <w:p w14:paraId="7A2A0AC2" w14:textId="77777777" w:rsidR="00000000" w:rsidRDefault="00A173A8">
      <w:pPr>
        <w:jc w:val="both"/>
        <w:divId w:val="2107845586"/>
        <w:rPr>
          <w:rFonts w:eastAsia="Times New Roman"/>
        </w:rPr>
      </w:pPr>
      <w:r>
        <w:rPr>
          <w:rFonts w:eastAsia="Times New Roman"/>
          <w:color w:val="000000"/>
          <w:sz w:val="20"/>
          <w:szCs w:val="20"/>
        </w:rPr>
        <w:t xml:space="preserve">Our loan portfolio accounts for the substantial majority of our credit risk exposure. Our lending activities are governed under our credit policy and are subject to independent review and approval. Below we provide information about the composition of our </w:t>
      </w:r>
      <w:r>
        <w:rPr>
          <w:rFonts w:eastAsia="Times New Roman"/>
          <w:color w:val="000000"/>
          <w:sz w:val="20"/>
          <w:szCs w:val="20"/>
        </w:rPr>
        <w:t>loan portfolio, key concentrations and credit performance metrics.</w:t>
      </w:r>
    </w:p>
    <w:p w14:paraId="39EBA073" w14:textId="77777777" w:rsidR="00000000" w:rsidRDefault="00A173A8">
      <w:pPr>
        <w:jc w:val="both"/>
        <w:divId w:val="811605784"/>
        <w:rPr>
          <w:rFonts w:eastAsia="Times New Roman"/>
        </w:rPr>
      </w:pPr>
      <w:r>
        <w:rPr>
          <w:rFonts w:eastAsia="Times New Roman"/>
          <w:color w:val="000000"/>
          <w:sz w:val="20"/>
          <w:szCs w:val="20"/>
        </w:rPr>
        <w:t>We also engage in certain non-lending activities that may give rise to ongoing credit and counterparty settlement risk, including purchasing securities for our investment securities portfol</w:t>
      </w:r>
      <w:r>
        <w:rPr>
          <w:rFonts w:eastAsia="Times New Roman"/>
          <w:color w:val="000000"/>
          <w:sz w:val="20"/>
          <w:szCs w:val="20"/>
        </w:rPr>
        <w:t>io, entering into derivative transactions to manage our market risk exposure and to accommodate customers, extending short-term advances on syndication activity including bridge financing transactions we have underwritten, depositing certain operational ca</w:t>
      </w:r>
      <w:r>
        <w:rPr>
          <w:rFonts w:eastAsia="Times New Roman"/>
          <w:color w:val="000000"/>
          <w:sz w:val="20"/>
          <w:szCs w:val="20"/>
        </w:rPr>
        <w:t>sh balances in other financial institutions, executing certain foreign exchange transactions and extending customer overdrafts. We provide additional information related to our investment securities portfolio under “MD&amp;A—Consolidated Balance Sheets Analysi</w:t>
      </w:r>
      <w:r>
        <w:rPr>
          <w:rFonts w:eastAsia="Times New Roman"/>
          <w:color w:val="000000"/>
          <w:sz w:val="20"/>
          <w:szCs w:val="20"/>
        </w:rPr>
        <w:t>s—Investment Securities” and credit risk related to derivative transactions in “Note 8—Derivative Instruments and Hedging Activities.”</w:t>
      </w:r>
    </w:p>
    <w:p w14:paraId="1F772BE1" w14:textId="77777777" w:rsidR="00000000" w:rsidRDefault="00A173A8">
      <w:pPr>
        <w:divId w:val="1559124400"/>
        <w:rPr>
          <w:rFonts w:eastAsia="Times New Roman"/>
        </w:rPr>
      </w:pPr>
      <w:r>
        <w:rPr>
          <w:rFonts w:eastAsia="Times New Roman"/>
          <w:b/>
          <w:bCs/>
          <w:color w:val="000000"/>
          <w:sz w:val="20"/>
          <w:szCs w:val="20"/>
        </w:rPr>
        <w:t>Portfolio and Geographic Composition of Loans Held for Investment</w:t>
      </w:r>
    </w:p>
    <w:p w14:paraId="39DB10E2" w14:textId="77777777" w:rsidR="00000000" w:rsidRDefault="00A173A8">
      <w:pPr>
        <w:jc w:val="both"/>
        <w:divId w:val="1190297132"/>
        <w:rPr>
          <w:rFonts w:eastAsia="Times New Roman"/>
        </w:rPr>
      </w:pPr>
      <w:r>
        <w:rPr>
          <w:rFonts w:eastAsia="Times New Roman"/>
          <w:color w:val="000000"/>
          <w:sz w:val="20"/>
          <w:szCs w:val="20"/>
        </w:rPr>
        <w:t>We provide a variety of lending products. Our primary l</w:t>
      </w:r>
      <w:r>
        <w:rPr>
          <w:rFonts w:eastAsia="Times New Roman"/>
          <w:color w:val="000000"/>
          <w:sz w:val="20"/>
          <w:szCs w:val="20"/>
        </w:rPr>
        <w:t>oan products include credit cards, auto loans and commercial lending products. For information on our lending policies and procedures, including our underwriting criteria for our primary loan products, see “MD&amp;A—Credit Risk Profile” in our 2021 Form 10-K.</w:t>
      </w:r>
    </w:p>
    <w:p w14:paraId="24238625" w14:textId="77777777" w:rsidR="00000000" w:rsidRDefault="00A173A8">
      <w:pPr>
        <w:jc w:val="both"/>
        <w:divId w:val="94328125"/>
        <w:rPr>
          <w:rFonts w:eastAsia="Times New Roman"/>
        </w:rPr>
      </w:pPr>
      <w:r>
        <w:rPr>
          <w:rFonts w:eastAsia="Times New Roman"/>
          <w:color w:val="000000"/>
          <w:sz w:val="20"/>
          <w:szCs w:val="20"/>
        </w:rPr>
        <w:t>Our loan portfolio consists of loans held for investment, including loans held in our consolidated trusts, and loans held for sale. The information presented in this section excludes loans held for sale, which totaled $875 million and $5.9 billion as of Ju</w:t>
      </w:r>
      <w:r>
        <w:rPr>
          <w:rFonts w:eastAsia="Times New Roman"/>
          <w:color w:val="000000"/>
          <w:sz w:val="20"/>
          <w:szCs w:val="20"/>
        </w:rPr>
        <w:t>ne 30, 2022 and December 31, 2021, respectively.</w:t>
      </w:r>
    </w:p>
    <w:p w14:paraId="01DDFD55" w14:textId="77777777" w:rsidR="00000000" w:rsidRDefault="00A173A8">
      <w:pPr>
        <w:jc w:val="both"/>
        <w:divId w:val="857162147"/>
        <w:rPr>
          <w:rFonts w:eastAsia="Times New Roman"/>
        </w:rPr>
      </w:pPr>
      <w:r>
        <w:rPr>
          <w:rFonts w:eastAsia="Times New Roman"/>
          <w:color w:val="000000"/>
          <w:sz w:val="20"/>
          <w:szCs w:val="20"/>
        </w:rPr>
        <w:t xml:space="preserve">Table 16 presents the composition of our portfolio of loans held for investment by portfolio segment as of June 30, 2022 and December 31, 2021. </w:t>
      </w:r>
    </w:p>
    <w:p w14:paraId="3C4C48B9" w14:textId="77777777" w:rsidR="00000000" w:rsidRDefault="00A173A8">
      <w:pPr>
        <w:divId w:val="119539024"/>
        <w:rPr>
          <w:rFonts w:eastAsia="Times New Roman"/>
        </w:rPr>
      </w:pPr>
      <w:r>
        <w:rPr>
          <w:rFonts w:eastAsia="Times New Roman"/>
          <w:b/>
          <w:bCs/>
          <w:color w:val="000000"/>
          <w:sz w:val="18"/>
          <w:szCs w:val="18"/>
        </w:rPr>
        <w:t xml:space="preserve">Table 16: Portfolio Composition of Loans Held for Investment </w:t>
      </w:r>
    </w:p>
    <w:tbl>
      <w:tblPr>
        <w:tblW w:w="5000" w:type="pct"/>
        <w:tblCellMar>
          <w:top w:w="15" w:type="dxa"/>
          <w:left w:w="15" w:type="dxa"/>
          <w:bottom w:w="15" w:type="dxa"/>
          <w:right w:w="15" w:type="dxa"/>
        </w:tblCellMar>
        <w:tblLook w:val="04A0" w:firstRow="1" w:lastRow="0" w:firstColumn="1" w:lastColumn="0" w:noHBand="0" w:noVBand="1"/>
      </w:tblPr>
      <w:tblGrid>
        <w:gridCol w:w="39"/>
        <w:gridCol w:w="4660"/>
        <w:gridCol w:w="38"/>
        <w:gridCol w:w="36"/>
        <w:gridCol w:w="36"/>
        <w:gridCol w:w="36"/>
        <w:gridCol w:w="120"/>
        <w:gridCol w:w="700"/>
        <w:gridCol w:w="36"/>
        <w:gridCol w:w="36"/>
        <w:gridCol w:w="36"/>
        <w:gridCol w:w="36"/>
        <w:gridCol w:w="54"/>
        <w:gridCol w:w="437"/>
        <w:gridCol w:w="220"/>
        <w:gridCol w:w="36"/>
        <w:gridCol w:w="36"/>
        <w:gridCol w:w="36"/>
        <w:gridCol w:w="120"/>
        <w:gridCol w:w="700"/>
        <w:gridCol w:w="36"/>
        <w:gridCol w:w="36"/>
        <w:gridCol w:w="36"/>
        <w:gridCol w:w="36"/>
        <w:gridCol w:w="53"/>
        <w:gridCol w:w="438"/>
        <w:gridCol w:w="187"/>
        <w:gridCol w:w="36"/>
      </w:tblGrid>
      <w:tr w:rsidR="00000000" w14:paraId="2D96CEE6" w14:textId="77777777">
        <w:trPr>
          <w:divId w:val="119539024"/>
        </w:trPr>
        <w:tc>
          <w:tcPr>
            <w:tcW w:w="50" w:type="pct"/>
            <w:vAlign w:val="center"/>
            <w:hideMark/>
          </w:tcPr>
          <w:p w14:paraId="558EA671" w14:textId="77777777" w:rsidR="00000000" w:rsidRDefault="00A173A8">
            <w:pPr>
              <w:rPr>
                <w:rFonts w:eastAsia="Times New Roman"/>
              </w:rPr>
            </w:pPr>
          </w:p>
        </w:tc>
        <w:tc>
          <w:tcPr>
            <w:tcW w:w="2920" w:type="pct"/>
            <w:vAlign w:val="center"/>
            <w:hideMark/>
          </w:tcPr>
          <w:p w14:paraId="5C942799" w14:textId="77777777" w:rsidR="00000000" w:rsidRDefault="00A173A8">
            <w:pPr>
              <w:spacing w:after="100"/>
              <w:rPr>
                <w:rFonts w:eastAsia="Times New Roman"/>
                <w:sz w:val="20"/>
                <w:szCs w:val="20"/>
              </w:rPr>
            </w:pPr>
          </w:p>
        </w:tc>
        <w:tc>
          <w:tcPr>
            <w:tcW w:w="5" w:type="pct"/>
            <w:vAlign w:val="center"/>
            <w:hideMark/>
          </w:tcPr>
          <w:p w14:paraId="3ABFFDA9" w14:textId="77777777" w:rsidR="00000000" w:rsidRDefault="00A173A8">
            <w:pPr>
              <w:spacing w:after="100"/>
              <w:rPr>
                <w:rFonts w:eastAsia="Times New Roman"/>
                <w:sz w:val="20"/>
                <w:szCs w:val="20"/>
              </w:rPr>
            </w:pPr>
          </w:p>
        </w:tc>
        <w:tc>
          <w:tcPr>
            <w:tcW w:w="5" w:type="pct"/>
            <w:vAlign w:val="center"/>
            <w:hideMark/>
          </w:tcPr>
          <w:p w14:paraId="72731781" w14:textId="77777777" w:rsidR="00000000" w:rsidRDefault="00A173A8">
            <w:pPr>
              <w:spacing w:after="100"/>
              <w:rPr>
                <w:rFonts w:eastAsia="Times New Roman"/>
                <w:sz w:val="20"/>
                <w:szCs w:val="20"/>
              </w:rPr>
            </w:pPr>
          </w:p>
        </w:tc>
        <w:tc>
          <w:tcPr>
            <w:tcW w:w="26" w:type="pct"/>
            <w:vAlign w:val="center"/>
            <w:hideMark/>
          </w:tcPr>
          <w:p w14:paraId="4459AB45" w14:textId="77777777" w:rsidR="00000000" w:rsidRDefault="00A173A8">
            <w:pPr>
              <w:spacing w:after="100"/>
              <w:rPr>
                <w:rFonts w:eastAsia="Times New Roman"/>
                <w:sz w:val="20"/>
                <w:szCs w:val="20"/>
              </w:rPr>
            </w:pPr>
          </w:p>
        </w:tc>
        <w:tc>
          <w:tcPr>
            <w:tcW w:w="5" w:type="pct"/>
            <w:vAlign w:val="center"/>
            <w:hideMark/>
          </w:tcPr>
          <w:p w14:paraId="3F0C5633" w14:textId="77777777" w:rsidR="00000000" w:rsidRDefault="00A173A8">
            <w:pPr>
              <w:spacing w:after="100"/>
              <w:rPr>
                <w:rFonts w:eastAsia="Times New Roman"/>
                <w:sz w:val="20"/>
                <w:szCs w:val="20"/>
              </w:rPr>
            </w:pPr>
          </w:p>
        </w:tc>
        <w:tc>
          <w:tcPr>
            <w:tcW w:w="50" w:type="pct"/>
            <w:vAlign w:val="center"/>
            <w:hideMark/>
          </w:tcPr>
          <w:p w14:paraId="5753BE17" w14:textId="77777777" w:rsidR="00000000" w:rsidRDefault="00A173A8">
            <w:pPr>
              <w:spacing w:after="100"/>
              <w:rPr>
                <w:rFonts w:eastAsia="Times New Roman"/>
                <w:sz w:val="20"/>
                <w:szCs w:val="20"/>
              </w:rPr>
            </w:pPr>
          </w:p>
        </w:tc>
        <w:tc>
          <w:tcPr>
            <w:tcW w:w="412" w:type="pct"/>
            <w:vAlign w:val="center"/>
            <w:hideMark/>
          </w:tcPr>
          <w:p w14:paraId="42B050D9" w14:textId="77777777" w:rsidR="00000000" w:rsidRDefault="00A173A8">
            <w:pPr>
              <w:spacing w:after="100"/>
              <w:rPr>
                <w:rFonts w:eastAsia="Times New Roman"/>
                <w:sz w:val="20"/>
                <w:szCs w:val="20"/>
              </w:rPr>
            </w:pPr>
          </w:p>
        </w:tc>
        <w:tc>
          <w:tcPr>
            <w:tcW w:w="5" w:type="pct"/>
            <w:vAlign w:val="center"/>
            <w:hideMark/>
          </w:tcPr>
          <w:p w14:paraId="011A5C2B" w14:textId="77777777" w:rsidR="00000000" w:rsidRDefault="00A173A8">
            <w:pPr>
              <w:spacing w:after="100"/>
              <w:rPr>
                <w:rFonts w:eastAsia="Times New Roman"/>
                <w:sz w:val="20"/>
                <w:szCs w:val="20"/>
              </w:rPr>
            </w:pPr>
          </w:p>
        </w:tc>
        <w:tc>
          <w:tcPr>
            <w:tcW w:w="5" w:type="pct"/>
            <w:vAlign w:val="center"/>
            <w:hideMark/>
          </w:tcPr>
          <w:p w14:paraId="6B4E8E19" w14:textId="77777777" w:rsidR="00000000" w:rsidRDefault="00A173A8">
            <w:pPr>
              <w:spacing w:after="100"/>
              <w:rPr>
                <w:rFonts w:eastAsia="Times New Roman"/>
                <w:sz w:val="20"/>
                <w:szCs w:val="20"/>
              </w:rPr>
            </w:pPr>
          </w:p>
        </w:tc>
        <w:tc>
          <w:tcPr>
            <w:tcW w:w="26" w:type="pct"/>
            <w:vAlign w:val="center"/>
            <w:hideMark/>
          </w:tcPr>
          <w:p w14:paraId="3FAE42EE" w14:textId="77777777" w:rsidR="00000000" w:rsidRDefault="00A173A8">
            <w:pPr>
              <w:spacing w:after="100"/>
              <w:rPr>
                <w:rFonts w:eastAsia="Times New Roman"/>
                <w:sz w:val="20"/>
                <w:szCs w:val="20"/>
              </w:rPr>
            </w:pPr>
          </w:p>
        </w:tc>
        <w:tc>
          <w:tcPr>
            <w:tcW w:w="5" w:type="pct"/>
            <w:vAlign w:val="center"/>
            <w:hideMark/>
          </w:tcPr>
          <w:p w14:paraId="1B4A6E6B" w14:textId="77777777" w:rsidR="00000000" w:rsidRDefault="00A173A8">
            <w:pPr>
              <w:spacing w:after="100"/>
              <w:rPr>
                <w:rFonts w:eastAsia="Times New Roman"/>
                <w:sz w:val="20"/>
                <w:szCs w:val="20"/>
              </w:rPr>
            </w:pPr>
          </w:p>
        </w:tc>
        <w:tc>
          <w:tcPr>
            <w:tcW w:w="50" w:type="pct"/>
            <w:vAlign w:val="center"/>
            <w:hideMark/>
          </w:tcPr>
          <w:p w14:paraId="117ABD11" w14:textId="77777777" w:rsidR="00000000" w:rsidRDefault="00A173A8">
            <w:pPr>
              <w:spacing w:after="100"/>
              <w:rPr>
                <w:rFonts w:eastAsia="Times New Roman"/>
                <w:sz w:val="20"/>
                <w:szCs w:val="20"/>
              </w:rPr>
            </w:pPr>
          </w:p>
        </w:tc>
        <w:tc>
          <w:tcPr>
            <w:tcW w:w="412" w:type="pct"/>
            <w:vAlign w:val="center"/>
            <w:hideMark/>
          </w:tcPr>
          <w:p w14:paraId="2CB3DF83" w14:textId="77777777" w:rsidR="00000000" w:rsidRDefault="00A173A8">
            <w:pPr>
              <w:spacing w:after="100"/>
              <w:rPr>
                <w:rFonts w:eastAsia="Times New Roman"/>
                <w:sz w:val="20"/>
                <w:szCs w:val="20"/>
              </w:rPr>
            </w:pPr>
          </w:p>
        </w:tc>
        <w:tc>
          <w:tcPr>
            <w:tcW w:w="5" w:type="pct"/>
            <w:vAlign w:val="center"/>
            <w:hideMark/>
          </w:tcPr>
          <w:p w14:paraId="0B92701F" w14:textId="77777777" w:rsidR="00000000" w:rsidRDefault="00A173A8">
            <w:pPr>
              <w:spacing w:after="100"/>
              <w:rPr>
                <w:rFonts w:eastAsia="Times New Roman"/>
                <w:sz w:val="20"/>
                <w:szCs w:val="20"/>
              </w:rPr>
            </w:pPr>
          </w:p>
        </w:tc>
        <w:tc>
          <w:tcPr>
            <w:tcW w:w="5" w:type="pct"/>
            <w:vAlign w:val="center"/>
            <w:hideMark/>
          </w:tcPr>
          <w:p w14:paraId="0BE40C56" w14:textId="77777777" w:rsidR="00000000" w:rsidRDefault="00A173A8">
            <w:pPr>
              <w:spacing w:after="100"/>
              <w:rPr>
                <w:rFonts w:eastAsia="Times New Roman"/>
                <w:sz w:val="20"/>
                <w:szCs w:val="20"/>
              </w:rPr>
            </w:pPr>
          </w:p>
        </w:tc>
        <w:tc>
          <w:tcPr>
            <w:tcW w:w="26" w:type="pct"/>
            <w:vAlign w:val="center"/>
            <w:hideMark/>
          </w:tcPr>
          <w:p w14:paraId="46BA0620" w14:textId="77777777" w:rsidR="00000000" w:rsidRDefault="00A173A8">
            <w:pPr>
              <w:spacing w:after="100"/>
              <w:rPr>
                <w:rFonts w:eastAsia="Times New Roman"/>
                <w:sz w:val="20"/>
                <w:szCs w:val="20"/>
              </w:rPr>
            </w:pPr>
          </w:p>
        </w:tc>
        <w:tc>
          <w:tcPr>
            <w:tcW w:w="5" w:type="pct"/>
            <w:vAlign w:val="center"/>
            <w:hideMark/>
          </w:tcPr>
          <w:p w14:paraId="6989CD05" w14:textId="77777777" w:rsidR="00000000" w:rsidRDefault="00A173A8">
            <w:pPr>
              <w:spacing w:after="100"/>
              <w:rPr>
                <w:rFonts w:eastAsia="Times New Roman"/>
                <w:sz w:val="20"/>
                <w:szCs w:val="20"/>
              </w:rPr>
            </w:pPr>
          </w:p>
        </w:tc>
        <w:tc>
          <w:tcPr>
            <w:tcW w:w="50" w:type="pct"/>
            <w:vAlign w:val="center"/>
            <w:hideMark/>
          </w:tcPr>
          <w:p w14:paraId="668B1906" w14:textId="77777777" w:rsidR="00000000" w:rsidRDefault="00A173A8">
            <w:pPr>
              <w:spacing w:after="100"/>
              <w:rPr>
                <w:rFonts w:eastAsia="Times New Roman"/>
                <w:sz w:val="20"/>
                <w:szCs w:val="20"/>
              </w:rPr>
            </w:pPr>
          </w:p>
        </w:tc>
        <w:tc>
          <w:tcPr>
            <w:tcW w:w="412" w:type="pct"/>
            <w:vAlign w:val="center"/>
            <w:hideMark/>
          </w:tcPr>
          <w:p w14:paraId="014BDDB7" w14:textId="77777777" w:rsidR="00000000" w:rsidRDefault="00A173A8">
            <w:pPr>
              <w:spacing w:after="100"/>
              <w:rPr>
                <w:rFonts w:eastAsia="Times New Roman"/>
                <w:sz w:val="20"/>
                <w:szCs w:val="20"/>
              </w:rPr>
            </w:pPr>
          </w:p>
        </w:tc>
        <w:tc>
          <w:tcPr>
            <w:tcW w:w="5" w:type="pct"/>
            <w:vAlign w:val="center"/>
            <w:hideMark/>
          </w:tcPr>
          <w:p w14:paraId="5685637C" w14:textId="77777777" w:rsidR="00000000" w:rsidRDefault="00A173A8">
            <w:pPr>
              <w:spacing w:after="100"/>
              <w:rPr>
                <w:rFonts w:eastAsia="Times New Roman"/>
                <w:sz w:val="20"/>
                <w:szCs w:val="20"/>
              </w:rPr>
            </w:pPr>
          </w:p>
        </w:tc>
        <w:tc>
          <w:tcPr>
            <w:tcW w:w="5" w:type="pct"/>
            <w:vAlign w:val="center"/>
            <w:hideMark/>
          </w:tcPr>
          <w:p w14:paraId="56467A1E" w14:textId="77777777" w:rsidR="00000000" w:rsidRDefault="00A173A8">
            <w:pPr>
              <w:spacing w:after="100"/>
              <w:rPr>
                <w:rFonts w:eastAsia="Times New Roman"/>
                <w:sz w:val="20"/>
                <w:szCs w:val="20"/>
              </w:rPr>
            </w:pPr>
          </w:p>
        </w:tc>
        <w:tc>
          <w:tcPr>
            <w:tcW w:w="26" w:type="pct"/>
            <w:vAlign w:val="center"/>
            <w:hideMark/>
          </w:tcPr>
          <w:p w14:paraId="68C7AFAE" w14:textId="77777777" w:rsidR="00000000" w:rsidRDefault="00A173A8">
            <w:pPr>
              <w:spacing w:after="100"/>
              <w:rPr>
                <w:rFonts w:eastAsia="Times New Roman"/>
                <w:sz w:val="20"/>
                <w:szCs w:val="20"/>
              </w:rPr>
            </w:pPr>
          </w:p>
        </w:tc>
        <w:tc>
          <w:tcPr>
            <w:tcW w:w="5" w:type="pct"/>
            <w:vAlign w:val="center"/>
            <w:hideMark/>
          </w:tcPr>
          <w:p w14:paraId="4FAB9DCC" w14:textId="77777777" w:rsidR="00000000" w:rsidRDefault="00A173A8">
            <w:pPr>
              <w:spacing w:after="100"/>
              <w:rPr>
                <w:rFonts w:eastAsia="Times New Roman"/>
                <w:sz w:val="20"/>
                <w:szCs w:val="20"/>
              </w:rPr>
            </w:pPr>
          </w:p>
        </w:tc>
        <w:tc>
          <w:tcPr>
            <w:tcW w:w="50" w:type="pct"/>
            <w:vAlign w:val="center"/>
            <w:hideMark/>
          </w:tcPr>
          <w:p w14:paraId="05D1710E" w14:textId="77777777" w:rsidR="00000000" w:rsidRDefault="00A173A8">
            <w:pPr>
              <w:spacing w:after="100"/>
              <w:rPr>
                <w:rFonts w:eastAsia="Times New Roman"/>
                <w:sz w:val="20"/>
                <w:szCs w:val="20"/>
              </w:rPr>
            </w:pPr>
          </w:p>
        </w:tc>
        <w:tc>
          <w:tcPr>
            <w:tcW w:w="420" w:type="pct"/>
            <w:vAlign w:val="center"/>
            <w:hideMark/>
          </w:tcPr>
          <w:p w14:paraId="4EEAE6AC" w14:textId="77777777" w:rsidR="00000000" w:rsidRDefault="00A173A8">
            <w:pPr>
              <w:spacing w:after="100"/>
              <w:rPr>
                <w:rFonts w:eastAsia="Times New Roman"/>
                <w:sz w:val="20"/>
                <w:szCs w:val="20"/>
              </w:rPr>
            </w:pPr>
          </w:p>
        </w:tc>
        <w:tc>
          <w:tcPr>
            <w:tcW w:w="5" w:type="pct"/>
            <w:vAlign w:val="center"/>
            <w:hideMark/>
          </w:tcPr>
          <w:p w14:paraId="24A0445B" w14:textId="77777777" w:rsidR="00000000" w:rsidRDefault="00A173A8">
            <w:pPr>
              <w:spacing w:after="100"/>
              <w:rPr>
                <w:rFonts w:eastAsia="Times New Roman"/>
                <w:sz w:val="20"/>
                <w:szCs w:val="20"/>
              </w:rPr>
            </w:pPr>
          </w:p>
        </w:tc>
        <w:tc>
          <w:tcPr>
            <w:tcW w:w="0" w:type="auto"/>
            <w:vAlign w:val="center"/>
            <w:hideMark/>
          </w:tcPr>
          <w:p w14:paraId="336B11CE" w14:textId="77777777" w:rsidR="00000000" w:rsidRDefault="00A173A8">
            <w:pPr>
              <w:spacing w:after="100"/>
              <w:rPr>
                <w:rFonts w:eastAsia="Times New Roman"/>
                <w:sz w:val="20"/>
                <w:szCs w:val="20"/>
              </w:rPr>
            </w:pPr>
          </w:p>
        </w:tc>
      </w:tr>
      <w:tr w:rsidR="00000000" w14:paraId="1119CECB" w14:textId="77777777">
        <w:trPr>
          <w:divId w:val="119539024"/>
        </w:trPr>
        <w:tc>
          <w:tcPr>
            <w:tcW w:w="0" w:type="auto"/>
            <w:gridSpan w:val="3"/>
            <w:tcMar>
              <w:top w:w="0" w:type="dxa"/>
              <w:left w:w="20" w:type="dxa"/>
              <w:bottom w:w="0" w:type="dxa"/>
              <w:right w:w="20" w:type="dxa"/>
            </w:tcMar>
            <w:vAlign w:val="center"/>
            <w:hideMark/>
          </w:tcPr>
          <w:p w14:paraId="0D8C16D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54DBF2"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C86A257"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740EABC2"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1E02E9B" w14:textId="77777777" w:rsidR="00000000" w:rsidRDefault="00A173A8">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14:paraId="4068D756" w14:textId="77777777" w:rsidR="00000000" w:rsidRDefault="00A173A8">
            <w:pPr>
              <w:spacing w:after="100"/>
              <w:jc w:val="center"/>
              <w:rPr>
                <w:rFonts w:eastAsia="Times New Roman"/>
              </w:rPr>
            </w:pPr>
          </w:p>
        </w:tc>
      </w:tr>
      <w:tr w:rsidR="00000000" w14:paraId="6706EA0B" w14:textId="77777777">
        <w:trPr>
          <w:divId w:val="119539024"/>
        </w:trPr>
        <w:tc>
          <w:tcPr>
            <w:tcW w:w="0" w:type="auto"/>
            <w:gridSpan w:val="3"/>
            <w:tcBorders>
              <w:bottom w:val="single" w:sz="8" w:space="0" w:color="000000"/>
            </w:tcBorders>
            <w:tcMar>
              <w:top w:w="30" w:type="dxa"/>
              <w:left w:w="20" w:type="dxa"/>
              <w:bottom w:w="30" w:type="dxa"/>
              <w:right w:w="20" w:type="dxa"/>
            </w:tcMar>
            <w:vAlign w:val="bottom"/>
            <w:hideMark/>
          </w:tcPr>
          <w:p w14:paraId="261EFF57"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0E366BEC"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D702DE" w14:textId="77777777" w:rsidR="00000000" w:rsidRDefault="00A173A8">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4B95D916"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EB6040C" w14:textId="77777777" w:rsidR="00000000" w:rsidRDefault="00A173A8">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37C61F2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6A59FAA" w14:textId="77777777" w:rsidR="00000000" w:rsidRDefault="00A173A8">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5AEB12B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73943FC" w14:textId="77777777" w:rsidR="00000000" w:rsidRDefault="00A173A8">
            <w:pPr>
              <w:spacing w:after="100"/>
              <w:jc w:val="center"/>
              <w:rPr>
                <w:rFonts w:eastAsia="Times New Roman"/>
              </w:rPr>
            </w:pPr>
            <w:r>
              <w:rPr>
                <w:rFonts w:eastAsia="Times New Roman"/>
                <w:b/>
                <w:bCs/>
                <w:color w:val="000000"/>
                <w:sz w:val="20"/>
                <w:szCs w:val="20"/>
              </w:rPr>
              <w:t>% of Total</w:t>
            </w:r>
          </w:p>
        </w:tc>
        <w:tc>
          <w:tcPr>
            <w:tcW w:w="0" w:type="auto"/>
            <w:vAlign w:val="center"/>
            <w:hideMark/>
          </w:tcPr>
          <w:p w14:paraId="3AF1BDB0" w14:textId="77777777" w:rsidR="00000000" w:rsidRDefault="00A173A8">
            <w:pPr>
              <w:spacing w:after="100"/>
              <w:jc w:val="center"/>
              <w:rPr>
                <w:rFonts w:eastAsia="Times New Roman"/>
              </w:rPr>
            </w:pPr>
          </w:p>
        </w:tc>
      </w:tr>
      <w:tr w:rsidR="00000000" w14:paraId="2073FEE4" w14:textId="77777777">
        <w:trPr>
          <w:divId w:val="11953902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F4D916C" w14:textId="77777777" w:rsidR="00000000" w:rsidRDefault="00A173A8">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2DD0A584"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6A852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831EF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47652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00ACA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ECB64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195DF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36B1F5" w14:textId="77777777" w:rsidR="00000000" w:rsidRDefault="00A173A8">
            <w:pPr>
              <w:spacing w:after="100"/>
              <w:rPr>
                <w:rFonts w:eastAsia="Times New Roman"/>
                <w:sz w:val="20"/>
                <w:szCs w:val="20"/>
              </w:rPr>
            </w:pPr>
          </w:p>
        </w:tc>
        <w:tc>
          <w:tcPr>
            <w:tcW w:w="0" w:type="auto"/>
            <w:vAlign w:val="center"/>
            <w:hideMark/>
          </w:tcPr>
          <w:p w14:paraId="6955ED0D" w14:textId="77777777" w:rsidR="00000000" w:rsidRDefault="00A173A8">
            <w:pPr>
              <w:spacing w:after="100"/>
              <w:rPr>
                <w:rFonts w:eastAsia="Times New Roman"/>
                <w:sz w:val="20"/>
                <w:szCs w:val="20"/>
              </w:rPr>
            </w:pPr>
          </w:p>
        </w:tc>
      </w:tr>
      <w:tr w:rsidR="00000000" w14:paraId="468EF53B" w14:textId="77777777">
        <w:trPr>
          <w:divId w:val="119539024"/>
        </w:trPr>
        <w:tc>
          <w:tcPr>
            <w:tcW w:w="0" w:type="auto"/>
            <w:gridSpan w:val="3"/>
            <w:shd w:val="clear" w:color="auto" w:fill="FFFFFF"/>
            <w:tcMar>
              <w:top w:w="30" w:type="dxa"/>
              <w:left w:w="245" w:type="dxa"/>
              <w:bottom w:w="30" w:type="dxa"/>
              <w:right w:w="20" w:type="dxa"/>
            </w:tcMar>
            <w:vAlign w:val="center"/>
            <w:hideMark/>
          </w:tcPr>
          <w:p w14:paraId="1D062B46" w14:textId="77777777" w:rsidR="00000000" w:rsidRDefault="00A173A8">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14:paraId="10B6E9F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43B1BF2"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AAC03FA" w14:textId="77777777" w:rsidR="00000000" w:rsidRDefault="00A173A8">
            <w:pPr>
              <w:spacing w:after="100"/>
              <w:jc w:val="right"/>
              <w:rPr>
                <w:rFonts w:eastAsia="Times New Roman"/>
              </w:rPr>
            </w:pPr>
            <w:r>
              <w:rPr>
                <w:rFonts w:eastAsia="Times New Roman"/>
                <w:b/>
                <w:bCs/>
                <w:color w:val="000000"/>
                <w:sz w:val="20"/>
                <w:szCs w:val="20"/>
              </w:rPr>
              <w:t>115,004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42191B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F278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FBC23A" w14:textId="77777777" w:rsidR="00000000" w:rsidRDefault="00A173A8">
            <w:pPr>
              <w:spacing w:after="100"/>
              <w:jc w:val="right"/>
              <w:rPr>
                <w:rFonts w:eastAsia="Times New Roman"/>
              </w:rPr>
            </w:pPr>
            <w:r>
              <w:rPr>
                <w:rFonts w:eastAsia="Times New Roman"/>
                <w:b/>
                <w:bCs/>
                <w:color w:val="000000"/>
                <w:sz w:val="20"/>
                <w:szCs w:val="20"/>
              </w:rPr>
              <w:t>38.8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A570BA8"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66E4AD"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E5FA6FA"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6958E67" w14:textId="77777777" w:rsidR="00000000" w:rsidRDefault="00A173A8">
            <w:pPr>
              <w:spacing w:after="100"/>
              <w:jc w:val="right"/>
              <w:rPr>
                <w:rFonts w:eastAsia="Times New Roman"/>
              </w:rPr>
            </w:pPr>
            <w:r>
              <w:rPr>
                <w:rFonts w:eastAsia="Times New Roman"/>
                <w:color w:val="000000"/>
                <w:sz w:val="20"/>
                <w:szCs w:val="20"/>
              </w:rPr>
              <w:t>108,723 </w:t>
            </w:r>
          </w:p>
        </w:tc>
        <w:tc>
          <w:tcPr>
            <w:tcW w:w="0" w:type="auto"/>
            <w:shd w:val="clear" w:color="auto" w:fill="FFFFFF"/>
            <w:tcMar>
              <w:top w:w="30" w:type="dxa"/>
              <w:left w:w="0" w:type="dxa"/>
              <w:bottom w:w="30" w:type="dxa"/>
              <w:right w:w="20" w:type="dxa"/>
            </w:tcMar>
            <w:vAlign w:val="center"/>
            <w:hideMark/>
          </w:tcPr>
          <w:p w14:paraId="5284C7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D8224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A860E6" w14:textId="77777777" w:rsidR="00000000" w:rsidRDefault="00A173A8">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center"/>
            <w:hideMark/>
          </w:tcPr>
          <w:p w14:paraId="369A4699"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57933CC3" w14:textId="77777777" w:rsidR="00000000" w:rsidRDefault="00A173A8">
            <w:pPr>
              <w:spacing w:after="100"/>
              <w:jc w:val="right"/>
              <w:rPr>
                <w:rFonts w:eastAsia="Times New Roman"/>
              </w:rPr>
            </w:pPr>
          </w:p>
        </w:tc>
      </w:tr>
      <w:tr w:rsidR="00000000" w14:paraId="506106B7" w14:textId="77777777">
        <w:trPr>
          <w:divId w:val="119539024"/>
        </w:trPr>
        <w:tc>
          <w:tcPr>
            <w:tcW w:w="0" w:type="auto"/>
            <w:gridSpan w:val="3"/>
            <w:shd w:val="clear" w:color="auto" w:fill="CCEEFF"/>
            <w:tcMar>
              <w:top w:w="30" w:type="dxa"/>
              <w:left w:w="245" w:type="dxa"/>
              <w:bottom w:w="30" w:type="dxa"/>
              <w:right w:w="20" w:type="dxa"/>
            </w:tcMar>
            <w:vAlign w:val="center"/>
            <w:hideMark/>
          </w:tcPr>
          <w:p w14:paraId="7562C3F4" w14:textId="77777777" w:rsidR="00000000" w:rsidRDefault="00A173A8">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14:paraId="69045A9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13D22E" w14:textId="77777777" w:rsidR="00000000" w:rsidRDefault="00A173A8">
            <w:pPr>
              <w:spacing w:after="100"/>
              <w:jc w:val="right"/>
              <w:rPr>
                <w:rFonts w:eastAsia="Times New Roman"/>
              </w:rPr>
            </w:pPr>
            <w:r>
              <w:rPr>
                <w:rFonts w:eastAsia="Times New Roman"/>
                <w:b/>
                <w:bCs/>
                <w:color w:val="000000"/>
                <w:sz w:val="20"/>
                <w:szCs w:val="20"/>
              </w:rPr>
              <w:t>5,876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E7316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562B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18B636" w14:textId="77777777" w:rsidR="00000000" w:rsidRDefault="00A173A8">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E1304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2C0B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F79B3F" w14:textId="77777777" w:rsidR="00000000" w:rsidRDefault="00A173A8">
            <w:pPr>
              <w:spacing w:after="100"/>
              <w:jc w:val="right"/>
              <w:rPr>
                <w:rFonts w:eastAsia="Times New Roman"/>
              </w:rPr>
            </w:pPr>
            <w:r>
              <w:rPr>
                <w:rFonts w:eastAsia="Times New Roman"/>
                <w:color w:val="000000"/>
                <w:sz w:val="20"/>
                <w:szCs w:val="20"/>
              </w:rPr>
              <w:t>6,049 </w:t>
            </w:r>
          </w:p>
        </w:tc>
        <w:tc>
          <w:tcPr>
            <w:tcW w:w="0" w:type="auto"/>
            <w:shd w:val="clear" w:color="auto" w:fill="CCEEFF"/>
            <w:tcMar>
              <w:top w:w="30" w:type="dxa"/>
              <w:left w:w="0" w:type="dxa"/>
              <w:bottom w:w="30" w:type="dxa"/>
              <w:right w:w="20" w:type="dxa"/>
            </w:tcMar>
            <w:vAlign w:val="center"/>
            <w:hideMark/>
          </w:tcPr>
          <w:p w14:paraId="380BA26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2B75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1F6D1A" w14:textId="77777777" w:rsidR="00000000" w:rsidRDefault="00A173A8">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center"/>
            <w:hideMark/>
          </w:tcPr>
          <w:p w14:paraId="57A94DA5" w14:textId="77777777" w:rsidR="00000000" w:rsidRDefault="00A173A8">
            <w:pPr>
              <w:spacing w:after="100"/>
              <w:jc w:val="right"/>
              <w:rPr>
                <w:rFonts w:eastAsia="Times New Roman"/>
              </w:rPr>
            </w:pPr>
          </w:p>
        </w:tc>
        <w:tc>
          <w:tcPr>
            <w:tcW w:w="0" w:type="auto"/>
            <w:vAlign w:val="center"/>
            <w:hideMark/>
          </w:tcPr>
          <w:p w14:paraId="15148C8F" w14:textId="77777777" w:rsidR="00000000" w:rsidRDefault="00A173A8">
            <w:pPr>
              <w:spacing w:after="100"/>
              <w:jc w:val="right"/>
              <w:rPr>
                <w:rFonts w:eastAsia="Times New Roman"/>
                <w:sz w:val="20"/>
                <w:szCs w:val="20"/>
              </w:rPr>
            </w:pPr>
          </w:p>
        </w:tc>
      </w:tr>
      <w:tr w:rsidR="00000000" w14:paraId="30224F44" w14:textId="77777777">
        <w:trPr>
          <w:divId w:val="119539024"/>
        </w:trPr>
        <w:tc>
          <w:tcPr>
            <w:tcW w:w="0" w:type="auto"/>
            <w:gridSpan w:val="3"/>
            <w:shd w:val="clear" w:color="auto" w:fill="FFFFFF"/>
            <w:tcMar>
              <w:top w:w="30" w:type="dxa"/>
              <w:left w:w="20" w:type="dxa"/>
              <w:bottom w:w="30" w:type="dxa"/>
              <w:right w:w="20" w:type="dxa"/>
            </w:tcMar>
            <w:vAlign w:val="center"/>
            <w:hideMark/>
          </w:tcPr>
          <w:p w14:paraId="354B803C" w14:textId="77777777" w:rsidR="00000000" w:rsidRDefault="00A173A8">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2C834AE6" w14:textId="77777777" w:rsidR="00000000" w:rsidRDefault="00A173A8">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3DD2FDF" w14:textId="77777777" w:rsidR="00000000" w:rsidRDefault="00A173A8">
            <w:pPr>
              <w:spacing w:after="100"/>
              <w:jc w:val="right"/>
              <w:rPr>
                <w:rFonts w:eastAsia="Times New Roman"/>
              </w:rPr>
            </w:pPr>
            <w:r>
              <w:rPr>
                <w:rFonts w:eastAsia="Times New Roman"/>
                <w:b/>
                <w:bCs/>
                <w:color w:val="000000"/>
                <w:sz w:val="20"/>
                <w:szCs w:val="20"/>
              </w:rPr>
              <w:t>120,880</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178261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E1074F"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76E26B0A" w14:textId="77777777" w:rsidR="00000000" w:rsidRDefault="00A173A8">
            <w:pPr>
              <w:spacing w:after="100"/>
              <w:jc w:val="right"/>
              <w:rPr>
                <w:rFonts w:eastAsia="Times New Roman"/>
              </w:rPr>
            </w:pPr>
            <w:r>
              <w:rPr>
                <w:rFonts w:eastAsia="Times New Roman"/>
                <w:b/>
                <w:bCs/>
                <w:color w:val="000000"/>
                <w:sz w:val="20"/>
                <w:szCs w:val="20"/>
              </w:rPr>
              <w:t>40.8</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67315CE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54CD9"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0B221F9D" w14:textId="77777777" w:rsidR="00000000" w:rsidRDefault="00A173A8">
            <w:pPr>
              <w:spacing w:after="100"/>
              <w:jc w:val="right"/>
              <w:rPr>
                <w:rFonts w:eastAsia="Times New Roman"/>
              </w:rPr>
            </w:pPr>
            <w:r>
              <w:rPr>
                <w:rFonts w:eastAsia="Times New Roman"/>
                <w:color w:val="000000"/>
                <w:sz w:val="20"/>
                <w:szCs w:val="20"/>
              </w:rPr>
              <w:t>114,772 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37238A6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814604"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1F67F4ED" w14:textId="77777777" w:rsidR="00000000" w:rsidRDefault="00A173A8">
            <w:pPr>
              <w:spacing w:after="100"/>
              <w:jc w:val="right"/>
              <w:rPr>
                <w:rFonts w:eastAsia="Times New Roman"/>
              </w:rPr>
            </w:pPr>
            <w:r>
              <w:rPr>
                <w:rFonts w:eastAsia="Times New Roman"/>
                <w:color w:val="000000"/>
                <w:sz w:val="20"/>
                <w:szCs w:val="20"/>
              </w:rPr>
              <w:t>41.4 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722BEA08" w14:textId="77777777" w:rsidR="00000000" w:rsidRDefault="00A173A8">
            <w:pPr>
              <w:spacing w:after="100"/>
              <w:jc w:val="right"/>
              <w:rPr>
                <w:rFonts w:eastAsia="Times New Roman"/>
              </w:rPr>
            </w:pPr>
          </w:p>
        </w:tc>
        <w:tc>
          <w:tcPr>
            <w:tcW w:w="0" w:type="auto"/>
            <w:vAlign w:val="center"/>
            <w:hideMark/>
          </w:tcPr>
          <w:p w14:paraId="19BE2F1E" w14:textId="77777777" w:rsidR="00000000" w:rsidRDefault="00A173A8">
            <w:pPr>
              <w:spacing w:after="100"/>
              <w:jc w:val="right"/>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C592E7F" w14:textId="77777777">
        <w:trPr>
          <w:jc w:val="center"/>
        </w:trPr>
        <w:tc>
          <w:tcPr>
            <w:tcW w:w="50" w:type="pct"/>
            <w:vAlign w:val="center"/>
            <w:hideMark/>
          </w:tcPr>
          <w:p w14:paraId="2F47B47A" w14:textId="77777777" w:rsidR="00000000" w:rsidRDefault="00A173A8">
            <w:pPr>
              <w:rPr>
                <w:rFonts w:eastAsia="Times New Roman"/>
              </w:rPr>
            </w:pPr>
          </w:p>
        </w:tc>
        <w:tc>
          <w:tcPr>
            <w:tcW w:w="1606" w:type="pct"/>
            <w:vAlign w:val="center"/>
            <w:hideMark/>
          </w:tcPr>
          <w:p w14:paraId="6CE37ED0" w14:textId="77777777" w:rsidR="00000000" w:rsidRDefault="00A173A8">
            <w:pPr>
              <w:spacing w:after="100"/>
              <w:rPr>
                <w:rFonts w:eastAsia="Times New Roman"/>
                <w:sz w:val="20"/>
                <w:szCs w:val="20"/>
              </w:rPr>
            </w:pPr>
          </w:p>
        </w:tc>
        <w:tc>
          <w:tcPr>
            <w:tcW w:w="5" w:type="pct"/>
            <w:vAlign w:val="center"/>
            <w:hideMark/>
          </w:tcPr>
          <w:p w14:paraId="6E84F13D" w14:textId="77777777" w:rsidR="00000000" w:rsidRDefault="00A173A8">
            <w:pPr>
              <w:spacing w:after="100"/>
              <w:rPr>
                <w:rFonts w:eastAsia="Times New Roman"/>
                <w:sz w:val="20"/>
                <w:szCs w:val="20"/>
              </w:rPr>
            </w:pPr>
          </w:p>
        </w:tc>
        <w:tc>
          <w:tcPr>
            <w:tcW w:w="50" w:type="pct"/>
            <w:vAlign w:val="center"/>
            <w:hideMark/>
          </w:tcPr>
          <w:p w14:paraId="7D279EC7" w14:textId="77777777" w:rsidR="00000000" w:rsidRDefault="00A173A8">
            <w:pPr>
              <w:spacing w:after="100"/>
              <w:rPr>
                <w:rFonts w:eastAsia="Times New Roman"/>
                <w:sz w:val="20"/>
                <w:szCs w:val="20"/>
              </w:rPr>
            </w:pPr>
          </w:p>
        </w:tc>
        <w:tc>
          <w:tcPr>
            <w:tcW w:w="1614" w:type="pct"/>
            <w:vAlign w:val="center"/>
            <w:hideMark/>
          </w:tcPr>
          <w:p w14:paraId="74032E9A" w14:textId="77777777" w:rsidR="00000000" w:rsidRDefault="00A173A8">
            <w:pPr>
              <w:spacing w:after="100"/>
              <w:rPr>
                <w:rFonts w:eastAsia="Times New Roman"/>
                <w:sz w:val="20"/>
                <w:szCs w:val="20"/>
              </w:rPr>
            </w:pPr>
          </w:p>
        </w:tc>
        <w:tc>
          <w:tcPr>
            <w:tcW w:w="5" w:type="pct"/>
            <w:vAlign w:val="center"/>
            <w:hideMark/>
          </w:tcPr>
          <w:p w14:paraId="391FC2F5" w14:textId="77777777" w:rsidR="00000000" w:rsidRDefault="00A173A8">
            <w:pPr>
              <w:spacing w:after="100"/>
              <w:rPr>
                <w:rFonts w:eastAsia="Times New Roman"/>
                <w:sz w:val="20"/>
                <w:szCs w:val="20"/>
              </w:rPr>
            </w:pPr>
          </w:p>
        </w:tc>
        <w:tc>
          <w:tcPr>
            <w:tcW w:w="50" w:type="pct"/>
            <w:vAlign w:val="center"/>
            <w:hideMark/>
          </w:tcPr>
          <w:p w14:paraId="1286F1F8" w14:textId="77777777" w:rsidR="00000000" w:rsidRDefault="00A173A8">
            <w:pPr>
              <w:spacing w:after="100"/>
              <w:rPr>
                <w:rFonts w:eastAsia="Times New Roman"/>
                <w:sz w:val="20"/>
                <w:szCs w:val="20"/>
              </w:rPr>
            </w:pPr>
          </w:p>
        </w:tc>
        <w:tc>
          <w:tcPr>
            <w:tcW w:w="1614" w:type="pct"/>
            <w:vAlign w:val="center"/>
            <w:hideMark/>
          </w:tcPr>
          <w:p w14:paraId="5DFD7D13" w14:textId="77777777" w:rsidR="00000000" w:rsidRDefault="00A173A8">
            <w:pPr>
              <w:spacing w:after="100"/>
              <w:rPr>
                <w:rFonts w:eastAsia="Times New Roman"/>
                <w:sz w:val="20"/>
                <w:szCs w:val="20"/>
              </w:rPr>
            </w:pPr>
          </w:p>
        </w:tc>
        <w:tc>
          <w:tcPr>
            <w:tcW w:w="5" w:type="pct"/>
            <w:vAlign w:val="center"/>
            <w:hideMark/>
          </w:tcPr>
          <w:p w14:paraId="60B434C4" w14:textId="77777777" w:rsidR="00000000" w:rsidRDefault="00A173A8">
            <w:pPr>
              <w:spacing w:after="100"/>
              <w:rPr>
                <w:rFonts w:eastAsia="Times New Roman"/>
                <w:sz w:val="20"/>
                <w:szCs w:val="20"/>
              </w:rPr>
            </w:pPr>
          </w:p>
        </w:tc>
      </w:tr>
      <w:tr w:rsidR="00000000" w14:paraId="0288DA1D" w14:textId="77777777">
        <w:trPr>
          <w:trHeight w:val="300"/>
          <w:jc w:val="center"/>
        </w:trPr>
        <w:tc>
          <w:tcPr>
            <w:tcW w:w="0" w:type="auto"/>
            <w:gridSpan w:val="9"/>
            <w:tcMar>
              <w:top w:w="0" w:type="dxa"/>
              <w:left w:w="20" w:type="dxa"/>
              <w:bottom w:w="0" w:type="dxa"/>
              <w:right w:w="20" w:type="dxa"/>
            </w:tcMar>
            <w:vAlign w:val="center"/>
            <w:hideMark/>
          </w:tcPr>
          <w:p w14:paraId="0459C28A" w14:textId="77777777" w:rsidR="00000000" w:rsidRDefault="00A173A8">
            <w:pPr>
              <w:spacing w:after="100"/>
              <w:rPr>
                <w:rFonts w:eastAsia="Times New Roman"/>
                <w:sz w:val="20"/>
                <w:szCs w:val="20"/>
              </w:rPr>
            </w:pPr>
          </w:p>
        </w:tc>
      </w:tr>
      <w:tr w:rsidR="00000000" w14:paraId="22CD01FA" w14:textId="77777777">
        <w:trPr>
          <w:jc w:val="center"/>
        </w:trPr>
        <w:tc>
          <w:tcPr>
            <w:tcW w:w="0" w:type="auto"/>
            <w:gridSpan w:val="3"/>
            <w:tcMar>
              <w:top w:w="0" w:type="dxa"/>
              <w:left w:w="20" w:type="dxa"/>
              <w:bottom w:w="0" w:type="dxa"/>
              <w:right w:w="20" w:type="dxa"/>
            </w:tcMar>
            <w:vAlign w:val="center"/>
            <w:hideMark/>
          </w:tcPr>
          <w:p w14:paraId="572443E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54EE08D" w14:textId="77777777" w:rsidR="00000000" w:rsidRDefault="00A173A8">
            <w:pPr>
              <w:spacing w:after="100"/>
              <w:jc w:val="center"/>
              <w:rPr>
                <w:rFonts w:eastAsia="Times New Roman"/>
              </w:rPr>
            </w:pPr>
            <w:r>
              <w:rPr>
                <w:rFonts w:eastAsia="Times New Roman"/>
                <w:color w:val="000000"/>
                <w:sz w:val="16"/>
                <w:szCs w:val="16"/>
              </w:rPr>
              <w:t>35</w:t>
            </w:r>
          </w:p>
        </w:tc>
        <w:tc>
          <w:tcPr>
            <w:tcW w:w="0" w:type="auto"/>
            <w:gridSpan w:val="3"/>
            <w:tcMar>
              <w:top w:w="30" w:type="dxa"/>
              <w:left w:w="20" w:type="dxa"/>
              <w:bottom w:w="30" w:type="dxa"/>
              <w:right w:w="20" w:type="dxa"/>
            </w:tcMar>
            <w:vAlign w:val="bottom"/>
            <w:hideMark/>
          </w:tcPr>
          <w:p w14:paraId="5E093898"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DD196BC" w14:textId="77777777" w:rsidR="00000000" w:rsidRDefault="00A173A8">
      <w:pPr>
        <w:rPr>
          <w:rFonts w:eastAsia="Times New Roman"/>
        </w:rPr>
      </w:pPr>
      <w:r>
        <w:rPr>
          <w:rFonts w:eastAsia="Times New Roman"/>
        </w:rPr>
        <w:pict w14:anchorId="3233B658">
          <v:rect id="_x0000_i1060" style="width:0;height:1.5pt" o:hralign="center" o:hrstd="t" o:hr="t" fillcolor="#a0a0a0" stroked="f"/>
        </w:pict>
      </w:r>
    </w:p>
    <w:p w14:paraId="5C9065A3" w14:textId="77777777" w:rsidR="00000000" w:rsidRDefault="00A173A8">
      <w:pPr>
        <w:ind w:hanging="360"/>
        <w:jc w:val="both"/>
        <w:divId w:val="476579224"/>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598"/>
        <w:gridCol w:w="39"/>
        <w:gridCol w:w="36"/>
        <w:gridCol w:w="36"/>
        <w:gridCol w:w="36"/>
        <w:gridCol w:w="120"/>
        <w:gridCol w:w="700"/>
        <w:gridCol w:w="36"/>
        <w:gridCol w:w="36"/>
        <w:gridCol w:w="36"/>
        <w:gridCol w:w="36"/>
        <w:gridCol w:w="57"/>
        <w:gridCol w:w="464"/>
        <w:gridCol w:w="220"/>
        <w:gridCol w:w="36"/>
        <w:gridCol w:w="36"/>
        <w:gridCol w:w="36"/>
        <w:gridCol w:w="120"/>
        <w:gridCol w:w="700"/>
        <w:gridCol w:w="36"/>
        <w:gridCol w:w="36"/>
        <w:gridCol w:w="36"/>
        <w:gridCol w:w="36"/>
        <w:gridCol w:w="56"/>
        <w:gridCol w:w="465"/>
        <w:gridCol w:w="187"/>
        <w:gridCol w:w="36"/>
      </w:tblGrid>
      <w:tr w:rsidR="00000000" w14:paraId="25EEE4A4" w14:textId="77777777">
        <w:trPr>
          <w:divId w:val="351341413"/>
        </w:trPr>
        <w:tc>
          <w:tcPr>
            <w:tcW w:w="50" w:type="pct"/>
            <w:vAlign w:val="center"/>
            <w:hideMark/>
          </w:tcPr>
          <w:p w14:paraId="2A981906" w14:textId="77777777" w:rsidR="00000000" w:rsidRDefault="00A173A8">
            <w:pPr>
              <w:ind w:hanging="360"/>
              <w:jc w:val="both"/>
              <w:rPr>
                <w:rFonts w:eastAsia="Times New Roman"/>
              </w:rPr>
            </w:pPr>
          </w:p>
        </w:tc>
        <w:tc>
          <w:tcPr>
            <w:tcW w:w="2920" w:type="pct"/>
            <w:vAlign w:val="center"/>
            <w:hideMark/>
          </w:tcPr>
          <w:p w14:paraId="2804C9DB" w14:textId="77777777" w:rsidR="00000000" w:rsidRDefault="00A173A8">
            <w:pPr>
              <w:spacing w:after="100"/>
              <w:rPr>
                <w:rFonts w:eastAsia="Times New Roman"/>
                <w:sz w:val="20"/>
                <w:szCs w:val="20"/>
              </w:rPr>
            </w:pPr>
          </w:p>
        </w:tc>
        <w:tc>
          <w:tcPr>
            <w:tcW w:w="5" w:type="pct"/>
            <w:vAlign w:val="center"/>
            <w:hideMark/>
          </w:tcPr>
          <w:p w14:paraId="5AC0A5C2" w14:textId="77777777" w:rsidR="00000000" w:rsidRDefault="00A173A8">
            <w:pPr>
              <w:spacing w:after="100"/>
              <w:rPr>
                <w:rFonts w:eastAsia="Times New Roman"/>
                <w:sz w:val="20"/>
                <w:szCs w:val="20"/>
              </w:rPr>
            </w:pPr>
          </w:p>
        </w:tc>
        <w:tc>
          <w:tcPr>
            <w:tcW w:w="5" w:type="pct"/>
            <w:vAlign w:val="center"/>
            <w:hideMark/>
          </w:tcPr>
          <w:p w14:paraId="2BA3DD18" w14:textId="77777777" w:rsidR="00000000" w:rsidRDefault="00A173A8">
            <w:pPr>
              <w:spacing w:after="100"/>
              <w:rPr>
                <w:rFonts w:eastAsia="Times New Roman"/>
                <w:sz w:val="20"/>
                <w:szCs w:val="20"/>
              </w:rPr>
            </w:pPr>
          </w:p>
        </w:tc>
        <w:tc>
          <w:tcPr>
            <w:tcW w:w="26" w:type="pct"/>
            <w:vAlign w:val="center"/>
            <w:hideMark/>
          </w:tcPr>
          <w:p w14:paraId="48659E7C" w14:textId="77777777" w:rsidR="00000000" w:rsidRDefault="00A173A8">
            <w:pPr>
              <w:spacing w:after="100"/>
              <w:rPr>
                <w:rFonts w:eastAsia="Times New Roman"/>
                <w:sz w:val="20"/>
                <w:szCs w:val="20"/>
              </w:rPr>
            </w:pPr>
          </w:p>
        </w:tc>
        <w:tc>
          <w:tcPr>
            <w:tcW w:w="5" w:type="pct"/>
            <w:vAlign w:val="center"/>
            <w:hideMark/>
          </w:tcPr>
          <w:p w14:paraId="7D7DE0CC" w14:textId="77777777" w:rsidR="00000000" w:rsidRDefault="00A173A8">
            <w:pPr>
              <w:spacing w:after="100"/>
              <w:rPr>
                <w:rFonts w:eastAsia="Times New Roman"/>
                <w:sz w:val="20"/>
                <w:szCs w:val="20"/>
              </w:rPr>
            </w:pPr>
          </w:p>
        </w:tc>
        <w:tc>
          <w:tcPr>
            <w:tcW w:w="50" w:type="pct"/>
            <w:vAlign w:val="center"/>
            <w:hideMark/>
          </w:tcPr>
          <w:p w14:paraId="6125E592" w14:textId="77777777" w:rsidR="00000000" w:rsidRDefault="00A173A8">
            <w:pPr>
              <w:spacing w:after="100"/>
              <w:rPr>
                <w:rFonts w:eastAsia="Times New Roman"/>
                <w:sz w:val="20"/>
                <w:szCs w:val="20"/>
              </w:rPr>
            </w:pPr>
          </w:p>
        </w:tc>
        <w:tc>
          <w:tcPr>
            <w:tcW w:w="412" w:type="pct"/>
            <w:vAlign w:val="center"/>
            <w:hideMark/>
          </w:tcPr>
          <w:p w14:paraId="05E50ECC" w14:textId="77777777" w:rsidR="00000000" w:rsidRDefault="00A173A8">
            <w:pPr>
              <w:spacing w:after="100"/>
              <w:rPr>
                <w:rFonts w:eastAsia="Times New Roman"/>
                <w:sz w:val="20"/>
                <w:szCs w:val="20"/>
              </w:rPr>
            </w:pPr>
          </w:p>
        </w:tc>
        <w:tc>
          <w:tcPr>
            <w:tcW w:w="5" w:type="pct"/>
            <w:vAlign w:val="center"/>
            <w:hideMark/>
          </w:tcPr>
          <w:p w14:paraId="3F756C25" w14:textId="77777777" w:rsidR="00000000" w:rsidRDefault="00A173A8">
            <w:pPr>
              <w:spacing w:after="100"/>
              <w:rPr>
                <w:rFonts w:eastAsia="Times New Roman"/>
                <w:sz w:val="20"/>
                <w:szCs w:val="20"/>
              </w:rPr>
            </w:pPr>
          </w:p>
        </w:tc>
        <w:tc>
          <w:tcPr>
            <w:tcW w:w="5" w:type="pct"/>
            <w:vAlign w:val="center"/>
            <w:hideMark/>
          </w:tcPr>
          <w:p w14:paraId="16C29E96" w14:textId="77777777" w:rsidR="00000000" w:rsidRDefault="00A173A8">
            <w:pPr>
              <w:spacing w:after="100"/>
              <w:rPr>
                <w:rFonts w:eastAsia="Times New Roman"/>
                <w:sz w:val="20"/>
                <w:szCs w:val="20"/>
              </w:rPr>
            </w:pPr>
          </w:p>
        </w:tc>
        <w:tc>
          <w:tcPr>
            <w:tcW w:w="26" w:type="pct"/>
            <w:vAlign w:val="center"/>
            <w:hideMark/>
          </w:tcPr>
          <w:p w14:paraId="434A9D7C" w14:textId="77777777" w:rsidR="00000000" w:rsidRDefault="00A173A8">
            <w:pPr>
              <w:spacing w:after="100"/>
              <w:rPr>
                <w:rFonts w:eastAsia="Times New Roman"/>
                <w:sz w:val="20"/>
                <w:szCs w:val="20"/>
              </w:rPr>
            </w:pPr>
          </w:p>
        </w:tc>
        <w:tc>
          <w:tcPr>
            <w:tcW w:w="5" w:type="pct"/>
            <w:vAlign w:val="center"/>
            <w:hideMark/>
          </w:tcPr>
          <w:p w14:paraId="20887258" w14:textId="77777777" w:rsidR="00000000" w:rsidRDefault="00A173A8">
            <w:pPr>
              <w:spacing w:after="100"/>
              <w:rPr>
                <w:rFonts w:eastAsia="Times New Roman"/>
                <w:sz w:val="20"/>
                <w:szCs w:val="20"/>
              </w:rPr>
            </w:pPr>
          </w:p>
        </w:tc>
        <w:tc>
          <w:tcPr>
            <w:tcW w:w="50" w:type="pct"/>
            <w:vAlign w:val="center"/>
            <w:hideMark/>
          </w:tcPr>
          <w:p w14:paraId="2D975AB5" w14:textId="77777777" w:rsidR="00000000" w:rsidRDefault="00A173A8">
            <w:pPr>
              <w:spacing w:after="100"/>
              <w:rPr>
                <w:rFonts w:eastAsia="Times New Roman"/>
                <w:sz w:val="20"/>
                <w:szCs w:val="20"/>
              </w:rPr>
            </w:pPr>
          </w:p>
        </w:tc>
        <w:tc>
          <w:tcPr>
            <w:tcW w:w="412" w:type="pct"/>
            <w:vAlign w:val="center"/>
            <w:hideMark/>
          </w:tcPr>
          <w:p w14:paraId="227FA933" w14:textId="77777777" w:rsidR="00000000" w:rsidRDefault="00A173A8">
            <w:pPr>
              <w:spacing w:after="100"/>
              <w:rPr>
                <w:rFonts w:eastAsia="Times New Roman"/>
                <w:sz w:val="20"/>
                <w:szCs w:val="20"/>
              </w:rPr>
            </w:pPr>
          </w:p>
        </w:tc>
        <w:tc>
          <w:tcPr>
            <w:tcW w:w="5" w:type="pct"/>
            <w:vAlign w:val="center"/>
            <w:hideMark/>
          </w:tcPr>
          <w:p w14:paraId="168ABC08" w14:textId="77777777" w:rsidR="00000000" w:rsidRDefault="00A173A8">
            <w:pPr>
              <w:spacing w:after="100"/>
              <w:rPr>
                <w:rFonts w:eastAsia="Times New Roman"/>
                <w:sz w:val="20"/>
                <w:szCs w:val="20"/>
              </w:rPr>
            </w:pPr>
          </w:p>
        </w:tc>
        <w:tc>
          <w:tcPr>
            <w:tcW w:w="5" w:type="pct"/>
            <w:vAlign w:val="center"/>
            <w:hideMark/>
          </w:tcPr>
          <w:p w14:paraId="635C42B7" w14:textId="77777777" w:rsidR="00000000" w:rsidRDefault="00A173A8">
            <w:pPr>
              <w:spacing w:after="100"/>
              <w:rPr>
                <w:rFonts w:eastAsia="Times New Roman"/>
                <w:sz w:val="20"/>
                <w:szCs w:val="20"/>
              </w:rPr>
            </w:pPr>
          </w:p>
        </w:tc>
        <w:tc>
          <w:tcPr>
            <w:tcW w:w="26" w:type="pct"/>
            <w:vAlign w:val="center"/>
            <w:hideMark/>
          </w:tcPr>
          <w:p w14:paraId="65784F14" w14:textId="77777777" w:rsidR="00000000" w:rsidRDefault="00A173A8">
            <w:pPr>
              <w:spacing w:after="100"/>
              <w:rPr>
                <w:rFonts w:eastAsia="Times New Roman"/>
                <w:sz w:val="20"/>
                <w:szCs w:val="20"/>
              </w:rPr>
            </w:pPr>
          </w:p>
        </w:tc>
        <w:tc>
          <w:tcPr>
            <w:tcW w:w="5" w:type="pct"/>
            <w:vAlign w:val="center"/>
            <w:hideMark/>
          </w:tcPr>
          <w:p w14:paraId="537EA1FC" w14:textId="77777777" w:rsidR="00000000" w:rsidRDefault="00A173A8">
            <w:pPr>
              <w:spacing w:after="100"/>
              <w:rPr>
                <w:rFonts w:eastAsia="Times New Roman"/>
                <w:sz w:val="20"/>
                <w:szCs w:val="20"/>
              </w:rPr>
            </w:pPr>
          </w:p>
        </w:tc>
        <w:tc>
          <w:tcPr>
            <w:tcW w:w="50" w:type="pct"/>
            <w:vAlign w:val="center"/>
            <w:hideMark/>
          </w:tcPr>
          <w:p w14:paraId="3C1913B8" w14:textId="77777777" w:rsidR="00000000" w:rsidRDefault="00A173A8">
            <w:pPr>
              <w:spacing w:after="100"/>
              <w:rPr>
                <w:rFonts w:eastAsia="Times New Roman"/>
                <w:sz w:val="20"/>
                <w:szCs w:val="20"/>
              </w:rPr>
            </w:pPr>
          </w:p>
        </w:tc>
        <w:tc>
          <w:tcPr>
            <w:tcW w:w="412" w:type="pct"/>
            <w:vAlign w:val="center"/>
            <w:hideMark/>
          </w:tcPr>
          <w:p w14:paraId="29164526" w14:textId="77777777" w:rsidR="00000000" w:rsidRDefault="00A173A8">
            <w:pPr>
              <w:spacing w:after="100"/>
              <w:rPr>
                <w:rFonts w:eastAsia="Times New Roman"/>
                <w:sz w:val="20"/>
                <w:szCs w:val="20"/>
              </w:rPr>
            </w:pPr>
          </w:p>
        </w:tc>
        <w:tc>
          <w:tcPr>
            <w:tcW w:w="5" w:type="pct"/>
            <w:vAlign w:val="center"/>
            <w:hideMark/>
          </w:tcPr>
          <w:p w14:paraId="56678B56" w14:textId="77777777" w:rsidR="00000000" w:rsidRDefault="00A173A8">
            <w:pPr>
              <w:spacing w:after="100"/>
              <w:rPr>
                <w:rFonts w:eastAsia="Times New Roman"/>
                <w:sz w:val="20"/>
                <w:szCs w:val="20"/>
              </w:rPr>
            </w:pPr>
          </w:p>
        </w:tc>
        <w:tc>
          <w:tcPr>
            <w:tcW w:w="5" w:type="pct"/>
            <w:vAlign w:val="center"/>
            <w:hideMark/>
          </w:tcPr>
          <w:p w14:paraId="5D59357C" w14:textId="77777777" w:rsidR="00000000" w:rsidRDefault="00A173A8">
            <w:pPr>
              <w:spacing w:after="100"/>
              <w:rPr>
                <w:rFonts w:eastAsia="Times New Roman"/>
                <w:sz w:val="20"/>
                <w:szCs w:val="20"/>
              </w:rPr>
            </w:pPr>
          </w:p>
        </w:tc>
        <w:tc>
          <w:tcPr>
            <w:tcW w:w="26" w:type="pct"/>
            <w:vAlign w:val="center"/>
            <w:hideMark/>
          </w:tcPr>
          <w:p w14:paraId="4265CEAE" w14:textId="77777777" w:rsidR="00000000" w:rsidRDefault="00A173A8">
            <w:pPr>
              <w:spacing w:after="100"/>
              <w:rPr>
                <w:rFonts w:eastAsia="Times New Roman"/>
                <w:sz w:val="20"/>
                <w:szCs w:val="20"/>
              </w:rPr>
            </w:pPr>
          </w:p>
        </w:tc>
        <w:tc>
          <w:tcPr>
            <w:tcW w:w="5" w:type="pct"/>
            <w:vAlign w:val="center"/>
            <w:hideMark/>
          </w:tcPr>
          <w:p w14:paraId="56B6D3FC" w14:textId="77777777" w:rsidR="00000000" w:rsidRDefault="00A173A8">
            <w:pPr>
              <w:spacing w:after="100"/>
              <w:rPr>
                <w:rFonts w:eastAsia="Times New Roman"/>
                <w:sz w:val="20"/>
                <w:szCs w:val="20"/>
              </w:rPr>
            </w:pPr>
          </w:p>
        </w:tc>
        <w:tc>
          <w:tcPr>
            <w:tcW w:w="50" w:type="pct"/>
            <w:vAlign w:val="center"/>
            <w:hideMark/>
          </w:tcPr>
          <w:p w14:paraId="3EEF3E2B" w14:textId="77777777" w:rsidR="00000000" w:rsidRDefault="00A173A8">
            <w:pPr>
              <w:spacing w:after="100"/>
              <w:rPr>
                <w:rFonts w:eastAsia="Times New Roman"/>
                <w:sz w:val="20"/>
                <w:szCs w:val="20"/>
              </w:rPr>
            </w:pPr>
          </w:p>
        </w:tc>
        <w:tc>
          <w:tcPr>
            <w:tcW w:w="420" w:type="pct"/>
            <w:vAlign w:val="center"/>
            <w:hideMark/>
          </w:tcPr>
          <w:p w14:paraId="7B30C65E" w14:textId="77777777" w:rsidR="00000000" w:rsidRDefault="00A173A8">
            <w:pPr>
              <w:spacing w:after="100"/>
              <w:rPr>
                <w:rFonts w:eastAsia="Times New Roman"/>
                <w:sz w:val="20"/>
                <w:szCs w:val="20"/>
              </w:rPr>
            </w:pPr>
          </w:p>
        </w:tc>
        <w:tc>
          <w:tcPr>
            <w:tcW w:w="5" w:type="pct"/>
            <w:vAlign w:val="center"/>
            <w:hideMark/>
          </w:tcPr>
          <w:p w14:paraId="193700AF" w14:textId="77777777" w:rsidR="00000000" w:rsidRDefault="00A173A8">
            <w:pPr>
              <w:spacing w:after="100"/>
              <w:rPr>
                <w:rFonts w:eastAsia="Times New Roman"/>
                <w:sz w:val="20"/>
                <w:szCs w:val="20"/>
              </w:rPr>
            </w:pPr>
          </w:p>
        </w:tc>
        <w:tc>
          <w:tcPr>
            <w:tcW w:w="0" w:type="auto"/>
            <w:vAlign w:val="center"/>
            <w:hideMark/>
          </w:tcPr>
          <w:p w14:paraId="6E21E8DA" w14:textId="77777777" w:rsidR="00000000" w:rsidRDefault="00A173A8">
            <w:pPr>
              <w:spacing w:after="100"/>
              <w:rPr>
                <w:rFonts w:eastAsia="Times New Roman"/>
                <w:sz w:val="20"/>
                <w:szCs w:val="20"/>
              </w:rPr>
            </w:pPr>
          </w:p>
        </w:tc>
      </w:tr>
      <w:tr w:rsidR="00000000" w14:paraId="6FC00D3A" w14:textId="77777777">
        <w:trPr>
          <w:divId w:val="351341413"/>
        </w:trPr>
        <w:tc>
          <w:tcPr>
            <w:tcW w:w="0" w:type="auto"/>
            <w:gridSpan w:val="3"/>
            <w:tcMar>
              <w:top w:w="0" w:type="dxa"/>
              <w:left w:w="20" w:type="dxa"/>
              <w:bottom w:w="0" w:type="dxa"/>
              <w:right w:w="20" w:type="dxa"/>
            </w:tcMar>
            <w:vAlign w:val="center"/>
            <w:hideMark/>
          </w:tcPr>
          <w:p w14:paraId="58C61B5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14393E"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9E4C86D"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58E9F3AF"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236649B" w14:textId="77777777" w:rsidR="00000000" w:rsidRDefault="00A173A8">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14:paraId="1BBE5498" w14:textId="77777777" w:rsidR="00000000" w:rsidRDefault="00A173A8">
            <w:pPr>
              <w:spacing w:after="100"/>
              <w:jc w:val="center"/>
              <w:rPr>
                <w:rFonts w:eastAsia="Times New Roman"/>
              </w:rPr>
            </w:pPr>
          </w:p>
        </w:tc>
      </w:tr>
      <w:tr w:rsidR="00000000" w14:paraId="4EFD0B09" w14:textId="77777777">
        <w:trPr>
          <w:divId w:val="351341413"/>
        </w:trPr>
        <w:tc>
          <w:tcPr>
            <w:tcW w:w="0" w:type="auto"/>
            <w:gridSpan w:val="3"/>
            <w:tcBorders>
              <w:bottom w:val="single" w:sz="8" w:space="0" w:color="000000"/>
            </w:tcBorders>
            <w:tcMar>
              <w:top w:w="30" w:type="dxa"/>
              <w:left w:w="20" w:type="dxa"/>
              <w:bottom w:w="30" w:type="dxa"/>
              <w:right w:w="20" w:type="dxa"/>
            </w:tcMar>
            <w:vAlign w:val="bottom"/>
            <w:hideMark/>
          </w:tcPr>
          <w:p w14:paraId="35C86B3F"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64C72F6B"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730C6A" w14:textId="77777777" w:rsidR="00000000" w:rsidRDefault="00A173A8">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00B0119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A02BA4" w14:textId="77777777" w:rsidR="00000000" w:rsidRDefault="00A173A8">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04B72599"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2A16B5" w14:textId="77777777" w:rsidR="00000000" w:rsidRDefault="00A173A8">
            <w:pPr>
              <w:spacing w:after="100"/>
              <w:jc w:val="center"/>
              <w:rPr>
                <w:rFonts w:eastAsia="Times New Roman"/>
              </w:rPr>
            </w:pPr>
            <w:r>
              <w:rPr>
                <w:rFonts w:eastAsia="Times New Roman"/>
                <w:b/>
                <w:bCs/>
                <w:color w:val="000000"/>
                <w:sz w:val="20"/>
                <w:szCs w:val="20"/>
              </w:rPr>
              <w:t>Loans</w:t>
            </w:r>
          </w:p>
        </w:tc>
        <w:tc>
          <w:tcPr>
            <w:tcW w:w="0" w:type="auto"/>
            <w:gridSpan w:val="3"/>
            <w:tcBorders>
              <w:top w:val="single" w:sz="8" w:space="0" w:color="000000"/>
            </w:tcBorders>
            <w:tcMar>
              <w:top w:w="0" w:type="dxa"/>
              <w:left w:w="20" w:type="dxa"/>
              <w:bottom w:w="0" w:type="dxa"/>
              <w:right w:w="20" w:type="dxa"/>
            </w:tcMar>
            <w:vAlign w:val="center"/>
            <w:hideMark/>
          </w:tcPr>
          <w:p w14:paraId="46B5D31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7072E0" w14:textId="77777777" w:rsidR="00000000" w:rsidRDefault="00A173A8">
            <w:pPr>
              <w:spacing w:after="100"/>
              <w:jc w:val="center"/>
              <w:rPr>
                <w:rFonts w:eastAsia="Times New Roman"/>
              </w:rPr>
            </w:pPr>
            <w:r>
              <w:rPr>
                <w:rFonts w:eastAsia="Times New Roman"/>
                <w:b/>
                <w:bCs/>
                <w:color w:val="000000"/>
                <w:sz w:val="20"/>
                <w:szCs w:val="20"/>
              </w:rPr>
              <w:t>% of Total</w:t>
            </w:r>
          </w:p>
        </w:tc>
        <w:tc>
          <w:tcPr>
            <w:tcW w:w="0" w:type="auto"/>
            <w:vAlign w:val="center"/>
            <w:hideMark/>
          </w:tcPr>
          <w:p w14:paraId="1CF3C5EE" w14:textId="77777777" w:rsidR="00000000" w:rsidRDefault="00A173A8">
            <w:pPr>
              <w:spacing w:after="100"/>
              <w:jc w:val="center"/>
              <w:rPr>
                <w:rFonts w:eastAsia="Times New Roman"/>
              </w:rPr>
            </w:pPr>
          </w:p>
        </w:tc>
      </w:tr>
      <w:tr w:rsidR="00000000" w14:paraId="41643AB3" w14:textId="77777777">
        <w:trPr>
          <w:divId w:val="351341413"/>
        </w:trPr>
        <w:tc>
          <w:tcPr>
            <w:tcW w:w="0" w:type="auto"/>
            <w:gridSpan w:val="3"/>
            <w:shd w:val="clear" w:color="auto" w:fill="CCEEFF"/>
            <w:tcMar>
              <w:top w:w="30" w:type="dxa"/>
              <w:left w:w="20" w:type="dxa"/>
              <w:bottom w:w="30" w:type="dxa"/>
              <w:right w:w="20" w:type="dxa"/>
            </w:tcMar>
            <w:vAlign w:val="center"/>
            <w:hideMark/>
          </w:tcPr>
          <w:p w14:paraId="5C9D2E5C" w14:textId="77777777" w:rsidR="00000000" w:rsidRDefault="00A173A8">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15087450"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62E25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916C0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E96B1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BEE61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8CEC4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51FC7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4E7D46" w14:textId="77777777" w:rsidR="00000000" w:rsidRDefault="00A173A8">
            <w:pPr>
              <w:spacing w:after="100"/>
              <w:rPr>
                <w:rFonts w:eastAsia="Times New Roman"/>
                <w:sz w:val="20"/>
                <w:szCs w:val="20"/>
              </w:rPr>
            </w:pPr>
          </w:p>
        </w:tc>
        <w:tc>
          <w:tcPr>
            <w:tcW w:w="0" w:type="auto"/>
            <w:vAlign w:val="center"/>
            <w:hideMark/>
          </w:tcPr>
          <w:p w14:paraId="3328DAF2" w14:textId="77777777" w:rsidR="00000000" w:rsidRDefault="00A173A8">
            <w:pPr>
              <w:spacing w:after="100"/>
              <w:rPr>
                <w:rFonts w:eastAsia="Times New Roman"/>
                <w:sz w:val="20"/>
                <w:szCs w:val="20"/>
              </w:rPr>
            </w:pPr>
          </w:p>
        </w:tc>
      </w:tr>
      <w:tr w:rsidR="00000000" w14:paraId="5A06631B" w14:textId="77777777">
        <w:trPr>
          <w:divId w:val="351341413"/>
        </w:trPr>
        <w:tc>
          <w:tcPr>
            <w:tcW w:w="0" w:type="auto"/>
            <w:gridSpan w:val="3"/>
            <w:shd w:val="clear" w:color="auto" w:fill="FFFFFF"/>
            <w:tcMar>
              <w:top w:w="30" w:type="dxa"/>
              <w:left w:w="245" w:type="dxa"/>
              <w:bottom w:w="30" w:type="dxa"/>
              <w:right w:w="20" w:type="dxa"/>
            </w:tcMar>
            <w:vAlign w:val="center"/>
            <w:hideMark/>
          </w:tcPr>
          <w:p w14:paraId="3D2CB520" w14:textId="77777777" w:rsidR="00000000" w:rsidRDefault="00A173A8">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772D6D2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4C08965" w14:textId="77777777" w:rsidR="00000000" w:rsidRDefault="00A173A8">
            <w:pPr>
              <w:spacing w:after="100"/>
              <w:jc w:val="right"/>
              <w:rPr>
                <w:rFonts w:eastAsia="Times New Roman"/>
              </w:rPr>
            </w:pPr>
            <w:r>
              <w:rPr>
                <w:rFonts w:eastAsia="Times New Roman"/>
                <w:b/>
                <w:bCs/>
                <w:color w:val="000000"/>
                <w:sz w:val="20"/>
                <w:szCs w:val="20"/>
              </w:rPr>
              <w:t>79,926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963ABA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CF5D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302095" w14:textId="77777777" w:rsidR="00000000" w:rsidRDefault="00A173A8">
            <w:pPr>
              <w:spacing w:after="100"/>
              <w:jc w:val="right"/>
              <w:rPr>
                <w:rFonts w:eastAsia="Times New Roman"/>
              </w:rPr>
            </w:pPr>
            <w:r>
              <w:rPr>
                <w:rFonts w:eastAsia="Times New Roman"/>
                <w:b/>
                <w:bCs/>
                <w:color w:val="000000"/>
                <w:sz w:val="20"/>
                <w:szCs w:val="20"/>
              </w:rPr>
              <w:t>27.0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45EC80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D5EF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A1AF3B" w14:textId="77777777" w:rsidR="00000000" w:rsidRDefault="00A173A8">
            <w:pPr>
              <w:spacing w:after="100"/>
              <w:jc w:val="right"/>
              <w:rPr>
                <w:rFonts w:eastAsia="Times New Roman"/>
              </w:rPr>
            </w:pPr>
            <w:r>
              <w:rPr>
                <w:rFonts w:eastAsia="Times New Roman"/>
                <w:color w:val="000000"/>
                <w:sz w:val="20"/>
                <w:szCs w:val="20"/>
              </w:rPr>
              <w:t>75,779 </w:t>
            </w:r>
          </w:p>
        </w:tc>
        <w:tc>
          <w:tcPr>
            <w:tcW w:w="0" w:type="auto"/>
            <w:shd w:val="clear" w:color="auto" w:fill="FFFFFF"/>
            <w:tcMar>
              <w:top w:w="30" w:type="dxa"/>
              <w:left w:w="0" w:type="dxa"/>
              <w:bottom w:w="30" w:type="dxa"/>
              <w:right w:w="20" w:type="dxa"/>
            </w:tcMar>
            <w:vAlign w:val="center"/>
            <w:hideMark/>
          </w:tcPr>
          <w:p w14:paraId="2BCC416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6C80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641DFD" w14:textId="77777777" w:rsidR="00000000" w:rsidRDefault="00A173A8">
            <w:pPr>
              <w:spacing w:after="100"/>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center"/>
            <w:hideMark/>
          </w:tcPr>
          <w:p w14:paraId="56DF5943" w14:textId="77777777" w:rsidR="00000000" w:rsidRDefault="00A173A8">
            <w:pPr>
              <w:spacing w:after="100"/>
              <w:jc w:val="right"/>
              <w:rPr>
                <w:rFonts w:eastAsia="Times New Roman"/>
              </w:rPr>
            </w:pPr>
          </w:p>
        </w:tc>
        <w:tc>
          <w:tcPr>
            <w:tcW w:w="0" w:type="auto"/>
            <w:vAlign w:val="center"/>
            <w:hideMark/>
          </w:tcPr>
          <w:p w14:paraId="51703DF9" w14:textId="77777777" w:rsidR="00000000" w:rsidRDefault="00A173A8">
            <w:pPr>
              <w:spacing w:after="100"/>
              <w:jc w:val="right"/>
              <w:rPr>
                <w:rFonts w:eastAsia="Times New Roman"/>
                <w:sz w:val="20"/>
                <w:szCs w:val="20"/>
              </w:rPr>
            </w:pPr>
          </w:p>
        </w:tc>
      </w:tr>
      <w:tr w:rsidR="00000000" w14:paraId="098B1823" w14:textId="77777777">
        <w:trPr>
          <w:divId w:val="351341413"/>
        </w:trPr>
        <w:tc>
          <w:tcPr>
            <w:tcW w:w="0" w:type="auto"/>
            <w:gridSpan w:val="3"/>
            <w:shd w:val="clear" w:color="auto" w:fill="CCEEFF"/>
            <w:tcMar>
              <w:top w:w="30" w:type="dxa"/>
              <w:left w:w="20" w:type="dxa"/>
              <w:bottom w:w="30" w:type="dxa"/>
              <w:right w:w="20" w:type="dxa"/>
            </w:tcMar>
            <w:vAlign w:val="center"/>
            <w:hideMark/>
          </w:tcPr>
          <w:p w14:paraId="4214E0FE" w14:textId="77777777" w:rsidR="00000000" w:rsidRDefault="00A173A8">
            <w:pPr>
              <w:spacing w:after="100"/>
              <w:divId w:val="315763873"/>
              <w:rPr>
                <w:rFonts w:eastAsia="Times New Roman"/>
              </w:rPr>
            </w:pPr>
            <w:r>
              <w:rPr>
                <w:rFonts w:eastAsia="Times New Roman"/>
                <w:color w:val="000000"/>
                <w:sz w:val="20"/>
                <w:szCs w:val="20"/>
              </w:rPr>
              <w:t>Retail bankin</w:t>
            </w:r>
            <w:r>
              <w:rPr>
                <w:rFonts w:eastAsia="Times New Roman"/>
                <w:color w:val="000000"/>
                <w:sz w:val="20"/>
                <w:szCs w:val="20"/>
              </w:rPr>
              <w:t>g</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14:paraId="3608567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8EA56DD" w14:textId="77777777" w:rsidR="00000000" w:rsidRDefault="00A173A8">
            <w:pPr>
              <w:spacing w:after="100"/>
              <w:jc w:val="right"/>
              <w:rPr>
                <w:rFonts w:eastAsia="Times New Roman"/>
              </w:rPr>
            </w:pPr>
            <w:r>
              <w:rPr>
                <w:rFonts w:eastAsia="Times New Roman"/>
                <w:b/>
                <w:bCs/>
                <w:color w:val="000000"/>
                <w:sz w:val="20"/>
                <w:szCs w:val="20"/>
              </w:rPr>
              <w:t>1,605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113669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407C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BB0AFF" w14:textId="77777777" w:rsidR="00000000" w:rsidRDefault="00A173A8">
            <w:pPr>
              <w:spacing w:after="100"/>
              <w:jc w:val="right"/>
              <w:rPr>
                <w:rFonts w:eastAsia="Times New Roman"/>
              </w:rPr>
            </w:pPr>
            <w:r>
              <w:rPr>
                <w:rFonts w:eastAsia="Times New Roman"/>
                <w:b/>
                <w:bCs/>
                <w:color w:val="000000"/>
                <w:sz w:val="20"/>
                <w:szCs w:val="20"/>
              </w:rPr>
              <w:t>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CA1D15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90EB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E62B9D" w14:textId="77777777" w:rsidR="00000000" w:rsidRDefault="00A173A8">
            <w:pPr>
              <w:spacing w:after="100"/>
              <w:jc w:val="right"/>
              <w:rPr>
                <w:rFonts w:eastAsia="Times New Roman"/>
              </w:rPr>
            </w:pPr>
            <w:r>
              <w:rPr>
                <w:rFonts w:eastAsia="Times New Roman"/>
                <w:color w:val="000000"/>
                <w:sz w:val="20"/>
                <w:szCs w:val="20"/>
              </w:rPr>
              <w:t>1,867 </w:t>
            </w:r>
          </w:p>
        </w:tc>
        <w:tc>
          <w:tcPr>
            <w:tcW w:w="0" w:type="auto"/>
            <w:shd w:val="clear" w:color="auto" w:fill="CCEEFF"/>
            <w:tcMar>
              <w:top w:w="30" w:type="dxa"/>
              <w:left w:w="0" w:type="dxa"/>
              <w:bottom w:w="30" w:type="dxa"/>
              <w:right w:w="20" w:type="dxa"/>
            </w:tcMar>
            <w:vAlign w:val="center"/>
            <w:hideMark/>
          </w:tcPr>
          <w:p w14:paraId="7A241B8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0B65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9F757B" w14:textId="77777777" w:rsidR="00000000" w:rsidRDefault="00A173A8">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center"/>
            <w:hideMark/>
          </w:tcPr>
          <w:p w14:paraId="7F6AB5AA" w14:textId="77777777" w:rsidR="00000000" w:rsidRDefault="00A173A8">
            <w:pPr>
              <w:spacing w:after="100"/>
              <w:jc w:val="right"/>
              <w:rPr>
                <w:rFonts w:eastAsia="Times New Roman"/>
              </w:rPr>
            </w:pPr>
          </w:p>
        </w:tc>
        <w:tc>
          <w:tcPr>
            <w:tcW w:w="0" w:type="auto"/>
            <w:vAlign w:val="center"/>
            <w:hideMark/>
          </w:tcPr>
          <w:p w14:paraId="3BC82DA0" w14:textId="77777777" w:rsidR="00000000" w:rsidRDefault="00A173A8">
            <w:pPr>
              <w:spacing w:after="100"/>
              <w:jc w:val="right"/>
              <w:rPr>
                <w:rFonts w:eastAsia="Times New Roman"/>
                <w:sz w:val="20"/>
                <w:szCs w:val="20"/>
              </w:rPr>
            </w:pPr>
          </w:p>
        </w:tc>
      </w:tr>
      <w:tr w:rsidR="00000000" w14:paraId="573B395A" w14:textId="77777777">
        <w:trPr>
          <w:divId w:val="351341413"/>
        </w:trPr>
        <w:tc>
          <w:tcPr>
            <w:tcW w:w="0" w:type="auto"/>
            <w:gridSpan w:val="3"/>
            <w:shd w:val="clear" w:color="auto" w:fill="FFFFFF"/>
            <w:tcMar>
              <w:top w:w="30" w:type="dxa"/>
              <w:left w:w="20" w:type="dxa"/>
              <w:bottom w:w="30" w:type="dxa"/>
              <w:right w:w="20" w:type="dxa"/>
            </w:tcMar>
            <w:vAlign w:val="center"/>
            <w:hideMark/>
          </w:tcPr>
          <w:p w14:paraId="3829B55B" w14:textId="77777777" w:rsidR="00000000" w:rsidRDefault="00A173A8">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331F3834"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FBBFC0E" w14:textId="77777777" w:rsidR="00000000" w:rsidRDefault="00A173A8">
            <w:pPr>
              <w:spacing w:after="100"/>
              <w:jc w:val="right"/>
              <w:rPr>
                <w:rFonts w:eastAsia="Times New Roman"/>
              </w:rPr>
            </w:pPr>
            <w:r>
              <w:rPr>
                <w:rFonts w:eastAsia="Times New Roman"/>
                <w:b/>
                <w:bCs/>
                <w:color w:val="000000"/>
                <w:sz w:val="20"/>
                <w:szCs w:val="20"/>
              </w:rPr>
              <w:t>81,531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9C184C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F51A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6BD716E" w14:textId="77777777" w:rsidR="00000000" w:rsidRDefault="00A173A8">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CB54E0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7FE7F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FF2E51E" w14:textId="77777777" w:rsidR="00000000" w:rsidRDefault="00A173A8">
            <w:pPr>
              <w:spacing w:after="100"/>
              <w:jc w:val="right"/>
              <w:rPr>
                <w:rFonts w:eastAsia="Times New Roman"/>
              </w:rPr>
            </w:pPr>
            <w:r>
              <w:rPr>
                <w:rFonts w:eastAsia="Times New Roman"/>
                <w:color w:val="000000"/>
                <w:sz w:val="20"/>
                <w:szCs w:val="20"/>
              </w:rPr>
              <w:t>77,646 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44C897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169D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38693B6" w14:textId="77777777" w:rsidR="00000000" w:rsidRDefault="00A173A8">
            <w:pPr>
              <w:spacing w:after="100"/>
              <w:jc w:val="right"/>
              <w:rPr>
                <w:rFonts w:eastAsia="Times New Roman"/>
              </w:rPr>
            </w:pPr>
            <w:r>
              <w:rPr>
                <w:rFonts w:eastAsia="Times New Roman"/>
                <w:color w:val="000000"/>
                <w:sz w:val="20"/>
                <w:szCs w:val="20"/>
              </w:rPr>
              <w:t>28.0 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CDD537B" w14:textId="77777777" w:rsidR="00000000" w:rsidRDefault="00A173A8">
            <w:pPr>
              <w:spacing w:after="100"/>
              <w:jc w:val="right"/>
              <w:rPr>
                <w:rFonts w:eastAsia="Times New Roman"/>
              </w:rPr>
            </w:pPr>
          </w:p>
        </w:tc>
        <w:tc>
          <w:tcPr>
            <w:tcW w:w="0" w:type="auto"/>
            <w:vAlign w:val="center"/>
            <w:hideMark/>
          </w:tcPr>
          <w:p w14:paraId="31D86F86" w14:textId="77777777" w:rsidR="00000000" w:rsidRDefault="00A173A8">
            <w:pPr>
              <w:spacing w:after="100"/>
              <w:jc w:val="right"/>
              <w:rPr>
                <w:rFonts w:eastAsia="Times New Roman"/>
                <w:sz w:val="20"/>
                <w:szCs w:val="20"/>
              </w:rPr>
            </w:pPr>
          </w:p>
        </w:tc>
      </w:tr>
      <w:tr w:rsidR="00000000" w14:paraId="523F4B31" w14:textId="77777777">
        <w:trPr>
          <w:divId w:val="351341413"/>
        </w:trPr>
        <w:tc>
          <w:tcPr>
            <w:tcW w:w="0" w:type="auto"/>
            <w:gridSpan w:val="3"/>
            <w:shd w:val="clear" w:color="auto" w:fill="CCEEFF"/>
            <w:tcMar>
              <w:top w:w="30" w:type="dxa"/>
              <w:left w:w="20" w:type="dxa"/>
              <w:bottom w:w="30" w:type="dxa"/>
              <w:right w:w="20" w:type="dxa"/>
            </w:tcMar>
            <w:vAlign w:val="center"/>
            <w:hideMark/>
          </w:tcPr>
          <w:p w14:paraId="16140B16" w14:textId="77777777" w:rsidR="00000000" w:rsidRDefault="00A173A8">
            <w:pPr>
              <w:spacing w:after="100"/>
              <w:divId w:val="621110481"/>
              <w:rPr>
                <w:rFonts w:eastAsia="Times New Roman"/>
              </w:rPr>
            </w:pPr>
            <w:r>
              <w:rPr>
                <w:rFonts w:eastAsia="Times New Roman"/>
                <w:b/>
                <w:bCs/>
                <w:color w:val="000000"/>
                <w:sz w:val="20"/>
                <w:szCs w:val="20"/>
              </w:rPr>
              <w:t>Commercial Banking</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9FA1938"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A6451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B59C0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30CC5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1BAD6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D7F7B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46592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D81AAB" w14:textId="77777777" w:rsidR="00000000" w:rsidRDefault="00A173A8">
            <w:pPr>
              <w:spacing w:after="100"/>
              <w:rPr>
                <w:rFonts w:eastAsia="Times New Roman"/>
                <w:sz w:val="20"/>
                <w:szCs w:val="20"/>
              </w:rPr>
            </w:pPr>
          </w:p>
        </w:tc>
        <w:tc>
          <w:tcPr>
            <w:tcW w:w="0" w:type="auto"/>
            <w:vAlign w:val="center"/>
            <w:hideMark/>
          </w:tcPr>
          <w:p w14:paraId="1A83ED9C" w14:textId="77777777" w:rsidR="00000000" w:rsidRDefault="00A173A8">
            <w:pPr>
              <w:spacing w:after="100"/>
              <w:rPr>
                <w:rFonts w:eastAsia="Times New Roman"/>
                <w:sz w:val="20"/>
                <w:szCs w:val="20"/>
              </w:rPr>
            </w:pPr>
          </w:p>
        </w:tc>
      </w:tr>
      <w:tr w:rsidR="00000000" w14:paraId="27EC9595" w14:textId="77777777">
        <w:trPr>
          <w:divId w:val="351341413"/>
        </w:trPr>
        <w:tc>
          <w:tcPr>
            <w:tcW w:w="0" w:type="auto"/>
            <w:gridSpan w:val="3"/>
            <w:shd w:val="clear" w:color="auto" w:fill="FFFFFF"/>
            <w:tcMar>
              <w:top w:w="30" w:type="dxa"/>
              <w:left w:w="245" w:type="dxa"/>
              <w:bottom w:w="30" w:type="dxa"/>
              <w:right w:w="20" w:type="dxa"/>
            </w:tcMar>
            <w:vAlign w:val="center"/>
            <w:hideMark/>
          </w:tcPr>
          <w:p w14:paraId="6134889D" w14:textId="77777777" w:rsidR="00000000" w:rsidRDefault="00A173A8">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3769EBD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58A6EA6" w14:textId="77777777" w:rsidR="00000000" w:rsidRDefault="00A173A8">
            <w:pPr>
              <w:spacing w:after="100"/>
              <w:jc w:val="right"/>
              <w:rPr>
                <w:rFonts w:eastAsia="Times New Roman"/>
              </w:rPr>
            </w:pPr>
            <w:r>
              <w:rPr>
                <w:rFonts w:eastAsia="Times New Roman"/>
                <w:b/>
                <w:bCs/>
                <w:color w:val="000000"/>
                <w:sz w:val="20"/>
                <w:szCs w:val="20"/>
              </w:rPr>
              <w:t>37,845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AC3CFB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376A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EC4EE6" w14:textId="77777777" w:rsidR="00000000" w:rsidRDefault="00A173A8">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49B79B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82E4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333ADF" w14:textId="77777777" w:rsidR="00000000" w:rsidRDefault="00A173A8">
            <w:pPr>
              <w:spacing w:after="100"/>
              <w:jc w:val="right"/>
              <w:rPr>
                <w:rFonts w:eastAsia="Times New Roman"/>
              </w:rPr>
            </w:pPr>
            <w:r>
              <w:rPr>
                <w:rFonts w:eastAsia="Times New Roman"/>
                <w:color w:val="000000"/>
                <w:sz w:val="20"/>
                <w:szCs w:val="20"/>
              </w:rPr>
              <w:t>35,262 </w:t>
            </w:r>
          </w:p>
        </w:tc>
        <w:tc>
          <w:tcPr>
            <w:tcW w:w="0" w:type="auto"/>
            <w:shd w:val="clear" w:color="auto" w:fill="FFFFFF"/>
            <w:tcMar>
              <w:top w:w="30" w:type="dxa"/>
              <w:left w:w="0" w:type="dxa"/>
              <w:bottom w:w="30" w:type="dxa"/>
              <w:right w:w="20" w:type="dxa"/>
            </w:tcMar>
            <w:vAlign w:val="center"/>
            <w:hideMark/>
          </w:tcPr>
          <w:p w14:paraId="70664CF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34BF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A5169F" w14:textId="77777777" w:rsidR="00000000" w:rsidRDefault="00A173A8">
            <w:pPr>
              <w:spacing w:after="100"/>
              <w:jc w:val="right"/>
              <w:rPr>
                <w:rFonts w:eastAsia="Times New Roman"/>
              </w:rPr>
            </w:pPr>
            <w:r>
              <w:rPr>
                <w:rFonts w:eastAsia="Times New Roman"/>
                <w:color w:val="000000"/>
                <w:sz w:val="20"/>
                <w:szCs w:val="20"/>
              </w:rPr>
              <w:t>12.7 </w:t>
            </w:r>
          </w:p>
        </w:tc>
        <w:tc>
          <w:tcPr>
            <w:tcW w:w="0" w:type="auto"/>
            <w:shd w:val="clear" w:color="auto" w:fill="FFFFFF"/>
            <w:tcMar>
              <w:top w:w="30" w:type="dxa"/>
              <w:left w:w="0" w:type="dxa"/>
              <w:bottom w:w="30" w:type="dxa"/>
              <w:right w:w="20" w:type="dxa"/>
            </w:tcMar>
            <w:vAlign w:val="center"/>
            <w:hideMark/>
          </w:tcPr>
          <w:p w14:paraId="1661A2D6" w14:textId="77777777" w:rsidR="00000000" w:rsidRDefault="00A173A8">
            <w:pPr>
              <w:spacing w:after="100"/>
              <w:jc w:val="right"/>
              <w:rPr>
                <w:rFonts w:eastAsia="Times New Roman"/>
              </w:rPr>
            </w:pPr>
          </w:p>
        </w:tc>
        <w:tc>
          <w:tcPr>
            <w:tcW w:w="0" w:type="auto"/>
            <w:vAlign w:val="center"/>
            <w:hideMark/>
          </w:tcPr>
          <w:p w14:paraId="3AB0B3C0" w14:textId="77777777" w:rsidR="00000000" w:rsidRDefault="00A173A8">
            <w:pPr>
              <w:spacing w:after="100"/>
              <w:jc w:val="right"/>
              <w:rPr>
                <w:rFonts w:eastAsia="Times New Roman"/>
                <w:sz w:val="20"/>
                <w:szCs w:val="20"/>
              </w:rPr>
            </w:pPr>
          </w:p>
        </w:tc>
      </w:tr>
      <w:tr w:rsidR="00000000" w14:paraId="1C8A1865" w14:textId="77777777">
        <w:trPr>
          <w:divId w:val="351341413"/>
        </w:trPr>
        <w:tc>
          <w:tcPr>
            <w:tcW w:w="0" w:type="auto"/>
            <w:gridSpan w:val="3"/>
            <w:shd w:val="clear" w:color="auto" w:fill="CCEEFF"/>
            <w:tcMar>
              <w:top w:w="30" w:type="dxa"/>
              <w:left w:w="245" w:type="dxa"/>
              <w:bottom w:w="30" w:type="dxa"/>
              <w:right w:w="20" w:type="dxa"/>
            </w:tcMar>
            <w:vAlign w:val="center"/>
            <w:hideMark/>
          </w:tcPr>
          <w:p w14:paraId="3A333DE3" w14:textId="77777777" w:rsidR="00000000" w:rsidRDefault="00A173A8">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14:paraId="5AD9EF4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BC5685" w14:textId="77777777" w:rsidR="00000000" w:rsidRDefault="00A173A8">
            <w:pPr>
              <w:spacing w:after="100"/>
              <w:jc w:val="right"/>
              <w:rPr>
                <w:rFonts w:eastAsia="Times New Roman"/>
              </w:rPr>
            </w:pPr>
            <w:r>
              <w:rPr>
                <w:rFonts w:eastAsia="Times New Roman"/>
                <w:b/>
                <w:bCs/>
                <w:color w:val="000000"/>
                <w:sz w:val="20"/>
                <w:szCs w:val="20"/>
              </w:rPr>
              <w:t>56,128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55018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BDBF0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5699EF" w14:textId="77777777" w:rsidR="00000000" w:rsidRDefault="00A173A8">
            <w:pPr>
              <w:spacing w:after="100"/>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35C1B6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3ED0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F8D844" w14:textId="77777777" w:rsidR="00000000" w:rsidRDefault="00A173A8">
            <w:pPr>
              <w:spacing w:after="100"/>
              <w:jc w:val="right"/>
              <w:rPr>
                <w:rFonts w:eastAsia="Times New Roman"/>
              </w:rPr>
            </w:pPr>
            <w:r>
              <w:rPr>
                <w:rFonts w:eastAsia="Times New Roman"/>
                <w:color w:val="000000"/>
                <w:sz w:val="20"/>
                <w:szCs w:val="20"/>
              </w:rPr>
              <w:t>49,660 </w:t>
            </w:r>
          </w:p>
        </w:tc>
        <w:tc>
          <w:tcPr>
            <w:tcW w:w="0" w:type="auto"/>
            <w:shd w:val="clear" w:color="auto" w:fill="CCEEFF"/>
            <w:tcMar>
              <w:top w:w="30" w:type="dxa"/>
              <w:left w:w="0" w:type="dxa"/>
              <w:bottom w:w="30" w:type="dxa"/>
              <w:right w:w="20" w:type="dxa"/>
            </w:tcMar>
            <w:vAlign w:val="center"/>
            <w:hideMark/>
          </w:tcPr>
          <w:p w14:paraId="7D8DA7C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6A7FE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B93EBF" w14:textId="77777777" w:rsidR="00000000" w:rsidRDefault="00A173A8">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center"/>
            <w:hideMark/>
          </w:tcPr>
          <w:p w14:paraId="5BA8F4F6" w14:textId="77777777" w:rsidR="00000000" w:rsidRDefault="00A173A8">
            <w:pPr>
              <w:spacing w:after="100"/>
              <w:jc w:val="right"/>
              <w:rPr>
                <w:rFonts w:eastAsia="Times New Roman"/>
              </w:rPr>
            </w:pPr>
          </w:p>
        </w:tc>
        <w:tc>
          <w:tcPr>
            <w:tcW w:w="0" w:type="auto"/>
            <w:vAlign w:val="center"/>
            <w:hideMark/>
          </w:tcPr>
          <w:p w14:paraId="7BCA5775" w14:textId="77777777" w:rsidR="00000000" w:rsidRDefault="00A173A8">
            <w:pPr>
              <w:spacing w:after="100"/>
              <w:jc w:val="right"/>
              <w:rPr>
                <w:rFonts w:eastAsia="Times New Roman"/>
                <w:sz w:val="20"/>
                <w:szCs w:val="20"/>
              </w:rPr>
            </w:pPr>
          </w:p>
        </w:tc>
      </w:tr>
      <w:tr w:rsidR="00000000" w14:paraId="090109CD" w14:textId="77777777">
        <w:trPr>
          <w:divId w:val="351341413"/>
        </w:trPr>
        <w:tc>
          <w:tcPr>
            <w:tcW w:w="0" w:type="auto"/>
            <w:gridSpan w:val="3"/>
            <w:shd w:val="clear" w:color="auto" w:fill="FFFFFF"/>
            <w:tcMar>
              <w:top w:w="30" w:type="dxa"/>
              <w:left w:w="20" w:type="dxa"/>
              <w:bottom w:w="30" w:type="dxa"/>
              <w:right w:w="20" w:type="dxa"/>
            </w:tcMar>
            <w:vAlign w:val="center"/>
            <w:hideMark/>
          </w:tcPr>
          <w:p w14:paraId="78D69BF3" w14:textId="77777777" w:rsidR="00000000" w:rsidRDefault="00A173A8">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14:paraId="5C29C17F"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F107AB" w14:textId="77777777" w:rsidR="00000000" w:rsidRDefault="00A173A8">
            <w:pPr>
              <w:spacing w:after="100"/>
              <w:jc w:val="right"/>
              <w:rPr>
                <w:rFonts w:eastAsia="Times New Roman"/>
              </w:rPr>
            </w:pPr>
            <w:r>
              <w:rPr>
                <w:rFonts w:eastAsia="Times New Roman"/>
                <w:b/>
                <w:bCs/>
                <w:color w:val="000000"/>
                <w:sz w:val="20"/>
                <w:szCs w:val="20"/>
              </w:rPr>
              <w:t>93,973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1BFFF7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94C7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8B7DE00" w14:textId="77777777" w:rsidR="00000000" w:rsidRDefault="00A173A8">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0CCA59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9EB9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FD020BB" w14:textId="77777777" w:rsidR="00000000" w:rsidRDefault="00A173A8">
            <w:pPr>
              <w:spacing w:after="100"/>
              <w:jc w:val="right"/>
              <w:rPr>
                <w:rFonts w:eastAsia="Times New Roman"/>
              </w:rPr>
            </w:pPr>
            <w:r>
              <w:rPr>
                <w:rFonts w:eastAsia="Times New Roman"/>
                <w:color w:val="000000"/>
                <w:sz w:val="20"/>
                <w:szCs w:val="20"/>
              </w:rPr>
              <w:t>84,922 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E8458C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FE3D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1E4F630" w14:textId="77777777" w:rsidR="00000000" w:rsidRDefault="00A173A8">
            <w:pPr>
              <w:spacing w:after="100"/>
              <w:jc w:val="right"/>
              <w:rPr>
                <w:rFonts w:eastAsia="Times New Roman"/>
              </w:rPr>
            </w:pPr>
            <w:r>
              <w:rPr>
                <w:rFonts w:eastAsia="Times New Roman"/>
                <w:color w:val="000000"/>
                <w:sz w:val="20"/>
                <w:szCs w:val="20"/>
              </w:rPr>
              <w:t>30.6 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C5811A" w14:textId="77777777" w:rsidR="00000000" w:rsidRDefault="00A173A8">
            <w:pPr>
              <w:spacing w:after="100"/>
              <w:jc w:val="right"/>
              <w:rPr>
                <w:rFonts w:eastAsia="Times New Roman"/>
              </w:rPr>
            </w:pPr>
          </w:p>
        </w:tc>
        <w:tc>
          <w:tcPr>
            <w:tcW w:w="0" w:type="auto"/>
            <w:vAlign w:val="center"/>
            <w:hideMark/>
          </w:tcPr>
          <w:p w14:paraId="6EF6B169" w14:textId="77777777" w:rsidR="00000000" w:rsidRDefault="00A173A8">
            <w:pPr>
              <w:spacing w:after="100"/>
              <w:jc w:val="right"/>
              <w:rPr>
                <w:rFonts w:eastAsia="Times New Roman"/>
                <w:sz w:val="20"/>
                <w:szCs w:val="20"/>
              </w:rPr>
            </w:pPr>
          </w:p>
        </w:tc>
      </w:tr>
      <w:tr w:rsidR="00000000" w14:paraId="663C64F7" w14:textId="77777777">
        <w:trPr>
          <w:divId w:val="351341413"/>
        </w:trPr>
        <w:tc>
          <w:tcPr>
            <w:tcW w:w="0" w:type="auto"/>
            <w:gridSpan w:val="3"/>
            <w:shd w:val="clear" w:color="auto" w:fill="CCEEFF"/>
            <w:tcMar>
              <w:top w:w="30" w:type="dxa"/>
              <w:left w:w="20" w:type="dxa"/>
              <w:bottom w:w="30" w:type="dxa"/>
              <w:right w:w="20" w:type="dxa"/>
            </w:tcMar>
            <w:vAlign w:val="center"/>
            <w:hideMark/>
          </w:tcPr>
          <w:p w14:paraId="07E1AC4E" w14:textId="77777777" w:rsidR="00000000" w:rsidRDefault="00A173A8">
            <w:pPr>
              <w:spacing w:after="100"/>
              <w:rPr>
                <w:rFonts w:eastAsia="Times New Roman"/>
              </w:rPr>
            </w:pPr>
            <w:r>
              <w:rPr>
                <w:rFonts w:eastAsia="Times New Roman"/>
                <w:color w:val="000000"/>
                <w:sz w:val="20"/>
                <w:szCs w:val="20"/>
              </w:rPr>
              <w:t>Total loans held for investment</w:t>
            </w:r>
          </w:p>
        </w:tc>
        <w:tc>
          <w:tcPr>
            <w:tcW w:w="0" w:type="auto"/>
            <w:gridSpan w:val="3"/>
            <w:shd w:val="clear" w:color="auto" w:fill="CCEEFF"/>
            <w:tcMar>
              <w:top w:w="0" w:type="dxa"/>
              <w:left w:w="20" w:type="dxa"/>
              <w:bottom w:w="0" w:type="dxa"/>
              <w:right w:w="20" w:type="dxa"/>
            </w:tcMar>
            <w:vAlign w:val="center"/>
            <w:hideMark/>
          </w:tcPr>
          <w:p w14:paraId="779BF3F7"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4EB3D72"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FA11BDA" w14:textId="77777777" w:rsidR="00000000" w:rsidRDefault="00A173A8">
            <w:pPr>
              <w:spacing w:after="100"/>
              <w:jc w:val="right"/>
              <w:rPr>
                <w:rFonts w:eastAsia="Times New Roman"/>
              </w:rPr>
            </w:pPr>
            <w:r>
              <w:rPr>
                <w:rFonts w:eastAsia="Times New Roman"/>
                <w:b/>
                <w:bCs/>
                <w:color w:val="000000"/>
                <w:sz w:val="20"/>
                <w:szCs w:val="20"/>
              </w:rPr>
              <w:t>296,384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2B6411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EB6FA9"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727869B" w14:textId="77777777" w:rsidR="00000000" w:rsidRDefault="00A173A8">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263A479"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3A9B0B1" w14:textId="77777777" w:rsidR="00000000" w:rsidRDefault="00A173A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FEC3E02"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513A60B" w14:textId="77777777" w:rsidR="00000000" w:rsidRDefault="00A173A8">
            <w:pPr>
              <w:spacing w:after="100"/>
              <w:jc w:val="right"/>
              <w:rPr>
                <w:rFonts w:eastAsia="Times New Roman"/>
              </w:rPr>
            </w:pPr>
            <w:r>
              <w:rPr>
                <w:rFonts w:eastAsia="Times New Roman"/>
                <w:color w:val="000000"/>
                <w:sz w:val="20"/>
                <w:szCs w:val="20"/>
              </w:rPr>
              <w:t>277,340 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DD5F39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EF1B3C"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6F4A0CB" w14:textId="77777777" w:rsidR="00000000" w:rsidRDefault="00A173A8">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1C956F9"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641A7661" w14:textId="77777777" w:rsidR="00000000" w:rsidRDefault="00A173A8">
            <w:pPr>
              <w:spacing w:after="100"/>
              <w:jc w:val="right"/>
              <w:rPr>
                <w:rFonts w:eastAsia="Times New Roman"/>
              </w:rPr>
            </w:pPr>
          </w:p>
        </w:tc>
      </w:tr>
    </w:tbl>
    <w:p w14:paraId="35FA4FFE" w14:textId="77777777" w:rsidR="00000000" w:rsidRDefault="00A173A8">
      <w:pPr>
        <w:divId w:val="351341413"/>
        <w:rPr>
          <w:rFonts w:eastAsia="Times New Roman"/>
        </w:rPr>
      </w:pPr>
      <w:r>
        <w:rPr>
          <w:rFonts w:eastAsia="Times New Roman"/>
          <w:color w:val="000000"/>
          <w:sz w:val="20"/>
          <w:szCs w:val="20"/>
        </w:rPr>
        <w:t>__________</w:t>
      </w:r>
    </w:p>
    <w:p w14:paraId="5EDB8B34" w14:textId="77777777" w:rsidR="00000000" w:rsidRDefault="00A173A8">
      <w:pPr>
        <w:ind w:hanging="360"/>
        <w:jc w:val="both"/>
        <w:divId w:val="47896591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Paycheck Protection Program (“PPP”) loans of $73 million and $37 million in our retail and commer</w:t>
      </w:r>
      <w:r>
        <w:rPr>
          <w:rFonts w:eastAsia="Times New Roman"/>
          <w:color w:val="000000"/>
          <w:sz w:val="16"/>
          <w:szCs w:val="16"/>
        </w:rPr>
        <w:t>cial loan portfolios, respectively, as of June 30, 2022 and $232 million and $102 million as of December 31, 2021, respectively.</w:t>
      </w:r>
    </w:p>
    <w:p w14:paraId="2778321E" w14:textId="77777777" w:rsidR="00000000" w:rsidRDefault="00A173A8">
      <w:pPr>
        <w:divId w:val="493690793"/>
        <w:rPr>
          <w:rFonts w:eastAsia="Times New Roman"/>
        </w:rPr>
      </w:pPr>
      <w:r>
        <w:rPr>
          <w:rFonts w:eastAsia="Times New Roman"/>
          <w:b/>
          <w:bCs/>
          <w:color w:val="000000"/>
          <w:sz w:val="20"/>
          <w:szCs w:val="20"/>
        </w:rPr>
        <w:t>Geographic Composition</w:t>
      </w:r>
    </w:p>
    <w:p w14:paraId="492775C6" w14:textId="77777777" w:rsidR="00000000" w:rsidRDefault="00A173A8">
      <w:pPr>
        <w:jc w:val="both"/>
        <w:divId w:val="401610607"/>
        <w:rPr>
          <w:rFonts w:eastAsia="Times New Roman"/>
        </w:rPr>
      </w:pPr>
      <w:r>
        <w:rPr>
          <w:rFonts w:eastAsia="Times New Roman"/>
          <w:color w:val="000000"/>
          <w:sz w:val="20"/>
          <w:szCs w:val="20"/>
        </w:rPr>
        <w:t>We market our credit card products throughout the United States, Canada, and the United Kingdom. Our cre</w:t>
      </w:r>
      <w:r>
        <w:rPr>
          <w:rFonts w:eastAsia="Times New Roman"/>
          <w:color w:val="000000"/>
          <w:sz w:val="20"/>
          <w:szCs w:val="20"/>
        </w:rPr>
        <w:t>dit card loan portfolio is geographically diversified due to our product and marketing approach. The table below presents the geographic profile of our credit card loan portfolio as of June 30, 2022 and December 31, 2021.</w:t>
      </w:r>
    </w:p>
    <w:p w14:paraId="09DE14B6" w14:textId="77777777" w:rsidR="00000000" w:rsidRDefault="00A173A8">
      <w:pPr>
        <w:divId w:val="466094434"/>
        <w:rPr>
          <w:rFonts w:eastAsia="Times New Roman"/>
        </w:rPr>
      </w:pPr>
      <w:r>
        <w:rPr>
          <w:rFonts w:eastAsia="Times New Roman"/>
          <w:b/>
          <w:bCs/>
          <w:color w:val="000000"/>
          <w:sz w:val="18"/>
          <w:szCs w:val="18"/>
        </w:rPr>
        <w:t>Table 17: Credit Card Portfolio by</w:t>
      </w:r>
      <w:r>
        <w:rPr>
          <w:rFonts w:eastAsia="Times New Roman"/>
          <w:b/>
          <w:bCs/>
          <w:color w:val="000000"/>
          <w:sz w:val="18"/>
          <w:szCs w:val="18"/>
        </w:rPr>
        <w:t xml:space="preserve"> Geographic Region </w:t>
      </w:r>
    </w:p>
    <w:tbl>
      <w:tblPr>
        <w:tblW w:w="5000" w:type="pct"/>
        <w:tblCellMar>
          <w:top w:w="15" w:type="dxa"/>
          <w:left w:w="15" w:type="dxa"/>
          <w:bottom w:w="15" w:type="dxa"/>
          <w:right w:w="15" w:type="dxa"/>
        </w:tblCellMar>
        <w:tblLook w:val="04A0" w:firstRow="1" w:lastRow="0" w:firstColumn="1" w:lastColumn="0" w:noHBand="0" w:noVBand="1"/>
      </w:tblPr>
      <w:tblGrid>
        <w:gridCol w:w="40"/>
        <w:gridCol w:w="4634"/>
        <w:gridCol w:w="39"/>
        <w:gridCol w:w="36"/>
        <w:gridCol w:w="36"/>
        <w:gridCol w:w="36"/>
        <w:gridCol w:w="120"/>
        <w:gridCol w:w="700"/>
        <w:gridCol w:w="36"/>
        <w:gridCol w:w="36"/>
        <w:gridCol w:w="36"/>
        <w:gridCol w:w="36"/>
        <w:gridCol w:w="57"/>
        <w:gridCol w:w="464"/>
        <w:gridCol w:w="220"/>
        <w:gridCol w:w="36"/>
        <w:gridCol w:w="36"/>
        <w:gridCol w:w="36"/>
        <w:gridCol w:w="120"/>
        <w:gridCol w:w="700"/>
        <w:gridCol w:w="36"/>
        <w:gridCol w:w="36"/>
        <w:gridCol w:w="36"/>
        <w:gridCol w:w="36"/>
        <w:gridCol w:w="56"/>
        <w:gridCol w:w="465"/>
        <w:gridCol w:w="187"/>
      </w:tblGrid>
      <w:tr w:rsidR="00000000" w14:paraId="5B100C37" w14:textId="77777777">
        <w:trPr>
          <w:divId w:val="1170558613"/>
        </w:trPr>
        <w:tc>
          <w:tcPr>
            <w:tcW w:w="50" w:type="pct"/>
            <w:vAlign w:val="center"/>
            <w:hideMark/>
          </w:tcPr>
          <w:p w14:paraId="27CD2D2F" w14:textId="77777777" w:rsidR="00000000" w:rsidRDefault="00A173A8">
            <w:pPr>
              <w:rPr>
                <w:rFonts w:eastAsia="Times New Roman"/>
              </w:rPr>
            </w:pPr>
          </w:p>
        </w:tc>
        <w:tc>
          <w:tcPr>
            <w:tcW w:w="2920" w:type="pct"/>
            <w:vAlign w:val="center"/>
            <w:hideMark/>
          </w:tcPr>
          <w:p w14:paraId="054B3E38" w14:textId="77777777" w:rsidR="00000000" w:rsidRDefault="00A173A8">
            <w:pPr>
              <w:spacing w:after="100"/>
              <w:rPr>
                <w:rFonts w:eastAsia="Times New Roman"/>
                <w:sz w:val="20"/>
                <w:szCs w:val="20"/>
              </w:rPr>
            </w:pPr>
          </w:p>
        </w:tc>
        <w:tc>
          <w:tcPr>
            <w:tcW w:w="5" w:type="pct"/>
            <w:vAlign w:val="center"/>
            <w:hideMark/>
          </w:tcPr>
          <w:p w14:paraId="329E8B2A" w14:textId="77777777" w:rsidR="00000000" w:rsidRDefault="00A173A8">
            <w:pPr>
              <w:spacing w:after="100"/>
              <w:rPr>
                <w:rFonts w:eastAsia="Times New Roman"/>
                <w:sz w:val="20"/>
                <w:szCs w:val="20"/>
              </w:rPr>
            </w:pPr>
          </w:p>
        </w:tc>
        <w:tc>
          <w:tcPr>
            <w:tcW w:w="5" w:type="pct"/>
            <w:vAlign w:val="center"/>
            <w:hideMark/>
          </w:tcPr>
          <w:p w14:paraId="074D932B" w14:textId="77777777" w:rsidR="00000000" w:rsidRDefault="00A173A8">
            <w:pPr>
              <w:spacing w:after="100"/>
              <w:rPr>
                <w:rFonts w:eastAsia="Times New Roman"/>
                <w:sz w:val="20"/>
                <w:szCs w:val="20"/>
              </w:rPr>
            </w:pPr>
          </w:p>
        </w:tc>
        <w:tc>
          <w:tcPr>
            <w:tcW w:w="26" w:type="pct"/>
            <w:vAlign w:val="center"/>
            <w:hideMark/>
          </w:tcPr>
          <w:p w14:paraId="461381FB" w14:textId="77777777" w:rsidR="00000000" w:rsidRDefault="00A173A8">
            <w:pPr>
              <w:spacing w:after="100"/>
              <w:rPr>
                <w:rFonts w:eastAsia="Times New Roman"/>
                <w:sz w:val="20"/>
                <w:szCs w:val="20"/>
              </w:rPr>
            </w:pPr>
          </w:p>
        </w:tc>
        <w:tc>
          <w:tcPr>
            <w:tcW w:w="5" w:type="pct"/>
            <w:vAlign w:val="center"/>
            <w:hideMark/>
          </w:tcPr>
          <w:p w14:paraId="756E5E36" w14:textId="77777777" w:rsidR="00000000" w:rsidRDefault="00A173A8">
            <w:pPr>
              <w:spacing w:after="100"/>
              <w:rPr>
                <w:rFonts w:eastAsia="Times New Roman"/>
                <w:sz w:val="20"/>
                <w:szCs w:val="20"/>
              </w:rPr>
            </w:pPr>
          </w:p>
        </w:tc>
        <w:tc>
          <w:tcPr>
            <w:tcW w:w="50" w:type="pct"/>
            <w:vAlign w:val="center"/>
            <w:hideMark/>
          </w:tcPr>
          <w:p w14:paraId="26212A44" w14:textId="77777777" w:rsidR="00000000" w:rsidRDefault="00A173A8">
            <w:pPr>
              <w:spacing w:after="100"/>
              <w:rPr>
                <w:rFonts w:eastAsia="Times New Roman"/>
                <w:sz w:val="20"/>
                <w:szCs w:val="20"/>
              </w:rPr>
            </w:pPr>
          </w:p>
        </w:tc>
        <w:tc>
          <w:tcPr>
            <w:tcW w:w="412" w:type="pct"/>
            <w:vAlign w:val="center"/>
            <w:hideMark/>
          </w:tcPr>
          <w:p w14:paraId="615F34DD" w14:textId="77777777" w:rsidR="00000000" w:rsidRDefault="00A173A8">
            <w:pPr>
              <w:spacing w:after="100"/>
              <w:rPr>
                <w:rFonts w:eastAsia="Times New Roman"/>
                <w:sz w:val="20"/>
                <w:szCs w:val="20"/>
              </w:rPr>
            </w:pPr>
          </w:p>
        </w:tc>
        <w:tc>
          <w:tcPr>
            <w:tcW w:w="5" w:type="pct"/>
            <w:vAlign w:val="center"/>
            <w:hideMark/>
          </w:tcPr>
          <w:p w14:paraId="1C7BEB0A" w14:textId="77777777" w:rsidR="00000000" w:rsidRDefault="00A173A8">
            <w:pPr>
              <w:spacing w:after="100"/>
              <w:rPr>
                <w:rFonts w:eastAsia="Times New Roman"/>
                <w:sz w:val="20"/>
                <w:szCs w:val="20"/>
              </w:rPr>
            </w:pPr>
          </w:p>
        </w:tc>
        <w:tc>
          <w:tcPr>
            <w:tcW w:w="5" w:type="pct"/>
            <w:vAlign w:val="center"/>
            <w:hideMark/>
          </w:tcPr>
          <w:p w14:paraId="58F48F8F" w14:textId="77777777" w:rsidR="00000000" w:rsidRDefault="00A173A8">
            <w:pPr>
              <w:spacing w:after="100"/>
              <w:rPr>
                <w:rFonts w:eastAsia="Times New Roman"/>
                <w:sz w:val="20"/>
                <w:szCs w:val="20"/>
              </w:rPr>
            </w:pPr>
          </w:p>
        </w:tc>
        <w:tc>
          <w:tcPr>
            <w:tcW w:w="26" w:type="pct"/>
            <w:vAlign w:val="center"/>
            <w:hideMark/>
          </w:tcPr>
          <w:p w14:paraId="3934523E" w14:textId="77777777" w:rsidR="00000000" w:rsidRDefault="00A173A8">
            <w:pPr>
              <w:spacing w:after="100"/>
              <w:rPr>
                <w:rFonts w:eastAsia="Times New Roman"/>
                <w:sz w:val="20"/>
                <w:szCs w:val="20"/>
              </w:rPr>
            </w:pPr>
          </w:p>
        </w:tc>
        <w:tc>
          <w:tcPr>
            <w:tcW w:w="5" w:type="pct"/>
            <w:vAlign w:val="center"/>
            <w:hideMark/>
          </w:tcPr>
          <w:p w14:paraId="2743E094" w14:textId="77777777" w:rsidR="00000000" w:rsidRDefault="00A173A8">
            <w:pPr>
              <w:spacing w:after="100"/>
              <w:rPr>
                <w:rFonts w:eastAsia="Times New Roman"/>
                <w:sz w:val="20"/>
                <w:szCs w:val="20"/>
              </w:rPr>
            </w:pPr>
          </w:p>
        </w:tc>
        <w:tc>
          <w:tcPr>
            <w:tcW w:w="50" w:type="pct"/>
            <w:vAlign w:val="center"/>
            <w:hideMark/>
          </w:tcPr>
          <w:p w14:paraId="720B4F40" w14:textId="77777777" w:rsidR="00000000" w:rsidRDefault="00A173A8">
            <w:pPr>
              <w:spacing w:after="100"/>
              <w:rPr>
                <w:rFonts w:eastAsia="Times New Roman"/>
                <w:sz w:val="20"/>
                <w:szCs w:val="20"/>
              </w:rPr>
            </w:pPr>
          </w:p>
        </w:tc>
        <w:tc>
          <w:tcPr>
            <w:tcW w:w="412" w:type="pct"/>
            <w:vAlign w:val="center"/>
            <w:hideMark/>
          </w:tcPr>
          <w:p w14:paraId="36EC4103" w14:textId="77777777" w:rsidR="00000000" w:rsidRDefault="00A173A8">
            <w:pPr>
              <w:spacing w:after="100"/>
              <w:rPr>
                <w:rFonts w:eastAsia="Times New Roman"/>
                <w:sz w:val="20"/>
                <w:szCs w:val="20"/>
              </w:rPr>
            </w:pPr>
          </w:p>
        </w:tc>
        <w:tc>
          <w:tcPr>
            <w:tcW w:w="5" w:type="pct"/>
            <w:vAlign w:val="center"/>
            <w:hideMark/>
          </w:tcPr>
          <w:p w14:paraId="2086E62F" w14:textId="77777777" w:rsidR="00000000" w:rsidRDefault="00A173A8">
            <w:pPr>
              <w:spacing w:after="100"/>
              <w:rPr>
                <w:rFonts w:eastAsia="Times New Roman"/>
                <w:sz w:val="20"/>
                <w:szCs w:val="20"/>
              </w:rPr>
            </w:pPr>
          </w:p>
        </w:tc>
        <w:tc>
          <w:tcPr>
            <w:tcW w:w="5" w:type="pct"/>
            <w:vAlign w:val="center"/>
            <w:hideMark/>
          </w:tcPr>
          <w:p w14:paraId="72396799" w14:textId="77777777" w:rsidR="00000000" w:rsidRDefault="00A173A8">
            <w:pPr>
              <w:spacing w:after="100"/>
              <w:rPr>
                <w:rFonts w:eastAsia="Times New Roman"/>
                <w:sz w:val="20"/>
                <w:szCs w:val="20"/>
              </w:rPr>
            </w:pPr>
          </w:p>
        </w:tc>
        <w:tc>
          <w:tcPr>
            <w:tcW w:w="26" w:type="pct"/>
            <w:vAlign w:val="center"/>
            <w:hideMark/>
          </w:tcPr>
          <w:p w14:paraId="1F484036" w14:textId="77777777" w:rsidR="00000000" w:rsidRDefault="00A173A8">
            <w:pPr>
              <w:spacing w:after="100"/>
              <w:rPr>
                <w:rFonts w:eastAsia="Times New Roman"/>
                <w:sz w:val="20"/>
                <w:szCs w:val="20"/>
              </w:rPr>
            </w:pPr>
          </w:p>
        </w:tc>
        <w:tc>
          <w:tcPr>
            <w:tcW w:w="5" w:type="pct"/>
            <w:vAlign w:val="center"/>
            <w:hideMark/>
          </w:tcPr>
          <w:p w14:paraId="31D41330" w14:textId="77777777" w:rsidR="00000000" w:rsidRDefault="00A173A8">
            <w:pPr>
              <w:spacing w:after="100"/>
              <w:rPr>
                <w:rFonts w:eastAsia="Times New Roman"/>
                <w:sz w:val="20"/>
                <w:szCs w:val="20"/>
              </w:rPr>
            </w:pPr>
          </w:p>
        </w:tc>
        <w:tc>
          <w:tcPr>
            <w:tcW w:w="50" w:type="pct"/>
            <w:vAlign w:val="center"/>
            <w:hideMark/>
          </w:tcPr>
          <w:p w14:paraId="2FF0DB6D" w14:textId="77777777" w:rsidR="00000000" w:rsidRDefault="00A173A8">
            <w:pPr>
              <w:spacing w:after="100"/>
              <w:rPr>
                <w:rFonts w:eastAsia="Times New Roman"/>
                <w:sz w:val="20"/>
                <w:szCs w:val="20"/>
              </w:rPr>
            </w:pPr>
          </w:p>
        </w:tc>
        <w:tc>
          <w:tcPr>
            <w:tcW w:w="412" w:type="pct"/>
            <w:vAlign w:val="center"/>
            <w:hideMark/>
          </w:tcPr>
          <w:p w14:paraId="461EA6E9" w14:textId="77777777" w:rsidR="00000000" w:rsidRDefault="00A173A8">
            <w:pPr>
              <w:spacing w:after="100"/>
              <w:rPr>
                <w:rFonts w:eastAsia="Times New Roman"/>
                <w:sz w:val="20"/>
                <w:szCs w:val="20"/>
              </w:rPr>
            </w:pPr>
          </w:p>
        </w:tc>
        <w:tc>
          <w:tcPr>
            <w:tcW w:w="5" w:type="pct"/>
            <w:vAlign w:val="center"/>
            <w:hideMark/>
          </w:tcPr>
          <w:p w14:paraId="20F608F8" w14:textId="77777777" w:rsidR="00000000" w:rsidRDefault="00A173A8">
            <w:pPr>
              <w:spacing w:after="100"/>
              <w:rPr>
                <w:rFonts w:eastAsia="Times New Roman"/>
                <w:sz w:val="20"/>
                <w:szCs w:val="20"/>
              </w:rPr>
            </w:pPr>
          </w:p>
        </w:tc>
        <w:tc>
          <w:tcPr>
            <w:tcW w:w="5" w:type="pct"/>
            <w:vAlign w:val="center"/>
            <w:hideMark/>
          </w:tcPr>
          <w:p w14:paraId="19C2E125" w14:textId="77777777" w:rsidR="00000000" w:rsidRDefault="00A173A8">
            <w:pPr>
              <w:spacing w:after="100"/>
              <w:rPr>
                <w:rFonts w:eastAsia="Times New Roman"/>
                <w:sz w:val="20"/>
                <w:szCs w:val="20"/>
              </w:rPr>
            </w:pPr>
          </w:p>
        </w:tc>
        <w:tc>
          <w:tcPr>
            <w:tcW w:w="26" w:type="pct"/>
            <w:vAlign w:val="center"/>
            <w:hideMark/>
          </w:tcPr>
          <w:p w14:paraId="6444141E" w14:textId="77777777" w:rsidR="00000000" w:rsidRDefault="00A173A8">
            <w:pPr>
              <w:spacing w:after="100"/>
              <w:rPr>
                <w:rFonts w:eastAsia="Times New Roman"/>
                <w:sz w:val="20"/>
                <w:szCs w:val="20"/>
              </w:rPr>
            </w:pPr>
          </w:p>
        </w:tc>
        <w:tc>
          <w:tcPr>
            <w:tcW w:w="5" w:type="pct"/>
            <w:vAlign w:val="center"/>
            <w:hideMark/>
          </w:tcPr>
          <w:p w14:paraId="22C4AE46" w14:textId="77777777" w:rsidR="00000000" w:rsidRDefault="00A173A8">
            <w:pPr>
              <w:spacing w:after="100"/>
              <w:rPr>
                <w:rFonts w:eastAsia="Times New Roman"/>
                <w:sz w:val="20"/>
                <w:szCs w:val="20"/>
              </w:rPr>
            </w:pPr>
          </w:p>
        </w:tc>
        <w:tc>
          <w:tcPr>
            <w:tcW w:w="50" w:type="pct"/>
            <w:vAlign w:val="center"/>
            <w:hideMark/>
          </w:tcPr>
          <w:p w14:paraId="6E5E7211" w14:textId="77777777" w:rsidR="00000000" w:rsidRDefault="00A173A8">
            <w:pPr>
              <w:spacing w:after="100"/>
              <w:rPr>
                <w:rFonts w:eastAsia="Times New Roman"/>
                <w:sz w:val="20"/>
                <w:szCs w:val="20"/>
              </w:rPr>
            </w:pPr>
          </w:p>
        </w:tc>
        <w:tc>
          <w:tcPr>
            <w:tcW w:w="420" w:type="pct"/>
            <w:vAlign w:val="center"/>
            <w:hideMark/>
          </w:tcPr>
          <w:p w14:paraId="384AF0AF" w14:textId="77777777" w:rsidR="00000000" w:rsidRDefault="00A173A8">
            <w:pPr>
              <w:spacing w:after="100"/>
              <w:rPr>
                <w:rFonts w:eastAsia="Times New Roman"/>
                <w:sz w:val="20"/>
                <w:szCs w:val="20"/>
              </w:rPr>
            </w:pPr>
          </w:p>
        </w:tc>
        <w:tc>
          <w:tcPr>
            <w:tcW w:w="5" w:type="pct"/>
            <w:vAlign w:val="center"/>
            <w:hideMark/>
          </w:tcPr>
          <w:p w14:paraId="2E0042D1" w14:textId="77777777" w:rsidR="00000000" w:rsidRDefault="00A173A8">
            <w:pPr>
              <w:spacing w:after="100"/>
              <w:rPr>
                <w:rFonts w:eastAsia="Times New Roman"/>
                <w:sz w:val="20"/>
                <w:szCs w:val="20"/>
              </w:rPr>
            </w:pPr>
          </w:p>
        </w:tc>
      </w:tr>
      <w:tr w:rsidR="00000000" w14:paraId="0B4603B8" w14:textId="77777777">
        <w:trPr>
          <w:divId w:val="1170558613"/>
        </w:trPr>
        <w:tc>
          <w:tcPr>
            <w:tcW w:w="0" w:type="auto"/>
            <w:gridSpan w:val="3"/>
            <w:tcMar>
              <w:top w:w="0" w:type="dxa"/>
              <w:left w:w="20" w:type="dxa"/>
              <w:bottom w:w="0" w:type="dxa"/>
              <w:right w:w="20" w:type="dxa"/>
            </w:tcMar>
            <w:vAlign w:val="center"/>
            <w:hideMark/>
          </w:tcPr>
          <w:p w14:paraId="11B16DF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D4DB0C"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6E44349"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1DF61EE3"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60BBC5E"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47FE7AD0" w14:textId="77777777">
        <w:trPr>
          <w:divId w:val="1170558613"/>
        </w:trPr>
        <w:tc>
          <w:tcPr>
            <w:tcW w:w="0" w:type="auto"/>
            <w:gridSpan w:val="3"/>
            <w:tcBorders>
              <w:bottom w:val="single" w:sz="8" w:space="0" w:color="000000"/>
            </w:tcBorders>
            <w:tcMar>
              <w:top w:w="30" w:type="dxa"/>
              <w:left w:w="20" w:type="dxa"/>
              <w:bottom w:w="30" w:type="dxa"/>
              <w:right w:w="20" w:type="dxa"/>
            </w:tcMar>
            <w:vAlign w:val="bottom"/>
            <w:hideMark/>
          </w:tcPr>
          <w:p w14:paraId="18096BB5"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3C75CBA2"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11C744"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5B164522"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067037F" w14:textId="77777777" w:rsidR="00000000" w:rsidRDefault="00A173A8">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0AFDBFF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B9E2E9"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4D42E2B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A018956" w14:textId="77777777" w:rsidR="00000000" w:rsidRDefault="00A173A8">
            <w:pPr>
              <w:spacing w:after="100"/>
              <w:jc w:val="center"/>
              <w:rPr>
                <w:rFonts w:eastAsia="Times New Roman"/>
              </w:rPr>
            </w:pPr>
            <w:r>
              <w:rPr>
                <w:rFonts w:eastAsia="Times New Roman"/>
                <w:b/>
                <w:bCs/>
                <w:color w:val="000000"/>
                <w:sz w:val="20"/>
                <w:szCs w:val="20"/>
              </w:rPr>
              <w:t>% of Total</w:t>
            </w:r>
          </w:p>
        </w:tc>
      </w:tr>
      <w:tr w:rsidR="00000000" w14:paraId="59989B02" w14:textId="77777777">
        <w:trPr>
          <w:divId w:val="117055861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8BA5DD9" w14:textId="77777777" w:rsidR="00000000" w:rsidRDefault="00A173A8">
            <w:pPr>
              <w:spacing w:after="100"/>
              <w:rPr>
                <w:rFonts w:eastAsia="Times New Roman"/>
              </w:rPr>
            </w:pPr>
            <w:r>
              <w:rPr>
                <w:rFonts w:eastAsia="Times New Roman"/>
                <w:b/>
                <w:bCs/>
                <w:color w:val="000000"/>
                <w:sz w:val="20"/>
                <w:szCs w:val="20"/>
              </w:rPr>
              <w:t>Domestic credit card:</w:t>
            </w:r>
          </w:p>
        </w:tc>
        <w:tc>
          <w:tcPr>
            <w:tcW w:w="0" w:type="auto"/>
            <w:gridSpan w:val="3"/>
            <w:shd w:val="clear" w:color="auto" w:fill="CCEEFF"/>
            <w:tcMar>
              <w:top w:w="0" w:type="dxa"/>
              <w:left w:w="20" w:type="dxa"/>
              <w:bottom w:w="0" w:type="dxa"/>
              <w:right w:w="20" w:type="dxa"/>
            </w:tcMar>
            <w:vAlign w:val="center"/>
            <w:hideMark/>
          </w:tcPr>
          <w:p w14:paraId="70AF10F7"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2ACA5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A15A2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0B546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B1673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D11EC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97109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6519B8" w14:textId="77777777" w:rsidR="00000000" w:rsidRDefault="00A173A8">
            <w:pPr>
              <w:spacing w:after="100"/>
              <w:rPr>
                <w:rFonts w:eastAsia="Times New Roman"/>
                <w:sz w:val="20"/>
                <w:szCs w:val="20"/>
              </w:rPr>
            </w:pPr>
          </w:p>
        </w:tc>
      </w:tr>
      <w:tr w:rsidR="00000000" w14:paraId="015F0A22" w14:textId="77777777">
        <w:trPr>
          <w:divId w:val="1170558613"/>
        </w:trPr>
        <w:tc>
          <w:tcPr>
            <w:tcW w:w="0" w:type="auto"/>
            <w:gridSpan w:val="3"/>
            <w:shd w:val="clear" w:color="auto" w:fill="FFFFFF"/>
            <w:tcMar>
              <w:top w:w="30" w:type="dxa"/>
              <w:left w:w="245" w:type="dxa"/>
              <w:bottom w:w="30" w:type="dxa"/>
              <w:right w:w="20" w:type="dxa"/>
            </w:tcMar>
            <w:vAlign w:val="center"/>
            <w:hideMark/>
          </w:tcPr>
          <w:p w14:paraId="4E7F9389" w14:textId="77777777" w:rsidR="00000000" w:rsidRDefault="00A173A8">
            <w:pPr>
              <w:spacing w:after="100"/>
              <w:rPr>
                <w:rFonts w:eastAsia="Times New Roman"/>
              </w:rPr>
            </w:pPr>
            <w:r>
              <w:rPr>
                <w:rFonts w:eastAsia="Times New Roman"/>
                <w:color w:val="000000"/>
                <w:sz w:val="20"/>
                <w:szCs w:val="20"/>
              </w:rPr>
              <w:t>California</w:t>
            </w:r>
          </w:p>
        </w:tc>
        <w:tc>
          <w:tcPr>
            <w:tcW w:w="0" w:type="auto"/>
            <w:gridSpan w:val="3"/>
            <w:shd w:val="clear" w:color="auto" w:fill="FFFFFF"/>
            <w:tcMar>
              <w:top w:w="0" w:type="dxa"/>
              <w:left w:w="20" w:type="dxa"/>
              <w:bottom w:w="0" w:type="dxa"/>
              <w:right w:w="20" w:type="dxa"/>
            </w:tcMar>
            <w:vAlign w:val="center"/>
            <w:hideMark/>
          </w:tcPr>
          <w:p w14:paraId="0F4BD99F"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BE85CFC"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4C44208A" w14:textId="77777777" w:rsidR="00000000" w:rsidRDefault="00A173A8">
            <w:pPr>
              <w:spacing w:after="100"/>
              <w:jc w:val="right"/>
              <w:rPr>
                <w:rFonts w:eastAsia="Times New Roman"/>
              </w:rPr>
            </w:pPr>
            <w:r>
              <w:rPr>
                <w:rFonts w:eastAsia="Times New Roman"/>
                <w:b/>
                <w:bCs/>
                <w:color w:val="000000"/>
                <w:sz w:val="20"/>
                <w:szCs w:val="20"/>
              </w:rPr>
              <w:t>11,813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CA124A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8D2D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8C9156" w14:textId="77777777" w:rsidR="00000000" w:rsidRDefault="00A173A8">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9B0825B"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385CF66"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F725CF0"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16437B5" w14:textId="77777777" w:rsidR="00000000" w:rsidRDefault="00A173A8">
            <w:pPr>
              <w:spacing w:after="100"/>
              <w:jc w:val="right"/>
              <w:rPr>
                <w:rFonts w:eastAsia="Times New Roman"/>
              </w:rPr>
            </w:pPr>
            <w:r>
              <w:rPr>
                <w:rFonts w:eastAsia="Times New Roman"/>
                <w:color w:val="000000"/>
                <w:sz w:val="20"/>
                <w:szCs w:val="20"/>
              </w:rPr>
              <w:t>11,096 </w:t>
            </w:r>
          </w:p>
        </w:tc>
        <w:tc>
          <w:tcPr>
            <w:tcW w:w="0" w:type="auto"/>
            <w:shd w:val="clear" w:color="auto" w:fill="FFFFFF"/>
            <w:tcMar>
              <w:top w:w="30" w:type="dxa"/>
              <w:left w:w="0" w:type="dxa"/>
              <w:bottom w:w="30" w:type="dxa"/>
              <w:right w:w="20" w:type="dxa"/>
            </w:tcMar>
            <w:vAlign w:val="center"/>
            <w:hideMark/>
          </w:tcPr>
          <w:p w14:paraId="0CB9F0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8442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6AA656" w14:textId="77777777" w:rsidR="00000000" w:rsidRDefault="00A173A8">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center"/>
            <w:hideMark/>
          </w:tcPr>
          <w:p w14:paraId="5D7C3736" w14:textId="77777777" w:rsidR="00000000" w:rsidRDefault="00A173A8">
            <w:pPr>
              <w:spacing w:after="100"/>
              <w:jc w:val="right"/>
              <w:rPr>
                <w:rFonts w:eastAsia="Times New Roman"/>
              </w:rPr>
            </w:pPr>
            <w:r>
              <w:rPr>
                <w:rFonts w:eastAsia="Times New Roman"/>
                <w:color w:val="000000"/>
                <w:sz w:val="20"/>
                <w:szCs w:val="20"/>
              </w:rPr>
              <w:t>%</w:t>
            </w:r>
          </w:p>
        </w:tc>
      </w:tr>
      <w:tr w:rsidR="00000000" w14:paraId="57A34D14" w14:textId="77777777">
        <w:trPr>
          <w:divId w:val="1170558613"/>
        </w:trPr>
        <w:tc>
          <w:tcPr>
            <w:tcW w:w="0" w:type="auto"/>
            <w:gridSpan w:val="3"/>
            <w:shd w:val="clear" w:color="auto" w:fill="CCEEFF"/>
            <w:tcMar>
              <w:top w:w="30" w:type="dxa"/>
              <w:left w:w="245" w:type="dxa"/>
              <w:bottom w:w="30" w:type="dxa"/>
              <w:right w:w="20" w:type="dxa"/>
            </w:tcMar>
            <w:vAlign w:val="center"/>
            <w:hideMark/>
          </w:tcPr>
          <w:p w14:paraId="361462F7" w14:textId="77777777" w:rsidR="00000000" w:rsidRDefault="00A173A8">
            <w:pPr>
              <w:spacing w:after="100"/>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14:paraId="4725627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03E5DA6" w14:textId="77777777" w:rsidR="00000000" w:rsidRDefault="00A173A8">
            <w:pPr>
              <w:spacing w:after="100"/>
              <w:jc w:val="right"/>
              <w:rPr>
                <w:rFonts w:eastAsia="Times New Roman"/>
              </w:rPr>
            </w:pPr>
            <w:r>
              <w:rPr>
                <w:rFonts w:eastAsia="Times New Roman"/>
                <w:b/>
                <w:bCs/>
                <w:color w:val="000000"/>
                <w:sz w:val="20"/>
                <w:szCs w:val="20"/>
              </w:rPr>
              <w:t>9,714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39B5F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D918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B56A52" w14:textId="77777777" w:rsidR="00000000" w:rsidRDefault="00A173A8">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DBCAA0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47B8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93DCD5" w14:textId="77777777" w:rsidR="00000000" w:rsidRDefault="00A173A8">
            <w:pPr>
              <w:spacing w:after="100"/>
              <w:jc w:val="right"/>
              <w:rPr>
                <w:rFonts w:eastAsia="Times New Roman"/>
              </w:rPr>
            </w:pPr>
            <w:r>
              <w:rPr>
                <w:rFonts w:eastAsia="Times New Roman"/>
                <w:color w:val="000000"/>
                <w:sz w:val="20"/>
                <w:szCs w:val="20"/>
              </w:rPr>
              <w:t>9,100 </w:t>
            </w:r>
          </w:p>
        </w:tc>
        <w:tc>
          <w:tcPr>
            <w:tcW w:w="0" w:type="auto"/>
            <w:shd w:val="clear" w:color="auto" w:fill="CCEEFF"/>
            <w:tcMar>
              <w:top w:w="30" w:type="dxa"/>
              <w:left w:w="0" w:type="dxa"/>
              <w:bottom w:w="30" w:type="dxa"/>
              <w:right w:w="20" w:type="dxa"/>
            </w:tcMar>
            <w:vAlign w:val="center"/>
            <w:hideMark/>
          </w:tcPr>
          <w:p w14:paraId="0E8BBBB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CF0E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A2F28A" w14:textId="77777777" w:rsidR="00000000" w:rsidRDefault="00A173A8">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center"/>
            <w:hideMark/>
          </w:tcPr>
          <w:p w14:paraId="403F4E15" w14:textId="77777777" w:rsidR="00000000" w:rsidRDefault="00A173A8">
            <w:pPr>
              <w:spacing w:after="100"/>
              <w:jc w:val="right"/>
              <w:rPr>
                <w:rFonts w:eastAsia="Times New Roman"/>
              </w:rPr>
            </w:pPr>
          </w:p>
        </w:tc>
      </w:tr>
      <w:tr w:rsidR="00000000" w14:paraId="773128A0" w14:textId="77777777">
        <w:trPr>
          <w:divId w:val="1170558613"/>
        </w:trPr>
        <w:tc>
          <w:tcPr>
            <w:tcW w:w="0" w:type="auto"/>
            <w:gridSpan w:val="3"/>
            <w:shd w:val="clear" w:color="auto" w:fill="FFFFFF"/>
            <w:tcMar>
              <w:top w:w="30" w:type="dxa"/>
              <w:left w:w="245" w:type="dxa"/>
              <w:bottom w:w="30" w:type="dxa"/>
              <w:right w:w="20" w:type="dxa"/>
            </w:tcMar>
            <w:vAlign w:val="center"/>
            <w:hideMark/>
          </w:tcPr>
          <w:p w14:paraId="2ED0D3C1" w14:textId="77777777" w:rsidR="00000000" w:rsidRDefault="00A173A8">
            <w:pPr>
              <w:spacing w:after="100"/>
              <w:rPr>
                <w:rFonts w:eastAsia="Times New Roman"/>
              </w:rPr>
            </w:pPr>
            <w:r>
              <w:rPr>
                <w:rFonts w:eastAsia="Times New Roman"/>
                <w:color w:val="000000"/>
                <w:sz w:val="20"/>
                <w:szCs w:val="20"/>
              </w:rPr>
              <w:t>Florida</w:t>
            </w:r>
          </w:p>
        </w:tc>
        <w:tc>
          <w:tcPr>
            <w:tcW w:w="0" w:type="auto"/>
            <w:gridSpan w:val="3"/>
            <w:shd w:val="clear" w:color="auto" w:fill="FFFFFF"/>
            <w:tcMar>
              <w:top w:w="0" w:type="dxa"/>
              <w:left w:w="20" w:type="dxa"/>
              <w:bottom w:w="0" w:type="dxa"/>
              <w:right w:w="20" w:type="dxa"/>
            </w:tcMar>
            <w:vAlign w:val="center"/>
            <w:hideMark/>
          </w:tcPr>
          <w:p w14:paraId="1C5864A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6198CAC" w14:textId="77777777" w:rsidR="00000000" w:rsidRDefault="00A173A8">
            <w:pPr>
              <w:spacing w:after="100"/>
              <w:jc w:val="right"/>
              <w:rPr>
                <w:rFonts w:eastAsia="Times New Roman"/>
              </w:rPr>
            </w:pPr>
            <w:r>
              <w:rPr>
                <w:rFonts w:eastAsia="Times New Roman"/>
                <w:b/>
                <w:bCs/>
                <w:color w:val="000000"/>
                <w:sz w:val="20"/>
                <w:szCs w:val="20"/>
              </w:rPr>
              <w:t>8,224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D36529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0B35D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1E0BF1" w14:textId="77777777" w:rsidR="00000000" w:rsidRDefault="00A173A8">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8BD004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C09B0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074ED3" w14:textId="77777777" w:rsidR="00000000" w:rsidRDefault="00A173A8">
            <w:pPr>
              <w:spacing w:after="100"/>
              <w:jc w:val="right"/>
              <w:rPr>
                <w:rFonts w:eastAsia="Times New Roman"/>
              </w:rPr>
            </w:pPr>
            <w:r>
              <w:rPr>
                <w:rFonts w:eastAsia="Times New Roman"/>
                <w:color w:val="000000"/>
                <w:sz w:val="20"/>
                <w:szCs w:val="20"/>
              </w:rPr>
              <w:t>7,738 </w:t>
            </w:r>
          </w:p>
        </w:tc>
        <w:tc>
          <w:tcPr>
            <w:tcW w:w="0" w:type="auto"/>
            <w:shd w:val="clear" w:color="auto" w:fill="FFFFFF"/>
            <w:tcMar>
              <w:top w:w="30" w:type="dxa"/>
              <w:left w:w="0" w:type="dxa"/>
              <w:bottom w:w="30" w:type="dxa"/>
              <w:right w:w="20" w:type="dxa"/>
            </w:tcMar>
            <w:vAlign w:val="center"/>
            <w:hideMark/>
          </w:tcPr>
          <w:p w14:paraId="2867F05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CCF1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208A40" w14:textId="77777777" w:rsidR="00000000" w:rsidRDefault="00A173A8">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center"/>
            <w:hideMark/>
          </w:tcPr>
          <w:p w14:paraId="1464B99B" w14:textId="77777777" w:rsidR="00000000" w:rsidRDefault="00A173A8">
            <w:pPr>
              <w:spacing w:after="100"/>
              <w:jc w:val="right"/>
              <w:rPr>
                <w:rFonts w:eastAsia="Times New Roman"/>
              </w:rPr>
            </w:pPr>
          </w:p>
        </w:tc>
      </w:tr>
      <w:tr w:rsidR="00000000" w14:paraId="46427364" w14:textId="77777777">
        <w:trPr>
          <w:divId w:val="1170558613"/>
        </w:trPr>
        <w:tc>
          <w:tcPr>
            <w:tcW w:w="0" w:type="auto"/>
            <w:gridSpan w:val="3"/>
            <w:shd w:val="clear" w:color="auto" w:fill="CCEEFF"/>
            <w:tcMar>
              <w:top w:w="30" w:type="dxa"/>
              <w:left w:w="245" w:type="dxa"/>
              <w:bottom w:w="30" w:type="dxa"/>
              <w:right w:w="20" w:type="dxa"/>
            </w:tcMar>
            <w:vAlign w:val="center"/>
            <w:hideMark/>
          </w:tcPr>
          <w:p w14:paraId="33F0809B" w14:textId="77777777" w:rsidR="00000000" w:rsidRDefault="00A173A8">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14:paraId="2C82852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63B6158" w14:textId="77777777" w:rsidR="00000000" w:rsidRDefault="00A173A8">
            <w:pPr>
              <w:spacing w:after="100"/>
              <w:jc w:val="right"/>
              <w:rPr>
                <w:rFonts w:eastAsia="Times New Roman"/>
              </w:rPr>
            </w:pPr>
            <w:r>
              <w:rPr>
                <w:rFonts w:eastAsia="Times New Roman"/>
                <w:b/>
                <w:bCs/>
                <w:color w:val="000000"/>
                <w:sz w:val="20"/>
                <w:szCs w:val="20"/>
              </w:rPr>
              <w:t>7,404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F12329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B27C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A249EB" w14:textId="77777777" w:rsidR="00000000" w:rsidRDefault="00A173A8">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EFABEE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A413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24B5A5" w14:textId="77777777" w:rsidR="00000000" w:rsidRDefault="00A173A8">
            <w:pPr>
              <w:spacing w:after="100"/>
              <w:jc w:val="right"/>
              <w:rPr>
                <w:rFonts w:eastAsia="Times New Roman"/>
              </w:rPr>
            </w:pPr>
            <w:r>
              <w:rPr>
                <w:rFonts w:eastAsia="Times New Roman"/>
                <w:color w:val="000000"/>
                <w:sz w:val="20"/>
                <w:szCs w:val="20"/>
              </w:rPr>
              <w:t>6,972 </w:t>
            </w:r>
          </w:p>
        </w:tc>
        <w:tc>
          <w:tcPr>
            <w:tcW w:w="0" w:type="auto"/>
            <w:shd w:val="clear" w:color="auto" w:fill="CCEEFF"/>
            <w:tcMar>
              <w:top w:w="30" w:type="dxa"/>
              <w:left w:w="0" w:type="dxa"/>
              <w:bottom w:w="30" w:type="dxa"/>
              <w:right w:w="20" w:type="dxa"/>
            </w:tcMar>
            <w:vAlign w:val="center"/>
            <w:hideMark/>
          </w:tcPr>
          <w:p w14:paraId="08594C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DA1C8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8645EF" w14:textId="77777777" w:rsidR="00000000" w:rsidRDefault="00A173A8">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center"/>
            <w:hideMark/>
          </w:tcPr>
          <w:p w14:paraId="2035AD34" w14:textId="77777777" w:rsidR="00000000" w:rsidRDefault="00A173A8">
            <w:pPr>
              <w:spacing w:after="100"/>
              <w:jc w:val="right"/>
              <w:rPr>
                <w:rFonts w:eastAsia="Times New Roman"/>
              </w:rPr>
            </w:pPr>
          </w:p>
        </w:tc>
      </w:tr>
      <w:tr w:rsidR="00000000" w14:paraId="458F80BE" w14:textId="77777777">
        <w:trPr>
          <w:divId w:val="1170558613"/>
        </w:trPr>
        <w:tc>
          <w:tcPr>
            <w:tcW w:w="0" w:type="auto"/>
            <w:gridSpan w:val="3"/>
            <w:shd w:val="clear" w:color="auto" w:fill="FFFFFF"/>
            <w:tcMar>
              <w:top w:w="30" w:type="dxa"/>
              <w:left w:w="245" w:type="dxa"/>
              <w:bottom w:w="30" w:type="dxa"/>
              <w:right w:w="20" w:type="dxa"/>
            </w:tcMar>
            <w:vAlign w:val="center"/>
            <w:hideMark/>
          </w:tcPr>
          <w:p w14:paraId="7E519273" w14:textId="77777777" w:rsidR="00000000" w:rsidRDefault="00A173A8">
            <w:pPr>
              <w:spacing w:after="100"/>
              <w:rPr>
                <w:rFonts w:eastAsia="Times New Roman"/>
              </w:rPr>
            </w:pPr>
            <w:r>
              <w:rPr>
                <w:rFonts w:eastAsia="Times New Roman"/>
                <w:color w:val="000000"/>
                <w:sz w:val="20"/>
                <w:szCs w:val="20"/>
              </w:rPr>
              <w:t>Pennsylvania</w:t>
            </w:r>
          </w:p>
        </w:tc>
        <w:tc>
          <w:tcPr>
            <w:tcW w:w="0" w:type="auto"/>
            <w:gridSpan w:val="3"/>
            <w:shd w:val="clear" w:color="auto" w:fill="FFFFFF"/>
            <w:tcMar>
              <w:top w:w="0" w:type="dxa"/>
              <w:left w:w="20" w:type="dxa"/>
              <w:bottom w:w="0" w:type="dxa"/>
              <w:right w:w="20" w:type="dxa"/>
            </w:tcMar>
            <w:vAlign w:val="center"/>
            <w:hideMark/>
          </w:tcPr>
          <w:p w14:paraId="1A6C3EC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5B18C58" w14:textId="77777777" w:rsidR="00000000" w:rsidRDefault="00A173A8">
            <w:pPr>
              <w:spacing w:after="100"/>
              <w:jc w:val="right"/>
              <w:rPr>
                <w:rFonts w:eastAsia="Times New Roman"/>
              </w:rPr>
            </w:pPr>
            <w:r>
              <w:rPr>
                <w:rFonts w:eastAsia="Times New Roman"/>
                <w:b/>
                <w:bCs/>
                <w:color w:val="000000"/>
                <w:sz w:val="20"/>
                <w:szCs w:val="20"/>
              </w:rPr>
              <w:t>4,772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761F85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007E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BCFA66" w14:textId="77777777" w:rsidR="00000000" w:rsidRDefault="00A173A8">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2DED2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701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1E4788" w14:textId="77777777" w:rsidR="00000000" w:rsidRDefault="00A173A8">
            <w:pPr>
              <w:spacing w:after="100"/>
              <w:jc w:val="right"/>
              <w:rPr>
                <w:rFonts w:eastAsia="Times New Roman"/>
              </w:rPr>
            </w:pPr>
            <w:r>
              <w:rPr>
                <w:rFonts w:eastAsia="Times New Roman"/>
                <w:color w:val="000000"/>
                <w:sz w:val="20"/>
                <w:szCs w:val="20"/>
              </w:rPr>
              <w:t>4,568 </w:t>
            </w:r>
          </w:p>
        </w:tc>
        <w:tc>
          <w:tcPr>
            <w:tcW w:w="0" w:type="auto"/>
            <w:shd w:val="clear" w:color="auto" w:fill="FFFFFF"/>
            <w:tcMar>
              <w:top w:w="30" w:type="dxa"/>
              <w:left w:w="0" w:type="dxa"/>
              <w:bottom w:w="30" w:type="dxa"/>
              <w:right w:w="20" w:type="dxa"/>
            </w:tcMar>
            <w:vAlign w:val="center"/>
            <w:hideMark/>
          </w:tcPr>
          <w:p w14:paraId="48AB269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538C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8F87FA" w14:textId="77777777" w:rsidR="00000000" w:rsidRDefault="00A173A8">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center"/>
            <w:hideMark/>
          </w:tcPr>
          <w:p w14:paraId="77605450" w14:textId="77777777" w:rsidR="00000000" w:rsidRDefault="00A173A8">
            <w:pPr>
              <w:spacing w:after="100"/>
              <w:jc w:val="right"/>
              <w:rPr>
                <w:rFonts w:eastAsia="Times New Roman"/>
              </w:rPr>
            </w:pPr>
          </w:p>
        </w:tc>
      </w:tr>
      <w:tr w:rsidR="00000000" w14:paraId="336FC7AD" w14:textId="77777777">
        <w:trPr>
          <w:divId w:val="1170558613"/>
        </w:trPr>
        <w:tc>
          <w:tcPr>
            <w:tcW w:w="0" w:type="auto"/>
            <w:gridSpan w:val="3"/>
            <w:shd w:val="clear" w:color="auto" w:fill="CCEEFF"/>
            <w:tcMar>
              <w:top w:w="30" w:type="dxa"/>
              <w:left w:w="245" w:type="dxa"/>
              <w:bottom w:w="30" w:type="dxa"/>
              <w:right w:w="20" w:type="dxa"/>
            </w:tcMar>
            <w:vAlign w:val="center"/>
            <w:hideMark/>
          </w:tcPr>
          <w:p w14:paraId="2D4AC048" w14:textId="77777777" w:rsidR="00000000" w:rsidRDefault="00A173A8">
            <w:pPr>
              <w:spacing w:after="100"/>
              <w:rPr>
                <w:rFonts w:eastAsia="Times New Roman"/>
              </w:rPr>
            </w:pPr>
            <w:r>
              <w:rPr>
                <w:rFonts w:eastAsia="Times New Roman"/>
                <w:color w:val="000000"/>
                <w:sz w:val="20"/>
                <w:szCs w:val="20"/>
              </w:rPr>
              <w:t>Illinois</w:t>
            </w:r>
          </w:p>
        </w:tc>
        <w:tc>
          <w:tcPr>
            <w:tcW w:w="0" w:type="auto"/>
            <w:gridSpan w:val="3"/>
            <w:shd w:val="clear" w:color="auto" w:fill="CCEEFF"/>
            <w:tcMar>
              <w:top w:w="0" w:type="dxa"/>
              <w:left w:w="20" w:type="dxa"/>
              <w:bottom w:w="0" w:type="dxa"/>
              <w:right w:w="20" w:type="dxa"/>
            </w:tcMar>
            <w:vAlign w:val="center"/>
            <w:hideMark/>
          </w:tcPr>
          <w:p w14:paraId="27BF5A0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EDB082" w14:textId="77777777" w:rsidR="00000000" w:rsidRDefault="00A173A8">
            <w:pPr>
              <w:spacing w:after="100"/>
              <w:jc w:val="right"/>
              <w:rPr>
                <w:rFonts w:eastAsia="Times New Roman"/>
              </w:rPr>
            </w:pPr>
            <w:r>
              <w:rPr>
                <w:rFonts w:eastAsia="Times New Roman"/>
                <w:b/>
                <w:bCs/>
                <w:color w:val="000000"/>
                <w:sz w:val="20"/>
                <w:szCs w:val="20"/>
              </w:rPr>
              <w:t>4,704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3994F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0BC9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A0A6CF" w14:textId="77777777" w:rsidR="00000000" w:rsidRDefault="00A173A8">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02C098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6279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DA3B8E" w14:textId="77777777" w:rsidR="00000000" w:rsidRDefault="00A173A8">
            <w:pPr>
              <w:spacing w:after="100"/>
              <w:jc w:val="right"/>
              <w:rPr>
                <w:rFonts w:eastAsia="Times New Roman"/>
              </w:rPr>
            </w:pPr>
            <w:r>
              <w:rPr>
                <w:rFonts w:eastAsia="Times New Roman"/>
                <w:color w:val="000000"/>
                <w:sz w:val="20"/>
                <w:szCs w:val="20"/>
              </w:rPr>
              <w:t>4,478 </w:t>
            </w:r>
          </w:p>
        </w:tc>
        <w:tc>
          <w:tcPr>
            <w:tcW w:w="0" w:type="auto"/>
            <w:shd w:val="clear" w:color="auto" w:fill="CCEEFF"/>
            <w:tcMar>
              <w:top w:w="30" w:type="dxa"/>
              <w:left w:w="0" w:type="dxa"/>
              <w:bottom w:w="30" w:type="dxa"/>
              <w:right w:w="20" w:type="dxa"/>
            </w:tcMar>
            <w:vAlign w:val="center"/>
            <w:hideMark/>
          </w:tcPr>
          <w:p w14:paraId="662B6CA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F554F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C91D9D" w14:textId="77777777" w:rsidR="00000000" w:rsidRDefault="00A173A8">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14:paraId="5E81C502" w14:textId="77777777" w:rsidR="00000000" w:rsidRDefault="00A173A8">
            <w:pPr>
              <w:spacing w:after="100"/>
              <w:jc w:val="right"/>
              <w:rPr>
                <w:rFonts w:eastAsia="Times New Roman"/>
              </w:rPr>
            </w:pPr>
          </w:p>
        </w:tc>
      </w:tr>
      <w:tr w:rsidR="00000000" w14:paraId="7C3A0C5C" w14:textId="77777777">
        <w:trPr>
          <w:divId w:val="1170558613"/>
        </w:trPr>
        <w:tc>
          <w:tcPr>
            <w:tcW w:w="0" w:type="auto"/>
            <w:gridSpan w:val="3"/>
            <w:shd w:val="clear" w:color="auto" w:fill="FFFFFF"/>
            <w:tcMar>
              <w:top w:w="30" w:type="dxa"/>
              <w:left w:w="245" w:type="dxa"/>
              <w:bottom w:w="30" w:type="dxa"/>
              <w:right w:w="20" w:type="dxa"/>
            </w:tcMar>
            <w:vAlign w:val="center"/>
            <w:hideMark/>
          </w:tcPr>
          <w:p w14:paraId="624C0B8A" w14:textId="77777777" w:rsidR="00000000" w:rsidRDefault="00A173A8">
            <w:pPr>
              <w:spacing w:after="100"/>
              <w:rPr>
                <w:rFonts w:eastAsia="Times New Roman"/>
              </w:rPr>
            </w:pPr>
            <w:r>
              <w:rPr>
                <w:rFonts w:eastAsia="Times New Roman"/>
                <w:color w:val="000000"/>
                <w:sz w:val="20"/>
                <w:szCs w:val="20"/>
              </w:rPr>
              <w:t>Ohio</w:t>
            </w:r>
          </w:p>
        </w:tc>
        <w:tc>
          <w:tcPr>
            <w:tcW w:w="0" w:type="auto"/>
            <w:gridSpan w:val="3"/>
            <w:shd w:val="clear" w:color="auto" w:fill="FFFFFF"/>
            <w:tcMar>
              <w:top w:w="0" w:type="dxa"/>
              <w:left w:w="20" w:type="dxa"/>
              <w:bottom w:w="0" w:type="dxa"/>
              <w:right w:w="20" w:type="dxa"/>
            </w:tcMar>
            <w:vAlign w:val="center"/>
            <w:hideMark/>
          </w:tcPr>
          <w:p w14:paraId="1A63A93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C5F7506" w14:textId="77777777" w:rsidR="00000000" w:rsidRDefault="00A173A8">
            <w:pPr>
              <w:spacing w:after="100"/>
              <w:jc w:val="right"/>
              <w:rPr>
                <w:rFonts w:eastAsia="Times New Roman"/>
              </w:rPr>
            </w:pPr>
            <w:r>
              <w:rPr>
                <w:rFonts w:eastAsia="Times New Roman"/>
                <w:b/>
                <w:bCs/>
                <w:color w:val="000000"/>
                <w:sz w:val="20"/>
                <w:szCs w:val="20"/>
              </w:rPr>
              <w:t>4,121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519636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07934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A9E66E" w14:textId="77777777" w:rsidR="00000000" w:rsidRDefault="00A173A8">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3F9E96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C977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CAC7B5" w14:textId="77777777" w:rsidR="00000000" w:rsidRDefault="00A173A8">
            <w:pPr>
              <w:spacing w:after="100"/>
              <w:jc w:val="right"/>
              <w:rPr>
                <w:rFonts w:eastAsia="Times New Roman"/>
              </w:rPr>
            </w:pPr>
            <w:r>
              <w:rPr>
                <w:rFonts w:eastAsia="Times New Roman"/>
                <w:color w:val="000000"/>
                <w:sz w:val="20"/>
                <w:szCs w:val="20"/>
              </w:rPr>
              <w:t>3,949 </w:t>
            </w:r>
          </w:p>
        </w:tc>
        <w:tc>
          <w:tcPr>
            <w:tcW w:w="0" w:type="auto"/>
            <w:shd w:val="clear" w:color="auto" w:fill="FFFFFF"/>
            <w:tcMar>
              <w:top w:w="30" w:type="dxa"/>
              <w:left w:w="0" w:type="dxa"/>
              <w:bottom w:w="30" w:type="dxa"/>
              <w:right w:w="20" w:type="dxa"/>
            </w:tcMar>
            <w:vAlign w:val="center"/>
            <w:hideMark/>
          </w:tcPr>
          <w:p w14:paraId="295C35A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446A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964FF9" w14:textId="77777777" w:rsidR="00000000" w:rsidRDefault="00A173A8">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center"/>
            <w:hideMark/>
          </w:tcPr>
          <w:p w14:paraId="5386FA38" w14:textId="77777777" w:rsidR="00000000" w:rsidRDefault="00A173A8">
            <w:pPr>
              <w:spacing w:after="100"/>
              <w:jc w:val="right"/>
              <w:rPr>
                <w:rFonts w:eastAsia="Times New Roman"/>
              </w:rPr>
            </w:pPr>
          </w:p>
        </w:tc>
      </w:tr>
      <w:tr w:rsidR="00000000" w14:paraId="791B9D89" w14:textId="77777777">
        <w:trPr>
          <w:divId w:val="1170558613"/>
        </w:trPr>
        <w:tc>
          <w:tcPr>
            <w:tcW w:w="0" w:type="auto"/>
            <w:gridSpan w:val="3"/>
            <w:shd w:val="clear" w:color="auto" w:fill="CCEEFF"/>
            <w:tcMar>
              <w:top w:w="30" w:type="dxa"/>
              <w:left w:w="245" w:type="dxa"/>
              <w:bottom w:w="30" w:type="dxa"/>
              <w:right w:w="20" w:type="dxa"/>
            </w:tcMar>
            <w:vAlign w:val="center"/>
            <w:hideMark/>
          </w:tcPr>
          <w:p w14:paraId="59F91357" w14:textId="77777777" w:rsidR="00000000" w:rsidRDefault="00A173A8">
            <w:pPr>
              <w:spacing w:after="100"/>
              <w:rPr>
                <w:rFonts w:eastAsia="Times New Roman"/>
              </w:rPr>
            </w:pPr>
            <w:r>
              <w:rPr>
                <w:rFonts w:eastAsia="Times New Roman"/>
                <w:color w:val="000000"/>
                <w:sz w:val="20"/>
                <w:szCs w:val="20"/>
              </w:rPr>
              <w:t>New Jersey</w:t>
            </w:r>
          </w:p>
        </w:tc>
        <w:tc>
          <w:tcPr>
            <w:tcW w:w="0" w:type="auto"/>
            <w:gridSpan w:val="3"/>
            <w:shd w:val="clear" w:color="auto" w:fill="CCEEFF"/>
            <w:tcMar>
              <w:top w:w="0" w:type="dxa"/>
              <w:left w:w="20" w:type="dxa"/>
              <w:bottom w:w="0" w:type="dxa"/>
              <w:right w:w="20" w:type="dxa"/>
            </w:tcMar>
            <w:vAlign w:val="center"/>
            <w:hideMark/>
          </w:tcPr>
          <w:p w14:paraId="4367DC6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2802A0D" w14:textId="77777777" w:rsidR="00000000" w:rsidRDefault="00A173A8">
            <w:pPr>
              <w:spacing w:after="100"/>
              <w:jc w:val="right"/>
              <w:rPr>
                <w:rFonts w:eastAsia="Times New Roman"/>
              </w:rPr>
            </w:pPr>
            <w:r>
              <w:rPr>
                <w:rFonts w:eastAsia="Times New Roman"/>
                <w:b/>
                <w:bCs/>
                <w:color w:val="000000"/>
                <w:sz w:val="20"/>
                <w:szCs w:val="20"/>
              </w:rPr>
              <w:t>3,730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9D9F02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E707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8E7352" w14:textId="77777777" w:rsidR="00000000" w:rsidRDefault="00A173A8">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EAEE6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C8C1A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BA1495" w14:textId="77777777" w:rsidR="00000000" w:rsidRDefault="00A173A8">
            <w:pPr>
              <w:spacing w:after="100"/>
              <w:jc w:val="right"/>
              <w:rPr>
                <w:rFonts w:eastAsia="Times New Roman"/>
              </w:rPr>
            </w:pPr>
            <w:r>
              <w:rPr>
                <w:rFonts w:eastAsia="Times New Roman"/>
                <w:color w:val="000000"/>
                <w:sz w:val="20"/>
                <w:szCs w:val="20"/>
              </w:rPr>
              <w:t>3,520 </w:t>
            </w:r>
          </w:p>
        </w:tc>
        <w:tc>
          <w:tcPr>
            <w:tcW w:w="0" w:type="auto"/>
            <w:shd w:val="clear" w:color="auto" w:fill="CCEEFF"/>
            <w:tcMar>
              <w:top w:w="30" w:type="dxa"/>
              <w:left w:w="0" w:type="dxa"/>
              <w:bottom w:w="30" w:type="dxa"/>
              <w:right w:w="20" w:type="dxa"/>
            </w:tcMar>
            <w:vAlign w:val="center"/>
            <w:hideMark/>
          </w:tcPr>
          <w:p w14:paraId="0BB48E1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AF84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D33D98" w14:textId="77777777" w:rsidR="00000000" w:rsidRDefault="00A173A8">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center"/>
            <w:hideMark/>
          </w:tcPr>
          <w:p w14:paraId="6DEEB17B" w14:textId="77777777" w:rsidR="00000000" w:rsidRDefault="00A173A8">
            <w:pPr>
              <w:spacing w:after="100"/>
              <w:jc w:val="right"/>
              <w:rPr>
                <w:rFonts w:eastAsia="Times New Roman"/>
              </w:rPr>
            </w:pPr>
          </w:p>
        </w:tc>
      </w:tr>
      <w:tr w:rsidR="00000000" w14:paraId="08F051FB" w14:textId="77777777">
        <w:trPr>
          <w:divId w:val="1170558613"/>
        </w:trPr>
        <w:tc>
          <w:tcPr>
            <w:tcW w:w="0" w:type="auto"/>
            <w:gridSpan w:val="3"/>
            <w:shd w:val="clear" w:color="auto" w:fill="FFFFFF"/>
            <w:tcMar>
              <w:top w:w="30" w:type="dxa"/>
              <w:left w:w="245" w:type="dxa"/>
              <w:bottom w:w="30" w:type="dxa"/>
              <w:right w:w="20" w:type="dxa"/>
            </w:tcMar>
            <w:vAlign w:val="center"/>
            <w:hideMark/>
          </w:tcPr>
          <w:p w14:paraId="337799AA" w14:textId="77777777" w:rsidR="00000000" w:rsidRDefault="00A173A8">
            <w:pPr>
              <w:spacing w:after="100"/>
              <w:rPr>
                <w:rFonts w:eastAsia="Times New Roman"/>
              </w:rPr>
            </w:pPr>
            <w:r>
              <w:rPr>
                <w:rFonts w:eastAsia="Times New Roman"/>
                <w:color w:val="000000"/>
                <w:sz w:val="20"/>
                <w:szCs w:val="20"/>
              </w:rPr>
              <w:t>Georgia</w:t>
            </w:r>
          </w:p>
        </w:tc>
        <w:tc>
          <w:tcPr>
            <w:tcW w:w="0" w:type="auto"/>
            <w:gridSpan w:val="3"/>
            <w:shd w:val="clear" w:color="auto" w:fill="FFFFFF"/>
            <w:tcMar>
              <w:top w:w="0" w:type="dxa"/>
              <w:left w:w="20" w:type="dxa"/>
              <w:bottom w:w="0" w:type="dxa"/>
              <w:right w:w="20" w:type="dxa"/>
            </w:tcMar>
            <w:vAlign w:val="center"/>
            <w:hideMark/>
          </w:tcPr>
          <w:p w14:paraId="0E4EE33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36F1092" w14:textId="77777777" w:rsidR="00000000" w:rsidRDefault="00A173A8">
            <w:pPr>
              <w:spacing w:after="100"/>
              <w:jc w:val="right"/>
              <w:rPr>
                <w:rFonts w:eastAsia="Times New Roman"/>
              </w:rPr>
            </w:pPr>
            <w:r>
              <w:rPr>
                <w:rFonts w:eastAsia="Times New Roman"/>
                <w:b/>
                <w:bCs/>
                <w:color w:val="000000"/>
                <w:sz w:val="20"/>
                <w:szCs w:val="20"/>
              </w:rPr>
              <w:t>3,600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6DB59E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3BFF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B9300A" w14:textId="77777777" w:rsidR="00000000" w:rsidRDefault="00A173A8">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374D56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2B041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47D67F" w14:textId="77777777" w:rsidR="00000000" w:rsidRDefault="00A173A8">
            <w:pPr>
              <w:spacing w:after="100"/>
              <w:jc w:val="right"/>
              <w:rPr>
                <w:rFonts w:eastAsia="Times New Roman"/>
              </w:rPr>
            </w:pPr>
            <w:r>
              <w:rPr>
                <w:rFonts w:eastAsia="Times New Roman"/>
                <w:color w:val="000000"/>
                <w:sz w:val="20"/>
                <w:szCs w:val="20"/>
              </w:rPr>
              <w:t>3,397 </w:t>
            </w:r>
          </w:p>
        </w:tc>
        <w:tc>
          <w:tcPr>
            <w:tcW w:w="0" w:type="auto"/>
            <w:shd w:val="clear" w:color="auto" w:fill="FFFFFF"/>
            <w:tcMar>
              <w:top w:w="30" w:type="dxa"/>
              <w:left w:w="0" w:type="dxa"/>
              <w:bottom w:w="30" w:type="dxa"/>
              <w:right w:w="20" w:type="dxa"/>
            </w:tcMar>
            <w:vAlign w:val="center"/>
            <w:hideMark/>
          </w:tcPr>
          <w:p w14:paraId="0BFC83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23D2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30E427" w14:textId="77777777" w:rsidR="00000000" w:rsidRDefault="00A173A8">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14:paraId="0FAD5DB3" w14:textId="77777777" w:rsidR="00000000" w:rsidRDefault="00A173A8">
            <w:pPr>
              <w:spacing w:after="100"/>
              <w:jc w:val="right"/>
              <w:rPr>
                <w:rFonts w:eastAsia="Times New Roman"/>
              </w:rPr>
            </w:pPr>
          </w:p>
        </w:tc>
      </w:tr>
      <w:tr w:rsidR="00000000" w14:paraId="024D15D7" w14:textId="77777777">
        <w:trPr>
          <w:divId w:val="1170558613"/>
        </w:trPr>
        <w:tc>
          <w:tcPr>
            <w:tcW w:w="0" w:type="auto"/>
            <w:gridSpan w:val="3"/>
            <w:shd w:val="clear" w:color="auto" w:fill="CCEEFF"/>
            <w:tcMar>
              <w:top w:w="30" w:type="dxa"/>
              <w:left w:w="245" w:type="dxa"/>
              <w:bottom w:w="30" w:type="dxa"/>
              <w:right w:w="20" w:type="dxa"/>
            </w:tcMar>
            <w:vAlign w:val="center"/>
            <w:hideMark/>
          </w:tcPr>
          <w:p w14:paraId="0685B545" w14:textId="77777777" w:rsidR="00000000" w:rsidRDefault="00A173A8">
            <w:pPr>
              <w:spacing w:after="100"/>
              <w:rPr>
                <w:rFonts w:eastAsia="Times New Roman"/>
              </w:rPr>
            </w:pPr>
            <w:r>
              <w:rPr>
                <w:rFonts w:eastAsia="Times New Roman"/>
                <w:color w:val="000000"/>
                <w:sz w:val="20"/>
                <w:szCs w:val="20"/>
              </w:rPr>
              <w:t>Michigan</w:t>
            </w:r>
          </w:p>
        </w:tc>
        <w:tc>
          <w:tcPr>
            <w:tcW w:w="0" w:type="auto"/>
            <w:gridSpan w:val="3"/>
            <w:shd w:val="clear" w:color="auto" w:fill="CCEEFF"/>
            <w:tcMar>
              <w:top w:w="0" w:type="dxa"/>
              <w:left w:w="20" w:type="dxa"/>
              <w:bottom w:w="0" w:type="dxa"/>
              <w:right w:w="20" w:type="dxa"/>
            </w:tcMar>
            <w:vAlign w:val="center"/>
            <w:hideMark/>
          </w:tcPr>
          <w:p w14:paraId="5287DC8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24E7D0" w14:textId="77777777" w:rsidR="00000000" w:rsidRDefault="00A173A8">
            <w:pPr>
              <w:spacing w:after="100"/>
              <w:jc w:val="right"/>
              <w:rPr>
                <w:rFonts w:eastAsia="Times New Roman"/>
              </w:rPr>
            </w:pPr>
            <w:r>
              <w:rPr>
                <w:rFonts w:eastAsia="Times New Roman"/>
                <w:b/>
                <w:bCs/>
                <w:color w:val="000000"/>
                <w:sz w:val="20"/>
                <w:szCs w:val="20"/>
              </w:rPr>
              <w:t>3,465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FDDE13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4EB5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9560F1" w14:textId="77777777" w:rsidR="00000000" w:rsidRDefault="00A173A8">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4B4CC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43BE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4A1A5B" w14:textId="77777777" w:rsidR="00000000" w:rsidRDefault="00A173A8">
            <w:pPr>
              <w:spacing w:after="100"/>
              <w:jc w:val="right"/>
              <w:rPr>
                <w:rFonts w:eastAsia="Times New Roman"/>
              </w:rPr>
            </w:pPr>
            <w:r>
              <w:rPr>
                <w:rFonts w:eastAsia="Times New Roman"/>
                <w:color w:val="000000"/>
                <w:sz w:val="20"/>
                <w:szCs w:val="20"/>
              </w:rPr>
              <w:t>3,306 </w:t>
            </w:r>
          </w:p>
        </w:tc>
        <w:tc>
          <w:tcPr>
            <w:tcW w:w="0" w:type="auto"/>
            <w:shd w:val="clear" w:color="auto" w:fill="CCEEFF"/>
            <w:tcMar>
              <w:top w:w="30" w:type="dxa"/>
              <w:left w:w="0" w:type="dxa"/>
              <w:bottom w:w="30" w:type="dxa"/>
              <w:right w:w="20" w:type="dxa"/>
            </w:tcMar>
            <w:vAlign w:val="center"/>
            <w:hideMark/>
          </w:tcPr>
          <w:p w14:paraId="1BE1D2F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68F7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9AA43F" w14:textId="77777777" w:rsidR="00000000" w:rsidRDefault="00A173A8">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center"/>
            <w:hideMark/>
          </w:tcPr>
          <w:p w14:paraId="459BBA76" w14:textId="77777777" w:rsidR="00000000" w:rsidRDefault="00A173A8">
            <w:pPr>
              <w:spacing w:after="100"/>
              <w:jc w:val="right"/>
              <w:rPr>
                <w:rFonts w:eastAsia="Times New Roman"/>
              </w:rPr>
            </w:pPr>
          </w:p>
        </w:tc>
      </w:tr>
      <w:tr w:rsidR="00000000" w14:paraId="78CC1092" w14:textId="77777777">
        <w:trPr>
          <w:divId w:val="1170558613"/>
        </w:trPr>
        <w:tc>
          <w:tcPr>
            <w:tcW w:w="0" w:type="auto"/>
            <w:gridSpan w:val="3"/>
            <w:shd w:val="clear" w:color="auto" w:fill="FFFFFF"/>
            <w:tcMar>
              <w:top w:w="30" w:type="dxa"/>
              <w:left w:w="245" w:type="dxa"/>
              <w:bottom w:w="30" w:type="dxa"/>
              <w:right w:w="20" w:type="dxa"/>
            </w:tcMar>
            <w:vAlign w:val="center"/>
            <w:hideMark/>
          </w:tcPr>
          <w:p w14:paraId="624B8BD5" w14:textId="77777777" w:rsidR="00000000" w:rsidRDefault="00A173A8">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0740431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75AE2F5" w14:textId="77777777" w:rsidR="00000000" w:rsidRDefault="00A173A8">
            <w:pPr>
              <w:spacing w:after="100"/>
              <w:jc w:val="right"/>
              <w:rPr>
                <w:rFonts w:eastAsia="Times New Roman"/>
              </w:rPr>
            </w:pPr>
            <w:r>
              <w:rPr>
                <w:rFonts w:eastAsia="Times New Roman"/>
                <w:b/>
                <w:bCs/>
                <w:color w:val="000000"/>
                <w:sz w:val="20"/>
                <w:szCs w:val="20"/>
              </w:rPr>
              <w:t>53,457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4C1B8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A9A1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561821" w14:textId="77777777" w:rsidR="00000000" w:rsidRDefault="00A173A8">
            <w:pPr>
              <w:spacing w:after="100"/>
              <w:jc w:val="right"/>
              <w:rPr>
                <w:rFonts w:eastAsia="Times New Roman"/>
              </w:rPr>
            </w:pPr>
            <w:r>
              <w:rPr>
                <w:rFonts w:eastAsia="Times New Roman"/>
                <w:b/>
                <w:bCs/>
                <w:color w:val="000000"/>
                <w:sz w:val="20"/>
                <w:szCs w:val="20"/>
              </w:rPr>
              <w:t>44.2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0E8978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0A2BA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3A5B93" w14:textId="77777777" w:rsidR="00000000" w:rsidRDefault="00A173A8">
            <w:pPr>
              <w:spacing w:after="100"/>
              <w:jc w:val="right"/>
              <w:rPr>
                <w:rFonts w:eastAsia="Times New Roman"/>
              </w:rPr>
            </w:pPr>
            <w:r>
              <w:rPr>
                <w:rFonts w:eastAsia="Times New Roman"/>
                <w:color w:val="000000"/>
                <w:sz w:val="20"/>
                <w:szCs w:val="20"/>
              </w:rPr>
              <w:t>50,599 </w:t>
            </w:r>
          </w:p>
        </w:tc>
        <w:tc>
          <w:tcPr>
            <w:tcW w:w="0" w:type="auto"/>
            <w:shd w:val="clear" w:color="auto" w:fill="FFFFFF"/>
            <w:tcMar>
              <w:top w:w="30" w:type="dxa"/>
              <w:left w:w="0" w:type="dxa"/>
              <w:bottom w:w="30" w:type="dxa"/>
              <w:right w:w="20" w:type="dxa"/>
            </w:tcMar>
            <w:vAlign w:val="center"/>
            <w:hideMark/>
          </w:tcPr>
          <w:p w14:paraId="4CD7D41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EF7CD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946CAB" w14:textId="77777777" w:rsidR="00000000" w:rsidRDefault="00A173A8">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center"/>
            <w:hideMark/>
          </w:tcPr>
          <w:p w14:paraId="1D199093" w14:textId="77777777" w:rsidR="00000000" w:rsidRDefault="00A173A8">
            <w:pPr>
              <w:spacing w:after="100"/>
              <w:jc w:val="right"/>
              <w:rPr>
                <w:rFonts w:eastAsia="Times New Roman"/>
              </w:rPr>
            </w:pPr>
          </w:p>
        </w:tc>
      </w:tr>
      <w:tr w:rsidR="00000000" w14:paraId="57EBCDC1" w14:textId="77777777">
        <w:trPr>
          <w:divId w:val="1170558613"/>
        </w:trPr>
        <w:tc>
          <w:tcPr>
            <w:tcW w:w="0" w:type="auto"/>
            <w:gridSpan w:val="3"/>
            <w:shd w:val="clear" w:color="auto" w:fill="CCEEFF"/>
            <w:tcMar>
              <w:top w:w="30" w:type="dxa"/>
              <w:left w:w="20" w:type="dxa"/>
              <w:bottom w:w="30" w:type="dxa"/>
              <w:right w:w="20" w:type="dxa"/>
            </w:tcMar>
            <w:vAlign w:val="center"/>
            <w:hideMark/>
          </w:tcPr>
          <w:p w14:paraId="47A4A195" w14:textId="77777777" w:rsidR="00000000" w:rsidRDefault="00A173A8">
            <w:pPr>
              <w:spacing w:after="100"/>
              <w:rPr>
                <w:rFonts w:eastAsia="Times New Roman"/>
              </w:rPr>
            </w:pPr>
            <w:r>
              <w:rPr>
                <w:rFonts w:eastAsia="Times New Roman"/>
                <w:color w:val="000000"/>
                <w:sz w:val="20"/>
                <w:szCs w:val="20"/>
              </w:rPr>
              <w:t>Total domestic credit card</w:t>
            </w:r>
          </w:p>
        </w:tc>
        <w:tc>
          <w:tcPr>
            <w:tcW w:w="0" w:type="auto"/>
            <w:gridSpan w:val="3"/>
            <w:shd w:val="clear" w:color="auto" w:fill="CCEEFF"/>
            <w:tcMar>
              <w:top w:w="0" w:type="dxa"/>
              <w:left w:w="20" w:type="dxa"/>
              <w:bottom w:w="0" w:type="dxa"/>
              <w:right w:w="20" w:type="dxa"/>
            </w:tcMar>
            <w:vAlign w:val="center"/>
            <w:hideMark/>
          </w:tcPr>
          <w:p w14:paraId="11D7A461"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C9C926" w14:textId="77777777" w:rsidR="00000000" w:rsidRDefault="00A173A8">
            <w:pPr>
              <w:spacing w:after="100"/>
              <w:jc w:val="right"/>
              <w:rPr>
                <w:rFonts w:eastAsia="Times New Roman"/>
              </w:rPr>
            </w:pPr>
            <w:r>
              <w:rPr>
                <w:rFonts w:eastAsia="Times New Roman"/>
                <w:b/>
                <w:bCs/>
                <w:color w:val="000000"/>
                <w:sz w:val="20"/>
                <w:szCs w:val="20"/>
              </w:rPr>
              <w:t>115,004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367B3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1C09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E6A2B2" w14:textId="77777777" w:rsidR="00000000" w:rsidRDefault="00A173A8">
            <w:pPr>
              <w:spacing w:after="100"/>
              <w:jc w:val="right"/>
              <w:rPr>
                <w:rFonts w:eastAsia="Times New Roman"/>
              </w:rPr>
            </w:pPr>
            <w:r>
              <w:rPr>
                <w:rFonts w:eastAsia="Times New Roman"/>
                <w:b/>
                <w:bCs/>
                <w:color w:val="000000"/>
                <w:sz w:val="20"/>
                <w:szCs w:val="20"/>
              </w:rPr>
              <w:t>95.1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FC5CD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22CD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5004A84" w14:textId="77777777" w:rsidR="00000000" w:rsidRDefault="00A173A8">
            <w:pPr>
              <w:spacing w:after="100"/>
              <w:jc w:val="right"/>
              <w:rPr>
                <w:rFonts w:eastAsia="Times New Roman"/>
              </w:rPr>
            </w:pPr>
            <w:r>
              <w:rPr>
                <w:rFonts w:eastAsia="Times New Roman"/>
                <w:color w:val="000000"/>
                <w:sz w:val="20"/>
                <w:szCs w:val="20"/>
              </w:rPr>
              <w:t>108,723 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7378C2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9C5E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6FB3A04" w14:textId="77777777" w:rsidR="00000000" w:rsidRDefault="00A173A8">
            <w:pPr>
              <w:spacing w:after="100"/>
              <w:jc w:val="right"/>
              <w:rPr>
                <w:rFonts w:eastAsia="Times New Roman"/>
              </w:rPr>
            </w:pPr>
            <w:r>
              <w:rPr>
                <w:rFonts w:eastAsia="Times New Roman"/>
                <w:color w:val="000000"/>
                <w:sz w:val="20"/>
                <w:szCs w:val="20"/>
              </w:rPr>
              <w:t>94.7 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ED7D46" w14:textId="77777777" w:rsidR="00000000" w:rsidRDefault="00A173A8">
            <w:pPr>
              <w:spacing w:after="100"/>
              <w:jc w:val="right"/>
              <w:rPr>
                <w:rFonts w:eastAsia="Times New Roman"/>
              </w:rPr>
            </w:pPr>
          </w:p>
        </w:tc>
      </w:tr>
      <w:tr w:rsidR="00000000" w14:paraId="43358B85" w14:textId="77777777">
        <w:trPr>
          <w:divId w:val="1170558613"/>
        </w:trPr>
        <w:tc>
          <w:tcPr>
            <w:tcW w:w="0" w:type="auto"/>
            <w:gridSpan w:val="3"/>
            <w:shd w:val="clear" w:color="auto" w:fill="FFFFFF"/>
            <w:tcMar>
              <w:top w:w="30" w:type="dxa"/>
              <w:left w:w="20" w:type="dxa"/>
              <w:bottom w:w="30" w:type="dxa"/>
              <w:right w:w="20" w:type="dxa"/>
            </w:tcMar>
            <w:vAlign w:val="center"/>
            <w:hideMark/>
          </w:tcPr>
          <w:p w14:paraId="0C415177" w14:textId="77777777" w:rsidR="00000000" w:rsidRDefault="00A173A8">
            <w:pPr>
              <w:spacing w:after="100"/>
              <w:rPr>
                <w:rFonts w:eastAsia="Times New Roman"/>
              </w:rPr>
            </w:pPr>
            <w:r>
              <w:rPr>
                <w:rFonts w:eastAsia="Times New Roman"/>
                <w:b/>
                <w:bCs/>
                <w:color w:val="000000"/>
                <w:sz w:val="20"/>
                <w:szCs w:val="20"/>
              </w:rPr>
              <w:t>International card businesses:</w:t>
            </w:r>
          </w:p>
        </w:tc>
        <w:tc>
          <w:tcPr>
            <w:tcW w:w="0" w:type="auto"/>
            <w:gridSpan w:val="3"/>
            <w:shd w:val="clear" w:color="auto" w:fill="FFFFFF"/>
            <w:tcMar>
              <w:top w:w="0" w:type="dxa"/>
              <w:left w:w="20" w:type="dxa"/>
              <w:bottom w:w="0" w:type="dxa"/>
              <w:right w:w="20" w:type="dxa"/>
            </w:tcMar>
            <w:vAlign w:val="center"/>
            <w:hideMark/>
          </w:tcPr>
          <w:p w14:paraId="40DEE85F"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85497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5F787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9CAC0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80FAC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21D44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DA5B4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ED5DD6" w14:textId="77777777" w:rsidR="00000000" w:rsidRDefault="00A173A8">
            <w:pPr>
              <w:spacing w:after="100"/>
              <w:rPr>
                <w:rFonts w:eastAsia="Times New Roman"/>
                <w:sz w:val="20"/>
                <w:szCs w:val="20"/>
              </w:rPr>
            </w:pPr>
          </w:p>
        </w:tc>
      </w:tr>
      <w:tr w:rsidR="00000000" w14:paraId="631BC343" w14:textId="77777777">
        <w:trPr>
          <w:divId w:val="1170558613"/>
        </w:trPr>
        <w:tc>
          <w:tcPr>
            <w:tcW w:w="0" w:type="auto"/>
            <w:gridSpan w:val="3"/>
            <w:shd w:val="clear" w:color="auto" w:fill="CCEEFF"/>
            <w:tcMar>
              <w:top w:w="30" w:type="dxa"/>
              <w:left w:w="245" w:type="dxa"/>
              <w:bottom w:w="30" w:type="dxa"/>
              <w:right w:w="20" w:type="dxa"/>
            </w:tcMar>
            <w:vAlign w:val="center"/>
            <w:hideMark/>
          </w:tcPr>
          <w:p w14:paraId="783650AB" w14:textId="77777777" w:rsidR="00000000" w:rsidRDefault="00A173A8">
            <w:pPr>
              <w:spacing w:after="100"/>
              <w:rPr>
                <w:rFonts w:eastAsia="Times New Roman"/>
              </w:rPr>
            </w:pPr>
            <w:r>
              <w:rPr>
                <w:rFonts w:eastAsia="Times New Roman"/>
                <w:color w:val="000000"/>
                <w:sz w:val="20"/>
                <w:szCs w:val="20"/>
              </w:rPr>
              <w:t>Canada</w:t>
            </w:r>
          </w:p>
        </w:tc>
        <w:tc>
          <w:tcPr>
            <w:tcW w:w="0" w:type="auto"/>
            <w:gridSpan w:val="3"/>
            <w:shd w:val="clear" w:color="auto" w:fill="CCEEFF"/>
            <w:tcMar>
              <w:top w:w="0" w:type="dxa"/>
              <w:left w:w="20" w:type="dxa"/>
              <w:bottom w:w="0" w:type="dxa"/>
              <w:right w:w="20" w:type="dxa"/>
            </w:tcMar>
            <w:vAlign w:val="center"/>
            <w:hideMark/>
          </w:tcPr>
          <w:p w14:paraId="56C1AAC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EC17B78" w14:textId="77777777" w:rsidR="00000000" w:rsidRDefault="00A173A8">
            <w:pPr>
              <w:spacing w:after="100"/>
              <w:jc w:val="right"/>
              <w:rPr>
                <w:rFonts w:eastAsia="Times New Roman"/>
              </w:rPr>
            </w:pPr>
            <w:r>
              <w:rPr>
                <w:rFonts w:eastAsia="Times New Roman"/>
                <w:b/>
                <w:bCs/>
                <w:color w:val="000000"/>
                <w:sz w:val="20"/>
                <w:szCs w:val="20"/>
              </w:rPr>
              <w:t>2,979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FAA89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6C01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14B65B" w14:textId="77777777" w:rsidR="00000000" w:rsidRDefault="00A173A8">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0A4A62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667E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4CE500" w14:textId="77777777" w:rsidR="00000000" w:rsidRDefault="00A173A8">
            <w:pPr>
              <w:spacing w:after="100"/>
              <w:jc w:val="right"/>
              <w:rPr>
                <w:rFonts w:eastAsia="Times New Roman"/>
              </w:rPr>
            </w:pPr>
            <w:r>
              <w:rPr>
                <w:rFonts w:eastAsia="Times New Roman"/>
                <w:color w:val="000000"/>
                <w:sz w:val="20"/>
                <w:szCs w:val="20"/>
              </w:rPr>
              <w:t>3,015 </w:t>
            </w:r>
          </w:p>
        </w:tc>
        <w:tc>
          <w:tcPr>
            <w:tcW w:w="0" w:type="auto"/>
            <w:shd w:val="clear" w:color="auto" w:fill="CCEEFF"/>
            <w:tcMar>
              <w:top w:w="30" w:type="dxa"/>
              <w:left w:w="0" w:type="dxa"/>
              <w:bottom w:w="30" w:type="dxa"/>
              <w:right w:w="20" w:type="dxa"/>
            </w:tcMar>
            <w:vAlign w:val="center"/>
            <w:hideMark/>
          </w:tcPr>
          <w:p w14:paraId="72FA3A5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D19D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F5E950" w14:textId="77777777" w:rsidR="00000000" w:rsidRDefault="00A173A8">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center"/>
            <w:hideMark/>
          </w:tcPr>
          <w:p w14:paraId="0A04541E" w14:textId="77777777" w:rsidR="00000000" w:rsidRDefault="00A173A8">
            <w:pPr>
              <w:spacing w:after="100"/>
              <w:jc w:val="right"/>
              <w:rPr>
                <w:rFonts w:eastAsia="Times New Roman"/>
              </w:rPr>
            </w:pPr>
          </w:p>
        </w:tc>
      </w:tr>
      <w:tr w:rsidR="00000000" w14:paraId="7C6235D1" w14:textId="77777777">
        <w:trPr>
          <w:divId w:val="1170558613"/>
        </w:trPr>
        <w:tc>
          <w:tcPr>
            <w:tcW w:w="0" w:type="auto"/>
            <w:gridSpan w:val="3"/>
            <w:shd w:val="clear" w:color="auto" w:fill="FFFFFF"/>
            <w:tcMar>
              <w:top w:w="30" w:type="dxa"/>
              <w:left w:w="245" w:type="dxa"/>
              <w:bottom w:w="30" w:type="dxa"/>
              <w:right w:w="20" w:type="dxa"/>
            </w:tcMar>
            <w:vAlign w:val="center"/>
            <w:hideMark/>
          </w:tcPr>
          <w:p w14:paraId="3B1EBC4E" w14:textId="77777777" w:rsidR="00000000" w:rsidRDefault="00A173A8">
            <w:pPr>
              <w:spacing w:after="100"/>
              <w:rPr>
                <w:rFonts w:eastAsia="Times New Roman"/>
              </w:rPr>
            </w:pPr>
            <w:r>
              <w:rPr>
                <w:rFonts w:eastAsia="Times New Roman"/>
                <w:color w:val="000000"/>
                <w:sz w:val="20"/>
                <w:szCs w:val="20"/>
              </w:rPr>
              <w:t>United Kingdom</w:t>
            </w:r>
          </w:p>
        </w:tc>
        <w:tc>
          <w:tcPr>
            <w:tcW w:w="0" w:type="auto"/>
            <w:gridSpan w:val="3"/>
            <w:shd w:val="clear" w:color="auto" w:fill="FFFFFF"/>
            <w:tcMar>
              <w:top w:w="0" w:type="dxa"/>
              <w:left w:w="20" w:type="dxa"/>
              <w:bottom w:w="0" w:type="dxa"/>
              <w:right w:w="20" w:type="dxa"/>
            </w:tcMar>
            <w:vAlign w:val="center"/>
            <w:hideMark/>
          </w:tcPr>
          <w:p w14:paraId="252AC37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498AE59" w14:textId="77777777" w:rsidR="00000000" w:rsidRDefault="00A173A8">
            <w:pPr>
              <w:spacing w:after="100"/>
              <w:jc w:val="right"/>
              <w:rPr>
                <w:rFonts w:eastAsia="Times New Roman"/>
              </w:rPr>
            </w:pPr>
            <w:r>
              <w:rPr>
                <w:rFonts w:eastAsia="Times New Roman"/>
                <w:b/>
                <w:bCs/>
                <w:color w:val="000000"/>
                <w:sz w:val="20"/>
                <w:szCs w:val="20"/>
              </w:rPr>
              <w:t>2,897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06586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73FD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89D20F" w14:textId="77777777" w:rsidR="00000000" w:rsidRDefault="00A173A8">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54C5C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5EBF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EA6E9E" w14:textId="77777777" w:rsidR="00000000" w:rsidRDefault="00A173A8">
            <w:pPr>
              <w:spacing w:after="100"/>
              <w:jc w:val="right"/>
              <w:rPr>
                <w:rFonts w:eastAsia="Times New Roman"/>
              </w:rPr>
            </w:pPr>
            <w:r>
              <w:rPr>
                <w:rFonts w:eastAsia="Times New Roman"/>
                <w:color w:val="000000"/>
                <w:sz w:val="20"/>
                <w:szCs w:val="20"/>
              </w:rPr>
              <w:t>3,034 </w:t>
            </w:r>
          </w:p>
        </w:tc>
        <w:tc>
          <w:tcPr>
            <w:tcW w:w="0" w:type="auto"/>
            <w:shd w:val="clear" w:color="auto" w:fill="FFFFFF"/>
            <w:tcMar>
              <w:top w:w="30" w:type="dxa"/>
              <w:left w:w="0" w:type="dxa"/>
              <w:bottom w:w="30" w:type="dxa"/>
              <w:right w:w="20" w:type="dxa"/>
            </w:tcMar>
            <w:vAlign w:val="center"/>
            <w:hideMark/>
          </w:tcPr>
          <w:p w14:paraId="5FA2A8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0349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8F81A4" w14:textId="77777777" w:rsidR="00000000" w:rsidRDefault="00A173A8">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center"/>
            <w:hideMark/>
          </w:tcPr>
          <w:p w14:paraId="006D4E51" w14:textId="77777777" w:rsidR="00000000" w:rsidRDefault="00A173A8">
            <w:pPr>
              <w:spacing w:after="100"/>
              <w:jc w:val="right"/>
              <w:rPr>
                <w:rFonts w:eastAsia="Times New Roman"/>
              </w:rPr>
            </w:pPr>
          </w:p>
        </w:tc>
      </w:tr>
      <w:tr w:rsidR="00000000" w14:paraId="020050BA" w14:textId="77777777">
        <w:trPr>
          <w:divId w:val="1170558613"/>
        </w:trPr>
        <w:tc>
          <w:tcPr>
            <w:tcW w:w="0" w:type="auto"/>
            <w:gridSpan w:val="3"/>
            <w:shd w:val="clear" w:color="auto" w:fill="CCEEFF"/>
            <w:tcMar>
              <w:top w:w="30" w:type="dxa"/>
              <w:left w:w="20" w:type="dxa"/>
              <w:bottom w:w="30" w:type="dxa"/>
              <w:right w:w="20" w:type="dxa"/>
            </w:tcMar>
            <w:vAlign w:val="center"/>
            <w:hideMark/>
          </w:tcPr>
          <w:p w14:paraId="5EB77C33" w14:textId="77777777" w:rsidR="00000000" w:rsidRDefault="00A173A8">
            <w:pPr>
              <w:spacing w:after="100"/>
              <w:rPr>
                <w:rFonts w:eastAsia="Times New Roman"/>
              </w:rPr>
            </w:pPr>
            <w:r>
              <w:rPr>
                <w:rFonts w:eastAsia="Times New Roman"/>
                <w:color w:val="000000"/>
                <w:sz w:val="20"/>
                <w:szCs w:val="20"/>
              </w:rPr>
              <w:t>Total international card businesses</w:t>
            </w:r>
          </w:p>
        </w:tc>
        <w:tc>
          <w:tcPr>
            <w:tcW w:w="0" w:type="auto"/>
            <w:gridSpan w:val="3"/>
            <w:shd w:val="clear" w:color="auto" w:fill="CCEEFF"/>
            <w:tcMar>
              <w:top w:w="0" w:type="dxa"/>
              <w:left w:w="20" w:type="dxa"/>
              <w:bottom w:w="0" w:type="dxa"/>
              <w:right w:w="20" w:type="dxa"/>
            </w:tcMar>
            <w:vAlign w:val="center"/>
            <w:hideMark/>
          </w:tcPr>
          <w:p w14:paraId="40249DD9"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7C86832" w14:textId="77777777" w:rsidR="00000000" w:rsidRDefault="00A173A8">
            <w:pPr>
              <w:spacing w:after="100"/>
              <w:jc w:val="right"/>
              <w:rPr>
                <w:rFonts w:eastAsia="Times New Roman"/>
              </w:rPr>
            </w:pPr>
            <w:r>
              <w:rPr>
                <w:rFonts w:eastAsia="Times New Roman"/>
                <w:b/>
                <w:bCs/>
                <w:color w:val="000000"/>
                <w:sz w:val="20"/>
                <w:szCs w:val="20"/>
              </w:rPr>
              <w:t>5,876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5222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8D42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EFD361" w14:textId="77777777" w:rsidR="00000000" w:rsidRDefault="00A173A8">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8D09C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CF37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D49304" w14:textId="77777777" w:rsidR="00000000" w:rsidRDefault="00A173A8">
            <w:pPr>
              <w:spacing w:after="100"/>
              <w:jc w:val="right"/>
              <w:rPr>
                <w:rFonts w:eastAsia="Times New Roman"/>
              </w:rPr>
            </w:pPr>
            <w:r>
              <w:rPr>
                <w:rFonts w:eastAsia="Times New Roman"/>
                <w:color w:val="000000"/>
                <w:sz w:val="20"/>
                <w:szCs w:val="20"/>
              </w:rPr>
              <w:t>6,049 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18CD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7176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B9A57C9" w14:textId="77777777" w:rsidR="00000000" w:rsidRDefault="00A173A8">
            <w:pPr>
              <w:spacing w:after="100"/>
              <w:jc w:val="right"/>
              <w:rPr>
                <w:rFonts w:eastAsia="Times New Roman"/>
              </w:rPr>
            </w:pPr>
            <w:r>
              <w:rPr>
                <w:rFonts w:eastAsia="Times New Roman"/>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2693C9" w14:textId="77777777" w:rsidR="00000000" w:rsidRDefault="00A173A8">
            <w:pPr>
              <w:spacing w:after="100"/>
              <w:jc w:val="right"/>
              <w:rPr>
                <w:rFonts w:eastAsia="Times New Roman"/>
              </w:rPr>
            </w:pPr>
          </w:p>
        </w:tc>
      </w:tr>
      <w:tr w:rsidR="00000000" w14:paraId="68381C31" w14:textId="77777777">
        <w:trPr>
          <w:divId w:val="1170558613"/>
        </w:trPr>
        <w:tc>
          <w:tcPr>
            <w:tcW w:w="0" w:type="auto"/>
            <w:gridSpan w:val="3"/>
            <w:shd w:val="clear" w:color="auto" w:fill="FFFFFF"/>
            <w:tcMar>
              <w:top w:w="30" w:type="dxa"/>
              <w:left w:w="20" w:type="dxa"/>
              <w:bottom w:w="30" w:type="dxa"/>
              <w:right w:w="20" w:type="dxa"/>
            </w:tcMar>
            <w:vAlign w:val="center"/>
            <w:hideMark/>
          </w:tcPr>
          <w:p w14:paraId="6125A6B7" w14:textId="77777777" w:rsidR="00000000" w:rsidRDefault="00A173A8">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7C79AEB1"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32FC8F0"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B3C9D24" w14:textId="77777777" w:rsidR="00000000" w:rsidRDefault="00A173A8">
            <w:pPr>
              <w:spacing w:after="100"/>
              <w:jc w:val="right"/>
              <w:rPr>
                <w:rFonts w:eastAsia="Times New Roman"/>
              </w:rPr>
            </w:pPr>
            <w:r>
              <w:rPr>
                <w:rFonts w:eastAsia="Times New Roman"/>
                <w:b/>
                <w:bCs/>
                <w:color w:val="000000"/>
                <w:sz w:val="20"/>
                <w:szCs w:val="20"/>
              </w:rPr>
              <w:t>120,880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F6554E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61DAC"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5D1279" w14:textId="77777777" w:rsidR="00000000" w:rsidRDefault="00A173A8">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89A6E45"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7851D63" w14:textId="77777777" w:rsidR="00000000" w:rsidRDefault="00A173A8">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8C55461"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542D8FD" w14:textId="77777777" w:rsidR="00000000" w:rsidRDefault="00A173A8">
            <w:pPr>
              <w:spacing w:after="100"/>
              <w:jc w:val="right"/>
              <w:rPr>
                <w:rFonts w:eastAsia="Times New Roman"/>
              </w:rPr>
            </w:pPr>
            <w:r>
              <w:rPr>
                <w:rFonts w:eastAsia="Times New Roman"/>
                <w:color w:val="000000"/>
                <w:sz w:val="20"/>
                <w:szCs w:val="20"/>
              </w:rPr>
              <w:t>114,772 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08B544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BFC21"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E7478DF" w14:textId="77777777" w:rsidR="00000000" w:rsidRDefault="00A173A8">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54DE432" w14:textId="77777777" w:rsidR="00000000" w:rsidRDefault="00A173A8">
            <w:pPr>
              <w:spacing w:after="100"/>
              <w:jc w:val="right"/>
              <w:rPr>
                <w:rFonts w:eastAsia="Times New Roman"/>
              </w:rPr>
            </w:pPr>
            <w:r>
              <w:rPr>
                <w:rFonts w:eastAsia="Times New Roman"/>
                <w:color w:val="000000"/>
                <w:sz w:val="20"/>
                <w:szCs w:val="20"/>
              </w:rPr>
              <w:t>%</w:t>
            </w:r>
          </w:p>
        </w:tc>
      </w:tr>
    </w:tbl>
    <w:p w14:paraId="4B9E6F53" w14:textId="77777777" w:rsidR="00000000" w:rsidRDefault="00A173A8">
      <w:pPr>
        <w:jc w:val="both"/>
        <w:divId w:val="1264190711"/>
        <w:rPr>
          <w:rFonts w:eastAsia="Times New Roman"/>
        </w:rPr>
      </w:pPr>
    </w:p>
    <w:p w14:paraId="18218FBB" w14:textId="77777777" w:rsidR="00000000" w:rsidRDefault="00A173A8">
      <w:pPr>
        <w:jc w:val="both"/>
        <w:divId w:val="128986303"/>
        <w:rPr>
          <w:rFonts w:eastAsia="Times New Roman"/>
        </w:rPr>
      </w:pPr>
      <w:r>
        <w:rPr>
          <w:rFonts w:eastAsia="Times New Roman"/>
          <w:color w:val="000000"/>
          <w:sz w:val="20"/>
          <w:szCs w:val="20"/>
        </w:rPr>
        <w:t>Our auto loan portfolio is geographically diversified in the United States due to our product and marketing approach. Retail banking includes small business loans and other consumer lending products originated</w:t>
      </w:r>
      <w:r>
        <w:rPr>
          <w:rFonts w:eastAsia="Times New Roman"/>
          <w:color w:val="000000"/>
          <w:sz w:val="20"/>
          <w:szCs w:val="20"/>
        </w:rPr>
        <w:t xml:space="preserve"> through our branch and Café network.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3D8DF07" w14:textId="77777777">
        <w:trPr>
          <w:divId w:val="428310464"/>
          <w:jc w:val="center"/>
        </w:trPr>
        <w:tc>
          <w:tcPr>
            <w:tcW w:w="50" w:type="pct"/>
            <w:vAlign w:val="center"/>
            <w:hideMark/>
          </w:tcPr>
          <w:p w14:paraId="5A93C4D6" w14:textId="77777777" w:rsidR="00000000" w:rsidRDefault="00A173A8">
            <w:pPr>
              <w:jc w:val="both"/>
              <w:rPr>
                <w:rFonts w:eastAsia="Times New Roman"/>
              </w:rPr>
            </w:pPr>
          </w:p>
        </w:tc>
        <w:tc>
          <w:tcPr>
            <w:tcW w:w="1606" w:type="pct"/>
            <w:vAlign w:val="center"/>
            <w:hideMark/>
          </w:tcPr>
          <w:p w14:paraId="71F31FA7" w14:textId="77777777" w:rsidR="00000000" w:rsidRDefault="00A173A8">
            <w:pPr>
              <w:spacing w:after="100"/>
              <w:rPr>
                <w:rFonts w:eastAsia="Times New Roman"/>
                <w:sz w:val="20"/>
                <w:szCs w:val="20"/>
              </w:rPr>
            </w:pPr>
          </w:p>
        </w:tc>
        <w:tc>
          <w:tcPr>
            <w:tcW w:w="5" w:type="pct"/>
            <w:vAlign w:val="center"/>
            <w:hideMark/>
          </w:tcPr>
          <w:p w14:paraId="171248AD" w14:textId="77777777" w:rsidR="00000000" w:rsidRDefault="00A173A8">
            <w:pPr>
              <w:spacing w:after="100"/>
              <w:rPr>
                <w:rFonts w:eastAsia="Times New Roman"/>
                <w:sz w:val="20"/>
                <w:szCs w:val="20"/>
              </w:rPr>
            </w:pPr>
          </w:p>
        </w:tc>
        <w:tc>
          <w:tcPr>
            <w:tcW w:w="50" w:type="pct"/>
            <w:vAlign w:val="center"/>
            <w:hideMark/>
          </w:tcPr>
          <w:p w14:paraId="337AC3D4" w14:textId="77777777" w:rsidR="00000000" w:rsidRDefault="00A173A8">
            <w:pPr>
              <w:spacing w:after="100"/>
              <w:rPr>
                <w:rFonts w:eastAsia="Times New Roman"/>
                <w:sz w:val="20"/>
                <w:szCs w:val="20"/>
              </w:rPr>
            </w:pPr>
          </w:p>
        </w:tc>
        <w:tc>
          <w:tcPr>
            <w:tcW w:w="1614" w:type="pct"/>
            <w:vAlign w:val="center"/>
            <w:hideMark/>
          </w:tcPr>
          <w:p w14:paraId="07B77196" w14:textId="77777777" w:rsidR="00000000" w:rsidRDefault="00A173A8">
            <w:pPr>
              <w:spacing w:after="100"/>
              <w:rPr>
                <w:rFonts w:eastAsia="Times New Roman"/>
                <w:sz w:val="20"/>
                <w:szCs w:val="20"/>
              </w:rPr>
            </w:pPr>
          </w:p>
        </w:tc>
        <w:tc>
          <w:tcPr>
            <w:tcW w:w="5" w:type="pct"/>
            <w:vAlign w:val="center"/>
            <w:hideMark/>
          </w:tcPr>
          <w:p w14:paraId="238D4B9B" w14:textId="77777777" w:rsidR="00000000" w:rsidRDefault="00A173A8">
            <w:pPr>
              <w:spacing w:after="100"/>
              <w:rPr>
                <w:rFonts w:eastAsia="Times New Roman"/>
                <w:sz w:val="20"/>
                <w:szCs w:val="20"/>
              </w:rPr>
            </w:pPr>
          </w:p>
        </w:tc>
        <w:tc>
          <w:tcPr>
            <w:tcW w:w="50" w:type="pct"/>
            <w:vAlign w:val="center"/>
            <w:hideMark/>
          </w:tcPr>
          <w:p w14:paraId="7E9A310D" w14:textId="77777777" w:rsidR="00000000" w:rsidRDefault="00A173A8">
            <w:pPr>
              <w:spacing w:after="100"/>
              <w:rPr>
                <w:rFonts w:eastAsia="Times New Roman"/>
                <w:sz w:val="20"/>
                <w:szCs w:val="20"/>
              </w:rPr>
            </w:pPr>
          </w:p>
        </w:tc>
        <w:tc>
          <w:tcPr>
            <w:tcW w:w="1614" w:type="pct"/>
            <w:vAlign w:val="center"/>
            <w:hideMark/>
          </w:tcPr>
          <w:p w14:paraId="7C58C551" w14:textId="77777777" w:rsidR="00000000" w:rsidRDefault="00A173A8">
            <w:pPr>
              <w:spacing w:after="100"/>
              <w:rPr>
                <w:rFonts w:eastAsia="Times New Roman"/>
                <w:sz w:val="20"/>
                <w:szCs w:val="20"/>
              </w:rPr>
            </w:pPr>
          </w:p>
        </w:tc>
        <w:tc>
          <w:tcPr>
            <w:tcW w:w="5" w:type="pct"/>
            <w:vAlign w:val="center"/>
            <w:hideMark/>
          </w:tcPr>
          <w:p w14:paraId="7496AF88" w14:textId="77777777" w:rsidR="00000000" w:rsidRDefault="00A173A8">
            <w:pPr>
              <w:spacing w:after="100"/>
              <w:rPr>
                <w:rFonts w:eastAsia="Times New Roman"/>
                <w:sz w:val="20"/>
                <w:szCs w:val="20"/>
              </w:rPr>
            </w:pPr>
          </w:p>
        </w:tc>
      </w:tr>
      <w:tr w:rsidR="00000000" w14:paraId="54F386B8" w14:textId="77777777">
        <w:trPr>
          <w:divId w:val="428310464"/>
          <w:trHeight w:val="300"/>
          <w:jc w:val="center"/>
        </w:trPr>
        <w:tc>
          <w:tcPr>
            <w:tcW w:w="0" w:type="auto"/>
            <w:gridSpan w:val="9"/>
            <w:tcMar>
              <w:top w:w="0" w:type="dxa"/>
              <w:left w:w="20" w:type="dxa"/>
              <w:bottom w:w="0" w:type="dxa"/>
              <w:right w:w="20" w:type="dxa"/>
            </w:tcMar>
            <w:vAlign w:val="center"/>
            <w:hideMark/>
          </w:tcPr>
          <w:p w14:paraId="41F0FBAA" w14:textId="77777777" w:rsidR="00000000" w:rsidRDefault="00A173A8">
            <w:pPr>
              <w:spacing w:after="100"/>
              <w:rPr>
                <w:rFonts w:eastAsia="Times New Roman"/>
                <w:sz w:val="20"/>
                <w:szCs w:val="20"/>
              </w:rPr>
            </w:pPr>
          </w:p>
        </w:tc>
      </w:tr>
      <w:tr w:rsidR="00000000" w14:paraId="58DBC1FA" w14:textId="77777777">
        <w:trPr>
          <w:divId w:val="428310464"/>
          <w:jc w:val="center"/>
        </w:trPr>
        <w:tc>
          <w:tcPr>
            <w:tcW w:w="0" w:type="auto"/>
            <w:gridSpan w:val="3"/>
            <w:tcMar>
              <w:top w:w="0" w:type="dxa"/>
              <w:left w:w="20" w:type="dxa"/>
              <w:bottom w:w="0" w:type="dxa"/>
              <w:right w:w="20" w:type="dxa"/>
            </w:tcMar>
            <w:vAlign w:val="center"/>
            <w:hideMark/>
          </w:tcPr>
          <w:p w14:paraId="1D841225"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EB8CBFD" w14:textId="77777777" w:rsidR="00000000" w:rsidRDefault="00A173A8">
            <w:pPr>
              <w:spacing w:after="100"/>
              <w:jc w:val="center"/>
              <w:rPr>
                <w:rFonts w:eastAsia="Times New Roman"/>
              </w:rPr>
            </w:pPr>
            <w:r>
              <w:rPr>
                <w:rFonts w:eastAsia="Times New Roman"/>
                <w:color w:val="000000"/>
                <w:sz w:val="16"/>
                <w:szCs w:val="16"/>
              </w:rPr>
              <w:t>36</w:t>
            </w:r>
          </w:p>
        </w:tc>
        <w:tc>
          <w:tcPr>
            <w:tcW w:w="0" w:type="auto"/>
            <w:gridSpan w:val="3"/>
            <w:tcMar>
              <w:top w:w="30" w:type="dxa"/>
              <w:left w:w="20" w:type="dxa"/>
              <w:bottom w:w="30" w:type="dxa"/>
              <w:right w:w="20" w:type="dxa"/>
            </w:tcMar>
            <w:vAlign w:val="bottom"/>
            <w:hideMark/>
          </w:tcPr>
          <w:p w14:paraId="42768BBE"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1AD7861" w14:textId="77777777" w:rsidR="00000000" w:rsidRDefault="00A173A8">
      <w:pPr>
        <w:rPr>
          <w:rFonts w:eastAsia="Times New Roman"/>
        </w:rPr>
      </w:pPr>
      <w:r>
        <w:rPr>
          <w:rFonts w:eastAsia="Times New Roman"/>
        </w:rPr>
        <w:pict w14:anchorId="04E72A96">
          <v:rect id="_x0000_i1061" style="width:0;height:1.5pt" o:hralign="center" o:hrstd="t" o:hr="t" fillcolor="#a0a0a0" stroked="f"/>
        </w:pict>
      </w:r>
    </w:p>
    <w:p w14:paraId="76EFCB92" w14:textId="77777777" w:rsidR="00000000" w:rsidRDefault="00A173A8">
      <w:pPr>
        <w:ind w:hanging="360"/>
        <w:jc w:val="both"/>
        <w:divId w:val="1566184602"/>
        <w:rPr>
          <w:rFonts w:eastAsia="Times New Roman"/>
        </w:rPr>
      </w:pPr>
      <w:hyperlink w:anchor="i7ffd5d61af6f4722b1b1b07530d51c06_13" w:history="1">
        <w:r>
          <w:rPr>
            <w:rStyle w:val="a3"/>
            <w:rFonts w:eastAsia="Times New Roman"/>
            <w:sz w:val="16"/>
            <w:szCs w:val="16"/>
          </w:rPr>
          <w:t>Table of Contents</w:t>
        </w:r>
      </w:hyperlink>
    </w:p>
    <w:p w14:paraId="686191EE" w14:textId="77777777" w:rsidR="00000000" w:rsidRDefault="00A173A8">
      <w:pPr>
        <w:jc w:val="both"/>
        <w:divId w:val="842354827"/>
        <w:rPr>
          <w:rFonts w:eastAsia="Times New Roman"/>
        </w:rPr>
      </w:pPr>
      <w:r>
        <w:rPr>
          <w:rFonts w:eastAsia="Times New Roman"/>
          <w:color w:val="000000"/>
          <w:sz w:val="20"/>
          <w:szCs w:val="20"/>
        </w:rPr>
        <w:t>The table below presents the geographic profile of our auto loan and retail banking portfolios as of June 30, 2022 and December 31, 2021.</w:t>
      </w:r>
    </w:p>
    <w:p w14:paraId="02284BFB" w14:textId="77777777" w:rsidR="00000000" w:rsidRDefault="00A173A8">
      <w:pPr>
        <w:divId w:val="206188700"/>
        <w:rPr>
          <w:rFonts w:eastAsia="Times New Roman"/>
        </w:rPr>
      </w:pPr>
      <w:r>
        <w:rPr>
          <w:rFonts w:eastAsia="Times New Roman"/>
          <w:b/>
          <w:bCs/>
          <w:color w:val="000000"/>
          <w:sz w:val="18"/>
          <w:szCs w:val="18"/>
        </w:rPr>
        <w:t xml:space="preserve">Table 18: Consumer Banking Portfolio by Geographic Region </w:t>
      </w:r>
    </w:p>
    <w:tbl>
      <w:tblPr>
        <w:tblW w:w="5000" w:type="pct"/>
        <w:tblCellMar>
          <w:top w:w="15" w:type="dxa"/>
          <w:left w:w="15" w:type="dxa"/>
          <w:bottom w:w="15" w:type="dxa"/>
          <w:right w:w="15" w:type="dxa"/>
        </w:tblCellMar>
        <w:tblLook w:val="04A0" w:firstRow="1" w:lastRow="0" w:firstColumn="1" w:lastColumn="0" w:noHBand="0" w:noVBand="1"/>
      </w:tblPr>
      <w:tblGrid>
        <w:gridCol w:w="39"/>
        <w:gridCol w:w="4783"/>
        <w:gridCol w:w="38"/>
        <w:gridCol w:w="36"/>
        <w:gridCol w:w="36"/>
        <w:gridCol w:w="36"/>
        <w:gridCol w:w="120"/>
        <w:gridCol w:w="600"/>
        <w:gridCol w:w="36"/>
        <w:gridCol w:w="36"/>
        <w:gridCol w:w="36"/>
        <w:gridCol w:w="36"/>
        <w:gridCol w:w="57"/>
        <w:gridCol w:w="488"/>
        <w:gridCol w:w="220"/>
        <w:gridCol w:w="36"/>
        <w:gridCol w:w="36"/>
        <w:gridCol w:w="36"/>
        <w:gridCol w:w="120"/>
        <w:gridCol w:w="600"/>
        <w:gridCol w:w="36"/>
        <w:gridCol w:w="36"/>
        <w:gridCol w:w="36"/>
        <w:gridCol w:w="36"/>
        <w:gridCol w:w="57"/>
        <w:gridCol w:w="493"/>
        <w:gridCol w:w="187"/>
      </w:tblGrid>
      <w:tr w:rsidR="00000000" w14:paraId="18A2DD8F" w14:textId="77777777">
        <w:trPr>
          <w:divId w:val="267391700"/>
        </w:trPr>
        <w:tc>
          <w:tcPr>
            <w:tcW w:w="50" w:type="pct"/>
            <w:vAlign w:val="center"/>
            <w:hideMark/>
          </w:tcPr>
          <w:p w14:paraId="5EF77A9A" w14:textId="77777777" w:rsidR="00000000" w:rsidRDefault="00A173A8">
            <w:pPr>
              <w:rPr>
                <w:rFonts w:eastAsia="Times New Roman"/>
              </w:rPr>
            </w:pPr>
          </w:p>
        </w:tc>
        <w:tc>
          <w:tcPr>
            <w:tcW w:w="2927" w:type="pct"/>
            <w:vAlign w:val="center"/>
            <w:hideMark/>
          </w:tcPr>
          <w:p w14:paraId="57275C68" w14:textId="77777777" w:rsidR="00000000" w:rsidRDefault="00A173A8">
            <w:pPr>
              <w:spacing w:after="100"/>
              <w:rPr>
                <w:rFonts w:eastAsia="Times New Roman"/>
                <w:sz w:val="20"/>
                <w:szCs w:val="20"/>
              </w:rPr>
            </w:pPr>
          </w:p>
        </w:tc>
        <w:tc>
          <w:tcPr>
            <w:tcW w:w="5" w:type="pct"/>
            <w:vAlign w:val="center"/>
            <w:hideMark/>
          </w:tcPr>
          <w:p w14:paraId="1C10F94B" w14:textId="77777777" w:rsidR="00000000" w:rsidRDefault="00A173A8">
            <w:pPr>
              <w:spacing w:after="100"/>
              <w:rPr>
                <w:rFonts w:eastAsia="Times New Roman"/>
                <w:sz w:val="20"/>
                <w:szCs w:val="20"/>
              </w:rPr>
            </w:pPr>
          </w:p>
        </w:tc>
        <w:tc>
          <w:tcPr>
            <w:tcW w:w="5" w:type="pct"/>
            <w:vAlign w:val="center"/>
            <w:hideMark/>
          </w:tcPr>
          <w:p w14:paraId="52388138" w14:textId="77777777" w:rsidR="00000000" w:rsidRDefault="00A173A8">
            <w:pPr>
              <w:spacing w:after="100"/>
              <w:rPr>
                <w:rFonts w:eastAsia="Times New Roman"/>
                <w:sz w:val="20"/>
                <w:szCs w:val="20"/>
              </w:rPr>
            </w:pPr>
          </w:p>
        </w:tc>
        <w:tc>
          <w:tcPr>
            <w:tcW w:w="26" w:type="pct"/>
            <w:vAlign w:val="center"/>
            <w:hideMark/>
          </w:tcPr>
          <w:p w14:paraId="5CC22C6A" w14:textId="77777777" w:rsidR="00000000" w:rsidRDefault="00A173A8">
            <w:pPr>
              <w:spacing w:after="100"/>
              <w:rPr>
                <w:rFonts w:eastAsia="Times New Roman"/>
                <w:sz w:val="20"/>
                <w:szCs w:val="20"/>
              </w:rPr>
            </w:pPr>
          </w:p>
        </w:tc>
        <w:tc>
          <w:tcPr>
            <w:tcW w:w="5" w:type="pct"/>
            <w:vAlign w:val="center"/>
            <w:hideMark/>
          </w:tcPr>
          <w:p w14:paraId="202ECE01" w14:textId="77777777" w:rsidR="00000000" w:rsidRDefault="00A173A8">
            <w:pPr>
              <w:spacing w:after="100"/>
              <w:rPr>
                <w:rFonts w:eastAsia="Times New Roman"/>
                <w:sz w:val="20"/>
                <w:szCs w:val="20"/>
              </w:rPr>
            </w:pPr>
          </w:p>
        </w:tc>
        <w:tc>
          <w:tcPr>
            <w:tcW w:w="50" w:type="pct"/>
            <w:vAlign w:val="center"/>
            <w:hideMark/>
          </w:tcPr>
          <w:p w14:paraId="3EA1BAA1" w14:textId="77777777" w:rsidR="00000000" w:rsidRDefault="00A173A8">
            <w:pPr>
              <w:spacing w:after="100"/>
              <w:rPr>
                <w:rFonts w:eastAsia="Times New Roman"/>
                <w:sz w:val="20"/>
                <w:szCs w:val="20"/>
              </w:rPr>
            </w:pPr>
          </w:p>
        </w:tc>
        <w:tc>
          <w:tcPr>
            <w:tcW w:w="412" w:type="pct"/>
            <w:vAlign w:val="center"/>
            <w:hideMark/>
          </w:tcPr>
          <w:p w14:paraId="5D818A27" w14:textId="77777777" w:rsidR="00000000" w:rsidRDefault="00A173A8">
            <w:pPr>
              <w:spacing w:after="100"/>
              <w:rPr>
                <w:rFonts w:eastAsia="Times New Roman"/>
                <w:sz w:val="20"/>
                <w:szCs w:val="20"/>
              </w:rPr>
            </w:pPr>
          </w:p>
        </w:tc>
        <w:tc>
          <w:tcPr>
            <w:tcW w:w="5" w:type="pct"/>
            <w:vAlign w:val="center"/>
            <w:hideMark/>
          </w:tcPr>
          <w:p w14:paraId="4D9DE7F0" w14:textId="77777777" w:rsidR="00000000" w:rsidRDefault="00A173A8">
            <w:pPr>
              <w:spacing w:after="100"/>
              <w:rPr>
                <w:rFonts w:eastAsia="Times New Roman"/>
                <w:sz w:val="20"/>
                <w:szCs w:val="20"/>
              </w:rPr>
            </w:pPr>
          </w:p>
        </w:tc>
        <w:tc>
          <w:tcPr>
            <w:tcW w:w="5" w:type="pct"/>
            <w:vAlign w:val="center"/>
            <w:hideMark/>
          </w:tcPr>
          <w:p w14:paraId="3DD7C000" w14:textId="77777777" w:rsidR="00000000" w:rsidRDefault="00A173A8">
            <w:pPr>
              <w:spacing w:after="100"/>
              <w:rPr>
                <w:rFonts w:eastAsia="Times New Roman"/>
                <w:sz w:val="20"/>
                <w:szCs w:val="20"/>
              </w:rPr>
            </w:pPr>
          </w:p>
        </w:tc>
        <w:tc>
          <w:tcPr>
            <w:tcW w:w="26" w:type="pct"/>
            <w:vAlign w:val="center"/>
            <w:hideMark/>
          </w:tcPr>
          <w:p w14:paraId="18ED835D" w14:textId="77777777" w:rsidR="00000000" w:rsidRDefault="00A173A8">
            <w:pPr>
              <w:spacing w:after="100"/>
              <w:rPr>
                <w:rFonts w:eastAsia="Times New Roman"/>
                <w:sz w:val="20"/>
                <w:szCs w:val="20"/>
              </w:rPr>
            </w:pPr>
          </w:p>
        </w:tc>
        <w:tc>
          <w:tcPr>
            <w:tcW w:w="5" w:type="pct"/>
            <w:vAlign w:val="center"/>
            <w:hideMark/>
          </w:tcPr>
          <w:p w14:paraId="6AD54593" w14:textId="77777777" w:rsidR="00000000" w:rsidRDefault="00A173A8">
            <w:pPr>
              <w:spacing w:after="100"/>
              <w:rPr>
                <w:rFonts w:eastAsia="Times New Roman"/>
                <w:sz w:val="20"/>
                <w:szCs w:val="20"/>
              </w:rPr>
            </w:pPr>
          </w:p>
        </w:tc>
        <w:tc>
          <w:tcPr>
            <w:tcW w:w="50" w:type="pct"/>
            <w:vAlign w:val="center"/>
            <w:hideMark/>
          </w:tcPr>
          <w:p w14:paraId="12DAFA7D" w14:textId="77777777" w:rsidR="00000000" w:rsidRDefault="00A173A8">
            <w:pPr>
              <w:spacing w:after="100"/>
              <w:rPr>
                <w:rFonts w:eastAsia="Times New Roman"/>
                <w:sz w:val="20"/>
                <w:szCs w:val="20"/>
              </w:rPr>
            </w:pPr>
          </w:p>
        </w:tc>
        <w:tc>
          <w:tcPr>
            <w:tcW w:w="412" w:type="pct"/>
            <w:vAlign w:val="center"/>
            <w:hideMark/>
          </w:tcPr>
          <w:p w14:paraId="75C8380B" w14:textId="77777777" w:rsidR="00000000" w:rsidRDefault="00A173A8">
            <w:pPr>
              <w:spacing w:after="100"/>
              <w:rPr>
                <w:rFonts w:eastAsia="Times New Roman"/>
                <w:sz w:val="20"/>
                <w:szCs w:val="20"/>
              </w:rPr>
            </w:pPr>
          </w:p>
        </w:tc>
        <w:tc>
          <w:tcPr>
            <w:tcW w:w="5" w:type="pct"/>
            <w:vAlign w:val="center"/>
            <w:hideMark/>
          </w:tcPr>
          <w:p w14:paraId="1D1AE566" w14:textId="77777777" w:rsidR="00000000" w:rsidRDefault="00A173A8">
            <w:pPr>
              <w:spacing w:after="100"/>
              <w:rPr>
                <w:rFonts w:eastAsia="Times New Roman"/>
                <w:sz w:val="20"/>
                <w:szCs w:val="20"/>
              </w:rPr>
            </w:pPr>
          </w:p>
        </w:tc>
        <w:tc>
          <w:tcPr>
            <w:tcW w:w="5" w:type="pct"/>
            <w:vAlign w:val="center"/>
            <w:hideMark/>
          </w:tcPr>
          <w:p w14:paraId="2BDF4702" w14:textId="77777777" w:rsidR="00000000" w:rsidRDefault="00A173A8">
            <w:pPr>
              <w:spacing w:after="100"/>
              <w:rPr>
                <w:rFonts w:eastAsia="Times New Roman"/>
                <w:sz w:val="20"/>
                <w:szCs w:val="20"/>
              </w:rPr>
            </w:pPr>
          </w:p>
        </w:tc>
        <w:tc>
          <w:tcPr>
            <w:tcW w:w="26" w:type="pct"/>
            <w:vAlign w:val="center"/>
            <w:hideMark/>
          </w:tcPr>
          <w:p w14:paraId="2FB3E01C" w14:textId="77777777" w:rsidR="00000000" w:rsidRDefault="00A173A8">
            <w:pPr>
              <w:spacing w:after="100"/>
              <w:rPr>
                <w:rFonts w:eastAsia="Times New Roman"/>
                <w:sz w:val="20"/>
                <w:szCs w:val="20"/>
              </w:rPr>
            </w:pPr>
          </w:p>
        </w:tc>
        <w:tc>
          <w:tcPr>
            <w:tcW w:w="5" w:type="pct"/>
            <w:vAlign w:val="center"/>
            <w:hideMark/>
          </w:tcPr>
          <w:p w14:paraId="22A9577C" w14:textId="77777777" w:rsidR="00000000" w:rsidRDefault="00A173A8">
            <w:pPr>
              <w:spacing w:after="100"/>
              <w:rPr>
                <w:rFonts w:eastAsia="Times New Roman"/>
                <w:sz w:val="20"/>
                <w:szCs w:val="20"/>
              </w:rPr>
            </w:pPr>
          </w:p>
        </w:tc>
        <w:tc>
          <w:tcPr>
            <w:tcW w:w="50" w:type="pct"/>
            <w:vAlign w:val="center"/>
            <w:hideMark/>
          </w:tcPr>
          <w:p w14:paraId="558DE432" w14:textId="77777777" w:rsidR="00000000" w:rsidRDefault="00A173A8">
            <w:pPr>
              <w:spacing w:after="100"/>
              <w:rPr>
                <w:rFonts w:eastAsia="Times New Roman"/>
                <w:sz w:val="20"/>
                <w:szCs w:val="20"/>
              </w:rPr>
            </w:pPr>
          </w:p>
        </w:tc>
        <w:tc>
          <w:tcPr>
            <w:tcW w:w="412" w:type="pct"/>
            <w:vAlign w:val="center"/>
            <w:hideMark/>
          </w:tcPr>
          <w:p w14:paraId="3F783C30" w14:textId="77777777" w:rsidR="00000000" w:rsidRDefault="00A173A8">
            <w:pPr>
              <w:spacing w:after="100"/>
              <w:rPr>
                <w:rFonts w:eastAsia="Times New Roman"/>
                <w:sz w:val="20"/>
                <w:szCs w:val="20"/>
              </w:rPr>
            </w:pPr>
          </w:p>
        </w:tc>
        <w:tc>
          <w:tcPr>
            <w:tcW w:w="5" w:type="pct"/>
            <w:vAlign w:val="center"/>
            <w:hideMark/>
          </w:tcPr>
          <w:p w14:paraId="02A9D81B" w14:textId="77777777" w:rsidR="00000000" w:rsidRDefault="00A173A8">
            <w:pPr>
              <w:spacing w:after="100"/>
              <w:rPr>
                <w:rFonts w:eastAsia="Times New Roman"/>
                <w:sz w:val="20"/>
                <w:szCs w:val="20"/>
              </w:rPr>
            </w:pPr>
          </w:p>
        </w:tc>
        <w:tc>
          <w:tcPr>
            <w:tcW w:w="5" w:type="pct"/>
            <w:vAlign w:val="center"/>
            <w:hideMark/>
          </w:tcPr>
          <w:p w14:paraId="48D42F0B" w14:textId="77777777" w:rsidR="00000000" w:rsidRDefault="00A173A8">
            <w:pPr>
              <w:spacing w:after="100"/>
              <w:rPr>
                <w:rFonts w:eastAsia="Times New Roman"/>
                <w:sz w:val="20"/>
                <w:szCs w:val="20"/>
              </w:rPr>
            </w:pPr>
          </w:p>
        </w:tc>
        <w:tc>
          <w:tcPr>
            <w:tcW w:w="26" w:type="pct"/>
            <w:vAlign w:val="center"/>
            <w:hideMark/>
          </w:tcPr>
          <w:p w14:paraId="0F1D8B6C" w14:textId="77777777" w:rsidR="00000000" w:rsidRDefault="00A173A8">
            <w:pPr>
              <w:spacing w:after="100"/>
              <w:rPr>
                <w:rFonts w:eastAsia="Times New Roman"/>
                <w:sz w:val="20"/>
                <w:szCs w:val="20"/>
              </w:rPr>
            </w:pPr>
          </w:p>
        </w:tc>
        <w:tc>
          <w:tcPr>
            <w:tcW w:w="5" w:type="pct"/>
            <w:vAlign w:val="center"/>
            <w:hideMark/>
          </w:tcPr>
          <w:p w14:paraId="7B7A7138" w14:textId="77777777" w:rsidR="00000000" w:rsidRDefault="00A173A8">
            <w:pPr>
              <w:spacing w:after="100"/>
              <w:rPr>
                <w:rFonts w:eastAsia="Times New Roman"/>
                <w:sz w:val="20"/>
                <w:szCs w:val="20"/>
              </w:rPr>
            </w:pPr>
          </w:p>
        </w:tc>
        <w:tc>
          <w:tcPr>
            <w:tcW w:w="50" w:type="pct"/>
            <w:vAlign w:val="center"/>
            <w:hideMark/>
          </w:tcPr>
          <w:p w14:paraId="23565A05" w14:textId="77777777" w:rsidR="00000000" w:rsidRDefault="00A173A8">
            <w:pPr>
              <w:spacing w:after="100"/>
              <w:rPr>
                <w:rFonts w:eastAsia="Times New Roman"/>
                <w:sz w:val="20"/>
                <w:szCs w:val="20"/>
              </w:rPr>
            </w:pPr>
          </w:p>
        </w:tc>
        <w:tc>
          <w:tcPr>
            <w:tcW w:w="413" w:type="pct"/>
            <w:vAlign w:val="center"/>
            <w:hideMark/>
          </w:tcPr>
          <w:p w14:paraId="42C84237" w14:textId="77777777" w:rsidR="00000000" w:rsidRDefault="00A173A8">
            <w:pPr>
              <w:spacing w:after="100"/>
              <w:rPr>
                <w:rFonts w:eastAsia="Times New Roman"/>
                <w:sz w:val="20"/>
                <w:szCs w:val="20"/>
              </w:rPr>
            </w:pPr>
          </w:p>
        </w:tc>
        <w:tc>
          <w:tcPr>
            <w:tcW w:w="5" w:type="pct"/>
            <w:vAlign w:val="center"/>
            <w:hideMark/>
          </w:tcPr>
          <w:p w14:paraId="17A10E00" w14:textId="77777777" w:rsidR="00000000" w:rsidRDefault="00A173A8">
            <w:pPr>
              <w:spacing w:after="100"/>
              <w:rPr>
                <w:rFonts w:eastAsia="Times New Roman"/>
                <w:sz w:val="20"/>
                <w:szCs w:val="20"/>
              </w:rPr>
            </w:pPr>
          </w:p>
        </w:tc>
      </w:tr>
      <w:tr w:rsidR="00000000" w14:paraId="18F976DB" w14:textId="77777777">
        <w:trPr>
          <w:divId w:val="267391700"/>
        </w:trPr>
        <w:tc>
          <w:tcPr>
            <w:tcW w:w="0" w:type="auto"/>
            <w:gridSpan w:val="3"/>
            <w:tcMar>
              <w:top w:w="30" w:type="dxa"/>
              <w:left w:w="20" w:type="dxa"/>
              <w:bottom w:w="30" w:type="dxa"/>
              <w:right w:w="20" w:type="dxa"/>
            </w:tcMar>
            <w:vAlign w:val="bottom"/>
            <w:hideMark/>
          </w:tcPr>
          <w:p w14:paraId="3B1A7C55"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220AA5D" w14:textId="77777777" w:rsidR="00000000" w:rsidRDefault="00A173A8">
            <w:pPr>
              <w:spacing w:after="100"/>
              <w:rPr>
                <w:rFonts w:eastAsia="Times New Roman"/>
              </w:rPr>
            </w:pPr>
          </w:p>
        </w:tc>
        <w:tc>
          <w:tcPr>
            <w:tcW w:w="0" w:type="auto"/>
            <w:gridSpan w:val="9"/>
            <w:tcMar>
              <w:top w:w="30" w:type="dxa"/>
              <w:left w:w="20" w:type="dxa"/>
              <w:bottom w:w="30" w:type="dxa"/>
              <w:right w:w="20" w:type="dxa"/>
            </w:tcMar>
            <w:vAlign w:val="bottom"/>
            <w:hideMark/>
          </w:tcPr>
          <w:p w14:paraId="3A347153"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08EC5832"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E0034E0"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10B7F3F2" w14:textId="77777777">
        <w:trPr>
          <w:divId w:val="267391700"/>
        </w:trPr>
        <w:tc>
          <w:tcPr>
            <w:tcW w:w="0" w:type="auto"/>
            <w:gridSpan w:val="3"/>
            <w:tcBorders>
              <w:bottom w:val="single" w:sz="8" w:space="0" w:color="000000"/>
            </w:tcBorders>
            <w:tcMar>
              <w:top w:w="30" w:type="dxa"/>
              <w:left w:w="20" w:type="dxa"/>
              <w:bottom w:w="30" w:type="dxa"/>
              <w:right w:w="20" w:type="dxa"/>
            </w:tcMar>
            <w:vAlign w:val="bottom"/>
            <w:hideMark/>
          </w:tcPr>
          <w:p w14:paraId="35515E3D"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0D992A39"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7F57AF0"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2F7A25C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08F06D" w14:textId="77777777" w:rsidR="00000000" w:rsidRDefault="00A173A8">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7DFC8652"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BB9FA63"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08C798E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C40E5AC" w14:textId="77777777" w:rsidR="00000000" w:rsidRDefault="00A173A8">
            <w:pPr>
              <w:spacing w:after="100"/>
              <w:jc w:val="center"/>
              <w:rPr>
                <w:rFonts w:eastAsia="Times New Roman"/>
              </w:rPr>
            </w:pPr>
            <w:r>
              <w:rPr>
                <w:rFonts w:eastAsia="Times New Roman"/>
                <w:b/>
                <w:bCs/>
                <w:color w:val="000000"/>
                <w:sz w:val="20"/>
                <w:szCs w:val="20"/>
              </w:rPr>
              <w:t>% of Total</w:t>
            </w:r>
          </w:p>
        </w:tc>
      </w:tr>
      <w:tr w:rsidR="00000000" w14:paraId="2F9D1C59" w14:textId="77777777">
        <w:trPr>
          <w:divId w:val="26739170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C163326" w14:textId="77777777" w:rsidR="00000000" w:rsidRDefault="00A173A8">
            <w:pPr>
              <w:spacing w:after="100"/>
              <w:rPr>
                <w:rFonts w:eastAsia="Times New Roman"/>
              </w:rPr>
            </w:pPr>
            <w:r>
              <w:rPr>
                <w:rFonts w:eastAsia="Times New Roman"/>
                <w:b/>
                <w:bCs/>
                <w:color w:val="000000"/>
                <w:sz w:val="20"/>
                <w:szCs w:val="20"/>
              </w:rPr>
              <w:t>Auto:</w:t>
            </w:r>
          </w:p>
        </w:tc>
        <w:tc>
          <w:tcPr>
            <w:tcW w:w="0" w:type="auto"/>
            <w:gridSpan w:val="3"/>
            <w:shd w:val="clear" w:color="auto" w:fill="CCEEFF"/>
            <w:tcMar>
              <w:top w:w="0" w:type="dxa"/>
              <w:left w:w="20" w:type="dxa"/>
              <w:bottom w:w="0" w:type="dxa"/>
              <w:right w:w="20" w:type="dxa"/>
            </w:tcMar>
            <w:vAlign w:val="center"/>
            <w:hideMark/>
          </w:tcPr>
          <w:p w14:paraId="7AB52765"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B551C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0F953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DC28D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185D8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C8190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75AC8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67FE8D" w14:textId="77777777" w:rsidR="00000000" w:rsidRDefault="00A173A8">
            <w:pPr>
              <w:spacing w:after="100"/>
              <w:rPr>
                <w:rFonts w:eastAsia="Times New Roman"/>
                <w:sz w:val="20"/>
                <w:szCs w:val="20"/>
              </w:rPr>
            </w:pPr>
          </w:p>
        </w:tc>
      </w:tr>
      <w:tr w:rsidR="00000000" w14:paraId="12E4F121" w14:textId="77777777">
        <w:trPr>
          <w:divId w:val="267391700"/>
        </w:trPr>
        <w:tc>
          <w:tcPr>
            <w:tcW w:w="0" w:type="auto"/>
            <w:gridSpan w:val="3"/>
            <w:shd w:val="clear" w:color="auto" w:fill="FFFFFF"/>
            <w:tcMar>
              <w:top w:w="30" w:type="dxa"/>
              <w:left w:w="245" w:type="dxa"/>
              <w:bottom w:w="30" w:type="dxa"/>
              <w:right w:w="20" w:type="dxa"/>
            </w:tcMar>
            <w:vAlign w:val="center"/>
            <w:hideMark/>
          </w:tcPr>
          <w:p w14:paraId="395553DB" w14:textId="77777777" w:rsidR="00000000" w:rsidRDefault="00A173A8">
            <w:pPr>
              <w:spacing w:after="100"/>
              <w:rPr>
                <w:rFonts w:eastAsia="Times New Roman"/>
              </w:rPr>
            </w:pPr>
            <w:r>
              <w:rPr>
                <w:rFonts w:eastAsia="Times New Roman"/>
                <w:color w:val="000000"/>
                <w:sz w:val="20"/>
                <w:szCs w:val="20"/>
              </w:rPr>
              <w:t>California</w:t>
            </w:r>
          </w:p>
        </w:tc>
        <w:tc>
          <w:tcPr>
            <w:tcW w:w="0" w:type="auto"/>
            <w:gridSpan w:val="3"/>
            <w:shd w:val="clear" w:color="auto" w:fill="FFFFFF"/>
            <w:tcMar>
              <w:top w:w="0" w:type="dxa"/>
              <w:left w:w="20" w:type="dxa"/>
              <w:bottom w:w="0" w:type="dxa"/>
              <w:right w:w="20" w:type="dxa"/>
            </w:tcMar>
            <w:vAlign w:val="center"/>
            <w:hideMark/>
          </w:tcPr>
          <w:p w14:paraId="197EC404"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F327D8F"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3F07A1F4" w14:textId="77777777" w:rsidR="00000000" w:rsidRDefault="00A173A8">
            <w:pPr>
              <w:spacing w:after="100"/>
              <w:jc w:val="right"/>
              <w:rPr>
                <w:rFonts w:eastAsia="Times New Roman"/>
              </w:rPr>
            </w:pPr>
            <w:r>
              <w:rPr>
                <w:rFonts w:eastAsia="Times New Roman"/>
                <w:b/>
                <w:bCs/>
                <w:color w:val="000000"/>
                <w:sz w:val="20"/>
                <w:szCs w:val="20"/>
              </w:rPr>
              <w:t>9,800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2DCE0A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3972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E97766" w14:textId="77777777" w:rsidR="00000000" w:rsidRDefault="00A173A8">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B96568C"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833889"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21CCD64"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16004534" w14:textId="77777777" w:rsidR="00000000" w:rsidRDefault="00A173A8">
            <w:pPr>
              <w:spacing w:after="100"/>
              <w:jc w:val="right"/>
              <w:rPr>
                <w:rFonts w:eastAsia="Times New Roman"/>
              </w:rPr>
            </w:pPr>
            <w:r>
              <w:rPr>
                <w:rFonts w:eastAsia="Times New Roman"/>
                <w:color w:val="000000"/>
                <w:sz w:val="20"/>
                <w:szCs w:val="20"/>
              </w:rPr>
              <w:t>9,127 </w:t>
            </w:r>
          </w:p>
        </w:tc>
        <w:tc>
          <w:tcPr>
            <w:tcW w:w="0" w:type="auto"/>
            <w:shd w:val="clear" w:color="auto" w:fill="FFFFFF"/>
            <w:tcMar>
              <w:top w:w="30" w:type="dxa"/>
              <w:left w:w="0" w:type="dxa"/>
              <w:bottom w:w="30" w:type="dxa"/>
              <w:right w:w="20" w:type="dxa"/>
            </w:tcMar>
            <w:vAlign w:val="center"/>
            <w:hideMark/>
          </w:tcPr>
          <w:p w14:paraId="236BA7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05712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D3B47A" w14:textId="77777777" w:rsidR="00000000" w:rsidRDefault="00A173A8">
            <w:pPr>
              <w:spacing w:after="100"/>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center"/>
            <w:hideMark/>
          </w:tcPr>
          <w:p w14:paraId="47BF59CD" w14:textId="77777777" w:rsidR="00000000" w:rsidRDefault="00A173A8">
            <w:pPr>
              <w:spacing w:after="100"/>
              <w:jc w:val="right"/>
              <w:rPr>
                <w:rFonts w:eastAsia="Times New Roman"/>
              </w:rPr>
            </w:pPr>
            <w:r>
              <w:rPr>
                <w:rFonts w:eastAsia="Times New Roman"/>
                <w:color w:val="000000"/>
                <w:sz w:val="20"/>
                <w:szCs w:val="20"/>
              </w:rPr>
              <w:t>%</w:t>
            </w:r>
          </w:p>
        </w:tc>
      </w:tr>
      <w:tr w:rsidR="00000000" w14:paraId="3235CCEA" w14:textId="77777777">
        <w:trPr>
          <w:divId w:val="267391700"/>
        </w:trPr>
        <w:tc>
          <w:tcPr>
            <w:tcW w:w="0" w:type="auto"/>
            <w:gridSpan w:val="3"/>
            <w:shd w:val="clear" w:color="auto" w:fill="CCEEFF"/>
            <w:tcMar>
              <w:top w:w="30" w:type="dxa"/>
              <w:left w:w="245" w:type="dxa"/>
              <w:bottom w:w="30" w:type="dxa"/>
              <w:right w:w="20" w:type="dxa"/>
            </w:tcMar>
            <w:vAlign w:val="center"/>
            <w:hideMark/>
          </w:tcPr>
          <w:p w14:paraId="740348CA" w14:textId="77777777" w:rsidR="00000000" w:rsidRDefault="00A173A8">
            <w:pPr>
              <w:spacing w:after="100"/>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14:paraId="3D0C6A5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0594ABA" w14:textId="77777777" w:rsidR="00000000" w:rsidRDefault="00A173A8">
            <w:pPr>
              <w:spacing w:after="100"/>
              <w:jc w:val="right"/>
              <w:rPr>
                <w:rFonts w:eastAsia="Times New Roman"/>
              </w:rPr>
            </w:pPr>
            <w:r>
              <w:rPr>
                <w:rFonts w:eastAsia="Times New Roman"/>
                <w:b/>
                <w:bCs/>
                <w:color w:val="000000"/>
                <w:sz w:val="20"/>
                <w:szCs w:val="20"/>
              </w:rPr>
              <w:t>9,768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C948C5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916D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4CF34A" w14:textId="77777777" w:rsidR="00000000" w:rsidRDefault="00A173A8">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1E53E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5554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24692A" w14:textId="77777777" w:rsidR="00000000" w:rsidRDefault="00A173A8">
            <w:pPr>
              <w:spacing w:after="100"/>
              <w:jc w:val="right"/>
              <w:rPr>
                <w:rFonts w:eastAsia="Times New Roman"/>
              </w:rPr>
            </w:pPr>
            <w:r>
              <w:rPr>
                <w:rFonts w:eastAsia="Times New Roman"/>
                <w:color w:val="000000"/>
                <w:sz w:val="20"/>
                <w:szCs w:val="20"/>
              </w:rPr>
              <w:t>9,292 </w:t>
            </w:r>
          </w:p>
        </w:tc>
        <w:tc>
          <w:tcPr>
            <w:tcW w:w="0" w:type="auto"/>
            <w:shd w:val="clear" w:color="auto" w:fill="CCEEFF"/>
            <w:tcMar>
              <w:top w:w="30" w:type="dxa"/>
              <w:left w:w="0" w:type="dxa"/>
              <w:bottom w:w="30" w:type="dxa"/>
              <w:right w:w="20" w:type="dxa"/>
            </w:tcMar>
            <w:vAlign w:val="center"/>
            <w:hideMark/>
          </w:tcPr>
          <w:p w14:paraId="7AE3663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4624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CA4C93" w14:textId="77777777" w:rsidR="00000000" w:rsidRDefault="00A173A8">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center"/>
            <w:hideMark/>
          </w:tcPr>
          <w:p w14:paraId="61E891FF" w14:textId="77777777" w:rsidR="00000000" w:rsidRDefault="00A173A8">
            <w:pPr>
              <w:spacing w:after="100"/>
              <w:jc w:val="right"/>
              <w:rPr>
                <w:rFonts w:eastAsia="Times New Roman"/>
              </w:rPr>
            </w:pPr>
          </w:p>
        </w:tc>
      </w:tr>
      <w:tr w:rsidR="00000000" w14:paraId="57E56EDA" w14:textId="77777777">
        <w:trPr>
          <w:divId w:val="267391700"/>
        </w:trPr>
        <w:tc>
          <w:tcPr>
            <w:tcW w:w="0" w:type="auto"/>
            <w:gridSpan w:val="3"/>
            <w:shd w:val="clear" w:color="auto" w:fill="FFFFFF"/>
            <w:tcMar>
              <w:top w:w="30" w:type="dxa"/>
              <w:left w:w="245" w:type="dxa"/>
              <w:bottom w:w="30" w:type="dxa"/>
              <w:right w:w="20" w:type="dxa"/>
            </w:tcMar>
            <w:vAlign w:val="center"/>
            <w:hideMark/>
          </w:tcPr>
          <w:p w14:paraId="5502E85A" w14:textId="77777777" w:rsidR="00000000" w:rsidRDefault="00A173A8">
            <w:pPr>
              <w:spacing w:after="100"/>
              <w:rPr>
                <w:rFonts w:eastAsia="Times New Roman"/>
              </w:rPr>
            </w:pPr>
            <w:r>
              <w:rPr>
                <w:rFonts w:eastAsia="Times New Roman"/>
                <w:color w:val="000000"/>
                <w:sz w:val="20"/>
                <w:szCs w:val="20"/>
              </w:rPr>
              <w:t>Florida</w:t>
            </w:r>
          </w:p>
        </w:tc>
        <w:tc>
          <w:tcPr>
            <w:tcW w:w="0" w:type="auto"/>
            <w:gridSpan w:val="3"/>
            <w:shd w:val="clear" w:color="auto" w:fill="FFFFFF"/>
            <w:tcMar>
              <w:top w:w="0" w:type="dxa"/>
              <w:left w:w="20" w:type="dxa"/>
              <w:bottom w:w="0" w:type="dxa"/>
              <w:right w:w="20" w:type="dxa"/>
            </w:tcMar>
            <w:vAlign w:val="center"/>
            <w:hideMark/>
          </w:tcPr>
          <w:p w14:paraId="6B98992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837C8C0" w14:textId="77777777" w:rsidR="00000000" w:rsidRDefault="00A173A8">
            <w:pPr>
              <w:spacing w:after="100"/>
              <w:jc w:val="right"/>
              <w:rPr>
                <w:rFonts w:eastAsia="Times New Roman"/>
              </w:rPr>
            </w:pPr>
            <w:r>
              <w:rPr>
                <w:rFonts w:eastAsia="Times New Roman"/>
                <w:b/>
                <w:bCs/>
                <w:color w:val="000000"/>
                <w:sz w:val="20"/>
                <w:szCs w:val="20"/>
              </w:rPr>
              <w:t>6,841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F1D63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D8D6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A71CE9" w14:textId="77777777" w:rsidR="00000000" w:rsidRDefault="00A173A8">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20CE4B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F4B0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DDF965" w14:textId="77777777" w:rsidR="00000000" w:rsidRDefault="00A173A8">
            <w:pPr>
              <w:spacing w:after="100"/>
              <w:jc w:val="right"/>
              <w:rPr>
                <w:rFonts w:eastAsia="Times New Roman"/>
              </w:rPr>
            </w:pPr>
            <w:r>
              <w:rPr>
                <w:rFonts w:eastAsia="Times New Roman"/>
                <w:color w:val="000000"/>
                <w:sz w:val="20"/>
                <w:szCs w:val="20"/>
              </w:rPr>
              <w:t>6,443 </w:t>
            </w:r>
          </w:p>
        </w:tc>
        <w:tc>
          <w:tcPr>
            <w:tcW w:w="0" w:type="auto"/>
            <w:shd w:val="clear" w:color="auto" w:fill="FFFFFF"/>
            <w:tcMar>
              <w:top w:w="30" w:type="dxa"/>
              <w:left w:w="0" w:type="dxa"/>
              <w:bottom w:w="30" w:type="dxa"/>
              <w:right w:w="20" w:type="dxa"/>
            </w:tcMar>
            <w:vAlign w:val="center"/>
            <w:hideMark/>
          </w:tcPr>
          <w:p w14:paraId="3CB59E3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2731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857F5D" w14:textId="77777777" w:rsidR="00000000" w:rsidRDefault="00A173A8">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14:paraId="5573D5FF" w14:textId="77777777" w:rsidR="00000000" w:rsidRDefault="00A173A8">
            <w:pPr>
              <w:spacing w:after="100"/>
              <w:jc w:val="right"/>
              <w:rPr>
                <w:rFonts w:eastAsia="Times New Roman"/>
              </w:rPr>
            </w:pPr>
          </w:p>
        </w:tc>
      </w:tr>
      <w:tr w:rsidR="00000000" w14:paraId="70222615" w14:textId="77777777">
        <w:trPr>
          <w:divId w:val="267391700"/>
        </w:trPr>
        <w:tc>
          <w:tcPr>
            <w:tcW w:w="0" w:type="auto"/>
            <w:gridSpan w:val="3"/>
            <w:shd w:val="clear" w:color="auto" w:fill="CCEEFF"/>
            <w:tcMar>
              <w:top w:w="30" w:type="dxa"/>
              <w:left w:w="245" w:type="dxa"/>
              <w:bottom w:w="30" w:type="dxa"/>
              <w:right w:w="20" w:type="dxa"/>
            </w:tcMar>
            <w:vAlign w:val="center"/>
            <w:hideMark/>
          </w:tcPr>
          <w:p w14:paraId="17DA8B85" w14:textId="77777777" w:rsidR="00000000" w:rsidRDefault="00A173A8">
            <w:pPr>
              <w:spacing w:after="100"/>
              <w:rPr>
                <w:rFonts w:eastAsia="Times New Roman"/>
              </w:rPr>
            </w:pPr>
            <w:r>
              <w:rPr>
                <w:rFonts w:eastAsia="Times New Roman"/>
                <w:color w:val="000000"/>
                <w:sz w:val="20"/>
                <w:szCs w:val="20"/>
              </w:rPr>
              <w:t>Georgia</w:t>
            </w:r>
          </w:p>
        </w:tc>
        <w:tc>
          <w:tcPr>
            <w:tcW w:w="0" w:type="auto"/>
            <w:gridSpan w:val="3"/>
            <w:shd w:val="clear" w:color="auto" w:fill="CCEEFF"/>
            <w:tcMar>
              <w:top w:w="0" w:type="dxa"/>
              <w:left w:w="20" w:type="dxa"/>
              <w:bottom w:w="0" w:type="dxa"/>
              <w:right w:w="20" w:type="dxa"/>
            </w:tcMar>
            <w:vAlign w:val="center"/>
            <w:hideMark/>
          </w:tcPr>
          <w:p w14:paraId="36273D7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A6ECBE4" w14:textId="77777777" w:rsidR="00000000" w:rsidRDefault="00A173A8">
            <w:pPr>
              <w:spacing w:after="100"/>
              <w:jc w:val="right"/>
              <w:rPr>
                <w:rFonts w:eastAsia="Times New Roman"/>
              </w:rPr>
            </w:pPr>
            <w:r>
              <w:rPr>
                <w:rFonts w:eastAsia="Times New Roman"/>
                <w:b/>
                <w:bCs/>
                <w:color w:val="000000"/>
                <w:sz w:val="20"/>
                <w:szCs w:val="20"/>
              </w:rPr>
              <w:t>3,382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790976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C753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F9F7C2" w14:textId="77777777" w:rsidR="00000000" w:rsidRDefault="00A173A8">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1A27E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D266F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C50C63" w14:textId="77777777" w:rsidR="00000000" w:rsidRDefault="00A173A8">
            <w:pPr>
              <w:spacing w:after="100"/>
              <w:jc w:val="right"/>
              <w:rPr>
                <w:rFonts w:eastAsia="Times New Roman"/>
              </w:rPr>
            </w:pPr>
            <w:r>
              <w:rPr>
                <w:rFonts w:eastAsia="Times New Roman"/>
                <w:color w:val="000000"/>
                <w:sz w:val="20"/>
                <w:szCs w:val="20"/>
              </w:rPr>
              <w:t>3,283 </w:t>
            </w:r>
          </w:p>
        </w:tc>
        <w:tc>
          <w:tcPr>
            <w:tcW w:w="0" w:type="auto"/>
            <w:shd w:val="clear" w:color="auto" w:fill="CCEEFF"/>
            <w:tcMar>
              <w:top w:w="30" w:type="dxa"/>
              <w:left w:w="0" w:type="dxa"/>
              <w:bottom w:w="30" w:type="dxa"/>
              <w:right w:w="20" w:type="dxa"/>
            </w:tcMar>
            <w:vAlign w:val="center"/>
            <w:hideMark/>
          </w:tcPr>
          <w:p w14:paraId="7579191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3789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F71E58" w14:textId="77777777" w:rsidR="00000000" w:rsidRDefault="00A173A8">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center"/>
            <w:hideMark/>
          </w:tcPr>
          <w:p w14:paraId="5D53BA62" w14:textId="77777777" w:rsidR="00000000" w:rsidRDefault="00A173A8">
            <w:pPr>
              <w:spacing w:after="100"/>
              <w:jc w:val="right"/>
              <w:rPr>
                <w:rFonts w:eastAsia="Times New Roman"/>
              </w:rPr>
            </w:pPr>
          </w:p>
        </w:tc>
      </w:tr>
      <w:tr w:rsidR="00000000" w14:paraId="028708F1" w14:textId="77777777">
        <w:trPr>
          <w:divId w:val="267391700"/>
        </w:trPr>
        <w:tc>
          <w:tcPr>
            <w:tcW w:w="0" w:type="auto"/>
            <w:gridSpan w:val="3"/>
            <w:shd w:val="clear" w:color="auto" w:fill="FFFFFF"/>
            <w:tcMar>
              <w:top w:w="30" w:type="dxa"/>
              <w:left w:w="245" w:type="dxa"/>
              <w:bottom w:w="30" w:type="dxa"/>
              <w:right w:w="20" w:type="dxa"/>
            </w:tcMar>
            <w:vAlign w:val="center"/>
            <w:hideMark/>
          </w:tcPr>
          <w:p w14:paraId="691BD45C" w14:textId="77777777" w:rsidR="00000000" w:rsidRDefault="00A173A8">
            <w:pPr>
              <w:spacing w:after="100"/>
              <w:rPr>
                <w:rFonts w:eastAsia="Times New Roman"/>
              </w:rPr>
            </w:pPr>
            <w:r>
              <w:rPr>
                <w:rFonts w:eastAsia="Times New Roman"/>
                <w:color w:val="000000"/>
                <w:sz w:val="20"/>
                <w:szCs w:val="20"/>
              </w:rPr>
              <w:t>Pennsylvania</w:t>
            </w:r>
          </w:p>
        </w:tc>
        <w:tc>
          <w:tcPr>
            <w:tcW w:w="0" w:type="auto"/>
            <w:gridSpan w:val="3"/>
            <w:shd w:val="clear" w:color="auto" w:fill="FFFFFF"/>
            <w:tcMar>
              <w:top w:w="0" w:type="dxa"/>
              <w:left w:w="20" w:type="dxa"/>
              <w:bottom w:w="0" w:type="dxa"/>
              <w:right w:w="20" w:type="dxa"/>
            </w:tcMar>
            <w:vAlign w:val="center"/>
            <w:hideMark/>
          </w:tcPr>
          <w:p w14:paraId="6BAEBA7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93365E8" w14:textId="77777777" w:rsidR="00000000" w:rsidRDefault="00A173A8">
            <w:pPr>
              <w:spacing w:after="100"/>
              <w:jc w:val="right"/>
              <w:rPr>
                <w:rFonts w:eastAsia="Times New Roman"/>
              </w:rPr>
            </w:pPr>
            <w:r>
              <w:rPr>
                <w:rFonts w:eastAsia="Times New Roman"/>
                <w:b/>
                <w:bCs/>
                <w:color w:val="000000"/>
                <w:sz w:val="20"/>
                <w:szCs w:val="20"/>
              </w:rPr>
              <w:t>3,356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3D93BA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D1CB8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7B03A5" w14:textId="77777777" w:rsidR="00000000" w:rsidRDefault="00A173A8">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0478A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8A41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DB051B" w14:textId="77777777" w:rsidR="00000000" w:rsidRDefault="00A173A8">
            <w:pPr>
              <w:spacing w:after="100"/>
              <w:jc w:val="right"/>
              <w:rPr>
                <w:rFonts w:eastAsia="Times New Roman"/>
              </w:rPr>
            </w:pPr>
            <w:r>
              <w:rPr>
                <w:rFonts w:eastAsia="Times New Roman"/>
                <w:color w:val="000000"/>
                <w:sz w:val="20"/>
                <w:szCs w:val="20"/>
              </w:rPr>
              <w:t>3,139 </w:t>
            </w:r>
          </w:p>
        </w:tc>
        <w:tc>
          <w:tcPr>
            <w:tcW w:w="0" w:type="auto"/>
            <w:shd w:val="clear" w:color="auto" w:fill="FFFFFF"/>
            <w:tcMar>
              <w:top w:w="30" w:type="dxa"/>
              <w:left w:w="0" w:type="dxa"/>
              <w:bottom w:w="30" w:type="dxa"/>
              <w:right w:w="20" w:type="dxa"/>
            </w:tcMar>
            <w:vAlign w:val="center"/>
            <w:hideMark/>
          </w:tcPr>
          <w:p w14:paraId="1A5FA9F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905D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319BAF" w14:textId="77777777" w:rsidR="00000000" w:rsidRDefault="00A173A8">
            <w:pPr>
              <w:spacing w:after="100"/>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center"/>
            <w:hideMark/>
          </w:tcPr>
          <w:p w14:paraId="462E8A93" w14:textId="77777777" w:rsidR="00000000" w:rsidRDefault="00A173A8">
            <w:pPr>
              <w:spacing w:after="100"/>
              <w:jc w:val="right"/>
              <w:rPr>
                <w:rFonts w:eastAsia="Times New Roman"/>
              </w:rPr>
            </w:pPr>
          </w:p>
        </w:tc>
      </w:tr>
      <w:tr w:rsidR="00000000" w14:paraId="55912F87" w14:textId="77777777">
        <w:trPr>
          <w:divId w:val="267391700"/>
        </w:trPr>
        <w:tc>
          <w:tcPr>
            <w:tcW w:w="0" w:type="auto"/>
            <w:gridSpan w:val="3"/>
            <w:shd w:val="clear" w:color="auto" w:fill="CCEEFF"/>
            <w:tcMar>
              <w:top w:w="30" w:type="dxa"/>
              <w:left w:w="245" w:type="dxa"/>
              <w:bottom w:w="30" w:type="dxa"/>
              <w:right w:w="20" w:type="dxa"/>
            </w:tcMar>
            <w:vAlign w:val="center"/>
            <w:hideMark/>
          </w:tcPr>
          <w:p w14:paraId="116EA95F" w14:textId="77777777" w:rsidR="00000000" w:rsidRDefault="00A173A8">
            <w:pPr>
              <w:spacing w:after="100"/>
              <w:rPr>
                <w:rFonts w:eastAsia="Times New Roman"/>
              </w:rPr>
            </w:pPr>
            <w:r>
              <w:rPr>
                <w:rFonts w:eastAsia="Times New Roman"/>
                <w:color w:val="000000"/>
                <w:sz w:val="20"/>
                <w:szCs w:val="20"/>
              </w:rPr>
              <w:t>Ohio</w:t>
            </w:r>
          </w:p>
        </w:tc>
        <w:tc>
          <w:tcPr>
            <w:tcW w:w="0" w:type="auto"/>
            <w:gridSpan w:val="3"/>
            <w:shd w:val="clear" w:color="auto" w:fill="CCEEFF"/>
            <w:tcMar>
              <w:top w:w="0" w:type="dxa"/>
              <w:left w:w="20" w:type="dxa"/>
              <w:bottom w:w="0" w:type="dxa"/>
              <w:right w:w="20" w:type="dxa"/>
            </w:tcMar>
            <w:vAlign w:val="center"/>
            <w:hideMark/>
          </w:tcPr>
          <w:p w14:paraId="5D644E3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1AA239" w14:textId="77777777" w:rsidR="00000000" w:rsidRDefault="00A173A8">
            <w:pPr>
              <w:spacing w:after="100"/>
              <w:jc w:val="right"/>
              <w:rPr>
                <w:rFonts w:eastAsia="Times New Roman"/>
              </w:rPr>
            </w:pPr>
            <w:r>
              <w:rPr>
                <w:rFonts w:eastAsia="Times New Roman"/>
                <w:b/>
                <w:bCs/>
                <w:color w:val="000000"/>
                <w:sz w:val="20"/>
                <w:szCs w:val="20"/>
              </w:rPr>
              <w:t>3,177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4CE4E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C56E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8DB308" w14:textId="77777777" w:rsidR="00000000" w:rsidRDefault="00A173A8">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1A03B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0D33B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868C3D" w14:textId="77777777" w:rsidR="00000000" w:rsidRDefault="00A173A8">
            <w:pPr>
              <w:spacing w:after="100"/>
              <w:jc w:val="right"/>
              <w:rPr>
                <w:rFonts w:eastAsia="Times New Roman"/>
              </w:rPr>
            </w:pPr>
            <w:r>
              <w:rPr>
                <w:rFonts w:eastAsia="Times New Roman"/>
                <w:color w:val="000000"/>
                <w:sz w:val="20"/>
                <w:szCs w:val="20"/>
              </w:rPr>
              <w:t>3,053 </w:t>
            </w:r>
          </w:p>
        </w:tc>
        <w:tc>
          <w:tcPr>
            <w:tcW w:w="0" w:type="auto"/>
            <w:shd w:val="clear" w:color="auto" w:fill="CCEEFF"/>
            <w:tcMar>
              <w:top w:w="30" w:type="dxa"/>
              <w:left w:w="0" w:type="dxa"/>
              <w:bottom w:w="30" w:type="dxa"/>
              <w:right w:w="20" w:type="dxa"/>
            </w:tcMar>
            <w:vAlign w:val="center"/>
            <w:hideMark/>
          </w:tcPr>
          <w:p w14:paraId="04BECAF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7C3DA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5692DB" w14:textId="77777777" w:rsidR="00000000" w:rsidRDefault="00A173A8">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center"/>
            <w:hideMark/>
          </w:tcPr>
          <w:p w14:paraId="1F4C84D9" w14:textId="77777777" w:rsidR="00000000" w:rsidRDefault="00A173A8">
            <w:pPr>
              <w:spacing w:after="100"/>
              <w:jc w:val="right"/>
              <w:rPr>
                <w:rFonts w:eastAsia="Times New Roman"/>
              </w:rPr>
            </w:pPr>
          </w:p>
        </w:tc>
      </w:tr>
      <w:tr w:rsidR="00000000" w14:paraId="144FC2B8" w14:textId="77777777">
        <w:trPr>
          <w:divId w:val="267391700"/>
        </w:trPr>
        <w:tc>
          <w:tcPr>
            <w:tcW w:w="0" w:type="auto"/>
            <w:gridSpan w:val="3"/>
            <w:shd w:val="clear" w:color="auto" w:fill="FFFFFF"/>
            <w:tcMar>
              <w:top w:w="30" w:type="dxa"/>
              <w:left w:w="245" w:type="dxa"/>
              <w:bottom w:w="30" w:type="dxa"/>
              <w:right w:w="20" w:type="dxa"/>
            </w:tcMar>
            <w:vAlign w:val="center"/>
            <w:hideMark/>
          </w:tcPr>
          <w:p w14:paraId="3DD93ECF" w14:textId="77777777" w:rsidR="00000000" w:rsidRDefault="00A173A8">
            <w:pPr>
              <w:spacing w:after="100"/>
              <w:rPr>
                <w:rFonts w:eastAsia="Times New Roman"/>
              </w:rPr>
            </w:pPr>
            <w:r>
              <w:rPr>
                <w:rFonts w:eastAsia="Times New Roman"/>
                <w:color w:val="000000"/>
                <w:sz w:val="20"/>
                <w:szCs w:val="20"/>
              </w:rPr>
              <w:t>Illinois</w:t>
            </w:r>
          </w:p>
        </w:tc>
        <w:tc>
          <w:tcPr>
            <w:tcW w:w="0" w:type="auto"/>
            <w:gridSpan w:val="3"/>
            <w:shd w:val="clear" w:color="auto" w:fill="FFFFFF"/>
            <w:tcMar>
              <w:top w:w="0" w:type="dxa"/>
              <w:left w:w="20" w:type="dxa"/>
              <w:bottom w:w="0" w:type="dxa"/>
              <w:right w:w="20" w:type="dxa"/>
            </w:tcMar>
            <w:vAlign w:val="center"/>
            <w:hideMark/>
          </w:tcPr>
          <w:p w14:paraId="524B733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8F49DD" w14:textId="77777777" w:rsidR="00000000" w:rsidRDefault="00A173A8">
            <w:pPr>
              <w:spacing w:after="100"/>
              <w:jc w:val="right"/>
              <w:rPr>
                <w:rFonts w:eastAsia="Times New Roman"/>
              </w:rPr>
            </w:pPr>
            <w:r>
              <w:rPr>
                <w:rFonts w:eastAsia="Times New Roman"/>
                <w:b/>
                <w:bCs/>
                <w:color w:val="000000"/>
                <w:sz w:val="20"/>
                <w:szCs w:val="20"/>
              </w:rPr>
              <w:t>3,133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B1171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2B3B1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87D29B" w14:textId="77777777" w:rsidR="00000000" w:rsidRDefault="00A173A8">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5A73C9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CBE36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E037B1" w14:textId="77777777" w:rsidR="00000000" w:rsidRDefault="00A173A8">
            <w:pPr>
              <w:spacing w:after="100"/>
              <w:jc w:val="right"/>
              <w:rPr>
                <w:rFonts w:eastAsia="Times New Roman"/>
              </w:rPr>
            </w:pPr>
            <w:r>
              <w:rPr>
                <w:rFonts w:eastAsia="Times New Roman"/>
                <w:color w:val="000000"/>
                <w:sz w:val="20"/>
                <w:szCs w:val="20"/>
              </w:rPr>
              <w:t>2,899 </w:t>
            </w:r>
          </w:p>
        </w:tc>
        <w:tc>
          <w:tcPr>
            <w:tcW w:w="0" w:type="auto"/>
            <w:shd w:val="clear" w:color="auto" w:fill="FFFFFF"/>
            <w:tcMar>
              <w:top w:w="30" w:type="dxa"/>
              <w:left w:w="0" w:type="dxa"/>
              <w:bottom w:w="30" w:type="dxa"/>
              <w:right w:w="20" w:type="dxa"/>
            </w:tcMar>
            <w:vAlign w:val="center"/>
            <w:hideMark/>
          </w:tcPr>
          <w:p w14:paraId="1FC5678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0906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50F019" w14:textId="77777777" w:rsidR="00000000" w:rsidRDefault="00A173A8">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center"/>
            <w:hideMark/>
          </w:tcPr>
          <w:p w14:paraId="1317D4EA" w14:textId="77777777" w:rsidR="00000000" w:rsidRDefault="00A173A8">
            <w:pPr>
              <w:spacing w:after="100"/>
              <w:jc w:val="right"/>
              <w:rPr>
                <w:rFonts w:eastAsia="Times New Roman"/>
              </w:rPr>
            </w:pPr>
          </w:p>
        </w:tc>
      </w:tr>
      <w:tr w:rsidR="00000000" w14:paraId="561ECF69" w14:textId="77777777">
        <w:trPr>
          <w:divId w:val="267391700"/>
        </w:trPr>
        <w:tc>
          <w:tcPr>
            <w:tcW w:w="0" w:type="auto"/>
            <w:gridSpan w:val="3"/>
            <w:shd w:val="clear" w:color="auto" w:fill="CCEEFF"/>
            <w:tcMar>
              <w:top w:w="30" w:type="dxa"/>
              <w:left w:w="245" w:type="dxa"/>
              <w:bottom w:w="30" w:type="dxa"/>
              <w:right w:w="20" w:type="dxa"/>
            </w:tcMar>
            <w:vAlign w:val="center"/>
            <w:hideMark/>
          </w:tcPr>
          <w:p w14:paraId="52EDB8AD" w14:textId="77777777" w:rsidR="00000000" w:rsidRDefault="00A173A8">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14:paraId="04D2A8A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09CE669" w14:textId="77777777" w:rsidR="00000000" w:rsidRDefault="00A173A8">
            <w:pPr>
              <w:spacing w:after="100"/>
              <w:jc w:val="right"/>
              <w:rPr>
                <w:rFonts w:eastAsia="Times New Roman"/>
              </w:rPr>
            </w:pPr>
            <w:r>
              <w:rPr>
                <w:rFonts w:eastAsia="Times New Roman"/>
                <w:b/>
                <w:bCs/>
                <w:color w:val="000000"/>
                <w:sz w:val="20"/>
                <w:szCs w:val="20"/>
              </w:rPr>
              <w:t>2,699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E40188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9800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B09076" w14:textId="77777777" w:rsidR="00000000" w:rsidRDefault="00A173A8">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9A2E08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8B5C0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57387D" w14:textId="77777777" w:rsidR="00000000" w:rsidRDefault="00A173A8">
            <w:pPr>
              <w:spacing w:after="100"/>
              <w:jc w:val="right"/>
              <w:rPr>
                <w:rFonts w:eastAsia="Times New Roman"/>
              </w:rPr>
            </w:pPr>
            <w:r>
              <w:rPr>
                <w:rFonts w:eastAsia="Times New Roman"/>
                <w:color w:val="000000"/>
                <w:sz w:val="20"/>
                <w:szCs w:val="20"/>
              </w:rPr>
              <w:t>2,536 </w:t>
            </w:r>
          </w:p>
        </w:tc>
        <w:tc>
          <w:tcPr>
            <w:tcW w:w="0" w:type="auto"/>
            <w:shd w:val="clear" w:color="auto" w:fill="CCEEFF"/>
            <w:tcMar>
              <w:top w:w="30" w:type="dxa"/>
              <w:left w:w="0" w:type="dxa"/>
              <w:bottom w:w="30" w:type="dxa"/>
              <w:right w:w="20" w:type="dxa"/>
            </w:tcMar>
            <w:vAlign w:val="center"/>
            <w:hideMark/>
          </w:tcPr>
          <w:p w14:paraId="3E1EDE1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3BDC0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758636" w14:textId="77777777" w:rsidR="00000000" w:rsidRDefault="00A173A8">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center"/>
            <w:hideMark/>
          </w:tcPr>
          <w:p w14:paraId="27AA94E5" w14:textId="77777777" w:rsidR="00000000" w:rsidRDefault="00A173A8">
            <w:pPr>
              <w:spacing w:after="100"/>
              <w:jc w:val="right"/>
              <w:rPr>
                <w:rFonts w:eastAsia="Times New Roman"/>
              </w:rPr>
            </w:pPr>
          </w:p>
        </w:tc>
      </w:tr>
      <w:tr w:rsidR="00000000" w14:paraId="6422E9D3" w14:textId="77777777">
        <w:trPr>
          <w:divId w:val="267391700"/>
        </w:trPr>
        <w:tc>
          <w:tcPr>
            <w:tcW w:w="0" w:type="auto"/>
            <w:gridSpan w:val="3"/>
            <w:shd w:val="clear" w:color="auto" w:fill="FFFFFF"/>
            <w:tcMar>
              <w:top w:w="30" w:type="dxa"/>
              <w:left w:w="245" w:type="dxa"/>
              <w:bottom w:w="30" w:type="dxa"/>
              <w:right w:w="20" w:type="dxa"/>
            </w:tcMar>
            <w:vAlign w:val="center"/>
            <w:hideMark/>
          </w:tcPr>
          <w:p w14:paraId="7707CE27" w14:textId="77777777" w:rsidR="00000000" w:rsidRDefault="00A173A8">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017C944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51F144" w14:textId="77777777" w:rsidR="00000000" w:rsidRDefault="00A173A8">
            <w:pPr>
              <w:spacing w:after="100"/>
              <w:jc w:val="right"/>
              <w:rPr>
                <w:rFonts w:eastAsia="Times New Roman"/>
              </w:rPr>
            </w:pPr>
            <w:r>
              <w:rPr>
                <w:rFonts w:eastAsia="Times New Roman"/>
                <w:b/>
                <w:bCs/>
                <w:color w:val="000000"/>
                <w:sz w:val="20"/>
                <w:szCs w:val="20"/>
              </w:rPr>
              <w:t>37,770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9A1866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AD4A4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07AB32" w14:textId="77777777" w:rsidR="00000000" w:rsidRDefault="00A173A8">
            <w:pPr>
              <w:spacing w:after="100"/>
              <w:jc w:val="right"/>
              <w:rPr>
                <w:rFonts w:eastAsia="Times New Roman"/>
              </w:rPr>
            </w:pPr>
            <w:r>
              <w:rPr>
                <w:rFonts w:eastAsia="Times New Roman"/>
                <w:b/>
                <w:bCs/>
                <w:color w:val="000000"/>
                <w:sz w:val="20"/>
                <w:szCs w:val="20"/>
              </w:rPr>
              <w:t>46.4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C3F89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79F3D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8D6950" w14:textId="77777777" w:rsidR="00000000" w:rsidRDefault="00A173A8">
            <w:pPr>
              <w:spacing w:after="100"/>
              <w:jc w:val="right"/>
              <w:rPr>
                <w:rFonts w:eastAsia="Times New Roman"/>
              </w:rPr>
            </w:pPr>
            <w:r>
              <w:rPr>
                <w:rFonts w:eastAsia="Times New Roman"/>
                <w:color w:val="000000"/>
                <w:sz w:val="20"/>
                <w:szCs w:val="20"/>
              </w:rPr>
              <w:t>36,007 </w:t>
            </w:r>
          </w:p>
        </w:tc>
        <w:tc>
          <w:tcPr>
            <w:tcW w:w="0" w:type="auto"/>
            <w:shd w:val="clear" w:color="auto" w:fill="FFFFFF"/>
            <w:tcMar>
              <w:top w:w="30" w:type="dxa"/>
              <w:left w:w="0" w:type="dxa"/>
              <w:bottom w:w="30" w:type="dxa"/>
              <w:right w:w="20" w:type="dxa"/>
            </w:tcMar>
            <w:vAlign w:val="center"/>
            <w:hideMark/>
          </w:tcPr>
          <w:p w14:paraId="050DD7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09D7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74D962" w14:textId="77777777" w:rsidR="00000000" w:rsidRDefault="00A173A8">
            <w:pPr>
              <w:spacing w:after="100"/>
              <w:jc w:val="right"/>
              <w:rPr>
                <w:rFonts w:eastAsia="Times New Roman"/>
              </w:rPr>
            </w:pPr>
            <w:r>
              <w:rPr>
                <w:rFonts w:eastAsia="Times New Roman"/>
                <w:color w:val="000000"/>
                <w:sz w:val="20"/>
                <w:szCs w:val="20"/>
              </w:rPr>
              <w:t>46.4 </w:t>
            </w:r>
          </w:p>
        </w:tc>
        <w:tc>
          <w:tcPr>
            <w:tcW w:w="0" w:type="auto"/>
            <w:shd w:val="clear" w:color="auto" w:fill="FFFFFF"/>
            <w:tcMar>
              <w:top w:w="30" w:type="dxa"/>
              <w:left w:w="0" w:type="dxa"/>
              <w:bottom w:w="30" w:type="dxa"/>
              <w:right w:w="20" w:type="dxa"/>
            </w:tcMar>
            <w:vAlign w:val="center"/>
            <w:hideMark/>
          </w:tcPr>
          <w:p w14:paraId="0CC45CA5" w14:textId="77777777" w:rsidR="00000000" w:rsidRDefault="00A173A8">
            <w:pPr>
              <w:spacing w:after="100"/>
              <w:jc w:val="right"/>
              <w:rPr>
                <w:rFonts w:eastAsia="Times New Roman"/>
              </w:rPr>
            </w:pPr>
          </w:p>
        </w:tc>
      </w:tr>
      <w:tr w:rsidR="00000000" w14:paraId="7E44EF78" w14:textId="77777777">
        <w:trPr>
          <w:divId w:val="267391700"/>
        </w:trPr>
        <w:tc>
          <w:tcPr>
            <w:tcW w:w="0" w:type="auto"/>
            <w:gridSpan w:val="3"/>
            <w:shd w:val="clear" w:color="auto" w:fill="CCEEFF"/>
            <w:tcMar>
              <w:top w:w="30" w:type="dxa"/>
              <w:left w:w="20" w:type="dxa"/>
              <w:bottom w:w="30" w:type="dxa"/>
              <w:right w:w="20" w:type="dxa"/>
            </w:tcMar>
            <w:vAlign w:val="center"/>
            <w:hideMark/>
          </w:tcPr>
          <w:p w14:paraId="2A713339" w14:textId="77777777" w:rsidR="00000000" w:rsidRDefault="00A173A8">
            <w:pPr>
              <w:spacing w:after="100"/>
              <w:rPr>
                <w:rFonts w:eastAsia="Times New Roman"/>
              </w:rPr>
            </w:pPr>
            <w:r>
              <w:rPr>
                <w:rFonts w:eastAsia="Times New Roman"/>
                <w:color w:val="000000"/>
                <w:sz w:val="20"/>
                <w:szCs w:val="20"/>
              </w:rPr>
              <w:t>Total auto</w:t>
            </w:r>
          </w:p>
        </w:tc>
        <w:tc>
          <w:tcPr>
            <w:tcW w:w="0" w:type="auto"/>
            <w:gridSpan w:val="3"/>
            <w:shd w:val="clear" w:color="auto" w:fill="CCEEFF"/>
            <w:tcMar>
              <w:top w:w="0" w:type="dxa"/>
              <w:left w:w="20" w:type="dxa"/>
              <w:bottom w:w="0" w:type="dxa"/>
              <w:right w:w="20" w:type="dxa"/>
            </w:tcMar>
            <w:vAlign w:val="center"/>
            <w:hideMark/>
          </w:tcPr>
          <w:p w14:paraId="53C6D6F1"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30AF19" w14:textId="77777777" w:rsidR="00000000" w:rsidRDefault="00A173A8">
            <w:pPr>
              <w:spacing w:after="100"/>
              <w:jc w:val="right"/>
              <w:rPr>
                <w:rFonts w:eastAsia="Times New Roman"/>
              </w:rPr>
            </w:pPr>
            <w:r>
              <w:rPr>
                <w:rFonts w:eastAsia="Times New Roman"/>
                <w:b/>
                <w:bCs/>
                <w:color w:val="000000"/>
                <w:sz w:val="20"/>
                <w:szCs w:val="20"/>
              </w:rPr>
              <w:t>79,926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BA19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7F0D9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389598" w14:textId="77777777" w:rsidR="00000000" w:rsidRDefault="00A173A8">
            <w:pPr>
              <w:spacing w:after="100"/>
              <w:jc w:val="right"/>
              <w:rPr>
                <w:rFonts w:eastAsia="Times New Roman"/>
              </w:rPr>
            </w:pPr>
            <w:r>
              <w:rPr>
                <w:rFonts w:eastAsia="Times New Roman"/>
                <w:b/>
                <w:bCs/>
                <w:color w:val="000000"/>
                <w:sz w:val="20"/>
                <w:szCs w:val="20"/>
              </w:rPr>
              <w:t>98.0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CFD6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59C856"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F67423E"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7650470" w14:textId="77777777" w:rsidR="00000000" w:rsidRDefault="00A173A8">
            <w:pPr>
              <w:spacing w:after="100"/>
              <w:jc w:val="right"/>
              <w:rPr>
                <w:rFonts w:eastAsia="Times New Roman"/>
              </w:rPr>
            </w:pPr>
            <w:r>
              <w:rPr>
                <w:rFonts w:eastAsia="Times New Roman"/>
                <w:color w:val="000000"/>
                <w:sz w:val="20"/>
                <w:szCs w:val="20"/>
              </w:rPr>
              <w:t>75,779 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68143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DBEEB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8621543" w14:textId="77777777" w:rsidR="00000000" w:rsidRDefault="00A173A8">
            <w:pPr>
              <w:spacing w:after="100"/>
              <w:jc w:val="right"/>
              <w:rPr>
                <w:rFonts w:eastAsia="Times New Roman"/>
              </w:rPr>
            </w:pPr>
            <w:r>
              <w:rPr>
                <w:rFonts w:eastAsia="Times New Roman"/>
                <w:color w:val="000000"/>
                <w:sz w:val="20"/>
                <w:szCs w:val="20"/>
              </w:rPr>
              <w:t>97.6 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D66DF4" w14:textId="77777777" w:rsidR="00000000" w:rsidRDefault="00A173A8">
            <w:pPr>
              <w:spacing w:after="100"/>
              <w:jc w:val="right"/>
              <w:rPr>
                <w:rFonts w:eastAsia="Times New Roman"/>
              </w:rPr>
            </w:pPr>
            <w:r>
              <w:rPr>
                <w:rFonts w:eastAsia="Times New Roman"/>
                <w:color w:val="000000"/>
                <w:sz w:val="20"/>
                <w:szCs w:val="20"/>
              </w:rPr>
              <w:t>%</w:t>
            </w:r>
          </w:p>
        </w:tc>
      </w:tr>
      <w:tr w:rsidR="00000000" w14:paraId="5D196A50" w14:textId="77777777">
        <w:trPr>
          <w:divId w:val="267391700"/>
        </w:trPr>
        <w:tc>
          <w:tcPr>
            <w:tcW w:w="0" w:type="auto"/>
            <w:gridSpan w:val="3"/>
            <w:shd w:val="clear" w:color="auto" w:fill="FFFFFF"/>
            <w:tcMar>
              <w:top w:w="30" w:type="dxa"/>
              <w:left w:w="20" w:type="dxa"/>
              <w:bottom w:w="30" w:type="dxa"/>
              <w:right w:w="20" w:type="dxa"/>
            </w:tcMar>
            <w:vAlign w:val="center"/>
            <w:hideMark/>
          </w:tcPr>
          <w:p w14:paraId="35A3D9E3" w14:textId="77777777" w:rsidR="00000000" w:rsidRDefault="00A173A8">
            <w:pPr>
              <w:spacing w:after="100"/>
              <w:rPr>
                <w:rFonts w:eastAsia="Times New Roman"/>
              </w:rPr>
            </w:pPr>
            <w:r>
              <w:rPr>
                <w:rFonts w:eastAsia="Times New Roman"/>
                <w:b/>
                <w:bCs/>
                <w:color w:val="000000"/>
                <w:sz w:val="20"/>
                <w:szCs w:val="20"/>
              </w:rPr>
              <w:t>Retail banking:</w:t>
            </w:r>
          </w:p>
        </w:tc>
        <w:tc>
          <w:tcPr>
            <w:tcW w:w="0" w:type="auto"/>
            <w:gridSpan w:val="3"/>
            <w:shd w:val="clear" w:color="auto" w:fill="FFFFFF"/>
            <w:tcMar>
              <w:top w:w="0" w:type="dxa"/>
              <w:left w:w="20" w:type="dxa"/>
              <w:bottom w:w="0" w:type="dxa"/>
              <w:right w:w="20" w:type="dxa"/>
            </w:tcMar>
            <w:vAlign w:val="center"/>
            <w:hideMark/>
          </w:tcPr>
          <w:p w14:paraId="69EAA6B7"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0A9EB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786D7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0D0A1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47BD6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3953E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55D0E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A3C79CC" w14:textId="77777777" w:rsidR="00000000" w:rsidRDefault="00A173A8">
            <w:pPr>
              <w:spacing w:after="100"/>
              <w:rPr>
                <w:rFonts w:eastAsia="Times New Roman"/>
                <w:sz w:val="20"/>
                <w:szCs w:val="20"/>
              </w:rPr>
            </w:pPr>
          </w:p>
        </w:tc>
      </w:tr>
      <w:tr w:rsidR="00000000" w14:paraId="6E273A34" w14:textId="77777777">
        <w:trPr>
          <w:divId w:val="267391700"/>
        </w:trPr>
        <w:tc>
          <w:tcPr>
            <w:tcW w:w="0" w:type="auto"/>
            <w:gridSpan w:val="3"/>
            <w:shd w:val="clear" w:color="auto" w:fill="CCEEFF"/>
            <w:tcMar>
              <w:top w:w="30" w:type="dxa"/>
              <w:left w:w="245" w:type="dxa"/>
              <w:bottom w:w="30" w:type="dxa"/>
              <w:right w:w="20" w:type="dxa"/>
            </w:tcMar>
            <w:vAlign w:val="center"/>
            <w:hideMark/>
          </w:tcPr>
          <w:p w14:paraId="33106BC9" w14:textId="77777777" w:rsidR="00000000" w:rsidRDefault="00A173A8">
            <w:pPr>
              <w:spacing w:after="100"/>
              <w:rPr>
                <w:rFonts w:eastAsia="Times New Roman"/>
              </w:rPr>
            </w:pPr>
            <w:r>
              <w:rPr>
                <w:rFonts w:eastAsia="Times New Roman"/>
                <w:color w:val="000000"/>
                <w:sz w:val="20"/>
                <w:szCs w:val="20"/>
              </w:rPr>
              <w:t>New York</w:t>
            </w:r>
          </w:p>
        </w:tc>
        <w:tc>
          <w:tcPr>
            <w:tcW w:w="0" w:type="auto"/>
            <w:gridSpan w:val="3"/>
            <w:shd w:val="clear" w:color="auto" w:fill="CCEEFF"/>
            <w:tcMar>
              <w:top w:w="0" w:type="dxa"/>
              <w:left w:w="20" w:type="dxa"/>
              <w:bottom w:w="0" w:type="dxa"/>
              <w:right w:w="20" w:type="dxa"/>
            </w:tcMar>
            <w:vAlign w:val="center"/>
            <w:hideMark/>
          </w:tcPr>
          <w:p w14:paraId="1803C70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3F621B1" w14:textId="77777777" w:rsidR="00000000" w:rsidRDefault="00A173A8">
            <w:pPr>
              <w:spacing w:after="100"/>
              <w:jc w:val="right"/>
              <w:rPr>
                <w:rFonts w:eastAsia="Times New Roman"/>
              </w:rPr>
            </w:pPr>
            <w:r>
              <w:rPr>
                <w:rFonts w:eastAsia="Times New Roman"/>
                <w:b/>
                <w:bCs/>
                <w:color w:val="000000"/>
                <w:sz w:val="20"/>
                <w:szCs w:val="20"/>
              </w:rPr>
              <w:t>505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477633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25D54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73C35B" w14:textId="77777777" w:rsidR="00000000" w:rsidRDefault="00A173A8">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D1A6D9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B640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68DAB3" w14:textId="77777777" w:rsidR="00000000" w:rsidRDefault="00A173A8">
            <w:pPr>
              <w:spacing w:after="100"/>
              <w:jc w:val="right"/>
              <w:rPr>
                <w:rFonts w:eastAsia="Times New Roman"/>
              </w:rPr>
            </w:pPr>
            <w:r>
              <w:rPr>
                <w:rFonts w:eastAsia="Times New Roman"/>
                <w:color w:val="000000"/>
                <w:sz w:val="20"/>
                <w:szCs w:val="20"/>
              </w:rPr>
              <w:t>613 </w:t>
            </w:r>
          </w:p>
        </w:tc>
        <w:tc>
          <w:tcPr>
            <w:tcW w:w="0" w:type="auto"/>
            <w:shd w:val="clear" w:color="auto" w:fill="CCEEFF"/>
            <w:tcMar>
              <w:top w:w="30" w:type="dxa"/>
              <w:left w:w="0" w:type="dxa"/>
              <w:bottom w:w="30" w:type="dxa"/>
              <w:right w:w="20" w:type="dxa"/>
            </w:tcMar>
            <w:vAlign w:val="center"/>
            <w:hideMark/>
          </w:tcPr>
          <w:p w14:paraId="6F9AD86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6D877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F1DC94" w14:textId="77777777" w:rsidR="00000000" w:rsidRDefault="00A173A8">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center"/>
            <w:hideMark/>
          </w:tcPr>
          <w:p w14:paraId="7FA8147F" w14:textId="77777777" w:rsidR="00000000" w:rsidRDefault="00A173A8">
            <w:pPr>
              <w:spacing w:after="100"/>
              <w:jc w:val="right"/>
              <w:rPr>
                <w:rFonts w:eastAsia="Times New Roman"/>
              </w:rPr>
            </w:pPr>
          </w:p>
        </w:tc>
      </w:tr>
      <w:tr w:rsidR="00000000" w14:paraId="12CA2EFB" w14:textId="77777777">
        <w:trPr>
          <w:divId w:val="267391700"/>
        </w:trPr>
        <w:tc>
          <w:tcPr>
            <w:tcW w:w="0" w:type="auto"/>
            <w:gridSpan w:val="3"/>
            <w:shd w:val="clear" w:color="auto" w:fill="FFFFFF"/>
            <w:tcMar>
              <w:top w:w="30" w:type="dxa"/>
              <w:left w:w="245" w:type="dxa"/>
              <w:bottom w:w="30" w:type="dxa"/>
              <w:right w:w="20" w:type="dxa"/>
            </w:tcMar>
            <w:vAlign w:val="center"/>
            <w:hideMark/>
          </w:tcPr>
          <w:p w14:paraId="71F0D6A5" w14:textId="77777777" w:rsidR="00000000" w:rsidRDefault="00A173A8">
            <w:pPr>
              <w:spacing w:after="100"/>
              <w:rPr>
                <w:rFonts w:eastAsia="Times New Roman"/>
              </w:rPr>
            </w:pPr>
            <w:r>
              <w:rPr>
                <w:rFonts w:eastAsia="Times New Roman"/>
                <w:color w:val="000000"/>
                <w:sz w:val="20"/>
                <w:szCs w:val="20"/>
              </w:rPr>
              <w:t>Louisiana</w:t>
            </w:r>
          </w:p>
        </w:tc>
        <w:tc>
          <w:tcPr>
            <w:tcW w:w="0" w:type="auto"/>
            <w:gridSpan w:val="3"/>
            <w:shd w:val="clear" w:color="auto" w:fill="FFFFFF"/>
            <w:tcMar>
              <w:top w:w="0" w:type="dxa"/>
              <w:left w:w="20" w:type="dxa"/>
              <w:bottom w:w="0" w:type="dxa"/>
              <w:right w:w="20" w:type="dxa"/>
            </w:tcMar>
            <w:vAlign w:val="center"/>
            <w:hideMark/>
          </w:tcPr>
          <w:p w14:paraId="3F677E9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702A12" w14:textId="77777777" w:rsidR="00000000" w:rsidRDefault="00A173A8">
            <w:pPr>
              <w:spacing w:after="100"/>
              <w:jc w:val="right"/>
              <w:rPr>
                <w:rFonts w:eastAsia="Times New Roman"/>
              </w:rPr>
            </w:pPr>
            <w:r>
              <w:rPr>
                <w:rFonts w:eastAsia="Times New Roman"/>
                <w:b/>
                <w:bCs/>
                <w:color w:val="000000"/>
                <w:sz w:val="20"/>
                <w:szCs w:val="20"/>
              </w:rPr>
              <w:t>339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A0AA56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7D7A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98FD4E" w14:textId="77777777" w:rsidR="00000000" w:rsidRDefault="00A173A8">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53A78C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8ED5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F53A15" w14:textId="77777777" w:rsidR="00000000" w:rsidRDefault="00A173A8">
            <w:pPr>
              <w:spacing w:after="100"/>
              <w:jc w:val="right"/>
              <w:rPr>
                <w:rFonts w:eastAsia="Times New Roman"/>
              </w:rPr>
            </w:pPr>
            <w:r>
              <w:rPr>
                <w:rFonts w:eastAsia="Times New Roman"/>
                <w:color w:val="000000"/>
                <w:sz w:val="20"/>
                <w:szCs w:val="20"/>
              </w:rPr>
              <w:t>363 </w:t>
            </w:r>
          </w:p>
        </w:tc>
        <w:tc>
          <w:tcPr>
            <w:tcW w:w="0" w:type="auto"/>
            <w:shd w:val="clear" w:color="auto" w:fill="FFFFFF"/>
            <w:tcMar>
              <w:top w:w="30" w:type="dxa"/>
              <w:left w:w="0" w:type="dxa"/>
              <w:bottom w:w="30" w:type="dxa"/>
              <w:right w:w="20" w:type="dxa"/>
            </w:tcMar>
            <w:vAlign w:val="center"/>
            <w:hideMark/>
          </w:tcPr>
          <w:p w14:paraId="4BC2028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8F40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E58BDA" w14:textId="77777777" w:rsidR="00000000" w:rsidRDefault="00A173A8">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center"/>
            <w:hideMark/>
          </w:tcPr>
          <w:p w14:paraId="6432FABE" w14:textId="77777777" w:rsidR="00000000" w:rsidRDefault="00A173A8">
            <w:pPr>
              <w:spacing w:after="100"/>
              <w:jc w:val="right"/>
              <w:rPr>
                <w:rFonts w:eastAsia="Times New Roman"/>
              </w:rPr>
            </w:pPr>
          </w:p>
        </w:tc>
      </w:tr>
      <w:tr w:rsidR="00000000" w14:paraId="71EA945A" w14:textId="77777777">
        <w:trPr>
          <w:divId w:val="267391700"/>
        </w:trPr>
        <w:tc>
          <w:tcPr>
            <w:tcW w:w="0" w:type="auto"/>
            <w:gridSpan w:val="3"/>
            <w:shd w:val="clear" w:color="auto" w:fill="CCEEFF"/>
            <w:tcMar>
              <w:top w:w="30" w:type="dxa"/>
              <w:left w:w="245" w:type="dxa"/>
              <w:bottom w:w="30" w:type="dxa"/>
              <w:right w:w="20" w:type="dxa"/>
            </w:tcMar>
            <w:vAlign w:val="center"/>
            <w:hideMark/>
          </w:tcPr>
          <w:p w14:paraId="7179127F" w14:textId="77777777" w:rsidR="00000000" w:rsidRDefault="00A173A8">
            <w:pPr>
              <w:spacing w:after="100"/>
              <w:rPr>
                <w:rFonts w:eastAsia="Times New Roman"/>
              </w:rPr>
            </w:pPr>
            <w:r>
              <w:rPr>
                <w:rFonts w:eastAsia="Times New Roman"/>
                <w:color w:val="000000"/>
                <w:sz w:val="20"/>
                <w:szCs w:val="20"/>
              </w:rPr>
              <w:t>Texas</w:t>
            </w:r>
          </w:p>
        </w:tc>
        <w:tc>
          <w:tcPr>
            <w:tcW w:w="0" w:type="auto"/>
            <w:gridSpan w:val="3"/>
            <w:shd w:val="clear" w:color="auto" w:fill="CCEEFF"/>
            <w:tcMar>
              <w:top w:w="0" w:type="dxa"/>
              <w:left w:w="20" w:type="dxa"/>
              <w:bottom w:w="0" w:type="dxa"/>
              <w:right w:w="20" w:type="dxa"/>
            </w:tcMar>
            <w:vAlign w:val="center"/>
            <w:hideMark/>
          </w:tcPr>
          <w:p w14:paraId="4CC77EA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C51E74B" w14:textId="77777777" w:rsidR="00000000" w:rsidRDefault="00A173A8">
            <w:pPr>
              <w:spacing w:after="100"/>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D22E4F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5A9F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4686AD" w14:textId="77777777" w:rsidR="00000000" w:rsidRDefault="00A173A8">
            <w:pPr>
              <w:spacing w:after="100"/>
              <w:jc w:val="right"/>
              <w:rPr>
                <w:rFonts w:eastAsia="Times New Roman"/>
              </w:rPr>
            </w:pPr>
            <w:r>
              <w:rPr>
                <w:rFonts w:eastAsia="Times New Roman"/>
                <w:b/>
                <w:bCs/>
                <w:color w:val="000000"/>
                <w:sz w:val="20"/>
                <w:szCs w:val="20"/>
              </w:rPr>
              <w:t>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EA9972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89A1F"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9DD60C4" w14:textId="77777777" w:rsidR="00000000" w:rsidRDefault="00A173A8">
            <w:pPr>
              <w:spacing w:after="100"/>
              <w:jc w:val="right"/>
              <w:rPr>
                <w:rFonts w:eastAsia="Times New Roman"/>
              </w:rPr>
            </w:pPr>
            <w:r>
              <w:rPr>
                <w:rFonts w:eastAsia="Times New Roman"/>
                <w:color w:val="000000"/>
                <w:sz w:val="18"/>
                <w:szCs w:val="18"/>
              </w:rPr>
              <w:t>383</w:t>
            </w:r>
          </w:p>
        </w:tc>
        <w:tc>
          <w:tcPr>
            <w:tcW w:w="0" w:type="auto"/>
            <w:gridSpan w:val="3"/>
            <w:shd w:val="clear" w:color="auto" w:fill="CCEEFF"/>
            <w:tcMar>
              <w:top w:w="0" w:type="dxa"/>
              <w:left w:w="20" w:type="dxa"/>
              <w:bottom w:w="0" w:type="dxa"/>
              <w:right w:w="20" w:type="dxa"/>
            </w:tcMar>
            <w:vAlign w:val="center"/>
            <w:hideMark/>
          </w:tcPr>
          <w:p w14:paraId="7CD6204F"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A26020" w14:textId="77777777" w:rsidR="00000000" w:rsidRDefault="00A173A8">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14:paraId="194E74FC" w14:textId="77777777" w:rsidR="00000000" w:rsidRDefault="00A173A8">
            <w:pPr>
              <w:spacing w:after="100"/>
              <w:jc w:val="right"/>
              <w:rPr>
                <w:rFonts w:eastAsia="Times New Roman"/>
              </w:rPr>
            </w:pPr>
          </w:p>
        </w:tc>
      </w:tr>
      <w:tr w:rsidR="00000000" w14:paraId="437EE127" w14:textId="77777777">
        <w:trPr>
          <w:divId w:val="267391700"/>
        </w:trPr>
        <w:tc>
          <w:tcPr>
            <w:tcW w:w="0" w:type="auto"/>
            <w:gridSpan w:val="3"/>
            <w:shd w:val="clear" w:color="auto" w:fill="FFFFFF"/>
            <w:tcMar>
              <w:top w:w="30" w:type="dxa"/>
              <w:left w:w="245" w:type="dxa"/>
              <w:bottom w:w="30" w:type="dxa"/>
              <w:right w:w="20" w:type="dxa"/>
            </w:tcMar>
            <w:vAlign w:val="center"/>
            <w:hideMark/>
          </w:tcPr>
          <w:p w14:paraId="4F4A325C" w14:textId="77777777" w:rsidR="00000000" w:rsidRDefault="00A173A8">
            <w:pPr>
              <w:spacing w:after="100"/>
              <w:rPr>
                <w:rFonts w:eastAsia="Times New Roman"/>
              </w:rPr>
            </w:pPr>
            <w:r>
              <w:rPr>
                <w:rFonts w:eastAsia="Times New Roman"/>
                <w:color w:val="000000"/>
                <w:sz w:val="20"/>
                <w:szCs w:val="20"/>
              </w:rPr>
              <w:t>New Jersey</w:t>
            </w:r>
          </w:p>
        </w:tc>
        <w:tc>
          <w:tcPr>
            <w:tcW w:w="0" w:type="auto"/>
            <w:gridSpan w:val="3"/>
            <w:shd w:val="clear" w:color="auto" w:fill="FFFFFF"/>
            <w:tcMar>
              <w:top w:w="0" w:type="dxa"/>
              <w:left w:w="20" w:type="dxa"/>
              <w:bottom w:w="0" w:type="dxa"/>
              <w:right w:w="20" w:type="dxa"/>
            </w:tcMar>
            <w:vAlign w:val="center"/>
            <w:hideMark/>
          </w:tcPr>
          <w:p w14:paraId="6C7AE26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14BF08B" w14:textId="77777777" w:rsidR="00000000" w:rsidRDefault="00A173A8">
            <w:pPr>
              <w:spacing w:after="100"/>
              <w:jc w:val="right"/>
              <w:rPr>
                <w:rFonts w:eastAsia="Times New Roman"/>
              </w:rPr>
            </w:pPr>
            <w:r>
              <w:rPr>
                <w:rFonts w:eastAsia="Times New Roman"/>
                <w:b/>
                <w:bCs/>
                <w:color w:val="000000"/>
                <w:sz w:val="20"/>
                <w:szCs w:val="20"/>
              </w:rPr>
              <w:t>133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957D2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8EF1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391573" w14:textId="77777777" w:rsidR="00000000" w:rsidRDefault="00A173A8">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0F8E3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22F5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1F2D38" w14:textId="77777777" w:rsidR="00000000" w:rsidRDefault="00A173A8">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center"/>
            <w:hideMark/>
          </w:tcPr>
          <w:p w14:paraId="141686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34947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30200C" w14:textId="77777777" w:rsidR="00000000" w:rsidRDefault="00A173A8">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center"/>
            <w:hideMark/>
          </w:tcPr>
          <w:p w14:paraId="544A5A81" w14:textId="77777777" w:rsidR="00000000" w:rsidRDefault="00A173A8">
            <w:pPr>
              <w:spacing w:after="100"/>
              <w:jc w:val="right"/>
              <w:rPr>
                <w:rFonts w:eastAsia="Times New Roman"/>
              </w:rPr>
            </w:pPr>
          </w:p>
        </w:tc>
      </w:tr>
      <w:tr w:rsidR="00000000" w14:paraId="0DF2C8DC" w14:textId="77777777">
        <w:trPr>
          <w:divId w:val="267391700"/>
        </w:trPr>
        <w:tc>
          <w:tcPr>
            <w:tcW w:w="0" w:type="auto"/>
            <w:gridSpan w:val="3"/>
            <w:shd w:val="clear" w:color="auto" w:fill="CCEEFF"/>
            <w:tcMar>
              <w:top w:w="30" w:type="dxa"/>
              <w:left w:w="245" w:type="dxa"/>
              <w:bottom w:w="30" w:type="dxa"/>
              <w:right w:w="20" w:type="dxa"/>
            </w:tcMar>
            <w:vAlign w:val="center"/>
            <w:hideMark/>
          </w:tcPr>
          <w:p w14:paraId="75906A49" w14:textId="77777777" w:rsidR="00000000" w:rsidRDefault="00A173A8">
            <w:pPr>
              <w:spacing w:after="100"/>
              <w:rPr>
                <w:rFonts w:eastAsia="Times New Roman"/>
              </w:rPr>
            </w:pPr>
            <w:r>
              <w:rPr>
                <w:rFonts w:eastAsia="Times New Roman"/>
                <w:color w:val="000000"/>
                <w:sz w:val="20"/>
                <w:szCs w:val="20"/>
              </w:rPr>
              <w:t>Maryland</w:t>
            </w:r>
          </w:p>
        </w:tc>
        <w:tc>
          <w:tcPr>
            <w:tcW w:w="0" w:type="auto"/>
            <w:gridSpan w:val="3"/>
            <w:shd w:val="clear" w:color="auto" w:fill="CCEEFF"/>
            <w:tcMar>
              <w:top w:w="0" w:type="dxa"/>
              <w:left w:w="20" w:type="dxa"/>
              <w:bottom w:w="0" w:type="dxa"/>
              <w:right w:w="20" w:type="dxa"/>
            </w:tcMar>
            <w:vAlign w:val="center"/>
            <w:hideMark/>
          </w:tcPr>
          <w:p w14:paraId="404A598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F5A2067" w14:textId="77777777" w:rsidR="00000000" w:rsidRDefault="00A173A8">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F9A19B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A272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1BCAB1" w14:textId="77777777" w:rsidR="00000000" w:rsidRDefault="00A173A8">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3BE0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E3BC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B9062F" w14:textId="77777777" w:rsidR="00000000" w:rsidRDefault="00A173A8">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center"/>
            <w:hideMark/>
          </w:tcPr>
          <w:p w14:paraId="472F03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F879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211F59" w14:textId="77777777" w:rsidR="00000000" w:rsidRDefault="00A173A8">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center"/>
            <w:hideMark/>
          </w:tcPr>
          <w:p w14:paraId="61BC4011" w14:textId="77777777" w:rsidR="00000000" w:rsidRDefault="00A173A8">
            <w:pPr>
              <w:spacing w:after="100"/>
              <w:jc w:val="right"/>
              <w:rPr>
                <w:rFonts w:eastAsia="Times New Roman"/>
              </w:rPr>
            </w:pPr>
          </w:p>
        </w:tc>
      </w:tr>
      <w:tr w:rsidR="00000000" w14:paraId="1B10A18E" w14:textId="77777777">
        <w:trPr>
          <w:divId w:val="267391700"/>
        </w:trPr>
        <w:tc>
          <w:tcPr>
            <w:tcW w:w="0" w:type="auto"/>
            <w:gridSpan w:val="3"/>
            <w:shd w:val="clear" w:color="auto" w:fill="FFFFFF"/>
            <w:tcMar>
              <w:top w:w="30" w:type="dxa"/>
              <w:left w:w="245" w:type="dxa"/>
              <w:bottom w:w="30" w:type="dxa"/>
              <w:right w:w="20" w:type="dxa"/>
            </w:tcMar>
            <w:vAlign w:val="center"/>
            <w:hideMark/>
          </w:tcPr>
          <w:p w14:paraId="36105CFD" w14:textId="77777777" w:rsidR="00000000" w:rsidRDefault="00A173A8">
            <w:pPr>
              <w:spacing w:after="100"/>
              <w:rPr>
                <w:rFonts w:eastAsia="Times New Roman"/>
              </w:rPr>
            </w:pPr>
            <w:r>
              <w:rPr>
                <w:rFonts w:eastAsia="Times New Roman"/>
                <w:color w:val="000000"/>
                <w:sz w:val="20"/>
                <w:szCs w:val="20"/>
              </w:rPr>
              <w:t>Virginia</w:t>
            </w:r>
          </w:p>
        </w:tc>
        <w:tc>
          <w:tcPr>
            <w:tcW w:w="0" w:type="auto"/>
            <w:gridSpan w:val="3"/>
            <w:shd w:val="clear" w:color="auto" w:fill="FFFFFF"/>
            <w:tcMar>
              <w:top w:w="0" w:type="dxa"/>
              <w:left w:w="20" w:type="dxa"/>
              <w:bottom w:w="0" w:type="dxa"/>
              <w:right w:w="20" w:type="dxa"/>
            </w:tcMar>
            <w:vAlign w:val="center"/>
            <w:hideMark/>
          </w:tcPr>
          <w:p w14:paraId="2CCC312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08747F7" w14:textId="77777777" w:rsidR="00000000" w:rsidRDefault="00A173A8">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0E0A68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21E3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2D8676" w14:textId="77777777" w:rsidR="00000000" w:rsidRDefault="00A173A8">
            <w:pPr>
              <w:spacing w:after="100"/>
              <w:jc w:val="right"/>
              <w:rPr>
                <w:rFonts w:eastAsia="Times New Roman"/>
              </w:rPr>
            </w:pPr>
            <w:r>
              <w:rPr>
                <w:rFonts w:eastAsia="Times New Roman"/>
                <w:b/>
                <w:bCs/>
                <w:color w:val="000000"/>
                <w:sz w:val="20"/>
                <w:szCs w:val="20"/>
              </w:rPr>
              <w:t>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D8C20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9F4E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962DB2" w14:textId="77777777" w:rsidR="00000000" w:rsidRDefault="00A173A8">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14:paraId="0B63DA5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BBD27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85BBB5" w14:textId="77777777" w:rsidR="00000000" w:rsidRDefault="00A173A8">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center"/>
            <w:hideMark/>
          </w:tcPr>
          <w:p w14:paraId="757EC320" w14:textId="77777777" w:rsidR="00000000" w:rsidRDefault="00A173A8">
            <w:pPr>
              <w:spacing w:after="100"/>
              <w:jc w:val="right"/>
              <w:rPr>
                <w:rFonts w:eastAsia="Times New Roman"/>
              </w:rPr>
            </w:pPr>
          </w:p>
        </w:tc>
      </w:tr>
      <w:tr w:rsidR="00000000" w14:paraId="385DCC70" w14:textId="77777777">
        <w:trPr>
          <w:divId w:val="267391700"/>
        </w:trPr>
        <w:tc>
          <w:tcPr>
            <w:tcW w:w="0" w:type="auto"/>
            <w:gridSpan w:val="3"/>
            <w:shd w:val="clear" w:color="auto" w:fill="CCEEFF"/>
            <w:tcMar>
              <w:top w:w="30" w:type="dxa"/>
              <w:left w:w="245" w:type="dxa"/>
              <w:bottom w:w="30" w:type="dxa"/>
              <w:right w:w="20" w:type="dxa"/>
            </w:tcMar>
            <w:vAlign w:val="center"/>
            <w:hideMark/>
          </w:tcPr>
          <w:p w14:paraId="68129309" w14:textId="77777777" w:rsidR="00000000" w:rsidRDefault="00A173A8">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14:paraId="2B9FA0E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ED8A14" w14:textId="77777777" w:rsidR="00000000" w:rsidRDefault="00A173A8">
            <w:pPr>
              <w:spacing w:after="100"/>
              <w:jc w:val="right"/>
              <w:rPr>
                <w:rFonts w:eastAsia="Times New Roman"/>
              </w:rPr>
            </w:pPr>
            <w:r>
              <w:rPr>
                <w:rFonts w:eastAsia="Times New Roman"/>
                <w:b/>
                <w:bCs/>
                <w:color w:val="000000"/>
                <w:sz w:val="20"/>
                <w:szCs w:val="20"/>
              </w:rPr>
              <w:t>159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4D6DC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5A09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4EF223" w14:textId="77777777" w:rsidR="00000000" w:rsidRDefault="00A173A8">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CABF96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C230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28EDB4" w14:textId="77777777" w:rsidR="00000000" w:rsidRDefault="00A173A8">
            <w:pPr>
              <w:spacing w:after="100"/>
              <w:jc w:val="right"/>
              <w:rPr>
                <w:rFonts w:eastAsia="Times New Roman"/>
              </w:rPr>
            </w:pPr>
            <w:r>
              <w:rPr>
                <w:rFonts w:eastAsia="Times New Roman"/>
                <w:color w:val="000000"/>
                <w:sz w:val="20"/>
                <w:szCs w:val="20"/>
              </w:rPr>
              <w:t>148 </w:t>
            </w:r>
          </w:p>
        </w:tc>
        <w:tc>
          <w:tcPr>
            <w:tcW w:w="0" w:type="auto"/>
            <w:shd w:val="clear" w:color="auto" w:fill="CCEEFF"/>
            <w:tcMar>
              <w:top w:w="30" w:type="dxa"/>
              <w:left w:w="0" w:type="dxa"/>
              <w:bottom w:w="30" w:type="dxa"/>
              <w:right w:w="20" w:type="dxa"/>
            </w:tcMar>
            <w:vAlign w:val="center"/>
            <w:hideMark/>
          </w:tcPr>
          <w:p w14:paraId="2833FFA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2E39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42B7E1" w14:textId="77777777" w:rsidR="00000000" w:rsidRDefault="00A173A8">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center"/>
            <w:hideMark/>
          </w:tcPr>
          <w:p w14:paraId="7E951544" w14:textId="77777777" w:rsidR="00000000" w:rsidRDefault="00A173A8">
            <w:pPr>
              <w:spacing w:after="100"/>
              <w:jc w:val="right"/>
              <w:rPr>
                <w:rFonts w:eastAsia="Times New Roman"/>
              </w:rPr>
            </w:pPr>
          </w:p>
        </w:tc>
      </w:tr>
      <w:tr w:rsidR="00000000" w14:paraId="79EE9564" w14:textId="77777777">
        <w:trPr>
          <w:divId w:val="267391700"/>
        </w:trPr>
        <w:tc>
          <w:tcPr>
            <w:tcW w:w="0" w:type="auto"/>
            <w:gridSpan w:val="3"/>
            <w:shd w:val="clear" w:color="auto" w:fill="FFFFFF"/>
            <w:tcMar>
              <w:top w:w="30" w:type="dxa"/>
              <w:left w:w="20" w:type="dxa"/>
              <w:bottom w:w="30" w:type="dxa"/>
              <w:right w:w="20" w:type="dxa"/>
            </w:tcMar>
            <w:vAlign w:val="center"/>
            <w:hideMark/>
          </w:tcPr>
          <w:p w14:paraId="0178AC8C" w14:textId="77777777" w:rsidR="00000000" w:rsidRDefault="00A173A8">
            <w:pPr>
              <w:spacing w:after="100"/>
              <w:rPr>
                <w:rFonts w:eastAsia="Times New Roman"/>
              </w:rPr>
            </w:pPr>
            <w:r>
              <w:rPr>
                <w:rFonts w:eastAsia="Times New Roman"/>
                <w:color w:val="000000"/>
                <w:sz w:val="20"/>
                <w:szCs w:val="20"/>
              </w:rPr>
              <w:t>Total retail banking</w:t>
            </w:r>
          </w:p>
        </w:tc>
        <w:tc>
          <w:tcPr>
            <w:tcW w:w="0" w:type="auto"/>
            <w:gridSpan w:val="3"/>
            <w:shd w:val="clear" w:color="auto" w:fill="FFFFFF"/>
            <w:tcMar>
              <w:top w:w="0" w:type="dxa"/>
              <w:left w:w="20" w:type="dxa"/>
              <w:bottom w:w="0" w:type="dxa"/>
              <w:right w:w="20" w:type="dxa"/>
            </w:tcMar>
            <w:vAlign w:val="center"/>
            <w:hideMark/>
          </w:tcPr>
          <w:p w14:paraId="0D8031C2"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A018A1E" w14:textId="77777777" w:rsidR="00000000" w:rsidRDefault="00A173A8">
            <w:pPr>
              <w:spacing w:after="100"/>
              <w:jc w:val="right"/>
              <w:rPr>
                <w:rFonts w:eastAsia="Times New Roman"/>
              </w:rPr>
            </w:pPr>
            <w:r>
              <w:rPr>
                <w:rFonts w:eastAsia="Times New Roman"/>
                <w:b/>
                <w:bCs/>
                <w:color w:val="000000"/>
                <w:sz w:val="20"/>
                <w:szCs w:val="20"/>
              </w:rPr>
              <w:t>1,605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1C47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F7F8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C2B40C4" w14:textId="77777777" w:rsidR="00000000" w:rsidRDefault="00A173A8">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26095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EFBD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720F00E" w14:textId="77777777" w:rsidR="00000000" w:rsidRDefault="00A173A8">
            <w:pPr>
              <w:spacing w:after="100"/>
              <w:jc w:val="right"/>
              <w:rPr>
                <w:rFonts w:eastAsia="Times New Roman"/>
              </w:rPr>
            </w:pPr>
            <w:r>
              <w:rPr>
                <w:rFonts w:eastAsia="Times New Roman"/>
                <w:color w:val="000000"/>
                <w:sz w:val="20"/>
                <w:szCs w:val="20"/>
              </w:rPr>
              <w:t>1,867 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A607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4DF5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A9BA30" w14:textId="77777777" w:rsidR="00000000" w:rsidRDefault="00A173A8">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558C79C" w14:textId="77777777" w:rsidR="00000000" w:rsidRDefault="00A173A8">
            <w:pPr>
              <w:spacing w:after="100"/>
              <w:jc w:val="right"/>
              <w:rPr>
                <w:rFonts w:eastAsia="Times New Roman"/>
              </w:rPr>
            </w:pPr>
          </w:p>
        </w:tc>
      </w:tr>
      <w:tr w:rsidR="00000000" w14:paraId="1AC52DB7" w14:textId="77777777">
        <w:trPr>
          <w:divId w:val="267391700"/>
        </w:trPr>
        <w:tc>
          <w:tcPr>
            <w:tcW w:w="0" w:type="auto"/>
            <w:gridSpan w:val="3"/>
            <w:shd w:val="clear" w:color="auto" w:fill="CCEEFF"/>
            <w:tcMar>
              <w:top w:w="30" w:type="dxa"/>
              <w:left w:w="20" w:type="dxa"/>
              <w:bottom w:w="30" w:type="dxa"/>
              <w:right w:w="20" w:type="dxa"/>
            </w:tcMar>
            <w:vAlign w:val="center"/>
            <w:hideMark/>
          </w:tcPr>
          <w:p w14:paraId="50E628D8" w14:textId="77777777" w:rsidR="00000000" w:rsidRDefault="00A173A8">
            <w:pPr>
              <w:spacing w:after="100"/>
              <w:rPr>
                <w:rFonts w:eastAsia="Times New Roman"/>
              </w:rPr>
            </w:pPr>
            <w:r>
              <w:rPr>
                <w:rFonts w:eastAsia="Times New Roman"/>
                <w:color w:val="000000"/>
                <w:sz w:val="20"/>
                <w:szCs w:val="20"/>
              </w:rPr>
              <w:t>Total consumer banking</w:t>
            </w:r>
          </w:p>
        </w:tc>
        <w:tc>
          <w:tcPr>
            <w:tcW w:w="0" w:type="auto"/>
            <w:gridSpan w:val="3"/>
            <w:shd w:val="clear" w:color="auto" w:fill="CCEEFF"/>
            <w:tcMar>
              <w:top w:w="0" w:type="dxa"/>
              <w:left w:w="20" w:type="dxa"/>
              <w:bottom w:w="0" w:type="dxa"/>
              <w:right w:w="20" w:type="dxa"/>
            </w:tcMar>
            <w:vAlign w:val="center"/>
            <w:hideMark/>
          </w:tcPr>
          <w:p w14:paraId="28B9C8B4"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A5559E2"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76631A8" w14:textId="77777777" w:rsidR="00000000" w:rsidRDefault="00A173A8">
            <w:pPr>
              <w:spacing w:after="100"/>
              <w:jc w:val="right"/>
              <w:rPr>
                <w:rFonts w:eastAsia="Times New Roman"/>
              </w:rPr>
            </w:pPr>
            <w:r>
              <w:rPr>
                <w:rFonts w:eastAsia="Times New Roman"/>
                <w:b/>
                <w:bCs/>
                <w:color w:val="000000"/>
                <w:sz w:val="20"/>
                <w:szCs w:val="20"/>
              </w:rPr>
              <w:t>81,531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68BCBE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B3165"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A42B18D" w14:textId="77777777" w:rsidR="00000000" w:rsidRDefault="00A173A8">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BA26176"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F81D3A5" w14:textId="77777777" w:rsidR="00000000" w:rsidRDefault="00A173A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2A12A60"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BE358A7" w14:textId="77777777" w:rsidR="00000000" w:rsidRDefault="00A173A8">
            <w:pPr>
              <w:spacing w:after="100"/>
              <w:jc w:val="right"/>
              <w:rPr>
                <w:rFonts w:eastAsia="Times New Roman"/>
              </w:rPr>
            </w:pPr>
            <w:r>
              <w:rPr>
                <w:rFonts w:eastAsia="Times New Roman"/>
                <w:color w:val="000000"/>
                <w:sz w:val="20"/>
                <w:szCs w:val="20"/>
              </w:rPr>
              <w:t>77,646 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BCCC5D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F0519"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603863F" w14:textId="77777777" w:rsidR="00000000" w:rsidRDefault="00A173A8">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041E399" w14:textId="77777777" w:rsidR="00000000" w:rsidRDefault="00A173A8">
            <w:pPr>
              <w:spacing w:after="100"/>
              <w:jc w:val="right"/>
              <w:rPr>
                <w:rFonts w:eastAsia="Times New Roman"/>
              </w:rPr>
            </w:pPr>
            <w:r>
              <w:rPr>
                <w:rFonts w:eastAsia="Times New Roman"/>
                <w:color w:val="000000"/>
                <w:sz w:val="20"/>
                <w:szCs w:val="20"/>
              </w:rPr>
              <w:t>%</w:t>
            </w:r>
          </w:p>
        </w:tc>
      </w:tr>
    </w:tbl>
    <w:p w14:paraId="197783C0" w14:textId="77777777" w:rsidR="00000000" w:rsidRDefault="00A173A8">
      <w:pPr>
        <w:divId w:val="1724793411"/>
        <w:rPr>
          <w:rFonts w:eastAsia="Times New Roman"/>
        </w:rPr>
      </w:pPr>
      <w:r>
        <w:rPr>
          <w:rFonts w:eastAsia="Times New Roman"/>
          <w:color w:val="000000"/>
          <w:sz w:val="20"/>
          <w:szCs w:val="20"/>
        </w:rPr>
        <w:t>We originate commercial and multifamily real estate loans in most regions of the Uni</w:t>
      </w:r>
      <w:r>
        <w:rPr>
          <w:rFonts w:eastAsia="Times New Roman"/>
          <w:color w:val="000000"/>
          <w:sz w:val="20"/>
          <w:szCs w:val="20"/>
        </w:rPr>
        <w:t>ted States. The table below presents the geographic profile of our commercial real estate portfolio as of June 30, 2022 and December 31, 2021.</w:t>
      </w:r>
    </w:p>
    <w:p w14:paraId="19060E0E" w14:textId="77777777" w:rsidR="00000000" w:rsidRDefault="00A173A8">
      <w:pPr>
        <w:jc w:val="both"/>
        <w:divId w:val="731005700"/>
        <w:rPr>
          <w:rFonts w:eastAsia="Times New Roman"/>
        </w:rPr>
      </w:pPr>
      <w:r>
        <w:rPr>
          <w:rFonts w:eastAsia="Times New Roman"/>
          <w:b/>
          <w:bCs/>
          <w:color w:val="000000"/>
          <w:sz w:val="18"/>
          <w:szCs w:val="18"/>
        </w:rPr>
        <w:t>Table 19: Commercial Real Estate Portfolio by Region</w:t>
      </w:r>
    </w:p>
    <w:tbl>
      <w:tblPr>
        <w:tblW w:w="5000" w:type="pct"/>
        <w:tblCellMar>
          <w:top w:w="15" w:type="dxa"/>
          <w:left w:w="15" w:type="dxa"/>
          <w:bottom w:w="15" w:type="dxa"/>
          <w:right w:w="15" w:type="dxa"/>
        </w:tblCellMar>
        <w:tblLook w:val="04A0" w:firstRow="1" w:lastRow="0" w:firstColumn="1" w:lastColumn="0" w:noHBand="0" w:noVBand="1"/>
      </w:tblPr>
      <w:tblGrid>
        <w:gridCol w:w="44"/>
        <w:gridCol w:w="4593"/>
        <w:gridCol w:w="36"/>
        <w:gridCol w:w="36"/>
        <w:gridCol w:w="36"/>
        <w:gridCol w:w="36"/>
        <w:gridCol w:w="120"/>
        <w:gridCol w:w="601"/>
        <w:gridCol w:w="36"/>
        <w:gridCol w:w="36"/>
        <w:gridCol w:w="36"/>
        <w:gridCol w:w="36"/>
        <w:gridCol w:w="53"/>
        <w:gridCol w:w="561"/>
        <w:gridCol w:w="220"/>
        <w:gridCol w:w="36"/>
        <w:gridCol w:w="36"/>
        <w:gridCol w:w="36"/>
        <w:gridCol w:w="120"/>
        <w:gridCol w:w="664"/>
        <w:gridCol w:w="36"/>
        <w:gridCol w:w="36"/>
        <w:gridCol w:w="36"/>
        <w:gridCol w:w="36"/>
        <w:gridCol w:w="54"/>
        <w:gridCol w:w="549"/>
        <w:gridCol w:w="187"/>
      </w:tblGrid>
      <w:tr w:rsidR="00000000" w14:paraId="209F78D7" w14:textId="77777777">
        <w:trPr>
          <w:divId w:val="1200240137"/>
        </w:trPr>
        <w:tc>
          <w:tcPr>
            <w:tcW w:w="50" w:type="pct"/>
            <w:vAlign w:val="center"/>
            <w:hideMark/>
          </w:tcPr>
          <w:p w14:paraId="1855F67F" w14:textId="77777777" w:rsidR="00000000" w:rsidRDefault="00A173A8">
            <w:pPr>
              <w:jc w:val="both"/>
              <w:rPr>
                <w:rFonts w:eastAsia="Times New Roman"/>
              </w:rPr>
            </w:pPr>
          </w:p>
        </w:tc>
        <w:tc>
          <w:tcPr>
            <w:tcW w:w="2825" w:type="pct"/>
            <w:vAlign w:val="center"/>
            <w:hideMark/>
          </w:tcPr>
          <w:p w14:paraId="34DE1D96" w14:textId="77777777" w:rsidR="00000000" w:rsidRDefault="00A173A8">
            <w:pPr>
              <w:spacing w:after="100"/>
              <w:rPr>
                <w:rFonts w:eastAsia="Times New Roman"/>
                <w:sz w:val="20"/>
                <w:szCs w:val="20"/>
              </w:rPr>
            </w:pPr>
          </w:p>
        </w:tc>
        <w:tc>
          <w:tcPr>
            <w:tcW w:w="5" w:type="pct"/>
            <w:vAlign w:val="center"/>
            <w:hideMark/>
          </w:tcPr>
          <w:p w14:paraId="4821C6DA" w14:textId="77777777" w:rsidR="00000000" w:rsidRDefault="00A173A8">
            <w:pPr>
              <w:spacing w:after="100"/>
              <w:rPr>
                <w:rFonts w:eastAsia="Times New Roman"/>
                <w:sz w:val="20"/>
                <w:szCs w:val="20"/>
              </w:rPr>
            </w:pPr>
          </w:p>
        </w:tc>
        <w:tc>
          <w:tcPr>
            <w:tcW w:w="5" w:type="pct"/>
            <w:vAlign w:val="center"/>
            <w:hideMark/>
          </w:tcPr>
          <w:p w14:paraId="52D67E59" w14:textId="77777777" w:rsidR="00000000" w:rsidRDefault="00A173A8">
            <w:pPr>
              <w:spacing w:after="100"/>
              <w:rPr>
                <w:rFonts w:eastAsia="Times New Roman"/>
                <w:sz w:val="20"/>
                <w:szCs w:val="20"/>
              </w:rPr>
            </w:pPr>
          </w:p>
        </w:tc>
        <w:tc>
          <w:tcPr>
            <w:tcW w:w="26" w:type="pct"/>
            <w:vAlign w:val="center"/>
            <w:hideMark/>
          </w:tcPr>
          <w:p w14:paraId="09B9FE6B" w14:textId="77777777" w:rsidR="00000000" w:rsidRDefault="00A173A8">
            <w:pPr>
              <w:spacing w:after="100"/>
              <w:rPr>
                <w:rFonts w:eastAsia="Times New Roman"/>
                <w:sz w:val="20"/>
                <w:szCs w:val="20"/>
              </w:rPr>
            </w:pPr>
          </w:p>
        </w:tc>
        <w:tc>
          <w:tcPr>
            <w:tcW w:w="5" w:type="pct"/>
            <w:vAlign w:val="center"/>
            <w:hideMark/>
          </w:tcPr>
          <w:p w14:paraId="3F61F96E" w14:textId="77777777" w:rsidR="00000000" w:rsidRDefault="00A173A8">
            <w:pPr>
              <w:spacing w:after="100"/>
              <w:rPr>
                <w:rFonts w:eastAsia="Times New Roman"/>
                <w:sz w:val="20"/>
                <w:szCs w:val="20"/>
              </w:rPr>
            </w:pPr>
          </w:p>
        </w:tc>
        <w:tc>
          <w:tcPr>
            <w:tcW w:w="50" w:type="pct"/>
            <w:vAlign w:val="center"/>
            <w:hideMark/>
          </w:tcPr>
          <w:p w14:paraId="2CAAD165" w14:textId="77777777" w:rsidR="00000000" w:rsidRDefault="00A173A8">
            <w:pPr>
              <w:spacing w:after="100"/>
              <w:rPr>
                <w:rFonts w:eastAsia="Times New Roman"/>
                <w:sz w:val="20"/>
                <w:szCs w:val="20"/>
              </w:rPr>
            </w:pPr>
          </w:p>
        </w:tc>
        <w:tc>
          <w:tcPr>
            <w:tcW w:w="442" w:type="pct"/>
            <w:vAlign w:val="center"/>
            <w:hideMark/>
          </w:tcPr>
          <w:p w14:paraId="302FE0C4" w14:textId="77777777" w:rsidR="00000000" w:rsidRDefault="00A173A8">
            <w:pPr>
              <w:spacing w:after="100"/>
              <w:rPr>
                <w:rFonts w:eastAsia="Times New Roman"/>
                <w:sz w:val="20"/>
                <w:szCs w:val="20"/>
              </w:rPr>
            </w:pPr>
          </w:p>
        </w:tc>
        <w:tc>
          <w:tcPr>
            <w:tcW w:w="5" w:type="pct"/>
            <w:vAlign w:val="center"/>
            <w:hideMark/>
          </w:tcPr>
          <w:p w14:paraId="37CE8736" w14:textId="77777777" w:rsidR="00000000" w:rsidRDefault="00A173A8">
            <w:pPr>
              <w:spacing w:after="100"/>
              <w:rPr>
                <w:rFonts w:eastAsia="Times New Roman"/>
                <w:sz w:val="20"/>
                <w:szCs w:val="20"/>
              </w:rPr>
            </w:pPr>
          </w:p>
        </w:tc>
        <w:tc>
          <w:tcPr>
            <w:tcW w:w="5" w:type="pct"/>
            <w:vAlign w:val="center"/>
            <w:hideMark/>
          </w:tcPr>
          <w:p w14:paraId="0925EB73" w14:textId="77777777" w:rsidR="00000000" w:rsidRDefault="00A173A8">
            <w:pPr>
              <w:spacing w:after="100"/>
              <w:rPr>
                <w:rFonts w:eastAsia="Times New Roman"/>
                <w:sz w:val="20"/>
                <w:szCs w:val="20"/>
              </w:rPr>
            </w:pPr>
          </w:p>
        </w:tc>
        <w:tc>
          <w:tcPr>
            <w:tcW w:w="26" w:type="pct"/>
            <w:vAlign w:val="center"/>
            <w:hideMark/>
          </w:tcPr>
          <w:p w14:paraId="0EC66389" w14:textId="77777777" w:rsidR="00000000" w:rsidRDefault="00A173A8">
            <w:pPr>
              <w:spacing w:after="100"/>
              <w:rPr>
                <w:rFonts w:eastAsia="Times New Roman"/>
                <w:sz w:val="20"/>
                <w:szCs w:val="20"/>
              </w:rPr>
            </w:pPr>
          </w:p>
        </w:tc>
        <w:tc>
          <w:tcPr>
            <w:tcW w:w="5" w:type="pct"/>
            <w:vAlign w:val="center"/>
            <w:hideMark/>
          </w:tcPr>
          <w:p w14:paraId="6BE5408E" w14:textId="77777777" w:rsidR="00000000" w:rsidRDefault="00A173A8">
            <w:pPr>
              <w:spacing w:after="100"/>
              <w:rPr>
                <w:rFonts w:eastAsia="Times New Roman"/>
                <w:sz w:val="20"/>
                <w:szCs w:val="20"/>
              </w:rPr>
            </w:pPr>
          </w:p>
        </w:tc>
        <w:tc>
          <w:tcPr>
            <w:tcW w:w="50" w:type="pct"/>
            <w:vAlign w:val="center"/>
            <w:hideMark/>
          </w:tcPr>
          <w:p w14:paraId="54EA73DB" w14:textId="77777777" w:rsidR="00000000" w:rsidRDefault="00A173A8">
            <w:pPr>
              <w:spacing w:after="100"/>
              <w:rPr>
                <w:rFonts w:eastAsia="Times New Roman"/>
                <w:sz w:val="20"/>
                <w:szCs w:val="20"/>
              </w:rPr>
            </w:pPr>
          </w:p>
        </w:tc>
        <w:tc>
          <w:tcPr>
            <w:tcW w:w="442" w:type="pct"/>
            <w:vAlign w:val="center"/>
            <w:hideMark/>
          </w:tcPr>
          <w:p w14:paraId="416B8488" w14:textId="77777777" w:rsidR="00000000" w:rsidRDefault="00A173A8">
            <w:pPr>
              <w:spacing w:after="100"/>
              <w:rPr>
                <w:rFonts w:eastAsia="Times New Roman"/>
                <w:sz w:val="20"/>
                <w:szCs w:val="20"/>
              </w:rPr>
            </w:pPr>
          </w:p>
        </w:tc>
        <w:tc>
          <w:tcPr>
            <w:tcW w:w="5" w:type="pct"/>
            <w:vAlign w:val="center"/>
            <w:hideMark/>
          </w:tcPr>
          <w:p w14:paraId="54C8256E" w14:textId="77777777" w:rsidR="00000000" w:rsidRDefault="00A173A8">
            <w:pPr>
              <w:spacing w:after="100"/>
              <w:rPr>
                <w:rFonts w:eastAsia="Times New Roman"/>
                <w:sz w:val="20"/>
                <w:szCs w:val="20"/>
              </w:rPr>
            </w:pPr>
          </w:p>
        </w:tc>
        <w:tc>
          <w:tcPr>
            <w:tcW w:w="5" w:type="pct"/>
            <w:vAlign w:val="center"/>
            <w:hideMark/>
          </w:tcPr>
          <w:p w14:paraId="1D50C681" w14:textId="77777777" w:rsidR="00000000" w:rsidRDefault="00A173A8">
            <w:pPr>
              <w:spacing w:after="100"/>
              <w:rPr>
                <w:rFonts w:eastAsia="Times New Roman"/>
                <w:sz w:val="20"/>
                <w:szCs w:val="20"/>
              </w:rPr>
            </w:pPr>
          </w:p>
        </w:tc>
        <w:tc>
          <w:tcPr>
            <w:tcW w:w="19" w:type="pct"/>
            <w:vAlign w:val="center"/>
            <w:hideMark/>
          </w:tcPr>
          <w:p w14:paraId="3EDBF8AA" w14:textId="77777777" w:rsidR="00000000" w:rsidRDefault="00A173A8">
            <w:pPr>
              <w:spacing w:after="100"/>
              <w:rPr>
                <w:rFonts w:eastAsia="Times New Roman"/>
                <w:sz w:val="20"/>
                <w:szCs w:val="20"/>
              </w:rPr>
            </w:pPr>
          </w:p>
        </w:tc>
        <w:tc>
          <w:tcPr>
            <w:tcW w:w="5" w:type="pct"/>
            <w:vAlign w:val="center"/>
            <w:hideMark/>
          </w:tcPr>
          <w:p w14:paraId="17DF5545" w14:textId="77777777" w:rsidR="00000000" w:rsidRDefault="00A173A8">
            <w:pPr>
              <w:spacing w:after="100"/>
              <w:rPr>
                <w:rFonts w:eastAsia="Times New Roman"/>
                <w:sz w:val="20"/>
                <w:szCs w:val="20"/>
              </w:rPr>
            </w:pPr>
          </w:p>
        </w:tc>
        <w:tc>
          <w:tcPr>
            <w:tcW w:w="50" w:type="pct"/>
            <w:vAlign w:val="center"/>
            <w:hideMark/>
          </w:tcPr>
          <w:p w14:paraId="6DD704CA" w14:textId="77777777" w:rsidR="00000000" w:rsidRDefault="00A173A8">
            <w:pPr>
              <w:spacing w:after="100"/>
              <w:rPr>
                <w:rFonts w:eastAsia="Times New Roman"/>
                <w:sz w:val="20"/>
                <w:szCs w:val="20"/>
              </w:rPr>
            </w:pPr>
          </w:p>
        </w:tc>
        <w:tc>
          <w:tcPr>
            <w:tcW w:w="442" w:type="pct"/>
            <w:vAlign w:val="center"/>
            <w:hideMark/>
          </w:tcPr>
          <w:p w14:paraId="6CDFB995" w14:textId="77777777" w:rsidR="00000000" w:rsidRDefault="00A173A8">
            <w:pPr>
              <w:spacing w:after="100"/>
              <w:rPr>
                <w:rFonts w:eastAsia="Times New Roman"/>
                <w:sz w:val="20"/>
                <w:szCs w:val="20"/>
              </w:rPr>
            </w:pPr>
          </w:p>
        </w:tc>
        <w:tc>
          <w:tcPr>
            <w:tcW w:w="5" w:type="pct"/>
            <w:vAlign w:val="center"/>
            <w:hideMark/>
          </w:tcPr>
          <w:p w14:paraId="5DDF813D" w14:textId="77777777" w:rsidR="00000000" w:rsidRDefault="00A173A8">
            <w:pPr>
              <w:spacing w:after="100"/>
              <w:rPr>
                <w:rFonts w:eastAsia="Times New Roman"/>
                <w:sz w:val="20"/>
                <w:szCs w:val="20"/>
              </w:rPr>
            </w:pPr>
          </w:p>
        </w:tc>
        <w:tc>
          <w:tcPr>
            <w:tcW w:w="5" w:type="pct"/>
            <w:vAlign w:val="center"/>
            <w:hideMark/>
          </w:tcPr>
          <w:p w14:paraId="626DE197" w14:textId="77777777" w:rsidR="00000000" w:rsidRDefault="00A173A8">
            <w:pPr>
              <w:spacing w:after="100"/>
              <w:rPr>
                <w:rFonts w:eastAsia="Times New Roman"/>
                <w:sz w:val="20"/>
                <w:szCs w:val="20"/>
              </w:rPr>
            </w:pPr>
          </w:p>
        </w:tc>
        <w:tc>
          <w:tcPr>
            <w:tcW w:w="26" w:type="pct"/>
            <w:vAlign w:val="center"/>
            <w:hideMark/>
          </w:tcPr>
          <w:p w14:paraId="2C74554B" w14:textId="77777777" w:rsidR="00000000" w:rsidRDefault="00A173A8">
            <w:pPr>
              <w:spacing w:after="100"/>
              <w:rPr>
                <w:rFonts w:eastAsia="Times New Roman"/>
                <w:sz w:val="20"/>
                <w:szCs w:val="20"/>
              </w:rPr>
            </w:pPr>
          </w:p>
        </w:tc>
        <w:tc>
          <w:tcPr>
            <w:tcW w:w="5" w:type="pct"/>
            <w:vAlign w:val="center"/>
            <w:hideMark/>
          </w:tcPr>
          <w:p w14:paraId="05F8E642" w14:textId="77777777" w:rsidR="00000000" w:rsidRDefault="00A173A8">
            <w:pPr>
              <w:spacing w:after="100"/>
              <w:rPr>
                <w:rFonts w:eastAsia="Times New Roman"/>
                <w:sz w:val="20"/>
                <w:szCs w:val="20"/>
              </w:rPr>
            </w:pPr>
          </w:p>
        </w:tc>
        <w:tc>
          <w:tcPr>
            <w:tcW w:w="50" w:type="pct"/>
            <w:vAlign w:val="center"/>
            <w:hideMark/>
          </w:tcPr>
          <w:p w14:paraId="38A61472" w14:textId="77777777" w:rsidR="00000000" w:rsidRDefault="00A173A8">
            <w:pPr>
              <w:spacing w:after="100"/>
              <w:rPr>
                <w:rFonts w:eastAsia="Times New Roman"/>
                <w:sz w:val="20"/>
                <w:szCs w:val="20"/>
              </w:rPr>
            </w:pPr>
          </w:p>
        </w:tc>
        <w:tc>
          <w:tcPr>
            <w:tcW w:w="435" w:type="pct"/>
            <w:vAlign w:val="center"/>
            <w:hideMark/>
          </w:tcPr>
          <w:p w14:paraId="566B222B" w14:textId="77777777" w:rsidR="00000000" w:rsidRDefault="00A173A8">
            <w:pPr>
              <w:spacing w:after="100"/>
              <w:rPr>
                <w:rFonts w:eastAsia="Times New Roman"/>
                <w:sz w:val="20"/>
                <w:szCs w:val="20"/>
              </w:rPr>
            </w:pPr>
          </w:p>
        </w:tc>
        <w:tc>
          <w:tcPr>
            <w:tcW w:w="5" w:type="pct"/>
            <w:vAlign w:val="center"/>
            <w:hideMark/>
          </w:tcPr>
          <w:p w14:paraId="670AB3C5" w14:textId="77777777" w:rsidR="00000000" w:rsidRDefault="00A173A8">
            <w:pPr>
              <w:spacing w:after="100"/>
              <w:rPr>
                <w:rFonts w:eastAsia="Times New Roman"/>
                <w:sz w:val="20"/>
                <w:szCs w:val="20"/>
              </w:rPr>
            </w:pPr>
          </w:p>
        </w:tc>
      </w:tr>
      <w:tr w:rsidR="00000000" w14:paraId="25B6CDE9" w14:textId="77777777">
        <w:trPr>
          <w:divId w:val="1200240137"/>
        </w:trPr>
        <w:tc>
          <w:tcPr>
            <w:tcW w:w="0" w:type="auto"/>
            <w:gridSpan w:val="3"/>
            <w:vAlign w:val="center"/>
            <w:hideMark/>
          </w:tcPr>
          <w:p w14:paraId="20EB95A4" w14:textId="77777777" w:rsidR="00000000" w:rsidRDefault="00A173A8">
            <w:pPr>
              <w:spacing w:after="100"/>
              <w:rPr>
                <w:rFonts w:eastAsia="Times New Roman"/>
                <w:sz w:val="20"/>
                <w:szCs w:val="20"/>
              </w:rPr>
            </w:pPr>
          </w:p>
        </w:tc>
        <w:tc>
          <w:tcPr>
            <w:tcW w:w="0" w:type="auto"/>
            <w:gridSpan w:val="3"/>
            <w:vAlign w:val="center"/>
            <w:hideMark/>
          </w:tcPr>
          <w:p w14:paraId="08D87DA3" w14:textId="77777777" w:rsidR="00000000" w:rsidRDefault="00A173A8">
            <w:pPr>
              <w:spacing w:after="100"/>
              <w:rPr>
                <w:rFonts w:eastAsia="Times New Roman"/>
                <w:sz w:val="20"/>
                <w:szCs w:val="20"/>
              </w:rPr>
            </w:pPr>
          </w:p>
        </w:tc>
        <w:tc>
          <w:tcPr>
            <w:tcW w:w="0" w:type="auto"/>
            <w:gridSpan w:val="3"/>
            <w:vAlign w:val="center"/>
            <w:hideMark/>
          </w:tcPr>
          <w:p w14:paraId="74588D82" w14:textId="77777777" w:rsidR="00000000" w:rsidRDefault="00A173A8">
            <w:pPr>
              <w:spacing w:after="100"/>
              <w:rPr>
                <w:rFonts w:eastAsia="Times New Roman"/>
                <w:sz w:val="20"/>
                <w:szCs w:val="20"/>
              </w:rPr>
            </w:pPr>
          </w:p>
        </w:tc>
        <w:tc>
          <w:tcPr>
            <w:tcW w:w="0" w:type="auto"/>
            <w:gridSpan w:val="3"/>
            <w:vAlign w:val="center"/>
            <w:hideMark/>
          </w:tcPr>
          <w:p w14:paraId="0439B662" w14:textId="77777777" w:rsidR="00000000" w:rsidRDefault="00A173A8">
            <w:pPr>
              <w:spacing w:after="100"/>
              <w:rPr>
                <w:rFonts w:eastAsia="Times New Roman"/>
                <w:sz w:val="20"/>
                <w:szCs w:val="20"/>
              </w:rPr>
            </w:pPr>
          </w:p>
        </w:tc>
        <w:tc>
          <w:tcPr>
            <w:tcW w:w="0" w:type="auto"/>
            <w:gridSpan w:val="3"/>
            <w:vAlign w:val="center"/>
            <w:hideMark/>
          </w:tcPr>
          <w:p w14:paraId="35166E59" w14:textId="77777777" w:rsidR="00000000" w:rsidRDefault="00A173A8">
            <w:pPr>
              <w:spacing w:after="100"/>
              <w:rPr>
                <w:rFonts w:eastAsia="Times New Roman"/>
                <w:sz w:val="20"/>
                <w:szCs w:val="20"/>
              </w:rPr>
            </w:pPr>
          </w:p>
        </w:tc>
        <w:tc>
          <w:tcPr>
            <w:tcW w:w="0" w:type="auto"/>
            <w:gridSpan w:val="3"/>
            <w:vAlign w:val="center"/>
            <w:hideMark/>
          </w:tcPr>
          <w:p w14:paraId="38940E45" w14:textId="77777777" w:rsidR="00000000" w:rsidRDefault="00A173A8">
            <w:pPr>
              <w:spacing w:after="100"/>
              <w:rPr>
                <w:rFonts w:eastAsia="Times New Roman"/>
                <w:sz w:val="20"/>
                <w:szCs w:val="20"/>
              </w:rPr>
            </w:pPr>
          </w:p>
        </w:tc>
        <w:tc>
          <w:tcPr>
            <w:tcW w:w="0" w:type="auto"/>
            <w:gridSpan w:val="3"/>
            <w:vAlign w:val="center"/>
            <w:hideMark/>
          </w:tcPr>
          <w:p w14:paraId="22F440EA" w14:textId="77777777" w:rsidR="00000000" w:rsidRDefault="00A173A8">
            <w:pPr>
              <w:spacing w:after="100"/>
              <w:rPr>
                <w:rFonts w:eastAsia="Times New Roman"/>
                <w:sz w:val="20"/>
                <w:szCs w:val="20"/>
              </w:rPr>
            </w:pPr>
          </w:p>
        </w:tc>
        <w:tc>
          <w:tcPr>
            <w:tcW w:w="0" w:type="auto"/>
            <w:gridSpan w:val="3"/>
            <w:vAlign w:val="center"/>
            <w:hideMark/>
          </w:tcPr>
          <w:p w14:paraId="0F6B0E4D" w14:textId="77777777" w:rsidR="00000000" w:rsidRDefault="00A173A8">
            <w:pPr>
              <w:spacing w:after="100"/>
              <w:rPr>
                <w:rFonts w:eastAsia="Times New Roman"/>
                <w:sz w:val="20"/>
                <w:szCs w:val="20"/>
              </w:rPr>
            </w:pPr>
          </w:p>
        </w:tc>
        <w:tc>
          <w:tcPr>
            <w:tcW w:w="0" w:type="auto"/>
            <w:gridSpan w:val="3"/>
            <w:vAlign w:val="center"/>
            <w:hideMark/>
          </w:tcPr>
          <w:p w14:paraId="191069C8" w14:textId="77777777" w:rsidR="00000000" w:rsidRDefault="00A173A8">
            <w:pPr>
              <w:spacing w:after="100"/>
              <w:rPr>
                <w:rFonts w:eastAsia="Times New Roman"/>
                <w:sz w:val="20"/>
                <w:szCs w:val="20"/>
              </w:rPr>
            </w:pPr>
          </w:p>
        </w:tc>
      </w:tr>
      <w:tr w:rsidR="00000000" w14:paraId="7D5F6E54" w14:textId="77777777">
        <w:trPr>
          <w:divId w:val="1200240137"/>
        </w:trPr>
        <w:tc>
          <w:tcPr>
            <w:tcW w:w="0" w:type="auto"/>
            <w:gridSpan w:val="3"/>
            <w:tcMar>
              <w:top w:w="0" w:type="dxa"/>
              <w:left w:w="20" w:type="dxa"/>
              <w:bottom w:w="0" w:type="dxa"/>
              <w:right w:w="20" w:type="dxa"/>
            </w:tcMar>
            <w:vAlign w:val="center"/>
            <w:hideMark/>
          </w:tcPr>
          <w:p w14:paraId="71063C9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4F1146"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F5668B2"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40FB4C55"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3AC204A"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43BFD4AD" w14:textId="77777777">
        <w:trPr>
          <w:divId w:val="1200240137"/>
        </w:trPr>
        <w:tc>
          <w:tcPr>
            <w:tcW w:w="0" w:type="auto"/>
            <w:gridSpan w:val="3"/>
            <w:tcBorders>
              <w:bottom w:val="single" w:sz="8" w:space="0" w:color="000000"/>
            </w:tcBorders>
            <w:tcMar>
              <w:top w:w="30" w:type="dxa"/>
              <w:left w:w="20" w:type="dxa"/>
              <w:bottom w:w="30" w:type="dxa"/>
              <w:right w:w="20" w:type="dxa"/>
            </w:tcMar>
            <w:vAlign w:val="bottom"/>
            <w:hideMark/>
          </w:tcPr>
          <w:p w14:paraId="5118763D"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327CE764"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C5AA03"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4618284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7CD267F" w14:textId="77777777" w:rsidR="00000000" w:rsidRDefault="00A173A8">
            <w:pPr>
              <w:spacing w:after="100"/>
              <w:jc w:val="center"/>
              <w:rPr>
                <w:rFonts w:eastAsia="Times New Roman"/>
              </w:rPr>
            </w:pPr>
            <w:r>
              <w:rPr>
                <w:rFonts w:eastAsia="Times New Roman"/>
                <w:b/>
                <w:bCs/>
                <w:color w:val="000000"/>
                <w:sz w:val="20"/>
                <w:szCs w:val="20"/>
              </w:rPr>
              <w:t>% of Total</w:t>
            </w:r>
          </w:p>
        </w:tc>
        <w:tc>
          <w:tcPr>
            <w:tcW w:w="0" w:type="auto"/>
            <w:gridSpan w:val="3"/>
            <w:tcMar>
              <w:top w:w="0" w:type="dxa"/>
              <w:left w:w="20" w:type="dxa"/>
              <w:bottom w:w="0" w:type="dxa"/>
              <w:right w:w="20" w:type="dxa"/>
            </w:tcMar>
            <w:vAlign w:val="center"/>
            <w:hideMark/>
          </w:tcPr>
          <w:p w14:paraId="044AAAA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81C4AD"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7062EBE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E01BD17" w14:textId="77777777" w:rsidR="00000000" w:rsidRDefault="00A173A8">
            <w:pPr>
              <w:spacing w:after="100"/>
              <w:jc w:val="center"/>
              <w:rPr>
                <w:rFonts w:eastAsia="Times New Roman"/>
              </w:rPr>
            </w:pPr>
            <w:r>
              <w:rPr>
                <w:rFonts w:eastAsia="Times New Roman"/>
                <w:b/>
                <w:bCs/>
                <w:color w:val="000000"/>
                <w:sz w:val="20"/>
                <w:szCs w:val="20"/>
              </w:rPr>
              <w:t>% of Total</w:t>
            </w:r>
          </w:p>
        </w:tc>
      </w:tr>
      <w:tr w:rsidR="00000000" w14:paraId="032C7055" w14:textId="77777777">
        <w:trPr>
          <w:divId w:val="12002401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14EC8F7" w14:textId="77777777" w:rsidR="00000000" w:rsidRDefault="00A173A8">
            <w:pPr>
              <w:spacing w:after="100"/>
              <w:divId w:val="217589467"/>
              <w:rPr>
                <w:rFonts w:eastAsia="Times New Roman"/>
              </w:rPr>
            </w:pPr>
            <w:r>
              <w:rPr>
                <w:rFonts w:eastAsia="Times New Roman"/>
                <w:b/>
                <w:bCs/>
                <w:color w:val="000000"/>
                <w:sz w:val="20"/>
                <w:szCs w:val="20"/>
              </w:rPr>
              <w:t>Geographic concentration</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6807696"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521D9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457C5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C13EF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99B6F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0CF9C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D6E4D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14EF49" w14:textId="77777777" w:rsidR="00000000" w:rsidRDefault="00A173A8">
            <w:pPr>
              <w:spacing w:after="100"/>
              <w:rPr>
                <w:rFonts w:eastAsia="Times New Roman"/>
                <w:sz w:val="20"/>
                <w:szCs w:val="20"/>
              </w:rPr>
            </w:pPr>
          </w:p>
        </w:tc>
      </w:tr>
      <w:tr w:rsidR="00000000" w14:paraId="05BA7712" w14:textId="77777777">
        <w:trPr>
          <w:divId w:val="1200240137"/>
        </w:trPr>
        <w:tc>
          <w:tcPr>
            <w:tcW w:w="0" w:type="auto"/>
            <w:gridSpan w:val="3"/>
            <w:shd w:val="clear" w:color="auto" w:fill="FFFFFF"/>
            <w:tcMar>
              <w:top w:w="30" w:type="dxa"/>
              <w:left w:w="245" w:type="dxa"/>
              <w:bottom w:w="30" w:type="dxa"/>
              <w:right w:w="20" w:type="dxa"/>
            </w:tcMar>
            <w:vAlign w:val="center"/>
            <w:hideMark/>
          </w:tcPr>
          <w:p w14:paraId="5ADE28D0" w14:textId="77777777" w:rsidR="00000000" w:rsidRDefault="00A173A8">
            <w:pPr>
              <w:spacing w:after="100"/>
              <w:rPr>
                <w:rFonts w:eastAsia="Times New Roman"/>
              </w:rPr>
            </w:pPr>
            <w:r>
              <w:rPr>
                <w:rFonts w:eastAsia="Times New Roman"/>
                <w:color w:val="000000"/>
                <w:sz w:val="20"/>
                <w:szCs w:val="20"/>
              </w:rPr>
              <w:t>Northeast</w:t>
            </w:r>
          </w:p>
        </w:tc>
        <w:tc>
          <w:tcPr>
            <w:tcW w:w="0" w:type="auto"/>
            <w:gridSpan w:val="3"/>
            <w:shd w:val="clear" w:color="auto" w:fill="FFFFFF"/>
            <w:tcMar>
              <w:top w:w="0" w:type="dxa"/>
              <w:left w:w="20" w:type="dxa"/>
              <w:bottom w:w="0" w:type="dxa"/>
              <w:right w:w="20" w:type="dxa"/>
            </w:tcMar>
            <w:vAlign w:val="center"/>
            <w:hideMark/>
          </w:tcPr>
          <w:p w14:paraId="17D08A23"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6502ABF"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3C84A68C" w14:textId="77777777" w:rsidR="00000000" w:rsidRDefault="00A173A8">
            <w:pPr>
              <w:spacing w:after="100"/>
              <w:jc w:val="right"/>
              <w:rPr>
                <w:rFonts w:eastAsia="Times New Roman"/>
              </w:rPr>
            </w:pPr>
            <w:r>
              <w:rPr>
                <w:rFonts w:eastAsia="Times New Roman"/>
                <w:b/>
                <w:bCs/>
                <w:color w:val="000000"/>
                <w:sz w:val="20"/>
                <w:szCs w:val="20"/>
              </w:rPr>
              <w:t>16,090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7F6157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1359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91BBC5" w14:textId="77777777" w:rsidR="00000000" w:rsidRDefault="00A173A8">
            <w:pPr>
              <w:spacing w:after="100"/>
              <w:jc w:val="right"/>
              <w:rPr>
                <w:rFonts w:eastAsia="Times New Roman"/>
              </w:rPr>
            </w:pPr>
            <w:r>
              <w:rPr>
                <w:rFonts w:eastAsia="Times New Roman"/>
                <w:b/>
                <w:bCs/>
                <w:color w:val="000000"/>
                <w:sz w:val="20"/>
                <w:szCs w:val="20"/>
              </w:rPr>
              <w:t>42.5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EDD4D35"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AE7BF86"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7AB4648"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0B40063" w14:textId="77777777" w:rsidR="00000000" w:rsidRDefault="00A173A8">
            <w:pPr>
              <w:spacing w:after="100"/>
              <w:jc w:val="right"/>
              <w:rPr>
                <w:rFonts w:eastAsia="Times New Roman"/>
              </w:rPr>
            </w:pPr>
            <w:r>
              <w:rPr>
                <w:rFonts w:eastAsia="Times New Roman"/>
                <w:color w:val="000000"/>
                <w:sz w:val="20"/>
                <w:szCs w:val="20"/>
              </w:rPr>
              <w:t>16,025 </w:t>
            </w:r>
          </w:p>
        </w:tc>
        <w:tc>
          <w:tcPr>
            <w:tcW w:w="0" w:type="auto"/>
            <w:shd w:val="clear" w:color="auto" w:fill="FFFFFF"/>
            <w:tcMar>
              <w:top w:w="30" w:type="dxa"/>
              <w:left w:w="0" w:type="dxa"/>
              <w:bottom w:w="30" w:type="dxa"/>
              <w:right w:w="20" w:type="dxa"/>
            </w:tcMar>
            <w:vAlign w:val="center"/>
            <w:hideMark/>
          </w:tcPr>
          <w:p w14:paraId="547FB3B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1DBCC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E02DEF" w14:textId="77777777" w:rsidR="00000000" w:rsidRDefault="00A173A8">
            <w:pPr>
              <w:spacing w:after="100"/>
              <w:jc w:val="right"/>
              <w:rPr>
                <w:rFonts w:eastAsia="Times New Roman"/>
              </w:rPr>
            </w:pPr>
            <w:r>
              <w:rPr>
                <w:rFonts w:eastAsia="Times New Roman"/>
                <w:color w:val="000000"/>
                <w:sz w:val="20"/>
                <w:szCs w:val="20"/>
              </w:rPr>
              <w:t>45.4 </w:t>
            </w:r>
          </w:p>
        </w:tc>
        <w:tc>
          <w:tcPr>
            <w:tcW w:w="0" w:type="auto"/>
            <w:shd w:val="clear" w:color="auto" w:fill="FFFFFF"/>
            <w:tcMar>
              <w:top w:w="30" w:type="dxa"/>
              <w:left w:w="0" w:type="dxa"/>
              <w:bottom w:w="30" w:type="dxa"/>
              <w:right w:w="20" w:type="dxa"/>
            </w:tcMar>
            <w:vAlign w:val="center"/>
            <w:hideMark/>
          </w:tcPr>
          <w:p w14:paraId="784EE52A" w14:textId="77777777" w:rsidR="00000000" w:rsidRDefault="00A173A8">
            <w:pPr>
              <w:spacing w:after="100"/>
              <w:jc w:val="right"/>
              <w:rPr>
                <w:rFonts w:eastAsia="Times New Roman"/>
              </w:rPr>
            </w:pPr>
            <w:r>
              <w:rPr>
                <w:rFonts w:eastAsia="Times New Roman"/>
                <w:color w:val="000000"/>
                <w:sz w:val="20"/>
                <w:szCs w:val="20"/>
              </w:rPr>
              <w:t>%</w:t>
            </w:r>
          </w:p>
        </w:tc>
      </w:tr>
      <w:tr w:rsidR="00000000" w14:paraId="47B0590A" w14:textId="77777777">
        <w:trPr>
          <w:divId w:val="1200240137"/>
        </w:trPr>
        <w:tc>
          <w:tcPr>
            <w:tcW w:w="0" w:type="auto"/>
            <w:gridSpan w:val="3"/>
            <w:shd w:val="clear" w:color="auto" w:fill="CCEEFF"/>
            <w:tcMar>
              <w:top w:w="30" w:type="dxa"/>
              <w:left w:w="245" w:type="dxa"/>
              <w:bottom w:w="30" w:type="dxa"/>
              <w:right w:w="20" w:type="dxa"/>
            </w:tcMar>
            <w:vAlign w:val="center"/>
            <w:hideMark/>
          </w:tcPr>
          <w:p w14:paraId="5D7695ED" w14:textId="77777777" w:rsidR="00000000" w:rsidRDefault="00A173A8">
            <w:pPr>
              <w:spacing w:after="100"/>
              <w:rPr>
                <w:rFonts w:eastAsia="Times New Roman"/>
              </w:rPr>
            </w:pPr>
            <w:r>
              <w:rPr>
                <w:rFonts w:eastAsia="Times New Roman"/>
                <w:color w:val="000000"/>
                <w:sz w:val="20"/>
                <w:szCs w:val="20"/>
              </w:rPr>
              <w:t>South</w:t>
            </w:r>
          </w:p>
        </w:tc>
        <w:tc>
          <w:tcPr>
            <w:tcW w:w="0" w:type="auto"/>
            <w:gridSpan w:val="3"/>
            <w:shd w:val="clear" w:color="auto" w:fill="CCEEFF"/>
            <w:tcMar>
              <w:top w:w="0" w:type="dxa"/>
              <w:left w:w="20" w:type="dxa"/>
              <w:bottom w:w="0" w:type="dxa"/>
              <w:right w:w="20" w:type="dxa"/>
            </w:tcMar>
            <w:vAlign w:val="center"/>
            <w:hideMark/>
          </w:tcPr>
          <w:p w14:paraId="29627B4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21FB532" w14:textId="77777777" w:rsidR="00000000" w:rsidRDefault="00A173A8">
            <w:pPr>
              <w:spacing w:after="100"/>
              <w:jc w:val="right"/>
              <w:rPr>
                <w:rFonts w:eastAsia="Times New Roman"/>
              </w:rPr>
            </w:pPr>
            <w:r>
              <w:rPr>
                <w:rFonts w:eastAsia="Times New Roman"/>
                <w:b/>
                <w:bCs/>
                <w:color w:val="000000"/>
                <w:sz w:val="20"/>
                <w:szCs w:val="20"/>
              </w:rPr>
              <w:t>8,015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57722A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79DC5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07478F" w14:textId="77777777" w:rsidR="00000000" w:rsidRDefault="00A173A8">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50EAC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4BA61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308DDD" w14:textId="77777777" w:rsidR="00000000" w:rsidRDefault="00A173A8">
            <w:pPr>
              <w:spacing w:after="100"/>
              <w:jc w:val="right"/>
              <w:rPr>
                <w:rFonts w:eastAsia="Times New Roman"/>
              </w:rPr>
            </w:pPr>
            <w:r>
              <w:rPr>
                <w:rFonts w:eastAsia="Times New Roman"/>
                <w:color w:val="000000"/>
                <w:sz w:val="20"/>
                <w:szCs w:val="20"/>
              </w:rPr>
              <w:t>6,210 </w:t>
            </w:r>
          </w:p>
        </w:tc>
        <w:tc>
          <w:tcPr>
            <w:tcW w:w="0" w:type="auto"/>
            <w:shd w:val="clear" w:color="auto" w:fill="CCEEFF"/>
            <w:tcMar>
              <w:top w:w="30" w:type="dxa"/>
              <w:left w:w="0" w:type="dxa"/>
              <w:bottom w:w="30" w:type="dxa"/>
              <w:right w:w="20" w:type="dxa"/>
            </w:tcMar>
            <w:vAlign w:val="center"/>
            <w:hideMark/>
          </w:tcPr>
          <w:p w14:paraId="17BF1D4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D2AC9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3321F9" w14:textId="77777777" w:rsidR="00000000" w:rsidRDefault="00A173A8">
            <w:pPr>
              <w:spacing w:after="100"/>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center"/>
            <w:hideMark/>
          </w:tcPr>
          <w:p w14:paraId="3EAB2B7E" w14:textId="77777777" w:rsidR="00000000" w:rsidRDefault="00A173A8">
            <w:pPr>
              <w:spacing w:after="100"/>
              <w:jc w:val="right"/>
              <w:rPr>
                <w:rFonts w:eastAsia="Times New Roman"/>
              </w:rPr>
            </w:pPr>
          </w:p>
        </w:tc>
      </w:tr>
      <w:tr w:rsidR="00000000" w14:paraId="6CDEB29D" w14:textId="77777777">
        <w:trPr>
          <w:divId w:val="1200240137"/>
        </w:trPr>
        <w:tc>
          <w:tcPr>
            <w:tcW w:w="0" w:type="auto"/>
            <w:gridSpan w:val="3"/>
            <w:shd w:val="clear" w:color="auto" w:fill="FFFFFF"/>
            <w:tcMar>
              <w:top w:w="30" w:type="dxa"/>
              <w:left w:w="245" w:type="dxa"/>
              <w:bottom w:w="30" w:type="dxa"/>
              <w:right w:w="20" w:type="dxa"/>
            </w:tcMar>
            <w:vAlign w:val="center"/>
            <w:hideMark/>
          </w:tcPr>
          <w:p w14:paraId="5354AD6C" w14:textId="77777777" w:rsidR="00000000" w:rsidRDefault="00A173A8">
            <w:pPr>
              <w:spacing w:after="100"/>
              <w:rPr>
                <w:rFonts w:eastAsia="Times New Roman"/>
              </w:rPr>
            </w:pPr>
            <w:r>
              <w:rPr>
                <w:rFonts w:eastAsia="Times New Roman"/>
                <w:color w:val="000000"/>
                <w:sz w:val="20"/>
                <w:szCs w:val="20"/>
              </w:rPr>
              <w:t>Pacific West</w:t>
            </w:r>
          </w:p>
        </w:tc>
        <w:tc>
          <w:tcPr>
            <w:tcW w:w="0" w:type="auto"/>
            <w:gridSpan w:val="3"/>
            <w:shd w:val="clear" w:color="auto" w:fill="FFFFFF"/>
            <w:tcMar>
              <w:top w:w="0" w:type="dxa"/>
              <w:left w:w="20" w:type="dxa"/>
              <w:bottom w:w="0" w:type="dxa"/>
              <w:right w:w="20" w:type="dxa"/>
            </w:tcMar>
            <w:vAlign w:val="center"/>
            <w:hideMark/>
          </w:tcPr>
          <w:p w14:paraId="728DEB7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98E1468" w14:textId="77777777" w:rsidR="00000000" w:rsidRDefault="00A173A8">
            <w:pPr>
              <w:spacing w:after="100"/>
              <w:jc w:val="right"/>
              <w:rPr>
                <w:rFonts w:eastAsia="Times New Roman"/>
              </w:rPr>
            </w:pPr>
            <w:r>
              <w:rPr>
                <w:rFonts w:eastAsia="Times New Roman"/>
                <w:b/>
                <w:bCs/>
                <w:color w:val="000000"/>
                <w:sz w:val="20"/>
                <w:szCs w:val="20"/>
              </w:rPr>
              <w:t>5,980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AB1C9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0873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CF1839" w14:textId="77777777" w:rsidR="00000000" w:rsidRDefault="00A173A8">
            <w:pPr>
              <w:spacing w:after="100"/>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5E130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F36C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E54856" w14:textId="77777777" w:rsidR="00000000" w:rsidRDefault="00A173A8">
            <w:pPr>
              <w:spacing w:after="100"/>
              <w:jc w:val="right"/>
              <w:rPr>
                <w:rFonts w:eastAsia="Times New Roman"/>
              </w:rPr>
            </w:pPr>
            <w:r>
              <w:rPr>
                <w:rFonts w:eastAsia="Times New Roman"/>
                <w:color w:val="000000"/>
                <w:sz w:val="20"/>
                <w:szCs w:val="20"/>
              </w:rPr>
              <w:t>5,556 </w:t>
            </w:r>
          </w:p>
        </w:tc>
        <w:tc>
          <w:tcPr>
            <w:tcW w:w="0" w:type="auto"/>
            <w:shd w:val="clear" w:color="auto" w:fill="FFFFFF"/>
            <w:tcMar>
              <w:top w:w="30" w:type="dxa"/>
              <w:left w:w="0" w:type="dxa"/>
              <w:bottom w:w="30" w:type="dxa"/>
              <w:right w:w="20" w:type="dxa"/>
            </w:tcMar>
            <w:vAlign w:val="center"/>
            <w:hideMark/>
          </w:tcPr>
          <w:p w14:paraId="7614CF2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AEE3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70B97A" w14:textId="77777777" w:rsidR="00000000" w:rsidRDefault="00A173A8">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center"/>
            <w:hideMark/>
          </w:tcPr>
          <w:p w14:paraId="7D883178" w14:textId="77777777" w:rsidR="00000000" w:rsidRDefault="00A173A8">
            <w:pPr>
              <w:spacing w:after="100"/>
              <w:jc w:val="right"/>
              <w:rPr>
                <w:rFonts w:eastAsia="Times New Roman"/>
              </w:rPr>
            </w:pPr>
          </w:p>
        </w:tc>
      </w:tr>
      <w:tr w:rsidR="00000000" w14:paraId="514C7705" w14:textId="77777777">
        <w:trPr>
          <w:divId w:val="1200240137"/>
        </w:trPr>
        <w:tc>
          <w:tcPr>
            <w:tcW w:w="0" w:type="auto"/>
            <w:gridSpan w:val="3"/>
            <w:shd w:val="clear" w:color="auto" w:fill="CCEEFF"/>
            <w:tcMar>
              <w:top w:w="30" w:type="dxa"/>
              <w:left w:w="245" w:type="dxa"/>
              <w:bottom w:w="30" w:type="dxa"/>
              <w:right w:w="20" w:type="dxa"/>
            </w:tcMar>
            <w:vAlign w:val="center"/>
            <w:hideMark/>
          </w:tcPr>
          <w:p w14:paraId="36773223" w14:textId="77777777" w:rsidR="00000000" w:rsidRDefault="00A173A8">
            <w:pPr>
              <w:spacing w:after="100"/>
              <w:rPr>
                <w:rFonts w:eastAsia="Times New Roman"/>
              </w:rPr>
            </w:pPr>
            <w:r>
              <w:rPr>
                <w:rFonts w:eastAsia="Times New Roman"/>
                <w:color w:val="000000"/>
                <w:sz w:val="20"/>
                <w:szCs w:val="20"/>
              </w:rPr>
              <w:t>Mid-Atlantic</w:t>
            </w:r>
          </w:p>
        </w:tc>
        <w:tc>
          <w:tcPr>
            <w:tcW w:w="0" w:type="auto"/>
            <w:gridSpan w:val="3"/>
            <w:shd w:val="clear" w:color="auto" w:fill="CCEEFF"/>
            <w:tcMar>
              <w:top w:w="0" w:type="dxa"/>
              <w:left w:w="20" w:type="dxa"/>
              <w:bottom w:w="0" w:type="dxa"/>
              <w:right w:w="20" w:type="dxa"/>
            </w:tcMar>
            <w:vAlign w:val="center"/>
            <w:hideMark/>
          </w:tcPr>
          <w:p w14:paraId="15CB415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1971554" w14:textId="77777777" w:rsidR="00000000" w:rsidRDefault="00A173A8">
            <w:pPr>
              <w:spacing w:after="100"/>
              <w:jc w:val="right"/>
              <w:rPr>
                <w:rFonts w:eastAsia="Times New Roman"/>
              </w:rPr>
            </w:pPr>
            <w:r>
              <w:rPr>
                <w:rFonts w:eastAsia="Times New Roman"/>
                <w:b/>
                <w:bCs/>
                <w:color w:val="000000"/>
                <w:sz w:val="20"/>
                <w:szCs w:val="20"/>
              </w:rPr>
              <w:t>3,220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C1A061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9752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BF50BA" w14:textId="77777777" w:rsidR="00000000" w:rsidRDefault="00A173A8">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388ABF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9E5A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2BA649" w14:textId="77777777" w:rsidR="00000000" w:rsidRDefault="00A173A8">
            <w:pPr>
              <w:spacing w:after="100"/>
              <w:jc w:val="right"/>
              <w:rPr>
                <w:rFonts w:eastAsia="Times New Roman"/>
              </w:rPr>
            </w:pPr>
            <w:r>
              <w:rPr>
                <w:rFonts w:eastAsia="Times New Roman"/>
                <w:color w:val="000000"/>
                <w:sz w:val="20"/>
                <w:szCs w:val="20"/>
              </w:rPr>
              <w:t>3,105 </w:t>
            </w:r>
          </w:p>
        </w:tc>
        <w:tc>
          <w:tcPr>
            <w:tcW w:w="0" w:type="auto"/>
            <w:shd w:val="clear" w:color="auto" w:fill="CCEEFF"/>
            <w:tcMar>
              <w:top w:w="30" w:type="dxa"/>
              <w:left w:w="0" w:type="dxa"/>
              <w:bottom w:w="30" w:type="dxa"/>
              <w:right w:w="20" w:type="dxa"/>
            </w:tcMar>
            <w:vAlign w:val="center"/>
            <w:hideMark/>
          </w:tcPr>
          <w:p w14:paraId="729712F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F5C6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48D121" w14:textId="77777777" w:rsidR="00000000" w:rsidRDefault="00A173A8">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center"/>
            <w:hideMark/>
          </w:tcPr>
          <w:p w14:paraId="148BC68B" w14:textId="77777777" w:rsidR="00000000" w:rsidRDefault="00A173A8">
            <w:pPr>
              <w:spacing w:after="100"/>
              <w:jc w:val="right"/>
              <w:rPr>
                <w:rFonts w:eastAsia="Times New Roman"/>
              </w:rPr>
            </w:pPr>
          </w:p>
        </w:tc>
      </w:tr>
      <w:tr w:rsidR="00000000" w14:paraId="36B1E38F" w14:textId="77777777">
        <w:trPr>
          <w:divId w:val="1200240137"/>
        </w:trPr>
        <w:tc>
          <w:tcPr>
            <w:tcW w:w="0" w:type="auto"/>
            <w:gridSpan w:val="3"/>
            <w:shd w:val="clear" w:color="auto" w:fill="FFFFFF"/>
            <w:tcMar>
              <w:top w:w="30" w:type="dxa"/>
              <w:left w:w="245" w:type="dxa"/>
              <w:bottom w:w="30" w:type="dxa"/>
              <w:right w:w="20" w:type="dxa"/>
            </w:tcMar>
            <w:vAlign w:val="center"/>
            <w:hideMark/>
          </w:tcPr>
          <w:p w14:paraId="7D7EE151" w14:textId="77777777" w:rsidR="00000000" w:rsidRDefault="00A173A8">
            <w:pPr>
              <w:spacing w:after="100"/>
              <w:rPr>
                <w:rFonts w:eastAsia="Times New Roman"/>
              </w:rPr>
            </w:pPr>
            <w:r>
              <w:rPr>
                <w:rFonts w:eastAsia="Times New Roman"/>
                <w:color w:val="000000"/>
                <w:sz w:val="20"/>
                <w:szCs w:val="20"/>
              </w:rPr>
              <w:t>Midwest</w:t>
            </w:r>
          </w:p>
        </w:tc>
        <w:tc>
          <w:tcPr>
            <w:tcW w:w="0" w:type="auto"/>
            <w:gridSpan w:val="3"/>
            <w:shd w:val="clear" w:color="auto" w:fill="FFFFFF"/>
            <w:tcMar>
              <w:top w:w="0" w:type="dxa"/>
              <w:left w:w="20" w:type="dxa"/>
              <w:bottom w:w="0" w:type="dxa"/>
              <w:right w:w="20" w:type="dxa"/>
            </w:tcMar>
            <w:vAlign w:val="center"/>
            <w:hideMark/>
          </w:tcPr>
          <w:p w14:paraId="0796CCD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F3D7461" w14:textId="77777777" w:rsidR="00000000" w:rsidRDefault="00A173A8">
            <w:pPr>
              <w:spacing w:after="100"/>
              <w:jc w:val="right"/>
              <w:rPr>
                <w:rFonts w:eastAsia="Times New Roman"/>
              </w:rPr>
            </w:pPr>
            <w:r>
              <w:rPr>
                <w:rFonts w:eastAsia="Times New Roman"/>
                <w:b/>
                <w:bCs/>
                <w:color w:val="000000"/>
                <w:sz w:val="20"/>
                <w:szCs w:val="20"/>
              </w:rPr>
              <w:t>2,606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3A6750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E41B1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F0AFEE" w14:textId="77777777" w:rsidR="00000000" w:rsidRDefault="00A173A8">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C99FE2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6E21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0CB612" w14:textId="77777777" w:rsidR="00000000" w:rsidRDefault="00A173A8">
            <w:pPr>
              <w:spacing w:after="100"/>
              <w:jc w:val="right"/>
              <w:rPr>
                <w:rFonts w:eastAsia="Times New Roman"/>
              </w:rPr>
            </w:pPr>
            <w:r>
              <w:rPr>
                <w:rFonts w:eastAsia="Times New Roman"/>
                <w:color w:val="000000"/>
                <w:sz w:val="20"/>
                <w:szCs w:val="20"/>
              </w:rPr>
              <w:t>2,863 </w:t>
            </w:r>
          </w:p>
        </w:tc>
        <w:tc>
          <w:tcPr>
            <w:tcW w:w="0" w:type="auto"/>
            <w:shd w:val="clear" w:color="auto" w:fill="FFFFFF"/>
            <w:tcMar>
              <w:top w:w="30" w:type="dxa"/>
              <w:left w:w="0" w:type="dxa"/>
              <w:bottom w:w="30" w:type="dxa"/>
              <w:right w:w="20" w:type="dxa"/>
            </w:tcMar>
            <w:vAlign w:val="center"/>
            <w:hideMark/>
          </w:tcPr>
          <w:p w14:paraId="43B193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6A39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3E42B9" w14:textId="77777777" w:rsidR="00000000" w:rsidRDefault="00A173A8">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center"/>
            <w:hideMark/>
          </w:tcPr>
          <w:p w14:paraId="1592AADF" w14:textId="77777777" w:rsidR="00000000" w:rsidRDefault="00A173A8">
            <w:pPr>
              <w:spacing w:after="100"/>
              <w:jc w:val="right"/>
              <w:rPr>
                <w:rFonts w:eastAsia="Times New Roman"/>
              </w:rPr>
            </w:pPr>
          </w:p>
        </w:tc>
      </w:tr>
      <w:tr w:rsidR="00000000" w14:paraId="3349CA64" w14:textId="77777777">
        <w:trPr>
          <w:divId w:val="1200240137"/>
        </w:trPr>
        <w:tc>
          <w:tcPr>
            <w:tcW w:w="0" w:type="auto"/>
            <w:gridSpan w:val="3"/>
            <w:shd w:val="clear" w:color="auto" w:fill="CCEEFF"/>
            <w:tcMar>
              <w:top w:w="30" w:type="dxa"/>
              <w:left w:w="245" w:type="dxa"/>
              <w:bottom w:w="30" w:type="dxa"/>
              <w:right w:w="20" w:type="dxa"/>
            </w:tcMar>
            <w:vAlign w:val="center"/>
            <w:hideMark/>
          </w:tcPr>
          <w:p w14:paraId="6173C7C7" w14:textId="77777777" w:rsidR="00000000" w:rsidRDefault="00A173A8">
            <w:pPr>
              <w:spacing w:after="100"/>
              <w:rPr>
                <w:rFonts w:eastAsia="Times New Roman"/>
              </w:rPr>
            </w:pPr>
            <w:r>
              <w:rPr>
                <w:rFonts w:eastAsia="Times New Roman"/>
                <w:color w:val="000000"/>
                <w:sz w:val="20"/>
                <w:szCs w:val="20"/>
              </w:rPr>
              <w:t>Mountain</w:t>
            </w:r>
          </w:p>
        </w:tc>
        <w:tc>
          <w:tcPr>
            <w:tcW w:w="0" w:type="auto"/>
            <w:gridSpan w:val="3"/>
            <w:shd w:val="clear" w:color="auto" w:fill="CCEEFF"/>
            <w:tcMar>
              <w:top w:w="0" w:type="dxa"/>
              <w:left w:w="20" w:type="dxa"/>
              <w:bottom w:w="0" w:type="dxa"/>
              <w:right w:w="20" w:type="dxa"/>
            </w:tcMar>
            <w:vAlign w:val="center"/>
            <w:hideMark/>
          </w:tcPr>
          <w:p w14:paraId="31C40D8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9481E5B" w14:textId="77777777" w:rsidR="00000000" w:rsidRDefault="00A173A8">
            <w:pPr>
              <w:spacing w:after="100"/>
              <w:jc w:val="right"/>
              <w:rPr>
                <w:rFonts w:eastAsia="Times New Roman"/>
              </w:rPr>
            </w:pPr>
            <w:r>
              <w:rPr>
                <w:rFonts w:eastAsia="Times New Roman"/>
                <w:b/>
                <w:bCs/>
                <w:color w:val="000000"/>
                <w:sz w:val="20"/>
                <w:szCs w:val="20"/>
              </w:rPr>
              <w:t>1,934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EC15DE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B4BE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DB4ADB" w14:textId="77777777" w:rsidR="00000000" w:rsidRDefault="00A173A8">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3D3BC6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EEA2C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E7F926" w14:textId="77777777" w:rsidR="00000000" w:rsidRDefault="00A173A8">
            <w:pPr>
              <w:spacing w:after="100"/>
              <w:jc w:val="right"/>
              <w:rPr>
                <w:rFonts w:eastAsia="Times New Roman"/>
              </w:rPr>
            </w:pPr>
            <w:r>
              <w:rPr>
                <w:rFonts w:eastAsia="Times New Roman"/>
                <w:color w:val="000000"/>
                <w:sz w:val="20"/>
                <w:szCs w:val="20"/>
              </w:rPr>
              <w:t>1,503 </w:t>
            </w:r>
          </w:p>
        </w:tc>
        <w:tc>
          <w:tcPr>
            <w:tcW w:w="0" w:type="auto"/>
            <w:shd w:val="clear" w:color="auto" w:fill="CCEEFF"/>
            <w:tcMar>
              <w:top w:w="30" w:type="dxa"/>
              <w:left w:w="0" w:type="dxa"/>
              <w:bottom w:w="30" w:type="dxa"/>
              <w:right w:w="20" w:type="dxa"/>
            </w:tcMar>
            <w:vAlign w:val="center"/>
            <w:hideMark/>
          </w:tcPr>
          <w:p w14:paraId="734DF1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3CA57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A52572" w14:textId="77777777" w:rsidR="00000000" w:rsidRDefault="00A173A8">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center"/>
            <w:hideMark/>
          </w:tcPr>
          <w:p w14:paraId="379A3E03" w14:textId="77777777" w:rsidR="00000000" w:rsidRDefault="00A173A8">
            <w:pPr>
              <w:spacing w:after="100"/>
              <w:jc w:val="right"/>
              <w:rPr>
                <w:rFonts w:eastAsia="Times New Roman"/>
              </w:rPr>
            </w:pPr>
          </w:p>
        </w:tc>
      </w:tr>
      <w:tr w:rsidR="00000000" w14:paraId="376699E8" w14:textId="77777777">
        <w:trPr>
          <w:divId w:val="1200240137"/>
        </w:trPr>
        <w:tc>
          <w:tcPr>
            <w:tcW w:w="0" w:type="auto"/>
            <w:gridSpan w:val="3"/>
            <w:shd w:val="clear" w:color="auto" w:fill="FFFFFF"/>
            <w:tcMar>
              <w:top w:w="30" w:type="dxa"/>
              <w:left w:w="20" w:type="dxa"/>
              <w:bottom w:w="30" w:type="dxa"/>
              <w:right w:w="20" w:type="dxa"/>
            </w:tcMar>
            <w:vAlign w:val="center"/>
            <w:hideMark/>
          </w:tcPr>
          <w:p w14:paraId="30E62057"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0773846C"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5ABDC67"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D334BF5" w14:textId="77777777" w:rsidR="00000000" w:rsidRDefault="00A173A8">
            <w:pPr>
              <w:spacing w:after="100"/>
              <w:jc w:val="right"/>
              <w:rPr>
                <w:rFonts w:eastAsia="Times New Roman"/>
              </w:rPr>
            </w:pPr>
            <w:r>
              <w:rPr>
                <w:rFonts w:eastAsia="Times New Roman"/>
                <w:b/>
                <w:bCs/>
                <w:color w:val="000000"/>
                <w:sz w:val="20"/>
                <w:szCs w:val="20"/>
              </w:rPr>
              <w:t>37,845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3F5EF9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62C4E"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B0E971B" w14:textId="77777777" w:rsidR="00000000" w:rsidRDefault="00A173A8">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9C7E0CB"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4079A7E" w14:textId="77777777" w:rsidR="00000000" w:rsidRDefault="00A173A8">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2BED04D"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D4A15FA" w14:textId="77777777" w:rsidR="00000000" w:rsidRDefault="00A173A8">
            <w:pPr>
              <w:spacing w:after="100"/>
              <w:jc w:val="right"/>
              <w:rPr>
                <w:rFonts w:eastAsia="Times New Roman"/>
              </w:rPr>
            </w:pPr>
            <w:r>
              <w:rPr>
                <w:rFonts w:eastAsia="Times New Roman"/>
                <w:color w:val="000000"/>
                <w:sz w:val="20"/>
                <w:szCs w:val="20"/>
              </w:rPr>
              <w:t>35,262 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E3A09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822955"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3785B20" w14:textId="77777777" w:rsidR="00000000" w:rsidRDefault="00A173A8">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B4CABC6" w14:textId="77777777" w:rsidR="00000000" w:rsidRDefault="00A173A8">
            <w:pPr>
              <w:spacing w:after="100"/>
              <w:jc w:val="right"/>
              <w:rPr>
                <w:rFonts w:eastAsia="Times New Roman"/>
              </w:rPr>
            </w:pPr>
            <w:r>
              <w:rPr>
                <w:rFonts w:eastAsia="Times New Roman"/>
                <w:color w:val="000000"/>
                <w:sz w:val="20"/>
                <w:szCs w:val="20"/>
              </w:rPr>
              <w:t>%</w:t>
            </w:r>
          </w:p>
        </w:tc>
      </w:tr>
    </w:tbl>
    <w:p w14:paraId="762B1DFD" w14:textId="77777777" w:rsidR="00000000" w:rsidRDefault="00A173A8">
      <w:pPr>
        <w:jc w:val="both"/>
        <w:divId w:val="1200240137"/>
        <w:rPr>
          <w:rFonts w:eastAsia="Times New Roman"/>
        </w:rPr>
      </w:pPr>
      <w:r>
        <w:rPr>
          <w:rFonts w:eastAsia="Times New Roman"/>
          <w:color w:val="000000"/>
          <w:sz w:val="20"/>
          <w:szCs w:val="20"/>
        </w:rPr>
        <w:t>__________</w:t>
      </w:r>
    </w:p>
    <w:p w14:paraId="6F2A6267" w14:textId="77777777" w:rsidR="00000000" w:rsidRDefault="00A173A8">
      <w:pPr>
        <w:ind w:hanging="360"/>
        <w:jc w:val="both"/>
        <w:divId w:val="15322908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Geographic concentration is generally determined by the location of the borrower’</w:t>
      </w:r>
      <w:r>
        <w:rPr>
          <w:rFonts w:eastAsia="Times New Roman"/>
          <w:color w:val="000000"/>
          <w:sz w:val="16"/>
          <w:szCs w:val="16"/>
        </w:rPr>
        <w:t>s business or the location of the collateral associated with the loan. Northeast consists of CT, MA, ME, NH, NJ, NY, PA, RI and VT. South consists of AL, AR, FL, GA, KY, LA, MS, NC, OK, SC, TN and TX. Pacific West consists of: AK, CA, HI, OR and WA. Mid-At</w:t>
      </w:r>
      <w:r>
        <w:rPr>
          <w:rFonts w:eastAsia="Times New Roman"/>
          <w:color w:val="000000"/>
          <w:sz w:val="16"/>
          <w:szCs w:val="16"/>
        </w:rPr>
        <w:t>lantic consists of DC, DE, MD, VA and WV. Midwest consists of: IA, IL, IN, KS, MI, MN, MO, ND, NE, OH, SD and WI. Mountain consists of: AZ, CO, ID, MT, NM, NV, UT and WY.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F40AF82" w14:textId="77777777">
        <w:trPr>
          <w:divId w:val="729571072"/>
          <w:jc w:val="center"/>
        </w:trPr>
        <w:tc>
          <w:tcPr>
            <w:tcW w:w="50" w:type="pct"/>
            <w:vAlign w:val="center"/>
            <w:hideMark/>
          </w:tcPr>
          <w:p w14:paraId="480DEE0C" w14:textId="77777777" w:rsidR="00000000" w:rsidRDefault="00A173A8">
            <w:pPr>
              <w:ind w:hanging="360"/>
              <w:jc w:val="both"/>
              <w:rPr>
                <w:rFonts w:eastAsia="Times New Roman"/>
              </w:rPr>
            </w:pPr>
          </w:p>
        </w:tc>
        <w:tc>
          <w:tcPr>
            <w:tcW w:w="1606" w:type="pct"/>
            <w:vAlign w:val="center"/>
            <w:hideMark/>
          </w:tcPr>
          <w:p w14:paraId="59721A19" w14:textId="77777777" w:rsidR="00000000" w:rsidRDefault="00A173A8">
            <w:pPr>
              <w:spacing w:after="100"/>
              <w:rPr>
                <w:rFonts w:eastAsia="Times New Roman"/>
                <w:sz w:val="20"/>
                <w:szCs w:val="20"/>
              </w:rPr>
            </w:pPr>
          </w:p>
        </w:tc>
        <w:tc>
          <w:tcPr>
            <w:tcW w:w="5" w:type="pct"/>
            <w:vAlign w:val="center"/>
            <w:hideMark/>
          </w:tcPr>
          <w:p w14:paraId="096025D3" w14:textId="77777777" w:rsidR="00000000" w:rsidRDefault="00A173A8">
            <w:pPr>
              <w:spacing w:after="100"/>
              <w:rPr>
                <w:rFonts w:eastAsia="Times New Roman"/>
                <w:sz w:val="20"/>
                <w:szCs w:val="20"/>
              </w:rPr>
            </w:pPr>
          </w:p>
        </w:tc>
        <w:tc>
          <w:tcPr>
            <w:tcW w:w="50" w:type="pct"/>
            <w:vAlign w:val="center"/>
            <w:hideMark/>
          </w:tcPr>
          <w:p w14:paraId="4897C2FA" w14:textId="77777777" w:rsidR="00000000" w:rsidRDefault="00A173A8">
            <w:pPr>
              <w:spacing w:after="100"/>
              <w:rPr>
                <w:rFonts w:eastAsia="Times New Roman"/>
                <w:sz w:val="20"/>
                <w:szCs w:val="20"/>
              </w:rPr>
            </w:pPr>
          </w:p>
        </w:tc>
        <w:tc>
          <w:tcPr>
            <w:tcW w:w="1614" w:type="pct"/>
            <w:vAlign w:val="center"/>
            <w:hideMark/>
          </w:tcPr>
          <w:p w14:paraId="011FDAEC" w14:textId="77777777" w:rsidR="00000000" w:rsidRDefault="00A173A8">
            <w:pPr>
              <w:spacing w:after="100"/>
              <w:rPr>
                <w:rFonts w:eastAsia="Times New Roman"/>
                <w:sz w:val="20"/>
                <w:szCs w:val="20"/>
              </w:rPr>
            </w:pPr>
          </w:p>
        </w:tc>
        <w:tc>
          <w:tcPr>
            <w:tcW w:w="5" w:type="pct"/>
            <w:vAlign w:val="center"/>
            <w:hideMark/>
          </w:tcPr>
          <w:p w14:paraId="3E1E4B01" w14:textId="77777777" w:rsidR="00000000" w:rsidRDefault="00A173A8">
            <w:pPr>
              <w:spacing w:after="100"/>
              <w:rPr>
                <w:rFonts w:eastAsia="Times New Roman"/>
                <w:sz w:val="20"/>
                <w:szCs w:val="20"/>
              </w:rPr>
            </w:pPr>
          </w:p>
        </w:tc>
        <w:tc>
          <w:tcPr>
            <w:tcW w:w="50" w:type="pct"/>
            <w:vAlign w:val="center"/>
            <w:hideMark/>
          </w:tcPr>
          <w:p w14:paraId="2B3032D8" w14:textId="77777777" w:rsidR="00000000" w:rsidRDefault="00A173A8">
            <w:pPr>
              <w:spacing w:after="100"/>
              <w:rPr>
                <w:rFonts w:eastAsia="Times New Roman"/>
                <w:sz w:val="20"/>
                <w:szCs w:val="20"/>
              </w:rPr>
            </w:pPr>
          </w:p>
        </w:tc>
        <w:tc>
          <w:tcPr>
            <w:tcW w:w="1614" w:type="pct"/>
            <w:vAlign w:val="center"/>
            <w:hideMark/>
          </w:tcPr>
          <w:p w14:paraId="731B405D" w14:textId="77777777" w:rsidR="00000000" w:rsidRDefault="00A173A8">
            <w:pPr>
              <w:spacing w:after="100"/>
              <w:rPr>
                <w:rFonts w:eastAsia="Times New Roman"/>
                <w:sz w:val="20"/>
                <w:szCs w:val="20"/>
              </w:rPr>
            </w:pPr>
          </w:p>
        </w:tc>
        <w:tc>
          <w:tcPr>
            <w:tcW w:w="5" w:type="pct"/>
            <w:vAlign w:val="center"/>
            <w:hideMark/>
          </w:tcPr>
          <w:p w14:paraId="77811CF4" w14:textId="77777777" w:rsidR="00000000" w:rsidRDefault="00A173A8">
            <w:pPr>
              <w:spacing w:after="100"/>
              <w:rPr>
                <w:rFonts w:eastAsia="Times New Roman"/>
                <w:sz w:val="20"/>
                <w:szCs w:val="20"/>
              </w:rPr>
            </w:pPr>
          </w:p>
        </w:tc>
      </w:tr>
      <w:tr w:rsidR="00000000" w14:paraId="2B4989CD" w14:textId="77777777">
        <w:trPr>
          <w:divId w:val="729571072"/>
          <w:trHeight w:val="300"/>
          <w:jc w:val="center"/>
        </w:trPr>
        <w:tc>
          <w:tcPr>
            <w:tcW w:w="0" w:type="auto"/>
            <w:gridSpan w:val="9"/>
            <w:tcMar>
              <w:top w:w="0" w:type="dxa"/>
              <w:left w:w="20" w:type="dxa"/>
              <w:bottom w:w="0" w:type="dxa"/>
              <w:right w:w="20" w:type="dxa"/>
            </w:tcMar>
            <w:vAlign w:val="center"/>
            <w:hideMark/>
          </w:tcPr>
          <w:p w14:paraId="5F99D33C" w14:textId="77777777" w:rsidR="00000000" w:rsidRDefault="00A173A8">
            <w:pPr>
              <w:spacing w:after="100"/>
              <w:rPr>
                <w:rFonts w:eastAsia="Times New Roman"/>
                <w:sz w:val="20"/>
                <w:szCs w:val="20"/>
              </w:rPr>
            </w:pPr>
          </w:p>
        </w:tc>
      </w:tr>
      <w:tr w:rsidR="00000000" w14:paraId="52C5A0D4" w14:textId="77777777">
        <w:trPr>
          <w:divId w:val="729571072"/>
          <w:jc w:val="center"/>
        </w:trPr>
        <w:tc>
          <w:tcPr>
            <w:tcW w:w="0" w:type="auto"/>
            <w:gridSpan w:val="3"/>
            <w:tcMar>
              <w:top w:w="0" w:type="dxa"/>
              <w:left w:w="20" w:type="dxa"/>
              <w:bottom w:w="0" w:type="dxa"/>
              <w:right w:w="20" w:type="dxa"/>
            </w:tcMar>
            <w:vAlign w:val="center"/>
            <w:hideMark/>
          </w:tcPr>
          <w:p w14:paraId="3F38519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E9FF390" w14:textId="77777777" w:rsidR="00000000" w:rsidRDefault="00A173A8">
            <w:pPr>
              <w:spacing w:after="100"/>
              <w:jc w:val="center"/>
              <w:rPr>
                <w:rFonts w:eastAsia="Times New Roman"/>
              </w:rPr>
            </w:pPr>
            <w:r>
              <w:rPr>
                <w:rFonts w:eastAsia="Times New Roman"/>
                <w:color w:val="000000"/>
                <w:sz w:val="16"/>
                <w:szCs w:val="16"/>
              </w:rPr>
              <w:t>37</w:t>
            </w:r>
          </w:p>
        </w:tc>
        <w:tc>
          <w:tcPr>
            <w:tcW w:w="0" w:type="auto"/>
            <w:gridSpan w:val="3"/>
            <w:tcMar>
              <w:top w:w="30" w:type="dxa"/>
              <w:left w:w="20" w:type="dxa"/>
              <w:bottom w:w="30" w:type="dxa"/>
              <w:right w:w="20" w:type="dxa"/>
            </w:tcMar>
            <w:vAlign w:val="bottom"/>
            <w:hideMark/>
          </w:tcPr>
          <w:p w14:paraId="094FBB00"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2B7B6D7" w14:textId="77777777" w:rsidR="00000000" w:rsidRDefault="00A173A8">
      <w:pPr>
        <w:rPr>
          <w:rFonts w:eastAsia="Times New Roman"/>
        </w:rPr>
      </w:pPr>
      <w:r>
        <w:rPr>
          <w:rFonts w:eastAsia="Times New Roman"/>
        </w:rPr>
        <w:pict w14:anchorId="33595D16">
          <v:rect id="_x0000_i1062" style="width:0;height:1.5pt" o:hralign="center" o:hrstd="t" o:hr="t" fillcolor="#a0a0a0" stroked="f"/>
        </w:pict>
      </w:r>
    </w:p>
    <w:p w14:paraId="5CEE1711" w14:textId="77777777" w:rsidR="00000000" w:rsidRDefault="00A173A8">
      <w:pPr>
        <w:ind w:hanging="360"/>
        <w:jc w:val="both"/>
        <w:divId w:val="733548701"/>
        <w:rPr>
          <w:rFonts w:eastAsia="Times New Roman"/>
        </w:rPr>
      </w:pPr>
      <w:hyperlink w:anchor="i7ffd5d61af6f4722b1b1b07530d51c06_13" w:history="1">
        <w:r>
          <w:rPr>
            <w:rStyle w:val="a3"/>
            <w:rFonts w:eastAsia="Times New Roman"/>
            <w:sz w:val="16"/>
            <w:szCs w:val="16"/>
          </w:rPr>
          <w:t>Table of Contents</w:t>
        </w:r>
      </w:hyperlink>
    </w:p>
    <w:p w14:paraId="34F7D387" w14:textId="77777777" w:rsidR="00000000" w:rsidRDefault="00A173A8">
      <w:pPr>
        <w:divId w:val="2069841744"/>
        <w:rPr>
          <w:rFonts w:eastAsia="Times New Roman"/>
        </w:rPr>
      </w:pPr>
      <w:r>
        <w:rPr>
          <w:rFonts w:eastAsia="Times New Roman"/>
          <w:b/>
          <w:bCs/>
          <w:color w:val="000000"/>
          <w:sz w:val="20"/>
          <w:szCs w:val="20"/>
        </w:rPr>
        <w:t>Commercial Loans by Industry</w:t>
      </w:r>
    </w:p>
    <w:p w14:paraId="227A9F30" w14:textId="77777777" w:rsidR="00000000" w:rsidRDefault="00A173A8">
      <w:pPr>
        <w:jc w:val="both"/>
        <w:divId w:val="1909610764"/>
        <w:rPr>
          <w:rFonts w:eastAsia="Times New Roman"/>
        </w:rPr>
      </w:pPr>
      <w:r>
        <w:rPr>
          <w:rFonts w:eastAsia="Times New Roman"/>
          <w:color w:val="000000"/>
          <w:sz w:val="20"/>
          <w:szCs w:val="20"/>
        </w:rPr>
        <w:t>Table 20 summarizes our commercial loans held for investment portfolio by industry classification as of June 30, 2</w:t>
      </w:r>
      <w:r>
        <w:rPr>
          <w:rFonts w:eastAsia="Times New Roman"/>
          <w:color w:val="000000"/>
          <w:sz w:val="20"/>
          <w:szCs w:val="20"/>
        </w:rPr>
        <w:t xml:space="preserve">022 and December 31, 2021. Industry classifications below are based on our interpretation of the North American Industry Classification System codes as they pertain to each individual loan. </w:t>
      </w:r>
    </w:p>
    <w:p w14:paraId="5539B04E" w14:textId="77777777" w:rsidR="00000000" w:rsidRDefault="00A173A8">
      <w:pPr>
        <w:divId w:val="1135220599"/>
        <w:rPr>
          <w:rFonts w:eastAsia="Times New Roman"/>
        </w:rPr>
      </w:pPr>
      <w:r>
        <w:rPr>
          <w:rFonts w:eastAsia="Times New Roman"/>
          <w:b/>
          <w:bCs/>
          <w:color w:val="000000"/>
          <w:sz w:val="18"/>
          <w:szCs w:val="18"/>
        </w:rPr>
        <w:t xml:space="preserve">Table 20: </w:t>
      </w:r>
      <w:r>
        <w:rPr>
          <w:rFonts w:eastAsia="Times New Roman"/>
          <w:b/>
          <w:bCs/>
          <w:color w:val="000000"/>
          <w:sz w:val="20"/>
          <w:szCs w:val="20"/>
        </w:rPr>
        <w:t>Commercial Loans by Industry</w:t>
      </w:r>
    </w:p>
    <w:tbl>
      <w:tblPr>
        <w:tblW w:w="5000" w:type="pct"/>
        <w:tblCellMar>
          <w:top w:w="15" w:type="dxa"/>
          <w:left w:w="15" w:type="dxa"/>
          <w:bottom w:w="15" w:type="dxa"/>
          <w:right w:w="15" w:type="dxa"/>
        </w:tblCellMar>
        <w:tblLook w:val="04A0" w:firstRow="1" w:lastRow="0" w:firstColumn="1" w:lastColumn="0" w:noHBand="0" w:noVBand="1"/>
      </w:tblPr>
      <w:tblGrid>
        <w:gridCol w:w="39"/>
        <w:gridCol w:w="5214"/>
        <w:gridCol w:w="38"/>
        <w:gridCol w:w="36"/>
        <w:gridCol w:w="36"/>
        <w:gridCol w:w="36"/>
        <w:gridCol w:w="37"/>
        <w:gridCol w:w="1159"/>
        <w:gridCol w:w="220"/>
        <w:gridCol w:w="36"/>
        <w:gridCol w:w="36"/>
        <w:gridCol w:w="36"/>
        <w:gridCol w:w="54"/>
        <w:gridCol w:w="1142"/>
        <w:gridCol w:w="187"/>
      </w:tblGrid>
      <w:tr w:rsidR="00000000" w14:paraId="52704FED" w14:textId="77777777">
        <w:trPr>
          <w:divId w:val="1432512986"/>
        </w:trPr>
        <w:tc>
          <w:tcPr>
            <w:tcW w:w="50" w:type="pct"/>
            <w:vAlign w:val="center"/>
            <w:hideMark/>
          </w:tcPr>
          <w:p w14:paraId="212D7F33" w14:textId="77777777" w:rsidR="00000000" w:rsidRDefault="00A173A8">
            <w:pPr>
              <w:rPr>
                <w:rFonts w:eastAsia="Times New Roman"/>
              </w:rPr>
            </w:pPr>
          </w:p>
        </w:tc>
        <w:tc>
          <w:tcPr>
            <w:tcW w:w="3190" w:type="pct"/>
            <w:vAlign w:val="center"/>
            <w:hideMark/>
          </w:tcPr>
          <w:p w14:paraId="6975795A" w14:textId="77777777" w:rsidR="00000000" w:rsidRDefault="00A173A8">
            <w:pPr>
              <w:spacing w:after="100"/>
              <w:rPr>
                <w:rFonts w:eastAsia="Times New Roman"/>
                <w:sz w:val="20"/>
                <w:szCs w:val="20"/>
              </w:rPr>
            </w:pPr>
          </w:p>
        </w:tc>
        <w:tc>
          <w:tcPr>
            <w:tcW w:w="5" w:type="pct"/>
            <w:vAlign w:val="center"/>
            <w:hideMark/>
          </w:tcPr>
          <w:p w14:paraId="5ABD69E1" w14:textId="77777777" w:rsidR="00000000" w:rsidRDefault="00A173A8">
            <w:pPr>
              <w:spacing w:after="100"/>
              <w:rPr>
                <w:rFonts w:eastAsia="Times New Roman"/>
                <w:sz w:val="20"/>
                <w:szCs w:val="20"/>
              </w:rPr>
            </w:pPr>
          </w:p>
        </w:tc>
        <w:tc>
          <w:tcPr>
            <w:tcW w:w="5" w:type="pct"/>
            <w:vAlign w:val="center"/>
            <w:hideMark/>
          </w:tcPr>
          <w:p w14:paraId="2F93C411" w14:textId="77777777" w:rsidR="00000000" w:rsidRDefault="00A173A8">
            <w:pPr>
              <w:spacing w:after="100"/>
              <w:rPr>
                <w:rFonts w:eastAsia="Times New Roman"/>
                <w:sz w:val="20"/>
                <w:szCs w:val="20"/>
              </w:rPr>
            </w:pPr>
          </w:p>
        </w:tc>
        <w:tc>
          <w:tcPr>
            <w:tcW w:w="26" w:type="pct"/>
            <w:vAlign w:val="center"/>
            <w:hideMark/>
          </w:tcPr>
          <w:p w14:paraId="52D58628" w14:textId="77777777" w:rsidR="00000000" w:rsidRDefault="00A173A8">
            <w:pPr>
              <w:spacing w:after="100"/>
              <w:rPr>
                <w:rFonts w:eastAsia="Times New Roman"/>
                <w:sz w:val="20"/>
                <w:szCs w:val="20"/>
              </w:rPr>
            </w:pPr>
          </w:p>
        </w:tc>
        <w:tc>
          <w:tcPr>
            <w:tcW w:w="5" w:type="pct"/>
            <w:vAlign w:val="center"/>
            <w:hideMark/>
          </w:tcPr>
          <w:p w14:paraId="64889F65" w14:textId="77777777" w:rsidR="00000000" w:rsidRDefault="00A173A8">
            <w:pPr>
              <w:spacing w:after="100"/>
              <w:rPr>
                <w:rFonts w:eastAsia="Times New Roman"/>
                <w:sz w:val="20"/>
                <w:szCs w:val="20"/>
              </w:rPr>
            </w:pPr>
          </w:p>
        </w:tc>
        <w:tc>
          <w:tcPr>
            <w:tcW w:w="50" w:type="pct"/>
            <w:vAlign w:val="center"/>
            <w:hideMark/>
          </w:tcPr>
          <w:p w14:paraId="6857D0FD" w14:textId="77777777" w:rsidR="00000000" w:rsidRDefault="00A173A8">
            <w:pPr>
              <w:spacing w:after="100"/>
              <w:rPr>
                <w:rFonts w:eastAsia="Times New Roman"/>
                <w:sz w:val="20"/>
                <w:szCs w:val="20"/>
              </w:rPr>
            </w:pPr>
          </w:p>
        </w:tc>
        <w:tc>
          <w:tcPr>
            <w:tcW w:w="785" w:type="pct"/>
            <w:vAlign w:val="center"/>
            <w:hideMark/>
          </w:tcPr>
          <w:p w14:paraId="0BF957F3" w14:textId="77777777" w:rsidR="00000000" w:rsidRDefault="00A173A8">
            <w:pPr>
              <w:spacing w:after="100"/>
              <w:rPr>
                <w:rFonts w:eastAsia="Times New Roman"/>
                <w:sz w:val="20"/>
                <w:szCs w:val="20"/>
              </w:rPr>
            </w:pPr>
          </w:p>
        </w:tc>
        <w:tc>
          <w:tcPr>
            <w:tcW w:w="5" w:type="pct"/>
            <w:vAlign w:val="center"/>
            <w:hideMark/>
          </w:tcPr>
          <w:p w14:paraId="77AFB72D" w14:textId="77777777" w:rsidR="00000000" w:rsidRDefault="00A173A8">
            <w:pPr>
              <w:spacing w:after="100"/>
              <w:rPr>
                <w:rFonts w:eastAsia="Times New Roman"/>
                <w:sz w:val="20"/>
                <w:szCs w:val="20"/>
              </w:rPr>
            </w:pPr>
          </w:p>
        </w:tc>
        <w:tc>
          <w:tcPr>
            <w:tcW w:w="5" w:type="pct"/>
            <w:vAlign w:val="center"/>
            <w:hideMark/>
          </w:tcPr>
          <w:p w14:paraId="2B133881" w14:textId="77777777" w:rsidR="00000000" w:rsidRDefault="00A173A8">
            <w:pPr>
              <w:spacing w:after="100"/>
              <w:rPr>
                <w:rFonts w:eastAsia="Times New Roman"/>
                <w:sz w:val="20"/>
                <w:szCs w:val="20"/>
              </w:rPr>
            </w:pPr>
          </w:p>
        </w:tc>
        <w:tc>
          <w:tcPr>
            <w:tcW w:w="26" w:type="pct"/>
            <w:vAlign w:val="center"/>
            <w:hideMark/>
          </w:tcPr>
          <w:p w14:paraId="1B6B69C8" w14:textId="77777777" w:rsidR="00000000" w:rsidRDefault="00A173A8">
            <w:pPr>
              <w:spacing w:after="100"/>
              <w:rPr>
                <w:rFonts w:eastAsia="Times New Roman"/>
                <w:sz w:val="20"/>
                <w:szCs w:val="20"/>
              </w:rPr>
            </w:pPr>
          </w:p>
        </w:tc>
        <w:tc>
          <w:tcPr>
            <w:tcW w:w="5" w:type="pct"/>
            <w:vAlign w:val="center"/>
            <w:hideMark/>
          </w:tcPr>
          <w:p w14:paraId="02C5EAFC" w14:textId="77777777" w:rsidR="00000000" w:rsidRDefault="00A173A8">
            <w:pPr>
              <w:spacing w:after="100"/>
              <w:rPr>
                <w:rFonts w:eastAsia="Times New Roman"/>
                <w:sz w:val="20"/>
                <w:szCs w:val="20"/>
              </w:rPr>
            </w:pPr>
          </w:p>
        </w:tc>
        <w:tc>
          <w:tcPr>
            <w:tcW w:w="50" w:type="pct"/>
            <w:vAlign w:val="center"/>
            <w:hideMark/>
          </w:tcPr>
          <w:p w14:paraId="7DD48A67" w14:textId="77777777" w:rsidR="00000000" w:rsidRDefault="00A173A8">
            <w:pPr>
              <w:spacing w:after="100"/>
              <w:rPr>
                <w:rFonts w:eastAsia="Times New Roman"/>
                <w:sz w:val="20"/>
                <w:szCs w:val="20"/>
              </w:rPr>
            </w:pPr>
          </w:p>
        </w:tc>
        <w:tc>
          <w:tcPr>
            <w:tcW w:w="785" w:type="pct"/>
            <w:vAlign w:val="center"/>
            <w:hideMark/>
          </w:tcPr>
          <w:p w14:paraId="5DCE8ED9" w14:textId="77777777" w:rsidR="00000000" w:rsidRDefault="00A173A8">
            <w:pPr>
              <w:spacing w:after="100"/>
              <w:rPr>
                <w:rFonts w:eastAsia="Times New Roman"/>
                <w:sz w:val="20"/>
                <w:szCs w:val="20"/>
              </w:rPr>
            </w:pPr>
          </w:p>
        </w:tc>
        <w:tc>
          <w:tcPr>
            <w:tcW w:w="5" w:type="pct"/>
            <w:vAlign w:val="center"/>
            <w:hideMark/>
          </w:tcPr>
          <w:p w14:paraId="584B0E4C" w14:textId="77777777" w:rsidR="00000000" w:rsidRDefault="00A173A8">
            <w:pPr>
              <w:spacing w:after="100"/>
              <w:rPr>
                <w:rFonts w:eastAsia="Times New Roman"/>
                <w:sz w:val="20"/>
                <w:szCs w:val="20"/>
              </w:rPr>
            </w:pPr>
          </w:p>
        </w:tc>
      </w:tr>
      <w:tr w:rsidR="00000000" w14:paraId="62885737" w14:textId="77777777">
        <w:trPr>
          <w:divId w:val="1432512986"/>
        </w:trPr>
        <w:tc>
          <w:tcPr>
            <w:tcW w:w="0" w:type="auto"/>
            <w:gridSpan w:val="3"/>
            <w:tcMar>
              <w:top w:w="30" w:type="dxa"/>
              <w:left w:w="20" w:type="dxa"/>
              <w:bottom w:w="30" w:type="dxa"/>
              <w:right w:w="20" w:type="dxa"/>
            </w:tcMar>
            <w:vAlign w:val="bottom"/>
            <w:hideMark/>
          </w:tcPr>
          <w:p w14:paraId="39B71A87" w14:textId="77777777" w:rsidR="00000000" w:rsidRDefault="00A173A8">
            <w:pPr>
              <w:spacing w:after="100"/>
              <w:rPr>
                <w:rFonts w:eastAsia="Times New Roman"/>
              </w:rPr>
            </w:pPr>
            <w:r>
              <w:rPr>
                <w:rFonts w:eastAsia="Times New Roman"/>
                <w:i/>
                <w:iCs/>
                <w:color w:val="000000"/>
                <w:sz w:val="20"/>
                <w:szCs w:val="20"/>
              </w:rPr>
              <w:t>(Percentage of portfolio)</w:t>
            </w:r>
          </w:p>
        </w:tc>
        <w:tc>
          <w:tcPr>
            <w:tcW w:w="0" w:type="auto"/>
            <w:gridSpan w:val="3"/>
            <w:tcMar>
              <w:top w:w="0" w:type="dxa"/>
              <w:left w:w="20" w:type="dxa"/>
              <w:bottom w:w="0" w:type="dxa"/>
              <w:right w:w="20" w:type="dxa"/>
            </w:tcMar>
            <w:vAlign w:val="center"/>
            <w:hideMark/>
          </w:tcPr>
          <w:p w14:paraId="4081884E"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4456FB51"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57F42A3E"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0561DE"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51CBBEA6" w14:textId="77777777">
        <w:trPr>
          <w:divId w:val="14325129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386C375" w14:textId="77777777" w:rsidR="00000000" w:rsidRDefault="00A173A8">
            <w:pPr>
              <w:spacing w:after="100"/>
              <w:rPr>
                <w:rFonts w:eastAsia="Times New Roman"/>
              </w:rPr>
            </w:pPr>
            <w:r>
              <w:rPr>
                <w:rFonts w:eastAsia="Times New Roman"/>
                <w:b/>
                <w:bCs/>
                <w:color w:val="000000"/>
                <w:sz w:val="20"/>
                <w:szCs w:val="20"/>
              </w:rPr>
              <w:t>Industry Classification:</w:t>
            </w:r>
          </w:p>
        </w:tc>
        <w:tc>
          <w:tcPr>
            <w:tcW w:w="0" w:type="auto"/>
            <w:gridSpan w:val="3"/>
            <w:shd w:val="clear" w:color="auto" w:fill="CCEEFF"/>
            <w:tcMar>
              <w:top w:w="0" w:type="dxa"/>
              <w:left w:w="20" w:type="dxa"/>
              <w:bottom w:w="0" w:type="dxa"/>
              <w:right w:w="20" w:type="dxa"/>
            </w:tcMar>
            <w:vAlign w:val="center"/>
            <w:hideMark/>
          </w:tcPr>
          <w:p w14:paraId="04051741"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59D17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C656B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F98E10" w14:textId="77777777" w:rsidR="00000000" w:rsidRDefault="00A173A8">
            <w:pPr>
              <w:spacing w:after="100"/>
              <w:rPr>
                <w:rFonts w:eastAsia="Times New Roman"/>
                <w:sz w:val="20"/>
                <w:szCs w:val="20"/>
              </w:rPr>
            </w:pPr>
          </w:p>
        </w:tc>
      </w:tr>
      <w:tr w:rsidR="00000000" w14:paraId="2AC94DE4" w14:textId="77777777">
        <w:trPr>
          <w:divId w:val="1432512986"/>
        </w:trPr>
        <w:tc>
          <w:tcPr>
            <w:tcW w:w="0" w:type="auto"/>
            <w:gridSpan w:val="3"/>
            <w:shd w:val="clear" w:color="auto" w:fill="FFFFFF"/>
            <w:tcMar>
              <w:top w:w="30" w:type="dxa"/>
              <w:left w:w="245" w:type="dxa"/>
              <w:bottom w:w="30" w:type="dxa"/>
              <w:right w:w="20" w:type="dxa"/>
            </w:tcMar>
            <w:vAlign w:val="center"/>
            <w:hideMark/>
          </w:tcPr>
          <w:p w14:paraId="105DC10C" w14:textId="77777777" w:rsidR="00000000" w:rsidRDefault="00A173A8">
            <w:pPr>
              <w:spacing w:after="100"/>
              <w:rPr>
                <w:rFonts w:eastAsia="Times New Roman"/>
              </w:rPr>
            </w:pPr>
            <w:r>
              <w:rPr>
                <w:rFonts w:eastAsia="Times New Roman"/>
                <w:color w:val="000000"/>
                <w:sz w:val="20"/>
                <w:szCs w:val="20"/>
              </w:rPr>
              <w:t>Real estate</w:t>
            </w:r>
          </w:p>
        </w:tc>
        <w:tc>
          <w:tcPr>
            <w:tcW w:w="0" w:type="auto"/>
            <w:gridSpan w:val="3"/>
            <w:shd w:val="clear" w:color="auto" w:fill="FFFFFF"/>
            <w:tcMar>
              <w:top w:w="0" w:type="dxa"/>
              <w:left w:w="20" w:type="dxa"/>
              <w:bottom w:w="0" w:type="dxa"/>
              <w:right w:w="20" w:type="dxa"/>
            </w:tcMar>
            <w:vAlign w:val="center"/>
            <w:hideMark/>
          </w:tcPr>
          <w:p w14:paraId="77C39B8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633B19D" w14:textId="77777777" w:rsidR="00000000" w:rsidRDefault="00A173A8">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831A6D5"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3DA0835"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E799007" w14:textId="77777777" w:rsidR="00000000" w:rsidRDefault="00A173A8">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14:paraId="08972DEB" w14:textId="77777777" w:rsidR="00000000" w:rsidRDefault="00A173A8">
            <w:pPr>
              <w:spacing w:after="100"/>
              <w:jc w:val="right"/>
              <w:rPr>
                <w:rFonts w:eastAsia="Times New Roman"/>
              </w:rPr>
            </w:pPr>
            <w:r>
              <w:rPr>
                <w:rFonts w:eastAsia="Times New Roman"/>
                <w:color w:val="000000"/>
                <w:sz w:val="20"/>
                <w:szCs w:val="20"/>
              </w:rPr>
              <w:t>%</w:t>
            </w:r>
          </w:p>
        </w:tc>
      </w:tr>
      <w:tr w:rsidR="00000000" w14:paraId="45EED0F5" w14:textId="77777777">
        <w:trPr>
          <w:divId w:val="1432512986"/>
        </w:trPr>
        <w:tc>
          <w:tcPr>
            <w:tcW w:w="0" w:type="auto"/>
            <w:gridSpan w:val="3"/>
            <w:shd w:val="clear" w:color="auto" w:fill="CCEEFF"/>
            <w:tcMar>
              <w:top w:w="30" w:type="dxa"/>
              <w:left w:w="245" w:type="dxa"/>
              <w:bottom w:w="30" w:type="dxa"/>
              <w:right w:w="20" w:type="dxa"/>
            </w:tcMar>
            <w:vAlign w:val="center"/>
            <w:hideMark/>
          </w:tcPr>
          <w:p w14:paraId="07BDDC2E" w14:textId="77777777" w:rsidR="00000000" w:rsidRDefault="00A173A8">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0" w:type="dxa"/>
              <w:left w:w="20" w:type="dxa"/>
              <w:bottom w:w="0" w:type="dxa"/>
              <w:right w:w="20" w:type="dxa"/>
            </w:tcMar>
            <w:vAlign w:val="center"/>
            <w:hideMark/>
          </w:tcPr>
          <w:p w14:paraId="19B4749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AEA1202" w14:textId="77777777" w:rsidR="00000000" w:rsidRDefault="00A173A8">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0C1BD4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8265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348D22" w14:textId="77777777" w:rsidR="00000000" w:rsidRDefault="00A173A8">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14:paraId="701738E6" w14:textId="77777777" w:rsidR="00000000" w:rsidRDefault="00A173A8">
            <w:pPr>
              <w:spacing w:after="100"/>
              <w:jc w:val="right"/>
              <w:rPr>
                <w:rFonts w:eastAsia="Times New Roman"/>
              </w:rPr>
            </w:pPr>
          </w:p>
        </w:tc>
      </w:tr>
      <w:tr w:rsidR="00000000" w14:paraId="02A3ACF0" w14:textId="77777777">
        <w:trPr>
          <w:divId w:val="1432512986"/>
        </w:trPr>
        <w:tc>
          <w:tcPr>
            <w:tcW w:w="0" w:type="auto"/>
            <w:gridSpan w:val="3"/>
            <w:shd w:val="clear" w:color="auto" w:fill="FFFFFF"/>
            <w:tcMar>
              <w:top w:w="30" w:type="dxa"/>
              <w:left w:w="245" w:type="dxa"/>
              <w:bottom w:w="30" w:type="dxa"/>
              <w:right w:w="20" w:type="dxa"/>
            </w:tcMar>
            <w:vAlign w:val="center"/>
            <w:hideMark/>
          </w:tcPr>
          <w:p w14:paraId="75D31527" w14:textId="77777777" w:rsidR="00000000" w:rsidRDefault="00A173A8">
            <w:pPr>
              <w:spacing w:after="100"/>
              <w:rPr>
                <w:rFonts w:eastAsia="Times New Roman"/>
              </w:rPr>
            </w:pPr>
            <w:r>
              <w:rPr>
                <w:rFonts w:eastAsia="Times New Roman"/>
                <w:color w:val="000000"/>
                <w:sz w:val="20"/>
                <w:szCs w:val="20"/>
              </w:rPr>
              <w:t>Healthcare</w:t>
            </w:r>
          </w:p>
        </w:tc>
        <w:tc>
          <w:tcPr>
            <w:tcW w:w="0" w:type="auto"/>
            <w:gridSpan w:val="3"/>
            <w:shd w:val="clear" w:color="auto" w:fill="FFFFFF"/>
            <w:tcMar>
              <w:top w:w="0" w:type="dxa"/>
              <w:left w:w="20" w:type="dxa"/>
              <w:bottom w:w="0" w:type="dxa"/>
              <w:right w:w="20" w:type="dxa"/>
            </w:tcMar>
            <w:vAlign w:val="center"/>
            <w:hideMark/>
          </w:tcPr>
          <w:p w14:paraId="3DDF645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E1847AD" w14:textId="77777777" w:rsidR="00000000" w:rsidRDefault="00A173A8">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4827FE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729D4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07D7FA" w14:textId="77777777" w:rsidR="00000000" w:rsidRDefault="00A173A8">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center"/>
            <w:hideMark/>
          </w:tcPr>
          <w:p w14:paraId="74F553FB" w14:textId="77777777" w:rsidR="00000000" w:rsidRDefault="00A173A8">
            <w:pPr>
              <w:spacing w:after="100"/>
              <w:jc w:val="right"/>
              <w:rPr>
                <w:rFonts w:eastAsia="Times New Roman"/>
              </w:rPr>
            </w:pPr>
          </w:p>
        </w:tc>
      </w:tr>
      <w:tr w:rsidR="00000000" w14:paraId="27574E09" w14:textId="77777777">
        <w:trPr>
          <w:divId w:val="1432512986"/>
        </w:trPr>
        <w:tc>
          <w:tcPr>
            <w:tcW w:w="0" w:type="auto"/>
            <w:gridSpan w:val="3"/>
            <w:shd w:val="clear" w:color="auto" w:fill="CCEEFF"/>
            <w:tcMar>
              <w:top w:w="30" w:type="dxa"/>
              <w:left w:w="245" w:type="dxa"/>
              <w:bottom w:w="30" w:type="dxa"/>
              <w:right w:w="20" w:type="dxa"/>
            </w:tcMar>
            <w:vAlign w:val="center"/>
            <w:hideMark/>
          </w:tcPr>
          <w:p w14:paraId="5C2E2444" w14:textId="77777777" w:rsidR="00000000" w:rsidRDefault="00A173A8">
            <w:pPr>
              <w:spacing w:after="100"/>
              <w:rPr>
                <w:rFonts w:eastAsia="Times New Roman"/>
              </w:rPr>
            </w:pPr>
            <w:r>
              <w:rPr>
                <w:rFonts w:eastAsia="Times New Roman"/>
                <w:color w:val="000000"/>
                <w:sz w:val="20"/>
                <w:szCs w:val="20"/>
              </w:rPr>
              <w:t>Business services</w:t>
            </w:r>
          </w:p>
        </w:tc>
        <w:tc>
          <w:tcPr>
            <w:tcW w:w="0" w:type="auto"/>
            <w:gridSpan w:val="3"/>
            <w:shd w:val="clear" w:color="auto" w:fill="CCEEFF"/>
            <w:tcMar>
              <w:top w:w="0" w:type="dxa"/>
              <w:left w:w="20" w:type="dxa"/>
              <w:bottom w:w="0" w:type="dxa"/>
              <w:right w:w="20" w:type="dxa"/>
            </w:tcMar>
            <w:vAlign w:val="center"/>
            <w:hideMark/>
          </w:tcPr>
          <w:p w14:paraId="71321D9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AA544DB" w14:textId="77777777" w:rsidR="00000000" w:rsidRDefault="00A173A8">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14F3E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6561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C269A1" w14:textId="77777777" w:rsidR="00000000" w:rsidRDefault="00A173A8">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center"/>
            <w:hideMark/>
          </w:tcPr>
          <w:p w14:paraId="4A5B3043" w14:textId="77777777" w:rsidR="00000000" w:rsidRDefault="00A173A8">
            <w:pPr>
              <w:spacing w:after="100"/>
              <w:jc w:val="right"/>
              <w:rPr>
                <w:rFonts w:eastAsia="Times New Roman"/>
              </w:rPr>
            </w:pPr>
          </w:p>
        </w:tc>
      </w:tr>
      <w:tr w:rsidR="00000000" w14:paraId="6339EA14" w14:textId="77777777">
        <w:trPr>
          <w:divId w:val="1432512986"/>
        </w:trPr>
        <w:tc>
          <w:tcPr>
            <w:tcW w:w="0" w:type="auto"/>
            <w:gridSpan w:val="3"/>
            <w:shd w:val="clear" w:color="auto" w:fill="FFFFFF"/>
            <w:tcMar>
              <w:top w:w="30" w:type="dxa"/>
              <w:left w:w="245" w:type="dxa"/>
              <w:bottom w:w="30" w:type="dxa"/>
              <w:right w:w="20" w:type="dxa"/>
            </w:tcMar>
            <w:vAlign w:val="center"/>
            <w:hideMark/>
          </w:tcPr>
          <w:p w14:paraId="5B5984FC" w14:textId="77777777" w:rsidR="00000000" w:rsidRDefault="00A173A8">
            <w:pPr>
              <w:spacing w:after="100"/>
              <w:rPr>
                <w:rFonts w:eastAsia="Times New Roman"/>
              </w:rPr>
            </w:pPr>
            <w:r>
              <w:rPr>
                <w:rFonts w:eastAsia="Times New Roman"/>
                <w:color w:val="000000"/>
                <w:sz w:val="20"/>
                <w:szCs w:val="20"/>
              </w:rPr>
              <w:t>Educational services</w:t>
            </w:r>
          </w:p>
        </w:tc>
        <w:tc>
          <w:tcPr>
            <w:tcW w:w="0" w:type="auto"/>
            <w:gridSpan w:val="3"/>
            <w:shd w:val="clear" w:color="auto" w:fill="FFFFFF"/>
            <w:tcMar>
              <w:top w:w="0" w:type="dxa"/>
              <w:left w:w="20" w:type="dxa"/>
              <w:bottom w:w="0" w:type="dxa"/>
              <w:right w:w="20" w:type="dxa"/>
            </w:tcMar>
            <w:vAlign w:val="center"/>
            <w:hideMark/>
          </w:tcPr>
          <w:p w14:paraId="144FAFF6"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01E1FDF" w14:textId="77777777" w:rsidR="00000000" w:rsidRDefault="00A173A8">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EB98DF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93D4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001412" w14:textId="77777777" w:rsidR="00000000" w:rsidRDefault="00A173A8">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center"/>
            <w:hideMark/>
          </w:tcPr>
          <w:p w14:paraId="710EE37B" w14:textId="77777777" w:rsidR="00000000" w:rsidRDefault="00A173A8">
            <w:pPr>
              <w:spacing w:after="100"/>
              <w:jc w:val="right"/>
              <w:rPr>
                <w:rFonts w:eastAsia="Times New Roman"/>
              </w:rPr>
            </w:pPr>
          </w:p>
        </w:tc>
      </w:tr>
      <w:tr w:rsidR="00000000" w14:paraId="37BE919B" w14:textId="77777777">
        <w:trPr>
          <w:divId w:val="1432512986"/>
        </w:trPr>
        <w:tc>
          <w:tcPr>
            <w:tcW w:w="0" w:type="auto"/>
            <w:gridSpan w:val="3"/>
            <w:shd w:val="clear" w:color="auto" w:fill="CCEEFF"/>
            <w:tcMar>
              <w:top w:w="30" w:type="dxa"/>
              <w:left w:w="245" w:type="dxa"/>
              <w:bottom w:w="30" w:type="dxa"/>
              <w:right w:w="20" w:type="dxa"/>
            </w:tcMar>
            <w:vAlign w:val="center"/>
            <w:hideMark/>
          </w:tcPr>
          <w:p w14:paraId="3FD5FFF8" w14:textId="77777777" w:rsidR="00000000" w:rsidRDefault="00A173A8">
            <w:pPr>
              <w:spacing w:after="100"/>
              <w:rPr>
                <w:rFonts w:eastAsia="Times New Roman"/>
              </w:rPr>
            </w:pPr>
            <w:r>
              <w:rPr>
                <w:rFonts w:eastAsia="Times New Roman"/>
                <w:color w:val="000000"/>
                <w:sz w:val="20"/>
                <w:szCs w:val="20"/>
              </w:rPr>
              <w:t>Public administration</w:t>
            </w:r>
          </w:p>
        </w:tc>
        <w:tc>
          <w:tcPr>
            <w:tcW w:w="0" w:type="auto"/>
            <w:gridSpan w:val="3"/>
            <w:shd w:val="clear" w:color="auto" w:fill="CCEEFF"/>
            <w:tcMar>
              <w:top w:w="0" w:type="dxa"/>
              <w:left w:w="20" w:type="dxa"/>
              <w:bottom w:w="0" w:type="dxa"/>
              <w:right w:w="20" w:type="dxa"/>
            </w:tcMar>
            <w:vAlign w:val="center"/>
            <w:hideMark/>
          </w:tcPr>
          <w:p w14:paraId="0FC9ACD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6F90647" w14:textId="77777777" w:rsidR="00000000" w:rsidRDefault="00A173A8">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A72BEE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1F64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2236F8" w14:textId="77777777" w:rsidR="00000000" w:rsidRDefault="00A173A8">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14:paraId="0EA3AA07" w14:textId="77777777" w:rsidR="00000000" w:rsidRDefault="00A173A8">
            <w:pPr>
              <w:spacing w:after="100"/>
              <w:jc w:val="right"/>
              <w:rPr>
                <w:rFonts w:eastAsia="Times New Roman"/>
              </w:rPr>
            </w:pPr>
          </w:p>
        </w:tc>
      </w:tr>
      <w:tr w:rsidR="00000000" w14:paraId="54C67784" w14:textId="77777777">
        <w:trPr>
          <w:divId w:val="1432512986"/>
        </w:trPr>
        <w:tc>
          <w:tcPr>
            <w:tcW w:w="0" w:type="auto"/>
            <w:gridSpan w:val="3"/>
            <w:shd w:val="clear" w:color="auto" w:fill="FFFFFF"/>
            <w:tcMar>
              <w:top w:w="30" w:type="dxa"/>
              <w:left w:w="245" w:type="dxa"/>
              <w:bottom w:w="30" w:type="dxa"/>
              <w:right w:w="20" w:type="dxa"/>
            </w:tcMar>
            <w:vAlign w:val="center"/>
            <w:hideMark/>
          </w:tcPr>
          <w:p w14:paraId="24E4B097" w14:textId="77777777" w:rsidR="00000000" w:rsidRDefault="00A173A8">
            <w:pPr>
              <w:spacing w:after="100"/>
              <w:rPr>
                <w:rFonts w:eastAsia="Times New Roman"/>
              </w:rPr>
            </w:pPr>
            <w:r>
              <w:rPr>
                <w:rFonts w:eastAsia="Times New Roman"/>
                <w:color w:val="000000"/>
                <w:sz w:val="20"/>
                <w:szCs w:val="20"/>
              </w:rPr>
              <w:t>Construction and land</w:t>
            </w:r>
          </w:p>
        </w:tc>
        <w:tc>
          <w:tcPr>
            <w:tcW w:w="0" w:type="auto"/>
            <w:gridSpan w:val="3"/>
            <w:shd w:val="clear" w:color="auto" w:fill="FFFFFF"/>
            <w:tcMar>
              <w:top w:w="0" w:type="dxa"/>
              <w:left w:w="20" w:type="dxa"/>
              <w:bottom w:w="0" w:type="dxa"/>
              <w:right w:w="20" w:type="dxa"/>
            </w:tcMar>
            <w:vAlign w:val="center"/>
            <w:hideMark/>
          </w:tcPr>
          <w:p w14:paraId="74575D0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99D7DF" w14:textId="77777777" w:rsidR="00000000" w:rsidRDefault="00A173A8">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6FB748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25C2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86EADC" w14:textId="77777777" w:rsidR="00000000" w:rsidRDefault="00A173A8">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14:paraId="02ECE2D3" w14:textId="77777777" w:rsidR="00000000" w:rsidRDefault="00A173A8">
            <w:pPr>
              <w:spacing w:after="100"/>
              <w:jc w:val="right"/>
              <w:rPr>
                <w:rFonts w:eastAsia="Times New Roman"/>
              </w:rPr>
            </w:pPr>
          </w:p>
        </w:tc>
      </w:tr>
      <w:tr w:rsidR="00000000" w14:paraId="51947DDE" w14:textId="77777777">
        <w:trPr>
          <w:divId w:val="1432512986"/>
        </w:trPr>
        <w:tc>
          <w:tcPr>
            <w:tcW w:w="0" w:type="auto"/>
            <w:gridSpan w:val="3"/>
            <w:shd w:val="clear" w:color="auto" w:fill="CCEEFF"/>
            <w:tcMar>
              <w:top w:w="30" w:type="dxa"/>
              <w:left w:w="245" w:type="dxa"/>
              <w:bottom w:w="30" w:type="dxa"/>
              <w:right w:w="20" w:type="dxa"/>
            </w:tcMar>
            <w:vAlign w:val="center"/>
            <w:hideMark/>
          </w:tcPr>
          <w:p w14:paraId="5CE3EC01" w14:textId="77777777" w:rsidR="00000000" w:rsidRDefault="00A173A8">
            <w:pPr>
              <w:spacing w:after="100"/>
              <w:rPr>
                <w:rFonts w:eastAsia="Times New Roman"/>
              </w:rPr>
            </w:pPr>
            <w:r>
              <w:rPr>
                <w:rFonts w:eastAsia="Times New Roman"/>
                <w:color w:val="000000"/>
                <w:sz w:val="20"/>
                <w:szCs w:val="20"/>
              </w:rPr>
              <w:t>Retail trade</w:t>
            </w:r>
          </w:p>
        </w:tc>
        <w:tc>
          <w:tcPr>
            <w:tcW w:w="0" w:type="auto"/>
            <w:gridSpan w:val="3"/>
            <w:shd w:val="clear" w:color="auto" w:fill="CCEEFF"/>
            <w:tcMar>
              <w:top w:w="0" w:type="dxa"/>
              <w:left w:w="20" w:type="dxa"/>
              <w:bottom w:w="0" w:type="dxa"/>
              <w:right w:w="20" w:type="dxa"/>
            </w:tcMar>
            <w:vAlign w:val="center"/>
            <w:hideMark/>
          </w:tcPr>
          <w:p w14:paraId="2EE1C62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7C375D" w14:textId="77777777" w:rsidR="00000000" w:rsidRDefault="00A173A8">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64B92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20339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67C53B" w14:textId="77777777" w:rsidR="00000000" w:rsidRDefault="00A173A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center"/>
            <w:hideMark/>
          </w:tcPr>
          <w:p w14:paraId="470623B4" w14:textId="77777777" w:rsidR="00000000" w:rsidRDefault="00A173A8">
            <w:pPr>
              <w:spacing w:after="100"/>
              <w:jc w:val="right"/>
              <w:rPr>
                <w:rFonts w:eastAsia="Times New Roman"/>
              </w:rPr>
            </w:pPr>
          </w:p>
        </w:tc>
      </w:tr>
      <w:tr w:rsidR="00000000" w14:paraId="10BA5EE4" w14:textId="77777777">
        <w:trPr>
          <w:divId w:val="1432512986"/>
        </w:trPr>
        <w:tc>
          <w:tcPr>
            <w:tcW w:w="0" w:type="auto"/>
            <w:gridSpan w:val="3"/>
            <w:shd w:val="clear" w:color="auto" w:fill="FFFFFF"/>
            <w:tcMar>
              <w:top w:w="30" w:type="dxa"/>
              <w:left w:w="245" w:type="dxa"/>
              <w:bottom w:w="30" w:type="dxa"/>
              <w:right w:w="20" w:type="dxa"/>
            </w:tcMar>
            <w:vAlign w:val="center"/>
            <w:hideMark/>
          </w:tcPr>
          <w:p w14:paraId="48AD8072" w14:textId="77777777" w:rsidR="00000000" w:rsidRDefault="00A173A8">
            <w:pPr>
              <w:spacing w:after="100"/>
              <w:rPr>
                <w:rFonts w:eastAsia="Times New Roman"/>
              </w:rPr>
            </w:pPr>
            <w:r>
              <w:rPr>
                <w:rFonts w:eastAsia="Times New Roman"/>
                <w:color w:val="000000"/>
                <w:sz w:val="20"/>
                <w:szCs w:val="20"/>
              </w:rPr>
              <w:t>Oil and gas</w:t>
            </w:r>
          </w:p>
        </w:tc>
        <w:tc>
          <w:tcPr>
            <w:tcW w:w="0" w:type="auto"/>
            <w:gridSpan w:val="3"/>
            <w:shd w:val="clear" w:color="auto" w:fill="FFFFFF"/>
            <w:tcMar>
              <w:top w:w="0" w:type="dxa"/>
              <w:left w:w="20" w:type="dxa"/>
              <w:bottom w:w="0" w:type="dxa"/>
              <w:right w:w="20" w:type="dxa"/>
            </w:tcMar>
            <w:vAlign w:val="center"/>
            <w:hideMark/>
          </w:tcPr>
          <w:p w14:paraId="4325643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C83554D" w14:textId="77777777" w:rsidR="00000000" w:rsidRDefault="00A173A8">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56C15F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4221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EB9E85" w14:textId="77777777" w:rsidR="00000000" w:rsidRDefault="00A173A8">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center"/>
            <w:hideMark/>
          </w:tcPr>
          <w:p w14:paraId="112D44F0" w14:textId="77777777" w:rsidR="00000000" w:rsidRDefault="00A173A8">
            <w:pPr>
              <w:spacing w:after="100"/>
              <w:jc w:val="right"/>
              <w:rPr>
                <w:rFonts w:eastAsia="Times New Roman"/>
              </w:rPr>
            </w:pPr>
          </w:p>
        </w:tc>
      </w:tr>
      <w:tr w:rsidR="00000000" w14:paraId="6996D89F" w14:textId="77777777">
        <w:trPr>
          <w:divId w:val="1432512986"/>
        </w:trPr>
        <w:tc>
          <w:tcPr>
            <w:tcW w:w="0" w:type="auto"/>
            <w:gridSpan w:val="3"/>
            <w:shd w:val="clear" w:color="auto" w:fill="CCEEFF"/>
            <w:tcMar>
              <w:top w:w="30" w:type="dxa"/>
              <w:left w:w="245" w:type="dxa"/>
              <w:bottom w:w="30" w:type="dxa"/>
              <w:right w:w="20" w:type="dxa"/>
            </w:tcMar>
            <w:vAlign w:val="center"/>
            <w:hideMark/>
          </w:tcPr>
          <w:p w14:paraId="58D7110A" w14:textId="77777777" w:rsidR="00000000" w:rsidRDefault="00A173A8">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14:paraId="4DB5A00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BC8D587" w14:textId="77777777" w:rsidR="00000000" w:rsidRDefault="00A173A8">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2B4839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29391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80A762" w14:textId="77777777" w:rsidR="00000000" w:rsidRDefault="00A173A8">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center"/>
            <w:hideMark/>
          </w:tcPr>
          <w:p w14:paraId="2CA24DFE" w14:textId="77777777" w:rsidR="00000000" w:rsidRDefault="00A173A8">
            <w:pPr>
              <w:spacing w:after="100"/>
              <w:jc w:val="right"/>
              <w:rPr>
                <w:rFonts w:eastAsia="Times New Roman"/>
              </w:rPr>
            </w:pPr>
          </w:p>
        </w:tc>
      </w:tr>
      <w:tr w:rsidR="00000000" w14:paraId="4AD765F7" w14:textId="77777777">
        <w:trPr>
          <w:divId w:val="1432512986"/>
        </w:trPr>
        <w:tc>
          <w:tcPr>
            <w:tcW w:w="0" w:type="auto"/>
            <w:gridSpan w:val="3"/>
            <w:shd w:val="clear" w:color="auto" w:fill="FFFFFF"/>
            <w:tcMar>
              <w:top w:w="30" w:type="dxa"/>
              <w:left w:w="20" w:type="dxa"/>
              <w:bottom w:w="30" w:type="dxa"/>
              <w:right w:w="20" w:type="dxa"/>
            </w:tcMar>
            <w:vAlign w:val="center"/>
            <w:hideMark/>
          </w:tcPr>
          <w:p w14:paraId="5B013350"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581A5EF3" w14:textId="77777777" w:rsidR="00000000" w:rsidRDefault="00A173A8">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6B976C8" w14:textId="77777777" w:rsidR="00000000" w:rsidRDefault="00A173A8">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40E9CB8"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9EEBF4" w14:textId="77777777" w:rsidR="00000000" w:rsidRDefault="00A173A8">
            <w:pPr>
              <w:spacing w:after="100"/>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ECEB074" w14:textId="77777777" w:rsidR="00000000" w:rsidRDefault="00A173A8">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A54308D" w14:textId="77777777" w:rsidR="00000000" w:rsidRDefault="00A173A8">
            <w:pPr>
              <w:spacing w:after="100"/>
              <w:jc w:val="right"/>
              <w:rPr>
                <w:rFonts w:eastAsia="Times New Roman"/>
              </w:rPr>
            </w:pPr>
            <w:r>
              <w:rPr>
                <w:rFonts w:eastAsia="Times New Roman"/>
                <w:color w:val="000000"/>
                <w:sz w:val="20"/>
                <w:szCs w:val="20"/>
              </w:rPr>
              <w:t>%</w:t>
            </w:r>
          </w:p>
        </w:tc>
      </w:tr>
    </w:tbl>
    <w:p w14:paraId="446F9F47" w14:textId="77777777" w:rsidR="00000000" w:rsidRDefault="00A173A8">
      <w:pPr>
        <w:divId w:val="1948466489"/>
        <w:rPr>
          <w:rFonts w:eastAsia="Times New Roman"/>
        </w:rPr>
      </w:pPr>
      <w:r>
        <w:rPr>
          <w:rFonts w:eastAsia="Times New Roman"/>
          <w:b/>
          <w:bCs/>
          <w:color w:val="000000"/>
          <w:sz w:val="20"/>
          <w:szCs w:val="20"/>
        </w:rPr>
        <w:t>Credit Risk Measurement</w:t>
      </w:r>
    </w:p>
    <w:p w14:paraId="093E4BE0" w14:textId="77777777" w:rsidR="00000000" w:rsidRDefault="00A173A8">
      <w:pPr>
        <w:jc w:val="both"/>
        <w:divId w:val="1010835686"/>
        <w:rPr>
          <w:rFonts w:eastAsia="Times New Roman"/>
        </w:rPr>
      </w:pPr>
      <w:r>
        <w:rPr>
          <w:rFonts w:eastAsia="Times New Roman"/>
          <w:color w:val="000000"/>
          <w:sz w:val="20"/>
          <w:szCs w:val="20"/>
        </w:rPr>
        <w:t>We closely monitor economic conditions and loan performance trends to assess and manage our exposure to credit risk. Trends in delinquency rates are the key credit quality indicator for our credit card and retail banking loan portfo</w:t>
      </w:r>
      <w:r>
        <w:rPr>
          <w:rFonts w:eastAsia="Times New Roman"/>
          <w:color w:val="000000"/>
          <w:sz w:val="20"/>
          <w:szCs w:val="20"/>
        </w:rPr>
        <w:t>lios as changes in delinquency rates can provide an early warning of changes in potential future credit losses. The key indicator we monitor when assessing the credit quality and risk of our auto loan portfolio is borrower credit scores as they provide ins</w:t>
      </w:r>
      <w:r>
        <w:rPr>
          <w:rFonts w:eastAsia="Times New Roman"/>
          <w:color w:val="000000"/>
          <w:sz w:val="20"/>
          <w:szCs w:val="20"/>
        </w:rPr>
        <w:t>ight into borrower risk profiles, which give indications of potential future credit losses. The key credit quality indicator for our commercial loan portfolios is our internal risk ratings as we generally classify loans that have been delinquent for an ext</w:t>
      </w:r>
      <w:r>
        <w:rPr>
          <w:rFonts w:eastAsia="Times New Roman"/>
          <w:color w:val="000000"/>
          <w:sz w:val="20"/>
          <w:szCs w:val="20"/>
        </w:rPr>
        <w:t xml:space="preserve">ended period of time and other loans with significant risk of loss as nonperforming. In addition to these credit quality indicators, we also manage and monitor other credit quality metrics such as level of nonperforming loans and net charge-off rates. </w:t>
      </w:r>
    </w:p>
    <w:p w14:paraId="35F18520" w14:textId="77777777" w:rsidR="00000000" w:rsidRDefault="00A173A8">
      <w:pPr>
        <w:jc w:val="both"/>
        <w:divId w:val="573662034"/>
        <w:rPr>
          <w:rFonts w:eastAsia="Times New Roman"/>
        </w:rPr>
      </w:pPr>
      <w:r>
        <w:rPr>
          <w:rFonts w:eastAsia="Times New Roman"/>
          <w:color w:val="000000"/>
          <w:sz w:val="20"/>
          <w:szCs w:val="20"/>
        </w:rPr>
        <w:t xml:space="preserve">We </w:t>
      </w:r>
      <w:r>
        <w:rPr>
          <w:rFonts w:eastAsia="Times New Roman"/>
          <w:color w:val="000000"/>
          <w:sz w:val="20"/>
          <w:szCs w:val="20"/>
        </w:rPr>
        <w:t>underwrite most consumer loans using proprietary models, which typically include credit bureau data, such as borrower credit scores, application information and, where applicable, collateral and deal structure data. We continuously adjust our management of</w:t>
      </w:r>
      <w:r>
        <w:rPr>
          <w:rFonts w:eastAsia="Times New Roman"/>
          <w:color w:val="000000"/>
          <w:sz w:val="20"/>
          <w:szCs w:val="20"/>
        </w:rPr>
        <w:t xml:space="preserve"> credit lines and collection strategies based on customer behavior and risk profile changes. We also use borrower credit scores for subprime classification, for competitive benchmarking and, in some cases, to drive product segmentation decisions.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35AB09A" w14:textId="77777777">
        <w:trPr>
          <w:divId w:val="1792287019"/>
          <w:jc w:val="center"/>
        </w:trPr>
        <w:tc>
          <w:tcPr>
            <w:tcW w:w="50" w:type="pct"/>
            <w:vAlign w:val="center"/>
            <w:hideMark/>
          </w:tcPr>
          <w:p w14:paraId="0D8CF1AC" w14:textId="77777777" w:rsidR="00000000" w:rsidRDefault="00A173A8">
            <w:pPr>
              <w:jc w:val="both"/>
              <w:rPr>
                <w:rFonts w:eastAsia="Times New Roman"/>
              </w:rPr>
            </w:pPr>
          </w:p>
        </w:tc>
        <w:tc>
          <w:tcPr>
            <w:tcW w:w="1606" w:type="pct"/>
            <w:vAlign w:val="center"/>
            <w:hideMark/>
          </w:tcPr>
          <w:p w14:paraId="73200D2D" w14:textId="77777777" w:rsidR="00000000" w:rsidRDefault="00A173A8">
            <w:pPr>
              <w:spacing w:after="100"/>
              <w:rPr>
                <w:rFonts w:eastAsia="Times New Roman"/>
                <w:sz w:val="20"/>
                <w:szCs w:val="20"/>
              </w:rPr>
            </w:pPr>
          </w:p>
        </w:tc>
        <w:tc>
          <w:tcPr>
            <w:tcW w:w="5" w:type="pct"/>
            <w:vAlign w:val="center"/>
            <w:hideMark/>
          </w:tcPr>
          <w:p w14:paraId="2FA6724E" w14:textId="77777777" w:rsidR="00000000" w:rsidRDefault="00A173A8">
            <w:pPr>
              <w:spacing w:after="100"/>
              <w:rPr>
                <w:rFonts w:eastAsia="Times New Roman"/>
                <w:sz w:val="20"/>
                <w:szCs w:val="20"/>
              </w:rPr>
            </w:pPr>
          </w:p>
        </w:tc>
        <w:tc>
          <w:tcPr>
            <w:tcW w:w="50" w:type="pct"/>
            <w:vAlign w:val="center"/>
            <w:hideMark/>
          </w:tcPr>
          <w:p w14:paraId="1F7BF706" w14:textId="77777777" w:rsidR="00000000" w:rsidRDefault="00A173A8">
            <w:pPr>
              <w:spacing w:after="100"/>
              <w:rPr>
                <w:rFonts w:eastAsia="Times New Roman"/>
                <w:sz w:val="20"/>
                <w:szCs w:val="20"/>
              </w:rPr>
            </w:pPr>
          </w:p>
        </w:tc>
        <w:tc>
          <w:tcPr>
            <w:tcW w:w="1614" w:type="pct"/>
            <w:vAlign w:val="center"/>
            <w:hideMark/>
          </w:tcPr>
          <w:p w14:paraId="71C06F1A" w14:textId="77777777" w:rsidR="00000000" w:rsidRDefault="00A173A8">
            <w:pPr>
              <w:spacing w:after="100"/>
              <w:rPr>
                <w:rFonts w:eastAsia="Times New Roman"/>
                <w:sz w:val="20"/>
                <w:szCs w:val="20"/>
              </w:rPr>
            </w:pPr>
          </w:p>
        </w:tc>
        <w:tc>
          <w:tcPr>
            <w:tcW w:w="5" w:type="pct"/>
            <w:vAlign w:val="center"/>
            <w:hideMark/>
          </w:tcPr>
          <w:p w14:paraId="7E73350C" w14:textId="77777777" w:rsidR="00000000" w:rsidRDefault="00A173A8">
            <w:pPr>
              <w:spacing w:after="100"/>
              <w:rPr>
                <w:rFonts w:eastAsia="Times New Roman"/>
                <w:sz w:val="20"/>
                <w:szCs w:val="20"/>
              </w:rPr>
            </w:pPr>
          </w:p>
        </w:tc>
        <w:tc>
          <w:tcPr>
            <w:tcW w:w="50" w:type="pct"/>
            <w:vAlign w:val="center"/>
            <w:hideMark/>
          </w:tcPr>
          <w:p w14:paraId="24C71043" w14:textId="77777777" w:rsidR="00000000" w:rsidRDefault="00A173A8">
            <w:pPr>
              <w:spacing w:after="100"/>
              <w:rPr>
                <w:rFonts w:eastAsia="Times New Roman"/>
                <w:sz w:val="20"/>
                <w:szCs w:val="20"/>
              </w:rPr>
            </w:pPr>
          </w:p>
        </w:tc>
        <w:tc>
          <w:tcPr>
            <w:tcW w:w="1614" w:type="pct"/>
            <w:vAlign w:val="center"/>
            <w:hideMark/>
          </w:tcPr>
          <w:p w14:paraId="03C79A68" w14:textId="77777777" w:rsidR="00000000" w:rsidRDefault="00A173A8">
            <w:pPr>
              <w:spacing w:after="100"/>
              <w:rPr>
                <w:rFonts w:eastAsia="Times New Roman"/>
                <w:sz w:val="20"/>
                <w:szCs w:val="20"/>
              </w:rPr>
            </w:pPr>
          </w:p>
        </w:tc>
        <w:tc>
          <w:tcPr>
            <w:tcW w:w="5" w:type="pct"/>
            <w:vAlign w:val="center"/>
            <w:hideMark/>
          </w:tcPr>
          <w:p w14:paraId="1B7B46E0" w14:textId="77777777" w:rsidR="00000000" w:rsidRDefault="00A173A8">
            <w:pPr>
              <w:spacing w:after="100"/>
              <w:rPr>
                <w:rFonts w:eastAsia="Times New Roman"/>
                <w:sz w:val="20"/>
                <w:szCs w:val="20"/>
              </w:rPr>
            </w:pPr>
          </w:p>
        </w:tc>
      </w:tr>
      <w:tr w:rsidR="00000000" w14:paraId="147B8352" w14:textId="77777777">
        <w:trPr>
          <w:divId w:val="1792287019"/>
          <w:trHeight w:val="300"/>
          <w:jc w:val="center"/>
        </w:trPr>
        <w:tc>
          <w:tcPr>
            <w:tcW w:w="0" w:type="auto"/>
            <w:gridSpan w:val="9"/>
            <w:tcMar>
              <w:top w:w="0" w:type="dxa"/>
              <w:left w:w="20" w:type="dxa"/>
              <w:bottom w:w="0" w:type="dxa"/>
              <w:right w:w="20" w:type="dxa"/>
            </w:tcMar>
            <w:vAlign w:val="center"/>
            <w:hideMark/>
          </w:tcPr>
          <w:p w14:paraId="2935EAC0" w14:textId="77777777" w:rsidR="00000000" w:rsidRDefault="00A173A8">
            <w:pPr>
              <w:spacing w:after="100"/>
              <w:rPr>
                <w:rFonts w:eastAsia="Times New Roman"/>
                <w:sz w:val="20"/>
                <w:szCs w:val="20"/>
              </w:rPr>
            </w:pPr>
          </w:p>
        </w:tc>
      </w:tr>
      <w:tr w:rsidR="00000000" w14:paraId="47D31AE7" w14:textId="77777777">
        <w:trPr>
          <w:divId w:val="1792287019"/>
          <w:jc w:val="center"/>
        </w:trPr>
        <w:tc>
          <w:tcPr>
            <w:tcW w:w="0" w:type="auto"/>
            <w:gridSpan w:val="3"/>
            <w:tcMar>
              <w:top w:w="0" w:type="dxa"/>
              <w:left w:w="20" w:type="dxa"/>
              <w:bottom w:w="0" w:type="dxa"/>
              <w:right w:w="20" w:type="dxa"/>
            </w:tcMar>
            <w:vAlign w:val="center"/>
            <w:hideMark/>
          </w:tcPr>
          <w:p w14:paraId="6169A3C6"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CBCCB9B" w14:textId="77777777" w:rsidR="00000000" w:rsidRDefault="00A173A8">
            <w:pPr>
              <w:spacing w:after="100"/>
              <w:jc w:val="center"/>
              <w:rPr>
                <w:rFonts w:eastAsia="Times New Roman"/>
              </w:rPr>
            </w:pPr>
            <w:r>
              <w:rPr>
                <w:rFonts w:eastAsia="Times New Roman"/>
                <w:color w:val="000000"/>
                <w:sz w:val="16"/>
                <w:szCs w:val="16"/>
              </w:rPr>
              <w:t>38</w:t>
            </w:r>
          </w:p>
        </w:tc>
        <w:tc>
          <w:tcPr>
            <w:tcW w:w="0" w:type="auto"/>
            <w:gridSpan w:val="3"/>
            <w:tcMar>
              <w:top w:w="30" w:type="dxa"/>
              <w:left w:w="20" w:type="dxa"/>
              <w:bottom w:w="30" w:type="dxa"/>
              <w:right w:w="20" w:type="dxa"/>
            </w:tcMar>
            <w:vAlign w:val="bottom"/>
            <w:hideMark/>
          </w:tcPr>
          <w:p w14:paraId="61DBC9A1"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8BBDB99" w14:textId="77777777" w:rsidR="00000000" w:rsidRDefault="00A173A8">
      <w:pPr>
        <w:rPr>
          <w:rFonts w:eastAsia="Times New Roman"/>
        </w:rPr>
      </w:pPr>
      <w:r>
        <w:rPr>
          <w:rFonts w:eastAsia="Times New Roman"/>
        </w:rPr>
        <w:pict w14:anchorId="0654EF5C">
          <v:rect id="_x0000_i1063" style="width:0;height:1.5pt" o:hralign="center" o:hrstd="t" o:hr="t" fillcolor="#a0a0a0" stroked="f"/>
        </w:pict>
      </w:r>
    </w:p>
    <w:p w14:paraId="29E44198" w14:textId="77777777" w:rsidR="00000000" w:rsidRDefault="00A173A8">
      <w:pPr>
        <w:ind w:hanging="360"/>
        <w:jc w:val="both"/>
        <w:divId w:val="142935402"/>
        <w:rPr>
          <w:rFonts w:eastAsia="Times New Roman"/>
        </w:rPr>
      </w:pPr>
      <w:hyperlink w:anchor="i7ffd5d61af6f4722b1b1b07530d51c06_13" w:history="1">
        <w:r>
          <w:rPr>
            <w:rStyle w:val="a3"/>
            <w:rFonts w:eastAsia="Times New Roman"/>
            <w:sz w:val="16"/>
            <w:szCs w:val="16"/>
          </w:rPr>
          <w:t>Table of Contents</w:t>
        </w:r>
      </w:hyperlink>
    </w:p>
    <w:p w14:paraId="34B522DC" w14:textId="77777777" w:rsidR="00000000" w:rsidRDefault="00A173A8">
      <w:pPr>
        <w:jc w:val="both"/>
        <w:divId w:val="1826775395"/>
        <w:rPr>
          <w:rFonts w:eastAsia="Times New Roman"/>
        </w:rPr>
      </w:pPr>
      <w:r>
        <w:rPr>
          <w:rFonts w:eastAsia="Times New Roman"/>
          <w:color w:val="000000"/>
          <w:sz w:val="20"/>
          <w:szCs w:val="20"/>
        </w:rPr>
        <w:t>Table 21 provides details on the credit scores of our domestic credit card and auto loan portfolios as of June 30, 2022 and December 31, 2021.</w:t>
      </w:r>
    </w:p>
    <w:p w14:paraId="24072612" w14:textId="77777777" w:rsidR="00000000" w:rsidRDefault="00A173A8">
      <w:pPr>
        <w:divId w:val="1181434677"/>
        <w:rPr>
          <w:rFonts w:eastAsia="Times New Roman"/>
        </w:rPr>
      </w:pPr>
      <w:r>
        <w:rPr>
          <w:rFonts w:eastAsia="Times New Roman"/>
          <w:b/>
          <w:bCs/>
          <w:color w:val="000000"/>
          <w:sz w:val="18"/>
          <w:szCs w:val="18"/>
        </w:rPr>
        <w:t>Table 21: Credit Score Distribution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5168"/>
        <w:gridCol w:w="36"/>
        <w:gridCol w:w="36"/>
        <w:gridCol w:w="36"/>
        <w:gridCol w:w="36"/>
        <w:gridCol w:w="37"/>
        <w:gridCol w:w="1147"/>
        <w:gridCol w:w="220"/>
        <w:gridCol w:w="36"/>
        <w:gridCol w:w="36"/>
        <w:gridCol w:w="36"/>
        <w:gridCol w:w="54"/>
        <w:gridCol w:w="1132"/>
        <w:gridCol w:w="187"/>
        <w:gridCol w:w="36"/>
        <w:gridCol w:w="36"/>
      </w:tblGrid>
      <w:tr w:rsidR="00000000" w14:paraId="0AC4DB44" w14:textId="77777777">
        <w:trPr>
          <w:divId w:val="1181434677"/>
        </w:trPr>
        <w:tc>
          <w:tcPr>
            <w:tcW w:w="50" w:type="pct"/>
            <w:vAlign w:val="center"/>
            <w:hideMark/>
          </w:tcPr>
          <w:p w14:paraId="414C3357" w14:textId="77777777" w:rsidR="00000000" w:rsidRDefault="00A173A8">
            <w:pPr>
              <w:rPr>
                <w:rFonts w:eastAsia="Times New Roman"/>
              </w:rPr>
            </w:pPr>
          </w:p>
        </w:tc>
        <w:tc>
          <w:tcPr>
            <w:tcW w:w="3190" w:type="pct"/>
            <w:vAlign w:val="center"/>
            <w:hideMark/>
          </w:tcPr>
          <w:p w14:paraId="235A704A" w14:textId="77777777" w:rsidR="00000000" w:rsidRDefault="00A173A8">
            <w:pPr>
              <w:spacing w:after="100"/>
              <w:rPr>
                <w:rFonts w:eastAsia="Times New Roman"/>
                <w:sz w:val="20"/>
                <w:szCs w:val="20"/>
              </w:rPr>
            </w:pPr>
          </w:p>
        </w:tc>
        <w:tc>
          <w:tcPr>
            <w:tcW w:w="5" w:type="pct"/>
            <w:vAlign w:val="center"/>
            <w:hideMark/>
          </w:tcPr>
          <w:p w14:paraId="5F929EFF" w14:textId="77777777" w:rsidR="00000000" w:rsidRDefault="00A173A8">
            <w:pPr>
              <w:spacing w:after="100"/>
              <w:rPr>
                <w:rFonts w:eastAsia="Times New Roman"/>
                <w:sz w:val="20"/>
                <w:szCs w:val="20"/>
              </w:rPr>
            </w:pPr>
          </w:p>
        </w:tc>
        <w:tc>
          <w:tcPr>
            <w:tcW w:w="5" w:type="pct"/>
            <w:vAlign w:val="center"/>
            <w:hideMark/>
          </w:tcPr>
          <w:p w14:paraId="16EA8DDB" w14:textId="77777777" w:rsidR="00000000" w:rsidRDefault="00A173A8">
            <w:pPr>
              <w:spacing w:after="100"/>
              <w:rPr>
                <w:rFonts w:eastAsia="Times New Roman"/>
                <w:sz w:val="20"/>
                <w:szCs w:val="20"/>
              </w:rPr>
            </w:pPr>
          </w:p>
        </w:tc>
        <w:tc>
          <w:tcPr>
            <w:tcW w:w="26" w:type="pct"/>
            <w:vAlign w:val="center"/>
            <w:hideMark/>
          </w:tcPr>
          <w:p w14:paraId="3F50CFA5" w14:textId="77777777" w:rsidR="00000000" w:rsidRDefault="00A173A8">
            <w:pPr>
              <w:spacing w:after="100"/>
              <w:rPr>
                <w:rFonts w:eastAsia="Times New Roman"/>
                <w:sz w:val="20"/>
                <w:szCs w:val="20"/>
              </w:rPr>
            </w:pPr>
          </w:p>
        </w:tc>
        <w:tc>
          <w:tcPr>
            <w:tcW w:w="5" w:type="pct"/>
            <w:vAlign w:val="center"/>
            <w:hideMark/>
          </w:tcPr>
          <w:p w14:paraId="1A3AB28D" w14:textId="77777777" w:rsidR="00000000" w:rsidRDefault="00A173A8">
            <w:pPr>
              <w:spacing w:after="100"/>
              <w:rPr>
                <w:rFonts w:eastAsia="Times New Roman"/>
                <w:sz w:val="20"/>
                <w:szCs w:val="20"/>
              </w:rPr>
            </w:pPr>
          </w:p>
        </w:tc>
        <w:tc>
          <w:tcPr>
            <w:tcW w:w="50" w:type="pct"/>
            <w:vAlign w:val="center"/>
            <w:hideMark/>
          </w:tcPr>
          <w:p w14:paraId="58E09B3F" w14:textId="77777777" w:rsidR="00000000" w:rsidRDefault="00A173A8">
            <w:pPr>
              <w:spacing w:after="100"/>
              <w:rPr>
                <w:rFonts w:eastAsia="Times New Roman"/>
                <w:sz w:val="20"/>
                <w:szCs w:val="20"/>
              </w:rPr>
            </w:pPr>
          </w:p>
        </w:tc>
        <w:tc>
          <w:tcPr>
            <w:tcW w:w="785" w:type="pct"/>
            <w:vAlign w:val="center"/>
            <w:hideMark/>
          </w:tcPr>
          <w:p w14:paraId="3BB0996D" w14:textId="77777777" w:rsidR="00000000" w:rsidRDefault="00A173A8">
            <w:pPr>
              <w:spacing w:after="100"/>
              <w:rPr>
                <w:rFonts w:eastAsia="Times New Roman"/>
                <w:sz w:val="20"/>
                <w:szCs w:val="20"/>
              </w:rPr>
            </w:pPr>
          </w:p>
        </w:tc>
        <w:tc>
          <w:tcPr>
            <w:tcW w:w="5" w:type="pct"/>
            <w:vAlign w:val="center"/>
            <w:hideMark/>
          </w:tcPr>
          <w:p w14:paraId="00FAC6C3" w14:textId="77777777" w:rsidR="00000000" w:rsidRDefault="00A173A8">
            <w:pPr>
              <w:spacing w:after="100"/>
              <w:rPr>
                <w:rFonts w:eastAsia="Times New Roman"/>
                <w:sz w:val="20"/>
                <w:szCs w:val="20"/>
              </w:rPr>
            </w:pPr>
          </w:p>
        </w:tc>
        <w:tc>
          <w:tcPr>
            <w:tcW w:w="5" w:type="pct"/>
            <w:vAlign w:val="center"/>
            <w:hideMark/>
          </w:tcPr>
          <w:p w14:paraId="2FA7EA5A" w14:textId="77777777" w:rsidR="00000000" w:rsidRDefault="00A173A8">
            <w:pPr>
              <w:spacing w:after="100"/>
              <w:rPr>
                <w:rFonts w:eastAsia="Times New Roman"/>
                <w:sz w:val="20"/>
                <w:szCs w:val="20"/>
              </w:rPr>
            </w:pPr>
          </w:p>
        </w:tc>
        <w:tc>
          <w:tcPr>
            <w:tcW w:w="26" w:type="pct"/>
            <w:vAlign w:val="center"/>
            <w:hideMark/>
          </w:tcPr>
          <w:p w14:paraId="57D64B6C" w14:textId="77777777" w:rsidR="00000000" w:rsidRDefault="00A173A8">
            <w:pPr>
              <w:spacing w:after="100"/>
              <w:rPr>
                <w:rFonts w:eastAsia="Times New Roman"/>
                <w:sz w:val="20"/>
                <w:szCs w:val="20"/>
              </w:rPr>
            </w:pPr>
          </w:p>
        </w:tc>
        <w:tc>
          <w:tcPr>
            <w:tcW w:w="5" w:type="pct"/>
            <w:vAlign w:val="center"/>
            <w:hideMark/>
          </w:tcPr>
          <w:p w14:paraId="53185393" w14:textId="77777777" w:rsidR="00000000" w:rsidRDefault="00A173A8">
            <w:pPr>
              <w:spacing w:after="100"/>
              <w:rPr>
                <w:rFonts w:eastAsia="Times New Roman"/>
                <w:sz w:val="20"/>
                <w:szCs w:val="20"/>
              </w:rPr>
            </w:pPr>
          </w:p>
        </w:tc>
        <w:tc>
          <w:tcPr>
            <w:tcW w:w="50" w:type="pct"/>
            <w:vAlign w:val="center"/>
            <w:hideMark/>
          </w:tcPr>
          <w:p w14:paraId="674B0EC2" w14:textId="77777777" w:rsidR="00000000" w:rsidRDefault="00A173A8">
            <w:pPr>
              <w:spacing w:after="100"/>
              <w:rPr>
                <w:rFonts w:eastAsia="Times New Roman"/>
                <w:sz w:val="20"/>
                <w:szCs w:val="20"/>
              </w:rPr>
            </w:pPr>
          </w:p>
        </w:tc>
        <w:tc>
          <w:tcPr>
            <w:tcW w:w="785" w:type="pct"/>
            <w:vAlign w:val="center"/>
            <w:hideMark/>
          </w:tcPr>
          <w:p w14:paraId="458218F2" w14:textId="77777777" w:rsidR="00000000" w:rsidRDefault="00A173A8">
            <w:pPr>
              <w:spacing w:after="100"/>
              <w:rPr>
                <w:rFonts w:eastAsia="Times New Roman"/>
                <w:sz w:val="20"/>
                <w:szCs w:val="20"/>
              </w:rPr>
            </w:pPr>
          </w:p>
        </w:tc>
        <w:tc>
          <w:tcPr>
            <w:tcW w:w="5" w:type="pct"/>
            <w:vAlign w:val="center"/>
            <w:hideMark/>
          </w:tcPr>
          <w:p w14:paraId="2B03C80B" w14:textId="77777777" w:rsidR="00000000" w:rsidRDefault="00A173A8">
            <w:pPr>
              <w:spacing w:after="100"/>
              <w:rPr>
                <w:rFonts w:eastAsia="Times New Roman"/>
                <w:sz w:val="20"/>
                <w:szCs w:val="20"/>
              </w:rPr>
            </w:pPr>
          </w:p>
        </w:tc>
        <w:tc>
          <w:tcPr>
            <w:tcW w:w="0" w:type="auto"/>
            <w:vAlign w:val="center"/>
            <w:hideMark/>
          </w:tcPr>
          <w:p w14:paraId="4B1E1674" w14:textId="77777777" w:rsidR="00000000" w:rsidRDefault="00A173A8">
            <w:pPr>
              <w:spacing w:after="100"/>
              <w:rPr>
                <w:rFonts w:eastAsia="Times New Roman"/>
                <w:sz w:val="20"/>
                <w:szCs w:val="20"/>
              </w:rPr>
            </w:pPr>
          </w:p>
        </w:tc>
        <w:tc>
          <w:tcPr>
            <w:tcW w:w="0" w:type="auto"/>
            <w:vAlign w:val="center"/>
            <w:hideMark/>
          </w:tcPr>
          <w:p w14:paraId="5C502C6B" w14:textId="77777777" w:rsidR="00000000" w:rsidRDefault="00A173A8">
            <w:pPr>
              <w:spacing w:after="100"/>
              <w:rPr>
                <w:rFonts w:eastAsia="Times New Roman"/>
                <w:sz w:val="20"/>
                <w:szCs w:val="20"/>
              </w:rPr>
            </w:pPr>
          </w:p>
        </w:tc>
      </w:tr>
      <w:tr w:rsidR="00000000" w14:paraId="665BFA0E" w14:textId="77777777">
        <w:trPr>
          <w:divId w:val="1181434677"/>
        </w:trPr>
        <w:tc>
          <w:tcPr>
            <w:tcW w:w="0" w:type="auto"/>
            <w:gridSpan w:val="3"/>
            <w:tcBorders>
              <w:bottom w:val="single" w:sz="8" w:space="0" w:color="000000"/>
            </w:tcBorders>
            <w:tcMar>
              <w:top w:w="30" w:type="dxa"/>
              <w:left w:w="20" w:type="dxa"/>
              <w:bottom w:w="30" w:type="dxa"/>
              <w:right w:w="20" w:type="dxa"/>
            </w:tcMar>
            <w:vAlign w:val="bottom"/>
            <w:hideMark/>
          </w:tcPr>
          <w:p w14:paraId="3D1C83BD" w14:textId="77777777" w:rsidR="00000000" w:rsidRDefault="00A173A8">
            <w:pPr>
              <w:spacing w:after="100"/>
              <w:rPr>
                <w:rFonts w:eastAsia="Times New Roman"/>
              </w:rPr>
            </w:pPr>
            <w:r>
              <w:rPr>
                <w:rFonts w:eastAsia="Times New Roman"/>
                <w:i/>
                <w:iCs/>
                <w:color w:val="000000"/>
                <w:sz w:val="20"/>
                <w:szCs w:val="20"/>
              </w:rPr>
              <w:t>(Percentage of portfolio)</w:t>
            </w:r>
          </w:p>
        </w:tc>
        <w:tc>
          <w:tcPr>
            <w:tcW w:w="0" w:type="auto"/>
            <w:gridSpan w:val="3"/>
            <w:tcMar>
              <w:top w:w="0" w:type="dxa"/>
              <w:left w:w="20" w:type="dxa"/>
              <w:bottom w:w="0" w:type="dxa"/>
              <w:right w:w="20" w:type="dxa"/>
            </w:tcMar>
            <w:vAlign w:val="center"/>
            <w:hideMark/>
          </w:tcPr>
          <w:p w14:paraId="09F6C0CE" w14:textId="77777777" w:rsidR="00000000" w:rsidRDefault="00A173A8">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A4F5BD4"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3182A850"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C7FC5CC" w14:textId="77777777" w:rsidR="00000000" w:rsidRDefault="00A173A8">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14:paraId="4CD420EA" w14:textId="77777777" w:rsidR="00000000" w:rsidRDefault="00A173A8">
            <w:pPr>
              <w:spacing w:after="100"/>
              <w:jc w:val="center"/>
              <w:rPr>
                <w:rFonts w:eastAsia="Times New Roman"/>
              </w:rPr>
            </w:pPr>
          </w:p>
        </w:tc>
        <w:tc>
          <w:tcPr>
            <w:tcW w:w="0" w:type="auto"/>
            <w:vAlign w:val="center"/>
            <w:hideMark/>
          </w:tcPr>
          <w:p w14:paraId="00FF89F4" w14:textId="77777777" w:rsidR="00000000" w:rsidRDefault="00A173A8">
            <w:pPr>
              <w:spacing w:after="100"/>
              <w:rPr>
                <w:rFonts w:eastAsia="Times New Roman"/>
                <w:sz w:val="20"/>
                <w:szCs w:val="20"/>
              </w:rPr>
            </w:pPr>
          </w:p>
        </w:tc>
      </w:tr>
      <w:tr w:rsidR="00000000" w14:paraId="008954D7" w14:textId="77777777">
        <w:trPr>
          <w:divId w:val="11814346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194CF90" w14:textId="77777777" w:rsidR="00000000" w:rsidRDefault="00A173A8">
            <w:pPr>
              <w:spacing w:after="100"/>
              <w:divId w:val="1179854880"/>
              <w:rPr>
                <w:rFonts w:eastAsia="Times New Roman"/>
              </w:rPr>
            </w:pPr>
            <w:r>
              <w:rPr>
                <w:rFonts w:eastAsia="Times New Roman"/>
                <w:b/>
                <w:bCs/>
                <w:color w:val="000000"/>
                <w:sz w:val="20"/>
                <w:szCs w:val="20"/>
              </w:rPr>
              <w:t>Domestic credit card—Refreshed FICO scores</w:t>
            </w:r>
            <w:r>
              <w:rPr>
                <w:rFonts w:eastAsia="Times New Roman"/>
                <w:b/>
                <w:bCs/>
                <w:color w:val="000000"/>
                <w:sz w:val="20"/>
                <w:szCs w:val="20"/>
              </w:rPr>
              <w:t>:</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4EBC2DE"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9FACB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B1E23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411E5F" w14:textId="77777777" w:rsidR="00000000" w:rsidRDefault="00A173A8">
            <w:pPr>
              <w:spacing w:after="100"/>
              <w:rPr>
                <w:rFonts w:eastAsia="Times New Roman"/>
                <w:sz w:val="20"/>
                <w:szCs w:val="20"/>
              </w:rPr>
            </w:pPr>
          </w:p>
        </w:tc>
        <w:tc>
          <w:tcPr>
            <w:tcW w:w="0" w:type="auto"/>
            <w:vAlign w:val="center"/>
            <w:hideMark/>
          </w:tcPr>
          <w:p w14:paraId="5B36DEAE" w14:textId="77777777" w:rsidR="00000000" w:rsidRDefault="00A173A8">
            <w:pPr>
              <w:spacing w:after="100"/>
              <w:rPr>
                <w:rFonts w:eastAsia="Times New Roman"/>
                <w:sz w:val="20"/>
                <w:szCs w:val="20"/>
              </w:rPr>
            </w:pPr>
          </w:p>
        </w:tc>
        <w:tc>
          <w:tcPr>
            <w:tcW w:w="0" w:type="auto"/>
            <w:vAlign w:val="center"/>
            <w:hideMark/>
          </w:tcPr>
          <w:p w14:paraId="63098D94" w14:textId="77777777" w:rsidR="00000000" w:rsidRDefault="00A173A8">
            <w:pPr>
              <w:spacing w:after="100"/>
              <w:rPr>
                <w:rFonts w:eastAsia="Times New Roman"/>
                <w:sz w:val="20"/>
                <w:szCs w:val="20"/>
              </w:rPr>
            </w:pPr>
          </w:p>
        </w:tc>
      </w:tr>
      <w:tr w:rsidR="00000000" w14:paraId="61FE22DD" w14:textId="77777777">
        <w:trPr>
          <w:divId w:val="1181434677"/>
        </w:trPr>
        <w:tc>
          <w:tcPr>
            <w:tcW w:w="0" w:type="auto"/>
            <w:gridSpan w:val="3"/>
            <w:shd w:val="clear" w:color="auto" w:fill="FFFFFF"/>
            <w:tcMar>
              <w:top w:w="30" w:type="dxa"/>
              <w:left w:w="245" w:type="dxa"/>
              <w:bottom w:w="30" w:type="dxa"/>
              <w:right w:w="20" w:type="dxa"/>
            </w:tcMar>
            <w:vAlign w:val="center"/>
            <w:hideMark/>
          </w:tcPr>
          <w:p w14:paraId="2F886910" w14:textId="77777777" w:rsidR="00000000" w:rsidRDefault="00A173A8">
            <w:pPr>
              <w:spacing w:after="100"/>
              <w:rPr>
                <w:rFonts w:eastAsia="Times New Roman"/>
              </w:rPr>
            </w:pPr>
            <w:r>
              <w:rPr>
                <w:rFonts w:eastAsia="Times New Roman"/>
                <w:color w:val="000000"/>
                <w:sz w:val="20"/>
                <w:szCs w:val="20"/>
              </w:rPr>
              <w:t>Greater than 660</w:t>
            </w:r>
          </w:p>
        </w:tc>
        <w:tc>
          <w:tcPr>
            <w:tcW w:w="0" w:type="auto"/>
            <w:gridSpan w:val="3"/>
            <w:shd w:val="clear" w:color="auto" w:fill="FFFFFF"/>
            <w:tcMar>
              <w:top w:w="0" w:type="dxa"/>
              <w:left w:w="20" w:type="dxa"/>
              <w:bottom w:w="0" w:type="dxa"/>
              <w:right w:w="20" w:type="dxa"/>
            </w:tcMar>
            <w:vAlign w:val="center"/>
            <w:hideMark/>
          </w:tcPr>
          <w:p w14:paraId="1F33640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9238E1" w14:textId="77777777" w:rsidR="00000000" w:rsidRDefault="00A173A8">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19CCC05"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74BA774"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640835" w14:textId="77777777" w:rsidR="00000000" w:rsidRDefault="00A173A8">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center"/>
            <w:hideMark/>
          </w:tcPr>
          <w:p w14:paraId="049BD38A"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690F1964" w14:textId="77777777" w:rsidR="00000000" w:rsidRDefault="00A173A8">
            <w:pPr>
              <w:spacing w:after="100"/>
              <w:jc w:val="right"/>
              <w:rPr>
                <w:rFonts w:eastAsia="Times New Roman"/>
              </w:rPr>
            </w:pPr>
          </w:p>
        </w:tc>
        <w:tc>
          <w:tcPr>
            <w:tcW w:w="0" w:type="auto"/>
            <w:vAlign w:val="center"/>
            <w:hideMark/>
          </w:tcPr>
          <w:p w14:paraId="034DFD61" w14:textId="77777777" w:rsidR="00000000" w:rsidRDefault="00A173A8">
            <w:pPr>
              <w:spacing w:after="100"/>
              <w:rPr>
                <w:rFonts w:eastAsia="Times New Roman"/>
                <w:sz w:val="20"/>
                <w:szCs w:val="20"/>
              </w:rPr>
            </w:pPr>
          </w:p>
        </w:tc>
      </w:tr>
      <w:tr w:rsidR="00000000" w14:paraId="0E09B542" w14:textId="77777777">
        <w:trPr>
          <w:divId w:val="1181434677"/>
        </w:trPr>
        <w:tc>
          <w:tcPr>
            <w:tcW w:w="0" w:type="auto"/>
            <w:gridSpan w:val="3"/>
            <w:shd w:val="clear" w:color="auto" w:fill="CCEEFF"/>
            <w:tcMar>
              <w:top w:w="30" w:type="dxa"/>
              <w:left w:w="245" w:type="dxa"/>
              <w:bottom w:w="30" w:type="dxa"/>
              <w:right w:w="20" w:type="dxa"/>
            </w:tcMar>
            <w:vAlign w:val="center"/>
            <w:hideMark/>
          </w:tcPr>
          <w:p w14:paraId="6D8C7411" w14:textId="77777777" w:rsidR="00000000" w:rsidRDefault="00A173A8">
            <w:pPr>
              <w:spacing w:after="100"/>
              <w:rPr>
                <w:rFonts w:eastAsia="Times New Roman"/>
              </w:rPr>
            </w:pPr>
            <w:r>
              <w:rPr>
                <w:rFonts w:eastAsia="Times New Roman"/>
                <w:color w:val="000000"/>
                <w:sz w:val="20"/>
                <w:szCs w:val="20"/>
              </w:rPr>
              <w:t>660 or below</w:t>
            </w:r>
          </w:p>
        </w:tc>
        <w:tc>
          <w:tcPr>
            <w:tcW w:w="0" w:type="auto"/>
            <w:gridSpan w:val="3"/>
            <w:shd w:val="clear" w:color="auto" w:fill="CCEEFF"/>
            <w:tcMar>
              <w:top w:w="0" w:type="dxa"/>
              <w:left w:w="20" w:type="dxa"/>
              <w:bottom w:w="0" w:type="dxa"/>
              <w:right w:w="20" w:type="dxa"/>
            </w:tcMar>
            <w:vAlign w:val="center"/>
            <w:hideMark/>
          </w:tcPr>
          <w:p w14:paraId="404DA3B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D8E80EA" w14:textId="77777777" w:rsidR="00000000" w:rsidRDefault="00A173A8">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F47E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C572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C887AD" w14:textId="77777777" w:rsidR="00000000" w:rsidRDefault="00A173A8">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center"/>
            <w:hideMark/>
          </w:tcPr>
          <w:p w14:paraId="1409D224" w14:textId="77777777" w:rsidR="00000000" w:rsidRDefault="00A173A8">
            <w:pPr>
              <w:spacing w:after="100"/>
              <w:jc w:val="right"/>
              <w:rPr>
                <w:rFonts w:eastAsia="Times New Roman"/>
              </w:rPr>
            </w:pPr>
          </w:p>
        </w:tc>
        <w:tc>
          <w:tcPr>
            <w:tcW w:w="0" w:type="auto"/>
            <w:vAlign w:val="center"/>
            <w:hideMark/>
          </w:tcPr>
          <w:p w14:paraId="57CF5DD5" w14:textId="77777777" w:rsidR="00000000" w:rsidRDefault="00A173A8">
            <w:pPr>
              <w:spacing w:after="100"/>
              <w:jc w:val="right"/>
              <w:rPr>
                <w:rFonts w:eastAsia="Times New Roman"/>
                <w:sz w:val="20"/>
                <w:szCs w:val="20"/>
              </w:rPr>
            </w:pPr>
          </w:p>
        </w:tc>
        <w:tc>
          <w:tcPr>
            <w:tcW w:w="0" w:type="auto"/>
            <w:vAlign w:val="center"/>
            <w:hideMark/>
          </w:tcPr>
          <w:p w14:paraId="494F9B68" w14:textId="77777777" w:rsidR="00000000" w:rsidRDefault="00A173A8">
            <w:pPr>
              <w:spacing w:after="100"/>
              <w:rPr>
                <w:rFonts w:eastAsia="Times New Roman"/>
                <w:sz w:val="20"/>
                <w:szCs w:val="20"/>
              </w:rPr>
            </w:pPr>
          </w:p>
        </w:tc>
      </w:tr>
      <w:tr w:rsidR="00000000" w14:paraId="11E8F149" w14:textId="77777777">
        <w:trPr>
          <w:divId w:val="1181434677"/>
        </w:trPr>
        <w:tc>
          <w:tcPr>
            <w:tcW w:w="0" w:type="auto"/>
            <w:gridSpan w:val="3"/>
            <w:shd w:val="clear" w:color="auto" w:fill="FFFFFF"/>
            <w:tcMar>
              <w:top w:w="30" w:type="dxa"/>
              <w:left w:w="20" w:type="dxa"/>
              <w:bottom w:w="30" w:type="dxa"/>
              <w:right w:w="20" w:type="dxa"/>
            </w:tcMar>
            <w:vAlign w:val="center"/>
            <w:hideMark/>
          </w:tcPr>
          <w:p w14:paraId="257B5B9A"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0875E662"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14035C" w14:textId="77777777" w:rsidR="00000000" w:rsidRDefault="00A173A8">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D1BE62"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98186E7" w14:textId="77777777" w:rsidR="00000000" w:rsidRDefault="00A173A8">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9210278" w14:textId="77777777" w:rsidR="00000000" w:rsidRDefault="00A173A8">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687210"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1BEC99B2" w14:textId="77777777" w:rsidR="00000000" w:rsidRDefault="00A173A8">
            <w:pPr>
              <w:spacing w:after="100"/>
              <w:jc w:val="right"/>
              <w:rPr>
                <w:rFonts w:eastAsia="Times New Roman"/>
              </w:rPr>
            </w:pPr>
          </w:p>
        </w:tc>
        <w:tc>
          <w:tcPr>
            <w:tcW w:w="0" w:type="auto"/>
            <w:vAlign w:val="center"/>
            <w:hideMark/>
          </w:tcPr>
          <w:p w14:paraId="5ED0F8E2" w14:textId="77777777" w:rsidR="00000000" w:rsidRDefault="00A173A8">
            <w:pPr>
              <w:spacing w:after="100"/>
              <w:rPr>
                <w:rFonts w:eastAsia="Times New Roman"/>
                <w:sz w:val="20"/>
                <w:szCs w:val="20"/>
              </w:rPr>
            </w:pPr>
          </w:p>
        </w:tc>
      </w:tr>
      <w:tr w:rsidR="00000000" w14:paraId="6273C0EA" w14:textId="77777777">
        <w:trPr>
          <w:divId w:val="1181434677"/>
        </w:trPr>
        <w:tc>
          <w:tcPr>
            <w:tcW w:w="0" w:type="auto"/>
            <w:gridSpan w:val="3"/>
            <w:shd w:val="clear" w:color="auto" w:fill="CCEEFF"/>
            <w:tcMar>
              <w:top w:w="30" w:type="dxa"/>
              <w:left w:w="20" w:type="dxa"/>
              <w:bottom w:w="30" w:type="dxa"/>
              <w:right w:w="20" w:type="dxa"/>
            </w:tcMar>
            <w:vAlign w:val="center"/>
            <w:hideMark/>
          </w:tcPr>
          <w:p w14:paraId="307D48AD" w14:textId="77777777" w:rsidR="00000000" w:rsidRDefault="00A173A8">
            <w:pPr>
              <w:spacing w:after="100"/>
              <w:divId w:val="1620603110"/>
              <w:rPr>
                <w:rFonts w:eastAsia="Times New Roman"/>
              </w:rPr>
            </w:pPr>
            <w:r>
              <w:rPr>
                <w:rFonts w:eastAsia="Times New Roman"/>
                <w:b/>
                <w:bCs/>
                <w:color w:val="000000"/>
                <w:sz w:val="20"/>
                <w:szCs w:val="20"/>
              </w:rPr>
              <w:t>Auto</w:t>
            </w:r>
            <w:r>
              <w:rPr>
                <w:rFonts w:eastAsia="Times New Roman"/>
                <w:color w:val="000000"/>
                <w:sz w:val="20"/>
                <w:szCs w:val="20"/>
              </w:rPr>
              <w:t>—</w:t>
            </w:r>
            <w:r>
              <w:rPr>
                <w:rFonts w:eastAsia="Times New Roman"/>
                <w:b/>
                <w:bCs/>
                <w:color w:val="000000"/>
                <w:sz w:val="20"/>
                <w:szCs w:val="20"/>
              </w:rPr>
              <w:t>At origination FICO scores</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159CF71"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D77FD8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4668A7"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B29C07C" w14:textId="77777777" w:rsidR="00000000" w:rsidRDefault="00A173A8">
            <w:pPr>
              <w:spacing w:after="100"/>
              <w:rPr>
                <w:rFonts w:eastAsia="Times New Roman"/>
                <w:sz w:val="20"/>
                <w:szCs w:val="20"/>
              </w:rPr>
            </w:pPr>
          </w:p>
        </w:tc>
        <w:tc>
          <w:tcPr>
            <w:tcW w:w="0" w:type="auto"/>
            <w:vAlign w:val="center"/>
            <w:hideMark/>
          </w:tcPr>
          <w:p w14:paraId="1BCA2B97" w14:textId="77777777" w:rsidR="00000000" w:rsidRDefault="00A173A8">
            <w:pPr>
              <w:spacing w:after="100"/>
              <w:rPr>
                <w:rFonts w:eastAsia="Times New Roman"/>
                <w:sz w:val="20"/>
                <w:szCs w:val="20"/>
              </w:rPr>
            </w:pPr>
          </w:p>
        </w:tc>
        <w:tc>
          <w:tcPr>
            <w:tcW w:w="0" w:type="auto"/>
            <w:vAlign w:val="center"/>
            <w:hideMark/>
          </w:tcPr>
          <w:p w14:paraId="35F711D4" w14:textId="77777777" w:rsidR="00000000" w:rsidRDefault="00A173A8">
            <w:pPr>
              <w:spacing w:after="100"/>
              <w:rPr>
                <w:rFonts w:eastAsia="Times New Roman"/>
                <w:sz w:val="20"/>
                <w:szCs w:val="20"/>
              </w:rPr>
            </w:pPr>
          </w:p>
        </w:tc>
      </w:tr>
      <w:tr w:rsidR="00000000" w14:paraId="67AE55F7" w14:textId="77777777">
        <w:trPr>
          <w:divId w:val="1181434677"/>
        </w:trPr>
        <w:tc>
          <w:tcPr>
            <w:tcW w:w="0" w:type="auto"/>
            <w:gridSpan w:val="3"/>
            <w:shd w:val="clear" w:color="auto" w:fill="FFFFFF"/>
            <w:tcMar>
              <w:top w:w="30" w:type="dxa"/>
              <w:left w:w="245" w:type="dxa"/>
              <w:bottom w:w="30" w:type="dxa"/>
              <w:right w:w="20" w:type="dxa"/>
            </w:tcMar>
            <w:vAlign w:val="center"/>
            <w:hideMark/>
          </w:tcPr>
          <w:p w14:paraId="0DBCB51E" w14:textId="77777777" w:rsidR="00000000" w:rsidRDefault="00A173A8">
            <w:pPr>
              <w:spacing w:after="100"/>
              <w:rPr>
                <w:rFonts w:eastAsia="Times New Roman"/>
              </w:rPr>
            </w:pPr>
            <w:r>
              <w:rPr>
                <w:rFonts w:eastAsia="Times New Roman"/>
                <w:color w:val="000000"/>
                <w:sz w:val="20"/>
                <w:szCs w:val="20"/>
              </w:rPr>
              <w:t>Greater than 660</w:t>
            </w:r>
          </w:p>
        </w:tc>
        <w:tc>
          <w:tcPr>
            <w:tcW w:w="0" w:type="auto"/>
            <w:gridSpan w:val="3"/>
            <w:shd w:val="clear" w:color="auto" w:fill="FFFFFF"/>
            <w:tcMar>
              <w:top w:w="0" w:type="dxa"/>
              <w:left w:w="20" w:type="dxa"/>
              <w:bottom w:w="0" w:type="dxa"/>
              <w:right w:w="20" w:type="dxa"/>
            </w:tcMar>
            <w:vAlign w:val="center"/>
            <w:hideMark/>
          </w:tcPr>
          <w:p w14:paraId="1B7CE6C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1AE9147" w14:textId="77777777" w:rsidR="00000000" w:rsidRDefault="00A173A8">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108059E"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BCC5A68"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9B54A16" w14:textId="77777777" w:rsidR="00000000" w:rsidRDefault="00A173A8">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center"/>
            <w:hideMark/>
          </w:tcPr>
          <w:p w14:paraId="5AE7DCAC"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0C09928C" w14:textId="77777777" w:rsidR="00000000" w:rsidRDefault="00A173A8">
            <w:pPr>
              <w:spacing w:after="100"/>
              <w:jc w:val="right"/>
              <w:rPr>
                <w:rFonts w:eastAsia="Times New Roman"/>
              </w:rPr>
            </w:pPr>
          </w:p>
        </w:tc>
        <w:tc>
          <w:tcPr>
            <w:tcW w:w="0" w:type="auto"/>
            <w:vAlign w:val="center"/>
            <w:hideMark/>
          </w:tcPr>
          <w:p w14:paraId="6647B317" w14:textId="77777777" w:rsidR="00000000" w:rsidRDefault="00A173A8">
            <w:pPr>
              <w:spacing w:after="100"/>
              <w:rPr>
                <w:rFonts w:eastAsia="Times New Roman"/>
                <w:sz w:val="20"/>
                <w:szCs w:val="20"/>
              </w:rPr>
            </w:pPr>
          </w:p>
        </w:tc>
      </w:tr>
      <w:tr w:rsidR="00000000" w14:paraId="6DB2C0A1" w14:textId="77777777">
        <w:trPr>
          <w:divId w:val="1181434677"/>
        </w:trPr>
        <w:tc>
          <w:tcPr>
            <w:tcW w:w="0" w:type="auto"/>
            <w:gridSpan w:val="3"/>
            <w:shd w:val="clear" w:color="auto" w:fill="CCEEFF"/>
            <w:tcMar>
              <w:top w:w="30" w:type="dxa"/>
              <w:left w:w="245" w:type="dxa"/>
              <w:bottom w:w="30" w:type="dxa"/>
              <w:right w:w="20" w:type="dxa"/>
            </w:tcMar>
            <w:vAlign w:val="center"/>
            <w:hideMark/>
          </w:tcPr>
          <w:p w14:paraId="2624D20E" w14:textId="77777777" w:rsidR="00000000" w:rsidRDefault="00A173A8">
            <w:pPr>
              <w:spacing w:after="100"/>
              <w:rPr>
                <w:rFonts w:eastAsia="Times New Roman"/>
              </w:rPr>
            </w:pPr>
            <w:r>
              <w:rPr>
                <w:rFonts w:eastAsia="Times New Roman"/>
                <w:color w:val="000000"/>
                <w:sz w:val="20"/>
                <w:szCs w:val="20"/>
              </w:rPr>
              <w:t>621 - 660</w:t>
            </w:r>
          </w:p>
        </w:tc>
        <w:tc>
          <w:tcPr>
            <w:tcW w:w="0" w:type="auto"/>
            <w:gridSpan w:val="3"/>
            <w:shd w:val="clear" w:color="auto" w:fill="CCEEFF"/>
            <w:tcMar>
              <w:top w:w="0" w:type="dxa"/>
              <w:left w:w="20" w:type="dxa"/>
              <w:bottom w:w="0" w:type="dxa"/>
              <w:right w:w="20" w:type="dxa"/>
            </w:tcMar>
            <w:vAlign w:val="center"/>
            <w:hideMark/>
          </w:tcPr>
          <w:p w14:paraId="6D9B171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1D18314" w14:textId="77777777" w:rsidR="00000000" w:rsidRDefault="00A173A8">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D9E79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E3DC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B4D79B" w14:textId="77777777" w:rsidR="00000000" w:rsidRDefault="00A173A8">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center"/>
            <w:hideMark/>
          </w:tcPr>
          <w:p w14:paraId="0CC026C2" w14:textId="77777777" w:rsidR="00000000" w:rsidRDefault="00A173A8">
            <w:pPr>
              <w:spacing w:after="100"/>
              <w:jc w:val="right"/>
              <w:rPr>
                <w:rFonts w:eastAsia="Times New Roman"/>
              </w:rPr>
            </w:pPr>
          </w:p>
        </w:tc>
        <w:tc>
          <w:tcPr>
            <w:tcW w:w="0" w:type="auto"/>
            <w:vAlign w:val="center"/>
            <w:hideMark/>
          </w:tcPr>
          <w:p w14:paraId="429BA4F6" w14:textId="77777777" w:rsidR="00000000" w:rsidRDefault="00A173A8">
            <w:pPr>
              <w:spacing w:after="100"/>
              <w:jc w:val="right"/>
              <w:rPr>
                <w:rFonts w:eastAsia="Times New Roman"/>
                <w:sz w:val="20"/>
                <w:szCs w:val="20"/>
              </w:rPr>
            </w:pPr>
          </w:p>
        </w:tc>
        <w:tc>
          <w:tcPr>
            <w:tcW w:w="0" w:type="auto"/>
            <w:vAlign w:val="center"/>
            <w:hideMark/>
          </w:tcPr>
          <w:p w14:paraId="68144BF4" w14:textId="77777777" w:rsidR="00000000" w:rsidRDefault="00A173A8">
            <w:pPr>
              <w:spacing w:after="100"/>
              <w:rPr>
                <w:rFonts w:eastAsia="Times New Roman"/>
                <w:sz w:val="20"/>
                <w:szCs w:val="20"/>
              </w:rPr>
            </w:pPr>
          </w:p>
        </w:tc>
      </w:tr>
      <w:tr w:rsidR="00000000" w14:paraId="4BA6EE16" w14:textId="77777777">
        <w:trPr>
          <w:divId w:val="1181434677"/>
        </w:trPr>
        <w:tc>
          <w:tcPr>
            <w:tcW w:w="0" w:type="auto"/>
            <w:gridSpan w:val="3"/>
            <w:shd w:val="clear" w:color="auto" w:fill="FFFFFF"/>
            <w:tcMar>
              <w:top w:w="30" w:type="dxa"/>
              <w:left w:w="245" w:type="dxa"/>
              <w:bottom w:w="30" w:type="dxa"/>
              <w:right w:w="20" w:type="dxa"/>
            </w:tcMar>
            <w:vAlign w:val="center"/>
            <w:hideMark/>
          </w:tcPr>
          <w:p w14:paraId="7D94DD64" w14:textId="77777777" w:rsidR="00000000" w:rsidRDefault="00A173A8">
            <w:pPr>
              <w:spacing w:after="100"/>
              <w:rPr>
                <w:rFonts w:eastAsia="Times New Roman"/>
              </w:rPr>
            </w:pPr>
            <w:r>
              <w:rPr>
                <w:rFonts w:eastAsia="Times New Roman"/>
                <w:color w:val="000000"/>
                <w:sz w:val="20"/>
                <w:szCs w:val="20"/>
              </w:rPr>
              <w:t>620 or below</w:t>
            </w:r>
          </w:p>
        </w:tc>
        <w:tc>
          <w:tcPr>
            <w:tcW w:w="0" w:type="auto"/>
            <w:gridSpan w:val="3"/>
            <w:shd w:val="clear" w:color="auto" w:fill="FFFFFF"/>
            <w:tcMar>
              <w:top w:w="0" w:type="dxa"/>
              <w:left w:w="20" w:type="dxa"/>
              <w:bottom w:w="0" w:type="dxa"/>
              <w:right w:w="20" w:type="dxa"/>
            </w:tcMar>
            <w:vAlign w:val="center"/>
            <w:hideMark/>
          </w:tcPr>
          <w:p w14:paraId="52FE3DB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935199" w14:textId="77777777" w:rsidR="00000000" w:rsidRDefault="00A173A8">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4AE67E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D4AC3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DF5C60" w14:textId="77777777" w:rsidR="00000000" w:rsidRDefault="00A173A8">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center"/>
            <w:hideMark/>
          </w:tcPr>
          <w:p w14:paraId="31E790AA" w14:textId="77777777" w:rsidR="00000000" w:rsidRDefault="00A173A8">
            <w:pPr>
              <w:spacing w:after="100"/>
              <w:jc w:val="right"/>
              <w:rPr>
                <w:rFonts w:eastAsia="Times New Roman"/>
              </w:rPr>
            </w:pPr>
          </w:p>
        </w:tc>
        <w:tc>
          <w:tcPr>
            <w:tcW w:w="0" w:type="auto"/>
            <w:vAlign w:val="center"/>
            <w:hideMark/>
          </w:tcPr>
          <w:p w14:paraId="1BA58FAB" w14:textId="77777777" w:rsidR="00000000" w:rsidRDefault="00A173A8">
            <w:pPr>
              <w:spacing w:after="100"/>
              <w:jc w:val="right"/>
              <w:rPr>
                <w:rFonts w:eastAsia="Times New Roman"/>
                <w:sz w:val="20"/>
                <w:szCs w:val="20"/>
              </w:rPr>
            </w:pPr>
          </w:p>
        </w:tc>
        <w:tc>
          <w:tcPr>
            <w:tcW w:w="0" w:type="auto"/>
            <w:vAlign w:val="center"/>
            <w:hideMark/>
          </w:tcPr>
          <w:p w14:paraId="398558A8" w14:textId="77777777" w:rsidR="00000000" w:rsidRDefault="00A173A8">
            <w:pPr>
              <w:spacing w:after="100"/>
              <w:rPr>
                <w:rFonts w:eastAsia="Times New Roman"/>
                <w:sz w:val="20"/>
                <w:szCs w:val="20"/>
              </w:rPr>
            </w:pPr>
          </w:p>
        </w:tc>
      </w:tr>
      <w:tr w:rsidR="00000000" w14:paraId="65CB4EA9" w14:textId="77777777">
        <w:trPr>
          <w:divId w:val="1181434677"/>
        </w:trPr>
        <w:tc>
          <w:tcPr>
            <w:tcW w:w="0" w:type="auto"/>
            <w:gridSpan w:val="3"/>
            <w:shd w:val="clear" w:color="auto" w:fill="CCEEFF"/>
            <w:tcMar>
              <w:top w:w="30" w:type="dxa"/>
              <w:left w:w="20" w:type="dxa"/>
              <w:bottom w:w="30" w:type="dxa"/>
              <w:right w:w="20" w:type="dxa"/>
            </w:tcMar>
            <w:vAlign w:val="center"/>
            <w:hideMark/>
          </w:tcPr>
          <w:p w14:paraId="5E089FA7"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0BE1A575" w14:textId="77777777" w:rsidR="00000000" w:rsidRDefault="00A173A8">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A954089" w14:textId="77777777" w:rsidR="00000000" w:rsidRDefault="00A173A8">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AD9A919"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B39226A" w14:textId="77777777" w:rsidR="00000000" w:rsidRDefault="00A173A8">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9E9F993" w14:textId="77777777" w:rsidR="00000000" w:rsidRDefault="00A173A8">
            <w:pPr>
              <w:spacing w:after="100"/>
              <w:jc w:val="right"/>
              <w:rPr>
                <w:rFonts w:eastAsia="Times New Roman"/>
              </w:rPr>
            </w:pPr>
            <w:r>
              <w:rPr>
                <w:rFonts w:eastAsia="Times New Roman"/>
                <w:color w:val="000000"/>
                <w:sz w:val="20"/>
                <w:szCs w:val="20"/>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01857AB"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10E7F7BE" w14:textId="77777777" w:rsidR="00000000" w:rsidRDefault="00A173A8">
            <w:pPr>
              <w:spacing w:after="100"/>
              <w:jc w:val="right"/>
              <w:rPr>
                <w:rFonts w:eastAsia="Times New Roman"/>
              </w:rPr>
            </w:pPr>
          </w:p>
        </w:tc>
        <w:tc>
          <w:tcPr>
            <w:tcW w:w="0" w:type="auto"/>
            <w:vAlign w:val="center"/>
            <w:hideMark/>
          </w:tcPr>
          <w:p w14:paraId="2E17E57A" w14:textId="77777777" w:rsidR="00000000" w:rsidRDefault="00A173A8">
            <w:pPr>
              <w:spacing w:after="100"/>
              <w:rPr>
                <w:rFonts w:eastAsia="Times New Roman"/>
                <w:sz w:val="20"/>
                <w:szCs w:val="20"/>
              </w:rPr>
            </w:pPr>
          </w:p>
        </w:tc>
      </w:tr>
    </w:tbl>
    <w:p w14:paraId="4395A553" w14:textId="77777777" w:rsidR="00000000" w:rsidRDefault="00A173A8">
      <w:pPr>
        <w:divId w:val="1181434677"/>
        <w:rPr>
          <w:rFonts w:eastAsia="Times New Roman"/>
        </w:rPr>
      </w:pPr>
      <w:r>
        <w:rPr>
          <w:rFonts w:eastAsia="Times New Roman"/>
          <w:color w:val="000000"/>
          <w:sz w:val="20"/>
          <w:szCs w:val="20"/>
        </w:rPr>
        <w:t>__________</w:t>
      </w:r>
    </w:p>
    <w:p w14:paraId="5EF44BA0" w14:textId="77777777" w:rsidR="00000000" w:rsidRDefault="00A173A8">
      <w:pPr>
        <w:ind w:hanging="360"/>
        <w:jc w:val="both"/>
        <w:divId w:val="185364202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color w:val="000000"/>
          <w:sz w:val="16"/>
          <w:szCs w:val="16"/>
        </w:rPr>
        <w:t>hereafter. We approximate non-FICO credit scores to comparable FICO scores for consistency purposes. Balances for which no credit score is available or the credit score is invalid are included in the 660 or below category.</w:t>
      </w:r>
    </w:p>
    <w:p w14:paraId="5D06173C" w14:textId="77777777" w:rsidR="00000000" w:rsidRDefault="00A173A8">
      <w:pPr>
        <w:ind w:hanging="360"/>
        <w:jc w:val="both"/>
        <w:divId w:val="75983716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Percentages represent period-e</w:t>
      </w:r>
      <w:r>
        <w:rPr>
          <w:rFonts w:eastAsia="Times New Roman"/>
          <w:color w:val="000000"/>
          <w:sz w:val="16"/>
          <w:szCs w:val="16"/>
        </w:rPr>
        <w:t>nd loans held for investment in each credit score category. Auto credit scores generally represent average FICO scores obtained from three credit bureaus at the time of application and are not refreshed thereafter. Balances for which no credit score is ava</w:t>
      </w:r>
      <w:r>
        <w:rPr>
          <w:rFonts w:eastAsia="Times New Roman"/>
          <w:color w:val="000000"/>
          <w:sz w:val="16"/>
          <w:szCs w:val="16"/>
        </w:rPr>
        <w:t>ilable or the credit score is invalid are included in the 620 or below category.</w:t>
      </w:r>
    </w:p>
    <w:p w14:paraId="4DB63808" w14:textId="77777777" w:rsidR="00000000" w:rsidRDefault="00A173A8">
      <w:pPr>
        <w:jc w:val="both"/>
        <w:divId w:val="2007710943"/>
        <w:rPr>
          <w:rFonts w:eastAsia="Times New Roman"/>
        </w:rPr>
      </w:pPr>
      <w:r>
        <w:rPr>
          <w:rFonts w:eastAsia="Times New Roman"/>
          <w:color w:val="000000"/>
          <w:sz w:val="20"/>
          <w:szCs w:val="20"/>
        </w:rPr>
        <w:t xml:space="preserve">We present information in the section below on the credit performance of our loan portfolio, including the key metrics we use in tracking changes in the credit quality of our loan portfolio. See “Note 3—Loans” for additional credit quality information and </w:t>
      </w:r>
      <w:r>
        <w:rPr>
          <w:rFonts w:eastAsia="Times New Roman"/>
          <w:color w:val="000000"/>
          <w:sz w:val="20"/>
          <w:szCs w:val="20"/>
        </w:rPr>
        <w:t xml:space="preserve">see “Note 1—Summary of Significant Accounting Policies” </w:t>
      </w:r>
      <w:r>
        <w:rPr>
          <w:rFonts w:eastAsia="Times New Roman"/>
          <w:color w:val="000000"/>
          <w:sz w:val="20"/>
          <w:szCs w:val="20"/>
          <w:shd w:val="clear" w:color="auto" w:fill="FFFFFF"/>
        </w:rPr>
        <w:t xml:space="preserve">in our 2021 Form 10-K </w:t>
      </w:r>
      <w:r>
        <w:rPr>
          <w:rFonts w:eastAsia="Times New Roman"/>
          <w:color w:val="000000"/>
          <w:sz w:val="20"/>
          <w:szCs w:val="20"/>
        </w:rPr>
        <w:t>for information on our accounting policies for delinquent and nonperforming loans, charge-offs and troubled debt restructurings (“TDR”) for each of our loan categories.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34C37ED" w14:textId="77777777">
        <w:trPr>
          <w:divId w:val="468211851"/>
          <w:jc w:val="center"/>
        </w:trPr>
        <w:tc>
          <w:tcPr>
            <w:tcW w:w="50" w:type="pct"/>
            <w:vAlign w:val="center"/>
            <w:hideMark/>
          </w:tcPr>
          <w:p w14:paraId="62905F93" w14:textId="77777777" w:rsidR="00000000" w:rsidRDefault="00A173A8">
            <w:pPr>
              <w:jc w:val="both"/>
              <w:rPr>
                <w:rFonts w:eastAsia="Times New Roman"/>
              </w:rPr>
            </w:pPr>
          </w:p>
        </w:tc>
        <w:tc>
          <w:tcPr>
            <w:tcW w:w="1606" w:type="pct"/>
            <w:vAlign w:val="center"/>
            <w:hideMark/>
          </w:tcPr>
          <w:p w14:paraId="57AF6DFB" w14:textId="77777777" w:rsidR="00000000" w:rsidRDefault="00A173A8">
            <w:pPr>
              <w:spacing w:after="100"/>
              <w:rPr>
                <w:rFonts w:eastAsia="Times New Roman"/>
                <w:sz w:val="20"/>
                <w:szCs w:val="20"/>
              </w:rPr>
            </w:pPr>
          </w:p>
        </w:tc>
        <w:tc>
          <w:tcPr>
            <w:tcW w:w="5" w:type="pct"/>
            <w:vAlign w:val="center"/>
            <w:hideMark/>
          </w:tcPr>
          <w:p w14:paraId="001B1F63" w14:textId="77777777" w:rsidR="00000000" w:rsidRDefault="00A173A8">
            <w:pPr>
              <w:spacing w:after="100"/>
              <w:rPr>
                <w:rFonts w:eastAsia="Times New Roman"/>
                <w:sz w:val="20"/>
                <w:szCs w:val="20"/>
              </w:rPr>
            </w:pPr>
          </w:p>
        </w:tc>
        <w:tc>
          <w:tcPr>
            <w:tcW w:w="50" w:type="pct"/>
            <w:vAlign w:val="center"/>
            <w:hideMark/>
          </w:tcPr>
          <w:p w14:paraId="2B8FCD57" w14:textId="77777777" w:rsidR="00000000" w:rsidRDefault="00A173A8">
            <w:pPr>
              <w:spacing w:after="100"/>
              <w:rPr>
                <w:rFonts w:eastAsia="Times New Roman"/>
                <w:sz w:val="20"/>
                <w:szCs w:val="20"/>
              </w:rPr>
            </w:pPr>
          </w:p>
        </w:tc>
        <w:tc>
          <w:tcPr>
            <w:tcW w:w="1614" w:type="pct"/>
            <w:vAlign w:val="center"/>
            <w:hideMark/>
          </w:tcPr>
          <w:p w14:paraId="46C55B2C" w14:textId="77777777" w:rsidR="00000000" w:rsidRDefault="00A173A8">
            <w:pPr>
              <w:spacing w:after="100"/>
              <w:rPr>
                <w:rFonts w:eastAsia="Times New Roman"/>
                <w:sz w:val="20"/>
                <w:szCs w:val="20"/>
              </w:rPr>
            </w:pPr>
          </w:p>
        </w:tc>
        <w:tc>
          <w:tcPr>
            <w:tcW w:w="5" w:type="pct"/>
            <w:vAlign w:val="center"/>
            <w:hideMark/>
          </w:tcPr>
          <w:p w14:paraId="1C4783AC" w14:textId="77777777" w:rsidR="00000000" w:rsidRDefault="00A173A8">
            <w:pPr>
              <w:spacing w:after="100"/>
              <w:rPr>
                <w:rFonts w:eastAsia="Times New Roman"/>
                <w:sz w:val="20"/>
                <w:szCs w:val="20"/>
              </w:rPr>
            </w:pPr>
          </w:p>
        </w:tc>
        <w:tc>
          <w:tcPr>
            <w:tcW w:w="50" w:type="pct"/>
            <w:vAlign w:val="center"/>
            <w:hideMark/>
          </w:tcPr>
          <w:p w14:paraId="7E932B68" w14:textId="77777777" w:rsidR="00000000" w:rsidRDefault="00A173A8">
            <w:pPr>
              <w:spacing w:after="100"/>
              <w:rPr>
                <w:rFonts w:eastAsia="Times New Roman"/>
                <w:sz w:val="20"/>
                <w:szCs w:val="20"/>
              </w:rPr>
            </w:pPr>
          </w:p>
        </w:tc>
        <w:tc>
          <w:tcPr>
            <w:tcW w:w="1614" w:type="pct"/>
            <w:vAlign w:val="center"/>
            <w:hideMark/>
          </w:tcPr>
          <w:p w14:paraId="6EF53162" w14:textId="77777777" w:rsidR="00000000" w:rsidRDefault="00A173A8">
            <w:pPr>
              <w:spacing w:after="100"/>
              <w:rPr>
                <w:rFonts w:eastAsia="Times New Roman"/>
                <w:sz w:val="20"/>
                <w:szCs w:val="20"/>
              </w:rPr>
            </w:pPr>
          </w:p>
        </w:tc>
        <w:tc>
          <w:tcPr>
            <w:tcW w:w="5" w:type="pct"/>
            <w:vAlign w:val="center"/>
            <w:hideMark/>
          </w:tcPr>
          <w:p w14:paraId="4F747F80" w14:textId="77777777" w:rsidR="00000000" w:rsidRDefault="00A173A8">
            <w:pPr>
              <w:spacing w:after="100"/>
              <w:rPr>
                <w:rFonts w:eastAsia="Times New Roman"/>
                <w:sz w:val="20"/>
                <w:szCs w:val="20"/>
              </w:rPr>
            </w:pPr>
          </w:p>
        </w:tc>
      </w:tr>
      <w:tr w:rsidR="00000000" w14:paraId="4FC04CD0" w14:textId="77777777">
        <w:trPr>
          <w:divId w:val="468211851"/>
          <w:trHeight w:val="300"/>
          <w:jc w:val="center"/>
        </w:trPr>
        <w:tc>
          <w:tcPr>
            <w:tcW w:w="0" w:type="auto"/>
            <w:gridSpan w:val="9"/>
            <w:tcMar>
              <w:top w:w="0" w:type="dxa"/>
              <w:left w:w="20" w:type="dxa"/>
              <w:bottom w:w="0" w:type="dxa"/>
              <w:right w:w="20" w:type="dxa"/>
            </w:tcMar>
            <w:vAlign w:val="center"/>
            <w:hideMark/>
          </w:tcPr>
          <w:p w14:paraId="5E0A648D" w14:textId="77777777" w:rsidR="00000000" w:rsidRDefault="00A173A8">
            <w:pPr>
              <w:spacing w:after="100"/>
              <w:rPr>
                <w:rFonts w:eastAsia="Times New Roman"/>
                <w:sz w:val="20"/>
                <w:szCs w:val="20"/>
              </w:rPr>
            </w:pPr>
          </w:p>
        </w:tc>
      </w:tr>
      <w:tr w:rsidR="00000000" w14:paraId="3F4B0DB1" w14:textId="77777777">
        <w:trPr>
          <w:divId w:val="468211851"/>
          <w:jc w:val="center"/>
        </w:trPr>
        <w:tc>
          <w:tcPr>
            <w:tcW w:w="0" w:type="auto"/>
            <w:gridSpan w:val="3"/>
            <w:tcMar>
              <w:top w:w="0" w:type="dxa"/>
              <w:left w:w="20" w:type="dxa"/>
              <w:bottom w:w="0" w:type="dxa"/>
              <w:right w:w="20" w:type="dxa"/>
            </w:tcMar>
            <w:vAlign w:val="center"/>
            <w:hideMark/>
          </w:tcPr>
          <w:p w14:paraId="1F4FAE5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EE107B7" w14:textId="77777777" w:rsidR="00000000" w:rsidRDefault="00A173A8">
            <w:pPr>
              <w:spacing w:after="100"/>
              <w:jc w:val="center"/>
              <w:rPr>
                <w:rFonts w:eastAsia="Times New Roman"/>
              </w:rPr>
            </w:pPr>
            <w:r>
              <w:rPr>
                <w:rFonts w:eastAsia="Times New Roman"/>
                <w:color w:val="000000"/>
                <w:sz w:val="16"/>
                <w:szCs w:val="16"/>
              </w:rPr>
              <w:t>39</w:t>
            </w:r>
          </w:p>
        </w:tc>
        <w:tc>
          <w:tcPr>
            <w:tcW w:w="0" w:type="auto"/>
            <w:gridSpan w:val="3"/>
            <w:tcMar>
              <w:top w:w="30" w:type="dxa"/>
              <w:left w:w="20" w:type="dxa"/>
              <w:bottom w:w="30" w:type="dxa"/>
              <w:right w:w="20" w:type="dxa"/>
            </w:tcMar>
            <w:vAlign w:val="bottom"/>
            <w:hideMark/>
          </w:tcPr>
          <w:p w14:paraId="29F1E0D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D590FA0" w14:textId="77777777" w:rsidR="00000000" w:rsidRDefault="00A173A8">
      <w:pPr>
        <w:rPr>
          <w:rFonts w:eastAsia="Times New Roman"/>
        </w:rPr>
      </w:pPr>
      <w:r>
        <w:rPr>
          <w:rFonts w:eastAsia="Times New Roman"/>
        </w:rPr>
        <w:pict w14:anchorId="036F5226">
          <v:rect id="_x0000_i1064" style="width:0;height:1.5pt" o:hralign="center" o:hrstd="t" o:hr="t" fillcolor="#a0a0a0" stroked="f"/>
        </w:pict>
      </w:r>
    </w:p>
    <w:p w14:paraId="1CB93C2D" w14:textId="77777777" w:rsidR="00000000" w:rsidRDefault="00A173A8">
      <w:pPr>
        <w:ind w:hanging="360"/>
        <w:jc w:val="both"/>
        <w:divId w:val="1709182256"/>
        <w:rPr>
          <w:rFonts w:eastAsia="Times New Roman"/>
        </w:rPr>
      </w:pPr>
      <w:hyperlink w:anchor="i7ffd5d61af6f4722b1b1b07530d51c06_13" w:history="1">
        <w:r>
          <w:rPr>
            <w:rStyle w:val="a3"/>
            <w:rFonts w:eastAsia="Times New Roman"/>
            <w:sz w:val="16"/>
            <w:szCs w:val="16"/>
          </w:rPr>
          <w:t>Table of Contents</w:t>
        </w:r>
      </w:hyperlink>
    </w:p>
    <w:p w14:paraId="09465607" w14:textId="77777777" w:rsidR="00000000" w:rsidRDefault="00A173A8">
      <w:pPr>
        <w:divId w:val="2011986580"/>
        <w:rPr>
          <w:rFonts w:eastAsia="Times New Roman"/>
        </w:rPr>
      </w:pPr>
      <w:r>
        <w:rPr>
          <w:rFonts w:eastAsia="Times New Roman"/>
          <w:b/>
          <w:bCs/>
          <w:i/>
          <w:iCs/>
          <w:color w:val="000000"/>
          <w:sz w:val="20"/>
          <w:szCs w:val="20"/>
        </w:rPr>
        <w:t>Delinquency Rates</w:t>
      </w:r>
    </w:p>
    <w:p w14:paraId="6A5F0F8D" w14:textId="77777777" w:rsidR="00000000" w:rsidRDefault="00A173A8">
      <w:pPr>
        <w:jc w:val="both"/>
        <w:divId w:val="430011676"/>
        <w:rPr>
          <w:rFonts w:eastAsia="Times New Roman"/>
        </w:rPr>
      </w:pPr>
      <w:r>
        <w:rPr>
          <w:rFonts w:eastAsia="Times New Roman"/>
          <w:color w:val="000000"/>
          <w:sz w:val="20"/>
          <w:szCs w:val="20"/>
        </w:rPr>
        <w:t>We consider the entire balance of an account to be delinquent if the minimum required payment is not received by the customer’s due date, measured at each balance sheet date. Our 30+ day delinquency metrics include all loans held for investment that are 30</w:t>
      </w:r>
      <w:r>
        <w:rPr>
          <w:rFonts w:eastAsia="Times New Roman"/>
          <w:color w:val="000000"/>
          <w:sz w:val="20"/>
          <w:szCs w:val="20"/>
        </w:rPr>
        <w:t xml:space="preserve"> or more days past due, whereas our 30+ day performing delinquency metrics include all loans held for investment that are 30 or more days past due but are currently classified as performing and accruing interest. The 30+ day delinquency and 30+ day perform</w:t>
      </w:r>
      <w:r>
        <w:rPr>
          <w:rFonts w:eastAsia="Times New Roman"/>
          <w:color w:val="000000"/>
          <w:sz w:val="20"/>
          <w:szCs w:val="20"/>
        </w:rPr>
        <w:t>ing delinquency metrics are the same for domestic credit card loans, as we continue to classify these loans as performing until the account is charged off, typically when the account is 180 days past due. See “Note 1—Summary of Significant Accounting Polic</w:t>
      </w:r>
      <w:r>
        <w:rPr>
          <w:rFonts w:eastAsia="Times New Roman"/>
          <w:color w:val="000000"/>
          <w:sz w:val="20"/>
          <w:szCs w:val="20"/>
        </w:rPr>
        <w:t xml:space="preserve">ies” in our 2021 Form 10-K for information on our policies for classifying loans as nonperforming for each of our loan categories. We provide additional information on our credit quality metrics in “MD&amp;A—Business Segment Financial Performance.” </w:t>
      </w:r>
    </w:p>
    <w:p w14:paraId="5BE4793A" w14:textId="77777777" w:rsidR="00000000" w:rsidRDefault="00A173A8">
      <w:pPr>
        <w:jc w:val="both"/>
        <w:divId w:val="1743717490"/>
        <w:rPr>
          <w:rFonts w:eastAsia="Times New Roman"/>
        </w:rPr>
      </w:pPr>
      <w:r>
        <w:rPr>
          <w:rFonts w:eastAsia="Times New Roman"/>
          <w:color w:val="000000"/>
          <w:sz w:val="20"/>
          <w:szCs w:val="20"/>
        </w:rPr>
        <w:t>Table 22 p</w:t>
      </w:r>
      <w:r>
        <w:rPr>
          <w:rFonts w:eastAsia="Times New Roman"/>
          <w:color w:val="000000"/>
          <w:sz w:val="20"/>
          <w:szCs w:val="20"/>
        </w:rPr>
        <w:t>resents our 30+ day performing delinquency rates and 30+ day delinquency rates of our portfolio of loans held for investment, by portfolio segment, as of June 30, 2022 and December 31, 2021.</w:t>
      </w:r>
    </w:p>
    <w:p w14:paraId="670B7A36" w14:textId="77777777" w:rsidR="00000000" w:rsidRDefault="00A173A8">
      <w:pPr>
        <w:divId w:val="1361472877"/>
        <w:rPr>
          <w:rFonts w:eastAsia="Times New Roman"/>
        </w:rPr>
      </w:pPr>
      <w:r>
        <w:rPr>
          <w:rFonts w:eastAsia="Times New Roman"/>
          <w:b/>
          <w:bCs/>
          <w:color w:val="000000"/>
          <w:sz w:val="18"/>
          <w:szCs w:val="18"/>
        </w:rPr>
        <w:t xml:space="preserve">Table 22: </w:t>
      </w:r>
      <w:r>
        <w:rPr>
          <w:rFonts w:eastAsia="Times New Roman"/>
          <w:b/>
          <w:bCs/>
          <w:color w:val="000000"/>
          <w:sz w:val="20"/>
          <w:szCs w:val="20"/>
        </w:rPr>
        <w:t>30+ Day Delinquencies</w:t>
      </w:r>
    </w:p>
    <w:tbl>
      <w:tblPr>
        <w:tblW w:w="5000" w:type="pct"/>
        <w:tblCellMar>
          <w:top w:w="15" w:type="dxa"/>
          <w:left w:w="15" w:type="dxa"/>
          <w:bottom w:w="15" w:type="dxa"/>
          <w:right w:w="15" w:type="dxa"/>
        </w:tblCellMar>
        <w:tblLook w:val="04A0" w:firstRow="1" w:lastRow="0" w:firstColumn="1" w:lastColumn="0" w:noHBand="0" w:noVBand="1"/>
      </w:tblPr>
      <w:tblGrid>
        <w:gridCol w:w="47"/>
        <w:gridCol w:w="1236"/>
        <w:gridCol w:w="38"/>
        <w:gridCol w:w="36"/>
        <w:gridCol w:w="36"/>
        <w:gridCol w:w="36"/>
        <w:gridCol w:w="122"/>
        <w:gridCol w:w="644"/>
        <w:gridCol w:w="38"/>
        <w:gridCol w:w="36"/>
        <w:gridCol w:w="36"/>
        <w:gridCol w:w="36"/>
        <w:gridCol w:w="70"/>
        <w:gridCol w:w="511"/>
        <w:gridCol w:w="220"/>
        <w:gridCol w:w="36"/>
        <w:gridCol w:w="36"/>
        <w:gridCol w:w="36"/>
        <w:gridCol w:w="122"/>
        <w:gridCol w:w="644"/>
        <w:gridCol w:w="38"/>
        <w:gridCol w:w="36"/>
        <w:gridCol w:w="36"/>
        <w:gridCol w:w="36"/>
        <w:gridCol w:w="70"/>
        <w:gridCol w:w="511"/>
        <w:gridCol w:w="220"/>
        <w:gridCol w:w="36"/>
        <w:gridCol w:w="36"/>
        <w:gridCol w:w="36"/>
        <w:gridCol w:w="122"/>
        <w:gridCol w:w="644"/>
        <w:gridCol w:w="38"/>
        <w:gridCol w:w="36"/>
        <w:gridCol w:w="36"/>
        <w:gridCol w:w="36"/>
        <w:gridCol w:w="70"/>
        <w:gridCol w:w="511"/>
        <w:gridCol w:w="187"/>
        <w:gridCol w:w="36"/>
        <w:gridCol w:w="36"/>
        <w:gridCol w:w="36"/>
        <w:gridCol w:w="122"/>
        <w:gridCol w:w="644"/>
        <w:gridCol w:w="38"/>
        <w:gridCol w:w="37"/>
        <w:gridCol w:w="36"/>
        <w:gridCol w:w="36"/>
        <w:gridCol w:w="70"/>
        <w:gridCol w:w="511"/>
        <w:gridCol w:w="187"/>
      </w:tblGrid>
      <w:tr w:rsidR="00000000" w14:paraId="5AE38149" w14:textId="77777777">
        <w:trPr>
          <w:divId w:val="1361472877"/>
        </w:trPr>
        <w:tc>
          <w:tcPr>
            <w:tcW w:w="50" w:type="pct"/>
            <w:vAlign w:val="center"/>
            <w:hideMark/>
          </w:tcPr>
          <w:p w14:paraId="3E5C6925" w14:textId="77777777" w:rsidR="00000000" w:rsidRDefault="00A173A8">
            <w:pPr>
              <w:rPr>
                <w:rFonts w:eastAsia="Times New Roman"/>
              </w:rPr>
            </w:pPr>
          </w:p>
        </w:tc>
        <w:tc>
          <w:tcPr>
            <w:tcW w:w="1319" w:type="pct"/>
            <w:vAlign w:val="center"/>
            <w:hideMark/>
          </w:tcPr>
          <w:p w14:paraId="7A3A901F" w14:textId="77777777" w:rsidR="00000000" w:rsidRDefault="00A173A8">
            <w:pPr>
              <w:spacing w:after="100"/>
              <w:rPr>
                <w:rFonts w:eastAsia="Times New Roman"/>
                <w:sz w:val="20"/>
                <w:szCs w:val="20"/>
              </w:rPr>
            </w:pPr>
          </w:p>
        </w:tc>
        <w:tc>
          <w:tcPr>
            <w:tcW w:w="5" w:type="pct"/>
            <w:vAlign w:val="center"/>
            <w:hideMark/>
          </w:tcPr>
          <w:p w14:paraId="33B7F3BE" w14:textId="77777777" w:rsidR="00000000" w:rsidRDefault="00A173A8">
            <w:pPr>
              <w:spacing w:after="100"/>
              <w:rPr>
                <w:rFonts w:eastAsia="Times New Roman"/>
                <w:sz w:val="20"/>
                <w:szCs w:val="20"/>
              </w:rPr>
            </w:pPr>
          </w:p>
        </w:tc>
        <w:tc>
          <w:tcPr>
            <w:tcW w:w="5" w:type="pct"/>
            <w:vAlign w:val="center"/>
            <w:hideMark/>
          </w:tcPr>
          <w:p w14:paraId="330E8AE1" w14:textId="77777777" w:rsidR="00000000" w:rsidRDefault="00A173A8">
            <w:pPr>
              <w:spacing w:after="100"/>
              <w:rPr>
                <w:rFonts w:eastAsia="Times New Roman"/>
                <w:sz w:val="20"/>
                <w:szCs w:val="20"/>
              </w:rPr>
            </w:pPr>
          </w:p>
        </w:tc>
        <w:tc>
          <w:tcPr>
            <w:tcW w:w="26" w:type="pct"/>
            <w:vAlign w:val="center"/>
            <w:hideMark/>
          </w:tcPr>
          <w:p w14:paraId="4FF29ED2" w14:textId="77777777" w:rsidR="00000000" w:rsidRDefault="00A173A8">
            <w:pPr>
              <w:spacing w:after="100"/>
              <w:rPr>
                <w:rFonts w:eastAsia="Times New Roman"/>
                <w:sz w:val="20"/>
                <w:szCs w:val="20"/>
              </w:rPr>
            </w:pPr>
          </w:p>
        </w:tc>
        <w:tc>
          <w:tcPr>
            <w:tcW w:w="5" w:type="pct"/>
            <w:vAlign w:val="center"/>
            <w:hideMark/>
          </w:tcPr>
          <w:p w14:paraId="29C3CA43" w14:textId="77777777" w:rsidR="00000000" w:rsidRDefault="00A173A8">
            <w:pPr>
              <w:spacing w:after="100"/>
              <w:rPr>
                <w:rFonts w:eastAsia="Times New Roman"/>
                <w:sz w:val="20"/>
                <w:szCs w:val="20"/>
              </w:rPr>
            </w:pPr>
          </w:p>
        </w:tc>
        <w:tc>
          <w:tcPr>
            <w:tcW w:w="50" w:type="pct"/>
            <w:vAlign w:val="center"/>
            <w:hideMark/>
          </w:tcPr>
          <w:p w14:paraId="57333C5D" w14:textId="77777777" w:rsidR="00000000" w:rsidRDefault="00A173A8">
            <w:pPr>
              <w:spacing w:after="100"/>
              <w:rPr>
                <w:rFonts w:eastAsia="Times New Roman"/>
                <w:sz w:val="20"/>
                <w:szCs w:val="20"/>
              </w:rPr>
            </w:pPr>
          </w:p>
        </w:tc>
        <w:tc>
          <w:tcPr>
            <w:tcW w:w="361" w:type="pct"/>
            <w:vAlign w:val="center"/>
            <w:hideMark/>
          </w:tcPr>
          <w:p w14:paraId="639F9553" w14:textId="77777777" w:rsidR="00000000" w:rsidRDefault="00A173A8">
            <w:pPr>
              <w:spacing w:after="100"/>
              <w:rPr>
                <w:rFonts w:eastAsia="Times New Roman"/>
                <w:sz w:val="20"/>
                <w:szCs w:val="20"/>
              </w:rPr>
            </w:pPr>
          </w:p>
        </w:tc>
        <w:tc>
          <w:tcPr>
            <w:tcW w:w="5" w:type="pct"/>
            <w:vAlign w:val="center"/>
            <w:hideMark/>
          </w:tcPr>
          <w:p w14:paraId="7C306D50" w14:textId="77777777" w:rsidR="00000000" w:rsidRDefault="00A173A8">
            <w:pPr>
              <w:spacing w:after="100"/>
              <w:rPr>
                <w:rFonts w:eastAsia="Times New Roman"/>
                <w:sz w:val="20"/>
                <w:szCs w:val="20"/>
              </w:rPr>
            </w:pPr>
          </w:p>
        </w:tc>
        <w:tc>
          <w:tcPr>
            <w:tcW w:w="5" w:type="pct"/>
            <w:vAlign w:val="center"/>
            <w:hideMark/>
          </w:tcPr>
          <w:p w14:paraId="68DE7FEF" w14:textId="77777777" w:rsidR="00000000" w:rsidRDefault="00A173A8">
            <w:pPr>
              <w:spacing w:after="100"/>
              <w:rPr>
                <w:rFonts w:eastAsia="Times New Roman"/>
                <w:sz w:val="20"/>
                <w:szCs w:val="20"/>
              </w:rPr>
            </w:pPr>
          </w:p>
        </w:tc>
        <w:tc>
          <w:tcPr>
            <w:tcW w:w="26" w:type="pct"/>
            <w:vAlign w:val="center"/>
            <w:hideMark/>
          </w:tcPr>
          <w:p w14:paraId="3ADEE6FD" w14:textId="77777777" w:rsidR="00000000" w:rsidRDefault="00A173A8">
            <w:pPr>
              <w:spacing w:after="100"/>
              <w:rPr>
                <w:rFonts w:eastAsia="Times New Roman"/>
                <w:sz w:val="20"/>
                <w:szCs w:val="20"/>
              </w:rPr>
            </w:pPr>
          </w:p>
        </w:tc>
        <w:tc>
          <w:tcPr>
            <w:tcW w:w="5" w:type="pct"/>
            <w:vAlign w:val="center"/>
            <w:hideMark/>
          </w:tcPr>
          <w:p w14:paraId="145058B8" w14:textId="77777777" w:rsidR="00000000" w:rsidRDefault="00A173A8">
            <w:pPr>
              <w:spacing w:after="100"/>
              <w:rPr>
                <w:rFonts w:eastAsia="Times New Roman"/>
                <w:sz w:val="20"/>
                <w:szCs w:val="20"/>
              </w:rPr>
            </w:pPr>
          </w:p>
        </w:tc>
        <w:tc>
          <w:tcPr>
            <w:tcW w:w="50" w:type="pct"/>
            <w:vAlign w:val="center"/>
            <w:hideMark/>
          </w:tcPr>
          <w:p w14:paraId="69685864" w14:textId="77777777" w:rsidR="00000000" w:rsidRDefault="00A173A8">
            <w:pPr>
              <w:spacing w:after="100"/>
              <w:rPr>
                <w:rFonts w:eastAsia="Times New Roman"/>
                <w:sz w:val="20"/>
                <w:szCs w:val="20"/>
              </w:rPr>
            </w:pPr>
          </w:p>
        </w:tc>
        <w:tc>
          <w:tcPr>
            <w:tcW w:w="361" w:type="pct"/>
            <w:vAlign w:val="center"/>
            <w:hideMark/>
          </w:tcPr>
          <w:p w14:paraId="6313F474" w14:textId="77777777" w:rsidR="00000000" w:rsidRDefault="00A173A8">
            <w:pPr>
              <w:spacing w:after="100"/>
              <w:rPr>
                <w:rFonts w:eastAsia="Times New Roman"/>
                <w:sz w:val="20"/>
                <w:szCs w:val="20"/>
              </w:rPr>
            </w:pPr>
          </w:p>
        </w:tc>
        <w:tc>
          <w:tcPr>
            <w:tcW w:w="5" w:type="pct"/>
            <w:vAlign w:val="center"/>
            <w:hideMark/>
          </w:tcPr>
          <w:p w14:paraId="0F95F736" w14:textId="77777777" w:rsidR="00000000" w:rsidRDefault="00A173A8">
            <w:pPr>
              <w:spacing w:after="100"/>
              <w:rPr>
                <w:rFonts w:eastAsia="Times New Roman"/>
                <w:sz w:val="20"/>
                <w:szCs w:val="20"/>
              </w:rPr>
            </w:pPr>
          </w:p>
        </w:tc>
        <w:tc>
          <w:tcPr>
            <w:tcW w:w="5" w:type="pct"/>
            <w:vAlign w:val="center"/>
            <w:hideMark/>
          </w:tcPr>
          <w:p w14:paraId="073989C5" w14:textId="77777777" w:rsidR="00000000" w:rsidRDefault="00A173A8">
            <w:pPr>
              <w:spacing w:after="100"/>
              <w:rPr>
                <w:rFonts w:eastAsia="Times New Roman"/>
                <w:sz w:val="20"/>
                <w:szCs w:val="20"/>
              </w:rPr>
            </w:pPr>
          </w:p>
        </w:tc>
        <w:tc>
          <w:tcPr>
            <w:tcW w:w="26" w:type="pct"/>
            <w:vAlign w:val="center"/>
            <w:hideMark/>
          </w:tcPr>
          <w:p w14:paraId="4566F20E" w14:textId="77777777" w:rsidR="00000000" w:rsidRDefault="00A173A8">
            <w:pPr>
              <w:spacing w:after="100"/>
              <w:rPr>
                <w:rFonts w:eastAsia="Times New Roman"/>
                <w:sz w:val="20"/>
                <w:szCs w:val="20"/>
              </w:rPr>
            </w:pPr>
          </w:p>
        </w:tc>
        <w:tc>
          <w:tcPr>
            <w:tcW w:w="5" w:type="pct"/>
            <w:vAlign w:val="center"/>
            <w:hideMark/>
          </w:tcPr>
          <w:p w14:paraId="1960D25D" w14:textId="77777777" w:rsidR="00000000" w:rsidRDefault="00A173A8">
            <w:pPr>
              <w:spacing w:after="100"/>
              <w:rPr>
                <w:rFonts w:eastAsia="Times New Roman"/>
                <w:sz w:val="20"/>
                <w:szCs w:val="20"/>
              </w:rPr>
            </w:pPr>
          </w:p>
        </w:tc>
        <w:tc>
          <w:tcPr>
            <w:tcW w:w="50" w:type="pct"/>
            <w:vAlign w:val="center"/>
            <w:hideMark/>
          </w:tcPr>
          <w:p w14:paraId="3272F401" w14:textId="77777777" w:rsidR="00000000" w:rsidRDefault="00A173A8">
            <w:pPr>
              <w:spacing w:after="100"/>
              <w:rPr>
                <w:rFonts w:eastAsia="Times New Roman"/>
                <w:sz w:val="20"/>
                <w:szCs w:val="20"/>
              </w:rPr>
            </w:pPr>
          </w:p>
        </w:tc>
        <w:tc>
          <w:tcPr>
            <w:tcW w:w="361" w:type="pct"/>
            <w:vAlign w:val="center"/>
            <w:hideMark/>
          </w:tcPr>
          <w:p w14:paraId="7F07A95E" w14:textId="77777777" w:rsidR="00000000" w:rsidRDefault="00A173A8">
            <w:pPr>
              <w:spacing w:after="100"/>
              <w:rPr>
                <w:rFonts w:eastAsia="Times New Roman"/>
                <w:sz w:val="20"/>
                <w:szCs w:val="20"/>
              </w:rPr>
            </w:pPr>
          </w:p>
        </w:tc>
        <w:tc>
          <w:tcPr>
            <w:tcW w:w="5" w:type="pct"/>
            <w:vAlign w:val="center"/>
            <w:hideMark/>
          </w:tcPr>
          <w:p w14:paraId="63F987A3" w14:textId="77777777" w:rsidR="00000000" w:rsidRDefault="00A173A8">
            <w:pPr>
              <w:spacing w:after="100"/>
              <w:rPr>
                <w:rFonts w:eastAsia="Times New Roman"/>
                <w:sz w:val="20"/>
                <w:szCs w:val="20"/>
              </w:rPr>
            </w:pPr>
          </w:p>
        </w:tc>
        <w:tc>
          <w:tcPr>
            <w:tcW w:w="5" w:type="pct"/>
            <w:vAlign w:val="center"/>
            <w:hideMark/>
          </w:tcPr>
          <w:p w14:paraId="76D5683B" w14:textId="77777777" w:rsidR="00000000" w:rsidRDefault="00A173A8">
            <w:pPr>
              <w:spacing w:after="100"/>
              <w:rPr>
                <w:rFonts w:eastAsia="Times New Roman"/>
                <w:sz w:val="20"/>
                <w:szCs w:val="20"/>
              </w:rPr>
            </w:pPr>
          </w:p>
        </w:tc>
        <w:tc>
          <w:tcPr>
            <w:tcW w:w="26" w:type="pct"/>
            <w:vAlign w:val="center"/>
            <w:hideMark/>
          </w:tcPr>
          <w:p w14:paraId="740C8E79" w14:textId="77777777" w:rsidR="00000000" w:rsidRDefault="00A173A8">
            <w:pPr>
              <w:spacing w:after="100"/>
              <w:rPr>
                <w:rFonts w:eastAsia="Times New Roman"/>
                <w:sz w:val="20"/>
                <w:szCs w:val="20"/>
              </w:rPr>
            </w:pPr>
          </w:p>
        </w:tc>
        <w:tc>
          <w:tcPr>
            <w:tcW w:w="5" w:type="pct"/>
            <w:vAlign w:val="center"/>
            <w:hideMark/>
          </w:tcPr>
          <w:p w14:paraId="20C2BFA8" w14:textId="77777777" w:rsidR="00000000" w:rsidRDefault="00A173A8">
            <w:pPr>
              <w:spacing w:after="100"/>
              <w:rPr>
                <w:rFonts w:eastAsia="Times New Roman"/>
                <w:sz w:val="20"/>
                <w:szCs w:val="20"/>
              </w:rPr>
            </w:pPr>
          </w:p>
        </w:tc>
        <w:tc>
          <w:tcPr>
            <w:tcW w:w="50" w:type="pct"/>
            <w:vAlign w:val="center"/>
            <w:hideMark/>
          </w:tcPr>
          <w:p w14:paraId="6A3F41B5" w14:textId="77777777" w:rsidR="00000000" w:rsidRDefault="00A173A8">
            <w:pPr>
              <w:spacing w:after="100"/>
              <w:rPr>
                <w:rFonts w:eastAsia="Times New Roman"/>
                <w:sz w:val="20"/>
                <w:szCs w:val="20"/>
              </w:rPr>
            </w:pPr>
          </w:p>
        </w:tc>
        <w:tc>
          <w:tcPr>
            <w:tcW w:w="361" w:type="pct"/>
            <w:vAlign w:val="center"/>
            <w:hideMark/>
          </w:tcPr>
          <w:p w14:paraId="17C8A701" w14:textId="77777777" w:rsidR="00000000" w:rsidRDefault="00A173A8">
            <w:pPr>
              <w:spacing w:after="100"/>
              <w:rPr>
                <w:rFonts w:eastAsia="Times New Roman"/>
                <w:sz w:val="20"/>
                <w:szCs w:val="20"/>
              </w:rPr>
            </w:pPr>
          </w:p>
        </w:tc>
        <w:tc>
          <w:tcPr>
            <w:tcW w:w="5" w:type="pct"/>
            <w:vAlign w:val="center"/>
            <w:hideMark/>
          </w:tcPr>
          <w:p w14:paraId="07BB9A92" w14:textId="77777777" w:rsidR="00000000" w:rsidRDefault="00A173A8">
            <w:pPr>
              <w:spacing w:after="100"/>
              <w:rPr>
                <w:rFonts w:eastAsia="Times New Roman"/>
                <w:sz w:val="20"/>
                <w:szCs w:val="20"/>
              </w:rPr>
            </w:pPr>
          </w:p>
        </w:tc>
        <w:tc>
          <w:tcPr>
            <w:tcW w:w="5" w:type="pct"/>
            <w:vAlign w:val="center"/>
            <w:hideMark/>
          </w:tcPr>
          <w:p w14:paraId="43259846" w14:textId="77777777" w:rsidR="00000000" w:rsidRDefault="00A173A8">
            <w:pPr>
              <w:spacing w:after="100"/>
              <w:rPr>
                <w:rFonts w:eastAsia="Times New Roman"/>
                <w:sz w:val="20"/>
                <w:szCs w:val="20"/>
              </w:rPr>
            </w:pPr>
          </w:p>
        </w:tc>
        <w:tc>
          <w:tcPr>
            <w:tcW w:w="26" w:type="pct"/>
            <w:vAlign w:val="center"/>
            <w:hideMark/>
          </w:tcPr>
          <w:p w14:paraId="144F88FA" w14:textId="77777777" w:rsidR="00000000" w:rsidRDefault="00A173A8">
            <w:pPr>
              <w:spacing w:after="100"/>
              <w:rPr>
                <w:rFonts w:eastAsia="Times New Roman"/>
                <w:sz w:val="20"/>
                <w:szCs w:val="20"/>
              </w:rPr>
            </w:pPr>
          </w:p>
        </w:tc>
        <w:tc>
          <w:tcPr>
            <w:tcW w:w="5" w:type="pct"/>
            <w:vAlign w:val="center"/>
            <w:hideMark/>
          </w:tcPr>
          <w:p w14:paraId="4A46A69A" w14:textId="77777777" w:rsidR="00000000" w:rsidRDefault="00A173A8">
            <w:pPr>
              <w:spacing w:after="100"/>
              <w:rPr>
                <w:rFonts w:eastAsia="Times New Roman"/>
                <w:sz w:val="20"/>
                <w:szCs w:val="20"/>
              </w:rPr>
            </w:pPr>
          </w:p>
        </w:tc>
        <w:tc>
          <w:tcPr>
            <w:tcW w:w="50" w:type="pct"/>
            <w:vAlign w:val="center"/>
            <w:hideMark/>
          </w:tcPr>
          <w:p w14:paraId="13723C3D" w14:textId="77777777" w:rsidR="00000000" w:rsidRDefault="00A173A8">
            <w:pPr>
              <w:spacing w:after="100"/>
              <w:rPr>
                <w:rFonts w:eastAsia="Times New Roman"/>
                <w:sz w:val="20"/>
                <w:szCs w:val="20"/>
              </w:rPr>
            </w:pPr>
          </w:p>
        </w:tc>
        <w:tc>
          <w:tcPr>
            <w:tcW w:w="361" w:type="pct"/>
            <w:vAlign w:val="center"/>
            <w:hideMark/>
          </w:tcPr>
          <w:p w14:paraId="207D9EEB" w14:textId="77777777" w:rsidR="00000000" w:rsidRDefault="00A173A8">
            <w:pPr>
              <w:spacing w:after="100"/>
              <w:rPr>
                <w:rFonts w:eastAsia="Times New Roman"/>
                <w:sz w:val="20"/>
                <w:szCs w:val="20"/>
              </w:rPr>
            </w:pPr>
          </w:p>
        </w:tc>
        <w:tc>
          <w:tcPr>
            <w:tcW w:w="5" w:type="pct"/>
            <w:vAlign w:val="center"/>
            <w:hideMark/>
          </w:tcPr>
          <w:p w14:paraId="0E465E0A" w14:textId="77777777" w:rsidR="00000000" w:rsidRDefault="00A173A8">
            <w:pPr>
              <w:spacing w:after="100"/>
              <w:rPr>
                <w:rFonts w:eastAsia="Times New Roman"/>
                <w:sz w:val="20"/>
                <w:szCs w:val="20"/>
              </w:rPr>
            </w:pPr>
          </w:p>
        </w:tc>
        <w:tc>
          <w:tcPr>
            <w:tcW w:w="5" w:type="pct"/>
            <w:vAlign w:val="center"/>
            <w:hideMark/>
          </w:tcPr>
          <w:p w14:paraId="3C924FBE" w14:textId="77777777" w:rsidR="00000000" w:rsidRDefault="00A173A8">
            <w:pPr>
              <w:spacing w:after="100"/>
              <w:rPr>
                <w:rFonts w:eastAsia="Times New Roman"/>
                <w:sz w:val="20"/>
                <w:szCs w:val="20"/>
              </w:rPr>
            </w:pPr>
          </w:p>
        </w:tc>
        <w:tc>
          <w:tcPr>
            <w:tcW w:w="26" w:type="pct"/>
            <w:vAlign w:val="center"/>
            <w:hideMark/>
          </w:tcPr>
          <w:p w14:paraId="540A0902" w14:textId="77777777" w:rsidR="00000000" w:rsidRDefault="00A173A8">
            <w:pPr>
              <w:spacing w:after="100"/>
              <w:rPr>
                <w:rFonts w:eastAsia="Times New Roman"/>
                <w:sz w:val="20"/>
                <w:szCs w:val="20"/>
              </w:rPr>
            </w:pPr>
          </w:p>
        </w:tc>
        <w:tc>
          <w:tcPr>
            <w:tcW w:w="5" w:type="pct"/>
            <w:vAlign w:val="center"/>
            <w:hideMark/>
          </w:tcPr>
          <w:p w14:paraId="20087B87" w14:textId="77777777" w:rsidR="00000000" w:rsidRDefault="00A173A8">
            <w:pPr>
              <w:spacing w:after="100"/>
              <w:rPr>
                <w:rFonts w:eastAsia="Times New Roman"/>
                <w:sz w:val="20"/>
                <w:szCs w:val="20"/>
              </w:rPr>
            </w:pPr>
          </w:p>
        </w:tc>
        <w:tc>
          <w:tcPr>
            <w:tcW w:w="50" w:type="pct"/>
            <w:vAlign w:val="center"/>
            <w:hideMark/>
          </w:tcPr>
          <w:p w14:paraId="0077AFCE" w14:textId="77777777" w:rsidR="00000000" w:rsidRDefault="00A173A8">
            <w:pPr>
              <w:spacing w:after="100"/>
              <w:rPr>
                <w:rFonts w:eastAsia="Times New Roman"/>
                <w:sz w:val="20"/>
                <w:szCs w:val="20"/>
              </w:rPr>
            </w:pPr>
          </w:p>
        </w:tc>
        <w:tc>
          <w:tcPr>
            <w:tcW w:w="361" w:type="pct"/>
            <w:vAlign w:val="center"/>
            <w:hideMark/>
          </w:tcPr>
          <w:p w14:paraId="0AA02970" w14:textId="77777777" w:rsidR="00000000" w:rsidRDefault="00A173A8">
            <w:pPr>
              <w:spacing w:after="100"/>
              <w:rPr>
                <w:rFonts w:eastAsia="Times New Roman"/>
                <w:sz w:val="20"/>
                <w:szCs w:val="20"/>
              </w:rPr>
            </w:pPr>
          </w:p>
        </w:tc>
        <w:tc>
          <w:tcPr>
            <w:tcW w:w="5" w:type="pct"/>
            <w:vAlign w:val="center"/>
            <w:hideMark/>
          </w:tcPr>
          <w:p w14:paraId="3D6258A0" w14:textId="77777777" w:rsidR="00000000" w:rsidRDefault="00A173A8">
            <w:pPr>
              <w:spacing w:after="100"/>
              <w:rPr>
                <w:rFonts w:eastAsia="Times New Roman"/>
                <w:sz w:val="20"/>
                <w:szCs w:val="20"/>
              </w:rPr>
            </w:pPr>
          </w:p>
        </w:tc>
        <w:tc>
          <w:tcPr>
            <w:tcW w:w="5" w:type="pct"/>
            <w:vAlign w:val="center"/>
            <w:hideMark/>
          </w:tcPr>
          <w:p w14:paraId="00EEB42E" w14:textId="77777777" w:rsidR="00000000" w:rsidRDefault="00A173A8">
            <w:pPr>
              <w:spacing w:after="100"/>
              <w:rPr>
                <w:rFonts w:eastAsia="Times New Roman"/>
                <w:sz w:val="20"/>
                <w:szCs w:val="20"/>
              </w:rPr>
            </w:pPr>
          </w:p>
        </w:tc>
        <w:tc>
          <w:tcPr>
            <w:tcW w:w="26" w:type="pct"/>
            <w:vAlign w:val="center"/>
            <w:hideMark/>
          </w:tcPr>
          <w:p w14:paraId="6082ED6D" w14:textId="77777777" w:rsidR="00000000" w:rsidRDefault="00A173A8">
            <w:pPr>
              <w:spacing w:after="100"/>
              <w:rPr>
                <w:rFonts w:eastAsia="Times New Roman"/>
                <w:sz w:val="20"/>
                <w:szCs w:val="20"/>
              </w:rPr>
            </w:pPr>
          </w:p>
        </w:tc>
        <w:tc>
          <w:tcPr>
            <w:tcW w:w="5" w:type="pct"/>
            <w:vAlign w:val="center"/>
            <w:hideMark/>
          </w:tcPr>
          <w:p w14:paraId="19DB4897" w14:textId="77777777" w:rsidR="00000000" w:rsidRDefault="00A173A8">
            <w:pPr>
              <w:spacing w:after="100"/>
              <w:rPr>
                <w:rFonts w:eastAsia="Times New Roman"/>
                <w:sz w:val="20"/>
                <w:szCs w:val="20"/>
              </w:rPr>
            </w:pPr>
          </w:p>
        </w:tc>
        <w:tc>
          <w:tcPr>
            <w:tcW w:w="50" w:type="pct"/>
            <w:vAlign w:val="center"/>
            <w:hideMark/>
          </w:tcPr>
          <w:p w14:paraId="0C7C8D91" w14:textId="77777777" w:rsidR="00000000" w:rsidRDefault="00A173A8">
            <w:pPr>
              <w:spacing w:after="100"/>
              <w:rPr>
                <w:rFonts w:eastAsia="Times New Roman"/>
                <w:sz w:val="20"/>
                <w:szCs w:val="20"/>
              </w:rPr>
            </w:pPr>
          </w:p>
        </w:tc>
        <w:tc>
          <w:tcPr>
            <w:tcW w:w="361" w:type="pct"/>
            <w:vAlign w:val="center"/>
            <w:hideMark/>
          </w:tcPr>
          <w:p w14:paraId="214FBCCF" w14:textId="77777777" w:rsidR="00000000" w:rsidRDefault="00A173A8">
            <w:pPr>
              <w:spacing w:after="100"/>
              <w:rPr>
                <w:rFonts w:eastAsia="Times New Roman"/>
                <w:sz w:val="20"/>
                <w:szCs w:val="20"/>
              </w:rPr>
            </w:pPr>
          </w:p>
        </w:tc>
        <w:tc>
          <w:tcPr>
            <w:tcW w:w="5" w:type="pct"/>
            <w:vAlign w:val="center"/>
            <w:hideMark/>
          </w:tcPr>
          <w:p w14:paraId="0B0B0F78" w14:textId="77777777" w:rsidR="00000000" w:rsidRDefault="00A173A8">
            <w:pPr>
              <w:spacing w:after="100"/>
              <w:rPr>
                <w:rFonts w:eastAsia="Times New Roman"/>
                <w:sz w:val="20"/>
                <w:szCs w:val="20"/>
              </w:rPr>
            </w:pPr>
          </w:p>
        </w:tc>
        <w:tc>
          <w:tcPr>
            <w:tcW w:w="5" w:type="pct"/>
            <w:vAlign w:val="center"/>
            <w:hideMark/>
          </w:tcPr>
          <w:p w14:paraId="425D1FE6" w14:textId="77777777" w:rsidR="00000000" w:rsidRDefault="00A173A8">
            <w:pPr>
              <w:spacing w:after="100"/>
              <w:rPr>
                <w:rFonts w:eastAsia="Times New Roman"/>
                <w:sz w:val="20"/>
                <w:szCs w:val="20"/>
              </w:rPr>
            </w:pPr>
          </w:p>
        </w:tc>
        <w:tc>
          <w:tcPr>
            <w:tcW w:w="26" w:type="pct"/>
            <w:vAlign w:val="center"/>
            <w:hideMark/>
          </w:tcPr>
          <w:p w14:paraId="099D81F7" w14:textId="77777777" w:rsidR="00000000" w:rsidRDefault="00A173A8">
            <w:pPr>
              <w:spacing w:after="100"/>
              <w:rPr>
                <w:rFonts w:eastAsia="Times New Roman"/>
                <w:sz w:val="20"/>
                <w:szCs w:val="20"/>
              </w:rPr>
            </w:pPr>
          </w:p>
        </w:tc>
        <w:tc>
          <w:tcPr>
            <w:tcW w:w="5" w:type="pct"/>
            <w:vAlign w:val="center"/>
            <w:hideMark/>
          </w:tcPr>
          <w:p w14:paraId="7A8F982D" w14:textId="77777777" w:rsidR="00000000" w:rsidRDefault="00A173A8">
            <w:pPr>
              <w:spacing w:after="100"/>
              <w:rPr>
                <w:rFonts w:eastAsia="Times New Roman"/>
                <w:sz w:val="20"/>
                <w:szCs w:val="20"/>
              </w:rPr>
            </w:pPr>
          </w:p>
        </w:tc>
        <w:tc>
          <w:tcPr>
            <w:tcW w:w="50" w:type="pct"/>
            <w:vAlign w:val="center"/>
            <w:hideMark/>
          </w:tcPr>
          <w:p w14:paraId="71CDE012" w14:textId="77777777" w:rsidR="00000000" w:rsidRDefault="00A173A8">
            <w:pPr>
              <w:spacing w:after="100"/>
              <w:rPr>
                <w:rFonts w:eastAsia="Times New Roman"/>
                <w:sz w:val="20"/>
                <w:szCs w:val="20"/>
              </w:rPr>
            </w:pPr>
          </w:p>
        </w:tc>
        <w:tc>
          <w:tcPr>
            <w:tcW w:w="362" w:type="pct"/>
            <w:vAlign w:val="center"/>
            <w:hideMark/>
          </w:tcPr>
          <w:p w14:paraId="0219F7C5" w14:textId="77777777" w:rsidR="00000000" w:rsidRDefault="00A173A8">
            <w:pPr>
              <w:spacing w:after="100"/>
              <w:rPr>
                <w:rFonts w:eastAsia="Times New Roman"/>
                <w:sz w:val="20"/>
                <w:szCs w:val="20"/>
              </w:rPr>
            </w:pPr>
          </w:p>
        </w:tc>
        <w:tc>
          <w:tcPr>
            <w:tcW w:w="5" w:type="pct"/>
            <w:vAlign w:val="center"/>
            <w:hideMark/>
          </w:tcPr>
          <w:p w14:paraId="39430354" w14:textId="77777777" w:rsidR="00000000" w:rsidRDefault="00A173A8">
            <w:pPr>
              <w:spacing w:after="100"/>
              <w:rPr>
                <w:rFonts w:eastAsia="Times New Roman"/>
                <w:sz w:val="20"/>
                <w:szCs w:val="20"/>
              </w:rPr>
            </w:pPr>
          </w:p>
        </w:tc>
      </w:tr>
      <w:tr w:rsidR="00000000" w14:paraId="596C78B5" w14:textId="77777777">
        <w:trPr>
          <w:divId w:val="1361472877"/>
        </w:trPr>
        <w:tc>
          <w:tcPr>
            <w:tcW w:w="0" w:type="auto"/>
            <w:gridSpan w:val="3"/>
            <w:vAlign w:val="center"/>
            <w:hideMark/>
          </w:tcPr>
          <w:p w14:paraId="64E3C135" w14:textId="77777777" w:rsidR="00000000" w:rsidRDefault="00A173A8">
            <w:pPr>
              <w:spacing w:after="100"/>
              <w:rPr>
                <w:rFonts w:eastAsia="Times New Roman"/>
                <w:sz w:val="20"/>
                <w:szCs w:val="20"/>
              </w:rPr>
            </w:pPr>
          </w:p>
        </w:tc>
        <w:tc>
          <w:tcPr>
            <w:tcW w:w="0" w:type="auto"/>
            <w:gridSpan w:val="3"/>
            <w:vAlign w:val="center"/>
            <w:hideMark/>
          </w:tcPr>
          <w:p w14:paraId="1077F97B" w14:textId="77777777" w:rsidR="00000000" w:rsidRDefault="00A173A8">
            <w:pPr>
              <w:spacing w:after="100"/>
              <w:rPr>
                <w:rFonts w:eastAsia="Times New Roman"/>
                <w:sz w:val="20"/>
                <w:szCs w:val="20"/>
              </w:rPr>
            </w:pPr>
          </w:p>
        </w:tc>
        <w:tc>
          <w:tcPr>
            <w:tcW w:w="0" w:type="auto"/>
            <w:gridSpan w:val="3"/>
            <w:vAlign w:val="center"/>
            <w:hideMark/>
          </w:tcPr>
          <w:p w14:paraId="65AA9463" w14:textId="77777777" w:rsidR="00000000" w:rsidRDefault="00A173A8">
            <w:pPr>
              <w:spacing w:after="100"/>
              <w:rPr>
                <w:rFonts w:eastAsia="Times New Roman"/>
                <w:sz w:val="20"/>
                <w:szCs w:val="20"/>
              </w:rPr>
            </w:pPr>
          </w:p>
        </w:tc>
        <w:tc>
          <w:tcPr>
            <w:tcW w:w="0" w:type="auto"/>
            <w:gridSpan w:val="3"/>
            <w:vAlign w:val="center"/>
            <w:hideMark/>
          </w:tcPr>
          <w:p w14:paraId="5C0B765A" w14:textId="77777777" w:rsidR="00000000" w:rsidRDefault="00A173A8">
            <w:pPr>
              <w:spacing w:after="100"/>
              <w:rPr>
                <w:rFonts w:eastAsia="Times New Roman"/>
                <w:sz w:val="20"/>
                <w:szCs w:val="20"/>
              </w:rPr>
            </w:pPr>
          </w:p>
        </w:tc>
        <w:tc>
          <w:tcPr>
            <w:tcW w:w="0" w:type="auto"/>
            <w:gridSpan w:val="3"/>
            <w:vAlign w:val="center"/>
            <w:hideMark/>
          </w:tcPr>
          <w:p w14:paraId="3EC8331C" w14:textId="77777777" w:rsidR="00000000" w:rsidRDefault="00A173A8">
            <w:pPr>
              <w:spacing w:after="100"/>
              <w:rPr>
                <w:rFonts w:eastAsia="Times New Roman"/>
                <w:sz w:val="20"/>
                <w:szCs w:val="20"/>
              </w:rPr>
            </w:pPr>
          </w:p>
        </w:tc>
        <w:tc>
          <w:tcPr>
            <w:tcW w:w="0" w:type="auto"/>
            <w:gridSpan w:val="3"/>
            <w:vAlign w:val="center"/>
            <w:hideMark/>
          </w:tcPr>
          <w:p w14:paraId="215D9FE7" w14:textId="77777777" w:rsidR="00000000" w:rsidRDefault="00A173A8">
            <w:pPr>
              <w:spacing w:after="100"/>
              <w:rPr>
                <w:rFonts w:eastAsia="Times New Roman"/>
                <w:sz w:val="20"/>
                <w:szCs w:val="20"/>
              </w:rPr>
            </w:pPr>
          </w:p>
        </w:tc>
        <w:tc>
          <w:tcPr>
            <w:tcW w:w="0" w:type="auto"/>
            <w:gridSpan w:val="3"/>
            <w:vAlign w:val="center"/>
            <w:hideMark/>
          </w:tcPr>
          <w:p w14:paraId="1FCC1585" w14:textId="77777777" w:rsidR="00000000" w:rsidRDefault="00A173A8">
            <w:pPr>
              <w:spacing w:after="100"/>
              <w:rPr>
                <w:rFonts w:eastAsia="Times New Roman"/>
                <w:sz w:val="20"/>
                <w:szCs w:val="20"/>
              </w:rPr>
            </w:pPr>
          </w:p>
        </w:tc>
        <w:tc>
          <w:tcPr>
            <w:tcW w:w="0" w:type="auto"/>
            <w:gridSpan w:val="3"/>
            <w:vAlign w:val="center"/>
            <w:hideMark/>
          </w:tcPr>
          <w:p w14:paraId="7362566C" w14:textId="77777777" w:rsidR="00000000" w:rsidRDefault="00A173A8">
            <w:pPr>
              <w:spacing w:after="100"/>
              <w:rPr>
                <w:rFonts w:eastAsia="Times New Roman"/>
                <w:sz w:val="20"/>
                <w:szCs w:val="20"/>
              </w:rPr>
            </w:pPr>
          </w:p>
        </w:tc>
        <w:tc>
          <w:tcPr>
            <w:tcW w:w="0" w:type="auto"/>
            <w:gridSpan w:val="3"/>
            <w:vAlign w:val="center"/>
            <w:hideMark/>
          </w:tcPr>
          <w:p w14:paraId="1E9A5589" w14:textId="77777777" w:rsidR="00000000" w:rsidRDefault="00A173A8">
            <w:pPr>
              <w:spacing w:after="100"/>
              <w:rPr>
                <w:rFonts w:eastAsia="Times New Roman"/>
                <w:sz w:val="20"/>
                <w:szCs w:val="20"/>
              </w:rPr>
            </w:pPr>
          </w:p>
        </w:tc>
        <w:tc>
          <w:tcPr>
            <w:tcW w:w="0" w:type="auto"/>
            <w:gridSpan w:val="3"/>
            <w:vAlign w:val="center"/>
            <w:hideMark/>
          </w:tcPr>
          <w:p w14:paraId="21D03C9E" w14:textId="77777777" w:rsidR="00000000" w:rsidRDefault="00A173A8">
            <w:pPr>
              <w:spacing w:after="100"/>
              <w:rPr>
                <w:rFonts w:eastAsia="Times New Roman"/>
                <w:sz w:val="20"/>
                <w:szCs w:val="20"/>
              </w:rPr>
            </w:pPr>
          </w:p>
        </w:tc>
        <w:tc>
          <w:tcPr>
            <w:tcW w:w="0" w:type="auto"/>
            <w:gridSpan w:val="3"/>
            <w:vAlign w:val="center"/>
            <w:hideMark/>
          </w:tcPr>
          <w:p w14:paraId="4CB236B0" w14:textId="77777777" w:rsidR="00000000" w:rsidRDefault="00A173A8">
            <w:pPr>
              <w:spacing w:after="100"/>
              <w:rPr>
                <w:rFonts w:eastAsia="Times New Roman"/>
                <w:sz w:val="20"/>
                <w:szCs w:val="20"/>
              </w:rPr>
            </w:pPr>
          </w:p>
        </w:tc>
        <w:tc>
          <w:tcPr>
            <w:tcW w:w="0" w:type="auto"/>
            <w:gridSpan w:val="3"/>
            <w:vAlign w:val="center"/>
            <w:hideMark/>
          </w:tcPr>
          <w:p w14:paraId="6BE8EE1A" w14:textId="77777777" w:rsidR="00000000" w:rsidRDefault="00A173A8">
            <w:pPr>
              <w:spacing w:after="100"/>
              <w:rPr>
                <w:rFonts w:eastAsia="Times New Roman"/>
                <w:sz w:val="20"/>
                <w:szCs w:val="20"/>
              </w:rPr>
            </w:pPr>
          </w:p>
        </w:tc>
        <w:tc>
          <w:tcPr>
            <w:tcW w:w="0" w:type="auto"/>
            <w:gridSpan w:val="3"/>
            <w:vAlign w:val="center"/>
            <w:hideMark/>
          </w:tcPr>
          <w:p w14:paraId="6203586D" w14:textId="77777777" w:rsidR="00000000" w:rsidRDefault="00A173A8">
            <w:pPr>
              <w:spacing w:after="100"/>
              <w:rPr>
                <w:rFonts w:eastAsia="Times New Roman"/>
                <w:sz w:val="20"/>
                <w:szCs w:val="20"/>
              </w:rPr>
            </w:pPr>
          </w:p>
        </w:tc>
        <w:tc>
          <w:tcPr>
            <w:tcW w:w="0" w:type="auto"/>
            <w:gridSpan w:val="3"/>
            <w:vAlign w:val="center"/>
            <w:hideMark/>
          </w:tcPr>
          <w:p w14:paraId="3564268A" w14:textId="77777777" w:rsidR="00000000" w:rsidRDefault="00A173A8">
            <w:pPr>
              <w:spacing w:after="100"/>
              <w:rPr>
                <w:rFonts w:eastAsia="Times New Roman"/>
                <w:sz w:val="20"/>
                <w:szCs w:val="20"/>
              </w:rPr>
            </w:pPr>
          </w:p>
        </w:tc>
        <w:tc>
          <w:tcPr>
            <w:tcW w:w="0" w:type="auto"/>
            <w:gridSpan w:val="3"/>
            <w:vAlign w:val="center"/>
            <w:hideMark/>
          </w:tcPr>
          <w:p w14:paraId="5E2746E9" w14:textId="77777777" w:rsidR="00000000" w:rsidRDefault="00A173A8">
            <w:pPr>
              <w:spacing w:after="100"/>
              <w:rPr>
                <w:rFonts w:eastAsia="Times New Roman"/>
                <w:sz w:val="20"/>
                <w:szCs w:val="20"/>
              </w:rPr>
            </w:pPr>
          </w:p>
        </w:tc>
        <w:tc>
          <w:tcPr>
            <w:tcW w:w="0" w:type="auto"/>
            <w:gridSpan w:val="3"/>
            <w:vAlign w:val="center"/>
            <w:hideMark/>
          </w:tcPr>
          <w:p w14:paraId="23D83D20" w14:textId="77777777" w:rsidR="00000000" w:rsidRDefault="00A173A8">
            <w:pPr>
              <w:spacing w:after="100"/>
              <w:rPr>
                <w:rFonts w:eastAsia="Times New Roman"/>
                <w:sz w:val="20"/>
                <w:szCs w:val="20"/>
              </w:rPr>
            </w:pPr>
          </w:p>
        </w:tc>
        <w:tc>
          <w:tcPr>
            <w:tcW w:w="0" w:type="auto"/>
            <w:gridSpan w:val="3"/>
            <w:vAlign w:val="center"/>
            <w:hideMark/>
          </w:tcPr>
          <w:p w14:paraId="39ADBE5B" w14:textId="77777777" w:rsidR="00000000" w:rsidRDefault="00A173A8">
            <w:pPr>
              <w:spacing w:after="100"/>
              <w:rPr>
                <w:rFonts w:eastAsia="Times New Roman"/>
                <w:sz w:val="20"/>
                <w:szCs w:val="20"/>
              </w:rPr>
            </w:pPr>
          </w:p>
        </w:tc>
      </w:tr>
      <w:tr w:rsidR="00000000" w14:paraId="6AD12370" w14:textId="77777777">
        <w:trPr>
          <w:divId w:val="1361472877"/>
        </w:trPr>
        <w:tc>
          <w:tcPr>
            <w:tcW w:w="0" w:type="auto"/>
            <w:gridSpan w:val="3"/>
            <w:vAlign w:val="center"/>
            <w:hideMark/>
          </w:tcPr>
          <w:p w14:paraId="315F94D1" w14:textId="77777777" w:rsidR="00000000" w:rsidRDefault="00A173A8">
            <w:pPr>
              <w:spacing w:after="100"/>
              <w:rPr>
                <w:rFonts w:eastAsia="Times New Roman"/>
                <w:sz w:val="20"/>
                <w:szCs w:val="20"/>
              </w:rPr>
            </w:pPr>
          </w:p>
        </w:tc>
        <w:tc>
          <w:tcPr>
            <w:tcW w:w="0" w:type="auto"/>
            <w:gridSpan w:val="3"/>
            <w:vAlign w:val="center"/>
            <w:hideMark/>
          </w:tcPr>
          <w:p w14:paraId="3ADCE055" w14:textId="77777777" w:rsidR="00000000" w:rsidRDefault="00A173A8">
            <w:pPr>
              <w:spacing w:after="100"/>
              <w:rPr>
                <w:rFonts w:eastAsia="Times New Roman"/>
                <w:sz w:val="20"/>
                <w:szCs w:val="20"/>
              </w:rPr>
            </w:pPr>
          </w:p>
        </w:tc>
        <w:tc>
          <w:tcPr>
            <w:tcW w:w="0" w:type="auto"/>
            <w:gridSpan w:val="3"/>
            <w:vAlign w:val="center"/>
            <w:hideMark/>
          </w:tcPr>
          <w:p w14:paraId="4696DE84" w14:textId="77777777" w:rsidR="00000000" w:rsidRDefault="00A173A8">
            <w:pPr>
              <w:spacing w:after="100"/>
              <w:rPr>
                <w:rFonts w:eastAsia="Times New Roman"/>
                <w:sz w:val="20"/>
                <w:szCs w:val="20"/>
              </w:rPr>
            </w:pPr>
          </w:p>
        </w:tc>
        <w:tc>
          <w:tcPr>
            <w:tcW w:w="0" w:type="auto"/>
            <w:gridSpan w:val="3"/>
            <w:vAlign w:val="center"/>
            <w:hideMark/>
          </w:tcPr>
          <w:p w14:paraId="24E34C4A" w14:textId="77777777" w:rsidR="00000000" w:rsidRDefault="00A173A8">
            <w:pPr>
              <w:spacing w:after="100"/>
              <w:rPr>
                <w:rFonts w:eastAsia="Times New Roman"/>
                <w:sz w:val="20"/>
                <w:szCs w:val="20"/>
              </w:rPr>
            </w:pPr>
          </w:p>
        </w:tc>
        <w:tc>
          <w:tcPr>
            <w:tcW w:w="0" w:type="auto"/>
            <w:gridSpan w:val="3"/>
            <w:vAlign w:val="center"/>
            <w:hideMark/>
          </w:tcPr>
          <w:p w14:paraId="3EF280A9" w14:textId="77777777" w:rsidR="00000000" w:rsidRDefault="00A173A8">
            <w:pPr>
              <w:spacing w:after="100"/>
              <w:rPr>
                <w:rFonts w:eastAsia="Times New Roman"/>
                <w:sz w:val="20"/>
                <w:szCs w:val="20"/>
              </w:rPr>
            </w:pPr>
          </w:p>
        </w:tc>
        <w:tc>
          <w:tcPr>
            <w:tcW w:w="0" w:type="auto"/>
            <w:gridSpan w:val="3"/>
            <w:vAlign w:val="center"/>
            <w:hideMark/>
          </w:tcPr>
          <w:p w14:paraId="783E9BB2" w14:textId="77777777" w:rsidR="00000000" w:rsidRDefault="00A173A8">
            <w:pPr>
              <w:spacing w:after="100"/>
              <w:rPr>
                <w:rFonts w:eastAsia="Times New Roman"/>
                <w:sz w:val="20"/>
                <w:szCs w:val="20"/>
              </w:rPr>
            </w:pPr>
          </w:p>
        </w:tc>
        <w:tc>
          <w:tcPr>
            <w:tcW w:w="0" w:type="auto"/>
            <w:gridSpan w:val="3"/>
            <w:vAlign w:val="center"/>
            <w:hideMark/>
          </w:tcPr>
          <w:p w14:paraId="14E806BC" w14:textId="77777777" w:rsidR="00000000" w:rsidRDefault="00A173A8">
            <w:pPr>
              <w:spacing w:after="100"/>
              <w:rPr>
                <w:rFonts w:eastAsia="Times New Roman"/>
                <w:sz w:val="20"/>
                <w:szCs w:val="20"/>
              </w:rPr>
            </w:pPr>
          </w:p>
        </w:tc>
        <w:tc>
          <w:tcPr>
            <w:tcW w:w="0" w:type="auto"/>
            <w:gridSpan w:val="3"/>
            <w:vAlign w:val="center"/>
            <w:hideMark/>
          </w:tcPr>
          <w:p w14:paraId="24571292" w14:textId="77777777" w:rsidR="00000000" w:rsidRDefault="00A173A8">
            <w:pPr>
              <w:spacing w:after="100"/>
              <w:rPr>
                <w:rFonts w:eastAsia="Times New Roman"/>
                <w:sz w:val="20"/>
                <w:szCs w:val="20"/>
              </w:rPr>
            </w:pPr>
          </w:p>
        </w:tc>
        <w:tc>
          <w:tcPr>
            <w:tcW w:w="0" w:type="auto"/>
            <w:gridSpan w:val="3"/>
            <w:vAlign w:val="center"/>
            <w:hideMark/>
          </w:tcPr>
          <w:p w14:paraId="3B702E53" w14:textId="77777777" w:rsidR="00000000" w:rsidRDefault="00A173A8">
            <w:pPr>
              <w:spacing w:after="100"/>
              <w:rPr>
                <w:rFonts w:eastAsia="Times New Roman"/>
                <w:sz w:val="20"/>
                <w:szCs w:val="20"/>
              </w:rPr>
            </w:pPr>
          </w:p>
        </w:tc>
        <w:tc>
          <w:tcPr>
            <w:tcW w:w="0" w:type="auto"/>
            <w:gridSpan w:val="3"/>
            <w:vAlign w:val="center"/>
            <w:hideMark/>
          </w:tcPr>
          <w:p w14:paraId="59AE0456" w14:textId="77777777" w:rsidR="00000000" w:rsidRDefault="00A173A8">
            <w:pPr>
              <w:spacing w:after="100"/>
              <w:rPr>
                <w:rFonts w:eastAsia="Times New Roman"/>
                <w:sz w:val="20"/>
                <w:szCs w:val="20"/>
              </w:rPr>
            </w:pPr>
          </w:p>
        </w:tc>
        <w:tc>
          <w:tcPr>
            <w:tcW w:w="0" w:type="auto"/>
            <w:gridSpan w:val="3"/>
            <w:vAlign w:val="center"/>
            <w:hideMark/>
          </w:tcPr>
          <w:p w14:paraId="03E93D73" w14:textId="77777777" w:rsidR="00000000" w:rsidRDefault="00A173A8">
            <w:pPr>
              <w:spacing w:after="100"/>
              <w:rPr>
                <w:rFonts w:eastAsia="Times New Roman"/>
                <w:sz w:val="20"/>
                <w:szCs w:val="20"/>
              </w:rPr>
            </w:pPr>
          </w:p>
        </w:tc>
        <w:tc>
          <w:tcPr>
            <w:tcW w:w="0" w:type="auto"/>
            <w:gridSpan w:val="3"/>
            <w:vAlign w:val="center"/>
            <w:hideMark/>
          </w:tcPr>
          <w:p w14:paraId="25E70EF7" w14:textId="77777777" w:rsidR="00000000" w:rsidRDefault="00A173A8">
            <w:pPr>
              <w:spacing w:after="100"/>
              <w:rPr>
                <w:rFonts w:eastAsia="Times New Roman"/>
                <w:sz w:val="20"/>
                <w:szCs w:val="20"/>
              </w:rPr>
            </w:pPr>
          </w:p>
        </w:tc>
        <w:tc>
          <w:tcPr>
            <w:tcW w:w="0" w:type="auto"/>
            <w:gridSpan w:val="3"/>
            <w:vAlign w:val="center"/>
            <w:hideMark/>
          </w:tcPr>
          <w:p w14:paraId="2C35D753" w14:textId="77777777" w:rsidR="00000000" w:rsidRDefault="00A173A8">
            <w:pPr>
              <w:spacing w:after="100"/>
              <w:rPr>
                <w:rFonts w:eastAsia="Times New Roman"/>
                <w:sz w:val="20"/>
                <w:szCs w:val="20"/>
              </w:rPr>
            </w:pPr>
          </w:p>
        </w:tc>
        <w:tc>
          <w:tcPr>
            <w:tcW w:w="0" w:type="auto"/>
            <w:gridSpan w:val="3"/>
            <w:vAlign w:val="center"/>
            <w:hideMark/>
          </w:tcPr>
          <w:p w14:paraId="28924A78" w14:textId="77777777" w:rsidR="00000000" w:rsidRDefault="00A173A8">
            <w:pPr>
              <w:spacing w:after="100"/>
              <w:rPr>
                <w:rFonts w:eastAsia="Times New Roman"/>
                <w:sz w:val="20"/>
                <w:szCs w:val="20"/>
              </w:rPr>
            </w:pPr>
          </w:p>
        </w:tc>
        <w:tc>
          <w:tcPr>
            <w:tcW w:w="0" w:type="auto"/>
            <w:gridSpan w:val="3"/>
            <w:vAlign w:val="center"/>
            <w:hideMark/>
          </w:tcPr>
          <w:p w14:paraId="0F3FA3BB" w14:textId="77777777" w:rsidR="00000000" w:rsidRDefault="00A173A8">
            <w:pPr>
              <w:spacing w:after="100"/>
              <w:rPr>
                <w:rFonts w:eastAsia="Times New Roman"/>
                <w:sz w:val="20"/>
                <w:szCs w:val="20"/>
              </w:rPr>
            </w:pPr>
          </w:p>
        </w:tc>
        <w:tc>
          <w:tcPr>
            <w:tcW w:w="0" w:type="auto"/>
            <w:gridSpan w:val="3"/>
            <w:vAlign w:val="center"/>
            <w:hideMark/>
          </w:tcPr>
          <w:p w14:paraId="1778F103" w14:textId="77777777" w:rsidR="00000000" w:rsidRDefault="00A173A8">
            <w:pPr>
              <w:spacing w:after="100"/>
              <w:rPr>
                <w:rFonts w:eastAsia="Times New Roman"/>
                <w:sz w:val="20"/>
                <w:szCs w:val="20"/>
              </w:rPr>
            </w:pPr>
          </w:p>
        </w:tc>
        <w:tc>
          <w:tcPr>
            <w:tcW w:w="0" w:type="auto"/>
            <w:gridSpan w:val="3"/>
            <w:vAlign w:val="center"/>
            <w:hideMark/>
          </w:tcPr>
          <w:p w14:paraId="15C2BCC9" w14:textId="77777777" w:rsidR="00000000" w:rsidRDefault="00A173A8">
            <w:pPr>
              <w:spacing w:after="100"/>
              <w:rPr>
                <w:rFonts w:eastAsia="Times New Roman"/>
                <w:sz w:val="20"/>
                <w:szCs w:val="20"/>
              </w:rPr>
            </w:pPr>
          </w:p>
        </w:tc>
      </w:tr>
      <w:tr w:rsidR="00000000" w14:paraId="4DA70D0B" w14:textId="77777777">
        <w:trPr>
          <w:divId w:val="1361472877"/>
        </w:trPr>
        <w:tc>
          <w:tcPr>
            <w:tcW w:w="0" w:type="auto"/>
            <w:gridSpan w:val="3"/>
            <w:tcMar>
              <w:top w:w="30" w:type="dxa"/>
              <w:left w:w="20" w:type="dxa"/>
              <w:bottom w:w="30" w:type="dxa"/>
              <w:right w:w="20" w:type="dxa"/>
            </w:tcMar>
            <w:vAlign w:val="bottom"/>
            <w:hideMark/>
          </w:tcPr>
          <w:p w14:paraId="74497745"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1718E5F" w14:textId="77777777" w:rsidR="00000000" w:rsidRDefault="00A173A8">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14:paraId="3C6FB98A"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252DB39C" w14:textId="77777777" w:rsidR="00000000" w:rsidRDefault="00A173A8">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14:paraId="65501E4B"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5BC6E089" w14:textId="77777777">
        <w:trPr>
          <w:divId w:val="1361472877"/>
        </w:trPr>
        <w:tc>
          <w:tcPr>
            <w:tcW w:w="0" w:type="auto"/>
            <w:gridSpan w:val="3"/>
            <w:tcMar>
              <w:top w:w="30" w:type="dxa"/>
              <w:left w:w="20" w:type="dxa"/>
              <w:bottom w:w="30" w:type="dxa"/>
              <w:right w:w="20" w:type="dxa"/>
            </w:tcMar>
            <w:vAlign w:val="bottom"/>
            <w:hideMark/>
          </w:tcPr>
          <w:p w14:paraId="1CAC4B1F"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8CA9BDC" w14:textId="77777777" w:rsidR="00000000" w:rsidRDefault="00A173A8">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2FCA1838" w14:textId="77777777" w:rsidR="00000000" w:rsidRDefault="00A173A8">
            <w:pPr>
              <w:spacing w:after="100"/>
              <w:jc w:val="center"/>
              <w:rPr>
                <w:rFonts w:eastAsia="Times New Roman"/>
              </w:rPr>
            </w:pPr>
            <w:r>
              <w:rPr>
                <w:rFonts w:eastAsia="Times New Roman"/>
                <w:b/>
                <w:bCs/>
                <w:color w:val="000000"/>
                <w:sz w:val="20"/>
                <w:szCs w:val="20"/>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14:paraId="770FF940" w14:textId="77777777" w:rsidR="00000000" w:rsidRDefault="00A173A8">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3ADA1572" w14:textId="77777777" w:rsidR="00000000" w:rsidRDefault="00A173A8">
            <w:pPr>
              <w:spacing w:after="100"/>
              <w:jc w:val="center"/>
              <w:rPr>
                <w:rFonts w:eastAsia="Times New Roman"/>
              </w:rPr>
            </w:pPr>
            <w:r>
              <w:rPr>
                <w:rFonts w:eastAsia="Times New Roman"/>
                <w:b/>
                <w:bCs/>
                <w:color w:val="000000"/>
                <w:sz w:val="20"/>
                <w:szCs w:val="20"/>
              </w:rPr>
              <w:t>30+ Day Delinquencies</w:t>
            </w:r>
          </w:p>
        </w:tc>
        <w:tc>
          <w:tcPr>
            <w:tcW w:w="0" w:type="auto"/>
            <w:gridSpan w:val="3"/>
            <w:tcMar>
              <w:top w:w="0" w:type="dxa"/>
              <w:left w:w="20" w:type="dxa"/>
              <w:bottom w:w="0" w:type="dxa"/>
              <w:right w:w="20" w:type="dxa"/>
            </w:tcMar>
            <w:vAlign w:val="center"/>
            <w:hideMark/>
          </w:tcPr>
          <w:p w14:paraId="5B75805E" w14:textId="77777777" w:rsidR="00000000" w:rsidRDefault="00A173A8">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45CA7AB4" w14:textId="77777777" w:rsidR="00000000" w:rsidRDefault="00A173A8">
            <w:pPr>
              <w:spacing w:after="100"/>
              <w:jc w:val="center"/>
              <w:rPr>
                <w:rFonts w:eastAsia="Times New Roman"/>
              </w:rPr>
            </w:pPr>
            <w:r>
              <w:rPr>
                <w:rFonts w:eastAsia="Times New Roman"/>
                <w:b/>
                <w:bCs/>
                <w:color w:val="000000"/>
                <w:sz w:val="20"/>
                <w:szCs w:val="20"/>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14:paraId="03D21C18" w14:textId="77777777" w:rsidR="00000000" w:rsidRDefault="00A173A8">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14:paraId="2E8C69E2" w14:textId="77777777" w:rsidR="00000000" w:rsidRDefault="00A173A8">
            <w:pPr>
              <w:spacing w:after="100"/>
              <w:jc w:val="center"/>
              <w:rPr>
                <w:rFonts w:eastAsia="Times New Roman"/>
              </w:rPr>
            </w:pPr>
            <w:r>
              <w:rPr>
                <w:rFonts w:eastAsia="Times New Roman"/>
                <w:b/>
                <w:bCs/>
                <w:color w:val="000000"/>
                <w:sz w:val="20"/>
                <w:szCs w:val="20"/>
              </w:rPr>
              <w:t>30+ Day Delinquencies</w:t>
            </w:r>
          </w:p>
        </w:tc>
      </w:tr>
      <w:tr w:rsidR="00000000" w14:paraId="42707896" w14:textId="77777777">
        <w:trPr>
          <w:divId w:val="1361472877"/>
        </w:trPr>
        <w:tc>
          <w:tcPr>
            <w:tcW w:w="0" w:type="auto"/>
            <w:gridSpan w:val="3"/>
            <w:tcMar>
              <w:top w:w="30" w:type="dxa"/>
              <w:left w:w="20" w:type="dxa"/>
              <w:bottom w:w="30" w:type="dxa"/>
              <w:right w:w="20" w:type="dxa"/>
            </w:tcMar>
            <w:vAlign w:val="bottom"/>
            <w:hideMark/>
          </w:tcPr>
          <w:p w14:paraId="77A0D503"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7018CDD9"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29DDE1E"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7D5EE81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CFB5164"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106E445F"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1419839"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7C79A6E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20426C2"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544FC7A7"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3AB3015"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29604403"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D1DEB46"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2FD7C18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0327736B"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1B83858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FA61B42"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14:paraId="2AC363CE" w14:textId="77777777">
        <w:trPr>
          <w:divId w:val="13614728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FCEE283" w14:textId="77777777" w:rsidR="00000000" w:rsidRDefault="00A173A8">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6ED4BB7D"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29AD0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DF16A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74879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8288E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CB69C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A5B90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B740A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38A9C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D5FFF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C9D4A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EF619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8062D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5C51F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C0EFE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C07133" w14:textId="77777777" w:rsidR="00000000" w:rsidRDefault="00A173A8">
            <w:pPr>
              <w:spacing w:after="100"/>
              <w:rPr>
                <w:rFonts w:eastAsia="Times New Roman"/>
                <w:sz w:val="20"/>
                <w:szCs w:val="20"/>
              </w:rPr>
            </w:pPr>
          </w:p>
        </w:tc>
      </w:tr>
      <w:tr w:rsidR="00A173A8" w14:paraId="7FD8DDAC" w14:textId="77777777">
        <w:trPr>
          <w:divId w:val="1361472877"/>
        </w:trPr>
        <w:tc>
          <w:tcPr>
            <w:tcW w:w="0" w:type="auto"/>
            <w:gridSpan w:val="3"/>
            <w:shd w:val="clear" w:color="auto" w:fill="FFFFFF"/>
            <w:tcMar>
              <w:top w:w="30" w:type="dxa"/>
              <w:left w:w="245" w:type="dxa"/>
              <w:bottom w:w="30" w:type="dxa"/>
              <w:right w:w="20" w:type="dxa"/>
            </w:tcMar>
            <w:vAlign w:val="center"/>
            <w:hideMark/>
          </w:tcPr>
          <w:p w14:paraId="24D8AB1B" w14:textId="77777777" w:rsidR="00000000" w:rsidRDefault="00A173A8">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14:paraId="2728F969"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9F4F960"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760FB59B" w14:textId="77777777" w:rsidR="00000000" w:rsidRDefault="00A173A8">
            <w:pPr>
              <w:spacing w:after="100"/>
              <w:jc w:val="right"/>
              <w:rPr>
                <w:rFonts w:eastAsia="Times New Roman"/>
              </w:rPr>
            </w:pPr>
            <w:r>
              <w:rPr>
                <w:rFonts w:eastAsia="Times New Roman"/>
                <w:b/>
                <w:bCs/>
                <w:color w:val="000000"/>
                <w:sz w:val="20"/>
                <w:szCs w:val="20"/>
              </w:rPr>
              <w:t>2,707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3B7046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1B30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ADB676" w14:textId="77777777" w:rsidR="00000000" w:rsidRDefault="00A173A8">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3D9912"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2616F7"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94BC9E3"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B8CE03B" w14:textId="77777777" w:rsidR="00000000" w:rsidRDefault="00A173A8">
            <w:pPr>
              <w:spacing w:after="100"/>
              <w:jc w:val="right"/>
              <w:rPr>
                <w:rFonts w:eastAsia="Times New Roman"/>
              </w:rPr>
            </w:pPr>
            <w:r>
              <w:rPr>
                <w:rFonts w:eastAsia="Times New Roman"/>
                <w:b/>
                <w:bCs/>
                <w:color w:val="000000"/>
                <w:sz w:val="20"/>
                <w:szCs w:val="20"/>
              </w:rPr>
              <w:t>2,707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6831E4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EA59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93C3D0" w14:textId="77777777" w:rsidR="00000000" w:rsidRDefault="00A173A8">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ECBC53F"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A5AF50D"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1E77D488"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762132F4" w14:textId="77777777" w:rsidR="00000000" w:rsidRDefault="00A173A8">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center"/>
            <w:hideMark/>
          </w:tcPr>
          <w:p w14:paraId="72ACBAC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5E26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4C0E65" w14:textId="77777777" w:rsidR="00000000" w:rsidRDefault="00A173A8">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center"/>
            <w:hideMark/>
          </w:tcPr>
          <w:p w14:paraId="7ED10544"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3C3F3F8"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7F734B14"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0514443E" w14:textId="77777777" w:rsidR="00000000" w:rsidRDefault="00A173A8">
            <w:pPr>
              <w:spacing w:after="100"/>
              <w:jc w:val="right"/>
              <w:rPr>
                <w:rFonts w:eastAsia="Times New Roman"/>
              </w:rPr>
            </w:pPr>
            <w:r>
              <w:rPr>
                <w:rFonts w:eastAsia="Times New Roman"/>
                <w:color w:val="000000"/>
                <w:sz w:val="20"/>
                <w:szCs w:val="20"/>
              </w:rPr>
              <w:t>2,411 </w:t>
            </w:r>
          </w:p>
        </w:tc>
        <w:tc>
          <w:tcPr>
            <w:tcW w:w="0" w:type="auto"/>
            <w:shd w:val="clear" w:color="auto" w:fill="FFFFFF"/>
            <w:tcMar>
              <w:top w:w="30" w:type="dxa"/>
              <w:left w:w="0" w:type="dxa"/>
              <w:bottom w:w="30" w:type="dxa"/>
              <w:right w:w="20" w:type="dxa"/>
            </w:tcMar>
            <w:vAlign w:val="center"/>
            <w:hideMark/>
          </w:tcPr>
          <w:p w14:paraId="758AA94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E0AA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3C53B5" w14:textId="77777777" w:rsidR="00000000" w:rsidRDefault="00A173A8">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center"/>
            <w:hideMark/>
          </w:tcPr>
          <w:p w14:paraId="34641DD2" w14:textId="77777777" w:rsidR="00000000" w:rsidRDefault="00A173A8">
            <w:pPr>
              <w:spacing w:after="100"/>
              <w:jc w:val="right"/>
              <w:rPr>
                <w:rFonts w:eastAsia="Times New Roman"/>
              </w:rPr>
            </w:pPr>
            <w:r>
              <w:rPr>
                <w:rFonts w:eastAsia="Times New Roman"/>
                <w:color w:val="000000"/>
                <w:sz w:val="20"/>
                <w:szCs w:val="20"/>
              </w:rPr>
              <w:t>%</w:t>
            </w:r>
          </w:p>
        </w:tc>
      </w:tr>
      <w:tr w:rsidR="00000000" w14:paraId="1A2565F9" w14:textId="77777777">
        <w:trPr>
          <w:divId w:val="1361472877"/>
        </w:trPr>
        <w:tc>
          <w:tcPr>
            <w:tcW w:w="0" w:type="auto"/>
            <w:gridSpan w:val="3"/>
            <w:shd w:val="clear" w:color="auto" w:fill="CCEEFF"/>
            <w:tcMar>
              <w:top w:w="30" w:type="dxa"/>
              <w:left w:w="245" w:type="dxa"/>
              <w:bottom w:w="30" w:type="dxa"/>
              <w:right w:w="20" w:type="dxa"/>
            </w:tcMar>
            <w:vAlign w:val="center"/>
            <w:hideMark/>
          </w:tcPr>
          <w:p w14:paraId="3DBD0E43" w14:textId="77777777" w:rsidR="00000000" w:rsidRDefault="00A173A8">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14:paraId="18D9071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8F0F223" w14:textId="77777777" w:rsidR="00000000" w:rsidRDefault="00A173A8">
            <w:pPr>
              <w:spacing w:after="100"/>
              <w:jc w:val="right"/>
              <w:rPr>
                <w:rFonts w:eastAsia="Times New Roman"/>
              </w:rPr>
            </w:pPr>
            <w:r>
              <w:rPr>
                <w:rFonts w:eastAsia="Times New Roman"/>
                <w:b/>
                <w:bCs/>
                <w:color w:val="000000"/>
                <w:sz w:val="20"/>
                <w:szCs w:val="20"/>
              </w:rPr>
              <w:t>216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E86163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DF15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F1C3B8" w14:textId="77777777" w:rsidR="00000000" w:rsidRDefault="00A173A8">
            <w:pPr>
              <w:spacing w:after="100"/>
              <w:jc w:val="right"/>
              <w:rPr>
                <w:rFonts w:eastAsia="Times New Roman"/>
              </w:rPr>
            </w:pPr>
            <w:r>
              <w:rPr>
                <w:rFonts w:eastAsia="Times New Roman"/>
                <w:b/>
                <w:bCs/>
                <w:color w:val="000000"/>
                <w:sz w:val="20"/>
                <w:szCs w:val="20"/>
              </w:rPr>
              <w:t>3.67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3EE4D8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FF14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7913F4" w14:textId="77777777" w:rsidR="00000000" w:rsidRDefault="00A173A8">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BFF509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32EE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EB5EC3" w14:textId="77777777" w:rsidR="00000000" w:rsidRDefault="00A173A8">
            <w:pPr>
              <w:spacing w:after="100"/>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E9F289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438B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5F9500" w14:textId="77777777" w:rsidR="00000000" w:rsidRDefault="00A173A8">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center"/>
            <w:hideMark/>
          </w:tcPr>
          <w:p w14:paraId="5DE3EB6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AB66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C50534" w14:textId="77777777" w:rsidR="00000000" w:rsidRDefault="00A173A8">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center"/>
            <w:hideMark/>
          </w:tcPr>
          <w:p w14:paraId="7365900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34B5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7EFB24" w14:textId="77777777" w:rsidR="00000000" w:rsidRDefault="00A173A8">
            <w:pPr>
              <w:spacing w:after="100"/>
              <w:jc w:val="right"/>
              <w:rPr>
                <w:rFonts w:eastAsia="Times New Roman"/>
              </w:rPr>
            </w:pPr>
            <w:r>
              <w:rPr>
                <w:rFonts w:eastAsia="Times New Roman"/>
                <w:color w:val="000000"/>
                <w:sz w:val="20"/>
                <w:szCs w:val="20"/>
              </w:rPr>
              <w:t>213 </w:t>
            </w:r>
          </w:p>
        </w:tc>
        <w:tc>
          <w:tcPr>
            <w:tcW w:w="0" w:type="auto"/>
            <w:shd w:val="clear" w:color="auto" w:fill="CCEEFF"/>
            <w:tcMar>
              <w:top w:w="30" w:type="dxa"/>
              <w:left w:w="0" w:type="dxa"/>
              <w:bottom w:w="30" w:type="dxa"/>
              <w:right w:w="20" w:type="dxa"/>
            </w:tcMar>
            <w:vAlign w:val="center"/>
            <w:hideMark/>
          </w:tcPr>
          <w:p w14:paraId="0A754B1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CDFE2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9D023B" w14:textId="77777777" w:rsidR="00000000" w:rsidRDefault="00A173A8">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center"/>
            <w:hideMark/>
          </w:tcPr>
          <w:p w14:paraId="676B4AE7" w14:textId="77777777" w:rsidR="00000000" w:rsidRDefault="00A173A8">
            <w:pPr>
              <w:spacing w:after="100"/>
              <w:jc w:val="right"/>
              <w:rPr>
                <w:rFonts w:eastAsia="Times New Roman"/>
              </w:rPr>
            </w:pPr>
          </w:p>
        </w:tc>
      </w:tr>
      <w:tr w:rsidR="00000000" w14:paraId="29EE503A" w14:textId="77777777">
        <w:trPr>
          <w:divId w:val="1361472877"/>
        </w:trPr>
        <w:tc>
          <w:tcPr>
            <w:tcW w:w="0" w:type="auto"/>
            <w:gridSpan w:val="3"/>
            <w:shd w:val="clear" w:color="auto" w:fill="FFFFFF"/>
            <w:tcMar>
              <w:top w:w="30" w:type="dxa"/>
              <w:left w:w="20" w:type="dxa"/>
              <w:bottom w:w="30" w:type="dxa"/>
              <w:right w:w="20" w:type="dxa"/>
            </w:tcMar>
            <w:vAlign w:val="center"/>
            <w:hideMark/>
          </w:tcPr>
          <w:p w14:paraId="27C5C412" w14:textId="77777777" w:rsidR="00000000" w:rsidRDefault="00A173A8">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68FFAC5F"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3849D71" w14:textId="77777777" w:rsidR="00000000" w:rsidRDefault="00A173A8">
            <w:pPr>
              <w:spacing w:after="100"/>
              <w:jc w:val="right"/>
              <w:rPr>
                <w:rFonts w:eastAsia="Times New Roman"/>
              </w:rPr>
            </w:pPr>
            <w:r>
              <w:rPr>
                <w:rFonts w:eastAsia="Times New Roman"/>
                <w:b/>
                <w:bCs/>
                <w:color w:val="000000"/>
                <w:sz w:val="20"/>
                <w:szCs w:val="20"/>
              </w:rPr>
              <w:t>2,923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98C53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31F5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66C55F" w14:textId="77777777" w:rsidR="00000000" w:rsidRDefault="00A173A8">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3AE8E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404B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84D32B" w14:textId="77777777" w:rsidR="00000000" w:rsidRDefault="00A173A8">
            <w:pPr>
              <w:spacing w:after="100"/>
              <w:jc w:val="right"/>
              <w:rPr>
                <w:rFonts w:eastAsia="Times New Roman"/>
              </w:rPr>
            </w:pPr>
            <w:r>
              <w:rPr>
                <w:rFonts w:eastAsia="Times New Roman"/>
                <w:b/>
                <w:bCs/>
                <w:color w:val="000000"/>
                <w:sz w:val="20"/>
                <w:szCs w:val="20"/>
              </w:rPr>
              <w:t>2,928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1A5DC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6509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4D6DAB" w14:textId="77777777" w:rsidR="00000000" w:rsidRDefault="00A173A8">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9750C4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57B8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241B60E" w14:textId="77777777" w:rsidR="00000000" w:rsidRDefault="00A173A8">
            <w:pPr>
              <w:spacing w:after="100"/>
              <w:jc w:val="right"/>
              <w:rPr>
                <w:rFonts w:eastAsia="Times New Roman"/>
              </w:rPr>
            </w:pPr>
            <w:r>
              <w:rPr>
                <w:rFonts w:eastAsia="Times New Roman"/>
                <w:color w:val="000000"/>
                <w:sz w:val="20"/>
                <w:szCs w:val="20"/>
              </w:rPr>
              <w:t>2,618 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F1E4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E311F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342E6D" w14:textId="77777777" w:rsidR="00000000" w:rsidRDefault="00A173A8">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center"/>
            <w:hideMark/>
          </w:tcPr>
          <w:p w14:paraId="61E610A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A60B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FE0CB9" w14:textId="77777777" w:rsidR="00000000" w:rsidRDefault="00A173A8">
            <w:pPr>
              <w:spacing w:after="100"/>
              <w:jc w:val="right"/>
              <w:rPr>
                <w:rFonts w:eastAsia="Times New Roman"/>
              </w:rPr>
            </w:pPr>
            <w:r>
              <w:rPr>
                <w:rFonts w:eastAsia="Times New Roman"/>
                <w:color w:val="000000"/>
                <w:sz w:val="20"/>
                <w:szCs w:val="20"/>
              </w:rPr>
              <w:t>2,624 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3AFB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A1B0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4C6AB5" w14:textId="77777777" w:rsidR="00000000" w:rsidRDefault="00A173A8">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center"/>
            <w:hideMark/>
          </w:tcPr>
          <w:p w14:paraId="62A6894E" w14:textId="77777777" w:rsidR="00000000" w:rsidRDefault="00A173A8">
            <w:pPr>
              <w:spacing w:after="100"/>
              <w:jc w:val="right"/>
              <w:rPr>
                <w:rFonts w:eastAsia="Times New Roman"/>
              </w:rPr>
            </w:pPr>
          </w:p>
        </w:tc>
      </w:tr>
      <w:tr w:rsidR="00000000" w14:paraId="49CA3DC2" w14:textId="77777777">
        <w:trPr>
          <w:divId w:val="1361472877"/>
        </w:trPr>
        <w:tc>
          <w:tcPr>
            <w:tcW w:w="0" w:type="auto"/>
            <w:gridSpan w:val="3"/>
            <w:shd w:val="clear" w:color="auto" w:fill="CCEEFF"/>
            <w:tcMar>
              <w:top w:w="30" w:type="dxa"/>
              <w:left w:w="20" w:type="dxa"/>
              <w:bottom w:w="30" w:type="dxa"/>
              <w:right w:w="20" w:type="dxa"/>
            </w:tcMar>
            <w:vAlign w:val="center"/>
            <w:hideMark/>
          </w:tcPr>
          <w:p w14:paraId="36888136" w14:textId="77777777" w:rsidR="00000000" w:rsidRDefault="00A173A8">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2DD1BAAD"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F3525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A9D49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DF65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F0D5C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47040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7218E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31E44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10596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41BE4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2E3E3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152D8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7F74D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B176B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24A0B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35D8C8" w14:textId="77777777" w:rsidR="00000000" w:rsidRDefault="00A173A8">
            <w:pPr>
              <w:spacing w:after="100"/>
              <w:rPr>
                <w:rFonts w:eastAsia="Times New Roman"/>
                <w:sz w:val="20"/>
                <w:szCs w:val="20"/>
              </w:rPr>
            </w:pPr>
          </w:p>
        </w:tc>
      </w:tr>
      <w:tr w:rsidR="00000000" w14:paraId="72C06788" w14:textId="77777777">
        <w:trPr>
          <w:divId w:val="1361472877"/>
        </w:trPr>
        <w:tc>
          <w:tcPr>
            <w:tcW w:w="0" w:type="auto"/>
            <w:gridSpan w:val="3"/>
            <w:shd w:val="clear" w:color="auto" w:fill="FFFFFF"/>
            <w:tcMar>
              <w:top w:w="30" w:type="dxa"/>
              <w:left w:w="245" w:type="dxa"/>
              <w:bottom w:w="30" w:type="dxa"/>
              <w:right w:w="20" w:type="dxa"/>
            </w:tcMar>
            <w:vAlign w:val="center"/>
            <w:hideMark/>
          </w:tcPr>
          <w:p w14:paraId="6EB011CB" w14:textId="77777777" w:rsidR="00000000" w:rsidRDefault="00A173A8">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73A77C2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B53A5AF" w14:textId="77777777" w:rsidR="00000000" w:rsidRDefault="00A173A8">
            <w:pPr>
              <w:spacing w:after="100"/>
              <w:jc w:val="right"/>
              <w:rPr>
                <w:rFonts w:eastAsia="Times New Roman"/>
              </w:rPr>
            </w:pPr>
            <w:r>
              <w:rPr>
                <w:rFonts w:eastAsia="Times New Roman"/>
                <w:b/>
                <w:bCs/>
                <w:color w:val="000000"/>
                <w:sz w:val="20"/>
                <w:szCs w:val="20"/>
              </w:rPr>
              <w:t>3,571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30814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B0C5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E47E5A" w14:textId="77777777" w:rsidR="00000000" w:rsidRDefault="00A173A8">
            <w:pPr>
              <w:spacing w:after="100"/>
              <w:jc w:val="right"/>
              <w:rPr>
                <w:rFonts w:eastAsia="Times New Roman"/>
              </w:rPr>
            </w:pPr>
            <w:r>
              <w:rPr>
                <w:rFonts w:eastAsia="Times New Roman"/>
                <w:b/>
                <w:bCs/>
                <w:color w:val="000000"/>
                <w:sz w:val="20"/>
                <w:szCs w:val="20"/>
              </w:rPr>
              <w:t>4.47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AD0378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E56E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880215" w14:textId="77777777" w:rsidR="00000000" w:rsidRDefault="00A173A8">
            <w:pPr>
              <w:spacing w:after="100"/>
              <w:jc w:val="right"/>
              <w:rPr>
                <w:rFonts w:eastAsia="Times New Roman"/>
              </w:rPr>
            </w:pPr>
            <w:r>
              <w:rPr>
                <w:rFonts w:eastAsia="Times New Roman"/>
                <w:b/>
                <w:bCs/>
                <w:color w:val="000000"/>
                <w:sz w:val="20"/>
                <w:szCs w:val="20"/>
              </w:rPr>
              <w:t>3,896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6C49B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8764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2D930D" w14:textId="77777777" w:rsidR="00000000" w:rsidRDefault="00A173A8">
            <w:pPr>
              <w:spacing w:after="100"/>
              <w:jc w:val="right"/>
              <w:rPr>
                <w:rFonts w:eastAsia="Times New Roman"/>
              </w:rPr>
            </w:pPr>
            <w:r>
              <w:rPr>
                <w:rFonts w:eastAsia="Times New Roman"/>
                <w:b/>
                <w:bCs/>
                <w:color w:val="000000"/>
                <w:sz w:val="20"/>
                <w:szCs w:val="20"/>
              </w:rPr>
              <w:t>4.87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C6F21B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6DCBC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2EE6F5" w14:textId="77777777" w:rsidR="00000000" w:rsidRDefault="00A173A8">
            <w:pPr>
              <w:spacing w:after="100"/>
              <w:jc w:val="right"/>
              <w:rPr>
                <w:rFonts w:eastAsia="Times New Roman"/>
              </w:rPr>
            </w:pPr>
            <w:r>
              <w:rPr>
                <w:rFonts w:eastAsia="Times New Roman"/>
                <w:color w:val="000000"/>
                <w:sz w:val="20"/>
                <w:szCs w:val="20"/>
              </w:rPr>
              <w:t>3,271 </w:t>
            </w:r>
          </w:p>
        </w:tc>
        <w:tc>
          <w:tcPr>
            <w:tcW w:w="0" w:type="auto"/>
            <w:shd w:val="clear" w:color="auto" w:fill="FFFFFF"/>
            <w:tcMar>
              <w:top w:w="30" w:type="dxa"/>
              <w:left w:w="0" w:type="dxa"/>
              <w:bottom w:w="30" w:type="dxa"/>
              <w:right w:w="20" w:type="dxa"/>
            </w:tcMar>
            <w:vAlign w:val="center"/>
            <w:hideMark/>
          </w:tcPr>
          <w:p w14:paraId="035F2D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6FD4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40A77A" w14:textId="77777777" w:rsidR="00000000" w:rsidRDefault="00A173A8">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center"/>
            <w:hideMark/>
          </w:tcPr>
          <w:p w14:paraId="3C65BCD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9CBC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DABAE6" w14:textId="77777777" w:rsidR="00000000" w:rsidRDefault="00A173A8">
            <w:pPr>
              <w:spacing w:after="100"/>
              <w:jc w:val="right"/>
              <w:rPr>
                <w:rFonts w:eastAsia="Times New Roman"/>
              </w:rPr>
            </w:pPr>
            <w:r>
              <w:rPr>
                <w:rFonts w:eastAsia="Times New Roman"/>
                <w:color w:val="000000"/>
                <w:sz w:val="20"/>
                <w:szCs w:val="20"/>
              </w:rPr>
              <w:t>3,558 </w:t>
            </w:r>
          </w:p>
        </w:tc>
        <w:tc>
          <w:tcPr>
            <w:tcW w:w="0" w:type="auto"/>
            <w:shd w:val="clear" w:color="auto" w:fill="FFFFFF"/>
            <w:tcMar>
              <w:top w:w="30" w:type="dxa"/>
              <w:left w:w="0" w:type="dxa"/>
              <w:bottom w:w="30" w:type="dxa"/>
              <w:right w:w="20" w:type="dxa"/>
            </w:tcMar>
            <w:vAlign w:val="center"/>
            <w:hideMark/>
          </w:tcPr>
          <w:p w14:paraId="4240F9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A4E5B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0E065C" w14:textId="77777777" w:rsidR="00000000" w:rsidRDefault="00A173A8">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center"/>
            <w:hideMark/>
          </w:tcPr>
          <w:p w14:paraId="3B16BF94" w14:textId="77777777" w:rsidR="00000000" w:rsidRDefault="00A173A8">
            <w:pPr>
              <w:spacing w:after="100"/>
              <w:jc w:val="right"/>
              <w:rPr>
                <w:rFonts w:eastAsia="Times New Roman"/>
              </w:rPr>
            </w:pPr>
          </w:p>
        </w:tc>
      </w:tr>
      <w:tr w:rsidR="00000000" w14:paraId="1A8317F0" w14:textId="77777777">
        <w:trPr>
          <w:divId w:val="1361472877"/>
        </w:trPr>
        <w:tc>
          <w:tcPr>
            <w:tcW w:w="0" w:type="auto"/>
            <w:gridSpan w:val="3"/>
            <w:shd w:val="clear" w:color="auto" w:fill="CCEEFF"/>
            <w:tcMar>
              <w:top w:w="30" w:type="dxa"/>
              <w:left w:w="245" w:type="dxa"/>
              <w:bottom w:w="30" w:type="dxa"/>
              <w:right w:w="20" w:type="dxa"/>
            </w:tcMar>
            <w:vAlign w:val="center"/>
            <w:hideMark/>
          </w:tcPr>
          <w:p w14:paraId="5A50B348" w14:textId="77777777" w:rsidR="00000000" w:rsidRDefault="00A173A8">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14:paraId="64FABA2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1C37030" w14:textId="77777777" w:rsidR="00000000" w:rsidRDefault="00A173A8">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1B3A0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E138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10896B" w14:textId="77777777" w:rsidR="00000000" w:rsidRDefault="00A173A8">
            <w:pPr>
              <w:spacing w:after="100"/>
              <w:jc w:val="right"/>
              <w:rPr>
                <w:rFonts w:eastAsia="Times New Roman"/>
              </w:rPr>
            </w:pPr>
            <w:r>
              <w:rPr>
                <w:rFonts w:eastAsia="Times New Roman"/>
                <w:b/>
                <w:bCs/>
                <w:color w:val="000000"/>
                <w:sz w:val="20"/>
                <w:szCs w:val="20"/>
              </w:rPr>
              <w:t>0.67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B74CA7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886D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AA65EA" w14:textId="77777777" w:rsidR="00000000" w:rsidRDefault="00A173A8">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147A2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E1FB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331376" w14:textId="77777777" w:rsidR="00000000" w:rsidRDefault="00A173A8">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D7E4BE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2423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242B40" w14:textId="77777777" w:rsidR="00000000" w:rsidRDefault="00A173A8">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center"/>
            <w:hideMark/>
          </w:tcPr>
          <w:p w14:paraId="169C113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D321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875E4B" w14:textId="77777777" w:rsidR="00000000" w:rsidRDefault="00A173A8">
            <w:pPr>
              <w:spacing w:after="100"/>
              <w:jc w:val="right"/>
              <w:rPr>
                <w:rFonts w:eastAsia="Times New Roman"/>
              </w:rPr>
            </w:pPr>
            <w:r>
              <w:rPr>
                <w:rFonts w:eastAsia="Times New Roman"/>
                <w:color w:val="000000"/>
                <w:sz w:val="20"/>
                <w:szCs w:val="20"/>
              </w:rPr>
              <w:t>1.92 </w:t>
            </w:r>
          </w:p>
        </w:tc>
        <w:tc>
          <w:tcPr>
            <w:tcW w:w="0" w:type="auto"/>
            <w:shd w:val="clear" w:color="auto" w:fill="CCEEFF"/>
            <w:tcMar>
              <w:top w:w="30" w:type="dxa"/>
              <w:left w:w="0" w:type="dxa"/>
              <w:bottom w:w="30" w:type="dxa"/>
              <w:right w:w="20" w:type="dxa"/>
            </w:tcMar>
            <w:vAlign w:val="center"/>
            <w:hideMark/>
          </w:tcPr>
          <w:p w14:paraId="3C39371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03510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47A9E4" w14:textId="77777777" w:rsidR="00000000" w:rsidRDefault="00A173A8">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center"/>
            <w:hideMark/>
          </w:tcPr>
          <w:p w14:paraId="144D8CE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229A1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7E0B9F" w14:textId="77777777" w:rsidR="00000000" w:rsidRDefault="00A173A8">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center"/>
            <w:hideMark/>
          </w:tcPr>
          <w:p w14:paraId="4E908D21" w14:textId="77777777" w:rsidR="00000000" w:rsidRDefault="00A173A8">
            <w:pPr>
              <w:spacing w:after="100"/>
              <w:jc w:val="right"/>
              <w:rPr>
                <w:rFonts w:eastAsia="Times New Roman"/>
              </w:rPr>
            </w:pPr>
          </w:p>
        </w:tc>
      </w:tr>
      <w:tr w:rsidR="00000000" w14:paraId="36BCCE48" w14:textId="77777777">
        <w:trPr>
          <w:divId w:val="1361472877"/>
        </w:trPr>
        <w:tc>
          <w:tcPr>
            <w:tcW w:w="0" w:type="auto"/>
            <w:gridSpan w:val="3"/>
            <w:shd w:val="clear" w:color="auto" w:fill="FFFFFF"/>
            <w:tcMar>
              <w:top w:w="30" w:type="dxa"/>
              <w:left w:w="20" w:type="dxa"/>
              <w:bottom w:w="30" w:type="dxa"/>
              <w:right w:w="20" w:type="dxa"/>
            </w:tcMar>
            <w:vAlign w:val="center"/>
            <w:hideMark/>
          </w:tcPr>
          <w:p w14:paraId="323A09B6" w14:textId="77777777" w:rsidR="00000000" w:rsidRDefault="00A173A8">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77935571"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A41D772" w14:textId="77777777" w:rsidR="00000000" w:rsidRDefault="00A173A8">
            <w:pPr>
              <w:spacing w:after="100"/>
              <w:jc w:val="right"/>
              <w:rPr>
                <w:rFonts w:eastAsia="Times New Roman"/>
              </w:rPr>
            </w:pPr>
            <w:r>
              <w:rPr>
                <w:rFonts w:eastAsia="Times New Roman"/>
                <w:b/>
                <w:bCs/>
                <w:color w:val="000000"/>
                <w:sz w:val="20"/>
                <w:szCs w:val="20"/>
              </w:rPr>
              <w:t>3,582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F312F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AA24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A09261" w14:textId="77777777" w:rsidR="00000000" w:rsidRDefault="00A173A8">
            <w:pPr>
              <w:spacing w:after="100"/>
              <w:jc w:val="right"/>
              <w:rPr>
                <w:rFonts w:eastAsia="Times New Roman"/>
              </w:rPr>
            </w:pPr>
            <w:r>
              <w:rPr>
                <w:rFonts w:eastAsia="Times New Roman"/>
                <w:b/>
                <w:bCs/>
                <w:color w:val="000000"/>
                <w:sz w:val="20"/>
                <w:szCs w:val="20"/>
              </w:rPr>
              <w:t>4.39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B1C4E2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EE3F5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A0120BB" w14:textId="77777777" w:rsidR="00000000" w:rsidRDefault="00A173A8">
            <w:pPr>
              <w:spacing w:after="100"/>
              <w:jc w:val="right"/>
              <w:rPr>
                <w:rFonts w:eastAsia="Times New Roman"/>
              </w:rPr>
            </w:pPr>
            <w:r>
              <w:rPr>
                <w:rFonts w:eastAsia="Times New Roman"/>
                <w:b/>
                <w:bCs/>
                <w:color w:val="000000"/>
                <w:sz w:val="20"/>
                <w:szCs w:val="20"/>
              </w:rPr>
              <w:t>3,925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85199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0F4B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689008" w14:textId="77777777" w:rsidR="00000000" w:rsidRDefault="00A173A8">
            <w:pPr>
              <w:spacing w:after="100"/>
              <w:jc w:val="right"/>
              <w:rPr>
                <w:rFonts w:eastAsia="Times New Roman"/>
              </w:rPr>
            </w:pPr>
            <w:r>
              <w:rPr>
                <w:rFonts w:eastAsia="Times New Roman"/>
                <w:b/>
                <w:bCs/>
                <w:color w:val="000000"/>
                <w:sz w:val="20"/>
                <w:szCs w:val="20"/>
              </w:rPr>
              <w:t>4.81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36A594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0A30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7AA5ADF" w14:textId="77777777" w:rsidR="00000000" w:rsidRDefault="00A173A8">
            <w:pPr>
              <w:spacing w:after="100"/>
              <w:jc w:val="right"/>
              <w:rPr>
                <w:rFonts w:eastAsia="Times New Roman"/>
              </w:rPr>
            </w:pPr>
            <w:r>
              <w:rPr>
                <w:rFonts w:eastAsia="Times New Roman"/>
                <w:color w:val="000000"/>
                <w:sz w:val="20"/>
                <w:szCs w:val="20"/>
              </w:rPr>
              <w:t>3,307 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D6CDA0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443A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D42C75" w14:textId="77777777" w:rsidR="00000000" w:rsidRDefault="00A173A8">
            <w:pPr>
              <w:spacing w:after="100"/>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center"/>
            <w:hideMark/>
          </w:tcPr>
          <w:p w14:paraId="42BA4AF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9A92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C3A7649" w14:textId="77777777" w:rsidR="00000000" w:rsidRDefault="00A173A8">
            <w:pPr>
              <w:spacing w:after="100"/>
              <w:jc w:val="right"/>
              <w:rPr>
                <w:rFonts w:eastAsia="Times New Roman"/>
              </w:rPr>
            </w:pPr>
            <w:r>
              <w:rPr>
                <w:rFonts w:eastAsia="Times New Roman"/>
                <w:color w:val="000000"/>
                <w:sz w:val="20"/>
                <w:szCs w:val="20"/>
              </w:rPr>
              <w:t>3,618 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D8AEF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C97B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150F7D" w14:textId="77777777" w:rsidR="00000000" w:rsidRDefault="00A173A8">
            <w:pPr>
              <w:spacing w:after="100"/>
              <w:jc w:val="right"/>
              <w:rPr>
                <w:rFonts w:eastAsia="Times New Roman"/>
              </w:rPr>
            </w:pPr>
            <w:r>
              <w:rPr>
                <w:rFonts w:eastAsia="Times New Roman"/>
                <w:color w:val="000000"/>
                <w:sz w:val="20"/>
                <w:szCs w:val="20"/>
              </w:rPr>
              <w:t>4.66 </w:t>
            </w:r>
          </w:p>
        </w:tc>
        <w:tc>
          <w:tcPr>
            <w:tcW w:w="0" w:type="auto"/>
            <w:shd w:val="clear" w:color="auto" w:fill="FFFFFF"/>
            <w:tcMar>
              <w:top w:w="30" w:type="dxa"/>
              <w:left w:w="0" w:type="dxa"/>
              <w:bottom w:w="30" w:type="dxa"/>
              <w:right w:w="20" w:type="dxa"/>
            </w:tcMar>
            <w:vAlign w:val="center"/>
            <w:hideMark/>
          </w:tcPr>
          <w:p w14:paraId="40FFF73E" w14:textId="77777777" w:rsidR="00000000" w:rsidRDefault="00A173A8">
            <w:pPr>
              <w:spacing w:after="100"/>
              <w:jc w:val="right"/>
              <w:rPr>
                <w:rFonts w:eastAsia="Times New Roman"/>
              </w:rPr>
            </w:pPr>
          </w:p>
        </w:tc>
      </w:tr>
      <w:tr w:rsidR="00000000" w14:paraId="2D59655F" w14:textId="77777777">
        <w:trPr>
          <w:divId w:val="1361472877"/>
        </w:trPr>
        <w:tc>
          <w:tcPr>
            <w:tcW w:w="0" w:type="auto"/>
            <w:gridSpan w:val="3"/>
            <w:shd w:val="clear" w:color="auto" w:fill="CCEEFF"/>
            <w:tcMar>
              <w:top w:w="30" w:type="dxa"/>
              <w:left w:w="20" w:type="dxa"/>
              <w:bottom w:w="30" w:type="dxa"/>
              <w:right w:w="20" w:type="dxa"/>
            </w:tcMar>
            <w:vAlign w:val="center"/>
            <w:hideMark/>
          </w:tcPr>
          <w:p w14:paraId="044261F2" w14:textId="77777777" w:rsidR="00000000" w:rsidRDefault="00A173A8">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01B446D4"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0DD22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45447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618A7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08BD6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572D0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663A4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D5C6F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3F25D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9C35D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CB9AC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FCC9C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D5FE8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92916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E203A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B1E2DE" w14:textId="77777777" w:rsidR="00000000" w:rsidRDefault="00A173A8">
            <w:pPr>
              <w:spacing w:after="100"/>
              <w:rPr>
                <w:rFonts w:eastAsia="Times New Roman"/>
                <w:sz w:val="20"/>
                <w:szCs w:val="20"/>
              </w:rPr>
            </w:pPr>
          </w:p>
        </w:tc>
      </w:tr>
      <w:tr w:rsidR="00000000" w14:paraId="2DF9EB2C" w14:textId="77777777">
        <w:trPr>
          <w:divId w:val="1361472877"/>
        </w:trPr>
        <w:tc>
          <w:tcPr>
            <w:tcW w:w="0" w:type="auto"/>
            <w:gridSpan w:val="3"/>
            <w:shd w:val="clear" w:color="auto" w:fill="FFFFFF"/>
            <w:tcMar>
              <w:top w:w="30" w:type="dxa"/>
              <w:left w:w="245" w:type="dxa"/>
              <w:bottom w:w="30" w:type="dxa"/>
              <w:right w:w="20" w:type="dxa"/>
            </w:tcMar>
            <w:vAlign w:val="center"/>
            <w:hideMark/>
          </w:tcPr>
          <w:p w14:paraId="5992B7C4" w14:textId="77777777" w:rsidR="00000000" w:rsidRDefault="00A173A8">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6CA0B444"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307B47" w14:textId="77777777" w:rsidR="00000000" w:rsidRDefault="00A173A8">
            <w:pPr>
              <w:spacing w:after="100"/>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F646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2285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03888D" w14:textId="77777777" w:rsidR="00000000" w:rsidRDefault="00A173A8">
            <w:pPr>
              <w:spacing w:after="100"/>
              <w:jc w:val="right"/>
              <w:rPr>
                <w:rFonts w:eastAsia="Times New Roman"/>
              </w:rPr>
            </w:pPr>
            <w:r>
              <w:rPr>
                <w:rFonts w:eastAsia="Times New Roman"/>
                <w:b/>
                <w:bCs/>
                <w:color w:val="000000"/>
                <w:sz w:val="20"/>
                <w:szCs w:val="20"/>
              </w:rPr>
              <w:t>0.70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9A3A0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AFF55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64785A" w14:textId="77777777" w:rsidR="00000000" w:rsidRDefault="00A173A8">
            <w:pPr>
              <w:spacing w:after="100"/>
              <w:jc w:val="right"/>
              <w:rPr>
                <w:rFonts w:eastAsia="Times New Roman"/>
              </w:rPr>
            </w:pPr>
            <w:r>
              <w:rPr>
                <w:rFonts w:eastAsia="Times New Roman"/>
                <w:b/>
                <w:bCs/>
                <w:color w:val="000000"/>
                <w:sz w:val="20"/>
                <w:szCs w:val="20"/>
              </w:rPr>
              <w:t>338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69FBC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D988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023217" w14:textId="77777777" w:rsidR="00000000" w:rsidRDefault="00A173A8">
            <w:pPr>
              <w:spacing w:after="100"/>
              <w:jc w:val="right"/>
              <w:rPr>
                <w:rFonts w:eastAsia="Times New Roman"/>
              </w:rPr>
            </w:pPr>
            <w:r>
              <w:rPr>
                <w:rFonts w:eastAsia="Times New Roman"/>
                <w:b/>
                <w:bCs/>
                <w:color w:val="000000"/>
                <w:sz w:val="20"/>
                <w:szCs w:val="20"/>
              </w:rPr>
              <w:t>0.89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48602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9E13D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6CA848" w14:textId="77777777" w:rsidR="00000000" w:rsidRDefault="00A173A8">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14:paraId="4A807EF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3950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C942CD" w14:textId="77777777" w:rsidR="00000000" w:rsidRDefault="00A173A8">
            <w:pPr>
              <w:spacing w:after="100"/>
              <w:jc w:val="right"/>
              <w:rPr>
                <w:rFonts w:eastAsia="Times New Roman"/>
              </w:rPr>
            </w:pPr>
            <w:r>
              <w:rPr>
                <w:rFonts w:eastAsia="Times New Roman"/>
                <w:color w:val="000000"/>
                <w:sz w:val="20"/>
                <w:szCs w:val="20"/>
              </w:rPr>
              <w:t>0.31 </w:t>
            </w:r>
          </w:p>
        </w:tc>
        <w:tc>
          <w:tcPr>
            <w:tcW w:w="0" w:type="auto"/>
            <w:shd w:val="clear" w:color="auto" w:fill="FFFFFF"/>
            <w:tcMar>
              <w:top w:w="30" w:type="dxa"/>
              <w:left w:w="0" w:type="dxa"/>
              <w:bottom w:w="30" w:type="dxa"/>
              <w:right w:w="20" w:type="dxa"/>
            </w:tcMar>
            <w:vAlign w:val="bottom"/>
            <w:hideMark/>
          </w:tcPr>
          <w:p w14:paraId="4A1485B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5AB61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096150" w14:textId="77777777" w:rsidR="00000000" w:rsidRDefault="00A173A8">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14:paraId="19E6E7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5038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5B24D" w14:textId="77777777" w:rsidR="00000000" w:rsidRDefault="00A173A8">
            <w:pPr>
              <w:spacing w:after="100"/>
              <w:jc w:val="right"/>
              <w:rPr>
                <w:rFonts w:eastAsia="Times New Roman"/>
              </w:rPr>
            </w:pPr>
            <w:r>
              <w:rPr>
                <w:rFonts w:eastAsia="Times New Roman"/>
                <w:color w:val="000000"/>
                <w:sz w:val="20"/>
                <w:szCs w:val="20"/>
              </w:rPr>
              <w:t>0.46 </w:t>
            </w:r>
          </w:p>
        </w:tc>
        <w:tc>
          <w:tcPr>
            <w:tcW w:w="0" w:type="auto"/>
            <w:shd w:val="clear" w:color="auto" w:fill="FFFFFF"/>
            <w:tcMar>
              <w:top w:w="30" w:type="dxa"/>
              <w:left w:w="0" w:type="dxa"/>
              <w:bottom w:w="30" w:type="dxa"/>
              <w:right w:w="20" w:type="dxa"/>
            </w:tcMar>
            <w:vAlign w:val="bottom"/>
            <w:hideMark/>
          </w:tcPr>
          <w:p w14:paraId="73B626C3" w14:textId="77777777" w:rsidR="00000000" w:rsidRDefault="00A173A8">
            <w:pPr>
              <w:spacing w:after="100"/>
              <w:jc w:val="right"/>
              <w:rPr>
                <w:rFonts w:eastAsia="Times New Roman"/>
              </w:rPr>
            </w:pPr>
          </w:p>
        </w:tc>
      </w:tr>
      <w:tr w:rsidR="00000000" w14:paraId="1956907E" w14:textId="77777777">
        <w:trPr>
          <w:divId w:val="1361472877"/>
        </w:trPr>
        <w:tc>
          <w:tcPr>
            <w:tcW w:w="0" w:type="auto"/>
            <w:gridSpan w:val="3"/>
            <w:shd w:val="clear" w:color="auto" w:fill="CCEEFF"/>
            <w:tcMar>
              <w:top w:w="30" w:type="dxa"/>
              <w:left w:w="245" w:type="dxa"/>
              <w:bottom w:w="30" w:type="dxa"/>
              <w:right w:w="20" w:type="dxa"/>
            </w:tcMar>
            <w:vAlign w:val="center"/>
            <w:hideMark/>
          </w:tcPr>
          <w:p w14:paraId="67BFB2DA" w14:textId="77777777" w:rsidR="00000000" w:rsidRDefault="00A173A8">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14:paraId="403D340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702D548" w14:textId="77777777" w:rsidR="00000000" w:rsidRDefault="00A173A8">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2BCD6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22C5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ECB1C5" w14:textId="77777777" w:rsidR="00000000" w:rsidRDefault="00A173A8">
            <w:pPr>
              <w:spacing w:after="100"/>
              <w:jc w:val="right"/>
              <w:rPr>
                <w:rFonts w:eastAsia="Times New Roman"/>
              </w:rPr>
            </w:pPr>
            <w:r>
              <w:rPr>
                <w:rFonts w:eastAsia="Times New Roman"/>
                <w:b/>
                <w:bCs/>
                <w:color w:val="000000"/>
                <w:sz w:val="20"/>
                <w:szCs w:val="20"/>
              </w:rPr>
              <w:t>0.42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86C9F3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4FA3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9FE5EC" w14:textId="77777777" w:rsidR="00000000" w:rsidRDefault="00A173A8">
            <w:pPr>
              <w:spacing w:after="100"/>
              <w:jc w:val="right"/>
              <w:rPr>
                <w:rFonts w:eastAsia="Times New Roman"/>
              </w:rPr>
            </w:pPr>
            <w:r>
              <w:rPr>
                <w:rFonts w:eastAsia="Times New Roman"/>
                <w:b/>
                <w:bCs/>
                <w:color w:val="000000"/>
                <w:sz w:val="20"/>
                <w:szCs w:val="20"/>
              </w:rPr>
              <w:t>348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C4475C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68A6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D7DBEB" w14:textId="77777777" w:rsidR="00000000" w:rsidRDefault="00A173A8">
            <w:pPr>
              <w:spacing w:after="100"/>
              <w:jc w:val="right"/>
              <w:rPr>
                <w:rFonts w:eastAsia="Times New Roman"/>
              </w:rPr>
            </w:pPr>
            <w:r>
              <w:rPr>
                <w:rFonts w:eastAsia="Times New Roman"/>
                <w:b/>
                <w:bCs/>
                <w:color w:val="000000"/>
                <w:sz w:val="20"/>
                <w:szCs w:val="20"/>
              </w:rPr>
              <w:t>0.62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D1CAC3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6F4A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E543A6" w14:textId="77777777" w:rsidR="00000000" w:rsidRDefault="00A173A8">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center"/>
            <w:hideMark/>
          </w:tcPr>
          <w:p w14:paraId="076116F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BC00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C29765" w14:textId="77777777" w:rsidR="00000000" w:rsidRDefault="00A173A8">
            <w:pPr>
              <w:spacing w:after="100"/>
              <w:jc w:val="right"/>
              <w:rPr>
                <w:rFonts w:eastAsia="Times New Roman"/>
              </w:rPr>
            </w:pPr>
            <w:r>
              <w:rPr>
                <w:rFonts w:eastAsia="Times New Roman"/>
                <w:color w:val="000000"/>
                <w:sz w:val="20"/>
                <w:szCs w:val="20"/>
              </w:rPr>
              <w:t>0.43 </w:t>
            </w:r>
          </w:p>
        </w:tc>
        <w:tc>
          <w:tcPr>
            <w:tcW w:w="0" w:type="auto"/>
            <w:shd w:val="clear" w:color="auto" w:fill="CCEEFF"/>
            <w:tcMar>
              <w:top w:w="30" w:type="dxa"/>
              <w:left w:w="0" w:type="dxa"/>
              <w:bottom w:w="30" w:type="dxa"/>
              <w:right w:w="20" w:type="dxa"/>
            </w:tcMar>
            <w:vAlign w:val="center"/>
            <w:hideMark/>
          </w:tcPr>
          <w:p w14:paraId="2F36E9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ACFA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1E62F7" w14:textId="77777777" w:rsidR="00000000" w:rsidRDefault="00A173A8">
            <w:pPr>
              <w:spacing w:after="100"/>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center"/>
            <w:hideMark/>
          </w:tcPr>
          <w:p w14:paraId="26C750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7B07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B8C8EC" w14:textId="77777777" w:rsidR="00000000" w:rsidRDefault="00A173A8">
            <w:pPr>
              <w:spacing w:after="100"/>
              <w:jc w:val="right"/>
              <w:rPr>
                <w:rFonts w:eastAsia="Times New Roman"/>
              </w:rPr>
            </w:pPr>
            <w:r>
              <w:rPr>
                <w:rFonts w:eastAsia="Times New Roman"/>
                <w:color w:val="000000"/>
                <w:sz w:val="20"/>
                <w:szCs w:val="20"/>
              </w:rPr>
              <w:t>0.57 </w:t>
            </w:r>
          </w:p>
        </w:tc>
        <w:tc>
          <w:tcPr>
            <w:tcW w:w="0" w:type="auto"/>
            <w:shd w:val="clear" w:color="auto" w:fill="CCEEFF"/>
            <w:tcMar>
              <w:top w:w="30" w:type="dxa"/>
              <w:left w:w="0" w:type="dxa"/>
              <w:bottom w:w="30" w:type="dxa"/>
              <w:right w:w="20" w:type="dxa"/>
            </w:tcMar>
            <w:vAlign w:val="center"/>
            <w:hideMark/>
          </w:tcPr>
          <w:p w14:paraId="2D00F8D3" w14:textId="77777777" w:rsidR="00000000" w:rsidRDefault="00A173A8">
            <w:pPr>
              <w:spacing w:after="100"/>
              <w:jc w:val="right"/>
              <w:rPr>
                <w:rFonts w:eastAsia="Times New Roman"/>
              </w:rPr>
            </w:pPr>
          </w:p>
        </w:tc>
      </w:tr>
      <w:tr w:rsidR="00000000" w14:paraId="6929DB7C" w14:textId="77777777">
        <w:trPr>
          <w:divId w:val="1361472877"/>
        </w:trPr>
        <w:tc>
          <w:tcPr>
            <w:tcW w:w="0" w:type="auto"/>
            <w:gridSpan w:val="3"/>
            <w:shd w:val="clear" w:color="auto" w:fill="FFFFFF"/>
            <w:tcMar>
              <w:top w:w="30" w:type="dxa"/>
              <w:left w:w="20" w:type="dxa"/>
              <w:bottom w:w="30" w:type="dxa"/>
              <w:right w:w="20" w:type="dxa"/>
            </w:tcMar>
            <w:vAlign w:val="center"/>
            <w:hideMark/>
          </w:tcPr>
          <w:p w14:paraId="28F20372" w14:textId="77777777" w:rsidR="00000000" w:rsidRDefault="00A173A8">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14:paraId="677B05CD"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59A7E0F" w14:textId="77777777" w:rsidR="00000000" w:rsidRDefault="00A173A8">
            <w:pPr>
              <w:spacing w:after="100"/>
              <w:jc w:val="right"/>
              <w:rPr>
                <w:rFonts w:eastAsia="Times New Roman"/>
              </w:rPr>
            </w:pPr>
            <w:r>
              <w:rPr>
                <w:rFonts w:eastAsia="Times New Roman"/>
                <w:b/>
                <w:bCs/>
                <w:color w:val="000000"/>
                <w:sz w:val="20"/>
                <w:szCs w:val="20"/>
              </w:rPr>
              <w:t>500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2E2F7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4041B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26646B" w14:textId="77777777" w:rsidR="00000000" w:rsidRDefault="00A173A8">
            <w:pPr>
              <w:spacing w:after="100"/>
              <w:jc w:val="right"/>
              <w:rPr>
                <w:rFonts w:eastAsia="Times New Roman"/>
              </w:rPr>
            </w:pPr>
            <w:r>
              <w:rPr>
                <w:rFonts w:eastAsia="Times New Roman"/>
                <w:b/>
                <w:bCs/>
                <w:color w:val="000000"/>
                <w:sz w:val="20"/>
                <w:szCs w:val="20"/>
              </w:rPr>
              <w:t>0.53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FE753A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8043F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BBB6984" w14:textId="77777777" w:rsidR="00000000" w:rsidRDefault="00A173A8">
            <w:pPr>
              <w:spacing w:after="100"/>
              <w:jc w:val="right"/>
              <w:rPr>
                <w:rFonts w:eastAsia="Times New Roman"/>
              </w:rPr>
            </w:pPr>
            <w:r>
              <w:rPr>
                <w:rFonts w:eastAsia="Times New Roman"/>
                <w:b/>
                <w:bCs/>
                <w:color w:val="000000"/>
                <w:sz w:val="20"/>
                <w:szCs w:val="20"/>
              </w:rPr>
              <w:t>686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CBB52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F2A9C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694D08" w14:textId="77777777" w:rsidR="00000000" w:rsidRDefault="00A173A8">
            <w:pPr>
              <w:spacing w:after="100"/>
              <w:jc w:val="right"/>
              <w:rPr>
                <w:rFonts w:eastAsia="Times New Roman"/>
              </w:rPr>
            </w:pPr>
            <w:r>
              <w:rPr>
                <w:rFonts w:eastAsia="Times New Roman"/>
                <w:b/>
                <w:bCs/>
                <w:color w:val="000000"/>
                <w:sz w:val="20"/>
                <w:szCs w:val="20"/>
              </w:rPr>
              <w:t>0.73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EBCF5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DFD9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966F822" w14:textId="77777777" w:rsidR="00000000" w:rsidRDefault="00A173A8">
            <w:pPr>
              <w:spacing w:after="100"/>
              <w:jc w:val="right"/>
              <w:rPr>
                <w:rFonts w:eastAsia="Times New Roman"/>
              </w:rPr>
            </w:pPr>
            <w:r>
              <w:rPr>
                <w:rFonts w:eastAsia="Times New Roman"/>
                <w:color w:val="000000"/>
                <w:sz w:val="20"/>
                <w:szCs w:val="20"/>
              </w:rPr>
              <w:t>319 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E49D52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82A70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4EDFC3" w14:textId="77777777" w:rsidR="00000000" w:rsidRDefault="00A173A8">
            <w:pPr>
              <w:spacing w:after="100"/>
              <w:jc w:val="right"/>
              <w:rPr>
                <w:rFonts w:eastAsia="Times New Roman"/>
              </w:rPr>
            </w:pPr>
            <w:r>
              <w:rPr>
                <w:rFonts w:eastAsia="Times New Roman"/>
                <w:color w:val="000000"/>
                <w:sz w:val="20"/>
                <w:szCs w:val="20"/>
              </w:rPr>
              <w:t>0.38 </w:t>
            </w:r>
          </w:p>
        </w:tc>
        <w:tc>
          <w:tcPr>
            <w:tcW w:w="0" w:type="auto"/>
            <w:shd w:val="clear" w:color="auto" w:fill="FFFFFF"/>
            <w:tcMar>
              <w:top w:w="30" w:type="dxa"/>
              <w:left w:w="0" w:type="dxa"/>
              <w:bottom w:w="30" w:type="dxa"/>
              <w:right w:w="20" w:type="dxa"/>
            </w:tcMar>
            <w:vAlign w:val="center"/>
            <w:hideMark/>
          </w:tcPr>
          <w:p w14:paraId="48EAE70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ACC1F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C9992CB" w14:textId="77777777" w:rsidR="00000000" w:rsidRDefault="00A173A8">
            <w:pPr>
              <w:spacing w:after="100"/>
              <w:jc w:val="right"/>
              <w:rPr>
                <w:rFonts w:eastAsia="Times New Roman"/>
              </w:rPr>
            </w:pPr>
            <w:r>
              <w:rPr>
                <w:rFonts w:eastAsia="Times New Roman"/>
                <w:color w:val="000000"/>
                <w:sz w:val="20"/>
                <w:szCs w:val="20"/>
              </w:rPr>
              <w:t>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AA157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B8F0A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F61B67" w14:textId="77777777" w:rsidR="00000000" w:rsidRDefault="00A173A8">
            <w:pPr>
              <w:spacing w:after="100"/>
              <w:jc w:val="right"/>
              <w:rPr>
                <w:rFonts w:eastAsia="Times New Roman"/>
              </w:rPr>
            </w:pPr>
            <w:r>
              <w:rPr>
                <w:rFonts w:eastAsia="Times New Roman"/>
                <w:color w:val="000000"/>
                <w:sz w:val="20"/>
                <w:szCs w:val="20"/>
              </w:rPr>
              <w:t>0.52 </w:t>
            </w:r>
          </w:p>
        </w:tc>
        <w:tc>
          <w:tcPr>
            <w:tcW w:w="0" w:type="auto"/>
            <w:shd w:val="clear" w:color="auto" w:fill="FFFFFF"/>
            <w:tcMar>
              <w:top w:w="30" w:type="dxa"/>
              <w:left w:w="0" w:type="dxa"/>
              <w:bottom w:w="30" w:type="dxa"/>
              <w:right w:w="20" w:type="dxa"/>
            </w:tcMar>
            <w:vAlign w:val="center"/>
            <w:hideMark/>
          </w:tcPr>
          <w:p w14:paraId="2386103E" w14:textId="77777777" w:rsidR="00000000" w:rsidRDefault="00A173A8">
            <w:pPr>
              <w:spacing w:after="100"/>
              <w:jc w:val="right"/>
              <w:rPr>
                <w:rFonts w:eastAsia="Times New Roman"/>
              </w:rPr>
            </w:pPr>
          </w:p>
        </w:tc>
      </w:tr>
      <w:tr w:rsidR="00A173A8" w14:paraId="2FD8AC13" w14:textId="77777777">
        <w:trPr>
          <w:divId w:val="1361472877"/>
        </w:trPr>
        <w:tc>
          <w:tcPr>
            <w:tcW w:w="0" w:type="auto"/>
            <w:gridSpan w:val="3"/>
            <w:shd w:val="clear" w:color="auto" w:fill="CCEEFF"/>
            <w:tcMar>
              <w:top w:w="30" w:type="dxa"/>
              <w:left w:w="20" w:type="dxa"/>
              <w:bottom w:w="30" w:type="dxa"/>
              <w:right w:w="20" w:type="dxa"/>
            </w:tcMar>
            <w:vAlign w:val="center"/>
            <w:hideMark/>
          </w:tcPr>
          <w:p w14:paraId="05D61066"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003FBF33"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896A61A"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66EEB1F" w14:textId="77777777" w:rsidR="00000000" w:rsidRDefault="00A173A8">
            <w:pPr>
              <w:spacing w:after="100"/>
              <w:jc w:val="right"/>
              <w:rPr>
                <w:rFonts w:eastAsia="Times New Roman"/>
              </w:rPr>
            </w:pPr>
            <w:r>
              <w:rPr>
                <w:rFonts w:eastAsia="Times New Roman"/>
                <w:b/>
                <w:bCs/>
                <w:color w:val="000000"/>
                <w:sz w:val="20"/>
                <w:szCs w:val="20"/>
              </w:rPr>
              <w:t>7,005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83EC4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7293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C51492" w14:textId="77777777" w:rsidR="00000000" w:rsidRDefault="00A173A8">
            <w:pPr>
              <w:spacing w:after="100"/>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FB30CF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5371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A1F8BFA"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749E41E" w14:textId="77777777" w:rsidR="00000000" w:rsidRDefault="00A173A8">
            <w:pPr>
              <w:spacing w:after="100"/>
              <w:jc w:val="right"/>
              <w:rPr>
                <w:rFonts w:eastAsia="Times New Roman"/>
              </w:rPr>
            </w:pPr>
            <w:r>
              <w:rPr>
                <w:rFonts w:eastAsia="Times New Roman"/>
                <w:b/>
                <w:bCs/>
                <w:color w:val="000000"/>
                <w:sz w:val="20"/>
                <w:szCs w:val="20"/>
              </w:rPr>
              <w:t>7,539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8C114C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649B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86D942" w14:textId="77777777" w:rsidR="00000000" w:rsidRDefault="00A173A8">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949826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1CA9E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AAF89FE"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B4DA526" w14:textId="77777777" w:rsidR="00000000" w:rsidRDefault="00A173A8">
            <w:pPr>
              <w:spacing w:after="100"/>
              <w:jc w:val="right"/>
              <w:rPr>
                <w:rFonts w:eastAsia="Times New Roman"/>
              </w:rPr>
            </w:pPr>
            <w:r>
              <w:rPr>
                <w:rFonts w:eastAsia="Times New Roman"/>
                <w:color w:val="000000"/>
                <w:sz w:val="20"/>
                <w:szCs w:val="20"/>
              </w:rPr>
              <w:t>6,244 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CC56E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9703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C1A433" w14:textId="77777777" w:rsidR="00000000" w:rsidRDefault="00A173A8">
            <w:pPr>
              <w:spacing w:after="100"/>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center"/>
            <w:hideMark/>
          </w:tcPr>
          <w:p w14:paraId="74C50C4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59C4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8F9DD9D"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4B786E3" w14:textId="77777777" w:rsidR="00000000" w:rsidRDefault="00A173A8">
            <w:pPr>
              <w:spacing w:after="100"/>
              <w:jc w:val="right"/>
              <w:rPr>
                <w:rFonts w:eastAsia="Times New Roman"/>
              </w:rPr>
            </w:pPr>
            <w:r>
              <w:rPr>
                <w:rFonts w:eastAsia="Times New Roman"/>
                <w:color w:val="000000"/>
                <w:sz w:val="20"/>
                <w:szCs w:val="20"/>
              </w:rPr>
              <w:t>6,685 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FBE647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2022D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E43E49" w14:textId="77777777" w:rsidR="00000000" w:rsidRDefault="00A173A8">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center"/>
            <w:hideMark/>
          </w:tcPr>
          <w:p w14:paraId="04363D41" w14:textId="77777777" w:rsidR="00000000" w:rsidRDefault="00A173A8">
            <w:pPr>
              <w:spacing w:after="100"/>
              <w:jc w:val="right"/>
              <w:rPr>
                <w:rFonts w:eastAsia="Times New Roman"/>
              </w:rPr>
            </w:pPr>
          </w:p>
        </w:tc>
      </w:tr>
    </w:tbl>
    <w:p w14:paraId="264E16FE" w14:textId="77777777" w:rsidR="00000000" w:rsidRDefault="00A173A8">
      <w:pPr>
        <w:divId w:val="1361472877"/>
        <w:rPr>
          <w:rFonts w:eastAsia="Times New Roman"/>
        </w:rPr>
      </w:pPr>
      <w:r>
        <w:rPr>
          <w:rFonts w:eastAsia="Times New Roman"/>
          <w:color w:val="000000"/>
          <w:sz w:val="20"/>
          <w:szCs w:val="20"/>
        </w:rPr>
        <w:t>__________</w:t>
      </w:r>
    </w:p>
    <w:p w14:paraId="1CD4C9B2" w14:textId="77777777" w:rsidR="00000000" w:rsidRDefault="00A173A8">
      <w:pPr>
        <w:ind w:hanging="360"/>
        <w:jc w:val="both"/>
        <w:divId w:val="61112839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Delinquency rates are calculated </w:t>
      </w:r>
      <w:r>
        <w:rPr>
          <w:rFonts w:eastAsia="Times New Roman"/>
          <w:color w:val="000000"/>
          <w:sz w:val="16"/>
          <w:szCs w:val="16"/>
        </w:rPr>
        <w:t>by dividing delinquency amounts by period-end loans held for investment for each specified loan category.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9FB8367" w14:textId="77777777">
        <w:trPr>
          <w:divId w:val="95175648"/>
          <w:jc w:val="center"/>
        </w:trPr>
        <w:tc>
          <w:tcPr>
            <w:tcW w:w="50" w:type="pct"/>
            <w:vAlign w:val="center"/>
            <w:hideMark/>
          </w:tcPr>
          <w:p w14:paraId="2A4A66B7" w14:textId="77777777" w:rsidR="00000000" w:rsidRDefault="00A173A8">
            <w:pPr>
              <w:ind w:hanging="360"/>
              <w:jc w:val="both"/>
              <w:rPr>
                <w:rFonts w:eastAsia="Times New Roman"/>
              </w:rPr>
            </w:pPr>
          </w:p>
        </w:tc>
        <w:tc>
          <w:tcPr>
            <w:tcW w:w="1606" w:type="pct"/>
            <w:vAlign w:val="center"/>
            <w:hideMark/>
          </w:tcPr>
          <w:p w14:paraId="0353450A" w14:textId="77777777" w:rsidR="00000000" w:rsidRDefault="00A173A8">
            <w:pPr>
              <w:spacing w:after="100"/>
              <w:rPr>
                <w:rFonts w:eastAsia="Times New Roman"/>
                <w:sz w:val="20"/>
                <w:szCs w:val="20"/>
              </w:rPr>
            </w:pPr>
          </w:p>
        </w:tc>
        <w:tc>
          <w:tcPr>
            <w:tcW w:w="5" w:type="pct"/>
            <w:vAlign w:val="center"/>
            <w:hideMark/>
          </w:tcPr>
          <w:p w14:paraId="2C8C39D8" w14:textId="77777777" w:rsidR="00000000" w:rsidRDefault="00A173A8">
            <w:pPr>
              <w:spacing w:after="100"/>
              <w:rPr>
                <w:rFonts w:eastAsia="Times New Roman"/>
                <w:sz w:val="20"/>
                <w:szCs w:val="20"/>
              </w:rPr>
            </w:pPr>
          </w:p>
        </w:tc>
        <w:tc>
          <w:tcPr>
            <w:tcW w:w="50" w:type="pct"/>
            <w:vAlign w:val="center"/>
            <w:hideMark/>
          </w:tcPr>
          <w:p w14:paraId="1A93E991" w14:textId="77777777" w:rsidR="00000000" w:rsidRDefault="00A173A8">
            <w:pPr>
              <w:spacing w:after="100"/>
              <w:rPr>
                <w:rFonts w:eastAsia="Times New Roman"/>
                <w:sz w:val="20"/>
                <w:szCs w:val="20"/>
              </w:rPr>
            </w:pPr>
          </w:p>
        </w:tc>
        <w:tc>
          <w:tcPr>
            <w:tcW w:w="1614" w:type="pct"/>
            <w:vAlign w:val="center"/>
            <w:hideMark/>
          </w:tcPr>
          <w:p w14:paraId="37741ED7" w14:textId="77777777" w:rsidR="00000000" w:rsidRDefault="00A173A8">
            <w:pPr>
              <w:spacing w:after="100"/>
              <w:rPr>
                <w:rFonts w:eastAsia="Times New Roman"/>
                <w:sz w:val="20"/>
                <w:szCs w:val="20"/>
              </w:rPr>
            </w:pPr>
          </w:p>
        </w:tc>
        <w:tc>
          <w:tcPr>
            <w:tcW w:w="5" w:type="pct"/>
            <w:vAlign w:val="center"/>
            <w:hideMark/>
          </w:tcPr>
          <w:p w14:paraId="7CCFFCA9" w14:textId="77777777" w:rsidR="00000000" w:rsidRDefault="00A173A8">
            <w:pPr>
              <w:spacing w:after="100"/>
              <w:rPr>
                <w:rFonts w:eastAsia="Times New Roman"/>
                <w:sz w:val="20"/>
                <w:szCs w:val="20"/>
              </w:rPr>
            </w:pPr>
          </w:p>
        </w:tc>
        <w:tc>
          <w:tcPr>
            <w:tcW w:w="50" w:type="pct"/>
            <w:vAlign w:val="center"/>
            <w:hideMark/>
          </w:tcPr>
          <w:p w14:paraId="521CE870" w14:textId="77777777" w:rsidR="00000000" w:rsidRDefault="00A173A8">
            <w:pPr>
              <w:spacing w:after="100"/>
              <w:rPr>
                <w:rFonts w:eastAsia="Times New Roman"/>
                <w:sz w:val="20"/>
                <w:szCs w:val="20"/>
              </w:rPr>
            </w:pPr>
          </w:p>
        </w:tc>
        <w:tc>
          <w:tcPr>
            <w:tcW w:w="1614" w:type="pct"/>
            <w:vAlign w:val="center"/>
            <w:hideMark/>
          </w:tcPr>
          <w:p w14:paraId="3A0DF312" w14:textId="77777777" w:rsidR="00000000" w:rsidRDefault="00A173A8">
            <w:pPr>
              <w:spacing w:after="100"/>
              <w:rPr>
                <w:rFonts w:eastAsia="Times New Roman"/>
                <w:sz w:val="20"/>
                <w:szCs w:val="20"/>
              </w:rPr>
            </w:pPr>
          </w:p>
        </w:tc>
        <w:tc>
          <w:tcPr>
            <w:tcW w:w="5" w:type="pct"/>
            <w:vAlign w:val="center"/>
            <w:hideMark/>
          </w:tcPr>
          <w:p w14:paraId="4432BFF9" w14:textId="77777777" w:rsidR="00000000" w:rsidRDefault="00A173A8">
            <w:pPr>
              <w:spacing w:after="100"/>
              <w:rPr>
                <w:rFonts w:eastAsia="Times New Roman"/>
                <w:sz w:val="20"/>
                <w:szCs w:val="20"/>
              </w:rPr>
            </w:pPr>
          </w:p>
        </w:tc>
      </w:tr>
      <w:tr w:rsidR="00000000" w14:paraId="4F0CFFFA" w14:textId="77777777">
        <w:trPr>
          <w:divId w:val="95175648"/>
          <w:trHeight w:val="300"/>
          <w:jc w:val="center"/>
        </w:trPr>
        <w:tc>
          <w:tcPr>
            <w:tcW w:w="0" w:type="auto"/>
            <w:gridSpan w:val="9"/>
            <w:tcMar>
              <w:top w:w="0" w:type="dxa"/>
              <w:left w:w="20" w:type="dxa"/>
              <w:bottom w:w="0" w:type="dxa"/>
              <w:right w:w="20" w:type="dxa"/>
            </w:tcMar>
            <w:vAlign w:val="center"/>
            <w:hideMark/>
          </w:tcPr>
          <w:p w14:paraId="70ECFF59" w14:textId="77777777" w:rsidR="00000000" w:rsidRDefault="00A173A8">
            <w:pPr>
              <w:spacing w:after="100"/>
              <w:rPr>
                <w:rFonts w:eastAsia="Times New Roman"/>
                <w:sz w:val="20"/>
                <w:szCs w:val="20"/>
              </w:rPr>
            </w:pPr>
          </w:p>
        </w:tc>
      </w:tr>
      <w:tr w:rsidR="00000000" w14:paraId="6D46D07B" w14:textId="77777777">
        <w:trPr>
          <w:divId w:val="95175648"/>
          <w:jc w:val="center"/>
        </w:trPr>
        <w:tc>
          <w:tcPr>
            <w:tcW w:w="0" w:type="auto"/>
            <w:gridSpan w:val="3"/>
            <w:tcMar>
              <w:top w:w="0" w:type="dxa"/>
              <w:left w:w="20" w:type="dxa"/>
              <w:bottom w:w="0" w:type="dxa"/>
              <w:right w:w="20" w:type="dxa"/>
            </w:tcMar>
            <w:vAlign w:val="center"/>
            <w:hideMark/>
          </w:tcPr>
          <w:p w14:paraId="40C50365"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12010E8" w14:textId="77777777" w:rsidR="00000000" w:rsidRDefault="00A173A8">
            <w:pPr>
              <w:spacing w:after="100"/>
              <w:jc w:val="center"/>
              <w:rPr>
                <w:rFonts w:eastAsia="Times New Roman"/>
              </w:rPr>
            </w:pPr>
            <w:r>
              <w:rPr>
                <w:rFonts w:eastAsia="Times New Roman"/>
                <w:color w:val="000000"/>
                <w:sz w:val="16"/>
                <w:szCs w:val="16"/>
              </w:rPr>
              <w:t>40</w:t>
            </w:r>
          </w:p>
        </w:tc>
        <w:tc>
          <w:tcPr>
            <w:tcW w:w="0" w:type="auto"/>
            <w:gridSpan w:val="3"/>
            <w:tcMar>
              <w:top w:w="30" w:type="dxa"/>
              <w:left w:w="20" w:type="dxa"/>
              <w:bottom w:w="30" w:type="dxa"/>
              <w:right w:w="20" w:type="dxa"/>
            </w:tcMar>
            <w:vAlign w:val="bottom"/>
            <w:hideMark/>
          </w:tcPr>
          <w:p w14:paraId="26357E9B"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0B8E629" w14:textId="77777777" w:rsidR="00000000" w:rsidRDefault="00A173A8">
      <w:pPr>
        <w:rPr>
          <w:rFonts w:eastAsia="Times New Roman"/>
        </w:rPr>
      </w:pPr>
      <w:r>
        <w:rPr>
          <w:rFonts w:eastAsia="Times New Roman"/>
        </w:rPr>
        <w:pict w14:anchorId="60AF3858">
          <v:rect id="_x0000_i1065" style="width:0;height:1.5pt" o:hralign="center" o:hrstd="t" o:hr="t" fillcolor="#a0a0a0" stroked="f"/>
        </w:pict>
      </w:r>
    </w:p>
    <w:p w14:paraId="606286E3" w14:textId="77777777" w:rsidR="00000000" w:rsidRDefault="00A173A8">
      <w:pPr>
        <w:ind w:hanging="360"/>
        <w:jc w:val="both"/>
        <w:divId w:val="1834569694"/>
        <w:rPr>
          <w:rFonts w:eastAsia="Times New Roman"/>
        </w:rPr>
      </w:pPr>
      <w:hyperlink w:anchor="i7ffd5d61af6f4722b1b1b07530d51c06_13" w:history="1">
        <w:r>
          <w:rPr>
            <w:rStyle w:val="a3"/>
            <w:rFonts w:eastAsia="Times New Roman"/>
            <w:sz w:val="16"/>
            <w:szCs w:val="16"/>
          </w:rPr>
          <w:t>Table of Contents</w:t>
        </w:r>
      </w:hyperlink>
    </w:p>
    <w:p w14:paraId="3EDDA40E" w14:textId="77777777" w:rsidR="00000000" w:rsidRDefault="00A173A8">
      <w:pPr>
        <w:jc w:val="both"/>
        <w:divId w:val="1831173273"/>
        <w:rPr>
          <w:rFonts w:eastAsia="Times New Roman"/>
        </w:rPr>
      </w:pPr>
      <w:r>
        <w:rPr>
          <w:rFonts w:eastAsia="Times New Roman"/>
          <w:color w:val="000000"/>
          <w:sz w:val="20"/>
          <w:szCs w:val="20"/>
        </w:rPr>
        <w:t>Table 23 presents our 30+ day delinquent loans, by aging and geography, as of June 30, 2022 and December 31, 2021.</w:t>
      </w:r>
    </w:p>
    <w:p w14:paraId="57EB9503" w14:textId="77777777" w:rsidR="00000000" w:rsidRDefault="00A173A8">
      <w:pPr>
        <w:divId w:val="547382103"/>
        <w:rPr>
          <w:rFonts w:eastAsia="Times New Roman"/>
        </w:rPr>
      </w:pPr>
      <w:r>
        <w:rPr>
          <w:rFonts w:eastAsia="Times New Roman"/>
          <w:b/>
          <w:bCs/>
          <w:color w:val="000000"/>
          <w:sz w:val="18"/>
          <w:szCs w:val="18"/>
        </w:rPr>
        <w:t xml:space="preserve">Table 23: </w:t>
      </w:r>
      <w:r>
        <w:rPr>
          <w:rFonts w:eastAsia="Times New Roman"/>
          <w:b/>
          <w:bCs/>
          <w:color w:val="000000"/>
          <w:sz w:val="20"/>
          <w:szCs w:val="20"/>
        </w:rPr>
        <w:t>Aging and Geograph</w:t>
      </w:r>
      <w:r>
        <w:rPr>
          <w:rFonts w:eastAsia="Times New Roman"/>
          <w:b/>
          <w:bCs/>
          <w:color w:val="000000"/>
          <w:sz w:val="20"/>
          <w:szCs w:val="20"/>
        </w:rPr>
        <w:t xml:space="preserve">y of 30+ Day Delinquent Loans </w:t>
      </w:r>
    </w:p>
    <w:tbl>
      <w:tblPr>
        <w:tblW w:w="5000" w:type="pct"/>
        <w:tblCellMar>
          <w:top w:w="15" w:type="dxa"/>
          <w:left w:w="15" w:type="dxa"/>
          <w:bottom w:w="15" w:type="dxa"/>
          <w:right w:w="15" w:type="dxa"/>
        </w:tblCellMar>
        <w:tblLook w:val="04A0" w:firstRow="1" w:lastRow="0" w:firstColumn="1" w:lastColumn="0" w:noHBand="0" w:noVBand="1"/>
      </w:tblPr>
      <w:tblGrid>
        <w:gridCol w:w="39"/>
        <w:gridCol w:w="4584"/>
        <w:gridCol w:w="38"/>
        <w:gridCol w:w="36"/>
        <w:gridCol w:w="36"/>
        <w:gridCol w:w="36"/>
        <w:gridCol w:w="121"/>
        <w:gridCol w:w="658"/>
        <w:gridCol w:w="37"/>
        <w:gridCol w:w="36"/>
        <w:gridCol w:w="36"/>
        <w:gridCol w:w="36"/>
        <w:gridCol w:w="60"/>
        <w:gridCol w:w="527"/>
        <w:gridCol w:w="220"/>
        <w:gridCol w:w="36"/>
        <w:gridCol w:w="36"/>
        <w:gridCol w:w="36"/>
        <w:gridCol w:w="121"/>
        <w:gridCol w:w="659"/>
        <w:gridCol w:w="37"/>
        <w:gridCol w:w="36"/>
        <w:gridCol w:w="36"/>
        <w:gridCol w:w="36"/>
        <w:gridCol w:w="61"/>
        <w:gridCol w:w="525"/>
        <w:gridCol w:w="187"/>
      </w:tblGrid>
      <w:tr w:rsidR="00000000" w14:paraId="37398687" w14:textId="77777777">
        <w:trPr>
          <w:divId w:val="2086762838"/>
        </w:trPr>
        <w:tc>
          <w:tcPr>
            <w:tcW w:w="50" w:type="pct"/>
            <w:vAlign w:val="center"/>
            <w:hideMark/>
          </w:tcPr>
          <w:p w14:paraId="03C06B76" w14:textId="77777777" w:rsidR="00000000" w:rsidRDefault="00A173A8">
            <w:pPr>
              <w:rPr>
                <w:rFonts w:eastAsia="Times New Roman"/>
              </w:rPr>
            </w:pPr>
          </w:p>
        </w:tc>
        <w:tc>
          <w:tcPr>
            <w:tcW w:w="2817" w:type="pct"/>
            <w:vAlign w:val="center"/>
            <w:hideMark/>
          </w:tcPr>
          <w:p w14:paraId="07E73967" w14:textId="77777777" w:rsidR="00000000" w:rsidRDefault="00A173A8">
            <w:pPr>
              <w:spacing w:after="100"/>
              <w:rPr>
                <w:rFonts w:eastAsia="Times New Roman"/>
                <w:sz w:val="20"/>
                <w:szCs w:val="20"/>
              </w:rPr>
            </w:pPr>
          </w:p>
        </w:tc>
        <w:tc>
          <w:tcPr>
            <w:tcW w:w="5" w:type="pct"/>
            <w:vAlign w:val="center"/>
            <w:hideMark/>
          </w:tcPr>
          <w:p w14:paraId="4C91EC59" w14:textId="77777777" w:rsidR="00000000" w:rsidRDefault="00A173A8">
            <w:pPr>
              <w:spacing w:after="100"/>
              <w:rPr>
                <w:rFonts w:eastAsia="Times New Roman"/>
                <w:sz w:val="20"/>
                <w:szCs w:val="20"/>
              </w:rPr>
            </w:pPr>
          </w:p>
        </w:tc>
        <w:tc>
          <w:tcPr>
            <w:tcW w:w="5" w:type="pct"/>
            <w:vAlign w:val="center"/>
            <w:hideMark/>
          </w:tcPr>
          <w:p w14:paraId="1524FA8F" w14:textId="77777777" w:rsidR="00000000" w:rsidRDefault="00A173A8">
            <w:pPr>
              <w:spacing w:after="100"/>
              <w:rPr>
                <w:rFonts w:eastAsia="Times New Roman"/>
                <w:sz w:val="20"/>
                <w:szCs w:val="20"/>
              </w:rPr>
            </w:pPr>
          </w:p>
        </w:tc>
        <w:tc>
          <w:tcPr>
            <w:tcW w:w="26" w:type="pct"/>
            <w:vAlign w:val="center"/>
            <w:hideMark/>
          </w:tcPr>
          <w:p w14:paraId="46AD0CD3" w14:textId="77777777" w:rsidR="00000000" w:rsidRDefault="00A173A8">
            <w:pPr>
              <w:spacing w:after="100"/>
              <w:rPr>
                <w:rFonts w:eastAsia="Times New Roman"/>
                <w:sz w:val="20"/>
                <w:szCs w:val="20"/>
              </w:rPr>
            </w:pPr>
          </w:p>
        </w:tc>
        <w:tc>
          <w:tcPr>
            <w:tcW w:w="5" w:type="pct"/>
            <w:vAlign w:val="center"/>
            <w:hideMark/>
          </w:tcPr>
          <w:p w14:paraId="77D1E26D" w14:textId="77777777" w:rsidR="00000000" w:rsidRDefault="00A173A8">
            <w:pPr>
              <w:spacing w:after="100"/>
              <w:rPr>
                <w:rFonts w:eastAsia="Times New Roman"/>
                <w:sz w:val="20"/>
                <w:szCs w:val="20"/>
              </w:rPr>
            </w:pPr>
          </w:p>
        </w:tc>
        <w:tc>
          <w:tcPr>
            <w:tcW w:w="50" w:type="pct"/>
            <w:vAlign w:val="center"/>
            <w:hideMark/>
          </w:tcPr>
          <w:p w14:paraId="49E85F64" w14:textId="77777777" w:rsidR="00000000" w:rsidRDefault="00A173A8">
            <w:pPr>
              <w:spacing w:after="100"/>
              <w:rPr>
                <w:rFonts w:eastAsia="Times New Roman"/>
                <w:sz w:val="20"/>
                <w:szCs w:val="20"/>
              </w:rPr>
            </w:pPr>
          </w:p>
        </w:tc>
        <w:tc>
          <w:tcPr>
            <w:tcW w:w="442" w:type="pct"/>
            <w:vAlign w:val="center"/>
            <w:hideMark/>
          </w:tcPr>
          <w:p w14:paraId="72A05977" w14:textId="77777777" w:rsidR="00000000" w:rsidRDefault="00A173A8">
            <w:pPr>
              <w:spacing w:after="100"/>
              <w:rPr>
                <w:rFonts w:eastAsia="Times New Roman"/>
                <w:sz w:val="20"/>
                <w:szCs w:val="20"/>
              </w:rPr>
            </w:pPr>
          </w:p>
        </w:tc>
        <w:tc>
          <w:tcPr>
            <w:tcW w:w="5" w:type="pct"/>
            <w:vAlign w:val="center"/>
            <w:hideMark/>
          </w:tcPr>
          <w:p w14:paraId="0C9517C7" w14:textId="77777777" w:rsidR="00000000" w:rsidRDefault="00A173A8">
            <w:pPr>
              <w:spacing w:after="100"/>
              <w:rPr>
                <w:rFonts w:eastAsia="Times New Roman"/>
                <w:sz w:val="20"/>
                <w:szCs w:val="20"/>
              </w:rPr>
            </w:pPr>
          </w:p>
        </w:tc>
        <w:tc>
          <w:tcPr>
            <w:tcW w:w="5" w:type="pct"/>
            <w:vAlign w:val="center"/>
            <w:hideMark/>
          </w:tcPr>
          <w:p w14:paraId="4EBDF659" w14:textId="77777777" w:rsidR="00000000" w:rsidRDefault="00A173A8">
            <w:pPr>
              <w:spacing w:after="100"/>
              <w:rPr>
                <w:rFonts w:eastAsia="Times New Roman"/>
                <w:sz w:val="20"/>
                <w:szCs w:val="20"/>
              </w:rPr>
            </w:pPr>
          </w:p>
        </w:tc>
        <w:tc>
          <w:tcPr>
            <w:tcW w:w="26" w:type="pct"/>
            <w:vAlign w:val="center"/>
            <w:hideMark/>
          </w:tcPr>
          <w:p w14:paraId="68A091FE" w14:textId="77777777" w:rsidR="00000000" w:rsidRDefault="00A173A8">
            <w:pPr>
              <w:spacing w:after="100"/>
              <w:rPr>
                <w:rFonts w:eastAsia="Times New Roman"/>
                <w:sz w:val="20"/>
                <w:szCs w:val="20"/>
              </w:rPr>
            </w:pPr>
          </w:p>
        </w:tc>
        <w:tc>
          <w:tcPr>
            <w:tcW w:w="5" w:type="pct"/>
            <w:vAlign w:val="center"/>
            <w:hideMark/>
          </w:tcPr>
          <w:p w14:paraId="730D990F" w14:textId="77777777" w:rsidR="00000000" w:rsidRDefault="00A173A8">
            <w:pPr>
              <w:spacing w:after="100"/>
              <w:rPr>
                <w:rFonts w:eastAsia="Times New Roman"/>
                <w:sz w:val="20"/>
                <w:szCs w:val="20"/>
              </w:rPr>
            </w:pPr>
          </w:p>
        </w:tc>
        <w:tc>
          <w:tcPr>
            <w:tcW w:w="50" w:type="pct"/>
            <w:vAlign w:val="center"/>
            <w:hideMark/>
          </w:tcPr>
          <w:p w14:paraId="6BB5C1D8" w14:textId="77777777" w:rsidR="00000000" w:rsidRDefault="00A173A8">
            <w:pPr>
              <w:spacing w:after="100"/>
              <w:rPr>
                <w:rFonts w:eastAsia="Times New Roman"/>
                <w:sz w:val="20"/>
                <w:szCs w:val="20"/>
              </w:rPr>
            </w:pPr>
          </w:p>
        </w:tc>
        <w:tc>
          <w:tcPr>
            <w:tcW w:w="442" w:type="pct"/>
            <w:vAlign w:val="center"/>
            <w:hideMark/>
          </w:tcPr>
          <w:p w14:paraId="36DA5CCD" w14:textId="77777777" w:rsidR="00000000" w:rsidRDefault="00A173A8">
            <w:pPr>
              <w:spacing w:after="100"/>
              <w:rPr>
                <w:rFonts w:eastAsia="Times New Roman"/>
                <w:sz w:val="20"/>
                <w:szCs w:val="20"/>
              </w:rPr>
            </w:pPr>
          </w:p>
        </w:tc>
        <w:tc>
          <w:tcPr>
            <w:tcW w:w="5" w:type="pct"/>
            <w:vAlign w:val="center"/>
            <w:hideMark/>
          </w:tcPr>
          <w:p w14:paraId="7226FC83" w14:textId="77777777" w:rsidR="00000000" w:rsidRDefault="00A173A8">
            <w:pPr>
              <w:spacing w:after="100"/>
              <w:rPr>
                <w:rFonts w:eastAsia="Times New Roman"/>
                <w:sz w:val="20"/>
                <w:szCs w:val="20"/>
              </w:rPr>
            </w:pPr>
          </w:p>
        </w:tc>
        <w:tc>
          <w:tcPr>
            <w:tcW w:w="5" w:type="pct"/>
            <w:vAlign w:val="center"/>
            <w:hideMark/>
          </w:tcPr>
          <w:p w14:paraId="5CB217D6" w14:textId="77777777" w:rsidR="00000000" w:rsidRDefault="00A173A8">
            <w:pPr>
              <w:spacing w:after="100"/>
              <w:rPr>
                <w:rFonts w:eastAsia="Times New Roman"/>
                <w:sz w:val="20"/>
                <w:szCs w:val="20"/>
              </w:rPr>
            </w:pPr>
          </w:p>
        </w:tc>
        <w:tc>
          <w:tcPr>
            <w:tcW w:w="26" w:type="pct"/>
            <w:vAlign w:val="center"/>
            <w:hideMark/>
          </w:tcPr>
          <w:p w14:paraId="37495C76" w14:textId="77777777" w:rsidR="00000000" w:rsidRDefault="00A173A8">
            <w:pPr>
              <w:spacing w:after="100"/>
              <w:rPr>
                <w:rFonts w:eastAsia="Times New Roman"/>
                <w:sz w:val="20"/>
                <w:szCs w:val="20"/>
              </w:rPr>
            </w:pPr>
          </w:p>
        </w:tc>
        <w:tc>
          <w:tcPr>
            <w:tcW w:w="5" w:type="pct"/>
            <w:vAlign w:val="center"/>
            <w:hideMark/>
          </w:tcPr>
          <w:p w14:paraId="146CEE0A" w14:textId="77777777" w:rsidR="00000000" w:rsidRDefault="00A173A8">
            <w:pPr>
              <w:spacing w:after="100"/>
              <w:rPr>
                <w:rFonts w:eastAsia="Times New Roman"/>
                <w:sz w:val="20"/>
                <w:szCs w:val="20"/>
              </w:rPr>
            </w:pPr>
          </w:p>
        </w:tc>
        <w:tc>
          <w:tcPr>
            <w:tcW w:w="50" w:type="pct"/>
            <w:vAlign w:val="center"/>
            <w:hideMark/>
          </w:tcPr>
          <w:p w14:paraId="31F4C0F0" w14:textId="77777777" w:rsidR="00000000" w:rsidRDefault="00A173A8">
            <w:pPr>
              <w:spacing w:after="100"/>
              <w:rPr>
                <w:rFonts w:eastAsia="Times New Roman"/>
                <w:sz w:val="20"/>
                <w:szCs w:val="20"/>
              </w:rPr>
            </w:pPr>
          </w:p>
        </w:tc>
        <w:tc>
          <w:tcPr>
            <w:tcW w:w="442" w:type="pct"/>
            <w:vAlign w:val="center"/>
            <w:hideMark/>
          </w:tcPr>
          <w:p w14:paraId="159A7FB9" w14:textId="77777777" w:rsidR="00000000" w:rsidRDefault="00A173A8">
            <w:pPr>
              <w:spacing w:after="100"/>
              <w:rPr>
                <w:rFonts w:eastAsia="Times New Roman"/>
                <w:sz w:val="20"/>
                <w:szCs w:val="20"/>
              </w:rPr>
            </w:pPr>
          </w:p>
        </w:tc>
        <w:tc>
          <w:tcPr>
            <w:tcW w:w="5" w:type="pct"/>
            <w:vAlign w:val="center"/>
            <w:hideMark/>
          </w:tcPr>
          <w:p w14:paraId="63228916" w14:textId="77777777" w:rsidR="00000000" w:rsidRDefault="00A173A8">
            <w:pPr>
              <w:spacing w:after="100"/>
              <w:rPr>
                <w:rFonts w:eastAsia="Times New Roman"/>
                <w:sz w:val="20"/>
                <w:szCs w:val="20"/>
              </w:rPr>
            </w:pPr>
          </w:p>
        </w:tc>
        <w:tc>
          <w:tcPr>
            <w:tcW w:w="5" w:type="pct"/>
            <w:vAlign w:val="center"/>
            <w:hideMark/>
          </w:tcPr>
          <w:p w14:paraId="3EF209A1" w14:textId="77777777" w:rsidR="00000000" w:rsidRDefault="00A173A8">
            <w:pPr>
              <w:spacing w:after="100"/>
              <w:rPr>
                <w:rFonts w:eastAsia="Times New Roman"/>
                <w:sz w:val="20"/>
                <w:szCs w:val="20"/>
              </w:rPr>
            </w:pPr>
          </w:p>
        </w:tc>
        <w:tc>
          <w:tcPr>
            <w:tcW w:w="26" w:type="pct"/>
            <w:vAlign w:val="center"/>
            <w:hideMark/>
          </w:tcPr>
          <w:p w14:paraId="666829E5" w14:textId="77777777" w:rsidR="00000000" w:rsidRDefault="00A173A8">
            <w:pPr>
              <w:spacing w:after="100"/>
              <w:rPr>
                <w:rFonts w:eastAsia="Times New Roman"/>
                <w:sz w:val="20"/>
                <w:szCs w:val="20"/>
              </w:rPr>
            </w:pPr>
          </w:p>
        </w:tc>
        <w:tc>
          <w:tcPr>
            <w:tcW w:w="5" w:type="pct"/>
            <w:vAlign w:val="center"/>
            <w:hideMark/>
          </w:tcPr>
          <w:p w14:paraId="451C302D" w14:textId="77777777" w:rsidR="00000000" w:rsidRDefault="00A173A8">
            <w:pPr>
              <w:spacing w:after="100"/>
              <w:rPr>
                <w:rFonts w:eastAsia="Times New Roman"/>
                <w:sz w:val="20"/>
                <w:szCs w:val="20"/>
              </w:rPr>
            </w:pPr>
          </w:p>
        </w:tc>
        <w:tc>
          <w:tcPr>
            <w:tcW w:w="50" w:type="pct"/>
            <w:vAlign w:val="center"/>
            <w:hideMark/>
          </w:tcPr>
          <w:p w14:paraId="6570FD18" w14:textId="77777777" w:rsidR="00000000" w:rsidRDefault="00A173A8">
            <w:pPr>
              <w:spacing w:after="100"/>
              <w:rPr>
                <w:rFonts w:eastAsia="Times New Roman"/>
                <w:sz w:val="20"/>
                <w:szCs w:val="20"/>
              </w:rPr>
            </w:pPr>
          </w:p>
        </w:tc>
        <w:tc>
          <w:tcPr>
            <w:tcW w:w="435" w:type="pct"/>
            <w:vAlign w:val="center"/>
            <w:hideMark/>
          </w:tcPr>
          <w:p w14:paraId="3AAA7E40" w14:textId="77777777" w:rsidR="00000000" w:rsidRDefault="00A173A8">
            <w:pPr>
              <w:spacing w:after="100"/>
              <w:rPr>
                <w:rFonts w:eastAsia="Times New Roman"/>
                <w:sz w:val="20"/>
                <w:szCs w:val="20"/>
              </w:rPr>
            </w:pPr>
          </w:p>
        </w:tc>
        <w:tc>
          <w:tcPr>
            <w:tcW w:w="5" w:type="pct"/>
            <w:vAlign w:val="center"/>
            <w:hideMark/>
          </w:tcPr>
          <w:p w14:paraId="39BA32BE" w14:textId="77777777" w:rsidR="00000000" w:rsidRDefault="00A173A8">
            <w:pPr>
              <w:spacing w:after="100"/>
              <w:rPr>
                <w:rFonts w:eastAsia="Times New Roman"/>
                <w:sz w:val="20"/>
                <w:szCs w:val="20"/>
              </w:rPr>
            </w:pPr>
          </w:p>
        </w:tc>
      </w:tr>
      <w:tr w:rsidR="00000000" w14:paraId="46299DD4" w14:textId="77777777">
        <w:trPr>
          <w:divId w:val="2086762838"/>
        </w:trPr>
        <w:tc>
          <w:tcPr>
            <w:tcW w:w="0" w:type="auto"/>
            <w:gridSpan w:val="3"/>
            <w:tcMar>
              <w:top w:w="30" w:type="dxa"/>
              <w:left w:w="20" w:type="dxa"/>
              <w:bottom w:w="30" w:type="dxa"/>
              <w:right w:w="20" w:type="dxa"/>
            </w:tcMar>
            <w:vAlign w:val="bottom"/>
            <w:hideMark/>
          </w:tcPr>
          <w:p w14:paraId="34EACB46" w14:textId="77777777" w:rsidR="00000000" w:rsidRDefault="00A173A8">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E851B4A"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4374BE13"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70ACB0B9"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2C049089"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50421CF0" w14:textId="77777777">
        <w:trPr>
          <w:divId w:val="2086762838"/>
        </w:trPr>
        <w:tc>
          <w:tcPr>
            <w:tcW w:w="0" w:type="auto"/>
            <w:gridSpan w:val="3"/>
            <w:tcMar>
              <w:top w:w="30" w:type="dxa"/>
              <w:left w:w="20" w:type="dxa"/>
              <w:bottom w:w="30" w:type="dxa"/>
              <w:right w:w="20" w:type="dxa"/>
            </w:tcMar>
            <w:vAlign w:val="bottom"/>
            <w:hideMark/>
          </w:tcPr>
          <w:p w14:paraId="4598A17C"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0B77F93A"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4A0DE1F"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7A75F9A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1AF6F321"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0ED9F7D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5B064F3E"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1C1AF0B1"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509070BF"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14:paraId="68733CC4" w14:textId="77777777">
        <w:trPr>
          <w:divId w:val="208676283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35CFCF4" w14:textId="77777777" w:rsidR="00000000" w:rsidRDefault="00A173A8">
            <w:pPr>
              <w:spacing w:after="100"/>
              <w:rPr>
                <w:rFonts w:eastAsia="Times New Roman"/>
              </w:rPr>
            </w:pPr>
            <w:r>
              <w:rPr>
                <w:rFonts w:eastAsia="Times New Roman"/>
                <w:b/>
                <w:bCs/>
                <w:color w:val="000000"/>
                <w:sz w:val="20"/>
                <w:szCs w:val="20"/>
              </w:rPr>
              <w:t>Delinquency status:</w:t>
            </w:r>
          </w:p>
        </w:tc>
        <w:tc>
          <w:tcPr>
            <w:tcW w:w="0" w:type="auto"/>
            <w:gridSpan w:val="3"/>
            <w:shd w:val="clear" w:color="auto" w:fill="CCEEFF"/>
            <w:tcMar>
              <w:top w:w="0" w:type="dxa"/>
              <w:left w:w="20" w:type="dxa"/>
              <w:bottom w:w="0" w:type="dxa"/>
              <w:right w:w="20" w:type="dxa"/>
            </w:tcMar>
            <w:vAlign w:val="center"/>
            <w:hideMark/>
          </w:tcPr>
          <w:p w14:paraId="7160E757"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97F87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24548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CBDB0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9F159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0BADC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166B0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15E807" w14:textId="77777777" w:rsidR="00000000" w:rsidRDefault="00A173A8">
            <w:pPr>
              <w:spacing w:after="100"/>
              <w:rPr>
                <w:rFonts w:eastAsia="Times New Roman"/>
                <w:sz w:val="20"/>
                <w:szCs w:val="20"/>
              </w:rPr>
            </w:pPr>
          </w:p>
        </w:tc>
      </w:tr>
      <w:tr w:rsidR="00000000" w14:paraId="66FAFBE3" w14:textId="77777777">
        <w:trPr>
          <w:divId w:val="2086762838"/>
        </w:trPr>
        <w:tc>
          <w:tcPr>
            <w:tcW w:w="0" w:type="auto"/>
            <w:gridSpan w:val="3"/>
            <w:shd w:val="clear" w:color="auto" w:fill="FFFFFF"/>
            <w:tcMar>
              <w:top w:w="30" w:type="dxa"/>
              <w:left w:w="245" w:type="dxa"/>
              <w:bottom w:w="30" w:type="dxa"/>
              <w:right w:w="20" w:type="dxa"/>
            </w:tcMar>
            <w:vAlign w:val="center"/>
            <w:hideMark/>
          </w:tcPr>
          <w:p w14:paraId="27EF1E72" w14:textId="77777777" w:rsidR="00000000" w:rsidRDefault="00A173A8">
            <w:pPr>
              <w:spacing w:after="100"/>
              <w:rPr>
                <w:rFonts w:eastAsia="Times New Roman"/>
              </w:rPr>
            </w:pPr>
            <w:r>
              <w:rPr>
                <w:rFonts w:eastAsia="Times New Roman"/>
                <w:color w:val="000000"/>
                <w:sz w:val="20"/>
                <w:szCs w:val="20"/>
              </w:rPr>
              <w:t xml:space="preserve">30 – </w:t>
            </w:r>
            <w:r>
              <w:rPr>
                <w:rFonts w:eastAsia="Times New Roman"/>
                <w:color w:val="000000"/>
                <w:sz w:val="20"/>
                <w:szCs w:val="20"/>
              </w:rPr>
              <w:t>59 days</w:t>
            </w:r>
          </w:p>
        </w:tc>
        <w:tc>
          <w:tcPr>
            <w:tcW w:w="0" w:type="auto"/>
            <w:gridSpan w:val="3"/>
            <w:shd w:val="clear" w:color="auto" w:fill="FFFFFF"/>
            <w:tcMar>
              <w:top w:w="0" w:type="dxa"/>
              <w:left w:w="20" w:type="dxa"/>
              <w:bottom w:w="0" w:type="dxa"/>
              <w:right w:w="20" w:type="dxa"/>
            </w:tcMar>
            <w:vAlign w:val="center"/>
            <w:hideMark/>
          </w:tcPr>
          <w:p w14:paraId="1B6FBCD4"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8ABDA72"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63E8218D" w14:textId="77777777" w:rsidR="00000000" w:rsidRDefault="00A173A8">
            <w:pPr>
              <w:spacing w:after="100"/>
              <w:jc w:val="right"/>
              <w:rPr>
                <w:rFonts w:eastAsia="Times New Roman"/>
              </w:rPr>
            </w:pPr>
            <w:r>
              <w:rPr>
                <w:rFonts w:eastAsia="Times New Roman"/>
                <w:b/>
                <w:bCs/>
                <w:color w:val="000000"/>
                <w:sz w:val="20"/>
                <w:szCs w:val="20"/>
              </w:rPr>
              <w:t>3,991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B5C0BC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C4D7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74EAAF" w14:textId="77777777" w:rsidR="00000000" w:rsidRDefault="00A173A8">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15BF93E"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07585CF"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079B1837"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63FCAA6E" w14:textId="77777777" w:rsidR="00000000" w:rsidRDefault="00A173A8">
            <w:pPr>
              <w:spacing w:after="100"/>
              <w:jc w:val="right"/>
              <w:rPr>
                <w:rFonts w:eastAsia="Times New Roman"/>
              </w:rPr>
            </w:pPr>
            <w:r>
              <w:rPr>
                <w:rFonts w:eastAsia="Times New Roman"/>
                <w:color w:val="000000"/>
                <w:sz w:val="20"/>
                <w:szCs w:val="20"/>
              </w:rPr>
              <w:t>3,501 </w:t>
            </w:r>
          </w:p>
        </w:tc>
        <w:tc>
          <w:tcPr>
            <w:tcW w:w="0" w:type="auto"/>
            <w:shd w:val="clear" w:color="auto" w:fill="FFFFFF"/>
            <w:tcMar>
              <w:top w:w="30" w:type="dxa"/>
              <w:left w:w="0" w:type="dxa"/>
              <w:bottom w:w="30" w:type="dxa"/>
              <w:right w:w="20" w:type="dxa"/>
            </w:tcMar>
            <w:vAlign w:val="center"/>
            <w:hideMark/>
          </w:tcPr>
          <w:p w14:paraId="6F231D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2F5B5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CF05AD" w14:textId="77777777" w:rsidR="00000000" w:rsidRDefault="00A173A8">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center"/>
            <w:hideMark/>
          </w:tcPr>
          <w:p w14:paraId="211969C2" w14:textId="77777777" w:rsidR="00000000" w:rsidRDefault="00A173A8">
            <w:pPr>
              <w:spacing w:after="100"/>
              <w:jc w:val="right"/>
              <w:rPr>
                <w:rFonts w:eastAsia="Times New Roman"/>
              </w:rPr>
            </w:pPr>
            <w:r>
              <w:rPr>
                <w:rFonts w:eastAsia="Times New Roman"/>
                <w:color w:val="000000"/>
                <w:sz w:val="20"/>
                <w:szCs w:val="20"/>
              </w:rPr>
              <w:t>%</w:t>
            </w:r>
          </w:p>
        </w:tc>
      </w:tr>
      <w:tr w:rsidR="00000000" w14:paraId="7AE817CB" w14:textId="77777777">
        <w:trPr>
          <w:divId w:val="2086762838"/>
        </w:trPr>
        <w:tc>
          <w:tcPr>
            <w:tcW w:w="0" w:type="auto"/>
            <w:gridSpan w:val="3"/>
            <w:shd w:val="clear" w:color="auto" w:fill="CCEEFF"/>
            <w:tcMar>
              <w:top w:w="30" w:type="dxa"/>
              <w:left w:w="245" w:type="dxa"/>
              <w:bottom w:w="30" w:type="dxa"/>
              <w:right w:w="20" w:type="dxa"/>
            </w:tcMar>
            <w:vAlign w:val="center"/>
            <w:hideMark/>
          </w:tcPr>
          <w:p w14:paraId="459E1296" w14:textId="77777777" w:rsidR="00000000" w:rsidRDefault="00A173A8">
            <w:pPr>
              <w:spacing w:after="100"/>
              <w:rPr>
                <w:rFonts w:eastAsia="Times New Roman"/>
              </w:rPr>
            </w:pPr>
            <w:r>
              <w:rPr>
                <w:rFonts w:eastAsia="Times New Roman"/>
                <w:color w:val="000000"/>
                <w:sz w:val="20"/>
                <w:szCs w:val="20"/>
              </w:rPr>
              <w:t>60 – 89 days</w:t>
            </w:r>
          </w:p>
        </w:tc>
        <w:tc>
          <w:tcPr>
            <w:tcW w:w="0" w:type="auto"/>
            <w:gridSpan w:val="3"/>
            <w:shd w:val="clear" w:color="auto" w:fill="CCEEFF"/>
            <w:tcMar>
              <w:top w:w="0" w:type="dxa"/>
              <w:left w:w="20" w:type="dxa"/>
              <w:bottom w:w="0" w:type="dxa"/>
              <w:right w:w="20" w:type="dxa"/>
            </w:tcMar>
            <w:vAlign w:val="center"/>
            <w:hideMark/>
          </w:tcPr>
          <w:p w14:paraId="5C3BE1D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0544E7A" w14:textId="77777777" w:rsidR="00000000" w:rsidRDefault="00A173A8">
            <w:pPr>
              <w:spacing w:after="100"/>
              <w:jc w:val="right"/>
              <w:rPr>
                <w:rFonts w:eastAsia="Times New Roman"/>
              </w:rPr>
            </w:pPr>
            <w:r>
              <w:rPr>
                <w:rFonts w:eastAsia="Times New Roman"/>
                <w:b/>
                <w:bCs/>
                <w:color w:val="000000"/>
                <w:sz w:val="20"/>
                <w:szCs w:val="20"/>
              </w:rPr>
              <w:t>1,862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D534F7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1CB4C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509DD3" w14:textId="77777777" w:rsidR="00000000" w:rsidRDefault="00A173A8">
            <w:pPr>
              <w:spacing w:after="100"/>
              <w:jc w:val="right"/>
              <w:rPr>
                <w:rFonts w:eastAsia="Times New Roman"/>
              </w:rPr>
            </w:pPr>
            <w:r>
              <w:rPr>
                <w:rFonts w:eastAsia="Times New Roman"/>
                <w:b/>
                <w:bCs/>
                <w:color w:val="000000"/>
                <w:sz w:val="20"/>
                <w:szCs w:val="20"/>
              </w:rPr>
              <w:t>0.63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7C3657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880D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128BB1" w14:textId="77777777" w:rsidR="00000000" w:rsidRDefault="00A173A8">
            <w:pPr>
              <w:spacing w:after="100"/>
              <w:jc w:val="right"/>
              <w:rPr>
                <w:rFonts w:eastAsia="Times New Roman"/>
              </w:rPr>
            </w:pPr>
            <w:r>
              <w:rPr>
                <w:rFonts w:eastAsia="Times New Roman"/>
                <w:color w:val="000000"/>
                <w:sz w:val="20"/>
                <w:szCs w:val="20"/>
              </w:rPr>
              <w:t>1,656 </w:t>
            </w:r>
          </w:p>
        </w:tc>
        <w:tc>
          <w:tcPr>
            <w:tcW w:w="0" w:type="auto"/>
            <w:shd w:val="clear" w:color="auto" w:fill="CCEEFF"/>
            <w:tcMar>
              <w:top w:w="30" w:type="dxa"/>
              <w:left w:w="0" w:type="dxa"/>
              <w:bottom w:w="30" w:type="dxa"/>
              <w:right w:w="20" w:type="dxa"/>
            </w:tcMar>
            <w:vAlign w:val="center"/>
            <w:hideMark/>
          </w:tcPr>
          <w:p w14:paraId="7B86073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014B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B75F76" w14:textId="77777777" w:rsidR="00000000" w:rsidRDefault="00A173A8">
            <w:pPr>
              <w:spacing w:after="100"/>
              <w:jc w:val="right"/>
              <w:rPr>
                <w:rFonts w:eastAsia="Times New Roman"/>
              </w:rPr>
            </w:pPr>
            <w:r>
              <w:rPr>
                <w:rFonts w:eastAsia="Times New Roman"/>
                <w:color w:val="000000"/>
                <w:sz w:val="20"/>
                <w:szCs w:val="20"/>
              </w:rPr>
              <w:t>0.60 </w:t>
            </w:r>
          </w:p>
        </w:tc>
        <w:tc>
          <w:tcPr>
            <w:tcW w:w="0" w:type="auto"/>
            <w:shd w:val="clear" w:color="auto" w:fill="CCEEFF"/>
            <w:tcMar>
              <w:top w:w="30" w:type="dxa"/>
              <w:left w:w="0" w:type="dxa"/>
              <w:bottom w:w="30" w:type="dxa"/>
              <w:right w:w="20" w:type="dxa"/>
            </w:tcMar>
            <w:vAlign w:val="center"/>
            <w:hideMark/>
          </w:tcPr>
          <w:p w14:paraId="31D60770" w14:textId="77777777" w:rsidR="00000000" w:rsidRDefault="00A173A8">
            <w:pPr>
              <w:spacing w:after="100"/>
              <w:jc w:val="right"/>
              <w:rPr>
                <w:rFonts w:eastAsia="Times New Roman"/>
              </w:rPr>
            </w:pPr>
          </w:p>
        </w:tc>
      </w:tr>
      <w:tr w:rsidR="00000000" w14:paraId="5C36B5AF" w14:textId="77777777">
        <w:trPr>
          <w:divId w:val="2086762838"/>
        </w:trPr>
        <w:tc>
          <w:tcPr>
            <w:tcW w:w="0" w:type="auto"/>
            <w:gridSpan w:val="3"/>
            <w:shd w:val="clear" w:color="auto" w:fill="FFFFFF"/>
            <w:tcMar>
              <w:top w:w="30" w:type="dxa"/>
              <w:left w:w="20" w:type="dxa"/>
              <w:bottom w:w="30" w:type="dxa"/>
              <w:right w:w="20" w:type="dxa"/>
            </w:tcMar>
            <w:vAlign w:val="center"/>
            <w:hideMark/>
          </w:tcPr>
          <w:p w14:paraId="34E5CB38" w14:textId="77777777" w:rsidR="00000000" w:rsidRDefault="00A173A8">
            <w:pPr>
              <w:spacing w:after="100"/>
              <w:divId w:val="934095559"/>
              <w:rPr>
                <w:rFonts w:eastAsia="Times New Roman"/>
              </w:rPr>
            </w:pPr>
            <w:r>
              <w:rPr>
                <w:rFonts w:eastAsia="Times New Roman"/>
                <w:color w:val="000000"/>
                <w:sz w:val="20"/>
                <w:szCs w:val="20"/>
                <w:u w:val="single"/>
              </w:rPr>
              <w:t>&gt;</w:t>
            </w:r>
            <w:r>
              <w:rPr>
                <w:rFonts w:eastAsia="Times New Roman"/>
                <w:color w:val="000000"/>
                <w:sz w:val="20"/>
                <w:szCs w:val="20"/>
              </w:rPr>
              <w:t xml:space="preserve"> 90 days</w:t>
            </w:r>
          </w:p>
        </w:tc>
        <w:tc>
          <w:tcPr>
            <w:tcW w:w="0" w:type="auto"/>
            <w:gridSpan w:val="3"/>
            <w:shd w:val="clear" w:color="auto" w:fill="FFFFFF"/>
            <w:tcMar>
              <w:top w:w="0" w:type="dxa"/>
              <w:left w:w="20" w:type="dxa"/>
              <w:bottom w:w="0" w:type="dxa"/>
              <w:right w:w="20" w:type="dxa"/>
            </w:tcMar>
            <w:vAlign w:val="center"/>
            <w:hideMark/>
          </w:tcPr>
          <w:p w14:paraId="6EB2029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E19BC6F" w14:textId="77777777" w:rsidR="00000000" w:rsidRDefault="00A173A8">
            <w:pPr>
              <w:spacing w:after="100"/>
              <w:jc w:val="right"/>
              <w:rPr>
                <w:rFonts w:eastAsia="Times New Roman"/>
              </w:rPr>
            </w:pPr>
            <w:r>
              <w:rPr>
                <w:rFonts w:eastAsia="Times New Roman"/>
                <w:b/>
                <w:bCs/>
                <w:color w:val="000000"/>
                <w:sz w:val="20"/>
                <w:szCs w:val="20"/>
              </w:rPr>
              <w:t>1,686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C5ED20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AD33D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AB5191" w14:textId="77777777" w:rsidR="00000000" w:rsidRDefault="00A173A8">
            <w:pPr>
              <w:spacing w:after="100"/>
              <w:jc w:val="right"/>
              <w:rPr>
                <w:rFonts w:eastAsia="Times New Roman"/>
              </w:rPr>
            </w:pPr>
            <w:r>
              <w:rPr>
                <w:rFonts w:eastAsia="Times New Roman"/>
                <w:b/>
                <w:bCs/>
                <w:color w:val="000000"/>
                <w:sz w:val="20"/>
                <w:szCs w:val="20"/>
              </w:rPr>
              <w:t>0.57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6650EE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FA7FA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FEFBC3" w14:textId="77777777" w:rsidR="00000000" w:rsidRDefault="00A173A8">
            <w:pPr>
              <w:spacing w:after="100"/>
              <w:jc w:val="right"/>
              <w:rPr>
                <w:rFonts w:eastAsia="Times New Roman"/>
              </w:rPr>
            </w:pPr>
            <w:r>
              <w:rPr>
                <w:rFonts w:eastAsia="Times New Roman"/>
                <w:color w:val="000000"/>
                <w:sz w:val="20"/>
                <w:szCs w:val="20"/>
              </w:rPr>
              <w:t>1,528 </w:t>
            </w:r>
          </w:p>
        </w:tc>
        <w:tc>
          <w:tcPr>
            <w:tcW w:w="0" w:type="auto"/>
            <w:shd w:val="clear" w:color="auto" w:fill="FFFFFF"/>
            <w:tcMar>
              <w:top w:w="30" w:type="dxa"/>
              <w:left w:w="0" w:type="dxa"/>
              <w:bottom w:w="30" w:type="dxa"/>
              <w:right w:w="20" w:type="dxa"/>
            </w:tcMar>
            <w:vAlign w:val="center"/>
            <w:hideMark/>
          </w:tcPr>
          <w:p w14:paraId="2A0D2B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C48C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C21366" w14:textId="77777777" w:rsidR="00000000" w:rsidRDefault="00A173A8">
            <w:pPr>
              <w:spacing w:after="100"/>
              <w:jc w:val="right"/>
              <w:rPr>
                <w:rFonts w:eastAsia="Times New Roman"/>
              </w:rPr>
            </w:pPr>
            <w:r>
              <w:rPr>
                <w:rFonts w:eastAsia="Times New Roman"/>
                <w:color w:val="000000"/>
                <w:sz w:val="20"/>
                <w:szCs w:val="20"/>
              </w:rPr>
              <w:t>0.55 </w:t>
            </w:r>
          </w:p>
        </w:tc>
        <w:tc>
          <w:tcPr>
            <w:tcW w:w="0" w:type="auto"/>
            <w:shd w:val="clear" w:color="auto" w:fill="FFFFFF"/>
            <w:tcMar>
              <w:top w:w="30" w:type="dxa"/>
              <w:left w:w="0" w:type="dxa"/>
              <w:bottom w:w="30" w:type="dxa"/>
              <w:right w:w="20" w:type="dxa"/>
            </w:tcMar>
            <w:vAlign w:val="center"/>
            <w:hideMark/>
          </w:tcPr>
          <w:p w14:paraId="6D6F26F7" w14:textId="77777777" w:rsidR="00000000" w:rsidRDefault="00A173A8">
            <w:pPr>
              <w:spacing w:after="100"/>
              <w:jc w:val="right"/>
              <w:rPr>
                <w:rFonts w:eastAsia="Times New Roman"/>
              </w:rPr>
            </w:pPr>
          </w:p>
        </w:tc>
      </w:tr>
      <w:tr w:rsidR="00000000" w14:paraId="45428858" w14:textId="77777777">
        <w:trPr>
          <w:divId w:val="2086762838"/>
        </w:trPr>
        <w:tc>
          <w:tcPr>
            <w:tcW w:w="0" w:type="auto"/>
            <w:gridSpan w:val="3"/>
            <w:shd w:val="clear" w:color="auto" w:fill="CCEEFF"/>
            <w:tcMar>
              <w:top w:w="30" w:type="dxa"/>
              <w:left w:w="20" w:type="dxa"/>
              <w:bottom w:w="30" w:type="dxa"/>
              <w:right w:w="20" w:type="dxa"/>
            </w:tcMar>
            <w:vAlign w:val="center"/>
            <w:hideMark/>
          </w:tcPr>
          <w:p w14:paraId="39E4E067"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1C81A37D"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469C49C"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8A8521D" w14:textId="77777777" w:rsidR="00000000" w:rsidRDefault="00A173A8">
            <w:pPr>
              <w:spacing w:after="100"/>
              <w:jc w:val="right"/>
              <w:rPr>
                <w:rFonts w:eastAsia="Times New Roman"/>
              </w:rPr>
            </w:pPr>
            <w:r>
              <w:rPr>
                <w:rFonts w:eastAsia="Times New Roman"/>
                <w:b/>
                <w:bCs/>
                <w:color w:val="000000"/>
                <w:sz w:val="20"/>
                <w:szCs w:val="20"/>
              </w:rPr>
              <w:t>7,539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62FA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8442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FCBFF4F" w14:textId="77777777" w:rsidR="00000000" w:rsidRDefault="00A173A8">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0E63CC"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3176ABD"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466C880"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626A94C" w14:textId="77777777" w:rsidR="00000000" w:rsidRDefault="00A173A8">
            <w:pPr>
              <w:spacing w:after="100"/>
              <w:jc w:val="right"/>
              <w:rPr>
                <w:rFonts w:eastAsia="Times New Roman"/>
              </w:rPr>
            </w:pPr>
            <w:r>
              <w:rPr>
                <w:rFonts w:eastAsia="Times New Roman"/>
                <w:color w:val="000000"/>
                <w:sz w:val="20"/>
                <w:szCs w:val="20"/>
              </w:rPr>
              <w:t>6,685 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39977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35A7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462323D" w14:textId="77777777" w:rsidR="00000000" w:rsidRDefault="00A173A8">
            <w:pPr>
              <w:spacing w:after="100"/>
              <w:jc w:val="right"/>
              <w:rPr>
                <w:rFonts w:eastAsia="Times New Roman"/>
              </w:rPr>
            </w:pPr>
            <w:r>
              <w:rPr>
                <w:rFonts w:eastAsia="Times New Roman"/>
                <w:color w:val="000000"/>
                <w:sz w:val="20"/>
                <w:szCs w:val="20"/>
              </w:rPr>
              <w:t>2.41 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2E320A" w14:textId="77777777" w:rsidR="00000000" w:rsidRDefault="00A173A8">
            <w:pPr>
              <w:spacing w:after="100"/>
              <w:jc w:val="right"/>
              <w:rPr>
                <w:rFonts w:eastAsia="Times New Roman"/>
              </w:rPr>
            </w:pPr>
            <w:r>
              <w:rPr>
                <w:rFonts w:eastAsia="Times New Roman"/>
                <w:color w:val="000000"/>
                <w:sz w:val="20"/>
                <w:szCs w:val="20"/>
              </w:rPr>
              <w:t>%</w:t>
            </w:r>
          </w:p>
        </w:tc>
      </w:tr>
      <w:tr w:rsidR="00000000" w14:paraId="58DF15C1" w14:textId="77777777">
        <w:trPr>
          <w:divId w:val="2086762838"/>
        </w:trPr>
        <w:tc>
          <w:tcPr>
            <w:tcW w:w="0" w:type="auto"/>
            <w:gridSpan w:val="3"/>
            <w:shd w:val="clear" w:color="auto" w:fill="FFFFFF"/>
            <w:tcMar>
              <w:top w:w="30" w:type="dxa"/>
              <w:left w:w="20" w:type="dxa"/>
              <w:bottom w:w="30" w:type="dxa"/>
              <w:right w:w="20" w:type="dxa"/>
            </w:tcMar>
            <w:vAlign w:val="center"/>
            <w:hideMark/>
          </w:tcPr>
          <w:p w14:paraId="2475623A" w14:textId="77777777" w:rsidR="00000000" w:rsidRDefault="00A173A8">
            <w:pPr>
              <w:spacing w:after="100"/>
              <w:rPr>
                <w:rFonts w:eastAsia="Times New Roman"/>
              </w:rPr>
            </w:pPr>
            <w:r>
              <w:rPr>
                <w:rFonts w:eastAsia="Times New Roman"/>
                <w:b/>
                <w:bCs/>
                <w:color w:val="000000"/>
                <w:sz w:val="20"/>
                <w:szCs w:val="20"/>
              </w:rPr>
              <w:t>Geographic region:</w:t>
            </w:r>
          </w:p>
        </w:tc>
        <w:tc>
          <w:tcPr>
            <w:tcW w:w="0" w:type="auto"/>
            <w:gridSpan w:val="3"/>
            <w:shd w:val="clear" w:color="auto" w:fill="FFFFFF"/>
            <w:tcMar>
              <w:top w:w="0" w:type="dxa"/>
              <w:left w:w="20" w:type="dxa"/>
              <w:bottom w:w="0" w:type="dxa"/>
              <w:right w:w="20" w:type="dxa"/>
            </w:tcMar>
            <w:vAlign w:val="center"/>
            <w:hideMark/>
          </w:tcPr>
          <w:p w14:paraId="4645FEC5"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4BB22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FE0278"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B184F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45F919"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72355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74E475"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6D2988" w14:textId="77777777" w:rsidR="00000000" w:rsidRDefault="00A173A8">
            <w:pPr>
              <w:spacing w:after="100"/>
              <w:rPr>
                <w:rFonts w:eastAsia="Times New Roman"/>
                <w:sz w:val="20"/>
                <w:szCs w:val="20"/>
              </w:rPr>
            </w:pPr>
          </w:p>
        </w:tc>
      </w:tr>
      <w:tr w:rsidR="00000000" w14:paraId="56557F85" w14:textId="77777777">
        <w:trPr>
          <w:divId w:val="2086762838"/>
        </w:trPr>
        <w:tc>
          <w:tcPr>
            <w:tcW w:w="0" w:type="auto"/>
            <w:gridSpan w:val="3"/>
            <w:shd w:val="clear" w:color="auto" w:fill="CCEEFF"/>
            <w:tcMar>
              <w:top w:w="30" w:type="dxa"/>
              <w:left w:w="245" w:type="dxa"/>
              <w:bottom w:w="30" w:type="dxa"/>
              <w:right w:w="20" w:type="dxa"/>
            </w:tcMar>
            <w:vAlign w:val="center"/>
            <w:hideMark/>
          </w:tcPr>
          <w:p w14:paraId="015274AB" w14:textId="77777777" w:rsidR="00000000" w:rsidRDefault="00A173A8">
            <w:pPr>
              <w:spacing w:after="100"/>
              <w:rPr>
                <w:rFonts w:eastAsia="Times New Roman"/>
              </w:rPr>
            </w:pPr>
            <w:r>
              <w:rPr>
                <w:rFonts w:eastAsia="Times New Roman"/>
                <w:color w:val="000000"/>
                <w:sz w:val="20"/>
                <w:szCs w:val="20"/>
              </w:rPr>
              <w:t>Domestic</w:t>
            </w:r>
          </w:p>
        </w:tc>
        <w:tc>
          <w:tcPr>
            <w:tcW w:w="0" w:type="auto"/>
            <w:gridSpan w:val="3"/>
            <w:shd w:val="clear" w:color="auto" w:fill="CCEEFF"/>
            <w:tcMar>
              <w:top w:w="0" w:type="dxa"/>
              <w:left w:w="20" w:type="dxa"/>
              <w:bottom w:w="0" w:type="dxa"/>
              <w:right w:w="20" w:type="dxa"/>
            </w:tcMar>
            <w:vAlign w:val="center"/>
            <w:hideMark/>
          </w:tcPr>
          <w:p w14:paraId="535278A5"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1DEB3872"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63E13EEF" w14:textId="77777777" w:rsidR="00000000" w:rsidRDefault="00A173A8">
            <w:pPr>
              <w:spacing w:after="100"/>
              <w:jc w:val="right"/>
              <w:rPr>
                <w:rFonts w:eastAsia="Times New Roman"/>
              </w:rPr>
            </w:pPr>
            <w:r>
              <w:rPr>
                <w:rFonts w:eastAsia="Times New Roman"/>
                <w:b/>
                <w:bCs/>
                <w:color w:val="000000"/>
                <w:sz w:val="20"/>
                <w:szCs w:val="20"/>
              </w:rPr>
              <w:t>7,318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33848A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7920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BAA15D" w14:textId="77777777" w:rsidR="00000000" w:rsidRDefault="00A173A8">
            <w:pPr>
              <w:spacing w:after="100"/>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FCD3FCF"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015A591"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697D7C72"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0E1C1A47" w14:textId="77777777" w:rsidR="00000000" w:rsidRDefault="00A173A8">
            <w:pPr>
              <w:spacing w:after="100"/>
              <w:jc w:val="right"/>
              <w:rPr>
                <w:rFonts w:eastAsia="Times New Roman"/>
              </w:rPr>
            </w:pPr>
            <w:r>
              <w:rPr>
                <w:rFonts w:eastAsia="Times New Roman"/>
                <w:color w:val="000000"/>
                <w:sz w:val="20"/>
                <w:szCs w:val="20"/>
              </w:rPr>
              <w:t>6,472 </w:t>
            </w:r>
          </w:p>
        </w:tc>
        <w:tc>
          <w:tcPr>
            <w:tcW w:w="0" w:type="auto"/>
            <w:shd w:val="clear" w:color="auto" w:fill="CCEEFF"/>
            <w:tcMar>
              <w:top w:w="30" w:type="dxa"/>
              <w:left w:w="0" w:type="dxa"/>
              <w:bottom w:w="30" w:type="dxa"/>
              <w:right w:w="20" w:type="dxa"/>
            </w:tcMar>
            <w:vAlign w:val="center"/>
            <w:hideMark/>
          </w:tcPr>
          <w:p w14:paraId="6728C8B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A0EA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009FD0" w14:textId="77777777" w:rsidR="00000000" w:rsidRDefault="00A173A8">
            <w:pPr>
              <w:spacing w:after="100"/>
              <w:jc w:val="right"/>
              <w:rPr>
                <w:rFonts w:eastAsia="Times New Roman"/>
              </w:rPr>
            </w:pPr>
            <w:r>
              <w:rPr>
                <w:rFonts w:eastAsia="Times New Roman"/>
                <w:color w:val="000000"/>
                <w:sz w:val="20"/>
                <w:szCs w:val="20"/>
              </w:rPr>
              <w:t>2.33 </w:t>
            </w:r>
          </w:p>
        </w:tc>
        <w:tc>
          <w:tcPr>
            <w:tcW w:w="0" w:type="auto"/>
            <w:shd w:val="clear" w:color="auto" w:fill="CCEEFF"/>
            <w:tcMar>
              <w:top w:w="30" w:type="dxa"/>
              <w:left w:w="0" w:type="dxa"/>
              <w:bottom w:w="30" w:type="dxa"/>
              <w:right w:w="20" w:type="dxa"/>
            </w:tcMar>
            <w:vAlign w:val="center"/>
            <w:hideMark/>
          </w:tcPr>
          <w:p w14:paraId="3FFFE087" w14:textId="77777777" w:rsidR="00000000" w:rsidRDefault="00A173A8">
            <w:pPr>
              <w:spacing w:after="100"/>
              <w:jc w:val="right"/>
              <w:rPr>
                <w:rFonts w:eastAsia="Times New Roman"/>
              </w:rPr>
            </w:pPr>
            <w:r>
              <w:rPr>
                <w:rFonts w:eastAsia="Times New Roman"/>
                <w:color w:val="000000"/>
                <w:sz w:val="20"/>
                <w:szCs w:val="20"/>
              </w:rPr>
              <w:t>%</w:t>
            </w:r>
          </w:p>
        </w:tc>
      </w:tr>
      <w:tr w:rsidR="00000000" w14:paraId="1B5126D6" w14:textId="77777777">
        <w:trPr>
          <w:divId w:val="2086762838"/>
        </w:trPr>
        <w:tc>
          <w:tcPr>
            <w:tcW w:w="0" w:type="auto"/>
            <w:gridSpan w:val="3"/>
            <w:shd w:val="clear" w:color="auto" w:fill="FFFFFF"/>
            <w:tcMar>
              <w:top w:w="30" w:type="dxa"/>
              <w:left w:w="245" w:type="dxa"/>
              <w:bottom w:w="30" w:type="dxa"/>
              <w:right w:w="20" w:type="dxa"/>
            </w:tcMar>
            <w:vAlign w:val="center"/>
            <w:hideMark/>
          </w:tcPr>
          <w:p w14:paraId="290A0169" w14:textId="77777777" w:rsidR="00000000" w:rsidRDefault="00A173A8">
            <w:pPr>
              <w:spacing w:after="100"/>
              <w:rPr>
                <w:rFonts w:eastAsia="Times New Roman"/>
              </w:rPr>
            </w:pPr>
            <w:r>
              <w:rPr>
                <w:rFonts w:eastAsia="Times New Roman"/>
                <w:color w:val="000000"/>
                <w:sz w:val="20"/>
                <w:szCs w:val="20"/>
              </w:rPr>
              <w:t>International</w:t>
            </w:r>
          </w:p>
        </w:tc>
        <w:tc>
          <w:tcPr>
            <w:tcW w:w="0" w:type="auto"/>
            <w:gridSpan w:val="3"/>
            <w:shd w:val="clear" w:color="auto" w:fill="FFFFFF"/>
            <w:tcMar>
              <w:top w:w="0" w:type="dxa"/>
              <w:left w:w="20" w:type="dxa"/>
              <w:bottom w:w="0" w:type="dxa"/>
              <w:right w:w="20" w:type="dxa"/>
            </w:tcMar>
            <w:vAlign w:val="center"/>
            <w:hideMark/>
          </w:tcPr>
          <w:p w14:paraId="7FE4E8C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BC390D0" w14:textId="77777777" w:rsidR="00000000" w:rsidRDefault="00A173A8">
            <w:pPr>
              <w:spacing w:after="100"/>
              <w:jc w:val="right"/>
              <w:rPr>
                <w:rFonts w:eastAsia="Times New Roman"/>
              </w:rPr>
            </w:pPr>
            <w:r>
              <w:rPr>
                <w:rFonts w:eastAsia="Times New Roman"/>
                <w:b/>
                <w:bCs/>
                <w:color w:val="000000"/>
                <w:sz w:val="20"/>
                <w:szCs w:val="20"/>
              </w:rPr>
              <w:t>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8971FC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9FEB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9C7C07" w14:textId="77777777" w:rsidR="00000000" w:rsidRDefault="00A173A8">
            <w:pPr>
              <w:spacing w:after="100"/>
              <w:jc w:val="right"/>
              <w:rPr>
                <w:rFonts w:eastAsia="Times New Roman"/>
              </w:rPr>
            </w:pPr>
            <w:r>
              <w:rPr>
                <w:rFonts w:eastAsia="Times New Roman"/>
                <w:b/>
                <w:bCs/>
                <w:color w:val="000000"/>
                <w:sz w:val="20"/>
                <w:szCs w:val="20"/>
              </w:rPr>
              <w:t>0.07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A4F0D6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31C9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2C885A" w14:textId="77777777" w:rsidR="00000000" w:rsidRDefault="00A173A8">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center"/>
            <w:hideMark/>
          </w:tcPr>
          <w:p w14:paraId="0C77A0B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D52E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42AAF4" w14:textId="77777777" w:rsidR="00000000" w:rsidRDefault="00A173A8">
            <w:pPr>
              <w:spacing w:after="100"/>
              <w:jc w:val="right"/>
              <w:rPr>
                <w:rFonts w:eastAsia="Times New Roman"/>
              </w:rPr>
            </w:pPr>
            <w:r>
              <w:rPr>
                <w:rFonts w:eastAsia="Times New Roman"/>
                <w:color w:val="000000"/>
                <w:sz w:val="20"/>
                <w:szCs w:val="20"/>
              </w:rPr>
              <w:t>0.08 </w:t>
            </w:r>
          </w:p>
        </w:tc>
        <w:tc>
          <w:tcPr>
            <w:tcW w:w="0" w:type="auto"/>
            <w:shd w:val="clear" w:color="auto" w:fill="FFFFFF"/>
            <w:tcMar>
              <w:top w:w="30" w:type="dxa"/>
              <w:left w:w="0" w:type="dxa"/>
              <w:bottom w:w="30" w:type="dxa"/>
              <w:right w:w="20" w:type="dxa"/>
            </w:tcMar>
            <w:vAlign w:val="center"/>
            <w:hideMark/>
          </w:tcPr>
          <w:p w14:paraId="77A54B92" w14:textId="77777777" w:rsidR="00000000" w:rsidRDefault="00A173A8">
            <w:pPr>
              <w:spacing w:after="100"/>
              <w:jc w:val="right"/>
              <w:rPr>
                <w:rFonts w:eastAsia="Times New Roman"/>
              </w:rPr>
            </w:pPr>
          </w:p>
        </w:tc>
      </w:tr>
      <w:tr w:rsidR="00000000" w14:paraId="24489FD3" w14:textId="77777777">
        <w:trPr>
          <w:divId w:val="2086762838"/>
        </w:trPr>
        <w:tc>
          <w:tcPr>
            <w:tcW w:w="0" w:type="auto"/>
            <w:gridSpan w:val="3"/>
            <w:shd w:val="clear" w:color="auto" w:fill="CCEEFF"/>
            <w:tcMar>
              <w:top w:w="30" w:type="dxa"/>
              <w:left w:w="20" w:type="dxa"/>
              <w:bottom w:w="30" w:type="dxa"/>
              <w:right w:w="20" w:type="dxa"/>
            </w:tcMar>
            <w:vAlign w:val="center"/>
            <w:hideMark/>
          </w:tcPr>
          <w:p w14:paraId="134BB0E5"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59CDE9CD"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B8F488B"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2DEEBFD" w14:textId="77777777" w:rsidR="00000000" w:rsidRDefault="00A173A8">
            <w:pPr>
              <w:spacing w:after="100"/>
              <w:jc w:val="right"/>
              <w:rPr>
                <w:rFonts w:eastAsia="Times New Roman"/>
              </w:rPr>
            </w:pPr>
            <w:r>
              <w:rPr>
                <w:rFonts w:eastAsia="Times New Roman"/>
                <w:b/>
                <w:bCs/>
                <w:color w:val="000000"/>
                <w:sz w:val="20"/>
                <w:szCs w:val="20"/>
              </w:rPr>
              <w:t>7,539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D102D8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FDECE"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60325E0" w14:textId="77777777" w:rsidR="00000000" w:rsidRDefault="00A173A8">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1D1068C"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AF51E1E" w14:textId="77777777" w:rsidR="00000000" w:rsidRDefault="00A173A8">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8916F71"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E6D1658" w14:textId="77777777" w:rsidR="00000000" w:rsidRDefault="00A173A8">
            <w:pPr>
              <w:spacing w:after="100"/>
              <w:jc w:val="right"/>
              <w:rPr>
                <w:rFonts w:eastAsia="Times New Roman"/>
              </w:rPr>
            </w:pPr>
            <w:r>
              <w:rPr>
                <w:rFonts w:eastAsia="Times New Roman"/>
                <w:color w:val="000000"/>
                <w:sz w:val="20"/>
                <w:szCs w:val="20"/>
              </w:rPr>
              <w:t>6,685 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9FF151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82AFA"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4F5B80C" w14:textId="77777777" w:rsidR="00000000" w:rsidRDefault="00A173A8">
            <w:pPr>
              <w:spacing w:after="100"/>
              <w:jc w:val="right"/>
              <w:rPr>
                <w:rFonts w:eastAsia="Times New Roman"/>
              </w:rPr>
            </w:pPr>
            <w:r>
              <w:rPr>
                <w:rFonts w:eastAsia="Times New Roman"/>
                <w:color w:val="000000"/>
                <w:sz w:val="20"/>
                <w:szCs w:val="20"/>
              </w:rPr>
              <w:t>2.41 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1A28EB0" w14:textId="77777777" w:rsidR="00000000" w:rsidRDefault="00A173A8">
            <w:pPr>
              <w:spacing w:after="100"/>
              <w:jc w:val="right"/>
              <w:rPr>
                <w:rFonts w:eastAsia="Times New Roman"/>
              </w:rPr>
            </w:pPr>
            <w:r>
              <w:rPr>
                <w:rFonts w:eastAsia="Times New Roman"/>
                <w:color w:val="000000"/>
                <w:sz w:val="20"/>
                <w:szCs w:val="20"/>
              </w:rPr>
              <w:t>%</w:t>
            </w:r>
          </w:p>
        </w:tc>
      </w:tr>
    </w:tbl>
    <w:p w14:paraId="112829BD" w14:textId="77777777" w:rsidR="00000000" w:rsidRDefault="00A173A8">
      <w:pPr>
        <w:jc w:val="both"/>
        <w:divId w:val="2086762838"/>
        <w:rPr>
          <w:rFonts w:eastAsia="Times New Roman"/>
        </w:rPr>
      </w:pPr>
      <w:r>
        <w:rPr>
          <w:rFonts w:eastAsia="Times New Roman"/>
          <w:color w:val="000000"/>
          <w:sz w:val="20"/>
          <w:szCs w:val="20"/>
        </w:rPr>
        <w:t>__________</w:t>
      </w:r>
    </w:p>
    <w:p w14:paraId="4CD5E118" w14:textId="77777777" w:rsidR="00000000" w:rsidRDefault="00A173A8">
      <w:pPr>
        <w:ind w:hanging="360"/>
        <w:jc w:val="both"/>
        <w:divId w:val="18147859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total period-end loans held for investment.</w:t>
      </w:r>
    </w:p>
    <w:p w14:paraId="442940B7" w14:textId="77777777" w:rsidR="00000000" w:rsidRDefault="00A173A8">
      <w:pPr>
        <w:jc w:val="both"/>
        <w:divId w:val="256015013"/>
        <w:rPr>
          <w:rFonts w:eastAsia="Times New Roman"/>
        </w:rPr>
      </w:pPr>
      <w:r>
        <w:rPr>
          <w:rFonts w:eastAsia="Times New Roman"/>
          <w:color w:val="000000"/>
          <w:sz w:val="20"/>
          <w:szCs w:val="20"/>
        </w:rPr>
        <w:t xml:space="preserve">Table 24 summarizes loans that were 90+ days delinquent as to interest or principal and still accruing interest as of June </w:t>
      </w:r>
      <w:r>
        <w:rPr>
          <w:rFonts w:eastAsia="Times New Roman"/>
          <w:color w:val="000000"/>
          <w:sz w:val="20"/>
          <w:szCs w:val="20"/>
        </w:rPr>
        <w:t>30, 2022 and December 31, 2021. These loans consist primarily of credit card accounts between 90 days and 179 days past due. As permitted by regulatory guidance issued by the Federal Financial Institutions Examination Council (“FFIEC”), we continue to accr</w:t>
      </w:r>
      <w:r>
        <w:rPr>
          <w:rFonts w:eastAsia="Times New Roman"/>
          <w:color w:val="000000"/>
          <w:sz w:val="20"/>
          <w:szCs w:val="20"/>
        </w:rPr>
        <w:t>ue interest and fees on domestic credit card loans through the date of charge off, which is typically in the period the account becomes 180 days past due.</w:t>
      </w:r>
    </w:p>
    <w:p w14:paraId="7DA49501" w14:textId="77777777" w:rsidR="00000000" w:rsidRDefault="00A173A8">
      <w:pPr>
        <w:divId w:val="772480360"/>
        <w:rPr>
          <w:rFonts w:eastAsia="Times New Roman"/>
        </w:rPr>
      </w:pPr>
      <w:r>
        <w:rPr>
          <w:rFonts w:eastAsia="Times New Roman"/>
          <w:b/>
          <w:bCs/>
          <w:color w:val="000000"/>
          <w:sz w:val="18"/>
          <w:szCs w:val="18"/>
        </w:rPr>
        <w:t xml:space="preserve">Table 24: </w:t>
      </w:r>
      <w:r>
        <w:rPr>
          <w:rFonts w:eastAsia="Times New Roman"/>
          <w:b/>
          <w:bCs/>
          <w:color w:val="000000"/>
          <w:sz w:val="20"/>
          <w:szCs w:val="20"/>
        </w:rPr>
        <w:t xml:space="preserve">90+ Day Delinquent Loans Accruing Interest </w:t>
      </w:r>
    </w:p>
    <w:tbl>
      <w:tblPr>
        <w:tblW w:w="5000" w:type="pct"/>
        <w:tblCellMar>
          <w:top w:w="15" w:type="dxa"/>
          <w:left w:w="15" w:type="dxa"/>
          <w:bottom w:w="15" w:type="dxa"/>
          <w:right w:w="15" w:type="dxa"/>
        </w:tblCellMar>
        <w:tblLook w:val="04A0" w:firstRow="1" w:lastRow="0" w:firstColumn="1" w:lastColumn="0" w:noHBand="0" w:noVBand="1"/>
      </w:tblPr>
      <w:tblGrid>
        <w:gridCol w:w="40"/>
        <w:gridCol w:w="4583"/>
        <w:gridCol w:w="38"/>
        <w:gridCol w:w="36"/>
        <w:gridCol w:w="36"/>
        <w:gridCol w:w="36"/>
        <w:gridCol w:w="121"/>
        <w:gridCol w:w="658"/>
        <w:gridCol w:w="37"/>
        <w:gridCol w:w="36"/>
        <w:gridCol w:w="36"/>
        <w:gridCol w:w="36"/>
        <w:gridCol w:w="60"/>
        <w:gridCol w:w="527"/>
        <w:gridCol w:w="220"/>
        <w:gridCol w:w="36"/>
        <w:gridCol w:w="36"/>
        <w:gridCol w:w="36"/>
        <w:gridCol w:w="121"/>
        <w:gridCol w:w="659"/>
        <w:gridCol w:w="37"/>
        <w:gridCol w:w="36"/>
        <w:gridCol w:w="36"/>
        <w:gridCol w:w="36"/>
        <w:gridCol w:w="61"/>
        <w:gridCol w:w="525"/>
        <w:gridCol w:w="187"/>
      </w:tblGrid>
      <w:tr w:rsidR="00000000" w14:paraId="647936A3" w14:textId="77777777">
        <w:trPr>
          <w:divId w:val="361517451"/>
        </w:trPr>
        <w:tc>
          <w:tcPr>
            <w:tcW w:w="50" w:type="pct"/>
            <w:vAlign w:val="center"/>
            <w:hideMark/>
          </w:tcPr>
          <w:p w14:paraId="2DF5301D" w14:textId="77777777" w:rsidR="00000000" w:rsidRDefault="00A173A8">
            <w:pPr>
              <w:rPr>
                <w:rFonts w:eastAsia="Times New Roman"/>
              </w:rPr>
            </w:pPr>
          </w:p>
        </w:tc>
        <w:tc>
          <w:tcPr>
            <w:tcW w:w="2817" w:type="pct"/>
            <w:vAlign w:val="center"/>
            <w:hideMark/>
          </w:tcPr>
          <w:p w14:paraId="32439FFA" w14:textId="77777777" w:rsidR="00000000" w:rsidRDefault="00A173A8">
            <w:pPr>
              <w:spacing w:after="100"/>
              <w:rPr>
                <w:rFonts w:eastAsia="Times New Roman"/>
                <w:sz w:val="20"/>
                <w:szCs w:val="20"/>
              </w:rPr>
            </w:pPr>
          </w:p>
        </w:tc>
        <w:tc>
          <w:tcPr>
            <w:tcW w:w="5" w:type="pct"/>
            <w:vAlign w:val="center"/>
            <w:hideMark/>
          </w:tcPr>
          <w:p w14:paraId="675D12AF" w14:textId="77777777" w:rsidR="00000000" w:rsidRDefault="00A173A8">
            <w:pPr>
              <w:spacing w:after="100"/>
              <w:rPr>
                <w:rFonts w:eastAsia="Times New Roman"/>
                <w:sz w:val="20"/>
                <w:szCs w:val="20"/>
              </w:rPr>
            </w:pPr>
          </w:p>
        </w:tc>
        <w:tc>
          <w:tcPr>
            <w:tcW w:w="5" w:type="pct"/>
            <w:vAlign w:val="center"/>
            <w:hideMark/>
          </w:tcPr>
          <w:p w14:paraId="78A2ADBF" w14:textId="77777777" w:rsidR="00000000" w:rsidRDefault="00A173A8">
            <w:pPr>
              <w:spacing w:after="100"/>
              <w:rPr>
                <w:rFonts w:eastAsia="Times New Roman"/>
                <w:sz w:val="20"/>
                <w:szCs w:val="20"/>
              </w:rPr>
            </w:pPr>
          </w:p>
        </w:tc>
        <w:tc>
          <w:tcPr>
            <w:tcW w:w="26" w:type="pct"/>
            <w:vAlign w:val="center"/>
            <w:hideMark/>
          </w:tcPr>
          <w:p w14:paraId="13F060FD" w14:textId="77777777" w:rsidR="00000000" w:rsidRDefault="00A173A8">
            <w:pPr>
              <w:spacing w:after="100"/>
              <w:rPr>
                <w:rFonts w:eastAsia="Times New Roman"/>
                <w:sz w:val="20"/>
                <w:szCs w:val="20"/>
              </w:rPr>
            </w:pPr>
          </w:p>
        </w:tc>
        <w:tc>
          <w:tcPr>
            <w:tcW w:w="5" w:type="pct"/>
            <w:vAlign w:val="center"/>
            <w:hideMark/>
          </w:tcPr>
          <w:p w14:paraId="07C59345" w14:textId="77777777" w:rsidR="00000000" w:rsidRDefault="00A173A8">
            <w:pPr>
              <w:spacing w:after="100"/>
              <w:rPr>
                <w:rFonts w:eastAsia="Times New Roman"/>
                <w:sz w:val="20"/>
                <w:szCs w:val="20"/>
              </w:rPr>
            </w:pPr>
          </w:p>
        </w:tc>
        <w:tc>
          <w:tcPr>
            <w:tcW w:w="50" w:type="pct"/>
            <w:vAlign w:val="center"/>
            <w:hideMark/>
          </w:tcPr>
          <w:p w14:paraId="41AF6AE0" w14:textId="77777777" w:rsidR="00000000" w:rsidRDefault="00A173A8">
            <w:pPr>
              <w:spacing w:after="100"/>
              <w:rPr>
                <w:rFonts w:eastAsia="Times New Roman"/>
                <w:sz w:val="20"/>
                <w:szCs w:val="20"/>
              </w:rPr>
            </w:pPr>
          </w:p>
        </w:tc>
        <w:tc>
          <w:tcPr>
            <w:tcW w:w="442" w:type="pct"/>
            <w:vAlign w:val="center"/>
            <w:hideMark/>
          </w:tcPr>
          <w:p w14:paraId="01A3DEAF" w14:textId="77777777" w:rsidR="00000000" w:rsidRDefault="00A173A8">
            <w:pPr>
              <w:spacing w:after="100"/>
              <w:rPr>
                <w:rFonts w:eastAsia="Times New Roman"/>
                <w:sz w:val="20"/>
                <w:szCs w:val="20"/>
              </w:rPr>
            </w:pPr>
          </w:p>
        </w:tc>
        <w:tc>
          <w:tcPr>
            <w:tcW w:w="5" w:type="pct"/>
            <w:vAlign w:val="center"/>
            <w:hideMark/>
          </w:tcPr>
          <w:p w14:paraId="06A281BF" w14:textId="77777777" w:rsidR="00000000" w:rsidRDefault="00A173A8">
            <w:pPr>
              <w:spacing w:after="100"/>
              <w:rPr>
                <w:rFonts w:eastAsia="Times New Roman"/>
                <w:sz w:val="20"/>
                <w:szCs w:val="20"/>
              </w:rPr>
            </w:pPr>
          </w:p>
        </w:tc>
        <w:tc>
          <w:tcPr>
            <w:tcW w:w="5" w:type="pct"/>
            <w:vAlign w:val="center"/>
            <w:hideMark/>
          </w:tcPr>
          <w:p w14:paraId="23582946" w14:textId="77777777" w:rsidR="00000000" w:rsidRDefault="00A173A8">
            <w:pPr>
              <w:spacing w:after="100"/>
              <w:rPr>
                <w:rFonts w:eastAsia="Times New Roman"/>
                <w:sz w:val="20"/>
                <w:szCs w:val="20"/>
              </w:rPr>
            </w:pPr>
          </w:p>
        </w:tc>
        <w:tc>
          <w:tcPr>
            <w:tcW w:w="26" w:type="pct"/>
            <w:vAlign w:val="center"/>
            <w:hideMark/>
          </w:tcPr>
          <w:p w14:paraId="083419D7" w14:textId="77777777" w:rsidR="00000000" w:rsidRDefault="00A173A8">
            <w:pPr>
              <w:spacing w:after="100"/>
              <w:rPr>
                <w:rFonts w:eastAsia="Times New Roman"/>
                <w:sz w:val="20"/>
                <w:szCs w:val="20"/>
              </w:rPr>
            </w:pPr>
          </w:p>
        </w:tc>
        <w:tc>
          <w:tcPr>
            <w:tcW w:w="5" w:type="pct"/>
            <w:vAlign w:val="center"/>
            <w:hideMark/>
          </w:tcPr>
          <w:p w14:paraId="51CFF228" w14:textId="77777777" w:rsidR="00000000" w:rsidRDefault="00A173A8">
            <w:pPr>
              <w:spacing w:after="100"/>
              <w:rPr>
                <w:rFonts w:eastAsia="Times New Roman"/>
                <w:sz w:val="20"/>
                <w:szCs w:val="20"/>
              </w:rPr>
            </w:pPr>
          </w:p>
        </w:tc>
        <w:tc>
          <w:tcPr>
            <w:tcW w:w="50" w:type="pct"/>
            <w:vAlign w:val="center"/>
            <w:hideMark/>
          </w:tcPr>
          <w:p w14:paraId="3189CEB2" w14:textId="77777777" w:rsidR="00000000" w:rsidRDefault="00A173A8">
            <w:pPr>
              <w:spacing w:after="100"/>
              <w:rPr>
                <w:rFonts w:eastAsia="Times New Roman"/>
                <w:sz w:val="20"/>
                <w:szCs w:val="20"/>
              </w:rPr>
            </w:pPr>
          </w:p>
        </w:tc>
        <w:tc>
          <w:tcPr>
            <w:tcW w:w="442" w:type="pct"/>
            <w:vAlign w:val="center"/>
            <w:hideMark/>
          </w:tcPr>
          <w:p w14:paraId="0ECB62E0" w14:textId="77777777" w:rsidR="00000000" w:rsidRDefault="00A173A8">
            <w:pPr>
              <w:spacing w:after="100"/>
              <w:rPr>
                <w:rFonts w:eastAsia="Times New Roman"/>
                <w:sz w:val="20"/>
                <w:szCs w:val="20"/>
              </w:rPr>
            </w:pPr>
          </w:p>
        </w:tc>
        <w:tc>
          <w:tcPr>
            <w:tcW w:w="5" w:type="pct"/>
            <w:vAlign w:val="center"/>
            <w:hideMark/>
          </w:tcPr>
          <w:p w14:paraId="2B9CE78B" w14:textId="77777777" w:rsidR="00000000" w:rsidRDefault="00A173A8">
            <w:pPr>
              <w:spacing w:after="100"/>
              <w:rPr>
                <w:rFonts w:eastAsia="Times New Roman"/>
                <w:sz w:val="20"/>
                <w:szCs w:val="20"/>
              </w:rPr>
            </w:pPr>
          </w:p>
        </w:tc>
        <w:tc>
          <w:tcPr>
            <w:tcW w:w="5" w:type="pct"/>
            <w:vAlign w:val="center"/>
            <w:hideMark/>
          </w:tcPr>
          <w:p w14:paraId="3D6B93DE" w14:textId="77777777" w:rsidR="00000000" w:rsidRDefault="00A173A8">
            <w:pPr>
              <w:spacing w:after="100"/>
              <w:rPr>
                <w:rFonts w:eastAsia="Times New Roman"/>
                <w:sz w:val="20"/>
                <w:szCs w:val="20"/>
              </w:rPr>
            </w:pPr>
          </w:p>
        </w:tc>
        <w:tc>
          <w:tcPr>
            <w:tcW w:w="26" w:type="pct"/>
            <w:vAlign w:val="center"/>
            <w:hideMark/>
          </w:tcPr>
          <w:p w14:paraId="6314735A" w14:textId="77777777" w:rsidR="00000000" w:rsidRDefault="00A173A8">
            <w:pPr>
              <w:spacing w:after="100"/>
              <w:rPr>
                <w:rFonts w:eastAsia="Times New Roman"/>
                <w:sz w:val="20"/>
                <w:szCs w:val="20"/>
              </w:rPr>
            </w:pPr>
          </w:p>
        </w:tc>
        <w:tc>
          <w:tcPr>
            <w:tcW w:w="5" w:type="pct"/>
            <w:vAlign w:val="center"/>
            <w:hideMark/>
          </w:tcPr>
          <w:p w14:paraId="229A3D62" w14:textId="77777777" w:rsidR="00000000" w:rsidRDefault="00A173A8">
            <w:pPr>
              <w:spacing w:after="100"/>
              <w:rPr>
                <w:rFonts w:eastAsia="Times New Roman"/>
                <w:sz w:val="20"/>
                <w:szCs w:val="20"/>
              </w:rPr>
            </w:pPr>
          </w:p>
        </w:tc>
        <w:tc>
          <w:tcPr>
            <w:tcW w:w="50" w:type="pct"/>
            <w:vAlign w:val="center"/>
            <w:hideMark/>
          </w:tcPr>
          <w:p w14:paraId="12318B7B" w14:textId="77777777" w:rsidR="00000000" w:rsidRDefault="00A173A8">
            <w:pPr>
              <w:spacing w:after="100"/>
              <w:rPr>
                <w:rFonts w:eastAsia="Times New Roman"/>
                <w:sz w:val="20"/>
                <w:szCs w:val="20"/>
              </w:rPr>
            </w:pPr>
          </w:p>
        </w:tc>
        <w:tc>
          <w:tcPr>
            <w:tcW w:w="442" w:type="pct"/>
            <w:vAlign w:val="center"/>
            <w:hideMark/>
          </w:tcPr>
          <w:p w14:paraId="11C0ADFA" w14:textId="77777777" w:rsidR="00000000" w:rsidRDefault="00A173A8">
            <w:pPr>
              <w:spacing w:after="100"/>
              <w:rPr>
                <w:rFonts w:eastAsia="Times New Roman"/>
                <w:sz w:val="20"/>
                <w:szCs w:val="20"/>
              </w:rPr>
            </w:pPr>
          </w:p>
        </w:tc>
        <w:tc>
          <w:tcPr>
            <w:tcW w:w="5" w:type="pct"/>
            <w:vAlign w:val="center"/>
            <w:hideMark/>
          </w:tcPr>
          <w:p w14:paraId="27DEFD74" w14:textId="77777777" w:rsidR="00000000" w:rsidRDefault="00A173A8">
            <w:pPr>
              <w:spacing w:after="100"/>
              <w:rPr>
                <w:rFonts w:eastAsia="Times New Roman"/>
                <w:sz w:val="20"/>
                <w:szCs w:val="20"/>
              </w:rPr>
            </w:pPr>
          </w:p>
        </w:tc>
        <w:tc>
          <w:tcPr>
            <w:tcW w:w="5" w:type="pct"/>
            <w:vAlign w:val="center"/>
            <w:hideMark/>
          </w:tcPr>
          <w:p w14:paraId="30AE165F" w14:textId="77777777" w:rsidR="00000000" w:rsidRDefault="00A173A8">
            <w:pPr>
              <w:spacing w:after="100"/>
              <w:rPr>
                <w:rFonts w:eastAsia="Times New Roman"/>
                <w:sz w:val="20"/>
                <w:szCs w:val="20"/>
              </w:rPr>
            </w:pPr>
          </w:p>
        </w:tc>
        <w:tc>
          <w:tcPr>
            <w:tcW w:w="26" w:type="pct"/>
            <w:vAlign w:val="center"/>
            <w:hideMark/>
          </w:tcPr>
          <w:p w14:paraId="219CFC13" w14:textId="77777777" w:rsidR="00000000" w:rsidRDefault="00A173A8">
            <w:pPr>
              <w:spacing w:after="100"/>
              <w:rPr>
                <w:rFonts w:eastAsia="Times New Roman"/>
                <w:sz w:val="20"/>
                <w:szCs w:val="20"/>
              </w:rPr>
            </w:pPr>
          </w:p>
        </w:tc>
        <w:tc>
          <w:tcPr>
            <w:tcW w:w="5" w:type="pct"/>
            <w:vAlign w:val="center"/>
            <w:hideMark/>
          </w:tcPr>
          <w:p w14:paraId="1E7F3C45" w14:textId="77777777" w:rsidR="00000000" w:rsidRDefault="00A173A8">
            <w:pPr>
              <w:spacing w:after="100"/>
              <w:rPr>
                <w:rFonts w:eastAsia="Times New Roman"/>
                <w:sz w:val="20"/>
                <w:szCs w:val="20"/>
              </w:rPr>
            </w:pPr>
          </w:p>
        </w:tc>
        <w:tc>
          <w:tcPr>
            <w:tcW w:w="50" w:type="pct"/>
            <w:vAlign w:val="center"/>
            <w:hideMark/>
          </w:tcPr>
          <w:p w14:paraId="1237F4F7" w14:textId="77777777" w:rsidR="00000000" w:rsidRDefault="00A173A8">
            <w:pPr>
              <w:spacing w:after="100"/>
              <w:rPr>
                <w:rFonts w:eastAsia="Times New Roman"/>
                <w:sz w:val="20"/>
                <w:szCs w:val="20"/>
              </w:rPr>
            </w:pPr>
          </w:p>
        </w:tc>
        <w:tc>
          <w:tcPr>
            <w:tcW w:w="435" w:type="pct"/>
            <w:vAlign w:val="center"/>
            <w:hideMark/>
          </w:tcPr>
          <w:p w14:paraId="07BD6FAA" w14:textId="77777777" w:rsidR="00000000" w:rsidRDefault="00A173A8">
            <w:pPr>
              <w:spacing w:after="100"/>
              <w:rPr>
                <w:rFonts w:eastAsia="Times New Roman"/>
                <w:sz w:val="20"/>
                <w:szCs w:val="20"/>
              </w:rPr>
            </w:pPr>
          </w:p>
        </w:tc>
        <w:tc>
          <w:tcPr>
            <w:tcW w:w="5" w:type="pct"/>
            <w:vAlign w:val="center"/>
            <w:hideMark/>
          </w:tcPr>
          <w:p w14:paraId="09718EA0" w14:textId="77777777" w:rsidR="00000000" w:rsidRDefault="00A173A8">
            <w:pPr>
              <w:spacing w:after="100"/>
              <w:rPr>
                <w:rFonts w:eastAsia="Times New Roman"/>
                <w:sz w:val="20"/>
                <w:szCs w:val="20"/>
              </w:rPr>
            </w:pPr>
          </w:p>
        </w:tc>
      </w:tr>
      <w:tr w:rsidR="00000000" w14:paraId="2C93E791" w14:textId="77777777">
        <w:trPr>
          <w:divId w:val="361517451"/>
        </w:trPr>
        <w:tc>
          <w:tcPr>
            <w:tcW w:w="0" w:type="auto"/>
            <w:gridSpan w:val="3"/>
            <w:tcMar>
              <w:top w:w="30" w:type="dxa"/>
              <w:left w:w="245" w:type="dxa"/>
              <w:bottom w:w="30" w:type="dxa"/>
              <w:right w:w="20" w:type="dxa"/>
            </w:tcMar>
            <w:vAlign w:val="bottom"/>
            <w:hideMark/>
          </w:tcPr>
          <w:p w14:paraId="1931F2FE"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C43C3B4" w14:textId="77777777" w:rsidR="00000000" w:rsidRDefault="00A173A8">
            <w:pPr>
              <w:spacing w:after="100"/>
              <w:rPr>
                <w:rFonts w:eastAsia="Times New Roman"/>
              </w:rPr>
            </w:pPr>
          </w:p>
        </w:tc>
        <w:tc>
          <w:tcPr>
            <w:tcW w:w="0" w:type="auto"/>
            <w:gridSpan w:val="9"/>
            <w:tcMar>
              <w:top w:w="30" w:type="dxa"/>
              <w:left w:w="20" w:type="dxa"/>
              <w:bottom w:w="30" w:type="dxa"/>
              <w:right w:w="20" w:type="dxa"/>
            </w:tcMar>
            <w:vAlign w:val="center"/>
            <w:hideMark/>
          </w:tcPr>
          <w:p w14:paraId="3EB7AA88"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2715EA97"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0ED56BC4"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48F5A560" w14:textId="77777777">
        <w:trPr>
          <w:divId w:val="361517451"/>
        </w:trPr>
        <w:tc>
          <w:tcPr>
            <w:tcW w:w="0" w:type="auto"/>
            <w:gridSpan w:val="3"/>
            <w:tcBorders>
              <w:bottom w:val="single" w:sz="8" w:space="0" w:color="000000"/>
            </w:tcBorders>
            <w:tcMar>
              <w:top w:w="30" w:type="dxa"/>
              <w:left w:w="20" w:type="dxa"/>
              <w:bottom w:w="30" w:type="dxa"/>
              <w:right w:w="20" w:type="dxa"/>
            </w:tcMar>
            <w:vAlign w:val="bottom"/>
            <w:hideMark/>
          </w:tcPr>
          <w:p w14:paraId="41276358"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1F1AED41"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670C98A0"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69480CF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0C2532B9"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0A17AD6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4963820F"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0981642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43EBD275"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r>
      <w:tr w:rsidR="00000000" w14:paraId="390829CB" w14:textId="77777777">
        <w:trPr>
          <w:divId w:val="3615174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2D629AC" w14:textId="77777777" w:rsidR="00000000" w:rsidRDefault="00A173A8">
            <w:pPr>
              <w:spacing w:after="100"/>
              <w:rPr>
                <w:rFonts w:eastAsia="Times New Roman"/>
              </w:rPr>
            </w:pPr>
            <w:r>
              <w:rPr>
                <w:rFonts w:eastAsia="Times New Roman"/>
                <w:b/>
                <w:bCs/>
                <w:color w:val="000000"/>
                <w:sz w:val="20"/>
                <w:szCs w:val="20"/>
              </w:rPr>
              <w:t>Loan category:</w:t>
            </w:r>
          </w:p>
        </w:tc>
        <w:tc>
          <w:tcPr>
            <w:tcW w:w="0" w:type="auto"/>
            <w:gridSpan w:val="3"/>
            <w:shd w:val="clear" w:color="auto" w:fill="CCEEFF"/>
            <w:tcMar>
              <w:top w:w="0" w:type="dxa"/>
              <w:left w:w="20" w:type="dxa"/>
              <w:bottom w:w="0" w:type="dxa"/>
              <w:right w:w="20" w:type="dxa"/>
            </w:tcMar>
            <w:vAlign w:val="center"/>
            <w:hideMark/>
          </w:tcPr>
          <w:p w14:paraId="3D095E2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6D36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CF2D3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06D42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068E7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94A6C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CF039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C8EBBA" w14:textId="77777777" w:rsidR="00000000" w:rsidRDefault="00A173A8">
            <w:pPr>
              <w:spacing w:after="100"/>
              <w:rPr>
                <w:rFonts w:eastAsia="Times New Roman"/>
                <w:sz w:val="20"/>
                <w:szCs w:val="20"/>
              </w:rPr>
            </w:pPr>
          </w:p>
        </w:tc>
      </w:tr>
      <w:tr w:rsidR="00000000" w14:paraId="09A08211" w14:textId="77777777">
        <w:trPr>
          <w:divId w:val="361517451"/>
        </w:trPr>
        <w:tc>
          <w:tcPr>
            <w:tcW w:w="0" w:type="auto"/>
            <w:gridSpan w:val="3"/>
            <w:shd w:val="clear" w:color="auto" w:fill="FFFFFF"/>
            <w:tcMar>
              <w:top w:w="30" w:type="dxa"/>
              <w:left w:w="245" w:type="dxa"/>
              <w:bottom w:w="30" w:type="dxa"/>
              <w:right w:w="20" w:type="dxa"/>
            </w:tcMar>
            <w:vAlign w:val="center"/>
            <w:hideMark/>
          </w:tcPr>
          <w:p w14:paraId="093827E4" w14:textId="77777777" w:rsidR="00000000" w:rsidRDefault="00A173A8">
            <w:pPr>
              <w:spacing w:after="100"/>
              <w:rPr>
                <w:rFonts w:eastAsia="Times New Roman"/>
              </w:rPr>
            </w:pPr>
            <w:r>
              <w:rPr>
                <w:rFonts w:eastAsia="Times New Roman"/>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14:paraId="4A5F12D2"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C61D695"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1071F93C" w14:textId="77777777" w:rsidR="00000000" w:rsidRDefault="00A173A8">
            <w:pPr>
              <w:spacing w:after="100"/>
              <w:jc w:val="right"/>
              <w:rPr>
                <w:rFonts w:eastAsia="Times New Roman"/>
              </w:rPr>
            </w:pPr>
            <w:r>
              <w:rPr>
                <w:rFonts w:eastAsia="Times New Roman"/>
                <w:b/>
                <w:bCs/>
                <w:color w:val="000000"/>
                <w:sz w:val="20"/>
                <w:szCs w:val="20"/>
              </w:rPr>
              <w:t>1,284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F7323D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34213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EC0B7D" w14:textId="77777777" w:rsidR="00000000" w:rsidRDefault="00A173A8">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381644C"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5F17FB2"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1CBC791A"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057E9F15" w14:textId="77777777" w:rsidR="00000000" w:rsidRDefault="00A173A8">
            <w:pPr>
              <w:spacing w:after="100"/>
              <w:jc w:val="right"/>
              <w:rPr>
                <w:rFonts w:eastAsia="Times New Roman"/>
              </w:rPr>
            </w:pPr>
            <w:r>
              <w:rPr>
                <w:rFonts w:eastAsia="Times New Roman"/>
                <w:color w:val="000000"/>
                <w:sz w:val="20"/>
                <w:szCs w:val="20"/>
              </w:rPr>
              <w:t>1,192 </w:t>
            </w:r>
          </w:p>
        </w:tc>
        <w:tc>
          <w:tcPr>
            <w:tcW w:w="0" w:type="auto"/>
            <w:shd w:val="clear" w:color="auto" w:fill="FFFFFF"/>
            <w:tcMar>
              <w:top w:w="30" w:type="dxa"/>
              <w:left w:w="0" w:type="dxa"/>
              <w:bottom w:w="30" w:type="dxa"/>
              <w:right w:w="20" w:type="dxa"/>
            </w:tcMar>
            <w:vAlign w:val="center"/>
            <w:hideMark/>
          </w:tcPr>
          <w:p w14:paraId="65A9AA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9F02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4E1FA4" w14:textId="77777777" w:rsidR="00000000" w:rsidRDefault="00A173A8">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center"/>
            <w:hideMark/>
          </w:tcPr>
          <w:p w14:paraId="4920C7DF" w14:textId="77777777" w:rsidR="00000000" w:rsidRDefault="00A173A8">
            <w:pPr>
              <w:spacing w:after="100"/>
              <w:jc w:val="right"/>
              <w:rPr>
                <w:rFonts w:eastAsia="Times New Roman"/>
              </w:rPr>
            </w:pPr>
            <w:r>
              <w:rPr>
                <w:rFonts w:eastAsia="Times New Roman"/>
                <w:color w:val="000000"/>
                <w:sz w:val="20"/>
                <w:szCs w:val="20"/>
              </w:rPr>
              <w:t>%</w:t>
            </w:r>
          </w:p>
        </w:tc>
      </w:tr>
      <w:tr w:rsidR="00000000" w14:paraId="21E766EF" w14:textId="77777777">
        <w:trPr>
          <w:divId w:val="361517451"/>
        </w:trPr>
        <w:tc>
          <w:tcPr>
            <w:tcW w:w="0" w:type="auto"/>
            <w:gridSpan w:val="3"/>
            <w:shd w:val="clear" w:color="auto" w:fill="CCEEFF"/>
            <w:tcMar>
              <w:top w:w="30" w:type="dxa"/>
              <w:left w:w="245" w:type="dxa"/>
              <w:bottom w:w="30" w:type="dxa"/>
              <w:right w:w="20" w:type="dxa"/>
            </w:tcMar>
            <w:vAlign w:val="center"/>
            <w:hideMark/>
          </w:tcPr>
          <w:p w14:paraId="6DAA87A9" w14:textId="77777777" w:rsidR="00000000" w:rsidRDefault="00A173A8">
            <w:pPr>
              <w:spacing w:after="100"/>
              <w:rPr>
                <w:rFonts w:eastAsia="Times New Roman"/>
              </w:rPr>
            </w:pPr>
            <w:r>
              <w:rPr>
                <w:rFonts w:eastAsia="Times New Roman"/>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4223552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086B59F" w14:textId="77777777" w:rsidR="00000000" w:rsidRDefault="00A173A8">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AF289A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78CE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066852" w14:textId="77777777" w:rsidR="00000000" w:rsidRDefault="00A173A8">
            <w:pPr>
              <w:spacing w:after="100"/>
              <w:jc w:val="right"/>
              <w:rPr>
                <w:rFonts w:eastAsia="Times New Roman"/>
              </w:rPr>
            </w:pPr>
            <w:r>
              <w:rPr>
                <w:rFonts w:eastAsia="Times New Roman"/>
                <w:b/>
                <w:bCs/>
                <w:color w:val="000000"/>
                <w:sz w:val="20"/>
                <w:szCs w:val="20"/>
              </w:rPr>
              <w:t>0.02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ADCCDC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D044A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E5CACE" w14:textId="77777777" w:rsidR="00000000" w:rsidRDefault="00A173A8">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center"/>
            <w:hideMark/>
          </w:tcPr>
          <w:p w14:paraId="15A1ED0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F9F4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5E504A"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73B1D7F" w14:textId="77777777" w:rsidR="00000000" w:rsidRDefault="00A173A8">
            <w:pPr>
              <w:spacing w:after="100"/>
              <w:jc w:val="right"/>
              <w:rPr>
                <w:rFonts w:eastAsia="Times New Roman"/>
              </w:rPr>
            </w:pPr>
          </w:p>
        </w:tc>
      </w:tr>
      <w:tr w:rsidR="00000000" w14:paraId="3D6453F7" w14:textId="77777777">
        <w:trPr>
          <w:divId w:val="361517451"/>
        </w:trPr>
        <w:tc>
          <w:tcPr>
            <w:tcW w:w="0" w:type="auto"/>
            <w:gridSpan w:val="3"/>
            <w:shd w:val="clear" w:color="auto" w:fill="FFFFFF"/>
            <w:tcMar>
              <w:top w:w="30" w:type="dxa"/>
              <w:left w:w="20" w:type="dxa"/>
              <w:bottom w:w="30" w:type="dxa"/>
              <w:right w:w="20" w:type="dxa"/>
            </w:tcMar>
            <w:vAlign w:val="center"/>
            <w:hideMark/>
          </w:tcPr>
          <w:p w14:paraId="4564917A"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3E2DC711"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D3AB788"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09FCCDF" w14:textId="77777777" w:rsidR="00000000" w:rsidRDefault="00A173A8">
            <w:pPr>
              <w:spacing w:after="100"/>
              <w:jc w:val="right"/>
              <w:rPr>
                <w:rFonts w:eastAsia="Times New Roman"/>
              </w:rPr>
            </w:pPr>
            <w:r>
              <w:rPr>
                <w:rFonts w:eastAsia="Times New Roman"/>
                <w:b/>
                <w:bCs/>
                <w:color w:val="000000"/>
                <w:sz w:val="20"/>
                <w:szCs w:val="20"/>
              </w:rPr>
              <w:t>1,304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83799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DBF23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E709F5" w14:textId="77777777" w:rsidR="00000000" w:rsidRDefault="00A173A8">
            <w:pPr>
              <w:spacing w:after="100"/>
              <w:jc w:val="right"/>
              <w:rPr>
                <w:rFonts w:eastAsia="Times New Roman"/>
              </w:rPr>
            </w:pPr>
            <w:r>
              <w:rPr>
                <w:rFonts w:eastAsia="Times New Roman"/>
                <w:b/>
                <w:bCs/>
                <w:color w:val="000000"/>
                <w:sz w:val="20"/>
                <w:szCs w:val="20"/>
              </w:rPr>
              <w:t>0.44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975D2C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3B67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D1AF5F4"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E5A5081" w14:textId="77777777" w:rsidR="00000000" w:rsidRDefault="00A173A8">
            <w:pPr>
              <w:spacing w:after="100"/>
              <w:jc w:val="right"/>
              <w:rPr>
                <w:rFonts w:eastAsia="Times New Roman"/>
              </w:rPr>
            </w:pPr>
            <w:r>
              <w:rPr>
                <w:rFonts w:eastAsia="Times New Roman"/>
                <w:color w:val="000000"/>
                <w:sz w:val="20"/>
                <w:szCs w:val="20"/>
              </w:rPr>
              <w:t>1,195 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9CF4DE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ECD6F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FF63C0" w14:textId="77777777" w:rsidR="00000000" w:rsidRDefault="00A173A8">
            <w:pPr>
              <w:spacing w:after="100"/>
              <w:jc w:val="right"/>
              <w:rPr>
                <w:rFonts w:eastAsia="Times New Roman"/>
              </w:rPr>
            </w:pPr>
            <w:r>
              <w:rPr>
                <w:rFonts w:eastAsia="Times New Roman"/>
                <w:color w:val="000000"/>
                <w:sz w:val="20"/>
                <w:szCs w:val="20"/>
              </w:rPr>
              <w:t>0.43 </w:t>
            </w:r>
          </w:p>
        </w:tc>
        <w:tc>
          <w:tcPr>
            <w:tcW w:w="0" w:type="auto"/>
            <w:shd w:val="clear" w:color="auto" w:fill="FFFFFF"/>
            <w:tcMar>
              <w:top w:w="30" w:type="dxa"/>
              <w:left w:w="0" w:type="dxa"/>
              <w:bottom w:w="30" w:type="dxa"/>
              <w:right w:w="20" w:type="dxa"/>
            </w:tcMar>
            <w:vAlign w:val="center"/>
            <w:hideMark/>
          </w:tcPr>
          <w:p w14:paraId="68A2820E" w14:textId="77777777" w:rsidR="00000000" w:rsidRDefault="00A173A8">
            <w:pPr>
              <w:spacing w:after="100"/>
              <w:jc w:val="right"/>
              <w:rPr>
                <w:rFonts w:eastAsia="Times New Roman"/>
              </w:rPr>
            </w:pPr>
          </w:p>
        </w:tc>
      </w:tr>
      <w:tr w:rsidR="00000000" w14:paraId="0096D353" w14:textId="77777777">
        <w:trPr>
          <w:divId w:val="361517451"/>
        </w:trPr>
        <w:tc>
          <w:tcPr>
            <w:tcW w:w="0" w:type="auto"/>
            <w:gridSpan w:val="3"/>
            <w:shd w:val="clear" w:color="auto" w:fill="CCEEFF"/>
            <w:tcMar>
              <w:top w:w="30" w:type="dxa"/>
              <w:left w:w="20" w:type="dxa"/>
              <w:bottom w:w="30" w:type="dxa"/>
              <w:right w:w="20" w:type="dxa"/>
            </w:tcMar>
            <w:vAlign w:val="center"/>
            <w:hideMark/>
          </w:tcPr>
          <w:p w14:paraId="4CF5EE64" w14:textId="77777777" w:rsidR="00000000" w:rsidRDefault="00A173A8">
            <w:pPr>
              <w:spacing w:after="100"/>
              <w:rPr>
                <w:rFonts w:eastAsia="Times New Roman"/>
              </w:rPr>
            </w:pPr>
            <w:r>
              <w:rPr>
                <w:rFonts w:eastAsia="Times New Roman"/>
                <w:b/>
                <w:bCs/>
                <w:color w:val="000000"/>
                <w:sz w:val="20"/>
                <w:szCs w:val="20"/>
              </w:rPr>
              <w:t>Geographic region:</w:t>
            </w:r>
          </w:p>
        </w:tc>
        <w:tc>
          <w:tcPr>
            <w:tcW w:w="0" w:type="auto"/>
            <w:gridSpan w:val="3"/>
            <w:shd w:val="clear" w:color="auto" w:fill="CCEEFF"/>
            <w:tcMar>
              <w:top w:w="0" w:type="dxa"/>
              <w:left w:w="20" w:type="dxa"/>
              <w:bottom w:w="0" w:type="dxa"/>
              <w:right w:w="20" w:type="dxa"/>
            </w:tcMar>
            <w:vAlign w:val="center"/>
            <w:hideMark/>
          </w:tcPr>
          <w:p w14:paraId="11C74CFF"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E17DD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A6A66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4BC2A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780BDD"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B6BECC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67AA2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F72017" w14:textId="77777777" w:rsidR="00000000" w:rsidRDefault="00A173A8">
            <w:pPr>
              <w:spacing w:after="100"/>
              <w:rPr>
                <w:rFonts w:eastAsia="Times New Roman"/>
                <w:sz w:val="20"/>
                <w:szCs w:val="20"/>
              </w:rPr>
            </w:pPr>
          </w:p>
        </w:tc>
      </w:tr>
      <w:tr w:rsidR="00000000" w14:paraId="2FFB1B1A" w14:textId="77777777">
        <w:trPr>
          <w:divId w:val="361517451"/>
        </w:trPr>
        <w:tc>
          <w:tcPr>
            <w:tcW w:w="0" w:type="auto"/>
            <w:gridSpan w:val="3"/>
            <w:shd w:val="clear" w:color="auto" w:fill="FFFFFF"/>
            <w:tcMar>
              <w:top w:w="30" w:type="dxa"/>
              <w:left w:w="245" w:type="dxa"/>
              <w:bottom w:w="30" w:type="dxa"/>
              <w:right w:w="20" w:type="dxa"/>
            </w:tcMar>
            <w:vAlign w:val="center"/>
            <w:hideMark/>
          </w:tcPr>
          <w:p w14:paraId="3535B6C7" w14:textId="77777777" w:rsidR="00000000" w:rsidRDefault="00A173A8">
            <w:pPr>
              <w:spacing w:after="100"/>
              <w:rPr>
                <w:rFonts w:eastAsia="Times New Roman"/>
              </w:rPr>
            </w:pPr>
            <w:r>
              <w:rPr>
                <w:rFonts w:eastAsia="Times New Roman"/>
                <w:color w:val="000000"/>
                <w:sz w:val="20"/>
                <w:szCs w:val="20"/>
              </w:rPr>
              <w:t>Domestic</w:t>
            </w:r>
          </w:p>
        </w:tc>
        <w:tc>
          <w:tcPr>
            <w:tcW w:w="0" w:type="auto"/>
            <w:gridSpan w:val="3"/>
            <w:shd w:val="clear" w:color="auto" w:fill="FFFFFF"/>
            <w:tcMar>
              <w:top w:w="0" w:type="dxa"/>
              <w:left w:w="20" w:type="dxa"/>
              <w:bottom w:w="0" w:type="dxa"/>
              <w:right w:w="20" w:type="dxa"/>
            </w:tcMar>
            <w:vAlign w:val="center"/>
            <w:hideMark/>
          </w:tcPr>
          <w:p w14:paraId="68B1AD6D"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357240D"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10EC2AA" w14:textId="77777777" w:rsidR="00000000" w:rsidRDefault="00A173A8">
            <w:pPr>
              <w:spacing w:after="100"/>
              <w:jc w:val="right"/>
              <w:rPr>
                <w:rFonts w:eastAsia="Times New Roman"/>
              </w:rPr>
            </w:pPr>
            <w:r>
              <w:rPr>
                <w:rFonts w:eastAsia="Times New Roman"/>
                <w:b/>
                <w:bCs/>
                <w:color w:val="000000"/>
                <w:sz w:val="20"/>
                <w:szCs w:val="20"/>
              </w:rPr>
              <w:t>1,216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4ED99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E238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A71DA8" w14:textId="77777777" w:rsidR="00000000" w:rsidRDefault="00A173A8">
            <w:pPr>
              <w:spacing w:after="100"/>
              <w:jc w:val="right"/>
              <w:rPr>
                <w:rFonts w:eastAsia="Times New Roman"/>
              </w:rPr>
            </w:pPr>
            <w:r>
              <w:rPr>
                <w:rFonts w:eastAsia="Times New Roman"/>
                <w:b/>
                <w:bCs/>
                <w:color w:val="000000"/>
                <w:sz w:val="20"/>
                <w:szCs w:val="20"/>
              </w:rPr>
              <w:t>0.42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F29A7C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6269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8D2D8D4"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0BD5076C" w14:textId="77777777" w:rsidR="00000000" w:rsidRDefault="00A173A8">
            <w:pPr>
              <w:spacing w:after="100"/>
              <w:jc w:val="right"/>
              <w:rPr>
                <w:rFonts w:eastAsia="Times New Roman"/>
              </w:rPr>
            </w:pPr>
            <w:r>
              <w:rPr>
                <w:rFonts w:eastAsia="Times New Roman"/>
                <w:color w:val="000000"/>
                <w:sz w:val="20"/>
                <w:szCs w:val="20"/>
              </w:rPr>
              <w:t>1,113 </w:t>
            </w:r>
          </w:p>
        </w:tc>
        <w:tc>
          <w:tcPr>
            <w:tcW w:w="0" w:type="auto"/>
            <w:shd w:val="clear" w:color="auto" w:fill="FFFFFF"/>
            <w:tcMar>
              <w:top w:w="30" w:type="dxa"/>
              <w:left w:w="0" w:type="dxa"/>
              <w:bottom w:w="30" w:type="dxa"/>
              <w:right w:w="20" w:type="dxa"/>
            </w:tcMar>
            <w:vAlign w:val="center"/>
            <w:hideMark/>
          </w:tcPr>
          <w:p w14:paraId="068A7BE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EF85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4A3C1B" w14:textId="77777777" w:rsidR="00000000" w:rsidRDefault="00A173A8">
            <w:pPr>
              <w:spacing w:after="100"/>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center"/>
            <w:hideMark/>
          </w:tcPr>
          <w:p w14:paraId="00F0C67B" w14:textId="77777777" w:rsidR="00000000" w:rsidRDefault="00A173A8">
            <w:pPr>
              <w:spacing w:after="100"/>
              <w:jc w:val="right"/>
              <w:rPr>
                <w:rFonts w:eastAsia="Times New Roman"/>
              </w:rPr>
            </w:pPr>
          </w:p>
        </w:tc>
      </w:tr>
      <w:tr w:rsidR="00000000" w14:paraId="575EF293" w14:textId="77777777">
        <w:trPr>
          <w:divId w:val="361517451"/>
        </w:trPr>
        <w:tc>
          <w:tcPr>
            <w:tcW w:w="0" w:type="auto"/>
            <w:gridSpan w:val="3"/>
            <w:shd w:val="clear" w:color="auto" w:fill="CCEEFF"/>
            <w:tcMar>
              <w:top w:w="30" w:type="dxa"/>
              <w:left w:w="245" w:type="dxa"/>
              <w:bottom w:w="30" w:type="dxa"/>
              <w:right w:w="20" w:type="dxa"/>
            </w:tcMar>
            <w:vAlign w:val="center"/>
            <w:hideMark/>
          </w:tcPr>
          <w:p w14:paraId="4F4B73AF" w14:textId="77777777" w:rsidR="00000000" w:rsidRDefault="00A173A8">
            <w:pPr>
              <w:spacing w:after="100"/>
              <w:rPr>
                <w:rFonts w:eastAsia="Times New Roman"/>
              </w:rPr>
            </w:pPr>
            <w:r>
              <w:rPr>
                <w:rFonts w:eastAsia="Times New Roman"/>
                <w:color w:val="000000"/>
                <w:sz w:val="20"/>
                <w:szCs w:val="20"/>
              </w:rPr>
              <w:t>International</w:t>
            </w:r>
          </w:p>
        </w:tc>
        <w:tc>
          <w:tcPr>
            <w:tcW w:w="0" w:type="auto"/>
            <w:gridSpan w:val="3"/>
            <w:shd w:val="clear" w:color="auto" w:fill="CCEEFF"/>
            <w:tcMar>
              <w:top w:w="0" w:type="dxa"/>
              <w:left w:w="20" w:type="dxa"/>
              <w:bottom w:w="0" w:type="dxa"/>
              <w:right w:w="20" w:type="dxa"/>
            </w:tcMar>
            <w:vAlign w:val="center"/>
            <w:hideMark/>
          </w:tcPr>
          <w:p w14:paraId="1CA1F19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BBE8E32" w14:textId="77777777" w:rsidR="00000000" w:rsidRDefault="00A173A8">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861C13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D7B5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B2CE0B" w14:textId="77777777" w:rsidR="00000000" w:rsidRDefault="00A173A8">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497505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F2EDD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9BBDE2" w14:textId="77777777" w:rsidR="00000000" w:rsidRDefault="00A173A8">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center"/>
            <w:hideMark/>
          </w:tcPr>
          <w:p w14:paraId="1ED039F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D127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CA7FF3" w14:textId="77777777" w:rsidR="00000000" w:rsidRDefault="00A173A8">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center"/>
            <w:hideMark/>
          </w:tcPr>
          <w:p w14:paraId="3B9B7EDF" w14:textId="77777777" w:rsidR="00000000" w:rsidRDefault="00A173A8">
            <w:pPr>
              <w:spacing w:after="100"/>
              <w:jc w:val="right"/>
              <w:rPr>
                <w:rFonts w:eastAsia="Times New Roman"/>
              </w:rPr>
            </w:pPr>
          </w:p>
        </w:tc>
      </w:tr>
      <w:tr w:rsidR="00000000" w14:paraId="28910035" w14:textId="77777777">
        <w:trPr>
          <w:divId w:val="361517451"/>
        </w:trPr>
        <w:tc>
          <w:tcPr>
            <w:tcW w:w="0" w:type="auto"/>
            <w:gridSpan w:val="3"/>
            <w:shd w:val="clear" w:color="auto" w:fill="FFFFFF"/>
            <w:tcMar>
              <w:top w:w="30" w:type="dxa"/>
              <w:left w:w="20" w:type="dxa"/>
              <w:bottom w:w="30" w:type="dxa"/>
              <w:right w:w="20" w:type="dxa"/>
            </w:tcMar>
            <w:vAlign w:val="center"/>
            <w:hideMark/>
          </w:tcPr>
          <w:p w14:paraId="708CC8C4"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63FEFF76"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89B403D"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6FC2CFF" w14:textId="77777777" w:rsidR="00000000" w:rsidRDefault="00A173A8">
            <w:pPr>
              <w:spacing w:after="100"/>
              <w:jc w:val="right"/>
              <w:rPr>
                <w:rFonts w:eastAsia="Times New Roman"/>
              </w:rPr>
            </w:pPr>
            <w:r>
              <w:rPr>
                <w:rFonts w:eastAsia="Times New Roman"/>
                <w:b/>
                <w:bCs/>
                <w:color w:val="000000"/>
                <w:sz w:val="20"/>
                <w:szCs w:val="20"/>
              </w:rPr>
              <w:t>1,304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356D50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755B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DF5393" w14:textId="77777777" w:rsidR="00000000" w:rsidRDefault="00A173A8">
            <w:pPr>
              <w:spacing w:after="100"/>
              <w:jc w:val="right"/>
              <w:rPr>
                <w:rFonts w:eastAsia="Times New Roman"/>
              </w:rPr>
            </w:pPr>
            <w:r>
              <w:rPr>
                <w:rFonts w:eastAsia="Times New Roman"/>
                <w:b/>
                <w:bCs/>
                <w:color w:val="000000"/>
                <w:sz w:val="20"/>
                <w:szCs w:val="20"/>
              </w:rPr>
              <w:t>0.44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095F3F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C073F"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F6EB32F"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4DCEDDD" w14:textId="77777777" w:rsidR="00000000" w:rsidRDefault="00A173A8">
            <w:pPr>
              <w:spacing w:after="100"/>
              <w:jc w:val="right"/>
              <w:rPr>
                <w:rFonts w:eastAsia="Times New Roman"/>
              </w:rPr>
            </w:pPr>
            <w:r>
              <w:rPr>
                <w:rFonts w:eastAsia="Times New Roman"/>
                <w:color w:val="000000"/>
                <w:sz w:val="20"/>
                <w:szCs w:val="20"/>
              </w:rPr>
              <w:t>1,195 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A9DFE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324AC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6ACC71" w14:textId="77777777" w:rsidR="00000000" w:rsidRDefault="00A173A8">
            <w:pPr>
              <w:spacing w:after="100"/>
              <w:jc w:val="right"/>
              <w:rPr>
                <w:rFonts w:eastAsia="Times New Roman"/>
              </w:rPr>
            </w:pPr>
            <w:r>
              <w:rPr>
                <w:rFonts w:eastAsia="Times New Roman"/>
                <w:color w:val="000000"/>
                <w:sz w:val="20"/>
                <w:szCs w:val="20"/>
              </w:rPr>
              <w:t>0.43 </w:t>
            </w:r>
          </w:p>
        </w:tc>
        <w:tc>
          <w:tcPr>
            <w:tcW w:w="0" w:type="auto"/>
            <w:shd w:val="clear" w:color="auto" w:fill="FFFFFF"/>
            <w:tcMar>
              <w:top w:w="30" w:type="dxa"/>
              <w:left w:w="0" w:type="dxa"/>
              <w:bottom w:w="30" w:type="dxa"/>
              <w:right w:w="20" w:type="dxa"/>
            </w:tcMar>
            <w:vAlign w:val="center"/>
            <w:hideMark/>
          </w:tcPr>
          <w:p w14:paraId="3A31EE55" w14:textId="77777777" w:rsidR="00000000" w:rsidRDefault="00A173A8">
            <w:pPr>
              <w:spacing w:after="100"/>
              <w:jc w:val="right"/>
              <w:rPr>
                <w:rFonts w:eastAsia="Times New Roman"/>
              </w:rPr>
            </w:pPr>
          </w:p>
        </w:tc>
      </w:tr>
    </w:tbl>
    <w:p w14:paraId="5DC1B61D" w14:textId="77777777" w:rsidR="00000000" w:rsidRDefault="00A173A8">
      <w:pPr>
        <w:divId w:val="361517451"/>
        <w:rPr>
          <w:rFonts w:eastAsia="Times New Roman"/>
        </w:rPr>
      </w:pPr>
      <w:r>
        <w:rPr>
          <w:rFonts w:eastAsia="Times New Roman"/>
          <w:color w:val="000000"/>
          <w:sz w:val="20"/>
          <w:szCs w:val="20"/>
        </w:rPr>
        <w:t>__________</w:t>
      </w:r>
    </w:p>
    <w:p w14:paraId="6B744D99" w14:textId="77777777" w:rsidR="00000000" w:rsidRDefault="00A173A8">
      <w:pPr>
        <w:ind w:hanging="360"/>
        <w:jc w:val="both"/>
        <w:divId w:val="178927349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w:t>
      </w:r>
      <w:r>
        <w:rPr>
          <w:rFonts w:eastAsia="Times New Roman"/>
          <w:color w:val="000000"/>
          <w:sz w:val="16"/>
          <w:szCs w:val="16"/>
        </w:rPr>
        <w:t>elinquency rates are calculated by dividing delinquency amounts by period-end loans held for investment for each specified loan category.</w:t>
      </w:r>
    </w:p>
    <w:p w14:paraId="67D1E954" w14:textId="77777777" w:rsidR="00000000" w:rsidRDefault="00A173A8">
      <w:pPr>
        <w:divId w:val="884025260"/>
        <w:rPr>
          <w:rFonts w:eastAsia="Times New Roman"/>
        </w:rPr>
      </w:pPr>
      <w:r>
        <w:rPr>
          <w:rFonts w:eastAsia="Times New Roman"/>
          <w:b/>
          <w:bCs/>
          <w:i/>
          <w:iCs/>
          <w:color w:val="000000"/>
          <w:sz w:val="20"/>
          <w:szCs w:val="20"/>
        </w:rPr>
        <w:t>Nonperforming Loans and Nonperforming Assets</w:t>
      </w:r>
    </w:p>
    <w:p w14:paraId="7AF13A5E" w14:textId="77777777" w:rsidR="00000000" w:rsidRDefault="00A173A8">
      <w:pPr>
        <w:jc w:val="both"/>
        <w:divId w:val="1923103479"/>
        <w:rPr>
          <w:rFonts w:eastAsia="Times New Roman"/>
        </w:rPr>
      </w:pPr>
      <w:r>
        <w:rPr>
          <w:rFonts w:eastAsia="Times New Roman"/>
          <w:color w:val="000000"/>
          <w:sz w:val="20"/>
          <w:szCs w:val="20"/>
        </w:rPr>
        <w:t>Nonperforming loans include loans that have been placed on nonaccrual sta</w:t>
      </w:r>
      <w:r>
        <w:rPr>
          <w:rFonts w:eastAsia="Times New Roman"/>
          <w:color w:val="000000"/>
          <w:sz w:val="20"/>
          <w:szCs w:val="20"/>
        </w:rPr>
        <w:t>tus. Nonperforming assets consist of nonperforming loans, repossessed assets and other foreclosed assets. See “Note 1—Summary of Significant Accounting Policies” in our 2021 Form 10-K for information on our policies for classifying loans as nonperforming f</w:t>
      </w:r>
      <w:r>
        <w:rPr>
          <w:rFonts w:eastAsia="Times New Roman"/>
          <w:color w:val="000000"/>
          <w:sz w:val="20"/>
          <w:szCs w:val="20"/>
        </w:rPr>
        <w:t>or each of our loan categories.</w:t>
      </w:r>
    </w:p>
    <w:p w14:paraId="135915D9" w14:textId="77777777" w:rsidR="00000000" w:rsidRDefault="00A173A8">
      <w:pPr>
        <w:jc w:val="both"/>
        <w:divId w:val="786120454"/>
        <w:rPr>
          <w:rFonts w:eastAsia="Times New Roman"/>
        </w:rPr>
      </w:pPr>
      <w:r>
        <w:rPr>
          <w:rFonts w:eastAsia="Times New Roman"/>
          <w:color w:val="000000"/>
          <w:sz w:val="20"/>
          <w:szCs w:val="20"/>
        </w:rPr>
        <w:t>Table 25 presents our nonperforming loans, by portfolio segment, and other nonperforming assets as of June 30, 2022 and December 31, 2021. We do not classify loans held for sale as nonperforming. We provide additional inform</w:t>
      </w:r>
      <w:r>
        <w:rPr>
          <w:rFonts w:eastAsia="Times New Roman"/>
          <w:color w:val="000000"/>
          <w:sz w:val="20"/>
          <w:szCs w:val="20"/>
        </w:rPr>
        <w:t>ation on our credit quality metrics in “MD&amp;A—Business Segment Financial Performance.”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4ADCF20" w14:textId="77777777">
        <w:trPr>
          <w:divId w:val="1722823437"/>
          <w:jc w:val="center"/>
        </w:trPr>
        <w:tc>
          <w:tcPr>
            <w:tcW w:w="50" w:type="pct"/>
            <w:vAlign w:val="center"/>
            <w:hideMark/>
          </w:tcPr>
          <w:p w14:paraId="5BA7D64F" w14:textId="77777777" w:rsidR="00000000" w:rsidRDefault="00A173A8">
            <w:pPr>
              <w:jc w:val="both"/>
              <w:rPr>
                <w:rFonts w:eastAsia="Times New Roman"/>
              </w:rPr>
            </w:pPr>
          </w:p>
        </w:tc>
        <w:tc>
          <w:tcPr>
            <w:tcW w:w="1606" w:type="pct"/>
            <w:vAlign w:val="center"/>
            <w:hideMark/>
          </w:tcPr>
          <w:p w14:paraId="50D5828B" w14:textId="77777777" w:rsidR="00000000" w:rsidRDefault="00A173A8">
            <w:pPr>
              <w:spacing w:after="100"/>
              <w:rPr>
                <w:rFonts w:eastAsia="Times New Roman"/>
                <w:sz w:val="20"/>
                <w:szCs w:val="20"/>
              </w:rPr>
            </w:pPr>
          </w:p>
        </w:tc>
        <w:tc>
          <w:tcPr>
            <w:tcW w:w="5" w:type="pct"/>
            <w:vAlign w:val="center"/>
            <w:hideMark/>
          </w:tcPr>
          <w:p w14:paraId="29FDF347" w14:textId="77777777" w:rsidR="00000000" w:rsidRDefault="00A173A8">
            <w:pPr>
              <w:spacing w:after="100"/>
              <w:rPr>
                <w:rFonts w:eastAsia="Times New Roman"/>
                <w:sz w:val="20"/>
                <w:szCs w:val="20"/>
              </w:rPr>
            </w:pPr>
          </w:p>
        </w:tc>
        <w:tc>
          <w:tcPr>
            <w:tcW w:w="50" w:type="pct"/>
            <w:vAlign w:val="center"/>
            <w:hideMark/>
          </w:tcPr>
          <w:p w14:paraId="0E6AAA09" w14:textId="77777777" w:rsidR="00000000" w:rsidRDefault="00A173A8">
            <w:pPr>
              <w:spacing w:after="100"/>
              <w:rPr>
                <w:rFonts w:eastAsia="Times New Roman"/>
                <w:sz w:val="20"/>
                <w:szCs w:val="20"/>
              </w:rPr>
            </w:pPr>
          </w:p>
        </w:tc>
        <w:tc>
          <w:tcPr>
            <w:tcW w:w="1614" w:type="pct"/>
            <w:vAlign w:val="center"/>
            <w:hideMark/>
          </w:tcPr>
          <w:p w14:paraId="2D09DA70" w14:textId="77777777" w:rsidR="00000000" w:rsidRDefault="00A173A8">
            <w:pPr>
              <w:spacing w:after="100"/>
              <w:rPr>
                <w:rFonts w:eastAsia="Times New Roman"/>
                <w:sz w:val="20"/>
                <w:szCs w:val="20"/>
              </w:rPr>
            </w:pPr>
          </w:p>
        </w:tc>
        <w:tc>
          <w:tcPr>
            <w:tcW w:w="5" w:type="pct"/>
            <w:vAlign w:val="center"/>
            <w:hideMark/>
          </w:tcPr>
          <w:p w14:paraId="6E0DB2E2" w14:textId="77777777" w:rsidR="00000000" w:rsidRDefault="00A173A8">
            <w:pPr>
              <w:spacing w:after="100"/>
              <w:rPr>
                <w:rFonts w:eastAsia="Times New Roman"/>
                <w:sz w:val="20"/>
                <w:szCs w:val="20"/>
              </w:rPr>
            </w:pPr>
          </w:p>
        </w:tc>
        <w:tc>
          <w:tcPr>
            <w:tcW w:w="50" w:type="pct"/>
            <w:vAlign w:val="center"/>
            <w:hideMark/>
          </w:tcPr>
          <w:p w14:paraId="1E946AC9" w14:textId="77777777" w:rsidR="00000000" w:rsidRDefault="00A173A8">
            <w:pPr>
              <w:spacing w:after="100"/>
              <w:rPr>
                <w:rFonts w:eastAsia="Times New Roman"/>
                <w:sz w:val="20"/>
                <w:szCs w:val="20"/>
              </w:rPr>
            </w:pPr>
          </w:p>
        </w:tc>
        <w:tc>
          <w:tcPr>
            <w:tcW w:w="1614" w:type="pct"/>
            <w:vAlign w:val="center"/>
            <w:hideMark/>
          </w:tcPr>
          <w:p w14:paraId="3ED15D0A" w14:textId="77777777" w:rsidR="00000000" w:rsidRDefault="00A173A8">
            <w:pPr>
              <w:spacing w:after="100"/>
              <w:rPr>
                <w:rFonts w:eastAsia="Times New Roman"/>
                <w:sz w:val="20"/>
                <w:szCs w:val="20"/>
              </w:rPr>
            </w:pPr>
          </w:p>
        </w:tc>
        <w:tc>
          <w:tcPr>
            <w:tcW w:w="5" w:type="pct"/>
            <w:vAlign w:val="center"/>
            <w:hideMark/>
          </w:tcPr>
          <w:p w14:paraId="00EB0F12" w14:textId="77777777" w:rsidR="00000000" w:rsidRDefault="00A173A8">
            <w:pPr>
              <w:spacing w:after="100"/>
              <w:rPr>
                <w:rFonts w:eastAsia="Times New Roman"/>
                <w:sz w:val="20"/>
                <w:szCs w:val="20"/>
              </w:rPr>
            </w:pPr>
          </w:p>
        </w:tc>
      </w:tr>
      <w:tr w:rsidR="00000000" w14:paraId="4D3956E9" w14:textId="77777777">
        <w:trPr>
          <w:divId w:val="1722823437"/>
          <w:trHeight w:val="300"/>
          <w:jc w:val="center"/>
        </w:trPr>
        <w:tc>
          <w:tcPr>
            <w:tcW w:w="0" w:type="auto"/>
            <w:gridSpan w:val="9"/>
            <w:tcMar>
              <w:top w:w="0" w:type="dxa"/>
              <w:left w:w="20" w:type="dxa"/>
              <w:bottom w:w="0" w:type="dxa"/>
              <w:right w:w="20" w:type="dxa"/>
            </w:tcMar>
            <w:vAlign w:val="center"/>
            <w:hideMark/>
          </w:tcPr>
          <w:p w14:paraId="2AEFD133" w14:textId="77777777" w:rsidR="00000000" w:rsidRDefault="00A173A8">
            <w:pPr>
              <w:spacing w:after="100"/>
              <w:rPr>
                <w:rFonts w:eastAsia="Times New Roman"/>
                <w:sz w:val="20"/>
                <w:szCs w:val="20"/>
              </w:rPr>
            </w:pPr>
          </w:p>
        </w:tc>
      </w:tr>
      <w:tr w:rsidR="00000000" w14:paraId="1FA21CB5" w14:textId="77777777">
        <w:trPr>
          <w:divId w:val="1722823437"/>
          <w:jc w:val="center"/>
        </w:trPr>
        <w:tc>
          <w:tcPr>
            <w:tcW w:w="0" w:type="auto"/>
            <w:gridSpan w:val="3"/>
            <w:tcMar>
              <w:top w:w="0" w:type="dxa"/>
              <w:left w:w="20" w:type="dxa"/>
              <w:bottom w:w="0" w:type="dxa"/>
              <w:right w:w="20" w:type="dxa"/>
            </w:tcMar>
            <w:vAlign w:val="center"/>
            <w:hideMark/>
          </w:tcPr>
          <w:p w14:paraId="2BC80A21"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4395387" w14:textId="77777777" w:rsidR="00000000" w:rsidRDefault="00A173A8">
            <w:pPr>
              <w:spacing w:after="100"/>
              <w:jc w:val="center"/>
              <w:rPr>
                <w:rFonts w:eastAsia="Times New Roman"/>
              </w:rPr>
            </w:pPr>
            <w:r>
              <w:rPr>
                <w:rFonts w:eastAsia="Times New Roman"/>
                <w:color w:val="000000"/>
                <w:sz w:val="16"/>
                <w:szCs w:val="16"/>
              </w:rPr>
              <w:t>41</w:t>
            </w:r>
          </w:p>
        </w:tc>
        <w:tc>
          <w:tcPr>
            <w:tcW w:w="0" w:type="auto"/>
            <w:gridSpan w:val="3"/>
            <w:tcMar>
              <w:top w:w="30" w:type="dxa"/>
              <w:left w:w="20" w:type="dxa"/>
              <w:bottom w:w="30" w:type="dxa"/>
              <w:right w:w="20" w:type="dxa"/>
            </w:tcMar>
            <w:vAlign w:val="bottom"/>
            <w:hideMark/>
          </w:tcPr>
          <w:p w14:paraId="16463D1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9340992" w14:textId="77777777" w:rsidR="00000000" w:rsidRDefault="00A173A8">
      <w:pPr>
        <w:rPr>
          <w:rFonts w:eastAsia="Times New Roman"/>
        </w:rPr>
      </w:pPr>
      <w:r>
        <w:rPr>
          <w:rFonts w:eastAsia="Times New Roman"/>
        </w:rPr>
        <w:pict w14:anchorId="3D117F2E">
          <v:rect id="_x0000_i1066" style="width:0;height:1.5pt" o:hralign="center" o:hrstd="t" o:hr="t" fillcolor="#a0a0a0" stroked="f"/>
        </w:pict>
      </w:r>
    </w:p>
    <w:p w14:paraId="4C5FFA42" w14:textId="77777777" w:rsidR="00000000" w:rsidRDefault="00A173A8">
      <w:pPr>
        <w:ind w:hanging="360"/>
        <w:jc w:val="both"/>
        <w:divId w:val="1590850424"/>
        <w:rPr>
          <w:rFonts w:eastAsia="Times New Roman"/>
        </w:rPr>
      </w:pPr>
      <w:hyperlink w:anchor="i7ffd5d61af6f4722b1b1b07530d51c06_13" w:history="1">
        <w:r>
          <w:rPr>
            <w:rStyle w:val="a3"/>
            <w:rFonts w:eastAsia="Times New Roman"/>
            <w:sz w:val="16"/>
            <w:szCs w:val="16"/>
          </w:rPr>
          <w:t>Table of Contents</w:t>
        </w:r>
      </w:hyperlink>
    </w:p>
    <w:p w14:paraId="1910961D" w14:textId="77777777" w:rsidR="00000000" w:rsidRDefault="00A173A8">
      <w:pPr>
        <w:divId w:val="1834838733"/>
        <w:rPr>
          <w:rFonts w:eastAsia="Times New Roman"/>
        </w:rPr>
      </w:pPr>
      <w:r>
        <w:rPr>
          <w:rFonts w:eastAsia="Times New Roman"/>
          <w:b/>
          <w:bCs/>
          <w:color w:val="000000"/>
          <w:sz w:val="18"/>
          <w:szCs w:val="18"/>
        </w:rPr>
        <w:t>Table 25: Nonperforming Loans and Other Nonperforming Asset</w:t>
      </w:r>
      <w:r>
        <w:rPr>
          <w:rFonts w:eastAsia="Times New Roman"/>
          <w:b/>
          <w:bCs/>
          <w:color w:val="000000"/>
          <w:sz w:val="18"/>
          <w:szCs w:val="18"/>
        </w:rPr>
        <w:t>s</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866"/>
        <w:gridCol w:w="37"/>
        <w:gridCol w:w="36"/>
        <w:gridCol w:w="36"/>
        <w:gridCol w:w="36"/>
        <w:gridCol w:w="121"/>
        <w:gridCol w:w="651"/>
        <w:gridCol w:w="37"/>
        <w:gridCol w:w="36"/>
        <w:gridCol w:w="36"/>
        <w:gridCol w:w="36"/>
        <w:gridCol w:w="49"/>
        <w:gridCol w:w="399"/>
        <w:gridCol w:w="220"/>
        <w:gridCol w:w="36"/>
        <w:gridCol w:w="36"/>
        <w:gridCol w:w="36"/>
        <w:gridCol w:w="121"/>
        <w:gridCol w:w="652"/>
        <w:gridCol w:w="37"/>
        <w:gridCol w:w="36"/>
        <w:gridCol w:w="36"/>
        <w:gridCol w:w="36"/>
        <w:gridCol w:w="48"/>
        <w:gridCol w:w="411"/>
        <w:gridCol w:w="187"/>
      </w:tblGrid>
      <w:tr w:rsidR="00000000" w14:paraId="6869645E" w14:textId="77777777">
        <w:trPr>
          <w:divId w:val="1410927533"/>
        </w:trPr>
        <w:tc>
          <w:tcPr>
            <w:tcW w:w="50" w:type="pct"/>
            <w:vAlign w:val="center"/>
            <w:hideMark/>
          </w:tcPr>
          <w:p w14:paraId="2C5B8BBC" w14:textId="77777777" w:rsidR="00000000" w:rsidRDefault="00A173A8">
            <w:pPr>
              <w:rPr>
                <w:rFonts w:eastAsia="Times New Roman"/>
              </w:rPr>
            </w:pPr>
          </w:p>
        </w:tc>
        <w:tc>
          <w:tcPr>
            <w:tcW w:w="2978" w:type="pct"/>
            <w:vAlign w:val="center"/>
            <w:hideMark/>
          </w:tcPr>
          <w:p w14:paraId="4F0C83C9" w14:textId="77777777" w:rsidR="00000000" w:rsidRDefault="00A173A8">
            <w:pPr>
              <w:spacing w:after="100"/>
              <w:rPr>
                <w:rFonts w:eastAsia="Times New Roman"/>
                <w:sz w:val="20"/>
                <w:szCs w:val="20"/>
              </w:rPr>
            </w:pPr>
          </w:p>
        </w:tc>
        <w:tc>
          <w:tcPr>
            <w:tcW w:w="5" w:type="pct"/>
            <w:vAlign w:val="center"/>
            <w:hideMark/>
          </w:tcPr>
          <w:p w14:paraId="2E28A3B7" w14:textId="77777777" w:rsidR="00000000" w:rsidRDefault="00A173A8">
            <w:pPr>
              <w:spacing w:after="100"/>
              <w:rPr>
                <w:rFonts w:eastAsia="Times New Roman"/>
                <w:sz w:val="20"/>
                <w:szCs w:val="20"/>
              </w:rPr>
            </w:pPr>
          </w:p>
        </w:tc>
        <w:tc>
          <w:tcPr>
            <w:tcW w:w="5" w:type="pct"/>
            <w:vAlign w:val="center"/>
            <w:hideMark/>
          </w:tcPr>
          <w:p w14:paraId="681D7A52" w14:textId="77777777" w:rsidR="00000000" w:rsidRDefault="00A173A8">
            <w:pPr>
              <w:spacing w:after="100"/>
              <w:rPr>
                <w:rFonts w:eastAsia="Times New Roman"/>
                <w:sz w:val="20"/>
                <w:szCs w:val="20"/>
              </w:rPr>
            </w:pPr>
          </w:p>
        </w:tc>
        <w:tc>
          <w:tcPr>
            <w:tcW w:w="26" w:type="pct"/>
            <w:vAlign w:val="center"/>
            <w:hideMark/>
          </w:tcPr>
          <w:p w14:paraId="4DEA89A2" w14:textId="77777777" w:rsidR="00000000" w:rsidRDefault="00A173A8">
            <w:pPr>
              <w:spacing w:after="100"/>
              <w:rPr>
                <w:rFonts w:eastAsia="Times New Roman"/>
                <w:sz w:val="20"/>
                <w:szCs w:val="20"/>
              </w:rPr>
            </w:pPr>
          </w:p>
        </w:tc>
        <w:tc>
          <w:tcPr>
            <w:tcW w:w="5" w:type="pct"/>
            <w:vAlign w:val="center"/>
            <w:hideMark/>
          </w:tcPr>
          <w:p w14:paraId="39AEF0A1" w14:textId="77777777" w:rsidR="00000000" w:rsidRDefault="00A173A8">
            <w:pPr>
              <w:spacing w:after="100"/>
              <w:rPr>
                <w:rFonts w:eastAsia="Times New Roman"/>
                <w:sz w:val="20"/>
                <w:szCs w:val="20"/>
              </w:rPr>
            </w:pPr>
          </w:p>
        </w:tc>
        <w:tc>
          <w:tcPr>
            <w:tcW w:w="50" w:type="pct"/>
            <w:vAlign w:val="center"/>
            <w:hideMark/>
          </w:tcPr>
          <w:p w14:paraId="07523618" w14:textId="77777777" w:rsidR="00000000" w:rsidRDefault="00A173A8">
            <w:pPr>
              <w:spacing w:after="100"/>
              <w:rPr>
                <w:rFonts w:eastAsia="Times New Roman"/>
                <w:sz w:val="20"/>
                <w:szCs w:val="20"/>
              </w:rPr>
            </w:pPr>
          </w:p>
        </w:tc>
        <w:tc>
          <w:tcPr>
            <w:tcW w:w="398" w:type="pct"/>
            <w:vAlign w:val="center"/>
            <w:hideMark/>
          </w:tcPr>
          <w:p w14:paraId="77F1F5E1" w14:textId="77777777" w:rsidR="00000000" w:rsidRDefault="00A173A8">
            <w:pPr>
              <w:spacing w:after="100"/>
              <w:rPr>
                <w:rFonts w:eastAsia="Times New Roman"/>
                <w:sz w:val="20"/>
                <w:szCs w:val="20"/>
              </w:rPr>
            </w:pPr>
          </w:p>
        </w:tc>
        <w:tc>
          <w:tcPr>
            <w:tcW w:w="5" w:type="pct"/>
            <w:vAlign w:val="center"/>
            <w:hideMark/>
          </w:tcPr>
          <w:p w14:paraId="1872BDAA" w14:textId="77777777" w:rsidR="00000000" w:rsidRDefault="00A173A8">
            <w:pPr>
              <w:spacing w:after="100"/>
              <w:rPr>
                <w:rFonts w:eastAsia="Times New Roman"/>
                <w:sz w:val="20"/>
                <w:szCs w:val="20"/>
              </w:rPr>
            </w:pPr>
          </w:p>
        </w:tc>
        <w:tc>
          <w:tcPr>
            <w:tcW w:w="5" w:type="pct"/>
            <w:vAlign w:val="center"/>
            <w:hideMark/>
          </w:tcPr>
          <w:p w14:paraId="04E2DF3B" w14:textId="77777777" w:rsidR="00000000" w:rsidRDefault="00A173A8">
            <w:pPr>
              <w:spacing w:after="100"/>
              <w:rPr>
                <w:rFonts w:eastAsia="Times New Roman"/>
                <w:sz w:val="20"/>
                <w:szCs w:val="20"/>
              </w:rPr>
            </w:pPr>
          </w:p>
        </w:tc>
        <w:tc>
          <w:tcPr>
            <w:tcW w:w="26" w:type="pct"/>
            <w:vAlign w:val="center"/>
            <w:hideMark/>
          </w:tcPr>
          <w:p w14:paraId="0E9A7DF4" w14:textId="77777777" w:rsidR="00000000" w:rsidRDefault="00A173A8">
            <w:pPr>
              <w:spacing w:after="100"/>
              <w:rPr>
                <w:rFonts w:eastAsia="Times New Roman"/>
                <w:sz w:val="20"/>
                <w:szCs w:val="20"/>
              </w:rPr>
            </w:pPr>
          </w:p>
        </w:tc>
        <w:tc>
          <w:tcPr>
            <w:tcW w:w="5" w:type="pct"/>
            <w:vAlign w:val="center"/>
            <w:hideMark/>
          </w:tcPr>
          <w:p w14:paraId="57DEB0DD" w14:textId="77777777" w:rsidR="00000000" w:rsidRDefault="00A173A8">
            <w:pPr>
              <w:spacing w:after="100"/>
              <w:rPr>
                <w:rFonts w:eastAsia="Times New Roman"/>
                <w:sz w:val="20"/>
                <w:szCs w:val="20"/>
              </w:rPr>
            </w:pPr>
          </w:p>
        </w:tc>
        <w:tc>
          <w:tcPr>
            <w:tcW w:w="50" w:type="pct"/>
            <w:vAlign w:val="center"/>
            <w:hideMark/>
          </w:tcPr>
          <w:p w14:paraId="1533E31B" w14:textId="77777777" w:rsidR="00000000" w:rsidRDefault="00A173A8">
            <w:pPr>
              <w:spacing w:after="100"/>
              <w:rPr>
                <w:rFonts w:eastAsia="Times New Roman"/>
                <w:sz w:val="20"/>
                <w:szCs w:val="20"/>
              </w:rPr>
            </w:pPr>
          </w:p>
        </w:tc>
        <w:tc>
          <w:tcPr>
            <w:tcW w:w="398" w:type="pct"/>
            <w:vAlign w:val="center"/>
            <w:hideMark/>
          </w:tcPr>
          <w:p w14:paraId="029C4DF7" w14:textId="77777777" w:rsidR="00000000" w:rsidRDefault="00A173A8">
            <w:pPr>
              <w:spacing w:after="100"/>
              <w:rPr>
                <w:rFonts w:eastAsia="Times New Roman"/>
                <w:sz w:val="20"/>
                <w:szCs w:val="20"/>
              </w:rPr>
            </w:pPr>
          </w:p>
        </w:tc>
        <w:tc>
          <w:tcPr>
            <w:tcW w:w="5" w:type="pct"/>
            <w:vAlign w:val="center"/>
            <w:hideMark/>
          </w:tcPr>
          <w:p w14:paraId="4167B753" w14:textId="77777777" w:rsidR="00000000" w:rsidRDefault="00A173A8">
            <w:pPr>
              <w:spacing w:after="100"/>
              <w:rPr>
                <w:rFonts w:eastAsia="Times New Roman"/>
                <w:sz w:val="20"/>
                <w:szCs w:val="20"/>
              </w:rPr>
            </w:pPr>
          </w:p>
        </w:tc>
        <w:tc>
          <w:tcPr>
            <w:tcW w:w="5" w:type="pct"/>
            <w:vAlign w:val="center"/>
            <w:hideMark/>
          </w:tcPr>
          <w:p w14:paraId="42F0C6A4" w14:textId="77777777" w:rsidR="00000000" w:rsidRDefault="00A173A8">
            <w:pPr>
              <w:spacing w:after="100"/>
              <w:rPr>
                <w:rFonts w:eastAsia="Times New Roman"/>
                <w:sz w:val="20"/>
                <w:szCs w:val="20"/>
              </w:rPr>
            </w:pPr>
          </w:p>
        </w:tc>
        <w:tc>
          <w:tcPr>
            <w:tcW w:w="26" w:type="pct"/>
            <w:vAlign w:val="center"/>
            <w:hideMark/>
          </w:tcPr>
          <w:p w14:paraId="2A016A1B" w14:textId="77777777" w:rsidR="00000000" w:rsidRDefault="00A173A8">
            <w:pPr>
              <w:spacing w:after="100"/>
              <w:rPr>
                <w:rFonts w:eastAsia="Times New Roman"/>
                <w:sz w:val="20"/>
                <w:szCs w:val="20"/>
              </w:rPr>
            </w:pPr>
          </w:p>
        </w:tc>
        <w:tc>
          <w:tcPr>
            <w:tcW w:w="5" w:type="pct"/>
            <w:vAlign w:val="center"/>
            <w:hideMark/>
          </w:tcPr>
          <w:p w14:paraId="13505033" w14:textId="77777777" w:rsidR="00000000" w:rsidRDefault="00A173A8">
            <w:pPr>
              <w:spacing w:after="100"/>
              <w:rPr>
                <w:rFonts w:eastAsia="Times New Roman"/>
                <w:sz w:val="20"/>
                <w:szCs w:val="20"/>
              </w:rPr>
            </w:pPr>
          </w:p>
        </w:tc>
        <w:tc>
          <w:tcPr>
            <w:tcW w:w="50" w:type="pct"/>
            <w:vAlign w:val="center"/>
            <w:hideMark/>
          </w:tcPr>
          <w:p w14:paraId="0B216576" w14:textId="77777777" w:rsidR="00000000" w:rsidRDefault="00A173A8">
            <w:pPr>
              <w:spacing w:after="100"/>
              <w:rPr>
                <w:rFonts w:eastAsia="Times New Roman"/>
                <w:sz w:val="20"/>
                <w:szCs w:val="20"/>
              </w:rPr>
            </w:pPr>
          </w:p>
        </w:tc>
        <w:tc>
          <w:tcPr>
            <w:tcW w:w="398" w:type="pct"/>
            <w:vAlign w:val="center"/>
            <w:hideMark/>
          </w:tcPr>
          <w:p w14:paraId="1B3E046F" w14:textId="77777777" w:rsidR="00000000" w:rsidRDefault="00A173A8">
            <w:pPr>
              <w:spacing w:after="100"/>
              <w:rPr>
                <w:rFonts w:eastAsia="Times New Roman"/>
                <w:sz w:val="20"/>
                <w:szCs w:val="20"/>
              </w:rPr>
            </w:pPr>
          </w:p>
        </w:tc>
        <w:tc>
          <w:tcPr>
            <w:tcW w:w="5" w:type="pct"/>
            <w:vAlign w:val="center"/>
            <w:hideMark/>
          </w:tcPr>
          <w:p w14:paraId="353CE261" w14:textId="77777777" w:rsidR="00000000" w:rsidRDefault="00A173A8">
            <w:pPr>
              <w:spacing w:after="100"/>
              <w:rPr>
                <w:rFonts w:eastAsia="Times New Roman"/>
                <w:sz w:val="20"/>
                <w:szCs w:val="20"/>
              </w:rPr>
            </w:pPr>
          </w:p>
        </w:tc>
        <w:tc>
          <w:tcPr>
            <w:tcW w:w="5" w:type="pct"/>
            <w:vAlign w:val="center"/>
            <w:hideMark/>
          </w:tcPr>
          <w:p w14:paraId="7BC564B9" w14:textId="77777777" w:rsidR="00000000" w:rsidRDefault="00A173A8">
            <w:pPr>
              <w:spacing w:after="100"/>
              <w:rPr>
                <w:rFonts w:eastAsia="Times New Roman"/>
                <w:sz w:val="20"/>
                <w:szCs w:val="20"/>
              </w:rPr>
            </w:pPr>
          </w:p>
        </w:tc>
        <w:tc>
          <w:tcPr>
            <w:tcW w:w="26" w:type="pct"/>
            <w:vAlign w:val="center"/>
            <w:hideMark/>
          </w:tcPr>
          <w:p w14:paraId="5EB603F8" w14:textId="77777777" w:rsidR="00000000" w:rsidRDefault="00A173A8">
            <w:pPr>
              <w:spacing w:after="100"/>
              <w:rPr>
                <w:rFonts w:eastAsia="Times New Roman"/>
                <w:sz w:val="20"/>
                <w:szCs w:val="20"/>
              </w:rPr>
            </w:pPr>
          </w:p>
        </w:tc>
        <w:tc>
          <w:tcPr>
            <w:tcW w:w="5" w:type="pct"/>
            <w:vAlign w:val="center"/>
            <w:hideMark/>
          </w:tcPr>
          <w:p w14:paraId="07C31731" w14:textId="77777777" w:rsidR="00000000" w:rsidRDefault="00A173A8">
            <w:pPr>
              <w:spacing w:after="100"/>
              <w:rPr>
                <w:rFonts w:eastAsia="Times New Roman"/>
                <w:sz w:val="20"/>
                <w:szCs w:val="20"/>
              </w:rPr>
            </w:pPr>
          </w:p>
        </w:tc>
        <w:tc>
          <w:tcPr>
            <w:tcW w:w="50" w:type="pct"/>
            <w:vAlign w:val="center"/>
            <w:hideMark/>
          </w:tcPr>
          <w:p w14:paraId="625D5AF6" w14:textId="77777777" w:rsidR="00000000" w:rsidRDefault="00A173A8">
            <w:pPr>
              <w:spacing w:after="100"/>
              <w:rPr>
                <w:rFonts w:eastAsia="Times New Roman"/>
                <w:sz w:val="20"/>
                <w:szCs w:val="20"/>
              </w:rPr>
            </w:pPr>
          </w:p>
        </w:tc>
        <w:tc>
          <w:tcPr>
            <w:tcW w:w="405" w:type="pct"/>
            <w:vAlign w:val="center"/>
            <w:hideMark/>
          </w:tcPr>
          <w:p w14:paraId="327776FF" w14:textId="77777777" w:rsidR="00000000" w:rsidRDefault="00A173A8">
            <w:pPr>
              <w:spacing w:after="100"/>
              <w:rPr>
                <w:rFonts w:eastAsia="Times New Roman"/>
                <w:sz w:val="20"/>
                <w:szCs w:val="20"/>
              </w:rPr>
            </w:pPr>
          </w:p>
        </w:tc>
        <w:tc>
          <w:tcPr>
            <w:tcW w:w="5" w:type="pct"/>
            <w:vAlign w:val="center"/>
            <w:hideMark/>
          </w:tcPr>
          <w:p w14:paraId="2C1CD022" w14:textId="77777777" w:rsidR="00000000" w:rsidRDefault="00A173A8">
            <w:pPr>
              <w:spacing w:after="100"/>
              <w:rPr>
                <w:rFonts w:eastAsia="Times New Roman"/>
                <w:sz w:val="20"/>
                <w:szCs w:val="20"/>
              </w:rPr>
            </w:pPr>
          </w:p>
        </w:tc>
      </w:tr>
      <w:tr w:rsidR="00000000" w14:paraId="6D1AD18E" w14:textId="77777777">
        <w:trPr>
          <w:divId w:val="1410927533"/>
        </w:trPr>
        <w:tc>
          <w:tcPr>
            <w:tcW w:w="0" w:type="auto"/>
            <w:gridSpan w:val="3"/>
            <w:tcMar>
              <w:top w:w="30" w:type="dxa"/>
              <w:left w:w="20" w:type="dxa"/>
              <w:bottom w:w="30" w:type="dxa"/>
              <w:right w:w="20" w:type="dxa"/>
            </w:tcMar>
            <w:vAlign w:val="center"/>
            <w:hideMark/>
          </w:tcPr>
          <w:p w14:paraId="2E3C56F2"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BE051DC" w14:textId="77777777" w:rsidR="00000000" w:rsidRDefault="00A173A8">
            <w:pPr>
              <w:spacing w:after="100"/>
              <w:rPr>
                <w:rFonts w:eastAsia="Times New Roman"/>
              </w:rPr>
            </w:pPr>
          </w:p>
        </w:tc>
        <w:tc>
          <w:tcPr>
            <w:tcW w:w="0" w:type="auto"/>
            <w:gridSpan w:val="9"/>
            <w:tcMar>
              <w:top w:w="30" w:type="dxa"/>
              <w:left w:w="20" w:type="dxa"/>
              <w:bottom w:w="30" w:type="dxa"/>
              <w:right w:w="20" w:type="dxa"/>
            </w:tcMar>
            <w:vAlign w:val="bottom"/>
            <w:hideMark/>
          </w:tcPr>
          <w:p w14:paraId="47B15DDB"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7A6A7AD7"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1F7739A"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70730A8A" w14:textId="77777777">
        <w:trPr>
          <w:divId w:val="1410927533"/>
        </w:trPr>
        <w:tc>
          <w:tcPr>
            <w:tcW w:w="0" w:type="auto"/>
            <w:gridSpan w:val="3"/>
            <w:tcMar>
              <w:top w:w="30" w:type="dxa"/>
              <w:left w:w="20" w:type="dxa"/>
              <w:bottom w:w="30" w:type="dxa"/>
              <w:right w:w="20" w:type="dxa"/>
            </w:tcMar>
            <w:vAlign w:val="bottom"/>
            <w:hideMark/>
          </w:tcPr>
          <w:p w14:paraId="38E62308"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6FDAB9DA"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18D921"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154EA76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79AB50" w14:textId="77777777" w:rsidR="00000000" w:rsidRDefault="00A173A8">
            <w:pPr>
              <w:spacing w:after="100"/>
              <w:jc w:val="center"/>
              <w:rPr>
                <w:rFonts w:eastAsia="Times New Roman"/>
              </w:rPr>
            </w:pPr>
            <w:r>
              <w:rPr>
                <w:rFonts w:eastAsia="Times New Roman"/>
                <w:b/>
                <w:bCs/>
                <w:color w:val="000000"/>
                <w:sz w:val="20"/>
                <w:szCs w:val="20"/>
              </w:rPr>
              <w:t>Rate</w:t>
            </w:r>
          </w:p>
        </w:tc>
        <w:tc>
          <w:tcPr>
            <w:tcW w:w="0" w:type="auto"/>
            <w:gridSpan w:val="3"/>
            <w:tcMar>
              <w:top w:w="0" w:type="dxa"/>
              <w:left w:w="20" w:type="dxa"/>
              <w:bottom w:w="0" w:type="dxa"/>
              <w:right w:w="20" w:type="dxa"/>
            </w:tcMar>
            <w:vAlign w:val="center"/>
            <w:hideMark/>
          </w:tcPr>
          <w:p w14:paraId="27ADBDB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539195"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5404F03F"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818909" w14:textId="77777777" w:rsidR="00000000" w:rsidRDefault="00A173A8">
            <w:pPr>
              <w:spacing w:after="100"/>
              <w:jc w:val="center"/>
              <w:rPr>
                <w:rFonts w:eastAsia="Times New Roman"/>
              </w:rPr>
            </w:pPr>
            <w:r>
              <w:rPr>
                <w:rFonts w:eastAsia="Times New Roman"/>
                <w:b/>
                <w:bCs/>
                <w:color w:val="000000"/>
                <w:sz w:val="20"/>
                <w:szCs w:val="20"/>
              </w:rPr>
              <w:t>Rate</w:t>
            </w:r>
          </w:p>
        </w:tc>
      </w:tr>
      <w:tr w:rsidR="00000000" w14:paraId="1D4529D6" w14:textId="77777777">
        <w:trPr>
          <w:divId w:val="14109275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8683C09" w14:textId="77777777" w:rsidR="00000000" w:rsidRDefault="00A173A8">
            <w:pPr>
              <w:spacing w:after="100"/>
              <w:divId w:val="1530684473"/>
              <w:rPr>
                <w:rFonts w:eastAsia="Times New Roman"/>
              </w:rPr>
            </w:pPr>
            <w:r>
              <w:rPr>
                <w:rFonts w:eastAsia="Times New Roman"/>
                <w:b/>
                <w:bCs/>
                <w:color w:val="000000"/>
                <w:sz w:val="20"/>
                <w:szCs w:val="20"/>
              </w:rPr>
              <w:t>Nonperforming loans held for investment</w:t>
            </w:r>
            <w:r>
              <w:rPr>
                <w:rFonts w:eastAsia="Times New Roman"/>
                <w:b/>
                <w:bCs/>
                <w:color w:val="000000"/>
                <w:sz w:val="20"/>
                <w:szCs w:val="20"/>
              </w:rPr>
              <w:t>:</w:t>
            </w:r>
            <w:r>
              <w:rPr>
                <w:rFonts w:eastAsia="Times New Roman"/>
                <w:b/>
                <w:bCs/>
                <w:color w:val="000000"/>
                <w:sz w:val="13"/>
                <w:szCs w:val="13"/>
              </w:rPr>
              <w:t>(2</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1D3C7F7"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AB060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13165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4C81E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20A8F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FF56C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B1404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FC974C" w14:textId="77777777" w:rsidR="00000000" w:rsidRDefault="00A173A8">
            <w:pPr>
              <w:spacing w:after="100"/>
              <w:rPr>
                <w:rFonts w:eastAsia="Times New Roman"/>
                <w:sz w:val="20"/>
                <w:szCs w:val="20"/>
              </w:rPr>
            </w:pPr>
          </w:p>
        </w:tc>
      </w:tr>
      <w:tr w:rsidR="00000000" w14:paraId="31AD65F4" w14:textId="77777777">
        <w:trPr>
          <w:divId w:val="1410927533"/>
        </w:trPr>
        <w:tc>
          <w:tcPr>
            <w:tcW w:w="0" w:type="auto"/>
            <w:gridSpan w:val="3"/>
            <w:shd w:val="clear" w:color="auto" w:fill="FFFFFF"/>
            <w:tcMar>
              <w:top w:w="30" w:type="dxa"/>
              <w:left w:w="20" w:type="dxa"/>
              <w:bottom w:w="30" w:type="dxa"/>
              <w:right w:w="20" w:type="dxa"/>
            </w:tcMar>
            <w:vAlign w:val="center"/>
            <w:hideMark/>
          </w:tcPr>
          <w:p w14:paraId="0162A773" w14:textId="77777777" w:rsidR="00000000" w:rsidRDefault="00A173A8">
            <w:pPr>
              <w:spacing w:after="100"/>
              <w:rPr>
                <w:rFonts w:eastAsia="Times New Roman"/>
              </w:rPr>
            </w:pPr>
            <w:r>
              <w:rPr>
                <w:rFonts w:eastAsia="Times New Roman"/>
                <w:b/>
                <w:bCs/>
                <w:color w:val="000000"/>
                <w:sz w:val="20"/>
                <w:szCs w:val="20"/>
              </w:rPr>
              <w:t>Credit Card:</w:t>
            </w:r>
          </w:p>
        </w:tc>
        <w:tc>
          <w:tcPr>
            <w:tcW w:w="0" w:type="auto"/>
            <w:gridSpan w:val="3"/>
            <w:shd w:val="clear" w:color="auto" w:fill="FFFFFF"/>
            <w:tcMar>
              <w:top w:w="0" w:type="dxa"/>
              <w:left w:w="20" w:type="dxa"/>
              <w:bottom w:w="0" w:type="dxa"/>
              <w:right w:w="20" w:type="dxa"/>
            </w:tcMar>
            <w:vAlign w:val="center"/>
            <w:hideMark/>
          </w:tcPr>
          <w:p w14:paraId="40BE9CCD"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923CE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36C2A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D679F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12489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77510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6C256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E2B7AE" w14:textId="77777777" w:rsidR="00000000" w:rsidRDefault="00A173A8">
            <w:pPr>
              <w:spacing w:after="100"/>
              <w:rPr>
                <w:rFonts w:eastAsia="Times New Roman"/>
                <w:sz w:val="20"/>
                <w:szCs w:val="20"/>
              </w:rPr>
            </w:pPr>
          </w:p>
        </w:tc>
      </w:tr>
      <w:tr w:rsidR="00000000" w14:paraId="206CBEE2" w14:textId="77777777">
        <w:trPr>
          <w:divId w:val="1410927533"/>
        </w:trPr>
        <w:tc>
          <w:tcPr>
            <w:tcW w:w="0" w:type="auto"/>
            <w:gridSpan w:val="3"/>
            <w:shd w:val="clear" w:color="auto" w:fill="CCEEFF"/>
            <w:tcMar>
              <w:top w:w="30" w:type="dxa"/>
              <w:left w:w="245" w:type="dxa"/>
              <w:bottom w:w="30" w:type="dxa"/>
              <w:right w:w="20" w:type="dxa"/>
            </w:tcMar>
            <w:vAlign w:val="center"/>
            <w:hideMark/>
          </w:tcPr>
          <w:p w14:paraId="642D1004" w14:textId="77777777" w:rsidR="00000000" w:rsidRDefault="00A173A8">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14:paraId="2FCC4325"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A38A62D"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7A4BEDFA" w14:textId="77777777" w:rsidR="00000000" w:rsidRDefault="00A173A8">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DF583A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C8BD5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148F5E" w14:textId="77777777" w:rsidR="00000000" w:rsidRDefault="00A173A8">
            <w:pPr>
              <w:spacing w:after="100"/>
              <w:jc w:val="right"/>
              <w:rPr>
                <w:rFonts w:eastAsia="Times New Roman"/>
              </w:rPr>
            </w:pPr>
            <w:r>
              <w:rPr>
                <w:rFonts w:eastAsia="Times New Roman"/>
                <w:b/>
                <w:bCs/>
                <w:color w:val="000000"/>
                <w:sz w:val="20"/>
                <w:szCs w:val="20"/>
              </w:rPr>
              <w:t>0.13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DCCDE0A"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76F1E1E" w14:textId="77777777" w:rsidR="00000000" w:rsidRDefault="00A173A8">
            <w:pPr>
              <w:spacing w:after="100"/>
              <w:jc w:val="right"/>
              <w:rPr>
                <w:rFonts w:eastAsia="Times New Roman"/>
              </w:rPr>
            </w:pPr>
          </w:p>
        </w:tc>
        <w:tc>
          <w:tcPr>
            <w:tcW w:w="0" w:type="auto"/>
            <w:shd w:val="clear" w:color="auto" w:fill="CCEEFF"/>
            <w:tcMar>
              <w:top w:w="30" w:type="dxa"/>
              <w:left w:w="20" w:type="dxa"/>
              <w:bottom w:w="30" w:type="dxa"/>
              <w:right w:w="0" w:type="dxa"/>
            </w:tcMar>
            <w:vAlign w:val="center"/>
            <w:hideMark/>
          </w:tcPr>
          <w:p w14:paraId="2CE341BC"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255DA529" w14:textId="77777777" w:rsidR="00000000" w:rsidRDefault="00A173A8">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14:paraId="1495E3E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4A56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5A38C3" w14:textId="77777777" w:rsidR="00000000" w:rsidRDefault="00A173A8">
            <w:pPr>
              <w:spacing w:after="100"/>
              <w:jc w:val="right"/>
              <w:rPr>
                <w:rFonts w:eastAsia="Times New Roman"/>
              </w:rPr>
            </w:pPr>
            <w:r>
              <w:rPr>
                <w:rFonts w:eastAsia="Times New Roman"/>
                <w:color w:val="000000"/>
                <w:sz w:val="20"/>
                <w:szCs w:val="20"/>
              </w:rPr>
              <w:t>0.16 </w:t>
            </w:r>
          </w:p>
        </w:tc>
        <w:tc>
          <w:tcPr>
            <w:tcW w:w="0" w:type="auto"/>
            <w:shd w:val="clear" w:color="auto" w:fill="CCEEFF"/>
            <w:tcMar>
              <w:top w:w="30" w:type="dxa"/>
              <w:left w:w="0" w:type="dxa"/>
              <w:bottom w:w="30" w:type="dxa"/>
              <w:right w:w="20" w:type="dxa"/>
            </w:tcMar>
            <w:vAlign w:val="center"/>
            <w:hideMark/>
          </w:tcPr>
          <w:p w14:paraId="3F404A3C" w14:textId="77777777" w:rsidR="00000000" w:rsidRDefault="00A173A8">
            <w:pPr>
              <w:spacing w:after="100"/>
              <w:jc w:val="right"/>
              <w:rPr>
                <w:rFonts w:eastAsia="Times New Roman"/>
              </w:rPr>
            </w:pPr>
            <w:r>
              <w:rPr>
                <w:rFonts w:eastAsia="Times New Roman"/>
                <w:color w:val="000000"/>
                <w:sz w:val="20"/>
                <w:szCs w:val="20"/>
              </w:rPr>
              <w:t>%</w:t>
            </w:r>
          </w:p>
        </w:tc>
      </w:tr>
      <w:tr w:rsidR="00000000" w14:paraId="5130375A" w14:textId="77777777">
        <w:trPr>
          <w:divId w:val="1410927533"/>
        </w:trPr>
        <w:tc>
          <w:tcPr>
            <w:tcW w:w="0" w:type="auto"/>
            <w:gridSpan w:val="3"/>
            <w:shd w:val="clear" w:color="auto" w:fill="FFFFFF"/>
            <w:tcMar>
              <w:top w:w="30" w:type="dxa"/>
              <w:left w:w="20" w:type="dxa"/>
              <w:bottom w:w="30" w:type="dxa"/>
              <w:right w:w="20" w:type="dxa"/>
            </w:tcMar>
            <w:vAlign w:val="center"/>
            <w:hideMark/>
          </w:tcPr>
          <w:p w14:paraId="06E3AAD6" w14:textId="77777777" w:rsidR="00000000" w:rsidRDefault="00A173A8">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671D9933"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58B21F9" w14:textId="77777777" w:rsidR="00000000" w:rsidRDefault="00A173A8">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A355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7D07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A403EC" w14:textId="77777777" w:rsidR="00000000" w:rsidRDefault="00A173A8">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137472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19BE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8B5D230" w14:textId="77777777" w:rsidR="00000000" w:rsidRDefault="00A173A8">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4D785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E99F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348172" w14:textId="77777777" w:rsidR="00000000" w:rsidRDefault="00A173A8">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center"/>
            <w:hideMark/>
          </w:tcPr>
          <w:p w14:paraId="1156FCE2" w14:textId="77777777" w:rsidR="00000000" w:rsidRDefault="00A173A8">
            <w:pPr>
              <w:spacing w:after="100"/>
              <w:jc w:val="right"/>
              <w:rPr>
                <w:rFonts w:eastAsia="Times New Roman"/>
              </w:rPr>
            </w:pPr>
          </w:p>
        </w:tc>
      </w:tr>
      <w:tr w:rsidR="00000000" w14:paraId="5E5282A7" w14:textId="77777777">
        <w:trPr>
          <w:divId w:val="1410927533"/>
        </w:trPr>
        <w:tc>
          <w:tcPr>
            <w:tcW w:w="0" w:type="auto"/>
            <w:gridSpan w:val="3"/>
            <w:shd w:val="clear" w:color="auto" w:fill="CCEEFF"/>
            <w:tcMar>
              <w:top w:w="30" w:type="dxa"/>
              <w:left w:w="20" w:type="dxa"/>
              <w:bottom w:w="30" w:type="dxa"/>
              <w:right w:w="20" w:type="dxa"/>
            </w:tcMar>
            <w:vAlign w:val="center"/>
            <w:hideMark/>
          </w:tcPr>
          <w:p w14:paraId="41C85BF3" w14:textId="77777777" w:rsidR="00000000" w:rsidRDefault="00A173A8">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3E7C5477"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C1353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2467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A1EED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5460D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13A41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8B08F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E3697B" w14:textId="77777777" w:rsidR="00000000" w:rsidRDefault="00A173A8">
            <w:pPr>
              <w:spacing w:after="100"/>
              <w:rPr>
                <w:rFonts w:eastAsia="Times New Roman"/>
                <w:sz w:val="20"/>
                <w:szCs w:val="20"/>
              </w:rPr>
            </w:pPr>
          </w:p>
        </w:tc>
      </w:tr>
      <w:tr w:rsidR="00000000" w14:paraId="307EEFD7" w14:textId="77777777">
        <w:trPr>
          <w:divId w:val="1410927533"/>
        </w:trPr>
        <w:tc>
          <w:tcPr>
            <w:tcW w:w="0" w:type="auto"/>
            <w:gridSpan w:val="3"/>
            <w:shd w:val="clear" w:color="auto" w:fill="FFFFFF"/>
            <w:tcMar>
              <w:top w:w="30" w:type="dxa"/>
              <w:left w:w="245" w:type="dxa"/>
              <w:bottom w:w="30" w:type="dxa"/>
              <w:right w:w="20" w:type="dxa"/>
            </w:tcMar>
            <w:vAlign w:val="center"/>
            <w:hideMark/>
          </w:tcPr>
          <w:p w14:paraId="1E6B1AF5" w14:textId="77777777" w:rsidR="00000000" w:rsidRDefault="00A173A8">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0DF5FE2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122D24A" w14:textId="77777777" w:rsidR="00000000" w:rsidRDefault="00A173A8">
            <w:pPr>
              <w:spacing w:after="100"/>
              <w:jc w:val="right"/>
              <w:rPr>
                <w:rFonts w:eastAsia="Times New Roman"/>
              </w:rPr>
            </w:pPr>
            <w:r>
              <w:rPr>
                <w:rFonts w:eastAsia="Times New Roman"/>
                <w:b/>
                <w:bCs/>
                <w:color w:val="000000"/>
                <w:sz w:val="20"/>
                <w:szCs w:val="20"/>
              </w:rPr>
              <w:t>398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FEA315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44D0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BC88CB" w14:textId="77777777" w:rsidR="00000000" w:rsidRDefault="00A173A8">
            <w:pPr>
              <w:spacing w:after="100"/>
              <w:jc w:val="right"/>
              <w:rPr>
                <w:rFonts w:eastAsia="Times New Roman"/>
              </w:rPr>
            </w:pPr>
            <w:r>
              <w:rPr>
                <w:rFonts w:eastAsia="Times New Roman"/>
                <w:b/>
                <w:bCs/>
                <w:color w:val="000000"/>
                <w:sz w:val="20"/>
                <w:szCs w:val="20"/>
              </w:rPr>
              <w:t>0.50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9D8BFD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45859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2382F7" w14:textId="77777777" w:rsidR="00000000" w:rsidRDefault="00A173A8">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center"/>
            <w:hideMark/>
          </w:tcPr>
          <w:p w14:paraId="6E64410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EA63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DA961F" w14:textId="77777777" w:rsidR="00000000" w:rsidRDefault="00A173A8">
            <w:pPr>
              <w:spacing w:after="100"/>
              <w:jc w:val="right"/>
              <w:rPr>
                <w:rFonts w:eastAsia="Times New Roman"/>
              </w:rPr>
            </w:pPr>
            <w:r>
              <w:rPr>
                <w:rFonts w:eastAsia="Times New Roman"/>
                <w:color w:val="000000"/>
                <w:sz w:val="20"/>
                <w:szCs w:val="20"/>
              </w:rPr>
              <w:t>0.45 </w:t>
            </w:r>
          </w:p>
        </w:tc>
        <w:tc>
          <w:tcPr>
            <w:tcW w:w="0" w:type="auto"/>
            <w:shd w:val="clear" w:color="auto" w:fill="FFFFFF"/>
            <w:tcMar>
              <w:top w:w="30" w:type="dxa"/>
              <w:left w:w="0" w:type="dxa"/>
              <w:bottom w:w="30" w:type="dxa"/>
              <w:right w:w="20" w:type="dxa"/>
            </w:tcMar>
            <w:vAlign w:val="center"/>
            <w:hideMark/>
          </w:tcPr>
          <w:p w14:paraId="15BDE175" w14:textId="77777777" w:rsidR="00000000" w:rsidRDefault="00A173A8">
            <w:pPr>
              <w:spacing w:after="100"/>
              <w:jc w:val="right"/>
              <w:rPr>
                <w:rFonts w:eastAsia="Times New Roman"/>
              </w:rPr>
            </w:pPr>
          </w:p>
        </w:tc>
      </w:tr>
      <w:tr w:rsidR="00000000" w14:paraId="346D208F" w14:textId="77777777">
        <w:trPr>
          <w:divId w:val="1410927533"/>
        </w:trPr>
        <w:tc>
          <w:tcPr>
            <w:tcW w:w="0" w:type="auto"/>
            <w:gridSpan w:val="3"/>
            <w:shd w:val="clear" w:color="auto" w:fill="CCEEFF"/>
            <w:tcMar>
              <w:top w:w="30" w:type="dxa"/>
              <w:left w:w="245" w:type="dxa"/>
              <w:bottom w:w="30" w:type="dxa"/>
              <w:right w:w="20" w:type="dxa"/>
            </w:tcMar>
            <w:vAlign w:val="center"/>
            <w:hideMark/>
          </w:tcPr>
          <w:p w14:paraId="10C3D6A3" w14:textId="77777777" w:rsidR="00000000" w:rsidRDefault="00A173A8">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14:paraId="440DE24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3AEF7C3" w14:textId="77777777" w:rsidR="00000000" w:rsidRDefault="00A173A8">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A63ED9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EE6C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08B5EA" w14:textId="77777777" w:rsidR="00000000" w:rsidRDefault="00A173A8">
            <w:pPr>
              <w:spacing w:after="100"/>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E37A6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F97ED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82E746" w14:textId="77777777" w:rsidR="00000000" w:rsidRDefault="00A173A8">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center"/>
            <w:hideMark/>
          </w:tcPr>
          <w:p w14:paraId="5DEF4FF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C2B1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6D380A" w14:textId="77777777" w:rsidR="00000000" w:rsidRDefault="00A173A8">
            <w:pPr>
              <w:spacing w:after="100"/>
              <w:jc w:val="right"/>
              <w:rPr>
                <w:rFonts w:eastAsia="Times New Roman"/>
              </w:rPr>
            </w:pPr>
            <w:r>
              <w:rPr>
                <w:rFonts w:eastAsia="Times New Roman"/>
                <w:color w:val="000000"/>
                <w:sz w:val="20"/>
                <w:szCs w:val="20"/>
              </w:rPr>
              <w:t>2.51 </w:t>
            </w:r>
          </w:p>
        </w:tc>
        <w:tc>
          <w:tcPr>
            <w:tcW w:w="0" w:type="auto"/>
            <w:shd w:val="clear" w:color="auto" w:fill="CCEEFF"/>
            <w:tcMar>
              <w:top w:w="30" w:type="dxa"/>
              <w:left w:w="0" w:type="dxa"/>
              <w:bottom w:w="30" w:type="dxa"/>
              <w:right w:w="20" w:type="dxa"/>
            </w:tcMar>
            <w:vAlign w:val="center"/>
            <w:hideMark/>
          </w:tcPr>
          <w:p w14:paraId="4E0BC40E" w14:textId="77777777" w:rsidR="00000000" w:rsidRDefault="00A173A8">
            <w:pPr>
              <w:spacing w:after="100"/>
              <w:jc w:val="right"/>
              <w:rPr>
                <w:rFonts w:eastAsia="Times New Roman"/>
              </w:rPr>
            </w:pPr>
          </w:p>
        </w:tc>
      </w:tr>
      <w:tr w:rsidR="00000000" w14:paraId="3C2EDDFF" w14:textId="77777777">
        <w:trPr>
          <w:divId w:val="1410927533"/>
        </w:trPr>
        <w:tc>
          <w:tcPr>
            <w:tcW w:w="0" w:type="auto"/>
            <w:gridSpan w:val="3"/>
            <w:shd w:val="clear" w:color="auto" w:fill="FFFFFF"/>
            <w:tcMar>
              <w:top w:w="30" w:type="dxa"/>
              <w:left w:w="20" w:type="dxa"/>
              <w:bottom w:w="30" w:type="dxa"/>
              <w:right w:w="20" w:type="dxa"/>
            </w:tcMar>
            <w:vAlign w:val="center"/>
            <w:hideMark/>
          </w:tcPr>
          <w:p w14:paraId="5986CEC3" w14:textId="77777777" w:rsidR="00000000" w:rsidRDefault="00A173A8">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23B6ED40"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B884FF" w14:textId="77777777" w:rsidR="00000000" w:rsidRDefault="00A173A8">
            <w:pPr>
              <w:spacing w:after="100"/>
              <w:jc w:val="right"/>
              <w:rPr>
                <w:rFonts w:eastAsia="Times New Roman"/>
              </w:rPr>
            </w:pPr>
            <w:r>
              <w:rPr>
                <w:rFonts w:eastAsia="Times New Roman"/>
                <w:b/>
                <w:bCs/>
                <w:color w:val="000000"/>
                <w:sz w:val="20"/>
                <w:szCs w:val="20"/>
              </w:rPr>
              <w:t>440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0D2EED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20D35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599843" w14:textId="77777777" w:rsidR="00000000" w:rsidRDefault="00A173A8">
            <w:pPr>
              <w:spacing w:after="100"/>
              <w:jc w:val="right"/>
              <w:rPr>
                <w:rFonts w:eastAsia="Times New Roman"/>
              </w:rPr>
            </w:pPr>
            <w:r>
              <w:rPr>
                <w:rFonts w:eastAsia="Times New Roman"/>
                <w:b/>
                <w:bCs/>
                <w:color w:val="000000"/>
                <w:sz w:val="20"/>
                <w:szCs w:val="20"/>
              </w:rPr>
              <w:t>0.54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53317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14EAA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17B29FD" w14:textId="77777777" w:rsidR="00000000" w:rsidRDefault="00A173A8">
            <w:pPr>
              <w:spacing w:after="100"/>
              <w:jc w:val="right"/>
              <w:rPr>
                <w:rFonts w:eastAsia="Times New Roman"/>
              </w:rPr>
            </w:pPr>
            <w:r>
              <w:rPr>
                <w:rFonts w:eastAsia="Times New Roman"/>
                <w:color w:val="000000"/>
                <w:sz w:val="20"/>
                <w:szCs w:val="20"/>
              </w:rPr>
              <w:t>391 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06AB8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EFAA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1219A8" w14:textId="77777777" w:rsidR="00000000" w:rsidRDefault="00A173A8">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center"/>
            <w:hideMark/>
          </w:tcPr>
          <w:p w14:paraId="0B6EFEBA" w14:textId="77777777" w:rsidR="00000000" w:rsidRDefault="00A173A8">
            <w:pPr>
              <w:spacing w:after="100"/>
              <w:jc w:val="right"/>
              <w:rPr>
                <w:rFonts w:eastAsia="Times New Roman"/>
              </w:rPr>
            </w:pPr>
          </w:p>
        </w:tc>
      </w:tr>
      <w:tr w:rsidR="00000000" w14:paraId="4B54E73A" w14:textId="77777777">
        <w:trPr>
          <w:divId w:val="1410927533"/>
        </w:trPr>
        <w:tc>
          <w:tcPr>
            <w:tcW w:w="0" w:type="auto"/>
            <w:gridSpan w:val="3"/>
            <w:shd w:val="clear" w:color="auto" w:fill="CCEEFF"/>
            <w:tcMar>
              <w:top w:w="30" w:type="dxa"/>
              <w:left w:w="20" w:type="dxa"/>
              <w:bottom w:w="30" w:type="dxa"/>
              <w:right w:w="20" w:type="dxa"/>
            </w:tcMar>
            <w:vAlign w:val="center"/>
            <w:hideMark/>
          </w:tcPr>
          <w:p w14:paraId="6D07417D" w14:textId="77777777" w:rsidR="00000000" w:rsidRDefault="00A173A8">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4A683C5D"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E0A19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A4D81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03560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07482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68715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D1CB2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6BBD96" w14:textId="77777777" w:rsidR="00000000" w:rsidRDefault="00A173A8">
            <w:pPr>
              <w:spacing w:after="100"/>
              <w:rPr>
                <w:rFonts w:eastAsia="Times New Roman"/>
                <w:sz w:val="20"/>
                <w:szCs w:val="20"/>
              </w:rPr>
            </w:pPr>
          </w:p>
        </w:tc>
      </w:tr>
      <w:tr w:rsidR="00000000" w14:paraId="54CFB5A2" w14:textId="77777777">
        <w:trPr>
          <w:divId w:val="1410927533"/>
        </w:trPr>
        <w:tc>
          <w:tcPr>
            <w:tcW w:w="0" w:type="auto"/>
            <w:gridSpan w:val="3"/>
            <w:shd w:val="clear" w:color="auto" w:fill="FFFFFF"/>
            <w:tcMar>
              <w:top w:w="30" w:type="dxa"/>
              <w:left w:w="245" w:type="dxa"/>
              <w:bottom w:w="30" w:type="dxa"/>
              <w:right w:w="20" w:type="dxa"/>
            </w:tcMar>
            <w:vAlign w:val="center"/>
            <w:hideMark/>
          </w:tcPr>
          <w:p w14:paraId="13377DB4" w14:textId="77777777" w:rsidR="00000000" w:rsidRDefault="00A173A8">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52DE2FD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0DF2A72" w14:textId="77777777" w:rsidR="00000000" w:rsidRDefault="00A173A8">
            <w:pPr>
              <w:spacing w:after="100"/>
              <w:jc w:val="right"/>
              <w:rPr>
                <w:rFonts w:eastAsia="Times New Roman"/>
              </w:rPr>
            </w:pPr>
            <w:r>
              <w:rPr>
                <w:rFonts w:eastAsia="Times New Roman"/>
                <w:b/>
                <w:bCs/>
                <w:color w:val="000000"/>
                <w:sz w:val="20"/>
                <w:szCs w:val="20"/>
              </w:rPr>
              <w:t>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C6C26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3CF4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34680F" w14:textId="77777777" w:rsidR="00000000" w:rsidRDefault="00A173A8">
            <w:pPr>
              <w:spacing w:after="100"/>
              <w:jc w:val="right"/>
              <w:rPr>
                <w:rFonts w:eastAsia="Times New Roman"/>
              </w:rPr>
            </w:pPr>
            <w:r>
              <w:rPr>
                <w:rFonts w:eastAsia="Times New Roman"/>
                <w:b/>
                <w:bCs/>
                <w:color w:val="000000"/>
                <w:sz w:val="20"/>
                <w:szCs w:val="20"/>
              </w:rPr>
              <w:t>0.78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A88CBF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46A6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732F22" w14:textId="77777777" w:rsidR="00000000" w:rsidRDefault="00A173A8">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center"/>
            <w:hideMark/>
          </w:tcPr>
          <w:p w14:paraId="76E4284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93E0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FD421F" w14:textId="77777777" w:rsidR="00000000" w:rsidRDefault="00A173A8">
            <w:pPr>
              <w:spacing w:after="100"/>
              <w:jc w:val="right"/>
              <w:rPr>
                <w:rFonts w:eastAsia="Times New Roman"/>
              </w:rPr>
            </w:pPr>
            <w:r>
              <w:rPr>
                <w:rFonts w:eastAsia="Times New Roman"/>
                <w:color w:val="000000"/>
                <w:sz w:val="20"/>
                <w:szCs w:val="20"/>
              </w:rPr>
              <w:t>1.09 </w:t>
            </w:r>
          </w:p>
        </w:tc>
        <w:tc>
          <w:tcPr>
            <w:tcW w:w="0" w:type="auto"/>
            <w:shd w:val="clear" w:color="auto" w:fill="FFFFFF"/>
            <w:tcMar>
              <w:top w:w="30" w:type="dxa"/>
              <w:left w:w="0" w:type="dxa"/>
              <w:bottom w:w="30" w:type="dxa"/>
              <w:right w:w="20" w:type="dxa"/>
            </w:tcMar>
            <w:vAlign w:val="center"/>
            <w:hideMark/>
          </w:tcPr>
          <w:p w14:paraId="55DE8636" w14:textId="77777777" w:rsidR="00000000" w:rsidRDefault="00A173A8">
            <w:pPr>
              <w:spacing w:after="100"/>
              <w:jc w:val="right"/>
              <w:rPr>
                <w:rFonts w:eastAsia="Times New Roman"/>
              </w:rPr>
            </w:pPr>
          </w:p>
        </w:tc>
      </w:tr>
      <w:tr w:rsidR="00000000" w14:paraId="77525567" w14:textId="77777777">
        <w:trPr>
          <w:divId w:val="1410927533"/>
        </w:trPr>
        <w:tc>
          <w:tcPr>
            <w:tcW w:w="0" w:type="auto"/>
            <w:gridSpan w:val="3"/>
            <w:shd w:val="clear" w:color="auto" w:fill="CCEEFF"/>
            <w:tcMar>
              <w:top w:w="30" w:type="dxa"/>
              <w:left w:w="245" w:type="dxa"/>
              <w:bottom w:w="30" w:type="dxa"/>
              <w:right w:w="20" w:type="dxa"/>
            </w:tcMar>
            <w:vAlign w:val="center"/>
            <w:hideMark/>
          </w:tcPr>
          <w:p w14:paraId="3F77F6E5" w14:textId="77777777" w:rsidR="00000000" w:rsidRDefault="00A173A8">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14:paraId="7847905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7A7CE7" w14:textId="77777777" w:rsidR="00000000" w:rsidRDefault="00A173A8">
            <w:pPr>
              <w:spacing w:after="100"/>
              <w:jc w:val="right"/>
              <w:rPr>
                <w:rFonts w:eastAsia="Times New Roman"/>
              </w:rPr>
            </w:pPr>
            <w:r>
              <w:rPr>
                <w:rFonts w:eastAsia="Times New Roman"/>
                <w:b/>
                <w:bCs/>
                <w:color w:val="000000"/>
                <w:sz w:val="20"/>
                <w:szCs w:val="20"/>
              </w:rPr>
              <w:t>361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216957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FDCB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72B844" w14:textId="77777777" w:rsidR="00000000" w:rsidRDefault="00A173A8">
            <w:pPr>
              <w:spacing w:after="100"/>
              <w:jc w:val="right"/>
              <w:rPr>
                <w:rFonts w:eastAsia="Times New Roman"/>
              </w:rPr>
            </w:pPr>
            <w:r>
              <w:rPr>
                <w:rFonts w:eastAsia="Times New Roman"/>
                <w:b/>
                <w:bCs/>
                <w:color w:val="000000"/>
                <w:sz w:val="20"/>
                <w:szCs w:val="20"/>
              </w:rPr>
              <w:t>0.64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113B82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BC95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B8ECE5" w14:textId="77777777" w:rsidR="00000000" w:rsidRDefault="00A173A8">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center"/>
            <w:hideMark/>
          </w:tcPr>
          <w:p w14:paraId="2664ED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FA045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84D6A4" w14:textId="77777777" w:rsidR="00000000" w:rsidRDefault="00A173A8">
            <w:pPr>
              <w:spacing w:after="100"/>
              <w:jc w:val="right"/>
              <w:rPr>
                <w:rFonts w:eastAsia="Times New Roman"/>
              </w:rPr>
            </w:pPr>
            <w:r>
              <w:rPr>
                <w:rFonts w:eastAsia="Times New Roman"/>
                <w:color w:val="000000"/>
                <w:sz w:val="20"/>
                <w:szCs w:val="20"/>
              </w:rPr>
              <w:t>0.64 </w:t>
            </w:r>
          </w:p>
        </w:tc>
        <w:tc>
          <w:tcPr>
            <w:tcW w:w="0" w:type="auto"/>
            <w:shd w:val="clear" w:color="auto" w:fill="CCEEFF"/>
            <w:tcMar>
              <w:top w:w="30" w:type="dxa"/>
              <w:left w:w="0" w:type="dxa"/>
              <w:bottom w:w="30" w:type="dxa"/>
              <w:right w:w="20" w:type="dxa"/>
            </w:tcMar>
            <w:vAlign w:val="center"/>
            <w:hideMark/>
          </w:tcPr>
          <w:p w14:paraId="552B4065" w14:textId="77777777" w:rsidR="00000000" w:rsidRDefault="00A173A8">
            <w:pPr>
              <w:spacing w:after="100"/>
              <w:jc w:val="right"/>
              <w:rPr>
                <w:rFonts w:eastAsia="Times New Roman"/>
              </w:rPr>
            </w:pPr>
          </w:p>
        </w:tc>
      </w:tr>
      <w:tr w:rsidR="00000000" w14:paraId="7341AE62" w14:textId="77777777">
        <w:trPr>
          <w:divId w:val="1410927533"/>
        </w:trPr>
        <w:tc>
          <w:tcPr>
            <w:tcW w:w="0" w:type="auto"/>
            <w:gridSpan w:val="3"/>
            <w:shd w:val="clear" w:color="auto" w:fill="FFFFFF"/>
            <w:tcMar>
              <w:top w:w="30" w:type="dxa"/>
              <w:left w:w="20" w:type="dxa"/>
              <w:bottom w:w="30" w:type="dxa"/>
              <w:right w:w="20" w:type="dxa"/>
            </w:tcMar>
            <w:vAlign w:val="center"/>
            <w:hideMark/>
          </w:tcPr>
          <w:p w14:paraId="2CA35425" w14:textId="77777777" w:rsidR="00000000" w:rsidRDefault="00A173A8">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14:paraId="10DFCF82"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286D50" w14:textId="77777777" w:rsidR="00000000" w:rsidRDefault="00A173A8">
            <w:pPr>
              <w:spacing w:after="100"/>
              <w:jc w:val="right"/>
              <w:rPr>
                <w:rFonts w:eastAsia="Times New Roman"/>
              </w:rPr>
            </w:pPr>
            <w:r>
              <w:rPr>
                <w:rFonts w:eastAsia="Times New Roman"/>
                <w:b/>
                <w:bCs/>
                <w:color w:val="000000"/>
                <w:sz w:val="20"/>
                <w:szCs w:val="20"/>
              </w:rPr>
              <w:t>655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F6940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9944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DF336B" w14:textId="77777777" w:rsidR="00000000" w:rsidRDefault="00A173A8">
            <w:pPr>
              <w:spacing w:after="100"/>
              <w:jc w:val="right"/>
              <w:rPr>
                <w:rFonts w:eastAsia="Times New Roman"/>
              </w:rPr>
            </w:pPr>
            <w:r>
              <w:rPr>
                <w:rFonts w:eastAsia="Times New Roman"/>
                <w:b/>
                <w:bCs/>
                <w:color w:val="000000"/>
                <w:sz w:val="20"/>
                <w:szCs w:val="20"/>
              </w:rPr>
              <w:t>0.70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7C44E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D6B5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ADC0223" w14:textId="77777777" w:rsidR="00000000" w:rsidRDefault="00A173A8">
            <w:pPr>
              <w:spacing w:after="100"/>
              <w:jc w:val="right"/>
              <w:rPr>
                <w:rFonts w:eastAsia="Times New Roman"/>
              </w:rPr>
            </w:pPr>
            <w:r>
              <w:rPr>
                <w:rFonts w:eastAsia="Times New Roman"/>
                <w:color w:val="000000"/>
                <w:sz w:val="20"/>
                <w:szCs w:val="20"/>
              </w:rPr>
              <w:t>699 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4AB3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CAD95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FFCE11" w14:textId="77777777" w:rsidR="00000000" w:rsidRDefault="00A173A8">
            <w:pPr>
              <w:spacing w:after="100"/>
              <w:jc w:val="right"/>
              <w:rPr>
                <w:rFonts w:eastAsia="Times New Roman"/>
              </w:rPr>
            </w:pPr>
            <w:r>
              <w:rPr>
                <w:rFonts w:eastAsia="Times New Roman"/>
                <w:color w:val="000000"/>
                <w:sz w:val="20"/>
                <w:szCs w:val="20"/>
              </w:rPr>
              <w:t>0.82 </w:t>
            </w:r>
          </w:p>
        </w:tc>
        <w:tc>
          <w:tcPr>
            <w:tcW w:w="0" w:type="auto"/>
            <w:shd w:val="clear" w:color="auto" w:fill="FFFFFF"/>
            <w:tcMar>
              <w:top w:w="30" w:type="dxa"/>
              <w:left w:w="0" w:type="dxa"/>
              <w:bottom w:w="30" w:type="dxa"/>
              <w:right w:w="20" w:type="dxa"/>
            </w:tcMar>
            <w:vAlign w:val="center"/>
            <w:hideMark/>
          </w:tcPr>
          <w:p w14:paraId="4591539E" w14:textId="77777777" w:rsidR="00000000" w:rsidRDefault="00A173A8">
            <w:pPr>
              <w:spacing w:after="100"/>
              <w:jc w:val="right"/>
              <w:rPr>
                <w:rFonts w:eastAsia="Times New Roman"/>
              </w:rPr>
            </w:pPr>
          </w:p>
        </w:tc>
      </w:tr>
      <w:tr w:rsidR="00000000" w14:paraId="693194DC" w14:textId="77777777">
        <w:trPr>
          <w:divId w:val="1410927533"/>
        </w:trPr>
        <w:tc>
          <w:tcPr>
            <w:tcW w:w="0" w:type="auto"/>
            <w:gridSpan w:val="3"/>
            <w:shd w:val="clear" w:color="auto" w:fill="CCEEFF"/>
            <w:tcMar>
              <w:top w:w="30" w:type="dxa"/>
              <w:left w:w="20" w:type="dxa"/>
              <w:bottom w:w="30" w:type="dxa"/>
              <w:right w:w="20" w:type="dxa"/>
            </w:tcMar>
            <w:vAlign w:val="center"/>
            <w:hideMark/>
          </w:tcPr>
          <w:p w14:paraId="39CBEB93" w14:textId="77777777" w:rsidR="00000000" w:rsidRDefault="00A173A8">
            <w:pPr>
              <w:spacing w:after="100"/>
              <w:divId w:val="2037346669"/>
              <w:rPr>
                <w:rFonts w:eastAsia="Times New Roman"/>
              </w:rPr>
            </w:pPr>
            <w:r>
              <w:rPr>
                <w:rFonts w:eastAsia="Times New Roman"/>
                <w:color w:val="000000"/>
                <w:sz w:val="20"/>
                <w:szCs w:val="20"/>
              </w:rPr>
              <w:t>Total nonperforming loans held for investmen</w:t>
            </w:r>
            <w:r>
              <w:rPr>
                <w:rFonts w:eastAsia="Times New Roman"/>
                <w:color w:val="000000"/>
                <w:sz w:val="20"/>
                <w:szCs w:val="20"/>
              </w:rPr>
              <w:t>t</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F19378C"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74EB32" w14:textId="77777777" w:rsidR="00000000" w:rsidRDefault="00A173A8">
            <w:pPr>
              <w:spacing w:after="100"/>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6FC83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61954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A91C82" w14:textId="77777777" w:rsidR="00000000" w:rsidRDefault="00A173A8">
            <w:pPr>
              <w:spacing w:after="100"/>
              <w:jc w:val="right"/>
              <w:rPr>
                <w:rFonts w:eastAsia="Times New Roman"/>
              </w:rPr>
            </w:pPr>
            <w:r>
              <w:rPr>
                <w:rFonts w:eastAsia="Times New Roman"/>
                <w:b/>
                <w:bCs/>
                <w:color w:val="000000"/>
                <w:sz w:val="20"/>
                <w:szCs w:val="20"/>
              </w:rPr>
              <w:t>0.37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CB7A54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B9C6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BB3969" w14:textId="77777777" w:rsidR="00000000" w:rsidRDefault="00A173A8">
            <w:pPr>
              <w:spacing w:after="100"/>
              <w:jc w:val="right"/>
              <w:rPr>
                <w:rFonts w:eastAsia="Times New Roman"/>
              </w:rPr>
            </w:pPr>
            <w:r>
              <w:rPr>
                <w:rFonts w:eastAsia="Times New Roman"/>
                <w:color w:val="000000"/>
                <w:sz w:val="20"/>
                <w:szCs w:val="20"/>
              </w:rPr>
              <w:t>1,100 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965AD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8DBE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88096E" w14:textId="77777777" w:rsidR="00000000" w:rsidRDefault="00A173A8">
            <w:pPr>
              <w:spacing w:after="100"/>
              <w:jc w:val="right"/>
              <w:rPr>
                <w:rFonts w:eastAsia="Times New Roman"/>
              </w:rPr>
            </w:pPr>
            <w:r>
              <w:rPr>
                <w:rFonts w:eastAsia="Times New Roman"/>
                <w:color w:val="000000"/>
                <w:sz w:val="20"/>
                <w:szCs w:val="20"/>
              </w:rPr>
              <w:t>0.40 </w:t>
            </w:r>
          </w:p>
        </w:tc>
        <w:tc>
          <w:tcPr>
            <w:tcW w:w="0" w:type="auto"/>
            <w:shd w:val="clear" w:color="auto" w:fill="CCEEFF"/>
            <w:tcMar>
              <w:top w:w="30" w:type="dxa"/>
              <w:left w:w="0" w:type="dxa"/>
              <w:bottom w:w="30" w:type="dxa"/>
              <w:right w:w="20" w:type="dxa"/>
            </w:tcMar>
            <w:vAlign w:val="center"/>
            <w:hideMark/>
          </w:tcPr>
          <w:p w14:paraId="42DE6766" w14:textId="77777777" w:rsidR="00000000" w:rsidRDefault="00A173A8">
            <w:pPr>
              <w:spacing w:after="100"/>
              <w:jc w:val="right"/>
              <w:rPr>
                <w:rFonts w:eastAsia="Times New Roman"/>
              </w:rPr>
            </w:pPr>
          </w:p>
        </w:tc>
      </w:tr>
      <w:tr w:rsidR="00000000" w14:paraId="0EA24AFF" w14:textId="77777777">
        <w:trPr>
          <w:divId w:val="1410927533"/>
        </w:trPr>
        <w:tc>
          <w:tcPr>
            <w:tcW w:w="0" w:type="auto"/>
            <w:gridSpan w:val="3"/>
            <w:shd w:val="clear" w:color="auto" w:fill="FFFFFF"/>
            <w:tcMar>
              <w:top w:w="30" w:type="dxa"/>
              <w:left w:w="20" w:type="dxa"/>
              <w:bottom w:w="30" w:type="dxa"/>
              <w:right w:w="20" w:type="dxa"/>
            </w:tcMar>
            <w:vAlign w:val="center"/>
            <w:hideMark/>
          </w:tcPr>
          <w:p w14:paraId="2E28AFD6" w14:textId="77777777" w:rsidR="00000000" w:rsidRDefault="00A173A8">
            <w:pPr>
              <w:spacing w:after="100"/>
              <w:divId w:val="384454134"/>
              <w:rPr>
                <w:rFonts w:eastAsia="Times New Roman"/>
              </w:rPr>
            </w:pPr>
            <w:r>
              <w:rPr>
                <w:rFonts w:eastAsia="Times New Roman"/>
                <w:color w:val="000000"/>
                <w:sz w:val="20"/>
                <w:szCs w:val="20"/>
              </w:rPr>
              <w:t>Other nonperforming asset</w:t>
            </w:r>
            <w:r>
              <w:rPr>
                <w:rFonts w:eastAsia="Times New Roman"/>
                <w:color w:val="000000"/>
                <w:sz w:val="20"/>
                <w:szCs w:val="20"/>
              </w:rPr>
              <w:t>s</w:t>
            </w:r>
            <w:r>
              <w:rPr>
                <w:rFonts w:eastAsia="Times New Roman"/>
                <w:color w:val="000000"/>
                <w:sz w:val="13"/>
                <w:szCs w:val="13"/>
              </w:rPr>
              <w:t>(4</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9EE7E81"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D780BED" w14:textId="77777777" w:rsidR="00000000" w:rsidRDefault="00A173A8">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16E86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CCC5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76C1FA" w14:textId="77777777" w:rsidR="00000000" w:rsidRDefault="00A173A8">
            <w:pPr>
              <w:spacing w:after="100"/>
              <w:jc w:val="right"/>
              <w:rPr>
                <w:rFonts w:eastAsia="Times New Roman"/>
              </w:rPr>
            </w:pPr>
            <w:r>
              <w:rPr>
                <w:rFonts w:eastAsia="Times New Roman"/>
                <w:b/>
                <w:bCs/>
                <w:color w:val="000000"/>
                <w:sz w:val="20"/>
                <w:szCs w:val="20"/>
              </w:rPr>
              <w:t>0.02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9FC59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03F0C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395BED" w14:textId="77777777" w:rsidR="00000000" w:rsidRDefault="00A173A8">
            <w:pPr>
              <w:spacing w:after="100"/>
              <w:jc w:val="right"/>
              <w:rPr>
                <w:rFonts w:eastAsia="Times New Roman"/>
              </w:rPr>
            </w:pPr>
            <w:r>
              <w:rPr>
                <w:rFonts w:eastAsia="Times New Roman"/>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8849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8620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559F1A" w14:textId="77777777" w:rsidR="00000000" w:rsidRDefault="00A173A8">
            <w:pPr>
              <w:spacing w:after="100"/>
              <w:jc w:val="right"/>
              <w:rPr>
                <w:rFonts w:eastAsia="Times New Roman"/>
              </w:rPr>
            </w:pPr>
            <w:r>
              <w:rPr>
                <w:rFonts w:eastAsia="Times New Roman"/>
                <w:color w:val="000000"/>
                <w:sz w:val="20"/>
                <w:szCs w:val="20"/>
              </w:rPr>
              <w:t>0.01 </w:t>
            </w:r>
          </w:p>
        </w:tc>
        <w:tc>
          <w:tcPr>
            <w:tcW w:w="0" w:type="auto"/>
            <w:shd w:val="clear" w:color="auto" w:fill="FFFFFF"/>
            <w:tcMar>
              <w:top w:w="30" w:type="dxa"/>
              <w:left w:w="0" w:type="dxa"/>
              <w:bottom w:w="30" w:type="dxa"/>
              <w:right w:w="20" w:type="dxa"/>
            </w:tcMar>
            <w:vAlign w:val="center"/>
            <w:hideMark/>
          </w:tcPr>
          <w:p w14:paraId="2DC58C40" w14:textId="77777777" w:rsidR="00000000" w:rsidRDefault="00A173A8">
            <w:pPr>
              <w:spacing w:after="100"/>
              <w:jc w:val="right"/>
              <w:rPr>
                <w:rFonts w:eastAsia="Times New Roman"/>
              </w:rPr>
            </w:pPr>
          </w:p>
        </w:tc>
      </w:tr>
      <w:tr w:rsidR="00000000" w14:paraId="298F6D84" w14:textId="77777777">
        <w:trPr>
          <w:divId w:val="1410927533"/>
        </w:trPr>
        <w:tc>
          <w:tcPr>
            <w:tcW w:w="0" w:type="auto"/>
            <w:gridSpan w:val="3"/>
            <w:shd w:val="clear" w:color="auto" w:fill="CCEEFF"/>
            <w:tcMar>
              <w:top w:w="30" w:type="dxa"/>
              <w:left w:w="20" w:type="dxa"/>
              <w:bottom w:w="30" w:type="dxa"/>
              <w:right w:w="20" w:type="dxa"/>
            </w:tcMar>
            <w:vAlign w:val="center"/>
            <w:hideMark/>
          </w:tcPr>
          <w:p w14:paraId="0323C0A7" w14:textId="77777777" w:rsidR="00000000" w:rsidRDefault="00A173A8">
            <w:pPr>
              <w:spacing w:after="100"/>
              <w:rPr>
                <w:rFonts w:eastAsia="Times New Roman"/>
              </w:rPr>
            </w:pPr>
            <w:r>
              <w:rPr>
                <w:rFonts w:eastAsia="Times New Roman"/>
                <w:color w:val="000000"/>
                <w:sz w:val="20"/>
                <w:szCs w:val="20"/>
              </w:rPr>
              <w:t>Total nonperforming assets</w:t>
            </w:r>
          </w:p>
        </w:tc>
        <w:tc>
          <w:tcPr>
            <w:tcW w:w="0" w:type="auto"/>
            <w:gridSpan w:val="3"/>
            <w:shd w:val="clear" w:color="auto" w:fill="CCEEFF"/>
            <w:tcMar>
              <w:top w:w="0" w:type="dxa"/>
              <w:left w:w="20" w:type="dxa"/>
              <w:bottom w:w="0" w:type="dxa"/>
              <w:right w:w="20" w:type="dxa"/>
            </w:tcMar>
            <w:vAlign w:val="center"/>
            <w:hideMark/>
          </w:tcPr>
          <w:p w14:paraId="0DA279FF"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D2EEF60"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CA20825" w14:textId="77777777" w:rsidR="00000000" w:rsidRDefault="00A173A8">
            <w:pPr>
              <w:spacing w:after="100"/>
              <w:jc w:val="right"/>
              <w:rPr>
                <w:rFonts w:eastAsia="Times New Roman"/>
              </w:rPr>
            </w:pPr>
            <w:r>
              <w:rPr>
                <w:rFonts w:eastAsia="Times New Roman"/>
                <w:b/>
                <w:bCs/>
                <w:color w:val="000000"/>
                <w:sz w:val="20"/>
                <w:szCs w:val="20"/>
              </w:rPr>
              <w:t>1,156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F1F5E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E37A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5ABDA5" w14:textId="77777777" w:rsidR="00000000" w:rsidRDefault="00A173A8">
            <w:pPr>
              <w:spacing w:after="100"/>
              <w:jc w:val="right"/>
              <w:rPr>
                <w:rFonts w:eastAsia="Times New Roman"/>
              </w:rPr>
            </w:pPr>
            <w:r>
              <w:rPr>
                <w:rFonts w:eastAsia="Times New Roman"/>
                <w:b/>
                <w:bCs/>
                <w:color w:val="000000"/>
                <w:sz w:val="20"/>
                <w:szCs w:val="20"/>
              </w:rPr>
              <w:t>0.39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02A159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B39F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D3B9916"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26CD175" w14:textId="77777777" w:rsidR="00000000" w:rsidRDefault="00A173A8">
            <w:pPr>
              <w:spacing w:after="100"/>
              <w:jc w:val="right"/>
              <w:rPr>
                <w:rFonts w:eastAsia="Times New Roman"/>
              </w:rPr>
            </w:pPr>
            <w:r>
              <w:rPr>
                <w:rFonts w:eastAsia="Times New Roman"/>
                <w:color w:val="000000"/>
                <w:sz w:val="20"/>
                <w:szCs w:val="20"/>
              </w:rPr>
              <w:t>1,141 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3AC681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14A0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2230C2" w14:textId="77777777" w:rsidR="00000000" w:rsidRDefault="00A173A8">
            <w:pPr>
              <w:spacing w:after="100"/>
              <w:jc w:val="right"/>
              <w:rPr>
                <w:rFonts w:eastAsia="Times New Roman"/>
              </w:rPr>
            </w:pPr>
            <w:r>
              <w:rPr>
                <w:rFonts w:eastAsia="Times New Roman"/>
                <w:color w:val="000000"/>
                <w:sz w:val="20"/>
                <w:szCs w:val="20"/>
              </w:rPr>
              <w:t>0.41 </w:t>
            </w:r>
          </w:p>
        </w:tc>
        <w:tc>
          <w:tcPr>
            <w:tcW w:w="0" w:type="auto"/>
            <w:shd w:val="clear" w:color="auto" w:fill="CCEEFF"/>
            <w:tcMar>
              <w:top w:w="30" w:type="dxa"/>
              <w:left w:w="0" w:type="dxa"/>
              <w:bottom w:w="30" w:type="dxa"/>
              <w:right w:w="20" w:type="dxa"/>
            </w:tcMar>
            <w:vAlign w:val="center"/>
            <w:hideMark/>
          </w:tcPr>
          <w:p w14:paraId="4AB5551F" w14:textId="77777777" w:rsidR="00000000" w:rsidRDefault="00A173A8">
            <w:pPr>
              <w:spacing w:after="100"/>
              <w:jc w:val="right"/>
              <w:rPr>
                <w:rFonts w:eastAsia="Times New Roman"/>
              </w:rPr>
            </w:pPr>
          </w:p>
        </w:tc>
      </w:tr>
    </w:tbl>
    <w:p w14:paraId="7E691FF7" w14:textId="77777777" w:rsidR="00000000" w:rsidRDefault="00A173A8">
      <w:pPr>
        <w:divId w:val="1410927533"/>
        <w:rPr>
          <w:rFonts w:eastAsia="Times New Roman"/>
        </w:rPr>
      </w:pPr>
      <w:r>
        <w:rPr>
          <w:rFonts w:eastAsia="Times New Roman"/>
          <w:color w:val="000000"/>
          <w:sz w:val="20"/>
          <w:szCs w:val="20"/>
        </w:rPr>
        <w:t>__________</w:t>
      </w:r>
    </w:p>
    <w:p w14:paraId="21FC3DB8" w14:textId="77777777" w:rsidR="00000000" w:rsidRDefault="00A173A8">
      <w:pPr>
        <w:ind w:hanging="360"/>
        <w:jc w:val="both"/>
        <w:divId w:val="188305021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$11 mill</w:t>
      </w:r>
      <w:r>
        <w:rPr>
          <w:rFonts w:eastAsia="Times New Roman"/>
          <w:color w:val="000000"/>
          <w:sz w:val="16"/>
          <w:szCs w:val="16"/>
        </w:rPr>
        <w:t>ion and $8 million in the first six months of 2022 and 2021, respectively. Interest income foregone related to nonperforming loans was $40 million and $30 million in the first six months of 2022 and 2021, respectively. Foregone interest income represents t</w:t>
      </w:r>
      <w:r>
        <w:rPr>
          <w:rFonts w:eastAsia="Times New Roman"/>
          <w:color w:val="000000"/>
          <w:sz w:val="16"/>
          <w:szCs w:val="16"/>
        </w:rPr>
        <w:t>he amount of interest income in excess of recognized interest income that would have been recorded during the period for nonperforming loans as of the end of the period had the loans performed according to their contractual terms.</w:t>
      </w:r>
    </w:p>
    <w:p w14:paraId="64D88067" w14:textId="77777777" w:rsidR="00000000" w:rsidRDefault="00A173A8">
      <w:pPr>
        <w:ind w:hanging="360"/>
        <w:jc w:val="both"/>
        <w:divId w:val="209389226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loan rat</w:t>
      </w:r>
      <w:r>
        <w:rPr>
          <w:rFonts w:eastAsia="Times New Roman"/>
          <w:color w:val="000000"/>
          <w:sz w:val="16"/>
          <w:szCs w:val="16"/>
        </w:rPr>
        <w:t>es are calculated based on nonperforming loans for each category divided by period-end total loans held for investment for each respective category.</w:t>
      </w:r>
    </w:p>
    <w:p w14:paraId="60C2D0F9" w14:textId="77777777" w:rsidR="00000000" w:rsidRDefault="00A173A8">
      <w:pPr>
        <w:ind w:hanging="360"/>
        <w:jc w:val="both"/>
        <w:divId w:val="145787379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Excluding the impact of domestic credit card loans, nonperforming loans as a percentage of total loans h</w:t>
      </w:r>
      <w:r>
        <w:rPr>
          <w:rFonts w:eastAsia="Times New Roman"/>
          <w:color w:val="000000"/>
          <w:sz w:val="16"/>
          <w:szCs w:val="16"/>
        </w:rPr>
        <w:t>eld for investment was 0.61% and 0.65% as of June 30, 2022 and December 31, 2021, respectively.</w:t>
      </w:r>
    </w:p>
    <w:p w14:paraId="2CD7CD54" w14:textId="77777777" w:rsidR="00000000" w:rsidRDefault="00A173A8">
      <w:pPr>
        <w:ind w:hanging="360"/>
        <w:jc w:val="both"/>
        <w:divId w:val="179896394"/>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The denominators used in calculating nonperforming asset rates consist of total loans held for investment and other nonperforming assets. </w:t>
      </w:r>
    </w:p>
    <w:p w14:paraId="6DECE66E" w14:textId="77777777" w:rsidR="00000000" w:rsidRDefault="00A173A8">
      <w:pPr>
        <w:divId w:val="652685886"/>
        <w:rPr>
          <w:rFonts w:eastAsia="Times New Roman"/>
        </w:rPr>
      </w:pPr>
      <w:r>
        <w:rPr>
          <w:rFonts w:eastAsia="Times New Roman"/>
          <w:b/>
          <w:bCs/>
          <w:i/>
          <w:iCs/>
          <w:color w:val="000000"/>
          <w:sz w:val="20"/>
          <w:szCs w:val="20"/>
        </w:rPr>
        <w:t>Net Charge-Offs</w:t>
      </w:r>
    </w:p>
    <w:p w14:paraId="3450FEC6" w14:textId="77777777" w:rsidR="00000000" w:rsidRDefault="00A173A8">
      <w:pPr>
        <w:jc w:val="both"/>
        <w:divId w:val="503741699"/>
        <w:rPr>
          <w:rFonts w:eastAsia="Times New Roman"/>
        </w:rPr>
      </w:pPr>
      <w:r>
        <w:rPr>
          <w:rFonts w:eastAsia="Times New Roman"/>
          <w:color w:val="000000"/>
          <w:sz w:val="20"/>
          <w:szCs w:val="20"/>
        </w:rPr>
        <w:t>Net charge-offs consist of the amortized cost basis, excluding accrued interest, of loans held for investment that we determine to be uncollectible, net of recovered amounts. We charge off loans as a reduction to the allowance for credit losses when we det</w:t>
      </w:r>
      <w:r>
        <w:rPr>
          <w:rFonts w:eastAsia="Times New Roman"/>
          <w:color w:val="000000"/>
          <w:sz w:val="20"/>
          <w:szCs w:val="20"/>
        </w:rPr>
        <w:t>ermine the loan is uncollectible and record subsequent recoveries of previously charged off amounts as increases to the allowance for credit losses. Uncollectible finance charges and fees are reversed through revenue and certain fraud losses are recorded i</w:t>
      </w:r>
      <w:r>
        <w:rPr>
          <w:rFonts w:eastAsia="Times New Roman"/>
          <w:color w:val="000000"/>
          <w:sz w:val="20"/>
          <w:szCs w:val="20"/>
        </w:rPr>
        <w:t>n other non-interest expense. Generally, costs to recover charged off loans are recorded as collection expenses as incurred and are included in our consolidated statements of income as a component of other non-interest expense. Our charge-off policy for lo</w:t>
      </w:r>
      <w:r>
        <w:rPr>
          <w:rFonts w:eastAsia="Times New Roman"/>
          <w:color w:val="000000"/>
          <w:sz w:val="20"/>
          <w:szCs w:val="20"/>
        </w:rPr>
        <w:t>ans varies based on the loan type. See “Note 1—Summary of Significant Accounting Policies” in our 2021 Form 10-K for information on our charge-off policy for each of our loan categories.</w:t>
      </w:r>
    </w:p>
    <w:p w14:paraId="224AD2AA" w14:textId="77777777" w:rsidR="00000000" w:rsidRDefault="00A173A8">
      <w:pPr>
        <w:jc w:val="both"/>
        <w:divId w:val="125663378"/>
        <w:rPr>
          <w:rFonts w:eastAsia="Times New Roman"/>
        </w:rPr>
      </w:pPr>
      <w:r>
        <w:rPr>
          <w:rFonts w:eastAsia="Times New Roman"/>
          <w:color w:val="000000"/>
          <w:sz w:val="20"/>
          <w:szCs w:val="20"/>
        </w:rPr>
        <w:t xml:space="preserve">Table 26 presents our net charge-off amounts and rates, by portfolio </w:t>
      </w:r>
      <w:r>
        <w:rPr>
          <w:rFonts w:eastAsia="Times New Roman"/>
          <w:color w:val="000000"/>
          <w:sz w:val="20"/>
          <w:szCs w:val="20"/>
        </w:rPr>
        <w:t>segment, in the second quarter and first six months of 2022 and 2021.</w:t>
      </w:r>
    </w:p>
    <w:p w14:paraId="2B808A58" w14:textId="77777777" w:rsidR="00000000" w:rsidRDefault="00A173A8">
      <w:pPr>
        <w:divId w:val="519200094"/>
        <w:rPr>
          <w:rFonts w:eastAsia="Times New Roman"/>
        </w:rPr>
      </w:pPr>
      <w:r>
        <w:rPr>
          <w:rFonts w:eastAsia="Times New Roman"/>
          <w:b/>
          <w:bCs/>
          <w:color w:val="000000"/>
          <w:sz w:val="18"/>
          <w:szCs w:val="18"/>
        </w:rPr>
        <w:t>Table 26: Net Charge-Offs (Recoveries)</w:t>
      </w:r>
    </w:p>
    <w:tbl>
      <w:tblPr>
        <w:tblW w:w="5000" w:type="pct"/>
        <w:tblCellMar>
          <w:top w:w="15" w:type="dxa"/>
          <w:left w:w="15" w:type="dxa"/>
          <w:bottom w:w="15" w:type="dxa"/>
          <w:right w:w="15" w:type="dxa"/>
        </w:tblCellMar>
        <w:tblLook w:val="04A0" w:firstRow="1" w:lastRow="0" w:firstColumn="1" w:lastColumn="0" w:noHBand="0" w:noVBand="1"/>
      </w:tblPr>
      <w:tblGrid>
        <w:gridCol w:w="48"/>
        <w:gridCol w:w="96"/>
        <w:gridCol w:w="1140"/>
        <w:gridCol w:w="38"/>
        <w:gridCol w:w="36"/>
        <w:gridCol w:w="36"/>
        <w:gridCol w:w="36"/>
        <w:gridCol w:w="121"/>
        <w:gridCol w:w="643"/>
        <w:gridCol w:w="36"/>
        <w:gridCol w:w="36"/>
        <w:gridCol w:w="36"/>
        <w:gridCol w:w="36"/>
        <w:gridCol w:w="72"/>
        <w:gridCol w:w="397"/>
        <w:gridCol w:w="116"/>
        <w:gridCol w:w="28"/>
        <w:gridCol w:w="144"/>
        <w:gridCol w:w="48"/>
        <w:gridCol w:w="36"/>
        <w:gridCol w:w="36"/>
        <w:gridCol w:w="36"/>
        <w:gridCol w:w="121"/>
        <w:gridCol w:w="643"/>
        <w:gridCol w:w="36"/>
        <w:gridCol w:w="36"/>
        <w:gridCol w:w="36"/>
        <w:gridCol w:w="36"/>
        <w:gridCol w:w="72"/>
        <w:gridCol w:w="513"/>
        <w:gridCol w:w="187"/>
        <w:gridCol w:w="36"/>
        <w:gridCol w:w="36"/>
        <w:gridCol w:w="36"/>
        <w:gridCol w:w="121"/>
        <w:gridCol w:w="611"/>
        <w:gridCol w:w="32"/>
        <w:gridCol w:w="36"/>
        <w:gridCol w:w="36"/>
        <w:gridCol w:w="36"/>
        <w:gridCol w:w="4"/>
        <w:gridCol w:w="32"/>
        <w:gridCol w:w="72"/>
        <w:gridCol w:w="40"/>
        <w:gridCol w:w="473"/>
        <w:gridCol w:w="220"/>
        <w:gridCol w:w="36"/>
        <w:gridCol w:w="36"/>
        <w:gridCol w:w="36"/>
        <w:gridCol w:w="121"/>
        <w:gridCol w:w="643"/>
        <w:gridCol w:w="36"/>
        <w:gridCol w:w="36"/>
        <w:gridCol w:w="36"/>
        <w:gridCol w:w="36"/>
        <w:gridCol w:w="69"/>
        <w:gridCol w:w="517"/>
        <w:gridCol w:w="187"/>
        <w:gridCol w:w="36"/>
        <w:gridCol w:w="36"/>
        <w:gridCol w:w="36"/>
        <w:gridCol w:w="36"/>
        <w:gridCol w:w="36"/>
        <w:gridCol w:w="14"/>
        <w:gridCol w:w="22"/>
        <w:gridCol w:w="36"/>
        <w:gridCol w:w="36"/>
        <w:gridCol w:w="36"/>
        <w:gridCol w:w="14"/>
        <w:gridCol w:w="22"/>
        <w:gridCol w:w="36"/>
      </w:tblGrid>
      <w:tr w:rsidR="00000000" w14:paraId="68A71269" w14:textId="77777777">
        <w:trPr>
          <w:divId w:val="1505630580"/>
        </w:trPr>
        <w:tc>
          <w:tcPr>
            <w:tcW w:w="50" w:type="pct"/>
            <w:vAlign w:val="center"/>
            <w:hideMark/>
          </w:tcPr>
          <w:p w14:paraId="7D48097D" w14:textId="77777777" w:rsidR="00000000" w:rsidRDefault="00A173A8">
            <w:pPr>
              <w:rPr>
                <w:rFonts w:eastAsia="Times New Roman"/>
              </w:rPr>
            </w:pPr>
          </w:p>
        </w:tc>
        <w:tc>
          <w:tcPr>
            <w:tcW w:w="1311" w:type="pct"/>
            <w:gridSpan w:val="2"/>
            <w:vAlign w:val="center"/>
            <w:hideMark/>
          </w:tcPr>
          <w:p w14:paraId="4FA0F11A" w14:textId="77777777" w:rsidR="00000000" w:rsidRDefault="00A173A8">
            <w:pPr>
              <w:spacing w:after="100"/>
              <w:rPr>
                <w:rFonts w:eastAsia="Times New Roman"/>
                <w:sz w:val="20"/>
                <w:szCs w:val="20"/>
              </w:rPr>
            </w:pPr>
          </w:p>
        </w:tc>
        <w:tc>
          <w:tcPr>
            <w:tcW w:w="5" w:type="pct"/>
            <w:vAlign w:val="center"/>
            <w:hideMark/>
          </w:tcPr>
          <w:p w14:paraId="6C4E537A" w14:textId="77777777" w:rsidR="00000000" w:rsidRDefault="00A173A8">
            <w:pPr>
              <w:spacing w:after="100"/>
              <w:rPr>
                <w:rFonts w:eastAsia="Times New Roman"/>
                <w:sz w:val="20"/>
                <w:szCs w:val="20"/>
              </w:rPr>
            </w:pPr>
          </w:p>
        </w:tc>
        <w:tc>
          <w:tcPr>
            <w:tcW w:w="5" w:type="pct"/>
            <w:vAlign w:val="center"/>
            <w:hideMark/>
          </w:tcPr>
          <w:p w14:paraId="13E551C7" w14:textId="77777777" w:rsidR="00000000" w:rsidRDefault="00A173A8">
            <w:pPr>
              <w:spacing w:after="100"/>
              <w:rPr>
                <w:rFonts w:eastAsia="Times New Roman"/>
                <w:sz w:val="20"/>
                <w:szCs w:val="20"/>
              </w:rPr>
            </w:pPr>
          </w:p>
        </w:tc>
        <w:tc>
          <w:tcPr>
            <w:tcW w:w="26" w:type="pct"/>
            <w:vAlign w:val="center"/>
            <w:hideMark/>
          </w:tcPr>
          <w:p w14:paraId="5F7F0CD8" w14:textId="77777777" w:rsidR="00000000" w:rsidRDefault="00A173A8">
            <w:pPr>
              <w:spacing w:after="100"/>
              <w:rPr>
                <w:rFonts w:eastAsia="Times New Roman"/>
                <w:sz w:val="20"/>
                <w:szCs w:val="20"/>
              </w:rPr>
            </w:pPr>
          </w:p>
        </w:tc>
        <w:tc>
          <w:tcPr>
            <w:tcW w:w="5" w:type="pct"/>
            <w:vAlign w:val="center"/>
            <w:hideMark/>
          </w:tcPr>
          <w:p w14:paraId="281C943C" w14:textId="77777777" w:rsidR="00000000" w:rsidRDefault="00A173A8">
            <w:pPr>
              <w:spacing w:after="100"/>
              <w:rPr>
                <w:rFonts w:eastAsia="Times New Roman"/>
                <w:sz w:val="20"/>
                <w:szCs w:val="20"/>
              </w:rPr>
            </w:pPr>
          </w:p>
        </w:tc>
        <w:tc>
          <w:tcPr>
            <w:tcW w:w="50" w:type="pct"/>
            <w:vAlign w:val="center"/>
            <w:hideMark/>
          </w:tcPr>
          <w:p w14:paraId="6B6F8C80" w14:textId="77777777" w:rsidR="00000000" w:rsidRDefault="00A173A8">
            <w:pPr>
              <w:spacing w:after="100"/>
              <w:rPr>
                <w:rFonts w:eastAsia="Times New Roman"/>
                <w:sz w:val="20"/>
                <w:szCs w:val="20"/>
              </w:rPr>
            </w:pPr>
          </w:p>
        </w:tc>
        <w:tc>
          <w:tcPr>
            <w:tcW w:w="361" w:type="pct"/>
            <w:vAlign w:val="center"/>
            <w:hideMark/>
          </w:tcPr>
          <w:p w14:paraId="316DE803" w14:textId="77777777" w:rsidR="00000000" w:rsidRDefault="00A173A8">
            <w:pPr>
              <w:spacing w:after="100"/>
              <w:rPr>
                <w:rFonts w:eastAsia="Times New Roman"/>
                <w:sz w:val="20"/>
                <w:szCs w:val="20"/>
              </w:rPr>
            </w:pPr>
          </w:p>
        </w:tc>
        <w:tc>
          <w:tcPr>
            <w:tcW w:w="5" w:type="pct"/>
            <w:vAlign w:val="center"/>
            <w:hideMark/>
          </w:tcPr>
          <w:p w14:paraId="606A88F0" w14:textId="77777777" w:rsidR="00000000" w:rsidRDefault="00A173A8">
            <w:pPr>
              <w:spacing w:after="100"/>
              <w:rPr>
                <w:rFonts w:eastAsia="Times New Roman"/>
                <w:sz w:val="20"/>
                <w:szCs w:val="20"/>
              </w:rPr>
            </w:pPr>
          </w:p>
        </w:tc>
        <w:tc>
          <w:tcPr>
            <w:tcW w:w="5" w:type="pct"/>
            <w:vAlign w:val="center"/>
            <w:hideMark/>
          </w:tcPr>
          <w:p w14:paraId="721454D2" w14:textId="77777777" w:rsidR="00000000" w:rsidRDefault="00A173A8">
            <w:pPr>
              <w:spacing w:after="100"/>
              <w:rPr>
                <w:rFonts w:eastAsia="Times New Roman"/>
                <w:sz w:val="20"/>
                <w:szCs w:val="20"/>
              </w:rPr>
            </w:pPr>
          </w:p>
        </w:tc>
        <w:tc>
          <w:tcPr>
            <w:tcW w:w="26" w:type="pct"/>
            <w:vAlign w:val="center"/>
            <w:hideMark/>
          </w:tcPr>
          <w:p w14:paraId="1107033D" w14:textId="77777777" w:rsidR="00000000" w:rsidRDefault="00A173A8">
            <w:pPr>
              <w:spacing w:after="100"/>
              <w:rPr>
                <w:rFonts w:eastAsia="Times New Roman"/>
                <w:sz w:val="20"/>
                <w:szCs w:val="20"/>
              </w:rPr>
            </w:pPr>
          </w:p>
        </w:tc>
        <w:tc>
          <w:tcPr>
            <w:tcW w:w="5" w:type="pct"/>
            <w:vAlign w:val="center"/>
            <w:hideMark/>
          </w:tcPr>
          <w:p w14:paraId="5513F3E1" w14:textId="77777777" w:rsidR="00000000" w:rsidRDefault="00A173A8">
            <w:pPr>
              <w:spacing w:after="100"/>
              <w:rPr>
                <w:rFonts w:eastAsia="Times New Roman"/>
                <w:sz w:val="20"/>
                <w:szCs w:val="20"/>
              </w:rPr>
            </w:pPr>
          </w:p>
        </w:tc>
        <w:tc>
          <w:tcPr>
            <w:tcW w:w="50" w:type="pct"/>
            <w:vAlign w:val="center"/>
            <w:hideMark/>
          </w:tcPr>
          <w:p w14:paraId="797FEBD5" w14:textId="77777777" w:rsidR="00000000" w:rsidRDefault="00A173A8">
            <w:pPr>
              <w:spacing w:after="100"/>
              <w:rPr>
                <w:rFonts w:eastAsia="Times New Roman"/>
                <w:sz w:val="20"/>
                <w:szCs w:val="20"/>
              </w:rPr>
            </w:pPr>
          </w:p>
        </w:tc>
        <w:tc>
          <w:tcPr>
            <w:tcW w:w="361" w:type="pct"/>
            <w:gridSpan w:val="2"/>
            <w:vAlign w:val="center"/>
            <w:hideMark/>
          </w:tcPr>
          <w:p w14:paraId="3B873634" w14:textId="77777777" w:rsidR="00000000" w:rsidRDefault="00A173A8">
            <w:pPr>
              <w:spacing w:after="100"/>
              <w:rPr>
                <w:rFonts w:eastAsia="Times New Roman"/>
                <w:sz w:val="20"/>
                <w:szCs w:val="20"/>
              </w:rPr>
            </w:pPr>
          </w:p>
        </w:tc>
        <w:tc>
          <w:tcPr>
            <w:tcW w:w="5" w:type="pct"/>
            <w:gridSpan w:val="3"/>
            <w:vAlign w:val="center"/>
            <w:hideMark/>
          </w:tcPr>
          <w:p w14:paraId="4D372B0D" w14:textId="77777777" w:rsidR="00000000" w:rsidRDefault="00A173A8">
            <w:pPr>
              <w:spacing w:after="100"/>
              <w:rPr>
                <w:rFonts w:eastAsia="Times New Roman"/>
                <w:sz w:val="20"/>
                <w:szCs w:val="20"/>
              </w:rPr>
            </w:pPr>
          </w:p>
        </w:tc>
        <w:tc>
          <w:tcPr>
            <w:tcW w:w="5" w:type="pct"/>
            <w:vAlign w:val="center"/>
            <w:hideMark/>
          </w:tcPr>
          <w:p w14:paraId="587B7A79" w14:textId="77777777" w:rsidR="00000000" w:rsidRDefault="00A173A8">
            <w:pPr>
              <w:spacing w:after="100"/>
              <w:rPr>
                <w:rFonts w:eastAsia="Times New Roman"/>
                <w:sz w:val="20"/>
                <w:szCs w:val="20"/>
              </w:rPr>
            </w:pPr>
          </w:p>
        </w:tc>
        <w:tc>
          <w:tcPr>
            <w:tcW w:w="26" w:type="pct"/>
            <w:vAlign w:val="center"/>
            <w:hideMark/>
          </w:tcPr>
          <w:p w14:paraId="14164B40" w14:textId="77777777" w:rsidR="00000000" w:rsidRDefault="00A173A8">
            <w:pPr>
              <w:spacing w:after="100"/>
              <w:rPr>
                <w:rFonts w:eastAsia="Times New Roman"/>
                <w:sz w:val="20"/>
                <w:szCs w:val="20"/>
              </w:rPr>
            </w:pPr>
          </w:p>
        </w:tc>
        <w:tc>
          <w:tcPr>
            <w:tcW w:w="5" w:type="pct"/>
            <w:vAlign w:val="center"/>
            <w:hideMark/>
          </w:tcPr>
          <w:p w14:paraId="3651A12E" w14:textId="77777777" w:rsidR="00000000" w:rsidRDefault="00A173A8">
            <w:pPr>
              <w:spacing w:after="100"/>
              <w:rPr>
                <w:rFonts w:eastAsia="Times New Roman"/>
                <w:sz w:val="20"/>
                <w:szCs w:val="20"/>
              </w:rPr>
            </w:pPr>
          </w:p>
        </w:tc>
        <w:tc>
          <w:tcPr>
            <w:tcW w:w="50" w:type="pct"/>
            <w:vAlign w:val="center"/>
            <w:hideMark/>
          </w:tcPr>
          <w:p w14:paraId="74A12DC3" w14:textId="77777777" w:rsidR="00000000" w:rsidRDefault="00A173A8">
            <w:pPr>
              <w:spacing w:after="100"/>
              <w:rPr>
                <w:rFonts w:eastAsia="Times New Roman"/>
                <w:sz w:val="20"/>
                <w:szCs w:val="20"/>
              </w:rPr>
            </w:pPr>
          </w:p>
        </w:tc>
        <w:tc>
          <w:tcPr>
            <w:tcW w:w="361" w:type="pct"/>
            <w:vAlign w:val="center"/>
            <w:hideMark/>
          </w:tcPr>
          <w:p w14:paraId="666579B0" w14:textId="77777777" w:rsidR="00000000" w:rsidRDefault="00A173A8">
            <w:pPr>
              <w:spacing w:after="100"/>
              <w:rPr>
                <w:rFonts w:eastAsia="Times New Roman"/>
                <w:sz w:val="20"/>
                <w:szCs w:val="20"/>
              </w:rPr>
            </w:pPr>
          </w:p>
        </w:tc>
        <w:tc>
          <w:tcPr>
            <w:tcW w:w="5" w:type="pct"/>
            <w:vAlign w:val="center"/>
            <w:hideMark/>
          </w:tcPr>
          <w:p w14:paraId="5DFA4BD9" w14:textId="77777777" w:rsidR="00000000" w:rsidRDefault="00A173A8">
            <w:pPr>
              <w:spacing w:after="100"/>
              <w:rPr>
                <w:rFonts w:eastAsia="Times New Roman"/>
                <w:sz w:val="20"/>
                <w:szCs w:val="20"/>
              </w:rPr>
            </w:pPr>
          </w:p>
        </w:tc>
        <w:tc>
          <w:tcPr>
            <w:tcW w:w="5" w:type="pct"/>
            <w:vAlign w:val="center"/>
            <w:hideMark/>
          </w:tcPr>
          <w:p w14:paraId="663CA7C9" w14:textId="77777777" w:rsidR="00000000" w:rsidRDefault="00A173A8">
            <w:pPr>
              <w:spacing w:after="100"/>
              <w:rPr>
                <w:rFonts w:eastAsia="Times New Roman"/>
                <w:sz w:val="20"/>
                <w:szCs w:val="20"/>
              </w:rPr>
            </w:pPr>
          </w:p>
        </w:tc>
        <w:tc>
          <w:tcPr>
            <w:tcW w:w="26" w:type="pct"/>
            <w:vAlign w:val="center"/>
            <w:hideMark/>
          </w:tcPr>
          <w:p w14:paraId="3FFDAFB3" w14:textId="77777777" w:rsidR="00000000" w:rsidRDefault="00A173A8">
            <w:pPr>
              <w:spacing w:after="100"/>
              <w:rPr>
                <w:rFonts w:eastAsia="Times New Roman"/>
                <w:sz w:val="20"/>
                <w:szCs w:val="20"/>
              </w:rPr>
            </w:pPr>
          </w:p>
        </w:tc>
        <w:tc>
          <w:tcPr>
            <w:tcW w:w="5" w:type="pct"/>
            <w:vAlign w:val="center"/>
            <w:hideMark/>
          </w:tcPr>
          <w:p w14:paraId="024A2C2A" w14:textId="77777777" w:rsidR="00000000" w:rsidRDefault="00A173A8">
            <w:pPr>
              <w:spacing w:after="100"/>
              <w:rPr>
                <w:rFonts w:eastAsia="Times New Roman"/>
                <w:sz w:val="20"/>
                <w:szCs w:val="20"/>
              </w:rPr>
            </w:pPr>
          </w:p>
        </w:tc>
        <w:tc>
          <w:tcPr>
            <w:tcW w:w="50" w:type="pct"/>
            <w:vAlign w:val="center"/>
            <w:hideMark/>
          </w:tcPr>
          <w:p w14:paraId="728CFB55" w14:textId="77777777" w:rsidR="00000000" w:rsidRDefault="00A173A8">
            <w:pPr>
              <w:spacing w:after="100"/>
              <w:rPr>
                <w:rFonts w:eastAsia="Times New Roman"/>
                <w:sz w:val="20"/>
                <w:szCs w:val="20"/>
              </w:rPr>
            </w:pPr>
          </w:p>
        </w:tc>
        <w:tc>
          <w:tcPr>
            <w:tcW w:w="361" w:type="pct"/>
            <w:vAlign w:val="center"/>
            <w:hideMark/>
          </w:tcPr>
          <w:p w14:paraId="2592CEF0" w14:textId="77777777" w:rsidR="00000000" w:rsidRDefault="00A173A8">
            <w:pPr>
              <w:spacing w:after="100"/>
              <w:rPr>
                <w:rFonts w:eastAsia="Times New Roman"/>
                <w:sz w:val="20"/>
                <w:szCs w:val="20"/>
              </w:rPr>
            </w:pPr>
          </w:p>
        </w:tc>
        <w:tc>
          <w:tcPr>
            <w:tcW w:w="5" w:type="pct"/>
            <w:vAlign w:val="center"/>
            <w:hideMark/>
          </w:tcPr>
          <w:p w14:paraId="0C199CB1" w14:textId="77777777" w:rsidR="00000000" w:rsidRDefault="00A173A8">
            <w:pPr>
              <w:spacing w:after="100"/>
              <w:rPr>
                <w:rFonts w:eastAsia="Times New Roman"/>
                <w:sz w:val="20"/>
                <w:szCs w:val="20"/>
              </w:rPr>
            </w:pPr>
          </w:p>
        </w:tc>
        <w:tc>
          <w:tcPr>
            <w:tcW w:w="5" w:type="pct"/>
            <w:vAlign w:val="center"/>
            <w:hideMark/>
          </w:tcPr>
          <w:p w14:paraId="4D9CDB10" w14:textId="77777777" w:rsidR="00000000" w:rsidRDefault="00A173A8">
            <w:pPr>
              <w:spacing w:after="100"/>
              <w:rPr>
                <w:rFonts w:eastAsia="Times New Roman"/>
                <w:sz w:val="20"/>
                <w:szCs w:val="20"/>
              </w:rPr>
            </w:pPr>
          </w:p>
        </w:tc>
        <w:tc>
          <w:tcPr>
            <w:tcW w:w="19" w:type="pct"/>
            <w:vAlign w:val="center"/>
            <w:hideMark/>
          </w:tcPr>
          <w:p w14:paraId="158CC776" w14:textId="77777777" w:rsidR="00000000" w:rsidRDefault="00A173A8">
            <w:pPr>
              <w:spacing w:after="100"/>
              <w:rPr>
                <w:rFonts w:eastAsia="Times New Roman"/>
                <w:sz w:val="20"/>
                <w:szCs w:val="20"/>
              </w:rPr>
            </w:pPr>
          </w:p>
        </w:tc>
        <w:tc>
          <w:tcPr>
            <w:tcW w:w="5" w:type="pct"/>
            <w:vAlign w:val="center"/>
            <w:hideMark/>
          </w:tcPr>
          <w:p w14:paraId="54CCBAC1" w14:textId="77777777" w:rsidR="00000000" w:rsidRDefault="00A173A8">
            <w:pPr>
              <w:spacing w:after="100"/>
              <w:rPr>
                <w:rFonts w:eastAsia="Times New Roman"/>
                <w:sz w:val="20"/>
                <w:szCs w:val="20"/>
              </w:rPr>
            </w:pPr>
          </w:p>
        </w:tc>
        <w:tc>
          <w:tcPr>
            <w:tcW w:w="50" w:type="pct"/>
            <w:vAlign w:val="center"/>
            <w:hideMark/>
          </w:tcPr>
          <w:p w14:paraId="4D25637E" w14:textId="77777777" w:rsidR="00000000" w:rsidRDefault="00A173A8">
            <w:pPr>
              <w:spacing w:after="100"/>
              <w:rPr>
                <w:rFonts w:eastAsia="Times New Roman"/>
                <w:sz w:val="20"/>
                <w:szCs w:val="20"/>
              </w:rPr>
            </w:pPr>
          </w:p>
        </w:tc>
        <w:tc>
          <w:tcPr>
            <w:tcW w:w="361" w:type="pct"/>
            <w:gridSpan w:val="2"/>
            <w:vAlign w:val="center"/>
            <w:hideMark/>
          </w:tcPr>
          <w:p w14:paraId="2E66A966" w14:textId="77777777" w:rsidR="00000000" w:rsidRDefault="00A173A8">
            <w:pPr>
              <w:spacing w:after="100"/>
              <w:rPr>
                <w:rFonts w:eastAsia="Times New Roman"/>
                <w:sz w:val="20"/>
                <w:szCs w:val="20"/>
              </w:rPr>
            </w:pPr>
          </w:p>
        </w:tc>
        <w:tc>
          <w:tcPr>
            <w:tcW w:w="5" w:type="pct"/>
            <w:vAlign w:val="center"/>
            <w:hideMark/>
          </w:tcPr>
          <w:p w14:paraId="337D729D" w14:textId="77777777" w:rsidR="00000000" w:rsidRDefault="00A173A8">
            <w:pPr>
              <w:spacing w:after="100"/>
              <w:rPr>
                <w:rFonts w:eastAsia="Times New Roman"/>
                <w:sz w:val="20"/>
                <w:szCs w:val="20"/>
              </w:rPr>
            </w:pPr>
          </w:p>
        </w:tc>
        <w:tc>
          <w:tcPr>
            <w:tcW w:w="5" w:type="pct"/>
            <w:vAlign w:val="center"/>
            <w:hideMark/>
          </w:tcPr>
          <w:p w14:paraId="6EA2D297" w14:textId="77777777" w:rsidR="00000000" w:rsidRDefault="00A173A8">
            <w:pPr>
              <w:spacing w:after="100"/>
              <w:rPr>
                <w:rFonts w:eastAsia="Times New Roman"/>
                <w:sz w:val="20"/>
                <w:szCs w:val="20"/>
              </w:rPr>
            </w:pPr>
          </w:p>
        </w:tc>
        <w:tc>
          <w:tcPr>
            <w:tcW w:w="26" w:type="pct"/>
            <w:vAlign w:val="center"/>
            <w:hideMark/>
          </w:tcPr>
          <w:p w14:paraId="7775D7B9" w14:textId="77777777" w:rsidR="00000000" w:rsidRDefault="00A173A8">
            <w:pPr>
              <w:spacing w:after="100"/>
              <w:rPr>
                <w:rFonts w:eastAsia="Times New Roman"/>
                <w:sz w:val="20"/>
                <w:szCs w:val="20"/>
              </w:rPr>
            </w:pPr>
          </w:p>
        </w:tc>
        <w:tc>
          <w:tcPr>
            <w:tcW w:w="5" w:type="pct"/>
            <w:gridSpan w:val="2"/>
            <w:vAlign w:val="center"/>
            <w:hideMark/>
          </w:tcPr>
          <w:p w14:paraId="7EE1D18F" w14:textId="77777777" w:rsidR="00000000" w:rsidRDefault="00A173A8">
            <w:pPr>
              <w:spacing w:after="100"/>
              <w:rPr>
                <w:rFonts w:eastAsia="Times New Roman"/>
                <w:sz w:val="20"/>
                <w:szCs w:val="20"/>
              </w:rPr>
            </w:pPr>
          </w:p>
        </w:tc>
        <w:tc>
          <w:tcPr>
            <w:tcW w:w="50" w:type="pct"/>
            <w:vAlign w:val="center"/>
            <w:hideMark/>
          </w:tcPr>
          <w:p w14:paraId="383156CE" w14:textId="77777777" w:rsidR="00000000" w:rsidRDefault="00A173A8">
            <w:pPr>
              <w:spacing w:after="100"/>
              <w:rPr>
                <w:rFonts w:eastAsia="Times New Roman"/>
                <w:sz w:val="20"/>
                <w:szCs w:val="20"/>
              </w:rPr>
            </w:pPr>
          </w:p>
        </w:tc>
        <w:tc>
          <w:tcPr>
            <w:tcW w:w="361" w:type="pct"/>
            <w:gridSpan w:val="2"/>
            <w:vAlign w:val="center"/>
            <w:hideMark/>
          </w:tcPr>
          <w:p w14:paraId="57DC006A" w14:textId="77777777" w:rsidR="00000000" w:rsidRDefault="00A173A8">
            <w:pPr>
              <w:spacing w:after="100"/>
              <w:rPr>
                <w:rFonts w:eastAsia="Times New Roman"/>
                <w:sz w:val="20"/>
                <w:szCs w:val="20"/>
              </w:rPr>
            </w:pPr>
          </w:p>
        </w:tc>
        <w:tc>
          <w:tcPr>
            <w:tcW w:w="5" w:type="pct"/>
            <w:vAlign w:val="center"/>
            <w:hideMark/>
          </w:tcPr>
          <w:p w14:paraId="2E08CBB5" w14:textId="77777777" w:rsidR="00000000" w:rsidRDefault="00A173A8">
            <w:pPr>
              <w:spacing w:after="100"/>
              <w:rPr>
                <w:rFonts w:eastAsia="Times New Roman"/>
                <w:sz w:val="20"/>
                <w:szCs w:val="20"/>
              </w:rPr>
            </w:pPr>
          </w:p>
        </w:tc>
        <w:tc>
          <w:tcPr>
            <w:tcW w:w="5" w:type="pct"/>
            <w:vAlign w:val="center"/>
            <w:hideMark/>
          </w:tcPr>
          <w:p w14:paraId="227BB97F" w14:textId="77777777" w:rsidR="00000000" w:rsidRDefault="00A173A8">
            <w:pPr>
              <w:spacing w:after="100"/>
              <w:rPr>
                <w:rFonts w:eastAsia="Times New Roman"/>
                <w:sz w:val="20"/>
                <w:szCs w:val="20"/>
              </w:rPr>
            </w:pPr>
          </w:p>
        </w:tc>
        <w:tc>
          <w:tcPr>
            <w:tcW w:w="26" w:type="pct"/>
            <w:vAlign w:val="center"/>
            <w:hideMark/>
          </w:tcPr>
          <w:p w14:paraId="7F87EF56" w14:textId="77777777" w:rsidR="00000000" w:rsidRDefault="00A173A8">
            <w:pPr>
              <w:spacing w:after="100"/>
              <w:rPr>
                <w:rFonts w:eastAsia="Times New Roman"/>
                <w:sz w:val="20"/>
                <w:szCs w:val="20"/>
              </w:rPr>
            </w:pPr>
          </w:p>
        </w:tc>
        <w:tc>
          <w:tcPr>
            <w:tcW w:w="5" w:type="pct"/>
            <w:vAlign w:val="center"/>
            <w:hideMark/>
          </w:tcPr>
          <w:p w14:paraId="1CF5AAE8" w14:textId="77777777" w:rsidR="00000000" w:rsidRDefault="00A173A8">
            <w:pPr>
              <w:spacing w:after="100"/>
              <w:rPr>
                <w:rFonts w:eastAsia="Times New Roman"/>
                <w:sz w:val="20"/>
                <w:szCs w:val="20"/>
              </w:rPr>
            </w:pPr>
          </w:p>
        </w:tc>
        <w:tc>
          <w:tcPr>
            <w:tcW w:w="50" w:type="pct"/>
            <w:vAlign w:val="center"/>
            <w:hideMark/>
          </w:tcPr>
          <w:p w14:paraId="17AA5914" w14:textId="77777777" w:rsidR="00000000" w:rsidRDefault="00A173A8">
            <w:pPr>
              <w:spacing w:after="100"/>
              <w:rPr>
                <w:rFonts w:eastAsia="Times New Roman"/>
                <w:sz w:val="20"/>
                <w:szCs w:val="20"/>
              </w:rPr>
            </w:pPr>
          </w:p>
        </w:tc>
        <w:tc>
          <w:tcPr>
            <w:tcW w:w="361" w:type="pct"/>
            <w:vAlign w:val="center"/>
            <w:hideMark/>
          </w:tcPr>
          <w:p w14:paraId="7D282316" w14:textId="77777777" w:rsidR="00000000" w:rsidRDefault="00A173A8">
            <w:pPr>
              <w:spacing w:after="100"/>
              <w:rPr>
                <w:rFonts w:eastAsia="Times New Roman"/>
                <w:sz w:val="20"/>
                <w:szCs w:val="20"/>
              </w:rPr>
            </w:pPr>
          </w:p>
        </w:tc>
        <w:tc>
          <w:tcPr>
            <w:tcW w:w="5" w:type="pct"/>
            <w:vAlign w:val="center"/>
            <w:hideMark/>
          </w:tcPr>
          <w:p w14:paraId="07D7067F" w14:textId="77777777" w:rsidR="00000000" w:rsidRDefault="00A173A8">
            <w:pPr>
              <w:spacing w:after="100"/>
              <w:rPr>
                <w:rFonts w:eastAsia="Times New Roman"/>
                <w:sz w:val="20"/>
                <w:szCs w:val="20"/>
              </w:rPr>
            </w:pPr>
          </w:p>
        </w:tc>
        <w:tc>
          <w:tcPr>
            <w:tcW w:w="5" w:type="pct"/>
            <w:vAlign w:val="center"/>
            <w:hideMark/>
          </w:tcPr>
          <w:p w14:paraId="5F20E138" w14:textId="77777777" w:rsidR="00000000" w:rsidRDefault="00A173A8">
            <w:pPr>
              <w:spacing w:after="100"/>
              <w:rPr>
                <w:rFonts w:eastAsia="Times New Roman"/>
                <w:sz w:val="20"/>
                <w:szCs w:val="20"/>
              </w:rPr>
            </w:pPr>
          </w:p>
        </w:tc>
        <w:tc>
          <w:tcPr>
            <w:tcW w:w="26" w:type="pct"/>
            <w:vAlign w:val="center"/>
            <w:hideMark/>
          </w:tcPr>
          <w:p w14:paraId="0B6D0C32" w14:textId="77777777" w:rsidR="00000000" w:rsidRDefault="00A173A8">
            <w:pPr>
              <w:spacing w:after="100"/>
              <w:rPr>
                <w:rFonts w:eastAsia="Times New Roman"/>
                <w:sz w:val="20"/>
                <w:szCs w:val="20"/>
              </w:rPr>
            </w:pPr>
          </w:p>
        </w:tc>
        <w:tc>
          <w:tcPr>
            <w:tcW w:w="5" w:type="pct"/>
            <w:vAlign w:val="center"/>
            <w:hideMark/>
          </w:tcPr>
          <w:p w14:paraId="71798E63" w14:textId="77777777" w:rsidR="00000000" w:rsidRDefault="00A173A8">
            <w:pPr>
              <w:spacing w:after="100"/>
              <w:rPr>
                <w:rFonts w:eastAsia="Times New Roman"/>
                <w:sz w:val="20"/>
                <w:szCs w:val="20"/>
              </w:rPr>
            </w:pPr>
          </w:p>
        </w:tc>
        <w:tc>
          <w:tcPr>
            <w:tcW w:w="50" w:type="pct"/>
            <w:vAlign w:val="center"/>
            <w:hideMark/>
          </w:tcPr>
          <w:p w14:paraId="5F585CF5" w14:textId="77777777" w:rsidR="00000000" w:rsidRDefault="00A173A8">
            <w:pPr>
              <w:spacing w:after="100"/>
              <w:rPr>
                <w:rFonts w:eastAsia="Times New Roman"/>
                <w:sz w:val="20"/>
                <w:szCs w:val="20"/>
              </w:rPr>
            </w:pPr>
          </w:p>
        </w:tc>
        <w:tc>
          <w:tcPr>
            <w:tcW w:w="376" w:type="pct"/>
            <w:vAlign w:val="center"/>
            <w:hideMark/>
          </w:tcPr>
          <w:p w14:paraId="5BF2F98B" w14:textId="77777777" w:rsidR="00000000" w:rsidRDefault="00A173A8">
            <w:pPr>
              <w:spacing w:after="100"/>
              <w:rPr>
                <w:rFonts w:eastAsia="Times New Roman"/>
                <w:sz w:val="20"/>
                <w:szCs w:val="20"/>
              </w:rPr>
            </w:pPr>
          </w:p>
        </w:tc>
        <w:tc>
          <w:tcPr>
            <w:tcW w:w="5" w:type="pct"/>
            <w:vAlign w:val="center"/>
            <w:hideMark/>
          </w:tcPr>
          <w:p w14:paraId="135C41D5" w14:textId="77777777" w:rsidR="00000000" w:rsidRDefault="00A173A8">
            <w:pPr>
              <w:spacing w:after="100"/>
              <w:rPr>
                <w:rFonts w:eastAsia="Times New Roman"/>
                <w:sz w:val="20"/>
                <w:szCs w:val="20"/>
              </w:rPr>
            </w:pPr>
          </w:p>
        </w:tc>
        <w:tc>
          <w:tcPr>
            <w:tcW w:w="0" w:type="auto"/>
            <w:gridSpan w:val="3"/>
            <w:vAlign w:val="center"/>
            <w:hideMark/>
          </w:tcPr>
          <w:p w14:paraId="55565747" w14:textId="77777777" w:rsidR="00000000" w:rsidRDefault="00A173A8">
            <w:pPr>
              <w:spacing w:after="100"/>
              <w:rPr>
                <w:rFonts w:eastAsia="Times New Roman"/>
                <w:sz w:val="20"/>
                <w:szCs w:val="20"/>
              </w:rPr>
            </w:pPr>
          </w:p>
        </w:tc>
        <w:tc>
          <w:tcPr>
            <w:tcW w:w="0" w:type="auto"/>
            <w:gridSpan w:val="4"/>
            <w:vAlign w:val="center"/>
            <w:hideMark/>
          </w:tcPr>
          <w:p w14:paraId="6C5F22E5" w14:textId="77777777" w:rsidR="00000000" w:rsidRDefault="00A173A8">
            <w:pPr>
              <w:spacing w:after="100"/>
              <w:rPr>
                <w:rFonts w:eastAsia="Times New Roman"/>
                <w:sz w:val="20"/>
                <w:szCs w:val="20"/>
              </w:rPr>
            </w:pPr>
          </w:p>
        </w:tc>
        <w:tc>
          <w:tcPr>
            <w:tcW w:w="0" w:type="auto"/>
            <w:gridSpan w:val="3"/>
            <w:vAlign w:val="center"/>
            <w:hideMark/>
          </w:tcPr>
          <w:p w14:paraId="18CA9ECF" w14:textId="77777777" w:rsidR="00000000" w:rsidRDefault="00A173A8">
            <w:pPr>
              <w:spacing w:after="100"/>
              <w:rPr>
                <w:rFonts w:eastAsia="Times New Roman"/>
                <w:sz w:val="20"/>
                <w:szCs w:val="20"/>
              </w:rPr>
            </w:pPr>
          </w:p>
        </w:tc>
        <w:tc>
          <w:tcPr>
            <w:tcW w:w="0" w:type="auto"/>
            <w:gridSpan w:val="3"/>
            <w:vAlign w:val="center"/>
            <w:hideMark/>
          </w:tcPr>
          <w:p w14:paraId="303B292B" w14:textId="77777777" w:rsidR="00000000" w:rsidRDefault="00A173A8">
            <w:pPr>
              <w:spacing w:after="100"/>
              <w:rPr>
                <w:rFonts w:eastAsia="Times New Roman"/>
                <w:sz w:val="20"/>
                <w:szCs w:val="20"/>
              </w:rPr>
            </w:pPr>
          </w:p>
        </w:tc>
      </w:tr>
      <w:tr w:rsidR="00000000" w14:paraId="03195BD6" w14:textId="77777777">
        <w:trPr>
          <w:divId w:val="1505630580"/>
        </w:trPr>
        <w:tc>
          <w:tcPr>
            <w:tcW w:w="0" w:type="auto"/>
            <w:gridSpan w:val="4"/>
            <w:tcMar>
              <w:top w:w="30" w:type="dxa"/>
              <w:left w:w="20" w:type="dxa"/>
              <w:bottom w:w="30" w:type="dxa"/>
              <w:right w:w="20" w:type="dxa"/>
            </w:tcMar>
            <w:vAlign w:val="center"/>
            <w:hideMark/>
          </w:tcPr>
          <w:p w14:paraId="6C7A4465"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99ED95E" w14:textId="77777777" w:rsidR="00000000" w:rsidRDefault="00A173A8">
            <w:pPr>
              <w:spacing w:after="100"/>
              <w:rPr>
                <w:rFonts w:eastAsia="Times New Roman"/>
              </w:rPr>
            </w:pPr>
          </w:p>
        </w:tc>
        <w:tc>
          <w:tcPr>
            <w:tcW w:w="0" w:type="auto"/>
            <w:gridSpan w:val="24"/>
            <w:tcBorders>
              <w:bottom w:val="single" w:sz="8" w:space="0" w:color="000000"/>
            </w:tcBorders>
            <w:tcMar>
              <w:top w:w="30" w:type="dxa"/>
              <w:left w:w="20" w:type="dxa"/>
              <w:bottom w:w="30" w:type="dxa"/>
              <w:right w:w="20" w:type="dxa"/>
            </w:tcMar>
            <w:vAlign w:val="bottom"/>
            <w:hideMark/>
          </w:tcPr>
          <w:p w14:paraId="4E05BC98"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4D20FE11" w14:textId="77777777" w:rsidR="00000000" w:rsidRDefault="00A173A8">
            <w:pPr>
              <w:spacing w:after="100"/>
              <w:jc w:val="center"/>
              <w:rPr>
                <w:rFonts w:eastAsia="Times New Roman"/>
              </w:rPr>
            </w:pPr>
          </w:p>
        </w:tc>
        <w:tc>
          <w:tcPr>
            <w:tcW w:w="0" w:type="auto"/>
            <w:gridSpan w:val="24"/>
            <w:tcBorders>
              <w:bottom w:val="single" w:sz="8" w:space="0" w:color="000000"/>
            </w:tcBorders>
            <w:tcMar>
              <w:top w:w="30" w:type="dxa"/>
              <w:left w:w="20" w:type="dxa"/>
              <w:bottom w:w="30" w:type="dxa"/>
              <w:right w:w="20" w:type="dxa"/>
            </w:tcMar>
            <w:vAlign w:val="bottom"/>
            <w:hideMark/>
          </w:tcPr>
          <w:p w14:paraId="05BFACC5"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vAlign w:val="center"/>
            <w:hideMark/>
          </w:tcPr>
          <w:p w14:paraId="2553A5D5" w14:textId="77777777" w:rsidR="00000000" w:rsidRDefault="00A173A8">
            <w:pPr>
              <w:spacing w:after="100"/>
              <w:rPr>
                <w:rFonts w:eastAsia="Times New Roman"/>
                <w:sz w:val="20"/>
                <w:szCs w:val="20"/>
              </w:rPr>
            </w:pPr>
          </w:p>
        </w:tc>
        <w:tc>
          <w:tcPr>
            <w:tcW w:w="0" w:type="auto"/>
            <w:vAlign w:val="center"/>
            <w:hideMark/>
          </w:tcPr>
          <w:p w14:paraId="150DB2ED" w14:textId="77777777" w:rsidR="00000000" w:rsidRDefault="00A173A8">
            <w:pPr>
              <w:spacing w:after="100"/>
              <w:rPr>
                <w:rFonts w:eastAsia="Times New Roman"/>
                <w:sz w:val="20"/>
                <w:szCs w:val="20"/>
              </w:rPr>
            </w:pPr>
          </w:p>
        </w:tc>
        <w:tc>
          <w:tcPr>
            <w:tcW w:w="0" w:type="auto"/>
            <w:vAlign w:val="center"/>
            <w:hideMark/>
          </w:tcPr>
          <w:p w14:paraId="4995D9B5" w14:textId="77777777" w:rsidR="00000000" w:rsidRDefault="00A173A8">
            <w:pPr>
              <w:spacing w:after="100"/>
              <w:rPr>
                <w:rFonts w:eastAsia="Times New Roman"/>
                <w:sz w:val="20"/>
                <w:szCs w:val="20"/>
              </w:rPr>
            </w:pPr>
          </w:p>
        </w:tc>
        <w:tc>
          <w:tcPr>
            <w:tcW w:w="0" w:type="auto"/>
            <w:vAlign w:val="center"/>
            <w:hideMark/>
          </w:tcPr>
          <w:p w14:paraId="14CDC3A8" w14:textId="77777777" w:rsidR="00000000" w:rsidRDefault="00A173A8">
            <w:pPr>
              <w:spacing w:after="100"/>
              <w:rPr>
                <w:rFonts w:eastAsia="Times New Roman"/>
                <w:sz w:val="20"/>
                <w:szCs w:val="20"/>
              </w:rPr>
            </w:pPr>
          </w:p>
        </w:tc>
        <w:tc>
          <w:tcPr>
            <w:tcW w:w="0" w:type="auto"/>
            <w:vAlign w:val="center"/>
            <w:hideMark/>
          </w:tcPr>
          <w:p w14:paraId="34D7C1C6" w14:textId="77777777" w:rsidR="00000000" w:rsidRDefault="00A173A8">
            <w:pPr>
              <w:spacing w:after="100"/>
              <w:rPr>
                <w:rFonts w:eastAsia="Times New Roman"/>
                <w:sz w:val="20"/>
                <w:szCs w:val="20"/>
              </w:rPr>
            </w:pPr>
          </w:p>
        </w:tc>
        <w:tc>
          <w:tcPr>
            <w:tcW w:w="0" w:type="auto"/>
            <w:gridSpan w:val="2"/>
            <w:vAlign w:val="center"/>
            <w:hideMark/>
          </w:tcPr>
          <w:p w14:paraId="5431962E" w14:textId="77777777" w:rsidR="00000000" w:rsidRDefault="00A173A8">
            <w:pPr>
              <w:spacing w:after="100"/>
              <w:rPr>
                <w:rFonts w:eastAsia="Times New Roman"/>
                <w:sz w:val="20"/>
                <w:szCs w:val="20"/>
              </w:rPr>
            </w:pPr>
          </w:p>
        </w:tc>
        <w:tc>
          <w:tcPr>
            <w:tcW w:w="0" w:type="auto"/>
            <w:vAlign w:val="center"/>
            <w:hideMark/>
          </w:tcPr>
          <w:p w14:paraId="0D5B46F8" w14:textId="77777777" w:rsidR="00000000" w:rsidRDefault="00A173A8">
            <w:pPr>
              <w:spacing w:after="100"/>
              <w:rPr>
                <w:rFonts w:eastAsia="Times New Roman"/>
                <w:sz w:val="20"/>
                <w:szCs w:val="20"/>
              </w:rPr>
            </w:pPr>
          </w:p>
        </w:tc>
        <w:tc>
          <w:tcPr>
            <w:tcW w:w="0" w:type="auto"/>
            <w:vAlign w:val="center"/>
            <w:hideMark/>
          </w:tcPr>
          <w:p w14:paraId="01BE4CEC" w14:textId="77777777" w:rsidR="00000000" w:rsidRDefault="00A173A8">
            <w:pPr>
              <w:spacing w:after="100"/>
              <w:rPr>
                <w:rFonts w:eastAsia="Times New Roman"/>
                <w:sz w:val="20"/>
                <w:szCs w:val="20"/>
              </w:rPr>
            </w:pPr>
          </w:p>
        </w:tc>
        <w:tc>
          <w:tcPr>
            <w:tcW w:w="0" w:type="auto"/>
            <w:vAlign w:val="center"/>
            <w:hideMark/>
          </w:tcPr>
          <w:p w14:paraId="7C99AF61" w14:textId="77777777" w:rsidR="00000000" w:rsidRDefault="00A173A8">
            <w:pPr>
              <w:spacing w:after="100"/>
              <w:rPr>
                <w:rFonts w:eastAsia="Times New Roman"/>
                <w:sz w:val="20"/>
                <w:szCs w:val="20"/>
              </w:rPr>
            </w:pPr>
          </w:p>
        </w:tc>
        <w:tc>
          <w:tcPr>
            <w:tcW w:w="0" w:type="auto"/>
            <w:gridSpan w:val="2"/>
            <w:vAlign w:val="center"/>
            <w:hideMark/>
          </w:tcPr>
          <w:p w14:paraId="2EEA1E8B" w14:textId="77777777" w:rsidR="00000000" w:rsidRDefault="00A173A8">
            <w:pPr>
              <w:spacing w:after="100"/>
              <w:rPr>
                <w:rFonts w:eastAsia="Times New Roman"/>
                <w:sz w:val="20"/>
                <w:szCs w:val="20"/>
              </w:rPr>
            </w:pPr>
          </w:p>
        </w:tc>
        <w:tc>
          <w:tcPr>
            <w:tcW w:w="0" w:type="auto"/>
            <w:vAlign w:val="center"/>
            <w:hideMark/>
          </w:tcPr>
          <w:p w14:paraId="66A2801A" w14:textId="77777777" w:rsidR="00000000" w:rsidRDefault="00A173A8">
            <w:pPr>
              <w:spacing w:after="100"/>
              <w:rPr>
                <w:rFonts w:eastAsia="Times New Roman"/>
                <w:sz w:val="20"/>
                <w:szCs w:val="20"/>
              </w:rPr>
            </w:pPr>
          </w:p>
        </w:tc>
      </w:tr>
      <w:tr w:rsidR="00000000" w14:paraId="52833769" w14:textId="77777777">
        <w:trPr>
          <w:divId w:val="1505630580"/>
        </w:trPr>
        <w:tc>
          <w:tcPr>
            <w:tcW w:w="0" w:type="auto"/>
            <w:gridSpan w:val="4"/>
            <w:tcMar>
              <w:top w:w="30" w:type="dxa"/>
              <w:left w:w="20" w:type="dxa"/>
              <w:bottom w:w="30" w:type="dxa"/>
              <w:right w:w="20" w:type="dxa"/>
            </w:tcMar>
            <w:vAlign w:val="center"/>
            <w:hideMark/>
          </w:tcPr>
          <w:p w14:paraId="7EE4D3EA"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BA2BA89" w14:textId="77777777" w:rsidR="00000000" w:rsidRDefault="00A173A8">
            <w:pPr>
              <w:spacing w:after="100"/>
              <w:rPr>
                <w:rFonts w:eastAsia="Times New Roman"/>
              </w:rPr>
            </w:pPr>
          </w:p>
        </w:tc>
        <w:tc>
          <w:tcPr>
            <w:tcW w:w="0" w:type="auto"/>
            <w:gridSpan w:val="12"/>
            <w:tcBorders>
              <w:top w:val="single" w:sz="8" w:space="0" w:color="000000"/>
              <w:bottom w:val="single" w:sz="8" w:space="0" w:color="000000"/>
            </w:tcBorders>
            <w:tcMar>
              <w:top w:w="30" w:type="dxa"/>
              <w:left w:w="20" w:type="dxa"/>
              <w:bottom w:w="30" w:type="dxa"/>
              <w:right w:w="20" w:type="dxa"/>
            </w:tcMar>
            <w:vAlign w:val="bottom"/>
            <w:hideMark/>
          </w:tcPr>
          <w:p w14:paraId="1CDAF45C"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6DD380E" w14:textId="77777777" w:rsidR="00000000" w:rsidRDefault="00A173A8">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3FBC2144"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2F54FFAD" w14:textId="77777777" w:rsidR="00000000" w:rsidRDefault="00A173A8">
            <w:pPr>
              <w:spacing w:after="100"/>
              <w:jc w:val="center"/>
              <w:rPr>
                <w:rFonts w:eastAsia="Times New Roman"/>
              </w:rPr>
            </w:pPr>
          </w:p>
        </w:tc>
        <w:tc>
          <w:tcPr>
            <w:tcW w:w="0" w:type="auto"/>
            <w:gridSpan w:val="12"/>
            <w:tcBorders>
              <w:top w:val="single" w:sz="8" w:space="0" w:color="000000"/>
              <w:bottom w:val="single" w:sz="8" w:space="0" w:color="000000"/>
            </w:tcBorders>
            <w:tcMar>
              <w:top w:w="30" w:type="dxa"/>
              <w:left w:w="20" w:type="dxa"/>
              <w:bottom w:w="30" w:type="dxa"/>
              <w:right w:w="20" w:type="dxa"/>
            </w:tcMar>
            <w:vAlign w:val="bottom"/>
            <w:hideMark/>
          </w:tcPr>
          <w:p w14:paraId="6AE15EBF"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62FCA97D" w14:textId="77777777" w:rsidR="00000000" w:rsidRDefault="00A173A8">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11FF1407"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14:paraId="01B00E70" w14:textId="77777777" w:rsidR="00000000" w:rsidRDefault="00A173A8">
            <w:pPr>
              <w:spacing w:after="100"/>
              <w:jc w:val="center"/>
              <w:rPr>
                <w:rFonts w:eastAsia="Times New Roman"/>
              </w:rPr>
            </w:pPr>
          </w:p>
        </w:tc>
        <w:tc>
          <w:tcPr>
            <w:tcW w:w="0" w:type="auto"/>
            <w:gridSpan w:val="4"/>
            <w:vAlign w:val="center"/>
            <w:hideMark/>
          </w:tcPr>
          <w:p w14:paraId="5A269383" w14:textId="77777777" w:rsidR="00000000" w:rsidRDefault="00A173A8">
            <w:pPr>
              <w:spacing w:after="100"/>
              <w:rPr>
                <w:rFonts w:eastAsia="Times New Roman"/>
                <w:sz w:val="20"/>
                <w:szCs w:val="20"/>
              </w:rPr>
            </w:pPr>
          </w:p>
        </w:tc>
        <w:tc>
          <w:tcPr>
            <w:tcW w:w="0" w:type="auto"/>
            <w:vAlign w:val="center"/>
            <w:hideMark/>
          </w:tcPr>
          <w:p w14:paraId="14F5E49B" w14:textId="77777777" w:rsidR="00000000" w:rsidRDefault="00A173A8">
            <w:pPr>
              <w:spacing w:after="100"/>
              <w:rPr>
                <w:rFonts w:eastAsia="Times New Roman"/>
                <w:sz w:val="20"/>
                <w:szCs w:val="20"/>
              </w:rPr>
            </w:pPr>
          </w:p>
        </w:tc>
        <w:tc>
          <w:tcPr>
            <w:tcW w:w="0" w:type="auto"/>
            <w:vAlign w:val="center"/>
            <w:hideMark/>
          </w:tcPr>
          <w:p w14:paraId="384FDAE3" w14:textId="77777777" w:rsidR="00000000" w:rsidRDefault="00A173A8">
            <w:pPr>
              <w:spacing w:after="100"/>
              <w:rPr>
                <w:rFonts w:eastAsia="Times New Roman"/>
                <w:sz w:val="20"/>
                <w:szCs w:val="20"/>
              </w:rPr>
            </w:pPr>
          </w:p>
        </w:tc>
        <w:tc>
          <w:tcPr>
            <w:tcW w:w="0" w:type="auto"/>
            <w:vAlign w:val="center"/>
            <w:hideMark/>
          </w:tcPr>
          <w:p w14:paraId="6A8D025D" w14:textId="77777777" w:rsidR="00000000" w:rsidRDefault="00A173A8">
            <w:pPr>
              <w:spacing w:after="100"/>
              <w:rPr>
                <w:rFonts w:eastAsia="Times New Roman"/>
                <w:sz w:val="20"/>
                <w:szCs w:val="20"/>
              </w:rPr>
            </w:pPr>
          </w:p>
        </w:tc>
        <w:tc>
          <w:tcPr>
            <w:tcW w:w="0" w:type="auto"/>
            <w:gridSpan w:val="2"/>
            <w:vAlign w:val="center"/>
            <w:hideMark/>
          </w:tcPr>
          <w:p w14:paraId="3EA0AA10" w14:textId="77777777" w:rsidR="00000000" w:rsidRDefault="00A173A8">
            <w:pPr>
              <w:spacing w:after="100"/>
              <w:rPr>
                <w:rFonts w:eastAsia="Times New Roman"/>
                <w:sz w:val="20"/>
                <w:szCs w:val="20"/>
              </w:rPr>
            </w:pPr>
          </w:p>
        </w:tc>
        <w:tc>
          <w:tcPr>
            <w:tcW w:w="0" w:type="auto"/>
            <w:vAlign w:val="center"/>
            <w:hideMark/>
          </w:tcPr>
          <w:p w14:paraId="34A90074" w14:textId="77777777" w:rsidR="00000000" w:rsidRDefault="00A173A8">
            <w:pPr>
              <w:spacing w:after="100"/>
              <w:rPr>
                <w:rFonts w:eastAsia="Times New Roman"/>
                <w:sz w:val="20"/>
                <w:szCs w:val="20"/>
              </w:rPr>
            </w:pPr>
          </w:p>
        </w:tc>
      </w:tr>
      <w:tr w:rsidR="00000000" w14:paraId="5431C123" w14:textId="77777777">
        <w:trPr>
          <w:divId w:val="1505630580"/>
        </w:trPr>
        <w:tc>
          <w:tcPr>
            <w:tcW w:w="0" w:type="auto"/>
            <w:gridSpan w:val="4"/>
            <w:tcMar>
              <w:top w:w="30" w:type="dxa"/>
              <w:left w:w="20" w:type="dxa"/>
              <w:bottom w:w="30" w:type="dxa"/>
              <w:right w:w="20" w:type="dxa"/>
            </w:tcMar>
            <w:vAlign w:val="bottom"/>
            <w:hideMark/>
          </w:tcPr>
          <w:p w14:paraId="0EF185BF"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62A4B89E"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4B6322"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3B26F21C" w14:textId="77777777" w:rsidR="00000000" w:rsidRDefault="00A173A8">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6022DF15"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34D50A5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FA59AF"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7E4F839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78ED62"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7937B039" w14:textId="77777777" w:rsidR="00000000" w:rsidRDefault="00A173A8">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14:paraId="687082ED"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4"/>
            <w:tcBorders>
              <w:top w:val="single" w:sz="8" w:space="0" w:color="000000"/>
            </w:tcBorders>
            <w:tcMar>
              <w:top w:w="0" w:type="dxa"/>
              <w:left w:w="20" w:type="dxa"/>
              <w:bottom w:w="0" w:type="dxa"/>
              <w:right w:w="20" w:type="dxa"/>
            </w:tcMar>
            <w:vAlign w:val="center"/>
            <w:hideMark/>
          </w:tcPr>
          <w:p w14:paraId="3F5BA0A1" w14:textId="77777777" w:rsidR="00000000" w:rsidRDefault="00A173A8">
            <w:pPr>
              <w:spacing w:after="100"/>
              <w:jc w:val="center"/>
              <w:rPr>
                <w:rFonts w:eastAsia="Times New Roman"/>
              </w:rPr>
            </w:pPr>
          </w:p>
        </w:tc>
        <w:tc>
          <w:tcPr>
            <w:tcW w:w="0" w:type="auto"/>
            <w:gridSpan w:val="4"/>
            <w:tcBorders>
              <w:top w:val="single" w:sz="8" w:space="0" w:color="000000"/>
            </w:tcBorders>
            <w:tcMar>
              <w:top w:w="30" w:type="dxa"/>
              <w:left w:w="20" w:type="dxa"/>
              <w:bottom w:w="30" w:type="dxa"/>
              <w:right w:w="20" w:type="dxa"/>
            </w:tcMar>
            <w:vAlign w:val="bottom"/>
            <w:hideMark/>
          </w:tcPr>
          <w:p w14:paraId="392E14DC"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37E303A1"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0F0AD0" w14:textId="77777777" w:rsidR="00000000" w:rsidRDefault="00A173A8">
            <w:pPr>
              <w:spacing w:after="100"/>
              <w:jc w:val="center"/>
              <w:rPr>
                <w:rFonts w:eastAsia="Times New Roman"/>
              </w:rPr>
            </w:pPr>
            <w:r>
              <w:rPr>
                <w:rFonts w:eastAsia="Times New Roman"/>
                <w:b/>
                <w:bCs/>
                <w:color w:val="000000"/>
                <w:sz w:val="20"/>
                <w:szCs w:val="20"/>
              </w:rPr>
              <w:t>Amount</w:t>
            </w:r>
          </w:p>
        </w:tc>
        <w:tc>
          <w:tcPr>
            <w:tcW w:w="0" w:type="auto"/>
            <w:gridSpan w:val="3"/>
            <w:tcBorders>
              <w:top w:val="single" w:sz="8" w:space="0" w:color="000000"/>
            </w:tcBorders>
            <w:tcMar>
              <w:top w:w="0" w:type="dxa"/>
              <w:left w:w="20" w:type="dxa"/>
              <w:bottom w:w="0" w:type="dxa"/>
              <w:right w:w="20" w:type="dxa"/>
            </w:tcMar>
            <w:vAlign w:val="center"/>
            <w:hideMark/>
          </w:tcPr>
          <w:p w14:paraId="2B1E8071"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322F57" w14:textId="77777777" w:rsidR="00000000" w:rsidRDefault="00A173A8">
            <w:pPr>
              <w:spacing w:after="100"/>
              <w:jc w:val="center"/>
              <w:rPr>
                <w:rFonts w:eastAsia="Times New Roman"/>
              </w:rPr>
            </w:pPr>
            <w:r>
              <w:rPr>
                <w:rFonts w:eastAsia="Times New Roman"/>
                <w:b/>
                <w:bCs/>
                <w:color w:val="000000"/>
                <w:sz w:val="20"/>
                <w:szCs w:val="20"/>
              </w:rPr>
              <w:t>Rat</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vAlign w:val="center"/>
            <w:hideMark/>
          </w:tcPr>
          <w:p w14:paraId="3C4EF09A" w14:textId="77777777" w:rsidR="00000000" w:rsidRDefault="00A173A8">
            <w:pPr>
              <w:spacing w:after="100"/>
              <w:jc w:val="center"/>
              <w:rPr>
                <w:rFonts w:eastAsia="Times New Roman"/>
              </w:rPr>
            </w:pPr>
          </w:p>
        </w:tc>
        <w:tc>
          <w:tcPr>
            <w:tcW w:w="0" w:type="auto"/>
            <w:gridSpan w:val="4"/>
            <w:vAlign w:val="center"/>
            <w:hideMark/>
          </w:tcPr>
          <w:p w14:paraId="3B710F2D" w14:textId="77777777" w:rsidR="00000000" w:rsidRDefault="00A173A8">
            <w:pPr>
              <w:spacing w:after="100"/>
              <w:rPr>
                <w:rFonts w:eastAsia="Times New Roman"/>
                <w:sz w:val="20"/>
                <w:szCs w:val="20"/>
              </w:rPr>
            </w:pPr>
          </w:p>
        </w:tc>
        <w:tc>
          <w:tcPr>
            <w:tcW w:w="0" w:type="auto"/>
            <w:gridSpan w:val="3"/>
            <w:vAlign w:val="center"/>
            <w:hideMark/>
          </w:tcPr>
          <w:p w14:paraId="7B5FF2E8" w14:textId="77777777" w:rsidR="00000000" w:rsidRDefault="00A173A8">
            <w:pPr>
              <w:spacing w:after="100"/>
              <w:rPr>
                <w:rFonts w:eastAsia="Times New Roman"/>
                <w:sz w:val="20"/>
                <w:szCs w:val="20"/>
              </w:rPr>
            </w:pPr>
          </w:p>
        </w:tc>
        <w:tc>
          <w:tcPr>
            <w:tcW w:w="0" w:type="auto"/>
            <w:gridSpan w:val="3"/>
            <w:vAlign w:val="center"/>
            <w:hideMark/>
          </w:tcPr>
          <w:p w14:paraId="2AF6AC03" w14:textId="77777777" w:rsidR="00000000" w:rsidRDefault="00A173A8">
            <w:pPr>
              <w:spacing w:after="100"/>
              <w:rPr>
                <w:rFonts w:eastAsia="Times New Roman"/>
                <w:sz w:val="20"/>
                <w:szCs w:val="20"/>
              </w:rPr>
            </w:pPr>
          </w:p>
        </w:tc>
      </w:tr>
      <w:tr w:rsidR="00000000" w14:paraId="7DCC32CB" w14:textId="77777777">
        <w:trPr>
          <w:divId w:val="1505630580"/>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13CB3196" w14:textId="77777777" w:rsidR="00000000" w:rsidRDefault="00A173A8">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753A011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49832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399CA1" w14:textId="77777777" w:rsidR="00000000" w:rsidRDefault="00A173A8">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753A931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28F76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A8DB0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E6770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70195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88C605"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16217620"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CBD67F8"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294A4D5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86D27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43CA8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BCC36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A22382" w14:textId="77777777" w:rsidR="00000000" w:rsidRDefault="00A173A8">
            <w:pPr>
              <w:spacing w:after="100"/>
              <w:rPr>
                <w:rFonts w:eastAsia="Times New Roman"/>
                <w:sz w:val="20"/>
                <w:szCs w:val="20"/>
              </w:rPr>
            </w:pPr>
          </w:p>
        </w:tc>
        <w:tc>
          <w:tcPr>
            <w:tcW w:w="0" w:type="auto"/>
            <w:gridSpan w:val="3"/>
            <w:vAlign w:val="center"/>
            <w:hideMark/>
          </w:tcPr>
          <w:p w14:paraId="2339162F" w14:textId="77777777" w:rsidR="00000000" w:rsidRDefault="00A173A8">
            <w:pPr>
              <w:spacing w:after="100"/>
              <w:rPr>
                <w:rFonts w:eastAsia="Times New Roman"/>
                <w:sz w:val="20"/>
                <w:szCs w:val="20"/>
              </w:rPr>
            </w:pPr>
          </w:p>
        </w:tc>
        <w:tc>
          <w:tcPr>
            <w:tcW w:w="0" w:type="auto"/>
            <w:gridSpan w:val="4"/>
            <w:vAlign w:val="center"/>
            <w:hideMark/>
          </w:tcPr>
          <w:p w14:paraId="6014C889" w14:textId="77777777" w:rsidR="00000000" w:rsidRDefault="00A173A8">
            <w:pPr>
              <w:spacing w:after="100"/>
              <w:rPr>
                <w:rFonts w:eastAsia="Times New Roman"/>
                <w:sz w:val="20"/>
                <w:szCs w:val="20"/>
              </w:rPr>
            </w:pPr>
          </w:p>
        </w:tc>
        <w:tc>
          <w:tcPr>
            <w:tcW w:w="0" w:type="auto"/>
            <w:gridSpan w:val="3"/>
            <w:vAlign w:val="center"/>
            <w:hideMark/>
          </w:tcPr>
          <w:p w14:paraId="185E2A35" w14:textId="77777777" w:rsidR="00000000" w:rsidRDefault="00A173A8">
            <w:pPr>
              <w:spacing w:after="100"/>
              <w:rPr>
                <w:rFonts w:eastAsia="Times New Roman"/>
                <w:sz w:val="20"/>
                <w:szCs w:val="20"/>
              </w:rPr>
            </w:pPr>
          </w:p>
        </w:tc>
        <w:tc>
          <w:tcPr>
            <w:tcW w:w="0" w:type="auto"/>
            <w:gridSpan w:val="3"/>
            <w:vAlign w:val="center"/>
            <w:hideMark/>
          </w:tcPr>
          <w:p w14:paraId="6F85DF16" w14:textId="77777777" w:rsidR="00000000" w:rsidRDefault="00A173A8">
            <w:pPr>
              <w:spacing w:after="100"/>
              <w:rPr>
                <w:rFonts w:eastAsia="Times New Roman"/>
                <w:sz w:val="20"/>
                <w:szCs w:val="20"/>
              </w:rPr>
            </w:pPr>
          </w:p>
        </w:tc>
      </w:tr>
      <w:tr w:rsidR="00A173A8" w14:paraId="0F736A5F" w14:textId="77777777">
        <w:trPr>
          <w:divId w:val="1505630580"/>
        </w:trPr>
        <w:tc>
          <w:tcPr>
            <w:tcW w:w="0" w:type="auto"/>
            <w:gridSpan w:val="4"/>
            <w:shd w:val="clear" w:color="auto" w:fill="FFFFFF"/>
            <w:tcMar>
              <w:top w:w="30" w:type="dxa"/>
              <w:left w:w="245" w:type="dxa"/>
              <w:bottom w:w="30" w:type="dxa"/>
              <w:right w:w="20" w:type="dxa"/>
            </w:tcMar>
            <w:vAlign w:val="center"/>
            <w:hideMark/>
          </w:tcPr>
          <w:p w14:paraId="1DC593DA" w14:textId="77777777" w:rsidR="00000000" w:rsidRDefault="00A173A8">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14:paraId="3FC5E0A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547FA9A"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565A58F" w14:textId="77777777" w:rsidR="00000000" w:rsidRDefault="00A173A8">
            <w:pPr>
              <w:spacing w:after="100"/>
              <w:jc w:val="right"/>
              <w:rPr>
                <w:rFonts w:eastAsia="Times New Roman"/>
              </w:rPr>
            </w:pPr>
            <w:r>
              <w:rPr>
                <w:rFonts w:eastAsia="Times New Roman"/>
                <w:b/>
                <w:bCs/>
                <w:color w:val="000000"/>
                <w:sz w:val="20"/>
                <w:szCs w:val="20"/>
              </w:rPr>
              <w:t>622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378D40F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01C0F5"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7B545B8E" w14:textId="77777777" w:rsidR="00000000" w:rsidRDefault="00A173A8">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gridSpan w:val="3"/>
            <w:shd w:val="clear" w:color="auto" w:fill="FFFFFF"/>
            <w:tcMar>
              <w:top w:w="30" w:type="dxa"/>
              <w:left w:w="0" w:type="dxa"/>
              <w:bottom w:w="30" w:type="dxa"/>
              <w:right w:w="20" w:type="dxa"/>
            </w:tcMar>
            <w:vAlign w:val="center"/>
            <w:hideMark/>
          </w:tcPr>
          <w:p w14:paraId="6E494DA5"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D34A4E9"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7A73CC3"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25D2CE92" w14:textId="77777777" w:rsidR="00000000" w:rsidRDefault="00A173A8">
            <w:pPr>
              <w:spacing w:after="100"/>
              <w:jc w:val="right"/>
              <w:rPr>
                <w:rFonts w:eastAsia="Times New Roman"/>
              </w:rPr>
            </w:pPr>
            <w:r>
              <w:rPr>
                <w:rFonts w:eastAsia="Times New Roman"/>
                <w:color w:val="000000"/>
                <w:sz w:val="20"/>
                <w:szCs w:val="20"/>
              </w:rPr>
              <w:t>522 </w:t>
            </w:r>
          </w:p>
        </w:tc>
        <w:tc>
          <w:tcPr>
            <w:tcW w:w="0" w:type="auto"/>
            <w:shd w:val="clear" w:color="auto" w:fill="FFFFFF"/>
            <w:tcMar>
              <w:top w:w="30" w:type="dxa"/>
              <w:left w:w="0" w:type="dxa"/>
              <w:bottom w:w="30" w:type="dxa"/>
              <w:right w:w="20" w:type="dxa"/>
            </w:tcMar>
            <w:vAlign w:val="center"/>
            <w:hideMark/>
          </w:tcPr>
          <w:p w14:paraId="234B86B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AEB0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962967" w14:textId="77777777" w:rsidR="00000000" w:rsidRDefault="00A173A8">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center"/>
            <w:hideMark/>
          </w:tcPr>
          <w:p w14:paraId="44BF3C6B" w14:textId="77777777" w:rsidR="00000000" w:rsidRDefault="00A173A8">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77DB334"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C50C608"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0" w:type="dxa"/>
            </w:tcMar>
            <w:vAlign w:val="center"/>
            <w:hideMark/>
          </w:tcPr>
          <w:p w14:paraId="31C9E95D" w14:textId="77777777" w:rsidR="00000000" w:rsidRDefault="00A173A8">
            <w:pPr>
              <w:spacing w:after="100"/>
              <w:jc w:val="right"/>
              <w:rPr>
                <w:rFonts w:eastAsia="Times New Roman"/>
              </w:rPr>
            </w:pPr>
            <w:r>
              <w:rPr>
                <w:rFonts w:eastAsia="Times New Roman"/>
                <w:b/>
                <w:bCs/>
                <w:color w:val="000000"/>
                <w:sz w:val="20"/>
                <w:szCs w:val="20"/>
              </w:rPr>
              <w:t>1,181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A0A6110"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B3A7934"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3D48AA4A" w14:textId="77777777" w:rsidR="00000000" w:rsidRDefault="00A173A8">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7B9B007"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9A2B98A"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12B49111"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42DF9EA" w14:textId="77777777" w:rsidR="00000000" w:rsidRDefault="00A173A8">
            <w:pPr>
              <w:spacing w:after="100"/>
              <w:jc w:val="right"/>
              <w:rPr>
                <w:rFonts w:eastAsia="Times New Roman"/>
              </w:rPr>
            </w:pPr>
            <w:r>
              <w:rPr>
                <w:rFonts w:eastAsia="Times New Roman"/>
                <w:color w:val="000000"/>
                <w:sz w:val="20"/>
                <w:szCs w:val="20"/>
              </w:rPr>
              <w:t>1,109 </w:t>
            </w:r>
          </w:p>
        </w:tc>
        <w:tc>
          <w:tcPr>
            <w:tcW w:w="0" w:type="auto"/>
            <w:shd w:val="clear" w:color="auto" w:fill="FFFFFF"/>
            <w:tcMar>
              <w:top w:w="30" w:type="dxa"/>
              <w:left w:w="0" w:type="dxa"/>
              <w:bottom w:w="30" w:type="dxa"/>
              <w:right w:w="20" w:type="dxa"/>
            </w:tcMar>
            <w:vAlign w:val="center"/>
            <w:hideMark/>
          </w:tcPr>
          <w:p w14:paraId="62D95D7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2DDA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5DC6C0" w14:textId="77777777" w:rsidR="00000000" w:rsidRDefault="00A173A8">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center"/>
            <w:hideMark/>
          </w:tcPr>
          <w:p w14:paraId="599E9C59" w14:textId="77777777" w:rsidR="00000000" w:rsidRDefault="00A173A8">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34E0F20D" w14:textId="77777777" w:rsidR="00000000" w:rsidRDefault="00A173A8">
            <w:pPr>
              <w:spacing w:after="100"/>
              <w:jc w:val="right"/>
              <w:rPr>
                <w:rFonts w:eastAsia="Times New Roman"/>
              </w:rPr>
            </w:pPr>
          </w:p>
        </w:tc>
        <w:tc>
          <w:tcPr>
            <w:tcW w:w="0" w:type="auto"/>
            <w:gridSpan w:val="4"/>
            <w:vAlign w:val="center"/>
            <w:hideMark/>
          </w:tcPr>
          <w:p w14:paraId="34B2AFE5" w14:textId="77777777" w:rsidR="00000000" w:rsidRDefault="00A173A8">
            <w:pPr>
              <w:spacing w:after="100"/>
              <w:rPr>
                <w:rFonts w:eastAsia="Times New Roman"/>
                <w:sz w:val="20"/>
                <w:szCs w:val="20"/>
              </w:rPr>
            </w:pPr>
          </w:p>
        </w:tc>
        <w:tc>
          <w:tcPr>
            <w:tcW w:w="0" w:type="auto"/>
            <w:gridSpan w:val="3"/>
            <w:vAlign w:val="center"/>
            <w:hideMark/>
          </w:tcPr>
          <w:p w14:paraId="4612AF7F" w14:textId="77777777" w:rsidR="00000000" w:rsidRDefault="00A173A8">
            <w:pPr>
              <w:spacing w:after="100"/>
              <w:rPr>
                <w:rFonts w:eastAsia="Times New Roman"/>
                <w:sz w:val="20"/>
                <w:szCs w:val="20"/>
              </w:rPr>
            </w:pPr>
          </w:p>
        </w:tc>
        <w:tc>
          <w:tcPr>
            <w:tcW w:w="0" w:type="auto"/>
            <w:gridSpan w:val="3"/>
            <w:vAlign w:val="center"/>
            <w:hideMark/>
          </w:tcPr>
          <w:p w14:paraId="55E363AB" w14:textId="77777777" w:rsidR="00000000" w:rsidRDefault="00A173A8">
            <w:pPr>
              <w:spacing w:after="100"/>
              <w:rPr>
                <w:rFonts w:eastAsia="Times New Roman"/>
                <w:sz w:val="20"/>
                <w:szCs w:val="20"/>
              </w:rPr>
            </w:pPr>
          </w:p>
        </w:tc>
      </w:tr>
      <w:tr w:rsidR="00A173A8" w14:paraId="27175A24" w14:textId="77777777">
        <w:trPr>
          <w:divId w:val="1505630580"/>
        </w:trPr>
        <w:tc>
          <w:tcPr>
            <w:tcW w:w="0" w:type="auto"/>
            <w:gridSpan w:val="4"/>
            <w:shd w:val="clear" w:color="auto" w:fill="CCEEFF"/>
            <w:tcMar>
              <w:top w:w="30" w:type="dxa"/>
              <w:left w:w="245" w:type="dxa"/>
              <w:bottom w:w="30" w:type="dxa"/>
              <w:right w:w="20" w:type="dxa"/>
            </w:tcMar>
            <w:vAlign w:val="center"/>
            <w:hideMark/>
          </w:tcPr>
          <w:p w14:paraId="59C46A6B" w14:textId="77777777" w:rsidR="00000000" w:rsidRDefault="00A173A8">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14:paraId="5F3375A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4350E8F" w14:textId="77777777" w:rsidR="00000000" w:rsidRDefault="00A173A8">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27C791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D30FB"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628CE2AD" w14:textId="77777777" w:rsidR="00000000" w:rsidRDefault="00A173A8">
            <w:pPr>
              <w:spacing w:after="100"/>
              <w:jc w:val="right"/>
              <w:rPr>
                <w:rFonts w:eastAsia="Times New Roman"/>
              </w:rPr>
            </w:pPr>
            <w:r>
              <w:rPr>
                <w:rFonts w:eastAsia="Times New Roman"/>
                <w:b/>
                <w:bCs/>
                <w:color w:val="000000"/>
                <w:sz w:val="20"/>
                <w:szCs w:val="20"/>
              </w:rPr>
              <w:t>3.82</w:t>
            </w:r>
            <w:r>
              <w:rPr>
                <w:rFonts w:eastAsia="Times New Roman"/>
                <w:color w:val="000000"/>
                <w:sz w:val="20"/>
                <w:szCs w:val="20"/>
              </w:rPr>
              <w:t> </w:t>
            </w:r>
          </w:p>
        </w:tc>
        <w:tc>
          <w:tcPr>
            <w:tcW w:w="0" w:type="auto"/>
            <w:gridSpan w:val="3"/>
            <w:shd w:val="clear" w:color="auto" w:fill="CCEEFF"/>
            <w:tcMar>
              <w:top w:w="30" w:type="dxa"/>
              <w:left w:w="0" w:type="dxa"/>
              <w:bottom w:w="30" w:type="dxa"/>
              <w:right w:w="20" w:type="dxa"/>
            </w:tcMar>
            <w:vAlign w:val="center"/>
            <w:hideMark/>
          </w:tcPr>
          <w:p w14:paraId="51E0EA5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B60E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1242F5" w14:textId="77777777" w:rsidR="00000000" w:rsidRDefault="00A173A8">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center"/>
            <w:hideMark/>
          </w:tcPr>
          <w:p w14:paraId="399F89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F14F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B4EEE0" w14:textId="77777777" w:rsidR="00000000" w:rsidRDefault="00A173A8">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center"/>
            <w:hideMark/>
          </w:tcPr>
          <w:p w14:paraId="623CCD5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9F0EEC"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5E0C5F08" w14:textId="77777777" w:rsidR="00000000" w:rsidRDefault="00A173A8">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BA693F2"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0865CD1"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1DA396B8" w14:textId="77777777" w:rsidR="00000000" w:rsidRDefault="00A173A8">
            <w:pPr>
              <w:spacing w:after="100"/>
              <w:jc w:val="right"/>
              <w:rPr>
                <w:rFonts w:eastAsia="Times New Roman"/>
              </w:rPr>
            </w:pPr>
            <w:r>
              <w:rPr>
                <w:rFonts w:eastAsia="Times New Roman"/>
                <w:b/>
                <w:bCs/>
                <w:color w:val="000000"/>
                <w:sz w:val="20"/>
                <w:szCs w:val="20"/>
              </w:rPr>
              <w:t>3.51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7D9CDB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49F4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4FEF97" w14:textId="77777777" w:rsidR="00000000" w:rsidRDefault="00A173A8">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center"/>
            <w:hideMark/>
          </w:tcPr>
          <w:p w14:paraId="02A74A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3BCC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CD983A" w14:textId="77777777" w:rsidR="00000000" w:rsidRDefault="00A173A8">
            <w:pPr>
              <w:spacing w:after="100"/>
              <w:jc w:val="right"/>
              <w:rPr>
                <w:rFonts w:eastAsia="Times New Roman"/>
              </w:rPr>
            </w:pPr>
            <w:r>
              <w:rPr>
                <w:rFonts w:eastAsia="Times New Roman"/>
                <w:color w:val="000000"/>
                <w:sz w:val="20"/>
                <w:szCs w:val="20"/>
              </w:rPr>
              <w:t>2.36 </w:t>
            </w:r>
          </w:p>
        </w:tc>
        <w:tc>
          <w:tcPr>
            <w:tcW w:w="0" w:type="auto"/>
            <w:shd w:val="clear" w:color="auto" w:fill="CCEEFF"/>
            <w:tcMar>
              <w:top w:w="30" w:type="dxa"/>
              <w:left w:w="0" w:type="dxa"/>
              <w:bottom w:w="30" w:type="dxa"/>
              <w:right w:w="20" w:type="dxa"/>
            </w:tcMar>
            <w:vAlign w:val="center"/>
            <w:hideMark/>
          </w:tcPr>
          <w:p w14:paraId="6F55BE90" w14:textId="77777777" w:rsidR="00000000" w:rsidRDefault="00A173A8">
            <w:pPr>
              <w:spacing w:after="100"/>
              <w:jc w:val="right"/>
              <w:rPr>
                <w:rFonts w:eastAsia="Times New Roman"/>
              </w:rPr>
            </w:pPr>
          </w:p>
        </w:tc>
        <w:tc>
          <w:tcPr>
            <w:tcW w:w="0" w:type="auto"/>
            <w:gridSpan w:val="3"/>
            <w:vAlign w:val="center"/>
            <w:hideMark/>
          </w:tcPr>
          <w:p w14:paraId="477C7DD1" w14:textId="77777777" w:rsidR="00000000" w:rsidRDefault="00A173A8">
            <w:pPr>
              <w:spacing w:after="100"/>
              <w:jc w:val="right"/>
              <w:rPr>
                <w:rFonts w:eastAsia="Times New Roman"/>
                <w:sz w:val="20"/>
                <w:szCs w:val="20"/>
              </w:rPr>
            </w:pPr>
          </w:p>
        </w:tc>
        <w:tc>
          <w:tcPr>
            <w:tcW w:w="0" w:type="auto"/>
            <w:gridSpan w:val="4"/>
            <w:vAlign w:val="center"/>
            <w:hideMark/>
          </w:tcPr>
          <w:p w14:paraId="0DF39D29" w14:textId="77777777" w:rsidR="00000000" w:rsidRDefault="00A173A8">
            <w:pPr>
              <w:spacing w:after="100"/>
              <w:rPr>
                <w:rFonts w:eastAsia="Times New Roman"/>
                <w:sz w:val="20"/>
                <w:szCs w:val="20"/>
              </w:rPr>
            </w:pPr>
          </w:p>
        </w:tc>
        <w:tc>
          <w:tcPr>
            <w:tcW w:w="0" w:type="auto"/>
            <w:gridSpan w:val="3"/>
            <w:vAlign w:val="center"/>
            <w:hideMark/>
          </w:tcPr>
          <w:p w14:paraId="55E0E664" w14:textId="77777777" w:rsidR="00000000" w:rsidRDefault="00A173A8">
            <w:pPr>
              <w:spacing w:after="100"/>
              <w:rPr>
                <w:rFonts w:eastAsia="Times New Roman"/>
                <w:sz w:val="20"/>
                <w:szCs w:val="20"/>
              </w:rPr>
            </w:pPr>
          </w:p>
        </w:tc>
        <w:tc>
          <w:tcPr>
            <w:tcW w:w="0" w:type="auto"/>
            <w:gridSpan w:val="3"/>
            <w:vAlign w:val="center"/>
            <w:hideMark/>
          </w:tcPr>
          <w:p w14:paraId="2FF36285" w14:textId="77777777" w:rsidR="00000000" w:rsidRDefault="00A173A8">
            <w:pPr>
              <w:spacing w:after="100"/>
              <w:rPr>
                <w:rFonts w:eastAsia="Times New Roman"/>
                <w:sz w:val="20"/>
                <w:szCs w:val="20"/>
              </w:rPr>
            </w:pPr>
          </w:p>
        </w:tc>
      </w:tr>
      <w:tr w:rsidR="00A173A8" w14:paraId="446D83D7" w14:textId="77777777">
        <w:trPr>
          <w:divId w:val="1505630580"/>
        </w:trPr>
        <w:tc>
          <w:tcPr>
            <w:tcW w:w="0" w:type="auto"/>
            <w:gridSpan w:val="4"/>
            <w:shd w:val="clear" w:color="auto" w:fill="FFFFFF"/>
            <w:tcMar>
              <w:top w:w="30" w:type="dxa"/>
              <w:left w:w="20" w:type="dxa"/>
              <w:bottom w:w="30" w:type="dxa"/>
              <w:right w:w="20" w:type="dxa"/>
            </w:tcMar>
            <w:vAlign w:val="center"/>
            <w:hideMark/>
          </w:tcPr>
          <w:p w14:paraId="45E9D80A" w14:textId="77777777" w:rsidR="00000000" w:rsidRDefault="00A173A8">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3711E3FB" w14:textId="77777777" w:rsidR="00000000" w:rsidRDefault="00A173A8">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463E0AF" w14:textId="77777777" w:rsidR="00000000" w:rsidRDefault="00A173A8">
            <w:pPr>
              <w:spacing w:after="100"/>
              <w:jc w:val="right"/>
              <w:rPr>
                <w:rFonts w:eastAsia="Times New Roman"/>
              </w:rPr>
            </w:pPr>
            <w:r>
              <w:rPr>
                <w:rFonts w:eastAsia="Times New Roman"/>
                <w:b/>
                <w:bCs/>
                <w:color w:val="000000"/>
                <w:sz w:val="20"/>
                <w:szCs w:val="20"/>
              </w:rPr>
              <w:t>678</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46AF84D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93D0C"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69F7CD9F" w14:textId="77777777" w:rsidR="00000000" w:rsidRDefault="00A173A8">
            <w:pPr>
              <w:spacing w:after="100"/>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gridSpan w:val="3"/>
            <w:shd w:val="clear" w:color="auto" w:fill="FFFFFF"/>
            <w:tcMar>
              <w:top w:w="30" w:type="dxa"/>
              <w:left w:w="0" w:type="dxa"/>
              <w:bottom w:w="30" w:type="dxa"/>
              <w:right w:w="20" w:type="dxa"/>
            </w:tcMar>
            <w:vAlign w:val="center"/>
            <w:hideMark/>
          </w:tcPr>
          <w:p w14:paraId="62984B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53337"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67AA8B56" w14:textId="77777777" w:rsidR="00000000" w:rsidRDefault="00A173A8">
            <w:pPr>
              <w:spacing w:after="100"/>
              <w:jc w:val="right"/>
              <w:rPr>
                <w:rFonts w:eastAsia="Times New Roman"/>
              </w:rPr>
            </w:pPr>
            <w:r>
              <w:rPr>
                <w:rFonts w:eastAsia="Times New Roman"/>
                <w:color w:val="000000"/>
                <w:sz w:val="20"/>
                <w:szCs w:val="20"/>
              </w:rPr>
              <w:t>571 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14B0519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6BE2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2AF0FC" w14:textId="77777777" w:rsidR="00000000" w:rsidRDefault="00A173A8">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center"/>
            <w:hideMark/>
          </w:tcPr>
          <w:p w14:paraId="206BBA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D341BE" w14:textId="77777777" w:rsidR="00000000" w:rsidRDefault="00A173A8">
            <w:pPr>
              <w:spacing w:after="100"/>
              <w:jc w:val="right"/>
              <w:rPr>
                <w:rFonts w:eastAsia="Times New Roman"/>
                <w:sz w:val="20"/>
                <w:szCs w:val="20"/>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68E0298" w14:textId="77777777" w:rsidR="00000000" w:rsidRDefault="00A173A8">
            <w:pPr>
              <w:spacing w:after="100"/>
              <w:jc w:val="right"/>
              <w:rPr>
                <w:rFonts w:eastAsia="Times New Roman"/>
              </w:rPr>
            </w:pPr>
            <w:r>
              <w:rPr>
                <w:rFonts w:eastAsia="Times New Roman"/>
                <w:b/>
                <w:bCs/>
                <w:color w:val="000000"/>
                <w:sz w:val="20"/>
                <w:szCs w:val="20"/>
              </w:rPr>
              <w:t>1,285</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510662A0"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D02730E"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6204E59B" w14:textId="77777777" w:rsidR="00000000" w:rsidRDefault="00A173A8">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0E95F8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266F4"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2B347F60" w14:textId="77777777" w:rsidR="00000000" w:rsidRDefault="00A173A8">
            <w:pPr>
              <w:spacing w:after="100"/>
              <w:jc w:val="right"/>
              <w:rPr>
                <w:rFonts w:eastAsia="Times New Roman"/>
              </w:rPr>
            </w:pPr>
            <w:r>
              <w:rPr>
                <w:rFonts w:eastAsia="Times New Roman"/>
                <w:color w:val="000000"/>
                <w:sz w:val="20"/>
                <w:szCs w:val="20"/>
              </w:rPr>
              <w:t>1,204 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18074C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D026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2180A8" w14:textId="77777777" w:rsidR="00000000" w:rsidRDefault="00A173A8">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center"/>
            <w:hideMark/>
          </w:tcPr>
          <w:p w14:paraId="39518E10" w14:textId="77777777" w:rsidR="00000000" w:rsidRDefault="00A173A8">
            <w:pPr>
              <w:spacing w:after="100"/>
              <w:jc w:val="right"/>
              <w:rPr>
                <w:rFonts w:eastAsia="Times New Roman"/>
              </w:rPr>
            </w:pPr>
          </w:p>
        </w:tc>
        <w:tc>
          <w:tcPr>
            <w:tcW w:w="0" w:type="auto"/>
            <w:gridSpan w:val="3"/>
            <w:vAlign w:val="center"/>
            <w:hideMark/>
          </w:tcPr>
          <w:p w14:paraId="08C3DE59" w14:textId="77777777" w:rsidR="00000000" w:rsidRDefault="00A173A8">
            <w:pPr>
              <w:spacing w:after="100"/>
              <w:jc w:val="right"/>
              <w:rPr>
                <w:rFonts w:eastAsia="Times New Roman"/>
                <w:sz w:val="20"/>
                <w:szCs w:val="20"/>
              </w:rPr>
            </w:pPr>
          </w:p>
        </w:tc>
        <w:tc>
          <w:tcPr>
            <w:tcW w:w="0" w:type="auto"/>
            <w:gridSpan w:val="4"/>
            <w:vAlign w:val="center"/>
            <w:hideMark/>
          </w:tcPr>
          <w:p w14:paraId="5D35AA56" w14:textId="77777777" w:rsidR="00000000" w:rsidRDefault="00A173A8">
            <w:pPr>
              <w:spacing w:after="100"/>
              <w:rPr>
                <w:rFonts w:eastAsia="Times New Roman"/>
                <w:sz w:val="20"/>
                <w:szCs w:val="20"/>
              </w:rPr>
            </w:pPr>
          </w:p>
        </w:tc>
        <w:tc>
          <w:tcPr>
            <w:tcW w:w="0" w:type="auto"/>
            <w:gridSpan w:val="3"/>
            <w:vAlign w:val="center"/>
            <w:hideMark/>
          </w:tcPr>
          <w:p w14:paraId="6ED4934F" w14:textId="77777777" w:rsidR="00000000" w:rsidRDefault="00A173A8">
            <w:pPr>
              <w:spacing w:after="100"/>
              <w:rPr>
                <w:rFonts w:eastAsia="Times New Roman"/>
                <w:sz w:val="20"/>
                <w:szCs w:val="20"/>
              </w:rPr>
            </w:pPr>
          </w:p>
        </w:tc>
        <w:tc>
          <w:tcPr>
            <w:tcW w:w="0" w:type="auto"/>
            <w:gridSpan w:val="3"/>
            <w:vAlign w:val="center"/>
            <w:hideMark/>
          </w:tcPr>
          <w:p w14:paraId="6C243761" w14:textId="77777777" w:rsidR="00000000" w:rsidRDefault="00A173A8">
            <w:pPr>
              <w:spacing w:after="100"/>
              <w:rPr>
                <w:rFonts w:eastAsia="Times New Roman"/>
                <w:sz w:val="20"/>
                <w:szCs w:val="20"/>
              </w:rPr>
            </w:pPr>
          </w:p>
        </w:tc>
      </w:tr>
      <w:tr w:rsidR="00000000" w14:paraId="31B3A4C4" w14:textId="77777777">
        <w:tblPrEx>
          <w:tblW w:w="4992" w:type="pct"/>
          <w:jc w:val="center"/>
        </w:tblPrEx>
        <w:trPr>
          <w:gridAfter w:val="2"/>
          <w:jc w:val="center"/>
        </w:trPr>
        <w:tc>
          <w:tcPr>
            <w:tcW w:w="50" w:type="pct"/>
            <w:gridSpan w:val="2"/>
            <w:vAlign w:val="center"/>
            <w:hideMark/>
          </w:tcPr>
          <w:p w14:paraId="3867B5D5" w14:textId="77777777" w:rsidR="00000000" w:rsidRDefault="00A173A8">
            <w:pPr>
              <w:rPr>
                <w:rFonts w:eastAsia="Times New Roman"/>
              </w:rPr>
            </w:pPr>
          </w:p>
        </w:tc>
        <w:tc>
          <w:tcPr>
            <w:tcW w:w="1606" w:type="pct"/>
            <w:gridSpan w:val="13"/>
            <w:vAlign w:val="center"/>
            <w:hideMark/>
          </w:tcPr>
          <w:p w14:paraId="7DB78757" w14:textId="77777777" w:rsidR="00000000" w:rsidRDefault="00A173A8">
            <w:pPr>
              <w:spacing w:after="100"/>
              <w:rPr>
                <w:rFonts w:eastAsia="Times New Roman"/>
                <w:sz w:val="20"/>
                <w:szCs w:val="20"/>
              </w:rPr>
            </w:pPr>
          </w:p>
        </w:tc>
        <w:tc>
          <w:tcPr>
            <w:tcW w:w="5" w:type="pct"/>
            <w:gridSpan w:val="2"/>
            <w:vAlign w:val="center"/>
            <w:hideMark/>
          </w:tcPr>
          <w:p w14:paraId="04D00214" w14:textId="77777777" w:rsidR="00000000" w:rsidRDefault="00A173A8">
            <w:pPr>
              <w:spacing w:after="100"/>
              <w:rPr>
                <w:rFonts w:eastAsia="Times New Roman"/>
                <w:sz w:val="20"/>
                <w:szCs w:val="20"/>
              </w:rPr>
            </w:pPr>
          </w:p>
        </w:tc>
        <w:tc>
          <w:tcPr>
            <w:tcW w:w="50" w:type="pct"/>
            <w:vAlign w:val="center"/>
            <w:hideMark/>
          </w:tcPr>
          <w:p w14:paraId="3AEC7B47" w14:textId="77777777" w:rsidR="00000000" w:rsidRDefault="00A173A8">
            <w:pPr>
              <w:spacing w:after="100"/>
              <w:rPr>
                <w:rFonts w:eastAsia="Times New Roman"/>
                <w:sz w:val="20"/>
                <w:szCs w:val="20"/>
              </w:rPr>
            </w:pPr>
          </w:p>
        </w:tc>
        <w:tc>
          <w:tcPr>
            <w:tcW w:w="1614" w:type="pct"/>
            <w:gridSpan w:val="18"/>
            <w:vAlign w:val="center"/>
            <w:hideMark/>
          </w:tcPr>
          <w:p w14:paraId="1D422D9C" w14:textId="77777777" w:rsidR="00000000" w:rsidRDefault="00A173A8">
            <w:pPr>
              <w:spacing w:after="100"/>
              <w:rPr>
                <w:rFonts w:eastAsia="Times New Roman"/>
                <w:sz w:val="20"/>
                <w:szCs w:val="20"/>
              </w:rPr>
            </w:pPr>
          </w:p>
        </w:tc>
        <w:tc>
          <w:tcPr>
            <w:tcW w:w="5" w:type="pct"/>
            <w:gridSpan w:val="5"/>
            <w:vAlign w:val="center"/>
            <w:hideMark/>
          </w:tcPr>
          <w:p w14:paraId="0EDC72D8" w14:textId="77777777" w:rsidR="00000000" w:rsidRDefault="00A173A8">
            <w:pPr>
              <w:spacing w:after="100"/>
              <w:rPr>
                <w:rFonts w:eastAsia="Times New Roman"/>
                <w:sz w:val="20"/>
                <w:szCs w:val="20"/>
              </w:rPr>
            </w:pPr>
          </w:p>
        </w:tc>
        <w:tc>
          <w:tcPr>
            <w:tcW w:w="50" w:type="pct"/>
            <w:gridSpan w:val="3"/>
            <w:vAlign w:val="center"/>
            <w:hideMark/>
          </w:tcPr>
          <w:p w14:paraId="3A2E92A6" w14:textId="77777777" w:rsidR="00000000" w:rsidRDefault="00A173A8">
            <w:pPr>
              <w:spacing w:after="100"/>
              <w:rPr>
                <w:rFonts w:eastAsia="Times New Roman"/>
                <w:sz w:val="20"/>
                <w:szCs w:val="20"/>
              </w:rPr>
            </w:pPr>
          </w:p>
        </w:tc>
        <w:tc>
          <w:tcPr>
            <w:tcW w:w="1614" w:type="pct"/>
            <w:gridSpan w:val="20"/>
            <w:vAlign w:val="center"/>
            <w:hideMark/>
          </w:tcPr>
          <w:p w14:paraId="27BCBD67" w14:textId="77777777" w:rsidR="00000000" w:rsidRDefault="00A173A8">
            <w:pPr>
              <w:spacing w:after="100"/>
              <w:rPr>
                <w:rFonts w:eastAsia="Times New Roman"/>
                <w:sz w:val="20"/>
                <w:szCs w:val="20"/>
              </w:rPr>
            </w:pPr>
          </w:p>
        </w:tc>
        <w:tc>
          <w:tcPr>
            <w:tcW w:w="5" w:type="pct"/>
            <w:gridSpan w:val="5"/>
            <w:vAlign w:val="center"/>
            <w:hideMark/>
          </w:tcPr>
          <w:p w14:paraId="0EBADCC2" w14:textId="77777777" w:rsidR="00000000" w:rsidRDefault="00A173A8">
            <w:pPr>
              <w:spacing w:after="100"/>
              <w:rPr>
                <w:rFonts w:eastAsia="Times New Roman"/>
                <w:sz w:val="20"/>
                <w:szCs w:val="20"/>
              </w:rPr>
            </w:pPr>
          </w:p>
        </w:tc>
      </w:tr>
      <w:tr w:rsidR="00000000" w14:paraId="3EEF9CB2" w14:textId="77777777">
        <w:tblPrEx>
          <w:tblW w:w="4992" w:type="pct"/>
          <w:jc w:val="center"/>
        </w:tblPrEx>
        <w:trPr>
          <w:gridAfter w:val="2"/>
          <w:trHeight w:val="300"/>
          <w:jc w:val="center"/>
        </w:trPr>
        <w:tc>
          <w:tcPr>
            <w:tcW w:w="0" w:type="auto"/>
            <w:gridSpan w:val="69"/>
            <w:tcMar>
              <w:top w:w="0" w:type="dxa"/>
              <w:left w:w="20" w:type="dxa"/>
              <w:bottom w:w="0" w:type="dxa"/>
              <w:right w:w="20" w:type="dxa"/>
            </w:tcMar>
            <w:vAlign w:val="center"/>
            <w:hideMark/>
          </w:tcPr>
          <w:p w14:paraId="53C4C613" w14:textId="77777777" w:rsidR="00000000" w:rsidRDefault="00A173A8">
            <w:pPr>
              <w:spacing w:after="100"/>
              <w:rPr>
                <w:rFonts w:eastAsia="Times New Roman"/>
                <w:sz w:val="20"/>
                <w:szCs w:val="20"/>
              </w:rPr>
            </w:pPr>
          </w:p>
        </w:tc>
      </w:tr>
      <w:tr w:rsidR="00000000" w14:paraId="4C758DE4" w14:textId="77777777">
        <w:tblPrEx>
          <w:tblW w:w="4992" w:type="pct"/>
          <w:jc w:val="center"/>
        </w:tblPrEx>
        <w:trPr>
          <w:gridAfter w:val="2"/>
          <w:jc w:val="center"/>
        </w:trPr>
        <w:tc>
          <w:tcPr>
            <w:tcW w:w="0" w:type="auto"/>
            <w:gridSpan w:val="17"/>
            <w:tcMar>
              <w:top w:w="0" w:type="dxa"/>
              <w:left w:w="20" w:type="dxa"/>
              <w:bottom w:w="0" w:type="dxa"/>
              <w:right w:w="20" w:type="dxa"/>
            </w:tcMar>
            <w:vAlign w:val="center"/>
            <w:hideMark/>
          </w:tcPr>
          <w:p w14:paraId="095B31AF" w14:textId="77777777" w:rsidR="00000000" w:rsidRDefault="00A173A8">
            <w:pPr>
              <w:spacing w:after="100"/>
              <w:rPr>
                <w:rFonts w:eastAsia="Times New Roman"/>
                <w:sz w:val="20"/>
                <w:szCs w:val="20"/>
              </w:rPr>
            </w:pPr>
          </w:p>
        </w:tc>
        <w:tc>
          <w:tcPr>
            <w:tcW w:w="0" w:type="auto"/>
            <w:gridSpan w:val="24"/>
            <w:tcMar>
              <w:top w:w="30" w:type="dxa"/>
              <w:left w:w="20" w:type="dxa"/>
              <w:bottom w:w="30" w:type="dxa"/>
              <w:right w:w="20" w:type="dxa"/>
            </w:tcMar>
            <w:vAlign w:val="bottom"/>
            <w:hideMark/>
          </w:tcPr>
          <w:p w14:paraId="0A8DB1F6" w14:textId="77777777" w:rsidR="00000000" w:rsidRDefault="00A173A8">
            <w:pPr>
              <w:spacing w:after="100"/>
              <w:jc w:val="center"/>
              <w:rPr>
                <w:rFonts w:eastAsia="Times New Roman"/>
              </w:rPr>
            </w:pPr>
            <w:r>
              <w:rPr>
                <w:rFonts w:eastAsia="Times New Roman"/>
                <w:color w:val="000000"/>
                <w:sz w:val="16"/>
                <w:szCs w:val="16"/>
              </w:rPr>
              <w:t>42</w:t>
            </w:r>
          </w:p>
        </w:tc>
        <w:tc>
          <w:tcPr>
            <w:tcW w:w="0" w:type="auto"/>
            <w:gridSpan w:val="28"/>
            <w:tcMar>
              <w:top w:w="30" w:type="dxa"/>
              <w:left w:w="20" w:type="dxa"/>
              <w:bottom w:w="30" w:type="dxa"/>
              <w:right w:w="20" w:type="dxa"/>
            </w:tcMar>
            <w:vAlign w:val="bottom"/>
            <w:hideMark/>
          </w:tcPr>
          <w:p w14:paraId="78F0E45C"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4D13007" w14:textId="77777777" w:rsidR="00000000" w:rsidRDefault="00A173A8">
      <w:pPr>
        <w:rPr>
          <w:rFonts w:eastAsia="Times New Roman"/>
        </w:rPr>
      </w:pPr>
      <w:r>
        <w:rPr>
          <w:rFonts w:eastAsia="Times New Roman"/>
        </w:rPr>
        <w:pict w14:anchorId="6348E12C">
          <v:rect id="_x0000_i1067" style="width:0;height:1.5pt" o:hralign="center" o:hrstd="t" o:hr="t" fillcolor="#a0a0a0" stroked="f"/>
        </w:pict>
      </w:r>
    </w:p>
    <w:p w14:paraId="782C7254" w14:textId="77777777" w:rsidR="00000000" w:rsidRDefault="00A173A8">
      <w:pPr>
        <w:ind w:hanging="360"/>
        <w:jc w:val="both"/>
        <w:divId w:val="1083840231"/>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6"/>
        <w:gridCol w:w="1378"/>
        <w:gridCol w:w="38"/>
        <w:gridCol w:w="36"/>
        <w:gridCol w:w="36"/>
        <w:gridCol w:w="36"/>
        <w:gridCol w:w="120"/>
        <w:gridCol w:w="700"/>
        <w:gridCol w:w="36"/>
        <w:gridCol w:w="36"/>
        <w:gridCol w:w="36"/>
        <w:gridCol w:w="36"/>
        <w:gridCol w:w="62"/>
        <w:gridCol w:w="442"/>
        <w:gridCol w:w="36"/>
        <w:gridCol w:w="36"/>
        <w:gridCol w:w="36"/>
        <w:gridCol w:w="36"/>
        <w:gridCol w:w="120"/>
        <w:gridCol w:w="700"/>
        <w:gridCol w:w="36"/>
        <w:gridCol w:w="36"/>
        <w:gridCol w:w="36"/>
        <w:gridCol w:w="36"/>
        <w:gridCol w:w="62"/>
        <w:gridCol w:w="442"/>
        <w:gridCol w:w="36"/>
        <w:gridCol w:w="36"/>
        <w:gridCol w:w="36"/>
        <w:gridCol w:w="36"/>
        <w:gridCol w:w="120"/>
        <w:gridCol w:w="700"/>
        <w:gridCol w:w="36"/>
        <w:gridCol w:w="36"/>
        <w:gridCol w:w="36"/>
        <w:gridCol w:w="36"/>
        <w:gridCol w:w="62"/>
        <w:gridCol w:w="442"/>
        <w:gridCol w:w="36"/>
        <w:gridCol w:w="36"/>
        <w:gridCol w:w="36"/>
        <w:gridCol w:w="36"/>
        <w:gridCol w:w="120"/>
        <w:gridCol w:w="700"/>
        <w:gridCol w:w="36"/>
        <w:gridCol w:w="36"/>
        <w:gridCol w:w="36"/>
        <w:gridCol w:w="36"/>
        <w:gridCol w:w="60"/>
        <w:gridCol w:w="444"/>
        <w:gridCol w:w="36"/>
        <w:gridCol w:w="36"/>
        <w:gridCol w:w="36"/>
        <w:gridCol w:w="36"/>
        <w:gridCol w:w="36"/>
        <w:gridCol w:w="36"/>
        <w:gridCol w:w="36"/>
        <w:gridCol w:w="36"/>
        <w:gridCol w:w="36"/>
        <w:gridCol w:w="36"/>
        <w:gridCol w:w="36"/>
        <w:gridCol w:w="36"/>
      </w:tblGrid>
      <w:tr w:rsidR="00000000" w14:paraId="394068EF" w14:textId="77777777">
        <w:trPr>
          <w:divId w:val="2063481035"/>
        </w:trPr>
        <w:tc>
          <w:tcPr>
            <w:tcW w:w="50" w:type="pct"/>
            <w:vAlign w:val="center"/>
            <w:hideMark/>
          </w:tcPr>
          <w:p w14:paraId="5C2AEF09" w14:textId="77777777" w:rsidR="00000000" w:rsidRDefault="00A173A8">
            <w:pPr>
              <w:ind w:hanging="360"/>
              <w:jc w:val="both"/>
              <w:rPr>
                <w:rFonts w:eastAsia="Times New Roman"/>
              </w:rPr>
            </w:pPr>
          </w:p>
        </w:tc>
        <w:tc>
          <w:tcPr>
            <w:tcW w:w="1311" w:type="pct"/>
            <w:vAlign w:val="center"/>
            <w:hideMark/>
          </w:tcPr>
          <w:p w14:paraId="7621031C" w14:textId="77777777" w:rsidR="00000000" w:rsidRDefault="00A173A8">
            <w:pPr>
              <w:spacing w:after="100"/>
              <w:rPr>
                <w:rFonts w:eastAsia="Times New Roman"/>
                <w:sz w:val="20"/>
                <w:szCs w:val="20"/>
              </w:rPr>
            </w:pPr>
          </w:p>
        </w:tc>
        <w:tc>
          <w:tcPr>
            <w:tcW w:w="5" w:type="pct"/>
            <w:vAlign w:val="center"/>
            <w:hideMark/>
          </w:tcPr>
          <w:p w14:paraId="6B813704" w14:textId="77777777" w:rsidR="00000000" w:rsidRDefault="00A173A8">
            <w:pPr>
              <w:spacing w:after="100"/>
              <w:rPr>
                <w:rFonts w:eastAsia="Times New Roman"/>
                <w:sz w:val="20"/>
                <w:szCs w:val="20"/>
              </w:rPr>
            </w:pPr>
          </w:p>
        </w:tc>
        <w:tc>
          <w:tcPr>
            <w:tcW w:w="5" w:type="pct"/>
            <w:vAlign w:val="center"/>
            <w:hideMark/>
          </w:tcPr>
          <w:p w14:paraId="57287961" w14:textId="77777777" w:rsidR="00000000" w:rsidRDefault="00A173A8">
            <w:pPr>
              <w:spacing w:after="100"/>
              <w:rPr>
                <w:rFonts w:eastAsia="Times New Roman"/>
                <w:sz w:val="20"/>
                <w:szCs w:val="20"/>
              </w:rPr>
            </w:pPr>
          </w:p>
        </w:tc>
        <w:tc>
          <w:tcPr>
            <w:tcW w:w="26" w:type="pct"/>
            <w:vAlign w:val="center"/>
            <w:hideMark/>
          </w:tcPr>
          <w:p w14:paraId="46C571DA" w14:textId="77777777" w:rsidR="00000000" w:rsidRDefault="00A173A8">
            <w:pPr>
              <w:spacing w:after="100"/>
              <w:rPr>
                <w:rFonts w:eastAsia="Times New Roman"/>
                <w:sz w:val="20"/>
                <w:szCs w:val="20"/>
              </w:rPr>
            </w:pPr>
          </w:p>
        </w:tc>
        <w:tc>
          <w:tcPr>
            <w:tcW w:w="5" w:type="pct"/>
            <w:vAlign w:val="center"/>
            <w:hideMark/>
          </w:tcPr>
          <w:p w14:paraId="1FAD9C74" w14:textId="77777777" w:rsidR="00000000" w:rsidRDefault="00A173A8">
            <w:pPr>
              <w:spacing w:after="100"/>
              <w:rPr>
                <w:rFonts w:eastAsia="Times New Roman"/>
                <w:sz w:val="20"/>
                <w:szCs w:val="20"/>
              </w:rPr>
            </w:pPr>
          </w:p>
        </w:tc>
        <w:tc>
          <w:tcPr>
            <w:tcW w:w="50" w:type="pct"/>
            <w:vAlign w:val="center"/>
            <w:hideMark/>
          </w:tcPr>
          <w:p w14:paraId="6257C2F7" w14:textId="77777777" w:rsidR="00000000" w:rsidRDefault="00A173A8">
            <w:pPr>
              <w:spacing w:after="100"/>
              <w:rPr>
                <w:rFonts w:eastAsia="Times New Roman"/>
                <w:sz w:val="20"/>
                <w:szCs w:val="20"/>
              </w:rPr>
            </w:pPr>
          </w:p>
        </w:tc>
        <w:tc>
          <w:tcPr>
            <w:tcW w:w="361" w:type="pct"/>
            <w:vAlign w:val="center"/>
            <w:hideMark/>
          </w:tcPr>
          <w:p w14:paraId="5BDF59BE" w14:textId="77777777" w:rsidR="00000000" w:rsidRDefault="00A173A8">
            <w:pPr>
              <w:spacing w:after="100"/>
              <w:rPr>
                <w:rFonts w:eastAsia="Times New Roman"/>
                <w:sz w:val="20"/>
                <w:szCs w:val="20"/>
              </w:rPr>
            </w:pPr>
          </w:p>
        </w:tc>
        <w:tc>
          <w:tcPr>
            <w:tcW w:w="5" w:type="pct"/>
            <w:vAlign w:val="center"/>
            <w:hideMark/>
          </w:tcPr>
          <w:p w14:paraId="2282A9F6" w14:textId="77777777" w:rsidR="00000000" w:rsidRDefault="00A173A8">
            <w:pPr>
              <w:spacing w:after="100"/>
              <w:rPr>
                <w:rFonts w:eastAsia="Times New Roman"/>
                <w:sz w:val="20"/>
                <w:szCs w:val="20"/>
              </w:rPr>
            </w:pPr>
          </w:p>
        </w:tc>
        <w:tc>
          <w:tcPr>
            <w:tcW w:w="5" w:type="pct"/>
            <w:vAlign w:val="center"/>
            <w:hideMark/>
          </w:tcPr>
          <w:p w14:paraId="09BF1757" w14:textId="77777777" w:rsidR="00000000" w:rsidRDefault="00A173A8">
            <w:pPr>
              <w:spacing w:after="100"/>
              <w:rPr>
                <w:rFonts w:eastAsia="Times New Roman"/>
                <w:sz w:val="20"/>
                <w:szCs w:val="20"/>
              </w:rPr>
            </w:pPr>
          </w:p>
        </w:tc>
        <w:tc>
          <w:tcPr>
            <w:tcW w:w="26" w:type="pct"/>
            <w:vAlign w:val="center"/>
            <w:hideMark/>
          </w:tcPr>
          <w:p w14:paraId="02EF1756" w14:textId="77777777" w:rsidR="00000000" w:rsidRDefault="00A173A8">
            <w:pPr>
              <w:spacing w:after="100"/>
              <w:rPr>
                <w:rFonts w:eastAsia="Times New Roman"/>
                <w:sz w:val="20"/>
                <w:szCs w:val="20"/>
              </w:rPr>
            </w:pPr>
          </w:p>
        </w:tc>
        <w:tc>
          <w:tcPr>
            <w:tcW w:w="5" w:type="pct"/>
            <w:vAlign w:val="center"/>
            <w:hideMark/>
          </w:tcPr>
          <w:p w14:paraId="295EF099" w14:textId="77777777" w:rsidR="00000000" w:rsidRDefault="00A173A8">
            <w:pPr>
              <w:spacing w:after="100"/>
              <w:rPr>
                <w:rFonts w:eastAsia="Times New Roman"/>
                <w:sz w:val="20"/>
                <w:szCs w:val="20"/>
              </w:rPr>
            </w:pPr>
          </w:p>
        </w:tc>
        <w:tc>
          <w:tcPr>
            <w:tcW w:w="50" w:type="pct"/>
            <w:vAlign w:val="center"/>
            <w:hideMark/>
          </w:tcPr>
          <w:p w14:paraId="3A40D375" w14:textId="77777777" w:rsidR="00000000" w:rsidRDefault="00A173A8">
            <w:pPr>
              <w:spacing w:after="100"/>
              <w:rPr>
                <w:rFonts w:eastAsia="Times New Roman"/>
                <w:sz w:val="20"/>
                <w:szCs w:val="20"/>
              </w:rPr>
            </w:pPr>
          </w:p>
        </w:tc>
        <w:tc>
          <w:tcPr>
            <w:tcW w:w="361" w:type="pct"/>
            <w:vAlign w:val="center"/>
            <w:hideMark/>
          </w:tcPr>
          <w:p w14:paraId="63FD10FC" w14:textId="77777777" w:rsidR="00000000" w:rsidRDefault="00A173A8">
            <w:pPr>
              <w:spacing w:after="100"/>
              <w:rPr>
                <w:rFonts w:eastAsia="Times New Roman"/>
                <w:sz w:val="20"/>
                <w:szCs w:val="20"/>
              </w:rPr>
            </w:pPr>
          </w:p>
        </w:tc>
        <w:tc>
          <w:tcPr>
            <w:tcW w:w="5" w:type="pct"/>
            <w:vAlign w:val="center"/>
            <w:hideMark/>
          </w:tcPr>
          <w:p w14:paraId="7E817972" w14:textId="77777777" w:rsidR="00000000" w:rsidRDefault="00A173A8">
            <w:pPr>
              <w:spacing w:after="100"/>
              <w:rPr>
                <w:rFonts w:eastAsia="Times New Roman"/>
                <w:sz w:val="20"/>
                <w:szCs w:val="20"/>
              </w:rPr>
            </w:pPr>
          </w:p>
        </w:tc>
        <w:tc>
          <w:tcPr>
            <w:tcW w:w="5" w:type="pct"/>
            <w:vAlign w:val="center"/>
            <w:hideMark/>
          </w:tcPr>
          <w:p w14:paraId="481D0BD1" w14:textId="77777777" w:rsidR="00000000" w:rsidRDefault="00A173A8">
            <w:pPr>
              <w:spacing w:after="100"/>
              <w:rPr>
                <w:rFonts w:eastAsia="Times New Roman"/>
                <w:sz w:val="20"/>
                <w:szCs w:val="20"/>
              </w:rPr>
            </w:pPr>
          </w:p>
        </w:tc>
        <w:tc>
          <w:tcPr>
            <w:tcW w:w="26" w:type="pct"/>
            <w:vAlign w:val="center"/>
            <w:hideMark/>
          </w:tcPr>
          <w:p w14:paraId="1D5B1F14" w14:textId="77777777" w:rsidR="00000000" w:rsidRDefault="00A173A8">
            <w:pPr>
              <w:spacing w:after="100"/>
              <w:rPr>
                <w:rFonts w:eastAsia="Times New Roman"/>
                <w:sz w:val="20"/>
                <w:szCs w:val="20"/>
              </w:rPr>
            </w:pPr>
          </w:p>
        </w:tc>
        <w:tc>
          <w:tcPr>
            <w:tcW w:w="5" w:type="pct"/>
            <w:vAlign w:val="center"/>
            <w:hideMark/>
          </w:tcPr>
          <w:p w14:paraId="4BC4070D" w14:textId="77777777" w:rsidR="00000000" w:rsidRDefault="00A173A8">
            <w:pPr>
              <w:spacing w:after="100"/>
              <w:rPr>
                <w:rFonts w:eastAsia="Times New Roman"/>
                <w:sz w:val="20"/>
                <w:szCs w:val="20"/>
              </w:rPr>
            </w:pPr>
          </w:p>
        </w:tc>
        <w:tc>
          <w:tcPr>
            <w:tcW w:w="50" w:type="pct"/>
            <w:vAlign w:val="center"/>
            <w:hideMark/>
          </w:tcPr>
          <w:p w14:paraId="3A4F4DD2" w14:textId="77777777" w:rsidR="00000000" w:rsidRDefault="00A173A8">
            <w:pPr>
              <w:spacing w:after="100"/>
              <w:rPr>
                <w:rFonts w:eastAsia="Times New Roman"/>
                <w:sz w:val="20"/>
                <w:szCs w:val="20"/>
              </w:rPr>
            </w:pPr>
          </w:p>
        </w:tc>
        <w:tc>
          <w:tcPr>
            <w:tcW w:w="361" w:type="pct"/>
            <w:vAlign w:val="center"/>
            <w:hideMark/>
          </w:tcPr>
          <w:p w14:paraId="0F6951CD" w14:textId="77777777" w:rsidR="00000000" w:rsidRDefault="00A173A8">
            <w:pPr>
              <w:spacing w:after="100"/>
              <w:rPr>
                <w:rFonts w:eastAsia="Times New Roman"/>
                <w:sz w:val="20"/>
                <w:szCs w:val="20"/>
              </w:rPr>
            </w:pPr>
          </w:p>
        </w:tc>
        <w:tc>
          <w:tcPr>
            <w:tcW w:w="5" w:type="pct"/>
            <w:vAlign w:val="center"/>
            <w:hideMark/>
          </w:tcPr>
          <w:p w14:paraId="5673D726" w14:textId="77777777" w:rsidR="00000000" w:rsidRDefault="00A173A8">
            <w:pPr>
              <w:spacing w:after="100"/>
              <w:rPr>
                <w:rFonts w:eastAsia="Times New Roman"/>
                <w:sz w:val="20"/>
                <w:szCs w:val="20"/>
              </w:rPr>
            </w:pPr>
          </w:p>
        </w:tc>
        <w:tc>
          <w:tcPr>
            <w:tcW w:w="5" w:type="pct"/>
            <w:vAlign w:val="center"/>
            <w:hideMark/>
          </w:tcPr>
          <w:p w14:paraId="3511B70E" w14:textId="77777777" w:rsidR="00000000" w:rsidRDefault="00A173A8">
            <w:pPr>
              <w:spacing w:after="100"/>
              <w:rPr>
                <w:rFonts w:eastAsia="Times New Roman"/>
                <w:sz w:val="20"/>
                <w:szCs w:val="20"/>
              </w:rPr>
            </w:pPr>
          </w:p>
        </w:tc>
        <w:tc>
          <w:tcPr>
            <w:tcW w:w="26" w:type="pct"/>
            <w:vAlign w:val="center"/>
            <w:hideMark/>
          </w:tcPr>
          <w:p w14:paraId="03A85D4B" w14:textId="77777777" w:rsidR="00000000" w:rsidRDefault="00A173A8">
            <w:pPr>
              <w:spacing w:after="100"/>
              <w:rPr>
                <w:rFonts w:eastAsia="Times New Roman"/>
                <w:sz w:val="20"/>
                <w:szCs w:val="20"/>
              </w:rPr>
            </w:pPr>
          </w:p>
        </w:tc>
        <w:tc>
          <w:tcPr>
            <w:tcW w:w="5" w:type="pct"/>
            <w:vAlign w:val="center"/>
            <w:hideMark/>
          </w:tcPr>
          <w:p w14:paraId="6D0FCB7A" w14:textId="77777777" w:rsidR="00000000" w:rsidRDefault="00A173A8">
            <w:pPr>
              <w:spacing w:after="100"/>
              <w:rPr>
                <w:rFonts w:eastAsia="Times New Roman"/>
                <w:sz w:val="20"/>
                <w:szCs w:val="20"/>
              </w:rPr>
            </w:pPr>
          </w:p>
        </w:tc>
        <w:tc>
          <w:tcPr>
            <w:tcW w:w="50" w:type="pct"/>
            <w:vAlign w:val="center"/>
            <w:hideMark/>
          </w:tcPr>
          <w:p w14:paraId="11FE013B" w14:textId="77777777" w:rsidR="00000000" w:rsidRDefault="00A173A8">
            <w:pPr>
              <w:spacing w:after="100"/>
              <w:rPr>
                <w:rFonts w:eastAsia="Times New Roman"/>
                <w:sz w:val="20"/>
                <w:szCs w:val="20"/>
              </w:rPr>
            </w:pPr>
          </w:p>
        </w:tc>
        <w:tc>
          <w:tcPr>
            <w:tcW w:w="361" w:type="pct"/>
            <w:vAlign w:val="center"/>
            <w:hideMark/>
          </w:tcPr>
          <w:p w14:paraId="5881FC4A" w14:textId="77777777" w:rsidR="00000000" w:rsidRDefault="00A173A8">
            <w:pPr>
              <w:spacing w:after="100"/>
              <w:rPr>
                <w:rFonts w:eastAsia="Times New Roman"/>
                <w:sz w:val="20"/>
                <w:szCs w:val="20"/>
              </w:rPr>
            </w:pPr>
          </w:p>
        </w:tc>
        <w:tc>
          <w:tcPr>
            <w:tcW w:w="5" w:type="pct"/>
            <w:vAlign w:val="center"/>
            <w:hideMark/>
          </w:tcPr>
          <w:p w14:paraId="0DB88425" w14:textId="77777777" w:rsidR="00000000" w:rsidRDefault="00A173A8">
            <w:pPr>
              <w:spacing w:after="100"/>
              <w:rPr>
                <w:rFonts w:eastAsia="Times New Roman"/>
                <w:sz w:val="20"/>
                <w:szCs w:val="20"/>
              </w:rPr>
            </w:pPr>
          </w:p>
        </w:tc>
        <w:tc>
          <w:tcPr>
            <w:tcW w:w="5" w:type="pct"/>
            <w:vAlign w:val="center"/>
            <w:hideMark/>
          </w:tcPr>
          <w:p w14:paraId="7AB22A13" w14:textId="77777777" w:rsidR="00000000" w:rsidRDefault="00A173A8">
            <w:pPr>
              <w:spacing w:after="100"/>
              <w:rPr>
                <w:rFonts w:eastAsia="Times New Roman"/>
                <w:sz w:val="20"/>
                <w:szCs w:val="20"/>
              </w:rPr>
            </w:pPr>
          </w:p>
        </w:tc>
        <w:tc>
          <w:tcPr>
            <w:tcW w:w="19" w:type="pct"/>
            <w:vAlign w:val="center"/>
            <w:hideMark/>
          </w:tcPr>
          <w:p w14:paraId="2005024E" w14:textId="77777777" w:rsidR="00000000" w:rsidRDefault="00A173A8">
            <w:pPr>
              <w:spacing w:after="100"/>
              <w:rPr>
                <w:rFonts w:eastAsia="Times New Roman"/>
                <w:sz w:val="20"/>
                <w:szCs w:val="20"/>
              </w:rPr>
            </w:pPr>
          </w:p>
        </w:tc>
        <w:tc>
          <w:tcPr>
            <w:tcW w:w="5" w:type="pct"/>
            <w:vAlign w:val="center"/>
            <w:hideMark/>
          </w:tcPr>
          <w:p w14:paraId="7B363749" w14:textId="77777777" w:rsidR="00000000" w:rsidRDefault="00A173A8">
            <w:pPr>
              <w:spacing w:after="100"/>
              <w:rPr>
                <w:rFonts w:eastAsia="Times New Roman"/>
                <w:sz w:val="20"/>
                <w:szCs w:val="20"/>
              </w:rPr>
            </w:pPr>
          </w:p>
        </w:tc>
        <w:tc>
          <w:tcPr>
            <w:tcW w:w="50" w:type="pct"/>
            <w:vAlign w:val="center"/>
            <w:hideMark/>
          </w:tcPr>
          <w:p w14:paraId="69F3DA43" w14:textId="77777777" w:rsidR="00000000" w:rsidRDefault="00A173A8">
            <w:pPr>
              <w:spacing w:after="100"/>
              <w:rPr>
                <w:rFonts w:eastAsia="Times New Roman"/>
                <w:sz w:val="20"/>
                <w:szCs w:val="20"/>
              </w:rPr>
            </w:pPr>
          </w:p>
        </w:tc>
        <w:tc>
          <w:tcPr>
            <w:tcW w:w="361" w:type="pct"/>
            <w:vAlign w:val="center"/>
            <w:hideMark/>
          </w:tcPr>
          <w:p w14:paraId="4B092829" w14:textId="77777777" w:rsidR="00000000" w:rsidRDefault="00A173A8">
            <w:pPr>
              <w:spacing w:after="100"/>
              <w:rPr>
                <w:rFonts w:eastAsia="Times New Roman"/>
                <w:sz w:val="20"/>
                <w:szCs w:val="20"/>
              </w:rPr>
            </w:pPr>
          </w:p>
        </w:tc>
        <w:tc>
          <w:tcPr>
            <w:tcW w:w="5" w:type="pct"/>
            <w:vAlign w:val="center"/>
            <w:hideMark/>
          </w:tcPr>
          <w:p w14:paraId="39569558" w14:textId="77777777" w:rsidR="00000000" w:rsidRDefault="00A173A8">
            <w:pPr>
              <w:spacing w:after="100"/>
              <w:rPr>
                <w:rFonts w:eastAsia="Times New Roman"/>
                <w:sz w:val="20"/>
                <w:szCs w:val="20"/>
              </w:rPr>
            </w:pPr>
          </w:p>
        </w:tc>
        <w:tc>
          <w:tcPr>
            <w:tcW w:w="5" w:type="pct"/>
            <w:vAlign w:val="center"/>
            <w:hideMark/>
          </w:tcPr>
          <w:p w14:paraId="49AC32C0" w14:textId="77777777" w:rsidR="00000000" w:rsidRDefault="00A173A8">
            <w:pPr>
              <w:spacing w:after="100"/>
              <w:rPr>
                <w:rFonts w:eastAsia="Times New Roman"/>
                <w:sz w:val="20"/>
                <w:szCs w:val="20"/>
              </w:rPr>
            </w:pPr>
          </w:p>
        </w:tc>
        <w:tc>
          <w:tcPr>
            <w:tcW w:w="26" w:type="pct"/>
            <w:vAlign w:val="center"/>
            <w:hideMark/>
          </w:tcPr>
          <w:p w14:paraId="6E23CB29" w14:textId="77777777" w:rsidR="00000000" w:rsidRDefault="00A173A8">
            <w:pPr>
              <w:spacing w:after="100"/>
              <w:rPr>
                <w:rFonts w:eastAsia="Times New Roman"/>
                <w:sz w:val="20"/>
                <w:szCs w:val="20"/>
              </w:rPr>
            </w:pPr>
          </w:p>
        </w:tc>
        <w:tc>
          <w:tcPr>
            <w:tcW w:w="5" w:type="pct"/>
            <w:vAlign w:val="center"/>
            <w:hideMark/>
          </w:tcPr>
          <w:p w14:paraId="6E35D4CF" w14:textId="77777777" w:rsidR="00000000" w:rsidRDefault="00A173A8">
            <w:pPr>
              <w:spacing w:after="100"/>
              <w:rPr>
                <w:rFonts w:eastAsia="Times New Roman"/>
                <w:sz w:val="20"/>
                <w:szCs w:val="20"/>
              </w:rPr>
            </w:pPr>
          </w:p>
        </w:tc>
        <w:tc>
          <w:tcPr>
            <w:tcW w:w="50" w:type="pct"/>
            <w:vAlign w:val="center"/>
            <w:hideMark/>
          </w:tcPr>
          <w:p w14:paraId="2231FF37" w14:textId="77777777" w:rsidR="00000000" w:rsidRDefault="00A173A8">
            <w:pPr>
              <w:spacing w:after="100"/>
              <w:rPr>
                <w:rFonts w:eastAsia="Times New Roman"/>
                <w:sz w:val="20"/>
                <w:szCs w:val="20"/>
              </w:rPr>
            </w:pPr>
          </w:p>
        </w:tc>
        <w:tc>
          <w:tcPr>
            <w:tcW w:w="361" w:type="pct"/>
            <w:vAlign w:val="center"/>
            <w:hideMark/>
          </w:tcPr>
          <w:p w14:paraId="731897C0" w14:textId="77777777" w:rsidR="00000000" w:rsidRDefault="00A173A8">
            <w:pPr>
              <w:spacing w:after="100"/>
              <w:rPr>
                <w:rFonts w:eastAsia="Times New Roman"/>
                <w:sz w:val="20"/>
                <w:szCs w:val="20"/>
              </w:rPr>
            </w:pPr>
          </w:p>
        </w:tc>
        <w:tc>
          <w:tcPr>
            <w:tcW w:w="5" w:type="pct"/>
            <w:vAlign w:val="center"/>
            <w:hideMark/>
          </w:tcPr>
          <w:p w14:paraId="1182987D" w14:textId="77777777" w:rsidR="00000000" w:rsidRDefault="00A173A8">
            <w:pPr>
              <w:spacing w:after="100"/>
              <w:rPr>
                <w:rFonts w:eastAsia="Times New Roman"/>
                <w:sz w:val="20"/>
                <w:szCs w:val="20"/>
              </w:rPr>
            </w:pPr>
          </w:p>
        </w:tc>
        <w:tc>
          <w:tcPr>
            <w:tcW w:w="5" w:type="pct"/>
            <w:vAlign w:val="center"/>
            <w:hideMark/>
          </w:tcPr>
          <w:p w14:paraId="5A20B113" w14:textId="77777777" w:rsidR="00000000" w:rsidRDefault="00A173A8">
            <w:pPr>
              <w:spacing w:after="100"/>
              <w:rPr>
                <w:rFonts w:eastAsia="Times New Roman"/>
                <w:sz w:val="20"/>
                <w:szCs w:val="20"/>
              </w:rPr>
            </w:pPr>
          </w:p>
        </w:tc>
        <w:tc>
          <w:tcPr>
            <w:tcW w:w="26" w:type="pct"/>
            <w:vAlign w:val="center"/>
            <w:hideMark/>
          </w:tcPr>
          <w:p w14:paraId="3336128D" w14:textId="77777777" w:rsidR="00000000" w:rsidRDefault="00A173A8">
            <w:pPr>
              <w:spacing w:after="100"/>
              <w:rPr>
                <w:rFonts w:eastAsia="Times New Roman"/>
                <w:sz w:val="20"/>
                <w:szCs w:val="20"/>
              </w:rPr>
            </w:pPr>
          </w:p>
        </w:tc>
        <w:tc>
          <w:tcPr>
            <w:tcW w:w="5" w:type="pct"/>
            <w:vAlign w:val="center"/>
            <w:hideMark/>
          </w:tcPr>
          <w:p w14:paraId="3C726D3C" w14:textId="77777777" w:rsidR="00000000" w:rsidRDefault="00A173A8">
            <w:pPr>
              <w:spacing w:after="100"/>
              <w:rPr>
                <w:rFonts w:eastAsia="Times New Roman"/>
                <w:sz w:val="20"/>
                <w:szCs w:val="20"/>
              </w:rPr>
            </w:pPr>
          </w:p>
        </w:tc>
        <w:tc>
          <w:tcPr>
            <w:tcW w:w="50" w:type="pct"/>
            <w:vAlign w:val="center"/>
            <w:hideMark/>
          </w:tcPr>
          <w:p w14:paraId="0CD5719D" w14:textId="77777777" w:rsidR="00000000" w:rsidRDefault="00A173A8">
            <w:pPr>
              <w:spacing w:after="100"/>
              <w:rPr>
                <w:rFonts w:eastAsia="Times New Roman"/>
                <w:sz w:val="20"/>
                <w:szCs w:val="20"/>
              </w:rPr>
            </w:pPr>
          </w:p>
        </w:tc>
        <w:tc>
          <w:tcPr>
            <w:tcW w:w="361" w:type="pct"/>
            <w:vAlign w:val="center"/>
            <w:hideMark/>
          </w:tcPr>
          <w:p w14:paraId="73744D34" w14:textId="77777777" w:rsidR="00000000" w:rsidRDefault="00A173A8">
            <w:pPr>
              <w:spacing w:after="100"/>
              <w:rPr>
                <w:rFonts w:eastAsia="Times New Roman"/>
                <w:sz w:val="20"/>
                <w:szCs w:val="20"/>
              </w:rPr>
            </w:pPr>
          </w:p>
        </w:tc>
        <w:tc>
          <w:tcPr>
            <w:tcW w:w="5" w:type="pct"/>
            <w:vAlign w:val="center"/>
            <w:hideMark/>
          </w:tcPr>
          <w:p w14:paraId="4FC2B46F" w14:textId="77777777" w:rsidR="00000000" w:rsidRDefault="00A173A8">
            <w:pPr>
              <w:spacing w:after="100"/>
              <w:rPr>
                <w:rFonts w:eastAsia="Times New Roman"/>
                <w:sz w:val="20"/>
                <w:szCs w:val="20"/>
              </w:rPr>
            </w:pPr>
          </w:p>
        </w:tc>
        <w:tc>
          <w:tcPr>
            <w:tcW w:w="5" w:type="pct"/>
            <w:vAlign w:val="center"/>
            <w:hideMark/>
          </w:tcPr>
          <w:p w14:paraId="7B90D991" w14:textId="77777777" w:rsidR="00000000" w:rsidRDefault="00A173A8">
            <w:pPr>
              <w:spacing w:after="100"/>
              <w:rPr>
                <w:rFonts w:eastAsia="Times New Roman"/>
                <w:sz w:val="20"/>
                <w:szCs w:val="20"/>
              </w:rPr>
            </w:pPr>
          </w:p>
        </w:tc>
        <w:tc>
          <w:tcPr>
            <w:tcW w:w="26" w:type="pct"/>
            <w:vAlign w:val="center"/>
            <w:hideMark/>
          </w:tcPr>
          <w:p w14:paraId="7EF7884F" w14:textId="77777777" w:rsidR="00000000" w:rsidRDefault="00A173A8">
            <w:pPr>
              <w:spacing w:after="100"/>
              <w:rPr>
                <w:rFonts w:eastAsia="Times New Roman"/>
                <w:sz w:val="20"/>
                <w:szCs w:val="20"/>
              </w:rPr>
            </w:pPr>
          </w:p>
        </w:tc>
        <w:tc>
          <w:tcPr>
            <w:tcW w:w="5" w:type="pct"/>
            <w:vAlign w:val="center"/>
            <w:hideMark/>
          </w:tcPr>
          <w:p w14:paraId="7935299E" w14:textId="77777777" w:rsidR="00000000" w:rsidRDefault="00A173A8">
            <w:pPr>
              <w:spacing w:after="100"/>
              <w:rPr>
                <w:rFonts w:eastAsia="Times New Roman"/>
                <w:sz w:val="20"/>
                <w:szCs w:val="20"/>
              </w:rPr>
            </w:pPr>
          </w:p>
        </w:tc>
        <w:tc>
          <w:tcPr>
            <w:tcW w:w="50" w:type="pct"/>
            <w:vAlign w:val="center"/>
            <w:hideMark/>
          </w:tcPr>
          <w:p w14:paraId="078A9A66" w14:textId="77777777" w:rsidR="00000000" w:rsidRDefault="00A173A8">
            <w:pPr>
              <w:spacing w:after="100"/>
              <w:rPr>
                <w:rFonts w:eastAsia="Times New Roman"/>
                <w:sz w:val="20"/>
                <w:szCs w:val="20"/>
              </w:rPr>
            </w:pPr>
          </w:p>
        </w:tc>
        <w:tc>
          <w:tcPr>
            <w:tcW w:w="376" w:type="pct"/>
            <w:vAlign w:val="center"/>
            <w:hideMark/>
          </w:tcPr>
          <w:p w14:paraId="6B51E23D" w14:textId="77777777" w:rsidR="00000000" w:rsidRDefault="00A173A8">
            <w:pPr>
              <w:spacing w:after="100"/>
              <w:rPr>
                <w:rFonts w:eastAsia="Times New Roman"/>
                <w:sz w:val="20"/>
                <w:szCs w:val="20"/>
              </w:rPr>
            </w:pPr>
          </w:p>
        </w:tc>
        <w:tc>
          <w:tcPr>
            <w:tcW w:w="5" w:type="pct"/>
            <w:vAlign w:val="center"/>
            <w:hideMark/>
          </w:tcPr>
          <w:p w14:paraId="3F613E4A" w14:textId="77777777" w:rsidR="00000000" w:rsidRDefault="00A173A8">
            <w:pPr>
              <w:spacing w:after="100"/>
              <w:rPr>
                <w:rFonts w:eastAsia="Times New Roman"/>
                <w:sz w:val="20"/>
                <w:szCs w:val="20"/>
              </w:rPr>
            </w:pPr>
          </w:p>
        </w:tc>
        <w:tc>
          <w:tcPr>
            <w:tcW w:w="0" w:type="auto"/>
            <w:gridSpan w:val="3"/>
            <w:vAlign w:val="center"/>
            <w:hideMark/>
          </w:tcPr>
          <w:p w14:paraId="109F67BD" w14:textId="77777777" w:rsidR="00000000" w:rsidRDefault="00A173A8">
            <w:pPr>
              <w:spacing w:after="100"/>
              <w:rPr>
                <w:rFonts w:eastAsia="Times New Roman"/>
                <w:sz w:val="20"/>
                <w:szCs w:val="20"/>
              </w:rPr>
            </w:pPr>
          </w:p>
        </w:tc>
        <w:tc>
          <w:tcPr>
            <w:tcW w:w="0" w:type="auto"/>
            <w:gridSpan w:val="3"/>
            <w:vAlign w:val="center"/>
            <w:hideMark/>
          </w:tcPr>
          <w:p w14:paraId="4E5B82BE" w14:textId="77777777" w:rsidR="00000000" w:rsidRDefault="00A173A8">
            <w:pPr>
              <w:spacing w:after="100"/>
              <w:rPr>
                <w:rFonts w:eastAsia="Times New Roman"/>
                <w:sz w:val="20"/>
                <w:szCs w:val="20"/>
              </w:rPr>
            </w:pPr>
          </w:p>
        </w:tc>
        <w:tc>
          <w:tcPr>
            <w:tcW w:w="0" w:type="auto"/>
            <w:gridSpan w:val="3"/>
            <w:vAlign w:val="center"/>
            <w:hideMark/>
          </w:tcPr>
          <w:p w14:paraId="27B39EFF" w14:textId="77777777" w:rsidR="00000000" w:rsidRDefault="00A173A8">
            <w:pPr>
              <w:spacing w:after="100"/>
              <w:rPr>
                <w:rFonts w:eastAsia="Times New Roman"/>
                <w:sz w:val="20"/>
                <w:szCs w:val="20"/>
              </w:rPr>
            </w:pPr>
          </w:p>
        </w:tc>
        <w:tc>
          <w:tcPr>
            <w:tcW w:w="0" w:type="auto"/>
            <w:gridSpan w:val="2"/>
            <w:vAlign w:val="center"/>
            <w:hideMark/>
          </w:tcPr>
          <w:p w14:paraId="30E76CA9" w14:textId="77777777" w:rsidR="00000000" w:rsidRDefault="00A173A8">
            <w:pPr>
              <w:spacing w:after="100"/>
              <w:rPr>
                <w:rFonts w:eastAsia="Times New Roman"/>
                <w:sz w:val="20"/>
                <w:szCs w:val="20"/>
              </w:rPr>
            </w:pPr>
          </w:p>
        </w:tc>
      </w:tr>
      <w:tr w:rsidR="00000000" w14:paraId="691A6E43" w14:textId="77777777">
        <w:trPr>
          <w:divId w:val="2063481035"/>
        </w:trPr>
        <w:tc>
          <w:tcPr>
            <w:tcW w:w="0" w:type="auto"/>
            <w:gridSpan w:val="3"/>
            <w:tcMar>
              <w:top w:w="30" w:type="dxa"/>
              <w:left w:w="20" w:type="dxa"/>
              <w:bottom w:w="30" w:type="dxa"/>
              <w:right w:w="20" w:type="dxa"/>
            </w:tcMar>
            <w:vAlign w:val="center"/>
            <w:hideMark/>
          </w:tcPr>
          <w:p w14:paraId="770674FC"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4DC2D16C" w14:textId="77777777" w:rsidR="00000000" w:rsidRDefault="00A173A8">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45E8E909"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1340DF14" w14:textId="77777777" w:rsidR="00000000" w:rsidRDefault="00A173A8">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14:paraId="3ABACFD1"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vAlign w:val="center"/>
            <w:hideMark/>
          </w:tcPr>
          <w:p w14:paraId="2BC35EB1" w14:textId="77777777" w:rsidR="00000000" w:rsidRDefault="00A173A8">
            <w:pPr>
              <w:spacing w:after="100"/>
              <w:rPr>
                <w:rFonts w:eastAsia="Times New Roman"/>
                <w:sz w:val="20"/>
                <w:szCs w:val="20"/>
              </w:rPr>
            </w:pPr>
          </w:p>
        </w:tc>
        <w:tc>
          <w:tcPr>
            <w:tcW w:w="0" w:type="auto"/>
            <w:vAlign w:val="center"/>
            <w:hideMark/>
          </w:tcPr>
          <w:p w14:paraId="01147702" w14:textId="77777777" w:rsidR="00000000" w:rsidRDefault="00A173A8">
            <w:pPr>
              <w:spacing w:after="100"/>
              <w:rPr>
                <w:rFonts w:eastAsia="Times New Roman"/>
                <w:sz w:val="20"/>
                <w:szCs w:val="20"/>
              </w:rPr>
            </w:pPr>
          </w:p>
        </w:tc>
        <w:tc>
          <w:tcPr>
            <w:tcW w:w="0" w:type="auto"/>
            <w:vAlign w:val="center"/>
            <w:hideMark/>
          </w:tcPr>
          <w:p w14:paraId="09263EE1" w14:textId="77777777" w:rsidR="00000000" w:rsidRDefault="00A173A8">
            <w:pPr>
              <w:spacing w:after="100"/>
              <w:rPr>
                <w:rFonts w:eastAsia="Times New Roman"/>
                <w:sz w:val="20"/>
                <w:szCs w:val="20"/>
              </w:rPr>
            </w:pPr>
          </w:p>
        </w:tc>
        <w:tc>
          <w:tcPr>
            <w:tcW w:w="0" w:type="auto"/>
            <w:vAlign w:val="center"/>
            <w:hideMark/>
          </w:tcPr>
          <w:p w14:paraId="1B46E53B" w14:textId="77777777" w:rsidR="00000000" w:rsidRDefault="00A173A8">
            <w:pPr>
              <w:spacing w:after="100"/>
              <w:rPr>
                <w:rFonts w:eastAsia="Times New Roman"/>
                <w:sz w:val="20"/>
                <w:szCs w:val="20"/>
              </w:rPr>
            </w:pPr>
          </w:p>
        </w:tc>
        <w:tc>
          <w:tcPr>
            <w:tcW w:w="0" w:type="auto"/>
            <w:vAlign w:val="center"/>
            <w:hideMark/>
          </w:tcPr>
          <w:p w14:paraId="09D4BCD9" w14:textId="77777777" w:rsidR="00000000" w:rsidRDefault="00A173A8">
            <w:pPr>
              <w:spacing w:after="100"/>
              <w:rPr>
                <w:rFonts w:eastAsia="Times New Roman"/>
                <w:sz w:val="20"/>
                <w:szCs w:val="20"/>
              </w:rPr>
            </w:pPr>
          </w:p>
        </w:tc>
        <w:tc>
          <w:tcPr>
            <w:tcW w:w="0" w:type="auto"/>
            <w:vAlign w:val="center"/>
            <w:hideMark/>
          </w:tcPr>
          <w:p w14:paraId="415D99B3" w14:textId="77777777" w:rsidR="00000000" w:rsidRDefault="00A173A8">
            <w:pPr>
              <w:spacing w:after="100"/>
              <w:rPr>
                <w:rFonts w:eastAsia="Times New Roman"/>
                <w:sz w:val="20"/>
                <w:szCs w:val="20"/>
              </w:rPr>
            </w:pPr>
          </w:p>
        </w:tc>
        <w:tc>
          <w:tcPr>
            <w:tcW w:w="0" w:type="auto"/>
            <w:vAlign w:val="center"/>
            <w:hideMark/>
          </w:tcPr>
          <w:p w14:paraId="3EDE4773" w14:textId="77777777" w:rsidR="00000000" w:rsidRDefault="00A173A8">
            <w:pPr>
              <w:spacing w:after="100"/>
              <w:rPr>
                <w:rFonts w:eastAsia="Times New Roman"/>
                <w:sz w:val="20"/>
                <w:szCs w:val="20"/>
              </w:rPr>
            </w:pPr>
          </w:p>
        </w:tc>
        <w:tc>
          <w:tcPr>
            <w:tcW w:w="0" w:type="auto"/>
            <w:vAlign w:val="center"/>
            <w:hideMark/>
          </w:tcPr>
          <w:p w14:paraId="7067D9A5" w14:textId="77777777" w:rsidR="00000000" w:rsidRDefault="00A173A8">
            <w:pPr>
              <w:spacing w:after="100"/>
              <w:rPr>
                <w:rFonts w:eastAsia="Times New Roman"/>
                <w:sz w:val="20"/>
                <w:szCs w:val="20"/>
              </w:rPr>
            </w:pPr>
          </w:p>
        </w:tc>
        <w:tc>
          <w:tcPr>
            <w:tcW w:w="0" w:type="auto"/>
            <w:vAlign w:val="center"/>
            <w:hideMark/>
          </w:tcPr>
          <w:p w14:paraId="5B158B19" w14:textId="77777777" w:rsidR="00000000" w:rsidRDefault="00A173A8">
            <w:pPr>
              <w:spacing w:after="100"/>
              <w:rPr>
                <w:rFonts w:eastAsia="Times New Roman"/>
                <w:sz w:val="20"/>
                <w:szCs w:val="20"/>
              </w:rPr>
            </w:pPr>
          </w:p>
        </w:tc>
        <w:tc>
          <w:tcPr>
            <w:tcW w:w="0" w:type="auto"/>
            <w:vAlign w:val="center"/>
            <w:hideMark/>
          </w:tcPr>
          <w:p w14:paraId="6486172B" w14:textId="77777777" w:rsidR="00000000" w:rsidRDefault="00A173A8">
            <w:pPr>
              <w:spacing w:after="100"/>
              <w:rPr>
                <w:rFonts w:eastAsia="Times New Roman"/>
                <w:sz w:val="20"/>
                <w:szCs w:val="20"/>
              </w:rPr>
            </w:pPr>
          </w:p>
        </w:tc>
        <w:tc>
          <w:tcPr>
            <w:tcW w:w="0" w:type="auto"/>
            <w:vAlign w:val="center"/>
            <w:hideMark/>
          </w:tcPr>
          <w:p w14:paraId="0733CBB4" w14:textId="77777777" w:rsidR="00000000" w:rsidRDefault="00A173A8">
            <w:pPr>
              <w:spacing w:after="100"/>
              <w:rPr>
                <w:rFonts w:eastAsia="Times New Roman"/>
                <w:sz w:val="20"/>
                <w:szCs w:val="20"/>
              </w:rPr>
            </w:pPr>
          </w:p>
        </w:tc>
      </w:tr>
      <w:tr w:rsidR="00000000" w14:paraId="6AECB373" w14:textId="77777777">
        <w:trPr>
          <w:divId w:val="2063481035"/>
        </w:trPr>
        <w:tc>
          <w:tcPr>
            <w:tcW w:w="0" w:type="auto"/>
            <w:gridSpan w:val="3"/>
            <w:tcMar>
              <w:top w:w="30" w:type="dxa"/>
              <w:left w:w="20" w:type="dxa"/>
              <w:bottom w:w="30" w:type="dxa"/>
              <w:right w:w="20" w:type="dxa"/>
            </w:tcMar>
            <w:vAlign w:val="center"/>
            <w:hideMark/>
          </w:tcPr>
          <w:p w14:paraId="3604F12F"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6A560AD" w14:textId="77777777" w:rsidR="00000000" w:rsidRDefault="00A173A8">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17ACD6D"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F279CC0"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DB53689"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3BF9F5DE"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F5A2627"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076A493"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2945F5D"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14:paraId="311B42F6" w14:textId="77777777" w:rsidR="00000000" w:rsidRDefault="00A173A8">
            <w:pPr>
              <w:spacing w:after="100"/>
              <w:jc w:val="center"/>
              <w:rPr>
                <w:rFonts w:eastAsia="Times New Roman"/>
              </w:rPr>
            </w:pPr>
          </w:p>
        </w:tc>
        <w:tc>
          <w:tcPr>
            <w:tcW w:w="0" w:type="auto"/>
            <w:gridSpan w:val="3"/>
            <w:vAlign w:val="center"/>
            <w:hideMark/>
          </w:tcPr>
          <w:p w14:paraId="7DE4987A" w14:textId="77777777" w:rsidR="00000000" w:rsidRDefault="00A173A8">
            <w:pPr>
              <w:spacing w:after="100"/>
              <w:rPr>
                <w:rFonts w:eastAsia="Times New Roman"/>
                <w:sz w:val="20"/>
                <w:szCs w:val="20"/>
              </w:rPr>
            </w:pPr>
          </w:p>
        </w:tc>
        <w:tc>
          <w:tcPr>
            <w:tcW w:w="0" w:type="auto"/>
            <w:vAlign w:val="center"/>
            <w:hideMark/>
          </w:tcPr>
          <w:p w14:paraId="45BA7A9A" w14:textId="77777777" w:rsidR="00000000" w:rsidRDefault="00A173A8">
            <w:pPr>
              <w:spacing w:after="100"/>
              <w:rPr>
                <w:rFonts w:eastAsia="Times New Roman"/>
                <w:sz w:val="20"/>
                <w:szCs w:val="20"/>
              </w:rPr>
            </w:pPr>
          </w:p>
        </w:tc>
        <w:tc>
          <w:tcPr>
            <w:tcW w:w="0" w:type="auto"/>
            <w:vAlign w:val="center"/>
            <w:hideMark/>
          </w:tcPr>
          <w:p w14:paraId="1DFE5092" w14:textId="77777777" w:rsidR="00000000" w:rsidRDefault="00A173A8">
            <w:pPr>
              <w:spacing w:after="100"/>
              <w:rPr>
                <w:rFonts w:eastAsia="Times New Roman"/>
                <w:sz w:val="20"/>
                <w:szCs w:val="20"/>
              </w:rPr>
            </w:pPr>
          </w:p>
        </w:tc>
        <w:tc>
          <w:tcPr>
            <w:tcW w:w="0" w:type="auto"/>
            <w:vAlign w:val="center"/>
            <w:hideMark/>
          </w:tcPr>
          <w:p w14:paraId="4065B6B9" w14:textId="77777777" w:rsidR="00000000" w:rsidRDefault="00A173A8">
            <w:pPr>
              <w:spacing w:after="100"/>
              <w:rPr>
                <w:rFonts w:eastAsia="Times New Roman"/>
                <w:sz w:val="20"/>
                <w:szCs w:val="20"/>
              </w:rPr>
            </w:pPr>
          </w:p>
        </w:tc>
        <w:tc>
          <w:tcPr>
            <w:tcW w:w="0" w:type="auto"/>
            <w:vAlign w:val="center"/>
            <w:hideMark/>
          </w:tcPr>
          <w:p w14:paraId="191FAE34" w14:textId="77777777" w:rsidR="00000000" w:rsidRDefault="00A173A8">
            <w:pPr>
              <w:spacing w:after="100"/>
              <w:rPr>
                <w:rFonts w:eastAsia="Times New Roman"/>
                <w:sz w:val="20"/>
                <w:szCs w:val="20"/>
              </w:rPr>
            </w:pPr>
          </w:p>
        </w:tc>
        <w:tc>
          <w:tcPr>
            <w:tcW w:w="0" w:type="auto"/>
            <w:vAlign w:val="center"/>
            <w:hideMark/>
          </w:tcPr>
          <w:p w14:paraId="6F6AAFF1" w14:textId="77777777" w:rsidR="00000000" w:rsidRDefault="00A173A8">
            <w:pPr>
              <w:spacing w:after="100"/>
              <w:rPr>
                <w:rFonts w:eastAsia="Times New Roman"/>
                <w:sz w:val="20"/>
                <w:szCs w:val="20"/>
              </w:rPr>
            </w:pPr>
          </w:p>
        </w:tc>
      </w:tr>
      <w:tr w:rsidR="00000000" w14:paraId="6066EA8A" w14:textId="77777777">
        <w:trPr>
          <w:divId w:val="2063481035"/>
        </w:trPr>
        <w:tc>
          <w:tcPr>
            <w:tcW w:w="0" w:type="auto"/>
            <w:gridSpan w:val="3"/>
            <w:shd w:val="clear" w:color="auto" w:fill="CCEEFF"/>
            <w:tcMar>
              <w:top w:w="30" w:type="dxa"/>
              <w:left w:w="20" w:type="dxa"/>
              <w:bottom w:w="30" w:type="dxa"/>
              <w:right w:w="20" w:type="dxa"/>
            </w:tcMar>
            <w:vAlign w:val="center"/>
            <w:hideMark/>
          </w:tcPr>
          <w:p w14:paraId="15AD2935" w14:textId="77777777" w:rsidR="00000000" w:rsidRDefault="00A173A8">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2F12956B"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FB086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7F46A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C5E3F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C71AC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5BFA6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A2D3C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A4661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EE766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40F74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5C336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2D5FA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BC0E1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767D6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B680F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7F1AFD" w14:textId="77777777" w:rsidR="00000000" w:rsidRDefault="00A173A8">
            <w:pPr>
              <w:spacing w:after="100"/>
              <w:rPr>
                <w:rFonts w:eastAsia="Times New Roman"/>
                <w:sz w:val="20"/>
                <w:szCs w:val="20"/>
              </w:rPr>
            </w:pPr>
          </w:p>
        </w:tc>
        <w:tc>
          <w:tcPr>
            <w:tcW w:w="0" w:type="auto"/>
            <w:gridSpan w:val="3"/>
            <w:vAlign w:val="center"/>
            <w:hideMark/>
          </w:tcPr>
          <w:p w14:paraId="7D3B34C6" w14:textId="77777777" w:rsidR="00000000" w:rsidRDefault="00A173A8">
            <w:pPr>
              <w:spacing w:after="100"/>
              <w:rPr>
                <w:rFonts w:eastAsia="Times New Roman"/>
                <w:sz w:val="20"/>
                <w:szCs w:val="20"/>
              </w:rPr>
            </w:pPr>
          </w:p>
        </w:tc>
        <w:tc>
          <w:tcPr>
            <w:tcW w:w="0" w:type="auto"/>
            <w:gridSpan w:val="3"/>
            <w:vAlign w:val="center"/>
            <w:hideMark/>
          </w:tcPr>
          <w:p w14:paraId="63647A1A" w14:textId="77777777" w:rsidR="00000000" w:rsidRDefault="00A173A8">
            <w:pPr>
              <w:spacing w:after="100"/>
              <w:rPr>
                <w:rFonts w:eastAsia="Times New Roman"/>
                <w:sz w:val="20"/>
                <w:szCs w:val="20"/>
              </w:rPr>
            </w:pPr>
          </w:p>
        </w:tc>
        <w:tc>
          <w:tcPr>
            <w:tcW w:w="0" w:type="auto"/>
            <w:gridSpan w:val="3"/>
            <w:vAlign w:val="center"/>
            <w:hideMark/>
          </w:tcPr>
          <w:p w14:paraId="20AD201F" w14:textId="77777777" w:rsidR="00000000" w:rsidRDefault="00A173A8">
            <w:pPr>
              <w:spacing w:after="100"/>
              <w:rPr>
                <w:rFonts w:eastAsia="Times New Roman"/>
                <w:sz w:val="20"/>
                <w:szCs w:val="20"/>
              </w:rPr>
            </w:pPr>
          </w:p>
        </w:tc>
        <w:tc>
          <w:tcPr>
            <w:tcW w:w="0" w:type="auto"/>
            <w:gridSpan w:val="2"/>
            <w:vAlign w:val="center"/>
            <w:hideMark/>
          </w:tcPr>
          <w:p w14:paraId="2CB61596" w14:textId="77777777" w:rsidR="00000000" w:rsidRDefault="00A173A8">
            <w:pPr>
              <w:spacing w:after="100"/>
              <w:rPr>
                <w:rFonts w:eastAsia="Times New Roman"/>
                <w:sz w:val="20"/>
                <w:szCs w:val="20"/>
              </w:rPr>
            </w:pPr>
          </w:p>
        </w:tc>
      </w:tr>
      <w:tr w:rsidR="00A173A8" w14:paraId="541BF861" w14:textId="77777777">
        <w:trPr>
          <w:divId w:val="2063481035"/>
        </w:trPr>
        <w:tc>
          <w:tcPr>
            <w:tcW w:w="0" w:type="auto"/>
            <w:gridSpan w:val="3"/>
            <w:shd w:val="clear" w:color="auto" w:fill="FFFFFF"/>
            <w:tcMar>
              <w:top w:w="30" w:type="dxa"/>
              <w:left w:w="245" w:type="dxa"/>
              <w:bottom w:w="30" w:type="dxa"/>
              <w:right w:w="20" w:type="dxa"/>
            </w:tcMar>
            <w:vAlign w:val="center"/>
            <w:hideMark/>
          </w:tcPr>
          <w:p w14:paraId="6740A22C" w14:textId="77777777" w:rsidR="00000000" w:rsidRDefault="00A173A8">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359A5D5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DFC510F" w14:textId="77777777" w:rsidR="00000000" w:rsidRDefault="00A173A8">
            <w:pPr>
              <w:spacing w:after="100"/>
              <w:jc w:val="right"/>
              <w:rPr>
                <w:rFonts w:eastAsia="Times New Roman"/>
              </w:rPr>
            </w:pPr>
            <w:r>
              <w:rPr>
                <w:rFonts w:eastAsia="Times New Roman"/>
                <w:b/>
                <w:bCs/>
                <w:color w:val="000000"/>
                <w:sz w:val="20"/>
                <w:szCs w:val="20"/>
              </w:rPr>
              <w:t>121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3BEA6F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7DE3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B5D72D" w14:textId="77777777" w:rsidR="00000000" w:rsidRDefault="00A173A8">
            <w:pPr>
              <w:spacing w:after="100"/>
              <w:jc w:val="right"/>
              <w:rPr>
                <w:rFonts w:eastAsia="Times New Roman"/>
              </w:rPr>
            </w:pPr>
            <w:r>
              <w:rPr>
                <w:rFonts w:eastAsia="Times New Roman"/>
                <w:b/>
                <w:bCs/>
                <w:color w:val="000000"/>
                <w:sz w:val="20"/>
                <w:szCs w:val="20"/>
              </w:rPr>
              <w:t>0.61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50CAD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2D43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736A17" w14:textId="77777777" w:rsidR="00000000" w:rsidRDefault="00A173A8">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center"/>
            <w:hideMark/>
          </w:tcPr>
          <w:p w14:paraId="4AB9CBB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C94A1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2CB5BD" w14:textId="77777777" w:rsidR="00000000" w:rsidRDefault="00A173A8">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center"/>
            <w:hideMark/>
          </w:tcPr>
          <w:p w14:paraId="5344FBE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80005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99F163" w14:textId="77777777" w:rsidR="00000000" w:rsidRDefault="00A173A8">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9CE060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CA3B0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480E0B" w14:textId="77777777" w:rsidR="00000000" w:rsidRDefault="00A173A8">
            <w:pPr>
              <w:spacing w:after="100"/>
              <w:jc w:val="right"/>
              <w:rPr>
                <w:rFonts w:eastAsia="Times New Roman"/>
              </w:rPr>
            </w:pPr>
            <w:r>
              <w:rPr>
                <w:rFonts w:eastAsia="Times New Roman"/>
                <w:b/>
                <w:bCs/>
                <w:color w:val="000000"/>
                <w:sz w:val="20"/>
                <w:szCs w:val="20"/>
              </w:rPr>
              <w:t>0.63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34F938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AE86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135D4A" w14:textId="77777777" w:rsidR="00000000" w:rsidRDefault="00A173A8">
            <w:pPr>
              <w:spacing w:after="100"/>
              <w:jc w:val="right"/>
              <w:rPr>
                <w:rFonts w:eastAsia="Times New Roman"/>
              </w:rPr>
            </w:pPr>
            <w:r>
              <w:rPr>
                <w:rFonts w:eastAsia="Times New Roman"/>
                <w:color w:val="000000"/>
                <w:sz w:val="20"/>
                <w:szCs w:val="20"/>
              </w:rPr>
              <w:t>56 </w:t>
            </w:r>
          </w:p>
        </w:tc>
        <w:tc>
          <w:tcPr>
            <w:tcW w:w="0" w:type="auto"/>
            <w:shd w:val="clear" w:color="auto" w:fill="FFFFFF"/>
            <w:tcMar>
              <w:top w:w="30" w:type="dxa"/>
              <w:left w:w="0" w:type="dxa"/>
              <w:bottom w:w="30" w:type="dxa"/>
              <w:right w:w="20" w:type="dxa"/>
            </w:tcMar>
            <w:vAlign w:val="center"/>
            <w:hideMark/>
          </w:tcPr>
          <w:p w14:paraId="34EEB98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F204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95B676" w14:textId="77777777" w:rsidR="00000000" w:rsidRDefault="00A173A8">
            <w:pPr>
              <w:spacing w:after="100"/>
              <w:jc w:val="right"/>
              <w:rPr>
                <w:rFonts w:eastAsia="Times New Roman"/>
              </w:rPr>
            </w:pPr>
            <w:r>
              <w:rPr>
                <w:rFonts w:eastAsia="Times New Roman"/>
                <w:color w:val="000000"/>
                <w:sz w:val="20"/>
                <w:szCs w:val="20"/>
              </w:rPr>
              <w:t>0.17 </w:t>
            </w:r>
          </w:p>
        </w:tc>
        <w:tc>
          <w:tcPr>
            <w:tcW w:w="0" w:type="auto"/>
            <w:shd w:val="clear" w:color="auto" w:fill="FFFFFF"/>
            <w:tcMar>
              <w:top w:w="30" w:type="dxa"/>
              <w:left w:w="0" w:type="dxa"/>
              <w:bottom w:w="30" w:type="dxa"/>
              <w:right w:w="20" w:type="dxa"/>
            </w:tcMar>
            <w:vAlign w:val="center"/>
            <w:hideMark/>
          </w:tcPr>
          <w:p w14:paraId="1585739C" w14:textId="77777777" w:rsidR="00000000" w:rsidRDefault="00A173A8">
            <w:pPr>
              <w:spacing w:after="100"/>
              <w:jc w:val="right"/>
              <w:rPr>
                <w:rFonts w:eastAsia="Times New Roman"/>
              </w:rPr>
            </w:pPr>
          </w:p>
        </w:tc>
        <w:tc>
          <w:tcPr>
            <w:tcW w:w="0" w:type="auto"/>
            <w:gridSpan w:val="3"/>
            <w:vAlign w:val="center"/>
            <w:hideMark/>
          </w:tcPr>
          <w:p w14:paraId="3BB0D7A0" w14:textId="77777777" w:rsidR="00000000" w:rsidRDefault="00A173A8">
            <w:pPr>
              <w:spacing w:after="100"/>
              <w:jc w:val="right"/>
              <w:rPr>
                <w:rFonts w:eastAsia="Times New Roman"/>
                <w:sz w:val="20"/>
                <w:szCs w:val="20"/>
              </w:rPr>
            </w:pPr>
          </w:p>
        </w:tc>
        <w:tc>
          <w:tcPr>
            <w:tcW w:w="0" w:type="auto"/>
            <w:gridSpan w:val="3"/>
            <w:vAlign w:val="center"/>
            <w:hideMark/>
          </w:tcPr>
          <w:p w14:paraId="0A4CF88F" w14:textId="77777777" w:rsidR="00000000" w:rsidRDefault="00A173A8">
            <w:pPr>
              <w:spacing w:after="100"/>
              <w:rPr>
                <w:rFonts w:eastAsia="Times New Roman"/>
                <w:sz w:val="20"/>
                <w:szCs w:val="20"/>
              </w:rPr>
            </w:pPr>
          </w:p>
        </w:tc>
        <w:tc>
          <w:tcPr>
            <w:tcW w:w="0" w:type="auto"/>
            <w:gridSpan w:val="3"/>
            <w:vAlign w:val="center"/>
            <w:hideMark/>
          </w:tcPr>
          <w:p w14:paraId="45E83AD9" w14:textId="77777777" w:rsidR="00000000" w:rsidRDefault="00A173A8">
            <w:pPr>
              <w:spacing w:after="100"/>
              <w:rPr>
                <w:rFonts w:eastAsia="Times New Roman"/>
                <w:sz w:val="20"/>
                <w:szCs w:val="20"/>
              </w:rPr>
            </w:pPr>
          </w:p>
        </w:tc>
        <w:tc>
          <w:tcPr>
            <w:tcW w:w="0" w:type="auto"/>
            <w:gridSpan w:val="2"/>
            <w:vAlign w:val="center"/>
            <w:hideMark/>
          </w:tcPr>
          <w:p w14:paraId="792679CF" w14:textId="77777777" w:rsidR="00000000" w:rsidRDefault="00A173A8">
            <w:pPr>
              <w:spacing w:after="100"/>
              <w:rPr>
                <w:rFonts w:eastAsia="Times New Roman"/>
                <w:sz w:val="20"/>
                <w:szCs w:val="20"/>
              </w:rPr>
            </w:pPr>
          </w:p>
        </w:tc>
      </w:tr>
      <w:tr w:rsidR="00A173A8" w14:paraId="6DEF50AE" w14:textId="77777777">
        <w:trPr>
          <w:divId w:val="2063481035"/>
        </w:trPr>
        <w:tc>
          <w:tcPr>
            <w:tcW w:w="0" w:type="auto"/>
            <w:gridSpan w:val="3"/>
            <w:shd w:val="clear" w:color="auto" w:fill="CCEEFF"/>
            <w:tcMar>
              <w:top w:w="30" w:type="dxa"/>
              <w:left w:w="245" w:type="dxa"/>
              <w:bottom w:w="30" w:type="dxa"/>
              <w:right w:w="20" w:type="dxa"/>
            </w:tcMar>
            <w:vAlign w:val="center"/>
            <w:hideMark/>
          </w:tcPr>
          <w:p w14:paraId="50147695" w14:textId="77777777" w:rsidR="00000000" w:rsidRDefault="00A173A8">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14:paraId="3C1607B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322223" w14:textId="77777777" w:rsidR="00000000" w:rsidRDefault="00A173A8">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25476D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F5BE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54E823" w14:textId="77777777" w:rsidR="00000000" w:rsidRDefault="00A173A8">
            <w:pPr>
              <w:spacing w:after="100"/>
              <w:jc w:val="right"/>
              <w:rPr>
                <w:rFonts w:eastAsia="Times New Roman"/>
              </w:rPr>
            </w:pPr>
            <w:r>
              <w:rPr>
                <w:rFonts w:eastAsia="Times New Roman"/>
                <w:b/>
                <w:bCs/>
                <w:color w:val="000000"/>
                <w:sz w:val="20"/>
                <w:szCs w:val="20"/>
              </w:rPr>
              <w:t>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A5A5B0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242D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AA9675" w14:textId="77777777" w:rsidR="00000000" w:rsidRDefault="00A173A8">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center"/>
            <w:hideMark/>
          </w:tcPr>
          <w:p w14:paraId="0E5ADF5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8035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E44964" w14:textId="77777777" w:rsidR="00000000" w:rsidRDefault="00A173A8">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center"/>
            <w:hideMark/>
          </w:tcPr>
          <w:p w14:paraId="7AE04A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9DEEC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DCE0D8" w14:textId="77777777" w:rsidR="00000000" w:rsidRDefault="00A173A8">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6AA6E9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0C86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F510CE" w14:textId="77777777" w:rsidR="00000000" w:rsidRDefault="00A173A8">
            <w:pPr>
              <w:spacing w:after="100"/>
              <w:jc w:val="right"/>
              <w:rPr>
                <w:rFonts w:eastAsia="Times New Roman"/>
              </w:rPr>
            </w:pPr>
            <w:r>
              <w:rPr>
                <w:rFonts w:eastAsia="Times New Roman"/>
                <w:b/>
                <w:bCs/>
                <w:color w:val="000000"/>
                <w:sz w:val="20"/>
                <w:szCs w:val="20"/>
              </w:rPr>
              <w:t>3.98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E926C3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DD7A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576740" w14:textId="77777777" w:rsidR="00000000" w:rsidRDefault="00A173A8">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center"/>
            <w:hideMark/>
          </w:tcPr>
          <w:p w14:paraId="072101E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3CEB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2E38B7" w14:textId="77777777" w:rsidR="00000000" w:rsidRDefault="00A173A8">
            <w:pPr>
              <w:spacing w:after="100"/>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center"/>
            <w:hideMark/>
          </w:tcPr>
          <w:p w14:paraId="2242B673" w14:textId="77777777" w:rsidR="00000000" w:rsidRDefault="00A173A8">
            <w:pPr>
              <w:spacing w:after="100"/>
              <w:jc w:val="right"/>
              <w:rPr>
                <w:rFonts w:eastAsia="Times New Roman"/>
              </w:rPr>
            </w:pPr>
          </w:p>
        </w:tc>
        <w:tc>
          <w:tcPr>
            <w:tcW w:w="0" w:type="auto"/>
            <w:gridSpan w:val="3"/>
            <w:vAlign w:val="center"/>
            <w:hideMark/>
          </w:tcPr>
          <w:p w14:paraId="745E17D1" w14:textId="77777777" w:rsidR="00000000" w:rsidRDefault="00A173A8">
            <w:pPr>
              <w:spacing w:after="100"/>
              <w:jc w:val="right"/>
              <w:rPr>
                <w:rFonts w:eastAsia="Times New Roman"/>
                <w:sz w:val="20"/>
                <w:szCs w:val="20"/>
              </w:rPr>
            </w:pPr>
          </w:p>
        </w:tc>
        <w:tc>
          <w:tcPr>
            <w:tcW w:w="0" w:type="auto"/>
            <w:gridSpan w:val="3"/>
            <w:vAlign w:val="center"/>
            <w:hideMark/>
          </w:tcPr>
          <w:p w14:paraId="58C4960D" w14:textId="77777777" w:rsidR="00000000" w:rsidRDefault="00A173A8">
            <w:pPr>
              <w:spacing w:after="100"/>
              <w:rPr>
                <w:rFonts w:eastAsia="Times New Roman"/>
                <w:sz w:val="20"/>
                <w:szCs w:val="20"/>
              </w:rPr>
            </w:pPr>
          </w:p>
        </w:tc>
        <w:tc>
          <w:tcPr>
            <w:tcW w:w="0" w:type="auto"/>
            <w:gridSpan w:val="3"/>
            <w:vAlign w:val="center"/>
            <w:hideMark/>
          </w:tcPr>
          <w:p w14:paraId="08BD4492" w14:textId="77777777" w:rsidR="00000000" w:rsidRDefault="00A173A8">
            <w:pPr>
              <w:spacing w:after="100"/>
              <w:rPr>
                <w:rFonts w:eastAsia="Times New Roman"/>
                <w:sz w:val="20"/>
                <w:szCs w:val="20"/>
              </w:rPr>
            </w:pPr>
          </w:p>
        </w:tc>
        <w:tc>
          <w:tcPr>
            <w:tcW w:w="0" w:type="auto"/>
            <w:gridSpan w:val="2"/>
            <w:vAlign w:val="center"/>
            <w:hideMark/>
          </w:tcPr>
          <w:p w14:paraId="5FFC5254" w14:textId="77777777" w:rsidR="00000000" w:rsidRDefault="00A173A8">
            <w:pPr>
              <w:spacing w:after="100"/>
              <w:rPr>
                <w:rFonts w:eastAsia="Times New Roman"/>
                <w:sz w:val="20"/>
                <w:szCs w:val="20"/>
              </w:rPr>
            </w:pPr>
          </w:p>
        </w:tc>
      </w:tr>
      <w:tr w:rsidR="00A173A8" w14:paraId="44A10352" w14:textId="77777777">
        <w:trPr>
          <w:divId w:val="2063481035"/>
        </w:trPr>
        <w:tc>
          <w:tcPr>
            <w:tcW w:w="0" w:type="auto"/>
            <w:gridSpan w:val="3"/>
            <w:shd w:val="clear" w:color="auto" w:fill="FFFFFF"/>
            <w:tcMar>
              <w:top w:w="30" w:type="dxa"/>
              <w:left w:w="20" w:type="dxa"/>
              <w:bottom w:w="30" w:type="dxa"/>
              <w:right w:w="20" w:type="dxa"/>
            </w:tcMar>
            <w:vAlign w:val="center"/>
            <w:hideMark/>
          </w:tcPr>
          <w:p w14:paraId="10F72032" w14:textId="77777777" w:rsidR="00000000" w:rsidRDefault="00A173A8">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739AD0BD"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546D3CE" w14:textId="77777777" w:rsidR="00000000" w:rsidRDefault="00A173A8">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938441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9711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952CF1" w14:textId="77777777" w:rsidR="00000000" w:rsidRDefault="00A173A8">
            <w:pPr>
              <w:spacing w:after="100"/>
              <w:jc w:val="right"/>
              <w:rPr>
                <w:rFonts w:eastAsia="Times New Roman"/>
              </w:rPr>
            </w:pPr>
            <w:r>
              <w:rPr>
                <w:rFonts w:eastAsia="Times New Roman"/>
                <w:b/>
                <w:bCs/>
                <w:color w:val="000000"/>
                <w:sz w:val="20"/>
                <w:szCs w:val="20"/>
              </w:rPr>
              <w:t>0.67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8E9F75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36E2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E656698" w14:textId="77777777" w:rsidR="00000000" w:rsidRDefault="00A173A8">
            <w:pPr>
              <w:spacing w:after="100"/>
              <w:jc w:val="right"/>
              <w:rPr>
                <w:rFonts w:eastAsia="Times New Roman"/>
              </w:rPr>
            </w:pPr>
            <w:r>
              <w:rPr>
                <w:rFonts w:eastAsia="Times New Roman"/>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1DB74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0DD5E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D392A0" w14:textId="77777777" w:rsidR="00000000" w:rsidRDefault="00A173A8">
            <w:pPr>
              <w:spacing w:after="100"/>
              <w:jc w:val="right"/>
              <w:rPr>
                <w:rFonts w:eastAsia="Times New Roman"/>
              </w:rPr>
            </w:pPr>
            <w:r>
              <w:rPr>
                <w:rFonts w:eastAsia="Times New Roman"/>
                <w:color w:val="000000"/>
                <w:sz w:val="20"/>
                <w:szCs w:val="20"/>
              </w:rPr>
              <w:t>(0.06)</w:t>
            </w:r>
          </w:p>
        </w:tc>
        <w:tc>
          <w:tcPr>
            <w:tcW w:w="0" w:type="auto"/>
            <w:shd w:val="clear" w:color="auto" w:fill="FFFFFF"/>
            <w:tcMar>
              <w:top w:w="30" w:type="dxa"/>
              <w:left w:w="0" w:type="dxa"/>
              <w:bottom w:w="30" w:type="dxa"/>
              <w:right w:w="20" w:type="dxa"/>
            </w:tcMar>
            <w:vAlign w:val="center"/>
            <w:hideMark/>
          </w:tcPr>
          <w:p w14:paraId="0EACD5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BCD8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388C99B" w14:textId="77777777" w:rsidR="00000000" w:rsidRDefault="00A173A8">
            <w:pPr>
              <w:spacing w:after="100"/>
              <w:jc w:val="right"/>
              <w:rPr>
                <w:rFonts w:eastAsia="Times New Roman"/>
              </w:rPr>
            </w:pPr>
            <w:r>
              <w:rPr>
                <w:rFonts w:eastAsia="Times New Roman"/>
                <w:b/>
                <w:bCs/>
                <w:color w:val="000000"/>
                <w:sz w:val="20"/>
                <w:szCs w:val="20"/>
              </w:rPr>
              <w:t>282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AAE1B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1782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8C429E" w14:textId="77777777" w:rsidR="00000000" w:rsidRDefault="00A173A8">
            <w:pPr>
              <w:spacing w:after="100"/>
              <w:jc w:val="right"/>
              <w:rPr>
                <w:rFonts w:eastAsia="Times New Roman"/>
              </w:rPr>
            </w:pPr>
            <w:r>
              <w:rPr>
                <w:rFonts w:eastAsia="Times New Roman"/>
                <w:b/>
                <w:bCs/>
                <w:color w:val="000000"/>
                <w:sz w:val="20"/>
                <w:szCs w:val="20"/>
              </w:rPr>
              <w:t>0.71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3E4934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393A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574BE7D" w14:textId="77777777" w:rsidR="00000000" w:rsidRDefault="00A173A8">
            <w:pPr>
              <w:spacing w:after="100"/>
              <w:jc w:val="right"/>
              <w:rPr>
                <w:rFonts w:eastAsia="Times New Roman"/>
              </w:rPr>
            </w:pPr>
            <w:r>
              <w:rPr>
                <w:rFonts w:eastAsia="Times New Roman"/>
                <w:color w:val="000000"/>
                <w:sz w:val="20"/>
                <w:szCs w:val="20"/>
              </w:rPr>
              <w:t>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BCCA8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B2867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DD72DF" w14:textId="77777777" w:rsidR="00000000" w:rsidRDefault="00A173A8">
            <w:pPr>
              <w:spacing w:after="100"/>
              <w:jc w:val="right"/>
              <w:rPr>
                <w:rFonts w:eastAsia="Times New Roman"/>
              </w:rPr>
            </w:pPr>
            <w:r>
              <w:rPr>
                <w:rFonts w:eastAsia="Times New Roman"/>
                <w:color w:val="000000"/>
                <w:sz w:val="20"/>
                <w:szCs w:val="20"/>
              </w:rPr>
              <w:t>0.23 </w:t>
            </w:r>
          </w:p>
        </w:tc>
        <w:tc>
          <w:tcPr>
            <w:tcW w:w="0" w:type="auto"/>
            <w:shd w:val="clear" w:color="auto" w:fill="FFFFFF"/>
            <w:tcMar>
              <w:top w:w="30" w:type="dxa"/>
              <w:left w:w="0" w:type="dxa"/>
              <w:bottom w:w="30" w:type="dxa"/>
              <w:right w:w="20" w:type="dxa"/>
            </w:tcMar>
            <w:vAlign w:val="center"/>
            <w:hideMark/>
          </w:tcPr>
          <w:p w14:paraId="288CC794" w14:textId="77777777" w:rsidR="00000000" w:rsidRDefault="00A173A8">
            <w:pPr>
              <w:spacing w:after="100"/>
              <w:jc w:val="right"/>
              <w:rPr>
                <w:rFonts w:eastAsia="Times New Roman"/>
              </w:rPr>
            </w:pPr>
          </w:p>
        </w:tc>
        <w:tc>
          <w:tcPr>
            <w:tcW w:w="0" w:type="auto"/>
            <w:gridSpan w:val="3"/>
            <w:vAlign w:val="center"/>
            <w:hideMark/>
          </w:tcPr>
          <w:p w14:paraId="3BD14844" w14:textId="77777777" w:rsidR="00000000" w:rsidRDefault="00A173A8">
            <w:pPr>
              <w:spacing w:after="100"/>
              <w:jc w:val="right"/>
              <w:rPr>
                <w:rFonts w:eastAsia="Times New Roman"/>
                <w:sz w:val="20"/>
                <w:szCs w:val="20"/>
              </w:rPr>
            </w:pPr>
          </w:p>
        </w:tc>
        <w:tc>
          <w:tcPr>
            <w:tcW w:w="0" w:type="auto"/>
            <w:gridSpan w:val="3"/>
            <w:vAlign w:val="center"/>
            <w:hideMark/>
          </w:tcPr>
          <w:p w14:paraId="66CE27D3" w14:textId="77777777" w:rsidR="00000000" w:rsidRDefault="00A173A8">
            <w:pPr>
              <w:spacing w:after="100"/>
              <w:rPr>
                <w:rFonts w:eastAsia="Times New Roman"/>
                <w:sz w:val="20"/>
                <w:szCs w:val="20"/>
              </w:rPr>
            </w:pPr>
          </w:p>
        </w:tc>
        <w:tc>
          <w:tcPr>
            <w:tcW w:w="0" w:type="auto"/>
            <w:gridSpan w:val="3"/>
            <w:vAlign w:val="center"/>
            <w:hideMark/>
          </w:tcPr>
          <w:p w14:paraId="0DDAC2AA" w14:textId="77777777" w:rsidR="00000000" w:rsidRDefault="00A173A8">
            <w:pPr>
              <w:spacing w:after="100"/>
              <w:rPr>
                <w:rFonts w:eastAsia="Times New Roman"/>
                <w:sz w:val="20"/>
                <w:szCs w:val="20"/>
              </w:rPr>
            </w:pPr>
          </w:p>
        </w:tc>
        <w:tc>
          <w:tcPr>
            <w:tcW w:w="0" w:type="auto"/>
            <w:gridSpan w:val="2"/>
            <w:vAlign w:val="center"/>
            <w:hideMark/>
          </w:tcPr>
          <w:p w14:paraId="1C6AB4A6" w14:textId="77777777" w:rsidR="00000000" w:rsidRDefault="00A173A8">
            <w:pPr>
              <w:spacing w:after="100"/>
              <w:rPr>
                <w:rFonts w:eastAsia="Times New Roman"/>
                <w:sz w:val="20"/>
                <w:szCs w:val="20"/>
              </w:rPr>
            </w:pPr>
          </w:p>
        </w:tc>
      </w:tr>
      <w:tr w:rsidR="00000000" w14:paraId="7F815239" w14:textId="77777777">
        <w:trPr>
          <w:divId w:val="2063481035"/>
        </w:trPr>
        <w:tc>
          <w:tcPr>
            <w:tcW w:w="0" w:type="auto"/>
            <w:gridSpan w:val="3"/>
            <w:shd w:val="clear" w:color="auto" w:fill="CCEEFF"/>
            <w:tcMar>
              <w:top w:w="30" w:type="dxa"/>
              <w:left w:w="20" w:type="dxa"/>
              <w:bottom w:w="30" w:type="dxa"/>
              <w:right w:w="20" w:type="dxa"/>
            </w:tcMar>
            <w:vAlign w:val="center"/>
            <w:hideMark/>
          </w:tcPr>
          <w:p w14:paraId="70093169" w14:textId="77777777" w:rsidR="00000000" w:rsidRDefault="00A173A8">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2BB97412"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A691D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347FA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12E2A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8DA2C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AA165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27D8F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BBD2B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8EFBB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5C4BE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D92A1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2FDB1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F5DAE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DC857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F84DF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D3D79F" w14:textId="77777777" w:rsidR="00000000" w:rsidRDefault="00A173A8">
            <w:pPr>
              <w:spacing w:after="100"/>
              <w:rPr>
                <w:rFonts w:eastAsia="Times New Roman"/>
                <w:sz w:val="20"/>
                <w:szCs w:val="20"/>
              </w:rPr>
            </w:pPr>
          </w:p>
        </w:tc>
        <w:tc>
          <w:tcPr>
            <w:tcW w:w="0" w:type="auto"/>
            <w:gridSpan w:val="3"/>
            <w:vAlign w:val="center"/>
            <w:hideMark/>
          </w:tcPr>
          <w:p w14:paraId="1103AEFA" w14:textId="77777777" w:rsidR="00000000" w:rsidRDefault="00A173A8">
            <w:pPr>
              <w:spacing w:after="100"/>
              <w:rPr>
                <w:rFonts w:eastAsia="Times New Roman"/>
                <w:sz w:val="20"/>
                <w:szCs w:val="20"/>
              </w:rPr>
            </w:pPr>
          </w:p>
        </w:tc>
        <w:tc>
          <w:tcPr>
            <w:tcW w:w="0" w:type="auto"/>
            <w:gridSpan w:val="3"/>
            <w:vAlign w:val="center"/>
            <w:hideMark/>
          </w:tcPr>
          <w:p w14:paraId="555C79D8" w14:textId="77777777" w:rsidR="00000000" w:rsidRDefault="00A173A8">
            <w:pPr>
              <w:spacing w:after="100"/>
              <w:rPr>
                <w:rFonts w:eastAsia="Times New Roman"/>
                <w:sz w:val="20"/>
                <w:szCs w:val="20"/>
              </w:rPr>
            </w:pPr>
          </w:p>
        </w:tc>
        <w:tc>
          <w:tcPr>
            <w:tcW w:w="0" w:type="auto"/>
            <w:gridSpan w:val="3"/>
            <w:vAlign w:val="center"/>
            <w:hideMark/>
          </w:tcPr>
          <w:p w14:paraId="57BB492E" w14:textId="77777777" w:rsidR="00000000" w:rsidRDefault="00A173A8">
            <w:pPr>
              <w:spacing w:after="100"/>
              <w:rPr>
                <w:rFonts w:eastAsia="Times New Roman"/>
                <w:sz w:val="20"/>
                <w:szCs w:val="20"/>
              </w:rPr>
            </w:pPr>
          </w:p>
        </w:tc>
        <w:tc>
          <w:tcPr>
            <w:tcW w:w="0" w:type="auto"/>
            <w:gridSpan w:val="2"/>
            <w:vAlign w:val="center"/>
            <w:hideMark/>
          </w:tcPr>
          <w:p w14:paraId="46F35143" w14:textId="77777777" w:rsidR="00000000" w:rsidRDefault="00A173A8">
            <w:pPr>
              <w:spacing w:after="100"/>
              <w:rPr>
                <w:rFonts w:eastAsia="Times New Roman"/>
                <w:sz w:val="20"/>
                <w:szCs w:val="20"/>
              </w:rPr>
            </w:pPr>
          </w:p>
        </w:tc>
      </w:tr>
      <w:tr w:rsidR="00A173A8" w14:paraId="43C291C2" w14:textId="77777777">
        <w:trPr>
          <w:divId w:val="2063481035"/>
        </w:trPr>
        <w:tc>
          <w:tcPr>
            <w:tcW w:w="0" w:type="auto"/>
            <w:gridSpan w:val="3"/>
            <w:shd w:val="clear" w:color="auto" w:fill="FFFFFF"/>
            <w:tcMar>
              <w:top w:w="30" w:type="dxa"/>
              <w:left w:w="245" w:type="dxa"/>
              <w:bottom w:w="30" w:type="dxa"/>
              <w:right w:w="20" w:type="dxa"/>
            </w:tcMar>
            <w:vAlign w:val="center"/>
            <w:hideMark/>
          </w:tcPr>
          <w:p w14:paraId="1F3C6193" w14:textId="77777777" w:rsidR="00000000" w:rsidRDefault="00A173A8">
            <w:pPr>
              <w:spacing w:after="100"/>
              <w:rPr>
                <w:rFonts w:eastAsia="Times New Roman"/>
              </w:rPr>
            </w:pPr>
            <w:r>
              <w:rPr>
                <w:rFonts w:eastAsia="Times New Roman"/>
                <w:color w:val="000000"/>
                <w:sz w:val="20"/>
                <w:szCs w:val="20"/>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6A780A7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362457" w14:textId="77777777" w:rsidR="00000000" w:rsidRDefault="00A173A8">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14:paraId="2A1CDE6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D8D4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71D7E6" w14:textId="77777777" w:rsidR="00000000" w:rsidRDefault="00A173A8">
            <w:pPr>
              <w:spacing w:after="100"/>
              <w:jc w:val="right"/>
              <w:rPr>
                <w:rFonts w:eastAsia="Times New Roman"/>
              </w:rPr>
            </w:pPr>
            <w:r>
              <w:rPr>
                <w:rFonts w:eastAsia="Times New Roman"/>
                <w:b/>
                <w:bCs/>
                <w:color w:val="000000"/>
                <w:sz w:val="20"/>
                <w:szCs w:val="20"/>
              </w:rPr>
              <w:t>(0.08)</w:t>
            </w:r>
          </w:p>
        </w:tc>
        <w:tc>
          <w:tcPr>
            <w:tcW w:w="0" w:type="auto"/>
            <w:shd w:val="clear" w:color="auto" w:fill="FFFFFF"/>
            <w:tcMar>
              <w:top w:w="30" w:type="dxa"/>
              <w:left w:w="0" w:type="dxa"/>
              <w:bottom w:w="30" w:type="dxa"/>
              <w:right w:w="20" w:type="dxa"/>
            </w:tcMar>
            <w:vAlign w:val="bottom"/>
            <w:hideMark/>
          </w:tcPr>
          <w:p w14:paraId="47747D1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0338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F576CB" w14:textId="77777777" w:rsidR="00000000" w:rsidRDefault="00A173A8">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14:paraId="22DB1EC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90B7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78C2A5" w14:textId="77777777" w:rsidR="00000000" w:rsidRDefault="00A173A8">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14:paraId="41D0108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7DE8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C154DC" w14:textId="77777777" w:rsidR="00000000" w:rsidRDefault="00A173A8">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14:paraId="5FE1580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FA27A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CF42B3" w14:textId="77777777" w:rsidR="00000000" w:rsidRDefault="00A173A8">
            <w:pPr>
              <w:spacing w:after="100"/>
              <w:jc w:val="right"/>
              <w:rPr>
                <w:rFonts w:eastAsia="Times New Roman"/>
              </w:rPr>
            </w:pPr>
            <w:r>
              <w:rPr>
                <w:rFonts w:eastAsia="Times New Roman"/>
                <w:b/>
                <w:bCs/>
                <w:color w:val="000000"/>
                <w:sz w:val="20"/>
                <w:szCs w:val="20"/>
              </w:rPr>
              <w:t>(0.04)</w:t>
            </w:r>
          </w:p>
        </w:tc>
        <w:tc>
          <w:tcPr>
            <w:tcW w:w="0" w:type="auto"/>
            <w:shd w:val="clear" w:color="auto" w:fill="FFFFFF"/>
            <w:tcMar>
              <w:top w:w="30" w:type="dxa"/>
              <w:left w:w="0" w:type="dxa"/>
              <w:bottom w:w="30" w:type="dxa"/>
              <w:right w:w="20" w:type="dxa"/>
            </w:tcMar>
            <w:vAlign w:val="bottom"/>
            <w:hideMark/>
          </w:tcPr>
          <w:p w14:paraId="773EA67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604F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7965CC" w14:textId="77777777" w:rsidR="00000000" w:rsidRDefault="00A173A8">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7D433C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010F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187A47" w14:textId="77777777" w:rsidR="00000000" w:rsidRDefault="00A173A8">
            <w:pPr>
              <w:spacing w:after="100"/>
              <w:jc w:val="right"/>
              <w:rPr>
                <w:rFonts w:eastAsia="Times New Roman"/>
              </w:rPr>
            </w:pPr>
            <w:r>
              <w:rPr>
                <w:rFonts w:eastAsia="Times New Roman"/>
                <w:color w:val="000000"/>
                <w:sz w:val="20"/>
                <w:szCs w:val="20"/>
              </w:rPr>
              <w:t>0.05 </w:t>
            </w:r>
          </w:p>
        </w:tc>
        <w:tc>
          <w:tcPr>
            <w:tcW w:w="0" w:type="auto"/>
            <w:shd w:val="clear" w:color="auto" w:fill="FFFFFF"/>
            <w:tcMar>
              <w:top w:w="30" w:type="dxa"/>
              <w:left w:w="0" w:type="dxa"/>
              <w:bottom w:w="30" w:type="dxa"/>
              <w:right w:w="20" w:type="dxa"/>
            </w:tcMar>
            <w:vAlign w:val="bottom"/>
            <w:hideMark/>
          </w:tcPr>
          <w:p w14:paraId="7117AA64" w14:textId="77777777" w:rsidR="00000000" w:rsidRDefault="00A173A8">
            <w:pPr>
              <w:spacing w:after="100"/>
              <w:jc w:val="right"/>
              <w:rPr>
                <w:rFonts w:eastAsia="Times New Roman"/>
              </w:rPr>
            </w:pPr>
          </w:p>
        </w:tc>
        <w:tc>
          <w:tcPr>
            <w:tcW w:w="0" w:type="auto"/>
            <w:gridSpan w:val="3"/>
            <w:vAlign w:val="center"/>
            <w:hideMark/>
          </w:tcPr>
          <w:p w14:paraId="33F0ABCD" w14:textId="77777777" w:rsidR="00000000" w:rsidRDefault="00A173A8">
            <w:pPr>
              <w:spacing w:after="100"/>
              <w:jc w:val="right"/>
              <w:rPr>
                <w:rFonts w:eastAsia="Times New Roman"/>
                <w:sz w:val="20"/>
                <w:szCs w:val="20"/>
              </w:rPr>
            </w:pPr>
          </w:p>
        </w:tc>
        <w:tc>
          <w:tcPr>
            <w:tcW w:w="0" w:type="auto"/>
            <w:gridSpan w:val="3"/>
            <w:vAlign w:val="center"/>
            <w:hideMark/>
          </w:tcPr>
          <w:p w14:paraId="32FB997C" w14:textId="77777777" w:rsidR="00000000" w:rsidRDefault="00A173A8">
            <w:pPr>
              <w:spacing w:after="100"/>
              <w:rPr>
                <w:rFonts w:eastAsia="Times New Roman"/>
                <w:sz w:val="20"/>
                <w:szCs w:val="20"/>
              </w:rPr>
            </w:pPr>
          </w:p>
        </w:tc>
        <w:tc>
          <w:tcPr>
            <w:tcW w:w="0" w:type="auto"/>
            <w:gridSpan w:val="3"/>
            <w:vAlign w:val="center"/>
            <w:hideMark/>
          </w:tcPr>
          <w:p w14:paraId="793C04DB" w14:textId="77777777" w:rsidR="00000000" w:rsidRDefault="00A173A8">
            <w:pPr>
              <w:spacing w:after="100"/>
              <w:rPr>
                <w:rFonts w:eastAsia="Times New Roman"/>
                <w:sz w:val="20"/>
                <w:szCs w:val="20"/>
              </w:rPr>
            </w:pPr>
          </w:p>
        </w:tc>
        <w:tc>
          <w:tcPr>
            <w:tcW w:w="0" w:type="auto"/>
            <w:gridSpan w:val="2"/>
            <w:vAlign w:val="center"/>
            <w:hideMark/>
          </w:tcPr>
          <w:p w14:paraId="0E934B75" w14:textId="77777777" w:rsidR="00000000" w:rsidRDefault="00A173A8">
            <w:pPr>
              <w:spacing w:after="100"/>
              <w:rPr>
                <w:rFonts w:eastAsia="Times New Roman"/>
                <w:sz w:val="20"/>
                <w:szCs w:val="20"/>
              </w:rPr>
            </w:pPr>
          </w:p>
        </w:tc>
      </w:tr>
      <w:tr w:rsidR="00A173A8" w14:paraId="2E74F108" w14:textId="77777777">
        <w:trPr>
          <w:divId w:val="2063481035"/>
        </w:trPr>
        <w:tc>
          <w:tcPr>
            <w:tcW w:w="0" w:type="auto"/>
            <w:gridSpan w:val="3"/>
            <w:shd w:val="clear" w:color="auto" w:fill="CCEEFF"/>
            <w:tcMar>
              <w:top w:w="30" w:type="dxa"/>
              <w:left w:w="245" w:type="dxa"/>
              <w:bottom w:w="30" w:type="dxa"/>
              <w:right w:w="20" w:type="dxa"/>
            </w:tcMar>
            <w:vAlign w:val="center"/>
            <w:hideMark/>
          </w:tcPr>
          <w:p w14:paraId="1A5E998B" w14:textId="77777777" w:rsidR="00000000" w:rsidRDefault="00A173A8">
            <w:pPr>
              <w:spacing w:after="100"/>
              <w:rPr>
                <w:rFonts w:eastAsia="Times New Roman"/>
              </w:rPr>
            </w:pPr>
            <w:r>
              <w:rPr>
                <w:rFonts w:eastAsia="Times New Roman"/>
                <w:color w:val="000000"/>
                <w:sz w:val="20"/>
                <w:szCs w:val="20"/>
              </w:rPr>
              <w:t>Commercial and industrial</w:t>
            </w:r>
          </w:p>
        </w:tc>
        <w:tc>
          <w:tcPr>
            <w:tcW w:w="0" w:type="auto"/>
            <w:gridSpan w:val="3"/>
            <w:shd w:val="clear" w:color="auto" w:fill="CCEEFF"/>
            <w:tcMar>
              <w:top w:w="0" w:type="dxa"/>
              <w:left w:w="20" w:type="dxa"/>
              <w:bottom w:w="0" w:type="dxa"/>
              <w:right w:w="20" w:type="dxa"/>
            </w:tcMar>
            <w:vAlign w:val="center"/>
            <w:hideMark/>
          </w:tcPr>
          <w:p w14:paraId="3A3529B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48DF825" w14:textId="77777777" w:rsidR="00000000" w:rsidRDefault="00A173A8">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57572C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196E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C829DC" w14:textId="77777777" w:rsidR="00000000" w:rsidRDefault="00A173A8">
            <w:pPr>
              <w:spacing w:after="100"/>
              <w:jc w:val="right"/>
              <w:rPr>
                <w:rFonts w:eastAsia="Times New Roman"/>
              </w:rPr>
            </w:pPr>
            <w:r>
              <w:rPr>
                <w:rFonts w:eastAsia="Times New Roman"/>
                <w:b/>
                <w:bCs/>
                <w:color w:val="000000"/>
                <w:sz w:val="20"/>
                <w:szCs w:val="20"/>
              </w:rPr>
              <w:t>0.29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FFAD15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E9A9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BDDA2A" w14:textId="77777777" w:rsidR="00000000" w:rsidRDefault="00A173A8">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center"/>
            <w:hideMark/>
          </w:tcPr>
          <w:p w14:paraId="4E675D6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6A0E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072351" w14:textId="77777777" w:rsidR="00000000" w:rsidRDefault="00A173A8">
            <w:pPr>
              <w:spacing w:after="100"/>
              <w:jc w:val="right"/>
              <w:rPr>
                <w:rFonts w:eastAsia="Times New Roman"/>
              </w:rPr>
            </w:pPr>
            <w:r>
              <w:rPr>
                <w:rFonts w:eastAsia="Times New Roman"/>
                <w:color w:val="000000"/>
                <w:sz w:val="20"/>
                <w:szCs w:val="20"/>
              </w:rPr>
              <w:t>(0.21)</w:t>
            </w:r>
          </w:p>
        </w:tc>
        <w:tc>
          <w:tcPr>
            <w:tcW w:w="0" w:type="auto"/>
            <w:shd w:val="clear" w:color="auto" w:fill="CCEEFF"/>
            <w:tcMar>
              <w:top w:w="30" w:type="dxa"/>
              <w:left w:w="0" w:type="dxa"/>
              <w:bottom w:w="30" w:type="dxa"/>
              <w:right w:w="20" w:type="dxa"/>
            </w:tcMar>
            <w:vAlign w:val="center"/>
            <w:hideMark/>
          </w:tcPr>
          <w:p w14:paraId="24E2C83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703F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D0512F" w14:textId="77777777" w:rsidR="00000000" w:rsidRDefault="00A173A8">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CC736D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09E5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184D13" w14:textId="77777777" w:rsidR="00000000" w:rsidRDefault="00A173A8">
            <w:pPr>
              <w:spacing w:after="100"/>
              <w:jc w:val="right"/>
              <w:rPr>
                <w:rFonts w:eastAsia="Times New Roman"/>
              </w:rPr>
            </w:pPr>
            <w:r>
              <w:rPr>
                <w:rFonts w:eastAsia="Times New Roman"/>
                <w:b/>
                <w:bCs/>
                <w:color w:val="000000"/>
                <w:sz w:val="20"/>
                <w:szCs w:val="20"/>
              </w:rPr>
              <w:t>0.20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3518B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3A08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E2496A" w14:textId="77777777" w:rsidR="00000000" w:rsidRDefault="00A173A8">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center"/>
            <w:hideMark/>
          </w:tcPr>
          <w:p w14:paraId="2427305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6425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DCAB92" w14:textId="77777777" w:rsidR="00000000" w:rsidRDefault="00A173A8">
            <w:pPr>
              <w:spacing w:after="100"/>
              <w:jc w:val="right"/>
              <w:rPr>
                <w:rFonts w:eastAsia="Times New Roman"/>
              </w:rPr>
            </w:pPr>
            <w:r>
              <w:rPr>
                <w:rFonts w:eastAsia="Times New Roman"/>
                <w:color w:val="000000"/>
                <w:sz w:val="20"/>
                <w:szCs w:val="20"/>
              </w:rPr>
              <w:t>(0.05)</w:t>
            </w:r>
          </w:p>
        </w:tc>
        <w:tc>
          <w:tcPr>
            <w:tcW w:w="0" w:type="auto"/>
            <w:shd w:val="clear" w:color="auto" w:fill="CCEEFF"/>
            <w:tcMar>
              <w:top w:w="30" w:type="dxa"/>
              <w:left w:w="0" w:type="dxa"/>
              <w:bottom w:w="30" w:type="dxa"/>
              <w:right w:w="20" w:type="dxa"/>
            </w:tcMar>
            <w:vAlign w:val="center"/>
            <w:hideMark/>
          </w:tcPr>
          <w:p w14:paraId="51AEEC4F" w14:textId="77777777" w:rsidR="00000000" w:rsidRDefault="00A173A8">
            <w:pPr>
              <w:spacing w:after="100"/>
              <w:jc w:val="right"/>
              <w:rPr>
                <w:rFonts w:eastAsia="Times New Roman"/>
              </w:rPr>
            </w:pPr>
          </w:p>
        </w:tc>
        <w:tc>
          <w:tcPr>
            <w:tcW w:w="0" w:type="auto"/>
            <w:gridSpan w:val="3"/>
            <w:vAlign w:val="center"/>
            <w:hideMark/>
          </w:tcPr>
          <w:p w14:paraId="3EAC7E99" w14:textId="77777777" w:rsidR="00000000" w:rsidRDefault="00A173A8">
            <w:pPr>
              <w:spacing w:after="100"/>
              <w:jc w:val="right"/>
              <w:rPr>
                <w:rFonts w:eastAsia="Times New Roman"/>
                <w:sz w:val="20"/>
                <w:szCs w:val="20"/>
              </w:rPr>
            </w:pPr>
          </w:p>
        </w:tc>
        <w:tc>
          <w:tcPr>
            <w:tcW w:w="0" w:type="auto"/>
            <w:gridSpan w:val="3"/>
            <w:vAlign w:val="center"/>
            <w:hideMark/>
          </w:tcPr>
          <w:p w14:paraId="7A817CA2" w14:textId="77777777" w:rsidR="00000000" w:rsidRDefault="00A173A8">
            <w:pPr>
              <w:spacing w:after="100"/>
              <w:rPr>
                <w:rFonts w:eastAsia="Times New Roman"/>
                <w:sz w:val="20"/>
                <w:szCs w:val="20"/>
              </w:rPr>
            </w:pPr>
          </w:p>
        </w:tc>
        <w:tc>
          <w:tcPr>
            <w:tcW w:w="0" w:type="auto"/>
            <w:gridSpan w:val="3"/>
            <w:vAlign w:val="center"/>
            <w:hideMark/>
          </w:tcPr>
          <w:p w14:paraId="549756E0" w14:textId="77777777" w:rsidR="00000000" w:rsidRDefault="00A173A8">
            <w:pPr>
              <w:spacing w:after="100"/>
              <w:rPr>
                <w:rFonts w:eastAsia="Times New Roman"/>
                <w:sz w:val="20"/>
                <w:szCs w:val="20"/>
              </w:rPr>
            </w:pPr>
          </w:p>
        </w:tc>
        <w:tc>
          <w:tcPr>
            <w:tcW w:w="0" w:type="auto"/>
            <w:gridSpan w:val="2"/>
            <w:vAlign w:val="center"/>
            <w:hideMark/>
          </w:tcPr>
          <w:p w14:paraId="4CECAB50" w14:textId="77777777" w:rsidR="00000000" w:rsidRDefault="00A173A8">
            <w:pPr>
              <w:spacing w:after="100"/>
              <w:rPr>
                <w:rFonts w:eastAsia="Times New Roman"/>
                <w:sz w:val="20"/>
                <w:szCs w:val="20"/>
              </w:rPr>
            </w:pPr>
          </w:p>
        </w:tc>
      </w:tr>
      <w:tr w:rsidR="00A173A8" w14:paraId="62FBC009" w14:textId="77777777">
        <w:trPr>
          <w:divId w:val="2063481035"/>
        </w:trPr>
        <w:tc>
          <w:tcPr>
            <w:tcW w:w="0" w:type="auto"/>
            <w:gridSpan w:val="3"/>
            <w:shd w:val="clear" w:color="auto" w:fill="FFFFFF"/>
            <w:tcMar>
              <w:top w:w="30" w:type="dxa"/>
              <w:left w:w="20" w:type="dxa"/>
              <w:bottom w:w="30" w:type="dxa"/>
              <w:right w:w="20" w:type="dxa"/>
            </w:tcMar>
            <w:vAlign w:val="center"/>
            <w:hideMark/>
          </w:tcPr>
          <w:p w14:paraId="574F98FF" w14:textId="77777777" w:rsidR="00000000" w:rsidRDefault="00A173A8">
            <w:pPr>
              <w:spacing w:after="100"/>
              <w:rPr>
                <w:rFonts w:eastAsia="Times New Roman"/>
              </w:rPr>
            </w:pPr>
            <w:r>
              <w:rPr>
                <w:rFonts w:eastAsia="Times New Roman"/>
                <w:color w:val="000000"/>
                <w:sz w:val="20"/>
                <w:szCs w:val="20"/>
              </w:rPr>
              <w:t>Total commercial banking</w:t>
            </w:r>
          </w:p>
        </w:tc>
        <w:tc>
          <w:tcPr>
            <w:tcW w:w="0" w:type="auto"/>
            <w:gridSpan w:val="3"/>
            <w:shd w:val="clear" w:color="auto" w:fill="FFFFFF"/>
            <w:tcMar>
              <w:top w:w="0" w:type="dxa"/>
              <w:left w:w="20" w:type="dxa"/>
              <w:bottom w:w="0" w:type="dxa"/>
              <w:right w:w="20" w:type="dxa"/>
            </w:tcMar>
            <w:vAlign w:val="center"/>
            <w:hideMark/>
          </w:tcPr>
          <w:p w14:paraId="23AD475B"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99723EF" w14:textId="77777777" w:rsidR="00000000" w:rsidRDefault="00A173A8">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64A524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4442F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C8F1C4" w14:textId="77777777" w:rsidR="00000000" w:rsidRDefault="00A173A8">
            <w:pPr>
              <w:spacing w:after="100"/>
              <w:jc w:val="right"/>
              <w:rPr>
                <w:rFonts w:eastAsia="Times New Roman"/>
              </w:rPr>
            </w:pPr>
            <w:r>
              <w:rPr>
                <w:rFonts w:eastAsia="Times New Roman"/>
                <w:b/>
                <w:bCs/>
                <w:color w:val="000000"/>
                <w:sz w:val="20"/>
                <w:szCs w:val="20"/>
              </w:rPr>
              <w:t>0.14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4EFBA5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CF9D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99A392" w14:textId="77777777" w:rsidR="00000000" w:rsidRDefault="00A173A8">
            <w:pPr>
              <w:spacing w:after="100"/>
              <w:jc w:val="right"/>
              <w:rPr>
                <w:rFonts w:eastAsia="Times New Roman"/>
              </w:rPr>
            </w:pPr>
            <w:r>
              <w:rPr>
                <w:rFonts w:eastAsia="Times New Roman"/>
                <w:color w:val="000000"/>
                <w:sz w:val="20"/>
                <w:szCs w:val="20"/>
              </w:rPr>
              <w:t>(19)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E24D23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02D1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EF9BC8" w14:textId="77777777" w:rsidR="00000000" w:rsidRDefault="00A173A8">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center"/>
            <w:hideMark/>
          </w:tcPr>
          <w:p w14:paraId="3F38373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B716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E2970C0" w14:textId="77777777" w:rsidR="00000000" w:rsidRDefault="00A173A8">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6D75F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2099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B6DDD1" w14:textId="77777777" w:rsidR="00000000" w:rsidRDefault="00A173A8">
            <w:pPr>
              <w:spacing w:after="100"/>
              <w:jc w:val="right"/>
              <w:rPr>
                <w:rFonts w:eastAsia="Times New Roman"/>
              </w:rPr>
            </w:pPr>
            <w:r>
              <w:rPr>
                <w:rFonts w:eastAsia="Times New Roman"/>
                <w:b/>
                <w:bCs/>
                <w:color w:val="000000"/>
                <w:sz w:val="20"/>
                <w:szCs w:val="20"/>
              </w:rPr>
              <w:t>0.10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4686D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7C1A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0DFB96" w14:textId="77777777" w:rsidR="00000000" w:rsidRDefault="00A173A8">
            <w:pPr>
              <w:spacing w:after="100"/>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799F8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8F50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0BD272" w14:textId="77777777" w:rsidR="00000000" w:rsidRDefault="00A173A8">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center"/>
            <w:hideMark/>
          </w:tcPr>
          <w:p w14:paraId="6E954A42" w14:textId="77777777" w:rsidR="00000000" w:rsidRDefault="00A173A8">
            <w:pPr>
              <w:spacing w:after="100"/>
              <w:jc w:val="right"/>
              <w:rPr>
                <w:rFonts w:eastAsia="Times New Roman"/>
              </w:rPr>
            </w:pPr>
          </w:p>
        </w:tc>
        <w:tc>
          <w:tcPr>
            <w:tcW w:w="0" w:type="auto"/>
            <w:gridSpan w:val="3"/>
            <w:vAlign w:val="center"/>
            <w:hideMark/>
          </w:tcPr>
          <w:p w14:paraId="704EC6ED" w14:textId="77777777" w:rsidR="00000000" w:rsidRDefault="00A173A8">
            <w:pPr>
              <w:spacing w:after="100"/>
              <w:jc w:val="right"/>
              <w:rPr>
                <w:rFonts w:eastAsia="Times New Roman"/>
                <w:sz w:val="20"/>
                <w:szCs w:val="20"/>
              </w:rPr>
            </w:pPr>
          </w:p>
        </w:tc>
        <w:tc>
          <w:tcPr>
            <w:tcW w:w="0" w:type="auto"/>
            <w:gridSpan w:val="3"/>
            <w:vAlign w:val="center"/>
            <w:hideMark/>
          </w:tcPr>
          <w:p w14:paraId="1932632B" w14:textId="77777777" w:rsidR="00000000" w:rsidRDefault="00A173A8">
            <w:pPr>
              <w:spacing w:after="100"/>
              <w:rPr>
                <w:rFonts w:eastAsia="Times New Roman"/>
                <w:sz w:val="20"/>
                <w:szCs w:val="20"/>
              </w:rPr>
            </w:pPr>
          </w:p>
        </w:tc>
        <w:tc>
          <w:tcPr>
            <w:tcW w:w="0" w:type="auto"/>
            <w:gridSpan w:val="3"/>
            <w:vAlign w:val="center"/>
            <w:hideMark/>
          </w:tcPr>
          <w:p w14:paraId="3D131FD8" w14:textId="77777777" w:rsidR="00000000" w:rsidRDefault="00A173A8">
            <w:pPr>
              <w:spacing w:after="100"/>
              <w:rPr>
                <w:rFonts w:eastAsia="Times New Roman"/>
                <w:sz w:val="20"/>
                <w:szCs w:val="20"/>
              </w:rPr>
            </w:pPr>
          </w:p>
        </w:tc>
        <w:tc>
          <w:tcPr>
            <w:tcW w:w="0" w:type="auto"/>
            <w:gridSpan w:val="2"/>
            <w:vAlign w:val="center"/>
            <w:hideMark/>
          </w:tcPr>
          <w:p w14:paraId="21B9764A" w14:textId="77777777" w:rsidR="00000000" w:rsidRDefault="00A173A8">
            <w:pPr>
              <w:spacing w:after="100"/>
              <w:rPr>
                <w:rFonts w:eastAsia="Times New Roman"/>
                <w:sz w:val="20"/>
                <w:szCs w:val="20"/>
              </w:rPr>
            </w:pPr>
          </w:p>
        </w:tc>
      </w:tr>
      <w:tr w:rsidR="00A173A8" w14:paraId="148D9451" w14:textId="77777777">
        <w:trPr>
          <w:divId w:val="2063481035"/>
        </w:trPr>
        <w:tc>
          <w:tcPr>
            <w:tcW w:w="0" w:type="auto"/>
            <w:gridSpan w:val="3"/>
            <w:shd w:val="clear" w:color="auto" w:fill="CCEEFF"/>
            <w:tcMar>
              <w:top w:w="30" w:type="dxa"/>
              <w:left w:w="20" w:type="dxa"/>
              <w:bottom w:w="30" w:type="dxa"/>
              <w:right w:w="20" w:type="dxa"/>
            </w:tcMar>
            <w:vAlign w:val="center"/>
            <w:hideMark/>
          </w:tcPr>
          <w:p w14:paraId="6F02FA39" w14:textId="77777777" w:rsidR="00000000" w:rsidRDefault="00A173A8">
            <w:pPr>
              <w:spacing w:after="100"/>
              <w:rPr>
                <w:rFonts w:eastAsia="Times New Roman"/>
              </w:rPr>
            </w:pPr>
            <w:r>
              <w:rPr>
                <w:rFonts w:eastAsia="Times New Roman"/>
                <w:color w:val="000000"/>
                <w:sz w:val="20"/>
                <w:szCs w:val="20"/>
              </w:rPr>
              <w:t>Total net charge-offs</w:t>
            </w:r>
          </w:p>
        </w:tc>
        <w:tc>
          <w:tcPr>
            <w:tcW w:w="0" w:type="auto"/>
            <w:gridSpan w:val="3"/>
            <w:shd w:val="clear" w:color="auto" w:fill="CCEEFF"/>
            <w:tcMar>
              <w:top w:w="0" w:type="dxa"/>
              <w:left w:w="20" w:type="dxa"/>
              <w:bottom w:w="0" w:type="dxa"/>
              <w:right w:w="20" w:type="dxa"/>
            </w:tcMar>
            <w:vAlign w:val="center"/>
            <w:hideMark/>
          </w:tcPr>
          <w:p w14:paraId="60465E8E"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6A6658D"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8927E48" w14:textId="77777777" w:rsidR="00000000" w:rsidRDefault="00A173A8">
            <w:pPr>
              <w:spacing w:after="100"/>
              <w:jc w:val="right"/>
              <w:rPr>
                <w:rFonts w:eastAsia="Times New Roman"/>
              </w:rPr>
            </w:pPr>
            <w:r>
              <w:rPr>
                <w:rFonts w:eastAsia="Times New Roman"/>
                <w:b/>
                <w:bCs/>
                <w:color w:val="000000"/>
                <w:sz w:val="20"/>
                <w:szCs w:val="20"/>
              </w:rPr>
              <w:t>845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03628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6BA3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83AC06" w14:textId="77777777" w:rsidR="00000000" w:rsidRDefault="00A173A8">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B6B314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4F4FF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FBC376F"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2A782B4" w14:textId="77777777" w:rsidR="00000000" w:rsidRDefault="00A173A8">
            <w:pPr>
              <w:spacing w:after="100"/>
              <w:jc w:val="right"/>
              <w:rPr>
                <w:rFonts w:eastAsia="Times New Roman"/>
              </w:rPr>
            </w:pPr>
            <w:r>
              <w:rPr>
                <w:rFonts w:eastAsia="Times New Roman"/>
                <w:color w:val="000000"/>
                <w:sz w:val="20"/>
                <w:szCs w:val="20"/>
              </w:rPr>
              <w:t>541 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4E040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CD20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119EA5" w14:textId="77777777" w:rsidR="00000000" w:rsidRDefault="00A173A8">
            <w:pPr>
              <w:spacing w:after="100"/>
              <w:jc w:val="right"/>
              <w:rPr>
                <w:rFonts w:eastAsia="Times New Roman"/>
              </w:rPr>
            </w:pPr>
            <w:r>
              <w:rPr>
                <w:rFonts w:eastAsia="Times New Roman"/>
                <w:color w:val="000000"/>
                <w:sz w:val="20"/>
                <w:szCs w:val="20"/>
              </w:rPr>
              <w:t>0.88 </w:t>
            </w:r>
          </w:p>
        </w:tc>
        <w:tc>
          <w:tcPr>
            <w:tcW w:w="0" w:type="auto"/>
            <w:shd w:val="clear" w:color="auto" w:fill="CCEEFF"/>
            <w:tcMar>
              <w:top w:w="30" w:type="dxa"/>
              <w:left w:w="0" w:type="dxa"/>
              <w:bottom w:w="30" w:type="dxa"/>
              <w:right w:w="20" w:type="dxa"/>
            </w:tcMar>
            <w:vAlign w:val="center"/>
            <w:hideMark/>
          </w:tcPr>
          <w:p w14:paraId="43000CD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F85E7A"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A4D6323"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5E0F016" w14:textId="77777777" w:rsidR="00000000" w:rsidRDefault="00A173A8">
            <w:pPr>
              <w:spacing w:after="100"/>
              <w:jc w:val="right"/>
              <w:rPr>
                <w:rFonts w:eastAsia="Times New Roman"/>
              </w:rPr>
            </w:pPr>
            <w:r>
              <w:rPr>
                <w:rFonts w:eastAsia="Times New Roman"/>
                <w:b/>
                <w:bCs/>
                <w:color w:val="000000"/>
                <w:sz w:val="20"/>
                <w:szCs w:val="20"/>
              </w:rPr>
              <w:t>1,612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67429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1DF4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8FE435" w14:textId="77777777" w:rsidR="00000000" w:rsidRDefault="00A173A8">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332CCA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1DED7"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A2E8C1D"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6C1FC3E" w14:textId="77777777" w:rsidR="00000000" w:rsidRDefault="00A173A8">
            <w:pPr>
              <w:spacing w:after="100"/>
              <w:jc w:val="right"/>
              <w:rPr>
                <w:rFonts w:eastAsia="Times New Roman"/>
              </w:rPr>
            </w:pPr>
            <w:r>
              <w:rPr>
                <w:rFonts w:eastAsia="Times New Roman"/>
                <w:color w:val="000000"/>
                <w:sz w:val="20"/>
                <w:szCs w:val="20"/>
              </w:rPr>
              <w:t>1,281 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F6A9D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E9CB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2EB268" w14:textId="77777777" w:rsidR="00000000" w:rsidRDefault="00A173A8">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center"/>
            <w:hideMark/>
          </w:tcPr>
          <w:p w14:paraId="207F13EE" w14:textId="77777777" w:rsidR="00000000" w:rsidRDefault="00A173A8">
            <w:pPr>
              <w:spacing w:after="100"/>
              <w:jc w:val="right"/>
              <w:rPr>
                <w:rFonts w:eastAsia="Times New Roman"/>
              </w:rPr>
            </w:pPr>
          </w:p>
        </w:tc>
        <w:tc>
          <w:tcPr>
            <w:tcW w:w="0" w:type="auto"/>
            <w:gridSpan w:val="3"/>
            <w:vAlign w:val="center"/>
            <w:hideMark/>
          </w:tcPr>
          <w:p w14:paraId="462C4443" w14:textId="77777777" w:rsidR="00000000" w:rsidRDefault="00A173A8">
            <w:pPr>
              <w:spacing w:after="100"/>
              <w:jc w:val="right"/>
              <w:rPr>
                <w:rFonts w:eastAsia="Times New Roman"/>
                <w:sz w:val="20"/>
                <w:szCs w:val="20"/>
              </w:rPr>
            </w:pPr>
          </w:p>
        </w:tc>
        <w:tc>
          <w:tcPr>
            <w:tcW w:w="0" w:type="auto"/>
            <w:gridSpan w:val="3"/>
            <w:vAlign w:val="center"/>
            <w:hideMark/>
          </w:tcPr>
          <w:p w14:paraId="2B439E06" w14:textId="77777777" w:rsidR="00000000" w:rsidRDefault="00A173A8">
            <w:pPr>
              <w:spacing w:after="100"/>
              <w:rPr>
                <w:rFonts w:eastAsia="Times New Roman"/>
                <w:sz w:val="20"/>
                <w:szCs w:val="20"/>
              </w:rPr>
            </w:pPr>
          </w:p>
        </w:tc>
        <w:tc>
          <w:tcPr>
            <w:tcW w:w="0" w:type="auto"/>
            <w:gridSpan w:val="3"/>
            <w:vAlign w:val="center"/>
            <w:hideMark/>
          </w:tcPr>
          <w:p w14:paraId="5C12244B" w14:textId="77777777" w:rsidR="00000000" w:rsidRDefault="00A173A8">
            <w:pPr>
              <w:spacing w:after="100"/>
              <w:rPr>
                <w:rFonts w:eastAsia="Times New Roman"/>
                <w:sz w:val="20"/>
                <w:szCs w:val="20"/>
              </w:rPr>
            </w:pPr>
          </w:p>
        </w:tc>
        <w:tc>
          <w:tcPr>
            <w:tcW w:w="0" w:type="auto"/>
            <w:gridSpan w:val="2"/>
            <w:vAlign w:val="center"/>
            <w:hideMark/>
          </w:tcPr>
          <w:p w14:paraId="3F074277" w14:textId="77777777" w:rsidR="00000000" w:rsidRDefault="00A173A8">
            <w:pPr>
              <w:spacing w:after="100"/>
              <w:rPr>
                <w:rFonts w:eastAsia="Times New Roman"/>
                <w:sz w:val="20"/>
                <w:szCs w:val="20"/>
              </w:rPr>
            </w:pPr>
          </w:p>
        </w:tc>
      </w:tr>
      <w:tr w:rsidR="00A173A8" w14:paraId="208BBD3A" w14:textId="77777777">
        <w:trPr>
          <w:divId w:val="2063481035"/>
        </w:trPr>
        <w:tc>
          <w:tcPr>
            <w:tcW w:w="0" w:type="auto"/>
            <w:gridSpan w:val="3"/>
            <w:shd w:val="clear" w:color="auto" w:fill="FFFFFF"/>
            <w:tcMar>
              <w:top w:w="30" w:type="dxa"/>
              <w:left w:w="20" w:type="dxa"/>
              <w:bottom w:w="30" w:type="dxa"/>
              <w:right w:w="20" w:type="dxa"/>
            </w:tcMar>
            <w:vAlign w:val="center"/>
            <w:hideMark/>
          </w:tcPr>
          <w:p w14:paraId="167FAD09" w14:textId="77777777" w:rsidR="00000000" w:rsidRDefault="00A173A8">
            <w:pPr>
              <w:spacing w:after="100"/>
              <w:rPr>
                <w:rFonts w:eastAsia="Times New Roman"/>
              </w:rPr>
            </w:pPr>
            <w:r>
              <w:rPr>
                <w:rFonts w:eastAsia="Times New Roman"/>
                <w:color w:val="000000"/>
                <w:sz w:val="20"/>
                <w:szCs w:val="20"/>
              </w:rPr>
              <w:t>Average loans held for investment</w:t>
            </w:r>
          </w:p>
        </w:tc>
        <w:tc>
          <w:tcPr>
            <w:tcW w:w="0" w:type="auto"/>
            <w:gridSpan w:val="3"/>
            <w:shd w:val="clear" w:color="auto" w:fill="FFFFFF"/>
            <w:tcMar>
              <w:top w:w="0" w:type="dxa"/>
              <w:left w:w="20" w:type="dxa"/>
              <w:bottom w:w="0" w:type="dxa"/>
              <w:right w:w="20" w:type="dxa"/>
            </w:tcMar>
            <w:vAlign w:val="center"/>
            <w:hideMark/>
          </w:tcPr>
          <w:p w14:paraId="3B1E024B" w14:textId="77777777" w:rsidR="00000000" w:rsidRDefault="00A173A8">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094AD0CA"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16388B2F" w14:textId="77777777" w:rsidR="00000000" w:rsidRDefault="00A173A8">
            <w:pPr>
              <w:spacing w:after="100"/>
              <w:jc w:val="right"/>
              <w:rPr>
                <w:rFonts w:eastAsia="Times New Roman"/>
              </w:rPr>
            </w:pPr>
            <w:r>
              <w:rPr>
                <w:rFonts w:eastAsia="Times New Roman"/>
                <w:b/>
                <w:bCs/>
                <w:color w:val="000000"/>
                <w:sz w:val="20"/>
                <w:szCs w:val="20"/>
              </w:rPr>
              <w:t>286,110</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12404D9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D4038"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C57E2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86A2BE" w14:textId="77777777" w:rsidR="00000000" w:rsidRDefault="00A173A8">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1A1E52EE"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18602A56" w14:textId="77777777" w:rsidR="00000000" w:rsidRDefault="00A173A8">
            <w:pPr>
              <w:spacing w:after="100"/>
              <w:jc w:val="right"/>
              <w:rPr>
                <w:rFonts w:eastAsia="Times New Roman"/>
              </w:rPr>
            </w:pPr>
            <w:r>
              <w:rPr>
                <w:rFonts w:eastAsia="Times New Roman"/>
                <w:color w:val="000000"/>
                <w:sz w:val="20"/>
                <w:szCs w:val="20"/>
              </w:rPr>
              <w:t>246,463 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3C44EFB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AD54D0"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9B89C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016573" w14:textId="77777777" w:rsidR="00000000" w:rsidRDefault="00A173A8">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2D9D8B33"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0FF1F3A1" w14:textId="77777777" w:rsidR="00000000" w:rsidRDefault="00A173A8">
            <w:pPr>
              <w:spacing w:after="100"/>
              <w:jc w:val="right"/>
              <w:rPr>
                <w:rFonts w:eastAsia="Times New Roman"/>
              </w:rPr>
            </w:pPr>
            <w:r>
              <w:rPr>
                <w:rFonts w:eastAsia="Times New Roman"/>
                <w:b/>
                <w:bCs/>
                <w:color w:val="000000"/>
                <w:sz w:val="20"/>
                <w:szCs w:val="20"/>
              </w:rPr>
              <w:t>280,756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501C2D2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FC580A"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CA625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2B2389" w14:textId="77777777" w:rsidR="00000000" w:rsidRDefault="00A173A8">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14:paraId="56FEEB47"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14:paraId="0C94D897" w14:textId="77777777" w:rsidR="00000000" w:rsidRDefault="00A173A8">
            <w:pPr>
              <w:spacing w:after="100"/>
              <w:jc w:val="right"/>
              <w:rPr>
                <w:rFonts w:eastAsia="Times New Roman"/>
              </w:rPr>
            </w:pPr>
            <w:r>
              <w:rPr>
                <w:rFonts w:eastAsia="Times New Roman"/>
                <w:color w:val="000000"/>
                <w:sz w:val="20"/>
                <w:szCs w:val="20"/>
              </w:rPr>
              <w:t>245,207 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4545CB8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D0BFA"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E12FD1" w14:textId="77777777" w:rsidR="00000000" w:rsidRDefault="00A173A8">
            <w:pPr>
              <w:spacing w:after="100"/>
              <w:rPr>
                <w:rFonts w:eastAsia="Times New Roman"/>
                <w:sz w:val="20"/>
                <w:szCs w:val="20"/>
              </w:rPr>
            </w:pPr>
          </w:p>
        </w:tc>
        <w:tc>
          <w:tcPr>
            <w:tcW w:w="0" w:type="auto"/>
            <w:gridSpan w:val="3"/>
            <w:vAlign w:val="center"/>
            <w:hideMark/>
          </w:tcPr>
          <w:p w14:paraId="79F42F07" w14:textId="77777777" w:rsidR="00000000" w:rsidRDefault="00A173A8">
            <w:pPr>
              <w:spacing w:after="100"/>
              <w:rPr>
                <w:rFonts w:eastAsia="Times New Roman"/>
                <w:sz w:val="20"/>
                <w:szCs w:val="20"/>
              </w:rPr>
            </w:pPr>
          </w:p>
        </w:tc>
        <w:tc>
          <w:tcPr>
            <w:tcW w:w="0" w:type="auto"/>
            <w:gridSpan w:val="3"/>
            <w:vAlign w:val="center"/>
            <w:hideMark/>
          </w:tcPr>
          <w:p w14:paraId="27BD1209" w14:textId="77777777" w:rsidR="00000000" w:rsidRDefault="00A173A8">
            <w:pPr>
              <w:spacing w:after="100"/>
              <w:rPr>
                <w:rFonts w:eastAsia="Times New Roman"/>
                <w:sz w:val="20"/>
                <w:szCs w:val="20"/>
              </w:rPr>
            </w:pPr>
          </w:p>
        </w:tc>
        <w:tc>
          <w:tcPr>
            <w:tcW w:w="0" w:type="auto"/>
            <w:gridSpan w:val="3"/>
            <w:vAlign w:val="center"/>
            <w:hideMark/>
          </w:tcPr>
          <w:p w14:paraId="1B69ABBA" w14:textId="77777777" w:rsidR="00000000" w:rsidRDefault="00A173A8">
            <w:pPr>
              <w:spacing w:after="100"/>
              <w:rPr>
                <w:rFonts w:eastAsia="Times New Roman"/>
                <w:sz w:val="20"/>
                <w:szCs w:val="20"/>
              </w:rPr>
            </w:pPr>
          </w:p>
        </w:tc>
        <w:tc>
          <w:tcPr>
            <w:tcW w:w="0" w:type="auto"/>
            <w:gridSpan w:val="2"/>
            <w:vAlign w:val="center"/>
            <w:hideMark/>
          </w:tcPr>
          <w:p w14:paraId="3FEDCAD9" w14:textId="77777777" w:rsidR="00000000" w:rsidRDefault="00A173A8">
            <w:pPr>
              <w:spacing w:after="100"/>
              <w:rPr>
                <w:rFonts w:eastAsia="Times New Roman"/>
                <w:sz w:val="20"/>
                <w:szCs w:val="20"/>
              </w:rPr>
            </w:pPr>
          </w:p>
        </w:tc>
      </w:tr>
    </w:tbl>
    <w:p w14:paraId="2BE71E1B" w14:textId="77777777" w:rsidR="00000000" w:rsidRDefault="00A173A8">
      <w:pPr>
        <w:divId w:val="2063481035"/>
        <w:rPr>
          <w:rFonts w:eastAsia="Times New Roman"/>
        </w:rPr>
      </w:pPr>
      <w:r>
        <w:rPr>
          <w:rFonts w:eastAsia="Times New Roman"/>
          <w:color w:val="000000"/>
          <w:sz w:val="20"/>
          <w:szCs w:val="20"/>
        </w:rPr>
        <w:t>__________</w:t>
      </w:r>
    </w:p>
    <w:p w14:paraId="5C7AC8F3" w14:textId="77777777" w:rsidR="00000000" w:rsidRDefault="00A173A8">
      <w:pPr>
        <w:ind w:hanging="360"/>
        <w:jc w:val="both"/>
        <w:divId w:val="128215211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Net charge-off (recovery) rates a</w:t>
      </w:r>
      <w:r>
        <w:rPr>
          <w:rFonts w:eastAsia="Times New Roman"/>
          <w:color w:val="000000"/>
          <w:sz w:val="16"/>
          <w:szCs w:val="16"/>
        </w:rPr>
        <w:t>re calculated by dividing annualized net charge-offs by average loans held for investment for the period for each loan category.</w:t>
      </w:r>
    </w:p>
    <w:p w14:paraId="6D7BF5A1" w14:textId="77777777" w:rsidR="00000000" w:rsidRDefault="00A173A8">
      <w:pPr>
        <w:divId w:val="2040818823"/>
        <w:rPr>
          <w:rFonts w:eastAsia="Times New Roman"/>
        </w:rPr>
      </w:pPr>
      <w:r>
        <w:rPr>
          <w:rFonts w:eastAsia="Times New Roman"/>
          <w:b/>
          <w:bCs/>
          <w:color w:val="000000"/>
          <w:sz w:val="20"/>
          <w:szCs w:val="20"/>
        </w:rPr>
        <w:t>Troubled Debt Restructurings</w:t>
      </w:r>
    </w:p>
    <w:p w14:paraId="478B1C25" w14:textId="77777777" w:rsidR="00000000" w:rsidRDefault="00A173A8">
      <w:pPr>
        <w:jc w:val="both"/>
        <w:divId w:val="523591072"/>
        <w:rPr>
          <w:rFonts w:eastAsia="Times New Roman"/>
        </w:rPr>
      </w:pPr>
      <w:r>
        <w:rPr>
          <w:rFonts w:eastAsia="Times New Roman"/>
          <w:color w:val="000000"/>
          <w:sz w:val="20"/>
          <w:szCs w:val="20"/>
        </w:rPr>
        <w:t>As part of our loss mitigation efforts, we may provide short-term (one to twelve months) or long-term (greater than twelve months) modifications to a borrower experiencing financial difficulty to improve long-term collectability of the loan and to avoid th</w:t>
      </w:r>
      <w:r>
        <w:rPr>
          <w:rFonts w:eastAsia="Times New Roman"/>
          <w:color w:val="000000"/>
          <w:sz w:val="20"/>
          <w:szCs w:val="20"/>
        </w:rPr>
        <w:t xml:space="preserve">e need for repossession or foreclosure of collateral. </w:t>
      </w:r>
    </w:p>
    <w:p w14:paraId="3EC39E9E" w14:textId="77777777" w:rsidR="00000000" w:rsidRDefault="00A173A8">
      <w:pPr>
        <w:jc w:val="both"/>
        <w:divId w:val="1452937631"/>
        <w:rPr>
          <w:rFonts w:eastAsia="Times New Roman"/>
        </w:rPr>
      </w:pPr>
      <w:r>
        <w:rPr>
          <w:rFonts w:eastAsia="Times New Roman"/>
          <w:color w:val="000000"/>
          <w:sz w:val="20"/>
          <w:szCs w:val="20"/>
        </w:rPr>
        <w:t>We consider the impact of all loan modifications, whether or not that modification is classified as a TDR, when estimating the credit quality of our loan portfolio and establishing allowance levels. Fo</w:t>
      </w:r>
      <w:r>
        <w:rPr>
          <w:rFonts w:eastAsia="Times New Roman"/>
          <w:color w:val="000000"/>
          <w:sz w:val="20"/>
          <w:szCs w:val="20"/>
        </w:rPr>
        <w:t>r our Commercial Banking customers, loan modifications are also considered in the assignment of an internal risk rating.</w:t>
      </w:r>
    </w:p>
    <w:p w14:paraId="71A8F1CE" w14:textId="77777777" w:rsidR="00000000" w:rsidRDefault="00A173A8">
      <w:pPr>
        <w:jc w:val="both"/>
        <w:divId w:val="334722878"/>
        <w:rPr>
          <w:rFonts w:eastAsia="Times New Roman"/>
        </w:rPr>
      </w:pPr>
      <w:r>
        <w:rPr>
          <w:rFonts w:eastAsia="Times New Roman"/>
          <w:color w:val="000000"/>
          <w:sz w:val="20"/>
          <w:szCs w:val="20"/>
        </w:rPr>
        <w:t>In our Credit Card business, the majority of our credit card loans modified as TDRs involve reducing the interest rate on the account a</w:t>
      </w:r>
      <w:r>
        <w:rPr>
          <w:rFonts w:eastAsia="Times New Roman"/>
          <w:color w:val="000000"/>
          <w:sz w:val="20"/>
          <w:szCs w:val="20"/>
        </w:rPr>
        <w:t xml:space="preserve">nd placing the customer on a fixed payment plan not exceeding 60 months. The effective interest rate on the loan immediately prior to the loan modification is used as the effective interest rate for purposes of measuring impairment using the present value </w:t>
      </w:r>
      <w:r>
        <w:rPr>
          <w:rFonts w:eastAsia="Times New Roman"/>
          <w:color w:val="000000"/>
          <w:sz w:val="20"/>
          <w:szCs w:val="20"/>
        </w:rPr>
        <w:t>of expected cash flows. If the customer does not comply with the modified payment terms, then the credit card loan agreement may revert to its original payment terms, generally resulting in any loan outstanding being reflected in the appropriate delinquenc</w:t>
      </w:r>
      <w:r>
        <w:rPr>
          <w:rFonts w:eastAsia="Times New Roman"/>
          <w:color w:val="000000"/>
          <w:sz w:val="20"/>
          <w:szCs w:val="20"/>
        </w:rPr>
        <w:t>y category and charged off in accordance with our standard charge-off policy.</w:t>
      </w:r>
    </w:p>
    <w:p w14:paraId="795166F1" w14:textId="77777777" w:rsidR="00000000" w:rsidRDefault="00A173A8">
      <w:pPr>
        <w:jc w:val="both"/>
        <w:divId w:val="820266767"/>
        <w:rPr>
          <w:rFonts w:eastAsia="Times New Roman"/>
        </w:rPr>
      </w:pPr>
      <w:r>
        <w:rPr>
          <w:rFonts w:eastAsia="Times New Roman"/>
          <w:color w:val="000000"/>
          <w:sz w:val="20"/>
          <w:szCs w:val="20"/>
        </w:rPr>
        <w:t>In our Consumer Banking business, the majority of our loans modified as TDRs receive an extension, an interest rate reduction, principal reduction, or a combination of these modi</w:t>
      </w:r>
      <w:r>
        <w:rPr>
          <w:rFonts w:eastAsia="Times New Roman"/>
          <w:color w:val="000000"/>
          <w:sz w:val="20"/>
          <w:szCs w:val="20"/>
        </w:rPr>
        <w:t>fications. In addition, TDRs also occur in connection with bankruptcy of the borrower. In certain bankruptcy discharges, the loan is written down to the collateral value and the charged off amount is reported as principal reduction. Impairment is determine</w:t>
      </w:r>
      <w:r>
        <w:rPr>
          <w:rFonts w:eastAsia="Times New Roman"/>
          <w:color w:val="000000"/>
          <w:sz w:val="20"/>
          <w:szCs w:val="20"/>
        </w:rPr>
        <w:t>d using the present value of expected cash flows or a collateral evaluation for certain auto loans where the collateral value is lower than the amortized cost.</w:t>
      </w:r>
    </w:p>
    <w:p w14:paraId="42E7162D" w14:textId="77777777" w:rsidR="00000000" w:rsidRDefault="00A173A8">
      <w:pPr>
        <w:jc w:val="both"/>
        <w:divId w:val="618226299"/>
        <w:rPr>
          <w:rFonts w:eastAsia="Times New Roman"/>
        </w:rPr>
      </w:pPr>
      <w:r>
        <w:rPr>
          <w:rFonts w:eastAsia="Times New Roman"/>
          <w:color w:val="000000"/>
          <w:sz w:val="20"/>
          <w:szCs w:val="20"/>
        </w:rPr>
        <w:t>In our Commercial Banking business, the majority of loans modified as TDRs receive an extension,</w:t>
      </w:r>
      <w:r>
        <w:rPr>
          <w:rFonts w:eastAsia="Times New Roman"/>
          <w:color w:val="000000"/>
          <w:sz w:val="20"/>
          <w:szCs w:val="20"/>
        </w:rPr>
        <w:t xml:space="preserve"> with a portion of these loans receiving an interest rate reduction or a gross balance reduction. The impairment on modified commercial loans is generally determined based on the underlying collateral value.</w:t>
      </w:r>
    </w:p>
    <w:p w14:paraId="364A821B" w14:textId="77777777" w:rsidR="00000000" w:rsidRDefault="00A173A8">
      <w:pPr>
        <w:jc w:val="both"/>
        <w:divId w:val="523980565"/>
        <w:rPr>
          <w:rFonts w:eastAsia="Times New Roman"/>
        </w:rPr>
      </w:pPr>
      <w:r>
        <w:rPr>
          <w:rFonts w:eastAsia="Times New Roman"/>
          <w:color w:val="000000"/>
          <w:sz w:val="20"/>
          <w:szCs w:val="20"/>
        </w:rPr>
        <w:t>As part of our response to the COVID-19 pandemic</w:t>
      </w:r>
      <w:r>
        <w:rPr>
          <w:rFonts w:eastAsia="Times New Roman"/>
          <w:color w:val="000000"/>
          <w:sz w:val="20"/>
          <w:szCs w:val="20"/>
        </w:rPr>
        <w:t xml:space="preserve">, we offered programs to accommodate customer hardship across our lines of business beginning in the first quarter of 2020. Our COVID-19 programs were designed to be short-term accommodations so that we could provide our customers with prompt relief. Also </w:t>
      </w:r>
      <w:r>
        <w:rPr>
          <w:rFonts w:eastAsia="Times New Roman"/>
          <w:color w:val="000000"/>
          <w:sz w:val="20"/>
          <w:szCs w:val="20"/>
        </w:rPr>
        <w:t>in response to the COVID-19 pandemic, additional guidance was issued by the Federal Banking Agencies and contained in the Coronavirus Aid, Relief, and Economic Security Act (“CARES Act”) which provided banking organizations with TDR relief for loan modific</w:t>
      </w:r>
      <w:r>
        <w:rPr>
          <w:rFonts w:eastAsia="Times New Roman"/>
          <w:color w:val="000000"/>
          <w:sz w:val="20"/>
          <w:szCs w:val="20"/>
        </w:rPr>
        <w:t>ations to certain qualifying borrowers impacted by the COVID-19 pandemic.</w:t>
      </w:r>
    </w:p>
    <w:p w14:paraId="636E23C4" w14:textId="77777777" w:rsidR="00000000" w:rsidRDefault="00A173A8">
      <w:pPr>
        <w:jc w:val="both"/>
        <w:divId w:val="56364320"/>
        <w:rPr>
          <w:rFonts w:eastAsia="Times New Roman"/>
        </w:rPr>
      </w:pPr>
      <w:r>
        <w:rPr>
          <w:rFonts w:eastAsia="Times New Roman"/>
          <w:color w:val="000000"/>
          <w:sz w:val="20"/>
          <w:szCs w:val="20"/>
        </w:rPr>
        <w:t>While the majority of enrollments in our COVID-19 programs were short-term and would generally not have resulted in TDR classification under our existing policies, some of these modi</w:t>
      </w:r>
      <w:r>
        <w:rPr>
          <w:rFonts w:eastAsia="Times New Roman"/>
          <w:color w:val="000000"/>
          <w:sz w:val="20"/>
          <w:szCs w:val="20"/>
        </w:rPr>
        <w:t xml:space="preserve">fication would have been designated as TDRs without the relief provided by the additional guidance issued by the Federal Banking Agencies and contained in the CARES Act. Therefore,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D930063" w14:textId="77777777">
        <w:trPr>
          <w:divId w:val="1259675397"/>
          <w:jc w:val="center"/>
        </w:trPr>
        <w:tc>
          <w:tcPr>
            <w:tcW w:w="50" w:type="pct"/>
            <w:vAlign w:val="center"/>
            <w:hideMark/>
          </w:tcPr>
          <w:p w14:paraId="135F0DDE" w14:textId="77777777" w:rsidR="00000000" w:rsidRDefault="00A173A8">
            <w:pPr>
              <w:jc w:val="both"/>
              <w:rPr>
                <w:rFonts w:eastAsia="Times New Roman"/>
              </w:rPr>
            </w:pPr>
          </w:p>
        </w:tc>
        <w:tc>
          <w:tcPr>
            <w:tcW w:w="1606" w:type="pct"/>
            <w:vAlign w:val="center"/>
            <w:hideMark/>
          </w:tcPr>
          <w:p w14:paraId="40A3B432" w14:textId="77777777" w:rsidR="00000000" w:rsidRDefault="00A173A8">
            <w:pPr>
              <w:spacing w:after="100"/>
              <w:rPr>
                <w:rFonts w:eastAsia="Times New Roman"/>
                <w:sz w:val="20"/>
                <w:szCs w:val="20"/>
              </w:rPr>
            </w:pPr>
          </w:p>
        </w:tc>
        <w:tc>
          <w:tcPr>
            <w:tcW w:w="5" w:type="pct"/>
            <w:vAlign w:val="center"/>
            <w:hideMark/>
          </w:tcPr>
          <w:p w14:paraId="6344C4FE" w14:textId="77777777" w:rsidR="00000000" w:rsidRDefault="00A173A8">
            <w:pPr>
              <w:spacing w:after="100"/>
              <w:rPr>
                <w:rFonts w:eastAsia="Times New Roman"/>
                <w:sz w:val="20"/>
                <w:szCs w:val="20"/>
              </w:rPr>
            </w:pPr>
          </w:p>
        </w:tc>
        <w:tc>
          <w:tcPr>
            <w:tcW w:w="50" w:type="pct"/>
            <w:vAlign w:val="center"/>
            <w:hideMark/>
          </w:tcPr>
          <w:p w14:paraId="60463484" w14:textId="77777777" w:rsidR="00000000" w:rsidRDefault="00A173A8">
            <w:pPr>
              <w:spacing w:after="100"/>
              <w:rPr>
                <w:rFonts w:eastAsia="Times New Roman"/>
                <w:sz w:val="20"/>
                <w:szCs w:val="20"/>
              </w:rPr>
            </w:pPr>
          </w:p>
        </w:tc>
        <w:tc>
          <w:tcPr>
            <w:tcW w:w="1614" w:type="pct"/>
            <w:vAlign w:val="center"/>
            <w:hideMark/>
          </w:tcPr>
          <w:p w14:paraId="0059898B" w14:textId="77777777" w:rsidR="00000000" w:rsidRDefault="00A173A8">
            <w:pPr>
              <w:spacing w:after="100"/>
              <w:rPr>
                <w:rFonts w:eastAsia="Times New Roman"/>
                <w:sz w:val="20"/>
                <w:szCs w:val="20"/>
              </w:rPr>
            </w:pPr>
          </w:p>
        </w:tc>
        <w:tc>
          <w:tcPr>
            <w:tcW w:w="5" w:type="pct"/>
            <w:vAlign w:val="center"/>
            <w:hideMark/>
          </w:tcPr>
          <w:p w14:paraId="05FE47F5" w14:textId="77777777" w:rsidR="00000000" w:rsidRDefault="00A173A8">
            <w:pPr>
              <w:spacing w:after="100"/>
              <w:rPr>
                <w:rFonts w:eastAsia="Times New Roman"/>
                <w:sz w:val="20"/>
                <w:szCs w:val="20"/>
              </w:rPr>
            </w:pPr>
          </w:p>
        </w:tc>
        <w:tc>
          <w:tcPr>
            <w:tcW w:w="50" w:type="pct"/>
            <w:vAlign w:val="center"/>
            <w:hideMark/>
          </w:tcPr>
          <w:p w14:paraId="071B26CD" w14:textId="77777777" w:rsidR="00000000" w:rsidRDefault="00A173A8">
            <w:pPr>
              <w:spacing w:after="100"/>
              <w:rPr>
                <w:rFonts w:eastAsia="Times New Roman"/>
                <w:sz w:val="20"/>
                <w:szCs w:val="20"/>
              </w:rPr>
            </w:pPr>
          </w:p>
        </w:tc>
        <w:tc>
          <w:tcPr>
            <w:tcW w:w="1614" w:type="pct"/>
            <w:vAlign w:val="center"/>
            <w:hideMark/>
          </w:tcPr>
          <w:p w14:paraId="37AC2914" w14:textId="77777777" w:rsidR="00000000" w:rsidRDefault="00A173A8">
            <w:pPr>
              <w:spacing w:after="100"/>
              <w:rPr>
                <w:rFonts w:eastAsia="Times New Roman"/>
                <w:sz w:val="20"/>
                <w:szCs w:val="20"/>
              </w:rPr>
            </w:pPr>
          </w:p>
        </w:tc>
        <w:tc>
          <w:tcPr>
            <w:tcW w:w="5" w:type="pct"/>
            <w:vAlign w:val="center"/>
            <w:hideMark/>
          </w:tcPr>
          <w:p w14:paraId="62B0A411" w14:textId="77777777" w:rsidR="00000000" w:rsidRDefault="00A173A8">
            <w:pPr>
              <w:spacing w:after="100"/>
              <w:rPr>
                <w:rFonts w:eastAsia="Times New Roman"/>
                <w:sz w:val="20"/>
                <w:szCs w:val="20"/>
              </w:rPr>
            </w:pPr>
          </w:p>
        </w:tc>
      </w:tr>
      <w:tr w:rsidR="00000000" w14:paraId="5B2CF6B8" w14:textId="77777777">
        <w:trPr>
          <w:divId w:val="1259675397"/>
          <w:trHeight w:val="300"/>
          <w:jc w:val="center"/>
        </w:trPr>
        <w:tc>
          <w:tcPr>
            <w:tcW w:w="0" w:type="auto"/>
            <w:gridSpan w:val="9"/>
            <w:tcMar>
              <w:top w:w="0" w:type="dxa"/>
              <w:left w:w="20" w:type="dxa"/>
              <w:bottom w:w="0" w:type="dxa"/>
              <w:right w:w="20" w:type="dxa"/>
            </w:tcMar>
            <w:vAlign w:val="center"/>
            <w:hideMark/>
          </w:tcPr>
          <w:p w14:paraId="7B829221" w14:textId="77777777" w:rsidR="00000000" w:rsidRDefault="00A173A8">
            <w:pPr>
              <w:spacing w:after="100"/>
              <w:rPr>
                <w:rFonts w:eastAsia="Times New Roman"/>
                <w:sz w:val="20"/>
                <w:szCs w:val="20"/>
              </w:rPr>
            </w:pPr>
          </w:p>
        </w:tc>
      </w:tr>
      <w:tr w:rsidR="00000000" w14:paraId="02E1202D" w14:textId="77777777">
        <w:trPr>
          <w:divId w:val="1259675397"/>
          <w:jc w:val="center"/>
        </w:trPr>
        <w:tc>
          <w:tcPr>
            <w:tcW w:w="0" w:type="auto"/>
            <w:gridSpan w:val="3"/>
            <w:tcMar>
              <w:top w:w="0" w:type="dxa"/>
              <w:left w:w="20" w:type="dxa"/>
              <w:bottom w:w="0" w:type="dxa"/>
              <w:right w:w="20" w:type="dxa"/>
            </w:tcMar>
            <w:vAlign w:val="center"/>
            <w:hideMark/>
          </w:tcPr>
          <w:p w14:paraId="6701DF1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DD74A12" w14:textId="77777777" w:rsidR="00000000" w:rsidRDefault="00A173A8">
            <w:pPr>
              <w:spacing w:after="100"/>
              <w:jc w:val="center"/>
              <w:rPr>
                <w:rFonts w:eastAsia="Times New Roman"/>
              </w:rPr>
            </w:pPr>
            <w:r>
              <w:rPr>
                <w:rFonts w:eastAsia="Times New Roman"/>
                <w:color w:val="000000"/>
                <w:sz w:val="16"/>
                <w:szCs w:val="16"/>
              </w:rPr>
              <w:t>43</w:t>
            </w:r>
          </w:p>
        </w:tc>
        <w:tc>
          <w:tcPr>
            <w:tcW w:w="0" w:type="auto"/>
            <w:gridSpan w:val="3"/>
            <w:tcMar>
              <w:top w:w="30" w:type="dxa"/>
              <w:left w:w="20" w:type="dxa"/>
              <w:bottom w:w="30" w:type="dxa"/>
              <w:right w:w="20" w:type="dxa"/>
            </w:tcMar>
            <w:vAlign w:val="bottom"/>
            <w:hideMark/>
          </w:tcPr>
          <w:p w14:paraId="5741658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19C04F0" w14:textId="77777777" w:rsidR="00000000" w:rsidRDefault="00A173A8">
      <w:pPr>
        <w:rPr>
          <w:rFonts w:eastAsia="Times New Roman"/>
        </w:rPr>
      </w:pPr>
      <w:r>
        <w:rPr>
          <w:rFonts w:eastAsia="Times New Roman"/>
        </w:rPr>
        <w:pict w14:anchorId="7DF3508A">
          <v:rect id="_x0000_i1068" style="width:0;height:1.5pt" o:hralign="center" o:hrstd="t" o:hr="t" fillcolor="#a0a0a0" stroked="f"/>
        </w:pict>
      </w:r>
    </w:p>
    <w:p w14:paraId="29763393" w14:textId="77777777" w:rsidR="00000000" w:rsidRDefault="00A173A8">
      <w:pPr>
        <w:ind w:hanging="360"/>
        <w:jc w:val="both"/>
        <w:divId w:val="573008879"/>
        <w:rPr>
          <w:rFonts w:eastAsia="Times New Roman"/>
        </w:rPr>
      </w:pPr>
      <w:hyperlink w:anchor="i7ffd5d61af6f4722b1b1b07530d51c06_13" w:history="1">
        <w:r>
          <w:rPr>
            <w:rStyle w:val="a3"/>
            <w:rFonts w:eastAsia="Times New Roman"/>
            <w:sz w:val="16"/>
            <w:szCs w:val="16"/>
          </w:rPr>
          <w:t>Table of Contents</w:t>
        </w:r>
      </w:hyperlink>
    </w:p>
    <w:p w14:paraId="36A5445A" w14:textId="77777777" w:rsidR="00000000" w:rsidRDefault="00A173A8">
      <w:pPr>
        <w:jc w:val="both"/>
        <w:divId w:val="2069376607"/>
        <w:rPr>
          <w:rFonts w:eastAsia="Times New Roman"/>
        </w:rPr>
      </w:pPr>
      <w:r>
        <w:rPr>
          <w:rFonts w:eastAsia="Times New Roman"/>
          <w:color w:val="000000"/>
          <w:sz w:val="20"/>
          <w:szCs w:val="20"/>
        </w:rPr>
        <w:t>expiry of the guidance in the CARES Act on January 1, 2022, along with our concurrent cessation in applying the additional guidance issued by t</w:t>
      </w:r>
      <w:r>
        <w:rPr>
          <w:rFonts w:eastAsia="Times New Roman"/>
          <w:color w:val="000000"/>
          <w:sz w:val="20"/>
          <w:szCs w:val="20"/>
        </w:rPr>
        <w:t>he Federal Banking Agencies, drove an increase in reported TDRs for periods ending after December 31, 2021.</w:t>
      </w:r>
    </w:p>
    <w:p w14:paraId="7D3C0224" w14:textId="77777777" w:rsidR="00000000" w:rsidRDefault="00A173A8">
      <w:pPr>
        <w:jc w:val="both"/>
        <w:divId w:val="1989283378"/>
        <w:rPr>
          <w:rFonts w:eastAsia="Times New Roman"/>
        </w:rPr>
      </w:pPr>
      <w:r>
        <w:rPr>
          <w:rFonts w:eastAsia="Times New Roman"/>
          <w:color w:val="000000"/>
          <w:sz w:val="20"/>
          <w:szCs w:val="20"/>
        </w:rPr>
        <w:t>Table 27 presents our amortized cost of loans modified in TDR as of June 30, 2022 and December 31, 2021, which excludes loan modifications that do n</w:t>
      </w:r>
      <w:r>
        <w:rPr>
          <w:rFonts w:eastAsia="Times New Roman"/>
          <w:color w:val="000000"/>
          <w:sz w:val="20"/>
          <w:szCs w:val="20"/>
        </w:rPr>
        <w:t>ot meet the definition of a TDR.</w:t>
      </w:r>
    </w:p>
    <w:p w14:paraId="022B09EE" w14:textId="77777777" w:rsidR="00000000" w:rsidRDefault="00A173A8">
      <w:pPr>
        <w:divId w:val="455568387"/>
        <w:rPr>
          <w:rFonts w:eastAsia="Times New Roman"/>
        </w:rPr>
      </w:pPr>
      <w:r>
        <w:rPr>
          <w:rFonts w:eastAsia="Times New Roman"/>
          <w:b/>
          <w:bCs/>
          <w:color w:val="000000"/>
          <w:sz w:val="18"/>
          <w:szCs w:val="18"/>
        </w:rPr>
        <w:t>Table 27: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41"/>
        <w:gridCol w:w="4127"/>
        <w:gridCol w:w="39"/>
        <w:gridCol w:w="36"/>
        <w:gridCol w:w="36"/>
        <w:gridCol w:w="36"/>
        <w:gridCol w:w="120"/>
        <w:gridCol w:w="500"/>
        <w:gridCol w:w="36"/>
        <w:gridCol w:w="36"/>
        <w:gridCol w:w="36"/>
        <w:gridCol w:w="36"/>
        <w:gridCol w:w="94"/>
        <w:gridCol w:w="880"/>
        <w:gridCol w:w="220"/>
        <w:gridCol w:w="36"/>
        <w:gridCol w:w="36"/>
        <w:gridCol w:w="36"/>
        <w:gridCol w:w="120"/>
        <w:gridCol w:w="500"/>
        <w:gridCol w:w="36"/>
        <w:gridCol w:w="36"/>
        <w:gridCol w:w="36"/>
        <w:gridCol w:w="36"/>
        <w:gridCol w:w="94"/>
        <w:gridCol w:w="880"/>
        <w:gridCol w:w="187"/>
      </w:tblGrid>
      <w:tr w:rsidR="00000000" w14:paraId="7B133701" w14:textId="77777777">
        <w:trPr>
          <w:divId w:val="538934321"/>
        </w:trPr>
        <w:tc>
          <w:tcPr>
            <w:tcW w:w="50" w:type="pct"/>
            <w:vAlign w:val="center"/>
            <w:hideMark/>
          </w:tcPr>
          <w:p w14:paraId="4828A3D6" w14:textId="77777777" w:rsidR="00000000" w:rsidRDefault="00A173A8">
            <w:pPr>
              <w:rPr>
                <w:rFonts w:eastAsia="Times New Roman"/>
              </w:rPr>
            </w:pPr>
          </w:p>
        </w:tc>
        <w:tc>
          <w:tcPr>
            <w:tcW w:w="2693" w:type="pct"/>
            <w:vAlign w:val="center"/>
            <w:hideMark/>
          </w:tcPr>
          <w:p w14:paraId="5A22214F" w14:textId="77777777" w:rsidR="00000000" w:rsidRDefault="00A173A8">
            <w:pPr>
              <w:spacing w:after="100"/>
              <w:rPr>
                <w:rFonts w:eastAsia="Times New Roman"/>
                <w:sz w:val="20"/>
                <w:szCs w:val="20"/>
              </w:rPr>
            </w:pPr>
          </w:p>
        </w:tc>
        <w:tc>
          <w:tcPr>
            <w:tcW w:w="5" w:type="pct"/>
            <w:vAlign w:val="center"/>
            <w:hideMark/>
          </w:tcPr>
          <w:p w14:paraId="6A64B900" w14:textId="77777777" w:rsidR="00000000" w:rsidRDefault="00A173A8">
            <w:pPr>
              <w:spacing w:after="100"/>
              <w:rPr>
                <w:rFonts w:eastAsia="Times New Roman"/>
                <w:sz w:val="20"/>
                <w:szCs w:val="20"/>
              </w:rPr>
            </w:pPr>
          </w:p>
        </w:tc>
        <w:tc>
          <w:tcPr>
            <w:tcW w:w="5" w:type="pct"/>
            <w:vAlign w:val="center"/>
            <w:hideMark/>
          </w:tcPr>
          <w:p w14:paraId="351A2505" w14:textId="77777777" w:rsidR="00000000" w:rsidRDefault="00A173A8">
            <w:pPr>
              <w:spacing w:after="100"/>
              <w:rPr>
                <w:rFonts w:eastAsia="Times New Roman"/>
                <w:sz w:val="20"/>
                <w:szCs w:val="20"/>
              </w:rPr>
            </w:pPr>
          </w:p>
        </w:tc>
        <w:tc>
          <w:tcPr>
            <w:tcW w:w="26" w:type="pct"/>
            <w:vAlign w:val="center"/>
            <w:hideMark/>
          </w:tcPr>
          <w:p w14:paraId="470AF97F" w14:textId="77777777" w:rsidR="00000000" w:rsidRDefault="00A173A8">
            <w:pPr>
              <w:spacing w:after="100"/>
              <w:rPr>
                <w:rFonts w:eastAsia="Times New Roman"/>
                <w:sz w:val="20"/>
                <w:szCs w:val="20"/>
              </w:rPr>
            </w:pPr>
          </w:p>
        </w:tc>
        <w:tc>
          <w:tcPr>
            <w:tcW w:w="5" w:type="pct"/>
            <w:vAlign w:val="center"/>
            <w:hideMark/>
          </w:tcPr>
          <w:p w14:paraId="0B125E53" w14:textId="77777777" w:rsidR="00000000" w:rsidRDefault="00A173A8">
            <w:pPr>
              <w:spacing w:after="100"/>
              <w:rPr>
                <w:rFonts w:eastAsia="Times New Roman"/>
                <w:sz w:val="20"/>
                <w:szCs w:val="20"/>
              </w:rPr>
            </w:pPr>
          </w:p>
        </w:tc>
        <w:tc>
          <w:tcPr>
            <w:tcW w:w="50" w:type="pct"/>
            <w:vAlign w:val="center"/>
            <w:hideMark/>
          </w:tcPr>
          <w:p w14:paraId="5AB939D1" w14:textId="77777777" w:rsidR="00000000" w:rsidRDefault="00A173A8">
            <w:pPr>
              <w:spacing w:after="100"/>
              <w:rPr>
                <w:rFonts w:eastAsia="Times New Roman"/>
                <w:sz w:val="20"/>
                <w:szCs w:val="20"/>
              </w:rPr>
            </w:pPr>
          </w:p>
        </w:tc>
        <w:tc>
          <w:tcPr>
            <w:tcW w:w="471" w:type="pct"/>
            <w:vAlign w:val="center"/>
            <w:hideMark/>
          </w:tcPr>
          <w:p w14:paraId="0EEBF274" w14:textId="77777777" w:rsidR="00000000" w:rsidRDefault="00A173A8">
            <w:pPr>
              <w:spacing w:after="100"/>
              <w:rPr>
                <w:rFonts w:eastAsia="Times New Roman"/>
                <w:sz w:val="20"/>
                <w:szCs w:val="20"/>
              </w:rPr>
            </w:pPr>
          </w:p>
        </w:tc>
        <w:tc>
          <w:tcPr>
            <w:tcW w:w="5" w:type="pct"/>
            <w:vAlign w:val="center"/>
            <w:hideMark/>
          </w:tcPr>
          <w:p w14:paraId="0CC0F25C" w14:textId="77777777" w:rsidR="00000000" w:rsidRDefault="00A173A8">
            <w:pPr>
              <w:spacing w:after="100"/>
              <w:rPr>
                <w:rFonts w:eastAsia="Times New Roman"/>
                <w:sz w:val="20"/>
                <w:szCs w:val="20"/>
              </w:rPr>
            </w:pPr>
          </w:p>
        </w:tc>
        <w:tc>
          <w:tcPr>
            <w:tcW w:w="5" w:type="pct"/>
            <w:vAlign w:val="center"/>
            <w:hideMark/>
          </w:tcPr>
          <w:p w14:paraId="611E58F6" w14:textId="77777777" w:rsidR="00000000" w:rsidRDefault="00A173A8">
            <w:pPr>
              <w:spacing w:after="100"/>
              <w:rPr>
                <w:rFonts w:eastAsia="Times New Roman"/>
                <w:sz w:val="20"/>
                <w:szCs w:val="20"/>
              </w:rPr>
            </w:pPr>
          </w:p>
        </w:tc>
        <w:tc>
          <w:tcPr>
            <w:tcW w:w="26" w:type="pct"/>
            <w:vAlign w:val="center"/>
            <w:hideMark/>
          </w:tcPr>
          <w:p w14:paraId="6447AF47" w14:textId="77777777" w:rsidR="00000000" w:rsidRDefault="00A173A8">
            <w:pPr>
              <w:spacing w:after="100"/>
              <w:rPr>
                <w:rFonts w:eastAsia="Times New Roman"/>
                <w:sz w:val="20"/>
                <w:szCs w:val="20"/>
              </w:rPr>
            </w:pPr>
          </w:p>
        </w:tc>
        <w:tc>
          <w:tcPr>
            <w:tcW w:w="5" w:type="pct"/>
            <w:vAlign w:val="center"/>
            <w:hideMark/>
          </w:tcPr>
          <w:p w14:paraId="2D1C35CC" w14:textId="77777777" w:rsidR="00000000" w:rsidRDefault="00A173A8">
            <w:pPr>
              <w:spacing w:after="100"/>
              <w:rPr>
                <w:rFonts w:eastAsia="Times New Roman"/>
                <w:sz w:val="20"/>
                <w:szCs w:val="20"/>
              </w:rPr>
            </w:pPr>
          </w:p>
        </w:tc>
        <w:tc>
          <w:tcPr>
            <w:tcW w:w="50" w:type="pct"/>
            <w:vAlign w:val="center"/>
            <w:hideMark/>
          </w:tcPr>
          <w:p w14:paraId="2E48A861" w14:textId="77777777" w:rsidR="00000000" w:rsidRDefault="00A173A8">
            <w:pPr>
              <w:spacing w:after="100"/>
              <w:rPr>
                <w:rFonts w:eastAsia="Times New Roman"/>
                <w:sz w:val="20"/>
                <w:szCs w:val="20"/>
              </w:rPr>
            </w:pPr>
          </w:p>
        </w:tc>
        <w:tc>
          <w:tcPr>
            <w:tcW w:w="471" w:type="pct"/>
            <w:vAlign w:val="center"/>
            <w:hideMark/>
          </w:tcPr>
          <w:p w14:paraId="34705FD7" w14:textId="77777777" w:rsidR="00000000" w:rsidRDefault="00A173A8">
            <w:pPr>
              <w:spacing w:after="100"/>
              <w:rPr>
                <w:rFonts w:eastAsia="Times New Roman"/>
                <w:sz w:val="20"/>
                <w:szCs w:val="20"/>
              </w:rPr>
            </w:pPr>
          </w:p>
        </w:tc>
        <w:tc>
          <w:tcPr>
            <w:tcW w:w="5" w:type="pct"/>
            <w:vAlign w:val="center"/>
            <w:hideMark/>
          </w:tcPr>
          <w:p w14:paraId="56198356" w14:textId="77777777" w:rsidR="00000000" w:rsidRDefault="00A173A8">
            <w:pPr>
              <w:spacing w:after="100"/>
              <w:rPr>
                <w:rFonts w:eastAsia="Times New Roman"/>
                <w:sz w:val="20"/>
                <w:szCs w:val="20"/>
              </w:rPr>
            </w:pPr>
          </w:p>
        </w:tc>
        <w:tc>
          <w:tcPr>
            <w:tcW w:w="5" w:type="pct"/>
            <w:vAlign w:val="center"/>
            <w:hideMark/>
          </w:tcPr>
          <w:p w14:paraId="2BD057FB" w14:textId="77777777" w:rsidR="00000000" w:rsidRDefault="00A173A8">
            <w:pPr>
              <w:spacing w:after="100"/>
              <w:rPr>
                <w:rFonts w:eastAsia="Times New Roman"/>
                <w:sz w:val="20"/>
                <w:szCs w:val="20"/>
              </w:rPr>
            </w:pPr>
          </w:p>
        </w:tc>
        <w:tc>
          <w:tcPr>
            <w:tcW w:w="26" w:type="pct"/>
            <w:vAlign w:val="center"/>
            <w:hideMark/>
          </w:tcPr>
          <w:p w14:paraId="72CBF493" w14:textId="77777777" w:rsidR="00000000" w:rsidRDefault="00A173A8">
            <w:pPr>
              <w:spacing w:after="100"/>
              <w:rPr>
                <w:rFonts w:eastAsia="Times New Roman"/>
                <w:sz w:val="20"/>
                <w:szCs w:val="20"/>
              </w:rPr>
            </w:pPr>
          </w:p>
        </w:tc>
        <w:tc>
          <w:tcPr>
            <w:tcW w:w="5" w:type="pct"/>
            <w:vAlign w:val="center"/>
            <w:hideMark/>
          </w:tcPr>
          <w:p w14:paraId="157294AE" w14:textId="77777777" w:rsidR="00000000" w:rsidRDefault="00A173A8">
            <w:pPr>
              <w:spacing w:after="100"/>
              <w:rPr>
                <w:rFonts w:eastAsia="Times New Roman"/>
                <w:sz w:val="20"/>
                <w:szCs w:val="20"/>
              </w:rPr>
            </w:pPr>
          </w:p>
        </w:tc>
        <w:tc>
          <w:tcPr>
            <w:tcW w:w="50" w:type="pct"/>
            <w:vAlign w:val="center"/>
            <w:hideMark/>
          </w:tcPr>
          <w:p w14:paraId="67BE92A1" w14:textId="77777777" w:rsidR="00000000" w:rsidRDefault="00A173A8">
            <w:pPr>
              <w:spacing w:after="100"/>
              <w:rPr>
                <w:rFonts w:eastAsia="Times New Roman"/>
                <w:sz w:val="20"/>
                <w:szCs w:val="20"/>
              </w:rPr>
            </w:pPr>
          </w:p>
        </w:tc>
        <w:tc>
          <w:tcPr>
            <w:tcW w:w="471" w:type="pct"/>
            <w:vAlign w:val="center"/>
            <w:hideMark/>
          </w:tcPr>
          <w:p w14:paraId="150C05E7" w14:textId="77777777" w:rsidR="00000000" w:rsidRDefault="00A173A8">
            <w:pPr>
              <w:spacing w:after="100"/>
              <w:rPr>
                <w:rFonts w:eastAsia="Times New Roman"/>
                <w:sz w:val="20"/>
                <w:szCs w:val="20"/>
              </w:rPr>
            </w:pPr>
          </w:p>
        </w:tc>
        <w:tc>
          <w:tcPr>
            <w:tcW w:w="5" w:type="pct"/>
            <w:vAlign w:val="center"/>
            <w:hideMark/>
          </w:tcPr>
          <w:p w14:paraId="094B397A" w14:textId="77777777" w:rsidR="00000000" w:rsidRDefault="00A173A8">
            <w:pPr>
              <w:spacing w:after="100"/>
              <w:rPr>
                <w:rFonts w:eastAsia="Times New Roman"/>
                <w:sz w:val="20"/>
                <w:szCs w:val="20"/>
              </w:rPr>
            </w:pPr>
          </w:p>
        </w:tc>
        <w:tc>
          <w:tcPr>
            <w:tcW w:w="5" w:type="pct"/>
            <w:vAlign w:val="center"/>
            <w:hideMark/>
          </w:tcPr>
          <w:p w14:paraId="25E8A688" w14:textId="77777777" w:rsidR="00000000" w:rsidRDefault="00A173A8">
            <w:pPr>
              <w:spacing w:after="100"/>
              <w:rPr>
                <w:rFonts w:eastAsia="Times New Roman"/>
                <w:sz w:val="20"/>
                <w:szCs w:val="20"/>
              </w:rPr>
            </w:pPr>
          </w:p>
        </w:tc>
        <w:tc>
          <w:tcPr>
            <w:tcW w:w="26" w:type="pct"/>
            <w:vAlign w:val="center"/>
            <w:hideMark/>
          </w:tcPr>
          <w:p w14:paraId="6949857F" w14:textId="77777777" w:rsidR="00000000" w:rsidRDefault="00A173A8">
            <w:pPr>
              <w:spacing w:after="100"/>
              <w:rPr>
                <w:rFonts w:eastAsia="Times New Roman"/>
                <w:sz w:val="20"/>
                <w:szCs w:val="20"/>
              </w:rPr>
            </w:pPr>
          </w:p>
        </w:tc>
        <w:tc>
          <w:tcPr>
            <w:tcW w:w="5" w:type="pct"/>
            <w:vAlign w:val="center"/>
            <w:hideMark/>
          </w:tcPr>
          <w:p w14:paraId="44934E06" w14:textId="77777777" w:rsidR="00000000" w:rsidRDefault="00A173A8">
            <w:pPr>
              <w:spacing w:after="100"/>
              <w:rPr>
                <w:rFonts w:eastAsia="Times New Roman"/>
                <w:sz w:val="20"/>
                <w:szCs w:val="20"/>
              </w:rPr>
            </w:pPr>
          </w:p>
        </w:tc>
        <w:tc>
          <w:tcPr>
            <w:tcW w:w="50" w:type="pct"/>
            <w:vAlign w:val="center"/>
            <w:hideMark/>
          </w:tcPr>
          <w:p w14:paraId="622523CE" w14:textId="77777777" w:rsidR="00000000" w:rsidRDefault="00A173A8">
            <w:pPr>
              <w:spacing w:after="100"/>
              <w:rPr>
                <w:rFonts w:eastAsia="Times New Roman"/>
                <w:sz w:val="20"/>
                <w:szCs w:val="20"/>
              </w:rPr>
            </w:pPr>
          </w:p>
        </w:tc>
        <w:tc>
          <w:tcPr>
            <w:tcW w:w="471" w:type="pct"/>
            <w:vAlign w:val="center"/>
            <w:hideMark/>
          </w:tcPr>
          <w:p w14:paraId="45DB77B1" w14:textId="77777777" w:rsidR="00000000" w:rsidRDefault="00A173A8">
            <w:pPr>
              <w:spacing w:after="100"/>
              <w:rPr>
                <w:rFonts w:eastAsia="Times New Roman"/>
                <w:sz w:val="20"/>
                <w:szCs w:val="20"/>
              </w:rPr>
            </w:pPr>
          </w:p>
        </w:tc>
        <w:tc>
          <w:tcPr>
            <w:tcW w:w="5" w:type="pct"/>
            <w:vAlign w:val="center"/>
            <w:hideMark/>
          </w:tcPr>
          <w:p w14:paraId="0F8BA3AF" w14:textId="77777777" w:rsidR="00000000" w:rsidRDefault="00A173A8">
            <w:pPr>
              <w:spacing w:after="100"/>
              <w:rPr>
                <w:rFonts w:eastAsia="Times New Roman"/>
                <w:sz w:val="20"/>
                <w:szCs w:val="20"/>
              </w:rPr>
            </w:pPr>
          </w:p>
        </w:tc>
      </w:tr>
      <w:tr w:rsidR="00000000" w14:paraId="7EDFDBF5" w14:textId="77777777">
        <w:trPr>
          <w:divId w:val="538934321"/>
        </w:trPr>
        <w:tc>
          <w:tcPr>
            <w:tcW w:w="0" w:type="auto"/>
            <w:gridSpan w:val="3"/>
            <w:tcMar>
              <w:top w:w="30" w:type="dxa"/>
              <w:left w:w="245" w:type="dxa"/>
              <w:bottom w:w="30" w:type="dxa"/>
              <w:right w:w="20" w:type="dxa"/>
            </w:tcMar>
            <w:vAlign w:val="center"/>
            <w:hideMark/>
          </w:tcPr>
          <w:p w14:paraId="2B3217AD" w14:textId="77777777" w:rsidR="00000000" w:rsidRDefault="00A173A8">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BC31A7F" w14:textId="77777777" w:rsidR="00000000" w:rsidRDefault="00A173A8">
            <w:pPr>
              <w:spacing w:after="100"/>
              <w:rPr>
                <w:rFonts w:eastAsia="Times New Roman"/>
              </w:rPr>
            </w:pPr>
          </w:p>
        </w:tc>
        <w:tc>
          <w:tcPr>
            <w:tcW w:w="0" w:type="auto"/>
            <w:gridSpan w:val="9"/>
            <w:tcMar>
              <w:top w:w="30" w:type="dxa"/>
              <w:left w:w="20" w:type="dxa"/>
              <w:bottom w:w="30" w:type="dxa"/>
              <w:right w:w="20" w:type="dxa"/>
            </w:tcMar>
            <w:vAlign w:val="center"/>
            <w:hideMark/>
          </w:tcPr>
          <w:p w14:paraId="46DC3B06"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09D13A90"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3AC05093"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061DD20B" w14:textId="77777777">
        <w:trPr>
          <w:divId w:val="538934321"/>
        </w:trPr>
        <w:tc>
          <w:tcPr>
            <w:tcW w:w="0" w:type="auto"/>
            <w:gridSpan w:val="3"/>
            <w:tcMar>
              <w:top w:w="30" w:type="dxa"/>
              <w:left w:w="20" w:type="dxa"/>
              <w:bottom w:w="30" w:type="dxa"/>
              <w:right w:w="20" w:type="dxa"/>
            </w:tcMar>
            <w:vAlign w:val="bottom"/>
            <w:hideMark/>
          </w:tcPr>
          <w:p w14:paraId="6D064DEC" w14:textId="77777777" w:rsidR="00000000" w:rsidRDefault="00A173A8">
            <w:pPr>
              <w:spacing w:after="100"/>
              <w:rPr>
                <w:rFonts w:eastAsia="Times New Roman"/>
              </w:rPr>
            </w:pPr>
            <w:r>
              <w:rPr>
                <w:rFonts w:eastAsia="Times New Roman"/>
                <w:i/>
                <w:iCs/>
                <w:color w:val="000000"/>
                <w:sz w:val="18"/>
                <w:szCs w:val="18"/>
              </w:rPr>
              <w:t>(Dollars in millions)</w:t>
            </w:r>
          </w:p>
        </w:tc>
        <w:tc>
          <w:tcPr>
            <w:tcW w:w="0" w:type="auto"/>
            <w:gridSpan w:val="3"/>
            <w:tcMar>
              <w:top w:w="0" w:type="dxa"/>
              <w:left w:w="20" w:type="dxa"/>
              <w:bottom w:w="0" w:type="dxa"/>
              <w:right w:w="20" w:type="dxa"/>
            </w:tcMar>
            <w:vAlign w:val="center"/>
            <w:hideMark/>
          </w:tcPr>
          <w:p w14:paraId="25E843C2"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7C280A" w14:textId="77777777" w:rsidR="00000000" w:rsidRDefault="00A173A8">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6818FB2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68A446" w14:textId="77777777" w:rsidR="00000000" w:rsidRDefault="00A173A8">
            <w:pPr>
              <w:spacing w:after="100"/>
              <w:jc w:val="center"/>
              <w:rPr>
                <w:rFonts w:eastAsia="Times New Roman"/>
              </w:rPr>
            </w:pPr>
            <w:r>
              <w:rPr>
                <w:rFonts w:eastAsia="Times New Roman"/>
                <w:b/>
                <w:bCs/>
                <w:color w:val="000000"/>
                <w:sz w:val="16"/>
                <w:szCs w:val="16"/>
              </w:rPr>
              <w:t>% of Total Modifications</w:t>
            </w:r>
          </w:p>
        </w:tc>
        <w:tc>
          <w:tcPr>
            <w:tcW w:w="0" w:type="auto"/>
            <w:gridSpan w:val="3"/>
            <w:tcMar>
              <w:top w:w="0" w:type="dxa"/>
              <w:left w:w="20" w:type="dxa"/>
              <w:bottom w:w="0" w:type="dxa"/>
              <w:right w:w="20" w:type="dxa"/>
            </w:tcMar>
            <w:vAlign w:val="center"/>
            <w:hideMark/>
          </w:tcPr>
          <w:p w14:paraId="4672CA6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CAA083" w14:textId="77777777" w:rsidR="00000000" w:rsidRDefault="00A173A8">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14:paraId="447CA10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3B32EE" w14:textId="77777777" w:rsidR="00000000" w:rsidRDefault="00A173A8">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of Total Modifications</w:t>
            </w:r>
          </w:p>
        </w:tc>
      </w:tr>
      <w:tr w:rsidR="00000000" w14:paraId="1EA7B75A" w14:textId="77777777">
        <w:trPr>
          <w:divId w:val="5389343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0FB3F5" w14:textId="77777777" w:rsidR="00000000" w:rsidRDefault="00A173A8">
            <w:pPr>
              <w:spacing w:after="100"/>
              <w:rPr>
                <w:rFonts w:eastAsia="Times New Roman"/>
              </w:rPr>
            </w:pPr>
            <w:r>
              <w:rPr>
                <w:rFonts w:eastAsia="Times New Roman"/>
                <w:b/>
                <w:bCs/>
                <w:color w:val="000000"/>
                <w:sz w:val="20"/>
                <w:szCs w:val="20"/>
              </w:rPr>
              <w:t>Credit Card:</w:t>
            </w:r>
          </w:p>
        </w:tc>
        <w:tc>
          <w:tcPr>
            <w:tcW w:w="0" w:type="auto"/>
            <w:gridSpan w:val="3"/>
            <w:shd w:val="clear" w:color="auto" w:fill="CCEEFF"/>
            <w:tcMar>
              <w:top w:w="0" w:type="dxa"/>
              <w:left w:w="20" w:type="dxa"/>
              <w:bottom w:w="0" w:type="dxa"/>
              <w:right w:w="20" w:type="dxa"/>
            </w:tcMar>
            <w:vAlign w:val="center"/>
            <w:hideMark/>
          </w:tcPr>
          <w:p w14:paraId="12778E2E"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963BD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81E19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B788A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02A77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DE710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A3886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B5270B" w14:textId="77777777" w:rsidR="00000000" w:rsidRDefault="00A173A8">
            <w:pPr>
              <w:spacing w:after="100"/>
              <w:rPr>
                <w:rFonts w:eastAsia="Times New Roman"/>
                <w:sz w:val="20"/>
                <w:szCs w:val="20"/>
              </w:rPr>
            </w:pPr>
          </w:p>
        </w:tc>
      </w:tr>
      <w:tr w:rsidR="00000000" w14:paraId="240342AD" w14:textId="77777777">
        <w:trPr>
          <w:divId w:val="538934321"/>
        </w:trPr>
        <w:tc>
          <w:tcPr>
            <w:tcW w:w="0" w:type="auto"/>
            <w:gridSpan w:val="3"/>
            <w:shd w:val="clear" w:color="auto" w:fill="FFFFFF"/>
            <w:tcMar>
              <w:top w:w="30" w:type="dxa"/>
              <w:left w:w="245" w:type="dxa"/>
              <w:bottom w:w="30" w:type="dxa"/>
              <w:right w:w="20" w:type="dxa"/>
            </w:tcMar>
            <w:vAlign w:val="bottom"/>
            <w:hideMark/>
          </w:tcPr>
          <w:p w14:paraId="2331AFF8" w14:textId="77777777" w:rsidR="00000000" w:rsidRDefault="00A173A8">
            <w:pPr>
              <w:spacing w:after="100"/>
              <w:rPr>
                <w:rFonts w:eastAsia="Times New Roman"/>
              </w:rPr>
            </w:pPr>
            <w:r>
              <w:rPr>
                <w:rFonts w:eastAsia="Times New Roman"/>
                <w:color w:val="000000"/>
                <w:sz w:val="20"/>
                <w:szCs w:val="20"/>
              </w:rPr>
              <w:t>Domestic credit card</w:t>
            </w:r>
          </w:p>
        </w:tc>
        <w:tc>
          <w:tcPr>
            <w:tcW w:w="0" w:type="auto"/>
            <w:gridSpan w:val="3"/>
            <w:shd w:val="clear" w:color="auto" w:fill="FFFFFF"/>
            <w:tcMar>
              <w:top w:w="0" w:type="dxa"/>
              <w:left w:w="20" w:type="dxa"/>
              <w:bottom w:w="0" w:type="dxa"/>
              <w:right w:w="20" w:type="dxa"/>
            </w:tcMar>
            <w:vAlign w:val="center"/>
            <w:hideMark/>
          </w:tcPr>
          <w:p w14:paraId="44388061"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6A1E76C"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4C380070" w14:textId="77777777" w:rsidR="00000000" w:rsidRDefault="00A173A8">
            <w:pPr>
              <w:spacing w:after="100"/>
              <w:jc w:val="right"/>
              <w:rPr>
                <w:rFonts w:eastAsia="Times New Roman"/>
              </w:rPr>
            </w:pPr>
            <w:r>
              <w:rPr>
                <w:rFonts w:eastAsia="Times New Roman"/>
                <w:b/>
                <w:bCs/>
                <w:color w:val="000000"/>
                <w:sz w:val="20"/>
                <w:szCs w:val="20"/>
              </w:rPr>
              <w:t>386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B75993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476C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CC896E" w14:textId="77777777" w:rsidR="00000000" w:rsidRDefault="00A173A8">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6C10717"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639FE28"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59D827A9"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54766425" w14:textId="77777777" w:rsidR="00000000" w:rsidRDefault="00A173A8">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center"/>
            <w:hideMark/>
          </w:tcPr>
          <w:p w14:paraId="5CECD2E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3E49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45A504" w14:textId="77777777" w:rsidR="00000000" w:rsidRDefault="00A173A8">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center"/>
            <w:hideMark/>
          </w:tcPr>
          <w:p w14:paraId="15D83F5B" w14:textId="77777777" w:rsidR="00000000" w:rsidRDefault="00A173A8">
            <w:pPr>
              <w:spacing w:after="100"/>
              <w:jc w:val="right"/>
              <w:rPr>
                <w:rFonts w:eastAsia="Times New Roman"/>
              </w:rPr>
            </w:pPr>
            <w:r>
              <w:rPr>
                <w:rFonts w:eastAsia="Times New Roman"/>
                <w:color w:val="000000"/>
                <w:sz w:val="20"/>
                <w:szCs w:val="20"/>
              </w:rPr>
              <w:t>%</w:t>
            </w:r>
          </w:p>
        </w:tc>
      </w:tr>
      <w:tr w:rsidR="00000000" w14:paraId="5AF16839" w14:textId="77777777">
        <w:trPr>
          <w:divId w:val="538934321"/>
        </w:trPr>
        <w:tc>
          <w:tcPr>
            <w:tcW w:w="0" w:type="auto"/>
            <w:gridSpan w:val="3"/>
            <w:shd w:val="clear" w:color="auto" w:fill="CCEEFF"/>
            <w:tcMar>
              <w:top w:w="30" w:type="dxa"/>
              <w:left w:w="245" w:type="dxa"/>
              <w:bottom w:w="30" w:type="dxa"/>
              <w:right w:w="20" w:type="dxa"/>
            </w:tcMar>
            <w:vAlign w:val="bottom"/>
            <w:hideMark/>
          </w:tcPr>
          <w:p w14:paraId="2C21BEAA" w14:textId="77777777" w:rsidR="00000000" w:rsidRDefault="00A173A8">
            <w:pPr>
              <w:spacing w:after="100"/>
              <w:rPr>
                <w:rFonts w:eastAsia="Times New Roman"/>
              </w:rPr>
            </w:pPr>
            <w:r>
              <w:rPr>
                <w:rFonts w:eastAsia="Times New Roman"/>
                <w:color w:val="000000"/>
                <w:sz w:val="20"/>
                <w:szCs w:val="20"/>
              </w:rPr>
              <w:t>International card businesses</w:t>
            </w:r>
          </w:p>
        </w:tc>
        <w:tc>
          <w:tcPr>
            <w:tcW w:w="0" w:type="auto"/>
            <w:gridSpan w:val="3"/>
            <w:shd w:val="clear" w:color="auto" w:fill="CCEEFF"/>
            <w:tcMar>
              <w:top w:w="0" w:type="dxa"/>
              <w:left w:w="20" w:type="dxa"/>
              <w:bottom w:w="0" w:type="dxa"/>
              <w:right w:w="20" w:type="dxa"/>
            </w:tcMar>
            <w:vAlign w:val="center"/>
            <w:hideMark/>
          </w:tcPr>
          <w:p w14:paraId="259C551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9799C03" w14:textId="77777777" w:rsidR="00000000" w:rsidRDefault="00A173A8">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963099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72B77F"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06F66958" w14:textId="77777777" w:rsidR="00000000" w:rsidRDefault="00A173A8">
            <w:pPr>
              <w:spacing w:after="100"/>
              <w:jc w:val="right"/>
              <w:rPr>
                <w:rFonts w:eastAsia="Times New Roman"/>
              </w:rPr>
            </w:pPr>
            <w:r>
              <w:rPr>
                <w:rFonts w:eastAsia="Times New Roman"/>
                <w:b/>
                <w:bCs/>
                <w:color w:val="000000"/>
                <w:sz w:val="20"/>
                <w:szCs w:val="20"/>
              </w:rPr>
              <w:t>7.3</w:t>
            </w:r>
          </w:p>
        </w:tc>
        <w:tc>
          <w:tcPr>
            <w:tcW w:w="0" w:type="auto"/>
            <w:gridSpan w:val="3"/>
            <w:shd w:val="clear" w:color="auto" w:fill="CCEEFF"/>
            <w:tcMar>
              <w:top w:w="0" w:type="dxa"/>
              <w:left w:w="20" w:type="dxa"/>
              <w:bottom w:w="0" w:type="dxa"/>
              <w:right w:w="20" w:type="dxa"/>
            </w:tcMar>
            <w:vAlign w:val="center"/>
            <w:hideMark/>
          </w:tcPr>
          <w:p w14:paraId="3633FF28"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3D05F20" w14:textId="77777777" w:rsidR="00000000" w:rsidRDefault="00A173A8">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center"/>
            <w:hideMark/>
          </w:tcPr>
          <w:p w14:paraId="6BDE0DF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99CA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8CC004" w14:textId="77777777" w:rsidR="00000000" w:rsidRDefault="00A173A8">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center"/>
            <w:hideMark/>
          </w:tcPr>
          <w:p w14:paraId="5FAF1625" w14:textId="77777777" w:rsidR="00000000" w:rsidRDefault="00A173A8">
            <w:pPr>
              <w:spacing w:after="100"/>
              <w:jc w:val="right"/>
              <w:rPr>
                <w:rFonts w:eastAsia="Times New Roman"/>
              </w:rPr>
            </w:pPr>
          </w:p>
        </w:tc>
      </w:tr>
      <w:tr w:rsidR="00000000" w14:paraId="248A435A" w14:textId="77777777">
        <w:trPr>
          <w:divId w:val="538934321"/>
        </w:trPr>
        <w:tc>
          <w:tcPr>
            <w:tcW w:w="0" w:type="auto"/>
            <w:gridSpan w:val="3"/>
            <w:shd w:val="clear" w:color="auto" w:fill="FFFFFF"/>
            <w:tcMar>
              <w:top w:w="30" w:type="dxa"/>
              <w:left w:w="20" w:type="dxa"/>
              <w:bottom w:w="30" w:type="dxa"/>
              <w:right w:w="20" w:type="dxa"/>
            </w:tcMar>
            <w:vAlign w:val="bottom"/>
            <w:hideMark/>
          </w:tcPr>
          <w:p w14:paraId="7A384A4A" w14:textId="77777777" w:rsidR="00000000" w:rsidRDefault="00A173A8">
            <w:pPr>
              <w:spacing w:after="100"/>
              <w:rPr>
                <w:rFonts w:eastAsia="Times New Roman"/>
              </w:rPr>
            </w:pPr>
            <w:r>
              <w:rPr>
                <w:rFonts w:eastAsia="Times New Roman"/>
                <w:color w:val="000000"/>
                <w:sz w:val="20"/>
                <w:szCs w:val="20"/>
              </w:rPr>
              <w:t>Total credit card</w:t>
            </w:r>
          </w:p>
        </w:tc>
        <w:tc>
          <w:tcPr>
            <w:tcW w:w="0" w:type="auto"/>
            <w:gridSpan w:val="3"/>
            <w:shd w:val="clear" w:color="auto" w:fill="FFFFFF"/>
            <w:tcMar>
              <w:top w:w="0" w:type="dxa"/>
              <w:left w:w="20" w:type="dxa"/>
              <w:bottom w:w="0" w:type="dxa"/>
              <w:right w:w="20" w:type="dxa"/>
            </w:tcMar>
            <w:vAlign w:val="center"/>
            <w:hideMark/>
          </w:tcPr>
          <w:p w14:paraId="5C86F530"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791977" w14:textId="77777777" w:rsidR="00000000" w:rsidRDefault="00A173A8">
            <w:pPr>
              <w:spacing w:after="100"/>
              <w:jc w:val="right"/>
              <w:rPr>
                <w:rFonts w:eastAsia="Times New Roman"/>
              </w:rPr>
            </w:pPr>
            <w:r>
              <w:rPr>
                <w:rFonts w:eastAsia="Times New Roman"/>
                <w:b/>
                <w:bCs/>
                <w:color w:val="000000"/>
                <w:sz w:val="20"/>
                <w:szCs w:val="20"/>
              </w:rPr>
              <w:t>547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0D2BAB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16861"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14:paraId="611E14AC" w14:textId="77777777" w:rsidR="00000000" w:rsidRDefault="00A173A8">
            <w:pPr>
              <w:spacing w:after="100"/>
              <w:jc w:val="right"/>
              <w:rPr>
                <w:rFonts w:eastAsia="Times New Roman"/>
              </w:rPr>
            </w:pPr>
            <w:r>
              <w:rPr>
                <w:rFonts w:eastAsia="Times New Roman"/>
                <w:b/>
                <w:bCs/>
                <w:color w:val="000000"/>
                <w:sz w:val="20"/>
                <w:szCs w:val="20"/>
              </w:rPr>
              <w:t>24.9</w:t>
            </w:r>
          </w:p>
        </w:tc>
        <w:tc>
          <w:tcPr>
            <w:tcW w:w="0" w:type="auto"/>
            <w:gridSpan w:val="3"/>
            <w:shd w:val="clear" w:color="auto" w:fill="FFFFFF"/>
            <w:tcMar>
              <w:top w:w="0" w:type="dxa"/>
              <w:left w:w="20" w:type="dxa"/>
              <w:bottom w:w="0" w:type="dxa"/>
              <w:right w:w="20" w:type="dxa"/>
            </w:tcMar>
            <w:vAlign w:val="center"/>
            <w:hideMark/>
          </w:tcPr>
          <w:p w14:paraId="5A0C021B" w14:textId="77777777" w:rsidR="00000000" w:rsidRDefault="00A173A8">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9B9B275" w14:textId="77777777" w:rsidR="00000000" w:rsidRDefault="00A173A8">
            <w:pPr>
              <w:spacing w:after="100"/>
              <w:jc w:val="right"/>
              <w:rPr>
                <w:rFonts w:eastAsia="Times New Roman"/>
              </w:rPr>
            </w:pPr>
            <w:r>
              <w:rPr>
                <w:rFonts w:eastAsia="Times New Roman"/>
                <w:color w:val="000000"/>
                <w:sz w:val="20"/>
                <w:szCs w:val="20"/>
              </w:rPr>
              <w:t>567 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3FFF48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5446C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52BACBC" w14:textId="77777777" w:rsidR="00000000" w:rsidRDefault="00A173A8">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8E98D7" w14:textId="77777777" w:rsidR="00000000" w:rsidRDefault="00A173A8">
            <w:pPr>
              <w:spacing w:after="100"/>
              <w:jc w:val="right"/>
              <w:rPr>
                <w:rFonts w:eastAsia="Times New Roman"/>
              </w:rPr>
            </w:pPr>
          </w:p>
        </w:tc>
      </w:tr>
      <w:tr w:rsidR="00000000" w14:paraId="09989C6E" w14:textId="77777777">
        <w:trPr>
          <w:divId w:val="538934321"/>
        </w:trPr>
        <w:tc>
          <w:tcPr>
            <w:tcW w:w="0" w:type="auto"/>
            <w:gridSpan w:val="3"/>
            <w:shd w:val="clear" w:color="auto" w:fill="CCEEFF"/>
            <w:tcMar>
              <w:top w:w="30" w:type="dxa"/>
              <w:left w:w="20" w:type="dxa"/>
              <w:bottom w:w="30" w:type="dxa"/>
              <w:right w:w="20" w:type="dxa"/>
            </w:tcMar>
            <w:vAlign w:val="center"/>
            <w:hideMark/>
          </w:tcPr>
          <w:p w14:paraId="6746A5F7" w14:textId="77777777" w:rsidR="00000000" w:rsidRDefault="00A173A8">
            <w:pPr>
              <w:spacing w:after="100"/>
              <w:rPr>
                <w:rFonts w:eastAsia="Times New Roman"/>
              </w:rPr>
            </w:pPr>
            <w:r>
              <w:rPr>
                <w:rFonts w:eastAsia="Times New Roman"/>
                <w:b/>
                <w:bCs/>
                <w:color w:val="000000"/>
                <w:sz w:val="20"/>
                <w:szCs w:val="20"/>
              </w:rPr>
              <w:t>Consumer banking:</w:t>
            </w:r>
          </w:p>
        </w:tc>
        <w:tc>
          <w:tcPr>
            <w:tcW w:w="0" w:type="auto"/>
            <w:gridSpan w:val="3"/>
            <w:shd w:val="clear" w:color="auto" w:fill="CCEEFF"/>
            <w:tcMar>
              <w:top w:w="0" w:type="dxa"/>
              <w:left w:w="20" w:type="dxa"/>
              <w:bottom w:w="0" w:type="dxa"/>
              <w:right w:w="20" w:type="dxa"/>
            </w:tcMar>
            <w:vAlign w:val="center"/>
            <w:hideMark/>
          </w:tcPr>
          <w:p w14:paraId="1C59DF81"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E02B7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F102C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0522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00D34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B67B0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9A776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E3D614" w14:textId="77777777" w:rsidR="00000000" w:rsidRDefault="00A173A8">
            <w:pPr>
              <w:spacing w:after="100"/>
              <w:rPr>
                <w:rFonts w:eastAsia="Times New Roman"/>
                <w:sz w:val="20"/>
                <w:szCs w:val="20"/>
              </w:rPr>
            </w:pPr>
          </w:p>
        </w:tc>
      </w:tr>
      <w:tr w:rsidR="00000000" w14:paraId="33F40D8C" w14:textId="77777777">
        <w:trPr>
          <w:divId w:val="538934321"/>
        </w:trPr>
        <w:tc>
          <w:tcPr>
            <w:tcW w:w="0" w:type="auto"/>
            <w:gridSpan w:val="3"/>
            <w:shd w:val="clear" w:color="auto" w:fill="FFFFFF"/>
            <w:tcMar>
              <w:top w:w="30" w:type="dxa"/>
              <w:left w:w="245" w:type="dxa"/>
              <w:bottom w:w="30" w:type="dxa"/>
              <w:right w:w="20" w:type="dxa"/>
            </w:tcMar>
            <w:vAlign w:val="center"/>
            <w:hideMark/>
          </w:tcPr>
          <w:p w14:paraId="3EB5CF4C" w14:textId="77777777" w:rsidR="00000000" w:rsidRDefault="00A173A8">
            <w:pPr>
              <w:spacing w:after="100"/>
              <w:rPr>
                <w:rFonts w:eastAsia="Times New Roman"/>
              </w:rPr>
            </w:pPr>
            <w:r>
              <w:rPr>
                <w:rFonts w:eastAsia="Times New Roman"/>
                <w:color w:val="000000"/>
                <w:sz w:val="20"/>
                <w:szCs w:val="20"/>
              </w:rPr>
              <w:t>Auto</w:t>
            </w:r>
          </w:p>
        </w:tc>
        <w:tc>
          <w:tcPr>
            <w:tcW w:w="0" w:type="auto"/>
            <w:gridSpan w:val="3"/>
            <w:shd w:val="clear" w:color="auto" w:fill="FFFFFF"/>
            <w:tcMar>
              <w:top w:w="0" w:type="dxa"/>
              <w:left w:w="20" w:type="dxa"/>
              <w:bottom w:w="0" w:type="dxa"/>
              <w:right w:w="20" w:type="dxa"/>
            </w:tcMar>
            <w:vAlign w:val="center"/>
            <w:hideMark/>
          </w:tcPr>
          <w:p w14:paraId="5FDE7E4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5A08585" w14:textId="77777777" w:rsidR="00000000" w:rsidRDefault="00A173A8">
            <w:pPr>
              <w:spacing w:after="100"/>
              <w:jc w:val="right"/>
              <w:rPr>
                <w:rFonts w:eastAsia="Times New Roman"/>
              </w:rPr>
            </w:pPr>
            <w:r>
              <w:rPr>
                <w:rFonts w:eastAsia="Times New Roman"/>
                <w:b/>
                <w:bCs/>
                <w:color w:val="000000"/>
                <w:sz w:val="20"/>
                <w:szCs w:val="20"/>
              </w:rPr>
              <w:t>905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A2F43F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E3B8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4DC497" w14:textId="77777777" w:rsidR="00000000" w:rsidRDefault="00A173A8">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87BB1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5B03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855D22" w14:textId="77777777" w:rsidR="00000000" w:rsidRDefault="00A173A8">
            <w:pPr>
              <w:spacing w:after="100"/>
              <w:jc w:val="right"/>
              <w:rPr>
                <w:rFonts w:eastAsia="Times New Roman"/>
              </w:rPr>
            </w:pPr>
            <w:r>
              <w:rPr>
                <w:rFonts w:eastAsia="Times New Roman"/>
                <w:color w:val="000000"/>
                <w:sz w:val="20"/>
                <w:szCs w:val="20"/>
              </w:rPr>
              <w:t>603 </w:t>
            </w:r>
          </w:p>
        </w:tc>
        <w:tc>
          <w:tcPr>
            <w:tcW w:w="0" w:type="auto"/>
            <w:shd w:val="clear" w:color="auto" w:fill="FFFFFF"/>
            <w:tcMar>
              <w:top w:w="30" w:type="dxa"/>
              <w:left w:w="0" w:type="dxa"/>
              <w:bottom w:w="30" w:type="dxa"/>
              <w:right w:w="20" w:type="dxa"/>
            </w:tcMar>
            <w:vAlign w:val="center"/>
            <w:hideMark/>
          </w:tcPr>
          <w:p w14:paraId="1F52BB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277D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EBC4CD" w14:textId="77777777" w:rsidR="00000000" w:rsidRDefault="00A173A8">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center"/>
            <w:hideMark/>
          </w:tcPr>
          <w:p w14:paraId="3AE9BC92" w14:textId="77777777" w:rsidR="00000000" w:rsidRDefault="00A173A8">
            <w:pPr>
              <w:spacing w:after="100"/>
              <w:jc w:val="right"/>
              <w:rPr>
                <w:rFonts w:eastAsia="Times New Roman"/>
              </w:rPr>
            </w:pPr>
          </w:p>
        </w:tc>
      </w:tr>
      <w:tr w:rsidR="00000000" w14:paraId="29AD8FA1" w14:textId="77777777">
        <w:trPr>
          <w:divId w:val="538934321"/>
        </w:trPr>
        <w:tc>
          <w:tcPr>
            <w:tcW w:w="0" w:type="auto"/>
            <w:gridSpan w:val="3"/>
            <w:shd w:val="clear" w:color="auto" w:fill="CCEEFF"/>
            <w:tcMar>
              <w:top w:w="30" w:type="dxa"/>
              <w:left w:w="245" w:type="dxa"/>
              <w:bottom w:w="30" w:type="dxa"/>
              <w:right w:w="20" w:type="dxa"/>
            </w:tcMar>
            <w:vAlign w:val="center"/>
            <w:hideMark/>
          </w:tcPr>
          <w:p w14:paraId="34B88BE7" w14:textId="77777777" w:rsidR="00000000" w:rsidRDefault="00A173A8">
            <w:pPr>
              <w:spacing w:after="100"/>
              <w:rPr>
                <w:rFonts w:eastAsia="Times New Roman"/>
              </w:rPr>
            </w:pPr>
            <w:r>
              <w:rPr>
                <w:rFonts w:eastAsia="Times New Roman"/>
                <w:color w:val="000000"/>
                <w:sz w:val="20"/>
                <w:szCs w:val="20"/>
              </w:rPr>
              <w:t>Retail banking</w:t>
            </w:r>
          </w:p>
        </w:tc>
        <w:tc>
          <w:tcPr>
            <w:tcW w:w="0" w:type="auto"/>
            <w:gridSpan w:val="3"/>
            <w:shd w:val="clear" w:color="auto" w:fill="CCEEFF"/>
            <w:tcMar>
              <w:top w:w="0" w:type="dxa"/>
              <w:left w:w="20" w:type="dxa"/>
              <w:bottom w:w="0" w:type="dxa"/>
              <w:right w:w="20" w:type="dxa"/>
            </w:tcMar>
            <w:vAlign w:val="center"/>
            <w:hideMark/>
          </w:tcPr>
          <w:p w14:paraId="26DBE0C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C4C080A" w14:textId="77777777" w:rsidR="00000000" w:rsidRDefault="00A173A8">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DD533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ED1F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5A520B" w14:textId="77777777" w:rsidR="00000000" w:rsidRDefault="00A173A8">
            <w:pPr>
              <w:spacing w:after="100"/>
              <w:jc w:val="right"/>
              <w:rPr>
                <w:rFonts w:eastAsia="Times New Roman"/>
              </w:rPr>
            </w:pPr>
            <w:r>
              <w:rPr>
                <w:rFonts w:eastAsia="Times New Roman"/>
                <w:b/>
                <w:bCs/>
                <w:color w:val="000000"/>
                <w:sz w:val="20"/>
                <w:szCs w:val="20"/>
              </w:rPr>
              <w:t>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D0A2AE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C3DD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7CAF20" w14:textId="77777777" w:rsidR="00000000" w:rsidRDefault="00A173A8">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center"/>
            <w:hideMark/>
          </w:tcPr>
          <w:p w14:paraId="625758E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AA6E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E1D7F6" w14:textId="77777777" w:rsidR="00000000" w:rsidRDefault="00A173A8">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center"/>
            <w:hideMark/>
          </w:tcPr>
          <w:p w14:paraId="1826F5BA" w14:textId="77777777" w:rsidR="00000000" w:rsidRDefault="00A173A8">
            <w:pPr>
              <w:spacing w:after="100"/>
              <w:jc w:val="right"/>
              <w:rPr>
                <w:rFonts w:eastAsia="Times New Roman"/>
              </w:rPr>
            </w:pPr>
          </w:p>
        </w:tc>
      </w:tr>
      <w:tr w:rsidR="00000000" w14:paraId="11C1004A" w14:textId="77777777">
        <w:trPr>
          <w:divId w:val="538934321"/>
        </w:trPr>
        <w:tc>
          <w:tcPr>
            <w:tcW w:w="0" w:type="auto"/>
            <w:gridSpan w:val="3"/>
            <w:shd w:val="clear" w:color="auto" w:fill="FFFFFF"/>
            <w:tcMar>
              <w:top w:w="30" w:type="dxa"/>
              <w:left w:w="20" w:type="dxa"/>
              <w:bottom w:w="30" w:type="dxa"/>
              <w:right w:w="20" w:type="dxa"/>
            </w:tcMar>
            <w:vAlign w:val="center"/>
            <w:hideMark/>
          </w:tcPr>
          <w:p w14:paraId="026BC9AA" w14:textId="77777777" w:rsidR="00000000" w:rsidRDefault="00A173A8">
            <w:pPr>
              <w:spacing w:after="100"/>
              <w:rPr>
                <w:rFonts w:eastAsia="Times New Roman"/>
              </w:rPr>
            </w:pPr>
            <w:r>
              <w:rPr>
                <w:rFonts w:eastAsia="Times New Roman"/>
                <w:color w:val="000000"/>
                <w:sz w:val="20"/>
                <w:szCs w:val="20"/>
              </w:rPr>
              <w:t>Total consumer banking</w:t>
            </w:r>
          </w:p>
        </w:tc>
        <w:tc>
          <w:tcPr>
            <w:tcW w:w="0" w:type="auto"/>
            <w:gridSpan w:val="3"/>
            <w:shd w:val="clear" w:color="auto" w:fill="FFFFFF"/>
            <w:tcMar>
              <w:top w:w="0" w:type="dxa"/>
              <w:left w:w="20" w:type="dxa"/>
              <w:bottom w:w="0" w:type="dxa"/>
              <w:right w:w="20" w:type="dxa"/>
            </w:tcMar>
            <w:vAlign w:val="center"/>
            <w:hideMark/>
          </w:tcPr>
          <w:p w14:paraId="7C243EBE"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58803E0" w14:textId="77777777" w:rsidR="00000000" w:rsidRDefault="00A173A8">
            <w:pPr>
              <w:spacing w:after="100"/>
              <w:jc w:val="right"/>
              <w:rPr>
                <w:rFonts w:eastAsia="Times New Roman"/>
              </w:rPr>
            </w:pPr>
            <w:r>
              <w:rPr>
                <w:rFonts w:eastAsia="Times New Roman"/>
                <w:b/>
                <w:bCs/>
                <w:color w:val="000000"/>
                <w:sz w:val="20"/>
                <w:szCs w:val="20"/>
              </w:rPr>
              <w:t>917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E0974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FE0E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0F4F0BE" w14:textId="77777777" w:rsidR="00000000" w:rsidRDefault="00A173A8">
            <w:pPr>
              <w:spacing w:after="100"/>
              <w:jc w:val="right"/>
              <w:rPr>
                <w:rFonts w:eastAsia="Times New Roman"/>
              </w:rPr>
            </w:pPr>
            <w:r>
              <w:rPr>
                <w:rFonts w:eastAsia="Times New Roman"/>
                <w:b/>
                <w:bCs/>
                <w:color w:val="000000"/>
                <w:sz w:val="20"/>
                <w:szCs w:val="20"/>
              </w:rPr>
              <w:t>41.7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FC45A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7300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68B44A8" w14:textId="77777777" w:rsidR="00000000" w:rsidRDefault="00A173A8">
            <w:pPr>
              <w:spacing w:after="100"/>
              <w:jc w:val="right"/>
              <w:rPr>
                <w:rFonts w:eastAsia="Times New Roman"/>
              </w:rPr>
            </w:pPr>
            <w:r>
              <w:rPr>
                <w:rFonts w:eastAsia="Times New Roman"/>
                <w:color w:val="000000"/>
                <w:sz w:val="20"/>
                <w:szCs w:val="20"/>
              </w:rPr>
              <w:t>616 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D5A40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02162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17C04F" w14:textId="77777777" w:rsidR="00000000" w:rsidRDefault="00A173A8">
            <w:pPr>
              <w:spacing w:after="100"/>
              <w:jc w:val="right"/>
              <w:rPr>
                <w:rFonts w:eastAsia="Times New Roman"/>
              </w:rPr>
            </w:pPr>
            <w:r>
              <w:rPr>
                <w:rFonts w:eastAsia="Times New Roman"/>
                <w:color w:val="000000"/>
                <w:sz w:val="20"/>
                <w:szCs w:val="20"/>
              </w:rPr>
              <w:t>37.5 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398C1D" w14:textId="77777777" w:rsidR="00000000" w:rsidRDefault="00A173A8">
            <w:pPr>
              <w:spacing w:after="100"/>
              <w:jc w:val="right"/>
              <w:rPr>
                <w:rFonts w:eastAsia="Times New Roman"/>
              </w:rPr>
            </w:pPr>
          </w:p>
        </w:tc>
      </w:tr>
      <w:tr w:rsidR="00000000" w14:paraId="4F4F7CC9" w14:textId="77777777">
        <w:trPr>
          <w:divId w:val="538934321"/>
        </w:trPr>
        <w:tc>
          <w:tcPr>
            <w:tcW w:w="0" w:type="auto"/>
            <w:gridSpan w:val="3"/>
            <w:shd w:val="clear" w:color="auto" w:fill="CCEEFF"/>
            <w:tcMar>
              <w:top w:w="30" w:type="dxa"/>
              <w:left w:w="20" w:type="dxa"/>
              <w:bottom w:w="30" w:type="dxa"/>
              <w:right w:w="20" w:type="dxa"/>
            </w:tcMar>
            <w:vAlign w:val="center"/>
            <w:hideMark/>
          </w:tcPr>
          <w:p w14:paraId="3434E2DC" w14:textId="77777777" w:rsidR="00000000" w:rsidRDefault="00A173A8">
            <w:pPr>
              <w:spacing w:after="100"/>
              <w:rPr>
                <w:rFonts w:eastAsia="Times New Roman"/>
              </w:rPr>
            </w:pPr>
            <w:r>
              <w:rPr>
                <w:rFonts w:eastAsia="Times New Roman"/>
                <w:b/>
                <w:bCs/>
                <w:color w:val="000000"/>
                <w:sz w:val="20"/>
                <w:szCs w:val="20"/>
              </w:rPr>
              <w:t>Commercial banking</w:t>
            </w:r>
          </w:p>
        </w:tc>
        <w:tc>
          <w:tcPr>
            <w:tcW w:w="0" w:type="auto"/>
            <w:gridSpan w:val="3"/>
            <w:shd w:val="clear" w:color="auto" w:fill="CCEEFF"/>
            <w:tcMar>
              <w:top w:w="0" w:type="dxa"/>
              <w:left w:w="20" w:type="dxa"/>
              <w:bottom w:w="0" w:type="dxa"/>
              <w:right w:w="20" w:type="dxa"/>
            </w:tcMar>
            <w:vAlign w:val="center"/>
            <w:hideMark/>
          </w:tcPr>
          <w:p w14:paraId="6BEFF2CD"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429D5A" w14:textId="77777777" w:rsidR="00000000" w:rsidRDefault="00A173A8">
            <w:pPr>
              <w:spacing w:after="100"/>
              <w:jc w:val="right"/>
              <w:rPr>
                <w:rFonts w:eastAsia="Times New Roman"/>
              </w:rPr>
            </w:pPr>
            <w:r>
              <w:rPr>
                <w:rFonts w:eastAsia="Times New Roman"/>
                <w:b/>
                <w:bCs/>
                <w:color w:val="000000"/>
                <w:sz w:val="20"/>
                <w:szCs w:val="20"/>
              </w:rPr>
              <w:t>736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9B81B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BA18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013274" w14:textId="77777777" w:rsidR="00000000" w:rsidRDefault="00A173A8">
            <w:pPr>
              <w:spacing w:after="100"/>
              <w:jc w:val="right"/>
              <w:rPr>
                <w:rFonts w:eastAsia="Times New Roman"/>
              </w:rPr>
            </w:pPr>
            <w:r>
              <w:rPr>
                <w:rFonts w:eastAsia="Times New Roman"/>
                <w:b/>
                <w:bCs/>
                <w:color w:val="000000"/>
                <w:sz w:val="20"/>
                <w:szCs w:val="20"/>
              </w:rPr>
              <w:t>33.4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F967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095D0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42078A" w14:textId="77777777" w:rsidR="00000000" w:rsidRDefault="00A173A8">
            <w:pPr>
              <w:spacing w:after="100"/>
              <w:jc w:val="right"/>
              <w:rPr>
                <w:rFonts w:eastAsia="Times New Roman"/>
              </w:rPr>
            </w:pPr>
            <w:r>
              <w:rPr>
                <w:rFonts w:eastAsia="Times New Roman"/>
                <w:color w:val="000000"/>
                <w:sz w:val="20"/>
                <w:szCs w:val="20"/>
              </w:rPr>
              <w:t>457 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2835F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B0FE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8D320E" w14:textId="77777777" w:rsidR="00000000" w:rsidRDefault="00A173A8">
            <w:pPr>
              <w:spacing w:after="100"/>
              <w:jc w:val="right"/>
              <w:rPr>
                <w:rFonts w:eastAsia="Times New Roman"/>
              </w:rPr>
            </w:pPr>
            <w:r>
              <w:rPr>
                <w:rFonts w:eastAsia="Times New Roman"/>
                <w:color w:val="000000"/>
                <w:sz w:val="20"/>
                <w:szCs w:val="20"/>
              </w:rPr>
              <w:t>27.9 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C644F1" w14:textId="77777777" w:rsidR="00000000" w:rsidRDefault="00A173A8">
            <w:pPr>
              <w:spacing w:after="100"/>
              <w:jc w:val="right"/>
              <w:rPr>
                <w:rFonts w:eastAsia="Times New Roman"/>
              </w:rPr>
            </w:pPr>
          </w:p>
        </w:tc>
      </w:tr>
      <w:tr w:rsidR="00000000" w14:paraId="51F54A31" w14:textId="77777777">
        <w:trPr>
          <w:divId w:val="538934321"/>
        </w:trPr>
        <w:tc>
          <w:tcPr>
            <w:tcW w:w="0" w:type="auto"/>
            <w:gridSpan w:val="3"/>
            <w:shd w:val="clear" w:color="auto" w:fill="FFFFFF"/>
            <w:tcMar>
              <w:top w:w="30" w:type="dxa"/>
              <w:left w:w="20" w:type="dxa"/>
              <w:bottom w:w="30" w:type="dxa"/>
              <w:right w:w="20" w:type="dxa"/>
            </w:tcMar>
            <w:vAlign w:val="center"/>
            <w:hideMark/>
          </w:tcPr>
          <w:p w14:paraId="3772FD71"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5171AA65"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0A2D670"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2092FD3" w14:textId="77777777" w:rsidR="00000000" w:rsidRDefault="00A173A8">
            <w:pPr>
              <w:spacing w:after="100"/>
              <w:jc w:val="right"/>
              <w:rPr>
                <w:rFonts w:eastAsia="Times New Roman"/>
              </w:rPr>
            </w:pPr>
            <w:r>
              <w:rPr>
                <w:rFonts w:eastAsia="Times New Roman"/>
                <w:b/>
                <w:bCs/>
                <w:color w:val="000000"/>
                <w:sz w:val="20"/>
                <w:szCs w:val="20"/>
              </w:rPr>
              <w:t>2,200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57C80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6524F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746F270" w14:textId="77777777" w:rsidR="00000000" w:rsidRDefault="00A173A8">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CF9812"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20994CC" w14:textId="77777777" w:rsidR="00000000" w:rsidRDefault="00A173A8">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49E4109"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631B176" w14:textId="77777777" w:rsidR="00000000" w:rsidRDefault="00A173A8">
            <w:pPr>
              <w:spacing w:after="100"/>
              <w:jc w:val="right"/>
              <w:rPr>
                <w:rFonts w:eastAsia="Times New Roman"/>
              </w:rPr>
            </w:pPr>
            <w:r>
              <w:rPr>
                <w:rFonts w:eastAsia="Times New Roman"/>
                <w:color w:val="000000"/>
                <w:sz w:val="20"/>
                <w:szCs w:val="20"/>
              </w:rPr>
              <w:t>1,640 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B71E8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FA719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1E40937" w14:textId="77777777" w:rsidR="00000000" w:rsidRDefault="00A173A8">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44263A4" w14:textId="77777777" w:rsidR="00000000" w:rsidRDefault="00A173A8">
            <w:pPr>
              <w:spacing w:after="100"/>
              <w:jc w:val="right"/>
              <w:rPr>
                <w:rFonts w:eastAsia="Times New Roman"/>
              </w:rPr>
            </w:pPr>
            <w:r>
              <w:rPr>
                <w:rFonts w:eastAsia="Times New Roman"/>
                <w:color w:val="000000"/>
                <w:sz w:val="20"/>
                <w:szCs w:val="20"/>
              </w:rPr>
              <w:t>%</w:t>
            </w:r>
          </w:p>
        </w:tc>
      </w:tr>
      <w:tr w:rsidR="00000000" w14:paraId="0D96A363" w14:textId="77777777">
        <w:trPr>
          <w:divId w:val="538934321"/>
        </w:trPr>
        <w:tc>
          <w:tcPr>
            <w:tcW w:w="0" w:type="auto"/>
            <w:gridSpan w:val="3"/>
            <w:shd w:val="clear" w:color="auto" w:fill="CCEEFF"/>
            <w:tcMar>
              <w:top w:w="30" w:type="dxa"/>
              <w:left w:w="20" w:type="dxa"/>
              <w:bottom w:w="30" w:type="dxa"/>
              <w:right w:w="20" w:type="dxa"/>
            </w:tcMar>
            <w:vAlign w:val="center"/>
            <w:hideMark/>
          </w:tcPr>
          <w:p w14:paraId="4A2C1BCF" w14:textId="77777777" w:rsidR="00000000" w:rsidRDefault="00A173A8">
            <w:pPr>
              <w:spacing w:after="100"/>
              <w:rPr>
                <w:rFonts w:eastAsia="Times New Roman"/>
              </w:rPr>
            </w:pPr>
            <w:r>
              <w:rPr>
                <w:rFonts w:eastAsia="Times New Roman"/>
                <w:b/>
                <w:bCs/>
                <w:color w:val="000000"/>
                <w:sz w:val="20"/>
                <w:szCs w:val="20"/>
              </w:rPr>
              <w:t>Status of TDR:</w:t>
            </w:r>
          </w:p>
        </w:tc>
        <w:tc>
          <w:tcPr>
            <w:tcW w:w="0" w:type="auto"/>
            <w:gridSpan w:val="3"/>
            <w:shd w:val="clear" w:color="auto" w:fill="CCEEFF"/>
            <w:tcMar>
              <w:top w:w="0" w:type="dxa"/>
              <w:left w:w="20" w:type="dxa"/>
              <w:bottom w:w="0" w:type="dxa"/>
              <w:right w:w="20" w:type="dxa"/>
            </w:tcMar>
            <w:vAlign w:val="center"/>
            <w:hideMark/>
          </w:tcPr>
          <w:p w14:paraId="19339E28"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4722B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0BE3E9"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33306E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9BF082"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4667B9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A17F25"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977600" w14:textId="77777777" w:rsidR="00000000" w:rsidRDefault="00A173A8">
            <w:pPr>
              <w:spacing w:after="100"/>
              <w:rPr>
                <w:rFonts w:eastAsia="Times New Roman"/>
                <w:sz w:val="20"/>
                <w:szCs w:val="20"/>
              </w:rPr>
            </w:pPr>
          </w:p>
        </w:tc>
      </w:tr>
      <w:tr w:rsidR="00000000" w14:paraId="6B571ABA" w14:textId="77777777">
        <w:trPr>
          <w:divId w:val="538934321"/>
        </w:trPr>
        <w:tc>
          <w:tcPr>
            <w:tcW w:w="0" w:type="auto"/>
            <w:gridSpan w:val="3"/>
            <w:shd w:val="clear" w:color="auto" w:fill="FFFFFF"/>
            <w:tcMar>
              <w:top w:w="30" w:type="dxa"/>
              <w:left w:w="245" w:type="dxa"/>
              <w:bottom w:w="30" w:type="dxa"/>
              <w:right w:w="20" w:type="dxa"/>
            </w:tcMar>
            <w:vAlign w:val="center"/>
            <w:hideMark/>
          </w:tcPr>
          <w:p w14:paraId="6706C815" w14:textId="77777777" w:rsidR="00000000" w:rsidRDefault="00A173A8">
            <w:pPr>
              <w:spacing w:after="100"/>
              <w:rPr>
                <w:rFonts w:eastAsia="Times New Roman"/>
              </w:rPr>
            </w:pPr>
            <w:r>
              <w:rPr>
                <w:rFonts w:eastAsia="Times New Roman"/>
                <w:color w:val="000000"/>
                <w:sz w:val="20"/>
                <w:szCs w:val="20"/>
              </w:rPr>
              <w:t>Performing</w:t>
            </w:r>
          </w:p>
        </w:tc>
        <w:tc>
          <w:tcPr>
            <w:tcW w:w="0" w:type="auto"/>
            <w:gridSpan w:val="3"/>
            <w:shd w:val="clear" w:color="auto" w:fill="FFFFFF"/>
            <w:tcMar>
              <w:top w:w="0" w:type="dxa"/>
              <w:left w:w="20" w:type="dxa"/>
              <w:bottom w:w="0" w:type="dxa"/>
              <w:right w:w="20" w:type="dxa"/>
            </w:tcMar>
            <w:vAlign w:val="center"/>
            <w:hideMark/>
          </w:tcPr>
          <w:p w14:paraId="0A36B389"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F924371"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59323A7D" w14:textId="77777777" w:rsidR="00000000" w:rsidRDefault="00A173A8">
            <w:pPr>
              <w:spacing w:after="100"/>
              <w:jc w:val="right"/>
              <w:rPr>
                <w:rFonts w:eastAsia="Times New Roman"/>
              </w:rPr>
            </w:pPr>
            <w:r>
              <w:rPr>
                <w:rFonts w:eastAsia="Times New Roman"/>
                <w:b/>
                <w:bCs/>
                <w:color w:val="000000"/>
                <w:sz w:val="20"/>
                <w:szCs w:val="20"/>
              </w:rPr>
              <w:t>1,665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6FAB1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181D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5E06F8" w14:textId="77777777" w:rsidR="00000000" w:rsidRDefault="00A173A8">
            <w:pPr>
              <w:spacing w:after="100"/>
              <w:jc w:val="right"/>
              <w:rPr>
                <w:rFonts w:eastAsia="Times New Roman"/>
              </w:rPr>
            </w:pPr>
            <w:r>
              <w:rPr>
                <w:rFonts w:eastAsia="Times New Roman"/>
                <w:b/>
                <w:bCs/>
                <w:color w:val="000000"/>
                <w:sz w:val="20"/>
                <w:szCs w:val="20"/>
              </w:rPr>
              <w:t>75.7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33E1BFB"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0C43564"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22410290"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330C21DC" w14:textId="77777777" w:rsidR="00000000" w:rsidRDefault="00A173A8">
            <w:pPr>
              <w:spacing w:after="100"/>
              <w:jc w:val="right"/>
              <w:rPr>
                <w:rFonts w:eastAsia="Times New Roman"/>
              </w:rPr>
            </w:pPr>
            <w:r>
              <w:rPr>
                <w:rFonts w:eastAsia="Times New Roman"/>
                <w:color w:val="000000"/>
                <w:sz w:val="20"/>
                <w:szCs w:val="20"/>
              </w:rPr>
              <w:t>1,282 </w:t>
            </w:r>
          </w:p>
        </w:tc>
        <w:tc>
          <w:tcPr>
            <w:tcW w:w="0" w:type="auto"/>
            <w:shd w:val="clear" w:color="auto" w:fill="FFFFFF"/>
            <w:tcMar>
              <w:top w:w="30" w:type="dxa"/>
              <w:left w:w="0" w:type="dxa"/>
              <w:bottom w:w="30" w:type="dxa"/>
              <w:right w:w="20" w:type="dxa"/>
            </w:tcMar>
            <w:vAlign w:val="center"/>
            <w:hideMark/>
          </w:tcPr>
          <w:p w14:paraId="737BBCB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31FA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E32B68" w14:textId="77777777" w:rsidR="00000000" w:rsidRDefault="00A173A8">
            <w:pPr>
              <w:spacing w:after="100"/>
              <w:jc w:val="right"/>
              <w:rPr>
                <w:rFonts w:eastAsia="Times New Roman"/>
              </w:rPr>
            </w:pPr>
            <w:r>
              <w:rPr>
                <w:rFonts w:eastAsia="Times New Roman"/>
                <w:color w:val="000000"/>
                <w:sz w:val="20"/>
                <w:szCs w:val="20"/>
              </w:rPr>
              <w:t>78.2 </w:t>
            </w:r>
          </w:p>
        </w:tc>
        <w:tc>
          <w:tcPr>
            <w:tcW w:w="0" w:type="auto"/>
            <w:shd w:val="clear" w:color="auto" w:fill="FFFFFF"/>
            <w:tcMar>
              <w:top w:w="30" w:type="dxa"/>
              <w:left w:w="0" w:type="dxa"/>
              <w:bottom w:w="30" w:type="dxa"/>
              <w:right w:w="20" w:type="dxa"/>
            </w:tcMar>
            <w:vAlign w:val="center"/>
            <w:hideMark/>
          </w:tcPr>
          <w:p w14:paraId="4504FC7D" w14:textId="77777777" w:rsidR="00000000" w:rsidRDefault="00A173A8">
            <w:pPr>
              <w:spacing w:after="100"/>
              <w:jc w:val="right"/>
              <w:rPr>
                <w:rFonts w:eastAsia="Times New Roman"/>
              </w:rPr>
            </w:pPr>
            <w:r>
              <w:rPr>
                <w:rFonts w:eastAsia="Times New Roman"/>
                <w:color w:val="000000"/>
                <w:sz w:val="20"/>
                <w:szCs w:val="20"/>
              </w:rPr>
              <w:t>%</w:t>
            </w:r>
          </w:p>
        </w:tc>
      </w:tr>
      <w:tr w:rsidR="00000000" w14:paraId="5D37FB89" w14:textId="77777777">
        <w:trPr>
          <w:divId w:val="538934321"/>
        </w:trPr>
        <w:tc>
          <w:tcPr>
            <w:tcW w:w="0" w:type="auto"/>
            <w:gridSpan w:val="3"/>
            <w:shd w:val="clear" w:color="auto" w:fill="CCEEFF"/>
            <w:tcMar>
              <w:top w:w="30" w:type="dxa"/>
              <w:left w:w="245" w:type="dxa"/>
              <w:bottom w:w="30" w:type="dxa"/>
              <w:right w:w="20" w:type="dxa"/>
            </w:tcMar>
            <w:vAlign w:val="center"/>
            <w:hideMark/>
          </w:tcPr>
          <w:p w14:paraId="07A9512D" w14:textId="77777777" w:rsidR="00000000" w:rsidRDefault="00A173A8">
            <w:pPr>
              <w:spacing w:after="100"/>
              <w:rPr>
                <w:rFonts w:eastAsia="Times New Roman"/>
              </w:rPr>
            </w:pPr>
            <w:r>
              <w:rPr>
                <w:rFonts w:eastAsia="Times New Roman"/>
                <w:color w:val="000000"/>
                <w:sz w:val="20"/>
                <w:szCs w:val="20"/>
              </w:rPr>
              <w:t>Nonperforming</w:t>
            </w:r>
          </w:p>
        </w:tc>
        <w:tc>
          <w:tcPr>
            <w:tcW w:w="0" w:type="auto"/>
            <w:gridSpan w:val="3"/>
            <w:shd w:val="clear" w:color="auto" w:fill="CCEEFF"/>
            <w:tcMar>
              <w:top w:w="0" w:type="dxa"/>
              <w:left w:w="20" w:type="dxa"/>
              <w:bottom w:w="0" w:type="dxa"/>
              <w:right w:w="20" w:type="dxa"/>
            </w:tcMar>
            <w:vAlign w:val="center"/>
            <w:hideMark/>
          </w:tcPr>
          <w:p w14:paraId="059BEBB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9AE8014" w14:textId="77777777" w:rsidR="00000000" w:rsidRDefault="00A173A8">
            <w:pPr>
              <w:spacing w:after="100"/>
              <w:jc w:val="right"/>
              <w:rPr>
                <w:rFonts w:eastAsia="Times New Roman"/>
              </w:rPr>
            </w:pPr>
            <w:r>
              <w:rPr>
                <w:rFonts w:eastAsia="Times New Roman"/>
                <w:b/>
                <w:bCs/>
                <w:color w:val="000000"/>
                <w:sz w:val="20"/>
                <w:szCs w:val="20"/>
              </w:rPr>
              <w:t>535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6746CB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C509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2CD16D" w14:textId="77777777" w:rsidR="00000000" w:rsidRDefault="00A173A8">
            <w:pPr>
              <w:spacing w:after="100"/>
              <w:jc w:val="right"/>
              <w:rPr>
                <w:rFonts w:eastAsia="Times New Roman"/>
              </w:rPr>
            </w:pPr>
            <w:r>
              <w:rPr>
                <w:rFonts w:eastAsia="Times New Roman"/>
                <w:b/>
                <w:bCs/>
                <w:color w:val="000000"/>
                <w:sz w:val="20"/>
                <w:szCs w:val="20"/>
              </w:rPr>
              <w:t>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16B26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A355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CE0A3F" w14:textId="77777777" w:rsidR="00000000" w:rsidRDefault="00A173A8">
            <w:pPr>
              <w:spacing w:after="100"/>
              <w:jc w:val="right"/>
              <w:rPr>
                <w:rFonts w:eastAsia="Times New Roman"/>
              </w:rPr>
            </w:pPr>
            <w:r>
              <w:rPr>
                <w:rFonts w:eastAsia="Times New Roman"/>
                <w:color w:val="000000"/>
                <w:sz w:val="20"/>
                <w:szCs w:val="20"/>
              </w:rPr>
              <w:t>358 </w:t>
            </w:r>
          </w:p>
        </w:tc>
        <w:tc>
          <w:tcPr>
            <w:tcW w:w="0" w:type="auto"/>
            <w:shd w:val="clear" w:color="auto" w:fill="CCEEFF"/>
            <w:tcMar>
              <w:top w:w="30" w:type="dxa"/>
              <w:left w:w="0" w:type="dxa"/>
              <w:bottom w:w="30" w:type="dxa"/>
              <w:right w:w="20" w:type="dxa"/>
            </w:tcMar>
            <w:vAlign w:val="center"/>
            <w:hideMark/>
          </w:tcPr>
          <w:p w14:paraId="4D6C0E9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8B2D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72935D" w14:textId="77777777" w:rsidR="00000000" w:rsidRDefault="00A173A8">
            <w:pPr>
              <w:spacing w:after="100"/>
              <w:jc w:val="right"/>
              <w:rPr>
                <w:rFonts w:eastAsia="Times New Roman"/>
              </w:rPr>
            </w:pPr>
            <w:r>
              <w:rPr>
                <w:rFonts w:eastAsia="Times New Roman"/>
                <w:color w:val="000000"/>
                <w:sz w:val="20"/>
                <w:szCs w:val="20"/>
              </w:rPr>
              <w:t>21.8 </w:t>
            </w:r>
          </w:p>
        </w:tc>
        <w:tc>
          <w:tcPr>
            <w:tcW w:w="0" w:type="auto"/>
            <w:shd w:val="clear" w:color="auto" w:fill="CCEEFF"/>
            <w:tcMar>
              <w:top w:w="30" w:type="dxa"/>
              <w:left w:w="0" w:type="dxa"/>
              <w:bottom w:w="30" w:type="dxa"/>
              <w:right w:w="20" w:type="dxa"/>
            </w:tcMar>
            <w:vAlign w:val="center"/>
            <w:hideMark/>
          </w:tcPr>
          <w:p w14:paraId="408C30C6" w14:textId="77777777" w:rsidR="00000000" w:rsidRDefault="00A173A8">
            <w:pPr>
              <w:spacing w:after="100"/>
              <w:jc w:val="right"/>
              <w:rPr>
                <w:rFonts w:eastAsia="Times New Roman"/>
              </w:rPr>
            </w:pPr>
          </w:p>
        </w:tc>
      </w:tr>
      <w:tr w:rsidR="00000000" w14:paraId="5472CF7D" w14:textId="77777777">
        <w:trPr>
          <w:divId w:val="538934321"/>
        </w:trPr>
        <w:tc>
          <w:tcPr>
            <w:tcW w:w="0" w:type="auto"/>
            <w:gridSpan w:val="3"/>
            <w:shd w:val="clear" w:color="auto" w:fill="FFFFFF"/>
            <w:tcMar>
              <w:top w:w="30" w:type="dxa"/>
              <w:left w:w="20" w:type="dxa"/>
              <w:bottom w:w="30" w:type="dxa"/>
              <w:right w:w="20" w:type="dxa"/>
            </w:tcMar>
            <w:vAlign w:val="center"/>
            <w:hideMark/>
          </w:tcPr>
          <w:p w14:paraId="47B9AE48"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395FCF22"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B9A1010"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66FEF1" w14:textId="77777777" w:rsidR="00000000" w:rsidRDefault="00A173A8">
            <w:pPr>
              <w:spacing w:after="100"/>
              <w:jc w:val="right"/>
              <w:rPr>
                <w:rFonts w:eastAsia="Times New Roman"/>
              </w:rPr>
            </w:pPr>
            <w:r>
              <w:rPr>
                <w:rFonts w:eastAsia="Times New Roman"/>
                <w:b/>
                <w:bCs/>
                <w:color w:val="000000"/>
                <w:sz w:val="20"/>
                <w:szCs w:val="20"/>
              </w:rPr>
              <w:t>2,200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A4F482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90E460"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79624A5" w14:textId="77777777" w:rsidR="00000000" w:rsidRDefault="00A173A8">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608ABD3"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5B4AE57" w14:textId="77777777" w:rsidR="00000000" w:rsidRDefault="00A173A8">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F914701"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35DAD87" w14:textId="77777777" w:rsidR="00000000" w:rsidRDefault="00A173A8">
            <w:pPr>
              <w:spacing w:after="100"/>
              <w:jc w:val="right"/>
              <w:rPr>
                <w:rFonts w:eastAsia="Times New Roman"/>
              </w:rPr>
            </w:pPr>
            <w:r>
              <w:rPr>
                <w:rFonts w:eastAsia="Times New Roman"/>
                <w:color w:val="000000"/>
                <w:sz w:val="20"/>
                <w:szCs w:val="20"/>
              </w:rPr>
              <w:t>1,640 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BD70EC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EB026"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F988323" w14:textId="77777777" w:rsidR="00000000" w:rsidRDefault="00A173A8">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8EBADAF" w14:textId="77777777" w:rsidR="00000000" w:rsidRDefault="00A173A8">
            <w:pPr>
              <w:spacing w:after="100"/>
              <w:jc w:val="right"/>
              <w:rPr>
                <w:rFonts w:eastAsia="Times New Roman"/>
              </w:rPr>
            </w:pPr>
            <w:r>
              <w:rPr>
                <w:rFonts w:eastAsia="Times New Roman"/>
                <w:color w:val="000000"/>
                <w:sz w:val="20"/>
                <w:szCs w:val="20"/>
              </w:rPr>
              <w:t>%</w:t>
            </w:r>
          </w:p>
        </w:tc>
      </w:tr>
    </w:tbl>
    <w:p w14:paraId="538EE219" w14:textId="77777777" w:rsidR="00000000" w:rsidRDefault="00A173A8">
      <w:pPr>
        <w:jc w:val="both"/>
        <w:divId w:val="309091109"/>
        <w:rPr>
          <w:rFonts w:eastAsia="Times New Roman"/>
        </w:rPr>
      </w:pPr>
      <w:r>
        <w:rPr>
          <w:rFonts w:eastAsia="Times New Roman"/>
          <w:color w:val="000000"/>
          <w:sz w:val="20"/>
          <w:szCs w:val="20"/>
        </w:rPr>
        <w:t>We provide additional information on modified loans accounted for as a TDR, including the performance of those loans subsequent to modification, in “Note 3—Loans.” Recently issued accounting standards eliminate the accounting guidance for TDRs effec</w:t>
      </w:r>
      <w:r>
        <w:rPr>
          <w:rFonts w:eastAsia="Times New Roman"/>
          <w:color w:val="000000"/>
          <w:sz w:val="20"/>
          <w:szCs w:val="20"/>
        </w:rPr>
        <w:t>tive for fiscal years beginning on or after December 15, 2022. See “MD&amp;A—Accounting Changes and Developments” for additional information on these accounting standards, which we have not yet adopted.</w:t>
      </w:r>
    </w:p>
    <w:p w14:paraId="2B84C44E" w14:textId="77777777" w:rsidR="00000000" w:rsidRDefault="00A173A8">
      <w:pPr>
        <w:divId w:val="941186601"/>
        <w:rPr>
          <w:rFonts w:eastAsia="Times New Roman"/>
        </w:rPr>
      </w:pPr>
      <w:r>
        <w:rPr>
          <w:rFonts w:eastAsia="Times New Roman"/>
          <w:b/>
          <w:bCs/>
          <w:color w:val="000000"/>
          <w:sz w:val="20"/>
          <w:szCs w:val="20"/>
        </w:rPr>
        <w:t>Allowance for Credit Losses and Reserve for Unfunded Lending Commitments</w:t>
      </w:r>
    </w:p>
    <w:p w14:paraId="1F6BBB68" w14:textId="77777777" w:rsidR="00000000" w:rsidRDefault="00A173A8">
      <w:pPr>
        <w:jc w:val="both"/>
        <w:divId w:val="2043745001"/>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sheet</w:t>
      </w:r>
      <w:r>
        <w:rPr>
          <w:rFonts w:eastAsia="Times New Roman"/>
          <w:color w:val="000000"/>
          <w:sz w:val="20"/>
          <w:szCs w:val="20"/>
        </w:rPr>
        <w:t xml:space="preserve"> date. Expected recoveries of amounts previously charged off or expected to be charged off are recognized within the allowance. We also estimate expected credit losses related to unfunded lending commitments that are not unconditionally cancellable. The pr</w:t>
      </w:r>
      <w:r>
        <w:rPr>
          <w:rFonts w:eastAsia="Times New Roman"/>
          <w:color w:val="000000"/>
          <w:sz w:val="20"/>
          <w:szCs w:val="20"/>
        </w:rPr>
        <w:t>ovision for losses on unfunded lending commitments is included in the provision for credit losses in our consolidated statements of income and the related reserve for unfunded lending commitments is included in other liabilities on our consolidated balance</w:t>
      </w:r>
      <w:r>
        <w:rPr>
          <w:rFonts w:eastAsia="Times New Roman"/>
          <w:color w:val="000000"/>
          <w:sz w:val="20"/>
          <w:szCs w:val="20"/>
        </w:rPr>
        <w:t xml:space="preserve"> sheets. We provide additional information on the methodologies and key assumptions used in determining our allowance for credit losses in “Note 1—Summary of Significant Accounting Policies” in our 2021 Form 10-K.</w:t>
      </w:r>
    </w:p>
    <w:p w14:paraId="03013ACF" w14:textId="77777777" w:rsidR="00000000" w:rsidRDefault="00A173A8">
      <w:pPr>
        <w:jc w:val="both"/>
        <w:divId w:val="1862550164"/>
        <w:rPr>
          <w:rFonts w:eastAsia="Times New Roman"/>
        </w:rPr>
      </w:pPr>
      <w:r>
        <w:rPr>
          <w:rFonts w:eastAsia="Times New Roman"/>
          <w:color w:val="000000"/>
          <w:sz w:val="20"/>
          <w:szCs w:val="20"/>
        </w:rPr>
        <w:t>Table 28 presents changes in our allowance</w:t>
      </w:r>
      <w:r>
        <w:rPr>
          <w:rFonts w:eastAsia="Times New Roman"/>
          <w:color w:val="000000"/>
          <w:sz w:val="20"/>
          <w:szCs w:val="20"/>
        </w:rPr>
        <w:t xml:space="preserve"> for credit losses and reserve for unfunded lending commitments for the second quarter and first six months of 2022 and 2021, and details by portfolio segment for the provision for credit losses, charge-offs and recoveries.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3791223" w14:textId="77777777">
        <w:trPr>
          <w:divId w:val="1016737508"/>
          <w:jc w:val="center"/>
        </w:trPr>
        <w:tc>
          <w:tcPr>
            <w:tcW w:w="50" w:type="pct"/>
            <w:vAlign w:val="center"/>
            <w:hideMark/>
          </w:tcPr>
          <w:p w14:paraId="6139C940" w14:textId="77777777" w:rsidR="00000000" w:rsidRDefault="00A173A8">
            <w:pPr>
              <w:jc w:val="both"/>
              <w:rPr>
                <w:rFonts w:eastAsia="Times New Roman"/>
              </w:rPr>
            </w:pPr>
          </w:p>
        </w:tc>
        <w:tc>
          <w:tcPr>
            <w:tcW w:w="1606" w:type="pct"/>
            <w:vAlign w:val="center"/>
            <w:hideMark/>
          </w:tcPr>
          <w:p w14:paraId="00EA82FC" w14:textId="77777777" w:rsidR="00000000" w:rsidRDefault="00A173A8">
            <w:pPr>
              <w:spacing w:after="100"/>
              <w:rPr>
                <w:rFonts w:eastAsia="Times New Roman"/>
                <w:sz w:val="20"/>
                <w:szCs w:val="20"/>
              </w:rPr>
            </w:pPr>
          </w:p>
        </w:tc>
        <w:tc>
          <w:tcPr>
            <w:tcW w:w="5" w:type="pct"/>
            <w:vAlign w:val="center"/>
            <w:hideMark/>
          </w:tcPr>
          <w:p w14:paraId="3FAFA2C9" w14:textId="77777777" w:rsidR="00000000" w:rsidRDefault="00A173A8">
            <w:pPr>
              <w:spacing w:after="100"/>
              <w:rPr>
                <w:rFonts w:eastAsia="Times New Roman"/>
                <w:sz w:val="20"/>
                <w:szCs w:val="20"/>
              </w:rPr>
            </w:pPr>
          </w:p>
        </w:tc>
        <w:tc>
          <w:tcPr>
            <w:tcW w:w="50" w:type="pct"/>
            <w:vAlign w:val="center"/>
            <w:hideMark/>
          </w:tcPr>
          <w:p w14:paraId="5004DD6D" w14:textId="77777777" w:rsidR="00000000" w:rsidRDefault="00A173A8">
            <w:pPr>
              <w:spacing w:after="100"/>
              <w:rPr>
                <w:rFonts w:eastAsia="Times New Roman"/>
                <w:sz w:val="20"/>
                <w:szCs w:val="20"/>
              </w:rPr>
            </w:pPr>
          </w:p>
        </w:tc>
        <w:tc>
          <w:tcPr>
            <w:tcW w:w="1614" w:type="pct"/>
            <w:vAlign w:val="center"/>
            <w:hideMark/>
          </w:tcPr>
          <w:p w14:paraId="65AF6CD2" w14:textId="77777777" w:rsidR="00000000" w:rsidRDefault="00A173A8">
            <w:pPr>
              <w:spacing w:after="100"/>
              <w:rPr>
                <w:rFonts w:eastAsia="Times New Roman"/>
                <w:sz w:val="20"/>
                <w:szCs w:val="20"/>
              </w:rPr>
            </w:pPr>
          </w:p>
        </w:tc>
        <w:tc>
          <w:tcPr>
            <w:tcW w:w="5" w:type="pct"/>
            <w:vAlign w:val="center"/>
            <w:hideMark/>
          </w:tcPr>
          <w:p w14:paraId="15EEA668" w14:textId="77777777" w:rsidR="00000000" w:rsidRDefault="00A173A8">
            <w:pPr>
              <w:spacing w:after="100"/>
              <w:rPr>
                <w:rFonts w:eastAsia="Times New Roman"/>
                <w:sz w:val="20"/>
                <w:szCs w:val="20"/>
              </w:rPr>
            </w:pPr>
          </w:p>
        </w:tc>
        <w:tc>
          <w:tcPr>
            <w:tcW w:w="50" w:type="pct"/>
            <w:vAlign w:val="center"/>
            <w:hideMark/>
          </w:tcPr>
          <w:p w14:paraId="7F72AFC1" w14:textId="77777777" w:rsidR="00000000" w:rsidRDefault="00A173A8">
            <w:pPr>
              <w:spacing w:after="100"/>
              <w:rPr>
                <w:rFonts w:eastAsia="Times New Roman"/>
                <w:sz w:val="20"/>
                <w:szCs w:val="20"/>
              </w:rPr>
            </w:pPr>
          </w:p>
        </w:tc>
        <w:tc>
          <w:tcPr>
            <w:tcW w:w="1614" w:type="pct"/>
            <w:vAlign w:val="center"/>
            <w:hideMark/>
          </w:tcPr>
          <w:p w14:paraId="6DCD865B" w14:textId="77777777" w:rsidR="00000000" w:rsidRDefault="00A173A8">
            <w:pPr>
              <w:spacing w:after="100"/>
              <w:rPr>
                <w:rFonts w:eastAsia="Times New Roman"/>
                <w:sz w:val="20"/>
                <w:szCs w:val="20"/>
              </w:rPr>
            </w:pPr>
          </w:p>
        </w:tc>
        <w:tc>
          <w:tcPr>
            <w:tcW w:w="5" w:type="pct"/>
            <w:vAlign w:val="center"/>
            <w:hideMark/>
          </w:tcPr>
          <w:p w14:paraId="00A84C05" w14:textId="77777777" w:rsidR="00000000" w:rsidRDefault="00A173A8">
            <w:pPr>
              <w:spacing w:after="100"/>
              <w:rPr>
                <w:rFonts w:eastAsia="Times New Roman"/>
                <w:sz w:val="20"/>
                <w:szCs w:val="20"/>
              </w:rPr>
            </w:pPr>
          </w:p>
        </w:tc>
      </w:tr>
      <w:tr w:rsidR="00000000" w14:paraId="7E94B111" w14:textId="77777777">
        <w:trPr>
          <w:divId w:val="1016737508"/>
          <w:trHeight w:val="300"/>
          <w:jc w:val="center"/>
        </w:trPr>
        <w:tc>
          <w:tcPr>
            <w:tcW w:w="0" w:type="auto"/>
            <w:gridSpan w:val="9"/>
            <w:tcMar>
              <w:top w:w="0" w:type="dxa"/>
              <w:left w:w="20" w:type="dxa"/>
              <w:bottom w:w="0" w:type="dxa"/>
              <w:right w:w="20" w:type="dxa"/>
            </w:tcMar>
            <w:vAlign w:val="center"/>
            <w:hideMark/>
          </w:tcPr>
          <w:p w14:paraId="66B9BD01" w14:textId="77777777" w:rsidR="00000000" w:rsidRDefault="00A173A8">
            <w:pPr>
              <w:spacing w:after="100"/>
              <w:rPr>
                <w:rFonts w:eastAsia="Times New Roman"/>
                <w:sz w:val="20"/>
                <w:szCs w:val="20"/>
              </w:rPr>
            </w:pPr>
          </w:p>
        </w:tc>
      </w:tr>
      <w:tr w:rsidR="00000000" w14:paraId="0E851DF0" w14:textId="77777777">
        <w:trPr>
          <w:divId w:val="1016737508"/>
          <w:jc w:val="center"/>
        </w:trPr>
        <w:tc>
          <w:tcPr>
            <w:tcW w:w="0" w:type="auto"/>
            <w:gridSpan w:val="3"/>
            <w:tcMar>
              <w:top w:w="0" w:type="dxa"/>
              <w:left w:w="20" w:type="dxa"/>
              <w:bottom w:w="0" w:type="dxa"/>
              <w:right w:w="20" w:type="dxa"/>
            </w:tcMar>
            <w:vAlign w:val="center"/>
            <w:hideMark/>
          </w:tcPr>
          <w:p w14:paraId="2959D3FC"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626394B" w14:textId="77777777" w:rsidR="00000000" w:rsidRDefault="00A173A8">
            <w:pPr>
              <w:spacing w:after="100"/>
              <w:jc w:val="center"/>
              <w:rPr>
                <w:rFonts w:eastAsia="Times New Roman"/>
              </w:rPr>
            </w:pPr>
            <w:r>
              <w:rPr>
                <w:rFonts w:eastAsia="Times New Roman"/>
                <w:color w:val="000000"/>
                <w:sz w:val="16"/>
                <w:szCs w:val="16"/>
              </w:rPr>
              <w:t>44</w:t>
            </w:r>
          </w:p>
        </w:tc>
        <w:tc>
          <w:tcPr>
            <w:tcW w:w="0" w:type="auto"/>
            <w:gridSpan w:val="3"/>
            <w:tcMar>
              <w:top w:w="30" w:type="dxa"/>
              <w:left w:w="20" w:type="dxa"/>
              <w:bottom w:w="30" w:type="dxa"/>
              <w:right w:w="20" w:type="dxa"/>
            </w:tcMar>
            <w:vAlign w:val="bottom"/>
            <w:hideMark/>
          </w:tcPr>
          <w:p w14:paraId="3370EEC7"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3DA4B45" w14:textId="77777777" w:rsidR="00000000" w:rsidRDefault="00A173A8">
      <w:pPr>
        <w:rPr>
          <w:rFonts w:eastAsia="Times New Roman"/>
        </w:rPr>
      </w:pPr>
      <w:r>
        <w:rPr>
          <w:rFonts w:eastAsia="Times New Roman"/>
        </w:rPr>
        <w:pict w14:anchorId="7A65AC20">
          <v:rect id="_x0000_i1069" style="width:0;height:1.5pt" o:hralign="center" o:hrstd="t" o:hr="t" fillcolor="#a0a0a0" stroked="f"/>
        </w:pict>
      </w:r>
    </w:p>
    <w:p w14:paraId="088649B2" w14:textId="77777777" w:rsidR="00000000" w:rsidRDefault="00A173A8">
      <w:pPr>
        <w:ind w:hanging="360"/>
        <w:jc w:val="both"/>
        <w:divId w:val="1939680692"/>
        <w:rPr>
          <w:rFonts w:eastAsia="Times New Roman"/>
        </w:rPr>
      </w:pPr>
      <w:hyperlink w:anchor="i7ffd5d61af6f4722b1b1b07530d51c06_13" w:history="1">
        <w:r>
          <w:rPr>
            <w:rStyle w:val="a3"/>
            <w:rFonts w:eastAsia="Times New Roman"/>
            <w:sz w:val="16"/>
            <w:szCs w:val="16"/>
          </w:rPr>
          <w:t>Table of Contents</w:t>
        </w:r>
      </w:hyperlink>
    </w:p>
    <w:p w14:paraId="22C5EAE9" w14:textId="77777777" w:rsidR="00000000" w:rsidRDefault="00A173A8">
      <w:pPr>
        <w:divId w:val="1246453910"/>
        <w:rPr>
          <w:rFonts w:eastAsia="Times New Roman"/>
        </w:rPr>
      </w:pPr>
      <w:r>
        <w:rPr>
          <w:rFonts w:eastAsia="Times New Roman"/>
          <w:b/>
          <w:bCs/>
          <w:color w:val="000000"/>
          <w:sz w:val="18"/>
          <w:szCs w:val="18"/>
        </w:rPr>
        <w:t>Table 28: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2293"/>
        <w:gridCol w:w="39"/>
        <w:gridCol w:w="36"/>
        <w:gridCol w:w="36"/>
        <w:gridCol w:w="36"/>
        <w:gridCol w:w="101"/>
        <w:gridCol w:w="458"/>
        <w:gridCol w:w="36"/>
        <w:gridCol w:w="36"/>
        <w:gridCol w:w="36"/>
        <w:gridCol w:w="36"/>
        <w:gridCol w:w="101"/>
        <w:gridCol w:w="674"/>
        <w:gridCol w:w="36"/>
        <w:gridCol w:w="36"/>
        <w:gridCol w:w="36"/>
        <w:gridCol w:w="36"/>
        <w:gridCol w:w="100"/>
        <w:gridCol w:w="40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100"/>
        <w:gridCol w:w="480"/>
        <w:gridCol w:w="36"/>
      </w:tblGrid>
      <w:tr w:rsidR="00000000" w14:paraId="7C4FE314" w14:textId="77777777">
        <w:trPr>
          <w:divId w:val="1616132076"/>
        </w:trPr>
        <w:tc>
          <w:tcPr>
            <w:tcW w:w="50" w:type="pct"/>
            <w:vAlign w:val="center"/>
            <w:hideMark/>
          </w:tcPr>
          <w:p w14:paraId="1DD1BDCB" w14:textId="77777777" w:rsidR="00000000" w:rsidRDefault="00A173A8">
            <w:pPr>
              <w:rPr>
                <w:rFonts w:eastAsia="Times New Roman"/>
              </w:rPr>
            </w:pPr>
          </w:p>
        </w:tc>
        <w:tc>
          <w:tcPr>
            <w:tcW w:w="1955" w:type="pct"/>
            <w:vAlign w:val="center"/>
            <w:hideMark/>
          </w:tcPr>
          <w:p w14:paraId="126AE3B9" w14:textId="77777777" w:rsidR="00000000" w:rsidRDefault="00A173A8">
            <w:pPr>
              <w:spacing w:after="100"/>
              <w:rPr>
                <w:rFonts w:eastAsia="Times New Roman"/>
                <w:sz w:val="20"/>
                <w:szCs w:val="20"/>
              </w:rPr>
            </w:pPr>
          </w:p>
        </w:tc>
        <w:tc>
          <w:tcPr>
            <w:tcW w:w="5" w:type="pct"/>
            <w:vAlign w:val="center"/>
            <w:hideMark/>
          </w:tcPr>
          <w:p w14:paraId="29AEF4EB" w14:textId="77777777" w:rsidR="00000000" w:rsidRDefault="00A173A8">
            <w:pPr>
              <w:spacing w:after="100"/>
              <w:rPr>
                <w:rFonts w:eastAsia="Times New Roman"/>
                <w:sz w:val="20"/>
                <w:szCs w:val="20"/>
              </w:rPr>
            </w:pPr>
          </w:p>
        </w:tc>
        <w:tc>
          <w:tcPr>
            <w:tcW w:w="5" w:type="pct"/>
            <w:vAlign w:val="center"/>
            <w:hideMark/>
          </w:tcPr>
          <w:p w14:paraId="37F6A480" w14:textId="77777777" w:rsidR="00000000" w:rsidRDefault="00A173A8">
            <w:pPr>
              <w:spacing w:after="100"/>
              <w:rPr>
                <w:rFonts w:eastAsia="Times New Roman"/>
                <w:sz w:val="20"/>
                <w:szCs w:val="20"/>
              </w:rPr>
            </w:pPr>
          </w:p>
        </w:tc>
        <w:tc>
          <w:tcPr>
            <w:tcW w:w="26" w:type="pct"/>
            <w:vAlign w:val="center"/>
            <w:hideMark/>
          </w:tcPr>
          <w:p w14:paraId="0C11A722" w14:textId="77777777" w:rsidR="00000000" w:rsidRDefault="00A173A8">
            <w:pPr>
              <w:spacing w:after="100"/>
              <w:rPr>
                <w:rFonts w:eastAsia="Times New Roman"/>
                <w:sz w:val="20"/>
                <w:szCs w:val="20"/>
              </w:rPr>
            </w:pPr>
          </w:p>
        </w:tc>
        <w:tc>
          <w:tcPr>
            <w:tcW w:w="5" w:type="pct"/>
            <w:vAlign w:val="center"/>
            <w:hideMark/>
          </w:tcPr>
          <w:p w14:paraId="1C4574A8" w14:textId="77777777" w:rsidR="00000000" w:rsidRDefault="00A173A8">
            <w:pPr>
              <w:spacing w:after="100"/>
              <w:rPr>
                <w:rFonts w:eastAsia="Times New Roman"/>
                <w:sz w:val="20"/>
                <w:szCs w:val="20"/>
              </w:rPr>
            </w:pPr>
          </w:p>
        </w:tc>
        <w:tc>
          <w:tcPr>
            <w:tcW w:w="50" w:type="pct"/>
            <w:vAlign w:val="center"/>
            <w:hideMark/>
          </w:tcPr>
          <w:p w14:paraId="2F991870" w14:textId="77777777" w:rsidR="00000000" w:rsidRDefault="00A173A8">
            <w:pPr>
              <w:spacing w:after="100"/>
              <w:rPr>
                <w:rFonts w:eastAsia="Times New Roman"/>
                <w:sz w:val="20"/>
                <w:szCs w:val="20"/>
              </w:rPr>
            </w:pPr>
          </w:p>
        </w:tc>
        <w:tc>
          <w:tcPr>
            <w:tcW w:w="266" w:type="pct"/>
            <w:vAlign w:val="center"/>
            <w:hideMark/>
          </w:tcPr>
          <w:p w14:paraId="1F4B5E80" w14:textId="77777777" w:rsidR="00000000" w:rsidRDefault="00A173A8">
            <w:pPr>
              <w:spacing w:after="100"/>
              <w:rPr>
                <w:rFonts w:eastAsia="Times New Roman"/>
                <w:sz w:val="20"/>
                <w:szCs w:val="20"/>
              </w:rPr>
            </w:pPr>
          </w:p>
        </w:tc>
        <w:tc>
          <w:tcPr>
            <w:tcW w:w="5" w:type="pct"/>
            <w:vAlign w:val="center"/>
            <w:hideMark/>
          </w:tcPr>
          <w:p w14:paraId="297517DD" w14:textId="77777777" w:rsidR="00000000" w:rsidRDefault="00A173A8">
            <w:pPr>
              <w:spacing w:after="100"/>
              <w:rPr>
                <w:rFonts w:eastAsia="Times New Roman"/>
                <w:sz w:val="20"/>
                <w:szCs w:val="20"/>
              </w:rPr>
            </w:pPr>
          </w:p>
        </w:tc>
        <w:tc>
          <w:tcPr>
            <w:tcW w:w="5" w:type="pct"/>
            <w:vAlign w:val="center"/>
            <w:hideMark/>
          </w:tcPr>
          <w:p w14:paraId="0C213814" w14:textId="77777777" w:rsidR="00000000" w:rsidRDefault="00A173A8">
            <w:pPr>
              <w:spacing w:after="100"/>
              <w:rPr>
                <w:rFonts w:eastAsia="Times New Roman"/>
                <w:sz w:val="20"/>
                <w:szCs w:val="20"/>
              </w:rPr>
            </w:pPr>
          </w:p>
        </w:tc>
        <w:tc>
          <w:tcPr>
            <w:tcW w:w="26" w:type="pct"/>
            <w:vAlign w:val="center"/>
            <w:hideMark/>
          </w:tcPr>
          <w:p w14:paraId="717112FB" w14:textId="77777777" w:rsidR="00000000" w:rsidRDefault="00A173A8">
            <w:pPr>
              <w:spacing w:after="100"/>
              <w:rPr>
                <w:rFonts w:eastAsia="Times New Roman"/>
                <w:sz w:val="20"/>
                <w:szCs w:val="20"/>
              </w:rPr>
            </w:pPr>
          </w:p>
        </w:tc>
        <w:tc>
          <w:tcPr>
            <w:tcW w:w="5" w:type="pct"/>
            <w:vAlign w:val="center"/>
            <w:hideMark/>
          </w:tcPr>
          <w:p w14:paraId="19F21E79" w14:textId="77777777" w:rsidR="00000000" w:rsidRDefault="00A173A8">
            <w:pPr>
              <w:spacing w:after="100"/>
              <w:rPr>
                <w:rFonts w:eastAsia="Times New Roman"/>
                <w:sz w:val="20"/>
                <w:szCs w:val="20"/>
              </w:rPr>
            </w:pPr>
          </w:p>
        </w:tc>
        <w:tc>
          <w:tcPr>
            <w:tcW w:w="50" w:type="pct"/>
            <w:vAlign w:val="center"/>
            <w:hideMark/>
          </w:tcPr>
          <w:p w14:paraId="7887C206" w14:textId="77777777" w:rsidR="00000000" w:rsidRDefault="00A173A8">
            <w:pPr>
              <w:spacing w:after="100"/>
              <w:rPr>
                <w:rFonts w:eastAsia="Times New Roman"/>
                <w:sz w:val="20"/>
                <w:szCs w:val="20"/>
              </w:rPr>
            </w:pPr>
          </w:p>
        </w:tc>
        <w:tc>
          <w:tcPr>
            <w:tcW w:w="361" w:type="pct"/>
            <w:vAlign w:val="center"/>
            <w:hideMark/>
          </w:tcPr>
          <w:p w14:paraId="0B2B579E" w14:textId="77777777" w:rsidR="00000000" w:rsidRDefault="00A173A8">
            <w:pPr>
              <w:spacing w:after="100"/>
              <w:rPr>
                <w:rFonts w:eastAsia="Times New Roman"/>
                <w:sz w:val="20"/>
                <w:szCs w:val="20"/>
              </w:rPr>
            </w:pPr>
          </w:p>
        </w:tc>
        <w:tc>
          <w:tcPr>
            <w:tcW w:w="5" w:type="pct"/>
            <w:vAlign w:val="center"/>
            <w:hideMark/>
          </w:tcPr>
          <w:p w14:paraId="18CD108F" w14:textId="77777777" w:rsidR="00000000" w:rsidRDefault="00A173A8">
            <w:pPr>
              <w:spacing w:after="100"/>
              <w:rPr>
                <w:rFonts w:eastAsia="Times New Roman"/>
                <w:sz w:val="20"/>
                <w:szCs w:val="20"/>
              </w:rPr>
            </w:pPr>
          </w:p>
        </w:tc>
        <w:tc>
          <w:tcPr>
            <w:tcW w:w="5" w:type="pct"/>
            <w:vAlign w:val="center"/>
            <w:hideMark/>
          </w:tcPr>
          <w:p w14:paraId="0E00EE5B" w14:textId="77777777" w:rsidR="00000000" w:rsidRDefault="00A173A8">
            <w:pPr>
              <w:spacing w:after="100"/>
              <w:rPr>
                <w:rFonts w:eastAsia="Times New Roman"/>
                <w:sz w:val="20"/>
                <w:szCs w:val="20"/>
              </w:rPr>
            </w:pPr>
          </w:p>
        </w:tc>
        <w:tc>
          <w:tcPr>
            <w:tcW w:w="26" w:type="pct"/>
            <w:vAlign w:val="center"/>
            <w:hideMark/>
          </w:tcPr>
          <w:p w14:paraId="54C4D992" w14:textId="77777777" w:rsidR="00000000" w:rsidRDefault="00A173A8">
            <w:pPr>
              <w:spacing w:after="100"/>
              <w:rPr>
                <w:rFonts w:eastAsia="Times New Roman"/>
                <w:sz w:val="20"/>
                <w:szCs w:val="20"/>
              </w:rPr>
            </w:pPr>
          </w:p>
        </w:tc>
        <w:tc>
          <w:tcPr>
            <w:tcW w:w="5" w:type="pct"/>
            <w:vAlign w:val="center"/>
            <w:hideMark/>
          </w:tcPr>
          <w:p w14:paraId="1EDB9EF1" w14:textId="77777777" w:rsidR="00000000" w:rsidRDefault="00A173A8">
            <w:pPr>
              <w:spacing w:after="100"/>
              <w:rPr>
                <w:rFonts w:eastAsia="Times New Roman"/>
                <w:sz w:val="20"/>
                <w:szCs w:val="20"/>
              </w:rPr>
            </w:pPr>
          </w:p>
        </w:tc>
        <w:tc>
          <w:tcPr>
            <w:tcW w:w="50" w:type="pct"/>
            <w:vAlign w:val="center"/>
            <w:hideMark/>
          </w:tcPr>
          <w:p w14:paraId="6A6D426A" w14:textId="77777777" w:rsidR="00000000" w:rsidRDefault="00A173A8">
            <w:pPr>
              <w:spacing w:after="100"/>
              <w:rPr>
                <w:rFonts w:eastAsia="Times New Roman"/>
                <w:sz w:val="20"/>
                <w:szCs w:val="20"/>
              </w:rPr>
            </w:pPr>
          </w:p>
        </w:tc>
        <w:tc>
          <w:tcPr>
            <w:tcW w:w="266" w:type="pct"/>
            <w:vAlign w:val="center"/>
            <w:hideMark/>
          </w:tcPr>
          <w:p w14:paraId="7C99C58E" w14:textId="77777777" w:rsidR="00000000" w:rsidRDefault="00A173A8">
            <w:pPr>
              <w:spacing w:after="100"/>
              <w:rPr>
                <w:rFonts w:eastAsia="Times New Roman"/>
                <w:sz w:val="20"/>
                <w:szCs w:val="20"/>
              </w:rPr>
            </w:pPr>
          </w:p>
        </w:tc>
        <w:tc>
          <w:tcPr>
            <w:tcW w:w="5" w:type="pct"/>
            <w:vAlign w:val="center"/>
            <w:hideMark/>
          </w:tcPr>
          <w:p w14:paraId="323CCBC0" w14:textId="77777777" w:rsidR="00000000" w:rsidRDefault="00A173A8">
            <w:pPr>
              <w:spacing w:after="100"/>
              <w:rPr>
                <w:rFonts w:eastAsia="Times New Roman"/>
                <w:sz w:val="20"/>
                <w:szCs w:val="20"/>
              </w:rPr>
            </w:pPr>
          </w:p>
        </w:tc>
        <w:tc>
          <w:tcPr>
            <w:tcW w:w="5" w:type="pct"/>
            <w:vAlign w:val="center"/>
            <w:hideMark/>
          </w:tcPr>
          <w:p w14:paraId="616165A1" w14:textId="77777777" w:rsidR="00000000" w:rsidRDefault="00A173A8">
            <w:pPr>
              <w:spacing w:after="100"/>
              <w:rPr>
                <w:rFonts w:eastAsia="Times New Roman"/>
                <w:sz w:val="20"/>
                <w:szCs w:val="20"/>
              </w:rPr>
            </w:pPr>
          </w:p>
        </w:tc>
        <w:tc>
          <w:tcPr>
            <w:tcW w:w="26" w:type="pct"/>
            <w:vAlign w:val="center"/>
            <w:hideMark/>
          </w:tcPr>
          <w:p w14:paraId="7084CC5E" w14:textId="77777777" w:rsidR="00000000" w:rsidRDefault="00A173A8">
            <w:pPr>
              <w:spacing w:after="100"/>
              <w:rPr>
                <w:rFonts w:eastAsia="Times New Roman"/>
                <w:sz w:val="20"/>
                <w:szCs w:val="20"/>
              </w:rPr>
            </w:pPr>
          </w:p>
        </w:tc>
        <w:tc>
          <w:tcPr>
            <w:tcW w:w="5" w:type="pct"/>
            <w:vAlign w:val="center"/>
            <w:hideMark/>
          </w:tcPr>
          <w:p w14:paraId="31A12E28" w14:textId="77777777" w:rsidR="00000000" w:rsidRDefault="00A173A8">
            <w:pPr>
              <w:spacing w:after="100"/>
              <w:rPr>
                <w:rFonts w:eastAsia="Times New Roman"/>
                <w:sz w:val="20"/>
                <w:szCs w:val="20"/>
              </w:rPr>
            </w:pPr>
          </w:p>
        </w:tc>
        <w:tc>
          <w:tcPr>
            <w:tcW w:w="50" w:type="pct"/>
            <w:vAlign w:val="center"/>
            <w:hideMark/>
          </w:tcPr>
          <w:p w14:paraId="0F747FB0" w14:textId="77777777" w:rsidR="00000000" w:rsidRDefault="00A173A8">
            <w:pPr>
              <w:spacing w:after="100"/>
              <w:rPr>
                <w:rFonts w:eastAsia="Times New Roman"/>
                <w:sz w:val="20"/>
                <w:szCs w:val="20"/>
              </w:rPr>
            </w:pPr>
          </w:p>
        </w:tc>
        <w:tc>
          <w:tcPr>
            <w:tcW w:w="215" w:type="pct"/>
            <w:vAlign w:val="center"/>
            <w:hideMark/>
          </w:tcPr>
          <w:p w14:paraId="03533D89" w14:textId="77777777" w:rsidR="00000000" w:rsidRDefault="00A173A8">
            <w:pPr>
              <w:spacing w:after="100"/>
              <w:rPr>
                <w:rFonts w:eastAsia="Times New Roman"/>
                <w:sz w:val="20"/>
                <w:szCs w:val="20"/>
              </w:rPr>
            </w:pPr>
          </w:p>
        </w:tc>
        <w:tc>
          <w:tcPr>
            <w:tcW w:w="5" w:type="pct"/>
            <w:vAlign w:val="center"/>
            <w:hideMark/>
          </w:tcPr>
          <w:p w14:paraId="2B6C65E5" w14:textId="77777777" w:rsidR="00000000" w:rsidRDefault="00A173A8">
            <w:pPr>
              <w:spacing w:after="100"/>
              <w:rPr>
                <w:rFonts w:eastAsia="Times New Roman"/>
                <w:sz w:val="20"/>
                <w:szCs w:val="20"/>
              </w:rPr>
            </w:pPr>
          </w:p>
        </w:tc>
        <w:tc>
          <w:tcPr>
            <w:tcW w:w="5" w:type="pct"/>
            <w:vAlign w:val="center"/>
            <w:hideMark/>
          </w:tcPr>
          <w:p w14:paraId="788DD3B6" w14:textId="77777777" w:rsidR="00000000" w:rsidRDefault="00A173A8">
            <w:pPr>
              <w:spacing w:after="100"/>
              <w:rPr>
                <w:rFonts w:eastAsia="Times New Roman"/>
                <w:sz w:val="20"/>
                <w:szCs w:val="20"/>
              </w:rPr>
            </w:pPr>
          </w:p>
        </w:tc>
        <w:tc>
          <w:tcPr>
            <w:tcW w:w="26" w:type="pct"/>
            <w:vAlign w:val="center"/>
            <w:hideMark/>
          </w:tcPr>
          <w:p w14:paraId="73FFF5EF" w14:textId="77777777" w:rsidR="00000000" w:rsidRDefault="00A173A8">
            <w:pPr>
              <w:spacing w:after="100"/>
              <w:rPr>
                <w:rFonts w:eastAsia="Times New Roman"/>
                <w:sz w:val="20"/>
                <w:szCs w:val="20"/>
              </w:rPr>
            </w:pPr>
          </w:p>
        </w:tc>
        <w:tc>
          <w:tcPr>
            <w:tcW w:w="5" w:type="pct"/>
            <w:vAlign w:val="center"/>
            <w:hideMark/>
          </w:tcPr>
          <w:p w14:paraId="3D8AC5BD" w14:textId="77777777" w:rsidR="00000000" w:rsidRDefault="00A173A8">
            <w:pPr>
              <w:spacing w:after="100"/>
              <w:rPr>
                <w:rFonts w:eastAsia="Times New Roman"/>
                <w:sz w:val="20"/>
                <w:szCs w:val="20"/>
              </w:rPr>
            </w:pPr>
          </w:p>
        </w:tc>
        <w:tc>
          <w:tcPr>
            <w:tcW w:w="50" w:type="pct"/>
            <w:vAlign w:val="center"/>
            <w:hideMark/>
          </w:tcPr>
          <w:p w14:paraId="0FD0BD81" w14:textId="77777777" w:rsidR="00000000" w:rsidRDefault="00A173A8">
            <w:pPr>
              <w:spacing w:after="100"/>
              <w:rPr>
                <w:rFonts w:eastAsia="Times New Roman"/>
                <w:sz w:val="20"/>
                <w:szCs w:val="20"/>
              </w:rPr>
            </w:pPr>
          </w:p>
        </w:tc>
        <w:tc>
          <w:tcPr>
            <w:tcW w:w="244" w:type="pct"/>
            <w:vAlign w:val="center"/>
            <w:hideMark/>
          </w:tcPr>
          <w:p w14:paraId="5602A92C" w14:textId="77777777" w:rsidR="00000000" w:rsidRDefault="00A173A8">
            <w:pPr>
              <w:spacing w:after="100"/>
              <w:rPr>
                <w:rFonts w:eastAsia="Times New Roman"/>
                <w:sz w:val="20"/>
                <w:szCs w:val="20"/>
              </w:rPr>
            </w:pPr>
          </w:p>
        </w:tc>
        <w:tc>
          <w:tcPr>
            <w:tcW w:w="5" w:type="pct"/>
            <w:vAlign w:val="center"/>
            <w:hideMark/>
          </w:tcPr>
          <w:p w14:paraId="3F20D660" w14:textId="77777777" w:rsidR="00000000" w:rsidRDefault="00A173A8">
            <w:pPr>
              <w:spacing w:after="100"/>
              <w:rPr>
                <w:rFonts w:eastAsia="Times New Roman"/>
                <w:sz w:val="20"/>
                <w:szCs w:val="20"/>
              </w:rPr>
            </w:pPr>
          </w:p>
        </w:tc>
        <w:tc>
          <w:tcPr>
            <w:tcW w:w="5" w:type="pct"/>
            <w:vAlign w:val="center"/>
            <w:hideMark/>
          </w:tcPr>
          <w:p w14:paraId="69CCEF19" w14:textId="77777777" w:rsidR="00000000" w:rsidRDefault="00A173A8">
            <w:pPr>
              <w:spacing w:after="100"/>
              <w:rPr>
                <w:rFonts w:eastAsia="Times New Roman"/>
                <w:sz w:val="20"/>
                <w:szCs w:val="20"/>
              </w:rPr>
            </w:pPr>
          </w:p>
        </w:tc>
        <w:tc>
          <w:tcPr>
            <w:tcW w:w="26" w:type="pct"/>
            <w:vAlign w:val="center"/>
            <w:hideMark/>
          </w:tcPr>
          <w:p w14:paraId="75FD8432" w14:textId="77777777" w:rsidR="00000000" w:rsidRDefault="00A173A8">
            <w:pPr>
              <w:spacing w:after="100"/>
              <w:rPr>
                <w:rFonts w:eastAsia="Times New Roman"/>
                <w:sz w:val="20"/>
                <w:szCs w:val="20"/>
              </w:rPr>
            </w:pPr>
          </w:p>
        </w:tc>
        <w:tc>
          <w:tcPr>
            <w:tcW w:w="5" w:type="pct"/>
            <w:vAlign w:val="center"/>
            <w:hideMark/>
          </w:tcPr>
          <w:p w14:paraId="19C56482" w14:textId="77777777" w:rsidR="00000000" w:rsidRDefault="00A173A8">
            <w:pPr>
              <w:spacing w:after="100"/>
              <w:rPr>
                <w:rFonts w:eastAsia="Times New Roman"/>
                <w:sz w:val="20"/>
                <w:szCs w:val="20"/>
              </w:rPr>
            </w:pPr>
          </w:p>
        </w:tc>
        <w:tc>
          <w:tcPr>
            <w:tcW w:w="50" w:type="pct"/>
            <w:vAlign w:val="center"/>
            <w:hideMark/>
          </w:tcPr>
          <w:p w14:paraId="44AD89E5" w14:textId="77777777" w:rsidR="00000000" w:rsidRDefault="00A173A8">
            <w:pPr>
              <w:spacing w:after="100"/>
              <w:rPr>
                <w:rFonts w:eastAsia="Times New Roman"/>
                <w:sz w:val="20"/>
                <w:szCs w:val="20"/>
              </w:rPr>
            </w:pPr>
          </w:p>
        </w:tc>
        <w:tc>
          <w:tcPr>
            <w:tcW w:w="317" w:type="pct"/>
            <w:vAlign w:val="center"/>
            <w:hideMark/>
          </w:tcPr>
          <w:p w14:paraId="508FF8A6" w14:textId="77777777" w:rsidR="00000000" w:rsidRDefault="00A173A8">
            <w:pPr>
              <w:spacing w:after="100"/>
              <w:rPr>
                <w:rFonts w:eastAsia="Times New Roman"/>
                <w:sz w:val="20"/>
                <w:szCs w:val="20"/>
              </w:rPr>
            </w:pPr>
          </w:p>
        </w:tc>
        <w:tc>
          <w:tcPr>
            <w:tcW w:w="5" w:type="pct"/>
            <w:vAlign w:val="center"/>
            <w:hideMark/>
          </w:tcPr>
          <w:p w14:paraId="3E42C5B5" w14:textId="77777777" w:rsidR="00000000" w:rsidRDefault="00A173A8">
            <w:pPr>
              <w:spacing w:after="100"/>
              <w:rPr>
                <w:rFonts w:eastAsia="Times New Roman"/>
                <w:sz w:val="20"/>
                <w:szCs w:val="20"/>
              </w:rPr>
            </w:pPr>
          </w:p>
        </w:tc>
        <w:tc>
          <w:tcPr>
            <w:tcW w:w="5" w:type="pct"/>
            <w:vAlign w:val="center"/>
            <w:hideMark/>
          </w:tcPr>
          <w:p w14:paraId="22A77C95" w14:textId="77777777" w:rsidR="00000000" w:rsidRDefault="00A173A8">
            <w:pPr>
              <w:spacing w:after="100"/>
              <w:rPr>
                <w:rFonts w:eastAsia="Times New Roman"/>
                <w:sz w:val="20"/>
                <w:szCs w:val="20"/>
              </w:rPr>
            </w:pPr>
          </w:p>
        </w:tc>
        <w:tc>
          <w:tcPr>
            <w:tcW w:w="26" w:type="pct"/>
            <w:vAlign w:val="center"/>
            <w:hideMark/>
          </w:tcPr>
          <w:p w14:paraId="0E633314" w14:textId="77777777" w:rsidR="00000000" w:rsidRDefault="00A173A8">
            <w:pPr>
              <w:spacing w:after="100"/>
              <w:rPr>
                <w:rFonts w:eastAsia="Times New Roman"/>
                <w:sz w:val="20"/>
                <w:szCs w:val="20"/>
              </w:rPr>
            </w:pPr>
          </w:p>
        </w:tc>
        <w:tc>
          <w:tcPr>
            <w:tcW w:w="5" w:type="pct"/>
            <w:vAlign w:val="center"/>
            <w:hideMark/>
          </w:tcPr>
          <w:p w14:paraId="0EAB3CAB" w14:textId="77777777" w:rsidR="00000000" w:rsidRDefault="00A173A8">
            <w:pPr>
              <w:spacing w:after="100"/>
              <w:rPr>
                <w:rFonts w:eastAsia="Times New Roman"/>
                <w:sz w:val="20"/>
                <w:szCs w:val="20"/>
              </w:rPr>
            </w:pPr>
          </w:p>
        </w:tc>
        <w:tc>
          <w:tcPr>
            <w:tcW w:w="50" w:type="pct"/>
            <w:vAlign w:val="center"/>
            <w:hideMark/>
          </w:tcPr>
          <w:p w14:paraId="5A431AA6" w14:textId="77777777" w:rsidR="00000000" w:rsidRDefault="00A173A8">
            <w:pPr>
              <w:spacing w:after="100"/>
              <w:rPr>
                <w:rFonts w:eastAsia="Times New Roman"/>
                <w:sz w:val="20"/>
                <w:szCs w:val="20"/>
              </w:rPr>
            </w:pPr>
          </w:p>
        </w:tc>
        <w:tc>
          <w:tcPr>
            <w:tcW w:w="332" w:type="pct"/>
            <w:vAlign w:val="center"/>
            <w:hideMark/>
          </w:tcPr>
          <w:p w14:paraId="5B624ACA" w14:textId="77777777" w:rsidR="00000000" w:rsidRDefault="00A173A8">
            <w:pPr>
              <w:spacing w:after="100"/>
              <w:rPr>
                <w:rFonts w:eastAsia="Times New Roman"/>
                <w:sz w:val="20"/>
                <w:szCs w:val="20"/>
              </w:rPr>
            </w:pPr>
          </w:p>
        </w:tc>
        <w:tc>
          <w:tcPr>
            <w:tcW w:w="5" w:type="pct"/>
            <w:vAlign w:val="center"/>
            <w:hideMark/>
          </w:tcPr>
          <w:p w14:paraId="64DC0438" w14:textId="77777777" w:rsidR="00000000" w:rsidRDefault="00A173A8">
            <w:pPr>
              <w:spacing w:after="100"/>
              <w:rPr>
                <w:rFonts w:eastAsia="Times New Roman"/>
                <w:sz w:val="20"/>
                <w:szCs w:val="20"/>
              </w:rPr>
            </w:pPr>
          </w:p>
        </w:tc>
        <w:tc>
          <w:tcPr>
            <w:tcW w:w="5" w:type="pct"/>
            <w:vAlign w:val="center"/>
            <w:hideMark/>
          </w:tcPr>
          <w:p w14:paraId="679AB434" w14:textId="77777777" w:rsidR="00000000" w:rsidRDefault="00A173A8">
            <w:pPr>
              <w:spacing w:after="100"/>
              <w:rPr>
                <w:rFonts w:eastAsia="Times New Roman"/>
                <w:sz w:val="20"/>
                <w:szCs w:val="20"/>
              </w:rPr>
            </w:pPr>
          </w:p>
        </w:tc>
        <w:tc>
          <w:tcPr>
            <w:tcW w:w="26" w:type="pct"/>
            <w:vAlign w:val="center"/>
            <w:hideMark/>
          </w:tcPr>
          <w:p w14:paraId="35002341" w14:textId="77777777" w:rsidR="00000000" w:rsidRDefault="00A173A8">
            <w:pPr>
              <w:spacing w:after="100"/>
              <w:rPr>
                <w:rFonts w:eastAsia="Times New Roman"/>
                <w:sz w:val="20"/>
                <w:szCs w:val="20"/>
              </w:rPr>
            </w:pPr>
          </w:p>
        </w:tc>
        <w:tc>
          <w:tcPr>
            <w:tcW w:w="5" w:type="pct"/>
            <w:vAlign w:val="center"/>
            <w:hideMark/>
          </w:tcPr>
          <w:p w14:paraId="615551D3" w14:textId="77777777" w:rsidR="00000000" w:rsidRDefault="00A173A8">
            <w:pPr>
              <w:spacing w:after="100"/>
              <w:rPr>
                <w:rFonts w:eastAsia="Times New Roman"/>
                <w:sz w:val="20"/>
                <w:szCs w:val="20"/>
              </w:rPr>
            </w:pPr>
          </w:p>
        </w:tc>
        <w:tc>
          <w:tcPr>
            <w:tcW w:w="50" w:type="pct"/>
            <w:vAlign w:val="center"/>
            <w:hideMark/>
          </w:tcPr>
          <w:p w14:paraId="2130E3FF" w14:textId="77777777" w:rsidR="00000000" w:rsidRDefault="00A173A8">
            <w:pPr>
              <w:spacing w:after="100"/>
              <w:rPr>
                <w:rFonts w:eastAsia="Times New Roman"/>
                <w:sz w:val="20"/>
                <w:szCs w:val="20"/>
              </w:rPr>
            </w:pPr>
          </w:p>
        </w:tc>
        <w:tc>
          <w:tcPr>
            <w:tcW w:w="252" w:type="pct"/>
            <w:vAlign w:val="center"/>
            <w:hideMark/>
          </w:tcPr>
          <w:p w14:paraId="6BA76708" w14:textId="77777777" w:rsidR="00000000" w:rsidRDefault="00A173A8">
            <w:pPr>
              <w:spacing w:after="100"/>
              <w:rPr>
                <w:rFonts w:eastAsia="Times New Roman"/>
                <w:sz w:val="20"/>
                <w:szCs w:val="20"/>
              </w:rPr>
            </w:pPr>
          </w:p>
        </w:tc>
        <w:tc>
          <w:tcPr>
            <w:tcW w:w="5" w:type="pct"/>
            <w:vAlign w:val="center"/>
            <w:hideMark/>
          </w:tcPr>
          <w:p w14:paraId="10287CFE" w14:textId="77777777" w:rsidR="00000000" w:rsidRDefault="00A173A8">
            <w:pPr>
              <w:spacing w:after="100"/>
              <w:rPr>
                <w:rFonts w:eastAsia="Times New Roman"/>
                <w:sz w:val="20"/>
                <w:szCs w:val="20"/>
              </w:rPr>
            </w:pPr>
          </w:p>
        </w:tc>
      </w:tr>
      <w:tr w:rsidR="00000000" w14:paraId="402C37A6" w14:textId="77777777">
        <w:trPr>
          <w:divId w:val="1616132076"/>
        </w:trPr>
        <w:tc>
          <w:tcPr>
            <w:tcW w:w="0" w:type="auto"/>
            <w:gridSpan w:val="3"/>
            <w:tcMar>
              <w:top w:w="0" w:type="dxa"/>
              <w:left w:w="20" w:type="dxa"/>
              <w:bottom w:w="0" w:type="dxa"/>
              <w:right w:w="20" w:type="dxa"/>
            </w:tcMar>
            <w:vAlign w:val="center"/>
            <w:hideMark/>
          </w:tcPr>
          <w:p w14:paraId="1FC7690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16226A" w14:textId="77777777" w:rsidR="00000000" w:rsidRDefault="00A173A8">
            <w:pPr>
              <w:spacing w:after="100"/>
              <w:rPr>
                <w:rFonts w:eastAsia="Times New Roman"/>
                <w:sz w:val="20"/>
                <w:szCs w:val="20"/>
              </w:rPr>
            </w:pPr>
          </w:p>
        </w:tc>
        <w:tc>
          <w:tcPr>
            <w:tcW w:w="0" w:type="auto"/>
            <w:gridSpan w:val="45"/>
            <w:tcMar>
              <w:top w:w="30" w:type="dxa"/>
              <w:left w:w="20" w:type="dxa"/>
              <w:bottom w:w="30" w:type="dxa"/>
              <w:right w:w="20" w:type="dxa"/>
            </w:tcMar>
            <w:vAlign w:val="center"/>
            <w:hideMark/>
          </w:tcPr>
          <w:p w14:paraId="2C331EAA" w14:textId="77777777" w:rsidR="00000000" w:rsidRDefault="00A173A8">
            <w:pPr>
              <w:spacing w:after="100"/>
              <w:jc w:val="center"/>
              <w:rPr>
                <w:rFonts w:eastAsia="Times New Roman"/>
              </w:rPr>
            </w:pPr>
            <w:r>
              <w:rPr>
                <w:rFonts w:eastAsia="Times New Roman"/>
                <w:b/>
                <w:bCs/>
                <w:color w:val="000000"/>
                <w:sz w:val="13"/>
                <w:szCs w:val="13"/>
              </w:rPr>
              <w:t>Three Months Ended June 30, 2022</w:t>
            </w:r>
          </w:p>
        </w:tc>
      </w:tr>
      <w:tr w:rsidR="00000000" w14:paraId="2291258A" w14:textId="77777777">
        <w:trPr>
          <w:divId w:val="1616132076"/>
        </w:trPr>
        <w:tc>
          <w:tcPr>
            <w:tcW w:w="0" w:type="auto"/>
            <w:gridSpan w:val="3"/>
            <w:tcMar>
              <w:top w:w="0" w:type="dxa"/>
              <w:left w:w="20" w:type="dxa"/>
              <w:bottom w:w="0" w:type="dxa"/>
              <w:right w:w="20" w:type="dxa"/>
            </w:tcMar>
            <w:vAlign w:val="center"/>
            <w:hideMark/>
          </w:tcPr>
          <w:p w14:paraId="7B5FB79D"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213F9D9" w14:textId="77777777" w:rsidR="00000000" w:rsidRDefault="00A173A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7364BE63" w14:textId="77777777" w:rsidR="00000000" w:rsidRDefault="00A173A8">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7AE8E3E2"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537B421F" w14:textId="77777777" w:rsidR="00000000" w:rsidRDefault="00A173A8">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AA48431"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47018FA"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7B0C1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8C471D" w14:textId="77777777" w:rsidR="00000000" w:rsidRDefault="00A173A8">
            <w:pPr>
              <w:spacing w:after="100"/>
              <w:rPr>
                <w:rFonts w:eastAsia="Times New Roman"/>
                <w:sz w:val="20"/>
                <w:szCs w:val="20"/>
              </w:rPr>
            </w:pPr>
          </w:p>
        </w:tc>
      </w:tr>
      <w:tr w:rsidR="00000000" w14:paraId="78321196" w14:textId="77777777">
        <w:trPr>
          <w:divId w:val="1616132076"/>
        </w:trPr>
        <w:tc>
          <w:tcPr>
            <w:tcW w:w="0" w:type="auto"/>
            <w:gridSpan w:val="3"/>
            <w:tcMar>
              <w:top w:w="30" w:type="dxa"/>
              <w:left w:w="20" w:type="dxa"/>
              <w:bottom w:w="30" w:type="dxa"/>
              <w:right w:w="20" w:type="dxa"/>
            </w:tcMar>
            <w:vAlign w:val="bottom"/>
            <w:hideMark/>
          </w:tcPr>
          <w:p w14:paraId="3559D83B" w14:textId="77777777" w:rsidR="00000000" w:rsidRDefault="00A173A8">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52C912A5"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DD1B29" w14:textId="77777777" w:rsidR="00000000" w:rsidRDefault="00A173A8">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6B67B7D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051CBC" w14:textId="77777777" w:rsidR="00000000" w:rsidRDefault="00A173A8">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302C199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DD64CF" w14:textId="77777777" w:rsidR="00000000" w:rsidRDefault="00A173A8">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1671153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47CBC8" w14:textId="77777777" w:rsidR="00000000" w:rsidRDefault="00A173A8">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5C61613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DC5A19" w14:textId="77777777" w:rsidR="00000000" w:rsidRDefault="00A173A8">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06792B01"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73887F" w14:textId="77777777" w:rsidR="00000000" w:rsidRDefault="00A173A8">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784866BF"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C9A9BE9" w14:textId="77777777" w:rsidR="00000000" w:rsidRDefault="00A173A8">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225BEA20"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31951B" w14:textId="77777777" w:rsidR="00000000" w:rsidRDefault="00A173A8">
            <w:pPr>
              <w:spacing w:after="100"/>
              <w:jc w:val="center"/>
              <w:rPr>
                <w:rFonts w:eastAsia="Times New Roman"/>
              </w:rPr>
            </w:pPr>
            <w:r>
              <w:rPr>
                <w:rFonts w:eastAsia="Times New Roman"/>
                <w:b/>
                <w:bCs/>
                <w:color w:val="000000"/>
                <w:sz w:val="13"/>
                <w:szCs w:val="13"/>
              </w:rPr>
              <w:t>Total</w:t>
            </w:r>
          </w:p>
        </w:tc>
      </w:tr>
      <w:tr w:rsidR="00000000" w14:paraId="39136AE4" w14:textId="77777777">
        <w:trPr>
          <w:divId w:val="161613207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D98D19" w14:textId="77777777" w:rsidR="00000000" w:rsidRDefault="00A173A8">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3C06B73F"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B0CA7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535A1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B42D0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30250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0891C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CE117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8080E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DD2D9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2B3C1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AC512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B35F5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5CD88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EBAA0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E6B97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65EBCA" w14:textId="77777777" w:rsidR="00000000" w:rsidRDefault="00A173A8">
            <w:pPr>
              <w:spacing w:after="100"/>
              <w:rPr>
                <w:rFonts w:eastAsia="Times New Roman"/>
                <w:sz w:val="20"/>
                <w:szCs w:val="20"/>
              </w:rPr>
            </w:pPr>
          </w:p>
        </w:tc>
      </w:tr>
      <w:tr w:rsidR="00000000" w14:paraId="030485EC" w14:textId="77777777">
        <w:trPr>
          <w:divId w:val="1616132076"/>
        </w:trPr>
        <w:tc>
          <w:tcPr>
            <w:tcW w:w="0" w:type="auto"/>
            <w:gridSpan w:val="3"/>
            <w:vAlign w:val="center"/>
            <w:hideMark/>
          </w:tcPr>
          <w:p w14:paraId="38F883BF" w14:textId="77777777" w:rsidR="00000000" w:rsidRDefault="00A173A8">
            <w:pPr>
              <w:spacing w:after="100"/>
              <w:rPr>
                <w:rFonts w:eastAsia="Times New Roman"/>
                <w:sz w:val="20"/>
                <w:szCs w:val="20"/>
              </w:rPr>
            </w:pPr>
          </w:p>
        </w:tc>
        <w:tc>
          <w:tcPr>
            <w:tcW w:w="0" w:type="auto"/>
            <w:gridSpan w:val="3"/>
            <w:vAlign w:val="center"/>
            <w:hideMark/>
          </w:tcPr>
          <w:p w14:paraId="30E304D6" w14:textId="77777777" w:rsidR="00000000" w:rsidRDefault="00A173A8">
            <w:pPr>
              <w:spacing w:after="100"/>
              <w:rPr>
                <w:rFonts w:eastAsia="Times New Roman"/>
                <w:sz w:val="20"/>
                <w:szCs w:val="20"/>
              </w:rPr>
            </w:pPr>
          </w:p>
        </w:tc>
        <w:tc>
          <w:tcPr>
            <w:tcW w:w="0" w:type="auto"/>
            <w:gridSpan w:val="3"/>
            <w:vAlign w:val="center"/>
            <w:hideMark/>
          </w:tcPr>
          <w:p w14:paraId="103D6667" w14:textId="77777777" w:rsidR="00000000" w:rsidRDefault="00A173A8">
            <w:pPr>
              <w:spacing w:after="100"/>
              <w:rPr>
                <w:rFonts w:eastAsia="Times New Roman"/>
                <w:sz w:val="20"/>
                <w:szCs w:val="20"/>
              </w:rPr>
            </w:pPr>
          </w:p>
        </w:tc>
        <w:tc>
          <w:tcPr>
            <w:tcW w:w="0" w:type="auto"/>
            <w:gridSpan w:val="3"/>
            <w:vAlign w:val="center"/>
            <w:hideMark/>
          </w:tcPr>
          <w:p w14:paraId="1E8E3D09" w14:textId="77777777" w:rsidR="00000000" w:rsidRDefault="00A173A8">
            <w:pPr>
              <w:spacing w:after="100"/>
              <w:rPr>
                <w:rFonts w:eastAsia="Times New Roman"/>
                <w:sz w:val="20"/>
                <w:szCs w:val="20"/>
              </w:rPr>
            </w:pPr>
          </w:p>
        </w:tc>
        <w:tc>
          <w:tcPr>
            <w:tcW w:w="0" w:type="auto"/>
            <w:gridSpan w:val="3"/>
            <w:vAlign w:val="center"/>
            <w:hideMark/>
          </w:tcPr>
          <w:p w14:paraId="51C83DE9" w14:textId="77777777" w:rsidR="00000000" w:rsidRDefault="00A173A8">
            <w:pPr>
              <w:spacing w:after="100"/>
              <w:rPr>
                <w:rFonts w:eastAsia="Times New Roman"/>
                <w:sz w:val="20"/>
                <w:szCs w:val="20"/>
              </w:rPr>
            </w:pPr>
          </w:p>
        </w:tc>
        <w:tc>
          <w:tcPr>
            <w:tcW w:w="0" w:type="auto"/>
            <w:gridSpan w:val="3"/>
            <w:vAlign w:val="center"/>
            <w:hideMark/>
          </w:tcPr>
          <w:p w14:paraId="09FC03F7" w14:textId="77777777" w:rsidR="00000000" w:rsidRDefault="00A173A8">
            <w:pPr>
              <w:spacing w:after="100"/>
              <w:rPr>
                <w:rFonts w:eastAsia="Times New Roman"/>
                <w:sz w:val="20"/>
                <w:szCs w:val="20"/>
              </w:rPr>
            </w:pPr>
          </w:p>
        </w:tc>
        <w:tc>
          <w:tcPr>
            <w:tcW w:w="0" w:type="auto"/>
            <w:gridSpan w:val="3"/>
            <w:vAlign w:val="center"/>
            <w:hideMark/>
          </w:tcPr>
          <w:p w14:paraId="2430D8EC" w14:textId="77777777" w:rsidR="00000000" w:rsidRDefault="00A173A8">
            <w:pPr>
              <w:spacing w:after="100"/>
              <w:rPr>
                <w:rFonts w:eastAsia="Times New Roman"/>
                <w:sz w:val="20"/>
                <w:szCs w:val="20"/>
              </w:rPr>
            </w:pPr>
          </w:p>
        </w:tc>
        <w:tc>
          <w:tcPr>
            <w:tcW w:w="0" w:type="auto"/>
            <w:gridSpan w:val="3"/>
            <w:vAlign w:val="center"/>
            <w:hideMark/>
          </w:tcPr>
          <w:p w14:paraId="00FEA670" w14:textId="77777777" w:rsidR="00000000" w:rsidRDefault="00A173A8">
            <w:pPr>
              <w:spacing w:after="100"/>
              <w:rPr>
                <w:rFonts w:eastAsia="Times New Roman"/>
                <w:sz w:val="20"/>
                <w:szCs w:val="20"/>
              </w:rPr>
            </w:pPr>
          </w:p>
        </w:tc>
        <w:tc>
          <w:tcPr>
            <w:tcW w:w="0" w:type="auto"/>
            <w:gridSpan w:val="3"/>
            <w:vAlign w:val="center"/>
            <w:hideMark/>
          </w:tcPr>
          <w:p w14:paraId="4443BBDA" w14:textId="77777777" w:rsidR="00000000" w:rsidRDefault="00A173A8">
            <w:pPr>
              <w:spacing w:after="100"/>
              <w:rPr>
                <w:rFonts w:eastAsia="Times New Roman"/>
                <w:sz w:val="20"/>
                <w:szCs w:val="20"/>
              </w:rPr>
            </w:pPr>
          </w:p>
        </w:tc>
        <w:tc>
          <w:tcPr>
            <w:tcW w:w="0" w:type="auto"/>
            <w:gridSpan w:val="3"/>
            <w:vAlign w:val="center"/>
            <w:hideMark/>
          </w:tcPr>
          <w:p w14:paraId="758A77A1" w14:textId="77777777" w:rsidR="00000000" w:rsidRDefault="00A173A8">
            <w:pPr>
              <w:spacing w:after="100"/>
              <w:rPr>
                <w:rFonts w:eastAsia="Times New Roman"/>
                <w:sz w:val="20"/>
                <w:szCs w:val="20"/>
              </w:rPr>
            </w:pPr>
          </w:p>
        </w:tc>
        <w:tc>
          <w:tcPr>
            <w:tcW w:w="0" w:type="auto"/>
            <w:gridSpan w:val="3"/>
            <w:vAlign w:val="center"/>
            <w:hideMark/>
          </w:tcPr>
          <w:p w14:paraId="5C1C5432" w14:textId="77777777" w:rsidR="00000000" w:rsidRDefault="00A173A8">
            <w:pPr>
              <w:spacing w:after="100"/>
              <w:rPr>
                <w:rFonts w:eastAsia="Times New Roman"/>
                <w:sz w:val="20"/>
                <w:szCs w:val="20"/>
              </w:rPr>
            </w:pPr>
          </w:p>
        </w:tc>
        <w:tc>
          <w:tcPr>
            <w:tcW w:w="0" w:type="auto"/>
            <w:gridSpan w:val="3"/>
            <w:vAlign w:val="center"/>
            <w:hideMark/>
          </w:tcPr>
          <w:p w14:paraId="45D6F3FB" w14:textId="77777777" w:rsidR="00000000" w:rsidRDefault="00A173A8">
            <w:pPr>
              <w:spacing w:after="100"/>
              <w:rPr>
                <w:rFonts w:eastAsia="Times New Roman"/>
                <w:sz w:val="20"/>
                <w:szCs w:val="20"/>
              </w:rPr>
            </w:pPr>
          </w:p>
        </w:tc>
        <w:tc>
          <w:tcPr>
            <w:tcW w:w="0" w:type="auto"/>
            <w:gridSpan w:val="3"/>
            <w:vAlign w:val="center"/>
            <w:hideMark/>
          </w:tcPr>
          <w:p w14:paraId="625ABAA6" w14:textId="77777777" w:rsidR="00000000" w:rsidRDefault="00A173A8">
            <w:pPr>
              <w:spacing w:after="100"/>
              <w:rPr>
                <w:rFonts w:eastAsia="Times New Roman"/>
                <w:sz w:val="20"/>
                <w:szCs w:val="20"/>
              </w:rPr>
            </w:pPr>
          </w:p>
        </w:tc>
        <w:tc>
          <w:tcPr>
            <w:tcW w:w="0" w:type="auto"/>
            <w:gridSpan w:val="3"/>
            <w:vAlign w:val="center"/>
            <w:hideMark/>
          </w:tcPr>
          <w:p w14:paraId="4DB763AC" w14:textId="77777777" w:rsidR="00000000" w:rsidRDefault="00A173A8">
            <w:pPr>
              <w:spacing w:after="100"/>
              <w:rPr>
                <w:rFonts w:eastAsia="Times New Roman"/>
                <w:sz w:val="20"/>
                <w:szCs w:val="20"/>
              </w:rPr>
            </w:pPr>
          </w:p>
        </w:tc>
        <w:tc>
          <w:tcPr>
            <w:tcW w:w="0" w:type="auto"/>
            <w:gridSpan w:val="3"/>
            <w:vAlign w:val="center"/>
            <w:hideMark/>
          </w:tcPr>
          <w:p w14:paraId="0F779082" w14:textId="77777777" w:rsidR="00000000" w:rsidRDefault="00A173A8">
            <w:pPr>
              <w:spacing w:after="100"/>
              <w:rPr>
                <w:rFonts w:eastAsia="Times New Roman"/>
                <w:sz w:val="20"/>
                <w:szCs w:val="20"/>
              </w:rPr>
            </w:pPr>
          </w:p>
        </w:tc>
        <w:tc>
          <w:tcPr>
            <w:tcW w:w="0" w:type="auto"/>
            <w:gridSpan w:val="3"/>
            <w:vAlign w:val="center"/>
            <w:hideMark/>
          </w:tcPr>
          <w:p w14:paraId="78EF8897" w14:textId="77777777" w:rsidR="00000000" w:rsidRDefault="00A173A8">
            <w:pPr>
              <w:spacing w:after="100"/>
              <w:rPr>
                <w:rFonts w:eastAsia="Times New Roman"/>
                <w:sz w:val="20"/>
                <w:szCs w:val="20"/>
              </w:rPr>
            </w:pPr>
          </w:p>
        </w:tc>
        <w:tc>
          <w:tcPr>
            <w:tcW w:w="0" w:type="auto"/>
            <w:gridSpan w:val="3"/>
            <w:vAlign w:val="center"/>
            <w:hideMark/>
          </w:tcPr>
          <w:p w14:paraId="1857FFFF" w14:textId="77777777" w:rsidR="00000000" w:rsidRDefault="00A173A8">
            <w:pPr>
              <w:spacing w:after="100"/>
              <w:rPr>
                <w:rFonts w:eastAsia="Times New Roman"/>
                <w:sz w:val="20"/>
                <w:szCs w:val="20"/>
              </w:rPr>
            </w:pPr>
          </w:p>
        </w:tc>
      </w:tr>
      <w:tr w:rsidR="00000000" w14:paraId="73F250B5" w14:textId="77777777">
        <w:trPr>
          <w:divId w:val="1616132076"/>
        </w:trPr>
        <w:tc>
          <w:tcPr>
            <w:tcW w:w="0" w:type="auto"/>
            <w:gridSpan w:val="3"/>
            <w:vAlign w:val="center"/>
            <w:hideMark/>
          </w:tcPr>
          <w:p w14:paraId="5F926F9F" w14:textId="77777777" w:rsidR="00000000" w:rsidRDefault="00A173A8">
            <w:pPr>
              <w:spacing w:after="100"/>
              <w:rPr>
                <w:rFonts w:eastAsia="Times New Roman"/>
                <w:sz w:val="20"/>
                <w:szCs w:val="20"/>
              </w:rPr>
            </w:pPr>
          </w:p>
        </w:tc>
        <w:tc>
          <w:tcPr>
            <w:tcW w:w="0" w:type="auto"/>
            <w:gridSpan w:val="3"/>
            <w:vAlign w:val="center"/>
            <w:hideMark/>
          </w:tcPr>
          <w:p w14:paraId="0FD10C25" w14:textId="77777777" w:rsidR="00000000" w:rsidRDefault="00A173A8">
            <w:pPr>
              <w:spacing w:after="100"/>
              <w:rPr>
                <w:rFonts w:eastAsia="Times New Roman"/>
                <w:sz w:val="20"/>
                <w:szCs w:val="20"/>
              </w:rPr>
            </w:pPr>
          </w:p>
        </w:tc>
        <w:tc>
          <w:tcPr>
            <w:tcW w:w="0" w:type="auto"/>
            <w:gridSpan w:val="3"/>
            <w:vAlign w:val="center"/>
            <w:hideMark/>
          </w:tcPr>
          <w:p w14:paraId="61CBA8B4" w14:textId="77777777" w:rsidR="00000000" w:rsidRDefault="00A173A8">
            <w:pPr>
              <w:spacing w:after="100"/>
              <w:rPr>
                <w:rFonts w:eastAsia="Times New Roman"/>
                <w:sz w:val="20"/>
                <w:szCs w:val="20"/>
              </w:rPr>
            </w:pPr>
          </w:p>
        </w:tc>
        <w:tc>
          <w:tcPr>
            <w:tcW w:w="0" w:type="auto"/>
            <w:gridSpan w:val="3"/>
            <w:vAlign w:val="center"/>
            <w:hideMark/>
          </w:tcPr>
          <w:p w14:paraId="5D13E33F" w14:textId="77777777" w:rsidR="00000000" w:rsidRDefault="00A173A8">
            <w:pPr>
              <w:spacing w:after="100"/>
              <w:rPr>
                <w:rFonts w:eastAsia="Times New Roman"/>
                <w:sz w:val="20"/>
                <w:szCs w:val="20"/>
              </w:rPr>
            </w:pPr>
          </w:p>
        </w:tc>
        <w:tc>
          <w:tcPr>
            <w:tcW w:w="0" w:type="auto"/>
            <w:gridSpan w:val="3"/>
            <w:vAlign w:val="center"/>
            <w:hideMark/>
          </w:tcPr>
          <w:p w14:paraId="5F01CA44" w14:textId="77777777" w:rsidR="00000000" w:rsidRDefault="00A173A8">
            <w:pPr>
              <w:spacing w:after="100"/>
              <w:rPr>
                <w:rFonts w:eastAsia="Times New Roman"/>
                <w:sz w:val="20"/>
                <w:szCs w:val="20"/>
              </w:rPr>
            </w:pPr>
          </w:p>
        </w:tc>
        <w:tc>
          <w:tcPr>
            <w:tcW w:w="0" w:type="auto"/>
            <w:gridSpan w:val="3"/>
            <w:vAlign w:val="center"/>
            <w:hideMark/>
          </w:tcPr>
          <w:p w14:paraId="62B97F7F" w14:textId="77777777" w:rsidR="00000000" w:rsidRDefault="00A173A8">
            <w:pPr>
              <w:spacing w:after="100"/>
              <w:rPr>
                <w:rFonts w:eastAsia="Times New Roman"/>
                <w:sz w:val="20"/>
                <w:szCs w:val="20"/>
              </w:rPr>
            </w:pPr>
          </w:p>
        </w:tc>
        <w:tc>
          <w:tcPr>
            <w:tcW w:w="0" w:type="auto"/>
            <w:gridSpan w:val="3"/>
            <w:vAlign w:val="center"/>
            <w:hideMark/>
          </w:tcPr>
          <w:p w14:paraId="015D2174" w14:textId="77777777" w:rsidR="00000000" w:rsidRDefault="00A173A8">
            <w:pPr>
              <w:spacing w:after="100"/>
              <w:rPr>
                <w:rFonts w:eastAsia="Times New Roman"/>
                <w:sz w:val="20"/>
                <w:szCs w:val="20"/>
              </w:rPr>
            </w:pPr>
          </w:p>
        </w:tc>
        <w:tc>
          <w:tcPr>
            <w:tcW w:w="0" w:type="auto"/>
            <w:gridSpan w:val="3"/>
            <w:vAlign w:val="center"/>
            <w:hideMark/>
          </w:tcPr>
          <w:p w14:paraId="6CD90B59" w14:textId="77777777" w:rsidR="00000000" w:rsidRDefault="00A173A8">
            <w:pPr>
              <w:spacing w:after="100"/>
              <w:rPr>
                <w:rFonts w:eastAsia="Times New Roman"/>
                <w:sz w:val="20"/>
                <w:szCs w:val="20"/>
              </w:rPr>
            </w:pPr>
          </w:p>
        </w:tc>
        <w:tc>
          <w:tcPr>
            <w:tcW w:w="0" w:type="auto"/>
            <w:gridSpan w:val="3"/>
            <w:vAlign w:val="center"/>
            <w:hideMark/>
          </w:tcPr>
          <w:p w14:paraId="5D95359D" w14:textId="77777777" w:rsidR="00000000" w:rsidRDefault="00A173A8">
            <w:pPr>
              <w:spacing w:after="100"/>
              <w:rPr>
                <w:rFonts w:eastAsia="Times New Roman"/>
                <w:sz w:val="20"/>
                <w:szCs w:val="20"/>
              </w:rPr>
            </w:pPr>
          </w:p>
        </w:tc>
        <w:tc>
          <w:tcPr>
            <w:tcW w:w="0" w:type="auto"/>
            <w:gridSpan w:val="3"/>
            <w:vAlign w:val="center"/>
            <w:hideMark/>
          </w:tcPr>
          <w:p w14:paraId="4036BD26" w14:textId="77777777" w:rsidR="00000000" w:rsidRDefault="00A173A8">
            <w:pPr>
              <w:spacing w:after="100"/>
              <w:rPr>
                <w:rFonts w:eastAsia="Times New Roman"/>
                <w:sz w:val="20"/>
                <w:szCs w:val="20"/>
              </w:rPr>
            </w:pPr>
          </w:p>
        </w:tc>
        <w:tc>
          <w:tcPr>
            <w:tcW w:w="0" w:type="auto"/>
            <w:gridSpan w:val="3"/>
            <w:vAlign w:val="center"/>
            <w:hideMark/>
          </w:tcPr>
          <w:p w14:paraId="0F0330FA" w14:textId="77777777" w:rsidR="00000000" w:rsidRDefault="00A173A8">
            <w:pPr>
              <w:spacing w:after="100"/>
              <w:rPr>
                <w:rFonts w:eastAsia="Times New Roman"/>
                <w:sz w:val="20"/>
                <w:szCs w:val="20"/>
              </w:rPr>
            </w:pPr>
          </w:p>
        </w:tc>
        <w:tc>
          <w:tcPr>
            <w:tcW w:w="0" w:type="auto"/>
            <w:gridSpan w:val="3"/>
            <w:vAlign w:val="center"/>
            <w:hideMark/>
          </w:tcPr>
          <w:p w14:paraId="087A95F4" w14:textId="77777777" w:rsidR="00000000" w:rsidRDefault="00A173A8">
            <w:pPr>
              <w:spacing w:after="100"/>
              <w:rPr>
                <w:rFonts w:eastAsia="Times New Roman"/>
                <w:sz w:val="20"/>
                <w:szCs w:val="20"/>
              </w:rPr>
            </w:pPr>
          </w:p>
        </w:tc>
        <w:tc>
          <w:tcPr>
            <w:tcW w:w="0" w:type="auto"/>
            <w:gridSpan w:val="3"/>
            <w:vAlign w:val="center"/>
            <w:hideMark/>
          </w:tcPr>
          <w:p w14:paraId="61D76EC8" w14:textId="77777777" w:rsidR="00000000" w:rsidRDefault="00A173A8">
            <w:pPr>
              <w:spacing w:after="100"/>
              <w:rPr>
                <w:rFonts w:eastAsia="Times New Roman"/>
                <w:sz w:val="20"/>
                <w:szCs w:val="20"/>
              </w:rPr>
            </w:pPr>
          </w:p>
        </w:tc>
        <w:tc>
          <w:tcPr>
            <w:tcW w:w="0" w:type="auto"/>
            <w:gridSpan w:val="3"/>
            <w:vAlign w:val="center"/>
            <w:hideMark/>
          </w:tcPr>
          <w:p w14:paraId="20C1D0E4" w14:textId="77777777" w:rsidR="00000000" w:rsidRDefault="00A173A8">
            <w:pPr>
              <w:spacing w:after="100"/>
              <w:rPr>
                <w:rFonts w:eastAsia="Times New Roman"/>
                <w:sz w:val="20"/>
                <w:szCs w:val="20"/>
              </w:rPr>
            </w:pPr>
          </w:p>
        </w:tc>
        <w:tc>
          <w:tcPr>
            <w:tcW w:w="0" w:type="auto"/>
            <w:gridSpan w:val="3"/>
            <w:vAlign w:val="center"/>
            <w:hideMark/>
          </w:tcPr>
          <w:p w14:paraId="46777353" w14:textId="77777777" w:rsidR="00000000" w:rsidRDefault="00A173A8">
            <w:pPr>
              <w:spacing w:after="100"/>
              <w:rPr>
                <w:rFonts w:eastAsia="Times New Roman"/>
                <w:sz w:val="20"/>
                <w:szCs w:val="20"/>
              </w:rPr>
            </w:pPr>
          </w:p>
        </w:tc>
        <w:tc>
          <w:tcPr>
            <w:tcW w:w="0" w:type="auto"/>
            <w:gridSpan w:val="3"/>
            <w:vAlign w:val="center"/>
            <w:hideMark/>
          </w:tcPr>
          <w:p w14:paraId="6F900F57" w14:textId="77777777" w:rsidR="00000000" w:rsidRDefault="00A173A8">
            <w:pPr>
              <w:spacing w:after="100"/>
              <w:rPr>
                <w:rFonts w:eastAsia="Times New Roman"/>
                <w:sz w:val="20"/>
                <w:szCs w:val="20"/>
              </w:rPr>
            </w:pPr>
          </w:p>
        </w:tc>
        <w:tc>
          <w:tcPr>
            <w:tcW w:w="0" w:type="auto"/>
            <w:gridSpan w:val="3"/>
            <w:vAlign w:val="center"/>
            <w:hideMark/>
          </w:tcPr>
          <w:p w14:paraId="04A974CB" w14:textId="77777777" w:rsidR="00000000" w:rsidRDefault="00A173A8">
            <w:pPr>
              <w:spacing w:after="100"/>
              <w:rPr>
                <w:rFonts w:eastAsia="Times New Roman"/>
                <w:sz w:val="20"/>
                <w:szCs w:val="20"/>
              </w:rPr>
            </w:pPr>
          </w:p>
        </w:tc>
      </w:tr>
      <w:tr w:rsidR="00000000" w14:paraId="3E9F02AD" w14:textId="77777777">
        <w:trPr>
          <w:divId w:val="1616132076"/>
        </w:trPr>
        <w:tc>
          <w:tcPr>
            <w:tcW w:w="0" w:type="auto"/>
            <w:gridSpan w:val="3"/>
            <w:vAlign w:val="center"/>
            <w:hideMark/>
          </w:tcPr>
          <w:p w14:paraId="320F1C1A" w14:textId="77777777" w:rsidR="00000000" w:rsidRDefault="00A173A8">
            <w:pPr>
              <w:spacing w:after="100"/>
              <w:rPr>
                <w:rFonts w:eastAsia="Times New Roman"/>
                <w:sz w:val="20"/>
                <w:szCs w:val="20"/>
              </w:rPr>
            </w:pPr>
          </w:p>
        </w:tc>
        <w:tc>
          <w:tcPr>
            <w:tcW w:w="0" w:type="auto"/>
            <w:gridSpan w:val="3"/>
            <w:vAlign w:val="center"/>
            <w:hideMark/>
          </w:tcPr>
          <w:p w14:paraId="08B5DE1A" w14:textId="77777777" w:rsidR="00000000" w:rsidRDefault="00A173A8">
            <w:pPr>
              <w:spacing w:after="100"/>
              <w:rPr>
                <w:rFonts w:eastAsia="Times New Roman"/>
                <w:sz w:val="20"/>
                <w:szCs w:val="20"/>
              </w:rPr>
            </w:pPr>
          </w:p>
        </w:tc>
        <w:tc>
          <w:tcPr>
            <w:tcW w:w="0" w:type="auto"/>
            <w:gridSpan w:val="3"/>
            <w:vAlign w:val="center"/>
            <w:hideMark/>
          </w:tcPr>
          <w:p w14:paraId="441637F4" w14:textId="77777777" w:rsidR="00000000" w:rsidRDefault="00A173A8">
            <w:pPr>
              <w:spacing w:after="100"/>
              <w:rPr>
                <w:rFonts w:eastAsia="Times New Roman"/>
                <w:sz w:val="20"/>
                <w:szCs w:val="20"/>
              </w:rPr>
            </w:pPr>
          </w:p>
        </w:tc>
        <w:tc>
          <w:tcPr>
            <w:tcW w:w="0" w:type="auto"/>
            <w:gridSpan w:val="3"/>
            <w:vAlign w:val="center"/>
            <w:hideMark/>
          </w:tcPr>
          <w:p w14:paraId="236D6170" w14:textId="77777777" w:rsidR="00000000" w:rsidRDefault="00A173A8">
            <w:pPr>
              <w:spacing w:after="100"/>
              <w:rPr>
                <w:rFonts w:eastAsia="Times New Roman"/>
                <w:sz w:val="20"/>
                <w:szCs w:val="20"/>
              </w:rPr>
            </w:pPr>
          </w:p>
        </w:tc>
        <w:tc>
          <w:tcPr>
            <w:tcW w:w="0" w:type="auto"/>
            <w:gridSpan w:val="3"/>
            <w:vAlign w:val="center"/>
            <w:hideMark/>
          </w:tcPr>
          <w:p w14:paraId="363FB857" w14:textId="77777777" w:rsidR="00000000" w:rsidRDefault="00A173A8">
            <w:pPr>
              <w:spacing w:after="100"/>
              <w:rPr>
                <w:rFonts w:eastAsia="Times New Roman"/>
                <w:sz w:val="20"/>
                <w:szCs w:val="20"/>
              </w:rPr>
            </w:pPr>
          </w:p>
        </w:tc>
        <w:tc>
          <w:tcPr>
            <w:tcW w:w="0" w:type="auto"/>
            <w:gridSpan w:val="3"/>
            <w:vAlign w:val="center"/>
            <w:hideMark/>
          </w:tcPr>
          <w:p w14:paraId="458FB35A" w14:textId="77777777" w:rsidR="00000000" w:rsidRDefault="00A173A8">
            <w:pPr>
              <w:spacing w:after="100"/>
              <w:rPr>
                <w:rFonts w:eastAsia="Times New Roman"/>
                <w:sz w:val="20"/>
                <w:szCs w:val="20"/>
              </w:rPr>
            </w:pPr>
          </w:p>
        </w:tc>
        <w:tc>
          <w:tcPr>
            <w:tcW w:w="0" w:type="auto"/>
            <w:gridSpan w:val="3"/>
            <w:vAlign w:val="center"/>
            <w:hideMark/>
          </w:tcPr>
          <w:p w14:paraId="34E0640E" w14:textId="77777777" w:rsidR="00000000" w:rsidRDefault="00A173A8">
            <w:pPr>
              <w:spacing w:after="100"/>
              <w:rPr>
                <w:rFonts w:eastAsia="Times New Roman"/>
                <w:sz w:val="20"/>
                <w:szCs w:val="20"/>
              </w:rPr>
            </w:pPr>
          </w:p>
        </w:tc>
        <w:tc>
          <w:tcPr>
            <w:tcW w:w="0" w:type="auto"/>
            <w:gridSpan w:val="3"/>
            <w:vAlign w:val="center"/>
            <w:hideMark/>
          </w:tcPr>
          <w:p w14:paraId="1F6B3731" w14:textId="77777777" w:rsidR="00000000" w:rsidRDefault="00A173A8">
            <w:pPr>
              <w:spacing w:after="100"/>
              <w:rPr>
                <w:rFonts w:eastAsia="Times New Roman"/>
                <w:sz w:val="20"/>
                <w:szCs w:val="20"/>
              </w:rPr>
            </w:pPr>
          </w:p>
        </w:tc>
        <w:tc>
          <w:tcPr>
            <w:tcW w:w="0" w:type="auto"/>
            <w:gridSpan w:val="3"/>
            <w:vAlign w:val="center"/>
            <w:hideMark/>
          </w:tcPr>
          <w:p w14:paraId="6F311EED" w14:textId="77777777" w:rsidR="00000000" w:rsidRDefault="00A173A8">
            <w:pPr>
              <w:spacing w:after="100"/>
              <w:rPr>
                <w:rFonts w:eastAsia="Times New Roman"/>
                <w:sz w:val="20"/>
                <w:szCs w:val="20"/>
              </w:rPr>
            </w:pPr>
          </w:p>
        </w:tc>
        <w:tc>
          <w:tcPr>
            <w:tcW w:w="0" w:type="auto"/>
            <w:gridSpan w:val="3"/>
            <w:vAlign w:val="center"/>
            <w:hideMark/>
          </w:tcPr>
          <w:p w14:paraId="4A7C58EB" w14:textId="77777777" w:rsidR="00000000" w:rsidRDefault="00A173A8">
            <w:pPr>
              <w:spacing w:after="100"/>
              <w:rPr>
                <w:rFonts w:eastAsia="Times New Roman"/>
                <w:sz w:val="20"/>
                <w:szCs w:val="20"/>
              </w:rPr>
            </w:pPr>
          </w:p>
        </w:tc>
        <w:tc>
          <w:tcPr>
            <w:tcW w:w="0" w:type="auto"/>
            <w:gridSpan w:val="3"/>
            <w:vAlign w:val="center"/>
            <w:hideMark/>
          </w:tcPr>
          <w:p w14:paraId="1F6BFBBA" w14:textId="77777777" w:rsidR="00000000" w:rsidRDefault="00A173A8">
            <w:pPr>
              <w:spacing w:after="100"/>
              <w:rPr>
                <w:rFonts w:eastAsia="Times New Roman"/>
                <w:sz w:val="20"/>
                <w:szCs w:val="20"/>
              </w:rPr>
            </w:pPr>
          </w:p>
        </w:tc>
        <w:tc>
          <w:tcPr>
            <w:tcW w:w="0" w:type="auto"/>
            <w:gridSpan w:val="3"/>
            <w:vAlign w:val="center"/>
            <w:hideMark/>
          </w:tcPr>
          <w:p w14:paraId="0CA4C592" w14:textId="77777777" w:rsidR="00000000" w:rsidRDefault="00A173A8">
            <w:pPr>
              <w:spacing w:after="100"/>
              <w:rPr>
                <w:rFonts w:eastAsia="Times New Roman"/>
                <w:sz w:val="20"/>
                <w:szCs w:val="20"/>
              </w:rPr>
            </w:pPr>
          </w:p>
        </w:tc>
        <w:tc>
          <w:tcPr>
            <w:tcW w:w="0" w:type="auto"/>
            <w:gridSpan w:val="3"/>
            <w:vAlign w:val="center"/>
            <w:hideMark/>
          </w:tcPr>
          <w:p w14:paraId="283C31F4" w14:textId="77777777" w:rsidR="00000000" w:rsidRDefault="00A173A8">
            <w:pPr>
              <w:spacing w:after="100"/>
              <w:rPr>
                <w:rFonts w:eastAsia="Times New Roman"/>
                <w:sz w:val="20"/>
                <w:szCs w:val="20"/>
              </w:rPr>
            </w:pPr>
          </w:p>
        </w:tc>
        <w:tc>
          <w:tcPr>
            <w:tcW w:w="0" w:type="auto"/>
            <w:gridSpan w:val="3"/>
            <w:vAlign w:val="center"/>
            <w:hideMark/>
          </w:tcPr>
          <w:p w14:paraId="28553529" w14:textId="77777777" w:rsidR="00000000" w:rsidRDefault="00A173A8">
            <w:pPr>
              <w:spacing w:after="100"/>
              <w:rPr>
                <w:rFonts w:eastAsia="Times New Roman"/>
                <w:sz w:val="20"/>
                <w:szCs w:val="20"/>
              </w:rPr>
            </w:pPr>
          </w:p>
        </w:tc>
        <w:tc>
          <w:tcPr>
            <w:tcW w:w="0" w:type="auto"/>
            <w:gridSpan w:val="3"/>
            <w:vAlign w:val="center"/>
            <w:hideMark/>
          </w:tcPr>
          <w:p w14:paraId="67E51F5D" w14:textId="77777777" w:rsidR="00000000" w:rsidRDefault="00A173A8">
            <w:pPr>
              <w:spacing w:after="100"/>
              <w:rPr>
                <w:rFonts w:eastAsia="Times New Roman"/>
                <w:sz w:val="20"/>
                <w:szCs w:val="20"/>
              </w:rPr>
            </w:pPr>
          </w:p>
        </w:tc>
        <w:tc>
          <w:tcPr>
            <w:tcW w:w="0" w:type="auto"/>
            <w:gridSpan w:val="3"/>
            <w:vAlign w:val="center"/>
            <w:hideMark/>
          </w:tcPr>
          <w:p w14:paraId="5BF118D6" w14:textId="77777777" w:rsidR="00000000" w:rsidRDefault="00A173A8">
            <w:pPr>
              <w:spacing w:after="100"/>
              <w:rPr>
                <w:rFonts w:eastAsia="Times New Roman"/>
                <w:sz w:val="20"/>
                <w:szCs w:val="20"/>
              </w:rPr>
            </w:pPr>
          </w:p>
        </w:tc>
        <w:tc>
          <w:tcPr>
            <w:tcW w:w="0" w:type="auto"/>
            <w:gridSpan w:val="3"/>
            <w:vAlign w:val="center"/>
            <w:hideMark/>
          </w:tcPr>
          <w:p w14:paraId="4B52B2B7" w14:textId="77777777" w:rsidR="00000000" w:rsidRDefault="00A173A8">
            <w:pPr>
              <w:spacing w:after="100"/>
              <w:rPr>
                <w:rFonts w:eastAsia="Times New Roman"/>
                <w:sz w:val="20"/>
                <w:szCs w:val="20"/>
              </w:rPr>
            </w:pPr>
          </w:p>
        </w:tc>
      </w:tr>
      <w:tr w:rsidR="00000000" w14:paraId="18171020" w14:textId="77777777">
        <w:trPr>
          <w:divId w:val="1616132076"/>
        </w:trPr>
        <w:tc>
          <w:tcPr>
            <w:tcW w:w="0" w:type="auto"/>
            <w:gridSpan w:val="3"/>
            <w:vAlign w:val="center"/>
            <w:hideMark/>
          </w:tcPr>
          <w:p w14:paraId="75368BC6" w14:textId="77777777" w:rsidR="00000000" w:rsidRDefault="00A173A8">
            <w:pPr>
              <w:spacing w:after="100"/>
              <w:rPr>
                <w:rFonts w:eastAsia="Times New Roman"/>
                <w:sz w:val="20"/>
                <w:szCs w:val="20"/>
              </w:rPr>
            </w:pPr>
          </w:p>
        </w:tc>
        <w:tc>
          <w:tcPr>
            <w:tcW w:w="0" w:type="auto"/>
            <w:gridSpan w:val="3"/>
            <w:vAlign w:val="center"/>
            <w:hideMark/>
          </w:tcPr>
          <w:p w14:paraId="489D1E78" w14:textId="77777777" w:rsidR="00000000" w:rsidRDefault="00A173A8">
            <w:pPr>
              <w:spacing w:after="100"/>
              <w:rPr>
                <w:rFonts w:eastAsia="Times New Roman"/>
                <w:sz w:val="20"/>
                <w:szCs w:val="20"/>
              </w:rPr>
            </w:pPr>
          </w:p>
        </w:tc>
        <w:tc>
          <w:tcPr>
            <w:tcW w:w="0" w:type="auto"/>
            <w:gridSpan w:val="3"/>
            <w:vAlign w:val="center"/>
            <w:hideMark/>
          </w:tcPr>
          <w:p w14:paraId="4EA6BF07" w14:textId="77777777" w:rsidR="00000000" w:rsidRDefault="00A173A8">
            <w:pPr>
              <w:spacing w:after="100"/>
              <w:rPr>
                <w:rFonts w:eastAsia="Times New Roman"/>
                <w:sz w:val="20"/>
                <w:szCs w:val="20"/>
              </w:rPr>
            </w:pPr>
          </w:p>
        </w:tc>
        <w:tc>
          <w:tcPr>
            <w:tcW w:w="0" w:type="auto"/>
            <w:gridSpan w:val="3"/>
            <w:vAlign w:val="center"/>
            <w:hideMark/>
          </w:tcPr>
          <w:p w14:paraId="6DFB5CC9" w14:textId="77777777" w:rsidR="00000000" w:rsidRDefault="00A173A8">
            <w:pPr>
              <w:spacing w:after="100"/>
              <w:rPr>
                <w:rFonts w:eastAsia="Times New Roman"/>
                <w:sz w:val="20"/>
                <w:szCs w:val="20"/>
              </w:rPr>
            </w:pPr>
          </w:p>
        </w:tc>
        <w:tc>
          <w:tcPr>
            <w:tcW w:w="0" w:type="auto"/>
            <w:gridSpan w:val="3"/>
            <w:vAlign w:val="center"/>
            <w:hideMark/>
          </w:tcPr>
          <w:p w14:paraId="5F2384C7" w14:textId="77777777" w:rsidR="00000000" w:rsidRDefault="00A173A8">
            <w:pPr>
              <w:spacing w:after="100"/>
              <w:rPr>
                <w:rFonts w:eastAsia="Times New Roman"/>
                <w:sz w:val="20"/>
                <w:szCs w:val="20"/>
              </w:rPr>
            </w:pPr>
          </w:p>
        </w:tc>
        <w:tc>
          <w:tcPr>
            <w:tcW w:w="0" w:type="auto"/>
            <w:gridSpan w:val="3"/>
            <w:vAlign w:val="center"/>
            <w:hideMark/>
          </w:tcPr>
          <w:p w14:paraId="70A9A693" w14:textId="77777777" w:rsidR="00000000" w:rsidRDefault="00A173A8">
            <w:pPr>
              <w:spacing w:after="100"/>
              <w:rPr>
                <w:rFonts w:eastAsia="Times New Roman"/>
                <w:sz w:val="20"/>
                <w:szCs w:val="20"/>
              </w:rPr>
            </w:pPr>
          </w:p>
        </w:tc>
        <w:tc>
          <w:tcPr>
            <w:tcW w:w="0" w:type="auto"/>
            <w:gridSpan w:val="3"/>
            <w:vAlign w:val="center"/>
            <w:hideMark/>
          </w:tcPr>
          <w:p w14:paraId="37683EE7" w14:textId="77777777" w:rsidR="00000000" w:rsidRDefault="00A173A8">
            <w:pPr>
              <w:spacing w:after="100"/>
              <w:rPr>
                <w:rFonts w:eastAsia="Times New Roman"/>
                <w:sz w:val="20"/>
                <w:szCs w:val="20"/>
              </w:rPr>
            </w:pPr>
          </w:p>
        </w:tc>
        <w:tc>
          <w:tcPr>
            <w:tcW w:w="0" w:type="auto"/>
            <w:gridSpan w:val="3"/>
            <w:vAlign w:val="center"/>
            <w:hideMark/>
          </w:tcPr>
          <w:p w14:paraId="3541F42B" w14:textId="77777777" w:rsidR="00000000" w:rsidRDefault="00A173A8">
            <w:pPr>
              <w:spacing w:after="100"/>
              <w:rPr>
                <w:rFonts w:eastAsia="Times New Roman"/>
                <w:sz w:val="20"/>
                <w:szCs w:val="20"/>
              </w:rPr>
            </w:pPr>
          </w:p>
        </w:tc>
        <w:tc>
          <w:tcPr>
            <w:tcW w:w="0" w:type="auto"/>
            <w:gridSpan w:val="3"/>
            <w:vAlign w:val="center"/>
            <w:hideMark/>
          </w:tcPr>
          <w:p w14:paraId="3E40DDB4" w14:textId="77777777" w:rsidR="00000000" w:rsidRDefault="00A173A8">
            <w:pPr>
              <w:spacing w:after="100"/>
              <w:rPr>
                <w:rFonts w:eastAsia="Times New Roman"/>
                <w:sz w:val="20"/>
                <w:szCs w:val="20"/>
              </w:rPr>
            </w:pPr>
          </w:p>
        </w:tc>
        <w:tc>
          <w:tcPr>
            <w:tcW w:w="0" w:type="auto"/>
            <w:gridSpan w:val="3"/>
            <w:vAlign w:val="center"/>
            <w:hideMark/>
          </w:tcPr>
          <w:p w14:paraId="59861230" w14:textId="77777777" w:rsidR="00000000" w:rsidRDefault="00A173A8">
            <w:pPr>
              <w:spacing w:after="100"/>
              <w:rPr>
                <w:rFonts w:eastAsia="Times New Roman"/>
                <w:sz w:val="20"/>
                <w:szCs w:val="20"/>
              </w:rPr>
            </w:pPr>
          </w:p>
        </w:tc>
        <w:tc>
          <w:tcPr>
            <w:tcW w:w="0" w:type="auto"/>
            <w:gridSpan w:val="3"/>
            <w:vAlign w:val="center"/>
            <w:hideMark/>
          </w:tcPr>
          <w:p w14:paraId="0774A670" w14:textId="77777777" w:rsidR="00000000" w:rsidRDefault="00A173A8">
            <w:pPr>
              <w:spacing w:after="100"/>
              <w:rPr>
                <w:rFonts w:eastAsia="Times New Roman"/>
                <w:sz w:val="20"/>
                <w:szCs w:val="20"/>
              </w:rPr>
            </w:pPr>
          </w:p>
        </w:tc>
        <w:tc>
          <w:tcPr>
            <w:tcW w:w="0" w:type="auto"/>
            <w:gridSpan w:val="3"/>
            <w:vAlign w:val="center"/>
            <w:hideMark/>
          </w:tcPr>
          <w:p w14:paraId="2121D8DA" w14:textId="77777777" w:rsidR="00000000" w:rsidRDefault="00A173A8">
            <w:pPr>
              <w:spacing w:after="100"/>
              <w:rPr>
                <w:rFonts w:eastAsia="Times New Roman"/>
                <w:sz w:val="20"/>
                <w:szCs w:val="20"/>
              </w:rPr>
            </w:pPr>
          </w:p>
        </w:tc>
        <w:tc>
          <w:tcPr>
            <w:tcW w:w="0" w:type="auto"/>
            <w:gridSpan w:val="3"/>
            <w:vAlign w:val="center"/>
            <w:hideMark/>
          </w:tcPr>
          <w:p w14:paraId="2A88E595" w14:textId="77777777" w:rsidR="00000000" w:rsidRDefault="00A173A8">
            <w:pPr>
              <w:spacing w:after="100"/>
              <w:rPr>
                <w:rFonts w:eastAsia="Times New Roman"/>
                <w:sz w:val="20"/>
                <w:szCs w:val="20"/>
              </w:rPr>
            </w:pPr>
          </w:p>
        </w:tc>
        <w:tc>
          <w:tcPr>
            <w:tcW w:w="0" w:type="auto"/>
            <w:gridSpan w:val="3"/>
            <w:vAlign w:val="center"/>
            <w:hideMark/>
          </w:tcPr>
          <w:p w14:paraId="60DC5C6B" w14:textId="77777777" w:rsidR="00000000" w:rsidRDefault="00A173A8">
            <w:pPr>
              <w:spacing w:after="100"/>
              <w:rPr>
                <w:rFonts w:eastAsia="Times New Roman"/>
                <w:sz w:val="20"/>
                <w:szCs w:val="20"/>
              </w:rPr>
            </w:pPr>
          </w:p>
        </w:tc>
        <w:tc>
          <w:tcPr>
            <w:tcW w:w="0" w:type="auto"/>
            <w:gridSpan w:val="3"/>
            <w:vAlign w:val="center"/>
            <w:hideMark/>
          </w:tcPr>
          <w:p w14:paraId="00D2662B" w14:textId="77777777" w:rsidR="00000000" w:rsidRDefault="00A173A8">
            <w:pPr>
              <w:spacing w:after="100"/>
              <w:rPr>
                <w:rFonts w:eastAsia="Times New Roman"/>
                <w:sz w:val="20"/>
                <w:szCs w:val="20"/>
              </w:rPr>
            </w:pPr>
          </w:p>
        </w:tc>
        <w:tc>
          <w:tcPr>
            <w:tcW w:w="0" w:type="auto"/>
            <w:gridSpan w:val="3"/>
            <w:vAlign w:val="center"/>
            <w:hideMark/>
          </w:tcPr>
          <w:p w14:paraId="22A62550" w14:textId="77777777" w:rsidR="00000000" w:rsidRDefault="00A173A8">
            <w:pPr>
              <w:spacing w:after="100"/>
              <w:rPr>
                <w:rFonts w:eastAsia="Times New Roman"/>
                <w:sz w:val="20"/>
                <w:szCs w:val="20"/>
              </w:rPr>
            </w:pPr>
          </w:p>
        </w:tc>
        <w:tc>
          <w:tcPr>
            <w:tcW w:w="0" w:type="auto"/>
            <w:gridSpan w:val="3"/>
            <w:vAlign w:val="center"/>
            <w:hideMark/>
          </w:tcPr>
          <w:p w14:paraId="5AF22F8D" w14:textId="77777777" w:rsidR="00000000" w:rsidRDefault="00A173A8">
            <w:pPr>
              <w:spacing w:after="100"/>
              <w:rPr>
                <w:rFonts w:eastAsia="Times New Roman"/>
                <w:sz w:val="20"/>
                <w:szCs w:val="20"/>
              </w:rPr>
            </w:pPr>
          </w:p>
        </w:tc>
      </w:tr>
      <w:tr w:rsidR="00000000" w14:paraId="30F76490" w14:textId="77777777">
        <w:trPr>
          <w:divId w:val="1616132076"/>
        </w:trPr>
        <w:tc>
          <w:tcPr>
            <w:tcW w:w="0" w:type="auto"/>
            <w:gridSpan w:val="3"/>
            <w:vAlign w:val="center"/>
            <w:hideMark/>
          </w:tcPr>
          <w:p w14:paraId="47D259F7" w14:textId="77777777" w:rsidR="00000000" w:rsidRDefault="00A173A8">
            <w:pPr>
              <w:spacing w:after="100"/>
              <w:rPr>
                <w:rFonts w:eastAsia="Times New Roman"/>
                <w:sz w:val="20"/>
                <w:szCs w:val="20"/>
              </w:rPr>
            </w:pPr>
          </w:p>
        </w:tc>
        <w:tc>
          <w:tcPr>
            <w:tcW w:w="0" w:type="auto"/>
            <w:gridSpan w:val="3"/>
            <w:vAlign w:val="center"/>
            <w:hideMark/>
          </w:tcPr>
          <w:p w14:paraId="6BD2375D" w14:textId="77777777" w:rsidR="00000000" w:rsidRDefault="00A173A8">
            <w:pPr>
              <w:spacing w:after="100"/>
              <w:rPr>
                <w:rFonts w:eastAsia="Times New Roman"/>
                <w:sz w:val="20"/>
                <w:szCs w:val="20"/>
              </w:rPr>
            </w:pPr>
          </w:p>
        </w:tc>
        <w:tc>
          <w:tcPr>
            <w:tcW w:w="0" w:type="auto"/>
            <w:gridSpan w:val="3"/>
            <w:vAlign w:val="center"/>
            <w:hideMark/>
          </w:tcPr>
          <w:p w14:paraId="7AA2D46E" w14:textId="77777777" w:rsidR="00000000" w:rsidRDefault="00A173A8">
            <w:pPr>
              <w:spacing w:after="100"/>
              <w:rPr>
                <w:rFonts w:eastAsia="Times New Roman"/>
                <w:sz w:val="20"/>
                <w:szCs w:val="20"/>
              </w:rPr>
            </w:pPr>
          </w:p>
        </w:tc>
        <w:tc>
          <w:tcPr>
            <w:tcW w:w="0" w:type="auto"/>
            <w:gridSpan w:val="3"/>
            <w:vAlign w:val="center"/>
            <w:hideMark/>
          </w:tcPr>
          <w:p w14:paraId="53BC84A8" w14:textId="77777777" w:rsidR="00000000" w:rsidRDefault="00A173A8">
            <w:pPr>
              <w:spacing w:after="100"/>
              <w:rPr>
                <w:rFonts w:eastAsia="Times New Roman"/>
                <w:sz w:val="20"/>
                <w:szCs w:val="20"/>
              </w:rPr>
            </w:pPr>
          </w:p>
        </w:tc>
        <w:tc>
          <w:tcPr>
            <w:tcW w:w="0" w:type="auto"/>
            <w:gridSpan w:val="3"/>
            <w:vAlign w:val="center"/>
            <w:hideMark/>
          </w:tcPr>
          <w:p w14:paraId="023A1540" w14:textId="77777777" w:rsidR="00000000" w:rsidRDefault="00A173A8">
            <w:pPr>
              <w:spacing w:after="100"/>
              <w:rPr>
                <w:rFonts w:eastAsia="Times New Roman"/>
                <w:sz w:val="20"/>
                <w:szCs w:val="20"/>
              </w:rPr>
            </w:pPr>
          </w:p>
        </w:tc>
        <w:tc>
          <w:tcPr>
            <w:tcW w:w="0" w:type="auto"/>
            <w:gridSpan w:val="3"/>
            <w:vAlign w:val="center"/>
            <w:hideMark/>
          </w:tcPr>
          <w:p w14:paraId="094DE12A" w14:textId="77777777" w:rsidR="00000000" w:rsidRDefault="00A173A8">
            <w:pPr>
              <w:spacing w:after="100"/>
              <w:rPr>
                <w:rFonts w:eastAsia="Times New Roman"/>
                <w:sz w:val="20"/>
                <w:szCs w:val="20"/>
              </w:rPr>
            </w:pPr>
          </w:p>
        </w:tc>
        <w:tc>
          <w:tcPr>
            <w:tcW w:w="0" w:type="auto"/>
            <w:gridSpan w:val="3"/>
            <w:vAlign w:val="center"/>
            <w:hideMark/>
          </w:tcPr>
          <w:p w14:paraId="0BC3C27C" w14:textId="77777777" w:rsidR="00000000" w:rsidRDefault="00A173A8">
            <w:pPr>
              <w:spacing w:after="100"/>
              <w:rPr>
                <w:rFonts w:eastAsia="Times New Roman"/>
                <w:sz w:val="20"/>
                <w:szCs w:val="20"/>
              </w:rPr>
            </w:pPr>
          </w:p>
        </w:tc>
        <w:tc>
          <w:tcPr>
            <w:tcW w:w="0" w:type="auto"/>
            <w:gridSpan w:val="3"/>
            <w:vAlign w:val="center"/>
            <w:hideMark/>
          </w:tcPr>
          <w:p w14:paraId="7008B852" w14:textId="77777777" w:rsidR="00000000" w:rsidRDefault="00A173A8">
            <w:pPr>
              <w:spacing w:after="100"/>
              <w:rPr>
                <w:rFonts w:eastAsia="Times New Roman"/>
                <w:sz w:val="20"/>
                <w:szCs w:val="20"/>
              </w:rPr>
            </w:pPr>
          </w:p>
        </w:tc>
        <w:tc>
          <w:tcPr>
            <w:tcW w:w="0" w:type="auto"/>
            <w:gridSpan w:val="3"/>
            <w:vAlign w:val="center"/>
            <w:hideMark/>
          </w:tcPr>
          <w:p w14:paraId="199415F5" w14:textId="77777777" w:rsidR="00000000" w:rsidRDefault="00A173A8">
            <w:pPr>
              <w:spacing w:after="100"/>
              <w:rPr>
                <w:rFonts w:eastAsia="Times New Roman"/>
                <w:sz w:val="20"/>
                <w:szCs w:val="20"/>
              </w:rPr>
            </w:pPr>
          </w:p>
        </w:tc>
        <w:tc>
          <w:tcPr>
            <w:tcW w:w="0" w:type="auto"/>
            <w:gridSpan w:val="3"/>
            <w:vAlign w:val="center"/>
            <w:hideMark/>
          </w:tcPr>
          <w:p w14:paraId="611B27CD" w14:textId="77777777" w:rsidR="00000000" w:rsidRDefault="00A173A8">
            <w:pPr>
              <w:spacing w:after="100"/>
              <w:rPr>
                <w:rFonts w:eastAsia="Times New Roman"/>
                <w:sz w:val="20"/>
                <w:szCs w:val="20"/>
              </w:rPr>
            </w:pPr>
          </w:p>
        </w:tc>
        <w:tc>
          <w:tcPr>
            <w:tcW w:w="0" w:type="auto"/>
            <w:gridSpan w:val="3"/>
            <w:vAlign w:val="center"/>
            <w:hideMark/>
          </w:tcPr>
          <w:p w14:paraId="69D2CE78" w14:textId="77777777" w:rsidR="00000000" w:rsidRDefault="00A173A8">
            <w:pPr>
              <w:spacing w:after="100"/>
              <w:rPr>
                <w:rFonts w:eastAsia="Times New Roman"/>
                <w:sz w:val="20"/>
                <w:szCs w:val="20"/>
              </w:rPr>
            </w:pPr>
          </w:p>
        </w:tc>
        <w:tc>
          <w:tcPr>
            <w:tcW w:w="0" w:type="auto"/>
            <w:gridSpan w:val="3"/>
            <w:vAlign w:val="center"/>
            <w:hideMark/>
          </w:tcPr>
          <w:p w14:paraId="5747BA1E" w14:textId="77777777" w:rsidR="00000000" w:rsidRDefault="00A173A8">
            <w:pPr>
              <w:spacing w:after="100"/>
              <w:rPr>
                <w:rFonts w:eastAsia="Times New Roman"/>
                <w:sz w:val="20"/>
                <w:szCs w:val="20"/>
              </w:rPr>
            </w:pPr>
          </w:p>
        </w:tc>
        <w:tc>
          <w:tcPr>
            <w:tcW w:w="0" w:type="auto"/>
            <w:gridSpan w:val="3"/>
            <w:vAlign w:val="center"/>
            <w:hideMark/>
          </w:tcPr>
          <w:p w14:paraId="75BBF9A5" w14:textId="77777777" w:rsidR="00000000" w:rsidRDefault="00A173A8">
            <w:pPr>
              <w:spacing w:after="100"/>
              <w:rPr>
                <w:rFonts w:eastAsia="Times New Roman"/>
                <w:sz w:val="20"/>
                <w:szCs w:val="20"/>
              </w:rPr>
            </w:pPr>
          </w:p>
        </w:tc>
        <w:tc>
          <w:tcPr>
            <w:tcW w:w="0" w:type="auto"/>
            <w:gridSpan w:val="3"/>
            <w:vAlign w:val="center"/>
            <w:hideMark/>
          </w:tcPr>
          <w:p w14:paraId="47652C99" w14:textId="77777777" w:rsidR="00000000" w:rsidRDefault="00A173A8">
            <w:pPr>
              <w:spacing w:after="100"/>
              <w:rPr>
                <w:rFonts w:eastAsia="Times New Roman"/>
                <w:sz w:val="20"/>
                <w:szCs w:val="20"/>
              </w:rPr>
            </w:pPr>
          </w:p>
        </w:tc>
        <w:tc>
          <w:tcPr>
            <w:tcW w:w="0" w:type="auto"/>
            <w:gridSpan w:val="3"/>
            <w:vAlign w:val="center"/>
            <w:hideMark/>
          </w:tcPr>
          <w:p w14:paraId="0F6CB497" w14:textId="77777777" w:rsidR="00000000" w:rsidRDefault="00A173A8">
            <w:pPr>
              <w:spacing w:after="100"/>
              <w:rPr>
                <w:rFonts w:eastAsia="Times New Roman"/>
                <w:sz w:val="20"/>
                <w:szCs w:val="20"/>
              </w:rPr>
            </w:pPr>
          </w:p>
        </w:tc>
        <w:tc>
          <w:tcPr>
            <w:tcW w:w="0" w:type="auto"/>
            <w:gridSpan w:val="3"/>
            <w:vAlign w:val="center"/>
            <w:hideMark/>
          </w:tcPr>
          <w:p w14:paraId="5858B183" w14:textId="77777777" w:rsidR="00000000" w:rsidRDefault="00A173A8">
            <w:pPr>
              <w:spacing w:after="100"/>
              <w:rPr>
                <w:rFonts w:eastAsia="Times New Roman"/>
                <w:sz w:val="20"/>
                <w:szCs w:val="20"/>
              </w:rPr>
            </w:pPr>
          </w:p>
        </w:tc>
        <w:tc>
          <w:tcPr>
            <w:tcW w:w="0" w:type="auto"/>
            <w:gridSpan w:val="3"/>
            <w:vAlign w:val="center"/>
            <w:hideMark/>
          </w:tcPr>
          <w:p w14:paraId="5D9ED251" w14:textId="77777777" w:rsidR="00000000" w:rsidRDefault="00A173A8">
            <w:pPr>
              <w:spacing w:after="100"/>
              <w:rPr>
                <w:rFonts w:eastAsia="Times New Roman"/>
                <w:sz w:val="20"/>
                <w:szCs w:val="20"/>
              </w:rPr>
            </w:pPr>
          </w:p>
        </w:tc>
      </w:tr>
      <w:tr w:rsidR="00000000" w14:paraId="2732EDB2" w14:textId="77777777">
        <w:trPr>
          <w:divId w:val="1616132076"/>
        </w:trPr>
        <w:tc>
          <w:tcPr>
            <w:tcW w:w="0" w:type="auto"/>
            <w:gridSpan w:val="3"/>
            <w:vAlign w:val="center"/>
            <w:hideMark/>
          </w:tcPr>
          <w:p w14:paraId="1DD9BAD0" w14:textId="77777777" w:rsidR="00000000" w:rsidRDefault="00A173A8">
            <w:pPr>
              <w:spacing w:after="100"/>
              <w:rPr>
                <w:rFonts w:eastAsia="Times New Roman"/>
                <w:sz w:val="20"/>
                <w:szCs w:val="20"/>
              </w:rPr>
            </w:pPr>
          </w:p>
        </w:tc>
        <w:tc>
          <w:tcPr>
            <w:tcW w:w="0" w:type="auto"/>
            <w:gridSpan w:val="3"/>
            <w:vAlign w:val="center"/>
            <w:hideMark/>
          </w:tcPr>
          <w:p w14:paraId="44E07084" w14:textId="77777777" w:rsidR="00000000" w:rsidRDefault="00A173A8">
            <w:pPr>
              <w:spacing w:after="100"/>
              <w:rPr>
                <w:rFonts w:eastAsia="Times New Roman"/>
                <w:sz w:val="20"/>
                <w:szCs w:val="20"/>
              </w:rPr>
            </w:pPr>
          </w:p>
        </w:tc>
        <w:tc>
          <w:tcPr>
            <w:tcW w:w="0" w:type="auto"/>
            <w:gridSpan w:val="3"/>
            <w:vAlign w:val="center"/>
            <w:hideMark/>
          </w:tcPr>
          <w:p w14:paraId="71493F35" w14:textId="77777777" w:rsidR="00000000" w:rsidRDefault="00A173A8">
            <w:pPr>
              <w:spacing w:after="100"/>
              <w:rPr>
                <w:rFonts w:eastAsia="Times New Roman"/>
                <w:sz w:val="20"/>
                <w:szCs w:val="20"/>
              </w:rPr>
            </w:pPr>
          </w:p>
        </w:tc>
        <w:tc>
          <w:tcPr>
            <w:tcW w:w="0" w:type="auto"/>
            <w:gridSpan w:val="3"/>
            <w:vAlign w:val="center"/>
            <w:hideMark/>
          </w:tcPr>
          <w:p w14:paraId="220ACA7E" w14:textId="77777777" w:rsidR="00000000" w:rsidRDefault="00A173A8">
            <w:pPr>
              <w:spacing w:after="100"/>
              <w:rPr>
                <w:rFonts w:eastAsia="Times New Roman"/>
                <w:sz w:val="20"/>
                <w:szCs w:val="20"/>
              </w:rPr>
            </w:pPr>
          </w:p>
        </w:tc>
        <w:tc>
          <w:tcPr>
            <w:tcW w:w="0" w:type="auto"/>
            <w:gridSpan w:val="3"/>
            <w:vAlign w:val="center"/>
            <w:hideMark/>
          </w:tcPr>
          <w:p w14:paraId="13070F87" w14:textId="77777777" w:rsidR="00000000" w:rsidRDefault="00A173A8">
            <w:pPr>
              <w:spacing w:after="100"/>
              <w:rPr>
                <w:rFonts w:eastAsia="Times New Roman"/>
                <w:sz w:val="20"/>
                <w:szCs w:val="20"/>
              </w:rPr>
            </w:pPr>
          </w:p>
        </w:tc>
        <w:tc>
          <w:tcPr>
            <w:tcW w:w="0" w:type="auto"/>
            <w:gridSpan w:val="3"/>
            <w:vAlign w:val="center"/>
            <w:hideMark/>
          </w:tcPr>
          <w:p w14:paraId="10EB7A06" w14:textId="77777777" w:rsidR="00000000" w:rsidRDefault="00A173A8">
            <w:pPr>
              <w:spacing w:after="100"/>
              <w:rPr>
                <w:rFonts w:eastAsia="Times New Roman"/>
                <w:sz w:val="20"/>
                <w:szCs w:val="20"/>
              </w:rPr>
            </w:pPr>
          </w:p>
        </w:tc>
        <w:tc>
          <w:tcPr>
            <w:tcW w:w="0" w:type="auto"/>
            <w:gridSpan w:val="3"/>
            <w:vAlign w:val="center"/>
            <w:hideMark/>
          </w:tcPr>
          <w:p w14:paraId="34B4F2B3" w14:textId="77777777" w:rsidR="00000000" w:rsidRDefault="00A173A8">
            <w:pPr>
              <w:spacing w:after="100"/>
              <w:rPr>
                <w:rFonts w:eastAsia="Times New Roman"/>
                <w:sz w:val="20"/>
                <w:szCs w:val="20"/>
              </w:rPr>
            </w:pPr>
          </w:p>
        </w:tc>
        <w:tc>
          <w:tcPr>
            <w:tcW w:w="0" w:type="auto"/>
            <w:gridSpan w:val="3"/>
            <w:vAlign w:val="center"/>
            <w:hideMark/>
          </w:tcPr>
          <w:p w14:paraId="1CCF918D" w14:textId="77777777" w:rsidR="00000000" w:rsidRDefault="00A173A8">
            <w:pPr>
              <w:spacing w:after="100"/>
              <w:rPr>
                <w:rFonts w:eastAsia="Times New Roman"/>
                <w:sz w:val="20"/>
                <w:szCs w:val="20"/>
              </w:rPr>
            </w:pPr>
          </w:p>
        </w:tc>
        <w:tc>
          <w:tcPr>
            <w:tcW w:w="0" w:type="auto"/>
            <w:gridSpan w:val="3"/>
            <w:vAlign w:val="center"/>
            <w:hideMark/>
          </w:tcPr>
          <w:p w14:paraId="620F7D80" w14:textId="77777777" w:rsidR="00000000" w:rsidRDefault="00A173A8">
            <w:pPr>
              <w:spacing w:after="100"/>
              <w:rPr>
                <w:rFonts w:eastAsia="Times New Roman"/>
                <w:sz w:val="20"/>
                <w:szCs w:val="20"/>
              </w:rPr>
            </w:pPr>
          </w:p>
        </w:tc>
        <w:tc>
          <w:tcPr>
            <w:tcW w:w="0" w:type="auto"/>
            <w:gridSpan w:val="3"/>
            <w:vAlign w:val="center"/>
            <w:hideMark/>
          </w:tcPr>
          <w:p w14:paraId="074E88F2" w14:textId="77777777" w:rsidR="00000000" w:rsidRDefault="00A173A8">
            <w:pPr>
              <w:spacing w:after="100"/>
              <w:rPr>
                <w:rFonts w:eastAsia="Times New Roman"/>
                <w:sz w:val="20"/>
                <w:szCs w:val="20"/>
              </w:rPr>
            </w:pPr>
          </w:p>
        </w:tc>
        <w:tc>
          <w:tcPr>
            <w:tcW w:w="0" w:type="auto"/>
            <w:gridSpan w:val="3"/>
            <w:vAlign w:val="center"/>
            <w:hideMark/>
          </w:tcPr>
          <w:p w14:paraId="6AE85F8A" w14:textId="77777777" w:rsidR="00000000" w:rsidRDefault="00A173A8">
            <w:pPr>
              <w:spacing w:after="100"/>
              <w:rPr>
                <w:rFonts w:eastAsia="Times New Roman"/>
                <w:sz w:val="20"/>
                <w:szCs w:val="20"/>
              </w:rPr>
            </w:pPr>
          </w:p>
        </w:tc>
        <w:tc>
          <w:tcPr>
            <w:tcW w:w="0" w:type="auto"/>
            <w:gridSpan w:val="3"/>
            <w:vAlign w:val="center"/>
            <w:hideMark/>
          </w:tcPr>
          <w:p w14:paraId="6FA610BD" w14:textId="77777777" w:rsidR="00000000" w:rsidRDefault="00A173A8">
            <w:pPr>
              <w:spacing w:after="100"/>
              <w:rPr>
                <w:rFonts w:eastAsia="Times New Roman"/>
                <w:sz w:val="20"/>
                <w:szCs w:val="20"/>
              </w:rPr>
            </w:pPr>
          </w:p>
        </w:tc>
        <w:tc>
          <w:tcPr>
            <w:tcW w:w="0" w:type="auto"/>
            <w:gridSpan w:val="3"/>
            <w:vAlign w:val="center"/>
            <w:hideMark/>
          </w:tcPr>
          <w:p w14:paraId="50DD1A2C" w14:textId="77777777" w:rsidR="00000000" w:rsidRDefault="00A173A8">
            <w:pPr>
              <w:spacing w:after="100"/>
              <w:rPr>
                <w:rFonts w:eastAsia="Times New Roman"/>
                <w:sz w:val="20"/>
                <w:szCs w:val="20"/>
              </w:rPr>
            </w:pPr>
          </w:p>
        </w:tc>
        <w:tc>
          <w:tcPr>
            <w:tcW w:w="0" w:type="auto"/>
            <w:gridSpan w:val="3"/>
            <w:vAlign w:val="center"/>
            <w:hideMark/>
          </w:tcPr>
          <w:p w14:paraId="4D41D909" w14:textId="77777777" w:rsidR="00000000" w:rsidRDefault="00A173A8">
            <w:pPr>
              <w:spacing w:after="100"/>
              <w:rPr>
                <w:rFonts w:eastAsia="Times New Roman"/>
                <w:sz w:val="20"/>
                <w:szCs w:val="20"/>
              </w:rPr>
            </w:pPr>
          </w:p>
        </w:tc>
        <w:tc>
          <w:tcPr>
            <w:tcW w:w="0" w:type="auto"/>
            <w:gridSpan w:val="3"/>
            <w:vAlign w:val="center"/>
            <w:hideMark/>
          </w:tcPr>
          <w:p w14:paraId="722FF9F2" w14:textId="77777777" w:rsidR="00000000" w:rsidRDefault="00A173A8">
            <w:pPr>
              <w:spacing w:after="100"/>
              <w:rPr>
                <w:rFonts w:eastAsia="Times New Roman"/>
                <w:sz w:val="20"/>
                <w:szCs w:val="20"/>
              </w:rPr>
            </w:pPr>
          </w:p>
        </w:tc>
        <w:tc>
          <w:tcPr>
            <w:tcW w:w="0" w:type="auto"/>
            <w:gridSpan w:val="3"/>
            <w:vAlign w:val="center"/>
            <w:hideMark/>
          </w:tcPr>
          <w:p w14:paraId="3594A44A" w14:textId="77777777" w:rsidR="00000000" w:rsidRDefault="00A173A8">
            <w:pPr>
              <w:spacing w:after="100"/>
              <w:rPr>
                <w:rFonts w:eastAsia="Times New Roman"/>
                <w:sz w:val="20"/>
                <w:szCs w:val="20"/>
              </w:rPr>
            </w:pPr>
          </w:p>
        </w:tc>
        <w:tc>
          <w:tcPr>
            <w:tcW w:w="0" w:type="auto"/>
            <w:gridSpan w:val="3"/>
            <w:vAlign w:val="center"/>
            <w:hideMark/>
          </w:tcPr>
          <w:p w14:paraId="226F699A" w14:textId="77777777" w:rsidR="00000000" w:rsidRDefault="00A173A8">
            <w:pPr>
              <w:spacing w:after="100"/>
              <w:rPr>
                <w:rFonts w:eastAsia="Times New Roman"/>
                <w:sz w:val="20"/>
                <w:szCs w:val="20"/>
              </w:rPr>
            </w:pPr>
          </w:p>
        </w:tc>
      </w:tr>
      <w:tr w:rsidR="00000000" w14:paraId="107CAC65" w14:textId="77777777">
        <w:trPr>
          <w:divId w:val="1616132076"/>
        </w:trPr>
        <w:tc>
          <w:tcPr>
            <w:tcW w:w="0" w:type="auto"/>
            <w:gridSpan w:val="3"/>
            <w:vAlign w:val="center"/>
            <w:hideMark/>
          </w:tcPr>
          <w:p w14:paraId="67D59AB5" w14:textId="77777777" w:rsidR="00000000" w:rsidRDefault="00A173A8">
            <w:pPr>
              <w:spacing w:after="100"/>
              <w:rPr>
                <w:rFonts w:eastAsia="Times New Roman"/>
                <w:sz w:val="20"/>
                <w:szCs w:val="20"/>
              </w:rPr>
            </w:pPr>
          </w:p>
        </w:tc>
        <w:tc>
          <w:tcPr>
            <w:tcW w:w="0" w:type="auto"/>
            <w:gridSpan w:val="3"/>
            <w:vAlign w:val="center"/>
            <w:hideMark/>
          </w:tcPr>
          <w:p w14:paraId="089CF1D1" w14:textId="77777777" w:rsidR="00000000" w:rsidRDefault="00A173A8">
            <w:pPr>
              <w:spacing w:after="100"/>
              <w:rPr>
                <w:rFonts w:eastAsia="Times New Roman"/>
                <w:sz w:val="20"/>
                <w:szCs w:val="20"/>
              </w:rPr>
            </w:pPr>
          </w:p>
        </w:tc>
        <w:tc>
          <w:tcPr>
            <w:tcW w:w="0" w:type="auto"/>
            <w:gridSpan w:val="3"/>
            <w:vAlign w:val="center"/>
            <w:hideMark/>
          </w:tcPr>
          <w:p w14:paraId="07F58D29" w14:textId="77777777" w:rsidR="00000000" w:rsidRDefault="00A173A8">
            <w:pPr>
              <w:spacing w:after="100"/>
              <w:rPr>
                <w:rFonts w:eastAsia="Times New Roman"/>
                <w:sz w:val="20"/>
                <w:szCs w:val="20"/>
              </w:rPr>
            </w:pPr>
          </w:p>
        </w:tc>
        <w:tc>
          <w:tcPr>
            <w:tcW w:w="0" w:type="auto"/>
            <w:gridSpan w:val="3"/>
            <w:vAlign w:val="center"/>
            <w:hideMark/>
          </w:tcPr>
          <w:p w14:paraId="72351424" w14:textId="77777777" w:rsidR="00000000" w:rsidRDefault="00A173A8">
            <w:pPr>
              <w:spacing w:after="100"/>
              <w:rPr>
                <w:rFonts w:eastAsia="Times New Roman"/>
                <w:sz w:val="20"/>
                <w:szCs w:val="20"/>
              </w:rPr>
            </w:pPr>
          </w:p>
        </w:tc>
        <w:tc>
          <w:tcPr>
            <w:tcW w:w="0" w:type="auto"/>
            <w:gridSpan w:val="3"/>
            <w:vAlign w:val="center"/>
            <w:hideMark/>
          </w:tcPr>
          <w:p w14:paraId="79529665" w14:textId="77777777" w:rsidR="00000000" w:rsidRDefault="00A173A8">
            <w:pPr>
              <w:spacing w:after="100"/>
              <w:rPr>
                <w:rFonts w:eastAsia="Times New Roman"/>
                <w:sz w:val="20"/>
                <w:szCs w:val="20"/>
              </w:rPr>
            </w:pPr>
          </w:p>
        </w:tc>
        <w:tc>
          <w:tcPr>
            <w:tcW w:w="0" w:type="auto"/>
            <w:gridSpan w:val="3"/>
            <w:vAlign w:val="center"/>
            <w:hideMark/>
          </w:tcPr>
          <w:p w14:paraId="7060A17E" w14:textId="77777777" w:rsidR="00000000" w:rsidRDefault="00A173A8">
            <w:pPr>
              <w:spacing w:after="100"/>
              <w:rPr>
                <w:rFonts w:eastAsia="Times New Roman"/>
                <w:sz w:val="20"/>
                <w:szCs w:val="20"/>
              </w:rPr>
            </w:pPr>
          </w:p>
        </w:tc>
        <w:tc>
          <w:tcPr>
            <w:tcW w:w="0" w:type="auto"/>
            <w:gridSpan w:val="3"/>
            <w:vAlign w:val="center"/>
            <w:hideMark/>
          </w:tcPr>
          <w:p w14:paraId="462041E7" w14:textId="77777777" w:rsidR="00000000" w:rsidRDefault="00A173A8">
            <w:pPr>
              <w:spacing w:after="100"/>
              <w:rPr>
                <w:rFonts w:eastAsia="Times New Roman"/>
                <w:sz w:val="20"/>
                <w:szCs w:val="20"/>
              </w:rPr>
            </w:pPr>
          </w:p>
        </w:tc>
        <w:tc>
          <w:tcPr>
            <w:tcW w:w="0" w:type="auto"/>
            <w:gridSpan w:val="3"/>
            <w:vAlign w:val="center"/>
            <w:hideMark/>
          </w:tcPr>
          <w:p w14:paraId="5E8D20BE" w14:textId="77777777" w:rsidR="00000000" w:rsidRDefault="00A173A8">
            <w:pPr>
              <w:spacing w:after="100"/>
              <w:rPr>
                <w:rFonts w:eastAsia="Times New Roman"/>
                <w:sz w:val="20"/>
                <w:szCs w:val="20"/>
              </w:rPr>
            </w:pPr>
          </w:p>
        </w:tc>
        <w:tc>
          <w:tcPr>
            <w:tcW w:w="0" w:type="auto"/>
            <w:gridSpan w:val="3"/>
            <w:vAlign w:val="center"/>
            <w:hideMark/>
          </w:tcPr>
          <w:p w14:paraId="672E1374" w14:textId="77777777" w:rsidR="00000000" w:rsidRDefault="00A173A8">
            <w:pPr>
              <w:spacing w:after="100"/>
              <w:rPr>
                <w:rFonts w:eastAsia="Times New Roman"/>
                <w:sz w:val="20"/>
                <w:szCs w:val="20"/>
              </w:rPr>
            </w:pPr>
          </w:p>
        </w:tc>
        <w:tc>
          <w:tcPr>
            <w:tcW w:w="0" w:type="auto"/>
            <w:gridSpan w:val="3"/>
            <w:vAlign w:val="center"/>
            <w:hideMark/>
          </w:tcPr>
          <w:p w14:paraId="6DAD41B3" w14:textId="77777777" w:rsidR="00000000" w:rsidRDefault="00A173A8">
            <w:pPr>
              <w:spacing w:after="100"/>
              <w:rPr>
                <w:rFonts w:eastAsia="Times New Roman"/>
                <w:sz w:val="20"/>
                <w:szCs w:val="20"/>
              </w:rPr>
            </w:pPr>
          </w:p>
        </w:tc>
        <w:tc>
          <w:tcPr>
            <w:tcW w:w="0" w:type="auto"/>
            <w:gridSpan w:val="3"/>
            <w:vAlign w:val="center"/>
            <w:hideMark/>
          </w:tcPr>
          <w:p w14:paraId="2ABE53D5" w14:textId="77777777" w:rsidR="00000000" w:rsidRDefault="00A173A8">
            <w:pPr>
              <w:spacing w:after="100"/>
              <w:rPr>
                <w:rFonts w:eastAsia="Times New Roman"/>
                <w:sz w:val="20"/>
                <w:szCs w:val="20"/>
              </w:rPr>
            </w:pPr>
          </w:p>
        </w:tc>
        <w:tc>
          <w:tcPr>
            <w:tcW w:w="0" w:type="auto"/>
            <w:gridSpan w:val="3"/>
            <w:vAlign w:val="center"/>
            <w:hideMark/>
          </w:tcPr>
          <w:p w14:paraId="62A2EA1E" w14:textId="77777777" w:rsidR="00000000" w:rsidRDefault="00A173A8">
            <w:pPr>
              <w:spacing w:after="100"/>
              <w:rPr>
                <w:rFonts w:eastAsia="Times New Roman"/>
                <w:sz w:val="20"/>
                <w:szCs w:val="20"/>
              </w:rPr>
            </w:pPr>
          </w:p>
        </w:tc>
        <w:tc>
          <w:tcPr>
            <w:tcW w:w="0" w:type="auto"/>
            <w:gridSpan w:val="3"/>
            <w:vAlign w:val="center"/>
            <w:hideMark/>
          </w:tcPr>
          <w:p w14:paraId="1EFC75A4" w14:textId="77777777" w:rsidR="00000000" w:rsidRDefault="00A173A8">
            <w:pPr>
              <w:spacing w:after="100"/>
              <w:rPr>
                <w:rFonts w:eastAsia="Times New Roman"/>
                <w:sz w:val="20"/>
                <w:szCs w:val="20"/>
              </w:rPr>
            </w:pPr>
          </w:p>
        </w:tc>
        <w:tc>
          <w:tcPr>
            <w:tcW w:w="0" w:type="auto"/>
            <w:gridSpan w:val="3"/>
            <w:vAlign w:val="center"/>
            <w:hideMark/>
          </w:tcPr>
          <w:p w14:paraId="5639C7E7" w14:textId="77777777" w:rsidR="00000000" w:rsidRDefault="00A173A8">
            <w:pPr>
              <w:spacing w:after="100"/>
              <w:rPr>
                <w:rFonts w:eastAsia="Times New Roman"/>
                <w:sz w:val="20"/>
                <w:szCs w:val="20"/>
              </w:rPr>
            </w:pPr>
          </w:p>
        </w:tc>
        <w:tc>
          <w:tcPr>
            <w:tcW w:w="0" w:type="auto"/>
            <w:gridSpan w:val="3"/>
            <w:vAlign w:val="center"/>
            <w:hideMark/>
          </w:tcPr>
          <w:p w14:paraId="01B6D305" w14:textId="77777777" w:rsidR="00000000" w:rsidRDefault="00A173A8">
            <w:pPr>
              <w:spacing w:after="100"/>
              <w:rPr>
                <w:rFonts w:eastAsia="Times New Roman"/>
                <w:sz w:val="20"/>
                <w:szCs w:val="20"/>
              </w:rPr>
            </w:pPr>
          </w:p>
        </w:tc>
        <w:tc>
          <w:tcPr>
            <w:tcW w:w="0" w:type="auto"/>
            <w:gridSpan w:val="3"/>
            <w:vAlign w:val="center"/>
            <w:hideMark/>
          </w:tcPr>
          <w:p w14:paraId="5DCA2215" w14:textId="77777777" w:rsidR="00000000" w:rsidRDefault="00A173A8">
            <w:pPr>
              <w:spacing w:after="100"/>
              <w:rPr>
                <w:rFonts w:eastAsia="Times New Roman"/>
                <w:sz w:val="20"/>
                <w:szCs w:val="20"/>
              </w:rPr>
            </w:pPr>
          </w:p>
        </w:tc>
        <w:tc>
          <w:tcPr>
            <w:tcW w:w="0" w:type="auto"/>
            <w:gridSpan w:val="3"/>
            <w:vAlign w:val="center"/>
            <w:hideMark/>
          </w:tcPr>
          <w:p w14:paraId="2E8A7379" w14:textId="77777777" w:rsidR="00000000" w:rsidRDefault="00A173A8">
            <w:pPr>
              <w:spacing w:after="100"/>
              <w:rPr>
                <w:rFonts w:eastAsia="Times New Roman"/>
                <w:sz w:val="20"/>
                <w:szCs w:val="20"/>
              </w:rPr>
            </w:pPr>
          </w:p>
        </w:tc>
      </w:tr>
      <w:tr w:rsidR="00000000" w14:paraId="5C685648" w14:textId="77777777">
        <w:trPr>
          <w:divId w:val="1616132076"/>
        </w:trPr>
        <w:tc>
          <w:tcPr>
            <w:tcW w:w="0" w:type="auto"/>
            <w:gridSpan w:val="3"/>
            <w:vAlign w:val="center"/>
            <w:hideMark/>
          </w:tcPr>
          <w:p w14:paraId="19EE6474" w14:textId="77777777" w:rsidR="00000000" w:rsidRDefault="00A173A8">
            <w:pPr>
              <w:spacing w:after="100"/>
              <w:rPr>
                <w:rFonts w:eastAsia="Times New Roman"/>
                <w:sz w:val="20"/>
                <w:szCs w:val="20"/>
              </w:rPr>
            </w:pPr>
          </w:p>
        </w:tc>
        <w:tc>
          <w:tcPr>
            <w:tcW w:w="0" w:type="auto"/>
            <w:gridSpan w:val="3"/>
            <w:vAlign w:val="center"/>
            <w:hideMark/>
          </w:tcPr>
          <w:p w14:paraId="69906DBC" w14:textId="77777777" w:rsidR="00000000" w:rsidRDefault="00A173A8">
            <w:pPr>
              <w:spacing w:after="100"/>
              <w:rPr>
                <w:rFonts w:eastAsia="Times New Roman"/>
                <w:sz w:val="20"/>
                <w:szCs w:val="20"/>
              </w:rPr>
            </w:pPr>
          </w:p>
        </w:tc>
        <w:tc>
          <w:tcPr>
            <w:tcW w:w="0" w:type="auto"/>
            <w:gridSpan w:val="3"/>
            <w:vAlign w:val="center"/>
            <w:hideMark/>
          </w:tcPr>
          <w:p w14:paraId="64CEBCF5" w14:textId="77777777" w:rsidR="00000000" w:rsidRDefault="00A173A8">
            <w:pPr>
              <w:spacing w:after="100"/>
              <w:rPr>
                <w:rFonts w:eastAsia="Times New Roman"/>
                <w:sz w:val="20"/>
                <w:szCs w:val="20"/>
              </w:rPr>
            </w:pPr>
          </w:p>
        </w:tc>
        <w:tc>
          <w:tcPr>
            <w:tcW w:w="0" w:type="auto"/>
            <w:gridSpan w:val="3"/>
            <w:vAlign w:val="center"/>
            <w:hideMark/>
          </w:tcPr>
          <w:p w14:paraId="6A33DFEA" w14:textId="77777777" w:rsidR="00000000" w:rsidRDefault="00A173A8">
            <w:pPr>
              <w:spacing w:after="100"/>
              <w:rPr>
                <w:rFonts w:eastAsia="Times New Roman"/>
                <w:sz w:val="20"/>
                <w:szCs w:val="20"/>
              </w:rPr>
            </w:pPr>
          </w:p>
        </w:tc>
        <w:tc>
          <w:tcPr>
            <w:tcW w:w="0" w:type="auto"/>
            <w:gridSpan w:val="3"/>
            <w:vAlign w:val="center"/>
            <w:hideMark/>
          </w:tcPr>
          <w:p w14:paraId="6321F6D6" w14:textId="77777777" w:rsidR="00000000" w:rsidRDefault="00A173A8">
            <w:pPr>
              <w:spacing w:after="100"/>
              <w:rPr>
                <w:rFonts w:eastAsia="Times New Roman"/>
                <w:sz w:val="20"/>
                <w:szCs w:val="20"/>
              </w:rPr>
            </w:pPr>
          </w:p>
        </w:tc>
        <w:tc>
          <w:tcPr>
            <w:tcW w:w="0" w:type="auto"/>
            <w:gridSpan w:val="3"/>
            <w:vAlign w:val="center"/>
            <w:hideMark/>
          </w:tcPr>
          <w:p w14:paraId="29075FFD" w14:textId="77777777" w:rsidR="00000000" w:rsidRDefault="00A173A8">
            <w:pPr>
              <w:spacing w:after="100"/>
              <w:rPr>
                <w:rFonts w:eastAsia="Times New Roman"/>
                <w:sz w:val="20"/>
                <w:szCs w:val="20"/>
              </w:rPr>
            </w:pPr>
          </w:p>
        </w:tc>
        <w:tc>
          <w:tcPr>
            <w:tcW w:w="0" w:type="auto"/>
            <w:gridSpan w:val="3"/>
            <w:vAlign w:val="center"/>
            <w:hideMark/>
          </w:tcPr>
          <w:p w14:paraId="1AFA2423" w14:textId="77777777" w:rsidR="00000000" w:rsidRDefault="00A173A8">
            <w:pPr>
              <w:spacing w:after="100"/>
              <w:rPr>
                <w:rFonts w:eastAsia="Times New Roman"/>
                <w:sz w:val="20"/>
                <w:szCs w:val="20"/>
              </w:rPr>
            </w:pPr>
          </w:p>
        </w:tc>
        <w:tc>
          <w:tcPr>
            <w:tcW w:w="0" w:type="auto"/>
            <w:gridSpan w:val="3"/>
            <w:vAlign w:val="center"/>
            <w:hideMark/>
          </w:tcPr>
          <w:p w14:paraId="0949012D" w14:textId="77777777" w:rsidR="00000000" w:rsidRDefault="00A173A8">
            <w:pPr>
              <w:spacing w:after="100"/>
              <w:rPr>
                <w:rFonts w:eastAsia="Times New Roman"/>
                <w:sz w:val="20"/>
                <w:szCs w:val="20"/>
              </w:rPr>
            </w:pPr>
          </w:p>
        </w:tc>
        <w:tc>
          <w:tcPr>
            <w:tcW w:w="0" w:type="auto"/>
            <w:gridSpan w:val="3"/>
            <w:vAlign w:val="center"/>
            <w:hideMark/>
          </w:tcPr>
          <w:p w14:paraId="50BEC023" w14:textId="77777777" w:rsidR="00000000" w:rsidRDefault="00A173A8">
            <w:pPr>
              <w:spacing w:after="100"/>
              <w:rPr>
                <w:rFonts w:eastAsia="Times New Roman"/>
                <w:sz w:val="20"/>
                <w:szCs w:val="20"/>
              </w:rPr>
            </w:pPr>
          </w:p>
        </w:tc>
        <w:tc>
          <w:tcPr>
            <w:tcW w:w="0" w:type="auto"/>
            <w:gridSpan w:val="3"/>
            <w:vAlign w:val="center"/>
            <w:hideMark/>
          </w:tcPr>
          <w:p w14:paraId="40DDDFAC" w14:textId="77777777" w:rsidR="00000000" w:rsidRDefault="00A173A8">
            <w:pPr>
              <w:spacing w:after="100"/>
              <w:rPr>
                <w:rFonts w:eastAsia="Times New Roman"/>
                <w:sz w:val="20"/>
                <w:szCs w:val="20"/>
              </w:rPr>
            </w:pPr>
          </w:p>
        </w:tc>
        <w:tc>
          <w:tcPr>
            <w:tcW w:w="0" w:type="auto"/>
            <w:gridSpan w:val="3"/>
            <w:vAlign w:val="center"/>
            <w:hideMark/>
          </w:tcPr>
          <w:p w14:paraId="1ADAA4F9" w14:textId="77777777" w:rsidR="00000000" w:rsidRDefault="00A173A8">
            <w:pPr>
              <w:spacing w:after="100"/>
              <w:rPr>
                <w:rFonts w:eastAsia="Times New Roman"/>
                <w:sz w:val="20"/>
                <w:szCs w:val="20"/>
              </w:rPr>
            </w:pPr>
          </w:p>
        </w:tc>
        <w:tc>
          <w:tcPr>
            <w:tcW w:w="0" w:type="auto"/>
            <w:gridSpan w:val="3"/>
            <w:vAlign w:val="center"/>
            <w:hideMark/>
          </w:tcPr>
          <w:p w14:paraId="50F7B5FA" w14:textId="77777777" w:rsidR="00000000" w:rsidRDefault="00A173A8">
            <w:pPr>
              <w:spacing w:after="100"/>
              <w:rPr>
                <w:rFonts w:eastAsia="Times New Roman"/>
                <w:sz w:val="20"/>
                <w:szCs w:val="20"/>
              </w:rPr>
            </w:pPr>
          </w:p>
        </w:tc>
        <w:tc>
          <w:tcPr>
            <w:tcW w:w="0" w:type="auto"/>
            <w:gridSpan w:val="3"/>
            <w:vAlign w:val="center"/>
            <w:hideMark/>
          </w:tcPr>
          <w:p w14:paraId="4A0D29A3" w14:textId="77777777" w:rsidR="00000000" w:rsidRDefault="00A173A8">
            <w:pPr>
              <w:spacing w:after="100"/>
              <w:rPr>
                <w:rFonts w:eastAsia="Times New Roman"/>
                <w:sz w:val="20"/>
                <w:szCs w:val="20"/>
              </w:rPr>
            </w:pPr>
          </w:p>
        </w:tc>
        <w:tc>
          <w:tcPr>
            <w:tcW w:w="0" w:type="auto"/>
            <w:gridSpan w:val="3"/>
            <w:vAlign w:val="center"/>
            <w:hideMark/>
          </w:tcPr>
          <w:p w14:paraId="760328AE" w14:textId="77777777" w:rsidR="00000000" w:rsidRDefault="00A173A8">
            <w:pPr>
              <w:spacing w:after="100"/>
              <w:rPr>
                <w:rFonts w:eastAsia="Times New Roman"/>
                <w:sz w:val="20"/>
                <w:szCs w:val="20"/>
              </w:rPr>
            </w:pPr>
          </w:p>
        </w:tc>
        <w:tc>
          <w:tcPr>
            <w:tcW w:w="0" w:type="auto"/>
            <w:gridSpan w:val="3"/>
            <w:vAlign w:val="center"/>
            <w:hideMark/>
          </w:tcPr>
          <w:p w14:paraId="723C8C93" w14:textId="77777777" w:rsidR="00000000" w:rsidRDefault="00A173A8">
            <w:pPr>
              <w:spacing w:after="100"/>
              <w:rPr>
                <w:rFonts w:eastAsia="Times New Roman"/>
                <w:sz w:val="20"/>
                <w:szCs w:val="20"/>
              </w:rPr>
            </w:pPr>
          </w:p>
        </w:tc>
        <w:tc>
          <w:tcPr>
            <w:tcW w:w="0" w:type="auto"/>
            <w:gridSpan w:val="3"/>
            <w:vAlign w:val="center"/>
            <w:hideMark/>
          </w:tcPr>
          <w:p w14:paraId="17E9DCDD" w14:textId="77777777" w:rsidR="00000000" w:rsidRDefault="00A173A8">
            <w:pPr>
              <w:spacing w:after="100"/>
              <w:rPr>
                <w:rFonts w:eastAsia="Times New Roman"/>
                <w:sz w:val="20"/>
                <w:szCs w:val="20"/>
              </w:rPr>
            </w:pPr>
          </w:p>
        </w:tc>
        <w:tc>
          <w:tcPr>
            <w:tcW w:w="0" w:type="auto"/>
            <w:gridSpan w:val="3"/>
            <w:vAlign w:val="center"/>
            <w:hideMark/>
          </w:tcPr>
          <w:p w14:paraId="01CACEB3" w14:textId="77777777" w:rsidR="00000000" w:rsidRDefault="00A173A8">
            <w:pPr>
              <w:spacing w:after="100"/>
              <w:rPr>
                <w:rFonts w:eastAsia="Times New Roman"/>
                <w:sz w:val="20"/>
                <w:szCs w:val="20"/>
              </w:rPr>
            </w:pPr>
          </w:p>
        </w:tc>
      </w:tr>
      <w:tr w:rsidR="00000000" w14:paraId="581C4853" w14:textId="77777777">
        <w:trPr>
          <w:divId w:val="1616132076"/>
        </w:trPr>
        <w:tc>
          <w:tcPr>
            <w:tcW w:w="0" w:type="auto"/>
            <w:gridSpan w:val="3"/>
            <w:vAlign w:val="center"/>
            <w:hideMark/>
          </w:tcPr>
          <w:p w14:paraId="29C2FD46" w14:textId="77777777" w:rsidR="00000000" w:rsidRDefault="00A173A8">
            <w:pPr>
              <w:spacing w:after="100"/>
              <w:rPr>
                <w:rFonts w:eastAsia="Times New Roman"/>
                <w:sz w:val="20"/>
                <w:szCs w:val="20"/>
              </w:rPr>
            </w:pPr>
          </w:p>
        </w:tc>
        <w:tc>
          <w:tcPr>
            <w:tcW w:w="0" w:type="auto"/>
            <w:gridSpan w:val="3"/>
            <w:vAlign w:val="center"/>
            <w:hideMark/>
          </w:tcPr>
          <w:p w14:paraId="387B2D3D" w14:textId="77777777" w:rsidR="00000000" w:rsidRDefault="00A173A8">
            <w:pPr>
              <w:spacing w:after="100"/>
              <w:rPr>
                <w:rFonts w:eastAsia="Times New Roman"/>
                <w:sz w:val="20"/>
                <w:szCs w:val="20"/>
              </w:rPr>
            </w:pPr>
          </w:p>
        </w:tc>
        <w:tc>
          <w:tcPr>
            <w:tcW w:w="0" w:type="auto"/>
            <w:gridSpan w:val="3"/>
            <w:vAlign w:val="center"/>
            <w:hideMark/>
          </w:tcPr>
          <w:p w14:paraId="68834996" w14:textId="77777777" w:rsidR="00000000" w:rsidRDefault="00A173A8">
            <w:pPr>
              <w:spacing w:after="100"/>
              <w:rPr>
                <w:rFonts w:eastAsia="Times New Roman"/>
                <w:sz w:val="20"/>
                <w:szCs w:val="20"/>
              </w:rPr>
            </w:pPr>
          </w:p>
        </w:tc>
        <w:tc>
          <w:tcPr>
            <w:tcW w:w="0" w:type="auto"/>
            <w:gridSpan w:val="3"/>
            <w:vAlign w:val="center"/>
            <w:hideMark/>
          </w:tcPr>
          <w:p w14:paraId="0FAAE3D3" w14:textId="77777777" w:rsidR="00000000" w:rsidRDefault="00A173A8">
            <w:pPr>
              <w:spacing w:after="100"/>
              <w:rPr>
                <w:rFonts w:eastAsia="Times New Roman"/>
                <w:sz w:val="20"/>
                <w:szCs w:val="20"/>
              </w:rPr>
            </w:pPr>
          </w:p>
        </w:tc>
        <w:tc>
          <w:tcPr>
            <w:tcW w:w="0" w:type="auto"/>
            <w:gridSpan w:val="3"/>
            <w:vAlign w:val="center"/>
            <w:hideMark/>
          </w:tcPr>
          <w:p w14:paraId="29F2D172" w14:textId="77777777" w:rsidR="00000000" w:rsidRDefault="00A173A8">
            <w:pPr>
              <w:spacing w:after="100"/>
              <w:rPr>
                <w:rFonts w:eastAsia="Times New Roman"/>
                <w:sz w:val="20"/>
                <w:szCs w:val="20"/>
              </w:rPr>
            </w:pPr>
          </w:p>
        </w:tc>
        <w:tc>
          <w:tcPr>
            <w:tcW w:w="0" w:type="auto"/>
            <w:gridSpan w:val="3"/>
            <w:vAlign w:val="center"/>
            <w:hideMark/>
          </w:tcPr>
          <w:p w14:paraId="6359DA4E" w14:textId="77777777" w:rsidR="00000000" w:rsidRDefault="00A173A8">
            <w:pPr>
              <w:spacing w:after="100"/>
              <w:rPr>
                <w:rFonts w:eastAsia="Times New Roman"/>
                <w:sz w:val="20"/>
                <w:szCs w:val="20"/>
              </w:rPr>
            </w:pPr>
          </w:p>
        </w:tc>
        <w:tc>
          <w:tcPr>
            <w:tcW w:w="0" w:type="auto"/>
            <w:gridSpan w:val="3"/>
            <w:vAlign w:val="center"/>
            <w:hideMark/>
          </w:tcPr>
          <w:p w14:paraId="0918BEA7" w14:textId="77777777" w:rsidR="00000000" w:rsidRDefault="00A173A8">
            <w:pPr>
              <w:spacing w:after="100"/>
              <w:rPr>
                <w:rFonts w:eastAsia="Times New Roman"/>
                <w:sz w:val="20"/>
                <w:szCs w:val="20"/>
              </w:rPr>
            </w:pPr>
          </w:p>
        </w:tc>
        <w:tc>
          <w:tcPr>
            <w:tcW w:w="0" w:type="auto"/>
            <w:gridSpan w:val="3"/>
            <w:vAlign w:val="center"/>
            <w:hideMark/>
          </w:tcPr>
          <w:p w14:paraId="1556B7C1" w14:textId="77777777" w:rsidR="00000000" w:rsidRDefault="00A173A8">
            <w:pPr>
              <w:spacing w:after="100"/>
              <w:rPr>
                <w:rFonts w:eastAsia="Times New Roman"/>
                <w:sz w:val="20"/>
                <w:szCs w:val="20"/>
              </w:rPr>
            </w:pPr>
          </w:p>
        </w:tc>
        <w:tc>
          <w:tcPr>
            <w:tcW w:w="0" w:type="auto"/>
            <w:gridSpan w:val="3"/>
            <w:vAlign w:val="center"/>
            <w:hideMark/>
          </w:tcPr>
          <w:p w14:paraId="3AD42B99" w14:textId="77777777" w:rsidR="00000000" w:rsidRDefault="00A173A8">
            <w:pPr>
              <w:spacing w:after="100"/>
              <w:rPr>
                <w:rFonts w:eastAsia="Times New Roman"/>
                <w:sz w:val="20"/>
                <w:szCs w:val="20"/>
              </w:rPr>
            </w:pPr>
          </w:p>
        </w:tc>
        <w:tc>
          <w:tcPr>
            <w:tcW w:w="0" w:type="auto"/>
            <w:gridSpan w:val="3"/>
            <w:vAlign w:val="center"/>
            <w:hideMark/>
          </w:tcPr>
          <w:p w14:paraId="7899672B" w14:textId="77777777" w:rsidR="00000000" w:rsidRDefault="00A173A8">
            <w:pPr>
              <w:spacing w:after="100"/>
              <w:rPr>
                <w:rFonts w:eastAsia="Times New Roman"/>
                <w:sz w:val="20"/>
                <w:szCs w:val="20"/>
              </w:rPr>
            </w:pPr>
          </w:p>
        </w:tc>
        <w:tc>
          <w:tcPr>
            <w:tcW w:w="0" w:type="auto"/>
            <w:gridSpan w:val="3"/>
            <w:vAlign w:val="center"/>
            <w:hideMark/>
          </w:tcPr>
          <w:p w14:paraId="3017CD9D" w14:textId="77777777" w:rsidR="00000000" w:rsidRDefault="00A173A8">
            <w:pPr>
              <w:spacing w:after="100"/>
              <w:rPr>
                <w:rFonts w:eastAsia="Times New Roman"/>
                <w:sz w:val="20"/>
                <w:szCs w:val="20"/>
              </w:rPr>
            </w:pPr>
          </w:p>
        </w:tc>
        <w:tc>
          <w:tcPr>
            <w:tcW w:w="0" w:type="auto"/>
            <w:gridSpan w:val="3"/>
            <w:vAlign w:val="center"/>
            <w:hideMark/>
          </w:tcPr>
          <w:p w14:paraId="1C37D694" w14:textId="77777777" w:rsidR="00000000" w:rsidRDefault="00A173A8">
            <w:pPr>
              <w:spacing w:after="100"/>
              <w:rPr>
                <w:rFonts w:eastAsia="Times New Roman"/>
                <w:sz w:val="20"/>
                <w:szCs w:val="20"/>
              </w:rPr>
            </w:pPr>
          </w:p>
        </w:tc>
        <w:tc>
          <w:tcPr>
            <w:tcW w:w="0" w:type="auto"/>
            <w:gridSpan w:val="3"/>
            <w:vAlign w:val="center"/>
            <w:hideMark/>
          </w:tcPr>
          <w:p w14:paraId="252FBDBD" w14:textId="77777777" w:rsidR="00000000" w:rsidRDefault="00A173A8">
            <w:pPr>
              <w:spacing w:after="100"/>
              <w:rPr>
                <w:rFonts w:eastAsia="Times New Roman"/>
                <w:sz w:val="20"/>
                <w:szCs w:val="20"/>
              </w:rPr>
            </w:pPr>
          </w:p>
        </w:tc>
        <w:tc>
          <w:tcPr>
            <w:tcW w:w="0" w:type="auto"/>
            <w:gridSpan w:val="3"/>
            <w:vAlign w:val="center"/>
            <w:hideMark/>
          </w:tcPr>
          <w:p w14:paraId="338ECA90" w14:textId="77777777" w:rsidR="00000000" w:rsidRDefault="00A173A8">
            <w:pPr>
              <w:spacing w:after="100"/>
              <w:rPr>
                <w:rFonts w:eastAsia="Times New Roman"/>
                <w:sz w:val="20"/>
                <w:szCs w:val="20"/>
              </w:rPr>
            </w:pPr>
          </w:p>
        </w:tc>
        <w:tc>
          <w:tcPr>
            <w:tcW w:w="0" w:type="auto"/>
            <w:gridSpan w:val="3"/>
            <w:vAlign w:val="center"/>
            <w:hideMark/>
          </w:tcPr>
          <w:p w14:paraId="07FDB40F" w14:textId="77777777" w:rsidR="00000000" w:rsidRDefault="00A173A8">
            <w:pPr>
              <w:spacing w:after="100"/>
              <w:rPr>
                <w:rFonts w:eastAsia="Times New Roman"/>
                <w:sz w:val="20"/>
                <w:szCs w:val="20"/>
              </w:rPr>
            </w:pPr>
          </w:p>
        </w:tc>
        <w:tc>
          <w:tcPr>
            <w:tcW w:w="0" w:type="auto"/>
            <w:gridSpan w:val="3"/>
            <w:vAlign w:val="center"/>
            <w:hideMark/>
          </w:tcPr>
          <w:p w14:paraId="2AF14A57" w14:textId="77777777" w:rsidR="00000000" w:rsidRDefault="00A173A8">
            <w:pPr>
              <w:spacing w:after="100"/>
              <w:rPr>
                <w:rFonts w:eastAsia="Times New Roman"/>
                <w:sz w:val="20"/>
                <w:szCs w:val="20"/>
              </w:rPr>
            </w:pPr>
          </w:p>
        </w:tc>
        <w:tc>
          <w:tcPr>
            <w:tcW w:w="0" w:type="auto"/>
            <w:gridSpan w:val="3"/>
            <w:vAlign w:val="center"/>
            <w:hideMark/>
          </w:tcPr>
          <w:p w14:paraId="05BDA980" w14:textId="77777777" w:rsidR="00000000" w:rsidRDefault="00A173A8">
            <w:pPr>
              <w:spacing w:after="100"/>
              <w:rPr>
                <w:rFonts w:eastAsia="Times New Roman"/>
                <w:sz w:val="20"/>
                <w:szCs w:val="20"/>
              </w:rPr>
            </w:pPr>
          </w:p>
        </w:tc>
      </w:tr>
      <w:tr w:rsidR="00000000" w14:paraId="766528AD" w14:textId="77777777">
        <w:trPr>
          <w:divId w:val="1616132076"/>
        </w:trPr>
        <w:tc>
          <w:tcPr>
            <w:tcW w:w="0" w:type="auto"/>
            <w:gridSpan w:val="3"/>
            <w:vAlign w:val="center"/>
            <w:hideMark/>
          </w:tcPr>
          <w:p w14:paraId="500F742A" w14:textId="77777777" w:rsidR="00000000" w:rsidRDefault="00A173A8">
            <w:pPr>
              <w:spacing w:after="100"/>
              <w:rPr>
                <w:rFonts w:eastAsia="Times New Roman"/>
                <w:sz w:val="20"/>
                <w:szCs w:val="20"/>
              </w:rPr>
            </w:pPr>
          </w:p>
        </w:tc>
        <w:tc>
          <w:tcPr>
            <w:tcW w:w="0" w:type="auto"/>
            <w:gridSpan w:val="3"/>
            <w:vAlign w:val="center"/>
            <w:hideMark/>
          </w:tcPr>
          <w:p w14:paraId="7BE84B31" w14:textId="77777777" w:rsidR="00000000" w:rsidRDefault="00A173A8">
            <w:pPr>
              <w:spacing w:after="100"/>
              <w:rPr>
                <w:rFonts w:eastAsia="Times New Roman"/>
                <w:sz w:val="20"/>
                <w:szCs w:val="20"/>
              </w:rPr>
            </w:pPr>
          </w:p>
        </w:tc>
        <w:tc>
          <w:tcPr>
            <w:tcW w:w="0" w:type="auto"/>
            <w:gridSpan w:val="3"/>
            <w:vAlign w:val="center"/>
            <w:hideMark/>
          </w:tcPr>
          <w:p w14:paraId="19999223" w14:textId="77777777" w:rsidR="00000000" w:rsidRDefault="00A173A8">
            <w:pPr>
              <w:spacing w:after="100"/>
              <w:rPr>
                <w:rFonts w:eastAsia="Times New Roman"/>
                <w:sz w:val="20"/>
                <w:szCs w:val="20"/>
              </w:rPr>
            </w:pPr>
          </w:p>
        </w:tc>
        <w:tc>
          <w:tcPr>
            <w:tcW w:w="0" w:type="auto"/>
            <w:gridSpan w:val="3"/>
            <w:vAlign w:val="center"/>
            <w:hideMark/>
          </w:tcPr>
          <w:p w14:paraId="3387FB98" w14:textId="77777777" w:rsidR="00000000" w:rsidRDefault="00A173A8">
            <w:pPr>
              <w:spacing w:after="100"/>
              <w:rPr>
                <w:rFonts w:eastAsia="Times New Roman"/>
                <w:sz w:val="20"/>
                <w:szCs w:val="20"/>
              </w:rPr>
            </w:pPr>
          </w:p>
        </w:tc>
        <w:tc>
          <w:tcPr>
            <w:tcW w:w="0" w:type="auto"/>
            <w:gridSpan w:val="3"/>
            <w:vAlign w:val="center"/>
            <w:hideMark/>
          </w:tcPr>
          <w:p w14:paraId="02CBB683" w14:textId="77777777" w:rsidR="00000000" w:rsidRDefault="00A173A8">
            <w:pPr>
              <w:spacing w:after="100"/>
              <w:rPr>
                <w:rFonts w:eastAsia="Times New Roman"/>
                <w:sz w:val="20"/>
                <w:szCs w:val="20"/>
              </w:rPr>
            </w:pPr>
          </w:p>
        </w:tc>
        <w:tc>
          <w:tcPr>
            <w:tcW w:w="0" w:type="auto"/>
            <w:gridSpan w:val="3"/>
            <w:vAlign w:val="center"/>
            <w:hideMark/>
          </w:tcPr>
          <w:p w14:paraId="5C256D38" w14:textId="77777777" w:rsidR="00000000" w:rsidRDefault="00A173A8">
            <w:pPr>
              <w:spacing w:after="100"/>
              <w:rPr>
                <w:rFonts w:eastAsia="Times New Roman"/>
                <w:sz w:val="20"/>
                <w:szCs w:val="20"/>
              </w:rPr>
            </w:pPr>
          </w:p>
        </w:tc>
        <w:tc>
          <w:tcPr>
            <w:tcW w:w="0" w:type="auto"/>
            <w:gridSpan w:val="3"/>
            <w:vAlign w:val="center"/>
            <w:hideMark/>
          </w:tcPr>
          <w:p w14:paraId="22DBEEF1" w14:textId="77777777" w:rsidR="00000000" w:rsidRDefault="00A173A8">
            <w:pPr>
              <w:spacing w:after="100"/>
              <w:rPr>
                <w:rFonts w:eastAsia="Times New Roman"/>
                <w:sz w:val="20"/>
                <w:szCs w:val="20"/>
              </w:rPr>
            </w:pPr>
          </w:p>
        </w:tc>
        <w:tc>
          <w:tcPr>
            <w:tcW w:w="0" w:type="auto"/>
            <w:gridSpan w:val="3"/>
            <w:vAlign w:val="center"/>
            <w:hideMark/>
          </w:tcPr>
          <w:p w14:paraId="6A6A45C0" w14:textId="77777777" w:rsidR="00000000" w:rsidRDefault="00A173A8">
            <w:pPr>
              <w:spacing w:after="100"/>
              <w:rPr>
                <w:rFonts w:eastAsia="Times New Roman"/>
                <w:sz w:val="20"/>
                <w:szCs w:val="20"/>
              </w:rPr>
            </w:pPr>
          </w:p>
        </w:tc>
        <w:tc>
          <w:tcPr>
            <w:tcW w:w="0" w:type="auto"/>
            <w:gridSpan w:val="3"/>
            <w:vAlign w:val="center"/>
            <w:hideMark/>
          </w:tcPr>
          <w:p w14:paraId="0A02CB6B" w14:textId="77777777" w:rsidR="00000000" w:rsidRDefault="00A173A8">
            <w:pPr>
              <w:spacing w:after="100"/>
              <w:rPr>
                <w:rFonts w:eastAsia="Times New Roman"/>
                <w:sz w:val="20"/>
                <w:szCs w:val="20"/>
              </w:rPr>
            </w:pPr>
          </w:p>
        </w:tc>
        <w:tc>
          <w:tcPr>
            <w:tcW w:w="0" w:type="auto"/>
            <w:gridSpan w:val="3"/>
            <w:vAlign w:val="center"/>
            <w:hideMark/>
          </w:tcPr>
          <w:p w14:paraId="2842743B" w14:textId="77777777" w:rsidR="00000000" w:rsidRDefault="00A173A8">
            <w:pPr>
              <w:spacing w:after="100"/>
              <w:rPr>
                <w:rFonts w:eastAsia="Times New Roman"/>
                <w:sz w:val="20"/>
                <w:szCs w:val="20"/>
              </w:rPr>
            </w:pPr>
          </w:p>
        </w:tc>
        <w:tc>
          <w:tcPr>
            <w:tcW w:w="0" w:type="auto"/>
            <w:gridSpan w:val="3"/>
            <w:vAlign w:val="center"/>
            <w:hideMark/>
          </w:tcPr>
          <w:p w14:paraId="1871C34B" w14:textId="77777777" w:rsidR="00000000" w:rsidRDefault="00A173A8">
            <w:pPr>
              <w:spacing w:after="100"/>
              <w:rPr>
                <w:rFonts w:eastAsia="Times New Roman"/>
                <w:sz w:val="20"/>
                <w:szCs w:val="20"/>
              </w:rPr>
            </w:pPr>
          </w:p>
        </w:tc>
        <w:tc>
          <w:tcPr>
            <w:tcW w:w="0" w:type="auto"/>
            <w:gridSpan w:val="3"/>
            <w:vAlign w:val="center"/>
            <w:hideMark/>
          </w:tcPr>
          <w:p w14:paraId="5F5DCF23" w14:textId="77777777" w:rsidR="00000000" w:rsidRDefault="00A173A8">
            <w:pPr>
              <w:spacing w:after="100"/>
              <w:rPr>
                <w:rFonts w:eastAsia="Times New Roman"/>
                <w:sz w:val="20"/>
                <w:szCs w:val="20"/>
              </w:rPr>
            </w:pPr>
          </w:p>
        </w:tc>
        <w:tc>
          <w:tcPr>
            <w:tcW w:w="0" w:type="auto"/>
            <w:gridSpan w:val="3"/>
            <w:vAlign w:val="center"/>
            <w:hideMark/>
          </w:tcPr>
          <w:p w14:paraId="2CE06914" w14:textId="77777777" w:rsidR="00000000" w:rsidRDefault="00A173A8">
            <w:pPr>
              <w:spacing w:after="100"/>
              <w:rPr>
                <w:rFonts w:eastAsia="Times New Roman"/>
                <w:sz w:val="20"/>
                <w:szCs w:val="20"/>
              </w:rPr>
            </w:pPr>
          </w:p>
        </w:tc>
        <w:tc>
          <w:tcPr>
            <w:tcW w:w="0" w:type="auto"/>
            <w:gridSpan w:val="3"/>
            <w:vAlign w:val="center"/>
            <w:hideMark/>
          </w:tcPr>
          <w:p w14:paraId="382BE54E" w14:textId="77777777" w:rsidR="00000000" w:rsidRDefault="00A173A8">
            <w:pPr>
              <w:spacing w:after="100"/>
              <w:rPr>
                <w:rFonts w:eastAsia="Times New Roman"/>
                <w:sz w:val="20"/>
                <w:szCs w:val="20"/>
              </w:rPr>
            </w:pPr>
          </w:p>
        </w:tc>
        <w:tc>
          <w:tcPr>
            <w:tcW w:w="0" w:type="auto"/>
            <w:gridSpan w:val="3"/>
            <w:vAlign w:val="center"/>
            <w:hideMark/>
          </w:tcPr>
          <w:p w14:paraId="0708AE4B" w14:textId="77777777" w:rsidR="00000000" w:rsidRDefault="00A173A8">
            <w:pPr>
              <w:spacing w:after="100"/>
              <w:rPr>
                <w:rFonts w:eastAsia="Times New Roman"/>
                <w:sz w:val="20"/>
                <w:szCs w:val="20"/>
              </w:rPr>
            </w:pPr>
          </w:p>
        </w:tc>
        <w:tc>
          <w:tcPr>
            <w:tcW w:w="0" w:type="auto"/>
            <w:gridSpan w:val="3"/>
            <w:vAlign w:val="center"/>
            <w:hideMark/>
          </w:tcPr>
          <w:p w14:paraId="73131543" w14:textId="77777777" w:rsidR="00000000" w:rsidRDefault="00A173A8">
            <w:pPr>
              <w:spacing w:after="100"/>
              <w:rPr>
                <w:rFonts w:eastAsia="Times New Roman"/>
                <w:sz w:val="20"/>
                <w:szCs w:val="20"/>
              </w:rPr>
            </w:pPr>
          </w:p>
        </w:tc>
        <w:tc>
          <w:tcPr>
            <w:tcW w:w="0" w:type="auto"/>
            <w:gridSpan w:val="3"/>
            <w:vAlign w:val="center"/>
            <w:hideMark/>
          </w:tcPr>
          <w:p w14:paraId="3E239703" w14:textId="77777777" w:rsidR="00000000" w:rsidRDefault="00A173A8">
            <w:pPr>
              <w:spacing w:after="100"/>
              <w:rPr>
                <w:rFonts w:eastAsia="Times New Roman"/>
                <w:sz w:val="20"/>
                <w:szCs w:val="20"/>
              </w:rPr>
            </w:pPr>
          </w:p>
        </w:tc>
      </w:tr>
      <w:tr w:rsidR="00000000" w14:paraId="406FE375" w14:textId="77777777">
        <w:trPr>
          <w:divId w:val="1616132076"/>
        </w:trPr>
        <w:tc>
          <w:tcPr>
            <w:tcW w:w="0" w:type="auto"/>
            <w:gridSpan w:val="3"/>
            <w:vAlign w:val="center"/>
            <w:hideMark/>
          </w:tcPr>
          <w:p w14:paraId="21D665D7" w14:textId="77777777" w:rsidR="00000000" w:rsidRDefault="00A173A8">
            <w:pPr>
              <w:spacing w:after="100"/>
              <w:rPr>
                <w:rFonts w:eastAsia="Times New Roman"/>
                <w:sz w:val="20"/>
                <w:szCs w:val="20"/>
              </w:rPr>
            </w:pPr>
          </w:p>
        </w:tc>
        <w:tc>
          <w:tcPr>
            <w:tcW w:w="0" w:type="auto"/>
            <w:gridSpan w:val="3"/>
            <w:vAlign w:val="center"/>
            <w:hideMark/>
          </w:tcPr>
          <w:p w14:paraId="390DBFA6" w14:textId="77777777" w:rsidR="00000000" w:rsidRDefault="00A173A8">
            <w:pPr>
              <w:spacing w:after="100"/>
              <w:rPr>
                <w:rFonts w:eastAsia="Times New Roman"/>
                <w:sz w:val="20"/>
                <w:szCs w:val="20"/>
              </w:rPr>
            </w:pPr>
          </w:p>
        </w:tc>
        <w:tc>
          <w:tcPr>
            <w:tcW w:w="0" w:type="auto"/>
            <w:gridSpan w:val="3"/>
            <w:vAlign w:val="center"/>
            <w:hideMark/>
          </w:tcPr>
          <w:p w14:paraId="5F7E1546" w14:textId="77777777" w:rsidR="00000000" w:rsidRDefault="00A173A8">
            <w:pPr>
              <w:spacing w:after="100"/>
              <w:rPr>
                <w:rFonts w:eastAsia="Times New Roman"/>
                <w:sz w:val="20"/>
                <w:szCs w:val="20"/>
              </w:rPr>
            </w:pPr>
          </w:p>
        </w:tc>
        <w:tc>
          <w:tcPr>
            <w:tcW w:w="0" w:type="auto"/>
            <w:gridSpan w:val="3"/>
            <w:vAlign w:val="center"/>
            <w:hideMark/>
          </w:tcPr>
          <w:p w14:paraId="030313B2" w14:textId="77777777" w:rsidR="00000000" w:rsidRDefault="00A173A8">
            <w:pPr>
              <w:spacing w:after="100"/>
              <w:rPr>
                <w:rFonts w:eastAsia="Times New Roman"/>
                <w:sz w:val="20"/>
                <w:szCs w:val="20"/>
              </w:rPr>
            </w:pPr>
          </w:p>
        </w:tc>
        <w:tc>
          <w:tcPr>
            <w:tcW w:w="0" w:type="auto"/>
            <w:gridSpan w:val="3"/>
            <w:vAlign w:val="center"/>
            <w:hideMark/>
          </w:tcPr>
          <w:p w14:paraId="28175168" w14:textId="77777777" w:rsidR="00000000" w:rsidRDefault="00A173A8">
            <w:pPr>
              <w:spacing w:after="100"/>
              <w:rPr>
                <w:rFonts w:eastAsia="Times New Roman"/>
                <w:sz w:val="20"/>
                <w:szCs w:val="20"/>
              </w:rPr>
            </w:pPr>
          </w:p>
        </w:tc>
        <w:tc>
          <w:tcPr>
            <w:tcW w:w="0" w:type="auto"/>
            <w:gridSpan w:val="3"/>
            <w:vAlign w:val="center"/>
            <w:hideMark/>
          </w:tcPr>
          <w:p w14:paraId="219AD009" w14:textId="77777777" w:rsidR="00000000" w:rsidRDefault="00A173A8">
            <w:pPr>
              <w:spacing w:after="100"/>
              <w:rPr>
                <w:rFonts w:eastAsia="Times New Roman"/>
                <w:sz w:val="20"/>
                <w:szCs w:val="20"/>
              </w:rPr>
            </w:pPr>
          </w:p>
        </w:tc>
        <w:tc>
          <w:tcPr>
            <w:tcW w:w="0" w:type="auto"/>
            <w:gridSpan w:val="3"/>
            <w:vAlign w:val="center"/>
            <w:hideMark/>
          </w:tcPr>
          <w:p w14:paraId="4B2BBE2A" w14:textId="77777777" w:rsidR="00000000" w:rsidRDefault="00A173A8">
            <w:pPr>
              <w:spacing w:after="100"/>
              <w:rPr>
                <w:rFonts w:eastAsia="Times New Roman"/>
                <w:sz w:val="20"/>
                <w:szCs w:val="20"/>
              </w:rPr>
            </w:pPr>
          </w:p>
        </w:tc>
        <w:tc>
          <w:tcPr>
            <w:tcW w:w="0" w:type="auto"/>
            <w:gridSpan w:val="3"/>
            <w:vAlign w:val="center"/>
            <w:hideMark/>
          </w:tcPr>
          <w:p w14:paraId="682B2361" w14:textId="77777777" w:rsidR="00000000" w:rsidRDefault="00A173A8">
            <w:pPr>
              <w:spacing w:after="100"/>
              <w:rPr>
                <w:rFonts w:eastAsia="Times New Roman"/>
                <w:sz w:val="20"/>
                <w:szCs w:val="20"/>
              </w:rPr>
            </w:pPr>
          </w:p>
        </w:tc>
        <w:tc>
          <w:tcPr>
            <w:tcW w:w="0" w:type="auto"/>
            <w:gridSpan w:val="3"/>
            <w:vAlign w:val="center"/>
            <w:hideMark/>
          </w:tcPr>
          <w:p w14:paraId="59F91D13" w14:textId="77777777" w:rsidR="00000000" w:rsidRDefault="00A173A8">
            <w:pPr>
              <w:spacing w:after="100"/>
              <w:rPr>
                <w:rFonts w:eastAsia="Times New Roman"/>
                <w:sz w:val="20"/>
                <w:szCs w:val="20"/>
              </w:rPr>
            </w:pPr>
          </w:p>
        </w:tc>
        <w:tc>
          <w:tcPr>
            <w:tcW w:w="0" w:type="auto"/>
            <w:gridSpan w:val="3"/>
            <w:vAlign w:val="center"/>
            <w:hideMark/>
          </w:tcPr>
          <w:p w14:paraId="44DD3DC4" w14:textId="77777777" w:rsidR="00000000" w:rsidRDefault="00A173A8">
            <w:pPr>
              <w:spacing w:after="100"/>
              <w:rPr>
                <w:rFonts w:eastAsia="Times New Roman"/>
                <w:sz w:val="20"/>
                <w:szCs w:val="20"/>
              </w:rPr>
            </w:pPr>
          </w:p>
        </w:tc>
        <w:tc>
          <w:tcPr>
            <w:tcW w:w="0" w:type="auto"/>
            <w:gridSpan w:val="3"/>
            <w:vAlign w:val="center"/>
            <w:hideMark/>
          </w:tcPr>
          <w:p w14:paraId="76975633" w14:textId="77777777" w:rsidR="00000000" w:rsidRDefault="00A173A8">
            <w:pPr>
              <w:spacing w:after="100"/>
              <w:rPr>
                <w:rFonts w:eastAsia="Times New Roman"/>
                <w:sz w:val="20"/>
                <w:szCs w:val="20"/>
              </w:rPr>
            </w:pPr>
          </w:p>
        </w:tc>
        <w:tc>
          <w:tcPr>
            <w:tcW w:w="0" w:type="auto"/>
            <w:gridSpan w:val="3"/>
            <w:vAlign w:val="center"/>
            <w:hideMark/>
          </w:tcPr>
          <w:p w14:paraId="26D2E61A" w14:textId="77777777" w:rsidR="00000000" w:rsidRDefault="00A173A8">
            <w:pPr>
              <w:spacing w:after="100"/>
              <w:rPr>
                <w:rFonts w:eastAsia="Times New Roman"/>
                <w:sz w:val="20"/>
                <w:szCs w:val="20"/>
              </w:rPr>
            </w:pPr>
          </w:p>
        </w:tc>
        <w:tc>
          <w:tcPr>
            <w:tcW w:w="0" w:type="auto"/>
            <w:gridSpan w:val="3"/>
            <w:vAlign w:val="center"/>
            <w:hideMark/>
          </w:tcPr>
          <w:p w14:paraId="03D24BCA" w14:textId="77777777" w:rsidR="00000000" w:rsidRDefault="00A173A8">
            <w:pPr>
              <w:spacing w:after="100"/>
              <w:rPr>
                <w:rFonts w:eastAsia="Times New Roman"/>
                <w:sz w:val="20"/>
                <w:szCs w:val="20"/>
              </w:rPr>
            </w:pPr>
          </w:p>
        </w:tc>
        <w:tc>
          <w:tcPr>
            <w:tcW w:w="0" w:type="auto"/>
            <w:gridSpan w:val="3"/>
            <w:vAlign w:val="center"/>
            <w:hideMark/>
          </w:tcPr>
          <w:p w14:paraId="35B23DC7" w14:textId="77777777" w:rsidR="00000000" w:rsidRDefault="00A173A8">
            <w:pPr>
              <w:spacing w:after="100"/>
              <w:rPr>
                <w:rFonts w:eastAsia="Times New Roman"/>
                <w:sz w:val="20"/>
                <w:szCs w:val="20"/>
              </w:rPr>
            </w:pPr>
          </w:p>
        </w:tc>
        <w:tc>
          <w:tcPr>
            <w:tcW w:w="0" w:type="auto"/>
            <w:gridSpan w:val="3"/>
            <w:vAlign w:val="center"/>
            <w:hideMark/>
          </w:tcPr>
          <w:p w14:paraId="11F8DA61" w14:textId="77777777" w:rsidR="00000000" w:rsidRDefault="00A173A8">
            <w:pPr>
              <w:spacing w:after="100"/>
              <w:rPr>
                <w:rFonts w:eastAsia="Times New Roman"/>
                <w:sz w:val="20"/>
                <w:szCs w:val="20"/>
              </w:rPr>
            </w:pPr>
          </w:p>
        </w:tc>
        <w:tc>
          <w:tcPr>
            <w:tcW w:w="0" w:type="auto"/>
            <w:gridSpan w:val="3"/>
            <w:vAlign w:val="center"/>
            <w:hideMark/>
          </w:tcPr>
          <w:p w14:paraId="12DE81F9" w14:textId="77777777" w:rsidR="00000000" w:rsidRDefault="00A173A8">
            <w:pPr>
              <w:spacing w:after="100"/>
              <w:rPr>
                <w:rFonts w:eastAsia="Times New Roman"/>
                <w:sz w:val="20"/>
                <w:szCs w:val="20"/>
              </w:rPr>
            </w:pPr>
          </w:p>
        </w:tc>
        <w:tc>
          <w:tcPr>
            <w:tcW w:w="0" w:type="auto"/>
            <w:gridSpan w:val="3"/>
            <w:vAlign w:val="center"/>
            <w:hideMark/>
          </w:tcPr>
          <w:p w14:paraId="7D2CF2EA" w14:textId="77777777" w:rsidR="00000000" w:rsidRDefault="00A173A8">
            <w:pPr>
              <w:spacing w:after="100"/>
              <w:rPr>
                <w:rFonts w:eastAsia="Times New Roman"/>
                <w:sz w:val="20"/>
                <w:szCs w:val="20"/>
              </w:rPr>
            </w:pPr>
          </w:p>
        </w:tc>
      </w:tr>
      <w:tr w:rsidR="00000000" w14:paraId="2DE38329" w14:textId="77777777">
        <w:trPr>
          <w:divId w:val="1616132076"/>
        </w:trPr>
        <w:tc>
          <w:tcPr>
            <w:tcW w:w="0" w:type="auto"/>
            <w:gridSpan w:val="3"/>
            <w:vAlign w:val="center"/>
            <w:hideMark/>
          </w:tcPr>
          <w:p w14:paraId="1F75E170" w14:textId="77777777" w:rsidR="00000000" w:rsidRDefault="00A173A8">
            <w:pPr>
              <w:spacing w:after="100"/>
              <w:rPr>
                <w:rFonts w:eastAsia="Times New Roman"/>
                <w:sz w:val="20"/>
                <w:szCs w:val="20"/>
              </w:rPr>
            </w:pPr>
          </w:p>
        </w:tc>
        <w:tc>
          <w:tcPr>
            <w:tcW w:w="0" w:type="auto"/>
            <w:gridSpan w:val="3"/>
            <w:vAlign w:val="center"/>
            <w:hideMark/>
          </w:tcPr>
          <w:p w14:paraId="085648AD" w14:textId="77777777" w:rsidR="00000000" w:rsidRDefault="00A173A8">
            <w:pPr>
              <w:spacing w:after="100"/>
              <w:rPr>
                <w:rFonts w:eastAsia="Times New Roman"/>
                <w:sz w:val="20"/>
                <w:szCs w:val="20"/>
              </w:rPr>
            </w:pPr>
          </w:p>
        </w:tc>
        <w:tc>
          <w:tcPr>
            <w:tcW w:w="0" w:type="auto"/>
            <w:gridSpan w:val="3"/>
            <w:vAlign w:val="center"/>
            <w:hideMark/>
          </w:tcPr>
          <w:p w14:paraId="712ED728" w14:textId="77777777" w:rsidR="00000000" w:rsidRDefault="00A173A8">
            <w:pPr>
              <w:spacing w:after="100"/>
              <w:rPr>
                <w:rFonts w:eastAsia="Times New Roman"/>
                <w:sz w:val="20"/>
                <w:szCs w:val="20"/>
              </w:rPr>
            </w:pPr>
          </w:p>
        </w:tc>
        <w:tc>
          <w:tcPr>
            <w:tcW w:w="0" w:type="auto"/>
            <w:gridSpan w:val="3"/>
            <w:vAlign w:val="center"/>
            <w:hideMark/>
          </w:tcPr>
          <w:p w14:paraId="2D011038" w14:textId="77777777" w:rsidR="00000000" w:rsidRDefault="00A173A8">
            <w:pPr>
              <w:spacing w:after="100"/>
              <w:rPr>
                <w:rFonts w:eastAsia="Times New Roman"/>
                <w:sz w:val="20"/>
                <w:szCs w:val="20"/>
              </w:rPr>
            </w:pPr>
          </w:p>
        </w:tc>
        <w:tc>
          <w:tcPr>
            <w:tcW w:w="0" w:type="auto"/>
            <w:gridSpan w:val="3"/>
            <w:vAlign w:val="center"/>
            <w:hideMark/>
          </w:tcPr>
          <w:p w14:paraId="1CD80365" w14:textId="77777777" w:rsidR="00000000" w:rsidRDefault="00A173A8">
            <w:pPr>
              <w:spacing w:after="100"/>
              <w:rPr>
                <w:rFonts w:eastAsia="Times New Roman"/>
                <w:sz w:val="20"/>
                <w:szCs w:val="20"/>
              </w:rPr>
            </w:pPr>
          </w:p>
        </w:tc>
        <w:tc>
          <w:tcPr>
            <w:tcW w:w="0" w:type="auto"/>
            <w:gridSpan w:val="3"/>
            <w:vAlign w:val="center"/>
            <w:hideMark/>
          </w:tcPr>
          <w:p w14:paraId="2607055F" w14:textId="77777777" w:rsidR="00000000" w:rsidRDefault="00A173A8">
            <w:pPr>
              <w:spacing w:after="100"/>
              <w:rPr>
                <w:rFonts w:eastAsia="Times New Roman"/>
                <w:sz w:val="20"/>
                <w:szCs w:val="20"/>
              </w:rPr>
            </w:pPr>
          </w:p>
        </w:tc>
        <w:tc>
          <w:tcPr>
            <w:tcW w:w="0" w:type="auto"/>
            <w:gridSpan w:val="3"/>
            <w:vAlign w:val="center"/>
            <w:hideMark/>
          </w:tcPr>
          <w:p w14:paraId="7665D285" w14:textId="77777777" w:rsidR="00000000" w:rsidRDefault="00A173A8">
            <w:pPr>
              <w:spacing w:after="100"/>
              <w:rPr>
                <w:rFonts w:eastAsia="Times New Roman"/>
                <w:sz w:val="20"/>
                <w:szCs w:val="20"/>
              </w:rPr>
            </w:pPr>
          </w:p>
        </w:tc>
        <w:tc>
          <w:tcPr>
            <w:tcW w:w="0" w:type="auto"/>
            <w:gridSpan w:val="3"/>
            <w:vAlign w:val="center"/>
            <w:hideMark/>
          </w:tcPr>
          <w:p w14:paraId="3B4A1D52" w14:textId="77777777" w:rsidR="00000000" w:rsidRDefault="00A173A8">
            <w:pPr>
              <w:spacing w:after="100"/>
              <w:rPr>
                <w:rFonts w:eastAsia="Times New Roman"/>
                <w:sz w:val="20"/>
                <w:szCs w:val="20"/>
              </w:rPr>
            </w:pPr>
          </w:p>
        </w:tc>
        <w:tc>
          <w:tcPr>
            <w:tcW w:w="0" w:type="auto"/>
            <w:gridSpan w:val="3"/>
            <w:vAlign w:val="center"/>
            <w:hideMark/>
          </w:tcPr>
          <w:p w14:paraId="2553A6EF" w14:textId="77777777" w:rsidR="00000000" w:rsidRDefault="00A173A8">
            <w:pPr>
              <w:spacing w:after="100"/>
              <w:rPr>
                <w:rFonts w:eastAsia="Times New Roman"/>
                <w:sz w:val="20"/>
                <w:szCs w:val="20"/>
              </w:rPr>
            </w:pPr>
          </w:p>
        </w:tc>
        <w:tc>
          <w:tcPr>
            <w:tcW w:w="0" w:type="auto"/>
            <w:gridSpan w:val="3"/>
            <w:vAlign w:val="center"/>
            <w:hideMark/>
          </w:tcPr>
          <w:p w14:paraId="1537F7FE" w14:textId="77777777" w:rsidR="00000000" w:rsidRDefault="00A173A8">
            <w:pPr>
              <w:spacing w:after="100"/>
              <w:rPr>
                <w:rFonts w:eastAsia="Times New Roman"/>
                <w:sz w:val="20"/>
                <w:szCs w:val="20"/>
              </w:rPr>
            </w:pPr>
          </w:p>
        </w:tc>
        <w:tc>
          <w:tcPr>
            <w:tcW w:w="0" w:type="auto"/>
            <w:gridSpan w:val="3"/>
            <w:vAlign w:val="center"/>
            <w:hideMark/>
          </w:tcPr>
          <w:p w14:paraId="1F318499" w14:textId="77777777" w:rsidR="00000000" w:rsidRDefault="00A173A8">
            <w:pPr>
              <w:spacing w:after="100"/>
              <w:rPr>
                <w:rFonts w:eastAsia="Times New Roman"/>
                <w:sz w:val="20"/>
                <w:szCs w:val="20"/>
              </w:rPr>
            </w:pPr>
          </w:p>
        </w:tc>
        <w:tc>
          <w:tcPr>
            <w:tcW w:w="0" w:type="auto"/>
            <w:gridSpan w:val="3"/>
            <w:vAlign w:val="center"/>
            <w:hideMark/>
          </w:tcPr>
          <w:p w14:paraId="49B89356" w14:textId="77777777" w:rsidR="00000000" w:rsidRDefault="00A173A8">
            <w:pPr>
              <w:spacing w:after="100"/>
              <w:rPr>
                <w:rFonts w:eastAsia="Times New Roman"/>
                <w:sz w:val="20"/>
                <w:szCs w:val="20"/>
              </w:rPr>
            </w:pPr>
          </w:p>
        </w:tc>
        <w:tc>
          <w:tcPr>
            <w:tcW w:w="0" w:type="auto"/>
            <w:gridSpan w:val="3"/>
            <w:vAlign w:val="center"/>
            <w:hideMark/>
          </w:tcPr>
          <w:p w14:paraId="48F91518" w14:textId="77777777" w:rsidR="00000000" w:rsidRDefault="00A173A8">
            <w:pPr>
              <w:spacing w:after="100"/>
              <w:rPr>
                <w:rFonts w:eastAsia="Times New Roman"/>
                <w:sz w:val="20"/>
                <w:szCs w:val="20"/>
              </w:rPr>
            </w:pPr>
          </w:p>
        </w:tc>
        <w:tc>
          <w:tcPr>
            <w:tcW w:w="0" w:type="auto"/>
            <w:gridSpan w:val="3"/>
            <w:vAlign w:val="center"/>
            <w:hideMark/>
          </w:tcPr>
          <w:p w14:paraId="16AB252B" w14:textId="77777777" w:rsidR="00000000" w:rsidRDefault="00A173A8">
            <w:pPr>
              <w:spacing w:after="100"/>
              <w:rPr>
                <w:rFonts w:eastAsia="Times New Roman"/>
                <w:sz w:val="20"/>
                <w:szCs w:val="20"/>
              </w:rPr>
            </w:pPr>
          </w:p>
        </w:tc>
        <w:tc>
          <w:tcPr>
            <w:tcW w:w="0" w:type="auto"/>
            <w:gridSpan w:val="3"/>
            <w:vAlign w:val="center"/>
            <w:hideMark/>
          </w:tcPr>
          <w:p w14:paraId="3EBDA83B" w14:textId="77777777" w:rsidR="00000000" w:rsidRDefault="00A173A8">
            <w:pPr>
              <w:spacing w:after="100"/>
              <w:rPr>
                <w:rFonts w:eastAsia="Times New Roman"/>
                <w:sz w:val="20"/>
                <w:szCs w:val="20"/>
              </w:rPr>
            </w:pPr>
          </w:p>
        </w:tc>
        <w:tc>
          <w:tcPr>
            <w:tcW w:w="0" w:type="auto"/>
            <w:gridSpan w:val="3"/>
            <w:vAlign w:val="center"/>
            <w:hideMark/>
          </w:tcPr>
          <w:p w14:paraId="0CEBAF76" w14:textId="77777777" w:rsidR="00000000" w:rsidRDefault="00A173A8">
            <w:pPr>
              <w:spacing w:after="100"/>
              <w:rPr>
                <w:rFonts w:eastAsia="Times New Roman"/>
                <w:sz w:val="20"/>
                <w:szCs w:val="20"/>
              </w:rPr>
            </w:pPr>
          </w:p>
        </w:tc>
        <w:tc>
          <w:tcPr>
            <w:tcW w:w="0" w:type="auto"/>
            <w:gridSpan w:val="3"/>
            <w:vAlign w:val="center"/>
            <w:hideMark/>
          </w:tcPr>
          <w:p w14:paraId="48B6F50B" w14:textId="77777777" w:rsidR="00000000" w:rsidRDefault="00A173A8">
            <w:pPr>
              <w:spacing w:after="100"/>
              <w:rPr>
                <w:rFonts w:eastAsia="Times New Roman"/>
                <w:sz w:val="20"/>
                <w:szCs w:val="20"/>
              </w:rPr>
            </w:pPr>
          </w:p>
        </w:tc>
      </w:tr>
      <w:tr w:rsidR="00000000" w14:paraId="0C95FBB5" w14:textId="77777777">
        <w:trPr>
          <w:divId w:val="1616132076"/>
        </w:trPr>
        <w:tc>
          <w:tcPr>
            <w:tcW w:w="0" w:type="auto"/>
            <w:gridSpan w:val="3"/>
            <w:vAlign w:val="center"/>
            <w:hideMark/>
          </w:tcPr>
          <w:p w14:paraId="0C2B7F69" w14:textId="77777777" w:rsidR="00000000" w:rsidRDefault="00A173A8">
            <w:pPr>
              <w:spacing w:after="100"/>
              <w:rPr>
                <w:rFonts w:eastAsia="Times New Roman"/>
                <w:sz w:val="20"/>
                <w:szCs w:val="20"/>
              </w:rPr>
            </w:pPr>
          </w:p>
        </w:tc>
        <w:tc>
          <w:tcPr>
            <w:tcW w:w="0" w:type="auto"/>
            <w:gridSpan w:val="3"/>
            <w:vAlign w:val="center"/>
            <w:hideMark/>
          </w:tcPr>
          <w:p w14:paraId="7BC38581" w14:textId="77777777" w:rsidR="00000000" w:rsidRDefault="00A173A8">
            <w:pPr>
              <w:spacing w:after="100"/>
              <w:rPr>
                <w:rFonts w:eastAsia="Times New Roman"/>
                <w:sz w:val="20"/>
                <w:szCs w:val="20"/>
              </w:rPr>
            </w:pPr>
          </w:p>
        </w:tc>
        <w:tc>
          <w:tcPr>
            <w:tcW w:w="0" w:type="auto"/>
            <w:gridSpan w:val="3"/>
            <w:vAlign w:val="center"/>
            <w:hideMark/>
          </w:tcPr>
          <w:p w14:paraId="16E5A612" w14:textId="77777777" w:rsidR="00000000" w:rsidRDefault="00A173A8">
            <w:pPr>
              <w:spacing w:after="100"/>
              <w:rPr>
                <w:rFonts w:eastAsia="Times New Roman"/>
                <w:sz w:val="20"/>
                <w:szCs w:val="20"/>
              </w:rPr>
            </w:pPr>
          </w:p>
        </w:tc>
        <w:tc>
          <w:tcPr>
            <w:tcW w:w="0" w:type="auto"/>
            <w:gridSpan w:val="3"/>
            <w:vAlign w:val="center"/>
            <w:hideMark/>
          </w:tcPr>
          <w:p w14:paraId="0320ABED" w14:textId="77777777" w:rsidR="00000000" w:rsidRDefault="00A173A8">
            <w:pPr>
              <w:spacing w:after="100"/>
              <w:rPr>
                <w:rFonts w:eastAsia="Times New Roman"/>
                <w:sz w:val="20"/>
                <w:szCs w:val="20"/>
              </w:rPr>
            </w:pPr>
          </w:p>
        </w:tc>
        <w:tc>
          <w:tcPr>
            <w:tcW w:w="0" w:type="auto"/>
            <w:gridSpan w:val="3"/>
            <w:vAlign w:val="center"/>
            <w:hideMark/>
          </w:tcPr>
          <w:p w14:paraId="17705D18" w14:textId="77777777" w:rsidR="00000000" w:rsidRDefault="00A173A8">
            <w:pPr>
              <w:spacing w:after="100"/>
              <w:rPr>
                <w:rFonts w:eastAsia="Times New Roman"/>
                <w:sz w:val="20"/>
                <w:szCs w:val="20"/>
              </w:rPr>
            </w:pPr>
          </w:p>
        </w:tc>
        <w:tc>
          <w:tcPr>
            <w:tcW w:w="0" w:type="auto"/>
            <w:gridSpan w:val="3"/>
            <w:vAlign w:val="center"/>
            <w:hideMark/>
          </w:tcPr>
          <w:p w14:paraId="4CB02BD3" w14:textId="77777777" w:rsidR="00000000" w:rsidRDefault="00A173A8">
            <w:pPr>
              <w:spacing w:after="100"/>
              <w:rPr>
                <w:rFonts w:eastAsia="Times New Roman"/>
                <w:sz w:val="20"/>
                <w:szCs w:val="20"/>
              </w:rPr>
            </w:pPr>
          </w:p>
        </w:tc>
        <w:tc>
          <w:tcPr>
            <w:tcW w:w="0" w:type="auto"/>
            <w:gridSpan w:val="3"/>
            <w:vAlign w:val="center"/>
            <w:hideMark/>
          </w:tcPr>
          <w:p w14:paraId="1D8E20C9" w14:textId="77777777" w:rsidR="00000000" w:rsidRDefault="00A173A8">
            <w:pPr>
              <w:spacing w:after="100"/>
              <w:rPr>
                <w:rFonts w:eastAsia="Times New Roman"/>
                <w:sz w:val="20"/>
                <w:szCs w:val="20"/>
              </w:rPr>
            </w:pPr>
          </w:p>
        </w:tc>
        <w:tc>
          <w:tcPr>
            <w:tcW w:w="0" w:type="auto"/>
            <w:gridSpan w:val="3"/>
            <w:vAlign w:val="center"/>
            <w:hideMark/>
          </w:tcPr>
          <w:p w14:paraId="708C7E68" w14:textId="77777777" w:rsidR="00000000" w:rsidRDefault="00A173A8">
            <w:pPr>
              <w:spacing w:after="100"/>
              <w:rPr>
                <w:rFonts w:eastAsia="Times New Roman"/>
                <w:sz w:val="20"/>
                <w:szCs w:val="20"/>
              </w:rPr>
            </w:pPr>
          </w:p>
        </w:tc>
        <w:tc>
          <w:tcPr>
            <w:tcW w:w="0" w:type="auto"/>
            <w:gridSpan w:val="3"/>
            <w:vAlign w:val="center"/>
            <w:hideMark/>
          </w:tcPr>
          <w:p w14:paraId="58DA4F3F" w14:textId="77777777" w:rsidR="00000000" w:rsidRDefault="00A173A8">
            <w:pPr>
              <w:spacing w:after="100"/>
              <w:rPr>
                <w:rFonts w:eastAsia="Times New Roman"/>
                <w:sz w:val="20"/>
                <w:szCs w:val="20"/>
              </w:rPr>
            </w:pPr>
          </w:p>
        </w:tc>
        <w:tc>
          <w:tcPr>
            <w:tcW w:w="0" w:type="auto"/>
            <w:gridSpan w:val="3"/>
            <w:vAlign w:val="center"/>
            <w:hideMark/>
          </w:tcPr>
          <w:p w14:paraId="4A1EFA47" w14:textId="77777777" w:rsidR="00000000" w:rsidRDefault="00A173A8">
            <w:pPr>
              <w:spacing w:after="100"/>
              <w:rPr>
                <w:rFonts w:eastAsia="Times New Roman"/>
                <w:sz w:val="20"/>
                <w:szCs w:val="20"/>
              </w:rPr>
            </w:pPr>
          </w:p>
        </w:tc>
        <w:tc>
          <w:tcPr>
            <w:tcW w:w="0" w:type="auto"/>
            <w:gridSpan w:val="3"/>
            <w:vAlign w:val="center"/>
            <w:hideMark/>
          </w:tcPr>
          <w:p w14:paraId="21746031" w14:textId="77777777" w:rsidR="00000000" w:rsidRDefault="00A173A8">
            <w:pPr>
              <w:spacing w:after="100"/>
              <w:rPr>
                <w:rFonts w:eastAsia="Times New Roman"/>
                <w:sz w:val="20"/>
                <w:szCs w:val="20"/>
              </w:rPr>
            </w:pPr>
          </w:p>
        </w:tc>
        <w:tc>
          <w:tcPr>
            <w:tcW w:w="0" w:type="auto"/>
            <w:gridSpan w:val="3"/>
            <w:vAlign w:val="center"/>
            <w:hideMark/>
          </w:tcPr>
          <w:p w14:paraId="089B0EF2" w14:textId="77777777" w:rsidR="00000000" w:rsidRDefault="00A173A8">
            <w:pPr>
              <w:spacing w:after="100"/>
              <w:rPr>
                <w:rFonts w:eastAsia="Times New Roman"/>
                <w:sz w:val="20"/>
                <w:szCs w:val="20"/>
              </w:rPr>
            </w:pPr>
          </w:p>
        </w:tc>
        <w:tc>
          <w:tcPr>
            <w:tcW w:w="0" w:type="auto"/>
            <w:gridSpan w:val="3"/>
            <w:vAlign w:val="center"/>
            <w:hideMark/>
          </w:tcPr>
          <w:p w14:paraId="3F9916E8" w14:textId="77777777" w:rsidR="00000000" w:rsidRDefault="00A173A8">
            <w:pPr>
              <w:spacing w:after="100"/>
              <w:rPr>
                <w:rFonts w:eastAsia="Times New Roman"/>
                <w:sz w:val="20"/>
                <w:szCs w:val="20"/>
              </w:rPr>
            </w:pPr>
          </w:p>
        </w:tc>
        <w:tc>
          <w:tcPr>
            <w:tcW w:w="0" w:type="auto"/>
            <w:gridSpan w:val="3"/>
            <w:vAlign w:val="center"/>
            <w:hideMark/>
          </w:tcPr>
          <w:p w14:paraId="6F109693" w14:textId="77777777" w:rsidR="00000000" w:rsidRDefault="00A173A8">
            <w:pPr>
              <w:spacing w:after="100"/>
              <w:rPr>
                <w:rFonts w:eastAsia="Times New Roman"/>
                <w:sz w:val="20"/>
                <w:szCs w:val="20"/>
              </w:rPr>
            </w:pPr>
          </w:p>
        </w:tc>
        <w:tc>
          <w:tcPr>
            <w:tcW w:w="0" w:type="auto"/>
            <w:gridSpan w:val="3"/>
            <w:vAlign w:val="center"/>
            <w:hideMark/>
          </w:tcPr>
          <w:p w14:paraId="6A6D6C80" w14:textId="77777777" w:rsidR="00000000" w:rsidRDefault="00A173A8">
            <w:pPr>
              <w:spacing w:after="100"/>
              <w:rPr>
                <w:rFonts w:eastAsia="Times New Roman"/>
                <w:sz w:val="20"/>
                <w:szCs w:val="20"/>
              </w:rPr>
            </w:pPr>
          </w:p>
        </w:tc>
        <w:tc>
          <w:tcPr>
            <w:tcW w:w="0" w:type="auto"/>
            <w:gridSpan w:val="3"/>
            <w:vAlign w:val="center"/>
            <w:hideMark/>
          </w:tcPr>
          <w:p w14:paraId="02E8684F" w14:textId="77777777" w:rsidR="00000000" w:rsidRDefault="00A173A8">
            <w:pPr>
              <w:spacing w:after="100"/>
              <w:rPr>
                <w:rFonts w:eastAsia="Times New Roman"/>
                <w:sz w:val="20"/>
                <w:szCs w:val="20"/>
              </w:rPr>
            </w:pPr>
          </w:p>
        </w:tc>
        <w:tc>
          <w:tcPr>
            <w:tcW w:w="0" w:type="auto"/>
            <w:gridSpan w:val="3"/>
            <w:vAlign w:val="center"/>
            <w:hideMark/>
          </w:tcPr>
          <w:p w14:paraId="28F65134" w14:textId="77777777" w:rsidR="00000000" w:rsidRDefault="00A173A8">
            <w:pPr>
              <w:spacing w:after="100"/>
              <w:rPr>
                <w:rFonts w:eastAsia="Times New Roman"/>
                <w:sz w:val="20"/>
                <w:szCs w:val="20"/>
              </w:rPr>
            </w:pPr>
          </w:p>
        </w:tc>
      </w:tr>
      <w:tr w:rsidR="00000000" w14:paraId="55166792" w14:textId="77777777">
        <w:trPr>
          <w:divId w:val="1616132076"/>
        </w:trPr>
        <w:tc>
          <w:tcPr>
            <w:tcW w:w="0" w:type="auto"/>
            <w:gridSpan w:val="3"/>
            <w:vAlign w:val="center"/>
            <w:hideMark/>
          </w:tcPr>
          <w:p w14:paraId="70E601A1" w14:textId="77777777" w:rsidR="00000000" w:rsidRDefault="00A173A8">
            <w:pPr>
              <w:spacing w:after="100"/>
              <w:rPr>
                <w:rFonts w:eastAsia="Times New Roman"/>
                <w:sz w:val="20"/>
                <w:szCs w:val="20"/>
              </w:rPr>
            </w:pPr>
          </w:p>
        </w:tc>
        <w:tc>
          <w:tcPr>
            <w:tcW w:w="0" w:type="auto"/>
            <w:gridSpan w:val="3"/>
            <w:vAlign w:val="center"/>
            <w:hideMark/>
          </w:tcPr>
          <w:p w14:paraId="42D96424" w14:textId="77777777" w:rsidR="00000000" w:rsidRDefault="00A173A8">
            <w:pPr>
              <w:spacing w:after="100"/>
              <w:rPr>
                <w:rFonts w:eastAsia="Times New Roman"/>
                <w:sz w:val="20"/>
                <w:szCs w:val="20"/>
              </w:rPr>
            </w:pPr>
          </w:p>
        </w:tc>
        <w:tc>
          <w:tcPr>
            <w:tcW w:w="0" w:type="auto"/>
            <w:gridSpan w:val="3"/>
            <w:vAlign w:val="center"/>
            <w:hideMark/>
          </w:tcPr>
          <w:p w14:paraId="28E38D39" w14:textId="77777777" w:rsidR="00000000" w:rsidRDefault="00A173A8">
            <w:pPr>
              <w:spacing w:after="100"/>
              <w:rPr>
                <w:rFonts w:eastAsia="Times New Roman"/>
                <w:sz w:val="20"/>
                <w:szCs w:val="20"/>
              </w:rPr>
            </w:pPr>
          </w:p>
        </w:tc>
        <w:tc>
          <w:tcPr>
            <w:tcW w:w="0" w:type="auto"/>
            <w:gridSpan w:val="3"/>
            <w:vAlign w:val="center"/>
            <w:hideMark/>
          </w:tcPr>
          <w:p w14:paraId="3CAD9CDF" w14:textId="77777777" w:rsidR="00000000" w:rsidRDefault="00A173A8">
            <w:pPr>
              <w:spacing w:after="100"/>
              <w:rPr>
                <w:rFonts w:eastAsia="Times New Roman"/>
                <w:sz w:val="20"/>
                <w:szCs w:val="20"/>
              </w:rPr>
            </w:pPr>
          </w:p>
        </w:tc>
        <w:tc>
          <w:tcPr>
            <w:tcW w:w="0" w:type="auto"/>
            <w:gridSpan w:val="3"/>
            <w:vAlign w:val="center"/>
            <w:hideMark/>
          </w:tcPr>
          <w:p w14:paraId="6B67F6B1" w14:textId="77777777" w:rsidR="00000000" w:rsidRDefault="00A173A8">
            <w:pPr>
              <w:spacing w:after="100"/>
              <w:rPr>
                <w:rFonts w:eastAsia="Times New Roman"/>
                <w:sz w:val="20"/>
                <w:szCs w:val="20"/>
              </w:rPr>
            </w:pPr>
          </w:p>
        </w:tc>
        <w:tc>
          <w:tcPr>
            <w:tcW w:w="0" w:type="auto"/>
            <w:gridSpan w:val="3"/>
            <w:vAlign w:val="center"/>
            <w:hideMark/>
          </w:tcPr>
          <w:p w14:paraId="0E6FE2C8" w14:textId="77777777" w:rsidR="00000000" w:rsidRDefault="00A173A8">
            <w:pPr>
              <w:spacing w:after="100"/>
              <w:rPr>
                <w:rFonts w:eastAsia="Times New Roman"/>
                <w:sz w:val="20"/>
                <w:szCs w:val="20"/>
              </w:rPr>
            </w:pPr>
          </w:p>
        </w:tc>
        <w:tc>
          <w:tcPr>
            <w:tcW w:w="0" w:type="auto"/>
            <w:gridSpan w:val="3"/>
            <w:vAlign w:val="center"/>
            <w:hideMark/>
          </w:tcPr>
          <w:p w14:paraId="755BDD82" w14:textId="77777777" w:rsidR="00000000" w:rsidRDefault="00A173A8">
            <w:pPr>
              <w:spacing w:after="100"/>
              <w:rPr>
                <w:rFonts w:eastAsia="Times New Roman"/>
                <w:sz w:val="20"/>
                <w:szCs w:val="20"/>
              </w:rPr>
            </w:pPr>
          </w:p>
        </w:tc>
        <w:tc>
          <w:tcPr>
            <w:tcW w:w="0" w:type="auto"/>
            <w:gridSpan w:val="3"/>
            <w:vAlign w:val="center"/>
            <w:hideMark/>
          </w:tcPr>
          <w:p w14:paraId="604DAFAC" w14:textId="77777777" w:rsidR="00000000" w:rsidRDefault="00A173A8">
            <w:pPr>
              <w:spacing w:after="100"/>
              <w:rPr>
                <w:rFonts w:eastAsia="Times New Roman"/>
                <w:sz w:val="20"/>
                <w:szCs w:val="20"/>
              </w:rPr>
            </w:pPr>
          </w:p>
        </w:tc>
        <w:tc>
          <w:tcPr>
            <w:tcW w:w="0" w:type="auto"/>
            <w:gridSpan w:val="3"/>
            <w:vAlign w:val="center"/>
            <w:hideMark/>
          </w:tcPr>
          <w:p w14:paraId="1F59459C" w14:textId="77777777" w:rsidR="00000000" w:rsidRDefault="00A173A8">
            <w:pPr>
              <w:spacing w:after="100"/>
              <w:rPr>
                <w:rFonts w:eastAsia="Times New Roman"/>
                <w:sz w:val="20"/>
                <w:szCs w:val="20"/>
              </w:rPr>
            </w:pPr>
          </w:p>
        </w:tc>
        <w:tc>
          <w:tcPr>
            <w:tcW w:w="0" w:type="auto"/>
            <w:gridSpan w:val="3"/>
            <w:vAlign w:val="center"/>
            <w:hideMark/>
          </w:tcPr>
          <w:p w14:paraId="3ED02945" w14:textId="77777777" w:rsidR="00000000" w:rsidRDefault="00A173A8">
            <w:pPr>
              <w:spacing w:after="100"/>
              <w:rPr>
                <w:rFonts w:eastAsia="Times New Roman"/>
                <w:sz w:val="20"/>
                <w:szCs w:val="20"/>
              </w:rPr>
            </w:pPr>
          </w:p>
        </w:tc>
        <w:tc>
          <w:tcPr>
            <w:tcW w:w="0" w:type="auto"/>
            <w:gridSpan w:val="3"/>
            <w:vAlign w:val="center"/>
            <w:hideMark/>
          </w:tcPr>
          <w:p w14:paraId="52CC0D5D" w14:textId="77777777" w:rsidR="00000000" w:rsidRDefault="00A173A8">
            <w:pPr>
              <w:spacing w:after="100"/>
              <w:rPr>
                <w:rFonts w:eastAsia="Times New Roman"/>
                <w:sz w:val="20"/>
                <w:szCs w:val="20"/>
              </w:rPr>
            </w:pPr>
          </w:p>
        </w:tc>
        <w:tc>
          <w:tcPr>
            <w:tcW w:w="0" w:type="auto"/>
            <w:gridSpan w:val="3"/>
            <w:vAlign w:val="center"/>
            <w:hideMark/>
          </w:tcPr>
          <w:p w14:paraId="792985B1" w14:textId="77777777" w:rsidR="00000000" w:rsidRDefault="00A173A8">
            <w:pPr>
              <w:spacing w:after="100"/>
              <w:rPr>
                <w:rFonts w:eastAsia="Times New Roman"/>
                <w:sz w:val="20"/>
                <w:szCs w:val="20"/>
              </w:rPr>
            </w:pPr>
          </w:p>
        </w:tc>
        <w:tc>
          <w:tcPr>
            <w:tcW w:w="0" w:type="auto"/>
            <w:gridSpan w:val="3"/>
            <w:vAlign w:val="center"/>
            <w:hideMark/>
          </w:tcPr>
          <w:p w14:paraId="48FAE07F" w14:textId="77777777" w:rsidR="00000000" w:rsidRDefault="00A173A8">
            <w:pPr>
              <w:spacing w:after="100"/>
              <w:rPr>
                <w:rFonts w:eastAsia="Times New Roman"/>
                <w:sz w:val="20"/>
                <w:szCs w:val="20"/>
              </w:rPr>
            </w:pPr>
          </w:p>
        </w:tc>
        <w:tc>
          <w:tcPr>
            <w:tcW w:w="0" w:type="auto"/>
            <w:gridSpan w:val="3"/>
            <w:vAlign w:val="center"/>
            <w:hideMark/>
          </w:tcPr>
          <w:p w14:paraId="5B833217" w14:textId="77777777" w:rsidR="00000000" w:rsidRDefault="00A173A8">
            <w:pPr>
              <w:spacing w:after="100"/>
              <w:rPr>
                <w:rFonts w:eastAsia="Times New Roman"/>
                <w:sz w:val="20"/>
                <w:szCs w:val="20"/>
              </w:rPr>
            </w:pPr>
          </w:p>
        </w:tc>
        <w:tc>
          <w:tcPr>
            <w:tcW w:w="0" w:type="auto"/>
            <w:gridSpan w:val="3"/>
            <w:vAlign w:val="center"/>
            <w:hideMark/>
          </w:tcPr>
          <w:p w14:paraId="532580E9" w14:textId="77777777" w:rsidR="00000000" w:rsidRDefault="00A173A8">
            <w:pPr>
              <w:spacing w:after="100"/>
              <w:rPr>
                <w:rFonts w:eastAsia="Times New Roman"/>
                <w:sz w:val="20"/>
                <w:szCs w:val="20"/>
              </w:rPr>
            </w:pPr>
          </w:p>
        </w:tc>
        <w:tc>
          <w:tcPr>
            <w:tcW w:w="0" w:type="auto"/>
            <w:gridSpan w:val="3"/>
            <w:vAlign w:val="center"/>
            <w:hideMark/>
          </w:tcPr>
          <w:p w14:paraId="60CF3B57" w14:textId="77777777" w:rsidR="00000000" w:rsidRDefault="00A173A8">
            <w:pPr>
              <w:spacing w:after="100"/>
              <w:rPr>
                <w:rFonts w:eastAsia="Times New Roman"/>
                <w:sz w:val="20"/>
                <w:szCs w:val="20"/>
              </w:rPr>
            </w:pPr>
          </w:p>
        </w:tc>
        <w:tc>
          <w:tcPr>
            <w:tcW w:w="0" w:type="auto"/>
            <w:gridSpan w:val="3"/>
            <w:vAlign w:val="center"/>
            <w:hideMark/>
          </w:tcPr>
          <w:p w14:paraId="09246A80" w14:textId="77777777" w:rsidR="00000000" w:rsidRDefault="00A173A8">
            <w:pPr>
              <w:spacing w:after="100"/>
              <w:rPr>
                <w:rFonts w:eastAsia="Times New Roman"/>
                <w:sz w:val="20"/>
                <w:szCs w:val="20"/>
              </w:rPr>
            </w:pPr>
          </w:p>
        </w:tc>
      </w:tr>
      <w:tr w:rsidR="00000000" w14:paraId="4C11EEFC" w14:textId="77777777">
        <w:trPr>
          <w:divId w:val="1616132076"/>
        </w:trPr>
        <w:tc>
          <w:tcPr>
            <w:tcW w:w="0" w:type="auto"/>
            <w:gridSpan w:val="3"/>
            <w:vAlign w:val="center"/>
            <w:hideMark/>
          </w:tcPr>
          <w:p w14:paraId="57903949" w14:textId="77777777" w:rsidR="00000000" w:rsidRDefault="00A173A8">
            <w:pPr>
              <w:spacing w:after="100"/>
              <w:rPr>
                <w:rFonts w:eastAsia="Times New Roman"/>
                <w:sz w:val="20"/>
                <w:szCs w:val="20"/>
              </w:rPr>
            </w:pPr>
          </w:p>
        </w:tc>
        <w:tc>
          <w:tcPr>
            <w:tcW w:w="0" w:type="auto"/>
            <w:gridSpan w:val="3"/>
            <w:vAlign w:val="center"/>
            <w:hideMark/>
          </w:tcPr>
          <w:p w14:paraId="52F278EA" w14:textId="77777777" w:rsidR="00000000" w:rsidRDefault="00A173A8">
            <w:pPr>
              <w:spacing w:after="100"/>
              <w:rPr>
                <w:rFonts w:eastAsia="Times New Roman"/>
                <w:sz w:val="20"/>
                <w:szCs w:val="20"/>
              </w:rPr>
            </w:pPr>
          </w:p>
        </w:tc>
        <w:tc>
          <w:tcPr>
            <w:tcW w:w="0" w:type="auto"/>
            <w:gridSpan w:val="3"/>
            <w:vAlign w:val="center"/>
            <w:hideMark/>
          </w:tcPr>
          <w:p w14:paraId="3B158937" w14:textId="77777777" w:rsidR="00000000" w:rsidRDefault="00A173A8">
            <w:pPr>
              <w:spacing w:after="100"/>
              <w:rPr>
                <w:rFonts w:eastAsia="Times New Roman"/>
                <w:sz w:val="20"/>
                <w:szCs w:val="20"/>
              </w:rPr>
            </w:pPr>
          </w:p>
        </w:tc>
        <w:tc>
          <w:tcPr>
            <w:tcW w:w="0" w:type="auto"/>
            <w:gridSpan w:val="3"/>
            <w:vAlign w:val="center"/>
            <w:hideMark/>
          </w:tcPr>
          <w:p w14:paraId="443DE583" w14:textId="77777777" w:rsidR="00000000" w:rsidRDefault="00A173A8">
            <w:pPr>
              <w:spacing w:after="100"/>
              <w:rPr>
                <w:rFonts w:eastAsia="Times New Roman"/>
                <w:sz w:val="20"/>
                <w:szCs w:val="20"/>
              </w:rPr>
            </w:pPr>
          </w:p>
        </w:tc>
        <w:tc>
          <w:tcPr>
            <w:tcW w:w="0" w:type="auto"/>
            <w:gridSpan w:val="3"/>
            <w:vAlign w:val="center"/>
            <w:hideMark/>
          </w:tcPr>
          <w:p w14:paraId="159AA6F6" w14:textId="77777777" w:rsidR="00000000" w:rsidRDefault="00A173A8">
            <w:pPr>
              <w:spacing w:after="100"/>
              <w:rPr>
                <w:rFonts w:eastAsia="Times New Roman"/>
                <w:sz w:val="20"/>
                <w:szCs w:val="20"/>
              </w:rPr>
            </w:pPr>
          </w:p>
        </w:tc>
        <w:tc>
          <w:tcPr>
            <w:tcW w:w="0" w:type="auto"/>
            <w:gridSpan w:val="3"/>
            <w:vAlign w:val="center"/>
            <w:hideMark/>
          </w:tcPr>
          <w:p w14:paraId="6903F312" w14:textId="77777777" w:rsidR="00000000" w:rsidRDefault="00A173A8">
            <w:pPr>
              <w:spacing w:after="100"/>
              <w:rPr>
                <w:rFonts w:eastAsia="Times New Roman"/>
                <w:sz w:val="20"/>
                <w:szCs w:val="20"/>
              </w:rPr>
            </w:pPr>
          </w:p>
        </w:tc>
        <w:tc>
          <w:tcPr>
            <w:tcW w:w="0" w:type="auto"/>
            <w:gridSpan w:val="3"/>
            <w:vAlign w:val="center"/>
            <w:hideMark/>
          </w:tcPr>
          <w:p w14:paraId="5790F339" w14:textId="77777777" w:rsidR="00000000" w:rsidRDefault="00A173A8">
            <w:pPr>
              <w:spacing w:after="100"/>
              <w:rPr>
                <w:rFonts w:eastAsia="Times New Roman"/>
                <w:sz w:val="20"/>
                <w:szCs w:val="20"/>
              </w:rPr>
            </w:pPr>
          </w:p>
        </w:tc>
        <w:tc>
          <w:tcPr>
            <w:tcW w:w="0" w:type="auto"/>
            <w:gridSpan w:val="3"/>
            <w:vAlign w:val="center"/>
            <w:hideMark/>
          </w:tcPr>
          <w:p w14:paraId="6ECFAAF2" w14:textId="77777777" w:rsidR="00000000" w:rsidRDefault="00A173A8">
            <w:pPr>
              <w:spacing w:after="100"/>
              <w:rPr>
                <w:rFonts w:eastAsia="Times New Roman"/>
                <w:sz w:val="20"/>
                <w:szCs w:val="20"/>
              </w:rPr>
            </w:pPr>
          </w:p>
        </w:tc>
        <w:tc>
          <w:tcPr>
            <w:tcW w:w="0" w:type="auto"/>
            <w:gridSpan w:val="3"/>
            <w:vAlign w:val="center"/>
            <w:hideMark/>
          </w:tcPr>
          <w:p w14:paraId="2FDDEC91" w14:textId="77777777" w:rsidR="00000000" w:rsidRDefault="00A173A8">
            <w:pPr>
              <w:spacing w:after="100"/>
              <w:rPr>
                <w:rFonts w:eastAsia="Times New Roman"/>
                <w:sz w:val="20"/>
                <w:szCs w:val="20"/>
              </w:rPr>
            </w:pPr>
          </w:p>
        </w:tc>
        <w:tc>
          <w:tcPr>
            <w:tcW w:w="0" w:type="auto"/>
            <w:gridSpan w:val="3"/>
            <w:vAlign w:val="center"/>
            <w:hideMark/>
          </w:tcPr>
          <w:p w14:paraId="6FC94AD1" w14:textId="77777777" w:rsidR="00000000" w:rsidRDefault="00A173A8">
            <w:pPr>
              <w:spacing w:after="100"/>
              <w:rPr>
                <w:rFonts w:eastAsia="Times New Roman"/>
                <w:sz w:val="20"/>
                <w:szCs w:val="20"/>
              </w:rPr>
            </w:pPr>
          </w:p>
        </w:tc>
        <w:tc>
          <w:tcPr>
            <w:tcW w:w="0" w:type="auto"/>
            <w:gridSpan w:val="3"/>
            <w:vAlign w:val="center"/>
            <w:hideMark/>
          </w:tcPr>
          <w:p w14:paraId="18483375" w14:textId="77777777" w:rsidR="00000000" w:rsidRDefault="00A173A8">
            <w:pPr>
              <w:spacing w:after="100"/>
              <w:rPr>
                <w:rFonts w:eastAsia="Times New Roman"/>
                <w:sz w:val="20"/>
                <w:szCs w:val="20"/>
              </w:rPr>
            </w:pPr>
          </w:p>
        </w:tc>
        <w:tc>
          <w:tcPr>
            <w:tcW w:w="0" w:type="auto"/>
            <w:gridSpan w:val="3"/>
            <w:vAlign w:val="center"/>
            <w:hideMark/>
          </w:tcPr>
          <w:p w14:paraId="24EAC8FA" w14:textId="77777777" w:rsidR="00000000" w:rsidRDefault="00A173A8">
            <w:pPr>
              <w:spacing w:after="100"/>
              <w:rPr>
                <w:rFonts w:eastAsia="Times New Roman"/>
                <w:sz w:val="20"/>
                <w:szCs w:val="20"/>
              </w:rPr>
            </w:pPr>
          </w:p>
        </w:tc>
        <w:tc>
          <w:tcPr>
            <w:tcW w:w="0" w:type="auto"/>
            <w:gridSpan w:val="3"/>
            <w:vAlign w:val="center"/>
            <w:hideMark/>
          </w:tcPr>
          <w:p w14:paraId="5E2CDE82" w14:textId="77777777" w:rsidR="00000000" w:rsidRDefault="00A173A8">
            <w:pPr>
              <w:spacing w:after="100"/>
              <w:rPr>
                <w:rFonts w:eastAsia="Times New Roman"/>
                <w:sz w:val="20"/>
                <w:szCs w:val="20"/>
              </w:rPr>
            </w:pPr>
          </w:p>
        </w:tc>
        <w:tc>
          <w:tcPr>
            <w:tcW w:w="0" w:type="auto"/>
            <w:gridSpan w:val="3"/>
            <w:vAlign w:val="center"/>
            <w:hideMark/>
          </w:tcPr>
          <w:p w14:paraId="7A610A33" w14:textId="77777777" w:rsidR="00000000" w:rsidRDefault="00A173A8">
            <w:pPr>
              <w:spacing w:after="100"/>
              <w:rPr>
                <w:rFonts w:eastAsia="Times New Roman"/>
                <w:sz w:val="20"/>
                <w:szCs w:val="20"/>
              </w:rPr>
            </w:pPr>
          </w:p>
        </w:tc>
        <w:tc>
          <w:tcPr>
            <w:tcW w:w="0" w:type="auto"/>
            <w:gridSpan w:val="3"/>
            <w:vAlign w:val="center"/>
            <w:hideMark/>
          </w:tcPr>
          <w:p w14:paraId="77D132B9" w14:textId="77777777" w:rsidR="00000000" w:rsidRDefault="00A173A8">
            <w:pPr>
              <w:spacing w:after="100"/>
              <w:rPr>
                <w:rFonts w:eastAsia="Times New Roman"/>
                <w:sz w:val="20"/>
                <w:szCs w:val="20"/>
              </w:rPr>
            </w:pPr>
          </w:p>
        </w:tc>
        <w:tc>
          <w:tcPr>
            <w:tcW w:w="0" w:type="auto"/>
            <w:gridSpan w:val="3"/>
            <w:vAlign w:val="center"/>
            <w:hideMark/>
          </w:tcPr>
          <w:p w14:paraId="2F93C823" w14:textId="77777777" w:rsidR="00000000" w:rsidRDefault="00A173A8">
            <w:pPr>
              <w:spacing w:after="100"/>
              <w:rPr>
                <w:rFonts w:eastAsia="Times New Roman"/>
                <w:sz w:val="20"/>
                <w:szCs w:val="20"/>
              </w:rPr>
            </w:pPr>
          </w:p>
        </w:tc>
        <w:tc>
          <w:tcPr>
            <w:tcW w:w="0" w:type="auto"/>
            <w:gridSpan w:val="3"/>
            <w:vAlign w:val="center"/>
            <w:hideMark/>
          </w:tcPr>
          <w:p w14:paraId="5371B3F7" w14:textId="77777777" w:rsidR="00000000" w:rsidRDefault="00A173A8">
            <w:pPr>
              <w:spacing w:after="100"/>
              <w:rPr>
                <w:rFonts w:eastAsia="Times New Roman"/>
                <w:sz w:val="20"/>
                <w:szCs w:val="20"/>
              </w:rPr>
            </w:pPr>
          </w:p>
        </w:tc>
      </w:tr>
      <w:tr w:rsidR="00000000" w14:paraId="01FCB4DC" w14:textId="77777777">
        <w:trPr>
          <w:divId w:val="1616132076"/>
        </w:trPr>
        <w:tc>
          <w:tcPr>
            <w:tcW w:w="0" w:type="auto"/>
            <w:gridSpan w:val="3"/>
            <w:vAlign w:val="center"/>
            <w:hideMark/>
          </w:tcPr>
          <w:p w14:paraId="670A14BC" w14:textId="77777777" w:rsidR="00000000" w:rsidRDefault="00A173A8">
            <w:pPr>
              <w:spacing w:after="100"/>
              <w:rPr>
                <w:rFonts w:eastAsia="Times New Roman"/>
                <w:sz w:val="20"/>
                <w:szCs w:val="20"/>
              </w:rPr>
            </w:pPr>
          </w:p>
        </w:tc>
        <w:tc>
          <w:tcPr>
            <w:tcW w:w="0" w:type="auto"/>
            <w:gridSpan w:val="3"/>
            <w:vAlign w:val="center"/>
            <w:hideMark/>
          </w:tcPr>
          <w:p w14:paraId="08CA4C50" w14:textId="77777777" w:rsidR="00000000" w:rsidRDefault="00A173A8">
            <w:pPr>
              <w:spacing w:after="100"/>
              <w:rPr>
                <w:rFonts w:eastAsia="Times New Roman"/>
                <w:sz w:val="20"/>
                <w:szCs w:val="20"/>
              </w:rPr>
            </w:pPr>
          </w:p>
        </w:tc>
        <w:tc>
          <w:tcPr>
            <w:tcW w:w="0" w:type="auto"/>
            <w:gridSpan w:val="3"/>
            <w:vAlign w:val="center"/>
            <w:hideMark/>
          </w:tcPr>
          <w:p w14:paraId="53DE4EA3" w14:textId="77777777" w:rsidR="00000000" w:rsidRDefault="00A173A8">
            <w:pPr>
              <w:spacing w:after="100"/>
              <w:rPr>
                <w:rFonts w:eastAsia="Times New Roman"/>
                <w:sz w:val="20"/>
                <w:szCs w:val="20"/>
              </w:rPr>
            </w:pPr>
          </w:p>
        </w:tc>
        <w:tc>
          <w:tcPr>
            <w:tcW w:w="0" w:type="auto"/>
            <w:gridSpan w:val="3"/>
            <w:vAlign w:val="center"/>
            <w:hideMark/>
          </w:tcPr>
          <w:p w14:paraId="127B9830" w14:textId="77777777" w:rsidR="00000000" w:rsidRDefault="00A173A8">
            <w:pPr>
              <w:spacing w:after="100"/>
              <w:rPr>
                <w:rFonts w:eastAsia="Times New Roman"/>
                <w:sz w:val="20"/>
                <w:szCs w:val="20"/>
              </w:rPr>
            </w:pPr>
          </w:p>
        </w:tc>
        <w:tc>
          <w:tcPr>
            <w:tcW w:w="0" w:type="auto"/>
            <w:gridSpan w:val="3"/>
            <w:vAlign w:val="center"/>
            <w:hideMark/>
          </w:tcPr>
          <w:p w14:paraId="2A8A1C2A" w14:textId="77777777" w:rsidR="00000000" w:rsidRDefault="00A173A8">
            <w:pPr>
              <w:spacing w:after="100"/>
              <w:rPr>
                <w:rFonts w:eastAsia="Times New Roman"/>
                <w:sz w:val="20"/>
                <w:szCs w:val="20"/>
              </w:rPr>
            </w:pPr>
          </w:p>
        </w:tc>
        <w:tc>
          <w:tcPr>
            <w:tcW w:w="0" w:type="auto"/>
            <w:gridSpan w:val="3"/>
            <w:vAlign w:val="center"/>
            <w:hideMark/>
          </w:tcPr>
          <w:p w14:paraId="0F674FFA" w14:textId="77777777" w:rsidR="00000000" w:rsidRDefault="00A173A8">
            <w:pPr>
              <w:spacing w:after="100"/>
              <w:rPr>
                <w:rFonts w:eastAsia="Times New Roman"/>
                <w:sz w:val="20"/>
                <w:szCs w:val="20"/>
              </w:rPr>
            </w:pPr>
          </w:p>
        </w:tc>
        <w:tc>
          <w:tcPr>
            <w:tcW w:w="0" w:type="auto"/>
            <w:gridSpan w:val="3"/>
            <w:vAlign w:val="center"/>
            <w:hideMark/>
          </w:tcPr>
          <w:p w14:paraId="0973DFB3" w14:textId="77777777" w:rsidR="00000000" w:rsidRDefault="00A173A8">
            <w:pPr>
              <w:spacing w:after="100"/>
              <w:rPr>
                <w:rFonts w:eastAsia="Times New Roman"/>
                <w:sz w:val="20"/>
                <w:szCs w:val="20"/>
              </w:rPr>
            </w:pPr>
          </w:p>
        </w:tc>
        <w:tc>
          <w:tcPr>
            <w:tcW w:w="0" w:type="auto"/>
            <w:gridSpan w:val="3"/>
            <w:vAlign w:val="center"/>
            <w:hideMark/>
          </w:tcPr>
          <w:p w14:paraId="3D597A25" w14:textId="77777777" w:rsidR="00000000" w:rsidRDefault="00A173A8">
            <w:pPr>
              <w:spacing w:after="100"/>
              <w:rPr>
                <w:rFonts w:eastAsia="Times New Roman"/>
                <w:sz w:val="20"/>
                <w:szCs w:val="20"/>
              </w:rPr>
            </w:pPr>
          </w:p>
        </w:tc>
        <w:tc>
          <w:tcPr>
            <w:tcW w:w="0" w:type="auto"/>
            <w:gridSpan w:val="3"/>
            <w:vAlign w:val="center"/>
            <w:hideMark/>
          </w:tcPr>
          <w:p w14:paraId="2CAFA60C" w14:textId="77777777" w:rsidR="00000000" w:rsidRDefault="00A173A8">
            <w:pPr>
              <w:spacing w:after="100"/>
              <w:rPr>
                <w:rFonts w:eastAsia="Times New Roman"/>
                <w:sz w:val="20"/>
                <w:szCs w:val="20"/>
              </w:rPr>
            </w:pPr>
          </w:p>
        </w:tc>
        <w:tc>
          <w:tcPr>
            <w:tcW w:w="0" w:type="auto"/>
            <w:gridSpan w:val="3"/>
            <w:vAlign w:val="center"/>
            <w:hideMark/>
          </w:tcPr>
          <w:p w14:paraId="6981F492" w14:textId="77777777" w:rsidR="00000000" w:rsidRDefault="00A173A8">
            <w:pPr>
              <w:spacing w:after="100"/>
              <w:rPr>
                <w:rFonts w:eastAsia="Times New Roman"/>
                <w:sz w:val="20"/>
                <w:szCs w:val="20"/>
              </w:rPr>
            </w:pPr>
          </w:p>
        </w:tc>
        <w:tc>
          <w:tcPr>
            <w:tcW w:w="0" w:type="auto"/>
            <w:gridSpan w:val="3"/>
            <w:vAlign w:val="center"/>
            <w:hideMark/>
          </w:tcPr>
          <w:p w14:paraId="3990798E" w14:textId="77777777" w:rsidR="00000000" w:rsidRDefault="00A173A8">
            <w:pPr>
              <w:spacing w:after="100"/>
              <w:rPr>
                <w:rFonts w:eastAsia="Times New Roman"/>
                <w:sz w:val="20"/>
                <w:szCs w:val="20"/>
              </w:rPr>
            </w:pPr>
          </w:p>
        </w:tc>
        <w:tc>
          <w:tcPr>
            <w:tcW w:w="0" w:type="auto"/>
            <w:gridSpan w:val="3"/>
            <w:vAlign w:val="center"/>
            <w:hideMark/>
          </w:tcPr>
          <w:p w14:paraId="7694015E" w14:textId="77777777" w:rsidR="00000000" w:rsidRDefault="00A173A8">
            <w:pPr>
              <w:spacing w:after="100"/>
              <w:rPr>
                <w:rFonts w:eastAsia="Times New Roman"/>
                <w:sz w:val="20"/>
                <w:szCs w:val="20"/>
              </w:rPr>
            </w:pPr>
          </w:p>
        </w:tc>
        <w:tc>
          <w:tcPr>
            <w:tcW w:w="0" w:type="auto"/>
            <w:gridSpan w:val="3"/>
            <w:vAlign w:val="center"/>
            <w:hideMark/>
          </w:tcPr>
          <w:p w14:paraId="2705699D" w14:textId="77777777" w:rsidR="00000000" w:rsidRDefault="00A173A8">
            <w:pPr>
              <w:spacing w:after="100"/>
              <w:rPr>
                <w:rFonts w:eastAsia="Times New Roman"/>
                <w:sz w:val="20"/>
                <w:szCs w:val="20"/>
              </w:rPr>
            </w:pPr>
          </w:p>
        </w:tc>
        <w:tc>
          <w:tcPr>
            <w:tcW w:w="0" w:type="auto"/>
            <w:gridSpan w:val="3"/>
            <w:vAlign w:val="center"/>
            <w:hideMark/>
          </w:tcPr>
          <w:p w14:paraId="15B16642" w14:textId="77777777" w:rsidR="00000000" w:rsidRDefault="00A173A8">
            <w:pPr>
              <w:spacing w:after="100"/>
              <w:rPr>
                <w:rFonts w:eastAsia="Times New Roman"/>
                <w:sz w:val="20"/>
                <w:szCs w:val="20"/>
              </w:rPr>
            </w:pPr>
          </w:p>
        </w:tc>
        <w:tc>
          <w:tcPr>
            <w:tcW w:w="0" w:type="auto"/>
            <w:gridSpan w:val="3"/>
            <w:vAlign w:val="center"/>
            <w:hideMark/>
          </w:tcPr>
          <w:p w14:paraId="51ACAA9F" w14:textId="77777777" w:rsidR="00000000" w:rsidRDefault="00A173A8">
            <w:pPr>
              <w:spacing w:after="100"/>
              <w:rPr>
                <w:rFonts w:eastAsia="Times New Roman"/>
                <w:sz w:val="20"/>
                <w:szCs w:val="20"/>
              </w:rPr>
            </w:pPr>
          </w:p>
        </w:tc>
        <w:tc>
          <w:tcPr>
            <w:tcW w:w="0" w:type="auto"/>
            <w:gridSpan w:val="3"/>
            <w:vAlign w:val="center"/>
            <w:hideMark/>
          </w:tcPr>
          <w:p w14:paraId="681A7BE3" w14:textId="77777777" w:rsidR="00000000" w:rsidRDefault="00A173A8">
            <w:pPr>
              <w:spacing w:after="100"/>
              <w:rPr>
                <w:rFonts w:eastAsia="Times New Roman"/>
                <w:sz w:val="20"/>
                <w:szCs w:val="20"/>
              </w:rPr>
            </w:pPr>
          </w:p>
        </w:tc>
        <w:tc>
          <w:tcPr>
            <w:tcW w:w="0" w:type="auto"/>
            <w:gridSpan w:val="3"/>
            <w:vAlign w:val="center"/>
            <w:hideMark/>
          </w:tcPr>
          <w:p w14:paraId="5B0FA368" w14:textId="77777777" w:rsidR="00000000" w:rsidRDefault="00A173A8">
            <w:pPr>
              <w:spacing w:after="100"/>
              <w:rPr>
                <w:rFonts w:eastAsia="Times New Roman"/>
                <w:sz w:val="20"/>
                <w:szCs w:val="20"/>
              </w:rPr>
            </w:pPr>
          </w:p>
        </w:tc>
      </w:tr>
      <w:tr w:rsidR="00000000" w14:paraId="2C8E47B3" w14:textId="77777777">
        <w:trPr>
          <w:divId w:val="1616132076"/>
        </w:trPr>
        <w:tc>
          <w:tcPr>
            <w:tcW w:w="0" w:type="auto"/>
            <w:gridSpan w:val="3"/>
            <w:vAlign w:val="center"/>
            <w:hideMark/>
          </w:tcPr>
          <w:p w14:paraId="56B31ADC" w14:textId="77777777" w:rsidR="00000000" w:rsidRDefault="00A173A8">
            <w:pPr>
              <w:spacing w:after="100"/>
              <w:rPr>
                <w:rFonts w:eastAsia="Times New Roman"/>
                <w:sz w:val="20"/>
                <w:szCs w:val="20"/>
              </w:rPr>
            </w:pPr>
          </w:p>
        </w:tc>
        <w:tc>
          <w:tcPr>
            <w:tcW w:w="0" w:type="auto"/>
            <w:gridSpan w:val="3"/>
            <w:vAlign w:val="center"/>
            <w:hideMark/>
          </w:tcPr>
          <w:p w14:paraId="301A59F1" w14:textId="77777777" w:rsidR="00000000" w:rsidRDefault="00A173A8">
            <w:pPr>
              <w:spacing w:after="100"/>
              <w:rPr>
                <w:rFonts w:eastAsia="Times New Roman"/>
                <w:sz w:val="20"/>
                <w:szCs w:val="20"/>
              </w:rPr>
            </w:pPr>
          </w:p>
        </w:tc>
        <w:tc>
          <w:tcPr>
            <w:tcW w:w="0" w:type="auto"/>
            <w:gridSpan w:val="3"/>
            <w:vAlign w:val="center"/>
            <w:hideMark/>
          </w:tcPr>
          <w:p w14:paraId="7DF9523B" w14:textId="77777777" w:rsidR="00000000" w:rsidRDefault="00A173A8">
            <w:pPr>
              <w:spacing w:after="100"/>
              <w:rPr>
                <w:rFonts w:eastAsia="Times New Roman"/>
                <w:sz w:val="20"/>
                <w:szCs w:val="20"/>
              </w:rPr>
            </w:pPr>
          </w:p>
        </w:tc>
        <w:tc>
          <w:tcPr>
            <w:tcW w:w="0" w:type="auto"/>
            <w:gridSpan w:val="3"/>
            <w:vAlign w:val="center"/>
            <w:hideMark/>
          </w:tcPr>
          <w:p w14:paraId="60D49FE9" w14:textId="77777777" w:rsidR="00000000" w:rsidRDefault="00A173A8">
            <w:pPr>
              <w:spacing w:after="100"/>
              <w:rPr>
                <w:rFonts w:eastAsia="Times New Roman"/>
                <w:sz w:val="20"/>
                <w:szCs w:val="20"/>
              </w:rPr>
            </w:pPr>
          </w:p>
        </w:tc>
        <w:tc>
          <w:tcPr>
            <w:tcW w:w="0" w:type="auto"/>
            <w:gridSpan w:val="3"/>
            <w:vAlign w:val="center"/>
            <w:hideMark/>
          </w:tcPr>
          <w:p w14:paraId="58079EDC" w14:textId="77777777" w:rsidR="00000000" w:rsidRDefault="00A173A8">
            <w:pPr>
              <w:spacing w:after="100"/>
              <w:rPr>
                <w:rFonts w:eastAsia="Times New Roman"/>
                <w:sz w:val="20"/>
                <w:szCs w:val="20"/>
              </w:rPr>
            </w:pPr>
          </w:p>
        </w:tc>
        <w:tc>
          <w:tcPr>
            <w:tcW w:w="0" w:type="auto"/>
            <w:gridSpan w:val="3"/>
            <w:vAlign w:val="center"/>
            <w:hideMark/>
          </w:tcPr>
          <w:p w14:paraId="3766495F" w14:textId="77777777" w:rsidR="00000000" w:rsidRDefault="00A173A8">
            <w:pPr>
              <w:spacing w:after="100"/>
              <w:rPr>
                <w:rFonts w:eastAsia="Times New Roman"/>
                <w:sz w:val="20"/>
                <w:szCs w:val="20"/>
              </w:rPr>
            </w:pPr>
          </w:p>
        </w:tc>
        <w:tc>
          <w:tcPr>
            <w:tcW w:w="0" w:type="auto"/>
            <w:gridSpan w:val="3"/>
            <w:vAlign w:val="center"/>
            <w:hideMark/>
          </w:tcPr>
          <w:p w14:paraId="6A19871E" w14:textId="77777777" w:rsidR="00000000" w:rsidRDefault="00A173A8">
            <w:pPr>
              <w:spacing w:after="100"/>
              <w:rPr>
                <w:rFonts w:eastAsia="Times New Roman"/>
                <w:sz w:val="20"/>
                <w:szCs w:val="20"/>
              </w:rPr>
            </w:pPr>
          </w:p>
        </w:tc>
        <w:tc>
          <w:tcPr>
            <w:tcW w:w="0" w:type="auto"/>
            <w:gridSpan w:val="3"/>
            <w:vAlign w:val="center"/>
            <w:hideMark/>
          </w:tcPr>
          <w:p w14:paraId="70618048" w14:textId="77777777" w:rsidR="00000000" w:rsidRDefault="00A173A8">
            <w:pPr>
              <w:spacing w:after="100"/>
              <w:rPr>
                <w:rFonts w:eastAsia="Times New Roman"/>
                <w:sz w:val="20"/>
                <w:szCs w:val="20"/>
              </w:rPr>
            </w:pPr>
          </w:p>
        </w:tc>
        <w:tc>
          <w:tcPr>
            <w:tcW w:w="0" w:type="auto"/>
            <w:gridSpan w:val="3"/>
            <w:vAlign w:val="center"/>
            <w:hideMark/>
          </w:tcPr>
          <w:p w14:paraId="67834A0F" w14:textId="77777777" w:rsidR="00000000" w:rsidRDefault="00A173A8">
            <w:pPr>
              <w:spacing w:after="100"/>
              <w:rPr>
                <w:rFonts w:eastAsia="Times New Roman"/>
                <w:sz w:val="20"/>
                <w:szCs w:val="20"/>
              </w:rPr>
            </w:pPr>
          </w:p>
        </w:tc>
        <w:tc>
          <w:tcPr>
            <w:tcW w:w="0" w:type="auto"/>
            <w:gridSpan w:val="3"/>
            <w:vAlign w:val="center"/>
            <w:hideMark/>
          </w:tcPr>
          <w:p w14:paraId="32BCFDB0" w14:textId="77777777" w:rsidR="00000000" w:rsidRDefault="00A173A8">
            <w:pPr>
              <w:spacing w:after="100"/>
              <w:rPr>
                <w:rFonts w:eastAsia="Times New Roman"/>
                <w:sz w:val="20"/>
                <w:szCs w:val="20"/>
              </w:rPr>
            </w:pPr>
          </w:p>
        </w:tc>
        <w:tc>
          <w:tcPr>
            <w:tcW w:w="0" w:type="auto"/>
            <w:gridSpan w:val="3"/>
            <w:vAlign w:val="center"/>
            <w:hideMark/>
          </w:tcPr>
          <w:p w14:paraId="175D136B" w14:textId="77777777" w:rsidR="00000000" w:rsidRDefault="00A173A8">
            <w:pPr>
              <w:spacing w:after="100"/>
              <w:rPr>
                <w:rFonts w:eastAsia="Times New Roman"/>
                <w:sz w:val="20"/>
                <w:szCs w:val="20"/>
              </w:rPr>
            </w:pPr>
          </w:p>
        </w:tc>
        <w:tc>
          <w:tcPr>
            <w:tcW w:w="0" w:type="auto"/>
            <w:gridSpan w:val="3"/>
            <w:vAlign w:val="center"/>
            <w:hideMark/>
          </w:tcPr>
          <w:p w14:paraId="68BEB879" w14:textId="77777777" w:rsidR="00000000" w:rsidRDefault="00A173A8">
            <w:pPr>
              <w:spacing w:after="100"/>
              <w:rPr>
                <w:rFonts w:eastAsia="Times New Roman"/>
                <w:sz w:val="20"/>
                <w:szCs w:val="20"/>
              </w:rPr>
            </w:pPr>
          </w:p>
        </w:tc>
        <w:tc>
          <w:tcPr>
            <w:tcW w:w="0" w:type="auto"/>
            <w:gridSpan w:val="3"/>
            <w:vAlign w:val="center"/>
            <w:hideMark/>
          </w:tcPr>
          <w:p w14:paraId="77B7FA88" w14:textId="77777777" w:rsidR="00000000" w:rsidRDefault="00A173A8">
            <w:pPr>
              <w:spacing w:after="100"/>
              <w:rPr>
                <w:rFonts w:eastAsia="Times New Roman"/>
                <w:sz w:val="20"/>
                <w:szCs w:val="20"/>
              </w:rPr>
            </w:pPr>
          </w:p>
        </w:tc>
        <w:tc>
          <w:tcPr>
            <w:tcW w:w="0" w:type="auto"/>
            <w:gridSpan w:val="3"/>
            <w:vAlign w:val="center"/>
            <w:hideMark/>
          </w:tcPr>
          <w:p w14:paraId="681327EB" w14:textId="77777777" w:rsidR="00000000" w:rsidRDefault="00A173A8">
            <w:pPr>
              <w:spacing w:after="100"/>
              <w:rPr>
                <w:rFonts w:eastAsia="Times New Roman"/>
                <w:sz w:val="20"/>
                <w:szCs w:val="20"/>
              </w:rPr>
            </w:pPr>
          </w:p>
        </w:tc>
        <w:tc>
          <w:tcPr>
            <w:tcW w:w="0" w:type="auto"/>
            <w:gridSpan w:val="3"/>
            <w:vAlign w:val="center"/>
            <w:hideMark/>
          </w:tcPr>
          <w:p w14:paraId="41EF4D98" w14:textId="77777777" w:rsidR="00000000" w:rsidRDefault="00A173A8">
            <w:pPr>
              <w:spacing w:after="100"/>
              <w:rPr>
                <w:rFonts w:eastAsia="Times New Roman"/>
                <w:sz w:val="20"/>
                <w:szCs w:val="20"/>
              </w:rPr>
            </w:pPr>
          </w:p>
        </w:tc>
        <w:tc>
          <w:tcPr>
            <w:tcW w:w="0" w:type="auto"/>
            <w:gridSpan w:val="3"/>
            <w:vAlign w:val="center"/>
            <w:hideMark/>
          </w:tcPr>
          <w:p w14:paraId="1480974A" w14:textId="77777777" w:rsidR="00000000" w:rsidRDefault="00A173A8">
            <w:pPr>
              <w:spacing w:after="100"/>
              <w:rPr>
                <w:rFonts w:eastAsia="Times New Roman"/>
                <w:sz w:val="20"/>
                <w:szCs w:val="20"/>
              </w:rPr>
            </w:pPr>
          </w:p>
        </w:tc>
        <w:tc>
          <w:tcPr>
            <w:tcW w:w="0" w:type="auto"/>
            <w:gridSpan w:val="3"/>
            <w:vAlign w:val="center"/>
            <w:hideMark/>
          </w:tcPr>
          <w:p w14:paraId="2438A7E8" w14:textId="77777777" w:rsidR="00000000" w:rsidRDefault="00A173A8">
            <w:pPr>
              <w:spacing w:after="100"/>
              <w:rPr>
                <w:rFonts w:eastAsia="Times New Roman"/>
                <w:sz w:val="20"/>
                <w:szCs w:val="20"/>
              </w:rPr>
            </w:pPr>
          </w:p>
        </w:tc>
      </w:tr>
      <w:tr w:rsidR="00000000" w14:paraId="3B5E97EF" w14:textId="77777777">
        <w:trPr>
          <w:divId w:val="1616132076"/>
        </w:trPr>
        <w:tc>
          <w:tcPr>
            <w:tcW w:w="0" w:type="auto"/>
            <w:gridSpan w:val="3"/>
            <w:vAlign w:val="center"/>
            <w:hideMark/>
          </w:tcPr>
          <w:p w14:paraId="69615E63" w14:textId="77777777" w:rsidR="00000000" w:rsidRDefault="00A173A8">
            <w:pPr>
              <w:spacing w:after="100"/>
              <w:rPr>
                <w:rFonts w:eastAsia="Times New Roman"/>
                <w:sz w:val="20"/>
                <w:szCs w:val="20"/>
              </w:rPr>
            </w:pPr>
          </w:p>
        </w:tc>
        <w:tc>
          <w:tcPr>
            <w:tcW w:w="0" w:type="auto"/>
            <w:gridSpan w:val="3"/>
            <w:vAlign w:val="center"/>
            <w:hideMark/>
          </w:tcPr>
          <w:p w14:paraId="576EFD4A" w14:textId="77777777" w:rsidR="00000000" w:rsidRDefault="00A173A8">
            <w:pPr>
              <w:spacing w:after="100"/>
              <w:rPr>
                <w:rFonts w:eastAsia="Times New Roman"/>
                <w:sz w:val="20"/>
                <w:szCs w:val="20"/>
              </w:rPr>
            </w:pPr>
          </w:p>
        </w:tc>
        <w:tc>
          <w:tcPr>
            <w:tcW w:w="0" w:type="auto"/>
            <w:gridSpan w:val="3"/>
            <w:vAlign w:val="center"/>
            <w:hideMark/>
          </w:tcPr>
          <w:p w14:paraId="57F7ED5A" w14:textId="77777777" w:rsidR="00000000" w:rsidRDefault="00A173A8">
            <w:pPr>
              <w:spacing w:after="100"/>
              <w:rPr>
                <w:rFonts w:eastAsia="Times New Roman"/>
                <w:sz w:val="20"/>
                <w:szCs w:val="20"/>
              </w:rPr>
            </w:pPr>
          </w:p>
        </w:tc>
        <w:tc>
          <w:tcPr>
            <w:tcW w:w="0" w:type="auto"/>
            <w:gridSpan w:val="3"/>
            <w:vAlign w:val="center"/>
            <w:hideMark/>
          </w:tcPr>
          <w:p w14:paraId="5D597DFE" w14:textId="77777777" w:rsidR="00000000" w:rsidRDefault="00A173A8">
            <w:pPr>
              <w:spacing w:after="100"/>
              <w:rPr>
                <w:rFonts w:eastAsia="Times New Roman"/>
                <w:sz w:val="20"/>
                <w:szCs w:val="20"/>
              </w:rPr>
            </w:pPr>
          </w:p>
        </w:tc>
        <w:tc>
          <w:tcPr>
            <w:tcW w:w="0" w:type="auto"/>
            <w:gridSpan w:val="3"/>
            <w:vAlign w:val="center"/>
            <w:hideMark/>
          </w:tcPr>
          <w:p w14:paraId="4D43737B" w14:textId="77777777" w:rsidR="00000000" w:rsidRDefault="00A173A8">
            <w:pPr>
              <w:spacing w:after="100"/>
              <w:rPr>
                <w:rFonts w:eastAsia="Times New Roman"/>
                <w:sz w:val="20"/>
                <w:szCs w:val="20"/>
              </w:rPr>
            </w:pPr>
          </w:p>
        </w:tc>
        <w:tc>
          <w:tcPr>
            <w:tcW w:w="0" w:type="auto"/>
            <w:gridSpan w:val="3"/>
            <w:vAlign w:val="center"/>
            <w:hideMark/>
          </w:tcPr>
          <w:p w14:paraId="2FB21957" w14:textId="77777777" w:rsidR="00000000" w:rsidRDefault="00A173A8">
            <w:pPr>
              <w:spacing w:after="100"/>
              <w:rPr>
                <w:rFonts w:eastAsia="Times New Roman"/>
                <w:sz w:val="20"/>
                <w:szCs w:val="20"/>
              </w:rPr>
            </w:pPr>
          </w:p>
        </w:tc>
        <w:tc>
          <w:tcPr>
            <w:tcW w:w="0" w:type="auto"/>
            <w:gridSpan w:val="3"/>
            <w:vAlign w:val="center"/>
            <w:hideMark/>
          </w:tcPr>
          <w:p w14:paraId="5E82E869" w14:textId="77777777" w:rsidR="00000000" w:rsidRDefault="00A173A8">
            <w:pPr>
              <w:spacing w:after="100"/>
              <w:rPr>
                <w:rFonts w:eastAsia="Times New Roman"/>
                <w:sz w:val="20"/>
                <w:szCs w:val="20"/>
              </w:rPr>
            </w:pPr>
          </w:p>
        </w:tc>
        <w:tc>
          <w:tcPr>
            <w:tcW w:w="0" w:type="auto"/>
            <w:gridSpan w:val="3"/>
            <w:vAlign w:val="center"/>
            <w:hideMark/>
          </w:tcPr>
          <w:p w14:paraId="5F1ADAC3" w14:textId="77777777" w:rsidR="00000000" w:rsidRDefault="00A173A8">
            <w:pPr>
              <w:spacing w:after="100"/>
              <w:rPr>
                <w:rFonts w:eastAsia="Times New Roman"/>
                <w:sz w:val="20"/>
                <w:szCs w:val="20"/>
              </w:rPr>
            </w:pPr>
          </w:p>
        </w:tc>
        <w:tc>
          <w:tcPr>
            <w:tcW w:w="0" w:type="auto"/>
            <w:gridSpan w:val="3"/>
            <w:vAlign w:val="center"/>
            <w:hideMark/>
          </w:tcPr>
          <w:p w14:paraId="244743C8" w14:textId="77777777" w:rsidR="00000000" w:rsidRDefault="00A173A8">
            <w:pPr>
              <w:spacing w:after="100"/>
              <w:rPr>
                <w:rFonts w:eastAsia="Times New Roman"/>
                <w:sz w:val="20"/>
                <w:szCs w:val="20"/>
              </w:rPr>
            </w:pPr>
          </w:p>
        </w:tc>
        <w:tc>
          <w:tcPr>
            <w:tcW w:w="0" w:type="auto"/>
            <w:gridSpan w:val="3"/>
            <w:vAlign w:val="center"/>
            <w:hideMark/>
          </w:tcPr>
          <w:p w14:paraId="5D001A6F" w14:textId="77777777" w:rsidR="00000000" w:rsidRDefault="00A173A8">
            <w:pPr>
              <w:spacing w:after="100"/>
              <w:rPr>
                <w:rFonts w:eastAsia="Times New Roman"/>
                <w:sz w:val="20"/>
                <w:szCs w:val="20"/>
              </w:rPr>
            </w:pPr>
          </w:p>
        </w:tc>
        <w:tc>
          <w:tcPr>
            <w:tcW w:w="0" w:type="auto"/>
            <w:gridSpan w:val="3"/>
            <w:vAlign w:val="center"/>
            <w:hideMark/>
          </w:tcPr>
          <w:p w14:paraId="6802F8CD" w14:textId="77777777" w:rsidR="00000000" w:rsidRDefault="00A173A8">
            <w:pPr>
              <w:spacing w:after="100"/>
              <w:rPr>
                <w:rFonts w:eastAsia="Times New Roman"/>
                <w:sz w:val="20"/>
                <w:szCs w:val="20"/>
              </w:rPr>
            </w:pPr>
          </w:p>
        </w:tc>
        <w:tc>
          <w:tcPr>
            <w:tcW w:w="0" w:type="auto"/>
            <w:gridSpan w:val="3"/>
            <w:vAlign w:val="center"/>
            <w:hideMark/>
          </w:tcPr>
          <w:p w14:paraId="550FC090" w14:textId="77777777" w:rsidR="00000000" w:rsidRDefault="00A173A8">
            <w:pPr>
              <w:spacing w:after="100"/>
              <w:rPr>
                <w:rFonts w:eastAsia="Times New Roman"/>
                <w:sz w:val="20"/>
                <w:szCs w:val="20"/>
              </w:rPr>
            </w:pPr>
          </w:p>
        </w:tc>
        <w:tc>
          <w:tcPr>
            <w:tcW w:w="0" w:type="auto"/>
            <w:gridSpan w:val="3"/>
            <w:vAlign w:val="center"/>
            <w:hideMark/>
          </w:tcPr>
          <w:p w14:paraId="585B4A53" w14:textId="77777777" w:rsidR="00000000" w:rsidRDefault="00A173A8">
            <w:pPr>
              <w:spacing w:after="100"/>
              <w:rPr>
                <w:rFonts w:eastAsia="Times New Roman"/>
                <w:sz w:val="20"/>
                <w:szCs w:val="20"/>
              </w:rPr>
            </w:pPr>
          </w:p>
        </w:tc>
        <w:tc>
          <w:tcPr>
            <w:tcW w:w="0" w:type="auto"/>
            <w:gridSpan w:val="3"/>
            <w:vAlign w:val="center"/>
            <w:hideMark/>
          </w:tcPr>
          <w:p w14:paraId="413F2F37" w14:textId="77777777" w:rsidR="00000000" w:rsidRDefault="00A173A8">
            <w:pPr>
              <w:spacing w:after="100"/>
              <w:rPr>
                <w:rFonts w:eastAsia="Times New Roman"/>
                <w:sz w:val="20"/>
                <w:szCs w:val="20"/>
              </w:rPr>
            </w:pPr>
          </w:p>
        </w:tc>
        <w:tc>
          <w:tcPr>
            <w:tcW w:w="0" w:type="auto"/>
            <w:gridSpan w:val="3"/>
            <w:vAlign w:val="center"/>
            <w:hideMark/>
          </w:tcPr>
          <w:p w14:paraId="30031B63" w14:textId="77777777" w:rsidR="00000000" w:rsidRDefault="00A173A8">
            <w:pPr>
              <w:spacing w:after="100"/>
              <w:rPr>
                <w:rFonts w:eastAsia="Times New Roman"/>
                <w:sz w:val="20"/>
                <w:szCs w:val="20"/>
              </w:rPr>
            </w:pPr>
          </w:p>
        </w:tc>
        <w:tc>
          <w:tcPr>
            <w:tcW w:w="0" w:type="auto"/>
            <w:gridSpan w:val="3"/>
            <w:vAlign w:val="center"/>
            <w:hideMark/>
          </w:tcPr>
          <w:p w14:paraId="023E669B" w14:textId="77777777" w:rsidR="00000000" w:rsidRDefault="00A173A8">
            <w:pPr>
              <w:spacing w:after="100"/>
              <w:rPr>
                <w:rFonts w:eastAsia="Times New Roman"/>
                <w:sz w:val="20"/>
                <w:szCs w:val="20"/>
              </w:rPr>
            </w:pPr>
          </w:p>
        </w:tc>
        <w:tc>
          <w:tcPr>
            <w:tcW w:w="0" w:type="auto"/>
            <w:gridSpan w:val="3"/>
            <w:vAlign w:val="center"/>
            <w:hideMark/>
          </w:tcPr>
          <w:p w14:paraId="2EF30048" w14:textId="77777777" w:rsidR="00000000" w:rsidRDefault="00A173A8">
            <w:pPr>
              <w:spacing w:after="100"/>
              <w:rPr>
                <w:rFonts w:eastAsia="Times New Roman"/>
                <w:sz w:val="20"/>
                <w:szCs w:val="20"/>
              </w:rPr>
            </w:pPr>
          </w:p>
        </w:tc>
      </w:tr>
      <w:tr w:rsidR="00000000" w14:paraId="754907A3" w14:textId="77777777">
        <w:trPr>
          <w:divId w:val="1616132076"/>
        </w:trPr>
        <w:tc>
          <w:tcPr>
            <w:tcW w:w="0" w:type="auto"/>
            <w:gridSpan w:val="3"/>
            <w:vAlign w:val="center"/>
            <w:hideMark/>
          </w:tcPr>
          <w:p w14:paraId="36F78B22" w14:textId="77777777" w:rsidR="00000000" w:rsidRDefault="00A173A8">
            <w:pPr>
              <w:spacing w:after="100"/>
              <w:rPr>
                <w:rFonts w:eastAsia="Times New Roman"/>
                <w:sz w:val="20"/>
                <w:szCs w:val="20"/>
              </w:rPr>
            </w:pPr>
          </w:p>
        </w:tc>
        <w:tc>
          <w:tcPr>
            <w:tcW w:w="0" w:type="auto"/>
            <w:gridSpan w:val="3"/>
            <w:vAlign w:val="center"/>
            <w:hideMark/>
          </w:tcPr>
          <w:p w14:paraId="51A172FD" w14:textId="77777777" w:rsidR="00000000" w:rsidRDefault="00A173A8">
            <w:pPr>
              <w:spacing w:after="100"/>
              <w:rPr>
                <w:rFonts w:eastAsia="Times New Roman"/>
                <w:sz w:val="20"/>
                <w:szCs w:val="20"/>
              </w:rPr>
            </w:pPr>
          </w:p>
        </w:tc>
        <w:tc>
          <w:tcPr>
            <w:tcW w:w="0" w:type="auto"/>
            <w:gridSpan w:val="3"/>
            <w:vAlign w:val="center"/>
            <w:hideMark/>
          </w:tcPr>
          <w:p w14:paraId="39C5335F" w14:textId="77777777" w:rsidR="00000000" w:rsidRDefault="00A173A8">
            <w:pPr>
              <w:spacing w:after="100"/>
              <w:rPr>
                <w:rFonts w:eastAsia="Times New Roman"/>
                <w:sz w:val="20"/>
                <w:szCs w:val="20"/>
              </w:rPr>
            </w:pPr>
          </w:p>
        </w:tc>
        <w:tc>
          <w:tcPr>
            <w:tcW w:w="0" w:type="auto"/>
            <w:gridSpan w:val="3"/>
            <w:vAlign w:val="center"/>
            <w:hideMark/>
          </w:tcPr>
          <w:p w14:paraId="5D5086B9" w14:textId="77777777" w:rsidR="00000000" w:rsidRDefault="00A173A8">
            <w:pPr>
              <w:spacing w:after="100"/>
              <w:rPr>
                <w:rFonts w:eastAsia="Times New Roman"/>
                <w:sz w:val="20"/>
                <w:szCs w:val="20"/>
              </w:rPr>
            </w:pPr>
          </w:p>
        </w:tc>
        <w:tc>
          <w:tcPr>
            <w:tcW w:w="0" w:type="auto"/>
            <w:gridSpan w:val="3"/>
            <w:vAlign w:val="center"/>
            <w:hideMark/>
          </w:tcPr>
          <w:p w14:paraId="754D3E6C" w14:textId="77777777" w:rsidR="00000000" w:rsidRDefault="00A173A8">
            <w:pPr>
              <w:spacing w:after="100"/>
              <w:rPr>
                <w:rFonts w:eastAsia="Times New Roman"/>
                <w:sz w:val="20"/>
                <w:szCs w:val="20"/>
              </w:rPr>
            </w:pPr>
          </w:p>
        </w:tc>
        <w:tc>
          <w:tcPr>
            <w:tcW w:w="0" w:type="auto"/>
            <w:gridSpan w:val="3"/>
            <w:vAlign w:val="center"/>
            <w:hideMark/>
          </w:tcPr>
          <w:p w14:paraId="2F609F8F" w14:textId="77777777" w:rsidR="00000000" w:rsidRDefault="00A173A8">
            <w:pPr>
              <w:spacing w:after="100"/>
              <w:rPr>
                <w:rFonts w:eastAsia="Times New Roman"/>
                <w:sz w:val="20"/>
                <w:szCs w:val="20"/>
              </w:rPr>
            </w:pPr>
          </w:p>
        </w:tc>
        <w:tc>
          <w:tcPr>
            <w:tcW w:w="0" w:type="auto"/>
            <w:gridSpan w:val="3"/>
            <w:vAlign w:val="center"/>
            <w:hideMark/>
          </w:tcPr>
          <w:p w14:paraId="28D60133" w14:textId="77777777" w:rsidR="00000000" w:rsidRDefault="00A173A8">
            <w:pPr>
              <w:spacing w:after="100"/>
              <w:rPr>
                <w:rFonts w:eastAsia="Times New Roman"/>
                <w:sz w:val="20"/>
                <w:szCs w:val="20"/>
              </w:rPr>
            </w:pPr>
          </w:p>
        </w:tc>
        <w:tc>
          <w:tcPr>
            <w:tcW w:w="0" w:type="auto"/>
            <w:gridSpan w:val="3"/>
            <w:vAlign w:val="center"/>
            <w:hideMark/>
          </w:tcPr>
          <w:p w14:paraId="34F8C99C" w14:textId="77777777" w:rsidR="00000000" w:rsidRDefault="00A173A8">
            <w:pPr>
              <w:spacing w:after="100"/>
              <w:rPr>
                <w:rFonts w:eastAsia="Times New Roman"/>
                <w:sz w:val="20"/>
                <w:szCs w:val="20"/>
              </w:rPr>
            </w:pPr>
          </w:p>
        </w:tc>
        <w:tc>
          <w:tcPr>
            <w:tcW w:w="0" w:type="auto"/>
            <w:gridSpan w:val="3"/>
            <w:vAlign w:val="center"/>
            <w:hideMark/>
          </w:tcPr>
          <w:p w14:paraId="475B3578" w14:textId="77777777" w:rsidR="00000000" w:rsidRDefault="00A173A8">
            <w:pPr>
              <w:spacing w:after="100"/>
              <w:rPr>
                <w:rFonts w:eastAsia="Times New Roman"/>
                <w:sz w:val="20"/>
                <w:szCs w:val="20"/>
              </w:rPr>
            </w:pPr>
          </w:p>
        </w:tc>
        <w:tc>
          <w:tcPr>
            <w:tcW w:w="0" w:type="auto"/>
            <w:gridSpan w:val="3"/>
            <w:vAlign w:val="center"/>
            <w:hideMark/>
          </w:tcPr>
          <w:p w14:paraId="111F2798" w14:textId="77777777" w:rsidR="00000000" w:rsidRDefault="00A173A8">
            <w:pPr>
              <w:spacing w:after="100"/>
              <w:rPr>
                <w:rFonts w:eastAsia="Times New Roman"/>
                <w:sz w:val="20"/>
                <w:szCs w:val="20"/>
              </w:rPr>
            </w:pPr>
          </w:p>
        </w:tc>
        <w:tc>
          <w:tcPr>
            <w:tcW w:w="0" w:type="auto"/>
            <w:gridSpan w:val="3"/>
            <w:vAlign w:val="center"/>
            <w:hideMark/>
          </w:tcPr>
          <w:p w14:paraId="733EB461" w14:textId="77777777" w:rsidR="00000000" w:rsidRDefault="00A173A8">
            <w:pPr>
              <w:spacing w:after="100"/>
              <w:rPr>
                <w:rFonts w:eastAsia="Times New Roman"/>
                <w:sz w:val="20"/>
                <w:szCs w:val="20"/>
              </w:rPr>
            </w:pPr>
          </w:p>
        </w:tc>
        <w:tc>
          <w:tcPr>
            <w:tcW w:w="0" w:type="auto"/>
            <w:gridSpan w:val="3"/>
            <w:vAlign w:val="center"/>
            <w:hideMark/>
          </w:tcPr>
          <w:p w14:paraId="479AD5FD" w14:textId="77777777" w:rsidR="00000000" w:rsidRDefault="00A173A8">
            <w:pPr>
              <w:spacing w:after="100"/>
              <w:rPr>
                <w:rFonts w:eastAsia="Times New Roman"/>
                <w:sz w:val="20"/>
                <w:szCs w:val="20"/>
              </w:rPr>
            </w:pPr>
          </w:p>
        </w:tc>
        <w:tc>
          <w:tcPr>
            <w:tcW w:w="0" w:type="auto"/>
            <w:gridSpan w:val="3"/>
            <w:vAlign w:val="center"/>
            <w:hideMark/>
          </w:tcPr>
          <w:p w14:paraId="1A10225B" w14:textId="77777777" w:rsidR="00000000" w:rsidRDefault="00A173A8">
            <w:pPr>
              <w:spacing w:after="100"/>
              <w:rPr>
                <w:rFonts w:eastAsia="Times New Roman"/>
                <w:sz w:val="20"/>
                <w:szCs w:val="20"/>
              </w:rPr>
            </w:pPr>
          </w:p>
        </w:tc>
        <w:tc>
          <w:tcPr>
            <w:tcW w:w="0" w:type="auto"/>
            <w:gridSpan w:val="3"/>
            <w:vAlign w:val="center"/>
            <w:hideMark/>
          </w:tcPr>
          <w:p w14:paraId="7802AF8F" w14:textId="77777777" w:rsidR="00000000" w:rsidRDefault="00A173A8">
            <w:pPr>
              <w:spacing w:after="100"/>
              <w:rPr>
                <w:rFonts w:eastAsia="Times New Roman"/>
                <w:sz w:val="20"/>
                <w:szCs w:val="20"/>
              </w:rPr>
            </w:pPr>
          </w:p>
        </w:tc>
        <w:tc>
          <w:tcPr>
            <w:tcW w:w="0" w:type="auto"/>
            <w:gridSpan w:val="3"/>
            <w:vAlign w:val="center"/>
            <w:hideMark/>
          </w:tcPr>
          <w:p w14:paraId="1A15EB20" w14:textId="77777777" w:rsidR="00000000" w:rsidRDefault="00A173A8">
            <w:pPr>
              <w:spacing w:after="100"/>
              <w:rPr>
                <w:rFonts w:eastAsia="Times New Roman"/>
                <w:sz w:val="20"/>
                <w:szCs w:val="20"/>
              </w:rPr>
            </w:pPr>
          </w:p>
        </w:tc>
        <w:tc>
          <w:tcPr>
            <w:tcW w:w="0" w:type="auto"/>
            <w:gridSpan w:val="3"/>
            <w:vAlign w:val="center"/>
            <w:hideMark/>
          </w:tcPr>
          <w:p w14:paraId="55E9ECEF" w14:textId="77777777" w:rsidR="00000000" w:rsidRDefault="00A173A8">
            <w:pPr>
              <w:spacing w:after="100"/>
              <w:rPr>
                <w:rFonts w:eastAsia="Times New Roman"/>
                <w:sz w:val="20"/>
                <w:szCs w:val="20"/>
              </w:rPr>
            </w:pPr>
          </w:p>
        </w:tc>
        <w:tc>
          <w:tcPr>
            <w:tcW w:w="0" w:type="auto"/>
            <w:gridSpan w:val="3"/>
            <w:vAlign w:val="center"/>
            <w:hideMark/>
          </w:tcPr>
          <w:p w14:paraId="0A338384" w14:textId="77777777" w:rsidR="00000000" w:rsidRDefault="00A173A8">
            <w:pPr>
              <w:spacing w:after="100"/>
              <w:rPr>
                <w:rFonts w:eastAsia="Times New Roman"/>
                <w:sz w:val="20"/>
                <w:szCs w:val="20"/>
              </w:rPr>
            </w:pPr>
          </w:p>
        </w:tc>
      </w:tr>
      <w:tr w:rsidR="00A173A8" w14:paraId="6C9C7145" w14:textId="77777777">
        <w:trPr>
          <w:divId w:val="1616132076"/>
        </w:trPr>
        <w:tc>
          <w:tcPr>
            <w:tcW w:w="0" w:type="auto"/>
            <w:gridSpan w:val="3"/>
            <w:shd w:val="clear" w:color="auto" w:fill="FFFFFF"/>
            <w:tcMar>
              <w:top w:w="30" w:type="dxa"/>
              <w:left w:w="20" w:type="dxa"/>
              <w:bottom w:w="30" w:type="dxa"/>
              <w:right w:w="20" w:type="dxa"/>
            </w:tcMar>
            <w:vAlign w:val="bottom"/>
            <w:hideMark/>
          </w:tcPr>
          <w:p w14:paraId="0DB6EA42" w14:textId="77777777" w:rsidR="00000000" w:rsidRDefault="00A173A8">
            <w:pPr>
              <w:spacing w:after="100"/>
              <w:rPr>
                <w:rFonts w:eastAsia="Times New Roman"/>
              </w:rPr>
            </w:pPr>
            <w:r>
              <w:rPr>
                <w:rFonts w:eastAsia="Times New Roman"/>
                <w:color w:val="000000"/>
                <w:sz w:val="16"/>
                <w:szCs w:val="16"/>
              </w:rPr>
              <w:t>Balance as of March 31, 2022</w:t>
            </w:r>
          </w:p>
        </w:tc>
        <w:tc>
          <w:tcPr>
            <w:tcW w:w="0" w:type="auto"/>
            <w:gridSpan w:val="3"/>
            <w:shd w:val="clear" w:color="auto" w:fill="FFFFFF"/>
            <w:tcMar>
              <w:top w:w="0" w:type="dxa"/>
              <w:left w:w="20" w:type="dxa"/>
              <w:bottom w:w="0" w:type="dxa"/>
              <w:right w:w="20" w:type="dxa"/>
            </w:tcMar>
            <w:vAlign w:val="center"/>
            <w:hideMark/>
          </w:tcPr>
          <w:p w14:paraId="3D45AB23"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4C32A4B"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E3A4B26" w14:textId="77777777" w:rsidR="00000000" w:rsidRDefault="00A173A8">
            <w:pPr>
              <w:spacing w:after="100"/>
              <w:jc w:val="right"/>
              <w:rPr>
                <w:rFonts w:eastAsia="Times New Roman"/>
              </w:rPr>
            </w:pPr>
            <w:r>
              <w:rPr>
                <w:rFonts w:eastAsia="Times New Roman"/>
                <w:color w:val="000000"/>
                <w:sz w:val="16"/>
                <w:szCs w:val="16"/>
              </w:rPr>
              <w:t>7,968 </w:t>
            </w:r>
          </w:p>
        </w:tc>
        <w:tc>
          <w:tcPr>
            <w:tcW w:w="0" w:type="auto"/>
            <w:shd w:val="clear" w:color="auto" w:fill="FFFFFF"/>
            <w:tcMar>
              <w:top w:w="30" w:type="dxa"/>
              <w:left w:w="0" w:type="dxa"/>
              <w:bottom w:w="30" w:type="dxa"/>
              <w:right w:w="20" w:type="dxa"/>
            </w:tcMar>
            <w:vAlign w:val="center"/>
            <w:hideMark/>
          </w:tcPr>
          <w:p w14:paraId="5D61CAB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ACD7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299E351"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4B26906" w14:textId="77777777" w:rsidR="00000000" w:rsidRDefault="00A173A8">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center"/>
            <w:hideMark/>
          </w:tcPr>
          <w:p w14:paraId="5B73F9C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41FEAB"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DD3A283"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B0E64DD" w14:textId="77777777" w:rsidR="00000000" w:rsidRDefault="00A173A8">
            <w:pPr>
              <w:spacing w:after="100"/>
              <w:jc w:val="right"/>
              <w:rPr>
                <w:rFonts w:eastAsia="Times New Roman"/>
              </w:rPr>
            </w:pPr>
            <w:r>
              <w:rPr>
                <w:rFonts w:eastAsia="Times New Roman"/>
                <w:color w:val="000000"/>
                <w:sz w:val="16"/>
                <w:szCs w:val="16"/>
              </w:rPr>
              <w:t>8,280 </w:t>
            </w:r>
          </w:p>
        </w:tc>
        <w:tc>
          <w:tcPr>
            <w:tcW w:w="0" w:type="auto"/>
            <w:shd w:val="clear" w:color="auto" w:fill="FFFFFF"/>
            <w:tcMar>
              <w:top w:w="30" w:type="dxa"/>
              <w:left w:w="0" w:type="dxa"/>
              <w:bottom w:w="30" w:type="dxa"/>
              <w:right w:w="20" w:type="dxa"/>
            </w:tcMar>
            <w:vAlign w:val="center"/>
            <w:hideMark/>
          </w:tcPr>
          <w:p w14:paraId="3240541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5EB9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78BCA68"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8E0EDB8" w14:textId="77777777" w:rsidR="00000000" w:rsidRDefault="00A173A8">
            <w:pPr>
              <w:spacing w:after="100"/>
              <w:jc w:val="right"/>
              <w:rPr>
                <w:rFonts w:eastAsia="Times New Roman"/>
              </w:rPr>
            </w:pPr>
            <w:r>
              <w:rPr>
                <w:rFonts w:eastAsia="Times New Roman"/>
                <w:color w:val="000000"/>
                <w:sz w:val="16"/>
                <w:szCs w:val="16"/>
              </w:rPr>
              <w:t>1,852 </w:t>
            </w:r>
          </w:p>
        </w:tc>
        <w:tc>
          <w:tcPr>
            <w:tcW w:w="0" w:type="auto"/>
            <w:shd w:val="clear" w:color="auto" w:fill="FFFFFF"/>
            <w:tcMar>
              <w:top w:w="30" w:type="dxa"/>
              <w:left w:w="0" w:type="dxa"/>
              <w:bottom w:w="30" w:type="dxa"/>
              <w:right w:w="20" w:type="dxa"/>
            </w:tcMar>
            <w:vAlign w:val="center"/>
            <w:hideMark/>
          </w:tcPr>
          <w:p w14:paraId="580C81E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E1A2B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52C07BE"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531E5F5" w14:textId="77777777" w:rsidR="00000000" w:rsidRDefault="00A173A8">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center"/>
            <w:hideMark/>
          </w:tcPr>
          <w:p w14:paraId="364FAA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F949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2D40ED1"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C4936FA" w14:textId="77777777" w:rsidR="00000000" w:rsidRDefault="00A173A8">
            <w:pPr>
              <w:spacing w:after="100"/>
              <w:jc w:val="right"/>
              <w:rPr>
                <w:rFonts w:eastAsia="Times New Roman"/>
              </w:rPr>
            </w:pPr>
            <w:r>
              <w:rPr>
                <w:rFonts w:eastAsia="Times New Roman"/>
                <w:color w:val="000000"/>
                <w:sz w:val="16"/>
                <w:szCs w:val="16"/>
              </w:rPr>
              <w:t>1,902 </w:t>
            </w:r>
          </w:p>
        </w:tc>
        <w:tc>
          <w:tcPr>
            <w:tcW w:w="0" w:type="auto"/>
            <w:shd w:val="clear" w:color="auto" w:fill="FFFFFF"/>
            <w:tcMar>
              <w:top w:w="30" w:type="dxa"/>
              <w:left w:w="0" w:type="dxa"/>
              <w:bottom w:w="30" w:type="dxa"/>
              <w:right w:w="20" w:type="dxa"/>
            </w:tcMar>
            <w:vAlign w:val="center"/>
            <w:hideMark/>
          </w:tcPr>
          <w:p w14:paraId="0FCEE08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87538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89B873A"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19FB695" w14:textId="77777777" w:rsidR="00000000" w:rsidRDefault="00A173A8">
            <w:pPr>
              <w:spacing w:after="100"/>
              <w:jc w:val="right"/>
              <w:rPr>
                <w:rFonts w:eastAsia="Times New Roman"/>
              </w:rPr>
            </w:pPr>
            <w:r>
              <w:rPr>
                <w:rFonts w:eastAsia="Times New Roman"/>
                <w:color w:val="000000"/>
                <w:sz w:val="16"/>
                <w:szCs w:val="16"/>
              </w:rPr>
              <w:t>1,126 </w:t>
            </w:r>
          </w:p>
        </w:tc>
        <w:tc>
          <w:tcPr>
            <w:tcW w:w="0" w:type="auto"/>
            <w:shd w:val="clear" w:color="auto" w:fill="FFFFFF"/>
            <w:tcMar>
              <w:top w:w="30" w:type="dxa"/>
              <w:left w:w="0" w:type="dxa"/>
              <w:bottom w:w="30" w:type="dxa"/>
              <w:right w:w="20" w:type="dxa"/>
            </w:tcMar>
            <w:vAlign w:val="center"/>
            <w:hideMark/>
          </w:tcPr>
          <w:p w14:paraId="672C250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47E0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2B33EEA"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1815A39" w14:textId="77777777" w:rsidR="00000000" w:rsidRDefault="00A173A8">
            <w:pPr>
              <w:spacing w:after="100"/>
              <w:jc w:val="right"/>
              <w:rPr>
                <w:rFonts w:eastAsia="Times New Roman"/>
              </w:rPr>
            </w:pPr>
            <w:r>
              <w:rPr>
                <w:rFonts w:eastAsia="Times New Roman"/>
                <w:color w:val="000000"/>
                <w:sz w:val="16"/>
                <w:szCs w:val="16"/>
              </w:rPr>
              <w:t>11,308 </w:t>
            </w:r>
          </w:p>
        </w:tc>
        <w:tc>
          <w:tcPr>
            <w:tcW w:w="0" w:type="auto"/>
            <w:shd w:val="clear" w:color="auto" w:fill="FFFFFF"/>
            <w:tcMar>
              <w:top w:w="30" w:type="dxa"/>
              <w:left w:w="0" w:type="dxa"/>
              <w:bottom w:w="30" w:type="dxa"/>
              <w:right w:w="20" w:type="dxa"/>
            </w:tcMar>
            <w:vAlign w:val="center"/>
            <w:hideMark/>
          </w:tcPr>
          <w:p w14:paraId="5A6EED8F" w14:textId="77777777" w:rsidR="00000000" w:rsidRDefault="00A173A8">
            <w:pPr>
              <w:spacing w:after="100"/>
              <w:jc w:val="right"/>
              <w:rPr>
                <w:rFonts w:eastAsia="Times New Roman"/>
              </w:rPr>
            </w:pPr>
          </w:p>
        </w:tc>
      </w:tr>
      <w:tr w:rsidR="00000000" w14:paraId="2EDF4CCA" w14:textId="77777777">
        <w:trPr>
          <w:divId w:val="1616132076"/>
        </w:trPr>
        <w:tc>
          <w:tcPr>
            <w:tcW w:w="0" w:type="auto"/>
            <w:gridSpan w:val="3"/>
            <w:shd w:val="clear" w:color="auto" w:fill="CCEEFF"/>
            <w:tcMar>
              <w:top w:w="30" w:type="dxa"/>
              <w:left w:w="20" w:type="dxa"/>
              <w:bottom w:w="30" w:type="dxa"/>
              <w:right w:w="20" w:type="dxa"/>
            </w:tcMar>
            <w:vAlign w:val="bottom"/>
            <w:hideMark/>
          </w:tcPr>
          <w:p w14:paraId="48B26611" w14:textId="77777777" w:rsidR="00000000" w:rsidRDefault="00A173A8">
            <w:pPr>
              <w:spacing w:after="100"/>
              <w:divId w:val="246378599"/>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7F0279B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D04054C" w14:textId="77777777" w:rsidR="00000000" w:rsidRDefault="00A173A8">
            <w:pPr>
              <w:spacing w:after="100"/>
              <w:jc w:val="right"/>
              <w:rPr>
                <w:rFonts w:eastAsia="Times New Roman"/>
              </w:rPr>
            </w:pPr>
            <w:r>
              <w:rPr>
                <w:rFonts w:eastAsia="Times New Roman"/>
                <w:b/>
                <w:bCs/>
                <w:color w:val="000000"/>
                <w:sz w:val="16"/>
                <w:szCs w:val="16"/>
              </w:rPr>
              <w:t>(920)</w:t>
            </w:r>
          </w:p>
        </w:tc>
        <w:tc>
          <w:tcPr>
            <w:tcW w:w="0" w:type="auto"/>
            <w:shd w:val="clear" w:color="auto" w:fill="CCEEFF"/>
            <w:tcMar>
              <w:top w:w="30" w:type="dxa"/>
              <w:left w:w="0" w:type="dxa"/>
              <w:bottom w:w="30" w:type="dxa"/>
              <w:right w:w="20" w:type="dxa"/>
            </w:tcMar>
            <w:vAlign w:val="center"/>
            <w:hideMark/>
          </w:tcPr>
          <w:p w14:paraId="3E4C07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62ED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CF65CB" w14:textId="77777777" w:rsidR="00000000" w:rsidRDefault="00A173A8">
            <w:pPr>
              <w:spacing w:after="100"/>
              <w:jc w:val="right"/>
              <w:rPr>
                <w:rFonts w:eastAsia="Times New Roman"/>
              </w:rPr>
            </w:pPr>
            <w:r>
              <w:rPr>
                <w:rFonts w:eastAsia="Times New Roman"/>
                <w:b/>
                <w:bCs/>
                <w:color w:val="000000"/>
                <w:sz w:val="16"/>
                <w:szCs w:val="16"/>
              </w:rPr>
              <w:t>(89)</w:t>
            </w:r>
          </w:p>
        </w:tc>
        <w:tc>
          <w:tcPr>
            <w:tcW w:w="0" w:type="auto"/>
            <w:shd w:val="clear" w:color="auto" w:fill="CCEEFF"/>
            <w:tcMar>
              <w:top w:w="30" w:type="dxa"/>
              <w:left w:w="0" w:type="dxa"/>
              <w:bottom w:w="30" w:type="dxa"/>
              <w:right w:w="20" w:type="dxa"/>
            </w:tcMar>
            <w:vAlign w:val="center"/>
            <w:hideMark/>
          </w:tcPr>
          <w:p w14:paraId="2380CA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2571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64C9B5" w14:textId="77777777" w:rsidR="00000000" w:rsidRDefault="00A173A8">
            <w:pPr>
              <w:spacing w:after="100"/>
              <w:jc w:val="right"/>
              <w:rPr>
                <w:rFonts w:eastAsia="Times New Roman"/>
              </w:rPr>
            </w:pPr>
            <w:r>
              <w:rPr>
                <w:rFonts w:eastAsia="Times New Roman"/>
                <w:b/>
                <w:bCs/>
                <w:color w:val="000000"/>
                <w:sz w:val="16"/>
                <w:szCs w:val="16"/>
              </w:rPr>
              <w:t>(1,009)</w:t>
            </w:r>
          </w:p>
        </w:tc>
        <w:tc>
          <w:tcPr>
            <w:tcW w:w="0" w:type="auto"/>
            <w:shd w:val="clear" w:color="auto" w:fill="CCEEFF"/>
            <w:tcMar>
              <w:top w:w="30" w:type="dxa"/>
              <w:left w:w="0" w:type="dxa"/>
              <w:bottom w:w="30" w:type="dxa"/>
              <w:right w:w="20" w:type="dxa"/>
            </w:tcMar>
            <w:vAlign w:val="center"/>
            <w:hideMark/>
          </w:tcPr>
          <w:p w14:paraId="639AD3E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F689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1CE48A" w14:textId="77777777" w:rsidR="00000000" w:rsidRDefault="00A173A8">
            <w:pPr>
              <w:spacing w:after="100"/>
              <w:jc w:val="right"/>
              <w:rPr>
                <w:rFonts w:eastAsia="Times New Roman"/>
              </w:rPr>
            </w:pPr>
            <w:r>
              <w:rPr>
                <w:rFonts w:eastAsia="Times New Roman"/>
                <w:b/>
                <w:bCs/>
                <w:color w:val="000000"/>
                <w:sz w:val="16"/>
                <w:szCs w:val="16"/>
              </w:rPr>
              <w:t>(311)</w:t>
            </w:r>
          </w:p>
        </w:tc>
        <w:tc>
          <w:tcPr>
            <w:tcW w:w="0" w:type="auto"/>
            <w:shd w:val="clear" w:color="auto" w:fill="CCEEFF"/>
            <w:tcMar>
              <w:top w:w="30" w:type="dxa"/>
              <w:left w:w="0" w:type="dxa"/>
              <w:bottom w:w="30" w:type="dxa"/>
              <w:right w:w="20" w:type="dxa"/>
            </w:tcMar>
            <w:vAlign w:val="center"/>
            <w:hideMark/>
          </w:tcPr>
          <w:p w14:paraId="7E7860F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DC87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704F20" w14:textId="77777777" w:rsidR="00000000" w:rsidRDefault="00A173A8">
            <w:pPr>
              <w:spacing w:after="100"/>
              <w:jc w:val="right"/>
              <w:rPr>
                <w:rFonts w:eastAsia="Times New Roman"/>
              </w:rPr>
            </w:pPr>
            <w:r>
              <w:rPr>
                <w:rFonts w:eastAsia="Times New Roman"/>
                <w:b/>
                <w:bCs/>
                <w:color w:val="000000"/>
                <w:sz w:val="16"/>
                <w:szCs w:val="16"/>
              </w:rPr>
              <w:t>(20)</w:t>
            </w:r>
          </w:p>
        </w:tc>
        <w:tc>
          <w:tcPr>
            <w:tcW w:w="0" w:type="auto"/>
            <w:shd w:val="clear" w:color="auto" w:fill="CCEEFF"/>
            <w:tcMar>
              <w:top w:w="30" w:type="dxa"/>
              <w:left w:w="0" w:type="dxa"/>
              <w:bottom w:w="30" w:type="dxa"/>
              <w:right w:w="20" w:type="dxa"/>
            </w:tcMar>
            <w:vAlign w:val="center"/>
            <w:hideMark/>
          </w:tcPr>
          <w:p w14:paraId="2D986C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9A3B7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E83359" w14:textId="77777777" w:rsidR="00000000" w:rsidRDefault="00A173A8">
            <w:pPr>
              <w:spacing w:after="100"/>
              <w:jc w:val="right"/>
              <w:rPr>
                <w:rFonts w:eastAsia="Times New Roman"/>
              </w:rPr>
            </w:pPr>
            <w:r>
              <w:rPr>
                <w:rFonts w:eastAsia="Times New Roman"/>
                <w:b/>
                <w:bCs/>
                <w:color w:val="000000"/>
                <w:sz w:val="16"/>
                <w:szCs w:val="16"/>
              </w:rPr>
              <w:t>(331)</w:t>
            </w:r>
          </w:p>
        </w:tc>
        <w:tc>
          <w:tcPr>
            <w:tcW w:w="0" w:type="auto"/>
            <w:shd w:val="clear" w:color="auto" w:fill="CCEEFF"/>
            <w:tcMar>
              <w:top w:w="30" w:type="dxa"/>
              <w:left w:w="0" w:type="dxa"/>
              <w:bottom w:w="30" w:type="dxa"/>
              <w:right w:w="20" w:type="dxa"/>
            </w:tcMar>
            <w:vAlign w:val="center"/>
            <w:hideMark/>
          </w:tcPr>
          <w:p w14:paraId="4506C57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2EC1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B89B47" w14:textId="77777777" w:rsidR="00000000" w:rsidRDefault="00A173A8">
            <w:pPr>
              <w:spacing w:after="100"/>
              <w:jc w:val="right"/>
              <w:rPr>
                <w:rFonts w:eastAsia="Times New Roman"/>
              </w:rPr>
            </w:pPr>
            <w:r>
              <w:rPr>
                <w:rFonts w:eastAsia="Times New Roman"/>
                <w:b/>
                <w:bCs/>
                <w:color w:val="000000"/>
                <w:sz w:val="16"/>
                <w:szCs w:val="16"/>
              </w:rPr>
              <w:t>(43)</w:t>
            </w:r>
          </w:p>
        </w:tc>
        <w:tc>
          <w:tcPr>
            <w:tcW w:w="0" w:type="auto"/>
            <w:shd w:val="clear" w:color="auto" w:fill="CCEEFF"/>
            <w:tcMar>
              <w:top w:w="30" w:type="dxa"/>
              <w:left w:w="0" w:type="dxa"/>
              <w:bottom w:w="30" w:type="dxa"/>
              <w:right w:w="20" w:type="dxa"/>
            </w:tcMar>
            <w:vAlign w:val="center"/>
            <w:hideMark/>
          </w:tcPr>
          <w:p w14:paraId="4A29D9F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BDD8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8D729B" w14:textId="77777777" w:rsidR="00000000" w:rsidRDefault="00A173A8">
            <w:pPr>
              <w:spacing w:after="100"/>
              <w:jc w:val="right"/>
              <w:rPr>
                <w:rFonts w:eastAsia="Times New Roman"/>
              </w:rPr>
            </w:pPr>
            <w:r>
              <w:rPr>
                <w:rFonts w:eastAsia="Times New Roman"/>
                <w:b/>
                <w:bCs/>
                <w:color w:val="000000"/>
                <w:sz w:val="16"/>
                <w:szCs w:val="16"/>
              </w:rPr>
              <w:t>(1,383)</w:t>
            </w:r>
          </w:p>
        </w:tc>
        <w:tc>
          <w:tcPr>
            <w:tcW w:w="0" w:type="auto"/>
            <w:shd w:val="clear" w:color="auto" w:fill="CCEEFF"/>
            <w:tcMar>
              <w:top w:w="30" w:type="dxa"/>
              <w:left w:w="0" w:type="dxa"/>
              <w:bottom w:w="30" w:type="dxa"/>
              <w:right w:w="20" w:type="dxa"/>
            </w:tcMar>
            <w:vAlign w:val="center"/>
            <w:hideMark/>
          </w:tcPr>
          <w:p w14:paraId="7D728EDA" w14:textId="77777777" w:rsidR="00000000" w:rsidRDefault="00A173A8">
            <w:pPr>
              <w:spacing w:after="100"/>
              <w:jc w:val="right"/>
              <w:rPr>
                <w:rFonts w:eastAsia="Times New Roman"/>
              </w:rPr>
            </w:pPr>
          </w:p>
        </w:tc>
      </w:tr>
      <w:tr w:rsidR="00000000" w14:paraId="3767BD0B" w14:textId="77777777">
        <w:trPr>
          <w:divId w:val="1616132076"/>
        </w:trPr>
        <w:tc>
          <w:tcPr>
            <w:tcW w:w="0" w:type="auto"/>
            <w:gridSpan w:val="3"/>
            <w:shd w:val="clear" w:color="auto" w:fill="FFFFFF"/>
            <w:tcMar>
              <w:top w:w="30" w:type="dxa"/>
              <w:left w:w="20" w:type="dxa"/>
              <w:bottom w:w="30" w:type="dxa"/>
              <w:right w:w="20" w:type="dxa"/>
            </w:tcMar>
            <w:vAlign w:val="bottom"/>
            <w:hideMark/>
          </w:tcPr>
          <w:p w14:paraId="4791A425" w14:textId="77777777" w:rsidR="00000000" w:rsidRDefault="00A173A8">
            <w:pPr>
              <w:spacing w:after="100"/>
              <w:divId w:val="1526016904"/>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3952F336"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E493B4E" w14:textId="77777777" w:rsidR="00000000" w:rsidRDefault="00A173A8">
            <w:pPr>
              <w:spacing w:after="100"/>
              <w:jc w:val="right"/>
              <w:rPr>
                <w:rFonts w:eastAsia="Times New Roman"/>
              </w:rPr>
            </w:pPr>
            <w:r>
              <w:rPr>
                <w:rFonts w:eastAsia="Times New Roman"/>
                <w:b/>
                <w:bCs/>
                <w:color w:val="000000"/>
                <w:sz w:val="16"/>
                <w:szCs w:val="16"/>
              </w:rPr>
              <w:t>298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A74ED4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EF99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79A597" w14:textId="77777777" w:rsidR="00000000" w:rsidRDefault="00A173A8">
            <w:pPr>
              <w:spacing w:after="100"/>
              <w:jc w:val="right"/>
              <w:rPr>
                <w:rFonts w:eastAsia="Times New Roman"/>
              </w:rPr>
            </w:pPr>
            <w:r>
              <w:rPr>
                <w:rFonts w:eastAsia="Times New Roman"/>
                <w:b/>
                <w:bCs/>
                <w:color w:val="000000"/>
                <w:sz w:val="16"/>
                <w:szCs w:val="16"/>
              </w:rPr>
              <w:t>33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CD2713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F13C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B6218B" w14:textId="77777777" w:rsidR="00000000" w:rsidRDefault="00A173A8">
            <w:pPr>
              <w:spacing w:after="100"/>
              <w:jc w:val="right"/>
              <w:rPr>
                <w:rFonts w:eastAsia="Times New Roman"/>
              </w:rPr>
            </w:pPr>
            <w:r>
              <w:rPr>
                <w:rFonts w:eastAsia="Times New Roman"/>
                <w:b/>
                <w:bCs/>
                <w:color w:val="000000"/>
                <w:sz w:val="16"/>
                <w:szCs w:val="16"/>
              </w:rPr>
              <w:t>331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A3195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11A5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CBB7DF" w14:textId="77777777" w:rsidR="00000000" w:rsidRDefault="00A173A8">
            <w:pPr>
              <w:spacing w:after="100"/>
              <w:jc w:val="right"/>
              <w:rPr>
                <w:rFonts w:eastAsia="Times New Roman"/>
              </w:rPr>
            </w:pPr>
            <w:r>
              <w:rPr>
                <w:rFonts w:eastAsia="Times New Roman"/>
                <w:b/>
                <w:bCs/>
                <w:color w:val="000000"/>
                <w:sz w:val="16"/>
                <w:szCs w:val="16"/>
              </w:rPr>
              <w:t>190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359B80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6ED5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FB1C69" w14:textId="77777777" w:rsidR="00000000" w:rsidRDefault="00A173A8">
            <w:pPr>
              <w:spacing w:after="100"/>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67DB5C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B3274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F77B8F" w14:textId="77777777" w:rsidR="00000000" w:rsidRDefault="00A173A8">
            <w:pPr>
              <w:spacing w:after="100"/>
              <w:jc w:val="right"/>
              <w:rPr>
                <w:rFonts w:eastAsia="Times New Roman"/>
              </w:rPr>
            </w:pPr>
            <w:r>
              <w:rPr>
                <w:rFonts w:eastAsia="Times New Roman"/>
                <w:b/>
                <w:bCs/>
                <w:color w:val="000000"/>
                <w:sz w:val="16"/>
                <w:szCs w:val="16"/>
              </w:rPr>
              <w:t>195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F4BD49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8B00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F5D556" w14:textId="77777777" w:rsidR="00000000" w:rsidRDefault="00A173A8">
            <w:pPr>
              <w:spacing w:after="100"/>
              <w:jc w:val="right"/>
              <w:rPr>
                <w:rFonts w:eastAsia="Times New Roman"/>
              </w:rPr>
            </w:pPr>
            <w:r>
              <w:rPr>
                <w:rFonts w:eastAsia="Times New Roman"/>
                <w:b/>
                <w:bCs/>
                <w:color w:val="000000"/>
                <w:sz w:val="16"/>
                <w:szCs w:val="16"/>
              </w:rPr>
              <w:t>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C06011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646F5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1098AE" w14:textId="77777777" w:rsidR="00000000" w:rsidRDefault="00A173A8">
            <w:pPr>
              <w:spacing w:after="100"/>
              <w:jc w:val="right"/>
              <w:rPr>
                <w:rFonts w:eastAsia="Times New Roman"/>
              </w:rPr>
            </w:pPr>
            <w:r>
              <w:rPr>
                <w:rFonts w:eastAsia="Times New Roman"/>
                <w:b/>
                <w:bCs/>
                <w:color w:val="000000"/>
                <w:sz w:val="16"/>
                <w:szCs w:val="16"/>
              </w:rPr>
              <w:t>538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4BDFB89" w14:textId="77777777" w:rsidR="00000000" w:rsidRDefault="00A173A8">
            <w:pPr>
              <w:spacing w:after="100"/>
              <w:jc w:val="right"/>
              <w:rPr>
                <w:rFonts w:eastAsia="Times New Roman"/>
              </w:rPr>
            </w:pPr>
          </w:p>
        </w:tc>
      </w:tr>
      <w:tr w:rsidR="00000000" w14:paraId="1D3B751E" w14:textId="77777777">
        <w:trPr>
          <w:divId w:val="1616132076"/>
        </w:trPr>
        <w:tc>
          <w:tcPr>
            <w:tcW w:w="0" w:type="auto"/>
            <w:gridSpan w:val="3"/>
            <w:shd w:val="clear" w:color="auto" w:fill="CCEEFF"/>
            <w:tcMar>
              <w:top w:w="30" w:type="dxa"/>
              <w:left w:w="20" w:type="dxa"/>
              <w:bottom w:w="30" w:type="dxa"/>
              <w:right w:w="20" w:type="dxa"/>
            </w:tcMar>
            <w:vAlign w:val="bottom"/>
            <w:hideMark/>
          </w:tcPr>
          <w:p w14:paraId="21CC2132" w14:textId="77777777" w:rsidR="00000000" w:rsidRDefault="00A173A8">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14:paraId="2F22389B"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EE26A0D" w14:textId="77777777" w:rsidR="00000000" w:rsidRDefault="00A173A8">
            <w:pPr>
              <w:spacing w:after="100"/>
              <w:jc w:val="right"/>
              <w:rPr>
                <w:rFonts w:eastAsia="Times New Roman"/>
              </w:rPr>
            </w:pPr>
            <w:r>
              <w:rPr>
                <w:rFonts w:eastAsia="Times New Roman"/>
                <w:b/>
                <w:bCs/>
                <w:color w:val="000000"/>
                <w:sz w:val="16"/>
                <w:szCs w:val="16"/>
              </w:rPr>
              <w:t>(622)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0B431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9EFC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41042AA" w14:textId="77777777" w:rsidR="00000000" w:rsidRDefault="00A173A8">
            <w:pPr>
              <w:spacing w:after="100"/>
              <w:jc w:val="right"/>
              <w:rPr>
                <w:rFonts w:eastAsia="Times New Roman"/>
              </w:rPr>
            </w:pPr>
            <w:r>
              <w:rPr>
                <w:rFonts w:eastAsia="Times New Roman"/>
                <w:b/>
                <w:bCs/>
                <w:color w:val="000000"/>
                <w:sz w:val="16"/>
                <w:szCs w:val="16"/>
              </w:rPr>
              <w:t>(56)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DA556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AAAC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4773A1" w14:textId="77777777" w:rsidR="00000000" w:rsidRDefault="00A173A8">
            <w:pPr>
              <w:spacing w:after="100"/>
              <w:jc w:val="right"/>
              <w:rPr>
                <w:rFonts w:eastAsia="Times New Roman"/>
              </w:rPr>
            </w:pPr>
            <w:r>
              <w:rPr>
                <w:rFonts w:eastAsia="Times New Roman"/>
                <w:b/>
                <w:bCs/>
                <w:color w:val="000000"/>
                <w:sz w:val="16"/>
                <w:szCs w:val="16"/>
              </w:rPr>
              <w:t>(678)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2BDC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DB5F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FB55EB" w14:textId="77777777" w:rsidR="00000000" w:rsidRDefault="00A173A8">
            <w:pPr>
              <w:spacing w:after="100"/>
              <w:jc w:val="right"/>
              <w:rPr>
                <w:rFonts w:eastAsia="Times New Roman"/>
              </w:rPr>
            </w:pPr>
            <w:r>
              <w:rPr>
                <w:rFonts w:eastAsia="Times New Roman"/>
                <w:b/>
                <w:bCs/>
                <w:color w:val="000000"/>
                <w:sz w:val="16"/>
                <w:szCs w:val="16"/>
              </w:rPr>
              <w:t>(121)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1BFC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9020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BFE47E" w14:textId="77777777" w:rsidR="00000000" w:rsidRDefault="00A173A8">
            <w:pPr>
              <w:spacing w:after="100"/>
              <w:jc w:val="right"/>
              <w:rPr>
                <w:rFonts w:eastAsia="Times New Roman"/>
              </w:rPr>
            </w:pPr>
            <w:r>
              <w:rPr>
                <w:rFonts w:eastAsia="Times New Roman"/>
                <w:b/>
                <w:bCs/>
                <w:color w:val="000000"/>
                <w:sz w:val="16"/>
                <w:szCs w:val="16"/>
              </w:rPr>
              <w:t>(15)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AD8BB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5D26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F6B5D4" w14:textId="77777777" w:rsidR="00000000" w:rsidRDefault="00A173A8">
            <w:pPr>
              <w:spacing w:after="100"/>
              <w:jc w:val="right"/>
              <w:rPr>
                <w:rFonts w:eastAsia="Times New Roman"/>
              </w:rPr>
            </w:pPr>
            <w:r>
              <w:rPr>
                <w:rFonts w:eastAsia="Times New Roman"/>
                <w:b/>
                <w:bCs/>
                <w:color w:val="000000"/>
                <w:sz w:val="16"/>
                <w:szCs w:val="16"/>
              </w:rPr>
              <w:t>(136)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AA672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2F9A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719E37" w14:textId="77777777" w:rsidR="00000000" w:rsidRDefault="00A173A8">
            <w:pPr>
              <w:spacing w:after="100"/>
              <w:jc w:val="right"/>
              <w:rPr>
                <w:rFonts w:eastAsia="Times New Roman"/>
              </w:rPr>
            </w:pPr>
            <w:r>
              <w:rPr>
                <w:rFonts w:eastAsia="Times New Roman"/>
                <w:b/>
                <w:bCs/>
                <w:color w:val="000000"/>
                <w:sz w:val="16"/>
                <w:szCs w:val="16"/>
              </w:rPr>
              <w:t>(31)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CF968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CF485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F17C08D" w14:textId="77777777" w:rsidR="00000000" w:rsidRDefault="00A173A8">
            <w:pPr>
              <w:spacing w:after="100"/>
              <w:jc w:val="right"/>
              <w:rPr>
                <w:rFonts w:eastAsia="Times New Roman"/>
              </w:rPr>
            </w:pPr>
            <w:r>
              <w:rPr>
                <w:rFonts w:eastAsia="Times New Roman"/>
                <w:b/>
                <w:bCs/>
                <w:color w:val="000000"/>
                <w:sz w:val="16"/>
                <w:szCs w:val="16"/>
              </w:rPr>
              <w:t>(845)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428D82" w14:textId="77777777" w:rsidR="00000000" w:rsidRDefault="00A173A8">
            <w:pPr>
              <w:spacing w:after="100"/>
              <w:jc w:val="right"/>
              <w:rPr>
                <w:rFonts w:eastAsia="Times New Roman"/>
              </w:rPr>
            </w:pPr>
          </w:p>
        </w:tc>
      </w:tr>
      <w:tr w:rsidR="00000000" w14:paraId="5E30922E" w14:textId="77777777">
        <w:trPr>
          <w:divId w:val="1616132076"/>
        </w:trPr>
        <w:tc>
          <w:tcPr>
            <w:tcW w:w="0" w:type="auto"/>
            <w:gridSpan w:val="3"/>
            <w:shd w:val="clear" w:color="auto" w:fill="FFFFFF"/>
            <w:tcMar>
              <w:top w:w="30" w:type="dxa"/>
              <w:left w:w="20" w:type="dxa"/>
              <w:bottom w:w="30" w:type="dxa"/>
              <w:right w:w="20" w:type="dxa"/>
            </w:tcMar>
            <w:vAlign w:val="bottom"/>
            <w:hideMark/>
          </w:tcPr>
          <w:p w14:paraId="0D08BEEB" w14:textId="77777777" w:rsidR="00000000" w:rsidRDefault="00A173A8">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2390E7A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912F66A" w14:textId="77777777" w:rsidR="00000000" w:rsidRDefault="00A173A8">
            <w:pPr>
              <w:spacing w:after="100"/>
              <w:jc w:val="right"/>
              <w:rPr>
                <w:rFonts w:eastAsia="Times New Roman"/>
              </w:rPr>
            </w:pPr>
            <w:r>
              <w:rPr>
                <w:rFonts w:eastAsia="Times New Roman"/>
                <w:b/>
                <w:bCs/>
                <w:color w:val="000000"/>
                <w:sz w:val="16"/>
                <w:szCs w:val="16"/>
              </w:rPr>
              <w:t>494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783FBB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BEEE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E8C479" w14:textId="77777777" w:rsidR="00000000" w:rsidRDefault="00A173A8">
            <w:pPr>
              <w:spacing w:after="100"/>
              <w:jc w:val="right"/>
              <w:rPr>
                <w:rFonts w:eastAsia="Times New Roman"/>
              </w:rPr>
            </w:pPr>
            <w:r>
              <w:rPr>
                <w:rFonts w:eastAsia="Times New Roman"/>
                <w:b/>
                <w:bCs/>
                <w:color w:val="000000"/>
                <w:sz w:val="16"/>
                <w:szCs w:val="16"/>
              </w:rPr>
              <w:t>87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EC6246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6F8A7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1ED0AB" w14:textId="77777777" w:rsidR="00000000" w:rsidRDefault="00A173A8">
            <w:pPr>
              <w:spacing w:after="100"/>
              <w:jc w:val="right"/>
              <w:rPr>
                <w:rFonts w:eastAsia="Times New Roman"/>
              </w:rPr>
            </w:pPr>
            <w:r>
              <w:rPr>
                <w:rFonts w:eastAsia="Times New Roman"/>
                <w:b/>
                <w:bCs/>
                <w:color w:val="000000"/>
                <w:sz w:val="16"/>
                <w:szCs w:val="16"/>
              </w:rPr>
              <w:t>581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537EBC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5C882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E04B16" w14:textId="77777777" w:rsidR="00000000" w:rsidRDefault="00A173A8">
            <w:pPr>
              <w:spacing w:after="100"/>
              <w:jc w:val="right"/>
              <w:rPr>
                <w:rFonts w:eastAsia="Times New Roman"/>
              </w:rPr>
            </w:pPr>
            <w:r>
              <w:rPr>
                <w:rFonts w:eastAsia="Times New Roman"/>
                <w:b/>
                <w:bCs/>
                <w:color w:val="000000"/>
                <w:sz w:val="16"/>
                <w:szCs w:val="16"/>
              </w:rPr>
              <w:t>268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4AD5BB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360D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C68273" w14:textId="77777777" w:rsidR="00000000" w:rsidRDefault="00A173A8">
            <w:pPr>
              <w:spacing w:after="100"/>
              <w:jc w:val="right"/>
              <w:rPr>
                <w:rFonts w:eastAsia="Times New Roman"/>
              </w:rPr>
            </w:pPr>
            <w:r>
              <w:rPr>
                <w:rFonts w:eastAsia="Times New Roman"/>
                <w:b/>
                <w:bCs/>
                <w:color w:val="000000"/>
                <w:sz w:val="16"/>
                <w:szCs w:val="16"/>
              </w:rPr>
              <w:t>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987630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EB0B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FE975A" w14:textId="77777777" w:rsidR="00000000" w:rsidRDefault="00A173A8">
            <w:pPr>
              <w:spacing w:after="100"/>
              <w:jc w:val="right"/>
              <w:rPr>
                <w:rFonts w:eastAsia="Times New Roman"/>
              </w:rPr>
            </w:pPr>
            <w:r>
              <w:rPr>
                <w:rFonts w:eastAsia="Times New Roman"/>
                <w:b/>
                <w:bCs/>
                <w:color w:val="000000"/>
                <w:sz w:val="16"/>
                <w:szCs w:val="16"/>
              </w:rPr>
              <w:t>281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60131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765A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3411C9" w14:textId="77777777" w:rsidR="00000000" w:rsidRDefault="00A173A8">
            <w:pPr>
              <w:spacing w:after="100"/>
              <w:jc w:val="right"/>
              <w:rPr>
                <w:rFonts w:eastAsia="Times New Roman"/>
              </w:rPr>
            </w:pPr>
            <w:r>
              <w:rPr>
                <w:rFonts w:eastAsia="Times New Roman"/>
                <w:b/>
                <w:bCs/>
                <w:color w:val="000000"/>
                <w:sz w:val="16"/>
                <w:szCs w:val="16"/>
              </w:rPr>
              <w:t>183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69B1C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A0EAC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5AFE47" w14:textId="77777777" w:rsidR="00000000" w:rsidRDefault="00A173A8">
            <w:pPr>
              <w:spacing w:after="100"/>
              <w:jc w:val="right"/>
              <w:rPr>
                <w:rFonts w:eastAsia="Times New Roman"/>
              </w:rPr>
            </w:pPr>
            <w:r>
              <w:rPr>
                <w:rFonts w:eastAsia="Times New Roman"/>
                <w:b/>
                <w:bCs/>
                <w:color w:val="000000"/>
                <w:sz w:val="16"/>
                <w:szCs w:val="16"/>
              </w:rPr>
              <w:t>1,045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4D9AF8C" w14:textId="77777777" w:rsidR="00000000" w:rsidRDefault="00A173A8">
            <w:pPr>
              <w:spacing w:after="100"/>
              <w:jc w:val="right"/>
              <w:rPr>
                <w:rFonts w:eastAsia="Times New Roman"/>
              </w:rPr>
            </w:pPr>
          </w:p>
        </w:tc>
      </w:tr>
      <w:tr w:rsidR="00000000" w14:paraId="5EE6A264" w14:textId="77777777">
        <w:trPr>
          <w:divId w:val="1616132076"/>
        </w:trPr>
        <w:tc>
          <w:tcPr>
            <w:tcW w:w="0" w:type="auto"/>
            <w:gridSpan w:val="3"/>
            <w:shd w:val="clear" w:color="auto" w:fill="CCEEFF"/>
            <w:tcMar>
              <w:top w:w="30" w:type="dxa"/>
              <w:left w:w="20" w:type="dxa"/>
              <w:bottom w:w="30" w:type="dxa"/>
              <w:right w:w="20" w:type="dxa"/>
            </w:tcMar>
            <w:vAlign w:val="center"/>
            <w:hideMark/>
          </w:tcPr>
          <w:p w14:paraId="0864E686" w14:textId="77777777" w:rsidR="00000000" w:rsidRDefault="00A173A8">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21EC672B"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3E90DA" w14:textId="77777777" w:rsidR="00000000" w:rsidRDefault="00A173A8">
            <w:pPr>
              <w:spacing w:after="100"/>
              <w:jc w:val="right"/>
              <w:rPr>
                <w:rFonts w:eastAsia="Times New Roman"/>
              </w:rPr>
            </w:pPr>
            <w:r>
              <w:rPr>
                <w:rFonts w:eastAsia="Times New Roman"/>
                <w:b/>
                <w:bCs/>
                <w:color w:val="000000"/>
                <w:sz w:val="16"/>
                <w:szCs w:val="16"/>
              </w:rPr>
              <w:t>(128)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479F7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D486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28FB61D" w14:textId="77777777" w:rsidR="00000000" w:rsidRDefault="00A173A8">
            <w:pPr>
              <w:spacing w:after="100"/>
              <w:jc w:val="right"/>
              <w:rPr>
                <w:rFonts w:eastAsia="Times New Roman"/>
              </w:rPr>
            </w:pPr>
            <w:r>
              <w:rPr>
                <w:rFonts w:eastAsia="Times New Roman"/>
                <w:b/>
                <w:bCs/>
                <w:color w:val="000000"/>
                <w:sz w:val="16"/>
                <w:szCs w:val="16"/>
              </w:rPr>
              <w:t>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4A6BF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C14F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85CC002" w14:textId="77777777" w:rsidR="00000000" w:rsidRDefault="00A173A8">
            <w:pPr>
              <w:spacing w:after="100"/>
              <w:jc w:val="right"/>
              <w:rPr>
                <w:rFonts w:eastAsia="Times New Roman"/>
              </w:rPr>
            </w:pPr>
            <w:r>
              <w:rPr>
                <w:rFonts w:eastAsia="Times New Roman"/>
                <w:b/>
                <w:bCs/>
                <w:color w:val="000000"/>
                <w:sz w:val="16"/>
                <w:szCs w:val="16"/>
              </w:rPr>
              <w:t>(97)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3F181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C24D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6F0B73" w14:textId="77777777" w:rsidR="00000000" w:rsidRDefault="00A173A8">
            <w:pPr>
              <w:spacing w:after="100"/>
              <w:jc w:val="right"/>
              <w:rPr>
                <w:rFonts w:eastAsia="Times New Roman"/>
              </w:rPr>
            </w:pPr>
            <w:r>
              <w:rPr>
                <w:rFonts w:eastAsia="Times New Roman"/>
                <w:b/>
                <w:bCs/>
                <w:color w:val="000000"/>
                <w:sz w:val="16"/>
                <w:szCs w:val="16"/>
              </w:rPr>
              <w:t>147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2171A7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5EF8F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82A666" w14:textId="77777777" w:rsidR="00000000" w:rsidRDefault="00A173A8">
            <w:pPr>
              <w:spacing w:after="100"/>
              <w:jc w:val="right"/>
              <w:rPr>
                <w:rFonts w:eastAsia="Times New Roman"/>
              </w:rPr>
            </w:pPr>
            <w:r>
              <w:rPr>
                <w:rFonts w:eastAsia="Times New Roman"/>
                <w:b/>
                <w:bCs/>
                <w:color w:val="000000"/>
                <w:sz w:val="16"/>
                <w:szCs w:val="16"/>
              </w:rPr>
              <w:t>(2)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36828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39547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06A75FC" w14:textId="77777777" w:rsidR="00000000" w:rsidRDefault="00A173A8">
            <w:pPr>
              <w:spacing w:after="100"/>
              <w:jc w:val="right"/>
              <w:rPr>
                <w:rFonts w:eastAsia="Times New Roman"/>
              </w:rPr>
            </w:pPr>
            <w:r>
              <w:rPr>
                <w:rFonts w:eastAsia="Times New Roman"/>
                <w:b/>
                <w:bCs/>
                <w:color w:val="000000"/>
                <w:sz w:val="16"/>
                <w:szCs w:val="16"/>
              </w:rPr>
              <w:t>145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3CF7B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8505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301B86" w14:textId="77777777" w:rsidR="00000000" w:rsidRDefault="00A173A8">
            <w:pPr>
              <w:spacing w:after="100"/>
              <w:jc w:val="right"/>
              <w:rPr>
                <w:rFonts w:eastAsia="Times New Roman"/>
              </w:rPr>
            </w:pPr>
            <w:r>
              <w:rPr>
                <w:rFonts w:eastAsia="Times New Roman"/>
                <w:b/>
                <w:bCs/>
                <w:color w:val="000000"/>
                <w:sz w:val="16"/>
                <w:szCs w:val="16"/>
              </w:rPr>
              <w:t>152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9CBF0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A564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AD961F" w14:textId="77777777" w:rsidR="00000000" w:rsidRDefault="00A173A8">
            <w:pPr>
              <w:spacing w:after="100"/>
              <w:jc w:val="right"/>
              <w:rPr>
                <w:rFonts w:eastAsia="Times New Roman"/>
              </w:rPr>
            </w:pPr>
            <w:r>
              <w:rPr>
                <w:rFonts w:eastAsia="Times New Roman"/>
                <w:b/>
                <w:bCs/>
                <w:color w:val="000000"/>
                <w:sz w:val="16"/>
                <w:szCs w:val="16"/>
              </w:rPr>
              <w:t>200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650E69" w14:textId="77777777" w:rsidR="00000000" w:rsidRDefault="00A173A8">
            <w:pPr>
              <w:spacing w:after="100"/>
              <w:jc w:val="right"/>
              <w:rPr>
                <w:rFonts w:eastAsia="Times New Roman"/>
              </w:rPr>
            </w:pPr>
          </w:p>
        </w:tc>
      </w:tr>
      <w:tr w:rsidR="00000000" w14:paraId="12E07180" w14:textId="77777777">
        <w:trPr>
          <w:divId w:val="1616132076"/>
        </w:trPr>
        <w:tc>
          <w:tcPr>
            <w:tcW w:w="0" w:type="auto"/>
            <w:gridSpan w:val="3"/>
            <w:shd w:val="clear" w:color="auto" w:fill="FFFFFF"/>
            <w:tcMar>
              <w:top w:w="30" w:type="dxa"/>
              <w:left w:w="20" w:type="dxa"/>
              <w:bottom w:w="30" w:type="dxa"/>
              <w:right w:w="20" w:type="dxa"/>
            </w:tcMar>
            <w:vAlign w:val="bottom"/>
            <w:hideMark/>
          </w:tcPr>
          <w:p w14:paraId="50F0C4C6" w14:textId="77777777" w:rsidR="00000000" w:rsidRDefault="00A173A8">
            <w:pPr>
              <w:spacing w:after="100"/>
              <w:divId w:val="128598070"/>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3FB9AFB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1975D91"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6ED6C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5CC94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A28015" w14:textId="77777777" w:rsidR="00000000" w:rsidRDefault="00A173A8">
            <w:pPr>
              <w:spacing w:after="100"/>
              <w:jc w:val="right"/>
              <w:rPr>
                <w:rFonts w:eastAsia="Times New Roman"/>
              </w:rPr>
            </w:pPr>
            <w:r>
              <w:rPr>
                <w:rFonts w:eastAsia="Times New Roman"/>
                <w:b/>
                <w:bCs/>
                <w:color w:val="000000"/>
                <w:sz w:val="16"/>
                <w:szCs w:val="16"/>
              </w:rPr>
              <w:t>(17)</w:t>
            </w:r>
          </w:p>
        </w:tc>
        <w:tc>
          <w:tcPr>
            <w:tcW w:w="0" w:type="auto"/>
            <w:shd w:val="clear" w:color="auto" w:fill="FFFFFF"/>
            <w:tcMar>
              <w:top w:w="30" w:type="dxa"/>
              <w:left w:w="0" w:type="dxa"/>
              <w:bottom w:w="30" w:type="dxa"/>
              <w:right w:w="20" w:type="dxa"/>
            </w:tcMar>
            <w:vAlign w:val="center"/>
            <w:hideMark/>
          </w:tcPr>
          <w:p w14:paraId="241896E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2A7C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CBB1E0" w14:textId="77777777" w:rsidR="00000000" w:rsidRDefault="00A173A8">
            <w:pPr>
              <w:spacing w:after="100"/>
              <w:jc w:val="right"/>
              <w:rPr>
                <w:rFonts w:eastAsia="Times New Roman"/>
              </w:rPr>
            </w:pPr>
            <w:r>
              <w:rPr>
                <w:rFonts w:eastAsia="Times New Roman"/>
                <w:b/>
                <w:bCs/>
                <w:color w:val="000000"/>
                <w:sz w:val="16"/>
                <w:szCs w:val="16"/>
              </w:rPr>
              <w:t>(17)</w:t>
            </w:r>
          </w:p>
        </w:tc>
        <w:tc>
          <w:tcPr>
            <w:tcW w:w="0" w:type="auto"/>
            <w:shd w:val="clear" w:color="auto" w:fill="FFFFFF"/>
            <w:tcMar>
              <w:top w:w="30" w:type="dxa"/>
              <w:left w:w="0" w:type="dxa"/>
              <w:bottom w:w="30" w:type="dxa"/>
              <w:right w:w="20" w:type="dxa"/>
            </w:tcMar>
            <w:vAlign w:val="center"/>
            <w:hideMark/>
          </w:tcPr>
          <w:p w14:paraId="6673886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44FA2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3DE4D0"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F7FEB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5F70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938FA7"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0FAE30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E3F92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D93750"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72BD29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BAB6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2B4424"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1E1FBF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CC36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30D329" w14:textId="77777777" w:rsidR="00000000" w:rsidRDefault="00A173A8">
            <w:pPr>
              <w:spacing w:after="100"/>
              <w:jc w:val="right"/>
              <w:rPr>
                <w:rFonts w:eastAsia="Times New Roman"/>
              </w:rPr>
            </w:pPr>
            <w:r>
              <w:rPr>
                <w:rFonts w:eastAsia="Times New Roman"/>
                <w:b/>
                <w:bCs/>
                <w:color w:val="000000"/>
                <w:sz w:val="16"/>
                <w:szCs w:val="16"/>
              </w:rPr>
              <w:t>(17)</w:t>
            </w:r>
          </w:p>
        </w:tc>
        <w:tc>
          <w:tcPr>
            <w:tcW w:w="0" w:type="auto"/>
            <w:shd w:val="clear" w:color="auto" w:fill="FFFFFF"/>
            <w:tcMar>
              <w:top w:w="30" w:type="dxa"/>
              <w:left w:w="0" w:type="dxa"/>
              <w:bottom w:w="30" w:type="dxa"/>
              <w:right w:w="20" w:type="dxa"/>
            </w:tcMar>
            <w:vAlign w:val="center"/>
            <w:hideMark/>
          </w:tcPr>
          <w:p w14:paraId="302191BB" w14:textId="77777777" w:rsidR="00000000" w:rsidRDefault="00A173A8">
            <w:pPr>
              <w:spacing w:after="100"/>
              <w:jc w:val="right"/>
              <w:rPr>
                <w:rFonts w:eastAsia="Times New Roman"/>
              </w:rPr>
            </w:pPr>
          </w:p>
        </w:tc>
      </w:tr>
      <w:tr w:rsidR="00000000" w14:paraId="3B74D972" w14:textId="77777777">
        <w:trPr>
          <w:divId w:val="1616132076"/>
        </w:trPr>
        <w:tc>
          <w:tcPr>
            <w:tcW w:w="0" w:type="auto"/>
            <w:gridSpan w:val="3"/>
            <w:shd w:val="clear" w:color="auto" w:fill="CCEEFF"/>
            <w:tcMar>
              <w:top w:w="30" w:type="dxa"/>
              <w:left w:w="20" w:type="dxa"/>
              <w:bottom w:w="30" w:type="dxa"/>
              <w:right w:w="20" w:type="dxa"/>
            </w:tcMar>
            <w:vAlign w:val="bottom"/>
            <w:hideMark/>
          </w:tcPr>
          <w:p w14:paraId="476F08AD" w14:textId="77777777" w:rsidR="00000000" w:rsidRDefault="00A173A8">
            <w:pPr>
              <w:spacing w:after="100"/>
              <w:rPr>
                <w:rFonts w:eastAsia="Times New Roman"/>
              </w:rPr>
            </w:pPr>
            <w:r>
              <w:rPr>
                <w:rFonts w:eastAsia="Times New Roman"/>
                <w:color w:val="000000"/>
                <w:sz w:val="16"/>
                <w:szCs w:val="16"/>
              </w:rPr>
              <w:t>Balance as of June 30, 2022</w:t>
            </w:r>
          </w:p>
        </w:tc>
        <w:tc>
          <w:tcPr>
            <w:tcW w:w="0" w:type="auto"/>
            <w:gridSpan w:val="3"/>
            <w:shd w:val="clear" w:color="auto" w:fill="CCEEFF"/>
            <w:tcMar>
              <w:top w:w="0" w:type="dxa"/>
              <w:left w:w="20" w:type="dxa"/>
              <w:bottom w:w="0" w:type="dxa"/>
              <w:right w:w="20" w:type="dxa"/>
            </w:tcMar>
            <w:vAlign w:val="center"/>
            <w:hideMark/>
          </w:tcPr>
          <w:p w14:paraId="09ACB223"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3AA1A9" w14:textId="77777777" w:rsidR="00000000" w:rsidRDefault="00A173A8">
            <w:pPr>
              <w:spacing w:after="100"/>
              <w:jc w:val="right"/>
              <w:rPr>
                <w:rFonts w:eastAsia="Times New Roman"/>
              </w:rPr>
            </w:pPr>
            <w:r>
              <w:rPr>
                <w:rFonts w:eastAsia="Times New Roman"/>
                <w:b/>
                <w:bCs/>
                <w:color w:val="000000"/>
                <w:sz w:val="16"/>
                <w:szCs w:val="16"/>
              </w:rPr>
              <w:t>7,840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58AC0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C8E5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F7E6F5C" w14:textId="77777777" w:rsidR="00000000" w:rsidRDefault="00A173A8">
            <w:pPr>
              <w:spacing w:after="100"/>
              <w:jc w:val="right"/>
              <w:rPr>
                <w:rFonts w:eastAsia="Times New Roman"/>
              </w:rPr>
            </w:pPr>
            <w:r>
              <w:rPr>
                <w:rFonts w:eastAsia="Times New Roman"/>
                <w:b/>
                <w:bCs/>
                <w:color w:val="000000"/>
                <w:sz w:val="16"/>
                <w:szCs w:val="16"/>
              </w:rPr>
              <w:t>326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82FF1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16AC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BE92D93" w14:textId="77777777" w:rsidR="00000000" w:rsidRDefault="00A173A8">
            <w:pPr>
              <w:spacing w:after="100"/>
              <w:jc w:val="right"/>
              <w:rPr>
                <w:rFonts w:eastAsia="Times New Roman"/>
              </w:rPr>
            </w:pPr>
            <w:r>
              <w:rPr>
                <w:rFonts w:eastAsia="Times New Roman"/>
                <w:b/>
                <w:bCs/>
                <w:color w:val="000000"/>
                <w:sz w:val="16"/>
                <w:szCs w:val="16"/>
              </w:rPr>
              <w:t>8,166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865AD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795F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1FFBFF" w14:textId="77777777" w:rsidR="00000000" w:rsidRDefault="00A173A8">
            <w:pPr>
              <w:spacing w:after="100"/>
              <w:jc w:val="right"/>
              <w:rPr>
                <w:rFonts w:eastAsia="Times New Roman"/>
              </w:rPr>
            </w:pPr>
            <w:r>
              <w:rPr>
                <w:rFonts w:eastAsia="Times New Roman"/>
                <w:b/>
                <w:bCs/>
                <w:color w:val="000000"/>
                <w:sz w:val="16"/>
                <w:szCs w:val="16"/>
              </w:rPr>
              <w:t>1,999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1317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66C2D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54D18B4" w14:textId="77777777" w:rsidR="00000000" w:rsidRDefault="00A173A8">
            <w:pPr>
              <w:spacing w:after="100"/>
              <w:jc w:val="right"/>
              <w:rPr>
                <w:rFonts w:eastAsia="Times New Roman"/>
              </w:rPr>
            </w:pPr>
            <w:r>
              <w:rPr>
                <w:rFonts w:eastAsia="Times New Roman"/>
                <w:b/>
                <w:bCs/>
                <w:color w:val="000000"/>
                <w:sz w:val="16"/>
                <w:szCs w:val="16"/>
              </w:rPr>
              <w:t>48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B99B7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8EEC0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022F79" w14:textId="77777777" w:rsidR="00000000" w:rsidRDefault="00A173A8">
            <w:pPr>
              <w:spacing w:after="100"/>
              <w:jc w:val="right"/>
              <w:rPr>
                <w:rFonts w:eastAsia="Times New Roman"/>
              </w:rPr>
            </w:pPr>
            <w:r>
              <w:rPr>
                <w:rFonts w:eastAsia="Times New Roman"/>
                <w:b/>
                <w:bCs/>
                <w:color w:val="000000"/>
                <w:sz w:val="16"/>
                <w:szCs w:val="16"/>
              </w:rPr>
              <w:t>2,047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E407C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0A45F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C29E554" w14:textId="77777777" w:rsidR="00000000" w:rsidRDefault="00A173A8">
            <w:pPr>
              <w:spacing w:after="100"/>
              <w:jc w:val="right"/>
              <w:rPr>
                <w:rFonts w:eastAsia="Times New Roman"/>
              </w:rPr>
            </w:pPr>
            <w:r>
              <w:rPr>
                <w:rFonts w:eastAsia="Times New Roman"/>
                <w:b/>
                <w:bCs/>
                <w:color w:val="000000"/>
                <w:sz w:val="16"/>
                <w:szCs w:val="16"/>
              </w:rPr>
              <w:t>1,278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4F728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E9629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C76E6A8" w14:textId="77777777" w:rsidR="00000000" w:rsidRDefault="00A173A8">
            <w:pPr>
              <w:spacing w:after="100"/>
              <w:jc w:val="right"/>
              <w:rPr>
                <w:rFonts w:eastAsia="Times New Roman"/>
              </w:rPr>
            </w:pPr>
            <w:r>
              <w:rPr>
                <w:rFonts w:eastAsia="Times New Roman"/>
                <w:b/>
                <w:bCs/>
                <w:color w:val="000000"/>
                <w:sz w:val="16"/>
                <w:szCs w:val="16"/>
              </w:rPr>
              <w:t>11,491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7BABA5" w14:textId="77777777" w:rsidR="00000000" w:rsidRDefault="00A173A8">
            <w:pPr>
              <w:spacing w:after="100"/>
              <w:jc w:val="right"/>
              <w:rPr>
                <w:rFonts w:eastAsia="Times New Roman"/>
              </w:rPr>
            </w:pPr>
          </w:p>
        </w:tc>
      </w:tr>
      <w:tr w:rsidR="00000000" w14:paraId="7DC472DC" w14:textId="77777777">
        <w:trPr>
          <w:divId w:val="1616132076"/>
        </w:trPr>
        <w:tc>
          <w:tcPr>
            <w:tcW w:w="0" w:type="auto"/>
            <w:gridSpan w:val="3"/>
            <w:shd w:val="clear" w:color="auto" w:fill="FFFFFF"/>
            <w:tcMar>
              <w:top w:w="30" w:type="dxa"/>
              <w:left w:w="20" w:type="dxa"/>
              <w:bottom w:w="30" w:type="dxa"/>
              <w:right w:w="20" w:type="dxa"/>
            </w:tcMar>
            <w:vAlign w:val="bottom"/>
            <w:hideMark/>
          </w:tcPr>
          <w:p w14:paraId="0CC6B1AD" w14:textId="77777777" w:rsidR="00000000" w:rsidRDefault="00A173A8">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3D9AE35C"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110C0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07269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600B4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9C907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5EBC2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653AD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8F7B7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80359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795700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F8560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409F47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F40E2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CF224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62647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B51A72" w14:textId="77777777" w:rsidR="00000000" w:rsidRDefault="00A173A8">
            <w:pPr>
              <w:spacing w:after="100"/>
              <w:rPr>
                <w:rFonts w:eastAsia="Times New Roman"/>
                <w:sz w:val="20"/>
                <w:szCs w:val="20"/>
              </w:rPr>
            </w:pPr>
          </w:p>
        </w:tc>
      </w:tr>
      <w:tr w:rsidR="00000000" w14:paraId="3348381D" w14:textId="77777777">
        <w:trPr>
          <w:divId w:val="1616132076"/>
        </w:trPr>
        <w:tc>
          <w:tcPr>
            <w:tcW w:w="0" w:type="auto"/>
            <w:gridSpan w:val="3"/>
            <w:shd w:val="clear" w:color="auto" w:fill="CCEEFF"/>
            <w:tcMar>
              <w:top w:w="30" w:type="dxa"/>
              <w:left w:w="20" w:type="dxa"/>
              <w:bottom w:w="30" w:type="dxa"/>
              <w:right w:w="20" w:type="dxa"/>
            </w:tcMar>
            <w:vAlign w:val="bottom"/>
            <w:hideMark/>
          </w:tcPr>
          <w:p w14:paraId="74774DE4" w14:textId="77777777" w:rsidR="00000000" w:rsidRDefault="00A173A8">
            <w:pPr>
              <w:spacing w:after="100"/>
              <w:rPr>
                <w:rFonts w:eastAsia="Times New Roman"/>
              </w:rPr>
            </w:pPr>
            <w:r>
              <w:rPr>
                <w:rFonts w:eastAsia="Times New Roman"/>
                <w:color w:val="000000"/>
                <w:sz w:val="16"/>
                <w:szCs w:val="16"/>
              </w:rPr>
              <w:t>Balance as of March 31, 2022</w:t>
            </w:r>
          </w:p>
        </w:tc>
        <w:tc>
          <w:tcPr>
            <w:tcW w:w="0" w:type="auto"/>
            <w:gridSpan w:val="3"/>
            <w:shd w:val="clear" w:color="auto" w:fill="CCEEFF"/>
            <w:tcMar>
              <w:top w:w="0" w:type="dxa"/>
              <w:left w:w="20" w:type="dxa"/>
              <w:bottom w:w="0" w:type="dxa"/>
              <w:right w:w="20" w:type="dxa"/>
            </w:tcMar>
            <w:vAlign w:val="center"/>
            <w:hideMark/>
          </w:tcPr>
          <w:p w14:paraId="1FF41A4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A16976"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557D93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5DF4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C3E376"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4FA0DF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5BBD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348A36"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FA728A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CFBCB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88039D"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2FF620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F43C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B943AC"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56617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AA4D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821EB3"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BE090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1E53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C40B55" w14:textId="77777777" w:rsidR="00000000" w:rsidRDefault="00A173A8">
            <w:pPr>
              <w:spacing w:after="100"/>
              <w:jc w:val="right"/>
              <w:rPr>
                <w:rFonts w:eastAsia="Times New Roman"/>
              </w:rPr>
            </w:pPr>
            <w:r>
              <w:rPr>
                <w:rFonts w:eastAsia="Times New Roman"/>
                <w:color w:val="000000"/>
                <w:sz w:val="16"/>
                <w:szCs w:val="16"/>
              </w:rPr>
              <w:t>200 </w:t>
            </w:r>
          </w:p>
        </w:tc>
        <w:tc>
          <w:tcPr>
            <w:tcW w:w="0" w:type="auto"/>
            <w:shd w:val="clear" w:color="auto" w:fill="CCEEFF"/>
            <w:tcMar>
              <w:top w:w="30" w:type="dxa"/>
              <w:left w:w="0" w:type="dxa"/>
              <w:bottom w:w="30" w:type="dxa"/>
              <w:right w:w="20" w:type="dxa"/>
            </w:tcMar>
            <w:vAlign w:val="center"/>
            <w:hideMark/>
          </w:tcPr>
          <w:p w14:paraId="2BF3A24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A66FD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1E4FD8" w14:textId="77777777" w:rsidR="00000000" w:rsidRDefault="00A173A8">
            <w:pPr>
              <w:spacing w:after="100"/>
              <w:jc w:val="right"/>
              <w:rPr>
                <w:rFonts w:eastAsia="Times New Roman"/>
              </w:rPr>
            </w:pPr>
            <w:r>
              <w:rPr>
                <w:rFonts w:eastAsia="Times New Roman"/>
                <w:color w:val="000000"/>
                <w:sz w:val="16"/>
                <w:szCs w:val="16"/>
              </w:rPr>
              <w:t>200 </w:t>
            </w:r>
          </w:p>
        </w:tc>
        <w:tc>
          <w:tcPr>
            <w:tcW w:w="0" w:type="auto"/>
            <w:shd w:val="clear" w:color="auto" w:fill="CCEEFF"/>
            <w:tcMar>
              <w:top w:w="30" w:type="dxa"/>
              <w:left w:w="0" w:type="dxa"/>
              <w:bottom w:w="30" w:type="dxa"/>
              <w:right w:w="20" w:type="dxa"/>
            </w:tcMar>
            <w:vAlign w:val="center"/>
            <w:hideMark/>
          </w:tcPr>
          <w:p w14:paraId="1DE9F427" w14:textId="77777777" w:rsidR="00000000" w:rsidRDefault="00A173A8">
            <w:pPr>
              <w:spacing w:after="100"/>
              <w:jc w:val="right"/>
              <w:rPr>
                <w:rFonts w:eastAsia="Times New Roman"/>
              </w:rPr>
            </w:pPr>
          </w:p>
        </w:tc>
      </w:tr>
      <w:tr w:rsidR="00000000" w14:paraId="37850E1C" w14:textId="77777777">
        <w:trPr>
          <w:divId w:val="1616132076"/>
        </w:trPr>
        <w:tc>
          <w:tcPr>
            <w:tcW w:w="0" w:type="auto"/>
            <w:gridSpan w:val="3"/>
            <w:shd w:val="clear" w:color="auto" w:fill="FFFFFF"/>
            <w:tcMar>
              <w:top w:w="30" w:type="dxa"/>
              <w:left w:w="20" w:type="dxa"/>
              <w:bottom w:w="30" w:type="dxa"/>
              <w:right w:w="20" w:type="dxa"/>
            </w:tcMar>
            <w:vAlign w:val="center"/>
            <w:hideMark/>
          </w:tcPr>
          <w:p w14:paraId="749D6FFF" w14:textId="77777777" w:rsidR="00000000" w:rsidRDefault="00A173A8">
            <w:pPr>
              <w:spacing w:after="100"/>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56DE841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7D78E3"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59367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0398F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103137"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43D03F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EE83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B03224"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980821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BA59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DC67CD"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86E40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E8035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D41B89"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D3119D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8C9A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D249A"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C11D10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C01E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3111F1" w14:textId="77777777" w:rsidR="00000000" w:rsidRDefault="00A173A8">
            <w:pPr>
              <w:spacing w:after="100"/>
              <w:jc w:val="right"/>
              <w:rPr>
                <w:rFonts w:eastAsia="Times New Roman"/>
              </w:rPr>
            </w:pPr>
            <w:r>
              <w:rPr>
                <w:rFonts w:eastAsia="Times New Roman"/>
                <w:b/>
                <w:bCs/>
                <w:color w:val="000000"/>
                <w:sz w:val="16"/>
                <w:szCs w:val="16"/>
              </w:rPr>
              <w:t>39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58A38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A2767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A7DC7E" w14:textId="77777777" w:rsidR="00000000" w:rsidRDefault="00A173A8">
            <w:pPr>
              <w:spacing w:after="100"/>
              <w:jc w:val="right"/>
              <w:rPr>
                <w:rFonts w:eastAsia="Times New Roman"/>
              </w:rPr>
            </w:pPr>
            <w:r>
              <w:rPr>
                <w:rFonts w:eastAsia="Times New Roman"/>
                <w:b/>
                <w:bCs/>
                <w:color w:val="000000"/>
                <w:sz w:val="16"/>
                <w:szCs w:val="16"/>
              </w:rPr>
              <w:t>39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BC2B420" w14:textId="77777777" w:rsidR="00000000" w:rsidRDefault="00A173A8">
            <w:pPr>
              <w:spacing w:after="100"/>
              <w:jc w:val="right"/>
              <w:rPr>
                <w:rFonts w:eastAsia="Times New Roman"/>
              </w:rPr>
            </w:pPr>
          </w:p>
        </w:tc>
      </w:tr>
      <w:tr w:rsidR="00000000" w14:paraId="7ECF1BE5" w14:textId="77777777">
        <w:trPr>
          <w:divId w:val="1616132076"/>
        </w:trPr>
        <w:tc>
          <w:tcPr>
            <w:tcW w:w="0" w:type="auto"/>
            <w:gridSpan w:val="3"/>
            <w:shd w:val="clear" w:color="auto" w:fill="CCEEFF"/>
            <w:tcMar>
              <w:top w:w="30" w:type="dxa"/>
              <w:left w:w="20" w:type="dxa"/>
              <w:bottom w:w="30" w:type="dxa"/>
              <w:right w:w="20" w:type="dxa"/>
            </w:tcMar>
            <w:vAlign w:val="bottom"/>
            <w:hideMark/>
          </w:tcPr>
          <w:p w14:paraId="067B23E3" w14:textId="77777777" w:rsidR="00000000" w:rsidRDefault="00A173A8">
            <w:pPr>
              <w:spacing w:after="100"/>
              <w:rPr>
                <w:rFonts w:eastAsia="Times New Roman"/>
              </w:rPr>
            </w:pPr>
            <w:r>
              <w:rPr>
                <w:rFonts w:eastAsia="Times New Roman"/>
                <w:color w:val="000000"/>
                <w:sz w:val="16"/>
                <w:szCs w:val="16"/>
              </w:rPr>
              <w:t>Balance as of June 30, 2022</w:t>
            </w:r>
          </w:p>
        </w:tc>
        <w:tc>
          <w:tcPr>
            <w:tcW w:w="0" w:type="auto"/>
            <w:gridSpan w:val="3"/>
            <w:shd w:val="clear" w:color="auto" w:fill="CCEEFF"/>
            <w:tcMar>
              <w:top w:w="0" w:type="dxa"/>
              <w:left w:w="20" w:type="dxa"/>
              <w:bottom w:w="0" w:type="dxa"/>
              <w:right w:w="20" w:type="dxa"/>
            </w:tcMar>
            <w:vAlign w:val="center"/>
            <w:hideMark/>
          </w:tcPr>
          <w:p w14:paraId="3D1C7B87"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8BBCF80"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1412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F506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5B2E72"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118E6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90C7B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4B2154"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4A8FE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F321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DB247EB"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7DE4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A0C7D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E1F55E7"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2F4D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64F2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AD7A944"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E85909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08A02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F429CB" w14:textId="77777777" w:rsidR="00000000" w:rsidRDefault="00A173A8">
            <w:pPr>
              <w:spacing w:after="100"/>
              <w:jc w:val="right"/>
              <w:rPr>
                <w:rFonts w:eastAsia="Times New Roman"/>
              </w:rPr>
            </w:pPr>
            <w:r>
              <w:rPr>
                <w:rFonts w:eastAsia="Times New Roman"/>
                <w:b/>
                <w:bCs/>
                <w:color w:val="000000"/>
                <w:sz w:val="16"/>
                <w:szCs w:val="16"/>
              </w:rPr>
              <w:t>239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F42A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84DE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718E6F" w14:textId="77777777" w:rsidR="00000000" w:rsidRDefault="00A173A8">
            <w:pPr>
              <w:spacing w:after="100"/>
              <w:jc w:val="right"/>
              <w:rPr>
                <w:rFonts w:eastAsia="Times New Roman"/>
              </w:rPr>
            </w:pPr>
            <w:r>
              <w:rPr>
                <w:rFonts w:eastAsia="Times New Roman"/>
                <w:b/>
                <w:bCs/>
                <w:color w:val="000000"/>
                <w:sz w:val="16"/>
                <w:szCs w:val="16"/>
              </w:rPr>
              <w:t>239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71E0EF" w14:textId="77777777" w:rsidR="00000000" w:rsidRDefault="00A173A8">
            <w:pPr>
              <w:spacing w:after="100"/>
              <w:jc w:val="right"/>
              <w:rPr>
                <w:rFonts w:eastAsia="Times New Roman"/>
              </w:rPr>
            </w:pPr>
          </w:p>
        </w:tc>
      </w:tr>
      <w:tr w:rsidR="00A173A8" w14:paraId="22C99AFF" w14:textId="77777777">
        <w:trPr>
          <w:divId w:val="1616132076"/>
        </w:trPr>
        <w:tc>
          <w:tcPr>
            <w:tcW w:w="0" w:type="auto"/>
            <w:gridSpan w:val="3"/>
            <w:shd w:val="clear" w:color="auto" w:fill="FFFFFF"/>
            <w:tcMar>
              <w:top w:w="30" w:type="dxa"/>
              <w:left w:w="20" w:type="dxa"/>
              <w:bottom w:w="30" w:type="dxa"/>
              <w:right w:w="20" w:type="dxa"/>
            </w:tcMar>
            <w:vAlign w:val="bottom"/>
            <w:hideMark/>
          </w:tcPr>
          <w:p w14:paraId="6A6E0FC2" w14:textId="77777777" w:rsidR="00000000" w:rsidRDefault="00A173A8">
            <w:pPr>
              <w:spacing w:after="100"/>
              <w:rPr>
                <w:rFonts w:eastAsia="Times New Roman"/>
              </w:rPr>
            </w:pPr>
            <w:r>
              <w:rPr>
                <w:rFonts w:eastAsia="Times New Roman"/>
                <w:b/>
                <w:bCs/>
                <w:color w:val="000000"/>
                <w:sz w:val="16"/>
                <w:szCs w:val="16"/>
              </w:rPr>
              <w:t>Combined allowance and reserve as of June 30, 2022</w:t>
            </w:r>
          </w:p>
        </w:tc>
        <w:tc>
          <w:tcPr>
            <w:tcW w:w="0" w:type="auto"/>
            <w:gridSpan w:val="3"/>
            <w:shd w:val="clear" w:color="auto" w:fill="FFFFFF"/>
            <w:tcMar>
              <w:top w:w="0" w:type="dxa"/>
              <w:left w:w="20" w:type="dxa"/>
              <w:bottom w:w="0" w:type="dxa"/>
              <w:right w:w="20" w:type="dxa"/>
            </w:tcMar>
            <w:vAlign w:val="center"/>
            <w:hideMark/>
          </w:tcPr>
          <w:p w14:paraId="1B5F7127"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849952"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FAA272" w14:textId="77777777" w:rsidR="00000000" w:rsidRDefault="00A173A8">
            <w:pPr>
              <w:spacing w:after="100"/>
              <w:jc w:val="right"/>
              <w:rPr>
                <w:rFonts w:eastAsia="Times New Roman"/>
              </w:rPr>
            </w:pPr>
            <w:r>
              <w:rPr>
                <w:rFonts w:eastAsia="Times New Roman"/>
                <w:b/>
                <w:bCs/>
                <w:color w:val="000000"/>
                <w:sz w:val="16"/>
                <w:szCs w:val="16"/>
              </w:rPr>
              <w:t>7,840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36F07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B2F0C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CCA277"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819FB3" w14:textId="77777777" w:rsidR="00000000" w:rsidRDefault="00A173A8">
            <w:pPr>
              <w:spacing w:after="100"/>
              <w:jc w:val="right"/>
              <w:rPr>
                <w:rFonts w:eastAsia="Times New Roman"/>
              </w:rPr>
            </w:pPr>
            <w:r>
              <w:rPr>
                <w:rFonts w:eastAsia="Times New Roman"/>
                <w:b/>
                <w:bCs/>
                <w:color w:val="000000"/>
                <w:sz w:val="16"/>
                <w:szCs w:val="16"/>
              </w:rPr>
              <w:t>326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D8622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A60F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A79643"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53C65B4" w14:textId="77777777" w:rsidR="00000000" w:rsidRDefault="00A173A8">
            <w:pPr>
              <w:spacing w:after="100"/>
              <w:jc w:val="right"/>
              <w:rPr>
                <w:rFonts w:eastAsia="Times New Roman"/>
              </w:rPr>
            </w:pPr>
            <w:r>
              <w:rPr>
                <w:rFonts w:eastAsia="Times New Roman"/>
                <w:b/>
                <w:bCs/>
                <w:color w:val="000000"/>
                <w:sz w:val="16"/>
                <w:szCs w:val="16"/>
              </w:rPr>
              <w:t>8,166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166A4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F909DA"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FBD007"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6882AC" w14:textId="77777777" w:rsidR="00000000" w:rsidRDefault="00A173A8">
            <w:pPr>
              <w:spacing w:after="100"/>
              <w:jc w:val="right"/>
              <w:rPr>
                <w:rFonts w:eastAsia="Times New Roman"/>
              </w:rPr>
            </w:pPr>
            <w:r>
              <w:rPr>
                <w:rFonts w:eastAsia="Times New Roman"/>
                <w:b/>
                <w:bCs/>
                <w:color w:val="000000"/>
                <w:sz w:val="16"/>
                <w:szCs w:val="16"/>
              </w:rPr>
              <w:t>1,999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269CA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79AFE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5D7CC5"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885B38" w14:textId="77777777" w:rsidR="00000000" w:rsidRDefault="00A173A8">
            <w:pPr>
              <w:spacing w:after="100"/>
              <w:jc w:val="right"/>
              <w:rPr>
                <w:rFonts w:eastAsia="Times New Roman"/>
              </w:rPr>
            </w:pPr>
            <w:r>
              <w:rPr>
                <w:rFonts w:eastAsia="Times New Roman"/>
                <w:b/>
                <w:bCs/>
                <w:color w:val="000000"/>
                <w:sz w:val="16"/>
                <w:szCs w:val="16"/>
              </w:rPr>
              <w:t>48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20626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6B512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14E8D5"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351EE7" w14:textId="77777777" w:rsidR="00000000" w:rsidRDefault="00A173A8">
            <w:pPr>
              <w:spacing w:after="100"/>
              <w:jc w:val="right"/>
              <w:rPr>
                <w:rFonts w:eastAsia="Times New Roman"/>
              </w:rPr>
            </w:pPr>
            <w:r>
              <w:rPr>
                <w:rFonts w:eastAsia="Times New Roman"/>
                <w:b/>
                <w:bCs/>
                <w:color w:val="000000"/>
                <w:sz w:val="16"/>
                <w:szCs w:val="16"/>
              </w:rPr>
              <w:t>2,047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EF50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FE40A"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00C2D8C"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E3C2C7F" w14:textId="77777777" w:rsidR="00000000" w:rsidRDefault="00A173A8">
            <w:pPr>
              <w:spacing w:after="100"/>
              <w:jc w:val="right"/>
              <w:rPr>
                <w:rFonts w:eastAsia="Times New Roman"/>
              </w:rPr>
            </w:pPr>
            <w:r>
              <w:rPr>
                <w:rFonts w:eastAsia="Times New Roman"/>
                <w:b/>
                <w:bCs/>
                <w:color w:val="000000"/>
                <w:sz w:val="16"/>
                <w:szCs w:val="16"/>
              </w:rPr>
              <w:t>1,517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83FFC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7F75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D7B498"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3800B7" w14:textId="77777777" w:rsidR="00000000" w:rsidRDefault="00A173A8">
            <w:pPr>
              <w:spacing w:after="100"/>
              <w:jc w:val="right"/>
              <w:rPr>
                <w:rFonts w:eastAsia="Times New Roman"/>
              </w:rPr>
            </w:pPr>
            <w:r>
              <w:rPr>
                <w:rFonts w:eastAsia="Times New Roman"/>
                <w:b/>
                <w:bCs/>
                <w:color w:val="000000"/>
                <w:sz w:val="16"/>
                <w:szCs w:val="16"/>
              </w:rPr>
              <w:t>11,730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80299F" w14:textId="77777777" w:rsidR="00000000" w:rsidRDefault="00A173A8">
            <w:pPr>
              <w:spacing w:after="100"/>
              <w:jc w:val="right"/>
              <w:rPr>
                <w:rFonts w:eastAsia="Times New Roman"/>
              </w:rPr>
            </w:pPr>
          </w:p>
        </w:tc>
      </w:tr>
      <w:tr w:rsidR="00000000" w14:paraId="025A3F2A" w14:textId="77777777">
        <w:trPr>
          <w:divId w:val="1616132076"/>
        </w:trPr>
        <w:tc>
          <w:tcPr>
            <w:tcW w:w="0" w:type="auto"/>
            <w:gridSpan w:val="3"/>
            <w:vAlign w:val="center"/>
            <w:hideMark/>
          </w:tcPr>
          <w:p w14:paraId="2B4BE136" w14:textId="77777777" w:rsidR="00000000" w:rsidRDefault="00A173A8">
            <w:pPr>
              <w:spacing w:after="100"/>
              <w:jc w:val="right"/>
              <w:rPr>
                <w:rFonts w:eastAsia="Times New Roman"/>
                <w:sz w:val="20"/>
                <w:szCs w:val="20"/>
              </w:rPr>
            </w:pPr>
          </w:p>
        </w:tc>
        <w:tc>
          <w:tcPr>
            <w:tcW w:w="0" w:type="auto"/>
            <w:gridSpan w:val="3"/>
            <w:vAlign w:val="center"/>
            <w:hideMark/>
          </w:tcPr>
          <w:p w14:paraId="190B8D6A" w14:textId="77777777" w:rsidR="00000000" w:rsidRDefault="00A173A8">
            <w:pPr>
              <w:spacing w:after="100"/>
              <w:rPr>
                <w:rFonts w:eastAsia="Times New Roman"/>
                <w:sz w:val="20"/>
                <w:szCs w:val="20"/>
              </w:rPr>
            </w:pPr>
          </w:p>
        </w:tc>
        <w:tc>
          <w:tcPr>
            <w:tcW w:w="0" w:type="auto"/>
            <w:gridSpan w:val="3"/>
            <w:vAlign w:val="center"/>
            <w:hideMark/>
          </w:tcPr>
          <w:p w14:paraId="6B3CE935" w14:textId="77777777" w:rsidR="00000000" w:rsidRDefault="00A173A8">
            <w:pPr>
              <w:spacing w:after="100"/>
              <w:rPr>
                <w:rFonts w:eastAsia="Times New Roman"/>
                <w:sz w:val="20"/>
                <w:szCs w:val="20"/>
              </w:rPr>
            </w:pPr>
          </w:p>
        </w:tc>
        <w:tc>
          <w:tcPr>
            <w:tcW w:w="0" w:type="auto"/>
            <w:gridSpan w:val="3"/>
            <w:vAlign w:val="center"/>
            <w:hideMark/>
          </w:tcPr>
          <w:p w14:paraId="1ACB7DF5" w14:textId="77777777" w:rsidR="00000000" w:rsidRDefault="00A173A8">
            <w:pPr>
              <w:spacing w:after="100"/>
              <w:rPr>
                <w:rFonts w:eastAsia="Times New Roman"/>
                <w:sz w:val="20"/>
                <w:szCs w:val="20"/>
              </w:rPr>
            </w:pPr>
          </w:p>
        </w:tc>
        <w:tc>
          <w:tcPr>
            <w:tcW w:w="0" w:type="auto"/>
            <w:gridSpan w:val="3"/>
            <w:vAlign w:val="center"/>
            <w:hideMark/>
          </w:tcPr>
          <w:p w14:paraId="0BABE278" w14:textId="77777777" w:rsidR="00000000" w:rsidRDefault="00A173A8">
            <w:pPr>
              <w:spacing w:after="100"/>
              <w:rPr>
                <w:rFonts w:eastAsia="Times New Roman"/>
                <w:sz w:val="20"/>
                <w:szCs w:val="20"/>
              </w:rPr>
            </w:pPr>
          </w:p>
        </w:tc>
        <w:tc>
          <w:tcPr>
            <w:tcW w:w="0" w:type="auto"/>
            <w:gridSpan w:val="3"/>
            <w:vAlign w:val="center"/>
            <w:hideMark/>
          </w:tcPr>
          <w:p w14:paraId="5C1BCD7D" w14:textId="77777777" w:rsidR="00000000" w:rsidRDefault="00A173A8">
            <w:pPr>
              <w:spacing w:after="100"/>
              <w:rPr>
                <w:rFonts w:eastAsia="Times New Roman"/>
                <w:sz w:val="20"/>
                <w:szCs w:val="20"/>
              </w:rPr>
            </w:pPr>
          </w:p>
        </w:tc>
        <w:tc>
          <w:tcPr>
            <w:tcW w:w="0" w:type="auto"/>
            <w:gridSpan w:val="3"/>
            <w:vAlign w:val="center"/>
            <w:hideMark/>
          </w:tcPr>
          <w:p w14:paraId="31A72195" w14:textId="77777777" w:rsidR="00000000" w:rsidRDefault="00A173A8">
            <w:pPr>
              <w:spacing w:after="100"/>
              <w:rPr>
                <w:rFonts w:eastAsia="Times New Roman"/>
                <w:sz w:val="20"/>
                <w:szCs w:val="20"/>
              </w:rPr>
            </w:pPr>
          </w:p>
        </w:tc>
        <w:tc>
          <w:tcPr>
            <w:tcW w:w="0" w:type="auto"/>
            <w:gridSpan w:val="3"/>
            <w:vAlign w:val="center"/>
            <w:hideMark/>
          </w:tcPr>
          <w:p w14:paraId="73C01D8E" w14:textId="77777777" w:rsidR="00000000" w:rsidRDefault="00A173A8">
            <w:pPr>
              <w:spacing w:after="100"/>
              <w:rPr>
                <w:rFonts w:eastAsia="Times New Roman"/>
                <w:sz w:val="20"/>
                <w:szCs w:val="20"/>
              </w:rPr>
            </w:pPr>
          </w:p>
        </w:tc>
        <w:tc>
          <w:tcPr>
            <w:tcW w:w="0" w:type="auto"/>
            <w:gridSpan w:val="3"/>
            <w:vAlign w:val="center"/>
            <w:hideMark/>
          </w:tcPr>
          <w:p w14:paraId="2C3AB4EB" w14:textId="77777777" w:rsidR="00000000" w:rsidRDefault="00A173A8">
            <w:pPr>
              <w:spacing w:after="100"/>
              <w:rPr>
                <w:rFonts w:eastAsia="Times New Roman"/>
                <w:sz w:val="20"/>
                <w:szCs w:val="20"/>
              </w:rPr>
            </w:pPr>
          </w:p>
        </w:tc>
        <w:tc>
          <w:tcPr>
            <w:tcW w:w="0" w:type="auto"/>
            <w:gridSpan w:val="3"/>
            <w:vAlign w:val="center"/>
            <w:hideMark/>
          </w:tcPr>
          <w:p w14:paraId="633B573D" w14:textId="77777777" w:rsidR="00000000" w:rsidRDefault="00A173A8">
            <w:pPr>
              <w:spacing w:after="100"/>
              <w:rPr>
                <w:rFonts w:eastAsia="Times New Roman"/>
                <w:sz w:val="20"/>
                <w:szCs w:val="20"/>
              </w:rPr>
            </w:pPr>
          </w:p>
        </w:tc>
        <w:tc>
          <w:tcPr>
            <w:tcW w:w="0" w:type="auto"/>
            <w:gridSpan w:val="3"/>
            <w:vAlign w:val="center"/>
            <w:hideMark/>
          </w:tcPr>
          <w:p w14:paraId="768E9E04" w14:textId="77777777" w:rsidR="00000000" w:rsidRDefault="00A173A8">
            <w:pPr>
              <w:spacing w:after="100"/>
              <w:rPr>
                <w:rFonts w:eastAsia="Times New Roman"/>
                <w:sz w:val="20"/>
                <w:szCs w:val="20"/>
              </w:rPr>
            </w:pPr>
          </w:p>
        </w:tc>
        <w:tc>
          <w:tcPr>
            <w:tcW w:w="0" w:type="auto"/>
            <w:gridSpan w:val="3"/>
            <w:vAlign w:val="center"/>
            <w:hideMark/>
          </w:tcPr>
          <w:p w14:paraId="5850FE01" w14:textId="77777777" w:rsidR="00000000" w:rsidRDefault="00A173A8">
            <w:pPr>
              <w:spacing w:after="100"/>
              <w:rPr>
                <w:rFonts w:eastAsia="Times New Roman"/>
                <w:sz w:val="20"/>
                <w:szCs w:val="20"/>
              </w:rPr>
            </w:pPr>
          </w:p>
        </w:tc>
        <w:tc>
          <w:tcPr>
            <w:tcW w:w="0" w:type="auto"/>
            <w:gridSpan w:val="3"/>
            <w:vAlign w:val="center"/>
            <w:hideMark/>
          </w:tcPr>
          <w:p w14:paraId="362D64A0" w14:textId="77777777" w:rsidR="00000000" w:rsidRDefault="00A173A8">
            <w:pPr>
              <w:spacing w:after="100"/>
              <w:rPr>
                <w:rFonts w:eastAsia="Times New Roman"/>
                <w:sz w:val="20"/>
                <w:szCs w:val="20"/>
              </w:rPr>
            </w:pPr>
          </w:p>
        </w:tc>
        <w:tc>
          <w:tcPr>
            <w:tcW w:w="0" w:type="auto"/>
            <w:gridSpan w:val="3"/>
            <w:vAlign w:val="center"/>
            <w:hideMark/>
          </w:tcPr>
          <w:p w14:paraId="067A160F" w14:textId="77777777" w:rsidR="00000000" w:rsidRDefault="00A173A8">
            <w:pPr>
              <w:spacing w:after="100"/>
              <w:rPr>
                <w:rFonts w:eastAsia="Times New Roman"/>
                <w:sz w:val="20"/>
                <w:szCs w:val="20"/>
              </w:rPr>
            </w:pPr>
          </w:p>
        </w:tc>
        <w:tc>
          <w:tcPr>
            <w:tcW w:w="0" w:type="auto"/>
            <w:gridSpan w:val="3"/>
            <w:vAlign w:val="center"/>
            <w:hideMark/>
          </w:tcPr>
          <w:p w14:paraId="14ACFF50" w14:textId="77777777" w:rsidR="00000000" w:rsidRDefault="00A173A8">
            <w:pPr>
              <w:spacing w:after="100"/>
              <w:rPr>
                <w:rFonts w:eastAsia="Times New Roman"/>
                <w:sz w:val="20"/>
                <w:szCs w:val="20"/>
              </w:rPr>
            </w:pPr>
          </w:p>
        </w:tc>
        <w:tc>
          <w:tcPr>
            <w:tcW w:w="0" w:type="auto"/>
            <w:gridSpan w:val="3"/>
            <w:vAlign w:val="center"/>
            <w:hideMark/>
          </w:tcPr>
          <w:p w14:paraId="4BCB6CF0" w14:textId="77777777" w:rsidR="00000000" w:rsidRDefault="00A173A8">
            <w:pPr>
              <w:spacing w:after="100"/>
              <w:rPr>
                <w:rFonts w:eastAsia="Times New Roman"/>
                <w:sz w:val="20"/>
                <w:szCs w:val="20"/>
              </w:rPr>
            </w:pPr>
          </w:p>
        </w:tc>
        <w:tc>
          <w:tcPr>
            <w:tcW w:w="0" w:type="auto"/>
            <w:gridSpan w:val="3"/>
            <w:vAlign w:val="center"/>
            <w:hideMark/>
          </w:tcPr>
          <w:p w14:paraId="561F1AF6" w14:textId="77777777" w:rsidR="00000000" w:rsidRDefault="00A173A8">
            <w:pPr>
              <w:spacing w:after="100"/>
              <w:rPr>
                <w:rFonts w:eastAsia="Times New Roman"/>
                <w:sz w:val="20"/>
                <w:szCs w:val="20"/>
              </w:rPr>
            </w:pPr>
          </w:p>
        </w:tc>
      </w:tr>
    </w:tbl>
    <w:p w14:paraId="5B35E208" w14:textId="77777777" w:rsidR="00000000" w:rsidRDefault="00A173A8">
      <w:pPr>
        <w:jc w:val="both"/>
        <w:divId w:val="1616132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293"/>
        <w:gridCol w:w="39"/>
        <w:gridCol w:w="36"/>
        <w:gridCol w:w="36"/>
        <w:gridCol w:w="36"/>
        <w:gridCol w:w="101"/>
        <w:gridCol w:w="458"/>
        <w:gridCol w:w="36"/>
        <w:gridCol w:w="36"/>
        <w:gridCol w:w="36"/>
        <w:gridCol w:w="36"/>
        <w:gridCol w:w="101"/>
        <w:gridCol w:w="674"/>
        <w:gridCol w:w="36"/>
        <w:gridCol w:w="36"/>
        <w:gridCol w:w="36"/>
        <w:gridCol w:w="36"/>
        <w:gridCol w:w="100"/>
        <w:gridCol w:w="40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23"/>
        <w:gridCol w:w="36"/>
        <w:gridCol w:w="36"/>
        <w:gridCol w:w="36"/>
        <w:gridCol w:w="36"/>
        <w:gridCol w:w="100"/>
        <w:gridCol w:w="480"/>
        <w:gridCol w:w="36"/>
      </w:tblGrid>
      <w:tr w:rsidR="00000000" w14:paraId="0AB818DA" w14:textId="77777777">
        <w:trPr>
          <w:divId w:val="1616132076"/>
        </w:trPr>
        <w:tc>
          <w:tcPr>
            <w:tcW w:w="50" w:type="pct"/>
            <w:vAlign w:val="center"/>
            <w:hideMark/>
          </w:tcPr>
          <w:p w14:paraId="3D2D3A74" w14:textId="77777777" w:rsidR="00000000" w:rsidRDefault="00A173A8">
            <w:pPr>
              <w:jc w:val="both"/>
              <w:rPr>
                <w:rFonts w:eastAsia="Times New Roman"/>
              </w:rPr>
            </w:pPr>
          </w:p>
        </w:tc>
        <w:tc>
          <w:tcPr>
            <w:tcW w:w="1955" w:type="pct"/>
            <w:vAlign w:val="center"/>
            <w:hideMark/>
          </w:tcPr>
          <w:p w14:paraId="0B28540D" w14:textId="77777777" w:rsidR="00000000" w:rsidRDefault="00A173A8">
            <w:pPr>
              <w:spacing w:after="100"/>
              <w:rPr>
                <w:rFonts w:eastAsia="Times New Roman"/>
                <w:sz w:val="20"/>
                <w:szCs w:val="20"/>
              </w:rPr>
            </w:pPr>
          </w:p>
        </w:tc>
        <w:tc>
          <w:tcPr>
            <w:tcW w:w="5" w:type="pct"/>
            <w:vAlign w:val="center"/>
            <w:hideMark/>
          </w:tcPr>
          <w:p w14:paraId="252D3D62" w14:textId="77777777" w:rsidR="00000000" w:rsidRDefault="00A173A8">
            <w:pPr>
              <w:spacing w:after="100"/>
              <w:rPr>
                <w:rFonts w:eastAsia="Times New Roman"/>
                <w:sz w:val="20"/>
                <w:szCs w:val="20"/>
              </w:rPr>
            </w:pPr>
          </w:p>
        </w:tc>
        <w:tc>
          <w:tcPr>
            <w:tcW w:w="5" w:type="pct"/>
            <w:vAlign w:val="center"/>
            <w:hideMark/>
          </w:tcPr>
          <w:p w14:paraId="53989717" w14:textId="77777777" w:rsidR="00000000" w:rsidRDefault="00A173A8">
            <w:pPr>
              <w:spacing w:after="100"/>
              <w:rPr>
                <w:rFonts w:eastAsia="Times New Roman"/>
                <w:sz w:val="20"/>
                <w:szCs w:val="20"/>
              </w:rPr>
            </w:pPr>
          </w:p>
        </w:tc>
        <w:tc>
          <w:tcPr>
            <w:tcW w:w="26" w:type="pct"/>
            <w:vAlign w:val="center"/>
            <w:hideMark/>
          </w:tcPr>
          <w:p w14:paraId="1FE939EE" w14:textId="77777777" w:rsidR="00000000" w:rsidRDefault="00A173A8">
            <w:pPr>
              <w:spacing w:after="100"/>
              <w:rPr>
                <w:rFonts w:eastAsia="Times New Roman"/>
                <w:sz w:val="20"/>
                <w:szCs w:val="20"/>
              </w:rPr>
            </w:pPr>
          </w:p>
        </w:tc>
        <w:tc>
          <w:tcPr>
            <w:tcW w:w="5" w:type="pct"/>
            <w:vAlign w:val="center"/>
            <w:hideMark/>
          </w:tcPr>
          <w:p w14:paraId="51601A81" w14:textId="77777777" w:rsidR="00000000" w:rsidRDefault="00A173A8">
            <w:pPr>
              <w:spacing w:after="100"/>
              <w:rPr>
                <w:rFonts w:eastAsia="Times New Roman"/>
                <w:sz w:val="20"/>
                <w:szCs w:val="20"/>
              </w:rPr>
            </w:pPr>
          </w:p>
        </w:tc>
        <w:tc>
          <w:tcPr>
            <w:tcW w:w="50" w:type="pct"/>
            <w:vAlign w:val="center"/>
            <w:hideMark/>
          </w:tcPr>
          <w:p w14:paraId="6EE5A5CB" w14:textId="77777777" w:rsidR="00000000" w:rsidRDefault="00A173A8">
            <w:pPr>
              <w:spacing w:after="100"/>
              <w:rPr>
                <w:rFonts w:eastAsia="Times New Roman"/>
                <w:sz w:val="20"/>
                <w:szCs w:val="20"/>
              </w:rPr>
            </w:pPr>
          </w:p>
        </w:tc>
        <w:tc>
          <w:tcPr>
            <w:tcW w:w="266" w:type="pct"/>
            <w:vAlign w:val="center"/>
            <w:hideMark/>
          </w:tcPr>
          <w:p w14:paraId="7B166244" w14:textId="77777777" w:rsidR="00000000" w:rsidRDefault="00A173A8">
            <w:pPr>
              <w:spacing w:after="100"/>
              <w:rPr>
                <w:rFonts w:eastAsia="Times New Roman"/>
                <w:sz w:val="20"/>
                <w:szCs w:val="20"/>
              </w:rPr>
            </w:pPr>
          </w:p>
        </w:tc>
        <w:tc>
          <w:tcPr>
            <w:tcW w:w="5" w:type="pct"/>
            <w:vAlign w:val="center"/>
            <w:hideMark/>
          </w:tcPr>
          <w:p w14:paraId="24C4BEEB" w14:textId="77777777" w:rsidR="00000000" w:rsidRDefault="00A173A8">
            <w:pPr>
              <w:spacing w:after="100"/>
              <w:rPr>
                <w:rFonts w:eastAsia="Times New Roman"/>
                <w:sz w:val="20"/>
                <w:szCs w:val="20"/>
              </w:rPr>
            </w:pPr>
          </w:p>
        </w:tc>
        <w:tc>
          <w:tcPr>
            <w:tcW w:w="5" w:type="pct"/>
            <w:vAlign w:val="center"/>
            <w:hideMark/>
          </w:tcPr>
          <w:p w14:paraId="2ADD0CB9" w14:textId="77777777" w:rsidR="00000000" w:rsidRDefault="00A173A8">
            <w:pPr>
              <w:spacing w:after="100"/>
              <w:rPr>
                <w:rFonts w:eastAsia="Times New Roman"/>
                <w:sz w:val="20"/>
                <w:szCs w:val="20"/>
              </w:rPr>
            </w:pPr>
          </w:p>
        </w:tc>
        <w:tc>
          <w:tcPr>
            <w:tcW w:w="26" w:type="pct"/>
            <w:vAlign w:val="center"/>
            <w:hideMark/>
          </w:tcPr>
          <w:p w14:paraId="7D3DD664" w14:textId="77777777" w:rsidR="00000000" w:rsidRDefault="00A173A8">
            <w:pPr>
              <w:spacing w:after="100"/>
              <w:rPr>
                <w:rFonts w:eastAsia="Times New Roman"/>
                <w:sz w:val="20"/>
                <w:szCs w:val="20"/>
              </w:rPr>
            </w:pPr>
          </w:p>
        </w:tc>
        <w:tc>
          <w:tcPr>
            <w:tcW w:w="5" w:type="pct"/>
            <w:vAlign w:val="center"/>
            <w:hideMark/>
          </w:tcPr>
          <w:p w14:paraId="4856BB94" w14:textId="77777777" w:rsidR="00000000" w:rsidRDefault="00A173A8">
            <w:pPr>
              <w:spacing w:after="100"/>
              <w:rPr>
                <w:rFonts w:eastAsia="Times New Roman"/>
                <w:sz w:val="20"/>
                <w:szCs w:val="20"/>
              </w:rPr>
            </w:pPr>
          </w:p>
        </w:tc>
        <w:tc>
          <w:tcPr>
            <w:tcW w:w="50" w:type="pct"/>
            <w:vAlign w:val="center"/>
            <w:hideMark/>
          </w:tcPr>
          <w:p w14:paraId="42670358" w14:textId="77777777" w:rsidR="00000000" w:rsidRDefault="00A173A8">
            <w:pPr>
              <w:spacing w:after="100"/>
              <w:rPr>
                <w:rFonts w:eastAsia="Times New Roman"/>
                <w:sz w:val="20"/>
                <w:szCs w:val="20"/>
              </w:rPr>
            </w:pPr>
          </w:p>
        </w:tc>
        <w:tc>
          <w:tcPr>
            <w:tcW w:w="361" w:type="pct"/>
            <w:vAlign w:val="center"/>
            <w:hideMark/>
          </w:tcPr>
          <w:p w14:paraId="04F81400" w14:textId="77777777" w:rsidR="00000000" w:rsidRDefault="00A173A8">
            <w:pPr>
              <w:spacing w:after="100"/>
              <w:rPr>
                <w:rFonts w:eastAsia="Times New Roman"/>
                <w:sz w:val="20"/>
                <w:szCs w:val="20"/>
              </w:rPr>
            </w:pPr>
          </w:p>
        </w:tc>
        <w:tc>
          <w:tcPr>
            <w:tcW w:w="5" w:type="pct"/>
            <w:vAlign w:val="center"/>
            <w:hideMark/>
          </w:tcPr>
          <w:p w14:paraId="3C23ECFD" w14:textId="77777777" w:rsidR="00000000" w:rsidRDefault="00A173A8">
            <w:pPr>
              <w:spacing w:after="100"/>
              <w:rPr>
                <w:rFonts w:eastAsia="Times New Roman"/>
                <w:sz w:val="20"/>
                <w:szCs w:val="20"/>
              </w:rPr>
            </w:pPr>
          </w:p>
        </w:tc>
        <w:tc>
          <w:tcPr>
            <w:tcW w:w="5" w:type="pct"/>
            <w:vAlign w:val="center"/>
            <w:hideMark/>
          </w:tcPr>
          <w:p w14:paraId="49476719" w14:textId="77777777" w:rsidR="00000000" w:rsidRDefault="00A173A8">
            <w:pPr>
              <w:spacing w:after="100"/>
              <w:rPr>
                <w:rFonts w:eastAsia="Times New Roman"/>
                <w:sz w:val="20"/>
                <w:szCs w:val="20"/>
              </w:rPr>
            </w:pPr>
          </w:p>
        </w:tc>
        <w:tc>
          <w:tcPr>
            <w:tcW w:w="26" w:type="pct"/>
            <w:vAlign w:val="center"/>
            <w:hideMark/>
          </w:tcPr>
          <w:p w14:paraId="534B04F8" w14:textId="77777777" w:rsidR="00000000" w:rsidRDefault="00A173A8">
            <w:pPr>
              <w:spacing w:after="100"/>
              <w:rPr>
                <w:rFonts w:eastAsia="Times New Roman"/>
                <w:sz w:val="20"/>
                <w:szCs w:val="20"/>
              </w:rPr>
            </w:pPr>
          </w:p>
        </w:tc>
        <w:tc>
          <w:tcPr>
            <w:tcW w:w="5" w:type="pct"/>
            <w:vAlign w:val="center"/>
            <w:hideMark/>
          </w:tcPr>
          <w:p w14:paraId="000A849A" w14:textId="77777777" w:rsidR="00000000" w:rsidRDefault="00A173A8">
            <w:pPr>
              <w:spacing w:after="100"/>
              <w:rPr>
                <w:rFonts w:eastAsia="Times New Roman"/>
                <w:sz w:val="20"/>
                <w:szCs w:val="20"/>
              </w:rPr>
            </w:pPr>
          </w:p>
        </w:tc>
        <w:tc>
          <w:tcPr>
            <w:tcW w:w="50" w:type="pct"/>
            <w:vAlign w:val="center"/>
            <w:hideMark/>
          </w:tcPr>
          <w:p w14:paraId="2E8DA7A4" w14:textId="77777777" w:rsidR="00000000" w:rsidRDefault="00A173A8">
            <w:pPr>
              <w:spacing w:after="100"/>
              <w:rPr>
                <w:rFonts w:eastAsia="Times New Roman"/>
                <w:sz w:val="20"/>
                <w:szCs w:val="20"/>
              </w:rPr>
            </w:pPr>
          </w:p>
        </w:tc>
        <w:tc>
          <w:tcPr>
            <w:tcW w:w="266" w:type="pct"/>
            <w:vAlign w:val="center"/>
            <w:hideMark/>
          </w:tcPr>
          <w:p w14:paraId="0B65120E" w14:textId="77777777" w:rsidR="00000000" w:rsidRDefault="00A173A8">
            <w:pPr>
              <w:spacing w:after="100"/>
              <w:rPr>
                <w:rFonts w:eastAsia="Times New Roman"/>
                <w:sz w:val="20"/>
                <w:szCs w:val="20"/>
              </w:rPr>
            </w:pPr>
          </w:p>
        </w:tc>
        <w:tc>
          <w:tcPr>
            <w:tcW w:w="5" w:type="pct"/>
            <w:vAlign w:val="center"/>
            <w:hideMark/>
          </w:tcPr>
          <w:p w14:paraId="3F724B2C" w14:textId="77777777" w:rsidR="00000000" w:rsidRDefault="00A173A8">
            <w:pPr>
              <w:spacing w:after="100"/>
              <w:rPr>
                <w:rFonts w:eastAsia="Times New Roman"/>
                <w:sz w:val="20"/>
                <w:szCs w:val="20"/>
              </w:rPr>
            </w:pPr>
          </w:p>
        </w:tc>
        <w:tc>
          <w:tcPr>
            <w:tcW w:w="5" w:type="pct"/>
            <w:vAlign w:val="center"/>
            <w:hideMark/>
          </w:tcPr>
          <w:p w14:paraId="1EBAB7A5" w14:textId="77777777" w:rsidR="00000000" w:rsidRDefault="00A173A8">
            <w:pPr>
              <w:spacing w:after="100"/>
              <w:rPr>
                <w:rFonts w:eastAsia="Times New Roman"/>
                <w:sz w:val="20"/>
                <w:szCs w:val="20"/>
              </w:rPr>
            </w:pPr>
          </w:p>
        </w:tc>
        <w:tc>
          <w:tcPr>
            <w:tcW w:w="26" w:type="pct"/>
            <w:vAlign w:val="center"/>
            <w:hideMark/>
          </w:tcPr>
          <w:p w14:paraId="7C23F48D" w14:textId="77777777" w:rsidR="00000000" w:rsidRDefault="00A173A8">
            <w:pPr>
              <w:spacing w:after="100"/>
              <w:rPr>
                <w:rFonts w:eastAsia="Times New Roman"/>
                <w:sz w:val="20"/>
                <w:szCs w:val="20"/>
              </w:rPr>
            </w:pPr>
          </w:p>
        </w:tc>
        <w:tc>
          <w:tcPr>
            <w:tcW w:w="5" w:type="pct"/>
            <w:vAlign w:val="center"/>
            <w:hideMark/>
          </w:tcPr>
          <w:p w14:paraId="0A69CD99" w14:textId="77777777" w:rsidR="00000000" w:rsidRDefault="00A173A8">
            <w:pPr>
              <w:spacing w:after="100"/>
              <w:rPr>
                <w:rFonts w:eastAsia="Times New Roman"/>
                <w:sz w:val="20"/>
                <w:szCs w:val="20"/>
              </w:rPr>
            </w:pPr>
          </w:p>
        </w:tc>
        <w:tc>
          <w:tcPr>
            <w:tcW w:w="50" w:type="pct"/>
            <w:vAlign w:val="center"/>
            <w:hideMark/>
          </w:tcPr>
          <w:p w14:paraId="18010A2D" w14:textId="77777777" w:rsidR="00000000" w:rsidRDefault="00A173A8">
            <w:pPr>
              <w:spacing w:after="100"/>
              <w:rPr>
                <w:rFonts w:eastAsia="Times New Roman"/>
                <w:sz w:val="20"/>
                <w:szCs w:val="20"/>
              </w:rPr>
            </w:pPr>
          </w:p>
        </w:tc>
        <w:tc>
          <w:tcPr>
            <w:tcW w:w="215" w:type="pct"/>
            <w:vAlign w:val="center"/>
            <w:hideMark/>
          </w:tcPr>
          <w:p w14:paraId="7AF01E89" w14:textId="77777777" w:rsidR="00000000" w:rsidRDefault="00A173A8">
            <w:pPr>
              <w:spacing w:after="100"/>
              <w:rPr>
                <w:rFonts w:eastAsia="Times New Roman"/>
                <w:sz w:val="20"/>
                <w:szCs w:val="20"/>
              </w:rPr>
            </w:pPr>
          </w:p>
        </w:tc>
        <w:tc>
          <w:tcPr>
            <w:tcW w:w="5" w:type="pct"/>
            <w:vAlign w:val="center"/>
            <w:hideMark/>
          </w:tcPr>
          <w:p w14:paraId="68D064D4" w14:textId="77777777" w:rsidR="00000000" w:rsidRDefault="00A173A8">
            <w:pPr>
              <w:spacing w:after="100"/>
              <w:rPr>
                <w:rFonts w:eastAsia="Times New Roman"/>
                <w:sz w:val="20"/>
                <w:szCs w:val="20"/>
              </w:rPr>
            </w:pPr>
          </w:p>
        </w:tc>
        <w:tc>
          <w:tcPr>
            <w:tcW w:w="5" w:type="pct"/>
            <w:vAlign w:val="center"/>
            <w:hideMark/>
          </w:tcPr>
          <w:p w14:paraId="1DB90AFC" w14:textId="77777777" w:rsidR="00000000" w:rsidRDefault="00A173A8">
            <w:pPr>
              <w:spacing w:after="100"/>
              <w:rPr>
                <w:rFonts w:eastAsia="Times New Roman"/>
                <w:sz w:val="20"/>
                <w:szCs w:val="20"/>
              </w:rPr>
            </w:pPr>
          </w:p>
        </w:tc>
        <w:tc>
          <w:tcPr>
            <w:tcW w:w="26" w:type="pct"/>
            <w:vAlign w:val="center"/>
            <w:hideMark/>
          </w:tcPr>
          <w:p w14:paraId="5EE72396" w14:textId="77777777" w:rsidR="00000000" w:rsidRDefault="00A173A8">
            <w:pPr>
              <w:spacing w:after="100"/>
              <w:rPr>
                <w:rFonts w:eastAsia="Times New Roman"/>
                <w:sz w:val="20"/>
                <w:szCs w:val="20"/>
              </w:rPr>
            </w:pPr>
          </w:p>
        </w:tc>
        <w:tc>
          <w:tcPr>
            <w:tcW w:w="5" w:type="pct"/>
            <w:vAlign w:val="center"/>
            <w:hideMark/>
          </w:tcPr>
          <w:p w14:paraId="644D1A9D" w14:textId="77777777" w:rsidR="00000000" w:rsidRDefault="00A173A8">
            <w:pPr>
              <w:spacing w:after="100"/>
              <w:rPr>
                <w:rFonts w:eastAsia="Times New Roman"/>
                <w:sz w:val="20"/>
                <w:szCs w:val="20"/>
              </w:rPr>
            </w:pPr>
          </w:p>
        </w:tc>
        <w:tc>
          <w:tcPr>
            <w:tcW w:w="50" w:type="pct"/>
            <w:vAlign w:val="center"/>
            <w:hideMark/>
          </w:tcPr>
          <w:p w14:paraId="7D02F32A" w14:textId="77777777" w:rsidR="00000000" w:rsidRDefault="00A173A8">
            <w:pPr>
              <w:spacing w:after="100"/>
              <w:rPr>
                <w:rFonts w:eastAsia="Times New Roman"/>
                <w:sz w:val="20"/>
                <w:szCs w:val="20"/>
              </w:rPr>
            </w:pPr>
          </w:p>
        </w:tc>
        <w:tc>
          <w:tcPr>
            <w:tcW w:w="244" w:type="pct"/>
            <w:vAlign w:val="center"/>
            <w:hideMark/>
          </w:tcPr>
          <w:p w14:paraId="7537954E" w14:textId="77777777" w:rsidR="00000000" w:rsidRDefault="00A173A8">
            <w:pPr>
              <w:spacing w:after="100"/>
              <w:rPr>
                <w:rFonts w:eastAsia="Times New Roman"/>
                <w:sz w:val="20"/>
                <w:szCs w:val="20"/>
              </w:rPr>
            </w:pPr>
          </w:p>
        </w:tc>
        <w:tc>
          <w:tcPr>
            <w:tcW w:w="5" w:type="pct"/>
            <w:vAlign w:val="center"/>
            <w:hideMark/>
          </w:tcPr>
          <w:p w14:paraId="7067C5B2" w14:textId="77777777" w:rsidR="00000000" w:rsidRDefault="00A173A8">
            <w:pPr>
              <w:spacing w:after="100"/>
              <w:rPr>
                <w:rFonts w:eastAsia="Times New Roman"/>
                <w:sz w:val="20"/>
                <w:szCs w:val="20"/>
              </w:rPr>
            </w:pPr>
          </w:p>
        </w:tc>
        <w:tc>
          <w:tcPr>
            <w:tcW w:w="5" w:type="pct"/>
            <w:vAlign w:val="center"/>
            <w:hideMark/>
          </w:tcPr>
          <w:p w14:paraId="58184150" w14:textId="77777777" w:rsidR="00000000" w:rsidRDefault="00A173A8">
            <w:pPr>
              <w:spacing w:after="100"/>
              <w:rPr>
                <w:rFonts w:eastAsia="Times New Roman"/>
                <w:sz w:val="20"/>
                <w:szCs w:val="20"/>
              </w:rPr>
            </w:pPr>
          </w:p>
        </w:tc>
        <w:tc>
          <w:tcPr>
            <w:tcW w:w="26" w:type="pct"/>
            <w:vAlign w:val="center"/>
            <w:hideMark/>
          </w:tcPr>
          <w:p w14:paraId="358E7972" w14:textId="77777777" w:rsidR="00000000" w:rsidRDefault="00A173A8">
            <w:pPr>
              <w:spacing w:after="100"/>
              <w:rPr>
                <w:rFonts w:eastAsia="Times New Roman"/>
                <w:sz w:val="20"/>
                <w:szCs w:val="20"/>
              </w:rPr>
            </w:pPr>
          </w:p>
        </w:tc>
        <w:tc>
          <w:tcPr>
            <w:tcW w:w="5" w:type="pct"/>
            <w:vAlign w:val="center"/>
            <w:hideMark/>
          </w:tcPr>
          <w:p w14:paraId="35D5ED05" w14:textId="77777777" w:rsidR="00000000" w:rsidRDefault="00A173A8">
            <w:pPr>
              <w:spacing w:after="100"/>
              <w:rPr>
                <w:rFonts w:eastAsia="Times New Roman"/>
                <w:sz w:val="20"/>
                <w:szCs w:val="20"/>
              </w:rPr>
            </w:pPr>
          </w:p>
        </w:tc>
        <w:tc>
          <w:tcPr>
            <w:tcW w:w="50" w:type="pct"/>
            <w:vAlign w:val="center"/>
            <w:hideMark/>
          </w:tcPr>
          <w:p w14:paraId="6AF2B427" w14:textId="77777777" w:rsidR="00000000" w:rsidRDefault="00A173A8">
            <w:pPr>
              <w:spacing w:after="100"/>
              <w:rPr>
                <w:rFonts w:eastAsia="Times New Roman"/>
                <w:sz w:val="20"/>
                <w:szCs w:val="20"/>
              </w:rPr>
            </w:pPr>
          </w:p>
        </w:tc>
        <w:tc>
          <w:tcPr>
            <w:tcW w:w="317" w:type="pct"/>
            <w:vAlign w:val="center"/>
            <w:hideMark/>
          </w:tcPr>
          <w:p w14:paraId="7BF6261D" w14:textId="77777777" w:rsidR="00000000" w:rsidRDefault="00A173A8">
            <w:pPr>
              <w:spacing w:after="100"/>
              <w:rPr>
                <w:rFonts w:eastAsia="Times New Roman"/>
                <w:sz w:val="20"/>
                <w:szCs w:val="20"/>
              </w:rPr>
            </w:pPr>
          </w:p>
        </w:tc>
        <w:tc>
          <w:tcPr>
            <w:tcW w:w="5" w:type="pct"/>
            <w:vAlign w:val="center"/>
            <w:hideMark/>
          </w:tcPr>
          <w:p w14:paraId="2D2120BF" w14:textId="77777777" w:rsidR="00000000" w:rsidRDefault="00A173A8">
            <w:pPr>
              <w:spacing w:after="100"/>
              <w:rPr>
                <w:rFonts w:eastAsia="Times New Roman"/>
                <w:sz w:val="20"/>
                <w:szCs w:val="20"/>
              </w:rPr>
            </w:pPr>
          </w:p>
        </w:tc>
        <w:tc>
          <w:tcPr>
            <w:tcW w:w="5" w:type="pct"/>
            <w:vAlign w:val="center"/>
            <w:hideMark/>
          </w:tcPr>
          <w:p w14:paraId="6AF1FCC0" w14:textId="77777777" w:rsidR="00000000" w:rsidRDefault="00A173A8">
            <w:pPr>
              <w:spacing w:after="100"/>
              <w:rPr>
                <w:rFonts w:eastAsia="Times New Roman"/>
                <w:sz w:val="20"/>
                <w:szCs w:val="20"/>
              </w:rPr>
            </w:pPr>
          </w:p>
        </w:tc>
        <w:tc>
          <w:tcPr>
            <w:tcW w:w="26" w:type="pct"/>
            <w:vAlign w:val="center"/>
            <w:hideMark/>
          </w:tcPr>
          <w:p w14:paraId="607A48E2" w14:textId="77777777" w:rsidR="00000000" w:rsidRDefault="00A173A8">
            <w:pPr>
              <w:spacing w:after="100"/>
              <w:rPr>
                <w:rFonts w:eastAsia="Times New Roman"/>
                <w:sz w:val="20"/>
                <w:szCs w:val="20"/>
              </w:rPr>
            </w:pPr>
          </w:p>
        </w:tc>
        <w:tc>
          <w:tcPr>
            <w:tcW w:w="5" w:type="pct"/>
            <w:vAlign w:val="center"/>
            <w:hideMark/>
          </w:tcPr>
          <w:p w14:paraId="4E4AFF1C" w14:textId="77777777" w:rsidR="00000000" w:rsidRDefault="00A173A8">
            <w:pPr>
              <w:spacing w:after="100"/>
              <w:rPr>
                <w:rFonts w:eastAsia="Times New Roman"/>
                <w:sz w:val="20"/>
                <w:szCs w:val="20"/>
              </w:rPr>
            </w:pPr>
          </w:p>
        </w:tc>
        <w:tc>
          <w:tcPr>
            <w:tcW w:w="50" w:type="pct"/>
            <w:vAlign w:val="center"/>
            <w:hideMark/>
          </w:tcPr>
          <w:p w14:paraId="2E29BC6D" w14:textId="77777777" w:rsidR="00000000" w:rsidRDefault="00A173A8">
            <w:pPr>
              <w:spacing w:after="100"/>
              <w:rPr>
                <w:rFonts w:eastAsia="Times New Roman"/>
                <w:sz w:val="20"/>
                <w:szCs w:val="20"/>
              </w:rPr>
            </w:pPr>
          </w:p>
        </w:tc>
        <w:tc>
          <w:tcPr>
            <w:tcW w:w="332" w:type="pct"/>
            <w:vAlign w:val="center"/>
            <w:hideMark/>
          </w:tcPr>
          <w:p w14:paraId="122E609E" w14:textId="77777777" w:rsidR="00000000" w:rsidRDefault="00A173A8">
            <w:pPr>
              <w:spacing w:after="100"/>
              <w:rPr>
                <w:rFonts w:eastAsia="Times New Roman"/>
                <w:sz w:val="20"/>
                <w:szCs w:val="20"/>
              </w:rPr>
            </w:pPr>
          </w:p>
        </w:tc>
        <w:tc>
          <w:tcPr>
            <w:tcW w:w="5" w:type="pct"/>
            <w:vAlign w:val="center"/>
            <w:hideMark/>
          </w:tcPr>
          <w:p w14:paraId="183D37A9" w14:textId="77777777" w:rsidR="00000000" w:rsidRDefault="00A173A8">
            <w:pPr>
              <w:spacing w:after="100"/>
              <w:rPr>
                <w:rFonts w:eastAsia="Times New Roman"/>
                <w:sz w:val="20"/>
                <w:szCs w:val="20"/>
              </w:rPr>
            </w:pPr>
          </w:p>
        </w:tc>
        <w:tc>
          <w:tcPr>
            <w:tcW w:w="5" w:type="pct"/>
            <w:vAlign w:val="center"/>
            <w:hideMark/>
          </w:tcPr>
          <w:p w14:paraId="7F8D12F3" w14:textId="77777777" w:rsidR="00000000" w:rsidRDefault="00A173A8">
            <w:pPr>
              <w:spacing w:after="100"/>
              <w:rPr>
                <w:rFonts w:eastAsia="Times New Roman"/>
                <w:sz w:val="20"/>
                <w:szCs w:val="20"/>
              </w:rPr>
            </w:pPr>
          </w:p>
        </w:tc>
        <w:tc>
          <w:tcPr>
            <w:tcW w:w="26" w:type="pct"/>
            <w:vAlign w:val="center"/>
            <w:hideMark/>
          </w:tcPr>
          <w:p w14:paraId="621CFC32" w14:textId="77777777" w:rsidR="00000000" w:rsidRDefault="00A173A8">
            <w:pPr>
              <w:spacing w:after="100"/>
              <w:rPr>
                <w:rFonts w:eastAsia="Times New Roman"/>
                <w:sz w:val="20"/>
                <w:szCs w:val="20"/>
              </w:rPr>
            </w:pPr>
          </w:p>
        </w:tc>
        <w:tc>
          <w:tcPr>
            <w:tcW w:w="5" w:type="pct"/>
            <w:vAlign w:val="center"/>
            <w:hideMark/>
          </w:tcPr>
          <w:p w14:paraId="0D03F730" w14:textId="77777777" w:rsidR="00000000" w:rsidRDefault="00A173A8">
            <w:pPr>
              <w:spacing w:after="100"/>
              <w:rPr>
                <w:rFonts w:eastAsia="Times New Roman"/>
                <w:sz w:val="20"/>
                <w:szCs w:val="20"/>
              </w:rPr>
            </w:pPr>
          </w:p>
        </w:tc>
        <w:tc>
          <w:tcPr>
            <w:tcW w:w="50" w:type="pct"/>
            <w:vAlign w:val="center"/>
            <w:hideMark/>
          </w:tcPr>
          <w:p w14:paraId="6C2EAAED" w14:textId="77777777" w:rsidR="00000000" w:rsidRDefault="00A173A8">
            <w:pPr>
              <w:spacing w:after="100"/>
              <w:rPr>
                <w:rFonts w:eastAsia="Times New Roman"/>
                <w:sz w:val="20"/>
                <w:szCs w:val="20"/>
              </w:rPr>
            </w:pPr>
          </w:p>
        </w:tc>
        <w:tc>
          <w:tcPr>
            <w:tcW w:w="252" w:type="pct"/>
            <w:vAlign w:val="center"/>
            <w:hideMark/>
          </w:tcPr>
          <w:p w14:paraId="556032AB" w14:textId="77777777" w:rsidR="00000000" w:rsidRDefault="00A173A8">
            <w:pPr>
              <w:spacing w:after="100"/>
              <w:rPr>
                <w:rFonts w:eastAsia="Times New Roman"/>
                <w:sz w:val="20"/>
                <w:szCs w:val="20"/>
              </w:rPr>
            </w:pPr>
          </w:p>
        </w:tc>
        <w:tc>
          <w:tcPr>
            <w:tcW w:w="5" w:type="pct"/>
            <w:vAlign w:val="center"/>
            <w:hideMark/>
          </w:tcPr>
          <w:p w14:paraId="6684AB9A" w14:textId="77777777" w:rsidR="00000000" w:rsidRDefault="00A173A8">
            <w:pPr>
              <w:spacing w:after="100"/>
              <w:rPr>
                <w:rFonts w:eastAsia="Times New Roman"/>
                <w:sz w:val="20"/>
                <w:szCs w:val="20"/>
              </w:rPr>
            </w:pPr>
          </w:p>
        </w:tc>
      </w:tr>
      <w:tr w:rsidR="00000000" w14:paraId="6E831047" w14:textId="77777777">
        <w:trPr>
          <w:divId w:val="1616132076"/>
        </w:trPr>
        <w:tc>
          <w:tcPr>
            <w:tcW w:w="0" w:type="auto"/>
            <w:gridSpan w:val="3"/>
            <w:tcMar>
              <w:top w:w="0" w:type="dxa"/>
              <w:left w:w="20" w:type="dxa"/>
              <w:bottom w:w="0" w:type="dxa"/>
              <w:right w:w="20" w:type="dxa"/>
            </w:tcMar>
            <w:vAlign w:val="center"/>
            <w:hideMark/>
          </w:tcPr>
          <w:p w14:paraId="539E17D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069416" w14:textId="77777777" w:rsidR="00000000" w:rsidRDefault="00A173A8">
            <w:pPr>
              <w:spacing w:after="100"/>
              <w:rPr>
                <w:rFonts w:eastAsia="Times New Roman"/>
                <w:sz w:val="20"/>
                <w:szCs w:val="20"/>
              </w:rPr>
            </w:pPr>
          </w:p>
        </w:tc>
        <w:tc>
          <w:tcPr>
            <w:tcW w:w="0" w:type="auto"/>
            <w:gridSpan w:val="45"/>
            <w:tcMar>
              <w:top w:w="30" w:type="dxa"/>
              <w:left w:w="20" w:type="dxa"/>
              <w:bottom w:w="30" w:type="dxa"/>
              <w:right w:w="20" w:type="dxa"/>
            </w:tcMar>
            <w:vAlign w:val="center"/>
            <w:hideMark/>
          </w:tcPr>
          <w:p w14:paraId="5E6BF42B" w14:textId="77777777" w:rsidR="00000000" w:rsidRDefault="00A173A8">
            <w:pPr>
              <w:spacing w:after="100"/>
              <w:jc w:val="center"/>
              <w:rPr>
                <w:rFonts w:eastAsia="Times New Roman"/>
              </w:rPr>
            </w:pPr>
            <w:r>
              <w:rPr>
                <w:rFonts w:eastAsia="Times New Roman"/>
                <w:b/>
                <w:bCs/>
                <w:color w:val="000000"/>
                <w:sz w:val="13"/>
                <w:szCs w:val="13"/>
              </w:rPr>
              <w:t>Six Months Ended June 30, 2022</w:t>
            </w:r>
          </w:p>
        </w:tc>
      </w:tr>
      <w:tr w:rsidR="00000000" w14:paraId="16DB1D21" w14:textId="77777777">
        <w:trPr>
          <w:divId w:val="1616132076"/>
        </w:trPr>
        <w:tc>
          <w:tcPr>
            <w:tcW w:w="0" w:type="auto"/>
            <w:gridSpan w:val="3"/>
            <w:tcMar>
              <w:top w:w="0" w:type="dxa"/>
              <w:left w:w="20" w:type="dxa"/>
              <w:bottom w:w="0" w:type="dxa"/>
              <w:right w:w="20" w:type="dxa"/>
            </w:tcMar>
            <w:vAlign w:val="center"/>
            <w:hideMark/>
          </w:tcPr>
          <w:p w14:paraId="35145AE5"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8EFDAA1" w14:textId="77777777" w:rsidR="00000000" w:rsidRDefault="00A173A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54A351B7" w14:textId="77777777" w:rsidR="00000000" w:rsidRDefault="00A173A8">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1882C3A8"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6B98C644" w14:textId="77777777" w:rsidR="00000000" w:rsidRDefault="00A173A8">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5EFB0E6B"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065187A"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68F8F5"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23936A" w14:textId="77777777" w:rsidR="00000000" w:rsidRDefault="00A173A8">
            <w:pPr>
              <w:spacing w:after="100"/>
              <w:rPr>
                <w:rFonts w:eastAsia="Times New Roman"/>
                <w:sz w:val="20"/>
                <w:szCs w:val="20"/>
              </w:rPr>
            </w:pPr>
          </w:p>
        </w:tc>
      </w:tr>
      <w:tr w:rsidR="00000000" w14:paraId="5A7DB365" w14:textId="77777777">
        <w:trPr>
          <w:divId w:val="1616132076"/>
        </w:trPr>
        <w:tc>
          <w:tcPr>
            <w:tcW w:w="0" w:type="auto"/>
            <w:gridSpan w:val="3"/>
            <w:tcMar>
              <w:top w:w="30" w:type="dxa"/>
              <w:left w:w="20" w:type="dxa"/>
              <w:bottom w:w="30" w:type="dxa"/>
              <w:right w:w="20" w:type="dxa"/>
            </w:tcMar>
            <w:vAlign w:val="bottom"/>
            <w:hideMark/>
          </w:tcPr>
          <w:p w14:paraId="6EF949BC" w14:textId="77777777" w:rsidR="00000000" w:rsidRDefault="00A173A8">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6C8EADD3"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AF73A9" w14:textId="77777777" w:rsidR="00000000" w:rsidRDefault="00A173A8">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3DF4E58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170CD0" w14:textId="77777777" w:rsidR="00000000" w:rsidRDefault="00A173A8">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4A53896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CB791C" w14:textId="77777777" w:rsidR="00000000" w:rsidRDefault="00A173A8">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75F1D33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4150C8" w14:textId="77777777" w:rsidR="00000000" w:rsidRDefault="00A173A8">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39C4EB0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79A511" w14:textId="77777777" w:rsidR="00000000" w:rsidRDefault="00A173A8">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1FBE4D2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A19732" w14:textId="77777777" w:rsidR="00000000" w:rsidRDefault="00A173A8">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6C323972"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DD2B3E9" w14:textId="77777777" w:rsidR="00000000" w:rsidRDefault="00A173A8">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774CE841"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76F40E" w14:textId="77777777" w:rsidR="00000000" w:rsidRDefault="00A173A8">
            <w:pPr>
              <w:spacing w:after="100"/>
              <w:jc w:val="center"/>
              <w:rPr>
                <w:rFonts w:eastAsia="Times New Roman"/>
              </w:rPr>
            </w:pPr>
            <w:r>
              <w:rPr>
                <w:rFonts w:eastAsia="Times New Roman"/>
                <w:b/>
                <w:bCs/>
                <w:color w:val="000000"/>
                <w:sz w:val="13"/>
                <w:szCs w:val="13"/>
              </w:rPr>
              <w:t>Total</w:t>
            </w:r>
          </w:p>
        </w:tc>
      </w:tr>
      <w:tr w:rsidR="00000000" w14:paraId="10AB98D5" w14:textId="77777777">
        <w:trPr>
          <w:divId w:val="161613207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5822A1" w14:textId="77777777" w:rsidR="00000000" w:rsidRDefault="00A173A8">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07353469"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2863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75916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580AD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A5903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9B205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35966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D8E37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9AF61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E0B35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4DE84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D5B2E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3E2FF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C24EC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55D9E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962F92" w14:textId="77777777" w:rsidR="00000000" w:rsidRDefault="00A173A8">
            <w:pPr>
              <w:spacing w:after="100"/>
              <w:rPr>
                <w:rFonts w:eastAsia="Times New Roman"/>
                <w:sz w:val="20"/>
                <w:szCs w:val="20"/>
              </w:rPr>
            </w:pPr>
          </w:p>
        </w:tc>
      </w:tr>
      <w:tr w:rsidR="00000000" w14:paraId="281FD417" w14:textId="77777777">
        <w:trPr>
          <w:divId w:val="1616132076"/>
        </w:trPr>
        <w:tc>
          <w:tcPr>
            <w:tcW w:w="0" w:type="auto"/>
            <w:gridSpan w:val="3"/>
            <w:vAlign w:val="center"/>
            <w:hideMark/>
          </w:tcPr>
          <w:p w14:paraId="2212DDFA" w14:textId="77777777" w:rsidR="00000000" w:rsidRDefault="00A173A8">
            <w:pPr>
              <w:spacing w:after="100"/>
              <w:rPr>
                <w:rFonts w:eastAsia="Times New Roman"/>
                <w:sz w:val="20"/>
                <w:szCs w:val="20"/>
              </w:rPr>
            </w:pPr>
          </w:p>
        </w:tc>
        <w:tc>
          <w:tcPr>
            <w:tcW w:w="0" w:type="auto"/>
            <w:gridSpan w:val="3"/>
            <w:vAlign w:val="center"/>
            <w:hideMark/>
          </w:tcPr>
          <w:p w14:paraId="48DA74F2" w14:textId="77777777" w:rsidR="00000000" w:rsidRDefault="00A173A8">
            <w:pPr>
              <w:spacing w:after="100"/>
              <w:rPr>
                <w:rFonts w:eastAsia="Times New Roman"/>
                <w:sz w:val="20"/>
                <w:szCs w:val="20"/>
              </w:rPr>
            </w:pPr>
          </w:p>
        </w:tc>
        <w:tc>
          <w:tcPr>
            <w:tcW w:w="0" w:type="auto"/>
            <w:gridSpan w:val="3"/>
            <w:vAlign w:val="center"/>
            <w:hideMark/>
          </w:tcPr>
          <w:p w14:paraId="7FC5396F" w14:textId="77777777" w:rsidR="00000000" w:rsidRDefault="00A173A8">
            <w:pPr>
              <w:spacing w:after="100"/>
              <w:rPr>
                <w:rFonts w:eastAsia="Times New Roman"/>
                <w:sz w:val="20"/>
                <w:szCs w:val="20"/>
              </w:rPr>
            </w:pPr>
          </w:p>
        </w:tc>
        <w:tc>
          <w:tcPr>
            <w:tcW w:w="0" w:type="auto"/>
            <w:gridSpan w:val="3"/>
            <w:vAlign w:val="center"/>
            <w:hideMark/>
          </w:tcPr>
          <w:p w14:paraId="4C394924" w14:textId="77777777" w:rsidR="00000000" w:rsidRDefault="00A173A8">
            <w:pPr>
              <w:spacing w:after="100"/>
              <w:rPr>
                <w:rFonts w:eastAsia="Times New Roman"/>
                <w:sz w:val="20"/>
                <w:szCs w:val="20"/>
              </w:rPr>
            </w:pPr>
          </w:p>
        </w:tc>
        <w:tc>
          <w:tcPr>
            <w:tcW w:w="0" w:type="auto"/>
            <w:gridSpan w:val="3"/>
            <w:vAlign w:val="center"/>
            <w:hideMark/>
          </w:tcPr>
          <w:p w14:paraId="4CB7C09F" w14:textId="77777777" w:rsidR="00000000" w:rsidRDefault="00A173A8">
            <w:pPr>
              <w:spacing w:after="100"/>
              <w:rPr>
                <w:rFonts w:eastAsia="Times New Roman"/>
                <w:sz w:val="20"/>
                <w:szCs w:val="20"/>
              </w:rPr>
            </w:pPr>
          </w:p>
        </w:tc>
        <w:tc>
          <w:tcPr>
            <w:tcW w:w="0" w:type="auto"/>
            <w:gridSpan w:val="3"/>
            <w:vAlign w:val="center"/>
            <w:hideMark/>
          </w:tcPr>
          <w:p w14:paraId="406565BC" w14:textId="77777777" w:rsidR="00000000" w:rsidRDefault="00A173A8">
            <w:pPr>
              <w:spacing w:after="100"/>
              <w:rPr>
                <w:rFonts w:eastAsia="Times New Roman"/>
                <w:sz w:val="20"/>
                <w:szCs w:val="20"/>
              </w:rPr>
            </w:pPr>
          </w:p>
        </w:tc>
        <w:tc>
          <w:tcPr>
            <w:tcW w:w="0" w:type="auto"/>
            <w:gridSpan w:val="3"/>
            <w:vAlign w:val="center"/>
            <w:hideMark/>
          </w:tcPr>
          <w:p w14:paraId="0CFCAC33" w14:textId="77777777" w:rsidR="00000000" w:rsidRDefault="00A173A8">
            <w:pPr>
              <w:spacing w:after="100"/>
              <w:rPr>
                <w:rFonts w:eastAsia="Times New Roman"/>
                <w:sz w:val="20"/>
                <w:szCs w:val="20"/>
              </w:rPr>
            </w:pPr>
          </w:p>
        </w:tc>
        <w:tc>
          <w:tcPr>
            <w:tcW w:w="0" w:type="auto"/>
            <w:gridSpan w:val="3"/>
            <w:vAlign w:val="center"/>
            <w:hideMark/>
          </w:tcPr>
          <w:p w14:paraId="5466DE44" w14:textId="77777777" w:rsidR="00000000" w:rsidRDefault="00A173A8">
            <w:pPr>
              <w:spacing w:after="100"/>
              <w:rPr>
                <w:rFonts w:eastAsia="Times New Roman"/>
                <w:sz w:val="20"/>
                <w:szCs w:val="20"/>
              </w:rPr>
            </w:pPr>
          </w:p>
        </w:tc>
        <w:tc>
          <w:tcPr>
            <w:tcW w:w="0" w:type="auto"/>
            <w:gridSpan w:val="3"/>
            <w:vAlign w:val="center"/>
            <w:hideMark/>
          </w:tcPr>
          <w:p w14:paraId="0969CA52" w14:textId="77777777" w:rsidR="00000000" w:rsidRDefault="00A173A8">
            <w:pPr>
              <w:spacing w:after="100"/>
              <w:rPr>
                <w:rFonts w:eastAsia="Times New Roman"/>
                <w:sz w:val="20"/>
                <w:szCs w:val="20"/>
              </w:rPr>
            </w:pPr>
          </w:p>
        </w:tc>
        <w:tc>
          <w:tcPr>
            <w:tcW w:w="0" w:type="auto"/>
            <w:gridSpan w:val="3"/>
            <w:vAlign w:val="center"/>
            <w:hideMark/>
          </w:tcPr>
          <w:p w14:paraId="3A8369AE" w14:textId="77777777" w:rsidR="00000000" w:rsidRDefault="00A173A8">
            <w:pPr>
              <w:spacing w:after="100"/>
              <w:rPr>
                <w:rFonts w:eastAsia="Times New Roman"/>
                <w:sz w:val="20"/>
                <w:szCs w:val="20"/>
              </w:rPr>
            </w:pPr>
          </w:p>
        </w:tc>
        <w:tc>
          <w:tcPr>
            <w:tcW w:w="0" w:type="auto"/>
            <w:gridSpan w:val="3"/>
            <w:vAlign w:val="center"/>
            <w:hideMark/>
          </w:tcPr>
          <w:p w14:paraId="5E7A1366" w14:textId="77777777" w:rsidR="00000000" w:rsidRDefault="00A173A8">
            <w:pPr>
              <w:spacing w:after="100"/>
              <w:rPr>
                <w:rFonts w:eastAsia="Times New Roman"/>
                <w:sz w:val="20"/>
                <w:szCs w:val="20"/>
              </w:rPr>
            </w:pPr>
          </w:p>
        </w:tc>
        <w:tc>
          <w:tcPr>
            <w:tcW w:w="0" w:type="auto"/>
            <w:gridSpan w:val="3"/>
            <w:vAlign w:val="center"/>
            <w:hideMark/>
          </w:tcPr>
          <w:p w14:paraId="0C470C12" w14:textId="77777777" w:rsidR="00000000" w:rsidRDefault="00A173A8">
            <w:pPr>
              <w:spacing w:after="100"/>
              <w:rPr>
                <w:rFonts w:eastAsia="Times New Roman"/>
                <w:sz w:val="20"/>
                <w:szCs w:val="20"/>
              </w:rPr>
            </w:pPr>
          </w:p>
        </w:tc>
        <w:tc>
          <w:tcPr>
            <w:tcW w:w="0" w:type="auto"/>
            <w:gridSpan w:val="3"/>
            <w:vAlign w:val="center"/>
            <w:hideMark/>
          </w:tcPr>
          <w:p w14:paraId="1CA6C41E" w14:textId="77777777" w:rsidR="00000000" w:rsidRDefault="00A173A8">
            <w:pPr>
              <w:spacing w:after="100"/>
              <w:rPr>
                <w:rFonts w:eastAsia="Times New Roman"/>
                <w:sz w:val="20"/>
                <w:szCs w:val="20"/>
              </w:rPr>
            </w:pPr>
          </w:p>
        </w:tc>
        <w:tc>
          <w:tcPr>
            <w:tcW w:w="0" w:type="auto"/>
            <w:gridSpan w:val="3"/>
            <w:vAlign w:val="center"/>
            <w:hideMark/>
          </w:tcPr>
          <w:p w14:paraId="44BE6181" w14:textId="77777777" w:rsidR="00000000" w:rsidRDefault="00A173A8">
            <w:pPr>
              <w:spacing w:after="100"/>
              <w:rPr>
                <w:rFonts w:eastAsia="Times New Roman"/>
                <w:sz w:val="20"/>
                <w:szCs w:val="20"/>
              </w:rPr>
            </w:pPr>
          </w:p>
        </w:tc>
        <w:tc>
          <w:tcPr>
            <w:tcW w:w="0" w:type="auto"/>
            <w:gridSpan w:val="3"/>
            <w:vAlign w:val="center"/>
            <w:hideMark/>
          </w:tcPr>
          <w:p w14:paraId="56AF6AF4" w14:textId="77777777" w:rsidR="00000000" w:rsidRDefault="00A173A8">
            <w:pPr>
              <w:spacing w:after="100"/>
              <w:rPr>
                <w:rFonts w:eastAsia="Times New Roman"/>
                <w:sz w:val="20"/>
                <w:szCs w:val="20"/>
              </w:rPr>
            </w:pPr>
          </w:p>
        </w:tc>
        <w:tc>
          <w:tcPr>
            <w:tcW w:w="0" w:type="auto"/>
            <w:gridSpan w:val="3"/>
            <w:vAlign w:val="center"/>
            <w:hideMark/>
          </w:tcPr>
          <w:p w14:paraId="22A6EB5C" w14:textId="77777777" w:rsidR="00000000" w:rsidRDefault="00A173A8">
            <w:pPr>
              <w:spacing w:after="100"/>
              <w:rPr>
                <w:rFonts w:eastAsia="Times New Roman"/>
                <w:sz w:val="20"/>
                <w:szCs w:val="20"/>
              </w:rPr>
            </w:pPr>
          </w:p>
        </w:tc>
        <w:tc>
          <w:tcPr>
            <w:tcW w:w="0" w:type="auto"/>
            <w:gridSpan w:val="3"/>
            <w:vAlign w:val="center"/>
            <w:hideMark/>
          </w:tcPr>
          <w:p w14:paraId="789FDE4B" w14:textId="77777777" w:rsidR="00000000" w:rsidRDefault="00A173A8">
            <w:pPr>
              <w:spacing w:after="100"/>
              <w:rPr>
                <w:rFonts w:eastAsia="Times New Roman"/>
                <w:sz w:val="20"/>
                <w:szCs w:val="20"/>
              </w:rPr>
            </w:pPr>
          </w:p>
        </w:tc>
      </w:tr>
      <w:tr w:rsidR="00000000" w14:paraId="40969B31" w14:textId="77777777">
        <w:trPr>
          <w:divId w:val="1616132076"/>
        </w:trPr>
        <w:tc>
          <w:tcPr>
            <w:tcW w:w="0" w:type="auto"/>
            <w:gridSpan w:val="3"/>
            <w:vAlign w:val="center"/>
            <w:hideMark/>
          </w:tcPr>
          <w:p w14:paraId="68183F1C" w14:textId="77777777" w:rsidR="00000000" w:rsidRDefault="00A173A8">
            <w:pPr>
              <w:spacing w:after="100"/>
              <w:rPr>
                <w:rFonts w:eastAsia="Times New Roman"/>
                <w:sz w:val="20"/>
                <w:szCs w:val="20"/>
              </w:rPr>
            </w:pPr>
          </w:p>
        </w:tc>
        <w:tc>
          <w:tcPr>
            <w:tcW w:w="0" w:type="auto"/>
            <w:gridSpan w:val="3"/>
            <w:vAlign w:val="center"/>
            <w:hideMark/>
          </w:tcPr>
          <w:p w14:paraId="0539FD53" w14:textId="77777777" w:rsidR="00000000" w:rsidRDefault="00A173A8">
            <w:pPr>
              <w:spacing w:after="100"/>
              <w:rPr>
                <w:rFonts w:eastAsia="Times New Roman"/>
                <w:sz w:val="20"/>
                <w:szCs w:val="20"/>
              </w:rPr>
            </w:pPr>
          </w:p>
        </w:tc>
        <w:tc>
          <w:tcPr>
            <w:tcW w:w="0" w:type="auto"/>
            <w:gridSpan w:val="3"/>
            <w:vAlign w:val="center"/>
            <w:hideMark/>
          </w:tcPr>
          <w:p w14:paraId="1CB81F10" w14:textId="77777777" w:rsidR="00000000" w:rsidRDefault="00A173A8">
            <w:pPr>
              <w:spacing w:after="100"/>
              <w:rPr>
                <w:rFonts w:eastAsia="Times New Roman"/>
                <w:sz w:val="20"/>
                <w:szCs w:val="20"/>
              </w:rPr>
            </w:pPr>
          </w:p>
        </w:tc>
        <w:tc>
          <w:tcPr>
            <w:tcW w:w="0" w:type="auto"/>
            <w:gridSpan w:val="3"/>
            <w:vAlign w:val="center"/>
            <w:hideMark/>
          </w:tcPr>
          <w:p w14:paraId="5E8C6E58" w14:textId="77777777" w:rsidR="00000000" w:rsidRDefault="00A173A8">
            <w:pPr>
              <w:spacing w:after="100"/>
              <w:rPr>
                <w:rFonts w:eastAsia="Times New Roman"/>
                <w:sz w:val="20"/>
                <w:szCs w:val="20"/>
              </w:rPr>
            </w:pPr>
          </w:p>
        </w:tc>
        <w:tc>
          <w:tcPr>
            <w:tcW w:w="0" w:type="auto"/>
            <w:gridSpan w:val="3"/>
            <w:vAlign w:val="center"/>
            <w:hideMark/>
          </w:tcPr>
          <w:p w14:paraId="4C721563" w14:textId="77777777" w:rsidR="00000000" w:rsidRDefault="00A173A8">
            <w:pPr>
              <w:spacing w:after="100"/>
              <w:rPr>
                <w:rFonts w:eastAsia="Times New Roman"/>
                <w:sz w:val="20"/>
                <w:szCs w:val="20"/>
              </w:rPr>
            </w:pPr>
          </w:p>
        </w:tc>
        <w:tc>
          <w:tcPr>
            <w:tcW w:w="0" w:type="auto"/>
            <w:gridSpan w:val="3"/>
            <w:vAlign w:val="center"/>
            <w:hideMark/>
          </w:tcPr>
          <w:p w14:paraId="4FAB54A0" w14:textId="77777777" w:rsidR="00000000" w:rsidRDefault="00A173A8">
            <w:pPr>
              <w:spacing w:after="100"/>
              <w:rPr>
                <w:rFonts w:eastAsia="Times New Roman"/>
                <w:sz w:val="20"/>
                <w:szCs w:val="20"/>
              </w:rPr>
            </w:pPr>
          </w:p>
        </w:tc>
        <w:tc>
          <w:tcPr>
            <w:tcW w:w="0" w:type="auto"/>
            <w:gridSpan w:val="3"/>
            <w:vAlign w:val="center"/>
            <w:hideMark/>
          </w:tcPr>
          <w:p w14:paraId="7ADA59E9" w14:textId="77777777" w:rsidR="00000000" w:rsidRDefault="00A173A8">
            <w:pPr>
              <w:spacing w:after="100"/>
              <w:rPr>
                <w:rFonts w:eastAsia="Times New Roman"/>
                <w:sz w:val="20"/>
                <w:szCs w:val="20"/>
              </w:rPr>
            </w:pPr>
          </w:p>
        </w:tc>
        <w:tc>
          <w:tcPr>
            <w:tcW w:w="0" w:type="auto"/>
            <w:gridSpan w:val="3"/>
            <w:vAlign w:val="center"/>
            <w:hideMark/>
          </w:tcPr>
          <w:p w14:paraId="25B82D0B" w14:textId="77777777" w:rsidR="00000000" w:rsidRDefault="00A173A8">
            <w:pPr>
              <w:spacing w:after="100"/>
              <w:rPr>
                <w:rFonts w:eastAsia="Times New Roman"/>
                <w:sz w:val="20"/>
                <w:szCs w:val="20"/>
              </w:rPr>
            </w:pPr>
          </w:p>
        </w:tc>
        <w:tc>
          <w:tcPr>
            <w:tcW w:w="0" w:type="auto"/>
            <w:gridSpan w:val="3"/>
            <w:vAlign w:val="center"/>
            <w:hideMark/>
          </w:tcPr>
          <w:p w14:paraId="25A4B9F7" w14:textId="77777777" w:rsidR="00000000" w:rsidRDefault="00A173A8">
            <w:pPr>
              <w:spacing w:after="100"/>
              <w:rPr>
                <w:rFonts w:eastAsia="Times New Roman"/>
                <w:sz w:val="20"/>
                <w:szCs w:val="20"/>
              </w:rPr>
            </w:pPr>
          </w:p>
        </w:tc>
        <w:tc>
          <w:tcPr>
            <w:tcW w:w="0" w:type="auto"/>
            <w:gridSpan w:val="3"/>
            <w:vAlign w:val="center"/>
            <w:hideMark/>
          </w:tcPr>
          <w:p w14:paraId="3B7F10B2" w14:textId="77777777" w:rsidR="00000000" w:rsidRDefault="00A173A8">
            <w:pPr>
              <w:spacing w:after="100"/>
              <w:rPr>
                <w:rFonts w:eastAsia="Times New Roman"/>
                <w:sz w:val="20"/>
                <w:szCs w:val="20"/>
              </w:rPr>
            </w:pPr>
          </w:p>
        </w:tc>
        <w:tc>
          <w:tcPr>
            <w:tcW w:w="0" w:type="auto"/>
            <w:gridSpan w:val="3"/>
            <w:vAlign w:val="center"/>
            <w:hideMark/>
          </w:tcPr>
          <w:p w14:paraId="14B05FF2" w14:textId="77777777" w:rsidR="00000000" w:rsidRDefault="00A173A8">
            <w:pPr>
              <w:spacing w:after="100"/>
              <w:rPr>
                <w:rFonts w:eastAsia="Times New Roman"/>
                <w:sz w:val="20"/>
                <w:szCs w:val="20"/>
              </w:rPr>
            </w:pPr>
          </w:p>
        </w:tc>
        <w:tc>
          <w:tcPr>
            <w:tcW w:w="0" w:type="auto"/>
            <w:gridSpan w:val="3"/>
            <w:vAlign w:val="center"/>
            <w:hideMark/>
          </w:tcPr>
          <w:p w14:paraId="4D5D943D" w14:textId="77777777" w:rsidR="00000000" w:rsidRDefault="00A173A8">
            <w:pPr>
              <w:spacing w:after="100"/>
              <w:rPr>
                <w:rFonts w:eastAsia="Times New Roman"/>
                <w:sz w:val="20"/>
                <w:szCs w:val="20"/>
              </w:rPr>
            </w:pPr>
          </w:p>
        </w:tc>
        <w:tc>
          <w:tcPr>
            <w:tcW w:w="0" w:type="auto"/>
            <w:gridSpan w:val="3"/>
            <w:vAlign w:val="center"/>
            <w:hideMark/>
          </w:tcPr>
          <w:p w14:paraId="1A0CD363" w14:textId="77777777" w:rsidR="00000000" w:rsidRDefault="00A173A8">
            <w:pPr>
              <w:spacing w:after="100"/>
              <w:rPr>
                <w:rFonts w:eastAsia="Times New Roman"/>
                <w:sz w:val="20"/>
                <w:szCs w:val="20"/>
              </w:rPr>
            </w:pPr>
          </w:p>
        </w:tc>
        <w:tc>
          <w:tcPr>
            <w:tcW w:w="0" w:type="auto"/>
            <w:gridSpan w:val="3"/>
            <w:vAlign w:val="center"/>
            <w:hideMark/>
          </w:tcPr>
          <w:p w14:paraId="79162DAA" w14:textId="77777777" w:rsidR="00000000" w:rsidRDefault="00A173A8">
            <w:pPr>
              <w:spacing w:after="100"/>
              <w:rPr>
                <w:rFonts w:eastAsia="Times New Roman"/>
                <w:sz w:val="20"/>
                <w:szCs w:val="20"/>
              </w:rPr>
            </w:pPr>
          </w:p>
        </w:tc>
        <w:tc>
          <w:tcPr>
            <w:tcW w:w="0" w:type="auto"/>
            <w:gridSpan w:val="3"/>
            <w:vAlign w:val="center"/>
            <w:hideMark/>
          </w:tcPr>
          <w:p w14:paraId="62E2D582" w14:textId="77777777" w:rsidR="00000000" w:rsidRDefault="00A173A8">
            <w:pPr>
              <w:spacing w:after="100"/>
              <w:rPr>
                <w:rFonts w:eastAsia="Times New Roman"/>
                <w:sz w:val="20"/>
                <w:szCs w:val="20"/>
              </w:rPr>
            </w:pPr>
          </w:p>
        </w:tc>
        <w:tc>
          <w:tcPr>
            <w:tcW w:w="0" w:type="auto"/>
            <w:gridSpan w:val="3"/>
            <w:vAlign w:val="center"/>
            <w:hideMark/>
          </w:tcPr>
          <w:p w14:paraId="3325B4B8" w14:textId="77777777" w:rsidR="00000000" w:rsidRDefault="00A173A8">
            <w:pPr>
              <w:spacing w:after="100"/>
              <w:rPr>
                <w:rFonts w:eastAsia="Times New Roman"/>
                <w:sz w:val="20"/>
                <w:szCs w:val="20"/>
              </w:rPr>
            </w:pPr>
          </w:p>
        </w:tc>
        <w:tc>
          <w:tcPr>
            <w:tcW w:w="0" w:type="auto"/>
            <w:gridSpan w:val="3"/>
            <w:vAlign w:val="center"/>
            <w:hideMark/>
          </w:tcPr>
          <w:p w14:paraId="4892BE2D" w14:textId="77777777" w:rsidR="00000000" w:rsidRDefault="00A173A8">
            <w:pPr>
              <w:spacing w:after="100"/>
              <w:rPr>
                <w:rFonts w:eastAsia="Times New Roman"/>
                <w:sz w:val="20"/>
                <w:szCs w:val="20"/>
              </w:rPr>
            </w:pPr>
          </w:p>
        </w:tc>
      </w:tr>
      <w:tr w:rsidR="00000000" w14:paraId="485E29F0" w14:textId="77777777">
        <w:trPr>
          <w:divId w:val="1616132076"/>
        </w:trPr>
        <w:tc>
          <w:tcPr>
            <w:tcW w:w="0" w:type="auto"/>
            <w:gridSpan w:val="3"/>
            <w:vAlign w:val="center"/>
            <w:hideMark/>
          </w:tcPr>
          <w:p w14:paraId="6CCC6E48" w14:textId="77777777" w:rsidR="00000000" w:rsidRDefault="00A173A8">
            <w:pPr>
              <w:spacing w:after="100"/>
              <w:rPr>
                <w:rFonts w:eastAsia="Times New Roman"/>
                <w:sz w:val="20"/>
                <w:szCs w:val="20"/>
              </w:rPr>
            </w:pPr>
          </w:p>
        </w:tc>
        <w:tc>
          <w:tcPr>
            <w:tcW w:w="0" w:type="auto"/>
            <w:gridSpan w:val="3"/>
            <w:vAlign w:val="center"/>
            <w:hideMark/>
          </w:tcPr>
          <w:p w14:paraId="79AFA4EE" w14:textId="77777777" w:rsidR="00000000" w:rsidRDefault="00A173A8">
            <w:pPr>
              <w:spacing w:after="100"/>
              <w:rPr>
                <w:rFonts w:eastAsia="Times New Roman"/>
                <w:sz w:val="20"/>
                <w:szCs w:val="20"/>
              </w:rPr>
            </w:pPr>
          </w:p>
        </w:tc>
        <w:tc>
          <w:tcPr>
            <w:tcW w:w="0" w:type="auto"/>
            <w:gridSpan w:val="3"/>
            <w:vAlign w:val="center"/>
            <w:hideMark/>
          </w:tcPr>
          <w:p w14:paraId="62574A80" w14:textId="77777777" w:rsidR="00000000" w:rsidRDefault="00A173A8">
            <w:pPr>
              <w:spacing w:after="100"/>
              <w:rPr>
                <w:rFonts w:eastAsia="Times New Roman"/>
                <w:sz w:val="20"/>
                <w:szCs w:val="20"/>
              </w:rPr>
            </w:pPr>
          </w:p>
        </w:tc>
        <w:tc>
          <w:tcPr>
            <w:tcW w:w="0" w:type="auto"/>
            <w:gridSpan w:val="3"/>
            <w:vAlign w:val="center"/>
            <w:hideMark/>
          </w:tcPr>
          <w:p w14:paraId="49D1FD12" w14:textId="77777777" w:rsidR="00000000" w:rsidRDefault="00A173A8">
            <w:pPr>
              <w:spacing w:after="100"/>
              <w:rPr>
                <w:rFonts w:eastAsia="Times New Roman"/>
                <w:sz w:val="20"/>
                <w:szCs w:val="20"/>
              </w:rPr>
            </w:pPr>
          </w:p>
        </w:tc>
        <w:tc>
          <w:tcPr>
            <w:tcW w:w="0" w:type="auto"/>
            <w:gridSpan w:val="3"/>
            <w:vAlign w:val="center"/>
            <w:hideMark/>
          </w:tcPr>
          <w:p w14:paraId="17E67CF3" w14:textId="77777777" w:rsidR="00000000" w:rsidRDefault="00A173A8">
            <w:pPr>
              <w:spacing w:after="100"/>
              <w:rPr>
                <w:rFonts w:eastAsia="Times New Roman"/>
                <w:sz w:val="20"/>
                <w:szCs w:val="20"/>
              </w:rPr>
            </w:pPr>
          </w:p>
        </w:tc>
        <w:tc>
          <w:tcPr>
            <w:tcW w:w="0" w:type="auto"/>
            <w:gridSpan w:val="3"/>
            <w:vAlign w:val="center"/>
            <w:hideMark/>
          </w:tcPr>
          <w:p w14:paraId="00542EDA" w14:textId="77777777" w:rsidR="00000000" w:rsidRDefault="00A173A8">
            <w:pPr>
              <w:spacing w:after="100"/>
              <w:rPr>
                <w:rFonts w:eastAsia="Times New Roman"/>
                <w:sz w:val="20"/>
                <w:szCs w:val="20"/>
              </w:rPr>
            </w:pPr>
          </w:p>
        </w:tc>
        <w:tc>
          <w:tcPr>
            <w:tcW w:w="0" w:type="auto"/>
            <w:gridSpan w:val="3"/>
            <w:vAlign w:val="center"/>
            <w:hideMark/>
          </w:tcPr>
          <w:p w14:paraId="389619FE" w14:textId="77777777" w:rsidR="00000000" w:rsidRDefault="00A173A8">
            <w:pPr>
              <w:spacing w:after="100"/>
              <w:rPr>
                <w:rFonts w:eastAsia="Times New Roman"/>
                <w:sz w:val="20"/>
                <w:szCs w:val="20"/>
              </w:rPr>
            </w:pPr>
          </w:p>
        </w:tc>
        <w:tc>
          <w:tcPr>
            <w:tcW w:w="0" w:type="auto"/>
            <w:gridSpan w:val="3"/>
            <w:vAlign w:val="center"/>
            <w:hideMark/>
          </w:tcPr>
          <w:p w14:paraId="716FF2F9" w14:textId="77777777" w:rsidR="00000000" w:rsidRDefault="00A173A8">
            <w:pPr>
              <w:spacing w:after="100"/>
              <w:rPr>
                <w:rFonts w:eastAsia="Times New Roman"/>
                <w:sz w:val="20"/>
                <w:szCs w:val="20"/>
              </w:rPr>
            </w:pPr>
          </w:p>
        </w:tc>
        <w:tc>
          <w:tcPr>
            <w:tcW w:w="0" w:type="auto"/>
            <w:gridSpan w:val="3"/>
            <w:vAlign w:val="center"/>
            <w:hideMark/>
          </w:tcPr>
          <w:p w14:paraId="6EC9308B" w14:textId="77777777" w:rsidR="00000000" w:rsidRDefault="00A173A8">
            <w:pPr>
              <w:spacing w:after="100"/>
              <w:rPr>
                <w:rFonts w:eastAsia="Times New Roman"/>
                <w:sz w:val="20"/>
                <w:szCs w:val="20"/>
              </w:rPr>
            </w:pPr>
          </w:p>
        </w:tc>
        <w:tc>
          <w:tcPr>
            <w:tcW w:w="0" w:type="auto"/>
            <w:gridSpan w:val="3"/>
            <w:vAlign w:val="center"/>
            <w:hideMark/>
          </w:tcPr>
          <w:p w14:paraId="37582887" w14:textId="77777777" w:rsidR="00000000" w:rsidRDefault="00A173A8">
            <w:pPr>
              <w:spacing w:after="100"/>
              <w:rPr>
                <w:rFonts w:eastAsia="Times New Roman"/>
                <w:sz w:val="20"/>
                <w:szCs w:val="20"/>
              </w:rPr>
            </w:pPr>
          </w:p>
        </w:tc>
        <w:tc>
          <w:tcPr>
            <w:tcW w:w="0" w:type="auto"/>
            <w:gridSpan w:val="3"/>
            <w:vAlign w:val="center"/>
            <w:hideMark/>
          </w:tcPr>
          <w:p w14:paraId="4C178966" w14:textId="77777777" w:rsidR="00000000" w:rsidRDefault="00A173A8">
            <w:pPr>
              <w:spacing w:after="100"/>
              <w:rPr>
                <w:rFonts w:eastAsia="Times New Roman"/>
                <w:sz w:val="20"/>
                <w:szCs w:val="20"/>
              </w:rPr>
            </w:pPr>
          </w:p>
        </w:tc>
        <w:tc>
          <w:tcPr>
            <w:tcW w:w="0" w:type="auto"/>
            <w:gridSpan w:val="3"/>
            <w:vAlign w:val="center"/>
            <w:hideMark/>
          </w:tcPr>
          <w:p w14:paraId="3DFEFD66" w14:textId="77777777" w:rsidR="00000000" w:rsidRDefault="00A173A8">
            <w:pPr>
              <w:spacing w:after="100"/>
              <w:rPr>
                <w:rFonts w:eastAsia="Times New Roman"/>
                <w:sz w:val="20"/>
                <w:szCs w:val="20"/>
              </w:rPr>
            </w:pPr>
          </w:p>
        </w:tc>
        <w:tc>
          <w:tcPr>
            <w:tcW w:w="0" w:type="auto"/>
            <w:gridSpan w:val="3"/>
            <w:vAlign w:val="center"/>
            <w:hideMark/>
          </w:tcPr>
          <w:p w14:paraId="7A4C08BE" w14:textId="77777777" w:rsidR="00000000" w:rsidRDefault="00A173A8">
            <w:pPr>
              <w:spacing w:after="100"/>
              <w:rPr>
                <w:rFonts w:eastAsia="Times New Roman"/>
                <w:sz w:val="20"/>
                <w:szCs w:val="20"/>
              </w:rPr>
            </w:pPr>
          </w:p>
        </w:tc>
        <w:tc>
          <w:tcPr>
            <w:tcW w:w="0" w:type="auto"/>
            <w:gridSpan w:val="3"/>
            <w:vAlign w:val="center"/>
            <w:hideMark/>
          </w:tcPr>
          <w:p w14:paraId="51F8674B" w14:textId="77777777" w:rsidR="00000000" w:rsidRDefault="00A173A8">
            <w:pPr>
              <w:spacing w:after="100"/>
              <w:rPr>
                <w:rFonts w:eastAsia="Times New Roman"/>
                <w:sz w:val="20"/>
                <w:szCs w:val="20"/>
              </w:rPr>
            </w:pPr>
          </w:p>
        </w:tc>
        <w:tc>
          <w:tcPr>
            <w:tcW w:w="0" w:type="auto"/>
            <w:gridSpan w:val="3"/>
            <w:vAlign w:val="center"/>
            <w:hideMark/>
          </w:tcPr>
          <w:p w14:paraId="419F9544" w14:textId="77777777" w:rsidR="00000000" w:rsidRDefault="00A173A8">
            <w:pPr>
              <w:spacing w:after="100"/>
              <w:rPr>
                <w:rFonts w:eastAsia="Times New Roman"/>
                <w:sz w:val="20"/>
                <w:szCs w:val="20"/>
              </w:rPr>
            </w:pPr>
          </w:p>
        </w:tc>
        <w:tc>
          <w:tcPr>
            <w:tcW w:w="0" w:type="auto"/>
            <w:gridSpan w:val="3"/>
            <w:vAlign w:val="center"/>
            <w:hideMark/>
          </w:tcPr>
          <w:p w14:paraId="222E368F" w14:textId="77777777" w:rsidR="00000000" w:rsidRDefault="00A173A8">
            <w:pPr>
              <w:spacing w:after="100"/>
              <w:rPr>
                <w:rFonts w:eastAsia="Times New Roman"/>
                <w:sz w:val="20"/>
                <w:szCs w:val="20"/>
              </w:rPr>
            </w:pPr>
          </w:p>
        </w:tc>
        <w:tc>
          <w:tcPr>
            <w:tcW w:w="0" w:type="auto"/>
            <w:gridSpan w:val="3"/>
            <w:vAlign w:val="center"/>
            <w:hideMark/>
          </w:tcPr>
          <w:p w14:paraId="61EFD228" w14:textId="77777777" w:rsidR="00000000" w:rsidRDefault="00A173A8">
            <w:pPr>
              <w:spacing w:after="100"/>
              <w:rPr>
                <w:rFonts w:eastAsia="Times New Roman"/>
                <w:sz w:val="20"/>
                <w:szCs w:val="20"/>
              </w:rPr>
            </w:pPr>
          </w:p>
        </w:tc>
      </w:tr>
      <w:tr w:rsidR="00000000" w14:paraId="5FA6BF7F" w14:textId="77777777">
        <w:trPr>
          <w:divId w:val="1616132076"/>
        </w:trPr>
        <w:tc>
          <w:tcPr>
            <w:tcW w:w="0" w:type="auto"/>
            <w:gridSpan w:val="3"/>
            <w:vAlign w:val="center"/>
            <w:hideMark/>
          </w:tcPr>
          <w:p w14:paraId="5F7BBB1F" w14:textId="77777777" w:rsidR="00000000" w:rsidRDefault="00A173A8">
            <w:pPr>
              <w:spacing w:after="100"/>
              <w:rPr>
                <w:rFonts w:eastAsia="Times New Roman"/>
                <w:sz w:val="20"/>
                <w:szCs w:val="20"/>
              </w:rPr>
            </w:pPr>
          </w:p>
        </w:tc>
        <w:tc>
          <w:tcPr>
            <w:tcW w:w="0" w:type="auto"/>
            <w:gridSpan w:val="3"/>
            <w:vAlign w:val="center"/>
            <w:hideMark/>
          </w:tcPr>
          <w:p w14:paraId="28C6736C" w14:textId="77777777" w:rsidR="00000000" w:rsidRDefault="00A173A8">
            <w:pPr>
              <w:spacing w:after="100"/>
              <w:rPr>
                <w:rFonts w:eastAsia="Times New Roman"/>
                <w:sz w:val="20"/>
                <w:szCs w:val="20"/>
              </w:rPr>
            </w:pPr>
          </w:p>
        </w:tc>
        <w:tc>
          <w:tcPr>
            <w:tcW w:w="0" w:type="auto"/>
            <w:gridSpan w:val="3"/>
            <w:vAlign w:val="center"/>
            <w:hideMark/>
          </w:tcPr>
          <w:p w14:paraId="6046C3EF" w14:textId="77777777" w:rsidR="00000000" w:rsidRDefault="00A173A8">
            <w:pPr>
              <w:spacing w:after="100"/>
              <w:rPr>
                <w:rFonts w:eastAsia="Times New Roman"/>
                <w:sz w:val="20"/>
                <w:szCs w:val="20"/>
              </w:rPr>
            </w:pPr>
          </w:p>
        </w:tc>
        <w:tc>
          <w:tcPr>
            <w:tcW w:w="0" w:type="auto"/>
            <w:gridSpan w:val="3"/>
            <w:vAlign w:val="center"/>
            <w:hideMark/>
          </w:tcPr>
          <w:p w14:paraId="15D78F87" w14:textId="77777777" w:rsidR="00000000" w:rsidRDefault="00A173A8">
            <w:pPr>
              <w:spacing w:after="100"/>
              <w:rPr>
                <w:rFonts w:eastAsia="Times New Roman"/>
                <w:sz w:val="20"/>
                <w:szCs w:val="20"/>
              </w:rPr>
            </w:pPr>
          </w:p>
        </w:tc>
        <w:tc>
          <w:tcPr>
            <w:tcW w:w="0" w:type="auto"/>
            <w:gridSpan w:val="3"/>
            <w:vAlign w:val="center"/>
            <w:hideMark/>
          </w:tcPr>
          <w:p w14:paraId="09A9F082" w14:textId="77777777" w:rsidR="00000000" w:rsidRDefault="00A173A8">
            <w:pPr>
              <w:spacing w:after="100"/>
              <w:rPr>
                <w:rFonts w:eastAsia="Times New Roman"/>
                <w:sz w:val="20"/>
                <w:szCs w:val="20"/>
              </w:rPr>
            </w:pPr>
          </w:p>
        </w:tc>
        <w:tc>
          <w:tcPr>
            <w:tcW w:w="0" w:type="auto"/>
            <w:gridSpan w:val="3"/>
            <w:vAlign w:val="center"/>
            <w:hideMark/>
          </w:tcPr>
          <w:p w14:paraId="577C631F" w14:textId="77777777" w:rsidR="00000000" w:rsidRDefault="00A173A8">
            <w:pPr>
              <w:spacing w:after="100"/>
              <w:rPr>
                <w:rFonts w:eastAsia="Times New Roman"/>
                <w:sz w:val="20"/>
                <w:szCs w:val="20"/>
              </w:rPr>
            </w:pPr>
          </w:p>
        </w:tc>
        <w:tc>
          <w:tcPr>
            <w:tcW w:w="0" w:type="auto"/>
            <w:gridSpan w:val="3"/>
            <w:vAlign w:val="center"/>
            <w:hideMark/>
          </w:tcPr>
          <w:p w14:paraId="59F3896E" w14:textId="77777777" w:rsidR="00000000" w:rsidRDefault="00A173A8">
            <w:pPr>
              <w:spacing w:after="100"/>
              <w:rPr>
                <w:rFonts w:eastAsia="Times New Roman"/>
                <w:sz w:val="20"/>
                <w:szCs w:val="20"/>
              </w:rPr>
            </w:pPr>
          </w:p>
        </w:tc>
        <w:tc>
          <w:tcPr>
            <w:tcW w:w="0" w:type="auto"/>
            <w:gridSpan w:val="3"/>
            <w:vAlign w:val="center"/>
            <w:hideMark/>
          </w:tcPr>
          <w:p w14:paraId="6EEC33C0" w14:textId="77777777" w:rsidR="00000000" w:rsidRDefault="00A173A8">
            <w:pPr>
              <w:spacing w:after="100"/>
              <w:rPr>
                <w:rFonts w:eastAsia="Times New Roman"/>
                <w:sz w:val="20"/>
                <w:szCs w:val="20"/>
              </w:rPr>
            </w:pPr>
          </w:p>
        </w:tc>
        <w:tc>
          <w:tcPr>
            <w:tcW w:w="0" w:type="auto"/>
            <w:gridSpan w:val="3"/>
            <w:vAlign w:val="center"/>
            <w:hideMark/>
          </w:tcPr>
          <w:p w14:paraId="768A3113" w14:textId="77777777" w:rsidR="00000000" w:rsidRDefault="00A173A8">
            <w:pPr>
              <w:spacing w:after="100"/>
              <w:rPr>
                <w:rFonts w:eastAsia="Times New Roman"/>
                <w:sz w:val="20"/>
                <w:szCs w:val="20"/>
              </w:rPr>
            </w:pPr>
          </w:p>
        </w:tc>
        <w:tc>
          <w:tcPr>
            <w:tcW w:w="0" w:type="auto"/>
            <w:gridSpan w:val="3"/>
            <w:vAlign w:val="center"/>
            <w:hideMark/>
          </w:tcPr>
          <w:p w14:paraId="2E89AE7F" w14:textId="77777777" w:rsidR="00000000" w:rsidRDefault="00A173A8">
            <w:pPr>
              <w:spacing w:after="100"/>
              <w:rPr>
                <w:rFonts w:eastAsia="Times New Roman"/>
                <w:sz w:val="20"/>
                <w:szCs w:val="20"/>
              </w:rPr>
            </w:pPr>
          </w:p>
        </w:tc>
        <w:tc>
          <w:tcPr>
            <w:tcW w:w="0" w:type="auto"/>
            <w:gridSpan w:val="3"/>
            <w:vAlign w:val="center"/>
            <w:hideMark/>
          </w:tcPr>
          <w:p w14:paraId="72F81D11" w14:textId="77777777" w:rsidR="00000000" w:rsidRDefault="00A173A8">
            <w:pPr>
              <w:spacing w:after="100"/>
              <w:rPr>
                <w:rFonts w:eastAsia="Times New Roman"/>
                <w:sz w:val="20"/>
                <w:szCs w:val="20"/>
              </w:rPr>
            </w:pPr>
          </w:p>
        </w:tc>
        <w:tc>
          <w:tcPr>
            <w:tcW w:w="0" w:type="auto"/>
            <w:gridSpan w:val="3"/>
            <w:vAlign w:val="center"/>
            <w:hideMark/>
          </w:tcPr>
          <w:p w14:paraId="33801AB3" w14:textId="77777777" w:rsidR="00000000" w:rsidRDefault="00A173A8">
            <w:pPr>
              <w:spacing w:after="100"/>
              <w:rPr>
                <w:rFonts w:eastAsia="Times New Roman"/>
                <w:sz w:val="20"/>
                <w:szCs w:val="20"/>
              </w:rPr>
            </w:pPr>
          </w:p>
        </w:tc>
        <w:tc>
          <w:tcPr>
            <w:tcW w:w="0" w:type="auto"/>
            <w:gridSpan w:val="3"/>
            <w:vAlign w:val="center"/>
            <w:hideMark/>
          </w:tcPr>
          <w:p w14:paraId="548D12E0" w14:textId="77777777" w:rsidR="00000000" w:rsidRDefault="00A173A8">
            <w:pPr>
              <w:spacing w:after="100"/>
              <w:rPr>
                <w:rFonts w:eastAsia="Times New Roman"/>
                <w:sz w:val="20"/>
                <w:szCs w:val="20"/>
              </w:rPr>
            </w:pPr>
          </w:p>
        </w:tc>
        <w:tc>
          <w:tcPr>
            <w:tcW w:w="0" w:type="auto"/>
            <w:gridSpan w:val="3"/>
            <w:vAlign w:val="center"/>
            <w:hideMark/>
          </w:tcPr>
          <w:p w14:paraId="431A1103" w14:textId="77777777" w:rsidR="00000000" w:rsidRDefault="00A173A8">
            <w:pPr>
              <w:spacing w:after="100"/>
              <w:rPr>
                <w:rFonts w:eastAsia="Times New Roman"/>
                <w:sz w:val="20"/>
                <w:szCs w:val="20"/>
              </w:rPr>
            </w:pPr>
          </w:p>
        </w:tc>
        <w:tc>
          <w:tcPr>
            <w:tcW w:w="0" w:type="auto"/>
            <w:gridSpan w:val="3"/>
            <w:vAlign w:val="center"/>
            <w:hideMark/>
          </w:tcPr>
          <w:p w14:paraId="5A0B80AC" w14:textId="77777777" w:rsidR="00000000" w:rsidRDefault="00A173A8">
            <w:pPr>
              <w:spacing w:after="100"/>
              <w:rPr>
                <w:rFonts w:eastAsia="Times New Roman"/>
                <w:sz w:val="20"/>
                <w:szCs w:val="20"/>
              </w:rPr>
            </w:pPr>
          </w:p>
        </w:tc>
        <w:tc>
          <w:tcPr>
            <w:tcW w:w="0" w:type="auto"/>
            <w:gridSpan w:val="3"/>
            <w:vAlign w:val="center"/>
            <w:hideMark/>
          </w:tcPr>
          <w:p w14:paraId="0654257F" w14:textId="77777777" w:rsidR="00000000" w:rsidRDefault="00A173A8">
            <w:pPr>
              <w:spacing w:after="100"/>
              <w:rPr>
                <w:rFonts w:eastAsia="Times New Roman"/>
                <w:sz w:val="20"/>
                <w:szCs w:val="20"/>
              </w:rPr>
            </w:pPr>
          </w:p>
        </w:tc>
        <w:tc>
          <w:tcPr>
            <w:tcW w:w="0" w:type="auto"/>
            <w:gridSpan w:val="3"/>
            <w:vAlign w:val="center"/>
            <w:hideMark/>
          </w:tcPr>
          <w:p w14:paraId="652F38E6" w14:textId="77777777" w:rsidR="00000000" w:rsidRDefault="00A173A8">
            <w:pPr>
              <w:spacing w:after="100"/>
              <w:rPr>
                <w:rFonts w:eastAsia="Times New Roman"/>
                <w:sz w:val="20"/>
                <w:szCs w:val="20"/>
              </w:rPr>
            </w:pPr>
          </w:p>
        </w:tc>
      </w:tr>
      <w:tr w:rsidR="00000000" w14:paraId="6824F204" w14:textId="77777777">
        <w:trPr>
          <w:divId w:val="1616132076"/>
        </w:trPr>
        <w:tc>
          <w:tcPr>
            <w:tcW w:w="0" w:type="auto"/>
            <w:gridSpan w:val="3"/>
            <w:vAlign w:val="center"/>
            <w:hideMark/>
          </w:tcPr>
          <w:p w14:paraId="1B0D5337" w14:textId="77777777" w:rsidR="00000000" w:rsidRDefault="00A173A8">
            <w:pPr>
              <w:spacing w:after="100"/>
              <w:rPr>
                <w:rFonts w:eastAsia="Times New Roman"/>
                <w:sz w:val="20"/>
                <w:szCs w:val="20"/>
              </w:rPr>
            </w:pPr>
          </w:p>
        </w:tc>
        <w:tc>
          <w:tcPr>
            <w:tcW w:w="0" w:type="auto"/>
            <w:gridSpan w:val="3"/>
            <w:vAlign w:val="center"/>
            <w:hideMark/>
          </w:tcPr>
          <w:p w14:paraId="693E23EB" w14:textId="77777777" w:rsidR="00000000" w:rsidRDefault="00A173A8">
            <w:pPr>
              <w:spacing w:after="100"/>
              <w:rPr>
                <w:rFonts w:eastAsia="Times New Roman"/>
                <w:sz w:val="20"/>
                <w:szCs w:val="20"/>
              </w:rPr>
            </w:pPr>
          </w:p>
        </w:tc>
        <w:tc>
          <w:tcPr>
            <w:tcW w:w="0" w:type="auto"/>
            <w:gridSpan w:val="3"/>
            <w:vAlign w:val="center"/>
            <w:hideMark/>
          </w:tcPr>
          <w:p w14:paraId="0FF4DE64" w14:textId="77777777" w:rsidR="00000000" w:rsidRDefault="00A173A8">
            <w:pPr>
              <w:spacing w:after="100"/>
              <w:rPr>
                <w:rFonts w:eastAsia="Times New Roman"/>
                <w:sz w:val="20"/>
                <w:szCs w:val="20"/>
              </w:rPr>
            </w:pPr>
          </w:p>
        </w:tc>
        <w:tc>
          <w:tcPr>
            <w:tcW w:w="0" w:type="auto"/>
            <w:gridSpan w:val="3"/>
            <w:vAlign w:val="center"/>
            <w:hideMark/>
          </w:tcPr>
          <w:p w14:paraId="40046B02" w14:textId="77777777" w:rsidR="00000000" w:rsidRDefault="00A173A8">
            <w:pPr>
              <w:spacing w:after="100"/>
              <w:rPr>
                <w:rFonts w:eastAsia="Times New Roman"/>
                <w:sz w:val="20"/>
                <w:szCs w:val="20"/>
              </w:rPr>
            </w:pPr>
          </w:p>
        </w:tc>
        <w:tc>
          <w:tcPr>
            <w:tcW w:w="0" w:type="auto"/>
            <w:gridSpan w:val="3"/>
            <w:vAlign w:val="center"/>
            <w:hideMark/>
          </w:tcPr>
          <w:p w14:paraId="048A0CEA" w14:textId="77777777" w:rsidR="00000000" w:rsidRDefault="00A173A8">
            <w:pPr>
              <w:spacing w:after="100"/>
              <w:rPr>
                <w:rFonts w:eastAsia="Times New Roman"/>
                <w:sz w:val="20"/>
                <w:szCs w:val="20"/>
              </w:rPr>
            </w:pPr>
          </w:p>
        </w:tc>
        <w:tc>
          <w:tcPr>
            <w:tcW w:w="0" w:type="auto"/>
            <w:gridSpan w:val="3"/>
            <w:vAlign w:val="center"/>
            <w:hideMark/>
          </w:tcPr>
          <w:p w14:paraId="3F1E10AD" w14:textId="77777777" w:rsidR="00000000" w:rsidRDefault="00A173A8">
            <w:pPr>
              <w:spacing w:after="100"/>
              <w:rPr>
                <w:rFonts w:eastAsia="Times New Roman"/>
                <w:sz w:val="20"/>
                <w:szCs w:val="20"/>
              </w:rPr>
            </w:pPr>
          </w:p>
        </w:tc>
        <w:tc>
          <w:tcPr>
            <w:tcW w:w="0" w:type="auto"/>
            <w:gridSpan w:val="3"/>
            <w:vAlign w:val="center"/>
            <w:hideMark/>
          </w:tcPr>
          <w:p w14:paraId="7F728201" w14:textId="77777777" w:rsidR="00000000" w:rsidRDefault="00A173A8">
            <w:pPr>
              <w:spacing w:after="100"/>
              <w:rPr>
                <w:rFonts w:eastAsia="Times New Roman"/>
                <w:sz w:val="20"/>
                <w:szCs w:val="20"/>
              </w:rPr>
            </w:pPr>
          </w:p>
        </w:tc>
        <w:tc>
          <w:tcPr>
            <w:tcW w:w="0" w:type="auto"/>
            <w:gridSpan w:val="3"/>
            <w:vAlign w:val="center"/>
            <w:hideMark/>
          </w:tcPr>
          <w:p w14:paraId="66F2534D" w14:textId="77777777" w:rsidR="00000000" w:rsidRDefault="00A173A8">
            <w:pPr>
              <w:spacing w:after="100"/>
              <w:rPr>
                <w:rFonts w:eastAsia="Times New Roman"/>
                <w:sz w:val="20"/>
                <w:szCs w:val="20"/>
              </w:rPr>
            </w:pPr>
          </w:p>
        </w:tc>
        <w:tc>
          <w:tcPr>
            <w:tcW w:w="0" w:type="auto"/>
            <w:gridSpan w:val="3"/>
            <w:vAlign w:val="center"/>
            <w:hideMark/>
          </w:tcPr>
          <w:p w14:paraId="7972A363" w14:textId="77777777" w:rsidR="00000000" w:rsidRDefault="00A173A8">
            <w:pPr>
              <w:spacing w:after="100"/>
              <w:rPr>
                <w:rFonts w:eastAsia="Times New Roman"/>
                <w:sz w:val="20"/>
                <w:szCs w:val="20"/>
              </w:rPr>
            </w:pPr>
          </w:p>
        </w:tc>
        <w:tc>
          <w:tcPr>
            <w:tcW w:w="0" w:type="auto"/>
            <w:gridSpan w:val="3"/>
            <w:vAlign w:val="center"/>
            <w:hideMark/>
          </w:tcPr>
          <w:p w14:paraId="3DF2F4D1" w14:textId="77777777" w:rsidR="00000000" w:rsidRDefault="00A173A8">
            <w:pPr>
              <w:spacing w:after="100"/>
              <w:rPr>
                <w:rFonts w:eastAsia="Times New Roman"/>
                <w:sz w:val="20"/>
                <w:szCs w:val="20"/>
              </w:rPr>
            </w:pPr>
          </w:p>
        </w:tc>
        <w:tc>
          <w:tcPr>
            <w:tcW w:w="0" w:type="auto"/>
            <w:gridSpan w:val="3"/>
            <w:vAlign w:val="center"/>
            <w:hideMark/>
          </w:tcPr>
          <w:p w14:paraId="2CA6C67A" w14:textId="77777777" w:rsidR="00000000" w:rsidRDefault="00A173A8">
            <w:pPr>
              <w:spacing w:after="100"/>
              <w:rPr>
                <w:rFonts w:eastAsia="Times New Roman"/>
                <w:sz w:val="20"/>
                <w:szCs w:val="20"/>
              </w:rPr>
            </w:pPr>
          </w:p>
        </w:tc>
        <w:tc>
          <w:tcPr>
            <w:tcW w:w="0" w:type="auto"/>
            <w:gridSpan w:val="3"/>
            <w:vAlign w:val="center"/>
            <w:hideMark/>
          </w:tcPr>
          <w:p w14:paraId="1518F3EA" w14:textId="77777777" w:rsidR="00000000" w:rsidRDefault="00A173A8">
            <w:pPr>
              <w:spacing w:after="100"/>
              <w:rPr>
                <w:rFonts w:eastAsia="Times New Roman"/>
                <w:sz w:val="20"/>
                <w:szCs w:val="20"/>
              </w:rPr>
            </w:pPr>
          </w:p>
        </w:tc>
        <w:tc>
          <w:tcPr>
            <w:tcW w:w="0" w:type="auto"/>
            <w:gridSpan w:val="3"/>
            <w:vAlign w:val="center"/>
            <w:hideMark/>
          </w:tcPr>
          <w:p w14:paraId="79521752" w14:textId="77777777" w:rsidR="00000000" w:rsidRDefault="00A173A8">
            <w:pPr>
              <w:spacing w:after="100"/>
              <w:rPr>
                <w:rFonts w:eastAsia="Times New Roman"/>
                <w:sz w:val="20"/>
                <w:szCs w:val="20"/>
              </w:rPr>
            </w:pPr>
          </w:p>
        </w:tc>
        <w:tc>
          <w:tcPr>
            <w:tcW w:w="0" w:type="auto"/>
            <w:gridSpan w:val="3"/>
            <w:vAlign w:val="center"/>
            <w:hideMark/>
          </w:tcPr>
          <w:p w14:paraId="5D559149" w14:textId="77777777" w:rsidR="00000000" w:rsidRDefault="00A173A8">
            <w:pPr>
              <w:spacing w:after="100"/>
              <w:rPr>
                <w:rFonts w:eastAsia="Times New Roman"/>
                <w:sz w:val="20"/>
                <w:szCs w:val="20"/>
              </w:rPr>
            </w:pPr>
          </w:p>
        </w:tc>
        <w:tc>
          <w:tcPr>
            <w:tcW w:w="0" w:type="auto"/>
            <w:gridSpan w:val="3"/>
            <w:vAlign w:val="center"/>
            <w:hideMark/>
          </w:tcPr>
          <w:p w14:paraId="36B377F5" w14:textId="77777777" w:rsidR="00000000" w:rsidRDefault="00A173A8">
            <w:pPr>
              <w:spacing w:after="100"/>
              <w:rPr>
                <w:rFonts w:eastAsia="Times New Roman"/>
                <w:sz w:val="20"/>
                <w:szCs w:val="20"/>
              </w:rPr>
            </w:pPr>
          </w:p>
        </w:tc>
        <w:tc>
          <w:tcPr>
            <w:tcW w:w="0" w:type="auto"/>
            <w:gridSpan w:val="3"/>
            <w:vAlign w:val="center"/>
            <w:hideMark/>
          </w:tcPr>
          <w:p w14:paraId="1E0DD510" w14:textId="77777777" w:rsidR="00000000" w:rsidRDefault="00A173A8">
            <w:pPr>
              <w:spacing w:after="100"/>
              <w:rPr>
                <w:rFonts w:eastAsia="Times New Roman"/>
                <w:sz w:val="20"/>
                <w:szCs w:val="20"/>
              </w:rPr>
            </w:pPr>
          </w:p>
        </w:tc>
        <w:tc>
          <w:tcPr>
            <w:tcW w:w="0" w:type="auto"/>
            <w:gridSpan w:val="3"/>
            <w:vAlign w:val="center"/>
            <w:hideMark/>
          </w:tcPr>
          <w:p w14:paraId="13B37F3D" w14:textId="77777777" w:rsidR="00000000" w:rsidRDefault="00A173A8">
            <w:pPr>
              <w:spacing w:after="100"/>
              <w:rPr>
                <w:rFonts w:eastAsia="Times New Roman"/>
                <w:sz w:val="20"/>
                <w:szCs w:val="20"/>
              </w:rPr>
            </w:pPr>
          </w:p>
        </w:tc>
      </w:tr>
      <w:tr w:rsidR="00000000" w14:paraId="1EEAD591" w14:textId="77777777">
        <w:trPr>
          <w:divId w:val="1616132076"/>
        </w:trPr>
        <w:tc>
          <w:tcPr>
            <w:tcW w:w="0" w:type="auto"/>
            <w:gridSpan w:val="3"/>
            <w:vAlign w:val="center"/>
            <w:hideMark/>
          </w:tcPr>
          <w:p w14:paraId="6C657FC2" w14:textId="77777777" w:rsidR="00000000" w:rsidRDefault="00A173A8">
            <w:pPr>
              <w:spacing w:after="100"/>
              <w:rPr>
                <w:rFonts w:eastAsia="Times New Roman"/>
                <w:sz w:val="20"/>
                <w:szCs w:val="20"/>
              </w:rPr>
            </w:pPr>
          </w:p>
        </w:tc>
        <w:tc>
          <w:tcPr>
            <w:tcW w:w="0" w:type="auto"/>
            <w:gridSpan w:val="3"/>
            <w:vAlign w:val="center"/>
            <w:hideMark/>
          </w:tcPr>
          <w:p w14:paraId="0CE31C6E" w14:textId="77777777" w:rsidR="00000000" w:rsidRDefault="00A173A8">
            <w:pPr>
              <w:spacing w:after="100"/>
              <w:rPr>
                <w:rFonts w:eastAsia="Times New Roman"/>
                <w:sz w:val="20"/>
                <w:szCs w:val="20"/>
              </w:rPr>
            </w:pPr>
          </w:p>
        </w:tc>
        <w:tc>
          <w:tcPr>
            <w:tcW w:w="0" w:type="auto"/>
            <w:gridSpan w:val="3"/>
            <w:vAlign w:val="center"/>
            <w:hideMark/>
          </w:tcPr>
          <w:p w14:paraId="7FC6719D" w14:textId="77777777" w:rsidR="00000000" w:rsidRDefault="00A173A8">
            <w:pPr>
              <w:spacing w:after="100"/>
              <w:rPr>
                <w:rFonts w:eastAsia="Times New Roman"/>
                <w:sz w:val="20"/>
                <w:szCs w:val="20"/>
              </w:rPr>
            </w:pPr>
          </w:p>
        </w:tc>
        <w:tc>
          <w:tcPr>
            <w:tcW w:w="0" w:type="auto"/>
            <w:gridSpan w:val="3"/>
            <w:vAlign w:val="center"/>
            <w:hideMark/>
          </w:tcPr>
          <w:p w14:paraId="7B018313" w14:textId="77777777" w:rsidR="00000000" w:rsidRDefault="00A173A8">
            <w:pPr>
              <w:spacing w:after="100"/>
              <w:rPr>
                <w:rFonts w:eastAsia="Times New Roman"/>
                <w:sz w:val="20"/>
                <w:szCs w:val="20"/>
              </w:rPr>
            </w:pPr>
          </w:p>
        </w:tc>
        <w:tc>
          <w:tcPr>
            <w:tcW w:w="0" w:type="auto"/>
            <w:gridSpan w:val="3"/>
            <w:vAlign w:val="center"/>
            <w:hideMark/>
          </w:tcPr>
          <w:p w14:paraId="040E779A" w14:textId="77777777" w:rsidR="00000000" w:rsidRDefault="00A173A8">
            <w:pPr>
              <w:spacing w:after="100"/>
              <w:rPr>
                <w:rFonts w:eastAsia="Times New Roman"/>
                <w:sz w:val="20"/>
                <w:szCs w:val="20"/>
              </w:rPr>
            </w:pPr>
          </w:p>
        </w:tc>
        <w:tc>
          <w:tcPr>
            <w:tcW w:w="0" w:type="auto"/>
            <w:gridSpan w:val="3"/>
            <w:vAlign w:val="center"/>
            <w:hideMark/>
          </w:tcPr>
          <w:p w14:paraId="3A0F00A0" w14:textId="77777777" w:rsidR="00000000" w:rsidRDefault="00A173A8">
            <w:pPr>
              <w:spacing w:after="100"/>
              <w:rPr>
                <w:rFonts w:eastAsia="Times New Roman"/>
                <w:sz w:val="20"/>
                <w:szCs w:val="20"/>
              </w:rPr>
            </w:pPr>
          </w:p>
        </w:tc>
        <w:tc>
          <w:tcPr>
            <w:tcW w:w="0" w:type="auto"/>
            <w:gridSpan w:val="3"/>
            <w:vAlign w:val="center"/>
            <w:hideMark/>
          </w:tcPr>
          <w:p w14:paraId="6C97BE02" w14:textId="77777777" w:rsidR="00000000" w:rsidRDefault="00A173A8">
            <w:pPr>
              <w:spacing w:after="100"/>
              <w:rPr>
                <w:rFonts w:eastAsia="Times New Roman"/>
                <w:sz w:val="20"/>
                <w:szCs w:val="20"/>
              </w:rPr>
            </w:pPr>
          </w:p>
        </w:tc>
        <w:tc>
          <w:tcPr>
            <w:tcW w:w="0" w:type="auto"/>
            <w:gridSpan w:val="3"/>
            <w:vAlign w:val="center"/>
            <w:hideMark/>
          </w:tcPr>
          <w:p w14:paraId="1461424C" w14:textId="77777777" w:rsidR="00000000" w:rsidRDefault="00A173A8">
            <w:pPr>
              <w:spacing w:after="100"/>
              <w:rPr>
                <w:rFonts w:eastAsia="Times New Roman"/>
                <w:sz w:val="20"/>
                <w:szCs w:val="20"/>
              </w:rPr>
            </w:pPr>
          </w:p>
        </w:tc>
        <w:tc>
          <w:tcPr>
            <w:tcW w:w="0" w:type="auto"/>
            <w:gridSpan w:val="3"/>
            <w:vAlign w:val="center"/>
            <w:hideMark/>
          </w:tcPr>
          <w:p w14:paraId="723922EA" w14:textId="77777777" w:rsidR="00000000" w:rsidRDefault="00A173A8">
            <w:pPr>
              <w:spacing w:after="100"/>
              <w:rPr>
                <w:rFonts w:eastAsia="Times New Roman"/>
                <w:sz w:val="20"/>
                <w:szCs w:val="20"/>
              </w:rPr>
            </w:pPr>
          </w:p>
        </w:tc>
        <w:tc>
          <w:tcPr>
            <w:tcW w:w="0" w:type="auto"/>
            <w:gridSpan w:val="3"/>
            <w:vAlign w:val="center"/>
            <w:hideMark/>
          </w:tcPr>
          <w:p w14:paraId="14FD6BE3" w14:textId="77777777" w:rsidR="00000000" w:rsidRDefault="00A173A8">
            <w:pPr>
              <w:spacing w:after="100"/>
              <w:rPr>
                <w:rFonts w:eastAsia="Times New Roman"/>
                <w:sz w:val="20"/>
                <w:szCs w:val="20"/>
              </w:rPr>
            </w:pPr>
          </w:p>
        </w:tc>
        <w:tc>
          <w:tcPr>
            <w:tcW w:w="0" w:type="auto"/>
            <w:gridSpan w:val="3"/>
            <w:vAlign w:val="center"/>
            <w:hideMark/>
          </w:tcPr>
          <w:p w14:paraId="5920A720" w14:textId="77777777" w:rsidR="00000000" w:rsidRDefault="00A173A8">
            <w:pPr>
              <w:spacing w:after="100"/>
              <w:rPr>
                <w:rFonts w:eastAsia="Times New Roman"/>
                <w:sz w:val="20"/>
                <w:szCs w:val="20"/>
              </w:rPr>
            </w:pPr>
          </w:p>
        </w:tc>
        <w:tc>
          <w:tcPr>
            <w:tcW w:w="0" w:type="auto"/>
            <w:gridSpan w:val="3"/>
            <w:vAlign w:val="center"/>
            <w:hideMark/>
          </w:tcPr>
          <w:p w14:paraId="54B8514A" w14:textId="77777777" w:rsidR="00000000" w:rsidRDefault="00A173A8">
            <w:pPr>
              <w:spacing w:after="100"/>
              <w:rPr>
                <w:rFonts w:eastAsia="Times New Roman"/>
                <w:sz w:val="20"/>
                <w:szCs w:val="20"/>
              </w:rPr>
            </w:pPr>
          </w:p>
        </w:tc>
        <w:tc>
          <w:tcPr>
            <w:tcW w:w="0" w:type="auto"/>
            <w:gridSpan w:val="3"/>
            <w:vAlign w:val="center"/>
            <w:hideMark/>
          </w:tcPr>
          <w:p w14:paraId="3E13557B" w14:textId="77777777" w:rsidR="00000000" w:rsidRDefault="00A173A8">
            <w:pPr>
              <w:spacing w:after="100"/>
              <w:rPr>
                <w:rFonts w:eastAsia="Times New Roman"/>
                <w:sz w:val="20"/>
                <w:szCs w:val="20"/>
              </w:rPr>
            </w:pPr>
          </w:p>
        </w:tc>
        <w:tc>
          <w:tcPr>
            <w:tcW w:w="0" w:type="auto"/>
            <w:gridSpan w:val="3"/>
            <w:vAlign w:val="center"/>
            <w:hideMark/>
          </w:tcPr>
          <w:p w14:paraId="06C3221C" w14:textId="77777777" w:rsidR="00000000" w:rsidRDefault="00A173A8">
            <w:pPr>
              <w:spacing w:after="100"/>
              <w:rPr>
                <w:rFonts w:eastAsia="Times New Roman"/>
                <w:sz w:val="20"/>
                <w:szCs w:val="20"/>
              </w:rPr>
            </w:pPr>
          </w:p>
        </w:tc>
        <w:tc>
          <w:tcPr>
            <w:tcW w:w="0" w:type="auto"/>
            <w:gridSpan w:val="3"/>
            <w:vAlign w:val="center"/>
            <w:hideMark/>
          </w:tcPr>
          <w:p w14:paraId="07003829" w14:textId="77777777" w:rsidR="00000000" w:rsidRDefault="00A173A8">
            <w:pPr>
              <w:spacing w:after="100"/>
              <w:rPr>
                <w:rFonts w:eastAsia="Times New Roman"/>
                <w:sz w:val="20"/>
                <w:szCs w:val="20"/>
              </w:rPr>
            </w:pPr>
          </w:p>
        </w:tc>
        <w:tc>
          <w:tcPr>
            <w:tcW w:w="0" w:type="auto"/>
            <w:gridSpan w:val="3"/>
            <w:vAlign w:val="center"/>
            <w:hideMark/>
          </w:tcPr>
          <w:p w14:paraId="2E7721E9" w14:textId="77777777" w:rsidR="00000000" w:rsidRDefault="00A173A8">
            <w:pPr>
              <w:spacing w:after="100"/>
              <w:rPr>
                <w:rFonts w:eastAsia="Times New Roman"/>
                <w:sz w:val="20"/>
                <w:szCs w:val="20"/>
              </w:rPr>
            </w:pPr>
          </w:p>
        </w:tc>
        <w:tc>
          <w:tcPr>
            <w:tcW w:w="0" w:type="auto"/>
            <w:gridSpan w:val="3"/>
            <w:vAlign w:val="center"/>
            <w:hideMark/>
          </w:tcPr>
          <w:p w14:paraId="2B5CB725" w14:textId="77777777" w:rsidR="00000000" w:rsidRDefault="00A173A8">
            <w:pPr>
              <w:spacing w:after="100"/>
              <w:rPr>
                <w:rFonts w:eastAsia="Times New Roman"/>
                <w:sz w:val="20"/>
                <w:szCs w:val="20"/>
              </w:rPr>
            </w:pPr>
          </w:p>
        </w:tc>
      </w:tr>
      <w:tr w:rsidR="00000000" w14:paraId="7E818132" w14:textId="77777777">
        <w:trPr>
          <w:divId w:val="1616132076"/>
        </w:trPr>
        <w:tc>
          <w:tcPr>
            <w:tcW w:w="0" w:type="auto"/>
            <w:gridSpan w:val="3"/>
            <w:vAlign w:val="center"/>
            <w:hideMark/>
          </w:tcPr>
          <w:p w14:paraId="320FEE53" w14:textId="77777777" w:rsidR="00000000" w:rsidRDefault="00A173A8">
            <w:pPr>
              <w:spacing w:after="100"/>
              <w:rPr>
                <w:rFonts w:eastAsia="Times New Roman"/>
                <w:sz w:val="20"/>
                <w:szCs w:val="20"/>
              </w:rPr>
            </w:pPr>
          </w:p>
        </w:tc>
        <w:tc>
          <w:tcPr>
            <w:tcW w:w="0" w:type="auto"/>
            <w:gridSpan w:val="3"/>
            <w:vAlign w:val="center"/>
            <w:hideMark/>
          </w:tcPr>
          <w:p w14:paraId="2836A70B" w14:textId="77777777" w:rsidR="00000000" w:rsidRDefault="00A173A8">
            <w:pPr>
              <w:spacing w:after="100"/>
              <w:rPr>
                <w:rFonts w:eastAsia="Times New Roman"/>
                <w:sz w:val="20"/>
                <w:szCs w:val="20"/>
              </w:rPr>
            </w:pPr>
          </w:p>
        </w:tc>
        <w:tc>
          <w:tcPr>
            <w:tcW w:w="0" w:type="auto"/>
            <w:gridSpan w:val="3"/>
            <w:vAlign w:val="center"/>
            <w:hideMark/>
          </w:tcPr>
          <w:p w14:paraId="53B31003" w14:textId="77777777" w:rsidR="00000000" w:rsidRDefault="00A173A8">
            <w:pPr>
              <w:spacing w:after="100"/>
              <w:rPr>
                <w:rFonts w:eastAsia="Times New Roman"/>
                <w:sz w:val="20"/>
                <w:szCs w:val="20"/>
              </w:rPr>
            </w:pPr>
          </w:p>
        </w:tc>
        <w:tc>
          <w:tcPr>
            <w:tcW w:w="0" w:type="auto"/>
            <w:gridSpan w:val="3"/>
            <w:vAlign w:val="center"/>
            <w:hideMark/>
          </w:tcPr>
          <w:p w14:paraId="177A13B7" w14:textId="77777777" w:rsidR="00000000" w:rsidRDefault="00A173A8">
            <w:pPr>
              <w:spacing w:after="100"/>
              <w:rPr>
                <w:rFonts w:eastAsia="Times New Roman"/>
                <w:sz w:val="20"/>
                <w:szCs w:val="20"/>
              </w:rPr>
            </w:pPr>
          </w:p>
        </w:tc>
        <w:tc>
          <w:tcPr>
            <w:tcW w:w="0" w:type="auto"/>
            <w:gridSpan w:val="3"/>
            <w:vAlign w:val="center"/>
            <w:hideMark/>
          </w:tcPr>
          <w:p w14:paraId="4153180A" w14:textId="77777777" w:rsidR="00000000" w:rsidRDefault="00A173A8">
            <w:pPr>
              <w:spacing w:after="100"/>
              <w:rPr>
                <w:rFonts w:eastAsia="Times New Roman"/>
                <w:sz w:val="20"/>
                <w:szCs w:val="20"/>
              </w:rPr>
            </w:pPr>
          </w:p>
        </w:tc>
        <w:tc>
          <w:tcPr>
            <w:tcW w:w="0" w:type="auto"/>
            <w:gridSpan w:val="3"/>
            <w:vAlign w:val="center"/>
            <w:hideMark/>
          </w:tcPr>
          <w:p w14:paraId="2BCE1931" w14:textId="77777777" w:rsidR="00000000" w:rsidRDefault="00A173A8">
            <w:pPr>
              <w:spacing w:after="100"/>
              <w:rPr>
                <w:rFonts w:eastAsia="Times New Roman"/>
                <w:sz w:val="20"/>
                <w:szCs w:val="20"/>
              </w:rPr>
            </w:pPr>
          </w:p>
        </w:tc>
        <w:tc>
          <w:tcPr>
            <w:tcW w:w="0" w:type="auto"/>
            <w:gridSpan w:val="3"/>
            <w:vAlign w:val="center"/>
            <w:hideMark/>
          </w:tcPr>
          <w:p w14:paraId="1CA93350" w14:textId="77777777" w:rsidR="00000000" w:rsidRDefault="00A173A8">
            <w:pPr>
              <w:spacing w:after="100"/>
              <w:rPr>
                <w:rFonts w:eastAsia="Times New Roman"/>
                <w:sz w:val="20"/>
                <w:szCs w:val="20"/>
              </w:rPr>
            </w:pPr>
          </w:p>
        </w:tc>
        <w:tc>
          <w:tcPr>
            <w:tcW w:w="0" w:type="auto"/>
            <w:gridSpan w:val="3"/>
            <w:vAlign w:val="center"/>
            <w:hideMark/>
          </w:tcPr>
          <w:p w14:paraId="2222349E" w14:textId="77777777" w:rsidR="00000000" w:rsidRDefault="00A173A8">
            <w:pPr>
              <w:spacing w:after="100"/>
              <w:rPr>
                <w:rFonts w:eastAsia="Times New Roman"/>
                <w:sz w:val="20"/>
                <w:szCs w:val="20"/>
              </w:rPr>
            </w:pPr>
          </w:p>
        </w:tc>
        <w:tc>
          <w:tcPr>
            <w:tcW w:w="0" w:type="auto"/>
            <w:gridSpan w:val="3"/>
            <w:vAlign w:val="center"/>
            <w:hideMark/>
          </w:tcPr>
          <w:p w14:paraId="15495FDA" w14:textId="77777777" w:rsidR="00000000" w:rsidRDefault="00A173A8">
            <w:pPr>
              <w:spacing w:after="100"/>
              <w:rPr>
                <w:rFonts w:eastAsia="Times New Roman"/>
                <w:sz w:val="20"/>
                <w:szCs w:val="20"/>
              </w:rPr>
            </w:pPr>
          </w:p>
        </w:tc>
        <w:tc>
          <w:tcPr>
            <w:tcW w:w="0" w:type="auto"/>
            <w:gridSpan w:val="3"/>
            <w:vAlign w:val="center"/>
            <w:hideMark/>
          </w:tcPr>
          <w:p w14:paraId="3AEEE87D" w14:textId="77777777" w:rsidR="00000000" w:rsidRDefault="00A173A8">
            <w:pPr>
              <w:spacing w:after="100"/>
              <w:rPr>
                <w:rFonts w:eastAsia="Times New Roman"/>
                <w:sz w:val="20"/>
                <w:szCs w:val="20"/>
              </w:rPr>
            </w:pPr>
          </w:p>
        </w:tc>
        <w:tc>
          <w:tcPr>
            <w:tcW w:w="0" w:type="auto"/>
            <w:gridSpan w:val="3"/>
            <w:vAlign w:val="center"/>
            <w:hideMark/>
          </w:tcPr>
          <w:p w14:paraId="7A59E962" w14:textId="77777777" w:rsidR="00000000" w:rsidRDefault="00A173A8">
            <w:pPr>
              <w:spacing w:after="100"/>
              <w:rPr>
                <w:rFonts w:eastAsia="Times New Roman"/>
                <w:sz w:val="20"/>
                <w:szCs w:val="20"/>
              </w:rPr>
            </w:pPr>
          </w:p>
        </w:tc>
        <w:tc>
          <w:tcPr>
            <w:tcW w:w="0" w:type="auto"/>
            <w:gridSpan w:val="3"/>
            <w:vAlign w:val="center"/>
            <w:hideMark/>
          </w:tcPr>
          <w:p w14:paraId="665B5CF8" w14:textId="77777777" w:rsidR="00000000" w:rsidRDefault="00A173A8">
            <w:pPr>
              <w:spacing w:after="100"/>
              <w:rPr>
                <w:rFonts w:eastAsia="Times New Roman"/>
                <w:sz w:val="20"/>
                <w:szCs w:val="20"/>
              </w:rPr>
            </w:pPr>
          </w:p>
        </w:tc>
        <w:tc>
          <w:tcPr>
            <w:tcW w:w="0" w:type="auto"/>
            <w:gridSpan w:val="3"/>
            <w:vAlign w:val="center"/>
            <w:hideMark/>
          </w:tcPr>
          <w:p w14:paraId="5A0A8669" w14:textId="77777777" w:rsidR="00000000" w:rsidRDefault="00A173A8">
            <w:pPr>
              <w:spacing w:after="100"/>
              <w:rPr>
                <w:rFonts w:eastAsia="Times New Roman"/>
                <w:sz w:val="20"/>
                <w:szCs w:val="20"/>
              </w:rPr>
            </w:pPr>
          </w:p>
        </w:tc>
        <w:tc>
          <w:tcPr>
            <w:tcW w:w="0" w:type="auto"/>
            <w:gridSpan w:val="3"/>
            <w:vAlign w:val="center"/>
            <w:hideMark/>
          </w:tcPr>
          <w:p w14:paraId="60D34EB2" w14:textId="77777777" w:rsidR="00000000" w:rsidRDefault="00A173A8">
            <w:pPr>
              <w:spacing w:after="100"/>
              <w:rPr>
                <w:rFonts w:eastAsia="Times New Roman"/>
                <w:sz w:val="20"/>
                <w:szCs w:val="20"/>
              </w:rPr>
            </w:pPr>
          </w:p>
        </w:tc>
        <w:tc>
          <w:tcPr>
            <w:tcW w:w="0" w:type="auto"/>
            <w:gridSpan w:val="3"/>
            <w:vAlign w:val="center"/>
            <w:hideMark/>
          </w:tcPr>
          <w:p w14:paraId="257EF9BA" w14:textId="77777777" w:rsidR="00000000" w:rsidRDefault="00A173A8">
            <w:pPr>
              <w:spacing w:after="100"/>
              <w:rPr>
                <w:rFonts w:eastAsia="Times New Roman"/>
                <w:sz w:val="20"/>
                <w:szCs w:val="20"/>
              </w:rPr>
            </w:pPr>
          </w:p>
        </w:tc>
        <w:tc>
          <w:tcPr>
            <w:tcW w:w="0" w:type="auto"/>
            <w:gridSpan w:val="3"/>
            <w:vAlign w:val="center"/>
            <w:hideMark/>
          </w:tcPr>
          <w:p w14:paraId="133F201A" w14:textId="77777777" w:rsidR="00000000" w:rsidRDefault="00A173A8">
            <w:pPr>
              <w:spacing w:after="100"/>
              <w:rPr>
                <w:rFonts w:eastAsia="Times New Roman"/>
                <w:sz w:val="20"/>
                <w:szCs w:val="20"/>
              </w:rPr>
            </w:pPr>
          </w:p>
        </w:tc>
        <w:tc>
          <w:tcPr>
            <w:tcW w:w="0" w:type="auto"/>
            <w:gridSpan w:val="3"/>
            <w:vAlign w:val="center"/>
            <w:hideMark/>
          </w:tcPr>
          <w:p w14:paraId="77BF3C84" w14:textId="77777777" w:rsidR="00000000" w:rsidRDefault="00A173A8">
            <w:pPr>
              <w:spacing w:after="100"/>
              <w:rPr>
                <w:rFonts w:eastAsia="Times New Roman"/>
                <w:sz w:val="20"/>
                <w:szCs w:val="20"/>
              </w:rPr>
            </w:pPr>
          </w:p>
        </w:tc>
      </w:tr>
      <w:tr w:rsidR="00000000" w14:paraId="6F60E5EC" w14:textId="77777777">
        <w:trPr>
          <w:divId w:val="1616132076"/>
        </w:trPr>
        <w:tc>
          <w:tcPr>
            <w:tcW w:w="0" w:type="auto"/>
            <w:gridSpan w:val="3"/>
            <w:vAlign w:val="center"/>
            <w:hideMark/>
          </w:tcPr>
          <w:p w14:paraId="49465512" w14:textId="77777777" w:rsidR="00000000" w:rsidRDefault="00A173A8">
            <w:pPr>
              <w:spacing w:after="100"/>
              <w:rPr>
                <w:rFonts w:eastAsia="Times New Roman"/>
                <w:sz w:val="20"/>
                <w:szCs w:val="20"/>
              </w:rPr>
            </w:pPr>
          </w:p>
        </w:tc>
        <w:tc>
          <w:tcPr>
            <w:tcW w:w="0" w:type="auto"/>
            <w:gridSpan w:val="3"/>
            <w:vAlign w:val="center"/>
            <w:hideMark/>
          </w:tcPr>
          <w:p w14:paraId="2A3A81C3" w14:textId="77777777" w:rsidR="00000000" w:rsidRDefault="00A173A8">
            <w:pPr>
              <w:spacing w:after="100"/>
              <w:rPr>
                <w:rFonts w:eastAsia="Times New Roman"/>
                <w:sz w:val="20"/>
                <w:szCs w:val="20"/>
              </w:rPr>
            </w:pPr>
          </w:p>
        </w:tc>
        <w:tc>
          <w:tcPr>
            <w:tcW w:w="0" w:type="auto"/>
            <w:gridSpan w:val="3"/>
            <w:vAlign w:val="center"/>
            <w:hideMark/>
          </w:tcPr>
          <w:p w14:paraId="2190D0BC" w14:textId="77777777" w:rsidR="00000000" w:rsidRDefault="00A173A8">
            <w:pPr>
              <w:spacing w:after="100"/>
              <w:rPr>
                <w:rFonts w:eastAsia="Times New Roman"/>
                <w:sz w:val="20"/>
                <w:szCs w:val="20"/>
              </w:rPr>
            </w:pPr>
          </w:p>
        </w:tc>
        <w:tc>
          <w:tcPr>
            <w:tcW w:w="0" w:type="auto"/>
            <w:gridSpan w:val="3"/>
            <w:vAlign w:val="center"/>
            <w:hideMark/>
          </w:tcPr>
          <w:p w14:paraId="4BA48D4B" w14:textId="77777777" w:rsidR="00000000" w:rsidRDefault="00A173A8">
            <w:pPr>
              <w:spacing w:after="100"/>
              <w:rPr>
                <w:rFonts w:eastAsia="Times New Roman"/>
                <w:sz w:val="20"/>
                <w:szCs w:val="20"/>
              </w:rPr>
            </w:pPr>
          </w:p>
        </w:tc>
        <w:tc>
          <w:tcPr>
            <w:tcW w:w="0" w:type="auto"/>
            <w:gridSpan w:val="3"/>
            <w:vAlign w:val="center"/>
            <w:hideMark/>
          </w:tcPr>
          <w:p w14:paraId="02CD5DA7" w14:textId="77777777" w:rsidR="00000000" w:rsidRDefault="00A173A8">
            <w:pPr>
              <w:spacing w:after="100"/>
              <w:rPr>
                <w:rFonts w:eastAsia="Times New Roman"/>
                <w:sz w:val="20"/>
                <w:szCs w:val="20"/>
              </w:rPr>
            </w:pPr>
          </w:p>
        </w:tc>
        <w:tc>
          <w:tcPr>
            <w:tcW w:w="0" w:type="auto"/>
            <w:gridSpan w:val="3"/>
            <w:vAlign w:val="center"/>
            <w:hideMark/>
          </w:tcPr>
          <w:p w14:paraId="1B8E7642" w14:textId="77777777" w:rsidR="00000000" w:rsidRDefault="00A173A8">
            <w:pPr>
              <w:spacing w:after="100"/>
              <w:rPr>
                <w:rFonts w:eastAsia="Times New Roman"/>
                <w:sz w:val="20"/>
                <w:szCs w:val="20"/>
              </w:rPr>
            </w:pPr>
          </w:p>
        </w:tc>
        <w:tc>
          <w:tcPr>
            <w:tcW w:w="0" w:type="auto"/>
            <w:gridSpan w:val="3"/>
            <w:vAlign w:val="center"/>
            <w:hideMark/>
          </w:tcPr>
          <w:p w14:paraId="435B8A5C" w14:textId="77777777" w:rsidR="00000000" w:rsidRDefault="00A173A8">
            <w:pPr>
              <w:spacing w:after="100"/>
              <w:rPr>
                <w:rFonts w:eastAsia="Times New Roman"/>
                <w:sz w:val="20"/>
                <w:szCs w:val="20"/>
              </w:rPr>
            </w:pPr>
          </w:p>
        </w:tc>
        <w:tc>
          <w:tcPr>
            <w:tcW w:w="0" w:type="auto"/>
            <w:gridSpan w:val="3"/>
            <w:vAlign w:val="center"/>
            <w:hideMark/>
          </w:tcPr>
          <w:p w14:paraId="29D7C7BC" w14:textId="77777777" w:rsidR="00000000" w:rsidRDefault="00A173A8">
            <w:pPr>
              <w:spacing w:after="100"/>
              <w:rPr>
                <w:rFonts w:eastAsia="Times New Roman"/>
                <w:sz w:val="20"/>
                <w:szCs w:val="20"/>
              </w:rPr>
            </w:pPr>
          </w:p>
        </w:tc>
        <w:tc>
          <w:tcPr>
            <w:tcW w:w="0" w:type="auto"/>
            <w:gridSpan w:val="3"/>
            <w:vAlign w:val="center"/>
            <w:hideMark/>
          </w:tcPr>
          <w:p w14:paraId="561648BE" w14:textId="77777777" w:rsidR="00000000" w:rsidRDefault="00A173A8">
            <w:pPr>
              <w:spacing w:after="100"/>
              <w:rPr>
                <w:rFonts w:eastAsia="Times New Roman"/>
                <w:sz w:val="20"/>
                <w:szCs w:val="20"/>
              </w:rPr>
            </w:pPr>
          </w:p>
        </w:tc>
        <w:tc>
          <w:tcPr>
            <w:tcW w:w="0" w:type="auto"/>
            <w:gridSpan w:val="3"/>
            <w:vAlign w:val="center"/>
            <w:hideMark/>
          </w:tcPr>
          <w:p w14:paraId="2FF18BDF" w14:textId="77777777" w:rsidR="00000000" w:rsidRDefault="00A173A8">
            <w:pPr>
              <w:spacing w:after="100"/>
              <w:rPr>
                <w:rFonts w:eastAsia="Times New Roman"/>
                <w:sz w:val="20"/>
                <w:szCs w:val="20"/>
              </w:rPr>
            </w:pPr>
          </w:p>
        </w:tc>
        <w:tc>
          <w:tcPr>
            <w:tcW w:w="0" w:type="auto"/>
            <w:gridSpan w:val="3"/>
            <w:vAlign w:val="center"/>
            <w:hideMark/>
          </w:tcPr>
          <w:p w14:paraId="608FC499" w14:textId="77777777" w:rsidR="00000000" w:rsidRDefault="00A173A8">
            <w:pPr>
              <w:spacing w:after="100"/>
              <w:rPr>
                <w:rFonts w:eastAsia="Times New Roman"/>
                <w:sz w:val="20"/>
                <w:szCs w:val="20"/>
              </w:rPr>
            </w:pPr>
          </w:p>
        </w:tc>
        <w:tc>
          <w:tcPr>
            <w:tcW w:w="0" w:type="auto"/>
            <w:gridSpan w:val="3"/>
            <w:vAlign w:val="center"/>
            <w:hideMark/>
          </w:tcPr>
          <w:p w14:paraId="06761294" w14:textId="77777777" w:rsidR="00000000" w:rsidRDefault="00A173A8">
            <w:pPr>
              <w:spacing w:after="100"/>
              <w:rPr>
                <w:rFonts w:eastAsia="Times New Roman"/>
                <w:sz w:val="20"/>
                <w:szCs w:val="20"/>
              </w:rPr>
            </w:pPr>
          </w:p>
        </w:tc>
        <w:tc>
          <w:tcPr>
            <w:tcW w:w="0" w:type="auto"/>
            <w:gridSpan w:val="3"/>
            <w:vAlign w:val="center"/>
            <w:hideMark/>
          </w:tcPr>
          <w:p w14:paraId="7AB367F1" w14:textId="77777777" w:rsidR="00000000" w:rsidRDefault="00A173A8">
            <w:pPr>
              <w:spacing w:after="100"/>
              <w:rPr>
                <w:rFonts w:eastAsia="Times New Roman"/>
                <w:sz w:val="20"/>
                <w:szCs w:val="20"/>
              </w:rPr>
            </w:pPr>
          </w:p>
        </w:tc>
        <w:tc>
          <w:tcPr>
            <w:tcW w:w="0" w:type="auto"/>
            <w:gridSpan w:val="3"/>
            <w:vAlign w:val="center"/>
            <w:hideMark/>
          </w:tcPr>
          <w:p w14:paraId="4FA780E3" w14:textId="77777777" w:rsidR="00000000" w:rsidRDefault="00A173A8">
            <w:pPr>
              <w:spacing w:after="100"/>
              <w:rPr>
                <w:rFonts w:eastAsia="Times New Roman"/>
                <w:sz w:val="20"/>
                <w:szCs w:val="20"/>
              </w:rPr>
            </w:pPr>
          </w:p>
        </w:tc>
        <w:tc>
          <w:tcPr>
            <w:tcW w:w="0" w:type="auto"/>
            <w:gridSpan w:val="3"/>
            <w:vAlign w:val="center"/>
            <w:hideMark/>
          </w:tcPr>
          <w:p w14:paraId="68085383" w14:textId="77777777" w:rsidR="00000000" w:rsidRDefault="00A173A8">
            <w:pPr>
              <w:spacing w:after="100"/>
              <w:rPr>
                <w:rFonts w:eastAsia="Times New Roman"/>
                <w:sz w:val="20"/>
                <w:szCs w:val="20"/>
              </w:rPr>
            </w:pPr>
          </w:p>
        </w:tc>
        <w:tc>
          <w:tcPr>
            <w:tcW w:w="0" w:type="auto"/>
            <w:gridSpan w:val="3"/>
            <w:vAlign w:val="center"/>
            <w:hideMark/>
          </w:tcPr>
          <w:p w14:paraId="2278BAA2" w14:textId="77777777" w:rsidR="00000000" w:rsidRDefault="00A173A8">
            <w:pPr>
              <w:spacing w:after="100"/>
              <w:rPr>
                <w:rFonts w:eastAsia="Times New Roman"/>
                <w:sz w:val="20"/>
                <w:szCs w:val="20"/>
              </w:rPr>
            </w:pPr>
          </w:p>
        </w:tc>
        <w:tc>
          <w:tcPr>
            <w:tcW w:w="0" w:type="auto"/>
            <w:gridSpan w:val="3"/>
            <w:vAlign w:val="center"/>
            <w:hideMark/>
          </w:tcPr>
          <w:p w14:paraId="0C9C9DDD" w14:textId="77777777" w:rsidR="00000000" w:rsidRDefault="00A173A8">
            <w:pPr>
              <w:spacing w:after="100"/>
              <w:rPr>
                <w:rFonts w:eastAsia="Times New Roman"/>
                <w:sz w:val="20"/>
                <w:szCs w:val="20"/>
              </w:rPr>
            </w:pPr>
          </w:p>
        </w:tc>
      </w:tr>
      <w:tr w:rsidR="00000000" w14:paraId="64EF19C6" w14:textId="77777777">
        <w:trPr>
          <w:divId w:val="1616132076"/>
        </w:trPr>
        <w:tc>
          <w:tcPr>
            <w:tcW w:w="0" w:type="auto"/>
            <w:gridSpan w:val="3"/>
            <w:vAlign w:val="center"/>
            <w:hideMark/>
          </w:tcPr>
          <w:p w14:paraId="7361893D" w14:textId="77777777" w:rsidR="00000000" w:rsidRDefault="00A173A8">
            <w:pPr>
              <w:spacing w:after="100"/>
              <w:rPr>
                <w:rFonts w:eastAsia="Times New Roman"/>
                <w:sz w:val="20"/>
                <w:szCs w:val="20"/>
              </w:rPr>
            </w:pPr>
          </w:p>
        </w:tc>
        <w:tc>
          <w:tcPr>
            <w:tcW w:w="0" w:type="auto"/>
            <w:gridSpan w:val="3"/>
            <w:vAlign w:val="center"/>
            <w:hideMark/>
          </w:tcPr>
          <w:p w14:paraId="7FDAE8C2" w14:textId="77777777" w:rsidR="00000000" w:rsidRDefault="00A173A8">
            <w:pPr>
              <w:spacing w:after="100"/>
              <w:rPr>
                <w:rFonts w:eastAsia="Times New Roman"/>
                <w:sz w:val="20"/>
                <w:szCs w:val="20"/>
              </w:rPr>
            </w:pPr>
          </w:p>
        </w:tc>
        <w:tc>
          <w:tcPr>
            <w:tcW w:w="0" w:type="auto"/>
            <w:gridSpan w:val="3"/>
            <w:vAlign w:val="center"/>
            <w:hideMark/>
          </w:tcPr>
          <w:p w14:paraId="0C206792" w14:textId="77777777" w:rsidR="00000000" w:rsidRDefault="00A173A8">
            <w:pPr>
              <w:spacing w:after="100"/>
              <w:rPr>
                <w:rFonts w:eastAsia="Times New Roman"/>
                <w:sz w:val="20"/>
                <w:szCs w:val="20"/>
              </w:rPr>
            </w:pPr>
          </w:p>
        </w:tc>
        <w:tc>
          <w:tcPr>
            <w:tcW w:w="0" w:type="auto"/>
            <w:gridSpan w:val="3"/>
            <w:vAlign w:val="center"/>
            <w:hideMark/>
          </w:tcPr>
          <w:p w14:paraId="523200B6" w14:textId="77777777" w:rsidR="00000000" w:rsidRDefault="00A173A8">
            <w:pPr>
              <w:spacing w:after="100"/>
              <w:rPr>
                <w:rFonts w:eastAsia="Times New Roman"/>
                <w:sz w:val="20"/>
                <w:szCs w:val="20"/>
              </w:rPr>
            </w:pPr>
          </w:p>
        </w:tc>
        <w:tc>
          <w:tcPr>
            <w:tcW w:w="0" w:type="auto"/>
            <w:gridSpan w:val="3"/>
            <w:vAlign w:val="center"/>
            <w:hideMark/>
          </w:tcPr>
          <w:p w14:paraId="63523A8E" w14:textId="77777777" w:rsidR="00000000" w:rsidRDefault="00A173A8">
            <w:pPr>
              <w:spacing w:after="100"/>
              <w:rPr>
                <w:rFonts w:eastAsia="Times New Roman"/>
                <w:sz w:val="20"/>
                <w:szCs w:val="20"/>
              </w:rPr>
            </w:pPr>
          </w:p>
        </w:tc>
        <w:tc>
          <w:tcPr>
            <w:tcW w:w="0" w:type="auto"/>
            <w:gridSpan w:val="3"/>
            <w:vAlign w:val="center"/>
            <w:hideMark/>
          </w:tcPr>
          <w:p w14:paraId="649D3DC3" w14:textId="77777777" w:rsidR="00000000" w:rsidRDefault="00A173A8">
            <w:pPr>
              <w:spacing w:after="100"/>
              <w:rPr>
                <w:rFonts w:eastAsia="Times New Roman"/>
                <w:sz w:val="20"/>
                <w:szCs w:val="20"/>
              </w:rPr>
            </w:pPr>
          </w:p>
        </w:tc>
        <w:tc>
          <w:tcPr>
            <w:tcW w:w="0" w:type="auto"/>
            <w:gridSpan w:val="3"/>
            <w:vAlign w:val="center"/>
            <w:hideMark/>
          </w:tcPr>
          <w:p w14:paraId="7F575C6B" w14:textId="77777777" w:rsidR="00000000" w:rsidRDefault="00A173A8">
            <w:pPr>
              <w:spacing w:after="100"/>
              <w:rPr>
                <w:rFonts w:eastAsia="Times New Roman"/>
                <w:sz w:val="20"/>
                <w:szCs w:val="20"/>
              </w:rPr>
            </w:pPr>
          </w:p>
        </w:tc>
        <w:tc>
          <w:tcPr>
            <w:tcW w:w="0" w:type="auto"/>
            <w:gridSpan w:val="3"/>
            <w:vAlign w:val="center"/>
            <w:hideMark/>
          </w:tcPr>
          <w:p w14:paraId="55817B5E" w14:textId="77777777" w:rsidR="00000000" w:rsidRDefault="00A173A8">
            <w:pPr>
              <w:spacing w:after="100"/>
              <w:rPr>
                <w:rFonts w:eastAsia="Times New Roman"/>
                <w:sz w:val="20"/>
                <w:szCs w:val="20"/>
              </w:rPr>
            </w:pPr>
          </w:p>
        </w:tc>
        <w:tc>
          <w:tcPr>
            <w:tcW w:w="0" w:type="auto"/>
            <w:gridSpan w:val="3"/>
            <w:vAlign w:val="center"/>
            <w:hideMark/>
          </w:tcPr>
          <w:p w14:paraId="6366A0C9" w14:textId="77777777" w:rsidR="00000000" w:rsidRDefault="00A173A8">
            <w:pPr>
              <w:spacing w:after="100"/>
              <w:rPr>
                <w:rFonts w:eastAsia="Times New Roman"/>
                <w:sz w:val="20"/>
                <w:szCs w:val="20"/>
              </w:rPr>
            </w:pPr>
          </w:p>
        </w:tc>
        <w:tc>
          <w:tcPr>
            <w:tcW w:w="0" w:type="auto"/>
            <w:gridSpan w:val="3"/>
            <w:vAlign w:val="center"/>
            <w:hideMark/>
          </w:tcPr>
          <w:p w14:paraId="73331E7A" w14:textId="77777777" w:rsidR="00000000" w:rsidRDefault="00A173A8">
            <w:pPr>
              <w:spacing w:after="100"/>
              <w:rPr>
                <w:rFonts w:eastAsia="Times New Roman"/>
                <w:sz w:val="20"/>
                <w:szCs w:val="20"/>
              </w:rPr>
            </w:pPr>
          </w:p>
        </w:tc>
        <w:tc>
          <w:tcPr>
            <w:tcW w:w="0" w:type="auto"/>
            <w:gridSpan w:val="3"/>
            <w:vAlign w:val="center"/>
            <w:hideMark/>
          </w:tcPr>
          <w:p w14:paraId="0B2517E6" w14:textId="77777777" w:rsidR="00000000" w:rsidRDefault="00A173A8">
            <w:pPr>
              <w:spacing w:after="100"/>
              <w:rPr>
                <w:rFonts w:eastAsia="Times New Roman"/>
                <w:sz w:val="20"/>
                <w:szCs w:val="20"/>
              </w:rPr>
            </w:pPr>
          </w:p>
        </w:tc>
        <w:tc>
          <w:tcPr>
            <w:tcW w:w="0" w:type="auto"/>
            <w:gridSpan w:val="3"/>
            <w:vAlign w:val="center"/>
            <w:hideMark/>
          </w:tcPr>
          <w:p w14:paraId="2912837C" w14:textId="77777777" w:rsidR="00000000" w:rsidRDefault="00A173A8">
            <w:pPr>
              <w:spacing w:after="100"/>
              <w:rPr>
                <w:rFonts w:eastAsia="Times New Roman"/>
                <w:sz w:val="20"/>
                <w:szCs w:val="20"/>
              </w:rPr>
            </w:pPr>
          </w:p>
        </w:tc>
        <w:tc>
          <w:tcPr>
            <w:tcW w:w="0" w:type="auto"/>
            <w:gridSpan w:val="3"/>
            <w:vAlign w:val="center"/>
            <w:hideMark/>
          </w:tcPr>
          <w:p w14:paraId="464AF6FA" w14:textId="77777777" w:rsidR="00000000" w:rsidRDefault="00A173A8">
            <w:pPr>
              <w:spacing w:after="100"/>
              <w:rPr>
                <w:rFonts w:eastAsia="Times New Roman"/>
                <w:sz w:val="20"/>
                <w:szCs w:val="20"/>
              </w:rPr>
            </w:pPr>
          </w:p>
        </w:tc>
        <w:tc>
          <w:tcPr>
            <w:tcW w:w="0" w:type="auto"/>
            <w:gridSpan w:val="3"/>
            <w:vAlign w:val="center"/>
            <w:hideMark/>
          </w:tcPr>
          <w:p w14:paraId="44F1A0DF" w14:textId="77777777" w:rsidR="00000000" w:rsidRDefault="00A173A8">
            <w:pPr>
              <w:spacing w:after="100"/>
              <w:rPr>
                <w:rFonts w:eastAsia="Times New Roman"/>
                <w:sz w:val="20"/>
                <w:szCs w:val="20"/>
              </w:rPr>
            </w:pPr>
          </w:p>
        </w:tc>
        <w:tc>
          <w:tcPr>
            <w:tcW w:w="0" w:type="auto"/>
            <w:gridSpan w:val="3"/>
            <w:vAlign w:val="center"/>
            <w:hideMark/>
          </w:tcPr>
          <w:p w14:paraId="04B572DE" w14:textId="77777777" w:rsidR="00000000" w:rsidRDefault="00A173A8">
            <w:pPr>
              <w:spacing w:after="100"/>
              <w:rPr>
                <w:rFonts w:eastAsia="Times New Roman"/>
                <w:sz w:val="20"/>
                <w:szCs w:val="20"/>
              </w:rPr>
            </w:pPr>
          </w:p>
        </w:tc>
        <w:tc>
          <w:tcPr>
            <w:tcW w:w="0" w:type="auto"/>
            <w:gridSpan w:val="3"/>
            <w:vAlign w:val="center"/>
            <w:hideMark/>
          </w:tcPr>
          <w:p w14:paraId="400458AF" w14:textId="77777777" w:rsidR="00000000" w:rsidRDefault="00A173A8">
            <w:pPr>
              <w:spacing w:after="100"/>
              <w:rPr>
                <w:rFonts w:eastAsia="Times New Roman"/>
                <w:sz w:val="20"/>
                <w:szCs w:val="20"/>
              </w:rPr>
            </w:pPr>
          </w:p>
        </w:tc>
        <w:tc>
          <w:tcPr>
            <w:tcW w:w="0" w:type="auto"/>
            <w:gridSpan w:val="3"/>
            <w:vAlign w:val="center"/>
            <w:hideMark/>
          </w:tcPr>
          <w:p w14:paraId="01CB0799" w14:textId="77777777" w:rsidR="00000000" w:rsidRDefault="00A173A8">
            <w:pPr>
              <w:spacing w:after="100"/>
              <w:rPr>
                <w:rFonts w:eastAsia="Times New Roman"/>
                <w:sz w:val="20"/>
                <w:szCs w:val="20"/>
              </w:rPr>
            </w:pPr>
          </w:p>
        </w:tc>
      </w:tr>
      <w:tr w:rsidR="00000000" w14:paraId="21A1C453" w14:textId="77777777">
        <w:trPr>
          <w:divId w:val="1616132076"/>
        </w:trPr>
        <w:tc>
          <w:tcPr>
            <w:tcW w:w="0" w:type="auto"/>
            <w:gridSpan w:val="3"/>
            <w:vAlign w:val="center"/>
            <w:hideMark/>
          </w:tcPr>
          <w:p w14:paraId="43BCACAE" w14:textId="77777777" w:rsidR="00000000" w:rsidRDefault="00A173A8">
            <w:pPr>
              <w:spacing w:after="100"/>
              <w:rPr>
                <w:rFonts w:eastAsia="Times New Roman"/>
                <w:sz w:val="20"/>
                <w:szCs w:val="20"/>
              </w:rPr>
            </w:pPr>
          </w:p>
        </w:tc>
        <w:tc>
          <w:tcPr>
            <w:tcW w:w="0" w:type="auto"/>
            <w:gridSpan w:val="3"/>
            <w:vAlign w:val="center"/>
            <w:hideMark/>
          </w:tcPr>
          <w:p w14:paraId="38396155" w14:textId="77777777" w:rsidR="00000000" w:rsidRDefault="00A173A8">
            <w:pPr>
              <w:spacing w:after="100"/>
              <w:rPr>
                <w:rFonts w:eastAsia="Times New Roman"/>
                <w:sz w:val="20"/>
                <w:szCs w:val="20"/>
              </w:rPr>
            </w:pPr>
          </w:p>
        </w:tc>
        <w:tc>
          <w:tcPr>
            <w:tcW w:w="0" w:type="auto"/>
            <w:gridSpan w:val="3"/>
            <w:vAlign w:val="center"/>
            <w:hideMark/>
          </w:tcPr>
          <w:p w14:paraId="0C57D6B8" w14:textId="77777777" w:rsidR="00000000" w:rsidRDefault="00A173A8">
            <w:pPr>
              <w:spacing w:after="100"/>
              <w:rPr>
                <w:rFonts w:eastAsia="Times New Roman"/>
                <w:sz w:val="20"/>
                <w:szCs w:val="20"/>
              </w:rPr>
            </w:pPr>
          </w:p>
        </w:tc>
        <w:tc>
          <w:tcPr>
            <w:tcW w:w="0" w:type="auto"/>
            <w:gridSpan w:val="3"/>
            <w:vAlign w:val="center"/>
            <w:hideMark/>
          </w:tcPr>
          <w:p w14:paraId="20D50658" w14:textId="77777777" w:rsidR="00000000" w:rsidRDefault="00A173A8">
            <w:pPr>
              <w:spacing w:after="100"/>
              <w:rPr>
                <w:rFonts w:eastAsia="Times New Roman"/>
                <w:sz w:val="20"/>
                <w:szCs w:val="20"/>
              </w:rPr>
            </w:pPr>
          </w:p>
        </w:tc>
        <w:tc>
          <w:tcPr>
            <w:tcW w:w="0" w:type="auto"/>
            <w:gridSpan w:val="3"/>
            <w:vAlign w:val="center"/>
            <w:hideMark/>
          </w:tcPr>
          <w:p w14:paraId="27612BF9" w14:textId="77777777" w:rsidR="00000000" w:rsidRDefault="00A173A8">
            <w:pPr>
              <w:spacing w:after="100"/>
              <w:rPr>
                <w:rFonts w:eastAsia="Times New Roman"/>
                <w:sz w:val="20"/>
                <w:szCs w:val="20"/>
              </w:rPr>
            </w:pPr>
          </w:p>
        </w:tc>
        <w:tc>
          <w:tcPr>
            <w:tcW w:w="0" w:type="auto"/>
            <w:gridSpan w:val="3"/>
            <w:vAlign w:val="center"/>
            <w:hideMark/>
          </w:tcPr>
          <w:p w14:paraId="55E0A64E" w14:textId="77777777" w:rsidR="00000000" w:rsidRDefault="00A173A8">
            <w:pPr>
              <w:spacing w:after="100"/>
              <w:rPr>
                <w:rFonts w:eastAsia="Times New Roman"/>
                <w:sz w:val="20"/>
                <w:szCs w:val="20"/>
              </w:rPr>
            </w:pPr>
          </w:p>
        </w:tc>
        <w:tc>
          <w:tcPr>
            <w:tcW w:w="0" w:type="auto"/>
            <w:gridSpan w:val="3"/>
            <w:vAlign w:val="center"/>
            <w:hideMark/>
          </w:tcPr>
          <w:p w14:paraId="2658D6AE" w14:textId="77777777" w:rsidR="00000000" w:rsidRDefault="00A173A8">
            <w:pPr>
              <w:spacing w:after="100"/>
              <w:rPr>
                <w:rFonts w:eastAsia="Times New Roman"/>
                <w:sz w:val="20"/>
                <w:szCs w:val="20"/>
              </w:rPr>
            </w:pPr>
          </w:p>
        </w:tc>
        <w:tc>
          <w:tcPr>
            <w:tcW w:w="0" w:type="auto"/>
            <w:gridSpan w:val="3"/>
            <w:vAlign w:val="center"/>
            <w:hideMark/>
          </w:tcPr>
          <w:p w14:paraId="39308A9B" w14:textId="77777777" w:rsidR="00000000" w:rsidRDefault="00A173A8">
            <w:pPr>
              <w:spacing w:after="100"/>
              <w:rPr>
                <w:rFonts w:eastAsia="Times New Roman"/>
                <w:sz w:val="20"/>
                <w:szCs w:val="20"/>
              </w:rPr>
            </w:pPr>
          </w:p>
        </w:tc>
        <w:tc>
          <w:tcPr>
            <w:tcW w:w="0" w:type="auto"/>
            <w:gridSpan w:val="3"/>
            <w:vAlign w:val="center"/>
            <w:hideMark/>
          </w:tcPr>
          <w:p w14:paraId="16423B65" w14:textId="77777777" w:rsidR="00000000" w:rsidRDefault="00A173A8">
            <w:pPr>
              <w:spacing w:after="100"/>
              <w:rPr>
                <w:rFonts w:eastAsia="Times New Roman"/>
                <w:sz w:val="20"/>
                <w:szCs w:val="20"/>
              </w:rPr>
            </w:pPr>
          </w:p>
        </w:tc>
        <w:tc>
          <w:tcPr>
            <w:tcW w:w="0" w:type="auto"/>
            <w:gridSpan w:val="3"/>
            <w:vAlign w:val="center"/>
            <w:hideMark/>
          </w:tcPr>
          <w:p w14:paraId="05ED586D" w14:textId="77777777" w:rsidR="00000000" w:rsidRDefault="00A173A8">
            <w:pPr>
              <w:spacing w:after="100"/>
              <w:rPr>
                <w:rFonts w:eastAsia="Times New Roman"/>
                <w:sz w:val="20"/>
                <w:szCs w:val="20"/>
              </w:rPr>
            </w:pPr>
          </w:p>
        </w:tc>
        <w:tc>
          <w:tcPr>
            <w:tcW w:w="0" w:type="auto"/>
            <w:gridSpan w:val="3"/>
            <w:vAlign w:val="center"/>
            <w:hideMark/>
          </w:tcPr>
          <w:p w14:paraId="7D66130E" w14:textId="77777777" w:rsidR="00000000" w:rsidRDefault="00A173A8">
            <w:pPr>
              <w:spacing w:after="100"/>
              <w:rPr>
                <w:rFonts w:eastAsia="Times New Roman"/>
                <w:sz w:val="20"/>
                <w:szCs w:val="20"/>
              </w:rPr>
            </w:pPr>
          </w:p>
        </w:tc>
        <w:tc>
          <w:tcPr>
            <w:tcW w:w="0" w:type="auto"/>
            <w:gridSpan w:val="3"/>
            <w:vAlign w:val="center"/>
            <w:hideMark/>
          </w:tcPr>
          <w:p w14:paraId="4FF5E889" w14:textId="77777777" w:rsidR="00000000" w:rsidRDefault="00A173A8">
            <w:pPr>
              <w:spacing w:after="100"/>
              <w:rPr>
                <w:rFonts w:eastAsia="Times New Roman"/>
                <w:sz w:val="20"/>
                <w:szCs w:val="20"/>
              </w:rPr>
            </w:pPr>
          </w:p>
        </w:tc>
        <w:tc>
          <w:tcPr>
            <w:tcW w:w="0" w:type="auto"/>
            <w:gridSpan w:val="3"/>
            <w:vAlign w:val="center"/>
            <w:hideMark/>
          </w:tcPr>
          <w:p w14:paraId="27E6B1B4" w14:textId="77777777" w:rsidR="00000000" w:rsidRDefault="00A173A8">
            <w:pPr>
              <w:spacing w:after="100"/>
              <w:rPr>
                <w:rFonts w:eastAsia="Times New Roman"/>
                <w:sz w:val="20"/>
                <w:szCs w:val="20"/>
              </w:rPr>
            </w:pPr>
          </w:p>
        </w:tc>
        <w:tc>
          <w:tcPr>
            <w:tcW w:w="0" w:type="auto"/>
            <w:gridSpan w:val="3"/>
            <w:vAlign w:val="center"/>
            <w:hideMark/>
          </w:tcPr>
          <w:p w14:paraId="583C0960" w14:textId="77777777" w:rsidR="00000000" w:rsidRDefault="00A173A8">
            <w:pPr>
              <w:spacing w:after="100"/>
              <w:rPr>
                <w:rFonts w:eastAsia="Times New Roman"/>
                <w:sz w:val="20"/>
                <w:szCs w:val="20"/>
              </w:rPr>
            </w:pPr>
          </w:p>
        </w:tc>
        <w:tc>
          <w:tcPr>
            <w:tcW w:w="0" w:type="auto"/>
            <w:gridSpan w:val="3"/>
            <w:vAlign w:val="center"/>
            <w:hideMark/>
          </w:tcPr>
          <w:p w14:paraId="1240908E" w14:textId="77777777" w:rsidR="00000000" w:rsidRDefault="00A173A8">
            <w:pPr>
              <w:spacing w:after="100"/>
              <w:rPr>
                <w:rFonts w:eastAsia="Times New Roman"/>
                <w:sz w:val="20"/>
                <w:szCs w:val="20"/>
              </w:rPr>
            </w:pPr>
          </w:p>
        </w:tc>
        <w:tc>
          <w:tcPr>
            <w:tcW w:w="0" w:type="auto"/>
            <w:gridSpan w:val="3"/>
            <w:vAlign w:val="center"/>
            <w:hideMark/>
          </w:tcPr>
          <w:p w14:paraId="51F6418C" w14:textId="77777777" w:rsidR="00000000" w:rsidRDefault="00A173A8">
            <w:pPr>
              <w:spacing w:after="100"/>
              <w:rPr>
                <w:rFonts w:eastAsia="Times New Roman"/>
                <w:sz w:val="20"/>
                <w:szCs w:val="20"/>
              </w:rPr>
            </w:pPr>
          </w:p>
        </w:tc>
        <w:tc>
          <w:tcPr>
            <w:tcW w:w="0" w:type="auto"/>
            <w:gridSpan w:val="3"/>
            <w:vAlign w:val="center"/>
            <w:hideMark/>
          </w:tcPr>
          <w:p w14:paraId="6F3D66E8" w14:textId="77777777" w:rsidR="00000000" w:rsidRDefault="00A173A8">
            <w:pPr>
              <w:spacing w:after="100"/>
              <w:rPr>
                <w:rFonts w:eastAsia="Times New Roman"/>
                <w:sz w:val="20"/>
                <w:szCs w:val="20"/>
              </w:rPr>
            </w:pPr>
          </w:p>
        </w:tc>
      </w:tr>
      <w:tr w:rsidR="00000000" w14:paraId="25D06E95" w14:textId="77777777">
        <w:trPr>
          <w:divId w:val="1616132076"/>
        </w:trPr>
        <w:tc>
          <w:tcPr>
            <w:tcW w:w="0" w:type="auto"/>
            <w:gridSpan w:val="3"/>
            <w:vAlign w:val="center"/>
            <w:hideMark/>
          </w:tcPr>
          <w:p w14:paraId="55F5694F" w14:textId="77777777" w:rsidR="00000000" w:rsidRDefault="00A173A8">
            <w:pPr>
              <w:spacing w:after="100"/>
              <w:rPr>
                <w:rFonts w:eastAsia="Times New Roman"/>
                <w:sz w:val="20"/>
                <w:szCs w:val="20"/>
              </w:rPr>
            </w:pPr>
          </w:p>
        </w:tc>
        <w:tc>
          <w:tcPr>
            <w:tcW w:w="0" w:type="auto"/>
            <w:gridSpan w:val="3"/>
            <w:vAlign w:val="center"/>
            <w:hideMark/>
          </w:tcPr>
          <w:p w14:paraId="42D5EEA4" w14:textId="77777777" w:rsidR="00000000" w:rsidRDefault="00A173A8">
            <w:pPr>
              <w:spacing w:after="100"/>
              <w:rPr>
                <w:rFonts w:eastAsia="Times New Roman"/>
                <w:sz w:val="20"/>
                <w:szCs w:val="20"/>
              </w:rPr>
            </w:pPr>
          </w:p>
        </w:tc>
        <w:tc>
          <w:tcPr>
            <w:tcW w:w="0" w:type="auto"/>
            <w:gridSpan w:val="3"/>
            <w:vAlign w:val="center"/>
            <w:hideMark/>
          </w:tcPr>
          <w:p w14:paraId="2430D57C" w14:textId="77777777" w:rsidR="00000000" w:rsidRDefault="00A173A8">
            <w:pPr>
              <w:spacing w:after="100"/>
              <w:rPr>
                <w:rFonts w:eastAsia="Times New Roman"/>
                <w:sz w:val="20"/>
                <w:szCs w:val="20"/>
              </w:rPr>
            </w:pPr>
          </w:p>
        </w:tc>
        <w:tc>
          <w:tcPr>
            <w:tcW w:w="0" w:type="auto"/>
            <w:gridSpan w:val="3"/>
            <w:vAlign w:val="center"/>
            <w:hideMark/>
          </w:tcPr>
          <w:p w14:paraId="007AA99A" w14:textId="77777777" w:rsidR="00000000" w:rsidRDefault="00A173A8">
            <w:pPr>
              <w:spacing w:after="100"/>
              <w:rPr>
                <w:rFonts w:eastAsia="Times New Roman"/>
                <w:sz w:val="20"/>
                <w:szCs w:val="20"/>
              </w:rPr>
            </w:pPr>
          </w:p>
        </w:tc>
        <w:tc>
          <w:tcPr>
            <w:tcW w:w="0" w:type="auto"/>
            <w:gridSpan w:val="3"/>
            <w:vAlign w:val="center"/>
            <w:hideMark/>
          </w:tcPr>
          <w:p w14:paraId="7CC92B38" w14:textId="77777777" w:rsidR="00000000" w:rsidRDefault="00A173A8">
            <w:pPr>
              <w:spacing w:after="100"/>
              <w:rPr>
                <w:rFonts w:eastAsia="Times New Roman"/>
                <w:sz w:val="20"/>
                <w:szCs w:val="20"/>
              </w:rPr>
            </w:pPr>
          </w:p>
        </w:tc>
        <w:tc>
          <w:tcPr>
            <w:tcW w:w="0" w:type="auto"/>
            <w:gridSpan w:val="3"/>
            <w:vAlign w:val="center"/>
            <w:hideMark/>
          </w:tcPr>
          <w:p w14:paraId="4C8BFEFA" w14:textId="77777777" w:rsidR="00000000" w:rsidRDefault="00A173A8">
            <w:pPr>
              <w:spacing w:after="100"/>
              <w:rPr>
                <w:rFonts w:eastAsia="Times New Roman"/>
                <w:sz w:val="20"/>
                <w:szCs w:val="20"/>
              </w:rPr>
            </w:pPr>
          </w:p>
        </w:tc>
        <w:tc>
          <w:tcPr>
            <w:tcW w:w="0" w:type="auto"/>
            <w:gridSpan w:val="3"/>
            <w:vAlign w:val="center"/>
            <w:hideMark/>
          </w:tcPr>
          <w:p w14:paraId="31C196F6" w14:textId="77777777" w:rsidR="00000000" w:rsidRDefault="00A173A8">
            <w:pPr>
              <w:spacing w:after="100"/>
              <w:rPr>
                <w:rFonts w:eastAsia="Times New Roman"/>
                <w:sz w:val="20"/>
                <w:szCs w:val="20"/>
              </w:rPr>
            </w:pPr>
          </w:p>
        </w:tc>
        <w:tc>
          <w:tcPr>
            <w:tcW w:w="0" w:type="auto"/>
            <w:gridSpan w:val="3"/>
            <w:vAlign w:val="center"/>
            <w:hideMark/>
          </w:tcPr>
          <w:p w14:paraId="6AC9228C" w14:textId="77777777" w:rsidR="00000000" w:rsidRDefault="00A173A8">
            <w:pPr>
              <w:spacing w:after="100"/>
              <w:rPr>
                <w:rFonts w:eastAsia="Times New Roman"/>
                <w:sz w:val="20"/>
                <w:szCs w:val="20"/>
              </w:rPr>
            </w:pPr>
          </w:p>
        </w:tc>
        <w:tc>
          <w:tcPr>
            <w:tcW w:w="0" w:type="auto"/>
            <w:gridSpan w:val="3"/>
            <w:vAlign w:val="center"/>
            <w:hideMark/>
          </w:tcPr>
          <w:p w14:paraId="413F4421" w14:textId="77777777" w:rsidR="00000000" w:rsidRDefault="00A173A8">
            <w:pPr>
              <w:spacing w:after="100"/>
              <w:rPr>
                <w:rFonts w:eastAsia="Times New Roman"/>
                <w:sz w:val="20"/>
                <w:szCs w:val="20"/>
              </w:rPr>
            </w:pPr>
          </w:p>
        </w:tc>
        <w:tc>
          <w:tcPr>
            <w:tcW w:w="0" w:type="auto"/>
            <w:gridSpan w:val="3"/>
            <w:vAlign w:val="center"/>
            <w:hideMark/>
          </w:tcPr>
          <w:p w14:paraId="332575CA" w14:textId="77777777" w:rsidR="00000000" w:rsidRDefault="00A173A8">
            <w:pPr>
              <w:spacing w:after="100"/>
              <w:rPr>
                <w:rFonts w:eastAsia="Times New Roman"/>
                <w:sz w:val="20"/>
                <w:szCs w:val="20"/>
              </w:rPr>
            </w:pPr>
          </w:p>
        </w:tc>
        <w:tc>
          <w:tcPr>
            <w:tcW w:w="0" w:type="auto"/>
            <w:gridSpan w:val="3"/>
            <w:vAlign w:val="center"/>
            <w:hideMark/>
          </w:tcPr>
          <w:p w14:paraId="3F248B04" w14:textId="77777777" w:rsidR="00000000" w:rsidRDefault="00A173A8">
            <w:pPr>
              <w:spacing w:after="100"/>
              <w:rPr>
                <w:rFonts w:eastAsia="Times New Roman"/>
                <w:sz w:val="20"/>
                <w:szCs w:val="20"/>
              </w:rPr>
            </w:pPr>
          </w:p>
        </w:tc>
        <w:tc>
          <w:tcPr>
            <w:tcW w:w="0" w:type="auto"/>
            <w:gridSpan w:val="3"/>
            <w:vAlign w:val="center"/>
            <w:hideMark/>
          </w:tcPr>
          <w:p w14:paraId="77F600FA" w14:textId="77777777" w:rsidR="00000000" w:rsidRDefault="00A173A8">
            <w:pPr>
              <w:spacing w:after="100"/>
              <w:rPr>
                <w:rFonts w:eastAsia="Times New Roman"/>
                <w:sz w:val="20"/>
                <w:szCs w:val="20"/>
              </w:rPr>
            </w:pPr>
          </w:p>
        </w:tc>
        <w:tc>
          <w:tcPr>
            <w:tcW w:w="0" w:type="auto"/>
            <w:gridSpan w:val="3"/>
            <w:vAlign w:val="center"/>
            <w:hideMark/>
          </w:tcPr>
          <w:p w14:paraId="33905F92" w14:textId="77777777" w:rsidR="00000000" w:rsidRDefault="00A173A8">
            <w:pPr>
              <w:spacing w:after="100"/>
              <w:rPr>
                <w:rFonts w:eastAsia="Times New Roman"/>
                <w:sz w:val="20"/>
                <w:szCs w:val="20"/>
              </w:rPr>
            </w:pPr>
          </w:p>
        </w:tc>
        <w:tc>
          <w:tcPr>
            <w:tcW w:w="0" w:type="auto"/>
            <w:gridSpan w:val="3"/>
            <w:vAlign w:val="center"/>
            <w:hideMark/>
          </w:tcPr>
          <w:p w14:paraId="44AF3B7B" w14:textId="77777777" w:rsidR="00000000" w:rsidRDefault="00A173A8">
            <w:pPr>
              <w:spacing w:after="100"/>
              <w:rPr>
                <w:rFonts w:eastAsia="Times New Roman"/>
                <w:sz w:val="20"/>
                <w:szCs w:val="20"/>
              </w:rPr>
            </w:pPr>
          </w:p>
        </w:tc>
        <w:tc>
          <w:tcPr>
            <w:tcW w:w="0" w:type="auto"/>
            <w:gridSpan w:val="3"/>
            <w:vAlign w:val="center"/>
            <w:hideMark/>
          </w:tcPr>
          <w:p w14:paraId="1189B68D" w14:textId="77777777" w:rsidR="00000000" w:rsidRDefault="00A173A8">
            <w:pPr>
              <w:spacing w:after="100"/>
              <w:rPr>
                <w:rFonts w:eastAsia="Times New Roman"/>
                <w:sz w:val="20"/>
                <w:szCs w:val="20"/>
              </w:rPr>
            </w:pPr>
          </w:p>
        </w:tc>
        <w:tc>
          <w:tcPr>
            <w:tcW w:w="0" w:type="auto"/>
            <w:gridSpan w:val="3"/>
            <w:vAlign w:val="center"/>
            <w:hideMark/>
          </w:tcPr>
          <w:p w14:paraId="6B2D0308" w14:textId="77777777" w:rsidR="00000000" w:rsidRDefault="00A173A8">
            <w:pPr>
              <w:spacing w:after="100"/>
              <w:rPr>
                <w:rFonts w:eastAsia="Times New Roman"/>
                <w:sz w:val="20"/>
                <w:szCs w:val="20"/>
              </w:rPr>
            </w:pPr>
          </w:p>
        </w:tc>
        <w:tc>
          <w:tcPr>
            <w:tcW w:w="0" w:type="auto"/>
            <w:gridSpan w:val="3"/>
            <w:vAlign w:val="center"/>
            <w:hideMark/>
          </w:tcPr>
          <w:p w14:paraId="38DA3282" w14:textId="77777777" w:rsidR="00000000" w:rsidRDefault="00A173A8">
            <w:pPr>
              <w:spacing w:after="100"/>
              <w:rPr>
                <w:rFonts w:eastAsia="Times New Roman"/>
                <w:sz w:val="20"/>
                <w:szCs w:val="20"/>
              </w:rPr>
            </w:pPr>
          </w:p>
        </w:tc>
      </w:tr>
      <w:tr w:rsidR="00000000" w14:paraId="0C89A29B" w14:textId="77777777">
        <w:trPr>
          <w:divId w:val="1616132076"/>
        </w:trPr>
        <w:tc>
          <w:tcPr>
            <w:tcW w:w="0" w:type="auto"/>
            <w:gridSpan w:val="3"/>
            <w:vAlign w:val="center"/>
            <w:hideMark/>
          </w:tcPr>
          <w:p w14:paraId="482F1D4D" w14:textId="77777777" w:rsidR="00000000" w:rsidRDefault="00A173A8">
            <w:pPr>
              <w:spacing w:after="100"/>
              <w:rPr>
                <w:rFonts w:eastAsia="Times New Roman"/>
                <w:sz w:val="20"/>
                <w:szCs w:val="20"/>
              </w:rPr>
            </w:pPr>
          </w:p>
        </w:tc>
        <w:tc>
          <w:tcPr>
            <w:tcW w:w="0" w:type="auto"/>
            <w:gridSpan w:val="3"/>
            <w:vAlign w:val="center"/>
            <w:hideMark/>
          </w:tcPr>
          <w:p w14:paraId="5283DE46" w14:textId="77777777" w:rsidR="00000000" w:rsidRDefault="00A173A8">
            <w:pPr>
              <w:spacing w:after="100"/>
              <w:rPr>
                <w:rFonts w:eastAsia="Times New Roman"/>
                <w:sz w:val="20"/>
                <w:szCs w:val="20"/>
              </w:rPr>
            </w:pPr>
          </w:p>
        </w:tc>
        <w:tc>
          <w:tcPr>
            <w:tcW w:w="0" w:type="auto"/>
            <w:gridSpan w:val="3"/>
            <w:vAlign w:val="center"/>
            <w:hideMark/>
          </w:tcPr>
          <w:p w14:paraId="27F31253" w14:textId="77777777" w:rsidR="00000000" w:rsidRDefault="00A173A8">
            <w:pPr>
              <w:spacing w:after="100"/>
              <w:rPr>
                <w:rFonts w:eastAsia="Times New Roman"/>
                <w:sz w:val="20"/>
                <w:szCs w:val="20"/>
              </w:rPr>
            </w:pPr>
          </w:p>
        </w:tc>
        <w:tc>
          <w:tcPr>
            <w:tcW w:w="0" w:type="auto"/>
            <w:gridSpan w:val="3"/>
            <w:vAlign w:val="center"/>
            <w:hideMark/>
          </w:tcPr>
          <w:p w14:paraId="3312CD66" w14:textId="77777777" w:rsidR="00000000" w:rsidRDefault="00A173A8">
            <w:pPr>
              <w:spacing w:after="100"/>
              <w:rPr>
                <w:rFonts w:eastAsia="Times New Roman"/>
                <w:sz w:val="20"/>
                <w:szCs w:val="20"/>
              </w:rPr>
            </w:pPr>
          </w:p>
        </w:tc>
        <w:tc>
          <w:tcPr>
            <w:tcW w:w="0" w:type="auto"/>
            <w:gridSpan w:val="3"/>
            <w:vAlign w:val="center"/>
            <w:hideMark/>
          </w:tcPr>
          <w:p w14:paraId="735E9453" w14:textId="77777777" w:rsidR="00000000" w:rsidRDefault="00A173A8">
            <w:pPr>
              <w:spacing w:after="100"/>
              <w:rPr>
                <w:rFonts w:eastAsia="Times New Roman"/>
                <w:sz w:val="20"/>
                <w:szCs w:val="20"/>
              </w:rPr>
            </w:pPr>
          </w:p>
        </w:tc>
        <w:tc>
          <w:tcPr>
            <w:tcW w:w="0" w:type="auto"/>
            <w:gridSpan w:val="3"/>
            <w:vAlign w:val="center"/>
            <w:hideMark/>
          </w:tcPr>
          <w:p w14:paraId="0E6D1EEE" w14:textId="77777777" w:rsidR="00000000" w:rsidRDefault="00A173A8">
            <w:pPr>
              <w:spacing w:after="100"/>
              <w:rPr>
                <w:rFonts w:eastAsia="Times New Roman"/>
                <w:sz w:val="20"/>
                <w:szCs w:val="20"/>
              </w:rPr>
            </w:pPr>
          </w:p>
        </w:tc>
        <w:tc>
          <w:tcPr>
            <w:tcW w:w="0" w:type="auto"/>
            <w:gridSpan w:val="3"/>
            <w:vAlign w:val="center"/>
            <w:hideMark/>
          </w:tcPr>
          <w:p w14:paraId="0B483DCC" w14:textId="77777777" w:rsidR="00000000" w:rsidRDefault="00A173A8">
            <w:pPr>
              <w:spacing w:after="100"/>
              <w:rPr>
                <w:rFonts w:eastAsia="Times New Roman"/>
                <w:sz w:val="20"/>
                <w:szCs w:val="20"/>
              </w:rPr>
            </w:pPr>
          </w:p>
        </w:tc>
        <w:tc>
          <w:tcPr>
            <w:tcW w:w="0" w:type="auto"/>
            <w:gridSpan w:val="3"/>
            <w:vAlign w:val="center"/>
            <w:hideMark/>
          </w:tcPr>
          <w:p w14:paraId="6D776A76" w14:textId="77777777" w:rsidR="00000000" w:rsidRDefault="00A173A8">
            <w:pPr>
              <w:spacing w:after="100"/>
              <w:rPr>
                <w:rFonts w:eastAsia="Times New Roman"/>
                <w:sz w:val="20"/>
                <w:szCs w:val="20"/>
              </w:rPr>
            </w:pPr>
          </w:p>
        </w:tc>
        <w:tc>
          <w:tcPr>
            <w:tcW w:w="0" w:type="auto"/>
            <w:gridSpan w:val="3"/>
            <w:vAlign w:val="center"/>
            <w:hideMark/>
          </w:tcPr>
          <w:p w14:paraId="193C2948" w14:textId="77777777" w:rsidR="00000000" w:rsidRDefault="00A173A8">
            <w:pPr>
              <w:spacing w:after="100"/>
              <w:rPr>
                <w:rFonts w:eastAsia="Times New Roman"/>
                <w:sz w:val="20"/>
                <w:szCs w:val="20"/>
              </w:rPr>
            </w:pPr>
          </w:p>
        </w:tc>
        <w:tc>
          <w:tcPr>
            <w:tcW w:w="0" w:type="auto"/>
            <w:gridSpan w:val="3"/>
            <w:vAlign w:val="center"/>
            <w:hideMark/>
          </w:tcPr>
          <w:p w14:paraId="34085EBD" w14:textId="77777777" w:rsidR="00000000" w:rsidRDefault="00A173A8">
            <w:pPr>
              <w:spacing w:after="100"/>
              <w:rPr>
                <w:rFonts w:eastAsia="Times New Roman"/>
                <w:sz w:val="20"/>
                <w:szCs w:val="20"/>
              </w:rPr>
            </w:pPr>
          </w:p>
        </w:tc>
        <w:tc>
          <w:tcPr>
            <w:tcW w:w="0" w:type="auto"/>
            <w:gridSpan w:val="3"/>
            <w:vAlign w:val="center"/>
            <w:hideMark/>
          </w:tcPr>
          <w:p w14:paraId="40273940" w14:textId="77777777" w:rsidR="00000000" w:rsidRDefault="00A173A8">
            <w:pPr>
              <w:spacing w:after="100"/>
              <w:rPr>
                <w:rFonts w:eastAsia="Times New Roman"/>
                <w:sz w:val="20"/>
                <w:szCs w:val="20"/>
              </w:rPr>
            </w:pPr>
          </w:p>
        </w:tc>
        <w:tc>
          <w:tcPr>
            <w:tcW w:w="0" w:type="auto"/>
            <w:gridSpan w:val="3"/>
            <w:vAlign w:val="center"/>
            <w:hideMark/>
          </w:tcPr>
          <w:p w14:paraId="3BCC15C1" w14:textId="77777777" w:rsidR="00000000" w:rsidRDefault="00A173A8">
            <w:pPr>
              <w:spacing w:after="100"/>
              <w:rPr>
                <w:rFonts w:eastAsia="Times New Roman"/>
                <w:sz w:val="20"/>
                <w:szCs w:val="20"/>
              </w:rPr>
            </w:pPr>
          </w:p>
        </w:tc>
        <w:tc>
          <w:tcPr>
            <w:tcW w:w="0" w:type="auto"/>
            <w:gridSpan w:val="3"/>
            <w:vAlign w:val="center"/>
            <w:hideMark/>
          </w:tcPr>
          <w:p w14:paraId="1F6B6E39" w14:textId="77777777" w:rsidR="00000000" w:rsidRDefault="00A173A8">
            <w:pPr>
              <w:spacing w:after="100"/>
              <w:rPr>
                <w:rFonts w:eastAsia="Times New Roman"/>
                <w:sz w:val="20"/>
                <w:szCs w:val="20"/>
              </w:rPr>
            </w:pPr>
          </w:p>
        </w:tc>
        <w:tc>
          <w:tcPr>
            <w:tcW w:w="0" w:type="auto"/>
            <w:gridSpan w:val="3"/>
            <w:vAlign w:val="center"/>
            <w:hideMark/>
          </w:tcPr>
          <w:p w14:paraId="777043C4" w14:textId="77777777" w:rsidR="00000000" w:rsidRDefault="00A173A8">
            <w:pPr>
              <w:spacing w:after="100"/>
              <w:rPr>
                <w:rFonts w:eastAsia="Times New Roman"/>
                <w:sz w:val="20"/>
                <w:szCs w:val="20"/>
              </w:rPr>
            </w:pPr>
          </w:p>
        </w:tc>
        <w:tc>
          <w:tcPr>
            <w:tcW w:w="0" w:type="auto"/>
            <w:gridSpan w:val="3"/>
            <w:vAlign w:val="center"/>
            <w:hideMark/>
          </w:tcPr>
          <w:p w14:paraId="28E4A5D9" w14:textId="77777777" w:rsidR="00000000" w:rsidRDefault="00A173A8">
            <w:pPr>
              <w:spacing w:after="100"/>
              <w:rPr>
                <w:rFonts w:eastAsia="Times New Roman"/>
                <w:sz w:val="20"/>
                <w:szCs w:val="20"/>
              </w:rPr>
            </w:pPr>
          </w:p>
        </w:tc>
        <w:tc>
          <w:tcPr>
            <w:tcW w:w="0" w:type="auto"/>
            <w:gridSpan w:val="3"/>
            <w:vAlign w:val="center"/>
            <w:hideMark/>
          </w:tcPr>
          <w:p w14:paraId="66BB422F" w14:textId="77777777" w:rsidR="00000000" w:rsidRDefault="00A173A8">
            <w:pPr>
              <w:spacing w:after="100"/>
              <w:rPr>
                <w:rFonts w:eastAsia="Times New Roman"/>
                <w:sz w:val="20"/>
                <w:szCs w:val="20"/>
              </w:rPr>
            </w:pPr>
          </w:p>
        </w:tc>
        <w:tc>
          <w:tcPr>
            <w:tcW w:w="0" w:type="auto"/>
            <w:gridSpan w:val="3"/>
            <w:vAlign w:val="center"/>
            <w:hideMark/>
          </w:tcPr>
          <w:p w14:paraId="38E6E270" w14:textId="77777777" w:rsidR="00000000" w:rsidRDefault="00A173A8">
            <w:pPr>
              <w:spacing w:after="100"/>
              <w:rPr>
                <w:rFonts w:eastAsia="Times New Roman"/>
                <w:sz w:val="20"/>
                <w:szCs w:val="20"/>
              </w:rPr>
            </w:pPr>
          </w:p>
        </w:tc>
      </w:tr>
      <w:tr w:rsidR="00000000" w14:paraId="0E70F8FD" w14:textId="77777777">
        <w:trPr>
          <w:divId w:val="1616132076"/>
        </w:trPr>
        <w:tc>
          <w:tcPr>
            <w:tcW w:w="0" w:type="auto"/>
            <w:gridSpan w:val="3"/>
            <w:vAlign w:val="center"/>
            <w:hideMark/>
          </w:tcPr>
          <w:p w14:paraId="172FC577" w14:textId="77777777" w:rsidR="00000000" w:rsidRDefault="00A173A8">
            <w:pPr>
              <w:spacing w:after="100"/>
              <w:rPr>
                <w:rFonts w:eastAsia="Times New Roman"/>
                <w:sz w:val="20"/>
                <w:szCs w:val="20"/>
              </w:rPr>
            </w:pPr>
          </w:p>
        </w:tc>
        <w:tc>
          <w:tcPr>
            <w:tcW w:w="0" w:type="auto"/>
            <w:gridSpan w:val="3"/>
            <w:vAlign w:val="center"/>
            <w:hideMark/>
          </w:tcPr>
          <w:p w14:paraId="1EB71FB4" w14:textId="77777777" w:rsidR="00000000" w:rsidRDefault="00A173A8">
            <w:pPr>
              <w:spacing w:after="100"/>
              <w:rPr>
                <w:rFonts w:eastAsia="Times New Roman"/>
                <w:sz w:val="20"/>
                <w:szCs w:val="20"/>
              </w:rPr>
            </w:pPr>
          </w:p>
        </w:tc>
        <w:tc>
          <w:tcPr>
            <w:tcW w:w="0" w:type="auto"/>
            <w:gridSpan w:val="3"/>
            <w:vAlign w:val="center"/>
            <w:hideMark/>
          </w:tcPr>
          <w:p w14:paraId="7247FC14" w14:textId="77777777" w:rsidR="00000000" w:rsidRDefault="00A173A8">
            <w:pPr>
              <w:spacing w:after="100"/>
              <w:rPr>
                <w:rFonts w:eastAsia="Times New Roman"/>
                <w:sz w:val="20"/>
                <w:szCs w:val="20"/>
              </w:rPr>
            </w:pPr>
          </w:p>
        </w:tc>
        <w:tc>
          <w:tcPr>
            <w:tcW w:w="0" w:type="auto"/>
            <w:gridSpan w:val="3"/>
            <w:vAlign w:val="center"/>
            <w:hideMark/>
          </w:tcPr>
          <w:p w14:paraId="4E9E743D" w14:textId="77777777" w:rsidR="00000000" w:rsidRDefault="00A173A8">
            <w:pPr>
              <w:spacing w:after="100"/>
              <w:rPr>
                <w:rFonts w:eastAsia="Times New Roman"/>
                <w:sz w:val="20"/>
                <w:szCs w:val="20"/>
              </w:rPr>
            </w:pPr>
          </w:p>
        </w:tc>
        <w:tc>
          <w:tcPr>
            <w:tcW w:w="0" w:type="auto"/>
            <w:gridSpan w:val="3"/>
            <w:vAlign w:val="center"/>
            <w:hideMark/>
          </w:tcPr>
          <w:p w14:paraId="2FDE346F" w14:textId="77777777" w:rsidR="00000000" w:rsidRDefault="00A173A8">
            <w:pPr>
              <w:spacing w:after="100"/>
              <w:rPr>
                <w:rFonts w:eastAsia="Times New Roman"/>
                <w:sz w:val="20"/>
                <w:szCs w:val="20"/>
              </w:rPr>
            </w:pPr>
          </w:p>
        </w:tc>
        <w:tc>
          <w:tcPr>
            <w:tcW w:w="0" w:type="auto"/>
            <w:gridSpan w:val="3"/>
            <w:vAlign w:val="center"/>
            <w:hideMark/>
          </w:tcPr>
          <w:p w14:paraId="7A8E4BDB" w14:textId="77777777" w:rsidR="00000000" w:rsidRDefault="00A173A8">
            <w:pPr>
              <w:spacing w:after="100"/>
              <w:rPr>
                <w:rFonts w:eastAsia="Times New Roman"/>
                <w:sz w:val="20"/>
                <w:szCs w:val="20"/>
              </w:rPr>
            </w:pPr>
          </w:p>
        </w:tc>
        <w:tc>
          <w:tcPr>
            <w:tcW w:w="0" w:type="auto"/>
            <w:gridSpan w:val="3"/>
            <w:vAlign w:val="center"/>
            <w:hideMark/>
          </w:tcPr>
          <w:p w14:paraId="4000FFFA" w14:textId="77777777" w:rsidR="00000000" w:rsidRDefault="00A173A8">
            <w:pPr>
              <w:spacing w:after="100"/>
              <w:rPr>
                <w:rFonts w:eastAsia="Times New Roman"/>
                <w:sz w:val="20"/>
                <w:szCs w:val="20"/>
              </w:rPr>
            </w:pPr>
          </w:p>
        </w:tc>
        <w:tc>
          <w:tcPr>
            <w:tcW w:w="0" w:type="auto"/>
            <w:gridSpan w:val="3"/>
            <w:vAlign w:val="center"/>
            <w:hideMark/>
          </w:tcPr>
          <w:p w14:paraId="0168F78F" w14:textId="77777777" w:rsidR="00000000" w:rsidRDefault="00A173A8">
            <w:pPr>
              <w:spacing w:after="100"/>
              <w:rPr>
                <w:rFonts w:eastAsia="Times New Roman"/>
                <w:sz w:val="20"/>
                <w:szCs w:val="20"/>
              </w:rPr>
            </w:pPr>
          </w:p>
        </w:tc>
        <w:tc>
          <w:tcPr>
            <w:tcW w:w="0" w:type="auto"/>
            <w:gridSpan w:val="3"/>
            <w:vAlign w:val="center"/>
            <w:hideMark/>
          </w:tcPr>
          <w:p w14:paraId="32EDE558" w14:textId="77777777" w:rsidR="00000000" w:rsidRDefault="00A173A8">
            <w:pPr>
              <w:spacing w:after="100"/>
              <w:rPr>
                <w:rFonts w:eastAsia="Times New Roman"/>
                <w:sz w:val="20"/>
                <w:szCs w:val="20"/>
              </w:rPr>
            </w:pPr>
          </w:p>
        </w:tc>
        <w:tc>
          <w:tcPr>
            <w:tcW w:w="0" w:type="auto"/>
            <w:gridSpan w:val="3"/>
            <w:vAlign w:val="center"/>
            <w:hideMark/>
          </w:tcPr>
          <w:p w14:paraId="6B8423E1" w14:textId="77777777" w:rsidR="00000000" w:rsidRDefault="00A173A8">
            <w:pPr>
              <w:spacing w:after="100"/>
              <w:rPr>
                <w:rFonts w:eastAsia="Times New Roman"/>
                <w:sz w:val="20"/>
                <w:szCs w:val="20"/>
              </w:rPr>
            </w:pPr>
          </w:p>
        </w:tc>
        <w:tc>
          <w:tcPr>
            <w:tcW w:w="0" w:type="auto"/>
            <w:gridSpan w:val="3"/>
            <w:vAlign w:val="center"/>
            <w:hideMark/>
          </w:tcPr>
          <w:p w14:paraId="47615BF2" w14:textId="77777777" w:rsidR="00000000" w:rsidRDefault="00A173A8">
            <w:pPr>
              <w:spacing w:after="100"/>
              <w:rPr>
                <w:rFonts w:eastAsia="Times New Roman"/>
                <w:sz w:val="20"/>
                <w:szCs w:val="20"/>
              </w:rPr>
            </w:pPr>
          </w:p>
        </w:tc>
        <w:tc>
          <w:tcPr>
            <w:tcW w:w="0" w:type="auto"/>
            <w:gridSpan w:val="3"/>
            <w:vAlign w:val="center"/>
            <w:hideMark/>
          </w:tcPr>
          <w:p w14:paraId="7D11360A" w14:textId="77777777" w:rsidR="00000000" w:rsidRDefault="00A173A8">
            <w:pPr>
              <w:spacing w:after="100"/>
              <w:rPr>
                <w:rFonts w:eastAsia="Times New Roman"/>
                <w:sz w:val="20"/>
                <w:szCs w:val="20"/>
              </w:rPr>
            </w:pPr>
          </w:p>
        </w:tc>
        <w:tc>
          <w:tcPr>
            <w:tcW w:w="0" w:type="auto"/>
            <w:gridSpan w:val="3"/>
            <w:vAlign w:val="center"/>
            <w:hideMark/>
          </w:tcPr>
          <w:p w14:paraId="185329C0" w14:textId="77777777" w:rsidR="00000000" w:rsidRDefault="00A173A8">
            <w:pPr>
              <w:spacing w:after="100"/>
              <w:rPr>
                <w:rFonts w:eastAsia="Times New Roman"/>
                <w:sz w:val="20"/>
                <w:szCs w:val="20"/>
              </w:rPr>
            </w:pPr>
          </w:p>
        </w:tc>
        <w:tc>
          <w:tcPr>
            <w:tcW w:w="0" w:type="auto"/>
            <w:gridSpan w:val="3"/>
            <w:vAlign w:val="center"/>
            <w:hideMark/>
          </w:tcPr>
          <w:p w14:paraId="49757800" w14:textId="77777777" w:rsidR="00000000" w:rsidRDefault="00A173A8">
            <w:pPr>
              <w:spacing w:after="100"/>
              <w:rPr>
                <w:rFonts w:eastAsia="Times New Roman"/>
                <w:sz w:val="20"/>
                <w:szCs w:val="20"/>
              </w:rPr>
            </w:pPr>
          </w:p>
        </w:tc>
        <w:tc>
          <w:tcPr>
            <w:tcW w:w="0" w:type="auto"/>
            <w:gridSpan w:val="3"/>
            <w:vAlign w:val="center"/>
            <w:hideMark/>
          </w:tcPr>
          <w:p w14:paraId="3A897C41" w14:textId="77777777" w:rsidR="00000000" w:rsidRDefault="00A173A8">
            <w:pPr>
              <w:spacing w:after="100"/>
              <w:rPr>
                <w:rFonts w:eastAsia="Times New Roman"/>
                <w:sz w:val="20"/>
                <w:szCs w:val="20"/>
              </w:rPr>
            </w:pPr>
          </w:p>
        </w:tc>
        <w:tc>
          <w:tcPr>
            <w:tcW w:w="0" w:type="auto"/>
            <w:gridSpan w:val="3"/>
            <w:vAlign w:val="center"/>
            <w:hideMark/>
          </w:tcPr>
          <w:p w14:paraId="4770A4CD" w14:textId="77777777" w:rsidR="00000000" w:rsidRDefault="00A173A8">
            <w:pPr>
              <w:spacing w:after="100"/>
              <w:rPr>
                <w:rFonts w:eastAsia="Times New Roman"/>
                <w:sz w:val="20"/>
                <w:szCs w:val="20"/>
              </w:rPr>
            </w:pPr>
          </w:p>
        </w:tc>
        <w:tc>
          <w:tcPr>
            <w:tcW w:w="0" w:type="auto"/>
            <w:gridSpan w:val="3"/>
            <w:vAlign w:val="center"/>
            <w:hideMark/>
          </w:tcPr>
          <w:p w14:paraId="476F287C" w14:textId="77777777" w:rsidR="00000000" w:rsidRDefault="00A173A8">
            <w:pPr>
              <w:spacing w:after="100"/>
              <w:rPr>
                <w:rFonts w:eastAsia="Times New Roman"/>
                <w:sz w:val="20"/>
                <w:szCs w:val="20"/>
              </w:rPr>
            </w:pPr>
          </w:p>
        </w:tc>
      </w:tr>
      <w:tr w:rsidR="00000000" w14:paraId="7C71B095" w14:textId="77777777">
        <w:trPr>
          <w:divId w:val="1616132076"/>
        </w:trPr>
        <w:tc>
          <w:tcPr>
            <w:tcW w:w="0" w:type="auto"/>
            <w:gridSpan w:val="3"/>
            <w:vAlign w:val="center"/>
            <w:hideMark/>
          </w:tcPr>
          <w:p w14:paraId="1F0CB085" w14:textId="77777777" w:rsidR="00000000" w:rsidRDefault="00A173A8">
            <w:pPr>
              <w:spacing w:after="100"/>
              <w:rPr>
                <w:rFonts w:eastAsia="Times New Roman"/>
                <w:sz w:val="20"/>
                <w:szCs w:val="20"/>
              </w:rPr>
            </w:pPr>
          </w:p>
        </w:tc>
        <w:tc>
          <w:tcPr>
            <w:tcW w:w="0" w:type="auto"/>
            <w:gridSpan w:val="3"/>
            <w:vAlign w:val="center"/>
            <w:hideMark/>
          </w:tcPr>
          <w:p w14:paraId="44DC910B" w14:textId="77777777" w:rsidR="00000000" w:rsidRDefault="00A173A8">
            <w:pPr>
              <w:spacing w:after="100"/>
              <w:rPr>
                <w:rFonts w:eastAsia="Times New Roman"/>
                <w:sz w:val="20"/>
                <w:szCs w:val="20"/>
              </w:rPr>
            </w:pPr>
          </w:p>
        </w:tc>
        <w:tc>
          <w:tcPr>
            <w:tcW w:w="0" w:type="auto"/>
            <w:gridSpan w:val="3"/>
            <w:vAlign w:val="center"/>
            <w:hideMark/>
          </w:tcPr>
          <w:p w14:paraId="5CB52BB6" w14:textId="77777777" w:rsidR="00000000" w:rsidRDefault="00A173A8">
            <w:pPr>
              <w:spacing w:after="100"/>
              <w:rPr>
                <w:rFonts w:eastAsia="Times New Roman"/>
                <w:sz w:val="20"/>
                <w:szCs w:val="20"/>
              </w:rPr>
            </w:pPr>
          </w:p>
        </w:tc>
        <w:tc>
          <w:tcPr>
            <w:tcW w:w="0" w:type="auto"/>
            <w:gridSpan w:val="3"/>
            <w:vAlign w:val="center"/>
            <w:hideMark/>
          </w:tcPr>
          <w:p w14:paraId="2D5AC15B" w14:textId="77777777" w:rsidR="00000000" w:rsidRDefault="00A173A8">
            <w:pPr>
              <w:spacing w:after="100"/>
              <w:rPr>
                <w:rFonts w:eastAsia="Times New Roman"/>
                <w:sz w:val="20"/>
                <w:szCs w:val="20"/>
              </w:rPr>
            </w:pPr>
          </w:p>
        </w:tc>
        <w:tc>
          <w:tcPr>
            <w:tcW w:w="0" w:type="auto"/>
            <w:gridSpan w:val="3"/>
            <w:vAlign w:val="center"/>
            <w:hideMark/>
          </w:tcPr>
          <w:p w14:paraId="0DB88A8A" w14:textId="77777777" w:rsidR="00000000" w:rsidRDefault="00A173A8">
            <w:pPr>
              <w:spacing w:after="100"/>
              <w:rPr>
                <w:rFonts w:eastAsia="Times New Roman"/>
                <w:sz w:val="20"/>
                <w:szCs w:val="20"/>
              </w:rPr>
            </w:pPr>
          </w:p>
        </w:tc>
        <w:tc>
          <w:tcPr>
            <w:tcW w:w="0" w:type="auto"/>
            <w:gridSpan w:val="3"/>
            <w:vAlign w:val="center"/>
            <w:hideMark/>
          </w:tcPr>
          <w:p w14:paraId="7BA798BC" w14:textId="77777777" w:rsidR="00000000" w:rsidRDefault="00A173A8">
            <w:pPr>
              <w:spacing w:after="100"/>
              <w:rPr>
                <w:rFonts w:eastAsia="Times New Roman"/>
                <w:sz w:val="20"/>
                <w:szCs w:val="20"/>
              </w:rPr>
            </w:pPr>
          </w:p>
        </w:tc>
        <w:tc>
          <w:tcPr>
            <w:tcW w:w="0" w:type="auto"/>
            <w:gridSpan w:val="3"/>
            <w:vAlign w:val="center"/>
            <w:hideMark/>
          </w:tcPr>
          <w:p w14:paraId="679B64DF" w14:textId="77777777" w:rsidR="00000000" w:rsidRDefault="00A173A8">
            <w:pPr>
              <w:spacing w:after="100"/>
              <w:rPr>
                <w:rFonts w:eastAsia="Times New Roman"/>
                <w:sz w:val="20"/>
                <w:szCs w:val="20"/>
              </w:rPr>
            </w:pPr>
          </w:p>
        </w:tc>
        <w:tc>
          <w:tcPr>
            <w:tcW w:w="0" w:type="auto"/>
            <w:gridSpan w:val="3"/>
            <w:vAlign w:val="center"/>
            <w:hideMark/>
          </w:tcPr>
          <w:p w14:paraId="4F79B386" w14:textId="77777777" w:rsidR="00000000" w:rsidRDefault="00A173A8">
            <w:pPr>
              <w:spacing w:after="100"/>
              <w:rPr>
                <w:rFonts w:eastAsia="Times New Roman"/>
                <w:sz w:val="20"/>
                <w:szCs w:val="20"/>
              </w:rPr>
            </w:pPr>
          </w:p>
        </w:tc>
        <w:tc>
          <w:tcPr>
            <w:tcW w:w="0" w:type="auto"/>
            <w:gridSpan w:val="3"/>
            <w:vAlign w:val="center"/>
            <w:hideMark/>
          </w:tcPr>
          <w:p w14:paraId="0AE906D5" w14:textId="77777777" w:rsidR="00000000" w:rsidRDefault="00A173A8">
            <w:pPr>
              <w:spacing w:after="100"/>
              <w:rPr>
                <w:rFonts w:eastAsia="Times New Roman"/>
                <w:sz w:val="20"/>
                <w:szCs w:val="20"/>
              </w:rPr>
            </w:pPr>
          </w:p>
        </w:tc>
        <w:tc>
          <w:tcPr>
            <w:tcW w:w="0" w:type="auto"/>
            <w:gridSpan w:val="3"/>
            <w:vAlign w:val="center"/>
            <w:hideMark/>
          </w:tcPr>
          <w:p w14:paraId="28B7C31E" w14:textId="77777777" w:rsidR="00000000" w:rsidRDefault="00A173A8">
            <w:pPr>
              <w:spacing w:after="100"/>
              <w:rPr>
                <w:rFonts w:eastAsia="Times New Roman"/>
                <w:sz w:val="20"/>
                <w:szCs w:val="20"/>
              </w:rPr>
            </w:pPr>
          </w:p>
        </w:tc>
        <w:tc>
          <w:tcPr>
            <w:tcW w:w="0" w:type="auto"/>
            <w:gridSpan w:val="3"/>
            <w:vAlign w:val="center"/>
            <w:hideMark/>
          </w:tcPr>
          <w:p w14:paraId="2CC5100B" w14:textId="77777777" w:rsidR="00000000" w:rsidRDefault="00A173A8">
            <w:pPr>
              <w:spacing w:after="100"/>
              <w:rPr>
                <w:rFonts w:eastAsia="Times New Roman"/>
                <w:sz w:val="20"/>
                <w:szCs w:val="20"/>
              </w:rPr>
            </w:pPr>
          </w:p>
        </w:tc>
        <w:tc>
          <w:tcPr>
            <w:tcW w:w="0" w:type="auto"/>
            <w:gridSpan w:val="3"/>
            <w:vAlign w:val="center"/>
            <w:hideMark/>
          </w:tcPr>
          <w:p w14:paraId="1F054E0A" w14:textId="77777777" w:rsidR="00000000" w:rsidRDefault="00A173A8">
            <w:pPr>
              <w:spacing w:after="100"/>
              <w:rPr>
                <w:rFonts w:eastAsia="Times New Roman"/>
                <w:sz w:val="20"/>
                <w:szCs w:val="20"/>
              </w:rPr>
            </w:pPr>
          </w:p>
        </w:tc>
        <w:tc>
          <w:tcPr>
            <w:tcW w:w="0" w:type="auto"/>
            <w:gridSpan w:val="3"/>
            <w:vAlign w:val="center"/>
            <w:hideMark/>
          </w:tcPr>
          <w:p w14:paraId="298F9985" w14:textId="77777777" w:rsidR="00000000" w:rsidRDefault="00A173A8">
            <w:pPr>
              <w:spacing w:after="100"/>
              <w:rPr>
                <w:rFonts w:eastAsia="Times New Roman"/>
                <w:sz w:val="20"/>
                <w:szCs w:val="20"/>
              </w:rPr>
            </w:pPr>
          </w:p>
        </w:tc>
        <w:tc>
          <w:tcPr>
            <w:tcW w:w="0" w:type="auto"/>
            <w:gridSpan w:val="3"/>
            <w:vAlign w:val="center"/>
            <w:hideMark/>
          </w:tcPr>
          <w:p w14:paraId="05014C86" w14:textId="77777777" w:rsidR="00000000" w:rsidRDefault="00A173A8">
            <w:pPr>
              <w:spacing w:after="100"/>
              <w:rPr>
                <w:rFonts w:eastAsia="Times New Roman"/>
                <w:sz w:val="20"/>
                <w:szCs w:val="20"/>
              </w:rPr>
            </w:pPr>
          </w:p>
        </w:tc>
        <w:tc>
          <w:tcPr>
            <w:tcW w:w="0" w:type="auto"/>
            <w:gridSpan w:val="3"/>
            <w:vAlign w:val="center"/>
            <w:hideMark/>
          </w:tcPr>
          <w:p w14:paraId="1DE175EA" w14:textId="77777777" w:rsidR="00000000" w:rsidRDefault="00A173A8">
            <w:pPr>
              <w:spacing w:after="100"/>
              <w:rPr>
                <w:rFonts w:eastAsia="Times New Roman"/>
                <w:sz w:val="20"/>
                <w:szCs w:val="20"/>
              </w:rPr>
            </w:pPr>
          </w:p>
        </w:tc>
        <w:tc>
          <w:tcPr>
            <w:tcW w:w="0" w:type="auto"/>
            <w:gridSpan w:val="3"/>
            <w:vAlign w:val="center"/>
            <w:hideMark/>
          </w:tcPr>
          <w:p w14:paraId="6D75658D" w14:textId="77777777" w:rsidR="00000000" w:rsidRDefault="00A173A8">
            <w:pPr>
              <w:spacing w:after="100"/>
              <w:rPr>
                <w:rFonts w:eastAsia="Times New Roman"/>
                <w:sz w:val="20"/>
                <w:szCs w:val="20"/>
              </w:rPr>
            </w:pPr>
          </w:p>
        </w:tc>
        <w:tc>
          <w:tcPr>
            <w:tcW w:w="0" w:type="auto"/>
            <w:gridSpan w:val="3"/>
            <w:vAlign w:val="center"/>
            <w:hideMark/>
          </w:tcPr>
          <w:p w14:paraId="4BC5C05E" w14:textId="77777777" w:rsidR="00000000" w:rsidRDefault="00A173A8">
            <w:pPr>
              <w:spacing w:after="100"/>
              <w:rPr>
                <w:rFonts w:eastAsia="Times New Roman"/>
                <w:sz w:val="20"/>
                <w:szCs w:val="20"/>
              </w:rPr>
            </w:pPr>
          </w:p>
        </w:tc>
      </w:tr>
      <w:tr w:rsidR="00000000" w14:paraId="6A1C6A01" w14:textId="77777777">
        <w:trPr>
          <w:divId w:val="1616132076"/>
        </w:trPr>
        <w:tc>
          <w:tcPr>
            <w:tcW w:w="0" w:type="auto"/>
            <w:gridSpan w:val="3"/>
            <w:vAlign w:val="center"/>
            <w:hideMark/>
          </w:tcPr>
          <w:p w14:paraId="30904D8C" w14:textId="77777777" w:rsidR="00000000" w:rsidRDefault="00A173A8">
            <w:pPr>
              <w:spacing w:after="100"/>
              <w:rPr>
                <w:rFonts w:eastAsia="Times New Roman"/>
                <w:sz w:val="20"/>
                <w:szCs w:val="20"/>
              </w:rPr>
            </w:pPr>
          </w:p>
        </w:tc>
        <w:tc>
          <w:tcPr>
            <w:tcW w:w="0" w:type="auto"/>
            <w:gridSpan w:val="3"/>
            <w:vAlign w:val="center"/>
            <w:hideMark/>
          </w:tcPr>
          <w:p w14:paraId="2AFBD2CC" w14:textId="77777777" w:rsidR="00000000" w:rsidRDefault="00A173A8">
            <w:pPr>
              <w:spacing w:after="100"/>
              <w:rPr>
                <w:rFonts w:eastAsia="Times New Roman"/>
                <w:sz w:val="20"/>
                <w:szCs w:val="20"/>
              </w:rPr>
            </w:pPr>
          </w:p>
        </w:tc>
        <w:tc>
          <w:tcPr>
            <w:tcW w:w="0" w:type="auto"/>
            <w:gridSpan w:val="3"/>
            <w:vAlign w:val="center"/>
            <w:hideMark/>
          </w:tcPr>
          <w:p w14:paraId="19D294E8" w14:textId="77777777" w:rsidR="00000000" w:rsidRDefault="00A173A8">
            <w:pPr>
              <w:spacing w:after="100"/>
              <w:rPr>
                <w:rFonts w:eastAsia="Times New Roman"/>
                <w:sz w:val="20"/>
                <w:szCs w:val="20"/>
              </w:rPr>
            </w:pPr>
          </w:p>
        </w:tc>
        <w:tc>
          <w:tcPr>
            <w:tcW w:w="0" w:type="auto"/>
            <w:gridSpan w:val="3"/>
            <w:vAlign w:val="center"/>
            <w:hideMark/>
          </w:tcPr>
          <w:p w14:paraId="3EA755FB" w14:textId="77777777" w:rsidR="00000000" w:rsidRDefault="00A173A8">
            <w:pPr>
              <w:spacing w:after="100"/>
              <w:rPr>
                <w:rFonts w:eastAsia="Times New Roman"/>
                <w:sz w:val="20"/>
                <w:szCs w:val="20"/>
              </w:rPr>
            </w:pPr>
          </w:p>
        </w:tc>
        <w:tc>
          <w:tcPr>
            <w:tcW w:w="0" w:type="auto"/>
            <w:gridSpan w:val="3"/>
            <w:vAlign w:val="center"/>
            <w:hideMark/>
          </w:tcPr>
          <w:p w14:paraId="349A65E3" w14:textId="77777777" w:rsidR="00000000" w:rsidRDefault="00A173A8">
            <w:pPr>
              <w:spacing w:after="100"/>
              <w:rPr>
                <w:rFonts w:eastAsia="Times New Roman"/>
                <w:sz w:val="20"/>
                <w:szCs w:val="20"/>
              </w:rPr>
            </w:pPr>
          </w:p>
        </w:tc>
        <w:tc>
          <w:tcPr>
            <w:tcW w:w="0" w:type="auto"/>
            <w:gridSpan w:val="3"/>
            <w:vAlign w:val="center"/>
            <w:hideMark/>
          </w:tcPr>
          <w:p w14:paraId="224377EE" w14:textId="77777777" w:rsidR="00000000" w:rsidRDefault="00A173A8">
            <w:pPr>
              <w:spacing w:after="100"/>
              <w:rPr>
                <w:rFonts w:eastAsia="Times New Roman"/>
                <w:sz w:val="20"/>
                <w:szCs w:val="20"/>
              </w:rPr>
            </w:pPr>
          </w:p>
        </w:tc>
        <w:tc>
          <w:tcPr>
            <w:tcW w:w="0" w:type="auto"/>
            <w:gridSpan w:val="3"/>
            <w:vAlign w:val="center"/>
            <w:hideMark/>
          </w:tcPr>
          <w:p w14:paraId="115C9D5C" w14:textId="77777777" w:rsidR="00000000" w:rsidRDefault="00A173A8">
            <w:pPr>
              <w:spacing w:after="100"/>
              <w:rPr>
                <w:rFonts w:eastAsia="Times New Roman"/>
                <w:sz w:val="20"/>
                <w:szCs w:val="20"/>
              </w:rPr>
            </w:pPr>
          </w:p>
        </w:tc>
        <w:tc>
          <w:tcPr>
            <w:tcW w:w="0" w:type="auto"/>
            <w:gridSpan w:val="3"/>
            <w:vAlign w:val="center"/>
            <w:hideMark/>
          </w:tcPr>
          <w:p w14:paraId="290D993B" w14:textId="77777777" w:rsidR="00000000" w:rsidRDefault="00A173A8">
            <w:pPr>
              <w:spacing w:after="100"/>
              <w:rPr>
                <w:rFonts w:eastAsia="Times New Roman"/>
                <w:sz w:val="20"/>
                <w:szCs w:val="20"/>
              </w:rPr>
            </w:pPr>
          </w:p>
        </w:tc>
        <w:tc>
          <w:tcPr>
            <w:tcW w:w="0" w:type="auto"/>
            <w:gridSpan w:val="3"/>
            <w:vAlign w:val="center"/>
            <w:hideMark/>
          </w:tcPr>
          <w:p w14:paraId="09BC38DD" w14:textId="77777777" w:rsidR="00000000" w:rsidRDefault="00A173A8">
            <w:pPr>
              <w:spacing w:after="100"/>
              <w:rPr>
                <w:rFonts w:eastAsia="Times New Roman"/>
                <w:sz w:val="20"/>
                <w:szCs w:val="20"/>
              </w:rPr>
            </w:pPr>
          </w:p>
        </w:tc>
        <w:tc>
          <w:tcPr>
            <w:tcW w:w="0" w:type="auto"/>
            <w:gridSpan w:val="3"/>
            <w:vAlign w:val="center"/>
            <w:hideMark/>
          </w:tcPr>
          <w:p w14:paraId="14DE3441" w14:textId="77777777" w:rsidR="00000000" w:rsidRDefault="00A173A8">
            <w:pPr>
              <w:spacing w:after="100"/>
              <w:rPr>
                <w:rFonts w:eastAsia="Times New Roman"/>
                <w:sz w:val="20"/>
                <w:szCs w:val="20"/>
              </w:rPr>
            </w:pPr>
          </w:p>
        </w:tc>
        <w:tc>
          <w:tcPr>
            <w:tcW w:w="0" w:type="auto"/>
            <w:gridSpan w:val="3"/>
            <w:vAlign w:val="center"/>
            <w:hideMark/>
          </w:tcPr>
          <w:p w14:paraId="2B875D68" w14:textId="77777777" w:rsidR="00000000" w:rsidRDefault="00A173A8">
            <w:pPr>
              <w:spacing w:after="100"/>
              <w:rPr>
                <w:rFonts w:eastAsia="Times New Roman"/>
                <w:sz w:val="20"/>
                <w:szCs w:val="20"/>
              </w:rPr>
            </w:pPr>
          </w:p>
        </w:tc>
        <w:tc>
          <w:tcPr>
            <w:tcW w:w="0" w:type="auto"/>
            <w:gridSpan w:val="3"/>
            <w:vAlign w:val="center"/>
            <w:hideMark/>
          </w:tcPr>
          <w:p w14:paraId="031736AD" w14:textId="77777777" w:rsidR="00000000" w:rsidRDefault="00A173A8">
            <w:pPr>
              <w:spacing w:after="100"/>
              <w:rPr>
                <w:rFonts w:eastAsia="Times New Roman"/>
                <w:sz w:val="20"/>
                <w:szCs w:val="20"/>
              </w:rPr>
            </w:pPr>
          </w:p>
        </w:tc>
        <w:tc>
          <w:tcPr>
            <w:tcW w:w="0" w:type="auto"/>
            <w:gridSpan w:val="3"/>
            <w:vAlign w:val="center"/>
            <w:hideMark/>
          </w:tcPr>
          <w:p w14:paraId="2C9940CC" w14:textId="77777777" w:rsidR="00000000" w:rsidRDefault="00A173A8">
            <w:pPr>
              <w:spacing w:after="100"/>
              <w:rPr>
                <w:rFonts w:eastAsia="Times New Roman"/>
                <w:sz w:val="20"/>
                <w:szCs w:val="20"/>
              </w:rPr>
            </w:pPr>
          </w:p>
        </w:tc>
        <w:tc>
          <w:tcPr>
            <w:tcW w:w="0" w:type="auto"/>
            <w:gridSpan w:val="3"/>
            <w:vAlign w:val="center"/>
            <w:hideMark/>
          </w:tcPr>
          <w:p w14:paraId="0E57A390" w14:textId="77777777" w:rsidR="00000000" w:rsidRDefault="00A173A8">
            <w:pPr>
              <w:spacing w:after="100"/>
              <w:rPr>
                <w:rFonts w:eastAsia="Times New Roman"/>
                <w:sz w:val="20"/>
                <w:szCs w:val="20"/>
              </w:rPr>
            </w:pPr>
          </w:p>
        </w:tc>
        <w:tc>
          <w:tcPr>
            <w:tcW w:w="0" w:type="auto"/>
            <w:gridSpan w:val="3"/>
            <w:vAlign w:val="center"/>
            <w:hideMark/>
          </w:tcPr>
          <w:p w14:paraId="532A8070" w14:textId="77777777" w:rsidR="00000000" w:rsidRDefault="00A173A8">
            <w:pPr>
              <w:spacing w:after="100"/>
              <w:rPr>
                <w:rFonts w:eastAsia="Times New Roman"/>
                <w:sz w:val="20"/>
                <w:szCs w:val="20"/>
              </w:rPr>
            </w:pPr>
          </w:p>
        </w:tc>
        <w:tc>
          <w:tcPr>
            <w:tcW w:w="0" w:type="auto"/>
            <w:gridSpan w:val="3"/>
            <w:vAlign w:val="center"/>
            <w:hideMark/>
          </w:tcPr>
          <w:p w14:paraId="208E1A36" w14:textId="77777777" w:rsidR="00000000" w:rsidRDefault="00A173A8">
            <w:pPr>
              <w:spacing w:after="100"/>
              <w:rPr>
                <w:rFonts w:eastAsia="Times New Roman"/>
                <w:sz w:val="20"/>
                <w:szCs w:val="20"/>
              </w:rPr>
            </w:pPr>
          </w:p>
        </w:tc>
        <w:tc>
          <w:tcPr>
            <w:tcW w:w="0" w:type="auto"/>
            <w:gridSpan w:val="3"/>
            <w:vAlign w:val="center"/>
            <w:hideMark/>
          </w:tcPr>
          <w:p w14:paraId="06905513" w14:textId="77777777" w:rsidR="00000000" w:rsidRDefault="00A173A8">
            <w:pPr>
              <w:spacing w:after="100"/>
              <w:rPr>
                <w:rFonts w:eastAsia="Times New Roman"/>
                <w:sz w:val="20"/>
                <w:szCs w:val="20"/>
              </w:rPr>
            </w:pPr>
          </w:p>
        </w:tc>
      </w:tr>
      <w:tr w:rsidR="00000000" w14:paraId="5A3986CB" w14:textId="77777777">
        <w:trPr>
          <w:divId w:val="1616132076"/>
        </w:trPr>
        <w:tc>
          <w:tcPr>
            <w:tcW w:w="0" w:type="auto"/>
            <w:gridSpan w:val="3"/>
            <w:vAlign w:val="center"/>
            <w:hideMark/>
          </w:tcPr>
          <w:p w14:paraId="5F1B99BA" w14:textId="77777777" w:rsidR="00000000" w:rsidRDefault="00A173A8">
            <w:pPr>
              <w:spacing w:after="100"/>
              <w:rPr>
                <w:rFonts w:eastAsia="Times New Roman"/>
                <w:sz w:val="20"/>
                <w:szCs w:val="20"/>
              </w:rPr>
            </w:pPr>
          </w:p>
        </w:tc>
        <w:tc>
          <w:tcPr>
            <w:tcW w:w="0" w:type="auto"/>
            <w:gridSpan w:val="3"/>
            <w:vAlign w:val="center"/>
            <w:hideMark/>
          </w:tcPr>
          <w:p w14:paraId="40E56DF4" w14:textId="77777777" w:rsidR="00000000" w:rsidRDefault="00A173A8">
            <w:pPr>
              <w:spacing w:after="100"/>
              <w:rPr>
                <w:rFonts w:eastAsia="Times New Roman"/>
                <w:sz w:val="20"/>
                <w:szCs w:val="20"/>
              </w:rPr>
            </w:pPr>
          </w:p>
        </w:tc>
        <w:tc>
          <w:tcPr>
            <w:tcW w:w="0" w:type="auto"/>
            <w:gridSpan w:val="3"/>
            <w:vAlign w:val="center"/>
            <w:hideMark/>
          </w:tcPr>
          <w:p w14:paraId="3CB80D5F" w14:textId="77777777" w:rsidR="00000000" w:rsidRDefault="00A173A8">
            <w:pPr>
              <w:spacing w:after="100"/>
              <w:rPr>
                <w:rFonts w:eastAsia="Times New Roman"/>
                <w:sz w:val="20"/>
                <w:szCs w:val="20"/>
              </w:rPr>
            </w:pPr>
          </w:p>
        </w:tc>
        <w:tc>
          <w:tcPr>
            <w:tcW w:w="0" w:type="auto"/>
            <w:gridSpan w:val="3"/>
            <w:vAlign w:val="center"/>
            <w:hideMark/>
          </w:tcPr>
          <w:p w14:paraId="7BE5C648" w14:textId="77777777" w:rsidR="00000000" w:rsidRDefault="00A173A8">
            <w:pPr>
              <w:spacing w:after="100"/>
              <w:rPr>
                <w:rFonts w:eastAsia="Times New Roman"/>
                <w:sz w:val="20"/>
                <w:szCs w:val="20"/>
              </w:rPr>
            </w:pPr>
          </w:p>
        </w:tc>
        <w:tc>
          <w:tcPr>
            <w:tcW w:w="0" w:type="auto"/>
            <w:gridSpan w:val="3"/>
            <w:vAlign w:val="center"/>
            <w:hideMark/>
          </w:tcPr>
          <w:p w14:paraId="38F4B104" w14:textId="77777777" w:rsidR="00000000" w:rsidRDefault="00A173A8">
            <w:pPr>
              <w:spacing w:after="100"/>
              <w:rPr>
                <w:rFonts w:eastAsia="Times New Roman"/>
                <w:sz w:val="20"/>
                <w:szCs w:val="20"/>
              </w:rPr>
            </w:pPr>
          </w:p>
        </w:tc>
        <w:tc>
          <w:tcPr>
            <w:tcW w:w="0" w:type="auto"/>
            <w:gridSpan w:val="3"/>
            <w:vAlign w:val="center"/>
            <w:hideMark/>
          </w:tcPr>
          <w:p w14:paraId="1E37BFD8" w14:textId="77777777" w:rsidR="00000000" w:rsidRDefault="00A173A8">
            <w:pPr>
              <w:spacing w:after="100"/>
              <w:rPr>
                <w:rFonts w:eastAsia="Times New Roman"/>
                <w:sz w:val="20"/>
                <w:szCs w:val="20"/>
              </w:rPr>
            </w:pPr>
          </w:p>
        </w:tc>
        <w:tc>
          <w:tcPr>
            <w:tcW w:w="0" w:type="auto"/>
            <w:gridSpan w:val="3"/>
            <w:vAlign w:val="center"/>
            <w:hideMark/>
          </w:tcPr>
          <w:p w14:paraId="5BC78FB1" w14:textId="77777777" w:rsidR="00000000" w:rsidRDefault="00A173A8">
            <w:pPr>
              <w:spacing w:after="100"/>
              <w:rPr>
                <w:rFonts w:eastAsia="Times New Roman"/>
                <w:sz w:val="20"/>
                <w:szCs w:val="20"/>
              </w:rPr>
            </w:pPr>
          </w:p>
        </w:tc>
        <w:tc>
          <w:tcPr>
            <w:tcW w:w="0" w:type="auto"/>
            <w:gridSpan w:val="3"/>
            <w:vAlign w:val="center"/>
            <w:hideMark/>
          </w:tcPr>
          <w:p w14:paraId="11E06B6B" w14:textId="77777777" w:rsidR="00000000" w:rsidRDefault="00A173A8">
            <w:pPr>
              <w:spacing w:after="100"/>
              <w:rPr>
                <w:rFonts w:eastAsia="Times New Roman"/>
                <w:sz w:val="20"/>
                <w:szCs w:val="20"/>
              </w:rPr>
            </w:pPr>
          </w:p>
        </w:tc>
        <w:tc>
          <w:tcPr>
            <w:tcW w:w="0" w:type="auto"/>
            <w:gridSpan w:val="3"/>
            <w:vAlign w:val="center"/>
            <w:hideMark/>
          </w:tcPr>
          <w:p w14:paraId="6985B3D9" w14:textId="77777777" w:rsidR="00000000" w:rsidRDefault="00A173A8">
            <w:pPr>
              <w:spacing w:after="100"/>
              <w:rPr>
                <w:rFonts w:eastAsia="Times New Roman"/>
                <w:sz w:val="20"/>
                <w:szCs w:val="20"/>
              </w:rPr>
            </w:pPr>
          </w:p>
        </w:tc>
        <w:tc>
          <w:tcPr>
            <w:tcW w:w="0" w:type="auto"/>
            <w:gridSpan w:val="3"/>
            <w:vAlign w:val="center"/>
            <w:hideMark/>
          </w:tcPr>
          <w:p w14:paraId="49516CB7" w14:textId="77777777" w:rsidR="00000000" w:rsidRDefault="00A173A8">
            <w:pPr>
              <w:spacing w:after="100"/>
              <w:rPr>
                <w:rFonts w:eastAsia="Times New Roman"/>
                <w:sz w:val="20"/>
                <w:szCs w:val="20"/>
              </w:rPr>
            </w:pPr>
          </w:p>
        </w:tc>
        <w:tc>
          <w:tcPr>
            <w:tcW w:w="0" w:type="auto"/>
            <w:gridSpan w:val="3"/>
            <w:vAlign w:val="center"/>
            <w:hideMark/>
          </w:tcPr>
          <w:p w14:paraId="53C47D00" w14:textId="77777777" w:rsidR="00000000" w:rsidRDefault="00A173A8">
            <w:pPr>
              <w:spacing w:after="100"/>
              <w:rPr>
                <w:rFonts w:eastAsia="Times New Roman"/>
                <w:sz w:val="20"/>
                <w:szCs w:val="20"/>
              </w:rPr>
            </w:pPr>
          </w:p>
        </w:tc>
        <w:tc>
          <w:tcPr>
            <w:tcW w:w="0" w:type="auto"/>
            <w:gridSpan w:val="3"/>
            <w:vAlign w:val="center"/>
            <w:hideMark/>
          </w:tcPr>
          <w:p w14:paraId="33FC3EA5" w14:textId="77777777" w:rsidR="00000000" w:rsidRDefault="00A173A8">
            <w:pPr>
              <w:spacing w:after="100"/>
              <w:rPr>
                <w:rFonts w:eastAsia="Times New Roman"/>
                <w:sz w:val="20"/>
                <w:szCs w:val="20"/>
              </w:rPr>
            </w:pPr>
          </w:p>
        </w:tc>
        <w:tc>
          <w:tcPr>
            <w:tcW w:w="0" w:type="auto"/>
            <w:gridSpan w:val="3"/>
            <w:vAlign w:val="center"/>
            <w:hideMark/>
          </w:tcPr>
          <w:p w14:paraId="6EFC0B04" w14:textId="77777777" w:rsidR="00000000" w:rsidRDefault="00A173A8">
            <w:pPr>
              <w:spacing w:after="100"/>
              <w:rPr>
                <w:rFonts w:eastAsia="Times New Roman"/>
                <w:sz w:val="20"/>
                <w:szCs w:val="20"/>
              </w:rPr>
            </w:pPr>
          </w:p>
        </w:tc>
        <w:tc>
          <w:tcPr>
            <w:tcW w:w="0" w:type="auto"/>
            <w:gridSpan w:val="3"/>
            <w:vAlign w:val="center"/>
            <w:hideMark/>
          </w:tcPr>
          <w:p w14:paraId="563F98CE" w14:textId="77777777" w:rsidR="00000000" w:rsidRDefault="00A173A8">
            <w:pPr>
              <w:spacing w:after="100"/>
              <w:rPr>
                <w:rFonts w:eastAsia="Times New Roman"/>
                <w:sz w:val="20"/>
                <w:szCs w:val="20"/>
              </w:rPr>
            </w:pPr>
          </w:p>
        </w:tc>
        <w:tc>
          <w:tcPr>
            <w:tcW w:w="0" w:type="auto"/>
            <w:gridSpan w:val="3"/>
            <w:vAlign w:val="center"/>
            <w:hideMark/>
          </w:tcPr>
          <w:p w14:paraId="60D5F685" w14:textId="77777777" w:rsidR="00000000" w:rsidRDefault="00A173A8">
            <w:pPr>
              <w:spacing w:after="100"/>
              <w:rPr>
                <w:rFonts w:eastAsia="Times New Roman"/>
                <w:sz w:val="20"/>
                <w:szCs w:val="20"/>
              </w:rPr>
            </w:pPr>
          </w:p>
        </w:tc>
        <w:tc>
          <w:tcPr>
            <w:tcW w:w="0" w:type="auto"/>
            <w:gridSpan w:val="3"/>
            <w:vAlign w:val="center"/>
            <w:hideMark/>
          </w:tcPr>
          <w:p w14:paraId="0B5F2470" w14:textId="77777777" w:rsidR="00000000" w:rsidRDefault="00A173A8">
            <w:pPr>
              <w:spacing w:after="100"/>
              <w:rPr>
                <w:rFonts w:eastAsia="Times New Roman"/>
                <w:sz w:val="20"/>
                <w:szCs w:val="20"/>
              </w:rPr>
            </w:pPr>
          </w:p>
        </w:tc>
        <w:tc>
          <w:tcPr>
            <w:tcW w:w="0" w:type="auto"/>
            <w:gridSpan w:val="3"/>
            <w:vAlign w:val="center"/>
            <w:hideMark/>
          </w:tcPr>
          <w:p w14:paraId="5C05812D" w14:textId="77777777" w:rsidR="00000000" w:rsidRDefault="00A173A8">
            <w:pPr>
              <w:spacing w:after="100"/>
              <w:rPr>
                <w:rFonts w:eastAsia="Times New Roman"/>
                <w:sz w:val="20"/>
                <w:szCs w:val="20"/>
              </w:rPr>
            </w:pPr>
          </w:p>
        </w:tc>
      </w:tr>
      <w:tr w:rsidR="00000000" w14:paraId="6DBD4277" w14:textId="77777777">
        <w:trPr>
          <w:divId w:val="1616132076"/>
        </w:trPr>
        <w:tc>
          <w:tcPr>
            <w:tcW w:w="0" w:type="auto"/>
            <w:gridSpan w:val="3"/>
            <w:vAlign w:val="center"/>
            <w:hideMark/>
          </w:tcPr>
          <w:p w14:paraId="6BF505B7" w14:textId="77777777" w:rsidR="00000000" w:rsidRDefault="00A173A8">
            <w:pPr>
              <w:spacing w:after="100"/>
              <w:rPr>
                <w:rFonts w:eastAsia="Times New Roman"/>
                <w:sz w:val="20"/>
                <w:szCs w:val="20"/>
              </w:rPr>
            </w:pPr>
          </w:p>
        </w:tc>
        <w:tc>
          <w:tcPr>
            <w:tcW w:w="0" w:type="auto"/>
            <w:gridSpan w:val="3"/>
            <w:vAlign w:val="center"/>
            <w:hideMark/>
          </w:tcPr>
          <w:p w14:paraId="31E933DE" w14:textId="77777777" w:rsidR="00000000" w:rsidRDefault="00A173A8">
            <w:pPr>
              <w:spacing w:after="100"/>
              <w:rPr>
                <w:rFonts w:eastAsia="Times New Roman"/>
                <w:sz w:val="20"/>
                <w:szCs w:val="20"/>
              </w:rPr>
            </w:pPr>
          </w:p>
        </w:tc>
        <w:tc>
          <w:tcPr>
            <w:tcW w:w="0" w:type="auto"/>
            <w:gridSpan w:val="3"/>
            <w:vAlign w:val="center"/>
            <w:hideMark/>
          </w:tcPr>
          <w:p w14:paraId="5A77A530" w14:textId="77777777" w:rsidR="00000000" w:rsidRDefault="00A173A8">
            <w:pPr>
              <w:spacing w:after="100"/>
              <w:rPr>
                <w:rFonts w:eastAsia="Times New Roman"/>
                <w:sz w:val="20"/>
                <w:szCs w:val="20"/>
              </w:rPr>
            </w:pPr>
          </w:p>
        </w:tc>
        <w:tc>
          <w:tcPr>
            <w:tcW w:w="0" w:type="auto"/>
            <w:gridSpan w:val="3"/>
            <w:vAlign w:val="center"/>
            <w:hideMark/>
          </w:tcPr>
          <w:p w14:paraId="3B08FE9A" w14:textId="77777777" w:rsidR="00000000" w:rsidRDefault="00A173A8">
            <w:pPr>
              <w:spacing w:after="100"/>
              <w:rPr>
                <w:rFonts w:eastAsia="Times New Roman"/>
                <w:sz w:val="20"/>
                <w:szCs w:val="20"/>
              </w:rPr>
            </w:pPr>
          </w:p>
        </w:tc>
        <w:tc>
          <w:tcPr>
            <w:tcW w:w="0" w:type="auto"/>
            <w:gridSpan w:val="3"/>
            <w:vAlign w:val="center"/>
            <w:hideMark/>
          </w:tcPr>
          <w:p w14:paraId="631C1D74" w14:textId="77777777" w:rsidR="00000000" w:rsidRDefault="00A173A8">
            <w:pPr>
              <w:spacing w:after="100"/>
              <w:rPr>
                <w:rFonts w:eastAsia="Times New Roman"/>
                <w:sz w:val="20"/>
                <w:szCs w:val="20"/>
              </w:rPr>
            </w:pPr>
          </w:p>
        </w:tc>
        <w:tc>
          <w:tcPr>
            <w:tcW w:w="0" w:type="auto"/>
            <w:gridSpan w:val="3"/>
            <w:vAlign w:val="center"/>
            <w:hideMark/>
          </w:tcPr>
          <w:p w14:paraId="48A2DE3B" w14:textId="77777777" w:rsidR="00000000" w:rsidRDefault="00A173A8">
            <w:pPr>
              <w:spacing w:after="100"/>
              <w:rPr>
                <w:rFonts w:eastAsia="Times New Roman"/>
                <w:sz w:val="20"/>
                <w:szCs w:val="20"/>
              </w:rPr>
            </w:pPr>
          </w:p>
        </w:tc>
        <w:tc>
          <w:tcPr>
            <w:tcW w:w="0" w:type="auto"/>
            <w:gridSpan w:val="3"/>
            <w:vAlign w:val="center"/>
            <w:hideMark/>
          </w:tcPr>
          <w:p w14:paraId="2B345746" w14:textId="77777777" w:rsidR="00000000" w:rsidRDefault="00A173A8">
            <w:pPr>
              <w:spacing w:after="100"/>
              <w:rPr>
                <w:rFonts w:eastAsia="Times New Roman"/>
                <w:sz w:val="20"/>
                <w:szCs w:val="20"/>
              </w:rPr>
            </w:pPr>
          </w:p>
        </w:tc>
        <w:tc>
          <w:tcPr>
            <w:tcW w:w="0" w:type="auto"/>
            <w:gridSpan w:val="3"/>
            <w:vAlign w:val="center"/>
            <w:hideMark/>
          </w:tcPr>
          <w:p w14:paraId="1204EA1B" w14:textId="77777777" w:rsidR="00000000" w:rsidRDefault="00A173A8">
            <w:pPr>
              <w:spacing w:after="100"/>
              <w:rPr>
                <w:rFonts w:eastAsia="Times New Roman"/>
                <w:sz w:val="20"/>
                <w:szCs w:val="20"/>
              </w:rPr>
            </w:pPr>
          </w:p>
        </w:tc>
        <w:tc>
          <w:tcPr>
            <w:tcW w:w="0" w:type="auto"/>
            <w:gridSpan w:val="3"/>
            <w:vAlign w:val="center"/>
            <w:hideMark/>
          </w:tcPr>
          <w:p w14:paraId="6195C0D5" w14:textId="77777777" w:rsidR="00000000" w:rsidRDefault="00A173A8">
            <w:pPr>
              <w:spacing w:after="100"/>
              <w:rPr>
                <w:rFonts w:eastAsia="Times New Roman"/>
                <w:sz w:val="20"/>
                <w:szCs w:val="20"/>
              </w:rPr>
            </w:pPr>
          </w:p>
        </w:tc>
        <w:tc>
          <w:tcPr>
            <w:tcW w:w="0" w:type="auto"/>
            <w:gridSpan w:val="3"/>
            <w:vAlign w:val="center"/>
            <w:hideMark/>
          </w:tcPr>
          <w:p w14:paraId="49139FF8" w14:textId="77777777" w:rsidR="00000000" w:rsidRDefault="00A173A8">
            <w:pPr>
              <w:spacing w:after="100"/>
              <w:rPr>
                <w:rFonts w:eastAsia="Times New Roman"/>
                <w:sz w:val="20"/>
                <w:szCs w:val="20"/>
              </w:rPr>
            </w:pPr>
          </w:p>
        </w:tc>
        <w:tc>
          <w:tcPr>
            <w:tcW w:w="0" w:type="auto"/>
            <w:gridSpan w:val="3"/>
            <w:vAlign w:val="center"/>
            <w:hideMark/>
          </w:tcPr>
          <w:p w14:paraId="10ECB8D9" w14:textId="77777777" w:rsidR="00000000" w:rsidRDefault="00A173A8">
            <w:pPr>
              <w:spacing w:after="100"/>
              <w:rPr>
                <w:rFonts w:eastAsia="Times New Roman"/>
                <w:sz w:val="20"/>
                <w:szCs w:val="20"/>
              </w:rPr>
            </w:pPr>
          </w:p>
        </w:tc>
        <w:tc>
          <w:tcPr>
            <w:tcW w:w="0" w:type="auto"/>
            <w:gridSpan w:val="3"/>
            <w:vAlign w:val="center"/>
            <w:hideMark/>
          </w:tcPr>
          <w:p w14:paraId="647C28CF" w14:textId="77777777" w:rsidR="00000000" w:rsidRDefault="00A173A8">
            <w:pPr>
              <w:spacing w:after="100"/>
              <w:rPr>
                <w:rFonts w:eastAsia="Times New Roman"/>
                <w:sz w:val="20"/>
                <w:szCs w:val="20"/>
              </w:rPr>
            </w:pPr>
          </w:p>
        </w:tc>
        <w:tc>
          <w:tcPr>
            <w:tcW w:w="0" w:type="auto"/>
            <w:gridSpan w:val="3"/>
            <w:vAlign w:val="center"/>
            <w:hideMark/>
          </w:tcPr>
          <w:p w14:paraId="0A366E16" w14:textId="77777777" w:rsidR="00000000" w:rsidRDefault="00A173A8">
            <w:pPr>
              <w:spacing w:after="100"/>
              <w:rPr>
                <w:rFonts w:eastAsia="Times New Roman"/>
                <w:sz w:val="20"/>
                <w:szCs w:val="20"/>
              </w:rPr>
            </w:pPr>
          </w:p>
        </w:tc>
        <w:tc>
          <w:tcPr>
            <w:tcW w:w="0" w:type="auto"/>
            <w:gridSpan w:val="3"/>
            <w:vAlign w:val="center"/>
            <w:hideMark/>
          </w:tcPr>
          <w:p w14:paraId="6529F025" w14:textId="77777777" w:rsidR="00000000" w:rsidRDefault="00A173A8">
            <w:pPr>
              <w:spacing w:after="100"/>
              <w:rPr>
                <w:rFonts w:eastAsia="Times New Roman"/>
                <w:sz w:val="20"/>
                <w:szCs w:val="20"/>
              </w:rPr>
            </w:pPr>
          </w:p>
        </w:tc>
        <w:tc>
          <w:tcPr>
            <w:tcW w:w="0" w:type="auto"/>
            <w:gridSpan w:val="3"/>
            <w:vAlign w:val="center"/>
            <w:hideMark/>
          </w:tcPr>
          <w:p w14:paraId="14EEB773" w14:textId="77777777" w:rsidR="00000000" w:rsidRDefault="00A173A8">
            <w:pPr>
              <w:spacing w:after="100"/>
              <w:rPr>
                <w:rFonts w:eastAsia="Times New Roman"/>
                <w:sz w:val="20"/>
                <w:szCs w:val="20"/>
              </w:rPr>
            </w:pPr>
          </w:p>
        </w:tc>
        <w:tc>
          <w:tcPr>
            <w:tcW w:w="0" w:type="auto"/>
            <w:gridSpan w:val="3"/>
            <w:vAlign w:val="center"/>
            <w:hideMark/>
          </w:tcPr>
          <w:p w14:paraId="250081DC" w14:textId="77777777" w:rsidR="00000000" w:rsidRDefault="00A173A8">
            <w:pPr>
              <w:spacing w:after="100"/>
              <w:rPr>
                <w:rFonts w:eastAsia="Times New Roman"/>
                <w:sz w:val="20"/>
                <w:szCs w:val="20"/>
              </w:rPr>
            </w:pPr>
          </w:p>
        </w:tc>
        <w:tc>
          <w:tcPr>
            <w:tcW w:w="0" w:type="auto"/>
            <w:gridSpan w:val="3"/>
            <w:vAlign w:val="center"/>
            <w:hideMark/>
          </w:tcPr>
          <w:p w14:paraId="1F82888D" w14:textId="77777777" w:rsidR="00000000" w:rsidRDefault="00A173A8">
            <w:pPr>
              <w:spacing w:after="100"/>
              <w:rPr>
                <w:rFonts w:eastAsia="Times New Roman"/>
                <w:sz w:val="20"/>
                <w:szCs w:val="20"/>
              </w:rPr>
            </w:pPr>
          </w:p>
        </w:tc>
      </w:tr>
      <w:tr w:rsidR="00000000" w14:paraId="2DF05B90" w14:textId="77777777">
        <w:trPr>
          <w:divId w:val="1616132076"/>
        </w:trPr>
        <w:tc>
          <w:tcPr>
            <w:tcW w:w="0" w:type="auto"/>
            <w:gridSpan w:val="3"/>
            <w:vAlign w:val="center"/>
            <w:hideMark/>
          </w:tcPr>
          <w:p w14:paraId="10ABC6BF" w14:textId="77777777" w:rsidR="00000000" w:rsidRDefault="00A173A8">
            <w:pPr>
              <w:spacing w:after="100"/>
              <w:rPr>
                <w:rFonts w:eastAsia="Times New Roman"/>
                <w:sz w:val="20"/>
                <w:szCs w:val="20"/>
              </w:rPr>
            </w:pPr>
          </w:p>
        </w:tc>
        <w:tc>
          <w:tcPr>
            <w:tcW w:w="0" w:type="auto"/>
            <w:gridSpan w:val="3"/>
            <w:vAlign w:val="center"/>
            <w:hideMark/>
          </w:tcPr>
          <w:p w14:paraId="28F43613" w14:textId="77777777" w:rsidR="00000000" w:rsidRDefault="00A173A8">
            <w:pPr>
              <w:spacing w:after="100"/>
              <w:rPr>
                <w:rFonts w:eastAsia="Times New Roman"/>
                <w:sz w:val="20"/>
                <w:szCs w:val="20"/>
              </w:rPr>
            </w:pPr>
          </w:p>
        </w:tc>
        <w:tc>
          <w:tcPr>
            <w:tcW w:w="0" w:type="auto"/>
            <w:gridSpan w:val="3"/>
            <w:vAlign w:val="center"/>
            <w:hideMark/>
          </w:tcPr>
          <w:p w14:paraId="3BCB4295" w14:textId="77777777" w:rsidR="00000000" w:rsidRDefault="00A173A8">
            <w:pPr>
              <w:spacing w:after="100"/>
              <w:rPr>
                <w:rFonts w:eastAsia="Times New Roman"/>
                <w:sz w:val="20"/>
                <w:szCs w:val="20"/>
              </w:rPr>
            </w:pPr>
          </w:p>
        </w:tc>
        <w:tc>
          <w:tcPr>
            <w:tcW w:w="0" w:type="auto"/>
            <w:gridSpan w:val="3"/>
            <w:vAlign w:val="center"/>
            <w:hideMark/>
          </w:tcPr>
          <w:p w14:paraId="7FC61322" w14:textId="77777777" w:rsidR="00000000" w:rsidRDefault="00A173A8">
            <w:pPr>
              <w:spacing w:after="100"/>
              <w:rPr>
                <w:rFonts w:eastAsia="Times New Roman"/>
                <w:sz w:val="20"/>
                <w:szCs w:val="20"/>
              </w:rPr>
            </w:pPr>
          </w:p>
        </w:tc>
        <w:tc>
          <w:tcPr>
            <w:tcW w:w="0" w:type="auto"/>
            <w:gridSpan w:val="3"/>
            <w:vAlign w:val="center"/>
            <w:hideMark/>
          </w:tcPr>
          <w:p w14:paraId="6CD90AB7" w14:textId="77777777" w:rsidR="00000000" w:rsidRDefault="00A173A8">
            <w:pPr>
              <w:spacing w:after="100"/>
              <w:rPr>
                <w:rFonts w:eastAsia="Times New Roman"/>
                <w:sz w:val="20"/>
                <w:szCs w:val="20"/>
              </w:rPr>
            </w:pPr>
          </w:p>
        </w:tc>
        <w:tc>
          <w:tcPr>
            <w:tcW w:w="0" w:type="auto"/>
            <w:gridSpan w:val="3"/>
            <w:vAlign w:val="center"/>
            <w:hideMark/>
          </w:tcPr>
          <w:p w14:paraId="5D7D08FD" w14:textId="77777777" w:rsidR="00000000" w:rsidRDefault="00A173A8">
            <w:pPr>
              <w:spacing w:after="100"/>
              <w:rPr>
                <w:rFonts w:eastAsia="Times New Roman"/>
                <w:sz w:val="20"/>
                <w:szCs w:val="20"/>
              </w:rPr>
            </w:pPr>
          </w:p>
        </w:tc>
        <w:tc>
          <w:tcPr>
            <w:tcW w:w="0" w:type="auto"/>
            <w:gridSpan w:val="3"/>
            <w:vAlign w:val="center"/>
            <w:hideMark/>
          </w:tcPr>
          <w:p w14:paraId="20CEAB27" w14:textId="77777777" w:rsidR="00000000" w:rsidRDefault="00A173A8">
            <w:pPr>
              <w:spacing w:after="100"/>
              <w:rPr>
                <w:rFonts w:eastAsia="Times New Roman"/>
                <w:sz w:val="20"/>
                <w:szCs w:val="20"/>
              </w:rPr>
            </w:pPr>
          </w:p>
        </w:tc>
        <w:tc>
          <w:tcPr>
            <w:tcW w:w="0" w:type="auto"/>
            <w:gridSpan w:val="3"/>
            <w:vAlign w:val="center"/>
            <w:hideMark/>
          </w:tcPr>
          <w:p w14:paraId="3388B775" w14:textId="77777777" w:rsidR="00000000" w:rsidRDefault="00A173A8">
            <w:pPr>
              <w:spacing w:after="100"/>
              <w:rPr>
                <w:rFonts w:eastAsia="Times New Roman"/>
                <w:sz w:val="20"/>
                <w:szCs w:val="20"/>
              </w:rPr>
            </w:pPr>
          </w:p>
        </w:tc>
        <w:tc>
          <w:tcPr>
            <w:tcW w:w="0" w:type="auto"/>
            <w:gridSpan w:val="3"/>
            <w:vAlign w:val="center"/>
            <w:hideMark/>
          </w:tcPr>
          <w:p w14:paraId="1EF2D780" w14:textId="77777777" w:rsidR="00000000" w:rsidRDefault="00A173A8">
            <w:pPr>
              <w:spacing w:after="100"/>
              <w:rPr>
                <w:rFonts w:eastAsia="Times New Roman"/>
                <w:sz w:val="20"/>
                <w:szCs w:val="20"/>
              </w:rPr>
            </w:pPr>
          </w:p>
        </w:tc>
        <w:tc>
          <w:tcPr>
            <w:tcW w:w="0" w:type="auto"/>
            <w:gridSpan w:val="3"/>
            <w:vAlign w:val="center"/>
            <w:hideMark/>
          </w:tcPr>
          <w:p w14:paraId="654214BA" w14:textId="77777777" w:rsidR="00000000" w:rsidRDefault="00A173A8">
            <w:pPr>
              <w:spacing w:after="100"/>
              <w:rPr>
                <w:rFonts w:eastAsia="Times New Roman"/>
                <w:sz w:val="20"/>
                <w:szCs w:val="20"/>
              </w:rPr>
            </w:pPr>
          </w:p>
        </w:tc>
        <w:tc>
          <w:tcPr>
            <w:tcW w:w="0" w:type="auto"/>
            <w:gridSpan w:val="3"/>
            <w:vAlign w:val="center"/>
            <w:hideMark/>
          </w:tcPr>
          <w:p w14:paraId="33220B7F" w14:textId="77777777" w:rsidR="00000000" w:rsidRDefault="00A173A8">
            <w:pPr>
              <w:spacing w:after="100"/>
              <w:rPr>
                <w:rFonts w:eastAsia="Times New Roman"/>
                <w:sz w:val="20"/>
                <w:szCs w:val="20"/>
              </w:rPr>
            </w:pPr>
          </w:p>
        </w:tc>
        <w:tc>
          <w:tcPr>
            <w:tcW w:w="0" w:type="auto"/>
            <w:gridSpan w:val="3"/>
            <w:vAlign w:val="center"/>
            <w:hideMark/>
          </w:tcPr>
          <w:p w14:paraId="3C1FDE81" w14:textId="77777777" w:rsidR="00000000" w:rsidRDefault="00A173A8">
            <w:pPr>
              <w:spacing w:after="100"/>
              <w:rPr>
                <w:rFonts w:eastAsia="Times New Roman"/>
                <w:sz w:val="20"/>
                <w:szCs w:val="20"/>
              </w:rPr>
            </w:pPr>
          </w:p>
        </w:tc>
        <w:tc>
          <w:tcPr>
            <w:tcW w:w="0" w:type="auto"/>
            <w:gridSpan w:val="3"/>
            <w:vAlign w:val="center"/>
            <w:hideMark/>
          </w:tcPr>
          <w:p w14:paraId="2DA7CCC3" w14:textId="77777777" w:rsidR="00000000" w:rsidRDefault="00A173A8">
            <w:pPr>
              <w:spacing w:after="100"/>
              <w:rPr>
                <w:rFonts w:eastAsia="Times New Roman"/>
                <w:sz w:val="20"/>
                <w:szCs w:val="20"/>
              </w:rPr>
            </w:pPr>
          </w:p>
        </w:tc>
        <w:tc>
          <w:tcPr>
            <w:tcW w:w="0" w:type="auto"/>
            <w:gridSpan w:val="3"/>
            <w:vAlign w:val="center"/>
            <w:hideMark/>
          </w:tcPr>
          <w:p w14:paraId="19671CC6" w14:textId="77777777" w:rsidR="00000000" w:rsidRDefault="00A173A8">
            <w:pPr>
              <w:spacing w:after="100"/>
              <w:rPr>
                <w:rFonts w:eastAsia="Times New Roman"/>
                <w:sz w:val="20"/>
                <w:szCs w:val="20"/>
              </w:rPr>
            </w:pPr>
          </w:p>
        </w:tc>
        <w:tc>
          <w:tcPr>
            <w:tcW w:w="0" w:type="auto"/>
            <w:gridSpan w:val="3"/>
            <w:vAlign w:val="center"/>
            <w:hideMark/>
          </w:tcPr>
          <w:p w14:paraId="23C799CB" w14:textId="77777777" w:rsidR="00000000" w:rsidRDefault="00A173A8">
            <w:pPr>
              <w:spacing w:after="100"/>
              <w:rPr>
                <w:rFonts w:eastAsia="Times New Roman"/>
                <w:sz w:val="20"/>
                <w:szCs w:val="20"/>
              </w:rPr>
            </w:pPr>
          </w:p>
        </w:tc>
        <w:tc>
          <w:tcPr>
            <w:tcW w:w="0" w:type="auto"/>
            <w:gridSpan w:val="3"/>
            <w:vAlign w:val="center"/>
            <w:hideMark/>
          </w:tcPr>
          <w:p w14:paraId="3B63CDA0" w14:textId="77777777" w:rsidR="00000000" w:rsidRDefault="00A173A8">
            <w:pPr>
              <w:spacing w:after="100"/>
              <w:rPr>
                <w:rFonts w:eastAsia="Times New Roman"/>
                <w:sz w:val="20"/>
                <w:szCs w:val="20"/>
              </w:rPr>
            </w:pPr>
          </w:p>
        </w:tc>
        <w:tc>
          <w:tcPr>
            <w:tcW w:w="0" w:type="auto"/>
            <w:gridSpan w:val="3"/>
            <w:vAlign w:val="center"/>
            <w:hideMark/>
          </w:tcPr>
          <w:p w14:paraId="7ED43489" w14:textId="77777777" w:rsidR="00000000" w:rsidRDefault="00A173A8">
            <w:pPr>
              <w:spacing w:after="100"/>
              <w:rPr>
                <w:rFonts w:eastAsia="Times New Roman"/>
                <w:sz w:val="20"/>
                <w:szCs w:val="20"/>
              </w:rPr>
            </w:pPr>
          </w:p>
        </w:tc>
      </w:tr>
      <w:tr w:rsidR="00000000" w14:paraId="71FD396E" w14:textId="77777777">
        <w:trPr>
          <w:divId w:val="1616132076"/>
        </w:trPr>
        <w:tc>
          <w:tcPr>
            <w:tcW w:w="0" w:type="auto"/>
            <w:gridSpan w:val="3"/>
            <w:vAlign w:val="center"/>
            <w:hideMark/>
          </w:tcPr>
          <w:p w14:paraId="78F57D73" w14:textId="77777777" w:rsidR="00000000" w:rsidRDefault="00A173A8">
            <w:pPr>
              <w:spacing w:after="100"/>
              <w:rPr>
                <w:rFonts w:eastAsia="Times New Roman"/>
                <w:sz w:val="20"/>
                <w:szCs w:val="20"/>
              </w:rPr>
            </w:pPr>
          </w:p>
        </w:tc>
        <w:tc>
          <w:tcPr>
            <w:tcW w:w="0" w:type="auto"/>
            <w:gridSpan w:val="3"/>
            <w:vAlign w:val="center"/>
            <w:hideMark/>
          </w:tcPr>
          <w:p w14:paraId="7CDA9252" w14:textId="77777777" w:rsidR="00000000" w:rsidRDefault="00A173A8">
            <w:pPr>
              <w:spacing w:after="100"/>
              <w:rPr>
                <w:rFonts w:eastAsia="Times New Roman"/>
                <w:sz w:val="20"/>
                <w:szCs w:val="20"/>
              </w:rPr>
            </w:pPr>
          </w:p>
        </w:tc>
        <w:tc>
          <w:tcPr>
            <w:tcW w:w="0" w:type="auto"/>
            <w:gridSpan w:val="3"/>
            <w:vAlign w:val="center"/>
            <w:hideMark/>
          </w:tcPr>
          <w:p w14:paraId="682C4335" w14:textId="77777777" w:rsidR="00000000" w:rsidRDefault="00A173A8">
            <w:pPr>
              <w:spacing w:after="100"/>
              <w:rPr>
                <w:rFonts w:eastAsia="Times New Roman"/>
                <w:sz w:val="20"/>
                <w:szCs w:val="20"/>
              </w:rPr>
            </w:pPr>
          </w:p>
        </w:tc>
        <w:tc>
          <w:tcPr>
            <w:tcW w:w="0" w:type="auto"/>
            <w:gridSpan w:val="3"/>
            <w:vAlign w:val="center"/>
            <w:hideMark/>
          </w:tcPr>
          <w:p w14:paraId="051B25FE" w14:textId="77777777" w:rsidR="00000000" w:rsidRDefault="00A173A8">
            <w:pPr>
              <w:spacing w:after="100"/>
              <w:rPr>
                <w:rFonts w:eastAsia="Times New Roman"/>
                <w:sz w:val="20"/>
                <w:szCs w:val="20"/>
              </w:rPr>
            </w:pPr>
          </w:p>
        </w:tc>
        <w:tc>
          <w:tcPr>
            <w:tcW w:w="0" w:type="auto"/>
            <w:gridSpan w:val="3"/>
            <w:vAlign w:val="center"/>
            <w:hideMark/>
          </w:tcPr>
          <w:p w14:paraId="7D8D3DAA" w14:textId="77777777" w:rsidR="00000000" w:rsidRDefault="00A173A8">
            <w:pPr>
              <w:spacing w:after="100"/>
              <w:rPr>
                <w:rFonts w:eastAsia="Times New Roman"/>
                <w:sz w:val="20"/>
                <w:szCs w:val="20"/>
              </w:rPr>
            </w:pPr>
          </w:p>
        </w:tc>
        <w:tc>
          <w:tcPr>
            <w:tcW w:w="0" w:type="auto"/>
            <w:gridSpan w:val="3"/>
            <w:vAlign w:val="center"/>
            <w:hideMark/>
          </w:tcPr>
          <w:p w14:paraId="2E838C09" w14:textId="77777777" w:rsidR="00000000" w:rsidRDefault="00A173A8">
            <w:pPr>
              <w:spacing w:after="100"/>
              <w:rPr>
                <w:rFonts w:eastAsia="Times New Roman"/>
                <w:sz w:val="20"/>
                <w:szCs w:val="20"/>
              </w:rPr>
            </w:pPr>
          </w:p>
        </w:tc>
        <w:tc>
          <w:tcPr>
            <w:tcW w:w="0" w:type="auto"/>
            <w:gridSpan w:val="3"/>
            <w:vAlign w:val="center"/>
            <w:hideMark/>
          </w:tcPr>
          <w:p w14:paraId="079FF0B1" w14:textId="77777777" w:rsidR="00000000" w:rsidRDefault="00A173A8">
            <w:pPr>
              <w:spacing w:after="100"/>
              <w:rPr>
                <w:rFonts w:eastAsia="Times New Roman"/>
                <w:sz w:val="20"/>
                <w:szCs w:val="20"/>
              </w:rPr>
            </w:pPr>
          </w:p>
        </w:tc>
        <w:tc>
          <w:tcPr>
            <w:tcW w:w="0" w:type="auto"/>
            <w:gridSpan w:val="3"/>
            <w:vAlign w:val="center"/>
            <w:hideMark/>
          </w:tcPr>
          <w:p w14:paraId="1DE16B5A" w14:textId="77777777" w:rsidR="00000000" w:rsidRDefault="00A173A8">
            <w:pPr>
              <w:spacing w:after="100"/>
              <w:rPr>
                <w:rFonts w:eastAsia="Times New Roman"/>
                <w:sz w:val="20"/>
                <w:szCs w:val="20"/>
              </w:rPr>
            </w:pPr>
          </w:p>
        </w:tc>
        <w:tc>
          <w:tcPr>
            <w:tcW w:w="0" w:type="auto"/>
            <w:gridSpan w:val="3"/>
            <w:vAlign w:val="center"/>
            <w:hideMark/>
          </w:tcPr>
          <w:p w14:paraId="6BE0263F" w14:textId="77777777" w:rsidR="00000000" w:rsidRDefault="00A173A8">
            <w:pPr>
              <w:spacing w:after="100"/>
              <w:rPr>
                <w:rFonts w:eastAsia="Times New Roman"/>
                <w:sz w:val="20"/>
                <w:szCs w:val="20"/>
              </w:rPr>
            </w:pPr>
          </w:p>
        </w:tc>
        <w:tc>
          <w:tcPr>
            <w:tcW w:w="0" w:type="auto"/>
            <w:gridSpan w:val="3"/>
            <w:vAlign w:val="center"/>
            <w:hideMark/>
          </w:tcPr>
          <w:p w14:paraId="112834D4" w14:textId="77777777" w:rsidR="00000000" w:rsidRDefault="00A173A8">
            <w:pPr>
              <w:spacing w:after="100"/>
              <w:rPr>
                <w:rFonts w:eastAsia="Times New Roman"/>
                <w:sz w:val="20"/>
                <w:szCs w:val="20"/>
              </w:rPr>
            </w:pPr>
          </w:p>
        </w:tc>
        <w:tc>
          <w:tcPr>
            <w:tcW w:w="0" w:type="auto"/>
            <w:gridSpan w:val="3"/>
            <w:vAlign w:val="center"/>
            <w:hideMark/>
          </w:tcPr>
          <w:p w14:paraId="4E7F58E5" w14:textId="77777777" w:rsidR="00000000" w:rsidRDefault="00A173A8">
            <w:pPr>
              <w:spacing w:after="100"/>
              <w:rPr>
                <w:rFonts w:eastAsia="Times New Roman"/>
                <w:sz w:val="20"/>
                <w:szCs w:val="20"/>
              </w:rPr>
            </w:pPr>
          </w:p>
        </w:tc>
        <w:tc>
          <w:tcPr>
            <w:tcW w:w="0" w:type="auto"/>
            <w:gridSpan w:val="3"/>
            <w:vAlign w:val="center"/>
            <w:hideMark/>
          </w:tcPr>
          <w:p w14:paraId="068225A8" w14:textId="77777777" w:rsidR="00000000" w:rsidRDefault="00A173A8">
            <w:pPr>
              <w:spacing w:after="100"/>
              <w:rPr>
                <w:rFonts w:eastAsia="Times New Roman"/>
                <w:sz w:val="20"/>
                <w:szCs w:val="20"/>
              </w:rPr>
            </w:pPr>
          </w:p>
        </w:tc>
        <w:tc>
          <w:tcPr>
            <w:tcW w:w="0" w:type="auto"/>
            <w:gridSpan w:val="3"/>
            <w:vAlign w:val="center"/>
            <w:hideMark/>
          </w:tcPr>
          <w:p w14:paraId="49EB570D" w14:textId="77777777" w:rsidR="00000000" w:rsidRDefault="00A173A8">
            <w:pPr>
              <w:spacing w:after="100"/>
              <w:rPr>
                <w:rFonts w:eastAsia="Times New Roman"/>
                <w:sz w:val="20"/>
                <w:szCs w:val="20"/>
              </w:rPr>
            </w:pPr>
          </w:p>
        </w:tc>
        <w:tc>
          <w:tcPr>
            <w:tcW w:w="0" w:type="auto"/>
            <w:gridSpan w:val="3"/>
            <w:vAlign w:val="center"/>
            <w:hideMark/>
          </w:tcPr>
          <w:p w14:paraId="64777054" w14:textId="77777777" w:rsidR="00000000" w:rsidRDefault="00A173A8">
            <w:pPr>
              <w:spacing w:after="100"/>
              <w:rPr>
                <w:rFonts w:eastAsia="Times New Roman"/>
                <w:sz w:val="20"/>
                <w:szCs w:val="20"/>
              </w:rPr>
            </w:pPr>
          </w:p>
        </w:tc>
        <w:tc>
          <w:tcPr>
            <w:tcW w:w="0" w:type="auto"/>
            <w:gridSpan w:val="3"/>
            <w:vAlign w:val="center"/>
            <w:hideMark/>
          </w:tcPr>
          <w:p w14:paraId="551D21DA" w14:textId="77777777" w:rsidR="00000000" w:rsidRDefault="00A173A8">
            <w:pPr>
              <w:spacing w:after="100"/>
              <w:rPr>
                <w:rFonts w:eastAsia="Times New Roman"/>
                <w:sz w:val="20"/>
                <w:szCs w:val="20"/>
              </w:rPr>
            </w:pPr>
          </w:p>
        </w:tc>
        <w:tc>
          <w:tcPr>
            <w:tcW w:w="0" w:type="auto"/>
            <w:gridSpan w:val="3"/>
            <w:vAlign w:val="center"/>
            <w:hideMark/>
          </w:tcPr>
          <w:p w14:paraId="59A89225" w14:textId="77777777" w:rsidR="00000000" w:rsidRDefault="00A173A8">
            <w:pPr>
              <w:spacing w:after="100"/>
              <w:rPr>
                <w:rFonts w:eastAsia="Times New Roman"/>
                <w:sz w:val="20"/>
                <w:szCs w:val="20"/>
              </w:rPr>
            </w:pPr>
          </w:p>
        </w:tc>
        <w:tc>
          <w:tcPr>
            <w:tcW w:w="0" w:type="auto"/>
            <w:gridSpan w:val="3"/>
            <w:vAlign w:val="center"/>
            <w:hideMark/>
          </w:tcPr>
          <w:p w14:paraId="32FB6923" w14:textId="77777777" w:rsidR="00000000" w:rsidRDefault="00A173A8">
            <w:pPr>
              <w:spacing w:after="100"/>
              <w:rPr>
                <w:rFonts w:eastAsia="Times New Roman"/>
                <w:sz w:val="20"/>
                <w:szCs w:val="20"/>
              </w:rPr>
            </w:pPr>
          </w:p>
        </w:tc>
      </w:tr>
      <w:tr w:rsidR="00A173A8" w14:paraId="1D938866" w14:textId="77777777">
        <w:trPr>
          <w:divId w:val="1616132076"/>
        </w:trPr>
        <w:tc>
          <w:tcPr>
            <w:tcW w:w="0" w:type="auto"/>
            <w:gridSpan w:val="3"/>
            <w:shd w:val="clear" w:color="auto" w:fill="FFFFFF"/>
            <w:tcMar>
              <w:top w:w="30" w:type="dxa"/>
              <w:left w:w="20" w:type="dxa"/>
              <w:bottom w:w="30" w:type="dxa"/>
              <w:right w:w="20" w:type="dxa"/>
            </w:tcMar>
            <w:vAlign w:val="bottom"/>
            <w:hideMark/>
          </w:tcPr>
          <w:p w14:paraId="1A912960" w14:textId="77777777" w:rsidR="00000000" w:rsidRDefault="00A173A8">
            <w:pPr>
              <w:spacing w:after="100"/>
              <w:rPr>
                <w:rFonts w:eastAsia="Times New Roman"/>
              </w:rPr>
            </w:pPr>
            <w:r>
              <w:rPr>
                <w:rFonts w:eastAsia="Times New Roman"/>
                <w:color w:val="000000"/>
                <w:sz w:val="16"/>
                <w:szCs w:val="16"/>
              </w:rPr>
              <w:t>Balance as of December 31, 2021</w:t>
            </w:r>
          </w:p>
        </w:tc>
        <w:tc>
          <w:tcPr>
            <w:tcW w:w="0" w:type="auto"/>
            <w:gridSpan w:val="3"/>
            <w:shd w:val="clear" w:color="auto" w:fill="FFFFFF"/>
            <w:tcMar>
              <w:top w:w="0" w:type="dxa"/>
              <w:left w:w="20" w:type="dxa"/>
              <w:bottom w:w="0" w:type="dxa"/>
              <w:right w:w="20" w:type="dxa"/>
            </w:tcMar>
            <w:vAlign w:val="center"/>
            <w:hideMark/>
          </w:tcPr>
          <w:p w14:paraId="4DECF774"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6DE0418"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E4FD639" w14:textId="77777777" w:rsidR="00000000" w:rsidRDefault="00A173A8">
            <w:pPr>
              <w:spacing w:after="100"/>
              <w:jc w:val="right"/>
              <w:rPr>
                <w:rFonts w:eastAsia="Times New Roman"/>
              </w:rPr>
            </w:pPr>
            <w:r>
              <w:rPr>
                <w:rFonts w:eastAsia="Times New Roman"/>
                <w:color w:val="000000"/>
                <w:sz w:val="16"/>
                <w:szCs w:val="16"/>
              </w:rPr>
              <w:t>7,968 </w:t>
            </w:r>
          </w:p>
        </w:tc>
        <w:tc>
          <w:tcPr>
            <w:tcW w:w="0" w:type="auto"/>
            <w:shd w:val="clear" w:color="auto" w:fill="FFFFFF"/>
            <w:tcMar>
              <w:top w:w="30" w:type="dxa"/>
              <w:left w:w="0" w:type="dxa"/>
              <w:bottom w:w="30" w:type="dxa"/>
              <w:right w:w="20" w:type="dxa"/>
            </w:tcMar>
            <w:vAlign w:val="center"/>
            <w:hideMark/>
          </w:tcPr>
          <w:p w14:paraId="37DA29D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2F9F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6BD2832"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1BBAC01" w14:textId="77777777" w:rsidR="00000000" w:rsidRDefault="00A173A8">
            <w:pPr>
              <w:spacing w:after="100"/>
              <w:jc w:val="right"/>
              <w:rPr>
                <w:rFonts w:eastAsia="Times New Roman"/>
              </w:rPr>
            </w:pPr>
            <w:r>
              <w:rPr>
                <w:rFonts w:eastAsia="Times New Roman"/>
                <w:color w:val="000000"/>
                <w:sz w:val="16"/>
                <w:szCs w:val="16"/>
              </w:rPr>
              <w:t>377 </w:t>
            </w:r>
          </w:p>
        </w:tc>
        <w:tc>
          <w:tcPr>
            <w:tcW w:w="0" w:type="auto"/>
            <w:shd w:val="clear" w:color="auto" w:fill="FFFFFF"/>
            <w:tcMar>
              <w:top w:w="30" w:type="dxa"/>
              <w:left w:w="0" w:type="dxa"/>
              <w:bottom w:w="30" w:type="dxa"/>
              <w:right w:w="20" w:type="dxa"/>
            </w:tcMar>
            <w:vAlign w:val="center"/>
            <w:hideMark/>
          </w:tcPr>
          <w:p w14:paraId="37C271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41A8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1CAF6E7"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626EBC6E" w14:textId="77777777" w:rsidR="00000000" w:rsidRDefault="00A173A8">
            <w:pPr>
              <w:spacing w:after="100"/>
              <w:jc w:val="right"/>
              <w:rPr>
                <w:rFonts w:eastAsia="Times New Roman"/>
              </w:rPr>
            </w:pPr>
            <w:r>
              <w:rPr>
                <w:rFonts w:eastAsia="Times New Roman"/>
                <w:color w:val="000000"/>
                <w:sz w:val="16"/>
                <w:szCs w:val="16"/>
              </w:rPr>
              <w:t>8,345 </w:t>
            </w:r>
          </w:p>
        </w:tc>
        <w:tc>
          <w:tcPr>
            <w:tcW w:w="0" w:type="auto"/>
            <w:shd w:val="clear" w:color="auto" w:fill="FFFFFF"/>
            <w:tcMar>
              <w:top w:w="30" w:type="dxa"/>
              <w:left w:w="0" w:type="dxa"/>
              <w:bottom w:w="30" w:type="dxa"/>
              <w:right w:w="20" w:type="dxa"/>
            </w:tcMar>
            <w:vAlign w:val="center"/>
            <w:hideMark/>
          </w:tcPr>
          <w:p w14:paraId="4D3FB0D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0E42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8ED8C27"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C2681CB" w14:textId="77777777" w:rsidR="00000000" w:rsidRDefault="00A173A8">
            <w:pPr>
              <w:spacing w:after="100"/>
              <w:jc w:val="right"/>
              <w:rPr>
                <w:rFonts w:eastAsia="Times New Roman"/>
              </w:rPr>
            </w:pPr>
            <w:r>
              <w:rPr>
                <w:rFonts w:eastAsia="Times New Roman"/>
                <w:color w:val="000000"/>
                <w:sz w:val="16"/>
                <w:szCs w:val="16"/>
              </w:rPr>
              <w:t>1,852 </w:t>
            </w:r>
          </w:p>
        </w:tc>
        <w:tc>
          <w:tcPr>
            <w:tcW w:w="0" w:type="auto"/>
            <w:shd w:val="clear" w:color="auto" w:fill="FFFFFF"/>
            <w:tcMar>
              <w:top w:w="30" w:type="dxa"/>
              <w:left w:w="0" w:type="dxa"/>
              <w:bottom w:w="30" w:type="dxa"/>
              <w:right w:w="20" w:type="dxa"/>
            </w:tcMar>
            <w:vAlign w:val="center"/>
            <w:hideMark/>
          </w:tcPr>
          <w:p w14:paraId="4C4E29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A1A4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BEE8096"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7C7EB43" w14:textId="77777777" w:rsidR="00000000" w:rsidRDefault="00A173A8">
            <w:pPr>
              <w:spacing w:after="100"/>
              <w:jc w:val="right"/>
              <w:rPr>
                <w:rFonts w:eastAsia="Times New Roman"/>
              </w:rPr>
            </w:pPr>
            <w:r>
              <w:rPr>
                <w:rFonts w:eastAsia="Times New Roman"/>
                <w:color w:val="000000"/>
                <w:sz w:val="16"/>
                <w:szCs w:val="16"/>
              </w:rPr>
              <w:t>66 </w:t>
            </w:r>
          </w:p>
        </w:tc>
        <w:tc>
          <w:tcPr>
            <w:tcW w:w="0" w:type="auto"/>
            <w:shd w:val="clear" w:color="auto" w:fill="FFFFFF"/>
            <w:tcMar>
              <w:top w:w="30" w:type="dxa"/>
              <w:left w:w="0" w:type="dxa"/>
              <w:bottom w:w="30" w:type="dxa"/>
              <w:right w:w="20" w:type="dxa"/>
            </w:tcMar>
            <w:vAlign w:val="center"/>
            <w:hideMark/>
          </w:tcPr>
          <w:p w14:paraId="6B992A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129727"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A3DA761"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A4B29F4" w14:textId="77777777" w:rsidR="00000000" w:rsidRDefault="00A173A8">
            <w:pPr>
              <w:spacing w:after="100"/>
              <w:jc w:val="right"/>
              <w:rPr>
                <w:rFonts w:eastAsia="Times New Roman"/>
              </w:rPr>
            </w:pPr>
            <w:r>
              <w:rPr>
                <w:rFonts w:eastAsia="Times New Roman"/>
                <w:color w:val="000000"/>
                <w:sz w:val="16"/>
                <w:szCs w:val="16"/>
              </w:rPr>
              <w:t>1,918 </w:t>
            </w:r>
          </w:p>
        </w:tc>
        <w:tc>
          <w:tcPr>
            <w:tcW w:w="0" w:type="auto"/>
            <w:shd w:val="clear" w:color="auto" w:fill="FFFFFF"/>
            <w:tcMar>
              <w:top w:w="30" w:type="dxa"/>
              <w:left w:w="0" w:type="dxa"/>
              <w:bottom w:w="30" w:type="dxa"/>
              <w:right w:w="20" w:type="dxa"/>
            </w:tcMar>
            <w:vAlign w:val="center"/>
            <w:hideMark/>
          </w:tcPr>
          <w:p w14:paraId="009536D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53DE7"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204AD6D"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87DD9D6" w14:textId="77777777" w:rsidR="00000000" w:rsidRDefault="00A173A8">
            <w:pPr>
              <w:spacing w:after="100"/>
              <w:jc w:val="right"/>
              <w:rPr>
                <w:rFonts w:eastAsia="Times New Roman"/>
              </w:rPr>
            </w:pPr>
            <w:r>
              <w:rPr>
                <w:rFonts w:eastAsia="Times New Roman"/>
                <w:color w:val="000000"/>
                <w:sz w:val="16"/>
                <w:szCs w:val="16"/>
              </w:rPr>
              <w:t>1,167 </w:t>
            </w:r>
          </w:p>
        </w:tc>
        <w:tc>
          <w:tcPr>
            <w:tcW w:w="0" w:type="auto"/>
            <w:shd w:val="clear" w:color="auto" w:fill="FFFFFF"/>
            <w:tcMar>
              <w:top w:w="30" w:type="dxa"/>
              <w:left w:w="0" w:type="dxa"/>
              <w:bottom w:w="30" w:type="dxa"/>
              <w:right w:w="20" w:type="dxa"/>
            </w:tcMar>
            <w:vAlign w:val="center"/>
            <w:hideMark/>
          </w:tcPr>
          <w:p w14:paraId="5F1A92C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7EABD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B9223F4"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07A15DE" w14:textId="77777777" w:rsidR="00000000" w:rsidRDefault="00A173A8">
            <w:pPr>
              <w:spacing w:after="100"/>
              <w:jc w:val="right"/>
              <w:rPr>
                <w:rFonts w:eastAsia="Times New Roman"/>
              </w:rPr>
            </w:pPr>
            <w:r>
              <w:rPr>
                <w:rFonts w:eastAsia="Times New Roman"/>
                <w:color w:val="000000"/>
                <w:sz w:val="16"/>
                <w:szCs w:val="16"/>
              </w:rPr>
              <w:t>11,430 </w:t>
            </w:r>
          </w:p>
        </w:tc>
        <w:tc>
          <w:tcPr>
            <w:tcW w:w="0" w:type="auto"/>
            <w:shd w:val="clear" w:color="auto" w:fill="FFFFFF"/>
            <w:tcMar>
              <w:top w:w="30" w:type="dxa"/>
              <w:left w:w="0" w:type="dxa"/>
              <w:bottom w:w="30" w:type="dxa"/>
              <w:right w:w="20" w:type="dxa"/>
            </w:tcMar>
            <w:vAlign w:val="center"/>
            <w:hideMark/>
          </w:tcPr>
          <w:p w14:paraId="06A5B168" w14:textId="77777777" w:rsidR="00000000" w:rsidRDefault="00A173A8">
            <w:pPr>
              <w:spacing w:after="100"/>
              <w:jc w:val="right"/>
              <w:rPr>
                <w:rFonts w:eastAsia="Times New Roman"/>
              </w:rPr>
            </w:pPr>
          </w:p>
        </w:tc>
      </w:tr>
      <w:tr w:rsidR="00000000" w14:paraId="308D87F4" w14:textId="77777777">
        <w:trPr>
          <w:divId w:val="1616132076"/>
        </w:trPr>
        <w:tc>
          <w:tcPr>
            <w:tcW w:w="0" w:type="auto"/>
            <w:gridSpan w:val="3"/>
            <w:shd w:val="clear" w:color="auto" w:fill="CCEEFF"/>
            <w:tcMar>
              <w:top w:w="30" w:type="dxa"/>
              <w:left w:w="20" w:type="dxa"/>
              <w:bottom w:w="30" w:type="dxa"/>
              <w:right w:w="20" w:type="dxa"/>
            </w:tcMar>
            <w:vAlign w:val="bottom"/>
            <w:hideMark/>
          </w:tcPr>
          <w:p w14:paraId="3FE46B93" w14:textId="77777777" w:rsidR="00000000" w:rsidRDefault="00A173A8">
            <w:pPr>
              <w:spacing w:after="100"/>
              <w:divId w:val="678892277"/>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38FFBAE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B2C561" w14:textId="77777777" w:rsidR="00000000" w:rsidRDefault="00A173A8">
            <w:pPr>
              <w:spacing w:after="100"/>
              <w:jc w:val="right"/>
              <w:rPr>
                <w:rFonts w:eastAsia="Times New Roman"/>
              </w:rPr>
            </w:pPr>
            <w:r>
              <w:rPr>
                <w:rFonts w:eastAsia="Times New Roman"/>
                <w:b/>
                <w:bCs/>
                <w:color w:val="000000"/>
                <w:sz w:val="16"/>
                <w:szCs w:val="16"/>
              </w:rPr>
              <w:t>(1,787)</w:t>
            </w:r>
          </w:p>
        </w:tc>
        <w:tc>
          <w:tcPr>
            <w:tcW w:w="0" w:type="auto"/>
            <w:shd w:val="clear" w:color="auto" w:fill="CCEEFF"/>
            <w:tcMar>
              <w:top w:w="30" w:type="dxa"/>
              <w:left w:w="0" w:type="dxa"/>
              <w:bottom w:w="30" w:type="dxa"/>
              <w:right w:w="20" w:type="dxa"/>
            </w:tcMar>
            <w:vAlign w:val="center"/>
            <w:hideMark/>
          </w:tcPr>
          <w:p w14:paraId="764AE55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C2E6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9D7831" w14:textId="77777777" w:rsidR="00000000" w:rsidRDefault="00A173A8">
            <w:pPr>
              <w:spacing w:after="100"/>
              <w:jc w:val="right"/>
              <w:rPr>
                <w:rFonts w:eastAsia="Times New Roman"/>
              </w:rPr>
            </w:pPr>
            <w:r>
              <w:rPr>
                <w:rFonts w:eastAsia="Times New Roman"/>
                <w:b/>
                <w:bCs/>
                <w:color w:val="000000"/>
                <w:sz w:val="16"/>
                <w:szCs w:val="16"/>
              </w:rPr>
              <w:t>(177)</w:t>
            </w:r>
          </w:p>
        </w:tc>
        <w:tc>
          <w:tcPr>
            <w:tcW w:w="0" w:type="auto"/>
            <w:shd w:val="clear" w:color="auto" w:fill="CCEEFF"/>
            <w:tcMar>
              <w:top w:w="30" w:type="dxa"/>
              <w:left w:w="0" w:type="dxa"/>
              <w:bottom w:w="30" w:type="dxa"/>
              <w:right w:w="20" w:type="dxa"/>
            </w:tcMar>
            <w:vAlign w:val="center"/>
            <w:hideMark/>
          </w:tcPr>
          <w:p w14:paraId="4718C7E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A4D3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316F28" w14:textId="77777777" w:rsidR="00000000" w:rsidRDefault="00A173A8">
            <w:pPr>
              <w:spacing w:after="100"/>
              <w:jc w:val="right"/>
              <w:rPr>
                <w:rFonts w:eastAsia="Times New Roman"/>
              </w:rPr>
            </w:pPr>
            <w:r>
              <w:rPr>
                <w:rFonts w:eastAsia="Times New Roman"/>
                <w:b/>
                <w:bCs/>
                <w:color w:val="000000"/>
                <w:sz w:val="16"/>
                <w:szCs w:val="16"/>
              </w:rPr>
              <w:t>(1,964)</w:t>
            </w:r>
          </w:p>
        </w:tc>
        <w:tc>
          <w:tcPr>
            <w:tcW w:w="0" w:type="auto"/>
            <w:shd w:val="clear" w:color="auto" w:fill="CCEEFF"/>
            <w:tcMar>
              <w:top w:w="30" w:type="dxa"/>
              <w:left w:w="0" w:type="dxa"/>
              <w:bottom w:w="30" w:type="dxa"/>
              <w:right w:w="20" w:type="dxa"/>
            </w:tcMar>
            <w:vAlign w:val="center"/>
            <w:hideMark/>
          </w:tcPr>
          <w:p w14:paraId="2D8217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E901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AB0EFD" w14:textId="77777777" w:rsidR="00000000" w:rsidRDefault="00A173A8">
            <w:pPr>
              <w:spacing w:after="100"/>
              <w:jc w:val="right"/>
              <w:rPr>
                <w:rFonts w:eastAsia="Times New Roman"/>
              </w:rPr>
            </w:pPr>
            <w:r>
              <w:rPr>
                <w:rFonts w:eastAsia="Times New Roman"/>
                <w:b/>
                <w:bCs/>
                <w:color w:val="000000"/>
                <w:sz w:val="16"/>
                <w:szCs w:val="16"/>
              </w:rPr>
              <w:t>(637)</w:t>
            </w:r>
          </w:p>
        </w:tc>
        <w:tc>
          <w:tcPr>
            <w:tcW w:w="0" w:type="auto"/>
            <w:shd w:val="clear" w:color="auto" w:fill="CCEEFF"/>
            <w:tcMar>
              <w:top w:w="30" w:type="dxa"/>
              <w:left w:w="0" w:type="dxa"/>
              <w:bottom w:w="30" w:type="dxa"/>
              <w:right w:w="20" w:type="dxa"/>
            </w:tcMar>
            <w:vAlign w:val="center"/>
            <w:hideMark/>
          </w:tcPr>
          <w:p w14:paraId="246AB5C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CAA8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B5B91B" w14:textId="77777777" w:rsidR="00000000" w:rsidRDefault="00A173A8">
            <w:pPr>
              <w:spacing w:after="100"/>
              <w:jc w:val="right"/>
              <w:rPr>
                <w:rFonts w:eastAsia="Times New Roman"/>
              </w:rPr>
            </w:pPr>
            <w:r>
              <w:rPr>
                <w:rFonts w:eastAsia="Times New Roman"/>
                <w:b/>
                <w:bCs/>
                <w:color w:val="000000"/>
                <w:sz w:val="16"/>
                <w:szCs w:val="16"/>
              </w:rPr>
              <w:t>(43)</w:t>
            </w:r>
          </w:p>
        </w:tc>
        <w:tc>
          <w:tcPr>
            <w:tcW w:w="0" w:type="auto"/>
            <w:shd w:val="clear" w:color="auto" w:fill="CCEEFF"/>
            <w:tcMar>
              <w:top w:w="30" w:type="dxa"/>
              <w:left w:w="0" w:type="dxa"/>
              <w:bottom w:w="30" w:type="dxa"/>
              <w:right w:w="20" w:type="dxa"/>
            </w:tcMar>
            <w:vAlign w:val="center"/>
            <w:hideMark/>
          </w:tcPr>
          <w:p w14:paraId="508B1B0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8835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F318AB" w14:textId="77777777" w:rsidR="00000000" w:rsidRDefault="00A173A8">
            <w:pPr>
              <w:spacing w:after="100"/>
              <w:jc w:val="right"/>
              <w:rPr>
                <w:rFonts w:eastAsia="Times New Roman"/>
              </w:rPr>
            </w:pPr>
            <w:r>
              <w:rPr>
                <w:rFonts w:eastAsia="Times New Roman"/>
                <w:b/>
                <w:bCs/>
                <w:color w:val="000000"/>
                <w:sz w:val="16"/>
                <w:szCs w:val="16"/>
              </w:rPr>
              <w:t>(680)</w:t>
            </w:r>
          </w:p>
        </w:tc>
        <w:tc>
          <w:tcPr>
            <w:tcW w:w="0" w:type="auto"/>
            <w:shd w:val="clear" w:color="auto" w:fill="CCEEFF"/>
            <w:tcMar>
              <w:top w:w="30" w:type="dxa"/>
              <w:left w:w="0" w:type="dxa"/>
              <w:bottom w:w="30" w:type="dxa"/>
              <w:right w:w="20" w:type="dxa"/>
            </w:tcMar>
            <w:vAlign w:val="center"/>
            <w:hideMark/>
          </w:tcPr>
          <w:p w14:paraId="650601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20F1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88D737" w14:textId="77777777" w:rsidR="00000000" w:rsidRDefault="00A173A8">
            <w:pPr>
              <w:spacing w:after="100"/>
              <w:jc w:val="right"/>
              <w:rPr>
                <w:rFonts w:eastAsia="Times New Roman"/>
              </w:rPr>
            </w:pPr>
            <w:r>
              <w:rPr>
                <w:rFonts w:eastAsia="Times New Roman"/>
                <w:b/>
                <w:bCs/>
                <w:color w:val="000000"/>
                <w:sz w:val="16"/>
                <w:szCs w:val="16"/>
              </w:rPr>
              <w:t>(60)</w:t>
            </w:r>
          </w:p>
        </w:tc>
        <w:tc>
          <w:tcPr>
            <w:tcW w:w="0" w:type="auto"/>
            <w:shd w:val="clear" w:color="auto" w:fill="CCEEFF"/>
            <w:tcMar>
              <w:top w:w="30" w:type="dxa"/>
              <w:left w:w="0" w:type="dxa"/>
              <w:bottom w:w="30" w:type="dxa"/>
              <w:right w:w="20" w:type="dxa"/>
            </w:tcMar>
            <w:vAlign w:val="center"/>
            <w:hideMark/>
          </w:tcPr>
          <w:p w14:paraId="16B5433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E0F7A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8913D0" w14:textId="77777777" w:rsidR="00000000" w:rsidRDefault="00A173A8">
            <w:pPr>
              <w:spacing w:after="100"/>
              <w:jc w:val="right"/>
              <w:rPr>
                <w:rFonts w:eastAsia="Times New Roman"/>
              </w:rPr>
            </w:pPr>
            <w:r>
              <w:rPr>
                <w:rFonts w:eastAsia="Times New Roman"/>
                <w:b/>
                <w:bCs/>
                <w:color w:val="000000"/>
                <w:sz w:val="16"/>
                <w:szCs w:val="16"/>
              </w:rPr>
              <w:t>(2,704)</w:t>
            </w:r>
          </w:p>
        </w:tc>
        <w:tc>
          <w:tcPr>
            <w:tcW w:w="0" w:type="auto"/>
            <w:shd w:val="clear" w:color="auto" w:fill="CCEEFF"/>
            <w:tcMar>
              <w:top w:w="30" w:type="dxa"/>
              <w:left w:w="0" w:type="dxa"/>
              <w:bottom w:w="30" w:type="dxa"/>
              <w:right w:w="20" w:type="dxa"/>
            </w:tcMar>
            <w:vAlign w:val="center"/>
            <w:hideMark/>
          </w:tcPr>
          <w:p w14:paraId="64C9E61B" w14:textId="77777777" w:rsidR="00000000" w:rsidRDefault="00A173A8">
            <w:pPr>
              <w:spacing w:after="100"/>
              <w:jc w:val="right"/>
              <w:rPr>
                <w:rFonts w:eastAsia="Times New Roman"/>
              </w:rPr>
            </w:pPr>
          </w:p>
        </w:tc>
      </w:tr>
      <w:tr w:rsidR="00000000" w14:paraId="3E838D9B" w14:textId="77777777">
        <w:trPr>
          <w:divId w:val="1616132076"/>
        </w:trPr>
        <w:tc>
          <w:tcPr>
            <w:tcW w:w="0" w:type="auto"/>
            <w:gridSpan w:val="3"/>
            <w:shd w:val="clear" w:color="auto" w:fill="FFFFFF"/>
            <w:tcMar>
              <w:top w:w="30" w:type="dxa"/>
              <w:left w:w="20" w:type="dxa"/>
              <w:bottom w:w="30" w:type="dxa"/>
              <w:right w:w="20" w:type="dxa"/>
            </w:tcMar>
            <w:vAlign w:val="bottom"/>
            <w:hideMark/>
          </w:tcPr>
          <w:p w14:paraId="40A575EE" w14:textId="77777777" w:rsidR="00000000" w:rsidRDefault="00A173A8">
            <w:pPr>
              <w:spacing w:after="100"/>
              <w:divId w:val="1536649739"/>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26AA009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2E514CA" w14:textId="77777777" w:rsidR="00000000" w:rsidRDefault="00A173A8">
            <w:pPr>
              <w:spacing w:after="100"/>
              <w:jc w:val="right"/>
              <w:rPr>
                <w:rFonts w:eastAsia="Times New Roman"/>
              </w:rPr>
            </w:pPr>
            <w:r>
              <w:rPr>
                <w:rFonts w:eastAsia="Times New Roman"/>
                <w:b/>
                <w:bCs/>
                <w:color w:val="000000"/>
                <w:sz w:val="16"/>
                <w:szCs w:val="16"/>
              </w:rPr>
              <w:t>606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95B803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52C15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CF9D50" w14:textId="77777777" w:rsidR="00000000" w:rsidRDefault="00A173A8">
            <w:pPr>
              <w:spacing w:after="100"/>
              <w:jc w:val="right"/>
              <w:rPr>
                <w:rFonts w:eastAsia="Times New Roman"/>
              </w:rPr>
            </w:pPr>
            <w:r>
              <w:rPr>
                <w:rFonts w:eastAsia="Times New Roman"/>
                <w:b/>
                <w:bCs/>
                <w:color w:val="000000"/>
                <w:sz w:val="16"/>
                <w:szCs w:val="16"/>
              </w:rPr>
              <w:t>73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AD2F22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A1D31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2CB171" w14:textId="77777777" w:rsidR="00000000" w:rsidRDefault="00A173A8">
            <w:pPr>
              <w:spacing w:after="100"/>
              <w:jc w:val="right"/>
              <w:rPr>
                <w:rFonts w:eastAsia="Times New Roman"/>
              </w:rPr>
            </w:pPr>
            <w:r>
              <w:rPr>
                <w:rFonts w:eastAsia="Times New Roman"/>
                <w:b/>
                <w:bCs/>
                <w:color w:val="000000"/>
                <w:sz w:val="16"/>
                <w:szCs w:val="16"/>
              </w:rPr>
              <w:t>679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D9FEE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8CA18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1D8CCA" w14:textId="77777777" w:rsidR="00000000" w:rsidRDefault="00A173A8">
            <w:pPr>
              <w:spacing w:after="100"/>
              <w:jc w:val="right"/>
              <w:rPr>
                <w:rFonts w:eastAsia="Times New Roman"/>
              </w:rPr>
            </w:pPr>
            <w:r>
              <w:rPr>
                <w:rFonts w:eastAsia="Times New Roman"/>
                <w:b/>
                <w:bCs/>
                <w:color w:val="000000"/>
                <w:sz w:val="16"/>
                <w:szCs w:val="16"/>
              </w:rPr>
              <w:t>389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1AEE5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9D0C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BA573A" w14:textId="77777777" w:rsidR="00000000" w:rsidRDefault="00A173A8">
            <w:pPr>
              <w:spacing w:after="100"/>
              <w:jc w:val="right"/>
              <w:rPr>
                <w:rFonts w:eastAsia="Times New Roman"/>
              </w:rPr>
            </w:pPr>
            <w:r>
              <w:rPr>
                <w:rFonts w:eastAsia="Times New Roman"/>
                <w:b/>
                <w:bCs/>
                <w:color w:val="000000"/>
                <w:sz w:val="16"/>
                <w:szCs w:val="16"/>
              </w:rPr>
              <w:t>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5B1211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0359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24DCF6" w14:textId="77777777" w:rsidR="00000000" w:rsidRDefault="00A173A8">
            <w:pPr>
              <w:spacing w:after="100"/>
              <w:jc w:val="right"/>
              <w:rPr>
                <w:rFonts w:eastAsia="Times New Roman"/>
              </w:rPr>
            </w:pPr>
            <w:r>
              <w:rPr>
                <w:rFonts w:eastAsia="Times New Roman"/>
                <w:b/>
                <w:bCs/>
                <w:color w:val="000000"/>
                <w:sz w:val="16"/>
                <w:szCs w:val="16"/>
              </w:rPr>
              <w:t>398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03DB3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BFD1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99101B" w14:textId="77777777" w:rsidR="00000000" w:rsidRDefault="00A173A8">
            <w:pPr>
              <w:spacing w:after="100"/>
              <w:jc w:val="right"/>
              <w:rPr>
                <w:rFonts w:eastAsia="Times New Roman"/>
              </w:rPr>
            </w:pPr>
            <w:r>
              <w:rPr>
                <w:rFonts w:eastAsia="Times New Roman"/>
                <w:b/>
                <w:bCs/>
                <w:color w:val="000000"/>
                <w:sz w:val="16"/>
                <w:szCs w:val="16"/>
              </w:rPr>
              <w:t>15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F0BB0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C7B4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614135" w14:textId="77777777" w:rsidR="00000000" w:rsidRDefault="00A173A8">
            <w:pPr>
              <w:spacing w:after="100"/>
              <w:jc w:val="right"/>
              <w:rPr>
                <w:rFonts w:eastAsia="Times New Roman"/>
              </w:rPr>
            </w:pPr>
            <w:r>
              <w:rPr>
                <w:rFonts w:eastAsia="Times New Roman"/>
                <w:b/>
                <w:bCs/>
                <w:color w:val="000000"/>
                <w:sz w:val="16"/>
                <w:szCs w:val="16"/>
              </w:rPr>
              <w:t>1,092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40F6ADD" w14:textId="77777777" w:rsidR="00000000" w:rsidRDefault="00A173A8">
            <w:pPr>
              <w:spacing w:after="100"/>
              <w:jc w:val="right"/>
              <w:rPr>
                <w:rFonts w:eastAsia="Times New Roman"/>
              </w:rPr>
            </w:pPr>
          </w:p>
        </w:tc>
      </w:tr>
      <w:tr w:rsidR="00000000" w14:paraId="5FED855D" w14:textId="77777777">
        <w:trPr>
          <w:divId w:val="1616132076"/>
        </w:trPr>
        <w:tc>
          <w:tcPr>
            <w:tcW w:w="0" w:type="auto"/>
            <w:gridSpan w:val="3"/>
            <w:shd w:val="clear" w:color="auto" w:fill="CCEEFF"/>
            <w:tcMar>
              <w:top w:w="30" w:type="dxa"/>
              <w:left w:w="20" w:type="dxa"/>
              <w:bottom w:w="30" w:type="dxa"/>
              <w:right w:w="20" w:type="dxa"/>
            </w:tcMar>
            <w:vAlign w:val="bottom"/>
            <w:hideMark/>
          </w:tcPr>
          <w:p w14:paraId="57DC4DAC" w14:textId="77777777" w:rsidR="00000000" w:rsidRDefault="00A173A8">
            <w:pPr>
              <w:spacing w:after="100"/>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14:paraId="399C9B92"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80912F2" w14:textId="77777777" w:rsidR="00000000" w:rsidRDefault="00A173A8">
            <w:pPr>
              <w:spacing w:after="100"/>
              <w:jc w:val="right"/>
              <w:rPr>
                <w:rFonts w:eastAsia="Times New Roman"/>
              </w:rPr>
            </w:pPr>
            <w:r>
              <w:rPr>
                <w:rFonts w:eastAsia="Times New Roman"/>
                <w:b/>
                <w:bCs/>
                <w:color w:val="000000"/>
                <w:sz w:val="16"/>
                <w:szCs w:val="16"/>
              </w:rPr>
              <w:t>(1,181)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289E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F784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D971D88" w14:textId="77777777" w:rsidR="00000000" w:rsidRDefault="00A173A8">
            <w:pPr>
              <w:spacing w:after="100"/>
              <w:jc w:val="right"/>
              <w:rPr>
                <w:rFonts w:eastAsia="Times New Roman"/>
              </w:rPr>
            </w:pPr>
            <w:r>
              <w:rPr>
                <w:rFonts w:eastAsia="Times New Roman"/>
                <w:b/>
                <w:bCs/>
                <w:color w:val="000000"/>
                <w:sz w:val="16"/>
                <w:szCs w:val="16"/>
              </w:rPr>
              <w:t>(104)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54B21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1D5D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5B60BCD" w14:textId="77777777" w:rsidR="00000000" w:rsidRDefault="00A173A8">
            <w:pPr>
              <w:spacing w:after="100"/>
              <w:jc w:val="right"/>
              <w:rPr>
                <w:rFonts w:eastAsia="Times New Roman"/>
              </w:rPr>
            </w:pPr>
            <w:r>
              <w:rPr>
                <w:rFonts w:eastAsia="Times New Roman"/>
                <w:b/>
                <w:bCs/>
                <w:color w:val="000000"/>
                <w:sz w:val="16"/>
                <w:szCs w:val="16"/>
              </w:rPr>
              <w:t>(1,285)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EF77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247D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21AA7F8" w14:textId="77777777" w:rsidR="00000000" w:rsidRDefault="00A173A8">
            <w:pPr>
              <w:spacing w:after="100"/>
              <w:jc w:val="right"/>
              <w:rPr>
                <w:rFonts w:eastAsia="Times New Roman"/>
              </w:rPr>
            </w:pPr>
            <w:r>
              <w:rPr>
                <w:rFonts w:eastAsia="Times New Roman"/>
                <w:b/>
                <w:bCs/>
                <w:color w:val="000000"/>
                <w:sz w:val="16"/>
                <w:szCs w:val="16"/>
              </w:rPr>
              <w:t>(248)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AABD0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2402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5051CF9" w14:textId="77777777" w:rsidR="00000000" w:rsidRDefault="00A173A8">
            <w:pPr>
              <w:spacing w:after="100"/>
              <w:jc w:val="right"/>
              <w:rPr>
                <w:rFonts w:eastAsia="Times New Roman"/>
              </w:rPr>
            </w:pPr>
            <w:r>
              <w:rPr>
                <w:rFonts w:eastAsia="Times New Roman"/>
                <w:b/>
                <w:bCs/>
                <w:color w:val="000000"/>
                <w:sz w:val="16"/>
                <w:szCs w:val="16"/>
              </w:rPr>
              <w:t>(34)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035446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D723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628EAE" w14:textId="77777777" w:rsidR="00000000" w:rsidRDefault="00A173A8">
            <w:pPr>
              <w:spacing w:after="100"/>
              <w:jc w:val="right"/>
              <w:rPr>
                <w:rFonts w:eastAsia="Times New Roman"/>
              </w:rPr>
            </w:pPr>
            <w:r>
              <w:rPr>
                <w:rFonts w:eastAsia="Times New Roman"/>
                <w:b/>
                <w:bCs/>
                <w:color w:val="000000"/>
                <w:sz w:val="16"/>
                <w:szCs w:val="16"/>
              </w:rPr>
              <w:t>(282)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0878F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1674C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8ABB3A" w14:textId="77777777" w:rsidR="00000000" w:rsidRDefault="00A173A8">
            <w:pPr>
              <w:spacing w:after="100"/>
              <w:jc w:val="right"/>
              <w:rPr>
                <w:rFonts w:eastAsia="Times New Roman"/>
              </w:rPr>
            </w:pPr>
            <w:r>
              <w:rPr>
                <w:rFonts w:eastAsia="Times New Roman"/>
                <w:b/>
                <w:bCs/>
                <w:color w:val="000000"/>
                <w:sz w:val="16"/>
                <w:szCs w:val="16"/>
              </w:rPr>
              <w:t>(45)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3D7E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BAA1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5873D8" w14:textId="77777777" w:rsidR="00000000" w:rsidRDefault="00A173A8">
            <w:pPr>
              <w:spacing w:after="100"/>
              <w:jc w:val="right"/>
              <w:rPr>
                <w:rFonts w:eastAsia="Times New Roman"/>
              </w:rPr>
            </w:pPr>
            <w:r>
              <w:rPr>
                <w:rFonts w:eastAsia="Times New Roman"/>
                <w:b/>
                <w:bCs/>
                <w:color w:val="000000"/>
                <w:sz w:val="16"/>
                <w:szCs w:val="16"/>
              </w:rPr>
              <w:t>(1,612)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60F03F" w14:textId="77777777" w:rsidR="00000000" w:rsidRDefault="00A173A8">
            <w:pPr>
              <w:spacing w:after="100"/>
              <w:jc w:val="right"/>
              <w:rPr>
                <w:rFonts w:eastAsia="Times New Roman"/>
              </w:rPr>
            </w:pPr>
          </w:p>
        </w:tc>
      </w:tr>
      <w:tr w:rsidR="00000000" w14:paraId="053563AF" w14:textId="77777777">
        <w:trPr>
          <w:divId w:val="1616132076"/>
        </w:trPr>
        <w:tc>
          <w:tcPr>
            <w:tcW w:w="0" w:type="auto"/>
            <w:gridSpan w:val="3"/>
            <w:shd w:val="clear" w:color="auto" w:fill="FFFFFF"/>
            <w:tcMar>
              <w:top w:w="30" w:type="dxa"/>
              <w:left w:w="20" w:type="dxa"/>
              <w:bottom w:w="30" w:type="dxa"/>
              <w:right w:w="20" w:type="dxa"/>
            </w:tcMar>
            <w:vAlign w:val="bottom"/>
            <w:hideMark/>
          </w:tcPr>
          <w:p w14:paraId="362230E1" w14:textId="77777777" w:rsidR="00000000" w:rsidRDefault="00A173A8">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58B9F76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1546E06" w14:textId="77777777" w:rsidR="00000000" w:rsidRDefault="00A173A8">
            <w:pPr>
              <w:spacing w:after="100"/>
              <w:jc w:val="right"/>
              <w:rPr>
                <w:rFonts w:eastAsia="Times New Roman"/>
              </w:rPr>
            </w:pPr>
            <w:r>
              <w:rPr>
                <w:rFonts w:eastAsia="Times New Roman"/>
                <w:b/>
                <w:bCs/>
                <w:color w:val="000000"/>
                <w:sz w:val="16"/>
                <w:szCs w:val="16"/>
              </w:rPr>
              <w:t>1,053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F0DCCF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C47F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E29A37" w14:textId="77777777" w:rsidR="00000000" w:rsidRDefault="00A173A8">
            <w:pPr>
              <w:spacing w:after="100"/>
              <w:jc w:val="right"/>
              <w:rPr>
                <w:rFonts w:eastAsia="Times New Roman"/>
              </w:rPr>
            </w:pPr>
            <w:r>
              <w:rPr>
                <w:rFonts w:eastAsia="Times New Roman"/>
                <w:b/>
                <w:bCs/>
                <w:color w:val="000000"/>
                <w:sz w:val="16"/>
                <w:szCs w:val="16"/>
              </w:rPr>
              <w:t>73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942F9A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FAAE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FBF460" w14:textId="77777777" w:rsidR="00000000" w:rsidRDefault="00A173A8">
            <w:pPr>
              <w:spacing w:after="100"/>
              <w:jc w:val="right"/>
              <w:rPr>
                <w:rFonts w:eastAsia="Times New Roman"/>
              </w:rPr>
            </w:pPr>
            <w:r>
              <w:rPr>
                <w:rFonts w:eastAsia="Times New Roman"/>
                <w:b/>
                <w:bCs/>
                <w:color w:val="000000"/>
                <w:sz w:val="16"/>
                <w:szCs w:val="16"/>
              </w:rPr>
              <w:t>1,126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BDAD0E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D197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15D0B5" w14:textId="77777777" w:rsidR="00000000" w:rsidRDefault="00A173A8">
            <w:pPr>
              <w:spacing w:after="100"/>
              <w:jc w:val="right"/>
              <w:rPr>
                <w:rFonts w:eastAsia="Times New Roman"/>
              </w:rPr>
            </w:pPr>
            <w:r>
              <w:rPr>
                <w:rFonts w:eastAsia="Times New Roman"/>
                <w:b/>
                <w:bCs/>
                <w:color w:val="000000"/>
                <w:sz w:val="16"/>
                <w:szCs w:val="16"/>
              </w:rPr>
              <w:t>395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3F45C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44C2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698D5E" w14:textId="77777777" w:rsidR="00000000" w:rsidRDefault="00A173A8">
            <w:pPr>
              <w:spacing w:after="100"/>
              <w:jc w:val="right"/>
              <w:rPr>
                <w:rFonts w:eastAsia="Times New Roman"/>
              </w:rPr>
            </w:pPr>
            <w:r>
              <w:rPr>
                <w:rFonts w:eastAsia="Times New Roman"/>
                <w:b/>
                <w:bCs/>
                <w:color w:val="000000"/>
                <w:sz w:val="16"/>
                <w:szCs w:val="16"/>
              </w:rPr>
              <w:t>16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26120E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7D18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6ED854" w14:textId="77777777" w:rsidR="00000000" w:rsidRDefault="00A173A8">
            <w:pPr>
              <w:spacing w:after="100"/>
              <w:jc w:val="right"/>
              <w:rPr>
                <w:rFonts w:eastAsia="Times New Roman"/>
              </w:rPr>
            </w:pPr>
            <w:r>
              <w:rPr>
                <w:rFonts w:eastAsia="Times New Roman"/>
                <w:b/>
                <w:bCs/>
                <w:color w:val="000000"/>
                <w:sz w:val="16"/>
                <w:szCs w:val="16"/>
              </w:rPr>
              <w:t>411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A6DDAA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69B46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3A7955" w14:textId="77777777" w:rsidR="00000000" w:rsidRDefault="00A173A8">
            <w:pPr>
              <w:spacing w:after="100"/>
              <w:jc w:val="right"/>
              <w:rPr>
                <w:rFonts w:eastAsia="Times New Roman"/>
              </w:rPr>
            </w:pPr>
            <w:r>
              <w:rPr>
                <w:rFonts w:eastAsia="Times New Roman"/>
                <w:b/>
                <w:bCs/>
                <w:color w:val="000000"/>
                <w:sz w:val="16"/>
                <w:szCs w:val="16"/>
              </w:rPr>
              <w:t>156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34D886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7693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0BE528" w14:textId="77777777" w:rsidR="00000000" w:rsidRDefault="00A173A8">
            <w:pPr>
              <w:spacing w:after="100"/>
              <w:jc w:val="right"/>
              <w:rPr>
                <w:rFonts w:eastAsia="Times New Roman"/>
              </w:rPr>
            </w:pPr>
            <w:r>
              <w:rPr>
                <w:rFonts w:eastAsia="Times New Roman"/>
                <w:b/>
                <w:bCs/>
                <w:color w:val="000000"/>
                <w:sz w:val="16"/>
                <w:szCs w:val="16"/>
              </w:rPr>
              <w:t>1,693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362ED47" w14:textId="77777777" w:rsidR="00000000" w:rsidRDefault="00A173A8">
            <w:pPr>
              <w:spacing w:after="100"/>
              <w:jc w:val="right"/>
              <w:rPr>
                <w:rFonts w:eastAsia="Times New Roman"/>
              </w:rPr>
            </w:pPr>
          </w:p>
        </w:tc>
      </w:tr>
      <w:tr w:rsidR="00000000" w14:paraId="03ACD660" w14:textId="77777777">
        <w:trPr>
          <w:divId w:val="1616132076"/>
        </w:trPr>
        <w:tc>
          <w:tcPr>
            <w:tcW w:w="0" w:type="auto"/>
            <w:gridSpan w:val="3"/>
            <w:shd w:val="clear" w:color="auto" w:fill="CCEEFF"/>
            <w:tcMar>
              <w:top w:w="30" w:type="dxa"/>
              <w:left w:w="20" w:type="dxa"/>
              <w:bottom w:w="30" w:type="dxa"/>
              <w:right w:w="20" w:type="dxa"/>
            </w:tcMar>
            <w:vAlign w:val="center"/>
            <w:hideMark/>
          </w:tcPr>
          <w:p w14:paraId="6C3DEE76" w14:textId="77777777" w:rsidR="00000000" w:rsidRDefault="00A173A8">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1EF2266C"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B8B2F5" w14:textId="77777777" w:rsidR="00000000" w:rsidRDefault="00A173A8">
            <w:pPr>
              <w:spacing w:after="100"/>
              <w:jc w:val="right"/>
              <w:rPr>
                <w:rFonts w:eastAsia="Times New Roman"/>
              </w:rPr>
            </w:pPr>
            <w:r>
              <w:rPr>
                <w:rFonts w:eastAsia="Times New Roman"/>
                <w:b/>
                <w:bCs/>
                <w:color w:val="000000"/>
                <w:sz w:val="16"/>
                <w:szCs w:val="16"/>
              </w:rPr>
              <w:t>(128)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B643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8127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CA453D" w14:textId="77777777" w:rsidR="00000000" w:rsidRDefault="00A173A8">
            <w:pPr>
              <w:spacing w:after="100"/>
              <w:jc w:val="right"/>
              <w:rPr>
                <w:rFonts w:eastAsia="Times New Roman"/>
              </w:rPr>
            </w:pPr>
            <w:r>
              <w:rPr>
                <w:rFonts w:eastAsia="Times New Roman"/>
                <w:b/>
                <w:bCs/>
                <w:color w:val="000000"/>
                <w:sz w:val="16"/>
                <w:szCs w:val="16"/>
              </w:rPr>
              <w:t>(31)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CF0A5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D0CB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6CAEA7" w14:textId="77777777" w:rsidR="00000000" w:rsidRDefault="00A173A8">
            <w:pPr>
              <w:spacing w:after="100"/>
              <w:jc w:val="right"/>
              <w:rPr>
                <w:rFonts w:eastAsia="Times New Roman"/>
              </w:rPr>
            </w:pPr>
            <w:r>
              <w:rPr>
                <w:rFonts w:eastAsia="Times New Roman"/>
                <w:b/>
                <w:bCs/>
                <w:color w:val="000000"/>
                <w:sz w:val="16"/>
                <w:szCs w:val="16"/>
              </w:rPr>
              <w:t>(159)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751A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744B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B930DB3" w14:textId="77777777" w:rsidR="00000000" w:rsidRDefault="00A173A8">
            <w:pPr>
              <w:spacing w:after="100"/>
              <w:jc w:val="right"/>
              <w:rPr>
                <w:rFonts w:eastAsia="Times New Roman"/>
              </w:rPr>
            </w:pPr>
            <w:r>
              <w:rPr>
                <w:rFonts w:eastAsia="Times New Roman"/>
                <w:b/>
                <w:bCs/>
                <w:color w:val="000000"/>
                <w:sz w:val="16"/>
                <w:szCs w:val="16"/>
              </w:rPr>
              <w:t>147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38145D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25E8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D1CEF0" w14:textId="77777777" w:rsidR="00000000" w:rsidRDefault="00A173A8">
            <w:pPr>
              <w:spacing w:after="100"/>
              <w:jc w:val="right"/>
              <w:rPr>
                <w:rFonts w:eastAsia="Times New Roman"/>
              </w:rPr>
            </w:pPr>
            <w:r>
              <w:rPr>
                <w:rFonts w:eastAsia="Times New Roman"/>
                <w:b/>
                <w:bCs/>
                <w:color w:val="000000"/>
                <w:sz w:val="16"/>
                <w:szCs w:val="16"/>
              </w:rPr>
              <w:t>(18)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FCC23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3FA6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E9AC26C" w14:textId="77777777" w:rsidR="00000000" w:rsidRDefault="00A173A8">
            <w:pPr>
              <w:spacing w:after="100"/>
              <w:jc w:val="right"/>
              <w:rPr>
                <w:rFonts w:eastAsia="Times New Roman"/>
              </w:rPr>
            </w:pPr>
            <w:r>
              <w:rPr>
                <w:rFonts w:eastAsia="Times New Roman"/>
                <w:b/>
                <w:bCs/>
                <w:color w:val="000000"/>
                <w:sz w:val="16"/>
                <w:szCs w:val="16"/>
              </w:rPr>
              <w:t>129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21842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67FC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F04843" w14:textId="77777777" w:rsidR="00000000" w:rsidRDefault="00A173A8">
            <w:pPr>
              <w:spacing w:after="100"/>
              <w:jc w:val="right"/>
              <w:rPr>
                <w:rFonts w:eastAsia="Times New Roman"/>
              </w:rPr>
            </w:pPr>
            <w:r>
              <w:rPr>
                <w:rFonts w:eastAsia="Times New Roman"/>
                <w:b/>
                <w:bCs/>
                <w:color w:val="000000"/>
                <w:sz w:val="16"/>
                <w:szCs w:val="16"/>
              </w:rPr>
              <w:t>111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111CD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B35B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99C698" w14:textId="77777777" w:rsidR="00000000" w:rsidRDefault="00A173A8">
            <w:pPr>
              <w:spacing w:after="100"/>
              <w:jc w:val="right"/>
              <w:rPr>
                <w:rFonts w:eastAsia="Times New Roman"/>
              </w:rPr>
            </w:pPr>
            <w:r>
              <w:rPr>
                <w:rFonts w:eastAsia="Times New Roman"/>
                <w:b/>
                <w:bCs/>
                <w:color w:val="000000"/>
                <w:sz w:val="16"/>
                <w:szCs w:val="16"/>
              </w:rPr>
              <w:t>81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645F66" w14:textId="77777777" w:rsidR="00000000" w:rsidRDefault="00A173A8">
            <w:pPr>
              <w:spacing w:after="100"/>
              <w:jc w:val="right"/>
              <w:rPr>
                <w:rFonts w:eastAsia="Times New Roman"/>
              </w:rPr>
            </w:pPr>
          </w:p>
        </w:tc>
      </w:tr>
      <w:tr w:rsidR="00000000" w14:paraId="67D7C232" w14:textId="77777777">
        <w:trPr>
          <w:divId w:val="1616132076"/>
        </w:trPr>
        <w:tc>
          <w:tcPr>
            <w:tcW w:w="0" w:type="auto"/>
            <w:gridSpan w:val="3"/>
            <w:shd w:val="clear" w:color="auto" w:fill="FFFFFF"/>
            <w:tcMar>
              <w:top w:w="30" w:type="dxa"/>
              <w:left w:w="20" w:type="dxa"/>
              <w:bottom w:w="30" w:type="dxa"/>
              <w:right w:w="20" w:type="dxa"/>
            </w:tcMar>
            <w:vAlign w:val="bottom"/>
            <w:hideMark/>
          </w:tcPr>
          <w:p w14:paraId="18A8E058" w14:textId="77777777" w:rsidR="00000000" w:rsidRDefault="00A173A8">
            <w:pPr>
              <w:spacing w:after="100"/>
              <w:divId w:val="1273127087"/>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21B33DA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451E80B"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53FD1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07D3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B0755C" w14:textId="77777777" w:rsidR="00000000" w:rsidRDefault="00A173A8">
            <w:pPr>
              <w:spacing w:after="100"/>
              <w:jc w:val="right"/>
              <w:rPr>
                <w:rFonts w:eastAsia="Times New Roman"/>
              </w:rPr>
            </w:pPr>
            <w:r>
              <w:rPr>
                <w:rFonts w:eastAsia="Times New Roman"/>
                <w:b/>
                <w:bCs/>
                <w:color w:val="000000"/>
                <w:sz w:val="16"/>
                <w:szCs w:val="16"/>
              </w:rPr>
              <w:t>(20)</w:t>
            </w:r>
          </w:p>
        </w:tc>
        <w:tc>
          <w:tcPr>
            <w:tcW w:w="0" w:type="auto"/>
            <w:shd w:val="clear" w:color="auto" w:fill="FFFFFF"/>
            <w:tcMar>
              <w:top w:w="30" w:type="dxa"/>
              <w:left w:w="0" w:type="dxa"/>
              <w:bottom w:w="30" w:type="dxa"/>
              <w:right w:w="20" w:type="dxa"/>
            </w:tcMar>
            <w:vAlign w:val="center"/>
            <w:hideMark/>
          </w:tcPr>
          <w:p w14:paraId="3892FDE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23323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4AB476" w14:textId="77777777" w:rsidR="00000000" w:rsidRDefault="00A173A8">
            <w:pPr>
              <w:spacing w:after="100"/>
              <w:jc w:val="right"/>
              <w:rPr>
                <w:rFonts w:eastAsia="Times New Roman"/>
              </w:rPr>
            </w:pPr>
            <w:r>
              <w:rPr>
                <w:rFonts w:eastAsia="Times New Roman"/>
                <w:b/>
                <w:bCs/>
                <w:color w:val="000000"/>
                <w:sz w:val="16"/>
                <w:szCs w:val="16"/>
              </w:rPr>
              <w:t>(20)</w:t>
            </w:r>
          </w:p>
        </w:tc>
        <w:tc>
          <w:tcPr>
            <w:tcW w:w="0" w:type="auto"/>
            <w:shd w:val="clear" w:color="auto" w:fill="FFFFFF"/>
            <w:tcMar>
              <w:top w:w="30" w:type="dxa"/>
              <w:left w:w="0" w:type="dxa"/>
              <w:bottom w:w="30" w:type="dxa"/>
              <w:right w:w="20" w:type="dxa"/>
            </w:tcMar>
            <w:vAlign w:val="center"/>
            <w:hideMark/>
          </w:tcPr>
          <w:p w14:paraId="53F9E12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0015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8054D4"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44303E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9D2A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12C4FA"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B1B9E2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E6D2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FEFD43"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046C9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B5F5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919505"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50EC42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8A06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7F6AA2" w14:textId="77777777" w:rsidR="00000000" w:rsidRDefault="00A173A8">
            <w:pPr>
              <w:spacing w:after="100"/>
              <w:jc w:val="right"/>
              <w:rPr>
                <w:rFonts w:eastAsia="Times New Roman"/>
              </w:rPr>
            </w:pPr>
            <w:r>
              <w:rPr>
                <w:rFonts w:eastAsia="Times New Roman"/>
                <w:b/>
                <w:bCs/>
                <w:color w:val="000000"/>
                <w:sz w:val="16"/>
                <w:szCs w:val="16"/>
              </w:rPr>
              <w:t>(20)</w:t>
            </w:r>
          </w:p>
        </w:tc>
        <w:tc>
          <w:tcPr>
            <w:tcW w:w="0" w:type="auto"/>
            <w:shd w:val="clear" w:color="auto" w:fill="FFFFFF"/>
            <w:tcMar>
              <w:top w:w="30" w:type="dxa"/>
              <w:left w:w="0" w:type="dxa"/>
              <w:bottom w:w="30" w:type="dxa"/>
              <w:right w:w="20" w:type="dxa"/>
            </w:tcMar>
            <w:vAlign w:val="center"/>
            <w:hideMark/>
          </w:tcPr>
          <w:p w14:paraId="292ABE6A" w14:textId="77777777" w:rsidR="00000000" w:rsidRDefault="00A173A8">
            <w:pPr>
              <w:spacing w:after="100"/>
              <w:jc w:val="right"/>
              <w:rPr>
                <w:rFonts w:eastAsia="Times New Roman"/>
              </w:rPr>
            </w:pPr>
          </w:p>
        </w:tc>
      </w:tr>
      <w:tr w:rsidR="00000000" w14:paraId="42367BC1" w14:textId="77777777">
        <w:trPr>
          <w:divId w:val="1616132076"/>
        </w:trPr>
        <w:tc>
          <w:tcPr>
            <w:tcW w:w="0" w:type="auto"/>
            <w:gridSpan w:val="3"/>
            <w:shd w:val="clear" w:color="auto" w:fill="CCEEFF"/>
            <w:tcMar>
              <w:top w:w="30" w:type="dxa"/>
              <w:left w:w="20" w:type="dxa"/>
              <w:bottom w:w="30" w:type="dxa"/>
              <w:right w:w="20" w:type="dxa"/>
            </w:tcMar>
            <w:vAlign w:val="bottom"/>
            <w:hideMark/>
          </w:tcPr>
          <w:p w14:paraId="5B41E243" w14:textId="77777777" w:rsidR="00000000" w:rsidRDefault="00A173A8">
            <w:pPr>
              <w:spacing w:after="100"/>
              <w:rPr>
                <w:rFonts w:eastAsia="Times New Roman"/>
              </w:rPr>
            </w:pPr>
            <w:r>
              <w:rPr>
                <w:rFonts w:eastAsia="Times New Roman"/>
                <w:color w:val="000000"/>
                <w:sz w:val="16"/>
                <w:szCs w:val="16"/>
              </w:rPr>
              <w:t>Balance as of June 30, 2022</w:t>
            </w:r>
          </w:p>
        </w:tc>
        <w:tc>
          <w:tcPr>
            <w:tcW w:w="0" w:type="auto"/>
            <w:gridSpan w:val="3"/>
            <w:shd w:val="clear" w:color="auto" w:fill="CCEEFF"/>
            <w:tcMar>
              <w:top w:w="0" w:type="dxa"/>
              <w:left w:w="20" w:type="dxa"/>
              <w:bottom w:w="0" w:type="dxa"/>
              <w:right w:w="20" w:type="dxa"/>
            </w:tcMar>
            <w:vAlign w:val="center"/>
            <w:hideMark/>
          </w:tcPr>
          <w:p w14:paraId="099205FA"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FBEEEF" w14:textId="77777777" w:rsidR="00000000" w:rsidRDefault="00A173A8">
            <w:pPr>
              <w:spacing w:after="100"/>
              <w:jc w:val="right"/>
              <w:rPr>
                <w:rFonts w:eastAsia="Times New Roman"/>
              </w:rPr>
            </w:pPr>
            <w:r>
              <w:rPr>
                <w:rFonts w:eastAsia="Times New Roman"/>
                <w:b/>
                <w:bCs/>
                <w:color w:val="000000"/>
                <w:sz w:val="16"/>
                <w:szCs w:val="16"/>
              </w:rPr>
              <w:t>7,840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0A19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5B79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BE0D2A2" w14:textId="77777777" w:rsidR="00000000" w:rsidRDefault="00A173A8">
            <w:pPr>
              <w:spacing w:after="100"/>
              <w:jc w:val="right"/>
              <w:rPr>
                <w:rFonts w:eastAsia="Times New Roman"/>
              </w:rPr>
            </w:pPr>
            <w:r>
              <w:rPr>
                <w:rFonts w:eastAsia="Times New Roman"/>
                <w:b/>
                <w:bCs/>
                <w:color w:val="000000"/>
                <w:sz w:val="16"/>
                <w:szCs w:val="16"/>
              </w:rPr>
              <w:t>326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FD3B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E4AC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B8792F" w14:textId="77777777" w:rsidR="00000000" w:rsidRDefault="00A173A8">
            <w:pPr>
              <w:spacing w:after="100"/>
              <w:jc w:val="right"/>
              <w:rPr>
                <w:rFonts w:eastAsia="Times New Roman"/>
              </w:rPr>
            </w:pPr>
            <w:r>
              <w:rPr>
                <w:rFonts w:eastAsia="Times New Roman"/>
                <w:b/>
                <w:bCs/>
                <w:color w:val="000000"/>
                <w:sz w:val="16"/>
                <w:szCs w:val="16"/>
              </w:rPr>
              <w:t>8,166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0DCA5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17D29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F65E7F" w14:textId="77777777" w:rsidR="00000000" w:rsidRDefault="00A173A8">
            <w:pPr>
              <w:spacing w:after="100"/>
              <w:jc w:val="right"/>
              <w:rPr>
                <w:rFonts w:eastAsia="Times New Roman"/>
              </w:rPr>
            </w:pPr>
            <w:r>
              <w:rPr>
                <w:rFonts w:eastAsia="Times New Roman"/>
                <w:b/>
                <w:bCs/>
                <w:color w:val="000000"/>
                <w:sz w:val="16"/>
                <w:szCs w:val="16"/>
              </w:rPr>
              <w:t>1,999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93E2B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6E33C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C4CE80" w14:textId="77777777" w:rsidR="00000000" w:rsidRDefault="00A173A8">
            <w:pPr>
              <w:spacing w:after="100"/>
              <w:jc w:val="right"/>
              <w:rPr>
                <w:rFonts w:eastAsia="Times New Roman"/>
              </w:rPr>
            </w:pPr>
            <w:r>
              <w:rPr>
                <w:rFonts w:eastAsia="Times New Roman"/>
                <w:b/>
                <w:bCs/>
                <w:color w:val="000000"/>
                <w:sz w:val="16"/>
                <w:szCs w:val="16"/>
              </w:rPr>
              <w:t>48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832FEB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2550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6496E7" w14:textId="77777777" w:rsidR="00000000" w:rsidRDefault="00A173A8">
            <w:pPr>
              <w:spacing w:after="100"/>
              <w:jc w:val="right"/>
              <w:rPr>
                <w:rFonts w:eastAsia="Times New Roman"/>
              </w:rPr>
            </w:pPr>
            <w:r>
              <w:rPr>
                <w:rFonts w:eastAsia="Times New Roman"/>
                <w:b/>
                <w:bCs/>
                <w:color w:val="000000"/>
                <w:sz w:val="16"/>
                <w:szCs w:val="16"/>
              </w:rPr>
              <w:t>2,047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FDFFF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0D38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D0FD52" w14:textId="77777777" w:rsidR="00000000" w:rsidRDefault="00A173A8">
            <w:pPr>
              <w:spacing w:after="100"/>
              <w:jc w:val="right"/>
              <w:rPr>
                <w:rFonts w:eastAsia="Times New Roman"/>
              </w:rPr>
            </w:pPr>
            <w:r>
              <w:rPr>
                <w:rFonts w:eastAsia="Times New Roman"/>
                <w:b/>
                <w:bCs/>
                <w:color w:val="000000"/>
                <w:sz w:val="16"/>
                <w:szCs w:val="16"/>
              </w:rPr>
              <w:t>1,278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9333F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3D6A4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227CF5" w14:textId="77777777" w:rsidR="00000000" w:rsidRDefault="00A173A8">
            <w:pPr>
              <w:spacing w:after="100"/>
              <w:jc w:val="right"/>
              <w:rPr>
                <w:rFonts w:eastAsia="Times New Roman"/>
              </w:rPr>
            </w:pPr>
            <w:r>
              <w:rPr>
                <w:rFonts w:eastAsia="Times New Roman"/>
                <w:b/>
                <w:bCs/>
                <w:color w:val="000000"/>
                <w:sz w:val="16"/>
                <w:szCs w:val="16"/>
              </w:rPr>
              <w:t>11,491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209D12" w14:textId="77777777" w:rsidR="00000000" w:rsidRDefault="00A173A8">
            <w:pPr>
              <w:spacing w:after="100"/>
              <w:jc w:val="right"/>
              <w:rPr>
                <w:rFonts w:eastAsia="Times New Roman"/>
              </w:rPr>
            </w:pPr>
          </w:p>
        </w:tc>
      </w:tr>
      <w:tr w:rsidR="00000000" w14:paraId="583AF8A5" w14:textId="77777777">
        <w:trPr>
          <w:divId w:val="1616132076"/>
        </w:trPr>
        <w:tc>
          <w:tcPr>
            <w:tcW w:w="0" w:type="auto"/>
            <w:gridSpan w:val="3"/>
            <w:shd w:val="clear" w:color="auto" w:fill="FFFFFF"/>
            <w:tcMar>
              <w:top w:w="30" w:type="dxa"/>
              <w:left w:w="20" w:type="dxa"/>
              <w:bottom w:w="30" w:type="dxa"/>
              <w:right w:w="20" w:type="dxa"/>
            </w:tcMar>
            <w:vAlign w:val="bottom"/>
            <w:hideMark/>
          </w:tcPr>
          <w:p w14:paraId="3F366824" w14:textId="77777777" w:rsidR="00000000" w:rsidRDefault="00A173A8">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2545FC6E"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F1C92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BE91B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E819C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32B9E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1259A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068FB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C4723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5D8E4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290B4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A2341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B5A1B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099BE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7AEF69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5BFB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089B50" w14:textId="77777777" w:rsidR="00000000" w:rsidRDefault="00A173A8">
            <w:pPr>
              <w:spacing w:after="100"/>
              <w:rPr>
                <w:rFonts w:eastAsia="Times New Roman"/>
                <w:sz w:val="20"/>
                <w:szCs w:val="20"/>
              </w:rPr>
            </w:pPr>
          </w:p>
        </w:tc>
      </w:tr>
      <w:tr w:rsidR="00000000" w14:paraId="6EF31E63" w14:textId="77777777">
        <w:trPr>
          <w:divId w:val="1616132076"/>
        </w:trPr>
        <w:tc>
          <w:tcPr>
            <w:tcW w:w="0" w:type="auto"/>
            <w:gridSpan w:val="3"/>
            <w:shd w:val="clear" w:color="auto" w:fill="CCEEFF"/>
            <w:tcMar>
              <w:top w:w="30" w:type="dxa"/>
              <w:left w:w="20" w:type="dxa"/>
              <w:bottom w:w="30" w:type="dxa"/>
              <w:right w:w="20" w:type="dxa"/>
            </w:tcMar>
            <w:vAlign w:val="bottom"/>
            <w:hideMark/>
          </w:tcPr>
          <w:p w14:paraId="6961AEB3" w14:textId="77777777" w:rsidR="00000000" w:rsidRDefault="00A173A8">
            <w:pPr>
              <w:spacing w:after="100"/>
              <w:rPr>
                <w:rFonts w:eastAsia="Times New Roman"/>
              </w:rPr>
            </w:pPr>
            <w:r>
              <w:rPr>
                <w:rFonts w:eastAsia="Times New Roman"/>
                <w:color w:val="000000"/>
                <w:sz w:val="16"/>
                <w:szCs w:val="16"/>
              </w:rPr>
              <w:t>Balance as of December 31, 2021</w:t>
            </w:r>
          </w:p>
        </w:tc>
        <w:tc>
          <w:tcPr>
            <w:tcW w:w="0" w:type="auto"/>
            <w:gridSpan w:val="3"/>
            <w:shd w:val="clear" w:color="auto" w:fill="CCEEFF"/>
            <w:tcMar>
              <w:top w:w="0" w:type="dxa"/>
              <w:left w:w="20" w:type="dxa"/>
              <w:bottom w:w="0" w:type="dxa"/>
              <w:right w:w="20" w:type="dxa"/>
            </w:tcMar>
            <w:vAlign w:val="center"/>
            <w:hideMark/>
          </w:tcPr>
          <w:p w14:paraId="6378044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E4936A5"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9C20E6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FD45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730E83"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10094C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954C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178F52"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6E21C0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59E6D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F9F66A"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A6F035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021B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7A0C52"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937916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1568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F0A760"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B51C1C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4AA9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915562" w14:textId="77777777" w:rsidR="00000000" w:rsidRDefault="00A173A8">
            <w:pPr>
              <w:spacing w:after="100"/>
              <w:jc w:val="right"/>
              <w:rPr>
                <w:rFonts w:eastAsia="Times New Roman"/>
              </w:rPr>
            </w:pPr>
            <w:r>
              <w:rPr>
                <w:rFonts w:eastAsia="Times New Roman"/>
                <w:color w:val="000000"/>
                <w:sz w:val="16"/>
                <w:szCs w:val="16"/>
              </w:rPr>
              <w:t>165 </w:t>
            </w:r>
          </w:p>
        </w:tc>
        <w:tc>
          <w:tcPr>
            <w:tcW w:w="0" w:type="auto"/>
            <w:shd w:val="clear" w:color="auto" w:fill="CCEEFF"/>
            <w:tcMar>
              <w:top w:w="30" w:type="dxa"/>
              <w:left w:w="0" w:type="dxa"/>
              <w:bottom w:w="30" w:type="dxa"/>
              <w:right w:w="20" w:type="dxa"/>
            </w:tcMar>
            <w:vAlign w:val="center"/>
            <w:hideMark/>
          </w:tcPr>
          <w:p w14:paraId="38856FD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0396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4754B9" w14:textId="77777777" w:rsidR="00000000" w:rsidRDefault="00A173A8">
            <w:pPr>
              <w:spacing w:after="100"/>
              <w:jc w:val="right"/>
              <w:rPr>
                <w:rFonts w:eastAsia="Times New Roman"/>
              </w:rPr>
            </w:pPr>
            <w:r>
              <w:rPr>
                <w:rFonts w:eastAsia="Times New Roman"/>
                <w:color w:val="000000"/>
                <w:sz w:val="16"/>
                <w:szCs w:val="16"/>
              </w:rPr>
              <w:t>165 </w:t>
            </w:r>
          </w:p>
        </w:tc>
        <w:tc>
          <w:tcPr>
            <w:tcW w:w="0" w:type="auto"/>
            <w:shd w:val="clear" w:color="auto" w:fill="CCEEFF"/>
            <w:tcMar>
              <w:top w:w="30" w:type="dxa"/>
              <w:left w:w="0" w:type="dxa"/>
              <w:bottom w:w="30" w:type="dxa"/>
              <w:right w:w="20" w:type="dxa"/>
            </w:tcMar>
            <w:vAlign w:val="center"/>
            <w:hideMark/>
          </w:tcPr>
          <w:p w14:paraId="208A267C" w14:textId="77777777" w:rsidR="00000000" w:rsidRDefault="00A173A8">
            <w:pPr>
              <w:spacing w:after="100"/>
              <w:jc w:val="right"/>
              <w:rPr>
                <w:rFonts w:eastAsia="Times New Roman"/>
              </w:rPr>
            </w:pPr>
          </w:p>
        </w:tc>
      </w:tr>
      <w:tr w:rsidR="00000000" w14:paraId="48D05CA4" w14:textId="77777777">
        <w:trPr>
          <w:divId w:val="1616132076"/>
        </w:trPr>
        <w:tc>
          <w:tcPr>
            <w:tcW w:w="0" w:type="auto"/>
            <w:gridSpan w:val="3"/>
            <w:shd w:val="clear" w:color="auto" w:fill="FFFFFF"/>
            <w:tcMar>
              <w:top w:w="30" w:type="dxa"/>
              <w:left w:w="20" w:type="dxa"/>
              <w:bottom w:w="30" w:type="dxa"/>
              <w:right w:w="20" w:type="dxa"/>
            </w:tcMar>
            <w:vAlign w:val="center"/>
            <w:hideMark/>
          </w:tcPr>
          <w:p w14:paraId="7FE1B6C5" w14:textId="77777777" w:rsidR="00000000" w:rsidRDefault="00A173A8">
            <w:pPr>
              <w:spacing w:after="100"/>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112D98A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472175"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CDB3B9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A625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EB1320"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94967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8428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D2F1A"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DC4CE2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25F34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F3CD34"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81423D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1160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A5DEBB"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95E98E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BCDC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B1FD33"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D4B3FF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E156D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CD8931" w14:textId="77777777" w:rsidR="00000000" w:rsidRDefault="00A173A8">
            <w:pPr>
              <w:spacing w:after="100"/>
              <w:jc w:val="right"/>
              <w:rPr>
                <w:rFonts w:eastAsia="Times New Roman"/>
              </w:rPr>
            </w:pPr>
            <w:r>
              <w:rPr>
                <w:rFonts w:eastAsia="Times New Roman"/>
                <w:b/>
                <w:bCs/>
                <w:color w:val="000000"/>
                <w:sz w:val="16"/>
                <w:szCs w:val="16"/>
              </w:rPr>
              <w:t>74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514E5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0005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DA363D" w14:textId="77777777" w:rsidR="00000000" w:rsidRDefault="00A173A8">
            <w:pPr>
              <w:spacing w:after="100"/>
              <w:jc w:val="right"/>
              <w:rPr>
                <w:rFonts w:eastAsia="Times New Roman"/>
              </w:rPr>
            </w:pPr>
            <w:r>
              <w:rPr>
                <w:rFonts w:eastAsia="Times New Roman"/>
                <w:b/>
                <w:bCs/>
                <w:color w:val="000000"/>
                <w:sz w:val="16"/>
                <w:szCs w:val="16"/>
              </w:rPr>
              <w:t>74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35FAF2E" w14:textId="77777777" w:rsidR="00000000" w:rsidRDefault="00A173A8">
            <w:pPr>
              <w:spacing w:after="100"/>
              <w:jc w:val="right"/>
              <w:rPr>
                <w:rFonts w:eastAsia="Times New Roman"/>
              </w:rPr>
            </w:pPr>
          </w:p>
        </w:tc>
      </w:tr>
      <w:tr w:rsidR="00000000" w14:paraId="0F954AA1" w14:textId="77777777">
        <w:trPr>
          <w:divId w:val="1616132076"/>
        </w:trPr>
        <w:tc>
          <w:tcPr>
            <w:tcW w:w="0" w:type="auto"/>
            <w:gridSpan w:val="3"/>
            <w:shd w:val="clear" w:color="auto" w:fill="CCEEFF"/>
            <w:tcMar>
              <w:top w:w="30" w:type="dxa"/>
              <w:left w:w="20" w:type="dxa"/>
              <w:bottom w:w="30" w:type="dxa"/>
              <w:right w:w="20" w:type="dxa"/>
            </w:tcMar>
            <w:vAlign w:val="bottom"/>
            <w:hideMark/>
          </w:tcPr>
          <w:p w14:paraId="7C7ECCC0" w14:textId="77777777" w:rsidR="00000000" w:rsidRDefault="00A173A8">
            <w:pPr>
              <w:spacing w:after="100"/>
              <w:rPr>
                <w:rFonts w:eastAsia="Times New Roman"/>
              </w:rPr>
            </w:pPr>
            <w:r>
              <w:rPr>
                <w:rFonts w:eastAsia="Times New Roman"/>
                <w:color w:val="000000"/>
                <w:sz w:val="16"/>
                <w:szCs w:val="16"/>
              </w:rPr>
              <w:t>Balance as of June 30, 2022</w:t>
            </w:r>
          </w:p>
        </w:tc>
        <w:tc>
          <w:tcPr>
            <w:tcW w:w="0" w:type="auto"/>
            <w:gridSpan w:val="3"/>
            <w:shd w:val="clear" w:color="auto" w:fill="CCEEFF"/>
            <w:tcMar>
              <w:top w:w="0" w:type="dxa"/>
              <w:left w:w="20" w:type="dxa"/>
              <w:bottom w:w="0" w:type="dxa"/>
              <w:right w:w="20" w:type="dxa"/>
            </w:tcMar>
            <w:vAlign w:val="center"/>
            <w:hideMark/>
          </w:tcPr>
          <w:p w14:paraId="2781E567"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4A5970"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5600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6189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F9F613"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6230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D232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23AB4E9"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13B206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567CB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FA360B"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DF8102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8F641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FF45E8"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29ABA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ABCFE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52E83D" w14:textId="77777777" w:rsidR="00000000" w:rsidRDefault="00A173A8">
            <w:pPr>
              <w:spacing w:after="100"/>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A475F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4DECF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D891CC4" w14:textId="77777777" w:rsidR="00000000" w:rsidRDefault="00A173A8">
            <w:pPr>
              <w:spacing w:after="100"/>
              <w:jc w:val="right"/>
              <w:rPr>
                <w:rFonts w:eastAsia="Times New Roman"/>
              </w:rPr>
            </w:pPr>
            <w:r>
              <w:rPr>
                <w:rFonts w:eastAsia="Times New Roman"/>
                <w:b/>
                <w:bCs/>
                <w:color w:val="000000"/>
                <w:sz w:val="16"/>
                <w:szCs w:val="16"/>
              </w:rPr>
              <w:t>239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21854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02312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C23BE5D" w14:textId="77777777" w:rsidR="00000000" w:rsidRDefault="00A173A8">
            <w:pPr>
              <w:spacing w:after="100"/>
              <w:jc w:val="right"/>
              <w:rPr>
                <w:rFonts w:eastAsia="Times New Roman"/>
              </w:rPr>
            </w:pPr>
            <w:r>
              <w:rPr>
                <w:rFonts w:eastAsia="Times New Roman"/>
                <w:b/>
                <w:bCs/>
                <w:color w:val="000000"/>
                <w:sz w:val="16"/>
                <w:szCs w:val="16"/>
              </w:rPr>
              <w:t>239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4AEDE6" w14:textId="77777777" w:rsidR="00000000" w:rsidRDefault="00A173A8">
            <w:pPr>
              <w:spacing w:after="100"/>
              <w:jc w:val="right"/>
              <w:rPr>
                <w:rFonts w:eastAsia="Times New Roman"/>
              </w:rPr>
            </w:pPr>
          </w:p>
        </w:tc>
      </w:tr>
      <w:tr w:rsidR="00A173A8" w14:paraId="17C35FD6" w14:textId="77777777">
        <w:trPr>
          <w:divId w:val="1616132076"/>
        </w:trPr>
        <w:tc>
          <w:tcPr>
            <w:tcW w:w="0" w:type="auto"/>
            <w:gridSpan w:val="3"/>
            <w:shd w:val="clear" w:color="auto" w:fill="FFFFFF"/>
            <w:tcMar>
              <w:top w:w="30" w:type="dxa"/>
              <w:left w:w="20" w:type="dxa"/>
              <w:bottom w:w="30" w:type="dxa"/>
              <w:right w:w="20" w:type="dxa"/>
            </w:tcMar>
            <w:vAlign w:val="bottom"/>
            <w:hideMark/>
          </w:tcPr>
          <w:p w14:paraId="6D5CAD33" w14:textId="77777777" w:rsidR="00000000" w:rsidRDefault="00A173A8">
            <w:pPr>
              <w:spacing w:after="100"/>
              <w:rPr>
                <w:rFonts w:eastAsia="Times New Roman"/>
              </w:rPr>
            </w:pPr>
            <w:r>
              <w:rPr>
                <w:rFonts w:eastAsia="Times New Roman"/>
                <w:b/>
                <w:bCs/>
                <w:color w:val="000000"/>
                <w:sz w:val="16"/>
                <w:szCs w:val="16"/>
              </w:rPr>
              <w:t>Combined allowance and reserve as of June 30, 2022</w:t>
            </w:r>
          </w:p>
        </w:tc>
        <w:tc>
          <w:tcPr>
            <w:tcW w:w="0" w:type="auto"/>
            <w:gridSpan w:val="3"/>
            <w:shd w:val="clear" w:color="auto" w:fill="FFFFFF"/>
            <w:tcMar>
              <w:top w:w="0" w:type="dxa"/>
              <w:left w:w="20" w:type="dxa"/>
              <w:bottom w:w="0" w:type="dxa"/>
              <w:right w:w="20" w:type="dxa"/>
            </w:tcMar>
            <w:vAlign w:val="center"/>
            <w:hideMark/>
          </w:tcPr>
          <w:p w14:paraId="176D5C8A"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983D9E5"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24B1623" w14:textId="77777777" w:rsidR="00000000" w:rsidRDefault="00A173A8">
            <w:pPr>
              <w:spacing w:after="100"/>
              <w:jc w:val="right"/>
              <w:rPr>
                <w:rFonts w:eastAsia="Times New Roman"/>
              </w:rPr>
            </w:pPr>
            <w:r>
              <w:rPr>
                <w:rFonts w:eastAsia="Times New Roman"/>
                <w:b/>
                <w:bCs/>
                <w:color w:val="000000"/>
                <w:sz w:val="16"/>
                <w:szCs w:val="16"/>
              </w:rPr>
              <w:t>7,840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9CFE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980E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32E793"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EABB28" w14:textId="77777777" w:rsidR="00000000" w:rsidRDefault="00A173A8">
            <w:pPr>
              <w:spacing w:after="100"/>
              <w:jc w:val="right"/>
              <w:rPr>
                <w:rFonts w:eastAsia="Times New Roman"/>
              </w:rPr>
            </w:pPr>
            <w:r>
              <w:rPr>
                <w:rFonts w:eastAsia="Times New Roman"/>
                <w:b/>
                <w:bCs/>
                <w:color w:val="000000"/>
                <w:sz w:val="16"/>
                <w:szCs w:val="16"/>
              </w:rPr>
              <w:t>326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1AD5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84607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763AA7"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B50F0D" w14:textId="77777777" w:rsidR="00000000" w:rsidRDefault="00A173A8">
            <w:pPr>
              <w:spacing w:after="100"/>
              <w:jc w:val="right"/>
              <w:rPr>
                <w:rFonts w:eastAsia="Times New Roman"/>
              </w:rPr>
            </w:pPr>
            <w:r>
              <w:rPr>
                <w:rFonts w:eastAsia="Times New Roman"/>
                <w:b/>
                <w:bCs/>
                <w:color w:val="000000"/>
                <w:sz w:val="16"/>
                <w:szCs w:val="16"/>
              </w:rPr>
              <w:t>8,166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0F65A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A875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E7C544"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878A4E" w14:textId="77777777" w:rsidR="00000000" w:rsidRDefault="00A173A8">
            <w:pPr>
              <w:spacing w:after="100"/>
              <w:jc w:val="right"/>
              <w:rPr>
                <w:rFonts w:eastAsia="Times New Roman"/>
              </w:rPr>
            </w:pPr>
            <w:r>
              <w:rPr>
                <w:rFonts w:eastAsia="Times New Roman"/>
                <w:b/>
                <w:bCs/>
                <w:color w:val="000000"/>
                <w:sz w:val="16"/>
                <w:szCs w:val="16"/>
              </w:rPr>
              <w:t>1,999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FD1D2E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5292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58CEAE"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FDB976" w14:textId="77777777" w:rsidR="00000000" w:rsidRDefault="00A173A8">
            <w:pPr>
              <w:spacing w:after="100"/>
              <w:jc w:val="right"/>
              <w:rPr>
                <w:rFonts w:eastAsia="Times New Roman"/>
              </w:rPr>
            </w:pPr>
            <w:r>
              <w:rPr>
                <w:rFonts w:eastAsia="Times New Roman"/>
                <w:b/>
                <w:bCs/>
                <w:color w:val="000000"/>
                <w:sz w:val="16"/>
                <w:szCs w:val="16"/>
              </w:rPr>
              <w:t>48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C0ABF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1591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1318E6"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9AF1814" w14:textId="77777777" w:rsidR="00000000" w:rsidRDefault="00A173A8">
            <w:pPr>
              <w:spacing w:after="100"/>
              <w:jc w:val="right"/>
              <w:rPr>
                <w:rFonts w:eastAsia="Times New Roman"/>
              </w:rPr>
            </w:pPr>
            <w:r>
              <w:rPr>
                <w:rFonts w:eastAsia="Times New Roman"/>
                <w:b/>
                <w:bCs/>
                <w:color w:val="000000"/>
                <w:sz w:val="16"/>
                <w:szCs w:val="16"/>
              </w:rPr>
              <w:t>2,047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3BA01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9709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E22434"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93D1AF" w14:textId="77777777" w:rsidR="00000000" w:rsidRDefault="00A173A8">
            <w:pPr>
              <w:spacing w:after="100"/>
              <w:jc w:val="right"/>
              <w:rPr>
                <w:rFonts w:eastAsia="Times New Roman"/>
              </w:rPr>
            </w:pPr>
            <w:r>
              <w:rPr>
                <w:rFonts w:eastAsia="Times New Roman"/>
                <w:b/>
                <w:bCs/>
                <w:color w:val="000000"/>
                <w:sz w:val="16"/>
                <w:szCs w:val="16"/>
              </w:rPr>
              <w:t>1,517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DFE4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F644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BC742C6"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598250" w14:textId="77777777" w:rsidR="00000000" w:rsidRDefault="00A173A8">
            <w:pPr>
              <w:spacing w:after="100"/>
              <w:jc w:val="right"/>
              <w:rPr>
                <w:rFonts w:eastAsia="Times New Roman"/>
              </w:rPr>
            </w:pPr>
            <w:r>
              <w:rPr>
                <w:rFonts w:eastAsia="Times New Roman"/>
                <w:b/>
                <w:bCs/>
                <w:color w:val="000000"/>
                <w:sz w:val="16"/>
                <w:szCs w:val="16"/>
              </w:rPr>
              <w:t>11,730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2E935D8" w14:textId="77777777" w:rsidR="00000000" w:rsidRDefault="00A173A8">
            <w:pPr>
              <w:spacing w:after="100"/>
              <w:jc w:val="right"/>
              <w:rPr>
                <w:rFonts w:eastAsia="Times New Roman"/>
              </w:rPr>
            </w:pPr>
          </w:p>
        </w:tc>
      </w:tr>
      <w:tr w:rsidR="00000000" w14:paraId="49793744" w14:textId="77777777">
        <w:trPr>
          <w:divId w:val="1616132076"/>
        </w:trPr>
        <w:tc>
          <w:tcPr>
            <w:tcW w:w="0" w:type="auto"/>
            <w:gridSpan w:val="3"/>
            <w:vAlign w:val="center"/>
            <w:hideMark/>
          </w:tcPr>
          <w:p w14:paraId="3D404958" w14:textId="77777777" w:rsidR="00000000" w:rsidRDefault="00A173A8">
            <w:pPr>
              <w:spacing w:after="100"/>
              <w:jc w:val="right"/>
              <w:rPr>
                <w:rFonts w:eastAsia="Times New Roman"/>
                <w:sz w:val="20"/>
                <w:szCs w:val="20"/>
              </w:rPr>
            </w:pPr>
          </w:p>
        </w:tc>
        <w:tc>
          <w:tcPr>
            <w:tcW w:w="0" w:type="auto"/>
            <w:gridSpan w:val="3"/>
            <w:vAlign w:val="center"/>
            <w:hideMark/>
          </w:tcPr>
          <w:p w14:paraId="664A7C13" w14:textId="77777777" w:rsidR="00000000" w:rsidRDefault="00A173A8">
            <w:pPr>
              <w:spacing w:after="100"/>
              <w:rPr>
                <w:rFonts w:eastAsia="Times New Roman"/>
                <w:sz w:val="20"/>
                <w:szCs w:val="20"/>
              </w:rPr>
            </w:pPr>
          </w:p>
        </w:tc>
        <w:tc>
          <w:tcPr>
            <w:tcW w:w="0" w:type="auto"/>
            <w:gridSpan w:val="3"/>
            <w:vAlign w:val="center"/>
            <w:hideMark/>
          </w:tcPr>
          <w:p w14:paraId="5286CD34" w14:textId="77777777" w:rsidR="00000000" w:rsidRDefault="00A173A8">
            <w:pPr>
              <w:spacing w:after="100"/>
              <w:rPr>
                <w:rFonts w:eastAsia="Times New Roman"/>
                <w:sz w:val="20"/>
                <w:szCs w:val="20"/>
              </w:rPr>
            </w:pPr>
          </w:p>
        </w:tc>
        <w:tc>
          <w:tcPr>
            <w:tcW w:w="0" w:type="auto"/>
            <w:gridSpan w:val="3"/>
            <w:vAlign w:val="center"/>
            <w:hideMark/>
          </w:tcPr>
          <w:p w14:paraId="187B17BD" w14:textId="77777777" w:rsidR="00000000" w:rsidRDefault="00A173A8">
            <w:pPr>
              <w:spacing w:after="100"/>
              <w:rPr>
                <w:rFonts w:eastAsia="Times New Roman"/>
                <w:sz w:val="20"/>
                <w:szCs w:val="20"/>
              </w:rPr>
            </w:pPr>
          </w:p>
        </w:tc>
        <w:tc>
          <w:tcPr>
            <w:tcW w:w="0" w:type="auto"/>
            <w:gridSpan w:val="3"/>
            <w:vAlign w:val="center"/>
            <w:hideMark/>
          </w:tcPr>
          <w:p w14:paraId="454A6AF4" w14:textId="77777777" w:rsidR="00000000" w:rsidRDefault="00A173A8">
            <w:pPr>
              <w:spacing w:after="100"/>
              <w:rPr>
                <w:rFonts w:eastAsia="Times New Roman"/>
                <w:sz w:val="20"/>
                <w:szCs w:val="20"/>
              </w:rPr>
            </w:pPr>
          </w:p>
        </w:tc>
        <w:tc>
          <w:tcPr>
            <w:tcW w:w="0" w:type="auto"/>
            <w:gridSpan w:val="3"/>
            <w:vAlign w:val="center"/>
            <w:hideMark/>
          </w:tcPr>
          <w:p w14:paraId="52F5DC72" w14:textId="77777777" w:rsidR="00000000" w:rsidRDefault="00A173A8">
            <w:pPr>
              <w:spacing w:after="100"/>
              <w:rPr>
                <w:rFonts w:eastAsia="Times New Roman"/>
                <w:sz w:val="20"/>
                <w:szCs w:val="20"/>
              </w:rPr>
            </w:pPr>
          </w:p>
        </w:tc>
        <w:tc>
          <w:tcPr>
            <w:tcW w:w="0" w:type="auto"/>
            <w:gridSpan w:val="3"/>
            <w:vAlign w:val="center"/>
            <w:hideMark/>
          </w:tcPr>
          <w:p w14:paraId="3D16D808" w14:textId="77777777" w:rsidR="00000000" w:rsidRDefault="00A173A8">
            <w:pPr>
              <w:spacing w:after="100"/>
              <w:rPr>
                <w:rFonts w:eastAsia="Times New Roman"/>
                <w:sz w:val="20"/>
                <w:szCs w:val="20"/>
              </w:rPr>
            </w:pPr>
          </w:p>
        </w:tc>
        <w:tc>
          <w:tcPr>
            <w:tcW w:w="0" w:type="auto"/>
            <w:gridSpan w:val="3"/>
            <w:vAlign w:val="center"/>
            <w:hideMark/>
          </w:tcPr>
          <w:p w14:paraId="306A83D9" w14:textId="77777777" w:rsidR="00000000" w:rsidRDefault="00A173A8">
            <w:pPr>
              <w:spacing w:after="100"/>
              <w:rPr>
                <w:rFonts w:eastAsia="Times New Roman"/>
                <w:sz w:val="20"/>
                <w:szCs w:val="20"/>
              </w:rPr>
            </w:pPr>
          </w:p>
        </w:tc>
        <w:tc>
          <w:tcPr>
            <w:tcW w:w="0" w:type="auto"/>
            <w:gridSpan w:val="3"/>
            <w:vAlign w:val="center"/>
            <w:hideMark/>
          </w:tcPr>
          <w:p w14:paraId="0150E69D" w14:textId="77777777" w:rsidR="00000000" w:rsidRDefault="00A173A8">
            <w:pPr>
              <w:spacing w:after="100"/>
              <w:rPr>
                <w:rFonts w:eastAsia="Times New Roman"/>
                <w:sz w:val="20"/>
                <w:szCs w:val="20"/>
              </w:rPr>
            </w:pPr>
          </w:p>
        </w:tc>
        <w:tc>
          <w:tcPr>
            <w:tcW w:w="0" w:type="auto"/>
            <w:gridSpan w:val="3"/>
            <w:vAlign w:val="center"/>
            <w:hideMark/>
          </w:tcPr>
          <w:p w14:paraId="17ABD327" w14:textId="77777777" w:rsidR="00000000" w:rsidRDefault="00A173A8">
            <w:pPr>
              <w:spacing w:after="100"/>
              <w:rPr>
                <w:rFonts w:eastAsia="Times New Roman"/>
                <w:sz w:val="20"/>
                <w:szCs w:val="20"/>
              </w:rPr>
            </w:pPr>
          </w:p>
        </w:tc>
        <w:tc>
          <w:tcPr>
            <w:tcW w:w="0" w:type="auto"/>
            <w:gridSpan w:val="3"/>
            <w:vAlign w:val="center"/>
            <w:hideMark/>
          </w:tcPr>
          <w:p w14:paraId="35D048E6" w14:textId="77777777" w:rsidR="00000000" w:rsidRDefault="00A173A8">
            <w:pPr>
              <w:spacing w:after="100"/>
              <w:rPr>
                <w:rFonts w:eastAsia="Times New Roman"/>
                <w:sz w:val="20"/>
                <w:szCs w:val="20"/>
              </w:rPr>
            </w:pPr>
          </w:p>
        </w:tc>
        <w:tc>
          <w:tcPr>
            <w:tcW w:w="0" w:type="auto"/>
            <w:gridSpan w:val="3"/>
            <w:vAlign w:val="center"/>
            <w:hideMark/>
          </w:tcPr>
          <w:p w14:paraId="12897AB5" w14:textId="77777777" w:rsidR="00000000" w:rsidRDefault="00A173A8">
            <w:pPr>
              <w:spacing w:after="100"/>
              <w:rPr>
                <w:rFonts w:eastAsia="Times New Roman"/>
                <w:sz w:val="20"/>
                <w:szCs w:val="20"/>
              </w:rPr>
            </w:pPr>
          </w:p>
        </w:tc>
        <w:tc>
          <w:tcPr>
            <w:tcW w:w="0" w:type="auto"/>
            <w:gridSpan w:val="3"/>
            <w:vAlign w:val="center"/>
            <w:hideMark/>
          </w:tcPr>
          <w:p w14:paraId="3F353723" w14:textId="77777777" w:rsidR="00000000" w:rsidRDefault="00A173A8">
            <w:pPr>
              <w:spacing w:after="100"/>
              <w:rPr>
                <w:rFonts w:eastAsia="Times New Roman"/>
                <w:sz w:val="20"/>
                <w:szCs w:val="20"/>
              </w:rPr>
            </w:pPr>
          </w:p>
        </w:tc>
        <w:tc>
          <w:tcPr>
            <w:tcW w:w="0" w:type="auto"/>
            <w:gridSpan w:val="3"/>
            <w:vAlign w:val="center"/>
            <w:hideMark/>
          </w:tcPr>
          <w:p w14:paraId="77911B32" w14:textId="77777777" w:rsidR="00000000" w:rsidRDefault="00A173A8">
            <w:pPr>
              <w:spacing w:after="100"/>
              <w:rPr>
                <w:rFonts w:eastAsia="Times New Roman"/>
                <w:sz w:val="20"/>
                <w:szCs w:val="20"/>
              </w:rPr>
            </w:pPr>
          </w:p>
        </w:tc>
        <w:tc>
          <w:tcPr>
            <w:tcW w:w="0" w:type="auto"/>
            <w:gridSpan w:val="3"/>
            <w:vAlign w:val="center"/>
            <w:hideMark/>
          </w:tcPr>
          <w:p w14:paraId="14CD3312" w14:textId="77777777" w:rsidR="00000000" w:rsidRDefault="00A173A8">
            <w:pPr>
              <w:spacing w:after="100"/>
              <w:rPr>
                <w:rFonts w:eastAsia="Times New Roman"/>
                <w:sz w:val="20"/>
                <w:szCs w:val="20"/>
              </w:rPr>
            </w:pPr>
          </w:p>
        </w:tc>
        <w:tc>
          <w:tcPr>
            <w:tcW w:w="0" w:type="auto"/>
            <w:gridSpan w:val="3"/>
            <w:vAlign w:val="center"/>
            <w:hideMark/>
          </w:tcPr>
          <w:p w14:paraId="1F2CEE37" w14:textId="77777777" w:rsidR="00000000" w:rsidRDefault="00A173A8">
            <w:pPr>
              <w:spacing w:after="100"/>
              <w:rPr>
                <w:rFonts w:eastAsia="Times New Roman"/>
                <w:sz w:val="20"/>
                <w:szCs w:val="20"/>
              </w:rPr>
            </w:pPr>
          </w:p>
        </w:tc>
        <w:tc>
          <w:tcPr>
            <w:tcW w:w="0" w:type="auto"/>
            <w:gridSpan w:val="3"/>
            <w:vAlign w:val="center"/>
            <w:hideMark/>
          </w:tcPr>
          <w:p w14:paraId="19BB820F" w14:textId="77777777" w:rsidR="00000000" w:rsidRDefault="00A173A8">
            <w:pPr>
              <w:spacing w:after="100"/>
              <w:rPr>
                <w:rFonts w:eastAsia="Times New Roman"/>
                <w:sz w:val="20"/>
                <w:szCs w:val="20"/>
              </w:rPr>
            </w:pPr>
          </w:p>
        </w:tc>
      </w:tr>
    </w:tbl>
    <w:p w14:paraId="4A49FFEC" w14:textId="77777777" w:rsidR="00000000" w:rsidRDefault="00A173A8">
      <w:pPr>
        <w:jc w:val="both"/>
        <w:divId w:val="161613207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216"/>
        <w:gridCol w:w="38"/>
        <w:gridCol w:w="36"/>
        <w:gridCol w:w="36"/>
        <w:gridCol w:w="36"/>
        <w:gridCol w:w="101"/>
        <w:gridCol w:w="458"/>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23"/>
        <w:gridCol w:w="36"/>
        <w:gridCol w:w="36"/>
        <w:gridCol w:w="36"/>
        <w:gridCol w:w="36"/>
        <w:gridCol w:w="101"/>
        <w:gridCol w:w="518"/>
        <w:gridCol w:w="36"/>
        <w:gridCol w:w="36"/>
        <w:gridCol w:w="36"/>
        <w:gridCol w:w="36"/>
        <w:gridCol w:w="101"/>
        <w:gridCol w:w="623"/>
        <w:gridCol w:w="36"/>
        <w:gridCol w:w="36"/>
        <w:gridCol w:w="36"/>
        <w:gridCol w:w="36"/>
        <w:gridCol w:w="100"/>
        <w:gridCol w:w="480"/>
        <w:gridCol w:w="36"/>
      </w:tblGrid>
      <w:tr w:rsidR="00000000" w14:paraId="2764F2FC" w14:textId="77777777">
        <w:trPr>
          <w:divId w:val="1616132076"/>
        </w:trPr>
        <w:tc>
          <w:tcPr>
            <w:tcW w:w="50" w:type="pct"/>
            <w:vAlign w:val="center"/>
            <w:hideMark/>
          </w:tcPr>
          <w:p w14:paraId="13EBE0DF" w14:textId="77777777" w:rsidR="00000000" w:rsidRDefault="00A173A8">
            <w:pPr>
              <w:jc w:val="both"/>
              <w:rPr>
                <w:rFonts w:eastAsia="Times New Roman"/>
              </w:rPr>
            </w:pPr>
          </w:p>
        </w:tc>
        <w:tc>
          <w:tcPr>
            <w:tcW w:w="1896" w:type="pct"/>
            <w:vAlign w:val="center"/>
            <w:hideMark/>
          </w:tcPr>
          <w:p w14:paraId="5B1E8036" w14:textId="77777777" w:rsidR="00000000" w:rsidRDefault="00A173A8">
            <w:pPr>
              <w:spacing w:after="100"/>
              <w:rPr>
                <w:rFonts w:eastAsia="Times New Roman"/>
                <w:sz w:val="20"/>
                <w:szCs w:val="20"/>
              </w:rPr>
            </w:pPr>
          </w:p>
        </w:tc>
        <w:tc>
          <w:tcPr>
            <w:tcW w:w="5" w:type="pct"/>
            <w:vAlign w:val="center"/>
            <w:hideMark/>
          </w:tcPr>
          <w:p w14:paraId="3C29701C" w14:textId="77777777" w:rsidR="00000000" w:rsidRDefault="00A173A8">
            <w:pPr>
              <w:spacing w:after="100"/>
              <w:rPr>
                <w:rFonts w:eastAsia="Times New Roman"/>
                <w:sz w:val="20"/>
                <w:szCs w:val="20"/>
              </w:rPr>
            </w:pPr>
          </w:p>
        </w:tc>
        <w:tc>
          <w:tcPr>
            <w:tcW w:w="5" w:type="pct"/>
            <w:vAlign w:val="center"/>
            <w:hideMark/>
          </w:tcPr>
          <w:p w14:paraId="1CBEA982" w14:textId="77777777" w:rsidR="00000000" w:rsidRDefault="00A173A8">
            <w:pPr>
              <w:spacing w:after="100"/>
              <w:rPr>
                <w:rFonts w:eastAsia="Times New Roman"/>
                <w:sz w:val="20"/>
                <w:szCs w:val="20"/>
              </w:rPr>
            </w:pPr>
          </w:p>
        </w:tc>
        <w:tc>
          <w:tcPr>
            <w:tcW w:w="26" w:type="pct"/>
            <w:vAlign w:val="center"/>
            <w:hideMark/>
          </w:tcPr>
          <w:p w14:paraId="597990B4" w14:textId="77777777" w:rsidR="00000000" w:rsidRDefault="00A173A8">
            <w:pPr>
              <w:spacing w:after="100"/>
              <w:rPr>
                <w:rFonts w:eastAsia="Times New Roman"/>
                <w:sz w:val="20"/>
                <w:szCs w:val="20"/>
              </w:rPr>
            </w:pPr>
          </w:p>
        </w:tc>
        <w:tc>
          <w:tcPr>
            <w:tcW w:w="5" w:type="pct"/>
            <w:vAlign w:val="center"/>
            <w:hideMark/>
          </w:tcPr>
          <w:p w14:paraId="27B1373D" w14:textId="77777777" w:rsidR="00000000" w:rsidRDefault="00A173A8">
            <w:pPr>
              <w:spacing w:after="100"/>
              <w:rPr>
                <w:rFonts w:eastAsia="Times New Roman"/>
                <w:sz w:val="20"/>
                <w:szCs w:val="20"/>
              </w:rPr>
            </w:pPr>
          </w:p>
        </w:tc>
        <w:tc>
          <w:tcPr>
            <w:tcW w:w="50" w:type="pct"/>
            <w:vAlign w:val="center"/>
            <w:hideMark/>
          </w:tcPr>
          <w:p w14:paraId="54A0DD93" w14:textId="77777777" w:rsidR="00000000" w:rsidRDefault="00A173A8">
            <w:pPr>
              <w:spacing w:after="100"/>
              <w:rPr>
                <w:rFonts w:eastAsia="Times New Roman"/>
                <w:sz w:val="20"/>
                <w:szCs w:val="20"/>
              </w:rPr>
            </w:pPr>
          </w:p>
        </w:tc>
        <w:tc>
          <w:tcPr>
            <w:tcW w:w="266" w:type="pct"/>
            <w:vAlign w:val="center"/>
            <w:hideMark/>
          </w:tcPr>
          <w:p w14:paraId="3A613601" w14:textId="77777777" w:rsidR="00000000" w:rsidRDefault="00A173A8">
            <w:pPr>
              <w:spacing w:after="100"/>
              <w:rPr>
                <w:rFonts w:eastAsia="Times New Roman"/>
                <w:sz w:val="20"/>
                <w:szCs w:val="20"/>
              </w:rPr>
            </w:pPr>
          </w:p>
        </w:tc>
        <w:tc>
          <w:tcPr>
            <w:tcW w:w="5" w:type="pct"/>
            <w:vAlign w:val="center"/>
            <w:hideMark/>
          </w:tcPr>
          <w:p w14:paraId="3E61A9E4" w14:textId="77777777" w:rsidR="00000000" w:rsidRDefault="00A173A8">
            <w:pPr>
              <w:spacing w:after="100"/>
              <w:rPr>
                <w:rFonts w:eastAsia="Times New Roman"/>
                <w:sz w:val="20"/>
                <w:szCs w:val="20"/>
              </w:rPr>
            </w:pPr>
          </w:p>
        </w:tc>
        <w:tc>
          <w:tcPr>
            <w:tcW w:w="5" w:type="pct"/>
            <w:vAlign w:val="center"/>
            <w:hideMark/>
          </w:tcPr>
          <w:p w14:paraId="43BF6E63" w14:textId="77777777" w:rsidR="00000000" w:rsidRDefault="00A173A8">
            <w:pPr>
              <w:spacing w:after="100"/>
              <w:rPr>
                <w:rFonts w:eastAsia="Times New Roman"/>
                <w:sz w:val="20"/>
                <w:szCs w:val="20"/>
              </w:rPr>
            </w:pPr>
          </w:p>
        </w:tc>
        <w:tc>
          <w:tcPr>
            <w:tcW w:w="26" w:type="pct"/>
            <w:vAlign w:val="center"/>
            <w:hideMark/>
          </w:tcPr>
          <w:p w14:paraId="21FAAEA6" w14:textId="77777777" w:rsidR="00000000" w:rsidRDefault="00A173A8">
            <w:pPr>
              <w:spacing w:after="100"/>
              <w:rPr>
                <w:rFonts w:eastAsia="Times New Roman"/>
                <w:sz w:val="20"/>
                <w:szCs w:val="20"/>
              </w:rPr>
            </w:pPr>
          </w:p>
        </w:tc>
        <w:tc>
          <w:tcPr>
            <w:tcW w:w="5" w:type="pct"/>
            <w:vAlign w:val="center"/>
            <w:hideMark/>
          </w:tcPr>
          <w:p w14:paraId="290AD240" w14:textId="77777777" w:rsidR="00000000" w:rsidRDefault="00A173A8">
            <w:pPr>
              <w:spacing w:after="100"/>
              <w:rPr>
                <w:rFonts w:eastAsia="Times New Roman"/>
                <w:sz w:val="20"/>
                <w:szCs w:val="20"/>
              </w:rPr>
            </w:pPr>
          </w:p>
        </w:tc>
        <w:tc>
          <w:tcPr>
            <w:tcW w:w="50" w:type="pct"/>
            <w:vAlign w:val="center"/>
            <w:hideMark/>
          </w:tcPr>
          <w:p w14:paraId="1F30A0B7" w14:textId="77777777" w:rsidR="00000000" w:rsidRDefault="00A173A8">
            <w:pPr>
              <w:spacing w:after="100"/>
              <w:rPr>
                <w:rFonts w:eastAsia="Times New Roman"/>
                <w:sz w:val="20"/>
                <w:szCs w:val="20"/>
              </w:rPr>
            </w:pPr>
          </w:p>
        </w:tc>
        <w:tc>
          <w:tcPr>
            <w:tcW w:w="361" w:type="pct"/>
            <w:vAlign w:val="center"/>
            <w:hideMark/>
          </w:tcPr>
          <w:p w14:paraId="2792608D" w14:textId="77777777" w:rsidR="00000000" w:rsidRDefault="00A173A8">
            <w:pPr>
              <w:spacing w:after="100"/>
              <w:rPr>
                <w:rFonts w:eastAsia="Times New Roman"/>
                <w:sz w:val="20"/>
                <w:szCs w:val="20"/>
              </w:rPr>
            </w:pPr>
          </w:p>
        </w:tc>
        <w:tc>
          <w:tcPr>
            <w:tcW w:w="5" w:type="pct"/>
            <w:vAlign w:val="center"/>
            <w:hideMark/>
          </w:tcPr>
          <w:p w14:paraId="358ED36C" w14:textId="77777777" w:rsidR="00000000" w:rsidRDefault="00A173A8">
            <w:pPr>
              <w:spacing w:after="100"/>
              <w:rPr>
                <w:rFonts w:eastAsia="Times New Roman"/>
                <w:sz w:val="20"/>
                <w:szCs w:val="20"/>
              </w:rPr>
            </w:pPr>
          </w:p>
        </w:tc>
        <w:tc>
          <w:tcPr>
            <w:tcW w:w="5" w:type="pct"/>
            <w:vAlign w:val="center"/>
            <w:hideMark/>
          </w:tcPr>
          <w:p w14:paraId="435193AD" w14:textId="77777777" w:rsidR="00000000" w:rsidRDefault="00A173A8">
            <w:pPr>
              <w:spacing w:after="100"/>
              <w:rPr>
                <w:rFonts w:eastAsia="Times New Roman"/>
                <w:sz w:val="20"/>
                <w:szCs w:val="20"/>
              </w:rPr>
            </w:pPr>
          </w:p>
        </w:tc>
        <w:tc>
          <w:tcPr>
            <w:tcW w:w="26" w:type="pct"/>
            <w:vAlign w:val="center"/>
            <w:hideMark/>
          </w:tcPr>
          <w:p w14:paraId="2B9B2B97" w14:textId="77777777" w:rsidR="00000000" w:rsidRDefault="00A173A8">
            <w:pPr>
              <w:spacing w:after="100"/>
              <w:rPr>
                <w:rFonts w:eastAsia="Times New Roman"/>
                <w:sz w:val="20"/>
                <w:szCs w:val="20"/>
              </w:rPr>
            </w:pPr>
          </w:p>
        </w:tc>
        <w:tc>
          <w:tcPr>
            <w:tcW w:w="5" w:type="pct"/>
            <w:vAlign w:val="center"/>
            <w:hideMark/>
          </w:tcPr>
          <w:p w14:paraId="7AE40E3A" w14:textId="77777777" w:rsidR="00000000" w:rsidRDefault="00A173A8">
            <w:pPr>
              <w:spacing w:after="100"/>
              <w:rPr>
                <w:rFonts w:eastAsia="Times New Roman"/>
                <w:sz w:val="20"/>
                <w:szCs w:val="20"/>
              </w:rPr>
            </w:pPr>
          </w:p>
        </w:tc>
        <w:tc>
          <w:tcPr>
            <w:tcW w:w="50" w:type="pct"/>
            <w:vAlign w:val="center"/>
            <w:hideMark/>
          </w:tcPr>
          <w:p w14:paraId="1A02C720" w14:textId="77777777" w:rsidR="00000000" w:rsidRDefault="00A173A8">
            <w:pPr>
              <w:spacing w:after="100"/>
              <w:rPr>
                <w:rFonts w:eastAsia="Times New Roman"/>
                <w:sz w:val="20"/>
                <w:szCs w:val="20"/>
              </w:rPr>
            </w:pPr>
          </w:p>
        </w:tc>
        <w:tc>
          <w:tcPr>
            <w:tcW w:w="266" w:type="pct"/>
            <w:vAlign w:val="center"/>
            <w:hideMark/>
          </w:tcPr>
          <w:p w14:paraId="779DDA6F" w14:textId="77777777" w:rsidR="00000000" w:rsidRDefault="00A173A8">
            <w:pPr>
              <w:spacing w:after="100"/>
              <w:rPr>
                <w:rFonts w:eastAsia="Times New Roman"/>
                <w:sz w:val="20"/>
                <w:szCs w:val="20"/>
              </w:rPr>
            </w:pPr>
          </w:p>
        </w:tc>
        <w:tc>
          <w:tcPr>
            <w:tcW w:w="5" w:type="pct"/>
            <w:vAlign w:val="center"/>
            <w:hideMark/>
          </w:tcPr>
          <w:p w14:paraId="7DD1BCEC" w14:textId="77777777" w:rsidR="00000000" w:rsidRDefault="00A173A8">
            <w:pPr>
              <w:spacing w:after="100"/>
              <w:rPr>
                <w:rFonts w:eastAsia="Times New Roman"/>
                <w:sz w:val="20"/>
                <w:szCs w:val="20"/>
              </w:rPr>
            </w:pPr>
          </w:p>
        </w:tc>
        <w:tc>
          <w:tcPr>
            <w:tcW w:w="5" w:type="pct"/>
            <w:vAlign w:val="center"/>
            <w:hideMark/>
          </w:tcPr>
          <w:p w14:paraId="72499973" w14:textId="77777777" w:rsidR="00000000" w:rsidRDefault="00A173A8">
            <w:pPr>
              <w:spacing w:after="100"/>
              <w:rPr>
                <w:rFonts w:eastAsia="Times New Roman"/>
                <w:sz w:val="20"/>
                <w:szCs w:val="20"/>
              </w:rPr>
            </w:pPr>
          </w:p>
        </w:tc>
        <w:tc>
          <w:tcPr>
            <w:tcW w:w="26" w:type="pct"/>
            <w:vAlign w:val="center"/>
            <w:hideMark/>
          </w:tcPr>
          <w:p w14:paraId="0C90CA64" w14:textId="77777777" w:rsidR="00000000" w:rsidRDefault="00A173A8">
            <w:pPr>
              <w:spacing w:after="100"/>
              <w:rPr>
                <w:rFonts w:eastAsia="Times New Roman"/>
                <w:sz w:val="20"/>
                <w:szCs w:val="20"/>
              </w:rPr>
            </w:pPr>
          </w:p>
        </w:tc>
        <w:tc>
          <w:tcPr>
            <w:tcW w:w="5" w:type="pct"/>
            <w:vAlign w:val="center"/>
            <w:hideMark/>
          </w:tcPr>
          <w:p w14:paraId="29B10A50" w14:textId="77777777" w:rsidR="00000000" w:rsidRDefault="00A173A8">
            <w:pPr>
              <w:spacing w:after="100"/>
              <w:rPr>
                <w:rFonts w:eastAsia="Times New Roman"/>
                <w:sz w:val="20"/>
                <w:szCs w:val="20"/>
              </w:rPr>
            </w:pPr>
          </w:p>
        </w:tc>
        <w:tc>
          <w:tcPr>
            <w:tcW w:w="50" w:type="pct"/>
            <w:vAlign w:val="center"/>
            <w:hideMark/>
          </w:tcPr>
          <w:p w14:paraId="07E56A72" w14:textId="77777777" w:rsidR="00000000" w:rsidRDefault="00A173A8">
            <w:pPr>
              <w:spacing w:after="100"/>
              <w:rPr>
                <w:rFonts w:eastAsia="Times New Roman"/>
                <w:sz w:val="20"/>
                <w:szCs w:val="20"/>
              </w:rPr>
            </w:pPr>
          </w:p>
        </w:tc>
        <w:tc>
          <w:tcPr>
            <w:tcW w:w="266" w:type="pct"/>
            <w:vAlign w:val="center"/>
            <w:hideMark/>
          </w:tcPr>
          <w:p w14:paraId="0731408E" w14:textId="77777777" w:rsidR="00000000" w:rsidRDefault="00A173A8">
            <w:pPr>
              <w:spacing w:after="100"/>
              <w:rPr>
                <w:rFonts w:eastAsia="Times New Roman"/>
                <w:sz w:val="20"/>
                <w:szCs w:val="20"/>
              </w:rPr>
            </w:pPr>
          </w:p>
        </w:tc>
        <w:tc>
          <w:tcPr>
            <w:tcW w:w="5" w:type="pct"/>
            <w:vAlign w:val="center"/>
            <w:hideMark/>
          </w:tcPr>
          <w:p w14:paraId="0786305A" w14:textId="77777777" w:rsidR="00000000" w:rsidRDefault="00A173A8">
            <w:pPr>
              <w:spacing w:after="100"/>
              <w:rPr>
                <w:rFonts w:eastAsia="Times New Roman"/>
                <w:sz w:val="20"/>
                <w:szCs w:val="20"/>
              </w:rPr>
            </w:pPr>
          </w:p>
        </w:tc>
        <w:tc>
          <w:tcPr>
            <w:tcW w:w="5" w:type="pct"/>
            <w:vAlign w:val="center"/>
            <w:hideMark/>
          </w:tcPr>
          <w:p w14:paraId="41F998FA" w14:textId="77777777" w:rsidR="00000000" w:rsidRDefault="00A173A8">
            <w:pPr>
              <w:spacing w:after="100"/>
              <w:rPr>
                <w:rFonts w:eastAsia="Times New Roman"/>
                <w:sz w:val="20"/>
                <w:szCs w:val="20"/>
              </w:rPr>
            </w:pPr>
          </w:p>
        </w:tc>
        <w:tc>
          <w:tcPr>
            <w:tcW w:w="26" w:type="pct"/>
            <w:vAlign w:val="center"/>
            <w:hideMark/>
          </w:tcPr>
          <w:p w14:paraId="1F6E9613" w14:textId="77777777" w:rsidR="00000000" w:rsidRDefault="00A173A8">
            <w:pPr>
              <w:spacing w:after="100"/>
              <w:rPr>
                <w:rFonts w:eastAsia="Times New Roman"/>
                <w:sz w:val="20"/>
                <w:szCs w:val="20"/>
              </w:rPr>
            </w:pPr>
          </w:p>
        </w:tc>
        <w:tc>
          <w:tcPr>
            <w:tcW w:w="5" w:type="pct"/>
            <w:vAlign w:val="center"/>
            <w:hideMark/>
          </w:tcPr>
          <w:p w14:paraId="708015EA" w14:textId="77777777" w:rsidR="00000000" w:rsidRDefault="00A173A8">
            <w:pPr>
              <w:spacing w:after="100"/>
              <w:rPr>
                <w:rFonts w:eastAsia="Times New Roman"/>
                <w:sz w:val="20"/>
                <w:szCs w:val="20"/>
              </w:rPr>
            </w:pPr>
          </w:p>
        </w:tc>
        <w:tc>
          <w:tcPr>
            <w:tcW w:w="50" w:type="pct"/>
            <w:vAlign w:val="center"/>
            <w:hideMark/>
          </w:tcPr>
          <w:p w14:paraId="7CD5A8FE" w14:textId="77777777" w:rsidR="00000000" w:rsidRDefault="00A173A8">
            <w:pPr>
              <w:spacing w:after="100"/>
              <w:rPr>
                <w:rFonts w:eastAsia="Times New Roman"/>
                <w:sz w:val="20"/>
                <w:szCs w:val="20"/>
              </w:rPr>
            </w:pPr>
          </w:p>
        </w:tc>
        <w:tc>
          <w:tcPr>
            <w:tcW w:w="266" w:type="pct"/>
            <w:vAlign w:val="center"/>
            <w:hideMark/>
          </w:tcPr>
          <w:p w14:paraId="2BC10333" w14:textId="77777777" w:rsidR="00000000" w:rsidRDefault="00A173A8">
            <w:pPr>
              <w:spacing w:after="100"/>
              <w:rPr>
                <w:rFonts w:eastAsia="Times New Roman"/>
                <w:sz w:val="20"/>
                <w:szCs w:val="20"/>
              </w:rPr>
            </w:pPr>
          </w:p>
        </w:tc>
        <w:tc>
          <w:tcPr>
            <w:tcW w:w="5" w:type="pct"/>
            <w:vAlign w:val="center"/>
            <w:hideMark/>
          </w:tcPr>
          <w:p w14:paraId="26A476CC" w14:textId="77777777" w:rsidR="00000000" w:rsidRDefault="00A173A8">
            <w:pPr>
              <w:spacing w:after="100"/>
              <w:rPr>
                <w:rFonts w:eastAsia="Times New Roman"/>
                <w:sz w:val="20"/>
                <w:szCs w:val="20"/>
              </w:rPr>
            </w:pPr>
          </w:p>
        </w:tc>
        <w:tc>
          <w:tcPr>
            <w:tcW w:w="5" w:type="pct"/>
            <w:vAlign w:val="center"/>
            <w:hideMark/>
          </w:tcPr>
          <w:p w14:paraId="0E6E3D97" w14:textId="77777777" w:rsidR="00000000" w:rsidRDefault="00A173A8">
            <w:pPr>
              <w:spacing w:after="100"/>
              <w:rPr>
                <w:rFonts w:eastAsia="Times New Roman"/>
                <w:sz w:val="20"/>
                <w:szCs w:val="20"/>
              </w:rPr>
            </w:pPr>
          </w:p>
        </w:tc>
        <w:tc>
          <w:tcPr>
            <w:tcW w:w="26" w:type="pct"/>
            <w:vAlign w:val="center"/>
            <w:hideMark/>
          </w:tcPr>
          <w:p w14:paraId="363D764A" w14:textId="77777777" w:rsidR="00000000" w:rsidRDefault="00A173A8">
            <w:pPr>
              <w:spacing w:after="100"/>
              <w:rPr>
                <w:rFonts w:eastAsia="Times New Roman"/>
                <w:sz w:val="20"/>
                <w:szCs w:val="20"/>
              </w:rPr>
            </w:pPr>
          </w:p>
        </w:tc>
        <w:tc>
          <w:tcPr>
            <w:tcW w:w="5" w:type="pct"/>
            <w:vAlign w:val="center"/>
            <w:hideMark/>
          </w:tcPr>
          <w:p w14:paraId="6EEFC3B4" w14:textId="77777777" w:rsidR="00000000" w:rsidRDefault="00A173A8">
            <w:pPr>
              <w:spacing w:after="100"/>
              <w:rPr>
                <w:rFonts w:eastAsia="Times New Roman"/>
                <w:sz w:val="20"/>
                <w:szCs w:val="20"/>
              </w:rPr>
            </w:pPr>
          </w:p>
        </w:tc>
        <w:tc>
          <w:tcPr>
            <w:tcW w:w="50" w:type="pct"/>
            <w:vAlign w:val="center"/>
            <w:hideMark/>
          </w:tcPr>
          <w:p w14:paraId="7F33D3E3" w14:textId="77777777" w:rsidR="00000000" w:rsidRDefault="00A173A8">
            <w:pPr>
              <w:spacing w:after="100"/>
              <w:rPr>
                <w:rFonts w:eastAsia="Times New Roman"/>
                <w:sz w:val="20"/>
                <w:szCs w:val="20"/>
              </w:rPr>
            </w:pPr>
          </w:p>
        </w:tc>
        <w:tc>
          <w:tcPr>
            <w:tcW w:w="288" w:type="pct"/>
            <w:vAlign w:val="center"/>
            <w:hideMark/>
          </w:tcPr>
          <w:p w14:paraId="0254A347" w14:textId="77777777" w:rsidR="00000000" w:rsidRDefault="00A173A8">
            <w:pPr>
              <w:spacing w:after="100"/>
              <w:rPr>
                <w:rFonts w:eastAsia="Times New Roman"/>
                <w:sz w:val="20"/>
                <w:szCs w:val="20"/>
              </w:rPr>
            </w:pPr>
          </w:p>
        </w:tc>
        <w:tc>
          <w:tcPr>
            <w:tcW w:w="5" w:type="pct"/>
            <w:vAlign w:val="center"/>
            <w:hideMark/>
          </w:tcPr>
          <w:p w14:paraId="04089F5B" w14:textId="77777777" w:rsidR="00000000" w:rsidRDefault="00A173A8">
            <w:pPr>
              <w:spacing w:after="100"/>
              <w:rPr>
                <w:rFonts w:eastAsia="Times New Roman"/>
                <w:sz w:val="20"/>
                <w:szCs w:val="20"/>
              </w:rPr>
            </w:pPr>
          </w:p>
        </w:tc>
        <w:tc>
          <w:tcPr>
            <w:tcW w:w="5" w:type="pct"/>
            <w:vAlign w:val="center"/>
            <w:hideMark/>
          </w:tcPr>
          <w:p w14:paraId="59D62141" w14:textId="77777777" w:rsidR="00000000" w:rsidRDefault="00A173A8">
            <w:pPr>
              <w:spacing w:after="100"/>
              <w:rPr>
                <w:rFonts w:eastAsia="Times New Roman"/>
                <w:sz w:val="20"/>
                <w:szCs w:val="20"/>
              </w:rPr>
            </w:pPr>
          </w:p>
        </w:tc>
        <w:tc>
          <w:tcPr>
            <w:tcW w:w="26" w:type="pct"/>
            <w:vAlign w:val="center"/>
            <w:hideMark/>
          </w:tcPr>
          <w:p w14:paraId="06C6981E" w14:textId="77777777" w:rsidR="00000000" w:rsidRDefault="00A173A8">
            <w:pPr>
              <w:spacing w:after="100"/>
              <w:rPr>
                <w:rFonts w:eastAsia="Times New Roman"/>
                <w:sz w:val="20"/>
                <w:szCs w:val="20"/>
              </w:rPr>
            </w:pPr>
          </w:p>
        </w:tc>
        <w:tc>
          <w:tcPr>
            <w:tcW w:w="5" w:type="pct"/>
            <w:vAlign w:val="center"/>
            <w:hideMark/>
          </w:tcPr>
          <w:p w14:paraId="0BC67578" w14:textId="77777777" w:rsidR="00000000" w:rsidRDefault="00A173A8">
            <w:pPr>
              <w:spacing w:after="100"/>
              <w:rPr>
                <w:rFonts w:eastAsia="Times New Roman"/>
                <w:sz w:val="20"/>
                <w:szCs w:val="20"/>
              </w:rPr>
            </w:pPr>
          </w:p>
        </w:tc>
        <w:tc>
          <w:tcPr>
            <w:tcW w:w="50" w:type="pct"/>
            <w:vAlign w:val="center"/>
            <w:hideMark/>
          </w:tcPr>
          <w:p w14:paraId="57952368" w14:textId="77777777" w:rsidR="00000000" w:rsidRDefault="00A173A8">
            <w:pPr>
              <w:spacing w:after="100"/>
              <w:rPr>
                <w:rFonts w:eastAsia="Times New Roman"/>
                <w:sz w:val="20"/>
                <w:szCs w:val="20"/>
              </w:rPr>
            </w:pPr>
          </w:p>
        </w:tc>
        <w:tc>
          <w:tcPr>
            <w:tcW w:w="332" w:type="pct"/>
            <w:vAlign w:val="center"/>
            <w:hideMark/>
          </w:tcPr>
          <w:p w14:paraId="0F7C2A12" w14:textId="77777777" w:rsidR="00000000" w:rsidRDefault="00A173A8">
            <w:pPr>
              <w:spacing w:after="100"/>
              <w:rPr>
                <w:rFonts w:eastAsia="Times New Roman"/>
                <w:sz w:val="20"/>
                <w:szCs w:val="20"/>
              </w:rPr>
            </w:pPr>
          </w:p>
        </w:tc>
        <w:tc>
          <w:tcPr>
            <w:tcW w:w="5" w:type="pct"/>
            <w:vAlign w:val="center"/>
            <w:hideMark/>
          </w:tcPr>
          <w:p w14:paraId="2966AD7C" w14:textId="77777777" w:rsidR="00000000" w:rsidRDefault="00A173A8">
            <w:pPr>
              <w:spacing w:after="100"/>
              <w:rPr>
                <w:rFonts w:eastAsia="Times New Roman"/>
                <w:sz w:val="20"/>
                <w:szCs w:val="20"/>
              </w:rPr>
            </w:pPr>
          </w:p>
        </w:tc>
        <w:tc>
          <w:tcPr>
            <w:tcW w:w="5" w:type="pct"/>
            <w:vAlign w:val="center"/>
            <w:hideMark/>
          </w:tcPr>
          <w:p w14:paraId="631A49AF" w14:textId="77777777" w:rsidR="00000000" w:rsidRDefault="00A173A8">
            <w:pPr>
              <w:spacing w:after="100"/>
              <w:rPr>
                <w:rFonts w:eastAsia="Times New Roman"/>
                <w:sz w:val="20"/>
                <w:szCs w:val="20"/>
              </w:rPr>
            </w:pPr>
          </w:p>
        </w:tc>
        <w:tc>
          <w:tcPr>
            <w:tcW w:w="26" w:type="pct"/>
            <w:vAlign w:val="center"/>
            <w:hideMark/>
          </w:tcPr>
          <w:p w14:paraId="02899E09" w14:textId="77777777" w:rsidR="00000000" w:rsidRDefault="00A173A8">
            <w:pPr>
              <w:spacing w:after="100"/>
              <w:rPr>
                <w:rFonts w:eastAsia="Times New Roman"/>
                <w:sz w:val="20"/>
                <w:szCs w:val="20"/>
              </w:rPr>
            </w:pPr>
          </w:p>
        </w:tc>
        <w:tc>
          <w:tcPr>
            <w:tcW w:w="5" w:type="pct"/>
            <w:vAlign w:val="center"/>
            <w:hideMark/>
          </w:tcPr>
          <w:p w14:paraId="7480827A" w14:textId="77777777" w:rsidR="00000000" w:rsidRDefault="00A173A8">
            <w:pPr>
              <w:spacing w:after="100"/>
              <w:rPr>
                <w:rFonts w:eastAsia="Times New Roman"/>
                <w:sz w:val="20"/>
                <w:szCs w:val="20"/>
              </w:rPr>
            </w:pPr>
          </w:p>
        </w:tc>
        <w:tc>
          <w:tcPr>
            <w:tcW w:w="50" w:type="pct"/>
            <w:vAlign w:val="center"/>
            <w:hideMark/>
          </w:tcPr>
          <w:p w14:paraId="011A7FE8" w14:textId="77777777" w:rsidR="00000000" w:rsidRDefault="00A173A8">
            <w:pPr>
              <w:spacing w:after="100"/>
              <w:rPr>
                <w:rFonts w:eastAsia="Times New Roman"/>
                <w:sz w:val="20"/>
                <w:szCs w:val="20"/>
              </w:rPr>
            </w:pPr>
          </w:p>
        </w:tc>
        <w:tc>
          <w:tcPr>
            <w:tcW w:w="267" w:type="pct"/>
            <w:vAlign w:val="center"/>
            <w:hideMark/>
          </w:tcPr>
          <w:p w14:paraId="70A99BF4" w14:textId="77777777" w:rsidR="00000000" w:rsidRDefault="00A173A8">
            <w:pPr>
              <w:spacing w:after="100"/>
              <w:rPr>
                <w:rFonts w:eastAsia="Times New Roman"/>
                <w:sz w:val="20"/>
                <w:szCs w:val="20"/>
              </w:rPr>
            </w:pPr>
          </w:p>
        </w:tc>
        <w:tc>
          <w:tcPr>
            <w:tcW w:w="5" w:type="pct"/>
            <w:vAlign w:val="center"/>
            <w:hideMark/>
          </w:tcPr>
          <w:p w14:paraId="35D0D415" w14:textId="77777777" w:rsidR="00000000" w:rsidRDefault="00A173A8">
            <w:pPr>
              <w:spacing w:after="100"/>
              <w:rPr>
                <w:rFonts w:eastAsia="Times New Roman"/>
                <w:sz w:val="20"/>
                <w:szCs w:val="20"/>
              </w:rPr>
            </w:pPr>
          </w:p>
        </w:tc>
      </w:tr>
      <w:tr w:rsidR="00000000" w14:paraId="37CD3A66" w14:textId="77777777">
        <w:trPr>
          <w:divId w:val="1616132076"/>
        </w:trPr>
        <w:tc>
          <w:tcPr>
            <w:tcW w:w="0" w:type="auto"/>
            <w:gridSpan w:val="3"/>
            <w:vAlign w:val="center"/>
            <w:hideMark/>
          </w:tcPr>
          <w:p w14:paraId="66CA80B7" w14:textId="77777777" w:rsidR="00000000" w:rsidRDefault="00A173A8">
            <w:pPr>
              <w:spacing w:after="100"/>
              <w:rPr>
                <w:rFonts w:eastAsia="Times New Roman"/>
                <w:sz w:val="20"/>
                <w:szCs w:val="20"/>
              </w:rPr>
            </w:pPr>
          </w:p>
        </w:tc>
        <w:tc>
          <w:tcPr>
            <w:tcW w:w="0" w:type="auto"/>
            <w:vAlign w:val="center"/>
            <w:hideMark/>
          </w:tcPr>
          <w:p w14:paraId="01B8DE27" w14:textId="77777777" w:rsidR="00000000" w:rsidRDefault="00A173A8">
            <w:pPr>
              <w:spacing w:after="100"/>
              <w:rPr>
                <w:rFonts w:eastAsia="Times New Roman"/>
                <w:sz w:val="20"/>
                <w:szCs w:val="20"/>
              </w:rPr>
            </w:pPr>
          </w:p>
        </w:tc>
        <w:tc>
          <w:tcPr>
            <w:tcW w:w="0" w:type="auto"/>
            <w:vAlign w:val="center"/>
            <w:hideMark/>
          </w:tcPr>
          <w:p w14:paraId="2C2F2056" w14:textId="77777777" w:rsidR="00000000" w:rsidRDefault="00A173A8">
            <w:pPr>
              <w:spacing w:after="100"/>
              <w:rPr>
                <w:rFonts w:eastAsia="Times New Roman"/>
                <w:sz w:val="20"/>
                <w:szCs w:val="20"/>
              </w:rPr>
            </w:pPr>
          </w:p>
        </w:tc>
        <w:tc>
          <w:tcPr>
            <w:tcW w:w="0" w:type="auto"/>
            <w:vAlign w:val="center"/>
            <w:hideMark/>
          </w:tcPr>
          <w:p w14:paraId="26F8567E" w14:textId="77777777" w:rsidR="00000000" w:rsidRDefault="00A173A8">
            <w:pPr>
              <w:spacing w:after="100"/>
              <w:rPr>
                <w:rFonts w:eastAsia="Times New Roman"/>
                <w:sz w:val="20"/>
                <w:szCs w:val="20"/>
              </w:rPr>
            </w:pPr>
          </w:p>
        </w:tc>
        <w:tc>
          <w:tcPr>
            <w:tcW w:w="0" w:type="auto"/>
            <w:vAlign w:val="center"/>
            <w:hideMark/>
          </w:tcPr>
          <w:p w14:paraId="201AE2B0" w14:textId="77777777" w:rsidR="00000000" w:rsidRDefault="00A173A8">
            <w:pPr>
              <w:spacing w:after="100"/>
              <w:rPr>
                <w:rFonts w:eastAsia="Times New Roman"/>
                <w:sz w:val="20"/>
                <w:szCs w:val="20"/>
              </w:rPr>
            </w:pPr>
          </w:p>
        </w:tc>
        <w:tc>
          <w:tcPr>
            <w:tcW w:w="0" w:type="auto"/>
            <w:vAlign w:val="center"/>
            <w:hideMark/>
          </w:tcPr>
          <w:p w14:paraId="42773548" w14:textId="77777777" w:rsidR="00000000" w:rsidRDefault="00A173A8">
            <w:pPr>
              <w:spacing w:after="100"/>
              <w:rPr>
                <w:rFonts w:eastAsia="Times New Roman"/>
                <w:sz w:val="20"/>
                <w:szCs w:val="20"/>
              </w:rPr>
            </w:pPr>
          </w:p>
        </w:tc>
        <w:tc>
          <w:tcPr>
            <w:tcW w:w="0" w:type="auto"/>
            <w:vAlign w:val="center"/>
            <w:hideMark/>
          </w:tcPr>
          <w:p w14:paraId="7243DF99" w14:textId="77777777" w:rsidR="00000000" w:rsidRDefault="00A173A8">
            <w:pPr>
              <w:spacing w:after="100"/>
              <w:rPr>
                <w:rFonts w:eastAsia="Times New Roman"/>
                <w:sz w:val="20"/>
                <w:szCs w:val="20"/>
              </w:rPr>
            </w:pPr>
          </w:p>
        </w:tc>
        <w:tc>
          <w:tcPr>
            <w:tcW w:w="0" w:type="auto"/>
            <w:vAlign w:val="center"/>
            <w:hideMark/>
          </w:tcPr>
          <w:p w14:paraId="30E5E59F" w14:textId="77777777" w:rsidR="00000000" w:rsidRDefault="00A173A8">
            <w:pPr>
              <w:spacing w:after="100"/>
              <w:rPr>
                <w:rFonts w:eastAsia="Times New Roman"/>
                <w:sz w:val="20"/>
                <w:szCs w:val="20"/>
              </w:rPr>
            </w:pPr>
          </w:p>
        </w:tc>
        <w:tc>
          <w:tcPr>
            <w:tcW w:w="0" w:type="auto"/>
            <w:vAlign w:val="center"/>
            <w:hideMark/>
          </w:tcPr>
          <w:p w14:paraId="7EA6D41B" w14:textId="77777777" w:rsidR="00000000" w:rsidRDefault="00A173A8">
            <w:pPr>
              <w:spacing w:after="100"/>
              <w:rPr>
                <w:rFonts w:eastAsia="Times New Roman"/>
                <w:sz w:val="20"/>
                <w:szCs w:val="20"/>
              </w:rPr>
            </w:pPr>
          </w:p>
        </w:tc>
        <w:tc>
          <w:tcPr>
            <w:tcW w:w="0" w:type="auto"/>
            <w:vAlign w:val="center"/>
            <w:hideMark/>
          </w:tcPr>
          <w:p w14:paraId="61241DB9" w14:textId="77777777" w:rsidR="00000000" w:rsidRDefault="00A173A8">
            <w:pPr>
              <w:spacing w:after="100"/>
              <w:rPr>
                <w:rFonts w:eastAsia="Times New Roman"/>
                <w:sz w:val="20"/>
                <w:szCs w:val="20"/>
              </w:rPr>
            </w:pPr>
          </w:p>
        </w:tc>
        <w:tc>
          <w:tcPr>
            <w:tcW w:w="0" w:type="auto"/>
            <w:vAlign w:val="center"/>
            <w:hideMark/>
          </w:tcPr>
          <w:p w14:paraId="41951D3F" w14:textId="77777777" w:rsidR="00000000" w:rsidRDefault="00A173A8">
            <w:pPr>
              <w:spacing w:after="100"/>
              <w:rPr>
                <w:rFonts w:eastAsia="Times New Roman"/>
                <w:sz w:val="20"/>
                <w:szCs w:val="20"/>
              </w:rPr>
            </w:pPr>
          </w:p>
        </w:tc>
        <w:tc>
          <w:tcPr>
            <w:tcW w:w="0" w:type="auto"/>
            <w:vAlign w:val="center"/>
            <w:hideMark/>
          </w:tcPr>
          <w:p w14:paraId="108FC7F7" w14:textId="77777777" w:rsidR="00000000" w:rsidRDefault="00A173A8">
            <w:pPr>
              <w:spacing w:after="100"/>
              <w:rPr>
                <w:rFonts w:eastAsia="Times New Roman"/>
                <w:sz w:val="20"/>
                <w:szCs w:val="20"/>
              </w:rPr>
            </w:pPr>
          </w:p>
        </w:tc>
        <w:tc>
          <w:tcPr>
            <w:tcW w:w="0" w:type="auto"/>
            <w:vAlign w:val="center"/>
            <w:hideMark/>
          </w:tcPr>
          <w:p w14:paraId="76F70C8B" w14:textId="77777777" w:rsidR="00000000" w:rsidRDefault="00A173A8">
            <w:pPr>
              <w:spacing w:after="100"/>
              <w:rPr>
                <w:rFonts w:eastAsia="Times New Roman"/>
                <w:sz w:val="20"/>
                <w:szCs w:val="20"/>
              </w:rPr>
            </w:pPr>
          </w:p>
        </w:tc>
        <w:tc>
          <w:tcPr>
            <w:tcW w:w="0" w:type="auto"/>
            <w:vAlign w:val="center"/>
            <w:hideMark/>
          </w:tcPr>
          <w:p w14:paraId="7EA92B13" w14:textId="77777777" w:rsidR="00000000" w:rsidRDefault="00A173A8">
            <w:pPr>
              <w:spacing w:after="100"/>
              <w:rPr>
                <w:rFonts w:eastAsia="Times New Roman"/>
                <w:sz w:val="20"/>
                <w:szCs w:val="20"/>
              </w:rPr>
            </w:pPr>
          </w:p>
        </w:tc>
        <w:tc>
          <w:tcPr>
            <w:tcW w:w="0" w:type="auto"/>
            <w:vAlign w:val="center"/>
            <w:hideMark/>
          </w:tcPr>
          <w:p w14:paraId="3AE67E66" w14:textId="77777777" w:rsidR="00000000" w:rsidRDefault="00A173A8">
            <w:pPr>
              <w:spacing w:after="100"/>
              <w:rPr>
                <w:rFonts w:eastAsia="Times New Roman"/>
                <w:sz w:val="20"/>
                <w:szCs w:val="20"/>
              </w:rPr>
            </w:pPr>
          </w:p>
        </w:tc>
        <w:tc>
          <w:tcPr>
            <w:tcW w:w="0" w:type="auto"/>
            <w:vAlign w:val="center"/>
            <w:hideMark/>
          </w:tcPr>
          <w:p w14:paraId="378BEAB1" w14:textId="77777777" w:rsidR="00000000" w:rsidRDefault="00A173A8">
            <w:pPr>
              <w:spacing w:after="100"/>
              <w:rPr>
                <w:rFonts w:eastAsia="Times New Roman"/>
                <w:sz w:val="20"/>
                <w:szCs w:val="20"/>
              </w:rPr>
            </w:pPr>
          </w:p>
        </w:tc>
        <w:tc>
          <w:tcPr>
            <w:tcW w:w="0" w:type="auto"/>
            <w:vAlign w:val="center"/>
            <w:hideMark/>
          </w:tcPr>
          <w:p w14:paraId="0DB767C3" w14:textId="77777777" w:rsidR="00000000" w:rsidRDefault="00A173A8">
            <w:pPr>
              <w:spacing w:after="100"/>
              <w:rPr>
                <w:rFonts w:eastAsia="Times New Roman"/>
                <w:sz w:val="20"/>
                <w:szCs w:val="20"/>
              </w:rPr>
            </w:pPr>
          </w:p>
        </w:tc>
        <w:tc>
          <w:tcPr>
            <w:tcW w:w="0" w:type="auto"/>
            <w:vAlign w:val="center"/>
            <w:hideMark/>
          </w:tcPr>
          <w:p w14:paraId="5014670D" w14:textId="77777777" w:rsidR="00000000" w:rsidRDefault="00A173A8">
            <w:pPr>
              <w:spacing w:after="100"/>
              <w:rPr>
                <w:rFonts w:eastAsia="Times New Roman"/>
                <w:sz w:val="20"/>
                <w:szCs w:val="20"/>
              </w:rPr>
            </w:pPr>
          </w:p>
        </w:tc>
        <w:tc>
          <w:tcPr>
            <w:tcW w:w="0" w:type="auto"/>
            <w:vAlign w:val="center"/>
            <w:hideMark/>
          </w:tcPr>
          <w:p w14:paraId="39C234F1" w14:textId="77777777" w:rsidR="00000000" w:rsidRDefault="00A173A8">
            <w:pPr>
              <w:spacing w:after="100"/>
              <w:rPr>
                <w:rFonts w:eastAsia="Times New Roman"/>
                <w:sz w:val="20"/>
                <w:szCs w:val="20"/>
              </w:rPr>
            </w:pPr>
          </w:p>
        </w:tc>
        <w:tc>
          <w:tcPr>
            <w:tcW w:w="0" w:type="auto"/>
            <w:vAlign w:val="center"/>
            <w:hideMark/>
          </w:tcPr>
          <w:p w14:paraId="6A75C582" w14:textId="77777777" w:rsidR="00000000" w:rsidRDefault="00A173A8">
            <w:pPr>
              <w:spacing w:after="100"/>
              <w:rPr>
                <w:rFonts w:eastAsia="Times New Roman"/>
                <w:sz w:val="20"/>
                <w:szCs w:val="20"/>
              </w:rPr>
            </w:pPr>
          </w:p>
        </w:tc>
        <w:tc>
          <w:tcPr>
            <w:tcW w:w="0" w:type="auto"/>
            <w:vAlign w:val="center"/>
            <w:hideMark/>
          </w:tcPr>
          <w:p w14:paraId="432702C3" w14:textId="77777777" w:rsidR="00000000" w:rsidRDefault="00A173A8">
            <w:pPr>
              <w:spacing w:after="100"/>
              <w:rPr>
                <w:rFonts w:eastAsia="Times New Roman"/>
                <w:sz w:val="20"/>
                <w:szCs w:val="20"/>
              </w:rPr>
            </w:pPr>
          </w:p>
        </w:tc>
        <w:tc>
          <w:tcPr>
            <w:tcW w:w="0" w:type="auto"/>
            <w:vAlign w:val="center"/>
            <w:hideMark/>
          </w:tcPr>
          <w:p w14:paraId="4AA1DA51" w14:textId="77777777" w:rsidR="00000000" w:rsidRDefault="00A173A8">
            <w:pPr>
              <w:spacing w:after="100"/>
              <w:rPr>
                <w:rFonts w:eastAsia="Times New Roman"/>
                <w:sz w:val="20"/>
                <w:szCs w:val="20"/>
              </w:rPr>
            </w:pPr>
          </w:p>
        </w:tc>
        <w:tc>
          <w:tcPr>
            <w:tcW w:w="0" w:type="auto"/>
            <w:vAlign w:val="center"/>
            <w:hideMark/>
          </w:tcPr>
          <w:p w14:paraId="3E412959" w14:textId="77777777" w:rsidR="00000000" w:rsidRDefault="00A173A8">
            <w:pPr>
              <w:spacing w:after="100"/>
              <w:rPr>
                <w:rFonts w:eastAsia="Times New Roman"/>
                <w:sz w:val="20"/>
                <w:szCs w:val="20"/>
              </w:rPr>
            </w:pPr>
          </w:p>
        </w:tc>
        <w:tc>
          <w:tcPr>
            <w:tcW w:w="0" w:type="auto"/>
            <w:vAlign w:val="center"/>
            <w:hideMark/>
          </w:tcPr>
          <w:p w14:paraId="64DBFF97" w14:textId="77777777" w:rsidR="00000000" w:rsidRDefault="00A173A8">
            <w:pPr>
              <w:spacing w:after="100"/>
              <w:rPr>
                <w:rFonts w:eastAsia="Times New Roman"/>
                <w:sz w:val="20"/>
                <w:szCs w:val="20"/>
              </w:rPr>
            </w:pPr>
          </w:p>
        </w:tc>
        <w:tc>
          <w:tcPr>
            <w:tcW w:w="0" w:type="auto"/>
            <w:vAlign w:val="center"/>
            <w:hideMark/>
          </w:tcPr>
          <w:p w14:paraId="66E92FE6" w14:textId="77777777" w:rsidR="00000000" w:rsidRDefault="00A173A8">
            <w:pPr>
              <w:spacing w:after="100"/>
              <w:rPr>
                <w:rFonts w:eastAsia="Times New Roman"/>
                <w:sz w:val="20"/>
                <w:szCs w:val="20"/>
              </w:rPr>
            </w:pPr>
          </w:p>
        </w:tc>
        <w:tc>
          <w:tcPr>
            <w:tcW w:w="0" w:type="auto"/>
            <w:vAlign w:val="center"/>
            <w:hideMark/>
          </w:tcPr>
          <w:p w14:paraId="1ADF87EA" w14:textId="77777777" w:rsidR="00000000" w:rsidRDefault="00A173A8">
            <w:pPr>
              <w:spacing w:after="100"/>
              <w:rPr>
                <w:rFonts w:eastAsia="Times New Roman"/>
                <w:sz w:val="20"/>
                <w:szCs w:val="20"/>
              </w:rPr>
            </w:pPr>
          </w:p>
        </w:tc>
        <w:tc>
          <w:tcPr>
            <w:tcW w:w="0" w:type="auto"/>
            <w:vAlign w:val="center"/>
            <w:hideMark/>
          </w:tcPr>
          <w:p w14:paraId="0C6DCB11" w14:textId="77777777" w:rsidR="00000000" w:rsidRDefault="00A173A8">
            <w:pPr>
              <w:spacing w:after="100"/>
              <w:rPr>
                <w:rFonts w:eastAsia="Times New Roman"/>
                <w:sz w:val="20"/>
                <w:szCs w:val="20"/>
              </w:rPr>
            </w:pPr>
          </w:p>
        </w:tc>
        <w:tc>
          <w:tcPr>
            <w:tcW w:w="0" w:type="auto"/>
            <w:vAlign w:val="center"/>
            <w:hideMark/>
          </w:tcPr>
          <w:p w14:paraId="6B140159" w14:textId="77777777" w:rsidR="00000000" w:rsidRDefault="00A173A8">
            <w:pPr>
              <w:spacing w:after="100"/>
              <w:rPr>
                <w:rFonts w:eastAsia="Times New Roman"/>
                <w:sz w:val="20"/>
                <w:szCs w:val="20"/>
              </w:rPr>
            </w:pPr>
          </w:p>
        </w:tc>
        <w:tc>
          <w:tcPr>
            <w:tcW w:w="0" w:type="auto"/>
            <w:vAlign w:val="center"/>
            <w:hideMark/>
          </w:tcPr>
          <w:p w14:paraId="798499AE" w14:textId="77777777" w:rsidR="00000000" w:rsidRDefault="00A173A8">
            <w:pPr>
              <w:spacing w:after="100"/>
              <w:rPr>
                <w:rFonts w:eastAsia="Times New Roman"/>
                <w:sz w:val="20"/>
                <w:szCs w:val="20"/>
              </w:rPr>
            </w:pPr>
          </w:p>
        </w:tc>
        <w:tc>
          <w:tcPr>
            <w:tcW w:w="0" w:type="auto"/>
            <w:vAlign w:val="center"/>
            <w:hideMark/>
          </w:tcPr>
          <w:p w14:paraId="6F08AD35" w14:textId="77777777" w:rsidR="00000000" w:rsidRDefault="00A173A8">
            <w:pPr>
              <w:spacing w:after="100"/>
              <w:rPr>
                <w:rFonts w:eastAsia="Times New Roman"/>
                <w:sz w:val="20"/>
                <w:szCs w:val="20"/>
              </w:rPr>
            </w:pPr>
          </w:p>
        </w:tc>
        <w:tc>
          <w:tcPr>
            <w:tcW w:w="0" w:type="auto"/>
            <w:vAlign w:val="center"/>
            <w:hideMark/>
          </w:tcPr>
          <w:p w14:paraId="3AE9B3FA" w14:textId="77777777" w:rsidR="00000000" w:rsidRDefault="00A173A8">
            <w:pPr>
              <w:spacing w:after="100"/>
              <w:rPr>
                <w:rFonts w:eastAsia="Times New Roman"/>
                <w:sz w:val="20"/>
                <w:szCs w:val="20"/>
              </w:rPr>
            </w:pPr>
          </w:p>
        </w:tc>
        <w:tc>
          <w:tcPr>
            <w:tcW w:w="0" w:type="auto"/>
            <w:vAlign w:val="center"/>
            <w:hideMark/>
          </w:tcPr>
          <w:p w14:paraId="32AA630D" w14:textId="77777777" w:rsidR="00000000" w:rsidRDefault="00A173A8">
            <w:pPr>
              <w:spacing w:after="100"/>
              <w:rPr>
                <w:rFonts w:eastAsia="Times New Roman"/>
                <w:sz w:val="20"/>
                <w:szCs w:val="20"/>
              </w:rPr>
            </w:pPr>
          </w:p>
        </w:tc>
        <w:tc>
          <w:tcPr>
            <w:tcW w:w="0" w:type="auto"/>
            <w:vAlign w:val="center"/>
            <w:hideMark/>
          </w:tcPr>
          <w:p w14:paraId="4DA6AC69" w14:textId="77777777" w:rsidR="00000000" w:rsidRDefault="00A173A8">
            <w:pPr>
              <w:spacing w:after="100"/>
              <w:rPr>
                <w:rFonts w:eastAsia="Times New Roman"/>
                <w:sz w:val="20"/>
                <w:szCs w:val="20"/>
              </w:rPr>
            </w:pPr>
          </w:p>
        </w:tc>
        <w:tc>
          <w:tcPr>
            <w:tcW w:w="0" w:type="auto"/>
            <w:vAlign w:val="center"/>
            <w:hideMark/>
          </w:tcPr>
          <w:p w14:paraId="0E3104F3" w14:textId="77777777" w:rsidR="00000000" w:rsidRDefault="00A173A8">
            <w:pPr>
              <w:spacing w:after="100"/>
              <w:rPr>
                <w:rFonts w:eastAsia="Times New Roman"/>
                <w:sz w:val="20"/>
                <w:szCs w:val="20"/>
              </w:rPr>
            </w:pPr>
          </w:p>
        </w:tc>
        <w:tc>
          <w:tcPr>
            <w:tcW w:w="0" w:type="auto"/>
            <w:vAlign w:val="center"/>
            <w:hideMark/>
          </w:tcPr>
          <w:p w14:paraId="099798BA" w14:textId="77777777" w:rsidR="00000000" w:rsidRDefault="00A173A8">
            <w:pPr>
              <w:spacing w:after="100"/>
              <w:rPr>
                <w:rFonts w:eastAsia="Times New Roman"/>
                <w:sz w:val="20"/>
                <w:szCs w:val="20"/>
              </w:rPr>
            </w:pPr>
          </w:p>
        </w:tc>
        <w:tc>
          <w:tcPr>
            <w:tcW w:w="0" w:type="auto"/>
            <w:vAlign w:val="center"/>
            <w:hideMark/>
          </w:tcPr>
          <w:p w14:paraId="17CABEC3" w14:textId="77777777" w:rsidR="00000000" w:rsidRDefault="00A173A8">
            <w:pPr>
              <w:spacing w:after="100"/>
              <w:rPr>
                <w:rFonts w:eastAsia="Times New Roman"/>
                <w:sz w:val="20"/>
                <w:szCs w:val="20"/>
              </w:rPr>
            </w:pPr>
          </w:p>
        </w:tc>
        <w:tc>
          <w:tcPr>
            <w:tcW w:w="0" w:type="auto"/>
            <w:vAlign w:val="center"/>
            <w:hideMark/>
          </w:tcPr>
          <w:p w14:paraId="5804F23D" w14:textId="77777777" w:rsidR="00000000" w:rsidRDefault="00A173A8">
            <w:pPr>
              <w:spacing w:after="100"/>
              <w:rPr>
                <w:rFonts w:eastAsia="Times New Roman"/>
                <w:sz w:val="20"/>
                <w:szCs w:val="20"/>
              </w:rPr>
            </w:pPr>
          </w:p>
        </w:tc>
        <w:tc>
          <w:tcPr>
            <w:tcW w:w="0" w:type="auto"/>
            <w:vAlign w:val="center"/>
            <w:hideMark/>
          </w:tcPr>
          <w:p w14:paraId="50CDFF3A" w14:textId="77777777" w:rsidR="00000000" w:rsidRDefault="00A173A8">
            <w:pPr>
              <w:spacing w:after="100"/>
              <w:rPr>
                <w:rFonts w:eastAsia="Times New Roman"/>
                <w:sz w:val="20"/>
                <w:szCs w:val="20"/>
              </w:rPr>
            </w:pPr>
          </w:p>
        </w:tc>
        <w:tc>
          <w:tcPr>
            <w:tcW w:w="0" w:type="auto"/>
            <w:vAlign w:val="center"/>
            <w:hideMark/>
          </w:tcPr>
          <w:p w14:paraId="09C53196" w14:textId="77777777" w:rsidR="00000000" w:rsidRDefault="00A173A8">
            <w:pPr>
              <w:spacing w:after="100"/>
              <w:rPr>
                <w:rFonts w:eastAsia="Times New Roman"/>
                <w:sz w:val="20"/>
                <w:szCs w:val="20"/>
              </w:rPr>
            </w:pPr>
          </w:p>
        </w:tc>
        <w:tc>
          <w:tcPr>
            <w:tcW w:w="0" w:type="auto"/>
            <w:vAlign w:val="center"/>
            <w:hideMark/>
          </w:tcPr>
          <w:p w14:paraId="6D0BEEFA" w14:textId="77777777" w:rsidR="00000000" w:rsidRDefault="00A173A8">
            <w:pPr>
              <w:spacing w:after="100"/>
              <w:rPr>
                <w:rFonts w:eastAsia="Times New Roman"/>
                <w:sz w:val="20"/>
                <w:szCs w:val="20"/>
              </w:rPr>
            </w:pPr>
          </w:p>
        </w:tc>
        <w:tc>
          <w:tcPr>
            <w:tcW w:w="0" w:type="auto"/>
            <w:vAlign w:val="center"/>
            <w:hideMark/>
          </w:tcPr>
          <w:p w14:paraId="7DDBE274" w14:textId="77777777" w:rsidR="00000000" w:rsidRDefault="00A173A8">
            <w:pPr>
              <w:spacing w:after="100"/>
              <w:rPr>
                <w:rFonts w:eastAsia="Times New Roman"/>
                <w:sz w:val="20"/>
                <w:szCs w:val="20"/>
              </w:rPr>
            </w:pPr>
          </w:p>
        </w:tc>
        <w:tc>
          <w:tcPr>
            <w:tcW w:w="0" w:type="auto"/>
            <w:vAlign w:val="center"/>
            <w:hideMark/>
          </w:tcPr>
          <w:p w14:paraId="778B833C" w14:textId="77777777" w:rsidR="00000000" w:rsidRDefault="00A173A8">
            <w:pPr>
              <w:spacing w:after="100"/>
              <w:rPr>
                <w:rFonts w:eastAsia="Times New Roman"/>
                <w:sz w:val="20"/>
                <w:szCs w:val="20"/>
              </w:rPr>
            </w:pPr>
          </w:p>
        </w:tc>
        <w:tc>
          <w:tcPr>
            <w:tcW w:w="0" w:type="auto"/>
            <w:vAlign w:val="center"/>
            <w:hideMark/>
          </w:tcPr>
          <w:p w14:paraId="3E3681D1" w14:textId="77777777" w:rsidR="00000000" w:rsidRDefault="00A173A8">
            <w:pPr>
              <w:spacing w:after="100"/>
              <w:rPr>
                <w:rFonts w:eastAsia="Times New Roman"/>
                <w:sz w:val="20"/>
                <w:szCs w:val="20"/>
              </w:rPr>
            </w:pPr>
          </w:p>
        </w:tc>
        <w:tc>
          <w:tcPr>
            <w:tcW w:w="0" w:type="auto"/>
            <w:vAlign w:val="center"/>
            <w:hideMark/>
          </w:tcPr>
          <w:p w14:paraId="4C1F13DB" w14:textId="77777777" w:rsidR="00000000" w:rsidRDefault="00A173A8">
            <w:pPr>
              <w:spacing w:after="100"/>
              <w:rPr>
                <w:rFonts w:eastAsia="Times New Roman"/>
                <w:sz w:val="20"/>
                <w:szCs w:val="20"/>
              </w:rPr>
            </w:pPr>
          </w:p>
        </w:tc>
        <w:tc>
          <w:tcPr>
            <w:tcW w:w="0" w:type="auto"/>
            <w:vAlign w:val="center"/>
            <w:hideMark/>
          </w:tcPr>
          <w:p w14:paraId="5F4985BC" w14:textId="77777777" w:rsidR="00000000" w:rsidRDefault="00A173A8">
            <w:pPr>
              <w:spacing w:after="100"/>
              <w:rPr>
                <w:rFonts w:eastAsia="Times New Roman"/>
                <w:sz w:val="20"/>
                <w:szCs w:val="20"/>
              </w:rPr>
            </w:pPr>
          </w:p>
        </w:tc>
        <w:tc>
          <w:tcPr>
            <w:tcW w:w="0" w:type="auto"/>
            <w:vAlign w:val="center"/>
            <w:hideMark/>
          </w:tcPr>
          <w:p w14:paraId="229C5A96" w14:textId="77777777" w:rsidR="00000000" w:rsidRDefault="00A173A8">
            <w:pPr>
              <w:spacing w:after="100"/>
              <w:rPr>
                <w:rFonts w:eastAsia="Times New Roman"/>
                <w:sz w:val="20"/>
                <w:szCs w:val="20"/>
              </w:rPr>
            </w:pPr>
          </w:p>
        </w:tc>
        <w:tc>
          <w:tcPr>
            <w:tcW w:w="0" w:type="auto"/>
            <w:vAlign w:val="center"/>
            <w:hideMark/>
          </w:tcPr>
          <w:p w14:paraId="634BE570" w14:textId="77777777" w:rsidR="00000000" w:rsidRDefault="00A173A8">
            <w:pPr>
              <w:spacing w:after="100"/>
              <w:rPr>
                <w:rFonts w:eastAsia="Times New Roman"/>
                <w:sz w:val="20"/>
                <w:szCs w:val="20"/>
              </w:rPr>
            </w:pPr>
          </w:p>
        </w:tc>
        <w:tc>
          <w:tcPr>
            <w:tcW w:w="0" w:type="auto"/>
            <w:vAlign w:val="center"/>
            <w:hideMark/>
          </w:tcPr>
          <w:p w14:paraId="71ADD552" w14:textId="77777777" w:rsidR="00000000" w:rsidRDefault="00A173A8">
            <w:pPr>
              <w:spacing w:after="100"/>
              <w:rPr>
                <w:rFonts w:eastAsia="Times New Roman"/>
                <w:sz w:val="20"/>
                <w:szCs w:val="20"/>
              </w:rPr>
            </w:pPr>
          </w:p>
        </w:tc>
        <w:tc>
          <w:tcPr>
            <w:tcW w:w="0" w:type="auto"/>
            <w:vAlign w:val="center"/>
            <w:hideMark/>
          </w:tcPr>
          <w:p w14:paraId="34DDB09D" w14:textId="77777777" w:rsidR="00000000" w:rsidRDefault="00A173A8">
            <w:pPr>
              <w:spacing w:after="100"/>
              <w:rPr>
                <w:rFonts w:eastAsia="Times New Roman"/>
                <w:sz w:val="20"/>
                <w:szCs w:val="20"/>
              </w:rPr>
            </w:pPr>
          </w:p>
        </w:tc>
      </w:tr>
      <w:tr w:rsidR="00000000" w14:paraId="120112E1" w14:textId="77777777">
        <w:trPr>
          <w:divId w:val="1616132076"/>
        </w:trPr>
        <w:tc>
          <w:tcPr>
            <w:tcW w:w="0" w:type="auto"/>
            <w:gridSpan w:val="3"/>
            <w:tcMar>
              <w:top w:w="0" w:type="dxa"/>
              <w:left w:w="20" w:type="dxa"/>
              <w:bottom w:w="0" w:type="dxa"/>
              <w:right w:w="20" w:type="dxa"/>
            </w:tcMar>
            <w:vAlign w:val="center"/>
            <w:hideMark/>
          </w:tcPr>
          <w:p w14:paraId="574619D8"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5A558D" w14:textId="77777777" w:rsidR="00000000" w:rsidRDefault="00A173A8">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1F90D326" w14:textId="77777777" w:rsidR="00000000" w:rsidRDefault="00A173A8">
            <w:pPr>
              <w:spacing w:after="100"/>
              <w:jc w:val="center"/>
              <w:rPr>
                <w:rFonts w:eastAsia="Times New Roman"/>
              </w:rPr>
            </w:pPr>
            <w:r>
              <w:rPr>
                <w:rFonts w:eastAsia="Times New Roman"/>
                <w:b/>
                <w:bCs/>
                <w:color w:val="000000"/>
                <w:sz w:val="13"/>
                <w:szCs w:val="13"/>
              </w:rPr>
              <w:t>Three Months Ended June 30, 2021</w:t>
            </w:r>
          </w:p>
        </w:tc>
      </w:tr>
      <w:tr w:rsidR="00000000" w14:paraId="0761F3A6" w14:textId="77777777">
        <w:trPr>
          <w:divId w:val="1616132076"/>
        </w:trPr>
        <w:tc>
          <w:tcPr>
            <w:tcW w:w="0" w:type="auto"/>
            <w:gridSpan w:val="3"/>
            <w:tcMar>
              <w:top w:w="0" w:type="dxa"/>
              <w:left w:w="20" w:type="dxa"/>
              <w:bottom w:w="0" w:type="dxa"/>
              <w:right w:w="20" w:type="dxa"/>
            </w:tcMar>
            <w:vAlign w:val="center"/>
            <w:hideMark/>
          </w:tcPr>
          <w:p w14:paraId="4E3DEC72"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8A4BFC9" w14:textId="77777777" w:rsidR="00000000" w:rsidRDefault="00A173A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235E4ADA" w14:textId="77777777" w:rsidR="00000000" w:rsidRDefault="00A173A8">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736A55F3"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170336D" w14:textId="77777777" w:rsidR="00000000" w:rsidRDefault="00A173A8">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5871C905"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039984A"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940FB2"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2AFE13" w14:textId="77777777" w:rsidR="00000000" w:rsidRDefault="00A173A8">
            <w:pPr>
              <w:spacing w:after="100"/>
              <w:rPr>
                <w:rFonts w:eastAsia="Times New Roman"/>
                <w:sz w:val="20"/>
                <w:szCs w:val="20"/>
              </w:rPr>
            </w:pPr>
          </w:p>
        </w:tc>
      </w:tr>
      <w:tr w:rsidR="00000000" w14:paraId="7A8FBACA" w14:textId="77777777">
        <w:trPr>
          <w:divId w:val="1616132076"/>
        </w:trPr>
        <w:tc>
          <w:tcPr>
            <w:tcW w:w="0" w:type="auto"/>
            <w:gridSpan w:val="3"/>
            <w:tcBorders>
              <w:bottom w:val="single" w:sz="8" w:space="0" w:color="000000"/>
            </w:tcBorders>
            <w:tcMar>
              <w:top w:w="30" w:type="dxa"/>
              <w:left w:w="20" w:type="dxa"/>
              <w:bottom w:w="30" w:type="dxa"/>
              <w:right w:w="20" w:type="dxa"/>
            </w:tcMar>
            <w:vAlign w:val="bottom"/>
            <w:hideMark/>
          </w:tcPr>
          <w:p w14:paraId="53CCEB7D" w14:textId="77777777" w:rsidR="00000000" w:rsidRDefault="00A173A8">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7772FF7C"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1C03987" w14:textId="77777777" w:rsidR="00000000" w:rsidRDefault="00A173A8">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166B9EB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9B4FF44" w14:textId="77777777" w:rsidR="00000000" w:rsidRDefault="00A173A8">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6FB1A84B"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924839" w14:textId="77777777" w:rsidR="00000000" w:rsidRDefault="00A173A8">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3FE979A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AED491E" w14:textId="77777777" w:rsidR="00000000" w:rsidRDefault="00A173A8">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7C1B065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3CF6750" w14:textId="77777777" w:rsidR="00000000" w:rsidRDefault="00A173A8">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36BB3FF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8914FF4" w14:textId="77777777" w:rsidR="00000000" w:rsidRDefault="00A173A8">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09B51517"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2F6D7D8" w14:textId="77777777" w:rsidR="00000000" w:rsidRDefault="00A173A8">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52C32DB1"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4BCD04C" w14:textId="77777777" w:rsidR="00000000" w:rsidRDefault="00A173A8">
            <w:pPr>
              <w:spacing w:after="100"/>
              <w:jc w:val="center"/>
              <w:rPr>
                <w:rFonts w:eastAsia="Times New Roman"/>
              </w:rPr>
            </w:pPr>
            <w:r>
              <w:rPr>
                <w:rFonts w:eastAsia="Times New Roman"/>
                <w:b/>
                <w:bCs/>
                <w:color w:val="000000"/>
                <w:sz w:val="13"/>
                <w:szCs w:val="13"/>
              </w:rPr>
              <w:t>Total</w:t>
            </w:r>
          </w:p>
        </w:tc>
      </w:tr>
      <w:tr w:rsidR="00000000" w14:paraId="1634A771" w14:textId="77777777">
        <w:trPr>
          <w:divId w:val="161613207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FDC6A6" w14:textId="77777777" w:rsidR="00000000" w:rsidRDefault="00A173A8">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00BAC479"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0FF44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1C1D7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A34E5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0205C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A45B6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53CD3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F4C3C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07420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7C916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E3299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BF322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F34FF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4F9C1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24AED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556C9E" w14:textId="77777777" w:rsidR="00000000" w:rsidRDefault="00A173A8">
            <w:pPr>
              <w:spacing w:after="100"/>
              <w:rPr>
                <w:rFonts w:eastAsia="Times New Roman"/>
                <w:sz w:val="20"/>
                <w:szCs w:val="20"/>
              </w:rPr>
            </w:pPr>
          </w:p>
        </w:tc>
      </w:tr>
      <w:tr w:rsidR="00A173A8" w14:paraId="5E5A421F" w14:textId="77777777">
        <w:trPr>
          <w:divId w:val="1616132076"/>
        </w:trPr>
        <w:tc>
          <w:tcPr>
            <w:tcW w:w="0" w:type="auto"/>
            <w:gridSpan w:val="3"/>
            <w:shd w:val="clear" w:color="auto" w:fill="FFFFFF"/>
            <w:tcMar>
              <w:top w:w="30" w:type="dxa"/>
              <w:left w:w="20" w:type="dxa"/>
              <w:bottom w:w="30" w:type="dxa"/>
              <w:right w:w="20" w:type="dxa"/>
            </w:tcMar>
            <w:vAlign w:val="bottom"/>
            <w:hideMark/>
          </w:tcPr>
          <w:p w14:paraId="7D085CCF" w14:textId="77777777" w:rsidR="00000000" w:rsidRDefault="00A173A8">
            <w:pPr>
              <w:spacing w:after="100"/>
              <w:rPr>
                <w:rFonts w:eastAsia="Times New Roman"/>
              </w:rPr>
            </w:pPr>
            <w:r>
              <w:rPr>
                <w:rFonts w:eastAsia="Times New Roman"/>
                <w:color w:val="000000"/>
                <w:sz w:val="16"/>
                <w:szCs w:val="16"/>
              </w:rPr>
              <w:t>Balance as of March 31, 2021</w:t>
            </w:r>
          </w:p>
        </w:tc>
        <w:tc>
          <w:tcPr>
            <w:tcW w:w="0" w:type="auto"/>
            <w:gridSpan w:val="3"/>
            <w:shd w:val="clear" w:color="auto" w:fill="FFFFFF"/>
            <w:tcMar>
              <w:top w:w="0" w:type="dxa"/>
              <w:left w:w="20" w:type="dxa"/>
              <w:bottom w:w="0" w:type="dxa"/>
              <w:right w:w="20" w:type="dxa"/>
            </w:tcMar>
            <w:vAlign w:val="center"/>
            <w:hideMark/>
          </w:tcPr>
          <w:p w14:paraId="44DD6B5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D6B78B6"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F02E058" w14:textId="77777777" w:rsidR="00000000" w:rsidRDefault="00A173A8">
            <w:pPr>
              <w:spacing w:after="100"/>
              <w:jc w:val="right"/>
              <w:rPr>
                <w:rFonts w:eastAsia="Times New Roman"/>
              </w:rPr>
            </w:pPr>
            <w:r>
              <w:rPr>
                <w:rFonts w:eastAsia="Times New Roman"/>
                <w:color w:val="000000"/>
                <w:sz w:val="16"/>
                <w:szCs w:val="16"/>
              </w:rPr>
              <w:t>9,572 </w:t>
            </w:r>
          </w:p>
        </w:tc>
        <w:tc>
          <w:tcPr>
            <w:tcW w:w="0" w:type="auto"/>
            <w:shd w:val="clear" w:color="auto" w:fill="FFFFFF"/>
            <w:tcMar>
              <w:top w:w="30" w:type="dxa"/>
              <w:left w:w="0" w:type="dxa"/>
              <w:bottom w:w="30" w:type="dxa"/>
              <w:right w:w="20" w:type="dxa"/>
            </w:tcMar>
            <w:vAlign w:val="center"/>
            <w:hideMark/>
          </w:tcPr>
          <w:p w14:paraId="4C655E1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8900B"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A1AEC74"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5EE2502" w14:textId="77777777" w:rsidR="00000000" w:rsidRDefault="00A173A8">
            <w:pPr>
              <w:spacing w:after="100"/>
              <w:jc w:val="right"/>
              <w:rPr>
                <w:rFonts w:eastAsia="Times New Roman"/>
              </w:rPr>
            </w:pPr>
            <w:r>
              <w:rPr>
                <w:rFonts w:eastAsia="Times New Roman"/>
                <w:color w:val="000000"/>
                <w:sz w:val="16"/>
                <w:szCs w:val="16"/>
              </w:rPr>
              <w:t>500 </w:t>
            </w:r>
          </w:p>
        </w:tc>
        <w:tc>
          <w:tcPr>
            <w:tcW w:w="0" w:type="auto"/>
            <w:shd w:val="clear" w:color="auto" w:fill="FFFFFF"/>
            <w:tcMar>
              <w:top w:w="30" w:type="dxa"/>
              <w:left w:w="0" w:type="dxa"/>
              <w:bottom w:w="30" w:type="dxa"/>
              <w:right w:w="20" w:type="dxa"/>
            </w:tcMar>
            <w:vAlign w:val="center"/>
            <w:hideMark/>
          </w:tcPr>
          <w:p w14:paraId="4C0EBC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54284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39B553C"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921C66D" w14:textId="77777777" w:rsidR="00000000" w:rsidRDefault="00A173A8">
            <w:pPr>
              <w:spacing w:after="100"/>
              <w:jc w:val="right"/>
              <w:rPr>
                <w:rFonts w:eastAsia="Times New Roman"/>
              </w:rPr>
            </w:pPr>
            <w:r>
              <w:rPr>
                <w:rFonts w:eastAsia="Times New Roman"/>
                <w:color w:val="000000"/>
                <w:sz w:val="16"/>
                <w:szCs w:val="16"/>
              </w:rPr>
              <w:t>10,072 </w:t>
            </w:r>
          </w:p>
        </w:tc>
        <w:tc>
          <w:tcPr>
            <w:tcW w:w="0" w:type="auto"/>
            <w:shd w:val="clear" w:color="auto" w:fill="FFFFFF"/>
            <w:tcMar>
              <w:top w:w="30" w:type="dxa"/>
              <w:left w:w="0" w:type="dxa"/>
              <w:bottom w:w="30" w:type="dxa"/>
              <w:right w:w="20" w:type="dxa"/>
            </w:tcMar>
            <w:vAlign w:val="center"/>
            <w:hideMark/>
          </w:tcPr>
          <w:p w14:paraId="0FC5FF2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AD79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B8E3DFC"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AECBCDF" w14:textId="77777777" w:rsidR="00000000" w:rsidRDefault="00A173A8">
            <w:pPr>
              <w:spacing w:after="100"/>
              <w:jc w:val="right"/>
              <w:rPr>
                <w:rFonts w:eastAsia="Times New Roman"/>
              </w:rPr>
            </w:pPr>
            <w:r>
              <w:rPr>
                <w:rFonts w:eastAsia="Times New Roman"/>
                <w:color w:val="000000"/>
                <w:sz w:val="16"/>
                <w:szCs w:val="16"/>
              </w:rPr>
              <w:t>2,405 </w:t>
            </w:r>
          </w:p>
        </w:tc>
        <w:tc>
          <w:tcPr>
            <w:tcW w:w="0" w:type="auto"/>
            <w:shd w:val="clear" w:color="auto" w:fill="FFFFFF"/>
            <w:tcMar>
              <w:top w:w="30" w:type="dxa"/>
              <w:left w:w="0" w:type="dxa"/>
              <w:bottom w:w="30" w:type="dxa"/>
              <w:right w:w="20" w:type="dxa"/>
            </w:tcMar>
            <w:vAlign w:val="center"/>
            <w:hideMark/>
          </w:tcPr>
          <w:p w14:paraId="271686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1DF7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C87A9C7"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B8942A8" w14:textId="77777777" w:rsidR="00000000" w:rsidRDefault="00A173A8">
            <w:pPr>
              <w:spacing w:after="100"/>
              <w:jc w:val="right"/>
              <w:rPr>
                <w:rFonts w:eastAsia="Times New Roman"/>
              </w:rPr>
            </w:pPr>
            <w:r>
              <w:rPr>
                <w:rFonts w:eastAsia="Times New Roman"/>
                <w:color w:val="000000"/>
                <w:sz w:val="16"/>
                <w:szCs w:val="16"/>
              </w:rPr>
              <w:t>93 </w:t>
            </w:r>
          </w:p>
        </w:tc>
        <w:tc>
          <w:tcPr>
            <w:tcW w:w="0" w:type="auto"/>
            <w:shd w:val="clear" w:color="auto" w:fill="FFFFFF"/>
            <w:tcMar>
              <w:top w:w="30" w:type="dxa"/>
              <w:left w:w="0" w:type="dxa"/>
              <w:bottom w:w="30" w:type="dxa"/>
              <w:right w:w="20" w:type="dxa"/>
            </w:tcMar>
            <w:vAlign w:val="center"/>
            <w:hideMark/>
          </w:tcPr>
          <w:p w14:paraId="5BCF218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6846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051172B"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1F27A41" w14:textId="77777777" w:rsidR="00000000" w:rsidRDefault="00A173A8">
            <w:pPr>
              <w:spacing w:after="100"/>
              <w:jc w:val="right"/>
              <w:rPr>
                <w:rFonts w:eastAsia="Times New Roman"/>
              </w:rPr>
            </w:pPr>
            <w:r>
              <w:rPr>
                <w:rFonts w:eastAsia="Times New Roman"/>
                <w:color w:val="000000"/>
                <w:sz w:val="16"/>
                <w:szCs w:val="16"/>
              </w:rPr>
              <w:t>2,498 </w:t>
            </w:r>
          </w:p>
        </w:tc>
        <w:tc>
          <w:tcPr>
            <w:tcW w:w="0" w:type="auto"/>
            <w:shd w:val="clear" w:color="auto" w:fill="FFFFFF"/>
            <w:tcMar>
              <w:top w:w="30" w:type="dxa"/>
              <w:left w:w="0" w:type="dxa"/>
              <w:bottom w:w="30" w:type="dxa"/>
              <w:right w:w="20" w:type="dxa"/>
            </w:tcMar>
            <w:vAlign w:val="center"/>
            <w:hideMark/>
          </w:tcPr>
          <w:p w14:paraId="1E48DA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005207"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357D445"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B77537A" w14:textId="77777777" w:rsidR="00000000" w:rsidRDefault="00A173A8">
            <w:pPr>
              <w:spacing w:after="100"/>
              <w:jc w:val="right"/>
              <w:rPr>
                <w:rFonts w:eastAsia="Times New Roman"/>
              </w:rPr>
            </w:pPr>
            <w:r>
              <w:rPr>
                <w:rFonts w:eastAsia="Times New Roman"/>
                <w:color w:val="000000"/>
                <w:sz w:val="16"/>
                <w:szCs w:val="16"/>
              </w:rPr>
              <w:t>1,447 </w:t>
            </w:r>
          </w:p>
        </w:tc>
        <w:tc>
          <w:tcPr>
            <w:tcW w:w="0" w:type="auto"/>
            <w:shd w:val="clear" w:color="auto" w:fill="FFFFFF"/>
            <w:tcMar>
              <w:top w:w="30" w:type="dxa"/>
              <w:left w:w="0" w:type="dxa"/>
              <w:bottom w:w="30" w:type="dxa"/>
              <w:right w:w="20" w:type="dxa"/>
            </w:tcMar>
            <w:vAlign w:val="center"/>
            <w:hideMark/>
          </w:tcPr>
          <w:p w14:paraId="6BCA453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D226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DAE56EF"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449F687" w14:textId="77777777" w:rsidR="00000000" w:rsidRDefault="00A173A8">
            <w:pPr>
              <w:spacing w:after="100"/>
              <w:jc w:val="right"/>
              <w:rPr>
                <w:rFonts w:eastAsia="Times New Roman"/>
              </w:rPr>
            </w:pPr>
            <w:r>
              <w:rPr>
                <w:rFonts w:eastAsia="Times New Roman"/>
                <w:color w:val="000000"/>
                <w:sz w:val="16"/>
                <w:szCs w:val="16"/>
              </w:rPr>
              <w:t>14,017 </w:t>
            </w:r>
          </w:p>
        </w:tc>
        <w:tc>
          <w:tcPr>
            <w:tcW w:w="0" w:type="auto"/>
            <w:shd w:val="clear" w:color="auto" w:fill="FFFFFF"/>
            <w:tcMar>
              <w:top w:w="30" w:type="dxa"/>
              <w:left w:w="0" w:type="dxa"/>
              <w:bottom w:w="30" w:type="dxa"/>
              <w:right w:w="20" w:type="dxa"/>
            </w:tcMar>
            <w:vAlign w:val="center"/>
            <w:hideMark/>
          </w:tcPr>
          <w:p w14:paraId="24835B82" w14:textId="77777777" w:rsidR="00000000" w:rsidRDefault="00A173A8">
            <w:pPr>
              <w:spacing w:after="100"/>
              <w:jc w:val="right"/>
              <w:rPr>
                <w:rFonts w:eastAsia="Times New Roman"/>
              </w:rPr>
            </w:pPr>
          </w:p>
        </w:tc>
      </w:tr>
      <w:tr w:rsidR="00000000" w14:paraId="4CD50554" w14:textId="77777777">
        <w:trPr>
          <w:divId w:val="1616132076"/>
        </w:trPr>
        <w:tc>
          <w:tcPr>
            <w:tcW w:w="0" w:type="auto"/>
            <w:gridSpan w:val="3"/>
            <w:shd w:val="clear" w:color="auto" w:fill="CCEEFF"/>
            <w:tcMar>
              <w:top w:w="30" w:type="dxa"/>
              <w:left w:w="20" w:type="dxa"/>
              <w:bottom w:w="30" w:type="dxa"/>
              <w:right w:w="20" w:type="dxa"/>
            </w:tcMar>
            <w:vAlign w:val="bottom"/>
            <w:hideMark/>
          </w:tcPr>
          <w:p w14:paraId="47A78C6F" w14:textId="77777777" w:rsidR="00000000" w:rsidRDefault="00A173A8">
            <w:pPr>
              <w:spacing w:after="100"/>
              <w:divId w:val="1406950961"/>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01C34AC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C178C14" w14:textId="77777777" w:rsidR="00000000" w:rsidRDefault="00A173A8">
            <w:pPr>
              <w:spacing w:after="100"/>
              <w:jc w:val="right"/>
              <w:rPr>
                <w:rFonts w:eastAsia="Times New Roman"/>
              </w:rPr>
            </w:pPr>
            <w:r>
              <w:rPr>
                <w:rFonts w:eastAsia="Times New Roman"/>
                <w:color w:val="000000"/>
                <w:sz w:val="16"/>
                <w:szCs w:val="16"/>
              </w:rPr>
              <w:t>(874)</w:t>
            </w:r>
          </w:p>
        </w:tc>
        <w:tc>
          <w:tcPr>
            <w:tcW w:w="0" w:type="auto"/>
            <w:shd w:val="clear" w:color="auto" w:fill="CCEEFF"/>
            <w:tcMar>
              <w:top w:w="30" w:type="dxa"/>
              <w:left w:w="0" w:type="dxa"/>
              <w:bottom w:w="30" w:type="dxa"/>
              <w:right w:w="20" w:type="dxa"/>
            </w:tcMar>
            <w:vAlign w:val="center"/>
            <w:hideMark/>
          </w:tcPr>
          <w:p w14:paraId="6E65BD6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0C72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84103D" w14:textId="77777777" w:rsidR="00000000" w:rsidRDefault="00A173A8">
            <w:pPr>
              <w:spacing w:after="100"/>
              <w:jc w:val="right"/>
              <w:rPr>
                <w:rFonts w:eastAsia="Times New Roman"/>
              </w:rPr>
            </w:pPr>
            <w:r>
              <w:rPr>
                <w:rFonts w:eastAsia="Times New Roman"/>
                <w:color w:val="000000"/>
                <w:sz w:val="16"/>
                <w:szCs w:val="16"/>
              </w:rPr>
              <w:t>(93)</w:t>
            </w:r>
          </w:p>
        </w:tc>
        <w:tc>
          <w:tcPr>
            <w:tcW w:w="0" w:type="auto"/>
            <w:shd w:val="clear" w:color="auto" w:fill="CCEEFF"/>
            <w:tcMar>
              <w:top w:w="30" w:type="dxa"/>
              <w:left w:w="0" w:type="dxa"/>
              <w:bottom w:w="30" w:type="dxa"/>
              <w:right w:w="20" w:type="dxa"/>
            </w:tcMar>
            <w:vAlign w:val="center"/>
            <w:hideMark/>
          </w:tcPr>
          <w:p w14:paraId="296FA01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C96F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17BBE7" w14:textId="77777777" w:rsidR="00000000" w:rsidRDefault="00A173A8">
            <w:pPr>
              <w:spacing w:after="100"/>
              <w:jc w:val="right"/>
              <w:rPr>
                <w:rFonts w:eastAsia="Times New Roman"/>
              </w:rPr>
            </w:pPr>
            <w:r>
              <w:rPr>
                <w:rFonts w:eastAsia="Times New Roman"/>
                <w:color w:val="000000"/>
                <w:sz w:val="16"/>
                <w:szCs w:val="16"/>
              </w:rPr>
              <w:t>(967)</w:t>
            </w:r>
          </w:p>
        </w:tc>
        <w:tc>
          <w:tcPr>
            <w:tcW w:w="0" w:type="auto"/>
            <w:shd w:val="clear" w:color="auto" w:fill="CCEEFF"/>
            <w:tcMar>
              <w:top w:w="30" w:type="dxa"/>
              <w:left w:w="0" w:type="dxa"/>
              <w:bottom w:w="30" w:type="dxa"/>
              <w:right w:w="20" w:type="dxa"/>
            </w:tcMar>
            <w:vAlign w:val="center"/>
            <w:hideMark/>
          </w:tcPr>
          <w:p w14:paraId="6290354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9C78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47755A" w14:textId="77777777" w:rsidR="00000000" w:rsidRDefault="00A173A8">
            <w:pPr>
              <w:spacing w:after="100"/>
              <w:jc w:val="right"/>
              <w:rPr>
                <w:rFonts w:eastAsia="Times New Roman"/>
              </w:rPr>
            </w:pPr>
            <w:r>
              <w:rPr>
                <w:rFonts w:eastAsia="Times New Roman"/>
                <w:color w:val="000000"/>
                <w:sz w:val="16"/>
                <w:szCs w:val="16"/>
              </w:rPr>
              <w:t>(245)</w:t>
            </w:r>
          </w:p>
        </w:tc>
        <w:tc>
          <w:tcPr>
            <w:tcW w:w="0" w:type="auto"/>
            <w:shd w:val="clear" w:color="auto" w:fill="CCEEFF"/>
            <w:tcMar>
              <w:top w:w="30" w:type="dxa"/>
              <w:left w:w="0" w:type="dxa"/>
              <w:bottom w:w="30" w:type="dxa"/>
              <w:right w:w="20" w:type="dxa"/>
            </w:tcMar>
            <w:vAlign w:val="center"/>
            <w:hideMark/>
          </w:tcPr>
          <w:p w14:paraId="5C6E079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5018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B9105C" w14:textId="77777777" w:rsidR="00000000" w:rsidRDefault="00A173A8">
            <w:pPr>
              <w:spacing w:after="100"/>
              <w:jc w:val="right"/>
              <w:rPr>
                <w:rFonts w:eastAsia="Times New Roman"/>
              </w:rPr>
            </w:pPr>
            <w:r>
              <w:rPr>
                <w:rFonts w:eastAsia="Times New Roman"/>
                <w:color w:val="000000"/>
                <w:sz w:val="16"/>
                <w:szCs w:val="16"/>
              </w:rPr>
              <w:t>(15)</w:t>
            </w:r>
          </w:p>
        </w:tc>
        <w:tc>
          <w:tcPr>
            <w:tcW w:w="0" w:type="auto"/>
            <w:shd w:val="clear" w:color="auto" w:fill="CCEEFF"/>
            <w:tcMar>
              <w:top w:w="30" w:type="dxa"/>
              <w:left w:w="0" w:type="dxa"/>
              <w:bottom w:w="30" w:type="dxa"/>
              <w:right w:w="20" w:type="dxa"/>
            </w:tcMar>
            <w:vAlign w:val="center"/>
            <w:hideMark/>
          </w:tcPr>
          <w:p w14:paraId="48B54B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4A81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80A1DE" w14:textId="77777777" w:rsidR="00000000" w:rsidRDefault="00A173A8">
            <w:pPr>
              <w:spacing w:after="100"/>
              <w:jc w:val="right"/>
              <w:rPr>
                <w:rFonts w:eastAsia="Times New Roman"/>
              </w:rPr>
            </w:pPr>
            <w:r>
              <w:rPr>
                <w:rFonts w:eastAsia="Times New Roman"/>
                <w:color w:val="000000"/>
                <w:sz w:val="16"/>
                <w:szCs w:val="16"/>
              </w:rPr>
              <w:t>(260)</w:t>
            </w:r>
          </w:p>
        </w:tc>
        <w:tc>
          <w:tcPr>
            <w:tcW w:w="0" w:type="auto"/>
            <w:shd w:val="clear" w:color="auto" w:fill="CCEEFF"/>
            <w:tcMar>
              <w:top w:w="30" w:type="dxa"/>
              <w:left w:w="0" w:type="dxa"/>
              <w:bottom w:w="30" w:type="dxa"/>
              <w:right w:w="20" w:type="dxa"/>
            </w:tcMar>
            <w:vAlign w:val="center"/>
            <w:hideMark/>
          </w:tcPr>
          <w:p w14:paraId="46CE87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8FE3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7DB7E2" w14:textId="77777777" w:rsidR="00000000" w:rsidRDefault="00A173A8">
            <w:pPr>
              <w:spacing w:after="100"/>
              <w:jc w:val="right"/>
              <w:rPr>
                <w:rFonts w:eastAsia="Times New Roman"/>
              </w:rPr>
            </w:pPr>
            <w:r>
              <w:rPr>
                <w:rFonts w:eastAsia="Times New Roman"/>
                <w:color w:val="000000"/>
                <w:sz w:val="16"/>
                <w:szCs w:val="16"/>
              </w:rPr>
              <w:t>(8)</w:t>
            </w:r>
          </w:p>
        </w:tc>
        <w:tc>
          <w:tcPr>
            <w:tcW w:w="0" w:type="auto"/>
            <w:shd w:val="clear" w:color="auto" w:fill="CCEEFF"/>
            <w:tcMar>
              <w:top w:w="30" w:type="dxa"/>
              <w:left w:w="0" w:type="dxa"/>
              <w:bottom w:w="30" w:type="dxa"/>
              <w:right w:w="20" w:type="dxa"/>
            </w:tcMar>
            <w:vAlign w:val="center"/>
            <w:hideMark/>
          </w:tcPr>
          <w:p w14:paraId="3F04379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5513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991E51" w14:textId="77777777" w:rsidR="00000000" w:rsidRDefault="00A173A8">
            <w:pPr>
              <w:spacing w:after="100"/>
              <w:jc w:val="right"/>
              <w:rPr>
                <w:rFonts w:eastAsia="Times New Roman"/>
              </w:rPr>
            </w:pPr>
            <w:r>
              <w:rPr>
                <w:rFonts w:eastAsia="Times New Roman"/>
                <w:color w:val="000000"/>
                <w:sz w:val="16"/>
                <w:szCs w:val="16"/>
              </w:rPr>
              <w:t>(1,235)</w:t>
            </w:r>
          </w:p>
        </w:tc>
        <w:tc>
          <w:tcPr>
            <w:tcW w:w="0" w:type="auto"/>
            <w:shd w:val="clear" w:color="auto" w:fill="CCEEFF"/>
            <w:tcMar>
              <w:top w:w="30" w:type="dxa"/>
              <w:left w:w="0" w:type="dxa"/>
              <w:bottom w:w="30" w:type="dxa"/>
              <w:right w:w="20" w:type="dxa"/>
            </w:tcMar>
            <w:vAlign w:val="center"/>
            <w:hideMark/>
          </w:tcPr>
          <w:p w14:paraId="6E2CEEE0" w14:textId="77777777" w:rsidR="00000000" w:rsidRDefault="00A173A8">
            <w:pPr>
              <w:spacing w:after="100"/>
              <w:jc w:val="right"/>
              <w:rPr>
                <w:rFonts w:eastAsia="Times New Roman"/>
              </w:rPr>
            </w:pPr>
          </w:p>
        </w:tc>
      </w:tr>
      <w:tr w:rsidR="00000000" w14:paraId="11062433" w14:textId="77777777">
        <w:trPr>
          <w:divId w:val="1616132076"/>
        </w:trPr>
        <w:tc>
          <w:tcPr>
            <w:tcW w:w="0" w:type="auto"/>
            <w:gridSpan w:val="3"/>
            <w:shd w:val="clear" w:color="auto" w:fill="FFFFFF"/>
            <w:tcMar>
              <w:top w:w="30" w:type="dxa"/>
              <w:left w:w="20" w:type="dxa"/>
              <w:bottom w:w="30" w:type="dxa"/>
              <w:right w:w="20" w:type="dxa"/>
            </w:tcMar>
            <w:vAlign w:val="bottom"/>
            <w:hideMark/>
          </w:tcPr>
          <w:p w14:paraId="233A4E65" w14:textId="77777777" w:rsidR="00000000" w:rsidRDefault="00A173A8">
            <w:pPr>
              <w:spacing w:after="100"/>
              <w:divId w:val="300573315"/>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0EDE3B3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93054C" w14:textId="77777777" w:rsidR="00000000" w:rsidRDefault="00A173A8">
            <w:pPr>
              <w:spacing w:after="100"/>
              <w:jc w:val="right"/>
              <w:rPr>
                <w:rFonts w:eastAsia="Times New Roman"/>
              </w:rPr>
            </w:pPr>
            <w:r>
              <w:rPr>
                <w:rFonts w:eastAsia="Times New Roman"/>
                <w:color w:val="000000"/>
                <w:sz w:val="16"/>
                <w:szCs w:val="16"/>
              </w:rPr>
              <w:t>352 </w:t>
            </w:r>
          </w:p>
        </w:tc>
        <w:tc>
          <w:tcPr>
            <w:tcW w:w="0" w:type="auto"/>
            <w:shd w:val="clear" w:color="auto" w:fill="FFFFFF"/>
            <w:tcMar>
              <w:top w:w="30" w:type="dxa"/>
              <w:left w:w="0" w:type="dxa"/>
              <w:bottom w:w="30" w:type="dxa"/>
              <w:right w:w="20" w:type="dxa"/>
            </w:tcMar>
            <w:vAlign w:val="center"/>
            <w:hideMark/>
          </w:tcPr>
          <w:p w14:paraId="693F1DA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1A95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AA83B6" w14:textId="77777777" w:rsidR="00000000" w:rsidRDefault="00A173A8">
            <w:pPr>
              <w:spacing w:after="100"/>
              <w:jc w:val="right"/>
              <w:rPr>
                <w:rFonts w:eastAsia="Times New Roman"/>
              </w:rPr>
            </w:pPr>
            <w:r>
              <w:rPr>
                <w:rFonts w:eastAsia="Times New Roman"/>
                <w:color w:val="000000"/>
                <w:sz w:val="16"/>
                <w:szCs w:val="16"/>
              </w:rPr>
              <w:t>44 </w:t>
            </w:r>
          </w:p>
        </w:tc>
        <w:tc>
          <w:tcPr>
            <w:tcW w:w="0" w:type="auto"/>
            <w:shd w:val="clear" w:color="auto" w:fill="FFFFFF"/>
            <w:tcMar>
              <w:top w:w="30" w:type="dxa"/>
              <w:left w:w="0" w:type="dxa"/>
              <w:bottom w:w="30" w:type="dxa"/>
              <w:right w:w="20" w:type="dxa"/>
            </w:tcMar>
            <w:vAlign w:val="center"/>
            <w:hideMark/>
          </w:tcPr>
          <w:p w14:paraId="6E8BC8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2C7F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DE662A" w14:textId="77777777" w:rsidR="00000000" w:rsidRDefault="00A173A8">
            <w:pPr>
              <w:spacing w:after="100"/>
              <w:jc w:val="right"/>
              <w:rPr>
                <w:rFonts w:eastAsia="Times New Roman"/>
              </w:rPr>
            </w:pPr>
            <w:r>
              <w:rPr>
                <w:rFonts w:eastAsia="Times New Roman"/>
                <w:color w:val="000000"/>
                <w:sz w:val="16"/>
                <w:szCs w:val="16"/>
              </w:rPr>
              <w:t>396 </w:t>
            </w:r>
          </w:p>
        </w:tc>
        <w:tc>
          <w:tcPr>
            <w:tcW w:w="0" w:type="auto"/>
            <w:shd w:val="clear" w:color="auto" w:fill="FFFFFF"/>
            <w:tcMar>
              <w:top w:w="30" w:type="dxa"/>
              <w:left w:w="0" w:type="dxa"/>
              <w:bottom w:w="30" w:type="dxa"/>
              <w:right w:w="20" w:type="dxa"/>
            </w:tcMar>
            <w:vAlign w:val="center"/>
            <w:hideMark/>
          </w:tcPr>
          <w:p w14:paraId="6D0210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C33A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959D34" w14:textId="77777777" w:rsidR="00000000" w:rsidRDefault="00A173A8">
            <w:pPr>
              <w:spacing w:after="100"/>
              <w:jc w:val="right"/>
              <w:rPr>
                <w:rFonts w:eastAsia="Times New Roman"/>
              </w:rPr>
            </w:pPr>
            <w:r>
              <w:rPr>
                <w:rFonts w:eastAsia="Times New Roman"/>
                <w:color w:val="000000"/>
                <w:sz w:val="16"/>
                <w:szCs w:val="16"/>
              </w:rPr>
              <w:t>267 </w:t>
            </w:r>
          </w:p>
        </w:tc>
        <w:tc>
          <w:tcPr>
            <w:tcW w:w="0" w:type="auto"/>
            <w:shd w:val="clear" w:color="auto" w:fill="FFFFFF"/>
            <w:tcMar>
              <w:top w:w="30" w:type="dxa"/>
              <w:left w:w="0" w:type="dxa"/>
              <w:bottom w:w="30" w:type="dxa"/>
              <w:right w:w="20" w:type="dxa"/>
            </w:tcMar>
            <w:vAlign w:val="center"/>
            <w:hideMark/>
          </w:tcPr>
          <w:p w14:paraId="01BC951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0122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B565F9" w14:textId="77777777" w:rsidR="00000000" w:rsidRDefault="00A173A8">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center"/>
            <w:hideMark/>
          </w:tcPr>
          <w:p w14:paraId="3D15B8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63F8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9F659F" w14:textId="77777777" w:rsidR="00000000" w:rsidRDefault="00A173A8">
            <w:pPr>
              <w:spacing w:after="100"/>
              <w:jc w:val="right"/>
              <w:rPr>
                <w:rFonts w:eastAsia="Times New Roman"/>
              </w:rPr>
            </w:pPr>
            <w:r>
              <w:rPr>
                <w:rFonts w:eastAsia="Times New Roman"/>
                <w:color w:val="000000"/>
                <w:sz w:val="16"/>
                <w:szCs w:val="16"/>
              </w:rPr>
              <w:t>271 </w:t>
            </w:r>
          </w:p>
        </w:tc>
        <w:tc>
          <w:tcPr>
            <w:tcW w:w="0" w:type="auto"/>
            <w:shd w:val="clear" w:color="auto" w:fill="FFFFFF"/>
            <w:tcMar>
              <w:top w:w="30" w:type="dxa"/>
              <w:left w:w="0" w:type="dxa"/>
              <w:bottom w:w="30" w:type="dxa"/>
              <w:right w:w="20" w:type="dxa"/>
            </w:tcMar>
            <w:vAlign w:val="center"/>
            <w:hideMark/>
          </w:tcPr>
          <w:p w14:paraId="040A673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69CB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581737" w14:textId="77777777" w:rsidR="00000000" w:rsidRDefault="00A173A8">
            <w:pPr>
              <w:spacing w:after="100"/>
              <w:jc w:val="right"/>
              <w:rPr>
                <w:rFonts w:eastAsia="Times New Roman"/>
              </w:rPr>
            </w:pPr>
            <w:r>
              <w:rPr>
                <w:rFonts w:eastAsia="Times New Roman"/>
                <w:color w:val="000000"/>
                <w:sz w:val="16"/>
                <w:szCs w:val="16"/>
              </w:rPr>
              <w:t>27 </w:t>
            </w:r>
          </w:p>
        </w:tc>
        <w:tc>
          <w:tcPr>
            <w:tcW w:w="0" w:type="auto"/>
            <w:shd w:val="clear" w:color="auto" w:fill="FFFFFF"/>
            <w:tcMar>
              <w:top w:w="30" w:type="dxa"/>
              <w:left w:w="0" w:type="dxa"/>
              <w:bottom w:w="30" w:type="dxa"/>
              <w:right w:w="20" w:type="dxa"/>
            </w:tcMar>
            <w:vAlign w:val="center"/>
            <w:hideMark/>
          </w:tcPr>
          <w:p w14:paraId="307F6BE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5C3FD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0AAFD1" w14:textId="77777777" w:rsidR="00000000" w:rsidRDefault="00A173A8">
            <w:pPr>
              <w:spacing w:after="100"/>
              <w:jc w:val="right"/>
              <w:rPr>
                <w:rFonts w:eastAsia="Times New Roman"/>
              </w:rPr>
            </w:pPr>
            <w:r>
              <w:rPr>
                <w:rFonts w:eastAsia="Times New Roman"/>
                <w:color w:val="000000"/>
                <w:sz w:val="16"/>
                <w:szCs w:val="16"/>
              </w:rPr>
              <w:t>694 </w:t>
            </w:r>
          </w:p>
        </w:tc>
        <w:tc>
          <w:tcPr>
            <w:tcW w:w="0" w:type="auto"/>
            <w:shd w:val="clear" w:color="auto" w:fill="FFFFFF"/>
            <w:tcMar>
              <w:top w:w="30" w:type="dxa"/>
              <w:left w:w="0" w:type="dxa"/>
              <w:bottom w:w="30" w:type="dxa"/>
              <w:right w:w="20" w:type="dxa"/>
            </w:tcMar>
            <w:vAlign w:val="center"/>
            <w:hideMark/>
          </w:tcPr>
          <w:p w14:paraId="2607B70D" w14:textId="77777777" w:rsidR="00000000" w:rsidRDefault="00A173A8">
            <w:pPr>
              <w:spacing w:after="100"/>
              <w:jc w:val="right"/>
              <w:rPr>
                <w:rFonts w:eastAsia="Times New Roman"/>
              </w:rPr>
            </w:pPr>
          </w:p>
        </w:tc>
      </w:tr>
      <w:tr w:rsidR="00000000" w14:paraId="4206E776" w14:textId="77777777">
        <w:trPr>
          <w:divId w:val="1616132076"/>
        </w:trPr>
        <w:tc>
          <w:tcPr>
            <w:tcW w:w="0" w:type="auto"/>
            <w:gridSpan w:val="3"/>
            <w:shd w:val="clear" w:color="auto" w:fill="CCEEFF"/>
            <w:tcMar>
              <w:top w:w="30" w:type="dxa"/>
              <w:left w:w="20" w:type="dxa"/>
              <w:bottom w:w="30" w:type="dxa"/>
              <w:right w:w="20" w:type="dxa"/>
            </w:tcMar>
            <w:vAlign w:val="bottom"/>
            <w:hideMark/>
          </w:tcPr>
          <w:p w14:paraId="33A76E07" w14:textId="77777777" w:rsidR="00000000" w:rsidRDefault="00A173A8">
            <w:pPr>
              <w:spacing w:after="100"/>
              <w:rPr>
                <w:rFonts w:eastAsia="Times New Roman"/>
              </w:rPr>
            </w:pPr>
            <w:r>
              <w:rPr>
                <w:rFonts w:eastAsia="Times New Roman"/>
                <w:color w:val="000000"/>
                <w:sz w:val="16"/>
                <w:szCs w:val="16"/>
              </w:rPr>
              <w:t>Net recoveries (charge-offs)</w:t>
            </w:r>
          </w:p>
        </w:tc>
        <w:tc>
          <w:tcPr>
            <w:tcW w:w="0" w:type="auto"/>
            <w:gridSpan w:val="3"/>
            <w:shd w:val="clear" w:color="auto" w:fill="CCEEFF"/>
            <w:tcMar>
              <w:top w:w="0" w:type="dxa"/>
              <w:left w:w="20" w:type="dxa"/>
              <w:bottom w:w="0" w:type="dxa"/>
              <w:right w:w="20" w:type="dxa"/>
            </w:tcMar>
            <w:vAlign w:val="center"/>
            <w:hideMark/>
          </w:tcPr>
          <w:p w14:paraId="3934D08B"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3141B5" w14:textId="77777777" w:rsidR="00000000" w:rsidRDefault="00A173A8">
            <w:pPr>
              <w:spacing w:after="100"/>
              <w:jc w:val="right"/>
              <w:rPr>
                <w:rFonts w:eastAsia="Times New Roman"/>
              </w:rPr>
            </w:pPr>
            <w:r>
              <w:rPr>
                <w:rFonts w:eastAsia="Times New Roman"/>
                <w:color w:val="000000"/>
                <w:sz w:val="16"/>
                <w:szCs w:val="16"/>
              </w:rPr>
              <w:t>(522)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B2951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0E997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22BC67" w14:textId="77777777" w:rsidR="00000000" w:rsidRDefault="00A173A8">
            <w:pPr>
              <w:spacing w:after="100"/>
              <w:jc w:val="right"/>
              <w:rPr>
                <w:rFonts w:eastAsia="Times New Roman"/>
              </w:rPr>
            </w:pPr>
            <w:r>
              <w:rPr>
                <w:rFonts w:eastAsia="Times New Roman"/>
                <w:color w:val="000000"/>
                <w:sz w:val="16"/>
                <w:szCs w:val="16"/>
              </w:rPr>
              <w:t>(49)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A2A89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2A755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E50F5B" w14:textId="77777777" w:rsidR="00000000" w:rsidRDefault="00A173A8">
            <w:pPr>
              <w:spacing w:after="100"/>
              <w:jc w:val="right"/>
              <w:rPr>
                <w:rFonts w:eastAsia="Times New Roman"/>
              </w:rPr>
            </w:pPr>
            <w:r>
              <w:rPr>
                <w:rFonts w:eastAsia="Times New Roman"/>
                <w:color w:val="000000"/>
                <w:sz w:val="16"/>
                <w:szCs w:val="16"/>
              </w:rPr>
              <w:t>(571)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8AF41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C314F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608E057" w14:textId="77777777" w:rsidR="00000000" w:rsidRDefault="00A173A8">
            <w:pPr>
              <w:spacing w:after="100"/>
              <w:jc w:val="right"/>
              <w:rPr>
                <w:rFonts w:eastAsia="Times New Roman"/>
              </w:rPr>
            </w:pPr>
            <w:r>
              <w:rPr>
                <w:rFonts w:eastAsia="Times New Roman"/>
                <w:color w:val="000000"/>
                <w:sz w:val="16"/>
                <w:szCs w:val="16"/>
              </w:rPr>
              <w:t>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93268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39B00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D220197" w14:textId="77777777" w:rsidR="00000000" w:rsidRDefault="00A173A8">
            <w:pPr>
              <w:spacing w:after="100"/>
              <w:jc w:val="right"/>
              <w:rPr>
                <w:rFonts w:eastAsia="Times New Roman"/>
              </w:rPr>
            </w:pPr>
            <w:r>
              <w:rPr>
                <w:rFonts w:eastAsia="Times New Roman"/>
                <w:color w:val="000000"/>
                <w:sz w:val="16"/>
                <w:szCs w:val="16"/>
              </w:rPr>
              <w:t>(11)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A3AE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C805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3843BBD" w14:textId="77777777" w:rsidR="00000000" w:rsidRDefault="00A173A8">
            <w:pPr>
              <w:spacing w:after="100"/>
              <w:jc w:val="right"/>
              <w:rPr>
                <w:rFonts w:eastAsia="Times New Roman"/>
              </w:rPr>
            </w:pPr>
            <w:r>
              <w:rPr>
                <w:rFonts w:eastAsia="Times New Roman"/>
                <w:color w:val="000000"/>
                <w:sz w:val="16"/>
                <w:szCs w:val="16"/>
              </w:rPr>
              <w:t>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F462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8915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06C315D" w14:textId="77777777" w:rsidR="00000000" w:rsidRDefault="00A173A8">
            <w:pPr>
              <w:spacing w:after="100"/>
              <w:jc w:val="right"/>
              <w:rPr>
                <w:rFonts w:eastAsia="Times New Roman"/>
              </w:rPr>
            </w:pPr>
            <w:r>
              <w:rPr>
                <w:rFonts w:eastAsia="Times New Roman"/>
                <w:color w:val="000000"/>
                <w:sz w:val="16"/>
                <w:szCs w:val="16"/>
              </w:rPr>
              <w:t>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AE92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2E914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288F2D6" w14:textId="77777777" w:rsidR="00000000" w:rsidRDefault="00A173A8">
            <w:pPr>
              <w:spacing w:after="100"/>
              <w:jc w:val="right"/>
              <w:rPr>
                <w:rFonts w:eastAsia="Times New Roman"/>
              </w:rPr>
            </w:pPr>
            <w:r>
              <w:rPr>
                <w:rFonts w:eastAsia="Times New Roman"/>
                <w:color w:val="000000"/>
                <w:sz w:val="16"/>
                <w:szCs w:val="16"/>
              </w:rPr>
              <w:t>(541)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AD900F8" w14:textId="77777777" w:rsidR="00000000" w:rsidRDefault="00A173A8">
            <w:pPr>
              <w:spacing w:after="100"/>
              <w:jc w:val="right"/>
              <w:rPr>
                <w:rFonts w:eastAsia="Times New Roman"/>
              </w:rPr>
            </w:pPr>
          </w:p>
        </w:tc>
      </w:tr>
      <w:tr w:rsidR="00000000" w14:paraId="414CD033" w14:textId="77777777">
        <w:trPr>
          <w:divId w:val="1616132076"/>
        </w:trPr>
        <w:tc>
          <w:tcPr>
            <w:tcW w:w="0" w:type="auto"/>
            <w:gridSpan w:val="3"/>
            <w:shd w:val="clear" w:color="auto" w:fill="FFFFFF"/>
            <w:tcMar>
              <w:top w:w="30" w:type="dxa"/>
              <w:left w:w="20" w:type="dxa"/>
              <w:bottom w:w="30" w:type="dxa"/>
              <w:right w:w="20" w:type="dxa"/>
            </w:tcMar>
            <w:vAlign w:val="bottom"/>
            <w:hideMark/>
          </w:tcPr>
          <w:p w14:paraId="1DEA6AA4" w14:textId="77777777" w:rsidR="00000000" w:rsidRDefault="00A173A8">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4509E81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818FA38" w14:textId="77777777" w:rsidR="00000000" w:rsidRDefault="00A173A8">
            <w:pPr>
              <w:spacing w:after="100"/>
              <w:jc w:val="right"/>
              <w:rPr>
                <w:rFonts w:eastAsia="Times New Roman"/>
              </w:rPr>
            </w:pPr>
            <w:r>
              <w:rPr>
                <w:rFonts w:eastAsia="Times New Roman"/>
                <w:color w:val="000000"/>
                <w:sz w:val="16"/>
                <w:szCs w:val="16"/>
              </w:rPr>
              <w:t>(561)</w:t>
            </w:r>
          </w:p>
        </w:tc>
        <w:tc>
          <w:tcPr>
            <w:tcW w:w="0" w:type="auto"/>
            <w:shd w:val="clear" w:color="auto" w:fill="FFFFFF"/>
            <w:tcMar>
              <w:top w:w="30" w:type="dxa"/>
              <w:left w:w="0" w:type="dxa"/>
              <w:bottom w:w="30" w:type="dxa"/>
              <w:right w:w="20" w:type="dxa"/>
            </w:tcMar>
            <w:vAlign w:val="center"/>
            <w:hideMark/>
          </w:tcPr>
          <w:p w14:paraId="6143FD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4CCD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125FE5" w14:textId="77777777" w:rsidR="00000000" w:rsidRDefault="00A173A8">
            <w:pPr>
              <w:spacing w:after="100"/>
              <w:jc w:val="right"/>
              <w:rPr>
                <w:rFonts w:eastAsia="Times New Roman"/>
              </w:rPr>
            </w:pPr>
            <w:r>
              <w:rPr>
                <w:rFonts w:eastAsia="Times New Roman"/>
                <w:color w:val="000000"/>
                <w:sz w:val="16"/>
                <w:szCs w:val="16"/>
              </w:rPr>
              <w:t>(74)</w:t>
            </w:r>
          </w:p>
        </w:tc>
        <w:tc>
          <w:tcPr>
            <w:tcW w:w="0" w:type="auto"/>
            <w:shd w:val="clear" w:color="auto" w:fill="FFFFFF"/>
            <w:tcMar>
              <w:top w:w="30" w:type="dxa"/>
              <w:left w:w="0" w:type="dxa"/>
              <w:bottom w:w="30" w:type="dxa"/>
              <w:right w:w="20" w:type="dxa"/>
            </w:tcMar>
            <w:vAlign w:val="center"/>
            <w:hideMark/>
          </w:tcPr>
          <w:p w14:paraId="41F5923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7CA9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22A3B8" w14:textId="77777777" w:rsidR="00000000" w:rsidRDefault="00A173A8">
            <w:pPr>
              <w:spacing w:after="100"/>
              <w:jc w:val="right"/>
              <w:rPr>
                <w:rFonts w:eastAsia="Times New Roman"/>
              </w:rPr>
            </w:pPr>
            <w:r>
              <w:rPr>
                <w:rFonts w:eastAsia="Times New Roman"/>
                <w:color w:val="000000"/>
                <w:sz w:val="16"/>
                <w:szCs w:val="16"/>
              </w:rPr>
              <w:t>(635)</w:t>
            </w:r>
          </w:p>
        </w:tc>
        <w:tc>
          <w:tcPr>
            <w:tcW w:w="0" w:type="auto"/>
            <w:shd w:val="clear" w:color="auto" w:fill="FFFFFF"/>
            <w:tcMar>
              <w:top w:w="30" w:type="dxa"/>
              <w:left w:w="0" w:type="dxa"/>
              <w:bottom w:w="30" w:type="dxa"/>
              <w:right w:w="20" w:type="dxa"/>
            </w:tcMar>
            <w:vAlign w:val="center"/>
            <w:hideMark/>
          </w:tcPr>
          <w:p w14:paraId="18EFA68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47D5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D8FC1F" w14:textId="77777777" w:rsidR="00000000" w:rsidRDefault="00A173A8">
            <w:pPr>
              <w:spacing w:after="100"/>
              <w:jc w:val="right"/>
              <w:rPr>
                <w:rFonts w:eastAsia="Times New Roman"/>
              </w:rPr>
            </w:pPr>
            <w:r>
              <w:rPr>
                <w:rFonts w:eastAsia="Times New Roman"/>
                <w:color w:val="000000"/>
                <w:sz w:val="16"/>
                <w:szCs w:val="16"/>
              </w:rPr>
              <w:t>(305)</w:t>
            </w:r>
          </w:p>
        </w:tc>
        <w:tc>
          <w:tcPr>
            <w:tcW w:w="0" w:type="auto"/>
            <w:shd w:val="clear" w:color="auto" w:fill="FFFFFF"/>
            <w:tcMar>
              <w:top w:w="30" w:type="dxa"/>
              <w:left w:w="0" w:type="dxa"/>
              <w:bottom w:w="30" w:type="dxa"/>
              <w:right w:w="20" w:type="dxa"/>
            </w:tcMar>
            <w:vAlign w:val="center"/>
            <w:hideMark/>
          </w:tcPr>
          <w:p w14:paraId="254D0DB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4519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8AF076" w14:textId="77777777" w:rsidR="00000000" w:rsidRDefault="00A173A8">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center"/>
            <w:hideMark/>
          </w:tcPr>
          <w:p w14:paraId="1337BA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EF46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7D79CE" w14:textId="77777777" w:rsidR="00000000" w:rsidRDefault="00A173A8">
            <w:pPr>
              <w:spacing w:after="100"/>
              <w:jc w:val="right"/>
              <w:rPr>
                <w:rFonts w:eastAsia="Times New Roman"/>
              </w:rPr>
            </w:pPr>
            <w:r>
              <w:rPr>
                <w:rFonts w:eastAsia="Times New Roman"/>
                <w:color w:val="000000"/>
                <w:sz w:val="16"/>
                <w:szCs w:val="16"/>
              </w:rPr>
              <w:t>(306)</w:t>
            </w:r>
          </w:p>
        </w:tc>
        <w:tc>
          <w:tcPr>
            <w:tcW w:w="0" w:type="auto"/>
            <w:shd w:val="clear" w:color="auto" w:fill="FFFFFF"/>
            <w:tcMar>
              <w:top w:w="30" w:type="dxa"/>
              <w:left w:w="0" w:type="dxa"/>
              <w:bottom w:w="30" w:type="dxa"/>
              <w:right w:w="20" w:type="dxa"/>
            </w:tcMar>
            <w:vAlign w:val="center"/>
            <w:hideMark/>
          </w:tcPr>
          <w:p w14:paraId="39B6833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D3C0D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9A1AB3" w14:textId="77777777" w:rsidR="00000000" w:rsidRDefault="00A173A8">
            <w:pPr>
              <w:spacing w:after="100"/>
              <w:jc w:val="right"/>
              <w:rPr>
                <w:rFonts w:eastAsia="Times New Roman"/>
              </w:rPr>
            </w:pPr>
            <w:r>
              <w:rPr>
                <w:rFonts w:eastAsia="Times New Roman"/>
                <w:color w:val="000000"/>
                <w:sz w:val="16"/>
                <w:szCs w:val="16"/>
              </w:rPr>
              <w:t>(196)</w:t>
            </w:r>
          </w:p>
        </w:tc>
        <w:tc>
          <w:tcPr>
            <w:tcW w:w="0" w:type="auto"/>
            <w:shd w:val="clear" w:color="auto" w:fill="FFFFFF"/>
            <w:tcMar>
              <w:top w:w="30" w:type="dxa"/>
              <w:left w:w="0" w:type="dxa"/>
              <w:bottom w:w="30" w:type="dxa"/>
              <w:right w:w="20" w:type="dxa"/>
            </w:tcMar>
            <w:vAlign w:val="center"/>
            <w:hideMark/>
          </w:tcPr>
          <w:p w14:paraId="21FF250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3BB1B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1D9A37" w14:textId="77777777" w:rsidR="00000000" w:rsidRDefault="00A173A8">
            <w:pPr>
              <w:spacing w:after="100"/>
              <w:jc w:val="right"/>
              <w:rPr>
                <w:rFonts w:eastAsia="Times New Roman"/>
              </w:rPr>
            </w:pPr>
            <w:r>
              <w:rPr>
                <w:rFonts w:eastAsia="Times New Roman"/>
                <w:color w:val="000000"/>
                <w:sz w:val="16"/>
                <w:szCs w:val="16"/>
              </w:rPr>
              <w:t>(1,137)</w:t>
            </w:r>
          </w:p>
        </w:tc>
        <w:tc>
          <w:tcPr>
            <w:tcW w:w="0" w:type="auto"/>
            <w:shd w:val="clear" w:color="auto" w:fill="FFFFFF"/>
            <w:tcMar>
              <w:top w:w="30" w:type="dxa"/>
              <w:left w:w="0" w:type="dxa"/>
              <w:bottom w:w="30" w:type="dxa"/>
              <w:right w:w="20" w:type="dxa"/>
            </w:tcMar>
            <w:vAlign w:val="center"/>
            <w:hideMark/>
          </w:tcPr>
          <w:p w14:paraId="37B1F690" w14:textId="77777777" w:rsidR="00000000" w:rsidRDefault="00A173A8">
            <w:pPr>
              <w:spacing w:after="100"/>
              <w:jc w:val="right"/>
              <w:rPr>
                <w:rFonts w:eastAsia="Times New Roman"/>
              </w:rPr>
            </w:pPr>
          </w:p>
        </w:tc>
      </w:tr>
      <w:tr w:rsidR="00000000" w14:paraId="51F1DCF9" w14:textId="77777777">
        <w:trPr>
          <w:divId w:val="1616132076"/>
        </w:trPr>
        <w:tc>
          <w:tcPr>
            <w:tcW w:w="0" w:type="auto"/>
            <w:gridSpan w:val="3"/>
            <w:shd w:val="clear" w:color="auto" w:fill="CCEEFF"/>
            <w:tcMar>
              <w:top w:w="30" w:type="dxa"/>
              <w:left w:w="20" w:type="dxa"/>
              <w:bottom w:w="30" w:type="dxa"/>
              <w:right w:w="20" w:type="dxa"/>
            </w:tcMar>
            <w:vAlign w:val="center"/>
            <w:hideMark/>
          </w:tcPr>
          <w:p w14:paraId="3ADBFEDB" w14:textId="77777777" w:rsidR="00000000" w:rsidRDefault="00A173A8">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24CCF898"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6699B4F" w14:textId="77777777" w:rsidR="00000000" w:rsidRDefault="00A173A8">
            <w:pPr>
              <w:spacing w:after="100"/>
              <w:jc w:val="right"/>
              <w:rPr>
                <w:rFonts w:eastAsia="Times New Roman"/>
              </w:rPr>
            </w:pPr>
            <w:r>
              <w:rPr>
                <w:rFonts w:eastAsia="Times New Roman"/>
                <w:color w:val="000000"/>
                <w:sz w:val="16"/>
                <w:szCs w:val="16"/>
              </w:rPr>
              <w:t>(1,083)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78197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75B60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CD63066" w14:textId="77777777" w:rsidR="00000000" w:rsidRDefault="00A173A8">
            <w:pPr>
              <w:spacing w:after="100"/>
              <w:jc w:val="right"/>
              <w:rPr>
                <w:rFonts w:eastAsia="Times New Roman"/>
              </w:rPr>
            </w:pPr>
            <w:r>
              <w:rPr>
                <w:rFonts w:eastAsia="Times New Roman"/>
                <w:color w:val="000000"/>
                <w:sz w:val="16"/>
                <w:szCs w:val="16"/>
              </w:rPr>
              <w:t>(123)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0B6F7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F8A0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1F4D64" w14:textId="77777777" w:rsidR="00000000" w:rsidRDefault="00A173A8">
            <w:pPr>
              <w:spacing w:after="100"/>
              <w:jc w:val="right"/>
              <w:rPr>
                <w:rFonts w:eastAsia="Times New Roman"/>
              </w:rPr>
            </w:pPr>
            <w:r>
              <w:rPr>
                <w:rFonts w:eastAsia="Times New Roman"/>
                <w:color w:val="000000"/>
                <w:sz w:val="16"/>
                <w:szCs w:val="16"/>
              </w:rPr>
              <w:t>(1,206)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E8D22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3711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A78042" w14:textId="77777777" w:rsidR="00000000" w:rsidRDefault="00A173A8">
            <w:pPr>
              <w:spacing w:after="100"/>
              <w:jc w:val="right"/>
              <w:rPr>
                <w:rFonts w:eastAsia="Times New Roman"/>
              </w:rPr>
            </w:pPr>
            <w:r>
              <w:rPr>
                <w:rFonts w:eastAsia="Times New Roman"/>
                <w:color w:val="000000"/>
                <w:sz w:val="16"/>
                <w:szCs w:val="16"/>
              </w:rPr>
              <w:t>(283)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F067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1649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23BC813" w14:textId="77777777" w:rsidR="00000000" w:rsidRDefault="00A173A8">
            <w:pPr>
              <w:spacing w:after="100"/>
              <w:jc w:val="right"/>
              <w:rPr>
                <w:rFonts w:eastAsia="Times New Roman"/>
              </w:rPr>
            </w:pPr>
            <w:r>
              <w:rPr>
                <w:rFonts w:eastAsia="Times New Roman"/>
                <w:color w:val="000000"/>
                <w:sz w:val="16"/>
                <w:szCs w:val="16"/>
              </w:rPr>
              <w:t>(12)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7739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A75D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FB83E61" w14:textId="77777777" w:rsidR="00000000" w:rsidRDefault="00A173A8">
            <w:pPr>
              <w:spacing w:after="100"/>
              <w:jc w:val="right"/>
              <w:rPr>
                <w:rFonts w:eastAsia="Times New Roman"/>
              </w:rPr>
            </w:pPr>
            <w:r>
              <w:rPr>
                <w:rFonts w:eastAsia="Times New Roman"/>
                <w:color w:val="000000"/>
                <w:sz w:val="16"/>
                <w:szCs w:val="16"/>
              </w:rPr>
              <w:t>(295)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3DF7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56DC9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596425" w14:textId="77777777" w:rsidR="00000000" w:rsidRDefault="00A173A8">
            <w:pPr>
              <w:spacing w:after="100"/>
              <w:jc w:val="right"/>
              <w:rPr>
                <w:rFonts w:eastAsia="Times New Roman"/>
              </w:rPr>
            </w:pPr>
            <w:r>
              <w:rPr>
                <w:rFonts w:eastAsia="Times New Roman"/>
                <w:color w:val="000000"/>
                <w:sz w:val="16"/>
                <w:szCs w:val="16"/>
              </w:rPr>
              <w:t>(177)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963D0B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B885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DBAA630" w14:textId="77777777" w:rsidR="00000000" w:rsidRDefault="00A173A8">
            <w:pPr>
              <w:spacing w:after="100"/>
              <w:jc w:val="right"/>
              <w:rPr>
                <w:rFonts w:eastAsia="Times New Roman"/>
              </w:rPr>
            </w:pPr>
            <w:r>
              <w:rPr>
                <w:rFonts w:eastAsia="Times New Roman"/>
                <w:color w:val="000000"/>
                <w:sz w:val="16"/>
                <w:szCs w:val="16"/>
              </w:rPr>
              <w:t>(1,678)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862979" w14:textId="77777777" w:rsidR="00000000" w:rsidRDefault="00A173A8">
            <w:pPr>
              <w:spacing w:after="100"/>
              <w:jc w:val="right"/>
              <w:rPr>
                <w:rFonts w:eastAsia="Times New Roman"/>
              </w:rPr>
            </w:pPr>
          </w:p>
        </w:tc>
      </w:tr>
      <w:tr w:rsidR="00000000" w14:paraId="503F1105" w14:textId="77777777">
        <w:trPr>
          <w:divId w:val="1616132076"/>
        </w:trPr>
        <w:tc>
          <w:tcPr>
            <w:tcW w:w="0" w:type="auto"/>
            <w:gridSpan w:val="3"/>
            <w:shd w:val="clear" w:color="auto" w:fill="FFFFFF"/>
            <w:tcMar>
              <w:top w:w="30" w:type="dxa"/>
              <w:left w:w="20" w:type="dxa"/>
              <w:bottom w:w="30" w:type="dxa"/>
              <w:right w:w="20" w:type="dxa"/>
            </w:tcMar>
            <w:vAlign w:val="bottom"/>
            <w:hideMark/>
          </w:tcPr>
          <w:p w14:paraId="46B72A60" w14:textId="77777777" w:rsidR="00000000" w:rsidRDefault="00A173A8">
            <w:pPr>
              <w:spacing w:after="100"/>
              <w:divId w:val="1408651835"/>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7BE1909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76053F"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5B4018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A6D8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37DE2E" w14:textId="77777777" w:rsidR="00000000" w:rsidRDefault="00A173A8">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center"/>
            <w:hideMark/>
          </w:tcPr>
          <w:p w14:paraId="58536F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E0548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187EB0" w14:textId="77777777" w:rsidR="00000000" w:rsidRDefault="00A173A8">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center"/>
            <w:hideMark/>
          </w:tcPr>
          <w:p w14:paraId="66C0FB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F0EF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9EA5E7"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84F45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A084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5CB01D"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BDD08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E1A6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373151"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B6BB2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B4CCF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28AE99"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FBEEF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DA25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7A1568" w14:textId="77777777" w:rsidR="00000000" w:rsidRDefault="00A173A8">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center"/>
            <w:hideMark/>
          </w:tcPr>
          <w:p w14:paraId="0B943843" w14:textId="77777777" w:rsidR="00000000" w:rsidRDefault="00A173A8">
            <w:pPr>
              <w:spacing w:after="100"/>
              <w:jc w:val="right"/>
              <w:rPr>
                <w:rFonts w:eastAsia="Times New Roman"/>
              </w:rPr>
            </w:pPr>
          </w:p>
        </w:tc>
      </w:tr>
      <w:tr w:rsidR="00000000" w14:paraId="1C2C2036" w14:textId="77777777">
        <w:trPr>
          <w:divId w:val="1616132076"/>
        </w:trPr>
        <w:tc>
          <w:tcPr>
            <w:tcW w:w="0" w:type="auto"/>
            <w:gridSpan w:val="3"/>
            <w:shd w:val="clear" w:color="auto" w:fill="CCEEFF"/>
            <w:tcMar>
              <w:top w:w="30" w:type="dxa"/>
              <w:left w:w="20" w:type="dxa"/>
              <w:bottom w:w="30" w:type="dxa"/>
              <w:right w:w="20" w:type="dxa"/>
            </w:tcMar>
            <w:vAlign w:val="bottom"/>
            <w:hideMark/>
          </w:tcPr>
          <w:p w14:paraId="1E7CCCE0" w14:textId="77777777" w:rsidR="00000000" w:rsidRDefault="00A173A8">
            <w:pPr>
              <w:spacing w:after="100"/>
              <w:rPr>
                <w:rFonts w:eastAsia="Times New Roman"/>
              </w:rPr>
            </w:pPr>
            <w:r>
              <w:rPr>
                <w:rFonts w:eastAsia="Times New Roman"/>
                <w:color w:val="000000"/>
                <w:sz w:val="16"/>
                <w:szCs w:val="16"/>
              </w:rPr>
              <w:t>Balance as of June 30, 2021</w:t>
            </w:r>
          </w:p>
        </w:tc>
        <w:tc>
          <w:tcPr>
            <w:tcW w:w="0" w:type="auto"/>
            <w:gridSpan w:val="3"/>
            <w:shd w:val="clear" w:color="auto" w:fill="CCEEFF"/>
            <w:tcMar>
              <w:top w:w="0" w:type="dxa"/>
              <w:left w:w="20" w:type="dxa"/>
              <w:bottom w:w="0" w:type="dxa"/>
              <w:right w:w="20" w:type="dxa"/>
            </w:tcMar>
            <w:vAlign w:val="center"/>
            <w:hideMark/>
          </w:tcPr>
          <w:p w14:paraId="34CC81F8" w14:textId="77777777" w:rsidR="00000000" w:rsidRDefault="00A173A8">
            <w:pPr>
              <w:spacing w:after="100"/>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24A2E3B5" w14:textId="77777777" w:rsidR="00000000" w:rsidRDefault="00A173A8">
            <w:pPr>
              <w:spacing w:after="100"/>
              <w:jc w:val="right"/>
              <w:rPr>
                <w:rFonts w:eastAsia="Times New Roman"/>
              </w:rPr>
            </w:pPr>
            <w:r>
              <w:rPr>
                <w:rFonts w:eastAsia="Times New Roman"/>
                <w:color w:val="000000"/>
                <w:sz w:val="16"/>
                <w:szCs w:val="16"/>
              </w:rPr>
              <w:t>8,489 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18065DB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45E97B"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601AEFC5" w14:textId="77777777" w:rsidR="00000000" w:rsidRDefault="00A173A8">
            <w:pPr>
              <w:spacing w:after="100"/>
              <w:jc w:val="right"/>
              <w:rPr>
                <w:rFonts w:eastAsia="Times New Roman"/>
              </w:rPr>
            </w:pPr>
            <w:r>
              <w:rPr>
                <w:rFonts w:eastAsia="Times New Roman"/>
                <w:color w:val="000000"/>
                <w:sz w:val="16"/>
                <w:szCs w:val="16"/>
              </w:rPr>
              <w:t>384 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046D3B7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F61CD"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30A7F54D" w14:textId="77777777" w:rsidR="00000000" w:rsidRDefault="00A173A8">
            <w:pPr>
              <w:spacing w:after="100"/>
              <w:jc w:val="right"/>
              <w:rPr>
                <w:rFonts w:eastAsia="Times New Roman"/>
              </w:rPr>
            </w:pPr>
            <w:r>
              <w:rPr>
                <w:rFonts w:eastAsia="Times New Roman"/>
                <w:color w:val="000000"/>
                <w:sz w:val="16"/>
                <w:szCs w:val="16"/>
              </w:rPr>
              <w:t>8,873 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367A605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DD8FF"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670A72BF" w14:textId="77777777" w:rsidR="00000000" w:rsidRDefault="00A173A8">
            <w:pPr>
              <w:spacing w:after="100"/>
              <w:jc w:val="right"/>
              <w:rPr>
                <w:rFonts w:eastAsia="Times New Roman"/>
              </w:rPr>
            </w:pPr>
            <w:r>
              <w:rPr>
                <w:rFonts w:eastAsia="Times New Roman"/>
                <w:color w:val="000000"/>
                <w:sz w:val="16"/>
                <w:szCs w:val="16"/>
              </w:rPr>
              <w:t>2,122 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16E0E78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1DD25F"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0C1C5B2F" w14:textId="77777777" w:rsidR="00000000" w:rsidRDefault="00A173A8">
            <w:pPr>
              <w:spacing w:after="100"/>
              <w:jc w:val="right"/>
              <w:rPr>
                <w:rFonts w:eastAsia="Times New Roman"/>
              </w:rPr>
            </w:pPr>
            <w:r>
              <w:rPr>
                <w:rFonts w:eastAsia="Times New Roman"/>
                <w:color w:val="000000"/>
                <w:sz w:val="16"/>
                <w:szCs w:val="16"/>
              </w:rPr>
              <w:t>81 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36E2D74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6A1B15"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7C9DCF5D" w14:textId="77777777" w:rsidR="00000000" w:rsidRDefault="00A173A8">
            <w:pPr>
              <w:spacing w:after="100"/>
              <w:jc w:val="right"/>
              <w:rPr>
                <w:rFonts w:eastAsia="Times New Roman"/>
              </w:rPr>
            </w:pPr>
            <w:r>
              <w:rPr>
                <w:rFonts w:eastAsia="Times New Roman"/>
                <w:color w:val="000000"/>
                <w:sz w:val="16"/>
                <w:szCs w:val="16"/>
              </w:rPr>
              <w:t>2,203 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4D2921B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FF37EE"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0311861F" w14:textId="77777777" w:rsidR="00000000" w:rsidRDefault="00A173A8">
            <w:pPr>
              <w:spacing w:after="100"/>
              <w:jc w:val="right"/>
              <w:rPr>
                <w:rFonts w:eastAsia="Times New Roman"/>
              </w:rPr>
            </w:pPr>
            <w:r>
              <w:rPr>
                <w:rFonts w:eastAsia="Times New Roman"/>
                <w:color w:val="000000"/>
                <w:sz w:val="16"/>
                <w:szCs w:val="16"/>
              </w:rPr>
              <w:t>1,270 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525312E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07FD62"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4590798F" w14:textId="77777777" w:rsidR="00000000" w:rsidRDefault="00A173A8">
            <w:pPr>
              <w:spacing w:after="100"/>
              <w:jc w:val="right"/>
              <w:rPr>
                <w:rFonts w:eastAsia="Times New Roman"/>
              </w:rPr>
            </w:pPr>
            <w:r>
              <w:rPr>
                <w:rFonts w:eastAsia="Times New Roman"/>
                <w:color w:val="000000"/>
                <w:sz w:val="16"/>
                <w:szCs w:val="16"/>
              </w:rPr>
              <w:t>12,346 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52943E70" w14:textId="77777777" w:rsidR="00000000" w:rsidRDefault="00A173A8">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FB8668C" w14:textId="77777777">
        <w:trPr>
          <w:jc w:val="center"/>
        </w:trPr>
        <w:tc>
          <w:tcPr>
            <w:tcW w:w="50" w:type="pct"/>
            <w:vAlign w:val="center"/>
            <w:hideMark/>
          </w:tcPr>
          <w:p w14:paraId="63DC8311" w14:textId="77777777" w:rsidR="00000000" w:rsidRDefault="00A173A8">
            <w:pPr>
              <w:jc w:val="both"/>
              <w:rPr>
                <w:rFonts w:eastAsia="Times New Roman"/>
              </w:rPr>
            </w:pPr>
          </w:p>
        </w:tc>
        <w:tc>
          <w:tcPr>
            <w:tcW w:w="1606" w:type="pct"/>
            <w:vAlign w:val="center"/>
            <w:hideMark/>
          </w:tcPr>
          <w:p w14:paraId="1D9D2002" w14:textId="77777777" w:rsidR="00000000" w:rsidRDefault="00A173A8">
            <w:pPr>
              <w:spacing w:after="100"/>
              <w:rPr>
                <w:rFonts w:eastAsia="Times New Roman"/>
                <w:sz w:val="20"/>
                <w:szCs w:val="20"/>
              </w:rPr>
            </w:pPr>
          </w:p>
        </w:tc>
        <w:tc>
          <w:tcPr>
            <w:tcW w:w="5" w:type="pct"/>
            <w:vAlign w:val="center"/>
            <w:hideMark/>
          </w:tcPr>
          <w:p w14:paraId="2FE1B7BB" w14:textId="77777777" w:rsidR="00000000" w:rsidRDefault="00A173A8">
            <w:pPr>
              <w:spacing w:after="100"/>
              <w:rPr>
                <w:rFonts w:eastAsia="Times New Roman"/>
                <w:sz w:val="20"/>
                <w:szCs w:val="20"/>
              </w:rPr>
            </w:pPr>
          </w:p>
        </w:tc>
        <w:tc>
          <w:tcPr>
            <w:tcW w:w="50" w:type="pct"/>
            <w:vAlign w:val="center"/>
            <w:hideMark/>
          </w:tcPr>
          <w:p w14:paraId="015253F5" w14:textId="77777777" w:rsidR="00000000" w:rsidRDefault="00A173A8">
            <w:pPr>
              <w:spacing w:after="100"/>
              <w:rPr>
                <w:rFonts w:eastAsia="Times New Roman"/>
                <w:sz w:val="20"/>
                <w:szCs w:val="20"/>
              </w:rPr>
            </w:pPr>
          </w:p>
        </w:tc>
        <w:tc>
          <w:tcPr>
            <w:tcW w:w="1614" w:type="pct"/>
            <w:vAlign w:val="center"/>
            <w:hideMark/>
          </w:tcPr>
          <w:p w14:paraId="4E6B9B5F" w14:textId="77777777" w:rsidR="00000000" w:rsidRDefault="00A173A8">
            <w:pPr>
              <w:spacing w:after="100"/>
              <w:rPr>
                <w:rFonts w:eastAsia="Times New Roman"/>
                <w:sz w:val="20"/>
                <w:szCs w:val="20"/>
              </w:rPr>
            </w:pPr>
          </w:p>
        </w:tc>
        <w:tc>
          <w:tcPr>
            <w:tcW w:w="5" w:type="pct"/>
            <w:vAlign w:val="center"/>
            <w:hideMark/>
          </w:tcPr>
          <w:p w14:paraId="11345C4A" w14:textId="77777777" w:rsidR="00000000" w:rsidRDefault="00A173A8">
            <w:pPr>
              <w:spacing w:after="100"/>
              <w:rPr>
                <w:rFonts w:eastAsia="Times New Roman"/>
                <w:sz w:val="20"/>
                <w:szCs w:val="20"/>
              </w:rPr>
            </w:pPr>
          </w:p>
        </w:tc>
        <w:tc>
          <w:tcPr>
            <w:tcW w:w="50" w:type="pct"/>
            <w:vAlign w:val="center"/>
            <w:hideMark/>
          </w:tcPr>
          <w:p w14:paraId="20C53A7B" w14:textId="77777777" w:rsidR="00000000" w:rsidRDefault="00A173A8">
            <w:pPr>
              <w:spacing w:after="100"/>
              <w:rPr>
                <w:rFonts w:eastAsia="Times New Roman"/>
                <w:sz w:val="20"/>
                <w:szCs w:val="20"/>
              </w:rPr>
            </w:pPr>
          </w:p>
        </w:tc>
        <w:tc>
          <w:tcPr>
            <w:tcW w:w="1614" w:type="pct"/>
            <w:vAlign w:val="center"/>
            <w:hideMark/>
          </w:tcPr>
          <w:p w14:paraId="496151FB" w14:textId="77777777" w:rsidR="00000000" w:rsidRDefault="00A173A8">
            <w:pPr>
              <w:spacing w:after="100"/>
              <w:rPr>
                <w:rFonts w:eastAsia="Times New Roman"/>
                <w:sz w:val="20"/>
                <w:szCs w:val="20"/>
              </w:rPr>
            </w:pPr>
          </w:p>
        </w:tc>
        <w:tc>
          <w:tcPr>
            <w:tcW w:w="5" w:type="pct"/>
            <w:vAlign w:val="center"/>
            <w:hideMark/>
          </w:tcPr>
          <w:p w14:paraId="3592E718" w14:textId="77777777" w:rsidR="00000000" w:rsidRDefault="00A173A8">
            <w:pPr>
              <w:spacing w:after="100"/>
              <w:rPr>
                <w:rFonts w:eastAsia="Times New Roman"/>
                <w:sz w:val="20"/>
                <w:szCs w:val="20"/>
              </w:rPr>
            </w:pPr>
          </w:p>
        </w:tc>
      </w:tr>
      <w:tr w:rsidR="00000000" w14:paraId="645B3807" w14:textId="77777777">
        <w:trPr>
          <w:trHeight w:val="300"/>
          <w:jc w:val="center"/>
        </w:trPr>
        <w:tc>
          <w:tcPr>
            <w:tcW w:w="0" w:type="auto"/>
            <w:gridSpan w:val="9"/>
            <w:tcMar>
              <w:top w:w="0" w:type="dxa"/>
              <w:left w:w="20" w:type="dxa"/>
              <w:bottom w:w="0" w:type="dxa"/>
              <w:right w:w="20" w:type="dxa"/>
            </w:tcMar>
            <w:vAlign w:val="center"/>
            <w:hideMark/>
          </w:tcPr>
          <w:p w14:paraId="4042F91A" w14:textId="77777777" w:rsidR="00000000" w:rsidRDefault="00A173A8">
            <w:pPr>
              <w:spacing w:after="100"/>
              <w:rPr>
                <w:rFonts w:eastAsia="Times New Roman"/>
                <w:sz w:val="20"/>
                <w:szCs w:val="20"/>
              </w:rPr>
            </w:pPr>
          </w:p>
        </w:tc>
      </w:tr>
      <w:tr w:rsidR="00000000" w14:paraId="11DD6DE6" w14:textId="77777777">
        <w:trPr>
          <w:jc w:val="center"/>
        </w:trPr>
        <w:tc>
          <w:tcPr>
            <w:tcW w:w="0" w:type="auto"/>
            <w:gridSpan w:val="3"/>
            <w:tcMar>
              <w:top w:w="0" w:type="dxa"/>
              <w:left w:w="20" w:type="dxa"/>
              <w:bottom w:w="0" w:type="dxa"/>
              <w:right w:w="20" w:type="dxa"/>
            </w:tcMar>
            <w:vAlign w:val="center"/>
            <w:hideMark/>
          </w:tcPr>
          <w:p w14:paraId="1A815FBA"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422DB9" w14:textId="77777777" w:rsidR="00000000" w:rsidRDefault="00A173A8">
            <w:pPr>
              <w:spacing w:after="100"/>
              <w:jc w:val="center"/>
              <w:rPr>
                <w:rFonts w:eastAsia="Times New Roman"/>
              </w:rPr>
            </w:pPr>
            <w:r>
              <w:rPr>
                <w:rFonts w:eastAsia="Times New Roman"/>
                <w:color w:val="000000"/>
                <w:sz w:val="16"/>
                <w:szCs w:val="16"/>
              </w:rPr>
              <w:t>45</w:t>
            </w:r>
          </w:p>
        </w:tc>
        <w:tc>
          <w:tcPr>
            <w:tcW w:w="0" w:type="auto"/>
            <w:gridSpan w:val="3"/>
            <w:tcMar>
              <w:top w:w="30" w:type="dxa"/>
              <w:left w:w="20" w:type="dxa"/>
              <w:bottom w:w="30" w:type="dxa"/>
              <w:right w:w="20" w:type="dxa"/>
            </w:tcMar>
            <w:vAlign w:val="bottom"/>
            <w:hideMark/>
          </w:tcPr>
          <w:p w14:paraId="35E0F32A"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6CDC9A6" w14:textId="77777777" w:rsidR="00000000" w:rsidRDefault="00A173A8">
      <w:pPr>
        <w:rPr>
          <w:rFonts w:eastAsia="Times New Roman"/>
        </w:rPr>
      </w:pPr>
      <w:r>
        <w:rPr>
          <w:rFonts w:eastAsia="Times New Roman"/>
        </w:rPr>
        <w:pict w14:anchorId="29893A58">
          <v:rect id="_x0000_i1070" style="width:0;height:1.5pt" o:hralign="center" o:hrstd="t" o:hr="t" fillcolor="#a0a0a0" stroked="f"/>
        </w:pict>
      </w:r>
    </w:p>
    <w:p w14:paraId="4FBDCEE1" w14:textId="77777777" w:rsidR="00000000" w:rsidRDefault="00A173A8">
      <w:pPr>
        <w:ind w:hanging="360"/>
        <w:jc w:val="both"/>
        <w:divId w:val="884635575"/>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2298"/>
        <w:gridCol w:w="37"/>
        <w:gridCol w:w="36"/>
        <w:gridCol w:w="36"/>
        <w:gridCol w:w="36"/>
        <w:gridCol w:w="101"/>
        <w:gridCol w:w="458"/>
        <w:gridCol w:w="36"/>
        <w:gridCol w:w="36"/>
        <w:gridCol w:w="36"/>
        <w:gridCol w:w="36"/>
        <w:gridCol w:w="101"/>
        <w:gridCol w:w="674"/>
        <w:gridCol w:w="36"/>
        <w:gridCol w:w="36"/>
        <w:gridCol w:w="36"/>
        <w:gridCol w:w="36"/>
        <w:gridCol w:w="100"/>
        <w:gridCol w:w="400"/>
        <w:gridCol w:w="36"/>
        <w:gridCol w:w="36"/>
        <w:gridCol w:w="36"/>
        <w:gridCol w:w="36"/>
        <w:gridCol w:w="100"/>
        <w:gridCol w:w="400"/>
        <w:gridCol w:w="36"/>
        <w:gridCol w:w="36"/>
        <w:gridCol w:w="36"/>
        <w:gridCol w:w="36"/>
        <w:gridCol w:w="101"/>
        <w:gridCol w:w="423"/>
        <w:gridCol w:w="36"/>
        <w:gridCol w:w="36"/>
        <w:gridCol w:w="36"/>
        <w:gridCol w:w="36"/>
        <w:gridCol w:w="101"/>
        <w:gridCol w:w="518"/>
        <w:gridCol w:w="36"/>
        <w:gridCol w:w="36"/>
        <w:gridCol w:w="36"/>
        <w:gridCol w:w="36"/>
        <w:gridCol w:w="101"/>
        <w:gridCol w:w="623"/>
        <w:gridCol w:w="36"/>
        <w:gridCol w:w="36"/>
        <w:gridCol w:w="36"/>
        <w:gridCol w:w="36"/>
        <w:gridCol w:w="100"/>
        <w:gridCol w:w="480"/>
        <w:gridCol w:w="36"/>
      </w:tblGrid>
      <w:tr w:rsidR="00000000" w14:paraId="148D73BB" w14:textId="77777777">
        <w:trPr>
          <w:divId w:val="1380520592"/>
        </w:trPr>
        <w:tc>
          <w:tcPr>
            <w:tcW w:w="50" w:type="pct"/>
            <w:vAlign w:val="center"/>
            <w:hideMark/>
          </w:tcPr>
          <w:p w14:paraId="3FB66508" w14:textId="77777777" w:rsidR="00000000" w:rsidRDefault="00A173A8">
            <w:pPr>
              <w:ind w:hanging="360"/>
              <w:jc w:val="both"/>
              <w:rPr>
                <w:rFonts w:eastAsia="Times New Roman"/>
              </w:rPr>
            </w:pPr>
          </w:p>
        </w:tc>
        <w:tc>
          <w:tcPr>
            <w:tcW w:w="1896" w:type="pct"/>
            <w:vAlign w:val="center"/>
            <w:hideMark/>
          </w:tcPr>
          <w:p w14:paraId="534EAED5" w14:textId="77777777" w:rsidR="00000000" w:rsidRDefault="00A173A8">
            <w:pPr>
              <w:spacing w:after="100"/>
              <w:rPr>
                <w:rFonts w:eastAsia="Times New Roman"/>
                <w:sz w:val="20"/>
                <w:szCs w:val="20"/>
              </w:rPr>
            </w:pPr>
          </w:p>
        </w:tc>
        <w:tc>
          <w:tcPr>
            <w:tcW w:w="5" w:type="pct"/>
            <w:vAlign w:val="center"/>
            <w:hideMark/>
          </w:tcPr>
          <w:p w14:paraId="0C9613CC" w14:textId="77777777" w:rsidR="00000000" w:rsidRDefault="00A173A8">
            <w:pPr>
              <w:spacing w:after="100"/>
              <w:rPr>
                <w:rFonts w:eastAsia="Times New Roman"/>
                <w:sz w:val="20"/>
                <w:szCs w:val="20"/>
              </w:rPr>
            </w:pPr>
          </w:p>
        </w:tc>
        <w:tc>
          <w:tcPr>
            <w:tcW w:w="5" w:type="pct"/>
            <w:vAlign w:val="center"/>
            <w:hideMark/>
          </w:tcPr>
          <w:p w14:paraId="74823A98" w14:textId="77777777" w:rsidR="00000000" w:rsidRDefault="00A173A8">
            <w:pPr>
              <w:spacing w:after="100"/>
              <w:rPr>
                <w:rFonts w:eastAsia="Times New Roman"/>
                <w:sz w:val="20"/>
                <w:szCs w:val="20"/>
              </w:rPr>
            </w:pPr>
          </w:p>
        </w:tc>
        <w:tc>
          <w:tcPr>
            <w:tcW w:w="26" w:type="pct"/>
            <w:vAlign w:val="center"/>
            <w:hideMark/>
          </w:tcPr>
          <w:p w14:paraId="430ECFFB" w14:textId="77777777" w:rsidR="00000000" w:rsidRDefault="00A173A8">
            <w:pPr>
              <w:spacing w:after="100"/>
              <w:rPr>
                <w:rFonts w:eastAsia="Times New Roman"/>
                <w:sz w:val="20"/>
                <w:szCs w:val="20"/>
              </w:rPr>
            </w:pPr>
          </w:p>
        </w:tc>
        <w:tc>
          <w:tcPr>
            <w:tcW w:w="5" w:type="pct"/>
            <w:vAlign w:val="center"/>
            <w:hideMark/>
          </w:tcPr>
          <w:p w14:paraId="2A4DA647" w14:textId="77777777" w:rsidR="00000000" w:rsidRDefault="00A173A8">
            <w:pPr>
              <w:spacing w:after="100"/>
              <w:rPr>
                <w:rFonts w:eastAsia="Times New Roman"/>
                <w:sz w:val="20"/>
                <w:szCs w:val="20"/>
              </w:rPr>
            </w:pPr>
          </w:p>
        </w:tc>
        <w:tc>
          <w:tcPr>
            <w:tcW w:w="50" w:type="pct"/>
            <w:vAlign w:val="center"/>
            <w:hideMark/>
          </w:tcPr>
          <w:p w14:paraId="7FF0C050" w14:textId="77777777" w:rsidR="00000000" w:rsidRDefault="00A173A8">
            <w:pPr>
              <w:spacing w:after="100"/>
              <w:rPr>
                <w:rFonts w:eastAsia="Times New Roman"/>
                <w:sz w:val="20"/>
                <w:szCs w:val="20"/>
              </w:rPr>
            </w:pPr>
          </w:p>
        </w:tc>
        <w:tc>
          <w:tcPr>
            <w:tcW w:w="266" w:type="pct"/>
            <w:vAlign w:val="center"/>
            <w:hideMark/>
          </w:tcPr>
          <w:p w14:paraId="520ECB0D" w14:textId="77777777" w:rsidR="00000000" w:rsidRDefault="00A173A8">
            <w:pPr>
              <w:spacing w:after="100"/>
              <w:rPr>
                <w:rFonts w:eastAsia="Times New Roman"/>
                <w:sz w:val="20"/>
                <w:szCs w:val="20"/>
              </w:rPr>
            </w:pPr>
          </w:p>
        </w:tc>
        <w:tc>
          <w:tcPr>
            <w:tcW w:w="5" w:type="pct"/>
            <w:vAlign w:val="center"/>
            <w:hideMark/>
          </w:tcPr>
          <w:p w14:paraId="1C9093A8" w14:textId="77777777" w:rsidR="00000000" w:rsidRDefault="00A173A8">
            <w:pPr>
              <w:spacing w:after="100"/>
              <w:rPr>
                <w:rFonts w:eastAsia="Times New Roman"/>
                <w:sz w:val="20"/>
                <w:szCs w:val="20"/>
              </w:rPr>
            </w:pPr>
          </w:p>
        </w:tc>
        <w:tc>
          <w:tcPr>
            <w:tcW w:w="5" w:type="pct"/>
            <w:vAlign w:val="center"/>
            <w:hideMark/>
          </w:tcPr>
          <w:p w14:paraId="717D5704" w14:textId="77777777" w:rsidR="00000000" w:rsidRDefault="00A173A8">
            <w:pPr>
              <w:spacing w:after="100"/>
              <w:rPr>
                <w:rFonts w:eastAsia="Times New Roman"/>
                <w:sz w:val="20"/>
                <w:szCs w:val="20"/>
              </w:rPr>
            </w:pPr>
          </w:p>
        </w:tc>
        <w:tc>
          <w:tcPr>
            <w:tcW w:w="26" w:type="pct"/>
            <w:vAlign w:val="center"/>
            <w:hideMark/>
          </w:tcPr>
          <w:p w14:paraId="70801D20" w14:textId="77777777" w:rsidR="00000000" w:rsidRDefault="00A173A8">
            <w:pPr>
              <w:spacing w:after="100"/>
              <w:rPr>
                <w:rFonts w:eastAsia="Times New Roman"/>
                <w:sz w:val="20"/>
                <w:szCs w:val="20"/>
              </w:rPr>
            </w:pPr>
          </w:p>
        </w:tc>
        <w:tc>
          <w:tcPr>
            <w:tcW w:w="5" w:type="pct"/>
            <w:vAlign w:val="center"/>
            <w:hideMark/>
          </w:tcPr>
          <w:p w14:paraId="7DEA4B62" w14:textId="77777777" w:rsidR="00000000" w:rsidRDefault="00A173A8">
            <w:pPr>
              <w:spacing w:after="100"/>
              <w:rPr>
                <w:rFonts w:eastAsia="Times New Roman"/>
                <w:sz w:val="20"/>
                <w:szCs w:val="20"/>
              </w:rPr>
            </w:pPr>
          </w:p>
        </w:tc>
        <w:tc>
          <w:tcPr>
            <w:tcW w:w="50" w:type="pct"/>
            <w:vAlign w:val="center"/>
            <w:hideMark/>
          </w:tcPr>
          <w:p w14:paraId="205AEB0F" w14:textId="77777777" w:rsidR="00000000" w:rsidRDefault="00A173A8">
            <w:pPr>
              <w:spacing w:after="100"/>
              <w:rPr>
                <w:rFonts w:eastAsia="Times New Roman"/>
                <w:sz w:val="20"/>
                <w:szCs w:val="20"/>
              </w:rPr>
            </w:pPr>
          </w:p>
        </w:tc>
        <w:tc>
          <w:tcPr>
            <w:tcW w:w="361" w:type="pct"/>
            <w:vAlign w:val="center"/>
            <w:hideMark/>
          </w:tcPr>
          <w:p w14:paraId="5AF86D0C" w14:textId="77777777" w:rsidR="00000000" w:rsidRDefault="00A173A8">
            <w:pPr>
              <w:spacing w:after="100"/>
              <w:rPr>
                <w:rFonts w:eastAsia="Times New Roman"/>
                <w:sz w:val="20"/>
                <w:szCs w:val="20"/>
              </w:rPr>
            </w:pPr>
          </w:p>
        </w:tc>
        <w:tc>
          <w:tcPr>
            <w:tcW w:w="5" w:type="pct"/>
            <w:vAlign w:val="center"/>
            <w:hideMark/>
          </w:tcPr>
          <w:p w14:paraId="077C53F5" w14:textId="77777777" w:rsidR="00000000" w:rsidRDefault="00A173A8">
            <w:pPr>
              <w:spacing w:after="100"/>
              <w:rPr>
                <w:rFonts w:eastAsia="Times New Roman"/>
                <w:sz w:val="20"/>
                <w:szCs w:val="20"/>
              </w:rPr>
            </w:pPr>
          </w:p>
        </w:tc>
        <w:tc>
          <w:tcPr>
            <w:tcW w:w="5" w:type="pct"/>
            <w:vAlign w:val="center"/>
            <w:hideMark/>
          </w:tcPr>
          <w:p w14:paraId="47AD9560" w14:textId="77777777" w:rsidR="00000000" w:rsidRDefault="00A173A8">
            <w:pPr>
              <w:spacing w:after="100"/>
              <w:rPr>
                <w:rFonts w:eastAsia="Times New Roman"/>
                <w:sz w:val="20"/>
                <w:szCs w:val="20"/>
              </w:rPr>
            </w:pPr>
          </w:p>
        </w:tc>
        <w:tc>
          <w:tcPr>
            <w:tcW w:w="26" w:type="pct"/>
            <w:vAlign w:val="center"/>
            <w:hideMark/>
          </w:tcPr>
          <w:p w14:paraId="694866A1" w14:textId="77777777" w:rsidR="00000000" w:rsidRDefault="00A173A8">
            <w:pPr>
              <w:spacing w:after="100"/>
              <w:rPr>
                <w:rFonts w:eastAsia="Times New Roman"/>
                <w:sz w:val="20"/>
                <w:szCs w:val="20"/>
              </w:rPr>
            </w:pPr>
          </w:p>
        </w:tc>
        <w:tc>
          <w:tcPr>
            <w:tcW w:w="5" w:type="pct"/>
            <w:vAlign w:val="center"/>
            <w:hideMark/>
          </w:tcPr>
          <w:p w14:paraId="199617C4" w14:textId="77777777" w:rsidR="00000000" w:rsidRDefault="00A173A8">
            <w:pPr>
              <w:spacing w:after="100"/>
              <w:rPr>
                <w:rFonts w:eastAsia="Times New Roman"/>
                <w:sz w:val="20"/>
                <w:szCs w:val="20"/>
              </w:rPr>
            </w:pPr>
          </w:p>
        </w:tc>
        <w:tc>
          <w:tcPr>
            <w:tcW w:w="50" w:type="pct"/>
            <w:vAlign w:val="center"/>
            <w:hideMark/>
          </w:tcPr>
          <w:p w14:paraId="2E1A758C" w14:textId="77777777" w:rsidR="00000000" w:rsidRDefault="00A173A8">
            <w:pPr>
              <w:spacing w:after="100"/>
              <w:rPr>
                <w:rFonts w:eastAsia="Times New Roman"/>
                <w:sz w:val="20"/>
                <w:szCs w:val="20"/>
              </w:rPr>
            </w:pPr>
          </w:p>
        </w:tc>
        <w:tc>
          <w:tcPr>
            <w:tcW w:w="266" w:type="pct"/>
            <w:vAlign w:val="center"/>
            <w:hideMark/>
          </w:tcPr>
          <w:p w14:paraId="481C504E" w14:textId="77777777" w:rsidR="00000000" w:rsidRDefault="00A173A8">
            <w:pPr>
              <w:spacing w:after="100"/>
              <w:rPr>
                <w:rFonts w:eastAsia="Times New Roman"/>
                <w:sz w:val="20"/>
                <w:szCs w:val="20"/>
              </w:rPr>
            </w:pPr>
          </w:p>
        </w:tc>
        <w:tc>
          <w:tcPr>
            <w:tcW w:w="5" w:type="pct"/>
            <w:vAlign w:val="center"/>
            <w:hideMark/>
          </w:tcPr>
          <w:p w14:paraId="01418F04" w14:textId="77777777" w:rsidR="00000000" w:rsidRDefault="00A173A8">
            <w:pPr>
              <w:spacing w:after="100"/>
              <w:rPr>
                <w:rFonts w:eastAsia="Times New Roman"/>
                <w:sz w:val="20"/>
                <w:szCs w:val="20"/>
              </w:rPr>
            </w:pPr>
          </w:p>
        </w:tc>
        <w:tc>
          <w:tcPr>
            <w:tcW w:w="5" w:type="pct"/>
            <w:vAlign w:val="center"/>
            <w:hideMark/>
          </w:tcPr>
          <w:p w14:paraId="4B18354A" w14:textId="77777777" w:rsidR="00000000" w:rsidRDefault="00A173A8">
            <w:pPr>
              <w:spacing w:after="100"/>
              <w:rPr>
                <w:rFonts w:eastAsia="Times New Roman"/>
                <w:sz w:val="20"/>
                <w:szCs w:val="20"/>
              </w:rPr>
            </w:pPr>
          </w:p>
        </w:tc>
        <w:tc>
          <w:tcPr>
            <w:tcW w:w="26" w:type="pct"/>
            <w:vAlign w:val="center"/>
            <w:hideMark/>
          </w:tcPr>
          <w:p w14:paraId="7AC1317F" w14:textId="77777777" w:rsidR="00000000" w:rsidRDefault="00A173A8">
            <w:pPr>
              <w:spacing w:after="100"/>
              <w:rPr>
                <w:rFonts w:eastAsia="Times New Roman"/>
                <w:sz w:val="20"/>
                <w:szCs w:val="20"/>
              </w:rPr>
            </w:pPr>
          </w:p>
        </w:tc>
        <w:tc>
          <w:tcPr>
            <w:tcW w:w="5" w:type="pct"/>
            <w:vAlign w:val="center"/>
            <w:hideMark/>
          </w:tcPr>
          <w:p w14:paraId="6094C3BB" w14:textId="77777777" w:rsidR="00000000" w:rsidRDefault="00A173A8">
            <w:pPr>
              <w:spacing w:after="100"/>
              <w:rPr>
                <w:rFonts w:eastAsia="Times New Roman"/>
                <w:sz w:val="20"/>
                <w:szCs w:val="20"/>
              </w:rPr>
            </w:pPr>
          </w:p>
        </w:tc>
        <w:tc>
          <w:tcPr>
            <w:tcW w:w="50" w:type="pct"/>
            <w:vAlign w:val="center"/>
            <w:hideMark/>
          </w:tcPr>
          <w:p w14:paraId="4625BAAB" w14:textId="77777777" w:rsidR="00000000" w:rsidRDefault="00A173A8">
            <w:pPr>
              <w:spacing w:after="100"/>
              <w:rPr>
                <w:rFonts w:eastAsia="Times New Roman"/>
                <w:sz w:val="20"/>
                <w:szCs w:val="20"/>
              </w:rPr>
            </w:pPr>
          </w:p>
        </w:tc>
        <w:tc>
          <w:tcPr>
            <w:tcW w:w="266" w:type="pct"/>
            <w:vAlign w:val="center"/>
            <w:hideMark/>
          </w:tcPr>
          <w:p w14:paraId="307714E1" w14:textId="77777777" w:rsidR="00000000" w:rsidRDefault="00A173A8">
            <w:pPr>
              <w:spacing w:after="100"/>
              <w:rPr>
                <w:rFonts w:eastAsia="Times New Roman"/>
                <w:sz w:val="20"/>
                <w:szCs w:val="20"/>
              </w:rPr>
            </w:pPr>
          </w:p>
        </w:tc>
        <w:tc>
          <w:tcPr>
            <w:tcW w:w="5" w:type="pct"/>
            <w:vAlign w:val="center"/>
            <w:hideMark/>
          </w:tcPr>
          <w:p w14:paraId="6368BEA6" w14:textId="77777777" w:rsidR="00000000" w:rsidRDefault="00A173A8">
            <w:pPr>
              <w:spacing w:after="100"/>
              <w:rPr>
                <w:rFonts w:eastAsia="Times New Roman"/>
                <w:sz w:val="20"/>
                <w:szCs w:val="20"/>
              </w:rPr>
            </w:pPr>
          </w:p>
        </w:tc>
        <w:tc>
          <w:tcPr>
            <w:tcW w:w="5" w:type="pct"/>
            <w:vAlign w:val="center"/>
            <w:hideMark/>
          </w:tcPr>
          <w:p w14:paraId="4466C803" w14:textId="77777777" w:rsidR="00000000" w:rsidRDefault="00A173A8">
            <w:pPr>
              <w:spacing w:after="100"/>
              <w:rPr>
                <w:rFonts w:eastAsia="Times New Roman"/>
                <w:sz w:val="20"/>
                <w:szCs w:val="20"/>
              </w:rPr>
            </w:pPr>
          </w:p>
        </w:tc>
        <w:tc>
          <w:tcPr>
            <w:tcW w:w="26" w:type="pct"/>
            <w:vAlign w:val="center"/>
            <w:hideMark/>
          </w:tcPr>
          <w:p w14:paraId="3613EF89" w14:textId="77777777" w:rsidR="00000000" w:rsidRDefault="00A173A8">
            <w:pPr>
              <w:spacing w:after="100"/>
              <w:rPr>
                <w:rFonts w:eastAsia="Times New Roman"/>
                <w:sz w:val="20"/>
                <w:szCs w:val="20"/>
              </w:rPr>
            </w:pPr>
          </w:p>
        </w:tc>
        <w:tc>
          <w:tcPr>
            <w:tcW w:w="5" w:type="pct"/>
            <w:vAlign w:val="center"/>
            <w:hideMark/>
          </w:tcPr>
          <w:p w14:paraId="35D92972" w14:textId="77777777" w:rsidR="00000000" w:rsidRDefault="00A173A8">
            <w:pPr>
              <w:spacing w:after="100"/>
              <w:rPr>
                <w:rFonts w:eastAsia="Times New Roman"/>
                <w:sz w:val="20"/>
                <w:szCs w:val="20"/>
              </w:rPr>
            </w:pPr>
          </w:p>
        </w:tc>
        <w:tc>
          <w:tcPr>
            <w:tcW w:w="50" w:type="pct"/>
            <w:vAlign w:val="center"/>
            <w:hideMark/>
          </w:tcPr>
          <w:p w14:paraId="6717C99C" w14:textId="77777777" w:rsidR="00000000" w:rsidRDefault="00A173A8">
            <w:pPr>
              <w:spacing w:after="100"/>
              <w:rPr>
                <w:rFonts w:eastAsia="Times New Roman"/>
                <w:sz w:val="20"/>
                <w:szCs w:val="20"/>
              </w:rPr>
            </w:pPr>
          </w:p>
        </w:tc>
        <w:tc>
          <w:tcPr>
            <w:tcW w:w="266" w:type="pct"/>
            <w:vAlign w:val="center"/>
            <w:hideMark/>
          </w:tcPr>
          <w:p w14:paraId="169E65A7" w14:textId="77777777" w:rsidR="00000000" w:rsidRDefault="00A173A8">
            <w:pPr>
              <w:spacing w:after="100"/>
              <w:rPr>
                <w:rFonts w:eastAsia="Times New Roman"/>
                <w:sz w:val="20"/>
                <w:szCs w:val="20"/>
              </w:rPr>
            </w:pPr>
          </w:p>
        </w:tc>
        <w:tc>
          <w:tcPr>
            <w:tcW w:w="5" w:type="pct"/>
            <w:vAlign w:val="center"/>
            <w:hideMark/>
          </w:tcPr>
          <w:p w14:paraId="55AE746F" w14:textId="77777777" w:rsidR="00000000" w:rsidRDefault="00A173A8">
            <w:pPr>
              <w:spacing w:after="100"/>
              <w:rPr>
                <w:rFonts w:eastAsia="Times New Roman"/>
                <w:sz w:val="20"/>
                <w:szCs w:val="20"/>
              </w:rPr>
            </w:pPr>
          </w:p>
        </w:tc>
        <w:tc>
          <w:tcPr>
            <w:tcW w:w="5" w:type="pct"/>
            <w:vAlign w:val="center"/>
            <w:hideMark/>
          </w:tcPr>
          <w:p w14:paraId="20B5AC14" w14:textId="77777777" w:rsidR="00000000" w:rsidRDefault="00A173A8">
            <w:pPr>
              <w:spacing w:after="100"/>
              <w:rPr>
                <w:rFonts w:eastAsia="Times New Roman"/>
                <w:sz w:val="20"/>
                <w:szCs w:val="20"/>
              </w:rPr>
            </w:pPr>
          </w:p>
        </w:tc>
        <w:tc>
          <w:tcPr>
            <w:tcW w:w="26" w:type="pct"/>
            <w:vAlign w:val="center"/>
            <w:hideMark/>
          </w:tcPr>
          <w:p w14:paraId="7497485D" w14:textId="77777777" w:rsidR="00000000" w:rsidRDefault="00A173A8">
            <w:pPr>
              <w:spacing w:after="100"/>
              <w:rPr>
                <w:rFonts w:eastAsia="Times New Roman"/>
                <w:sz w:val="20"/>
                <w:szCs w:val="20"/>
              </w:rPr>
            </w:pPr>
          </w:p>
        </w:tc>
        <w:tc>
          <w:tcPr>
            <w:tcW w:w="5" w:type="pct"/>
            <w:vAlign w:val="center"/>
            <w:hideMark/>
          </w:tcPr>
          <w:p w14:paraId="6AC01477" w14:textId="77777777" w:rsidR="00000000" w:rsidRDefault="00A173A8">
            <w:pPr>
              <w:spacing w:after="100"/>
              <w:rPr>
                <w:rFonts w:eastAsia="Times New Roman"/>
                <w:sz w:val="20"/>
                <w:szCs w:val="20"/>
              </w:rPr>
            </w:pPr>
          </w:p>
        </w:tc>
        <w:tc>
          <w:tcPr>
            <w:tcW w:w="50" w:type="pct"/>
            <w:vAlign w:val="center"/>
            <w:hideMark/>
          </w:tcPr>
          <w:p w14:paraId="65DDFCA9" w14:textId="77777777" w:rsidR="00000000" w:rsidRDefault="00A173A8">
            <w:pPr>
              <w:spacing w:after="100"/>
              <w:rPr>
                <w:rFonts w:eastAsia="Times New Roman"/>
                <w:sz w:val="20"/>
                <w:szCs w:val="20"/>
              </w:rPr>
            </w:pPr>
          </w:p>
        </w:tc>
        <w:tc>
          <w:tcPr>
            <w:tcW w:w="288" w:type="pct"/>
            <w:vAlign w:val="center"/>
            <w:hideMark/>
          </w:tcPr>
          <w:p w14:paraId="1032BAA9" w14:textId="77777777" w:rsidR="00000000" w:rsidRDefault="00A173A8">
            <w:pPr>
              <w:spacing w:after="100"/>
              <w:rPr>
                <w:rFonts w:eastAsia="Times New Roman"/>
                <w:sz w:val="20"/>
                <w:szCs w:val="20"/>
              </w:rPr>
            </w:pPr>
          </w:p>
        </w:tc>
        <w:tc>
          <w:tcPr>
            <w:tcW w:w="5" w:type="pct"/>
            <w:vAlign w:val="center"/>
            <w:hideMark/>
          </w:tcPr>
          <w:p w14:paraId="052FA204" w14:textId="77777777" w:rsidR="00000000" w:rsidRDefault="00A173A8">
            <w:pPr>
              <w:spacing w:after="100"/>
              <w:rPr>
                <w:rFonts w:eastAsia="Times New Roman"/>
                <w:sz w:val="20"/>
                <w:szCs w:val="20"/>
              </w:rPr>
            </w:pPr>
          </w:p>
        </w:tc>
        <w:tc>
          <w:tcPr>
            <w:tcW w:w="5" w:type="pct"/>
            <w:vAlign w:val="center"/>
            <w:hideMark/>
          </w:tcPr>
          <w:p w14:paraId="0F6724E9" w14:textId="77777777" w:rsidR="00000000" w:rsidRDefault="00A173A8">
            <w:pPr>
              <w:spacing w:after="100"/>
              <w:rPr>
                <w:rFonts w:eastAsia="Times New Roman"/>
                <w:sz w:val="20"/>
                <w:szCs w:val="20"/>
              </w:rPr>
            </w:pPr>
          </w:p>
        </w:tc>
        <w:tc>
          <w:tcPr>
            <w:tcW w:w="26" w:type="pct"/>
            <w:vAlign w:val="center"/>
            <w:hideMark/>
          </w:tcPr>
          <w:p w14:paraId="02FFADA1" w14:textId="77777777" w:rsidR="00000000" w:rsidRDefault="00A173A8">
            <w:pPr>
              <w:spacing w:after="100"/>
              <w:rPr>
                <w:rFonts w:eastAsia="Times New Roman"/>
                <w:sz w:val="20"/>
                <w:szCs w:val="20"/>
              </w:rPr>
            </w:pPr>
          </w:p>
        </w:tc>
        <w:tc>
          <w:tcPr>
            <w:tcW w:w="5" w:type="pct"/>
            <w:vAlign w:val="center"/>
            <w:hideMark/>
          </w:tcPr>
          <w:p w14:paraId="25B4A8B2" w14:textId="77777777" w:rsidR="00000000" w:rsidRDefault="00A173A8">
            <w:pPr>
              <w:spacing w:after="100"/>
              <w:rPr>
                <w:rFonts w:eastAsia="Times New Roman"/>
                <w:sz w:val="20"/>
                <w:szCs w:val="20"/>
              </w:rPr>
            </w:pPr>
          </w:p>
        </w:tc>
        <w:tc>
          <w:tcPr>
            <w:tcW w:w="50" w:type="pct"/>
            <w:vAlign w:val="center"/>
            <w:hideMark/>
          </w:tcPr>
          <w:p w14:paraId="1EB878C7" w14:textId="77777777" w:rsidR="00000000" w:rsidRDefault="00A173A8">
            <w:pPr>
              <w:spacing w:after="100"/>
              <w:rPr>
                <w:rFonts w:eastAsia="Times New Roman"/>
                <w:sz w:val="20"/>
                <w:szCs w:val="20"/>
              </w:rPr>
            </w:pPr>
          </w:p>
        </w:tc>
        <w:tc>
          <w:tcPr>
            <w:tcW w:w="332" w:type="pct"/>
            <w:vAlign w:val="center"/>
            <w:hideMark/>
          </w:tcPr>
          <w:p w14:paraId="25FE390B" w14:textId="77777777" w:rsidR="00000000" w:rsidRDefault="00A173A8">
            <w:pPr>
              <w:spacing w:after="100"/>
              <w:rPr>
                <w:rFonts w:eastAsia="Times New Roman"/>
                <w:sz w:val="20"/>
                <w:szCs w:val="20"/>
              </w:rPr>
            </w:pPr>
          </w:p>
        </w:tc>
        <w:tc>
          <w:tcPr>
            <w:tcW w:w="5" w:type="pct"/>
            <w:vAlign w:val="center"/>
            <w:hideMark/>
          </w:tcPr>
          <w:p w14:paraId="24DF312A" w14:textId="77777777" w:rsidR="00000000" w:rsidRDefault="00A173A8">
            <w:pPr>
              <w:spacing w:after="100"/>
              <w:rPr>
                <w:rFonts w:eastAsia="Times New Roman"/>
                <w:sz w:val="20"/>
                <w:szCs w:val="20"/>
              </w:rPr>
            </w:pPr>
          </w:p>
        </w:tc>
        <w:tc>
          <w:tcPr>
            <w:tcW w:w="5" w:type="pct"/>
            <w:vAlign w:val="center"/>
            <w:hideMark/>
          </w:tcPr>
          <w:p w14:paraId="216DEDC1" w14:textId="77777777" w:rsidR="00000000" w:rsidRDefault="00A173A8">
            <w:pPr>
              <w:spacing w:after="100"/>
              <w:rPr>
                <w:rFonts w:eastAsia="Times New Roman"/>
                <w:sz w:val="20"/>
                <w:szCs w:val="20"/>
              </w:rPr>
            </w:pPr>
          </w:p>
        </w:tc>
        <w:tc>
          <w:tcPr>
            <w:tcW w:w="26" w:type="pct"/>
            <w:vAlign w:val="center"/>
            <w:hideMark/>
          </w:tcPr>
          <w:p w14:paraId="1146C242" w14:textId="77777777" w:rsidR="00000000" w:rsidRDefault="00A173A8">
            <w:pPr>
              <w:spacing w:after="100"/>
              <w:rPr>
                <w:rFonts w:eastAsia="Times New Roman"/>
                <w:sz w:val="20"/>
                <w:szCs w:val="20"/>
              </w:rPr>
            </w:pPr>
          </w:p>
        </w:tc>
        <w:tc>
          <w:tcPr>
            <w:tcW w:w="5" w:type="pct"/>
            <w:vAlign w:val="center"/>
            <w:hideMark/>
          </w:tcPr>
          <w:p w14:paraId="629719D8" w14:textId="77777777" w:rsidR="00000000" w:rsidRDefault="00A173A8">
            <w:pPr>
              <w:spacing w:after="100"/>
              <w:rPr>
                <w:rFonts w:eastAsia="Times New Roman"/>
                <w:sz w:val="20"/>
                <w:szCs w:val="20"/>
              </w:rPr>
            </w:pPr>
          </w:p>
        </w:tc>
        <w:tc>
          <w:tcPr>
            <w:tcW w:w="50" w:type="pct"/>
            <w:vAlign w:val="center"/>
            <w:hideMark/>
          </w:tcPr>
          <w:p w14:paraId="59C75254" w14:textId="77777777" w:rsidR="00000000" w:rsidRDefault="00A173A8">
            <w:pPr>
              <w:spacing w:after="100"/>
              <w:rPr>
                <w:rFonts w:eastAsia="Times New Roman"/>
                <w:sz w:val="20"/>
                <w:szCs w:val="20"/>
              </w:rPr>
            </w:pPr>
          </w:p>
        </w:tc>
        <w:tc>
          <w:tcPr>
            <w:tcW w:w="267" w:type="pct"/>
            <w:vAlign w:val="center"/>
            <w:hideMark/>
          </w:tcPr>
          <w:p w14:paraId="4EAE38B5" w14:textId="77777777" w:rsidR="00000000" w:rsidRDefault="00A173A8">
            <w:pPr>
              <w:spacing w:after="100"/>
              <w:rPr>
                <w:rFonts w:eastAsia="Times New Roman"/>
                <w:sz w:val="20"/>
                <w:szCs w:val="20"/>
              </w:rPr>
            </w:pPr>
          </w:p>
        </w:tc>
        <w:tc>
          <w:tcPr>
            <w:tcW w:w="5" w:type="pct"/>
            <w:vAlign w:val="center"/>
            <w:hideMark/>
          </w:tcPr>
          <w:p w14:paraId="0CC24994" w14:textId="77777777" w:rsidR="00000000" w:rsidRDefault="00A173A8">
            <w:pPr>
              <w:spacing w:after="100"/>
              <w:rPr>
                <w:rFonts w:eastAsia="Times New Roman"/>
                <w:sz w:val="20"/>
                <w:szCs w:val="20"/>
              </w:rPr>
            </w:pPr>
          </w:p>
        </w:tc>
      </w:tr>
      <w:tr w:rsidR="00000000" w14:paraId="1D7AAEC7" w14:textId="77777777">
        <w:trPr>
          <w:divId w:val="1380520592"/>
        </w:trPr>
        <w:tc>
          <w:tcPr>
            <w:tcW w:w="0" w:type="auto"/>
            <w:gridSpan w:val="3"/>
            <w:vAlign w:val="center"/>
            <w:hideMark/>
          </w:tcPr>
          <w:p w14:paraId="119D92EB" w14:textId="77777777" w:rsidR="00000000" w:rsidRDefault="00A173A8">
            <w:pPr>
              <w:spacing w:after="100"/>
              <w:rPr>
                <w:rFonts w:eastAsia="Times New Roman"/>
                <w:sz w:val="20"/>
                <w:szCs w:val="20"/>
              </w:rPr>
            </w:pPr>
          </w:p>
        </w:tc>
        <w:tc>
          <w:tcPr>
            <w:tcW w:w="0" w:type="auto"/>
            <w:vAlign w:val="center"/>
            <w:hideMark/>
          </w:tcPr>
          <w:p w14:paraId="651A0DDF" w14:textId="77777777" w:rsidR="00000000" w:rsidRDefault="00A173A8">
            <w:pPr>
              <w:spacing w:after="100"/>
              <w:rPr>
                <w:rFonts w:eastAsia="Times New Roman"/>
                <w:sz w:val="20"/>
                <w:szCs w:val="20"/>
              </w:rPr>
            </w:pPr>
          </w:p>
        </w:tc>
        <w:tc>
          <w:tcPr>
            <w:tcW w:w="0" w:type="auto"/>
            <w:vAlign w:val="center"/>
            <w:hideMark/>
          </w:tcPr>
          <w:p w14:paraId="33930F4F" w14:textId="77777777" w:rsidR="00000000" w:rsidRDefault="00A173A8">
            <w:pPr>
              <w:spacing w:after="100"/>
              <w:rPr>
                <w:rFonts w:eastAsia="Times New Roman"/>
                <w:sz w:val="20"/>
                <w:szCs w:val="20"/>
              </w:rPr>
            </w:pPr>
          </w:p>
        </w:tc>
        <w:tc>
          <w:tcPr>
            <w:tcW w:w="0" w:type="auto"/>
            <w:vAlign w:val="center"/>
            <w:hideMark/>
          </w:tcPr>
          <w:p w14:paraId="2BBF27BC" w14:textId="77777777" w:rsidR="00000000" w:rsidRDefault="00A173A8">
            <w:pPr>
              <w:spacing w:after="100"/>
              <w:rPr>
                <w:rFonts w:eastAsia="Times New Roman"/>
                <w:sz w:val="20"/>
                <w:szCs w:val="20"/>
              </w:rPr>
            </w:pPr>
          </w:p>
        </w:tc>
        <w:tc>
          <w:tcPr>
            <w:tcW w:w="0" w:type="auto"/>
            <w:vAlign w:val="center"/>
            <w:hideMark/>
          </w:tcPr>
          <w:p w14:paraId="5F642F90" w14:textId="77777777" w:rsidR="00000000" w:rsidRDefault="00A173A8">
            <w:pPr>
              <w:spacing w:after="100"/>
              <w:rPr>
                <w:rFonts w:eastAsia="Times New Roman"/>
                <w:sz w:val="20"/>
                <w:szCs w:val="20"/>
              </w:rPr>
            </w:pPr>
          </w:p>
        </w:tc>
        <w:tc>
          <w:tcPr>
            <w:tcW w:w="0" w:type="auto"/>
            <w:vAlign w:val="center"/>
            <w:hideMark/>
          </w:tcPr>
          <w:p w14:paraId="2181801B" w14:textId="77777777" w:rsidR="00000000" w:rsidRDefault="00A173A8">
            <w:pPr>
              <w:spacing w:after="100"/>
              <w:rPr>
                <w:rFonts w:eastAsia="Times New Roman"/>
                <w:sz w:val="20"/>
                <w:szCs w:val="20"/>
              </w:rPr>
            </w:pPr>
          </w:p>
        </w:tc>
        <w:tc>
          <w:tcPr>
            <w:tcW w:w="0" w:type="auto"/>
            <w:vAlign w:val="center"/>
            <w:hideMark/>
          </w:tcPr>
          <w:p w14:paraId="001C48A8" w14:textId="77777777" w:rsidR="00000000" w:rsidRDefault="00A173A8">
            <w:pPr>
              <w:spacing w:after="100"/>
              <w:rPr>
                <w:rFonts w:eastAsia="Times New Roman"/>
                <w:sz w:val="20"/>
                <w:szCs w:val="20"/>
              </w:rPr>
            </w:pPr>
          </w:p>
        </w:tc>
        <w:tc>
          <w:tcPr>
            <w:tcW w:w="0" w:type="auto"/>
            <w:vAlign w:val="center"/>
            <w:hideMark/>
          </w:tcPr>
          <w:p w14:paraId="581BF506" w14:textId="77777777" w:rsidR="00000000" w:rsidRDefault="00A173A8">
            <w:pPr>
              <w:spacing w:after="100"/>
              <w:rPr>
                <w:rFonts w:eastAsia="Times New Roman"/>
                <w:sz w:val="20"/>
                <w:szCs w:val="20"/>
              </w:rPr>
            </w:pPr>
          </w:p>
        </w:tc>
        <w:tc>
          <w:tcPr>
            <w:tcW w:w="0" w:type="auto"/>
            <w:vAlign w:val="center"/>
            <w:hideMark/>
          </w:tcPr>
          <w:p w14:paraId="4393D686" w14:textId="77777777" w:rsidR="00000000" w:rsidRDefault="00A173A8">
            <w:pPr>
              <w:spacing w:after="100"/>
              <w:rPr>
                <w:rFonts w:eastAsia="Times New Roman"/>
                <w:sz w:val="20"/>
                <w:szCs w:val="20"/>
              </w:rPr>
            </w:pPr>
          </w:p>
        </w:tc>
        <w:tc>
          <w:tcPr>
            <w:tcW w:w="0" w:type="auto"/>
            <w:vAlign w:val="center"/>
            <w:hideMark/>
          </w:tcPr>
          <w:p w14:paraId="1999B7C3" w14:textId="77777777" w:rsidR="00000000" w:rsidRDefault="00A173A8">
            <w:pPr>
              <w:spacing w:after="100"/>
              <w:rPr>
                <w:rFonts w:eastAsia="Times New Roman"/>
                <w:sz w:val="20"/>
                <w:szCs w:val="20"/>
              </w:rPr>
            </w:pPr>
          </w:p>
        </w:tc>
        <w:tc>
          <w:tcPr>
            <w:tcW w:w="0" w:type="auto"/>
            <w:vAlign w:val="center"/>
            <w:hideMark/>
          </w:tcPr>
          <w:p w14:paraId="392B6897" w14:textId="77777777" w:rsidR="00000000" w:rsidRDefault="00A173A8">
            <w:pPr>
              <w:spacing w:after="100"/>
              <w:rPr>
                <w:rFonts w:eastAsia="Times New Roman"/>
                <w:sz w:val="20"/>
                <w:szCs w:val="20"/>
              </w:rPr>
            </w:pPr>
          </w:p>
        </w:tc>
        <w:tc>
          <w:tcPr>
            <w:tcW w:w="0" w:type="auto"/>
            <w:vAlign w:val="center"/>
            <w:hideMark/>
          </w:tcPr>
          <w:p w14:paraId="51583DE6" w14:textId="77777777" w:rsidR="00000000" w:rsidRDefault="00A173A8">
            <w:pPr>
              <w:spacing w:after="100"/>
              <w:rPr>
                <w:rFonts w:eastAsia="Times New Roman"/>
                <w:sz w:val="20"/>
                <w:szCs w:val="20"/>
              </w:rPr>
            </w:pPr>
          </w:p>
        </w:tc>
        <w:tc>
          <w:tcPr>
            <w:tcW w:w="0" w:type="auto"/>
            <w:vAlign w:val="center"/>
            <w:hideMark/>
          </w:tcPr>
          <w:p w14:paraId="414B809D" w14:textId="77777777" w:rsidR="00000000" w:rsidRDefault="00A173A8">
            <w:pPr>
              <w:spacing w:after="100"/>
              <w:rPr>
                <w:rFonts w:eastAsia="Times New Roman"/>
                <w:sz w:val="20"/>
                <w:szCs w:val="20"/>
              </w:rPr>
            </w:pPr>
          </w:p>
        </w:tc>
        <w:tc>
          <w:tcPr>
            <w:tcW w:w="0" w:type="auto"/>
            <w:vAlign w:val="center"/>
            <w:hideMark/>
          </w:tcPr>
          <w:p w14:paraId="0891DBA2" w14:textId="77777777" w:rsidR="00000000" w:rsidRDefault="00A173A8">
            <w:pPr>
              <w:spacing w:after="100"/>
              <w:rPr>
                <w:rFonts w:eastAsia="Times New Roman"/>
                <w:sz w:val="20"/>
                <w:szCs w:val="20"/>
              </w:rPr>
            </w:pPr>
          </w:p>
        </w:tc>
        <w:tc>
          <w:tcPr>
            <w:tcW w:w="0" w:type="auto"/>
            <w:vAlign w:val="center"/>
            <w:hideMark/>
          </w:tcPr>
          <w:p w14:paraId="5EA38C19" w14:textId="77777777" w:rsidR="00000000" w:rsidRDefault="00A173A8">
            <w:pPr>
              <w:spacing w:after="100"/>
              <w:rPr>
                <w:rFonts w:eastAsia="Times New Roman"/>
                <w:sz w:val="20"/>
                <w:szCs w:val="20"/>
              </w:rPr>
            </w:pPr>
          </w:p>
        </w:tc>
        <w:tc>
          <w:tcPr>
            <w:tcW w:w="0" w:type="auto"/>
            <w:vAlign w:val="center"/>
            <w:hideMark/>
          </w:tcPr>
          <w:p w14:paraId="43428867" w14:textId="77777777" w:rsidR="00000000" w:rsidRDefault="00A173A8">
            <w:pPr>
              <w:spacing w:after="100"/>
              <w:rPr>
                <w:rFonts w:eastAsia="Times New Roman"/>
                <w:sz w:val="20"/>
                <w:szCs w:val="20"/>
              </w:rPr>
            </w:pPr>
          </w:p>
        </w:tc>
        <w:tc>
          <w:tcPr>
            <w:tcW w:w="0" w:type="auto"/>
            <w:vAlign w:val="center"/>
            <w:hideMark/>
          </w:tcPr>
          <w:p w14:paraId="6A77B1C7" w14:textId="77777777" w:rsidR="00000000" w:rsidRDefault="00A173A8">
            <w:pPr>
              <w:spacing w:after="100"/>
              <w:rPr>
                <w:rFonts w:eastAsia="Times New Roman"/>
                <w:sz w:val="20"/>
                <w:szCs w:val="20"/>
              </w:rPr>
            </w:pPr>
          </w:p>
        </w:tc>
        <w:tc>
          <w:tcPr>
            <w:tcW w:w="0" w:type="auto"/>
            <w:vAlign w:val="center"/>
            <w:hideMark/>
          </w:tcPr>
          <w:p w14:paraId="0CEC21BF" w14:textId="77777777" w:rsidR="00000000" w:rsidRDefault="00A173A8">
            <w:pPr>
              <w:spacing w:after="100"/>
              <w:rPr>
                <w:rFonts w:eastAsia="Times New Roman"/>
                <w:sz w:val="20"/>
                <w:szCs w:val="20"/>
              </w:rPr>
            </w:pPr>
          </w:p>
        </w:tc>
        <w:tc>
          <w:tcPr>
            <w:tcW w:w="0" w:type="auto"/>
            <w:vAlign w:val="center"/>
            <w:hideMark/>
          </w:tcPr>
          <w:p w14:paraId="59D758ED" w14:textId="77777777" w:rsidR="00000000" w:rsidRDefault="00A173A8">
            <w:pPr>
              <w:spacing w:after="100"/>
              <w:rPr>
                <w:rFonts w:eastAsia="Times New Roman"/>
                <w:sz w:val="20"/>
                <w:szCs w:val="20"/>
              </w:rPr>
            </w:pPr>
          </w:p>
        </w:tc>
        <w:tc>
          <w:tcPr>
            <w:tcW w:w="0" w:type="auto"/>
            <w:vAlign w:val="center"/>
            <w:hideMark/>
          </w:tcPr>
          <w:p w14:paraId="357B734F" w14:textId="77777777" w:rsidR="00000000" w:rsidRDefault="00A173A8">
            <w:pPr>
              <w:spacing w:after="100"/>
              <w:rPr>
                <w:rFonts w:eastAsia="Times New Roman"/>
                <w:sz w:val="20"/>
                <w:szCs w:val="20"/>
              </w:rPr>
            </w:pPr>
          </w:p>
        </w:tc>
        <w:tc>
          <w:tcPr>
            <w:tcW w:w="0" w:type="auto"/>
            <w:vAlign w:val="center"/>
            <w:hideMark/>
          </w:tcPr>
          <w:p w14:paraId="5C03772A" w14:textId="77777777" w:rsidR="00000000" w:rsidRDefault="00A173A8">
            <w:pPr>
              <w:spacing w:after="100"/>
              <w:rPr>
                <w:rFonts w:eastAsia="Times New Roman"/>
                <w:sz w:val="20"/>
                <w:szCs w:val="20"/>
              </w:rPr>
            </w:pPr>
          </w:p>
        </w:tc>
        <w:tc>
          <w:tcPr>
            <w:tcW w:w="0" w:type="auto"/>
            <w:vAlign w:val="center"/>
            <w:hideMark/>
          </w:tcPr>
          <w:p w14:paraId="0BFF5B74" w14:textId="77777777" w:rsidR="00000000" w:rsidRDefault="00A173A8">
            <w:pPr>
              <w:spacing w:after="100"/>
              <w:rPr>
                <w:rFonts w:eastAsia="Times New Roman"/>
                <w:sz w:val="20"/>
                <w:szCs w:val="20"/>
              </w:rPr>
            </w:pPr>
          </w:p>
        </w:tc>
        <w:tc>
          <w:tcPr>
            <w:tcW w:w="0" w:type="auto"/>
            <w:vAlign w:val="center"/>
            <w:hideMark/>
          </w:tcPr>
          <w:p w14:paraId="5E6438C5" w14:textId="77777777" w:rsidR="00000000" w:rsidRDefault="00A173A8">
            <w:pPr>
              <w:spacing w:after="100"/>
              <w:rPr>
                <w:rFonts w:eastAsia="Times New Roman"/>
                <w:sz w:val="20"/>
                <w:szCs w:val="20"/>
              </w:rPr>
            </w:pPr>
          </w:p>
        </w:tc>
        <w:tc>
          <w:tcPr>
            <w:tcW w:w="0" w:type="auto"/>
            <w:vAlign w:val="center"/>
            <w:hideMark/>
          </w:tcPr>
          <w:p w14:paraId="45E2D048" w14:textId="77777777" w:rsidR="00000000" w:rsidRDefault="00A173A8">
            <w:pPr>
              <w:spacing w:after="100"/>
              <w:rPr>
                <w:rFonts w:eastAsia="Times New Roman"/>
                <w:sz w:val="20"/>
                <w:szCs w:val="20"/>
              </w:rPr>
            </w:pPr>
          </w:p>
        </w:tc>
        <w:tc>
          <w:tcPr>
            <w:tcW w:w="0" w:type="auto"/>
            <w:vAlign w:val="center"/>
            <w:hideMark/>
          </w:tcPr>
          <w:p w14:paraId="295D3785" w14:textId="77777777" w:rsidR="00000000" w:rsidRDefault="00A173A8">
            <w:pPr>
              <w:spacing w:after="100"/>
              <w:rPr>
                <w:rFonts w:eastAsia="Times New Roman"/>
                <w:sz w:val="20"/>
                <w:szCs w:val="20"/>
              </w:rPr>
            </w:pPr>
          </w:p>
        </w:tc>
        <w:tc>
          <w:tcPr>
            <w:tcW w:w="0" w:type="auto"/>
            <w:vAlign w:val="center"/>
            <w:hideMark/>
          </w:tcPr>
          <w:p w14:paraId="7827A93A" w14:textId="77777777" w:rsidR="00000000" w:rsidRDefault="00A173A8">
            <w:pPr>
              <w:spacing w:after="100"/>
              <w:rPr>
                <w:rFonts w:eastAsia="Times New Roman"/>
                <w:sz w:val="20"/>
                <w:szCs w:val="20"/>
              </w:rPr>
            </w:pPr>
          </w:p>
        </w:tc>
        <w:tc>
          <w:tcPr>
            <w:tcW w:w="0" w:type="auto"/>
            <w:vAlign w:val="center"/>
            <w:hideMark/>
          </w:tcPr>
          <w:p w14:paraId="249413F4" w14:textId="77777777" w:rsidR="00000000" w:rsidRDefault="00A173A8">
            <w:pPr>
              <w:spacing w:after="100"/>
              <w:rPr>
                <w:rFonts w:eastAsia="Times New Roman"/>
                <w:sz w:val="20"/>
                <w:szCs w:val="20"/>
              </w:rPr>
            </w:pPr>
          </w:p>
        </w:tc>
        <w:tc>
          <w:tcPr>
            <w:tcW w:w="0" w:type="auto"/>
            <w:vAlign w:val="center"/>
            <w:hideMark/>
          </w:tcPr>
          <w:p w14:paraId="5FCE311C" w14:textId="77777777" w:rsidR="00000000" w:rsidRDefault="00A173A8">
            <w:pPr>
              <w:spacing w:after="100"/>
              <w:rPr>
                <w:rFonts w:eastAsia="Times New Roman"/>
                <w:sz w:val="20"/>
                <w:szCs w:val="20"/>
              </w:rPr>
            </w:pPr>
          </w:p>
        </w:tc>
        <w:tc>
          <w:tcPr>
            <w:tcW w:w="0" w:type="auto"/>
            <w:vAlign w:val="center"/>
            <w:hideMark/>
          </w:tcPr>
          <w:p w14:paraId="043EE53A" w14:textId="77777777" w:rsidR="00000000" w:rsidRDefault="00A173A8">
            <w:pPr>
              <w:spacing w:after="100"/>
              <w:rPr>
                <w:rFonts w:eastAsia="Times New Roman"/>
                <w:sz w:val="20"/>
                <w:szCs w:val="20"/>
              </w:rPr>
            </w:pPr>
          </w:p>
        </w:tc>
        <w:tc>
          <w:tcPr>
            <w:tcW w:w="0" w:type="auto"/>
            <w:vAlign w:val="center"/>
            <w:hideMark/>
          </w:tcPr>
          <w:p w14:paraId="7BECA4AE" w14:textId="77777777" w:rsidR="00000000" w:rsidRDefault="00A173A8">
            <w:pPr>
              <w:spacing w:after="100"/>
              <w:rPr>
                <w:rFonts w:eastAsia="Times New Roman"/>
                <w:sz w:val="20"/>
                <w:szCs w:val="20"/>
              </w:rPr>
            </w:pPr>
          </w:p>
        </w:tc>
        <w:tc>
          <w:tcPr>
            <w:tcW w:w="0" w:type="auto"/>
            <w:vAlign w:val="center"/>
            <w:hideMark/>
          </w:tcPr>
          <w:p w14:paraId="40769368" w14:textId="77777777" w:rsidR="00000000" w:rsidRDefault="00A173A8">
            <w:pPr>
              <w:spacing w:after="100"/>
              <w:rPr>
                <w:rFonts w:eastAsia="Times New Roman"/>
                <w:sz w:val="20"/>
                <w:szCs w:val="20"/>
              </w:rPr>
            </w:pPr>
          </w:p>
        </w:tc>
        <w:tc>
          <w:tcPr>
            <w:tcW w:w="0" w:type="auto"/>
            <w:vAlign w:val="center"/>
            <w:hideMark/>
          </w:tcPr>
          <w:p w14:paraId="2001E1B6" w14:textId="77777777" w:rsidR="00000000" w:rsidRDefault="00A173A8">
            <w:pPr>
              <w:spacing w:after="100"/>
              <w:rPr>
                <w:rFonts w:eastAsia="Times New Roman"/>
                <w:sz w:val="20"/>
                <w:szCs w:val="20"/>
              </w:rPr>
            </w:pPr>
          </w:p>
        </w:tc>
        <w:tc>
          <w:tcPr>
            <w:tcW w:w="0" w:type="auto"/>
            <w:vAlign w:val="center"/>
            <w:hideMark/>
          </w:tcPr>
          <w:p w14:paraId="033CD04C" w14:textId="77777777" w:rsidR="00000000" w:rsidRDefault="00A173A8">
            <w:pPr>
              <w:spacing w:after="100"/>
              <w:rPr>
                <w:rFonts w:eastAsia="Times New Roman"/>
                <w:sz w:val="20"/>
                <w:szCs w:val="20"/>
              </w:rPr>
            </w:pPr>
          </w:p>
        </w:tc>
        <w:tc>
          <w:tcPr>
            <w:tcW w:w="0" w:type="auto"/>
            <w:vAlign w:val="center"/>
            <w:hideMark/>
          </w:tcPr>
          <w:p w14:paraId="4F0FAA88" w14:textId="77777777" w:rsidR="00000000" w:rsidRDefault="00A173A8">
            <w:pPr>
              <w:spacing w:after="100"/>
              <w:rPr>
                <w:rFonts w:eastAsia="Times New Roman"/>
                <w:sz w:val="20"/>
                <w:szCs w:val="20"/>
              </w:rPr>
            </w:pPr>
          </w:p>
        </w:tc>
        <w:tc>
          <w:tcPr>
            <w:tcW w:w="0" w:type="auto"/>
            <w:vAlign w:val="center"/>
            <w:hideMark/>
          </w:tcPr>
          <w:p w14:paraId="270E02B8" w14:textId="77777777" w:rsidR="00000000" w:rsidRDefault="00A173A8">
            <w:pPr>
              <w:spacing w:after="100"/>
              <w:rPr>
                <w:rFonts w:eastAsia="Times New Roman"/>
                <w:sz w:val="20"/>
                <w:szCs w:val="20"/>
              </w:rPr>
            </w:pPr>
          </w:p>
        </w:tc>
        <w:tc>
          <w:tcPr>
            <w:tcW w:w="0" w:type="auto"/>
            <w:vAlign w:val="center"/>
            <w:hideMark/>
          </w:tcPr>
          <w:p w14:paraId="5F8B191F" w14:textId="77777777" w:rsidR="00000000" w:rsidRDefault="00A173A8">
            <w:pPr>
              <w:spacing w:after="100"/>
              <w:rPr>
                <w:rFonts w:eastAsia="Times New Roman"/>
                <w:sz w:val="20"/>
                <w:szCs w:val="20"/>
              </w:rPr>
            </w:pPr>
          </w:p>
        </w:tc>
        <w:tc>
          <w:tcPr>
            <w:tcW w:w="0" w:type="auto"/>
            <w:vAlign w:val="center"/>
            <w:hideMark/>
          </w:tcPr>
          <w:p w14:paraId="764F90A7" w14:textId="77777777" w:rsidR="00000000" w:rsidRDefault="00A173A8">
            <w:pPr>
              <w:spacing w:after="100"/>
              <w:rPr>
                <w:rFonts w:eastAsia="Times New Roman"/>
                <w:sz w:val="20"/>
                <w:szCs w:val="20"/>
              </w:rPr>
            </w:pPr>
          </w:p>
        </w:tc>
        <w:tc>
          <w:tcPr>
            <w:tcW w:w="0" w:type="auto"/>
            <w:vAlign w:val="center"/>
            <w:hideMark/>
          </w:tcPr>
          <w:p w14:paraId="656D4110" w14:textId="77777777" w:rsidR="00000000" w:rsidRDefault="00A173A8">
            <w:pPr>
              <w:spacing w:after="100"/>
              <w:rPr>
                <w:rFonts w:eastAsia="Times New Roman"/>
                <w:sz w:val="20"/>
                <w:szCs w:val="20"/>
              </w:rPr>
            </w:pPr>
          </w:p>
        </w:tc>
        <w:tc>
          <w:tcPr>
            <w:tcW w:w="0" w:type="auto"/>
            <w:vAlign w:val="center"/>
            <w:hideMark/>
          </w:tcPr>
          <w:p w14:paraId="2B660052" w14:textId="77777777" w:rsidR="00000000" w:rsidRDefault="00A173A8">
            <w:pPr>
              <w:spacing w:after="100"/>
              <w:rPr>
                <w:rFonts w:eastAsia="Times New Roman"/>
                <w:sz w:val="20"/>
                <w:szCs w:val="20"/>
              </w:rPr>
            </w:pPr>
          </w:p>
        </w:tc>
        <w:tc>
          <w:tcPr>
            <w:tcW w:w="0" w:type="auto"/>
            <w:vAlign w:val="center"/>
            <w:hideMark/>
          </w:tcPr>
          <w:p w14:paraId="032706C9" w14:textId="77777777" w:rsidR="00000000" w:rsidRDefault="00A173A8">
            <w:pPr>
              <w:spacing w:after="100"/>
              <w:rPr>
                <w:rFonts w:eastAsia="Times New Roman"/>
                <w:sz w:val="20"/>
                <w:szCs w:val="20"/>
              </w:rPr>
            </w:pPr>
          </w:p>
        </w:tc>
        <w:tc>
          <w:tcPr>
            <w:tcW w:w="0" w:type="auto"/>
            <w:vAlign w:val="center"/>
            <w:hideMark/>
          </w:tcPr>
          <w:p w14:paraId="0B3BFAF4" w14:textId="77777777" w:rsidR="00000000" w:rsidRDefault="00A173A8">
            <w:pPr>
              <w:spacing w:after="100"/>
              <w:rPr>
                <w:rFonts w:eastAsia="Times New Roman"/>
                <w:sz w:val="20"/>
                <w:szCs w:val="20"/>
              </w:rPr>
            </w:pPr>
          </w:p>
        </w:tc>
        <w:tc>
          <w:tcPr>
            <w:tcW w:w="0" w:type="auto"/>
            <w:vAlign w:val="center"/>
            <w:hideMark/>
          </w:tcPr>
          <w:p w14:paraId="17172362" w14:textId="77777777" w:rsidR="00000000" w:rsidRDefault="00A173A8">
            <w:pPr>
              <w:spacing w:after="100"/>
              <w:rPr>
                <w:rFonts w:eastAsia="Times New Roman"/>
                <w:sz w:val="20"/>
                <w:szCs w:val="20"/>
              </w:rPr>
            </w:pPr>
          </w:p>
        </w:tc>
        <w:tc>
          <w:tcPr>
            <w:tcW w:w="0" w:type="auto"/>
            <w:vAlign w:val="center"/>
            <w:hideMark/>
          </w:tcPr>
          <w:p w14:paraId="6DB52EAC" w14:textId="77777777" w:rsidR="00000000" w:rsidRDefault="00A173A8">
            <w:pPr>
              <w:spacing w:after="100"/>
              <w:rPr>
                <w:rFonts w:eastAsia="Times New Roman"/>
                <w:sz w:val="20"/>
                <w:szCs w:val="20"/>
              </w:rPr>
            </w:pPr>
          </w:p>
        </w:tc>
        <w:tc>
          <w:tcPr>
            <w:tcW w:w="0" w:type="auto"/>
            <w:vAlign w:val="center"/>
            <w:hideMark/>
          </w:tcPr>
          <w:p w14:paraId="5ACC6366" w14:textId="77777777" w:rsidR="00000000" w:rsidRDefault="00A173A8">
            <w:pPr>
              <w:spacing w:after="100"/>
              <w:rPr>
                <w:rFonts w:eastAsia="Times New Roman"/>
                <w:sz w:val="20"/>
                <w:szCs w:val="20"/>
              </w:rPr>
            </w:pPr>
          </w:p>
        </w:tc>
        <w:tc>
          <w:tcPr>
            <w:tcW w:w="0" w:type="auto"/>
            <w:vAlign w:val="center"/>
            <w:hideMark/>
          </w:tcPr>
          <w:p w14:paraId="6E0E194B" w14:textId="77777777" w:rsidR="00000000" w:rsidRDefault="00A173A8">
            <w:pPr>
              <w:spacing w:after="100"/>
              <w:rPr>
                <w:rFonts w:eastAsia="Times New Roman"/>
                <w:sz w:val="20"/>
                <w:szCs w:val="20"/>
              </w:rPr>
            </w:pPr>
          </w:p>
        </w:tc>
        <w:tc>
          <w:tcPr>
            <w:tcW w:w="0" w:type="auto"/>
            <w:vAlign w:val="center"/>
            <w:hideMark/>
          </w:tcPr>
          <w:p w14:paraId="2DED38E6" w14:textId="77777777" w:rsidR="00000000" w:rsidRDefault="00A173A8">
            <w:pPr>
              <w:spacing w:after="100"/>
              <w:rPr>
                <w:rFonts w:eastAsia="Times New Roman"/>
                <w:sz w:val="20"/>
                <w:szCs w:val="20"/>
              </w:rPr>
            </w:pPr>
          </w:p>
        </w:tc>
        <w:tc>
          <w:tcPr>
            <w:tcW w:w="0" w:type="auto"/>
            <w:vAlign w:val="center"/>
            <w:hideMark/>
          </w:tcPr>
          <w:p w14:paraId="00ACA3B4" w14:textId="77777777" w:rsidR="00000000" w:rsidRDefault="00A173A8">
            <w:pPr>
              <w:spacing w:after="100"/>
              <w:rPr>
                <w:rFonts w:eastAsia="Times New Roman"/>
                <w:sz w:val="20"/>
                <w:szCs w:val="20"/>
              </w:rPr>
            </w:pPr>
          </w:p>
        </w:tc>
        <w:tc>
          <w:tcPr>
            <w:tcW w:w="0" w:type="auto"/>
            <w:vAlign w:val="center"/>
            <w:hideMark/>
          </w:tcPr>
          <w:p w14:paraId="7A10E330" w14:textId="77777777" w:rsidR="00000000" w:rsidRDefault="00A173A8">
            <w:pPr>
              <w:spacing w:after="100"/>
              <w:rPr>
                <w:rFonts w:eastAsia="Times New Roman"/>
                <w:sz w:val="20"/>
                <w:szCs w:val="20"/>
              </w:rPr>
            </w:pPr>
          </w:p>
        </w:tc>
        <w:tc>
          <w:tcPr>
            <w:tcW w:w="0" w:type="auto"/>
            <w:vAlign w:val="center"/>
            <w:hideMark/>
          </w:tcPr>
          <w:p w14:paraId="74E8AE7C" w14:textId="77777777" w:rsidR="00000000" w:rsidRDefault="00A173A8">
            <w:pPr>
              <w:spacing w:after="100"/>
              <w:rPr>
                <w:rFonts w:eastAsia="Times New Roman"/>
                <w:sz w:val="20"/>
                <w:szCs w:val="20"/>
              </w:rPr>
            </w:pPr>
          </w:p>
        </w:tc>
      </w:tr>
      <w:tr w:rsidR="00000000" w14:paraId="4DE79DEF" w14:textId="77777777">
        <w:trPr>
          <w:divId w:val="1380520592"/>
        </w:trPr>
        <w:tc>
          <w:tcPr>
            <w:tcW w:w="0" w:type="auto"/>
            <w:gridSpan w:val="3"/>
            <w:tcMar>
              <w:top w:w="0" w:type="dxa"/>
              <w:left w:w="20" w:type="dxa"/>
              <w:bottom w:w="0" w:type="dxa"/>
              <w:right w:w="20" w:type="dxa"/>
            </w:tcMar>
            <w:vAlign w:val="center"/>
            <w:hideMark/>
          </w:tcPr>
          <w:p w14:paraId="068FD92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8A138B" w14:textId="77777777" w:rsidR="00000000" w:rsidRDefault="00A173A8">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671C90B0" w14:textId="77777777" w:rsidR="00000000" w:rsidRDefault="00A173A8">
            <w:pPr>
              <w:spacing w:after="100"/>
              <w:jc w:val="center"/>
              <w:rPr>
                <w:rFonts w:eastAsia="Times New Roman"/>
              </w:rPr>
            </w:pPr>
            <w:r>
              <w:rPr>
                <w:rFonts w:eastAsia="Times New Roman"/>
                <w:b/>
                <w:bCs/>
                <w:color w:val="000000"/>
                <w:sz w:val="13"/>
                <w:szCs w:val="13"/>
              </w:rPr>
              <w:t>Three Months Ended June 30, 2021</w:t>
            </w:r>
          </w:p>
        </w:tc>
      </w:tr>
      <w:tr w:rsidR="00000000" w14:paraId="5393F943" w14:textId="77777777">
        <w:trPr>
          <w:divId w:val="1380520592"/>
        </w:trPr>
        <w:tc>
          <w:tcPr>
            <w:tcW w:w="0" w:type="auto"/>
            <w:gridSpan w:val="3"/>
            <w:tcMar>
              <w:top w:w="0" w:type="dxa"/>
              <w:left w:w="20" w:type="dxa"/>
              <w:bottom w:w="0" w:type="dxa"/>
              <w:right w:w="20" w:type="dxa"/>
            </w:tcMar>
            <w:vAlign w:val="center"/>
            <w:hideMark/>
          </w:tcPr>
          <w:p w14:paraId="49A2A62D"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FCDE9B4" w14:textId="77777777" w:rsidR="00000000" w:rsidRDefault="00A173A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198BAB09" w14:textId="77777777" w:rsidR="00000000" w:rsidRDefault="00A173A8">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1E2D2980"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59DD3F0" w14:textId="77777777" w:rsidR="00000000" w:rsidRDefault="00A173A8">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52D8801E"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6B7E83F"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55A18F"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23E1A3" w14:textId="77777777" w:rsidR="00000000" w:rsidRDefault="00A173A8">
            <w:pPr>
              <w:spacing w:after="100"/>
              <w:rPr>
                <w:rFonts w:eastAsia="Times New Roman"/>
                <w:sz w:val="20"/>
                <w:szCs w:val="20"/>
              </w:rPr>
            </w:pPr>
          </w:p>
        </w:tc>
      </w:tr>
      <w:tr w:rsidR="00000000" w14:paraId="3155CDFD" w14:textId="77777777">
        <w:trPr>
          <w:divId w:val="1380520592"/>
        </w:trPr>
        <w:tc>
          <w:tcPr>
            <w:tcW w:w="0" w:type="auto"/>
            <w:gridSpan w:val="3"/>
            <w:tcBorders>
              <w:bottom w:val="single" w:sz="8" w:space="0" w:color="000000"/>
            </w:tcBorders>
            <w:tcMar>
              <w:top w:w="30" w:type="dxa"/>
              <w:left w:w="20" w:type="dxa"/>
              <w:bottom w:w="30" w:type="dxa"/>
              <w:right w:w="20" w:type="dxa"/>
            </w:tcMar>
            <w:vAlign w:val="bottom"/>
            <w:hideMark/>
          </w:tcPr>
          <w:p w14:paraId="6ECE7161" w14:textId="77777777" w:rsidR="00000000" w:rsidRDefault="00A173A8">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00E0819D"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D922C0" w14:textId="77777777" w:rsidR="00000000" w:rsidRDefault="00A173A8">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0816FADE"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A2D0CA" w14:textId="77777777" w:rsidR="00000000" w:rsidRDefault="00A173A8">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2530D3C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39B057" w14:textId="77777777" w:rsidR="00000000" w:rsidRDefault="00A173A8">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092EF02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BF7C8D" w14:textId="77777777" w:rsidR="00000000" w:rsidRDefault="00A173A8">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151A278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6A6A7D" w14:textId="77777777" w:rsidR="00000000" w:rsidRDefault="00A173A8">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3884031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7786B6" w14:textId="77777777" w:rsidR="00000000" w:rsidRDefault="00A173A8">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7377C988"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7B694E" w14:textId="77777777" w:rsidR="00000000" w:rsidRDefault="00A173A8">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7A83BBC2"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AC70D4B" w14:textId="77777777" w:rsidR="00000000" w:rsidRDefault="00A173A8">
            <w:pPr>
              <w:spacing w:after="100"/>
              <w:jc w:val="center"/>
              <w:rPr>
                <w:rFonts w:eastAsia="Times New Roman"/>
              </w:rPr>
            </w:pPr>
            <w:r>
              <w:rPr>
                <w:rFonts w:eastAsia="Times New Roman"/>
                <w:b/>
                <w:bCs/>
                <w:color w:val="000000"/>
                <w:sz w:val="13"/>
                <w:szCs w:val="13"/>
              </w:rPr>
              <w:t>Total</w:t>
            </w:r>
          </w:p>
        </w:tc>
      </w:tr>
      <w:tr w:rsidR="00000000" w14:paraId="4832CEF3" w14:textId="77777777">
        <w:trPr>
          <w:divId w:val="1380520592"/>
        </w:trPr>
        <w:tc>
          <w:tcPr>
            <w:tcW w:w="0" w:type="auto"/>
            <w:gridSpan w:val="3"/>
            <w:shd w:val="clear" w:color="auto" w:fill="FFFFFF"/>
            <w:tcMar>
              <w:top w:w="30" w:type="dxa"/>
              <w:left w:w="20" w:type="dxa"/>
              <w:bottom w:w="30" w:type="dxa"/>
              <w:right w:w="20" w:type="dxa"/>
            </w:tcMar>
            <w:vAlign w:val="bottom"/>
            <w:hideMark/>
          </w:tcPr>
          <w:p w14:paraId="43CC3149" w14:textId="77777777" w:rsidR="00000000" w:rsidRDefault="00A173A8">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0B8B9736"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34B65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447C5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8626FF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6F361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C7A1F5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120FE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F9A21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CCC9B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6243A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CA018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AAA51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8C2A9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4B98F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38CE1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483555" w14:textId="77777777" w:rsidR="00000000" w:rsidRDefault="00A173A8">
            <w:pPr>
              <w:spacing w:after="100"/>
              <w:rPr>
                <w:rFonts w:eastAsia="Times New Roman"/>
                <w:sz w:val="20"/>
                <w:szCs w:val="20"/>
              </w:rPr>
            </w:pPr>
          </w:p>
        </w:tc>
      </w:tr>
      <w:tr w:rsidR="00000000" w14:paraId="62DB13C2" w14:textId="77777777">
        <w:trPr>
          <w:divId w:val="1380520592"/>
        </w:trPr>
        <w:tc>
          <w:tcPr>
            <w:tcW w:w="0" w:type="auto"/>
            <w:gridSpan w:val="3"/>
            <w:shd w:val="clear" w:color="auto" w:fill="CCEEFF"/>
            <w:tcMar>
              <w:top w:w="30" w:type="dxa"/>
              <w:left w:w="20" w:type="dxa"/>
              <w:bottom w:w="30" w:type="dxa"/>
              <w:right w:w="20" w:type="dxa"/>
            </w:tcMar>
            <w:vAlign w:val="bottom"/>
            <w:hideMark/>
          </w:tcPr>
          <w:p w14:paraId="603A2EA5" w14:textId="77777777" w:rsidR="00000000" w:rsidRDefault="00A173A8">
            <w:pPr>
              <w:spacing w:after="100"/>
              <w:rPr>
                <w:rFonts w:eastAsia="Times New Roman"/>
              </w:rPr>
            </w:pPr>
            <w:r>
              <w:rPr>
                <w:rFonts w:eastAsia="Times New Roman"/>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14:paraId="331C5F2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27A8A78"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21F05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C364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2BC724"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C839F7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8AA8D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7D55D8"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D53095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9A78E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1DA431"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630B6F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78F9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7CBC12"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F47D02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8A12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1A8E10"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CC8C73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E7DC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7B8F77" w14:textId="77777777" w:rsidR="00000000" w:rsidRDefault="00A173A8">
            <w:pPr>
              <w:spacing w:after="100"/>
              <w:jc w:val="right"/>
              <w:rPr>
                <w:rFonts w:eastAsia="Times New Roman"/>
              </w:rPr>
            </w:pPr>
            <w:r>
              <w:rPr>
                <w:rFonts w:eastAsia="Times New Roman"/>
                <w:color w:val="000000"/>
                <w:sz w:val="16"/>
                <w:szCs w:val="16"/>
              </w:rPr>
              <w:t>187 </w:t>
            </w:r>
          </w:p>
        </w:tc>
        <w:tc>
          <w:tcPr>
            <w:tcW w:w="0" w:type="auto"/>
            <w:shd w:val="clear" w:color="auto" w:fill="CCEEFF"/>
            <w:tcMar>
              <w:top w:w="30" w:type="dxa"/>
              <w:left w:w="0" w:type="dxa"/>
              <w:bottom w:w="30" w:type="dxa"/>
              <w:right w:w="20" w:type="dxa"/>
            </w:tcMar>
            <w:vAlign w:val="center"/>
            <w:hideMark/>
          </w:tcPr>
          <w:p w14:paraId="353B71D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8A317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99B56C" w14:textId="77777777" w:rsidR="00000000" w:rsidRDefault="00A173A8">
            <w:pPr>
              <w:spacing w:after="100"/>
              <w:jc w:val="right"/>
              <w:rPr>
                <w:rFonts w:eastAsia="Times New Roman"/>
              </w:rPr>
            </w:pPr>
            <w:r>
              <w:rPr>
                <w:rFonts w:eastAsia="Times New Roman"/>
                <w:color w:val="000000"/>
                <w:sz w:val="16"/>
                <w:szCs w:val="16"/>
              </w:rPr>
              <w:t>187 </w:t>
            </w:r>
          </w:p>
        </w:tc>
        <w:tc>
          <w:tcPr>
            <w:tcW w:w="0" w:type="auto"/>
            <w:shd w:val="clear" w:color="auto" w:fill="CCEEFF"/>
            <w:tcMar>
              <w:top w:w="30" w:type="dxa"/>
              <w:left w:w="0" w:type="dxa"/>
              <w:bottom w:w="30" w:type="dxa"/>
              <w:right w:w="20" w:type="dxa"/>
            </w:tcMar>
            <w:vAlign w:val="center"/>
            <w:hideMark/>
          </w:tcPr>
          <w:p w14:paraId="17D1B35F" w14:textId="77777777" w:rsidR="00000000" w:rsidRDefault="00A173A8">
            <w:pPr>
              <w:spacing w:after="100"/>
              <w:jc w:val="right"/>
              <w:rPr>
                <w:rFonts w:eastAsia="Times New Roman"/>
              </w:rPr>
            </w:pPr>
          </w:p>
        </w:tc>
      </w:tr>
      <w:tr w:rsidR="00000000" w14:paraId="17DA5536" w14:textId="77777777">
        <w:trPr>
          <w:divId w:val="1380520592"/>
        </w:trPr>
        <w:tc>
          <w:tcPr>
            <w:tcW w:w="0" w:type="auto"/>
            <w:gridSpan w:val="3"/>
            <w:shd w:val="clear" w:color="auto" w:fill="FFFFFF"/>
            <w:tcMar>
              <w:top w:w="30" w:type="dxa"/>
              <w:left w:w="20" w:type="dxa"/>
              <w:bottom w:w="30" w:type="dxa"/>
              <w:right w:w="20" w:type="dxa"/>
            </w:tcMar>
            <w:vAlign w:val="center"/>
            <w:hideMark/>
          </w:tcPr>
          <w:p w14:paraId="0991E7ED" w14:textId="77777777" w:rsidR="00000000" w:rsidRDefault="00A173A8">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3D7B188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690468"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5DACBF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EC54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73F26A"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327A56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017A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997D2C"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C63F0B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15FCA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89CB7D"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8503E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86D1E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2FA664"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30F46D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E3B6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DA3503"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43096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3A6A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1D0680" w14:textId="77777777" w:rsidR="00000000" w:rsidRDefault="00A173A8">
            <w:pPr>
              <w:spacing w:after="100"/>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center"/>
            <w:hideMark/>
          </w:tcPr>
          <w:p w14:paraId="7E8F07F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129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0B67F1" w14:textId="77777777" w:rsidR="00000000" w:rsidRDefault="00A173A8">
            <w:pPr>
              <w:spacing w:after="100"/>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center"/>
            <w:hideMark/>
          </w:tcPr>
          <w:p w14:paraId="159F35A9" w14:textId="77777777" w:rsidR="00000000" w:rsidRDefault="00A173A8">
            <w:pPr>
              <w:spacing w:after="100"/>
              <w:jc w:val="right"/>
              <w:rPr>
                <w:rFonts w:eastAsia="Times New Roman"/>
              </w:rPr>
            </w:pPr>
          </w:p>
        </w:tc>
      </w:tr>
      <w:tr w:rsidR="00000000" w14:paraId="52266047" w14:textId="77777777">
        <w:trPr>
          <w:divId w:val="1380520592"/>
        </w:trPr>
        <w:tc>
          <w:tcPr>
            <w:tcW w:w="0" w:type="auto"/>
            <w:gridSpan w:val="3"/>
            <w:vAlign w:val="center"/>
            <w:hideMark/>
          </w:tcPr>
          <w:p w14:paraId="2E03B0AA" w14:textId="77777777" w:rsidR="00000000" w:rsidRDefault="00A173A8">
            <w:pPr>
              <w:spacing w:after="100"/>
              <w:jc w:val="right"/>
              <w:rPr>
                <w:rFonts w:eastAsia="Times New Roman"/>
                <w:sz w:val="20"/>
                <w:szCs w:val="20"/>
              </w:rPr>
            </w:pPr>
          </w:p>
        </w:tc>
        <w:tc>
          <w:tcPr>
            <w:tcW w:w="0" w:type="auto"/>
            <w:gridSpan w:val="3"/>
            <w:vAlign w:val="center"/>
            <w:hideMark/>
          </w:tcPr>
          <w:p w14:paraId="5E9D3E80" w14:textId="77777777" w:rsidR="00000000" w:rsidRDefault="00A173A8">
            <w:pPr>
              <w:spacing w:after="100"/>
              <w:rPr>
                <w:rFonts w:eastAsia="Times New Roman"/>
                <w:sz w:val="20"/>
                <w:szCs w:val="20"/>
              </w:rPr>
            </w:pPr>
          </w:p>
        </w:tc>
        <w:tc>
          <w:tcPr>
            <w:tcW w:w="0" w:type="auto"/>
            <w:gridSpan w:val="3"/>
            <w:vAlign w:val="center"/>
            <w:hideMark/>
          </w:tcPr>
          <w:p w14:paraId="51739F0C" w14:textId="77777777" w:rsidR="00000000" w:rsidRDefault="00A173A8">
            <w:pPr>
              <w:spacing w:after="100"/>
              <w:rPr>
                <w:rFonts w:eastAsia="Times New Roman"/>
                <w:sz w:val="20"/>
                <w:szCs w:val="20"/>
              </w:rPr>
            </w:pPr>
          </w:p>
        </w:tc>
        <w:tc>
          <w:tcPr>
            <w:tcW w:w="0" w:type="auto"/>
            <w:gridSpan w:val="3"/>
            <w:vAlign w:val="center"/>
            <w:hideMark/>
          </w:tcPr>
          <w:p w14:paraId="5BA97470" w14:textId="77777777" w:rsidR="00000000" w:rsidRDefault="00A173A8">
            <w:pPr>
              <w:spacing w:after="100"/>
              <w:rPr>
                <w:rFonts w:eastAsia="Times New Roman"/>
                <w:sz w:val="20"/>
                <w:szCs w:val="20"/>
              </w:rPr>
            </w:pPr>
          </w:p>
        </w:tc>
        <w:tc>
          <w:tcPr>
            <w:tcW w:w="0" w:type="auto"/>
            <w:gridSpan w:val="3"/>
            <w:vAlign w:val="center"/>
            <w:hideMark/>
          </w:tcPr>
          <w:p w14:paraId="0EE4C7CE" w14:textId="77777777" w:rsidR="00000000" w:rsidRDefault="00A173A8">
            <w:pPr>
              <w:spacing w:after="100"/>
              <w:rPr>
                <w:rFonts w:eastAsia="Times New Roman"/>
                <w:sz w:val="20"/>
                <w:szCs w:val="20"/>
              </w:rPr>
            </w:pPr>
          </w:p>
        </w:tc>
        <w:tc>
          <w:tcPr>
            <w:tcW w:w="0" w:type="auto"/>
            <w:gridSpan w:val="3"/>
            <w:vAlign w:val="center"/>
            <w:hideMark/>
          </w:tcPr>
          <w:p w14:paraId="79D1D883" w14:textId="77777777" w:rsidR="00000000" w:rsidRDefault="00A173A8">
            <w:pPr>
              <w:spacing w:after="100"/>
              <w:rPr>
                <w:rFonts w:eastAsia="Times New Roman"/>
                <w:sz w:val="20"/>
                <w:szCs w:val="20"/>
              </w:rPr>
            </w:pPr>
          </w:p>
        </w:tc>
        <w:tc>
          <w:tcPr>
            <w:tcW w:w="0" w:type="auto"/>
            <w:gridSpan w:val="3"/>
            <w:vAlign w:val="center"/>
            <w:hideMark/>
          </w:tcPr>
          <w:p w14:paraId="026C2004" w14:textId="77777777" w:rsidR="00000000" w:rsidRDefault="00A173A8">
            <w:pPr>
              <w:spacing w:after="100"/>
              <w:rPr>
                <w:rFonts w:eastAsia="Times New Roman"/>
                <w:sz w:val="20"/>
                <w:szCs w:val="20"/>
              </w:rPr>
            </w:pPr>
          </w:p>
        </w:tc>
        <w:tc>
          <w:tcPr>
            <w:tcW w:w="0" w:type="auto"/>
            <w:gridSpan w:val="3"/>
            <w:vAlign w:val="center"/>
            <w:hideMark/>
          </w:tcPr>
          <w:p w14:paraId="0914E7D6" w14:textId="77777777" w:rsidR="00000000" w:rsidRDefault="00A173A8">
            <w:pPr>
              <w:spacing w:after="100"/>
              <w:rPr>
                <w:rFonts w:eastAsia="Times New Roman"/>
                <w:sz w:val="20"/>
                <w:szCs w:val="20"/>
              </w:rPr>
            </w:pPr>
          </w:p>
        </w:tc>
        <w:tc>
          <w:tcPr>
            <w:tcW w:w="0" w:type="auto"/>
            <w:gridSpan w:val="3"/>
            <w:vAlign w:val="center"/>
            <w:hideMark/>
          </w:tcPr>
          <w:p w14:paraId="020EC0EF" w14:textId="77777777" w:rsidR="00000000" w:rsidRDefault="00A173A8">
            <w:pPr>
              <w:spacing w:after="100"/>
              <w:rPr>
                <w:rFonts w:eastAsia="Times New Roman"/>
                <w:sz w:val="20"/>
                <w:szCs w:val="20"/>
              </w:rPr>
            </w:pPr>
          </w:p>
        </w:tc>
        <w:tc>
          <w:tcPr>
            <w:tcW w:w="0" w:type="auto"/>
            <w:gridSpan w:val="3"/>
            <w:vAlign w:val="center"/>
            <w:hideMark/>
          </w:tcPr>
          <w:p w14:paraId="0B0C402C" w14:textId="77777777" w:rsidR="00000000" w:rsidRDefault="00A173A8">
            <w:pPr>
              <w:spacing w:after="100"/>
              <w:rPr>
                <w:rFonts w:eastAsia="Times New Roman"/>
                <w:sz w:val="20"/>
                <w:szCs w:val="20"/>
              </w:rPr>
            </w:pPr>
          </w:p>
        </w:tc>
        <w:tc>
          <w:tcPr>
            <w:tcW w:w="0" w:type="auto"/>
            <w:gridSpan w:val="3"/>
            <w:vAlign w:val="center"/>
            <w:hideMark/>
          </w:tcPr>
          <w:p w14:paraId="70069AC6" w14:textId="77777777" w:rsidR="00000000" w:rsidRDefault="00A173A8">
            <w:pPr>
              <w:spacing w:after="100"/>
              <w:rPr>
                <w:rFonts w:eastAsia="Times New Roman"/>
                <w:sz w:val="20"/>
                <w:szCs w:val="20"/>
              </w:rPr>
            </w:pPr>
          </w:p>
        </w:tc>
        <w:tc>
          <w:tcPr>
            <w:tcW w:w="0" w:type="auto"/>
            <w:gridSpan w:val="3"/>
            <w:vAlign w:val="center"/>
            <w:hideMark/>
          </w:tcPr>
          <w:p w14:paraId="486C901A" w14:textId="77777777" w:rsidR="00000000" w:rsidRDefault="00A173A8">
            <w:pPr>
              <w:spacing w:after="100"/>
              <w:rPr>
                <w:rFonts w:eastAsia="Times New Roman"/>
                <w:sz w:val="20"/>
                <w:szCs w:val="20"/>
              </w:rPr>
            </w:pPr>
          </w:p>
        </w:tc>
        <w:tc>
          <w:tcPr>
            <w:tcW w:w="0" w:type="auto"/>
            <w:gridSpan w:val="3"/>
            <w:vAlign w:val="center"/>
            <w:hideMark/>
          </w:tcPr>
          <w:p w14:paraId="07E11056" w14:textId="77777777" w:rsidR="00000000" w:rsidRDefault="00A173A8">
            <w:pPr>
              <w:spacing w:after="100"/>
              <w:rPr>
                <w:rFonts w:eastAsia="Times New Roman"/>
                <w:sz w:val="20"/>
                <w:szCs w:val="20"/>
              </w:rPr>
            </w:pPr>
          </w:p>
        </w:tc>
        <w:tc>
          <w:tcPr>
            <w:tcW w:w="0" w:type="auto"/>
            <w:gridSpan w:val="3"/>
            <w:vAlign w:val="center"/>
            <w:hideMark/>
          </w:tcPr>
          <w:p w14:paraId="603C7361" w14:textId="77777777" w:rsidR="00000000" w:rsidRDefault="00A173A8">
            <w:pPr>
              <w:spacing w:after="100"/>
              <w:rPr>
                <w:rFonts w:eastAsia="Times New Roman"/>
                <w:sz w:val="20"/>
                <w:szCs w:val="20"/>
              </w:rPr>
            </w:pPr>
          </w:p>
        </w:tc>
        <w:tc>
          <w:tcPr>
            <w:tcW w:w="0" w:type="auto"/>
            <w:gridSpan w:val="3"/>
            <w:vAlign w:val="center"/>
            <w:hideMark/>
          </w:tcPr>
          <w:p w14:paraId="0A233CAA" w14:textId="77777777" w:rsidR="00000000" w:rsidRDefault="00A173A8">
            <w:pPr>
              <w:spacing w:after="100"/>
              <w:rPr>
                <w:rFonts w:eastAsia="Times New Roman"/>
                <w:sz w:val="20"/>
                <w:szCs w:val="20"/>
              </w:rPr>
            </w:pPr>
          </w:p>
        </w:tc>
        <w:tc>
          <w:tcPr>
            <w:tcW w:w="0" w:type="auto"/>
            <w:gridSpan w:val="3"/>
            <w:vAlign w:val="center"/>
            <w:hideMark/>
          </w:tcPr>
          <w:p w14:paraId="04DAF2DE" w14:textId="77777777" w:rsidR="00000000" w:rsidRDefault="00A173A8">
            <w:pPr>
              <w:spacing w:after="100"/>
              <w:rPr>
                <w:rFonts w:eastAsia="Times New Roman"/>
                <w:sz w:val="20"/>
                <w:szCs w:val="20"/>
              </w:rPr>
            </w:pPr>
          </w:p>
        </w:tc>
        <w:tc>
          <w:tcPr>
            <w:tcW w:w="0" w:type="auto"/>
            <w:gridSpan w:val="3"/>
            <w:vAlign w:val="center"/>
            <w:hideMark/>
          </w:tcPr>
          <w:p w14:paraId="5EA3EF76" w14:textId="77777777" w:rsidR="00000000" w:rsidRDefault="00A173A8">
            <w:pPr>
              <w:spacing w:after="100"/>
              <w:rPr>
                <w:rFonts w:eastAsia="Times New Roman"/>
                <w:sz w:val="20"/>
                <w:szCs w:val="20"/>
              </w:rPr>
            </w:pPr>
          </w:p>
        </w:tc>
      </w:tr>
      <w:tr w:rsidR="00000000" w14:paraId="646BE0BC" w14:textId="77777777">
        <w:trPr>
          <w:divId w:val="1380520592"/>
        </w:trPr>
        <w:tc>
          <w:tcPr>
            <w:tcW w:w="0" w:type="auto"/>
            <w:gridSpan w:val="3"/>
            <w:shd w:val="clear" w:color="auto" w:fill="CCEEFF"/>
            <w:tcMar>
              <w:top w:w="30" w:type="dxa"/>
              <w:left w:w="20" w:type="dxa"/>
              <w:bottom w:w="30" w:type="dxa"/>
              <w:right w:w="20" w:type="dxa"/>
            </w:tcMar>
            <w:vAlign w:val="bottom"/>
            <w:hideMark/>
          </w:tcPr>
          <w:p w14:paraId="2548588A" w14:textId="77777777" w:rsidR="00000000" w:rsidRDefault="00A173A8">
            <w:pPr>
              <w:spacing w:after="100"/>
              <w:rPr>
                <w:rFonts w:eastAsia="Times New Roman"/>
              </w:rPr>
            </w:pPr>
            <w:r>
              <w:rPr>
                <w:rFonts w:eastAsia="Times New Roman"/>
                <w:color w:val="000000"/>
                <w:sz w:val="16"/>
                <w:szCs w:val="16"/>
              </w:rPr>
              <w:t>Balance as of June 30, 2021</w:t>
            </w:r>
          </w:p>
        </w:tc>
        <w:tc>
          <w:tcPr>
            <w:tcW w:w="0" w:type="auto"/>
            <w:gridSpan w:val="3"/>
            <w:shd w:val="clear" w:color="auto" w:fill="CCEEFF"/>
            <w:tcMar>
              <w:top w:w="0" w:type="dxa"/>
              <w:left w:w="20" w:type="dxa"/>
              <w:bottom w:w="0" w:type="dxa"/>
              <w:right w:w="20" w:type="dxa"/>
            </w:tcMar>
            <w:vAlign w:val="center"/>
            <w:hideMark/>
          </w:tcPr>
          <w:p w14:paraId="63796A51"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3F08A81"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FE51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BB8D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10FD66C"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A1A26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154D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7F9D42"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C0C3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516C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2E76859"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9ADD9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30F9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E90C4F"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8A1C5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6E608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798E28"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4F651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5943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740E06" w14:textId="77777777" w:rsidR="00000000" w:rsidRDefault="00A173A8">
            <w:pPr>
              <w:spacing w:after="100"/>
              <w:jc w:val="right"/>
              <w:rPr>
                <w:rFonts w:eastAsia="Times New Roman"/>
              </w:rPr>
            </w:pPr>
            <w:r>
              <w:rPr>
                <w:rFonts w:eastAsia="Times New Roman"/>
                <w:color w:val="000000"/>
                <w:sz w:val="16"/>
                <w:szCs w:val="16"/>
              </w:rPr>
              <w:t>164 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F4AC25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D518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FC7E8E" w14:textId="77777777" w:rsidR="00000000" w:rsidRDefault="00A173A8">
            <w:pPr>
              <w:spacing w:after="100"/>
              <w:jc w:val="right"/>
              <w:rPr>
                <w:rFonts w:eastAsia="Times New Roman"/>
              </w:rPr>
            </w:pPr>
            <w:r>
              <w:rPr>
                <w:rFonts w:eastAsia="Times New Roman"/>
                <w:color w:val="000000"/>
                <w:sz w:val="16"/>
                <w:szCs w:val="16"/>
              </w:rPr>
              <w:t>164 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8FEC60" w14:textId="77777777" w:rsidR="00000000" w:rsidRDefault="00A173A8">
            <w:pPr>
              <w:spacing w:after="100"/>
              <w:jc w:val="right"/>
              <w:rPr>
                <w:rFonts w:eastAsia="Times New Roman"/>
              </w:rPr>
            </w:pPr>
          </w:p>
        </w:tc>
      </w:tr>
      <w:tr w:rsidR="00A173A8" w14:paraId="2AF8E728" w14:textId="77777777">
        <w:trPr>
          <w:divId w:val="1380520592"/>
        </w:trPr>
        <w:tc>
          <w:tcPr>
            <w:tcW w:w="0" w:type="auto"/>
            <w:gridSpan w:val="3"/>
            <w:shd w:val="clear" w:color="auto" w:fill="FFFFFF"/>
            <w:tcMar>
              <w:top w:w="30" w:type="dxa"/>
              <w:left w:w="20" w:type="dxa"/>
              <w:bottom w:w="30" w:type="dxa"/>
              <w:right w:w="20" w:type="dxa"/>
            </w:tcMar>
            <w:vAlign w:val="bottom"/>
            <w:hideMark/>
          </w:tcPr>
          <w:p w14:paraId="19997F8A" w14:textId="77777777" w:rsidR="00000000" w:rsidRDefault="00A173A8">
            <w:pPr>
              <w:spacing w:after="100"/>
              <w:rPr>
                <w:rFonts w:eastAsia="Times New Roman"/>
              </w:rPr>
            </w:pPr>
            <w:r>
              <w:rPr>
                <w:rFonts w:eastAsia="Times New Roman"/>
                <w:b/>
                <w:bCs/>
                <w:color w:val="000000"/>
                <w:sz w:val="16"/>
                <w:szCs w:val="16"/>
              </w:rPr>
              <w:t>Combined allowance and reserve as of June 30, 2021</w:t>
            </w:r>
          </w:p>
        </w:tc>
        <w:tc>
          <w:tcPr>
            <w:tcW w:w="0" w:type="auto"/>
            <w:gridSpan w:val="3"/>
            <w:shd w:val="clear" w:color="auto" w:fill="FFFFFF"/>
            <w:tcMar>
              <w:top w:w="0" w:type="dxa"/>
              <w:left w:w="20" w:type="dxa"/>
              <w:bottom w:w="0" w:type="dxa"/>
              <w:right w:w="20" w:type="dxa"/>
            </w:tcMar>
            <w:vAlign w:val="center"/>
            <w:hideMark/>
          </w:tcPr>
          <w:p w14:paraId="30BE928C"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A08CE4B"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EDEC705" w14:textId="77777777" w:rsidR="00000000" w:rsidRDefault="00A173A8">
            <w:pPr>
              <w:spacing w:after="100"/>
              <w:jc w:val="right"/>
              <w:rPr>
                <w:rFonts w:eastAsia="Times New Roman"/>
              </w:rPr>
            </w:pPr>
            <w:r>
              <w:rPr>
                <w:rFonts w:eastAsia="Times New Roman"/>
                <w:color w:val="000000"/>
                <w:sz w:val="16"/>
                <w:szCs w:val="16"/>
              </w:rPr>
              <w:t>8,489 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385F8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5D0B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F73E606"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C4C5835" w14:textId="77777777" w:rsidR="00000000" w:rsidRDefault="00A173A8">
            <w:pPr>
              <w:spacing w:after="100"/>
              <w:jc w:val="right"/>
              <w:rPr>
                <w:rFonts w:eastAsia="Times New Roman"/>
              </w:rPr>
            </w:pPr>
            <w:r>
              <w:rPr>
                <w:rFonts w:eastAsia="Times New Roman"/>
                <w:color w:val="000000"/>
                <w:sz w:val="16"/>
                <w:szCs w:val="16"/>
              </w:rPr>
              <w:t>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7E0D5E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7AC0EF"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B48455A"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E994DD5" w14:textId="77777777" w:rsidR="00000000" w:rsidRDefault="00A173A8">
            <w:pPr>
              <w:spacing w:after="100"/>
              <w:jc w:val="right"/>
              <w:rPr>
                <w:rFonts w:eastAsia="Times New Roman"/>
              </w:rPr>
            </w:pPr>
            <w:r>
              <w:rPr>
                <w:rFonts w:eastAsia="Times New Roman"/>
                <w:color w:val="000000"/>
                <w:sz w:val="16"/>
                <w:szCs w:val="16"/>
              </w:rPr>
              <w:t>8,873 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A4BD0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61C0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EBDB399"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E9FCEDF" w14:textId="77777777" w:rsidR="00000000" w:rsidRDefault="00A173A8">
            <w:pPr>
              <w:spacing w:after="100"/>
              <w:jc w:val="right"/>
              <w:rPr>
                <w:rFonts w:eastAsia="Times New Roman"/>
              </w:rPr>
            </w:pPr>
            <w:r>
              <w:rPr>
                <w:rFonts w:eastAsia="Times New Roman"/>
                <w:color w:val="000000"/>
                <w:sz w:val="16"/>
                <w:szCs w:val="16"/>
              </w:rPr>
              <w:t>2,122 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3D0162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EDD70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F5E84ED"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81E5515" w14:textId="77777777" w:rsidR="00000000" w:rsidRDefault="00A173A8">
            <w:pPr>
              <w:spacing w:after="100"/>
              <w:jc w:val="right"/>
              <w:rPr>
                <w:rFonts w:eastAsia="Times New Roman"/>
              </w:rPr>
            </w:pPr>
            <w:r>
              <w:rPr>
                <w:rFonts w:eastAsia="Times New Roman"/>
                <w:color w:val="000000"/>
                <w:sz w:val="16"/>
                <w:szCs w:val="16"/>
              </w:rPr>
              <w:t>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EB2F0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E71B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21D7DCF"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0701923" w14:textId="77777777" w:rsidR="00000000" w:rsidRDefault="00A173A8">
            <w:pPr>
              <w:spacing w:after="100"/>
              <w:jc w:val="right"/>
              <w:rPr>
                <w:rFonts w:eastAsia="Times New Roman"/>
              </w:rPr>
            </w:pPr>
            <w:r>
              <w:rPr>
                <w:rFonts w:eastAsia="Times New Roman"/>
                <w:color w:val="000000"/>
                <w:sz w:val="16"/>
                <w:szCs w:val="16"/>
              </w:rPr>
              <w:t>2,203 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7810A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738F2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84854DE"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9EC8004" w14:textId="77777777" w:rsidR="00000000" w:rsidRDefault="00A173A8">
            <w:pPr>
              <w:spacing w:after="100"/>
              <w:jc w:val="right"/>
              <w:rPr>
                <w:rFonts w:eastAsia="Times New Roman"/>
              </w:rPr>
            </w:pPr>
            <w:r>
              <w:rPr>
                <w:rFonts w:eastAsia="Times New Roman"/>
                <w:color w:val="000000"/>
                <w:sz w:val="16"/>
                <w:szCs w:val="16"/>
              </w:rPr>
              <w:t>1,434 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0F8229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3247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2AAB282"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98F2342" w14:textId="77777777" w:rsidR="00000000" w:rsidRDefault="00A173A8">
            <w:pPr>
              <w:spacing w:after="100"/>
              <w:jc w:val="right"/>
              <w:rPr>
                <w:rFonts w:eastAsia="Times New Roman"/>
              </w:rPr>
            </w:pPr>
            <w:r>
              <w:rPr>
                <w:rFonts w:eastAsia="Times New Roman"/>
                <w:color w:val="000000"/>
                <w:sz w:val="16"/>
                <w:szCs w:val="16"/>
              </w:rPr>
              <w:t>12,510 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3486289" w14:textId="77777777" w:rsidR="00000000" w:rsidRDefault="00A173A8">
            <w:pPr>
              <w:spacing w:after="100"/>
              <w:jc w:val="right"/>
              <w:rPr>
                <w:rFonts w:eastAsia="Times New Roman"/>
              </w:rPr>
            </w:pPr>
          </w:p>
        </w:tc>
      </w:tr>
      <w:tr w:rsidR="00000000" w14:paraId="6F543B61" w14:textId="77777777">
        <w:trPr>
          <w:divId w:val="1380520592"/>
        </w:trPr>
        <w:tc>
          <w:tcPr>
            <w:tcW w:w="0" w:type="auto"/>
            <w:gridSpan w:val="3"/>
            <w:vAlign w:val="center"/>
            <w:hideMark/>
          </w:tcPr>
          <w:p w14:paraId="29C8A4A7" w14:textId="77777777" w:rsidR="00000000" w:rsidRDefault="00A173A8">
            <w:pPr>
              <w:spacing w:after="100"/>
              <w:jc w:val="right"/>
              <w:rPr>
                <w:rFonts w:eastAsia="Times New Roman"/>
                <w:sz w:val="20"/>
                <w:szCs w:val="20"/>
              </w:rPr>
            </w:pPr>
          </w:p>
        </w:tc>
        <w:tc>
          <w:tcPr>
            <w:tcW w:w="0" w:type="auto"/>
            <w:gridSpan w:val="3"/>
            <w:vAlign w:val="center"/>
            <w:hideMark/>
          </w:tcPr>
          <w:p w14:paraId="11615A36" w14:textId="77777777" w:rsidR="00000000" w:rsidRDefault="00A173A8">
            <w:pPr>
              <w:spacing w:after="100"/>
              <w:rPr>
                <w:rFonts w:eastAsia="Times New Roman"/>
                <w:sz w:val="20"/>
                <w:szCs w:val="20"/>
              </w:rPr>
            </w:pPr>
          </w:p>
        </w:tc>
        <w:tc>
          <w:tcPr>
            <w:tcW w:w="0" w:type="auto"/>
            <w:gridSpan w:val="3"/>
            <w:vAlign w:val="center"/>
            <w:hideMark/>
          </w:tcPr>
          <w:p w14:paraId="5ECE7E4A" w14:textId="77777777" w:rsidR="00000000" w:rsidRDefault="00A173A8">
            <w:pPr>
              <w:spacing w:after="100"/>
              <w:rPr>
                <w:rFonts w:eastAsia="Times New Roman"/>
                <w:sz w:val="20"/>
                <w:szCs w:val="20"/>
              </w:rPr>
            </w:pPr>
          </w:p>
        </w:tc>
        <w:tc>
          <w:tcPr>
            <w:tcW w:w="0" w:type="auto"/>
            <w:gridSpan w:val="3"/>
            <w:vAlign w:val="center"/>
            <w:hideMark/>
          </w:tcPr>
          <w:p w14:paraId="32CFD153" w14:textId="77777777" w:rsidR="00000000" w:rsidRDefault="00A173A8">
            <w:pPr>
              <w:spacing w:after="100"/>
              <w:rPr>
                <w:rFonts w:eastAsia="Times New Roman"/>
                <w:sz w:val="20"/>
                <w:szCs w:val="20"/>
              </w:rPr>
            </w:pPr>
          </w:p>
        </w:tc>
        <w:tc>
          <w:tcPr>
            <w:tcW w:w="0" w:type="auto"/>
            <w:gridSpan w:val="3"/>
            <w:vAlign w:val="center"/>
            <w:hideMark/>
          </w:tcPr>
          <w:p w14:paraId="699E1AF7" w14:textId="77777777" w:rsidR="00000000" w:rsidRDefault="00A173A8">
            <w:pPr>
              <w:spacing w:after="100"/>
              <w:rPr>
                <w:rFonts w:eastAsia="Times New Roman"/>
                <w:sz w:val="20"/>
                <w:szCs w:val="20"/>
              </w:rPr>
            </w:pPr>
          </w:p>
        </w:tc>
        <w:tc>
          <w:tcPr>
            <w:tcW w:w="0" w:type="auto"/>
            <w:gridSpan w:val="3"/>
            <w:vAlign w:val="center"/>
            <w:hideMark/>
          </w:tcPr>
          <w:p w14:paraId="717D704F" w14:textId="77777777" w:rsidR="00000000" w:rsidRDefault="00A173A8">
            <w:pPr>
              <w:spacing w:after="100"/>
              <w:rPr>
                <w:rFonts w:eastAsia="Times New Roman"/>
                <w:sz w:val="20"/>
                <w:szCs w:val="20"/>
              </w:rPr>
            </w:pPr>
          </w:p>
        </w:tc>
        <w:tc>
          <w:tcPr>
            <w:tcW w:w="0" w:type="auto"/>
            <w:gridSpan w:val="3"/>
            <w:vAlign w:val="center"/>
            <w:hideMark/>
          </w:tcPr>
          <w:p w14:paraId="744A8D31" w14:textId="77777777" w:rsidR="00000000" w:rsidRDefault="00A173A8">
            <w:pPr>
              <w:spacing w:after="100"/>
              <w:rPr>
                <w:rFonts w:eastAsia="Times New Roman"/>
                <w:sz w:val="20"/>
                <w:szCs w:val="20"/>
              </w:rPr>
            </w:pPr>
          </w:p>
        </w:tc>
        <w:tc>
          <w:tcPr>
            <w:tcW w:w="0" w:type="auto"/>
            <w:gridSpan w:val="3"/>
            <w:vAlign w:val="center"/>
            <w:hideMark/>
          </w:tcPr>
          <w:p w14:paraId="6B1792CD" w14:textId="77777777" w:rsidR="00000000" w:rsidRDefault="00A173A8">
            <w:pPr>
              <w:spacing w:after="100"/>
              <w:rPr>
                <w:rFonts w:eastAsia="Times New Roman"/>
                <w:sz w:val="20"/>
                <w:szCs w:val="20"/>
              </w:rPr>
            </w:pPr>
          </w:p>
        </w:tc>
        <w:tc>
          <w:tcPr>
            <w:tcW w:w="0" w:type="auto"/>
            <w:gridSpan w:val="3"/>
            <w:vAlign w:val="center"/>
            <w:hideMark/>
          </w:tcPr>
          <w:p w14:paraId="0267A203" w14:textId="77777777" w:rsidR="00000000" w:rsidRDefault="00A173A8">
            <w:pPr>
              <w:spacing w:after="100"/>
              <w:rPr>
                <w:rFonts w:eastAsia="Times New Roman"/>
                <w:sz w:val="20"/>
                <w:szCs w:val="20"/>
              </w:rPr>
            </w:pPr>
          </w:p>
        </w:tc>
        <w:tc>
          <w:tcPr>
            <w:tcW w:w="0" w:type="auto"/>
            <w:gridSpan w:val="3"/>
            <w:vAlign w:val="center"/>
            <w:hideMark/>
          </w:tcPr>
          <w:p w14:paraId="5CBEF0FB" w14:textId="77777777" w:rsidR="00000000" w:rsidRDefault="00A173A8">
            <w:pPr>
              <w:spacing w:after="100"/>
              <w:rPr>
                <w:rFonts w:eastAsia="Times New Roman"/>
                <w:sz w:val="20"/>
                <w:szCs w:val="20"/>
              </w:rPr>
            </w:pPr>
          </w:p>
        </w:tc>
        <w:tc>
          <w:tcPr>
            <w:tcW w:w="0" w:type="auto"/>
            <w:gridSpan w:val="3"/>
            <w:vAlign w:val="center"/>
            <w:hideMark/>
          </w:tcPr>
          <w:p w14:paraId="242FA740" w14:textId="77777777" w:rsidR="00000000" w:rsidRDefault="00A173A8">
            <w:pPr>
              <w:spacing w:after="100"/>
              <w:rPr>
                <w:rFonts w:eastAsia="Times New Roman"/>
                <w:sz w:val="20"/>
                <w:szCs w:val="20"/>
              </w:rPr>
            </w:pPr>
          </w:p>
        </w:tc>
        <w:tc>
          <w:tcPr>
            <w:tcW w:w="0" w:type="auto"/>
            <w:gridSpan w:val="3"/>
            <w:vAlign w:val="center"/>
            <w:hideMark/>
          </w:tcPr>
          <w:p w14:paraId="53301977" w14:textId="77777777" w:rsidR="00000000" w:rsidRDefault="00A173A8">
            <w:pPr>
              <w:spacing w:after="100"/>
              <w:rPr>
                <w:rFonts w:eastAsia="Times New Roman"/>
                <w:sz w:val="20"/>
                <w:szCs w:val="20"/>
              </w:rPr>
            </w:pPr>
          </w:p>
        </w:tc>
        <w:tc>
          <w:tcPr>
            <w:tcW w:w="0" w:type="auto"/>
            <w:gridSpan w:val="3"/>
            <w:vAlign w:val="center"/>
            <w:hideMark/>
          </w:tcPr>
          <w:p w14:paraId="774DD48D" w14:textId="77777777" w:rsidR="00000000" w:rsidRDefault="00A173A8">
            <w:pPr>
              <w:spacing w:after="100"/>
              <w:rPr>
                <w:rFonts w:eastAsia="Times New Roman"/>
                <w:sz w:val="20"/>
                <w:szCs w:val="20"/>
              </w:rPr>
            </w:pPr>
          </w:p>
        </w:tc>
        <w:tc>
          <w:tcPr>
            <w:tcW w:w="0" w:type="auto"/>
            <w:gridSpan w:val="3"/>
            <w:vAlign w:val="center"/>
            <w:hideMark/>
          </w:tcPr>
          <w:p w14:paraId="7FE01BC1" w14:textId="77777777" w:rsidR="00000000" w:rsidRDefault="00A173A8">
            <w:pPr>
              <w:spacing w:after="100"/>
              <w:rPr>
                <w:rFonts w:eastAsia="Times New Roman"/>
                <w:sz w:val="20"/>
                <w:szCs w:val="20"/>
              </w:rPr>
            </w:pPr>
          </w:p>
        </w:tc>
        <w:tc>
          <w:tcPr>
            <w:tcW w:w="0" w:type="auto"/>
            <w:gridSpan w:val="3"/>
            <w:vAlign w:val="center"/>
            <w:hideMark/>
          </w:tcPr>
          <w:p w14:paraId="5395C91A" w14:textId="77777777" w:rsidR="00000000" w:rsidRDefault="00A173A8">
            <w:pPr>
              <w:spacing w:after="100"/>
              <w:rPr>
                <w:rFonts w:eastAsia="Times New Roman"/>
                <w:sz w:val="20"/>
                <w:szCs w:val="20"/>
              </w:rPr>
            </w:pPr>
          </w:p>
        </w:tc>
        <w:tc>
          <w:tcPr>
            <w:tcW w:w="0" w:type="auto"/>
            <w:gridSpan w:val="3"/>
            <w:vAlign w:val="center"/>
            <w:hideMark/>
          </w:tcPr>
          <w:p w14:paraId="3450CC61" w14:textId="77777777" w:rsidR="00000000" w:rsidRDefault="00A173A8">
            <w:pPr>
              <w:spacing w:after="100"/>
              <w:rPr>
                <w:rFonts w:eastAsia="Times New Roman"/>
                <w:sz w:val="20"/>
                <w:szCs w:val="20"/>
              </w:rPr>
            </w:pPr>
          </w:p>
        </w:tc>
        <w:tc>
          <w:tcPr>
            <w:tcW w:w="0" w:type="auto"/>
            <w:gridSpan w:val="3"/>
            <w:vAlign w:val="center"/>
            <w:hideMark/>
          </w:tcPr>
          <w:p w14:paraId="1ABD683A" w14:textId="77777777" w:rsidR="00000000" w:rsidRDefault="00A173A8">
            <w:pPr>
              <w:spacing w:after="100"/>
              <w:rPr>
                <w:rFonts w:eastAsia="Times New Roman"/>
                <w:sz w:val="20"/>
                <w:szCs w:val="20"/>
              </w:rPr>
            </w:pPr>
          </w:p>
        </w:tc>
      </w:tr>
      <w:tr w:rsidR="00000000" w14:paraId="5863AD80" w14:textId="77777777">
        <w:trPr>
          <w:divId w:val="1380520592"/>
        </w:trPr>
        <w:tc>
          <w:tcPr>
            <w:tcW w:w="0" w:type="auto"/>
            <w:gridSpan w:val="3"/>
            <w:vAlign w:val="center"/>
            <w:hideMark/>
          </w:tcPr>
          <w:p w14:paraId="0D76EEEE" w14:textId="77777777" w:rsidR="00000000" w:rsidRDefault="00A173A8">
            <w:pPr>
              <w:spacing w:after="100"/>
              <w:rPr>
                <w:rFonts w:eastAsia="Times New Roman"/>
                <w:sz w:val="20"/>
                <w:szCs w:val="20"/>
              </w:rPr>
            </w:pPr>
          </w:p>
        </w:tc>
        <w:tc>
          <w:tcPr>
            <w:tcW w:w="0" w:type="auto"/>
            <w:gridSpan w:val="3"/>
            <w:vAlign w:val="center"/>
            <w:hideMark/>
          </w:tcPr>
          <w:p w14:paraId="26B8C926" w14:textId="77777777" w:rsidR="00000000" w:rsidRDefault="00A173A8">
            <w:pPr>
              <w:spacing w:after="100"/>
              <w:rPr>
                <w:rFonts w:eastAsia="Times New Roman"/>
                <w:sz w:val="20"/>
                <w:szCs w:val="20"/>
              </w:rPr>
            </w:pPr>
          </w:p>
        </w:tc>
        <w:tc>
          <w:tcPr>
            <w:tcW w:w="0" w:type="auto"/>
            <w:gridSpan w:val="3"/>
            <w:vAlign w:val="center"/>
            <w:hideMark/>
          </w:tcPr>
          <w:p w14:paraId="1A09827C" w14:textId="77777777" w:rsidR="00000000" w:rsidRDefault="00A173A8">
            <w:pPr>
              <w:spacing w:after="100"/>
              <w:rPr>
                <w:rFonts w:eastAsia="Times New Roman"/>
                <w:sz w:val="20"/>
                <w:szCs w:val="20"/>
              </w:rPr>
            </w:pPr>
          </w:p>
        </w:tc>
        <w:tc>
          <w:tcPr>
            <w:tcW w:w="0" w:type="auto"/>
            <w:gridSpan w:val="3"/>
            <w:vAlign w:val="center"/>
            <w:hideMark/>
          </w:tcPr>
          <w:p w14:paraId="79DF940D" w14:textId="77777777" w:rsidR="00000000" w:rsidRDefault="00A173A8">
            <w:pPr>
              <w:spacing w:after="100"/>
              <w:rPr>
                <w:rFonts w:eastAsia="Times New Roman"/>
                <w:sz w:val="20"/>
                <w:szCs w:val="20"/>
              </w:rPr>
            </w:pPr>
          </w:p>
        </w:tc>
        <w:tc>
          <w:tcPr>
            <w:tcW w:w="0" w:type="auto"/>
            <w:gridSpan w:val="3"/>
            <w:vAlign w:val="center"/>
            <w:hideMark/>
          </w:tcPr>
          <w:p w14:paraId="113FC218" w14:textId="77777777" w:rsidR="00000000" w:rsidRDefault="00A173A8">
            <w:pPr>
              <w:spacing w:after="100"/>
              <w:rPr>
                <w:rFonts w:eastAsia="Times New Roman"/>
                <w:sz w:val="20"/>
                <w:szCs w:val="20"/>
              </w:rPr>
            </w:pPr>
          </w:p>
        </w:tc>
        <w:tc>
          <w:tcPr>
            <w:tcW w:w="0" w:type="auto"/>
            <w:gridSpan w:val="3"/>
            <w:vAlign w:val="center"/>
            <w:hideMark/>
          </w:tcPr>
          <w:p w14:paraId="5605C080" w14:textId="77777777" w:rsidR="00000000" w:rsidRDefault="00A173A8">
            <w:pPr>
              <w:spacing w:after="100"/>
              <w:rPr>
                <w:rFonts w:eastAsia="Times New Roman"/>
                <w:sz w:val="20"/>
                <w:szCs w:val="20"/>
              </w:rPr>
            </w:pPr>
          </w:p>
        </w:tc>
        <w:tc>
          <w:tcPr>
            <w:tcW w:w="0" w:type="auto"/>
            <w:gridSpan w:val="3"/>
            <w:vAlign w:val="center"/>
            <w:hideMark/>
          </w:tcPr>
          <w:p w14:paraId="35B6C7AA" w14:textId="77777777" w:rsidR="00000000" w:rsidRDefault="00A173A8">
            <w:pPr>
              <w:spacing w:after="100"/>
              <w:rPr>
                <w:rFonts w:eastAsia="Times New Roman"/>
                <w:sz w:val="20"/>
                <w:szCs w:val="20"/>
              </w:rPr>
            </w:pPr>
          </w:p>
        </w:tc>
        <w:tc>
          <w:tcPr>
            <w:tcW w:w="0" w:type="auto"/>
            <w:gridSpan w:val="3"/>
            <w:vAlign w:val="center"/>
            <w:hideMark/>
          </w:tcPr>
          <w:p w14:paraId="4016A471" w14:textId="77777777" w:rsidR="00000000" w:rsidRDefault="00A173A8">
            <w:pPr>
              <w:spacing w:after="100"/>
              <w:rPr>
                <w:rFonts w:eastAsia="Times New Roman"/>
                <w:sz w:val="20"/>
                <w:szCs w:val="20"/>
              </w:rPr>
            </w:pPr>
          </w:p>
        </w:tc>
        <w:tc>
          <w:tcPr>
            <w:tcW w:w="0" w:type="auto"/>
            <w:gridSpan w:val="3"/>
            <w:vAlign w:val="center"/>
            <w:hideMark/>
          </w:tcPr>
          <w:p w14:paraId="3FAF5B2B" w14:textId="77777777" w:rsidR="00000000" w:rsidRDefault="00A173A8">
            <w:pPr>
              <w:spacing w:after="100"/>
              <w:rPr>
                <w:rFonts w:eastAsia="Times New Roman"/>
                <w:sz w:val="20"/>
                <w:szCs w:val="20"/>
              </w:rPr>
            </w:pPr>
          </w:p>
        </w:tc>
        <w:tc>
          <w:tcPr>
            <w:tcW w:w="0" w:type="auto"/>
            <w:gridSpan w:val="3"/>
            <w:vAlign w:val="center"/>
            <w:hideMark/>
          </w:tcPr>
          <w:p w14:paraId="45494B79" w14:textId="77777777" w:rsidR="00000000" w:rsidRDefault="00A173A8">
            <w:pPr>
              <w:spacing w:after="100"/>
              <w:rPr>
                <w:rFonts w:eastAsia="Times New Roman"/>
                <w:sz w:val="20"/>
                <w:szCs w:val="20"/>
              </w:rPr>
            </w:pPr>
          </w:p>
        </w:tc>
        <w:tc>
          <w:tcPr>
            <w:tcW w:w="0" w:type="auto"/>
            <w:gridSpan w:val="3"/>
            <w:vAlign w:val="center"/>
            <w:hideMark/>
          </w:tcPr>
          <w:p w14:paraId="27E14C68" w14:textId="77777777" w:rsidR="00000000" w:rsidRDefault="00A173A8">
            <w:pPr>
              <w:spacing w:after="100"/>
              <w:rPr>
                <w:rFonts w:eastAsia="Times New Roman"/>
                <w:sz w:val="20"/>
                <w:szCs w:val="20"/>
              </w:rPr>
            </w:pPr>
          </w:p>
        </w:tc>
        <w:tc>
          <w:tcPr>
            <w:tcW w:w="0" w:type="auto"/>
            <w:gridSpan w:val="3"/>
            <w:vAlign w:val="center"/>
            <w:hideMark/>
          </w:tcPr>
          <w:p w14:paraId="093CF765" w14:textId="77777777" w:rsidR="00000000" w:rsidRDefault="00A173A8">
            <w:pPr>
              <w:spacing w:after="100"/>
              <w:rPr>
                <w:rFonts w:eastAsia="Times New Roman"/>
                <w:sz w:val="20"/>
                <w:szCs w:val="20"/>
              </w:rPr>
            </w:pPr>
          </w:p>
        </w:tc>
        <w:tc>
          <w:tcPr>
            <w:tcW w:w="0" w:type="auto"/>
            <w:gridSpan w:val="3"/>
            <w:vAlign w:val="center"/>
            <w:hideMark/>
          </w:tcPr>
          <w:p w14:paraId="02EB875B" w14:textId="77777777" w:rsidR="00000000" w:rsidRDefault="00A173A8">
            <w:pPr>
              <w:spacing w:after="100"/>
              <w:rPr>
                <w:rFonts w:eastAsia="Times New Roman"/>
                <w:sz w:val="20"/>
                <w:szCs w:val="20"/>
              </w:rPr>
            </w:pPr>
          </w:p>
        </w:tc>
        <w:tc>
          <w:tcPr>
            <w:tcW w:w="0" w:type="auto"/>
            <w:gridSpan w:val="3"/>
            <w:vAlign w:val="center"/>
            <w:hideMark/>
          </w:tcPr>
          <w:p w14:paraId="20B4613D" w14:textId="77777777" w:rsidR="00000000" w:rsidRDefault="00A173A8">
            <w:pPr>
              <w:spacing w:after="100"/>
              <w:rPr>
                <w:rFonts w:eastAsia="Times New Roman"/>
                <w:sz w:val="20"/>
                <w:szCs w:val="20"/>
              </w:rPr>
            </w:pPr>
          </w:p>
        </w:tc>
        <w:tc>
          <w:tcPr>
            <w:tcW w:w="0" w:type="auto"/>
            <w:gridSpan w:val="3"/>
            <w:vAlign w:val="center"/>
            <w:hideMark/>
          </w:tcPr>
          <w:p w14:paraId="430316F6" w14:textId="77777777" w:rsidR="00000000" w:rsidRDefault="00A173A8">
            <w:pPr>
              <w:spacing w:after="100"/>
              <w:rPr>
                <w:rFonts w:eastAsia="Times New Roman"/>
                <w:sz w:val="20"/>
                <w:szCs w:val="20"/>
              </w:rPr>
            </w:pPr>
          </w:p>
        </w:tc>
        <w:tc>
          <w:tcPr>
            <w:tcW w:w="0" w:type="auto"/>
            <w:gridSpan w:val="3"/>
            <w:vAlign w:val="center"/>
            <w:hideMark/>
          </w:tcPr>
          <w:p w14:paraId="6894B5E1" w14:textId="77777777" w:rsidR="00000000" w:rsidRDefault="00A173A8">
            <w:pPr>
              <w:spacing w:after="100"/>
              <w:rPr>
                <w:rFonts w:eastAsia="Times New Roman"/>
                <w:sz w:val="20"/>
                <w:szCs w:val="20"/>
              </w:rPr>
            </w:pPr>
          </w:p>
        </w:tc>
        <w:tc>
          <w:tcPr>
            <w:tcW w:w="0" w:type="auto"/>
            <w:gridSpan w:val="3"/>
            <w:vAlign w:val="center"/>
            <w:hideMark/>
          </w:tcPr>
          <w:p w14:paraId="2C1262C3" w14:textId="77777777" w:rsidR="00000000" w:rsidRDefault="00A173A8">
            <w:pPr>
              <w:spacing w:after="100"/>
              <w:rPr>
                <w:rFonts w:eastAsia="Times New Roman"/>
                <w:sz w:val="20"/>
                <w:szCs w:val="20"/>
              </w:rPr>
            </w:pPr>
          </w:p>
        </w:tc>
      </w:tr>
      <w:tr w:rsidR="00000000" w14:paraId="22385FE5" w14:textId="77777777">
        <w:trPr>
          <w:divId w:val="1380520592"/>
        </w:trPr>
        <w:tc>
          <w:tcPr>
            <w:tcW w:w="0" w:type="auto"/>
            <w:gridSpan w:val="3"/>
            <w:vAlign w:val="center"/>
            <w:hideMark/>
          </w:tcPr>
          <w:p w14:paraId="0303FF77" w14:textId="77777777" w:rsidR="00000000" w:rsidRDefault="00A173A8">
            <w:pPr>
              <w:spacing w:after="100"/>
              <w:rPr>
                <w:rFonts w:eastAsia="Times New Roman"/>
                <w:sz w:val="20"/>
                <w:szCs w:val="20"/>
              </w:rPr>
            </w:pPr>
          </w:p>
        </w:tc>
        <w:tc>
          <w:tcPr>
            <w:tcW w:w="0" w:type="auto"/>
            <w:gridSpan w:val="3"/>
            <w:vAlign w:val="center"/>
            <w:hideMark/>
          </w:tcPr>
          <w:p w14:paraId="4B6C244A" w14:textId="77777777" w:rsidR="00000000" w:rsidRDefault="00A173A8">
            <w:pPr>
              <w:spacing w:after="100"/>
              <w:rPr>
                <w:rFonts w:eastAsia="Times New Roman"/>
                <w:sz w:val="20"/>
                <w:szCs w:val="20"/>
              </w:rPr>
            </w:pPr>
          </w:p>
        </w:tc>
        <w:tc>
          <w:tcPr>
            <w:tcW w:w="0" w:type="auto"/>
            <w:gridSpan w:val="3"/>
            <w:vAlign w:val="center"/>
            <w:hideMark/>
          </w:tcPr>
          <w:p w14:paraId="0EB8FD3C" w14:textId="77777777" w:rsidR="00000000" w:rsidRDefault="00A173A8">
            <w:pPr>
              <w:spacing w:after="100"/>
              <w:rPr>
                <w:rFonts w:eastAsia="Times New Roman"/>
                <w:sz w:val="20"/>
                <w:szCs w:val="20"/>
              </w:rPr>
            </w:pPr>
          </w:p>
        </w:tc>
        <w:tc>
          <w:tcPr>
            <w:tcW w:w="0" w:type="auto"/>
            <w:gridSpan w:val="3"/>
            <w:vAlign w:val="center"/>
            <w:hideMark/>
          </w:tcPr>
          <w:p w14:paraId="69D7A2D0" w14:textId="77777777" w:rsidR="00000000" w:rsidRDefault="00A173A8">
            <w:pPr>
              <w:spacing w:after="100"/>
              <w:rPr>
                <w:rFonts w:eastAsia="Times New Roman"/>
                <w:sz w:val="20"/>
                <w:szCs w:val="20"/>
              </w:rPr>
            </w:pPr>
          </w:p>
        </w:tc>
        <w:tc>
          <w:tcPr>
            <w:tcW w:w="0" w:type="auto"/>
            <w:gridSpan w:val="3"/>
            <w:vAlign w:val="center"/>
            <w:hideMark/>
          </w:tcPr>
          <w:p w14:paraId="108DF25D" w14:textId="77777777" w:rsidR="00000000" w:rsidRDefault="00A173A8">
            <w:pPr>
              <w:spacing w:after="100"/>
              <w:rPr>
                <w:rFonts w:eastAsia="Times New Roman"/>
                <w:sz w:val="20"/>
                <w:szCs w:val="20"/>
              </w:rPr>
            </w:pPr>
          </w:p>
        </w:tc>
        <w:tc>
          <w:tcPr>
            <w:tcW w:w="0" w:type="auto"/>
            <w:gridSpan w:val="3"/>
            <w:vAlign w:val="center"/>
            <w:hideMark/>
          </w:tcPr>
          <w:p w14:paraId="3097835F" w14:textId="77777777" w:rsidR="00000000" w:rsidRDefault="00A173A8">
            <w:pPr>
              <w:spacing w:after="100"/>
              <w:rPr>
                <w:rFonts w:eastAsia="Times New Roman"/>
                <w:sz w:val="20"/>
                <w:szCs w:val="20"/>
              </w:rPr>
            </w:pPr>
          </w:p>
        </w:tc>
        <w:tc>
          <w:tcPr>
            <w:tcW w:w="0" w:type="auto"/>
            <w:gridSpan w:val="3"/>
            <w:vAlign w:val="center"/>
            <w:hideMark/>
          </w:tcPr>
          <w:p w14:paraId="3F97A615" w14:textId="77777777" w:rsidR="00000000" w:rsidRDefault="00A173A8">
            <w:pPr>
              <w:spacing w:after="100"/>
              <w:rPr>
                <w:rFonts w:eastAsia="Times New Roman"/>
                <w:sz w:val="20"/>
                <w:szCs w:val="20"/>
              </w:rPr>
            </w:pPr>
          </w:p>
        </w:tc>
        <w:tc>
          <w:tcPr>
            <w:tcW w:w="0" w:type="auto"/>
            <w:gridSpan w:val="3"/>
            <w:vAlign w:val="center"/>
            <w:hideMark/>
          </w:tcPr>
          <w:p w14:paraId="37CB53EA" w14:textId="77777777" w:rsidR="00000000" w:rsidRDefault="00A173A8">
            <w:pPr>
              <w:spacing w:after="100"/>
              <w:rPr>
                <w:rFonts w:eastAsia="Times New Roman"/>
                <w:sz w:val="20"/>
                <w:szCs w:val="20"/>
              </w:rPr>
            </w:pPr>
          </w:p>
        </w:tc>
        <w:tc>
          <w:tcPr>
            <w:tcW w:w="0" w:type="auto"/>
            <w:gridSpan w:val="3"/>
            <w:vAlign w:val="center"/>
            <w:hideMark/>
          </w:tcPr>
          <w:p w14:paraId="0E5EFB26" w14:textId="77777777" w:rsidR="00000000" w:rsidRDefault="00A173A8">
            <w:pPr>
              <w:spacing w:after="100"/>
              <w:rPr>
                <w:rFonts w:eastAsia="Times New Roman"/>
                <w:sz w:val="20"/>
                <w:szCs w:val="20"/>
              </w:rPr>
            </w:pPr>
          </w:p>
        </w:tc>
        <w:tc>
          <w:tcPr>
            <w:tcW w:w="0" w:type="auto"/>
            <w:gridSpan w:val="3"/>
            <w:vAlign w:val="center"/>
            <w:hideMark/>
          </w:tcPr>
          <w:p w14:paraId="6CD58AB0" w14:textId="77777777" w:rsidR="00000000" w:rsidRDefault="00A173A8">
            <w:pPr>
              <w:spacing w:after="100"/>
              <w:rPr>
                <w:rFonts w:eastAsia="Times New Roman"/>
                <w:sz w:val="20"/>
                <w:szCs w:val="20"/>
              </w:rPr>
            </w:pPr>
          </w:p>
        </w:tc>
        <w:tc>
          <w:tcPr>
            <w:tcW w:w="0" w:type="auto"/>
            <w:gridSpan w:val="3"/>
            <w:vAlign w:val="center"/>
            <w:hideMark/>
          </w:tcPr>
          <w:p w14:paraId="57367061" w14:textId="77777777" w:rsidR="00000000" w:rsidRDefault="00A173A8">
            <w:pPr>
              <w:spacing w:after="100"/>
              <w:rPr>
                <w:rFonts w:eastAsia="Times New Roman"/>
                <w:sz w:val="20"/>
                <w:szCs w:val="20"/>
              </w:rPr>
            </w:pPr>
          </w:p>
        </w:tc>
        <w:tc>
          <w:tcPr>
            <w:tcW w:w="0" w:type="auto"/>
            <w:gridSpan w:val="3"/>
            <w:vAlign w:val="center"/>
            <w:hideMark/>
          </w:tcPr>
          <w:p w14:paraId="5E822F8C" w14:textId="77777777" w:rsidR="00000000" w:rsidRDefault="00A173A8">
            <w:pPr>
              <w:spacing w:after="100"/>
              <w:rPr>
                <w:rFonts w:eastAsia="Times New Roman"/>
                <w:sz w:val="20"/>
                <w:szCs w:val="20"/>
              </w:rPr>
            </w:pPr>
          </w:p>
        </w:tc>
        <w:tc>
          <w:tcPr>
            <w:tcW w:w="0" w:type="auto"/>
            <w:gridSpan w:val="3"/>
            <w:vAlign w:val="center"/>
            <w:hideMark/>
          </w:tcPr>
          <w:p w14:paraId="436706CB" w14:textId="77777777" w:rsidR="00000000" w:rsidRDefault="00A173A8">
            <w:pPr>
              <w:spacing w:after="100"/>
              <w:rPr>
                <w:rFonts w:eastAsia="Times New Roman"/>
                <w:sz w:val="20"/>
                <w:szCs w:val="20"/>
              </w:rPr>
            </w:pPr>
          </w:p>
        </w:tc>
        <w:tc>
          <w:tcPr>
            <w:tcW w:w="0" w:type="auto"/>
            <w:gridSpan w:val="3"/>
            <w:vAlign w:val="center"/>
            <w:hideMark/>
          </w:tcPr>
          <w:p w14:paraId="627C7A07" w14:textId="77777777" w:rsidR="00000000" w:rsidRDefault="00A173A8">
            <w:pPr>
              <w:spacing w:after="100"/>
              <w:rPr>
                <w:rFonts w:eastAsia="Times New Roman"/>
                <w:sz w:val="20"/>
                <w:szCs w:val="20"/>
              </w:rPr>
            </w:pPr>
          </w:p>
        </w:tc>
        <w:tc>
          <w:tcPr>
            <w:tcW w:w="0" w:type="auto"/>
            <w:gridSpan w:val="3"/>
            <w:vAlign w:val="center"/>
            <w:hideMark/>
          </w:tcPr>
          <w:p w14:paraId="5C62480A" w14:textId="77777777" w:rsidR="00000000" w:rsidRDefault="00A173A8">
            <w:pPr>
              <w:spacing w:after="100"/>
              <w:rPr>
                <w:rFonts w:eastAsia="Times New Roman"/>
                <w:sz w:val="20"/>
                <w:szCs w:val="20"/>
              </w:rPr>
            </w:pPr>
          </w:p>
        </w:tc>
        <w:tc>
          <w:tcPr>
            <w:tcW w:w="0" w:type="auto"/>
            <w:gridSpan w:val="3"/>
            <w:vAlign w:val="center"/>
            <w:hideMark/>
          </w:tcPr>
          <w:p w14:paraId="41729E3F" w14:textId="77777777" w:rsidR="00000000" w:rsidRDefault="00A173A8">
            <w:pPr>
              <w:spacing w:after="100"/>
              <w:rPr>
                <w:rFonts w:eastAsia="Times New Roman"/>
                <w:sz w:val="20"/>
                <w:szCs w:val="20"/>
              </w:rPr>
            </w:pPr>
          </w:p>
        </w:tc>
        <w:tc>
          <w:tcPr>
            <w:tcW w:w="0" w:type="auto"/>
            <w:gridSpan w:val="3"/>
            <w:vAlign w:val="center"/>
            <w:hideMark/>
          </w:tcPr>
          <w:p w14:paraId="652D9EF7" w14:textId="77777777" w:rsidR="00000000" w:rsidRDefault="00A173A8">
            <w:pPr>
              <w:spacing w:after="100"/>
              <w:rPr>
                <w:rFonts w:eastAsia="Times New Roman"/>
                <w:sz w:val="20"/>
                <w:szCs w:val="20"/>
              </w:rPr>
            </w:pPr>
          </w:p>
        </w:tc>
      </w:tr>
      <w:tr w:rsidR="00000000" w14:paraId="1E1ACFF5" w14:textId="77777777">
        <w:trPr>
          <w:divId w:val="1380520592"/>
        </w:trPr>
        <w:tc>
          <w:tcPr>
            <w:tcW w:w="0" w:type="auto"/>
            <w:gridSpan w:val="3"/>
            <w:vAlign w:val="center"/>
            <w:hideMark/>
          </w:tcPr>
          <w:p w14:paraId="67C398D3" w14:textId="77777777" w:rsidR="00000000" w:rsidRDefault="00A173A8">
            <w:pPr>
              <w:spacing w:after="100"/>
              <w:rPr>
                <w:rFonts w:eastAsia="Times New Roman"/>
                <w:sz w:val="20"/>
                <w:szCs w:val="20"/>
              </w:rPr>
            </w:pPr>
          </w:p>
        </w:tc>
        <w:tc>
          <w:tcPr>
            <w:tcW w:w="0" w:type="auto"/>
            <w:gridSpan w:val="3"/>
            <w:vAlign w:val="center"/>
            <w:hideMark/>
          </w:tcPr>
          <w:p w14:paraId="55CABF2D" w14:textId="77777777" w:rsidR="00000000" w:rsidRDefault="00A173A8">
            <w:pPr>
              <w:spacing w:after="100"/>
              <w:rPr>
                <w:rFonts w:eastAsia="Times New Roman"/>
                <w:sz w:val="20"/>
                <w:szCs w:val="20"/>
              </w:rPr>
            </w:pPr>
          </w:p>
        </w:tc>
        <w:tc>
          <w:tcPr>
            <w:tcW w:w="0" w:type="auto"/>
            <w:gridSpan w:val="3"/>
            <w:vAlign w:val="center"/>
            <w:hideMark/>
          </w:tcPr>
          <w:p w14:paraId="5E150A19" w14:textId="77777777" w:rsidR="00000000" w:rsidRDefault="00A173A8">
            <w:pPr>
              <w:spacing w:after="100"/>
              <w:rPr>
                <w:rFonts w:eastAsia="Times New Roman"/>
                <w:sz w:val="20"/>
                <w:szCs w:val="20"/>
              </w:rPr>
            </w:pPr>
          </w:p>
        </w:tc>
        <w:tc>
          <w:tcPr>
            <w:tcW w:w="0" w:type="auto"/>
            <w:gridSpan w:val="3"/>
            <w:vAlign w:val="center"/>
            <w:hideMark/>
          </w:tcPr>
          <w:p w14:paraId="6831385F" w14:textId="77777777" w:rsidR="00000000" w:rsidRDefault="00A173A8">
            <w:pPr>
              <w:spacing w:after="100"/>
              <w:rPr>
                <w:rFonts w:eastAsia="Times New Roman"/>
                <w:sz w:val="20"/>
                <w:szCs w:val="20"/>
              </w:rPr>
            </w:pPr>
          </w:p>
        </w:tc>
        <w:tc>
          <w:tcPr>
            <w:tcW w:w="0" w:type="auto"/>
            <w:gridSpan w:val="3"/>
            <w:vAlign w:val="center"/>
            <w:hideMark/>
          </w:tcPr>
          <w:p w14:paraId="434C85CE" w14:textId="77777777" w:rsidR="00000000" w:rsidRDefault="00A173A8">
            <w:pPr>
              <w:spacing w:after="100"/>
              <w:rPr>
                <w:rFonts w:eastAsia="Times New Roman"/>
                <w:sz w:val="20"/>
                <w:szCs w:val="20"/>
              </w:rPr>
            </w:pPr>
          </w:p>
        </w:tc>
        <w:tc>
          <w:tcPr>
            <w:tcW w:w="0" w:type="auto"/>
            <w:gridSpan w:val="3"/>
            <w:vAlign w:val="center"/>
            <w:hideMark/>
          </w:tcPr>
          <w:p w14:paraId="69B5FBE3" w14:textId="77777777" w:rsidR="00000000" w:rsidRDefault="00A173A8">
            <w:pPr>
              <w:spacing w:after="100"/>
              <w:rPr>
                <w:rFonts w:eastAsia="Times New Roman"/>
                <w:sz w:val="20"/>
                <w:szCs w:val="20"/>
              </w:rPr>
            </w:pPr>
          </w:p>
        </w:tc>
        <w:tc>
          <w:tcPr>
            <w:tcW w:w="0" w:type="auto"/>
            <w:gridSpan w:val="3"/>
            <w:vAlign w:val="center"/>
            <w:hideMark/>
          </w:tcPr>
          <w:p w14:paraId="058D1B52" w14:textId="77777777" w:rsidR="00000000" w:rsidRDefault="00A173A8">
            <w:pPr>
              <w:spacing w:after="100"/>
              <w:rPr>
                <w:rFonts w:eastAsia="Times New Roman"/>
                <w:sz w:val="20"/>
                <w:szCs w:val="20"/>
              </w:rPr>
            </w:pPr>
          </w:p>
        </w:tc>
        <w:tc>
          <w:tcPr>
            <w:tcW w:w="0" w:type="auto"/>
            <w:gridSpan w:val="3"/>
            <w:vAlign w:val="center"/>
            <w:hideMark/>
          </w:tcPr>
          <w:p w14:paraId="115DC2D4" w14:textId="77777777" w:rsidR="00000000" w:rsidRDefault="00A173A8">
            <w:pPr>
              <w:spacing w:after="100"/>
              <w:rPr>
                <w:rFonts w:eastAsia="Times New Roman"/>
                <w:sz w:val="20"/>
                <w:szCs w:val="20"/>
              </w:rPr>
            </w:pPr>
          </w:p>
        </w:tc>
        <w:tc>
          <w:tcPr>
            <w:tcW w:w="0" w:type="auto"/>
            <w:gridSpan w:val="3"/>
            <w:vAlign w:val="center"/>
            <w:hideMark/>
          </w:tcPr>
          <w:p w14:paraId="5507EEAB" w14:textId="77777777" w:rsidR="00000000" w:rsidRDefault="00A173A8">
            <w:pPr>
              <w:spacing w:after="100"/>
              <w:rPr>
                <w:rFonts w:eastAsia="Times New Roman"/>
                <w:sz w:val="20"/>
                <w:szCs w:val="20"/>
              </w:rPr>
            </w:pPr>
          </w:p>
        </w:tc>
        <w:tc>
          <w:tcPr>
            <w:tcW w:w="0" w:type="auto"/>
            <w:gridSpan w:val="3"/>
            <w:vAlign w:val="center"/>
            <w:hideMark/>
          </w:tcPr>
          <w:p w14:paraId="2C5C040B" w14:textId="77777777" w:rsidR="00000000" w:rsidRDefault="00A173A8">
            <w:pPr>
              <w:spacing w:after="100"/>
              <w:rPr>
                <w:rFonts w:eastAsia="Times New Roman"/>
                <w:sz w:val="20"/>
                <w:szCs w:val="20"/>
              </w:rPr>
            </w:pPr>
          </w:p>
        </w:tc>
        <w:tc>
          <w:tcPr>
            <w:tcW w:w="0" w:type="auto"/>
            <w:gridSpan w:val="3"/>
            <w:vAlign w:val="center"/>
            <w:hideMark/>
          </w:tcPr>
          <w:p w14:paraId="6113DF61" w14:textId="77777777" w:rsidR="00000000" w:rsidRDefault="00A173A8">
            <w:pPr>
              <w:spacing w:after="100"/>
              <w:rPr>
                <w:rFonts w:eastAsia="Times New Roman"/>
                <w:sz w:val="20"/>
                <w:szCs w:val="20"/>
              </w:rPr>
            </w:pPr>
          </w:p>
        </w:tc>
        <w:tc>
          <w:tcPr>
            <w:tcW w:w="0" w:type="auto"/>
            <w:gridSpan w:val="3"/>
            <w:vAlign w:val="center"/>
            <w:hideMark/>
          </w:tcPr>
          <w:p w14:paraId="526D6DB8" w14:textId="77777777" w:rsidR="00000000" w:rsidRDefault="00A173A8">
            <w:pPr>
              <w:spacing w:after="100"/>
              <w:rPr>
                <w:rFonts w:eastAsia="Times New Roman"/>
                <w:sz w:val="20"/>
                <w:szCs w:val="20"/>
              </w:rPr>
            </w:pPr>
          </w:p>
        </w:tc>
        <w:tc>
          <w:tcPr>
            <w:tcW w:w="0" w:type="auto"/>
            <w:gridSpan w:val="3"/>
            <w:vAlign w:val="center"/>
            <w:hideMark/>
          </w:tcPr>
          <w:p w14:paraId="4B1711BF" w14:textId="77777777" w:rsidR="00000000" w:rsidRDefault="00A173A8">
            <w:pPr>
              <w:spacing w:after="100"/>
              <w:rPr>
                <w:rFonts w:eastAsia="Times New Roman"/>
                <w:sz w:val="20"/>
                <w:szCs w:val="20"/>
              </w:rPr>
            </w:pPr>
          </w:p>
        </w:tc>
        <w:tc>
          <w:tcPr>
            <w:tcW w:w="0" w:type="auto"/>
            <w:gridSpan w:val="3"/>
            <w:vAlign w:val="center"/>
            <w:hideMark/>
          </w:tcPr>
          <w:p w14:paraId="4F10A76D" w14:textId="77777777" w:rsidR="00000000" w:rsidRDefault="00A173A8">
            <w:pPr>
              <w:spacing w:after="100"/>
              <w:rPr>
                <w:rFonts w:eastAsia="Times New Roman"/>
                <w:sz w:val="20"/>
                <w:szCs w:val="20"/>
              </w:rPr>
            </w:pPr>
          </w:p>
        </w:tc>
        <w:tc>
          <w:tcPr>
            <w:tcW w:w="0" w:type="auto"/>
            <w:gridSpan w:val="3"/>
            <w:vAlign w:val="center"/>
            <w:hideMark/>
          </w:tcPr>
          <w:p w14:paraId="4CF3CEAC" w14:textId="77777777" w:rsidR="00000000" w:rsidRDefault="00A173A8">
            <w:pPr>
              <w:spacing w:after="100"/>
              <w:rPr>
                <w:rFonts w:eastAsia="Times New Roman"/>
                <w:sz w:val="20"/>
                <w:szCs w:val="20"/>
              </w:rPr>
            </w:pPr>
          </w:p>
        </w:tc>
        <w:tc>
          <w:tcPr>
            <w:tcW w:w="0" w:type="auto"/>
            <w:gridSpan w:val="3"/>
            <w:vAlign w:val="center"/>
            <w:hideMark/>
          </w:tcPr>
          <w:p w14:paraId="404C80AA" w14:textId="77777777" w:rsidR="00000000" w:rsidRDefault="00A173A8">
            <w:pPr>
              <w:spacing w:after="100"/>
              <w:rPr>
                <w:rFonts w:eastAsia="Times New Roman"/>
                <w:sz w:val="20"/>
                <w:szCs w:val="20"/>
              </w:rPr>
            </w:pPr>
          </w:p>
        </w:tc>
        <w:tc>
          <w:tcPr>
            <w:tcW w:w="0" w:type="auto"/>
            <w:gridSpan w:val="3"/>
            <w:vAlign w:val="center"/>
            <w:hideMark/>
          </w:tcPr>
          <w:p w14:paraId="51F0CDFA" w14:textId="77777777" w:rsidR="00000000" w:rsidRDefault="00A173A8">
            <w:pPr>
              <w:spacing w:after="100"/>
              <w:rPr>
                <w:rFonts w:eastAsia="Times New Roman"/>
                <w:sz w:val="20"/>
                <w:szCs w:val="20"/>
              </w:rPr>
            </w:pPr>
          </w:p>
        </w:tc>
      </w:tr>
      <w:tr w:rsidR="00000000" w14:paraId="53CC993F" w14:textId="77777777">
        <w:trPr>
          <w:divId w:val="1380520592"/>
        </w:trPr>
        <w:tc>
          <w:tcPr>
            <w:tcW w:w="0" w:type="auto"/>
            <w:gridSpan w:val="3"/>
            <w:vAlign w:val="center"/>
            <w:hideMark/>
          </w:tcPr>
          <w:p w14:paraId="05A89F35" w14:textId="77777777" w:rsidR="00000000" w:rsidRDefault="00A173A8">
            <w:pPr>
              <w:spacing w:after="100"/>
              <w:rPr>
                <w:rFonts w:eastAsia="Times New Roman"/>
                <w:sz w:val="20"/>
                <w:szCs w:val="20"/>
              </w:rPr>
            </w:pPr>
          </w:p>
        </w:tc>
        <w:tc>
          <w:tcPr>
            <w:tcW w:w="0" w:type="auto"/>
            <w:gridSpan w:val="3"/>
            <w:vAlign w:val="center"/>
            <w:hideMark/>
          </w:tcPr>
          <w:p w14:paraId="30F06662" w14:textId="77777777" w:rsidR="00000000" w:rsidRDefault="00A173A8">
            <w:pPr>
              <w:spacing w:after="100"/>
              <w:rPr>
                <w:rFonts w:eastAsia="Times New Roman"/>
                <w:sz w:val="20"/>
                <w:szCs w:val="20"/>
              </w:rPr>
            </w:pPr>
          </w:p>
        </w:tc>
        <w:tc>
          <w:tcPr>
            <w:tcW w:w="0" w:type="auto"/>
            <w:gridSpan w:val="3"/>
            <w:vAlign w:val="center"/>
            <w:hideMark/>
          </w:tcPr>
          <w:p w14:paraId="119484F0" w14:textId="77777777" w:rsidR="00000000" w:rsidRDefault="00A173A8">
            <w:pPr>
              <w:spacing w:after="100"/>
              <w:rPr>
                <w:rFonts w:eastAsia="Times New Roman"/>
                <w:sz w:val="20"/>
                <w:szCs w:val="20"/>
              </w:rPr>
            </w:pPr>
          </w:p>
        </w:tc>
        <w:tc>
          <w:tcPr>
            <w:tcW w:w="0" w:type="auto"/>
            <w:gridSpan w:val="3"/>
            <w:vAlign w:val="center"/>
            <w:hideMark/>
          </w:tcPr>
          <w:p w14:paraId="09BC9BAB" w14:textId="77777777" w:rsidR="00000000" w:rsidRDefault="00A173A8">
            <w:pPr>
              <w:spacing w:after="100"/>
              <w:rPr>
                <w:rFonts w:eastAsia="Times New Roman"/>
                <w:sz w:val="20"/>
                <w:szCs w:val="20"/>
              </w:rPr>
            </w:pPr>
          </w:p>
        </w:tc>
        <w:tc>
          <w:tcPr>
            <w:tcW w:w="0" w:type="auto"/>
            <w:gridSpan w:val="3"/>
            <w:vAlign w:val="center"/>
            <w:hideMark/>
          </w:tcPr>
          <w:p w14:paraId="23ACB69B" w14:textId="77777777" w:rsidR="00000000" w:rsidRDefault="00A173A8">
            <w:pPr>
              <w:spacing w:after="100"/>
              <w:rPr>
                <w:rFonts w:eastAsia="Times New Roman"/>
                <w:sz w:val="20"/>
                <w:szCs w:val="20"/>
              </w:rPr>
            </w:pPr>
          </w:p>
        </w:tc>
        <w:tc>
          <w:tcPr>
            <w:tcW w:w="0" w:type="auto"/>
            <w:gridSpan w:val="3"/>
            <w:vAlign w:val="center"/>
            <w:hideMark/>
          </w:tcPr>
          <w:p w14:paraId="33E616BA" w14:textId="77777777" w:rsidR="00000000" w:rsidRDefault="00A173A8">
            <w:pPr>
              <w:spacing w:after="100"/>
              <w:rPr>
                <w:rFonts w:eastAsia="Times New Roman"/>
                <w:sz w:val="20"/>
                <w:szCs w:val="20"/>
              </w:rPr>
            </w:pPr>
          </w:p>
        </w:tc>
        <w:tc>
          <w:tcPr>
            <w:tcW w:w="0" w:type="auto"/>
            <w:gridSpan w:val="3"/>
            <w:vAlign w:val="center"/>
            <w:hideMark/>
          </w:tcPr>
          <w:p w14:paraId="1D029CD0" w14:textId="77777777" w:rsidR="00000000" w:rsidRDefault="00A173A8">
            <w:pPr>
              <w:spacing w:after="100"/>
              <w:rPr>
                <w:rFonts w:eastAsia="Times New Roman"/>
                <w:sz w:val="20"/>
                <w:szCs w:val="20"/>
              </w:rPr>
            </w:pPr>
          </w:p>
        </w:tc>
        <w:tc>
          <w:tcPr>
            <w:tcW w:w="0" w:type="auto"/>
            <w:gridSpan w:val="3"/>
            <w:vAlign w:val="center"/>
            <w:hideMark/>
          </w:tcPr>
          <w:p w14:paraId="084696BB" w14:textId="77777777" w:rsidR="00000000" w:rsidRDefault="00A173A8">
            <w:pPr>
              <w:spacing w:after="100"/>
              <w:rPr>
                <w:rFonts w:eastAsia="Times New Roman"/>
                <w:sz w:val="20"/>
                <w:szCs w:val="20"/>
              </w:rPr>
            </w:pPr>
          </w:p>
        </w:tc>
        <w:tc>
          <w:tcPr>
            <w:tcW w:w="0" w:type="auto"/>
            <w:gridSpan w:val="3"/>
            <w:vAlign w:val="center"/>
            <w:hideMark/>
          </w:tcPr>
          <w:p w14:paraId="17113C22" w14:textId="77777777" w:rsidR="00000000" w:rsidRDefault="00A173A8">
            <w:pPr>
              <w:spacing w:after="100"/>
              <w:rPr>
                <w:rFonts w:eastAsia="Times New Roman"/>
                <w:sz w:val="20"/>
                <w:szCs w:val="20"/>
              </w:rPr>
            </w:pPr>
          </w:p>
        </w:tc>
        <w:tc>
          <w:tcPr>
            <w:tcW w:w="0" w:type="auto"/>
            <w:gridSpan w:val="3"/>
            <w:vAlign w:val="center"/>
            <w:hideMark/>
          </w:tcPr>
          <w:p w14:paraId="0B3CA0AC" w14:textId="77777777" w:rsidR="00000000" w:rsidRDefault="00A173A8">
            <w:pPr>
              <w:spacing w:after="100"/>
              <w:rPr>
                <w:rFonts w:eastAsia="Times New Roman"/>
                <w:sz w:val="20"/>
                <w:szCs w:val="20"/>
              </w:rPr>
            </w:pPr>
          </w:p>
        </w:tc>
        <w:tc>
          <w:tcPr>
            <w:tcW w:w="0" w:type="auto"/>
            <w:gridSpan w:val="3"/>
            <w:vAlign w:val="center"/>
            <w:hideMark/>
          </w:tcPr>
          <w:p w14:paraId="2FECA26E" w14:textId="77777777" w:rsidR="00000000" w:rsidRDefault="00A173A8">
            <w:pPr>
              <w:spacing w:after="100"/>
              <w:rPr>
                <w:rFonts w:eastAsia="Times New Roman"/>
                <w:sz w:val="20"/>
                <w:szCs w:val="20"/>
              </w:rPr>
            </w:pPr>
          </w:p>
        </w:tc>
        <w:tc>
          <w:tcPr>
            <w:tcW w:w="0" w:type="auto"/>
            <w:gridSpan w:val="3"/>
            <w:vAlign w:val="center"/>
            <w:hideMark/>
          </w:tcPr>
          <w:p w14:paraId="2420156D" w14:textId="77777777" w:rsidR="00000000" w:rsidRDefault="00A173A8">
            <w:pPr>
              <w:spacing w:after="100"/>
              <w:rPr>
                <w:rFonts w:eastAsia="Times New Roman"/>
                <w:sz w:val="20"/>
                <w:szCs w:val="20"/>
              </w:rPr>
            </w:pPr>
          </w:p>
        </w:tc>
        <w:tc>
          <w:tcPr>
            <w:tcW w:w="0" w:type="auto"/>
            <w:gridSpan w:val="3"/>
            <w:vAlign w:val="center"/>
            <w:hideMark/>
          </w:tcPr>
          <w:p w14:paraId="7DE2CAAA" w14:textId="77777777" w:rsidR="00000000" w:rsidRDefault="00A173A8">
            <w:pPr>
              <w:spacing w:after="100"/>
              <w:rPr>
                <w:rFonts w:eastAsia="Times New Roman"/>
                <w:sz w:val="20"/>
                <w:szCs w:val="20"/>
              </w:rPr>
            </w:pPr>
          </w:p>
        </w:tc>
        <w:tc>
          <w:tcPr>
            <w:tcW w:w="0" w:type="auto"/>
            <w:gridSpan w:val="3"/>
            <w:vAlign w:val="center"/>
            <w:hideMark/>
          </w:tcPr>
          <w:p w14:paraId="0085D452" w14:textId="77777777" w:rsidR="00000000" w:rsidRDefault="00A173A8">
            <w:pPr>
              <w:spacing w:after="100"/>
              <w:rPr>
                <w:rFonts w:eastAsia="Times New Roman"/>
                <w:sz w:val="20"/>
                <w:szCs w:val="20"/>
              </w:rPr>
            </w:pPr>
          </w:p>
        </w:tc>
        <w:tc>
          <w:tcPr>
            <w:tcW w:w="0" w:type="auto"/>
            <w:gridSpan w:val="3"/>
            <w:vAlign w:val="center"/>
            <w:hideMark/>
          </w:tcPr>
          <w:p w14:paraId="292F0B4F" w14:textId="77777777" w:rsidR="00000000" w:rsidRDefault="00A173A8">
            <w:pPr>
              <w:spacing w:after="100"/>
              <w:rPr>
                <w:rFonts w:eastAsia="Times New Roman"/>
                <w:sz w:val="20"/>
                <w:szCs w:val="20"/>
              </w:rPr>
            </w:pPr>
          </w:p>
        </w:tc>
        <w:tc>
          <w:tcPr>
            <w:tcW w:w="0" w:type="auto"/>
            <w:gridSpan w:val="3"/>
            <w:vAlign w:val="center"/>
            <w:hideMark/>
          </w:tcPr>
          <w:p w14:paraId="0CD18E0D" w14:textId="77777777" w:rsidR="00000000" w:rsidRDefault="00A173A8">
            <w:pPr>
              <w:spacing w:after="100"/>
              <w:rPr>
                <w:rFonts w:eastAsia="Times New Roman"/>
                <w:sz w:val="20"/>
                <w:szCs w:val="20"/>
              </w:rPr>
            </w:pPr>
          </w:p>
        </w:tc>
        <w:tc>
          <w:tcPr>
            <w:tcW w:w="0" w:type="auto"/>
            <w:gridSpan w:val="3"/>
            <w:vAlign w:val="center"/>
            <w:hideMark/>
          </w:tcPr>
          <w:p w14:paraId="5E43381D" w14:textId="77777777" w:rsidR="00000000" w:rsidRDefault="00A173A8">
            <w:pPr>
              <w:spacing w:after="100"/>
              <w:rPr>
                <w:rFonts w:eastAsia="Times New Roman"/>
                <w:sz w:val="20"/>
                <w:szCs w:val="20"/>
              </w:rPr>
            </w:pPr>
          </w:p>
        </w:tc>
      </w:tr>
      <w:tr w:rsidR="00000000" w14:paraId="3208FC05" w14:textId="77777777">
        <w:trPr>
          <w:divId w:val="1380520592"/>
        </w:trPr>
        <w:tc>
          <w:tcPr>
            <w:tcW w:w="0" w:type="auto"/>
            <w:gridSpan w:val="3"/>
            <w:vAlign w:val="center"/>
            <w:hideMark/>
          </w:tcPr>
          <w:p w14:paraId="6B1FECD6" w14:textId="77777777" w:rsidR="00000000" w:rsidRDefault="00A173A8">
            <w:pPr>
              <w:spacing w:after="100"/>
              <w:rPr>
                <w:rFonts w:eastAsia="Times New Roman"/>
                <w:sz w:val="20"/>
                <w:szCs w:val="20"/>
              </w:rPr>
            </w:pPr>
          </w:p>
        </w:tc>
        <w:tc>
          <w:tcPr>
            <w:tcW w:w="0" w:type="auto"/>
            <w:gridSpan w:val="3"/>
            <w:vAlign w:val="center"/>
            <w:hideMark/>
          </w:tcPr>
          <w:p w14:paraId="42CDBD9C" w14:textId="77777777" w:rsidR="00000000" w:rsidRDefault="00A173A8">
            <w:pPr>
              <w:spacing w:after="100"/>
              <w:rPr>
                <w:rFonts w:eastAsia="Times New Roman"/>
                <w:sz w:val="20"/>
                <w:szCs w:val="20"/>
              </w:rPr>
            </w:pPr>
          </w:p>
        </w:tc>
        <w:tc>
          <w:tcPr>
            <w:tcW w:w="0" w:type="auto"/>
            <w:gridSpan w:val="3"/>
            <w:vAlign w:val="center"/>
            <w:hideMark/>
          </w:tcPr>
          <w:p w14:paraId="69EFEADA" w14:textId="77777777" w:rsidR="00000000" w:rsidRDefault="00A173A8">
            <w:pPr>
              <w:spacing w:after="100"/>
              <w:rPr>
                <w:rFonts w:eastAsia="Times New Roman"/>
                <w:sz w:val="20"/>
                <w:szCs w:val="20"/>
              </w:rPr>
            </w:pPr>
          </w:p>
        </w:tc>
        <w:tc>
          <w:tcPr>
            <w:tcW w:w="0" w:type="auto"/>
            <w:gridSpan w:val="3"/>
            <w:vAlign w:val="center"/>
            <w:hideMark/>
          </w:tcPr>
          <w:p w14:paraId="34119D97" w14:textId="77777777" w:rsidR="00000000" w:rsidRDefault="00A173A8">
            <w:pPr>
              <w:spacing w:after="100"/>
              <w:rPr>
                <w:rFonts w:eastAsia="Times New Roman"/>
                <w:sz w:val="20"/>
                <w:szCs w:val="20"/>
              </w:rPr>
            </w:pPr>
          </w:p>
        </w:tc>
        <w:tc>
          <w:tcPr>
            <w:tcW w:w="0" w:type="auto"/>
            <w:gridSpan w:val="3"/>
            <w:vAlign w:val="center"/>
            <w:hideMark/>
          </w:tcPr>
          <w:p w14:paraId="22D76F04" w14:textId="77777777" w:rsidR="00000000" w:rsidRDefault="00A173A8">
            <w:pPr>
              <w:spacing w:after="100"/>
              <w:rPr>
                <w:rFonts w:eastAsia="Times New Roman"/>
                <w:sz w:val="20"/>
                <w:szCs w:val="20"/>
              </w:rPr>
            </w:pPr>
          </w:p>
        </w:tc>
        <w:tc>
          <w:tcPr>
            <w:tcW w:w="0" w:type="auto"/>
            <w:gridSpan w:val="3"/>
            <w:vAlign w:val="center"/>
            <w:hideMark/>
          </w:tcPr>
          <w:p w14:paraId="3DCAB908" w14:textId="77777777" w:rsidR="00000000" w:rsidRDefault="00A173A8">
            <w:pPr>
              <w:spacing w:after="100"/>
              <w:rPr>
                <w:rFonts w:eastAsia="Times New Roman"/>
                <w:sz w:val="20"/>
                <w:szCs w:val="20"/>
              </w:rPr>
            </w:pPr>
          </w:p>
        </w:tc>
        <w:tc>
          <w:tcPr>
            <w:tcW w:w="0" w:type="auto"/>
            <w:gridSpan w:val="3"/>
            <w:vAlign w:val="center"/>
            <w:hideMark/>
          </w:tcPr>
          <w:p w14:paraId="252933D0" w14:textId="77777777" w:rsidR="00000000" w:rsidRDefault="00A173A8">
            <w:pPr>
              <w:spacing w:after="100"/>
              <w:rPr>
                <w:rFonts w:eastAsia="Times New Roman"/>
                <w:sz w:val="20"/>
                <w:szCs w:val="20"/>
              </w:rPr>
            </w:pPr>
          </w:p>
        </w:tc>
        <w:tc>
          <w:tcPr>
            <w:tcW w:w="0" w:type="auto"/>
            <w:gridSpan w:val="3"/>
            <w:vAlign w:val="center"/>
            <w:hideMark/>
          </w:tcPr>
          <w:p w14:paraId="38B5661D" w14:textId="77777777" w:rsidR="00000000" w:rsidRDefault="00A173A8">
            <w:pPr>
              <w:spacing w:after="100"/>
              <w:rPr>
                <w:rFonts w:eastAsia="Times New Roman"/>
                <w:sz w:val="20"/>
                <w:szCs w:val="20"/>
              </w:rPr>
            </w:pPr>
          </w:p>
        </w:tc>
        <w:tc>
          <w:tcPr>
            <w:tcW w:w="0" w:type="auto"/>
            <w:gridSpan w:val="3"/>
            <w:vAlign w:val="center"/>
            <w:hideMark/>
          </w:tcPr>
          <w:p w14:paraId="221B3F2D" w14:textId="77777777" w:rsidR="00000000" w:rsidRDefault="00A173A8">
            <w:pPr>
              <w:spacing w:after="100"/>
              <w:rPr>
                <w:rFonts w:eastAsia="Times New Roman"/>
                <w:sz w:val="20"/>
                <w:szCs w:val="20"/>
              </w:rPr>
            </w:pPr>
          </w:p>
        </w:tc>
        <w:tc>
          <w:tcPr>
            <w:tcW w:w="0" w:type="auto"/>
            <w:gridSpan w:val="3"/>
            <w:vAlign w:val="center"/>
            <w:hideMark/>
          </w:tcPr>
          <w:p w14:paraId="0A53769F" w14:textId="77777777" w:rsidR="00000000" w:rsidRDefault="00A173A8">
            <w:pPr>
              <w:spacing w:after="100"/>
              <w:rPr>
                <w:rFonts w:eastAsia="Times New Roman"/>
                <w:sz w:val="20"/>
                <w:szCs w:val="20"/>
              </w:rPr>
            </w:pPr>
          </w:p>
        </w:tc>
        <w:tc>
          <w:tcPr>
            <w:tcW w:w="0" w:type="auto"/>
            <w:gridSpan w:val="3"/>
            <w:vAlign w:val="center"/>
            <w:hideMark/>
          </w:tcPr>
          <w:p w14:paraId="3EFA5A00" w14:textId="77777777" w:rsidR="00000000" w:rsidRDefault="00A173A8">
            <w:pPr>
              <w:spacing w:after="100"/>
              <w:rPr>
                <w:rFonts w:eastAsia="Times New Roman"/>
                <w:sz w:val="20"/>
                <w:szCs w:val="20"/>
              </w:rPr>
            </w:pPr>
          </w:p>
        </w:tc>
        <w:tc>
          <w:tcPr>
            <w:tcW w:w="0" w:type="auto"/>
            <w:gridSpan w:val="3"/>
            <w:vAlign w:val="center"/>
            <w:hideMark/>
          </w:tcPr>
          <w:p w14:paraId="255B7A3C" w14:textId="77777777" w:rsidR="00000000" w:rsidRDefault="00A173A8">
            <w:pPr>
              <w:spacing w:after="100"/>
              <w:rPr>
                <w:rFonts w:eastAsia="Times New Roman"/>
                <w:sz w:val="20"/>
                <w:szCs w:val="20"/>
              </w:rPr>
            </w:pPr>
          </w:p>
        </w:tc>
        <w:tc>
          <w:tcPr>
            <w:tcW w:w="0" w:type="auto"/>
            <w:gridSpan w:val="3"/>
            <w:vAlign w:val="center"/>
            <w:hideMark/>
          </w:tcPr>
          <w:p w14:paraId="416D072B" w14:textId="77777777" w:rsidR="00000000" w:rsidRDefault="00A173A8">
            <w:pPr>
              <w:spacing w:after="100"/>
              <w:rPr>
                <w:rFonts w:eastAsia="Times New Roman"/>
                <w:sz w:val="20"/>
                <w:szCs w:val="20"/>
              </w:rPr>
            </w:pPr>
          </w:p>
        </w:tc>
        <w:tc>
          <w:tcPr>
            <w:tcW w:w="0" w:type="auto"/>
            <w:gridSpan w:val="3"/>
            <w:vAlign w:val="center"/>
            <w:hideMark/>
          </w:tcPr>
          <w:p w14:paraId="0EB8DF61" w14:textId="77777777" w:rsidR="00000000" w:rsidRDefault="00A173A8">
            <w:pPr>
              <w:spacing w:after="100"/>
              <w:rPr>
                <w:rFonts w:eastAsia="Times New Roman"/>
                <w:sz w:val="20"/>
                <w:szCs w:val="20"/>
              </w:rPr>
            </w:pPr>
          </w:p>
        </w:tc>
        <w:tc>
          <w:tcPr>
            <w:tcW w:w="0" w:type="auto"/>
            <w:gridSpan w:val="3"/>
            <w:vAlign w:val="center"/>
            <w:hideMark/>
          </w:tcPr>
          <w:p w14:paraId="655E4F26" w14:textId="77777777" w:rsidR="00000000" w:rsidRDefault="00A173A8">
            <w:pPr>
              <w:spacing w:after="100"/>
              <w:rPr>
                <w:rFonts w:eastAsia="Times New Roman"/>
                <w:sz w:val="20"/>
                <w:szCs w:val="20"/>
              </w:rPr>
            </w:pPr>
          </w:p>
        </w:tc>
        <w:tc>
          <w:tcPr>
            <w:tcW w:w="0" w:type="auto"/>
            <w:gridSpan w:val="3"/>
            <w:vAlign w:val="center"/>
            <w:hideMark/>
          </w:tcPr>
          <w:p w14:paraId="6E0F4682" w14:textId="77777777" w:rsidR="00000000" w:rsidRDefault="00A173A8">
            <w:pPr>
              <w:spacing w:after="100"/>
              <w:rPr>
                <w:rFonts w:eastAsia="Times New Roman"/>
                <w:sz w:val="20"/>
                <w:szCs w:val="20"/>
              </w:rPr>
            </w:pPr>
          </w:p>
        </w:tc>
        <w:tc>
          <w:tcPr>
            <w:tcW w:w="0" w:type="auto"/>
            <w:gridSpan w:val="3"/>
            <w:vAlign w:val="center"/>
            <w:hideMark/>
          </w:tcPr>
          <w:p w14:paraId="5B10E408" w14:textId="77777777" w:rsidR="00000000" w:rsidRDefault="00A173A8">
            <w:pPr>
              <w:spacing w:after="100"/>
              <w:rPr>
                <w:rFonts w:eastAsia="Times New Roman"/>
                <w:sz w:val="20"/>
                <w:szCs w:val="20"/>
              </w:rPr>
            </w:pPr>
          </w:p>
        </w:tc>
      </w:tr>
      <w:tr w:rsidR="00000000" w14:paraId="5F517629" w14:textId="77777777">
        <w:trPr>
          <w:divId w:val="1380520592"/>
        </w:trPr>
        <w:tc>
          <w:tcPr>
            <w:tcW w:w="0" w:type="auto"/>
            <w:gridSpan w:val="3"/>
            <w:vAlign w:val="center"/>
            <w:hideMark/>
          </w:tcPr>
          <w:p w14:paraId="1DB921FD" w14:textId="77777777" w:rsidR="00000000" w:rsidRDefault="00A173A8">
            <w:pPr>
              <w:spacing w:after="100"/>
              <w:rPr>
                <w:rFonts w:eastAsia="Times New Roman"/>
                <w:sz w:val="20"/>
                <w:szCs w:val="20"/>
              </w:rPr>
            </w:pPr>
          </w:p>
        </w:tc>
        <w:tc>
          <w:tcPr>
            <w:tcW w:w="0" w:type="auto"/>
            <w:gridSpan w:val="3"/>
            <w:vAlign w:val="center"/>
            <w:hideMark/>
          </w:tcPr>
          <w:p w14:paraId="6259960A" w14:textId="77777777" w:rsidR="00000000" w:rsidRDefault="00A173A8">
            <w:pPr>
              <w:spacing w:after="100"/>
              <w:rPr>
                <w:rFonts w:eastAsia="Times New Roman"/>
                <w:sz w:val="20"/>
                <w:szCs w:val="20"/>
              </w:rPr>
            </w:pPr>
          </w:p>
        </w:tc>
        <w:tc>
          <w:tcPr>
            <w:tcW w:w="0" w:type="auto"/>
            <w:gridSpan w:val="3"/>
            <w:vAlign w:val="center"/>
            <w:hideMark/>
          </w:tcPr>
          <w:p w14:paraId="21DDE124" w14:textId="77777777" w:rsidR="00000000" w:rsidRDefault="00A173A8">
            <w:pPr>
              <w:spacing w:after="100"/>
              <w:rPr>
                <w:rFonts w:eastAsia="Times New Roman"/>
                <w:sz w:val="20"/>
                <w:szCs w:val="20"/>
              </w:rPr>
            </w:pPr>
          </w:p>
        </w:tc>
        <w:tc>
          <w:tcPr>
            <w:tcW w:w="0" w:type="auto"/>
            <w:gridSpan w:val="3"/>
            <w:vAlign w:val="center"/>
            <w:hideMark/>
          </w:tcPr>
          <w:p w14:paraId="5812DDF2" w14:textId="77777777" w:rsidR="00000000" w:rsidRDefault="00A173A8">
            <w:pPr>
              <w:spacing w:after="100"/>
              <w:rPr>
                <w:rFonts w:eastAsia="Times New Roman"/>
                <w:sz w:val="20"/>
                <w:szCs w:val="20"/>
              </w:rPr>
            </w:pPr>
          </w:p>
        </w:tc>
        <w:tc>
          <w:tcPr>
            <w:tcW w:w="0" w:type="auto"/>
            <w:gridSpan w:val="3"/>
            <w:vAlign w:val="center"/>
            <w:hideMark/>
          </w:tcPr>
          <w:p w14:paraId="66D96BC5" w14:textId="77777777" w:rsidR="00000000" w:rsidRDefault="00A173A8">
            <w:pPr>
              <w:spacing w:after="100"/>
              <w:rPr>
                <w:rFonts w:eastAsia="Times New Roman"/>
                <w:sz w:val="20"/>
                <w:szCs w:val="20"/>
              </w:rPr>
            </w:pPr>
          </w:p>
        </w:tc>
        <w:tc>
          <w:tcPr>
            <w:tcW w:w="0" w:type="auto"/>
            <w:gridSpan w:val="3"/>
            <w:vAlign w:val="center"/>
            <w:hideMark/>
          </w:tcPr>
          <w:p w14:paraId="3E08631F" w14:textId="77777777" w:rsidR="00000000" w:rsidRDefault="00A173A8">
            <w:pPr>
              <w:spacing w:after="100"/>
              <w:rPr>
                <w:rFonts w:eastAsia="Times New Roman"/>
                <w:sz w:val="20"/>
                <w:szCs w:val="20"/>
              </w:rPr>
            </w:pPr>
          </w:p>
        </w:tc>
        <w:tc>
          <w:tcPr>
            <w:tcW w:w="0" w:type="auto"/>
            <w:gridSpan w:val="3"/>
            <w:vAlign w:val="center"/>
            <w:hideMark/>
          </w:tcPr>
          <w:p w14:paraId="62CF6E15" w14:textId="77777777" w:rsidR="00000000" w:rsidRDefault="00A173A8">
            <w:pPr>
              <w:spacing w:after="100"/>
              <w:rPr>
                <w:rFonts w:eastAsia="Times New Roman"/>
                <w:sz w:val="20"/>
                <w:szCs w:val="20"/>
              </w:rPr>
            </w:pPr>
          </w:p>
        </w:tc>
        <w:tc>
          <w:tcPr>
            <w:tcW w:w="0" w:type="auto"/>
            <w:gridSpan w:val="3"/>
            <w:vAlign w:val="center"/>
            <w:hideMark/>
          </w:tcPr>
          <w:p w14:paraId="4ABF02F4" w14:textId="77777777" w:rsidR="00000000" w:rsidRDefault="00A173A8">
            <w:pPr>
              <w:spacing w:after="100"/>
              <w:rPr>
                <w:rFonts w:eastAsia="Times New Roman"/>
                <w:sz w:val="20"/>
                <w:szCs w:val="20"/>
              </w:rPr>
            </w:pPr>
          </w:p>
        </w:tc>
        <w:tc>
          <w:tcPr>
            <w:tcW w:w="0" w:type="auto"/>
            <w:gridSpan w:val="3"/>
            <w:vAlign w:val="center"/>
            <w:hideMark/>
          </w:tcPr>
          <w:p w14:paraId="1CE136FD" w14:textId="77777777" w:rsidR="00000000" w:rsidRDefault="00A173A8">
            <w:pPr>
              <w:spacing w:after="100"/>
              <w:rPr>
                <w:rFonts w:eastAsia="Times New Roman"/>
                <w:sz w:val="20"/>
                <w:szCs w:val="20"/>
              </w:rPr>
            </w:pPr>
          </w:p>
        </w:tc>
        <w:tc>
          <w:tcPr>
            <w:tcW w:w="0" w:type="auto"/>
            <w:gridSpan w:val="3"/>
            <w:vAlign w:val="center"/>
            <w:hideMark/>
          </w:tcPr>
          <w:p w14:paraId="0707546A" w14:textId="77777777" w:rsidR="00000000" w:rsidRDefault="00A173A8">
            <w:pPr>
              <w:spacing w:after="100"/>
              <w:rPr>
                <w:rFonts w:eastAsia="Times New Roman"/>
                <w:sz w:val="20"/>
                <w:szCs w:val="20"/>
              </w:rPr>
            </w:pPr>
          </w:p>
        </w:tc>
        <w:tc>
          <w:tcPr>
            <w:tcW w:w="0" w:type="auto"/>
            <w:gridSpan w:val="3"/>
            <w:vAlign w:val="center"/>
            <w:hideMark/>
          </w:tcPr>
          <w:p w14:paraId="3F3E2B71" w14:textId="77777777" w:rsidR="00000000" w:rsidRDefault="00A173A8">
            <w:pPr>
              <w:spacing w:after="100"/>
              <w:rPr>
                <w:rFonts w:eastAsia="Times New Roman"/>
                <w:sz w:val="20"/>
                <w:szCs w:val="20"/>
              </w:rPr>
            </w:pPr>
          </w:p>
        </w:tc>
        <w:tc>
          <w:tcPr>
            <w:tcW w:w="0" w:type="auto"/>
            <w:gridSpan w:val="3"/>
            <w:vAlign w:val="center"/>
            <w:hideMark/>
          </w:tcPr>
          <w:p w14:paraId="4F156C16" w14:textId="77777777" w:rsidR="00000000" w:rsidRDefault="00A173A8">
            <w:pPr>
              <w:spacing w:after="100"/>
              <w:rPr>
                <w:rFonts w:eastAsia="Times New Roman"/>
                <w:sz w:val="20"/>
                <w:szCs w:val="20"/>
              </w:rPr>
            </w:pPr>
          </w:p>
        </w:tc>
        <w:tc>
          <w:tcPr>
            <w:tcW w:w="0" w:type="auto"/>
            <w:gridSpan w:val="3"/>
            <w:vAlign w:val="center"/>
            <w:hideMark/>
          </w:tcPr>
          <w:p w14:paraId="03E06043" w14:textId="77777777" w:rsidR="00000000" w:rsidRDefault="00A173A8">
            <w:pPr>
              <w:spacing w:after="100"/>
              <w:rPr>
                <w:rFonts w:eastAsia="Times New Roman"/>
                <w:sz w:val="20"/>
                <w:szCs w:val="20"/>
              </w:rPr>
            </w:pPr>
          </w:p>
        </w:tc>
        <w:tc>
          <w:tcPr>
            <w:tcW w:w="0" w:type="auto"/>
            <w:gridSpan w:val="3"/>
            <w:vAlign w:val="center"/>
            <w:hideMark/>
          </w:tcPr>
          <w:p w14:paraId="51D99CC4" w14:textId="77777777" w:rsidR="00000000" w:rsidRDefault="00A173A8">
            <w:pPr>
              <w:spacing w:after="100"/>
              <w:rPr>
                <w:rFonts w:eastAsia="Times New Roman"/>
                <w:sz w:val="20"/>
                <w:szCs w:val="20"/>
              </w:rPr>
            </w:pPr>
          </w:p>
        </w:tc>
        <w:tc>
          <w:tcPr>
            <w:tcW w:w="0" w:type="auto"/>
            <w:gridSpan w:val="3"/>
            <w:vAlign w:val="center"/>
            <w:hideMark/>
          </w:tcPr>
          <w:p w14:paraId="245FEE69" w14:textId="77777777" w:rsidR="00000000" w:rsidRDefault="00A173A8">
            <w:pPr>
              <w:spacing w:after="100"/>
              <w:rPr>
                <w:rFonts w:eastAsia="Times New Roman"/>
                <w:sz w:val="20"/>
                <w:szCs w:val="20"/>
              </w:rPr>
            </w:pPr>
          </w:p>
        </w:tc>
        <w:tc>
          <w:tcPr>
            <w:tcW w:w="0" w:type="auto"/>
            <w:gridSpan w:val="3"/>
            <w:vAlign w:val="center"/>
            <w:hideMark/>
          </w:tcPr>
          <w:p w14:paraId="0F49F881" w14:textId="77777777" w:rsidR="00000000" w:rsidRDefault="00A173A8">
            <w:pPr>
              <w:spacing w:after="100"/>
              <w:rPr>
                <w:rFonts w:eastAsia="Times New Roman"/>
                <w:sz w:val="20"/>
                <w:szCs w:val="20"/>
              </w:rPr>
            </w:pPr>
          </w:p>
        </w:tc>
        <w:tc>
          <w:tcPr>
            <w:tcW w:w="0" w:type="auto"/>
            <w:gridSpan w:val="3"/>
            <w:vAlign w:val="center"/>
            <w:hideMark/>
          </w:tcPr>
          <w:p w14:paraId="23CF35D8" w14:textId="77777777" w:rsidR="00000000" w:rsidRDefault="00A173A8">
            <w:pPr>
              <w:spacing w:after="100"/>
              <w:rPr>
                <w:rFonts w:eastAsia="Times New Roman"/>
                <w:sz w:val="20"/>
                <w:szCs w:val="20"/>
              </w:rPr>
            </w:pPr>
          </w:p>
        </w:tc>
      </w:tr>
      <w:tr w:rsidR="00000000" w14:paraId="21B9C339" w14:textId="77777777">
        <w:trPr>
          <w:divId w:val="1380520592"/>
        </w:trPr>
        <w:tc>
          <w:tcPr>
            <w:tcW w:w="0" w:type="auto"/>
            <w:gridSpan w:val="3"/>
            <w:vAlign w:val="center"/>
            <w:hideMark/>
          </w:tcPr>
          <w:p w14:paraId="532EE2CD" w14:textId="77777777" w:rsidR="00000000" w:rsidRDefault="00A173A8">
            <w:pPr>
              <w:spacing w:after="100"/>
              <w:rPr>
                <w:rFonts w:eastAsia="Times New Roman"/>
                <w:sz w:val="20"/>
                <w:szCs w:val="20"/>
              </w:rPr>
            </w:pPr>
          </w:p>
        </w:tc>
        <w:tc>
          <w:tcPr>
            <w:tcW w:w="0" w:type="auto"/>
            <w:gridSpan w:val="3"/>
            <w:vAlign w:val="center"/>
            <w:hideMark/>
          </w:tcPr>
          <w:p w14:paraId="48BFBF7E" w14:textId="77777777" w:rsidR="00000000" w:rsidRDefault="00A173A8">
            <w:pPr>
              <w:spacing w:after="100"/>
              <w:rPr>
                <w:rFonts w:eastAsia="Times New Roman"/>
                <w:sz w:val="20"/>
                <w:szCs w:val="20"/>
              </w:rPr>
            </w:pPr>
          </w:p>
        </w:tc>
        <w:tc>
          <w:tcPr>
            <w:tcW w:w="0" w:type="auto"/>
            <w:gridSpan w:val="3"/>
            <w:vAlign w:val="center"/>
            <w:hideMark/>
          </w:tcPr>
          <w:p w14:paraId="7F2229A0" w14:textId="77777777" w:rsidR="00000000" w:rsidRDefault="00A173A8">
            <w:pPr>
              <w:spacing w:after="100"/>
              <w:rPr>
                <w:rFonts w:eastAsia="Times New Roman"/>
                <w:sz w:val="20"/>
                <w:szCs w:val="20"/>
              </w:rPr>
            </w:pPr>
          </w:p>
        </w:tc>
        <w:tc>
          <w:tcPr>
            <w:tcW w:w="0" w:type="auto"/>
            <w:gridSpan w:val="3"/>
            <w:vAlign w:val="center"/>
            <w:hideMark/>
          </w:tcPr>
          <w:p w14:paraId="5CA3CBB2" w14:textId="77777777" w:rsidR="00000000" w:rsidRDefault="00A173A8">
            <w:pPr>
              <w:spacing w:after="100"/>
              <w:rPr>
                <w:rFonts w:eastAsia="Times New Roman"/>
                <w:sz w:val="20"/>
                <w:szCs w:val="20"/>
              </w:rPr>
            </w:pPr>
          </w:p>
        </w:tc>
        <w:tc>
          <w:tcPr>
            <w:tcW w:w="0" w:type="auto"/>
            <w:gridSpan w:val="3"/>
            <w:vAlign w:val="center"/>
            <w:hideMark/>
          </w:tcPr>
          <w:p w14:paraId="12CA4D26" w14:textId="77777777" w:rsidR="00000000" w:rsidRDefault="00A173A8">
            <w:pPr>
              <w:spacing w:after="100"/>
              <w:rPr>
                <w:rFonts w:eastAsia="Times New Roman"/>
                <w:sz w:val="20"/>
                <w:szCs w:val="20"/>
              </w:rPr>
            </w:pPr>
          </w:p>
        </w:tc>
        <w:tc>
          <w:tcPr>
            <w:tcW w:w="0" w:type="auto"/>
            <w:gridSpan w:val="3"/>
            <w:vAlign w:val="center"/>
            <w:hideMark/>
          </w:tcPr>
          <w:p w14:paraId="75FE6A57" w14:textId="77777777" w:rsidR="00000000" w:rsidRDefault="00A173A8">
            <w:pPr>
              <w:spacing w:after="100"/>
              <w:rPr>
                <w:rFonts w:eastAsia="Times New Roman"/>
                <w:sz w:val="20"/>
                <w:szCs w:val="20"/>
              </w:rPr>
            </w:pPr>
          </w:p>
        </w:tc>
        <w:tc>
          <w:tcPr>
            <w:tcW w:w="0" w:type="auto"/>
            <w:gridSpan w:val="3"/>
            <w:vAlign w:val="center"/>
            <w:hideMark/>
          </w:tcPr>
          <w:p w14:paraId="3C428D02" w14:textId="77777777" w:rsidR="00000000" w:rsidRDefault="00A173A8">
            <w:pPr>
              <w:spacing w:after="100"/>
              <w:rPr>
                <w:rFonts w:eastAsia="Times New Roman"/>
                <w:sz w:val="20"/>
                <w:szCs w:val="20"/>
              </w:rPr>
            </w:pPr>
          </w:p>
        </w:tc>
        <w:tc>
          <w:tcPr>
            <w:tcW w:w="0" w:type="auto"/>
            <w:gridSpan w:val="3"/>
            <w:vAlign w:val="center"/>
            <w:hideMark/>
          </w:tcPr>
          <w:p w14:paraId="602853E0" w14:textId="77777777" w:rsidR="00000000" w:rsidRDefault="00A173A8">
            <w:pPr>
              <w:spacing w:after="100"/>
              <w:rPr>
                <w:rFonts w:eastAsia="Times New Roman"/>
                <w:sz w:val="20"/>
                <w:szCs w:val="20"/>
              </w:rPr>
            </w:pPr>
          </w:p>
        </w:tc>
        <w:tc>
          <w:tcPr>
            <w:tcW w:w="0" w:type="auto"/>
            <w:gridSpan w:val="3"/>
            <w:vAlign w:val="center"/>
            <w:hideMark/>
          </w:tcPr>
          <w:p w14:paraId="0626A387" w14:textId="77777777" w:rsidR="00000000" w:rsidRDefault="00A173A8">
            <w:pPr>
              <w:spacing w:after="100"/>
              <w:rPr>
                <w:rFonts w:eastAsia="Times New Roman"/>
                <w:sz w:val="20"/>
                <w:szCs w:val="20"/>
              </w:rPr>
            </w:pPr>
          </w:p>
        </w:tc>
        <w:tc>
          <w:tcPr>
            <w:tcW w:w="0" w:type="auto"/>
            <w:gridSpan w:val="3"/>
            <w:vAlign w:val="center"/>
            <w:hideMark/>
          </w:tcPr>
          <w:p w14:paraId="135C1BC8" w14:textId="77777777" w:rsidR="00000000" w:rsidRDefault="00A173A8">
            <w:pPr>
              <w:spacing w:after="100"/>
              <w:rPr>
                <w:rFonts w:eastAsia="Times New Roman"/>
                <w:sz w:val="20"/>
                <w:szCs w:val="20"/>
              </w:rPr>
            </w:pPr>
          </w:p>
        </w:tc>
        <w:tc>
          <w:tcPr>
            <w:tcW w:w="0" w:type="auto"/>
            <w:gridSpan w:val="3"/>
            <w:vAlign w:val="center"/>
            <w:hideMark/>
          </w:tcPr>
          <w:p w14:paraId="4FA281CD" w14:textId="77777777" w:rsidR="00000000" w:rsidRDefault="00A173A8">
            <w:pPr>
              <w:spacing w:after="100"/>
              <w:rPr>
                <w:rFonts w:eastAsia="Times New Roman"/>
                <w:sz w:val="20"/>
                <w:szCs w:val="20"/>
              </w:rPr>
            </w:pPr>
          </w:p>
        </w:tc>
        <w:tc>
          <w:tcPr>
            <w:tcW w:w="0" w:type="auto"/>
            <w:gridSpan w:val="3"/>
            <w:vAlign w:val="center"/>
            <w:hideMark/>
          </w:tcPr>
          <w:p w14:paraId="285A6D84" w14:textId="77777777" w:rsidR="00000000" w:rsidRDefault="00A173A8">
            <w:pPr>
              <w:spacing w:after="100"/>
              <w:rPr>
                <w:rFonts w:eastAsia="Times New Roman"/>
                <w:sz w:val="20"/>
                <w:szCs w:val="20"/>
              </w:rPr>
            </w:pPr>
          </w:p>
        </w:tc>
        <w:tc>
          <w:tcPr>
            <w:tcW w:w="0" w:type="auto"/>
            <w:gridSpan w:val="3"/>
            <w:vAlign w:val="center"/>
            <w:hideMark/>
          </w:tcPr>
          <w:p w14:paraId="302824D7" w14:textId="77777777" w:rsidR="00000000" w:rsidRDefault="00A173A8">
            <w:pPr>
              <w:spacing w:after="100"/>
              <w:rPr>
                <w:rFonts w:eastAsia="Times New Roman"/>
                <w:sz w:val="20"/>
                <w:szCs w:val="20"/>
              </w:rPr>
            </w:pPr>
          </w:p>
        </w:tc>
        <w:tc>
          <w:tcPr>
            <w:tcW w:w="0" w:type="auto"/>
            <w:gridSpan w:val="3"/>
            <w:vAlign w:val="center"/>
            <w:hideMark/>
          </w:tcPr>
          <w:p w14:paraId="0F1A1550" w14:textId="77777777" w:rsidR="00000000" w:rsidRDefault="00A173A8">
            <w:pPr>
              <w:spacing w:after="100"/>
              <w:rPr>
                <w:rFonts w:eastAsia="Times New Roman"/>
                <w:sz w:val="20"/>
                <w:szCs w:val="20"/>
              </w:rPr>
            </w:pPr>
          </w:p>
        </w:tc>
        <w:tc>
          <w:tcPr>
            <w:tcW w:w="0" w:type="auto"/>
            <w:gridSpan w:val="3"/>
            <w:vAlign w:val="center"/>
            <w:hideMark/>
          </w:tcPr>
          <w:p w14:paraId="76B0634B" w14:textId="77777777" w:rsidR="00000000" w:rsidRDefault="00A173A8">
            <w:pPr>
              <w:spacing w:after="100"/>
              <w:rPr>
                <w:rFonts w:eastAsia="Times New Roman"/>
                <w:sz w:val="20"/>
                <w:szCs w:val="20"/>
              </w:rPr>
            </w:pPr>
          </w:p>
        </w:tc>
        <w:tc>
          <w:tcPr>
            <w:tcW w:w="0" w:type="auto"/>
            <w:gridSpan w:val="3"/>
            <w:vAlign w:val="center"/>
            <w:hideMark/>
          </w:tcPr>
          <w:p w14:paraId="67DE2E27" w14:textId="77777777" w:rsidR="00000000" w:rsidRDefault="00A173A8">
            <w:pPr>
              <w:spacing w:after="100"/>
              <w:rPr>
                <w:rFonts w:eastAsia="Times New Roman"/>
                <w:sz w:val="20"/>
                <w:szCs w:val="20"/>
              </w:rPr>
            </w:pPr>
          </w:p>
        </w:tc>
        <w:tc>
          <w:tcPr>
            <w:tcW w:w="0" w:type="auto"/>
            <w:gridSpan w:val="3"/>
            <w:vAlign w:val="center"/>
            <w:hideMark/>
          </w:tcPr>
          <w:p w14:paraId="519D7C63" w14:textId="77777777" w:rsidR="00000000" w:rsidRDefault="00A173A8">
            <w:pPr>
              <w:spacing w:after="100"/>
              <w:rPr>
                <w:rFonts w:eastAsia="Times New Roman"/>
                <w:sz w:val="20"/>
                <w:szCs w:val="20"/>
              </w:rPr>
            </w:pPr>
          </w:p>
        </w:tc>
      </w:tr>
      <w:tr w:rsidR="00000000" w14:paraId="47BE765F" w14:textId="77777777">
        <w:trPr>
          <w:divId w:val="1380520592"/>
        </w:trPr>
        <w:tc>
          <w:tcPr>
            <w:tcW w:w="0" w:type="auto"/>
            <w:gridSpan w:val="3"/>
            <w:vAlign w:val="center"/>
            <w:hideMark/>
          </w:tcPr>
          <w:p w14:paraId="6E8332B4" w14:textId="77777777" w:rsidR="00000000" w:rsidRDefault="00A173A8">
            <w:pPr>
              <w:spacing w:after="100"/>
              <w:rPr>
                <w:rFonts w:eastAsia="Times New Roman"/>
                <w:sz w:val="20"/>
                <w:szCs w:val="20"/>
              </w:rPr>
            </w:pPr>
          </w:p>
        </w:tc>
        <w:tc>
          <w:tcPr>
            <w:tcW w:w="0" w:type="auto"/>
            <w:gridSpan w:val="3"/>
            <w:vAlign w:val="center"/>
            <w:hideMark/>
          </w:tcPr>
          <w:p w14:paraId="3A3D0ACB" w14:textId="77777777" w:rsidR="00000000" w:rsidRDefault="00A173A8">
            <w:pPr>
              <w:spacing w:after="100"/>
              <w:rPr>
                <w:rFonts w:eastAsia="Times New Roman"/>
                <w:sz w:val="20"/>
                <w:szCs w:val="20"/>
              </w:rPr>
            </w:pPr>
          </w:p>
        </w:tc>
        <w:tc>
          <w:tcPr>
            <w:tcW w:w="0" w:type="auto"/>
            <w:gridSpan w:val="3"/>
            <w:vAlign w:val="center"/>
            <w:hideMark/>
          </w:tcPr>
          <w:p w14:paraId="52D3DAB2" w14:textId="77777777" w:rsidR="00000000" w:rsidRDefault="00A173A8">
            <w:pPr>
              <w:spacing w:after="100"/>
              <w:rPr>
                <w:rFonts w:eastAsia="Times New Roman"/>
                <w:sz w:val="20"/>
                <w:szCs w:val="20"/>
              </w:rPr>
            </w:pPr>
          </w:p>
        </w:tc>
        <w:tc>
          <w:tcPr>
            <w:tcW w:w="0" w:type="auto"/>
            <w:gridSpan w:val="3"/>
            <w:vAlign w:val="center"/>
            <w:hideMark/>
          </w:tcPr>
          <w:p w14:paraId="2479CD69" w14:textId="77777777" w:rsidR="00000000" w:rsidRDefault="00A173A8">
            <w:pPr>
              <w:spacing w:after="100"/>
              <w:rPr>
                <w:rFonts w:eastAsia="Times New Roman"/>
                <w:sz w:val="20"/>
                <w:szCs w:val="20"/>
              </w:rPr>
            </w:pPr>
          </w:p>
        </w:tc>
        <w:tc>
          <w:tcPr>
            <w:tcW w:w="0" w:type="auto"/>
            <w:gridSpan w:val="3"/>
            <w:vAlign w:val="center"/>
            <w:hideMark/>
          </w:tcPr>
          <w:p w14:paraId="6FC9FA73" w14:textId="77777777" w:rsidR="00000000" w:rsidRDefault="00A173A8">
            <w:pPr>
              <w:spacing w:after="100"/>
              <w:rPr>
                <w:rFonts w:eastAsia="Times New Roman"/>
                <w:sz w:val="20"/>
                <w:szCs w:val="20"/>
              </w:rPr>
            </w:pPr>
          </w:p>
        </w:tc>
        <w:tc>
          <w:tcPr>
            <w:tcW w:w="0" w:type="auto"/>
            <w:gridSpan w:val="3"/>
            <w:vAlign w:val="center"/>
            <w:hideMark/>
          </w:tcPr>
          <w:p w14:paraId="329A0EA8" w14:textId="77777777" w:rsidR="00000000" w:rsidRDefault="00A173A8">
            <w:pPr>
              <w:spacing w:after="100"/>
              <w:rPr>
                <w:rFonts w:eastAsia="Times New Roman"/>
                <w:sz w:val="20"/>
                <w:szCs w:val="20"/>
              </w:rPr>
            </w:pPr>
          </w:p>
        </w:tc>
        <w:tc>
          <w:tcPr>
            <w:tcW w:w="0" w:type="auto"/>
            <w:gridSpan w:val="3"/>
            <w:vAlign w:val="center"/>
            <w:hideMark/>
          </w:tcPr>
          <w:p w14:paraId="5B3106B1" w14:textId="77777777" w:rsidR="00000000" w:rsidRDefault="00A173A8">
            <w:pPr>
              <w:spacing w:after="100"/>
              <w:rPr>
                <w:rFonts w:eastAsia="Times New Roman"/>
                <w:sz w:val="20"/>
                <w:szCs w:val="20"/>
              </w:rPr>
            </w:pPr>
          </w:p>
        </w:tc>
        <w:tc>
          <w:tcPr>
            <w:tcW w:w="0" w:type="auto"/>
            <w:gridSpan w:val="3"/>
            <w:vAlign w:val="center"/>
            <w:hideMark/>
          </w:tcPr>
          <w:p w14:paraId="02DA8EF8" w14:textId="77777777" w:rsidR="00000000" w:rsidRDefault="00A173A8">
            <w:pPr>
              <w:spacing w:after="100"/>
              <w:rPr>
                <w:rFonts w:eastAsia="Times New Roman"/>
                <w:sz w:val="20"/>
                <w:szCs w:val="20"/>
              </w:rPr>
            </w:pPr>
          </w:p>
        </w:tc>
        <w:tc>
          <w:tcPr>
            <w:tcW w:w="0" w:type="auto"/>
            <w:gridSpan w:val="3"/>
            <w:vAlign w:val="center"/>
            <w:hideMark/>
          </w:tcPr>
          <w:p w14:paraId="15AB6B55" w14:textId="77777777" w:rsidR="00000000" w:rsidRDefault="00A173A8">
            <w:pPr>
              <w:spacing w:after="100"/>
              <w:rPr>
                <w:rFonts w:eastAsia="Times New Roman"/>
                <w:sz w:val="20"/>
                <w:szCs w:val="20"/>
              </w:rPr>
            </w:pPr>
          </w:p>
        </w:tc>
        <w:tc>
          <w:tcPr>
            <w:tcW w:w="0" w:type="auto"/>
            <w:gridSpan w:val="3"/>
            <w:vAlign w:val="center"/>
            <w:hideMark/>
          </w:tcPr>
          <w:p w14:paraId="6C4147F0" w14:textId="77777777" w:rsidR="00000000" w:rsidRDefault="00A173A8">
            <w:pPr>
              <w:spacing w:after="100"/>
              <w:rPr>
                <w:rFonts w:eastAsia="Times New Roman"/>
                <w:sz w:val="20"/>
                <w:szCs w:val="20"/>
              </w:rPr>
            </w:pPr>
          </w:p>
        </w:tc>
        <w:tc>
          <w:tcPr>
            <w:tcW w:w="0" w:type="auto"/>
            <w:gridSpan w:val="3"/>
            <w:vAlign w:val="center"/>
            <w:hideMark/>
          </w:tcPr>
          <w:p w14:paraId="1F71AB8A" w14:textId="77777777" w:rsidR="00000000" w:rsidRDefault="00A173A8">
            <w:pPr>
              <w:spacing w:after="100"/>
              <w:rPr>
                <w:rFonts w:eastAsia="Times New Roman"/>
                <w:sz w:val="20"/>
                <w:szCs w:val="20"/>
              </w:rPr>
            </w:pPr>
          </w:p>
        </w:tc>
        <w:tc>
          <w:tcPr>
            <w:tcW w:w="0" w:type="auto"/>
            <w:gridSpan w:val="3"/>
            <w:vAlign w:val="center"/>
            <w:hideMark/>
          </w:tcPr>
          <w:p w14:paraId="66CE8F98" w14:textId="77777777" w:rsidR="00000000" w:rsidRDefault="00A173A8">
            <w:pPr>
              <w:spacing w:after="100"/>
              <w:rPr>
                <w:rFonts w:eastAsia="Times New Roman"/>
                <w:sz w:val="20"/>
                <w:szCs w:val="20"/>
              </w:rPr>
            </w:pPr>
          </w:p>
        </w:tc>
        <w:tc>
          <w:tcPr>
            <w:tcW w:w="0" w:type="auto"/>
            <w:gridSpan w:val="3"/>
            <w:vAlign w:val="center"/>
            <w:hideMark/>
          </w:tcPr>
          <w:p w14:paraId="1D67987B" w14:textId="77777777" w:rsidR="00000000" w:rsidRDefault="00A173A8">
            <w:pPr>
              <w:spacing w:after="100"/>
              <w:rPr>
                <w:rFonts w:eastAsia="Times New Roman"/>
                <w:sz w:val="20"/>
                <w:szCs w:val="20"/>
              </w:rPr>
            </w:pPr>
          </w:p>
        </w:tc>
        <w:tc>
          <w:tcPr>
            <w:tcW w:w="0" w:type="auto"/>
            <w:gridSpan w:val="3"/>
            <w:vAlign w:val="center"/>
            <w:hideMark/>
          </w:tcPr>
          <w:p w14:paraId="2A516D7E" w14:textId="77777777" w:rsidR="00000000" w:rsidRDefault="00A173A8">
            <w:pPr>
              <w:spacing w:after="100"/>
              <w:rPr>
                <w:rFonts w:eastAsia="Times New Roman"/>
                <w:sz w:val="20"/>
                <w:szCs w:val="20"/>
              </w:rPr>
            </w:pPr>
          </w:p>
        </w:tc>
        <w:tc>
          <w:tcPr>
            <w:tcW w:w="0" w:type="auto"/>
            <w:gridSpan w:val="3"/>
            <w:vAlign w:val="center"/>
            <w:hideMark/>
          </w:tcPr>
          <w:p w14:paraId="10E24734" w14:textId="77777777" w:rsidR="00000000" w:rsidRDefault="00A173A8">
            <w:pPr>
              <w:spacing w:after="100"/>
              <w:rPr>
                <w:rFonts w:eastAsia="Times New Roman"/>
                <w:sz w:val="20"/>
                <w:szCs w:val="20"/>
              </w:rPr>
            </w:pPr>
          </w:p>
        </w:tc>
        <w:tc>
          <w:tcPr>
            <w:tcW w:w="0" w:type="auto"/>
            <w:gridSpan w:val="3"/>
            <w:vAlign w:val="center"/>
            <w:hideMark/>
          </w:tcPr>
          <w:p w14:paraId="53D253DB" w14:textId="77777777" w:rsidR="00000000" w:rsidRDefault="00A173A8">
            <w:pPr>
              <w:spacing w:after="100"/>
              <w:rPr>
                <w:rFonts w:eastAsia="Times New Roman"/>
                <w:sz w:val="20"/>
                <w:szCs w:val="20"/>
              </w:rPr>
            </w:pPr>
          </w:p>
        </w:tc>
        <w:tc>
          <w:tcPr>
            <w:tcW w:w="0" w:type="auto"/>
            <w:gridSpan w:val="3"/>
            <w:vAlign w:val="center"/>
            <w:hideMark/>
          </w:tcPr>
          <w:p w14:paraId="46E7DAB7" w14:textId="77777777" w:rsidR="00000000" w:rsidRDefault="00A173A8">
            <w:pPr>
              <w:spacing w:after="100"/>
              <w:rPr>
                <w:rFonts w:eastAsia="Times New Roman"/>
                <w:sz w:val="20"/>
                <w:szCs w:val="20"/>
              </w:rPr>
            </w:pPr>
          </w:p>
        </w:tc>
      </w:tr>
      <w:tr w:rsidR="00000000" w14:paraId="07291076" w14:textId="77777777">
        <w:trPr>
          <w:divId w:val="1380520592"/>
        </w:trPr>
        <w:tc>
          <w:tcPr>
            <w:tcW w:w="0" w:type="auto"/>
            <w:gridSpan w:val="3"/>
            <w:vAlign w:val="center"/>
            <w:hideMark/>
          </w:tcPr>
          <w:p w14:paraId="70CFF6D2" w14:textId="77777777" w:rsidR="00000000" w:rsidRDefault="00A173A8">
            <w:pPr>
              <w:spacing w:after="100"/>
              <w:rPr>
                <w:rFonts w:eastAsia="Times New Roman"/>
                <w:sz w:val="20"/>
                <w:szCs w:val="20"/>
              </w:rPr>
            </w:pPr>
          </w:p>
        </w:tc>
        <w:tc>
          <w:tcPr>
            <w:tcW w:w="0" w:type="auto"/>
            <w:gridSpan w:val="3"/>
            <w:vAlign w:val="center"/>
            <w:hideMark/>
          </w:tcPr>
          <w:p w14:paraId="753CCE19" w14:textId="77777777" w:rsidR="00000000" w:rsidRDefault="00A173A8">
            <w:pPr>
              <w:spacing w:after="100"/>
              <w:rPr>
                <w:rFonts w:eastAsia="Times New Roman"/>
                <w:sz w:val="20"/>
                <w:szCs w:val="20"/>
              </w:rPr>
            </w:pPr>
          </w:p>
        </w:tc>
        <w:tc>
          <w:tcPr>
            <w:tcW w:w="0" w:type="auto"/>
            <w:gridSpan w:val="3"/>
            <w:vAlign w:val="center"/>
            <w:hideMark/>
          </w:tcPr>
          <w:p w14:paraId="38BB8001" w14:textId="77777777" w:rsidR="00000000" w:rsidRDefault="00A173A8">
            <w:pPr>
              <w:spacing w:after="100"/>
              <w:rPr>
                <w:rFonts w:eastAsia="Times New Roman"/>
                <w:sz w:val="20"/>
                <w:szCs w:val="20"/>
              </w:rPr>
            </w:pPr>
          </w:p>
        </w:tc>
        <w:tc>
          <w:tcPr>
            <w:tcW w:w="0" w:type="auto"/>
            <w:gridSpan w:val="3"/>
            <w:vAlign w:val="center"/>
            <w:hideMark/>
          </w:tcPr>
          <w:p w14:paraId="0C2A8800" w14:textId="77777777" w:rsidR="00000000" w:rsidRDefault="00A173A8">
            <w:pPr>
              <w:spacing w:after="100"/>
              <w:rPr>
                <w:rFonts w:eastAsia="Times New Roman"/>
                <w:sz w:val="20"/>
                <w:szCs w:val="20"/>
              </w:rPr>
            </w:pPr>
          </w:p>
        </w:tc>
        <w:tc>
          <w:tcPr>
            <w:tcW w:w="0" w:type="auto"/>
            <w:gridSpan w:val="3"/>
            <w:vAlign w:val="center"/>
            <w:hideMark/>
          </w:tcPr>
          <w:p w14:paraId="56B00F1D" w14:textId="77777777" w:rsidR="00000000" w:rsidRDefault="00A173A8">
            <w:pPr>
              <w:spacing w:after="100"/>
              <w:rPr>
                <w:rFonts w:eastAsia="Times New Roman"/>
                <w:sz w:val="20"/>
                <w:szCs w:val="20"/>
              </w:rPr>
            </w:pPr>
          </w:p>
        </w:tc>
        <w:tc>
          <w:tcPr>
            <w:tcW w:w="0" w:type="auto"/>
            <w:gridSpan w:val="3"/>
            <w:vAlign w:val="center"/>
            <w:hideMark/>
          </w:tcPr>
          <w:p w14:paraId="3B409E55" w14:textId="77777777" w:rsidR="00000000" w:rsidRDefault="00A173A8">
            <w:pPr>
              <w:spacing w:after="100"/>
              <w:rPr>
                <w:rFonts w:eastAsia="Times New Roman"/>
                <w:sz w:val="20"/>
                <w:szCs w:val="20"/>
              </w:rPr>
            </w:pPr>
          </w:p>
        </w:tc>
        <w:tc>
          <w:tcPr>
            <w:tcW w:w="0" w:type="auto"/>
            <w:gridSpan w:val="3"/>
            <w:vAlign w:val="center"/>
            <w:hideMark/>
          </w:tcPr>
          <w:p w14:paraId="3906F1B4" w14:textId="77777777" w:rsidR="00000000" w:rsidRDefault="00A173A8">
            <w:pPr>
              <w:spacing w:after="100"/>
              <w:rPr>
                <w:rFonts w:eastAsia="Times New Roman"/>
                <w:sz w:val="20"/>
                <w:szCs w:val="20"/>
              </w:rPr>
            </w:pPr>
          </w:p>
        </w:tc>
        <w:tc>
          <w:tcPr>
            <w:tcW w:w="0" w:type="auto"/>
            <w:gridSpan w:val="3"/>
            <w:vAlign w:val="center"/>
            <w:hideMark/>
          </w:tcPr>
          <w:p w14:paraId="5A736386" w14:textId="77777777" w:rsidR="00000000" w:rsidRDefault="00A173A8">
            <w:pPr>
              <w:spacing w:after="100"/>
              <w:rPr>
                <w:rFonts w:eastAsia="Times New Roman"/>
                <w:sz w:val="20"/>
                <w:szCs w:val="20"/>
              </w:rPr>
            </w:pPr>
          </w:p>
        </w:tc>
        <w:tc>
          <w:tcPr>
            <w:tcW w:w="0" w:type="auto"/>
            <w:gridSpan w:val="3"/>
            <w:vAlign w:val="center"/>
            <w:hideMark/>
          </w:tcPr>
          <w:p w14:paraId="17BE036B" w14:textId="77777777" w:rsidR="00000000" w:rsidRDefault="00A173A8">
            <w:pPr>
              <w:spacing w:after="100"/>
              <w:rPr>
                <w:rFonts w:eastAsia="Times New Roman"/>
                <w:sz w:val="20"/>
                <w:szCs w:val="20"/>
              </w:rPr>
            </w:pPr>
          </w:p>
        </w:tc>
        <w:tc>
          <w:tcPr>
            <w:tcW w:w="0" w:type="auto"/>
            <w:gridSpan w:val="3"/>
            <w:vAlign w:val="center"/>
            <w:hideMark/>
          </w:tcPr>
          <w:p w14:paraId="6F95DD62" w14:textId="77777777" w:rsidR="00000000" w:rsidRDefault="00A173A8">
            <w:pPr>
              <w:spacing w:after="100"/>
              <w:rPr>
                <w:rFonts w:eastAsia="Times New Roman"/>
                <w:sz w:val="20"/>
                <w:szCs w:val="20"/>
              </w:rPr>
            </w:pPr>
          </w:p>
        </w:tc>
        <w:tc>
          <w:tcPr>
            <w:tcW w:w="0" w:type="auto"/>
            <w:gridSpan w:val="3"/>
            <w:vAlign w:val="center"/>
            <w:hideMark/>
          </w:tcPr>
          <w:p w14:paraId="635AFDAC" w14:textId="77777777" w:rsidR="00000000" w:rsidRDefault="00A173A8">
            <w:pPr>
              <w:spacing w:after="100"/>
              <w:rPr>
                <w:rFonts w:eastAsia="Times New Roman"/>
                <w:sz w:val="20"/>
                <w:szCs w:val="20"/>
              </w:rPr>
            </w:pPr>
          </w:p>
        </w:tc>
        <w:tc>
          <w:tcPr>
            <w:tcW w:w="0" w:type="auto"/>
            <w:gridSpan w:val="3"/>
            <w:vAlign w:val="center"/>
            <w:hideMark/>
          </w:tcPr>
          <w:p w14:paraId="34C2A01A" w14:textId="77777777" w:rsidR="00000000" w:rsidRDefault="00A173A8">
            <w:pPr>
              <w:spacing w:after="100"/>
              <w:rPr>
                <w:rFonts w:eastAsia="Times New Roman"/>
                <w:sz w:val="20"/>
                <w:szCs w:val="20"/>
              </w:rPr>
            </w:pPr>
          </w:p>
        </w:tc>
        <w:tc>
          <w:tcPr>
            <w:tcW w:w="0" w:type="auto"/>
            <w:gridSpan w:val="3"/>
            <w:vAlign w:val="center"/>
            <w:hideMark/>
          </w:tcPr>
          <w:p w14:paraId="2984DF83" w14:textId="77777777" w:rsidR="00000000" w:rsidRDefault="00A173A8">
            <w:pPr>
              <w:spacing w:after="100"/>
              <w:rPr>
                <w:rFonts w:eastAsia="Times New Roman"/>
                <w:sz w:val="20"/>
                <w:szCs w:val="20"/>
              </w:rPr>
            </w:pPr>
          </w:p>
        </w:tc>
        <w:tc>
          <w:tcPr>
            <w:tcW w:w="0" w:type="auto"/>
            <w:gridSpan w:val="3"/>
            <w:vAlign w:val="center"/>
            <w:hideMark/>
          </w:tcPr>
          <w:p w14:paraId="697F64CD" w14:textId="77777777" w:rsidR="00000000" w:rsidRDefault="00A173A8">
            <w:pPr>
              <w:spacing w:after="100"/>
              <w:rPr>
                <w:rFonts w:eastAsia="Times New Roman"/>
                <w:sz w:val="20"/>
                <w:szCs w:val="20"/>
              </w:rPr>
            </w:pPr>
          </w:p>
        </w:tc>
        <w:tc>
          <w:tcPr>
            <w:tcW w:w="0" w:type="auto"/>
            <w:gridSpan w:val="3"/>
            <w:vAlign w:val="center"/>
            <w:hideMark/>
          </w:tcPr>
          <w:p w14:paraId="574AFFDC" w14:textId="77777777" w:rsidR="00000000" w:rsidRDefault="00A173A8">
            <w:pPr>
              <w:spacing w:after="100"/>
              <w:rPr>
                <w:rFonts w:eastAsia="Times New Roman"/>
                <w:sz w:val="20"/>
                <w:szCs w:val="20"/>
              </w:rPr>
            </w:pPr>
          </w:p>
        </w:tc>
        <w:tc>
          <w:tcPr>
            <w:tcW w:w="0" w:type="auto"/>
            <w:gridSpan w:val="3"/>
            <w:vAlign w:val="center"/>
            <w:hideMark/>
          </w:tcPr>
          <w:p w14:paraId="734690A2" w14:textId="77777777" w:rsidR="00000000" w:rsidRDefault="00A173A8">
            <w:pPr>
              <w:spacing w:after="100"/>
              <w:rPr>
                <w:rFonts w:eastAsia="Times New Roman"/>
                <w:sz w:val="20"/>
                <w:szCs w:val="20"/>
              </w:rPr>
            </w:pPr>
          </w:p>
        </w:tc>
        <w:tc>
          <w:tcPr>
            <w:tcW w:w="0" w:type="auto"/>
            <w:gridSpan w:val="3"/>
            <w:vAlign w:val="center"/>
            <w:hideMark/>
          </w:tcPr>
          <w:p w14:paraId="75277E66" w14:textId="77777777" w:rsidR="00000000" w:rsidRDefault="00A173A8">
            <w:pPr>
              <w:spacing w:after="100"/>
              <w:rPr>
                <w:rFonts w:eastAsia="Times New Roman"/>
                <w:sz w:val="20"/>
                <w:szCs w:val="20"/>
              </w:rPr>
            </w:pPr>
          </w:p>
        </w:tc>
      </w:tr>
      <w:tr w:rsidR="00000000" w14:paraId="4AD97703" w14:textId="77777777">
        <w:trPr>
          <w:divId w:val="1380520592"/>
        </w:trPr>
        <w:tc>
          <w:tcPr>
            <w:tcW w:w="0" w:type="auto"/>
            <w:gridSpan w:val="3"/>
            <w:vAlign w:val="center"/>
            <w:hideMark/>
          </w:tcPr>
          <w:p w14:paraId="4D6926A7" w14:textId="77777777" w:rsidR="00000000" w:rsidRDefault="00A173A8">
            <w:pPr>
              <w:spacing w:after="100"/>
              <w:rPr>
                <w:rFonts w:eastAsia="Times New Roman"/>
                <w:sz w:val="20"/>
                <w:szCs w:val="20"/>
              </w:rPr>
            </w:pPr>
          </w:p>
        </w:tc>
        <w:tc>
          <w:tcPr>
            <w:tcW w:w="0" w:type="auto"/>
            <w:gridSpan w:val="3"/>
            <w:vAlign w:val="center"/>
            <w:hideMark/>
          </w:tcPr>
          <w:p w14:paraId="55FCBFD0" w14:textId="77777777" w:rsidR="00000000" w:rsidRDefault="00A173A8">
            <w:pPr>
              <w:spacing w:after="100"/>
              <w:rPr>
                <w:rFonts w:eastAsia="Times New Roman"/>
                <w:sz w:val="20"/>
                <w:szCs w:val="20"/>
              </w:rPr>
            </w:pPr>
          </w:p>
        </w:tc>
        <w:tc>
          <w:tcPr>
            <w:tcW w:w="0" w:type="auto"/>
            <w:gridSpan w:val="3"/>
            <w:vAlign w:val="center"/>
            <w:hideMark/>
          </w:tcPr>
          <w:p w14:paraId="5C578506" w14:textId="77777777" w:rsidR="00000000" w:rsidRDefault="00A173A8">
            <w:pPr>
              <w:spacing w:after="100"/>
              <w:rPr>
                <w:rFonts w:eastAsia="Times New Roman"/>
                <w:sz w:val="20"/>
                <w:szCs w:val="20"/>
              </w:rPr>
            </w:pPr>
          </w:p>
        </w:tc>
        <w:tc>
          <w:tcPr>
            <w:tcW w:w="0" w:type="auto"/>
            <w:gridSpan w:val="3"/>
            <w:vAlign w:val="center"/>
            <w:hideMark/>
          </w:tcPr>
          <w:p w14:paraId="249717B0" w14:textId="77777777" w:rsidR="00000000" w:rsidRDefault="00A173A8">
            <w:pPr>
              <w:spacing w:after="100"/>
              <w:rPr>
                <w:rFonts w:eastAsia="Times New Roman"/>
                <w:sz w:val="20"/>
                <w:szCs w:val="20"/>
              </w:rPr>
            </w:pPr>
          </w:p>
        </w:tc>
        <w:tc>
          <w:tcPr>
            <w:tcW w:w="0" w:type="auto"/>
            <w:gridSpan w:val="3"/>
            <w:vAlign w:val="center"/>
            <w:hideMark/>
          </w:tcPr>
          <w:p w14:paraId="537492FA" w14:textId="77777777" w:rsidR="00000000" w:rsidRDefault="00A173A8">
            <w:pPr>
              <w:spacing w:after="100"/>
              <w:rPr>
                <w:rFonts w:eastAsia="Times New Roman"/>
                <w:sz w:val="20"/>
                <w:szCs w:val="20"/>
              </w:rPr>
            </w:pPr>
          </w:p>
        </w:tc>
        <w:tc>
          <w:tcPr>
            <w:tcW w:w="0" w:type="auto"/>
            <w:gridSpan w:val="3"/>
            <w:vAlign w:val="center"/>
            <w:hideMark/>
          </w:tcPr>
          <w:p w14:paraId="3A376B12" w14:textId="77777777" w:rsidR="00000000" w:rsidRDefault="00A173A8">
            <w:pPr>
              <w:spacing w:after="100"/>
              <w:rPr>
                <w:rFonts w:eastAsia="Times New Roman"/>
                <w:sz w:val="20"/>
                <w:szCs w:val="20"/>
              </w:rPr>
            </w:pPr>
          </w:p>
        </w:tc>
        <w:tc>
          <w:tcPr>
            <w:tcW w:w="0" w:type="auto"/>
            <w:gridSpan w:val="3"/>
            <w:vAlign w:val="center"/>
            <w:hideMark/>
          </w:tcPr>
          <w:p w14:paraId="7B135ABE" w14:textId="77777777" w:rsidR="00000000" w:rsidRDefault="00A173A8">
            <w:pPr>
              <w:spacing w:after="100"/>
              <w:rPr>
                <w:rFonts w:eastAsia="Times New Roman"/>
                <w:sz w:val="20"/>
                <w:szCs w:val="20"/>
              </w:rPr>
            </w:pPr>
          </w:p>
        </w:tc>
        <w:tc>
          <w:tcPr>
            <w:tcW w:w="0" w:type="auto"/>
            <w:gridSpan w:val="3"/>
            <w:vAlign w:val="center"/>
            <w:hideMark/>
          </w:tcPr>
          <w:p w14:paraId="308D169F" w14:textId="77777777" w:rsidR="00000000" w:rsidRDefault="00A173A8">
            <w:pPr>
              <w:spacing w:after="100"/>
              <w:rPr>
                <w:rFonts w:eastAsia="Times New Roman"/>
                <w:sz w:val="20"/>
                <w:szCs w:val="20"/>
              </w:rPr>
            </w:pPr>
          </w:p>
        </w:tc>
        <w:tc>
          <w:tcPr>
            <w:tcW w:w="0" w:type="auto"/>
            <w:gridSpan w:val="3"/>
            <w:vAlign w:val="center"/>
            <w:hideMark/>
          </w:tcPr>
          <w:p w14:paraId="2FA9A54F" w14:textId="77777777" w:rsidR="00000000" w:rsidRDefault="00A173A8">
            <w:pPr>
              <w:spacing w:after="100"/>
              <w:rPr>
                <w:rFonts w:eastAsia="Times New Roman"/>
                <w:sz w:val="20"/>
                <w:szCs w:val="20"/>
              </w:rPr>
            </w:pPr>
          </w:p>
        </w:tc>
        <w:tc>
          <w:tcPr>
            <w:tcW w:w="0" w:type="auto"/>
            <w:gridSpan w:val="3"/>
            <w:vAlign w:val="center"/>
            <w:hideMark/>
          </w:tcPr>
          <w:p w14:paraId="1A378F7C" w14:textId="77777777" w:rsidR="00000000" w:rsidRDefault="00A173A8">
            <w:pPr>
              <w:spacing w:after="100"/>
              <w:rPr>
                <w:rFonts w:eastAsia="Times New Roman"/>
                <w:sz w:val="20"/>
                <w:szCs w:val="20"/>
              </w:rPr>
            </w:pPr>
          </w:p>
        </w:tc>
        <w:tc>
          <w:tcPr>
            <w:tcW w:w="0" w:type="auto"/>
            <w:gridSpan w:val="3"/>
            <w:vAlign w:val="center"/>
            <w:hideMark/>
          </w:tcPr>
          <w:p w14:paraId="60883BF8" w14:textId="77777777" w:rsidR="00000000" w:rsidRDefault="00A173A8">
            <w:pPr>
              <w:spacing w:after="100"/>
              <w:rPr>
                <w:rFonts w:eastAsia="Times New Roman"/>
                <w:sz w:val="20"/>
                <w:szCs w:val="20"/>
              </w:rPr>
            </w:pPr>
          </w:p>
        </w:tc>
        <w:tc>
          <w:tcPr>
            <w:tcW w:w="0" w:type="auto"/>
            <w:gridSpan w:val="3"/>
            <w:vAlign w:val="center"/>
            <w:hideMark/>
          </w:tcPr>
          <w:p w14:paraId="65719493" w14:textId="77777777" w:rsidR="00000000" w:rsidRDefault="00A173A8">
            <w:pPr>
              <w:spacing w:after="100"/>
              <w:rPr>
                <w:rFonts w:eastAsia="Times New Roman"/>
                <w:sz w:val="20"/>
                <w:szCs w:val="20"/>
              </w:rPr>
            </w:pPr>
          </w:p>
        </w:tc>
        <w:tc>
          <w:tcPr>
            <w:tcW w:w="0" w:type="auto"/>
            <w:gridSpan w:val="3"/>
            <w:vAlign w:val="center"/>
            <w:hideMark/>
          </w:tcPr>
          <w:p w14:paraId="515DB26E" w14:textId="77777777" w:rsidR="00000000" w:rsidRDefault="00A173A8">
            <w:pPr>
              <w:spacing w:after="100"/>
              <w:rPr>
                <w:rFonts w:eastAsia="Times New Roman"/>
                <w:sz w:val="20"/>
                <w:szCs w:val="20"/>
              </w:rPr>
            </w:pPr>
          </w:p>
        </w:tc>
        <w:tc>
          <w:tcPr>
            <w:tcW w:w="0" w:type="auto"/>
            <w:gridSpan w:val="3"/>
            <w:vAlign w:val="center"/>
            <w:hideMark/>
          </w:tcPr>
          <w:p w14:paraId="1292F670" w14:textId="77777777" w:rsidR="00000000" w:rsidRDefault="00A173A8">
            <w:pPr>
              <w:spacing w:after="100"/>
              <w:rPr>
                <w:rFonts w:eastAsia="Times New Roman"/>
                <w:sz w:val="20"/>
                <w:szCs w:val="20"/>
              </w:rPr>
            </w:pPr>
          </w:p>
        </w:tc>
        <w:tc>
          <w:tcPr>
            <w:tcW w:w="0" w:type="auto"/>
            <w:gridSpan w:val="3"/>
            <w:vAlign w:val="center"/>
            <w:hideMark/>
          </w:tcPr>
          <w:p w14:paraId="2B04DD50" w14:textId="77777777" w:rsidR="00000000" w:rsidRDefault="00A173A8">
            <w:pPr>
              <w:spacing w:after="100"/>
              <w:rPr>
                <w:rFonts w:eastAsia="Times New Roman"/>
                <w:sz w:val="20"/>
                <w:szCs w:val="20"/>
              </w:rPr>
            </w:pPr>
          </w:p>
        </w:tc>
        <w:tc>
          <w:tcPr>
            <w:tcW w:w="0" w:type="auto"/>
            <w:gridSpan w:val="3"/>
            <w:vAlign w:val="center"/>
            <w:hideMark/>
          </w:tcPr>
          <w:p w14:paraId="74AB097F" w14:textId="77777777" w:rsidR="00000000" w:rsidRDefault="00A173A8">
            <w:pPr>
              <w:spacing w:after="100"/>
              <w:rPr>
                <w:rFonts w:eastAsia="Times New Roman"/>
                <w:sz w:val="20"/>
                <w:szCs w:val="20"/>
              </w:rPr>
            </w:pPr>
          </w:p>
        </w:tc>
        <w:tc>
          <w:tcPr>
            <w:tcW w:w="0" w:type="auto"/>
            <w:gridSpan w:val="3"/>
            <w:vAlign w:val="center"/>
            <w:hideMark/>
          </w:tcPr>
          <w:p w14:paraId="60983942" w14:textId="77777777" w:rsidR="00000000" w:rsidRDefault="00A173A8">
            <w:pPr>
              <w:spacing w:after="100"/>
              <w:rPr>
                <w:rFonts w:eastAsia="Times New Roman"/>
                <w:sz w:val="20"/>
                <w:szCs w:val="20"/>
              </w:rPr>
            </w:pPr>
          </w:p>
        </w:tc>
      </w:tr>
      <w:tr w:rsidR="00000000" w14:paraId="2ACE847C" w14:textId="77777777">
        <w:trPr>
          <w:divId w:val="1380520592"/>
        </w:trPr>
        <w:tc>
          <w:tcPr>
            <w:tcW w:w="0" w:type="auto"/>
            <w:gridSpan w:val="3"/>
            <w:vAlign w:val="center"/>
            <w:hideMark/>
          </w:tcPr>
          <w:p w14:paraId="13B7865C" w14:textId="77777777" w:rsidR="00000000" w:rsidRDefault="00A173A8">
            <w:pPr>
              <w:spacing w:after="100"/>
              <w:rPr>
                <w:rFonts w:eastAsia="Times New Roman"/>
                <w:sz w:val="20"/>
                <w:szCs w:val="20"/>
              </w:rPr>
            </w:pPr>
          </w:p>
        </w:tc>
        <w:tc>
          <w:tcPr>
            <w:tcW w:w="0" w:type="auto"/>
            <w:gridSpan w:val="3"/>
            <w:vAlign w:val="center"/>
            <w:hideMark/>
          </w:tcPr>
          <w:p w14:paraId="02AA29DA" w14:textId="77777777" w:rsidR="00000000" w:rsidRDefault="00A173A8">
            <w:pPr>
              <w:spacing w:after="100"/>
              <w:rPr>
                <w:rFonts w:eastAsia="Times New Roman"/>
                <w:sz w:val="20"/>
                <w:szCs w:val="20"/>
              </w:rPr>
            </w:pPr>
          </w:p>
        </w:tc>
        <w:tc>
          <w:tcPr>
            <w:tcW w:w="0" w:type="auto"/>
            <w:gridSpan w:val="3"/>
            <w:vAlign w:val="center"/>
            <w:hideMark/>
          </w:tcPr>
          <w:p w14:paraId="55144D09" w14:textId="77777777" w:rsidR="00000000" w:rsidRDefault="00A173A8">
            <w:pPr>
              <w:spacing w:after="100"/>
              <w:rPr>
                <w:rFonts w:eastAsia="Times New Roman"/>
                <w:sz w:val="20"/>
                <w:szCs w:val="20"/>
              </w:rPr>
            </w:pPr>
          </w:p>
        </w:tc>
        <w:tc>
          <w:tcPr>
            <w:tcW w:w="0" w:type="auto"/>
            <w:gridSpan w:val="3"/>
            <w:vAlign w:val="center"/>
            <w:hideMark/>
          </w:tcPr>
          <w:p w14:paraId="06DC3EFF" w14:textId="77777777" w:rsidR="00000000" w:rsidRDefault="00A173A8">
            <w:pPr>
              <w:spacing w:after="100"/>
              <w:rPr>
                <w:rFonts w:eastAsia="Times New Roman"/>
                <w:sz w:val="20"/>
                <w:szCs w:val="20"/>
              </w:rPr>
            </w:pPr>
          </w:p>
        </w:tc>
        <w:tc>
          <w:tcPr>
            <w:tcW w:w="0" w:type="auto"/>
            <w:gridSpan w:val="3"/>
            <w:vAlign w:val="center"/>
            <w:hideMark/>
          </w:tcPr>
          <w:p w14:paraId="4A697642" w14:textId="77777777" w:rsidR="00000000" w:rsidRDefault="00A173A8">
            <w:pPr>
              <w:spacing w:after="100"/>
              <w:rPr>
                <w:rFonts w:eastAsia="Times New Roman"/>
                <w:sz w:val="20"/>
                <w:szCs w:val="20"/>
              </w:rPr>
            </w:pPr>
          </w:p>
        </w:tc>
        <w:tc>
          <w:tcPr>
            <w:tcW w:w="0" w:type="auto"/>
            <w:gridSpan w:val="3"/>
            <w:vAlign w:val="center"/>
            <w:hideMark/>
          </w:tcPr>
          <w:p w14:paraId="4AEA8F9A" w14:textId="77777777" w:rsidR="00000000" w:rsidRDefault="00A173A8">
            <w:pPr>
              <w:spacing w:after="100"/>
              <w:rPr>
                <w:rFonts w:eastAsia="Times New Roman"/>
                <w:sz w:val="20"/>
                <w:szCs w:val="20"/>
              </w:rPr>
            </w:pPr>
          </w:p>
        </w:tc>
        <w:tc>
          <w:tcPr>
            <w:tcW w:w="0" w:type="auto"/>
            <w:gridSpan w:val="3"/>
            <w:vAlign w:val="center"/>
            <w:hideMark/>
          </w:tcPr>
          <w:p w14:paraId="2393E7AE" w14:textId="77777777" w:rsidR="00000000" w:rsidRDefault="00A173A8">
            <w:pPr>
              <w:spacing w:after="100"/>
              <w:rPr>
                <w:rFonts w:eastAsia="Times New Roman"/>
                <w:sz w:val="20"/>
                <w:szCs w:val="20"/>
              </w:rPr>
            </w:pPr>
          </w:p>
        </w:tc>
        <w:tc>
          <w:tcPr>
            <w:tcW w:w="0" w:type="auto"/>
            <w:gridSpan w:val="3"/>
            <w:vAlign w:val="center"/>
            <w:hideMark/>
          </w:tcPr>
          <w:p w14:paraId="7C2BC4CA" w14:textId="77777777" w:rsidR="00000000" w:rsidRDefault="00A173A8">
            <w:pPr>
              <w:spacing w:after="100"/>
              <w:rPr>
                <w:rFonts w:eastAsia="Times New Roman"/>
                <w:sz w:val="20"/>
                <w:szCs w:val="20"/>
              </w:rPr>
            </w:pPr>
          </w:p>
        </w:tc>
        <w:tc>
          <w:tcPr>
            <w:tcW w:w="0" w:type="auto"/>
            <w:gridSpan w:val="3"/>
            <w:vAlign w:val="center"/>
            <w:hideMark/>
          </w:tcPr>
          <w:p w14:paraId="36297DA2" w14:textId="77777777" w:rsidR="00000000" w:rsidRDefault="00A173A8">
            <w:pPr>
              <w:spacing w:after="100"/>
              <w:rPr>
                <w:rFonts w:eastAsia="Times New Roman"/>
                <w:sz w:val="20"/>
                <w:szCs w:val="20"/>
              </w:rPr>
            </w:pPr>
          </w:p>
        </w:tc>
        <w:tc>
          <w:tcPr>
            <w:tcW w:w="0" w:type="auto"/>
            <w:gridSpan w:val="3"/>
            <w:vAlign w:val="center"/>
            <w:hideMark/>
          </w:tcPr>
          <w:p w14:paraId="70C57A41" w14:textId="77777777" w:rsidR="00000000" w:rsidRDefault="00A173A8">
            <w:pPr>
              <w:spacing w:after="100"/>
              <w:rPr>
                <w:rFonts w:eastAsia="Times New Roman"/>
                <w:sz w:val="20"/>
                <w:szCs w:val="20"/>
              </w:rPr>
            </w:pPr>
          </w:p>
        </w:tc>
        <w:tc>
          <w:tcPr>
            <w:tcW w:w="0" w:type="auto"/>
            <w:gridSpan w:val="3"/>
            <w:vAlign w:val="center"/>
            <w:hideMark/>
          </w:tcPr>
          <w:p w14:paraId="62EFF79D" w14:textId="77777777" w:rsidR="00000000" w:rsidRDefault="00A173A8">
            <w:pPr>
              <w:spacing w:after="100"/>
              <w:rPr>
                <w:rFonts w:eastAsia="Times New Roman"/>
                <w:sz w:val="20"/>
                <w:szCs w:val="20"/>
              </w:rPr>
            </w:pPr>
          </w:p>
        </w:tc>
        <w:tc>
          <w:tcPr>
            <w:tcW w:w="0" w:type="auto"/>
            <w:gridSpan w:val="3"/>
            <w:vAlign w:val="center"/>
            <w:hideMark/>
          </w:tcPr>
          <w:p w14:paraId="2AFB205F" w14:textId="77777777" w:rsidR="00000000" w:rsidRDefault="00A173A8">
            <w:pPr>
              <w:spacing w:after="100"/>
              <w:rPr>
                <w:rFonts w:eastAsia="Times New Roman"/>
                <w:sz w:val="20"/>
                <w:szCs w:val="20"/>
              </w:rPr>
            </w:pPr>
          </w:p>
        </w:tc>
        <w:tc>
          <w:tcPr>
            <w:tcW w:w="0" w:type="auto"/>
            <w:gridSpan w:val="3"/>
            <w:vAlign w:val="center"/>
            <w:hideMark/>
          </w:tcPr>
          <w:p w14:paraId="7F15AA49" w14:textId="77777777" w:rsidR="00000000" w:rsidRDefault="00A173A8">
            <w:pPr>
              <w:spacing w:after="100"/>
              <w:rPr>
                <w:rFonts w:eastAsia="Times New Roman"/>
                <w:sz w:val="20"/>
                <w:szCs w:val="20"/>
              </w:rPr>
            </w:pPr>
          </w:p>
        </w:tc>
        <w:tc>
          <w:tcPr>
            <w:tcW w:w="0" w:type="auto"/>
            <w:gridSpan w:val="3"/>
            <w:vAlign w:val="center"/>
            <w:hideMark/>
          </w:tcPr>
          <w:p w14:paraId="7D32A12F" w14:textId="77777777" w:rsidR="00000000" w:rsidRDefault="00A173A8">
            <w:pPr>
              <w:spacing w:after="100"/>
              <w:rPr>
                <w:rFonts w:eastAsia="Times New Roman"/>
                <w:sz w:val="20"/>
                <w:szCs w:val="20"/>
              </w:rPr>
            </w:pPr>
          </w:p>
        </w:tc>
        <w:tc>
          <w:tcPr>
            <w:tcW w:w="0" w:type="auto"/>
            <w:gridSpan w:val="3"/>
            <w:vAlign w:val="center"/>
            <w:hideMark/>
          </w:tcPr>
          <w:p w14:paraId="1A5E9338" w14:textId="77777777" w:rsidR="00000000" w:rsidRDefault="00A173A8">
            <w:pPr>
              <w:spacing w:after="100"/>
              <w:rPr>
                <w:rFonts w:eastAsia="Times New Roman"/>
                <w:sz w:val="20"/>
                <w:szCs w:val="20"/>
              </w:rPr>
            </w:pPr>
          </w:p>
        </w:tc>
        <w:tc>
          <w:tcPr>
            <w:tcW w:w="0" w:type="auto"/>
            <w:gridSpan w:val="3"/>
            <w:vAlign w:val="center"/>
            <w:hideMark/>
          </w:tcPr>
          <w:p w14:paraId="39428AA9" w14:textId="77777777" w:rsidR="00000000" w:rsidRDefault="00A173A8">
            <w:pPr>
              <w:spacing w:after="100"/>
              <w:rPr>
                <w:rFonts w:eastAsia="Times New Roman"/>
                <w:sz w:val="20"/>
                <w:szCs w:val="20"/>
              </w:rPr>
            </w:pPr>
          </w:p>
        </w:tc>
        <w:tc>
          <w:tcPr>
            <w:tcW w:w="0" w:type="auto"/>
            <w:gridSpan w:val="3"/>
            <w:vAlign w:val="center"/>
            <w:hideMark/>
          </w:tcPr>
          <w:p w14:paraId="48CE3B87" w14:textId="77777777" w:rsidR="00000000" w:rsidRDefault="00A173A8">
            <w:pPr>
              <w:spacing w:after="100"/>
              <w:rPr>
                <w:rFonts w:eastAsia="Times New Roman"/>
                <w:sz w:val="20"/>
                <w:szCs w:val="20"/>
              </w:rPr>
            </w:pPr>
          </w:p>
        </w:tc>
      </w:tr>
      <w:tr w:rsidR="00000000" w14:paraId="7E465B72" w14:textId="77777777">
        <w:trPr>
          <w:divId w:val="1380520592"/>
        </w:trPr>
        <w:tc>
          <w:tcPr>
            <w:tcW w:w="0" w:type="auto"/>
            <w:gridSpan w:val="3"/>
            <w:vAlign w:val="center"/>
            <w:hideMark/>
          </w:tcPr>
          <w:p w14:paraId="4FBD45BD" w14:textId="77777777" w:rsidR="00000000" w:rsidRDefault="00A173A8">
            <w:pPr>
              <w:spacing w:after="100"/>
              <w:rPr>
                <w:rFonts w:eastAsia="Times New Roman"/>
                <w:sz w:val="20"/>
                <w:szCs w:val="20"/>
              </w:rPr>
            </w:pPr>
          </w:p>
        </w:tc>
        <w:tc>
          <w:tcPr>
            <w:tcW w:w="0" w:type="auto"/>
            <w:gridSpan w:val="3"/>
            <w:vAlign w:val="center"/>
            <w:hideMark/>
          </w:tcPr>
          <w:p w14:paraId="2B294272" w14:textId="77777777" w:rsidR="00000000" w:rsidRDefault="00A173A8">
            <w:pPr>
              <w:spacing w:after="100"/>
              <w:rPr>
                <w:rFonts w:eastAsia="Times New Roman"/>
                <w:sz w:val="20"/>
                <w:szCs w:val="20"/>
              </w:rPr>
            </w:pPr>
          </w:p>
        </w:tc>
        <w:tc>
          <w:tcPr>
            <w:tcW w:w="0" w:type="auto"/>
            <w:gridSpan w:val="3"/>
            <w:vAlign w:val="center"/>
            <w:hideMark/>
          </w:tcPr>
          <w:p w14:paraId="68E6E0A2" w14:textId="77777777" w:rsidR="00000000" w:rsidRDefault="00A173A8">
            <w:pPr>
              <w:spacing w:after="100"/>
              <w:rPr>
                <w:rFonts w:eastAsia="Times New Roman"/>
                <w:sz w:val="20"/>
                <w:szCs w:val="20"/>
              </w:rPr>
            </w:pPr>
          </w:p>
        </w:tc>
        <w:tc>
          <w:tcPr>
            <w:tcW w:w="0" w:type="auto"/>
            <w:gridSpan w:val="3"/>
            <w:vAlign w:val="center"/>
            <w:hideMark/>
          </w:tcPr>
          <w:p w14:paraId="7C44A327" w14:textId="77777777" w:rsidR="00000000" w:rsidRDefault="00A173A8">
            <w:pPr>
              <w:spacing w:after="100"/>
              <w:rPr>
                <w:rFonts w:eastAsia="Times New Roman"/>
                <w:sz w:val="20"/>
                <w:szCs w:val="20"/>
              </w:rPr>
            </w:pPr>
          </w:p>
        </w:tc>
        <w:tc>
          <w:tcPr>
            <w:tcW w:w="0" w:type="auto"/>
            <w:gridSpan w:val="3"/>
            <w:vAlign w:val="center"/>
            <w:hideMark/>
          </w:tcPr>
          <w:p w14:paraId="70341C7B" w14:textId="77777777" w:rsidR="00000000" w:rsidRDefault="00A173A8">
            <w:pPr>
              <w:spacing w:after="100"/>
              <w:rPr>
                <w:rFonts w:eastAsia="Times New Roman"/>
                <w:sz w:val="20"/>
                <w:szCs w:val="20"/>
              </w:rPr>
            </w:pPr>
          </w:p>
        </w:tc>
        <w:tc>
          <w:tcPr>
            <w:tcW w:w="0" w:type="auto"/>
            <w:gridSpan w:val="3"/>
            <w:vAlign w:val="center"/>
            <w:hideMark/>
          </w:tcPr>
          <w:p w14:paraId="1A358AB4" w14:textId="77777777" w:rsidR="00000000" w:rsidRDefault="00A173A8">
            <w:pPr>
              <w:spacing w:after="100"/>
              <w:rPr>
                <w:rFonts w:eastAsia="Times New Roman"/>
                <w:sz w:val="20"/>
                <w:szCs w:val="20"/>
              </w:rPr>
            </w:pPr>
          </w:p>
        </w:tc>
        <w:tc>
          <w:tcPr>
            <w:tcW w:w="0" w:type="auto"/>
            <w:gridSpan w:val="3"/>
            <w:vAlign w:val="center"/>
            <w:hideMark/>
          </w:tcPr>
          <w:p w14:paraId="1316E426" w14:textId="77777777" w:rsidR="00000000" w:rsidRDefault="00A173A8">
            <w:pPr>
              <w:spacing w:after="100"/>
              <w:rPr>
                <w:rFonts w:eastAsia="Times New Roman"/>
                <w:sz w:val="20"/>
                <w:szCs w:val="20"/>
              </w:rPr>
            </w:pPr>
          </w:p>
        </w:tc>
        <w:tc>
          <w:tcPr>
            <w:tcW w:w="0" w:type="auto"/>
            <w:gridSpan w:val="3"/>
            <w:vAlign w:val="center"/>
            <w:hideMark/>
          </w:tcPr>
          <w:p w14:paraId="703B4797" w14:textId="77777777" w:rsidR="00000000" w:rsidRDefault="00A173A8">
            <w:pPr>
              <w:spacing w:after="100"/>
              <w:rPr>
                <w:rFonts w:eastAsia="Times New Roman"/>
                <w:sz w:val="20"/>
                <w:szCs w:val="20"/>
              </w:rPr>
            </w:pPr>
          </w:p>
        </w:tc>
        <w:tc>
          <w:tcPr>
            <w:tcW w:w="0" w:type="auto"/>
            <w:gridSpan w:val="3"/>
            <w:vAlign w:val="center"/>
            <w:hideMark/>
          </w:tcPr>
          <w:p w14:paraId="2D365821" w14:textId="77777777" w:rsidR="00000000" w:rsidRDefault="00A173A8">
            <w:pPr>
              <w:spacing w:after="100"/>
              <w:rPr>
                <w:rFonts w:eastAsia="Times New Roman"/>
                <w:sz w:val="20"/>
                <w:szCs w:val="20"/>
              </w:rPr>
            </w:pPr>
          </w:p>
        </w:tc>
        <w:tc>
          <w:tcPr>
            <w:tcW w:w="0" w:type="auto"/>
            <w:gridSpan w:val="3"/>
            <w:vAlign w:val="center"/>
            <w:hideMark/>
          </w:tcPr>
          <w:p w14:paraId="18DFAF99" w14:textId="77777777" w:rsidR="00000000" w:rsidRDefault="00A173A8">
            <w:pPr>
              <w:spacing w:after="100"/>
              <w:rPr>
                <w:rFonts w:eastAsia="Times New Roman"/>
                <w:sz w:val="20"/>
                <w:szCs w:val="20"/>
              </w:rPr>
            </w:pPr>
          </w:p>
        </w:tc>
        <w:tc>
          <w:tcPr>
            <w:tcW w:w="0" w:type="auto"/>
            <w:gridSpan w:val="3"/>
            <w:vAlign w:val="center"/>
            <w:hideMark/>
          </w:tcPr>
          <w:p w14:paraId="5860509B" w14:textId="77777777" w:rsidR="00000000" w:rsidRDefault="00A173A8">
            <w:pPr>
              <w:spacing w:after="100"/>
              <w:rPr>
                <w:rFonts w:eastAsia="Times New Roman"/>
                <w:sz w:val="20"/>
                <w:szCs w:val="20"/>
              </w:rPr>
            </w:pPr>
          </w:p>
        </w:tc>
        <w:tc>
          <w:tcPr>
            <w:tcW w:w="0" w:type="auto"/>
            <w:gridSpan w:val="3"/>
            <w:vAlign w:val="center"/>
            <w:hideMark/>
          </w:tcPr>
          <w:p w14:paraId="020123DA" w14:textId="77777777" w:rsidR="00000000" w:rsidRDefault="00A173A8">
            <w:pPr>
              <w:spacing w:after="100"/>
              <w:rPr>
                <w:rFonts w:eastAsia="Times New Roman"/>
                <w:sz w:val="20"/>
                <w:szCs w:val="20"/>
              </w:rPr>
            </w:pPr>
          </w:p>
        </w:tc>
        <w:tc>
          <w:tcPr>
            <w:tcW w:w="0" w:type="auto"/>
            <w:gridSpan w:val="3"/>
            <w:vAlign w:val="center"/>
            <w:hideMark/>
          </w:tcPr>
          <w:p w14:paraId="00C917FF" w14:textId="77777777" w:rsidR="00000000" w:rsidRDefault="00A173A8">
            <w:pPr>
              <w:spacing w:after="100"/>
              <w:rPr>
                <w:rFonts w:eastAsia="Times New Roman"/>
                <w:sz w:val="20"/>
                <w:szCs w:val="20"/>
              </w:rPr>
            </w:pPr>
          </w:p>
        </w:tc>
        <w:tc>
          <w:tcPr>
            <w:tcW w:w="0" w:type="auto"/>
            <w:gridSpan w:val="3"/>
            <w:vAlign w:val="center"/>
            <w:hideMark/>
          </w:tcPr>
          <w:p w14:paraId="3DAA5526" w14:textId="77777777" w:rsidR="00000000" w:rsidRDefault="00A173A8">
            <w:pPr>
              <w:spacing w:after="100"/>
              <w:rPr>
                <w:rFonts w:eastAsia="Times New Roman"/>
                <w:sz w:val="20"/>
                <w:szCs w:val="20"/>
              </w:rPr>
            </w:pPr>
          </w:p>
        </w:tc>
        <w:tc>
          <w:tcPr>
            <w:tcW w:w="0" w:type="auto"/>
            <w:gridSpan w:val="3"/>
            <w:vAlign w:val="center"/>
            <w:hideMark/>
          </w:tcPr>
          <w:p w14:paraId="4A917687" w14:textId="77777777" w:rsidR="00000000" w:rsidRDefault="00A173A8">
            <w:pPr>
              <w:spacing w:after="100"/>
              <w:rPr>
                <w:rFonts w:eastAsia="Times New Roman"/>
                <w:sz w:val="20"/>
                <w:szCs w:val="20"/>
              </w:rPr>
            </w:pPr>
          </w:p>
        </w:tc>
        <w:tc>
          <w:tcPr>
            <w:tcW w:w="0" w:type="auto"/>
            <w:gridSpan w:val="3"/>
            <w:vAlign w:val="center"/>
            <w:hideMark/>
          </w:tcPr>
          <w:p w14:paraId="497CFD12" w14:textId="77777777" w:rsidR="00000000" w:rsidRDefault="00A173A8">
            <w:pPr>
              <w:spacing w:after="100"/>
              <w:rPr>
                <w:rFonts w:eastAsia="Times New Roman"/>
                <w:sz w:val="20"/>
                <w:szCs w:val="20"/>
              </w:rPr>
            </w:pPr>
          </w:p>
        </w:tc>
        <w:tc>
          <w:tcPr>
            <w:tcW w:w="0" w:type="auto"/>
            <w:gridSpan w:val="3"/>
            <w:vAlign w:val="center"/>
            <w:hideMark/>
          </w:tcPr>
          <w:p w14:paraId="5B05882F" w14:textId="77777777" w:rsidR="00000000" w:rsidRDefault="00A173A8">
            <w:pPr>
              <w:spacing w:after="100"/>
              <w:rPr>
                <w:rFonts w:eastAsia="Times New Roman"/>
                <w:sz w:val="20"/>
                <w:szCs w:val="20"/>
              </w:rPr>
            </w:pPr>
          </w:p>
        </w:tc>
      </w:tr>
      <w:tr w:rsidR="00000000" w14:paraId="1044D0B2" w14:textId="77777777">
        <w:trPr>
          <w:divId w:val="1380520592"/>
        </w:trPr>
        <w:tc>
          <w:tcPr>
            <w:tcW w:w="0" w:type="auto"/>
            <w:gridSpan w:val="3"/>
            <w:vAlign w:val="center"/>
            <w:hideMark/>
          </w:tcPr>
          <w:p w14:paraId="6C2F2597" w14:textId="77777777" w:rsidR="00000000" w:rsidRDefault="00A173A8">
            <w:pPr>
              <w:spacing w:after="100"/>
              <w:rPr>
                <w:rFonts w:eastAsia="Times New Roman"/>
                <w:sz w:val="20"/>
                <w:szCs w:val="20"/>
              </w:rPr>
            </w:pPr>
          </w:p>
        </w:tc>
        <w:tc>
          <w:tcPr>
            <w:tcW w:w="0" w:type="auto"/>
            <w:gridSpan w:val="3"/>
            <w:vAlign w:val="center"/>
            <w:hideMark/>
          </w:tcPr>
          <w:p w14:paraId="67C1F163" w14:textId="77777777" w:rsidR="00000000" w:rsidRDefault="00A173A8">
            <w:pPr>
              <w:spacing w:after="100"/>
              <w:rPr>
                <w:rFonts w:eastAsia="Times New Roman"/>
                <w:sz w:val="20"/>
                <w:szCs w:val="20"/>
              </w:rPr>
            </w:pPr>
          </w:p>
        </w:tc>
        <w:tc>
          <w:tcPr>
            <w:tcW w:w="0" w:type="auto"/>
            <w:gridSpan w:val="3"/>
            <w:vAlign w:val="center"/>
            <w:hideMark/>
          </w:tcPr>
          <w:p w14:paraId="16565396" w14:textId="77777777" w:rsidR="00000000" w:rsidRDefault="00A173A8">
            <w:pPr>
              <w:spacing w:after="100"/>
              <w:rPr>
                <w:rFonts w:eastAsia="Times New Roman"/>
                <w:sz w:val="20"/>
                <w:szCs w:val="20"/>
              </w:rPr>
            </w:pPr>
          </w:p>
        </w:tc>
        <w:tc>
          <w:tcPr>
            <w:tcW w:w="0" w:type="auto"/>
            <w:gridSpan w:val="3"/>
            <w:vAlign w:val="center"/>
            <w:hideMark/>
          </w:tcPr>
          <w:p w14:paraId="08D15532" w14:textId="77777777" w:rsidR="00000000" w:rsidRDefault="00A173A8">
            <w:pPr>
              <w:spacing w:after="100"/>
              <w:rPr>
                <w:rFonts w:eastAsia="Times New Roman"/>
                <w:sz w:val="20"/>
                <w:szCs w:val="20"/>
              </w:rPr>
            </w:pPr>
          </w:p>
        </w:tc>
        <w:tc>
          <w:tcPr>
            <w:tcW w:w="0" w:type="auto"/>
            <w:gridSpan w:val="3"/>
            <w:vAlign w:val="center"/>
            <w:hideMark/>
          </w:tcPr>
          <w:p w14:paraId="61BE1F60" w14:textId="77777777" w:rsidR="00000000" w:rsidRDefault="00A173A8">
            <w:pPr>
              <w:spacing w:after="100"/>
              <w:rPr>
                <w:rFonts w:eastAsia="Times New Roman"/>
                <w:sz w:val="20"/>
                <w:szCs w:val="20"/>
              </w:rPr>
            </w:pPr>
          </w:p>
        </w:tc>
        <w:tc>
          <w:tcPr>
            <w:tcW w:w="0" w:type="auto"/>
            <w:gridSpan w:val="3"/>
            <w:vAlign w:val="center"/>
            <w:hideMark/>
          </w:tcPr>
          <w:p w14:paraId="55C69943" w14:textId="77777777" w:rsidR="00000000" w:rsidRDefault="00A173A8">
            <w:pPr>
              <w:spacing w:after="100"/>
              <w:rPr>
                <w:rFonts w:eastAsia="Times New Roman"/>
                <w:sz w:val="20"/>
                <w:szCs w:val="20"/>
              </w:rPr>
            </w:pPr>
          </w:p>
        </w:tc>
        <w:tc>
          <w:tcPr>
            <w:tcW w:w="0" w:type="auto"/>
            <w:gridSpan w:val="3"/>
            <w:vAlign w:val="center"/>
            <w:hideMark/>
          </w:tcPr>
          <w:p w14:paraId="3EF2950D" w14:textId="77777777" w:rsidR="00000000" w:rsidRDefault="00A173A8">
            <w:pPr>
              <w:spacing w:after="100"/>
              <w:rPr>
                <w:rFonts w:eastAsia="Times New Roman"/>
                <w:sz w:val="20"/>
                <w:szCs w:val="20"/>
              </w:rPr>
            </w:pPr>
          </w:p>
        </w:tc>
        <w:tc>
          <w:tcPr>
            <w:tcW w:w="0" w:type="auto"/>
            <w:gridSpan w:val="3"/>
            <w:vAlign w:val="center"/>
            <w:hideMark/>
          </w:tcPr>
          <w:p w14:paraId="7B4CFB45" w14:textId="77777777" w:rsidR="00000000" w:rsidRDefault="00A173A8">
            <w:pPr>
              <w:spacing w:after="100"/>
              <w:rPr>
                <w:rFonts w:eastAsia="Times New Roman"/>
                <w:sz w:val="20"/>
                <w:szCs w:val="20"/>
              </w:rPr>
            </w:pPr>
          </w:p>
        </w:tc>
        <w:tc>
          <w:tcPr>
            <w:tcW w:w="0" w:type="auto"/>
            <w:gridSpan w:val="3"/>
            <w:vAlign w:val="center"/>
            <w:hideMark/>
          </w:tcPr>
          <w:p w14:paraId="53508751" w14:textId="77777777" w:rsidR="00000000" w:rsidRDefault="00A173A8">
            <w:pPr>
              <w:spacing w:after="100"/>
              <w:rPr>
                <w:rFonts w:eastAsia="Times New Roman"/>
                <w:sz w:val="20"/>
                <w:szCs w:val="20"/>
              </w:rPr>
            </w:pPr>
          </w:p>
        </w:tc>
        <w:tc>
          <w:tcPr>
            <w:tcW w:w="0" w:type="auto"/>
            <w:gridSpan w:val="3"/>
            <w:vAlign w:val="center"/>
            <w:hideMark/>
          </w:tcPr>
          <w:p w14:paraId="53641500" w14:textId="77777777" w:rsidR="00000000" w:rsidRDefault="00A173A8">
            <w:pPr>
              <w:spacing w:after="100"/>
              <w:rPr>
                <w:rFonts w:eastAsia="Times New Roman"/>
                <w:sz w:val="20"/>
                <w:szCs w:val="20"/>
              </w:rPr>
            </w:pPr>
          </w:p>
        </w:tc>
        <w:tc>
          <w:tcPr>
            <w:tcW w:w="0" w:type="auto"/>
            <w:gridSpan w:val="3"/>
            <w:vAlign w:val="center"/>
            <w:hideMark/>
          </w:tcPr>
          <w:p w14:paraId="41869464" w14:textId="77777777" w:rsidR="00000000" w:rsidRDefault="00A173A8">
            <w:pPr>
              <w:spacing w:after="100"/>
              <w:rPr>
                <w:rFonts w:eastAsia="Times New Roman"/>
                <w:sz w:val="20"/>
                <w:szCs w:val="20"/>
              </w:rPr>
            </w:pPr>
          </w:p>
        </w:tc>
        <w:tc>
          <w:tcPr>
            <w:tcW w:w="0" w:type="auto"/>
            <w:gridSpan w:val="3"/>
            <w:vAlign w:val="center"/>
            <w:hideMark/>
          </w:tcPr>
          <w:p w14:paraId="62F78FAD" w14:textId="77777777" w:rsidR="00000000" w:rsidRDefault="00A173A8">
            <w:pPr>
              <w:spacing w:after="100"/>
              <w:rPr>
                <w:rFonts w:eastAsia="Times New Roman"/>
                <w:sz w:val="20"/>
                <w:szCs w:val="20"/>
              </w:rPr>
            </w:pPr>
          </w:p>
        </w:tc>
        <w:tc>
          <w:tcPr>
            <w:tcW w:w="0" w:type="auto"/>
            <w:gridSpan w:val="3"/>
            <w:vAlign w:val="center"/>
            <w:hideMark/>
          </w:tcPr>
          <w:p w14:paraId="4E4FC766" w14:textId="77777777" w:rsidR="00000000" w:rsidRDefault="00A173A8">
            <w:pPr>
              <w:spacing w:after="100"/>
              <w:rPr>
                <w:rFonts w:eastAsia="Times New Roman"/>
                <w:sz w:val="20"/>
                <w:szCs w:val="20"/>
              </w:rPr>
            </w:pPr>
          </w:p>
        </w:tc>
        <w:tc>
          <w:tcPr>
            <w:tcW w:w="0" w:type="auto"/>
            <w:gridSpan w:val="3"/>
            <w:vAlign w:val="center"/>
            <w:hideMark/>
          </w:tcPr>
          <w:p w14:paraId="65A16EF1" w14:textId="77777777" w:rsidR="00000000" w:rsidRDefault="00A173A8">
            <w:pPr>
              <w:spacing w:after="100"/>
              <w:rPr>
                <w:rFonts w:eastAsia="Times New Roman"/>
                <w:sz w:val="20"/>
                <w:szCs w:val="20"/>
              </w:rPr>
            </w:pPr>
          </w:p>
        </w:tc>
        <w:tc>
          <w:tcPr>
            <w:tcW w:w="0" w:type="auto"/>
            <w:gridSpan w:val="3"/>
            <w:vAlign w:val="center"/>
            <w:hideMark/>
          </w:tcPr>
          <w:p w14:paraId="7D29FA0D" w14:textId="77777777" w:rsidR="00000000" w:rsidRDefault="00A173A8">
            <w:pPr>
              <w:spacing w:after="100"/>
              <w:rPr>
                <w:rFonts w:eastAsia="Times New Roman"/>
                <w:sz w:val="20"/>
                <w:szCs w:val="20"/>
              </w:rPr>
            </w:pPr>
          </w:p>
        </w:tc>
        <w:tc>
          <w:tcPr>
            <w:tcW w:w="0" w:type="auto"/>
            <w:gridSpan w:val="3"/>
            <w:vAlign w:val="center"/>
            <w:hideMark/>
          </w:tcPr>
          <w:p w14:paraId="4E6AB125" w14:textId="77777777" w:rsidR="00000000" w:rsidRDefault="00A173A8">
            <w:pPr>
              <w:spacing w:after="100"/>
              <w:rPr>
                <w:rFonts w:eastAsia="Times New Roman"/>
                <w:sz w:val="20"/>
                <w:szCs w:val="20"/>
              </w:rPr>
            </w:pPr>
          </w:p>
        </w:tc>
        <w:tc>
          <w:tcPr>
            <w:tcW w:w="0" w:type="auto"/>
            <w:gridSpan w:val="3"/>
            <w:vAlign w:val="center"/>
            <w:hideMark/>
          </w:tcPr>
          <w:p w14:paraId="6E1AABFC" w14:textId="77777777" w:rsidR="00000000" w:rsidRDefault="00A173A8">
            <w:pPr>
              <w:spacing w:after="100"/>
              <w:rPr>
                <w:rFonts w:eastAsia="Times New Roman"/>
                <w:sz w:val="20"/>
                <w:szCs w:val="20"/>
              </w:rPr>
            </w:pPr>
          </w:p>
        </w:tc>
      </w:tr>
      <w:tr w:rsidR="00000000" w14:paraId="0A1FC07A" w14:textId="77777777">
        <w:trPr>
          <w:divId w:val="1380520592"/>
        </w:trPr>
        <w:tc>
          <w:tcPr>
            <w:tcW w:w="0" w:type="auto"/>
            <w:gridSpan w:val="3"/>
            <w:vAlign w:val="center"/>
            <w:hideMark/>
          </w:tcPr>
          <w:p w14:paraId="3B06F0BD" w14:textId="77777777" w:rsidR="00000000" w:rsidRDefault="00A173A8">
            <w:pPr>
              <w:spacing w:after="100"/>
              <w:rPr>
                <w:rFonts w:eastAsia="Times New Roman"/>
                <w:sz w:val="20"/>
                <w:szCs w:val="20"/>
              </w:rPr>
            </w:pPr>
          </w:p>
        </w:tc>
        <w:tc>
          <w:tcPr>
            <w:tcW w:w="0" w:type="auto"/>
            <w:gridSpan w:val="3"/>
            <w:vAlign w:val="center"/>
            <w:hideMark/>
          </w:tcPr>
          <w:p w14:paraId="144E65B8" w14:textId="77777777" w:rsidR="00000000" w:rsidRDefault="00A173A8">
            <w:pPr>
              <w:spacing w:after="100"/>
              <w:rPr>
                <w:rFonts w:eastAsia="Times New Roman"/>
                <w:sz w:val="20"/>
                <w:szCs w:val="20"/>
              </w:rPr>
            </w:pPr>
          </w:p>
        </w:tc>
        <w:tc>
          <w:tcPr>
            <w:tcW w:w="0" w:type="auto"/>
            <w:gridSpan w:val="3"/>
            <w:vAlign w:val="center"/>
            <w:hideMark/>
          </w:tcPr>
          <w:p w14:paraId="1EA0FC44" w14:textId="77777777" w:rsidR="00000000" w:rsidRDefault="00A173A8">
            <w:pPr>
              <w:spacing w:after="100"/>
              <w:rPr>
                <w:rFonts w:eastAsia="Times New Roman"/>
                <w:sz w:val="20"/>
                <w:szCs w:val="20"/>
              </w:rPr>
            </w:pPr>
          </w:p>
        </w:tc>
        <w:tc>
          <w:tcPr>
            <w:tcW w:w="0" w:type="auto"/>
            <w:gridSpan w:val="3"/>
            <w:vAlign w:val="center"/>
            <w:hideMark/>
          </w:tcPr>
          <w:p w14:paraId="20FA8DED" w14:textId="77777777" w:rsidR="00000000" w:rsidRDefault="00A173A8">
            <w:pPr>
              <w:spacing w:after="100"/>
              <w:rPr>
                <w:rFonts w:eastAsia="Times New Roman"/>
                <w:sz w:val="20"/>
                <w:szCs w:val="20"/>
              </w:rPr>
            </w:pPr>
          </w:p>
        </w:tc>
        <w:tc>
          <w:tcPr>
            <w:tcW w:w="0" w:type="auto"/>
            <w:gridSpan w:val="3"/>
            <w:vAlign w:val="center"/>
            <w:hideMark/>
          </w:tcPr>
          <w:p w14:paraId="4723930A" w14:textId="77777777" w:rsidR="00000000" w:rsidRDefault="00A173A8">
            <w:pPr>
              <w:spacing w:after="100"/>
              <w:rPr>
                <w:rFonts w:eastAsia="Times New Roman"/>
                <w:sz w:val="20"/>
                <w:szCs w:val="20"/>
              </w:rPr>
            </w:pPr>
          </w:p>
        </w:tc>
        <w:tc>
          <w:tcPr>
            <w:tcW w:w="0" w:type="auto"/>
            <w:gridSpan w:val="3"/>
            <w:vAlign w:val="center"/>
            <w:hideMark/>
          </w:tcPr>
          <w:p w14:paraId="3ACCCD96" w14:textId="77777777" w:rsidR="00000000" w:rsidRDefault="00A173A8">
            <w:pPr>
              <w:spacing w:after="100"/>
              <w:rPr>
                <w:rFonts w:eastAsia="Times New Roman"/>
                <w:sz w:val="20"/>
                <w:szCs w:val="20"/>
              </w:rPr>
            </w:pPr>
          </w:p>
        </w:tc>
        <w:tc>
          <w:tcPr>
            <w:tcW w:w="0" w:type="auto"/>
            <w:gridSpan w:val="3"/>
            <w:vAlign w:val="center"/>
            <w:hideMark/>
          </w:tcPr>
          <w:p w14:paraId="5DF7BCFF" w14:textId="77777777" w:rsidR="00000000" w:rsidRDefault="00A173A8">
            <w:pPr>
              <w:spacing w:after="100"/>
              <w:rPr>
                <w:rFonts w:eastAsia="Times New Roman"/>
                <w:sz w:val="20"/>
                <w:szCs w:val="20"/>
              </w:rPr>
            </w:pPr>
          </w:p>
        </w:tc>
        <w:tc>
          <w:tcPr>
            <w:tcW w:w="0" w:type="auto"/>
            <w:gridSpan w:val="3"/>
            <w:vAlign w:val="center"/>
            <w:hideMark/>
          </w:tcPr>
          <w:p w14:paraId="041A63BF" w14:textId="77777777" w:rsidR="00000000" w:rsidRDefault="00A173A8">
            <w:pPr>
              <w:spacing w:after="100"/>
              <w:rPr>
                <w:rFonts w:eastAsia="Times New Roman"/>
                <w:sz w:val="20"/>
                <w:szCs w:val="20"/>
              </w:rPr>
            </w:pPr>
          </w:p>
        </w:tc>
        <w:tc>
          <w:tcPr>
            <w:tcW w:w="0" w:type="auto"/>
            <w:gridSpan w:val="3"/>
            <w:vAlign w:val="center"/>
            <w:hideMark/>
          </w:tcPr>
          <w:p w14:paraId="03715974" w14:textId="77777777" w:rsidR="00000000" w:rsidRDefault="00A173A8">
            <w:pPr>
              <w:spacing w:after="100"/>
              <w:rPr>
                <w:rFonts w:eastAsia="Times New Roman"/>
                <w:sz w:val="20"/>
                <w:szCs w:val="20"/>
              </w:rPr>
            </w:pPr>
          </w:p>
        </w:tc>
        <w:tc>
          <w:tcPr>
            <w:tcW w:w="0" w:type="auto"/>
            <w:gridSpan w:val="3"/>
            <w:vAlign w:val="center"/>
            <w:hideMark/>
          </w:tcPr>
          <w:p w14:paraId="2E815A0F" w14:textId="77777777" w:rsidR="00000000" w:rsidRDefault="00A173A8">
            <w:pPr>
              <w:spacing w:after="100"/>
              <w:rPr>
                <w:rFonts w:eastAsia="Times New Roman"/>
                <w:sz w:val="20"/>
                <w:szCs w:val="20"/>
              </w:rPr>
            </w:pPr>
          </w:p>
        </w:tc>
        <w:tc>
          <w:tcPr>
            <w:tcW w:w="0" w:type="auto"/>
            <w:gridSpan w:val="3"/>
            <w:vAlign w:val="center"/>
            <w:hideMark/>
          </w:tcPr>
          <w:p w14:paraId="3368BDA7" w14:textId="77777777" w:rsidR="00000000" w:rsidRDefault="00A173A8">
            <w:pPr>
              <w:spacing w:after="100"/>
              <w:rPr>
                <w:rFonts w:eastAsia="Times New Roman"/>
                <w:sz w:val="20"/>
                <w:szCs w:val="20"/>
              </w:rPr>
            </w:pPr>
          </w:p>
        </w:tc>
        <w:tc>
          <w:tcPr>
            <w:tcW w:w="0" w:type="auto"/>
            <w:gridSpan w:val="3"/>
            <w:vAlign w:val="center"/>
            <w:hideMark/>
          </w:tcPr>
          <w:p w14:paraId="54407F17" w14:textId="77777777" w:rsidR="00000000" w:rsidRDefault="00A173A8">
            <w:pPr>
              <w:spacing w:after="100"/>
              <w:rPr>
                <w:rFonts w:eastAsia="Times New Roman"/>
                <w:sz w:val="20"/>
                <w:szCs w:val="20"/>
              </w:rPr>
            </w:pPr>
          </w:p>
        </w:tc>
        <w:tc>
          <w:tcPr>
            <w:tcW w:w="0" w:type="auto"/>
            <w:gridSpan w:val="3"/>
            <w:vAlign w:val="center"/>
            <w:hideMark/>
          </w:tcPr>
          <w:p w14:paraId="495883E0" w14:textId="77777777" w:rsidR="00000000" w:rsidRDefault="00A173A8">
            <w:pPr>
              <w:spacing w:after="100"/>
              <w:rPr>
                <w:rFonts w:eastAsia="Times New Roman"/>
                <w:sz w:val="20"/>
                <w:szCs w:val="20"/>
              </w:rPr>
            </w:pPr>
          </w:p>
        </w:tc>
        <w:tc>
          <w:tcPr>
            <w:tcW w:w="0" w:type="auto"/>
            <w:gridSpan w:val="3"/>
            <w:vAlign w:val="center"/>
            <w:hideMark/>
          </w:tcPr>
          <w:p w14:paraId="63C7FF24" w14:textId="77777777" w:rsidR="00000000" w:rsidRDefault="00A173A8">
            <w:pPr>
              <w:spacing w:after="100"/>
              <w:rPr>
                <w:rFonts w:eastAsia="Times New Roman"/>
                <w:sz w:val="20"/>
                <w:szCs w:val="20"/>
              </w:rPr>
            </w:pPr>
          </w:p>
        </w:tc>
        <w:tc>
          <w:tcPr>
            <w:tcW w:w="0" w:type="auto"/>
            <w:gridSpan w:val="3"/>
            <w:vAlign w:val="center"/>
            <w:hideMark/>
          </w:tcPr>
          <w:p w14:paraId="0A93EEF5" w14:textId="77777777" w:rsidR="00000000" w:rsidRDefault="00A173A8">
            <w:pPr>
              <w:spacing w:after="100"/>
              <w:rPr>
                <w:rFonts w:eastAsia="Times New Roman"/>
                <w:sz w:val="20"/>
                <w:szCs w:val="20"/>
              </w:rPr>
            </w:pPr>
          </w:p>
        </w:tc>
        <w:tc>
          <w:tcPr>
            <w:tcW w:w="0" w:type="auto"/>
            <w:gridSpan w:val="3"/>
            <w:vAlign w:val="center"/>
            <w:hideMark/>
          </w:tcPr>
          <w:p w14:paraId="6842EF8A" w14:textId="77777777" w:rsidR="00000000" w:rsidRDefault="00A173A8">
            <w:pPr>
              <w:spacing w:after="100"/>
              <w:rPr>
                <w:rFonts w:eastAsia="Times New Roman"/>
                <w:sz w:val="20"/>
                <w:szCs w:val="20"/>
              </w:rPr>
            </w:pPr>
          </w:p>
        </w:tc>
        <w:tc>
          <w:tcPr>
            <w:tcW w:w="0" w:type="auto"/>
            <w:gridSpan w:val="3"/>
            <w:vAlign w:val="center"/>
            <w:hideMark/>
          </w:tcPr>
          <w:p w14:paraId="6AEC665C" w14:textId="77777777" w:rsidR="00000000" w:rsidRDefault="00A173A8">
            <w:pPr>
              <w:spacing w:after="100"/>
              <w:rPr>
                <w:rFonts w:eastAsia="Times New Roman"/>
                <w:sz w:val="20"/>
                <w:szCs w:val="20"/>
              </w:rPr>
            </w:pPr>
          </w:p>
        </w:tc>
      </w:tr>
      <w:tr w:rsidR="00000000" w14:paraId="369930ED" w14:textId="77777777">
        <w:trPr>
          <w:divId w:val="1380520592"/>
        </w:trPr>
        <w:tc>
          <w:tcPr>
            <w:tcW w:w="0" w:type="auto"/>
            <w:gridSpan w:val="3"/>
            <w:vAlign w:val="center"/>
            <w:hideMark/>
          </w:tcPr>
          <w:p w14:paraId="7F27AEE8" w14:textId="77777777" w:rsidR="00000000" w:rsidRDefault="00A173A8">
            <w:pPr>
              <w:spacing w:after="100"/>
              <w:rPr>
                <w:rFonts w:eastAsia="Times New Roman"/>
                <w:sz w:val="20"/>
                <w:szCs w:val="20"/>
              </w:rPr>
            </w:pPr>
          </w:p>
        </w:tc>
        <w:tc>
          <w:tcPr>
            <w:tcW w:w="0" w:type="auto"/>
            <w:gridSpan w:val="3"/>
            <w:vAlign w:val="center"/>
            <w:hideMark/>
          </w:tcPr>
          <w:p w14:paraId="306DE907" w14:textId="77777777" w:rsidR="00000000" w:rsidRDefault="00A173A8">
            <w:pPr>
              <w:spacing w:after="100"/>
              <w:rPr>
                <w:rFonts w:eastAsia="Times New Roman"/>
                <w:sz w:val="20"/>
                <w:szCs w:val="20"/>
              </w:rPr>
            </w:pPr>
          </w:p>
        </w:tc>
        <w:tc>
          <w:tcPr>
            <w:tcW w:w="0" w:type="auto"/>
            <w:gridSpan w:val="3"/>
            <w:vAlign w:val="center"/>
            <w:hideMark/>
          </w:tcPr>
          <w:p w14:paraId="03917701" w14:textId="77777777" w:rsidR="00000000" w:rsidRDefault="00A173A8">
            <w:pPr>
              <w:spacing w:after="100"/>
              <w:rPr>
                <w:rFonts w:eastAsia="Times New Roman"/>
                <w:sz w:val="20"/>
                <w:szCs w:val="20"/>
              </w:rPr>
            </w:pPr>
          </w:p>
        </w:tc>
        <w:tc>
          <w:tcPr>
            <w:tcW w:w="0" w:type="auto"/>
            <w:gridSpan w:val="3"/>
            <w:vAlign w:val="center"/>
            <w:hideMark/>
          </w:tcPr>
          <w:p w14:paraId="7E8F2372" w14:textId="77777777" w:rsidR="00000000" w:rsidRDefault="00A173A8">
            <w:pPr>
              <w:spacing w:after="100"/>
              <w:rPr>
                <w:rFonts w:eastAsia="Times New Roman"/>
                <w:sz w:val="20"/>
                <w:szCs w:val="20"/>
              </w:rPr>
            </w:pPr>
          </w:p>
        </w:tc>
        <w:tc>
          <w:tcPr>
            <w:tcW w:w="0" w:type="auto"/>
            <w:gridSpan w:val="3"/>
            <w:vAlign w:val="center"/>
            <w:hideMark/>
          </w:tcPr>
          <w:p w14:paraId="544FD48F" w14:textId="77777777" w:rsidR="00000000" w:rsidRDefault="00A173A8">
            <w:pPr>
              <w:spacing w:after="100"/>
              <w:rPr>
                <w:rFonts w:eastAsia="Times New Roman"/>
                <w:sz w:val="20"/>
                <w:szCs w:val="20"/>
              </w:rPr>
            </w:pPr>
          </w:p>
        </w:tc>
        <w:tc>
          <w:tcPr>
            <w:tcW w:w="0" w:type="auto"/>
            <w:gridSpan w:val="3"/>
            <w:vAlign w:val="center"/>
            <w:hideMark/>
          </w:tcPr>
          <w:p w14:paraId="159A4D71" w14:textId="77777777" w:rsidR="00000000" w:rsidRDefault="00A173A8">
            <w:pPr>
              <w:spacing w:after="100"/>
              <w:rPr>
                <w:rFonts w:eastAsia="Times New Roman"/>
                <w:sz w:val="20"/>
                <w:szCs w:val="20"/>
              </w:rPr>
            </w:pPr>
          </w:p>
        </w:tc>
        <w:tc>
          <w:tcPr>
            <w:tcW w:w="0" w:type="auto"/>
            <w:gridSpan w:val="3"/>
            <w:vAlign w:val="center"/>
            <w:hideMark/>
          </w:tcPr>
          <w:p w14:paraId="5B999335" w14:textId="77777777" w:rsidR="00000000" w:rsidRDefault="00A173A8">
            <w:pPr>
              <w:spacing w:after="100"/>
              <w:rPr>
                <w:rFonts w:eastAsia="Times New Roman"/>
                <w:sz w:val="20"/>
                <w:szCs w:val="20"/>
              </w:rPr>
            </w:pPr>
          </w:p>
        </w:tc>
        <w:tc>
          <w:tcPr>
            <w:tcW w:w="0" w:type="auto"/>
            <w:gridSpan w:val="3"/>
            <w:vAlign w:val="center"/>
            <w:hideMark/>
          </w:tcPr>
          <w:p w14:paraId="2DB14A12" w14:textId="77777777" w:rsidR="00000000" w:rsidRDefault="00A173A8">
            <w:pPr>
              <w:spacing w:after="100"/>
              <w:rPr>
                <w:rFonts w:eastAsia="Times New Roman"/>
                <w:sz w:val="20"/>
                <w:szCs w:val="20"/>
              </w:rPr>
            </w:pPr>
          </w:p>
        </w:tc>
        <w:tc>
          <w:tcPr>
            <w:tcW w:w="0" w:type="auto"/>
            <w:gridSpan w:val="3"/>
            <w:vAlign w:val="center"/>
            <w:hideMark/>
          </w:tcPr>
          <w:p w14:paraId="05736B03" w14:textId="77777777" w:rsidR="00000000" w:rsidRDefault="00A173A8">
            <w:pPr>
              <w:spacing w:after="100"/>
              <w:rPr>
                <w:rFonts w:eastAsia="Times New Roman"/>
                <w:sz w:val="20"/>
                <w:szCs w:val="20"/>
              </w:rPr>
            </w:pPr>
          </w:p>
        </w:tc>
        <w:tc>
          <w:tcPr>
            <w:tcW w:w="0" w:type="auto"/>
            <w:gridSpan w:val="3"/>
            <w:vAlign w:val="center"/>
            <w:hideMark/>
          </w:tcPr>
          <w:p w14:paraId="37DCF6BB" w14:textId="77777777" w:rsidR="00000000" w:rsidRDefault="00A173A8">
            <w:pPr>
              <w:spacing w:after="100"/>
              <w:rPr>
                <w:rFonts w:eastAsia="Times New Roman"/>
                <w:sz w:val="20"/>
                <w:szCs w:val="20"/>
              </w:rPr>
            </w:pPr>
          </w:p>
        </w:tc>
        <w:tc>
          <w:tcPr>
            <w:tcW w:w="0" w:type="auto"/>
            <w:gridSpan w:val="3"/>
            <w:vAlign w:val="center"/>
            <w:hideMark/>
          </w:tcPr>
          <w:p w14:paraId="32F236F5" w14:textId="77777777" w:rsidR="00000000" w:rsidRDefault="00A173A8">
            <w:pPr>
              <w:spacing w:after="100"/>
              <w:rPr>
                <w:rFonts w:eastAsia="Times New Roman"/>
                <w:sz w:val="20"/>
                <w:szCs w:val="20"/>
              </w:rPr>
            </w:pPr>
          </w:p>
        </w:tc>
        <w:tc>
          <w:tcPr>
            <w:tcW w:w="0" w:type="auto"/>
            <w:gridSpan w:val="3"/>
            <w:vAlign w:val="center"/>
            <w:hideMark/>
          </w:tcPr>
          <w:p w14:paraId="11331260" w14:textId="77777777" w:rsidR="00000000" w:rsidRDefault="00A173A8">
            <w:pPr>
              <w:spacing w:after="100"/>
              <w:rPr>
                <w:rFonts w:eastAsia="Times New Roman"/>
                <w:sz w:val="20"/>
                <w:szCs w:val="20"/>
              </w:rPr>
            </w:pPr>
          </w:p>
        </w:tc>
        <w:tc>
          <w:tcPr>
            <w:tcW w:w="0" w:type="auto"/>
            <w:gridSpan w:val="3"/>
            <w:vAlign w:val="center"/>
            <w:hideMark/>
          </w:tcPr>
          <w:p w14:paraId="6F549748" w14:textId="77777777" w:rsidR="00000000" w:rsidRDefault="00A173A8">
            <w:pPr>
              <w:spacing w:after="100"/>
              <w:rPr>
                <w:rFonts w:eastAsia="Times New Roman"/>
                <w:sz w:val="20"/>
                <w:szCs w:val="20"/>
              </w:rPr>
            </w:pPr>
          </w:p>
        </w:tc>
        <w:tc>
          <w:tcPr>
            <w:tcW w:w="0" w:type="auto"/>
            <w:gridSpan w:val="3"/>
            <w:vAlign w:val="center"/>
            <w:hideMark/>
          </w:tcPr>
          <w:p w14:paraId="1B3C9E05" w14:textId="77777777" w:rsidR="00000000" w:rsidRDefault="00A173A8">
            <w:pPr>
              <w:spacing w:after="100"/>
              <w:rPr>
                <w:rFonts w:eastAsia="Times New Roman"/>
                <w:sz w:val="20"/>
                <w:szCs w:val="20"/>
              </w:rPr>
            </w:pPr>
          </w:p>
        </w:tc>
        <w:tc>
          <w:tcPr>
            <w:tcW w:w="0" w:type="auto"/>
            <w:gridSpan w:val="3"/>
            <w:vAlign w:val="center"/>
            <w:hideMark/>
          </w:tcPr>
          <w:p w14:paraId="7F86D8D7" w14:textId="77777777" w:rsidR="00000000" w:rsidRDefault="00A173A8">
            <w:pPr>
              <w:spacing w:after="100"/>
              <w:rPr>
                <w:rFonts w:eastAsia="Times New Roman"/>
                <w:sz w:val="20"/>
                <w:szCs w:val="20"/>
              </w:rPr>
            </w:pPr>
          </w:p>
        </w:tc>
        <w:tc>
          <w:tcPr>
            <w:tcW w:w="0" w:type="auto"/>
            <w:gridSpan w:val="3"/>
            <w:vAlign w:val="center"/>
            <w:hideMark/>
          </w:tcPr>
          <w:p w14:paraId="7339A4B1" w14:textId="77777777" w:rsidR="00000000" w:rsidRDefault="00A173A8">
            <w:pPr>
              <w:spacing w:after="100"/>
              <w:rPr>
                <w:rFonts w:eastAsia="Times New Roman"/>
                <w:sz w:val="20"/>
                <w:szCs w:val="20"/>
              </w:rPr>
            </w:pPr>
          </w:p>
        </w:tc>
        <w:tc>
          <w:tcPr>
            <w:tcW w:w="0" w:type="auto"/>
            <w:gridSpan w:val="3"/>
            <w:vAlign w:val="center"/>
            <w:hideMark/>
          </w:tcPr>
          <w:p w14:paraId="05700C6C" w14:textId="77777777" w:rsidR="00000000" w:rsidRDefault="00A173A8">
            <w:pPr>
              <w:spacing w:after="100"/>
              <w:rPr>
                <w:rFonts w:eastAsia="Times New Roman"/>
                <w:sz w:val="20"/>
                <w:szCs w:val="20"/>
              </w:rPr>
            </w:pPr>
          </w:p>
        </w:tc>
      </w:tr>
      <w:tr w:rsidR="00000000" w14:paraId="604FC006" w14:textId="77777777">
        <w:trPr>
          <w:divId w:val="1380520592"/>
        </w:trPr>
        <w:tc>
          <w:tcPr>
            <w:tcW w:w="0" w:type="auto"/>
            <w:gridSpan w:val="3"/>
            <w:vAlign w:val="center"/>
            <w:hideMark/>
          </w:tcPr>
          <w:p w14:paraId="2DF6B596" w14:textId="77777777" w:rsidR="00000000" w:rsidRDefault="00A173A8">
            <w:pPr>
              <w:spacing w:after="100"/>
              <w:rPr>
                <w:rFonts w:eastAsia="Times New Roman"/>
                <w:sz w:val="20"/>
                <w:szCs w:val="20"/>
              </w:rPr>
            </w:pPr>
          </w:p>
        </w:tc>
        <w:tc>
          <w:tcPr>
            <w:tcW w:w="0" w:type="auto"/>
            <w:gridSpan w:val="3"/>
            <w:vAlign w:val="center"/>
            <w:hideMark/>
          </w:tcPr>
          <w:p w14:paraId="6CA10BE3" w14:textId="77777777" w:rsidR="00000000" w:rsidRDefault="00A173A8">
            <w:pPr>
              <w:spacing w:after="100"/>
              <w:rPr>
                <w:rFonts w:eastAsia="Times New Roman"/>
                <w:sz w:val="20"/>
                <w:szCs w:val="20"/>
              </w:rPr>
            </w:pPr>
          </w:p>
        </w:tc>
        <w:tc>
          <w:tcPr>
            <w:tcW w:w="0" w:type="auto"/>
            <w:gridSpan w:val="3"/>
            <w:vAlign w:val="center"/>
            <w:hideMark/>
          </w:tcPr>
          <w:p w14:paraId="7951FFD8" w14:textId="77777777" w:rsidR="00000000" w:rsidRDefault="00A173A8">
            <w:pPr>
              <w:spacing w:after="100"/>
              <w:rPr>
                <w:rFonts w:eastAsia="Times New Roman"/>
                <w:sz w:val="20"/>
                <w:szCs w:val="20"/>
              </w:rPr>
            </w:pPr>
          </w:p>
        </w:tc>
        <w:tc>
          <w:tcPr>
            <w:tcW w:w="0" w:type="auto"/>
            <w:gridSpan w:val="3"/>
            <w:vAlign w:val="center"/>
            <w:hideMark/>
          </w:tcPr>
          <w:p w14:paraId="59D0EF63" w14:textId="77777777" w:rsidR="00000000" w:rsidRDefault="00A173A8">
            <w:pPr>
              <w:spacing w:after="100"/>
              <w:rPr>
                <w:rFonts w:eastAsia="Times New Roman"/>
                <w:sz w:val="20"/>
                <w:szCs w:val="20"/>
              </w:rPr>
            </w:pPr>
          </w:p>
        </w:tc>
        <w:tc>
          <w:tcPr>
            <w:tcW w:w="0" w:type="auto"/>
            <w:gridSpan w:val="3"/>
            <w:vAlign w:val="center"/>
            <w:hideMark/>
          </w:tcPr>
          <w:p w14:paraId="3F7C94C9" w14:textId="77777777" w:rsidR="00000000" w:rsidRDefault="00A173A8">
            <w:pPr>
              <w:spacing w:after="100"/>
              <w:rPr>
                <w:rFonts w:eastAsia="Times New Roman"/>
                <w:sz w:val="20"/>
                <w:szCs w:val="20"/>
              </w:rPr>
            </w:pPr>
          </w:p>
        </w:tc>
        <w:tc>
          <w:tcPr>
            <w:tcW w:w="0" w:type="auto"/>
            <w:gridSpan w:val="3"/>
            <w:vAlign w:val="center"/>
            <w:hideMark/>
          </w:tcPr>
          <w:p w14:paraId="2964CB79" w14:textId="77777777" w:rsidR="00000000" w:rsidRDefault="00A173A8">
            <w:pPr>
              <w:spacing w:after="100"/>
              <w:rPr>
                <w:rFonts w:eastAsia="Times New Roman"/>
                <w:sz w:val="20"/>
                <w:szCs w:val="20"/>
              </w:rPr>
            </w:pPr>
          </w:p>
        </w:tc>
        <w:tc>
          <w:tcPr>
            <w:tcW w:w="0" w:type="auto"/>
            <w:gridSpan w:val="3"/>
            <w:vAlign w:val="center"/>
            <w:hideMark/>
          </w:tcPr>
          <w:p w14:paraId="1ADE9C61" w14:textId="77777777" w:rsidR="00000000" w:rsidRDefault="00A173A8">
            <w:pPr>
              <w:spacing w:after="100"/>
              <w:rPr>
                <w:rFonts w:eastAsia="Times New Roman"/>
                <w:sz w:val="20"/>
                <w:szCs w:val="20"/>
              </w:rPr>
            </w:pPr>
          </w:p>
        </w:tc>
        <w:tc>
          <w:tcPr>
            <w:tcW w:w="0" w:type="auto"/>
            <w:gridSpan w:val="3"/>
            <w:vAlign w:val="center"/>
            <w:hideMark/>
          </w:tcPr>
          <w:p w14:paraId="6921EA49" w14:textId="77777777" w:rsidR="00000000" w:rsidRDefault="00A173A8">
            <w:pPr>
              <w:spacing w:after="100"/>
              <w:rPr>
                <w:rFonts w:eastAsia="Times New Roman"/>
                <w:sz w:val="20"/>
                <w:szCs w:val="20"/>
              </w:rPr>
            </w:pPr>
          </w:p>
        </w:tc>
        <w:tc>
          <w:tcPr>
            <w:tcW w:w="0" w:type="auto"/>
            <w:gridSpan w:val="3"/>
            <w:vAlign w:val="center"/>
            <w:hideMark/>
          </w:tcPr>
          <w:p w14:paraId="5525E36F" w14:textId="77777777" w:rsidR="00000000" w:rsidRDefault="00A173A8">
            <w:pPr>
              <w:spacing w:after="100"/>
              <w:rPr>
                <w:rFonts w:eastAsia="Times New Roman"/>
                <w:sz w:val="20"/>
                <w:szCs w:val="20"/>
              </w:rPr>
            </w:pPr>
          </w:p>
        </w:tc>
        <w:tc>
          <w:tcPr>
            <w:tcW w:w="0" w:type="auto"/>
            <w:gridSpan w:val="3"/>
            <w:vAlign w:val="center"/>
            <w:hideMark/>
          </w:tcPr>
          <w:p w14:paraId="29930F43" w14:textId="77777777" w:rsidR="00000000" w:rsidRDefault="00A173A8">
            <w:pPr>
              <w:spacing w:after="100"/>
              <w:rPr>
                <w:rFonts w:eastAsia="Times New Roman"/>
                <w:sz w:val="20"/>
                <w:szCs w:val="20"/>
              </w:rPr>
            </w:pPr>
          </w:p>
        </w:tc>
        <w:tc>
          <w:tcPr>
            <w:tcW w:w="0" w:type="auto"/>
            <w:gridSpan w:val="3"/>
            <w:vAlign w:val="center"/>
            <w:hideMark/>
          </w:tcPr>
          <w:p w14:paraId="09BD5370" w14:textId="77777777" w:rsidR="00000000" w:rsidRDefault="00A173A8">
            <w:pPr>
              <w:spacing w:after="100"/>
              <w:rPr>
                <w:rFonts w:eastAsia="Times New Roman"/>
                <w:sz w:val="20"/>
                <w:szCs w:val="20"/>
              </w:rPr>
            </w:pPr>
          </w:p>
        </w:tc>
        <w:tc>
          <w:tcPr>
            <w:tcW w:w="0" w:type="auto"/>
            <w:gridSpan w:val="3"/>
            <w:vAlign w:val="center"/>
            <w:hideMark/>
          </w:tcPr>
          <w:p w14:paraId="3F3697D9" w14:textId="77777777" w:rsidR="00000000" w:rsidRDefault="00A173A8">
            <w:pPr>
              <w:spacing w:after="100"/>
              <w:rPr>
                <w:rFonts w:eastAsia="Times New Roman"/>
                <w:sz w:val="20"/>
                <w:szCs w:val="20"/>
              </w:rPr>
            </w:pPr>
          </w:p>
        </w:tc>
        <w:tc>
          <w:tcPr>
            <w:tcW w:w="0" w:type="auto"/>
            <w:gridSpan w:val="3"/>
            <w:vAlign w:val="center"/>
            <w:hideMark/>
          </w:tcPr>
          <w:p w14:paraId="2C6C4776" w14:textId="77777777" w:rsidR="00000000" w:rsidRDefault="00A173A8">
            <w:pPr>
              <w:spacing w:after="100"/>
              <w:rPr>
                <w:rFonts w:eastAsia="Times New Roman"/>
                <w:sz w:val="20"/>
                <w:szCs w:val="20"/>
              </w:rPr>
            </w:pPr>
          </w:p>
        </w:tc>
        <w:tc>
          <w:tcPr>
            <w:tcW w:w="0" w:type="auto"/>
            <w:gridSpan w:val="3"/>
            <w:vAlign w:val="center"/>
            <w:hideMark/>
          </w:tcPr>
          <w:p w14:paraId="50FE355C" w14:textId="77777777" w:rsidR="00000000" w:rsidRDefault="00A173A8">
            <w:pPr>
              <w:spacing w:after="100"/>
              <w:rPr>
                <w:rFonts w:eastAsia="Times New Roman"/>
                <w:sz w:val="20"/>
                <w:szCs w:val="20"/>
              </w:rPr>
            </w:pPr>
          </w:p>
        </w:tc>
        <w:tc>
          <w:tcPr>
            <w:tcW w:w="0" w:type="auto"/>
            <w:gridSpan w:val="3"/>
            <w:vAlign w:val="center"/>
            <w:hideMark/>
          </w:tcPr>
          <w:p w14:paraId="4351ECCE" w14:textId="77777777" w:rsidR="00000000" w:rsidRDefault="00A173A8">
            <w:pPr>
              <w:spacing w:after="100"/>
              <w:rPr>
                <w:rFonts w:eastAsia="Times New Roman"/>
                <w:sz w:val="20"/>
                <w:szCs w:val="20"/>
              </w:rPr>
            </w:pPr>
          </w:p>
        </w:tc>
        <w:tc>
          <w:tcPr>
            <w:tcW w:w="0" w:type="auto"/>
            <w:gridSpan w:val="3"/>
            <w:vAlign w:val="center"/>
            <w:hideMark/>
          </w:tcPr>
          <w:p w14:paraId="38F66145" w14:textId="77777777" w:rsidR="00000000" w:rsidRDefault="00A173A8">
            <w:pPr>
              <w:spacing w:after="100"/>
              <w:rPr>
                <w:rFonts w:eastAsia="Times New Roman"/>
                <w:sz w:val="20"/>
                <w:szCs w:val="20"/>
              </w:rPr>
            </w:pPr>
          </w:p>
        </w:tc>
        <w:tc>
          <w:tcPr>
            <w:tcW w:w="0" w:type="auto"/>
            <w:gridSpan w:val="3"/>
            <w:vAlign w:val="center"/>
            <w:hideMark/>
          </w:tcPr>
          <w:p w14:paraId="5EFE6403" w14:textId="77777777" w:rsidR="00000000" w:rsidRDefault="00A173A8">
            <w:pPr>
              <w:spacing w:after="100"/>
              <w:rPr>
                <w:rFonts w:eastAsia="Times New Roman"/>
                <w:sz w:val="20"/>
                <w:szCs w:val="20"/>
              </w:rPr>
            </w:pPr>
          </w:p>
        </w:tc>
      </w:tr>
      <w:tr w:rsidR="00000000" w14:paraId="33A84CB7" w14:textId="77777777">
        <w:trPr>
          <w:divId w:val="1380520592"/>
        </w:trPr>
        <w:tc>
          <w:tcPr>
            <w:tcW w:w="0" w:type="auto"/>
            <w:gridSpan w:val="3"/>
            <w:vAlign w:val="center"/>
            <w:hideMark/>
          </w:tcPr>
          <w:p w14:paraId="6E868676" w14:textId="77777777" w:rsidR="00000000" w:rsidRDefault="00A173A8">
            <w:pPr>
              <w:spacing w:after="100"/>
              <w:rPr>
                <w:rFonts w:eastAsia="Times New Roman"/>
                <w:sz w:val="20"/>
                <w:szCs w:val="20"/>
              </w:rPr>
            </w:pPr>
          </w:p>
        </w:tc>
        <w:tc>
          <w:tcPr>
            <w:tcW w:w="0" w:type="auto"/>
            <w:gridSpan w:val="3"/>
            <w:vAlign w:val="center"/>
            <w:hideMark/>
          </w:tcPr>
          <w:p w14:paraId="39E1465E" w14:textId="77777777" w:rsidR="00000000" w:rsidRDefault="00A173A8">
            <w:pPr>
              <w:spacing w:after="100"/>
              <w:rPr>
                <w:rFonts w:eastAsia="Times New Roman"/>
                <w:sz w:val="20"/>
                <w:szCs w:val="20"/>
              </w:rPr>
            </w:pPr>
          </w:p>
        </w:tc>
        <w:tc>
          <w:tcPr>
            <w:tcW w:w="0" w:type="auto"/>
            <w:gridSpan w:val="3"/>
            <w:vAlign w:val="center"/>
            <w:hideMark/>
          </w:tcPr>
          <w:p w14:paraId="12555466" w14:textId="77777777" w:rsidR="00000000" w:rsidRDefault="00A173A8">
            <w:pPr>
              <w:spacing w:after="100"/>
              <w:rPr>
                <w:rFonts w:eastAsia="Times New Roman"/>
                <w:sz w:val="20"/>
                <w:szCs w:val="20"/>
              </w:rPr>
            </w:pPr>
          </w:p>
        </w:tc>
        <w:tc>
          <w:tcPr>
            <w:tcW w:w="0" w:type="auto"/>
            <w:gridSpan w:val="3"/>
            <w:vAlign w:val="center"/>
            <w:hideMark/>
          </w:tcPr>
          <w:p w14:paraId="6E939522" w14:textId="77777777" w:rsidR="00000000" w:rsidRDefault="00A173A8">
            <w:pPr>
              <w:spacing w:after="100"/>
              <w:rPr>
                <w:rFonts w:eastAsia="Times New Roman"/>
                <w:sz w:val="20"/>
                <w:szCs w:val="20"/>
              </w:rPr>
            </w:pPr>
          </w:p>
        </w:tc>
        <w:tc>
          <w:tcPr>
            <w:tcW w:w="0" w:type="auto"/>
            <w:gridSpan w:val="3"/>
            <w:vAlign w:val="center"/>
            <w:hideMark/>
          </w:tcPr>
          <w:p w14:paraId="2ECD2F84" w14:textId="77777777" w:rsidR="00000000" w:rsidRDefault="00A173A8">
            <w:pPr>
              <w:spacing w:after="100"/>
              <w:rPr>
                <w:rFonts w:eastAsia="Times New Roman"/>
                <w:sz w:val="20"/>
                <w:szCs w:val="20"/>
              </w:rPr>
            </w:pPr>
          </w:p>
        </w:tc>
        <w:tc>
          <w:tcPr>
            <w:tcW w:w="0" w:type="auto"/>
            <w:gridSpan w:val="3"/>
            <w:vAlign w:val="center"/>
            <w:hideMark/>
          </w:tcPr>
          <w:p w14:paraId="10A49FAA" w14:textId="77777777" w:rsidR="00000000" w:rsidRDefault="00A173A8">
            <w:pPr>
              <w:spacing w:after="100"/>
              <w:rPr>
                <w:rFonts w:eastAsia="Times New Roman"/>
                <w:sz w:val="20"/>
                <w:szCs w:val="20"/>
              </w:rPr>
            </w:pPr>
          </w:p>
        </w:tc>
        <w:tc>
          <w:tcPr>
            <w:tcW w:w="0" w:type="auto"/>
            <w:gridSpan w:val="3"/>
            <w:vAlign w:val="center"/>
            <w:hideMark/>
          </w:tcPr>
          <w:p w14:paraId="168E05E4" w14:textId="77777777" w:rsidR="00000000" w:rsidRDefault="00A173A8">
            <w:pPr>
              <w:spacing w:after="100"/>
              <w:rPr>
                <w:rFonts w:eastAsia="Times New Roman"/>
                <w:sz w:val="20"/>
                <w:szCs w:val="20"/>
              </w:rPr>
            </w:pPr>
          </w:p>
        </w:tc>
        <w:tc>
          <w:tcPr>
            <w:tcW w:w="0" w:type="auto"/>
            <w:gridSpan w:val="3"/>
            <w:vAlign w:val="center"/>
            <w:hideMark/>
          </w:tcPr>
          <w:p w14:paraId="6184BA18" w14:textId="77777777" w:rsidR="00000000" w:rsidRDefault="00A173A8">
            <w:pPr>
              <w:spacing w:after="100"/>
              <w:rPr>
                <w:rFonts w:eastAsia="Times New Roman"/>
                <w:sz w:val="20"/>
                <w:szCs w:val="20"/>
              </w:rPr>
            </w:pPr>
          </w:p>
        </w:tc>
        <w:tc>
          <w:tcPr>
            <w:tcW w:w="0" w:type="auto"/>
            <w:gridSpan w:val="3"/>
            <w:vAlign w:val="center"/>
            <w:hideMark/>
          </w:tcPr>
          <w:p w14:paraId="3BE40263" w14:textId="77777777" w:rsidR="00000000" w:rsidRDefault="00A173A8">
            <w:pPr>
              <w:spacing w:after="100"/>
              <w:rPr>
                <w:rFonts w:eastAsia="Times New Roman"/>
                <w:sz w:val="20"/>
                <w:szCs w:val="20"/>
              </w:rPr>
            </w:pPr>
          </w:p>
        </w:tc>
        <w:tc>
          <w:tcPr>
            <w:tcW w:w="0" w:type="auto"/>
            <w:gridSpan w:val="3"/>
            <w:vAlign w:val="center"/>
            <w:hideMark/>
          </w:tcPr>
          <w:p w14:paraId="353C575F" w14:textId="77777777" w:rsidR="00000000" w:rsidRDefault="00A173A8">
            <w:pPr>
              <w:spacing w:after="100"/>
              <w:rPr>
                <w:rFonts w:eastAsia="Times New Roman"/>
                <w:sz w:val="20"/>
                <w:szCs w:val="20"/>
              </w:rPr>
            </w:pPr>
          </w:p>
        </w:tc>
        <w:tc>
          <w:tcPr>
            <w:tcW w:w="0" w:type="auto"/>
            <w:gridSpan w:val="3"/>
            <w:vAlign w:val="center"/>
            <w:hideMark/>
          </w:tcPr>
          <w:p w14:paraId="66F0B552" w14:textId="77777777" w:rsidR="00000000" w:rsidRDefault="00A173A8">
            <w:pPr>
              <w:spacing w:after="100"/>
              <w:rPr>
                <w:rFonts w:eastAsia="Times New Roman"/>
                <w:sz w:val="20"/>
                <w:szCs w:val="20"/>
              </w:rPr>
            </w:pPr>
          </w:p>
        </w:tc>
        <w:tc>
          <w:tcPr>
            <w:tcW w:w="0" w:type="auto"/>
            <w:gridSpan w:val="3"/>
            <w:vAlign w:val="center"/>
            <w:hideMark/>
          </w:tcPr>
          <w:p w14:paraId="3B68F483" w14:textId="77777777" w:rsidR="00000000" w:rsidRDefault="00A173A8">
            <w:pPr>
              <w:spacing w:after="100"/>
              <w:rPr>
                <w:rFonts w:eastAsia="Times New Roman"/>
                <w:sz w:val="20"/>
                <w:szCs w:val="20"/>
              </w:rPr>
            </w:pPr>
          </w:p>
        </w:tc>
        <w:tc>
          <w:tcPr>
            <w:tcW w:w="0" w:type="auto"/>
            <w:gridSpan w:val="3"/>
            <w:vAlign w:val="center"/>
            <w:hideMark/>
          </w:tcPr>
          <w:p w14:paraId="44792ABE" w14:textId="77777777" w:rsidR="00000000" w:rsidRDefault="00A173A8">
            <w:pPr>
              <w:spacing w:after="100"/>
              <w:rPr>
                <w:rFonts w:eastAsia="Times New Roman"/>
                <w:sz w:val="20"/>
                <w:szCs w:val="20"/>
              </w:rPr>
            </w:pPr>
          </w:p>
        </w:tc>
        <w:tc>
          <w:tcPr>
            <w:tcW w:w="0" w:type="auto"/>
            <w:gridSpan w:val="3"/>
            <w:vAlign w:val="center"/>
            <w:hideMark/>
          </w:tcPr>
          <w:p w14:paraId="77699D1A" w14:textId="77777777" w:rsidR="00000000" w:rsidRDefault="00A173A8">
            <w:pPr>
              <w:spacing w:after="100"/>
              <w:rPr>
                <w:rFonts w:eastAsia="Times New Roman"/>
                <w:sz w:val="20"/>
                <w:szCs w:val="20"/>
              </w:rPr>
            </w:pPr>
          </w:p>
        </w:tc>
        <w:tc>
          <w:tcPr>
            <w:tcW w:w="0" w:type="auto"/>
            <w:gridSpan w:val="3"/>
            <w:vAlign w:val="center"/>
            <w:hideMark/>
          </w:tcPr>
          <w:p w14:paraId="29BCE5BC" w14:textId="77777777" w:rsidR="00000000" w:rsidRDefault="00A173A8">
            <w:pPr>
              <w:spacing w:after="100"/>
              <w:rPr>
                <w:rFonts w:eastAsia="Times New Roman"/>
                <w:sz w:val="20"/>
                <w:szCs w:val="20"/>
              </w:rPr>
            </w:pPr>
          </w:p>
        </w:tc>
        <w:tc>
          <w:tcPr>
            <w:tcW w:w="0" w:type="auto"/>
            <w:gridSpan w:val="3"/>
            <w:vAlign w:val="center"/>
            <w:hideMark/>
          </w:tcPr>
          <w:p w14:paraId="4EC6175E" w14:textId="77777777" w:rsidR="00000000" w:rsidRDefault="00A173A8">
            <w:pPr>
              <w:spacing w:after="100"/>
              <w:rPr>
                <w:rFonts w:eastAsia="Times New Roman"/>
                <w:sz w:val="20"/>
                <w:szCs w:val="20"/>
              </w:rPr>
            </w:pPr>
          </w:p>
        </w:tc>
        <w:tc>
          <w:tcPr>
            <w:tcW w:w="0" w:type="auto"/>
            <w:gridSpan w:val="3"/>
            <w:vAlign w:val="center"/>
            <w:hideMark/>
          </w:tcPr>
          <w:p w14:paraId="207B4239" w14:textId="77777777" w:rsidR="00000000" w:rsidRDefault="00A173A8">
            <w:pPr>
              <w:spacing w:after="100"/>
              <w:rPr>
                <w:rFonts w:eastAsia="Times New Roman"/>
                <w:sz w:val="20"/>
                <w:szCs w:val="20"/>
              </w:rPr>
            </w:pPr>
          </w:p>
        </w:tc>
      </w:tr>
      <w:tr w:rsidR="00000000" w14:paraId="5C0F9D44" w14:textId="77777777">
        <w:trPr>
          <w:divId w:val="1380520592"/>
        </w:trPr>
        <w:tc>
          <w:tcPr>
            <w:tcW w:w="0" w:type="auto"/>
            <w:gridSpan w:val="3"/>
            <w:vAlign w:val="center"/>
            <w:hideMark/>
          </w:tcPr>
          <w:p w14:paraId="5A93D14F" w14:textId="77777777" w:rsidR="00000000" w:rsidRDefault="00A173A8">
            <w:pPr>
              <w:spacing w:after="100"/>
              <w:rPr>
                <w:rFonts w:eastAsia="Times New Roman"/>
                <w:sz w:val="20"/>
                <w:szCs w:val="20"/>
              </w:rPr>
            </w:pPr>
          </w:p>
        </w:tc>
        <w:tc>
          <w:tcPr>
            <w:tcW w:w="0" w:type="auto"/>
            <w:gridSpan w:val="3"/>
            <w:vAlign w:val="center"/>
            <w:hideMark/>
          </w:tcPr>
          <w:p w14:paraId="73D1B2D1" w14:textId="77777777" w:rsidR="00000000" w:rsidRDefault="00A173A8">
            <w:pPr>
              <w:spacing w:after="100"/>
              <w:rPr>
                <w:rFonts w:eastAsia="Times New Roman"/>
                <w:sz w:val="20"/>
                <w:szCs w:val="20"/>
              </w:rPr>
            </w:pPr>
          </w:p>
        </w:tc>
        <w:tc>
          <w:tcPr>
            <w:tcW w:w="0" w:type="auto"/>
            <w:gridSpan w:val="3"/>
            <w:vAlign w:val="center"/>
            <w:hideMark/>
          </w:tcPr>
          <w:p w14:paraId="4EC5E413" w14:textId="77777777" w:rsidR="00000000" w:rsidRDefault="00A173A8">
            <w:pPr>
              <w:spacing w:after="100"/>
              <w:rPr>
                <w:rFonts w:eastAsia="Times New Roman"/>
                <w:sz w:val="20"/>
                <w:szCs w:val="20"/>
              </w:rPr>
            </w:pPr>
          </w:p>
        </w:tc>
        <w:tc>
          <w:tcPr>
            <w:tcW w:w="0" w:type="auto"/>
            <w:gridSpan w:val="3"/>
            <w:vAlign w:val="center"/>
            <w:hideMark/>
          </w:tcPr>
          <w:p w14:paraId="18CB9954" w14:textId="77777777" w:rsidR="00000000" w:rsidRDefault="00A173A8">
            <w:pPr>
              <w:spacing w:after="100"/>
              <w:rPr>
                <w:rFonts w:eastAsia="Times New Roman"/>
                <w:sz w:val="20"/>
                <w:szCs w:val="20"/>
              </w:rPr>
            </w:pPr>
          </w:p>
        </w:tc>
        <w:tc>
          <w:tcPr>
            <w:tcW w:w="0" w:type="auto"/>
            <w:gridSpan w:val="3"/>
            <w:vAlign w:val="center"/>
            <w:hideMark/>
          </w:tcPr>
          <w:p w14:paraId="55C5D89F" w14:textId="77777777" w:rsidR="00000000" w:rsidRDefault="00A173A8">
            <w:pPr>
              <w:spacing w:after="100"/>
              <w:rPr>
                <w:rFonts w:eastAsia="Times New Roman"/>
                <w:sz w:val="20"/>
                <w:szCs w:val="20"/>
              </w:rPr>
            </w:pPr>
          </w:p>
        </w:tc>
        <w:tc>
          <w:tcPr>
            <w:tcW w:w="0" w:type="auto"/>
            <w:gridSpan w:val="3"/>
            <w:vAlign w:val="center"/>
            <w:hideMark/>
          </w:tcPr>
          <w:p w14:paraId="221432F1" w14:textId="77777777" w:rsidR="00000000" w:rsidRDefault="00A173A8">
            <w:pPr>
              <w:spacing w:after="100"/>
              <w:rPr>
                <w:rFonts w:eastAsia="Times New Roman"/>
                <w:sz w:val="20"/>
                <w:szCs w:val="20"/>
              </w:rPr>
            </w:pPr>
          </w:p>
        </w:tc>
        <w:tc>
          <w:tcPr>
            <w:tcW w:w="0" w:type="auto"/>
            <w:gridSpan w:val="3"/>
            <w:vAlign w:val="center"/>
            <w:hideMark/>
          </w:tcPr>
          <w:p w14:paraId="7BF2FF98" w14:textId="77777777" w:rsidR="00000000" w:rsidRDefault="00A173A8">
            <w:pPr>
              <w:spacing w:after="100"/>
              <w:rPr>
                <w:rFonts w:eastAsia="Times New Roman"/>
                <w:sz w:val="20"/>
                <w:szCs w:val="20"/>
              </w:rPr>
            </w:pPr>
          </w:p>
        </w:tc>
        <w:tc>
          <w:tcPr>
            <w:tcW w:w="0" w:type="auto"/>
            <w:gridSpan w:val="3"/>
            <w:vAlign w:val="center"/>
            <w:hideMark/>
          </w:tcPr>
          <w:p w14:paraId="34446554" w14:textId="77777777" w:rsidR="00000000" w:rsidRDefault="00A173A8">
            <w:pPr>
              <w:spacing w:after="100"/>
              <w:rPr>
                <w:rFonts w:eastAsia="Times New Roman"/>
                <w:sz w:val="20"/>
                <w:szCs w:val="20"/>
              </w:rPr>
            </w:pPr>
          </w:p>
        </w:tc>
        <w:tc>
          <w:tcPr>
            <w:tcW w:w="0" w:type="auto"/>
            <w:gridSpan w:val="3"/>
            <w:vAlign w:val="center"/>
            <w:hideMark/>
          </w:tcPr>
          <w:p w14:paraId="3EF00BC7" w14:textId="77777777" w:rsidR="00000000" w:rsidRDefault="00A173A8">
            <w:pPr>
              <w:spacing w:after="100"/>
              <w:rPr>
                <w:rFonts w:eastAsia="Times New Roman"/>
                <w:sz w:val="20"/>
                <w:szCs w:val="20"/>
              </w:rPr>
            </w:pPr>
          </w:p>
        </w:tc>
        <w:tc>
          <w:tcPr>
            <w:tcW w:w="0" w:type="auto"/>
            <w:gridSpan w:val="3"/>
            <w:vAlign w:val="center"/>
            <w:hideMark/>
          </w:tcPr>
          <w:p w14:paraId="1A0096FB" w14:textId="77777777" w:rsidR="00000000" w:rsidRDefault="00A173A8">
            <w:pPr>
              <w:spacing w:after="100"/>
              <w:rPr>
                <w:rFonts w:eastAsia="Times New Roman"/>
                <w:sz w:val="20"/>
                <w:szCs w:val="20"/>
              </w:rPr>
            </w:pPr>
          </w:p>
        </w:tc>
        <w:tc>
          <w:tcPr>
            <w:tcW w:w="0" w:type="auto"/>
            <w:gridSpan w:val="3"/>
            <w:vAlign w:val="center"/>
            <w:hideMark/>
          </w:tcPr>
          <w:p w14:paraId="23ACCBD0" w14:textId="77777777" w:rsidR="00000000" w:rsidRDefault="00A173A8">
            <w:pPr>
              <w:spacing w:after="100"/>
              <w:rPr>
                <w:rFonts w:eastAsia="Times New Roman"/>
                <w:sz w:val="20"/>
                <w:szCs w:val="20"/>
              </w:rPr>
            </w:pPr>
          </w:p>
        </w:tc>
        <w:tc>
          <w:tcPr>
            <w:tcW w:w="0" w:type="auto"/>
            <w:gridSpan w:val="3"/>
            <w:vAlign w:val="center"/>
            <w:hideMark/>
          </w:tcPr>
          <w:p w14:paraId="3713BFFB" w14:textId="77777777" w:rsidR="00000000" w:rsidRDefault="00A173A8">
            <w:pPr>
              <w:spacing w:after="100"/>
              <w:rPr>
                <w:rFonts w:eastAsia="Times New Roman"/>
                <w:sz w:val="20"/>
                <w:szCs w:val="20"/>
              </w:rPr>
            </w:pPr>
          </w:p>
        </w:tc>
        <w:tc>
          <w:tcPr>
            <w:tcW w:w="0" w:type="auto"/>
            <w:gridSpan w:val="3"/>
            <w:vAlign w:val="center"/>
            <w:hideMark/>
          </w:tcPr>
          <w:p w14:paraId="0BB8DCB9" w14:textId="77777777" w:rsidR="00000000" w:rsidRDefault="00A173A8">
            <w:pPr>
              <w:spacing w:after="100"/>
              <w:rPr>
                <w:rFonts w:eastAsia="Times New Roman"/>
                <w:sz w:val="20"/>
                <w:szCs w:val="20"/>
              </w:rPr>
            </w:pPr>
          </w:p>
        </w:tc>
        <w:tc>
          <w:tcPr>
            <w:tcW w:w="0" w:type="auto"/>
            <w:gridSpan w:val="3"/>
            <w:vAlign w:val="center"/>
            <w:hideMark/>
          </w:tcPr>
          <w:p w14:paraId="4DF86532" w14:textId="77777777" w:rsidR="00000000" w:rsidRDefault="00A173A8">
            <w:pPr>
              <w:spacing w:after="100"/>
              <w:rPr>
                <w:rFonts w:eastAsia="Times New Roman"/>
                <w:sz w:val="20"/>
                <w:szCs w:val="20"/>
              </w:rPr>
            </w:pPr>
          </w:p>
        </w:tc>
        <w:tc>
          <w:tcPr>
            <w:tcW w:w="0" w:type="auto"/>
            <w:gridSpan w:val="3"/>
            <w:vAlign w:val="center"/>
            <w:hideMark/>
          </w:tcPr>
          <w:p w14:paraId="4D4F0DA6" w14:textId="77777777" w:rsidR="00000000" w:rsidRDefault="00A173A8">
            <w:pPr>
              <w:spacing w:after="100"/>
              <w:rPr>
                <w:rFonts w:eastAsia="Times New Roman"/>
                <w:sz w:val="20"/>
                <w:szCs w:val="20"/>
              </w:rPr>
            </w:pPr>
          </w:p>
        </w:tc>
        <w:tc>
          <w:tcPr>
            <w:tcW w:w="0" w:type="auto"/>
            <w:gridSpan w:val="3"/>
            <w:vAlign w:val="center"/>
            <w:hideMark/>
          </w:tcPr>
          <w:p w14:paraId="6CCB7504" w14:textId="77777777" w:rsidR="00000000" w:rsidRDefault="00A173A8">
            <w:pPr>
              <w:spacing w:after="100"/>
              <w:rPr>
                <w:rFonts w:eastAsia="Times New Roman"/>
                <w:sz w:val="20"/>
                <w:szCs w:val="20"/>
              </w:rPr>
            </w:pPr>
          </w:p>
        </w:tc>
        <w:tc>
          <w:tcPr>
            <w:tcW w:w="0" w:type="auto"/>
            <w:gridSpan w:val="3"/>
            <w:vAlign w:val="center"/>
            <w:hideMark/>
          </w:tcPr>
          <w:p w14:paraId="545500E1" w14:textId="77777777" w:rsidR="00000000" w:rsidRDefault="00A173A8">
            <w:pPr>
              <w:spacing w:after="100"/>
              <w:rPr>
                <w:rFonts w:eastAsia="Times New Roman"/>
                <w:sz w:val="20"/>
                <w:szCs w:val="20"/>
              </w:rPr>
            </w:pPr>
          </w:p>
        </w:tc>
      </w:tr>
      <w:tr w:rsidR="00000000" w14:paraId="6BDA487C" w14:textId="77777777">
        <w:trPr>
          <w:divId w:val="1380520592"/>
        </w:trPr>
        <w:tc>
          <w:tcPr>
            <w:tcW w:w="0" w:type="auto"/>
            <w:gridSpan w:val="3"/>
            <w:vAlign w:val="center"/>
            <w:hideMark/>
          </w:tcPr>
          <w:p w14:paraId="5E111843" w14:textId="77777777" w:rsidR="00000000" w:rsidRDefault="00A173A8">
            <w:pPr>
              <w:spacing w:after="100"/>
              <w:rPr>
                <w:rFonts w:eastAsia="Times New Roman"/>
                <w:sz w:val="20"/>
                <w:szCs w:val="20"/>
              </w:rPr>
            </w:pPr>
          </w:p>
        </w:tc>
        <w:tc>
          <w:tcPr>
            <w:tcW w:w="0" w:type="auto"/>
            <w:gridSpan w:val="3"/>
            <w:vAlign w:val="center"/>
            <w:hideMark/>
          </w:tcPr>
          <w:p w14:paraId="50DCA505" w14:textId="77777777" w:rsidR="00000000" w:rsidRDefault="00A173A8">
            <w:pPr>
              <w:spacing w:after="100"/>
              <w:rPr>
                <w:rFonts w:eastAsia="Times New Roman"/>
                <w:sz w:val="20"/>
                <w:szCs w:val="20"/>
              </w:rPr>
            </w:pPr>
          </w:p>
        </w:tc>
        <w:tc>
          <w:tcPr>
            <w:tcW w:w="0" w:type="auto"/>
            <w:gridSpan w:val="3"/>
            <w:vAlign w:val="center"/>
            <w:hideMark/>
          </w:tcPr>
          <w:p w14:paraId="3BB3931F" w14:textId="77777777" w:rsidR="00000000" w:rsidRDefault="00A173A8">
            <w:pPr>
              <w:spacing w:after="100"/>
              <w:rPr>
                <w:rFonts w:eastAsia="Times New Roman"/>
                <w:sz w:val="20"/>
                <w:szCs w:val="20"/>
              </w:rPr>
            </w:pPr>
          </w:p>
        </w:tc>
        <w:tc>
          <w:tcPr>
            <w:tcW w:w="0" w:type="auto"/>
            <w:gridSpan w:val="3"/>
            <w:vAlign w:val="center"/>
            <w:hideMark/>
          </w:tcPr>
          <w:p w14:paraId="731FF216" w14:textId="77777777" w:rsidR="00000000" w:rsidRDefault="00A173A8">
            <w:pPr>
              <w:spacing w:after="100"/>
              <w:rPr>
                <w:rFonts w:eastAsia="Times New Roman"/>
                <w:sz w:val="20"/>
                <w:szCs w:val="20"/>
              </w:rPr>
            </w:pPr>
          </w:p>
        </w:tc>
        <w:tc>
          <w:tcPr>
            <w:tcW w:w="0" w:type="auto"/>
            <w:gridSpan w:val="3"/>
            <w:vAlign w:val="center"/>
            <w:hideMark/>
          </w:tcPr>
          <w:p w14:paraId="2B97306D" w14:textId="77777777" w:rsidR="00000000" w:rsidRDefault="00A173A8">
            <w:pPr>
              <w:spacing w:after="100"/>
              <w:rPr>
                <w:rFonts w:eastAsia="Times New Roman"/>
                <w:sz w:val="20"/>
                <w:szCs w:val="20"/>
              </w:rPr>
            </w:pPr>
          </w:p>
        </w:tc>
        <w:tc>
          <w:tcPr>
            <w:tcW w:w="0" w:type="auto"/>
            <w:gridSpan w:val="3"/>
            <w:vAlign w:val="center"/>
            <w:hideMark/>
          </w:tcPr>
          <w:p w14:paraId="622997F1" w14:textId="77777777" w:rsidR="00000000" w:rsidRDefault="00A173A8">
            <w:pPr>
              <w:spacing w:after="100"/>
              <w:rPr>
                <w:rFonts w:eastAsia="Times New Roman"/>
                <w:sz w:val="20"/>
                <w:szCs w:val="20"/>
              </w:rPr>
            </w:pPr>
          </w:p>
        </w:tc>
        <w:tc>
          <w:tcPr>
            <w:tcW w:w="0" w:type="auto"/>
            <w:gridSpan w:val="3"/>
            <w:vAlign w:val="center"/>
            <w:hideMark/>
          </w:tcPr>
          <w:p w14:paraId="70B6EA4A" w14:textId="77777777" w:rsidR="00000000" w:rsidRDefault="00A173A8">
            <w:pPr>
              <w:spacing w:after="100"/>
              <w:rPr>
                <w:rFonts w:eastAsia="Times New Roman"/>
                <w:sz w:val="20"/>
                <w:szCs w:val="20"/>
              </w:rPr>
            </w:pPr>
          </w:p>
        </w:tc>
        <w:tc>
          <w:tcPr>
            <w:tcW w:w="0" w:type="auto"/>
            <w:gridSpan w:val="3"/>
            <w:vAlign w:val="center"/>
            <w:hideMark/>
          </w:tcPr>
          <w:p w14:paraId="34470EBF" w14:textId="77777777" w:rsidR="00000000" w:rsidRDefault="00A173A8">
            <w:pPr>
              <w:spacing w:after="100"/>
              <w:rPr>
                <w:rFonts w:eastAsia="Times New Roman"/>
                <w:sz w:val="20"/>
                <w:szCs w:val="20"/>
              </w:rPr>
            </w:pPr>
          </w:p>
        </w:tc>
        <w:tc>
          <w:tcPr>
            <w:tcW w:w="0" w:type="auto"/>
            <w:gridSpan w:val="3"/>
            <w:vAlign w:val="center"/>
            <w:hideMark/>
          </w:tcPr>
          <w:p w14:paraId="250D8497" w14:textId="77777777" w:rsidR="00000000" w:rsidRDefault="00A173A8">
            <w:pPr>
              <w:spacing w:after="100"/>
              <w:rPr>
                <w:rFonts w:eastAsia="Times New Roman"/>
                <w:sz w:val="20"/>
                <w:szCs w:val="20"/>
              </w:rPr>
            </w:pPr>
          </w:p>
        </w:tc>
        <w:tc>
          <w:tcPr>
            <w:tcW w:w="0" w:type="auto"/>
            <w:gridSpan w:val="3"/>
            <w:vAlign w:val="center"/>
            <w:hideMark/>
          </w:tcPr>
          <w:p w14:paraId="12A4481C" w14:textId="77777777" w:rsidR="00000000" w:rsidRDefault="00A173A8">
            <w:pPr>
              <w:spacing w:after="100"/>
              <w:rPr>
                <w:rFonts w:eastAsia="Times New Roman"/>
                <w:sz w:val="20"/>
                <w:szCs w:val="20"/>
              </w:rPr>
            </w:pPr>
          </w:p>
        </w:tc>
        <w:tc>
          <w:tcPr>
            <w:tcW w:w="0" w:type="auto"/>
            <w:gridSpan w:val="3"/>
            <w:vAlign w:val="center"/>
            <w:hideMark/>
          </w:tcPr>
          <w:p w14:paraId="436F16F0" w14:textId="77777777" w:rsidR="00000000" w:rsidRDefault="00A173A8">
            <w:pPr>
              <w:spacing w:after="100"/>
              <w:rPr>
                <w:rFonts w:eastAsia="Times New Roman"/>
                <w:sz w:val="20"/>
                <w:szCs w:val="20"/>
              </w:rPr>
            </w:pPr>
          </w:p>
        </w:tc>
        <w:tc>
          <w:tcPr>
            <w:tcW w:w="0" w:type="auto"/>
            <w:gridSpan w:val="3"/>
            <w:vAlign w:val="center"/>
            <w:hideMark/>
          </w:tcPr>
          <w:p w14:paraId="17CFDAF1" w14:textId="77777777" w:rsidR="00000000" w:rsidRDefault="00A173A8">
            <w:pPr>
              <w:spacing w:after="100"/>
              <w:rPr>
                <w:rFonts w:eastAsia="Times New Roman"/>
                <w:sz w:val="20"/>
                <w:szCs w:val="20"/>
              </w:rPr>
            </w:pPr>
          </w:p>
        </w:tc>
        <w:tc>
          <w:tcPr>
            <w:tcW w:w="0" w:type="auto"/>
            <w:gridSpan w:val="3"/>
            <w:vAlign w:val="center"/>
            <w:hideMark/>
          </w:tcPr>
          <w:p w14:paraId="1C0F1CA8" w14:textId="77777777" w:rsidR="00000000" w:rsidRDefault="00A173A8">
            <w:pPr>
              <w:spacing w:after="100"/>
              <w:rPr>
                <w:rFonts w:eastAsia="Times New Roman"/>
                <w:sz w:val="20"/>
                <w:szCs w:val="20"/>
              </w:rPr>
            </w:pPr>
          </w:p>
        </w:tc>
        <w:tc>
          <w:tcPr>
            <w:tcW w:w="0" w:type="auto"/>
            <w:gridSpan w:val="3"/>
            <w:vAlign w:val="center"/>
            <w:hideMark/>
          </w:tcPr>
          <w:p w14:paraId="0ACB08FD" w14:textId="77777777" w:rsidR="00000000" w:rsidRDefault="00A173A8">
            <w:pPr>
              <w:spacing w:after="100"/>
              <w:rPr>
                <w:rFonts w:eastAsia="Times New Roman"/>
                <w:sz w:val="20"/>
                <w:szCs w:val="20"/>
              </w:rPr>
            </w:pPr>
          </w:p>
        </w:tc>
        <w:tc>
          <w:tcPr>
            <w:tcW w:w="0" w:type="auto"/>
            <w:gridSpan w:val="3"/>
            <w:vAlign w:val="center"/>
            <w:hideMark/>
          </w:tcPr>
          <w:p w14:paraId="2A248EFA" w14:textId="77777777" w:rsidR="00000000" w:rsidRDefault="00A173A8">
            <w:pPr>
              <w:spacing w:after="100"/>
              <w:rPr>
                <w:rFonts w:eastAsia="Times New Roman"/>
                <w:sz w:val="20"/>
                <w:szCs w:val="20"/>
              </w:rPr>
            </w:pPr>
          </w:p>
        </w:tc>
        <w:tc>
          <w:tcPr>
            <w:tcW w:w="0" w:type="auto"/>
            <w:gridSpan w:val="3"/>
            <w:vAlign w:val="center"/>
            <w:hideMark/>
          </w:tcPr>
          <w:p w14:paraId="578DE815" w14:textId="77777777" w:rsidR="00000000" w:rsidRDefault="00A173A8">
            <w:pPr>
              <w:spacing w:after="100"/>
              <w:rPr>
                <w:rFonts w:eastAsia="Times New Roman"/>
                <w:sz w:val="20"/>
                <w:szCs w:val="20"/>
              </w:rPr>
            </w:pPr>
          </w:p>
        </w:tc>
        <w:tc>
          <w:tcPr>
            <w:tcW w:w="0" w:type="auto"/>
            <w:gridSpan w:val="3"/>
            <w:vAlign w:val="center"/>
            <w:hideMark/>
          </w:tcPr>
          <w:p w14:paraId="7A0D509B" w14:textId="77777777" w:rsidR="00000000" w:rsidRDefault="00A173A8">
            <w:pPr>
              <w:spacing w:after="100"/>
              <w:rPr>
                <w:rFonts w:eastAsia="Times New Roman"/>
                <w:sz w:val="20"/>
                <w:szCs w:val="20"/>
              </w:rPr>
            </w:pPr>
          </w:p>
        </w:tc>
      </w:tr>
      <w:tr w:rsidR="00000000" w14:paraId="18550780" w14:textId="77777777">
        <w:trPr>
          <w:divId w:val="1380520592"/>
        </w:trPr>
        <w:tc>
          <w:tcPr>
            <w:tcW w:w="0" w:type="auto"/>
            <w:gridSpan w:val="3"/>
            <w:vAlign w:val="center"/>
            <w:hideMark/>
          </w:tcPr>
          <w:p w14:paraId="301BB8C1" w14:textId="77777777" w:rsidR="00000000" w:rsidRDefault="00A173A8">
            <w:pPr>
              <w:spacing w:after="100"/>
              <w:rPr>
                <w:rFonts w:eastAsia="Times New Roman"/>
                <w:sz w:val="20"/>
                <w:szCs w:val="20"/>
              </w:rPr>
            </w:pPr>
          </w:p>
        </w:tc>
        <w:tc>
          <w:tcPr>
            <w:tcW w:w="0" w:type="auto"/>
            <w:gridSpan w:val="3"/>
            <w:vAlign w:val="center"/>
            <w:hideMark/>
          </w:tcPr>
          <w:p w14:paraId="328B99C2" w14:textId="77777777" w:rsidR="00000000" w:rsidRDefault="00A173A8">
            <w:pPr>
              <w:spacing w:after="100"/>
              <w:rPr>
                <w:rFonts w:eastAsia="Times New Roman"/>
                <w:sz w:val="20"/>
                <w:szCs w:val="20"/>
              </w:rPr>
            </w:pPr>
          </w:p>
        </w:tc>
        <w:tc>
          <w:tcPr>
            <w:tcW w:w="0" w:type="auto"/>
            <w:gridSpan w:val="3"/>
            <w:vAlign w:val="center"/>
            <w:hideMark/>
          </w:tcPr>
          <w:p w14:paraId="3096728E" w14:textId="77777777" w:rsidR="00000000" w:rsidRDefault="00A173A8">
            <w:pPr>
              <w:spacing w:after="100"/>
              <w:rPr>
                <w:rFonts w:eastAsia="Times New Roman"/>
                <w:sz w:val="20"/>
                <w:szCs w:val="20"/>
              </w:rPr>
            </w:pPr>
          </w:p>
        </w:tc>
        <w:tc>
          <w:tcPr>
            <w:tcW w:w="0" w:type="auto"/>
            <w:gridSpan w:val="3"/>
            <w:vAlign w:val="center"/>
            <w:hideMark/>
          </w:tcPr>
          <w:p w14:paraId="16B58B94" w14:textId="77777777" w:rsidR="00000000" w:rsidRDefault="00A173A8">
            <w:pPr>
              <w:spacing w:after="100"/>
              <w:rPr>
                <w:rFonts w:eastAsia="Times New Roman"/>
                <w:sz w:val="20"/>
                <w:szCs w:val="20"/>
              </w:rPr>
            </w:pPr>
          </w:p>
        </w:tc>
        <w:tc>
          <w:tcPr>
            <w:tcW w:w="0" w:type="auto"/>
            <w:gridSpan w:val="3"/>
            <w:vAlign w:val="center"/>
            <w:hideMark/>
          </w:tcPr>
          <w:p w14:paraId="4DB86603" w14:textId="77777777" w:rsidR="00000000" w:rsidRDefault="00A173A8">
            <w:pPr>
              <w:spacing w:after="100"/>
              <w:rPr>
                <w:rFonts w:eastAsia="Times New Roman"/>
                <w:sz w:val="20"/>
                <w:szCs w:val="20"/>
              </w:rPr>
            </w:pPr>
          </w:p>
        </w:tc>
        <w:tc>
          <w:tcPr>
            <w:tcW w:w="0" w:type="auto"/>
            <w:gridSpan w:val="3"/>
            <w:vAlign w:val="center"/>
            <w:hideMark/>
          </w:tcPr>
          <w:p w14:paraId="362E523D" w14:textId="77777777" w:rsidR="00000000" w:rsidRDefault="00A173A8">
            <w:pPr>
              <w:spacing w:after="100"/>
              <w:rPr>
                <w:rFonts w:eastAsia="Times New Roman"/>
                <w:sz w:val="20"/>
                <w:szCs w:val="20"/>
              </w:rPr>
            </w:pPr>
          </w:p>
        </w:tc>
        <w:tc>
          <w:tcPr>
            <w:tcW w:w="0" w:type="auto"/>
            <w:gridSpan w:val="3"/>
            <w:vAlign w:val="center"/>
            <w:hideMark/>
          </w:tcPr>
          <w:p w14:paraId="2A15BD23" w14:textId="77777777" w:rsidR="00000000" w:rsidRDefault="00A173A8">
            <w:pPr>
              <w:spacing w:after="100"/>
              <w:rPr>
                <w:rFonts w:eastAsia="Times New Roman"/>
                <w:sz w:val="20"/>
                <w:szCs w:val="20"/>
              </w:rPr>
            </w:pPr>
          </w:p>
        </w:tc>
        <w:tc>
          <w:tcPr>
            <w:tcW w:w="0" w:type="auto"/>
            <w:gridSpan w:val="3"/>
            <w:vAlign w:val="center"/>
            <w:hideMark/>
          </w:tcPr>
          <w:p w14:paraId="1F05AC6D" w14:textId="77777777" w:rsidR="00000000" w:rsidRDefault="00A173A8">
            <w:pPr>
              <w:spacing w:after="100"/>
              <w:rPr>
                <w:rFonts w:eastAsia="Times New Roman"/>
                <w:sz w:val="20"/>
                <w:szCs w:val="20"/>
              </w:rPr>
            </w:pPr>
          </w:p>
        </w:tc>
        <w:tc>
          <w:tcPr>
            <w:tcW w:w="0" w:type="auto"/>
            <w:gridSpan w:val="3"/>
            <w:vAlign w:val="center"/>
            <w:hideMark/>
          </w:tcPr>
          <w:p w14:paraId="37B49ABA" w14:textId="77777777" w:rsidR="00000000" w:rsidRDefault="00A173A8">
            <w:pPr>
              <w:spacing w:after="100"/>
              <w:rPr>
                <w:rFonts w:eastAsia="Times New Roman"/>
                <w:sz w:val="20"/>
                <w:szCs w:val="20"/>
              </w:rPr>
            </w:pPr>
          </w:p>
        </w:tc>
        <w:tc>
          <w:tcPr>
            <w:tcW w:w="0" w:type="auto"/>
            <w:gridSpan w:val="3"/>
            <w:vAlign w:val="center"/>
            <w:hideMark/>
          </w:tcPr>
          <w:p w14:paraId="26A0B633" w14:textId="77777777" w:rsidR="00000000" w:rsidRDefault="00A173A8">
            <w:pPr>
              <w:spacing w:after="100"/>
              <w:rPr>
                <w:rFonts w:eastAsia="Times New Roman"/>
                <w:sz w:val="20"/>
                <w:szCs w:val="20"/>
              </w:rPr>
            </w:pPr>
          </w:p>
        </w:tc>
        <w:tc>
          <w:tcPr>
            <w:tcW w:w="0" w:type="auto"/>
            <w:gridSpan w:val="3"/>
            <w:vAlign w:val="center"/>
            <w:hideMark/>
          </w:tcPr>
          <w:p w14:paraId="7E7A9A31" w14:textId="77777777" w:rsidR="00000000" w:rsidRDefault="00A173A8">
            <w:pPr>
              <w:spacing w:after="100"/>
              <w:rPr>
                <w:rFonts w:eastAsia="Times New Roman"/>
                <w:sz w:val="20"/>
                <w:szCs w:val="20"/>
              </w:rPr>
            </w:pPr>
          </w:p>
        </w:tc>
        <w:tc>
          <w:tcPr>
            <w:tcW w:w="0" w:type="auto"/>
            <w:gridSpan w:val="3"/>
            <w:vAlign w:val="center"/>
            <w:hideMark/>
          </w:tcPr>
          <w:p w14:paraId="407A3792" w14:textId="77777777" w:rsidR="00000000" w:rsidRDefault="00A173A8">
            <w:pPr>
              <w:spacing w:after="100"/>
              <w:rPr>
                <w:rFonts w:eastAsia="Times New Roman"/>
                <w:sz w:val="20"/>
                <w:szCs w:val="20"/>
              </w:rPr>
            </w:pPr>
          </w:p>
        </w:tc>
        <w:tc>
          <w:tcPr>
            <w:tcW w:w="0" w:type="auto"/>
            <w:gridSpan w:val="3"/>
            <w:vAlign w:val="center"/>
            <w:hideMark/>
          </w:tcPr>
          <w:p w14:paraId="2BB2B9ED" w14:textId="77777777" w:rsidR="00000000" w:rsidRDefault="00A173A8">
            <w:pPr>
              <w:spacing w:after="100"/>
              <w:rPr>
                <w:rFonts w:eastAsia="Times New Roman"/>
                <w:sz w:val="20"/>
                <w:szCs w:val="20"/>
              </w:rPr>
            </w:pPr>
          </w:p>
        </w:tc>
        <w:tc>
          <w:tcPr>
            <w:tcW w:w="0" w:type="auto"/>
            <w:gridSpan w:val="3"/>
            <w:vAlign w:val="center"/>
            <w:hideMark/>
          </w:tcPr>
          <w:p w14:paraId="0293836E" w14:textId="77777777" w:rsidR="00000000" w:rsidRDefault="00A173A8">
            <w:pPr>
              <w:spacing w:after="100"/>
              <w:rPr>
                <w:rFonts w:eastAsia="Times New Roman"/>
                <w:sz w:val="20"/>
                <w:szCs w:val="20"/>
              </w:rPr>
            </w:pPr>
          </w:p>
        </w:tc>
        <w:tc>
          <w:tcPr>
            <w:tcW w:w="0" w:type="auto"/>
            <w:gridSpan w:val="3"/>
            <w:vAlign w:val="center"/>
            <w:hideMark/>
          </w:tcPr>
          <w:p w14:paraId="7025CDA1" w14:textId="77777777" w:rsidR="00000000" w:rsidRDefault="00A173A8">
            <w:pPr>
              <w:spacing w:after="100"/>
              <w:rPr>
                <w:rFonts w:eastAsia="Times New Roman"/>
                <w:sz w:val="20"/>
                <w:szCs w:val="20"/>
              </w:rPr>
            </w:pPr>
          </w:p>
        </w:tc>
        <w:tc>
          <w:tcPr>
            <w:tcW w:w="0" w:type="auto"/>
            <w:gridSpan w:val="3"/>
            <w:vAlign w:val="center"/>
            <w:hideMark/>
          </w:tcPr>
          <w:p w14:paraId="754E7BF2" w14:textId="77777777" w:rsidR="00000000" w:rsidRDefault="00A173A8">
            <w:pPr>
              <w:spacing w:after="100"/>
              <w:rPr>
                <w:rFonts w:eastAsia="Times New Roman"/>
                <w:sz w:val="20"/>
                <w:szCs w:val="20"/>
              </w:rPr>
            </w:pPr>
          </w:p>
        </w:tc>
        <w:tc>
          <w:tcPr>
            <w:tcW w:w="0" w:type="auto"/>
            <w:gridSpan w:val="3"/>
            <w:vAlign w:val="center"/>
            <w:hideMark/>
          </w:tcPr>
          <w:p w14:paraId="5EF5D764" w14:textId="77777777" w:rsidR="00000000" w:rsidRDefault="00A173A8">
            <w:pPr>
              <w:spacing w:after="100"/>
              <w:rPr>
                <w:rFonts w:eastAsia="Times New Roman"/>
                <w:sz w:val="20"/>
                <w:szCs w:val="20"/>
              </w:rPr>
            </w:pPr>
          </w:p>
        </w:tc>
      </w:tr>
      <w:tr w:rsidR="00000000" w14:paraId="604ACA62" w14:textId="77777777">
        <w:trPr>
          <w:divId w:val="1380520592"/>
        </w:trPr>
        <w:tc>
          <w:tcPr>
            <w:tcW w:w="0" w:type="auto"/>
            <w:gridSpan w:val="3"/>
            <w:vAlign w:val="center"/>
            <w:hideMark/>
          </w:tcPr>
          <w:p w14:paraId="110D69C2" w14:textId="77777777" w:rsidR="00000000" w:rsidRDefault="00A173A8">
            <w:pPr>
              <w:spacing w:after="100"/>
              <w:rPr>
                <w:rFonts w:eastAsia="Times New Roman"/>
                <w:sz w:val="20"/>
                <w:szCs w:val="20"/>
              </w:rPr>
            </w:pPr>
          </w:p>
        </w:tc>
        <w:tc>
          <w:tcPr>
            <w:tcW w:w="0" w:type="auto"/>
            <w:gridSpan w:val="3"/>
            <w:vAlign w:val="center"/>
            <w:hideMark/>
          </w:tcPr>
          <w:p w14:paraId="4A9EEA0E" w14:textId="77777777" w:rsidR="00000000" w:rsidRDefault="00A173A8">
            <w:pPr>
              <w:spacing w:after="100"/>
              <w:rPr>
                <w:rFonts w:eastAsia="Times New Roman"/>
                <w:sz w:val="20"/>
                <w:szCs w:val="20"/>
              </w:rPr>
            </w:pPr>
          </w:p>
        </w:tc>
        <w:tc>
          <w:tcPr>
            <w:tcW w:w="0" w:type="auto"/>
            <w:gridSpan w:val="3"/>
            <w:vAlign w:val="center"/>
            <w:hideMark/>
          </w:tcPr>
          <w:p w14:paraId="4D85E5DD" w14:textId="77777777" w:rsidR="00000000" w:rsidRDefault="00A173A8">
            <w:pPr>
              <w:spacing w:after="100"/>
              <w:rPr>
                <w:rFonts w:eastAsia="Times New Roman"/>
                <w:sz w:val="20"/>
                <w:szCs w:val="20"/>
              </w:rPr>
            </w:pPr>
          </w:p>
        </w:tc>
        <w:tc>
          <w:tcPr>
            <w:tcW w:w="0" w:type="auto"/>
            <w:gridSpan w:val="3"/>
            <w:vAlign w:val="center"/>
            <w:hideMark/>
          </w:tcPr>
          <w:p w14:paraId="24D033C4" w14:textId="77777777" w:rsidR="00000000" w:rsidRDefault="00A173A8">
            <w:pPr>
              <w:spacing w:after="100"/>
              <w:rPr>
                <w:rFonts w:eastAsia="Times New Roman"/>
                <w:sz w:val="20"/>
                <w:szCs w:val="20"/>
              </w:rPr>
            </w:pPr>
          </w:p>
        </w:tc>
        <w:tc>
          <w:tcPr>
            <w:tcW w:w="0" w:type="auto"/>
            <w:gridSpan w:val="3"/>
            <w:vAlign w:val="center"/>
            <w:hideMark/>
          </w:tcPr>
          <w:p w14:paraId="625EAFEE" w14:textId="77777777" w:rsidR="00000000" w:rsidRDefault="00A173A8">
            <w:pPr>
              <w:spacing w:after="100"/>
              <w:rPr>
                <w:rFonts w:eastAsia="Times New Roman"/>
                <w:sz w:val="20"/>
                <w:szCs w:val="20"/>
              </w:rPr>
            </w:pPr>
          </w:p>
        </w:tc>
        <w:tc>
          <w:tcPr>
            <w:tcW w:w="0" w:type="auto"/>
            <w:gridSpan w:val="3"/>
            <w:vAlign w:val="center"/>
            <w:hideMark/>
          </w:tcPr>
          <w:p w14:paraId="65903379" w14:textId="77777777" w:rsidR="00000000" w:rsidRDefault="00A173A8">
            <w:pPr>
              <w:spacing w:after="100"/>
              <w:rPr>
                <w:rFonts w:eastAsia="Times New Roman"/>
                <w:sz w:val="20"/>
                <w:szCs w:val="20"/>
              </w:rPr>
            </w:pPr>
          </w:p>
        </w:tc>
        <w:tc>
          <w:tcPr>
            <w:tcW w:w="0" w:type="auto"/>
            <w:gridSpan w:val="3"/>
            <w:vAlign w:val="center"/>
            <w:hideMark/>
          </w:tcPr>
          <w:p w14:paraId="68138604" w14:textId="77777777" w:rsidR="00000000" w:rsidRDefault="00A173A8">
            <w:pPr>
              <w:spacing w:after="100"/>
              <w:rPr>
                <w:rFonts w:eastAsia="Times New Roman"/>
                <w:sz w:val="20"/>
                <w:szCs w:val="20"/>
              </w:rPr>
            </w:pPr>
          </w:p>
        </w:tc>
        <w:tc>
          <w:tcPr>
            <w:tcW w:w="0" w:type="auto"/>
            <w:gridSpan w:val="3"/>
            <w:vAlign w:val="center"/>
            <w:hideMark/>
          </w:tcPr>
          <w:p w14:paraId="50093838" w14:textId="77777777" w:rsidR="00000000" w:rsidRDefault="00A173A8">
            <w:pPr>
              <w:spacing w:after="100"/>
              <w:rPr>
                <w:rFonts w:eastAsia="Times New Roman"/>
                <w:sz w:val="20"/>
                <w:szCs w:val="20"/>
              </w:rPr>
            </w:pPr>
          </w:p>
        </w:tc>
        <w:tc>
          <w:tcPr>
            <w:tcW w:w="0" w:type="auto"/>
            <w:gridSpan w:val="3"/>
            <w:vAlign w:val="center"/>
            <w:hideMark/>
          </w:tcPr>
          <w:p w14:paraId="0CBEA459" w14:textId="77777777" w:rsidR="00000000" w:rsidRDefault="00A173A8">
            <w:pPr>
              <w:spacing w:after="100"/>
              <w:rPr>
                <w:rFonts w:eastAsia="Times New Roman"/>
                <w:sz w:val="20"/>
                <w:szCs w:val="20"/>
              </w:rPr>
            </w:pPr>
          </w:p>
        </w:tc>
        <w:tc>
          <w:tcPr>
            <w:tcW w:w="0" w:type="auto"/>
            <w:gridSpan w:val="3"/>
            <w:vAlign w:val="center"/>
            <w:hideMark/>
          </w:tcPr>
          <w:p w14:paraId="08B3A24F" w14:textId="77777777" w:rsidR="00000000" w:rsidRDefault="00A173A8">
            <w:pPr>
              <w:spacing w:after="100"/>
              <w:rPr>
                <w:rFonts w:eastAsia="Times New Roman"/>
                <w:sz w:val="20"/>
                <w:szCs w:val="20"/>
              </w:rPr>
            </w:pPr>
          </w:p>
        </w:tc>
        <w:tc>
          <w:tcPr>
            <w:tcW w:w="0" w:type="auto"/>
            <w:gridSpan w:val="3"/>
            <w:vAlign w:val="center"/>
            <w:hideMark/>
          </w:tcPr>
          <w:p w14:paraId="6E66581C" w14:textId="77777777" w:rsidR="00000000" w:rsidRDefault="00A173A8">
            <w:pPr>
              <w:spacing w:after="100"/>
              <w:rPr>
                <w:rFonts w:eastAsia="Times New Roman"/>
                <w:sz w:val="20"/>
                <w:szCs w:val="20"/>
              </w:rPr>
            </w:pPr>
          </w:p>
        </w:tc>
        <w:tc>
          <w:tcPr>
            <w:tcW w:w="0" w:type="auto"/>
            <w:gridSpan w:val="3"/>
            <w:vAlign w:val="center"/>
            <w:hideMark/>
          </w:tcPr>
          <w:p w14:paraId="674F18D7" w14:textId="77777777" w:rsidR="00000000" w:rsidRDefault="00A173A8">
            <w:pPr>
              <w:spacing w:after="100"/>
              <w:rPr>
                <w:rFonts w:eastAsia="Times New Roman"/>
                <w:sz w:val="20"/>
                <w:szCs w:val="20"/>
              </w:rPr>
            </w:pPr>
          </w:p>
        </w:tc>
        <w:tc>
          <w:tcPr>
            <w:tcW w:w="0" w:type="auto"/>
            <w:gridSpan w:val="3"/>
            <w:vAlign w:val="center"/>
            <w:hideMark/>
          </w:tcPr>
          <w:p w14:paraId="6078D4E2" w14:textId="77777777" w:rsidR="00000000" w:rsidRDefault="00A173A8">
            <w:pPr>
              <w:spacing w:after="100"/>
              <w:rPr>
                <w:rFonts w:eastAsia="Times New Roman"/>
                <w:sz w:val="20"/>
                <w:szCs w:val="20"/>
              </w:rPr>
            </w:pPr>
          </w:p>
        </w:tc>
        <w:tc>
          <w:tcPr>
            <w:tcW w:w="0" w:type="auto"/>
            <w:gridSpan w:val="3"/>
            <w:vAlign w:val="center"/>
            <w:hideMark/>
          </w:tcPr>
          <w:p w14:paraId="168BC7B5" w14:textId="77777777" w:rsidR="00000000" w:rsidRDefault="00A173A8">
            <w:pPr>
              <w:spacing w:after="100"/>
              <w:rPr>
                <w:rFonts w:eastAsia="Times New Roman"/>
                <w:sz w:val="20"/>
                <w:szCs w:val="20"/>
              </w:rPr>
            </w:pPr>
          </w:p>
        </w:tc>
        <w:tc>
          <w:tcPr>
            <w:tcW w:w="0" w:type="auto"/>
            <w:gridSpan w:val="3"/>
            <w:vAlign w:val="center"/>
            <w:hideMark/>
          </w:tcPr>
          <w:p w14:paraId="0B7929EC" w14:textId="77777777" w:rsidR="00000000" w:rsidRDefault="00A173A8">
            <w:pPr>
              <w:spacing w:after="100"/>
              <w:rPr>
                <w:rFonts w:eastAsia="Times New Roman"/>
                <w:sz w:val="20"/>
                <w:szCs w:val="20"/>
              </w:rPr>
            </w:pPr>
          </w:p>
        </w:tc>
        <w:tc>
          <w:tcPr>
            <w:tcW w:w="0" w:type="auto"/>
            <w:gridSpan w:val="3"/>
            <w:vAlign w:val="center"/>
            <w:hideMark/>
          </w:tcPr>
          <w:p w14:paraId="4249FAEE" w14:textId="77777777" w:rsidR="00000000" w:rsidRDefault="00A173A8">
            <w:pPr>
              <w:spacing w:after="100"/>
              <w:rPr>
                <w:rFonts w:eastAsia="Times New Roman"/>
                <w:sz w:val="20"/>
                <w:szCs w:val="20"/>
              </w:rPr>
            </w:pPr>
          </w:p>
        </w:tc>
        <w:tc>
          <w:tcPr>
            <w:tcW w:w="0" w:type="auto"/>
            <w:gridSpan w:val="3"/>
            <w:vAlign w:val="center"/>
            <w:hideMark/>
          </w:tcPr>
          <w:p w14:paraId="2B2C5F25" w14:textId="77777777" w:rsidR="00000000" w:rsidRDefault="00A173A8">
            <w:pPr>
              <w:spacing w:after="100"/>
              <w:rPr>
                <w:rFonts w:eastAsia="Times New Roman"/>
                <w:sz w:val="20"/>
                <w:szCs w:val="20"/>
              </w:rPr>
            </w:pPr>
          </w:p>
        </w:tc>
      </w:tr>
    </w:tbl>
    <w:p w14:paraId="3042F76E" w14:textId="77777777" w:rsidR="00000000" w:rsidRDefault="00A173A8">
      <w:pPr>
        <w:jc w:val="both"/>
        <w:divId w:val="138052059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185"/>
        <w:gridCol w:w="39"/>
        <w:gridCol w:w="36"/>
        <w:gridCol w:w="36"/>
        <w:gridCol w:w="36"/>
        <w:gridCol w:w="100"/>
        <w:gridCol w:w="480"/>
        <w:gridCol w:w="36"/>
        <w:gridCol w:w="36"/>
        <w:gridCol w:w="36"/>
        <w:gridCol w:w="36"/>
        <w:gridCol w:w="101"/>
        <w:gridCol w:w="674"/>
        <w:gridCol w:w="36"/>
        <w:gridCol w:w="36"/>
        <w:gridCol w:w="36"/>
        <w:gridCol w:w="36"/>
        <w:gridCol w:w="100"/>
        <w:gridCol w:w="480"/>
        <w:gridCol w:w="36"/>
        <w:gridCol w:w="36"/>
        <w:gridCol w:w="36"/>
        <w:gridCol w:w="36"/>
        <w:gridCol w:w="100"/>
        <w:gridCol w:w="400"/>
        <w:gridCol w:w="36"/>
        <w:gridCol w:w="36"/>
        <w:gridCol w:w="36"/>
        <w:gridCol w:w="36"/>
        <w:gridCol w:w="101"/>
        <w:gridCol w:w="416"/>
        <w:gridCol w:w="36"/>
        <w:gridCol w:w="36"/>
        <w:gridCol w:w="36"/>
        <w:gridCol w:w="36"/>
        <w:gridCol w:w="101"/>
        <w:gridCol w:w="526"/>
        <w:gridCol w:w="36"/>
        <w:gridCol w:w="36"/>
        <w:gridCol w:w="36"/>
        <w:gridCol w:w="36"/>
        <w:gridCol w:w="101"/>
        <w:gridCol w:w="630"/>
        <w:gridCol w:w="36"/>
        <w:gridCol w:w="36"/>
        <w:gridCol w:w="36"/>
        <w:gridCol w:w="36"/>
        <w:gridCol w:w="100"/>
        <w:gridCol w:w="480"/>
        <w:gridCol w:w="36"/>
      </w:tblGrid>
      <w:tr w:rsidR="00000000" w14:paraId="41C186C8" w14:textId="77777777">
        <w:trPr>
          <w:divId w:val="1380520592"/>
        </w:trPr>
        <w:tc>
          <w:tcPr>
            <w:tcW w:w="50" w:type="pct"/>
            <w:vAlign w:val="center"/>
            <w:hideMark/>
          </w:tcPr>
          <w:p w14:paraId="141B0B09" w14:textId="77777777" w:rsidR="00000000" w:rsidRDefault="00A173A8">
            <w:pPr>
              <w:jc w:val="both"/>
              <w:rPr>
                <w:rFonts w:eastAsia="Times New Roman"/>
              </w:rPr>
            </w:pPr>
          </w:p>
        </w:tc>
        <w:tc>
          <w:tcPr>
            <w:tcW w:w="1911" w:type="pct"/>
            <w:vAlign w:val="center"/>
            <w:hideMark/>
          </w:tcPr>
          <w:p w14:paraId="6C83041A" w14:textId="77777777" w:rsidR="00000000" w:rsidRDefault="00A173A8">
            <w:pPr>
              <w:spacing w:after="100"/>
              <w:rPr>
                <w:rFonts w:eastAsia="Times New Roman"/>
                <w:sz w:val="20"/>
                <w:szCs w:val="20"/>
              </w:rPr>
            </w:pPr>
          </w:p>
        </w:tc>
        <w:tc>
          <w:tcPr>
            <w:tcW w:w="5" w:type="pct"/>
            <w:vAlign w:val="center"/>
            <w:hideMark/>
          </w:tcPr>
          <w:p w14:paraId="79413D3F" w14:textId="77777777" w:rsidR="00000000" w:rsidRDefault="00A173A8">
            <w:pPr>
              <w:spacing w:after="100"/>
              <w:rPr>
                <w:rFonts w:eastAsia="Times New Roman"/>
                <w:sz w:val="20"/>
                <w:szCs w:val="20"/>
              </w:rPr>
            </w:pPr>
          </w:p>
        </w:tc>
        <w:tc>
          <w:tcPr>
            <w:tcW w:w="5" w:type="pct"/>
            <w:vAlign w:val="center"/>
            <w:hideMark/>
          </w:tcPr>
          <w:p w14:paraId="56D797FD" w14:textId="77777777" w:rsidR="00000000" w:rsidRDefault="00A173A8">
            <w:pPr>
              <w:spacing w:after="100"/>
              <w:rPr>
                <w:rFonts w:eastAsia="Times New Roman"/>
                <w:sz w:val="20"/>
                <w:szCs w:val="20"/>
              </w:rPr>
            </w:pPr>
          </w:p>
        </w:tc>
        <w:tc>
          <w:tcPr>
            <w:tcW w:w="26" w:type="pct"/>
            <w:vAlign w:val="center"/>
            <w:hideMark/>
          </w:tcPr>
          <w:p w14:paraId="27EEB9BA" w14:textId="77777777" w:rsidR="00000000" w:rsidRDefault="00A173A8">
            <w:pPr>
              <w:spacing w:after="100"/>
              <w:rPr>
                <w:rFonts w:eastAsia="Times New Roman"/>
                <w:sz w:val="20"/>
                <w:szCs w:val="20"/>
              </w:rPr>
            </w:pPr>
          </w:p>
        </w:tc>
        <w:tc>
          <w:tcPr>
            <w:tcW w:w="5" w:type="pct"/>
            <w:vAlign w:val="center"/>
            <w:hideMark/>
          </w:tcPr>
          <w:p w14:paraId="0C57CEDE" w14:textId="77777777" w:rsidR="00000000" w:rsidRDefault="00A173A8">
            <w:pPr>
              <w:spacing w:after="100"/>
              <w:rPr>
                <w:rFonts w:eastAsia="Times New Roman"/>
                <w:sz w:val="20"/>
                <w:szCs w:val="20"/>
              </w:rPr>
            </w:pPr>
          </w:p>
        </w:tc>
        <w:tc>
          <w:tcPr>
            <w:tcW w:w="50" w:type="pct"/>
            <w:vAlign w:val="center"/>
            <w:hideMark/>
          </w:tcPr>
          <w:p w14:paraId="1FA7DA44" w14:textId="77777777" w:rsidR="00000000" w:rsidRDefault="00A173A8">
            <w:pPr>
              <w:spacing w:after="100"/>
              <w:rPr>
                <w:rFonts w:eastAsia="Times New Roman"/>
                <w:sz w:val="20"/>
                <w:szCs w:val="20"/>
              </w:rPr>
            </w:pPr>
          </w:p>
        </w:tc>
        <w:tc>
          <w:tcPr>
            <w:tcW w:w="266" w:type="pct"/>
            <w:vAlign w:val="center"/>
            <w:hideMark/>
          </w:tcPr>
          <w:p w14:paraId="056D1E5A" w14:textId="77777777" w:rsidR="00000000" w:rsidRDefault="00A173A8">
            <w:pPr>
              <w:spacing w:after="100"/>
              <w:rPr>
                <w:rFonts w:eastAsia="Times New Roman"/>
                <w:sz w:val="20"/>
                <w:szCs w:val="20"/>
              </w:rPr>
            </w:pPr>
          </w:p>
        </w:tc>
        <w:tc>
          <w:tcPr>
            <w:tcW w:w="5" w:type="pct"/>
            <w:vAlign w:val="center"/>
            <w:hideMark/>
          </w:tcPr>
          <w:p w14:paraId="46320649" w14:textId="77777777" w:rsidR="00000000" w:rsidRDefault="00A173A8">
            <w:pPr>
              <w:spacing w:after="100"/>
              <w:rPr>
                <w:rFonts w:eastAsia="Times New Roman"/>
                <w:sz w:val="20"/>
                <w:szCs w:val="20"/>
              </w:rPr>
            </w:pPr>
          </w:p>
        </w:tc>
        <w:tc>
          <w:tcPr>
            <w:tcW w:w="5" w:type="pct"/>
            <w:vAlign w:val="center"/>
            <w:hideMark/>
          </w:tcPr>
          <w:p w14:paraId="08280314" w14:textId="77777777" w:rsidR="00000000" w:rsidRDefault="00A173A8">
            <w:pPr>
              <w:spacing w:after="100"/>
              <w:rPr>
                <w:rFonts w:eastAsia="Times New Roman"/>
                <w:sz w:val="20"/>
                <w:szCs w:val="20"/>
              </w:rPr>
            </w:pPr>
          </w:p>
        </w:tc>
        <w:tc>
          <w:tcPr>
            <w:tcW w:w="26" w:type="pct"/>
            <w:vAlign w:val="center"/>
            <w:hideMark/>
          </w:tcPr>
          <w:p w14:paraId="020AC09B" w14:textId="77777777" w:rsidR="00000000" w:rsidRDefault="00A173A8">
            <w:pPr>
              <w:spacing w:after="100"/>
              <w:rPr>
                <w:rFonts w:eastAsia="Times New Roman"/>
                <w:sz w:val="20"/>
                <w:szCs w:val="20"/>
              </w:rPr>
            </w:pPr>
          </w:p>
        </w:tc>
        <w:tc>
          <w:tcPr>
            <w:tcW w:w="5" w:type="pct"/>
            <w:vAlign w:val="center"/>
            <w:hideMark/>
          </w:tcPr>
          <w:p w14:paraId="718B9F78" w14:textId="77777777" w:rsidR="00000000" w:rsidRDefault="00A173A8">
            <w:pPr>
              <w:spacing w:after="100"/>
              <w:rPr>
                <w:rFonts w:eastAsia="Times New Roman"/>
                <w:sz w:val="20"/>
                <w:szCs w:val="20"/>
              </w:rPr>
            </w:pPr>
          </w:p>
        </w:tc>
        <w:tc>
          <w:tcPr>
            <w:tcW w:w="50" w:type="pct"/>
            <w:vAlign w:val="center"/>
            <w:hideMark/>
          </w:tcPr>
          <w:p w14:paraId="1471C266" w14:textId="77777777" w:rsidR="00000000" w:rsidRDefault="00A173A8">
            <w:pPr>
              <w:spacing w:after="100"/>
              <w:rPr>
                <w:rFonts w:eastAsia="Times New Roman"/>
                <w:sz w:val="20"/>
                <w:szCs w:val="20"/>
              </w:rPr>
            </w:pPr>
          </w:p>
        </w:tc>
        <w:tc>
          <w:tcPr>
            <w:tcW w:w="361" w:type="pct"/>
            <w:vAlign w:val="center"/>
            <w:hideMark/>
          </w:tcPr>
          <w:p w14:paraId="6B3B7A93" w14:textId="77777777" w:rsidR="00000000" w:rsidRDefault="00A173A8">
            <w:pPr>
              <w:spacing w:after="100"/>
              <w:rPr>
                <w:rFonts w:eastAsia="Times New Roman"/>
                <w:sz w:val="20"/>
                <w:szCs w:val="20"/>
              </w:rPr>
            </w:pPr>
          </w:p>
        </w:tc>
        <w:tc>
          <w:tcPr>
            <w:tcW w:w="5" w:type="pct"/>
            <w:vAlign w:val="center"/>
            <w:hideMark/>
          </w:tcPr>
          <w:p w14:paraId="63DA4A18" w14:textId="77777777" w:rsidR="00000000" w:rsidRDefault="00A173A8">
            <w:pPr>
              <w:spacing w:after="100"/>
              <w:rPr>
                <w:rFonts w:eastAsia="Times New Roman"/>
                <w:sz w:val="20"/>
                <w:szCs w:val="20"/>
              </w:rPr>
            </w:pPr>
          </w:p>
        </w:tc>
        <w:tc>
          <w:tcPr>
            <w:tcW w:w="5" w:type="pct"/>
            <w:vAlign w:val="center"/>
            <w:hideMark/>
          </w:tcPr>
          <w:p w14:paraId="48595BC0" w14:textId="77777777" w:rsidR="00000000" w:rsidRDefault="00A173A8">
            <w:pPr>
              <w:spacing w:after="100"/>
              <w:rPr>
                <w:rFonts w:eastAsia="Times New Roman"/>
                <w:sz w:val="20"/>
                <w:szCs w:val="20"/>
              </w:rPr>
            </w:pPr>
          </w:p>
        </w:tc>
        <w:tc>
          <w:tcPr>
            <w:tcW w:w="26" w:type="pct"/>
            <w:vAlign w:val="center"/>
            <w:hideMark/>
          </w:tcPr>
          <w:p w14:paraId="2721B735" w14:textId="77777777" w:rsidR="00000000" w:rsidRDefault="00A173A8">
            <w:pPr>
              <w:spacing w:after="100"/>
              <w:rPr>
                <w:rFonts w:eastAsia="Times New Roman"/>
                <w:sz w:val="20"/>
                <w:szCs w:val="20"/>
              </w:rPr>
            </w:pPr>
          </w:p>
        </w:tc>
        <w:tc>
          <w:tcPr>
            <w:tcW w:w="5" w:type="pct"/>
            <w:vAlign w:val="center"/>
            <w:hideMark/>
          </w:tcPr>
          <w:p w14:paraId="537E39A7" w14:textId="77777777" w:rsidR="00000000" w:rsidRDefault="00A173A8">
            <w:pPr>
              <w:spacing w:after="100"/>
              <w:rPr>
                <w:rFonts w:eastAsia="Times New Roman"/>
                <w:sz w:val="20"/>
                <w:szCs w:val="20"/>
              </w:rPr>
            </w:pPr>
          </w:p>
        </w:tc>
        <w:tc>
          <w:tcPr>
            <w:tcW w:w="50" w:type="pct"/>
            <w:vAlign w:val="center"/>
            <w:hideMark/>
          </w:tcPr>
          <w:p w14:paraId="2C76ADDC" w14:textId="77777777" w:rsidR="00000000" w:rsidRDefault="00A173A8">
            <w:pPr>
              <w:spacing w:after="100"/>
              <w:rPr>
                <w:rFonts w:eastAsia="Times New Roman"/>
                <w:sz w:val="20"/>
                <w:szCs w:val="20"/>
              </w:rPr>
            </w:pPr>
          </w:p>
        </w:tc>
        <w:tc>
          <w:tcPr>
            <w:tcW w:w="281" w:type="pct"/>
            <w:vAlign w:val="center"/>
            <w:hideMark/>
          </w:tcPr>
          <w:p w14:paraId="5FF8A3DE" w14:textId="77777777" w:rsidR="00000000" w:rsidRDefault="00A173A8">
            <w:pPr>
              <w:spacing w:after="100"/>
              <w:rPr>
                <w:rFonts w:eastAsia="Times New Roman"/>
                <w:sz w:val="20"/>
                <w:szCs w:val="20"/>
              </w:rPr>
            </w:pPr>
          </w:p>
        </w:tc>
        <w:tc>
          <w:tcPr>
            <w:tcW w:w="5" w:type="pct"/>
            <w:vAlign w:val="center"/>
            <w:hideMark/>
          </w:tcPr>
          <w:p w14:paraId="60B35868" w14:textId="77777777" w:rsidR="00000000" w:rsidRDefault="00A173A8">
            <w:pPr>
              <w:spacing w:after="100"/>
              <w:rPr>
                <w:rFonts w:eastAsia="Times New Roman"/>
                <w:sz w:val="20"/>
                <w:szCs w:val="20"/>
              </w:rPr>
            </w:pPr>
          </w:p>
        </w:tc>
        <w:tc>
          <w:tcPr>
            <w:tcW w:w="5" w:type="pct"/>
            <w:vAlign w:val="center"/>
            <w:hideMark/>
          </w:tcPr>
          <w:p w14:paraId="5B538909" w14:textId="77777777" w:rsidR="00000000" w:rsidRDefault="00A173A8">
            <w:pPr>
              <w:spacing w:after="100"/>
              <w:rPr>
                <w:rFonts w:eastAsia="Times New Roman"/>
                <w:sz w:val="20"/>
                <w:szCs w:val="20"/>
              </w:rPr>
            </w:pPr>
          </w:p>
        </w:tc>
        <w:tc>
          <w:tcPr>
            <w:tcW w:w="26" w:type="pct"/>
            <w:vAlign w:val="center"/>
            <w:hideMark/>
          </w:tcPr>
          <w:p w14:paraId="2EBD16C1" w14:textId="77777777" w:rsidR="00000000" w:rsidRDefault="00A173A8">
            <w:pPr>
              <w:spacing w:after="100"/>
              <w:rPr>
                <w:rFonts w:eastAsia="Times New Roman"/>
                <w:sz w:val="20"/>
                <w:szCs w:val="20"/>
              </w:rPr>
            </w:pPr>
          </w:p>
        </w:tc>
        <w:tc>
          <w:tcPr>
            <w:tcW w:w="5" w:type="pct"/>
            <w:vAlign w:val="center"/>
            <w:hideMark/>
          </w:tcPr>
          <w:p w14:paraId="271EC6F4" w14:textId="77777777" w:rsidR="00000000" w:rsidRDefault="00A173A8">
            <w:pPr>
              <w:spacing w:after="100"/>
              <w:rPr>
                <w:rFonts w:eastAsia="Times New Roman"/>
                <w:sz w:val="20"/>
                <w:szCs w:val="20"/>
              </w:rPr>
            </w:pPr>
          </w:p>
        </w:tc>
        <w:tc>
          <w:tcPr>
            <w:tcW w:w="50" w:type="pct"/>
            <w:vAlign w:val="center"/>
            <w:hideMark/>
          </w:tcPr>
          <w:p w14:paraId="62C33423" w14:textId="77777777" w:rsidR="00000000" w:rsidRDefault="00A173A8">
            <w:pPr>
              <w:spacing w:after="100"/>
              <w:rPr>
                <w:rFonts w:eastAsia="Times New Roman"/>
                <w:sz w:val="20"/>
                <w:szCs w:val="20"/>
              </w:rPr>
            </w:pPr>
          </w:p>
        </w:tc>
        <w:tc>
          <w:tcPr>
            <w:tcW w:w="215" w:type="pct"/>
            <w:vAlign w:val="center"/>
            <w:hideMark/>
          </w:tcPr>
          <w:p w14:paraId="75B41713" w14:textId="77777777" w:rsidR="00000000" w:rsidRDefault="00A173A8">
            <w:pPr>
              <w:spacing w:after="100"/>
              <w:rPr>
                <w:rFonts w:eastAsia="Times New Roman"/>
                <w:sz w:val="20"/>
                <w:szCs w:val="20"/>
              </w:rPr>
            </w:pPr>
          </w:p>
        </w:tc>
        <w:tc>
          <w:tcPr>
            <w:tcW w:w="5" w:type="pct"/>
            <w:vAlign w:val="center"/>
            <w:hideMark/>
          </w:tcPr>
          <w:p w14:paraId="18E6377B" w14:textId="77777777" w:rsidR="00000000" w:rsidRDefault="00A173A8">
            <w:pPr>
              <w:spacing w:after="100"/>
              <w:rPr>
                <w:rFonts w:eastAsia="Times New Roman"/>
                <w:sz w:val="20"/>
                <w:szCs w:val="20"/>
              </w:rPr>
            </w:pPr>
          </w:p>
        </w:tc>
        <w:tc>
          <w:tcPr>
            <w:tcW w:w="5" w:type="pct"/>
            <w:vAlign w:val="center"/>
            <w:hideMark/>
          </w:tcPr>
          <w:p w14:paraId="52EB1BA9" w14:textId="77777777" w:rsidR="00000000" w:rsidRDefault="00A173A8">
            <w:pPr>
              <w:spacing w:after="100"/>
              <w:rPr>
                <w:rFonts w:eastAsia="Times New Roman"/>
                <w:sz w:val="20"/>
                <w:szCs w:val="20"/>
              </w:rPr>
            </w:pPr>
          </w:p>
        </w:tc>
        <w:tc>
          <w:tcPr>
            <w:tcW w:w="26" w:type="pct"/>
            <w:vAlign w:val="center"/>
            <w:hideMark/>
          </w:tcPr>
          <w:p w14:paraId="20910228" w14:textId="77777777" w:rsidR="00000000" w:rsidRDefault="00A173A8">
            <w:pPr>
              <w:spacing w:after="100"/>
              <w:rPr>
                <w:rFonts w:eastAsia="Times New Roman"/>
                <w:sz w:val="20"/>
                <w:szCs w:val="20"/>
              </w:rPr>
            </w:pPr>
          </w:p>
        </w:tc>
        <w:tc>
          <w:tcPr>
            <w:tcW w:w="5" w:type="pct"/>
            <w:vAlign w:val="center"/>
            <w:hideMark/>
          </w:tcPr>
          <w:p w14:paraId="760C7140" w14:textId="77777777" w:rsidR="00000000" w:rsidRDefault="00A173A8">
            <w:pPr>
              <w:spacing w:after="100"/>
              <w:rPr>
                <w:rFonts w:eastAsia="Times New Roman"/>
                <w:sz w:val="20"/>
                <w:szCs w:val="20"/>
              </w:rPr>
            </w:pPr>
          </w:p>
        </w:tc>
        <w:tc>
          <w:tcPr>
            <w:tcW w:w="50" w:type="pct"/>
            <w:vAlign w:val="center"/>
            <w:hideMark/>
          </w:tcPr>
          <w:p w14:paraId="56619158" w14:textId="77777777" w:rsidR="00000000" w:rsidRDefault="00A173A8">
            <w:pPr>
              <w:spacing w:after="100"/>
              <w:rPr>
                <w:rFonts w:eastAsia="Times New Roman"/>
                <w:sz w:val="20"/>
                <w:szCs w:val="20"/>
              </w:rPr>
            </w:pPr>
          </w:p>
        </w:tc>
        <w:tc>
          <w:tcPr>
            <w:tcW w:w="244" w:type="pct"/>
            <w:vAlign w:val="center"/>
            <w:hideMark/>
          </w:tcPr>
          <w:p w14:paraId="7811C8CA" w14:textId="77777777" w:rsidR="00000000" w:rsidRDefault="00A173A8">
            <w:pPr>
              <w:spacing w:after="100"/>
              <w:rPr>
                <w:rFonts w:eastAsia="Times New Roman"/>
                <w:sz w:val="20"/>
                <w:szCs w:val="20"/>
              </w:rPr>
            </w:pPr>
          </w:p>
        </w:tc>
        <w:tc>
          <w:tcPr>
            <w:tcW w:w="5" w:type="pct"/>
            <w:vAlign w:val="center"/>
            <w:hideMark/>
          </w:tcPr>
          <w:p w14:paraId="5D50D5D5" w14:textId="77777777" w:rsidR="00000000" w:rsidRDefault="00A173A8">
            <w:pPr>
              <w:spacing w:after="100"/>
              <w:rPr>
                <w:rFonts w:eastAsia="Times New Roman"/>
                <w:sz w:val="20"/>
                <w:szCs w:val="20"/>
              </w:rPr>
            </w:pPr>
          </w:p>
        </w:tc>
        <w:tc>
          <w:tcPr>
            <w:tcW w:w="5" w:type="pct"/>
            <w:vAlign w:val="center"/>
            <w:hideMark/>
          </w:tcPr>
          <w:p w14:paraId="01282E50" w14:textId="77777777" w:rsidR="00000000" w:rsidRDefault="00A173A8">
            <w:pPr>
              <w:spacing w:after="100"/>
              <w:rPr>
                <w:rFonts w:eastAsia="Times New Roman"/>
                <w:sz w:val="20"/>
                <w:szCs w:val="20"/>
              </w:rPr>
            </w:pPr>
          </w:p>
        </w:tc>
        <w:tc>
          <w:tcPr>
            <w:tcW w:w="26" w:type="pct"/>
            <w:vAlign w:val="center"/>
            <w:hideMark/>
          </w:tcPr>
          <w:p w14:paraId="7D85760C" w14:textId="77777777" w:rsidR="00000000" w:rsidRDefault="00A173A8">
            <w:pPr>
              <w:spacing w:after="100"/>
              <w:rPr>
                <w:rFonts w:eastAsia="Times New Roman"/>
                <w:sz w:val="20"/>
                <w:szCs w:val="20"/>
              </w:rPr>
            </w:pPr>
          </w:p>
        </w:tc>
        <w:tc>
          <w:tcPr>
            <w:tcW w:w="5" w:type="pct"/>
            <w:vAlign w:val="center"/>
            <w:hideMark/>
          </w:tcPr>
          <w:p w14:paraId="040E930A" w14:textId="77777777" w:rsidR="00000000" w:rsidRDefault="00A173A8">
            <w:pPr>
              <w:spacing w:after="100"/>
              <w:rPr>
                <w:rFonts w:eastAsia="Times New Roman"/>
                <w:sz w:val="20"/>
                <w:szCs w:val="20"/>
              </w:rPr>
            </w:pPr>
          </w:p>
        </w:tc>
        <w:tc>
          <w:tcPr>
            <w:tcW w:w="50" w:type="pct"/>
            <w:vAlign w:val="center"/>
            <w:hideMark/>
          </w:tcPr>
          <w:p w14:paraId="3E2B9C35" w14:textId="77777777" w:rsidR="00000000" w:rsidRDefault="00A173A8">
            <w:pPr>
              <w:spacing w:after="100"/>
              <w:rPr>
                <w:rFonts w:eastAsia="Times New Roman"/>
                <w:sz w:val="20"/>
                <w:szCs w:val="20"/>
              </w:rPr>
            </w:pPr>
          </w:p>
        </w:tc>
        <w:tc>
          <w:tcPr>
            <w:tcW w:w="317" w:type="pct"/>
            <w:vAlign w:val="center"/>
            <w:hideMark/>
          </w:tcPr>
          <w:p w14:paraId="2A147239" w14:textId="77777777" w:rsidR="00000000" w:rsidRDefault="00A173A8">
            <w:pPr>
              <w:spacing w:after="100"/>
              <w:rPr>
                <w:rFonts w:eastAsia="Times New Roman"/>
                <w:sz w:val="20"/>
                <w:szCs w:val="20"/>
              </w:rPr>
            </w:pPr>
          </w:p>
        </w:tc>
        <w:tc>
          <w:tcPr>
            <w:tcW w:w="5" w:type="pct"/>
            <w:vAlign w:val="center"/>
            <w:hideMark/>
          </w:tcPr>
          <w:p w14:paraId="6D6ECDCB" w14:textId="77777777" w:rsidR="00000000" w:rsidRDefault="00A173A8">
            <w:pPr>
              <w:spacing w:after="100"/>
              <w:rPr>
                <w:rFonts w:eastAsia="Times New Roman"/>
                <w:sz w:val="20"/>
                <w:szCs w:val="20"/>
              </w:rPr>
            </w:pPr>
          </w:p>
        </w:tc>
        <w:tc>
          <w:tcPr>
            <w:tcW w:w="5" w:type="pct"/>
            <w:vAlign w:val="center"/>
            <w:hideMark/>
          </w:tcPr>
          <w:p w14:paraId="4ED9E3D3" w14:textId="77777777" w:rsidR="00000000" w:rsidRDefault="00A173A8">
            <w:pPr>
              <w:spacing w:after="100"/>
              <w:rPr>
                <w:rFonts w:eastAsia="Times New Roman"/>
                <w:sz w:val="20"/>
                <w:szCs w:val="20"/>
              </w:rPr>
            </w:pPr>
          </w:p>
        </w:tc>
        <w:tc>
          <w:tcPr>
            <w:tcW w:w="26" w:type="pct"/>
            <w:vAlign w:val="center"/>
            <w:hideMark/>
          </w:tcPr>
          <w:p w14:paraId="1805F1E4" w14:textId="77777777" w:rsidR="00000000" w:rsidRDefault="00A173A8">
            <w:pPr>
              <w:spacing w:after="100"/>
              <w:rPr>
                <w:rFonts w:eastAsia="Times New Roman"/>
                <w:sz w:val="20"/>
                <w:szCs w:val="20"/>
              </w:rPr>
            </w:pPr>
          </w:p>
        </w:tc>
        <w:tc>
          <w:tcPr>
            <w:tcW w:w="5" w:type="pct"/>
            <w:vAlign w:val="center"/>
            <w:hideMark/>
          </w:tcPr>
          <w:p w14:paraId="371D824F" w14:textId="77777777" w:rsidR="00000000" w:rsidRDefault="00A173A8">
            <w:pPr>
              <w:spacing w:after="100"/>
              <w:rPr>
                <w:rFonts w:eastAsia="Times New Roman"/>
                <w:sz w:val="20"/>
                <w:szCs w:val="20"/>
              </w:rPr>
            </w:pPr>
          </w:p>
        </w:tc>
        <w:tc>
          <w:tcPr>
            <w:tcW w:w="50" w:type="pct"/>
            <w:vAlign w:val="center"/>
            <w:hideMark/>
          </w:tcPr>
          <w:p w14:paraId="021CD94F" w14:textId="77777777" w:rsidR="00000000" w:rsidRDefault="00A173A8">
            <w:pPr>
              <w:spacing w:after="100"/>
              <w:rPr>
                <w:rFonts w:eastAsia="Times New Roman"/>
                <w:sz w:val="20"/>
                <w:szCs w:val="20"/>
              </w:rPr>
            </w:pPr>
          </w:p>
        </w:tc>
        <w:tc>
          <w:tcPr>
            <w:tcW w:w="361" w:type="pct"/>
            <w:vAlign w:val="center"/>
            <w:hideMark/>
          </w:tcPr>
          <w:p w14:paraId="27C95F8D" w14:textId="77777777" w:rsidR="00000000" w:rsidRDefault="00A173A8">
            <w:pPr>
              <w:spacing w:after="100"/>
              <w:rPr>
                <w:rFonts w:eastAsia="Times New Roman"/>
                <w:sz w:val="20"/>
                <w:szCs w:val="20"/>
              </w:rPr>
            </w:pPr>
          </w:p>
        </w:tc>
        <w:tc>
          <w:tcPr>
            <w:tcW w:w="5" w:type="pct"/>
            <w:vAlign w:val="center"/>
            <w:hideMark/>
          </w:tcPr>
          <w:p w14:paraId="7363725F" w14:textId="77777777" w:rsidR="00000000" w:rsidRDefault="00A173A8">
            <w:pPr>
              <w:spacing w:after="100"/>
              <w:rPr>
                <w:rFonts w:eastAsia="Times New Roman"/>
                <w:sz w:val="20"/>
                <w:szCs w:val="20"/>
              </w:rPr>
            </w:pPr>
          </w:p>
        </w:tc>
        <w:tc>
          <w:tcPr>
            <w:tcW w:w="5" w:type="pct"/>
            <w:vAlign w:val="center"/>
            <w:hideMark/>
          </w:tcPr>
          <w:p w14:paraId="4927A8A9" w14:textId="77777777" w:rsidR="00000000" w:rsidRDefault="00A173A8">
            <w:pPr>
              <w:spacing w:after="100"/>
              <w:rPr>
                <w:rFonts w:eastAsia="Times New Roman"/>
                <w:sz w:val="20"/>
                <w:szCs w:val="20"/>
              </w:rPr>
            </w:pPr>
          </w:p>
        </w:tc>
        <w:tc>
          <w:tcPr>
            <w:tcW w:w="26" w:type="pct"/>
            <w:vAlign w:val="center"/>
            <w:hideMark/>
          </w:tcPr>
          <w:p w14:paraId="117E48DE" w14:textId="77777777" w:rsidR="00000000" w:rsidRDefault="00A173A8">
            <w:pPr>
              <w:spacing w:after="100"/>
              <w:rPr>
                <w:rFonts w:eastAsia="Times New Roman"/>
                <w:sz w:val="20"/>
                <w:szCs w:val="20"/>
              </w:rPr>
            </w:pPr>
          </w:p>
        </w:tc>
        <w:tc>
          <w:tcPr>
            <w:tcW w:w="5" w:type="pct"/>
            <w:vAlign w:val="center"/>
            <w:hideMark/>
          </w:tcPr>
          <w:p w14:paraId="34BE2E96" w14:textId="77777777" w:rsidR="00000000" w:rsidRDefault="00A173A8">
            <w:pPr>
              <w:spacing w:after="100"/>
              <w:rPr>
                <w:rFonts w:eastAsia="Times New Roman"/>
                <w:sz w:val="20"/>
                <w:szCs w:val="20"/>
              </w:rPr>
            </w:pPr>
          </w:p>
        </w:tc>
        <w:tc>
          <w:tcPr>
            <w:tcW w:w="50" w:type="pct"/>
            <w:vAlign w:val="center"/>
            <w:hideMark/>
          </w:tcPr>
          <w:p w14:paraId="7F0E0455" w14:textId="77777777" w:rsidR="00000000" w:rsidRDefault="00A173A8">
            <w:pPr>
              <w:spacing w:after="100"/>
              <w:rPr>
                <w:rFonts w:eastAsia="Times New Roman"/>
                <w:sz w:val="20"/>
                <w:szCs w:val="20"/>
              </w:rPr>
            </w:pPr>
          </w:p>
        </w:tc>
        <w:tc>
          <w:tcPr>
            <w:tcW w:w="252" w:type="pct"/>
            <w:vAlign w:val="center"/>
            <w:hideMark/>
          </w:tcPr>
          <w:p w14:paraId="57C93AE5" w14:textId="77777777" w:rsidR="00000000" w:rsidRDefault="00A173A8">
            <w:pPr>
              <w:spacing w:after="100"/>
              <w:rPr>
                <w:rFonts w:eastAsia="Times New Roman"/>
                <w:sz w:val="20"/>
                <w:szCs w:val="20"/>
              </w:rPr>
            </w:pPr>
          </w:p>
        </w:tc>
        <w:tc>
          <w:tcPr>
            <w:tcW w:w="5" w:type="pct"/>
            <w:vAlign w:val="center"/>
            <w:hideMark/>
          </w:tcPr>
          <w:p w14:paraId="5DE55382" w14:textId="77777777" w:rsidR="00000000" w:rsidRDefault="00A173A8">
            <w:pPr>
              <w:spacing w:after="100"/>
              <w:rPr>
                <w:rFonts w:eastAsia="Times New Roman"/>
                <w:sz w:val="20"/>
                <w:szCs w:val="20"/>
              </w:rPr>
            </w:pPr>
          </w:p>
        </w:tc>
      </w:tr>
      <w:tr w:rsidR="00000000" w14:paraId="7EADBD57" w14:textId="77777777">
        <w:trPr>
          <w:divId w:val="1380520592"/>
        </w:trPr>
        <w:tc>
          <w:tcPr>
            <w:tcW w:w="0" w:type="auto"/>
            <w:gridSpan w:val="3"/>
            <w:tcMar>
              <w:top w:w="0" w:type="dxa"/>
              <w:left w:w="20" w:type="dxa"/>
              <w:bottom w:w="0" w:type="dxa"/>
              <w:right w:w="20" w:type="dxa"/>
            </w:tcMar>
            <w:vAlign w:val="center"/>
            <w:hideMark/>
          </w:tcPr>
          <w:p w14:paraId="385C775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5BA996" w14:textId="77777777" w:rsidR="00000000" w:rsidRDefault="00A173A8">
            <w:pPr>
              <w:spacing w:after="100"/>
              <w:rPr>
                <w:rFonts w:eastAsia="Times New Roman"/>
                <w:sz w:val="20"/>
                <w:szCs w:val="20"/>
              </w:rPr>
            </w:pPr>
          </w:p>
        </w:tc>
        <w:tc>
          <w:tcPr>
            <w:tcW w:w="0" w:type="auto"/>
            <w:gridSpan w:val="45"/>
            <w:tcMar>
              <w:top w:w="30" w:type="dxa"/>
              <w:left w:w="20" w:type="dxa"/>
              <w:bottom w:w="30" w:type="dxa"/>
              <w:right w:w="20" w:type="dxa"/>
            </w:tcMar>
            <w:vAlign w:val="center"/>
            <w:hideMark/>
          </w:tcPr>
          <w:p w14:paraId="2D85BCEE" w14:textId="77777777" w:rsidR="00000000" w:rsidRDefault="00A173A8">
            <w:pPr>
              <w:spacing w:after="100"/>
              <w:jc w:val="center"/>
              <w:rPr>
                <w:rFonts w:eastAsia="Times New Roman"/>
              </w:rPr>
            </w:pPr>
            <w:r>
              <w:rPr>
                <w:rFonts w:eastAsia="Times New Roman"/>
                <w:b/>
                <w:bCs/>
                <w:color w:val="000000"/>
                <w:sz w:val="13"/>
                <w:szCs w:val="13"/>
              </w:rPr>
              <w:t>Six Months Ended June 30, 2021</w:t>
            </w:r>
          </w:p>
        </w:tc>
      </w:tr>
      <w:tr w:rsidR="00000000" w14:paraId="61FFA088" w14:textId="77777777">
        <w:trPr>
          <w:divId w:val="1380520592"/>
        </w:trPr>
        <w:tc>
          <w:tcPr>
            <w:tcW w:w="0" w:type="auto"/>
            <w:gridSpan w:val="3"/>
            <w:tcMar>
              <w:top w:w="0" w:type="dxa"/>
              <w:left w:w="20" w:type="dxa"/>
              <w:bottom w:w="0" w:type="dxa"/>
              <w:right w:w="20" w:type="dxa"/>
            </w:tcMar>
            <w:vAlign w:val="center"/>
            <w:hideMark/>
          </w:tcPr>
          <w:p w14:paraId="6A45AC5D"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DF24C12" w14:textId="77777777" w:rsidR="00000000" w:rsidRDefault="00A173A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235D11AD" w14:textId="77777777" w:rsidR="00000000" w:rsidRDefault="00A173A8">
            <w:pPr>
              <w:spacing w:after="100"/>
              <w:jc w:val="center"/>
              <w:rPr>
                <w:rFonts w:eastAsia="Times New Roman"/>
              </w:rPr>
            </w:pPr>
            <w:r>
              <w:rPr>
                <w:rFonts w:eastAsia="Times New Roman"/>
                <w:b/>
                <w:bCs/>
                <w:color w:val="000000"/>
                <w:sz w:val="13"/>
                <w:szCs w:val="13"/>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447BEA19"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60D08929" w14:textId="77777777" w:rsidR="00000000" w:rsidRDefault="00A173A8">
            <w:pPr>
              <w:spacing w:after="100"/>
              <w:jc w:val="center"/>
              <w:rPr>
                <w:rFonts w:eastAsia="Times New Roman"/>
              </w:rPr>
            </w:pPr>
            <w:r>
              <w:rPr>
                <w:rFonts w:eastAsia="Times New Roman"/>
                <w:b/>
                <w:bCs/>
                <w:color w:val="000000"/>
                <w:sz w:val="13"/>
                <w:szCs w:val="13"/>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B2AE00F"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6E26415"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6266227"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905AFE" w14:textId="77777777" w:rsidR="00000000" w:rsidRDefault="00A173A8">
            <w:pPr>
              <w:spacing w:after="100"/>
              <w:rPr>
                <w:rFonts w:eastAsia="Times New Roman"/>
                <w:sz w:val="20"/>
                <w:szCs w:val="20"/>
              </w:rPr>
            </w:pPr>
          </w:p>
        </w:tc>
      </w:tr>
      <w:tr w:rsidR="00000000" w14:paraId="0565820E" w14:textId="77777777">
        <w:trPr>
          <w:divId w:val="1380520592"/>
        </w:trPr>
        <w:tc>
          <w:tcPr>
            <w:tcW w:w="0" w:type="auto"/>
            <w:gridSpan w:val="3"/>
            <w:tcMar>
              <w:top w:w="30" w:type="dxa"/>
              <w:left w:w="20" w:type="dxa"/>
              <w:bottom w:w="30" w:type="dxa"/>
              <w:right w:w="20" w:type="dxa"/>
            </w:tcMar>
            <w:vAlign w:val="bottom"/>
            <w:hideMark/>
          </w:tcPr>
          <w:p w14:paraId="26BE6E94" w14:textId="77777777" w:rsidR="00000000" w:rsidRDefault="00A173A8">
            <w:pPr>
              <w:spacing w:after="100"/>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14:paraId="72A4F031"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9F6C21" w14:textId="77777777" w:rsidR="00000000" w:rsidRDefault="00A173A8">
            <w:pPr>
              <w:spacing w:after="100"/>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14:paraId="4B04103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EF1333" w14:textId="77777777" w:rsidR="00000000" w:rsidRDefault="00A173A8">
            <w:pPr>
              <w:spacing w:after="100"/>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14:paraId="6FC08A1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7E1986" w14:textId="77777777" w:rsidR="00000000" w:rsidRDefault="00A173A8">
            <w:pPr>
              <w:spacing w:after="100"/>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14:paraId="28A6180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F5738F" w14:textId="77777777" w:rsidR="00000000" w:rsidRDefault="00A173A8">
            <w:pPr>
              <w:spacing w:after="100"/>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14:paraId="115ED75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780CC1" w14:textId="77777777" w:rsidR="00000000" w:rsidRDefault="00A173A8">
            <w:pPr>
              <w:spacing w:after="100"/>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14:paraId="5E8E346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7C7F94" w14:textId="77777777" w:rsidR="00000000" w:rsidRDefault="00A173A8">
            <w:pPr>
              <w:spacing w:after="100"/>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14:paraId="1336FA6E"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320123" w14:textId="77777777" w:rsidR="00000000" w:rsidRDefault="00A173A8">
            <w:pPr>
              <w:spacing w:after="100"/>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14:paraId="7C6277E0"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9DB63F" w14:textId="77777777" w:rsidR="00000000" w:rsidRDefault="00A173A8">
            <w:pPr>
              <w:spacing w:after="100"/>
              <w:jc w:val="center"/>
              <w:rPr>
                <w:rFonts w:eastAsia="Times New Roman"/>
              </w:rPr>
            </w:pPr>
            <w:r>
              <w:rPr>
                <w:rFonts w:eastAsia="Times New Roman"/>
                <w:b/>
                <w:bCs/>
                <w:color w:val="000000"/>
                <w:sz w:val="13"/>
                <w:szCs w:val="13"/>
              </w:rPr>
              <w:t>Total</w:t>
            </w:r>
          </w:p>
        </w:tc>
      </w:tr>
      <w:tr w:rsidR="00000000" w14:paraId="549879F6" w14:textId="77777777">
        <w:trPr>
          <w:divId w:val="138052059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3B0D88" w14:textId="77777777" w:rsidR="00000000" w:rsidRDefault="00A173A8">
            <w:pPr>
              <w:spacing w:after="100"/>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14:paraId="4E82E7F5"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097BC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DDFF4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96D79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D9169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457AA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7FF91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82E02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DF513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3B017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B440A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21C56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9FBBB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F1428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9145B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2BC104" w14:textId="77777777" w:rsidR="00000000" w:rsidRDefault="00A173A8">
            <w:pPr>
              <w:spacing w:after="100"/>
              <w:rPr>
                <w:rFonts w:eastAsia="Times New Roman"/>
                <w:sz w:val="20"/>
                <w:szCs w:val="20"/>
              </w:rPr>
            </w:pPr>
          </w:p>
        </w:tc>
      </w:tr>
      <w:tr w:rsidR="00A173A8" w14:paraId="2D47FC9F" w14:textId="77777777">
        <w:trPr>
          <w:divId w:val="1380520592"/>
        </w:trPr>
        <w:tc>
          <w:tcPr>
            <w:tcW w:w="0" w:type="auto"/>
            <w:gridSpan w:val="3"/>
            <w:shd w:val="clear" w:color="auto" w:fill="FFFFFF"/>
            <w:tcMar>
              <w:top w:w="30" w:type="dxa"/>
              <w:left w:w="20" w:type="dxa"/>
              <w:bottom w:w="30" w:type="dxa"/>
              <w:right w:w="20" w:type="dxa"/>
            </w:tcMar>
            <w:vAlign w:val="bottom"/>
            <w:hideMark/>
          </w:tcPr>
          <w:p w14:paraId="788BC574" w14:textId="77777777" w:rsidR="00000000" w:rsidRDefault="00A173A8">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FFFFFF"/>
            <w:tcMar>
              <w:top w:w="0" w:type="dxa"/>
              <w:left w:w="20" w:type="dxa"/>
              <w:bottom w:w="0" w:type="dxa"/>
              <w:right w:w="20" w:type="dxa"/>
            </w:tcMar>
            <w:vAlign w:val="center"/>
            <w:hideMark/>
          </w:tcPr>
          <w:p w14:paraId="2522F358"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8DE48B7"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129874D7" w14:textId="77777777" w:rsidR="00000000" w:rsidRDefault="00A173A8">
            <w:pPr>
              <w:spacing w:after="100"/>
              <w:jc w:val="right"/>
              <w:rPr>
                <w:rFonts w:eastAsia="Times New Roman"/>
              </w:rPr>
            </w:pPr>
            <w:r>
              <w:rPr>
                <w:rFonts w:eastAsia="Times New Roman"/>
                <w:color w:val="000000"/>
                <w:sz w:val="16"/>
                <w:szCs w:val="16"/>
              </w:rPr>
              <w:t>10,650 </w:t>
            </w:r>
          </w:p>
        </w:tc>
        <w:tc>
          <w:tcPr>
            <w:tcW w:w="0" w:type="auto"/>
            <w:shd w:val="clear" w:color="auto" w:fill="FFFFFF"/>
            <w:tcMar>
              <w:top w:w="30" w:type="dxa"/>
              <w:left w:w="0" w:type="dxa"/>
              <w:bottom w:w="30" w:type="dxa"/>
              <w:right w:w="20" w:type="dxa"/>
            </w:tcMar>
            <w:vAlign w:val="center"/>
            <w:hideMark/>
          </w:tcPr>
          <w:p w14:paraId="7DC726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1B1B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DDCB4D8"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7128EC0" w14:textId="77777777" w:rsidR="00000000" w:rsidRDefault="00A173A8">
            <w:pPr>
              <w:spacing w:after="100"/>
              <w:jc w:val="right"/>
              <w:rPr>
                <w:rFonts w:eastAsia="Times New Roman"/>
              </w:rPr>
            </w:pPr>
            <w:r>
              <w:rPr>
                <w:rFonts w:eastAsia="Times New Roman"/>
                <w:color w:val="000000"/>
                <w:sz w:val="16"/>
                <w:szCs w:val="16"/>
              </w:rPr>
              <w:t>541 </w:t>
            </w:r>
          </w:p>
        </w:tc>
        <w:tc>
          <w:tcPr>
            <w:tcW w:w="0" w:type="auto"/>
            <w:shd w:val="clear" w:color="auto" w:fill="FFFFFF"/>
            <w:tcMar>
              <w:top w:w="30" w:type="dxa"/>
              <w:left w:w="0" w:type="dxa"/>
              <w:bottom w:w="30" w:type="dxa"/>
              <w:right w:w="20" w:type="dxa"/>
            </w:tcMar>
            <w:vAlign w:val="center"/>
            <w:hideMark/>
          </w:tcPr>
          <w:p w14:paraId="6DFB0B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FFBBB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7D04C71"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D116E68" w14:textId="77777777" w:rsidR="00000000" w:rsidRDefault="00A173A8">
            <w:pPr>
              <w:spacing w:after="100"/>
              <w:jc w:val="right"/>
              <w:rPr>
                <w:rFonts w:eastAsia="Times New Roman"/>
              </w:rPr>
            </w:pPr>
            <w:r>
              <w:rPr>
                <w:rFonts w:eastAsia="Times New Roman"/>
                <w:color w:val="000000"/>
                <w:sz w:val="16"/>
                <w:szCs w:val="16"/>
              </w:rPr>
              <w:t>11,191 </w:t>
            </w:r>
          </w:p>
        </w:tc>
        <w:tc>
          <w:tcPr>
            <w:tcW w:w="0" w:type="auto"/>
            <w:shd w:val="clear" w:color="auto" w:fill="FFFFFF"/>
            <w:tcMar>
              <w:top w:w="30" w:type="dxa"/>
              <w:left w:w="0" w:type="dxa"/>
              <w:bottom w:w="30" w:type="dxa"/>
              <w:right w:w="20" w:type="dxa"/>
            </w:tcMar>
            <w:vAlign w:val="center"/>
            <w:hideMark/>
          </w:tcPr>
          <w:p w14:paraId="30C5601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03A00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91E1DCD"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436A40B3" w14:textId="77777777" w:rsidR="00000000" w:rsidRDefault="00A173A8">
            <w:pPr>
              <w:spacing w:after="100"/>
              <w:jc w:val="right"/>
              <w:rPr>
                <w:rFonts w:eastAsia="Times New Roman"/>
              </w:rPr>
            </w:pPr>
            <w:r>
              <w:rPr>
                <w:rFonts w:eastAsia="Times New Roman"/>
                <w:color w:val="000000"/>
                <w:sz w:val="16"/>
                <w:szCs w:val="16"/>
              </w:rPr>
              <w:t>2,615 </w:t>
            </w:r>
          </w:p>
        </w:tc>
        <w:tc>
          <w:tcPr>
            <w:tcW w:w="0" w:type="auto"/>
            <w:shd w:val="clear" w:color="auto" w:fill="FFFFFF"/>
            <w:tcMar>
              <w:top w:w="30" w:type="dxa"/>
              <w:left w:w="0" w:type="dxa"/>
              <w:bottom w:w="30" w:type="dxa"/>
              <w:right w:w="20" w:type="dxa"/>
            </w:tcMar>
            <w:vAlign w:val="center"/>
            <w:hideMark/>
          </w:tcPr>
          <w:p w14:paraId="5E40FD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3E762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D469958"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58759837" w14:textId="77777777" w:rsidR="00000000" w:rsidRDefault="00A173A8">
            <w:pPr>
              <w:spacing w:after="100"/>
              <w:jc w:val="right"/>
              <w:rPr>
                <w:rFonts w:eastAsia="Times New Roman"/>
              </w:rPr>
            </w:pPr>
            <w:r>
              <w:rPr>
                <w:rFonts w:eastAsia="Times New Roman"/>
                <w:color w:val="000000"/>
                <w:sz w:val="16"/>
                <w:szCs w:val="16"/>
              </w:rPr>
              <w:t>100 </w:t>
            </w:r>
          </w:p>
        </w:tc>
        <w:tc>
          <w:tcPr>
            <w:tcW w:w="0" w:type="auto"/>
            <w:shd w:val="clear" w:color="auto" w:fill="FFFFFF"/>
            <w:tcMar>
              <w:top w:w="30" w:type="dxa"/>
              <w:left w:w="0" w:type="dxa"/>
              <w:bottom w:w="30" w:type="dxa"/>
              <w:right w:w="20" w:type="dxa"/>
            </w:tcMar>
            <w:vAlign w:val="center"/>
            <w:hideMark/>
          </w:tcPr>
          <w:p w14:paraId="325D484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9AA0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AEC7BCC"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0D56363A" w14:textId="77777777" w:rsidR="00000000" w:rsidRDefault="00A173A8">
            <w:pPr>
              <w:spacing w:after="100"/>
              <w:jc w:val="right"/>
              <w:rPr>
                <w:rFonts w:eastAsia="Times New Roman"/>
              </w:rPr>
            </w:pPr>
            <w:r>
              <w:rPr>
                <w:rFonts w:eastAsia="Times New Roman"/>
                <w:color w:val="000000"/>
                <w:sz w:val="16"/>
                <w:szCs w:val="16"/>
              </w:rPr>
              <w:t>2,715 </w:t>
            </w:r>
          </w:p>
        </w:tc>
        <w:tc>
          <w:tcPr>
            <w:tcW w:w="0" w:type="auto"/>
            <w:shd w:val="clear" w:color="auto" w:fill="FFFFFF"/>
            <w:tcMar>
              <w:top w:w="30" w:type="dxa"/>
              <w:left w:w="0" w:type="dxa"/>
              <w:bottom w:w="30" w:type="dxa"/>
              <w:right w:w="20" w:type="dxa"/>
            </w:tcMar>
            <w:vAlign w:val="center"/>
            <w:hideMark/>
          </w:tcPr>
          <w:p w14:paraId="3F6AFEF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C38CB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6FB0E0C"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8569E9A" w14:textId="77777777" w:rsidR="00000000" w:rsidRDefault="00A173A8">
            <w:pPr>
              <w:spacing w:after="100"/>
              <w:jc w:val="right"/>
              <w:rPr>
                <w:rFonts w:eastAsia="Times New Roman"/>
              </w:rPr>
            </w:pPr>
            <w:r>
              <w:rPr>
                <w:rFonts w:eastAsia="Times New Roman"/>
                <w:color w:val="000000"/>
                <w:sz w:val="16"/>
                <w:szCs w:val="16"/>
              </w:rPr>
              <w:t>1,658 </w:t>
            </w:r>
          </w:p>
        </w:tc>
        <w:tc>
          <w:tcPr>
            <w:tcW w:w="0" w:type="auto"/>
            <w:shd w:val="clear" w:color="auto" w:fill="FFFFFF"/>
            <w:tcMar>
              <w:top w:w="30" w:type="dxa"/>
              <w:left w:w="0" w:type="dxa"/>
              <w:bottom w:w="30" w:type="dxa"/>
              <w:right w:w="20" w:type="dxa"/>
            </w:tcMar>
            <w:vAlign w:val="center"/>
            <w:hideMark/>
          </w:tcPr>
          <w:p w14:paraId="6E0F554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7951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E3000A8"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295EA53" w14:textId="77777777" w:rsidR="00000000" w:rsidRDefault="00A173A8">
            <w:pPr>
              <w:spacing w:after="100"/>
              <w:jc w:val="right"/>
              <w:rPr>
                <w:rFonts w:eastAsia="Times New Roman"/>
              </w:rPr>
            </w:pPr>
            <w:r>
              <w:rPr>
                <w:rFonts w:eastAsia="Times New Roman"/>
                <w:color w:val="000000"/>
                <w:sz w:val="16"/>
                <w:szCs w:val="16"/>
              </w:rPr>
              <w:t>15,564 </w:t>
            </w:r>
          </w:p>
        </w:tc>
        <w:tc>
          <w:tcPr>
            <w:tcW w:w="0" w:type="auto"/>
            <w:shd w:val="clear" w:color="auto" w:fill="FFFFFF"/>
            <w:tcMar>
              <w:top w:w="30" w:type="dxa"/>
              <w:left w:w="0" w:type="dxa"/>
              <w:bottom w:w="30" w:type="dxa"/>
              <w:right w:w="20" w:type="dxa"/>
            </w:tcMar>
            <w:vAlign w:val="center"/>
            <w:hideMark/>
          </w:tcPr>
          <w:p w14:paraId="3C4B3BF5" w14:textId="77777777" w:rsidR="00000000" w:rsidRDefault="00A173A8">
            <w:pPr>
              <w:spacing w:after="100"/>
              <w:jc w:val="right"/>
              <w:rPr>
                <w:rFonts w:eastAsia="Times New Roman"/>
              </w:rPr>
            </w:pPr>
          </w:p>
        </w:tc>
      </w:tr>
      <w:tr w:rsidR="00000000" w14:paraId="186B5530" w14:textId="77777777">
        <w:trPr>
          <w:divId w:val="1380520592"/>
        </w:trPr>
        <w:tc>
          <w:tcPr>
            <w:tcW w:w="0" w:type="auto"/>
            <w:gridSpan w:val="3"/>
            <w:shd w:val="clear" w:color="auto" w:fill="CCEEFF"/>
            <w:tcMar>
              <w:top w:w="30" w:type="dxa"/>
              <w:left w:w="20" w:type="dxa"/>
              <w:bottom w:w="30" w:type="dxa"/>
              <w:right w:w="20" w:type="dxa"/>
            </w:tcMar>
            <w:vAlign w:val="bottom"/>
            <w:hideMark/>
          </w:tcPr>
          <w:p w14:paraId="3DB338B4" w14:textId="77777777" w:rsidR="00000000" w:rsidRDefault="00A173A8">
            <w:pPr>
              <w:spacing w:after="100"/>
              <w:divId w:val="1696494649"/>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14:paraId="1F931C2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9AC8219" w14:textId="77777777" w:rsidR="00000000" w:rsidRDefault="00A173A8">
            <w:pPr>
              <w:spacing w:after="100"/>
              <w:jc w:val="right"/>
              <w:rPr>
                <w:rFonts w:eastAsia="Times New Roman"/>
              </w:rPr>
            </w:pPr>
            <w:r>
              <w:rPr>
                <w:rFonts w:eastAsia="Times New Roman"/>
                <w:color w:val="000000"/>
                <w:sz w:val="16"/>
                <w:szCs w:val="16"/>
              </w:rPr>
              <w:t>(1,778)</w:t>
            </w:r>
          </w:p>
        </w:tc>
        <w:tc>
          <w:tcPr>
            <w:tcW w:w="0" w:type="auto"/>
            <w:shd w:val="clear" w:color="auto" w:fill="CCEEFF"/>
            <w:tcMar>
              <w:top w:w="30" w:type="dxa"/>
              <w:left w:w="0" w:type="dxa"/>
              <w:bottom w:w="30" w:type="dxa"/>
              <w:right w:w="20" w:type="dxa"/>
            </w:tcMar>
            <w:vAlign w:val="center"/>
            <w:hideMark/>
          </w:tcPr>
          <w:p w14:paraId="1A07E92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932F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763DB2" w14:textId="77777777" w:rsidR="00000000" w:rsidRDefault="00A173A8">
            <w:pPr>
              <w:spacing w:after="100"/>
              <w:jc w:val="right"/>
              <w:rPr>
                <w:rFonts w:eastAsia="Times New Roman"/>
              </w:rPr>
            </w:pPr>
            <w:r>
              <w:rPr>
                <w:rFonts w:eastAsia="Times New Roman"/>
                <w:color w:val="000000"/>
                <w:sz w:val="16"/>
                <w:szCs w:val="16"/>
              </w:rPr>
              <w:t>(182)</w:t>
            </w:r>
          </w:p>
        </w:tc>
        <w:tc>
          <w:tcPr>
            <w:tcW w:w="0" w:type="auto"/>
            <w:shd w:val="clear" w:color="auto" w:fill="CCEEFF"/>
            <w:tcMar>
              <w:top w:w="30" w:type="dxa"/>
              <w:left w:w="0" w:type="dxa"/>
              <w:bottom w:w="30" w:type="dxa"/>
              <w:right w:w="20" w:type="dxa"/>
            </w:tcMar>
            <w:vAlign w:val="center"/>
            <w:hideMark/>
          </w:tcPr>
          <w:p w14:paraId="3129C66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AE520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8E0892" w14:textId="77777777" w:rsidR="00000000" w:rsidRDefault="00A173A8">
            <w:pPr>
              <w:spacing w:after="100"/>
              <w:jc w:val="right"/>
              <w:rPr>
                <w:rFonts w:eastAsia="Times New Roman"/>
              </w:rPr>
            </w:pPr>
            <w:r>
              <w:rPr>
                <w:rFonts w:eastAsia="Times New Roman"/>
                <w:color w:val="000000"/>
                <w:sz w:val="16"/>
                <w:szCs w:val="16"/>
              </w:rPr>
              <w:t>(1,960)</w:t>
            </w:r>
          </w:p>
        </w:tc>
        <w:tc>
          <w:tcPr>
            <w:tcW w:w="0" w:type="auto"/>
            <w:shd w:val="clear" w:color="auto" w:fill="CCEEFF"/>
            <w:tcMar>
              <w:top w:w="30" w:type="dxa"/>
              <w:left w:w="0" w:type="dxa"/>
              <w:bottom w:w="30" w:type="dxa"/>
              <w:right w:w="20" w:type="dxa"/>
            </w:tcMar>
            <w:vAlign w:val="center"/>
            <w:hideMark/>
          </w:tcPr>
          <w:p w14:paraId="6FEBB9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73D3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63DC1E" w14:textId="77777777" w:rsidR="00000000" w:rsidRDefault="00A173A8">
            <w:pPr>
              <w:spacing w:after="100"/>
              <w:jc w:val="right"/>
              <w:rPr>
                <w:rFonts w:eastAsia="Times New Roman"/>
              </w:rPr>
            </w:pPr>
            <w:r>
              <w:rPr>
                <w:rFonts w:eastAsia="Times New Roman"/>
                <w:color w:val="000000"/>
                <w:sz w:val="16"/>
                <w:szCs w:val="16"/>
              </w:rPr>
              <w:t>(569)</w:t>
            </w:r>
          </w:p>
        </w:tc>
        <w:tc>
          <w:tcPr>
            <w:tcW w:w="0" w:type="auto"/>
            <w:shd w:val="clear" w:color="auto" w:fill="CCEEFF"/>
            <w:tcMar>
              <w:top w:w="30" w:type="dxa"/>
              <w:left w:w="0" w:type="dxa"/>
              <w:bottom w:w="30" w:type="dxa"/>
              <w:right w:w="20" w:type="dxa"/>
            </w:tcMar>
            <w:vAlign w:val="center"/>
            <w:hideMark/>
          </w:tcPr>
          <w:p w14:paraId="270037C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88EB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377F30" w14:textId="77777777" w:rsidR="00000000" w:rsidRDefault="00A173A8">
            <w:pPr>
              <w:spacing w:after="100"/>
              <w:jc w:val="right"/>
              <w:rPr>
                <w:rFonts w:eastAsia="Times New Roman"/>
              </w:rPr>
            </w:pPr>
            <w:r>
              <w:rPr>
                <w:rFonts w:eastAsia="Times New Roman"/>
                <w:color w:val="000000"/>
                <w:sz w:val="16"/>
                <w:szCs w:val="16"/>
              </w:rPr>
              <w:t>(33)</w:t>
            </w:r>
          </w:p>
        </w:tc>
        <w:tc>
          <w:tcPr>
            <w:tcW w:w="0" w:type="auto"/>
            <w:shd w:val="clear" w:color="auto" w:fill="CCEEFF"/>
            <w:tcMar>
              <w:top w:w="30" w:type="dxa"/>
              <w:left w:w="0" w:type="dxa"/>
              <w:bottom w:w="30" w:type="dxa"/>
              <w:right w:w="20" w:type="dxa"/>
            </w:tcMar>
            <w:vAlign w:val="center"/>
            <w:hideMark/>
          </w:tcPr>
          <w:p w14:paraId="1817083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2ED2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712D29" w14:textId="77777777" w:rsidR="00000000" w:rsidRDefault="00A173A8">
            <w:pPr>
              <w:spacing w:after="100"/>
              <w:jc w:val="right"/>
              <w:rPr>
                <w:rFonts w:eastAsia="Times New Roman"/>
              </w:rPr>
            </w:pPr>
            <w:r>
              <w:rPr>
                <w:rFonts w:eastAsia="Times New Roman"/>
                <w:color w:val="000000"/>
                <w:sz w:val="16"/>
                <w:szCs w:val="16"/>
              </w:rPr>
              <w:t>(602)</w:t>
            </w:r>
          </w:p>
        </w:tc>
        <w:tc>
          <w:tcPr>
            <w:tcW w:w="0" w:type="auto"/>
            <w:shd w:val="clear" w:color="auto" w:fill="CCEEFF"/>
            <w:tcMar>
              <w:top w:w="30" w:type="dxa"/>
              <w:left w:w="0" w:type="dxa"/>
              <w:bottom w:w="30" w:type="dxa"/>
              <w:right w:w="20" w:type="dxa"/>
            </w:tcMar>
            <w:vAlign w:val="center"/>
            <w:hideMark/>
          </w:tcPr>
          <w:p w14:paraId="57DE73F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14483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232C44" w14:textId="77777777" w:rsidR="00000000" w:rsidRDefault="00A173A8">
            <w:pPr>
              <w:spacing w:after="100"/>
              <w:jc w:val="right"/>
              <w:rPr>
                <w:rFonts w:eastAsia="Times New Roman"/>
              </w:rPr>
            </w:pPr>
            <w:r>
              <w:rPr>
                <w:rFonts w:eastAsia="Times New Roman"/>
                <w:color w:val="000000"/>
                <w:sz w:val="16"/>
                <w:szCs w:val="16"/>
              </w:rPr>
              <w:t>(27)</w:t>
            </w:r>
          </w:p>
        </w:tc>
        <w:tc>
          <w:tcPr>
            <w:tcW w:w="0" w:type="auto"/>
            <w:shd w:val="clear" w:color="auto" w:fill="CCEEFF"/>
            <w:tcMar>
              <w:top w:w="30" w:type="dxa"/>
              <w:left w:w="0" w:type="dxa"/>
              <w:bottom w:w="30" w:type="dxa"/>
              <w:right w:w="20" w:type="dxa"/>
            </w:tcMar>
            <w:vAlign w:val="center"/>
            <w:hideMark/>
          </w:tcPr>
          <w:p w14:paraId="3D65EEB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3BD4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01D13E" w14:textId="77777777" w:rsidR="00000000" w:rsidRDefault="00A173A8">
            <w:pPr>
              <w:spacing w:after="100"/>
              <w:jc w:val="right"/>
              <w:rPr>
                <w:rFonts w:eastAsia="Times New Roman"/>
              </w:rPr>
            </w:pPr>
            <w:r>
              <w:rPr>
                <w:rFonts w:eastAsia="Times New Roman"/>
                <w:color w:val="000000"/>
                <w:sz w:val="16"/>
                <w:szCs w:val="16"/>
              </w:rPr>
              <w:t>(2,589)</w:t>
            </w:r>
          </w:p>
        </w:tc>
        <w:tc>
          <w:tcPr>
            <w:tcW w:w="0" w:type="auto"/>
            <w:shd w:val="clear" w:color="auto" w:fill="CCEEFF"/>
            <w:tcMar>
              <w:top w:w="30" w:type="dxa"/>
              <w:left w:w="0" w:type="dxa"/>
              <w:bottom w:w="30" w:type="dxa"/>
              <w:right w:w="20" w:type="dxa"/>
            </w:tcMar>
            <w:vAlign w:val="center"/>
            <w:hideMark/>
          </w:tcPr>
          <w:p w14:paraId="0FC5200D" w14:textId="77777777" w:rsidR="00000000" w:rsidRDefault="00A173A8">
            <w:pPr>
              <w:spacing w:after="100"/>
              <w:jc w:val="right"/>
              <w:rPr>
                <w:rFonts w:eastAsia="Times New Roman"/>
              </w:rPr>
            </w:pPr>
          </w:p>
        </w:tc>
      </w:tr>
      <w:tr w:rsidR="00000000" w14:paraId="6FEA43CA" w14:textId="77777777">
        <w:trPr>
          <w:divId w:val="1380520592"/>
        </w:trPr>
        <w:tc>
          <w:tcPr>
            <w:tcW w:w="0" w:type="auto"/>
            <w:gridSpan w:val="3"/>
            <w:shd w:val="clear" w:color="auto" w:fill="FFFFFF"/>
            <w:tcMar>
              <w:top w:w="30" w:type="dxa"/>
              <w:left w:w="20" w:type="dxa"/>
              <w:bottom w:w="30" w:type="dxa"/>
              <w:right w:w="20" w:type="dxa"/>
            </w:tcMar>
            <w:vAlign w:val="bottom"/>
            <w:hideMark/>
          </w:tcPr>
          <w:p w14:paraId="68AFCA55" w14:textId="77777777" w:rsidR="00000000" w:rsidRDefault="00A173A8">
            <w:pPr>
              <w:spacing w:after="100"/>
              <w:divId w:val="1789427570"/>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3AF20C0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2C51B26" w14:textId="77777777" w:rsidR="00000000" w:rsidRDefault="00A173A8">
            <w:pPr>
              <w:spacing w:after="100"/>
              <w:jc w:val="right"/>
              <w:rPr>
                <w:rFonts w:eastAsia="Times New Roman"/>
              </w:rPr>
            </w:pPr>
            <w:r>
              <w:rPr>
                <w:rFonts w:eastAsia="Times New Roman"/>
                <w:color w:val="000000"/>
                <w:sz w:val="16"/>
                <w:szCs w:val="16"/>
              </w:rPr>
              <w:t>669 </w:t>
            </w:r>
          </w:p>
        </w:tc>
        <w:tc>
          <w:tcPr>
            <w:tcW w:w="0" w:type="auto"/>
            <w:shd w:val="clear" w:color="auto" w:fill="FFFFFF"/>
            <w:tcMar>
              <w:top w:w="30" w:type="dxa"/>
              <w:left w:w="0" w:type="dxa"/>
              <w:bottom w:w="30" w:type="dxa"/>
              <w:right w:w="20" w:type="dxa"/>
            </w:tcMar>
            <w:vAlign w:val="center"/>
            <w:hideMark/>
          </w:tcPr>
          <w:p w14:paraId="0EAF652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7AB9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0E51FC" w14:textId="77777777" w:rsidR="00000000" w:rsidRDefault="00A173A8">
            <w:pPr>
              <w:spacing w:after="100"/>
              <w:jc w:val="right"/>
              <w:rPr>
                <w:rFonts w:eastAsia="Times New Roman"/>
              </w:rPr>
            </w:pPr>
            <w:r>
              <w:rPr>
                <w:rFonts w:eastAsia="Times New Roman"/>
                <w:color w:val="000000"/>
                <w:sz w:val="16"/>
                <w:szCs w:val="16"/>
              </w:rPr>
              <w:t>87 </w:t>
            </w:r>
          </w:p>
        </w:tc>
        <w:tc>
          <w:tcPr>
            <w:tcW w:w="0" w:type="auto"/>
            <w:shd w:val="clear" w:color="auto" w:fill="FFFFFF"/>
            <w:tcMar>
              <w:top w:w="30" w:type="dxa"/>
              <w:left w:w="0" w:type="dxa"/>
              <w:bottom w:w="30" w:type="dxa"/>
              <w:right w:w="20" w:type="dxa"/>
            </w:tcMar>
            <w:vAlign w:val="center"/>
            <w:hideMark/>
          </w:tcPr>
          <w:p w14:paraId="4C6C2F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D8A1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872DAF" w14:textId="77777777" w:rsidR="00000000" w:rsidRDefault="00A173A8">
            <w:pPr>
              <w:spacing w:after="100"/>
              <w:jc w:val="right"/>
              <w:rPr>
                <w:rFonts w:eastAsia="Times New Roman"/>
              </w:rPr>
            </w:pPr>
            <w:r>
              <w:rPr>
                <w:rFonts w:eastAsia="Times New Roman"/>
                <w:color w:val="000000"/>
                <w:sz w:val="16"/>
                <w:szCs w:val="16"/>
              </w:rPr>
              <w:t>756 </w:t>
            </w:r>
          </w:p>
        </w:tc>
        <w:tc>
          <w:tcPr>
            <w:tcW w:w="0" w:type="auto"/>
            <w:shd w:val="clear" w:color="auto" w:fill="FFFFFF"/>
            <w:tcMar>
              <w:top w:w="30" w:type="dxa"/>
              <w:left w:w="0" w:type="dxa"/>
              <w:bottom w:w="30" w:type="dxa"/>
              <w:right w:w="20" w:type="dxa"/>
            </w:tcMar>
            <w:vAlign w:val="center"/>
            <w:hideMark/>
          </w:tcPr>
          <w:p w14:paraId="34F0555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6980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0287C7" w14:textId="77777777" w:rsidR="00000000" w:rsidRDefault="00A173A8">
            <w:pPr>
              <w:spacing w:after="100"/>
              <w:jc w:val="right"/>
              <w:rPr>
                <w:rFonts w:eastAsia="Times New Roman"/>
              </w:rPr>
            </w:pPr>
            <w:r>
              <w:rPr>
                <w:rFonts w:eastAsia="Times New Roman"/>
                <w:color w:val="000000"/>
                <w:sz w:val="16"/>
                <w:szCs w:val="16"/>
              </w:rPr>
              <w:t>513 </w:t>
            </w:r>
          </w:p>
        </w:tc>
        <w:tc>
          <w:tcPr>
            <w:tcW w:w="0" w:type="auto"/>
            <w:shd w:val="clear" w:color="auto" w:fill="FFFFFF"/>
            <w:tcMar>
              <w:top w:w="30" w:type="dxa"/>
              <w:left w:w="0" w:type="dxa"/>
              <w:bottom w:w="30" w:type="dxa"/>
              <w:right w:w="20" w:type="dxa"/>
            </w:tcMar>
            <w:vAlign w:val="center"/>
            <w:hideMark/>
          </w:tcPr>
          <w:p w14:paraId="0F1FAB3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8709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04243F" w14:textId="77777777" w:rsidR="00000000" w:rsidRDefault="00A173A8">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center"/>
            <w:hideMark/>
          </w:tcPr>
          <w:p w14:paraId="23EF8B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C5EA0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B02FA4" w14:textId="77777777" w:rsidR="00000000" w:rsidRDefault="00A173A8">
            <w:pPr>
              <w:spacing w:after="100"/>
              <w:jc w:val="right"/>
              <w:rPr>
                <w:rFonts w:eastAsia="Times New Roman"/>
              </w:rPr>
            </w:pPr>
            <w:r>
              <w:rPr>
                <w:rFonts w:eastAsia="Times New Roman"/>
                <w:color w:val="000000"/>
                <w:sz w:val="16"/>
                <w:szCs w:val="16"/>
              </w:rPr>
              <w:t>522 </w:t>
            </w:r>
          </w:p>
        </w:tc>
        <w:tc>
          <w:tcPr>
            <w:tcW w:w="0" w:type="auto"/>
            <w:shd w:val="clear" w:color="auto" w:fill="FFFFFF"/>
            <w:tcMar>
              <w:top w:w="30" w:type="dxa"/>
              <w:left w:w="0" w:type="dxa"/>
              <w:bottom w:w="30" w:type="dxa"/>
              <w:right w:w="20" w:type="dxa"/>
            </w:tcMar>
            <w:vAlign w:val="center"/>
            <w:hideMark/>
          </w:tcPr>
          <w:p w14:paraId="08206E4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3B9D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6D4658" w14:textId="77777777" w:rsidR="00000000" w:rsidRDefault="00A173A8">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center"/>
            <w:hideMark/>
          </w:tcPr>
          <w:p w14:paraId="2130849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C9BC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D02CB4" w14:textId="77777777" w:rsidR="00000000" w:rsidRDefault="00A173A8">
            <w:pPr>
              <w:spacing w:after="100"/>
              <w:jc w:val="right"/>
              <w:rPr>
                <w:rFonts w:eastAsia="Times New Roman"/>
              </w:rPr>
            </w:pPr>
            <w:r>
              <w:rPr>
                <w:rFonts w:eastAsia="Times New Roman"/>
                <w:color w:val="000000"/>
                <w:sz w:val="16"/>
                <w:szCs w:val="16"/>
              </w:rPr>
              <w:t>1,308 </w:t>
            </w:r>
          </w:p>
        </w:tc>
        <w:tc>
          <w:tcPr>
            <w:tcW w:w="0" w:type="auto"/>
            <w:shd w:val="clear" w:color="auto" w:fill="FFFFFF"/>
            <w:tcMar>
              <w:top w:w="30" w:type="dxa"/>
              <w:left w:w="0" w:type="dxa"/>
              <w:bottom w:w="30" w:type="dxa"/>
              <w:right w:w="20" w:type="dxa"/>
            </w:tcMar>
            <w:vAlign w:val="center"/>
            <w:hideMark/>
          </w:tcPr>
          <w:p w14:paraId="014FDD52" w14:textId="77777777" w:rsidR="00000000" w:rsidRDefault="00A173A8">
            <w:pPr>
              <w:spacing w:after="100"/>
              <w:jc w:val="right"/>
              <w:rPr>
                <w:rFonts w:eastAsia="Times New Roman"/>
              </w:rPr>
            </w:pPr>
          </w:p>
        </w:tc>
      </w:tr>
      <w:tr w:rsidR="00000000" w14:paraId="2700627A" w14:textId="77777777">
        <w:trPr>
          <w:divId w:val="1380520592"/>
        </w:trPr>
        <w:tc>
          <w:tcPr>
            <w:tcW w:w="0" w:type="auto"/>
            <w:gridSpan w:val="3"/>
            <w:shd w:val="clear" w:color="auto" w:fill="CCEEFF"/>
            <w:tcMar>
              <w:top w:w="30" w:type="dxa"/>
              <w:left w:w="20" w:type="dxa"/>
              <w:bottom w:w="30" w:type="dxa"/>
              <w:right w:w="20" w:type="dxa"/>
            </w:tcMar>
            <w:vAlign w:val="bottom"/>
            <w:hideMark/>
          </w:tcPr>
          <w:p w14:paraId="093794A6" w14:textId="77777777" w:rsidR="00000000" w:rsidRDefault="00A173A8">
            <w:pPr>
              <w:spacing w:after="100"/>
              <w:rPr>
                <w:rFonts w:eastAsia="Times New Roman"/>
              </w:rPr>
            </w:pPr>
            <w:r>
              <w:rPr>
                <w:rFonts w:eastAsia="Times New Roman"/>
                <w:color w:val="000000"/>
                <w:sz w:val="16"/>
                <w:szCs w:val="16"/>
              </w:rPr>
              <w:t>Net recoveries (charge-offs)</w:t>
            </w:r>
          </w:p>
        </w:tc>
        <w:tc>
          <w:tcPr>
            <w:tcW w:w="0" w:type="auto"/>
            <w:gridSpan w:val="3"/>
            <w:shd w:val="clear" w:color="auto" w:fill="CCEEFF"/>
            <w:tcMar>
              <w:top w:w="0" w:type="dxa"/>
              <w:left w:w="20" w:type="dxa"/>
              <w:bottom w:w="0" w:type="dxa"/>
              <w:right w:w="20" w:type="dxa"/>
            </w:tcMar>
            <w:vAlign w:val="center"/>
            <w:hideMark/>
          </w:tcPr>
          <w:p w14:paraId="344E517D"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B98F031" w14:textId="77777777" w:rsidR="00000000" w:rsidRDefault="00A173A8">
            <w:pPr>
              <w:spacing w:after="100"/>
              <w:jc w:val="right"/>
              <w:rPr>
                <w:rFonts w:eastAsia="Times New Roman"/>
              </w:rPr>
            </w:pPr>
            <w:r>
              <w:rPr>
                <w:rFonts w:eastAsia="Times New Roman"/>
                <w:color w:val="000000"/>
                <w:sz w:val="16"/>
                <w:szCs w:val="16"/>
              </w:rPr>
              <w:t>(1,109)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43621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16E17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9D4C5FC" w14:textId="77777777" w:rsidR="00000000" w:rsidRDefault="00A173A8">
            <w:pPr>
              <w:spacing w:after="100"/>
              <w:jc w:val="right"/>
              <w:rPr>
                <w:rFonts w:eastAsia="Times New Roman"/>
              </w:rPr>
            </w:pPr>
            <w:r>
              <w:rPr>
                <w:rFonts w:eastAsia="Times New Roman"/>
                <w:color w:val="000000"/>
                <w:sz w:val="16"/>
                <w:szCs w:val="16"/>
              </w:rPr>
              <w:t>(95)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BC250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50DC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C4F5B47" w14:textId="77777777" w:rsidR="00000000" w:rsidRDefault="00A173A8">
            <w:pPr>
              <w:spacing w:after="100"/>
              <w:jc w:val="right"/>
              <w:rPr>
                <w:rFonts w:eastAsia="Times New Roman"/>
              </w:rPr>
            </w:pPr>
            <w:r>
              <w:rPr>
                <w:rFonts w:eastAsia="Times New Roman"/>
                <w:color w:val="000000"/>
                <w:sz w:val="16"/>
                <w:szCs w:val="16"/>
              </w:rPr>
              <w:t>(1,204)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6D692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8F5B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A77A89" w14:textId="77777777" w:rsidR="00000000" w:rsidRDefault="00A173A8">
            <w:pPr>
              <w:spacing w:after="100"/>
              <w:jc w:val="right"/>
              <w:rPr>
                <w:rFonts w:eastAsia="Times New Roman"/>
              </w:rPr>
            </w:pPr>
            <w:r>
              <w:rPr>
                <w:rFonts w:eastAsia="Times New Roman"/>
                <w:color w:val="000000"/>
                <w:sz w:val="16"/>
                <w:szCs w:val="16"/>
              </w:rPr>
              <w:t>(56)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149E1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00CE8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FFD2E8" w14:textId="77777777" w:rsidR="00000000" w:rsidRDefault="00A173A8">
            <w:pPr>
              <w:spacing w:after="100"/>
              <w:jc w:val="right"/>
              <w:rPr>
                <w:rFonts w:eastAsia="Times New Roman"/>
              </w:rPr>
            </w:pPr>
            <w:r>
              <w:rPr>
                <w:rFonts w:eastAsia="Times New Roman"/>
                <w:color w:val="000000"/>
                <w:sz w:val="16"/>
                <w:szCs w:val="16"/>
              </w:rPr>
              <w:t>(24)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4ADB3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9552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4D58B05" w14:textId="77777777" w:rsidR="00000000" w:rsidRDefault="00A173A8">
            <w:pPr>
              <w:spacing w:after="100"/>
              <w:jc w:val="right"/>
              <w:rPr>
                <w:rFonts w:eastAsia="Times New Roman"/>
              </w:rPr>
            </w:pPr>
            <w:r>
              <w:rPr>
                <w:rFonts w:eastAsia="Times New Roman"/>
                <w:color w:val="000000"/>
                <w:sz w:val="16"/>
                <w:szCs w:val="16"/>
              </w:rPr>
              <w:t>(80)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4319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F958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88A9DF" w14:textId="77777777" w:rsidR="00000000" w:rsidRDefault="00A173A8">
            <w:pPr>
              <w:spacing w:after="100"/>
              <w:jc w:val="right"/>
              <w:rPr>
                <w:rFonts w:eastAsia="Times New Roman"/>
              </w:rPr>
            </w:pPr>
            <w:r>
              <w:rPr>
                <w:rFonts w:eastAsia="Times New Roman"/>
                <w:color w:val="000000"/>
                <w:sz w:val="16"/>
                <w:szCs w:val="16"/>
              </w:rPr>
              <w:t>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E9A89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F5041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A9D2E5" w14:textId="77777777" w:rsidR="00000000" w:rsidRDefault="00A173A8">
            <w:pPr>
              <w:spacing w:after="100"/>
              <w:jc w:val="right"/>
              <w:rPr>
                <w:rFonts w:eastAsia="Times New Roman"/>
              </w:rPr>
            </w:pPr>
            <w:r>
              <w:rPr>
                <w:rFonts w:eastAsia="Times New Roman"/>
                <w:color w:val="000000"/>
                <w:sz w:val="16"/>
                <w:szCs w:val="16"/>
              </w:rPr>
              <w:t>(1,281)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0C896A" w14:textId="77777777" w:rsidR="00000000" w:rsidRDefault="00A173A8">
            <w:pPr>
              <w:spacing w:after="100"/>
              <w:jc w:val="right"/>
              <w:rPr>
                <w:rFonts w:eastAsia="Times New Roman"/>
              </w:rPr>
            </w:pPr>
          </w:p>
        </w:tc>
      </w:tr>
      <w:tr w:rsidR="00000000" w14:paraId="02CC5D16" w14:textId="77777777">
        <w:trPr>
          <w:divId w:val="1380520592"/>
        </w:trPr>
        <w:tc>
          <w:tcPr>
            <w:tcW w:w="0" w:type="auto"/>
            <w:gridSpan w:val="3"/>
            <w:shd w:val="clear" w:color="auto" w:fill="FFFFFF"/>
            <w:tcMar>
              <w:top w:w="30" w:type="dxa"/>
              <w:left w:w="20" w:type="dxa"/>
              <w:bottom w:w="30" w:type="dxa"/>
              <w:right w:w="20" w:type="dxa"/>
            </w:tcMar>
            <w:vAlign w:val="bottom"/>
            <w:hideMark/>
          </w:tcPr>
          <w:p w14:paraId="54CEBA49" w14:textId="77777777" w:rsidR="00000000" w:rsidRDefault="00A173A8">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19CD65C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7C736CC" w14:textId="77777777" w:rsidR="00000000" w:rsidRDefault="00A173A8">
            <w:pPr>
              <w:spacing w:after="100"/>
              <w:jc w:val="right"/>
              <w:rPr>
                <w:rFonts w:eastAsia="Times New Roman"/>
              </w:rPr>
            </w:pPr>
            <w:r>
              <w:rPr>
                <w:rFonts w:eastAsia="Times New Roman"/>
                <w:color w:val="000000"/>
                <w:sz w:val="16"/>
                <w:szCs w:val="16"/>
              </w:rPr>
              <w:t>(1,052)</w:t>
            </w:r>
          </w:p>
        </w:tc>
        <w:tc>
          <w:tcPr>
            <w:tcW w:w="0" w:type="auto"/>
            <w:shd w:val="clear" w:color="auto" w:fill="FFFFFF"/>
            <w:tcMar>
              <w:top w:w="30" w:type="dxa"/>
              <w:left w:w="0" w:type="dxa"/>
              <w:bottom w:w="30" w:type="dxa"/>
              <w:right w:w="20" w:type="dxa"/>
            </w:tcMar>
            <w:vAlign w:val="center"/>
            <w:hideMark/>
          </w:tcPr>
          <w:p w14:paraId="308E1B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B630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D29A2B" w14:textId="77777777" w:rsidR="00000000" w:rsidRDefault="00A173A8">
            <w:pPr>
              <w:spacing w:after="100"/>
              <w:jc w:val="right"/>
              <w:rPr>
                <w:rFonts w:eastAsia="Times New Roman"/>
              </w:rPr>
            </w:pPr>
            <w:r>
              <w:rPr>
                <w:rFonts w:eastAsia="Times New Roman"/>
                <w:color w:val="000000"/>
                <w:sz w:val="16"/>
                <w:szCs w:val="16"/>
              </w:rPr>
              <w:t>(75)</w:t>
            </w:r>
          </w:p>
        </w:tc>
        <w:tc>
          <w:tcPr>
            <w:tcW w:w="0" w:type="auto"/>
            <w:shd w:val="clear" w:color="auto" w:fill="FFFFFF"/>
            <w:tcMar>
              <w:top w:w="30" w:type="dxa"/>
              <w:left w:w="0" w:type="dxa"/>
              <w:bottom w:w="30" w:type="dxa"/>
              <w:right w:w="20" w:type="dxa"/>
            </w:tcMar>
            <w:vAlign w:val="center"/>
            <w:hideMark/>
          </w:tcPr>
          <w:p w14:paraId="43715E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AB0F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A3F881" w14:textId="77777777" w:rsidR="00000000" w:rsidRDefault="00A173A8">
            <w:pPr>
              <w:spacing w:after="100"/>
              <w:jc w:val="right"/>
              <w:rPr>
                <w:rFonts w:eastAsia="Times New Roman"/>
              </w:rPr>
            </w:pPr>
            <w:r>
              <w:rPr>
                <w:rFonts w:eastAsia="Times New Roman"/>
                <w:color w:val="000000"/>
                <w:sz w:val="16"/>
                <w:szCs w:val="16"/>
              </w:rPr>
              <w:t>(1,127)</w:t>
            </w:r>
          </w:p>
        </w:tc>
        <w:tc>
          <w:tcPr>
            <w:tcW w:w="0" w:type="auto"/>
            <w:shd w:val="clear" w:color="auto" w:fill="FFFFFF"/>
            <w:tcMar>
              <w:top w:w="30" w:type="dxa"/>
              <w:left w:w="0" w:type="dxa"/>
              <w:bottom w:w="30" w:type="dxa"/>
              <w:right w:w="20" w:type="dxa"/>
            </w:tcMar>
            <w:vAlign w:val="center"/>
            <w:hideMark/>
          </w:tcPr>
          <w:p w14:paraId="6281419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EC1D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1FD3A4" w14:textId="77777777" w:rsidR="00000000" w:rsidRDefault="00A173A8">
            <w:pPr>
              <w:spacing w:after="100"/>
              <w:jc w:val="right"/>
              <w:rPr>
                <w:rFonts w:eastAsia="Times New Roman"/>
              </w:rPr>
            </w:pPr>
            <w:r>
              <w:rPr>
                <w:rFonts w:eastAsia="Times New Roman"/>
                <w:color w:val="000000"/>
                <w:sz w:val="16"/>
                <w:szCs w:val="16"/>
              </w:rPr>
              <w:t>(437)</w:t>
            </w:r>
          </w:p>
        </w:tc>
        <w:tc>
          <w:tcPr>
            <w:tcW w:w="0" w:type="auto"/>
            <w:shd w:val="clear" w:color="auto" w:fill="FFFFFF"/>
            <w:tcMar>
              <w:top w:w="30" w:type="dxa"/>
              <w:left w:w="0" w:type="dxa"/>
              <w:bottom w:w="30" w:type="dxa"/>
              <w:right w:w="20" w:type="dxa"/>
            </w:tcMar>
            <w:vAlign w:val="center"/>
            <w:hideMark/>
          </w:tcPr>
          <w:p w14:paraId="1806EF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83E8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24D403" w14:textId="77777777" w:rsidR="00000000" w:rsidRDefault="00A173A8">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14:paraId="4DE625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32976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E71160" w14:textId="77777777" w:rsidR="00000000" w:rsidRDefault="00A173A8">
            <w:pPr>
              <w:spacing w:after="100"/>
              <w:jc w:val="right"/>
              <w:rPr>
                <w:rFonts w:eastAsia="Times New Roman"/>
              </w:rPr>
            </w:pPr>
            <w:r>
              <w:rPr>
                <w:rFonts w:eastAsia="Times New Roman"/>
                <w:color w:val="000000"/>
                <w:sz w:val="16"/>
                <w:szCs w:val="16"/>
              </w:rPr>
              <w:t>(432)</w:t>
            </w:r>
          </w:p>
        </w:tc>
        <w:tc>
          <w:tcPr>
            <w:tcW w:w="0" w:type="auto"/>
            <w:shd w:val="clear" w:color="auto" w:fill="FFFFFF"/>
            <w:tcMar>
              <w:top w:w="30" w:type="dxa"/>
              <w:left w:w="0" w:type="dxa"/>
              <w:bottom w:w="30" w:type="dxa"/>
              <w:right w:w="20" w:type="dxa"/>
            </w:tcMar>
            <w:vAlign w:val="center"/>
            <w:hideMark/>
          </w:tcPr>
          <w:p w14:paraId="27926A3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2823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4B8DCA" w14:textId="77777777" w:rsidR="00000000" w:rsidRDefault="00A173A8">
            <w:pPr>
              <w:spacing w:after="100"/>
              <w:jc w:val="right"/>
              <w:rPr>
                <w:rFonts w:eastAsia="Times New Roman"/>
              </w:rPr>
            </w:pPr>
            <w:r>
              <w:rPr>
                <w:rFonts w:eastAsia="Times New Roman"/>
                <w:color w:val="000000"/>
                <w:sz w:val="16"/>
                <w:szCs w:val="16"/>
              </w:rPr>
              <w:t>(391)</w:t>
            </w:r>
          </w:p>
        </w:tc>
        <w:tc>
          <w:tcPr>
            <w:tcW w:w="0" w:type="auto"/>
            <w:shd w:val="clear" w:color="auto" w:fill="FFFFFF"/>
            <w:tcMar>
              <w:top w:w="30" w:type="dxa"/>
              <w:left w:w="0" w:type="dxa"/>
              <w:bottom w:w="30" w:type="dxa"/>
              <w:right w:w="20" w:type="dxa"/>
            </w:tcMar>
            <w:vAlign w:val="center"/>
            <w:hideMark/>
          </w:tcPr>
          <w:p w14:paraId="4B8B759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2B21C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1BAEBA3" w14:textId="77777777" w:rsidR="00000000" w:rsidRDefault="00A173A8">
            <w:pPr>
              <w:spacing w:after="100"/>
              <w:jc w:val="right"/>
              <w:rPr>
                <w:rFonts w:eastAsia="Times New Roman"/>
              </w:rPr>
            </w:pPr>
            <w:r>
              <w:rPr>
                <w:rFonts w:eastAsia="Times New Roman"/>
                <w:color w:val="000000"/>
                <w:sz w:val="16"/>
                <w:szCs w:val="16"/>
              </w:rPr>
              <w:t>(1,950)</w:t>
            </w:r>
          </w:p>
        </w:tc>
        <w:tc>
          <w:tcPr>
            <w:tcW w:w="0" w:type="auto"/>
            <w:shd w:val="clear" w:color="auto" w:fill="FFFFFF"/>
            <w:tcMar>
              <w:top w:w="30" w:type="dxa"/>
              <w:left w:w="0" w:type="dxa"/>
              <w:bottom w:w="30" w:type="dxa"/>
              <w:right w:w="20" w:type="dxa"/>
            </w:tcMar>
            <w:vAlign w:val="center"/>
            <w:hideMark/>
          </w:tcPr>
          <w:p w14:paraId="0AEEB618" w14:textId="77777777" w:rsidR="00000000" w:rsidRDefault="00A173A8">
            <w:pPr>
              <w:spacing w:after="100"/>
              <w:jc w:val="right"/>
              <w:rPr>
                <w:rFonts w:eastAsia="Times New Roman"/>
              </w:rPr>
            </w:pPr>
          </w:p>
        </w:tc>
      </w:tr>
      <w:tr w:rsidR="00000000" w14:paraId="74D566A6" w14:textId="77777777">
        <w:trPr>
          <w:divId w:val="1380520592"/>
        </w:trPr>
        <w:tc>
          <w:tcPr>
            <w:tcW w:w="0" w:type="auto"/>
            <w:gridSpan w:val="3"/>
            <w:shd w:val="clear" w:color="auto" w:fill="CCEEFF"/>
            <w:tcMar>
              <w:top w:w="30" w:type="dxa"/>
              <w:left w:w="20" w:type="dxa"/>
              <w:bottom w:w="30" w:type="dxa"/>
              <w:right w:w="20" w:type="dxa"/>
            </w:tcMar>
            <w:vAlign w:val="center"/>
            <w:hideMark/>
          </w:tcPr>
          <w:p w14:paraId="751BC877" w14:textId="77777777" w:rsidR="00000000" w:rsidRDefault="00A173A8">
            <w:pPr>
              <w:spacing w:after="100"/>
              <w:rPr>
                <w:rFonts w:eastAsia="Times New Roman"/>
              </w:rPr>
            </w:pPr>
            <w:r>
              <w:rPr>
                <w:rFonts w:eastAsia="Times New Roman"/>
                <w:color w:val="000000"/>
                <w:sz w:val="16"/>
                <w:szCs w:val="16"/>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45E67545"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52DA22C" w14:textId="77777777" w:rsidR="00000000" w:rsidRDefault="00A173A8">
            <w:pPr>
              <w:spacing w:after="100"/>
              <w:jc w:val="right"/>
              <w:rPr>
                <w:rFonts w:eastAsia="Times New Roman"/>
              </w:rPr>
            </w:pPr>
            <w:r>
              <w:rPr>
                <w:rFonts w:eastAsia="Times New Roman"/>
                <w:color w:val="000000"/>
                <w:sz w:val="16"/>
                <w:szCs w:val="16"/>
              </w:rPr>
              <w:t>(2,161)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B33E1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62A6F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0AD2A8C" w14:textId="77777777" w:rsidR="00000000" w:rsidRDefault="00A173A8">
            <w:pPr>
              <w:spacing w:after="100"/>
              <w:jc w:val="right"/>
              <w:rPr>
                <w:rFonts w:eastAsia="Times New Roman"/>
              </w:rPr>
            </w:pPr>
            <w:r>
              <w:rPr>
                <w:rFonts w:eastAsia="Times New Roman"/>
                <w:color w:val="000000"/>
                <w:sz w:val="16"/>
                <w:szCs w:val="16"/>
              </w:rPr>
              <w:t>(170)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46399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D267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4584777" w14:textId="77777777" w:rsidR="00000000" w:rsidRDefault="00A173A8">
            <w:pPr>
              <w:spacing w:after="100"/>
              <w:jc w:val="right"/>
              <w:rPr>
                <w:rFonts w:eastAsia="Times New Roman"/>
              </w:rPr>
            </w:pPr>
            <w:r>
              <w:rPr>
                <w:rFonts w:eastAsia="Times New Roman"/>
                <w:color w:val="000000"/>
                <w:sz w:val="16"/>
                <w:szCs w:val="16"/>
              </w:rPr>
              <w:t>(2,331)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BA839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6E5C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BA3720" w14:textId="77777777" w:rsidR="00000000" w:rsidRDefault="00A173A8">
            <w:pPr>
              <w:spacing w:after="100"/>
              <w:jc w:val="right"/>
              <w:rPr>
                <w:rFonts w:eastAsia="Times New Roman"/>
              </w:rPr>
            </w:pPr>
            <w:r>
              <w:rPr>
                <w:rFonts w:eastAsia="Times New Roman"/>
                <w:color w:val="000000"/>
                <w:sz w:val="16"/>
                <w:szCs w:val="16"/>
              </w:rPr>
              <w:t>(493)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E177B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BA0D4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59B60C9" w14:textId="77777777" w:rsidR="00000000" w:rsidRDefault="00A173A8">
            <w:pPr>
              <w:spacing w:after="100"/>
              <w:jc w:val="right"/>
              <w:rPr>
                <w:rFonts w:eastAsia="Times New Roman"/>
              </w:rPr>
            </w:pPr>
            <w:r>
              <w:rPr>
                <w:rFonts w:eastAsia="Times New Roman"/>
                <w:color w:val="000000"/>
                <w:sz w:val="16"/>
                <w:szCs w:val="16"/>
              </w:rPr>
              <w:t>(19)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DCE79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E881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7A8BA11" w14:textId="77777777" w:rsidR="00000000" w:rsidRDefault="00A173A8">
            <w:pPr>
              <w:spacing w:after="100"/>
              <w:jc w:val="right"/>
              <w:rPr>
                <w:rFonts w:eastAsia="Times New Roman"/>
              </w:rPr>
            </w:pPr>
            <w:r>
              <w:rPr>
                <w:rFonts w:eastAsia="Times New Roman"/>
                <w:color w:val="000000"/>
                <w:sz w:val="16"/>
                <w:szCs w:val="16"/>
              </w:rPr>
              <w:t>(512)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F70FD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2799F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54BC53F" w14:textId="77777777" w:rsidR="00000000" w:rsidRDefault="00A173A8">
            <w:pPr>
              <w:spacing w:after="100"/>
              <w:jc w:val="right"/>
              <w:rPr>
                <w:rFonts w:eastAsia="Times New Roman"/>
              </w:rPr>
            </w:pPr>
            <w:r>
              <w:rPr>
                <w:rFonts w:eastAsia="Times New Roman"/>
                <w:color w:val="000000"/>
                <w:sz w:val="16"/>
                <w:szCs w:val="16"/>
              </w:rPr>
              <w:t>(388)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DAD43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CCD2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2806D9" w14:textId="77777777" w:rsidR="00000000" w:rsidRDefault="00A173A8">
            <w:pPr>
              <w:spacing w:after="100"/>
              <w:jc w:val="right"/>
              <w:rPr>
                <w:rFonts w:eastAsia="Times New Roman"/>
              </w:rPr>
            </w:pPr>
            <w:r>
              <w:rPr>
                <w:rFonts w:eastAsia="Times New Roman"/>
                <w:color w:val="000000"/>
                <w:sz w:val="16"/>
                <w:szCs w:val="16"/>
              </w:rPr>
              <w:t>(3,231)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9B81F4" w14:textId="77777777" w:rsidR="00000000" w:rsidRDefault="00A173A8">
            <w:pPr>
              <w:spacing w:after="100"/>
              <w:jc w:val="right"/>
              <w:rPr>
                <w:rFonts w:eastAsia="Times New Roman"/>
              </w:rPr>
            </w:pPr>
          </w:p>
        </w:tc>
      </w:tr>
      <w:tr w:rsidR="00000000" w14:paraId="20DCA7C3" w14:textId="77777777">
        <w:trPr>
          <w:divId w:val="1380520592"/>
        </w:trPr>
        <w:tc>
          <w:tcPr>
            <w:tcW w:w="0" w:type="auto"/>
            <w:gridSpan w:val="3"/>
            <w:shd w:val="clear" w:color="auto" w:fill="FFFFFF"/>
            <w:tcMar>
              <w:top w:w="30" w:type="dxa"/>
              <w:left w:w="20" w:type="dxa"/>
              <w:bottom w:w="30" w:type="dxa"/>
              <w:right w:w="20" w:type="dxa"/>
            </w:tcMar>
            <w:vAlign w:val="bottom"/>
            <w:hideMark/>
          </w:tcPr>
          <w:p w14:paraId="39CFD5A2" w14:textId="77777777" w:rsidR="00000000" w:rsidRDefault="00A173A8">
            <w:pPr>
              <w:spacing w:after="100"/>
              <w:divId w:val="1483738691"/>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14:paraId="75436DE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DC571E"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E06DAD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07164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EE2192" w14:textId="77777777" w:rsidR="00000000" w:rsidRDefault="00A173A8">
            <w:pPr>
              <w:spacing w:after="100"/>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center"/>
            <w:hideMark/>
          </w:tcPr>
          <w:p w14:paraId="748AA2F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B087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A1A21E" w14:textId="77777777" w:rsidR="00000000" w:rsidRDefault="00A173A8">
            <w:pPr>
              <w:spacing w:after="100"/>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center"/>
            <w:hideMark/>
          </w:tcPr>
          <w:p w14:paraId="7ED5124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2BA6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98D1AF"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9B1195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6E91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C9DFC4"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89A411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EDB0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E4872F"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E22FD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01E6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7B21EB"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FD11FA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B8C12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D6F3CD" w14:textId="77777777" w:rsidR="00000000" w:rsidRDefault="00A173A8">
            <w:pPr>
              <w:spacing w:after="100"/>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center"/>
            <w:hideMark/>
          </w:tcPr>
          <w:p w14:paraId="3753B1E6" w14:textId="77777777" w:rsidR="00000000" w:rsidRDefault="00A173A8">
            <w:pPr>
              <w:spacing w:after="100"/>
              <w:jc w:val="right"/>
              <w:rPr>
                <w:rFonts w:eastAsia="Times New Roman"/>
              </w:rPr>
            </w:pPr>
          </w:p>
        </w:tc>
      </w:tr>
      <w:tr w:rsidR="00000000" w14:paraId="4FF4C2A2" w14:textId="77777777">
        <w:trPr>
          <w:divId w:val="1380520592"/>
        </w:trPr>
        <w:tc>
          <w:tcPr>
            <w:tcW w:w="0" w:type="auto"/>
            <w:gridSpan w:val="3"/>
            <w:shd w:val="clear" w:color="auto" w:fill="CCEEFF"/>
            <w:tcMar>
              <w:top w:w="30" w:type="dxa"/>
              <w:left w:w="20" w:type="dxa"/>
              <w:bottom w:w="30" w:type="dxa"/>
              <w:right w:w="20" w:type="dxa"/>
            </w:tcMar>
            <w:vAlign w:val="bottom"/>
            <w:hideMark/>
          </w:tcPr>
          <w:p w14:paraId="4C1CAA32" w14:textId="77777777" w:rsidR="00000000" w:rsidRDefault="00A173A8">
            <w:pPr>
              <w:spacing w:after="100"/>
              <w:rPr>
                <w:rFonts w:eastAsia="Times New Roman"/>
              </w:rPr>
            </w:pPr>
            <w:r>
              <w:rPr>
                <w:rFonts w:eastAsia="Times New Roman"/>
                <w:color w:val="000000"/>
                <w:sz w:val="16"/>
                <w:szCs w:val="16"/>
              </w:rPr>
              <w:t>Balance as of June 30, 2021</w:t>
            </w:r>
          </w:p>
        </w:tc>
        <w:tc>
          <w:tcPr>
            <w:tcW w:w="0" w:type="auto"/>
            <w:gridSpan w:val="3"/>
            <w:shd w:val="clear" w:color="auto" w:fill="CCEEFF"/>
            <w:tcMar>
              <w:top w:w="0" w:type="dxa"/>
              <w:left w:w="20" w:type="dxa"/>
              <w:bottom w:w="0" w:type="dxa"/>
              <w:right w:w="20" w:type="dxa"/>
            </w:tcMar>
            <w:vAlign w:val="center"/>
            <w:hideMark/>
          </w:tcPr>
          <w:p w14:paraId="02BA2F83"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BBD64EB" w14:textId="77777777" w:rsidR="00000000" w:rsidRDefault="00A173A8">
            <w:pPr>
              <w:spacing w:after="100"/>
              <w:jc w:val="right"/>
              <w:rPr>
                <w:rFonts w:eastAsia="Times New Roman"/>
              </w:rPr>
            </w:pPr>
            <w:r>
              <w:rPr>
                <w:rFonts w:eastAsia="Times New Roman"/>
                <w:color w:val="000000"/>
                <w:sz w:val="16"/>
                <w:szCs w:val="16"/>
              </w:rPr>
              <w:t>8,489 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D56B4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8186D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1DDBDE" w14:textId="77777777" w:rsidR="00000000" w:rsidRDefault="00A173A8">
            <w:pPr>
              <w:spacing w:after="100"/>
              <w:jc w:val="right"/>
              <w:rPr>
                <w:rFonts w:eastAsia="Times New Roman"/>
              </w:rPr>
            </w:pPr>
            <w:r>
              <w:rPr>
                <w:rFonts w:eastAsia="Times New Roman"/>
                <w:color w:val="000000"/>
                <w:sz w:val="16"/>
                <w:szCs w:val="16"/>
              </w:rPr>
              <w:t>384 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8882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FCB09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0ECBFF" w14:textId="77777777" w:rsidR="00000000" w:rsidRDefault="00A173A8">
            <w:pPr>
              <w:spacing w:after="100"/>
              <w:jc w:val="right"/>
              <w:rPr>
                <w:rFonts w:eastAsia="Times New Roman"/>
              </w:rPr>
            </w:pPr>
            <w:r>
              <w:rPr>
                <w:rFonts w:eastAsia="Times New Roman"/>
                <w:color w:val="000000"/>
                <w:sz w:val="16"/>
                <w:szCs w:val="16"/>
              </w:rPr>
              <w:t>8,873 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B4D2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2A83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2BD39D" w14:textId="77777777" w:rsidR="00000000" w:rsidRDefault="00A173A8">
            <w:pPr>
              <w:spacing w:after="100"/>
              <w:jc w:val="right"/>
              <w:rPr>
                <w:rFonts w:eastAsia="Times New Roman"/>
              </w:rPr>
            </w:pPr>
            <w:r>
              <w:rPr>
                <w:rFonts w:eastAsia="Times New Roman"/>
                <w:color w:val="000000"/>
                <w:sz w:val="16"/>
                <w:szCs w:val="16"/>
              </w:rPr>
              <w:t>2,122 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62307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AE80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D42C6F" w14:textId="77777777" w:rsidR="00000000" w:rsidRDefault="00A173A8">
            <w:pPr>
              <w:spacing w:after="100"/>
              <w:jc w:val="right"/>
              <w:rPr>
                <w:rFonts w:eastAsia="Times New Roman"/>
              </w:rPr>
            </w:pPr>
            <w:r>
              <w:rPr>
                <w:rFonts w:eastAsia="Times New Roman"/>
                <w:color w:val="000000"/>
                <w:sz w:val="16"/>
                <w:szCs w:val="16"/>
              </w:rPr>
              <w:t>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B97AA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A290A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948E3E" w14:textId="77777777" w:rsidR="00000000" w:rsidRDefault="00A173A8">
            <w:pPr>
              <w:spacing w:after="100"/>
              <w:jc w:val="right"/>
              <w:rPr>
                <w:rFonts w:eastAsia="Times New Roman"/>
              </w:rPr>
            </w:pPr>
            <w:r>
              <w:rPr>
                <w:rFonts w:eastAsia="Times New Roman"/>
                <w:color w:val="000000"/>
                <w:sz w:val="16"/>
                <w:szCs w:val="16"/>
              </w:rPr>
              <w:t>2,203 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21BB1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14122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09ABCD" w14:textId="77777777" w:rsidR="00000000" w:rsidRDefault="00A173A8">
            <w:pPr>
              <w:spacing w:after="100"/>
              <w:jc w:val="right"/>
              <w:rPr>
                <w:rFonts w:eastAsia="Times New Roman"/>
              </w:rPr>
            </w:pPr>
            <w:r>
              <w:rPr>
                <w:rFonts w:eastAsia="Times New Roman"/>
                <w:color w:val="000000"/>
                <w:sz w:val="16"/>
                <w:szCs w:val="16"/>
              </w:rPr>
              <w:t>1,270 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10A98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44292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ECD00F" w14:textId="77777777" w:rsidR="00000000" w:rsidRDefault="00A173A8">
            <w:pPr>
              <w:spacing w:after="100"/>
              <w:jc w:val="right"/>
              <w:rPr>
                <w:rFonts w:eastAsia="Times New Roman"/>
              </w:rPr>
            </w:pPr>
            <w:r>
              <w:rPr>
                <w:rFonts w:eastAsia="Times New Roman"/>
                <w:color w:val="000000"/>
                <w:sz w:val="16"/>
                <w:szCs w:val="16"/>
              </w:rPr>
              <w:t>12,346 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F69D13" w14:textId="77777777" w:rsidR="00000000" w:rsidRDefault="00A173A8">
            <w:pPr>
              <w:spacing w:after="100"/>
              <w:jc w:val="right"/>
              <w:rPr>
                <w:rFonts w:eastAsia="Times New Roman"/>
              </w:rPr>
            </w:pPr>
          </w:p>
        </w:tc>
      </w:tr>
      <w:tr w:rsidR="00000000" w14:paraId="35E1AC5A" w14:textId="77777777">
        <w:trPr>
          <w:divId w:val="1380520592"/>
        </w:trPr>
        <w:tc>
          <w:tcPr>
            <w:tcW w:w="0" w:type="auto"/>
            <w:gridSpan w:val="3"/>
            <w:shd w:val="clear" w:color="auto" w:fill="FFFFFF"/>
            <w:tcMar>
              <w:top w:w="30" w:type="dxa"/>
              <w:left w:w="20" w:type="dxa"/>
              <w:bottom w:w="30" w:type="dxa"/>
              <w:right w:w="20" w:type="dxa"/>
            </w:tcMar>
            <w:vAlign w:val="bottom"/>
            <w:hideMark/>
          </w:tcPr>
          <w:p w14:paraId="7BDBADCB" w14:textId="77777777" w:rsidR="00000000" w:rsidRDefault="00A173A8">
            <w:pPr>
              <w:spacing w:after="100"/>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35A748FF"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A8290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3B4CA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F7C12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BB1C3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C36324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33FF3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D30C5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8D4F4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264EC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A9CE5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5CA39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FD7BA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7C8EC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7F3B0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08F668" w14:textId="77777777" w:rsidR="00000000" w:rsidRDefault="00A173A8">
            <w:pPr>
              <w:spacing w:after="100"/>
              <w:rPr>
                <w:rFonts w:eastAsia="Times New Roman"/>
                <w:sz w:val="20"/>
                <w:szCs w:val="20"/>
              </w:rPr>
            </w:pPr>
          </w:p>
        </w:tc>
      </w:tr>
      <w:tr w:rsidR="00000000" w14:paraId="7C396093" w14:textId="77777777">
        <w:trPr>
          <w:divId w:val="1380520592"/>
        </w:trPr>
        <w:tc>
          <w:tcPr>
            <w:tcW w:w="0" w:type="auto"/>
            <w:gridSpan w:val="3"/>
            <w:shd w:val="clear" w:color="auto" w:fill="CCEEFF"/>
            <w:tcMar>
              <w:top w:w="30" w:type="dxa"/>
              <w:left w:w="20" w:type="dxa"/>
              <w:bottom w:w="30" w:type="dxa"/>
              <w:right w:w="20" w:type="dxa"/>
            </w:tcMar>
            <w:vAlign w:val="bottom"/>
            <w:hideMark/>
          </w:tcPr>
          <w:p w14:paraId="2D9DD7DB" w14:textId="77777777" w:rsidR="00000000" w:rsidRDefault="00A173A8">
            <w:pPr>
              <w:spacing w:after="100"/>
              <w:rPr>
                <w:rFonts w:eastAsia="Times New Roman"/>
              </w:rPr>
            </w:pPr>
            <w:r>
              <w:rPr>
                <w:rFonts w:eastAsia="Times New Roman"/>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14:paraId="1B6EBA4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1EC5DAE"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3D29EA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E0AC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8F1F32"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EACAAE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4ABB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DB8E5A"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FF0DF7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AEBF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FA7077"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1B95EF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E275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B8121E"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19BD6C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8A530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9FEDC3"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57130D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BDAF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BBD8F2" w14:textId="77777777" w:rsidR="00000000" w:rsidRDefault="00A173A8">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14:paraId="377EA3F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6064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0C1582" w14:textId="77777777" w:rsidR="00000000" w:rsidRDefault="00A173A8">
            <w:pPr>
              <w:spacing w:after="100"/>
              <w:jc w:val="right"/>
              <w:rPr>
                <w:rFonts w:eastAsia="Times New Roman"/>
              </w:rPr>
            </w:pPr>
            <w:r>
              <w:rPr>
                <w:rFonts w:eastAsia="Times New Roman"/>
                <w:color w:val="000000"/>
                <w:sz w:val="16"/>
                <w:szCs w:val="16"/>
              </w:rPr>
              <w:t>195 </w:t>
            </w:r>
          </w:p>
        </w:tc>
        <w:tc>
          <w:tcPr>
            <w:tcW w:w="0" w:type="auto"/>
            <w:shd w:val="clear" w:color="auto" w:fill="CCEEFF"/>
            <w:tcMar>
              <w:top w:w="30" w:type="dxa"/>
              <w:left w:w="0" w:type="dxa"/>
              <w:bottom w:w="30" w:type="dxa"/>
              <w:right w:w="20" w:type="dxa"/>
            </w:tcMar>
            <w:vAlign w:val="center"/>
            <w:hideMark/>
          </w:tcPr>
          <w:p w14:paraId="2BA1E0CA" w14:textId="77777777" w:rsidR="00000000" w:rsidRDefault="00A173A8">
            <w:pPr>
              <w:spacing w:after="100"/>
              <w:jc w:val="right"/>
              <w:rPr>
                <w:rFonts w:eastAsia="Times New Roman"/>
              </w:rPr>
            </w:pPr>
          </w:p>
        </w:tc>
      </w:tr>
      <w:tr w:rsidR="00000000" w14:paraId="38601AFE" w14:textId="77777777">
        <w:trPr>
          <w:divId w:val="1380520592"/>
        </w:trPr>
        <w:tc>
          <w:tcPr>
            <w:tcW w:w="0" w:type="auto"/>
            <w:gridSpan w:val="3"/>
            <w:shd w:val="clear" w:color="auto" w:fill="FFFFFF"/>
            <w:tcMar>
              <w:top w:w="30" w:type="dxa"/>
              <w:left w:w="20" w:type="dxa"/>
              <w:bottom w:w="30" w:type="dxa"/>
              <w:right w:w="20" w:type="dxa"/>
            </w:tcMar>
            <w:vAlign w:val="center"/>
            <w:hideMark/>
          </w:tcPr>
          <w:p w14:paraId="403AD446" w14:textId="77777777" w:rsidR="00000000" w:rsidRDefault="00A173A8">
            <w:pPr>
              <w:spacing w:after="100"/>
              <w:rPr>
                <w:rFonts w:eastAsia="Times New Roman"/>
              </w:rPr>
            </w:pPr>
            <w:r>
              <w:rPr>
                <w:rFonts w:eastAsia="Times New Roman"/>
                <w:color w:val="000000"/>
                <w:sz w:val="16"/>
                <w:szCs w:val="16"/>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2BEE586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1C2FCA6"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0636F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E045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E87CE0"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10B9B5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2CC6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78013B"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AD3F34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993A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128733"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FD969F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C3430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EE7D7D"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351157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B1C6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25A73B" w14:textId="77777777" w:rsidR="00000000" w:rsidRDefault="00A173A8">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A8D51B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846D5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635B40" w14:textId="77777777" w:rsidR="00000000" w:rsidRDefault="00A173A8">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center"/>
            <w:hideMark/>
          </w:tcPr>
          <w:p w14:paraId="5FB08C6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62ED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3EF000" w14:textId="77777777" w:rsidR="00000000" w:rsidRDefault="00A173A8">
            <w:pPr>
              <w:spacing w:after="100"/>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center"/>
            <w:hideMark/>
          </w:tcPr>
          <w:p w14:paraId="5C8A154D" w14:textId="77777777" w:rsidR="00000000" w:rsidRDefault="00A173A8">
            <w:pPr>
              <w:spacing w:after="100"/>
              <w:jc w:val="right"/>
              <w:rPr>
                <w:rFonts w:eastAsia="Times New Roman"/>
              </w:rPr>
            </w:pPr>
          </w:p>
        </w:tc>
      </w:tr>
      <w:tr w:rsidR="00000000" w14:paraId="22ED0FA5" w14:textId="77777777">
        <w:trPr>
          <w:divId w:val="1380520592"/>
        </w:trPr>
        <w:tc>
          <w:tcPr>
            <w:tcW w:w="0" w:type="auto"/>
            <w:gridSpan w:val="3"/>
            <w:shd w:val="clear" w:color="auto" w:fill="CCEEFF"/>
            <w:tcMar>
              <w:top w:w="30" w:type="dxa"/>
              <w:left w:w="20" w:type="dxa"/>
              <w:bottom w:w="30" w:type="dxa"/>
              <w:right w:w="20" w:type="dxa"/>
            </w:tcMar>
            <w:vAlign w:val="bottom"/>
            <w:hideMark/>
          </w:tcPr>
          <w:p w14:paraId="59F84AF4" w14:textId="77777777" w:rsidR="00000000" w:rsidRDefault="00A173A8">
            <w:pPr>
              <w:spacing w:after="100"/>
              <w:rPr>
                <w:rFonts w:eastAsia="Times New Roman"/>
              </w:rPr>
            </w:pPr>
            <w:r>
              <w:rPr>
                <w:rFonts w:eastAsia="Times New Roman"/>
                <w:color w:val="000000"/>
                <w:sz w:val="16"/>
                <w:szCs w:val="16"/>
              </w:rPr>
              <w:t>Balance as of June 30, 2021</w:t>
            </w:r>
          </w:p>
        </w:tc>
        <w:tc>
          <w:tcPr>
            <w:tcW w:w="0" w:type="auto"/>
            <w:gridSpan w:val="3"/>
            <w:shd w:val="clear" w:color="auto" w:fill="CCEEFF"/>
            <w:tcMar>
              <w:top w:w="0" w:type="dxa"/>
              <w:left w:w="20" w:type="dxa"/>
              <w:bottom w:w="0" w:type="dxa"/>
              <w:right w:w="20" w:type="dxa"/>
            </w:tcMar>
            <w:vAlign w:val="center"/>
            <w:hideMark/>
          </w:tcPr>
          <w:p w14:paraId="256053D3"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7C8FAE"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A0F1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685F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2D8E39"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B5FD7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9B97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DDC288"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7CB83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4FE6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8FE9F7"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0F85F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9246E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BB67897"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3CF19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C818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D0D0F5" w14:textId="77777777" w:rsidR="00000000" w:rsidRDefault="00A173A8">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ED2F7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42571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01336E3" w14:textId="77777777" w:rsidR="00000000" w:rsidRDefault="00A173A8">
            <w:pPr>
              <w:spacing w:after="100"/>
              <w:jc w:val="right"/>
              <w:rPr>
                <w:rFonts w:eastAsia="Times New Roman"/>
              </w:rPr>
            </w:pPr>
            <w:r>
              <w:rPr>
                <w:rFonts w:eastAsia="Times New Roman"/>
                <w:color w:val="000000"/>
                <w:sz w:val="16"/>
                <w:szCs w:val="16"/>
              </w:rPr>
              <w:t>164 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C2D8B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FB47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FB8257" w14:textId="77777777" w:rsidR="00000000" w:rsidRDefault="00A173A8">
            <w:pPr>
              <w:spacing w:after="100"/>
              <w:jc w:val="right"/>
              <w:rPr>
                <w:rFonts w:eastAsia="Times New Roman"/>
              </w:rPr>
            </w:pPr>
            <w:r>
              <w:rPr>
                <w:rFonts w:eastAsia="Times New Roman"/>
                <w:color w:val="000000"/>
                <w:sz w:val="16"/>
                <w:szCs w:val="16"/>
              </w:rPr>
              <w:t>164 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C40B29" w14:textId="77777777" w:rsidR="00000000" w:rsidRDefault="00A173A8">
            <w:pPr>
              <w:spacing w:after="100"/>
              <w:jc w:val="right"/>
              <w:rPr>
                <w:rFonts w:eastAsia="Times New Roman"/>
              </w:rPr>
            </w:pPr>
          </w:p>
        </w:tc>
      </w:tr>
      <w:tr w:rsidR="00A173A8" w14:paraId="3E8DC449" w14:textId="77777777">
        <w:trPr>
          <w:divId w:val="1380520592"/>
        </w:trPr>
        <w:tc>
          <w:tcPr>
            <w:tcW w:w="0" w:type="auto"/>
            <w:gridSpan w:val="3"/>
            <w:shd w:val="clear" w:color="auto" w:fill="FFFFFF"/>
            <w:tcMar>
              <w:top w:w="30" w:type="dxa"/>
              <w:left w:w="20" w:type="dxa"/>
              <w:bottom w:w="30" w:type="dxa"/>
              <w:right w:w="20" w:type="dxa"/>
            </w:tcMar>
            <w:vAlign w:val="bottom"/>
            <w:hideMark/>
          </w:tcPr>
          <w:p w14:paraId="7B7DE80E" w14:textId="77777777" w:rsidR="00000000" w:rsidRDefault="00A173A8">
            <w:pPr>
              <w:spacing w:after="100"/>
              <w:rPr>
                <w:rFonts w:eastAsia="Times New Roman"/>
              </w:rPr>
            </w:pPr>
            <w:r>
              <w:rPr>
                <w:rFonts w:eastAsia="Times New Roman"/>
                <w:b/>
                <w:bCs/>
                <w:color w:val="000000"/>
                <w:sz w:val="16"/>
                <w:szCs w:val="16"/>
              </w:rPr>
              <w:t>Combined allowance and reserve as of June 30, 2021</w:t>
            </w:r>
          </w:p>
        </w:tc>
        <w:tc>
          <w:tcPr>
            <w:tcW w:w="0" w:type="auto"/>
            <w:gridSpan w:val="3"/>
            <w:shd w:val="clear" w:color="auto" w:fill="FFFFFF"/>
            <w:tcMar>
              <w:top w:w="0" w:type="dxa"/>
              <w:left w:w="20" w:type="dxa"/>
              <w:bottom w:w="0" w:type="dxa"/>
              <w:right w:w="20" w:type="dxa"/>
            </w:tcMar>
            <w:vAlign w:val="center"/>
            <w:hideMark/>
          </w:tcPr>
          <w:p w14:paraId="283C6D5A"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13BF0BC"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38F2A5F" w14:textId="77777777" w:rsidR="00000000" w:rsidRDefault="00A173A8">
            <w:pPr>
              <w:spacing w:after="100"/>
              <w:jc w:val="right"/>
              <w:rPr>
                <w:rFonts w:eastAsia="Times New Roman"/>
              </w:rPr>
            </w:pPr>
            <w:r>
              <w:rPr>
                <w:rFonts w:eastAsia="Times New Roman"/>
                <w:color w:val="000000"/>
                <w:sz w:val="16"/>
                <w:szCs w:val="16"/>
              </w:rPr>
              <w:t>8,489 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65962B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2BF48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7507273"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4438158" w14:textId="77777777" w:rsidR="00000000" w:rsidRDefault="00A173A8">
            <w:pPr>
              <w:spacing w:after="100"/>
              <w:jc w:val="right"/>
              <w:rPr>
                <w:rFonts w:eastAsia="Times New Roman"/>
              </w:rPr>
            </w:pPr>
            <w:r>
              <w:rPr>
                <w:rFonts w:eastAsia="Times New Roman"/>
                <w:color w:val="000000"/>
                <w:sz w:val="16"/>
                <w:szCs w:val="16"/>
              </w:rPr>
              <w:t>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CC5BF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0E96A"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A475E59" w14:textId="77777777" w:rsidR="00000000" w:rsidRDefault="00A173A8">
            <w:pPr>
              <w:spacing w:after="100"/>
              <w:rPr>
                <w:rFonts w:eastAsia="Times New Roman"/>
              </w:rPr>
            </w:pPr>
            <w:r>
              <w:rPr>
                <w:rFonts w:eastAsia="Times New Roman"/>
                <w:color w:val="000000"/>
                <w:sz w:val="15"/>
                <w:szCs w:val="15"/>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EFB6A2C" w14:textId="77777777" w:rsidR="00000000" w:rsidRDefault="00A173A8">
            <w:pPr>
              <w:spacing w:after="100"/>
              <w:jc w:val="right"/>
              <w:rPr>
                <w:rFonts w:eastAsia="Times New Roman"/>
              </w:rPr>
            </w:pPr>
            <w:r>
              <w:rPr>
                <w:rFonts w:eastAsia="Times New Roman"/>
                <w:color w:val="000000"/>
                <w:sz w:val="15"/>
                <w:szCs w:val="15"/>
              </w:rPr>
              <w:t>8,873 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E2525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0E224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346D078"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EB86608" w14:textId="77777777" w:rsidR="00000000" w:rsidRDefault="00A173A8">
            <w:pPr>
              <w:spacing w:after="100"/>
              <w:jc w:val="right"/>
              <w:rPr>
                <w:rFonts w:eastAsia="Times New Roman"/>
              </w:rPr>
            </w:pPr>
            <w:r>
              <w:rPr>
                <w:rFonts w:eastAsia="Times New Roman"/>
                <w:color w:val="000000"/>
                <w:sz w:val="16"/>
                <w:szCs w:val="16"/>
              </w:rPr>
              <w:t>2,122 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32F23F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3732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E57065"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8158247" w14:textId="77777777" w:rsidR="00000000" w:rsidRDefault="00A173A8">
            <w:pPr>
              <w:spacing w:after="100"/>
              <w:jc w:val="right"/>
              <w:rPr>
                <w:rFonts w:eastAsia="Times New Roman"/>
              </w:rPr>
            </w:pPr>
            <w:r>
              <w:rPr>
                <w:rFonts w:eastAsia="Times New Roman"/>
                <w:color w:val="000000"/>
                <w:sz w:val="16"/>
                <w:szCs w:val="16"/>
              </w:rPr>
              <w:t>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C338F0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023DA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E03571A"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13165D4" w14:textId="77777777" w:rsidR="00000000" w:rsidRDefault="00A173A8">
            <w:pPr>
              <w:spacing w:after="100"/>
              <w:jc w:val="right"/>
              <w:rPr>
                <w:rFonts w:eastAsia="Times New Roman"/>
              </w:rPr>
            </w:pPr>
            <w:r>
              <w:rPr>
                <w:rFonts w:eastAsia="Times New Roman"/>
                <w:color w:val="000000"/>
                <w:sz w:val="16"/>
                <w:szCs w:val="16"/>
              </w:rPr>
              <w:t>2,203 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F1C205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1E83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B06B024"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AA04253" w14:textId="77777777" w:rsidR="00000000" w:rsidRDefault="00A173A8">
            <w:pPr>
              <w:spacing w:after="100"/>
              <w:jc w:val="right"/>
              <w:rPr>
                <w:rFonts w:eastAsia="Times New Roman"/>
              </w:rPr>
            </w:pPr>
            <w:r>
              <w:rPr>
                <w:rFonts w:eastAsia="Times New Roman"/>
                <w:color w:val="000000"/>
                <w:sz w:val="16"/>
                <w:szCs w:val="16"/>
              </w:rPr>
              <w:t>1,434 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11D3DB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D4C3CF"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268B67D"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62DB9FF" w14:textId="77777777" w:rsidR="00000000" w:rsidRDefault="00A173A8">
            <w:pPr>
              <w:spacing w:after="100"/>
              <w:jc w:val="right"/>
              <w:rPr>
                <w:rFonts w:eastAsia="Times New Roman"/>
              </w:rPr>
            </w:pPr>
            <w:r>
              <w:rPr>
                <w:rFonts w:eastAsia="Times New Roman"/>
                <w:color w:val="000000"/>
                <w:sz w:val="16"/>
                <w:szCs w:val="16"/>
              </w:rPr>
              <w:t>12,510 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3452448" w14:textId="77777777" w:rsidR="00000000" w:rsidRDefault="00A173A8">
            <w:pPr>
              <w:spacing w:after="100"/>
              <w:jc w:val="right"/>
              <w:rPr>
                <w:rFonts w:eastAsia="Times New Roman"/>
              </w:rPr>
            </w:pPr>
          </w:p>
        </w:tc>
      </w:tr>
    </w:tbl>
    <w:p w14:paraId="5FAFEE2C" w14:textId="77777777" w:rsidR="00000000" w:rsidRDefault="00A173A8">
      <w:pPr>
        <w:jc w:val="both"/>
        <w:divId w:val="1380520592"/>
        <w:rPr>
          <w:rFonts w:eastAsia="Times New Roman"/>
        </w:rPr>
      </w:pPr>
      <w:r>
        <w:rPr>
          <w:rFonts w:eastAsia="Times New Roman"/>
          <w:color w:val="000000"/>
          <w:sz w:val="20"/>
          <w:szCs w:val="20"/>
        </w:rPr>
        <w:t>__________</w:t>
      </w:r>
    </w:p>
    <w:p w14:paraId="7B50FD06" w14:textId="77777777" w:rsidR="00000000" w:rsidRDefault="00A173A8">
      <w:pPr>
        <w:ind w:hanging="360"/>
        <w:jc w:val="both"/>
        <w:divId w:val="42712346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w:t>
      </w:r>
      <w:r>
        <w:rPr>
          <w:rFonts w:eastAsia="Times New Roman"/>
          <w:color w:val="000000"/>
          <w:sz w:val="16"/>
          <w:szCs w:val="16"/>
        </w:rPr>
        <w:t>ategies, which are based on customer behavior and risk profile and include direct customer communications, repossession of collateral, the periodic sale of charged off loans as well as additional strategies, such as litigation.</w:t>
      </w:r>
    </w:p>
    <w:p w14:paraId="6D07D6B9" w14:textId="77777777" w:rsidR="00000000" w:rsidRDefault="00A173A8">
      <w:pPr>
        <w:ind w:hanging="360"/>
        <w:jc w:val="both"/>
        <w:divId w:val="180461183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w:t>
      </w:r>
      <w:r>
        <w:rPr>
          <w:rFonts w:eastAsia="Times New Roman"/>
          <w:color w:val="000000"/>
          <w:sz w:val="16"/>
          <w:szCs w:val="16"/>
        </w:rPr>
        <w:t>cy translation adjustments.</w:t>
      </w:r>
    </w:p>
    <w:p w14:paraId="60C567AC" w14:textId="77777777" w:rsidR="00000000" w:rsidRDefault="00A173A8">
      <w:pPr>
        <w:jc w:val="both"/>
        <w:divId w:val="1210144644"/>
        <w:rPr>
          <w:rFonts w:eastAsia="Times New Roman"/>
        </w:rPr>
      </w:pPr>
      <w:r>
        <w:rPr>
          <w:rFonts w:eastAsia="Times New Roman"/>
          <w:color w:val="000000"/>
          <w:sz w:val="20"/>
          <w:szCs w:val="20"/>
        </w:rPr>
        <w:t>Allowance coverage ratios are calculated based on the allowance for credit losses for each specified portfolio segment divided by period-end loans held for investment within the specified loan category, as defined below. Table 2</w:t>
      </w:r>
      <w:r>
        <w:rPr>
          <w:rFonts w:eastAsia="Times New Roman"/>
          <w:color w:val="000000"/>
          <w:sz w:val="20"/>
          <w:szCs w:val="20"/>
        </w:rPr>
        <w:t xml:space="preserve">9 presents the allowance coverage ratios as of June 30, 2022 and December 31, 2021. </w:t>
      </w:r>
    </w:p>
    <w:p w14:paraId="1027240E" w14:textId="77777777" w:rsidR="00000000" w:rsidRDefault="00A173A8">
      <w:pPr>
        <w:divId w:val="1168790017"/>
        <w:rPr>
          <w:rFonts w:eastAsia="Times New Roman"/>
        </w:rPr>
      </w:pPr>
      <w:r>
        <w:rPr>
          <w:rFonts w:eastAsia="Times New Roman"/>
          <w:b/>
          <w:bCs/>
          <w:color w:val="000000"/>
          <w:sz w:val="18"/>
          <w:szCs w:val="18"/>
        </w:rPr>
        <w:t>Table 29: Allowance Coverage Ratios for Specified Loan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2565"/>
        <w:gridCol w:w="38"/>
        <w:gridCol w:w="36"/>
        <w:gridCol w:w="36"/>
        <w:gridCol w:w="36"/>
        <w:gridCol w:w="111"/>
        <w:gridCol w:w="658"/>
        <w:gridCol w:w="36"/>
        <w:gridCol w:w="36"/>
        <w:gridCol w:w="36"/>
        <w:gridCol w:w="36"/>
        <w:gridCol w:w="111"/>
        <w:gridCol w:w="627"/>
        <w:gridCol w:w="36"/>
        <w:gridCol w:w="36"/>
        <w:gridCol w:w="36"/>
        <w:gridCol w:w="36"/>
        <w:gridCol w:w="86"/>
        <w:gridCol w:w="658"/>
        <w:gridCol w:w="200"/>
        <w:gridCol w:w="36"/>
        <w:gridCol w:w="36"/>
        <w:gridCol w:w="36"/>
        <w:gridCol w:w="111"/>
        <w:gridCol w:w="658"/>
        <w:gridCol w:w="36"/>
        <w:gridCol w:w="36"/>
        <w:gridCol w:w="36"/>
        <w:gridCol w:w="36"/>
        <w:gridCol w:w="111"/>
        <w:gridCol w:w="627"/>
        <w:gridCol w:w="36"/>
        <w:gridCol w:w="36"/>
        <w:gridCol w:w="36"/>
        <w:gridCol w:w="36"/>
        <w:gridCol w:w="84"/>
        <w:gridCol w:w="660"/>
        <w:gridCol w:w="170"/>
      </w:tblGrid>
      <w:tr w:rsidR="00000000" w14:paraId="350381CA" w14:textId="77777777">
        <w:trPr>
          <w:divId w:val="1168790017"/>
        </w:trPr>
        <w:tc>
          <w:tcPr>
            <w:tcW w:w="50" w:type="pct"/>
            <w:vAlign w:val="center"/>
            <w:hideMark/>
          </w:tcPr>
          <w:p w14:paraId="489ED625" w14:textId="77777777" w:rsidR="00000000" w:rsidRDefault="00A173A8">
            <w:pPr>
              <w:rPr>
                <w:rFonts w:eastAsia="Times New Roman"/>
              </w:rPr>
            </w:pPr>
          </w:p>
        </w:tc>
        <w:tc>
          <w:tcPr>
            <w:tcW w:w="2079" w:type="pct"/>
            <w:vAlign w:val="center"/>
            <w:hideMark/>
          </w:tcPr>
          <w:p w14:paraId="108A37F7" w14:textId="77777777" w:rsidR="00000000" w:rsidRDefault="00A173A8">
            <w:pPr>
              <w:spacing w:after="100"/>
              <w:rPr>
                <w:rFonts w:eastAsia="Times New Roman"/>
                <w:sz w:val="20"/>
                <w:szCs w:val="20"/>
              </w:rPr>
            </w:pPr>
          </w:p>
        </w:tc>
        <w:tc>
          <w:tcPr>
            <w:tcW w:w="5" w:type="pct"/>
            <w:vAlign w:val="center"/>
            <w:hideMark/>
          </w:tcPr>
          <w:p w14:paraId="2191AF23" w14:textId="77777777" w:rsidR="00000000" w:rsidRDefault="00A173A8">
            <w:pPr>
              <w:spacing w:after="100"/>
              <w:rPr>
                <w:rFonts w:eastAsia="Times New Roman"/>
                <w:sz w:val="20"/>
                <w:szCs w:val="20"/>
              </w:rPr>
            </w:pPr>
          </w:p>
        </w:tc>
        <w:tc>
          <w:tcPr>
            <w:tcW w:w="5" w:type="pct"/>
            <w:vAlign w:val="center"/>
            <w:hideMark/>
          </w:tcPr>
          <w:p w14:paraId="6CF8923A" w14:textId="77777777" w:rsidR="00000000" w:rsidRDefault="00A173A8">
            <w:pPr>
              <w:spacing w:after="100"/>
              <w:rPr>
                <w:rFonts w:eastAsia="Times New Roman"/>
                <w:sz w:val="20"/>
                <w:szCs w:val="20"/>
              </w:rPr>
            </w:pPr>
          </w:p>
        </w:tc>
        <w:tc>
          <w:tcPr>
            <w:tcW w:w="26" w:type="pct"/>
            <w:vAlign w:val="center"/>
            <w:hideMark/>
          </w:tcPr>
          <w:p w14:paraId="170EA3F9" w14:textId="77777777" w:rsidR="00000000" w:rsidRDefault="00A173A8">
            <w:pPr>
              <w:spacing w:after="100"/>
              <w:rPr>
                <w:rFonts w:eastAsia="Times New Roman"/>
                <w:sz w:val="20"/>
                <w:szCs w:val="20"/>
              </w:rPr>
            </w:pPr>
          </w:p>
        </w:tc>
        <w:tc>
          <w:tcPr>
            <w:tcW w:w="5" w:type="pct"/>
            <w:vAlign w:val="center"/>
            <w:hideMark/>
          </w:tcPr>
          <w:p w14:paraId="27B54653" w14:textId="77777777" w:rsidR="00000000" w:rsidRDefault="00A173A8">
            <w:pPr>
              <w:spacing w:after="100"/>
              <w:rPr>
                <w:rFonts w:eastAsia="Times New Roman"/>
                <w:sz w:val="20"/>
                <w:szCs w:val="20"/>
              </w:rPr>
            </w:pPr>
          </w:p>
        </w:tc>
        <w:tc>
          <w:tcPr>
            <w:tcW w:w="50" w:type="pct"/>
            <w:vAlign w:val="center"/>
            <w:hideMark/>
          </w:tcPr>
          <w:p w14:paraId="7057A0D6" w14:textId="77777777" w:rsidR="00000000" w:rsidRDefault="00A173A8">
            <w:pPr>
              <w:spacing w:after="100"/>
              <w:rPr>
                <w:rFonts w:eastAsia="Times New Roman"/>
                <w:sz w:val="20"/>
                <w:szCs w:val="20"/>
              </w:rPr>
            </w:pPr>
          </w:p>
        </w:tc>
        <w:tc>
          <w:tcPr>
            <w:tcW w:w="383" w:type="pct"/>
            <w:vAlign w:val="center"/>
            <w:hideMark/>
          </w:tcPr>
          <w:p w14:paraId="6CC224E8" w14:textId="77777777" w:rsidR="00000000" w:rsidRDefault="00A173A8">
            <w:pPr>
              <w:spacing w:after="100"/>
              <w:rPr>
                <w:rFonts w:eastAsia="Times New Roman"/>
                <w:sz w:val="20"/>
                <w:szCs w:val="20"/>
              </w:rPr>
            </w:pPr>
          </w:p>
        </w:tc>
        <w:tc>
          <w:tcPr>
            <w:tcW w:w="5" w:type="pct"/>
            <w:vAlign w:val="center"/>
            <w:hideMark/>
          </w:tcPr>
          <w:p w14:paraId="6F0EB929" w14:textId="77777777" w:rsidR="00000000" w:rsidRDefault="00A173A8">
            <w:pPr>
              <w:spacing w:after="100"/>
              <w:rPr>
                <w:rFonts w:eastAsia="Times New Roman"/>
                <w:sz w:val="20"/>
                <w:szCs w:val="20"/>
              </w:rPr>
            </w:pPr>
          </w:p>
        </w:tc>
        <w:tc>
          <w:tcPr>
            <w:tcW w:w="5" w:type="pct"/>
            <w:vAlign w:val="center"/>
            <w:hideMark/>
          </w:tcPr>
          <w:p w14:paraId="22E254DB" w14:textId="77777777" w:rsidR="00000000" w:rsidRDefault="00A173A8">
            <w:pPr>
              <w:spacing w:after="100"/>
              <w:rPr>
                <w:rFonts w:eastAsia="Times New Roman"/>
                <w:sz w:val="20"/>
                <w:szCs w:val="20"/>
              </w:rPr>
            </w:pPr>
          </w:p>
        </w:tc>
        <w:tc>
          <w:tcPr>
            <w:tcW w:w="26" w:type="pct"/>
            <w:vAlign w:val="center"/>
            <w:hideMark/>
          </w:tcPr>
          <w:p w14:paraId="5FDE0BE1" w14:textId="77777777" w:rsidR="00000000" w:rsidRDefault="00A173A8">
            <w:pPr>
              <w:spacing w:after="100"/>
              <w:rPr>
                <w:rFonts w:eastAsia="Times New Roman"/>
                <w:sz w:val="20"/>
                <w:szCs w:val="20"/>
              </w:rPr>
            </w:pPr>
          </w:p>
        </w:tc>
        <w:tc>
          <w:tcPr>
            <w:tcW w:w="5" w:type="pct"/>
            <w:vAlign w:val="center"/>
            <w:hideMark/>
          </w:tcPr>
          <w:p w14:paraId="647AAB06" w14:textId="77777777" w:rsidR="00000000" w:rsidRDefault="00A173A8">
            <w:pPr>
              <w:spacing w:after="100"/>
              <w:rPr>
                <w:rFonts w:eastAsia="Times New Roman"/>
                <w:sz w:val="20"/>
                <w:szCs w:val="20"/>
              </w:rPr>
            </w:pPr>
          </w:p>
        </w:tc>
        <w:tc>
          <w:tcPr>
            <w:tcW w:w="50" w:type="pct"/>
            <w:vAlign w:val="center"/>
            <w:hideMark/>
          </w:tcPr>
          <w:p w14:paraId="510001C9" w14:textId="77777777" w:rsidR="00000000" w:rsidRDefault="00A173A8">
            <w:pPr>
              <w:spacing w:after="100"/>
              <w:rPr>
                <w:rFonts w:eastAsia="Times New Roman"/>
                <w:sz w:val="20"/>
                <w:szCs w:val="20"/>
              </w:rPr>
            </w:pPr>
          </w:p>
        </w:tc>
        <w:tc>
          <w:tcPr>
            <w:tcW w:w="383" w:type="pct"/>
            <w:vAlign w:val="center"/>
            <w:hideMark/>
          </w:tcPr>
          <w:p w14:paraId="0851587C" w14:textId="77777777" w:rsidR="00000000" w:rsidRDefault="00A173A8">
            <w:pPr>
              <w:spacing w:after="100"/>
              <w:rPr>
                <w:rFonts w:eastAsia="Times New Roman"/>
                <w:sz w:val="20"/>
                <w:szCs w:val="20"/>
              </w:rPr>
            </w:pPr>
          </w:p>
        </w:tc>
        <w:tc>
          <w:tcPr>
            <w:tcW w:w="5" w:type="pct"/>
            <w:vAlign w:val="center"/>
            <w:hideMark/>
          </w:tcPr>
          <w:p w14:paraId="33BC4612" w14:textId="77777777" w:rsidR="00000000" w:rsidRDefault="00A173A8">
            <w:pPr>
              <w:spacing w:after="100"/>
              <w:rPr>
                <w:rFonts w:eastAsia="Times New Roman"/>
                <w:sz w:val="20"/>
                <w:szCs w:val="20"/>
              </w:rPr>
            </w:pPr>
          </w:p>
        </w:tc>
        <w:tc>
          <w:tcPr>
            <w:tcW w:w="5" w:type="pct"/>
            <w:vAlign w:val="center"/>
            <w:hideMark/>
          </w:tcPr>
          <w:p w14:paraId="58D8DCC8" w14:textId="77777777" w:rsidR="00000000" w:rsidRDefault="00A173A8">
            <w:pPr>
              <w:spacing w:after="100"/>
              <w:rPr>
                <w:rFonts w:eastAsia="Times New Roman"/>
                <w:sz w:val="20"/>
                <w:szCs w:val="20"/>
              </w:rPr>
            </w:pPr>
          </w:p>
        </w:tc>
        <w:tc>
          <w:tcPr>
            <w:tcW w:w="26" w:type="pct"/>
            <w:vAlign w:val="center"/>
            <w:hideMark/>
          </w:tcPr>
          <w:p w14:paraId="129ABFFF" w14:textId="77777777" w:rsidR="00000000" w:rsidRDefault="00A173A8">
            <w:pPr>
              <w:spacing w:after="100"/>
              <w:rPr>
                <w:rFonts w:eastAsia="Times New Roman"/>
                <w:sz w:val="20"/>
                <w:szCs w:val="20"/>
              </w:rPr>
            </w:pPr>
          </w:p>
        </w:tc>
        <w:tc>
          <w:tcPr>
            <w:tcW w:w="5" w:type="pct"/>
            <w:vAlign w:val="center"/>
            <w:hideMark/>
          </w:tcPr>
          <w:p w14:paraId="55C45D39" w14:textId="77777777" w:rsidR="00000000" w:rsidRDefault="00A173A8">
            <w:pPr>
              <w:spacing w:after="100"/>
              <w:rPr>
                <w:rFonts w:eastAsia="Times New Roman"/>
                <w:sz w:val="20"/>
                <w:szCs w:val="20"/>
              </w:rPr>
            </w:pPr>
          </w:p>
        </w:tc>
        <w:tc>
          <w:tcPr>
            <w:tcW w:w="50" w:type="pct"/>
            <w:vAlign w:val="center"/>
            <w:hideMark/>
          </w:tcPr>
          <w:p w14:paraId="69392766" w14:textId="77777777" w:rsidR="00000000" w:rsidRDefault="00A173A8">
            <w:pPr>
              <w:spacing w:after="100"/>
              <w:rPr>
                <w:rFonts w:eastAsia="Times New Roman"/>
                <w:sz w:val="20"/>
                <w:szCs w:val="20"/>
              </w:rPr>
            </w:pPr>
          </w:p>
        </w:tc>
        <w:tc>
          <w:tcPr>
            <w:tcW w:w="383" w:type="pct"/>
            <w:vAlign w:val="center"/>
            <w:hideMark/>
          </w:tcPr>
          <w:p w14:paraId="50A97023" w14:textId="77777777" w:rsidR="00000000" w:rsidRDefault="00A173A8">
            <w:pPr>
              <w:spacing w:after="100"/>
              <w:rPr>
                <w:rFonts w:eastAsia="Times New Roman"/>
                <w:sz w:val="20"/>
                <w:szCs w:val="20"/>
              </w:rPr>
            </w:pPr>
          </w:p>
        </w:tc>
        <w:tc>
          <w:tcPr>
            <w:tcW w:w="5" w:type="pct"/>
            <w:vAlign w:val="center"/>
            <w:hideMark/>
          </w:tcPr>
          <w:p w14:paraId="0F3FC0C4" w14:textId="77777777" w:rsidR="00000000" w:rsidRDefault="00A173A8">
            <w:pPr>
              <w:spacing w:after="100"/>
              <w:rPr>
                <w:rFonts w:eastAsia="Times New Roman"/>
                <w:sz w:val="20"/>
                <w:szCs w:val="20"/>
              </w:rPr>
            </w:pPr>
          </w:p>
        </w:tc>
        <w:tc>
          <w:tcPr>
            <w:tcW w:w="5" w:type="pct"/>
            <w:vAlign w:val="center"/>
            <w:hideMark/>
          </w:tcPr>
          <w:p w14:paraId="1BD2CEB6" w14:textId="77777777" w:rsidR="00000000" w:rsidRDefault="00A173A8">
            <w:pPr>
              <w:spacing w:after="100"/>
              <w:rPr>
                <w:rFonts w:eastAsia="Times New Roman"/>
                <w:sz w:val="20"/>
                <w:szCs w:val="20"/>
              </w:rPr>
            </w:pPr>
          </w:p>
        </w:tc>
        <w:tc>
          <w:tcPr>
            <w:tcW w:w="26" w:type="pct"/>
            <w:vAlign w:val="center"/>
            <w:hideMark/>
          </w:tcPr>
          <w:p w14:paraId="0150D5BE" w14:textId="77777777" w:rsidR="00000000" w:rsidRDefault="00A173A8">
            <w:pPr>
              <w:spacing w:after="100"/>
              <w:rPr>
                <w:rFonts w:eastAsia="Times New Roman"/>
                <w:sz w:val="20"/>
                <w:szCs w:val="20"/>
              </w:rPr>
            </w:pPr>
          </w:p>
        </w:tc>
        <w:tc>
          <w:tcPr>
            <w:tcW w:w="5" w:type="pct"/>
            <w:vAlign w:val="center"/>
            <w:hideMark/>
          </w:tcPr>
          <w:p w14:paraId="1524814A" w14:textId="77777777" w:rsidR="00000000" w:rsidRDefault="00A173A8">
            <w:pPr>
              <w:spacing w:after="100"/>
              <w:rPr>
                <w:rFonts w:eastAsia="Times New Roman"/>
                <w:sz w:val="20"/>
                <w:szCs w:val="20"/>
              </w:rPr>
            </w:pPr>
          </w:p>
        </w:tc>
        <w:tc>
          <w:tcPr>
            <w:tcW w:w="50" w:type="pct"/>
            <w:vAlign w:val="center"/>
            <w:hideMark/>
          </w:tcPr>
          <w:p w14:paraId="3480AE41" w14:textId="77777777" w:rsidR="00000000" w:rsidRDefault="00A173A8">
            <w:pPr>
              <w:spacing w:after="100"/>
              <w:rPr>
                <w:rFonts w:eastAsia="Times New Roman"/>
                <w:sz w:val="20"/>
                <w:szCs w:val="20"/>
              </w:rPr>
            </w:pPr>
          </w:p>
        </w:tc>
        <w:tc>
          <w:tcPr>
            <w:tcW w:w="383" w:type="pct"/>
            <w:vAlign w:val="center"/>
            <w:hideMark/>
          </w:tcPr>
          <w:p w14:paraId="47A9C5B2" w14:textId="77777777" w:rsidR="00000000" w:rsidRDefault="00A173A8">
            <w:pPr>
              <w:spacing w:after="100"/>
              <w:rPr>
                <w:rFonts w:eastAsia="Times New Roman"/>
                <w:sz w:val="20"/>
                <w:szCs w:val="20"/>
              </w:rPr>
            </w:pPr>
          </w:p>
        </w:tc>
        <w:tc>
          <w:tcPr>
            <w:tcW w:w="5" w:type="pct"/>
            <w:vAlign w:val="center"/>
            <w:hideMark/>
          </w:tcPr>
          <w:p w14:paraId="57122A32" w14:textId="77777777" w:rsidR="00000000" w:rsidRDefault="00A173A8">
            <w:pPr>
              <w:spacing w:after="100"/>
              <w:rPr>
                <w:rFonts w:eastAsia="Times New Roman"/>
                <w:sz w:val="20"/>
                <w:szCs w:val="20"/>
              </w:rPr>
            </w:pPr>
          </w:p>
        </w:tc>
        <w:tc>
          <w:tcPr>
            <w:tcW w:w="5" w:type="pct"/>
            <w:vAlign w:val="center"/>
            <w:hideMark/>
          </w:tcPr>
          <w:p w14:paraId="6EE9B14E" w14:textId="77777777" w:rsidR="00000000" w:rsidRDefault="00A173A8">
            <w:pPr>
              <w:spacing w:after="100"/>
              <w:rPr>
                <w:rFonts w:eastAsia="Times New Roman"/>
                <w:sz w:val="20"/>
                <w:szCs w:val="20"/>
              </w:rPr>
            </w:pPr>
          </w:p>
        </w:tc>
        <w:tc>
          <w:tcPr>
            <w:tcW w:w="26" w:type="pct"/>
            <w:vAlign w:val="center"/>
            <w:hideMark/>
          </w:tcPr>
          <w:p w14:paraId="1643E1D1" w14:textId="77777777" w:rsidR="00000000" w:rsidRDefault="00A173A8">
            <w:pPr>
              <w:spacing w:after="100"/>
              <w:rPr>
                <w:rFonts w:eastAsia="Times New Roman"/>
                <w:sz w:val="20"/>
                <w:szCs w:val="20"/>
              </w:rPr>
            </w:pPr>
          </w:p>
        </w:tc>
        <w:tc>
          <w:tcPr>
            <w:tcW w:w="5" w:type="pct"/>
            <w:vAlign w:val="center"/>
            <w:hideMark/>
          </w:tcPr>
          <w:p w14:paraId="453AD8BB" w14:textId="77777777" w:rsidR="00000000" w:rsidRDefault="00A173A8">
            <w:pPr>
              <w:spacing w:after="100"/>
              <w:rPr>
                <w:rFonts w:eastAsia="Times New Roman"/>
                <w:sz w:val="20"/>
                <w:szCs w:val="20"/>
              </w:rPr>
            </w:pPr>
          </w:p>
        </w:tc>
        <w:tc>
          <w:tcPr>
            <w:tcW w:w="50" w:type="pct"/>
            <w:vAlign w:val="center"/>
            <w:hideMark/>
          </w:tcPr>
          <w:p w14:paraId="7D99548C" w14:textId="77777777" w:rsidR="00000000" w:rsidRDefault="00A173A8">
            <w:pPr>
              <w:spacing w:after="100"/>
              <w:rPr>
                <w:rFonts w:eastAsia="Times New Roman"/>
                <w:sz w:val="20"/>
                <w:szCs w:val="20"/>
              </w:rPr>
            </w:pPr>
          </w:p>
        </w:tc>
        <w:tc>
          <w:tcPr>
            <w:tcW w:w="383" w:type="pct"/>
            <w:vAlign w:val="center"/>
            <w:hideMark/>
          </w:tcPr>
          <w:p w14:paraId="7E4D7E29" w14:textId="77777777" w:rsidR="00000000" w:rsidRDefault="00A173A8">
            <w:pPr>
              <w:spacing w:after="100"/>
              <w:rPr>
                <w:rFonts w:eastAsia="Times New Roman"/>
                <w:sz w:val="20"/>
                <w:szCs w:val="20"/>
              </w:rPr>
            </w:pPr>
          </w:p>
        </w:tc>
        <w:tc>
          <w:tcPr>
            <w:tcW w:w="5" w:type="pct"/>
            <w:vAlign w:val="center"/>
            <w:hideMark/>
          </w:tcPr>
          <w:p w14:paraId="7DEDDC1C" w14:textId="77777777" w:rsidR="00000000" w:rsidRDefault="00A173A8">
            <w:pPr>
              <w:spacing w:after="100"/>
              <w:rPr>
                <w:rFonts w:eastAsia="Times New Roman"/>
                <w:sz w:val="20"/>
                <w:szCs w:val="20"/>
              </w:rPr>
            </w:pPr>
          </w:p>
        </w:tc>
        <w:tc>
          <w:tcPr>
            <w:tcW w:w="5" w:type="pct"/>
            <w:vAlign w:val="center"/>
            <w:hideMark/>
          </w:tcPr>
          <w:p w14:paraId="292209B2" w14:textId="77777777" w:rsidR="00000000" w:rsidRDefault="00A173A8">
            <w:pPr>
              <w:spacing w:after="100"/>
              <w:rPr>
                <w:rFonts w:eastAsia="Times New Roman"/>
                <w:sz w:val="20"/>
                <w:szCs w:val="20"/>
              </w:rPr>
            </w:pPr>
          </w:p>
        </w:tc>
        <w:tc>
          <w:tcPr>
            <w:tcW w:w="26" w:type="pct"/>
            <w:vAlign w:val="center"/>
            <w:hideMark/>
          </w:tcPr>
          <w:p w14:paraId="19DABE52" w14:textId="77777777" w:rsidR="00000000" w:rsidRDefault="00A173A8">
            <w:pPr>
              <w:spacing w:after="100"/>
              <w:rPr>
                <w:rFonts w:eastAsia="Times New Roman"/>
                <w:sz w:val="20"/>
                <w:szCs w:val="20"/>
              </w:rPr>
            </w:pPr>
          </w:p>
        </w:tc>
        <w:tc>
          <w:tcPr>
            <w:tcW w:w="5" w:type="pct"/>
            <w:vAlign w:val="center"/>
            <w:hideMark/>
          </w:tcPr>
          <w:p w14:paraId="77C3FC4B" w14:textId="77777777" w:rsidR="00000000" w:rsidRDefault="00A173A8">
            <w:pPr>
              <w:spacing w:after="100"/>
              <w:rPr>
                <w:rFonts w:eastAsia="Times New Roman"/>
                <w:sz w:val="20"/>
                <w:szCs w:val="20"/>
              </w:rPr>
            </w:pPr>
          </w:p>
        </w:tc>
        <w:tc>
          <w:tcPr>
            <w:tcW w:w="50" w:type="pct"/>
            <w:vAlign w:val="center"/>
            <w:hideMark/>
          </w:tcPr>
          <w:p w14:paraId="34B2C567" w14:textId="77777777" w:rsidR="00000000" w:rsidRDefault="00A173A8">
            <w:pPr>
              <w:spacing w:after="100"/>
              <w:rPr>
                <w:rFonts w:eastAsia="Times New Roman"/>
                <w:sz w:val="20"/>
                <w:szCs w:val="20"/>
              </w:rPr>
            </w:pPr>
          </w:p>
        </w:tc>
        <w:tc>
          <w:tcPr>
            <w:tcW w:w="398" w:type="pct"/>
            <w:vAlign w:val="center"/>
            <w:hideMark/>
          </w:tcPr>
          <w:p w14:paraId="494BD982" w14:textId="77777777" w:rsidR="00000000" w:rsidRDefault="00A173A8">
            <w:pPr>
              <w:spacing w:after="100"/>
              <w:rPr>
                <w:rFonts w:eastAsia="Times New Roman"/>
                <w:sz w:val="20"/>
                <w:szCs w:val="20"/>
              </w:rPr>
            </w:pPr>
          </w:p>
        </w:tc>
        <w:tc>
          <w:tcPr>
            <w:tcW w:w="5" w:type="pct"/>
            <w:vAlign w:val="center"/>
            <w:hideMark/>
          </w:tcPr>
          <w:p w14:paraId="7DE428F0" w14:textId="77777777" w:rsidR="00000000" w:rsidRDefault="00A173A8">
            <w:pPr>
              <w:spacing w:after="100"/>
              <w:rPr>
                <w:rFonts w:eastAsia="Times New Roman"/>
                <w:sz w:val="20"/>
                <w:szCs w:val="20"/>
              </w:rPr>
            </w:pPr>
          </w:p>
        </w:tc>
      </w:tr>
      <w:tr w:rsidR="00000000" w14:paraId="3A9E00DC" w14:textId="77777777">
        <w:trPr>
          <w:divId w:val="1168790017"/>
        </w:trPr>
        <w:tc>
          <w:tcPr>
            <w:tcW w:w="0" w:type="auto"/>
            <w:gridSpan w:val="3"/>
            <w:tcMar>
              <w:top w:w="0" w:type="dxa"/>
              <w:left w:w="20" w:type="dxa"/>
              <w:bottom w:w="0" w:type="dxa"/>
              <w:right w:w="20" w:type="dxa"/>
            </w:tcMar>
            <w:vAlign w:val="center"/>
            <w:hideMark/>
          </w:tcPr>
          <w:p w14:paraId="6296ECE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0C82C3"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14:paraId="220148EF"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2657C75A" w14:textId="77777777" w:rsidR="00000000" w:rsidRDefault="00A173A8">
            <w:pPr>
              <w:spacing w:after="100"/>
              <w:jc w:val="center"/>
              <w:rPr>
                <w:rFonts w:eastAsia="Times New Roman"/>
              </w:rPr>
            </w:pPr>
          </w:p>
        </w:tc>
        <w:tc>
          <w:tcPr>
            <w:tcW w:w="0" w:type="auto"/>
            <w:gridSpan w:val="15"/>
            <w:tcMar>
              <w:top w:w="30" w:type="dxa"/>
              <w:left w:w="20" w:type="dxa"/>
              <w:bottom w:w="30" w:type="dxa"/>
              <w:right w:w="20" w:type="dxa"/>
            </w:tcMar>
            <w:vAlign w:val="center"/>
            <w:hideMark/>
          </w:tcPr>
          <w:p w14:paraId="108788F6"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7E5FE8CE" w14:textId="77777777">
        <w:trPr>
          <w:divId w:val="1168790017"/>
        </w:trPr>
        <w:tc>
          <w:tcPr>
            <w:tcW w:w="0" w:type="auto"/>
            <w:gridSpan w:val="3"/>
            <w:tcBorders>
              <w:bottom w:val="single" w:sz="8" w:space="0" w:color="000000"/>
            </w:tcBorders>
            <w:tcMar>
              <w:top w:w="30" w:type="dxa"/>
              <w:left w:w="20" w:type="dxa"/>
              <w:bottom w:w="30" w:type="dxa"/>
              <w:right w:w="20" w:type="dxa"/>
            </w:tcMar>
            <w:vAlign w:val="bottom"/>
            <w:hideMark/>
          </w:tcPr>
          <w:p w14:paraId="5A93DA4D"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52AA8C4"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0995D85" w14:textId="77777777" w:rsidR="00000000" w:rsidRDefault="00A173A8">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14:paraId="16A5639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EACBD5" w14:textId="77777777" w:rsidR="00000000" w:rsidRDefault="00A173A8">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79A9B4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431249" w14:textId="77777777" w:rsidR="00000000" w:rsidRDefault="00A173A8">
            <w:pPr>
              <w:spacing w:after="100"/>
              <w:jc w:val="center"/>
              <w:rPr>
                <w:rFonts w:eastAsia="Times New Roman"/>
              </w:rPr>
            </w:pPr>
            <w:r>
              <w:rPr>
                <w:rFonts w:eastAsia="Times New Roman"/>
                <w:b/>
                <w:bCs/>
                <w:color w:val="000000"/>
                <w:sz w:val="16"/>
                <w:szCs w:val="16"/>
              </w:rPr>
              <w:t>Allowance Coverage Ratio</w:t>
            </w:r>
          </w:p>
        </w:tc>
        <w:tc>
          <w:tcPr>
            <w:tcW w:w="0" w:type="auto"/>
            <w:gridSpan w:val="3"/>
            <w:tcMar>
              <w:top w:w="0" w:type="dxa"/>
              <w:left w:w="20" w:type="dxa"/>
              <w:bottom w:w="0" w:type="dxa"/>
              <w:right w:w="20" w:type="dxa"/>
            </w:tcMar>
            <w:vAlign w:val="center"/>
            <w:hideMark/>
          </w:tcPr>
          <w:p w14:paraId="1521562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AF31BFE" w14:textId="77777777" w:rsidR="00000000" w:rsidRDefault="00A173A8">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14:paraId="1B85A27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B74643" w14:textId="77777777" w:rsidR="00000000" w:rsidRDefault="00A173A8">
            <w:pPr>
              <w:spacing w:after="100"/>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20F62A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348E401" w14:textId="77777777" w:rsidR="00000000" w:rsidRDefault="00A173A8">
            <w:pPr>
              <w:spacing w:after="100"/>
              <w:jc w:val="center"/>
              <w:rPr>
                <w:rFonts w:eastAsia="Times New Roman"/>
              </w:rPr>
            </w:pPr>
            <w:r>
              <w:rPr>
                <w:rFonts w:eastAsia="Times New Roman"/>
                <w:b/>
                <w:bCs/>
                <w:color w:val="000000"/>
                <w:sz w:val="16"/>
                <w:szCs w:val="16"/>
              </w:rPr>
              <w:t>Allowance Coverage Ratio</w:t>
            </w:r>
          </w:p>
        </w:tc>
      </w:tr>
      <w:tr w:rsidR="00000000" w14:paraId="1CD0C289" w14:textId="77777777">
        <w:trPr>
          <w:divId w:val="116879001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0731D00" w14:textId="77777777" w:rsidR="00000000" w:rsidRDefault="00A173A8">
            <w:pPr>
              <w:spacing w:after="100"/>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1B2C4DB6"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DAE084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87F3D83" w14:textId="77777777" w:rsidR="00000000" w:rsidRDefault="00A173A8">
            <w:pPr>
              <w:spacing w:after="100"/>
              <w:jc w:val="right"/>
              <w:rPr>
                <w:rFonts w:eastAsia="Times New Roman"/>
              </w:rPr>
            </w:pPr>
            <w:r>
              <w:rPr>
                <w:rFonts w:eastAsia="Times New Roman"/>
                <w:b/>
                <w:bCs/>
                <w:color w:val="000000"/>
                <w:sz w:val="18"/>
                <w:szCs w:val="18"/>
              </w:rPr>
              <w:t>8,166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67C8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8432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285A68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C51938D" w14:textId="77777777" w:rsidR="00000000" w:rsidRDefault="00A173A8">
            <w:pPr>
              <w:spacing w:after="100"/>
              <w:jc w:val="right"/>
              <w:rPr>
                <w:rFonts w:eastAsia="Times New Roman"/>
              </w:rPr>
            </w:pPr>
            <w:r>
              <w:rPr>
                <w:rFonts w:eastAsia="Times New Roman"/>
                <w:b/>
                <w:bCs/>
                <w:color w:val="000000"/>
                <w:sz w:val="18"/>
                <w:szCs w:val="18"/>
              </w:rPr>
              <w:t>2,928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968F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082E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7BB8D5" w14:textId="77777777" w:rsidR="00000000" w:rsidRDefault="00A173A8">
            <w:pPr>
              <w:spacing w:after="100"/>
              <w:jc w:val="right"/>
              <w:rPr>
                <w:rFonts w:eastAsia="Times New Roman"/>
              </w:rPr>
            </w:pPr>
            <w:r>
              <w:rPr>
                <w:rFonts w:eastAsia="Times New Roman"/>
                <w:b/>
                <w:bCs/>
                <w:color w:val="000000"/>
                <w:sz w:val="18"/>
                <w:szCs w:val="18"/>
              </w:rPr>
              <w:t>278.92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6E8B17"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DA9E51"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8F83C4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62E3CA1" w14:textId="77777777" w:rsidR="00000000" w:rsidRDefault="00A173A8">
            <w:pPr>
              <w:spacing w:after="100"/>
              <w:jc w:val="right"/>
              <w:rPr>
                <w:rFonts w:eastAsia="Times New Roman"/>
              </w:rPr>
            </w:pPr>
            <w:r>
              <w:rPr>
                <w:rFonts w:eastAsia="Times New Roman"/>
                <w:color w:val="000000"/>
                <w:sz w:val="18"/>
                <w:szCs w:val="18"/>
              </w:rPr>
              <w:t>8,345 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D89A2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D627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6D83D5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0B5E39C" w14:textId="77777777" w:rsidR="00000000" w:rsidRDefault="00A173A8">
            <w:pPr>
              <w:spacing w:after="100"/>
              <w:jc w:val="right"/>
              <w:rPr>
                <w:rFonts w:eastAsia="Times New Roman"/>
              </w:rPr>
            </w:pPr>
            <w:r>
              <w:rPr>
                <w:rFonts w:eastAsia="Times New Roman"/>
                <w:color w:val="000000"/>
                <w:sz w:val="18"/>
                <w:szCs w:val="18"/>
              </w:rPr>
              <w:t>2,624 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E9A99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B0DF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F3CB52" w14:textId="77777777" w:rsidR="00000000" w:rsidRDefault="00A173A8">
            <w:pPr>
              <w:spacing w:after="100"/>
              <w:jc w:val="right"/>
              <w:rPr>
                <w:rFonts w:eastAsia="Times New Roman"/>
              </w:rPr>
            </w:pPr>
            <w:r>
              <w:rPr>
                <w:rFonts w:eastAsia="Times New Roman"/>
                <w:color w:val="000000"/>
                <w:sz w:val="18"/>
                <w:szCs w:val="18"/>
              </w:rPr>
              <w:t>318.08 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CBD5AA" w14:textId="77777777" w:rsidR="00000000" w:rsidRDefault="00A173A8">
            <w:pPr>
              <w:spacing w:after="100"/>
              <w:jc w:val="right"/>
              <w:rPr>
                <w:rFonts w:eastAsia="Times New Roman"/>
              </w:rPr>
            </w:pPr>
            <w:r>
              <w:rPr>
                <w:rFonts w:eastAsia="Times New Roman"/>
                <w:color w:val="000000"/>
                <w:sz w:val="18"/>
                <w:szCs w:val="18"/>
              </w:rPr>
              <w:t>%</w:t>
            </w:r>
          </w:p>
        </w:tc>
      </w:tr>
      <w:tr w:rsidR="00000000" w14:paraId="379C46E7" w14:textId="77777777">
        <w:trPr>
          <w:divId w:val="1168790017"/>
        </w:trPr>
        <w:tc>
          <w:tcPr>
            <w:tcW w:w="0" w:type="auto"/>
            <w:gridSpan w:val="3"/>
            <w:shd w:val="clear" w:color="auto" w:fill="FFFFFF"/>
            <w:tcMar>
              <w:top w:w="30" w:type="dxa"/>
              <w:left w:w="20" w:type="dxa"/>
              <w:bottom w:w="30" w:type="dxa"/>
              <w:right w:w="20" w:type="dxa"/>
            </w:tcMar>
            <w:vAlign w:val="center"/>
            <w:hideMark/>
          </w:tcPr>
          <w:p w14:paraId="0FC3CB47" w14:textId="77777777" w:rsidR="00000000" w:rsidRDefault="00A173A8">
            <w:pPr>
              <w:spacing w:after="100"/>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14:paraId="655A1D8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D2BFA31" w14:textId="77777777" w:rsidR="00000000" w:rsidRDefault="00A173A8">
            <w:pPr>
              <w:spacing w:after="100"/>
              <w:jc w:val="right"/>
              <w:rPr>
                <w:rFonts w:eastAsia="Times New Roman"/>
              </w:rPr>
            </w:pPr>
            <w:r>
              <w:rPr>
                <w:rFonts w:eastAsia="Times New Roman"/>
                <w:b/>
                <w:bCs/>
                <w:color w:val="000000"/>
                <w:sz w:val="18"/>
                <w:szCs w:val="18"/>
              </w:rPr>
              <w:t>2,047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B2A19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EF69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E7DAD4" w14:textId="77777777" w:rsidR="00000000" w:rsidRDefault="00A173A8">
            <w:pPr>
              <w:spacing w:after="100"/>
              <w:jc w:val="right"/>
              <w:rPr>
                <w:rFonts w:eastAsia="Times New Roman"/>
              </w:rPr>
            </w:pPr>
            <w:r>
              <w:rPr>
                <w:rFonts w:eastAsia="Times New Roman"/>
                <w:b/>
                <w:bCs/>
                <w:color w:val="000000"/>
                <w:sz w:val="18"/>
                <w:szCs w:val="18"/>
              </w:rPr>
              <w:t>3,925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C298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6D13F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A3D1C2" w14:textId="77777777" w:rsidR="00000000" w:rsidRDefault="00A173A8">
            <w:pPr>
              <w:spacing w:after="100"/>
              <w:jc w:val="right"/>
              <w:rPr>
                <w:rFonts w:eastAsia="Times New Roman"/>
              </w:rPr>
            </w:pPr>
            <w:r>
              <w:rPr>
                <w:rFonts w:eastAsia="Times New Roman"/>
                <w:b/>
                <w:bCs/>
                <w:color w:val="000000"/>
                <w:sz w:val="18"/>
                <w:szCs w:val="18"/>
              </w:rPr>
              <w:t>52.15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2B2D00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E35A2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05B008" w14:textId="77777777" w:rsidR="00000000" w:rsidRDefault="00A173A8">
            <w:pPr>
              <w:spacing w:after="100"/>
              <w:jc w:val="right"/>
              <w:rPr>
                <w:rFonts w:eastAsia="Times New Roman"/>
              </w:rPr>
            </w:pPr>
            <w:r>
              <w:rPr>
                <w:rFonts w:eastAsia="Times New Roman"/>
                <w:color w:val="000000"/>
                <w:sz w:val="18"/>
                <w:szCs w:val="18"/>
              </w:rPr>
              <w:t>1,918 </w:t>
            </w:r>
          </w:p>
        </w:tc>
        <w:tc>
          <w:tcPr>
            <w:tcW w:w="0" w:type="auto"/>
            <w:shd w:val="clear" w:color="auto" w:fill="FFFFFF"/>
            <w:tcMar>
              <w:top w:w="30" w:type="dxa"/>
              <w:left w:w="0" w:type="dxa"/>
              <w:bottom w:w="30" w:type="dxa"/>
              <w:right w:w="20" w:type="dxa"/>
            </w:tcMar>
            <w:vAlign w:val="center"/>
            <w:hideMark/>
          </w:tcPr>
          <w:p w14:paraId="6E3F00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1775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7D352E" w14:textId="77777777" w:rsidR="00000000" w:rsidRDefault="00A173A8">
            <w:pPr>
              <w:spacing w:after="100"/>
              <w:jc w:val="right"/>
              <w:rPr>
                <w:rFonts w:eastAsia="Times New Roman"/>
              </w:rPr>
            </w:pPr>
            <w:r>
              <w:rPr>
                <w:rFonts w:eastAsia="Times New Roman"/>
                <w:color w:val="000000"/>
                <w:sz w:val="18"/>
                <w:szCs w:val="18"/>
              </w:rPr>
              <w:t>3,618 </w:t>
            </w:r>
          </w:p>
        </w:tc>
        <w:tc>
          <w:tcPr>
            <w:tcW w:w="0" w:type="auto"/>
            <w:shd w:val="clear" w:color="auto" w:fill="FFFFFF"/>
            <w:tcMar>
              <w:top w:w="30" w:type="dxa"/>
              <w:left w:w="0" w:type="dxa"/>
              <w:bottom w:w="30" w:type="dxa"/>
              <w:right w:w="20" w:type="dxa"/>
            </w:tcMar>
            <w:vAlign w:val="center"/>
            <w:hideMark/>
          </w:tcPr>
          <w:p w14:paraId="096DEC0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036EA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B8CE69" w14:textId="77777777" w:rsidR="00000000" w:rsidRDefault="00A173A8">
            <w:pPr>
              <w:spacing w:after="100"/>
              <w:jc w:val="right"/>
              <w:rPr>
                <w:rFonts w:eastAsia="Times New Roman"/>
              </w:rPr>
            </w:pPr>
            <w:r>
              <w:rPr>
                <w:rFonts w:eastAsia="Times New Roman"/>
                <w:color w:val="000000"/>
                <w:sz w:val="18"/>
                <w:szCs w:val="18"/>
              </w:rPr>
              <w:t>53.01 </w:t>
            </w:r>
          </w:p>
        </w:tc>
        <w:tc>
          <w:tcPr>
            <w:tcW w:w="0" w:type="auto"/>
            <w:shd w:val="clear" w:color="auto" w:fill="FFFFFF"/>
            <w:tcMar>
              <w:top w:w="30" w:type="dxa"/>
              <w:left w:w="0" w:type="dxa"/>
              <w:bottom w:w="30" w:type="dxa"/>
              <w:right w:w="20" w:type="dxa"/>
            </w:tcMar>
            <w:vAlign w:val="center"/>
            <w:hideMark/>
          </w:tcPr>
          <w:p w14:paraId="13D398DE" w14:textId="77777777" w:rsidR="00000000" w:rsidRDefault="00A173A8">
            <w:pPr>
              <w:spacing w:after="100"/>
              <w:jc w:val="right"/>
              <w:rPr>
                <w:rFonts w:eastAsia="Times New Roman"/>
              </w:rPr>
            </w:pPr>
          </w:p>
        </w:tc>
      </w:tr>
      <w:tr w:rsidR="00000000" w14:paraId="25082A2F" w14:textId="77777777">
        <w:trPr>
          <w:divId w:val="1168790017"/>
        </w:trPr>
        <w:tc>
          <w:tcPr>
            <w:tcW w:w="0" w:type="auto"/>
            <w:gridSpan w:val="3"/>
            <w:shd w:val="clear" w:color="auto" w:fill="CCEEFF"/>
            <w:tcMar>
              <w:top w:w="30" w:type="dxa"/>
              <w:left w:w="20" w:type="dxa"/>
              <w:bottom w:w="30" w:type="dxa"/>
              <w:right w:w="20" w:type="dxa"/>
            </w:tcMar>
            <w:vAlign w:val="center"/>
            <w:hideMark/>
          </w:tcPr>
          <w:p w14:paraId="0158E5FC" w14:textId="77777777" w:rsidR="00000000" w:rsidRDefault="00A173A8">
            <w:pPr>
              <w:spacing w:after="100"/>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4A7BB4C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6D269DF" w14:textId="77777777" w:rsidR="00000000" w:rsidRDefault="00A173A8">
            <w:pPr>
              <w:spacing w:after="100"/>
              <w:jc w:val="right"/>
              <w:rPr>
                <w:rFonts w:eastAsia="Times New Roman"/>
              </w:rPr>
            </w:pPr>
            <w:r>
              <w:rPr>
                <w:rFonts w:eastAsia="Times New Roman"/>
                <w:b/>
                <w:bCs/>
                <w:color w:val="000000"/>
                <w:sz w:val="18"/>
                <w:szCs w:val="18"/>
              </w:rPr>
              <w:t>1,278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134447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33426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87339A" w14:textId="77777777" w:rsidR="00000000" w:rsidRDefault="00A173A8">
            <w:pPr>
              <w:spacing w:after="100"/>
              <w:jc w:val="right"/>
              <w:rPr>
                <w:rFonts w:eastAsia="Times New Roman"/>
              </w:rPr>
            </w:pPr>
            <w:r>
              <w:rPr>
                <w:rFonts w:eastAsia="Times New Roman"/>
                <w:b/>
                <w:bCs/>
                <w:color w:val="000000"/>
                <w:sz w:val="18"/>
                <w:szCs w:val="18"/>
              </w:rPr>
              <w:t>655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7D347A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1A28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75A183" w14:textId="77777777" w:rsidR="00000000" w:rsidRDefault="00A173A8">
            <w:pPr>
              <w:spacing w:after="100"/>
              <w:jc w:val="right"/>
              <w:rPr>
                <w:rFonts w:eastAsia="Times New Roman"/>
              </w:rPr>
            </w:pPr>
            <w:r>
              <w:rPr>
                <w:rFonts w:eastAsia="Times New Roman"/>
                <w:b/>
                <w:bCs/>
                <w:color w:val="000000"/>
                <w:sz w:val="18"/>
                <w:szCs w:val="18"/>
              </w:rPr>
              <w:t>195.12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C1F17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911A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07597B" w14:textId="77777777" w:rsidR="00000000" w:rsidRDefault="00A173A8">
            <w:pPr>
              <w:spacing w:after="100"/>
              <w:jc w:val="right"/>
              <w:rPr>
                <w:rFonts w:eastAsia="Times New Roman"/>
              </w:rPr>
            </w:pPr>
            <w:r>
              <w:rPr>
                <w:rFonts w:eastAsia="Times New Roman"/>
                <w:color w:val="000000"/>
                <w:sz w:val="18"/>
                <w:szCs w:val="18"/>
              </w:rPr>
              <w:t>1,167 </w:t>
            </w:r>
          </w:p>
        </w:tc>
        <w:tc>
          <w:tcPr>
            <w:tcW w:w="0" w:type="auto"/>
            <w:shd w:val="clear" w:color="auto" w:fill="CCEEFF"/>
            <w:tcMar>
              <w:top w:w="30" w:type="dxa"/>
              <w:left w:w="0" w:type="dxa"/>
              <w:bottom w:w="30" w:type="dxa"/>
              <w:right w:w="20" w:type="dxa"/>
            </w:tcMar>
            <w:vAlign w:val="center"/>
            <w:hideMark/>
          </w:tcPr>
          <w:p w14:paraId="0800C2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C8F1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49BCBE" w14:textId="77777777" w:rsidR="00000000" w:rsidRDefault="00A173A8">
            <w:pPr>
              <w:spacing w:after="100"/>
              <w:jc w:val="right"/>
              <w:rPr>
                <w:rFonts w:eastAsia="Times New Roman"/>
              </w:rPr>
            </w:pPr>
            <w:r>
              <w:rPr>
                <w:rFonts w:eastAsia="Times New Roman"/>
                <w:color w:val="000000"/>
                <w:sz w:val="18"/>
                <w:szCs w:val="18"/>
              </w:rPr>
              <w:t>699 </w:t>
            </w:r>
          </w:p>
        </w:tc>
        <w:tc>
          <w:tcPr>
            <w:tcW w:w="0" w:type="auto"/>
            <w:shd w:val="clear" w:color="auto" w:fill="CCEEFF"/>
            <w:tcMar>
              <w:top w:w="30" w:type="dxa"/>
              <w:left w:w="0" w:type="dxa"/>
              <w:bottom w:w="30" w:type="dxa"/>
              <w:right w:w="20" w:type="dxa"/>
            </w:tcMar>
            <w:vAlign w:val="center"/>
            <w:hideMark/>
          </w:tcPr>
          <w:p w14:paraId="7DDAB3F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37F17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38168F" w14:textId="77777777" w:rsidR="00000000" w:rsidRDefault="00A173A8">
            <w:pPr>
              <w:spacing w:after="100"/>
              <w:jc w:val="right"/>
              <w:rPr>
                <w:rFonts w:eastAsia="Times New Roman"/>
              </w:rPr>
            </w:pPr>
            <w:r>
              <w:rPr>
                <w:rFonts w:eastAsia="Times New Roman"/>
                <w:color w:val="000000"/>
                <w:sz w:val="18"/>
                <w:szCs w:val="18"/>
              </w:rPr>
              <w:t>166.93 </w:t>
            </w:r>
          </w:p>
        </w:tc>
        <w:tc>
          <w:tcPr>
            <w:tcW w:w="0" w:type="auto"/>
            <w:shd w:val="clear" w:color="auto" w:fill="CCEEFF"/>
            <w:tcMar>
              <w:top w:w="30" w:type="dxa"/>
              <w:left w:w="0" w:type="dxa"/>
              <w:bottom w:w="30" w:type="dxa"/>
              <w:right w:w="20" w:type="dxa"/>
            </w:tcMar>
            <w:vAlign w:val="center"/>
            <w:hideMark/>
          </w:tcPr>
          <w:p w14:paraId="05C6571A" w14:textId="77777777" w:rsidR="00000000" w:rsidRDefault="00A173A8">
            <w:pPr>
              <w:spacing w:after="100"/>
              <w:jc w:val="right"/>
              <w:rPr>
                <w:rFonts w:eastAsia="Times New Roman"/>
              </w:rPr>
            </w:pPr>
          </w:p>
        </w:tc>
      </w:tr>
      <w:tr w:rsidR="00000000" w14:paraId="69DDBFBE" w14:textId="77777777">
        <w:trPr>
          <w:divId w:val="1168790017"/>
        </w:trPr>
        <w:tc>
          <w:tcPr>
            <w:tcW w:w="0" w:type="auto"/>
            <w:gridSpan w:val="3"/>
            <w:shd w:val="clear" w:color="auto" w:fill="FFFFFF"/>
            <w:tcMar>
              <w:top w:w="30" w:type="dxa"/>
              <w:left w:w="20" w:type="dxa"/>
              <w:bottom w:w="30" w:type="dxa"/>
              <w:right w:w="20" w:type="dxa"/>
            </w:tcMar>
            <w:vAlign w:val="center"/>
            <w:hideMark/>
          </w:tcPr>
          <w:p w14:paraId="45470738" w14:textId="77777777" w:rsidR="00000000" w:rsidRDefault="00A173A8">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50ECC762"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6A9E4D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EBD4866" w14:textId="77777777" w:rsidR="00000000" w:rsidRDefault="00A173A8">
            <w:pPr>
              <w:spacing w:after="100"/>
              <w:jc w:val="right"/>
              <w:rPr>
                <w:rFonts w:eastAsia="Times New Roman"/>
              </w:rPr>
            </w:pPr>
            <w:r>
              <w:rPr>
                <w:rFonts w:eastAsia="Times New Roman"/>
                <w:b/>
                <w:bCs/>
                <w:color w:val="000000"/>
                <w:sz w:val="18"/>
                <w:szCs w:val="18"/>
              </w:rPr>
              <w:t>11,491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E8F5CA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2463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AC73C4" w14:textId="77777777" w:rsidR="00000000" w:rsidRDefault="00A173A8">
            <w:pPr>
              <w:spacing w:after="100"/>
              <w:jc w:val="right"/>
              <w:rPr>
                <w:rFonts w:eastAsia="Times New Roman"/>
              </w:rPr>
            </w:pPr>
            <w:r>
              <w:rPr>
                <w:rFonts w:eastAsia="Times New Roman"/>
                <w:b/>
                <w:bCs/>
                <w:color w:val="000000"/>
                <w:sz w:val="18"/>
                <w:szCs w:val="18"/>
              </w:rPr>
              <w:t>296,384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E1DA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FB8D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E33B9E" w14:textId="77777777" w:rsidR="00000000" w:rsidRDefault="00A173A8">
            <w:pPr>
              <w:spacing w:after="100"/>
              <w:jc w:val="right"/>
              <w:rPr>
                <w:rFonts w:eastAsia="Times New Roman"/>
              </w:rPr>
            </w:pPr>
            <w:r>
              <w:rPr>
                <w:rFonts w:eastAsia="Times New Roman"/>
                <w:b/>
                <w:bCs/>
                <w:color w:val="000000"/>
                <w:sz w:val="18"/>
                <w:szCs w:val="18"/>
              </w:rPr>
              <w:t>3.88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72ED9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2C2B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0C45A6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7CD8B58" w14:textId="77777777" w:rsidR="00000000" w:rsidRDefault="00A173A8">
            <w:pPr>
              <w:spacing w:after="100"/>
              <w:jc w:val="right"/>
              <w:rPr>
                <w:rFonts w:eastAsia="Times New Roman"/>
              </w:rPr>
            </w:pPr>
            <w:r>
              <w:rPr>
                <w:rFonts w:eastAsia="Times New Roman"/>
                <w:color w:val="000000"/>
                <w:sz w:val="18"/>
                <w:szCs w:val="18"/>
              </w:rPr>
              <w:t>11,430 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3678C1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6B92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AAFD97" w14:textId="77777777" w:rsidR="00000000" w:rsidRDefault="00A173A8">
            <w:pPr>
              <w:spacing w:after="100"/>
              <w:jc w:val="right"/>
              <w:rPr>
                <w:rFonts w:eastAsia="Times New Roman"/>
              </w:rPr>
            </w:pPr>
            <w:r>
              <w:rPr>
                <w:rFonts w:eastAsia="Times New Roman"/>
                <w:color w:val="000000"/>
                <w:sz w:val="18"/>
                <w:szCs w:val="18"/>
              </w:rPr>
              <w:t>277,340 </w:t>
            </w:r>
          </w:p>
        </w:tc>
        <w:tc>
          <w:tcPr>
            <w:tcW w:w="0" w:type="auto"/>
            <w:shd w:val="clear" w:color="auto" w:fill="FFFFFF"/>
            <w:tcMar>
              <w:top w:w="30" w:type="dxa"/>
              <w:left w:w="0" w:type="dxa"/>
              <w:bottom w:w="30" w:type="dxa"/>
              <w:right w:w="20" w:type="dxa"/>
            </w:tcMar>
            <w:vAlign w:val="center"/>
            <w:hideMark/>
          </w:tcPr>
          <w:p w14:paraId="31CF68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B4CE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F32086" w14:textId="77777777" w:rsidR="00000000" w:rsidRDefault="00A173A8">
            <w:pPr>
              <w:spacing w:after="100"/>
              <w:jc w:val="right"/>
              <w:rPr>
                <w:rFonts w:eastAsia="Times New Roman"/>
              </w:rPr>
            </w:pPr>
            <w:r>
              <w:rPr>
                <w:rFonts w:eastAsia="Times New Roman"/>
                <w:color w:val="000000"/>
                <w:sz w:val="18"/>
                <w:szCs w:val="18"/>
              </w:rPr>
              <w:t>4.12 </w:t>
            </w:r>
          </w:p>
        </w:tc>
        <w:tc>
          <w:tcPr>
            <w:tcW w:w="0" w:type="auto"/>
            <w:shd w:val="clear" w:color="auto" w:fill="FFFFFF"/>
            <w:tcMar>
              <w:top w:w="30" w:type="dxa"/>
              <w:left w:w="0" w:type="dxa"/>
              <w:bottom w:w="30" w:type="dxa"/>
              <w:right w:w="20" w:type="dxa"/>
            </w:tcMar>
            <w:vAlign w:val="center"/>
            <w:hideMark/>
          </w:tcPr>
          <w:p w14:paraId="2F339B68" w14:textId="77777777" w:rsidR="00000000" w:rsidRDefault="00A173A8">
            <w:pPr>
              <w:spacing w:after="100"/>
              <w:jc w:val="right"/>
              <w:rPr>
                <w:rFonts w:eastAsia="Times New Roman"/>
              </w:rPr>
            </w:pPr>
          </w:p>
        </w:tc>
      </w:tr>
    </w:tbl>
    <w:p w14:paraId="7B11C97E" w14:textId="77777777" w:rsidR="00000000" w:rsidRDefault="00A173A8">
      <w:pPr>
        <w:divId w:val="1168790017"/>
        <w:rPr>
          <w:rFonts w:eastAsia="Times New Roman"/>
        </w:rPr>
      </w:pPr>
      <w:r>
        <w:rPr>
          <w:rFonts w:eastAsia="Times New Roman"/>
          <w:color w:val="000000"/>
          <w:sz w:val="20"/>
          <w:szCs w:val="20"/>
        </w:rPr>
        <w:t>__________</w:t>
      </w:r>
    </w:p>
    <w:p w14:paraId="746BCF12" w14:textId="77777777" w:rsidR="00000000" w:rsidRDefault="00A173A8">
      <w:pPr>
        <w:ind w:hanging="360"/>
        <w:jc w:val="both"/>
        <w:divId w:val="50875808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period-end 30+ day delinquent loans for our credit card and consumer banking loan portfolios, nonperforming lo</w:t>
      </w:r>
      <w:r>
        <w:rPr>
          <w:rFonts w:eastAsia="Times New Roman"/>
          <w:color w:val="000000"/>
          <w:sz w:val="16"/>
          <w:szCs w:val="16"/>
        </w:rPr>
        <w:t xml:space="preserve">ans for our commercial </w:t>
      </w:r>
      <w:r>
        <w:rPr>
          <w:rFonts w:eastAsia="Times New Roman"/>
          <w:color w:val="000000"/>
          <w:sz w:val="16"/>
          <w:szCs w:val="16"/>
          <w:shd w:val="clear" w:color="auto" w:fill="FFFFFF"/>
        </w:rPr>
        <w:t>banking loan portfolio and total loans held for investment for the total ratio.</w:t>
      </w:r>
    </w:p>
    <w:p w14:paraId="66F3DFBF" w14:textId="77777777" w:rsidR="00000000" w:rsidRDefault="00A173A8">
      <w:pPr>
        <w:jc w:val="both"/>
        <w:divId w:val="1990553554"/>
        <w:rPr>
          <w:rFonts w:eastAsia="Times New Roman"/>
        </w:rPr>
      </w:pPr>
      <w:r>
        <w:rPr>
          <w:rFonts w:eastAsia="Times New Roman"/>
          <w:color w:val="000000"/>
          <w:sz w:val="20"/>
          <w:szCs w:val="20"/>
          <w:shd w:val="clear" w:color="auto" w:fill="FFFFFF"/>
        </w:rPr>
        <w:t>O</w:t>
      </w:r>
      <w:r>
        <w:rPr>
          <w:rFonts w:eastAsia="Times New Roman"/>
          <w:color w:val="000000"/>
          <w:sz w:val="20"/>
          <w:szCs w:val="20"/>
        </w:rPr>
        <w:t>ur allowance for credit losses increased by $61 million to $11.5 billion as of June 30, 2022 compared to December 31, 2021. Our allowance coverage ratio</w:t>
      </w:r>
      <w:r>
        <w:rPr>
          <w:rFonts w:eastAsia="Times New Roman"/>
          <w:color w:val="000000"/>
          <w:sz w:val="20"/>
          <w:szCs w:val="20"/>
        </w:rPr>
        <w:t xml:space="preserve"> decreased by 24 basis points to 3.88% as of June 30, 2022 compared to December 31, 2021 primarily driven by loan growth and continued strong credit performance in Credit Card.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6A645A5" w14:textId="77777777">
        <w:trPr>
          <w:divId w:val="920724087"/>
          <w:jc w:val="center"/>
        </w:trPr>
        <w:tc>
          <w:tcPr>
            <w:tcW w:w="50" w:type="pct"/>
            <w:vAlign w:val="center"/>
            <w:hideMark/>
          </w:tcPr>
          <w:p w14:paraId="34DB861E" w14:textId="77777777" w:rsidR="00000000" w:rsidRDefault="00A173A8">
            <w:pPr>
              <w:jc w:val="both"/>
              <w:rPr>
                <w:rFonts w:eastAsia="Times New Roman"/>
              </w:rPr>
            </w:pPr>
          </w:p>
        </w:tc>
        <w:tc>
          <w:tcPr>
            <w:tcW w:w="1606" w:type="pct"/>
            <w:vAlign w:val="center"/>
            <w:hideMark/>
          </w:tcPr>
          <w:p w14:paraId="64B4FDAB" w14:textId="77777777" w:rsidR="00000000" w:rsidRDefault="00A173A8">
            <w:pPr>
              <w:spacing w:after="100"/>
              <w:rPr>
                <w:rFonts w:eastAsia="Times New Roman"/>
                <w:sz w:val="20"/>
                <w:szCs w:val="20"/>
              </w:rPr>
            </w:pPr>
          </w:p>
        </w:tc>
        <w:tc>
          <w:tcPr>
            <w:tcW w:w="5" w:type="pct"/>
            <w:vAlign w:val="center"/>
            <w:hideMark/>
          </w:tcPr>
          <w:p w14:paraId="0E7481FC" w14:textId="77777777" w:rsidR="00000000" w:rsidRDefault="00A173A8">
            <w:pPr>
              <w:spacing w:after="100"/>
              <w:rPr>
                <w:rFonts w:eastAsia="Times New Roman"/>
                <w:sz w:val="20"/>
                <w:szCs w:val="20"/>
              </w:rPr>
            </w:pPr>
          </w:p>
        </w:tc>
        <w:tc>
          <w:tcPr>
            <w:tcW w:w="50" w:type="pct"/>
            <w:vAlign w:val="center"/>
            <w:hideMark/>
          </w:tcPr>
          <w:p w14:paraId="26AB5380" w14:textId="77777777" w:rsidR="00000000" w:rsidRDefault="00A173A8">
            <w:pPr>
              <w:spacing w:after="100"/>
              <w:rPr>
                <w:rFonts w:eastAsia="Times New Roman"/>
                <w:sz w:val="20"/>
                <w:szCs w:val="20"/>
              </w:rPr>
            </w:pPr>
          </w:p>
        </w:tc>
        <w:tc>
          <w:tcPr>
            <w:tcW w:w="1614" w:type="pct"/>
            <w:vAlign w:val="center"/>
            <w:hideMark/>
          </w:tcPr>
          <w:p w14:paraId="15AF1CC2" w14:textId="77777777" w:rsidR="00000000" w:rsidRDefault="00A173A8">
            <w:pPr>
              <w:spacing w:after="100"/>
              <w:rPr>
                <w:rFonts w:eastAsia="Times New Roman"/>
                <w:sz w:val="20"/>
                <w:szCs w:val="20"/>
              </w:rPr>
            </w:pPr>
          </w:p>
        </w:tc>
        <w:tc>
          <w:tcPr>
            <w:tcW w:w="5" w:type="pct"/>
            <w:vAlign w:val="center"/>
            <w:hideMark/>
          </w:tcPr>
          <w:p w14:paraId="79EF0E59" w14:textId="77777777" w:rsidR="00000000" w:rsidRDefault="00A173A8">
            <w:pPr>
              <w:spacing w:after="100"/>
              <w:rPr>
                <w:rFonts w:eastAsia="Times New Roman"/>
                <w:sz w:val="20"/>
                <w:szCs w:val="20"/>
              </w:rPr>
            </w:pPr>
          </w:p>
        </w:tc>
        <w:tc>
          <w:tcPr>
            <w:tcW w:w="50" w:type="pct"/>
            <w:vAlign w:val="center"/>
            <w:hideMark/>
          </w:tcPr>
          <w:p w14:paraId="63065E4C" w14:textId="77777777" w:rsidR="00000000" w:rsidRDefault="00A173A8">
            <w:pPr>
              <w:spacing w:after="100"/>
              <w:rPr>
                <w:rFonts w:eastAsia="Times New Roman"/>
                <w:sz w:val="20"/>
                <w:szCs w:val="20"/>
              </w:rPr>
            </w:pPr>
          </w:p>
        </w:tc>
        <w:tc>
          <w:tcPr>
            <w:tcW w:w="1614" w:type="pct"/>
            <w:vAlign w:val="center"/>
            <w:hideMark/>
          </w:tcPr>
          <w:p w14:paraId="065C6E18" w14:textId="77777777" w:rsidR="00000000" w:rsidRDefault="00A173A8">
            <w:pPr>
              <w:spacing w:after="100"/>
              <w:rPr>
                <w:rFonts w:eastAsia="Times New Roman"/>
                <w:sz w:val="20"/>
                <w:szCs w:val="20"/>
              </w:rPr>
            </w:pPr>
          </w:p>
        </w:tc>
        <w:tc>
          <w:tcPr>
            <w:tcW w:w="5" w:type="pct"/>
            <w:vAlign w:val="center"/>
            <w:hideMark/>
          </w:tcPr>
          <w:p w14:paraId="22F83216" w14:textId="77777777" w:rsidR="00000000" w:rsidRDefault="00A173A8">
            <w:pPr>
              <w:spacing w:after="100"/>
              <w:rPr>
                <w:rFonts w:eastAsia="Times New Roman"/>
                <w:sz w:val="20"/>
                <w:szCs w:val="20"/>
              </w:rPr>
            </w:pPr>
          </w:p>
        </w:tc>
      </w:tr>
      <w:tr w:rsidR="00000000" w14:paraId="1ADC3AFC" w14:textId="77777777">
        <w:trPr>
          <w:divId w:val="920724087"/>
          <w:trHeight w:val="300"/>
          <w:jc w:val="center"/>
        </w:trPr>
        <w:tc>
          <w:tcPr>
            <w:tcW w:w="0" w:type="auto"/>
            <w:gridSpan w:val="9"/>
            <w:tcMar>
              <w:top w:w="0" w:type="dxa"/>
              <w:left w:w="20" w:type="dxa"/>
              <w:bottom w:w="0" w:type="dxa"/>
              <w:right w:w="20" w:type="dxa"/>
            </w:tcMar>
            <w:vAlign w:val="center"/>
            <w:hideMark/>
          </w:tcPr>
          <w:p w14:paraId="53CA81A3" w14:textId="77777777" w:rsidR="00000000" w:rsidRDefault="00A173A8">
            <w:pPr>
              <w:spacing w:after="100"/>
              <w:rPr>
                <w:rFonts w:eastAsia="Times New Roman"/>
                <w:sz w:val="20"/>
                <w:szCs w:val="20"/>
              </w:rPr>
            </w:pPr>
          </w:p>
        </w:tc>
      </w:tr>
      <w:tr w:rsidR="00000000" w14:paraId="6590CF30" w14:textId="77777777">
        <w:trPr>
          <w:divId w:val="920724087"/>
          <w:jc w:val="center"/>
        </w:trPr>
        <w:tc>
          <w:tcPr>
            <w:tcW w:w="0" w:type="auto"/>
            <w:gridSpan w:val="3"/>
            <w:tcMar>
              <w:top w:w="0" w:type="dxa"/>
              <w:left w:w="20" w:type="dxa"/>
              <w:bottom w:w="0" w:type="dxa"/>
              <w:right w:w="20" w:type="dxa"/>
            </w:tcMar>
            <w:vAlign w:val="center"/>
            <w:hideMark/>
          </w:tcPr>
          <w:p w14:paraId="0DCF973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FE7C468" w14:textId="77777777" w:rsidR="00000000" w:rsidRDefault="00A173A8">
            <w:pPr>
              <w:spacing w:after="100"/>
              <w:jc w:val="center"/>
              <w:rPr>
                <w:rFonts w:eastAsia="Times New Roman"/>
              </w:rPr>
            </w:pPr>
            <w:r>
              <w:rPr>
                <w:rFonts w:eastAsia="Times New Roman"/>
                <w:color w:val="000000"/>
                <w:sz w:val="16"/>
                <w:szCs w:val="16"/>
              </w:rPr>
              <w:t>46</w:t>
            </w:r>
          </w:p>
        </w:tc>
        <w:tc>
          <w:tcPr>
            <w:tcW w:w="0" w:type="auto"/>
            <w:gridSpan w:val="3"/>
            <w:tcMar>
              <w:top w:w="30" w:type="dxa"/>
              <w:left w:w="20" w:type="dxa"/>
              <w:bottom w:w="30" w:type="dxa"/>
              <w:right w:w="20" w:type="dxa"/>
            </w:tcMar>
            <w:vAlign w:val="bottom"/>
            <w:hideMark/>
          </w:tcPr>
          <w:p w14:paraId="2966BDEC"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F695713" w14:textId="77777777" w:rsidR="00000000" w:rsidRDefault="00A173A8">
      <w:pPr>
        <w:rPr>
          <w:rFonts w:eastAsia="Times New Roman"/>
        </w:rPr>
      </w:pPr>
      <w:r>
        <w:rPr>
          <w:rFonts w:eastAsia="Times New Roman"/>
        </w:rPr>
        <w:pict w14:anchorId="108FF90B">
          <v:rect id="_x0000_i1071" style="width:0;height:1.5pt" o:hralign="center" o:hrstd="t" o:hr="t" fillcolor="#a0a0a0" stroked="f"/>
        </w:pict>
      </w:r>
    </w:p>
    <w:p w14:paraId="073E70A9" w14:textId="77777777" w:rsidR="00000000" w:rsidRDefault="00A173A8">
      <w:pPr>
        <w:ind w:hanging="360"/>
        <w:jc w:val="both"/>
        <w:divId w:val="1439527655"/>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64D9E96" w14:textId="77777777">
        <w:trPr>
          <w:divId w:val="233585187"/>
        </w:trPr>
        <w:tc>
          <w:tcPr>
            <w:tcW w:w="50" w:type="pct"/>
            <w:vAlign w:val="center"/>
            <w:hideMark/>
          </w:tcPr>
          <w:p w14:paraId="0174C782" w14:textId="77777777" w:rsidR="00000000" w:rsidRDefault="00A173A8">
            <w:pPr>
              <w:ind w:hanging="360"/>
              <w:jc w:val="both"/>
              <w:rPr>
                <w:rFonts w:eastAsia="Times New Roman"/>
              </w:rPr>
            </w:pPr>
          </w:p>
        </w:tc>
        <w:tc>
          <w:tcPr>
            <w:tcW w:w="4945" w:type="pct"/>
            <w:vAlign w:val="center"/>
            <w:hideMark/>
          </w:tcPr>
          <w:p w14:paraId="78167DF8" w14:textId="77777777" w:rsidR="00000000" w:rsidRDefault="00A173A8">
            <w:pPr>
              <w:spacing w:after="100"/>
              <w:rPr>
                <w:rFonts w:eastAsia="Times New Roman"/>
                <w:sz w:val="20"/>
                <w:szCs w:val="20"/>
              </w:rPr>
            </w:pPr>
          </w:p>
        </w:tc>
        <w:tc>
          <w:tcPr>
            <w:tcW w:w="5" w:type="pct"/>
            <w:vAlign w:val="center"/>
            <w:hideMark/>
          </w:tcPr>
          <w:p w14:paraId="11EB98B2" w14:textId="77777777" w:rsidR="00000000" w:rsidRDefault="00A173A8">
            <w:pPr>
              <w:spacing w:after="100"/>
              <w:rPr>
                <w:rFonts w:eastAsia="Times New Roman"/>
                <w:sz w:val="20"/>
                <w:szCs w:val="20"/>
              </w:rPr>
            </w:pPr>
          </w:p>
        </w:tc>
      </w:tr>
      <w:tr w:rsidR="00000000" w14:paraId="649727BC" w14:textId="77777777">
        <w:trPr>
          <w:divId w:val="23358518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3AC9A3A1" w14:textId="77777777" w:rsidR="00000000" w:rsidRDefault="00A173A8">
            <w:pPr>
              <w:spacing w:after="100"/>
              <w:rPr>
                <w:rFonts w:eastAsia="Times New Roman"/>
              </w:rPr>
            </w:pPr>
            <w:r>
              <w:rPr>
                <w:rFonts w:eastAsia="Times New Roman"/>
                <w:b/>
                <w:bCs/>
                <w:color w:val="000000"/>
                <w:sz w:val="20"/>
                <w:szCs w:val="20"/>
              </w:rPr>
              <w:t>LIQUIDITY RISK PROFILE</w:t>
            </w:r>
          </w:p>
        </w:tc>
      </w:tr>
    </w:tbl>
    <w:p w14:paraId="15DC45BE" w14:textId="77777777" w:rsidR="00000000" w:rsidRDefault="00A173A8">
      <w:pPr>
        <w:jc w:val="both"/>
        <w:divId w:val="1574706336"/>
        <w:rPr>
          <w:rFonts w:eastAsia="Times New Roman"/>
        </w:rPr>
      </w:pPr>
      <w:r>
        <w:rPr>
          <w:rFonts w:eastAsia="Times New Roman"/>
          <w:color w:val="000000"/>
          <w:sz w:val="20"/>
          <w:szCs w:val="20"/>
        </w:rPr>
        <w:t>We have established liquidity practices that are intended to ensure that we have sufficient asset-based liquidity to cover our funding requirements and maintain adequate reserves to withstand the potential impact of deposit attrition or diminished liquidit</w:t>
      </w:r>
      <w:r>
        <w:rPr>
          <w:rFonts w:eastAsia="Times New Roman"/>
          <w:color w:val="000000"/>
          <w:sz w:val="20"/>
          <w:szCs w:val="20"/>
        </w:rPr>
        <w:t xml:space="preserve">y in the funding markets. In addition to our cash and cash equivalents, we maintain reserves in the form of investment securities and certain loans that are either readily-marketable or pledgeable. </w:t>
      </w:r>
    </w:p>
    <w:p w14:paraId="3E6C59D3" w14:textId="77777777" w:rsidR="00000000" w:rsidRDefault="00A173A8">
      <w:pPr>
        <w:jc w:val="both"/>
        <w:divId w:val="1091778815"/>
        <w:rPr>
          <w:rFonts w:eastAsia="Times New Roman"/>
        </w:rPr>
      </w:pPr>
      <w:r>
        <w:rPr>
          <w:rFonts w:eastAsia="Times New Roman"/>
          <w:color w:val="000000"/>
          <w:sz w:val="20"/>
          <w:szCs w:val="20"/>
        </w:rPr>
        <w:t xml:space="preserve">Table 30 below presents the composition of our liquidity </w:t>
      </w:r>
      <w:r>
        <w:rPr>
          <w:rFonts w:eastAsia="Times New Roman"/>
          <w:color w:val="000000"/>
          <w:sz w:val="20"/>
          <w:szCs w:val="20"/>
        </w:rPr>
        <w:t>reserves as of June 30, 2022 and December 31, 2021.</w:t>
      </w:r>
    </w:p>
    <w:p w14:paraId="5DBEB849" w14:textId="77777777" w:rsidR="00000000" w:rsidRDefault="00A173A8">
      <w:pPr>
        <w:divId w:val="819812553"/>
        <w:rPr>
          <w:rFonts w:eastAsia="Times New Roman"/>
        </w:rPr>
      </w:pPr>
      <w:r>
        <w:rPr>
          <w:rFonts w:eastAsia="Times New Roman"/>
          <w:b/>
          <w:bCs/>
          <w:color w:val="000000"/>
          <w:sz w:val="18"/>
          <w:szCs w:val="18"/>
          <w:shd w:val="clear" w:color="auto" w:fill="FFFFFF"/>
        </w:rPr>
        <w:t>Table 30: Liquidity Reserves</w:t>
      </w:r>
    </w:p>
    <w:tbl>
      <w:tblPr>
        <w:tblW w:w="4970" w:type="pct"/>
        <w:tblCellMar>
          <w:top w:w="15" w:type="dxa"/>
          <w:left w:w="15" w:type="dxa"/>
          <w:bottom w:w="15" w:type="dxa"/>
          <w:right w:w="15" w:type="dxa"/>
        </w:tblCellMar>
        <w:tblLook w:val="04A0" w:firstRow="1" w:lastRow="0" w:firstColumn="1" w:lastColumn="0" w:noHBand="0" w:noVBand="1"/>
      </w:tblPr>
      <w:tblGrid>
        <w:gridCol w:w="40"/>
        <w:gridCol w:w="5980"/>
        <w:gridCol w:w="39"/>
        <w:gridCol w:w="36"/>
        <w:gridCol w:w="36"/>
        <w:gridCol w:w="36"/>
        <w:gridCol w:w="120"/>
        <w:gridCol w:w="797"/>
        <w:gridCol w:w="36"/>
        <w:gridCol w:w="36"/>
        <w:gridCol w:w="36"/>
        <w:gridCol w:w="36"/>
        <w:gridCol w:w="121"/>
        <w:gridCol w:w="871"/>
        <w:gridCol w:w="36"/>
      </w:tblGrid>
      <w:tr w:rsidR="00000000" w14:paraId="7C4EE384" w14:textId="77777777">
        <w:trPr>
          <w:divId w:val="1651594824"/>
        </w:trPr>
        <w:tc>
          <w:tcPr>
            <w:tcW w:w="50" w:type="pct"/>
            <w:vAlign w:val="center"/>
            <w:hideMark/>
          </w:tcPr>
          <w:p w14:paraId="78B0B10B" w14:textId="77777777" w:rsidR="00000000" w:rsidRDefault="00A173A8">
            <w:pPr>
              <w:rPr>
                <w:rFonts w:eastAsia="Times New Roman"/>
              </w:rPr>
            </w:pPr>
          </w:p>
        </w:tc>
        <w:tc>
          <w:tcPr>
            <w:tcW w:w="3680" w:type="pct"/>
            <w:vAlign w:val="center"/>
            <w:hideMark/>
          </w:tcPr>
          <w:p w14:paraId="2D84DBBF" w14:textId="77777777" w:rsidR="00000000" w:rsidRDefault="00A173A8">
            <w:pPr>
              <w:spacing w:after="100"/>
              <w:rPr>
                <w:rFonts w:eastAsia="Times New Roman"/>
                <w:sz w:val="20"/>
                <w:szCs w:val="20"/>
              </w:rPr>
            </w:pPr>
          </w:p>
        </w:tc>
        <w:tc>
          <w:tcPr>
            <w:tcW w:w="5" w:type="pct"/>
            <w:vAlign w:val="center"/>
            <w:hideMark/>
          </w:tcPr>
          <w:p w14:paraId="5CEF05D4" w14:textId="77777777" w:rsidR="00000000" w:rsidRDefault="00A173A8">
            <w:pPr>
              <w:spacing w:after="100"/>
              <w:rPr>
                <w:rFonts w:eastAsia="Times New Roman"/>
                <w:sz w:val="20"/>
                <w:szCs w:val="20"/>
              </w:rPr>
            </w:pPr>
          </w:p>
        </w:tc>
        <w:tc>
          <w:tcPr>
            <w:tcW w:w="5" w:type="pct"/>
            <w:vAlign w:val="center"/>
            <w:hideMark/>
          </w:tcPr>
          <w:p w14:paraId="58BF6EE1" w14:textId="77777777" w:rsidR="00000000" w:rsidRDefault="00A173A8">
            <w:pPr>
              <w:spacing w:after="100"/>
              <w:rPr>
                <w:rFonts w:eastAsia="Times New Roman"/>
                <w:sz w:val="20"/>
                <w:szCs w:val="20"/>
              </w:rPr>
            </w:pPr>
          </w:p>
        </w:tc>
        <w:tc>
          <w:tcPr>
            <w:tcW w:w="19" w:type="pct"/>
            <w:vAlign w:val="center"/>
            <w:hideMark/>
          </w:tcPr>
          <w:p w14:paraId="430D97E9" w14:textId="77777777" w:rsidR="00000000" w:rsidRDefault="00A173A8">
            <w:pPr>
              <w:spacing w:after="100"/>
              <w:rPr>
                <w:rFonts w:eastAsia="Times New Roman"/>
                <w:sz w:val="20"/>
                <w:szCs w:val="20"/>
              </w:rPr>
            </w:pPr>
          </w:p>
        </w:tc>
        <w:tc>
          <w:tcPr>
            <w:tcW w:w="5" w:type="pct"/>
            <w:vAlign w:val="center"/>
            <w:hideMark/>
          </w:tcPr>
          <w:p w14:paraId="7B89AE3E" w14:textId="77777777" w:rsidR="00000000" w:rsidRDefault="00A173A8">
            <w:pPr>
              <w:spacing w:after="100"/>
              <w:rPr>
                <w:rFonts w:eastAsia="Times New Roman"/>
                <w:sz w:val="20"/>
                <w:szCs w:val="20"/>
              </w:rPr>
            </w:pPr>
          </w:p>
        </w:tc>
        <w:tc>
          <w:tcPr>
            <w:tcW w:w="50" w:type="pct"/>
            <w:vAlign w:val="center"/>
            <w:hideMark/>
          </w:tcPr>
          <w:p w14:paraId="6BEE703D" w14:textId="77777777" w:rsidR="00000000" w:rsidRDefault="00A173A8">
            <w:pPr>
              <w:spacing w:after="100"/>
              <w:rPr>
                <w:rFonts w:eastAsia="Times New Roman"/>
                <w:sz w:val="20"/>
                <w:szCs w:val="20"/>
              </w:rPr>
            </w:pPr>
          </w:p>
        </w:tc>
        <w:tc>
          <w:tcPr>
            <w:tcW w:w="525" w:type="pct"/>
            <w:vAlign w:val="center"/>
            <w:hideMark/>
          </w:tcPr>
          <w:p w14:paraId="3554CDC5" w14:textId="77777777" w:rsidR="00000000" w:rsidRDefault="00A173A8">
            <w:pPr>
              <w:spacing w:after="100"/>
              <w:rPr>
                <w:rFonts w:eastAsia="Times New Roman"/>
                <w:sz w:val="20"/>
                <w:szCs w:val="20"/>
              </w:rPr>
            </w:pPr>
          </w:p>
        </w:tc>
        <w:tc>
          <w:tcPr>
            <w:tcW w:w="5" w:type="pct"/>
            <w:vAlign w:val="center"/>
            <w:hideMark/>
          </w:tcPr>
          <w:p w14:paraId="1166D0EA" w14:textId="77777777" w:rsidR="00000000" w:rsidRDefault="00A173A8">
            <w:pPr>
              <w:spacing w:after="100"/>
              <w:rPr>
                <w:rFonts w:eastAsia="Times New Roman"/>
                <w:sz w:val="20"/>
                <w:szCs w:val="20"/>
              </w:rPr>
            </w:pPr>
          </w:p>
        </w:tc>
        <w:tc>
          <w:tcPr>
            <w:tcW w:w="5" w:type="pct"/>
            <w:vAlign w:val="center"/>
            <w:hideMark/>
          </w:tcPr>
          <w:p w14:paraId="30696C63" w14:textId="77777777" w:rsidR="00000000" w:rsidRDefault="00A173A8">
            <w:pPr>
              <w:spacing w:after="100"/>
              <w:rPr>
                <w:rFonts w:eastAsia="Times New Roman"/>
                <w:sz w:val="20"/>
                <w:szCs w:val="20"/>
              </w:rPr>
            </w:pPr>
          </w:p>
        </w:tc>
        <w:tc>
          <w:tcPr>
            <w:tcW w:w="19" w:type="pct"/>
            <w:vAlign w:val="center"/>
            <w:hideMark/>
          </w:tcPr>
          <w:p w14:paraId="576FE176" w14:textId="77777777" w:rsidR="00000000" w:rsidRDefault="00A173A8">
            <w:pPr>
              <w:spacing w:after="100"/>
              <w:rPr>
                <w:rFonts w:eastAsia="Times New Roman"/>
                <w:sz w:val="20"/>
                <w:szCs w:val="20"/>
              </w:rPr>
            </w:pPr>
          </w:p>
        </w:tc>
        <w:tc>
          <w:tcPr>
            <w:tcW w:w="5" w:type="pct"/>
            <w:vAlign w:val="center"/>
            <w:hideMark/>
          </w:tcPr>
          <w:p w14:paraId="7A29615A" w14:textId="77777777" w:rsidR="00000000" w:rsidRDefault="00A173A8">
            <w:pPr>
              <w:spacing w:after="100"/>
              <w:rPr>
                <w:rFonts w:eastAsia="Times New Roman"/>
                <w:sz w:val="20"/>
                <w:szCs w:val="20"/>
              </w:rPr>
            </w:pPr>
          </w:p>
        </w:tc>
        <w:tc>
          <w:tcPr>
            <w:tcW w:w="50" w:type="pct"/>
            <w:vAlign w:val="center"/>
            <w:hideMark/>
          </w:tcPr>
          <w:p w14:paraId="2088B2B5" w14:textId="77777777" w:rsidR="00000000" w:rsidRDefault="00A173A8">
            <w:pPr>
              <w:spacing w:after="100"/>
              <w:rPr>
                <w:rFonts w:eastAsia="Times New Roman"/>
                <w:sz w:val="20"/>
                <w:szCs w:val="20"/>
              </w:rPr>
            </w:pPr>
          </w:p>
        </w:tc>
        <w:tc>
          <w:tcPr>
            <w:tcW w:w="570" w:type="pct"/>
            <w:vAlign w:val="center"/>
            <w:hideMark/>
          </w:tcPr>
          <w:p w14:paraId="373C8AB8" w14:textId="77777777" w:rsidR="00000000" w:rsidRDefault="00A173A8">
            <w:pPr>
              <w:spacing w:after="100"/>
              <w:rPr>
                <w:rFonts w:eastAsia="Times New Roman"/>
                <w:sz w:val="20"/>
                <w:szCs w:val="20"/>
              </w:rPr>
            </w:pPr>
          </w:p>
        </w:tc>
        <w:tc>
          <w:tcPr>
            <w:tcW w:w="5" w:type="pct"/>
            <w:vAlign w:val="center"/>
            <w:hideMark/>
          </w:tcPr>
          <w:p w14:paraId="28A27AD4" w14:textId="77777777" w:rsidR="00000000" w:rsidRDefault="00A173A8">
            <w:pPr>
              <w:spacing w:after="100"/>
              <w:rPr>
                <w:rFonts w:eastAsia="Times New Roman"/>
                <w:sz w:val="20"/>
                <w:szCs w:val="20"/>
              </w:rPr>
            </w:pPr>
          </w:p>
        </w:tc>
      </w:tr>
      <w:tr w:rsidR="00000000" w14:paraId="07E5F216" w14:textId="77777777">
        <w:trPr>
          <w:divId w:val="1651594824"/>
        </w:trPr>
        <w:tc>
          <w:tcPr>
            <w:tcW w:w="0" w:type="auto"/>
            <w:gridSpan w:val="3"/>
            <w:tcMar>
              <w:top w:w="30" w:type="dxa"/>
              <w:left w:w="20" w:type="dxa"/>
              <w:bottom w:w="30" w:type="dxa"/>
              <w:right w:w="20" w:type="dxa"/>
            </w:tcMar>
            <w:vAlign w:val="bottom"/>
            <w:hideMark/>
          </w:tcPr>
          <w:p w14:paraId="797B2A3F"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0510B74A"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center"/>
            <w:hideMark/>
          </w:tcPr>
          <w:p w14:paraId="6D5443DC"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54BC2EAE"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257A872"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1F0A4172" w14:textId="77777777">
        <w:trPr>
          <w:divId w:val="165159482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B84F336" w14:textId="77777777" w:rsidR="00000000" w:rsidRDefault="00A173A8">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56732174"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9D739E2"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0D4454D" w14:textId="77777777" w:rsidR="00000000" w:rsidRDefault="00A173A8">
            <w:pPr>
              <w:spacing w:after="100"/>
              <w:jc w:val="right"/>
              <w:rPr>
                <w:rFonts w:eastAsia="Times New Roman"/>
              </w:rPr>
            </w:pPr>
            <w:r>
              <w:rPr>
                <w:rFonts w:eastAsia="Times New Roman"/>
                <w:b/>
                <w:bCs/>
                <w:color w:val="000000"/>
                <w:sz w:val="20"/>
                <w:szCs w:val="20"/>
              </w:rPr>
              <w:t>21,553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738FA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A330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563C8EA"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01F9625" w14:textId="77777777" w:rsidR="00000000" w:rsidRDefault="00A173A8">
            <w:pPr>
              <w:spacing w:after="100"/>
              <w:jc w:val="right"/>
              <w:rPr>
                <w:rFonts w:eastAsia="Times New Roman"/>
              </w:rPr>
            </w:pPr>
            <w:r>
              <w:rPr>
                <w:rFonts w:eastAsia="Times New Roman"/>
                <w:color w:val="000000"/>
                <w:sz w:val="20"/>
                <w:szCs w:val="20"/>
              </w:rPr>
              <w:t>21,746 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CFDACF" w14:textId="77777777" w:rsidR="00000000" w:rsidRDefault="00A173A8">
            <w:pPr>
              <w:spacing w:after="100"/>
              <w:jc w:val="right"/>
              <w:rPr>
                <w:rFonts w:eastAsia="Times New Roman"/>
              </w:rPr>
            </w:pPr>
          </w:p>
        </w:tc>
      </w:tr>
      <w:tr w:rsidR="00000000" w14:paraId="59B57A08" w14:textId="77777777">
        <w:trPr>
          <w:divId w:val="1651594824"/>
        </w:trPr>
        <w:tc>
          <w:tcPr>
            <w:tcW w:w="0" w:type="auto"/>
            <w:gridSpan w:val="3"/>
            <w:shd w:val="clear" w:color="auto" w:fill="FFFFFF"/>
            <w:tcMar>
              <w:top w:w="30" w:type="dxa"/>
              <w:left w:w="20" w:type="dxa"/>
              <w:bottom w:w="30" w:type="dxa"/>
              <w:right w:w="20" w:type="dxa"/>
            </w:tcMar>
            <w:vAlign w:val="center"/>
            <w:hideMark/>
          </w:tcPr>
          <w:p w14:paraId="677D6AD5" w14:textId="77777777" w:rsidR="00000000" w:rsidRDefault="00A173A8">
            <w:pPr>
              <w:spacing w:after="100"/>
              <w:jc w:val="both"/>
              <w:rPr>
                <w:rFonts w:eastAsia="Times New Roman"/>
              </w:rPr>
            </w:pPr>
            <w:r>
              <w:rPr>
                <w:rFonts w:eastAsia="Times New Roman"/>
                <w:color w:val="000000"/>
                <w:sz w:val="20"/>
                <w:szCs w:val="20"/>
              </w:rPr>
              <w:t>Investment securities available for sale, at fair value</w:t>
            </w:r>
          </w:p>
        </w:tc>
        <w:tc>
          <w:tcPr>
            <w:tcW w:w="0" w:type="auto"/>
            <w:gridSpan w:val="3"/>
            <w:shd w:val="clear" w:color="auto" w:fill="FFFFFF"/>
            <w:tcMar>
              <w:top w:w="0" w:type="dxa"/>
              <w:left w:w="20" w:type="dxa"/>
              <w:bottom w:w="0" w:type="dxa"/>
              <w:right w:w="20" w:type="dxa"/>
            </w:tcMar>
            <w:vAlign w:val="center"/>
            <w:hideMark/>
          </w:tcPr>
          <w:p w14:paraId="517864F7" w14:textId="77777777" w:rsidR="00000000" w:rsidRDefault="00A173A8">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2C62DAD" w14:textId="77777777" w:rsidR="00000000" w:rsidRDefault="00A173A8">
            <w:pPr>
              <w:spacing w:after="100"/>
              <w:jc w:val="right"/>
              <w:rPr>
                <w:rFonts w:eastAsia="Times New Roman"/>
              </w:rPr>
            </w:pPr>
            <w:r>
              <w:rPr>
                <w:rFonts w:eastAsia="Times New Roman"/>
                <w:b/>
                <w:bCs/>
                <w:color w:val="000000"/>
                <w:sz w:val="20"/>
                <w:szCs w:val="20"/>
              </w:rPr>
              <w:t>83,022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7D3066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AAC03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9BF8E9" w14:textId="77777777" w:rsidR="00000000" w:rsidRDefault="00A173A8">
            <w:pPr>
              <w:spacing w:after="100"/>
              <w:jc w:val="right"/>
              <w:rPr>
                <w:rFonts w:eastAsia="Times New Roman"/>
              </w:rPr>
            </w:pPr>
            <w:r>
              <w:rPr>
                <w:rFonts w:eastAsia="Times New Roman"/>
                <w:color w:val="000000"/>
                <w:sz w:val="20"/>
                <w:szCs w:val="20"/>
              </w:rPr>
              <w:t>95,261 </w:t>
            </w:r>
          </w:p>
        </w:tc>
        <w:tc>
          <w:tcPr>
            <w:tcW w:w="0" w:type="auto"/>
            <w:shd w:val="clear" w:color="auto" w:fill="FFFFFF"/>
            <w:tcMar>
              <w:top w:w="30" w:type="dxa"/>
              <w:left w:w="0" w:type="dxa"/>
              <w:bottom w:w="30" w:type="dxa"/>
              <w:right w:w="20" w:type="dxa"/>
            </w:tcMar>
            <w:vAlign w:val="center"/>
            <w:hideMark/>
          </w:tcPr>
          <w:p w14:paraId="04A8C5B6" w14:textId="77777777" w:rsidR="00000000" w:rsidRDefault="00A173A8">
            <w:pPr>
              <w:spacing w:after="100"/>
              <w:jc w:val="right"/>
              <w:rPr>
                <w:rFonts w:eastAsia="Times New Roman"/>
              </w:rPr>
            </w:pPr>
          </w:p>
        </w:tc>
      </w:tr>
      <w:tr w:rsidR="00000000" w14:paraId="1EB9F446" w14:textId="77777777">
        <w:trPr>
          <w:divId w:val="1651594824"/>
        </w:trPr>
        <w:tc>
          <w:tcPr>
            <w:tcW w:w="0" w:type="auto"/>
            <w:gridSpan w:val="3"/>
            <w:shd w:val="clear" w:color="auto" w:fill="CCEEFF"/>
            <w:tcMar>
              <w:top w:w="30" w:type="dxa"/>
              <w:left w:w="20" w:type="dxa"/>
              <w:bottom w:w="30" w:type="dxa"/>
              <w:right w:w="20" w:type="dxa"/>
            </w:tcMar>
            <w:vAlign w:val="center"/>
            <w:hideMark/>
          </w:tcPr>
          <w:p w14:paraId="22177779" w14:textId="77777777" w:rsidR="00000000" w:rsidRDefault="00A173A8">
            <w:pPr>
              <w:spacing w:after="100"/>
              <w:rPr>
                <w:rFonts w:eastAsia="Times New Roman"/>
              </w:rPr>
            </w:pPr>
            <w:r>
              <w:rPr>
                <w:rFonts w:eastAsia="Times New Roman"/>
                <w:color w:val="000000"/>
                <w:sz w:val="20"/>
                <w:szCs w:val="20"/>
              </w:rPr>
              <w:t>FHLB borrowing capacity secured by loans</w:t>
            </w:r>
          </w:p>
        </w:tc>
        <w:tc>
          <w:tcPr>
            <w:tcW w:w="0" w:type="auto"/>
            <w:gridSpan w:val="3"/>
            <w:shd w:val="clear" w:color="auto" w:fill="CCEEFF"/>
            <w:tcMar>
              <w:top w:w="0" w:type="dxa"/>
              <w:left w:w="20" w:type="dxa"/>
              <w:bottom w:w="0" w:type="dxa"/>
              <w:right w:w="20" w:type="dxa"/>
            </w:tcMar>
            <w:vAlign w:val="center"/>
            <w:hideMark/>
          </w:tcPr>
          <w:p w14:paraId="794F2C6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D6673C1" w14:textId="77777777" w:rsidR="00000000" w:rsidRDefault="00A173A8">
            <w:pPr>
              <w:spacing w:after="100"/>
              <w:jc w:val="right"/>
              <w:rPr>
                <w:rFonts w:eastAsia="Times New Roman"/>
              </w:rPr>
            </w:pPr>
            <w:r>
              <w:rPr>
                <w:rFonts w:eastAsia="Times New Roman"/>
                <w:b/>
                <w:bCs/>
                <w:color w:val="000000"/>
                <w:sz w:val="20"/>
                <w:szCs w:val="20"/>
              </w:rPr>
              <w:t>6,941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0E73B05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0015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8078B7" w14:textId="77777777" w:rsidR="00000000" w:rsidRDefault="00A173A8">
            <w:pPr>
              <w:spacing w:after="100"/>
              <w:jc w:val="right"/>
              <w:rPr>
                <w:rFonts w:eastAsia="Times New Roman"/>
              </w:rPr>
            </w:pPr>
            <w:r>
              <w:rPr>
                <w:rFonts w:eastAsia="Times New Roman"/>
                <w:color w:val="000000"/>
                <w:sz w:val="20"/>
                <w:szCs w:val="20"/>
              </w:rPr>
              <w:t>7,109 </w:t>
            </w:r>
          </w:p>
        </w:tc>
        <w:tc>
          <w:tcPr>
            <w:tcW w:w="0" w:type="auto"/>
            <w:shd w:val="clear" w:color="auto" w:fill="CCEEFF"/>
            <w:tcMar>
              <w:top w:w="30" w:type="dxa"/>
              <w:left w:w="0" w:type="dxa"/>
              <w:bottom w:w="30" w:type="dxa"/>
              <w:right w:w="20" w:type="dxa"/>
            </w:tcMar>
            <w:vAlign w:val="center"/>
            <w:hideMark/>
          </w:tcPr>
          <w:p w14:paraId="04A3E5F7" w14:textId="77777777" w:rsidR="00000000" w:rsidRDefault="00A173A8">
            <w:pPr>
              <w:spacing w:after="100"/>
              <w:jc w:val="right"/>
              <w:rPr>
                <w:rFonts w:eastAsia="Times New Roman"/>
              </w:rPr>
            </w:pPr>
          </w:p>
        </w:tc>
      </w:tr>
      <w:tr w:rsidR="00000000" w14:paraId="14BC0B36" w14:textId="77777777">
        <w:trPr>
          <w:divId w:val="1651594824"/>
        </w:trPr>
        <w:tc>
          <w:tcPr>
            <w:tcW w:w="0" w:type="auto"/>
            <w:gridSpan w:val="3"/>
            <w:shd w:val="clear" w:color="auto" w:fill="FFFFFF"/>
            <w:tcMar>
              <w:top w:w="30" w:type="dxa"/>
              <w:left w:w="20" w:type="dxa"/>
              <w:bottom w:w="30" w:type="dxa"/>
              <w:right w:w="20" w:type="dxa"/>
            </w:tcMar>
            <w:vAlign w:val="center"/>
            <w:hideMark/>
          </w:tcPr>
          <w:p w14:paraId="5EDCD61A" w14:textId="77777777" w:rsidR="00000000" w:rsidRDefault="00A173A8">
            <w:pPr>
              <w:spacing w:after="100"/>
              <w:rPr>
                <w:rFonts w:eastAsia="Times New Roman"/>
              </w:rPr>
            </w:pPr>
            <w:r>
              <w:rPr>
                <w:rFonts w:eastAsia="Times New Roman"/>
                <w:color w:val="000000"/>
                <w:sz w:val="20"/>
                <w:szCs w:val="20"/>
              </w:rPr>
              <w:t>Outstanding FHLB advances and letters of credit secured by loans and investment securities</w:t>
            </w:r>
          </w:p>
        </w:tc>
        <w:tc>
          <w:tcPr>
            <w:tcW w:w="0" w:type="auto"/>
            <w:gridSpan w:val="3"/>
            <w:shd w:val="clear" w:color="auto" w:fill="FFFFFF"/>
            <w:tcMar>
              <w:top w:w="0" w:type="dxa"/>
              <w:left w:w="20" w:type="dxa"/>
              <w:bottom w:w="0" w:type="dxa"/>
              <w:right w:w="20" w:type="dxa"/>
            </w:tcMar>
            <w:vAlign w:val="center"/>
            <w:hideMark/>
          </w:tcPr>
          <w:p w14:paraId="590E97E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FE59D48" w14:textId="77777777" w:rsidR="00000000" w:rsidRDefault="00A173A8">
            <w:pPr>
              <w:spacing w:after="100"/>
              <w:jc w:val="right"/>
              <w:rPr>
                <w:rFonts w:eastAsia="Times New Roman"/>
              </w:rPr>
            </w:pPr>
            <w:r>
              <w:rPr>
                <w:rFonts w:eastAsia="Times New Roman"/>
                <w:b/>
                <w:bCs/>
                <w:color w:val="000000"/>
                <w:sz w:val="20"/>
                <w:szCs w:val="20"/>
              </w:rPr>
              <w:t>(10,551)</w:t>
            </w:r>
          </w:p>
        </w:tc>
        <w:tc>
          <w:tcPr>
            <w:tcW w:w="0" w:type="auto"/>
            <w:shd w:val="clear" w:color="auto" w:fill="FFFFFF"/>
            <w:tcMar>
              <w:top w:w="30" w:type="dxa"/>
              <w:left w:w="0" w:type="dxa"/>
              <w:bottom w:w="30" w:type="dxa"/>
              <w:right w:w="20" w:type="dxa"/>
            </w:tcMar>
            <w:vAlign w:val="center"/>
            <w:hideMark/>
          </w:tcPr>
          <w:p w14:paraId="46CFA76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54EE0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3B9E4B" w14:textId="77777777" w:rsidR="00000000" w:rsidRDefault="00A173A8">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center"/>
            <w:hideMark/>
          </w:tcPr>
          <w:p w14:paraId="0A345560" w14:textId="77777777" w:rsidR="00000000" w:rsidRDefault="00A173A8">
            <w:pPr>
              <w:spacing w:after="100"/>
              <w:jc w:val="right"/>
              <w:rPr>
                <w:rFonts w:eastAsia="Times New Roman"/>
              </w:rPr>
            </w:pPr>
          </w:p>
        </w:tc>
      </w:tr>
      <w:tr w:rsidR="00000000" w14:paraId="4BE0CC26" w14:textId="77777777">
        <w:trPr>
          <w:divId w:val="1651594824"/>
        </w:trPr>
        <w:tc>
          <w:tcPr>
            <w:tcW w:w="0" w:type="auto"/>
            <w:gridSpan w:val="3"/>
            <w:shd w:val="clear" w:color="auto" w:fill="CCEEFF"/>
            <w:tcMar>
              <w:top w:w="30" w:type="dxa"/>
              <w:left w:w="20" w:type="dxa"/>
              <w:bottom w:w="30" w:type="dxa"/>
              <w:right w:w="20" w:type="dxa"/>
            </w:tcMar>
            <w:vAlign w:val="center"/>
            <w:hideMark/>
          </w:tcPr>
          <w:p w14:paraId="0D06D57A" w14:textId="77777777" w:rsidR="00000000" w:rsidRDefault="00A173A8">
            <w:pPr>
              <w:spacing w:after="100"/>
              <w:rPr>
                <w:rFonts w:eastAsia="Times New Roman"/>
              </w:rPr>
            </w:pPr>
            <w:r>
              <w:rPr>
                <w:rFonts w:eastAsia="Times New Roman"/>
                <w:color w:val="000000"/>
                <w:sz w:val="20"/>
                <w:szCs w:val="20"/>
              </w:rPr>
              <w:t>Other encumbrances of investment securities</w:t>
            </w:r>
          </w:p>
        </w:tc>
        <w:tc>
          <w:tcPr>
            <w:tcW w:w="0" w:type="auto"/>
            <w:gridSpan w:val="3"/>
            <w:shd w:val="clear" w:color="auto" w:fill="CCEEFF"/>
            <w:tcMar>
              <w:top w:w="0" w:type="dxa"/>
              <w:left w:w="20" w:type="dxa"/>
              <w:bottom w:w="0" w:type="dxa"/>
              <w:right w:w="20" w:type="dxa"/>
            </w:tcMar>
            <w:vAlign w:val="center"/>
            <w:hideMark/>
          </w:tcPr>
          <w:p w14:paraId="5A385CC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4B5FD9" w14:textId="77777777" w:rsidR="00000000" w:rsidRDefault="00A173A8">
            <w:pPr>
              <w:spacing w:after="100"/>
              <w:jc w:val="right"/>
              <w:rPr>
                <w:rFonts w:eastAsia="Times New Roman"/>
              </w:rPr>
            </w:pPr>
            <w:r>
              <w:rPr>
                <w:rFonts w:eastAsia="Times New Roman"/>
                <w:b/>
                <w:bCs/>
                <w:color w:val="000000"/>
                <w:sz w:val="20"/>
                <w:szCs w:val="20"/>
              </w:rPr>
              <w:t>(7,758)</w:t>
            </w:r>
          </w:p>
        </w:tc>
        <w:tc>
          <w:tcPr>
            <w:tcW w:w="0" w:type="auto"/>
            <w:shd w:val="clear" w:color="auto" w:fill="CCEEFF"/>
            <w:tcMar>
              <w:top w:w="30" w:type="dxa"/>
              <w:left w:w="0" w:type="dxa"/>
              <w:bottom w:w="30" w:type="dxa"/>
              <w:right w:w="20" w:type="dxa"/>
            </w:tcMar>
            <w:vAlign w:val="center"/>
            <w:hideMark/>
          </w:tcPr>
          <w:p w14:paraId="49A8D01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2D38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BA849D" w14:textId="77777777" w:rsidR="00000000" w:rsidRDefault="00A173A8">
            <w:pPr>
              <w:spacing w:after="100"/>
              <w:jc w:val="right"/>
              <w:rPr>
                <w:rFonts w:eastAsia="Times New Roman"/>
              </w:rPr>
            </w:pPr>
            <w:r>
              <w:rPr>
                <w:rFonts w:eastAsia="Times New Roman"/>
                <w:color w:val="000000"/>
                <w:sz w:val="20"/>
                <w:szCs w:val="20"/>
              </w:rPr>
              <w:t>(7,874)</w:t>
            </w:r>
          </w:p>
        </w:tc>
        <w:tc>
          <w:tcPr>
            <w:tcW w:w="0" w:type="auto"/>
            <w:shd w:val="clear" w:color="auto" w:fill="CCEEFF"/>
            <w:tcMar>
              <w:top w:w="30" w:type="dxa"/>
              <w:left w:w="0" w:type="dxa"/>
              <w:bottom w:w="30" w:type="dxa"/>
              <w:right w:w="20" w:type="dxa"/>
            </w:tcMar>
            <w:vAlign w:val="center"/>
            <w:hideMark/>
          </w:tcPr>
          <w:p w14:paraId="407E6476" w14:textId="77777777" w:rsidR="00000000" w:rsidRDefault="00A173A8">
            <w:pPr>
              <w:spacing w:after="100"/>
              <w:jc w:val="right"/>
              <w:rPr>
                <w:rFonts w:eastAsia="Times New Roman"/>
              </w:rPr>
            </w:pPr>
          </w:p>
        </w:tc>
      </w:tr>
      <w:tr w:rsidR="00000000" w14:paraId="7F9689DE" w14:textId="77777777">
        <w:trPr>
          <w:divId w:val="1651594824"/>
        </w:trPr>
        <w:tc>
          <w:tcPr>
            <w:tcW w:w="0" w:type="auto"/>
            <w:gridSpan w:val="3"/>
            <w:shd w:val="clear" w:color="auto" w:fill="FFFFFF"/>
            <w:tcMar>
              <w:top w:w="30" w:type="dxa"/>
              <w:left w:w="20" w:type="dxa"/>
              <w:bottom w:w="30" w:type="dxa"/>
              <w:right w:w="20" w:type="dxa"/>
            </w:tcMar>
            <w:vAlign w:val="center"/>
            <w:hideMark/>
          </w:tcPr>
          <w:p w14:paraId="0A049A03" w14:textId="77777777" w:rsidR="00000000" w:rsidRDefault="00A173A8">
            <w:pPr>
              <w:spacing w:after="100"/>
              <w:rPr>
                <w:rFonts w:eastAsia="Times New Roman"/>
              </w:rPr>
            </w:pPr>
            <w:r>
              <w:rPr>
                <w:rFonts w:eastAsia="Times New Roman"/>
                <w:color w:val="000000"/>
                <w:sz w:val="20"/>
                <w:szCs w:val="20"/>
              </w:rPr>
              <w:t>Total liquidity reserves</w:t>
            </w:r>
          </w:p>
        </w:tc>
        <w:tc>
          <w:tcPr>
            <w:tcW w:w="0" w:type="auto"/>
            <w:gridSpan w:val="3"/>
            <w:shd w:val="clear" w:color="auto" w:fill="FFFFFF"/>
            <w:tcMar>
              <w:top w:w="0" w:type="dxa"/>
              <w:left w:w="20" w:type="dxa"/>
              <w:bottom w:w="0" w:type="dxa"/>
              <w:right w:w="20" w:type="dxa"/>
            </w:tcMar>
            <w:vAlign w:val="center"/>
            <w:hideMark/>
          </w:tcPr>
          <w:p w14:paraId="6D950E26"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A4CB654"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BFB64FF" w14:textId="77777777" w:rsidR="00000000" w:rsidRDefault="00A173A8">
            <w:pPr>
              <w:spacing w:after="100"/>
              <w:jc w:val="right"/>
              <w:rPr>
                <w:rFonts w:eastAsia="Times New Roman"/>
              </w:rPr>
            </w:pPr>
            <w:r>
              <w:rPr>
                <w:rFonts w:eastAsia="Times New Roman"/>
                <w:b/>
                <w:bCs/>
                <w:color w:val="000000"/>
                <w:sz w:val="20"/>
                <w:szCs w:val="20"/>
              </w:rPr>
              <w:t>93,207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65E521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12DA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5C22B74"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509C04F" w14:textId="77777777" w:rsidR="00000000" w:rsidRDefault="00A173A8">
            <w:pPr>
              <w:spacing w:after="100"/>
              <w:jc w:val="right"/>
              <w:rPr>
                <w:rFonts w:eastAsia="Times New Roman"/>
              </w:rPr>
            </w:pPr>
            <w:r>
              <w:rPr>
                <w:rFonts w:eastAsia="Times New Roman"/>
                <w:color w:val="000000"/>
                <w:sz w:val="20"/>
                <w:szCs w:val="20"/>
              </w:rPr>
              <w:t>116,234 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2234EE5" w14:textId="77777777" w:rsidR="00000000" w:rsidRDefault="00A173A8">
            <w:pPr>
              <w:spacing w:after="100"/>
              <w:jc w:val="right"/>
              <w:rPr>
                <w:rFonts w:eastAsia="Times New Roman"/>
              </w:rPr>
            </w:pPr>
          </w:p>
        </w:tc>
      </w:tr>
    </w:tbl>
    <w:p w14:paraId="4D341251" w14:textId="77777777" w:rsidR="00000000" w:rsidRDefault="00A173A8">
      <w:pPr>
        <w:jc w:val="both"/>
        <w:rPr>
          <w:rFonts w:eastAsia="Times New Roman"/>
        </w:rPr>
      </w:pPr>
    </w:p>
    <w:p w14:paraId="61AF9340" w14:textId="77777777" w:rsidR="00000000" w:rsidRDefault="00A173A8">
      <w:pPr>
        <w:jc w:val="both"/>
        <w:rPr>
          <w:rFonts w:eastAsia="Times New Roman"/>
        </w:rPr>
      </w:pPr>
      <w:r>
        <w:rPr>
          <w:rFonts w:eastAsia="Times New Roman"/>
          <w:color w:val="000000"/>
          <w:sz w:val="20"/>
          <w:szCs w:val="20"/>
        </w:rPr>
        <w:t xml:space="preserve">Our liquidity reserves decreased by $23.0 billion to $93.2 billion as of June 30, 2022 from December 31, 2021 primarily due to a decline in our investment securities driven by the increases in interest rates and net paydowns and an increase in outstanding </w:t>
      </w:r>
      <w:r>
        <w:rPr>
          <w:rFonts w:eastAsia="Times New Roman"/>
          <w:color w:val="000000"/>
          <w:sz w:val="20"/>
          <w:szCs w:val="20"/>
        </w:rPr>
        <w:t>FHLB advances. Our liquidity reserves, which were elevated as a result of the COVID-19 pandemic, have largely returned to pre-pandemic levels.</w:t>
      </w:r>
      <w:r>
        <w:rPr>
          <w:rFonts w:eastAsia="Times New Roman"/>
          <w:color w:val="FF0000"/>
          <w:sz w:val="20"/>
          <w:szCs w:val="20"/>
        </w:rPr>
        <w:t xml:space="preserve"> </w:t>
      </w:r>
      <w:r>
        <w:rPr>
          <w:rFonts w:eastAsia="Times New Roman"/>
          <w:color w:val="000000"/>
          <w:sz w:val="20"/>
          <w:szCs w:val="20"/>
        </w:rPr>
        <w:t xml:space="preserve">In addition to these liquidity reserves, we maintain access to a diversified mix of funding sources as discussed </w:t>
      </w:r>
      <w:r>
        <w:rPr>
          <w:rFonts w:eastAsia="Times New Roman"/>
          <w:color w:val="000000"/>
          <w:sz w:val="20"/>
          <w:szCs w:val="20"/>
        </w:rPr>
        <w:t>in the “Borrowing Capacity” and “Funding” sections below. See “MD&amp;A—Risk Management” in our 2021 Form 10-K for additional information on our management of liquidity risk.</w:t>
      </w:r>
    </w:p>
    <w:p w14:paraId="27B0F8AF" w14:textId="77777777" w:rsidR="00000000" w:rsidRDefault="00A173A8">
      <w:pPr>
        <w:divId w:val="1005012068"/>
        <w:rPr>
          <w:rFonts w:eastAsia="Times New Roman"/>
        </w:rPr>
      </w:pPr>
      <w:r>
        <w:rPr>
          <w:rFonts w:eastAsia="Times New Roman"/>
          <w:b/>
          <w:bCs/>
          <w:color w:val="000000"/>
          <w:sz w:val="20"/>
          <w:szCs w:val="20"/>
        </w:rPr>
        <w:t>Liquidity Coverage Ratio</w:t>
      </w:r>
    </w:p>
    <w:p w14:paraId="4B4123C5" w14:textId="77777777" w:rsidR="00000000" w:rsidRDefault="00A173A8">
      <w:pPr>
        <w:jc w:val="both"/>
        <w:divId w:val="1323659704"/>
        <w:rPr>
          <w:rFonts w:eastAsia="Times New Roman"/>
        </w:rPr>
      </w:pPr>
      <w:r>
        <w:rPr>
          <w:rFonts w:eastAsia="Times New Roman"/>
          <w:color w:val="000000"/>
          <w:sz w:val="20"/>
          <w:szCs w:val="20"/>
        </w:rPr>
        <w:t>We are subject to the liquidity coverage ratio (“LCR”) stand</w:t>
      </w:r>
      <w:r>
        <w:rPr>
          <w:rFonts w:eastAsia="Times New Roman"/>
          <w:color w:val="000000"/>
          <w:sz w:val="20"/>
          <w:szCs w:val="20"/>
        </w:rPr>
        <w:t>ard as implemented by the Federal Reserve and OCC (the “LCR Rule”). The LCR Rule requires us to calculate our LCR daily. It also requires the Company to publicly disclose, on a quarterly basis, its LCR, certain related quantitative liquidity metrics, and a</w:t>
      </w:r>
      <w:r>
        <w:rPr>
          <w:rFonts w:eastAsia="Times New Roman"/>
          <w:color w:val="000000"/>
          <w:sz w:val="20"/>
          <w:szCs w:val="20"/>
        </w:rPr>
        <w:t xml:space="preserve"> qualitative discussion of its LCR. Our average LCR during the second quarter of 2022 was</w:t>
      </w:r>
      <w:r>
        <w:rPr>
          <w:rFonts w:eastAsia="Times New Roman"/>
          <w:color w:val="000000"/>
          <w:sz w:val="20"/>
          <w:szCs w:val="20"/>
          <w:shd w:val="clear" w:color="auto" w:fill="FFFFFF"/>
        </w:rPr>
        <w:t xml:space="preserve"> 144%</w:t>
      </w:r>
      <w:r>
        <w:rPr>
          <w:rFonts w:eastAsia="Times New Roman"/>
          <w:color w:val="000000"/>
          <w:sz w:val="20"/>
          <w:szCs w:val="20"/>
        </w:rPr>
        <w:t>, which exceeded the LCR Rule requirement of 100%. The calculation and the underlying components are based on our interpretations, expectations and assumptions of</w:t>
      </w:r>
      <w:r>
        <w:rPr>
          <w:rFonts w:eastAsia="Times New Roman"/>
          <w:color w:val="000000"/>
          <w:sz w:val="20"/>
          <w:szCs w:val="20"/>
        </w:rPr>
        <w:t xml:space="preserve"> relevant regulations, as well as interpretations provided by our regulators, and are subject to change based on changes to future regulations and interpretations. See “Part I—Item 1. Business—Supervision and Regulation” in our 2021 Form 10-K for additiona</w:t>
      </w:r>
      <w:r>
        <w:rPr>
          <w:rFonts w:eastAsia="Times New Roman"/>
          <w:color w:val="000000"/>
          <w:sz w:val="20"/>
          <w:szCs w:val="20"/>
        </w:rPr>
        <w:t>l information.</w:t>
      </w:r>
    </w:p>
    <w:p w14:paraId="1D062060" w14:textId="77777777" w:rsidR="00000000" w:rsidRDefault="00A173A8">
      <w:pPr>
        <w:jc w:val="both"/>
        <w:divId w:val="1201091525"/>
        <w:rPr>
          <w:rFonts w:eastAsia="Times New Roman"/>
        </w:rPr>
      </w:pPr>
      <w:r>
        <w:rPr>
          <w:rFonts w:eastAsia="Times New Roman"/>
          <w:b/>
          <w:bCs/>
          <w:color w:val="000000"/>
          <w:sz w:val="20"/>
          <w:szCs w:val="20"/>
        </w:rPr>
        <w:t>Net Stable Funding Ratio</w:t>
      </w:r>
    </w:p>
    <w:p w14:paraId="0F14B442" w14:textId="77777777" w:rsidR="00000000" w:rsidRDefault="00A173A8">
      <w:pPr>
        <w:jc w:val="both"/>
        <w:divId w:val="735397552"/>
        <w:rPr>
          <w:rFonts w:eastAsia="Times New Roman"/>
        </w:rPr>
      </w:pPr>
      <w:r>
        <w:rPr>
          <w:rFonts w:eastAsia="Times New Roman"/>
          <w:color w:val="000000"/>
          <w:sz w:val="20"/>
          <w:szCs w:val="20"/>
        </w:rPr>
        <w:t>In October 2020, the Federal Banking Agencies finalized a rule to implement the net stable funding ratio (“NSFR”) in the United States (the “NSFR Rule”). The NSFR Rule requires the Company and each of the Banks to ma</w:t>
      </w:r>
      <w:r>
        <w:rPr>
          <w:rFonts w:eastAsia="Times New Roman"/>
          <w:color w:val="000000"/>
          <w:sz w:val="20"/>
          <w:szCs w:val="20"/>
        </w:rPr>
        <w:t>intain an amount of available stable funding, which is a weighted measure of a company’s funding sources over a one-year time horizon, calculated by applying standardized weightings to equity and liabilities based on their expected stability, that is no le</w:t>
      </w:r>
      <w:r>
        <w:rPr>
          <w:rFonts w:eastAsia="Times New Roman"/>
          <w:color w:val="000000"/>
          <w:sz w:val="20"/>
          <w:szCs w:val="20"/>
        </w:rPr>
        <w:t>ss than a specified percentage of its required stable funding, which is calculated by applying standardized weightings to assets, derivatives exposures and certain other items based on their liquidity characteristics. As a Category III institution, the Com</w:t>
      </w:r>
      <w:r>
        <w:rPr>
          <w:rFonts w:eastAsia="Times New Roman"/>
          <w:color w:val="000000"/>
          <w:sz w:val="20"/>
          <w:szCs w:val="20"/>
        </w:rPr>
        <w:t>pany and the Banks are each required to maintain available stable funding in an amount at least equal to 85% of its required stable funding. The NSFR Rule became effective on July 1, 2021 and applies to the Company and each of the Banks. The NSFR Rule incl</w:t>
      </w:r>
      <w:r>
        <w:rPr>
          <w:rFonts w:eastAsia="Times New Roman"/>
          <w:color w:val="000000"/>
          <w:sz w:val="20"/>
          <w:szCs w:val="20"/>
        </w:rPr>
        <w:t xml:space="preserve">udes a semi-annual public disclosure requirement, with the first disclosure due 45 days after the end of the second quarter of 2023. </w:t>
      </w:r>
      <w:r>
        <w:rPr>
          <w:rFonts w:eastAsia="Times New Roman"/>
          <w:color w:val="000000"/>
          <w:sz w:val="20"/>
          <w:szCs w:val="20"/>
          <w:shd w:val="clear" w:color="auto" w:fill="FFFFFF"/>
        </w:rPr>
        <w:t>The Company and the Banks exceeded the NSFR Rule requirement as of June 30, 2022.</w:t>
      </w:r>
    </w:p>
    <w:p w14:paraId="2853EFFD" w14:textId="77777777" w:rsidR="00000000" w:rsidRDefault="00A173A8">
      <w:pPr>
        <w:divId w:val="1692292902"/>
        <w:rPr>
          <w:rFonts w:eastAsia="Times New Roman"/>
        </w:rPr>
      </w:pPr>
      <w:r>
        <w:rPr>
          <w:rFonts w:eastAsia="Times New Roman"/>
          <w:b/>
          <w:bCs/>
          <w:color w:val="000000"/>
          <w:sz w:val="20"/>
          <w:szCs w:val="20"/>
        </w:rPr>
        <w:t>Borrowing Capacity</w:t>
      </w:r>
    </w:p>
    <w:p w14:paraId="372A969A" w14:textId="77777777" w:rsidR="00000000" w:rsidRDefault="00A173A8">
      <w:pPr>
        <w:jc w:val="both"/>
        <w:divId w:val="1625235546"/>
        <w:rPr>
          <w:rFonts w:eastAsia="Times New Roman"/>
        </w:rPr>
      </w:pPr>
      <w:r>
        <w:rPr>
          <w:rFonts w:eastAsia="Times New Roman"/>
          <w:color w:val="000000"/>
          <w:sz w:val="20"/>
          <w:szCs w:val="20"/>
        </w:rPr>
        <w:t>We maintain a shelf re</w:t>
      </w:r>
      <w:r>
        <w:rPr>
          <w:rFonts w:eastAsia="Times New Roman"/>
          <w:color w:val="000000"/>
          <w:sz w:val="20"/>
          <w:szCs w:val="20"/>
        </w:rPr>
        <w:t>gistration with the U.S. Securities and Exchange Commission (“SEC”) so that we may periodically offer and sell an indeterminate aggregate amount of senior or subordinated debt securities, preferred stock, depositary shares, common stock, purchase contracts</w:t>
      </w:r>
      <w:r>
        <w:rPr>
          <w:rFonts w:eastAsia="Times New Roman"/>
          <w:color w:val="000000"/>
          <w:sz w:val="20"/>
          <w:szCs w:val="20"/>
        </w:rPr>
        <w:t>, warrants and units. There is no limit under this shelf registration to the amount or number of such securities that we may offer and sell, subject to market conditions. As of June 30, 2022, our shelf registration associated with our credit card securitiz</w:t>
      </w:r>
      <w:r>
        <w:rPr>
          <w:rFonts w:eastAsia="Times New Roman"/>
          <w:color w:val="000000"/>
          <w:sz w:val="20"/>
          <w:szCs w:val="20"/>
        </w:rPr>
        <w:t xml:space="preserve">ation trust allowed us to periodically offer and sell up to $30 billion of securitized debt obligations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DBF9D2D" w14:textId="77777777">
        <w:trPr>
          <w:divId w:val="1126082"/>
          <w:jc w:val="center"/>
        </w:trPr>
        <w:tc>
          <w:tcPr>
            <w:tcW w:w="50" w:type="pct"/>
            <w:vAlign w:val="center"/>
            <w:hideMark/>
          </w:tcPr>
          <w:p w14:paraId="77E055AD" w14:textId="77777777" w:rsidR="00000000" w:rsidRDefault="00A173A8">
            <w:pPr>
              <w:jc w:val="both"/>
              <w:rPr>
                <w:rFonts w:eastAsia="Times New Roman"/>
              </w:rPr>
            </w:pPr>
          </w:p>
        </w:tc>
        <w:tc>
          <w:tcPr>
            <w:tcW w:w="1606" w:type="pct"/>
            <w:vAlign w:val="center"/>
            <w:hideMark/>
          </w:tcPr>
          <w:p w14:paraId="7443D5D7" w14:textId="77777777" w:rsidR="00000000" w:rsidRDefault="00A173A8">
            <w:pPr>
              <w:spacing w:after="100"/>
              <w:rPr>
                <w:rFonts w:eastAsia="Times New Roman"/>
                <w:sz w:val="20"/>
                <w:szCs w:val="20"/>
              </w:rPr>
            </w:pPr>
          </w:p>
        </w:tc>
        <w:tc>
          <w:tcPr>
            <w:tcW w:w="5" w:type="pct"/>
            <w:vAlign w:val="center"/>
            <w:hideMark/>
          </w:tcPr>
          <w:p w14:paraId="696F8D04" w14:textId="77777777" w:rsidR="00000000" w:rsidRDefault="00A173A8">
            <w:pPr>
              <w:spacing w:after="100"/>
              <w:rPr>
                <w:rFonts w:eastAsia="Times New Roman"/>
                <w:sz w:val="20"/>
                <w:szCs w:val="20"/>
              </w:rPr>
            </w:pPr>
          </w:p>
        </w:tc>
        <w:tc>
          <w:tcPr>
            <w:tcW w:w="50" w:type="pct"/>
            <w:vAlign w:val="center"/>
            <w:hideMark/>
          </w:tcPr>
          <w:p w14:paraId="7781D2A7" w14:textId="77777777" w:rsidR="00000000" w:rsidRDefault="00A173A8">
            <w:pPr>
              <w:spacing w:after="100"/>
              <w:rPr>
                <w:rFonts w:eastAsia="Times New Roman"/>
                <w:sz w:val="20"/>
                <w:szCs w:val="20"/>
              </w:rPr>
            </w:pPr>
          </w:p>
        </w:tc>
        <w:tc>
          <w:tcPr>
            <w:tcW w:w="1614" w:type="pct"/>
            <w:vAlign w:val="center"/>
            <w:hideMark/>
          </w:tcPr>
          <w:p w14:paraId="4A7B48B4" w14:textId="77777777" w:rsidR="00000000" w:rsidRDefault="00A173A8">
            <w:pPr>
              <w:spacing w:after="100"/>
              <w:rPr>
                <w:rFonts w:eastAsia="Times New Roman"/>
                <w:sz w:val="20"/>
                <w:szCs w:val="20"/>
              </w:rPr>
            </w:pPr>
          </w:p>
        </w:tc>
        <w:tc>
          <w:tcPr>
            <w:tcW w:w="5" w:type="pct"/>
            <w:vAlign w:val="center"/>
            <w:hideMark/>
          </w:tcPr>
          <w:p w14:paraId="76A0FAED" w14:textId="77777777" w:rsidR="00000000" w:rsidRDefault="00A173A8">
            <w:pPr>
              <w:spacing w:after="100"/>
              <w:rPr>
                <w:rFonts w:eastAsia="Times New Roman"/>
                <w:sz w:val="20"/>
                <w:szCs w:val="20"/>
              </w:rPr>
            </w:pPr>
          </w:p>
        </w:tc>
        <w:tc>
          <w:tcPr>
            <w:tcW w:w="50" w:type="pct"/>
            <w:vAlign w:val="center"/>
            <w:hideMark/>
          </w:tcPr>
          <w:p w14:paraId="18C758A0" w14:textId="77777777" w:rsidR="00000000" w:rsidRDefault="00A173A8">
            <w:pPr>
              <w:spacing w:after="100"/>
              <w:rPr>
                <w:rFonts w:eastAsia="Times New Roman"/>
                <w:sz w:val="20"/>
                <w:szCs w:val="20"/>
              </w:rPr>
            </w:pPr>
          </w:p>
        </w:tc>
        <w:tc>
          <w:tcPr>
            <w:tcW w:w="1614" w:type="pct"/>
            <w:vAlign w:val="center"/>
            <w:hideMark/>
          </w:tcPr>
          <w:p w14:paraId="329FB5C9" w14:textId="77777777" w:rsidR="00000000" w:rsidRDefault="00A173A8">
            <w:pPr>
              <w:spacing w:after="100"/>
              <w:rPr>
                <w:rFonts w:eastAsia="Times New Roman"/>
                <w:sz w:val="20"/>
                <w:szCs w:val="20"/>
              </w:rPr>
            </w:pPr>
          </w:p>
        </w:tc>
        <w:tc>
          <w:tcPr>
            <w:tcW w:w="5" w:type="pct"/>
            <w:vAlign w:val="center"/>
            <w:hideMark/>
          </w:tcPr>
          <w:p w14:paraId="340DBAAF" w14:textId="77777777" w:rsidR="00000000" w:rsidRDefault="00A173A8">
            <w:pPr>
              <w:spacing w:after="100"/>
              <w:rPr>
                <w:rFonts w:eastAsia="Times New Roman"/>
                <w:sz w:val="20"/>
                <w:szCs w:val="20"/>
              </w:rPr>
            </w:pPr>
          </w:p>
        </w:tc>
      </w:tr>
      <w:tr w:rsidR="00000000" w14:paraId="38412F21" w14:textId="77777777">
        <w:trPr>
          <w:divId w:val="1126082"/>
          <w:trHeight w:val="300"/>
          <w:jc w:val="center"/>
        </w:trPr>
        <w:tc>
          <w:tcPr>
            <w:tcW w:w="0" w:type="auto"/>
            <w:gridSpan w:val="9"/>
            <w:tcMar>
              <w:top w:w="0" w:type="dxa"/>
              <w:left w:w="20" w:type="dxa"/>
              <w:bottom w:w="0" w:type="dxa"/>
              <w:right w:w="20" w:type="dxa"/>
            </w:tcMar>
            <w:vAlign w:val="center"/>
            <w:hideMark/>
          </w:tcPr>
          <w:p w14:paraId="0AFD7369" w14:textId="77777777" w:rsidR="00000000" w:rsidRDefault="00A173A8">
            <w:pPr>
              <w:spacing w:after="100"/>
              <w:rPr>
                <w:rFonts w:eastAsia="Times New Roman"/>
                <w:sz w:val="20"/>
                <w:szCs w:val="20"/>
              </w:rPr>
            </w:pPr>
          </w:p>
        </w:tc>
      </w:tr>
      <w:tr w:rsidR="00000000" w14:paraId="3F17BE9B" w14:textId="77777777">
        <w:trPr>
          <w:divId w:val="1126082"/>
          <w:jc w:val="center"/>
        </w:trPr>
        <w:tc>
          <w:tcPr>
            <w:tcW w:w="0" w:type="auto"/>
            <w:gridSpan w:val="3"/>
            <w:tcMar>
              <w:top w:w="0" w:type="dxa"/>
              <w:left w:w="20" w:type="dxa"/>
              <w:bottom w:w="0" w:type="dxa"/>
              <w:right w:w="20" w:type="dxa"/>
            </w:tcMar>
            <w:vAlign w:val="center"/>
            <w:hideMark/>
          </w:tcPr>
          <w:p w14:paraId="37B9D05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E7B75A5" w14:textId="77777777" w:rsidR="00000000" w:rsidRDefault="00A173A8">
            <w:pPr>
              <w:spacing w:after="100"/>
              <w:jc w:val="center"/>
              <w:rPr>
                <w:rFonts w:eastAsia="Times New Roman"/>
              </w:rPr>
            </w:pPr>
            <w:r>
              <w:rPr>
                <w:rFonts w:eastAsia="Times New Roman"/>
                <w:color w:val="000000"/>
                <w:sz w:val="16"/>
                <w:szCs w:val="16"/>
              </w:rPr>
              <w:t>47</w:t>
            </w:r>
          </w:p>
        </w:tc>
        <w:tc>
          <w:tcPr>
            <w:tcW w:w="0" w:type="auto"/>
            <w:gridSpan w:val="3"/>
            <w:tcMar>
              <w:top w:w="30" w:type="dxa"/>
              <w:left w:w="20" w:type="dxa"/>
              <w:bottom w:w="30" w:type="dxa"/>
              <w:right w:w="20" w:type="dxa"/>
            </w:tcMar>
            <w:vAlign w:val="bottom"/>
            <w:hideMark/>
          </w:tcPr>
          <w:p w14:paraId="115D306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CF82790" w14:textId="77777777" w:rsidR="00000000" w:rsidRDefault="00A173A8">
      <w:pPr>
        <w:rPr>
          <w:rFonts w:eastAsia="Times New Roman"/>
        </w:rPr>
      </w:pPr>
      <w:r>
        <w:rPr>
          <w:rFonts w:eastAsia="Times New Roman"/>
        </w:rPr>
        <w:pict w14:anchorId="7E51E1E0">
          <v:rect id="_x0000_i1072" style="width:0;height:1.5pt" o:hralign="center" o:hrstd="t" o:hr="t" fillcolor="#a0a0a0" stroked="f"/>
        </w:pict>
      </w:r>
    </w:p>
    <w:p w14:paraId="27127E54" w14:textId="77777777" w:rsidR="00000000" w:rsidRDefault="00A173A8">
      <w:pPr>
        <w:ind w:hanging="360"/>
        <w:jc w:val="both"/>
        <w:divId w:val="756903666"/>
        <w:rPr>
          <w:rFonts w:eastAsia="Times New Roman"/>
        </w:rPr>
      </w:pPr>
      <w:hyperlink w:anchor="i7ffd5d61af6f4722b1b1b07530d51c06_13" w:history="1">
        <w:r>
          <w:rPr>
            <w:rStyle w:val="a3"/>
            <w:rFonts w:eastAsia="Times New Roman"/>
            <w:sz w:val="16"/>
            <w:szCs w:val="16"/>
          </w:rPr>
          <w:t>Table of Contents</w:t>
        </w:r>
      </w:hyperlink>
    </w:p>
    <w:p w14:paraId="0B852D24" w14:textId="77777777" w:rsidR="00000000" w:rsidRDefault="00A173A8">
      <w:pPr>
        <w:jc w:val="both"/>
        <w:divId w:val="709035466"/>
        <w:rPr>
          <w:rFonts w:eastAsia="Times New Roman"/>
        </w:rPr>
      </w:pPr>
      <w:r>
        <w:rPr>
          <w:rFonts w:eastAsia="Times New Roman"/>
          <w:color w:val="000000"/>
          <w:sz w:val="20"/>
          <w:szCs w:val="20"/>
        </w:rPr>
        <w:t>and our shelf registration associated with our auto loan securitization trusts allowed us to periodically offer and sell up to $25 billion of securitized debt obligations. The registered amounts under these shelf registration statements are subject to cont</w:t>
      </w:r>
      <w:r>
        <w:rPr>
          <w:rFonts w:eastAsia="Times New Roman"/>
          <w:color w:val="000000"/>
          <w:sz w:val="20"/>
          <w:szCs w:val="20"/>
        </w:rPr>
        <w:t>inuing review and change in the future, including as part of the routine renewal process.</w:t>
      </w:r>
    </w:p>
    <w:p w14:paraId="0F2182A4" w14:textId="77777777" w:rsidR="00000000" w:rsidRDefault="00A173A8">
      <w:pPr>
        <w:jc w:val="both"/>
        <w:divId w:val="714161453"/>
        <w:rPr>
          <w:rFonts w:eastAsia="Times New Roman"/>
        </w:rPr>
      </w:pPr>
      <w:r>
        <w:rPr>
          <w:rFonts w:eastAsia="Times New Roman"/>
          <w:color w:val="000000"/>
          <w:sz w:val="20"/>
          <w:szCs w:val="20"/>
        </w:rPr>
        <w:t xml:space="preserve">In addition to our issuance capacity under the shelf registration statements, we also have access to FHLB advances, the Federal Reserve Discount Window and the Fixed </w:t>
      </w:r>
      <w:r>
        <w:rPr>
          <w:rFonts w:eastAsia="Times New Roman"/>
          <w:color w:val="000000"/>
          <w:sz w:val="20"/>
          <w:szCs w:val="20"/>
        </w:rPr>
        <w:t>Income Clearing Corporation’s general collateral financing repurchase agreement service. The ability to borrow utilizing these sources is based on membership status and the amount is dependent upon the Banks’ ability to post collateral. As of June 30, 2022</w:t>
      </w:r>
      <w:r>
        <w:rPr>
          <w:rFonts w:eastAsia="Times New Roman"/>
          <w:color w:val="000000"/>
          <w:sz w:val="20"/>
          <w:szCs w:val="20"/>
        </w:rPr>
        <w:t>, we pledged both loans and securities to the FHLB to secure a maximum borrowing capacity of $18.7 billion, of which $10.6 billion was used. Our FHLB membership is supported by our investment in FHLB stock of $424 million and $32 million as of June 30, 202</w:t>
      </w:r>
      <w:r>
        <w:rPr>
          <w:rFonts w:eastAsia="Times New Roman"/>
          <w:color w:val="000000"/>
          <w:sz w:val="20"/>
          <w:szCs w:val="20"/>
        </w:rPr>
        <w:t xml:space="preserve">2 and December 31, 2021, respectively, which was determined in part based on our outstanding advances. As of June 30, 2022, we pledged loans to secure a borrowing capacity of $22.1 billion under the Federal Reserve Discount Window. Our membership with the </w:t>
      </w:r>
      <w:r>
        <w:rPr>
          <w:rFonts w:eastAsia="Times New Roman"/>
          <w:color w:val="000000"/>
          <w:sz w:val="20"/>
          <w:szCs w:val="20"/>
        </w:rPr>
        <w:t>Federal Reserve is supported by our investment in Federal Reserve stock, which totaled $1.3 billion as of both June 30, 2022 and December 31, 2021.</w:t>
      </w:r>
    </w:p>
    <w:p w14:paraId="139D88C6" w14:textId="77777777" w:rsidR="00000000" w:rsidRDefault="00A173A8">
      <w:pPr>
        <w:divId w:val="1932009749"/>
        <w:rPr>
          <w:rFonts w:eastAsia="Times New Roman"/>
        </w:rPr>
      </w:pPr>
      <w:r>
        <w:rPr>
          <w:rFonts w:eastAsia="Times New Roman"/>
          <w:b/>
          <w:bCs/>
          <w:i/>
          <w:iCs/>
          <w:color w:val="000000"/>
          <w:sz w:val="20"/>
          <w:szCs w:val="20"/>
        </w:rPr>
        <w:t>Deposits</w:t>
      </w:r>
    </w:p>
    <w:p w14:paraId="1D94DA71" w14:textId="77777777" w:rsidR="00000000" w:rsidRDefault="00A173A8">
      <w:pPr>
        <w:jc w:val="both"/>
        <w:divId w:val="822236009"/>
        <w:rPr>
          <w:rFonts w:eastAsia="Times New Roman"/>
        </w:rPr>
      </w:pPr>
      <w:r>
        <w:rPr>
          <w:rFonts w:eastAsia="Times New Roman"/>
          <w:color w:val="000000"/>
          <w:sz w:val="20"/>
          <w:szCs w:val="20"/>
        </w:rPr>
        <w:t xml:space="preserve">Table 31 provides a comparison of average balances, interest expense and average deposits interest </w:t>
      </w:r>
      <w:r>
        <w:rPr>
          <w:rFonts w:eastAsia="Times New Roman"/>
          <w:color w:val="000000"/>
          <w:sz w:val="20"/>
          <w:szCs w:val="20"/>
        </w:rPr>
        <w:t>rates for the second quarter and first six months of 2022 and 2021.</w:t>
      </w:r>
    </w:p>
    <w:p w14:paraId="728CD19A" w14:textId="77777777" w:rsidR="00000000" w:rsidRDefault="00A173A8">
      <w:pPr>
        <w:divId w:val="42755200"/>
        <w:rPr>
          <w:rFonts w:eastAsia="Times New Roman"/>
        </w:rPr>
      </w:pPr>
      <w:r>
        <w:rPr>
          <w:rFonts w:eastAsia="Times New Roman"/>
          <w:b/>
          <w:bCs/>
          <w:color w:val="000000"/>
          <w:sz w:val="20"/>
          <w:szCs w:val="20"/>
        </w:rPr>
        <w:t>Table 31: Deposits Composition and Average Deposits Interest Rates</w:t>
      </w:r>
    </w:p>
    <w:tbl>
      <w:tblPr>
        <w:tblW w:w="5000" w:type="pct"/>
        <w:tblCellMar>
          <w:top w:w="15" w:type="dxa"/>
          <w:left w:w="15" w:type="dxa"/>
          <w:bottom w:w="15" w:type="dxa"/>
          <w:right w:w="15" w:type="dxa"/>
        </w:tblCellMar>
        <w:tblLook w:val="04A0" w:firstRow="1" w:lastRow="0" w:firstColumn="1" w:lastColumn="0" w:noHBand="0" w:noVBand="1"/>
      </w:tblPr>
      <w:tblGrid>
        <w:gridCol w:w="38"/>
        <w:gridCol w:w="1652"/>
        <w:gridCol w:w="37"/>
        <w:gridCol w:w="36"/>
        <w:gridCol w:w="36"/>
        <w:gridCol w:w="36"/>
        <w:gridCol w:w="120"/>
        <w:gridCol w:w="700"/>
        <w:gridCol w:w="36"/>
        <w:gridCol w:w="36"/>
        <w:gridCol w:w="36"/>
        <w:gridCol w:w="36"/>
        <w:gridCol w:w="121"/>
        <w:gridCol w:w="669"/>
        <w:gridCol w:w="36"/>
        <w:gridCol w:w="36"/>
        <w:gridCol w:w="36"/>
        <w:gridCol w:w="36"/>
        <w:gridCol w:w="77"/>
        <w:gridCol w:w="679"/>
        <w:gridCol w:w="220"/>
        <w:gridCol w:w="36"/>
        <w:gridCol w:w="36"/>
        <w:gridCol w:w="36"/>
        <w:gridCol w:w="120"/>
        <w:gridCol w:w="700"/>
        <w:gridCol w:w="36"/>
        <w:gridCol w:w="36"/>
        <w:gridCol w:w="36"/>
        <w:gridCol w:w="36"/>
        <w:gridCol w:w="121"/>
        <w:gridCol w:w="669"/>
        <w:gridCol w:w="36"/>
        <w:gridCol w:w="36"/>
        <w:gridCol w:w="36"/>
        <w:gridCol w:w="36"/>
        <w:gridCol w:w="77"/>
        <w:gridCol w:w="679"/>
        <w:gridCol w:w="187"/>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14:paraId="395810B2" w14:textId="77777777">
        <w:trPr>
          <w:divId w:val="955254798"/>
        </w:trPr>
        <w:tc>
          <w:tcPr>
            <w:tcW w:w="50" w:type="pct"/>
            <w:vAlign w:val="center"/>
            <w:hideMark/>
          </w:tcPr>
          <w:p w14:paraId="1F51F5C3" w14:textId="77777777" w:rsidR="00000000" w:rsidRDefault="00A173A8">
            <w:pPr>
              <w:rPr>
                <w:rFonts w:eastAsia="Times New Roman"/>
              </w:rPr>
            </w:pPr>
          </w:p>
        </w:tc>
        <w:tc>
          <w:tcPr>
            <w:tcW w:w="1743" w:type="pct"/>
            <w:vAlign w:val="center"/>
            <w:hideMark/>
          </w:tcPr>
          <w:p w14:paraId="264DF436" w14:textId="77777777" w:rsidR="00000000" w:rsidRDefault="00A173A8">
            <w:pPr>
              <w:spacing w:after="100"/>
              <w:rPr>
                <w:rFonts w:eastAsia="Times New Roman"/>
                <w:sz w:val="20"/>
                <w:szCs w:val="20"/>
              </w:rPr>
            </w:pPr>
          </w:p>
        </w:tc>
        <w:tc>
          <w:tcPr>
            <w:tcW w:w="5" w:type="pct"/>
            <w:vAlign w:val="center"/>
            <w:hideMark/>
          </w:tcPr>
          <w:p w14:paraId="179E8234" w14:textId="77777777" w:rsidR="00000000" w:rsidRDefault="00A173A8">
            <w:pPr>
              <w:spacing w:after="100"/>
              <w:rPr>
                <w:rFonts w:eastAsia="Times New Roman"/>
                <w:sz w:val="20"/>
                <w:szCs w:val="20"/>
              </w:rPr>
            </w:pPr>
          </w:p>
        </w:tc>
        <w:tc>
          <w:tcPr>
            <w:tcW w:w="5" w:type="pct"/>
            <w:vAlign w:val="center"/>
            <w:hideMark/>
          </w:tcPr>
          <w:p w14:paraId="36F5BC6A" w14:textId="77777777" w:rsidR="00000000" w:rsidRDefault="00A173A8">
            <w:pPr>
              <w:spacing w:after="100"/>
              <w:rPr>
                <w:rFonts w:eastAsia="Times New Roman"/>
                <w:sz w:val="20"/>
                <w:szCs w:val="20"/>
              </w:rPr>
            </w:pPr>
          </w:p>
        </w:tc>
        <w:tc>
          <w:tcPr>
            <w:tcW w:w="26" w:type="pct"/>
            <w:vAlign w:val="center"/>
            <w:hideMark/>
          </w:tcPr>
          <w:p w14:paraId="0C49F8D7" w14:textId="77777777" w:rsidR="00000000" w:rsidRDefault="00A173A8">
            <w:pPr>
              <w:spacing w:after="100"/>
              <w:rPr>
                <w:rFonts w:eastAsia="Times New Roman"/>
                <w:sz w:val="20"/>
                <w:szCs w:val="20"/>
              </w:rPr>
            </w:pPr>
          </w:p>
        </w:tc>
        <w:tc>
          <w:tcPr>
            <w:tcW w:w="5" w:type="pct"/>
            <w:vAlign w:val="center"/>
            <w:hideMark/>
          </w:tcPr>
          <w:p w14:paraId="0CDC0AC7" w14:textId="77777777" w:rsidR="00000000" w:rsidRDefault="00A173A8">
            <w:pPr>
              <w:spacing w:after="100"/>
              <w:rPr>
                <w:rFonts w:eastAsia="Times New Roman"/>
                <w:sz w:val="20"/>
                <w:szCs w:val="20"/>
              </w:rPr>
            </w:pPr>
          </w:p>
        </w:tc>
        <w:tc>
          <w:tcPr>
            <w:tcW w:w="50" w:type="pct"/>
            <w:vAlign w:val="center"/>
            <w:hideMark/>
          </w:tcPr>
          <w:p w14:paraId="70963062" w14:textId="77777777" w:rsidR="00000000" w:rsidRDefault="00A173A8">
            <w:pPr>
              <w:spacing w:after="100"/>
              <w:rPr>
                <w:rFonts w:eastAsia="Times New Roman"/>
                <w:sz w:val="20"/>
                <w:szCs w:val="20"/>
              </w:rPr>
            </w:pPr>
          </w:p>
        </w:tc>
        <w:tc>
          <w:tcPr>
            <w:tcW w:w="442" w:type="pct"/>
            <w:vAlign w:val="center"/>
            <w:hideMark/>
          </w:tcPr>
          <w:p w14:paraId="4CCB135E" w14:textId="77777777" w:rsidR="00000000" w:rsidRDefault="00A173A8">
            <w:pPr>
              <w:spacing w:after="100"/>
              <w:rPr>
                <w:rFonts w:eastAsia="Times New Roman"/>
                <w:sz w:val="20"/>
                <w:szCs w:val="20"/>
              </w:rPr>
            </w:pPr>
          </w:p>
        </w:tc>
        <w:tc>
          <w:tcPr>
            <w:tcW w:w="5" w:type="pct"/>
            <w:vAlign w:val="center"/>
            <w:hideMark/>
          </w:tcPr>
          <w:p w14:paraId="25B2C90D" w14:textId="77777777" w:rsidR="00000000" w:rsidRDefault="00A173A8">
            <w:pPr>
              <w:spacing w:after="100"/>
              <w:rPr>
                <w:rFonts w:eastAsia="Times New Roman"/>
                <w:sz w:val="20"/>
                <w:szCs w:val="20"/>
              </w:rPr>
            </w:pPr>
          </w:p>
        </w:tc>
        <w:tc>
          <w:tcPr>
            <w:tcW w:w="5" w:type="pct"/>
            <w:vAlign w:val="center"/>
            <w:hideMark/>
          </w:tcPr>
          <w:p w14:paraId="56D7D1A3" w14:textId="77777777" w:rsidR="00000000" w:rsidRDefault="00A173A8">
            <w:pPr>
              <w:spacing w:after="100"/>
              <w:rPr>
                <w:rFonts w:eastAsia="Times New Roman"/>
                <w:sz w:val="20"/>
                <w:szCs w:val="20"/>
              </w:rPr>
            </w:pPr>
          </w:p>
        </w:tc>
        <w:tc>
          <w:tcPr>
            <w:tcW w:w="26" w:type="pct"/>
            <w:vAlign w:val="center"/>
            <w:hideMark/>
          </w:tcPr>
          <w:p w14:paraId="309232DB" w14:textId="77777777" w:rsidR="00000000" w:rsidRDefault="00A173A8">
            <w:pPr>
              <w:spacing w:after="100"/>
              <w:rPr>
                <w:rFonts w:eastAsia="Times New Roman"/>
                <w:sz w:val="20"/>
                <w:szCs w:val="20"/>
              </w:rPr>
            </w:pPr>
          </w:p>
        </w:tc>
        <w:tc>
          <w:tcPr>
            <w:tcW w:w="5" w:type="pct"/>
            <w:vAlign w:val="center"/>
            <w:hideMark/>
          </w:tcPr>
          <w:p w14:paraId="73B5D0D3" w14:textId="77777777" w:rsidR="00000000" w:rsidRDefault="00A173A8">
            <w:pPr>
              <w:spacing w:after="100"/>
              <w:rPr>
                <w:rFonts w:eastAsia="Times New Roman"/>
                <w:sz w:val="20"/>
                <w:szCs w:val="20"/>
              </w:rPr>
            </w:pPr>
          </w:p>
        </w:tc>
        <w:tc>
          <w:tcPr>
            <w:tcW w:w="50" w:type="pct"/>
            <w:vAlign w:val="center"/>
            <w:hideMark/>
          </w:tcPr>
          <w:p w14:paraId="2119239E" w14:textId="77777777" w:rsidR="00000000" w:rsidRDefault="00A173A8">
            <w:pPr>
              <w:spacing w:after="100"/>
              <w:rPr>
                <w:rFonts w:eastAsia="Times New Roman"/>
                <w:sz w:val="20"/>
                <w:szCs w:val="20"/>
              </w:rPr>
            </w:pPr>
          </w:p>
        </w:tc>
        <w:tc>
          <w:tcPr>
            <w:tcW w:w="442" w:type="pct"/>
            <w:vAlign w:val="center"/>
            <w:hideMark/>
          </w:tcPr>
          <w:p w14:paraId="5C782CB4" w14:textId="77777777" w:rsidR="00000000" w:rsidRDefault="00A173A8">
            <w:pPr>
              <w:spacing w:after="100"/>
              <w:rPr>
                <w:rFonts w:eastAsia="Times New Roman"/>
                <w:sz w:val="20"/>
                <w:szCs w:val="20"/>
              </w:rPr>
            </w:pPr>
          </w:p>
        </w:tc>
        <w:tc>
          <w:tcPr>
            <w:tcW w:w="5" w:type="pct"/>
            <w:vAlign w:val="center"/>
            <w:hideMark/>
          </w:tcPr>
          <w:p w14:paraId="0957DA19" w14:textId="77777777" w:rsidR="00000000" w:rsidRDefault="00A173A8">
            <w:pPr>
              <w:spacing w:after="100"/>
              <w:rPr>
                <w:rFonts w:eastAsia="Times New Roman"/>
                <w:sz w:val="20"/>
                <w:szCs w:val="20"/>
              </w:rPr>
            </w:pPr>
          </w:p>
        </w:tc>
        <w:tc>
          <w:tcPr>
            <w:tcW w:w="5" w:type="pct"/>
            <w:vAlign w:val="center"/>
            <w:hideMark/>
          </w:tcPr>
          <w:p w14:paraId="0A56A95B" w14:textId="77777777" w:rsidR="00000000" w:rsidRDefault="00A173A8">
            <w:pPr>
              <w:spacing w:after="100"/>
              <w:rPr>
                <w:rFonts w:eastAsia="Times New Roman"/>
                <w:sz w:val="20"/>
                <w:szCs w:val="20"/>
              </w:rPr>
            </w:pPr>
          </w:p>
        </w:tc>
        <w:tc>
          <w:tcPr>
            <w:tcW w:w="26" w:type="pct"/>
            <w:vAlign w:val="center"/>
            <w:hideMark/>
          </w:tcPr>
          <w:p w14:paraId="39ABCB58" w14:textId="77777777" w:rsidR="00000000" w:rsidRDefault="00A173A8">
            <w:pPr>
              <w:spacing w:after="100"/>
              <w:rPr>
                <w:rFonts w:eastAsia="Times New Roman"/>
                <w:sz w:val="20"/>
                <w:szCs w:val="20"/>
              </w:rPr>
            </w:pPr>
          </w:p>
        </w:tc>
        <w:tc>
          <w:tcPr>
            <w:tcW w:w="5" w:type="pct"/>
            <w:vAlign w:val="center"/>
            <w:hideMark/>
          </w:tcPr>
          <w:p w14:paraId="0EA4CD28" w14:textId="77777777" w:rsidR="00000000" w:rsidRDefault="00A173A8">
            <w:pPr>
              <w:spacing w:after="100"/>
              <w:rPr>
                <w:rFonts w:eastAsia="Times New Roman"/>
                <w:sz w:val="20"/>
                <w:szCs w:val="20"/>
              </w:rPr>
            </w:pPr>
          </w:p>
        </w:tc>
        <w:tc>
          <w:tcPr>
            <w:tcW w:w="50" w:type="pct"/>
            <w:vAlign w:val="center"/>
            <w:hideMark/>
          </w:tcPr>
          <w:p w14:paraId="635F375E" w14:textId="77777777" w:rsidR="00000000" w:rsidRDefault="00A173A8">
            <w:pPr>
              <w:spacing w:after="100"/>
              <w:rPr>
                <w:rFonts w:eastAsia="Times New Roman"/>
                <w:sz w:val="20"/>
                <w:szCs w:val="20"/>
              </w:rPr>
            </w:pPr>
          </w:p>
        </w:tc>
        <w:tc>
          <w:tcPr>
            <w:tcW w:w="442" w:type="pct"/>
            <w:vAlign w:val="center"/>
            <w:hideMark/>
          </w:tcPr>
          <w:p w14:paraId="56DC080F" w14:textId="77777777" w:rsidR="00000000" w:rsidRDefault="00A173A8">
            <w:pPr>
              <w:spacing w:after="100"/>
              <w:rPr>
                <w:rFonts w:eastAsia="Times New Roman"/>
                <w:sz w:val="20"/>
                <w:szCs w:val="20"/>
              </w:rPr>
            </w:pPr>
          </w:p>
        </w:tc>
        <w:tc>
          <w:tcPr>
            <w:tcW w:w="5" w:type="pct"/>
            <w:vAlign w:val="center"/>
            <w:hideMark/>
          </w:tcPr>
          <w:p w14:paraId="522E0B67" w14:textId="77777777" w:rsidR="00000000" w:rsidRDefault="00A173A8">
            <w:pPr>
              <w:spacing w:after="100"/>
              <w:rPr>
                <w:rFonts w:eastAsia="Times New Roman"/>
                <w:sz w:val="20"/>
                <w:szCs w:val="20"/>
              </w:rPr>
            </w:pPr>
          </w:p>
        </w:tc>
        <w:tc>
          <w:tcPr>
            <w:tcW w:w="5" w:type="pct"/>
            <w:vAlign w:val="center"/>
            <w:hideMark/>
          </w:tcPr>
          <w:p w14:paraId="4B785418" w14:textId="77777777" w:rsidR="00000000" w:rsidRDefault="00A173A8">
            <w:pPr>
              <w:spacing w:after="100"/>
              <w:rPr>
                <w:rFonts w:eastAsia="Times New Roman"/>
                <w:sz w:val="20"/>
                <w:szCs w:val="20"/>
              </w:rPr>
            </w:pPr>
          </w:p>
        </w:tc>
        <w:tc>
          <w:tcPr>
            <w:tcW w:w="26" w:type="pct"/>
            <w:vAlign w:val="center"/>
            <w:hideMark/>
          </w:tcPr>
          <w:p w14:paraId="623F0937" w14:textId="77777777" w:rsidR="00000000" w:rsidRDefault="00A173A8">
            <w:pPr>
              <w:spacing w:after="100"/>
              <w:rPr>
                <w:rFonts w:eastAsia="Times New Roman"/>
                <w:sz w:val="20"/>
                <w:szCs w:val="20"/>
              </w:rPr>
            </w:pPr>
          </w:p>
        </w:tc>
        <w:tc>
          <w:tcPr>
            <w:tcW w:w="5" w:type="pct"/>
            <w:vAlign w:val="center"/>
            <w:hideMark/>
          </w:tcPr>
          <w:p w14:paraId="27515D6C" w14:textId="77777777" w:rsidR="00000000" w:rsidRDefault="00A173A8">
            <w:pPr>
              <w:spacing w:after="100"/>
              <w:rPr>
                <w:rFonts w:eastAsia="Times New Roman"/>
                <w:sz w:val="20"/>
                <w:szCs w:val="20"/>
              </w:rPr>
            </w:pPr>
          </w:p>
        </w:tc>
        <w:tc>
          <w:tcPr>
            <w:tcW w:w="50" w:type="pct"/>
            <w:vAlign w:val="center"/>
            <w:hideMark/>
          </w:tcPr>
          <w:p w14:paraId="7779B4EC" w14:textId="77777777" w:rsidR="00000000" w:rsidRDefault="00A173A8">
            <w:pPr>
              <w:spacing w:after="100"/>
              <w:rPr>
                <w:rFonts w:eastAsia="Times New Roman"/>
                <w:sz w:val="20"/>
                <w:szCs w:val="20"/>
              </w:rPr>
            </w:pPr>
          </w:p>
        </w:tc>
        <w:tc>
          <w:tcPr>
            <w:tcW w:w="442" w:type="pct"/>
            <w:vAlign w:val="center"/>
            <w:hideMark/>
          </w:tcPr>
          <w:p w14:paraId="131EC6E3" w14:textId="77777777" w:rsidR="00000000" w:rsidRDefault="00A173A8">
            <w:pPr>
              <w:spacing w:after="100"/>
              <w:rPr>
                <w:rFonts w:eastAsia="Times New Roman"/>
                <w:sz w:val="20"/>
                <w:szCs w:val="20"/>
              </w:rPr>
            </w:pPr>
          </w:p>
        </w:tc>
        <w:tc>
          <w:tcPr>
            <w:tcW w:w="5" w:type="pct"/>
            <w:vAlign w:val="center"/>
            <w:hideMark/>
          </w:tcPr>
          <w:p w14:paraId="1EC09D67" w14:textId="77777777" w:rsidR="00000000" w:rsidRDefault="00A173A8">
            <w:pPr>
              <w:spacing w:after="100"/>
              <w:rPr>
                <w:rFonts w:eastAsia="Times New Roman"/>
                <w:sz w:val="20"/>
                <w:szCs w:val="20"/>
              </w:rPr>
            </w:pPr>
          </w:p>
        </w:tc>
        <w:tc>
          <w:tcPr>
            <w:tcW w:w="5" w:type="pct"/>
            <w:vAlign w:val="center"/>
            <w:hideMark/>
          </w:tcPr>
          <w:p w14:paraId="5E632EF7" w14:textId="77777777" w:rsidR="00000000" w:rsidRDefault="00A173A8">
            <w:pPr>
              <w:spacing w:after="100"/>
              <w:rPr>
                <w:rFonts w:eastAsia="Times New Roman"/>
                <w:sz w:val="20"/>
                <w:szCs w:val="20"/>
              </w:rPr>
            </w:pPr>
          </w:p>
        </w:tc>
        <w:tc>
          <w:tcPr>
            <w:tcW w:w="26" w:type="pct"/>
            <w:vAlign w:val="center"/>
            <w:hideMark/>
          </w:tcPr>
          <w:p w14:paraId="1E0D9C90" w14:textId="77777777" w:rsidR="00000000" w:rsidRDefault="00A173A8">
            <w:pPr>
              <w:spacing w:after="100"/>
              <w:rPr>
                <w:rFonts w:eastAsia="Times New Roman"/>
                <w:sz w:val="20"/>
                <w:szCs w:val="20"/>
              </w:rPr>
            </w:pPr>
          </w:p>
        </w:tc>
        <w:tc>
          <w:tcPr>
            <w:tcW w:w="5" w:type="pct"/>
            <w:vAlign w:val="center"/>
            <w:hideMark/>
          </w:tcPr>
          <w:p w14:paraId="0B3C0A32" w14:textId="77777777" w:rsidR="00000000" w:rsidRDefault="00A173A8">
            <w:pPr>
              <w:spacing w:after="100"/>
              <w:rPr>
                <w:rFonts w:eastAsia="Times New Roman"/>
                <w:sz w:val="20"/>
                <w:szCs w:val="20"/>
              </w:rPr>
            </w:pPr>
          </w:p>
        </w:tc>
        <w:tc>
          <w:tcPr>
            <w:tcW w:w="50" w:type="pct"/>
            <w:vAlign w:val="center"/>
            <w:hideMark/>
          </w:tcPr>
          <w:p w14:paraId="195FD764" w14:textId="77777777" w:rsidR="00000000" w:rsidRDefault="00A173A8">
            <w:pPr>
              <w:spacing w:after="100"/>
              <w:rPr>
                <w:rFonts w:eastAsia="Times New Roman"/>
                <w:sz w:val="20"/>
                <w:szCs w:val="20"/>
              </w:rPr>
            </w:pPr>
          </w:p>
        </w:tc>
        <w:tc>
          <w:tcPr>
            <w:tcW w:w="442" w:type="pct"/>
            <w:vAlign w:val="center"/>
            <w:hideMark/>
          </w:tcPr>
          <w:p w14:paraId="0CD6C5CA" w14:textId="77777777" w:rsidR="00000000" w:rsidRDefault="00A173A8">
            <w:pPr>
              <w:spacing w:after="100"/>
              <w:rPr>
                <w:rFonts w:eastAsia="Times New Roman"/>
                <w:sz w:val="20"/>
                <w:szCs w:val="20"/>
              </w:rPr>
            </w:pPr>
          </w:p>
        </w:tc>
        <w:tc>
          <w:tcPr>
            <w:tcW w:w="5" w:type="pct"/>
            <w:vAlign w:val="center"/>
            <w:hideMark/>
          </w:tcPr>
          <w:p w14:paraId="266E7B2D" w14:textId="77777777" w:rsidR="00000000" w:rsidRDefault="00A173A8">
            <w:pPr>
              <w:spacing w:after="100"/>
              <w:rPr>
                <w:rFonts w:eastAsia="Times New Roman"/>
                <w:sz w:val="20"/>
                <w:szCs w:val="20"/>
              </w:rPr>
            </w:pPr>
          </w:p>
        </w:tc>
        <w:tc>
          <w:tcPr>
            <w:tcW w:w="5" w:type="pct"/>
            <w:vAlign w:val="center"/>
            <w:hideMark/>
          </w:tcPr>
          <w:p w14:paraId="777827F0" w14:textId="77777777" w:rsidR="00000000" w:rsidRDefault="00A173A8">
            <w:pPr>
              <w:spacing w:after="100"/>
              <w:rPr>
                <w:rFonts w:eastAsia="Times New Roman"/>
                <w:sz w:val="20"/>
                <w:szCs w:val="20"/>
              </w:rPr>
            </w:pPr>
          </w:p>
        </w:tc>
        <w:tc>
          <w:tcPr>
            <w:tcW w:w="26" w:type="pct"/>
            <w:vAlign w:val="center"/>
            <w:hideMark/>
          </w:tcPr>
          <w:p w14:paraId="57A1240A" w14:textId="77777777" w:rsidR="00000000" w:rsidRDefault="00A173A8">
            <w:pPr>
              <w:spacing w:after="100"/>
              <w:rPr>
                <w:rFonts w:eastAsia="Times New Roman"/>
                <w:sz w:val="20"/>
                <w:szCs w:val="20"/>
              </w:rPr>
            </w:pPr>
          </w:p>
        </w:tc>
        <w:tc>
          <w:tcPr>
            <w:tcW w:w="5" w:type="pct"/>
            <w:vAlign w:val="center"/>
            <w:hideMark/>
          </w:tcPr>
          <w:p w14:paraId="5BF0653A" w14:textId="77777777" w:rsidR="00000000" w:rsidRDefault="00A173A8">
            <w:pPr>
              <w:spacing w:after="100"/>
              <w:rPr>
                <w:rFonts w:eastAsia="Times New Roman"/>
                <w:sz w:val="20"/>
                <w:szCs w:val="20"/>
              </w:rPr>
            </w:pPr>
          </w:p>
        </w:tc>
        <w:tc>
          <w:tcPr>
            <w:tcW w:w="50" w:type="pct"/>
            <w:vAlign w:val="center"/>
            <w:hideMark/>
          </w:tcPr>
          <w:p w14:paraId="30685ADB" w14:textId="77777777" w:rsidR="00000000" w:rsidRDefault="00A173A8">
            <w:pPr>
              <w:spacing w:after="100"/>
              <w:rPr>
                <w:rFonts w:eastAsia="Times New Roman"/>
                <w:sz w:val="20"/>
                <w:szCs w:val="20"/>
              </w:rPr>
            </w:pPr>
          </w:p>
        </w:tc>
        <w:tc>
          <w:tcPr>
            <w:tcW w:w="442" w:type="pct"/>
            <w:vAlign w:val="center"/>
            <w:hideMark/>
          </w:tcPr>
          <w:p w14:paraId="2E7255E8" w14:textId="77777777" w:rsidR="00000000" w:rsidRDefault="00A173A8">
            <w:pPr>
              <w:spacing w:after="100"/>
              <w:rPr>
                <w:rFonts w:eastAsia="Times New Roman"/>
                <w:sz w:val="20"/>
                <w:szCs w:val="20"/>
              </w:rPr>
            </w:pPr>
          </w:p>
        </w:tc>
        <w:tc>
          <w:tcPr>
            <w:tcW w:w="5" w:type="pct"/>
            <w:vAlign w:val="center"/>
            <w:hideMark/>
          </w:tcPr>
          <w:p w14:paraId="735670A8" w14:textId="77777777" w:rsidR="00000000" w:rsidRDefault="00A173A8">
            <w:pPr>
              <w:spacing w:after="100"/>
              <w:rPr>
                <w:rFonts w:eastAsia="Times New Roman"/>
                <w:sz w:val="20"/>
                <w:szCs w:val="20"/>
              </w:rPr>
            </w:pPr>
          </w:p>
        </w:tc>
        <w:tc>
          <w:tcPr>
            <w:tcW w:w="0" w:type="auto"/>
            <w:gridSpan w:val="3"/>
            <w:vAlign w:val="center"/>
            <w:hideMark/>
          </w:tcPr>
          <w:p w14:paraId="562CD2E4" w14:textId="77777777" w:rsidR="00000000" w:rsidRDefault="00A173A8">
            <w:pPr>
              <w:spacing w:after="100"/>
              <w:rPr>
                <w:rFonts w:eastAsia="Times New Roman"/>
                <w:sz w:val="20"/>
                <w:szCs w:val="20"/>
              </w:rPr>
            </w:pPr>
          </w:p>
        </w:tc>
        <w:tc>
          <w:tcPr>
            <w:tcW w:w="0" w:type="auto"/>
            <w:gridSpan w:val="3"/>
            <w:vAlign w:val="center"/>
            <w:hideMark/>
          </w:tcPr>
          <w:p w14:paraId="10A36A65" w14:textId="77777777" w:rsidR="00000000" w:rsidRDefault="00A173A8">
            <w:pPr>
              <w:spacing w:after="100"/>
              <w:rPr>
                <w:rFonts w:eastAsia="Times New Roman"/>
                <w:sz w:val="20"/>
                <w:szCs w:val="20"/>
              </w:rPr>
            </w:pPr>
          </w:p>
        </w:tc>
        <w:tc>
          <w:tcPr>
            <w:tcW w:w="0" w:type="auto"/>
            <w:gridSpan w:val="3"/>
            <w:vAlign w:val="center"/>
            <w:hideMark/>
          </w:tcPr>
          <w:p w14:paraId="683557F1" w14:textId="77777777" w:rsidR="00000000" w:rsidRDefault="00A173A8">
            <w:pPr>
              <w:spacing w:after="100"/>
              <w:rPr>
                <w:rFonts w:eastAsia="Times New Roman"/>
                <w:sz w:val="20"/>
                <w:szCs w:val="20"/>
              </w:rPr>
            </w:pPr>
          </w:p>
        </w:tc>
        <w:tc>
          <w:tcPr>
            <w:tcW w:w="0" w:type="auto"/>
            <w:gridSpan w:val="3"/>
            <w:vAlign w:val="center"/>
            <w:hideMark/>
          </w:tcPr>
          <w:p w14:paraId="617B9BAE" w14:textId="77777777" w:rsidR="00000000" w:rsidRDefault="00A173A8">
            <w:pPr>
              <w:spacing w:after="100"/>
              <w:rPr>
                <w:rFonts w:eastAsia="Times New Roman"/>
                <w:sz w:val="20"/>
                <w:szCs w:val="20"/>
              </w:rPr>
            </w:pPr>
          </w:p>
        </w:tc>
        <w:tc>
          <w:tcPr>
            <w:tcW w:w="0" w:type="auto"/>
            <w:gridSpan w:val="3"/>
            <w:vAlign w:val="center"/>
            <w:hideMark/>
          </w:tcPr>
          <w:p w14:paraId="5E1047F6" w14:textId="77777777" w:rsidR="00000000" w:rsidRDefault="00A173A8">
            <w:pPr>
              <w:spacing w:after="100"/>
              <w:rPr>
                <w:rFonts w:eastAsia="Times New Roman"/>
                <w:sz w:val="20"/>
                <w:szCs w:val="20"/>
              </w:rPr>
            </w:pPr>
          </w:p>
        </w:tc>
        <w:tc>
          <w:tcPr>
            <w:tcW w:w="0" w:type="auto"/>
            <w:gridSpan w:val="3"/>
            <w:vAlign w:val="center"/>
            <w:hideMark/>
          </w:tcPr>
          <w:p w14:paraId="31A59BD5" w14:textId="77777777" w:rsidR="00000000" w:rsidRDefault="00A173A8">
            <w:pPr>
              <w:spacing w:after="100"/>
              <w:rPr>
                <w:rFonts w:eastAsia="Times New Roman"/>
                <w:sz w:val="20"/>
                <w:szCs w:val="20"/>
              </w:rPr>
            </w:pPr>
          </w:p>
        </w:tc>
      </w:tr>
      <w:tr w:rsidR="00000000" w14:paraId="7217ED9E" w14:textId="77777777">
        <w:trPr>
          <w:divId w:val="955254798"/>
        </w:trPr>
        <w:tc>
          <w:tcPr>
            <w:tcW w:w="0" w:type="auto"/>
            <w:gridSpan w:val="3"/>
            <w:tcMar>
              <w:top w:w="0" w:type="dxa"/>
              <w:left w:w="20" w:type="dxa"/>
              <w:bottom w:w="0" w:type="dxa"/>
              <w:right w:w="20" w:type="dxa"/>
            </w:tcMar>
            <w:vAlign w:val="center"/>
            <w:hideMark/>
          </w:tcPr>
          <w:p w14:paraId="0285601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C453FB" w14:textId="77777777" w:rsidR="00000000" w:rsidRDefault="00A173A8">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14:paraId="73D6A72A"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vAlign w:val="center"/>
            <w:hideMark/>
          </w:tcPr>
          <w:p w14:paraId="0CD7E515" w14:textId="77777777" w:rsidR="00000000" w:rsidRDefault="00A173A8">
            <w:pPr>
              <w:spacing w:after="100"/>
              <w:rPr>
                <w:rFonts w:eastAsia="Times New Roman"/>
                <w:sz w:val="20"/>
                <w:szCs w:val="20"/>
              </w:rPr>
            </w:pPr>
          </w:p>
        </w:tc>
        <w:tc>
          <w:tcPr>
            <w:tcW w:w="0" w:type="auto"/>
            <w:vAlign w:val="center"/>
            <w:hideMark/>
          </w:tcPr>
          <w:p w14:paraId="517BFC9E" w14:textId="77777777" w:rsidR="00000000" w:rsidRDefault="00A173A8">
            <w:pPr>
              <w:spacing w:after="100"/>
              <w:rPr>
                <w:rFonts w:eastAsia="Times New Roman"/>
                <w:sz w:val="20"/>
                <w:szCs w:val="20"/>
              </w:rPr>
            </w:pPr>
          </w:p>
        </w:tc>
        <w:tc>
          <w:tcPr>
            <w:tcW w:w="0" w:type="auto"/>
            <w:vAlign w:val="center"/>
            <w:hideMark/>
          </w:tcPr>
          <w:p w14:paraId="1C9716C3" w14:textId="77777777" w:rsidR="00000000" w:rsidRDefault="00A173A8">
            <w:pPr>
              <w:spacing w:after="100"/>
              <w:rPr>
                <w:rFonts w:eastAsia="Times New Roman"/>
                <w:sz w:val="20"/>
                <w:szCs w:val="20"/>
              </w:rPr>
            </w:pPr>
          </w:p>
        </w:tc>
        <w:tc>
          <w:tcPr>
            <w:tcW w:w="0" w:type="auto"/>
            <w:vAlign w:val="center"/>
            <w:hideMark/>
          </w:tcPr>
          <w:p w14:paraId="6B50F6C0" w14:textId="77777777" w:rsidR="00000000" w:rsidRDefault="00A173A8">
            <w:pPr>
              <w:spacing w:after="100"/>
              <w:rPr>
                <w:rFonts w:eastAsia="Times New Roman"/>
                <w:sz w:val="20"/>
                <w:szCs w:val="20"/>
              </w:rPr>
            </w:pPr>
          </w:p>
        </w:tc>
        <w:tc>
          <w:tcPr>
            <w:tcW w:w="0" w:type="auto"/>
            <w:vAlign w:val="center"/>
            <w:hideMark/>
          </w:tcPr>
          <w:p w14:paraId="1C1721A2" w14:textId="77777777" w:rsidR="00000000" w:rsidRDefault="00A173A8">
            <w:pPr>
              <w:spacing w:after="100"/>
              <w:rPr>
                <w:rFonts w:eastAsia="Times New Roman"/>
                <w:sz w:val="20"/>
                <w:szCs w:val="20"/>
              </w:rPr>
            </w:pPr>
          </w:p>
        </w:tc>
        <w:tc>
          <w:tcPr>
            <w:tcW w:w="0" w:type="auto"/>
            <w:vAlign w:val="center"/>
            <w:hideMark/>
          </w:tcPr>
          <w:p w14:paraId="3E71FD52" w14:textId="77777777" w:rsidR="00000000" w:rsidRDefault="00A173A8">
            <w:pPr>
              <w:spacing w:after="100"/>
              <w:rPr>
                <w:rFonts w:eastAsia="Times New Roman"/>
                <w:sz w:val="20"/>
                <w:szCs w:val="20"/>
              </w:rPr>
            </w:pPr>
          </w:p>
        </w:tc>
        <w:tc>
          <w:tcPr>
            <w:tcW w:w="0" w:type="auto"/>
            <w:vAlign w:val="center"/>
            <w:hideMark/>
          </w:tcPr>
          <w:p w14:paraId="361018D8" w14:textId="77777777" w:rsidR="00000000" w:rsidRDefault="00A173A8">
            <w:pPr>
              <w:spacing w:after="100"/>
              <w:rPr>
                <w:rFonts w:eastAsia="Times New Roman"/>
                <w:sz w:val="20"/>
                <w:szCs w:val="20"/>
              </w:rPr>
            </w:pPr>
          </w:p>
        </w:tc>
        <w:tc>
          <w:tcPr>
            <w:tcW w:w="0" w:type="auto"/>
            <w:vAlign w:val="center"/>
            <w:hideMark/>
          </w:tcPr>
          <w:p w14:paraId="2295D915" w14:textId="77777777" w:rsidR="00000000" w:rsidRDefault="00A173A8">
            <w:pPr>
              <w:spacing w:after="100"/>
              <w:rPr>
                <w:rFonts w:eastAsia="Times New Roman"/>
                <w:sz w:val="20"/>
                <w:szCs w:val="20"/>
              </w:rPr>
            </w:pPr>
          </w:p>
        </w:tc>
        <w:tc>
          <w:tcPr>
            <w:tcW w:w="0" w:type="auto"/>
            <w:vAlign w:val="center"/>
            <w:hideMark/>
          </w:tcPr>
          <w:p w14:paraId="69B5C076" w14:textId="77777777" w:rsidR="00000000" w:rsidRDefault="00A173A8">
            <w:pPr>
              <w:spacing w:after="100"/>
              <w:rPr>
                <w:rFonts w:eastAsia="Times New Roman"/>
                <w:sz w:val="20"/>
                <w:szCs w:val="20"/>
              </w:rPr>
            </w:pPr>
          </w:p>
        </w:tc>
        <w:tc>
          <w:tcPr>
            <w:tcW w:w="0" w:type="auto"/>
            <w:vAlign w:val="center"/>
            <w:hideMark/>
          </w:tcPr>
          <w:p w14:paraId="7CA553CB" w14:textId="77777777" w:rsidR="00000000" w:rsidRDefault="00A173A8">
            <w:pPr>
              <w:spacing w:after="100"/>
              <w:rPr>
                <w:rFonts w:eastAsia="Times New Roman"/>
                <w:sz w:val="20"/>
                <w:szCs w:val="20"/>
              </w:rPr>
            </w:pPr>
          </w:p>
        </w:tc>
        <w:tc>
          <w:tcPr>
            <w:tcW w:w="0" w:type="auto"/>
            <w:vAlign w:val="center"/>
            <w:hideMark/>
          </w:tcPr>
          <w:p w14:paraId="6D8C8648" w14:textId="77777777" w:rsidR="00000000" w:rsidRDefault="00A173A8">
            <w:pPr>
              <w:spacing w:after="100"/>
              <w:rPr>
                <w:rFonts w:eastAsia="Times New Roman"/>
                <w:sz w:val="20"/>
                <w:szCs w:val="20"/>
              </w:rPr>
            </w:pPr>
          </w:p>
        </w:tc>
        <w:tc>
          <w:tcPr>
            <w:tcW w:w="0" w:type="auto"/>
            <w:vAlign w:val="center"/>
            <w:hideMark/>
          </w:tcPr>
          <w:p w14:paraId="43087BF5" w14:textId="77777777" w:rsidR="00000000" w:rsidRDefault="00A173A8">
            <w:pPr>
              <w:spacing w:after="100"/>
              <w:rPr>
                <w:rFonts w:eastAsia="Times New Roman"/>
                <w:sz w:val="20"/>
                <w:szCs w:val="20"/>
              </w:rPr>
            </w:pPr>
          </w:p>
        </w:tc>
        <w:tc>
          <w:tcPr>
            <w:tcW w:w="0" w:type="auto"/>
            <w:vAlign w:val="center"/>
            <w:hideMark/>
          </w:tcPr>
          <w:p w14:paraId="37882CF6" w14:textId="77777777" w:rsidR="00000000" w:rsidRDefault="00A173A8">
            <w:pPr>
              <w:spacing w:after="100"/>
              <w:rPr>
                <w:rFonts w:eastAsia="Times New Roman"/>
                <w:sz w:val="20"/>
                <w:szCs w:val="20"/>
              </w:rPr>
            </w:pPr>
          </w:p>
        </w:tc>
        <w:tc>
          <w:tcPr>
            <w:tcW w:w="0" w:type="auto"/>
            <w:vAlign w:val="center"/>
            <w:hideMark/>
          </w:tcPr>
          <w:p w14:paraId="7E31B3BA" w14:textId="77777777" w:rsidR="00000000" w:rsidRDefault="00A173A8">
            <w:pPr>
              <w:spacing w:after="100"/>
              <w:rPr>
                <w:rFonts w:eastAsia="Times New Roman"/>
                <w:sz w:val="20"/>
                <w:szCs w:val="20"/>
              </w:rPr>
            </w:pPr>
          </w:p>
        </w:tc>
        <w:tc>
          <w:tcPr>
            <w:tcW w:w="0" w:type="auto"/>
            <w:vAlign w:val="center"/>
            <w:hideMark/>
          </w:tcPr>
          <w:p w14:paraId="53C8E905" w14:textId="77777777" w:rsidR="00000000" w:rsidRDefault="00A173A8">
            <w:pPr>
              <w:spacing w:after="100"/>
              <w:rPr>
                <w:rFonts w:eastAsia="Times New Roman"/>
                <w:sz w:val="20"/>
                <w:szCs w:val="20"/>
              </w:rPr>
            </w:pPr>
          </w:p>
        </w:tc>
        <w:tc>
          <w:tcPr>
            <w:tcW w:w="0" w:type="auto"/>
            <w:vAlign w:val="center"/>
            <w:hideMark/>
          </w:tcPr>
          <w:p w14:paraId="5DA047CC" w14:textId="77777777" w:rsidR="00000000" w:rsidRDefault="00A173A8">
            <w:pPr>
              <w:spacing w:after="100"/>
              <w:rPr>
                <w:rFonts w:eastAsia="Times New Roman"/>
                <w:sz w:val="20"/>
                <w:szCs w:val="20"/>
              </w:rPr>
            </w:pPr>
          </w:p>
        </w:tc>
        <w:tc>
          <w:tcPr>
            <w:tcW w:w="0" w:type="auto"/>
            <w:vAlign w:val="center"/>
            <w:hideMark/>
          </w:tcPr>
          <w:p w14:paraId="68EF34EC" w14:textId="77777777" w:rsidR="00000000" w:rsidRDefault="00A173A8">
            <w:pPr>
              <w:spacing w:after="100"/>
              <w:rPr>
                <w:rFonts w:eastAsia="Times New Roman"/>
                <w:sz w:val="20"/>
                <w:szCs w:val="20"/>
              </w:rPr>
            </w:pPr>
          </w:p>
        </w:tc>
        <w:tc>
          <w:tcPr>
            <w:tcW w:w="0" w:type="auto"/>
            <w:vAlign w:val="center"/>
            <w:hideMark/>
          </w:tcPr>
          <w:p w14:paraId="3BCE3D71" w14:textId="77777777" w:rsidR="00000000" w:rsidRDefault="00A173A8">
            <w:pPr>
              <w:spacing w:after="100"/>
              <w:rPr>
                <w:rFonts w:eastAsia="Times New Roman"/>
                <w:sz w:val="20"/>
                <w:szCs w:val="20"/>
              </w:rPr>
            </w:pPr>
          </w:p>
        </w:tc>
      </w:tr>
      <w:tr w:rsidR="00000000" w14:paraId="283F72BD" w14:textId="77777777">
        <w:trPr>
          <w:divId w:val="955254798"/>
        </w:trPr>
        <w:tc>
          <w:tcPr>
            <w:tcW w:w="0" w:type="auto"/>
            <w:gridSpan w:val="3"/>
            <w:tcMar>
              <w:top w:w="0" w:type="dxa"/>
              <w:left w:w="20" w:type="dxa"/>
              <w:bottom w:w="0" w:type="dxa"/>
              <w:right w:w="20" w:type="dxa"/>
            </w:tcMar>
            <w:vAlign w:val="center"/>
            <w:hideMark/>
          </w:tcPr>
          <w:p w14:paraId="1B03B0E0"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7A53932" w14:textId="77777777" w:rsidR="00000000" w:rsidRDefault="00A173A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14:paraId="1890195E"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6B29FBB2"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14:paraId="44A9BF9E"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14:paraId="3F28F63A" w14:textId="77777777" w:rsidR="00000000" w:rsidRDefault="00A173A8">
            <w:pPr>
              <w:spacing w:after="100"/>
              <w:jc w:val="center"/>
              <w:rPr>
                <w:rFonts w:eastAsia="Times New Roman"/>
              </w:rPr>
            </w:pPr>
          </w:p>
        </w:tc>
        <w:tc>
          <w:tcPr>
            <w:tcW w:w="0" w:type="auto"/>
            <w:gridSpan w:val="3"/>
            <w:vAlign w:val="center"/>
            <w:hideMark/>
          </w:tcPr>
          <w:p w14:paraId="217AE324" w14:textId="77777777" w:rsidR="00000000" w:rsidRDefault="00A173A8">
            <w:pPr>
              <w:spacing w:after="100"/>
              <w:rPr>
                <w:rFonts w:eastAsia="Times New Roman"/>
                <w:sz w:val="20"/>
                <w:szCs w:val="20"/>
              </w:rPr>
            </w:pPr>
          </w:p>
        </w:tc>
        <w:tc>
          <w:tcPr>
            <w:tcW w:w="0" w:type="auto"/>
            <w:vAlign w:val="center"/>
            <w:hideMark/>
          </w:tcPr>
          <w:p w14:paraId="0268AE47" w14:textId="77777777" w:rsidR="00000000" w:rsidRDefault="00A173A8">
            <w:pPr>
              <w:spacing w:after="100"/>
              <w:rPr>
                <w:rFonts w:eastAsia="Times New Roman"/>
                <w:sz w:val="20"/>
                <w:szCs w:val="20"/>
              </w:rPr>
            </w:pPr>
          </w:p>
        </w:tc>
        <w:tc>
          <w:tcPr>
            <w:tcW w:w="0" w:type="auto"/>
            <w:vAlign w:val="center"/>
            <w:hideMark/>
          </w:tcPr>
          <w:p w14:paraId="04F2973D" w14:textId="77777777" w:rsidR="00000000" w:rsidRDefault="00A173A8">
            <w:pPr>
              <w:spacing w:after="100"/>
              <w:rPr>
                <w:rFonts w:eastAsia="Times New Roman"/>
                <w:sz w:val="20"/>
                <w:szCs w:val="20"/>
              </w:rPr>
            </w:pPr>
          </w:p>
        </w:tc>
        <w:tc>
          <w:tcPr>
            <w:tcW w:w="0" w:type="auto"/>
            <w:vAlign w:val="center"/>
            <w:hideMark/>
          </w:tcPr>
          <w:p w14:paraId="69A0B08A" w14:textId="77777777" w:rsidR="00000000" w:rsidRDefault="00A173A8">
            <w:pPr>
              <w:spacing w:after="100"/>
              <w:rPr>
                <w:rFonts w:eastAsia="Times New Roman"/>
                <w:sz w:val="20"/>
                <w:szCs w:val="20"/>
              </w:rPr>
            </w:pPr>
          </w:p>
        </w:tc>
        <w:tc>
          <w:tcPr>
            <w:tcW w:w="0" w:type="auto"/>
            <w:vAlign w:val="center"/>
            <w:hideMark/>
          </w:tcPr>
          <w:p w14:paraId="54A18380" w14:textId="77777777" w:rsidR="00000000" w:rsidRDefault="00A173A8">
            <w:pPr>
              <w:spacing w:after="100"/>
              <w:rPr>
                <w:rFonts w:eastAsia="Times New Roman"/>
                <w:sz w:val="20"/>
                <w:szCs w:val="20"/>
              </w:rPr>
            </w:pPr>
          </w:p>
        </w:tc>
        <w:tc>
          <w:tcPr>
            <w:tcW w:w="0" w:type="auto"/>
            <w:vAlign w:val="center"/>
            <w:hideMark/>
          </w:tcPr>
          <w:p w14:paraId="533EAD33" w14:textId="77777777" w:rsidR="00000000" w:rsidRDefault="00A173A8">
            <w:pPr>
              <w:spacing w:after="100"/>
              <w:rPr>
                <w:rFonts w:eastAsia="Times New Roman"/>
                <w:sz w:val="20"/>
                <w:szCs w:val="20"/>
              </w:rPr>
            </w:pPr>
          </w:p>
        </w:tc>
        <w:tc>
          <w:tcPr>
            <w:tcW w:w="0" w:type="auto"/>
            <w:vAlign w:val="center"/>
            <w:hideMark/>
          </w:tcPr>
          <w:p w14:paraId="2687665B" w14:textId="77777777" w:rsidR="00000000" w:rsidRDefault="00A173A8">
            <w:pPr>
              <w:spacing w:after="100"/>
              <w:rPr>
                <w:rFonts w:eastAsia="Times New Roman"/>
                <w:sz w:val="20"/>
                <w:szCs w:val="20"/>
              </w:rPr>
            </w:pPr>
          </w:p>
        </w:tc>
        <w:tc>
          <w:tcPr>
            <w:tcW w:w="0" w:type="auto"/>
            <w:vAlign w:val="center"/>
            <w:hideMark/>
          </w:tcPr>
          <w:p w14:paraId="336E68F5" w14:textId="77777777" w:rsidR="00000000" w:rsidRDefault="00A173A8">
            <w:pPr>
              <w:spacing w:after="100"/>
              <w:rPr>
                <w:rFonts w:eastAsia="Times New Roman"/>
                <w:sz w:val="20"/>
                <w:szCs w:val="20"/>
              </w:rPr>
            </w:pPr>
          </w:p>
        </w:tc>
        <w:tc>
          <w:tcPr>
            <w:tcW w:w="0" w:type="auto"/>
            <w:vAlign w:val="center"/>
            <w:hideMark/>
          </w:tcPr>
          <w:p w14:paraId="2DBD45D0" w14:textId="77777777" w:rsidR="00000000" w:rsidRDefault="00A173A8">
            <w:pPr>
              <w:spacing w:after="100"/>
              <w:rPr>
                <w:rFonts w:eastAsia="Times New Roman"/>
                <w:sz w:val="20"/>
                <w:szCs w:val="20"/>
              </w:rPr>
            </w:pPr>
          </w:p>
        </w:tc>
        <w:tc>
          <w:tcPr>
            <w:tcW w:w="0" w:type="auto"/>
            <w:vAlign w:val="center"/>
            <w:hideMark/>
          </w:tcPr>
          <w:p w14:paraId="512C08FD" w14:textId="77777777" w:rsidR="00000000" w:rsidRDefault="00A173A8">
            <w:pPr>
              <w:spacing w:after="100"/>
              <w:rPr>
                <w:rFonts w:eastAsia="Times New Roman"/>
                <w:sz w:val="20"/>
                <w:szCs w:val="20"/>
              </w:rPr>
            </w:pPr>
          </w:p>
        </w:tc>
        <w:tc>
          <w:tcPr>
            <w:tcW w:w="0" w:type="auto"/>
            <w:vAlign w:val="center"/>
            <w:hideMark/>
          </w:tcPr>
          <w:p w14:paraId="2161B63E" w14:textId="77777777" w:rsidR="00000000" w:rsidRDefault="00A173A8">
            <w:pPr>
              <w:spacing w:after="100"/>
              <w:rPr>
                <w:rFonts w:eastAsia="Times New Roman"/>
                <w:sz w:val="20"/>
                <w:szCs w:val="20"/>
              </w:rPr>
            </w:pPr>
          </w:p>
        </w:tc>
        <w:tc>
          <w:tcPr>
            <w:tcW w:w="0" w:type="auto"/>
            <w:vAlign w:val="center"/>
            <w:hideMark/>
          </w:tcPr>
          <w:p w14:paraId="3C992451" w14:textId="77777777" w:rsidR="00000000" w:rsidRDefault="00A173A8">
            <w:pPr>
              <w:spacing w:after="100"/>
              <w:rPr>
                <w:rFonts w:eastAsia="Times New Roman"/>
                <w:sz w:val="20"/>
                <w:szCs w:val="20"/>
              </w:rPr>
            </w:pPr>
          </w:p>
        </w:tc>
        <w:tc>
          <w:tcPr>
            <w:tcW w:w="0" w:type="auto"/>
            <w:vAlign w:val="center"/>
            <w:hideMark/>
          </w:tcPr>
          <w:p w14:paraId="5A130F51" w14:textId="77777777" w:rsidR="00000000" w:rsidRDefault="00A173A8">
            <w:pPr>
              <w:spacing w:after="100"/>
              <w:rPr>
                <w:rFonts w:eastAsia="Times New Roman"/>
                <w:sz w:val="20"/>
                <w:szCs w:val="20"/>
              </w:rPr>
            </w:pPr>
          </w:p>
        </w:tc>
      </w:tr>
      <w:tr w:rsidR="00000000" w14:paraId="28F559D5" w14:textId="77777777">
        <w:trPr>
          <w:divId w:val="955254798"/>
        </w:trPr>
        <w:tc>
          <w:tcPr>
            <w:tcW w:w="0" w:type="auto"/>
            <w:gridSpan w:val="3"/>
            <w:tcMar>
              <w:top w:w="30" w:type="dxa"/>
              <w:left w:w="20" w:type="dxa"/>
              <w:bottom w:w="30" w:type="dxa"/>
              <w:right w:w="20" w:type="dxa"/>
            </w:tcMar>
            <w:vAlign w:val="bottom"/>
            <w:hideMark/>
          </w:tcPr>
          <w:p w14:paraId="25218E1C"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13558CA9"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01E39E"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67861563"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DEF73DF" w14:textId="77777777" w:rsidR="00000000" w:rsidRDefault="00A173A8">
            <w:pPr>
              <w:spacing w:after="100"/>
              <w:jc w:val="center"/>
              <w:rPr>
                <w:rFonts w:eastAsia="Times New Roman"/>
              </w:rPr>
            </w:pPr>
            <w:r>
              <w:rPr>
                <w:rFonts w:eastAsia="Times New Roman"/>
                <w:b/>
                <w:bCs/>
                <w:color w:val="000000"/>
                <w:sz w:val="20"/>
                <w:szCs w:val="20"/>
              </w:rPr>
              <w:t>Interest</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063D03F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CEA972"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Deposits</w:t>
            </w:r>
            <w:r>
              <w:rPr>
                <w:rFonts w:eastAsia="Times New Roman"/>
                <w:b/>
                <w:bCs/>
                <w:color w:val="000000"/>
                <w:sz w:val="20"/>
                <w:szCs w:val="20"/>
              </w:rPr>
              <w:br/>
              <w:t>Interest Rate</w:t>
            </w:r>
          </w:p>
        </w:tc>
        <w:tc>
          <w:tcPr>
            <w:tcW w:w="0" w:type="auto"/>
            <w:gridSpan w:val="3"/>
            <w:tcMar>
              <w:top w:w="0" w:type="dxa"/>
              <w:left w:w="20" w:type="dxa"/>
              <w:bottom w:w="0" w:type="dxa"/>
              <w:right w:w="20" w:type="dxa"/>
            </w:tcMar>
            <w:vAlign w:val="center"/>
            <w:hideMark/>
          </w:tcPr>
          <w:p w14:paraId="2C475E8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01E191"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68375BE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CE94A6" w14:textId="77777777" w:rsidR="00000000" w:rsidRDefault="00A173A8">
            <w:pPr>
              <w:spacing w:after="100"/>
              <w:jc w:val="center"/>
              <w:rPr>
                <w:rFonts w:eastAsia="Times New Roman"/>
              </w:rPr>
            </w:pPr>
            <w:r>
              <w:rPr>
                <w:rFonts w:eastAsia="Times New Roman"/>
                <w:b/>
                <w:bCs/>
                <w:color w:val="000000"/>
                <w:sz w:val="20"/>
                <w:szCs w:val="20"/>
              </w:rPr>
              <w:t>Interest</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46298051"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2C7F5D"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r>
            <w:r>
              <w:rPr>
                <w:rFonts w:eastAsia="Times New Roman"/>
                <w:b/>
                <w:bCs/>
                <w:color w:val="000000"/>
                <w:sz w:val="20"/>
                <w:szCs w:val="20"/>
              </w:rPr>
              <w:t>Deposits</w:t>
            </w:r>
            <w:r>
              <w:rPr>
                <w:rFonts w:eastAsia="Times New Roman"/>
                <w:b/>
                <w:bCs/>
                <w:color w:val="000000"/>
                <w:sz w:val="20"/>
                <w:szCs w:val="20"/>
              </w:rPr>
              <w:br/>
              <w:t>Interest Rate</w:t>
            </w:r>
          </w:p>
        </w:tc>
        <w:tc>
          <w:tcPr>
            <w:tcW w:w="0" w:type="auto"/>
            <w:gridSpan w:val="3"/>
            <w:vAlign w:val="center"/>
            <w:hideMark/>
          </w:tcPr>
          <w:p w14:paraId="631EE7C1" w14:textId="77777777" w:rsidR="00000000" w:rsidRDefault="00A173A8">
            <w:pPr>
              <w:spacing w:after="100"/>
              <w:jc w:val="center"/>
              <w:rPr>
                <w:rFonts w:eastAsia="Times New Roman"/>
              </w:rPr>
            </w:pPr>
          </w:p>
        </w:tc>
        <w:tc>
          <w:tcPr>
            <w:tcW w:w="0" w:type="auto"/>
            <w:gridSpan w:val="3"/>
            <w:vAlign w:val="center"/>
            <w:hideMark/>
          </w:tcPr>
          <w:p w14:paraId="33ADB034" w14:textId="77777777" w:rsidR="00000000" w:rsidRDefault="00A173A8">
            <w:pPr>
              <w:spacing w:after="100"/>
              <w:rPr>
                <w:rFonts w:eastAsia="Times New Roman"/>
                <w:sz w:val="20"/>
                <w:szCs w:val="20"/>
              </w:rPr>
            </w:pPr>
          </w:p>
        </w:tc>
        <w:tc>
          <w:tcPr>
            <w:tcW w:w="0" w:type="auto"/>
            <w:gridSpan w:val="3"/>
            <w:vAlign w:val="center"/>
            <w:hideMark/>
          </w:tcPr>
          <w:p w14:paraId="294D939C" w14:textId="77777777" w:rsidR="00000000" w:rsidRDefault="00A173A8">
            <w:pPr>
              <w:spacing w:after="100"/>
              <w:rPr>
                <w:rFonts w:eastAsia="Times New Roman"/>
                <w:sz w:val="20"/>
                <w:szCs w:val="20"/>
              </w:rPr>
            </w:pPr>
          </w:p>
        </w:tc>
        <w:tc>
          <w:tcPr>
            <w:tcW w:w="0" w:type="auto"/>
            <w:gridSpan w:val="3"/>
            <w:vAlign w:val="center"/>
            <w:hideMark/>
          </w:tcPr>
          <w:p w14:paraId="20247D8C" w14:textId="77777777" w:rsidR="00000000" w:rsidRDefault="00A173A8">
            <w:pPr>
              <w:spacing w:after="100"/>
              <w:rPr>
                <w:rFonts w:eastAsia="Times New Roman"/>
                <w:sz w:val="20"/>
                <w:szCs w:val="20"/>
              </w:rPr>
            </w:pPr>
          </w:p>
        </w:tc>
        <w:tc>
          <w:tcPr>
            <w:tcW w:w="0" w:type="auto"/>
            <w:gridSpan w:val="3"/>
            <w:vAlign w:val="center"/>
            <w:hideMark/>
          </w:tcPr>
          <w:p w14:paraId="32F12E57" w14:textId="77777777" w:rsidR="00000000" w:rsidRDefault="00A173A8">
            <w:pPr>
              <w:spacing w:after="100"/>
              <w:rPr>
                <w:rFonts w:eastAsia="Times New Roman"/>
                <w:sz w:val="20"/>
                <w:szCs w:val="20"/>
              </w:rPr>
            </w:pPr>
          </w:p>
        </w:tc>
        <w:tc>
          <w:tcPr>
            <w:tcW w:w="0" w:type="auto"/>
            <w:gridSpan w:val="3"/>
            <w:vAlign w:val="center"/>
            <w:hideMark/>
          </w:tcPr>
          <w:p w14:paraId="698B8835" w14:textId="77777777" w:rsidR="00000000" w:rsidRDefault="00A173A8">
            <w:pPr>
              <w:spacing w:after="100"/>
              <w:rPr>
                <w:rFonts w:eastAsia="Times New Roman"/>
                <w:sz w:val="20"/>
                <w:szCs w:val="20"/>
              </w:rPr>
            </w:pPr>
          </w:p>
        </w:tc>
      </w:tr>
      <w:tr w:rsidR="00000000" w14:paraId="0C097DD8" w14:textId="77777777">
        <w:trPr>
          <w:divId w:val="95525479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7840E87" w14:textId="77777777" w:rsidR="00000000" w:rsidRDefault="00A173A8">
            <w:pPr>
              <w:spacing w:after="100"/>
              <w:divId w:val="770979260"/>
              <w:rPr>
                <w:rFonts w:eastAsia="Times New Roman"/>
              </w:rPr>
            </w:pPr>
            <w:r>
              <w:rPr>
                <w:rFonts w:eastAsia="Times New Roman"/>
                <w:color w:val="000000"/>
                <w:sz w:val="20"/>
                <w:szCs w:val="20"/>
              </w:rPr>
              <w:t>Interest-bearing checking account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02E3C31"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8C7F3E7"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9E49F10" w14:textId="77777777" w:rsidR="00000000" w:rsidRDefault="00A173A8">
            <w:pPr>
              <w:spacing w:after="100"/>
              <w:jc w:val="right"/>
              <w:rPr>
                <w:rFonts w:eastAsia="Times New Roman"/>
              </w:rPr>
            </w:pPr>
            <w:r>
              <w:rPr>
                <w:rFonts w:eastAsia="Times New Roman"/>
                <w:b/>
                <w:bCs/>
                <w:color w:val="000000"/>
                <w:sz w:val="20"/>
                <w:szCs w:val="20"/>
              </w:rPr>
              <w:t>47,267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B700D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8957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B79FF9E"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2503BFE" w14:textId="77777777" w:rsidR="00000000" w:rsidRDefault="00A173A8">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1A792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7C7E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ADD6B7" w14:textId="77777777" w:rsidR="00000000" w:rsidRDefault="00A173A8">
            <w:pPr>
              <w:spacing w:after="100"/>
              <w:jc w:val="right"/>
              <w:rPr>
                <w:rFonts w:eastAsia="Times New Roman"/>
              </w:rPr>
            </w:pPr>
            <w:r>
              <w:rPr>
                <w:rFonts w:eastAsia="Times New Roman"/>
                <w:b/>
                <w:bCs/>
                <w:color w:val="000000"/>
                <w:sz w:val="20"/>
                <w:szCs w:val="20"/>
              </w:rPr>
              <w:t>0.24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1321D7"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D061C95"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83540C"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3C3AFC" w14:textId="77777777" w:rsidR="00000000" w:rsidRDefault="00A173A8">
            <w:pPr>
              <w:spacing w:after="100"/>
              <w:jc w:val="right"/>
              <w:rPr>
                <w:rFonts w:eastAsia="Times New Roman"/>
              </w:rPr>
            </w:pPr>
            <w:r>
              <w:rPr>
                <w:rFonts w:eastAsia="Times New Roman"/>
                <w:color w:val="000000"/>
                <w:sz w:val="20"/>
                <w:szCs w:val="20"/>
              </w:rPr>
              <w:t>44,795 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AF9B4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5DD4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677DE9"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560A31" w14:textId="77777777" w:rsidR="00000000" w:rsidRDefault="00A173A8">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D1DC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9FCB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316F86" w14:textId="77777777" w:rsidR="00000000" w:rsidRDefault="00A173A8">
            <w:pPr>
              <w:spacing w:after="100"/>
              <w:jc w:val="right"/>
              <w:rPr>
                <w:rFonts w:eastAsia="Times New Roman"/>
              </w:rPr>
            </w:pPr>
            <w:r>
              <w:rPr>
                <w:rFonts w:eastAsia="Times New Roman"/>
                <w:color w:val="000000"/>
                <w:sz w:val="20"/>
                <w:szCs w:val="20"/>
              </w:rPr>
              <w:t>0.16 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B901623" w14:textId="77777777" w:rsidR="00000000" w:rsidRDefault="00A173A8">
            <w:pPr>
              <w:spacing w:after="100"/>
              <w:rPr>
                <w:rFonts w:eastAsia="Times New Roman"/>
              </w:rPr>
            </w:pPr>
            <w:r>
              <w:rPr>
                <w:rFonts w:eastAsia="Times New Roman"/>
                <w:color w:val="000000"/>
                <w:sz w:val="20"/>
                <w:szCs w:val="20"/>
              </w:rPr>
              <w:t>%</w:t>
            </w:r>
          </w:p>
        </w:tc>
        <w:tc>
          <w:tcPr>
            <w:tcW w:w="0" w:type="auto"/>
            <w:gridSpan w:val="3"/>
            <w:vAlign w:val="center"/>
            <w:hideMark/>
          </w:tcPr>
          <w:p w14:paraId="21AE07DF" w14:textId="77777777" w:rsidR="00000000" w:rsidRDefault="00A173A8">
            <w:pPr>
              <w:spacing w:after="100"/>
              <w:rPr>
                <w:rFonts w:eastAsia="Times New Roman"/>
              </w:rPr>
            </w:pPr>
          </w:p>
        </w:tc>
        <w:tc>
          <w:tcPr>
            <w:tcW w:w="0" w:type="auto"/>
            <w:gridSpan w:val="3"/>
            <w:vAlign w:val="center"/>
            <w:hideMark/>
          </w:tcPr>
          <w:p w14:paraId="2C70B09B" w14:textId="77777777" w:rsidR="00000000" w:rsidRDefault="00A173A8">
            <w:pPr>
              <w:spacing w:after="100"/>
              <w:rPr>
                <w:rFonts w:eastAsia="Times New Roman"/>
                <w:sz w:val="20"/>
                <w:szCs w:val="20"/>
              </w:rPr>
            </w:pPr>
          </w:p>
        </w:tc>
        <w:tc>
          <w:tcPr>
            <w:tcW w:w="0" w:type="auto"/>
            <w:gridSpan w:val="3"/>
            <w:vAlign w:val="center"/>
            <w:hideMark/>
          </w:tcPr>
          <w:p w14:paraId="7A3405CB" w14:textId="77777777" w:rsidR="00000000" w:rsidRDefault="00A173A8">
            <w:pPr>
              <w:spacing w:after="100"/>
              <w:rPr>
                <w:rFonts w:eastAsia="Times New Roman"/>
                <w:sz w:val="20"/>
                <w:szCs w:val="20"/>
              </w:rPr>
            </w:pPr>
          </w:p>
        </w:tc>
        <w:tc>
          <w:tcPr>
            <w:tcW w:w="0" w:type="auto"/>
            <w:gridSpan w:val="3"/>
            <w:vAlign w:val="center"/>
            <w:hideMark/>
          </w:tcPr>
          <w:p w14:paraId="38CF34A2" w14:textId="77777777" w:rsidR="00000000" w:rsidRDefault="00A173A8">
            <w:pPr>
              <w:spacing w:after="100"/>
              <w:rPr>
                <w:rFonts w:eastAsia="Times New Roman"/>
                <w:sz w:val="20"/>
                <w:szCs w:val="20"/>
              </w:rPr>
            </w:pPr>
          </w:p>
        </w:tc>
        <w:tc>
          <w:tcPr>
            <w:tcW w:w="0" w:type="auto"/>
            <w:gridSpan w:val="3"/>
            <w:vAlign w:val="center"/>
            <w:hideMark/>
          </w:tcPr>
          <w:p w14:paraId="0022F64F" w14:textId="77777777" w:rsidR="00000000" w:rsidRDefault="00A173A8">
            <w:pPr>
              <w:spacing w:after="100"/>
              <w:rPr>
                <w:rFonts w:eastAsia="Times New Roman"/>
                <w:sz w:val="20"/>
                <w:szCs w:val="20"/>
              </w:rPr>
            </w:pPr>
          </w:p>
        </w:tc>
        <w:tc>
          <w:tcPr>
            <w:tcW w:w="0" w:type="auto"/>
            <w:gridSpan w:val="3"/>
            <w:vAlign w:val="center"/>
            <w:hideMark/>
          </w:tcPr>
          <w:p w14:paraId="584FE4CD" w14:textId="77777777" w:rsidR="00000000" w:rsidRDefault="00A173A8">
            <w:pPr>
              <w:spacing w:after="100"/>
              <w:rPr>
                <w:rFonts w:eastAsia="Times New Roman"/>
                <w:sz w:val="20"/>
                <w:szCs w:val="20"/>
              </w:rPr>
            </w:pPr>
          </w:p>
        </w:tc>
      </w:tr>
      <w:tr w:rsidR="00000000" w14:paraId="5475D38E" w14:textId="77777777">
        <w:trPr>
          <w:divId w:val="955254798"/>
        </w:trPr>
        <w:tc>
          <w:tcPr>
            <w:tcW w:w="0" w:type="auto"/>
            <w:gridSpan w:val="3"/>
            <w:shd w:val="clear" w:color="auto" w:fill="FFFFFF"/>
            <w:tcMar>
              <w:top w:w="30" w:type="dxa"/>
              <w:left w:w="20" w:type="dxa"/>
              <w:bottom w:w="30" w:type="dxa"/>
              <w:right w:w="20" w:type="dxa"/>
            </w:tcMar>
            <w:vAlign w:val="center"/>
            <w:hideMark/>
          </w:tcPr>
          <w:p w14:paraId="632D8283" w14:textId="77777777" w:rsidR="00000000" w:rsidRDefault="00A173A8">
            <w:pPr>
              <w:spacing w:after="100"/>
              <w:divId w:val="327906010"/>
              <w:rPr>
                <w:rFonts w:eastAsia="Times New Roman"/>
              </w:rPr>
            </w:pPr>
            <w:r>
              <w:rPr>
                <w:rFonts w:eastAsia="Times New Roman"/>
                <w:color w:val="000000"/>
                <w:sz w:val="20"/>
                <w:szCs w:val="20"/>
              </w:rPr>
              <w:t>Saving deposit</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3F4BA86"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EA485D7" w14:textId="77777777" w:rsidR="00000000" w:rsidRDefault="00A173A8">
            <w:pPr>
              <w:spacing w:after="100"/>
              <w:jc w:val="right"/>
              <w:rPr>
                <w:rFonts w:eastAsia="Times New Roman"/>
              </w:rPr>
            </w:pPr>
            <w:r>
              <w:rPr>
                <w:rFonts w:eastAsia="Times New Roman"/>
                <w:b/>
                <w:bCs/>
                <w:color w:val="000000"/>
                <w:sz w:val="20"/>
                <w:szCs w:val="20"/>
              </w:rPr>
              <w:t>202,069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8AF56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2048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94E499" w14:textId="77777777" w:rsidR="00000000" w:rsidRDefault="00A173A8">
            <w:pPr>
              <w:spacing w:after="100"/>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612797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CB2A7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29F033" w14:textId="77777777" w:rsidR="00000000" w:rsidRDefault="00A173A8">
            <w:pPr>
              <w:spacing w:after="100"/>
              <w:jc w:val="right"/>
              <w:rPr>
                <w:rFonts w:eastAsia="Times New Roman"/>
              </w:rPr>
            </w:pPr>
            <w:r>
              <w:rPr>
                <w:rFonts w:eastAsia="Times New Roman"/>
                <w:b/>
                <w:bCs/>
                <w:color w:val="000000"/>
                <w:sz w:val="20"/>
                <w:szCs w:val="20"/>
              </w:rPr>
              <w:t>0.40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1F0B8D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F08BB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2CC35F" w14:textId="77777777" w:rsidR="00000000" w:rsidRDefault="00A173A8">
            <w:pPr>
              <w:spacing w:after="100"/>
              <w:jc w:val="right"/>
              <w:rPr>
                <w:rFonts w:eastAsia="Times New Roman"/>
              </w:rPr>
            </w:pPr>
            <w:r>
              <w:rPr>
                <w:rFonts w:eastAsia="Times New Roman"/>
                <w:color w:val="000000"/>
                <w:sz w:val="20"/>
                <w:szCs w:val="20"/>
              </w:rPr>
              <w:t>204,737 </w:t>
            </w:r>
          </w:p>
        </w:tc>
        <w:tc>
          <w:tcPr>
            <w:tcW w:w="0" w:type="auto"/>
            <w:shd w:val="clear" w:color="auto" w:fill="FFFFFF"/>
            <w:tcMar>
              <w:top w:w="30" w:type="dxa"/>
              <w:left w:w="0" w:type="dxa"/>
              <w:bottom w:w="30" w:type="dxa"/>
              <w:right w:w="20" w:type="dxa"/>
            </w:tcMar>
            <w:vAlign w:val="bottom"/>
            <w:hideMark/>
          </w:tcPr>
          <w:p w14:paraId="754FEF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0431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0B0102" w14:textId="77777777" w:rsidR="00000000" w:rsidRDefault="00A173A8">
            <w:pPr>
              <w:spacing w:after="100"/>
              <w:jc w:val="right"/>
              <w:rPr>
                <w:rFonts w:eastAsia="Times New Roman"/>
              </w:rPr>
            </w:pPr>
            <w:r>
              <w:rPr>
                <w:rFonts w:eastAsia="Times New Roman"/>
                <w:color w:val="000000"/>
                <w:sz w:val="20"/>
                <w:szCs w:val="20"/>
              </w:rPr>
              <w:t>156 </w:t>
            </w:r>
          </w:p>
        </w:tc>
        <w:tc>
          <w:tcPr>
            <w:tcW w:w="0" w:type="auto"/>
            <w:shd w:val="clear" w:color="auto" w:fill="FFFFFF"/>
            <w:tcMar>
              <w:top w:w="30" w:type="dxa"/>
              <w:left w:w="0" w:type="dxa"/>
              <w:bottom w:w="30" w:type="dxa"/>
              <w:right w:w="20" w:type="dxa"/>
            </w:tcMar>
            <w:vAlign w:val="bottom"/>
            <w:hideMark/>
          </w:tcPr>
          <w:p w14:paraId="583264E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6783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4FD072" w14:textId="77777777" w:rsidR="00000000" w:rsidRDefault="00A173A8">
            <w:pPr>
              <w:spacing w:after="100"/>
              <w:jc w:val="right"/>
              <w:rPr>
                <w:rFonts w:eastAsia="Times New Roman"/>
              </w:rPr>
            </w:pPr>
            <w:r>
              <w:rPr>
                <w:rFonts w:eastAsia="Times New Roman"/>
                <w:color w:val="000000"/>
                <w:sz w:val="20"/>
                <w:szCs w:val="20"/>
              </w:rPr>
              <w:t>0.31 </w:t>
            </w:r>
          </w:p>
        </w:tc>
        <w:tc>
          <w:tcPr>
            <w:tcW w:w="0" w:type="auto"/>
            <w:shd w:val="clear" w:color="auto" w:fill="FFFFFF"/>
            <w:tcMar>
              <w:top w:w="30" w:type="dxa"/>
              <w:left w:w="0" w:type="dxa"/>
              <w:bottom w:w="30" w:type="dxa"/>
              <w:right w:w="20" w:type="dxa"/>
            </w:tcMar>
            <w:vAlign w:val="center"/>
            <w:hideMark/>
          </w:tcPr>
          <w:p w14:paraId="00FC6ACD" w14:textId="77777777" w:rsidR="00000000" w:rsidRDefault="00A173A8">
            <w:pPr>
              <w:spacing w:after="100"/>
              <w:jc w:val="right"/>
              <w:rPr>
                <w:rFonts w:eastAsia="Times New Roman"/>
              </w:rPr>
            </w:pPr>
          </w:p>
        </w:tc>
        <w:tc>
          <w:tcPr>
            <w:tcW w:w="0" w:type="auto"/>
            <w:gridSpan w:val="3"/>
            <w:vAlign w:val="center"/>
            <w:hideMark/>
          </w:tcPr>
          <w:p w14:paraId="6E99F597" w14:textId="77777777" w:rsidR="00000000" w:rsidRDefault="00A173A8">
            <w:pPr>
              <w:spacing w:after="100"/>
              <w:jc w:val="right"/>
              <w:rPr>
                <w:rFonts w:eastAsia="Times New Roman"/>
                <w:sz w:val="20"/>
                <w:szCs w:val="20"/>
              </w:rPr>
            </w:pPr>
          </w:p>
        </w:tc>
        <w:tc>
          <w:tcPr>
            <w:tcW w:w="0" w:type="auto"/>
            <w:gridSpan w:val="3"/>
            <w:vAlign w:val="center"/>
            <w:hideMark/>
          </w:tcPr>
          <w:p w14:paraId="236F87C3" w14:textId="77777777" w:rsidR="00000000" w:rsidRDefault="00A173A8">
            <w:pPr>
              <w:spacing w:after="100"/>
              <w:rPr>
                <w:rFonts w:eastAsia="Times New Roman"/>
                <w:sz w:val="20"/>
                <w:szCs w:val="20"/>
              </w:rPr>
            </w:pPr>
          </w:p>
        </w:tc>
        <w:tc>
          <w:tcPr>
            <w:tcW w:w="0" w:type="auto"/>
            <w:gridSpan w:val="3"/>
            <w:vAlign w:val="center"/>
            <w:hideMark/>
          </w:tcPr>
          <w:p w14:paraId="08B8040F" w14:textId="77777777" w:rsidR="00000000" w:rsidRDefault="00A173A8">
            <w:pPr>
              <w:spacing w:after="100"/>
              <w:rPr>
                <w:rFonts w:eastAsia="Times New Roman"/>
                <w:sz w:val="20"/>
                <w:szCs w:val="20"/>
              </w:rPr>
            </w:pPr>
          </w:p>
        </w:tc>
        <w:tc>
          <w:tcPr>
            <w:tcW w:w="0" w:type="auto"/>
            <w:gridSpan w:val="3"/>
            <w:vAlign w:val="center"/>
            <w:hideMark/>
          </w:tcPr>
          <w:p w14:paraId="16805A1D" w14:textId="77777777" w:rsidR="00000000" w:rsidRDefault="00A173A8">
            <w:pPr>
              <w:spacing w:after="100"/>
              <w:rPr>
                <w:rFonts w:eastAsia="Times New Roman"/>
                <w:sz w:val="20"/>
                <w:szCs w:val="20"/>
              </w:rPr>
            </w:pPr>
          </w:p>
        </w:tc>
        <w:tc>
          <w:tcPr>
            <w:tcW w:w="0" w:type="auto"/>
            <w:gridSpan w:val="3"/>
            <w:vAlign w:val="center"/>
            <w:hideMark/>
          </w:tcPr>
          <w:p w14:paraId="550DD9E2" w14:textId="77777777" w:rsidR="00000000" w:rsidRDefault="00A173A8">
            <w:pPr>
              <w:spacing w:after="100"/>
              <w:rPr>
                <w:rFonts w:eastAsia="Times New Roman"/>
                <w:sz w:val="20"/>
                <w:szCs w:val="20"/>
              </w:rPr>
            </w:pPr>
          </w:p>
        </w:tc>
        <w:tc>
          <w:tcPr>
            <w:tcW w:w="0" w:type="auto"/>
            <w:gridSpan w:val="3"/>
            <w:vAlign w:val="center"/>
            <w:hideMark/>
          </w:tcPr>
          <w:p w14:paraId="0F6C9AA8" w14:textId="77777777" w:rsidR="00000000" w:rsidRDefault="00A173A8">
            <w:pPr>
              <w:spacing w:after="100"/>
              <w:rPr>
                <w:rFonts w:eastAsia="Times New Roman"/>
                <w:sz w:val="20"/>
                <w:szCs w:val="20"/>
              </w:rPr>
            </w:pPr>
          </w:p>
        </w:tc>
      </w:tr>
      <w:tr w:rsidR="00000000" w14:paraId="44662774" w14:textId="77777777">
        <w:trPr>
          <w:divId w:val="955254798"/>
        </w:trPr>
        <w:tc>
          <w:tcPr>
            <w:tcW w:w="0" w:type="auto"/>
            <w:gridSpan w:val="3"/>
            <w:shd w:val="clear" w:color="auto" w:fill="CCEEFF"/>
            <w:tcMar>
              <w:top w:w="30" w:type="dxa"/>
              <w:left w:w="20" w:type="dxa"/>
              <w:bottom w:w="30" w:type="dxa"/>
              <w:right w:w="20" w:type="dxa"/>
            </w:tcMar>
            <w:vAlign w:val="center"/>
            <w:hideMark/>
          </w:tcPr>
          <w:p w14:paraId="4741D516" w14:textId="77777777" w:rsidR="00000000" w:rsidRDefault="00A173A8">
            <w:pPr>
              <w:spacing w:after="100"/>
              <w:rPr>
                <w:rFonts w:eastAsia="Times New Roman"/>
              </w:rPr>
            </w:pPr>
            <w:r>
              <w:rPr>
                <w:rFonts w:eastAsia="Times New Roman"/>
                <w:color w:val="000000"/>
                <w:sz w:val="20"/>
                <w:szCs w:val="20"/>
              </w:rPr>
              <w:t>Time deposits</w:t>
            </w:r>
          </w:p>
        </w:tc>
        <w:tc>
          <w:tcPr>
            <w:tcW w:w="0" w:type="auto"/>
            <w:gridSpan w:val="3"/>
            <w:shd w:val="clear" w:color="auto" w:fill="CCEEFF"/>
            <w:tcMar>
              <w:top w:w="0" w:type="dxa"/>
              <w:left w:w="20" w:type="dxa"/>
              <w:bottom w:w="0" w:type="dxa"/>
              <w:right w:w="20" w:type="dxa"/>
            </w:tcMar>
            <w:vAlign w:val="center"/>
            <w:hideMark/>
          </w:tcPr>
          <w:p w14:paraId="4398996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0424AFA" w14:textId="77777777" w:rsidR="00000000" w:rsidRDefault="00A173A8">
            <w:pPr>
              <w:spacing w:after="100"/>
              <w:jc w:val="right"/>
              <w:rPr>
                <w:rFonts w:eastAsia="Times New Roman"/>
              </w:rPr>
            </w:pPr>
            <w:r>
              <w:rPr>
                <w:rFonts w:eastAsia="Times New Roman"/>
                <w:b/>
                <w:bCs/>
                <w:color w:val="000000"/>
                <w:sz w:val="20"/>
                <w:szCs w:val="20"/>
              </w:rPr>
              <w:t>18,768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A43400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FAF80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0AB91A" w14:textId="77777777" w:rsidR="00000000" w:rsidRDefault="00A173A8">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16C04F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8695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BE7CCF" w14:textId="77777777" w:rsidR="00000000" w:rsidRDefault="00A173A8">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7C6E63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BB89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6500BA" w14:textId="77777777" w:rsidR="00000000" w:rsidRDefault="00A173A8">
            <w:pPr>
              <w:spacing w:after="100"/>
              <w:jc w:val="right"/>
              <w:rPr>
                <w:rFonts w:eastAsia="Times New Roman"/>
              </w:rPr>
            </w:pPr>
            <w:r>
              <w:rPr>
                <w:rFonts w:eastAsia="Times New Roman"/>
                <w:color w:val="000000"/>
                <w:sz w:val="20"/>
                <w:szCs w:val="20"/>
              </w:rPr>
              <w:t>23,944 </w:t>
            </w:r>
          </w:p>
        </w:tc>
        <w:tc>
          <w:tcPr>
            <w:tcW w:w="0" w:type="auto"/>
            <w:shd w:val="clear" w:color="auto" w:fill="CCEEFF"/>
            <w:tcMar>
              <w:top w:w="30" w:type="dxa"/>
              <w:left w:w="0" w:type="dxa"/>
              <w:bottom w:w="30" w:type="dxa"/>
              <w:right w:w="20" w:type="dxa"/>
            </w:tcMar>
            <w:vAlign w:val="bottom"/>
            <w:hideMark/>
          </w:tcPr>
          <w:p w14:paraId="22D995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5604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5A2B40" w14:textId="77777777" w:rsidR="00000000" w:rsidRDefault="00A173A8">
            <w:pPr>
              <w:spacing w:after="100"/>
              <w:jc w:val="right"/>
              <w:rPr>
                <w:rFonts w:eastAsia="Times New Roman"/>
              </w:rPr>
            </w:pPr>
            <w:r>
              <w:rPr>
                <w:rFonts w:eastAsia="Times New Roman"/>
                <w:color w:val="000000"/>
                <w:sz w:val="20"/>
                <w:szCs w:val="20"/>
              </w:rPr>
              <w:t>63 </w:t>
            </w:r>
          </w:p>
        </w:tc>
        <w:tc>
          <w:tcPr>
            <w:tcW w:w="0" w:type="auto"/>
            <w:shd w:val="clear" w:color="auto" w:fill="CCEEFF"/>
            <w:tcMar>
              <w:top w:w="30" w:type="dxa"/>
              <w:left w:w="0" w:type="dxa"/>
              <w:bottom w:w="30" w:type="dxa"/>
              <w:right w:w="20" w:type="dxa"/>
            </w:tcMar>
            <w:vAlign w:val="bottom"/>
            <w:hideMark/>
          </w:tcPr>
          <w:p w14:paraId="3C3A125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E502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B592A7" w14:textId="77777777" w:rsidR="00000000" w:rsidRDefault="00A173A8">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center"/>
            <w:hideMark/>
          </w:tcPr>
          <w:p w14:paraId="19C7EA23" w14:textId="77777777" w:rsidR="00000000" w:rsidRDefault="00A173A8">
            <w:pPr>
              <w:spacing w:after="100"/>
              <w:jc w:val="right"/>
              <w:rPr>
                <w:rFonts w:eastAsia="Times New Roman"/>
              </w:rPr>
            </w:pPr>
          </w:p>
        </w:tc>
        <w:tc>
          <w:tcPr>
            <w:tcW w:w="0" w:type="auto"/>
            <w:gridSpan w:val="3"/>
            <w:vAlign w:val="center"/>
            <w:hideMark/>
          </w:tcPr>
          <w:p w14:paraId="256DEF8C" w14:textId="77777777" w:rsidR="00000000" w:rsidRDefault="00A173A8">
            <w:pPr>
              <w:spacing w:after="100"/>
              <w:jc w:val="right"/>
              <w:rPr>
                <w:rFonts w:eastAsia="Times New Roman"/>
                <w:sz w:val="20"/>
                <w:szCs w:val="20"/>
              </w:rPr>
            </w:pPr>
          </w:p>
        </w:tc>
        <w:tc>
          <w:tcPr>
            <w:tcW w:w="0" w:type="auto"/>
            <w:gridSpan w:val="3"/>
            <w:vAlign w:val="center"/>
            <w:hideMark/>
          </w:tcPr>
          <w:p w14:paraId="058B957F" w14:textId="77777777" w:rsidR="00000000" w:rsidRDefault="00A173A8">
            <w:pPr>
              <w:spacing w:after="100"/>
              <w:rPr>
                <w:rFonts w:eastAsia="Times New Roman"/>
                <w:sz w:val="20"/>
                <w:szCs w:val="20"/>
              </w:rPr>
            </w:pPr>
          </w:p>
        </w:tc>
        <w:tc>
          <w:tcPr>
            <w:tcW w:w="0" w:type="auto"/>
            <w:gridSpan w:val="3"/>
            <w:vAlign w:val="center"/>
            <w:hideMark/>
          </w:tcPr>
          <w:p w14:paraId="56F2CF20" w14:textId="77777777" w:rsidR="00000000" w:rsidRDefault="00A173A8">
            <w:pPr>
              <w:spacing w:after="100"/>
              <w:rPr>
                <w:rFonts w:eastAsia="Times New Roman"/>
                <w:sz w:val="20"/>
                <w:szCs w:val="20"/>
              </w:rPr>
            </w:pPr>
          </w:p>
        </w:tc>
        <w:tc>
          <w:tcPr>
            <w:tcW w:w="0" w:type="auto"/>
            <w:gridSpan w:val="3"/>
            <w:vAlign w:val="center"/>
            <w:hideMark/>
          </w:tcPr>
          <w:p w14:paraId="3C00DBFC" w14:textId="77777777" w:rsidR="00000000" w:rsidRDefault="00A173A8">
            <w:pPr>
              <w:spacing w:after="100"/>
              <w:rPr>
                <w:rFonts w:eastAsia="Times New Roman"/>
                <w:sz w:val="20"/>
                <w:szCs w:val="20"/>
              </w:rPr>
            </w:pPr>
          </w:p>
        </w:tc>
        <w:tc>
          <w:tcPr>
            <w:tcW w:w="0" w:type="auto"/>
            <w:gridSpan w:val="3"/>
            <w:vAlign w:val="center"/>
            <w:hideMark/>
          </w:tcPr>
          <w:p w14:paraId="080438D4" w14:textId="77777777" w:rsidR="00000000" w:rsidRDefault="00A173A8">
            <w:pPr>
              <w:spacing w:after="100"/>
              <w:rPr>
                <w:rFonts w:eastAsia="Times New Roman"/>
                <w:sz w:val="20"/>
                <w:szCs w:val="20"/>
              </w:rPr>
            </w:pPr>
          </w:p>
        </w:tc>
        <w:tc>
          <w:tcPr>
            <w:tcW w:w="0" w:type="auto"/>
            <w:gridSpan w:val="3"/>
            <w:vAlign w:val="center"/>
            <w:hideMark/>
          </w:tcPr>
          <w:p w14:paraId="2504CE2C" w14:textId="77777777" w:rsidR="00000000" w:rsidRDefault="00A173A8">
            <w:pPr>
              <w:spacing w:after="100"/>
              <w:rPr>
                <w:rFonts w:eastAsia="Times New Roman"/>
                <w:sz w:val="20"/>
                <w:szCs w:val="20"/>
              </w:rPr>
            </w:pPr>
          </w:p>
        </w:tc>
      </w:tr>
      <w:tr w:rsidR="00000000" w14:paraId="7736E62C" w14:textId="77777777">
        <w:trPr>
          <w:divId w:val="955254798"/>
        </w:trPr>
        <w:tc>
          <w:tcPr>
            <w:tcW w:w="0" w:type="auto"/>
            <w:gridSpan w:val="3"/>
            <w:vAlign w:val="center"/>
            <w:hideMark/>
          </w:tcPr>
          <w:p w14:paraId="1E047332" w14:textId="77777777" w:rsidR="00000000" w:rsidRDefault="00A173A8">
            <w:pPr>
              <w:spacing w:after="100"/>
              <w:rPr>
                <w:rFonts w:eastAsia="Times New Roman"/>
                <w:sz w:val="20"/>
                <w:szCs w:val="20"/>
              </w:rPr>
            </w:pPr>
          </w:p>
        </w:tc>
        <w:tc>
          <w:tcPr>
            <w:tcW w:w="0" w:type="auto"/>
            <w:gridSpan w:val="3"/>
            <w:vAlign w:val="center"/>
            <w:hideMark/>
          </w:tcPr>
          <w:p w14:paraId="2BC407C7" w14:textId="77777777" w:rsidR="00000000" w:rsidRDefault="00A173A8">
            <w:pPr>
              <w:spacing w:after="100"/>
              <w:rPr>
                <w:rFonts w:eastAsia="Times New Roman"/>
                <w:sz w:val="20"/>
                <w:szCs w:val="20"/>
              </w:rPr>
            </w:pPr>
          </w:p>
        </w:tc>
        <w:tc>
          <w:tcPr>
            <w:tcW w:w="0" w:type="auto"/>
            <w:gridSpan w:val="3"/>
            <w:vAlign w:val="center"/>
            <w:hideMark/>
          </w:tcPr>
          <w:p w14:paraId="1A6B2321" w14:textId="77777777" w:rsidR="00000000" w:rsidRDefault="00A173A8">
            <w:pPr>
              <w:spacing w:after="100"/>
              <w:rPr>
                <w:rFonts w:eastAsia="Times New Roman"/>
                <w:sz w:val="20"/>
                <w:szCs w:val="20"/>
              </w:rPr>
            </w:pPr>
          </w:p>
        </w:tc>
        <w:tc>
          <w:tcPr>
            <w:tcW w:w="0" w:type="auto"/>
            <w:gridSpan w:val="3"/>
            <w:vAlign w:val="center"/>
            <w:hideMark/>
          </w:tcPr>
          <w:p w14:paraId="1B2F678E" w14:textId="77777777" w:rsidR="00000000" w:rsidRDefault="00A173A8">
            <w:pPr>
              <w:spacing w:after="100"/>
              <w:rPr>
                <w:rFonts w:eastAsia="Times New Roman"/>
                <w:sz w:val="20"/>
                <w:szCs w:val="20"/>
              </w:rPr>
            </w:pPr>
          </w:p>
        </w:tc>
        <w:tc>
          <w:tcPr>
            <w:tcW w:w="0" w:type="auto"/>
            <w:gridSpan w:val="3"/>
            <w:vAlign w:val="center"/>
            <w:hideMark/>
          </w:tcPr>
          <w:p w14:paraId="04A47FC4" w14:textId="77777777" w:rsidR="00000000" w:rsidRDefault="00A173A8">
            <w:pPr>
              <w:spacing w:after="100"/>
              <w:rPr>
                <w:rFonts w:eastAsia="Times New Roman"/>
                <w:sz w:val="20"/>
                <w:szCs w:val="20"/>
              </w:rPr>
            </w:pPr>
          </w:p>
        </w:tc>
        <w:tc>
          <w:tcPr>
            <w:tcW w:w="0" w:type="auto"/>
            <w:gridSpan w:val="3"/>
            <w:vAlign w:val="center"/>
            <w:hideMark/>
          </w:tcPr>
          <w:p w14:paraId="35C63920" w14:textId="77777777" w:rsidR="00000000" w:rsidRDefault="00A173A8">
            <w:pPr>
              <w:spacing w:after="100"/>
              <w:rPr>
                <w:rFonts w:eastAsia="Times New Roman"/>
                <w:sz w:val="20"/>
                <w:szCs w:val="20"/>
              </w:rPr>
            </w:pPr>
          </w:p>
        </w:tc>
        <w:tc>
          <w:tcPr>
            <w:tcW w:w="0" w:type="auto"/>
            <w:gridSpan w:val="3"/>
            <w:vAlign w:val="center"/>
            <w:hideMark/>
          </w:tcPr>
          <w:p w14:paraId="108A5FF0" w14:textId="77777777" w:rsidR="00000000" w:rsidRDefault="00A173A8">
            <w:pPr>
              <w:spacing w:after="100"/>
              <w:rPr>
                <w:rFonts w:eastAsia="Times New Roman"/>
                <w:sz w:val="20"/>
                <w:szCs w:val="20"/>
              </w:rPr>
            </w:pPr>
          </w:p>
        </w:tc>
        <w:tc>
          <w:tcPr>
            <w:tcW w:w="0" w:type="auto"/>
            <w:gridSpan w:val="3"/>
            <w:vAlign w:val="center"/>
            <w:hideMark/>
          </w:tcPr>
          <w:p w14:paraId="278F2F77" w14:textId="77777777" w:rsidR="00000000" w:rsidRDefault="00A173A8">
            <w:pPr>
              <w:spacing w:after="100"/>
              <w:rPr>
                <w:rFonts w:eastAsia="Times New Roman"/>
                <w:sz w:val="20"/>
                <w:szCs w:val="20"/>
              </w:rPr>
            </w:pPr>
          </w:p>
        </w:tc>
        <w:tc>
          <w:tcPr>
            <w:tcW w:w="0" w:type="auto"/>
            <w:gridSpan w:val="3"/>
            <w:vAlign w:val="center"/>
            <w:hideMark/>
          </w:tcPr>
          <w:p w14:paraId="3B1CA154" w14:textId="77777777" w:rsidR="00000000" w:rsidRDefault="00A173A8">
            <w:pPr>
              <w:spacing w:after="100"/>
              <w:rPr>
                <w:rFonts w:eastAsia="Times New Roman"/>
                <w:sz w:val="20"/>
                <w:szCs w:val="20"/>
              </w:rPr>
            </w:pPr>
          </w:p>
        </w:tc>
        <w:tc>
          <w:tcPr>
            <w:tcW w:w="0" w:type="auto"/>
            <w:gridSpan w:val="3"/>
            <w:vAlign w:val="center"/>
            <w:hideMark/>
          </w:tcPr>
          <w:p w14:paraId="5465D6BA" w14:textId="77777777" w:rsidR="00000000" w:rsidRDefault="00A173A8">
            <w:pPr>
              <w:spacing w:after="100"/>
              <w:rPr>
                <w:rFonts w:eastAsia="Times New Roman"/>
                <w:sz w:val="20"/>
                <w:szCs w:val="20"/>
              </w:rPr>
            </w:pPr>
          </w:p>
        </w:tc>
        <w:tc>
          <w:tcPr>
            <w:tcW w:w="0" w:type="auto"/>
            <w:gridSpan w:val="3"/>
            <w:vAlign w:val="center"/>
            <w:hideMark/>
          </w:tcPr>
          <w:p w14:paraId="61EB74C9" w14:textId="77777777" w:rsidR="00000000" w:rsidRDefault="00A173A8">
            <w:pPr>
              <w:spacing w:after="100"/>
              <w:rPr>
                <w:rFonts w:eastAsia="Times New Roman"/>
                <w:sz w:val="20"/>
                <w:szCs w:val="20"/>
              </w:rPr>
            </w:pPr>
          </w:p>
        </w:tc>
        <w:tc>
          <w:tcPr>
            <w:tcW w:w="0" w:type="auto"/>
            <w:gridSpan w:val="3"/>
            <w:vAlign w:val="center"/>
            <w:hideMark/>
          </w:tcPr>
          <w:p w14:paraId="20EC2D58" w14:textId="77777777" w:rsidR="00000000" w:rsidRDefault="00A173A8">
            <w:pPr>
              <w:spacing w:after="100"/>
              <w:rPr>
                <w:rFonts w:eastAsia="Times New Roman"/>
                <w:sz w:val="20"/>
                <w:szCs w:val="20"/>
              </w:rPr>
            </w:pPr>
          </w:p>
        </w:tc>
        <w:tc>
          <w:tcPr>
            <w:tcW w:w="0" w:type="auto"/>
            <w:gridSpan w:val="3"/>
            <w:vAlign w:val="center"/>
            <w:hideMark/>
          </w:tcPr>
          <w:p w14:paraId="1F945925" w14:textId="77777777" w:rsidR="00000000" w:rsidRDefault="00A173A8">
            <w:pPr>
              <w:spacing w:after="100"/>
              <w:rPr>
                <w:rFonts w:eastAsia="Times New Roman"/>
                <w:sz w:val="20"/>
                <w:szCs w:val="20"/>
              </w:rPr>
            </w:pPr>
          </w:p>
        </w:tc>
        <w:tc>
          <w:tcPr>
            <w:tcW w:w="0" w:type="auto"/>
            <w:gridSpan w:val="3"/>
            <w:vAlign w:val="center"/>
            <w:hideMark/>
          </w:tcPr>
          <w:p w14:paraId="192CA18F" w14:textId="77777777" w:rsidR="00000000" w:rsidRDefault="00A173A8">
            <w:pPr>
              <w:spacing w:after="100"/>
              <w:rPr>
                <w:rFonts w:eastAsia="Times New Roman"/>
                <w:sz w:val="20"/>
                <w:szCs w:val="20"/>
              </w:rPr>
            </w:pPr>
          </w:p>
        </w:tc>
        <w:tc>
          <w:tcPr>
            <w:tcW w:w="0" w:type="auto"/>
            <w:gridSpan w:val="3"/>
            <w:vAlign w:val="center"/>
            <w:hideMark/>
          </w:tcPr>
          <w:p w14:paraId="603E9881" w14:textId="77777777" w:rsidR="00000000" w:rsidRDefault="00A173A8">
            <w:pPr>
              <w:spacing w:after="100"/>
              <w:rPr>
                <w:rFonts w:eastAsia="Times New Roman"/>
                <w:sz w:val="20"/>
                <w:szCs w:val="20"/>
              </w:rPr>
            </w:pPr>
          </w:p>
        </w:tc>
        <w:tc>
          <w:tcPr>
            <w:tcW w:w="0" w:type="auto"/>
            <w:gridSpan w:val="3"/>
            <w:vAlign w:val="center"/>
            <w:hideMark/>
          </w:tcPr>
          <w:p w14:paraId="5C6D777C" w14:textId="77777777" w:rsidR="00000000" w:rsidRDefault="00A173A8">
            <w:pPr>
              <w:spacing w:after="100"/>
              <w:rPr>
                <w:rFonts w:eastAsia="Times New Roman"/>
                <w:sz w:val="20"/>
                <w:szCs w:val="20"/>
              </w:rPr>
            </w:pPr>
          </w:p>
        </w:tc>
        <w:tc>
          <w:tcPr>
            <w:tcW w:w="0" w:type="auto"/>
            <w:gridSpan w:val="3"/>
            <w:vAlign w:val="center"/>
            <w:hideMark/>
          </w:tcPr>
          <w:p w14:paraId="6E8DBC17" w14:textId="77777777" w:rsidR="00000000" w:rsidRDefault="00A173A8">
            <w:pPr>
              <w:spacing w:after="100"/>
              <w:rPr>
                <w:rFonts w:eastAsia="Times New Roman"/>
                <w:sz w:val="20"/>
                <w:szCs w:val="20"/>
              </w:rPr>
            </w:pPr>
          </w:p>
        </w:tc>
        <w:tc>
          <w:tcPr>
            <w:tcW w:w="0" w:type="auto"/>
            <w:gridSpan w:val="3"/>
            <w:vAlign w:val="center"/>
            <w:hideMark/>
          </w:tcPr>
          <w:p w14:paraId="4E75BBB6" w14:textId="77777777" w:rsidR="00000000" w:rsidRDefault="00A173A8">
            <w:pPr>
              <w:spacing w:after="100"/>
              <w:rPr>
                <w:rFonts w:eastAsia="Times New Roman"/>
                <w:sz w:val="20"/>
                <w:szCs w:val="20"/>
              </w:rPr>
            </w:pPr>
          </w:p>
        </w:tc>
        <w:tc>
          <w:tcPr>
            <w:tcW w:w="0" w:type="auto"/>
            <w:gridSpan w:val="3"/>
            <w:vAlign w:val="center"/>
            <w:hideMark/>
          </w:tcPr>
          <w:p w14:paraId="15AF0A9D" w14:textId="77777777" w:rsidR="00000000" w:rsidRDefault="00A173A8">
            <w:pPr>
              <w:spacing w:after="100"/>
              <w:rPr>
                <w:rFonts w:eastAsia="Times New Roman"/>
                <w:sz w:val="20"/>
                <w:szCs w:val="20"/>
              </w:rPr>
            </w:pPr>
          </w:p>
        </w:tc>
      </w:tr>
      <w:tr w:rsidR="00000000" w14:paraId="5EB3DFF7" w14:textId="77777777">
        <w:trPr>
          <w:divId w:val="955254798"/>
        </w:trPr>
        <w:tc>
          <w:tcPr>
            <w:tcW w:w="0" w:type="auto"/>
            <w:gridSpan w:val="3"/>
            <w:vAlign w:val="center"/>
            <w:hideMark/>
          </w:tcPr>
          <w:p w14:paraId="10292E95" w14:textId="77777777" w:rsidR="00000000" w:rsidRDefault="00A173A8">
            <w:pPr>
              <w:spacing w:after="100"/>
              <w:rPr>
                <w:rFonts w:eastAsia="Times New Roman"/>
                <w:sz w:val="20"/>
                <w:szCs w:val="20"/>
              </w:rPr>
            </w:pPr>
          </w:p>
        </w:tc>
        <w:tc>
          <w:tcPr>
            <w:tcW w:w="0" w:type="auto"/>
            <w:gridSpan w:val="3"/>
            <w:vAlign w:val="center"/>
            <w:hideMark/>
          </w:tcPr>
          <w:p w14:paraId="16ECC2B4" w14:textId="77777777" w:rsidR="00000000" w:rsidRDefault="00A173A8">
            <w:pPr>
              <w:spacing w:after="100"/>
              <w:rPr>
                <w:rFonts w:eastAsia="Times New Roman"/>
                <w:sz w:val="20"/>
                <w:szCs w:val="20"/>
              </w:rPr>
            </w:pPr>
          </w:p>
        </w:tc>
        <w:tc>
          <w:tcPr>
            <w:tcW w:w="0" w:type="auto"/>
            <w:gridSpan w:val="3"/>
            <w:vAlign w:val="center"/>
            <w:hideMark/>
          </w:tcPr>
          <w:p w14:paraId="13F62C30" w14:textId="77777777" w:rsidR="00000000" w:rsidRDefault="00A173A8">
            <w:pPr>
              <w:spacing w:after="100"/>
              <w:rPr>
                <w:rFonts w:eastAsia="Times New Roman"/>
                <w:sz w:val="20"/>
                <w:szCs w:val="20"/>
              </w:rPr>
            </w:pPr>
          </w:p>
        </w:tc>
        <w:tc>
          <w:tcPr>
            <w:tcW w:w="0" w:type="auto"/>
            <w:gridSpan w:val="3"/>
            <w:vAlign w:val="center"/>
            <w:hideMark/>
          </w:tcPr>
          <w:p w14:paraId="6609FB23" w14:textId="77777777" w:rsidR="00000000" w:rsidRDefault="00A173A8">
            <w:pPr>
              <w:spacing w:after="100"/>
              <w:rPr>
                <w:rFonts w:eastAsia="Times New Roman"/>
                <w:sz w:val="20"/>
                <w:szCs w:val="20"/>
              </w:rPr>
            </w:pPr>
          </w:p>
        </w:tc>
        <w:tc>
          <w:tcPr>
            <w:tcW w:w="0" w:type="auto"/>
            <w:gridSpan w:val="3"/>
            <w:vAlign w:val="center"/>
            <w:hideMark/>
          </w:tcPr>
          <w:p w14:paraId="27F4556B" w14:textId="77777777" w:rsidR="00000000" w:rsidRDefault="00A173A8">
            <w:pPr>
              <w:spacing w:after="100"/>
              <w:rPr>
                <w:rFonts w:eastAsia="Times New Roman"/>
                <w:sz w:val="20"/>
                <w:szCs w:val="20"/>
              </w:rPr>
            </w:pPr>
          </w:p>
        </w:tc>
        <w:tc>
          <w:tcPr>
            <w:tcW w:w="0" w:type="auto"/>
            <w:gridSpan w:val="3"/>
            <w:vAlign w:val="center"/>
            <w:hideMark/>
          </w:tcPr>
          <w:p w14:paraId="637DAC55" w14:textId="77777777" w:rsidR="00000000" w:rsidRDefault="00A173A8">
            <w:pPr>
              <w:spacing w:after="100"/>
              <w:rPr>
                <w:rFonts w:eastAsia="Times New Roman"/>
                <w:sz w:val="20"/>
                <w:szCs w:val="20"/>
              </w:rPr>
            </w:pPr>
          </w:p>
        </w:tc>
        <w:tc>
          <w:tcPr>
            <w:tcW w:w="0" w:type="auto"/>
            <w:gridSpan w:val="3"/>
            <w:vAlign w:val="center"/>
            <w:hideMark/>
          </w:tcPr>
          <w:p w14:paraId="67491723" w14:textId="77777777" w:rsidR="00000000" w:rsidRDefault="00A173A8">
            <w:pPr>
              <w:spacing w:after="100"/>
              <w:rPr>
                <w:rFonts w:eastAsia="Times New Roman"/>
                <w:sz w:val="20"/>
                <w:szCs w:val="20"/>
              </w:rPr>
            </w:pPr>
          </w:p>
        </w:tc>
        <w:tc>
          <w:tcPr>
            <w:tcW w:w="0" w:type="auto"/>
            <w:gridSpan w:val="3"/>
            <w:vAlign w:val="center"/>
            <w:hideMark/>
          </w:tcPr>
          <w:p w14:paraId="7A0986E2" w14:textId="77777777" w:rsidR="00000000" w:rsidRDefault="00A173A8">
            <w:pPr>
              <w:spacing w:after="100"/>
              <w:rPr>
                <w:rFonts w:eastAsia="Times New Roman"/>
                <w:sz w:val="20"/>
                <w:szCs w:val="20"/>
              </w:rPr>
            </w:pPr>
          </w:p>
        </w:tc>
        <w:tc>
          <w:tcPr>
            <w:tcW w:w="0" w:type="auto"/>
            <w:gridSpan w:val="3"/>
            <w:vAlign w:val="center"/>
            <w:hideMark/>
          </w:tcPr>
          <w:p w14:paraId="5A887EE4" w14:textId="77777777" w:rsidR="00000000" w:rsidRDefault="00A173A8">
            <w:pPr>
              <w:spacing w:after="100"/>
              <w:rPr>
                <w:rFonts w:eastAsia="Times New Roman"/>
                <w:sz w:val="20"/>
                <w:szCs w:val="20"/>
              </w:rPr>
            </w:pPr>
          </w:p>
        </w:tc>
        <w:tc>
          <w:tcPr>
            <w:tcW w:w="0" w:type="auto"/>
            <w:gridSpan w:val="3"/>
            <w:vAlign w:val="center"/>
            <w:hideMark/>
          </w:tcPr>
          <w:p w14:paraId="4178D528" w14:textId="77777777" w:rsidR="00000000" w:rsidRDefault="00A173A8">
            <w:pPr>
              <w:spacing w:after="100"/>
              <w:rPr>
                <w:rFonts w:eastAsia="Times New Roman"/>
                <w:sz w:val="20"/>
                <w:szCs w:val="20"/>
              </w:rPr>
            </w:pPr>
          </w:p>
        </w:tc>
        <w:tc>
          <w:tcPr>
            <w:tcW w:w="0" w:type="auto"/>
            <w:gridSpan w:val="3"/>
            <w:vAlign w:val="center"/>
            <w:hideMark/>
          </w:tcPr>
          <w:p w14:paraId="539641B0" w14:textId="77777777" w:rsidR="00000000" w:rsidRDefault="00A173A8">
            <w:pPr>
              <w:spacing w:after="100"/>
              <w:rPr>
                <w:rFonts w:eastAsia="Times New Roman"/>
                <w:sz w:val="20"/>
                <w:szCs w:val="20"/>
              </w:rPr>
            </w:pPr>
          </w:p>
        </w:tc>
        <w:tc>
          <w:tcPr>
            <w:tcW w:w="0" w:type="auto"/>
            <w:gridSpan w:val="3"/>
            <w:vAlign w:val="center"/>
            <w:hideMark/>
          </w:tcPr>
          <w:p w14:paraId="4662D4D4" w14:textId="77777777" w:rsidR="00000000" w:rsidRDefault="00A173A8">
            <w:pPr>
              <w:spacing w:after="100"/>
              <w:rPr>
                <w:rFonts w:eastAsia="Times New Roman"/>
                <w:sz w:val="20"/>
                <w:szCs w:val="20"/>
              </w:rPr>
            </w:pPr>
          </w:p>
        </w:tc>
        <w:tc>
          <w:tcPr>
            <w:tcW w:w="0" w:type="auto"/>
            <w:gridSpan w:val="3"/>
            <w:vAlign w:val="center"/>
            <w:hideMark/>
          </w:tcPr>
          <w:p w14:paraId="588BA553" w14:textId="77777777" w:rsidR="00000000" w:rsidRDefault="00A173A8">
            <w:pPr>
              <w:spacing w:after="100"/>
              <w:rPr>
                <w:rFonts w:eastAsia="Times New Roman"/>
                <w:sz w:val="20"/>
                <w:szCs w:val="20"/>
              </w:rPr>
            </w:pPr>
          </w:p>
        </w:tc>
        <w:tc>
          <w:tcPr>
            <w:tcW w:w="0" w:type="auto"/>
            <w:gridSpan w:val="3"/>
            <w:vAlign w:val="center"/>
            <w:hideMark/>
          </w:tcPr>
          <w:p w14:paraId="005258F8" w14:textId="77777777" w:rsidR="00000000" w:rsidRDefault="00A173A8">
            <w:pPr>
              <w:spacing w:after="100"/>
              <w:rPr>
                <w:rFonts w:eastAsia="Times New Roman"/>
                <w:sz w:val="20"/>
                <w:szCs w:val="20"/>
              </w:rPr>
            </w:pPr>
          </w:p>
        </w:tc>
        <w:tc>
          <w:tcPr>
            <w:tcW w:w="0" w:type="auto"/>
            <w:gridSpan w:val="3"/>
            <w:vAlign w:val="center"/>
            <w:hideMark/>
          </w:tcPr>
          <w:p w14:paraId="722BC036" w14:textId="77777777" w:rsidR="00000000" w:rsidRDefault="00A173A8">
            <w:pPr>
              <w:spacing w:after="100"/>
              <w:rPr>
                <w:rFonts w:eastAsia="Times New Roman"/>
                <w:sz w:val="20"/>
                <w:szCs w:val="20"/>
              </w:rPr>
            </w:pPr>
          </w:p>
        </w:tc>
        <w:tc>
          <w:tcPr>
            <w:tcW w:w="0" w:type="auto"/>
            <w:gridSpan w:val="3"/>
            <w:vAlign w:val="center"/>
            <w:hideMark/>
          </w:tcPr>
          <w:p w14:paraId="1379D893" w14:textId="77777777" w:rsidR="00000000" w:rsidRDefault="00A173A8">
            <w:pPr>
              <w:spacing w:after="100"/>
              <w:rPr>
                <w:rFonts w:eastAsia="Times New Roman"/>
                <w:sz w:val="20"/>
                <w:szCs w:val="20"/>
              </w:rPr>
            </w:pPr>
          </w:p>
        </w:tc>
        <w:tc>
          <w:tcPr>
            <w:tcW w:w="0" w:type="auto"/>
            <w:gridSpan w:val="3"/>
            <w:vAlign w:val="center"/>
            <w:hideMark/>
          </w:tcPr>
          <w:p w14:paraId="44763221" w14:textId="77777777" w:rsidR="00000000" w:rsidRDefault="00A173A8">
            <w:pPr>
              <w:spacing w:after="100"/>
              <w:rPr>
                <w:rFonts w:eastAsia="Times New Roman"/>
                <w:sz w:val="20"/>
                <w:szCs w:val="20"/>
              </w:rPr>
            </w:pPr>
          </w:p>
        </w:tc>
        <w:tc>
          <w:tcPr>
            <w:tcW w:w="0" w:type="auto"/>
            <w:gridSpan w:val="3"/>
            <w:vAlign w:val="center"/>
            <w:hideMark/>
          </w:tcPr>
          <w:p w14:paraId="056DF4B5" w14:textId="77777777" w:rsidR="00000000" w:rsidRDefault="00A173A8">
            <w:pPr>
              <w:spacing w:after="100"/>
              <w:rPr>
                <w:rFonts w:eastAsia="Times New Roman"/>
                <w:sz w:val="20"/>
                <w:szCs w:val="20"/>
              </w:rPr>
            </w:pPr>
          </w:p>
        </w:tc>
        <w:tc>
          <w:tcPr>
            <w:tcW w:w="0" w:type="auto"/>
            <w:gridSpan w:val="3"/>
            <w:vAlign w:val="center"/>
            <w:hideMark/>
          </w:tcPr>
          <w:p w14:paraId="665179A0" w14:textId="77777777" w:rsidR="00000000" w:rsidRDefault="00A173A8">
            <w:pPr>
              <w:spacing w:after="100"/>
              <w:rPr>
                <w:rFonts w:eastAsia="Times New Roman"/>
                <w:sz w:val="20"/>
                <w:szCs w:val="20"/>
              </w:rPr>
            </w:pPr>
          </w:p>
        </w:tc>
      </w:tr>
      <w:tr w:rsidR="00000000" w14:paraId="691E2534" w14:textId="77777777">
        <w:trPr>
          <w:divId w:val="955254798"/>
        </w:trPr>
        <w:tc>
          <w:tcPr>
            <w:tcW w:w="0" w:type="auto"/>
            <w:gridSpan w:val="3"/>
            <w:shd w:val="clear" w:color="auto" w:fill="FFFFFF"/>
            <w:tcMar>
              <w:top w:w="30" w:type="dxa"/>
              <w:left w:w="20" w:type="dxa"/>
              <w:bottom w:w="30" w:type="dxa"/>
              <w:right w:w="20" w:type="dxa"/>
            </w:tcMar>
            <w:vAlign w:val="center"/>
            <w:hideMark/>
          </w:tcPr>
          <w:p w14:paraId="35A3F5B3" w14:textId="77777777" w:rsidR="00000000" w:rsidRDefault="00A173A8">
            <w:pPr>
              <w:spacing w:after="100"/>
              <w:rPr>
                <w:rFonts w:eastAsia="Times New Roman"/>
              </w:rPr>
            </w:pPr>
            <w:r>
              <w:rPr>
                <w:rFonts w:eastAsia="Times New Roman"/>
                <w:color w:val="000000"/>
                <w:sz w:val="20"/>
                <w:szCs w:val="20"/>
              </w:rPr>
              <w:t>Total interest-bearing deposits</w:t>
            </w:r>
          </w:p>
        </w:tc>
        <w:tc>
          <w:tcPr>
            <w:tcW w:w="0" w:type="auto"/>
            <w:gridSpan w:val="3"/>
            <w:shd w:val="clear" w:color="auto" w:fill="FFFFFF"/>
            <w:tcMar>
              <w:top w:w="0" w:type="dxa"/>
              <w:left w:w="20" w:type="dxa"/>
              <w:bottom w:w="0" w:type="dxa"/>
              <w:right w:w="20" w:type="dxa"/>
            </w:tcMar>
            <w:vAlign w:val="center"/>
            <w:hideMark/>
          </w:tcPr>
          <w:p w14:paraId="6E15AE3D"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0CA4EAC"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C3907B4" w14:textId="77777777" w:rsidR="00000000" w:rsidRDefault="00A173A8">
            <w:pPr>
              <w:spacing w:after="100"/>
              <w:jc w:val="right"/>
              <w:rPr>
                <w:rFonts w:eastAsia="Times New Roman"/>
              </w:rPr>
            </w:pPr>
            <w:r>
              <w:rPr>
                <w:rFonts w:eastAsia="Times New Roman"/>
                <w:b/>
                <w:bCs/>
                <w:color w:val="000000"/>
                <w:sz w:val="20"/>
                <w:szCs w:val="20"/>
              </w:rPr>
              <w:t>268,104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2E981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631D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B525202"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020CEDA" w14:textId="77777777" w:rsidR="00000000" w:rsidRDefault="00A173A8">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5AC36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B558E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213B30" w14:textId="77777777" w:rsidR="00000000" w:rsidRDefault="00A173A8">
            <w:pPr>
              <w:spacing w:after="100"/>
              <w:jc w:val="right"/>
              <w:rPr>
                <w:rFonts w:eastAsia="Times New Roman"/>
              </w:rPr>
            </w:pPr>
            <w:r>
              <w:rPr>
                <w:rFonts w:eastAsia="Times New Roman"/>
                <w:b/>
                <w:bCs/>
                <w:color w:val="000000"/>
                <w:sz w:val="20"/>
                <w:szCs w:val="20"/>
              </w:rPr>
              <w:t>0.44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7E8780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518B5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5B90E7"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D2B0E7" w14:textId="77777777" w:rsidR="00000000" w:rsidRDefault="00A173A8">
            <w:pPr>
              <w:spacing w:after="100"/>
              <w:jc w:val="right"/>
              <w:rPr>
                <w:rFonts w:eastAsia="Times New Roman"/>
              </w:rPr>
            </w:pPr>
            <w:r>
              <w:rPr>
                <w:rFonts w:eastAsia="Times New Roman"/>
                <w:color w:val="000000"/>
                <w:sz w:val="20"/>
                <w:szCs w:val="20"/>
              </w:rPr>
              <w:t>273,476 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D9769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A7758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55248B"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467DA8A" w14:textId="77777777" w:rsidR="00000000" w:rsidRDefault="00A173A8">
            <w:pPr>
              <w:spacing w:after="100"/>
              <w:jc w:val="right"/>
              <w:rPr>
                <w:rFonts w:eastAsia="Times New Roman"/>
              </w:rPr>
            </w:pPr>
            <w:r>
              <w:rPr>
                <w:rFonts w:eastAsia="Times New Roman"/>
                <w:color w:val="000000"/>
                <w:sz w:val="20"/>
                <w:szCs w:val="20"/>
              </w:rPr>
              <w:t>237 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37A52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73B1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3268C6" w14:textId="77777777" w:rsidR="00000000" w:rsidRDefault="00A173A8">
            <w:pPr>
              <w:spacing w:after="100"/>
              <w:jc w:val="right"/>
              <w:rPr>
                <w:rFonts w:eastAsia="Times New Roman"/>
              </w:rPr>
            </w:pPr>
            <w:r>
              <w:rPr>
                <w:rFonts w:eastAsia="Times New Roman"/>
                <w:color w:val="000000"/>
                <w:sz w:val="20"/>
                <w:szCs w:val="20"/>
              </w:rPr>
              <w:t>0.35 </w:t>
            </w:r>
          </w:p>
        </w:tc>
        <w:tc>
          <w:tcPr>
            <w:tcW w:w="0" w:type="auto"/>
            <w:shd w:val="clear" w:color="auto" w:fill="FFFFFF"/>
            <w:tcMar>
              <w:top w:w="30" w:type="dxa"/>
              <w:left w:w="0" w:type="dxa"/>
              <w:bottom w:w="30" w:type="dxa"/>
              <w:right w:w="20" w:type="dxa"/>
            </w:tcMar>
            <w:vAlign w:val="center"/>
            <w:hideMark/>
          </w:tcPr>
          <w:p w14:paraId="5AEA4D18" w14:textId="77777777" w:rsidR="00000000" w:rsidRDefault="00A173A8">
            <w:pPr>
              <w:spacing w:after="100"/>
              <w:jc w:val="right"/>
              <w:rPr>
                <w:rFonts w:eastAsia="Times New Roman"/>
              </w:rPr>
            </w:pPr>
          </w:p>
        </w:tc>
        <w:tc>
          <w:tcPr>
            <w:tcW w:w="0" w:type="auto"/>
            <w:gridSpan w:val="3"/>
            <w:vAlign w:val="center"/>
            <w:hideMark/>
          </w:tcPr>
          <w:p w14:paraId="699C7166" w14:textId="77777777" w:rsidR="00000000" w:rsidRDefault="00A173A8">
            <w:pPr>
              <w:spacing w:after="100"/>
              <w:jc w:val="right"/>
              <w:rPr>
                <w:rFonts w:eastAsia="Times New Roman"/>
                <w:sz w:val="20"/>
                <w:szCs w:val="20"/>
              </w:rPr>
            </w:pPr>
          </w:p>
        </w:tc>
        <w:tc>
          <w:tcPr>
            <w:tcW w:w="0" w:type="auto"/>
            <w:gridSpan w:val="3"/>
            <w:vAlign w:val="center"/>
            <w:hideMark/>
          </w:tcPr>
          <w:p w14:paraId="31B75489" w14:textId="77777777" w:rsidR="00000000" w:rsidRDefault="00A173A8">
            <w:pPr>
              <w:spacing w:after="100"/>
              <w:rPr>
                <w:rFonts w:eastAsia="Times New Roman"/>
                <w:sz w:val="20"/>
                <w:szCs w:val="20"/>
              </w:rPr>
            </w:pPr>
          </w:p>
        </w:tc>
        <w:tc>
          <w:tcPr>
            <w:tcW w:w="0" w:type="auto"/>
            <w:gridSpan w:val="3"/>
            <w:vAlign w:val="center"/>
            <w:hideMark/>
          </w:tcPr>
          <w:p w14:paraId="6132D69F" w14:textId="77777777" w:rsidR="00000000" w:rsidRDefault="00A173A8">
            <w:pPr>
              <w:spacing w:after="100"/>
              <w:rPr>
                <w:rFonts w:eastAsia="Times New Roman"/>
                <w:sz w:val="20"/>
                <w:szCs w:val="20"/>
              </w:rPr>
            </w:pPr>
          </w:p>
        </w:tc>
        <w:tc>
          <w:tcPr>
            <w:tcW w:w="0" w:type="auto"/>
            <w:gridSpan w:val="3"/>
            <w:vAlign w:val="center"/>
            <w:hideMark/>
          </w:tcPr>
          <w:p w14:paraId="76607D35" w14:textId="77777777" w:rsidR="00000000" w:rsidRDefault="00A173A8">
            <w:pPr>
              <w:spacing w:after="100"/>
              <w:rPr>
                <w:rFonts w:eastAsia="Times New Roman"/>
                <w:sz w:val="20"/>
                <w:szCs w:val="20"/>
              </w:rPr>
            </w:pPr>
          </w:p>
        </w:tc>
        <w:tc>
          <w:tcPr>
            <w:tcW w:w="0" w:type="auto"/>
            <w:gridSpan w:val="3"/>
            <w:vAlign w:val="center"/>
            <w:hideMark/>
          </w:tcPr>
          <w:p w14:paraId="6EB04639" w14:textId="77777777" w:rsidR="00000000" w:rsidRDefault="00A173A8">
            <w:pPr>
              <w:spacing w:after="100"/>
              <w:rPr>
                <w:rFonts w:eastAsia="Times New Roman"/>
                <w:sz w:val="20"/>
                <w:szCs w:val="20"/>
              </w:rPr>
            </w:pPr>
          </w:p>
        </w:tc>
        <w:tc>
          <w:tcPr>
            <w:tcW w:w="0" w:type="auto"/>
            <w:gridSpan w:val="3"/>
            <w:vAlign w:val="center"/>
            <w:hideMark/>
          </w:tcPr>
          <w:p w14:paraId="7B82EF2A" w14:textId="77777777" w:rsidR="00000000" w:rsidRDefault="00A173A8">
            <w:pPr>
              <w:spacing w:after="100"/>
              <w:rPr>
                <w:rFonts w:eastAsia="Times New Roman"/>
                <w:sz w:val="20"/>
                <w:szCs w:val="20"/>
              </w:rPr>
            </w:pPr>
          </w:p>
        </w:tc>
      </w:tr>
    </w:tbl>
    <w:p w14:paraId="44861AFA" w14:textId="77777777" w:rsidR="00000000" w:rsidRDefault="00A173A8">
      <w:pPr>
        <w:jc w:val="both"/>
        <w:divId w:val="9552547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796"/>
        <w:gridCol w:w="37"/>
        <w:gridCol w:w="36"/>
        <w:gridCol w:w="36"/>
        <w:gridCol w:w="36"/>
        <w:gridCol w:w="120"/>
        <w:gridCol w:w="700"/>
        <w:gridCol w:w="36"/>
        <w:gridCol w:w="36"/>
        <w:gridCol w:w="36"/>
        <w:gridCol w:w="36"/>
        <w:gridCol w:w="121"/>
        <w:gridCol w:w="669"/>
        <w:gridCol w:w="36"/>
        <w:gridCol w:w="36"/>
        <w:gridCol w:w="36"/>
        <w:gridCol w:w="36"/>
        <w:gridCol w:w="77"/>
        <w:gridCol w:w="679"/>
        <w:gridCol w:w="220"/>
        <w:gridCol w:w="36"/>
        <w:gridCol w:w="36"/>
        <w:gridCol w:w="36"/>
        <w:gridCol w:w="120"/>
        <w:gridCol w:w="700"/>
        <w:gridCol w:w="36"/>
        <w:gridCol w:w="36"/>
        <w:gridCol w:w="36"/>
        <w:gridCol w:w="36"/>
        <w:gridCol w:w="121"/>
        <w:gridCol w:w="669"/>
        <w:gridCol w:w="36"/>
        <w:gridCol w:w="36"/>
        <w:gridCol w:w="36"/>
        <w:gridCol w:w="36"/>
        <w:gridCol w:w="77"/>
        <w:gridCol w:w="679"/>
        <w:gridCol w:w="187"/>
        <w:gridCol w:w="36"/>
        <w:gridCol w:w="36"/>
        <w:gridCol w:w="36"/>
        <w:gridCol w:w="36"/>
        <w:gridCol w:w="36"/>
        <w:gridCol w:w="36"/>
        <w:gridCol w:w="36"/>
        <w:gridCol w:w="36"/>
        <w:gridCol w:w="36"/>
        <w:gridCol w:w="36"/>
        <w:gridCol w:w="36"/>
        <w:gridCol w:w="36"/>
        <w:gridCol w:w="36"/>
        <w:gridCol w:w="36"/>
      </w:tblGrid>
      <w:tr w:rsidR="00000000" w14:paraId="22F25155" w14:textId="77777777">
        <w:trPr>
          <w:divId w:val="955254798"/>
        </w:trPr>
        <w:tc>
          <w:tcPr>
            <w:tcW w:w="50" w:type="pct"/>
            <w:vAlign w:val="center"/>
            <w:hideMark/>
          </w:tcPr>
          <w:p w14:paraId="67C5AF8D" w14:textId="77777777" w:rsidR="00000000" w:rsidRDefault="00A173A8">
            <w:pPr>
              <w:jc w:val="both"/>
              <w:rPr>
                <w:rFonts w:eastAsia="Times New Roman"/>
              </w:rPr>
            </w:pPr>
          </w:p>
        </w:tc>
        <w:tc>
          <w:tcPr>
            <w:tcW w:w="1743" w:type="pct"/>
            <w:vAlign w:val="center"/>
            <w:hideMark/>
          </w:tcPr>
          <w:p w14:paraId="25ECA00C" w14:textId="77777777" w:rsidR="00000000" w:rsidRDefault="00A173A8">
            <w:pPr>
              <w:spacing w:after="100"/>
              <w:rPr>
                <w:rFonts w:eastAsia="Times New Roman"/>
                <w:sz w:val="20"/>
                <w:szCs w:val="20"/>
              </w:rPr>
            </w:pPr>
          </w:p>
        </w:tc>
        <w:tc>
          <w:tcPr>
            <w:tcW w:w="5" w:type="pct"/>
            <w:vAlign w:val="center"/>
            <w:hideMark/>
          </w:tcPr>
          <w:p w14:paraId="01C4AE73" w14:textId="77777777" w:rsidR="00000000" w:rsidRDefault="00A173A8">
            <w:pPr>
              <w:spacing w:after="100"/>
              <w:rPr>
                <w:rFonts w:eastAsia="Times New Roman"/>
                <w:sz w:val="20"/>
                <w:szCs w:val="20"/>
              </w:rPr>
            </w:pPr>
          </w:p>
        </w:tc>
        <w:tc>
          <w:tcPr>
            <w:tcW w:w="5" w:type="pct"/>
            <w:vAlign w:val="center"/>
            <w:hideMark/>
          </w:tcPr>
          <w:p w14:paraId="71652D31" w14:textId="77777777" w:rsidR="00000000" w:rsidRDefault="00A173A8">
            <w:pPr>
              <w:spacing w:after="100"/>
              <w:rPr>
                <w:rFonts w:eastAsia="Times New Roman"/>
                <w:sz w:val="20"/>
                <w:szCs w:val="20"/>
              </w:rPr>
            </w:pPr>
          </w:p>
        </w:tc>
        <w:tc>
          <w:tcPr>
            <w:tcW w:w="26" w:type="pct"/>
            <w:vAlign w:val="center"/>
            <w:hideMark/>
          </w:tcPr>
          <w:p w14:paraId="5183B294" w14:textId="77777777" w:rsidR="00000000" w:rsidRDefault="00A173A8">
            <w:pPr>
              <w:spacing w:after="100"/>
              <w:rPr>
                <w:rFonts w:eastAsia="Times New Roman"/>
                <w:sz w:val="20"/>
                <w:szCs w:val="20"/>
              </w:rPr>
            </w:pPr>
          </w:p>
        </w:tc>
        <w:tc>
          <w:tcPr>
            <w:tcW w:w="5" w:type="pct"/>
            <w:vAlign w:val="center"/>
            <w:hideMark/>
          </w:tcPr>
          <w:p w14:paraId="4466B966" w14:textId="77777777" w:rsidR="00000000" w:rsidRDefault="00A173A8">
            <w:pPr>
              <w:spacing w:after="100"/>
              <w:rPr>
                <w:rFonts w:eastAsia="Times New Roman"/>
                <w:sz w:val="20"/>
                <w:szCs w:val="20"/>
              </w:rPr>
            </w:pPr>
          </w:p>
        </w:tc>
        <w:tc>
          <w:tcPr>
            <w:tcW w:w="50" w:type="pct"/>
            <w:vAlign w:val="center"/>
            <w:hideMark/>
          </w:tcPr>
          <w:p w14:paraId="33E34B88" w14:textId="77777777" w:rsidR="00000000" w:rsidRDefault="00A173A8">
            <w:pPr>
              <w:spacing w:after="100"/>
              <w:rPr>
                <w:rFonts w:eastAsia="Times New Roman"/>
                <w:sz w:val="20"/>
                <w:szCs w:val="20"/>
              </w:rPr>
            </w:pPr>
          </w:p>
        </w:tc>
        <w:tc>
          <w:tcPr>
            <w:tcW w:w="442" w:type="pct"/>
            <w:vAlign w:val="center"/>
            <w:hideMark/>
          </w:tcPr>
          <w:p w14:paraId="31D57334" w14:textId="77777777" w:rsidR="00000000" w:rsidRDefault="00A173A8">
            <w:pPr>
              <w:spacing w:after="100"/>
              <w:rPr>
                <w:rFonts w:eastAsia="Times New Roman"/>
                <w:sz w:val="20"/>
                <w:szCs w:val="20"/>
              </w:rPr>
            </w:pPr>
          </w:p>
        </w:tc>
        <w:tc>
          <w:tcPr>
            <w:tcW w:w="5" w:type="pct"/>
            <w:vAlign w:val="center"/>
            <w:hideMark/>
          </w:tcPr>
          <w:p w14:paraId="64B160B7" w14:textId="77777777" w:rsidR="00000000" w:rsidRDefault="00A173A8">
            <w:pPr>
              <w:spacing w:after="100"/>
              <w:rPr>
                <w:rFonts w:eastAsia="Times New Roman"/>
                <w:sz w:val="20"/>
                <w:szCs w:val="20"/>
              </w:rPr>
            </w:pPr>
          </w:p>
        </w:tc>
        <w:tc>
          <w:tcPr>
            <w:tcW w:w="5" w:type="pct"/>
            <w:vAlign w:val="center"/>
            <w:hideMark/>
          </w:tcPr>
          <w:p w14:paraId="03D8299F" w14:textId="77777777" w:rsidR="00000000" w:rsidRDefault="00A173A8">
            <w:pPr>
              <w:spacing w:after="100"/>
              <w:rPr>
                <w:rFonts w:eastAsia="Times New Roman"/>
                <w:sz w:val="20"/>
                <w:szCs w:val="20"/>
              </w:rPr>
            </w:pPr>
          </w:p>
        </w:tc>
        <w:tc>
          <w:tcPr>
            <w:tcW w:w="26" w:type="pct"/>
            <w:vAlign w:val="center"/>
            <w:hideMark/>
          </w:tcPr>
          <w:p w14:paraId="16C163C6" w14:textId="77777777" w:rsidR="00000000" w:rsidRDefault="00A173A8">
            <w:pPr>
              <w:spacing w:after="100"/>
              <w:rPr>
                <w:rFonts w:eastAsia="Times New Roman"/>
                <w:sz w:val="20"/>
                <w:szCs w:val="20"/>
              </w:rPr>
            </w:pPr>
          </w:p>
        </w:tc>
        <w:tc>
          <w:tcPr>
            <w:tcW w:w="5" w:type="pct"/>
            <w:vAlign w:val="center"/>
            <w:hideMark/>
          </w:tcPr>
          <w:p w14:paraId="141D6073" w14:textId="77777777" w:rsidR="00000000" w:rsidRDefault="00A173A8">
            <w:pPr>
              <w:spacing w:after="100"/>
              <w:rPr>
                <w:rFonts w:eastAsia="Times New Roman"/>
                <w:sz w:val="20"/>
                <w:szCs w:val="20"/>
              </w:rPr>
            </w:pPr>
          </w:p>
        </w:tc>
        <w:tc>
          <w:tcPr>
            <w:tcW w:w="50" w:type="pct"/>
            <w:vAlign w:val="center"/>
            <w:hideMark/>
          </w:tcPr>
          <w:p w14:paraId="4609D420" w14:textId="77777777" w:rsidR="00000000" w:rsidRDefault="00A173A8">
            <w:pPr>
              <w:spacing w:after="100"/>
              <w:rPr>
                <w:rFonts w:eastAsia="Times New Roman"/>
                <w:sz w:val="20"/>
                <w:szCs w:val="20"/>
              </w:rPr>
            </w:pPr>
          </w:p>
        </w:tc>
        <w:tc>
          <w:tcPr>
            <w:tcW w:w="442" w:type="pct"/>
            <w:vAlign w:val="center"/>
            <w:hideMark/>
          </w:tcPr>
          <w:p w14:paraId="021B99E2" w14:textId="77777777" w:rsidR="00000000" w:rsidRDefault="00A173A8">
            <w:pPr>
              <w:spacing w:after="100"/>
              <w:rPr>
                <w:rFonts w:eastAsia="Times New Roman"/>
                <w:sz w:val="20"/>
                <w:szCs w:val="20"/>
              </w:rPr>
            </w:pPr>
          </w:p>
        </w:tc>
        <w:tc>
          <w:tcPr>
            <w:tcW w:w="5" w:type="pct"/>
            <w:vAlign w:val="center"/>
            <w:hideMark/>
          </w:tcPr>
          <w:p w14:paraId="77EB26CD" w14:textId="77777777" w:rsidR="00000000" w:rsidRDefault="00A173A8">
            <w:pPr>
              <w:spacing w:after="100"/>
              <w:rPr>
                <w:rFonts w:eastAsia="Times New Roman"/>
                <w:sz w:val="20"/>
                <w:szCs w:val="20"/>
              </w:rPr>
            </w:pPr>
          </w:p>
        </w:tc>
        <w:tc>
          <w:tcPr>
            <w:tcW w:w="5" w:type="pct"/>
            <w:vAlign w:val="center"/>
            <w:hideMark/>
          </w:tcPr>
          <w:p w14:paraId="133C6D0E" w14:textId="77777777" w:rsidR="00000000" w:rsidRDefault="00A173A8">
            <w:pPr>
              <w:spacing w:after="100"/>
              <w:rPr>
                <w:rFonts w:eastAsia="Times New Roman"/>
                <w:sz w:val="20"/>
                <w:szCs w:val="20"/>
              </w:rPr>
            </w:pPr>
          </w:p>
        </w:tc>
        <w:tc>
          <w:tcPr>
            <w:tcW w:w="26" w:type="pct"/>
            <w:vAlign w:val="center"/>
            <w:hideMark/>
          </w:tcPr>
          <w:p w14:paraId="10306FC1" w14:textId="77777777" w:rsidR="00000000" w:rsidRDefault="00A173A8">
            <w:pPr>
              <w:spacing w:after="100"/>
              <w:rPr>
                <w:rFonts w:eastAsia="Times New Roman"/>
                <w:sz w:val="20"/>
                <w:szCs w:val="20"/>
              </w:rPr>
            </w:pPr>
          </w:p>
        </w:tc>
        <w:tc>
          <w:tcPr>
            <w:tcW w:w="5" w:type="pct"/>
            <w:vAlign w:val="center"/>
            <w:hideMark/>
          </w:tcPr>
          <w:p w14:paraId="2D3C0566" w14:textId="77777777" w:rsidR="00000000" w:rsidRDefault="00A173A8">
            <w:pPr>
              <w:spacing w:after="100"/>
              <w:rPr>
                <w:rFonts w:eastAsia="Times New Roman"/>
                <w:sz w:val="20"/>
                <w:szCs w:val="20"/>
              </w:rPr>
            </w:pPr>
          </w:p>
        </w:tc>
        <w:tc>
          <w:tcPr>
            <w:tcW w:w="50" w:type="pct"/>
            <w:vAlign w:val="center"/>
            <w:hideMark/>
          </w:tcPr>
          <w:p w14:paraId="72A7DC10" w14:textId="77777777" w:rsidR="00000000" w:rsidRDefault="00A173A8">
            <w:pPr>
              <w:spacing w:after="100"/>
              <w:rPr>
                <w:rFonts w:eastAsia="Times New Roman"/>
                <w:sz w:val="20"/>
                <w:szCs w:val="20"/>
              </w:rPr>
            </w:pPr>
          </w:p>
        </w:tc>
        <w:tc>
          <w:tcPr>
            <w:tcW w:w="442" w:type="pct"/>
            <w:vAlign w:val="center"/>
            <w:hideMark/>
          </w:tcPr>
          <w:p w14:paraId="2CB252FE" w14:textId="77777777" w:rsidR="00000000" w:rsidRDefault="00A173A8">
            <w:pPr>
              <w:spacing w:after="100"/>
              <w:rPr>
                <w:rFonts w:eastAsia="Times New Roman"/>
                <w:sz w:val="20"/>
                <w:szCs w:val="20"/>
              </w:rPr>
            </w:pPr>
          </w:p>
        </w:tc>
        <w:tc>
          <w:tcPr>
            <w:tcW w:w="5" w:type="pct"/>
            <w:vAlign w:val="center"/>
            <w:hideMark/>
          </w:tcPr>
          <w:p w14:paraId="50269371" w14:textId="77777777" w:rsidR="00000000" w:rsidRDefault="00A173A8">
            <w:pPr>
              <w:spacing w:after="100"/>
              <w:rPr>
                <w:rFonts w:eastAsia="Times New Roman"/>
                <w:sz w:val="20"/>
                <w:szCs w:val="20"/>
              </w:rPr>
            </w:pPr>
          </w:p>
        </w:tc>
        <w:tc>
          <w:tcPr>
            <w:tcW w:w="5" w:type="pct"/>
            <w:vAlign w:val="center"/>
            <w:hideMark/>
          </w:tcPr>
          <w:p w14:paraId="72F34697" w14:textId="77777777" w:rsidR="00000000" w:rsidRDefault="00A173A8">
            <w:pPr>
              <w:spacing w:after="100"/>
              <w:rPr>
                <w:rFonts w:eastAsia="Times New Roman"/>
                <w:sz w:val="20"/>
                <w:szCs w:val="20"/>
              </w:rPr>
            </w:pPr>
          </w:p>
        </w:tc>
        <w:tc>
          <w:tcPr>
            <w:tcW w:w="26" w:type="pct"/>
            <w:vAlign w:val="center"/>
            <w:hideMark/>
          </w:tcPr>
          <w:p w14:paraId="79E80850" w14:textId="77777777" w:rsidR="00000000" w:rsidRDefault="00A173A8">
            <w:pPr>
              <w:spacing w:after="100"/>
              <w:rPr>
                <w:rFonts w:eastAsia="Times New Roman"/>
                <w:sz w:val="20"/>
                <w:szCs w:val="20"/>
              </w:rPr>
            </w:pPr>
          </w:p>
        </w:tc>
        <w:tc>
          <w:tcPr>
            <w:tcW w:w="5" w:type="pct"/>
            <w:vAlign w:val="center"/>
            <w:hideMark/>
          </w:tcPr>
          <w:p w14:paraId="5593CFD6" w14:textId="77777777" w:rsidR="00000000" w:rsidRDefault="00A173A8">
            <w:pPr>
              <w:spacing w:after="100"/>
              <w:rPr>
                <w:rFonts w:eastAsia="Times New Roman"/>
                <w:sz w:val="20"/>
                <w:szCs w:val="20"/>
              </w:rPr>
            </w:pPr>
          </w:p>
        </w:tc>
        <w:tc>
          <w:tcPr>
            <w:tcW w:w="50" w:type="pct"/>
            <w:vAlign w:val="center"/>
            <w:hideMark/>
          </w:tcPr>
          <w:p w14:paraId="22991870" w14:textId="77777777" w:rsidR="00000000" w:rsidRDefault="00A173A8">
            <w:pPr>
              <w:spacing w:after="100"/>
              <w:rPr>
                <w:rFonts w:eastAsia="Times New Roman"/>
                <w:sz w:val="20"/>
                <w:szCs w:val="20"/>
              </w:rPr>
            </w:pPr>
          </w:p>
        </w:tc>
        <w:tc>
          <w:tcPr>
            <w:tcW w:w="442" w:type="pct"/>
            <w:vAlign w:val="center"/>
            <w:hideMark/>
          </w:tcPr>
          <w:p w14:paraId="664B5667" w14:textId="77777777" w:rsidR="00000000" w:rsidRDefault="00A173A8">
            <w:pPr>
              <w:spacing w:after="100"/>
              <w:rPr>
                <w:rFonts w:eastAsia="Times New Roman"/>
                <w:sz w:val="20"/>
                <w:szCs w:val="20"/>
              </w:rPr>
            </w:pPr>
          </w:p>
        </w:tc>
        <w:tc>
          <w:tcPr>
            <w:tcW w:w="5" w:type="pct"/>
            <w:vAlign w:val="center"/>
            <w:hideMark/>
          </w:tcPr>
          <w:p w14:paraId="733EA5D3" w14:textId="77777777" w:rsidR="00000000" w:rsidRDefault="00A173A8">
            <w:pPr>
              <w:spacing w:after="100"/>
              <w:rPr>
                <w:rFonts w:eastAsia="Times New Roman"/>
                <w:sz w:val="20"/>
                <w:szCs w:val="20"/>
              </w:rPr>
            </w:pPr>
          </w:p>
        </w:tc>
        <w:tc>
          <w:tcPr>
            <w:tcW w:w="5" w:type="pct"/>
            <w:vAlign w:val="center"/>
            <w:hideMark/>
          </w:tcPr>
          <w:p w14:paraId="456C8BE2" w14:textId="77777777" w:rsidR="00000000" w:rsidRDefault="00A173A8">
            <w:pPr>
              <w:spacing w:after="100"/>
              <w:rPr>
                <w:rFonts w:eastAsia="Times New Roman"/>
                <w:sz w:val="20"/>
                <w:szCs w:val="20"/>
              </w:rPr>
            </w:pPr>
          </w:p>
        </w:tc>
        <w:tc>
          <w:tcPr>
            <w:tcW w:w="26" w:type="pct"/>
            <w:vAlign w:val="center"/>
            <w:hideMark/>
          </w:tcPr>
          <w:p w14:paraId="703F3D3B" w14:textId="77777777" w:rsidR="00000000" w:rsidRDefault="00A173A8">
            <w:pPr>
              <w:spacing w:after="100"/>
              <w:rPr>
                <w:rFonts w:eastAsia="Times New Roman"/>
                <w:sz w:val="20"/>
                <w:szCs w:val="20"/>
              </w:rPr>
            </w:pPr>
          </w:p>
        </w:tc>
        <w:tc>
          <w:tcPr>
            <w:tcW w:w="5" w:type="pct"/>
            <w:vAlign w:val="center"/>
            <w:hideMark/>
          </w:tcPr>
          <w:p w14:paraId="451D025C" w14:textId="77777777" w:rsidR="00000000" w:rsidRDefault="00A173A8">
            <w:pPr>
              <w:spacing w:after="100"/>
              <w:rPr>
                <w:rFonts w:eastAsia="Times New Roman"/>
                <w:sz w:val="20"/>
                <w:szCs w:val="20"/>
              </w:rPr>
            </w:pPr>
          </w:p>
        </w:tc>
        <w:tc>
          <w:tcPr>
            <w:tcW w:w="50" w:type="pct"/>
            <w:vAlign w:val="center"/>
            <w:hideMark/>
          </w:tcPr>
          <w:p w14:paraId="04F05C11" w14:textId="77777777" w:rsidR="00000000" w:rsidRDefault="00A173A8">
            <w:pPr>
              <w:spacing w:after="100"/>
              <w:rPr>
                <w:rFonts w:eastAsia="Times New Roman"/>
                <w:sz w:val="20"/>
                <w:szCs w:val="20"/>
              </w:rPr>
            </w:pPr>
          </w:p>
        </w:tc>
        <w:tc>
          <w:tcPr>
            <w:tcW w:w="442" w:type="pct"/>
            <w:vAlign w:val="center"/>
            <w:hideMark/>
          </w:tcPr>
          <w:p w14:paraId="1408A715" w14:textId="77777777" w:rsidR="00000000" w:rsidRDefault="00A173A8">
            <w:pPr>
              <w:spacing w:after="100"/>
              <w:rPr>
                <w:rFonts w:eastAsia="Times New Roman"/>
                <w:sz w:val="20"/>
                <w:szCs w:val="20"/>
              </w:rPr>
            </w:pPr>
          </w:p>
        </w:tc>
        <w:tc>
          <w:tcPr>
            <w:tcW w:w="5" w:type="pct"/>
            <w:vAlign w:val="center"/>
            <w:hideMark/>
          </w:tcPr>
          <w:p w14:paraId="2AFE9F3B" w14:textId="77777777" w:rsidR="00000000" w:rsidRDefault="00A173A8">
            <w:pPr>
              <w:spacing w:after="100"/>
              <w:rPr>
                <w:rFonts w:eastAsia="Times New Roman"/>
                <w:sz w:val="20"/>
                <w:szCs w:val="20"/>
              </w:rPr>
            </w:pPr>
          </w:p>
        </w:tc>
        <w:tc>
          <w:tcPr>
            <w:tcW w:w="5" w:type="pct"/>
            <w:vAlign w:val="center"/>
            <w:hideMark/>
          </w:tcPr>
          <w:p w14:paraId="052F62AB" w14:textId="77777777" w:rsidR="00000000" w:rsidRDefault="00A173A8">
            <w:pPr>
              <w:spacing w:after="100"/>
              <w:rPr>
                <w:rFonts w:eastAsia="Times New Roman"/>
                <w:sz w:val="20"/>
                <w:szCs w:val="20"/>
              </w:rPr>
            </w:pPr>
          </w:p>
        </w:tc>
        <w:tc>
          <w:tcPr>
            <w:tcW w:w="26" w:type="pct"/>
            <w:vAlign w:val="center"/>
            <w:hideMark/>
          </w:tcPr>
          <w:p w14:paraId="05E8F17F" w14:textId="77777777" w:rsidR="00000000" w:rsidRDefault="00A173A8">
            <w:pPr>
              <w:spacing w:after="100"/>
              <w:rPr>
                <w:rFonts w:eastAsia="Times New Roman"/>
                <w:sz w:val="20"/>
                <w:szCs w:val="20"/>
              </w:rPr>
            </w:pPr>
          </w:p>
        </w:tc>
        <w:tc>
          <w:tcPr>
            <w:tcW w:w="5" w:type="pct"/>
            <w:vAlign w:val="center"/>
            <w:hideMark/>
          </w:tcPr>
          <w:p w14:paraId="54855187" w14:textId="77777777" w:rsidR="00000000" w:rsidRDefault="00A173A8">
            <w:pPr>
              <w:spacing w:after="100"/>
              <w:rPr>
                <w:rFonts w:eastAsia="Times New Roman"/>
                <w:sz w:val="20"/>
                <w:szCs w:val="20"/>
              </w:rPr>
            </w:pPr>
          </w:p>
        </w:tc>
        <w:tc>
          <w:tcPr>
            <w:tcW w:w="50" w:type="pct"/>
            <w:vAlign w:val="center"/>
            <w:hideMark/>
          </w:tcPr>
          <w:p w14:paraId="19959152" w14:textId="77777777" w:rsidR="00000000" w:rsidRDefault="00A173A8">
            <w:pPr>
              <w:spacing w:after="100"/>
              <w:rPr>
                <w:rFonts w:eastAsia="Times New Roman"/>
                <w:sz w:val="20"/>
                <w:szCs w:val="20"/>
              </w:rPr>
            </w:pPr>
          </w:p>
        </w:tc>
        <w:tc>
          <w:tcPr>
            <w:tcW w:w="442" w:type="pct"/>
            <w:vAlign w:val="center"/>
            <w:hideMark/>
          </w:tcPr>
          <w:p w14:paraId="19F4B223" w14:textId="77777777" w:rsidR="00000000" w:rsidRDefault="00A173A8">
            <w:pPr>
              <w:spacing w:after="100"/>
              <w:rPr>
                <w:rFonts w:eastAsia="Times New Roman"/>
                <w:sz w:val="20"/>
                <w:szCs w:val="20"/>
              </w:rPr>
            </w:pPr>
          </w:p>
        </w:tc>
        <w:tc>
          <w:tcPr>
            <w:tcW w:w="5" w:type="pct"/>
            <w:vAlign w:val="center"/>
            <w:hideMark/>
          </w:tcPr>
          <w:p w14:paraId="5B6296CB" w14:textId="77777777" w:rsidR="00000000" w:rsidRDefault="00A173A8">
            <w:pPr>
              <w:spacing w:after="100"/>
              <w:rPr>
                <w:rFonts w:eastAsia="Times New Roman"/>
                <w:sz w:val="20"/>
                <w:szCs w:val="20"/>
              </w:rPr>
            </w:pPr>
          </w:p>
        </w:tc>
        <w:tc>
          <w:tcPr>
            <w:tcW w:w="0" w:type="auto"/>
            <w:vAlign w:val="center"/>
            <w:hideMark/>
          </w:tcPr>
          <w:p w14:paraId="703FDEC8" w14:textId="77777777" w:rsidR="00000000" w:rsidRDefault="00A173A8">
            <w:pPr>
              <w:spacing w:after="100"/>
              <w:rPr>
                <w:rFonts w:eastAsia="Times New Roman"/>
                <w:sz w:val="20"/>
                <w:szCs w:val="20"/>
              </w:rPr>
            </w:pPr>
          </w:p>
        </w:tc>
        <w:tc>
          <w:tcPr>
            <w:tcW w:w="0" w:type="auto"/>
            <w:vAlign w:val="center"/>
            <w:hideMark/>
          </w:tcPr>
          <w:p w14:paraId="5D529438" w14:textId="77777777" w:rsidR="00000000" w:rsidRDefault="00A173A8">
            <w:pPr>
              <w:spacing w:after="100"/>
              <w:rPr>
                <w:rFonts w:eastAsia="Times New Roman"/>
                <w:sz w:val="20"/>
                <w:szCs w:val="20"/>
              </w:rPr>
            </w:pPr>
          </w:p>
        </w:tc>
        <w:tc>
          <w:tcPr>
            <w:tcW w:w="0" w:type="auto"/>
            <w:gridSpan w:val="3"/>
            <w:vAlign w:val="center"/>
            <w:hideMark/>
          </w:tcPr>
          <w:p w14:paraId="440D0208" w14:textId="77777777" w:rsidR="00000000" w:rsidRDefault="00A173A8">
            <w:pPr>
              <w:spacing w:after="100"/>
              <w:rPr>
                <w:rFonts w:eastAsia="Times New Roman"/>
                <w:sz w:val="20"/>
                <w:szCs w:val="20"/>
              </w:rPr>
            </w:pPr>
          </w:p>
        </w:tc>
        <w:tc>
          <w:tcPr>
            <w:tcW w:w="0" w:type="auto"/>
            <w:gridSpan w:val="3"/>
            <w:vAlign w:val="center"/>
            <w:hideMark/>
          </w:tcPr>
          <w:p w14:paraId="4213D701" w14:textId="77777777" w:rsidR="00000000" w:rsidRDefault="00A173A8">
            <w:pPr>
              <w:spacing w:after="100"/>
              <w:rPr>
                <w:rFonts w:eastAsia="Times New Roman"/>
                <w:sz w:val="20"/>
                <w:szCs w:val="20"/>
              </w:rPr>
            </w:pPr>
          </w:p>
        </w:tc>
        <w:tc>
          <w:tcPr>
            <w:tcW w:w="0" w:type="auto"/>
            <w:gridSpan w:val="3"/>
            <w:vAlign w:val="center"/>
            <w:hideMark/>
          </w:tcPr>
          <w:p w14:paraId="0E2C2300" w14:textId="77777777" w:rsidR="00000000" w:rsidRDefault="00A173A8">
            <w:pPr>
              <w:spacing w:after="100"/>
              <w:rPr>
                <w:rFonts w:eastAsia="Times New Roman"/>
                <w:sz w:val="20"/>
                <w:szCs w:val="20"/>
              </w:rPr>
            </w:pPr>
          </w:p>
        </w:tc>
        <w:tc>
          <w:tcPr>
            <w:tcW w:w="0" w:type="auto"/>
            <w:gridSpan w:val="3"/>
            <w:vAlign w:val="center"/>
            <w:hideMark/>
          </w:tcPr>
          <w:p w14:paraId="4E475E1D" w14:textId="77777777" w:rsidR="00000000" w:rsidRDefault="00A173A8">
            <w:pPr>
              <w:spacing w:after="100"/>
              <w:rPr>
                <w:rFonts w:eastAsia="Times New Roman"/>
                <w:sz w:val="20"/>
                <w:szCs w:val="20"/>
              </w:rPr>
            </w:pPr>
          </w:p>
        </w:tc>
      </w:tr>
      <w:tr w:rsidR="00000000" w14:paraId="49550F48" w14:textId="77777777">
        <w:trPr>
          <w:divId w:val="955254798"/>
        </w:trPr>
        <w:tc>
          <w:tcPr>
            <w:tcW w:w="0" w:type="auto"/>
            <w:gridSpan w:val="3"/>
            <w:tcMar>
              <w:top w:w="0" w:type="dxa"/>
              <w:left w:w="20" w:type="dxa"/>
              <w:bottom w:w="0" w:type="dxa"/>
              <w:right w:w="20" w:type="dxa"/>
            </w:tcMar>
            <w:vAlign w:val="center"/>
            <w:hideMark/>
          </w:tcPr>
          <w:p w14:paraId="4526F8B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1FEE88" w14:textId="77777777" w:rsidR="00000000" w:rsidRDefault="00A173A8">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center"/>
            <w:hideMark/>
          </w:tcPr>
          <w:p w14:paraId="7B0E8269"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vAlign w:val="center"/>
            <w:hideMark/>
          </w:tcPr>
          <w:p w14:paraId="76AE0063" w14:textId="77777777" w:rsidR="00000000" w:rsidRDefault="00A173A8">
            <w:pPr>
              <w:spacing w:after="100"/>
              <w:jc w:val="center"/>
              <w:rPr>
                <w:rFonts w:eastAsia="Times New Roman"/>
              </w:rPr>
            </w:pPr>
          </w:p>
        </w:tc>
        <w:tc>
          <w:tcPr>
            <w:tcW w:w="0" w:type="auto"/>
            <w:vAlign w:val="center"/>
            <w:hideMark/>
          </w:tcPr>
          <w:p w14:paraId="0C51CBAE" w14:textId="77777777" w:rsidR="00000000" w:rsidRDefault="00A173A8">
            <w:pPr>
              <w:spacing w:after="100"/>
              <w:rPr>
                <w:rFonts w:eastAsia="Times New Roman"/>
                <w:sz w:val="20"/>
                <w:szCs w:val="20"/>
              </w:rPr>
            </w:pPr>
          </w:p>
        </w:tc>
        <w:tc>
          <w:tcPr>
            <w:tcW w:w="0" w:type="auto"/>
            <w:gridSpan w:val="3"/>
            <w:vAlign w:val="center"/>
            <w:hideMark/>
          </w:tcPr>
          <w:p w14:paraId="38FF9379" w14:textId="77777777" w:rsidR="00000000" w:rsidRDefault="00A173A8">
            <w:pPr>
              <w:spacing w:after="100"/>
              <w:rPr>
                <w:rFonts w:eastAsia="Times New Roman"/>
                <w:sz w:val="20"/>
                <w:szCs w:val="20"/>
              </w:rPr>
            </w:pPr>
          </w:p>
        </w:tc>
        <w:tc>
          <w:tcPr>
            <w:tcW w:w="0" w:type="auto"/>
            <w:gridSpan w:val="3"/>
            <w:vAlign w:val="center"/>
            <w:hideMark/>
          </w:tcPr>
          <w:p w14:paraId="3FC96AD0" w14:textId="77777777" w:rsidR="00000000" w:rsidRDefault="00A173A8">
            <w:pPr>
              <w:spacing w:after="100"/>
              <w:rPr>
                <w:rFonts w:eastAsia="Times New Roman"/>
                <w:sz w:val="20"/>
                <w:szCs w:val="20"/>
              </w:rPr>
            </w:pPr>
          </w:p>
        </w:tc>
        <w:tc>
          <w:tcPr>
            <w:tcW w:w="0" w:type="auto"/>
            <w:gridSpan w:val="3"/>
            <w:vAlign w:val="center"/>
            <w:hideMark/>
          </w:tcPr>
          <w:p w14:paraId="2D138FF2" w14:textId="77777777" w:rsidR="00000000" w:rsidRDefault="00A173A8">
            <w:pPr>
              <w:spacing w:after="100"/>
              <w:rPr>
                <w:rFonts w:eastAsia="Times New Roman"/>
                <w:sz w:val="20"/>
                <w:szCs w:val="20"/>
              </w:rPr>
            </w:pPr>
          </w:p>
        </w:tc>
        <w:tc>
          <w:tcPr>
            <w:tcW w:w="0" w:type="auto"/>
            <w:gridSpan w:val="3"/>
            <w:vAlign w:val="center"/>
            <w:hideMark/>
          </w:tcPr>
          <w:p w14:paraId="6285FD58" w14:textId="77777777" w:rsidR="00000000" w:rsidRDefault="00A173A8">
            <w:pPr>
              <w:spacing w:after="100"/>
              <w:rPr>
                <w:rFonts w:eastAsia="Times New Roman"/>
                <w:sz w:val="20"/>
                <w:szCs w:val="20"/>
              </w:rPr>
            </w:pPr>
          </w:p>
        </w:tc>
      </w:tr>
      <w:tr w:rsidR="00000000" w14:paraId="472EBDD8" w14:textId="77777777">
        <w:trPr>
          <w:divId w:val="955254798"/>
        </w:trPr>
        <w:tc>
          <w:tcPr>
            <w:tcW w:w="0" w:type="auto"/>
            <w:gridSpan w:val="3"/>
            <w:tcMar>
              <w:top w:w="0" w:type="dxa"/>
              <w:left w:w="20" w:type="dxa"/>
              <w:bottom w:w="0" w:type="dxa"/>
              <w:right w:w="20" w:type="dxa"/>
            </w:tcMar>
            <w:vAlign w:val="center"/>
            <w:hideMark/>
          </w:tcPr>
          <w:p w14:paraId="5F380FB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C032DB" w14:textId="77777777" w:rsidR="00000000" w:rsidRDefault="00A173A8">
            <w:pPr>
              <w:spacing w:after="100"/>
              <w:rPr>
                <w:rFonts w:eastAsia="Times New Roman"/>
                <w:sz w:val="20"/>
                <w:szCs w:val="20"/>
              </w:rPr>
            </w:pPr>
          </w:p>
        </w:tc>
        <w:tc>
          <w:tcPr>
            <w:tcW w:w="0" w:type="auto"/>
            <w:gridSpan w:val="15"/>
            <w:tcBorders>
              <w:top w:val="single" w:sz="8" w:space="0" w:color="000000"/>
              <w:bottom w:val="single" w:sz="8" w:space="0" w:color="000000"/>
            </w:tcBorders>
            <w:tcMar>
              <w:top w:w="30" w:type="dxa"/>
              <w:left w:w="20" w:type="dxa"/>
              <w:bottom w:w="30" w:type="dxa"/>
              <w:right w:w="20" w:type="dxa"/>
            </w:tcMar>
            <w:vAlign w:val="center"/>
            <w:hideMark/>
          </w:tcPr>
          <w:p w14:paraId="5C6BBEB1"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C7F82EA" w14:textId="77777777" w:rsidR="00000000" w:rsidRDefault="00A173A8">
            <w:pPr>
              <w:spacing w:after="100"/>
              <w:jc w:val="center"/>
              <w:rPr>
                <w:rFonts w:eastAsia="Times New Roman"/>
              </w:rPr>
            </w:pPr>
          </w:p>
        </w:tc>
        <w:tc>
          <w:tcPr>
            <w:tcW w:w="0" w:type="auto"/>
            <w:gridSpan w:val="15"/>
            <w:tcBorders>
              <w:top w:val="single" w:sz="8" w:space="0" w:color="000000"/>
              <w:bottom w:val="single" w:sz="8" w:space="0" w:color="000000"/>
            </w:tcBorders>
            <w:tcMar>
              <w:top w:w="30" w:type="dxa"/>
              <w:left w:w="20" w:type="dxa"/>
              <w:bottom w:w="30" w:type="dxa"/>
              <w:right w:w="20" w:type="dxa"/>
            </w:tcMar>
            <w:vAlign w:val="center"/>
            <w:hideMark/>
          </w:tcPr>
          <w:p w14:paraId="32CE1317"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26BF2928" w14:textId="77777777" w:rsidR="00000000" w:rsidRDefault="00A173A8">
            <w:pPr>
              <w:spacing w:after="100"/>
              <w:jc w:val="center"/>
              <w:rPr>
                <w:rFonts w:eastAsia="Times New Roman"/>
              </w:rPr>
            </w:pPr>
          </w:p>
        </w:tc>
        <w:tc>
          <w:tcPr>
            <w:tcW w:w="0" w:type="auto"/>
            <w:vAlign w:val="center"/>
            <w:hideMark/>
          </w:tcPr>
          <w:p w14:paraId="0E9AA82B" w14:textId="77777777" w:rsidR="00000000" w:rsidRDefault="00A173A8">
            <w:pPr>
              <w:spacing w:after="100"/>
              <w:rPr>
                <w:rFonts w:eastAsia="Times New Roman"/>
                <w:sz w:val="20"/>
                <w:szCs w:val="20"/>
              </w:rPr>
            </w:pPr>
          </w:p>
        </w:tc>
        <w:tc>
          <w:tcPr>
            <w:tcW w:w="0" w:type="auto"/>
            <w:vAlign w:val="center"/>
            <w:hideMark/>
          </w:tcPr>
          <w:p w14:paraId="5E323BC8" w14:textId="77777777" w:rsidR="00000000" w:rsidRDefault="00A173A8">
            <w:pPr>
              <w:spacing w:after="100"/>
              <w:rPr>
                <w:rFonts w:eastAsia="Times New Roman"/>
                <w:sz w:val="20"/>
                <w:szCs w:val="20"/>
              </w:rPr>
            </w:pPr>
          </w:p>
        </w:tc>
        <w:tc>
          <w:tcPr>
            <w:tcW w:w="0" w:type="auto"/>
            <w:vAlign w:val="center"/>
            <w:hideMark/>
          </w:tcPr>
          <w:p w14:paraId="482C5068" w14:textId="77777777" w:rsidR="00000000" w:rsidRDefault="00A173A8">
            <w:pPr>
              <w:spacing w:after="100"/>
              <w:rPr>
                <w:rFonts w:eastAsia="Times New Roman"/>
                <w:sz w:val="20"/>
                <w:szCs w:val="20"/>
              </w:rPr>
            </w:pPr>
          </w:p>
        </w:tc>
        <w:tc>
          <w:tcPr>
            <w:tcW w:w="0" w:type="auto"/>
            <w:vAlign w:val="center"/>
            <w:hideMark/>
          </w:tcPr>
          <w:p w14:paraId="67157D12" w14:textId="77777777" w:rsidR="00000000" w:rsidRDefault="00A173A8">
            <w:pPr>
              <w:spacing w:after="100"/>
              <w:rPr>
                <w:rFonts w:eastAsia="Times New Roman"/>
                <w:sz w:val="20"/>
                <w:szCs w:val="20"/>
              </w:rPr>
            </w:pPr>
          </w:p>
        </w:tc>
        <w:tc>
          <w:tcPr>
            <w:tcW w:w="0" w:type="auto"/>
            <w:vAlign w:val="center"/>
            <w:hideMark/>
          </w:tcPr>
          <w:p w14:paraId="3E6C0CD5" w14:textId="77777777" w:rsidR="00000000" w:rsidRDefault="00A173A8">
            <w:pPr>
              <w:spacing w:after="100"/>
              <w:rPr>
                <w:rFonts w:eastAsia="Times New Roman"/>
                <w:sz w:val="20"/>
                <w:szCs w:val="20"/>
              </w:rPr>
            </w:pPr>
          </w:p>
        </w:tc>
        <w:tc>
          <w:tcPr>
            <w:tcW w:w="0" w:type="auto"/>
            <w:vAlign w:val="center"/>
            <w:hideMark/>
          </w:tcPr>
          <w:p w14:paraId="5235136E" w14:textId="77777777" w:rsidR="00000000" w:rsidRDefault="00A173A8">
            <w:pPr>
              <w:spacing w:after="100"/>
              <w:rPr>
                <w:rFonts w:eastAsia="Times New Roman"/>
                <w:sz w:val="20"/>
                <w:szCs w:val="20"/>
              </w:rPr>
            </w:pPr>
          </w:p>
        </w:tc>
        <w:tc>
          <w:tcPr>
            <w:tcW w:w="0" w:type="auto"/>
            <w:vAlign w:val="center"/>
            <w:hideMark/>
          </w:tcPr>
          <w:p w14:paraId="59374ACF" w14:textId="77777777" w:rsidR="00000000" w:rsidRDefault="00A173A8">
            <w:pPr>
              <w:spacing w:after="100"/>
              <w:rPr>
                <w:rFonts w:eastAsia="Times New Roman"/>
                <w:sz w:val="20"/>
                <w:szCs w:val="20"/>
              </w:rPr>
            </w:pPr>
          </w:p>
        </w:tc>
        <w:tc>
          <w:tcPr>
            <w:tcW w:w="0" w:type="auto"/>
            <w:vAlign w:val="center"/>
            <w:hideMark/>
          </w:tcPr>
          <w:p w14:paraId="393DDDF6" w14:textId="77777777" w:rsidR="00000000" w:rsidRDefault="00A173A8">
            <w:pPr>
              <w:spacing w:after="100"/>
              <w:rPr>
                <w:rFonts w:eastAsia="Times New Roman"/>
                <w:sz w:val="20"/>
                <w:szCs w:val="20"/>
              </w:rPr>
            </w:pPr>
          </w:p>
        </w:tc>
        <w:tc>
          <w:tcPr>
            <w:tcW w:w="0" w:type="auto"/>
            <w:vAlign w:val="center"/>
            <w:hideMark/>
          </w:tcPr>
          <w:p w14:paraId="1578FC63" w14:textId="77777777" w:rsidR="00000000" w:rsidRDefault="00A173A8">
            <w:pPr>
              <w:spacing w:after="100"/>
              <w:rPr>
                <w:rFonts w:eastAsia="Times New Roman"/>
                <w:sz w:val="20"/>
                <w:szCs w:val="20"/>
              </w:rPr>
            </w:pPr>
          </w:p>
        </w:tc>
        <w:tc>
          <w:tcPr>
            <w:tcW w:w="0" w:type="auto"/>
            <w:vAlign w:val="center"/>
            <w:hideMark/>
          </w:tcPr>
          <w:p w14:paraId="5D772985" w14:textId="77777777" w:rsidR="00000000" w:rsidRDefault="00A173A8">
            <w:pPr>
              <w:spacing w:after="100"/>
              <w:rPr>
                <w:rFonts w:eastAsia="Times New Roman"/>
                <w:sz w:val="20"/>
                <w:szCs w:val="20"/>
              </w:rPr>
            </w:pPr>
          </w:p>
        </w:tc>
        <w:tc>
          <w:tcPr>
            <w:tcW w:w="0" w:type="auto"/>
            <w:vAlign w:val="center"/>
            <w:hideMark/>
          </w:tcPr>
          <w:p w14:paraId="3F80BF10" w14:textId="77777777" w:rsidR="00000000" w:rsidRDefault="00A173A8">
            <w:pPr>
              <w:spacing w:after="100"/>
              <w:rPr>
                <w:rFonts w:eastAsia="Times New Roman"/>
                <w:sz w:val="20"/>
                <w:szCs w:val="20"/>
              </w:rPr>
            </w:pPr>
          </w:p>
        </w:tc>
        <w:tc>
          <w:tcPr>
            <w:tcW w:w="0" w:type="auto"/>
            <w:vAlign w:val="center"/>
            <w:hideMark/>
          </w:tcPr>
          <w:p w14:paraId="492EAA4B" w14:textId="77777777" w:rsidR="00000000" w:rsidRDefault="00A173A8">
            <w:pPr>
              <w:spacing w:after="100"/>
              <w:rPr>
                <w:rFonts w:eastAsia="Times New Roman"/>
                <w:sz w:val="20"/>
                <w:szCs w:val="20"/>
              </w:rPr>
            </w:pPr>
          </w:p>
        </w:tc>
        <w:tc>
          <w:tcPr>
            <w:tcW w:w="0" w:type="auto"/>
            <w:vAlign w:val="center"/>
            <w:hideMark/>
          </w:tcPr>
          <w:p w14:paraId="1E47E527" w14:textId="77777777" w:rsidR="00000000" w:rsidRDefault="00A173A8">
            <w:pPr>
              <w:spacing w:after="100"/>
              <w:rPr>
                <w:rFonts w:eastAsia="Times New Roman"/>
                <w:sz w:val="20"/>
                <w:szCs w:val="20"/>
              </w:rPr>
            </w:pPr>
          </w:p>
        </w:tc>
      </w:tr>
      <w:tr w:rsidR="00000000" w14:paraId="037A1649" w14:textId="77777777">
        <w:trPr>
          <w:divId w:val="955254798"/>
        </w:trPr>
        <w:tc>
          <w:tcPr>
            <w:tcW w:w="0" w:type="auto"/>
            <w:gridSpan w:val="3"/>
            <w:tcMar>
              <w:top w:w="30" w:type="dxa"/>
              <w:left w:w="20" w:type="dxa"/>
              <w:bottom w:w="30" w:type="dxa"/>
              <w:right w:w="20" w:type="dxa"/>
            </w:tcMar>
            <w:vAlign w:val="bottom"/>
            <w:hideMark/>
          </w:tcPr>
          <w:p w14:paraId="6735D58B"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174E19AE"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3BD612"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54902A4F"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B3F443" w14:textId="77777777" w:rsidR="00000000" w:rsidRDefault="00A173A8">
            <w:pPr>
              <w:spacing w:after="100"/>
              <w:jc w:val="center"/>
              <w:rPr>
                <w:rFonts w:eastAsia="Times New Roman"/>
              </w:rPr>
            </w:pPr>
            <w:r>
              <w:rPr>
                <w:rFonts w:eastAsia="Times New Roman"/>
                <w:b/>
                <w:bCs/>
                <w:color w:val="000000"/>
                <w:sz w:val="20"/>
                <w:szCs w:val="20"/>
              </w:rPr>
              <w:t>Interest</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47AE86D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7760B7"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Deposits</w:t>
            </w:r>
            <w:r>
              <w:rPr>
                <w:rFonts w:eastAsia="Times New Roman"/>
                <w:b/>
                <w:bCs/>
                <w:color w:val="000000"/>
                <w:sz w:val="20"/>
                <w:szCs w:val="20"/>
              </w:rPr>
              <w:br/>
              <w:t>Interest Rate</w:t>
            </w:r>
          </w:p>
        </w:tc>
        <w:tc>
          <w:tcPr>
            <w:tcW w:w="0" w:type="auto"/>
            <w:gridSpan w:val="3"/>
            <w:tcMar>
              <w:top w:w="0" w:type="dxa"/>
              <w:left w:w="20" w:type="dxa"/>
              <w:bottom w:w="0" w:type="dxa"/>
              <w:right w:w="20" w:type="dxa"/>
            </w:tcMar>
            <w:vAlign w:val="center"/>
            <w:hideMark/>
          </w:tcPr>
          <w:p w14:paraId="37C5FCF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8630D9"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Balance</w:t>
            </w:r>
          </w:p>
        </w:tc>
        <w:tc>
          <w:tcPr>
            <w:tcW w:w="0" w:type="auto"/>
            <w:gridSpan w:val="3"/>
            <w:tcBorders>
              <w:top w:val="single" w:sz="8" w:space="0" w:color="000000"/>
            </w:tcBorders>
            <w:tcMar>
              <w:top w:w="0" w:type="dxa"/>
              <w:left w:w="20" w:type="dxa"/>
              <w:bottom w:w="0" w:type="dxa"/>
              <w:right w:w="20" w:type="dxa"/>
            </w:tcMar>
            <w:vAlign w:val="center"/>
            <w:hideMark/>
          </w:tcPr>
          <w:p w14:paraId="540CD99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051B47" w14:textId="77777777" w:rsidR="00000000" w:rsidRDefault="00A173A8">
            <w:pPr>
              <w:spacing w:after="100"/>
              <w:jc w:val="center"/>
              <w:rPr>
                <w:rFonts w:eastAsia="Times New Roman"/>
              </w:rPr>
            </w:pPr>
            <w:r>
              <w:rPr>
                <w:rFonts w:eastAsia="Times New Roman"/>
                <w:b/>
                <w:bCs/>
                <w:color w:val="000000"/>
                <w:sz w:val="20"/>
                <w:szCs w:val="20"/>
              </w:rPr>
              <w:t>Interest</w:t>
            </w:r>
            <w:r>
              <w:rPr>
                <w:rFonts w:eastAsia="Times New Roman"/>
                <w:b/>
                <w:bCs/>
                <w:color w:val="000000"/>
                <w:sz w:val="20"/>
                <w:szCs w:val="20"/>
              </w:rPr>
              <w:br/>
              <w:t>Expense</w:t>
            </w:r>
          </w:p>
        </w:tc>
        <w:tc>
          <w:tcPr>
            <w:tcW w:w="0" w:type="auto"/>
            <w:gridSpan w:val="3"/>
            <w:tcBorders>
              <w:top w:val="single" w:sz="8" w:space="0" w:color="000000"/>
            </w:tcBorders>
            <w:tcMar>
              <w:top w:w="0" w:type="dxa"/>
              <w:left w:w="20" w:type="dxa"/>
              <w:bottom w:w="0" w:type="dxa"/>
              <w:right w:w="20" w:type="dxa"/>
            </w:tcMar>
            <w:vAlign w:val="center"/>
            <w:hideMark/>
          </w:tcPr>
          <w:p w14:paraId="3AF431F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2D6290" w14:textId="77777777" w:rsidR="00000000" w:rsidRDefault="00A173A8">
            <w:pPr>
              <w:spacing w:after="100"/>
              <w:jc w:val="center"/>
              <w:rPr>
                <w:rFonts w:eastAsia="Times New Roman"/>
              </w:rPr>
            </w:pPr>
            <w:r>
              <w:rPr>
                <w:rFonts w:eastAsia="Times New Roman"/>
                <w:b/>
                <w:bCs/>
                <w:color w:val="000000"/>
                <w:sz w:val="20"/>
                <w:szCs w:val="20"/>
              </w:rPr>
              <w:t>Average</w:t>
            </w:r>
            <w:r>
              <w:rPr>
                <w:rFonts w:eastAsia="Times New Roman"/>
                <w:b/>
                <w:bCs/>
                <w:color w:val="000000"/>
                <w:sz w:val="20"/>
                <w:szCs w:val="20"/>
              </w:rPr>
              <w:br/>
              <w:t>Deposits</w:t>
            </w:r>
            <w:r>
              <w:rPr>
                <w:rFonts w:eastAsia="Times New Roman"/>
                <w:b/>
                <w:bCs/>
                <w:color w:val="000000"/>
                <w:sz w:val="20"/>
                <w:szCs w:val="20"/>
              </w:rPr>
              <w:br/>
              <w:t>Interest Rate</w:t>
            </w:r>
          </w:p>
        </w:tc>
        <w:tc>
          <w:tcPr>
            <w:tcW w:w="0" w:type="auto"/>
            <w:vAlign w:val="center"/>
            <w:hideMark/>
          </w:tcPr>
          <w:p w14:paraId="792B10FD" w14:textId="77777777" w:rsidR="00000000" w:rsidRDefault="00A173A8">
            <w:pPr>
              <w:spacing w:after="100"/>
              <w:jc w:val="center"/>
              <w:rPr>
                <w:rFonts w:eastAsia="Times New Roman"/>
              </w:rPr>
            </w:pPr>
          </w:p>
        </w:tc>
        <w:tc>
          <w:tcPr>
            <w:tcW w:w="0" w:type="auto"/>
            <w:vAlign w:val="center"/>
            <w:hideMark/>
          </w:tcPr>
          <w:p w14:paraId="0437C295" w14:textId="77777777" w:rsidR="00000000" w:rsidRDefault="00A173A8">
            <w:pPr>
              <w:spacing w:after="100"/>
              <w:rPr>
                <w:rFonts w:eastAsia="Times New Roman"/>
                <w:sz w:val="20"/>
                <w:szCs w:val="20"/>
              </w:rPr>
            </w:pPr>
          </w:p>
        </w:tc>
        <w:tc>
          <w:tcPr>
            <w:tcW w:w="0" w:type="auto"/>
            <w:gridSpan w:val="3"/>
            <w:vAlign w:val="center"/>
            <w:hideMark/>
          </w:tcPr>
          <w:p w14:paraId="6A308D97" w14:textId="77777777" w:rsidR="00000000" w:rsidRDefault="00A173A8">
            <w:pPr>
              <w:spacing w:after="100"/>
              <w:rPr>
                <w:rFonts w:eastAsia="Times New Roman"/>
                <w:sz w:val="20"/>
                <w:szCs w:val="20"/>
              </w:rPr>
            </w:pPr>
          </w:p>
        </w:tc>
        <w:tc>
          <w:tcPr>
            <w:tcW w:w="0" w:type="auto"/>
            <w:gridSpan w:val="3"/>
            <w:vAlign w:val="center"/>
            <w:hideMark/>
          </w:tcPr>
          <w:p w14:paraId="63B4D449" w14:textId="77777777" w:rsidR="00000000" w:rsidRDefault="00A173A8">
            <w:pPr>
              <w:spacing w:after="100"/>
              <w:rPr>
                <w:rFonts w:eastAsia="Times New Roman"/>
                <w:sz w:val="20"/>
                <w:szCs w:val="20"/>
              </w:rPr>
            </w:pPr>
          </w:p>
        </w:tc>
        <w:tc>
          <w:tcPr>
            <w:tcW w:w="0" w:type="auto"/>
            <w:gridSpan w:val="3"/>
            <w:vAlign w:val="center"/>
            <w:hideMark/>
          </w:tcPr>
          <w:p w14:paraId="2B40ED15" w14:textId="77777777" w:rsidR="00000000" w:rsidRDefault="00A173A8">
            <w:pPr>
              <w:spacing w:after="100"/>
              <w:rPr>
                <w:rFonts w:eastAsia="Times New Roman"/>
                <w:sz w:val="20"/>
                <w:szCs w:val="20"/>
              </w:rPr>
            </w:pPr>
          </w:p>
        </w:tc>
        <w:tc>
          <w:tcPr>
            <w:tcW w:w="0" w:type="auto"/>
            <w:gridSpan w:val="3"/>
            <w:vAlign w:val="center"/>
            <w:hideMark/>
          </w:tcPr>
          <w:p w14:paraId="74D3FC11" w14:textId="77777777" w:rsidR="00000000" w:rsidRDefault="00A173A8">
            <w:pPr>
              <w:spacing w:after="100"/>
              <w:rPr>
                <w:rFonts w:eastAsia="Times New Roman"/>
                <w:sz w:val="20"/>
                <w:szCs w:val="20"/>
              </w:rPr>
            </w:pPr>
          </w:p>
        </w:tc>
      </w:tr>
      <w:tr w:rsidR="00000000" w14:paraId="2158CB12" w14:textId="77777777">
        <w:trPr>
          <w:divId w:val="95525479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DB5969A" w14:textId="77777777" w:rsidR="00000000" w:rsidRDefault="00A173A8">
            <w:pPr>
              <w:spacing w:after="100"/>
              <w:divId w:val="958071125"/>
              <w:rPr>
                <w:rFonts w:eastAsia="Times New Roman"/>
              </w:rPr>
            </w:pPr>
            <w:r>
              <w:rPr>
                <w:rFonts w:eastAsia="Times New Roman"/>
                <w:color w:val="000000"/>
                <w:sz w:val="20"/>
                <w:szCs w:val="20"/>
              </w:rPr>
              <w:t>Interest-bearing checking account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A5F98F7"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07C21DD"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52BBE81" w14:textId="77777777" w:rsidR="00000000" w:rsidRDefault="00A173A8">
            <w:pPr>
              <w:spacing w:after="100"/>
              <w:jc w:val="right"/>
              <w:rPr>
                <w:rFonts w:eastAsia="Times New Roman"/>
              </w:rPr>
            </w:pPr>
            <w:r>
              <w:rPr>
                <w:rFonts w:eastAsia="Times New Roman"/>
                <w:b/>
                <w:bCs/>
                <w:color w:val="000000"/>
                <w:sz w:val="20"/>
                <w:szCs w:val="20"/>
              </w:rPr>
              <w:t>48,330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381C9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D2436"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E52DD85"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C09101C" w14:textId="77777777" w:rsidR="00000000" w:rsidRDefault="00A173A8">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BBBF0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9BC2D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D8D6E9F" w14:textId="77777777" w:rsidR="00000000" w:rsidRDefault="00A173A8">
            <w:pPr>
              <w:spacing w:after="100"/>
              <w:jc w:val="right"/>
              <w:rPr>
                <w:rFonts w:eastAsia="Times New Roman"/>
              </w:rPr>
            </w:pPr>
            <w:r>
              <w:rPr>
                <w:rFonts w:eastAsia="Times New Roman"/>
                <w:b/>
                <w:bCs/>
                <w:color w:val="000000"/>
                <w:sz w:val="20"/>
                <w:szCs w:val="20"/>
              </w:rPr>
              <w:t>0.20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D9810F"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438F83D"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980331"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BF5022" w14:textId="77777777" w:rsidR="00000000" w:rsidRDefault="00A173A8">
            <w:pPr>
              <w:spacing w:after="100"/>
              <w:jc w:val="right"/>
              <w:rPr>
                <w:rFonts w:eastAsia="Times New Roman"/>
              </w:rPr>
            </w:pPr>
            <w:r>
              <w:rPr>
                <w:rFonts w:eastAsia="Times New Roman"/>
                <w:color w:val="000000"/>
                <w:sz w:val="20"/>
                <w:szCs w:val="20"/>
              </w:rPr>
              <w:t>43,463 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72005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306B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A51B14"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0CB97D" w14:textId="77777777" w:rsidR="00000000" w:rsidRDefault="00A173A8">
            <w:pPr>
              <w:spacing w:after="100"/>
              <w:jc w:val="right"/>
              <w:rPr>
                <w:rFonts w:eastAsia="Times New Roman"/>
              </w:rPr>
            </w:pPr>
            <w:r>
              <w:rPr>
                <w:rFonts w:eastAsia="Times New Roman"/>
                <w:color w:val="000000"/>
                <w:sz w:val="20"/>
                <w:szCs w:val="20"/>
              </w:rPr>
              <w:t>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34C7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84F9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971B510" w14:textId="77777777" w:rsidR="00000000" w:rsidRDefault="00A173A8">
            <w:pPr>
              <w:spacing w:after="100"/>
              <w:jc w:val="right"/>
              <w:rPr>
                <w:rFonts w:eastAsia="Times New Roman"/>
              </w:rPr>
            </w:pPr>
            <w:r>
              <w:rPr>
                <w:rFonts w:eastAsia="Times New Roman"/>
                <w:color w:val="000000"/>
                <w:sz w:val="20"/>
                <w:szCs w:val="20"/>
              </w:rPr>
              <w:t>0.17 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3BE78D" w14:textId="77777777" w:rsidR="00000000" w:rsidRDefault="00A173A8">
            <w:pPr>
              <w:spacing w:after="100"/>
              <w:rPr>
                <w:rFonts w:eastAsia="Times New Roman"/>
              </w:rPr>
            </w:pPr>
            <w:r>
              <w:rPr>
                <w:rFonts w:eastAsia="Times New Roman"/>
                <w:color w:val="000000"/>
                <w:sz w:val="20"/>
                <w:szCs w:val="20"/>
              </w:rPr>
              <w:t>%</w:t>
            </w:r>
          </w:p>
        </w:tc>
        <w:tc>
          <w:tcPr>
            <w:tcW w:w="0" w:type="auto"/>
            <w:vAlign w:val="center"/>
            <w:hideMark/>
          </w:tcPr>
          <w:p w14:paraId="472EE3AA" w14:textId="77777777" w:rsidR="00000000" w:rsidRDefault="00A173A8">
            <w:pPr>
              <w:spacing w:after="100"/>
              <w:rPr>
                <w:rFonts w:eastAsia="Times New Roman"/>
              </w:rPr>
            </w:pPr>
          </w:p>
        </w:tc>
        <w:tc>
          <w:tcPr>
            <w:tcW w:w="0" w:type="auto"/>
            <w:vAlign w:val="center"/>
            <w:hideMark/>
          </w:tcPr>
          <w:p w14:paraId="6CE0C99F" w14:textId="77777777" w:rsidR="00000000" w:rsidRDefault="00A173A8">
            <w:pPr>
              <w:spacing w:after="100"/>
              <w:rPr>
                <w:rFonts w:eastAsia="Times New Roman"/>
                <w:sz w:val="20"/>
                <w:szCs w:val="20"/>
              </w:rPr>
            </w:pPr>
          </w:p>
        </w:tc>
        <w:tc>
          <w:tcPr>
            <w:tcW w:w="0" w:type="auto"/>
            <w:gridSpan w:val="3"/>
            <w:vAlign w:val="center"/>
            <w:hideMark/>
          </w:tcPr>
          <w:p w14:paraId="06A3C2F0" w14:textId="77777777" w:rsidR="00000000" w:rsidRDefault="00A173A8">
            <w:pPr>
              <w:spacing w:after="100"/>
              <w:rPr>
                <w:rFonts w:eastAsia="Times New Roman"/>
                <w:sz w:val="20"/>
                <w:szCs w:val="20"/>
              </w:rPr>
            </w:pPr>
          </w:p>
        </w:tc>
        <w:tc>
          <w:tcPr>
            <w:tcW w:w="0" w:type="auto"/>
            <w:gridSpan w:val="3"/>
            <w:vAlign w:val="center"/>
            <w:hideMark/>
          </w:tcPr>
          <w:p w14:paraId="537A3380" w14:textId="77777777" w:rsidR="00000000" w:rsidRDefault="00A173A8">
            <w:pPr>
              <w:spacing w:after="100"/>
              <w:rPr>
                <w:rFonts w:eastAsia="Times New Roman"/>
                <w:sz w:val="20"/>
                <w:szCs w:val="20"/>
              </w:rPr>
            </w:pPr>
          </w:p>
        </w:tc>
        <w:tc>
          <w:tcPr>
            <w:tcW w:w="0" w:type="auto"/>
            <w:gridSpan w:val="3"/>
            <w:vAlign w:val="center"/>
            <w:hideMark/>
          </w:tcPr>
          <w:p w14:paraId="121685D4" w14:textId="77777777" w:rsidR="00000000" w:rsidRDefault="00A173A8">
            <w:pPr>
              <w:spacing w:after="100"/>
              <w:rPr>
                <w:rFonts w:eastAsia="Times New Roman"/>
                <w:sz w:val="20"/>
                <w:szCs w:val="20"/>
              </w:rPr>
            </w:pPr>
          </w:p>
        </w:tc>
        <w:tc>
          <w:tcPr>
            <w:tcW w:w="0" w:type="auto"/>
            <w:gridSpan w:val="3"/>
            <w:vAlign w:val="center"/>
            <w:hideMark/>
          </w:tcPr>
          <w:p w14:paraId="0518BEB5" w14:textId="77777777" w:rsidR="00000000" w:rsidRDefault="00A173A8">
            <w:pPr>
              <w:spacing w:after="100"/>
              <w:rPr>
                <w:rFonts w:eastAsia="Times New Roman"/>
                <w:sz w:val="20"/>
                <w:szCs w:val="20"/>
              </w:rPr>
            </w:pPr>
          </w:p>
        </w:tc>
      </w:tr>
      <w:tr w:rsidR="00000000" w14:paraId="30A18D54" w14:textId="77777777">
        <w:trPr>
          <w:divId w:val="955254798"/>
        </w:trPr>
        <w:tc>
          <w:tcPr>
            <w:tcW w:w="0" w:type="auto"/>
            <w:gridSpan w:val="3"/>
            <w:shd w:val="clear" w:color="auto" w:fill="FFFFFF"/>
            <w:tcMar>
              <w:top w:w="30" w:type="dxa"/>
              <w:left w:w="20" w:type="dxa"/>
              <w:bottom w:w="30" w:type="dxa"/>
              <w:right w:w="20" w:type="dxa"/>
            </w:tcMar>
            <w:vAlign w:val="center"/>
            <w:hideMark/>
          </w:tcPr>
          <w:p w14:paraId="6673368C" w14:textId="77777777" w:rsidR="00000000" w:rsidRDefault="00A173A8">
            <w:pPr>
              <w:spacing w:after="100"/>
              <w:divId w:val="778064636"/>
              <w:rPr>
                <w:rFonts w:eastAsia="Times New Roman"/>
              </w:rPr>
            </w:pPr>
            <w:r>
              <w:rPr>
                <w:rFonts w:eastAsia="Times New Roman"/>
                <w:color w:val="000000"/>
                <w:sz w:val="20"/>
                <w:szCs w:val="20"/>
              </w:rPr>
              <w:t>Saving deposit</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6D007DD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E95B6E" w14:textId="77777777" w:rsidR="00000000" w:rsidRDefault="00A173A8">
            <w:pPr>
              <w:spacing w:after="100"/>
              <w:jc w:val="right"/>
              <w:rPr>
                <w:rFonts w:eastAsia="Times New Roman"/>
              </w:rPr>
            </w:pPr>
            <w:r>
              <w:rPr>
                <w:rFonts w:eastAsia="Times New Roman"/>
                <w:b/>
                <w:bCs/>
                <w:color w:val="000000"/>
                <w:sz w:val="20"/>
                <w:szCs w:val="20"/>
              </w:rPr>
              <w:t>203,651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16564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1DF2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9BBBB6" w14:textId="77777777" w:rsidR="00000000" w:rsidRDefault="00A173A8">
            <w:pPr>
              <w:spacing w:after="100"/>
              <w:jc w:val="right"/>
              <w:rPr>
                <w:rFonts w:eastAsia="Times New Roman"/>
              </w:rPr>
            </w:pPr>
            <w:r>
              <w:rPr>
                <w:rFonts w:eastAsia="Times New Roman"/>
                <w:b/>
                <w:bCs/>
                <w:color w:val="000000"/>
                <w:sz w:val="20"/>
                <w:szCs w:val="20"/>
              </w:rPr>
              <w:t>359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2A7CE5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7C964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9D39C2" w14:textId="77777777" w:rsidR="00000000" w:rsidRDefault="00A173A8">
            <w:pPr>
              <w:spacing w:after="100"/>
              <w:jc w:val="right"/>
              <w:rPr>
                <w:rFonts w:eastAsia="Times New Roman"/>
              </w:rPr>
            </w:pPr>
            <w:r>
              <w:rPr>
                <w:rFonts w:eastAsia="Times New Roman"/>
                <w:b/>
                <w:bCs/>
                <w:color w:val="000000"/>
                <w:sz w:val="20"/>
                <w:szCs w:val="20"/>
              </w:rPr>
              <w:t>0.35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CBD862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070F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8B1111" w14:textId="77777777" w:rsidR="00000000" w:rsidRDefault="00A173A8">
            <w:pPr>
              <w:spacing w:after="100"/>
              <w:jc w:val="right"/>
              <w:rPr>
                <w:rFonts w:eastAsia="Times New Roman"/>
              </w:rPr>
            </w:pPr>
            <w:r>
              <w:rPr>
                <w:rFonts w:eastAsia="Times New Roman"/>
                <w:color w:val="000000"/>
                <w:sz w:val="20"/>
                <w:szCs w:val="20"/>
              </w:rPr>
              <w:t>203,213 </w:t>
            </w:r>
          </w:p>
        </w:tc>
        <w:tc>
          <w:tcPr>
            <w:tcW w:w="0" w:type="auto"/>
            <w:shd w:val="clear" w:color="auto" w:fill="FFFFFF"/>
            <w:tcMar>
              <w:top w:w="30" w:type="dxa"/>
              <w:left w:w="0" w:type="dxa"/>
              <w:bottom w:w="30" w:type="dxa"/>
              <w:right w:w="20" w:type="dxa"/>
            </w:tcMar>
            <w:vAlign w:val="bottom"/>
            <w:hideMark/>
          </w:tcPr>
          <w:p w14:paraId="521AA8B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86C9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FBE34F" w14:textId="77777777" w:rsidR="00000000" w:rsidRDefault="00A173A8">
            <w:pPr>
              <w:spacing w:after="100"/>
              <w:jc w:val="right"/>
              <w:rPr>
                <w:rFonts w:eastAsia="Times New Roman"/>
              </w:rPr>
            </w:pPr>
            <w:r>
              <w:rPr>
                <w:rFonts w:eastAsia="Times New Roman"/>
                <w:color w:val="000000"/>
                <w:sz w:val="20"/>
                <w:szCs w:val="20"/>
              </w:rPr>
              <w:t>316 </w:t>
            </w:r>
          </w:p>
        </w:tc>
        <w:tc>
          <w:tcPr>
            <w:tcW w:w="0" w:type="auto"/>
            <w:shd w:val="clear" w:color="auto" w:fill="FFFFFF"/>
            <w:tcMar>
              <w:top w:w="30" w:type="dxa"/>
              <w:left w:w="0" w:type="dxa"/>
              <w:bottom w:w="30" w:type="dxa"/>
              <w:right w:w="20" w:type="dxa"/>
            </w:tcMar>
            <w:vAlign w:val="bottom"/>
            <w:hideMark/>
          </w:tcPr>
          <w:p w14:paraId="4C4C157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0E9F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7CCA93" w14:textId="77777777" w:rsidR="00000000" w:rsidRDefault="00A173A8">
            <w:pPr>
              <w:spacing w:after="100"/>
              <w:jc w:val="right"/>
              <w:rPr>
                <w:rFonts w:eastAsia="Times New Roman"/>
              </w:rPr>
            </w:pPr>
            <w:r>
              <w:rPr>
                <w:rFonts w:eastAsia="Times New Roman"/>
                <w:color w:val="000000"/>
                <w:sz w:val="20"/>
                <w:szCs w:val="20"/>
              </w:rPr>
              <w:t>0.31 </w:t>
            </w:r>
          </w:p>
        </w:tc>
        <w:tc>
          <w:tcPr>
            <w:tcW w:w="0" w:type="auto"/>
            <w:shd w:val="clear" w:color="auto" w:fill="FFFFFF"/>
            <w:tcMar>
              <w:top w:w="30" w:type="dxa"/>
              <w:left w:w="0" w:type="dxa"/>
              <w:bottom w:w="30" w:type="dxa"/>
              <w:right w:w="20" w:type="dxa"/>
            </w:tcMar>
            <w:vAlign w:val="center"/>
            <w:hideMark/>
          </w:tcPr>
          <w:p w14:paraId="4674506E" w14:textId="77777777" w:rsidR="00000000" w:rsidRDefault="00A173A8">
            <w:pPr>
              <w:spacing w:after="100"/>
              <w:jc w:val="right"/>
              <w:rPr>
                <w:rFonts w:eastAsia="Times New Roman"/>
              </w:rPr>
            </w:pPr>
          </w:p>
        </w:tc>
        <w:tc>
          <w:tcPr>
            <w:tcW w:w="0" w:type="auto"/>
            <w:vAlign w:val="center"/>
            <w:hideMark/>
          </w:tcPr>
          <w:p w14:paraId="773E5C6E" w14:textId="77777777" w:rsidR="00000000" w:rsidRDefault="00A173A8">
            <w:pPr>
              <w:spacing w:after="100"/>
              <w:jc w:val="right"/>
              <w:rPr>
                <w:rFonts w:eastAsia="Times New Roman"/>
                <w:sz w:val="20"/>
                <w:szCs w:val="20"/>
              </w:rPr>
            </w:pPr>
          </w:p>
        </w:tc>
        <w:tc>
          <w:tcPr>
            <w:tcW w:w="0" w:type="auto"/>
            <w:vAlign w:val="center"/>
            <w:hideMark/>
          </w:tcPr>
          <w:p w14:paraId="2E6CEB50" w14:textId="77777777" w:rsidR="00000000" w:rsidRDefault="00A173A8">
            <w:pPr>
              <w:spacing w:after="100"/>
              <w:rPr>
                <w:rFonts w:eastAsia="Times New Roman"/>
                <w:sz w:val="20"/>
                <w:szCs w:val="20"/>
              </w:rPr>
            </w:pPr>
          </w:p>
        </w:tc>
        <w:tc>
          <w:tcPr>
            <w:tcW w:w="0" w:type="auto"/>
            <w:gridSpan w:val="3"/>
            <w:vAlign w:val="center"/>
            <w:hideMark/>
          </w:tcPr>
          <w:p w14:paraId="238C1F93" w14:textId="77777777" w:rsidR="00000000" w:rsidRDefault="00A173A8">
            <w:pPr>
              <w:spacing w:after="100"/>
              <w:rPr>
                <w:rFonts w:eastAsia="Times New Roman"/>
                <w:sz w:val="20"/>
                <w:szCs w:val="20"/>
              </w:rPr>
            </w:pPr>
          </w:p>
        </w:tc>
        <w:tc>
          <w:tcPr>
            <w:tcW w:w="0" w:type="auto"/>
            <w:gridSpan w:val="3"/>
            <w:vAlign w:val="center"/>
            <w:hideMark/>
          </w:tcPr>
          <w:p w14:paraId="51A41721" w14:textId="77777777" w:rsidR="00000000" w:rsidRDefault="00A173A8">
            <w:pPr>
              <w:spacing w:after="100"/>
              <w:rPr>
                <w:rFonts w:eastAsia="Times New Roman"/>
                <w:sz w:val="20"/>
                <w:szCs w:val="20"/>
              </w:rPr>
            </w:pPr>
          </w:p>
        </w:tc>
        <w:tc>
          <w:tcPr>
            <w:tcW w:w="0" w:type="auto"/>
            <w:gridSpan w:val="3"/>
            <w:vAlign w:val="center"/>
            <w:hideMark/>
          </w:tcPr>
          <w:p w14:paraId="1F1826D4" w14:textId="77777777" w:rsidR="00000000" w:rsidRDefault="00A173A8">
            <w:pPr>
              <w:spacing w:after="100"/>
              <w:rPr>
                <w:rFonts w:eastAsia="Times New Roman"/>
                <w:sz w:val="20"/>
                <w:szCs w:val="20"/>
              </w:rPr>
            </w:pPr>
          </w:p>
        </w:tc>
        <w:tc>
          <w:tcPr>
            <w:tcW w:w="0" w:type="auto"/>
            <w:gridSpan w:val="3"/>
            <w:vAlign w:val="center"/>
            <w:hideMark/>
          </w:tcPr>
          <w:p w14:paraId="7C9664AF" w14:textId="77777777" w:rsidR="00000000" w:rsidRDefault="00A173A8">
            <w:pPr>
              <w:spacing w:after="100"/>
              <w:rPr>
                <w:rFonts w:eastAsia="Times New Roman"/>
                <w:sz w:val="20"/>
                <w:szCs w:val="20"/>
              </w:rPr>
            </w:pPr>
          </w:p>
        </w:tc>
      </w:tr>
      <w:tr w:rsidR="00000000" w14:paraId="6707B6F4" w14:textId="77777777">
        <w:trPr>
          <w:divId w:val="955254798"/>
        </w:trPr>
        <w:tc>
          <w:tcPr>
            <w:tcW w:w="0" w:type="auto"/>
            <w:gridSpan w:val="3"/>
            <w:shd w:val="clear" w:color="auto" w:fill="CCEEFF"/>
            <w:tcMar>
              <w:top w:w="30" w:type="dxa"/>
              <w:left w:w="20" w:type="dxa"/>
              <w:bottom w:w="30" w:type="dxa"/>
              <w:right w:w="20" w:type="dxa"/>
            </w:tcMar>
            <w:vAlign w:val="center"/>
            <w:hideMark/>
          </w:tcPr>
          <w:p w14:paraId="40B79DD1" w14:textId="77777777" w:rsidR="00000000" w:rsidRDefault="00A173A8">
            <w:pPr>
              <w:spacing w:after="100"/>
              <w:rPr>
                <w:rFonts w:eastAsia="Times New Roman"/>
              </w:rPr>
            </w:pPr>
            <w:r>
              <w:rPr>
                <w:rFonts w:eastAsia="Times New Roman"/>
                <w:color w:val="000000"/>
                <w:sz w:val="20"/>
                <w:szCs w:val="20"/>
              </w:rPr>
              <w:t>Time deposits</w:t>
            </w:r>
          </w:p>
        </w:tc>
        <w:tc>
          <w:tcPr>
            <w:tcW w:w="0" w:type="auto"/>
            <w:gridSpan w:val="3"/>
            <w:shd w:val="clear" w:color="auto" w:fill="CCEEFF"/>
            <w:tcMar>
              <w:top w:w="0" w:type="dxa"/>
              <w:left w:w="20" w:type="dxa"/>
              <w:bottom w:w="0" w:type="dxa"/>
              <w:right w:w="20" w:type="dxa"/>
            </w:tcMar>
            <w:vAlign w:val="center"/>
            <w:hideMark/>
          </w:tcPr>
          <w:p w14:paraId="5F2E2DA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99A012A" w14:textId="77777777" w:rsidR="00000000" w:rsidRDefault="00A173A8">
            <w:pPr>
              <w:spacing w:after="100"/>
              <w:jc w:val="right"/>
              <w:rPr>
                <w:rFonts w:eastAsia="Times New Roman"/>
              </w:rPr>
            </w:pPr>
            <w:r>
              <w:rPr>
                <w:rFonts w:eastAsia="Times New Roman"/>
                <w:b/>
                <w:bCs/>
                <w:color w:val="000000"/>
                <w:sz w:val="20"/>
                <w:szCs w:val="20"/>
              </w:rPr>
              <w:t>17,972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742B632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87A02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1852BC" w14:textId="77777777" w:rsidR="00000000" w:rsidRDefault="00A173A8">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D2ACA3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9C8A9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7E21FE" w14:textId="77777777" w:rsidR="00000000" w:rsidRDefault="00A173A8">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56EAE44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3DA2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13B3CD" w14:textId="77777777" w:rsidR="00000000" w:rsidRDefault="00A173A8">
            <w:pPr>
              <w:spacing w:after="100"/>
              <w:jc w:val="right"/>
              <w:rPr>
                <w:rFonts w:eastAsia="Times New Roman"/>
              </w:rPr>
            </w:pPr>
            <w:r>
              <w:rPr>
                <w:rFonts w:eastAsia="Times New Roman"/>
                <w:color w:val="000000"/>
                <w:sz w:val="20"/>
                <w:szCs w:val="20"/>
              </w:rPr>
              <w:t>26,741 </w:t>
            </w:r>
          </w:p>
        </w:tc>
        <w:tc>
          <w:tcPr>
            <w:tcW w:w="0" w:type="auto"/>
            <w:shd w:val="clear" w:color="auto" w:fill="CCEEFF"/>
            <w:tcMar>
              <w:top w:w="30" w:type="dxa"/>
              <w:left w:w="0" w:type="dxa"/>
              <w:bottom w:w="30" w:type="dxa"/>
              <w:right w:w="20" w:type="dxa"/>
            </w:tcMar>
            <w:vAlign w:val="bottom"/>
            <w:hideMark/>
          </w:tcPr>
          <w:p w14:paraId="68E57F7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7B05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154869" w14:textId="77777777" w:rsidR="00000000" w:rsidRDefault="00A173A8">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14:paraId="6D87A43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36AB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117980" w14:textId="77777777" w:rsidR="00000000" w:rsidRDefault="00A173A8">
            <w:pPr>
              <w:spacing w:after="100"/>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center"/>
            <w:hideMark/>
          </w:tcPr>
          <w:p w14:paraId="7E6ECB82" w14:textId="77777777" w:rsidR="00000000" w:rsidRDefault="00A173A8">
            <w:pPr>
              <w:spacing w:after="100"/>
              <w:jc w:val="right"/>
              <w:rPr>
                <w:rFonts w:eastAsia="Times New Roman"/>
              </w:rPr>
            </w:pPr>
          </w:p>
        </w:tc>
        <w:tc>
          <w:tcPr>
            <w:tcW w:w="0" w:type="auto"/>
            <w:vAlign w:val="center"/>
            <w:hideMark/>
          </w:tcPr>
          <w:p w14:paraId="7B823A47" w14:textId="77777777" w:rsidR="00000000" w:rsidRDefault="00A173A8">
            <w:pPr>
              <w:spacing w:after="100"/>
              <w:jc w:val="right"/>
              <w:rPr>
                <w:rFonts w:eastAsia="Times New Roman"/>
                <w:sz w:val="20"/>
                <w:szCs w:val="20"/>
              </w:rPr>
            </w:pPr>
          </w:p>
        </w:tc>
        <w:tc>
          <w:tcPr>
            <w:tcW w:w="0" w:type="auto"/>
            <w:vAlign w:val="center"/>
            <w:hideMark/>
          </w:tcPr>
          <w:p w14:paraId="4E029FF7" w14:textId="77777777" w:rsidR="00000000" w:rsidRDefault="00A173A8">
            <w:pPr>
              <w:spacing w:after="100"/>
              <w:rPr>
                <w:rFonts w:eastAsia="Times New Roman"/>
                <w:sz w:val="20"/>
                <w:szCs w:val="20"/>
              </w:rPr>
            </w:pPr>
          </w:p>
        </w:tc>
        <w:tc>
          <w:tcPr>
            <w:tcW w:w="0" w:type="auto"/>
            <w:gridSpan w:val="3"/>
            <w:vAlign w:val="center"/>
            <w:hideMark/>
          </w:tcPr>
          <w:p w14:paraId="55BFAF67" w14:textId="77777777" w:rsidR="00000000" w:rsidRDefault="00A173A8">
            <w:pPr>
              <w:spacing w:after="100"/>
              <w:rPr>
                <w:rFonts w:eastAsia="Times New Roman"/>
                <w:sz w:val="20"/>
                <w:szCs w:val="20"/>
              </w:rPr>
            </w:pPr>
          </w:p>
        </w:tc>
        <w:tc>
          <w:tcPr>
            <w:tcW w:w="0" w:type="auto"/>
            <w:gridSpan w:val="3"/>
            <w:vAlign w:val="center"/>
            <w:hideMark/>
          </w:tcPr>
          <w:p w14:paraId="35B8F91B" w14:textId="77777777" w:rsidR="00000000" w:rsidRDefault="00A173A8">
            <w:pPr>
              <w:spacing w:after="100"/>
              <w:rPr>
                <w:rFonts w:eastAsia="Times New Roman"/>
                <w:sz w:val="20"/>
                <w:szCs w:val="20"/>
              </w:rPr>
            </w:pPr>
          </w:p>
        </w:tc>
        <w:tc>
          <w:tcPr>
            <w:tcW w:w="0" w:type="auto"/>
            <w:gridSpan w:val="3"/>
            <w:vAlign w:val="center"/>
            <w:hideMark/>
          </w:tcPr>
          <w:p w14:paraId="14394FDC" w14:textId="77777777" w:rsidR="00000000" w:rsidRDefault="00A173A8">
            <w:pPr>
              <w:spacing w:after="100"/>
              <w:rPr>
                <w:rFonts w:eastAsia="Times New Roman"/>
                <w:sz w:val="20"/>
                <w:szCs w:val="20"/>
              </w:rPr>
            </w:pPr>
          </w:p>
        </w:tc>
        <w:tc>
          <w:tcPr>
            <w:tcW w:w="0" w:type="auto"/>
            <w:gridSpan w:val="3"/>
            <w:vAlign w:val="center"/>
            <w:hideMark/>
          </w:tcPr>
          <w:p w14:paraId="75B97699" w14:textId="77777777" w:rsidR="00000000" w:rsidRDefault="00A173A8">
            <w:pPr>
              <w:spacing w:after="100"/>
              <w:rPr>
                <w:rFonts w:eastAsia="Times New Roman"/>
                <w:sz w:val="20"/>
                <w:szCs w:val="20"/>
              </w:rPr>
            </w:pPr>
          </w:p>
        </w:tc>
      </w:tr>
      <w:tr w:rsidR="00000000" w14:paraId="6469CE76" w14:textId="77777777">
        <w:trPr>
          <w:divId w:val="955254798"/>
        </w:trPr>
        <w:tc>
          <w:tcPr>
            <w:tcW w:w="0" w:type="auto"/>
            <w:gridSpan w:val="3"/>
            <w:vAlign w:val="center"/>
            <w:hideMark/>
          </w:tcPr>
          <w:p w14:paraId="2E0293B8" w14:textId="77777777" w:rsidR="00000000" w:rsidRDefault="00A173A8">
            <w:pPr>
              <w:spacing w:after="100"/>
              <w:rPr>
                <w:rFonts w:eastAsia="Times New Roman"/>
                <w:sz w:val="20"/>
                <w:szCs w:val="20"/>
              </w:rPr>
            </w:pPr>
          </w:p>
        </w:tc>
        <w:tc>
          <w:tcPr>
            <w:tcW w:w="0" w:type="auto"/>
            <w:gridSpan w:val="3"/>
            <w:vAlign w:val="center"/>
            <w:hideMark/>
          </w:tcPr>
          <w:p w14:paraId="33E9D4F5" w14:textId="77777777" w:rsidR="00000000" w:rsidRDefault="00A173A8">
            <w:pPr>
              <w:spacing w:after="100"/>
              <w:rPr>
                <w:rFonts w:eastAsia="Times New Roman"/>
                <w:sz w:val="20"/>
                <w:szCs w:val="20"/>
              </w:rPr>
            </w:pPr>
          </w:p>
        </w:tc>
        <w:tc>
          <w:tcPr>
            <w:tcW w:w="0" w:type="auto"/>
            <w:gridSpan w:val="3"/>
            <w:vAlign w:val="center"/>
            <w:hideMark/>
          </w:tcPr>
          <w:p w14:paraId="2C9B900D" w14:textId="77777777" w:rsidR="00000000" w:rsidRDefault="00A173A8">
            <w:pPr>
              <w:spacing w:after="100"/>
              <w:rPr>
                <w:rFonts w:eastAsia="Times New Roman"/>
                <w:sz w:val="20"/>
                <w:szCs w:val="20"/>
              </w:rPr>
            </w:pPr>
          </w:p>
        </w:tc>
        <w:tc>
          <w:tcPr>
            <w:tcW w:w="0" w:type="auto"/>
            <w:gridSpan w:val="3"/>
            <w:vAlign w:val="center"/>
            <w:hideMark/>
          </w:tcPr>
          <w:p w14:paraId="66F1FC6A" w14:textId="77777777" w:rsidR="00000000" w:rsidRDefault="00A173A8">
            <w:pPr>
              <w:spacing w:after="100"/>
              <w:rPr>
                <w:rFonts w:eastAsia="Times New Roman"/>
                <w:sz w:val="20"/>
                <w:szCs w:val="20"/>
              </w:rPr>
            </w:pPr>
          </w:p>
        </w:tc>
        <w:tc>
          <w:tcPr>
            <w:tcW w:w="0" w:type="auto"/>
            <w:gridSpan w:val="3"/>
            <w:vAlign w:val="center"/>
            <w:hideMark/>
          </w:tcPr>
          <w:p w14:paraId="6C6D6976" w14:textId="77777777" w:rsidR="00000000" w:rsidRDefault="00A173A8">
            <w:pPr>
              <w:spacing w:after="100"/>
              <w:rPr>
                <w:rFonts w:eastAsia="Times New Roman"/>
                <w:sz w:val="20"/>
                <w:szCs w:val="20"/>
              </w:rPr>
            </w:pPr>
          </w:p>
        </w:tc>
        <w:tc>
          <w:tcPr>
            <w:tcW w:w="0" w:type="auto"/>
            <w:gridSpan w:val="3"/>
            <w:vAlign w:val="center"/>
            <w:hideMark/>
          </w:tcPr>
          <w:p w14:paraId="3C73D6D8" w14:textId="77777777" w:rsidR="00000000" w:rsidRDefault="00A173A8">
            <w:pPr>
              <w:spacing w:after="100"/>
              <w:rPr>
                <w:rFonts w:eastAsia="Times New Roman"/>
                <w:sz w:val="20"/>
                <w:szCs w:val="20"/>
              </w:rPr>
            </w:pPr>
          </w:p>
        </w:tc>
        <w:tc>
          <w:tcPr>
            <w:tcW w:w="0" w:type="auto"/>
            <w:gridSpan w:val="3"/>
            <w:vAlign w:val="center"/>
            <w:hideMark/>
          </w:tcPr>
          <w:p w14:paraId="4305E36D" w14:textId="77777777" w:rsidR="00000000" w:rsidRDefault="00A173A8">
            <w:pPr>
              <w:spacing w:after="100"/>
              <w:rPr>
                <w:rFonts w:eastAsia="Times New Roman"/>
                <w:sz w:val="20"/>
                <w:szCs w:val="20"/>
              </w:rPr>
            </w:pPr>
          </w:p>
        </w:tc>
        <w:tc>
          <w:tcPr>
            <w:tcW w:w="0" w:type="auto"/>
            <w:gridSpan w:val="3"/>
            <w:vAlign w:val="center"/>
            <w:hideMark/>
          </w:tcPr>
          <w:p w14:paraId="53F2A6F6" w14:textId="77777777" w:rsidR="00000000" w:rsidRDefault="00A173A8">
            <w:pPr>
              <w:spacing w:after="100"/>
              <w:rPr>
                <w:rFonts w:eastAsia="Times New Roman"/>
                <w:sz w:val="20"/>
                <w:szCs w:val="20"/>
              </w:rPr>
            </w:pPr>
          </w:p>
        </w:tc>
        <w:tc>
          <w:tcPr>
            <w:tcW w:w="0" w:type="auto"/>
            <w:gridSpan w:val="3"/>
            <w:vAlign w:val="center"/>
            <w:hideMark/>
          </w:tcPr>
          <w:p w14:paraId="1EFC0775" w14:textId="77777777" w:rsidR="00000000" w:rsidRDefault="00A173A8">
            <w:pPr>
              <w:spacing w:after="100"/>
              <w:rPr>
                <w:rFonts w:eastAsia="Times New Roman"/>
                <w:sz w:val="20"/>
                <w:szCs w:val="20"/>
              </w:rPr>
            </w:pPr>
          </w:p>
        </w:tc>
        <w:tc>
          <w:tcPr>
            <w:tcW w:w="0" w:type="auto"/>
            <w:gridSpan w:val="3"/>
            <w:vAlign w:val="center"/>
            <w:hideMark/>
          </w:tcPr>
          <w:p w14:paraId="45B6D00C" w14:textId="77777777" w:rsidR="00000000" w:rsidRDefault="00A173A8">
            <w:pPr>
              <w:spacing w:after="100"/>
              <w:rPr>
                <w:rFonts w:eastAsia="Times New Roman"/>
                <w:sz w:val="20"/>
                <w:szCs w:val="20"/>
              </w:rPr>
            </w:pPr>
          </w:p>
        </w:tc>
        <w:tc>
          <w:tcPr>
            <w:tcW w:w="0" w:type="auto"/>
            <w:gridSpan w:val="3"/>
            <w:vAlign w:val="center"/>
            <w:hideMark/>
          </w:tcPr>
          <w:p w14:paraId="11582D36" w14:textId="77777777" w:rsidR="00000000" w:rsidRDefault="00A173A8">
            <w:pPr>
              <w:spacing w:after="100"/>
              <w:rPr>
                <w:rFonts w:eastAsia="Times New Roman"/>
                <w:sz w:val="20"/>
                <w:szCs w:val="20"/>
              </w:rPr>
            </w:pPr>
          </w:p>
        </w:tc>
        <w:tc>
          <w:tcPr>
            <w:tcW w:w="0" w:type="auto"/>
            <w:gridSpan w:val="3"/>
            <w:vAlign w:val="center"/>
            <w:hideMark/>
          </w:tcPr>
          <w:p w14:paraId="7ECB23B7" w14:textId="77777777" w:rsidR="00000000" w:rsidRDefault="00A173A8">
            <w:pPr>
              <w:spacing w:after="100"/>
              <w:rPr>
                <w:rFonts w:eastAsia="Times New Roman"/>
                <w:sz w:val="20"/>
                <w:szCs w:val="20"/>
              </w:rPr>
            </w:pPr>
          </w:p>
        </w:tc>
        <w:tc>
          <w:tcPr>
            <w:tcW w:w="0" w:type="auto"/>
            <w:gridSpan w:val="3"/>
            <w:vAlign w:val="center"/>
            <w:hideMark/>
          </w:tcPr>
          <w:p w14:paraId="52261F09" w14:textId="77777777" w:rsidR="00000000" w:rsidRDefault="00A173A8">
            <w:pPr>
              <w:spacing w:after="100"/>
              <w:rPr>
                <w:rFonts w:eastAsia="Times New Roman"/>
                <w:sz w:val="20"/>
                <w:szCs w:val="20"/>
              </w:rPr>
            </w:pPr>
          </w:p>
        </w:tc>
        <w:tc>
          <w:tcPr>
            <w:tcW w:w="0" w:type="auto"/>
            <w:vAlign w:val="center"/>
            <w:hideMark/>
          </w:tcPr>
          <w:p w14:paraId="1B818A57" w14:textId="77777777" w:rsidR="00000000" w:rsidRDefault="00A173A8">
            <w:pPr>
              <w:spacing w:after="100"/>
              <w:rPr>
                <w:rFonts w:eastAsia="Times New Roman"/>
                <w:sz w:val="20"/>
                <w:szCs w:val="20"/>
              </w:rPr>
            </w:pPr>
          </w:p>
        </w:tc>
        <w:tc>
          <w:tcPr>
            <w:tcW w:w="0" w:type="auto"/>
            <w:vAlign w:val="center"/>
            <w:hideMark/>
          </w:tcPr>
          <w:p w14:paraId="53A4FEED" w14:textId="77777777" w:rsidR="00000000" w:rsidRDefault="00A173A8">
            <w:pPr>
              <w:spacing w:after="100"/>
              <w:rPr>
                <w:rFonts w:eastAsia="Times New Roman"/>
                <w:sz w:val="20"/>
                <w:szCs w:val="20"/>
              </w:rPr>
            </w:pPr>
          </w:p>
        </w:tc>
        <w:tc>
          <w:tcPr>
            <w:tcW w:w="0" w:type="auto"/>
            <w:gridSpan w:val="3"/>
            <w:vAlign w:val="center"/>
            <w:hideMark/>
          </w:tcPr>
          <w:p w14:paraId="7BD4A355" w14:textId="77777777" w:rsidR="00000000" w:rsidRDefault="00A173A8">
            <w:pPr>
              <w:spacing w:after="100"/>
              <w:rPr>
                <w:rFonts w:eastAsia="Times New Roman"/>
                <w:sz w:val="20"/>
                <w:szCs w:val="20"/>
              </w:rPr>
            </w:pPr>
          </w:p>
        </w:tc>
        <w:tc>
          <w:tcPr>
            <w:tcW w:w="0" w:type="auto"/>
            <w:gridSpan w:val="3"/>
            <w:vAlign w:val="center"/>
            <w:hideMark/>
          </w:tcPr>
          <w:p w14:paraId="278B00E5" w14:textId="77777777" w:rsidR="00000000" w:rsidRDefault="00A173A8">
            <w:pPr>
              <w:spacing w:after="100"/>
              <w:rPr>
                <w:rFonts w:eastAsia="Times New Roman"/>
                <w:sz w:val="20"/>
                <w:szCs w:val="20"/>
              </w:rPr>
            </w:pPr>
          </w:p>
        </w:tc>
        <w:tc>
          <w:tcPr>
            <w:tcW w:w="0" w:type="auto"/>
            <w:gridSpan w:val="3"/>
            <w:vAlign w:val="center"/>
            <w:hideMark/>
          </w:tcPr>
          <w:p w14:paraId="1AAE2557" w14:textId="77777777" w:rsidR="00000000" w:rsidRDefault="00A173A8">
            <w:pPr>
              <w:spacing w:after="100"/>
              <w:rPr>
                <w:rFonts w:eastAsia="Times New Roman"/>
                <w:sz w:val="20"/>
                <w:szCs w:val="20"/>
              </w:rPr>
            </w:pPr>
          </w:p>
        </w:tc>
        <w:tc>
          <w:tcPr>
            <w:tcW w:w="0" w:type="auto"/>
            <w:gridSpan w:val="3"/>
            <w:vAlign w:val="center"/>
            <w:hideMark/>
          </w:tcPr>
          <w:p w14:paraId="25DB2D69" w14:textId="77777777" w:rsidR="00000000" w:rsidRDefault="00A173A8">
            <w:pPr>
              <w:spacing w:after="100"/>
              <w:rPr>
                <w:rFonts w:eastAsia="Times New Roman"/>
                <w:sz w:val="20"/>
                <w:szCs w:val="20"/>
              </w:rPr>
            </w:pPr>
          </w:p>
        </w:tc>
      </w:tr>
      <w:tr w:rsidR="00000000" w14:paraId="7D555E3F" w14:textId="77777777">
        <w:trPr>
          <w:divId w:val="955254798"/>
        </w:trPr>
        <w:tc>
          <w:tcPr>
            <w:tcW w:w="0" w:type="auto"/>
            <w:gridSpan w:val="3"/>
            <w:vAlign w:val="center"/>
            <w:hideMark/>
          </w:tcPr>
          <w:p w14:paraId="4A228359" w14:textId="77777777" w:rsidR="00000000" w:rsidRDefault="00A173A8">
            <w:pPr>
              <w:spacing w:after="100"/>
              <w:rPr>
                <w:rFonts w:eastAsia="Times New Roman"/>
                <w:sz w:val="20"/>
                <w:szCs w:val="20"/>
              </w:rPr>
            </w:pPr>
          </w:p>
        </w:tc>
        <w:tc>
          <w:tcPr>
            <w:tcW w:w="0" w:type="auto"/>
            <w:gridSpan w:val="3"/>
            <w:vAlign w:val="center"/>
            <w:hideMark/>
          </w:tcPr>
          <w:p w14:paraId="2915B830" w14:textId="77777777" w:rsidR="00000000" w:rsidRDefault="00A173A8">
            <w:pPr>
              <w:spacing w:after="100"/>
              <w:rPr>
                <w:rFonts w:eastAsia="Times New Roman"/>
                <w:sz w:val="20"/>
                <w:szCs w:val="20"/>
              </w:rPr>
            </w:pPr>
          </w:p>
        </w:tc>
        <w:tc>
          <w:tcPr>
            <w:tcW w:w="0" w:type="auto"/>
            <w:gridSpan w:val="3"/>
            <w:vAlign w:val="center"/>
            <w:hideMark/>
          </w:tcPr>
          <w:p w14:paraId="4147CE86" w14:textId="77777777" w:rsidR="00000000" w:rsidRDefault="00A173A8">
            <w:pPr>
              <w:spacing w:after="100"/>
              <w:rPr>
                <w:rFonts w:eastAsia="Times New Roman"/>
                <w:sz w:val="20"/>
                <w:szCs w:val="20"/>
              </w:rPr>
            </w:pPr>
          </w:p>
        </w:tc>
        <w:tc>
          <w:tcPr>
            <w:tcW w:w="0" w:type="auto"/>
            <w:gridSpan w:val="3"/>
            <w:vAlign w:val="center"/>
            <w:hideMark/>
          </w:tcPr>
          <w:p w14:paraId="7ACAB049" w14:textId="77777777" w:rsidR="00000000" w:rsidRDefault="00A173A8">
            <w:pPr>
              <w:spacing w:after="100"/>
              <w:rPr>
                <w:rFonts w:eastAsia="Times New Roman"/>
                <w:sz w:val="20"/>
                <w:szCs w:val="20"/>
              </w:rPr>
            </w:pPr>
          </w:p>
        </w:tc>
        <w:tc>
          <w:tcPr>
            <w:tcW w:w="0" w:type="auto"/>
            <w:gridSpan w:val="3"/>
            <w:vAlign w:val="center"/>
            <w:hideMark/>
          </w:tcPr>
          <w:p w14:paraId="4CD9D6E8" w14:textId="77777777" w:rsidR="00000000" w:rsidRDefault="00A173A8">
            <w:pPr>
              <w:spacing w:after="100"/>
              <w:rPr>
                <w:rFonts w:eastAsia="Times New Roman"/>
                <w:sz w:val="20"/>
                <w:szCs w:val="20"/>
              </w:rPr>
            </w:pPr>
          </w:p>
        </w:tc>
        <w:tc>
          <w:tcPr>
            <w:tcW w:w="0" w:type="auto"/>
            <w:gridSpan w:val="3"/>
            <w:vAlign w:val="center"/>
            <w:hideMark/>
          </w:tcPr>
          <w:p w14:paraId="5C165BD2" w14:textId="77777777" w:rsidR="00000000" w:rsidRDefault="00A173A8">
            <w:pPr>
              <w:spacing w:after="100"/>
              <w:rPr>
                <w:rFonts w:eastAsia="Times New Roman"/>
                <w:sz w:val="20"/>
                <w:szCs w:val="20"/>
              </w:rPr>
            </w:pPr>
          </w:p>
        </w:tc>
        <w:tc>
          <w:tcPr>
            <w:tcW w:w="0" w:type="auto"/>
            <w:gridSpan w:val="3"/>
            <w:vAlign w:val="center"/>
            <w:hideMark/>
          </w:tcPr>
          <w:p w14:paraId="60CD6373" w14:textId="77777777" w:rsidR="00000000" w:rsidRDefault="00A173A8">
            <w:pPr>
              <w:spacing w:after="100"/>
              <w:rPr>
                <w:rFonts w:eastAsia="Times New Roman"/>
                <w:sz w:val="20"/>
                <w:szCs w:val="20"/>
              </w:rPr>
            </w:pPr>
          </w:p>
        </w:tc>
        <w:tc>
          <w:tcPr>
            <w:tcW w:w="0" w:type="auto"/>
            <w:gridSpan w:val="3"/>
            <w:vAlign w:val="center"/>
            <w:hideMark/>
          </w:tcPr>
          <w:p w14:paraId="426D1CA7" w14:textId="77777777" w:rsidR="00000000" w:rsidRDefault="00A173A8">
            <w:pPr>
              <w:spacing w:after="100"/>
              <w:rPr>
                <w:rFonts w:eastAsia="Times New Roman"/>
                <w:sz w:val="20"/>
                <w:szCs w:val="20"/>
              </w:rPr>
            </w:pPr>
          </w:p>
        </w:tc>
        <w:tc>
          <w:tcPr>
            <w:tcW w:w="0" w:type="auto"/>
            <w:gridSpan w:val="3"/>
            <w:vAlign w:val="center"/>
            <w:hideMark/>
          </w:tcPr>
          <w:p w14:paraId="6EF0FF64" w14:textId="77777777" w:rsidR="00000000" w:rsidRDefault="00A173A8">
            <w:pPr>
              <w:spacing w:after="100"/>
              <w:rPr>
                <w:rFonts w:eastAsia="Times New Roman"/>
                <w:sz w:val="20"/>
                <w:szCs w:val="20"/>
              </w:rPr>
            </w:pPr>
          </w:p>
        </w:tc>
        <w:tc>
          <w:tcPr>
            <w:tcW w:w="0" w:type="auto"/>
            <w:gridSpan w:val="3"/>
            <w:vAlign w:val="center"/>
            <w:hideMark/>
          </w:tcPr>
          <w:p w14:paraId="2E829F88" w14:textId="77777777" w:rsidR="00000000" w:rsidRDefault="00A173A8">
            <w:pPr>
              <w:spacing w:after="100"/>
              <w:rPr>
                <w:rFonts w:eastAsia="Times New Roman"/>
                <w:sz w:val="20"/>
                <w:szCs w:val="20"/>
              </w:rPr>
            </w:pPr>
          </w:p>
        </w:tc>
        <w:tc>
          <w:tcPr>
            <w:tcW w:w="0" w:type="auto"/>
            <w:gridSpan w:val="3"/>
            <w:vAlign w:val="center"/>
            <w:hideMark/>
          </w:tcPr>
          <w:p w14:paraId="642EF627" w14:textId="77777777" w:rsidR="00000000" w:rsidRDefault="00A173A8">
            <w:pPr>
              <w:spacing w:after="100"/>
              <w:rPr>
                <w:rFonts w:eastAsia="Times New Roman"/>
                <w:sz w:val="20"/>
                <w:szCs w:val="20"/>
              </w:rPr>
            </w:pPr>
          </w:p>
        </w:tc>
        <w:tc>
          <w:tcPr>
            <w:tcW w:w="0" w:type="auto"/>
            <w:gridSpan w:val="3"/>
            <w:vAlign w:val="center"/>
            <w:hideMark/>
          </w:tcPr>
          <w:p w14:paraId="78A61686" w14:textId="77777777" w:rsidR="00000000" w:rsidRDefault="00A173A8">
            <w:pPr>
              <w:spacing w:after="100"/>
              <w:rPr>
                <w:rFonts w:eastAsia="Times New Roman"/>
                <w:sz w:val="20"/>
                <w:szCs w:val="20"/>
              </w:rPr>
            </w:pPr>
          </w:p>
        </w:tc>
        <w:tc>
          <w:tcPr>
            <w:tcW w:w="0" w:type="auto"/>
            <w:gridSpan w:val="3"/>
            <w:vAlign w:val="center"/>
            <w:hideMark/>
          </w:tcPr>
          <w:p w14:paraId="16BB0326" w14:textId="77777777" w:rsidR="00000000" w:rsidRDefault="00A173A8">
            <w:pPr>
              <w:spacing w:after="100"/>
              <w:rPr>
                <w:rFonts w:eastAsia="Times New Roman"/>
                <w:sz w:val="20"/>
                <w:szCs w:val="20"/>
              </w:rPr>
            </w:pPr>
          </w:p>
        </w:tc>
        <w:tc>
          <w:tcPr>
            <w:tcW w:w="0" w:type="auto"/>
            <w:vAlign w:val="center"/>
            <w:hideMark/>
          </w:tcPr>
          <w:p w14:paraId="1F749502" w14:textId="77777777" w:rsidR="00000000" w:rsidRDefault="00A173A8">
            <w:pPr>
              <w:spacing w:after="100"/>
              <w:rPr>
                <w:rFonts w:eastAsia="Times New Roman"/>
                <w:sz w:val="20"/>
                <w:szCs w:val="20"/>
              </w:rPr>
            </w:pPr>
          </w:p>
        </w:tc>
        <w:tc>
          <w:tcPr>
            <w:tcW w:w="0" w:type="auto"/>
            <w:vAlign w:val="center"/>
            <w:hideMark/>
          </w:tcPr>
          <w:p w14:paraId="56853D26" w14:textId="77777777" w:rsidR="00000000" w:rsidRDefault="00A173A8">
            <w:pPr>
              <w:spacing w:after="100"/>
              <w:rPr>
                <w:rFonts w:eastAsia="Times New Roman"/>
                <w:sz w:val="20"/>
                <w:szCs w:val="20"/>
              </w:rPr>
            </w:pPr>
          </w:p>
        </w:tc>
        <w:tc>
          <w:tcPr>
            <w:tcW w:w="0" w:type="auto"/>
            <w:gridSpan w:val="3"/>
            <w:vAlign w:val="center"/>
            <w:hideMark/>
          </w:tcPr>
          <w:p w14:paraId="5087C953" w14:textId="77777777" w:rsidR="00000000" w:rsidRDefault="00A173A8">
            <w:pPr>
              <w:spacing w:after="100"/>
              <w:rPr>
                <w:rFonts w:eastAsia="Times New Roman"/>
                <w:sz w:val="20"/>
                <w:szCs w:val="20"/>
              </w:rPr>
            </w:pPr>
          </w:p>
        </w:tc>
        <w:tc>
          <w:tcPr>
            <w:tcW w:w="0" w:type="auto"/>
            <w:gridSpan w:val="3"/>
            <w:vAlign w:val="center"/>
            <w:hideMark/>
          </w:tcPr>
          <w:p w14:paraId="04434BEC" w14:textId="77777777" w:rsidR="00000000" w:rsidRDefault="00A173A8">
            <w:pPr>
              <w:spacing w:after="100"/>
              <w:rPr>
                <w:rFonts w:eastAsia="Times New Roman"/>
                <w:sz w:val="20"/>
                <w:szCs w:val="20"/>
              </w:rPr>
            </w:pPr>
          </w:p>
        </w:tc>
        <w:tc>
          <w:tcPr>
            <w:tcW w:w="0" w:type="auto"/>
            <w:gridSpan w:val="3"/>
            <w:vAlign w:val="center"/>
            <w:hideMark/>
          </w:tcPr>
          <w:p w14:paraId="24C45D40" w14:textId="77777777" w:rsidR="00000000" w:rsidRDefault="00A173A8">
            <w:pPr>
              <w:spacing w:after="100"/>
              <w:rPr>
                <w:rFonts w:eastAsia="Times New Roman"/>
                <w:sz w:val="20"/>
                <w:szCs w:val="20"/>
              </w:rPr>
            </w:pPr>
          </w:p>
        </w:tc>
        <w:tc>
          <w:tcPr>
            <w:tcW w:w="0" w:type="auto"/>
            <w:gridSpan w:val="3"/>
            <w:vAlign w:val="center"/>
            <w:hideMark/>
          </w:tcPr>
          <w:p w14:paraId="1C3A22CA" w14:textId="77777777" w:rsidR="00000000" w:rsidRDefault="00A173A8">
            <w:pPr>
              <w:spacing w:after="100"/>
              <w:rPr>
                <w:rFonts w:eastAsia="Times New Roman"/>
                <w:sz w:val="20"/>
                <w:szCs w:val="20"/>
              </w:rPr>
            </w:pPr>
          </w:p>
        </w:tc>
      </w:tr>
      <w:tr w:rsidR="00000000" w14:paraId="5713D4B8" w14:textId="77777777">
        <w:trPr>
          <w:divId w:val="955254798"/>
        </w:trPr>
        <w:tc>
          <w:tcPr>
            <w:tcW w:w="0" w:type="auto"/>
            <w:gridSpan w:val="3"/>
            <w:shd w:val="clear" w:color="auto" w:fill="FFFFFF"/>
            <w:tcMar>
              <w:top w:w="30" w:type="dxa"/>
              <w:left w:w="20" w:type="dxa"/>
              <w:bottom w:w="30" w:type="dxa"/>
              <w:right w:w="20" w:type="dxa"/>
            </w:tcMar>
            <w:vAlign w:val="center"/>
            <w:hideMark/>
          </w:tcPr>
          <w:p w14:paraId="4F0D7FF0" w14:textId="77777777" w:rsidR="00000000" w:rsidRDefault="00A173A8">
            <w:pPr>
              <w:spacing w:after="100"/>
              <w:rPr>
                <w:rFonts w:eastAsia="Times New Roman"/>
              </w:rPr>
            </w:pPr>
            <w:r>
              <w:rPr>
                <w:rFonts w:eastAsia="Times New Roman"/>
                <w:color w:val="000000"/>
                <w:sz w:val="20"/>
                <w:szCs w:val="20"/>
              </w:rPr>
              <w:t>Total interest-bearing deposits</w:t>
            </w:r>
          </w:p>
        </w:tc>
        <w:tc>
          <w:tcPr>
            <w:tcW w:w="0" w:type="auto"/>
            <w:gridSpan w:val="3"/>
            <w:shd w:val="clear" w:color="auto" w:fill="FFFFFF"/>
            <w:tcMar>
              <w:top w:w="0" w:type="dxa"/>
              <w:left w:w="20" w:type="dxa"/>
              <w:bottom w:w="0" w:type="dxa"/>
              <w:right w:w="20" w:type="dxa"/>
            </w:tcMar>
            <w:vAlign w:val="center"/>
            <w:hideMark/>
          </w:tcPr>
          <w:p w14:paraId="53F1E723"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23D1877"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CE02C2C" w14:textId="77777777" w:rsidR="00000000" w:rsidRDefault="00A173A8">
            <w:pPr>
              <w:spacing w:after="100"/>
              <w:jc w:val="right"/>
              <w:rPr>
                <w:rFonts w:eastAsia="Times New Roman"/>
              </w:rPr>
            </w:pPr>
            <w:r>
              <w:rPr>
                <w:rFonts w:eastAsia="Times New Roman"/>
                <w:b/>
                <w:bCs/>
                <w:color w:val="000000"/>
                <w:sz w:val="20"/>
                <w:szCs w:val="20"/>
              </w:rPr>
              <w:t>269,953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F0B94D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5ABD0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61267BF"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B22D8B0" w14:textId="77777777" w:rsidR="00000000" w:rsidRDefault="00A173A8">
            <w:pPr>
              <w:spacing w:after="100"/>
              <w:jc w:val="right"/>
              <w:rPr>
                <w:rFonts w:eastAsia="Times New Roman"/>
              </w:rPr>
            </w:pPr>
            <w:r>
              <w:rPr>
                <w:rFonts w:eastAsia="Times New Roman"/>
                <w:b/>
                <w:bCs/>
                <w:color w:val="000000"/>
                <w:sz w:val="20"/>
                <w:szCs w:val="20"/>
              </w:rPr>
              <w:t>511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2DFAAA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2DD4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0EC181" w14:textId="77777777" w:rsidR="00000000" w:rsidRDefault="00A173A8">
            <w:pPr>
              <w:spacing w:after="100"/>
              <w:jc w:val="right"/>
              <w:rPr>
                <w:rFonts w:eastAsia="Times New Roman"/>
              </w:rPr>
            </w:pPr>
            <w:r>
              <w:rPr>
                <w:rFonts w:eastAsia="Times New Roman"/>
                <w:b/>
                <w:bCs/>
                <w:color w:val="000000"/>
                <w:sz w:val="20"/>
                <w:szCs w:val="20"/>
              </w:rPr>
              <w:t>0.38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922693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2B971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50DA20"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CCC602" w14:textId="77777777" w:rsidR="00000000" w:rsidRDefault="00A173A8">
            <w:pPr>
              <w:spacing w:after="100"/>
              <w:jc w:val="right"/>
              <w:rPr>
                <w:rFonts w:eastAsia="Times New Roman"/>
              </w:rPr>
            </w:pPr>
            <w:r>
              <w:rPr>
                <w:rFonts w:eastAsia="Times New Roman"/>
                <w:color w:val="000000"/>
                <w:sz w:val="20"/>
                <w:szCs w:val="20"/>
              </w:rPr>
              <w:t>273,417 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D5000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6F33C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2269AE"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3D12E0" w14:textId="77777777" w:rsidR="00000000" w:rsidRDefault="00A173A8">
            <w:pPr>
              <w:spacing w:after="100"/>
              <w:jc w:val="right"/>
              <w:rPr>
                <w:rFonts w:eastAsia="Times New Roman"/>
              </w:rPr>
            </w:pPr>
            <w:r>
              <w:rPr>
                <w:rFonts w:eastAsia="Times New Roman"/>
                <w:color w:val="000000"/>
                <w:sz w:val="20"/>
                <w:szCs w:val="20"/>
              </w:rPr>
              <w:t>506 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09ECF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D4DEE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773016" w14:textId="77777777" w:rsidR="00000000" w:rsidRDefault="00A173A8">
            <w:pPr>
              <w:spacing w:after="100"/>
              <w:jc w:val="right"/>
              <w:rPr>
                <w:rFonts w:eastAsia="Times New Roman"/>
              </w:rPr>
            </w:pPr>
            <w:r>
              <w:rPr>
                <w:rFonts w:eastAsia="Times New Roman"/>
                <w:color w:val="000000"/>
                <w:sz w:val="20"/>
                <w:szCs w:val="20"/>
              </w:rPr>
              <w:t>0.37 </w:t>
            </w:r>
          </w:p>
        </w:tc>
        <w:tc>
          <w:tcPr>
            <w:tcW w:w="0" w:type="auto"/>
            <w:shd w:val="clear" w:color="auto" w:fill="FFFFFF"/>
            <w:tcMar>
              <w:top w:w="30" w:type="dxa"/>
              <w:left w:w="0" w:type="dxa"/>
              <w:bottom w:w="30" w:type="dxa"/>
              <w:right w:w="20" w:type="dxa"/>
            </w:tcMar>
            <w:vAlign w:val="center"/>
            <w:hideMark/>
          </w:tcPr>
          <w:p w14:paraId="507C875F" w14:textId="77777777" w:rsidR="00000000" w:rsidRDefault="00A173A8">
            <w:pPr>
              <w:spacing w:after="100"/>
              <w:jc w:val="right"/>
              <w:rPr>
                <w:rFonts w:eastAsia="Times New Roman"/>
              </w:rPr>
            </w:pPr>
          </w:p>
        </w:tc>
        <w:tc>
          <w:tcPr>
            <w:tcW w:w="0" w:type="auto"/>
            <w:vAlign w:val="center"/>
            <w:hideMark/>
          </w:tcPr>
          <w:p w14:paraId="54621702" w14:textId="77777777" w:rsidR="00000000" w:rsidRDefault="00A173A8">
            <w:pPr>
              <w:spacing w:after="100"/>
              <w:jc w:val="right"/>
              <w:rPr>
                <w:rFonts w:eastAsia="Times New Roman"/>
                <w:sz w:val="20"/>
                <w:szCs w:val="20"/>
              </w:rPr>
            </w:pPr>
          </w:p>
        </w:tc>
        <w:tc>
          <w:tcPr>
            <w:tcW w:w="0" w:type="auto"/>
            <w:vAlign w:val="center"/>
            <w:hideMark/>
          </w:tcPr>
          <w:p w14:paraId="52199D37" w14:textId="77777777" w:rsidR="00000000" w:rsidRDefault="00A173A8">
            <w:pPr>
              <w:spacing w:after="100"/>
              <w:rPr>
                <w:rFonts w:eastAsia="Times New Roman"/>
                <w:sz w:val="20"/>
                <w:szCs w:val="20"/>
              </w:rPr>
            </w:pPr>
          </w:p>
        </w:tc>
        <w:tc>
          <w:tcPr>
            <w:tcW w:w="0" w:type="auto"/>
            <w:gridSpan w:val="3"/>
            <w:vAlign w:val="center"/>
            <w:hideMark/>
          </w:tcPr>
          <w:p w14:paraId="3BB119A1" w14:textId="77777777" w:rsidR="00000000" w:rsidRDefault="00A173A8">
            <w:pPr>
              <w:spacing w:after="100"/>
              <w:rPr>
                <w:rFonts w:eastAsia="Times New Roman"/>
                <w:sz w:val="20"/>
                <w:szCs w:val="20"/>
              </w:rPr>
            </w:pPr>
          </w:p>
        </w:tc>
        <w:tc>
          <w:tcPr>
            <w:tcW w:w="0" w:type="auto"/>
            <w:gridSpan w:val="3"/>
            <w:vAlign w:val="center"/>
            <w:hideMark/>
          </w:tcPr>
          <w:p w14:paraId="1430F661" w14:textId="77777777" w:rsidR="00000000" w:rsidRDefault="00A173A8">
            <w:pPr>
              <w:spacing w:after="100"/>
              <w:rPr>
                <w:rFonts w:eastAsia="Times New Roman"/>
                <w:sz w:val="20"/>
                <w:szCs w:val="20"/>
              </w:rPr>
            </w:pPr>
          </w:p>
        </w:tc>
        <w:tc>
          <w:tcPr>
            <w:tcW w:w="0" w:type="auto"/>
            <w:gridSpan w:val="3"/>
            <w:vAlign w:val="center"/>
            <w:hideMark/>
          </w:tcPr>
          <w:p w14:paraId="3568A641" w14:textId="77777777" w:rsidR="00000000" w:rsidRDefault="00A173A8">
            <w:pPr>
              <w:spacing w:after="100"/>
              <w:rPr>
                <w:rFonts w:eastAsia="Times New Roman"/>
                <w:sz w:val="20"/>
                <w:szCs w:val="20"/>
              </w:rPr>
            </w:pPr>
          </w:p>
        </w:tc>
        <w:tc>
          <w:tcPr>
            <w:tcW w:w="0" w:type="auto"/>
            <w:gridSpan w:val="3"/>
            <w:vAlign w:val="center"/>
            <w:hideMark/>
          </w:tcPr>
          <w:p w14:paraId="0ABEDC3D" w14:textId="77777777" w:rsidR="00000000" w:rsidRDefault="00A173A8">
            <w:pPr>
              <w:spacing w:after="100"/>
              <w:rPr>
                <w:rFonts w:eastAsia="Times New Roman"/>
                <w:sz w:val="20"/>
                <w:szCs w:val="20"/>
              </w:rPr>
            </w:pPr>
          </w:p>
        </w:tc>
      </w:tr>
    </w:tbl>
    <w:p w14:paraId="2ED47867" w14:textId="77777777" w:rsidR="00000000" w:rsidRDefault="00A173A8">
      <w:pPr>
        <w:jc w:val="both"/>
        <w:divId w:val="955254798"/>
        <w:rPr>
          <w:rFonts w:eastAsia="Times New Roman"/>
        </w:rPr>
      </w:pPr>
      <w:r>
        <w:rPr>
          <w:rFonts w:eastAsia="Times New Roman"/>
          <w:color w:val="000000"/>
          <w:sz w:val="20"/>
          <w:szCs w:val="20"/>
        </w:rPr>
        <w:t>__________</w:t>
      </w:r>
    </w:p>
    <w:p w14:paraId="281BCDED" w14:textId="77777777" w:rsidR="00000000" w:rsidRDefault="00A173A8">
      <w:pPr>
        <w:ind w:hanging="360"/>
        <w:jc w:val="both"/>
        <w:divId w:val="211539670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w:t>
      </w:r>
      <w:r>
        <w:rPr>
          <w:rFonts w:eastAsia="Times New Roman"/>
          <w:color w:val="000000"/>
          <w:sz w:val="16"/>
          <w:szCs w:val="16"/>
        </w:rPr>
        <w:t xml:space="preserve"> negotiable order of withdrawal accounts.</w:t>
      </w:r>
    </w:p>
    <w:p w14:paraId="4DB7D404" w14:textId="77777777" w:rsidR="00000000" w:rsidRDefault="00A173A8">
      <w:pPr>
        <w:ind w:hanging="360"/>
        <w:jc w:val="both"/>
        <w:divId w:val="190880211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money market deposit accounts.</w:t>
      </w:r>
    </w:p>
    <w:p w14:paraId="204D6BE8" w14:textId="77777777" w:rsidR="00000000" w:rsidRDefault="00A173A8">
      <w:pPr>
        <w:jc w:val="both"/>
        <w:divId w:val="2077048974"/>
        <w:rPr>
          <w:rFonts w:eastAsia="Times New Roman"/>
        </w:rPr>
      </w:pPr>
      <w:r>
        <w:rPr>
          <w:rFonts w:eastAsia="Times New Roman"/>
          <w:color w:val="000000"/>
          <w:sz w:val="20"/>
          <w:szCs w:val="20"/>
        </w:rPr>
        <w:t>The FDIC limits the acceptance of brokered deposits to well-capitalized insured depository institutions and, with a waiver from the FDIC, to adequately-capitalized institu</w:t>
      </w:r>
      <w:r>
        <w:rPr>
          <w:rFonts w:eastAsia="Times New Roman"/>
          <w:color w:val="000000"/>
          <w:sz w:val="20"/>
          <w:szCs w:val="20"/>
        </w:rPr>
        <w:t xml:space="preserve">tions. Both </w:t>
      </w:r>
      <w:r>
        <w:rPr>
          <w:rFonts w:eastAsia="Times New Roman"/>
          <w:color w:val="000000"/>
          <w:sz w:val="20"/>
          <w:szCs w:val="20"/>
          <w:shd w:val="clear" w:color="auto" w:fill="FFFFFF"/>
        </w:rPr>
        <w:t>COBNA and CONA were well-capitalized</w:t>
      </w:r>
      <w:r>
        <w:rPr>
          <w:rFonts w:eastAsia="Times New Roman"/>
          <w:color w:val="000000"/>
          <w:sz w:val="20"/>
          <w:szCs w:val="20"/>
        </w:rPr>
        <w:t xml:space="preserve">, as defined under the federal banking regulatory guidelines, as of </w:t>
      </w:r>
      <w:r>
        <w:rPr>
          <w:rFonts w:eastAsia="Times New Roman"/>
          <w:color w:val="000000"/>
          <w:sz w:val="20"/>
          <w:szCs w:val="20"/>
          <w:shd w:val="clear" w:color="auto" w:fill="FFFFFF"/>
        </w:rPr>
        <w:t>June 30, 2022</w:t>
      </w:r>
      <w:r>
        <w:rPr>
          <w:rFonts w:eastAsia="Times New Roman"/>
          <w:color w:val="000000"/>
          <w:sz w:val="20"/>
          <w:szCs w:val="20"/>
        </w:rPr>
        <w:t xml:space="preserve"> and December 31, 2021. See “Part I—Item 1. Business—Supervision and Regulation” in our 2021 Form 10-K for additional informati</w:t>
      </w:r>
      <w:r>
        <w:rPr>
          <w:rFonts w:eastAsia="Times New Roman"/>
          <w:color w:val="000000"/>
          <w:sz w:val="20"/>
          <w:szCs w:val="20"/>
        </w:rPr>
        <w:t>on. We provide additional information on the composition of deposits in “MD&amp;A—Consolidated Balance Sheets Analysis—Funding Sources Composition” and in “Note 7—Deposits and Borrowings.”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FB37089" w14:textId="77777777">
        <w:trPr>
          <w:divId w:val="1659458521"/>
          <w:jc w:val="center"/>
        </w:trPr>
        <w:tc>
          <w:tcPr>
            <w:tcW w:w="50" w:type="pct"/>
            <w:vAlign w:val="center"/>
            <w:hideMark/>
          </w:tcPr>
          <w:p w14:paraId="55315D93" w14:textId="77777777" w:rsidR="00000000" w:rsidRDefault="00A173A8">
            <w:pPr>
              <w:jc w:val="both"/>
              <w:rPr>
                <w:rFonts w:eastAsia="Times New Roman"/>
              </w:rPr>
            </w:pPr>
          </w:p>
        </w:tc>
        <w:tc>
          <w:tcPr>
            <w:tcW w:w="1606" w:type="pct"/>
            <w:vAlign w:val="center"/>
            <w:hideMark/>
          </w:tcPr>
          <w:p w14:paraId="61DFB661" w14:textId="77777777" w:rsidR="00000000" w:rsidRDefault="00A173A8">
            <w:pPr>
              <w:spacing w:after="100"/>
              <w:rPr>
                <w:rFonts w:eastAsia="Times New Roman"/>
                <w:sz w:val="20"/>
                <w:szCs w:val="20"/>
              </w:rPr>
            </w:pPr>
          </w:p>
        </w:tc>
        <w:tc>
          <w:tcPr>
            <w:tcW w:w="5" w:type="pct"/>
            <w:vAlign w:val="center"/>
            <w:hideMark/>
          </w:tcPr>
          <w:p w14:paraId="5E64893E" w14:textId="77777777" w:rsidR="00000000" w:rsidRDefault="00A173A8">
            <w:pPr>
              <w:spacing w:after="100"/>
              <w:rPr>
                <w:rFonts w:eastAsia="Times New Roman"/>
                <w:sz w:val="20"/>
                <w:szCs w:val="20"/>
              </w:rPr>
            </w:pPr>
          </w:p>
        </w:tc>
        <w:tc>
          <w:tcPr>
            <w:tcW w:w="50" w:type="pct"/>
            <w:vAlign w:val="center"/>
            <w:hideMark/>
          </w:tcPr>
          <w:p w14:paraId="51F1FFD7" w14:textId="77777777" w:rsidR="00000000" w:rsidRDefault="00A173A8">
            <w:pPr>
              <w:spacing w:after="100"/>
              <w:rPr>
                <w:rFonts w:eastAsia="Times New Roman"/>
                <w:sz w:val="20"/>
                <w:szCs w:val="20"/>
              </w:rPr>
            </w:pPr>
          </w:p>
        </w:tc>
        <w:tc>
          <w:tcPr>
            <w:tcW w:w="1614" w:type="pct"/>
            <w:vAlign w:val="center"/>
            <w:hideMark/>
          </w:tcPr>
          <w:p w14:paraId="4BF0BFA9" w14:textId="77777777" w:rsidR="00000000" w:rsidRDefault="00A173A8">
            <w:pPr>
              <w:spacing w:after="100"/>
              <w:rPr>
                <w:rFonts w:eastAsia="Times New Roman"/>
                <w:sz w:val="20"/>
                <w:szCs w:val="20"/>
              </w:rPr>
            </w:pPr>
          </w:p>
        </w:tc>
        <w:tc>
          <w:tcPr>
            <w:tcW w:w="5" w:type="pct"/>
            <w:vAlign w:val="center"/>
            <w:hideMark/>
          </w:tcPr>
          <w:p w14:paraId="6DF58717" w14:textId="77777777" w:rsidR="00000000" w:rsidRDefault="00A173A8">
            <w:pPr>
              <w:spacing w:after="100"/>
              <w:rPr>
                <w:rFonts w:eastAsia="Times New Roman"/>
                <w:sz w:val="20"/>
                <w:szCs w:val="20"/>
              </w:rPr>
            </w:pPr>
          </w:p>
        </w:tc>
        <w:tc>
          <w:tcPr>
            <w:tcW w:w="50" w:type="pct"/>
            <w:vAlign w:val="center"/>
            <w:hideMark/>
          </w:tcPr>
          <w:p w14:paraId="7F4C6F3E" w14:textId="77777777" w:rsidR="00000000" w:rsidRDefault="00A173A8">
            <w:pPr>
              <w:spacing w:after="100"/>
              <w:rPr>
                <w:rFonts w:eastAsia="Times New Roman"/>
                <w:sz w:val="20"/>
                <w:szCs w:val="20"/>
              </w:rPr>
            </w:pPr>
          </w:p>
        </w:tc>
        <w:tc>
          <w:tcPr>
            <w:tcW w:w="1614" w:type="pct"/>
            <w:vAlign w:val="center"/>
            <w:hideMark/>
          </w:tcPr>
          <w:p w14:paraId="3254A153" w14:textId="77777777" w:rsidR="00000000" w:rsidRDefault="00A173A8">
            <w:pPr>
              <w:spacing w:after="100"/>
              <w:rPr>
                <w:rFonts w:eastAsia="Times New Roman"/>
                <w:sz w:val="20"/>
                <w:szCs w:val="20"/>
              </w:rPr>
            </w:pPr>
          </w:p>
        </w:tc>
        <w:tc>
          <w:tcPr>
            <w:tcW w:w="5" w:type="pct"/>
            <w:vAlign w:val="center"/>
            <w:hideMark/>
          </w:tcPr>
          <w:p w14:paraId="73BDB41B" w14:textId="77777777" w:rsidR="00000000" w:rsidRDefault="00A173A8">
            <w:pPr>
              <w:spacing w:after="100"/>
              <w:rPr>
                <w:rFonts w:eastAsia="Times New Roman"/>
                <w:sz w:val="20"/>
                <w:szCs w:val="20"/>
              </w:rPr>
            </w:pPr>
          </w:p>
        </w:tc>
      </w:tr>
      <w:tr w:rsidR="00000000" w14:paraId="08995B36" w14:textId="77777777">
        <w:trPr>
          <w:divId w:val="1659458521"/>
          <w:trHeight w:val="300"/>
          <w:jc w:val="center"/>
        </w:trPr>
        <w:tc>
          <w:tcPr>
            <w:tcW w:w="0" w:type="auto"/>
            <w:gridSpan w:val="9"/>
            <w:tcMar>
              <w:top w:w="0" w:type="dxa"/>
              <w:left w:w="20" w:type="dxa"/>
              <w:bottom w:w="0" w:type="dxa"/>
              <w:right w:w="20" w:type="dxa"/>
            </w:tcMar>
            <w:vAlign w:val="center"/>
            <w:hideMark/>
          </w:tcPr>
          <w:p w14:paraId="31F11402" w14:textId="77777777" w:rsidR="00000000" w:rsidRDefault="00A173A8">
            <w:pPr>
              <w:spacing w:after="100"/>
              <w:rPr>
                <w:rFonts w:eastAsia="Times New Roman"/>
                <w:sz w:val="20"/>
                <w:szCs w:val="20"/>
              </w:rPr>
            </w:pPr>
          </w:p>
        </w:tc>
      </w:tr>
      <w:tr w:rsidR="00000000" w14:paraId="43482F6F" w14:textId="77777777">
        <w:trPr>
          <w:divId w:val="1659458521"/>
          <w:jc w:val="center"/>
        </w:trPr>
        <w:tc>
          <w:tcPr>
            <w:tcW w:w="0" w:type="auto"/>
            <w:gridSpan w:val="3"/>
            <w:tcMar>
              <w:top w:w="0" w:type="dxa"/>
              <w:left w:w="20" w:type="dxa"/>
              <w:bottom w:w="0" w:type="dxa"/>
              <w:right w:w="20" w:type="dxa"/>
            </w:tcMar>
            <w:vAlign w:val="center"/>
            <w:hideMark/>
          </w:tcPr>
          <w:p w14:paraId="7E4CC8DB"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2C27A22" w14:textId="77777777" w:rsidR="00000000" w:rsidRDefault="00A173A8">
            <w:pPr>
              <w:spacing w:after="100"/>
              <w:jc w:val="center"/>
              <w:rPr>
                <w:rFonts w:eastAsia="Times New Roman"/>
              </w:rPr>
            </w:pPr>
            <w:r>
              <w:rPr>
                <w:rFonts w:eastAsia="Times New Roman"/>
                <w:color w:val="000000"/>
                <w:sz w:val="16"/>
                <w:szCs w:val="16"/>
              </w:rPr>
              <w:t>48</w:t>
            </w:r>
          </w:p>
        </w:tc>
        <w:tc>
          <w:tcPr>
            <w:tcW w:w="0" w:type="auto"/>
            <w:gridSpan w:val="3"/>
            <w:tcMar>
              <w:top w:w="30" w:type="dxa"/>
              <w:left w:w="20" w:type="dxa"/>
              <w:bottom w:w="30" w:type="dxa"/>
              <w:right w:w="20" w:type="dxa"/>
            </w:tcMar>
            <w:vAlign w:val="bottom"/>
            <w:hideMark/>
          </w:tcPr>
          <w:p w14:paraId="59D45EDD"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350856C" w14:textId="77777777" w:rsidR="00000000" w:rsidRDefault="00A173A8">
      <w:pPr>
        <w:rPr>
          <w:rFonts w:eastAsia="Times New Roman"/>
        </w:rPr>
      </w:pPr>
      <w:r>
        <w:rPr>
          <w:rFonts w:eastAsia="Times New Roman"/>
        </w:rPr>
        <w:pict w14:anchorId="26534823">
          <v:rect id="_x0000_i1073" style="width:0;height:1.5pt" o:hralign="center" o:hrstd="t" o:hr="t" fillcolor="#a0a0a0" stroked="f"/>
        </w:pict>
      </w:r>
    </w:p>
    <w:p w14:paraId="031B60BF" w14:textId="77777777" w:rsidR="00000000" w:rsidRDefault="00A173A8">
      <w:pPr>
        <w:ind w:hanging="360"/>
        <w:jc w:val="both"/>
        <w:divId w:val="1815445347"/>
        <w:rPr>
          <w:rFonts w:eastAsia="Times New Roman"/>
        </w:rPr>
      </w:pPr>
      <w:hyperlink w:anchor="i7ffd5d61af6f4722b1b1b07530d51c06_13" w:history="1">
        <w:r>
          <w:rPr>
            <w:rStyle w:val="a3"/>
            <w:rFonts w:eastAsia="Times New Roman"/>
            <w:sz w:val="16"/>
            <w:szCs w:val="16"/>
          </w:rPr>
          <w:t>Table of Contents</w:t>
        </w:r>
      </w:hyperlink>
    </w:p>
    <w:p w14:paraId="4C5B3110" w14:textId="77777777" w:rsidR="00000000" w:rsidRDefault="00A173A8">
      <w:pPr>
        <w:divId w:val="1349216597"/>
        <w:rPr>
          <w:rFonts w:eastAsia="Times New Roman"/>
        </w:rPr>
      </w:pPr>
      <w:r>
        <w:rPr>
          <w:rFonts w:eastAsia="Times New Roman"/>
          <w:b/>
          <w:bCs/>
          <w:color w:val="000000"/>
          <w:sz w:val="20"/>
          <w:szCs w:val="20"/>
        </w:rPr>
        <w:t>Funding</w:t>
      </w:r>
    </w:p>
    <w:p w14:paraId="61761D10" w14:textId="77777777" w:rsidR="00000000" w:rsidRDefault="00A173A8">
      <w:pPr>
        <w:jc w:val="both"/>
        <w:divId w:val="110899002"/>
        <w:rPr>
          <w:rFonts w:eastAsia="Times New Roman"/>
        </w:rPr>
      </w:pPr>
      <w:r>
        <w:rPr>
          <w:rFonts w:eastAsia="Times New Roman"/>
          <w:color w:val="000000"/>
          <w:sz w:val="20"/>
          <w:szCs w:val="20"/>
        </w:rPr>
        <w:t>Our primary source of funding comes from deposits, as they are a stable and relatively low cost source of funding. In addition to deposits, we raise funding through the issuance of senior and subordinated notes and securitized debt obligations, federal fun</w:t>
      </w:r>
      <w:r>
        <w:rPr>
          <w:rFonts w:eastAsia="Times New Roman"/>
          <w:color w:val="000000"/>
          <w:sz w:val="20"/>
          <w:szCs w:val="20"/>
        </w:rPr>
        <w:t xml:space="preserve">ds purchased, securities loaned or sold under agreements to repurchase and FHLB advances secured by certain portions of our loan and securities portfolios. A key objective in our use of these markets is to maintain access to a diversified mix of wholesale </w:t>
      </w:r>
      <w:r>
        <w:rPr>
          <w:rFonts w:eastAsia="Times New Roman"/>
          <w:color w:val="000000"/>
          <w:sz w:val="20"/>
          <w:szCs w:val="20"/>
        </w:rPr>
        <w:t>funding sources. See “MD&amp;A—Consolidated Balance Sheets Analysis—Funding Sources Composition” for additional information on our primary sources of funding.</w:t>
      </w:r>
    </w:p>
    <w:p w14:paraId="0B45CF06" w14:textId="77777777" w:rsidR="00000000" w:rsidRDefault="00A173A8">
      <w:pPr>
        <w:divId w:val="1257247897"/>
        <w:rPr>
          <w:rFonts w:eastAsia="Times New Roman"/>
        </w:rPr>
      </w:pPr>
      <w:r>
        <w:rPr>
          <w:rFonts w:eastAsia="Times New Roman"/>
          <w:b/>
          <w:bCs/>
          <w:i/>
          <w:iCs/>
          <w:color w:val="000000"/>
          <w:sz w:val="20"/>
          <w:szCs w:val="20"/>
        </w:rPr>
        <w:t>Short-Term Borrowings and Long-Term Debt</w:t>
      </w:r>
    </w:p>
    <w:p w14:paraId="1023D55A" w14:textId="77777777" w:rsidR="00000000" w:rsidRDefault="00A173A8">
      <w:pPr>
        <w:jc w:val="both"/>
        <w:divId w:val="802888923"/>
        <w:rPr>
          <w:rFonts w:eastAsia="Times New Roman"/>
        </w:rPr>
      </w:pPr>
      <w:r>
        <w:rPr>
          <w:rFonts w:eastAsia="Times New Roman"/>
          <w:color w:val="000000"/>
          <w:sz w:val="20"/>
          <w:szCs w:val="20"/>
        </w:rPr>
        <w:t>We access the capital markets to meet our funding needs thro</w:t>
      </w:r>
      <w:r>
        <w:rPr>
          <w:rFonts w:eastAsia="Times New Roman"/>
          <w:color w:val="000000"/>
          <w:sz w:val="20"/>
          <w:szCs w:val="20"/>
        </w:rPr>
        <w:t>ugh the issuance of senior and subordinated notes, securitized debt obligations and federal funds purchased and securities loaned or sold under agreements to repurchase. In addition, we have access to short-term and long-term FHLB advances secured by certa</w:t>
      </w:r>
      <w:r>
        <w:rPr>
          <w:rFonts w:eastAsia="Times New Roman"/>
          <w:color w:val="000000"/>
          <w:sz w:val="20"/>
          <w:szCs w:val="20"/>
        </w:rPr>
        <w:t xml:space="preserve">in investment securities, multifamily real estate loans and commercial real estate loans. </w:t>
      </w:r>
    </w:p>
    <w:p w14:paraId="49BC8BB3" w14:textId="77777777" w:rsidR="00000000" w:rsidRDefault="00A173A8">
      <w:pPr>
        <w:jc w:val="both"/>
        <w:divId w:val="2128884216"/>
        <w:rPr>
          <w:rFonts w:eastAsia="Times New Roman"/>
        </w:rPr>
      </w:pPr>
      <w:r>
        <w:rPr>
          <w:rFonts w:eastAsia="Times New Roman"/>
          <w:color w:val="000000"/>
          <w:sz w:val="20"/>
          <w:szCs w:val="20"/>
        </w:rPr>
        <w:t>Our short-term borrowings, which includes those borrowings with an original contractual maturity of one year or less and do not include the current portion of long-t</w:t>
      </w:r>
      <w:r>
        <w:rPr>
          <w:rFonts w:eastAsia="Times New Roman"/>
          <w:color w:val="000000"/>
          <w:sz w:val="20"/>
          <w:szCs w:val="20"/>
        </w:rPr>
        <w:t>erm debt and consists of federal funds purchased and securities loaned or sold under agreements to repurchase, decreased by $380 million to $440 million as of June 30, 2022 from December 31, 2021 driven by a decrease in repurchase agreements.</w:t>
      </w:r>
    </w:p>
    <w:p w14:paraId="61484018" w14:textId="77777777" w:rsidR="00000000" w:rsidRDefault="00A173A8">
      <w:pPr>
        <w:jc w:val="both"/>
        <w:divId w:val="450707474"/>
        <w:rPr>
          <w:rFonts w:eastAsia="Times New Roman"/>
        </w:rPr>
      </w:pPr>
      <w:r>
        <w:rPr>
          <w:rFonts w:eastAsia="Times New Roman"/>
          <w:color w:val="000000"/>
          <w:sz w:val="20"/>
          <w:szCs w:val="20"/>
        </w:rPr>
        <w:t>Our long-term</w:t>
      </w:r>
      <w:r>
        <w:rPr>
          <w:rFonts w:eastAsia="Times New Roman"/>
          <w:color w:val="000000"/>
          <w:sz w:val="20"/>
          <w:szCs w:val="20"/>
        </w:rPr>
        <w:t xml:space="preserve"> funding, which primarily consists of securitized debt obligations and senior and subordinated notes, increased by $16.2 billion to $58.5 billion as of June 30, 2022 from December 31, 2021 primarily driven by FHLB advances, net issuances of senior and subo</w:t>
      </w:r>
      <w:r>
        <w:rPr>
          <w:rFonts w:eastAsia="Times New Roman"/>
          <w:color w:val="000000"/>
          <w:sz w:val="20"/>
          <w:szCs w:val="20"/>
        </w:rPr>
        <w:t>rdinates notes, and net issuances in our credit card and auto securitization programs. We provide more information on our securitization activity in “Note 5—Variable Interest Entities and Securitizations.”</w:t>
      </w:r>
    </w:p>
    <w:p w14:paraId="2BCFD267" w14:textId="77777777" w:rsidR="00000000" w:rsidRDefault="00A173A8">
      <w:pPr>
        <w:jc w:val="both"/>
        <w:divId w:val="394351339"/>
        <w:rPr>
          <w:rFonts w:eastAsia="Times New Roman"/>
        </w:rPr>
      </w:pPr>
      <w:r>
        <w:rPr>
          <w:rFonts w:eastAsia="Times New Roman"/>
          <w:color w:val="000000"/>
          <w:sz w:val="20"/>
          <w:szCs w:val="20"/>
        </w:rPr>
        <w:t>The following table summarizes issuances of securi</w:t>
      </w:r>
      <w:r>
        <w:rPr>
          <w:rFonts w:eastAsia="Times New Roman"/>
          <w:color w:val="000000"/>
          <w:sz w:val="20"/>
          <w:szCs w:val="20"/>
        </w:rPr>
        <w:t>tized debt obligations, senior and subordinated notes and their respective maturities or redemptions for the second quarter and first six months of 2022 and 2021. We did not have any such issuances for the second quarter and first six months of 2021.</w:t>
      </w:r>
    </w:p>
    <w:p w14:paraId="5EC792A8" w14:textId="77777777" w:rsidR="00000000" w:rsidRDefault="00A173A8">
      <w:pPr>
        <w:divId w:val="751390831"/>
        <w:rPr>
          <w:rFonts w:eastAsia="Times New Roman"/>
        </w:rPr>
      </w:pPr>
      <w:r>
        <w:rPr>
          <w:rFonts w:eastAsia="Times New Roman"/>
          <w:b/>
          <w:bCs/>
          <w:color w:val="000000"/>
          <w:sz w:val="20"/>
          <w:szCs w:val="20"/>
        </w:rPr>
        <w:t>Table</w:t>
      </w:r>
      <w:r>
        <w:rPr>
          <w:rFonts w:eastAsia="Times New Roman"/>
          <w:b/>
          <w:bCs/>
          <w:color w:val="000000"/>
          <w:sz w:val="20"/>
          <w:szCs w:val="20"/>
        </w:rPr>
        <w:t xml:space="preserve"> 32: Long-Term Debt Funding Activities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025"/>
        <w:gridCol w:w="38"/>
        <w:gridCol w:w="36"/>
        <w:gridCol w:w="36"/>
        <w:gridCol w:w="36"/>
        <w:gridCol w:w="120"/>
        <w:gridCol w:w="600"/>
        <w:gridCol w:w="36"/>
        <w:gridCol w:w="36"/>
        <w:gridCol w:w="36"/>
        <w:gridCol w:w="36"/>
        <w:gridCol w:w="121"/>
        <w:gridCol w:w="406"/>
        <w:gridCol w:w="37"/>
        <w:gridCol w:w="46"/>
        <w:gridCol w:w="1872"/>
        <w:gridCol w:w="36"/>
        <w:gridCol w:w="36"/>
        <w:gridCol w:w="36"/>
        <w:gridCol w:w="120"/>
        <w:gridCol w:w="503"/>
        <w:gridCol w:w="36"/>
        <w:gridCol w:w="36"/>
        <w:gridCol w:w="36"/>
        <w:gridCol w:w="36"/>
        <w:gridCol w:w="120"/>
        <w:gridCol w:w="503"/>
        <w:gridCol w:w="36"/>
        <w:gridCol w:w="36"/>
        <w:gridCol w:w="36"/>
        <w:gridCol w:w="36"/>
        <w:gridCol w:w="36"/>
        <w:gridCol w:w="36"/>
        <w:gridCol w:w="36"/>
      </w:tblGrid>
      <w:tr w:rsidR="00000000" w14:paraId="1B6E6212" w14:textId="77777777">
        <w:trPr>
          <w:divId w:val="86007599"/>
        </w:trPr>
        <w:tc>
          <w:tcPr>
            <w:tcW w:w="50" w:type="pct"/>
            <w:vAlign w:val="center"/>
            <w:hideMark/>
          </w:tcPr>
          <w:p w14:paraId="29521DAF" w14:textId="77777777" w:rsidR="00000000" w:rsidRDefault="00A173A8">
            <w:pPr>
              <w:rPr>
                <w:rFonts w:eastAsia="Times New Roman"/>
              </w:rPr>
            </w:pPr>
          </w:p>
        </w:tc>
        <w:tc>
          <w:tcPr>
            <w:tcW w:w="2605" w:type="pct"/>
            <w:vAlign w:val="center"/>
            <w:hideMark/>
          </w:tcPr>
          <w:p w14:paraId="4E499691" w14:textId="77777777" w:rsidR="00000000" w:rsidRDefault="00A173A8">
            <w:pPr>
              <w:spacing w:after="100"/>
              <w:rPr>
                <w:rFonts w:eastAsia="Times New Roman"/>
                <w:sz w:val="20"/>
                <w:szCs w:val="20"/>
              </w:rPr>
            </w:pPr>
          </w:p>
        </w:tc>
        <w:tc>
          <w:tcPr>
            <w:tcW w:w="5" w:type="pct"/>
            <w:vAlign w:val="center"/>
            <w:hideMark/>
          </w:tcPr>
          <w:p w14:paraId="78222A44" w14:textId="77777777" w:rsidR="00000000" w:rsidRDefault="00A173A8">
            <w:pPr>
              <w:spacing w:after="100"/>
              <w:rPr>
                <w:rFonts w:eastAsia="Times New Roman"/>
                <w:sz w:val="20"/>
                <w:szCs w:val="20"/>
              </w:rPr>
            </w:pPr>
          </w:p>
        </w:tc>
        <w:tc>
          <w:tcPr>
            <w:tcW w:w="5" w:type="pct"/>
            <w:vAlign w:val="center"/>
            <w:hideMark/>
          </w:tcPr>
          <w:p w14:paraId="51BC5AA1" w14:textId="77777777" w:rsidR="00000000" w:rsidRDefault="00A173A8">
            <w:pPr>
              <w:spacing w:after="100"/>
              <w:rPr>
                <w:rFonts w:eastAsia="Times New Roman"/>
                <w:sz w:val="20"/>
                <w:szCs w:val="20"/>
              </w:rPr>
            </w:pPr>
          </w:p>
        </w:tc>
        <w:tc>
          <w:tcPr>
            <w:tcW w:w="26" w:type="pct"/>
            <w:vAlign w:val="center"/>
            <w:hideMark/>
          </w:tcPr>
          <w:p w14:paraId="41EDA9EE" w14:textId="77777777" w:rsidR="00000000" w:rsidRDefault="00A173A8">
            <w:pPr>
              <w:spacing w:after="100"/>
              <w:rPr>
                <w:rFonts w:eastAsia="Times New Roman"/>
                <w:sz w:val="20"/>
                <w:szCs w:val="20"/>
              </w:rPr>
            </w:pPr>
          </w:p>
        </w:tc>
        <w:tc>
          <w:tcPr>
            <w:tcW w:w="5" w:type="pct"/>
            <w:vAlign w:val="center"/>
            <w:hideMark/>
          </w:tcPr>
          <w:p w14:paraId="559CE853" w14:textId="77777777" w:rsidR="00000000" w:rsidRDefault="00A173A8">
            <w:pPr>
              <w:spacing w:after="100"/>
              <w:rPr>
                <w:rFonts w:eastAsia="Times New Roman"/>
                <w:sz w:val="20"/>
                <w:szCs w:val="20"/>
              </w:rPr>
            </w:pPr>
          </w:p>
        </w:tc>
        <w:tc>
          <w:tcPr>
            <w:tcW w:w="50" w:type="pct"/>
            <w:vAlign w:val="center"/>
            <w:hideMark/>
          </w:tcPr>
          <w:p w14:paraId="7F89A252" w14:textId="77777777" w:rsidR="00000000" w:rsidRDefault="00A173A8">
            <w:pPr>
              <w:spacing w:after="100"/>
              <w:rPr>
                <w:rFonts w:eastAsia="Times New Roman"/>
                <w:sz w:val="20"/>
                <w:szCs w:val="20"/>
              </w:rPr>
            </w:pPr>
          </w:p>
        </w:tc>
        <w:tc>
          <w:tcPr>
            <w:tcW w:w="493" w:type="pct"/>
            <w:vAlign w:val="center"/>
            <w:hideMark/>
          </w:tcPr>
          <w:p w14:paraId="5E2532C0" w14:textId="77777777" w:rsidR="00000000" w:rsidRDefault="00A173A8">
            <w:pPr>
              <w:spacing w:after="100"/>
              <w:rPr>
                <w:rFonts w:eastAsia="Times New Roman"/>
                <w:sz w:val="20"/>
                <w:szCs w:val="20"/>
              </w:rPr>
            </w:pPr>
          </w:p>
        </w:tc>
        <w:tc>
          <w:tcPr>
            <w:tcW w:w="5" w:type="pct"/>
            <w:vAlign w:val="center"/>
            <w:hideMark/>
          </w:tcPr>
          <w:p w14:paraId="5418DF78" w14:textId="77777777" w:rsidR="00000000" w:rsidRDefault="00A173A8">
            <w:pPr>
              <w:spacing w:after="100"/>
              <w:rPr>
                <w:rFonts w:eastAsia="Times New Roman"/>
                <w:sz w:val="20"/>
                <w:szCs w:val="20"/>
              </w:rPr>
            </w:pPr>
          </w:p>
        </w:tc>
        <w:tc>
          <w:tcPr>
            <w:tcW w:w="5" w:type="pct"/>
            <w:vAlign w:val="center"/>
            <w:hideMark/>
          </w:tcPr>
          <w:p w14:paraId="5941D1C3" w14:textId="77777777" w:rsidR="00000000" w:rsidRDefault="00A173A8">
            <w:pPr>
              <w:spacing w:after="100"/>
              <w:rPr>
                <w:rFonts w:eastAsia="Times New Roman"/>
                <w:sz w:val="20"/>
                <w:szCs w:val="20"/>
              </w:rPr>
            </w:pPr>
          </w:p>
        </w:tc>
        <w:tc>
          <w:tcPr>
            <w:tcW w:w="26" w:type="pct"/>
            <w:vAlign w:val="center"/>
            <w:hideMark/>
          </w:tcPr>
          <w:p w14:paraId="4D191781" w14:textId="77777777" w:rsidR="00000000" w:rsidRDefault="00A173A8">
            <w:pPr>
              <w:spacing w:after="100"/>
              <w:rPr>
                <w:rFonts w:eastAsia="Times New Roman"/>
                <w:sz w:val="20"/>
                <w:szCs w:val="20"/>
              </w:rPr>
            </w:pPr>
          </w:p>
        </w:tc>
        <w:tc>
          <w:tcPr>
            <w:tcW w:w="5" w:type="pct"/>
            <w:vAlign w:val="center"/>
            <w:hideMark/>
          </w:tcPr>
          <w:p w14:paraId="56A79EC2" w14:textId="77777777" w:rsidR="00000000" w:rsidRDefault="00A173A8">
            <w:pPr>
              <w:spacing w:after="100"/>
              <w:rPr>
                <w:rFonts w:eastAsia="Times New Roman"/>
                <w:sz w:val="20"/>
                <w:szCs w:val="20"/>
              </w:rPr>
            </w:pPr>
          </w:p>
        </w:tc>
        <w:tc>
          <w:tcPr>
            <w:tcW w:w="50" w:type="pct"/>
            <w:vAlign w:val="center"/>
            <w:hideMark/>
          </w:tcPr>
          <w:p w14:paraId="77824BB8" w14:textId="77777777" w:rsidR="00000000" w:rsidRDefault="00A173A8">
            <w:pPr>
              <w:spacing w:after="100"/>
              <w:rPr>
                <w:rFonts w:eastAsia="Times New Roman"/>
                <w:sz w:val="20"/>
                <w:szCs w:val="20"/>
              </w:rPr>
            </w:pPr>
          </w:p>
        </w:tc>
        <w:tc>
          <w:tcPr>
            <w:tcW w:w="493" w:type="pct"/>
            <w:vAlign w:val="center"/>
            <w:hideMark/>
          </w:tcPr>
          <w:p w14:paraId="5C9FCA7A" w14:textId="77777777" w:rsidR="00000000" w:rsidRDefault="00A173A8">
            <w:pPr>
              <w:spacing w:after="100"/>
              <w:rPr>
                <w:rFonts w:eastAsia="Times New Roman"/>
                <w:sz w:val="20"/>
                <w:szCs w:val="20"/>
              </w:rPr>
            </w:pPr>
          </w:p>
        </w:tc>
        <w:tc>
          <w:tcPr>
            <w:tcW w:w="5" w:type="pct"/>
            <w:vAlign w:val="center"/>
            <w:hideMark/>
          </w:tcPr>
          <w:p w14:paraId="7927953D" w14:textId="77777777" w:rsidR="00000000" w:rsidRDefault="00A173A8">
            <w:pPr>
              <w:spacing w:after="100"/>
              <w:rPr>
                <w:rFonts w:eastAsia="Times New Roman"/>
                <w:sz w:val="20"/>
                <w:szCs w:val="20"/>
              </w:rPr>
            </w:pPr>
          </w:p>
        </w:tc>
        <w:tc>
          <w:tcPr>
            <w:tcW w:w="0" w:type="auto"/>
            <w:vAlign w:val="center"/>
            <w:hideMark/>
          </w:tcPr>
          <w:p w14:paraId="7E954D14" w14:textId="77777777" w:rsidR="00000000" w:rsidRDefault="00A173A8">
            <w:pPr>
              <w:spacing w:after="100"/>
              <w:rPr>
                <w:rFonts w:eastAsia="Times New Roman"/>
                <w:sz w:val="20"/>
                <w:szCs w:val="20"/>
              </w:rPr>
            </w:pPr>
          </w:p>
        </w:tc>
        <w:tc>
          <w:tcPr>
            <w:tcW w:w="0" w:type="auto"/>
            <w:vAlign w:val="center"/>
            <w:hideMark/>
          </w:tcPr>
          <w:p w14:paraId="40BAE549" w14:textId="77777777" w:rsidR="00000000" w:rsidRDefault="00A173A8">
            <w:pPr>
              <w:spacing w:after="100"/>
              <w:rPr>
                <w:rFonts w:eastAsia="Times New Roman"/>
                <w:sz w:val="20"/>
                <w:szCs w:val="20"/>
              </w:rPr>
            </w:pPr>
          </w:p>
        </w:tc>
        <w:tc>
          <w:tcPr>
            <w:tcW w:w="5" w:type="pct"/>
            <w:vAlign w:val="center"/>
            <w:hideMark/>
          </w:tcPr>
          <w:p w14:paraId="5CFB0672" w14:textId="77777777" w:rsidR="00000000" w:rsidRDefault="00A173A8">
            <w:pPr>
              <w:spacing w:after="100"/>
              <w:rPr>
                <w:rFonts w:eastAsia="Times New Roman"/>
                <w:sz w:val="20"/>
                <w:szCs w:val="20"/>
              </w:rPr>
            </w:pPr>
          </w:p>
        </w:tc>
        <w:tc>
          <w:tcPr>
            <w:tcW w:w="26" w:type="pct"/>
            <w:vAlign w:val="center"/>
            <w:hideMark/>
          </w:tcPr>
          <w:p w14:paraId="253336F5" w14:textId="77777777" w:rsidR="00000000" w:rsidRDefault="00A173A8">
            <w:pPr>
              <w:spacing w:after="100"/>
              <w:rPr>
                <w:rFonts w:eastAsia="Times New Roman"/>
                <w:sz w:val="20"/>
                <w:szCs w:val="20"/>
              </w:rPr>
            </w:pPr>
          </w:p>
        </w:tc>
        <w:tc>
          <w:tcPr>
            <w:tcW w:w="5" w:type="pct"/>
            <w:vAlign w:val="center"/>
            <w:hideMark/>
          </w:tcPr>
          <w:p w14:paraId="38D00BED" w14:textId="77777777" w:rsidR="00000000" w:rsidRDefault="00A173A8">
            <w:pPr>
              <w:spacing w:after="100"/>
              <w:rPr>
                <w:rFonts w:eastAsia="Times New Roman"/>
                <w:sz w:val="20"/>
                <w:szCs w:val="20"/>
              </w:rPr>
            </w:pPr>
          </w:p>
        </w:tc>
        <w:tc>
          <w:tcPr>
            <w:tcW w:w="50" w:type="pct"/>
            <w:vAlign w:val="center"/>
            <w:hideMark/>
          </w:tcPr>
          <w:p w14:paraId="20666269" w14:textId="77777777" w:rsidR="00000000" w:rsidRDefault="00A173A8">
            <w:pPr>
              <w:spacing w:after="100"/>
              <w:rPr>
                <w:rFonts w:eastAsia="Times New Roman"/>
                <w:sz w:val="20"/>
                <w:szCs w:val="20"/>
              </w:rPr>
            </w:pPr>
          </w:p>
        </w:tc>
        <w:tc>
          <w:tcPr>
            <w:tcW w:w="493" w:type="pct"/>
            <w:vAlign w:val="center"/>
            <w:hideMark/>
          </w:tcPr>
          <w:p w14:paraId="12DA0B6C" w14:textId="77777777" w:rsidR="00000000" w:rsidRDefault="00A173A8">
            <w:pPr>
              <w:spacing w:after="100"/>
              <w:rPr>
                <w:rFonts w:eastAsia="Times New Roman"/>
                <w:sz w:val="20"/>
                <w:szCs w:val="20"/>
              </w:rPr>
            </w:pPr>
          </w:p>
        </w:tc>
        <w:tc>
          <w:tcPr>
            <w:tcW w:w="5" w:type="pct"/>
            <w:vAlign w:val="center"/>
            <w:hideMark/>
          </w:tcPr>
          <w:p w14:paraId="51F4E754" w14:textId="77777777" w:rsidR="00000000" w:rsidRDefault="00A173A8">
            <w:pPr>
              <w:spacing w:after="100"/>
              <w:rPr>
                <w:rFonts w:eastAsia="Times New Roman"/>
                <w:sz w:val="20"/>
                <w:szCs w:val="20"/>
              </w:rPr>
            </w:pPr>
          </w:p>
        </w:tc>
        <w:tc>
          <w:tcPr>
            <w:tcW w:w="5" w:type="pct"/>
            <w:vAlign w:val="center"/>
            <w:hideMark/>
          </w:tcPr>
          <w:p w14:paraId="3B5B6B17" w14:textId="77777777" w:rsidR="00000000" w:rsidRDefault="00A173A8">
            <w:pPr>
              <w:spacing w:after="100"/>
              <w:rPr>
                <w:rFonts w:eastAsia="Times New Roman"/>
                <w:sz w:val="20"/>
                <w:szCs w:val="20"/>
              </w:rPr>
            </w:pPr>
          </w:p>
        </w:tc>
        <w:tc>
          <w:tcPr>
            <w:tcW w:w="26" w:type="pct"/>
            <w:vAlign w:val="center"/>
            <w:hideMark/>
          </w:tcPr>
          <w:p w14:paraId="3D282893" w14:textId="77777777" w:rsidR="00000000" w:rsidRDefault="00A173A8">
            <w:pPr>
              <w:spacing w:after="100"/>
              <w:rPr>
                <w:rFonts w:eastAsia="Times New Roman"/>
                <w:sz w:val="20"/>
                <w:szCs w:val="20"/>
              </w:rPr>
            </w:pPr>
          </w:p>
        </w:tc>
        <w:tc>
          <w:tcPr>
            <w:tcW w:w="5" w:type="pct"/>
            <w:vAlign w:val="center"/>
            <w:hideMark/>
          </w:tcPr>
          <w:p w14:paraId="48A9535D" w14:textId="77777777" w:rsidR="00000000" w:rsidRDefault="00A173A8">
            <w:pPr>
              <w:spacing w:after="100"/>
              <w:rPr>
                <w:rFonts w:eastAsia="Times New Roman"/>
                <w:sz w:val="20"/>
                <w:szCs w:val="20"/>
              </w:rPr>
            </w:pPr>
          </w:p>
        </w:tc>
        <w:tc>
          <w:tcPr>
            <w:tcW w:w="50" w:type="pct"/>
            <w:vAlign w:val="center"/>
            <w:hideMark/>
          </w:tcPr>
          <w:p w14:paraId="22EFE6F6" w14:textId="77777777" w:rsidR="00000000" w:rsidRDefault="00A173A8">
            <w:pPr>
              <w:spacing w:after="100"/>
              <w:rPr>
                <w:rFonts w:eastAsia="Times New Roman"/>
                <w:sz w:val="20"/>
                <w:szCs w:val="20"/>
              </w:rPr>
            </w:pPr>
          </w:p>
        </w:tc>
        <w:tc>
          <w:tcPr>
            <w:tcW w:w="493" w:type="pct"/>
            <w:vAlign w:val="center"/>
            <w:hideMark/>
          </w:tcPr>
          <w:p w14:paraId="687C2C7A" w14:textId="77777777" w:rsidR="00000000" w:rsidRDefault="00A173A8">
            <w:pPr>
              <w:spacing w:after="100"/>
              <w:rPr>
                <w:rFonts w:eastAsia="Times New Roman"/>
                <w:sz w:val="20"/>
                <w:szCs w:val="20"/>
              </w:rPr>
            </w:pPr>
          </w:p>
        </w:tc>
        <w:tc>
          <w:tcPr>
            <w:tcW w:w="5" w:type="pct"/>
            <w:vAlign w:val="center"/>
            <w:hideMark/>
          </w:tcPr>
          <w:p w14:paraId="7EC33E9A" w14:textId="77777777" w:rsidR="00000000" w:rsidRDefault="00A173A8">
            <w:pPr>
              <w:spacing w:after="100"/>
              <w:rPr>
                <w:rFonts w:eastAsia="Times New Roman"/>
                <w:sz w:val="20"/>
                <w:szCs w:val="20"/>
              </w:rPr>
            </w:pPr>
          </w:p>
        </w:tc>
        <w:tc>
          <w:tcPr>
            <w:tcW w:w="0" w:type="auto"/>
            <w:gridSpan w:val="3"/>
            <w:vAlign w:val="center"/>
            <w:hideMark/>
          </w:tcPr>
          <w:p w14:paraId="23458492" w14:textId="77777777" w:rsidR="00000000" w:rsidRDefault="00A173A8">
            <w:pPr>
              <w:spacing w:after="100"/>
              <w:rPr>
                <w:rFonts w:eastAsia="Times New Roman"/>
                <w:sz w:val="20"/>
                <w:szCs w:val="20"/>
              </w:rPr>
            </w:pPr>
          </w:p>
        </w:tc>
        <w:tc>
          <w:tcPr>
            <w:tcW w:w="0" w:type="auto"/>
            <w:gridSpan w:val="3"/>
            <w:vAlign w:val="center"/>
            <w:hideMark/>
          </w:tcPr>
          <w:p w14:paraId="3CFB9ACC" w14:textId="77777777" w:rsidR="00000000" w:rsidRDefault="00A173A8">
            <w:pPr>
              <w:spacing w:after="100"/>
              <w:rPr>
                <w:rFonts w:eastAsia="Times New Roman"/>
                <w:sz w:val="20"/>
                <w:szCs w:val="20"/>
              </w:rPr>
            </w:pPr>
          </w:p>
        </w:tc>
      </w:tr>
      <w:tr w:rsidR="00000000" w14:paraId="5FD296AB" w14:textId="77777777">
        <w:trPr>
          <w:divId w:val="86007599"/>
        </w:trPr>
        <w:tc>
          <w:tcPr>
            <w:tcW w:w="0" w:type="auto"/>
            <w:gridSpan w:val="3"/>
            <w:tcMar>
              <w:top w:w="0" w:type="dxa"/>
              <w:left w:w="20" w:type="dxa"/>
              <w:bottom w:w="0" w:type="dxa"/>
              <w:right w:w="20" w:type="dxa"/>
            </w:tcMar>
            <w:vAlign w:val="center"/>
            <w:hideMark/>
          </w:tcPr>
          <w:p w14:paraId="74B51DD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4677A7" w14:textId="77777777" w:rsidR="00000000" w:rsidRDefault="00A173A8">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14:paraId="21692480" w14:textId="77777777" w:rsidR="00000000" w:rsidRDefault="00A173A8">
            <w:pPr>
              <w:spacing w:after="100"/>
              <w:jc w:val="center"/>
              <w:rPr>
                <w:rFonts w:eastAsia="Times New Roman"/>
              </w:rPr>
            </w:pPr>
            <w:r>
              <w:rPr>
                <w:rFonts w:eastAsia="Times New Roman"/>
                <w:b/>
                <w:bCs/>
                <w:color w:val="000000"/>
                <w:sz w:val="20"/>
                <w:szCs w:val="20"/>
              </w:rPr>
              <w:t>Issuances</w:t>
            </w:r>
          </w:p>
        </w:tc>
        <w:tc>
          <w:tcPr>
            <w:tcW w:w="0" w:type="auto"/>
            <w:tcMar>
              <w:top w:w="0" w:type="dxa"/>
              <w:left w:w="20" w:type="dxa"/>
              <w:bottom w:w="0" w:type="dxa"/>
              <w:right w:w="20" w:type="dxa"/>
            </w:tcMar>
            <w:vAlign w:val="center"/>
            <w:hideMark/>
          </w:tcPr>
          <w:p w14:paraId="59AA0C61" w14:textId="77777777" w:rsidR="00000000" w:rsidRDefault="00A173A8">
            <w:pPr>
              <w:spacing w:after="100"/>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center"/>
            <w:hideMark/>
          </w:tcPr>
          <w:p w14:paraId="6BA9C2D2" w14:textId="77777777" w:rsidR="00000000" w:rsidRDefault="00A173A8">
            <w:pPr>
              <w:spacing w:after="100"/>
              <w:jc w:val="center"/>
              <w:rPr>
                <w:rFonts w:eastAsia="Times New Roman"/>
              </w:rPr>
            </w:pPr>
            <w:r>
              <w:rPr>
                <w:rFonts w:eastAsia="Times New Roman"/>
                <w:b/>
                <w:bCs/>
                <w:color w:val="000000"/>
                <w:sz w:val="20"/>
                <w:szCs w:val="20"/>
              </w:rPr>
              <w:t>Maturities/Redemptions</w:t>
            </w:r>
          </w:p>
        </w:tc>
        <w:tc>
          <w:tcPr>
            <w:tcW w:w="0" w:type="auto"/>
            <w:vAlign w:val="center"/>
            <w:hideMark/>
          </w:tcPr>
          <w:p w14:paraId="6AA3ED78" w14:textId="77777777" w:rsidR="00000000" w:rsidRDefault="00A173A8">
            <w:pPr>
              <w:spacing w:after="100"/>
              <w:rPr>
                <w:rFonts w:eastAsia="Times New Roman"/>
                <w:sz w:val="20"/>
                <w:szCs w:val="20"/>
              </w:rPr>
            </w:pPr>
          </w:p>
        </w:tc>
        <w:tc>
          <w:tcPr>
            <w:tcW w:w="0" w:type="auto"/>
            <w:vAlign w:val="center"/>
            <w:hideMark/>
          </w:tcPr>
          <w:p w14:paraId="2DDA061D" w14:textId="77777777" w:rsidR="00000000" w:rsidRDefault="00A173A8">
            <w:pPr>
              <w:spacing w:after="100"/>
              <w:rPr>
                <w:rFonts w:eastAsia="Times New Roman"/>
                <w:sz w:val="20"/>
                <w:szCs w:val="20"/>
              </w:rPr>
            </w:pPr>
          </w:p>
        </w:tc>
        <w:tc>
          <w:tcPr>
            <w:tcW w:w="0" w:type="auto"/>
            <w:vAlign w:val="center"/>
            <w:hideMark/>
          </w:tcPr>
          <w:p w14:paraId="20294122" w14:textId="77777777" w:rsidR="00000000" w:rsidRDefault="00A173A8">
            <w:pPr>
              <w:spacing w:after="100"/>
              <w:rPr>
                <w:rFonts w:eastAsia="Times New Roman"/>
                <w:sz w:val="20"/>
                <w:szCs w:val="20"/>
              </w:rPr>
            </w:pPr>
          </w:p>
        </w:tc>
        <w:tc>
          <w:tcPr>
            <w:tcW w:w="0" w:type="auto"/>
            <w:vAlign w:val="center"/>
            <w:hideMark/>
          </w:tcPr>
          <w:p w14:paraId="69B46A79" w14:textId="77777777" w:rsidR="00000000" w:rsidRDefault="00A173A8">
            <w:pPr>
              <w:spacing w:after="100"/>
              <w:rPr>
                <w:rFonts w:eastAsia="Times New Roman"/>
                <w:sz w:val="20"/>
                <w:szCs w:val="20"/>
              </w:rPr>
            </w:pPr>
          </w:p>
        </w:tc>
        <w:tc>
          <w:tcPr>
            <w:tcW w:w="0" w:type="auto"/>
            <w:vAlign w:val="center"/>
            <w:hideMark/>
          </w:tcPr>
          <w:p w14:paraId="49659BD8" w14:textId="77777777" w:rsidR="00000000" w:rsidRDefault="00A173A8">
            <w:pPr>
              <w:spacing w:after="100"/>
              <w:rPr>
                <w:rFonts w:eastAsia="Times New Roman"/>
                <w:sz w:val="20"/>
                <w:szCs w:val="20"/>
              </w:rPr>
            </w:pPr>
          </w:p>
        </w:tc>
        <w:tc>
          <w:tcPr>
            <w:tcW w:w="0" w:type="auto"/>
            <w:vAlign w:val="center"/>
            <w:hideMark/>
          </w:tcPr>
          <w:p w14:paraId="5A1878EC" w14:textId="77777777" w:rsidR="00000000" w:rsidRDefault="00A173A8">
            <w:pPr>
              <w:spacing w:after="100"/>
              <w:rPr>
                <w:rFonts w:eastAsia="Times New Roman"/>
                <w:sz w:val="20"/>
                <w:szCs w:val="20"/>
              </w:rPr>
            </w:pPr>
          </w:p>
        </w:tc>
        <w:tc>
          <w:tcPr>
            <w:tcW w:w="0" w:type="auto"/>
            <w:vAlign w:val="center"/>
            <w:hideMark/>
          </w:tcPr>
          <w:p w14:paraId="77E3CC33" w14:textId="77777777" w:rsidR="00000000" w:rsidRDefault="00A173A8">
            <w:pPr>
              <w:spacing w:after="100"/>
              <w:rPr>
                <w:rFonts w:eastAsia="Times New Roman"/>
                <w:sz w:val="20"/>
                <w:szCs w:val="20"/>
              </w:rPr>
            </w:pPr>
          </w:p>
        </w:tc>
        <w:tc>
          <w:tcPr>
            <w:tcW w:w="0" w:type="auto"/>
            <w:vAlign w:val="center"/>
            <w:hideMark/>
          </w:tcPr>
          <w:p w14:paraId="791DB1E4" w14:textId="77777777" w:rsidR="00000000" w:rsidRDefault="00A173A8">
            <w:pPr>
              <w:spacing w:after="100"/>
              <w:rPr>
                <w:rFonts w:eastAsia="Times New Roman"/>
                <w:sz w:val="20"/>
                <w:szCs w:val="20"/>
              </w:rPr>
            </w:pPr>
          </w:p>
        </w:tc>
        <w:tc>
          <w:tcPr>
            <w:tcW w:w="0" w:type="auto"/>
            <w:vAlign w:val="center"/>
            <w:hideMark/>
          </w:tcPr>
          <w:p w14:paraId="033E714A" w14:textId="77777777" w:rsidR="00000000" w:rsidRDefault="00A173A8">
            <w:pPr>
              <w:spacing w:after="100"/>
              <w:rPr>
                <w:rFonts w:eastAsia="Times New Roman"/>
                <w:sz w:val="20"/>
                <w:szCs w:val="20"/>
              </w:rPr>
            </w:pPr>
          </w:p>
        </w:tc>
        <w:tc>
          <w:tcPr>
            <w:tcW w:w="0" w:type="auto"/>
            <w:vAlign w:val="center"/>
            <w:hideMark/>
          </w:tcPr>
          <w:p w14:paraId="0D8CE84C" w14:textId="77777777" w:rsidR="00000000" w:rsidRDefault="00A173A8">
            <w:pPr>
              <w:spacing w:after="100"/>
              <w:rPr>
                <w:rFonts w:eastAsia="Times New Roman"/>
                <w:sz w:val="20"/>
                <w:szCs w:val="20"/>
              </w:rPr>
            </w:pPr>
          </w:p>
        </w:tc>
        <w:tc>
          <w:tcPr>
            <w:tcW w:w="0" w:type="auto"/>
            <w:vAlign w:val="center"/>
            <w:hideMark/>
          </w:tcPr>
          <w:p w14:paraId="71B858DE" w14:textId="77777777" w:rsidR="00000000" w:rsidRDefault="00A173A8">
            <w:pPr>
              <w:spacing w:after="100"/>
              <w:rPr>
                <w:rFonts w:eastAsia="Times New Roman"/>
                <w:sz w:val="20"/>
                <w:szCs w:val="20"/>
              </w:rPr>
            </w:pPr>
          </w:p>
        </w:tc>
        <w:tc>
          <w:tcPr>
            <w:tcW w:w="0" w:type="auto"/>
            <w:vAlign w:val="center"/>
            <w:hideMark/>
          </w:tcPr>
          <w:p w14:paraId="48362267" w14:textId="77777777" w:rsidR="00000000" w:rsidRDefault="00A173A8">
            <w:pPr>
              <w:spacing w:after="100"/>
              <w:rPr>
                <w:rFonts w:eastAsia="Times New Roman"/>
                <w:sz w:val="20"/>
                <w:szCs w:val="20"/>
              </w:rPr>
            </w:pPr>
          </w:p>
        </w:tc>
      </w:tr>
      <w:tr w:rsidR="00000000" w14:paraId="4D76AAEF" w14:textId="77777777">
        <w:trPr>
          <w:divId w:val="86007599"/>
        </w:trPr>
        <w:tc>
          <w:tcPr>
            <w:tcW w:w="0" w:type="auto"/>
            <w:gridSpan w:val="3"/>
            <w:tcMar>
              <w:top w:w="0" w:type="dxa"/>
              <w:left w:w="20" w:type="dxa"/>
              <w:bottom w:w="0" w:type="dxa"/>
              <w:right w:w="20" w:type="dxa"/>
            </w:tcMar>
            <w:vAlign w:val="center"/>
            <w:hideMark/>
          </w:tcPr>
          <w:p w14:paraId="2CEB0260"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EC6F810"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14:paraId="422759D3"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tcMar>
              <w:top w:w="0" w:type="dxa"/>
              <w:left w:w="20" w:type="dxa"/>
              <w:bottom w:w="0" w:type="dxa"/>
              <w:right w:w="20" w:type="dxa"/>
            </w:tcMar>
            <w:vAlign w:val="center"/>
            <w:hideMark/>
          </w:tcPr>
          <w:p w14:paraId="7AADCF96" w14:textId="77777777" w:rsidR="00000000" w:rsidRDefault="00A173A8">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center"/>
            <w:hideMark/>
          </w:tcPr>
          <w:p w14:paraId="7901A8D2" w14:textId="77777777" w:rsidR="00000000" w:rsidRDefault="00A173A8">
            <w:pPr>
              <w:spacing w:after="100"/>
              <w:jc w:val="center"/>
              <w:rPr>
                <w:rFonts w:eastAsia="Times New Roman"/>
              </w:rPr>
            </w:pPr>
            <w:r>
              <w:rPr>
                <w:rFonts w:eastAsia="Times New Roman"/>
                <w:b/>
                <w:bCs/>
                <w:color w:val="000000"/>
                <w:sz w:val="20"/>
                <w:szCs w:val="20"/>
              </w:rPr>
              <w:t>Three Months Ended June 30,</w:t>
            </w:r>
          </w:p>
        </w:tc>
        <w:tc>
          <w:tcPr>
            <w:tcW w:w="0" w:type="auto"/>
            <w:vAlign w:val="center"/>
            <w:hideMark/>
          </w:tcPr>
          <w:p w14:paraId="4FB67FE4" w14:textId="77777777" w:rsidR="00000000" w:rsidRDefault="00A173A8">
            <w:pPr>
              <w:spacing w:after="100"/>
              <w:rPr>
                <w:rFonts w:eastAsia="Times New Roman"/>
                <w:sz w:val="20"/>
                <w:szCs w:val="20"/>
              </w:rPr>
            </w:pPr>
          </w:p>
        </w:tc>
        <w:tc>
          <w:tcPr>
            <w:tcW w:w="0" w:type="auto"/>
            <w:vAlign w:val="center"/>
            <w:hideMark/>
          </w:tcPr>
          <w:p w14:paraId="2755348F" w14:textId="77777777" w:rsidR="00000000" w:rsidRDefault="00A173A8">
            <w:pPr>
              <w:spacing w:after="100"/>
              <w:rPr>
                <w:rFonts w:eastAsia="Times New Roman"/>
                <w:sz w:val="20"/>
                <w:szCs w:val="20"/>
              </w:rPr>
            </w:pPr>
          </w:p>
        </w:tc>
        <w:tc>
          <w:tcPr>
            <w:tcW w:w="0" w:type="auto"/>
            <w:vAlign w:val="center"/>
            <w:hideMark/>
          </w:tcPr>
          <w:p w14:paraId="0ACE068D" w14:textId="77777777" w:rsidR="00000000" w:rsidRDefault="00A173A8">
            <w:pPr>
              <w:spacing w:after="100"/>
              <w:rPr>
                <w:rFonts w:eastAsia="Times New Roman"/>
                <w:sz w:val="20"/>
                <w:szCs w:val="20"/>
              </w:rPr>
            </w:pPr>
          </w:p>
        </w:tc>
        <w:tc>
          <w:tcPr>
            <w:tcW w:w="0" w:type="auto"/>
            <w:vAlign w:val="center"/>
            <w:hideMark/>
          </w:tcPr>
          <w:p w14:paraId="1CDE1655" w14:textId="77777777" w:rsidR="00000000" w:rsidRDefault="00A173A8">
            <w:pPr>
              <w:spacing w:after="100"/>
              <w:rPr>
                <w:rFonts w:eastAsia="Times New Roman"/>
                <w:sz w:val="20"/>
                <w:szCs w:val="20"/>
              </w:rPr>
            </w:pPr>
          </w:p>
        </w:tc>
        <w:tc>
          <w:tcPr>
            <w:tcW w:w="0" w:type="auto"/>
            <w:vAlign w:val="center"/>
            <w:hideMark/>
          </w:tcPr>
          <w:p w14:paraId="0F0B7CD2" w14:textId="77777777" w:rsidR="00000000" w:rsidRDefault="00A173A8">
            <w:pPr>
              <w:spacing w:after="100"/>
              <w:rPr>
                <w:rFonts w:eastAsia="Times New Roman"/>
                <w:sz w:val="20"/>
                <w:szCs w:val="20"/>
              </w:rPr>
            </w:pPr>
          </w:p>
        </w:tc>
        <w:tc>
          <w:tcPr>
            <w:tcW w:w="0" w:type="auto"/>
            <w:vAlign w:val="center"/>
            <w:hideMark/>
          </w:tcPr>
          <w:p w14:paraId="46C031C5" w14:textId="77777777" w:rsidR="00000000" w:rsidRDefault="00A173A8">
            <w:pPr>
              <w:spacing w:after="100"/>
              <w:rPr>
                <w:rFonts w:eastAsia="Times New Roman"/>
                <w:sz w:val="20"/>
                <w:szCs w:val="20"/>
              </w:rPr>
            </w:pPr>
          </w:p>
        </w:tc>
        <w:tc>
          <w:tcPr>
            <w:tcW w:w="0" w:type="auto"/>
            <w:vAlign w:val="center"/>
            <w:hideMark/>
          </w:tcPr>
          <w:p w14:paraId="56423638" w14:textId="77777777" w:rsidR="00000000" w:rsidRDefault="00A173A8">
            <w:pPr>
              <w:spacing w:after="100"/>
              <w:rPr>
                <w:rFonts w:eastAsia="Times New Roman"/>
                <w:sz w:val="20"/>
                <w:szCs w:val="20"/>
              </w:rPr>
            </w:pPr>
          </w:p>
        </w:tc>
        <w:tc>
          <w:tcPr>
            <w:tcW w:w="0" w:type="auto"/>
            <w:vAlign w:val="center"/>
            <w:hideMark/>
          </w:tcPr>
          <w:p w14:paraId="4526F283" w14:textId="77777777" w:rsidR="00000000" w:rsidRDefault="00A173A8">
            <w:pPr>
              <w:spacing w:after="100"/>
              <w:rPr>
                <w:rFonts w:eastAsia="Times New Roman"/>
                <w:sz w:val="20"/>
                <w:szCs w:val="20"/>
              </w:rPr>
            </w:pPr>
          </w:p>
        </w:tc>
        <w:tc>
          <w:tcPr>
            <w:tcW w:w="0" w:type="auto"/>
            <w:vAlign w:val="center"/>
            <w:hideMark/>
          </w:tcPr>
          <w:p w14:paraId="02326236" w14:textId="77777777" w:rsidR="00000000" w:rsidRDefault="00A173A8">
            <w:pPr>
              <w:spacing w:after="100"/>
              <w:rPr>
                <w:rFonts w:eastAsia="Times New Roman"/>
                <w:sz w:val="20"/>
                <w:szCs w:val="20"/>
              </w:rPr>
            </w:pPr>
          </w:p>
        </w:tc>
        <w:tc>
          <w:tcPr>
            <w:tcW w:w="0" w:type="auto"/>
            <w:vAlign w:val="center"/>
            <w:hideMark/>
          </w:tcPr>
          <w:p w14:paraId="61EE6431" w14:textId="77777777" w:rsidR="00000000" w:rsidRDefault="00A173A8">
            <w:pPr>
              <w:spacing w:after="100"/>
              <w:rPr>
                <w:rFonts w:eastAsia="Times New Roman"/>
                <w:sz w:val="20"/>
                <w:szCs w:val="20"/>
              </w:rPr>
            </w:pPr>
          </w:p>
        </w:tc>
        <w:tc>
          <w:tcPr>
            <w:tcW w:w="0" w:type="auto"/>
            <w:vAlign w:val="center"/>
            <w:hideMark/>
          </w:tcPr>
          <w:p w14:paraId="11869CF3" w14:textId="77777777" w:rsidR="00000000" w:rsidRDefault="00A173A8">
            <w:pPr>
              <w:spacing w:after="100"/>
              <w:rPr>
                <w:rFonts w:eastAsia="Times New Roman"/>
                <w:sz w:val="20"/>
                <w:szCs w:val="20"/>
              </w:rPr>
            </w:pPr>
          </w:p>
        </w:tc>
        <w:tc>
          <w:tcPr>
            <w:tcW w:w="0" w:type="auto"/>
            <w:vAlign w:val="center"/>
            <w:hideMark/>
          </w:tcPr>
          <w:p w14:paraId="743FC508" w14:textId="77777777" w:rsidR="00000000" w:rsidRDefault="00A173A8">
            <w:pPr>
              <w:spacing w:after="100"/>
              <w:rPr>
                <w:rFonts w:eastAsia="Times New Roman"/>
                <w:sz w:val="20"/>
                <w:szCs w:val="20"/>
              </w:rPr>
            </w:pPr>
          </w:p>
        </w:tc>
      </w:tr>
      <w:tr w:rsidR="00000000" w14:paraId="1EDC5ADF" w14:textId="77777777">
        <w:trPr>
          <w:divId w:val="86007599"/>
        </w:trPr>
        <w:tc>
          <w:tcPr>
            <w:tcW w:w="0" w:type="auto"/>
            <w:gridSpan w:val="3"/>
            <w:tcMar>
              <w:top w:w="30" w:type="dxa"/>
              <w:left w:w="20" w:type="dxa"/>
              <w:bottom w:w="30" w:type="dxa"/>
              <w:right w:w="20" w:type="dxa"/>
            </w:tcMar>
            <w:vAlign w:val="bottom"/>
            <w:hideMark/>
          </w:tcPr>
          <w:p w14:paraId="5C88635F"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77591777"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FE615E9"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8E351D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3C7F99A"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19BF67E2" w14:textId="77777777" w:rsidR="00000000" w:rsidRDefault="00A173A8">
            <w:pPr>
              <w:spacing w:after="100"/>
              <w:jc w:val="center"/>
              <w:rPr>
                <w:rFonts w:eastAsia="Times New Roman"/>
              </w:rPr>
            </w:pPr>
          </w:p>
        </w:tc>
        <w:tc>
          <w:tcPr>
            <w:tcW w:w="0" w:type="auto"/>
            <w:vAlign w:val="center"/>
            <w:hideMark/>
          </w:tcPr>
          <w:p w14:paraId="5F0101E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B2A241"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14:paraId="14077F51"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EAC08E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28DDCABA"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gridSpan w:val="3"/>
            <w:vAlign w:val="center"/>
            <w:hideMark/>
          </w:tcPr>
          <w:p w14:paraId="5FB70887" w14:textId="77777777" w:rsidR="00000000" w:rsidRDefault="00A173A8">
            <w:pPr>
              <w:spacing w:after="100"/>
              <w:jc w:val="center"/>
              <w:rPr>
                <w:rFonts w:eastAsia="Times New Roman"/>
              </w:rPr>
            </w:pPr>
          </w:p>
        </w:tc>
        <w:tc>
          <w:tcPr>
            <w:tcW w:w="0" w:type="auto"/>
            <w:gridSpan w:val="3"/>
            <w:vAlign w:val="center"/>
            <w:hideMark/>
          </w:tcPr>
          <w:p w14:paraId="0BCEFD69" w14:textId="77777777" w:rsidR="00000000" w:rsidRDefault="00A173A8">
            <w:pPr>
              <w:spacing w:after="100"/>
              <w:rPr>
                <w:rFonts w:eastAsia="Times New Roman"/>
                <w:sz w:val="20"/>
                <w:szCs w:val="20"/>
              </w:rPr>
            </w:pPr>
          </w:p>
        </w:tc>
      </w:tr>
      <w:tr w:rsidR="00000000" w14:paraId="2BFD85F7" w14:textId="77777777">
        <w:trPr>
          <w:divId w:val="8600759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696D98F" w14:textId="77777777" w:rsidR="00000000" w:rsidRDefault="00A173A8">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CCEEFF"/>
            <w:tcMar>
              <w:top w:w="0" w:type="dxa"/>
              <w:left w:w="20" w:type="dxa"/>
              <w:bottom w:w="0" w:type="dxa"/>
              <w:right w:w="20" w:type="dxa"/>
            </w:tcMar>
            <w:vAlign w:val="center"/>
            <w:hideMark/>
          </w:tcPr>
          <w:p w14:paraId="6424ED6F"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7B594C9"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C19DE94" w14:textId="77777777" w:rsidR="00000000" w:rsidRDefault="00A173A8">
            <w:pPr>
              <w:spacing w:after="100"/>
              <w:jc w:val="right"/>
              <w:rPr>
                <w:rFonts w:eastAsia="Times New Roman"/>
              </w:rPr>
            </w:pPr>
            <w:r>
              <w:rPr>
                <w:rFonts w:eastAsia="Times New Roman"/>
                <w:b/>
                <w:bCs/>
                <w:color w:val="000000"/>
                <w:sz w:val="20"/>
                <w:szCs w:val="20"/>
              </w:rPr>
              <w:t>4,250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7C9B7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54447"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1F93108"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FDAE68F" w14:textId="77777777" w:rsidR="00000000" w:rsidRDefault="00A173A8">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CBCFF1" w14:textId="77777777" w:rsidR="00000000" w:rsidRDefault="00A173A8">
            <w:pPr>
              <w:spacing w:after="100"/>
              <w:jc w:val="right"/>
              <w:rPr>
                <w:rFonts w:eastAsia="Times New Roman"/>
              </w:rPr>
            </w:pPr>
          </w:p>
        </w:tc>
        <w:tc>
          <w:tcPr>
            <w:tcW w:w="0" w:type="auto"/>
            <w:vAlign w:val="center"/>
            <w:hideMark/>
          </w:tcPr>
          <w:p w14:paraId="54F54224" w14:textId="77777777" w:rsidR="00000000" w:rsidRDefault="00A173A8">
            <w:pPr>
              <w:spacing w:after="100"/>
              <w:jc w:val="right"/>
              <w:rPr>
                <w:rFonts w:eastAsia="Times New Roman"/>
                <w:sz w:val="20"/>
                <w:szCs w:val="20"/>
              </w:rPr>
            </w:pPr>
          </w:p>
        </w:tc>
        <w:tc>
          <w:tcPr>
            <w:tcW w:w="0" w:type="auto"/>
            <w:vAlign w:val="center"/>
            <w:hideMark/>
          </w:tcPr>
          <w:p w14:paraId="5FF7470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6BC8BB" w14:textId="77777777" w:rsidR="00000000" w:rsidRDefault="00A173A8">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E007FD5"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434D650" w14:textId="77777777" w:rsidR="00000000" w:rsidRDefault="00A173A8">
            <w:pPr>
              <w:spacing w:after="100"/>
              <w:jc w:val="right"/>
              <w:rPr>
                <w:rFonts w:eastAsia="Times New Roman"/>
              </w:rPr>
            </w:pPr>
            <w:r>
              <w:rPr>
                <w:rFonts w:eastAsia="Times New Roman"/>
                <w:b/>
                <w:bCs/>
                <w:color w:val="000000"/>
                <w:sz w:val="20"/>
                <w:szCs w:val="20"/>
              </w:rPr>
              <w:t>395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0E7CE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B5CF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28AA43C"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BCB5B3A" w14:textId="77777777" w:rsidR="00000000" w:rsidRDefault="00A173A8">
            <w:pPr>
              <w:spacing w:after="100"/>
              <w:jc w:val="right"/>
              <w:rPr>
                <w:rFonts w:eastAsia="Times New Roman"/>
              </w:rPr>
            </w:pPr>
            <w:r>
              <w:rPr>
                <w:rFonts w:eastAsia="Times New Roman"/>
                <w:color w:val="000000"/>
                <w:sz w:val="20"/>
                <w:szCs w:val="20"/>
              </w:rPr>
              <w:t>1,502 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3779A37" w14:textId="77777777" w:rsidR="00000000" w:rsidRDefault="00A173A8">
            <w:pPr>
              <w:spacing w:after="100"/>
              <w:jc w:val="right"/>
              <w:rPr>
                <w:rFonts w:eastAsia="Times New Roman"/>
              </w:rPr>
            </w:pPr>
          </w:p>
        </w:tc>
        <w:tc>
          <w:tcPr>
            <w:tcW w:w="0" w:type="auto"/>
            <w:gridSpan w:val="3"/>
            <w:vAlign w:val="center"/>
            <w:hideMark/>
          </w:tcPr>
          <w:p w14:paraId="1E63D0CD" w14:textId="77777777" w:rsidR="00000000" w:rsidRDefault="00A173A8">
            <w:pPr>
              <w:spacing w:after="100"/>
              <w:jc w:val="right"/>
              <w:rPr>
                <w:rFonts w:eastAsia="Times New Roman"/>
                <w:sz w:val="20"/>
                <w:szCs w:val="20"/>
              </w:rPr>
            </w:pPr>
          </w:p>
        </w:tc>
        <w:tc>
          <w:tcPr>
            <w:tcW w:w="0" w:type="auto"/>
            <w:gridSpan w:val="3"/>
            <w:vAlign w:val="center"/>
            <w:hideMark/>
          </w:tcPr>
          <w:p w14:paraId="764E1160" w14:textId="77777777" w:rsidR="00000000" w:rsidRDefault="00A173A8">
            <w:pPr>
              <w:spacing w:after="100"/>
              <w:rPr>
                <w:rFonts w:eastAsia="Times New Roman"/>
                <w:sz w:val="20"/>
                <w:szCs w:val="20"/>
              </w:rPr>
            </w:pPr>
          </w:p>
        </w:tc>
      </w:tr>
      <w:tr w:rsidR="00000000" w14:paraId="32CF24EC" w14:textId="77777777">
        <w:trPr>
          <w:divId w:val="86007599"/>
        </w:trPr>
        <w:tc>
          <w:tcPr>
            <w:tcW w:w="0" w:type="auto"/>
            <w:gridSpan w:val="3"/>
            <w:shd w:val="clear" w:color="auto" w:fill="FFFFFF"/>
            <w:tcMar>
              <w:top w:w="30" w:type="dxa"/>
              <w:left w:w="20" w:type="dxa"/>
              <w:bottom w:w="30" w:type="dxa"/>
              <w:right w:w="20" w:type="dxa"/>
            </w:tcMar>
            <w:vAlign w:val="center"/>
            <w:hideMark/>
          </w:tcPr>
          <w:p w14:paraId="38091266" w14:textId="77777777" w:rsidR="00000000" w:rsidRDefault="00A173A8">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FFFFFF"/>
            <w:tcMar>
              <w:top w:w="0" w:type="dxa"/>
              <w:left w:w="20" w:type="dxa"/>
              <w:bottom w:w="0" w:type="dxa"/>
              <w:right w:w="20" w:type="dxa"/>
            </w:tcMar>
            <w:vAlign w:val="center"/>
            <w:hideMark/>
          </w:tcPr>
          <w:p w14:paraId="4F139956"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DEE609E" w14:textId="77777777" w:rsidR="00000000" w:rsidRDefault="00A173A8">
            <w:pPr>
              <w:spacing w:after="100"/>
              <w:jc w:val="right"/>
              <w:rPr>
                <w:rFonts w:eastAsia="Times New Roman"/>
              </w:rPr>
            </w:pPr>
            <w:r>
              <w:rPr>
                <w:rFonts w:eastAsia="Times New Roman"/>
                <w:b/>
                <w:bCs/>
                <w:color w:val="000000"/>
                <w:sz w:val="20"/>
                <w:szCs w:val="20"/>
              </w:rPr>
              <w:t>4,000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CFD68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93BF2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19056C"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DF1DA4C" w14:textId="77777777" w:rsidR="00000000" w:rsidRDefault="00A173A8">
            <w:pPr>
              <w:spacing w:after="100"/>
              <w:jc w:val="right"/>
              <w:rPr>
                <w:rFonts w:eastAsia="Times New Roman"/>
              </w:rPr>
            </w:pPr>
          </w:p>
        </w:tc>
        <w:tc>
          <w:tcPr>
            <w:tcW w:w="0" w:type="auto"/>
            <w:vAlign w:val="center"/>
            <w:hideMark/>
          </w:tcPr>
          <w:p w14:paraId="22507C30" w14:textId="77777777" w:rsidR="00000000" w:rsidRDefault="00A173A8">
            <w:pPr>
              <w:spacing w:after="100"/>
              <w:jc w:val="right"/>
              <w:rPr>
                <w:rFonts w:eastAsia="Times New Roman"/>
                <w:sz w:val="20"/>
                <w:szCs w:val="20"/>
              </w:rPr>
            </w:pPr>
          </w:p>
        </w:tc>
        <w:tc>
          <w:tcPr>
            <w:tcW w:w="0" w:type="auto"/>
            <w:vAlign w:val="center"/>
            <w:hideMark/>
          </w:tcPr>
          <w:p w14:paraId="04B90A7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D34694"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478351" w14:textId="77777777" w:rsidR="00000000" w:rsidRDefault="00A173A8">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785955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E049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C1F4BC" w14:textId="77777777" w:rsidR="00000000" w:rsidRDefault="00A173A8">
            <w:pPr>
              <w:spacing w:after="100"/>
              <w:jc w:val="right"/>
              <w:rPr>
                <w:rFonts w:eastAsia="Times New Roman"/>
              </w:rPr>
            </w:pPr>
            <w:r>
              <w:rPr>
                <w:rFonts w:eastAsia="Times New Roman"/>
                <w:color w:val="000000"/>
                <w:sz w:val="20"/>
                <w:szCs w:val="20"/>
              </w:rPr>
              <w:t>585 </w:t>
            </w:r>
          </w:p>
        </w:tc>
        <w:tc>
          <w:tcPr>
            <w:tcW w:w="0" w:type="auto"/>
            <w:shd w:val="clear" w:color="auto" w:fill="FFFFFF"/>
            <w:tcMar>
              <w:top w:w="30" w:type="dxa"/>
              <w:left w:w="0" w:type="dxa"/>
              <w:bottom w:w="30" w:type="dxa"/>
              <w:right w:w="20" w:type="dxa"/>
            </w:tcMar>
            <w:vAlign w:val="center"/>
            <w:hideMark/>
          </w:tcPr>
          <w:p w14:paraId="79D6A3C4" w14:textId="77777777" w:rsidR="00000000" w:rsidRDefault="00A173A8">
            <w:pPr>
              <w:spacing w:after="100"/>
              <w:jc w:val="right"/>
              <w:rPr>
                <w:rFonts w:eastAsia="Times New Roman"/>
              </w:rPr>
            </w:pPr>
          </w:p>
        </w:tc>
        <w:tc>
          <w:tcPr>
            <w:tcW w:w="0" w:type="auto"/>
            <w:gridSpan w:val="3"/>
            <w:vAlign w:val="center"/>
            <w:hideMark/>
          </w:tcPr>
          <w:p w14:paraId="3A557D61" w14:textId="77777777" w:rsidR="00000000" w:rsidRDefault="00A173A8">
            <w:pPr>
              <w:spacing w:after="100"/>
              <w:jc w:val="right"/>
              <w:rPr>
                <w:rFonts w:eastAsia="Times New Roman"/>
                <w:sz w:val="20"/>
                <w:szCs w:val="20"/>
              </w:rPr>
            </w:pPr>
          </w:p>
        </w:tc>
        <w:tc>
          <w:tcPr>
            <w:tcW w:w="0" w:type="auto"/>
            <w:gridSpan w:val="3"/>
            <w:vAlign w:val="center"/>
            <w:hideMark/>
          </w:tcPr>
          <w:p w14:paraId="7CB7D0B8" w14:textId="77777777" w:rsidR="00000000" w:rsidRDefault="00A173A8">
            <w:pPr>
              <w:spacing w:after="100"/>
              <w:rPr>
                <w:rFonts w:eastAsia="Times New Roman"/>
                <w:sz w:val="20"/>
                <w:szCs w:val="20"/>
              </w:rPr>
            </w:pPr>
          </w:p>
        </w:tc>
      </w:tr>
      <w:tr w:rsidR="00000000" w14:paraId="7432A0F5" w14:textId="77777777">
        <w:trPr>
          <w:divId w:val="86007599"/>
        </w:trPr>
        <w:tc>
          <w:tcPr>
            <w:tcW w:w="0" w:type="auto"/>
            <w:gridSpan w:val="3"/>
            <w:shd w:val="clear" w:color="auto" w:fill="CCEEFF"/>
            <w:tcMar>
              <w:top w:w="30" w:type="dxa"/>
              <w:left w:w="20" w:type="dxa"/>
              <w:bottom w:w="30" w:type="dxa"/>
              <w:right w:w="20" w:type="dxa"/>
            </w:tcMar>
            <w:vAlign w:val="center"/>
            <w:hideMark/>
          </w:tcPr>
          <w:p w14:paraId="4FC831CC" w14:textId="77777777" w:rsidR="00000000" w:rsidRDefault="00A173A8">
            <w:pPr>
              <w:spacing w:after="100"/>
              <w:rPr>
                <w:rFonts w:eastAsia="Times New Roman"/>
              </w:rPr>
            </w:pPr>
            <w:r>
              <w:rPr>
                <w:rFonts w:eastAsia="Times New Roman"/>
                <w:color w:val="000000"/>
                <w:sz w:val="20"/>
                <w:szCs w:val="20"/>
              </w:rPr>
              <w:t>FHLB advances</w:t>
            </w:r>
          </w:p>
        </w:tc>
        <w:tc>
          <w:tcPr>
            <w:tcW w:w="0" w:type="auto"/>
            <w:gridSpan w:val="3"/>
            <w:shd w:val="clear" w:color="auto" w:fill="CCEEFF"/>
            <w:tcMar>
              <w:top w:w="0" w:type="dxa"/>
              <w:left w:w="20" w:type="dxa"/>
              <w:bottom w:w="0" w:type="dxa"/>
              <w:right w:w="20" w:type="dxa"/>
            </w:tcMar>
            <w:vAlign w:val="center"/>
            <w:hideMark/>
          </w:tcPr>
          <w:p w14:paraId="4E2B449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CF21FE7" w14:textId="77777777" w:rsidR="00000000" w:rsidRDefault="00A173A8">
            <w:pPr>
              <w:spacing w:after="100"/>
              <w:jc w:val="right"/>
              <w:rPr>
                <w:rFonts w:eastAsia="Times New Roman"/>
              </w:rPr>
            </w:pPr>
            <w:r>
              <w:rPr>
                <w:rFonts w:eastAsia="Times New Roman"/>
                <w:b/>
                <w:bCs/>
                <w:color w:val="000000"/>
                <w:sz w:val="20"/>
                <w:szCs w:val="20"/>
              </w:rPr>
              <w:t>10,500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1FBEC7B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00BFC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C9F848"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3746A49E" w14:textId="77777777" w:rsidR="00000000" w:rsidRDefault="00A173A8">
            <w:pPr>
              <w:spacing w:after="100"/>
              <w:jc w:val="right"/>
              <w:rPr>
                <w:rFonts w:eastAsia="Times New Roman"/>
              </w:rPr>
            </w:pPr>
          </w:p>
        </w:tc>
        <w:tc>
          <w:tcPr>
            <w:tcW w:w="0" w:type="auto"/>
            <w:vAlign w:val="center"/>
            <w:hideMark/>
          </w:tcPr>
          <w:p w14:paraId="2C261FA9" w14:textId="77777777" w:rsidR="00000000" w:rsidRDefault="00A173A8">
            <w:pPr>
              <w:spacing w:after="100"/>
              <w:jc w:val="right"/>
              <w:rPr>
                <w:rFonts w:eastAsia="Times New Roman"/>
                <w:sz w:val="20"/>
                <w:szCs w:val="20"/>
              </w:rPr>
            </w:pPr>
          </w:p>
        </w:tc>
        <w:tc>
          <w:tcPr>
            <w:tcW w:w="0" w:type="auto"/>
            <w:vAlign w:val="center"/>
            <w:hideMark/>
          </w:tcPr>
          <w:p w14:paraId="4D995D3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996052"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10E7C2" w14:textId="77777777" w:rsidR="00000000" w:rsidRDefault="00A173A8">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597B94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B63F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268A52"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B9516DF" w14:textId="77777777" w:rsidR="00000000" w:rsidRDefault="00A173A8">
            <w:pPr>
              <w:spacing w:after="100"/>
              <w:jc w:val="right"/>
              <w:rPr>
                <w:rFonts w:eastAsia="Times New Roman"/>
              </w:rPr>
            </w:pPr>
          </w:p>
        </w:tc>
        <w:tc>
          <w:tcPr>
            <w:tcW w:w="0" w:type="auto"/>
            <w:gridSpan w:val="3"/>
            <w:vAlign w:val="center"/>
            <w:hideMark/>
          </w:tcPr>
          <w:p w14:paraId="519B53DC" w14:textId="77777777" w:rsidR="00000000" w:rsidRDefault="00A173A8">
            <w:pPr>
              <w:spacing w:after="100"/>
              <w:jc w:val="right"/>
              <w:rPr>
                <w:rFonts w:eastAsia="Times New Roman"/>
                <w:sz w:val="20"/>
                <w:szCs w:val="20"/>
              </w:rPr>
            </w:pPr>
          </w:p>
        </w:tc>
        <w:tc>
          <w:tcPr>
            <w:tcW w:w="0" w:type="auto"/>
            <w:gridSpan w:val="3"/>
            <w:vAlign w:val="center"/>
            <w:hideMark/>
          </w:tcPr>
          <w:p w14:paraId="4EECF9A9" w14:textId="77777777" w:rsidR="00000000" w:rsidRDefault="00A173A8">
            <w:pPr>
              <w:spacing w:after="100"/>
              <w:rPr>
                <w:rFonts w:eastAsia="Times New Roman"/>
                <w:sz w:val="20"/>
                <w:szCs w:val="20"/>
              </w:rPr>
            </w:pPr>
          </w:p>
        </w:tc>
      </w:tr>
      <w:tr w:rsidR="00000000" w14:paraId="48FBF675" w14:textId="77777777">
        <w:trPr>
          <w:divId w:val="86007599"/>
        </w:trPr>
        <w:tc>
          <w:tcPr>
            <w:tcW w:w="0" w:type="auto"/>
            <w:gridSpan w:val="3"/>
            <w:shd w:val="clear" w:color="auto" w:fill="FFFFFF"/>
            <w:tcMar>
              <w:top w:w="30" w:type="dxa"/>
              <w:left w:w="20" w:type="dxa"/>
              <w:bottom w:w="30" w:type="dxa"/>
              <w:right w:w="20" w:type="dxa"/>
            </w:tcMar>
            <w:vAlign w:val="center"/>
            <w:hideMark/>
          </w:tcPr>
          <w:p w14:paraId="5555CBAB"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577331EA"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94ED331"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009024C" w14:textId="77777777" w:rsidR="00000000" w:rsidRDefault="00A173A8">
            <w:pPr>
              <w:spacing w:after="100"/>
              <w:jc w:val="right"/>
              <w:rPr>
                <w:rFonts w:eastAsia="Times New Roman"/>
              </w:rPr>
            </w:pPr>
            <w:r>
              <w:rPr>
                <w:rFonts w:eastAsia="Times New Roman"/>
                <w:b/>
                <w:bCs/>
                <w:color w:val="000000"/>
                <w:sz w:val="20"/>
                <w:szCs w:val="20"/>
              </w:rPr>
              <w:t>18,750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4AA156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494B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6CA316E"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5D739F4" w14:textId="77777777" w:rsidR="00000000" w:rsidRDefault="00A173A8">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CD71C2E" w14:textId="77777777" w:rsidR="00000000" w:rsidRDefault="00A173A8">
            <w:pPr>
              <w:spacing w:after="100"/>
              <w:jc w:val="right"/>
              <w:rPr>
                <w:rFonts w:eastAsia="Times New Roman"/>
              </w:rPr>
            </w:pPr>
          </w:p>
        </w:tc>
        <w:tc>
          <w:tcPr>
            <w:tcW w:w="0" w:type="auto"/>
            <w:vAlign w:val="center"/>
            <w:hideMark/>
          </w:tcPr>
          <w:p w14:paraId="1361090D" w14:textId="77777777" w:rsidR="00000000" w:rsidRDefault="00A173A8">
            <w:pPr>
              <w:spacing w:after="100"/>
              <w:jc w:val="right"/>
              <w:rPr>
                <w:rFonts w:eastAsia="Times New Roman"/>
                <w:sz w:val="20"/>
                <w:szCs w:val="20"/>
              </w:rPr>
            </w:pPr>
          </w:p>
        </w:tc>
        <w:tc>
          <w:tcPr>
            <w:tcW w:w="0" w:type="auto"/>
            <w:vAlign w:val="center"/>
            <w:hideMark/>
          </w:tcPr>
          <w:p w14:paraId="0CA4E06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41E7D3" w14:textId="77777777" w:rsidR="00000000" w:rsidRDefault="00A173A8">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7674EA9"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1418E66" w14:textId="77777777" w:rsidR="00000000" w:rsidRDefault="00A173A8">
            <w:pPr>
              <w:spacing w:after="100"/>
              <w:jc w:val="right"/>
              <w:rPr>
                <w:rFonts w:eastAsia="Times New Roman"/>
              </w:rPr>
            </w:pPr>
            <w:r>
              <w:rPr>
                <w:rFonts w:eastAsia="Times New Roman"/>
                <w:b/>
                <w:bCs/>
                <w:color w:val="000000"/>
                <w:sz w:val="20"/>
                <w:szCs w:val="20"/>
              </w:rPr>
              <w:t>395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B00B3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784B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0DA59FD"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3BAF0A9" w14:textId="77777777" w:rsidR="00000000" w:rsidRDefault="00A173A8">
            <w:pPr>
              <w:spacing w:after="100"/>
              <w:jc w:val="right"/>
              <w:rPr>
                <w:rFonts w:eastAsia="Times New Roman"/>
              </w:rPr>
            </w:pPr>
            <w:r>
              <w:rPr>
                <w:rFonts w:eastAsia="Times New Roman"/>
                <w:color w:val="000000"/>
                <w:sz w:val="20"/>
                <w:szCs w:val="20"/>
              </w:rPr>
              <w:t>2,087 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5AF749D" w14:textId="77777777" w:rsidR="00000000" w:rsidRDefault="00A173A8">
            <w:pPr>
              <w:spacing w:after="100"/>
              <w:jc w:val="right"/>
              <w:rPr>
                <w:rFonts w:eastAsia="Times New Roman"/>
              </w:rPr>
            </w:pPr>
          </w:p>
        </w:tc>
        <w:tc>
          <w:tcPr>
            <w:tcW w:w="0" w:type="auto"/>
            <w:gridSpan w:val="3"/>
            <w:vAlign w:val="center"/>
            <w:hideMark/>
          </w:tcPr>
          <w:p w14:paraId="77197B94" w14:textId="77777777" w:rsidR="00000000" w:rsidRDefault="00A173A8">
            <w:pPr>
              <w:spacing w:after="100"/>
              <w:jc w:val="right"/>
              <w:rPr>
                <w:rFonts w:eastAsia="Times New Roman"/>
                <w:sz w:val="20"/>
                <w:szCs w:val="20"/>
              </w:rPr>
            </w:pPr>
          </w:p>
        </w:tc>
        <w:tc>
          <w:tcPr>
            <w:tcW w:w="0" w:type="auto"/>
            <w:gridSpan w:val="3"/>
            <w:vAlign w:val="center"/>
            <w:hideMark/>
          </w:tcPr>
          <w:p w14:paraId="27A6E716" w14:textId="77777777" w:rsidR="00000000" w:rsidRDefault="00A173A8">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327"/>
        <w:gridCol w:w="144"/>
        <w:gridCol w:w="144"/>
        <w:gridCol w:w="144"/>
        <w:gridCol w:w="144"/>
        <w:gridCol w:w="144"/>
        <w:gridCol w:w="818"/>
        <w:gridCol w:w="144"/>
        <w:gridCol w:w="144"/>
        <w:gridCol w:w="144"/>
        <w:gridCol w:w="144"/>
        <w:gridCol w:w="144"/>
        <w:gridCol w:w="818"/>
        <w:gridCol w:w="144"/>
        <w:gridCol w:w="480"/>
        <w:gridCol w:w="1440"/>
        <w:gridCol w:w="144"/>
        <w:gridCol w:w="144"/>
        <w:gridCol w:w="144"/>
        <w:gridCol w:w="144"/>
        <w:gridCol w:w="818"/>
        <w:gridCol w:w="144"/>
        <w:gridCol w:w="144"/>
        <w:gridCol w:w="144"/>
        <w:gridCol w:w="144"/>
        <w:gridCol w:w="144"/>
        <w:gridCol w:w="818"/>
        <w:gridCol w:w="144"/>
        <w:gridCol w:w="480"/>
        <w:gridCol w:w="1440"/>
      </w:tblGrid>
      <w:tr w:rsidR="00000000" w14:paraId="2B048345" w14:textId="77777777">
        <w:tc>
          <w:tcPr>
            <w:tcW w:w="50" w:type="pct"/>
            <w:vAlign w:val="center"/>
            <w:hideMark/>
          </w:tcPr>
          <w:p w14:paraId="052ABA94" w14:textId="77777777" w:rsidR="00000000" w:rsidRDefault="00A173A8">
            <w:pPr>
              <w:jc w:val="both"/>
              <w:rPr>
                <w:rFonts w:eastAsia="Times New Roman"/>
              </w:rPr>
            </w:pPr>
          </w:p>
        </w:tc>
        <w:tc>
          <w:tcPr>
            <w:tcW w:w="2605" w:type="pct"/>
            <w:vAlign w:val="center"/>
            <w:hideMark/>
          </w:tcPr>
          <w:p w14:paraId="53446B99" w14:textId="77777777" w:rsidR="00000000" w:rsidRDefault="00A173A8">
            <w:pPr>
              <w:spacing w:after="100"/>
              <w:rPr>
                <w:rFonts w:eastAsia="Times New Roman"/>
                <w:sz w:val="20"/>
                <w:szCs w:val="20"/>
              </w:rPr>
            </w:pPr>
          </w:p>
        </w:tc>
        <w:tc>
          <w:tcPr>
            <w:tcW w:w="5" w:type="pct"/>
            <w:vAlign w:val="center"/>
            <w:hideMark/>
          </w:tcPr>
          <w:p w14:paraId="02E0B064" w14:textId="77777777" w:rsidR="00000000" w:rsidRDefault="00A173A8">
            <w:pPr>
              <w:spacing w:after="100"/>
              <w:rPr>
                <w:rFonts w:eastAsia="Times New Roman"/>
                <w:sz w:val="20"/>
                <w:szCs w:val="20"/>
              </w:rPr>
            </w:pPr>
          </w:p>
        </w:tc>
        <w:tc>
          <w:tcPr>
            <w:tcW w:w="5" w:type="pct"/>
            <w:vAlign w:val="center"/>
            <w:hideMark/>
          </w:tcPr>
          <w:p w14:paraId="00DB9DB6" w14:textId="77777777" w:rsidR="00000000" w:rsidRDefault="00A173A8">
            <w:pPr>
              <w:spacing w:after="100"/>
              <w:rPr>
                <w:rFonts w:eastAsia="Times New Roman"/>
                <w:sz w:val="20"/>
                <w:szCs w:val="20"/>
              </w:rPr>
            </w:pPr>
          </w:p>
        </w:tc>
        <w:tc>
          <w:tcPr>
            <w:tcW w:w="26" w:type="pct"/>
            <w:vAlign w:val="center"/>
            <w:hideMark/>
          </w:tcPr>
          <w:p w14:paraId="043DF723" w14:textId="77777777" w:rsidR="00000000" w:rsidRDefault="00A173A8">
            <w:pPr>
              <w:spacing w:after="100"/>
              <w:rPr>
                <w:rFonts w:eastAsia="Times New Roman"/>
                <w:sz w:val="20"/>
                <w:szCs w:val="20"/>
              </w:rPr>
            </w:pPr>
          </w:p>
        </w:tc>
        <w:tc>
          <w:tcPr>
            <w:tcW w:w="5" w:type="pct"/>
            <w:vAlign w:val="center"/>
            <w:hideMark/>
          </w:tcPr>
          <w:p w14:paraId="583E9DAC" w14:textId="77777777" w:rsidR="00000000" w:rsidRDefault="00A173A8">
            <w:pPr>
              <w:spacing w:after="100"/>
              <w:rPr>
                <w:rFonts w:eastAsia="Times New Roman"/>
                <w:sz w:val="20"/>
                <w:szCs w:val="20"/>
              </w:rPr>
            </w:pPr>
          </w:p>
        </w:tc>
        <w:tc>
          <w:tcPr>
            <w:tcW w:w="50" w:type="pct"/>
            <w:vAlign w:val="center"/>
            <w:hideMark/>
          </w:tcPr>
          <w:p w14:paraId="7533C3C0" w14:textId="77777777" w:rsidR="00000000" w:rsidRDefault="00A173A8">
            <w:pPr>
              <w:spacing w:after="100"/>
              <w:rPr>
                <w:rFonts w:eastAsia="Times New Roman"/>
                <w:sz w:val="20"/>
                <w:szCs w:val="20"/>
              </w:rPr>
            </w:pPr>
          </w:p>
        </w:tc>
        <w:tc>
          <w:tcPr>
            <w:tcW w:w="493" w:type="pct"/>
            <w:vAlign w:val="center"/>
            <w:hideMark/>
          </w:tcPr>
          <w:p w14:paraId="5DE9A139" w14:textId="77777777" w:rsidR="00000000" w:rsidRDefault="00A173A8">
            <w:pPr>
              <w:spacing w:after="100"/>
              <w:rPr>
                <w:rFonts w:eastAsia="Times New Roman"/>
                <w:sz w:val="20"/>
                <w:szCs w:val="20"/>
              </w:rPr>
            </w:pPr>
          </w:p>
        </w:tc>
        <w:tc>
          <w:tcPr>
            <w:tcW w:w="5" w:type="pct"/>
            <w:vAlign w:val="center"/>
            <w:hideMark/>
          </w:tcPr>
          <w:p w14:paraId="66DAE6F0" w14:textId="77777777" w:rsidR="00000000" w:rsidRDefault="00A173A8">
            <w:pPr>
              <w:spacing w:after="100"/>
              <w:rPr>
                <w:rFonts w:eastAsia="Times New Roman"/>
                <w:sz w:val="20"/>
                <w:szCs w:val="20"/>
              </w:rPr>
            </w:pPr>
          </w:p>
        </w:tc>
        <w:tc>
          <w:tcPr>
            <w:tcW w:w="5" w:type="pct"/>
            <w:vAlign w:val="center"/>
            <w:hideMark/>
          </w:tcPr>
          <w:p w14:paraId="76DA8037" w14:textId="77777777" w:rsidR="00000000" w:rsidRDefault="00A173A8">
            <w:pPr>
              <w:spacing w:after="100"/>
              <w:rPr>
                <w:rFonts w:eastAsia="Times New Roman"/>
                <w:sz w:val="20"/>
                <w:szCs w:val="20"/>
              </w:rPr>
            </w:pPr>
          </w:p>
        </w:tc>
        <w:tc>
          <w:tcPr>
            <w:tcW w:w="26" w:type="pct"/>
            <w:vAlign w:val="center"/>
            <w:hideMark/>
          </w:tcPr>
          <w:p w14:paraId="3775C7ED" w14:textId="77777777" w:rsidR="00000000" w:rsidRDefault="00A173A8">
            <w:pPr>
              <w:spacing w:after="100"/>
              <w:rPr>
                <w:rFonts w:eastAsia="Times New Roman"/>
                <w:sz w:val="20"/>
                <w:szCs w:val="20"/>
              </w:rPr>
            </w:pPr>
          </w:p>
        </w:tc>
        <w:tc>
          <w:tcPr>
            <w:tcW w:w="5" w:type="pct"/>
            <w:vAlign w:val="center"/>
            <w:hideMark/>
          </w:tcPr>
          <w:p w14:paraId="3C839202" w14:textId="77777777" w:rsidR="00000000" w:rsidRDefault="00A173A8">
            <w:pPr>
              <w:spacing w:after="100"/>
              <w:rPr>
                <w:rFonts w:eastAsia="Times New Roman"/>
                <w:sz w:val="20"/>
                <w:szCs w:val="20"/>
              </w:rPr>
            </w:pPr>
          </w:p>
        </w:tc>
        <w:tc>
          <w:tcPr>
            <w:tcW w:w="50" w:type="pct"/>
            <w:vAlign w:val="center"/>
            <w:hideMark/>
          </w:tcPr>
          <w:p w14:paraId="1E85386F" w14:textId="77777777" w:rsidR="00000000" w:rsidRDefault="00A173A8">
            <w:pPr>
              <w:spacing w:after="100"/>
              <w:rPr>
                <w:rFonts w:eastAsia="Times New Roman"/>
                <w:sz w:val="20"/>
                <w:szCs w:val="20"/>
              </w:rPr>
            </w:pPr>
          </w:p>
        </w:tc>
        <w:tc>
          <w:tcPr>
            <w:tcW w:w="493" w:type="pct"/>
            <w:vAlign w:val="center"/>
            <w:hideMark/>
          </w:tcPr>
          <w:p w14:paraId="77D2CEC4" w14:textId="77777777" w:rsidR="00000000" w:rsidRDefault="00A173A8">
            <w:pPr>
              <w:spacing w:after="100"/>
              <w:rPr>
                <w:rFonts w:eastAsia="Times New Roman"/>
                <w:sz w:val="20"/>
                <w:szCs w:val="20"/>
              </w:rPr>
            </w:pPr>
          </w:p>
        </w:tc>
        <w:tc>
          <w:tcPr>
            <w:tcW w:w="5" w:type="pct"/>
            <w:vAlign w:val="center"/>
            <w:hideMark/>
          </w:tcPr>
          <w:p w14:paraId="6D532A3D" w14:textId="77777777" w:rsidR="00000000" w:rsidRDefault="00A173A8">
            <w:pPr>
              <w:spacing w:after="100"/>
              <w:rPr>
                <w:rFonts w:eastAsia="Times New Roman"/>
                <w:sz w:val="20"/>
                <w:szCs w:val="20"/>
              </w:rPr>
            </w:pPr>
          </w:p>
        </w:tc>
        <w:tc>
          <w:tcPr>
            <w:tcW w:w="0" w:type="auto"/>
            <w:vAlign w:val="center"/>
            <w:hideMark/>
          </w:tcPr>
          <w:p w14:paraId="2A885BE0" w14:textId="77777777" w:rsidR="00000000" w:rsidRDefault="00A173A8">
            <w:pPr>
              <w:spacing w:after="100"/>
              <w:rPr>
                <w:rFonts w:eastAsia="Times New Roman"/>
                <w:sz w:val="20"/>
                <w:szCs w:val="20"/>
              </w:rPr>
            </w:pPr>
          </w:p>
        </w:tc>
        <w:tc>
          <w:tcPr>
            <w:tcW w:w="0" w:type="auto"/>
            <w:vAlign w:val="center"/>
            <w:hideMark/>
          </w:tcPr>
          <w:p w14:paraId="4C3961A3" w14:textId="77777777" w:rsidR="00000000" w:rsidRDefault="00A173A8">
            <w:pPr>
              <w:spacing w:after="100"/>
              <w:rPr>
                <w:rFonts w:eastAsia="Times New Roman"/>
                <w:sz w:val="20"/>
                <w:szCs w:val="20"/>
              </w:rPr>
            </w:pPr>
          </w:p>
        </w:tc>
        <w:tc>
          <w:tcPr>
            <w:tcW w:w="5" w:type="pct"/>
            <w:vAlign w:val="center"/>
            <w:hideMark/>
          </w:tcPr>
          <w:p w14:paraId="50638C12" w14:textId="77777777" w:rsidR="00000000" w:rsidRDefault="00A173A8">
            <w:pPr>
              <w:spacing w:after="100"/>
              <w:rPr>
                <w:rFonts w:eastAsia="Times New Roman"/>
                <w:sz w:val="20"/>
                <w:szCs w:val="20"/>
              </w:rPr>
            </w:pPr>
          </w:p>
        </w:tc>
        <w:tc>
          <w:tcPr>
            <w:tcW w:w="26" w:type="pct"/>
            <w:vAlign w:val="center"/>
            <w:hideMark/>
          </w:tcPr>
          <w:p w14:paraId="160170EC" w14:textId="77777777" w:rsidR="00000000" w:rsidRDefault="00A173A8">
            <w:pPr>
              <w:spacing w:after="100"/>
              <w:rPr>
                <w:rFonts w:eastAsia="Times New Roman"/>
                <w:sz w:val="20"/>
                <w:szCs w:val="20"/>
              </w:rPr>
            </w:pPr>
          </w:p>
        </w:tc>
        <w:tc>
          <w:tcPr>
            <w:tcW w:w="5" w:type="pct"/>
            <w:vAlign w:val="center"/>
            <w:hideMark/>
          </w:tcPr>
          <w:p w14:paraId="5055D42B" w14:textId="77777777" w:rsidR="00000000" w:rsidRDefault="00A173A8">
            <w:pPr>
              <w:spacing w:after="100"/>
              <w:rPr>
                <w:rFonts w:eastAsia="Times New Roman"/>
                <w:sz w:val="20"/>
                <w:szCs w:val="20"/>
              </w:rPr>
            </w:pPr>
          </w:p>
        </w:tc>
        <w:tc>
          <w:tcPr>
            <w:tcW w:w="50" w:type="pct"/>
            <w:vAlign w:val="center"/>
            <w:hideMark/>
          </w:tcPr>
          <w:p w14:paraId="07B94593" w14:textId="77777777" w:rsidR="00000000" w:rsidRDefault="00A173A8">
            <w:pPr>
              <w:spacing w:after="100"/>
              <w:rPr>
                <w:rFonts w:eastAsia="Times New Roman"/>
                <w:sz w:val="20"/>
                <w:szCs w:val="20"/>
              </w:rPr>
            </w:pPr>
          </w:p>
        </w:tc>
        <w:tc>
          <w:tcPr>
            <w:tcW w:w="493" w:type="pct"/>
            <w:vAlign w:val="center"/>
            <w:hideMark/>
          </w:tcPr>
          <w:p w14:paraId="69AEC49C" w14:textId="77777777" w:rsidR="00000000" w:rsidRDefault="00A173A8">
            <w:pPr>
              <w:spacing w:after="100"/>
              <w:rPr>
                <w:rFonts w:eastAsia="Times New Roman"/>
                <w:sz w:val="20"/>
                <w:szCs w:val="20"/>
              </w:rPr>
            </w:pPr>
          </w:p>
        </w:tc>
        <w:tc>
          <w:tcPr>
            <w:tcW w:w="5" w:type="pct"/>
            <w:vAlign w:val="center"/>
            <w:hideMark/>
          </w:tcPr>
          <w:p w14:paraId="70B974F4" w14:textId="77777777" w:rsidR="00000000" w:rsidRDefault="00A173A8">
            <w:pPr>
              <w:spacing w:after="100"/>
              <w:rPr>
                <w:rFonts w:eastAsia="Times New Roman"/>
                <w:sz w:val="20"/>
                <w:szCs w:val="20"/>
              </w:rPr>
            </w:pPr>
          </w:p>
        </w:tc>
        <w:tc>
          <w:tcPr>
            <w:tcW w:w="5" w:type="pct"/>
            <w:vAlign w:val="center"/>
            <w:hideMark/>
          </w:tcPr>
          <w:p w14:paraId="15C89E24" w14:textId="77777777" w:rsidR="00000000" w:rsidRDefault="00A173A8">
            <w:pPr>
              <w:spacing w:after="100"/>
              <w:rPr>
                <w:rFonts w:eastAsia="Times New Roman"/>
                <w:sz w:val="20"/>
                <w:szCs w:val="20"/>
              </w:rPr>
            </w:pPr>
          </w:p>
        </w:tc>
        <w:tc>
          <w:tcPr>
            <w:tcW w:w="26" w:type="pct"/>
            <w:vAlign w:val="center"/>
            <w:hideMark/>
          </w:tcPr>
          <w:p w14:paraId="4C679B53" w14:textId="77777777" w:rsidR="00000000" w:rsidRDefault="00A173A8">
            <w:pPr>
              <w:spacing w:after="100"/>
              <w:rPr>
                <w:rFonts w:eastAsia="Times New Roman"/>
                <w:sz w:val="20"/>
                <w:szCs w:val="20"/>
              </w:rPr>
            </w:pPr>
          </w:p>
        </w:tc>
        <w:tc>
          <w:tcPr>
            <w:tcW w:w="5" w:type="pct"/>
            <w:vAlign w:val="center"/>
            <w:hideMark/>
          </w:tcPr>
          <w:p w14:paraId="3DBEAD99" w14:textId="77777777" w:rsidR="00000000" w:rsidRDefault="00A173A8">
            <w:pPr>
              <w:spacing w:after="100"/>
              <w:rPr>
                <w:rFonts w:eastAsia="Times New Roman"/>
                <w:sz w:val="20"/>
                <w:szCs w:val="20"/>
              </w:rPr>
            </w:pPr>
          </w:p>
        </w:tc>
        <w:tc>
          <w:tcPr>
            <w:tcW w:w="50" w:type="pct"/>
            <w:vAlign w:val="center"/>
            <w:hideMark/>
          </w:tcPr>
          <w:p w14:paraId="57169661" w14:textId="77777777" w:rsidR="00000000" w:rsidRDefault="00A173A8">
            <w:pPr>
              <w:spacing w:after="100"/>
              <w:rPr>
                <w:rFonts w:eastAsia="Times New Roman"/>
                <w:sz w:val="20"/>
                <w:szCs w:val="20"/>
              </w:rPr>
            </w:pPr>
          </w:p>
        </w:tc>
        <w:tc>
          <w:tcPr>
            <w:tcW w:w="493" w:type="pct"/>
            <w:vAlign w:val="center"/>
            <w:hideMark/>
          </w:tcPr>
          <w:p w14:paraId="1893F23D" w14:textId="77777777" w:rsidR="00000000" w:rsidRDefault="00A173A8">
            <w:pPr>
              <w:spacing w:after="100"/>
              <w:rPr>
                <w:rFonts w:eastAsia="Times New Roman"/>
                <w:sz w:val="20"/>
                <w:szCs w:val="20"/>
              </w:rPr>
            </w:pPr>
          </w:p>
        </w:tc>
        <w:tc>
          <w:tcPr>
            <w:tcW w:w="5" w:type="pct"/>
            <w:vAlign w:val="center"/>
            <w:hideMark/>
          </w:tcPr>
          <w:p w14:paraId="7EC0D051" w14:textId="77777777" w:rsidR="00000000" w:rsidRDefault="00A173A8">
            <w:pPr>
              <w:spacing w:after="100"/>
              <w:rPr>
                <w:rFonts w:eastAsia="Times New Roman"/>
                <w:sz w:val="20"/>
                <w:szCs w:val="20"/>
              </w:rPr>
            </w:pPr>
          </w:p>
        </w:tc>
        <w:tc>
          <w:tcPr>
            <w:tcW w:w="0" w:type="auto"/>
            <w:vAlign w:val="center"/>
            <w:hideMark/>
          </w:tcPr>
          <w:p w14:paraId="4604C28A" w14:textId="77777777" w:rsidR="00000000" w:rsidRDefault="00A173A8">
            <w:pPr>
              <w:spacing w:after="100"/>
              <w:rPr>
                <w:rFonts w:eastAsia="Times New Roman"/>
                <w:sz w:val="20"/>
                <w:szCs w:val="20"/>
              </w:rPr>
            </w:pPr>
          </w:p>
        </w:tc>
        <w:tc>
          <w:tcPr>
            <w:tcW w:w="0" w:type="auto"/>
            <w:vAlign w:val="center"/>
            <w:hideMark/>
          </w:tcPr>
          <w:p w14:paraId="3FA7FF93" w14:textId="77777777" w:rsidR="00000000" w:rsidRDefault="00A173A8">
            <w:pPr>
              <w:spacing w:after="100"/>
              <w:rPr>
                <w:rFonts w:eastAsia="Times New Roman"/>
                <w:sz w:val="20"/>
                <w:szCs w:val="20"/>
              </w:rPr>
            </w:pPr>
          </w:p>
        </w:tc>
      </w:tr>
      <w:tr w:rsidR="00000000" w14:paraId="3B9E0368" w14:textId="77777777">
        <w:tc>
          <w:tcPr>
            <w:tcW w:w="0" w:type="auto"/>
            <w:gridSpan w:val="3"/>
            <w:tcMar>
              <w:top w:w="0" w:type="dxa"/>
              <w:left w:w="20" w:type="dxa"/>
              <w:bottom w:w="0" w:type="dxa"/>
              <w:right w:w="20" w:type="dxa"/>
            </w:tcMar>
            <w:vAlign w:val="center"/>
            <w:hideMark/>
          </w:tcPr>
          <w:p w14:paraId="672CB1E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B0C6FA" w14:textId="77777777" w:rsidR="00000000" w:rsidRDefault="00A173A8">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14:paraId="70CE2E2C" w14:textId="77777777" w:rsidR="00000000" w:rsidRDefault="00A173A8">
            <w:pPr>
              <w:spacing w:after="100"/>
              <w:jc w:val="center"/>
              <w:rPr>
                <w:rFonts w:eastAsia="Times New Roman"/>
              </w:rPr>
            </w:pPr>
            <w:r>
              <w:rPr>
                <w:rFonts w:eastAsia="Times New Roman"/>
                <w:b/>
                <w:bCs/>
                <w:color w:val="000000"/>
                <w:sz w:val="20"/>
                <w:szCs w:val="20"/>
              </w:rPr>
              <w:t>Issuances</w:t>
            </w:r>
          </w:p>
        </w:tc>
        <w:tc>
          <w:tcPr>
            <w:tcW w:w="0" w:type="auto"/>
            <w:vAlign w:val="center"/>
            <w:hideMark/>
          </w:tcPr>
          <w:p w14:paraId="30CE4785" w14:textId="77777777" w:rsidR="00000000" w:rsidRDefault="00A173A8">
            <w:pPr>
              <w:spacing w:after="100"/>
              <w:jc w:val="center"/>
              <w:rPr>
                <w:rFonts w:eastAsia="Times New Roman"/>
              </w:rPr>
            </w:pPr>
          </w:p>
        </w:tc>
        <w:tc>
          <w:tcPr>
            <w:tcW w:w="0" w:type="auto"/>
            <w:vAlign w:val="center"/>
            <w:hideMark/>
          </w:tcPr>
          <w:p w14:paraId="749A84C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E45008" w14:textId="77777777" w:rsidR="00000000" w:rsidRDefault="00A173A8">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center"/>
            <w:hideMark/>
          </w:tcPr>
          <w:p w14:paraId="5FDF346C" w14:textId="77777777" w:rsidR="00000000" w:rsidRDefault="00A173A8">
            <w:pPr>
              <w:spacing w:after="100"/>
              <w:jc w:val="center"/>
              <w:rPr>
                <w:rFonts w:eastAsia="Times New Roman"/>
              </w:rPr>
            </w:pPr>
            <w:r>
              <w:rPr>
                <w:rFonts w:eastAsia="Times New Roman"/>
                <w:b/>
                <w:bCs/>
                <w:color w:val="000000"/>
                <w:sz w:val="20"/>
                <w:szCs w:val="20"/>
              </w:rPr>
              <w:t>Maturities/Redemptions</w:t>
            </w:r>
          </w:p>
        </w:tc>
        <w:tc>
          <w:tcPr>
            <w:tcW w:w="0" w:type="auto"/>
            <w:vAlign w:val="center"/>
            <w:hideMark/>
          </w:tcPr>
          <w:p w14:paraId="10EAF432" w14:textId="77777777" w:rsidR="00000000" w:rsidRDefault="00A173A8">
            <w:pPr>
              <w:spacing w:after="100"/>
              <w:jc w:val="center"/>
              <w:rPr>
                <w:rFonts w:eastAsia="Times New Roman"/>
              </w:rPr>
            </w:pPr>
          </w:p>
        </w:tc>
        <w:tc>
          <w:tcPr>
            <w:tcW w:w="0" w:type="auto"/>
            <w:vAlign w:val="center"/>
            <w:hideMark/>
          </w:tcPr>
          <w:p w14:paraId="20A6D74A" w14:textId="77777777" w:rsidR="00000000" w:rsidRDefault="00A173A8">
            <w:pPr>
              <w:spacing w:after="100"/>
              <w:rPr>
                <w:rFonts w:eastAsia="Times New Roman"/>
                <w:sz w:val="20"/>
                <w:szCs w:val="20"/>
              </w:rPr>
            </w:pPr>
          </w:p>
        </w:tc>
      </w:tr>
      <w:tr w:rsidR="00000000" w14:paraId="0B2B1D0A" w14:textId="77777777">
        <w:tc>
          <w:tcPr>
            <w:tcW w:w="0" w:type="auto"/>
            <w:gridSpan w:val="3"/>
            <w:tcMar>
              <w:top w:w="0" w:type="dxa"/>
              <w:left w:w="20" w:type="dxa"/>
              <w:bottom w:w="0" w:type="dxa"/>
              <w:right w:w="20" w:type="dxa"/>
            </w:tcMar>
            <w:vAlign w:val="center"/>
            <w:hideMark/>
          </w:tcPr>
          <w:p w14:paraId="37F5783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126C43"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14:paraId="60D037B4"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vAlign w:val="center"/>
            <w:hideMark/>
          </w:tcPr>
          <w:p w14:paraId="2EF5EDC7" w14:textId="77777777" w:rsidR="00000000" w:rsidRDefault="00A173A8">
            <w:pPr>
              <w:spacing w:after="100"/>
              <w:jc w:val="center"/>
              <w:rPr>
                <w:rFonts w:eastAsia="Times New Roman"/>
              </w:rPr>
            </w:pPr>
          </w:p>
        </w:tc>
        <w:tc>
          <w:tcPr>
            <w:tcW w:w="0" w:type="auto"/>
            <w:vAlign w:val="center"/>
            <w:hideMark/>
          </w:tcPr>
          <w:p w14:paraId="2BAFA8A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E62C2C"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center"/>
            <w:hideMark/>
          </w:tcPr>
          <w:p w14:paraId="7539401D" w14:textId="77777777" w:rsidR="00000000" w:rsidRDefault="00A173A8">
            <w:pPr>
              <w:spacing w:after="100"/>
              <w:jc w:val="center"/>
              <w:rPr>
                <w:rFonts w:eastAsia="Times New Roman"/>
              </w:rPr>
            </w:pPr>
            <w:r>
              <w:rPr>
                <w:rFonts w:eastAsia="Times New Roman"/>
                <w:b/>
                <w:bCs/>
                <w:color w:val="000000"/>
                <w:sz w:val="20"/>
                <w:szCs w:val="20"/>
              </w:rPr>
              <w:t>Six Months Ended June 30,</w:t>
            </w:r>
          </w:p>
        </w:tc>
        <w:tc>
          <w:tcPr>
            <w:tcW w:w="0" w:type="auto"/>
            <w:vAlign w:val="center"/>
            <w:hideMark/>
          </w:tcPr>
          <w:p w14:paraId="305D9837" w14:textId="77777777" w:rsidR="00000000" w:rsidRDefault="00A173A8">
            <w:pPr>
              <w:spacing w:after="100"/>
              <w:jc w:val="center"/>
              <w:rPr>
                <w:rFonts w:eastAsia="Times New Roman"/>
              </w:rPr>
            </w:pPr>
          </w:p>
        </w:tc>
        <w:tc>
          <w:tcPr>
            <w:tcW w:w="0" w:type="auto"/>
            <w:vAlign w:val="center"/>
            <w:hideMark/>
          </w:tcPr>
          <w:p w14:paraId="11A53D3E" w14:textId="77777777" w:rsidR="00000000" w:rsidRDefault="00A173A8">
            <w:pPr>
              <w:spacing w:after="100"/>
              <w:rPr>
                <w:rFonts w:eastAsia="Times New Roman"/>
                <w:sz w:val="20"/>
                <w:szCs w:val="20"/>
              </w:rPr>
            </w:pPr>
          </w:p>
        </w:tc>
      </w:tr>
      <w:tr w:rsidR="00000000" w14:paraId="5ADC4BAD" w14:textId="77777777">
        <w:tc>
          <w:tcPr>
            <w:tcW w:w="0" w:type="auto"/>
            <w:gridSpan w:val="3"/>
            <w:tcBorders>
              <w:bottom w:val="single" w:sz="8" w:space="0" w:color="000000"/>
            </w:tcBorders>
            <w:tcMar>
              <w:top w:w="30" w:type="dxa"/>
              <w:left w:w="20" w:type="dxa"/>
              <w:bottom w:w="30" w:type="dxa"/>
              <w:right w:w="20" w:type="dxa"/>
            </w:tcMar>
            <w:vAlign w:val="bottom"/>
            <w:hideMark/>
          </w:tcPr>
          <w:p w14:paraId="1005ADE0"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44EC286A"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32D753A2"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9B041A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49D24D73"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23F202B4" w14:textId="77777777" w:rsidR="00000000" w:rsidRDefault="00A173A8">
            <w:pPr>
              <w:spacing w:after="100"/>
              <w:jc w:val="center"/>
              <w:rPr>
                <w:rFonts w:eastAsia="Times New Roman"/>
              </w:rPr>
            </w:pPr>
          </w:p>
        </w:tc>
        <w:tc>
          <w:tcPr>
            <w:tcW w:w="0" w:type="auto"/>
            <w:vAlign w:val="center"/>
            <w:hideMark/>
          </w:tcPr>
          <w:p w14:paraId="165E89A3"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D2E850"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0D272473" w14:textId="77777777" w:rsidR="00000000" w:rsidRDefault="00A173A8">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1AE0C0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14:paraId="7D0FF727" w14:textId="77777777" w:rsidR="00000000" w:rsidRDefault="00A173A8">
            <w:pPr>
              <w:spacing w:after="100"/>
              <w:jc w:val="center"/>
              <w:rPr>
                <w:rFonts w:eastAsia="Times New Roman"/>
              </w:rPr>
            </w:pPr>
            <w:r>
              <w:rPr>
                <w:rFonts w:eastAsia="Times New Roman"/>
                <w:b/>
                <w:bCs/>
                <w:color w:val="000000"/>
                <w:sz w:val="20"/>
                <w:szCs w:val="20"/>
              </w:rPr>
              <w:t>2021</w:t>
            </w:r>
          </w:p>
        </w:tc>
        <w:tc>
          <w:tcPr>
            <w:tcW w:w="0" w:type="auto"/>
            <w:vAlign w:val="center"/>
            <w:hideMark/>
          </w:tcPr>
          <w:p w14:paraId="68897D1D" w14:textId="77777777" w:rsidR="00000000" w:rsidRDefault="00A173A8">
            <w:pPr>
              <w:spacing w:after="100"/>
              <w:jc w:val="center"/>
              <w:rPr>
                <w:rFonts w:eastAsia="Times New Roman"/>
              </w:rPr>
            </w:pPr>
          </w:p>
        </w:tc>
        <w:tc>
          <w:tcPr>
            <w:tcW w:w="0" w:type="auto"/>
            <w:vAlign w:val="center"/>
            <w:hideMark/>
          </w:tcPr>
          <w:p w14:paraId="7D91BBBD" w14:textId="77777777" w:rsidR="00000000" w:rsidRDefault="00A173A8">
            <w:pPr>
              <w:spacing w:after="100"/>
              <w:rPr>
                <w:rFonts w:eastAsia="Times New Roman"/>
                <w:sz w:val="20"/>
                <w:szCs w:val="20"/>
              </w:rPr>
            </w:pPr>
          </w:p>
        </w:tc>
      </w:tr>
      <w:tr w:rsidR="00000000" w14:paraId="6C8AFA92"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0501C2A" w14:textId="77777777" w:rsidR="00000000" w:rsidRDefault="00A173A8">
            <w:pPr>
              <w:spacing w:after="100"/>
              <w:rPr>
                <w:rFonts w:eastAsia="Times New Roman"/>
              </w:rPr>
            </w:pPr>
            <w:r>
              <w:rPr>
                <w:rFonts w:eastAsia="Times New Roman"/>
                <w:color w:val="000000"/>
                <w:sz w:val="20"/>
                <w:szCs w:val="20"/>
              </w:rPr>
              <w:t>Securitized debt obligations</w:t>
            </w:r>
          </w:p>
        </w:tc>
        <w:tc>
          <w:tcPr>
            <w:tcW w:w="0" w:type="auto"/>
            <w:gridSpan w:val="3"/>
            <w:shd w:val="clear" w:color="auto" w:fill="CCEEFF"/>
            <w:tcMar>
              <w:top w:w="0" w:type="dxa"/>
              <w:left w:w="20" w:type="dxa"/>
              <w:bottom w:w="0" w:type="dxa"/>
              <w:right w:w="20" w:type="dxa"/>
            </w:tcMar>
            <w:vAlign w:val="center"/>
            <w:hideMark/>
          </w:tcPr>
          <w:p w14:paraId="2C555BD0"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1B00B42"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9ACD4DE" w14:textId="77777777" w:rsidR="00000000" w:rsidRDefault="00A173A8">
            <w:pPr>
              <w:spacing w:after="100"/>
              <w:jc w:val="right"/>
              <w:rPr>
                <w:rFonts w:eastAsia="Times New Roman"/>
              </w:rPr>
            </w:pPr>
            <w:r>
              <w:rPr>
                <w:rFonts w:eastAsia="Times New Roman"/>
                <w:b/>
                <w:bCs/>
                <w:color w:val="000000"/>
                <w:sz w:val="20"/>
                <w:szCs w:val="20"/>
              </w:rPr>
              <w:t>6,500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6F261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4E0D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903C4C4"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0A099C7" w14:textId="77777777" w:rsidR="00000000" w:rsidRDefault="00A173A8">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382376" w14:textId="77777777" w:rsidR="00000000" w:rsidRDefault="00A173A8">
            <w:pPr>
              <w:spacing w:after="100"/>
              <w:jc w:val="right"/>
              <w:rPr>
                <w:rFonts w:eastAsia="Times New Roman"/>
              </w:rPr>
            </w:pPr>
          </w:p>
        </w:tc>
        <w:tc>
          <w:tcPr>
            <w:tcW w:w="0" w:type="auto"/>
            <w:vAlign w:val="center"/>
            <w:hideMark/>
          </w:tcPr>
          <w:p w14:paraId="20B53A3D" w14:textId="77777777" w:rsidR="00000000" w:rsidRDefault="00A173A8">
            <w:pPr>
              <w:spacing w:after="100"/>
              <w:jc w:val="right"/>
              <w:rPr>
                <w:rFonts w:eastAsia="Times New Roman"/>
                <w:sz w:val="20"/>
                <w:szCs w:val="20"/>
              </w:rPr>
            </w:pPr>
          </w:p>
        </w:tc>
        <w:tc>
          <w:tcPr>
            <w:tcW w:w="0" w:type="auto"/>
            <w:vAlign w:val="center"/>
            <w:hideMark/>
          </w:tcPr>
          <w:p w14:paraId="6387FDD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2300F7" w14:textId="77777777" w:rsidR="00000000" w:rsidRDefault="00A173A8">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0E90356"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631BA9C" w14:textId="77777777" w:rsidR="00000000" w:rsidRDefault="00A173A8">
            <w:pPr>
              <w:spacing w:after="100"/>
              <w:jc w:val="right"/>
              <w:rPr>
                <w:rFonts w:eastAsia="Times New Roman"/>
              </w:rPr>
            </w:pPr>
            <w:r>
              <w:rPr>
                <w:rFonts w:eastAsia="Times New Roman"/>
                <w:b/>
                <w:bCs/>
                <w:color w:val="000000"/>
                <w:sz w:val="20"/>
                <w:szCs w:val="20"/>
              </w:rPr>
              <w:t>3,593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D0A74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DEF8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ACB4311"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2D8DD63" w14:textId="77777777" w:rsidR="00000000" w:rsidRDefault="00A173A8">
            <w:pPr>
              <w:spacing w:after="100"/>
              <w:jc w:val="right"/>
              <w:rPr>
                <w:rFonts w:eastAsia="Times New Roman"/>
              </w:rPr>
            </w:pPr>
            <w:r>
              <w:rPr>
                <w:rFonts w:eastAsia="Times New Roman"/>
                <w:color w:val="000000"/>
                <w:sz w:val="20"/>
                <w:szCs w:val="20"/>
              </w:rPr>
              <w:t>1,773 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B1DC55" w14:textId="77777777" w:rsidR="00000000" w:rsidRDefault="00A173A8">
            <w:pPr>
              <w:spacing w:after="100"/>
              <w:jc w:val="right"/>
              <w:rPr>
                <w:rFonts w:eastAsia="Times New Roman"/>
              </w:rPr>
            </w:pPr>
          </w:p>
        </w:tc>
        <w:tc>
          <w:tcPr>
            <w:tcW w:w="0" w:type="auto"/>
            <w:vAlign w:val="center"/>
            <w:hideMark/>
          </w:tcPr>
          <w:p w14:paraId="565E79A7" w14:textId="77777777" w:rsidR="00000000" w:rsidRDefault="00A173A8">
            <w:pPr>
              <w:spacing w:after="100"/>
              <w:jc w:val="right"/>
              <w:rPr>
                <w:rFonts w:eastAsia="Times New Roman"/>
                <w:sz w:val="20"/>
                <w:szCs w:val="20"/>
              </w:rPr>
            </w:pPr>
          </w:p>
        </w:tc>
        <w:tc>
          <w:tcPr>
            <w:tcW w:w="0" w:type="auto"/>
            <w:vAlign w:val="center"/>
            <w:hideMark/>
          </w:tcPr>
          <w:p w14:paraId="016DCE2B" w14:textId="77777777" w:rsidR="00000000" w:rsidRDefault="00A173A8">
            <w:pPr>
              <w:spacing w:after="100"/>
              <w:rPr>
                <w:rFonts w:eastAsia="Times New Roman"/>
                <w:sz w:val="20"/>
                <w:szCs w:val="20"/>
              </w:rPr>
            </w:pPr>
          </w:p>
        </w:tc>
      </w:tr>
      <w:tr w:rsidR="00000000" w14:paraId="754A7483" w14:textId="77777777">
        <w:tc>
          <w:tcPr>
            <w:tcW w:w="0" w:type="auto"/>
            <w:gridSpan w:val="3"/>
            <w:shd w:val="clear" w:color="auto" w:fill="FFFFFF"/>
            <w:tcMar>
              <w:top w:w="30" w:type="dxa"/>
              <w:left w:w="20" w:type="dxa"/>
              <w:bottom w:w="30" w:type="dxa"/>
              <w:right w:w="20" w:type="dxa"/>
            </w:tcMar>
            <w:vAlign w:val="center"/>
            <w:hideMark/>
          </w:tcPr>
          <w:p w14:paraId="2ABBA0A9" w14:textId="77777777" w:rsidR="00000000" w:rsidRDefault="00A173A8">
            <w:pPr>
              <w:spacing w:after="100"/>
              <w:rPr>
                <w:rFonts w:eastAsia="Times New Roman"/>
              </w:rPr>
            </w:pPr>
            <w:r>
              <w:rPr>
                <w:rFonts w:eastAsia="Times New Roman"/>
                <w:color w:val="000000"/>
                <w:sz w:val="20"/>
                <w:szCs w:val="20"/>
              </w:rPr>
              <w:t>Senior and subordinated notes</w:t>
            </w:r>
          </w:p>
        </w:tc>
        <w:tc>
          <w:tcPr>
            <w:tcW w:w="0" w:type="auto"/>
            <w:gridSpan w:val="3"/>
            <w:shd w:val="clear" w:color="auto" w:fill="FFFFFF"/>
            <w:tcMar>
              <w:top w:w="0" w:type="dxa"/>
              <w:left w:w="20" w:type="dxa"/>
              <w:bottom w:w="0" w:type="dxa"/>
              <w:right w:w="20" w:type="dxa"/>
            </w:tcMar>
            <w:vAlign w:val="center"/>
            <w:hideMark/>
          </w:tcPr>
          <w:p w14:paraId="7B0F4EE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55205A0" w14:textId="77777777" w:rsidR="00000000" w:rsidRDefault="00A173A8">
            <w:pPr>
              <w:spacing w:after="100"/>
              <w:jc w:val="right"/>
              <w:rPr>
                <w:rFonts w:eastAsia="Times New Roman"/>
              </w:rPr>
            </w:pPr>
            <w:r>
              <w:rPr>
                <w:rFonts w:eastAsia="Times New Roman"/>
                <w:b/>
                <w:bCs/>
                <w:color w:val="000000"/>
                <w:sz w:val="20"/>
                <w:szCs w:val="20"/>
              </w:rPr>
              <w:t>7,050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06AE969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3823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3802CD"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AD04591" w14:textId="77777777" w:rsidR="00000000" w:rsidRDefault="00A173A8">
            <w:pPr>
              <w:spacing w:after="100"/>
              <w:jc w:val="right"/>
              <w:rPr>
                <w:rFonts w:eastAsia="Times New Roman"/>
              </w:rPr>
            </w:pPr>
          </w:p>
        </w:tc>
        <w:tc>
          <w:tcPr>
            <w:tcW w:w="0" w:type="auto"/>
            <w:vAlign w:val="center"/>
            <w:hideMark/>
          </w:tcPr>
          <w:p w14:paraId="2309B660" w14:textId="77777777" w:rsidR="00000000" w:rsidRDefault="00A173A8">
            <w:pPr>
              <w:spacing w:after="100"/>
              <w:jc w:val="right"/>
              <w:rPr>
                <w:rFonts w:eastAsia="Times New Roman"/>
                <w:sz w:val="20"/>
                <w:szCs w:val="20"/>
              </w:rPr>
            </w:pPr>
          </w:p>
        </w:tc>
        <w:tc>
          <w:tcPr>
            <w:tcW w:w="0" w:type="auto"/>
            <w:vAlign w:val="center"/>
            <w:hideMark/>
          </w:tcPr>
          <w:p w14:paraId="46A64D8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F906E9"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8B14CE" w14:textId="77777777" w:rsidR="00000000" w:rsidRDefault="00A173A8">
            <w:pPr>
              <w:spacing w:after="100"/>
              <w:jc w:val="right"/>
              <w:rPr>
                <w:rFonts w:eastAsia="Times New Roman"/>
              </w:rPr>
            </w:pPr>
            <w:r>
              <w:rPr>
                <w:rFonts w:eastAsia="Times New Roman"/>
                <w:b/>
                <w:bCs/>
                <w:color w:val="000000"/>
                <w:sz w:val="20"/>
                <w:szCs w:val="20"/>
              </w:rPr>
              <w:t>2,357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2A9D59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2CE0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56BEC8" w14:textId="77777777" w:rsidR="00000000" w:rsidRDefault="00A173A8">
            <w:pPr>
              <w:spacing w:after="100"/>
              <w:jc w:val="right"/>
              <w:rPr>
                <w:rFonts w:eastAsia="Times New Roman"/>
              </w:rPr>
            </w:pPr>
            <w:r>
              <w:rPr>
                <w:rFonts w:eastAsia="Times New Roman"/>
                <w:color w:val="000000"/>
                <w:sz w:val="20"/>
                <w:szCs w:val="20"/>
              </w:rPr>
              <w:t>2,085 </w:t>
            </w:r>
          </w:p>
        </w:tc>
        <w:tc>
          <w:tcPr>
            <w:tcW w:w="0" w:type="auto"/>
            <w:shd w:val="clear" w:color="auto" w:fill="FFFFFF"/>
            <w:tcMar>
              <w:top w:w="30" w:type="dxa"/>
              <w:left w:w="0" w:type="dxa"/>
              <w:bottom w:w="30" w:type="dxa"/>
              <w:right w:w="20" w:type="dxa"/>
            </w:tcMar>
            <w:vAlign w:val="center"/>
            <w:hideMark/>
          </w:tcPr>
          <w:p w14:paraId="15E1C923" w14:textId="77777777" w:rsidR="00000000" w:rsidRDefault="00A173A8">
            <w:pPr>
              <w:spacing w:after="100"/>
              <w:jc w:val="right"/>
              <w:rPr>
                <w:rFonts w:eastAsia="Times New Roman"/>
              </w:rPr>
            </w:pPr>
          </w:p>
        </w:tc>
        <w:tc>
          <w:tcPr>
            <w:tcW w:w="0" w:type="auto"/>
            <w:vAlign w:val="center"/>
            <w:hideMark/>
          </w:tcPr>
          <w:p w14:paraId="11EE0C53" w14:textId="77777777" w:rsidR="00000000" w:rsidRDefault="00A173A8">
            <w:pPr>
              <w:spacing w:after="100"/>
              <w:jc w:val="right"/>
              <w:rPr>
                <w:rFonts w:eastAsia="Times New Roman"/>
                <w:sz w:val="20"/>
                <w:szCs w:val="20"/>
              </w:rPr>
            </w:pPr>
          </w:p>
        </w:tc>
        <w:tc>
          <w:tcPr>
            <w:tcW w:w="0" w:type="auto"/>
            <w:vAlign w:val="center"/>
            <w:hideMark/>
          </w:tcPr>
          <w:p w14:paraId="745B8000" w14:textId="77777777" w:rsidR="00000000" w:rsidRDefault="00A173A8">
            <w:pPr>
              <w:spacing w:after="100"/>
              <w:rPr>
                <w:rFonts w:eastAsia="Times New Roman"/>
                <w:sz w:val="20"/>
                <w:szCs w:val="20"/>
              </w:rPr>
            </w:pPr>
          </w:p>
        </w:tc>
      </w:tr>
      <w:tr w:rsidR="00000000" w14:paraId="3FC2734C" w14:textId="77777777">
        <w:tc>
          <w:tcPr>
            <w:tcW w:w="0" w:type="auto"/>
            <w:gridSpan w:val="3"/>
            <w:shd w:val="clear" w:color="auto" w:fill="CCEEFF"/>
            <w:tcMar>
              <w:top w:w="30" w:type="dxa"/>
              <w:left w:w="20" w:type="dxa"/>
              <w:bottom w:w="30" w:type="dxa"/>
              <w:right w:w="20" w:type="dxa"/>
            </w:tcMar>
            <w:vAlign w:val="center"/>
            <w:hideMark/>
          </w:tcPr>
          <w:p w14:paraId="4464B0D0" w14:textId="77777777" w:rsidR="00000000" w:rsidRDefault="00A173A8">
            <w:pPr>
              <w:spacing w:after="100"/>
              <w:rPr>
                <w:rFonts w:eastAsia="Times New Roman"/>
              </w:rPr>
            </w:pPr>
            <w:r>
              <w:rPr>
                <w:rFonts w:eastAsia="Times New Roman"/>
                <w:color w:val="000000"/>
                <w:sz w:val="20"/>
                <w:szCs w:val="20"/>
              </w:rPr>
              <w:t>FHLB advances</w:t>
            </w:r>
          </w:p>
        </w:tc>
        <w:tc>
          <w:tcPr>
            <w:tcW w:w="0" w:type="auto"/>
            <w:gridSpan w:val="3"/>
            <w:shd w:val="clear" w:color="auto" w:fill="CCEEFF"/>
            <w:tcMar>
              <w:top w:w="0" w:type="dxa"/>
              <w:left w:w="20" w:type="dxa"/>
              <w:bottom w:w="0" w:type="dxa"/>
              <w:right w:w="20" w:type="dxa"/>
            </w:tcMar>
            <w:vAlign w:val="center"/>
            <w:hideMark/>
          </w:tcPr>
          <w:p w14:paraId="65DFF2B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6EC6BF" w14:textId="77777777" w:rsidR="00000000" w:rsidRDefault="00A173A8">
            <w:pPr>
              <w:spacing w:after="100"/>
              <w:jc w:val="right"/>
              <w:rPr>
                <w:rFonts w:eastAsia="Times New Roman"/>
              </w:rPr>
            </w:pPr>
            <w:r>
              <w:rPr>
                <w:rFonts w:eastAsia="Times New Roman"/>
                <w:b/>
                <w:bCs/>
                <w:color w:val="000000"/>
                <w:sz w:val="20"/>
                <w:szCs w:val="20"/>
              </w:rPr>
              <w:t>10,500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3CB61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F374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A9CF82"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A8A60CD" w14:textId="77777777" w:rsidR="00000000" w:rsidRDefault="00A173A8">
            <w:pPr>
              <w:spacing w:after="100"/>
              <w:jc w:val="right"/>
              <w:rPr>
                <w:rFonts w:eastAsia="Times New Roman"/>
              </w:rPr>
            </w:pPr>
          </w:p>
        </w:tc>
        <w:tc>
          <w:tcPr>
            <w:tcW w:w="0" w:type="auto"/>
            <w:vAlign w:val="center"/>
            <w:hideMark/>
          </w:tcPr>
          <w:p w14:paraId="59B0899D" w14:textId="77777777" w:rsidR="00000000" w:rsidRDefault="00A173A8">
            <w:pPr>
              <w:spacing w:after="100"/>
              <w:jc w:val="right"/>
              <w:rPr>
                <w:rFonts w:eastAsia="Times New Roman"/>
                <w:sz w:val="20"/>
                <w:szCs w:val="20"/>
              </w:rPr>
            </w:pPr>
          </w:p>
        </w:tc>
        <w:tc>
          <w:tcPr>
            <w:tcW w:w="0" w:type="auto"/>
            <w:vAlign w:val="center"/>
            <w:hideMark/>
          </w:tcPr>
          <w:p w14:paraId="649C3BF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B5CDE5"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A8AF7E" w14:textId="77777777" w:rsidR="00000000" w:rsidRDefault="00A173A8">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4F6164C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64886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D29EC8" w14:textId="77777777" w:rsidR="00000000" w:rsidRDefault="00A173A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02228AF" w14:textId="77777777" w:rsidR="00000000" w:rsidRDefault="00A173A8">
            <w:pPr>
              <w:spacing w:after="100"/>
              <w:jc w:val="right"/>
              <w:rPr>
                <w:rFonts w:eastAsia="Times New Roman"/>
              </w:rPr>
            </w:pPr>
          </w:p>
        </w:tc>
        <w:tc>
          <w:tcPr>
            <w:tcW w:w="0" w:type="auto"/>
            <w:vAlign w:val="center"/>
            <w:hideMark/>
          </w:tcPr>
          <w:p w14:paraId="197FAD19" w14:textId="77777777" w:rsidR="00000000" w:rsidRDefault="00A173A8">
            <w:pPr>
              <w:spacing w:after="100"/>
              <w:jc w:val="right"/>
              <w:rPr>
                <w:rFonts w:eastAsia="Times New Roman"/>
                <w:sz w:val="20"/>
                <w:szCs w:val="20"/>
              </w:rPr>
            </w:pPr>
          </w:p>
        </w:tc>
        <w:tc>
          <w:tcPr>
            <w:tcW w:w="0" w:type="auto"/>
            <w:vAlign w:val="center"/>
            <w:hideMark/>
          </w:tcPr>
          <w:p w14:paraId="522064A8" w14:textId="77777777" w:rsidR="00000000" w:rsidRDefault="00A173A8">
            <w:pPr>
              <w:spacing w:after="100"/>
              <w:rPr>
                <w:rFonts w:eastAsia="Times New Roman"/>
                <w:sz w:val="20"/>
                <w:szCs w:val="20"/>
              </w:rPr>
            </w:pPr>
          </w:p>
        </w:tc>
      </w:tr>
      <w:tr w:rsidR="00000000" w14:paraId="6E5A4545" w14:textId="77777777">
        <w:tc>
          <w:tcPr>
            <w:tcW w:w="0" w:type="auto"/>
            <w:gridSpan w:val="3"/>
            <w:shd w:val="clear" w:color="auto" w:fill="FFFFFF"/>
            <w:tcMar>
              <w:top w:w="30" w:type="dxa"/>
              <w:left w:w="20" w:type="dxa"/>
              <w:bottom w:w="30" w:type="dxa"/>
              <w:right w:w="20" w:type="dxa"/>
            </w:tcMar>
            <w:vAlign w:val="center"/>
            <w:hideMark/>
          </w:tcPr>
          <w:p w14:paraId="21CE0487"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14:paraId="77906151"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8F25C0E"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C27A34" w14:textId="77777777" w:rsidR="00000000" w:rsidRDefault="00A173A8">
            <w:pPr>
              <w:spacing w:after="100"/>
              <w:jc w:val="right"/>
              <w:rPr>
                <w:rFonts w:eastAsia="Times New Roman"/>
              </w:rPr>
            </w:pPr>
            <w:r>
              <w:rPr>
                <w:rFonts w:eastAsia="Times New Roman"/>
                <w:b/>
                <w:bCs/>
                <w:color w:val="000000"/>
                <w:sz w:val="20"/>
                <w:szCs w:val="20"/>
              </w:rPr>
              <w:t>24,050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3D6CCC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A7E0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041B1ED"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353B3B4" w14:textId="77777777" w:rsidR="00000000" w:rsidRDefault="00A173A8">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D21DBBB" w14:textId="77777777" w:rsidR="00000000" w:rsidRDefault="00A173A8">
            <w:pPr>
              <w:spacing w:after="100"/>
              <w:jc w:val="right"/>
              <w:rPr>
                <w:rFonts w:eastAsia="Times New Roman"/>
              </w:rPr>
            </w:pPr>
          </w:p>
        </w:tc>
        <w:tc>
          <w:tcPr>
            <w:tcW w:w="0" w:type="auto"/>
            <w:vAlign w:val="center"/>
            <w:hideMark/>
          </w:tcPr>
          <w:p w14:paraId="06F75886" w14:textId="77777777" w:rsidR="00000000" w:rsidRDefault="00A173A8">
            <w:pPr>
              <w:spacing w:after="100"/>
              <w:jc w:val="right"/>
              <w:rPr>
                <w:rFonts w:eastAsia="Times New Roman"/>
                <w:sz w:val="20"/>
                <w:szCs w:val="20"/>
              </w:rPr>
            </w:pPr>
          </w:p>
        </w:tc>
        <w:tc>
          <w:tcPr>
            <w:tcW w:w="0" w:type="auto"/>
            <w:vAlign w:val="center"/>
            <w:hideMark/>
          </w:tcPr>
          <w:p w14:paraId="5A0BBA0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EBDAD0" w14:textId="77777777" w:rsidR="00000000" w:rsidRDefault="00A173A8">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9360940"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90D8BC0" w14:textId="77777777" w:rsidR="00000000" w:rsidRDefault="00A173A8">
            <w:pPr>
              <w:spacing w:after="100"/>
              <w:jc w:val="right"/>
              <w:rPr>
                <w:rFonts w:eastAsia="Times New Roman"/>
              </w:rPr>
            </w:pPr>
            <w:r>
              <w:rPr>
                <w:rFonts w:eastAsia="Times New Roman"/>
                <w:b/>
                <w:bCs/>
                <w:color w:val="000000"/>
                <w:sz w:val="20"/>
                <w:szCs w:val="20"/>
              </w:rPr>
              <w:t>5,950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7B74B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8CBC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B3E9F5B"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C744EE2" w14:textId="77777777" w:rsidR="00000000" w:rsidRDefault="00A173A8">
            <w:pPr>
              <w:spacing w:after="100"/>
              <w:jc w:val="right"/>
              <w:rPr>
                <w:rFonts w:eastAsia="Times New Roman"/>
              </w:rPr>
            </w:pPr>
            <w:r>
              <w:rPr>
                <w:rFonts w:eastAsia="Times New Roman"/>
                <w:color w:val="000000"/>
                <w:sz w:val="20"/>
                <w:szCs w:val="20"/>
              </w:rPr>
              <w:t>3,858 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503125C" w14:textId="77777777" w:rsidR="00000000" w:rsidRDefault="00A173A8">
            <w:pPr>
              <w:spacing w:after="100"/>
              <w:jc w:val="right"/>
              <w:rPr>
                <w:rFonts w:eastAsia="Times New Roman"/>
              </w:rPr>
            </w:pPr>
          </w:p>
        </w:tc>
        <w:tc>
          <w:tcPr>
            <w:tcW w:w="0" w:type="auto"/>
            <w:vAlign w:val="center"/>
            <w:hideMark/>
          </w:tcPr>
          <w:p w14:paraId="71E44097" w14:textId="77777777" w:rsidR="00000000" w:rsidRDefault="00A173A8">
            <w:pPr>
              <w:spacing w:after="100"/>
              <w:jc w:val="right"/>
              <w:rPr>
                <w:rFonts w:eastAsia="Times New Roman"/>
                <w:sz w:val="20"/>
                <w:szCs w:val="20"/>
              </w:rPr>
            </w:pPr>
          </w:p>
        </w:tc>
        <w:tc>
          <w:tcPr>
            <w:tcW w:w="0" w:type="auto"/>
            <w:vAlign w:val="center"/>
            <w:hideMark/>
          </w:tcPr>
          <w:p w14:paraId="5C8ED3A5" w14:textId="77777777" w:rsidR="00000000" w:rsidRDefault="00A173A8">
            <w:pPr>
              <w:spacing w:after="100"/>
              <w:rPr>
                <w:rFonts w:eastAsia="Times New Roman"/>
                <w:sz w:val="20"/>
                <w:szCs w:val="20"/>
              </w:rPr>
            </w:pPr>
          </w:p>
        </w:tc>
      </w:tr>
    </w:tbl>
    <w:p w14:paraId="18204A3A" w14:textId="77777777" w:rsidR="00000000" w:rsidRDefault="00A173A8">
      <w:pPr>
        <w:divId w:val="885877143"/>
        <w:rPr>
          <w:rFonts w:eastAsia="Times New Roman"/>
        </w:rPr>
      </w:pPr>
      <w:r>
        <w:rPr>
          <w:rFonts w:eastAsia="Times New Roman"/>
          <w:b/>
          <w:bCs/>
          <w:color w:val="000000"/>
          <w:sz w:val="20"/>
          <w:szCs w:val="20"/>
        </w:rPr>
        <w:t>Credit Ratings</w:t>
      </w:r>
    </w:p>
    <w:p w14:paraId="29CC44C0" w14:textId="77777777" w:rsidR="00000000" w:rsidRDefault="00A173A8">
      <w:pPr>
        <w:jc w:val="both"/>
        <w:divId w:val="2103838363"/>
        <w:rPr>
          <w:rFonts w:eastAsia="Times New Roman"/>
        </w:rPr>
      </w:pPr>
      <w:r>
        <w:rPr>
          <w:rFonts w:eastAsia="Times New Roman"/>
          <w:color w:val="000000"/>
          <w:sz w:val="20"/>
          <w:szCs w:val="20"/>
        </w:rPr>
        <w:t>Our credit ratings impact our ability to access capital markets and our borrowing costs. Rating agencies assign their ratings based on numerous factors, including liquidity, capital adequacy, asset quality, quality of earnings and the probability of system</w:t>
      </w:r>
      <w:r>
        <w:rPr>
          <w:rFonts w:eastAsia="Times New Roman"/>
          <w:color w:val="000000"/>
          <w:sz w:val="20"/>
          <w:szCs w:val="20"/>
        </w:rPr>
        <w:t>ic support. Significant changes in these factors could result in different ratings.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2B5A5FC" w14:textId="77777777">
        <w:trPr>
          <w:divId w:val="1582838160"/>
          <w:jc w:val="center"/>
        </w:trPr>
        <w:tc>
          <w:tcPr>
            <w:tcW w:w="50" w:type="pct"/>
            <w:vAlign w:val="center"/>
            <w:hideMark/>
          </w:tcPr>
          <w:p w14:paraId="1C763DA3" w14:textId="77777777" w:rsidR="00000000" w:rsidRDefault="00A173A8">
            <w:pPr>
              <w:jc w:val="both"/>
              <w:rPr>
                <w:rFonts w:eastAsia="Times New Roman"/>
              </w:rPr>
            </w:pPr>
          </w:p>
        </w:tc>
        <w:tc>
          <w:tcPr>
            <w:tcW w:w="1606" w:type="pct"/>
            <w:vAlign w:val="center"/>
            <w:hideMark/>
          </w:tcPr>
          <w:p w14:paraId="7F275F6B" w14:textId="77777777" w:rsidR="00000000" w:rsidRDefault="00A173A8">
            <w:pPr>
              <w:spacing w:after="100"/>
              <w:rPr>
                <w:rFonts w:eastAsia="Times New Roman"/>
                <w:sz w:val="20"/>
                <w:szCs w:val="20"/>
              </w:rPr>
            </w:pPr>
          </w:p>
        </w:tc>
        <w:tc>
          <w:tcPr>
            <w:tcW w:w="5" w:type="pct"/>
            <w:vAlign w:val="center"/>
            <w:hideMark/>
          </w:tcPr>
          <w:p w14:paraId="24847778" w14:textId="77777777" w:rsidR="00000000" w:rsidRDefault="00A173A8">
            <w:pPr>
              <w:spacing w:after="100"/>
              <w:rPr>
                <w:rFonts w:eastAsia="Times New Roman"/>
                <w:sz w:val="20"/>
                <w:szCs w:val="20"/>
              </w:rPr>
            </w:pPr>
          </w:p>
        </w:tc>
        <w:tc>
          <w:tcPr>
            <w:tcW w:w="50" w:type="pct"/>
            <w:vAlign w:val="center"/>
            <w:hideMark/>
          </w:tcPr>
          <w:p w14:paraId="08E80A24" w14:textId="77777777" w:rsidR="00000000" w:rsidRDefault="00A173A8">
            <w:pPr>
              <w:spacing w:after="100"/>
              <w:rPr>
                <w:rFonts w:eastAsia="Times New Roman"/>
                <w:sz w:val="20"/>
                <w:szCs w:val="20"/>
              </w:rPr>
            </w:pPr>
          </w:p>
        </w:tc>
        <w:tc>
          <w:tcPr>
            <w:tcW w:w="1614" w:type="pct"/>
            <w:vAlign w:val="center"/>
            <w:hideMark/>
          </w:tcPr>
          <w:p w14:paraId="48D9CEDC" w14:textId="77777777" w:rsidR="00000000" w:rsidRDefault="00A173A8">
            <w:pPr>
              <w:spacing w:after="100"/>
              <w:rPr>
                <w:rFonts w:eastAsia="Times New Roman"/>
                <w:sz w:val="20"/>
                <w:szCs w:val="20"/>
              </w:rPr>
            </w:pPr>
          </w:p>
        </w:tc>
        <w:tc>
          <w:tcPr>
            <w:tcW w:w="5" w:type="pct"/>
            <w:vAlign w:val="center"/>
            <w:hideMark/>
          </w:tcPr>
          <w:p w14:paraId="66E1A835" w14:textId="77777777" w:rsidR="00000000" w:rsidRDefault="00A173A8">
            <w:pPr>
              <w:spacing w:after="100"/>
              <w:rPr>
                <w:rFonts w:eastAsia="Times New Roman"/>
                <w:sz w:val="20"/>
                <w:szCs w:val="20"/>
              </w:rPr>
            </w:pPr>
          </w:p>
        </w:tc>
        <w:tc>
          <w:tcPr>
            <w:tcW w:w="50" w:type="pct"/>
            <w:vAlign w:val="center"/>
            <w:hideMark/>
          </w:tcPr>
          <w:p w14:paraId="79FEF4BC" w14:textId="77777777" w:rsidR="00000000" w:rsidRDefault="00A173A8">
            <w:pPr>
              <w:spacing w:after="100"/>
              <w:rPr>
                <w:rFonts w:eastAsia="Times New Roman"/>
                <w:sz w:val="20"/>
                <w:szCs w:val="20"/>
              </w:rPr>
            </w:pPr>
          </w:p>
        </w:tc>
        <w:tc>
          <w:tcPr>
            <w:tcW w:w="1614" w:type="pct"/>
            <w:vAlign w:val="center"/>
            <w:hideMark/>
          </w:tcPr>
          <w:p w14:paraId="44FFB753" w14:textId="77777777" w:rsidR="00000000" w:rsidRDefault="00A173A8">
            <w:pPr>
              <w:spacing w:after="100"/>
              <w:rPr>
                <w:rFonts w:eastAsia="Times New Roman"/>
                <w:sz w:val="20"/>
                <w:szCs w:val="20"/>
              </w:rPr>
            </w:pPr>
          </w:p>
        </w:tc>
        <w:tc>
          <w:tcPr>
            <w:tcW w:w="5" w:type="pct"/>
            <w:vAlign w:val="center"/>
            <w:hideMark/>
          </w:tcPr>
          <w:p w14:paraId="2128BBB4" w14:textId="77777777" w:rsidR="00000000" w:rsidRDefault="00A173A8">
            <w:pPr>
              <w:spacing w:after="100"/>
              <w:rPr>
                <w:rFonts w:eastAsia="Times New Roman"/>
                <w:sz w:val="20"/>
                <w:szCs w:val="20"/>
              </w:rPr>
            </w:pPr>
          </w:p>
        </w:tc>
      </w:tr>
      <w:tr w:rsidR="00000000" w14:paraId="0242AB6C" w14:textId="77777777">
        <w:trPr>
          <w:divId w:val="1582838160"/>
          <w:trHeight w:val="300"/>
          <w:jc w:val="center"/>
        </w:trPr>
        <w:tc>
          <w:tcPr>
            <w:tcW w:w="0" w:type="auto"/>
            <w:gridSpan w:val="9"/>
            <w:tcMar>
              <w:top w:w="0" w:type="dxa"/>
              <w:left w:w="20" w:type="dxa"/>
              <w:bottom w:w="0" w:type="dxa"/>
              <w:right w:w="20" w:type="dxa"/>
            </w:tcMar>
            <w:vAlign w:val="center"/>
            <w:hideMark/>
          </w:tcPr>
          <w:p w14:paraId="7DAD73DC" w14:textId="77777777" w:rsidR="00000000" w:rsidRDefault="00A173A8">
            <w:pPr>
              <w:spacing w:after="100"/>
              <w:rPr>
                <w:rFonts w:eastAsia="Times New Roman"/>
                <w:sz w:val="20"/>
                <w:szCs w:val="20"/>
              </w:rPr>
            </w:pPr>
          </w:p>
        </w:tc>
      </w:tr>
      <w:tr w:rsidR="00000000" w14:paraId="7BED6E12" w14:textId="77777777">
        <w:trPr>
          <w:divId w:val="1582838160"/>
          <w:jc w:val="center"/>
        </w:trPr>
        <w:tc>
          <w:tcPr>
            <w:tcW w:w="0" w:type="auto"/>
            <w:gridSpan w:val="3"/>
            <w:tcMar>
              <w:top w:w="0" w:type="dxa"/>
              <w:left w:w="20" w:type="dxa"/>
              <w:bottom w:w="0" w:type="dxa"/>
              <w:right w:w="20" w:type="dxa"/>
            </w:tcMar>
            <w:vAlign w:val="center"/>
            <w:hideMark/>
          </w:tcPr>
          <w:p w14:paraId="52B7024F"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1E073C2" w14:textId="77777777" w:rsidR="00000000" w:rsidRDefault="00A173A8">
            <w:pPr>
              <w:spacing w:after="100"/>
              <w:jc w:val="center"/>
              <w:rPr>
                <w:rFonts w:eastAsia="Times New Roman"/>
              </w:rPr>
            </w:pPr>
            <w:r>
              <w:rPr>
                <w:rFonts w:eastAsia="Times New Roman"/>
                <w:color w:val="000000"/>
                <w:sz w:val="16"/>
                <w:szCs w:val="16"/>
              </w:rPr>
              <w:t>49</w:t>
            </w:r>
          </w:p>
        </w:tc>
        <w:tc>
          <w:tcPr>
            <w:tcW w:w="0" w:type="auto"/>
            <w:gridSpan w:val="3"/>
            <w:tcMar>
              <w:top w:w="30" w:type="dxa"/>
              <w:left w:w="20" w:type="dxa"/>
              <w:bottom w:w="30" w:type="dxa"/>
              <w:right w:w="20" w:type="dxa"/>
            </w:tcMar>
            <w:vAlign w:val="bottom"/>
            <w:hideMark/>
          </w:tcPr>
          <w:p w14:paraId="2AC5A8E7"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EA4A5AB" w14:textId="77777777" w:rsidR="00000000" w:rsidRDefault="00A173A8">
      <w:pPr>
        <w:rPr>
          <w:rFonts w:eastAsia="Times New Roman"/>
        </w:rPr>
      </w:pPr>
      <w:r>
        <w:rPr>
          <w:rFonts w:eastAsia="Times New Roman"/>
        </w:rPr>
        <w:pict w14:anchorId="640320A2">
          <v:rect id="_x0000_i1074" style="width:0;height:1.5pt" o:hralign="center" o:hrstd="t" o:hr="t" fillcolor="#a0a0a0" stroked="f"/>
        </w:pict>
      </w:r>
    </w:p>
    <w:p w14:paraId="6D747825" w14:textId="77777777" w:rsidR="00000000" w:rsidRDefault="00A173A8">
      <w:pPr>
        <w:ind w:hanging="360"/>
        <w:jc w:val="both"/>
        <w:divId w:val="847864325"/>
        <w:rPr>
          <w:rFonts w:eastAsia="Times New Roman"/>
        </w:rPr>
      </w:pPr>
      <w:hyperlink w:anchor="i7ffd5d61af6f4722b1b1b07530d51c06_13" w:history="1">
        <w:r>
          <w:rPr>
            <w:rStyle w:val="a3"/>
            <w:rFonts w:eastAsia="Times New Roman"/>
            <w:sz w:val="16"/>
            <w:szCs w:val="16"/>
          </w:rPr>
          <w:t>Table of Contents</w:t>
        </w:r>
      </w:hyperlink>
    </w:p>
    <w:p w14:paraId="28321A48" w14:textId="77777777" w:rsidR="00000000" w:rsidRDefault="00A173A8">
      <w:pPr>
        <w:jc w:val="both"/>
        <w:divId w:val="1121614460"/>
        <w:rPr>
          <w:rFonts w:eastAsia="Times New Roman"/>
        </w:rPr>
      </w:pPr>
      <w:r>
        <w:rPr>
          <w:rFonts w:eastAsia="Times New Roman"/>
          <w:color w:val="000000"/>
          <w:sz w:val="20"/>
          <w:szCs w:val="20"/>
        </w:rPr>
        <w:t xml:space="preserve">Table 33 provides a summary of the credit ratings for the senior unsecured long-term debt of Capital One Financial Corporation, COBNA and CONA </w:t>
      </w:r>
      <w:r>
        <w:rPr>
          <w:rFonts w:eastAsia="Times New Roman"/>
          <w:color w:val="000000"/>
          <w:sz w:val="20"/>
          <w:szCs w:val="20"/>
        </w:rPr>
        <w:t>as of June 30, 2022 and December 31, 2021.</w:t>
      </w:r>
    </w:p>
    <w:p w14:paraId="2526F2EE" w14:textId="77777777" w:rsidR="00000000" w:rsidRDefault="00A173A8">
      <w:pPr>
        <w:divId w:val="597103657"/>
        <w:rPr>
          <w:rFonts w:eastAsia="Times New Roman"/>
        </w:rPr>
      </w:pPr>
      <w:r>
        <w:rPr>
          <w:rFonts w:eastAsia="Times New Roman"/>
          <w:b/>
          <w:bCs/>
          <w:color w:val="000000"/>
          <w:sz w:val="20"/>
          <w:szCs w:val="20"/>
        </w:rPr>
        <w:t>Table 33: Senior Unsecured Long-Term Debt Credit Ratings</w:t>
      </w:r>
    </w:p>
    <w:tbl>
      <w:tblPr>
        <w:tblW w:w="5000" w:type="pct"/>
        <w:tblCellMar>
          <w:top w:w="15" w:type="dxa"/>
          <w:left w:w="15" w:type="dxa"/>
          <w:bottom w:w="15" w:type="dxa"/>
          <w:right w:w="15" w:type="dxa"/>
        </w:tblCellMar>
        <w:tblLook w:val="04A0" w:firstRow="1" w:lastRow="0" w:firstColumn="1" w:lastColumn="0" w:noHBand="0" w:noVBand="1"/>
      </w:tblPr>
      <w:tblGrid>
        <w:gridCol w:w="37"/>
        <w:gridCol w:w="2421"/>
        <w:gridCol w:w="36"/>
        <w:gridCol w:w="36"/>
        <w:gridCol w:w="36"/>
        <w:gridCol w:w="36"/>
        <w:gridCol w:w="96"/>
        <w:gridCol w:w="1002"/>
        <w:gridCol w:w="36"/>
        <w:gridCol w:w="36"/>
        <w:gridCol w:w="36"/>
        <w:gridCol w:w="36"/>
        <w:gridCol w:w="94"/>
        <w:gridCol w:w="660"/>
        <w:gridCol w:w="36"/>
        <w:gridCol w:w="36"/>
        <w:gridCol w:w="36"/>
        <w:gridCol w:w="36"/>
        <w:gridCol w:w="92"/>
        <w:gridCol w:w="528"/>
        <w:gridCol w:w="36"/>
        <w:gridCol w:w="36"/>
        <w:gridCol w:w="36"/>
        <w:gridCol w:w="36"/>
        <w:gridCol w:w="96"/>
        <w:gridCol w:w="1002"/>
        <w:gridCol w:w="37"/>
        <w:gridCol w:w="37"/>
        <w:gridCol w:w="37"/>
        <w:gridCol w:w="37"/>
        <w:gridCol w:w="94"/>
        <w:gridCol w:w="660"/>
        <w:gridCol w:w="36"/>
        <w:gridCol w:w="36"/>
        <w:gridCol w:w="36"/>
        <w:gridCol w:w="36"/>
        <w:gridCol w:w="92"/>
        <w:gridCol w:w="528"/>
        <w:gridCol w:w="36"/>
      </w:tblGrid>
      <w:tr w:rsidR="00000000" w14:paraId="22FEAE97" w14:textId="77777777">
        <w:trPr>
          <w:divId w:val="945769644"/>
        </w:trPr>
        <w:tc>
          <w:tcPr>
            <w:tcW w:w="50" w:type="pct"/>
            <w:vAlign w:val="center"/>
            <w:hideMark/>
          </w:tcPr>
          <w:p w14:paraId="624265D5" w14:textId="77777777" w:rsidR="00000000" w:rsidRDefault="00A173A8">
            <w:pPr>
              <w:rPr>
                <w:rFonts w:eastAsia="Times New Roman"/>
              </w:rPr>
            </w:pPr>
          </w:p>
        </w:tc>
        <w:tc>
          <w:tcPr>
            <w:tcW w:w="2064" w:type="pct"/>
            <w:vAlign w:val="center"/>
            <w:hideMark/>
          </w:tcPr>
          <w:p w14:paraId="28498043" w14:textId="77777777" w:rsidR="00000000" w:rsidRDefault="00A173A8">
            <w:pPr>
              <w:spacing w:after="100"/>
              <w:rPr>
                <w:rFonts w:eastAsia="Times New Roman"/>
                <w:sz w:val="20"/>
                <w:szCs w:val="20"/>
              </w:rPr>
            </w:pPr>
          </w:p>
        </w:tc>
        <w:tc>
          <w:tcPr>
            <w:tcW w:w="5" w:type="pct"/>
            <w:vAlign w:val="center"/>
            <w:hideMark/>
          </w:tcPr>
          <w:p w14:paraId="26CA42B0" w14:textId="77777777" w:rsidR="00000000" w:rsidRDefault="00A173A8">
            <w:pPr>
              <w:spacing w:after="100"/>
              <w:rPr>
                <w:rFonts w:eastAsia="Times New Roman"/>
                <w:sz w:val="20"/>
                <w:szCs w:val="20"/>
              </w:rPr>
            </w:pPr>
          </w:p>
        </w:tc>
        <w:tc>
          <w:tcPr>
            <w:tcW w:w="5" w:type="pct"/>
            <w:vAlign w:val="center"/>
            <w:hideMark/>
          </w:tcPr>
          <w:p w14:paraId="386D2431" w14:textId="77777777" w:rsidR="00000000" w:rsidRDefault="00A173A8">
            <w:pPr>
              <w:spacing w:after="100"/>
              <w:rPr>
                <w:rFonts w:eastAsia="Times New Roman"/>
                <w:sz w:val="20"/>
                <w:szCs w:val="20"/>
              </w:rPr>
            </w:pPr>
          </w:p>
        </w:tc>
        <w:tc>
          <w:tcPr>
            <w:tcW w:w="26" w:type="pct"/>
            <w:vAlign w:val="center"/>
            <w:hideMark/>
          </w:tcPr>
          <w:p w14:paraId="4E1245DD" w14:textId="77777777" w:rsidR="00000000" w:rsidRDefault="00A173A8">
            <w:pPr>
              <w:spacing w:after="100"/>
              <w:rPr>
                <w:rFonts w:eastAsia="Times New Roman"/>
                <w:sz w:val="20"/>
                <w:szCs w:val="20"/>
              </w:rPr>
            </w:pPr>
          </w:p>
        </w:tc>
        <w:tc>
          <w:tcPr>
            <w:tcW w:w="5" w:type="pct"/>
            <w:vAlign w:val="center"/>
            <w:hideMark/>
          </w:tcPr>
          <w:p w14:paraId="2E0F15DD" w14:textId="77777777" w:rsidR="00000000" w:rsidRDefault="00A173A8">
            <w:pPr>
              <w:spacing w:after="100"/>
              <w:rPr>
                <w:rFonts w:eastAsia="Times New Roman"/>
                <w:sz w:val="20"/>
                <w:szCs w:val="20"/>
              </w:rPr>
            </w:pPr>
          </w:p>
        </w:tc>
        <w:tc>
          <w:tcPr>
            <w:tcW w:w="50" w:type="pct"/>
            <w:vAlign w:val="center"/>
            <w:hideMark/>
          </w:tcPr>
          <w:p w14:paraId="13C68C51" w14:textId="77777777" w:rsidR="00000000" w:rsidRDefault="00A173A8">
            <w:pPr>
              <w:spacing w:after="100"/>
              <w:rPr>
                <w:rFonts w:eastAsia="Times New Roman"/>
                <w:sz w:val="20"/>
                <w:szCs w:val="20"/>
              </w:rPr>
            </w:pPr>
          </w:p>
        </w:tc>
        <w:tc>
          <w:tcPr>
            <w:tcW w:w="522" w:type="pct"/>
            <w:vAlign w:val="center"/>
            <w:hideMark/>
          </w:tcPr>
          <w:p w14:paraId="4301A869" w14:textId="77777777" w:rsidR="00000000" w:rsidRDefault="00A173A8">
            <w:pPr>
              <w:spacing w:after="100"/>
              <w:rPr>
                <w:rFonts w:eastAsia="Times New Roman"/>
                <w:sz w:val="20"/>
                <w:szCs w:val="20"/>
              </w:rPr>
            </w:pPr>
          </w:p>
        </w:tc>
        <w:tc>
          <w:tcPr>
            <w:tcW w:w="5" w:type="pct"/>
            <w:vAlign w:val="center"/>
            <w:hideMark/>
          </w:tcPr>
          <w:p w14:paraId="31A6ABB2" w14:textId="77777777" w:rsidR="00000000" w:rsidRDefault="00A173A8">
            <w:pPr>
              <w:spacing w:after="100"/>
              <w:rPr>
                <w:rFonts w:eastAsia="Times New Roman"/>
                <w:sz w:val="20"/>
                <w:szCs w:val="20"/>
              </w:rPr>
            </w:pPr>
          </w:p>
        </w:tc>
        <w:tc>
          <w:tcPr>
            <w:tcW w:w="5" w:type="pct"/>
            <w:vAlign w:val="center"/>
            <w:hideMark/>
          </w:tcPr>
          <w:p w14:paraId="6215A68D" w14:textId="77777777" w:rsidR="00000000" w:rsidRDefault="00A173A8">
            <w:pPr>
              <w:spacing w:after="100"/>
              <w:rPr>
                <w:rFonts w:eastAsia="Times New Roman"/>
                <w:sz w:val="20"/>
                <w:szCs w:val="20"/>
              </w:rPr>
            </w:pPr>
          </w:p>
        </w:tc>
        <w:tc>
          <w:tcPr>
            <w:tcW w:w="26" w:type="pct"/>
            <w:vAlign w:val="center"/>
            <w:hideMark/>
          </w:tcPr>
          <w:p w14:paraId="73A355B9" w14:textId="77777777" w:rsidR="00000000" w:rsidRDefault="00A173A8">
            <w:pPr>
              <w:spacing w:after="100"/>
              <w:rPr>
                <w:rFonts w:eastAsia="Times New Roman"/>
                <w:sz w:val="20"/>
                <w:szCs w:val="20"/>
              </w:rPr>
            </w:pPr>
          </w:p>
        </w:tc>
        <w:tc>
          <w:tcPr>
            <w:tcW w:w="5" w:type="pct"/>
            <w:vAlign w:val="center"/>
            <w:hideMark/>
          </w:tcPr>
          <w:p w14:paraId="5C1C86A0" w14:textId="77777777" w:rsidR="00000000" w:rsidRDefault="00A173A8">
            <w:pPr>
              <w:spacing w:after="100"/>
              <w:rPr>
                <w:rFonts w:eastAsia="Times New Roman"/>
                <w:sz w:val="20"/>
                <w:szCs w:val="20"/>
              </w:rPr>
            </w:pPr>
          </w:p>
        </w:tc>
        <w:tc>
          <w:tcPr>
            <w:tcW w:w="50" w:type="pct"/>
            <w:vAlign w:val="center"/>
            <w:hideMark/>
          </w:tcPr>
          <w:p w14:paraId="4D65A208" w14:textId="77777777" w:rsidR="00000000" w:rsidRDefault="00A173A8">
            <w:pPr>
              <w:spacing w:after="100"/>
              <w:rPr>
                <w:rFonts w:eastAsia="Times New Roman"/>
                <w:sz w:val="20"/>
                <w:szCs w:val="20"/>
              </w:rPr>
            </w:pPr>
          </w:p>
        </w:tc>
        <w:tc>
          <w:tcPr>
            <w:tcW w:w="354" w:type="pct"/>
            <w:vAlign w:val="center"/>
            <w:hideMark/>
          </w:tcPr>
          <w:p w14:paraId="4F05FB0D" w14:textId="77777777" w:rsidR="00000000" w:rsidRDefault="00A173A8">
            <w:pPr>
              <w:spacing w:after="100"/>
              <w:rPr>
                <w:rFonts w:eastAsia="Times New Roman"/>
                <w:sz w:val="20"/>
                <w:szCs w:val="20"/>
              </w:rPr>
            </w:pPr>
          </w:p>
        </w:tc>
        <w:tc>
          <w:tcPr>
            <w:tcW w:w="5" w:type="pct"/>
            <w:vAlign w:val="center"/>
            <w:hideMark/>
          </w:tcPr>
          <w:p w14:paraId="337CFC03" w14:textId="77777777" w:rsidR="00000000" w:rsidRDefault="00A173A8">
            <w:pPr>
              <w:spacing w:after="100"/>
              <w:rPr>
                <w:rFonts w:eastAsia="Times New Roman"/>
                <w:sz w:val="20"/>
                <w:szCs w:val="20"/>
              </w:rPr>
            </w:pPr>
          </w:p>
        </w:tc>
        <w:tc>
          <w:tcPr>
            <w:tcW w:w="5" w:type="pct"/>
            <w:vAlign w:val="center"/>
            <w:hideMark/>
          </w:tcPr>
          <w:p w14:paraId="5CDCD435" w14:textId="77777777" w:rsidR="00000000" w:rsidRDefault="00A173A8">
            <w:pPr>
              <w:spacing w:after="100"/>
              <w:rPr>
                <w:rFonts w:eastAsia="Times New Roman"/>
                <w:sz w:val="20"/>
                <w:szCs w:val="20"/>
              </w:rPr>
            </w:pPr>
          </w:p>
        </w:tc>
        <w:tc>
          <w:tcPr>
            <w:tcW w:w="26" w:type="pct"/>
            <w:vAlign w:val="center"/>
            <w:hideMark/>
          </w:tcPr>
          <w:p w14:paraId="1EC5DC48" w14:textId="77777777" w:rsidR="00000000" w:rsidRDefault="00A173A8">
            <w:pPr>
              <w:spacing w:after="100"/>
              <w:rPr>
                <w:rFonts w:eastAsia="Times New Roman"/>
                <w:sz w:val="20"/>
                <w:szCs w:val="20"/>
              </w:rPr>
            </w:pPr>
          </w:p>
        </w:tc>
        <w:tc>
          <w:tcPr>
            <w:tcW w:w="5" w:type="pct"/>
            <w:vAlign w:val="center"/>
            <w:hideMark/>
          </w:tcPr>
          <w:p w14:paraId="27A086A2" w14:textId="77777777" w:rsidR="00000000" w:rsidRDefault="00A173A8">
            <w:pPr>
              <w:spacing w:after="100"/>
              <w:rPr>
                <w:rFonts w:eastAsia="Times New Roman"/>
                <w:sz w:val="20"/>
                <w:szCs w:val="20"/>
              </w:rPr>
            </w:pPr>
          </w:p>
        </w:tc>
        <w:tc>
          <w:tcPr>
            <w:tcW w:w="50" w:type="pct"/>
            <w:vAlign w:val="center"/>
            <w:hideMark/>
          </w:tcPr>
          <w:p w14:paraId="5459AB79" w14:textId="77777777" w:rsidR="00000000" w:rsidRDefault="00A173A8">
            <w:pPr>
              <w:spacing w:after="100"/>
              <w:rPr>
                <w:rFonts w:eastAsia="Times New Roman"/>
                <w:sz w:val="20"/>
                <w:szCs w:val="20"/>
              </w:rPr>
            </w:pPr>
          </w:p>
        </w:tc>
        <w:tc>
          <w:tcPr>
            <w:tcW w:w="288" w:type="pct"/>
            <w:vAlign w:val="center"/>
            <w:hideMark/>
          </w:tcPr>
          <w:p w14:paraId="0F142AC2" w14:textId="77777777" w:rsidR="00000000" w:rsidRDefault="00A173A8">
            <w:pPr>
              <w:spacing w:after="100"/>
              <w:rPr>
                <w:rFonts w:eastAsia="Times New Roman"/>
                <w:sz w:val="20"/>
                <w:szCs w:val="20"/>
              </w:rPr>
            </w:pPr>
          </w:p>
        </w:tc>
        <w:tc>
          <w:tcPr>
            <w:tcW w:w="5" w:type="pct"/>
            <w:vAlign w:val="center"/>
            <w:hideMark/>
          </w:tcPr>
          <w:p w14:paraId="13B91A3D" w14:textId="77777777" w:rsidR="00000000" w:rsidRDefault="00A173A8">
            <w:pPr>
              <w:spacing w:after="100"/>
              <w:rPr>
                <w:rFonts w:eastAsia="Times New Roman"/>
                <w:sz w:val="20"/>
                <w:szCs w:val="20"/>
              </w:rPr>
            </w:pPr>
          </w:p>
        </w:tc>
        <w:tc>
          <w:tcPr>
            <w:tcW w:w="5" w:type="pct"/>
            <w:vAlign w:val="center"/>
            <w:hideMark/>
          </w:tcPr>
          <w:p w14:paraId="3F304DC2" w14:textId="77777777" w:rsidR="00000000" w:rsidRDefault="00A173A8">
            <w:pPr>
              <w:spacing w:after="100"/>
              <w:rPr>
                <w:rFonts w:eastAsia="Times New Roman"/>
                <w:sz w:val="20"/>
                <w:szCs w:val="20"/>
              </w:rPr>
            </w:pPr>
          </w:p>
        </w:tc>
        <w:tc>
          <w:tcPr>
            <w:tcW w:w="26" w:type="pct"/>
            <w:vAlign w:val="center"/>
            <w:hideMark/>
          </w:tcPr>
          <w:p w14:paraId="3B23DCC6" w14:textId="77777777" w:rsidR="00000000" w:rsidRDefault="00A173A8">
            <w:pPr>
              <w:spacing w:after="100"/>
              <w:rPr>
                <w:rFonts w:eastAsia="Times New Roman"/>
                <w:sz w:val="20"/>
                <w:szCs w:val="20"/>
              </w:rPr>
            </w:pPr>
          </w:p>
        </w:tc>
        <w:tc>
          <w:tcPr>
            <w:tcW w:w="5" w:type="pct"/>
            <w:vAlign w:val="center"/>
            <w:hideMark/>
          </w:tcPr>
          <w:p w14:paraId="69D974D7" w14:textId="77777777" w:rsidR="00000000" w:rsidRDefault="00A173A8">
            <w:pPr>
              <w:spacing w:after="100"/>
              <w:rPr>
                <w:rFonts w:eastAsia="Times New Roman"/>
                <w:sz w:val="20"/>
                <w:szCs w:val="20"/>
              </w:rPr>
            </w:pPr>
          </w:p>
        </w:tc>
        <w:tc>
          <w:tcPr>
            <w:tcW w:w="50" w:type="pct"/>
            <w:vAlign w:val="center"/>
            <w:hideMark/>
          </w:tcPr>
          <w:p w14:paraId="56643EEF" w14:textId="77777777" w:rsidR="00000000" w:rsidRDefault="00A173A8">
            <w:pPr>
              <w:spacing w:after="100"/>
              <w:rPr>
                <w:rFonts w:eastAsia="Times New Roman"/>
                <w:sz w:val="20"/>
                <w:szCs w:val="20"/>
              </w:rPr>
            </w:pPr>
          </w:p>
        </w:tc>
        <w:tc>
          <w:tcPr>
            <w:tcW w:w="522" w:type="pct"/>
            <w:vAlign w:val="center"/>
            <w:hideMark/>
          </w:tcPr>
          <w:p w14:paraId="5ECF4711" w14:textId="77777777" w:rsidR="00000000" w:rsidRDefault="00A173A8">
            <w:pPr>
              <w:spacing w:after="100"/>
              <w:rPr>
                <w:rFonts w:eastAsia="Times New Roman"/>
                <w:sz w:val="20"/>
                <w:szCs w:val="20"/>
              </w:rPr>
            </w:pPr>
          </w:p>
        </w:tc>
        <w:tc>
          <w:tcPr>
            <w:tcW w:w="5" w:type="pct"/>
            <w:vAlign w:val="center"/>
            <w:hideMark/>
          </w:tcPr>
          <w:p w14:paraId="50E634C3" w14:textId="77777777" w:rsidR="00000000" w:rsidRDefault="00A173A8">
            <w:pPr>
              <w:spacing w:after="100"/>
              <w:rPr>
                <w:rFonts w:eastAsia="Times New Roman"/>
                <w:sz w:val="20"/>
                <w:szCs w:val="20"/>
              </w:rPr>
            </w:pPr>
          </w:p>
        </w:tc>
        <w:tc>
          <w:tcPr>
            <w:tcW w:w="5" w:type="pct"/>
            <w:vAlign w:val="center"/>
            <w:hideMark/>
          </w:tcPr>
          <w:p w14:paraId="2A82F1A9" w14:textId="77777777" w:rsidR="00000000" w:rsidRDefault="00A173A8">
            <w:pPr>
              <w:spacing w:after="100"/>
              <w:rPr>
                <w:rFonts w:eastAsia="Times New Roman"/>
                <w:sz w:val="20"/>
                <w:szCs w:val="20"/>
              </w:rPr>
            </w:pPr>
          </w:p>
        </w:tc>
        <w:tc>
          <w:tcPr>
            <w:tcW w:w="26" w:type="pct"/>
            <w:vAlign w:val="center"/>
            <w:hideMark/>
          </w:tcPr>
          <w:p w14:paraId="7C7DAB8B" w14:textId="77777777" w:rsidR="00000000" w:rsidRDefault="00A173A8">
            <w:pPr>
              <w:spacing w:after="100"/>
              <w:rPr>
                <w:rFonts w:eastAsia="Times New Roman"/>
                <w:sz w:val="20"/>
                <w:szCs w:val="20"/>
              </w:rPr>
            </w:pPr>
          </w:p>
        </w:tc>
        <w:tc>
          <w:tcPr>
            <w:tcW w:w="5" w:type="pct"/>
            <w:vAlign w:val="center"/>
            <w:hideMark/>
          </w:tcPr>
          <w:p w14:paraId="7C2AFAD0" w14:textId="77777777" w:rsidR="00000000" w:rsidRDefault="00A173A8">
            <w:pPr>
              <w:spacing w:after="100"/>
              <w:rPr>
                <w:rFonts w:eastAsia="Times New Roman"/>
                <w:sz w:val="20"/>
                <w:szCs w:val="20"/>
              </w:rPr>
            </w:pPr>
          </w:p>
        </w:tc>
        <w:tc>
          <w:tcPr>
            <w:tcW w:w="50" w:type="pct"/>
            <w:vAlign w:val="center"/>
            <w:hideMark/>
          </w:tcPr>
          <w:p w14:paraId="17E4FF91" w14:textId="77777777" w:rsidR="00000000" w:rsidRDefault="00A173A8">
            <w:pPr>
              <w:spacing w:after="100"/>
              <w:rPr>
                <w:rFonts w:eastAsia="Times New Roman"/>
                <w:sz w:val="20"/>
                <w:szCs w:val="20"/>
              </w:rPr>
            </w:pPr>
          </w:p>
        </w:tc>
        <w:tc>
          <w:tcPr>
            <w:tcW w:w="354" w:type="pct"/>
            <w:vAlign w:val="center"/>
            <w:hideMark/>
          </w:tcPr>
          <w:p w14:paraId="472D16D9" w14:textId="77777777" w:rsidR="00000000" w:rsidRDefault="00A173A8">
            <w:pPr>
              <w:spacing w:after="100"/>
              <w:rPr>
                <w:rFonts w:eastAsia="Times New Roman"/>
                <w:sz w:val="20"/>
                <w:szCs w:val="20"/>
              </w:rPr>
            </w:pPr>
          </w:p>
        </w:tc>
        <w:tc>
          <w:tcPr>
            <w:tcW w:w="5" w:type="pct"/>
            <w:vAlign w:val="center"/>
            <w:hideMark/>
          </w:tcPr>
          <w:p w14:paraId="27D24D03" w14:textId="77777777" w:rsidR="00000000" w:rsidRDefault="00A173A8">
            <w:pPr>
              <w:spacing w:after="100"/>
              <w:rPr>
                <w:rFonts w:eastAsia="Times New Roman"/>
                <w:sz w:val="20"/>
                <w:szCs w:val="20"/>
              </w:rPr>
            </w:pPr>
          </w:p>
        </w:tc>
        <w:tc>
          <w:tcPr>
            <w:tcW w:w="5" w:type="pct"/>
            <w:vAlign w:val="center"/>
            <w:hideMark/>
          </w:tcPr>
          <w:p w14:paraId="49E13F2F" w14:textId="77777777" w:rsidR="00000000" w:rsidRDefault="00A173A8">
            <w:pPr>
              <w:spacing w:after="100"/>
              <w:rPr>
                <w:rFonts w:eastAsia="Times New Roman"/>
                <w:sz w:val="20"/>
                <w:szCs w:val="20"/>
              </w:rPr>
            </w:pPr>
          </w:p>
        </w:tc>
        <w:tc>
          <w:tcPr>
            <w:tcW w:w="26" w:type="pct"/>
            <w:vAlign w:val="center"/>
            <w:hideMark/>
          </w:tcPr>
          <w:p w14:paraId="6141D8C5" w14:textId="77777777" w:rsidR="00000000" w:rsidRDefault="00A173A8">
            <w:pPr>
              <w:spacing w:after="100"/>
              <w:rPr>
                <w:rFonts w:eastAsia="Times New Roman"/>
                <w:sz w:val="20"/>
                <w:szCs w:val="20"/>
              </w:rPr>
            </w:pPr>
          </w:p>
        </w:tc>
        <w:tc>
          <w:tcPr>
            <w:tcW w:w="5" w:type="pct"/>
            <w:vAlign w:val="center"/>
            <w:hideMark/>
          </w:tcPr>
          <w:p w14:paraId="3625F095" w14:textId="77777777" w:rsidR="00000000" w:rsidRDefault="00A173A8">
            <w:pPr>
              <w:spacing w:after="100"/>
              <w:rPr>
                <w:rFonts w:eastAsia="Times New Roman"/>
                <w:sz w:val="20"/>
                <w:szCs w:val="20"/>
              </w:rPr>
            </w:pPr>
          </w:p>
        </w:tc>
        <w:tc>
          <w:tcPr>
            <w:tcW w:w="50" w:type="pct"/>
            <w:vAlign w:val="center"/>
            <w:hideMark/>
          </w:tcPr>
          <w:p w14:paraId="688B56FF" w14:textId="77777777" w:rsidR="00000000" w:rsidRDefault="00A173A8">
            <w:pPr>
              <w:spacing w:after="100"/>
              <w:rPr>
                <w:rFonts w:eastAsia="Times New Roman"/>
                <w:sz w:val="20"/>
                <w:szCs w:val="20"/>
              </w:rPr>
            </w:pPr>
          </w:p>
        </w:tc>
        <w:tc>
          <w:tcPr>
            <w:tcW w:w="289" w:type="pct"/>
            <w:vAlign w:val="center"/>
            <w:hideMark/>
          </w:tcPr>
          <w:p w14:paraId="449570CB" w14:textId="77777777" w:rsidR="00000000" w:rsidRDefault="00A173A8">
            <w:pPr>
              <w:spacing w:after="100"/>
              <w:rPr>
                <w:rFonts w:eastAsia="Times New Roman"/>
                <w:sz w:val="20"/>
                <w:szCs w:val="20"/>
              </w:rPr>
            </w:pPr>
          </w:p>
        </w:tc>
        <w:tc>
          <w:tcPr>
            <w:tcW w:w="5" w:type="pct"/>
            <w:vAlign w:val="center"/>
            <w:hideMark/>
          </w:tcPr>
          <w:p w14:paraId="3414F4C3" w14:textId="77777777" w:rsidR="00000000" w:rsidRDefault="00A173A8">
            <w:pPr>
              <w:spacing w:after="100"/>
              <w:rPr>
                <w:rFonts w:eastAsia="Times New Roman"/>
                <w:sz w:val="20"/>
                <w:szCs w:val="20"/>
              </w:rPr>
            </w:pPr>
          </w:p>
        </w:tc>
      </w:tr>
      <w:tr w:rsidR="00000000" w14:paraId="2EC52E8F" w14:textId="77777777">
        <w:trPr>
          <w:divId w:val="945769644"/>
        </w:trPr>
        <w:tc>
          <w:tcPr>
            <w:tcW w:w="0" w:type="auto"/>
            <w:gridSpan w:val="3"/>
            <w:tcMar>
              <w:top w:w="0" w:type="dxa"/>
              <w:left w:w="20" w:type="dxa"/>
              <w:bottom w:w="0" w:type="dxa"/>
              <w:right w:w="20" w:type="dxa"/>
            </w:tcMar>
            <w:vAlign w:val="center"/>
            <w:hideMark/>
          </w:tcPr>
          <w:p w14:paraId="1F7C90D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CDC54E"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14:paraId="5916E719"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5EAC98E6" w14:textId="77777777" w:rsidR="00000000" w:rsidRDefault="00A173A8">
            <w:pPr>
              <w:spacing w:after="100"/>
              <w:jc w:val="center"/>
              <w:rPr>
                <w:rFonts w:eastAsia="Times New Roman"/>
              </w:rPr>
            </w:pPr>
          </w:p>
        </w:tc>
        <w:tc>
          <w:tcPr>
            <w:tcW w:w="0" w:type="auto"/>
            <w:gridSpan w:val="15"/>
            <w:tcMar>
              <w:top w:w="30" w:type="dxa"/>
              <w:left w:w="20" w:type="dxa"/>
              <w:bottom w:w="30" w:type="dxa"/>
              <w:right w:w="20" w:type="dxa"/>
            </w:tcMar>
            <w:vAlign w:val="center"/>
            <w:hideMark/>
          </w:tcPr>
          <w:p w14:paraId="1E72A233"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44D81AF5" w14:textId="77777777">
        <w:trPr>
          <w:divId w:val="945769644"/>
        </w:trPr>
        <w:tc>
          <w:tcPr>
            <w:tcW w:w="0" w:type="auto"/>
            <w:gridSpan w:val="3"/>
            <w:tcMar>
              <w:top w:w="0" w:type="dxa"/>
              <w:left w:w="20" w:type="dxa"/>
              <w:bottom w:w="0" w:type="dxa"/>
              <w:right w:w="20" w:type="dxa"/>
            </w:tcMar>
            <w:vAlign w:val="center"/>
            <w:hideMark/>
          </w:tcPr>
          <w:p w14:paraId="5D97E7FC"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7AB85B1"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A34944A" w14:textId="77777777" w:rsidR="00000000" w:rsidRDefault="00A173A8">
            <w:pPr>
              <w:spacing w:after="100"/>
              <w:jc w:val="center"/>
              <w:rPr>
                <w:rFonts w:eastAsia="Times New Roman"/>
              </w:rPr>
            </w:pPr>
            <w:r>
              <w:rPr>
                <w:rFonts w:eastAsia="Times New Roman"/>
                <w:b/>
                <w:bCs/>
                <w:color w:val="000000"/>
                <w:sz w:val="20"/>
                <w:szCs w:val="20"/>
              </w:rPr>
              <w:t>Capital One</w:t>
            </w:r>
            <w:r>
              <w:rPr>
                <w:rFonts w:eastAsia="Times New Roman"/>
                <w:b/>
                <w:bCs/>
                <w:color w:val="000000"/>
                <w:sz w:val="20"/>
                <w:szCs w:val="20"/>
              </w:rPr>
              <w:br/>
              <w:t>Financial</w:t>
            </w:r>
            <w:r>
              <w:rPr>
                <w:rFonts w:eastAsia="Times New Roman"/>
                <w:b/>
                <w:bCs/>
                <w:color w:val="000000"/>
                <w:sz w:val="20"/>
                <w:szCs w:val="20"/>
              </w:rPr>
              <w:br/>
            </w:r>
            <w:r>
              <w:rPr>
                <w:rFonts w:eastAsia="Times New Roman"/>
                <w:b/>
                <w:bCs/>
                <w:color w:val="000000"/>
                <w:sz w:val="20"/>
                <w:szCs w:val="20"/>
              </w:rPr>
              <w:t>Corporation</w:t>
            </w:r>
          </w:p>
        </w:tc>
        <w:tc>
          <w:tcPr>
            <w:tcW w:w="0" w:type="auto"/>
            <w:gridSpan w:val="3"/>
            <w:tcBorders>
              <w:top w:val="single" w:sz="8" w:space="0" w:color="000000"/>
            </w:tcBorders>
            <w:tcMar>
              <w:top w:w="0" w:type="dxa"/>
              <w:left w:w="20" w:type="dxa"/>
              <w:bottom w:w="0" w:type="dxa"/>
              <w:right w:w="20" w:type="dxa"/>
            </w:tcMar>
            <w:vAlign w:val="center"/>
            <w:hideMark/>
          </w:tcPr>
          <w:p w14:paraId="4E29D58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F1F64F" w14:textId="77777777" w:rsidR="00000000" w:rsidRDefault="00A173A8">
            <w:pPr>
              <w:spacing w:after="100"/>
              <w:jc w:val="center"/>
              <w:rPr>
                <w:rFonts w:eastAsia="Times New Roman"/>
              </w:rPr>
            </w:pPr>
            <w:r>
              <w:rPr>
                <w:rFonts w:eastAsia="Times New Roman"/>
                <w:b/>
                <w:bCs/>
                <w:color w:val="000000"/>
                <w:sz w:val="20"/>
                <w:szCs w:val="20"/>
              </w:rPr>
              <w:t>COBNA</w:t>
            </w:r>
          </w:p>
        </w:tc>
        <w:tc>
          <w:tcPr>
            <w:tcW w:w="0" w:type="auto"/>
            <w:gridSpan w:val="3"/>
            <w:tcBorders>
              <w:top w:val="single" w:sz="8" w:space="0" w:color="000000"/>
            </w:tcBorders>
            <w:tcMar>
              <w:top w:w="0" w:type="dxa"/>
              <w:left w:w="20" w:type="dxa"/>
              <w:bottom w:w="0" w:type="dxa"/>
              <w:right w:w="20" w:type="dxa"/>
            </w:tcMar>
            <w:vAlign w:val="center"/>
            <w:hideMark/>
          </w:tcPr>
          <w:p w14:paraId="1E83131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80EDEB" w14:textId="77777777" w:rsidR="00000000" w:rsidRDefault="00A173A8">
            <w:pPr>
              <w:spacing w:after="100"/>
              <w:jc w:val="center"/>
              <w:rPr>
                <w:rFonts w:eastAsia="Times New Roman"/>
              </w:rPr>
            </w:pPr>
            <w:r>
              <w:rPr>
                <w:rFonts w:eastAsia="Times New Roman"/>
                <w:b/>
                <w:bCs/>
                <w:color w:val="000000"/>
                <w:sz w:val="20"/>
                <w:szCs w:val="20"/>
              </w:rPr>
              <w:t>CONA</w:t>
            </w:r>
          </w:p>
        </w:tc>
        <w:tc>
          <w:tcPr>
            <w:tcW w:w="0" w:type="auto"/>
            <w:gridSpan w:val="3"/>
            <w:tcMar>
              <w:top w:w="0" w:type="dxa"/>
              <w:left w:w="20" w:type="dxa"/>
              <w:bottom w:w="0" w:type="dxa"/>
              <w:right w:w="20" w:type="dxa"/>
            </w:tcMar>
            <w:vAlign w:val="center"/>
            <w:hideMark/>
          </w:tcPr>
          <w:p w14:paraId="5E34148E"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0570AB" w14:textId="77777777" w:rsidR="00000000" w:rsidRDefault="00A173A8">
            <w:pPr>
              <w:spacing w:after="100"/>
              <w:jc w:val="center"/>
              <w:rPr>
                <w:rFonts w:eastAsia="Times New Roman"/>
              </w:rPr>
            </w:pPr>
            <w:r>
              <w:rPr>
                <w:rFonts w:eastAsia="Times New Roman"/>
                <w:b/>
                <w:bCs/>
                <w:color w:val="000000"/>
                <w:sz w:val="20"/>
                <w:szCs w:val="20"/>
              </w:rPr>
              <w:t>Capital One</w:t>
            </w:r>
            <w:r>
              <w:rPr>
                <w:rFonts w:eastAsia="Times New Roman"/>
                <w:b/>
                <w:bCs/>
                <w:color w:val="000000"/>
                <w:sz w:val="20"/>
                <w:szCs w:val="20"/>
              </w:rPr>
              <w:br/>
              <w:t>Financial</w:t>
            </w:r>
            <w:r>
              <w:rPr>
                <w:rFonts w:eastAsia="Times New Roman"/>
                <w:b/>
                <w:bCs/>
                <w:color w:val="000000"/>
                <w:sz w:val="20"/>
                <w:szCs w:val="20"/>
              </w:rPr>
              <w:br/>
              <w:t>Corporation</w:t>
            </w:r>
          </w:p>
        </w:tc>
        <w:tc>
          <w:tcPr>
            <w:tcW w:w="0" w:type="auto"/>
            <w:gridSpan w:val="3"/>
            <w:tcBorders>
              <w:top w:val="single" w:sz="8" w:space="0" w:color="000000"/>
            </w:tcBorders>
            <w:tcMar>
              <w:top w:w="0" w:type="dxa"/>
              <w:left w:w="20" w:type="dxa"/>
              <w:bottom w:w="0" w:type="dxa"/>
              <w:right w:w="20" w:type="dxa"/>
            </w:tcMar>
            <w:vAlign w:val="center"/>
            <w:hideMark/>
          </w:tcPr>
          <w:p w14:paraId="5EC004DE"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87B40F" w14:textId="77777777" w:rsidR="00000000" w:rsidRDefault="00A173A8">
            <w:pPr>
              <w:spacing w:after="100"/>
              <w:jc w:val="center"/>
              <w:rPr>
                <w:rFonts w:eastAsia="Times New Roman"/>
              </w:rPr>
            </w:pPr>
            <w:r>
              <w:rPr>
                <w:rFonts w:eastAsia="Times New Roman"/>
                <w:b/>
                <w:bCs/>
                <w:color w:val="000000"/>
                <w:sz w:val="20"/>
                <w:szCs w:val="20"/>
              </w:rPr>
              <w:t>COBNA</w:t>
            </w:r>
          </w:p>
        </w:tc>
        <w:tc>
          <w:tcPr>
            <w:tcW w:w="0" w:type="auto"/>
            <w:gridSpan w:val="3"/>
            <w:tcBorders>
              <w:top w:val="single" w:sz="8" w:space="0" w:color="000000"/>
            </w:tcBorders>
            <w:tcMar>
              <w:top w:w="0" w:type="dxa"/>
              <w:left w:w="20" w:type="dxa"/>
              <w:bottom w:w="0" w:type="dxa"/>
              <w:right w:w="20" w:type="dxa"/>
            </w:tcMar>
            <w:vAlign w:val="center"/>
            <w:hideMark/>
          </w:tcPr>
          <w:p w14:paraId="7C135D2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E9290A" w14:textId="77777777" w:rsidR="00000000" w:rsidRDefault="00A173A8">
            <w:pPr>
              <w:spacing w:after="100"/>
              <w:jc w:val="center"/>
              <w:rPr>
                <w:rFonts w:eastAsia="Times New Roman"/>
              </w:rPr>
            </w:pPr>
            <w:r>
              <w:rPr>
                <w:rFonts w:eastAsia="Times New Roman"/>
                <w:b/>
                <w:bCs/>
                <w:color w:val="000000"/>
                <w:sz w:val="20"/>
                <w:szCs w:val="20"/>
              </w:rPr>
              <w:t>CONA</w:t>
            </w:r>
          </w:p>
        </w:tc>
      </w:tr>
      <w:tr w:rsidR="00000000" w14:paraId="01D7E7FD" w14:textId="77777777">
        <w:trPr>
          <w:divId w:val="94576964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18EF6EE" w14:textId="77777777" w:rsidR="00000000" w:rsidRDefault="00A173A8">
            <w:pPr>
              <w:spacing w:after="100"/>
              <w:rPr>
                <w:rFonts w:eastAsia="Times New Roman"/>
              </w:rPr>
            </w:pPr>
            <w:r>
              <w:rPr>
                <w:rFonts w:eastAsia="Times New Roman"/>
                <w:color w:val="000000"/>
                <w:sz w:val="20"/>
                <w:szCs w:val="20"/>
              </w:rPr>
              <w:t>Moody’s</w:t>
            </w:r>
          </w:p>
        </w:tc>
        <w:tc>
          <w:tcPr>
            <w:tcW w:w="0" w:type="auto"/>
            <w:gridSpan w:val="3"/>
            <w:shd w:val="clear" w:color="auto" w:fill="CCEEFF"/>
            <w:tcMar>
              <w:top w:w="0" w:type="dxa"/>
              <w:left w:w="20" w:type="dxa"/>
              <w:bottom w:w="0" w:type="dxa"/>
              <w:right w:w="20" w:type="dxa"/>
            </w:tcMar>
            <w:vAlign w:val="center"/>
            <w:hideMark/>
          </w:tcPr>
          <w:p w14:paraId="54A3DEB4"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DA37BDB" w14:textId="77777777" w:rsidR="00000000" w:rsidRDefault="00A173A8">
            <w:pPr>
              <w:spacing w:after="100"/>
              <w:jc w:val="right"/>
              <w:rPr>
                <w:rFonts w:eastAsia="Times New Roman"/>
              </w:rPr>
            </w:pPr>
            <w:r>
              <w:rPr>
                <w:rFonts w:eastAsia="Times New Roman"/>
                <w:b/>
                <w:bCs/>
                <w:color w:val="000000"/>
                <w:sz w:val="20"/>
                <w:szCs w:val="20"/>
              </w:rPr>
              <w:t>Baa1</w:t>
            </w:r>
          </w:p>
        </w:tc>
        <w:tc>
          <w:tcPr>
            <w:tcW w:w="0" w:type="auto"/>
            <w:gridSpan w:val="3"/>
            <w:shd w:val="clear" w:color="auto" w:fill="CCEEFF"/>
            <w:tcMar>
              <w:top w:w="0" w:type="dxa"/>
              <w:left w:w="20" w:type="dxa"/>
              <w:bottom w:w="0" w:type="dxa"/>
              <w:right w:w="20" w:type="dxa"/>
            </w:tcMar>
            <w:vAlign w:val="center"/>
            <w:hideMark/>
          </w:tcPr>
          <w:p w14:paraId="73D33994"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954C560" w14:textId="77777777" w:rsidR="00000000" w:rsidRDefault="00A173A8">
            <w:pPr>
              <w:spacing w:after="100"/>
              <w:jc w:val="right"/>
              <w:rPr>
                <w:rFonts w:eastAsia="Times New Roman"/>
              </w:rPr>
            </w:pPr>
            <w:r>
              <w:rPr>
                <w:rFonts w:eastAsia="Times New Roman"/>
                <w:b/>
                <w:bCs/>
                <w:color w:val="000000"/>
                <w:sz w:val="20"/>
                <w:szCs w:val="20"/>
              </w:rPr>
              <w:t>A3</w:t>
            </w:r>
          </w:p>
        </w:tc>
        <w:tc>
          <w:tcPr>
            <w:tcW w:w="0" w:type="auto"/>
            <w:gridSpan w:val="3"/>
            <w:shd w:val="clear" w:color="auto" w:fill="CCEEFF"/>
            <w:tcMar>
              <w:top w:w="0" w:type="dxa"/>
              <w:left w:w="20" w:type="dxa"/>
              <w:bottom w:w="0" w:type="dxa"/>
              <w:right w:w="20" w:type="dxa"/>
            </w:tcMar>
            <w:vAlign w:val="center"/>
            <w:hideMark/>
          </w:tcPr>
          <w:p w14:paraId="1424A8DA"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D6E76C7" w14:textId="77777777" w:rsidR="00000000" w:rsidRDefault="00A173A8">
            <w:pPr>
              <w:spacing w:after="100"/>
              <w:jc w:val="right"/>
              <w:rPr>
                <w:rFonts w:eastAsia="Times New Roman"/>
              </w:rPr>
            </w:pPr>
            <w:r>
              <w:rPr>
                <w:rFonts w:eastAsia="Times New Roman"/>
                <w:b/>
                <w:bCs/>
                <w:color w:val="000000"/>
                <w:sz w:val="20"/>
                <w:szCs w:val="20"/>
              </w:rPr>
              <w:t>A3</w:t>
            </w:r>
          </w:p>
        </w:tc>
        <w:tc>
          <w:tcPr>
            <w:tcW w:w="0" w:type="auto"/>
            <w:gridSpan w:val="3"/>
            <w:shd w:val="clear" w:color="auto" w:fill="CCEEFF"/>
            <w:tcMar>
              <w:top w:w="0" w:type="dxa"/>
              <w:left w:w="20" w:type="dxa"/>
              <w:bottom w:w="0" w:type="dxa"/>
              <w:right w:w="20" w:type="dxa"/>
            </w:tcMar>
            <w:vAlign w:val="center"/>
            <w:hideMark/>
          </w:tcPr>
          <w:p w14:paraId="71CFAA59"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6C7146A" w14:textId="77777777" w:rsidR="00000000" w:rsidRDefault="00A173A8">
            <w:pPr>
              <w:spacing w:after="100"/>
              <w:jc w:val="right"/>
              <w:rPr>
                <w:rFonts w:eastAsia="Times New Roman"/>
              </w:rPr>
            </w:pPr>
            <w:r>
              <w:rPr>
                <w:rFonts w:eastAsia="Times New Roman"/>
                <w:color w:val="000000"/>
                <w:sz w:val="20"/>
                <w:szCs w:val="20"/>
              </w:rPr>
              <w:t>Baa1</w:t>
            </w:r>
          </w:p>
        </w:tc>
        <w:tc>
          <w:tcPr>
            <w:tcW w:w="0" w:type="auto"/>
            <w:gridSpan w:val="3"/>
            <w:shd w:val="clear" w:color="auto" w:fill="CCEEFF"/>
            <w:tcMar>
              <w:top w:w="0" w:type="dxa"/>
              <w:left w:w="20" w:type="dxa"/>
              <w:bottom w:w="0" w:type="dxa"/>
              <w:right w:w="20" w:type="dxa"/>
            </w:tcMar>
            <w:vAlign w:val="center"/>
            <w:hideMark/>
          </w:tcPr>
          <w:p w14:paraId="5E66F88E"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F5A3575" w14:textId="77777777" w:rsidR="00000000" w:rsidRDefault="00A173A8">
            <w:pPr>
              <w:spacing w:after="100"/>
              <w:jc w:val="right"/>
              <w:rPr>
                <w:rFonts w:eastAsia="Times New Roman"/>
              </w:rPr>
            </w:pPr>
            <w:r>
              <w:rPr>
                <w:rFonts w:eastAsia="Times New Roman"/>
                <w:color w:val="000000"/>
                <w:sz w:val="20"/>
                <w:szCs w:val="20"/>
              </w:rPr>
              <w:t>A3</w:t>
            </w:r>
          </w:p>
        </w:tc>
        <w:tc>
          <w:tcPr>
            <w:tcW w:w="0" w:type="auto"/>
            <w:gridSpan w:val="3"/>
            <w:shd w:val="clear" w:color="auto" w:fill="CCEEFF"/>
            <w:tcMar>
              <w:top w:w="0" w:type="dxa"/>
              <w:left w:w="20" w:type="dxa"/>
              <w:bottom w:w="0" w:type="dxa"/>
              <w:right w:w="20" w:type="dxa"/>
            </w:tcMar>
            <w:vAlign w:val="center"/>
            <w:hideMark/>
          </w:tcPr>
          <w:p w14:paraId="32C18320"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4D03040" w14:textId="77777777" w:rsidR="00000000" w:rsidRDefault="00A173A8">
            <w:pPr>
              <w:spacing w:after="100"/>
              <w:jc w:val="right"/>
              <w:rPr>
                <w:rFonts w:eastAsia="Times New Roman"/>
              </w:rPr>
            </w:pPr>
            <w:r>
              <w:rPr>
                <w:rFonts w:eastAsia="Times New Roman"/>
                <w:color w:val="000000"/>
                <w:sz w:val="20"/>
                <w:szCs w:val="20"/>
              </w:rPr>
              <w:t>A3</w:t>
            </w:r>
          </w:p>
        </w:tc>
      </w:tr>
      <w:tr w:rsidR="00000000" w14:paraId="64E90B06" w14:textId="77777777">
        <w:trPr>
          <w:divId w:val="945769644"/>
        </w:trPr>
        <w:tc>
          <w:tcPr>
            <w:tcW w:w="0" w:type="auto"/>
            <w:gridSpan w:val="3"/>
            <w:shd w:val="clear" w:color="auto" w:fill="FFFFFF"/>
            <w:tcMar>
              <w:top w:w="30" w:type="dxa"/>
              <w:left w:w="20" w:type="dxa"/>
              <w:bottom w:w="30" w:type="dxa"/>
              <w:right w:w="20" w:type="dxa"/>
            </w:tcMar>
            <w:vAlign w:val="center"/>
            <w:hideMark/>
          </w:tcPr>
          <w:p w14:paraId="52EB7521" w14:textId="77777777" w:rsidR="00000000" w:rsidRDefault="00A173A8">
            <w:pPr>
              <w:spacing w:after="100"/>
              <w:rPr>
                <w:rFonts w:eastAsia="Times New Roman"/>
              </w:rPr>
            </w:pPr>
            <w:r>
              <w:rPr>
                <w:rFonts w:eastAsia="Times New Roman"/>
                <w:color w:val="000000"/>
                <w:sz w:val="20"/>
                <w:szCs w:val="20"/>
              </w:rPr>
              <w:t>S&amp;P</w:t>
            </w:r>
          </w:p>
        </w:tc>
        <w:tc>
          <w:tcPr>
            <w:tcW w:w="0" w:type="auto"/>
            <w:gridSpan w:val="3"/>
            <w:shd w:val="clear" w:color="auto" w:fill="FFFFFF"/>
            <w:tcMar>
              <w:top w:w="0" w:type="dxa"/>
              <w:left w:w="20" w:type="dxa"/>
              <w:bottom w:w="0" w:type="dxa"/>
              <w:right w:w="20" w:type="dxa"/>
            </w:tcMar>
            <w:vAlign w:val="center"/>
            <w:hideMark/>
          </w:tcPr>
          <w:p w14:paraId="2DF950E1"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0A082B5" w14:textId="77777777" w:rsidR="00000000" w:rsidRDefault="00A173A8">
            <w:pPr>
              <w:spacing w:after="100"/>
              <w:jc w:val="right"/>
              <w:rPr>
                <w:rFonts w:eastAsia="Times New Roman"/>
              </w:rPr>
            </w:pPr>
            <w:r>
              <w:rPr>
                <w:rFonts w:eastAsia="Times New Roman"/>
                <w:b/>
                <w:bCs/>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14:paraId="38C331B8"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3574320" w14:textId="77777777" w:rsidR="00000000" w:rsidRDefault="00A173A8">
            <w:pPr>
              <w:spacing w:after="100"/>
              <w:jc w:val="right"/>
              <w:rPr>
                <w:rFonts w:eastAsia="Times New Roman"/>
              </w:rPr>
            </w:pPr>
            <w:r>
              <w:rPr>
                <w:rFonts w:eastAsia="Times New Roman"/>
                <w:b/>
                <w:bCs/>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14:paraId="35B6EFF4"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46202880" w14:textId="77777777" w:rsidR="00000000" w:rsidRDefault="00A173A8">
            <w:pPr>
              <w:spacing w:after="100"/>
              <w:jc w:val="right"/>
              <w:rPr>
                <w:rFonts w:eastAsia="Times New Roman"/>
              </w:rPr>
            </w:pPr>
            <w:r>
              <w:rPr>
                <w:rFonts w:eastAsia="Times New Roman"/>
                <w:b/>
                <w:bCs/>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14:paraId="5ABE8D91"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5B49D010" w14:textId="77777777" w:rsidR="00000000" w:rsidRDefault="00A173A8">
            <w:pPr>
              <w:spacing w:after="100"/>
              <w:jc w:val="right"/>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14:paraId="39BFCE3B"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E576DCD" w14:textId="77777777" w:rsidR="00000000" w:rsidRDefault="00A173A8">
            <w:pPr>
              <w:spacing w:after="100"/>
              <w:jc w:val="right"/>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14:paraId="4B1C0612"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D21CE03" w14:textId="77777777" w:rsidR="00000000" w:rsidRDefault="00A173A8">
            <w:pPr>
              <w:spacing w:after="100"/>
              <w:jc w:val="right"/>
              <w:rPr>
                <w:rFonts w:eastAsia="Times New Roman"/>
              </w:rPr>
            </w:pPr>
            <w:r>
              <w:rPr>
                <w:rFonts w:eastAsia="Times New Roman"/>
                <w:color w:val="000000"/>
                <w:sz w:val="20"/>
                <w:szCs w:val="20"/>
              </w:rPr>
              <w:t>BBB+</w:t>
            </w:r>
          </w:p>
        </w:tc>
      </w:tr>
      <w:tr w:rsidR="00000000" w14:paraId="69D940A4" w14:textId="77777777">
        <w:trPr>
          <w:divId w:val="945769644"/>
        </w:trPr>
        <w:tc>
          <w:tcPr>
            <w:tcW w:w="0" w:type="auto"/>
            <w:gridSpan w:val="3"/>
            <w:shd w:val="clear" w:color="auto" w:fill="CCEEFF"/>
            <w:tcMar>
              <w:top w:w="30" w:type="dxa"/>
              <w:left w:w="20" w:type="dxa"/>
              <w:bottom w:w="30" w:type="dxa"/>
              <w:right w:w="20" w:type="dxa"/>
            </w:tcMar>
            <w:vAlign w:val="center"/>
            <w:hideMark/>
          </w:tcPr>
          <w:p w14:paraId="5B58DF63" w14:textId="77777777" w:rsidR="00000000" w:rsidRDefault="00A173A8">
            <w:pPr>
              <w:spacing w:after="100"/>
              <w:rPr>
                <w:rFonts w:eastAsia="Times New Roman"/>
              </w:rPr>
            </w:pPr>
            <w:r>
              <w:rPr>
                <w:rFonts w:eastAsia="Times New Roman"/>
                <w:color w:val="000000"/>
                <w:sz w:val="20"/>
                <w:szCs w:val="20"/>
              </w:rPr>
              <w:t>Fitch</w:t>
            </w:r>
          </w:p>
        </w:tc>
        <w:tc>
          <w:tcPr>
            <w:tcW w:w="0" w:type="auto"/>
            <w:gridSpan w:val="3"/>
            <w:shd w:val="clear" w:color="auto" w:fill="CCEEFF"/>
            <w:tcMar>
              <w:top w:w="0" w:type="dxa"/>
              <w:left w:w="20" w:type="dxa"/>
              <w:bottom w:w="0" w:type="dxa"/>
              <w:right w:w="20" w:type="dxa"/>
            </w:tcMar>
            <w:vAlign w:val="center"/>
            <w:hideMark/>
          </w:tcPr>
          <w:p w14:paraId="7B7EBC9E"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816E991" w14:textId="77777777" w:rsidR="00000000" w:rsidRDefault="00A173A8">
            <w:pPr>
              <w:spacing w:after="100"/>
              <w:jc w:val="right"/>
              <w:rPr>
                <w:rFonts w:eastAsia="Times New Roman"/>
              </w:rPr>
            </w:pPr>
            <w:r>
              <w:rPr>
                <w:rFonts w:eastAsia="Times New Roman"/>
                <w:b/>
                <w:bCs/>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320B365E"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7331940E" w14:textId="77777777" w:rsidR="00000000" w:rsidRDefault="00A173A8">
            <w:pPr>
              <w:spacing w:after="100"/>
              <w:jc w:val="right"/>
              <w:rPr>
                <w:rFonts w:eastAsia="Times New Roman"/>
              </w:rPr>
            </w:pPr>
            <w:r>
              <w:rPr>
                <w:rFonts w:eastAsia="Times New Roman"/>
                <w:b/>
                <w:bCs/>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5009CA1B"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29B52BD" w14:textId="77777777" w:rsidR="00000000" w:rsidRDefault="00A173A8">
            <w:pPr>
              <w:spacing w:after="100"/>
              <w:jc w:val="right"/>
              <w:rPr>
                <w:rFonts w:eastAsia="Times New Roman"/>
              </w:rPr>
            </w:pPr>
            <w:r>
              <w:rPr>
                <w:rFonts w:eastAsia="Times New Roman"/>
                <w:b/>
                <w:bCs/>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3BC1E9D6"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9349408" w14:textId="77777777" w:rsidR="00000000" w:rsidRDefault="00A173A8">
            <w:pPr>
              <w:spacing w:after="100"/>
              <w:jc w:val="right"/>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111FAFDB"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7AA19D6" w14:textId="77777777" w:rsidR="00000000" w:rsidRDefault="00A173A8">
            <w:pPr>
              <w:spacing w:after="100"/>
              <w:jc w:val="right"/>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14:paraId="23ADDFD7"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070FE51" w14:textId="77777777" w:rsidR="00000000" w:rsidRDefault="00A173A8">
            <w:pPr>
              <w:spacing w:after="100"/>
              <w:jc w:val="right"/>
              <w:rPr>
                <w:rFonts w:eastAsia="Times New Roman"/>
              </w:rPr>
            </w:pPr>
            <w:r>
              <w:rPr>
                <w:rFonts w:eastAsia="Times New Roman"/>
                <w:color w:val="000000"/>
                <w:sz w:val="20"/>
                <w:szCs w:val="20"/>
              </w:rPr>
              <w:t>A</w:t>
            </w:r>
          </w:p>
        </w:tc>
      </w:tr>
    </w:tbl>
    <w:p w14:paraId="4E91BDE7" w14:textId="77777777" w:rsidR="00000000" w:rsidRDefault="00A173A8">
      <w:pPr>
        <w:jc w:val="both"/>
        <w:divId w:val="2016951597"/>
        <w:rPr>
          <w:rFonts w:eastAsia="Times New Roman"/>
        </w:rPr>
      </w:pPr>
      <w:r>
        <w:rPr>
          <w:rFonts w:eastAsia="Times New Roman"/>
          <w:color w:val="000000"/>
          <w:sz w:val="20"/>
          <w:szCs w:val="20"/>
        </w:rPr>
        <w:t>As of July 25, 2022</w:t>
      </w:r>
      <w:r>
        <w:rPr>
          <w:rFonts w:eastAsia="Times New Roman"/>
          <w:color w:val="000000"/>
          <w:sz w:val="20"/>
          <w:szCs w:val="20"/>
          <w:shd w:val="clear" w:color="auto" w:fill="FFFFFF"/>
        </w:rPr>
        <w:t>,</w:t>
      </w:r>
      <w:r>
        <w:rPr>
          <w:rFonts w:eastAsia="Times New Roman"/>
          <w:color w:val="000000"/>
          <w:sz w:val="20"/>
          <w:szCs w:val="20"/>
        </w:rPr>
        <w:t xml:space="preserve"> Moody’s Investors Service (“Moody’s”), Standard &amp; Poor’s (“S&amp;P”) and Fitch Ratings (“Fitch”) have our credit ratings on a stable outlook.</w:t>
      </w:r>
    </w:p>
    <w:p w14:paraId="482F1717" w14:textId="77777777" w:rsidR="00000000" w:rsidRDefault="00A173A8">
      <w:pPr>
        <w:divId w:val="2102555845"/>
        <w:rPr>
          <w:rFonts w:eastAsia="Times New Roman"/>
        </w:rPr>
      </w:pPr>
      <w:r>
        <w:rPr>
          <w:rFonts w:eastAsia="Times New Roman"/>
          <w:b/>
          <w:bCs/>
          <w:color w:val="000000"/>
          <w:sz w:val="20"/>
          <w:szCs w:val="20"/>
        </w:rPr>
        <w:t>Other Commitments</w:t>
      </w:r>
    </w:p>
    <w:p w14:paraId="5195B4D5" w14:textId="77777777" w:rsidR="00000000" w:rsidRDefault="00A173A8">
      <w:pPr>
        <w:jc w:val="both"/>
        <w:divId w:val="1251085356"/>
        <w:rPr>
          <w:rFonts w:eastAsia="Times New Roman"/>
        </w:rPr>
      </w:pPr>
      <w:r>
        <w:rPr>
          <w:rFonts w:eastAsia="Times New Roman"/>
          <w:color w:val="000000"/>
          <w:sz w:val="20"/>
          <w:szCs w:val="20"/>
        </w:rPr>
        <w:t>Our primary involvement with leases is in the capacity as a less</w:t>
      </w:r>
      <w:r>
        <w:rPr>
          <w:rFonts w:eastAsia="Times New Roman"/>
          <w:color w:val="000000"/>
          <w:sz w:val="20"/>
          <w:szCs w:val="20"/>
        </w:rPr>
        <w:t xml:space="preserve">ee where we lease premises to support our business. A majority of our leases are operating leases of office space, retail bank branches and Cafés. Our operating leases expire at various dates through 2071 and certain of these leases also have extension or </w:t>
      </w:r>
      <w:r>
        <w:rPr>
          <w:rFonts w:eastAsia="Times New Roman"/>
          <w:color w:val="000000"/>
          <w:sz w:val="20"/>
          <w:szCs w:val="20"/>
        </w:rPr>
        <w:t>termination options. As of June 30, 2022 and December 31, 2021, we had $1.5 billion and $1.7 billion, respectively, in aggregate operating lease liabilities. We provide more information on our lease activity in “Note 7—Premises, Equipment and Leases” in ou</w:t>
      </w:r>
      <w:r>
        <w:rPr>
          <w:rFonts w:eastAsia="Times New Roman"/>
          <w:color w:val="000000"/>
          <w:sz w:val="20"/>
          <w:szCs w:val="20"/>
        </w:rPr>
        <w:t>r 2021 Form 10-K.</w:t>
      </w:r>
    </w:p>
    <w:p w14:paraId="7747234C" w14:textId="77777777" w:rsidR="00000000" w:rsidRDefault="00A173A8">
      <w:pPr>
        <w:jc w:val="both"/>
        <w:divId w:val="1835368291"/>
        <w:rPr>
          <w:rFonts w:eastAsia="Times New Roman"/>
        </w:rPr>
      </w:pPr>
      <w:r>
        <w:rPr>
          <w:rFonts w:eastAsia="Times New Roman"/>
          <w:color w:val="000000"/>
          <w:sz w:val="20"/>
          <w:szCs w:val="20"/>
        </w:rPr>
        <w:t>We have purchase obligations that represents substantial agreements to purchase goods or receive services such as data management, media and other software and third-party services that are enforceable and legally binding and specify sign</w:t>
      </w:r>
      <w:r>
        <w:rPr>
          <w:rFonts w:eastAsia="Times New Roman"/>
          <w:color w:val="000000"/>
          <w:sz w:val="20"/>
          <w:szCs w:val="20"/>
        </w:rPr>
        <w:t>ificant terms. As of June 30, 2022 and December 31, 2021, we had $1.0 billion and $1.5 billion, respectively, in aggregate purchase obligation liabilities.</w:t>
      </w:r>
    </w:p>
    <w:p w14:paraId="7F22053B" w14:textId="77777777" w:rsidR="00000000" w:rsidRDefault="00A173A8">
      <w:pPr>
        <w:jc w:val="both"/>
        <w:divId w:val="452211596"/>
        <w:rPr>
          <w:rFonts w:eastAsia="Times New Roman"/>
        </w:rPr>
      </w:pPr>
      <w:r>
        <w:rPr>
          <w:rFonts w:eastAsia="Times New Roman"/>
          <w:color w:val="000000"/>
          <w:sz w:val="20"/>
          <w:szCs w:val="20"/>
        </w:rPr>
        <w:t>As of June 30, 2022 and December 31, 2021, our total unfunded lending commitments were $402.9 billio</w:t>
      </w:r>
      <w:r>
        <w:rPr>
          <w:rFonts w:eastAsia="Times New Roman"/>
          <w:color w:val="000000"/>
          <w:sz w:val="20"/>
          <w:szCs w:val="20"/>
        </w:rPr>
        <w:t>n and $414.5 billion, respectively, primarily consisting of credit card lines, loan commitments to customers of both our Commercial Banking and Consumer Banking businesses, as well as standby and commercial letters of credit. We generally manage the potent</w:t>
      </w:r>
      <w:r>
        <w:rPr>
          <w:rFonts w:eastAsia="Times New Roman"/>
          <w:color w:val="000000"/>
          <w:sz w:val="20"/>
          <w:szCs w:val="20"/>
        </w:rPr>
        <w:t>ial risk of unfunded lending commitments by limiting the total amount of arrangements, monitoring the size and maturity structure of these portfolios and applying the same credit standards for all of our credit activities. For additional information, refer</w:t>
      </w:r>
      <w:r>
        <w:rPr>
          <w:rFonts w:eastAsia="Times New Roman"/>
          <w:color w:val="000000"/>
          <w:sz w:val="20"/>
          <w:szCs w:val="20"/>
        </w:rPr>
        <w:t xml:space="preserve"> to “Note 13—Commitments, Contingencies, Guarantees and Others” in this Report.</w:t>
      </w:r>
    </w:p>
    <w:p w14:paraId="572F948E" w14:textId="77777777" w:rsidR="00000000" w:rsidRDefault="00A173A8">
      <w:pPr>
        <w:jc w:val="both"/>
        <w:divId w:val="492841313"/>
        <w:rPr>
          <w:rFonts w:eastAsia="Times New Roman"/>
        </w:rPr>
      </w:pPr>
      <w:r>
        <w:rPr>
          <w:rFonts w:eastAsia="Times New Roman"/>
          <w:color w:val="000000"/>
          <w:sz w:val="20"/>
          <w:szCs w:val="20"/>
        </w:rPr>
        <w:t xml:space="preserve">We also enter into various contractual arrangements that may require future cash payments, including short-term obligations such as trade payables, commitments to fund certain </w:t>
      </w:r>
      <w:r>
        <w:rPr>
          <w:rFonts w:eastAsia="Times New Roman"/>
          <w:color w:val="000000"/>
          <w:sz w:val="20"/>
          <w:szCs w:val="20"/>
        </w:rPr>
        <w:t>equity investments, obligations for pension and post-retirement benefit plans, and representation and warranty reserves. These arrangements are discussed in more detail in “Note 5—Variable Interest Entities and Securitizations” and “Note 13—Commitments, Co</w:t>
      </w:r>
      <w:r>
        <w:rPr>
          <w:rFonts w:eastAsia="Times New Roman"/>
          <w:color w:val="000000"/>
          <w:sz w:val="20"/>
          <w:szCs w:val="20"/>
        </w:rPr>
        <w:t>ntingencies, Guarantees and Others” in this Report and “Note 14—Employee Benefit Plans” in our 2021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BE16A16" w14:textId="77777777">
        <w:trPr>
          <w:divId w:val="1327247187"/>
        </w:trPr>
        <w:tc>
          <w:tcPr>
            <w:tcW w:w="50" w:type="pct"/>
            <w:vAlign w:val="center"/>
            <w:hideMark/>
          </w:tcPr>
          <w:p w14:paraId="5762E99F" w14:textId="77777777" w:rsidR="00000000" w:rsidRDefault="00A173A8">
            <w:pPr>
              <w:jc w:val="both"/>
              <w:rPr>
                <w:rFonts w:eastAsia="Times New Roman"/>
              </w:rPr>
            </w:pPr>
          </w:p>
        </w:tc>
        <w:tc>
          <w:tcPr>
            <w:tcW w:w="4945" w:type="pct"/>
            <w:vAlign w:val="center"/>
            <w:hideMark/>
          </w:tcPr>
          <w:p w14:paraId="08A95108" w14:textId="77777777" w:rsidR="00000000" w:rsidRDefault="00A173A8">
            <w:pPr>
              <w:spacing w:after="100"/>
              <w:rPr>
                <w:rFonts w:eastAsia="Times New Roman"/>
                <w:sz w:val="20"/>
                <w:szCs w:val="20"/>
              </w:rPr>
            </w:pPr>
          </w:p>
        </w:tc>
        <w:tc>
          <w:tcPr>
            <w:tcW w:w="5" w:type="pct"/>
            <w:vAlign w:val="center"/>
            <w:hideMark/>
          </w:tcPr>
          <w:p w14:paraId="62965255" w14:textId="77777777" w:rsidR="00000000" w:rsidRDefault="00A173A8">
            <w:pPr>
              <w:spacing w:after="100"/>
              <w:rPr>
                <w:rFonts w:eastAsia="Times New Roman"/>
                <w:sz w:val="20"/>
                <w:szCs w:val="20"/>
              </w:rPr>
            </w:pPr>
          </w:p>
        </w:tc>
      </w:tr>
      <w:tr w:rsidR="00000000" w14:paraId="57DB09AD" w14:textId="77777777">
        <w:trPr>
          <w:divId w:val="132724718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51AF9459" w14:textId="77777777" w:rsidR="00000000" w:rsidRDefault="00A173A8">
            <w:pPr>
              <w:spacing w:after="100"/>
              <w:rPr>
                <w:rFonts w:eastAsia="Times New Roman"/>
              </w:rPr>
            </w:pPr>
            <w:r>
              <w:rPr>
                <w:rFonts w:eastAsia="Times New Roman"/>
                <w:b/>
                <w:bCs/>
                <w:color w:val="000000"/>
                <w:sz w:val="20"/>
                <w:szCs w:val="20"/>
              </w:rPr>
              <w:t>MARKET RISK PROFILE</w:t>
            </w:r>
          </w:p>
        </w:tc>
      </w:tr>
    </w:tbl>
    <w:p w14:paraId="090F088B" w14:textId="77777777" w:rsidR="00000000" w:rsidRDefault="00A173A8">
      <w:pPr>
        <w:jc w:val="both"/>
        <w:divId w:val="263265426"/>
        <w:rPr>
          <w:rFonts w:eastAsia="Times New Roman"/>
        </w:rPr>
      </w:pPr>
      <w:r>
        <w:rPr>
          <w:rFonts w:eastAsia="Times New Roman"/>
          <w:color w:val="000000"/>
          <w:sz w:val="20"/>
          <w:szCs w:val="20"/>
        </w:rPr>
        <w:t>Our primary market risk exposures include interest rate risk, foreign exchange risk and commodity pricing risk. We are exposed to market risk primarily from the following operations and activities:</w:t>
      </w:r>
    </w:p>
    <w:p w14:paraId="20C7760B" w14:textId="77777777" w:rsidR="00000000" w:rsidRDefault="00A173A8">
      <w:pPr>
        <w:ind w:hanging="360"/>
        <w:jc w:val="both"/>
        <w:divId w:val="634412253"/>
        <w:rPr>
          <w:rFonts w:eastAsia="Times New Roman"/>
        </w:rPr>
      </w:pPr>
      <w:r>
        <w:rPr>
          <w:rFonts w:eastAsia="Times New Roman"/>
          <w:color w:val="000000"/>
          <w:sz w:val="20"/>
          <w:szCs w:val="20"/>
        </w:rPr>
        <w:t>•Traditional banking activities of deposit gathering and l</w:t>
      </w:r>
      <w:r>
        <w:rPr>
          <w:rFonts w:eastAsia="Times New Roman"/>
          <w:color w:val="000000"/>
          <w:sz w:val="20"/>
          <w:szCs w:val="20"/>
        </w:rPr>
        <w:t>ending;</w:t>
      </w:r>
    </w:p>
    <w:p w14:paraId="1F084AA8" w14:textId="77777777" w:rsidR="00000000" w:rsidRDefault="00A173A8">
      <w:pPr>
        <w:ind w:hanging="360"/>
        <w:jc w:val="both"/>
        <w:divId w:val="991372392"/>
        <w:rPr>
          <w:rFonts w:eastAsia="Times New Roman"/>
        </w:rPr>
      </w:pPr>
      <w:r>
        <w:rPr>
          <w:rFonts w:eastAsia="Times New Roman"/>
          <w:color w:val="000000"/>
          <w:sz w:val="20"/>
          <w:szCs w:val="20"/>
        </w:rPr>
        <w:t>•Asset/liability management activities including the management of investment securities, short-term and long-term borrowings and derivatives;</w:t>
      </w:r>
    </w:p>
    <w:p w14:paraId="1C24CD86" w14:textId="77777777" w:rsidR="00000000" w:rsidRDefault="00A173A8">
      <w:pPr>
        <w:ind w:hanging="360"/>
        <w:jc w:val="both"/>
        <w:divId w:val="1071346157"/>
        <w:rPr>
          <w:rFonts w:eastAsia="Times New Roman"/>
        </w:rPr>
      </w:pPr>
      <w:r>
        <w:rPr>
          <w:rFonts w:eastAsia="Times New Roman"/>
          <w:color w:val="000000"/>
          <w:sz w:val="20"/>
          <w:szCs w:val="20"/>
        </w:rPr>
        <w:t>•Foreign operations in the U.K. and Canada within our Credit Card business; and</w:t>
      </w:r>
    </w:p>
    <w:p w14:paraId="4AED53E3" w14:textId="77777777" w:rsidR="00000000" w:rsidRDefault="00A173A8">
      <w:pPr>
        <w:ind w:hanging="360"/>
        <w:jc w:val="both"/>
        <w:divId w:val="1295332738"/>
        <w:rPr>
          <w:rFonts w:eastAsia="Times New Roman"/>
        </w:rPr>
      </w:pPr>
      <w:r>
        <w:rPr>
          <w:rFonts w:eastAsia="Times New Roman"/>
          <w:color w:val="000000"/>
          <w:sz w:val="20"/>
          <w:szCs w:val="20"/>
        </w:rPr>
        <w:t>•Customer accommodation a</w:t>
      </w:r>
      <w:r>
        <w:rPr>
          <w:rFonts w:eastAsia="Times New Roman"/>
          <w:color w:val="000000"/>
          <w:sz w:val="20"/>
          <w:szCs w:val="20"/>
        </w:rPr>
        <w:t>ctivities within our Commercial Banking business.</w:t>
      </w:r>
    </w:p>
    <w:p w14:paraId="0DB80CE0" w14:textId="77777777" w:rsidR="00000000" w:rsidRDefault="00A173A8">
      <w:pPr>
        <w:jc w:val="both"/>
        <w:divId w:val="1445809239"/>
        <w:rPr>
          <w:rFonts w:eastAsia="Times New Roman"/>
        </w:rPr>
      </w:pPr>
      <w:r>
        <w:rPr>
          <w:rFonts w:eastAsia="Times New Roman"/>
          <w:color w:val="000000"/>
          <w:sz w:val="20"/>
          <w:szCs w:val="20"/>
        </w:rPr>
        <w:t xml:space="preserve">We have enterprise-wide risk management policies and limits, approved by our Board of Directors, which govern our market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15A3362" w14:textId="77777777">
        <w:trPr>
          <w:divId w:val="723873913"/>
          <w:jc w:val="center"/>
        </w:trPr>
        <w:tc>
          <w:tcPr>
            <w:tcW w:w="50" w:type="pct"/>
            <w:vAlign w:val="center"/>
            <w:hideMark/>
          </w:tcPr>
          <w:p w14:paraId="68D2A5F2" w14:textId="77777777" w:rsidR="00000000" w:rsidRDefault="00A173A8">
            <w:pPr>
              <w:jc w:val="both"/>
              <w:rPr>
                <w:rFonts w:eastAsia="Times New Roman"/>
              </w:rPr>
            </w:pPr>
          </w:p>
        </w:tc>
        <w:tc>
          <w:tcPr>
            <w:tcW w:w="1606" w:type="pct"/>
            <w:vAlign w:val="center"/>
            <w:hideMark/>
          </w:tcPr>
          <w:p w14:paraId="74351412" w14:textId="77777777" w:rsidR="00000000" w:rsidRDefault="00A173A8">
            <w:pPr>
              <w:spacing w:after="100"/>
              <w:rPr>
                <w:rFonts w:eastAsia="Times New Roman"/>
                <w:sz w:val="20"/>
                <w:szCs w:val="20"/>
              </w:rPr>
            </w:pPr>
          </w:p>
        </w:tc>
        <w:tc>
          <w:tcPr>
            <w:tcW w:w="5" w:type="pct"/>
            <w:vAlign w:val="center"/>
            <w:hideMark/>
          </w:tcPr>
          <w:p w14:paraId="334FEA9B" w14:textId="77777777" w:rsidR="00000000" w:rsidRDefault="00A173A8">
            <w:pPr>
              <w:spacing w:after="100"/>
              <w:rPr>
                <w:rFonts w:eastAsia="Times New Roman"/>
                <w:sz w:val="20"/>
                <w:szCs w:val="20"/>
              </w:rPr>
            </w:pPr>
          </w:p>
        </w:tc>
        <w:tc>
          <w:tcPr>
            <w:tcW w:w="50" w:type="pct"/>
            <w:vAlign w:val="center"/>
            <w:hideMark/>
          </w:tcPr>
          <w:p w14:paraId="1BE7FDB9" w14:textId="77777777" w:rsidR="00000000" w:rsidRDefault="00A173A8">
            <w:pPr>
              <w:spacing w:after="100"/>
              <w:rPr>
                <w:rFonts w:eastAsia="Times New Roman"/>
                <w:sz w:val="20"/>
                <w:szCs w:val="20"/>
              </w:rPr>
            </w:pPr>
          </w:p>
        </w:tc>
        <w:tc>
          <w:tcPr>
            <w:tcW w:w="1614" w:type="pct"/>
            <w:vAlign w:val="center"/>
            <w:hideMark/>
          </w:tcPr>
          <w:p w14:paraId="2DFD6BA3" w14:textId="77777777" w:rsidR="00000000" w:rsidRDefault="00A173A8">
            <w:pPr>
              <w:spacing w:after="100"/>
              <w:rPr>
                <w:rFonts w:eastAsia="Times New Roman"/>
                <w:sz w:val="20"/>
                <w:szCs w:val="20"/>
              </w:rPr>
            </w:pPr>
          </w:p>
        </w:tc>
        <w:tc>
          <w:tcPr>
            <w:tcW w:w="5" w:type="pct"/>
            <w:vAlign w:val="center"/>
            <w:hideMark/>
          </w:tcPr>
          <w:p w14:paraId="6E17265A" w14:textId="77777777" w:rsidR="00000000" w:rsidRDefault="00A173A8">
            <w:pPr>
              <w:spacing w:after="100"/>
              <w:rPr>
                <w:rFonts w:eastAsia="Times New Roman"/>
                <w:sz w:val="20"/>
                <w:szCs w:val="20"/>
              </w:rPr>
            </w:pPr>
          </w:p>
        </w:tc>
        <w:tc>
          <w:tcPr>
            <w:tcW w:w="50" w:type="pct"/>
            <w:vAlign w:val="center"/>
            <w:hideMark/>
          </w:tcPr>
          <w:p w14:paraId="0927383F" w14:textId="77777777" w:rsidR="00000000" w:rsidRDefault="00A173A8">
            <w:pPr>
              <w:spacing w:after="100"/>
              <w:rPr>
                <w:rFonts w:eastAsia="Times New Roman"/>
                <w:sz w:val="20"/>
                <w:szCs w:val="20"/>
              </w:rPr>
            </w:pPr>
          </w:p>
        </w:tc>
        <w:tc>
          <w:tcPr>
            <w:tcW w:w="1614" w:type="pct"/>
            <w:vAlign w:val="center"/>
            <w:hideMark/>
          </w:tcPr>
          <w:p w14:paraId="40A56B94" w14:textId="77777777" w:rsidR="00000000" w:rsidRDefault="00A173A8">
            <w:pPr>
              <w:spacing w:after="100"/>
              <w:rPr>
                <w:rFonts w:eastAsia="Times New Roman"/>
                <w:sz w:val="20"/>
                <w:szCs w:val="20"/>
              </w:rPr>
            </w:pPr>
          </w:p>
        </w:tc>
        <w:tc>
          <w:tcPr>
            <w:tcW w:w="5" w:type="pct"/>
            <w:vAlign w:val="center"/>
            <w:hideMark/>
          </w:tcPr>
          <w:p w14:paraId="251CEA6E" w14:textId="77777777" w:rsidR="00000000" w:rsidRDefault="00A173A8">
            <w:pPr>
              <w:spacing w:after="100"/>
              <w:rPr>
                <w:rFonts w:eastAsia="Times New Roman"/>
                <w:sz w:val="20"/>
                <w:szCs w:val="20"/>
              </w:rPr>
            </w:pPr>
          </w:p>
        </w:tc>
      </w:tr>
      <w:tr w:rsidR="00000000" w14:paraId="21DBCEF9" w14:textId="77777777">
        <w:trPr>
          <w:divId w:val="723873913"/>
          <w:trHeight w:val="300"/>
          <w:jc w:val="center"/>
        </w:trPr>
        <w:tc>
          <w:tcPr>
            <w:tcW w:w="0" w:type="auto"/>
            <w:gridSpan w:val="9"/>
            <w:tcMar>
              <w:top w:w="0" w:type="dxa"/>
              <w:left w:w="20" w:type="dxa"/>
              <w:bottom w:w="0" w:type="dxa"/>
              <w:right w:w="20" w:type="dxa"/>
            </w:tcMar>
            <w:vAlign w:val="center"/>
            <w:hideMark/>
          </w:tcPr>
          <w:p w14:paraId="5C7223FF" w14:textId="77777777" w:rsidR="00000000" w:rsidRDefault="00A173A8">
            <w:pPr>
              <w:spacing w:after="100"/>
              <w:rPr>
                <w:rFonts w:eastAsia="Times New Roman"/>
                <w:sz w:val="20"/>
                <w:szCs w:val="20"/>
              </w:rPr>
            </w:pPr>
          </w:p>
        </w:tc>
      </w:tr>
      <w:tr w:rsidR="00000000" w14:paraId="65186032" w14:textId="77777777">
        <w:trPr>
          <w:divId w:val="723873913"/>
          <w:jc w:val="center"/>
        </w:trPr>
        <w:tc>
          <w:tcPr>
            <w:tcW w:w="0" w:type="auto"/>
            <w:gridSpan w:val="3"/>
            <w:tcMar>
              <w:top w:w="0" w:type="dxa"/>
              <w:left w:w="20" w:type="dxa"/>
              <w:bottom w:w="0" w:type="dxa"/>
              <w:right w:w="20" w:type="dxa"/>
            </w:tcMar>
            <w:vAlign w:val="center"/>
            <w:hideMark/>
          </w:tcPr>
          <w:p w14:paraId="089FD81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7309ABA" w14:textId="77777777" w:rsidR="00000000" w:rsidRDefault="00A173A8">
            <w:pPr>
              <w:spacing w:after="100"/>
              <w:jc w:val="center"/>
              <w:rPr>
                <w:rFonts w:eastAsia="Times New Roman"/>
              </w:rPr>
            </w:pPr>
            <w:r>
              <w:rPr>
                <w:rFonts w:eastAsia="Times New Roman"/>
                <w:color w:val="000000"/>
                <w:sz w:val="16"/>
                <w:szCs w:val="16"/>
              </w:rPr>
              <w:t>50</w:t>
            </w:r>
          </w:p>
        </w:tc>
        <w:tc>
          <w:tcPr>
            <w:tcW w:w="0" w:type="auto"/>
            <w:gridSpan w:val="3"/>
            <w:tcMar>
              <w:top w:w="30" w:type="dxa"/>
              <w:left w:w="20" w:type="dxa"/>
              <w:bottom w:w="30" w:type="dxa"/>
              <w:right w:w="20" w:type="dxa"/>
            </w:tcMar>
            <w:vAlign w:val="bottom"/>
            <w:hideMark/>
          </w:tcPr>
          <w:p w14:paraId="1EACC543"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32F5B97" w14:textId="77777777" w:rsidR="00000000" w:rsidRDefault="00A173A8">
      <w:pPr>
        <w:rPr>
          <w:rFonts w:eastAsia="Times New Roman"/>
        </w:rPr>
      </w:pPr>
      <w:r>
        <w:rPr>
          <w:rFonts w:eastAsia="Times New Roman"/>
        </w:rPr>
        <w:pict w14:anchorId="6707D059">
          <v:rect id="_x0000_i1075" style="width:0;height:1.5pt" o:hralign="center" o:hrstd="t" o:hr="t" fillcolor="#a0a0a0" stroked="f"/>
        </w:pict>
      </w:r>
    </w:p>
    <w:p w14:paraId="7AD9B29A" w14:textId="77777777" w:rsidR="00000000" w:rsidRDefault="00A173A8">
      <w:pPr>
        <w:ind w:hanging="360"/>
        <w:jc w:val="both"/>
        <w:divId w:val="1759672910"/>
        <w:rPr>
          <w:rFonts w:eastAsia="Times New Roman"/>
        </w:rPr>
      </w:pPr>
      <w:hyperlink w:anchor="i7ffd5d61af6f4722b1b1b07530d51c06_13" w:history="1">
        <w:r>
          <w:rPr>
            <w:rStyle w:val="a3"/>
            <w:rFonts w:eastAsia="Times New Roman"/>
            <w:sz w:val="16"/>
            <w:szCs w:val="16"/>
          </w:rPr>
          <w:t>Table of Contents</w:t>
        </w:r>
      </w:hyperlink>
    </w:p>
    <w:p w14:paraId="0CA5BCCD" w14:textId="77777777" w:rsidR="00000000" w:rsidRDefault="00A173A8">
      <w:pPr>
        <w:jc w:val="both"/>
        <w:divId w:val="116417381"/>
        <w:rPr>
          <w:rFonts w:eastAsia="Times New Roman"/>
        </w:rPr>
      </w:pPr>
      <w:r>
        <w:rPr>
          <w:rFonts w:eastAsia="Times New Roman"/>
          <w:color w:val="000000"/>
          <w:sz w:val="20"/>
          <w:szCs w:val="20"/>
        </w:rPr>
        <w:t>risk management activities. Our objective is to manage our exposure to market risk in accordance with these policies and limits based on prevai</w:t>
      </w:r>
      <w:r>
        <w:rPr>
          <w:rFonts w:eastAsia="Times New Roman"/>
          <w:color w:val="000000"/>
          <w:sz w:val="20"/>
          <w:szCs w:val="20"/>
        </w:rPr>
        <w:t>ling market conditions and long-term expectations. We provide additional information below about our primary sources of market risk, our market risk management strategies and the measures that we use to evaluate these exposures.</w:t>
      </w:r>
    </w:p>
    <w:p w14:paraId="4D48CBE1" w14:textId="77777777" w:rsidR="00000000" w:rsidRDefault="00A173A8">
      <w:pPr>
        <w:divId w:val="1130780597"/>
        <w:rPr>
          <w:rFonts w:eastAsia="Times New Roman"/>
        </w:rPr>
      </w:pPr>
      <w:r>
        <w:rPr>
          <w:rFonts w:eastAsia="Times New Roman"/>
          <w:b/>
          <w:bCs/>
          <w:color w:val="000000"/>
          <w:sz w:val="20"/>
          <w:szCs w:val="20"/>
        </w:rPr>
        <w:t>Interest Rate Risk</w:t>
      </w:r>
    </w:p>
    <w:p w14:paraId="7CC2548C" w14:textId="77777777" w:rsidR="00000000" w:rsidRDefault="00A173A8">
      <w:pPr>
        <w:jc w:val="both"/>
        <w:divId w:val="1289355287"/>
        <w:rPr>
          <w:rFonts w:eastAsia="Times New Roman"/>
        </w:rPr>
      </w:pPr>
      <w:r>
        <w:rPr>
          <w:rFonts w:eastAsia="Times New Roman"/>
          <w:color w:val="000000"/>
          <w:sz w:val="20"/>
          <w:szCs w:val="20"/>
        </w:rPr>
        <w:t>Interest</w:t>
      </w:r>
      <w:r>
        <w:rPr>
          <w:rFonts w:eastAsia="Times New Roman"/>
          <w:color w:val="000000"/>
          <w:sz w:val="20"/>
          <w:szCs w:val="20"/>
        </w:rPr>
        <w:t xml:space="preserve"> rate risk represents exposure to financial instruments whose values vary with the level or volatility of interest rates. We are exposed to interest rate risk primarily from the differences in the timing between the maturities or re-pricing of assets and l</w:t>
      </w:r>
      <w:r>
        <w:rPr>
          <w:rFonts w:eastAsia="Times New Roman"/>
          <w:color w:val="000000"/>
          <w:sz w:val="20"/>
          <w:szCs w:val="20"/>
        </w:rPr>
        <w:t xml:space="preserve">iabilities. We manage our interest rate risk primarily by entering into interest rate swaps and other derivative instruments which could include caps, floors, options, futures and forward contracts. </w:t>
      </w:r>
    </w:p>
    <w:p w14:paraId="46326895" w14:textId="77777777" w:rsidR="00000000" w:rsidRDefault="00A173A8">
      <w:pPr>
        <w:jc w:val="both"/>
        <w:divId w:val="1971086413"/>
        <w:rPr>
          <w:rFonts w:eastAsia="Times New Roman"/>
        </w:rPr>
      </w:pPr>
      <w:r>
        <w:rPr>
          <w:rFonts w:eastAsia="Times New Roman"/>
          <w:color w:val="000000"/>
          <w:sz w:val="20"/>
          <w:szCs w:val="20"/>
        </w:rPr>
        <w:t xml:space="preserve">We use various industry standard market risk measurement techniques and analyses to measure, assess and manage the impact of changes in interest rates on our net interest income and our economic value of equity and changes in foreign exchange rates on our </w:t>
      </w:r>
      <w:r>
        <w:rPr>
          <w:rFonts w:eastAsia="Times New Roman"/>
          <w:color w:val="000000"/>
          <w:sz w:val="20"/>
          <w:szCs w:val="20"/>
        </w:rPr>
        <w:t>non-dollar-denominated funding and non-dollar equity investments in foreign operations.</w:t>
      </w:r>
    </w:p>
    <w:p w14:paraId="16E3015C" w14:textId="77777777" w:rsidR="00000000" w:rsidRDefault="00A173A8">
      <w:pPr>
        <w:divId w:val="2145921301"/>
        <w:rPr>
          <w:rFonts w:eastAsia="Times New Roman"/>
        </w:rPr>
      </w:pPr>
      <w:r>
        <w:rPr>
          <w:rFonts w:eastAsia="Times New Roman"/>
          <w:b/>
          <w:bCs/>
          <w:i/>
          <w:iCs/>
          <w:color w:val="000000"/>
          <w:sz w:val="20"/>
          <w:szCs w:val="20"/>
        </w:rPr>
        <w:t>Net Interest Income Sensitivity</w:t>
      </w:r>
    </w:p>
    <w:p w14:paraId="1DB7E91C" w14:textId="77777777" w:rsidR="00000000" w:rsidRDefault="00A173A8">
      <w:pPr>
        <w:jc w:val="both"/>
        <w:divId w:val="256207314"/>
        <w:rPr>
          <w:rFonts w:eastAsia="Times New Roman"/>
        </w:rPr>
      </w:pPr>
      <w:r>
        <w:rPr>
          <w:rFonts w:eastAsia="Times New Roman"/>
          <w:color w:val="000000"/>
          <w:sz w:val="20"/>
          <w:szCs w:val="20"/>
        </w:rPr>
        <w:t>Our net interest income sensitivity measure estimates the impact on our projected 12-month baseline net interest income resulting from m</w:t>
      </w:r>
      <w:r>
        <w:rPr>
          <w:rFonts w:eastAsia="Times New Roman"/>
          <w:color w:val="000000"/>
          <w:sz w:val="20"/>
          <w:szCs w:val="20"/>
        </w:rPr>
        <w:t>ovements in interest rates. In addition to our existing assets and liabilities, we incorporate expected future business growth assumptions, such as loan and deposit growth and pricing, and plans for projected changes in our funding mix in our baseline fore</w:t>
      </w:r>
      <w:r>
        <w:rPr>
          <w:rFonts w:eastAsia="Times New Roman"/>
          <w:color w:val="000000"/>
          <w:sz w:val="20"/>
          <w:szCs w:val="20"/>
        </w:rPr>
        <w:t>cast. In measuring the sensitivity of interest rate movements on our projected net interest income, we assume a hypothetical instantaneous parallel shift in the level of interest rates detailed in Table 34 below. At the current level of interest rates, our</w:t>
      </w:r>
      <w:r>
        <w:rPr>
          <w:rFonts w:eastAsia="Times New Roman"/>
          <w:color w:val="000000"/>
          <w:sz w:val="20"/>
          <w:szCs w:val="20"/>
        </w:rPr>
        <w:t xml:space="preserve"> net interest income is expected to increase modestly in higher rate scenarios and decrease modestly in lower rate scenarios. Our current sensitivity to upward shocks has decreased as compared to December 31, 2021, mainly due to the increase in market inte</w:t>
      </w:r>
      <w:r>
        <w:rPr>
          <w:rFonts w:eastAsia="Times New Roman"/>
          <w:color w:val="000000"/>
          <w:sz w:val="20"/>
          <w:szCs w:val="20"/>
        </w:rPr>
        <w:t xml:space="preserve">rest rates. </w:t>
      </w:r>
    </w:p>
    <w:p w14:paraId="3376A3F9" w14:textId="77777777" w:rsidR="00000000" w:rsidRDefault="00A173A8">
      <w:pPr>
        <w:divId w:val="904294489"/>
        <w:rPr>
          <w:rFonts w:eastAsia="Times New Roman"/>
        </w:rPr>
      </w:pPr>
      <w:r>
        <w:rPr>
          <w:rFonts w:eastAsia="Times New Roman"/>
          <w:b/>
          <w:bCs/>
          <w:i/>
          <w:iCs/>
          <w:color w:val="000000"/>
          <w:sz w:val="20"/>
          <w:szCs w:val="20"/>
        </w:rPr>
        <w:t>Economic Value of Equity Sensitivity</w:t>
      </w:r>
    </w:p>
    <w:p w14:paraId="697D6843" w14:textId="77777777" w:rsidR="00000000" w:rsidRDefault="00A173A8">
      <w:pPr>
        <w:jc w:val="both"/>
        <w:divId w:val="763919977"/>
        <w:rPr>
          <w:rFonts w:eastAsia="Times New Roman"/>
        </w:rPr>
      </w:pPr>
      <w:r>
        <w:rPr>
          <w:rFonts w:eastAsia="Times New Roman"/>
          <w:color w:val="000000"/>
          <w:sz w:val="20"/>
          <w:szCs w:val="20"/>
        </w:rPr>
        <w:t xml:space="preserve">Our economic value of equity sensitivity measure estimates the impact on the net present value of our assets and liabilities, including derivative exposures, resulting from movements in interest rates. Our </w:t>
      </w:r>
      <w:r>
        <w:rPr>
          <w:rFonts w:eastAsia="Times New Roman"/>
          <w:color w:val="000000"/>
          <w:sz w:val="20"/>
          <w:szCs w:val="20"/>
        </w:rPr>
        <w:t>economic value of equity sensitivity measure is calculated based on our existing assets and liabilities, including derivatives, and does not incorporate business growth assumptions or projected balance sheet changes. Key assumptions used in the calculation</w:t>
      </w:r>
      <w:r>
        <w:rPr>
          <w:rFonts w:eastAsia="Times New Roman"/>
          <w:color w:val="000000"/>
          <w:sz w:val="20"/>
          <w:szCs w:val="20"/>
        </w:rPr>
        <w:t xml:space="preserve"> include projecting rate sensitive prepayments for mortgage securities, loans and other assets, term structure modeling of interest rates, discount spreads, and deposit volume and pricing assumptions. In measuring the sensitivity of interest rate movements</w:t>
      </w:r>
      <w:r>
        <w:rPr>
          <w:rFonts w:eastAsia="Times New Roman"/>
          <w:color w:val="000000"/>
          <w:sz w:val="20"/>
          <w:szCs w:val="20"/>
        </w:rPr>
        <w:t xml:space="preserve"> on our economic value of equity, we assume a hypothetical instantaneous parallel shift in the level of interest rates detailed in Table 34 below. Our current economic value of equity sensitivity profile demonstrates that our economic value of equity decre</w:t>
      </w:r>
      <w:r>
        <w:rPr>
          <w:rFonts w:eastAsia="Times New Roman"/>
          <w:color w:val="000000"/>
          <w:sz w:val="20"/>
          <w:szCs w:val="20"/>
        </w:rPr>
        <w:t>ases in all interest rate scenarios. Our current economic value of equity sensitivity to upward shocks in higher rate scenarios became more negative as compared to December 31, 2021, mainly due to the increase in long-term interest rates.</w:t>
      </w:r>
    </w:p>
    <w:p w14:paraId="0B15C642" w14:textId="77777777" w:rsidR="00000000" w:rsidRDefault="00A173A8">
      <w:pPr>
        <w:jc w:val="both"/>
        <w:divId w:val="1085152149"/>
        <w:rPr>
          <w:rFonts w:eastAsia="Times New Roman"/>
        </w:rPr>
      </w:pPr>
      <w:r>
        <w:rPr>
          <w:rFonts w:eastAsia="Times New Roman"/>
          <w:color w:val="000000"/>
          <w:sz w:val="20"/>
          <w:szCs w:val="20"/>
        </w:rPr>
        <w:t>Table 34 shows th</w:t>
      </w:r>
      <w:r>
        <w:rPr>
          <w:rFonts w:eastAsia="Times New Roman"/>
          <w:color w:val="000000"/>
          <w:sz w:val="20"/>
          <w:szCs w:val="20"/>
        </w:rPr>
        <w:t>e estimated percentage impact on our projected baseline net interest income and economic value of equity calculated under the methodology described above as of June 30, 2022 and December 31, 2021. In instances where an interest rate scenario would result i</w:t>
      </w:r>
      <w:r>
        <w:rPr>
          <w:rFonts w:eastAsia="Times New Roman"/>
          <w:color w:val="000000"/>
          <w:sz w:val="20"/>
          <w:szCs w:val="20"/>
        </w:rPr>
        <w:t>n a rate less than 0%, we assume a rate of 0% for that scenario. This assumption applies only to jurisdictions that do not have negative policy rates. In jurisdictions that have negative policy rates, we do not floor interest rates at 0%. Due to recent inc</w:t>
      </w:r>
      <w:r>
        <w:rPr>
          <w:rFonts w:eastAsia="Times New Roman"/>
          <w:color w:val="000000"/>
          <w:sz w:val="20"/>
          <w:szCs w:val="20"/>
        </w:rPr>
        <w:t xml:space="preserve">reases in interest rates, we incorporated a scenario where interest rates decrease by 100 basis points into our interest rate sensitivity analysis as of June 30, 2022. </w:t>
      </w:r>
    </w:p>
    <w:p w14:paraId="5D638560" w14:textId="77777777" w:rsidR="00000000" w:rsidRDefault="00A173A8">
      <w:pPr>
        <w:jc w:val="both"/>
        <w:divId w:val="887453661"/>
        <w:rPr>
          <w:rFonts w:eastAsia="Times New Roman"/>
        </w:rPr>
      </w:pPr>
    </w:p>
    <w:p w14:paraId="4E00A4F1" w14:textId="77777777" w:rsidR="00000000" w:rsidRDefault="00A173A8">
      <w:pPr>
        <w:jc w:val="both"/>
        <w:divId w:val="2045786791"/>
        <w:rPr>
          <w:rFonts w:eastAsia="Times New Roman"/>
        </w:rPr>
      </w:pPr>
    </w:p>
    <w:p w14:paraId="09C48F11" w14:textId="77777777" w:rsidR="00000000" w:rsidRDefault="00A173A8">
      <w:pPr>
        <w:jc w:val="both"/>
        <w:divId w:val="608591033"/>
        <w:rPr>
          <w:rFonts w:eastAsia="Times New Roman"/>
        </w:rPr>
      </w:pPr>
    </w:p>
    <w:p w14:paraId="54B126A9" w14:textId="77777777" w:rsidR="00000000" w:rsidRDefault="00A173A8">
      <w:pPr>
        <w:jc w:val="both"/>
        <w:divId w:val="1095980090"/>
        <w:rPr>
          <w:rFonts w:eastAsia="Times New Roman"/>
        </w:rPr>
      </w:pPr>
    </w:p>
    <w:p w14:paraId="2B251709" w14:textId="77777777" w:rsidR="00000000" w:rsidRDefault="00A173A8">
      <w:pPr>
        <w:jc w:val="both"/>
        <w:divId w:val="1463570105"/>
        <w:rPr>
          <w:rFonts w:eastAsia="Times New Roman"/>
        </w:rPr>
      </w:pPr>
    </w:p>
    <w:p w14:paraId="48F16E7D" w14:textId="77777777" w:rsidR="00000000" w:rsidRDefault="00A173A8">
      <w:pPr>
        <w:jc w:val="both"/>
        <w:divId w:val="622854829"/>
        <w:rPr>
          <w:rFonts w:eastAsia="Times New Roman"/>
        </w:rPr>
      </w:pPr>
    </w:p>
    <w:p w14:paraId="7128906B" w14:textId="77777777" w:rsidR="00000000" w:rsidRDefault="00A173A8">
      <w:pPr>
        <w:jc w:val="both"/>
        <w:divId w:val="1032266418"/>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FCF8B9E" w14:textId="77777777">
        <w:trPr>
          <w:divId w:val="1407415934"/>
          <w:jc w:val="center"/>
        </w:trPr>
        <w:tc>
          <w:tcPr>
            <w:tcW w:w="50" w:type="pct"/>
            <w:vAlign w:val="center"/>
            <w:hideMark/>
          </w:tcPr>
          <w:p w14:paraId="3C393F00" w14:textId="77777777" w:rsidR="00000000" w:rsidRDefault="00A173A8">
            <w:pPr>
              <w:jc w:val="both"/>
              <w:rPr>
                <w:rFonts w:eastAsia="Times New Roman"/>
              </w:rPr>
            </w:pPr>
          </w:p>
        </w:tc>
        <w:tc>
          <w:tcPr>
            <w:tcW w:w="1606" w:type="pct"/>
            <w:vAlign w:val="center"/>
            <w:hideMark/>
          </w:tcPr>
          <w:p w14:paraId="7B32ACA7" w14:textId="77777777" w:rsidR="00000000" w:rsidRDefault="00A173A8">
            <w:pPr>
              <w:spacing w:after="100"/>
              <w:rPr>
                <w:rFonts w:eastAsia="Times New Roman"/>
                <w:sz w:val="20"/>
                <w:szCs w:val="20"/>
              </w:rPr>
            </w:pPr>
          </w:p>
        </w:tc>
        <w:tc>
          <w:tcPr>
            <w:tcW w:w="5" w:type="pct"/>
            <w:vAlign w:val="center"/>
            <w:hideMark/>
          </w:tcPr>
          <w:p w14:paraId="621671B6" w14:textId="77777777" w:rsidR="00000000" w:rsidRDefault="00A173A8">
            <w:pPr>
              <w:spacing w:after="100"/>
              <w:rPr>
                <w:rFonts w:eastAsia="Times New Roman"/>
                <w:sz w:val="20"/>
                <w:szCs w:val="20"/>
              </w:rPr>
            </w:pPr>
          </w:p>
        </w:tc>
        <w:tc>
          <w:tcPr>
            <w:tcW w:w="50" w:type="pct"/>
            <w:vAlign w:val="center"/>
            <w:hideMark/>
          </w:tcPr>
          <w:p w14:paraId="12153474" w14:textId="77777777" w:rsidR="00000000" w:rsidRDefault="00A173A8">
            <w:pPr>
              <w:spacing w:after="100"/>
              <w:rPr>
                <w:rFonts w:eastAsia="Times New Roman"/>
                <w:sz w:val="20"/>
                <w:szCs w:val="20"/>
              </w:rPr>
            </w:pPr>
          </w:p>
        </w:tc>
        <w:tc>
          <w:tcPr>
            <w:tcW w:w="1614" w:type="pct"/>
            <w:vAlign w:val="center"/>
            <w:hideMark/>
          </w:tcPr>
          <w:p w14:paraId="5289F7BE" w14:textId="77777777" w:rsidR="00000000" w:rsidRDefault="00A173A8">
            <w:pPr>
              <w:spacing w:after="100"/>
              <w:rPr>
                <w:rFonts w:eastAsia="Times New Roman"/>
                <w:sz w:val="20"/>
                <w:szCs w:val="20"/>
              </w:rPr>
            </w:pPr>
          </w:p>
        </w:tc>
        <w:tc>
          <w:tcPr>
            <w:tcW w:w="5" w:type="pct"/>
            <w:vAlign w:val="center"/>
            <w:hideMark/>
          </w:tcPr>
          <w:p w14:paraId="11F2174E" w14:textId="77777777" w:rsidR="00000000" w:rsidRDefault="00A173A8">
            <w:pPr>
              <w:spacing w:after="100"/>
              <w:rPr>
                <w:rFonts w:eastAsia="Times New Roman"/>
                <w:sz w:val="20"/>
                <w:szCs w:val="20"/>
              </w:rPr>
            </w:pPr>
          </w:p>
        </w:tc>
        <w:tc>
          <w:tcPr>
            <w:tcW w:w="50" w:type="pct"/>
            <w:vAlign w:val="center"/>
            <w:hideMark/>
          </w:tcPr>
          <w:p w14:paraId="0F74D8AA" w14:textId="77777777" w:rsidR="00000000" w:rsidRDefault="00A173A8">
            <w:pPr>
              <w:spacing w:after="100"/>
              <w:rPr>
                <w:rFonts w:eastAsia="Times New Roman"/>
                <w:sz w:val="20"/>
                <w:szCs w:val="20"/>
              </w:rPr>
            </w:pPr>
          </w:p>
        </w:tc>
        <w:tc>
          <w:tcPr>
            <w:tcW w:w="1614" w:type="pct"/>
            <w:vAlign w:val="center"/>
            <w:hideMark/>
          </w:tcPr>
          <w:p w14:paraId="10A8B69F" w14:textId="77777777" w:rsidR="00000000" w:rsidRDefault="00A173A8">
            <w:pPr>
              <w:spacing w:after="100"/>
              <w:rPr>
                <w:rFonts w:eastAsia="Times New Roman"/>
                <w:sz w:val="20"/>
                <w:szCs w:val="20"/>
              </w:rPr>
            </w:pPr>
          </w:p>
        </w:tc>
        <w:tc>
          <w:tcPr>
            <w:tcW w:w="5" w:type="pct"/>
            <w:vAlign w:val="center"/>
            <w:hideMark/>
          </w:tcPr>
          <w:p w14:paraId="3372A277" w14:textId="77777777" w:rsidR="00000000" w:rsidRDefault="00A173A8">
            <w:pPr>
              <w:spacing w:after="100"/>
              <w:rPr>
                <w:rFonts w:eastAsia="Times New Roman"/>
                <w:sz w:val="20"/>
                <w:szCs w:val="20"/>
              </w:rPr>
            </w:pPr>
          </w:p>
        </w:tc>
      </w:tr>
      <w:tr w:rsidR="00000000" w14:paraId="7BC18649" w14:textId="77777777">
        <w:trPr>
          <w:divId w:val="1407415934"/>
          <w:trHeight w:val="300"/>
          <w:jc w:val="center"/>
        </w:trPr>
        <w:tc>
          <w:tcPr>
            <w:tcW w:w="0" w:type="auto"/>
            <w:gridSpan w:val="9"/>
            <w:tcMar>
              <w:top w:w="0" w:type="dxa"/>
              <w:left w:w="20" w:type="dxa"/>
              <w:bottom w:w="0" w:type="dxa"/>
              <w:right w:w="20" w:type="dxa"/>
            </w:tcMar>
            <w:vAlign w:val="center"/>
            <w:hideMark/>
          </w:tcPr>
          <w:p w14:paraId="682C04D0" w14:textId="77777777" w:rsidR="00000000" w:rsidRDefault="00A173A8">
            <w:pPr>
              <w:spacing w:after="100"/>
              <w:rPr>
                <w:rFonts w:eastAsia="Times New Roman"/>
                <w:sz w:val="20"/>
                <w:szCs w:val="20"/>
              </w:rPr>
            </w:pPr>
          </w:p>
        </w:tc>
      </w:tr>
      <w:tr w:rsidR="00000000" w14:paraId="5A1E6409" w14:textId="77777777">
        <w:trPr>
          <w:divId w:val="1407415934"/>
          <w:jc w:val="center"/>
        </w:trPr>
        <w:tc>
          <w:tcPr>
            <w:tcW w:w="0" w:type="auto"/>
            <w:gridSpan w:val="3"/>
            <w:tcMar>
              <w:top w:w="0" w:type="dxa"/>
              <w:left w:w="20" w:type="dxa"/>
              <w:bottom w:w="0" w:type="dxa"/>
              <w:right w:w="20" w:type="dxa"/>
            </w:tcMar>
            <w:vAlign w:val="center"/>
            <w:hideMark/>
          </w:tcPr>
          <w:p w14:paraId="4A499FD8"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5860F18" w14:textId="77777777" w:rsidR="00000000" w:rsidRDefault="00A173A8">
            <w:pPr>
              <w:spacing w:after="100"/>
              <w:jc w:val="center"/>
              <w:rPr>
                <w:rFonts w:eastAsia="Times New Roman"/>
              </w:rPr>
            </w:pPr>
            <w:r>
              <w:rPr>
                <w:rFonts w:eastAsia="Times New Roman"/>
                <w:color w:val="000000"/>
                <w:sz w:val="16"/>
                <w:szCs w:val="16"/>
              </w:rPr>
              <w:t>51</w:t>
            </w:r>
          </w:p>
        </w:tc>
        <w:tc>
          <w:tcPr>
            <w:tcW w:w="0" w:type="auto"/>
            <w:gridSpan w:val="3"/>
            <w:tcMar>
              <w:top w:w="30" w:type="dxa"/>
              <w:left w:w="20" w:type="dxa"/>
              <w:bottom w:w="30" w:type="dxa"/>
              <w:right w:w="20" w:type="dxa"/>
            </w:tcMar>
            <w:vAlign w:val="bottom"/>
            <w:hideMark/>
          </w:tcPr>
          <w:p w14:paraId="02FDB53C"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AF091AD" w14:textId="77777777" w:rsidR="00000000" w:rsidRDefault="00A173A8">
      <w:pPr>
        <w:rPr>
          <w:rFonts w:eastAsia="Times New Roman"/>
        </w:rPr>
      </w:pPr>
      <w:r>
        <w:rPr>
          <w:rFonts w:eastAsia="Times New Roman"/>
        </w:rPr>
        <w:pict w14:anchorId="31D0DCF2">
          <v:rect id="_x0000_i1076" style="width:0;height:1.5pt" o:hralign="center" o:hrstd="t" o:hr="t" fillcolor="#a0a0a0" stroked="f"/>
        </w:pict>
      </w:r>
    </w:p>
    <w:p w14:paraId="5A11739C" w14:textId="77777777" w:rsidR="00000000" w:rsidRDefault="00A173A8">
      <w:pPr>
        <w:ind w:hanging="360"/>
        <w:jc w:val="both"/>
        <w:divId w:val="657459548"/>
        <w:rPr>
          <w:rFonts w:eastAsia="Times New Roman"/>
        </w:rPr>
      </w:pPr>
      <w:hyperlink w:anchor="i7ffd5d61af6f4722b1b1b07530d51c06_13" w:history="1">
        <w:r>
          <w:rPr>
            <w:rStyle w:val="a3"/>
            <w:rFonts w:eastAsia="Times New Roman"/>
            <w:sz w:val="16"/>
            <w:szCs w:val="16"/>
          </w:rPr>
          <w:t>Table of Contents</w:t>
        </w:r>
      </w:hyperlink>
    </w:p>
    <w:p w14:paraId="6A8D18BD" w14:textId="77777777" w:rsidR="00000000" w:rsidRDefault="00A173A8">
      <w:pPr>
        <w:divId w:val="472060891"/>
        <w:rPr>
          <w:rFonts w:eastAsia="Times New Roman"/>
        </w:rPr>
      </w:pPr>
      <w:r>
        <w:rPr>
          <w:rFonts w:eastAsia="Times New Roman"/>
          <w:b/>
          <w:bCs/>
          <w:color w:val="000000"/>
          <w:sz w:val="18"/>
          <w:szCs w:val="18"/>
        </w:rPr>
        <w:t>Table 34: Interest Rate Sensitivity Analysis</w:t>
      </w:r>
    </w:p>
    <w:tbl>
      <w:tblPr>
        <w:tblW w:w="5000" w:type="pct"/>
        <w:tblCellMar>
          <w:top w:w="15" w:type="dxa"/>
          <w:left w:w="15" w:type="dxa"/>
          <w:bottom w:w="15" w:type="dxa"/>
          <w:right w:w="15" w:type="dxa"/>
        </w:tblCellMar>
        <w:tblLook w:val="04A0" w:firstRow="1" w:lastRow="0" w:firstColumn="1" w:lastColumn="0" w:noHBand="0" w:noVBand="1"/>
      </w:tblPr>
      <w:tblGrid>
        <w:gridCol w:w="37"/>
        <w:gridCol w:w="5217"/>
        <w:gridCol w:w="36"/>
        <w:gridCol w:w="36"/>
        <w:gridCol w:w="36"/>
        <w:gridCol w:w="36"/>
        <w:gridCol w:w="37"/>
        <w:gridCol w:w="1159"/>
        <w:gridCol w:w="220"/>
        <w:gridCol w:w="36"/>
        <w:gridCol w:w="36"/>
        <w:gridCol w:w="36"/>
        <w:gridCol w:w="54"/>
        <w:gridCol w:w="1143"/>
        <w:gridCol w:w="187"/>
      </w:tblGrid>
      <w:tr w:rsidR="00000000" w14:paraId="5515FC80" w14:textId="77777777">
        <w:trPr>
          <w:divId w:val="2056388954"/>
        </w:trPr>
        <w:tc>
          <w:tcPr>
            <w:tcW w:w="50" w:type="pct"/>
            <w:vAlign w:val="center"/>
            <w:hideMark/>
          </w:tcPr>
          <w:p w14:paraId="41FAE82C" w14:textId="77777777" w:rsidR="00000000" w:rsidRDefault="00A173A8">
            <w:pPr>
              <w:rPr>
                <w:rFonts w:eastAsia="Times New Roman"/>
              </w:rPr>
            </w:pPr>
          </w:p>
        </w:tc>
        <w:tc>
          <w:tcPr>
            <w:tcW w:w="3190" w:type="pct"/>
            <w:vAlign w:val="center"/>
            <w:hideMark/>
          </w:tcPr>
          <w:p w14:paraId="51A9ADD6" w14:textId="77777777" w:rsidR="00000000" w:rsidRDefault="00A173A8">
            <w:pPr>
              <w:spacing w:after="100"/>
              <w:rPr>
                <w:rFonts w:eastAsia="Times New Roman"/>
                <w:sz w:val="20"/>
                <w:szCs w:val="20"/>
              </w:rPr>
            </w:pPr>
          </w:p>
        </w:tc>
        <w:tc>
          <w:tcPr>
            <w:tcW w:w="5" w:type="pct"/>
            <w:vAlign w:val="center"/>
            <w:hideMark/>
          </w:tcPr>
          <w:p w14:paraId="757EBA03" w14:textId="77777777" w:rsidR="00000000" w:rsidRDefault="00A173A8">
            <w:pPr>
              <w:spacing w:after="100"/>
              <w:rPr>
                <w:rFonts w:eastAsia="Times New Roman"/>
                <w:sz w:val="20"/>
                <w:szCs w:val="20"/>
              </w:rPr>
            </w:pPr>
          </w:p>
        </w:tc>
        <w:tc>
          <w:tcPr>
            <w:tcW w:w="5" w:type="pct"/>
            <w:vAlign w:val="center"/>
            <w:hideMark/>
          </w:tcPr>
          <w:p w14:paraId="19B30C0A" w14:textId="77777777" w:rsidR="00000000" w:rsidRDefault="00A173A8">
            <w:pPr>
              <w:spacing w:after="100"/>
              <w:rPr>
                <w:rFonts w:eastAsia="Times New Roman"/>
                <w:sz w:val="20"/>
                <w:szCs w:val="20"/>
              </w:rPr>
            </w:pPr>
          </w:p>
        </w:tc>
        <w:tc>
          <w:tcPr>
            <w:tcW w:w="26" w:type="pct"/>
            <w:vAlign w:val="center"/>
            <w:hideMark/>
          </w:tcPr>
          <w:p w14:paraId="04E1945C" w14:textId="77777777" w:rsidR="00000000" w:rsidRDefault="00A173A8">
            <w:pPr>
              <w:spacing w:after="100"/>
              <w:rPr>
                <w:rFonts w:eastAsia="Times New Roman"/>
                <w:sz w:val="20"/>
                <w:szCs w:val="20"/>
              </w:rPr>
            </w:pPr>
          </w:p>
        </w:tc>
        <w:tc>
          <w:tcPr>
            <w:tcW w:w="5" w:type="pct"/>
            <w:vAlign w:val="center"/>
            <w:hideMark/>
          </w:tcPr>
          <w:p w14:paraId="5D052DCA" w14:textId="77777777" w:rsidR="00000000" w:rsidRDefault="00A173A8">
            <w:pPr>
              <w:spacing w:after="100"/>
              <w:rPr>
                <w:rFonts w:eastAsia="Times New Roman"/>
                <w:sz w:val="20"/>
                <w:szCs w:val="20"/>
              </w:rPr>
            </w:pPr>
          </w:p>
        </w:tc>
        <w:tc>
          <w:tcPr>
            <w:tcW w:w="50" w:type="pct"/>
            <w:vAlign w:val="center"/>
            <w:hideMark/>
          </w:tcPr>
          <w:p w14:paraId="2ABA8A35" w14:textId="77777777" w:rsidR="00000000" w:rsidRDefault="00A173A8">
            <w:pPr>
              <w:spacing w:after="100"/>
              <w:rPr>
                <w:rFonts w:eastAsia="Times New Roman"/>
                <w:sz w:val="20"/>
                <w:szCs w:val="20"/>
              </w:rPr>
            </w:pPr>
          </w:p>
        </w:tc>
        <w:tc>
          <w:tcPr>
            <w:tcW w:w="785" w:type="pct"/>
            <w:vAlign w:val="center"/>
            <w:hideMark/>
          </w:tcPr>
          <w:p w14:paraId="5154D557" w14:textId="77777777" w:rsidR="00000000" w:rsidRDefault="00A173A8">
            <w:pPr>
              <w:spacing w:after="100"/>
              <w:rPr>
                <w:rFonts w:eastAsia="Times New Roman"/>
                <w:sz w:val="20"/>
                <w:szCs w:val="20"/>
              </w:rPr>
            </w:pPr>
          </w:p>
        </w:tc>
        <w:tc>
          <w:tcPr>
            <w:tcW w:w="5" w:type="pct"/>
            <w:vAlign w:val="center"/>
            <w:hideMark/>
          </w:tcPr>
          <w:p w14:paraId="3E894C63" w14:textId="77777777" w:rsidR="00000000" w:rsidRDefault="00A173A8">
            <w:pPr>
              <w:spacing w:after="100"/>
              <w:rPr>
                <w:rFonts w:eastAsia="Times New Roman"/>
                <w:sz w:val="20"/>
                <w:szCs w:val="20"/>
              </w:rPr>
            </w:pPr>
          </w:p>
        </w:tc>
        <w:tc>
          <w:tcPr>
            <w:tcW w:w="5" w:type="pct"/>
            <w:vAlign w:val="center"/>
            <w:hideMark/>
          </w:tcPr>
          <w:p w14:paraId="34444D61" w14:textId="77777777" w:rsidR="00000000" w:rsidRDefault="00A173A8">
            <w:pPr>
              <w:spacing w:after="100"/>
              <w:rPr>
                <w:rFonts w:eastAsia="Times New Roman"/>
                <w:sz w:val="20"/>
                <w:szCs w:val="20"/>
              </w:rPr>
            </w:pPr>
          </w:p>
        </w:tc>
        <w:tc>
          <w:tcPr>
            <w:tcW w:w="26" w:type="pct"/>
            <w:vAlign w:val="center"/>
            <w:hideMark/>
          </w:tcPr>
          <w:p w14:paraId="3B594CCB" w14:textId="77777777" w:rsidR="00000000" w:rsidRDefault="00A173A8">
            <w:pPr>
              <w:spacing w:after="100"/>
              <w:rPr>
                <w:rFonts w:eastAsia="Times New Roman"/>
                <w:sz w:val="20"/>
                <w:szCs w:val="20"/>
              </w:rPr>
            </w:pPr>
          </w:p>
        </w:tc>
        <w:tc>
          <w:tcPr>
            <w:tcW w:w="5" w:type="pct"/>
            <w:vAlign w:val="center"/>
            <w:hideMark/>
          </w:tcPr>
          <w:p w14:paraId="6BE3D751" w14:textId="77777777" w:rsidR="00000000" w:rsidRDefault="00A173A8">
            <w:pPr>
              <w:spacing w:after="100"/>
              <w:rPr>
                <w:rFonts w:eastAsia="Times New Roman"/>
                <w:sz w:val="20"/>
                <w:szCs w:val="20"/>
              </w:rPr>
            </w:pPr>
          </w:p>
        </w:tc>
        <w:tc>
          <w:tcPr>
            <w:tcW w:w="50" w:type="pct"/>
            <w:vAlign w:val="center"/>
            <w:hideMark/>
          </w:tcPr>
          <w:p w14:paraId="1EC83AE2" w14:textId="77777777" w:rsidR="00000000" w:rsidRDefault="00A173A8">
            <w:pPr>
              <w:spacing w:after="100"/>
              <w:rPr>
                <w:rFonts w:eastAsia="Times New Roman"/>
                <w:sz w:val="20"/>
                <w:szCs w:val="20"/>
              </w:rPr>
            </w:pPr>
          </w:p>
        </w:tc>
        <w:tc>
          <w:tcPr>
            <w:tcW w:w="785" w:type="pct"/>
            <w:vAlign w:val="center"/>
            <w:hideMark/>
          </w:tcPr>
          <w:p w14:paraId="0287BEB5" w14:textId="77777777" w:rsidR="00000000" w:rsidRDefault="00A173A8">
            <w:pPr>
              <w:spacing w:after="100"/>
              <w:rPr>
                <w:rFonts w:eastAsia="Times New Roman"/>
                <w:sz w:val="20"/>
                <w:szCs w:val="20"/>
              </w:rPr>
            </w:pPr>
          </w:p>
        </w:tc>
        <w:tc>
          <w:tcPr>
            <w:tcW w:w="5" w:type="pct"/>
            <w:vAlign w:val="center"/>
            <w:hideMark/>
          </w:tcPr>
          <w:p w14:paraId="2CABC79F" w14:textId="77777777" w:rsidR="00000000" w:rsidRDefault="00A173A8">
            <w:pPr>
              <w:spacing w:after="100"/>
              <w:rPr>
                <w:rFonts w:eastAsia="Times New Roman"/>
                <w:sz w:val="20"/>
                <w:szCs w:val="20"/>
              </w:rPr>
            </w:pPr>
          </w:p>
        </w:tc>
      </w:tr>
      <w:tr w:rsidR="00000000" w14:paraId="07D0B399" w14:textId="77777777">
        <w:trPr>
          <w:divId w:val="2056388954"/>
        </w:trPr>
        <w:tc>
          <w:tcPr>
            <w:tcW w:w="0" w:type="auto"/>
            <w:gridSpan w:val="3"/>
            <w:tcBorders>
              <w:bottom w:val="single" w:sz="8" w:space="0" w:color="000000"/>
            </w:tcBorders>
            <w:tcMar>
              <w:top w:w="0" w:type="dxa"/>
              <w:left w:w="20" w:type="dxa"/>
              <w:bottom w:w="0" w:type="dxa"/>
              <w:right w:w="20" w:type="dxa"/>
            </w:tcMar>
            <w:vAlign w:val="center"/>
            <w:hideMark/>
          </w:tcPr>
          <w:p w14:paraId="47848DE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446A66" w14:textId="77777777" w:rsidR="00000000" w:rsidRDefault="00A173A8">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14:paraId="32B2AD96"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0BBA27DD"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14:paraId="7F9810FD"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0609180D" w14:textId="77777777">
        <w:trPr>
          <w:divId w:val="205638895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C86A775" w14:textId="77777777" w:rsidR="00000000" w:rsidRDefault="00A173A8">
            <w:pPr>
              <w:spacing w:after="100"/>
              <w:rPr>
                <w:rFonts w:eastAsia="Times New Roman"/>
              </w:rPr>
            </w:pPr>
            <w:r>
              <w:rPr>
                <w:rFonts w:eastAsia="Times New Roman"/>
                <w:color w:val="000000"/>
                <w:sz w:val="20"/>
                <w:szCs w:val="20"/>
              </w:rPr>
              <w:t>Estimated impact on projected baseline net interest income:</w:t>
            </w:r>
          </w:p>
        </w:tc>
        <w:tc>
          <w:tcPr>
            <w:tcW w:w="0" w:type="auto"/>
            <w:gridSpan w:val="3"/>
            <w:shd w:val="clear" w:color="auto" w:fill="CCEEFF"/>
            <w:tcMar>
              <w:top w:w="0" w:type="dxa"/>
              <w:left w:w="20" w:type="dxa"/>
              <w:bottom w:w="0" w:type="dxa"/>
              <w:right w:w="20" w:type="dxa"/>
            </w:tcMar>
            <w:vAlign w:val="center"/>
            <w:hideMark/>
          </w:tcPr>
          <w:p w14:paraId="04D31A29"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9F44A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1A7A0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C7A4C7" w14:textId="77777777" w:rsidR="00000000" w:rsidRDefault="00A173A8">
            <w:pPr>
              <w:spacing w:after="100"/>
              <w:rPr>
                <w:rFonts w:eastAsia="Times New Roman"/>
                <w:sz w:val="20"/>
                <w:szCs w:val="20"/>
              </w:rPr>
            </w:pPr>
          </w:p>
        </w:tc>
      </w:tr>
      <w:tr w:rsidR="00000000" w14:paraId="39448E2D" w14:textId="77777777">
        <w:trPr>
          <w:divId w:val="2056388954"/>
        </w:trPr>
        <w:tc>
          <w:tcPr>
            <w:tcW w:w="0" w:type="auto"/>
            <w:gridSpan w:val="3"/>
            <w:shd w:val="clear" w:color="auto" w:fill="FFFFFF"/>
            <w:tcMar>
              <w:top w:w="30" w:type="dxa"/>
              <w:left w:w="245" w:type="dxa"/>
              <w:bottom w:w="30" w:type="dxa"/>
              <w:right w:w="20" w:type="dxa"/>
            </w:tcMar>
            <w:vAlign w:val="center"/>
            <w:hideMark/>
          </w:tcPr>
          <w:p w14:paraId="25EC4F37" w14:textId="77777777" w:rsidR="00000000" w:rsidRDefault="00A173A8">
            <w:pPr>
              <w:spacing w:after="100"/>
              <w:rPr>
                <w:rFonts w:eastAsia="Times New Roman"/>
              </w:rPr>
            </w:pPr>
            <w:r>
              <w:rPr>
                <w:rFonts w:eastAsia="Times New Roman"/>
                <w:color w:val="000000"/>
                <w:sz w:val="20"/>
                <w:szCs w:val="20"/>
              </w:rPr>
              <w:t>+200 basis points</w:t>
            </w:r>
          </w:p>
        </w:tc>
        <w:tc>
          <w:tcPr>
            <w:tcW w:w="0" w:type="auto"/>
            <w:gridSpan w:val="3"/>
            <w:shd w:val="clear" w:color="auto" w:fill="FFFFFF"/>
            <w:tcMar>
              <w:top w:w="0" w:type="dxa"/>
              <w:left w:w="20" w:type="dxa"/>
              <w:bottom w:w="0" w:type="dxa"/>
              <w:right w:w="20" w:type="dxa"/>
            </w:tcMar>
            <w:vAlign w:val="center"/>
            <w:hideMark/>
          </w:tcPr>
          <w:p w14:paraId="75A7C18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FB97DED" w14:textId="77777777" w:rsidR="00000000" w:rsidRDefault="00A173A8">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A20CFC7" w14:textId="77777777" w:rsidR="00000000" w:rsidRDefault="00A173A8">
            <w:pPr>
              <w:spacing w:after="100"/>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7CFE79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DF4BE69" w14:textId="77777777" w:rsidR="00000000" w:rsidRDefault="00A173A8">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center"/>
            <w:hideMark/>
          </w:tcPr>
          <w:p w14:paraId="21399637" w14:textId="77777777" w:rsidR="00000000" w:rsidRDefault="00A173A8">
            <w:pPr>
              <w:spacing w:after="100"/>
              <w:rPr>
                <w:rFonts w:eastAsia="Times New Roman"/>
              </w:rPr>
            </w:pPr>
            <w:r>
              <w:rPr>
                <w:rFonts w:eastAsia="Times New Roman"/>
                <w:color w:val="000000"/>
                <w:sz w:val="20"/>
                <w:szCs w:val="20"/>
              </w:rPr>
              <w:t>%</w:t>
            </w:r>
          </w:p>
        </w:tc>
      </w:tr>
      <w:tr w:rsidR="00000000" w14:paraId="1F949E1E" w14:textId="77777777">
        <w:trPr>
          <w:divId w:val="2056388954"/>
        </w:trPr>
        <w:tc>
          <w:tcPr>
            <w:tcW w:w="0" w:type="auto"/>
            <w:gridSpan w:val="3"/>
            <w:shd w:val="clear" w:color="auto" w:fill="CCEEFF"/>
            <w:tcMar>
              <w:top w:w="30" w:type="dxa"/>
              <w:left w:w="245" w:type="dxa"/>
              <w:bottom w:w="30" w:type="dxa"/>
              <w:right w:w="20" w:type="dxa"/>
            </w:tcMar>
            <w:vAlign w:val="center"/>
            <w:hideMark/>
          </w:tcPr>
          <w:p w14:paraId="160F3828" w14:textId="77777777" w:rsidR="00000000" w:rsidRDefault="00A173A8">
            <w:pPr>
              <w:spacing w:after="100"/>
              <w:rPr>
                <w:rFonts w:eastAsia="Times New Roman"/>
              </w:rPr>
            </w:pPr>
            <w:r>
              <w:rPr>
                <w:rFonts w:eastAsia="Times New Roman"/>
                <w:color w:val="000000"/>
                <w:sz w:val="20"/>
                <w:szCs w:val="20"/>
              </w:rPr>
              <w:t>+100 basis points</w:t>
            </w:r>
          </w:p>
        </w:tc>
        <w:tc>
          <w:tcPr>
            <w:tcW w:w="0" w:type="auto"/>
            <w:gridSpan w:val="3"/>
            <w:shd w:val="clear" w:color="auto" w:fill="CCEEFF"/>
            <w:tcMar>
              <w:top w:w="0" w:type="dxa"/>
              <w:left w:w="20" w:type="dxa"/>
              <w:bottom w:w="0" w:type="dxa"/>
              <w:right w:w="20" w:type="dxa"/>
            </w:tcMar>
            <w:vAlign w:val="center"/>
            <w:hideMark/>
          </w:tcPr>
          <w:p w14:paraId="60EA07E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D3E4406" w14:textId="77777777" w:rsidR="00000000" w:rsidRDefault="00A173A8">
            <w:pPr>
              <w:spacing w:after="100"/>
              <w:jc w:val="right"/>
              <w:rPr>
                <w:rFonts w:eastAsia="Times New Roman"/>
              </w:rPr>
            </w:pPr>
            <w:r>
              <w:rPr>
                <w:rFonts w:eastAsia="Times New Roman"/>
                <w:b/>
                <w:bCs/>
                <w:color w:val="000000"/>
                <w:sz w:val="20"/>
                <w:szCs w:val="20"/>
              </w:rPr>
              <w:t>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28C44D8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E37F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115BA00" w14:textId="77777777" w:rsidR="00000000" w:rsidRDefault="00A173A8">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center"/>
            <w:hideMark/>
          </w:tcPr>
          <w:p w14:paraId="598D5F7A" w14:textId="77777777" w:rsidR="00000000" w:rsidRDefault="00A173A8">
            <w:pPr>
              <w:spacing w:after="100"/>
              <w:jc w:val="right"/>
              <w:rPr>
                <w:rFonts w:eastAsia="Times New Roman"/>
              </w:rPr>
            </w:pPr>
          </w:p>
        </w:tc>
      </w:tr>
      <w:tr w:rsidR="00000000" w14:paraId="29522A6B" w14:textId="77777777">
        <w:trPr>
          <w:divId w:val="2056388954"/>
        </w:trPr>
        <w:tc>
          <w:tcPr>
            <w:tcW w:w="0" w:type="auto"/>
            <w:gridSpan w:val="3"/>
            <w:shd w:val="clear" w:color="auto" w:fill="FFFFFF"/>
            <w:tcMar>
              <w:top w:w="30" w:type="dxa"/>
              <w:left w:w="245" w:type="dxa"/>
              <w:bottom w:w="30" w:type="dxa"/>
              <w:right w:w="20" w:type="dxa"/>
            </w:tcMar>
            <w:vAlign w:val="center"/>
            <w:hideMark/>
          </w:tcPr>
          <w:p w14:paraId="2382B3BA" w14:textId="77777777" w:rsidR="00000000" w:rsidRDefault="00A173A8">
            <w:pPr>
              <w:spacing w:after="100"/>
              <w:rPr>
                <w:rFonts w:eastAsia="Times New Roman"/>
              </w:rPr>
            </w:pPr>
            <w:r>
              <w:rPr>
                <w:rFonts w:eastAsia="Times New Roman"/>
                <w:color w:val="000000"/>
                <w:sz w:val="20"/>
                <w:szCs w:val="20"/>
              </w:rPr>
              <w:t>+50 basis points</w:t>
            </w:r>
          </w:p>
        </w:tc>
        <w:tc>
          <w:tcPr>
            <w:tcW w:w="0" w:type="auto"/>
            <w:gridSpan w:val="3"/>
            <w:shd w:val="clear" w:color="auto" w:fill="FFFFFF"/>
            <w:tcMar>
              <w:top w:w="0" w:type="dxa"/>
              <w:left w:w="20" w:type="dxa"/>
              <w:bottom w:w="0" w:type="dxa"/>
              <w:right w:w="20" w:type="dxa"/>
            </w:tcMar>
            <w:vAlign w:val="center"/>
            <w:hideMark/>
          </w:tcPr>
          <w:p w14:paraId="68359D5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BE20A57" w14:textId="77777777" w:rsidR="00000000" w:rsidRDefault="00A173A8">
            <w:pPr>
              <w:spacing w:after="100"/>
              <w:jc w:val="right"/>
              <w:rPr>
                <w:rFonts w:eastAsia="Times New Roman"/>
              </w:rPr>
            </w:pPr>
            <w:r>
              <w:rPr>
                <w:rFonts w:eastAsia="Times New Roman"/>
                <w:b/>
                <w:bCs/>
                <w:color w:val="000000"/>
                <w:sz w:val="20"/>
                <w:szCs w:val="20"/>
              </w:rPr>
              <w:t>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9B38F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466D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39CA9A" w14:textId="77777777" w:rsidR="00000000" w:rsidRDefault="00A173A8">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center"/>
            <w:hideMark/>
          </w:tcPr>
          <w:p w14:paraId="541E4BE3" w14:textId="77777777" w:rsidR="00000000" w:rsidRDefault="00A173A8">
            <w:pPr>
              <w:spacing w:after="100"/>
              <w:jc w:val="right"/>
              <w:rPr>
                <w:rFonts w:eastAsia="Times New Roman"/>
              </w:rPr>
            </w:pPr>
          </w:p>
        </w:tc>
      </w:tr>
      <w:tr w:rsidR="00000000" w14:paraId="7D08192C" w14:textId="77777777">
        <w:trPr>
          <w:divId w:val="2056388954"/>
        </w:trPr>
        <w:tc>
          <w:tcPr>
            <w:tcW w:w="0" w:type="auto"/>
            <w:gridSpan w:val="3"/>
            <w:shd w:val="clear" w:color="auto" w:fill="CCEEFF"/>
            <w:tcMar>
              <w:top w:w="30" w:type="dxa"/>
              <w:left w:w="245" w:type="dxa"/>
              <w:bottom w:w="30" w:type="dxa"/>
              <w:right w:w="20" w:type="dxa"/>
            </w:tcMar>
            <w:vAlign w:val="center"/>
            <w:hideMark/>
          </w:tcPr>
          <w:p w14:paraId="50321460" w14:textId="77777777" w:rsidR="00000000" w:rsidRDefault="00A173A8">
            <w:pPr>
              <w:spacing w:after="100"/>
              <w:rPr>
                <w:rFonts w:eastAsia="Times New Roman"/>
              </w:rPr>
            </w:pPr>
            <w:r>
              <w:rPr>
                <w:rFonts w:eastAsia="Times New Roman"/>
                <w:color w:val="000000"/>
                <w:sz w:val="20"/>
                <w:szCs w:val="20"/>
              </w:rPr>
              <w:t>–50 basis points</w:t>
            </w:r>
          </w:p>
        </w:tc>
        <w:tc>
          <w:tcPr>
            <w:tcW w:w="0" w:type="auto"/>
            <w:gridSpan w:val="3"/>
            <w:shd w:val="clear" w:color="auto" w:fill="CCEEFF"/>
            <w:tcMar>
              <w:top w:w="0" w:type="dxa"/>
              <w:left w:w="20" w:type="dxa"/>
              <w:bottom w:w="0" w:type="dxa"/>
              <w:right w:w="20" w:type="dxa"/>
            </w:tcMar>
            <w:vAlign w:val="center"/>
            <w:hideMark/>
          </w:tcPr>
          <w:p w14:paraId="2C4487F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C21919B" w14:textId="77777777" w:rsidR="00000000" w:rsidRDefault="00A173A8">
            <w:pPr>
              <w:spacing w:after="100"/>
              <w:jc w:val="right"/>
              <w:rPr>
                <w:rFonts w:eastAsia="Times New Roman"/>
              </w:rPr>
            </w:pPr>
            <w:r>
              <w:rPr>
                <w:rFonts w:eastAsia="Times New Roman"/>
                <w:b/>
                <w:bCs/>
                <w:color w:val="000000"/>
                <w:sz w:val="20"/>
                <w:szCs w:val="20"/>
              </w:rPr>
              <w:t>(0.4)</w:t>
            </w:r>
          </w:p>
        </w:tc>
        <w:tc>
          <w:tcPr>
            <w:tcW w:w="0" w:type="auto"/>
            <w:shd w:val="clear" w:color="auto" w:fill="CCEEFF"/>
            <w:tcMar>
              <w:top w:w="30" w:type="dxa"/>
              <w:left w:w="0" w:type="dxa"/>
              <w:bottom w:w="30" w:type="dxa"/>
              <w:right w:w="20" w:type="dxa"/>
            </w:tcMar>
            <w:vAlign w:val="center"/>
            <w:hideMark/>
          </w:tcPr>
          <w:p w14:paraId="0EDBD6F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21AD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5C9FE4" w14:textId="77777777" w:rsidR="00000000" w:rsidRDefault="00A173A8">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center"/>
            <w:hideMark/>
          </w:tcPr>
          <w:p w14:paraId="096EDC5A" w14:textId="77777777" w:rsidR="00000000" w:rsidRDefault="00A173A8">
            <w:pPr>
              <w:spacing w:after="100"/>
              <w:jc w:val="right"/>
              <w:rPr>
                <w:rFonts w:eastAsia="Times New Roman"/>
              </w:rPr>
            </w:pPr>
          </w:p>
        </w:tc>
      </w:tr>
      <w:tr w:rsidR="00000000" w14:paraId="14A591E8" w14:textId="77777777">
        <w:trPr>
          <w:divId w:val="2056388954"/>
        </w:trPr>
        <w:tc>
          <w:tcPr>
            <w:tcW w:w="0" w:type="auto"/>
            <w:gridSpan w:val="3"/>
            <w:shd w:val="clear" w:color="auto" w:fill="FFFFFF"/>
            <w:tcMar>
              <w:top w:w="30" w:type="dxa"/>
              <w:left w:w="245" w:type="dxa"/>
              <w:bottom w:w="30" w:type="dxa"/>
              <w:right w:w="20" w:type="dxa"/>
            </w:tcMar>
            <w:vAlign w:val="center"/>
            <w:hideMark/>
          </w:tcPr>
          <w:p w14:paraId="3ABA9AD4" w14:textId="77777777" w:rsidR="00000000" w:rsidRDefault="00A173A8">
            <w:pPr>
              <w:spacing w:after="100"/>
              <w:rPr>
                <w:rFonts w:eastAsia="Times New Roman"/>
              </w:rPr>
            </w:pPr>
            <w:r>
              <w:rPr>
                <w:rFonts w:eastAsia="Times New Roman"/>
                <w:color w:val="000000"/>
                <w:sz w:val="20"/>
                <w:szCs w:val="20"/>
              </w:rPr>
              <w:t>–</w:t>
            </w:r>
            <w:r>
              <w:rPr>
                <w:rFonts w:eastAsia="Times New Roman"/>
                <w:color w:val="000000"/>
                <w:sz w:val="20"/>
                <w:szCs w:val="20"/>
              </w:rPr>
              <w:t>100 basis points</w:t>
            </w:r>
          </w:p>
        </w:tc>
        <w:tc>
          <w:tcPr>
            <w:tcW w:w="0" w:type="auto"/>
            <w:gridSpan w:val="3"/>
            <w:shd w:val="clear" w:color="auto" w:fill="FFFFFF"/>
            <w:tcMar>
              <w:top w:w="0" w:type="dxa"/>
              <w:left w:w="20" w:type="dxa"/>
              <w:bottom w:w="0" w:type="dxa"/>
              <w:right w:w="20" w:type="dxa"/>
            </w:tcMar>
            <w:vAlign w:val="center"/>
            <w:hideMark/>
          </w:tcPr>
          <w:p w14:paraId="23D29BF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B56017" w14:textId="77777777" w:rsidR="00000000" w:rsidRDefault="00A173A8">
            <w:pPr>
              <w:spacing w:after="100"/>
              <w:jc w:val="right"/>
              <w:rPr>
                <w:rFonts w:eastAsia="Times New Roman"/>
              </w:rPr>
            </w:pPr>
            <w:r>
              <w:rPr>
                <w:rFonts w:eastAsia="Times New Roman"/>
                <w:b/>
                <w:bCs/>
                <w:color w:val="000000"/>
                <w:sz w:val="20"/>
                <w:szCs w:val="20"/>
              </w:rPr>
              <w:t>(0.7)</w:t>
            </w:r>
          </w:p>
        </w:tc>
        <w:tc>
          <w:tcPr>
            <w:tcW w:w="0" w:type="auto"/>
            <w:shd w:val="clear" w:color="auto" w:fill="FFFFFF"/>
            <w:tcMar>
              <w:top w:w="30" w:type="dxa"/>
              <w:left w:w="0" w:type="dxa"/>
              <w:bottom w:w="30" w:type="dxa"/>
              <w:right w:w="20" w:type="dxa"/>
            </w:tcMar>
            <w:vAlign w:val="center"/>
            <w:hideMark/>
          </w:tcPr>
          <w:p w14:paraId="06342FA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485E4"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7D613119" w14:textId="77777777" w:rsidR="00000000" w:rsidRDefault="00A173A8">
            <w:pPr>
              <w:spacing w:after="100"/>
              <w:jc w:val="right"/>
              <w:rPr>
                <w:rFonts w:eastAsia="Times New Roman"/>
              </w:rPr>
            </w:pPr>
            <w:r>
              <w:rPr>
                <w:rFonts w:eastAsia="Times New Roman"/>
                <w:color w:val="000000"/>
                <w:sz w:val="20"/>
                <w:szCs w:val="20"/>
              </w:rPr>
              <w:t>N/A</w:t>
            </w:r>
          </w:p>
        </w:tc>
      </w:tr>
      <w:tr w:rsidR="00000000" w14:paraId="5FC6DCC5" w14:textId="77777777">
        <w:trPr>
          <w:divId w:val="2056388954"/>
        </w:trPr>
        <w:tc>
          <w:tcPr>
            <w:tcW w:w="0" w:type="auto"/>
            <w:gridSpan w:val="3"/>
            <w:shd w:val="clear" w:color="auto" w:fill="CCEEFF"/>
            <w:tcMar>
              <w:top w:w="30" w:type="dxa"/>
              <w:left w:w="20" w:type="dxa"/>
              <w:bottom w:w="30" w:type="dxa"/>
              <w:right w:w="20" w:type="dxa"/>
            </w:tcMar>
            <w:vAlign w:val="center"/>
            <w:hideMark/>
          </w:tcPr>
          <w:p w14:paraId="2EDB34A5" w14:textId="77777777" w:rsidR="00000000" w:rsidRDefault="00A173A8">
            <w:pPr>
              <w:spacing w:after="100"/>
              <w:rPr>
                <w:rFonts w:eastAsia="Times New Roman"/>
              </w:rPr>
            </w:pPr>
            <w:r>
              <w:rPr>
                <w:rFonts w:eastAsia="Times New Roman"/>
                <w:color w:val="000000"/>
                <w:sz w:val="20"/>
                <w:szCs w:val="20"/>
              </w:rPr>
              <w:t>Estimated impact on economic value of equity:</w:t>
            </w:r>
          </w:p>
        </w:tc>
        <w:tc>
          <w:tcPr>
            <w:tcW w:w="0" w:type="auto"/>
            <w:gridSpan w:val="3"/>
            <w:shd w:val="clear" w:color="auto" w:fill="CCEEFF"/>
            <w:tcMar>
              <w:top w:w="0" w:type="dxa"/>
              <w:left w:w="20" w:type="dxa"/>
              <w:bottom w:w="0" w:type="dxa"/>
              <w:right w:w="20" w:type="dxa"/>
            </w:tcMar>
            <w:vAlign w:val="center"/>
            <w:hideMark/>
          </w:tcPr>
          <w:p w14:paraId="2A7F5CBC"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5540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44EE6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79B94F" w14:textId="77777777" w:rsidR="00000000" w:rsidRDefault="00A173A8">
            <w:pPr>
              <w:spacing w:after="100"/>
              <w:rPr>
                <w:rFonts w:eastAsia="Times New Roman"/>
                <w:sz w:val="20"/>
                <w:szCs w:val="20"/>
              </w:rPr>
            </w:pPr>
          </w:p>
        </w:tc>
      </w:tr>
      <w:tr w:rsidR="00000000" w14:paraId="62F3613C" w14:textId="77777777">
        <w:trPr>
          <w:divId w:val="2056388954"/>
        </w:trPr>
        <w:tc>
          <w:tcPr>
            <w:tcW w:w="0" w:type="auto"/>
            <w:gridSpan w:val="3"/>
            <w:shd w:val="clear" w:color="auto" w:fill="FFFFFF"/>
            <w:tcMar>
              <w:top w:w="30" w:type="dxa"/>
              <w:left w:w="245" w:type="dxa"/>
              <w:bottom w:w="30" w:type="dxa"/>
              <w:right w:w="20" w:type="dxa"/>
            </w:tcMar>
            <w:vAlign w:val="center"/>
            <w:hideMark/>
          </w:tcPr>
          <w:p w14:paraId="6B105FEF" w14:textId="77777777" w:rsidR="00000000" w:rsidRDefault="00A173A8">
            <w:pPr>
              <w:spacing w:after="100"/>
              <w:rPr>
                <w:rFonts w:eastAsia="Times New Roman"/>
              </w:rPr>
            </w:pPr>
            <w:r>
              <w:rPr>
                <w:rFonts w:eastAsia="Times New Roman"/>
                <w:color w:val="000000"/>
                <w:sz w:val="20"/>
                <w:szCs w:val="20"/>
              </w:rPr>
              <w:t>+200 basis points</w:t>
            </w:r>
          </w:p>
        </w:tc>
        <w:tc>
          <w:tcPr>
            <w:tcW w:w="0" w:type="auto"/>
            <w:gridSpan w:val="3"/>
            <w:shd w:val="clear" w:color="auto" w:fill="FFFFFF"/>
            <w:tcMar>
              <w:top w:w="0" w:type="dxa"/>
              <w:left w:w="20" w:type="dxa"/>
              <w:bottom w:w="0" w:type="dxa"/>
              <w:right w:w="20" w:type="dxa"/>
            </w:tcMar>
            <w:vAlign w:val="center"/>
            <w:hideMark/>
          </w:tcPr>
          <w:p w14:paraId="6E3D4304"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F40DF92" w14:textId="77777777" w:rsidR="00000000" w:rsidRDefault="00A173A8">
            <w:pPr>
              <w:spacing w:after="100"/>
              <w:jc w:val="right"/>
              <w:rPr>
                <w:rFonts w:eastAsia="Times New Roman"/>
              </w:rPr>
            </w:pPr>
            <w:r>
              <w:rPr>
                <w:rFonts w:eastAsia="Times New Roman"/>
                <w:b/>
                <w:bCs/>
                <w:color w:val="000000"/>
                <w:sz w:val="20"/>
                <w:szCs w:val="20"/>
              </w:rPr>
              <w:t>(5.0)</w:t>
            </w:r>
          </w:p>
        </w:tc>
        <w:tc>
          <w:tcPr>
            <w:tcW w:w="0" w:type="auto"/>
            <w:shd w:val="clear" w:color="auto" w:fill="FFFFFF"/>
            <w:tcMar>
              <w:top w:w="30" w:type="dxa"/>
              <w:left w:w="0" w:type="dxa"/>
              <w:bottom w:w="30" w:type="dxa"/>
              <w:right w:w="20" w:type="dxa"/>
            </w:tcMar>
            <w:vAlign w:val="center"/>
            <w:hideMark/>
          </w:tcPr>
          <w:p w14:paraId="36CDCC4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2199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3C2A8C" w14:textId="77777777" w:rsidR="00000000" w:rsidRDefault="00A173A8">
            <w:pPr>
              <w:spacing w:after="100"/>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center"/>
            <w:hideMark/>
          </w:tcPr>
          <w:p w14:paraId="2A38DFED" w14:textId="77777777" w:rsidR="00000000" w:rsidRDefault="00A173A8">
            <w:pPr>
              <w:spacing w:after="100"/>
              <w:jc w:val="right"/>
              <w:rPr>
                <w:rFonts w:eastAsia="Times New Roman"/>
              </w:rPr>
            </w:pPr>
          </w:p>
        </w:tc>
      </w:tr>
      <w:tr w:rsidR="00000000" w14:paraId="27C8D28E" w14:textId="77777777">
        <w:trPr>
          <w:divId w:val="2056388954"/>
        </w:trPr>
        <w:tc>
          <w:tcPr>
            <w:tcW w:w="0" w:type="auto"/>
            <w:gridSpan w:val="3"/>
            <w:shd w:val="clear" w:color="auto" w:fill="CCEEFF"/>
            <w:tcMar>
              <w:top w:w="30" w:type="dxa"/>
              <w:left w:w="245" w:type="dxa"/>
              <w:bottom w:w="30" w:type="dxa"/>
              <w:right w:w="20" w:type="dxa"/>
            </w:tcMar>
            <w:vAlign w:val="center"/>
            <w:hideMark/>
          </w:tcPr>
          <w:p w14:paraId="2DE62858" w14:textId="77777777" w:rsidR="00000000" w:rsidRDefault="00A173A8">
            <w:pPr>
              <w:spacing w:after="100"/>
              <w:rPr>
                <w:rFonts w:eastAsia="Times New Roman"/>
              </w:rPr>
            </w:pPr>
            <w:r>
              <w:rPr>
                <w:rFonts w:eastAsia="Times New Roman"/>
                <w:color w:val="000000"/>
                <w:sz w:val="20"/>
                <w:szCs w:val="20"/>
              </w:rPr>
              <w:t>+100 basis points</w:t>
            </w:r>
          </w:p>
        </w:tc>
        <w:tc>
          <w:tcPr>
            <w:tcW w:w="0" w:type="auto"/>
            <w:gridSpan w:val="3"/>
            <w:shd w:val="clear" w:color="auto" w:fill="CCEEFF"/>
            <w:tcMar>
              <w:top w:w="0" w:type="dxa"/>
              <w:left w:w="20" w:type="dxa"/>
              <w:bottom w:w="0" w:type="dxa"/>
              <w:right w:w="20" w:type="dxa"/>
            </w:tcMar>
            <w:vAlign w:val="center"/>
            <w:hideMark/>
          </w:tcPr>
          <w:p w14:paraId="71A680D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BAAE11A" w14:textId="77777777" w:rsidR="00000000" w:rsidRDefault="00A173A8">
            <w:pPr>
              <w:spacing w:after="100"/>
              <w:jc w:val="right"/>
              <w:rPr>
                <w:rFonts w:eastAsia="Times New Roman"/>
              </w:rPr>
            </w:pPr>
            <w:r>
              <w:rPr>
                <w:rFonts w:eastAsia="Times New Roman"/>
                <w:b/>
                <w:bCs/>
                <w:color w:val="000000"/>
                <w:sz w:val="20"/>
                <w:szCs w:val="20"/>
              </w:rPr>
              <w:t>(0.9)</w:t>
            </w:r>
          </w:p>
        </w:tc>
        <w:tc>
          <w:tcPr>
            <w:tcW w:w="0" w:type="auto"/>
            <w:shd w:val="clear" w:color="auto" w:fill="CCEEFF"/>
            <w:tcMar>
              <w:top w:w="30" w:type="dxa"/>
              <w:left w:w="0" w:type="dxa"/>
              <w:bottom w:w="30" w:type="dxa"/>
              <w:right w:w="20" w:type="dxa"/>
            </w:tcMar>
            <w:vAlign w:val="center"/>
            <w:hideMark/>
          </w:tcPr>
          <w:p w14:paraId="058A601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5FED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5D804E" w14:textId="77777777" w:rsidR="00000000" w:rsidRDefault="00A173A8">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center"/>
            <w:hideMark/>
          </w:tcPr>
          <w:p w14:paraId="270FE4CA" w14:textId="77777777" w:rsidR="00000000" w:rsidRDefault="00A173A8">
            <w:pPr>
              <w:spacing w:after="100"/>
              <w:jc w:val="right"/>
              <w:rPr>
                <w:rFonts w:eastAsia="Times New Roman"/>
              </w:rPr>
            </w:pPr>
          </w:p>
        </w:tc>
      </w:tr>
      <w:tr w:rsidR="00000000" w14:paraId="783D736A" w14:textId="77777777">
        <w:trPr>
          <w:divId w:val="2056388954"/>
        </w:trPr>
        <w:tc>
          <w:tcPr>
            <w:tcW w:w="0" w:type="auto"/>
            <w:gridSpan w:val="3"/>
            <w:shd w:val="clear" w:color="auto" w:fill="FFFFFF"/>
            <w:tcMar>
              <w:top w:w="30" w:type="dxa"/>
              <w:left w:w="245" w:type="dxa"/>
              <w:bottom w:w="30" w:type="dxa"/>
              <w:right w:w="20" w:type="dxa"/>
            </w:tcMar>
            <w:vAlign w:val="center"/>
            <w:hideMark/>
          </w:tcPr>
          <w:p w14:paraId="5E425BC3" w14:textId="77777777" w:rsidR="00000000" w:rsidRDefault="00A173A8">
            <w:pPr>
              <w:spacing w:after="100"/>
              <w:rPr>
                <w:rFonts w:eastAsia="Times New Roman"/>
              </w:rPr>
            </w:pPr>
            <w:r>
              <w:rPr>
                <w:rFonts w:eastAsia="Times New Roman"/>
                <w:color w:val="000000"/>
                <w:sz w:val="20"/>
                <w:szCs w:val="20"/>
              </w:rPr>
              <w:t>+50 basis points</w:t>
            </w:r>
          </w:p>
        </w:tc>
        <w:tc>
          <w:tcPr>
            <w:tcW w:w="0" w:type="auto"/>
            <w:gridSpan w:val="3"/>
            <w:shd w:val="clear" w:color="auto" w:fill="FFFFFF"/>
            <w:tcMar>
              <w:top w:w="0" w:type="dxa"/>
              <w:left w:w="20" w:type="dxa"/>
              <w:bottom w:w="0" w:type="dxa"/>
              <w:right w:w="20" w:type="dxa"/>
            </w:tcMar>
            <w:vAlign w:val="center"/>
            <w:hideMark/>
          </w:tcPr>
          <w:p w14:paraId="32C7414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120EB4F" w14:textId="77777777" w:rsidR="00000000" w:rsidRDefault="00A173A8">
            <w:pPr>
              <w:spacing w:after="100"/>
              <w:jc w:val="right"/>
              <w:rPr>
                <w:rFonts w:eastAsia="Times New Roman"/>
              </w:rPr>
            </w:pPr>
            <w:r>
              <w:rPr>
                <w:rFonts w:eastAsia="Times New Roman"/>
                <w:b/>
                <w:bCs/>
                <w:color w:val="000000"/>
                <w:sz w:val="20"/>
                <w:szCs w:val="20"/>
              </w:rPr>
              <w:t>(0.3)</w:t>
            </w:r>
          </w:p>
        </w:tc>
        <w:tc>
          <w:tcPr>
            <w:tcW w:w="0" w:type="auto"/>
            <w:shd w:val="clear" w:color="auto" w:fill="FFFFFF"/>
            <w:tcMar>
              <w:top w:w="30" w:type="dxa"/>
              <w:left w:w="0" w:type="dxa"/>
              <w:bottom w:w="30" w:type="dxa"/>
              <w:right w:w="20" w:type="dxa"/>
            </w:tcMar>
            <w:vAlign w:val="center"/>
            <w:hideMark/>
          </w:tcPr>
          <w:p w14:paraId="06F0025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7099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56D577" w14:textId="77777777" w:rsidR="00000000" w:rsidRDefault="00A173A8">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center"/>
            <w:hideMark/>
          </w:tcPr>
          <w:p w14:paraId="0748359D" w14:textId="77777777" w:rsidR="00000000" w:rsidRDefault="00A173A8">
            <w:pPr>
              <w:spacing w:after="100"/>
              <w:jc w:val="right"/>
              <w:rPr>
                <w:rFonts w:eastAsia="Times New Roman"/>
              </w:rPr>
            </w:pPr>
          </w:p>
        </w:tc>
      </w:tr>
      <w:tr w:rsidR="00000000" w14:paraId="696F87F4" w14:textId="77777777">
        <w:trPr>
          <w:divId w:val="2056388954"/>
        </w:trPr>
        <w:tc>
          <w:tcPr>
            <w:tcW w:w="0" w:type="auto"/>
            <w:gridSpan w:val="3"/>
            <w:shd w:val="clear" w:color="auto" w:fill="CCEEFF"/>
            <w:tcMar>
              <w:top w:w="30" w:type="dxa"/>
              <w:left w:w="245" w:type="dxa"/>
              <w:bottom w:w="30" w:type="dxa"/>
              <w:right w:w="20" w:type="dxa"/>
            </w:tcMar>
            <w:vAlign w:val="center"/>
            <w:hideMark/>
          </w:tcPr>
          <w:p w14:paraId="6881B03A" w14:textId="77777777" w:rsidR="00000000" w:rsidRDefault="00A173A8">
            <w:pPr>
              <w:spacing w:after="100"/>
              <w:rPr>
                <w:rFonts w:eastAsia="Times New Roman"/>
              </w:rPr>
            </w:pPr>
            <w:r>
              <w:rPr>
                <w:rFonts w:eastAsia="Times New Roman"/>
                <w:color w:val="000000"/>
                <w:sz w:val="20"/>
                <w:szCs w:val="20"/>
              </w:rPr>
              <w:t>–</w:t>
            </w:r>
            <w:r>
              <w:rPr>
                <w:rFonts w:eastAsia="Times New Roman"/>
                <w:color w:val="000000"/>
                <w:sz w:val="20"/>
                <w:szCs w:val="20"/>
              </w:rPr>
              <w:t>50 basis points</w:t>
            </w:r>
          </w:p>
        </w:tc>
        <w:tc>
          <w:tcPr>
            <w:tcW w:w="0" w:type="auto"/>
            <w:gridSpan w:val="3"/>
            <w:shd w:val="clear" w:color="auto" w:fill="CCEEFF"/>
            <w:tcMar>
              <w:top w:w="0" w:type="dxa"/>
              <w:left w:w="20" w:type="dxa"/>
              <w:bottom w:w="0" w:type="dxa"/>
              <w:right w:w="20" w:type="dxa"/>
            </w:tcMar>
            <w:vAlign w:val="center"/>
            <w:hideMark/>
          </w:tcPr>
          <w:p w14:paraId="525291B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4ABE700" w14:textId="77777777" w:rsidR="00000000" w:rsidRDefault="00A173A8">
            <w:pPr>
              <w:spacing w:after="100"/>
              <w:jc w:val="right"/>
              <w:rPr>
                <w:rFonts w:eastAsia="Times New Roman"/>
              </w:rPr>
            </w:pPr>
            <w:r>
              <w:rPr>
                <w:rFonts w:eastAsia="Times New Roman"/>
                <w:b/>
                <w:bCs/>
                <w:color w:val="000000"/>
                <w:sz w:val="20"/>
                <w:szCs w:val="20"/>
              </w:rPr>
              <w:t>(0.1)</w:t>
            </w:r>
          </w:p>
        </w:tc>
        <w:tc>
          <w:tcPr>
            <w:tcW w:w="0" w:type="auto"/>
            <w:shd w:val="clear" w:color="auto" w:fill="CCEEFF"/>
            <w:tcMar>
              <w:top w:w="30" w:type="dxa"/>
              <w:left w:w="0" w:type="dxa"/>
              <w:bottom w:w="30" w:type="dxa"/>
              <w:right w:w="20" w:type="dxa"/>
            </w:tcMar>
            <w:vAlign w:val="center"/>
            <w:hideMark/>
          </w:tcPr>
          <w:p w14:paraId="11C9D19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9E7C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BE2619" w14:textId="77777777" w:rsidR="00000000" w:rsidRDefault="00A173A8">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center"/>
            <w:hideMark/>
          </w:tcPr>
          <w:p w14:paraId="52C84E45" w14:textId="77777777" w:rsidR="00000000" w:rsidRDefault="00A173A8">
            <w:pPr>
              <w:spacing w:after="100"/>
              <w:jc w:val="right"/>
              <w:rPr>
                <w:rFonts w:eastAsia="Times New Roman"/>
              </w:rPr>
            </w:pPr>
          </w:p>
        </w:tc>
      </w:tr>
      <w:tr w:rsidR="00000000" w14:paraId="28342E32" w14:textId="77777777">
        <w:trPr>
          <w:divId w:val="2056388954"/>
        </w:trPr>
        <w:tc>
          <w:tcPr>
            <w:tcW w:w="0" w:type="auto"/>
            <w:gridSpan w:val="3"/>
            <w:shd w:val="clear" w:color="auto" w:fill="FFFFFF"/>
            <w:tcMar>
              <w:top w:w="30" w:type="dxa"/>
              <w:left w:w="245" w:type="dxa"/>
              <w:bottom w:w="30" w:type="dxa"/>
              <w:right w:w="20" w:type="dxa"/>
            </w:tcMar>
            <w:vAlign w:val="center"/>
            <w:hideMark/>
          </w:tcPr>
          <w:p w14:paraId="76BF8224" w14:textId="77777777" w:rsidR="00000000" w:rsidRDefault="00A173A8">
            <w:pPr>
              <w:spacing w:after="100"/>
              <w:rPr>
                <w:rFonts w:eastAsia="Times New Roman"/>
              </w:rPr>
            </w:pPr>
            <w:r>
              <w:rPr>
                <w:rFonts w:eastAsia="Times New Roman"/>
                <w:color w:val="000000"/>
                <w:sz w:val="20"/>
                <w:szCs w:val="20"/>
              </w:rPr>
              <w:t>–100 basis points</w:t>
            </w:r>
          </w:p>
        </w:tc>
        <w:tc>
          <w:tcPr>
            <w:tcW w:w="0" w:type="auto"/>
            <w:gridSpan w:val="3"/>
            <w:shd w:val="clear" w:color="auto" w:fill="FFFFFF"/>
            <w:tcMar>
              <w:top w:w="0" w:type="dxa"/>
              <w:left w:w="20" w:type="dxa"/>
              <w:bottom w:w="0" w:type="dxa"/>
              <w:right w:w="20" w:type="dxa"/>
            </w:tcMar>
            <w:vAlign w:val="center"/>
            <w:hideMark/>
          </w:tcPr>
          <w:p w14:paraId="2BF08B8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624810C" w14:textId="77777777" w:rsidR="00000000" w:rsidRDefault="00A173A8">
            <w:pPr>
              <w:spacing w:after="100"/>
              <w:jc w:val="right"/>
              <w:rPr>
                <w:rFonts w:eastAsia="Times New Roman"/>
              </w:rPr>
            </w:pPr>
            <w:r>
              <w:rPr>
                <w:rFonts w:eastAsia="Times New Roman"/>
                <w:b/>
                <w:bCs/>
                <w:color w:val="000000"/>
                <w:sz w:val="20"/>
                <w:szCs w:val="20"/>
              </w:rPr>
              <w:t>(0.7)</w:t>
            </w:r>
          </w:p>
        </w:tc>
        <w:tc>
          <w:tcPr>
            <w:tcW w:w="0" w:type="auto"/>
            <w:shd w:val="clear" w:color="auto" w:fill="FFFFFF"/>
            <w:tcMar>
              <w:top w:w="30" w:type="dxa"/>
              <w:left w:w="0" w:type="dxa"/>
              <w:bottom w:w="30" w:type="dxa"/>
              <w:right w:w="20" w:type="dxa"/>
            </w:tcMar>
            <w:vAlign w:val="center"/>
            <w:hideMark/>
          </w:tcPr>
          <w:p w14:paraId="0177712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C4C5D"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4A4A8745" w14:textId="77777777" w:rsidR="00000000" w:rsidRDefault="00A173A8">
            <w:pPr>
              <w:spacing w:after="100"/>
              <w:jc w:val="right"/>
              <w:rPr>
                <w:rFonts w:eastAsia="Times New Roman"/>
              </w:rPr>
            </w:pPr>
            <w:r>
              <w:rPr>
                <w:rFonts w:eastAsia="Times New Roman"/>
                <w:color w:val="000000"/>
                <w:sz w:val="20"/>
                <w:szCs w:val="20"/>
              </w:rPr>
              <w:t>N/A</w:t>
            </w:r>
          </w:p>
        </w:tc>
      </w:tr>
    </w:tbl>
    <w:p w14:paraId="74DCFC9E" w14:textId="77777777" w:rsidR="00000000" w:rsidRDefault="00A173A8">
      <w:pPr>
        <w:jc w:val="both"/>
        <w:divId w:val="1600017500"/>
        <w:rPr>
          <w:rFonts w:eastAsia="Times New Roman"/>
        </w:rPr>
      </w:pPr>
      <w:r>
        <w:rPr>
          <w:rFonts w:eastAsia="Times New Roman"/>
          <w:color w:val="000000"/>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eastAsia="Times New Roman"/>
          <w:color w:val="000000"/>
          <w:sz w:val="20"/>
          <w:szCs w:val="20"/>
        </w:rPr>
        <w:t>ment decisions.</w:t>
      </w:r>
    </w:p>
    <w:p w14:paraId="5CD42C0A" w14:textId="77777777" w:rsidR="00000000" w:rsidRDefault="00A173A8">
      <w:pPr>
        <w:divId w:val="2099130956"/>
        <w:rPr>
          <w:rFonts w:eastAsia="Times New Roman"/>
        </w:rPr>
      </w:pPr>
      <w:r>
        <w:rPr>
          <w:rFonts w:eastAsia="Times New Roman"/>
          <w:b/>
          <w:bCs/>
          <w:i/>
          <w:iCs/>
          <w:color w:val="000000"/>
          <w:sz w:val="20"/>
          <w:szCs w:val="20"/>
        </w:rPr>
        <w:t>Limitations of Market Risk Measures</w:t>
      </w:r>
    </w:p>
    <w:p w14:paraId="52AA522D" w14:textId="77777777" w:rsidR="00000000" w:rsidRDefault="00A173A8">
      <w:pPr>
        <w:jc w:val="both"/>
        <w:divId w:val="825247525"/>
        <w:rPr>
          <w:rFonts w:eastAsia="Times New Roman"/>
        </w:rPr>
      </w:pPr>
      <w:r>
        <w:rPr>
          <w:rFonts w:eastAsia="Times New Roman"/>
          <w:color w:val="000000"/>
          <w:sz w:val="20"/>
          <w:szCs w:val="20"/>
        </w:rPr>
        <w:t>The interest rate risk models that we use in deriving these measures incorporate contractual information, internally-developed assumptions and proprietary modeling methodologies, which project borrower an</w:t>
      </w:r>
      <w:r>
        <w:rPr>
          <w:rFonts w:eastAsia="Times New Roman"/>
          <w:color w:val="000000"/>
          <w:sz w:val="20"/>
          <w:szCs w:val="20"/>
        </w:rPr>
        <w:t>d depositor behavior patterns in certain interest rate environments. Other market inputs, such as interest rates, market prices and interest rate volatility, are also critical components of our interest rate risk measures. We regularly evaluate, update and</w:t>
      </w:r>
      <w:r>
        <w:rPr>
          <w:rFonts w:eastAsia="Times New Roman"/>
          <w:color w:val="000000"/>
          <w:sz w:val="20"/>
          <w:szCs w:val="20"/>
        </w:rPr>
        <w:t xml:space="preserve"> enhance these assumptions, models and analytical tools as we believe appropriate to reflect our best assessment of the market environment and the expected behavior patterns of our existing assets and liabilities.</w:t>
      </w:r>
    </w:p>
    <w:p w14:paraId="6B1F5A51" w14:textId="77777777" w:rsidR="00000000" w:rsidRDefault="00A173A8">
      <w:pPr>
        <w:jc w:val="both"/>
        <w:divId w:val="1878927710"/>
        <w:rPr>
          <w:rFonts w:eastAsia="Times New Roman"/>
        </w:rPr>
      </w:pPr>
      <w:r>
        <w:rPr>
          <w:rFonts w:eastAsia="Times New Roman"/>
          <w:color w:val="000000"/>
          <w:sz w:val="20"/>
          <w:szCs w:val="20"/>
        </w:rPr>
        <w:t>There are inherent limitations in any meth</w:t>
      </w:r>
      <w:r>
        <w:rPr>
          <w:rFonts w:eastAsia="Times New Roman"/>
          <w:color w:val="000000"/>
          <w:sz w:val="20"/>
          <w:szCs w:val="20"/>
        </w:rPr>
        <w:t>odology used to estimate the exposure to changes in market interest rates. The sensitivity analysis described above contemplates only certain movements in interest rates and is performed at a particular point in time based on our existing balance sheet and</w:t>
      </w:r>
      <w:r>
        <w:rPr>
          <w:rFonts w:eastAsia="Times New Roman"/>
          <w:color w:val="000000"/>
          <w:sz w:val="20"/>
          <w:szCs w:val="20"/>
        </w:rPr>
        <w:t>, in some cases, expected future business growth and funding mix assumptions. The strategic actions that management may take to manage our balance sheet may differ significantly from our projections, which could cause our actual earnings and economic value</w:t>
      </w:r>
      <w:r>
        <w:rPr>
          <w:rFonts w:eastAsia="Times New Roman"/>
          <w:color w:val="000000"/>
          <w:sz w:val="20"/>
          <w:szCs w:val="20"/>
        </w:rPr>
        <w:t xml:space="preserve"> of equity sensitivities to differ substantially from the above sensitivity analysis.</w:t>
      </w:r>
    </w:p>
    <w:p w14:paraId="2CD8CAB1" w14:textId="77777777" w:rsidR="00000000" w:rsidRDefault="00A173A8">
      <w:pPr>
        <w:jc w:val="both"/>
        <w:divId w:val="23987335"/>
        <w:rPr>
          <w:rFonts w:eastAsia="Times New Roman"/>
        </w:rPr>
      </w:pPr>
      <w:r>
        <w:rPr>
          <w:rFonts w:eastAsia="Times New Roman"/>
          <w:color w:val="000000"/>
          <w:sz w:val="20"/>
          <w:szCs w:val="20"/>
        </w:rPr>
        <w:t xml:space="preserve">For further information on our interest rate exposures, see “Note 8—Derivative Instruments and Hedging Activities.” </w:t>
      </w:r>
    </w:p>
    <w:p w14:paraId="13E4A61F" w14:textId="77777777" w:rsidR="00000000" w:rsidRDefault="00A173A8">
      <w:pPr>
        <w:divId w:val="912859130"/>
        <w:rPr>
          <w:rFonts w:eastAsia="Times New Roman"/>
        </w:rPr>
      </w:pPr>
      <w:r>
        <w:rPr>
          <w:rFonts w:eastAsia="Times New Roman"/>
          <w:b/>
          <w:bCs/>
          <w:color w:val="000000"/>
          <w:sz w:val="20"/>
          <w:szCs w:val="20"/>
        </w:rPr>
        <w:t>Foreign Exchange Risk</w:t>
      </w:r>
    </w:p>
    <w:p w14:paraId="45C5A11E" w14:textId="77777777" w:rsidR="00000000" w:rsidRDefault="00A173A8">
      <w:pPr>
        <w:jc w:val="both"/>
        <w:divId w:val="956329405"/>
        <w:rPr>
          <w:rFonts w:eastAsia="Times New Roman"/>
        </w:rPr>
      </w:pPr>
      <w:r>
        <w:rPr>
          <w:rFonts w:eastAsia="Times New Roman"/>
          <w:color w:val="000000"/>
          <w:sz w:val="20"/>
          <w:szCs w:val="20"/>
        </w:rPr>
        <w:t>Foreign exchange risk represent</w:t>
      </w:r>
      <w:r>
        <w:rPr>
          <w:rFonts w:eastAsia="Times New Roman"/>
          <w:color w:val="000000"/>
          <w:sz w:val="20"/>
          <w:szCs w:val="20"/>
        </w:rPr>
        <w:t>s exposure to changes in the values of current holdings and future cash flows denominated in other currencies. We are exposed to foreign exchange risk primarily from the intercompany funding denominated in pound sterling (“GBP”) and the Canadian dollar (“C</w:t>
      </w:r>
      <w:r>
        <w:rPr>
          <w:rFonts w:eastAsia="Times New Roman"/>
          <w:color w:val="000000"/>
          <w:sz w:val="20"/>
          <w:szCs w:val="20"/>
        </w:rPr>
        <w:t>AD”) that we provide to our businesses in the U.K. and Canada and net equity investments in those businesses. We are also exposed to foreign exchange risk due to changes in the dollar-denominated value of future earnings and cash flows from our foreign ope</w:t>
      </w:r>
      <w:r>
        <w:rPr>
          <w:rFonts w:eastAsia="Times New Roman"/>
          <w:color w:val="000000"/>
          <w:sz w:val="20"/>
          <w:szCs w:val="20"/>
        </w:rPr>
        <w:t>rations and from our Euro (“EUR”)-denominated borrowings.</w:t>
      </w:r>
    </w:p>
    <w:p w14:paraId="49C2DC08" w14:textId="77777777" w:rsidR="00000000" w:rsidRDefault="00A173A8">
      <w:pPr>
        <w:jc w:val="both"/>
        <w:divId w:val="436758629"/>
        <w:rPr>
          <w:rFonts w:eastAsia="Times New Roman"/>
        </w:rPr>
      </w:pPr>
      <w:r>
        <w:rPr>
          <w:rFonts w:eastAsia="Times New Roman"/>
          <w:color w:val="000000"/>
          <w:sz w:val="20"/>
          <w:szCs w:val="20"/>
        </w:rPr>
        <w:t>Our non-dollar denominated intercompany funding and EUR-denominated borrowings expose our earnings to foreign exchange transaction risk. We manage these transaction risks by using forward foreign cu</w:t>
      </w:r>
      <w:r>
        <w:rPr>
          <w:rFonts w:eastAsia="Times New Roman"/>
          <w:color w:val="000000"/>
          <w:sz w:val="20"/>
          <w:szCs w:val="20"/>
        </w:rPr>
        <w:t>rrency derivatives and cross-currency swaps to hedge our exposures. We measure our foreign exchange transaction risk exposures by applying a 1% U.S. dollar appreciation shock against the value of the non-dollar denominated intercompany funding and EUR-deno</w:t>
      </w:r>
      <w:r>
        <w:rPr>
          <w:rFonts w:eastAsia="Times New Roman"/>
          <w:color w:val="000000"/>
          <w:sz w:val="20"/>
          <w:szCs w:val="20"/>
        </w:rPr>
        <w:t>minated borrowings and their related hedges, which shows the impact to our earnings from foreign exchange risk. Our intercompany funding outstanding was 631 million GBP and 520 million GBP as of June 30, 2022 and December 31, 2021, respectively, and 1.5 bi</w:t>
      </w:r>
      <w:r>
        <w:rPr>
          <w:rFonts w:eastAsia="Times New Roman"/>
          <w:color w:val="000000"/>
          <w:sz w:val="20"/>
          <w:szCs w:val="20"/>
        </w:rPr>
        <w:t xml:space="preserve">llion CAD and 5.0 billion CAD as of June 30, 2022 and December 31, 2021, respectively. Our EUR-denominated borrowings outstanding were 1.2 billion EUR as of both June 30, 2022 and December 31, 2021.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E8090DF" w14:textId="77777777">
        <w:trPr>
          <w:divId w:val="226653080"/>
          <w:jc w:val="center"/>
        </w:trPr>
        <w:tc>
          <w:tcPr>
            <w:tcW w:w="50" w:type="pct"/>
            <w:vAlign w:val="center"/>
            <w:hideMark/>
          </w:tcPr>
          <w:p w14:paraId="537FFA78" w14:textId="77777777" w:rsidR="00000000" w:rsidRDefault="00A173A8">
            <w:pPr>
              <w:jc w:val="both"/>
              <w:rPr>
                <w:rFonts w:eastAsia="Times New Roman"/>
              </w:rPr>
            </w:pPr>
          </w:p>
        </w:tc>
        <w:tc>
          <w:tcPr>
            <w:tcW w:w="1606" w:type="pct"/>
            <w:vAlign w:val="center"/>
            <w:hideMark/>
          </w:tcPr>
          <w:p w14:paraId="6FB8A615" w14:textId="77777777" w:rsidR="00000000" w:rsidRDefault="00A173A8">
            <w:pPr>
              <w:spacing w:after="100"/>
              <w:rPr>
                <w:rFonts w:eastAsia="Times New Roman"/>
                <w:sz w:val="20"/>
                <w:szCs w:val="20"/>
              </w:rPr>
            </w:pPr>
          </w:p>
        </w:tc>
        <w:tc>
          <w:tcPr>
            <w:tcW w:w="5" w:type="pct"/>
            <w:vAlign w:val="center"/>
            <w:hideMark/>
          </w:tcPr>
          <w:p w14:paraId="19C86154" w14:textId="77777777" w:rsidR="00000000" w:rsidRDefault="00A173A8">
            <w:pPr>
              <w:spacing w:after="100"/>
              <w:rPr>
                <w:rFonts w:eastAsia="Times New Roman"/>
                <w:sz w:val="20"/>
                <w:szCs w:val="20"/>
              </w:rPr>
            </w:pPr>
          </w:p>
        </w:tc>
        <w:tc>
          <w:tcPr>
            <w:tcW w:w="50" w:type="pct"/>
            <w:vAlign w:val="center"/>
            <w:hideMark/>
          </w:tcPr>
          <w:p w14:paraId="374A83FF" w14:textId="77777777" w:rsidR="00000000" w:rsidRDefault="00A173A8">
            <w:pPr>
              <w:spacing w:after="100"/>
              <w:rPr>
                <w:rFonts w:eastAsia="Times New Roman"/>
                <w:sz w:val="20"/>
                <w:szCs w:val="20"/>
              </w:rPr>
            </w:pPr>
          </w:p>
        </w:tc>
        <w:tc>
          <w:tcPr>
            <w:tcW w:w="1614" w:type="pct"/>
            <w:vAlign w:val="center"/>
            <w:hideMark/>
          </w:tcPr>
          <w:p w14:paraId="40B6951E" w14:textId="77777777" w:rsidR="00000000" w:rsidRDefault="00A173A8">
            <w:pPr>
              <w:spacing w:after="100"/>
              <w:rPr>
                <w:rFonts w:eastAsia="Times New Roman"/>
                <w:sz w:val="20"/>
                <w:szCs w:val="20"/>
              </w:rPr>
            </w:pPr>
          </w:p>
        </w:tc>
        <w:tc>
          <w:tcPr>
            <w:tcW w:w="5" w:type="pct"/>
            <w:vAlign w:val="center"/>
            <w:hideMark/>
          </w:tcPr>
          <w:p w14:paraId="378384AE" w14:textId="77777777" w:rsidR="00000000" w:rsidRDefault="00A173A8">
            <w:pPr>
              <w:spacing w:after="100"/>
              <w:rPr>
                <w:rFonts w:eastAsia="Times New Roman"/>
                <w:sz w:val="20"/>
                <w:szCs w:val="20"/>
              </w:rPr>
            </w:pPr>
          </w:p>
        </w:tc>
        <w:tc>
          <w:tcPr>
            <w:tcW w:w="50" w:type="pct"/>
            <w:vAlign w:val="center"/>
            <w:hideMark/>
          </w:tcPr>
          <w:p w14:paraId="4B85C673" w14:textId="77777777" w:rsidR="00000000" w:rsidRDefault="00A173A8">
            <w:pPr>
              <w:spacing w:after="100"/>
              <w:rPr>
                <w:rFonts w:eastAsia="Times New Roman"/>
                <w:sz w:val="20"/>
                <w:szCs w:val="20"/>
              </w:rPr>
            </w:pPr>
          </w:p>
        </w:tc>
        <w:tc>
          <w:tcPr>
            <w:tcW w:w="1614" w:type="pct"/>
            <w:vAlign w:val="center"/>
            <w:hideMark/>
          </w:tcPr>
          <w:p w14:paraId="661B0F4E" w14:textId="77777777" w:rsidR="00000000" w:rsidRDefault="00A173A8">
            <w:pPr>
              <w:spacing w:after="100"/>
              <w:rPr>
                <w:rFonts w:eastAsia="Times New Roman"/>
                <w:sz w:val="20"/>
                <w:szCs w:val="20"/>
              </w:rPr>
            </w:pPr>
          </w:p>
        </w:tc>
        <w:tc>
          <w:tcPr>
            <w:tcW w:w="5" w:type="pct"/>
            <w:vAlign w:val="center"/>
            <w:hideMark/>
          </w:tcPr>
          <w:p w14:paraId="372701E5" w14:textId="77777777" w:rsidR="00000000" w:rsidRDefault="00A173A8">
            <w:pPr>
              <w:spacing w:after="100"/>
              <w:rPr>
                <w:rFonts w:eastAsia="Times New Roman"/>
                <w:sz w:val="20"/>
                <w:szCs w:val="20"/>
              </w:rPr>
            </w:pPr>
          </w:p>
        </w:tc>
      </w:tr>
      <w:tr w:rsidR="00000000" w14:paraId="779A1240" w14:textId="77777777">
        <w:trPr>
          <w:divId w:val="226653080"/>
          <w:trHeight w:val="300"/>
          <w:jc w:val="center"/>
        </w:trPr>
        <w:tc>
          <w:tcPr>
            <w:tcW w:w="0" w:type="auto"/>
            <w:gridSpan w:val="9"/>
            <w:tcMar>
              <w:top w:w="0" w:type="dxa"/>
              <w:left w:w="20" w:type="dxa"/>
              <w:bottom w:w="0" w:type="dxa"/>
              <w:right w:w="20" w:type="dxa"/>
            </w:tcMar>
            <w:vAlign w:val="center"/>
            <w:hideMark/>
          </w:tcPr>
          <w:p w14:paraId="55429D51" w14:textId="77777777" w:rsidR="00000000" w:rsidRDefault="00A173A8">
            <w:pPr>
              <w:spacing w:after="100"/>
              <w:rPr>
                <w:rFonts w:eastAsia="Times New Roman"/>
                <w:sz w:val="20"/>
                <w:szCs w:val="20"/>
              </w:rPr>
            </w:pPr>
          </w:p>
        </w:tc>
      </w:tr>
      <w:tr w:rsidR="00000000" w14:paraId="092F16E9" w14:textId="77777777">
        <w:trPr>
          <w:divId w:val="226653080"/>
          <w:jc w:val="center"/>
        </w:trPr>
        <w:tc>
          <w:tcPr>
            <w:tcW w:w="0" w:type="auto"/>
            <w:gridSpan w:val="3"/>
            <w:tcMar>
              <w:top w:w="0" w:type="dxa"/>
              <w:left w:w="20" w:type="dxa"/>
              <w:bottom w:w="0" w:type="dxa"/>
              <w:right w:w="20" w:type="dxa"/>
            </w:tcMar>
            <w:vAlign w:val="center"/>
            <w:hideMark/>
          </w:tcPr>
          <w:p w14:paraId="6CBB1BA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121DAEB" w14:textId="77777777" w:rsidR="00000000" w:rsidRDefault="00A173A8">
            <w:pPr>
              <w:spacing w:after="100"/>
              <w:jc w:val="center"/>
              <w:rPr>
                <w:rFonts w:eastAsia="Times New Roman"/>
              </w:rPr>
            </w:pPr>
            <w:r>
              <w:rPr>
                <w:rFonts w:eastAsia="Times New Roman"/>
                <w:color w:val="000000"/>
                <w:sz w:val="16"/>
                <w:szCs w:val="16"/>
              </w:rPr>
              <w:t>52</w:t>
            </w:r>
          </w:p>
        </w:tc>
        <w:tc>
          <w:tcPr>
            <w:tcW w:w="0" w:type="auto"/>
            <w:gridSpan w:val="3"/>
            <w:tcMar>
              <w:top w:w="30" w:type="dxa"/>
              <w:left w:w="20" w:type="dxa"/>
              <w:bottom w:w="30" w:type="dxa"/>
              <w:right w:w="20" w:type="dxa"/>
            </w:tcMar>
            <w:vAlign w:val="bottom"/>
            <w:hideMark/>
          </w:tcPr>
          <w:p w14:paraId="6AD85B2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E8E8D6F" w14:textId="77777777" w:rsidR="00000000" w:rsidRDefault="00A173A8">
      <w:pPr>
        <w:rPr>
          <w:rFonts w:eastAsia="Times New Roman"/>
        </w:rPr>
      </w:pPr>
      <w:r>
        <w:rPr>
          <w:rFonts w:eastAsia="Times New Roman"/>
        </w:rPr>
        <w:pict w14:anchorId="34B8F7FF">
          <v:rect id="_x0000_i1077" style="width:0;height:1.5pt" o:hralign="center" o:hrstd="t" o:hr="t" fillcolor="#a0a0a0" stroked="f"/>
        </w:pict>
      </w:r>
    </w:p>
    <w:p w14:paraId="6DD4BC47" w14:textId="77777777" w:rsidR="00000000" w:rsidRDefault="00A173A8">
      <w:pPr>
        <w:ind w:hanging="360"/>
        <w:jc w:val="both"/>
        <w:divId w:val="1725716381"/>
        <w:rPr>
          <w:rFonts w:eastAsia="Times New Roman"/>
        </w:rPr>
      </w:pPr>
      <w:hyperlink w:anchor="i7ffd5d61af6f4722b1b1b07530d51c06_13" w:history="1">
        <w:r>
          <w:rPr>
            <w:rStyle w:val="a3"/>
            <w:rFonts w:eastAsia="Times New Roman"/>
            <w:sz w:val="16"/>
            <w:szCs w:val="16"/>
          </w:rPr>
          <w:t>Table of Contents</w:t>
        </w:r>
      </w:hyperlink>
    </w:p>
    <w:p w14:paraId="1547F1CC" w14:textId="77777777" w:rsidR="00000000" w:rsidRDefault="00A173A8">
      <w:pPr>
        <w:jc w:val="both"/>
        <w:divId w:val="925116327"/>
        <w:rPr>
          <w:rFonts w:eastAsia="Times New Roman"/>
        </w:rPr>
      </w:pPr>
      <w:r>
        <w:rPr>
          <w:rFonts w:eastAsia="Times New Roman"/>
          <w:color w:val="000000"/>
          <w:sz w:val="20"/>
          <w:szCs w:val="20"/>
        </w:rPr>
        <w:t xml:space="preserve">Our non-dollar equity investments in foreign operations expose our balance sheet to translation risk in AOCI and our capital ratios. We manage </w:t>
      </w:r>
      <w:r>
        <w:rPr>
          <w:rFonts w:eastAsia="Times New Roman"/>
          <w:color w:val="000000"/>
          <w:sz w:val="20"/>
          <w:szCs w:val="20"/>
        </w:rPr>
        <w:t>our AOCI exposure by entering into foreign currency derivatives designated as net investment hedges. We measure these exposures by applying a 30% U.S. dollar appreciation shock, which we believe approximates a significant adverse shock over a one-year time</w:t>
      </w:r>
      <w:r>
        <w:rPr>
          <w:rFonts w:eastAsia="Times New Roman"/>
          <w:color w:val="000000"/>
          <w:sz w:val="20"/>
          <w:szCs w:val="20"/>
        </w:rPr>
        <w:t xml:space="preserve"> horizon, against the value of the equity invested in our foreign operations net of related net investment hedges where applicable. Our gross equity exposures in our U.K. and Canadian operations were 1.8 billion GBP as of both June 30, 2022 and December 31</w:t>
      </w:r>
      <w:r>
        <w:rPr>
          <w:rFonts w:eastAsia="Times New Roman"/>
          <w:color w:val="000000"/>
          <w:sz w:val="20"/>
          <w:szCs w:val="20"/>
        </w:rPr>
        <w:t>, 2021, and 2.2 billion CAD and 1.9 billion CAD as of June 30, 2022 and December 31, 2021, respectively.</w:t>
      </w:r>
    </w:p>
    <w:p w14:paraId="0413D849" w14:textId="77777777" w:rsidR="00000000" w:rsidRDefault="00A173A8">
      <w:pPr>
        <w:jc w:val="both"/>
        <w:divId w:val="1124274546"/>
        <w:rPr>
          <w:rFonts w:eastAsia="Times New Roman"/>
        </w:rPr>
      </w:pPr>
      <w:r>
        <w:rPr>
          <w:rFonts w:eastAsia="Times New Roman"/>
          <w:color w:val="000000"/>
          <w:sz w:val="20"/>
          <w:szCs w:val="20"/>
        </w:rPr>
        <w:t>As a result of our derivative management activities,</w:t>
      </w:r>
      <w:r>
        <w:rPr>
          <w:rFonts w:eastAsia="Times New Roman"/>
          <w:color w:val="000000"/>
          <w:sz w:val="20"/>
          <w:szCs w:val="20"/>
          <w:shd w:val="clear" w:color="auto" w:fill="FFFFFF"/>
        </w:rPr>
        <w:t xml:space="preserve"> </w:t>
      </w:r>
      <w:r>
        <w:rPr>
          <w:rFonts w:eastAsia="Times New Roman"/>
          <w:color w:val="000000"/>
          <w:sz w:val="20"/>
          <w:szCs w:val="20"/>
        </w:rPr>
        <w:t>we believe our net exposure to foreign exchange risk is minimal.</w:t>
      </w:r>
    </w:p>
    <w:p w14:paraId="085D0C57" w14:textId="77777777" w:rsidR="00000000" w:rsidRDefault="00A173A8">
      <w:pPr>
        <w:divId w:val="1145201480"/>
        <w:rPr>
          <w:rFonts w:eastAsia="Times New Roman"/>
        </w:rPr>
      </w:pPr>
      <w:r>
        <w:rPr>
          <w:rFonts w:eastAsia="Times New Roman"/>
          <w:b/>
          <w:bCs/>
          <w:color w:val="000000"/>
          <w:sz w:val="20"/>
          <w:szCs w:val="20"/>
        </w:rPr>
        <w:t xml:space="preserve">Risk related to Customer Accommodation Derivatives </w:t>
      </w:r>
    </w:p>
    <w:p w14:paraId="74AF1256" w14:textId="77777777" w:rsidR="00000000" w:rsidRDefault="00A173A8">
      <w:pPr>
        <w:jc w:val="both"/>
        <w:divId w:val="1974602672"/>
        <w:rPr>
          <w:rFonts w:eastAsia="Times New Roman"/>
        </w:rPr>
      </w:pPr>
      <w:r>
        <w:rPr>
          <w:rFonts w:eastAsia="Times New Roman"/>
          <w:color w:val="000000"/>
          <w:sz w:val="20"/>
          <w:szCs w:val="20"/>
        </w:rPr>
        <w:t>We offer interest rate, commodity and foreign currency derivatives as an accommodation to our customers within our Commercial Banking busin</w:t>
      </w:r>
      <w:r>
        <w:rPr>
          <w:rFonts w:eastAsia="Times New Roman"/>
          <w:color w:val="000000"/>
          <w:sz w:val="20"/>
          <w:szCs w:val="20"/>
        </w:rPr>
        <w:t xml:space="preserve">ess. We offset the majority of the market risk of these customer accommodation derivatives by entering into offsetting derivatives transactions with other counterparties. We use value-at-risk (“VaR”) as the primary method to measure the market risk in our </w:t>
      </w:r>
      <w:r>
        <w:rPr>
          <w:rFonts w:eastAsia="Times New Roman"/>
          <w:color w:val="000000"/>
          <w:sz w:val="20"/>
          <w:szCs w:val="20"/>
        </w:rPr>
        <w:t xml:space="preserve">customer accommodation derivative activities on a daily basis. VaR is a statistical risk measure used to estimate the potential loss from movements observed in the recent market environment. We employ a historical simulation approach using the most recent </w:t>
      </w:r>
      <w:r>
        <w:rPr>
          <w:rFonts w:eastAsia="Times New Roman"/>
          <w:color w:val="000000"/>
          <w:sz w:val="20"/>
          <w:szCs w:val="20"/>
        </w:rPr>
        <w:t>500 business days and use a 99 percent confidence level and a holding period of one business day. As a result of offsetting our customer exposures with other counterparties, we believe that our net exposure to market risk in our customer accommodation deri</w:t>
      </w:r>
      <w:r>
        <w:rPr>
          <w:rFonts w:eastAsia="Times New Roman"/>
          <w:color w:val="000000"/>
          <w:sz w:val="20"/>
          <w:szCs w:val="20"/>
        </w:rPr>
        <w:t>vatives is minimal. For further information on our risk related to customer accommodation derivatives, see “Note 8—Derivative Instruments and Hedging Activities.”</w:t>
      </w:r>
    </w:p>
    <w:p w14:paraId="7B5F57F0" w14:textId="77777777" w:rsidR="00000000" w:rsidRDefault="00A173A8">
      <w:pPr>
        <w:divId w:val="1792552829"/>
        <w:rPr>
          <w:rFonts w:eastAsia="Times New Roman"/>
        </w:rPr>
      </w:pPr>
      <w:r>
        <w:rPr>
          <w:rFonts w:eastAsia="Times New Roman"/>
          <w:b/>
          <w:bCs/>
          <w:color w:val="000000"/>
          <w:sz w:val="20"/>
          <w:szCs w:val="20"/>
        </w:rPr>
        <w:t>London Interbank Offered Rate (“LIBOR”) Transition</w:t>
      </w:r>
    </w:p>
    <w:p w14:paraId="13BD8535" w14:textId="77777777" w:rsidR="00000000" w:rsidRDefault="00A173A8">
      <w:pPr>
        <w:jc w:val="both"/>
        <w:divId w:val="1581788104"/>
        <w:rPr>
          <w:rFonts w:eastAsia="Times New Roman"/>
        </w:rPr>
      </w:pPr>
      <w:r>
        <w:rPr>
          <w:rFonts w:eastAsia="Times New Roman"/>
          <w:color w:val="000000"/>
          <w:sz w:val="20"/>
          <w:szCs w:val="20"/>
        </w:rPr>
        <w:t>On July 27, 2017, the U.K. Financial Condu</w:t>
      </w:r>
      <w:r>
        <w:rPr>
          <w:rFonts w:eastAsia="Times New Roman"/>
          <w:color w:val="000000"/>
          <w:sz w:val="20"/>
          <w:szCs w:val="20"/>
        </w:rPr>
        <w:t xml:space="preserve">ct Authority (“FCA”), the regulator for the administration of LIBOR, announced that LIBOR would be transitioned as an interest rate benchmark and that it will no longer compel panel banks to contribute LIBOR data beyond December 31, 2021. </w:t>
      </w:r>
    </w:p>
    <w:p w14:paraId="68ABEED6" w14:textId="77777777" w:rsidR="00000000" w:rsidRDefault="00A173A8">
      <w:pPr>
        <w:jc w:val="both"/>
        <w:rPr>
          <w:rFonts w:eastAsia="Times New Roman"/>
        </w:rPr>
      </w:pPr>
      <w:r>
        <w:rPr>
          <w:rFonts w:eastAsia="Times New Roman"/>
          <w:color w:val="000000"/>
          <w:sz w:val="20"/>
          <w:szCs w:val="20"/>
        </w:rPr>
        <w:t>On March 5, 2021</w:t>
      </w:r>
      <w:r>
        <w:rPr>
          <w:rFonts w:eastAsia="Times New Roman"/>
          <w:color w:val="000000"/>
          <w:sz w:val="20"/>
          <w:szCs w:val="20"/>
        </w:rPr>
        <w:t>, the ICE Benchmark Administration (“IBA”), the administrator of LIBOR, confirmed its intention to cease publication of the 1-week and 2-month U.S. dollar (“USD”) LIBOR settings immediately following the LIBOR publication on December 31, 2021, and the rema</w:t>
      </w:r>
      <w:r>
        <w:rPr>
          <w:rFonts w:eastAsia="Times New Roman"/>
          <w:color w:val="000000"/>
          <w:sz w:val="20"/>
          <w:szCs w:val="20"/>
        </w:rPr>
        <w:t>ining USD LIBOR tenors (overnight; 1, 3, 6, and 12 months) immediately following the LIBOR publication on June 30, 2023. The continuation of USD LIBOR as a representative rate into mid-2023 will allow many legacy USD LIBOR contracts to mature prior to cess</w:t>
      </w:r>
      <w:r>
        <w:rPr>
          <w:rFonts w:eastAsia="Times New Roman"/>
          <w:color w:val="000000"/>
          <w:sz w:val="20"/>
          <w:szCs w:val="20"/>
        </w:rPr>
        <w:t xml:space="preserve">ation. Following IBA’s announcement, the FCA formally announced the future permanent cessation and loss of representativeness of LIBOR benchmarks. The Federal Banking Agencies issued further guidance that banking organizations should cease using USD LIBOR </w:t>
      </w:r>
      <w:r>
        <w:rPr>
          <w:rFonts w:eastAsia="Times New Roman"/>
          <w:color w:val="000000"/>
          <w:sz w:val="20"/>
          <w:szCs w:val="20"/>
        </w:rPr>
        <w:t>as a reference rate in new contracts as soon as practicable and in any event by December 31, 2021. Consistent with the Federal Banking Agencies’ guidance, we ceased entering into new contracts referencing USD LIBOR as a reference rate as of January 1, 2022</w:t>
      </w:r>
      <w:r>
        <w:rPr>
          <w:rFonts w:eastAsia="Times New Roman"/>
          <w:color w:val="000000"/>
          <w:sz w:val="20"/>
          <w:szCs w:val="20"/>
        </w:rPr>
        <w:t>, subject to certain permissible exceptions.</w:t>
      </w:r>
    </w:p>
    <w:p w14:paraId="26F66481" w14:textId="77777777" w:rsidR="00000000" w:rsidRDefault="00A173A8">
      <w:pPr>
        <w:jc w:val="both"/>
        <w:rPr>
          <w:rFonts w:eastAsia="Times New Roman"/>
        </w:rPr>
      </w:pPr>
    </w:p>
    <w:p w14:paraId="557A7DC2" w14:textId="77777777" w:rsidR="00000000" w:rsidRDefault="00A173A8">
      <w:pPr>
        <w:jc w:val="both"/>
        <w:rPr>
          <w:rFonts w:eastAsia="Times New Roman"/>
        </w:rPr>
      </w:pPr>
      <w:r>
        <w:rPr>
          <w:rFonts w:eastAsia="Times New Roman"/>
          <w:color w:val="000000"/>
          <w:sz w:val="20"/>
          <w:szCs w:val="20"/>
        </w:rPr>
        <w:t>Our enterprise LIBOR transition program team, which has been working on this effort since 2018 and includes senior management representatives from across the enterprise, provides monthly reporting to senior ma</w:t>
      </w:r>
      <w:r>
        <w:rPr>
          <w:rFonts w:eastAsia="Times New Roman"/>
          <w:color w:val="000000"/>
          <w:sz w:val="20"/>
          <w:szCs w:val="20"/>
        </w:rPr>
        <w:t>nagement and quarterly reporting to our Board of Directors. The information provided to senior management and the Board of Directors includes exposure reporting, updates on progress toward our goals to reduce our LIBOR exposure and relevant regulatory or i</w:t>
      </w:r>
      <w:r>
        <w:rPr>
          <w:rFonts w:eastAsia="Times New Roman"/>
          <w:color w:val="000000"/>
          <w:sz w:val="20"/>
          <w:szCs w:val="20"/>
        </w:rPr>
        <w:t xml:space="preserve">ndustry developments. </w:t>
      </w:r>
    </w:p>
    <w:p w14:paraId="57374D99" w14:textId="77777777" w:rsidR="00000000" w:rsidRDefault="00A173A8">
      <w:pPr>
        <w:jc w:val="both"/>
        <w:rPr>
          <w:rFonts w:eastAsia="Times New Roman"/>
        </w:rPr>
      </w:pPr>
    </w:p>
    <w:p w14:paraId="7FA8C36A" w14:textId="77777777" w:rsidR="00000000" w:rsidRDefault="00A173A8">
      <w:pPr>
        <w:jc w:val="both"/>
        <w:rPr>
          <w:rFonts w:eastAsia="Times New Roman"/>
        </w:rPr>
      </w:pPr>
      <w:r>
        <w:rPr>
          <w:rFonts w:eastAsia="Times New Roman"/>
          <w:color w:val="000000"/>
          <w:sz w:val="20"/>
          <w:szCs w:val="20"/>
        </w:rPr>
        <w:t>Our LIBOR transition effort is focused on proactively transitioning exposures to an alternative rate or incorporating transition language (“fallback language”) to provide a contractual mechanism for transitioning upon the LIBOR ces</w:t>
      </w:r>
      <w:r>
        <w:rPr>
          <w:rFonts w:eastAsia="Times New Roman"/>
          <w:color w:val="000000"/>
          <w:sz w:val="20"/>
          <w:szCs w:val="20"/>
        </w:rPr>
        <w:t>sation. Our fallback language aligns with the language recommended by the Alternative Reference Rates Committee (“ARRC”) in our existing lending contracts and the International Swaps and Derivatives Association (“ISDA”) in our derivative contracts and agre</w:t>
      </w:r>
      <w:r>
        <w:rPr>
          <w:rFonts w:eastAsia="Times New Roman"/>
          <w:color w:val="000000"/>
          <w:sz w:val="20"/>
          <w:szCs w:val="20"/>
        </w:rPr>
        <w:t>ements to the greatest extent possible.</w:t>
      </w:r>
    </w:p>
    <w:p w14:paraId="085DBBBD" w14:textId="77777777" w:rsidR="00000000" w:rsidRDefault="00A173A8">
      <w:pPr>
        <w:jc w:val="both"/>
        <w:divId w:val="494149105"/>
        <w:rPr>
          <w:rFonts w:eastAsia="Times New Roman"/>
        </w:rPr>
      </w:pPr>
      <w:r>
        <w:rPr>
          <w:rFonts w:eastAsia="Times New Roman"/>
          <w:color w:val="000000"/>
          <w:sz w:val="20"/>
          <w:szCs w:val="20"/>
        </w:rPr>
        <w:t xml:space="preserve">We continue to focus our LIBOR transition efforts on: </w:t>
      </w:r>
    </w:p>
    <w:p w14:paraId="0EF7E973" w14:textId="77777777" w:rsidR="00000000" w:rsidRDefault="00A173A8">
      <w:pPr>
        <w:ind w:hanging="360"/>
        <w:jc w:val="both"/>
        <w:divId w:val="1058699404"/>
        <w:rPr>
          <w:rFonts w:eastAsia="Times New Roman"/>
        </w:rPr>
      </w:pPr>
      <w:r>
        <w:rPr>
          <w:rFonts w:eastAsia="Times New Roman"/>
          <w:color w:val="000000"/>
          <w:sz w:val="20"/>
          <w:szCs w:val="20"/>
        </w:rPr>
        <w:t>•monitoring established controls to prevent the origination of LIBOR indexed instruments</w:t>
      </w:r>
    </w:p>
    <w:p w14:paraId="57C3A58F" w14:textId="77777777" w:rsidR="00000000" w:rsidRDefault="00A173A8">
      <w:pPr>
        <w:ind w:hanging="360"/>
        <w:jc w:val="both"/>
        <w:divId w:val="965046594"/>
        <w:rPr>
          <w:rFonts w:eastAsia="Times New Roman"/>
        </w:rPr>
      </w:pPr>
      <w:r>
        <w:rPr>
          <w:rFonts w:eastAsia="Times New Roman"/>
          <w:color w:val="000000"/>
          <w:sz w:val="20"/>
          <w:szCs w:val="20"/>
        </w:rPr>
        <w:t>•working with impacted customers and counterparties to remediate remaini</w:t>
      </w:r>
      <w:r>
        <w:rPr>
          <w:rFonts w:eastAsia="Times New Roman"/>
          <w:color w:val="000000"/>
          <w:sz w:val="20"/>
          <w:szCs w:val="20"/>
        </w:rPr>
        <w:t xml:space="preserve">ng LIBOR contracts </w:t>
      </w:r>
    </w:p>
    <w:p w14:paraId="07B3556A" w14:textId="77777777" w:rsidR="00000000" w:rsidRDefault="00A173A8">
      <w:pPr>
        <w:ind w:hanging="360"/>
        <w:jc w:val="both"/>
        <w:divId w:val="469133602"/>
        <w:rPr>
          <w:rFonts w:eastAsia="Times New Roman"/>
        </w:rPr>
      </w:pPr>
      <w:r>
        <w:rPr>
          <w:rFonts w:eastAsia="Times New Roman"/>
          <w:color w:val="000000"/>
          <w:sz w:val="20"/>
          <w:szCs w:val="20"/>
        </w:rPr>
        <w:t xml:space="preserve">•engaging with our clients, industry working groups, and regulators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09C2409" w14:textId="77777777">
        <w:trPr>
          <w:divId w:val="750350658"/>
          <w:jc w:val="center"/>
        </w:trPr>
        <w:tc>
          <w:tcPr>
            <w:tcW w:w="50" w:type="pct"/>
            <w:vAlign w:val="center"/>
            <w:hideMark/>
          </w:tcPr>
          <w:p w14:paraId="05E07DA8" w14:textId="77777777" w:rsidR="00000000" w:rsidRDefault="00A173A8">
            <w:pPr>
              <w:ind w:hanging="360"/>
              <w:jc w:val="both"/>
              <w:rPr>
                <w:rFonts w:eastAsia="Times New Roman"/>
              </w:rPr>
            </w:pPr>
          </w:p>
        </w:tc>
        <w:tc>
          <w:tcPr>
            <w:tcW w:w="1606" w:type="pct"/>
            <w:vAlign w:val="center"/>
            <w:hideMark/>
          </w:tcPr>
          <w:p w14:paraId="104147B6" w14:textId="77777777" w:rsidR="00000000" w:rsidRDefault="00A173A8">
            <w:pPr>
              <w:spacing w:after="100"/>
              <w:rPr>
                <w:rFonts w:eastAsia="Times New Roman"/>
                <w:sz w:val="20"/>
                <w:szCs w:val="20"/>
              </w:rPr>
            </w:pPr>
          </w:p>
        </w:tc>
        <w:tc>
          <w:tcPr>
            <w:tcW w:w="5" w:type="pct"/>
            <w:vAlign w:val="center"/>
            <w:hideMark/>
          </w:tcPr>
          <w:p w14:paraId="3368D501" w14:textId="77777777" w:rsidR="00000000" w:rsidRDefault="00A173A8">
            <w:pPr>
              <w:spacing w:after="100"/>
              <w:rPr>
                <w:rFonts w:eastAsia="Times New Roman"/>
                <w:sz w:val="20"/>
                <w:szCs w:val="20"/>
              </w:rPr>
            </w:pPr>
          </w:p>
        </w:tc>
        <w:tc>
          <w:tcPr>
            <w:tcW w:w="50" w:type="pct"/>
            <w:vAlign w:val="center"/>
            <w:hideMark/>
          </w:tcPr>
          <w:p w14:paraId="57C05091" w14:textId="77777777" w:rsidR="00000000" w:rsidRDefault="00A173A8">
            <w:pPr>
              <w:spacing w:after="100"/>
              <w:rPr>
                <w:rFonts w:eastAsia="Times New Roman"/>
                <w:sz w:val="20"/>
                <w:szCs w:val="20"/>
              </w:rPr>
            </w:pPr>
          </w:p>
        </w:tc>
        <w:tc>
          <w:tcPr>
            <w:tcW w:w="1614" w:type="pct"/>
            <w:vAlign w:val="center"/>
            <w:hideMark/>
          </w:tcPr>
          <w:p w14:paraId="07DFB647" w14:textId="77777777" w:rsidR="00000000" w:rsidRDefault="00A173A8">
            <w:pPr>
              <w:spacing w:after="100"/>
              <w:rPr>
                <w:rFonts w:eastAsia="Times New Roman"/>
                <w:sz w:val="20"/>
                <w:szCs w:val="20"/>
              </w:rPr>
            </w:pPr>
          </w:p>
        </w:tc>
        <w:tc>
          <w:tcPr>
            <w:tcW w:w="5" w:type="pct"/>
            <w:vAlign w:val="center"/>
            <w:hideMark/>
          </w:tcPr>
          <w:p w14:paraId="2C606EFA" w14:textId="77777777" w:rsidR="00000000" w:rsidRDefault="00A173A8">
            <w:pPr>
              <w:spacing w:after="100"/>
              <w:rPr>
                <w:rFonts w:eastAsia="Times New Roman"/>
                <w:sz w:val="20"/>
                <w:szCs w:val="20"/>
              </w:rPr>
            </w:pPr>
          </w:p>
        </w:tc>
        <w:tc>
          <w:tcPr>
            <w:tcW w:w="50" w:type="pct"/>
            <w:vAlign w:val="center"/>
            <w:hideMark/>
          </w:tcPr>
          <w:p w14:paraId="0A8E349B" w14:textId="77777777" w:rsidR="00000000" w:rsidRDefault="00A173A8">
            <w:pPr>
              <w:spacing w:after="100"/>
              <w:rPr>
                <w:rFonts w:eastAsia="Times New Roman"/>
                <w:sz w:val="20"/>
                <w:szCs w:val="20"/>
              </w:rPr>
            </w:pPr>
          </w:p>
        </w:tc>
        <w:tc>
          <w:tcPr>
            <w:tcW w:w="1614" w:type="pct"/>
            <w:vAlign w:val="center"/>
            <w:hideMark/>
          </w:tcPr>
          <w:p w14:paraId="0C84D23D" w14:textId="77777777" w:rsidR="00000000" w:rsidRDefault="00A173A8">
            <w:pPr>
              <w:spacing w:after="100"/>
              <w:rPr>
                <w:rFonts w:eastAsia="Times New Roman"/>
                <w:sz w:val="20"/>
                <w:szCs w:val="20"/>
              </w:rPr>
            </w:pPr>
          </w:p>
        </w:tc>
        <w:tc>
          <w:tcPr>
            <w:tcW w:w="5" w:type="pct"/>
            <w:vAlign w:val="center"/>
            <w:hideMark/>
          </w:tcPr>
          <w:p w14:paraId="5E821CEA" w14:textId="77777777" w:rsidR="00000000" w:rsidRDefault="00A173A8">
            <w:pPr>
              <w:spacing w:after="100"/>
              <w:rPr>
                <w:rFonts w:eastAsia="Times New Roman"/>
                <w:sz w:val="20"/>
                <w:szCs w:val="20"/>
              </w:rPr>
            </w:pPr>
          </w:p>
        </w:tc>
      </w:tr>
      <w:tr w:rsidR="00000000" w14:paraId="66907F02" w14:textId="77777777">
        <w:trPr>
          <w:divId w:val="750350658"/>
          <w:trHeight w:val="300"/>
          <w:jc w:val="center"/>
        </w:trPr>
        <w:tc>
          <w:tcPr>
            <w:tcW w:w="0" w:type="auto"/>
            <w:gridSpan w:val="9"/>
            <w:tcMar>
              <w:top w:w="0" w:type="dxa"/>
              <w:left w:w="20" w:type="dxa"/>
              <w:bottom w:w="0" w:type="dxa"/>
              <w:right w:w="20" w:type="dxa"/>
            </w:tcMar>
            <w:vAlign w:val="center"/>
            <w:hideMark/>
          </w:tcPr>
          <w:p w14:paraId="411F3DBE" w14:textId="77777777" w:rsidR="00000000" w:rsidRDefault="00A173A8">
            <w:pPr>
              <w:spacing w:after="100"/>
              <w:rPr>
                <w:rFonts w:eastAsia="Times New Roman"/>
                <w:sz w:val="20"/>
                <w:szCs w:val="20"/>
              </w:rPr>
            </w:pPr>
          </w:p>
        </w:tc>
      </w:tr>
      <w:tr w:rsidR="00000000" w14:paraId="36A2AE9F" w14:textId="77777777">
        <w:trPr>
          <w:divId w:val="750350658"/>
          <w:jc w:val="center"/>
        </w:trPr>
        <w:tc>
          <w:tcPr>
            <w:tcW w:w="0" w:type="auto"/>
            <w:gridSpan w:val="3"/>
            <w:tcMar>
              <w:top w:w="0" w:type="dxa"/>
              <w:left w:w="20" w:type="dxa"/>
              <w:bottom w:w="0" w:type="dxa"/>
              <w:right w:w="20" w:type="dxa"/>
            </w:tcMar>
            <w:vAlign w:val="center"/>
            <w:hideMark/>
          </w:tcPr>
          <w:p w14:paraId="50655986"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B2855CD" w14:textId="77777777" w:rsidR="00000000" w:rsidRDefault="00A173A8">
            <w:pPr>
              <w:spacing w:after="100"/>
              <w:jc w:val="center"/>
              <w:rPr>
                <w:rFonts w:eastAsia="Times New Roman"/>
              </w:rPr>
            </w:pPr>
            <w:r>
              <w:rPr>
                <w:rFonts w:eastAsia="Times New Roman"/>
                <w:color w:val="000000"/>
                <w:sz w:val="16"/>
                <w:szCs w:val="16"/>
              </w:rPr>
              <w:t>53</w:t>
            </w:r>
          </w:p>
        </w:tc>
        <w:tc>
          <w:tcPr>
            <w:tcW w:w="0" w:type="auto"/>
            <w:gridSpan w:val="3"/>
            <w:tcMar>
              <w:top w:w="30" w:type="dxa"/>
              <w:left w:w="20" w:type="dxa"/>
              <w:bottom w:w="30" w:type="dxa"/>
              <w:right w:w="20" w:type="dxa"/>
            </w:tcMar>
            <w:vAlign w:val="bottom"/>
            <w:hideMark/>
          </w:tcPr>
          <w:p w14:paraId="3570776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A11E6AD" w14:textId="77777777" w:rsidR="00000000" w:rsidRDefault="00A173A8">
      <w:pPr>
        <w:rPr>
          <w:rFonts w:eastAsia="Times New Roman"/>
        </w:rPr>
      </w:pPr>
      <w:r>
        <w:rPr>
          <w:rFonts w:eastAsia="Times New Roman"/>
        </w:rPr>
        <w:pict w14:anchorId="370EC170">
          <v:rect id="_x0000_i1078" style="width:0;height:1.5pt" o:hralign="center" o:hrstd="t" o:hr="t" fillcolor="#a0a0a0" stroked="f"/>
        </w:pict>
      </w:r>
    </w:p>
    <w:p w14:paraId="3BCB3751" w14:textId="77777777" w:rsidR="00000000" w:rsidRDefault="00A173A8">
      <w:pPr>
        <w:ind w:hanging="360"/>
        <w:jc w:val="both"/>
        <w:divId w:val="863326573"/>
        <w:rPr>
          <w:rFonts w:eastAsia="Times New Roman"/>
        </w:rPr>
      </w:pPr>
      <w:hyperlink w:anchor="i7ffd5d61af6f4722b1b1b07530d51c06_13" w:history="1">
        <w:r>
          <w:rPr>
            <w:rStyle w:val="a3"/>
            <w:rFonts w:eastAsia="Times New Roman"/>
            <w:sz w:val="16"/>
            <w:szCs w:val="16"/>
          </w:rPr>
          <w:t>Table of Contents</w:t>
        </w:r>
      </w:hyperlink>
    </w:p>
    <w:p w14:paraId="7E15E84D" w14:textId="77777777" w:rsidR="00000000" w:rsidRDefault="00A173A8">
      <w:pPr>
        <w:ind w:hanging="360"/>
        <w:jc w:val="both"/>
        <w:divId w:val="2113889073"/>
        <w:rPr>
          <w:rFonts w:eastAsia="Times New Roman"/>
        </w:rPr>
      </w:pPr>
      <w:r>
        <w:rPr>
          <w:rFonts w:eastAsia="Times New Roman"/>
          <w:color w:val="000000"/>
          <w:sz w:val="20"/>
          <w:szCs w:val="20"/>
        </w:rPr>
        <w:t>•assessing the proposed rule issued by the Federal Reserve pursuant to the implementation of the Adjustable Interest Rate (LIBOR) Act passed by</w:t>
      </w:r>
      <w:r>
        <w:rPr>
          <w:rFonts w:eastAsia="Times New Roman"/>
          <w:color w:val="000000"/>
          <w:sz w:val="20"/>
          <w:szCs w:val="20"/>
        </w:rPr>
        <w:t xml:space="preserve"> Congress earlier this year in which the Federal Reserve recommends benchmark replacement rates for covered derivative transactions and cash transactions where a practicable interest rate fallback method has not been established by June 30, 2023, including</w:t>
      </w:r>
      <w:r>
        <w:rPr>
          <w:rFonts w:eastAsia="Times New Roman"/>
          <w:color w:val="000000"/>
          <w:sz w:val="20"/>
          <w:szCs w:val="20"/>
        </w:rPr>
        <w:t xml:space="preserve"> those in which a government-sponsored enterprise is a party.</w:t>
      </w:r>
    </w:p>
    <w:p w14:paraId="297DD5EC" w14:textId="77777777" w:rsidR="00000000" w:rsidRDefault="00A173A8">
      <w:pPr>
        <w:jc w:val="both"/>
        <w:divId w:val="1865245237"/>
        <w:rPr>
          <w:rFonts w:eastAsia="Times New Roman"/>
        </w:rPr>
      </w:pPr>
      <w:r>
        <w:rPr>
          <w:rFonts w:eastAsia="Times New Roman"/>
          <w:color w:val="000000"/>
          <w:sz w:val="20"/>
          <w:szCs w:val="20"/>
        </w:rPr>
        <w:t>The majority of LIBOR contracts that we have transitioned to alternative rates have employed the Secured Overnight Financing Rate (“SOFR”). In the U.S., SOFR has been selected as the preferred a</w:t>
      </w:r>
      <w:r>
        <w:rPr>
          <w:rFonts w:eastAsia="Times New Roman"/>
          <w:color w:val="000000"/>
          <w:sz w:val="20"/>
          <w:szCs w:val="20"/>
        </w:rPr>
        <w:t xml:space="preserve">lternative rate by the ARRC for certain U.S. dollar derivative and cash instruments. We have proactively worked with customers and prepared our systems, models, valuation tools and processes to focus originations on SOFR and other non-LIBOR rates and will </w:t>
      </w:r>
      <w:r>
        <w:rPr>
          <w:rFonts w:eastAsia="Times New Roman"/>
          <w:color w:val="000000"/>
          <w:sz w:val="20"/>
          <w:szCs w:val="20"/>
        </w:rPr>
        <w:t xml:space="preserve">continue to do so. While the majority of our non-LIBOR transactions have utilized SOFR, we have also employed credit sensitive alternative rates to LIBOR, to a limited extent, in response to customer demand. </w:t>
      </w:r>
    </w:p>
    <w:p w14:paraId="5B8493A0" w14:textId="77777777" w:rsidR="00000000" w:rsidRDefault="00A173A8">
      <w:pPr>
        <w:jc w:val="both"/>
        <w:divId w:val="1067604121"/>
        <w:rPr>
          <w:rFonts w:eastAsia="Times New Roman"/>
        </w:rPr>
      </w:pPr>
      <w:r>
        <w:rPr>
          <w:rFonts w:eastAsia="Times New Roman"/>
          <w:color w:val="000000"/>
          <w:sz w:val="20"/>
          <w:szCs w:val="20"/>
        </w:rPr>
        <w:t>To track transition status, instruments are cat</w:t>
      </w:r>
      <w:r>
        <w:rPr>
          <w:rFonts w:eastAsia="Times New Roman"/>
          <w:color w:val="000000"/>
          <w:sz w:val="20"/>
          <w:szCs w:val="20"/>
        </w:rPr>
        <w:t>egorized based on whether they have fallback language (which may or may not adhere to the ISDA and ARRC standards) or have no fallback language. Instruments with no fallback language represent a higher risk for not transitioning from LIBOR by June 30, 2023</w:t>
      </w:r>
      <w:r>
        <w:rPr>
          <w:rFonts w:eastAsia="Times New Roman"/>
          <w:color w:val="000000"/>
          <w:sz w:val="20"/>
          <w:szCs w:val="20"/>
        </w:rPr>
        <w:t xml:space="preserve">. </w:t>
      </w:r>
      <w:r>
        <w:rPr>
          <w:rFonts w:eastAsia="Times New Roman"/>
          <w:color w:val="000000"/>
          <w:sz w:val="20"/>
          <w:szCs w:val="20"/>
          <w:shd w:val="clear" w:color="auto" w:fill="FFFFFF"/>
        </w:rPr>
        <w:t>The majority of the instruments maturing after June 30, 2023 are derivatives and commercial loans, which are summarized in the table below.</w:t>
      </w:r>
      <w:r>
        <w:rPr>
          <w:rFonts w:eastAsia="Times New Roman"/>
          <w:color w:val="000000"/>
          <w:sz w:val="20"/>
          <w:szCs w:val="20"/>
        </w:rPr>
        <w:t xml:space="preserve"> Of these instruments, the majority contain fallback language which adheres to the ISDA and ARRC standards. The LIB</w:t>
      </w:r>
      <w:r>
        <w:rPr>
          <w:rFonts w:eastAsia="Times New Roman"/>
          <w:color w:val="000000"/>
          <w:sz w:val="20"/>
          <w:szCs w:val="20"/>
        </w:rPr>
        <w:t>OR Act provides a means for transitioning contracts that lack fallback language and which we are not able to otherwise remediate prior to LIBOR cessation. We will continue to focus on reducing our LIBOR exposures through our transition efforts, normal oper</w:t>
      </w:r>
      <w:r>
        <w:rPr>
          <w:rFonts w:eastAsia="Times New Roman"/>
          <w:color w:val="000000"/>
          <w:sz w:val="20"/>
          <w:szCs w:val="20"/>
        </w:rPr>
        <w:t xml:space="preserve">ations and customer interactions. </w:t>
      </w:r>
    </w:p>
    <w:p w14:paraId="0820599D" w14:textId="77777777" w:rsidR="00000000" w:rsidRDefault="00A173A8">
      <w:pPr>
        <w:divId w:val="2076392446"/>
        <w:rPr>
          <w:rFonts w:eastAsia="Times New Roman"/>
        </w:rPr>
      </w:pPr>
      <w:r>
        <w:rPr>
          <w:rFonts w:eastAsia="Times New Roman"/>
          <w:b/>
          <w:bCs/>
          <w:color w:val="000000"/>
          <w:sz w:val="18"/>
          <w:szCs w:val="18"/>
        </w:rPr>
        <w:t>Table 35: LIBOR Exposures on Derivatives and Commercial Loans</w:t>
      </w:r>
    </w:p>
    <w:tbl>
      <w:tblPr>
        <w:tblW w:w="5000" w:type="pct"/>
        <w:tblCellMar>
          <w:top w:w="15" w:type="dxa"/>
          <w:left w:w="15" w:type="dxa"/>
          <w:bottom w:w="15" w:type="dxa"/>
          <w:right w:w="15" w:type="dxa"/>
        </w:tblCellMar>
        <w:tblLook w:val="04A0" w:firstRow="1" w:lastRow="0" w:firstColumn="1" w:lastColumn="0" w:noHBand="0" w:noVBand="1"/>
      </w:tblPr>
      <w:tblGrid>
        <w:gridCol w:w="40"/>
        <w:gridCol w:w="2137"/>
        <w:gridCol w:w="39"/>
        <w:gridCol w:w="36"/>
        <w:gridCol w:w="36"/>
        <w:gridCol w:w="36"/>
        <w:gridCol w:w="121"/>
        <w:gridCol w:w="1753"/>
        <w:gridCol w:w="36"/>
        <w:gridCol w:w="36"/>
        <w:gridCol w:w="36"/>
        <w:gridCol w:w="36"/>
        <w:gridCol w:w="121"/>
        <w:gridCol w:w="1753"/>
        <w:gridCol w:w="36"/>
        <w:gridCol w:w="36"/>
        <w:gridCol w:w="36"/>
        <w:gridCol w:w="36"/>
        <w:gridCol w:w="121"/>
        <w:gridCol w:w="1753"/>
        <w:gridCol w:w="36"/>
        <w:gridCol w:w="36"/>
      </w:tblGrid>
      <w:tr w:rsidR="00000000" w14:paraId="21A7DF41" w14:textId="77777777">
        <w:trPr>
          <w:divId w:val="1418557464"/>
        </w:trPr>
        <w:tc>
          <w:tcPr>
            <w:tcW w:w="50" w:type="pct"/>
            <w:vAlign w:val="center"/>
            <w:hideMark/>
          </w:tcPr>
          <w:p w14:paraId="5C1A9282" w14:textId="77777777" w:rsidR="00000000" w:rsidRDefault="00A173A8">
            <w:pPr>
              <w:rPr>
                <w:rFonts w:eastAsia="Times New Roman"/>
              </w:rPr>
            </w:pPr>
          </w:p>
        </w:tc>
        <w:tc>
          <w:tcPr>
            <w:tcW w:w="1326" w:type="pct"/>
            <w:vAlign w:val="center"/>
            <w:hideMark/>
          </w:tcPr>
          <w:p w14:paraId="02736118" w14:textId="77777777" w:rsidR="00000000" w:rsidRDefault="00A173A8">
            <w:pPr>
              <w:spacing w:after="100"/>
              <w:rPr>
                <w:rFonts w:eastAsia="Times New Roman"/>
                <w:sz w:val="20"/>
                <w:szCs w:val="20"/>
              </w:rPr>
            </w:pPr>
          </w:p>
        </w:tc>
        <w:tc>
          <w:tcPr>
            <w:tcW w:w="5" w:type="pct"/>
            <w:vAlign w:val="center"/>
            <w:hideMark/>
          </w:tcPr>
          <w:p w14:paraId="1F607D5C" w14:textId="77777777" w:rsidR="00000000" w:rsidRDefault="00A173A8">
            <w:pPr>
              <w:spacing w:after="100"/>
              <w:rPr>
                <w:rFonts w:eastAsia="Times New Roman"/>
                <w:sz w:val="20"/>
                <w:szCs w:val="20"/>
              </w:rPr>
            </w:pPr>
          </w:p>
        </w:tc>
        <w:tc>
          <w:tcPr>
            <w:tcW w:w="5" w:type="pct"/>
            <w:vAlign w:val="center"/>
            <w:hideMark/>
          </w:tcPr>
          <w:p w14:paraId="53B5E945" w14:textId="77777777" w:rsidR="00000000" w:rsidRDefault="00A173A8">
            <w:pPr>
              <w:spacing w:after="100"/>
              <w:rPr>
                <w:rFonts w:eastAsia="Times New Roman"/>
                <w:sz w:val="20"/>
                <w:szCs w:val="20"/>
              </w:rPr>
            </w:pPr>
          </w:p>
        </w:tc>
        <w:tc>
          <w:tcPr>
            <w:tcW w:w="26" w:type="pct"/>
            <w:vAlign w:val="center"/>
            <w:hideMark/>
          </w:tcPr>
          <w:p w14:paraId="04C2EB6A" w14:textId="77777777" w:rsidR="00000000" w:rsidRDefault="00A173A8">
            <w:pPr>
              <w:spacing w:after="100"/>
              <w:rPr>
                <w:rFonts w:eastAsia="Times New Roman"/>
                <w:sz w:val="20"/>
                <w:szCs w:val="20"/>
              </w:rPr>
            </w:pPr>
          </w:p>
        </w:tc>
        <w:tc>
          <w:tcPr>
            <w:tcW w:w="5" w:type="pct"/>
            <w:vAlign w:val="center"/>
            <w:hideMark/>
          </w:tcPr>
          <w:p w14:paraId="44CDF1D6" w14:textId="77777777" w:rsidR="00000000" w:rsidRDefault="00A173A8">
            <w:pPr>
              <w:spacing w:after="100"/>
              <w:rPr>
                <w:rFonts w:eastAsia="Times New Roman"/>
                <w:sz w:val="20"/>
                <w:szCs w:val="20"/>
              </w:rPr>
            </w:pPr>
          </w:p>
        </w:tc>
        <w:tc>
          <w:tcPr>
            <w:tcW w:w="50" w:type="pct"/>
            <w:vAlign w:val="center"/>
            <w:hideMark/>
          </w:tcPr>
          <w:p w14:paraId="2BC37EA7" w14:textId="77777777" w:rsidR="00000000" w:rsidRDefault="00A173A8">
            <w:pPr>
              <w:spacing w:after="100"/>
              <w:rPr>
                <w:rFonts w:eastAsia="Times New Roman"/>
                <w:sz w:val="20"/>
                <w:szCs w:val="20"/>
              </w:rPr>
            </w:pPr>
          </w:p>
        </w:tc>
        <w:tc>
          <w:tcPr>
            <w:tcW w:w="1114" w:type="pct"/>
            <w:vAlign w:val="center"/>
            <w:hideMark/>
          </w:tcPr>
          <w:p w14:paraId="05DE9354" w14:textId="77777777" w:rsidR="00000000" w:rsidRDefault="00A173A8">
            <w:pPr>
              <w:spacing w:after="100"/>
              <w:rPr>
                <w:rFonts w:eastAsia="Times New Roman"/>
                <w:sz w:val="20"/>
                <w:szCs w:val="20"/>
              </w:rPr>
            </w:pPr>
          </w:p>
        </w:tc>
        <w:tc>
          <w:tcPr>
            <w:tcW w:w="5" w:type="pct"/>
            <w:vAlign w:val="center"/>
            <w:hideMark/>
          </w:tcPr>
          <w:p w14:paraId="46C6BC01" w14:textId="77777777" w:rsidR="00000000" w:rsidRDefault="00A173A8">
            <w:pPr>
              <w:spacing w:after="100"/>
              <w:rPr>
                <w:rFonts w:eastAsia="Times New Roman"/>
                <w:sz w:val="20"/>
                <w:szCs w:val="20"/>
              </w:rPr>
            </w:pPr>
          </w:p>
        </w:tc>
        <w:tc>
          <w:tcPr>
            <w:tcW w:w="5" w:type="pct"/>
            <w:vAlign w:val="center"/>
            <w:hideMark/>
          </w:tcPr>
          <w:p w14:paraId="51275EEF" w14:textId="77777777" w:rsidR="00000000" w:rsidRDefault="00A173A8">
            <w:pPr>
              <w:spacing w:after="100"/>
              <w:rPr>
                <w:rFonts w:eastAsia="Times New Roman"/>
                <w:sz w:val="20"/>
                <w:szCs w:val="20"/>
              </w:rPr>
            </w:pPr>
          </w:p>
        </w:tc>
        <w:tc>
          <w:tcPr>
            <w:tcW w:w="26" w:type="pct"/>
            <w:vAlign w:val="center"/>
            <w:hideMark/>
          </w:tcPr>
          <w:p w14:paraId="6E71D83A" w14:textId="77777777" w:rsidR="00000000" w:rsidRDefault="00A173A8">
            <w:pPr>
              <w:spacing w:after="100"/>
              <w:rPr>
                <w:rFonts w:eastAsia="Times New Roman"/>
                <w:sz w:val="20"/>
                <w:szCs w:val="20"/>
              </w:rPr>
            </w:pPr>
          </w:p>
        </w:tc>
        <w:tc>
          <w:tcPr>
            <w:tcW w:w="5" w:type="pct"/>
            <w:vAlign w:val="center"/>
            <w:hideMark/>
          </w:tcPr>
          <w:p w14:paraId="20812E5F" w14:textId="77777777" w:rsidR="00000000" w:rsidRDefault="00A173A8">
            <w:pPr>
              <w:spacing w:after="100"/>
              <w:rPr>
                <w:rFonts w:eastAsia="Times New Roman"/>
                <w:sz w:val="20"/>
                <w:szCs w:val="20"/>
              </w:rPr>
            </w:pPr>
          </w:p>
        </w:tc>
        <w:tc>
          <w:tcPr>
            <w:tcW w:w="50" w:type="pct"/>
            <w:vAlign w:val="center"/>
            <w:hideMark/>
          </w:tcPr>
          <w:p w14:paraId="16DCAB63" w14:textId="77777777" w:rsidR="00000000" w:rsidRDefault="00A173A8">
            <w:pPr>
              <w:spacing w:after="100"/>
              <w:rPr>
                <w:rFonts w:eastAsia="Times New Roman"/>
                <w:sz w:val="20"/>
                <w:szCs w:val="20"/>
              </w:rPr>
            </w:pPr>
          </w:p>
        </w:tc>
        <w:tc>
          <w:tcPr>
            <w:tcW w:w="1114" w:type="pct"/>
            <w:vAlign w:val="center"/>
            <w:hideMark/>
          </w:tcPr>
          <w:p w14:paraId="2AA7A346" w14:textId="77777777" w:rsidR="00000000" w:rsidRDefault="00A173A8">
            <w:pPr>
              <w:spacing w:after="100"/>
              <w:rPr>
                <w:rFonts w:eastAsia="Times New Roman"/>
                <w:sz w:val="20"/>
                <w:szCs w:val="20"/>
              </w:rPr>
            </w:pPr>
          </w:p>
        </w:tc>
        <w:tc>
          <w:tcPr>
            <w:tcW w:w="5" w:type="pct"/>
            <w:vAlign w:val="center"/>
            <w:hideMark/>
          </w:tcPr>
          <w:p w14:paraId="7C2F71A5" w14:textId="77777777" w:rsidR="00000000" w:rsidRDefault="00A173A8">
            <w:pPr>
              <w:spacing w:after="100"/>
              <w:rPr>
                <w:rFonts w:eastAsia="Times New Roman"/>
                <w:sz w:val="20"/>
                <w:szCs w:val="20"/>
              </w:rPr>
            </w:pPr>
          </w:p>
        </w:tc>
        <w:tc>
          <w:tcPr>
            <w:tcW w:w="5" w:type="pct"/>
            <w:vAlign w:val="center"/>
            <w:hideMark/>
          </w:tcPr>
          <w:p w14:paraId="4327B024" w14:textId="77777777" w:rsidR="00000000" w:rsidRDefault="00A173A8">
            <w:pPr>
              <w:spacing w:after="100"/>
              <w:rPr>
                <w:rFonts w:eastAsia="Times New Roman"/>
                <w:sz w:val="20"/>
                <w:szCs w:val="20"/>
              </w:rPr>
            </w:pPr>
          </w:p>
        </w:tc>
        <w:tc>
          <w:tcPr>
            <w:tcW w:w="26" w:type="pct"/>
            <w:vAlign w:val="center"/>
            <w:hideMark/>
          </w:tcPr>
          <w:p w14:paraId="649D2FD0" w14:textId="77777777" w:rsidR="00000000" w:rsidRDefault="00A173A8">
            <w:pPr>
              <w:spacing w:after="100"/>
              <w:rPr>
                <w:rFonts w:eastAsia="Times New Roman"/>
                <w:sz w:val="20"/>
                <w:szCs w:val="20"/>
              </w:rPr>
            </w:pPr>
          </w:p>
        </w:tc>
        <w:tc>
          <w:tcPr>
            <w:tcW w:w="5" w:type="pct"/>
            <w:vAlign w:val="center"/>
            <w:hideMark/>
          </w:tcPr>
          <w:p w14:paraId="7D403D7D" w14:textId="77777777" w:rsidR="00000000" w:rsidRDefault="00A173A8">
            <w:pPr>
              <w:spacing w:after="100"/>
              <w:rPr>
                <w:rFonts w:eastAsia="Times New Roman"/>
                <w:sz w:val="20"/>
                <w:szCs w:val="20"/>
              </w:rPr>
            </w:pPr>
          </w:p>
        </w:tc>
        <w:tc>
          <w:tcPr>
            <w:tcW w:w="50" w:type="pct"/>
            <w:vAlign w:val="center"/>
            <w:hideMark/>
          </w:tcPr>
          <w:p w14:paraId="2483D913" w14:textId="77777777" w:rsidR="00000000" w:rsidRDefault="00A173A8">
            <w:pPr>
              <w:spacing w:after="100"/>
              <w:rPr>
                <w:rFonts w:eastAsia="Times New Roman"/>
                <w:sz w:val="20"/>
                <w:szCs w:val="20"/>
              </w:rPr>
            </w:pPr>
          </w:p>
        </w:tc>
        <w:tc>
          <w:tcPr>
            <w:tcW w:w="1114" w:type="pct"/>
            <w:vAlign w:val="center"/>
            <w:hideMark/>
          </w:tcPr>
          <w:p w14:paraId="712B80B2" w14:textId="77777777" w:rsidR="00000000" w:rsidRDefault="00A173A8">
            <w:pPr>
              <w:spacing w:after="100"/>
              <w:rPr>
                <w:rFonts w:eastAsia="Times New Roman"/>
                <w:sz w:val="20"/>
                <w:szCs w:val="20"/>
              </w:rPr>
            </w:pPr>
          </w:p>
        </w:tc>
        <w:tc>
          <w:tcPr>
            <w:tcW w:w="5" w:type="pct"/>
            <w:vAlign w:val="center"/>
            <w:hideMark/>
          </w:tcPr>
          <w:p w14:paraId="2CF521DA" w14:textId="77777777" w:rsidR="00000000" w:rsidRDefault="00A173A8">
            <w:pPr>
              <w:spacing w:after="100"/>
              <w:rPr>
                <w:rFonts w:eastAsia="Times New Roman"/>
                <w:sz w:val="20"/>
                <w:szCs w:val="20"/>
              </w:rPr>
            </w:pPr>
          </w:p>
        </w:tc>
        <w:tc>
          <w:tcPr>
            <w:tcW w:w="0" w:type="auto"/>
            <w:vAlign w:val="center"/>
            <w:hideMark/>
          </w:tcPr>
          <w:p w14:paraId="53208555" w14:textId="77777777" w:rsidR="00000000" w:rsidRDefault="00A173A8">
            <w:pPr>
              <w:spacing w:after="100"/>
              <w:rPr>
                <w:rFonts w:eastAsia="Times New Roman"/>
                <w:sz w:val="20"/>
                <w:szCs w:val="20"/>
              </w:rPr>
            </w:pPr>
          </w:p>
        </w:tc>
      </w:tr>
      <w:tr w:rsidR="00000000" w14:paraId="15E511EC" w14:textId="77777777">
        <w:trPr>
          <w:divId w:val="1418557464"/>
        </w:trPr>
        <w:tc>
          <w:tcPr>
            <w:tcW w:w="0" w:type="auto"/>
            <w:gridSpan w:val="3"/>
            <w:tcMar>
              <w:top w:w="30" w:type="dxa"/>
              <w:left w:w="20" w:type="dxa"/>
              <w:bottom w:w="30" w:type="dxa"/>
              <w:right w:w="20" w:type="dxa"/>
            </w:tcMar>
            <w:vAlign w:val="bottom"/>
            <w:hideMark/>
          </w:tcPr>
          <w:p w14:paraId="402C7E21"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05EF96B4" w14:textId="77777777" w:rsidR="00000000" w:rsidRDefault="00A173A8">
            <w:pPr>
              <w:spacing w:after="100"/>
              <w:rPr>
                <w:rFonts w:eastAsia="Times New Roman"/>
              </w:rPr>
            </w:pPr>
          </w:p>
        </w:tc>
        <w:tc>
          <w:tcPr>
            <w:tcW w:w="0" w:type="auto"/>
            <w:gridSpan w:val="15"/>
            <w:tcMar>
              <w:top w:w="30" w:type="dxa"/>
              <w:left w:w="20" w:type="dxa"/>
              <w:bottom w:w="30" w:type="dxa"/>
              <w:right w:w="20" w:type="dxa"/>
            </w:tcMar>
            <w:vAlign w:val="bottom"/>
            <w:hideMark/>
          </w:tcPr>
          <w:p w14:paraId="53751B48"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vAlign w:val="center"/>
            <w:hideMark/>
          </w:tcPr>
          <w:p w14:paraId="4EA47338" w14:textId="77777777" w:rsidR="00000000" w:rsidRDefault="00A173A8">
            <w:pPr>
              <w:spacing w:after="100"/>
              <w:jc w:val="center"/>
              <w:rPr>
                <w:rFonts w:eastAsia="Times New Roman"/>
              </w:rPr>
            </w:pPr>
          </w:p>
        </w:tc>
      </w:tr>
      <w:tr w:rsidR="00000000" w14:paraId="3D408D72" w14:textId="77777777">
        <w:trPr>
          <w:divId w:val="1418557464"/>
        </w:trPr>
        <w:tc>
          <w:tcPr>
            <w:tcW w:w="0" w:type="auto"/>
            <w:gridSpan w:val="3"/>
            <w:tcBorders>
              <w:top w:val="single" w:sz="8" w:space="0" w:color="000000"/>
            </w:tcBorders>
            <w:tcMar>
              <w:top w:w="30" w:type="dxa"/>
              <w:left w:w="20" w:type="dxa"/>
              <w:bottom w:w="30" w:type="dxa"/>
              <w:right w:w="20" w:type="dxa"/>
            </w:tcMar>
            <w:vAlign w:val="bottom"/>
            <w:hideMark/>
          </w:tcPr>
          <w:p w14:paraId="0FED57C4" w14:textId="77777777" w:rsidR="00000000" w:rsidRDefault="00A173A8">
            <w:pPr>
              <w:spacing w:after="100"/>
              <w:jc w:val="center"/>
              <w:rPr>
                <w:rFonts w:eastAsia="Times New Roman"/>
              </w:rPr>
            </w:pPr>
            <w:r>
              <w:rPr>
                <w:rFonts w:eastAsia="Times New Roman"/>
                <w:b/>
                <w:bCs/>
                <w:color w:val="000000"/>
                <w:sz w:val="20"/>
                <w:szCs w:val="20"/>
              </w:rPr>
              <w:t>Exposure Typ</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1F4CA331"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1D4FFD" w14:textId="77777777" w:rsidR="00000000" w:rsidRDefault="00A173A8">
            <w:pPr>
              <w:spacing w:after="100"/>
              <w:jc w:val="center"/>
              <w:rPr>
                <w:rFonts w:eastAsia="Times New Roman"/>
              </w:rPr>
            </w:pPr>
            <w:r>
              <w:rPr>
                <w:rFonts w:eastAsia="Times New Roman"/>
                <w:b/>
                <w:bCs/>
                <w:color w:val="000000"/>
                <w:sz w:val="20"/>
                <w:szCs w:val="20"/>
              </w:rPr>
              <w:t>Total LIBOR Commitments</w:t>
            </w:r>
          </w:p>
        </w:tc>
        <w:tc>
          <w:tcPr>
            <w:tcW w:w="0" w:type="auto"/>
            <w:gridSpan w:val="3"/>
            <w:tcBorders>
              <w:top w:val="single" w:sz="8" w:space="0" w:color="000000"/>
            </w:tcBorders>
            <w:tcMar>
              <w:top w:w="0" w:type="dxa"/>
              <w:left w:w="20" w:type="dxa"/>
              <w:bottom w:w="0" w:type="dxa"/>
              <w:right w:w="20" w:type="dxa"/>
            </w:tcMar>
            <w:vAlign w:val="center"/>
            <w:hideMark/>
          </w:tcPr>
          <w:p w14:paraId="319277C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0AB39C" w14:textId="77777777" w:rsidR="00000000" w:rsidRDefault="00A173A8">
            <w:pPr>
              <w:spacing w:after="100"/>
              <w:jc w:val="center"/>
              <w:rPr>
                <w:rFonts w:eastAsia="Times New Roman"/>
              </w:rPr>
            </w:pPr>
            <w:r>
              <w:rPr>
                <w:rFonts w:eastAsia="Times New Roman"/>
                <w:b/>
                <w:bCs/>
                <w:color w:val="000000"/>
                <w:sz w:val="20"/>
                <w:szCs w:val="20"/>
              </w:rPr>
              <w:t>Total LIBOR Commitments Maturing after June 30, 2023</w:t>
            </w:r>
          </w:p>
        </w:tc>
        <w:tc>
          <w:tcPr>
            <w:tcW w:w="0" w:type="auto"/>
            <w:gridSpan w:val="3"/>
            <w:tcBorders>
              <w:top w:val="single" w:sz="8" w:space="0" w:color="000000"/>
            </w:tcBorders>
            <w:tcMar>
              <w:top w:w="0" w:type="dxa"/>
              <w:left w:w="20" w:type="dxa"/>
              <w:bottom w:w="0" w:type="dxa"/>
              <w:right w:w="20" w:type="dxa"/>
            </w:tcMar>
            <w:vAlign w:val="center"/>
            <w:hideMark/>
          </w:tcPr>
          <w:p w14:paraId="4499541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3BF030" w14:textId="77777777" w:rsidR="00000000" w:rsidRDefault="00A173A8">
            <w:pPr>
              <w:spacing w:after="100"/>
              <w:jc w:val="center"/>
              <w:rPr>
                <w:rFonts w:eastAsia="Times New Roman"/>
              </w:rPr>
            </w:pPr>
            <w:r>
              <w:rPr>
                <w:rFonts w:eastAsia="Times New Roman"/>
                <w:b/>
                <w:bCs/>
                <w:color w:val="000000"/>
                <w:sz w:val="20"/>
                <w:szCs w:val="20"/>
              </w:rPr>
              <w:t>Total LIBOR Commitments Maturing after June 30, 2023 Without Fallback Language</w:t>
            </w:r>
          </w:p>
        </w:tc>
        <w:tc>
          <w:tcPr>
            <w:tcW w:w="0" w:type="auto"/>
            <w:vAlign w:val="center"/>
            <w:hideMark/>
          </w:tcPr>
          <w:p w14:paraId="1B7A489E" w14:textId="77777777" w:rsidR="00000000" w:rsidRDefault="00A173A8">
            <w:pPr>
              <w:spacing w:after="100"/>
              <w:jc w:val="center"/>
              <w:rPr>
                <w:rFonts w:eastAsia="Times New Roman"/>
              </w:rPr>
            </w:pPr>
          </w:p>
        </w:tc>
      </w:tr>
      <w:tr w:rsidR="00000000" w14:paraId="2F5E0A5B" w14:textId="77777777">
        <w:trPr>
          <w:divId w:val="141855746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07F2328" w14:textId="77777777" w:rsidR="00000000" w:rsidRDefault="00A173A8">
            <w:pPr>
              <w:spacing w:after="100"/>
              <w:rPr>
                <w:rFonts w:eastAsia="Times New Roman"/>
              </w:rPr>
            </w:pPr>
            <w:r>
              <w:rPr>
                <w:rFonts w:eastAsia="Times New Roman"/>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14:paraId="5874A014"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D2E047F"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96F3ED3" w14:textId="77777777" w:rsidR="00000000" w:rsidRDefault="00A173A8">
            <w:pPr>
              <w:spacing w:after="100"/>
              <w:jc w:val="right"/>
              <w:rPr>
                <w:rFonts w:eastAsia="Times New Roman"/>
              </w:rPr>
            </w:pPr>
            <w:r>
              <w:rPr>
                <w:rFonts w:eastAsia="Times New Roman"/>
                <w:b/>
                <w:bCs/>
                <w:color w:val="000000"/>
                <w:sz w:val="20"/>
                <w:szCs w:val="20"/>
              </w:rPr>
              <w:t>84,458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C9F1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0CFF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A766AD5"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BED20C7" w14:textId="77777777" w:rsidR="00000000" w:rsidRDefault="00A173A8">
            <w:pPr>
              <w:spacing w:after="100"/>
              <w:jc w:val="right"/>
              <w:rPr>
                <w:rFonts w:eastAsia="Times New Roman"/>
              </w:rPr>
            </w:pPr>
            <w:r>
              <w:rPr>
                <w:rFonts w:eastAsia="Times New Roman"/>
                <w:b/>
                <w:bCs/>
                <w:color w:val="000000"/>
                <w:sz w:val="20"/>
                <w:szCs w:val="20"/>
              </w:rPr>
              <w:t>54,953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0F635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639E0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8B1878B"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DA9D104" w14:textId="77777777" w:rsidR="00000000" w:rsidRDefault="00A173A8">
            <w:pPr>
              <w:spacing w:after="100"/>
              <w:jc w:val="right"/>
              <w:rPr>
                <w:rFonts w:eastAsia="Times New Roman"/>
              </w:rPr>
            </w:pPr>
            <w:r>
              <w:rPr>
                <w:rFonts w:eastAsia="Times New Roman"/>
                <w:b/>
                <w:bCs/>
                <w:color w:val="000000"/>
                <w:sz w:val="20"/>
                <w:szCs w:val="20"/>
              </w:rPr>
              <w:t>12,467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C4410C" w14:textId="77777777" w:rsidR="00000000" w:rsidRDefault="00A173A8">
            <w:pPr>
              <w:spacing w:after="100"/>
              <w:jc w:val="right"/>
              <w:rPr>
                <w:rFonts w:eastAsia="Times New Roman"/>
              </w:rPr>
            </w:pPr>
          </w:p>
        </w:tc>
        <w:tc>
          <w:tcPr>
            <w:tcW w:w="0" w:type="auto"/>
            <w:vAlign w:val="center"/>
            <w:hideMark/>
          </w:tcPr>
          <w:p w14:paraId="120044DA" w14:textId="77777777" w:rsidR="00000000" w:rsidRDefault="00A173A8">
            <w:pPr>
              <w:spacing w:after="100"/>
              <w:jc w:val="right"/>
              <w:rPr>
                <w:rFonts w:eastAsia="Times New Roman"/>
                <w:sz w:val="20"/>
                <w:szCs w:val="20"/>
              </w:rPr>
            </w:pPr>
          </w:p>
        </w:tc>
      </w:tr>
      <w:tr w:rsidR="00000000" w14:paraId="66B7F0FA" w14:textId="77777777">
        <w:trPr>
          <w:divId w:val="1418557464"/>
        </w:trPr>
        <w:tc>
          <w:tcPr>
            <w:tcW w:w="0" w:type="auto"/>
            <w:gridSpan w:val="3"/>
            <w:shd w:val="clear" w:color="auto" w:fill="FFFFFF"/>
            <w:tcMar>
              <w:top w:w="30" w:type="dxa"/>
              <w:left w:w="20" w:type="dxa"/>
              <w:bottom w:w="30" w:type="dxa"/>
              <w:right w:w="20" w:type="dxa"/>
            </w:tcMar>
            <w:vAlign w:val="center"/>
            <w:hideMark/>
          </w:tcPr>
          <w:p w14:paraId="45C01083" w14:textId="77777777" w:rsidR="00000000" w:rsidRDefault="00A173A8">
            <w:pPr>
              <w:spacing w:after="100"/>
              <w:rPr>
                <w:rFonts w:eastAsia="Times New Roman"/>
              </w:rPr>
            </w:pPr>
            <w:r>
              <w:rPr>
                <w:rFonts w:eastAsia="Times New Roman"/>
                <w:color w:val="000000"/>
                <w:sz w:val="20"/>
                <w:szCs w:val="20"/>
              </w:rPr>
              <w:t>Commercial loans</w:t>
            </w:r>
          </w:p>
        </w:tc>
        <w:tc>
          <w:tcPr>
            <w:tcW w:w="0" w:type="auto"/>
            <w:gridSpan w:val="3"/>
            <w:shd w:val="clear" w:color="auto" w:fill="FFFFFF"/>
            <w:tcMar>
              <w:top w:w="0" w:type="dxa"/>
              <w:left w:w="20" w:type="dxa"/>
              <w:bottom w:w="0" w:type="dxa"/>
              <w:right w:w="20" w:type="dxa"/>
            </w:tcMar>
            <w:vAlign w:val="center"/>
            <w:hideMark/>
          </w:tcPr>
          <w:p w14:paraId="7446480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7473274" w14:textId="77777777" w:rsidR="00000000" w:rsidRDefault="00A173A8">
            <w:pPr>
              <w:spacing w:after="100"/>
              <w:jc w:val="right"/>
              <w:rPr>
                <w:rFonts w:eastAsia="Times New Roman"/>
              </w:rPr>
            </w:pPr>
            <w:r>
              <w:rPr>
                <w:rFonts w:eastAsia="Times New Roman"/>
                <w:b/>
                <w:bCs/>
                <w:color w:val="000000"/>
                <w:sz w:val="20"/>
                <w:szCs w:val="20"/>
              </w:rPr>
              <w:t>63,696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1675F3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D6B7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D1B3CB" w14:textId="77777777" w:rsidR="00000000" w:rsidRDefault="00A173A8">
            <w:pPr>
              <w:spacing w:after="100"/>
              <w:jc w:val="right"/>
              <w:rPr>
                <w:rFonts w:eastAsia="Times New Roman"/>
              </w:rPr>
            </w:pPr>
            <w:r>
              <w:rPr>
                <w:rFonts w:eastAsia="Times New Roman"/>
                <w:b/>
                <w:bCs/>
                <w:color w:val="000000"/>
                <w:sz w:val="20"/>
                <w:szCs w:val="20"/>
              </w:rPr>
              <w:t>51,279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DEB1F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AD66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A02CCD" w14:textId="77777777" w:rsidR="00000000" w:rsidRDefault="00A173A8">
            <w:pPr>
              <w:spacing w:after="100"/>
              <w:jc w:val="right"/>
              <w:rPr>
                <w:rFonts w:eastAsia="Times New Roman"/>
              </w:rPr>
            </w:pPr>
            <w:r>
              <w:rPr>
                <w:rFonts w:eastAsia="Times New Roman"/>
                <w:b/>
                <w:bCs/>
                <w:color w:val="000000"/>
                <w:sz w:val="20"/>
                <w:szCs w:val="20"/>
              </w:rPr>
              <w:t>1,608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1BE35FDC" w14:textId="77777777" w:rsidR="00000000" w:rsidRDefault="00A173A8">
            <w:pPr>
              <w:spacing w:after="100"/>
              <w:jc w:val="right"/>
              <w:rPr>
                <w:rFonts w:eastAsia="Times New Roman"/>
              </w:rPr>
            </w:pPr>
          </w:p>
        </w:tc>
        <w:tc>
          <w:tcPr>
            <w:tcW w:w="0" w:type="auto"/>
            <w:vAlign w:val="center"/>
            <w:hideMark/>
          </w:tcPr>
          <w:p w14:paraId="7CE134EA" w14:textId="77777777" w:rsidR="00000000" w:rsidRDefault="00A173A8">
            <w:pPr>
              <w:spacing w:after="100"/>
              <w:jc w:val="right"/>
              <w:rPr>
                <w:rFonts w:eastAsia="Times New Roman"/>
                <w:sz w:val="20"/>
                <w:szCs w:val="20"/>
              </w:rPr>
            </w:pPr>
          </w:p>
        </w:tc>
      </w:tr>
      <w:tr w:rsidR="00000000" w14:paraId="05EE698D" w14:textId="77777777">
        <w:trPr>
          <w:divId w:val="1418557464"/>
        </w:trPr>
        <w:tc>
          <w:tcPr>
            <w:tcW w:w="0" w:type="auto"/>
            <w:gridSpan w:val="3"/>
            <w:shd w:val="clear" w:color="auto" w:fill="CCEEFF"/>
            <w:tcMar>
              <w:top w:w="30" w:type="dxa"/>
              <w:left w:w="20" w:type="dxa"/>
              <w:bottom w:w="30" w:type="dxa"/>
              <w:right w:w="20" w:type="dxa"/>
            </w:tcMar>
            <w:vAlign w:val="center"/>
            <w:hideMark/>
          </w:tcPr>
          <w:p w14:paraId="39A481B6"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7710E341"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DEB2108"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05F29D1" w14:textId="77777777" w:rsidR="00000000" w:rsidRDefault="00A173A8">
            <w:pPr>
              <w:spacing w:after="100"/>
              <w:jc w:val="right"/>
              <w:rPr>
                <w:rFonts w:eastAsia="Times New Roman"/>
              </w:rPr>
            </w:pPr>
            <w:r>
              <w:rPr>
                <w:rFonts w:eastAsia="Times New Roman"/>
                <w:b/>
                <w:bCs/>
                <w:color w:val="000000"/>
                <w:sz w:val="20"/>
                <w:szCs w:val="20"/>
              </w:rPr>
              <w:t>148,154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DD3FEB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DF400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7A8BB31"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F220E6E" w14:textId="77777777" w:rsidR="00000000" w:rsidRDefault="00A173A8">
            <w:pPr>
              <w:spacing w:after="100"/>
              <w:jc w:val="right"/>
              <w:rPr>
                <w:rFonts w:eastAsia="Times New Roman"/>
              </w:rPr>
            </w:pPr>
            <w:r>
              <w:rPr>
                <w:rFonts w:eastAsia="Times New Roman"/>
                <w:b/>
                <w:bCs/>
                <w:color w:val="000000"/>
                <w:sz w:val="20"/>
                <w:szCs w:val="20"/>
              </w:rPr>
              <w:t>106,232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89084A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3EBE3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113DD88"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22681ED" w14:textId="77777777" w:rsidR="00000000" w:rsidRDefault="00A173A8">
            <w:pPr>
              <w:spacing w:after="100"/>
              <w:jc w:val="right"/>
              <w:rPr>
                <w:rFonts w:eastAsia="Times New Roman"/>
              </w:rPr>
            </w:pPr>
            <w:r>
              <w:rPr>
                <w:rFonts w:eastAsia="Times New Roman"/>
                <w:b/>
                <w:bCs/>
                <w:color w:val="000000"/>
                <w:sz w:val="20"/>
                <w:szCs w:val="20"/>
              </w:rPr>
              <w:t>14,075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A531A92" w14:textId="77777777" w:rsidR="00000000" w:rsidRDefault="00A173A8">
            <w:pPr>
              <w:spacing w:after="100"/>
              <w:jc w:val="right"/>
              <w:rPr>
                <w:rFonts w:eastAsia="Times New Roman"/>
              </w:rPr>
            </w:pPr>
          </w:p>
        </w:tc>
        <w:tc>
          <w:tcPr>
            <w:tcW w:w="0" w:type="auto"/>
            <w:vAlign w:val="center"/>
            <w:hideMark/>
          </w:tcPr>
          <w:p w14:paraId="012F12BC" w14:textId="77777777" w:rsidR="00000000" w:rsidRDefault="00A173A8">
            <w:pPr>
              <w:spacing w:after="100"/>
              <w:jc w:val="right"/>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202"/>
        <w:gridCol w:w="144"/>
        <w:gridCol w:w="144"/>
        <w:gridCol w:w="144"/>
        <w:gridCol w:w="144"/>
        <w:gridCol w:w="144"/>
        <w:gridCol w:w="1850"/>
        <w:gridCol w:w="144"/>
        <w:gridCol w:w="144"/>
        <w:gridCol w:w="144"/>
        <w:gridCol w:w="144"/>
        <w:gridCol w:w="144"/>
        <w:gridCol w:w="1850"/>
        <w:gridCol w:w="144"/>
        <w:gridCol w:w="144"/>
        <w:gridCol w:w="144"/>
        <w:gridCol w:w="144"/>
        <w:gridCol w:w="144"/>
        <w:gridCol w:w="1850"/>
        <w:gridCol w:w="144"/>
      </w:tblGrid>
      <w:tr w:rsidR="00000000" w14:paraId="125B07B2" w14:textId="77777777">
        <w:tc>
          <w:tcPr>
            <w:tcW w:w="50" w:type="pct"/>
            <w:vAlign w:val="center"/>
            <w:hideMark/>
          </w:tcPr>
          <w:p w14:paraId="265402FE" w14:textId="77777777" w:rsidR="00000000" w:rsidRDefault="00A173A8">
            <w:pPr>
              <w:rPr>
                <w:rFonts w:eastAsia="Times New Roman"/>
              </w:rPr>
            </w:pPr>
          </w:p>
        </w:tc>
        <w:tc>
          <w:tcPr>
            <w:tcW w:w="1326" w:type="pct"/>
            <w:vAlign w:val="center"/>
            <w:hideMark/>
          </w:tcPr>
          <w:p w14:paraId="0003952A" w14:textId="77777777" w:rsidR="00000000" w:rsidRDefault="00A173A8">
            <w:pPr>
              <w:spacing w:after="100"/>
              <w:rPr>
                <w:rFonts w:eastAsia="Times New Roman"/>
                <w:sz w:val="20"/>
                <w:szCs w:val="20"/>
              </w:rPr>
            </w:pPr>
          </w:p>
        </w:tc>
        <w:tc>
          <w:tcPr>
            <w:tcW w:w="5" w:type="pct"/>
            <w:vAlign w:val="center"/>
            <w:hideMark/>
          </w:tcPr>
          <w:p w14:paraId="247E1A01" w14:textId="77777777" w:rsidR="00000000" w:rsidRDefault="00A173A8">
            <w:pPr>
              <w:spacing w:after="100"/>
              <w:rPr>
                <w:rFonts w:eastAsia="Times New Roman"/>
                <w:sz w:val="20"/>
                <w:szCs w:val="20"/>
              </w:rPr>
            </w:pPr>
          </w:p>
        </w:tc>
        <w:tc>
          <w:tcPr>
            <w:tcW w:w="5" w:type="pct"/>
            <w:vAlign w:val="center"/>
            <w:hideMark/>
          </w:tcPr>
          <w:p w14:paraId="14B85ADE" w14:textId="77777777" w:rsidR="00000000" w:rsidRDefault="00A173A8">
            <w:pPr>
              <w:spacing w:after="100"/>
              <w:rPr>
                <w:rFonts w:eastAsia="Times New Roman"/>
                <w:sz w:val="20"/>
                <w:szCs w:val="20"/>
              </w:rPr>
            </w:pPr>
          </w:p>
        </w:tc>
        <w:tc>
          <w:tcPr>
            <w:tcW w:w="26" w:type="pct"/>
            <w:vAlign w:val="center"/>
            <w:hideMark/>
          </w:tcPr>
          <w:p w14:paraId="7F82ACAB" w14:textId="77777777" w:rsidR="00000000" w:rsidRDefault="00A173A8">
            <w:pPr>
              <w:spacing w:after="100"/>
              <w:rPr>
                <w:rFonts w:eastAsia="Times New Roman"/>
                <w:sz w:val="20"/>
                <w:szCs w:val="20"/>
              </w:rPr>
            </w:pPr>
          </w:p>
        </w:tc>
        <w:tc>
          <w:tcPr>
            <w:tcW w:w="5" w:type="pct"/>
            <w:vAlign w:val="center"/>
            <w:hideMark/>
          </w:tcPr>
          <w:p w14:paraId="53271AE6" w14:textId="77777777" w:rsidR="00000000" w:rsidRDefault="00A173A8">
            <w:pPr>
              <w:spacing w:after="100"/>
              <w:rPr>
                <w:rFonts w:eastAsia="Times New Roman"/>
                <w:sz w:val="20"/>
                <w:szCs w:val="20"/>
              </w:rPr>
            </w:pPr>
          </w:p>
        </w:tc>
        <w:tc>
          <w:tcPr>
            <w:tcW w:w="50" w:type="pct"/>
            <w:vAlign w:val="center"/>
            <w:hideMark/>
          </w:tcPr>
          <w:p w14:paraId="1E3FD049" w14:textId="77777777" w:rsidR="00000000" w:rsidRDefault="00A173A8">
            <w:pPr>
              <w:spacing w:after="100"/>
              <w:rPr>
                <w:rFonts w:eastAsia="Times New Roman"/>
                <w:sz w:val="20"/>
                <w:szCs w:val="20"/>
              </w:rPr>
            </w:pPr>
          </w:p>
        </w:tc>
        <w:tc>
          <w:tcPr>
            <w:tcW w:w="1114" w:type="pct"/>
            <w:vAlign w:val="center"/>
            <w:hideMark/>
          </w:tcPr>
          <w:p w14:paraId="1126351F" w14:textId="77777777" w:rsidR="00000000" w:rsidRDefault="00A173A8">
            <w:pPr>
              <w:spacing w:after="100"/>
              <w:rPr>
                <w:rFonts w:eastAsia="Times New Roman"/>
                <w:sz w:val="20"/>
                <w:szCs w:val="20"/>
              </w:rPr>
            </w:pPr>
          </w:p>
        </w:tc>
        <w:tc>
          <w:tcPr>
            <w:tcW w:w="5" w:type="pct"/>
            <w:vAlign w:val="center"/>
            <w:hideMark/>
          </w:tcPr>
          <w:p w14:paraId="01D0AD5F" w14:textId="77777777" w:rsidR="00000000" w:rsidRDefault="00A173A8">
            <w:pPr>
              <w:spacing w:after="100"/>
              <w:rPr>
                <w:rFonts w:eastAsia="Times New Roman"/>
                <w:sz w:val="20"/>
                <w:szCs w:val="20"/>
              </w:rPr>
            </w:pPr>
          </w:p>
        </w:tc>
        <w:tc>
          <w:tcPr>
            <w:tcW w:w="5" w:type="pct"/>
            <w:vAlign w:val="center"/>
            <w:hideMark/>
          </w:tcPr>
          <w:p w14:paraId="3D97D773" w14:textId="77777777" w:rsidR="00000000" w:rsidRDefault="00A173A8">
            <w:pPr>
              <w:spacing w:after="100"/>
              <w:rPr>
                <w:rFonts w:eastAsia="Times New Roman"/>
                <w:sz w:val="20"/>
                <w:szCs w:val="20"/>
              </w:rPr>
            </w:pPr>
          </w:p>
        </w:tc>
        <w:tc>
          <w:tcPr>
            <w:tcW w:w="26" w:type="pct"/>
            <w:vAlign w:val="center"/>
            <w:hideMark/>
          </w:tcPr>
          <w:p w14:paraId="05312AA1" w14:textId="77777777" w:rsidR="00000000" w:rsidRDefault="00A173A8">
            <w:pPr>
              <w:spacing w:after="100"/>
              <w:rPr>
                <w:rFonts w:eastAsia="Times New Roman"/>
                <w:sz w:val="20"/>
                <w:szCs w:val="20"/>
              </w:rPr>
            </w:pPr>
          </w:p>
        </w:tc>
        <w:tc>
          <w:tcPr>
            <w:tcW w:w="5" w:type="pct"/>
            <w:vAlign w:val="center"/>
            <w:hideMark/>
          </w:tcPr>
          <w:p w14:paraId="4A3D106B" w14:textId="77777777" w:rsidR="00000000" w:rsidRDefault="00A173A8">
            <w:pPr>
              <w:spacing w:after="100"/>
              <w:rPr>
                <w:rFonts w:eastAsia="Times New Roman"/>
                <w:sz w:val="20"/>
                <w:szCs w:val="20"/>
              </w:rPr>
            </w:pPr>
          </w:p>
        </w:tc>
        <w:tc>
          <w:tcPr>
            <w:tcW w:w="50" w:type="pct"/>
            <w:vAlign w:val="center"/>
            <w:hideMark/>
          </w:tcPr>
          <w:p w14:paraId="23ABBFF9" w14:textId="77777777" w:rsidR="00000000" w:rsidRDefault="00A173A8">
            <w:pPr>
              <w:spacing w:after="100"/>
              <w:rPr>
                <w:rFonts w:eastAsia="Times New Roman"/>
                <w:sz w:val="20"/>
                <w:szCs w:val="20"/>
              </w:rPr>
            </w:pPr>
          </w:p>
        </w:tc>
        <w:tc>
          <w:tcPr>
            <w:tcW w:w="1114" w:type="pct"/>
            <w:vAlign w:val="center"/>
            <w:hideMark/>
          </w:tcPr>
          <w:p w14:paraId="0EF08AE7" w14:textId="77777777" w:rsidR="00000000" w:rsidRDefault="00A173A8">
            <w:pPr>
              <w:spacing w:after="100"/>
              <w:rPr>
                <w:rFonts w:eastAsia="Times New Roman"/>
                <w:sz w:val="20"/>
                <w:szCs w:val="20"/>
              </w:rPr>
            </w:pPr>
          </w:p>
        </w:tc>
        <w:tc>
          <w:tcPr>
            <w:tcW w:w="5" w:type="pct"/>
            <w:vAlign w:val="center"/>
            <w:hideMark/>
          </w:tcPr>
          <w:p w14:paraId="3D0D726C" w14:textId="77777777" w:rsidR="00000000" w:rsidRDefault="00A173A8">
            <w:pPr>
              <w:spacing w:after="100"/>
              <w:rPr>
                <w:rFonts w:eastAsia="Times New Roman"/>
                <w:sz w:val="20"/>
                <w:szCs w:val="20"/>
              </w:rPr>
            </w:pPr>
          </w:p>
        </w:tc>
        <w:tc>
          <w:tcPr>
            <w:tcW w:w="5" w:type="pct"/>
            <w:vAlign w:val="center"/>
            <w:hideMark/>
          </w:tcPr>
          <w:p w14:paraId="47EB5D0B" w14:textId="77777777" w:rsidR="00000000" w:rsidRDefault="00A173A8">
            <w:pPr>
              <w:spacing w:after="100"/>
              <w:rPr>
                <w:rFonts w:eastAsia="Times New Roman"/>
                <w:sz w:val="20"/>
                <w:szCs w:val="20"/>
              </w:rPr>
            </w:pPr>
          </w:p>
        </w:tc>
        <w:tc>
          <w:tcPr>
            <w:tcW w:w="26" w:type="pct"/>
            <w:vAlign w:val="center"/>
            <w:hideMark/>
          </w:tcPr>
          <w:p w14:paraId="2B5D5799" w14:textId="77777777" w:rsidR="00000000" w:rsidRDefault="00A173A8">
            <w:pPr>
              <w:spacing w:after="100"/>
              <w:rPr>
                <w:rFonts w:eastAsia="Times New Roman"/>
                <w:sz w:val="20"/>
                <w:szCs w:val="20"/>
              </w:rPr>
            </w:pPr>
          </w:p>
        </w:tc>
        <w:tc>
          <w:tcPr>
            <w:tcW w:w="5" w:type="pct"/>
            <w:vAlign w:val="center"/>
            <w:hideMark/>
          </w:tcPr>
          <w:p w14:paraId="36F651F0" w14:textId="77777777" w:rsidR="00000000" w:rsidRDefault="00A173A8">
            <w:pPr>
              <w:spacing w:after="100"/>
              <w:rPr>
                <w:rFonts w:eastAsia="Times New Roman"/>
                <w:sz w:val="20"/>
                <w:szCs w:val="20"/>
              </w:rPr>
            </w:pPr>
          </w:p>
        </w:tc>
        <w:tc>
          <w:tcPr>
            <w:tcW w:w="50" w:type="pct"/>
            <w:vAlign w:val="center"/>
            <w:hideMark/>
          </w:tcPr>
          <w:p w14:paraId="22B2375C" w14:textId="77777777" w:rsidR="00000000" w:rsidRDefault="00A173A8">
            <w:pPr>
              <w:spacing w:after="100"/>
              <w:rPr>
                <w:rFonts w:eastAsia="Times New Roman"/>
                <w:sz w:val="20"/>
                <w:szCs w:val="20"/>
              </w:rPr>
            </w:pPr>
          </w:p>
        </w:tc>
        <w:tc>
          <w:tcPr>
            <w:tcW w:w="1114" w:type="pct"/>
            <w:vAlign w:val="center"/>
            <w:hideMark/>
          </w:tcPr>
          <w:p w14:paraId="2A028FBA" w14:textId="77777777" w:rsidR="00000000" w:rsidRDefault="00A173A8">
            <w:pPr>
              <w:spacing w:after="100"/>
              <w:rPr>
                <w:rFonts w:eastAsia="Times New Roman"/>
                <w:sz w:val="20"/>
                <w:szCs w:val="20"/>
              </w:rPr>
            </w:pPr>
          </w:p>
        </w:tc>
        <w:tc>
          <w:tcPr>
            <w:tcW w:w="5" w:type="pct"/>
            <w:vAlign w:val="center"/>
            <w:hideMark/>
          </w:tcPr>
          <w:p w14:paraId="3F509B1A" w14:textId="77777777" w:rsidR="00000000" w:rsidRDefault="00A173A8">
            <w:pPr>
              <w:spacing w:after="100"/>
              <w:rPr>
                <w:rFonts w:eastAsia="Times New Roman"/>
                <w:sz w:val="20"/>
                <w:szCs w:val="20"/>
              </w:rPr>
            </w:pPr>
          </w:p>
        </w:tc>
      </w:tr>
      <w:tr w:rsidR="00000000" w14:paraId="3DC04ED3" w14:textId="77777777">
        <w:tc>
          <w:tcPr>
            <w:tcW w:w="0" w:type="auto"/>
            <w:gridSpan w:val="3"/>
            <w:tcMar>
              <w:top w:w="30" w:type="dxa"/>
              <w:left w:w="20" w:type="dxa"/>
              <w:bottom w:w="30" w:type="dxa"/>
              <w:right w:w="20" w:type="dxa"/>
            </w:tcMar>
            <w:vAlign w:val="bottom"/>
            <w:hideMark/>
          </w:tcPr>
          <w:p w14:paraId="4942E392" w14:textId="77777777" w:rsidR="00000000" w:rsidRDefault="00A173A8">
            <w:pPr>
              <w:spacing w:after="100"/>
              <w:rPr>
                <w:rFonts w:eastAsia="Times New Roman"/>
              </w:rPr>
            </w:pPr>
            <w:r>
              <w:rPr>
                <w:rFonts w:eastAsia="Times New Roman"/>
                <w:i/>
                <w:iCs/>
                <w:color w:val="000000"/>
                <w:sz w:val="20"/>
                <w:szCs w:val="20"/>
              </w:rPr>
              <w:t>(Dollars in millions)</w:t>
            </w:r>
          </w:p>
        </w:tc>
        <w:tc>
          <w:tcPr>
            <w:tcW w:w="0" w:type="auto"/>
            <w:gridSpan w:val="3"/>
            <w:tcMar>
              <w:top w:w="0" w:type="dxa"/>
              <w:left w:w="20" w:type="dxa"/>
              <w:bottom w:w="0" w:type="dxa"/>
              <w:right w:w="20" w:type="dxa"/>
            </w:tcMar>
            <w:vAlign w:val="center"/>
            <w:hideMark/>
          </w:tcPr>
          <w:p w14:paraId="262142D0" w14:textId="77777777" w:rsidR="00000000" w:rsidRDefault="00A173A8">
            <w:pPr>
              <w:spacing w:after="100"/>
              <w:rPr>
                <w:rFonts w:eastAsia="Times New Roman"/>
              </w:rPr>
            </w:pPr>
          </w:p>
        </w:tc>
        <w:tc>
          <w:tcPr>
            <w:tcW w:w="0" w:type="auto"/>
            <w:gridSpan w:val="15"/>
            <w:tcMar>
              <w:top w:w="30" w:type="dxa"/>
              <w:left w:w="20" w:type="dxa"/>
              <w:bottom w:w="30" w:type="dxa"/>
              <w:right w:w="20" w:type="dxa"/>
            </w:tcMar>
            <w:vAlign w:val="bottom"/>
            <w:hideMark/>
          </w:tcPr>
          <w:p w14:paraId="650CF92E" w14:textId="77777777" w:rsidR="00000000" w:rsidRDefault="00A173A8">
            <w:pPr>
              <w:spacing w:after="100"/>
              <w:jc w:val="center"/>
              <w:rPr>
                <w:rFonts w:eastAsia="Times New Roman"/>
              </w:rPr>
            </w:pPr>
            <w:r>
              <w:rPr>
                <w:rFonts w:eastAsia="Times New Roman"/>
                <w:b/>
                <w:bCs/>
                <w:color w:val="000000"/>
                <w:sz w:val="20"/>
                <w:szCs w:val="20"/>
              </w:rPr>
              <w:t>December 31, 2021</w:t>
            </w:r>
          </w:p>
        </w:tc>
      </w:tr>
      <w:tr w:rsidR="00000000" w14:paraId="15D7F676" w14:textId="77777777">
        <w:tc>
          <w:tcPr>
            <w:tcW w:w="0" w:type="auto"/>
            <w:gridSpan w:val="3"/>
            <w:tcBorders>
              <w:top w:val="single" w:sz="8" w:space="0" w:color="000000"/>
            </w:tcBorders>
            <w:tcMar>
              <w:top w:w="30" w:type="dxa"/>
              <w:left w:w="20" w:type="dxa"/>
              <w:bottom w:w="30" w:type="dxa"/>
              <w:right w:w="20" w:type="dxa"/>
            </w:tcMar>
            <w:vAlign w:val="bottom"/>
            <w:hideMark/>
          </w:tcPr>
          <w:p w14:paraId="159CCAD3" w14:textId="77777777" w:rsidR="00000000" w:rsidRDefault="00A173A8">
            <w:pPr>
              <w:spacing w:after="100"/>
              <w:jc w:val="center"/>
              <w:rPr>
                <w:rFonts w:eastAsia="Times New Roman"/>
              </w:rPr>
            </w:pPr>
            <w:r>
              <w:rPr>
                <w:rFonts w:eastAsia="Times New Roman"/>
                <w:b/>
                <w:bCs/>
                <w:color w:val="000000"/>
                <w:sz w:val="20"/>
                <w:szCs w:val="20"/>
              </w:rPr>
              <w:t>Exposure Typ</w:t>
            </w:r>
            <w:r>
              <w:rPr>
                <w:rFonts w:eastAsia="Times New Roman"/>
                <w:b/>
                <w:bCs/>
                <w:color w:val="000000"/>
                <w:sz w:val="20"/>
                <w:szCs w:val="20"/>
              </w:rPr>
              <w:t>e</w:t>
            </w:r>
            <w:r>
              <w:rPr>
                <w:rFonts w:eastAsia="Times New Roman"/>
                <w:b/>
                <w:bCs/>
                <w:color w:val="000000"/>
                <w:sz w:val="13"/>
                <w:szCs w:val="13"/>
              </w:rPr>
              <w:t>(1</w:t>
            </w:r>
            <w:r>
              <w:rPr>
                <w:rFonts w:eastAsia="Times New Roman"/>
                <w:b/>
                <w:bCs/>
                <w:color w:val="000000"/>
                <w:sz w:val="13"/>
                <w:szCs w:val="13"/>
              </w:rPr>
              <w:t>)</w:t>
            </w:r>
          </w:p>
        </w:tc>
        <w:tc>
          <w:tcPr>
            <w:tcW w:w="0" w:type="auto"/>
            <w:gridSpan w:val="3"/>
            <w:tcMar>
              <w:top w:w="0" w:type="dxa"/>
              <w:left w:w="20" w:type="dxa"/>
              <w:bottom w:w="0" w:type="dxa"/>
              <w:right w:w="20" w:type="dxa"/>
            </w:tcMar>
            <w:vAlign w:val="center"/>
            <w:hideMark/>
          </w:tcPr>
          <w:p w14:paraId="3B1DAFC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ED6F28" w14:textId="77777777" w:rsidR="00000000" w:rsidRDefault="00A173A8">
            <w:pPr>
              <w:spacing w:after="100"/>
              <w:jc w:val="center"/>
              <w:rPr>
                <w:rFonts w:eastAsia="Times New Roman"/>
              </w:rPr>
            </w:pPr>
            <w:r>
              <w:rPr>
                <w:rFonts w:eastAsia="Times New Roman"/>
                <w:b/>
                <w:bCs/>
                <w:color w:val="000000"/>
                <w:sz w:val="20"/>
                <w:szCs w:val="20"/>
              </w:rPr>
              <w:t>Total LIBOR Commitments</w:t>
            </w:r>
          </w:p>
        </w:tc>
        <w:tc>
          <w:tcPr>
            <w:tcW w:w="0" w:type="auto"/>
            <w:gridSpan w:val="3"/>
            <w:tcBorders>
              <w:top w:val="single" w:sz="8" w:space="0" w:color="000000"/>
            </w:tcBorders>
            <w:tcMar>
              <w:top w:w="0" w:type="dxa"/>
              <w:left w:w="20" w:type="dxa"/>
              <w:bottom w:w="0" w:type="dxa"/>
              <w:right w:w="20" w:type="dxa"/>
            </w:tcMar>
            <w:vAlign w:val="center"/>
            <w:hideMark/>
          </w:tcPr>
          <w:p w14:paraId="3BCE5A2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645C8E" w14:textId="77777777" w:rsidR="00000000" w:rsidRDefault="00A173A8">
            <w:pPr>
              <w:spacing w:after="100"/>
              <w:jc w:val="center"/>
              <w:rPr>
                <w:rFonts w:eastAsia="Times New Roman"/>
              </w:rPr>
            </w:pPr>
            <w:r>
              <w:rPr>
                <w:rFonts w:eastAsia="Times New Roman"/>
                <w:b/>
                <w:bCs/>
                <w:color w:val="000000"/>
                <w:sz w:val="20"/>
                <w:szCs w:val="20"/>
              </w:rPr>
              <w:t>Total LIBOR Commitments Maturing after June 30, 2023</w:t>
            </w:r>
          </w:p>
        </w:tc>
        <w:tc>
          <w:tcPr>
            <w:tcW w:w="0" w:type="auto"/>
            <w:gridSpan w:val="3"/>
            <w:tcBorders>
              <w:top w:val="single" w:sz="8" w:space="0" w:color="000000"/>
            </w:tcBorders>
            <w:tcMar>
              <w:top w:w="0" w:type="dxa"/>
              <w:left w:w="20" w:type="dxa"/>
              <w:bottom w:w="0" w:type="dxa"/>
              <w:right w:w="20" w:type="dxa"/>
            </w:tcMar>
            <w:vAlign w:val="center"/>
            <w:hideMark/>
          </w:tcPr>
          <w:p w14:paraId="033FB91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AD3506" w14:textId="77777777" w:rsidR="00000000" w:rsidRDefault="00A173A8">
            <w:pPr>
              <w:spacing w:after="100"/>
              <w:jc w:val="center"/>
              <w:rPr>
                <w:rFonts w:eastAsia="Times New Roman"/>
              </w:rPr>
            </w:pPr>
            <w:r>
              <w:rPr>
                <w:rFonts w:eastAsia="Times New Roman"/>
                <w:b/>
                <w:bCs/>
                <w:color w:val="000000"/>
                <w:sz w:val="20"/>
                <w:szCs w:val="20"/>
              </w:rPr>
              <w:t>Total LIBOR Commitments Maturing after June 30, 2023 Without Fallback Language</w:t>
            </w:r>
          </w:p>
        </w:tc>
      </w:tr>
      <w:tr w:rsidR="00000000" w14:paraId="4C7C3504"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916B7BB" w14:textId="77777777" w:rsidR="00000000" w:rsidRDefault="00A173A8">
            <w:pPr>
              <w:spacing w:after="100"/>
              <w:rPr>
                <w:rFonts w:eastAsia="Times New Roman"/>
              </w:rPr>
            </w:pPr>
            <w:r>
              <w:rPr>
                <w:rFonts w:eastAsia="Times New Roman"/>
                <w:color w:val="000000"/>
                <w:sz w:val="20"/>
                <w:szCs w:val="20"/>
              </w:rPr>
              <w:t>Derivatives</w:t>
            </w:r>
          </w:p>
        </w:tc>
        <w:tc>
          <w:tcPr>
            <w:tcW w:w="0" w:type="auto"/>
            <w:gridSpan w:val="3"/>
            <w:shd w:val="clear" w:color="auto" w:fill="CCEEFF"/>
            <w:tcMar>
              <w:top w:w="0" w:type="dxa"/>
              <w:left w:w="20" w:type="dxa"/>
              <w:bottom w:w="0" w:type="dxa"/>
              <w:right w:w="20" w:type="dxa"/>
            </w:tcMar>
            <w:vAlign w:val="center"/>
            <w:hideMark/>
          </w:tcPr>
          <w:p w14:paraId="17933084"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4B8F88C"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723B600" w14:textId="77777777" w:rsidR="00000000" w:rsidRDefault="00A173A8">
            <w:pPr>
              <w:spacing w:after="100"/>
              <w:jc w:val="right"/>
              <w:rPr>
                <w:rFonts w:eastAsia="Times New Roman"/>
              </w:rPr>
            </w:pPr>
            <w:r>
              <w:rPr>
                <w:rFonts w:eastAsia="Times New Roman"/>
                <w:color w:val="000000"/>
                <w:sz w:val="20"/>
                <w:szCs w:val="20"/>
              </w:rPr>
              <w:t>103,562 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09FF1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C983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EB8FF13"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A1E6E77" w14:textId="77777777" w:rsidR="00000000" w:rsidRDefault="00A173A8">
            <w:pPr>
              <w:spacing w:after="100"/>
              <w:jc w:val="right"/>
              <w:rPr>
                <w:rFonts w:eastAsia="Times New Roman"/>
              </w:rPr>
            </w:pPr>
            <w:r>
              <w:rPr>
                <w:rFonts w:eastAsia="Times New Roman"/>
                <w:color w:val="000000"/>
                <w:sz w:val="20"/>
                <w:szCs w:val="20"/>
              </w:rPr>
              <w:t>64,605 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80C1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79A4F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FBABB4D"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9B04087" w14:textId="77777777" w:rsidR="00000000" w:rsidRDefault="00A173A8">
            <w:pPr>
              <w:spacing w:after="100"/>
              <w:jc w:val="right"/>
              <w:rPr>
                <w:rFonts w:eastAsia="Times New Roman"/>
              </w:rPr>
            </w:pPr>
            <w:r>
              <w:rPr>
                <w:rFonts w:eastAsia="Times New Roman"/>
                <w:color w:val="000000"/>
                <w:sz w:val="20"/>
                <w:szCs w:val="20"/>
              </w:rPr>
              <w:t>14,536 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A866C9" w14:textId="77777777" w:rsidR="00000000" w:rsidRDefault="00A173A8">
            <w:pPr>
              <w:spacing w:after="100"/>
              <w:jc w:val="right"/>
              <w:rPr>
                <w:rFonts w:eastAsia="Times New Roman"/>
              </w:rPr>
            </w:pPr>
          </w:p>
        </w:tc>
      </w:tr>
      <w:tr w:rsidR="00000000" w14:paraId="0ACD69BF" w14:textId="77777777">
        <w:tc>
          <w:tcPr>
            <w:tcW w:w="0" w:type="auto"/>
            <w:gridSpan w:val="3"/>
            <w:shd w:val="clear" w:color="auto" w:fill="FFFFFF"/>
            <w:tcMar>
              <w:top w:w="30" w:type="dxa"/>
              <w:left w:w="20" w:type="dxa"/>
              <w:bottom w:w="30" w:type="dxa"/>
              <w:right w:w="20" w:type="dxa"/>
            </w:tcMar>
            <w:vAlign w:val="center"/>
            <w:hideMark/>
          </w:tcPr>
          <w:p w14:paraId="540AA801" w14:textId="77777777" w:rsidR="00000000" w:rsidRDefault="00A173A8">
            <w:pPr>
              <w:spacing w:after="100"/>
              <w:rPr>
                <w:rFonts w:eastAsia="Times New Roman"/>
              </w:rPr>
            </w:pPr>
            <w:r>
              <w:rPr>
                <w:rFonts w:eastAsia="Times New Roman"/>
                <w:color w:val="000000"/>
                <w:sz w:val="20"/>
                <w:szCs w:val="20"/>
              </w:rPr>
              <w:t>Commercial loans</w:t>
            </w:r>
          </w:p>
        </w:tc>
        <w:tc>
          <w:tcPr>
            <w:tcW w:w="0" w:type="auto"/>
            <w:gridSpan w:val="3"/>
            <w:shd w:val="clear" w:color="auto" w:fill="FFFFFF"/>
            <w:tcMar>
              <w:top w:w="0" w:type="dxa"/>
              <w:left w:w="20" w:type="dxa"/>
              <w:bottom w:w="0" w:type="dxa"/>
              <w:right w:w="20" w:type="dxa"/>
            </w:tcMar>
            <w:vAlign w:val="center"/>
            <w:hideMark/>
          </w:tcPr>
          <w:p w14:paraId="37DC082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F30A4B2" w14:textId="77777777" w:rsidR="00000000" w:rsidRDefault="00A173A8">
            <w:pPr>
              <w:spacing w:after="100"/>
              <w:jc w:val="right"/>
              <w:rPr>
                <w:rFonts w:eastAsia="Times New Roman"/>
              </w:rPr>
            </w:pPr>
            <w:r>
              <w:rPr>
                <w:rFonts w:eastAsia="Times New Roman"/>
                <w:color w:val="000000"/>
                <w:sz w:val="20"/>
                <w:szCs w:val="20"/>
              </w:rPr>
              <w:t>101,488 </w:t>
            </w:r>
          </w:p>
        </w:tc>
        <w:tc>
          <w:tcPr>
            <w:tcW w:w="0" w:type="auto"/>
            <w:shd w:val="clear" w:color="auto" w:fill="FFFFFF"/>
            <w:tcMar>
              <w:top w:w="30" w:type="dxa"/>
              <w:left w:w="0" w:type="dxa"/>
              <w:bottom w:w="30" w:type="dxa"/>
              <w:right w:w="20" w:type="dxa"/>
            </w:tcMar>
            <w:vAlign w:val="center"/>
            <w:hideMark/>
          </w:tcPr>
          <w:p w14:paraId="582AF7C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1B46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2315C8" w14:textId="77777777" w:rsidR="00000000" w:rsidRDefault="00A173A8">
            <w:pPr>
              <w:spacing w:after="100"/>
              <w:jc w:val="right"/>
              <w:rPr>
                <w:rFonts w:eastAsia="Times New Roman"/>
              </w:rPr>
            </w:pPr>
            <w:r>
              <w:rPr>
                <w:rFonts w:eastAsia="Times New Roman"/>
                <w:color w:val="000000"/>
                <w:sz w:val="20"/>
                <w:szCs w:val="20"/>
              </w:rPr>
              <w:t>71,874 </w:t>
            </w:r>
          </w:p>
        </w:tc>
        <w:tc>
          <w:tcPr>
            <w:tcW w:w="0" w:type="auto"/>
            <w:shd w:val="clear" w:color="auto" w:fill="FFFFFF"/>
            <w:tcMar>
              <w:top w:w="30" w:type="dxa"/>
              <w:left w:w="0" w:type="dxa"/>
              <w:bottom w:w="30" w:type="dxa"/>
              <w:right w:w="20" w:type="dxa"/>
            </w:tcMar>
            <w:vAlign w:val="center"/>
            <w:hideMark/>
          </w:tcPr>
          <w:p w14:paraId="29077A3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E9552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7538BF" w14:textId="77777777" w:rsidR="00000000" w:rsidRDefault="00A173A8">
            <w:pPr>
              <w:spacing w:after="100"/>
              <w:jc w:val="right"/>
              <w:rPr>
                <w:rFonts w:eastAsia="Times New Roman"/>
              </w:rPr>
            </w:pPr>
            <w:r>
              <w:rPr>
                <w:rFonts w:eastAsia="Times New Roman"/>
                <w:color w:val="000000"/>
                <w:sz w:val="20"/>
                <w:szCs w:val="20"/>
              </w:rPr>
              <w:t>2,047 </w:t>
            </w:r>
          </w:p>
        </w:tc>
        <w:tc>
          <w:tcPr>
            <w:tcW w:w="0" w:type="auto"/>
            <w:shd w:val="clear" w:color="auto" w:fill="FFFFFF"/>
            <w:tcMar>
              <w:top w:w="30" w:type="dxa"/>
              <w:left w:w="0" w:type="dxa"/>
              <w:bottom w:w="30" w:type="dxa"/>
              <w:right w:w="20" w:type="dxa"/>
            </w:tcMar>
            <w:vAlign w:val="center"/>
            <w:hideMark/>
          </w:tcPr>
          <w:p w14:paraId="440EE754" w14:textId="77777777" w:rsidR="00000000" w:rsidRDefault="00A173A8">
            <w:pPr>
              <w:spacing w:after="100"/>
              <w:jc w:val="right"/>
              <w:rPr>
                <w:rFonts w:eastAsia="Times New Roman"/>
              </w:rPr>
            </w:pPr>
          </w:p>
        </w:tc>
      </w:tr>
      <w:tr w:rsidR="00000000" w14:paraId="2DAF14AB" w14:textId="77777777">
        <w:tc>
          <w:tcPr>
            <w:tcW w:w="0" w:type="auto"/>
            <w:gridSpan w:val="3"/>
            <w:shd w:val="clear" w:color="auto" w:fill="CCEEFF"/>
            <w:tcMar>
              <w:top w:w="30" w:type="dxa"/>
              <w:left w:w="20" w:type="dxa"/>
              <w:bottom w:w="30" w:type="dxa"/>
              <w:right w:w="20" w:type="dxa"/>
            </w:tcMar>
            <w:vAlign w:val="center"/>
            <w:hideMark/>
          </w:tcPr>
          <w:p w14:paraId="055E6AE7" w14:textId="77777777" w:rsidR="00000000" w:rsidRDefault="00A173A8">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1237E155"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4CC4350"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B3F07D7" w14:textId="77777777" w:rsidR="00000000" w:rsidRDefault="00A173A8">
            <w:pPr>
              <w:spacing w:after="100"/>
              <w:jc w:val="right"/>
              <w:rPr>
                <w:rFonts w:eastAsia="Times New Roman"/>
              </w:rPr>
            </w:pPr>
            <w:r>
              <w:rPr>
                <w:rFonts w:eastAsia="Times New Roman"/>
                <w:color w:val="000000"/>
                <w:sz w:val="20"/>
                <w:szCs w:val="20"/>
              </w:rPr>
              <w:t>205,050 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C1C8A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F201C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83B721C"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B9559D7" w14:textId="77777777" w:rsidR="00000000" w:rsidRDefault="00A173A8">
            <w:pPr>
              <w:spacing w:after="100"/>
              <w:jc w:val="right"/>
              <w:rPr>
                <w:rFonts w:eastAsia="Times New Roman"/>
              </w:rPr>
            </w:pPr>
            <w:r>
              <w:rPr>
                <w:rFonts w:eastAsia="Times New Roman"/>
                <w:color w:val="000000"/>
                <w:sz w:val="20"/>
                <w:szCs w:val="20"/>
              </w:rPr>
              <w:t>136,479 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BA4536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FE55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4AE157E"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57B6947" w14:textId="77777777" w:rsidR="00000000" w:rsidRDefault="00A173A8">
            <w:pPr>
              <w:spacing w:after="100"/>
              <w:jc w:val="right"/>
              <w:rPr>
                <w:rFonts w:eastAsia="Times New Roman"/>
              </w:rPr>
            </w:pPr>
            <w:r>
              <w:rPr>
                <w:rFonts w:eastAsia="Times New Roman"/>
                <w:color w:val="000000"/>
                <w:sz w:val="20"/>
                <w:szCs w:val="20"/>
              </w:rPr>
              <w:t>16,583 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A828ED9" w14:textId="77777777" w:rsidR="00000000" w:rsidRDefault="00A173A8">
            <w:pPr>
              <w:spacing w:after="100"/>
              <w:jc w:val="right"/>
              <w:rPr>
                <w:rFonts w:eastAsia="Times New Roman"/>
              </w:rPr>
            </w:pPr>
          </w:p>
        </w:tc>
      </w:tr>
    </w:tbl>
    <w:p w14:paraId="30B8A4EF" w14:textId="77777777" w:rsidR="00000000" w:rsidRDefault="00A173A8">
      <w:pPr>
        <w:jc w:val="both"/>
        <w:rPr>
          <w:rFonts w:eastAsia="Times New Roman"/>
        </w:rPr>
      </w:pPr>
      <w:r>
        <w:rPr>
          <w:rFonts w:eastAsia="Times New Roman"/>
          <w:color w:val="000000"/>
          <w:sz w:val="20"/>
          <w:szCs w:val="20"/>
        </w:rPr>
        <w:t>_________</w:t>
      </w:r>
    </w:p>
    <w:p w14:paraId="369C433C" w14:textId="77777777" w:rsidR="00000000" w:rsidRDefault="00A173A8">
      <w:pPr>
        <w:ind w:hanging="360"/>
        <w:jc w:val="both"/>
        <w:divId w:val="181432459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Commercial loan balances represent maximum potential exposures and derivatives represent notional exposure.</w:t>
      </w:r>
    </w:p>
    <w:p w14:paraId="23CC298B" w14:textId="77777777" w:rsidR="00000000" w:rsidRDefault="00A173A8">
      <w:pPr>
        <w:jc w:val="both"/>
        <w:divId w:val="408189241"/>
        <w:rPr>
          <w:rFonts w:eastAsia="Times New Roman"/>
        </w:rPr>
      </w:pPr>
      <w:r>
        <w:rPr>
          <w:rFonts w:eastAsia="Times New Roman"/>
          <w:color w:val="000000"/>
          <w:sz w:val="20"/>
          <w:szCs w:val="20"/>
        </w:rPr>
        <w:t xml:space="preserve">These transition efforts have been implemented to remediate our remaining LIBOR contracts by June 30, 2023. For a further discussion of the various </w:t>
      </w:r>
      <w:r>
        <w:rPr>
          <w:rFonts w:eastAsia="Times New Roman"/>
          <w:color w:val="000000"/>
          <w:sz w:val="20"/>
          <w:szCs w:val="20"/>
        </w:rPr>
        <w:t>risks we face in connection with the expected replacement of LIBOR on our operations, see “Part I—Item 1A. Risk Factors—</w:t>
      </w:r>
      <w:r>
        <w:rPr>
          <w:rFonts w:eastAsia="Times New Roman"/>
          <w:i/>
          <w:iCs/>
          <w:color w:val="000000"/>
          <w:sz w:val="20"/>
          <w:szCs w:val="20"/>
        </w:rPr>
        <w:t>The transition away from LIBOR may adversely affect our business</w:t>
      </w:r>
      <w:r>
        <w:rPr>
          <w:rFonts w:eastAsia="Times New Roman"/>
          <w:color w:val="000000"/>
          <w:sz w:val="20"/>
          <w:szCs w:val="20"/>
        </w:rPr>
        <w:t>” in our 2021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BF0C1AF" w14:textId="77777777">
        <w:trPr>
          <w:divId w:val="1555628486"/>
        </w:trPr>
        <w:tc>
          <w:tcPr>
            <w:tcW w:w="50" w:type="pct"/>
            <w:vAlign w:val="center"/>
            <w:hideMark/>
          </w:tcPr>
          <w:p w14:paraId="6A627DAE" w14:textId="77777777" w:rsidR="00000000" w:rsidRDefault="00A173A8">
            <w:pPr>
              <w:jc w:val="both"/>
              <w:rPr>
                <w:rFonts w:eastAsia="Times New Roman"/>
              </w:rPr>
            </w:pPr>
          </w:p>
        </w:tc>
        <w:tc>
          <w:tcPr>
            <w:tcW w:w="4945" w:type="pct"/>
            <w:vAlign w:val="center"/>
            <w:hideMark/>
          </w:tcPr>
          <w:p w14:paraId="5F7C614A" w14:textId="77777777" w:rsidR="00000000" w:rsidRDefault="00A173A8">
            <w:pPr>
              <w:spacing w:after="100"/>
              <w:rPr>
                <w:rFonts w:eastAsia="Times New Roman"/>
                <w:sz w:val="20"/>
                <w:szCs w:val="20"/>
              </w:rPr>
            </w:pPr>
          </w:p>
        </w:tc>
        <w:tc>
          <w:tcPr>
            <w:tcW w:w="5" w:type="pct"/>
            <w:vAlign w:val="center"/>
            <w:hideMark/>
          </w:tcPr>
          <w:p w14:paraId="41AD2EFF" w14:textId="77777777" w:rsidR="00000000" w:rsidRDefault="00A173A8">
            <w:pPr>
              <w:spacing w:after="100"/>
              <w:rPr>
                <w:rFonts w:eastAsia="Times New Roman"/>
                <w:sz w:val="20"/>
                <w:szCs w:val="20"/>
              </w:rPr>
            </w:pPr>
          </w:p>
        </w:tc>
      </w:tr>
      <w:tr w:rsidR="00000000" w14:paraId="7DD3FBA8" w14:textId="77777777">
        <w:trPr>
          <w:divId w:val="1555628486"/>
        </w:trPr>
        <w:tc>
          <w:tcPr>
            <w:tcW w:w="0" w:type="auto"/>
            <w:gridSpan w:val="3"/>
            <w:tcBorders>
              <w:top w:val="single" w:sz="18" w:space="0" w:color="000000"/>
              <w:bottom w:val="single" w:sz="18" w:space="0" w:color="000000"/>
            </w:tcBorders>
            <w:shd w:val="clear" w:color="auto" w:fill="FFFFFF"/>
            <w:tcMar>
              <w:top w:w="30" w:type="dxa"/>
              <w:left w:w="20" w:type="dxa"/>
              <w:bottom w:w="30" w:type="dxa"/>
              <w:right w:w="20" w:type="dxa"/>
            </w:tcMar>
            <w:vAlign w:val="bottom"/>
            <w:hideMark/>
          </w:tcPr>
          <w:p w14:paraId="4E431045" w14:textId="77777777" w:rsidR="00000000" w:rsidRDefault="00A173A8">
            <w:pPr>
              <w:spacing w:after="100"/>
              <w:rPr>
                <w:rFonts w:eastAsia="Times New Roman"/>
              </w:rPr>
            </w:pPr>
            <w:r>
              <w:rPr>
                <w:rFonts w:eastAsia="Times New Roman"/>
                <w:b/>
                <w:bCs/>
                <w:color w:val="000000"/>
                <w:sz w:val="20"/>
                <w:szCs w:val="20"/>
              </w:rPr>
              <w:t>SUPERVISION AND REGULATION</w:t>
            </w:r>
          </w:p>
        </w:tc>
      </w:tr>
    </w:tbl>
    <w:p w14:paraId="486A5F01" w14:textId="77777777" w:rsidR="00000000" w:rsidRDefault="00A173A8">
      <w:pPr>
        <w:divId w:val="428963955"/>
        <w:rPr>
          <w:rFonts w:eastAsia="Times New Roman"/>
        </w:rPr>
      </w:pPr>
      <w:r>
        <w:rPr>
          <w:rFonts w:eastAsia="Times New Roman"/>
          <w:b/>
          <w:bCs/>
          <w:i/>
          <w:iCs/>
          <w:color w:val="000000"/>
          <w:sz w:val="20"/>
          <w:szCs w:val="20"/>
        </w:rPr>
        <w:t>Stress Capital Buffer Rule</w:t>
      </w:r>
      <w:r>
        <w:rPr>
          <w:rFonts w:eastAsia="Times New Roman"/>
          <w:b/>
          <w:bCs/>
          <w:i/>
          <w:iCs/>
          <w:color w:val="000000"/>
          <w:sz w:val="20"/>
          <w:szCs w:val="20"/>
          <w:shd w:val="clear" w:color="auto" w:fill="FFFFFF"/>
        </w:rPr>
        <w:t xml:space="preserve"> Update</w:t>
      </w:r>
    </w:p>
    <w:p w14:paraId="33CB96AF" w14:textId="77777777" w:rsidR="00000000" w:rsidRDefault="00A173A8">
      <w:pPr>
        <w:jc w:val="both"/>
        <w:divId w:val="1939101063"/>
        <w:rPr>
          <w:rFonts w:eastAsia="Times New Roman"/>
        </w:rPr>
      </w:pPr>
      <w:r>
        <w:rPr>
          <w:rFonts w:eastAsia="Times New Roman"/>
          <w:color w:val="000000"/>
          <w:sz w:val="20"/>
          <w:szCs w:val="20"/>
          <w:shd w:val="clear" w:color="auto" w:fill="FFFFFF"/>
        </w:rPr>
        <w:t>On June 23, 2022, the Federal Reserve released the results of its supervisory stress tests for the 2022 cycle. Based on the Company’s 2022 supervisory stress test results, the Company’s stress capital buffer requirement fo</w:t>
      </w:r>
      <w:r>
        <w:rPr>
          <w:rFonts w:eastAsia="Times New Roman"/>
          <w:color w:val="000000"/>
          <w:sz w:val="20"/>
          <w:szCs w:val="20"/>
          <w:shd w:val="clear" w:color="auto" w:fill="FFFFFF"/>
        </w:rPr>
        <w:t>r the period beginning on October 1, 2022 through September 30, 2023 is 3.1%. Therefore, the Company’s minimum capital requirements plus the standardized approach capital conservation buffer for CET1 capital, Tier 1 capital and total capital ratios under t</w:t>
      </w:r>
      <w:r>
        <w:rPr>
          <w:rFonts w:eastAsia="Times New Roman"/>
          <w:color w:val="000000"/>
          <w:sz w:val="20"/>
          <w:szCs w:val="20"/>
          <w:shd w:val="clear" w:color="auto" w:fill="FFFFFF"/>
        </w:rPr>
        <w:t>he stress capital buffer framework are 7.6%, 9.1% and 11.1%, respectively, for the period from October 1, 2022 through September 30, 2023.</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BACDCC3" w14:textId="77777777">
        <w:trPr>
          <w:divId w:val="1010065071"/>
          <w:jc w:val="center"/>
        </w:trPr>
        <w:tc>
          <w:tcPr>
            <w:tcW w:w="50" w:type="pct"/>
            <w:vAlign w:val="center"/>
            <w:hideMark/>
          </w:tcPr>
          <w:p w14:paraId="246091F1" w14:textId="77777777" w:rsidR="00000000" w:rsidRDefault="00A173A8">
            <w:pPr>
              <w:jc w:val="both"/>
              <w:rPr>
                <w:rFonts w:eastAsia="Times New Roman"/>
              </w:rPr>
            </w:pPr>
          </w:p>
        </w:tc>
        <w:tc>
          <w:tcPr>
            <w:tcW w:w="1606" w:type="pct"/>
            <w:vAlign w:val="center"/>
            <w:hideMark/>
          </w:tcPr>
          <w:p w14:paraId="27CB8047" w14:textId="77777777" w:rsidR="00000000" w:rsidRDefault="00A173A8">
            <w:pPr>
              <w:spacing w:after="100"/>
              <w:rPr>
                <w:rFonts w:eastAsia="Times New Roman"/>
                <w:sz w:val="20"/>
                <w:szCs w:val="20"/>
              </w:rPr>
            </w:pPr>
          </w:p>
        </w:tc>
        <w:tc>
          <w:tcPr>
            <w:tcW w:w="5" w:type="pct"/>
            <w:vAlign w:val="center"/>
            <w:hideMark/>
          </w:tcPr>
          <w:p w14:paraId="4504E056" w14:textId="77777777" w:rsidR="00000000" w:rsidRDefault="00A173A8">
            <w:pPr>
              <w:spacing w:after="100"/>
              <w:rPr>
                <w:rFonts w:eastAsia="Times New Roman"/>
                <w:sz w:val="20"/>
                <w:szCs w:val="20"/>
              </w:rPr>
            </w:pPr>
          </w:p>
        </w:tc>
        <w:tc>
          <w:tcPr>
            <w:tcW w:w="50" w:type="pct"/>
            <w:vAlign w:val="center"/>
            <w:hideMark/>
          </w:tcPr>
          <w:p w14:paraId="671F1416" w14:textId="77777777" w:rsidR="00000000" w:rsidRDefault="00A173A8">
            <w:pPr>
              <w:spacing w:after="100"/>
              <w:rPr>
                <w:rFonts w:eastAsia="Times New Roman"/>
                <w:sz w:val="20"/>
                <w:szCs w:val="20"/>
              </w:rPr>
            </w:pPr>
          </w:p>
        </w:tc>
        <w:tc>
          <w:tcPr>
            <w:tcW w:w="1614" w:type="pct"/>
            <w:vAlign w:val="center"/>
            <w:hideMark/>
          </w:tcPr>
          <w:p w14:paraId="2E528FD2" w14:textId="77777777" w:rsidR="00000000" w:rsidRDefault="00A173A8">
            <w:pPr>
              <w:spacing w:after="100"/>
              <w:rPr>
                <w:rFonts w:eastAsia="Times New Roman"/>
                <w:sz w:val="20"/>
                <w:szCs w:val="20"/>
              </w:rPr>
            </w:pPr>
          </w:p>
        </w:tc>
        <w:tc>
          <w:tcPr>
            <w:tcW w:w="5" w:type="pct"/>
            <w:vAlign w:val="center"/>
            <w:hideMark/>
          </w:tcPr>
          <w:p w14:paraId="3064407C" w14:textId="77777777" w:rsidR="00000000" w:rsidRDefault="00A173A8">
            <w:pPr>
              <w:spacing w:after="100"/>
              <w:rPr>
                <w:rFonts w:eastAsia="Times New Roman"/>
                <w:sz w:val="20"/>
                <w:szCs w:val="20"/>
              </w:rPr>
            </w:pPr>
          </w:p>
        </w:tc>
        <w:tc>
          <w:tcPr>
            <w:tcW w:w="50" w:type="pct"/>
            <w:vAlign w:val="center"/>
            <w:hideMark/>
          </w:tcPr>
          <w:p w14:paraId="110A9CAE" w14:textId="77777777" w:rsidR="00000000" w:rsidRDefault="00A173A8">
            <w:pPr>
              <w:spacing w:after="100"/>
              <w:rPr>
                <w:rFonts w:eastAsia="Times New Roman"/>
                <w:sz w:val="20"/>
                <w:szCs w:val="20"/>
              </w:rPr>
            </w:pPr>
          </w:p>
        </w:tc>
        <w:tc>
          <w:tcPr>
            <w:tcW w:w="1614" w:type="pct"/>
            <w:vAlign w:val="center"/>
            <w:hideMark/>
          </w:tcPr>
          <w:p w14:paraId="5F298B90" w14:textId="77777777" w:rsidR="00000000" w:rsidRDefault="00A173A8">
            <w:pPr>
              <w:spacing w:after="100"/>
              <w:rPr>
                <w:rFonts w:eastAsia="Times New Roman"/>
                <w:sz w:val="20"/>
                <w:szCs w:val="20"/>
              </w:rPr>
            </w:pPr>
          </w:p>
        </w:tc>
        <w:tc>
          <w:tcPr>
            <w:tcW w:w="5" w:type="pct"/>
            <w:vAlign w:val="center"/>
            <w:hideMark/>
          </w:tcPr>
          <w:p w14:paraId="57DBF0AC" w14:textId="77777777" w:rsidR="00000000" w:rsidRDefault="00A173A8">
            <w:pPr>
              <w:spacing w:after="100"/>
              <w:rPr>
                <w:rFonts w:eastAsia="Times New Roman"/>
                <w:sz w:val="20"/>
                <w:szCs w:val="20"/>
              </w:rPr>
            </w:pPr>
          </w:p>
        </w:tc>
      </w:tr>
      <w:tr w:rsidR="00000000" w14:paraId="44E70EE4" w14:textId="77777777">
        <w:trPr>
          <w:divId w:val="1010065071"/>
          <w:trHeight w:val="300"/>
          <w:jc w:val="center"/>
        </w:trPr>
        <w:tc>
          <w:tcPr>
            <w:tcW w:w="0" w:type="auto"/>
            <w:gridSpan w:val="9"/>
            <w:tcMar>
              <w:top w:w="0" w:type="dxa"/>
              <w:left w:w="20" w:type="dxa"/>
              <w:bottom w:w="0" w:type="dxa"/>
              <w:right w:w="20" w:type="dxa"/>
            </w:tcMar>
            <w:vAlign w:val="center"/>
            <w:hideMark/>
          </w:tcPr>
          <w:p w14:paraId="219DFC5C" w14:textId="77777777" w:rsidR="00000000" w:rsidRDefault="00A173A8">
            <w:pPr>
              <w:spacing w:after="100"/>
              <w:rPr>
                <w:rFonts w:eastAsia="Times New Roman"/>
                <w:sz w:val="20"/>
                <w:szCs w:val="20"/>
              </w:rPr>
            </w:pPr>
          </w:p>
        </w:tc>
      </w:tr>
      <w:tr w:rsidR="00000000" w14:paraId="078D49DE" w14:textId="77777777">
        <w:trPr>
          <w:divId w:val="1010065071"/>
          <w:jc w:val="center"/>
        </w:trPr>
        <w:tc>
          <w:tcPr>
            <w:tcW w:w="0" w:type="auto"/>
            <w:gridSpan w:val="3"/>
            <w:tcMar>
              <w:top w:w="0" w:type="dxa"/>
              <w:left w:w="20" w:type="dxa"/>
              <w:bottom w:w="0" w:type="dxa"/>
              <w:right w:w="20" w:type="dxa"/>
            </w:tcMar>
            <w:vAlign w:val="center"/>
            <w:hideMark/>
          </w:tcPr>
          <w:p w14:paraId="6F3326E1"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8676EB7" w14:textId="77777777" w:rsidR="00000000" w:rsidRDefault="00A173A8">
            <w:pPr>
              <w:spacing w:after="100"/>
              <w:jc w:val="center"/>
              <w:rPr>
                <w:rFonts w:eastAsia="Times New Roman"/>
              </w:rPr>
            </w:pPr>
            <w:r>
              <w:rPr>
                <w:rFonts w:eastAsia="Times New Roman"/>
                <w:color w:val="000000"/>
                <w:sz w:val="16"/>
                <w:szCs w:val="16"/>
              </w:rPr>
              <w:t>54</w:t>
            </w:r>
          </w:p>
        </w:tc>
        <w:tc>
          <w:tcPr>
            <w:tcW w:w="0" w:type="auto"/>
            <w:gridSpan w:val="3"/>
            <w:tcMar>
              <w:top w:w="30" w:type="dxa"/>
              <w:left w:w="20" w:type="dxa"/>
              <w:bottom w:w="30" w:type="dxa"/>
              <w:right w:w="20" w:type="dxa"/>
            </w:tcMar>
            <w:vAlign w:val="bottom"/>
            <w:hideMark/>
          </w:tcPr>
          <w:p w14:paraId="530F2863"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2576C57" w14:textId="77777777" w:rsidR="00000000" w:rsidRDefault="00A173A8">
      <w:pPr>
        <w:rPr>
          <w:rFonts w:eastAsia="Times New Roman"/>
        </w:rPr>
      </w:pPr>
      <w:r>
        <w:rPr>
          <w:rFonts w:eastAsia="Times New Roman"/>
        </w:rPr>
        <w:pict w14:anchorId="4C1FAA52">
          <v:rect id="_x0000_i1079" style="width:0;height:1.5pt" o:hralign="center" o:hrstd="t" o:hr="t" fillcolor="#a0a0a0" stroked="f"/>
        </w:pict>
      </w:r>
    </w:p>
    <w:p w14:paraId="7EE42343" w14:textId="77777777" w:rsidR="00000000" w:rsidRDefault="00A173A8">
      <w:pPr>
        <w:ind w:hanging="360"/>
        <w:jc w:val="both"/>
        <w:divId w:val="1218400847"/>
        <w:rPr>
          <w:rFonts w:eastAsia="Times New Roman"/>
        </w:rPr>
      </w:pPr>
      <w:hyperlink w:anchor="i7ffd5d61af6f4722b1b1b07530d51c06_13" w:history="1">
        <w:r>
          <w:rPr>
            <w:rStyle w:val="a3"/>
            <w:rFonts w:eastAsia="Times New Roman"/>
            <w:sz w:val="16"/>
            <w:szCs w:val="16"/>
          </w:rPr>
          <w:t>Table of Contents</w:t>
        </w:r>
      </w:hyperlink>
    </w:p>
    <w:p w14:paraId="1129C37E" w14:textId="77777777" w:rsidR="00000000" w:rsidRDefault="00A173A8">
      <w:pPr>
        <w:jc w:val="both"/>
        <w:divId w:val="1998683169"/>
        <w:rPr>
          <w:rFonts w:eastAsia="Times New Roman"/>
        </w:rPr>
      </w:pPr>
      <w:r>
        <w:rPr>
          <w:rFonts w:eastAsia="Times New Roman"/>
          <w:b/>
          <w:bCs/>
          <w:i/>
          <w:iCs/>
          <w:color w:val="000000"/>
          <w:sz w:val="20"/>
          <w:szCs w:val="20"/>
          <w:shd w:val="clear" w:color="auto" w:fill="FFFFFF"/>
        </w:rPr>
        <w:t>Deposit Insurance Assessments Update</w:t>
      </w:r>
    </w:p>
    <w:p w14:paraId="0A3D7FE2" w14:textId="77777777" w:rsidR="00000000" w:rsidRDefault="00A173A8">
      <w:pPr>
        <w:jc w:val="both"/>
        <w:divId w:val="653069671"/>
        <w:rPr>
          <w:rFonts w:eastAsia="Times New Roman"/>
        </w:rPr>
      </w:pPr>
      <w:r>
        <w:rPr>
          <w:rFonts w:eastAsia="Times New Roman"/>
          <w:color w:val="000000"/>
          <w:sz w:val="20"/>
          <w:szCs w:val="20"/>
          <w:shd w:val="clear" w:color="auto" w:fill="FFFFFF"/>
        </w:rPr>
        <w:t>On June 21, 2022, the FDIC issued a notice of proposed rulemaking that would increase initial base deposit insurance assessment rates by 2 basis points, beginning with the first quarterly assessment period of 2023. The FDIC, as required under the Federal D</w:t>
      </w:r>
      <w:r>
        <w:rPr>
          <w:rFonts w:eastAsia="Times New Roman"/>
          <w:color w:val="000000"/>
          <w:sz w:val="20"/>
          <w:szCs w:val="20"/>
          <w:shd w:val="clear" w:color="auto" w:fill="FFFFFF"/>
        </w:rPr>
        <w:t>eposit Insurance Act, established a plan in September 2020 to restore the Deposit Insurance Fund (“DIF”) reserve ratio to meet or exceed the statutory minimum of 1.35 percent within eight years. This plan did not include an increase in the deposit insuranc</w:t>
      </w:r>
      <w:r>
        <w:rPr>
          <w:rFonts w:eastAsia="Times New Roman"/>
          <w:color w:val="000000"/>
          <w:sz w:val="20"/>
          <w:szCs w:val="20"/>
          <w:shd w:val="clear" w:color="auto" w:fill="FFFFFF"/>
        </w:rPr>
        <w:t>e assessment rate. Based on the FDIC’s recent projections, however, the FDIC determined that the DIF reserve ratio is at risk of not reaching the statutory minimum by the statutory deadline of September 30, 2028 without increasing the deposit insurance ass</w:t>
      </w:r>
      <w:r>
        <w:rPr>
          <w:rFonts w:eastAsia="Times New Roman"/>
          <w:color w:val="000000"/>
          <w:sz w:val="20"/>
          <w:szCs w:val="20"/>
          <w:shd w:val="clear" w:color="auto" w:fill="FFFFFF"/>
        </w:rPr>
        <w:t>essment rates. The increased assessment would improve the likelihood that the DIF reserve ratio would reach the required minimum by the statutory deadline, consistent with the FDIC’s Amended Restoration Plan.</w:t>
      </w:r>
    </w:p>
    <w:p w14:paraId="745FC309" w14:textId="77777777" w:rsidR="00000000" w:rsidRDefault="00A173A8">
      <w:pPr>
        <w:jc w:val="both"/>
        <w:divId w:val="970205279"/>
        <w:rPr>
          <w:rFonts w:eastAsia="Times New Roman"/>
        </w:rPr>
      </w:pPr>
      <w:r>
        <w:rPr>
          <w:rFonts w:eastAsia="Times New Roman"/>
          <w:color w:val="000000"/>
          <w:sz w:val="20"/>
          <w:szCs w:val="20"/>
        </w:rPr>
        <w:t>We provide additional information on our Superv</w:t>
      </w:r>
      <w:r>
        <w:rPr>
          <w:rFonts w:eastAsia="Times New Roman"/>
          <w:color w:val="000000"/>
          <w:sz w:val="20"/>
          <w:szCs w:val="20"/>
        </w:rPr>
        <w:t>ision and Regulation in our 2021 Form 10-K under “Part I—Item 1. Business—Supervision and Regulation” and in our Quarterly Report on Form 10-Q for the period ended March 31, 2022 under “Part I—Item 2. MD&amp;A—Supervision and Regulation.”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E270FA2" w14:textId="77777777">
        <w:trPr>
          <w:divId w:val="596984607"/>
        </w:trPr>
        <w:tc>
          <w:tcPr>
            <w:tcW w:w="50" w:type="pct"/>
            <w:vAlign w:val="center"/>
            <w:hideMark/>
          </w:tcPr>
          <w:p w14:paraId="18CA2A7B" w14:textId="77777777" w:rsidR="00000000" w:rsidRDefault="00A173A8">
            <w:pPr>
              <w:jc w:val="both"/>
              <w:rPr>
                <w:rFonts w:eastAsia="Times New Roman"/>
              </w:rPr>
            </w:pPr>
          </w:p>
        </w:tc>
        <w:tc>
          <w:tcPr>
            <w:tcW w:w="4945" w:type="pct"/>
            <w:vAlign w:val="center"/>
            <w:hideMark/>
          </w:tcPr>
          <w:p w14:paraId="1ECC6E0D" w14:textId="77777777" w:rsidR="00000000" w:rsidRDefault="00A173A8">
            <w:pPr>
              <w:spacing w:after="100"/>
              <w:rPr>
                <w:rFonts w:eastAsia="Times New Roman"/>
                <w:sz w:val="20"/>
                <w:szCs w:val="20"/>
              </w:rPr>
            </w:pPr>
          </w:p>
        </w:tc>
        <w:tc>
          <w:tcPr>
            <w:tcW w:w="5" w:type="pct"/>
            <w:vAlign w:val="center"/>
            <w:hideMark/>
          </w:tcPr>
          <w:p w14:paraId="23A6B97F" w14:textId="77777777" w:rsidR="00000000" w:rsidRDefault="00A173A8">
            <w:pPr>
              <w:spacing w:after="100"/>
              <w:rPr>
                <w:rFonts w:eastAsia="Times New Roman"/>
                <w:sz w:val="20"/>
                <w:szCs w:val="20"/>
              </w:rPr>
            </w:pPr>
          </w:p>
        </w:tc>
      </w:tr>
      <w:tr w:rsidR="00000000" w14:paraId="5E0D9FE0" w14:textId="77777777">
        <w:trPr>
          <w:divId w:val="59698460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B8F932A" w14:textId="77777777" w:rsidR="00000000" w:rsidRDefault="00A173A8">
            <w:pPr>
              <w:spacing w:after="100"/>
              <w:rPr>
                <w:rFonts w:eastAsia="Times New Roman"/>
              </w:rPr>
            </w:pPr>
            <w:r>
              <w:rPr>
                <w:rFonts w:eastAsia="Times New Roman"/>
                <w:b/>
                <w:bCs/>
                <w:color w:val="000000"/>
                <w:sz w:val="20"/>
                <w:szCs w:val="20"/>
              </w:rPr>
              <w:t>FORWARD-LOOKING STATEMENTS</w:t>
            </w:r>
          </w:p>
        </w:tc>
      </w:tr>
    </w:tbl>
    <w:p w14:paraId="4BBB4A9D" w14:textId="77777777" w:rsidR="00000000" w:rsidRDefault="00A173A8">
      <w:pPr>
        <w:jc w:val="both"/>
        <w:divId w:val="426462173"/>
        <w:rPr>
          <w:rFonts w:eastAsia="Times New Roman"/>
        </w:rPr>
      </w:pPr>
      <w:r>
        <w:rPr>
          <w:rFonts w:eastAsia="Times New Roman"/>
          <w:color w:val="000000"/>
          <w:sz w:val="20"/>
          <w:szCs w:val="20"/>
        </w:rPr>
        <w:t>From time to time, we have made and will make forward-looking statements, including those that discuss, among other things: strategies, goals, outlook or other non-historical matters; projections, revenues, income, returns, e</w:t>
      </w:r>
      <w:r>
        <w:rPr>
          <w:rFonts w:eastAsia="Times New Roman"/>
          <w:color w:val="000000"/>
          <w:sz w:val="20"/>
          <w:szCs w:val="20"/>
        </w:rPr>
        <w:t>xpenses, capital measures, capital allocation plans, accruals for claims in litigation and for other claims against us; earnings per share, efficiency ratio, operating efficiency ratio or other financial measures for us; future financial and operating resu</w:t>
      </w:r>
      <w:r>
        <w:rPr>
          <w:rFonts w:eastAsia="Times New Roman"/>
          <w:color w:val="000000"/>
          <w:sz w:val="20"/>
          <w:szCs w:val="20"/>
        </w:rPr>
        <w:t>lts; our plans, objectives, expectations and intentions; and the assumptions that underlie these matters.</w:t>
      </w:r>
    </w:p>
    <w:p w14:paraId="6B2A34A3" w14:textId="77777777" w:rsidR="00000000" w:rsidRDefault="00A173A8">
      <w:pPr>
        <w:jc w:val="both"/>
        <w:divId w:val="160505600"/>
        <w:rPr>
          <w:rFonts w:eastAsia="Times New Roman"/>
        </w:rPr>
      </w:pPr>
      <w:r>
        <w:rPr>
          <w:rFonts w:eastAsia="Times New Roman"/>
          <w:color w:val="000000"/>
          <w:sz w:val="20"/>
          <w:szCs w:val="20"/>
        </w:rPr>
        <w:t>To the extent that any such information is forward-looking, it is intended to fit within the safe harbor for forward-looking information provided by t</w:t>
      </w:r>
      <w:r>
        <w:rPr>
          <w:rFonts w:eastAsia="Times New Roman"/>
          <w:color w:val="000000"/>
          <w:sz w:val="20"/>
          <w:szCs w:val="20"/>
        </w:rPr>
        <w:t>he Private Securities Litigation Reform Act of 1995.</w:t>
      </w:r>
    </w:p>
    <w:p w14:paraId="4D32359E" w14:textId="77777777" w:rsidR="00000000" w:rsidRDefault="00A173A8">
      <w:pPr>
        <w:jc w:val="both"/>
        <w:divId w:val="1452552305"/>
        <w:rPr>
          <w:rFonts w:eastAsia="Times New Roman"/>
        </w:rPr>
      </w:pPr>
      <w:r>
        <w:rPr>
          <w:rFonts w:eastAsia="Times New Roman"/>
          <w:color w:val="000000"/>
          <w:sz w:val="20"/>
          <w:szCs w:val="20"/>
        </w:rPr>
        <w:t xml:space="preserve">Forward-looking statements often use words such as “will,” “anticipate,” “target,” “expect,” “estimate,” “intend,” “plan,” “goal,” “believe,” “forecast,” “outlook” or other words of similar meaning. Any </w:t>
      </w:r>
      <w:r>
        <w:rPr>
          <w:rFonts w:eastAsia="Times New Roman"/>
          <w:color w:val="000000"/>
          <w:sz w:val="20"/>
          <w:szCs w:val="20"/>
        </w:rPr>
        <w:t>forward-looking statements made by us or on our behalf speak only as of the date they are made or as of the date indicated, and we do not undertake any obligation to update forward-looking statements as a result of new information, future events or otherwi</w:t>
      </w:r>
      <w:r>
        <w:rPr>
          <w:rFonts w:eastAsia="Times New Roman"/>
          <w:color w:val="000000"/>
          <w:sz w:val="20"/>
          <w:szCs w:val="20"/>
        </w:rPr>
        <w:t>se. For additional information on factors that could materially influence forward-looking statements included in this Report, see the risk factors set forth under “Part I—Item 1A. Risk Factors” in our 2021 Form 10-K. You should carefully consider the facto</w:t>
      </w:r>
      <w:r>
        <w:rPr>
          <w:rFonts w:eastAsia="Times New Roman"/>
          <w:color w:val="000000"/>
          <w:sz w:val="20"/>
          <w:szCs w:val="20"/>
        </w:rPr>
        <w:t>rs discussed below, and in our Risk Factors or other disclosure, in evaluating these forward-looking statements.</w:t>
      </w:r>
    </w:p>
    <w:p w14:paraId="1A3FD787" w14:textId="77777777" w:rsidR="00000000" w:rsidRDefault="00A173A8">
      <w:pPr>
        <w:jc w:val="both"/>
        <w:divId w:val="2092966652"/>
        <w:rPr>
          <w:rFonts w:eastAsia="Times New Roman"/>
        </w:rPr>
      </w:pPr>
      <w:r>
        <w:rPr>
          <w:rFonts w:eastAsia="Times New Roman"/>
          <w:color w:val="000000"/>
          <w:sz w:val="20"/>
          <w:szCs w:val="20"/>
        </w:rPr>
        <w:t xml:space="preserve">Numerous factors could cause our actual results to differ materially from those described in such forward-looking statements, including, among </w:t>
      </w:r>
      <w:r>
        <w:rPr>
          <w:rFonts w:eastAsia="Times New Roman"/>
          <w:color w:val="000000"/>
          <w:sz w:val="20"/>
          <w:szCs w:val="20"/>
        </w:rPr>
        <w:t>other things:</w:t>
      </w:r>
    </w:p>
    <w:p w14:paraId="1E3C0374" w14:textId="77777777" w:rsidR="00000000" w:rsidRDefault="00A173A8">
      <w:pPr>
        <w:ind w:hanging="360"/>
        <w:jc w:val="both"/>
        <w:divId w:val="1078403042"/>
        <w:rPr>
          <w:rFonts w:eastAsia="Times New Roman"/>
        </w:rPr>
      </w:pPr>
      <w:r>
        <w:rPr>
          <w:rFonts w:eastAsia="Times New Roman"/>
          <w:color w:val="000000"/>
          <w:sz w:val="20"/>
          <w:szCs w:val="20"/>
        </w:rPr>
        <w:t>•the impact of the COVID-19 pandemic on our business, financial condition and results of operations may persist for an extended period or worsen, including labor shortages and disruption of global supply chains, and could impact our estimates</w:t>
      </w:r>
      <w:r>
        <w:rPr>
          <w:rFonts w:eastAsia="Times New Roman"/>
          <w:color w:val="000000"/>
          <w:sz w:val="20"/>
          <w:szCs w:val="20"/>
        </w:rPr>
        <w:t xml:space="preserve"> of lifetime expected credit losses in our loan portfolios required in computing our allowance for credit losses;</w:t>
      </w:r>
    </w:p>
    <w:p w14:paraId="7F5D2F76" w14:textId="77777777" w:rsidR="00000000" w:rsidRDefault="00A173A8">
      <w:pPr>
        <w:ind w:hanging="360"/>
        <w:jc w:val="both"/>
        <w:divId w:val="893082866"/>
        <w:rPr>
          <w:rFonts w:eastAsia="Times New Roman"/>
        </w:rPr>
      </w:pPr>
      <w:r>
        <w:rPr>
          <w:rFonts w:eastAsia="Times New Roman"/>
          <w:color w:val="000000"/>
          <w:sz w:val="20"/>
          <w:szCs w:val="20"/>
        </w:rPr>
        <w:t>•general economic and business conditions in our local markets, including conditions affecting employment levels, interest rates, tariffs, col</w:t>
      </w:r>
      <w:r>
        <w:rPr>
          <w:rFonts w:eastAsia="Times New Roman"/>
          <w:color w:val="000000"/>
          <w:sz w:val="20"/>
          <w:szCs w:val="20"/>
        </w:rPr>
        <w:t>lateral values, consumer income, creditworthiness and confidence, spending and savings that may affect consumer bankruptcies, defaults, charge-offs and deposit activity;</w:t>
      </w:r>
    </w:p>
    <w:p w14:paraId="34F2B628" w14:textId="77777777" w:rsidR="00000000" w:rsidRDefault="00A173A8">
      <w:pPr>
        <w:ind w:hanging="360"/>
        <w:jc w:val="both"/>
        <w:divId w:val="1232696687"/>
        <w:rPr>
          <w:rFonts w:eastAsia="Times New Roman"/>
        </w:rPr>
      </w:pPr>
      <w:r>
        <w:rPr>
          <w:rFonts w:eastAsia="Times New Roman"/>
          <w:color w:val="000000"/>
          <w:sz w:val="20"/>
          <w:szCs w:val="20"/>
        </w:rPr>
        <w:t>•an increase or decrease in credit losses, or increased delinquencies, including incre</w:t>
      </w:r>
      <w:r>
        <w:rPr>
          <w:rFonts w:eastAsia="Times New Roman"/>
          <w:color w:val="000000"/>
          <w:sz w:val="20"/>
          <w:szCs w:val="20"/>
        </w:rPr>
        <w:t>ases due to a worsening of general economic conditions in the credit environment, and the impact of inaccurate estimates or inadequate reserves;</w:t>
      </w:r>
    </w:p>
    <w:p w14:paraId="5E42F2C6" w14:textId="77777777" w:rsidR="00000000" w:rsidRDefault="00A173A8">
      <w:pPr>
        <w:ind w:hanging="360"/>
        <w:jc w:val="both"/>
        <w:divId w:val="1129739124"/>
        <w:rPr>
          <w:rFonts w:eastAsia="Times New Roman"/>
        </w:rPr>
      </w:pPr>
      <w:r>
        <w:rPr>
          <w:rFonts w:eastAsia="Times New Roman"/>
          <w:color w:val="000000"/>
          <w:sz w:val="20"/>
          <w:szCs w:val="20"/>
        </w:rPr>
        <w:t>•</w:t>
      </w:r>
      <w:r>
        <w:rPr>
          <w:rFonts w:eastAsia="Times New Roman"/>
          <w:color w:val="000000"/>
          <w:sz w:val="20"/>
          <w:szCs w:val="20"/>
        </w:rPr>
        <w:t>compliance with new and existing laws, regulations and regulatory expectations including the implementation of a regulatory reform agenda;</w:t>
      </w:r>
    </w:p>
    <w:p w14:paraId="49687264" w14:textId="77777777" w:rsidR="00000000" w:rsidRDefault="00A173A8">
      <w:pPr>
        <w:ind w:hanging="360"/>
        <w:jc w:val="both"/>
        <w:divId w:val="1460759697"/>
        <w:rPr>
          <w:rFonts w:eastAsia="Times New Roman"/>
        </w:rPr>
      </w:pPr>
      <w:r>
        <w:rPr>
          <w:rFonts w:eastAsia="Times New Roman"/>
          <w:color w:val="000000"/>
          <w:sz w:val="20"/>
          <w:szCs w:val="20"/>
        </w:rPr>
        <w:t>•limitations on our ability to receive dividends from our subsidiaries;</w:t>
      </w:r>
    </w:p>
    <w:p w14:paraId="46F945B6" w14:textId="77777777" w:rsidR="00000000" w:rsidRDefault="00A173A8">
      <w:pPr>
        <w:ind w:hanging="360"/>
        <w:jc w:val="both"/>
        <w:divId w:val="344751437"/>
        <w:rPr>
          <w:rFonts w:eastAsia="Times New Roman"/>
        </w:rPr>
      </w:pPr>
      <w:r>
        <w:rPr>
          <w:rFonts w:eastAsia="Times New Roman"/>
          <w:color w:val="000000"/>
          <w:sz w:val="20"/>
          <w:szCs w:val="20"/>
        </w:rPr>
        <w:t>•our ability to manage adequate capital or li</w:t>
      </w:r>
      <w:r>
        <w:rPr>
          <w:rFonts w:eastAsia="Times New Roman"/>
          <w:color w:val="000000"/>
          <w:sz w:val="20"/>
          <w:szCs w:val="20"/>
        </w:rPr>
        <w:t>quidity levels, which could have a negative impact on our financial results and our ability to return capital to our stockholders;</w:t>
      </w:r>
    </w:p>
    <w:p w14:paraId="63F439B9" w14:textId="77777777" w:rsidR="00000000" w:rsidRDefault="00A173A8">
      <w:pPr>
        <w:ind w:hanging="360"/>
        <w:jc w:val="both"/>
        <w:divId w:val="864362504"/>
        <w:rPr>
          <w:rFonts w:eastAsia="Times New Roman"/>
        </w:rPr>
      </w:pPr>
      <w:r>
        <w:rPr>
          <w:rFonts w:eastAsia="Times New Roman"/>
          <w:color w:val="000000"/>
          <w:sz w:val="20"/>
          <w:szCs w:val="20"/>
        </w:rPr>
        <w:t>•the extensive use, reliability, disruption, and accuracy of the models and data on which we rely;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5339C0B" w14:textId="77777777">
        <w:trPr>
          <w:divId w:val="1773352366"/>
          <w:jc w:val="center"/>
        </w:trPr>
        <w:tc>
          <w:tcPr>
            <w:tcW w:w="50" w:type="pct"/>
            <w:vAlign w:val="center"/>
            <w:hideMark/>
          </w:tcPr>
          <w:p w14:paraId="2B57498C" w14:textId="77777777" w:rsidR="00000000" w:rsidRDefault="00A173A8">
            <w:pPr>
              <w:ind w:hanging="360"/>
              <w:jc w:val="both"/>
              <w:rPr>
                <w:rFonts w:eastAsia="Times New Roman"/>
              </w:rPr>
            </w:pPr>
          </w:p>
        </w:tc>
        <w:tc>
          <w:tcPr>
            <w:tcW w:w="1606" w:type="pct"/>
            <w:vAlign w:val="center"/>
            <w:hideMark/>
          </w:tcPr>
          <w:p w14:paraId="4EAD4372" w14:textId="77777777" w:rsidR="00000000" w:rsidRDefault="00A173A8">
            <w:pPr>
              <w:spacing w:after="100"/>
              <w:rPr>
                <w:rFonts w:eastAsia="Times New Roman"/>
                <w:sz w:val="20"/>
                <w:szCs w:val="20"/>
              </w:rPr>
            </w:pPr>
          </w:p>
        </w:tc>
        <w:tc>
          <w:tcPr>
            <w:tcW w:w="5" w:type="pct"/>
            <w:vAlign w:val="center"/>
            <w:hideMark/>
          </w:tcPr>
          <w:p w14:paraId="6801401B" w14:textId="77777777" w:rsidR="00000000" w:rsidRDefault="00A173A8">
            <w:pPr>
              <w:spacing w:after="100"/>
              <w:rPr>
                <w:rFonts w:eastAsia="Times New Roman"/>
                <w:sz w:val="20"/>
                <w:szCs w:val="20"/>
              </w:rPr>
            </w:pPr>
          </w:p>
        </w:tc>
        <w:tc>
          <w:tcPr>
            <w:tcW w:w="50" w:type="pct"/>
            <w:vAlign w:val="center"/>
            <w:hideMark/>
          </w:tcPr>
          <w:p w14:paraId="130547E5" w14:textId="77777777" w:rsidR="00000000" w:rsidRDefault="00A173A8">
            <w:pPr>
              <w:spacing w:after="100"/>
              <w:rPr>
                <w:rFonts w:eastAsia="Times New Roman"/>
                <w:sz w:val="20"/>
                <w:szCs w:val="20"/>
              </w:rPr>
            </w:pPr>
          </w:p>
        </w:tc>
        <w:tc>
          <w:tcPr>
            <w:tcW w:w="1614" w:type="pct"/>
            <w:vAlign w:val="center"/>
            <w:hideMark/>
          </w:tcPr>
          <w:p w14:paraId="4CA3C7E0" w14:textId="77777777" w:rsidR="00000000" w:rsidRDefault="00A173A8">
            <w:pPr>
              <w:spacing w:after="100"/>
              <w:rPr>
                <w:rFonts w:eastAsia="Times New Roman"/>
                <w:sz w:val="20"/>
                <w:szCs w:val="20"/>
              </w:rPr>
            </w:pPr>
          </w:p>
        </w:tc>
        <w:tc>
          <w:tcPr>
            <w:tcW w:w="5" w:type="pct"/>
            <w:vAlign w:val="center"/>
            <w:hideMark/>
          </w:tcPr>
          <w:p w14:paraId="4237B23E" w14:textId="77777777" w:rsidR="00000000" w:rsidRDefault="00A173A8">
            <w:pPr>
              <w:spacing w:after="100"/>
              <w:rPr>
                <w:rFonts w:eastAsia="Times New Roman"/>
                <w:sz w:val="20"/>
                <w:szCs w:val="20"/>
              </w:rPr>
            </w:pPr>
          </w:p>
        </w:tc>
        <w:tc>
          <w:tcPr>
            <w:tcW w:w="50" w:type="pct"/>
            <w:vAlign w:val="center"/>
            <w:hideMark/>
          </w:tcPr>
          <w:p w14:paraId="6DBDD481" w14:textId="77777777" w:rsidR="00000000" w:rsidRDefault="00A173A8">
            <w:pPr>
              <w:spacing w:after="100"/>
              <w:rPr>
                <w:rFonts w:eastAsia="Times New Roman"/>
                <w:sz w:val="20"/>
                <w:szCs w:val="20"/>
              </w:rPr>
            </w:pPr>
          </w:p>
        </w:tc>
        <w:tc>
          <w:tcPr>
            <w:tcW w:w="1614" w:type="pct"/>
            <w:vAlign w:val="center"/>
            <w:hideMark/>
          </w:tcPr>
          <w:p w14:paraId="268E4CDB" w14:textId="77777777" w:rsidR="00000000" w:rsidRDefault="00A173A8">
            <w:pPr>
              <w:spacing w:after="100"/>
              <w:rPr>
                <w:rFonts w:eastAsia="Times New Roman"/>
                <w:sz w:val="20"/>
                <w:szCs w:val="20"/>
              </w:rPr>
            </w:pPr>
          </w:p>
        </w:tc>
        <w:tc>
          <w:tcPr>
            <w:tcW w:w="5" w:type="pct"/>
            <w:vAlign w:val="center"/>
            <w:hideMark/>
          </w:tcPr>
          <w:p w14:paraId="3C2727EE" w14:textId="77777777" w:rsidR="00000000" w:rsidRDefault="00A173A8">
            <w:pPr>
              <w:spacing w:after="100"/>
              <w:rPr>
                <w:rFonts w:eastAsia="Times New Roman"/>
                <w:sz w:val="20"/>
                <w:szCs w:val="20"/>
              </w:rPr>
            </w:pPr>
          </w:p>
        </w:tc>
      </w:tr>
      <w:tr w:rsidR="00000000" w14:paraId="6A97BB6E" w14:textId="77777777">
        <w:trPr>
          <w:divId w:val="1773352366"/>
          <w:trHeight w:val="300"/>
          <w:jc w:val="center"/>
        </w:trPr>
        <w:tc>
          <w:tcPr>
            <w:tcW w:w="0" w:type="auto"/>
            <w:gridSpan w:val="9"/>
            <w:tcMar>
              <w:top w:w="0" w:type="dxa"/>
              <w:left w:w="20" w:type="dxa"/>
              <w:bottom w:w="0" w:type="dxa"/>
              <w:right w:w="20" w:type="dxa"/>
            </w:tcMar>
            <w:vAlign w:val="center"/>
            <w:hideMark/>
          </w:tcPr>
          <w:p w14:paraId="67F62FE1" w14:textId="77777777" w:rsidR="00000000" w:rsidRDefault="00A173A8">
            <w:pPr>
              <w:spacing w:after="100"/>
              <w:rPr>
                <w:rFonts w:eastAsia="Times New Roman"/>
                <w:sz w:val="20"/>
                <w:szCs w:val="20"/>
              </w:rPr>
            </w:pPr>
          </w:p>
        </w:tc>
      </w:tr>
      <w:tr w:rsidR="00000000" w14:paraId="4B79CF12" w14:textId="77777777">
        <w:trPr>
          <w:divId w:val="1773352366"/>
          <w:jc w:val="center"/>
        </w:trPr>
        <w:tc>
          <w:tcPr>
            <w:tcW w:w="0" w:type="auto"/>
            <w:gridSpan w:val="3"/>
            <w:tcMar>
              <w:top w:w="0" w:type="dxa"/>
              <w:left w:w="20" w:type="dxa"/>
              <w:bottom w:w="0" w:type="dxa"/>
              <w:right w:w="20" w:type="dxa"/>
            </w:tcMar>
            <w:vAlign w:val="center"/>
            <w:hideMark/>
          </w:tcPr>
          <w:p w14:paraId="59FE4BF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BB631BC" w14:textId="77777777" w:rsidR="00000000" w:rsidRDefault="00A173A8">
            <w:pPr>
              <w:spacing w:after="100"/>
              <w:jc w:val="center"/>
              <w:rPr>
                <w:rFonts w:eastAsia="Times New Roman"/>
              </w:rPr>
            </w:pPr>
            <w:r>
              <w:rPr>
                <w:rFonts w:eastAsia="Times New Roman"/>
                <w:color w:val="000000"/>
                <w:sz w:val="16"/>
                <w:szCs w:val="16"/>
              </w:rPr>
              <w:t>55</w:t>
            </w:r>
          </w:p>
        </w:tc>
        <w:tc>
          <w:tcPr>
            <w:tcW w:w="0" w:type="auto"/>
            <w:gridSpan w:val="3"/>
            <w:tcMar>
              <w:top w:w="30" w:type="dxa"/>
              <w:left w:w="20" w:type="dxa"/>
              <w:bottom w:w="30" w:type="dxa"/>
              <w:right w:w="20" w:type="dxa"/>
            </w:tcMar>
            <w:vAlign w:val="bottom"/>
            <w:hideMark/>
          </w:tcPr>
          <w:p w14:paraId="679EA05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B09B87D" w14:textId="77777777" w:rsidR="00000000" w:rsidRDefault="00A173A8">
      <w:pPr>
        <w:rPr>
          <w:rFonts w:eastAsia="Times New Roman"/>
        </w:rPr>
      </w:pPr>
      <w:r>
        <w:rPr>
          <w:rFonts w:eastAsia="Times New Roman"/>
        </w:rPr>
        <w:pict w14:anchorId="75D5F450">
          <v:rect id="_x0000_i1080" style="width:0;height:1.5pt" o:hralign="center" o:hrstd="t" o:hr="t" fillcolor="#a0a0a0" stroked="f"/>
        </w:pict>
      </w:r>
    </w:p>
    <w:p w14:paraId="5EF749CE" w14:textId="77777777" w:rsidR="00000000" w:rsidRDefault="00A173A8">
      <w:pPr>
        <w:ind w:hanging="360"/>
        <w:jc w:val="both"/>
        <w:divId w:val="1785467134"/>
        <w:rPr>
          <w:rFonts w:eastAsia="Times New Roman"/>
        </w:rPr>
      </w:pPr>
      <w:hyperlink w:anchor="i7ffd5d61af6f4722b1b1b07530d51c06_13" w:history="1">
        <w:r>
          <w:rPr>
            <w:rStyle w:val="a3"/>
            <w:rFonts w:eastAsia="Times New Roman"/>
            <w:sz w:val="16"/>
            <w:szCs w:val="16"/>
          </w:rPr>
          <w:t>Table of Contents</w:t>
        </w:r>
      </w:hyperlink>
    </w:p>
    <w:p w14:paraId="4FD75F18" w14:textId="77777777" w:rsidR="00000000" w:rsidRDefault="00A173A8">
      <w:pPr>
        <w:ind w:hanging="360"/>
        <w:jc w:val="both"/>
        <w:divId w:val="1493836323"/>
        <w:rPr>
          <w:rFonts w:eastAsia="Times New Roman"/>
        </w:rPr>
      </w:pPr>
      <w:r>
        <w:rPr>
          <w:rFonts w:eastAsia="Times New Roman"/>
          <w:color w:val="000000"/>
          <w:sz w:val="20"/>
          <w:szCs w:val="20"/>
        </w:rPr>
        <w:t>•</w:t>
      </w:r>
      <w:r>
        <w:rPr>
          <w:rFonts w:eastAsia="Times New Roman"/>
          <w:color w:val="000000"/>
          <w:sz w:val="20"/>
          <w:szCs w:val="20"/>
        </w:rPr>
        <w:t>increased costs, reductions in revenue, reputational damage, legal liability and business disruptions that can result from data protection or privacy incidents or a cyber-attack or other similar incidents, including one that results in the theft, loss or m</w:t>
      </w:r>
      <w:r>
        <w:rPr>
          <w:rFonts w:eastAsia="Times New Roman"/>
          <w:color w:val="000000"/>
          <w:sz w:val="20"/>
          <w:szCs w:val="20"/>
        </w:rPr>
        <w:t>isuse of information;</w:t>
      </w:r>
    </w:p>
    <w:p w14:paraId="1467EDD8" w14:textId="77777777" w:rsidR="00000000" w:rsidRDefault="00A173A8">
      <w:pPr>
        <w:ind w:hanging="360"/>
        <w:jc w:val="both"/>
        <w:divId w:val="422842893"/>
        <w:rPr>
          <w:rFonts w:eastAsia="Times New Roman"/>
        </w:rPr>
      </w:pPr>
      <w:r>
        <w:rPr>
          <w:rFonts w:eastAsia="Times New Roman"/>
          <w:color w:val="000000"/>
          <w:sz w:val="20"/>
          <w:szCs w:val="20"/>
        </w:rPr>
        <w:t>•developments, changes or actions relating to any litigation, governmental investigation or regulatory enforcement action or matter involving us;</w:t>
      </w:r>
    </w:p>
    <w:p w14:paraId="721C2DF0" w14:textId="77777777" w:rsidR="00000000" w:rsidRDefault="00A173A8">
      <w:pPr>
        <w:ind w:hanging="360"/>
        <w:jc w:val="both"/>
        <w:divId w:val="216283504"/>
        <w:rPr>
          <w:rFonts w:eastAsia="Times New Roman"/>
        </w:rPr>
      </w:pPr>
      <w:r>
        <w:rPr>
          <w:rFonts w:eastAsia="Times New Roman"/>
          <w:color w:val="000000"/>
          <w:sz w:val="20"/>
          <w:szCs w:val="20"/>
        </w:rPr>
        <w:t>•the amount and rate of deposit growth and changes in deposit costs;</w:t>
      </w:r>
    </w:p>
    <w:p w14:paraId="3E1B526A" w14:textId="77777777" w:rsidR="00000000" w:rsidRDefault="00A173A8">
      <w:pPr>
        <w:ind w:hanging="360"/>
        <w:jc w:val="both"/>
        <w:divId w:val="608662543"/>
        <w:rPr>
          <w:rFonts w:eastAsia="Times New Roman"/>
        </w:rPr>
      </w:pPr>
      <w:r>
        <w:rPr>
          <w:rFonts w:eastAsia="Times New Roman"/>
          <w:color w:val="000000"/>
          <w:sz w:val="20"/>
          <w:szCs w:val="20"/>
        </w:rPr>
        <w:t>•our ability to exe</w:t>
      </w:r>
      <w:r>
        <w:rPr>
          <w:rFonts w:eastAsia="Times New Roman"/>
          <w:color w:val="000000"/>
          <w:sz w:val="20"/>
          <w:szCs w:val="20"/>
        </w:rPr>
        <w:t>cute on our strategic and operational plans;</w:t>
      </w:r>
    </w:p>
    <w:p w14:paraId="39357AA9" w14:textId="77777777" w:rsidR="00000000" w:rsidRDefault="00A173A8">
      <w:pPr>
        <w:ind w:hanging="360"/>
        <w:jc w:val="both"/>
        <w:divId w:val="234363908"/>
        <w:rPr>
          <w:rFonts w:eastAsia="Times New Roman"/>
        </w:rPr>
      </w:pPr>
      <w:r>
        <w:rPr>
          <w:rFonts w:eastAsia="Times New Roman"/>
          <w:color w:val="000000"/>
          <w:sz w:val="20"/>
          <w:szCs w:val="20"/>
        </w:rPr>
        <w:t>•our response to competitive pressures;</w:t>
      </w:r>
    </w:p>
    <w:p w14:paraId="53AF6A2E" w14:textId="77777777" w:rsidR="00000000" w:rsidRDefault="00A173A8">
      <w:pPr>
        <w:ind w:hanging="360"/>
        <w:jc w:val="both"/>
        <w:divId w:val="1588809194"/>
        <w:rPr>
          <w:rFonts w:eastAsia="Times New Roman"/>
        </w:rPr>
      </w:pPr>
      <w:r>
        <w:rPr>
          <w:rFonts w:eastAsia="Times New Roman"/>
          <w:color w:val="000000"/>
          <w:sz w:val="20"/>
          <w:szCs w:val="20"/>
        </w:rPr>
        <w:t>•our business, financial condition and results of operations may be adversely affected by merchants’ increasing focus on the fees charged by credit and debit card networks</w:t>
      </w:r>
      <w:r>
        <w:rPr>
          <w:rFonts w:eastAsia="Times New Roman"/>
          <w:color w:val="000000"/>
          <w:sz w:val="20"/>
          <w:szCs w:val="20"/>
        </w:rPr>
        <w:t xml:space="preserve"> and by legislation and regulation impacting such fees;</w:t>
      </w:r>
    </w:p>
    <w:p w14:paraId="0B8936D0" w14:textId="77777777" w:rsidR="00000000" w:rsidRDefault="00A173A8">
      <w:pPr>
        <w:ind w:hanging="360"/>
        <w:jc w:val="both"/>
        <w:divId w:val="972829598"/>
        <w:rPr>
          <w:rFonts w:eastAsia="Times New Roman"/>
        </w:rPr>
      </w:pPr>
      <w:r>
        <w:rPr>
          <w:rFonts w:eastAsia="Times New Roman"/>
          <w:color w:val="000000"/>
          <w:sz w:val="20"/>
          <w:szCs w:val="20"/>
        </w:rPr>
        <w:t>•our success in integrating acquired businesses and loan portfolios, and our ability to realize anticipated benefits from announced transactions and strategic partnerships;</w:t>
      </w:r>
    </w:p>
    <w:p w14:paraId="2A0883B5" w14:textId="77777777" w:rsidR="00000000" w:rsidRDefault="00A173A8">
      <w:pPr>
        <w:ind w:hanging="360"/>
        <w:jc w:val="both"/>
        <w:divId w:val="1262371833"/>
        <w:rPr>
          <w:rFonts w:eastAsia="Times New Roman"/>
        </w:rPr>
      </w:pPr>
      <w:r>
        <w:rPr>
          <w:rFonts w:eastAsia="Times New Roman"/>
          <w:color w:val="000000"/>
          <w:sz w:val="20"/>
          <w:szCs w:val="20"/>
        </w:rPr>
        <w:t xml:space="preserve">•our ability to maintain a </w:t>
      </w:r>
      <w:r>
        <w:rPr>
          <w:rFonts w:eastAsia="Times New Roman"/>
          <w:color w:val="000000"/>
          <w:sz w:val="20"/>
          <w:szCs w:val="20"/>
        </w:rPr>
        <w:t>compliance, operational, technology and organizational infrastructure suitable for the nature of our business;</w:t>
      </w:r>
    </w:p>
    <w:p w14:paraId="23B18ECC" w14:textId="77777777" w:rsidR="00000000" w:rsidRDefault="00A173A8">
      <w:pPr>
        <w:ind w:hanging="360"/>
        <w:jc w:val="both"/>
        <w:divId w:val="936987762"/>
        <w:rPr>
          <w:rFonts w:eastAsia="Times New Roman"/>
        </w:rPr>
      </w:pPr>
      <w:r>
        <w:rPr>
          <w:rFonts w:eastAsia="Times New Roman"/>
          <w:color w:val="000000"/>
          <w:sz w:val="20"/>
          <w:szCs w:val="20"/>
        </w:rPr>
        <w:t>•the success of our marketing efforts in attracting and retaining customers;</w:t>
      </w:r>
    </w:p>
    <w:p w14:paraId="6DBFEBFE" w14:textId="77777777" w:rsidR="00000000" w:rsidRDefault="00A173A8">
      <w:pPr>
        <w:ind w:hanging="360"/>
        <w:jc w:val="both"/>
        <w:divId w:val="1282372525"/>
        <w:rPr>
          <w:rFonts w:eastAsia="Times New Roman"/>
        </w:rPr>
      </w:pPr>
      <w:r>
        <w:rPr>
          <w:rFonts w:eastAsia="Times New Roman"/>
          <w:color w:val="000000"/>
          <w:sz w:val="20"/>
          <w:szCs w:val="20"/>
        </w:rPr>
        <w:t>•our risk management strategies;</w:t>
      </w:r>
    </w:p>
    <w:p w14:paraId="76CD5ED7" w14:textId="77777777" w:rsidR="00000000" w:rsidRDefault="00A173A8">
      <w:pPr>
        <w:ind w:hanging="360"/>
        <w:jc w:val="both"/>
        <w:divId w:val="1556965922"/>
        <w:rPr>
          <w:rFonts w:eastAsia="Times New Roman"/>
        </w:rPr>
      </w:pPr>
      <w:r>
        <w:rPr>
          <w:rFonts w:eastAsia="Times New Roman"/>
          <w:color w:val="000000"/>
          <w:sz w:val="20"/>
          <w:szCs w:val="20"/>
        </w:rPr>
        <w:t>•changes in the reputation of, or e</w:t>
      </w:r>
      <w:r>
        <w:rPr>
          <w:rFonts w:eastAsia="Times New Roman"/>
          <w:color w:val="000000"/>
          <w:sz w:val="20"/>
          <w:szCs w:val="20"/>
        </w:rPr>
        <w:t>xpectations regarding, the financial services industry or us with respect to practices, products or financial condition;</w:t>
      </w:r>
    </w:p>
    <w:p w14:paraId="3FBC49C7" w14:textId="77777777" w:rsidR="00000000" w:rsidRDefault="00A173A8">
      <w:pPr>
        <w:ind w:hanging="360"/>
        <w:jc w:val="both"/>
        <w:divId w:val="1380784988"/>
        <w:rPr>
          <w:rFonts w:eastAsia="Times New Roman"/>
        </w:rPr>
      </w:pPr>
      <w:r>
        <w:rPr>
          <w:rFonts w:eastAsia="Times New Roman"/>
          <w:color w:val="000000"/>
          <w:sz w:val="20"/>
          <w:szCs w:val="20"/>
        </w:rPr>
        <w:t>•increases or decreases in interest rates and uncertainty with respect to the interest rate environment, including the possibility of a</w:t>
      </w:r>
      <w:r>
        <w:rPr>
          <w:rFonts w:eastAsia="Times New Roman"/>
          <w:color w:val="000000"/>
          <w:sz w:val="20"/>
          <w:szCs w:val="20"/>
        </w:rPr>
        <w:t xml:space="preserve"> prolonged low-interest rate environment or of negative interest rates</w:t>
      </w:r>
      <w:r>
        <w:rPr>
          <w:rFonts w:eastAsia="Times New Roman"/>
          <w:color w:val="000000"/>
          <w:sz w:val="20"/>
          <w:szCs w:val="20"/>
        </w:rPr>
        <w:t>;</w:t>
      </w:r>
    </w:p>
    <w:p w14:paraId="356731E2" w14:textId="77777777" w:rsidR="00000000" w:rsidRDefault="00A173A8">
      <w:pPr>
        <w:ind w:hanging="360"/>
        <w:jc w:val="both"/>
        <w:divId w:val="432284002"/>
        <w:rPr>
          <w:rFonts w:eastAsia="Times New Roman"/>
        </w:rPr>
      </w:pPr>
      <w:r>
        <w:rPr>
          <w:rFonts w:eastAsia="Times New Roman"/>
          <w:color w:val="000000"/>
          <w:sz w:val="20"/>
          <w:szCs w:val="20"/>
        </w:rPr>
        <w:t>•the transition away from the London Interbank Offered Rate;</w:t>
      </w:r>
    </w:p>
    <w:p w14:paraId="52F175BB" w14:textId="77777777" w:rsidR="00000000" w:rsidRDefault="00A173A8">
      <w:pPr>
        <w:ind w:hanging="360"/>
        <w:jc w:val="both"/>
        <w:divId w:val="1168249823"/>
        <w:rPr>
          <w:rFonts w:eastAsia="Times New Roman"/>
        </w:rPr>
      </w:pPr>
      <w:r>
        <w:rPr>
          <w:rFonts w:eastAsia="Times New Roman"/>
          <w:color w:val="000000"/>
          <w:sz w:val="20"/>
          <w:szCs w:val="20"/>
        </w:rPr>
        <w:t>•our ability to attract, retain and motivate skilled employees;</w:t>
      </w:r>
    </w:p>
    <w:p w14:paraId="143E5D7B" w14:textId="77777777" w:rsidR="00000000" w:rsidRDefault="00A173A8">
      <w:pPr>
        <w:ind w:hanging="360"/>
        <w:jc w:val="both"/>
        <w:divId w:val="1568567918"/>
        <w:rPr>
          <w:rFonts w:eastAsia="Times New Roman"/>
        </w:rPr>
      </w:pPr>
      <w:r>
        <w:rPr>
          <w:rFonts w:eastAsia="Times New Roman"/>
          <w:color w:val="000000"/>
          <w:sz w:val="20"/>
          <w:szCs w:val="20"/>
        </w:rPr>
        <w:t>•climate change manifesting as physical or transition risks</w:t>
      </w:r>
      <w:r>
        <w:rPr>
          <w:rFonts w:eastAsia="Times New Roman"/>
          <w:color w:val="000000"/>
          <w:sz w:val="20"/>
          <w:szCs w:val="20"/>
        </w:rPr>
        <w:t>;</w:t>
      </w:r>
    </w:p>
    <w:p w14:paraId="3794E34B" w14:textId="77777777" w:rsidR="00000000" w:rsidRDefault="00A173A8">
      <w:pPr>
        <w:ind w:hanging="360"/>
        <w:jc w:val="both"/>
        <w:divId w:val="208961004"/>
        <w:rPr>
          <w:rFonts w:eastAsia="Times New Roman"/>
        </w:rPr>
      </w:pPr>
      <w:r>
        <w:rPr>
          <w:rFonts w:eastAsia="Times New Roman"/>
          <w:color w:val="000000"/>
          <w:sz w:val="20"/>
          <w:szCs w:val="20"/>
        </w:rPr>
        <w:t>•our assumptions or estimates in our financial statements;</w:t>
      </w:r>
    </w:p>
    <w:p w14:paraId="65E08325" w14:textId="77777777" w:rsidR="00000000" w:rsidRDefault="00A173A8">
      <w:pPr>
        <w:ind w:hanging="360"/>
        <w:jc w:val="both"/>
        <w:divId w:val="1734233889"/>
        <w:rPr>
          <w:rFonts w:eastAsia="Times New Roman"/>
        </w:rPr>
      </w:pPr>
      <w:r>
        <w:rPr>
          <w:rFonts w:eastAsia="Times New Roman"/>
          <w:color w:val="000000"/>
          <w:sz w:val="20"/>
          <w:szCs w:val="20"/>
        </w:rPr>
        <w:t xml:space="preserve">•the soundness of other financial institutions and other third parties; and </w:t>
      </w:r>
    </w:p>
    <w:p w14:paraId="7114068B" w14:textId="77777777" w:rsidR="00000000" w:rsidRDefault="00A173A8">
      <w:pPr>
        <w:ind w:hanging="360"/>
        <w:jc w:val="both"/>
        <w:divId w:val="1074204997"/>
        <w:rPr>
          <w:rFonts w:eastAsia="Times New Roman"/>
        </w:rPr>
      </w:pPr>
      <w:r>
        <w:rPr>
          <w:rFonts w:eastAsia="Times New Roman"/>
          <w:color w:val="000000"/>
          <w:sz w:val="20"/>
          <w:szCs w:val="20"/>
        </w:rPr>
        <w:t>•other risk factors identified from time to time in our public disclosures, including in the reports that we file with</w:t>
      </w:r>
      <w:r>
        <w:rPr>
          <w:rFonts w:eastAsia="Times New Roman"/>
          <w:color w:val="000000"/>
          <w:sz w:val="20"/>
          <w:szCs w:val="20"/>
        </w:rPr>
        <w:t xml:space="preserve"> the SEC.</w:t>
      </w:r>
    </w:p>
    <w:p w14:paraId="284BF61D" w14:textId="77777777" w:rsidR="00000000" w:rsidRDefault="00A173A8">
      <w:pPr>
        <w:jc w:val="both"/>
        <w:rPr>
          <w:rFonts w:eastAsia="Times New Roman"/>
        </w:rPr>
      </w:pPr>
      <w:r>
        <w:rPr>
          <w:rFonts w:eastAsia="Times New Roman"/>
          <w:color w:val="000000"/>
          <w:sz w:val="20"/>
          <w:szCs w:val="20"/>
        </w:rPr>
        <w:t>We expect that the effects of the COVID-19 pandemic will heighten the risks associated with many of these factors.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2181C96" w14:textId="77777777">
        <w:trPr>
          <w:divId w:val="1061946618"/>
          <w:jc w:val="center"/>
        </w:trPr>
        <w:tc>
          <w:tcPr>
            <w:tcW w:w="50" w:type="pct"/>
            <w:vAlign w:val="center"/>
            <w:hideMark/>
          </w:tcPr>
          <w:p w14:paraId="052D7481" w14:textId="77777777" w:rsidR="00000000" w:rsidRDefault="00A173A8">
            <w:pPr>
              <w:jc w:val="both"/>
              <w:rPr>
                <w:rFonts w:eastAsia="Times New Roman"/>
              </w:rPr>
            </w:pPr>
          </w:p>
        </w:tc>
        <w:tc>
          <w:tcPr>
            <w:tcW w:w="1606" w:type="pct"/>
            <w:vAlign w:val="center"/>
            <w:hideMark/>
          </w:tcPr>
          <w:p w14:paraId="3BDB34A8" w14:textId="77777777" w:rsidR="00000000" w:rsidRDefault="00A173A8">
            <w:pPr>
              <w:spacing w:after="100"/>
              <w:rPr>
                <w:rFonts w:eastAsia="Times New Roman"/>
                <w:sz w:val="20"/>
                <w:szCs w:val="20"/>
              </w:rPr>
            </w:pPr>
          </w:p>
        </w:tc>
        <w:tc>
          <w:tcPr>
            <w:tcW w:w="5" w:type="pct"/>
            <w:vAlign w:val="center"/>
            <w:hideMark/>
          </w:tcPr>
          <w:p w14:paraId="637FE8EC" w14:textId="77777777" w:rsidR="00000000" w:rsidRDefault="00A173A8">
            <w:pPr>
              <w:spacing w:after="100"/>
              <w:rPr>
                <w:rFonts w:eastAsia="Times New Roman"/>
                <w:sz w:val="20"/>
                <w:szCs w:val="20"/>
              </w:rPr>
            </w:pPr>
          </w:p>
        </w:tc>
        <w:tc>
          <w:tcPr>
            <w:tcW w:w="50" w:type="pct"/>
            <w:vAlign w:val="center"/>
            <w:hideMark/>
          </w:tcPr>
          <w:p w14:paraId="3D17820C" w14:textId="77777777" w:rsidR="00000000" w:rsidRDefault="00A173A8">
            <w:pPr>
              <w:spacing w:after="100"/>
              <w:rPr>
                <w:rFonts w:eastAsia="Times New Roman"/>
                <w:sz w:val="20"/>
                <w:szCs w:val="20"/>
              </w:rPr>
            </w:pPr>
          </w:p>
        </w:tc>
        <w:tc>
          <w:tcPr>
            <w:tcW w:w="1614" w:type="pct"/>
            <w:vAlign w:val="center"/>
            <w:hideMark/>
          </w:tcPr>
          <w:p w14:paraId="49E4D7CE" w14:textId="77777777" w:rsidR="00000000" w:rsidRDefault="00A173A8">
            <w:pPr>
              <w:spacing w:after="100"/>
              <w:rPr>
                <w:rFonts w:eastAsia="Times New Roman"/>
                <w:sz w:val="20"/>
                <w:szCs w:val="20"/>
              </w:rPr>
            </w:pPr>
          </w:p>
        </w:tc>
        <w:tc>
          <w:tcPr>
            <w:tcW w:w="5" w:type="pct"/>
            <w:vAlign w:val="center"/>
            <w:hideMark/>
          </w:tcPr>
          <w:p w14:paraId="6B37E4AE" w14:textId="77777777" w:rsidR="00000000" w:rsidRDefault="00A173A8">
            <w:pPr>
              <w:spacing w:after="100"/>
              <w:rPr>
                <w:rFonts w:eastAsia="Times New Roman"/>
                <w:sz w:val="20"/>
                <w:szCs w:val="20"/>
              </w:rPr>
            </w:pPr>
          </w:p>
        </w:tc>
        <w:tc>
          <w:tcPr>
            <w:tcW w:w="50" w:type="pct"/>
            <w:vAlign w:val="center"/>
            <w:hideMark/>
          </w:tcPr>
          <w:p w14:paraId="5A4CE829" w14:textId="77777777" w:rsidR="00000000" w:rsidRDefault="00A173A8">
            <w:pPr>
              <w:spacing w:after="100"/>
              <w:rPr>
                <w:rFonts w:eastAsia="Times New Roman"/>
                <w:sz w:val="20"/>
                <w:szCs w:val="20"/>
              </w:rPr>
            </w:pPr>
          </w:p>
        </w:tc>
        <w:tc>
          <w:tcPr>
            <w:tcW w:w="1614" w:type="pct"/>
            <w:vAlign w:val="center"/>
            <w:hideMark/>
          </w:tcPr>
          <w:p w14:paraId="53735DF6" w14:textId="77777777" w:rsidR="00000000" w:rsidRDefault="00A173A8">
            <w:pPr>
              <w:spacing w:after="100"/>
              <w:rPr>
                <w:rFonts w:eastAsia="Times New Roman"/>
                <w:sz w:val="20"/>
                <w:szCs w:val="20"/>
              </w:rPr>
            </w:pPr>
          </w:p>
        </w:tc>
        <w:tc>
          <w:tcPr>
            <w:tcW w:w="5" w:type="pct"/>
            <w:vAlign w:val="center"/>
            <w:hideMark/>
          </w:tcPr>
          <w:p w14:paraId="0BE883E2" w14:textId="77777777" w:rsidR="00000000" w:rsidRDefault="00A173A8">
            <w:pPr>
              <w:spacing w:after="100"/>
              <w:rPr>
                <w:rFonts w:eastAsia="Times New Roman"/>
                <w:sz w:val="20"/>
                <w:szCs w:val="20"/>
              </w:rPr>
            </w:pPr>
          </w:p>
        </w:tc>
      </w:tr>
      <w:tr w:rsidR="00000000" w14:paraId="7F2B7EB8" w14:textId="77777777">
        <w:trPr>
          <w:divId w:val="1061946618"/>
          <w:trHeight w:val="300"/>
          <w:jc w:val="center"/>
        </w:trPr>
        <w:tc>
          <w:tcPr>
            <w:tcW w:w="0" w:type="auto"/>
            <w:gridSpan w:val="9"/>
            <w:tcMar>
              <w:top w:w="0" w:type="dxa"/>
              <w:left w:w="20" w:type="dxa"/>
              <w:bottom w:w="0" w:type="dxa"/>
              <w:right w:w="20" w:type="dxa"/>
            </w:tcMar>
            <w:vAlign w:val="center"/>
            <w:hideMark/>
          </w:tcPr>
          <w:p w14:paraId="220D9C22" w14:textId="77777777" w:rsidR="00000000" w:rsidRDefault="00A173A8">
            <w:pPr>
              <w:spacing w:after="100"/>
              <w:rPr>
                <w:rFonts w:eastAsia="Times New Roman"/>
                <w:sz w:val="20"/>
                <w:szCs w:val="20"/>
              </w:rPr>
            </w:pPr>
          </w:p>
        </w:tc>
      </w:tr>
      <w:tr w:rsidR="00000000" w14:paraId="72E1A8A7" w14:textId="77777777">
        <w:trPr>
          <w:divId w:val="1061946618"/>
          <w:jc w:val="center"/>
        </w:trPr>
        <w:tc>
          <w:tcPr>
            <w:tcW w:w="0" w:type="auto"/>
            <w:gridSpan w:val="3"/>
            <w:tcMar>
              <w:top w:w="0" w:type="dxa"/>
              <w:left w:w="20" w:type="dxa"/>
              <w:bottom w:w="0" w:type="dxa"/>
              <w:right w:w="20" w:type="dxa"/>
            </w:tcMar>
            <w:vAlign w:val="center"/>
            <w:hideMark/>
          </w:tcPr>
          <w:p w14:paraId="42A945CA"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2E7346A" w14:textId="77777777" w:rsidR="00000000" w:rsidRDefault="00A173A8">
            <w:pPr>
              <w:spacing w:after="100"/>
              <w:jc w:val="center"/>
              <w:rPr>
                <w:rFonts w:eastAsia="Times New Roman"/>
              </w:rPr>
            </w:pPr>
            <w:r>
              <w:rPr>
                <w:rFonts w:eastAsia="Times New Roman"/>
                <w:color w:val="000000"/>
                <w:sz w:val="16"/>
                <w:szCs w:val="16"/>
              </w:rPr>
              <w:t>56</w:t>
            </w:r>
          </w:p>
        </w:tc>
        <w:tc>
          <w:tcPr>
            <w:tcW w:w="0" w:type="auto"/>
            <w:gridSpan w:val="3"/>
            <w:tcMar>
              <w:top w:w="30" w:type="dxa"/>
              <w:left w:w="20" w:type="dxa"/>
              <w:bottom w:w="30" w:type="dxa"/>
              <w:right w:w="20" w:type="dxa"/>
            </w:tcMar>
            <w:vAlign w:val="bottom"/>
            <w:hideMark/>
          </w:tcPr>
          <w:p w14:paraId="2AD2C523"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60FFFCF" w14:textId="77777777" w:rsidR="00000000" w:rsidRDefault="00A173A8">
      <w:pPr>
        <w:rPr>
          <w:rFonts w:eastAsia="Times New Roman"/>
        </w:rPr>
      </w:pPr>
      <w:r>
        <w:rPr>
          <w:rFonts w:eastAsia="Times New Roman"/>
        </w:rPr>
        <w:pict w14:anchorId="2C0A89D0">
          <v:rect id="_x0000_i1081" style="width:0;height:1.5pt" o:hralign="center" o:hrstd="t" o:hr="t" fillcolor="#a0a0a0" stroked="f"/>
        </w:pict>
      </w:r>
    </w:p>
    <w:p w14:paraId="3ED58CD4" w14:textId="77777777" w:rsidR="00000000" w:rsidRDefault="00A173A8">
      <w:pPr>
        <w:ind w:hanging="360"/>
        <w:jc w:val="both"/>
        <w:divId w:val="1373846916"/>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4AEA3FF" w14:textId="77777777">
        <w:trPr>
          <w:divId w:val="1867405109"/>
        </w:trPr>
        <w:tc>
          <w:tcPr>
            <w:tcW w:w="50" w:type="pct"/>
            <w:vAlign w:val="center"/>
            <w:hideMark/>
          </w:tcPr>
          <w:p w14:paraId="218878AF" w14:textId="77777777" w:rsidR="00000000" w:rsidRDefault="00A173A8">
            <w:pPr>
              <w:ind w:hanging="360"/>
              <w:jc w:val="both"/>
              <w:rPr>
                <w:rFonts w:eastAsia="Times New Roman"/>
              </w:rPr>
            </w:pPr>
          </w:p>
        </w:tc>
        <w:tc>
          <w:tcPr>
            <w:tcW w:w="4945" w:type="pct"/>
            <w:vAlign w:val="center"/>
            <w:hideMark/>
          </w:tcPr>
          <w:p w14:paraId="0B8A98FC" w14:textId="77777777" w:rsidR="00000000" w:rsidRDefault="00A173A8">
            <w:pPr>
              <w:spacing w:after="100"/>
              <w:rPr>
                <w:rFonts w:eastAsia="Times New Roman"/>
                <w:sz w:val="20"/>
                <w:szCs w:val="20"/>
              </w:rPr>
            </w:pPr>
          </w:p>
        </w:tc>
        <w:tc>
          <w:tcPr>
            <w:tcW w:w="5" w:type="pct"/>
            <w:vAlign w:val="center"/>
            <w:hideMark/>
          </w:tcPr>
          <w:p w14:paraId="5F1BB2FE" w14:textId="77777777" w:rsidR="00000000" w:rsidRDefault="00A173A8">
            <w:pPr>
              <w:spacing w:after="100"/>
              <w:rPr>
                <w:rFonts w:eastAsia="Times New Roman"/>
                <w:sz w:val="20"/>
                <w:szCs w:val="20"/>
              </w:rPr>
            </w:pPr>
          </w:p>
        </w:tc>
      </w:tr>
      <w:tr w:rsidR="00000000" w14:paraId="0B32F178" w14:textId="77777777">
        <w:trPr>
          <w:divId w:val="186740510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AD652C9" w14:textId="77777777" w:rsidR="00000000" w:rsidRDefault="00A173A8">
            <w:pPr>
              <w:spacing w:after="100"/>
              <w:rPr>
                <w:rFonts w:eastAsia="Times New Roman"/>
              </w:rPr>
            </w:pPr>
            <w:r>
              <w:rPr>
                <w:rFonts w:eastAsia="Times New Roman"/>
                <w:b/>
                <w:bCs/>
                <w:color w:val="000000"/>
                <w:sz w:val="20"/>
                <w:szCs w:val="20"/>
              </w:rPr>
              <w:t>SUPPLEMENTAL TABLES</w:t>
            </w:r>
          </w:p>
        </w:tc>
      </w:tr>
    </w:tbl>
    <w:p w14:paraId="3C66333A" w14:textId="77777777" w:rsidR="00000000" w:rsidRDefault="00A173A8">
      <w:pPr>
        <w:divId w:val="793136903"/>
        <w:rPr>
          <w:rFonts w:eastAsia="Times New Roman"/>
        </w:rPr>
      </w:pPr>
      <w:r>
        <w:rPr>
          <w:rFonts w:eastAsia="Times New Roman"/>
          <w:b/>
          <w:bCs/>
          <w:color w:val="000000"/>
          <w:sz w:val="20"/>
          <w:szCs w:val="20"/>
        </w:rPr>
        <w:t>Reconciliation of Non-GAAP Measures</w:t>
      </w:r>
    </w:p>
    <w:p w14:paraId="37C81F79" w14:textId="77777777" w:rsidR="00000000" w:rsidRDefault="00A173A8">
      <w:pPr>
        <w:jc w:val="both"/>
        <w:divId w:val="1830751483"/>
        <w:rPr>
          <w:rFonts w:eastAsia="Times New Roman"/>
        </w:rPr>
      </w:pPr>
      <w:r>
        <w:rPr>
          <w:rFonts w:eastAsia="Times New Roman"/>
          <w:color w:val="000000"/>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eastAsia="Times New Roman"/>
          <w:color w:val="000000"/>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eastAsia="Times New Roman"/>
          <w:color w:val="000000"/>
          <w:sz w:val="20"/>
          <w:szCs w:val="20"/>
        </w:rPr>
        <w:t xml:space="preserve"> of financial services companies, they may not be comparable to similarly-titled measures reported by other companies. The following table presents reconciliations of these non-GAAP measures to the applicable amounts measured in accordance with GAAP.</w:t>
      </w:r>
    </w:p>
    <w:p w14:paraId="136C31E9" w14:textId="77777777" w:rsidR="00000000" w:rsidRDefault="00A173A8">
      <w:pPr>
        <w:divId w:val="1935088320"/>
        <w:rPr>
          <w:rFonts w:eastAsia="Times New Roman"/>
        </w:rPr>
      </w:pPr>
      <w:r>
        <w:rPr>
          <w:rFonts w:eastAsia="Times New Roman"/>
          <w:b/>
          <w:bCs/>
          <w:color w:val="000000"/>
          <w:sz w:val="18"/>
          <w:szCs w:val="18"/>
        </w:rPr>
        <w:t>Table</w:t>
      </w:r>
      <w:r>
        <w:rPr>
          <w:rFonts w:eastAsia="Times New Roman"/>
          <w:b/>
          <w:bCs/>
          <w:color w:val="000000"/>
          <w:sz w:val="18"/>
          <w:szCs w:val="18"/>
        </w:rPr>
        <w:t xml:space="preserve"> A—Reconciliation of Non-GAAP Measures</w:t>
      </w:r>
    </w:p>
    <w:tbl>
      <w:tblPr>
        <w:tblW w:w="5000" w:type="pct"/>
        <w:tblCellMar>
          <w:top w:w="15" w:type="dxa"/>
          <w:left w:w="15" w:type="dxa"/>
          <w:bottom w:w="15" w:type="dxa"/>
          <w:right w:w="15" w:type="dxa"/>
        </w:tblCellMar>
        <w:tblLook w:val="04A0" w:firstRow="1" w:lastRow="0" w:firstColumn="1" w:lastColumn="0" w:noHBand="0" w:noVBand="1"/>
      </w:tblPr>
      <w:tblGrid>
        <w:gridCol w:w="40"/>
        <w:gridCol w:w="5047"/>
        <w:gridCol w:w="39"/>
        <w:gridCol w:w="36"/>
        <w:gridCol w:w="36"/>
        <w:gridCol w:w="36"/>
        <w:gridCol w:w="120"/>
        <w:gridCol w:w="1086"/>
        <w:gridCol w:w="220"/>
        <w:gridCol w:w="36"/>
        <w:gridCol w:w="36"/>
        <w:gridCol w:w="36"/>
        <w:gridCol w:w="120"/>
        <w:gridCol w:w="1087"/>
        <w:gridCol w:w="187"/>
        <w:gridCol w:w="36"/>
        <w:gridCol w:w="36"/>
        <w:gridCol w:w="36"/>
        <w:gridCol w:w="36"/>
      </w:tblGrid>
      <w:tr w:rsidR="00000000" w14:paraId="569066DB" w14:textId="77777777">
        <w:trPr>
          <w:divId w:val="569077606"/>
        </w:trPr>
        <w:tc>
          <w:tcPr>
            <w:tcW w:w="50" w:type="pct"/>
            <w:vAlign w:val="center"/>
            <w:hideMark/>
          </w:tcPr>
          <w:p w14:paraId="38C38007" w14:textId="77777777" w:rsidR="00000000" w:rsidRDefault="00A173A8">
            <w:pPr>
              <w:rPr>
                <w:rFonts w:eastAsia="Times New Roman"/>
              </w:rPr>
            </w:pPr>
          </w:p>
        </w:tc>
        <w:tc>
          <w:tcPr>
            <w:tcW w:w="3190" w:type="pct"/>
            <w:vAlign w:val="center"/>
            <w:hideMark/>
          </w:tcPr>
          <w:p w14:paraId="3F1351DA" w14:textId="77777777" w:rsidR="00000000" w:rsidRDefault="00A173A8">
            <w:pPr>
              <w:spacing w:after="100"/>
              <w:rPr>
                <w:rFonts w:eastAsia="Times New Roman"/>
                <w:sz w:val="20"/>
                <w:szCs w:val="20"/>
              </w:rPr>
            </w:pPr>
          </w:p>
        </w:tc>
        <w:tc>
          <w:tcPr>
            <w:tcW w:w="5" w:type="pct"/>
            <w:vAlign w:val="center"/>
            <w:hideMark/>
          </w:tcPr>
          <w:p w14:paraId="6337F2B5" w14:textId="77777777" w:rsidR="00000000" w:rsidRDefault="00A173A8">
            <w:pPr>
              <w:spacing w:after="100"/>
              <w:rPr>
                <w:rFonts w:eastAsia="Times New Roman"/>
                <w:sz w:val="20"/>
                <w:szCs w:val="20"/>
              </w:rPr>
            </w:pPr>
          </w:p>
        </w:tc>
        <w:tc>
          <w:tcPr>
            <w:tcW w:w="5" w:type="pct"/>
            <w:vAlign w:val="center"/>
            <w:hideMark/>
          </w:tcPr>
          <w:p w14:paraId="7466F3C6" w14:textId="77777777" w:rsidR="00000000" w:rsidRDefault="00A173A8">
            <w:pPr>
              <w:spacing w:after="100"/>
              <w:rPr>
                <w:rFonts w:eastAsia="Times New Roman"/>
                <w:sz w:val="20"/>
                <w:szCs w:val="20"/>
              </w:rPr>
            </w:pPr>
          </w:p>
        </w:tc>
        <w:tc>
          <w:tcPr>
            <w:tcW w:w="26" w:type="pct"/>
            <w:vAlign w:val="center"/>
            <w:hideMark/>
          </w:tcPr>
          <w:p w14:paraId="2CA2F3F5" w14:textId="77777777" w:rsidR="00000000" w:rsidRDefault="00A173A8">
            <w:pPr>
              <w:spacing w:after="100"/>
              <w:rPr>
                <w:rFonts w:eastAsia="Times New Roman"/>
                <w:sz w:val="20"/>
                <w:szCs w:val="20"/>
              </w:rPr>
            </w:pPr>
          </w:p>
        </w:tc>
        <w:tc>
          <w:tcPr>
            <w:tcW w:w="5" w:type="pct"/>
            <w:vAlign w:val="center"/>
            <w:hideMark/>
          </w:tcPr>
          <w:p w14:paraId="0275CFC1" w14:textId="77777777" w:rsidR="00000000" w:rsidRDefault="00A173A8">
            <w:pPr>
              <w:spacing w:after="100"/>
              <w:rPr>
                <w:rFonts w:eastAsia="Times New Roman"/>
                <w:sz w:val="20"/>
                <w:szCs w:val="20"/>
              </w:rPr>
            </w:pPr>
          </w:p>
        </w:tc>
        <w:tc>
          <w:tcPr>
            <w:tcW w:w="50" w:type="pct"/>
            <w:vAlign w:val="center"/>
            <w:hideMark/>
          </w:tcPr>
          <w:p w14:paraId="7CAFD91B" w14:textId="77777777" w:rsidR="00000000" w:rsidRDefault="00A173A8">
            <w:pPr>
              <w:spacing w:after="100"/>
              <w:rPr>
                <w:rFonts w:eastAsia="Times New Roman"/>
                <w:sz w:val="20"/>
                <w:szCs w:val="20"/>
              </w:rPr>
            </w:pPr>
          </w:p>
        </w:tc>
        <w:tc>
          <w:tcPr>
            <w:tcW w:w="785" w:type="pct"/>
            <w:vAlign w:val="center"/>
            <w:hideMark/>
          </w:tcPr>
          <w:p w14:paraId="0128D148" w14:textId="77777777" w:rsidR="00000000" w:rsidRDefault="00A173A8">
            <w:pPr>
              <w:spacing w:after="100"/>
              <w:rPr>
                <w:rFonts w:eastAsia="Times New Roman"/>
                <w:sz w:val="20"/>
                <w:szCs w:val="20"/>
              </w:rPr>
            </w:pPr>
          </w:p>
        </w:tc>
        <w:tc>
          <w:tcPr>
            <w:tcW w:w="5" w:type="pct"/>
            <w:vAlign w:val="center"/>
            <w:hideMark/>
          </w:tcPr>
          <w:p w14:paraId="15F173ED" w14:textId="77777777" w:rsidR="00000000" w:rsidRDefault="00A173A8">
            <w:pPr>
              <w:spacing w:after="100"/>
              <w:rPr>
                <w:rFonts w:eastAsia="Times New Roman"/>
                <w:sz w:val="20"/>
                <w:szCs w:val="20"/>
              </w:rPr>
            </w:pPr>
          </w:p>
        </w:tc>
        <w:tc>
          <w:tcPr>
            <w:tcW w:w="5" w:type="pct"/>
            <w:vAlign w:val="center"/>
            <w:hideMark/>
          </w:tcPr>
          <w:p w14:paraId="6AF90A7C" w14:textId="77777777" w:rsidR="00000000" w:rsidRDefault="00A173A8">
            <w:pPr>
              <w:spacing w:after="100"/>
              <w:rPr>
                <w:rFonts w:eastAsia="Times New Roman"/>
                <w:sz w:val="20"/>
                <w:szCs w:val="20"/>
              </w:rPr>
            </w:pPr>
          </w:p>
        </w:tc>
        <w:tc>
          <w:tcPr>
            <w:tcW w:w="26" w:type="pct"/>
            <w:vAlign w:val="center"/>
            <w:hideMark/>
          </w:tcPr>
          <w:p w14:paraId="6F143603" w14:textId="77777777" w:rsidR="00000000" w:rsidRDefault="00A173A8">
            <w:pPr>
              <w:spacing w:after="100"/>
              <w:rPr>
                <w:rFonts w:eastAsia="Times New Roman"/>
                <w:sz w:val="20"/>
                <w:szCs w:val="20"/>
              </w:rPr>
            </w:pPr>
          </w:p>
        </w:tc>
        <w:tc>
          <w:tcPr>
            <w:tcW w:w="5" w:type="pct"/>
            <w:vAlign w:val="center"/>
            <w:hideMark/>
          </w:tcPr>
          <w:p w14:paraId="7568F62A" w14:textId="77777777" w:rsidR="00000000" w:rsidRDefault="00A173A8">
            <w:pPr>
              <w:spacing w:after="100"/>
              <w:rPr>
                <w:rFonts w:eastAsia="Times New Roman"/>
                <w:sz w:val="20"/>
                <w:szCs w:val="20"/>
              </w:rPr>
            </w:pPr>
          </w:p>
        </w:tc>
        <w:tc>
          <w:tcPr>
            <w:tcW w:w="50" w:type="pct"/>
            <w:vAlign w:val="center"/>
            <w:hideMark/>
          </w:tcPr>
          <w:p w14:paraId="56B8AACF" w14:textId="77777777" w:rsidR="00000000" w:rsidRDefault="00A173A8">
            <w:pPr>
              <w:spacing w:after="100"/>
              <w:rPr>
                <w:rFonts w:eastAsia="Times New Roman"/>
                <w:sz w:val="20"/>
                <w:szCs w:val="20"/>
              </w:rPr>
            </w:pPr>
          </w:p>
        </w:tc>
        <w:tc>
          <w:tcPr>
            <w:tcW w:w="785" w:type="pct"/>
            <w:vAlign w:val="center"/>
            <w:hideMark/>
          </w:tcPr>
          <w:p w14:paraId="057DA34A" w14:textId="77777777" w:rsidR="00000000" w:rsidRDefault="00A173A8">
            <w:pPr>
              <w:spacing w:after="100"/>
              <w:rPr>
                <w:rFonts w:eastAsia="Times New Roman"/>
                <w:sz w:val="20"/>
                <w:szCs w:val="20"/>
              </w:rPr>
            </w:pPr>
          </w:p>
        </w:tc>
        <w:tc>
          <w:tcPr>
            <w:tcW w:w="5" w:type="pct"/>
            <w:vAlign w:val="center"/>
            <w:hideMark/>
          </w:tcPr>
          <w:p w14:paraId="3FEE0A6D" w14:textId="77777777" w:rsidR="00000000" w:rsidRDefault="00A173A8">
            <w:pPr>
              <w:spacing w:after="100"/>
              <w:rPr>
                <w:rFonts w:eastAsia="Times New Roman"/>
                <w:sz w:val="20"/>
                <w:szCs w:val="20"/>
              </w:rPr>
            </w:pPr>
          </w:p>
        </w:tc>
        <w:tc>
          <w:tcPr>
            <w:tcW w:w="0" w:type="auto"/>
            <w:vAlign w:val="center"/>
            <w:hideMark/>
          </w:tcPr>
          <w:p w14:paraId="2A12C872" w14:textId="77777777" w:rsidR="00000000" w:rsidRDefault="00A173A8">
            <w:pPr>
              <w:spacing w:after="100"/>
              <w:rPr>
                <w:rFonts w:eastAsia="Times New Roman"/>
                <w:sz w:val="20"/>
                <w:szCs w:val="20"/>
              </w:rPr>
            </w:pPr>
          </w:p>
        </w:tc>
        <w:tc>
          <w:tcPr>
            <w:tcW w:w="0" w:type="auto"/>
            <w:vAlign w:val="center"/>
            <w:hideMark/>
          </w:tcPr>
          <w:p w14:paraId="2DA096E1" w14:textId="77777777" w:rsidR="00000000" w:rsidRDefault="00A173A8">
            <w:pPr>
              <w:spacing w:after="100"/>
              <w:rPr>
                <w:rFonts w:eastAsia="Times New Roman"/>
                <w:sz w:val="20"/>
                <w:szCs w:val="20"/>
              </w:rPr>
            </w:pPr>
          </w:p>
        </w:tc>
        <w:tc>
          <w:tcPr>
            <w:tcW w:w="0" w:type="auto"/>
            <w:vAlign w:val="center"/>
            <w:hideMark/>
          </w:tcPr>
          <w:p w14:paraId="04C90AF0" w14:textId="77777777" w:rsidR="00000000" w:rsidRDefault="00A173A8">
            <w:pPr>
              <w:spacing w:after="100"/>
              <w:rPr>
                <w:rFonts w:eastAsia="Times New Roman"/>
                <w:sz w:val="20"/>
                <w:szCs w:val="20"/>
              </w:rPr>
            </w:pPr>
          </w:p>
        </w:tc>
        <w:tc>
          <w:tcPr>
            <w:tcW w:w="0" w:type="auto"/>
            <w:vAlign w:val="center"/>
            <w:hideMark/>
          </w:tcPr>
          <w:p w14:paraId="2FB53A75" w14:textId="77777777" w:rsidR="00000000" w:rsidRDefault="00A173A8">
            <w:pPr>
              <w:spacing w:after="100"/>
              <w:rPr>
                <w:rFonts w:eastAsia="Times New Roman"/>
                <w:sz w:val="20"/>
                <w:szCs w:val="20"/>
              </w:rPr>
            </w:pPr>
          </w:p>
        </w:tc>
      </w:tr>
      <w:tr w:rsidR="00000000" w14:paraId="0B2936B0" w14:textId="77777777">
        <w:trPr>
          <w:divId w:val="569077606"/>
        </w:trPr>
        <w:tc>
          <w:tcPr>
            <w:tcW w:w="0" w:type="auto"/>
            <w:gridSpan w:val="3"/>
            <w:vAlign w:val="center"/>
            <w:hideMark/>
          </w:tcPr>
          <w:p w14:paraId="7CC6BCEA" w14:textId="77777777" w:rsidR="00000000" w:rsidRDefault="00A173A8">
            <w:pPr>
              <w:spacing w:after="100"/>
              <w:rPr>
                <w:rFonts w:eastAsia="Times New Roman"/>
                <w:sz w:val="20"/>
                <w:szCs w:val="20"/>
              </w:rPr>
            </w:pPr>
          </w:p>
        </w:tc>
        <w:tc>
          <w:tcPr>
            <w:tcW w:w="0" w:type="auto"/>
            <w:gridSpan w:val="3"/>
            <w:vAlign w:val="center"/>
            <w:hideMark/>
          </w:tcPr>
          <w:p w14:paraId="6F4A69A5" w14:textId="77777777" w:rsidR="00000000" w:rsidRDefault="00A173A8">
            <w:pPr>
              <w:spacing w:after="100"/>
              <w:rPr>
                <w:rFonts w:eastAsia="Times New Roman"/>
                <w:sz w:val="20"/>
                <w:szCs w:val="20"/>
              </w:rPr>
            </w:pPr>
          </w:p>
        </w:tc>
        <w:tc>
          <w:tcPr>
            <w:tcW w:w="0" w:type="auto"/>
            <w:gridSpan w:val="3"/>
            <w:vAlign w:val="center"/>
            <w:hideMark/>
          </w:tcPr>
          <w:p w14:paraId="14C3DCE6" w14:textId="77777777" w:rsidR="00000000" w:rsidRDefault="00A173A8">
            <w:pPr>
              <w:spacing w:after="100"/>
              <w:rPr>
                <w:rFonts w:eastAsia="Times New Roman"/>
                <w:sz w:val="20"/>
                <w:szCs w:val="20"/>
              </w:rPr>
            </w:pPr>
          </w:p>
        </w:tc>
        <w:tc>
          <w:tcPr>
            <w:tcW w:w="0" w:type="auto"/>
            <w:gridSpan w:val="3"/>
            <w:vAlign w:val="center"/>
            <w:hideMark/>
          </w:tcPr>
          <w:p w14:paraId="38FE2412" w14:textId="77777777" w:rsidR="00000000" w:rsidRDefault="00A173A8">
            <w:pPr>
              <w:spacing w:after="100"/>
              <w:rPr>
                <w:rFonts w:eastAsia="Times New Roman"/>
                <w:sz w:val="20"/>
                <w:szCs w:val="20"/>
              </w:rPr>
            </w:pPr>
          </w:p>
        </w:tc>
        <w:tc>
          <w:tcPr>
            <w:tcW w:w="0" w:type="auto"/>
            <w:gridSpan w:val="3"/>
            <w:vAlign w:val="center"/>
            <w:hideMark/>
          </w:tcPr>
          <w:p w14:paraId="08BA8914" w14:textId="77777777" w:rsidR="00000000" w:rsidRDefault="00A173A8">
            <w:pPr>
              <w:spacing w:after="100"/>
              <w:rPr>
                <w:rFonts w:eastAsia="Times New Roman"/>
                <w:sz w:val="20"/>
                <w:szCs w:val="20"/>
              </w:rPr>
            </w:pPr>
          </w:p>
        </w:tc>
        <w:tc>
          <w:tcPr>
            <w:tcW w:w="0" w:type="auto"/>
            <w:vAlign w:val="center"/>
            <w:hideMark/>
          </w:tcPr>
          <w:p w14:paraId="77298321" w14:textId="77777777" w:rsidR="00000000" w:rsidRDefault="00A173A8">
            <w:pPr>
              <w:spacing w:after="100"/>
              <w:rPr>
                <w:rFonts w:eastAsia="Times New Roman"/>
                <w:sz w:val="20"/>
                <w:szCs w:val="20"/>
              </w:rPr>
            </w:pPr>
          </w:p>
        </w:tc>
        <w:tc>
          <w:tcPr>
            <w:tcW w:w="0" w:type="auto"/>
            <w:vAlign w:val="center"/>
            <w:hideMark/>
          </w:tcPr>
          <w:p w14:paraId="0E98720B" w14:textId="77777777" w:rsidR="00000000" w:rsidRDefault="00A173A8">
            <w:pPr>
              <w:spacing w:after="100"/>
              <w:rPr>
                <w:rFonts w:eastAsia="Times New Roman"/>
                <w:sz w:val="20"/>
                <w:szCs w:val="20"/>
              </w:rPr>
            </w:pPr>
          </w:p>
        </w:tc>
        <w:tc>
          <w:tcPr>
            <w:tcW w:w="0" w:type="auto"/>
            <w:vAlign w:val="center"/>
            <w:hideMark/>
          </w:tcPr>
          <w:p w14:paraId="095BB696" w14:textId="77777777" w:rsidR="00000000" w:rsidRDefault="00A173A8">
            <w:pPr>
              <w:spacing w:after="100"/>
              <w:rPr>
                <w:rFonts w:eastAsia="Times New Roman"/>
                <w:sz w:val="20"/>
                <w:szCs w:val="20"/>
              </w:rPr>
            </w:pPr>
          </w:p>
        </w:tc>
        <w:tc>
          <w:tcPr>
            <w:tcW w:w="0" w:type="auto"/>
            <w:vAlign w:val="center"/>
            <w:hideMark/>
          </w:tcPr>
          <w:p w14:paraId="1E7860E0" w14:textId="77777777" w:rsidR="00000000" w:rsidRDefault="00A173A8">
            <w:pPr>
              <w:spacing w:after="100"/>
              <w:rPr>
                <w:rFonts w:eastAsia="Times New Roman"/>
                <w:sz w:val="20"/>
                <w:szCs w:val="20"/>
              </w:rPr>
            </w:pPr>
          </w:p>
        </w:tc>
      </w:tr>
      <w:tr w:rsidR="00000000" w14:paraId="0437E97F" w14:textId="77777777">
        <w:trPr>
          <w:divId w:val="569077606"/>
        </w:trPr>
        <w:tc>
          <w:tcPr>
            <w:tcW w:w="0" w:type="auto"/>
            <w:gridSpan w:val="3"/>
            <w:tcMar>
              <w:top w:w="30" w:type="dxa"/>
              <w:left w:w="20" w:type="dxa"/>
              <w:bottom w:w="30" w:type="dxa"/>
              <w:right w:w="20" w:type="dxa"/>
            </w:tcMar>
            <w:vAlign w:val="bottom"/>
            <w:hideMark/>
          </w:tcPr>
          <w:p w14:paraId="4723B216" w14:textId="77777777" w:rsidR="00000000" w:rsidRDefault="00A173A8">
            <w:pPr>
              <w:spacing w:after="100"/>
              <w:rPr>
                <w:rFonts w:eastAsia="Times New Roman"/>
              </w:rPr>
            </w:pPr>
            <w:r>
              <w:rPr>
                <w:rFonts w:eastAsia="Times New Roman"/>
                <w:i/>
                <w:iCs/>
                <w:color w:val="000000"/>
                <w:sz w:val="20"/>
                <w:szCs w:val="20"/>
              </w:rPr>
              <w:t>(Dollars in millions, except as noted)</w:t>
            </w:r>
          </w:p>
        </w:tc>
        <w:tc>
          <w:tcPr>
            <w:tcW w:w="0" w:type="auto"/>
            <w:gridSpan w:val="3"/>
            <w:tcMar>
              <w:top w:w="0" w:type="dxa"/>
              <w:left w:w="20" w:type="dxa"/>
              <w:bottom w:w="0" w:type="dxa"/>
              <w:right w:w="20" w:type="dxa"/>
            </w:tcMar>
            <w:vAlign w:val="center"/>
            <w:hideMark/>
          </w:tcPr>
          <w:p w14:paraId="3F73E004"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5B65D41D" w14:textId="77777777" w:rsidR="00000000" w:rsidRDefault="00A173A8">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6C87547E"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C15E8F" w14:textId="77777777" w:rsidR="00000000" w:rsidRDefault="00A173A8">
            <w:pPr>
              <w:spacing w:after="100"/>
              <w:jc w:val="center"/>
              <w:rPr>
                <w:rFonts w:eastAsia="Times New Roman"/>
              </w:rPr>
            </w:pPr>
            <w:r>
              <w:rPr>
                <w:rFonts w:eastAsia="Times New Roman"/>
                <w:b/>
                <w:bCs/>
                <w:color w:val="000000"/>
                <w:sz w:val="20"/>
                <w:szCs w:val="20"/>
              </w:rPr>
              <w:t>December 31, 2021</w:t>
            </w:r>
          </w:p>
        </w:tc>
        <w:tc>
          <w:tcPr>
            <w:tcW w:w="0" w:type="auto"/>
            <w:vAlign w:val="center"/>
            <w:hideMark/>
          </w:tcPr>
          <w:p w14:paraId="7B55664B" w14:textId="77777777" w:rsidR="00000000" w:rsidRDefault="00A173A8">
            <w:pPr>
              <w:spacing w:after="100"/>
              <w:jc w:val="center"/>
              <w:rPr>
                <w:rFonts w:eastAsia="Times New Roman"/>
              </w:rPr>
            </w:pPr>
          </w:p>
        </w:tc>
        <w:tc>
          <w:tcPr>
            <w:tcW w:w="0" w:type="auto"/>
            <w:vAlign w:val="center"/>
            <w:hideMark/>
          </w:tcPr>
          <w:p w14:paraId="16423CFD" w14:textId="77777777" w:rsidR="00000000" w:rsidRDefault="00A173A8">
            <w:pPr>
              <w:spacing w:after="100"/>
              <w:rPr>
                <w:rFonts w:eastAsia="Times New Roman"/>
                <w:sz w:val="20"/>
                <w:szCs w:val="20"/>
              </w:rPr>
            </w:pPr>
          </w:p>
        </w:tc>
        <w:tc>
          <w:tcPr>
            <w:tcW w:w="0" w:type="auto"/>
            <w:vAlign w:val="center"/>
            <w:hideMark/>
          </w:tcPr>
          <w:p w14:paraId="062A8590" w14:textId="77777777" w:rsidR="00000000" w:rsidRDefault="00A173A8">
            <w:pPr>
              <w:spacing w:after="100"/>
              <w:rPr>
                <w:rFonts w:eastAsia="Times New Roman"/>
                <w:sz w:val="20"/>
                <w:szCs w:val="20"/>
              </w:rPr>
            </w:pPr>
          </w:p>
        </w:tc>
        <w:tc>
          <w:tcPr>
            <w:tcW w:w="0" w:type="auto"/>
            <w:vAlign w:val="center"/>
            <w:hideMark/>
          </w:tcPr>
          <w:p w14:paraId="28529C03" w14:textId="77777777" w:rsidR="00000000" w:rsidRDefault="00A173A8">
            <w:pPr>
              <w:spacing w:after="100"/>
              <w:rPr>
                <w:rFonts w:eastAsia="Times New Roman"/>
                <w:sz w:val="20"/>
                <w:szCs w:val="20"/>
              </w:rPr>
            </w:pPr>
          </w:p>
        </w:tc>
      </w:tr>
      <w:tr w:rsidR="00000000" w14:paraId="67F05C1C" w14:textId="77777777">
        <w:trPr>
          <w:divId w:val="5690776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0056EC5" w14:textId="77777777" w:rsidR="00000000" w:rsidRDefault="00A173A8">
            <w:pPr>
              <w:spacing w:after="100"/>
              <w:rPr>
                <w:rFonts w:eastAsia="Times New Roman"/>
              </w:rPr>
            </w:pPr>
            <w:r>
              <w:rPr>
                <w:rFonts w:eastAsia="Times New Roman"/>
                <w:b/>
                <w:bCs/>
                <w:color w:val="000000"/>
                <w:sz w:val="20"/>
                <w:szCs w:val="20"/>
              </w:rPr>
              <w:t>Tangible Common Equity (Period-End):</w:t>
            </w:r>
          </w:p>
        </w:tc>
        <w:tc>
          <w:tcPr>
            <w:tcW w:w="0" w:type="auto"/>
            <w:gridSpan w:val="3"/>
            <w:shd w:val="clear" w:color="auto" w:fill="CCEEFF"/>
            <w:tcMar>
              <w:top w:w="0" w:type="dxa"/>
              <w:left w:w="20" w:type="dxa"/>
              <w:bottom w:w="0" w:type="dxa"/>
              <w:right w:w="20" w:type="dxa"/>
            </w:tcMar>
            <w:vAlign w:val="center"/>
            <w:hideMark/>
          </w:tcPr>
          <w:p w14:paraId="1B778044"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807E8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83DCD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BCC482" w14:textId="77777777" w:rsidR="00000000" w:rsidRDefault="00A173A8">
            <w:pPr>
              <w:spacing w:after="100"/>
              <w:rPr>
                <w:rFonts w:eastAsia="Times New Roman"/>
                <w:sz w:val="20"/>
                <w:szCs w:val="20"/>
              </w:rPr>
            </w:pPr>
          </w:p>
        </w:tc>
        <w:tc>
          <w:tcPr>
            <w:tcW w:w="0" w:type="auto"/>
            <w:vAlign w:val="center"/>
            <w:hideMark/>
          </w:tcPr>
          <w:p w14:paraId="03CB67E0" w14:textId="77777777" w:rsidR="00000000" w:rsidRDefault="00A173A8">
            <w:pPr>
              <w:spacing w:after="100"/>
              <w:rPr>
                <w:rFonts w:eastAsia="Times New Roman"/>
                <w:sz w:val="20"/>
                <w:szCs w:val="20"/>
              </w:rPr>
            </w:pPr>
          </w:p>
        </w:tc>
        <w:tc>
          <w:tcPr>
            <w:tcW w:w="0" w:type="auto"/>
            <w:vAlign w:val="center"/>
            <w:hideMark/>
          </w:tcPr>
          <w:p w14:paraId="2D5CBC24" w14:textId="77777777" w:rsidR="00000000" w:rsidRDefault="00A173A8">
            <w:pPr>
              <w:spacing w:after="100"/>
              <w:rPr>
                <w:rFonts w:eastAsia="Times New Roman"/>
                <w:sz w:val="20"/>
                <w:szCs w:val="20"/>
              </w:rPr>
            </w:pPr>
          </w:p>
        </w:tc>
        <w:tc>
          <w:tcPr>
            <w:tcW w:w="0" w:type="auto"/>
            <w:vAlign w:val="center"/>
            <w:hideMark/>
          </w:tcPr>
          <w:p w14:paraId="59AA7AA8" w14:textId="77777777" w:rsidR="00000000" w:rsidRDefault="00A173A8">
            <w:pPr>
              <w:spacing w:after="100"/>
              <w:rPr>
                <w:rFonts w:eastAsia="Times New Roman"/>
                <w:sz w:val="20"/>
                <w:szCs w:val="20"/>
              </w:rPr>
            </w:pPr>
          </w:p>
        </w:tc>
        <w:tc>
          <w:tcPr>
            <w:tcW w:w="0" w:type="auto"/>
            <w:vAlign w:val="center"/>
            <w:hideMark/>
          </w:tcPr>
          <w:p w14:paraId="7C30671A" w14:textId="77777777" w:rsidR="00000000" w:rsidRDefault="00A173A8">
            <w:pPr>
              <w:spacing w:after="100"/>
              <w:rPr>
                <w:rFonts w:eastAsia="Times New Roman"/>
                <w:sz w:val="20"/>
                <w:szCs w:val="20"/>
              </w:rPr>
            </w:pPr>
          </w:p>
        </w:tc>
      </w:tr>
      <w:tr w:rsidR="00000000" w14:paraId="24997838" w14:textId="77777777">
        <w:trPr>
          <w:divId w:val="569077606"/>
        </w:trPr>
        <w:tc>
          <w:tcPr>
            <w:tcW w:w="0" w:type="auto"/>
            <w:gridSpan w:val="3"/>
            <w:shd w:val="clear" w:color="auto" w:fill="FFFFFF"/>
            <w:tcMar>
              <w:top w:w="30" w:type="dxa"/>
              <w:left w:w="245" w:type="dxa"/>
              <w:bottom w:w="30" w:type="dxa"/>
              <w:right w:w="20" w:type="dxa"/>
            </w:tcMar>
            <w:vAlign w:val="center"/>
            <w:hideMark/>
          </w:tcPr>
          <w:p w14:paraId="0B0A8E31" w14:textId="77777777" w:rsidR="00000000" w:rsidRDefault="00A173A8">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center"/>
            <w:hideMark/>
          </w:tcPr>
          <w:p w14:paraId="2EFDB67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64E6DDD"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19D9A7AE" w14:textId="77777777" w:rsidR="00000000" w:rsidRDefault="00A173A8">
            <w:pPr>
              <w:spacing w:after="100"/>
              <w:jc w:val="right"/>
              <w:rPr>
                <w:rFonts w:eastAsia="Times New Roman"/>
              </w:rPr>
            </w:pPr>
            <w:r>
              <w:rPr>
                <w:rFonts w:eastAsia="Times New Roman"/>
                <w:b/>
                <w:bCs/>
                <w:color w:val="000000"/>
                <w:sz w:val="20"/>
                <w:szCs w:val="20"/>
              </w:rPr>
              <w:t>53,410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4E0283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6A01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EE85E42"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374E3E4" w14:textId="77777777" w:rsidR="00000000" w:rsidRDefault="00A173A8">
            <w:pPr>
              <w:spacing w:after="100"/>
              <w:jc w:val="right"/>
              <w:rPr>
                <w:rFonts w:eastAsia="Times New Roman"/>
              </w:rPr>
            </w:pPr>
            <w:r>
              <w:rPr>
                <w:rFonts w:eastAsia="Times New Roman"/>
                <w:color w:val="000000"/>
                <w:sz w:val="20"/>
                <w:szCs w:val="20"/>
              </w:rPr>
              <w:t>61,029 </w:t>
            </w:r>
          </w:p>
        </w:tc>
        <w:tc>
          <w:tcPr>
            <w:tcW w:w="0" w:type="auto"/>
            <w:shd w:val="clear" w:color="auto" w:fill="FFFFFF"/>
            <w:tcMar>
              <w:top w:w="30" w:type="dxa"/>
              <w:left w:w="0" w:type="dxa"/>
              <w:bottom w:w="30" w:type="dxa"/>
              <w:right w:w="20" w:type="dxa"/>
            </w:tcMar>
            <w:vAlign w:val="center"/>
            <w:hideMark/>
          </w:tcPr>
          <w:p w14:paraId="76577A77" w14:textId="77777777" w:rsidR="00000000" w:rsidRDefault="00A173A8">
            <w:pPr>
              <w:spacing w:after="100"/>
              <w:jc w:val="right"/>
              <w:rPr>
                <w:rFonts w:eastAsia="Times New Roman"/>
              </w:rPr>
            </w:pPr>
          </w:p>
        </w:tc>
        <w:tc>
          <w:tcPr>
            <w:tcW w:w="0" w:type="auto"/>
            <w:vAlign w:val="center"/>
            <w:hideMark/>
          </w:tcPr>
          <w:p w14:paraId="150222DD" w14:textId="77777777" w:rsidR="00000000" w:rsidRDefault="00A173A8">
            <w:pPr>
              <w:spacing w:after="100"/>
              <w:jc w:val="right"/>
              <w:rPr>
                <w:rFonts w:eastAsia="Times New Roman"/>
                <w:sz w:val="20"/>
                <w:szCs w:val="20"/>
              </w:rPr>
            </w:pPr>
          </w:p>
        </w:tc>
        <w:tc>
          <w:tcPr>
            <w:tcW w:w="0" w:type="auto"/>
            <w:vAlign w:val="center"/>
            <w:hideMark/>
          </w:tcPr>
          <w:p w14:paraId="0E00470A" w14:textId="77777777" w:rsidR="00000000" w:rsidRDefault="00A173A8">
            <w:pPr>
              <w:spacing w:after="100"/>
              <w:rPr>
                <w:rFonts w:eastAsia="Times New Roman"/>
                <w:sz w:val="20"/>
                <w:szCs w:val="20"/>
              </w:rPr>
            </w:pPr>
          </w:p>
        </w:tc>
        <w:tc>
          <w:tcPr>
            <w:tcW w:w="0" w:type="auto"/>
            <w:vAlign w:val="center"/>
            <w:hideMark/>
          </w:tcPr>
          <w:p w14:paraId="3BB1FA70" w14:textId="77777777" w:rsidR="00000000" w:rsidRDefault="00A173A8">
            <w:pPr>
              <w:spacing w:after="100"/>
              <w:rPr>
                <w:rFonts w:eastAsia="Times New Roman"/>
                <w:sz w:val="20"/>
                <w:szCs w:val="20"/>
              </w:rPr>
            </w:pPr>
          </w:p>
        </w:tc>
        <w:tc>
          <w:tcPr>
            <w:tcW w:w="0" w:type="auto"/>
            <w:vAlign w:val="center"/>
            <w:hideMark/>
          </w:tcPr>
          <w:p w14:paraId="35E1702E" w14:textId="77777777" w:rsidR="00000000" w:rsidRDefault="00A173A8">
            <w:pPr>
              <w:spacing w:after="100"/>
              <w:rPr>
                <w:rFonts w:eastAsia="Times New Roman"/>
                <w:sz w:val="20"/>
                <w:szCs w:val="20"/>
              </w:rPr>
            </w:pPr>
          </w:p>
        </w:tc>
      </w:tr>
      <w:tr w:rsidR="00000000" w14:paraId="3B70463D" w14:textId="77777777">
        <w:trPr>
          <w:divId w:val="569077606"/>
        </w:trPr>
        <w:tc>
          <w:tcPr>
            <w:tcW w:w="0" w:type="auto"/>
            <w:gridSpan w:val="3"/>
            <w:shd w:val="clear" w:color="auto" w:fill="CCEEFF"/>
            <w:tcMar>
              <w:top w:w="30" w:type="dxa"/>
              <w:left w:w="20" w:type="dxa"/>
              <w:bottom w:w="30" w:type="dxa"/>
              <w:right w:w="20" w:type="dxa"/>
            </w:tcMar>
            <w:vAlign w:val="center"/>
            <w:hideMark/>
          </w:tcPr>
          <w:p w14:paraId="2EA5B836" w14:textId="77777777" w:rsidR="00000000" w:rsidRDefault="00A173A8">
            <w:pPr>
              <w:spacing w:after="100"/>
              <w:divId w:val="1453866571"/>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698CE7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F35F683" w14:textId="77777777" w:rsidR="00000000" w:rsidRDefault="00A173A8">
            <w:pPr>
              <w:spacing w:after="100"/>
              <w:jc w:val="right"/>
              <w:rPr>
                <w:rFonts w:eastAsia="Times New Roman"/>
              </w:rPr>
            </w:pPr>
            <w:r>
              <w:rPr>
                <w:rFonts w:eastAsia="Times New Roman"/>
                <w:b/>
                <w:bCs/>
                <w:color w:val="000000"/>
                <w:sz w:val="20"/>
                <w:szCs w:val="20"/>
              </w:rPr>
              <w:t>(14,850)</w:t>
            </w:r>
          </w:p>
        </w:tc>
        <w:tc>
          <w:tcPr>
            <w:tcW w:w="0" w:type="auto"/>
            <w:shd w:val="clear" w:color="auto" w:fill="CCEEFF"/>
            <w:tcMar>
              <w:top w:w="30" w:type="dxa"/>
              <w:left w:w="0" w:type="dxa"/>
              <w:bottom w:w="30" w:type="dxa"/>
              <w:right w:w="20" w:type="dxa"/>
            </w:tcMar>
            <w:vAlign w:val="center"/>
            <w:hideMark/>
          </w:tcPr>
          <w:p w14:paraId="643ED16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4907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5737F1" w14:textId="77777777" w:rsidR="00000000" w:rsidRDefault="00A173A8">
            <w:pPr>
              <w:spacing w:after="100"/>
              <w:jc w:val="right"/>
              <w:rPr>
                <w:rFonts w:eastAsia="Times New Roman"/>
              </w:rPr>
            </w:pPr>
            <w:r>
              <w:rPr>
                <w:rFonts w:eastAsia="Times New Roman"/>
                <w:color w:val="000000"/>
                <w:sz w:val="20"/>
                <w:szCs w:val="20"/>
              </w:rPr>
              <w:t>(14,907)</w:t>
            </w:r>
          </w:p>
        </w:tc>
        <w:tc>
          <w:tcPr>
            <w:tcW w:w="0" w:type="auto"/>
            <w:shd w:val="clear" w:color="auto" w:fill="CCEEFF"/>
            <w:tcMar>
              <w:top w:w="30" w:type="dxa"/>
              <w:left w:w="0" w:type="dxa"/>
              <w:bottom w:w="30" w:type="dxa"/>
              <w:right w:w="20" w:type="dxa"/>
            </w:tcMar>
            <w:vAlign w:val="center"/>
            <w:hideMark/>
          </w:tcPr>
          <w:p w14:paraId="6209E50D" w14:textId="77777777" w:rsidR="00000000" w:rsidRDefault="00A173A8">
            <w:pPr>
              <w:spacing w:after="100"/>
              <w:jc w:val="right"/>
              <w:rPr>
                <w:rFonts w:eastAsia="Times New Roman"/>
              </w:rPr>
            </w:pPr>
          </w:p>
        </w:tc>
        <w:tc>
          <w:tcPr>
            <w:tcW w:w="0" w:type="auto"/>
            <w:vAlign w:val="center"/>
            <w:hideMark/>
          </w:tcPr>
          <w:p w14:paraId="30A50F05" w14:textId="77777777" w:rsidR="00000000" w:rsidRDefault="00A173A8">
            <w:pPr>
              <w:spacing w:after="100"/>
              <w:jc w:val="right"/>
              <w:rPr>
                <w:rFonts w:eastAsia="Times New Roman"/>
                <w:sz w:val="20"/>
                <w:szCs w:val="20"/>
              </w:rPr>
            </w:pPr>
          </w:p>
        </w:tc>
        <w:tc>
          <w:tcPr>
            <w:tcW w:w="0" w:type="auto"/>
            <w:vAlign w:val="center"/>
            <w:hideMark/>
          </w:tcPr>
          <w:p w14:paraId="473E10DA" w14:textId="77777777" w:rsidR="00000000" w:rsidRDefault="00A173A8">
            <w:pPr>
              <w:spacing w:after="100"/>
              <w:rPr>
                <w:rFonts w:eastAsia="Times New Roman"/>
                <w:sz w:val="20"/>
                <w:szCs w:val="20"/>
              </w:rPr>
            </w:pPr>
          </w:p>
        </w:tc>
        <w:tc>
          <w:tcPr>
            <w:tcW w:w="0" w:type="auto"/>
            <w:vAlign w:val="center"/>
            <w:hideMark/>
          </w:tcPr>
          <w:p w14:paraId="33195376" w14:textId="77777777" w:rsidR="00000000" w:rsidRDefault="00A173A8">
            <w:pPr>
              <w:spacing w:after="100"/>
              <w:rPr>
                <w:rFonts w:eastAsia="Times New Roman"/>
                <w:sz w:val="20"/>
                <w:szCs w:val="20"/>
              </w:rPr>
            </w:pPr>
          </w:p>
        </w:tc>
        <w:tc>
          <w:tcPr>
            <w:tcW w:w="0" w:type="auto"/>
            <w:vAlign w:val="center"/>
            <w:hideMark/>
          </w:tcPr>
          <w:p w14:paraId="6DA3AEA8" w14:textId="77777777" w:rsidR="00000000" w:rsidRDefault="00A173A8">
            <w:pPr>
              <w:spacing w:after="100"/>
              <w:rPr>
                <w:rFonts w:eastAsia="Times New Roman"/>
                <w:sz w:val="20"/>
                <w:szCs w:val="20"/>
              </w:rPr>
            </w:pPr>
          </w:p>
        </w:tc>
      </w:tr>
      <w:tr w:rsidR="00000000" w14:paraId="69F72BBC" w14:textId="77777777">
        <w:trPr>
          <w:divId w:val="569077606"/>
        </w:trPr>
        <w:tc>
          <w:tcPr>
            <w:tcW w:w="0" w:type="auto"/>
            <w:gridSpan w:val="3"/>
            <w:shd w:val="clear" w:color="auto" w:fill="FFFFFF"/>
            <w:tcMar>
              <w:top w:w="30" w:type="dxa"/>
              <w:left w:w="245" w:type="dxa"/>
              <w:bottom w:w="30" w:type="dxa"/>
              <w:right w:w="20" w:type="dxa"/>
            </w:tcMar>
            <w:vAlign w:val="center"/>
            <w:hideMark/>
          </w:tcPr>
          <w:p w14:paraId="5D435884" w14:textId="77777777" w:rsidR="00000000" w:rsidRDefault="00A173A8">
            <w:pPr>
              <w:spacing w:after="100"/>
              <w:rPr>
                <w:rFonts w:eastAsia="Times New Roman"/>
              </w:rPr>
            </w:pPr>
            <w:r>
              <w:rPr>
                <w:rFonts w:eastAsia="Times New Roman"/>
                <w:color w:val="000000"/>
                <w:sz w:val="20"/>
                <w:szCs w:val="20"/>
              </w:rPr>
              <w:t>Noncumulative perpetual preferred stock</w:t>
            </w:r>
          </w:p>
        </w:tc>
        <w:tc>
          <w:tcPr>
            <w:tcW w:w="0" w:type="auto"/>
            <w:gridSpan w:val="3"/>
            <w:shd w:val="clear" w:color="auto" w:fill="FFFFFF"/>
            <w:tcMar>
              <w:top w:w="0" w:type="dxa"/>
              <w:left w:w="20" w:type="dxa"/>
              <w:bottom w:w="0" w:type="dxa"/>
              <w:right w:w="20" w:type="dxa"/>
            </w:tcMar>
            <w:vAlign w:val="center"/>
            <w:hideMark/>
          </w:tcPr>
          <w:p w14:paraId="7BA7AF4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AFCCD4D" w14:textId="77777777" w:rsidR="00000000" w:rsidRDefault="00A173A8">
            <w:pPr>
              <w:spacing w:after="100"/>
              <w:jc w:val="right"/>
              <w:rPr>
                <w:rFonts w:eastAsia="Times New Roman"/>
              </w:rPr>
            </w:pPr>
            <w:r>
              <w:rPr>
                <w:rFonts w:eastAsia="Times New Roman"/>
                <w:b/>
                <w:bCs/>
                <w:color w:val="000000"/>
                <w:sz w:val="20"/>
                <w:szCs w:val="20"/>
              </w:rPr>
              <w:t>(4,845)</w:t>
            </w:r>
          </w:p>
        </w:tc>
        <w:tc>
          <w:tcPr>
            <w:tcW w:w="0" w:type="auto"/>
            <w:shd w:val="clear" w:color="auto" w:fill="FFFFFF"/>
            <w:tcMar>
              <w:top w:w="30" w:type="dxa"/>
              <w:left w:w="0" w:type="dxa"/>
              <w:bottom w:w="30" w:type="dxa"/>
              <w:right w:w="20" w:type="dxa"/>
            </w:tcMar>
            <w:vAlign w:val="center"/>
            <w:hideMark/>
          </w:tcPr>
          <w:p w14:paraId="7F5CE2F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B9EB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84472C" w14:textId="77777777" w:rsidR="00000000" w:rsidRDefault="00A173A8">
            <w:pPr>
              <w:spacing w:after="100"/>
              <w:jc w:val="right"/>
              <w:rPr>
                <w:rFonts w:eastAsia="Times New Roman"/>
              </w:rPr>
            </w:pPr>
            <w:r>
              <w:rPr>
                <w:rFonts w:eastAsia="Times New Roman"/>
                <w:color w:val="000000"/>
                <w:sz w:val="20"/>
                <w:szCs w:val="20"/>
              </w:rPr>
              <w:t>(4,845)</w:t>
            </w:r>
          </w:p>
        </w:tc>
        <w:tc>
          <w:tcPr>
            <w:tcW w:w="0" w:type="auto"/>
            <w:shd w:val="clear" w:color="auto" w:fill="FFFFFF"/>
            <w:tcMar>
              <w:top w:w="30" w:type="dxa"/>
              <w:left w:w="0" w:type="dxa"/>
              <w:bottom w:w="30" w:type="dxa"/>
              <w:right w:w="20" w:type="dxa"/>
            </w:tcMar>
            <w:vAlign w:val="center"/>
            <w:hideMark/>
          </w:tcPr>
          <w:p w14:paraId="1BAB060E" w14:textId="77777777" w:rsidR="00000000" w:rsidRDefault="00A173A8">
            <w:pPr>
              <w:spacing w:after="100"/>
              <w:jc w:val="right"/>
              <w:rPr>
                <w:rFonts w:eastAsia="Times New Roman"/>
              </w:rPr>
            </w:pPr>
          </w:p>
        </w:tc>
        <w:tc>
          <w:tcPr>
            <w:tcW w:w="0" w:type="auto"/>
            <w:vAlign w:val="center"/>
            <w:hideMark/>
          </w:tcPr>
          <w:p w14:paraId="0B13FADD" w14:textId="77777777" w:rsidR="00000000" w:rsidRDefault="00A173A8">
            <w:pPr>
              <w:spacing w:after="100"/>
              <w:jc w:val="right"/>
              <w:rPr>
                <w:rFonts w:eastAsia="Times New Roman"/>
                <w:sz w:val="20"/>
                <w:szCs w:val="20"/>
              </w:rPr>
            </w:pPr>
          </w:p>
        </w:tc>
        <w:tc>
          <w:tcPr>
            <w:tcW w:w="0" w:type="auto"/>
            <w:vAlign w:val="center"/>
            <w:hideMark/>
          </w:tcPr>
          <w:p w14:paraId="188BB778" w14:textId="77777777" w:rsidR="00000000" w:rsidRDefault="00A173A8">
            <w:pPr>
              <w:spacing w:after="100"/>
              <w:rPr>
                <w:rFonts w:eastAsia="Times New Roman"/>
                <w:sz w:val="20"/>
                <w:szCs w:val="20"/>
              </w:rPr>
            </w:pPr>
          </w:p>
        </w:tc>
        <w:tc>
          <w:tcPr>
            <w:tcW w:w="0" w:type="auto"/>
            <w:vAlign w:val="center"/>
            <w:hideMark/>
          </w:tcPr>
          <w:p w14:paraId="430A3F80" w14:textId="77777777" w:rsidR="00000000" w:rsidRDefault="00A173A8">
            <w:pPr>
              <w:spacing w:after="100"/>
              <w:rPr>
                <w:rFonts w:eastAsia="Times New Roman"/>
                <w:sz w:val="20"/>
                <w:szCs w:val="20"/>
              </w:rPr>
            </w:pPr>
          </w:p>
        </w:tc>
        <w:tc>
          <w:tcPr>
            <w:tcW w:w="0" w:type="auto"/>
            <w:vAlign w:val="center"/>
            <w:hideMark/>
          </w:tcPr>
          <w:p w14:paraId="7B32E138" w14:textId="77777777" w:rsidR="00000000" w:rsidRDefault="00A173A8">
            <w:pPr>
              <w:spacing w:after="100"/>
              <w:rPr>
                <w:rFonts w:eastAsia="Times New Roman"/>
                <w:sz w:val="20"/>
                <w:szCs w:val="20"/>
              </w:rPr>
            </w:pPr>
          </w:p>
        </w:tc>
      </w:tr>
      <w:tr w:rsidR="00000000" w14:paraId="6B918F4C" w14:textId="77777777">
        <w:trPr>
          <w:divId w:val="569077606"/>
        </w:trPr>
        <w:tc>
          <w:tcPr>
            <w:tcW w:w="0" w:type="auto"/>
            <w:gridSpan w:val="3"/>
            <w:shd w:val="clear" w:color="auto" w:fill="CCEEFF"/>
            <w:tcMar>
              <w:top w:w="30" w:type="dxa"/>
              <w:left w:w="20" w:type="dxa"/>
              <w:bottom w:w="30" w:type="dxa"/>
              <w:right w:w="20" w:type="dxa"/>
            </w:tcMar>
            <w:vAlign w:val="center"/>
            <w:hideMark/>
          </w:tcPr>
          <w:p w14:paraId="4A55B804" w14:textId="77777777" w:rsidR="00000000" w:rsidRDefault="00A173A8">
            <w:pPr>
              <w:spacing w:after="100"/>
              <w:rPr>
                <w:rFonts w:eastAsia="Times New Roman"/>
              </w:rPr>
            </w:pPr>
            <w:r>
              <w:rPr>
                <w:rFonts w:eastAsia="Times New Roman"/>
                <w:color w:val="000000"/>
                <w:sz w:val="20"/>
                <w:szCs w:val="20"/>
              </w:rPr>
              <w:t>Tangible common equity</w:t>
            </w:r>
          </w:p>
        </w:tc>
        <w:tc>
          <w:tcPr>
            <w:tcW w:w="0" w:type="auto"/>
            <w:gridSpan w:val="3"/>
            <w:shd w:val="clear" w:color="auto" w:fill="CCEEFF"/>
            <w:tcMar>
              <w:top w:w="0" w:type="dxa"/>
              <w:left w:w="20" w:type="dxa"/>
              <w:bottom w:w="0" w:type="dxa"/>
              <w:right w:w="20" w:type="dxa"/>
            </w:tcMar>
            <w:vAlign w:val="center"/>
            <w:hideMark/>
          </w:tcPr>
          <w:p w14:paraId="558160CC"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F6B48CD"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1D4C062" w14:textId="77777777" w:rsidR="00000000" w:rsidRDefault="00A173A8">
            <w:pPr>
              <w:spacing w:after="100"/>
              <w:jc w:val="right"/>
              <w:rPr>
                <w:rFonts w:eastAsia="Times New Roman"/>
              </w:rPr>
            </w:pPr>
            <w:r>
              <w:rPr>
                <w:rFonts w:eastAsia="Times New Roman"/>
                <w:b/>
                <w:bCs/>
                <w:color w:val="000000"/>
                <w:sz w:val="20"/>
                <w:szCs w:val="20"/>
              </w:rPr>
              <w:t>33,715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9E5364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F66D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BF8BF96"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0DABEF9" w14:textId="77777777" w:rsidR="00000000" w:rsidRDefault="00A173A8">
            <w:pPr>
              <w:spacing w:after="100"/>
              <w:jc w:val="right"/>
              <w:rPr>
                <w:rFonts w:eastAsia="Times New Roman"/>
              </w:rPr>
            </w:pPr>
            <w:r>
              <w:rPr>
                <w:rFonts w:eastAsia="Times New Roman"/>
                <w:color w:val="000000"/>
                <w:sz w:val="20"/>
                <w:szCs w:val="20"/>
              </w:rPr>
              <w:t>41,277 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DD3C5D" w14:textId="77777777" w:rsidR="00000000" w:rsidRDefault="00A173A8">
            <w:pPr>
              <w:spacing w:after="100"/>
              <w:jc w:val="right"/>
              <w:rPr>
                <w:rFonts w:eastAsia="Times New Roman"/>
              </w:rPr>
            </w:pPr>
          </w:p>
        </w:tc>
        <w:tc>
          <w:tcPr>
            <w:tcW w:w="0" w:type="auto"/>
            <w:vAlign w:val="center"/>
            <w:hideMark/>
          </w:tcPr>
          <w:p w14:paraId="4C617076" w14:textId="77777777" w:rsidR="00000000" w:rsidRDefault="00A173A8">
            <w:pPr>
              <w:spacing w:after="100"/>
              <w:jc w:val="right"/>
              <w:rPr>
                <w:rFonts w:eastAsia="Times New Roman"/>
                <w:sz w:val="20"/>
                <w:szCs w:val="20"/>
              </w:rPr>
            </w:pPr>
          </w:p>
        </w:tc>
        <w:tc>
          <w:tcPr>
            <w:tcW w:w="0" w:type="auto"/>
            <w:vAlign w:val="center"/>
            <w:hideMark/>
          </w:tcPr>
          <w:p w14:paraId="51242CF1" w14:textId="77777777" w:rsidR="00000000" w:rsidRDefault="00A173A8">
            <w:pPr>
              <w:spacing w:after="100"/>
              <w:rPr>
                <w:rFonts w:eastAsia="Times New Roman"/>
                <w:sz w:val="20"/>
                <w:szCs w:val="20"/>
              </w:rPr>
            </w:pPr>
          </w:p>
        </w:tc>
        <w:tc>
          <w:tcPr>
            <w:tcW w:w="0" w:type="auto"/>
            <w:vAlign w:val="center"/>
            <w:hideMark/>
          </w:tcPr>
          <w:p w14:paraId="73DCFDBA" w14:textId="77777777" w:rsidR="00000000" w:rsidRDefault="00A173A8">
            <w:pPr>
              <w:spacing w:after="100"/>
              <w:rPr>
                <w:rFonts w:eastAsia="Times New Roman"/>
                <w:sz w:val="20"/>
                <w:szCs w:val="20"/>
              </w:rPr>
            </w:pPr>
          </w:p>
        </w:tc>
        <w:tc>
          <w:tcPr>
            <w:tcW w:w="0" w:type="auto"/>
            <w:vAlign w:val="center"/>
            <w:hideMark/>
          </w:tcPr>
          <w:p w14:paraId="7FFEC326" w14:textId="77777777" w:rsidR="00000000" w:rsidRDefault="00A173A8">
            <w:pPr>
              <w:spacing w:after="100"/>
              <w:rPr>
                <w:rFonts w:eastAsia="Times New Roman"/>
                <w:sz w:val="20"/>
                <w:szCs w:val="20"/>
              </w:rPr>
            </w:pPr>
          </w:p>
        </w:tc>
      </w:tr>
      <w:tr w:rsidR="00000000" w14:paraId="00A34973" w14:textId="77777777">
        <w:trPr>
          <w:divId w:val="569077606"/>
        </w:trPr>
        <w:tc>
          <w:tcPr>
            <w:tcW w:w="0" w:type="auto"/>
            <w:gridSpan w:val="3"/>
            <w:shd w:val="clear" w:color="auto" w:fill="FFFFFF"/>
            <w:tcMar>
              <w:top w:w="30" w:type="dxa"/>
              <w:left w:w="20" w:type="dxa"/>
              <w:bottom w:w="30" w:type="dxa"/>
              <w:right w:w="20" w:type="dxa"/>
            </w:tcMar>
            <w:vAlign w:val="center"/>
            <w:hideMark/>
          </w:tcPr>
          <w:p w14:paraId="4A33589C" w14:textId="77777777" w:rsidR="00000000" w:rsidRDefault="00A173A8">
            <w:pPr>
              <w:spacing w:after="100"/>
              <w:rPr>
                <w:rFonts w:eastAsia="Times New Roman"/>
              </w:rPr>
            </w:pPr>
            <w:r>
              <w:rPr>
                <w:rFonts w:eastAsia="Times New Roman"/>
                <w:b/>
                <w:bCs/>
                <w:color w:val="000000"/>
                <w:sz w:val="20"/>
                <w:szCs w:val="20"/>
              </w:rPr>
              <w:t>Tangible Common Equity (Quarterly Average):</w:t>
            </w:r>
          </w:p>
        </w:tc>
        <w:tc>
          <w:tcPr>
            <w:tcW w:w="0" w:type="auto"/>
            <w:gridSpan w:val="3"/>
            <w:shd w:val="clear" w:color="auto" w:fill="FFFFFF"/>
            <w:tcMar>
              <w:top w:w="0" w:type="dxa"/>
              <w:left w:w="20" w:type="dxa"/>
              <w:bottom w:w="0" w:type="dxa"/>
              <w:right w:w="20" w:type="dxa"/>
            </w:tcMar>
            <w:vAlign w:val="center"/>
            <w:hideMark/>
          </w:tcPr>
          <w:p w14:paraId="2EDB3835"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B08136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DE5C6B"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8C5F92" w14:textId="77777777" w:rsidR="00000000" w:rsidRDefault="00A173A8">
            <w:pPr>
              <w:spacing w:after="100"/>
              <w:rPr>
                <w:rFonts w:eastAsia="Times New Roman"/>
                <w:sz w:val="20"/>
                <w:szCs w:val="20"/>
              </w:rPr>
            </w:pPr>
          </w:p>
        </w:tc>
        <w:tc>
          <w:tcPr>
            <w:tcW w:w="0" w:type="auto"/>
            <w:vAlign w:val="center"/>
            <w:hideMark/>
          </w:tcPr>
          <w:p w14:paraId="643B30B0" w14:textId="77777777" w:rsidR="00000000" w:rsidRDefault="00A173A8">
            <w:pPr>
              <w:spacing w:after="100"/>
              <w:rPr>
                <w:rFonts w:eastAsia="Times New Roman"/>
                <w:sz w:val="20"/>
                <w:szCs w:val="20"/>
              </w:rPr>
            </w:pPr>
          </w:p>
        </w:tc>
        <w:tc>
          <w:tcPr>
            <w:tcW w:w="0" w:type="auto"/>
            <w:vAlign w:val="center"/>
            <w:hideMark/>
          </w:tcPr>
          <w:p w14:paraId="4DC7C92C" w14:textId="77777777" w:rsidR="00000000" w:rsidRDefault="00A173A8">
            <w:pPr>
              <w:spacing w:after="100"/>
              <w:rPr>
                <w:rFonts w:eastAsia="Times New Roman"/>
                <w:sz w:val="20"/>
                <w:szCs w:val="20"/>
              </w:rPr>
            </w:pPr>
          </w:p>
        </w:tc>
        <w:tc>
          <w:tcPr>
            <w:tcW w:w="0" w:type="auto"/>
            <w:vAlign w:val="center"/>
            <w:hideMark/>
          </w:tcPr>
          <w:p w14:paraId="047D72C8" w14:textId="77777777" w:rsidR="00000000" w:rsidRDefault="00A173A8">
            <w:pPr>
              <w:spacing w:after="100"/>
              <w:rPr>
                <w:rFonts w:eastAsia="Times New Roman"/>
                <w:sz w:val="20"/>
                <w:szCs w:val="20"/>
              </w:rPr>
            </w:pPr>
          </w:p>
        </w:tc>
        <w:tc>
          <w:tcPr>
            <w:tcW w:w="0" w:type="auto"/>
            <w:vAlign w:val="center"/>
            <w:hideMark/>
          </w:tcPr>
          <w:p w14:paraId="5BA9154E" w14:textId="77777777" w:rsidR="00000000" w:rsidRDefault="00A173A8">
            <w:pPr>
              <w:spacing w:after="100"/>
              <w:rPr>
                <w:rFonts w:eastAsia="Times New Roman"/>
                <w:sz w:val="20"/>
                <w:szCs w:val="20"/>
              </w:rPr>
            </w:pPr>
          </w:p>
        </w:tc>
      </w:tr>
      <w:tr w:rsidR="00000000" w14:paraId="4A2FB8A2" w14:textId="77777777">
        <w:trPr>
          <w:divId w:val="569077606"/>
        </w:trPr>
        <w:tc>
          <w:tcPr>
            <w:tcW w:w="0" w:type="auto"/>
            <w:gridSpan w:val="3"/>
            <w:shd w:val="clear" w:color="auto" w:fill="CCEEFF"/>
            <w:tcMar>
              <w:top w:w="30" w:type="dxa"/>
              <w:left w:w="245" w:type="dxa"/>
              <w:bottom w:w="30" w:type="dxa"/>
              <w:right w:w="20" w:type="dxa"/>
            </w:tcMar>
            <w:vAlign w:val="center"/>
            <w:hideMark/>
          </w:tcPr>
          <w:p w14:paraId="13457AC6" w14:textId="77777777" w:rsidR="00000000" w:rsidRDefault="00A173A8">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6B83C808"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99DD8E6"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14:paraId="7796C6B1" w14:textId="77777777" w:rsidR="00000000" w:rsidRDefault="00A173A8">
            <w:pPr>
              <w:spacing w:after="100"/>
              <w:jc w:val="right"/>
              <w:rPr>
                <w:rFonts w:eastAsia="Times New Roman"/>
              </w:rPr>
            </w:pPr>
            <w:r>
              <w:rPr>
                <w:rFonts w:eastAsia="Times New Roman"/>
                <w:b/>
                <w:bCs/>
                <w:color w:val="000000"/>
                <w:sz w:val="20"/>
                <w:szCs w:val="20"/>
              </w:rPr>
              <w:t>54,165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14:paraId="6E517E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C5A43"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CFF8B17"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14:paraId="3287C786" w14:textId="77777777" w:rsidR="00000000" w:rsidRDefault="00A173A8">
            <w:pPr>
              <w:spacing w:after="100"/>
              <w:jc w:val="right"/>
              <w:rPr>
                <w:rFonts w:eastAsia="Times New Roman"/>
              </w:rPr>
            </w:pPr>
            <w:r>
              <w:rPr>
                <w:rFonts w:eastAsia="Times New Roman"/>
                <w:color w:val="000000"/>
                <w:sz w:val="20"/>
                <w:szCs w:val="20"/>
              </w:rPr>
              <w:t>62,498 </w:t>
            </w:r>
          </w:p>
        </w:tc>
        <w:tc>
          <w:tcPr>
            <w:tcW w:w="0" w:type="auto"/>
            <w:shd w:val="clear" w:color="auto" w:fill="CCEEFF"/>
            <w:tcMar>
              <w:top w:w="30" w:type="dxa"/>
              <w:left w:w="0" w:type="dxa"/>
              <w:bottom w:w="30" w:type="dxa"/>
              <w:right w:w="20" w:type="dxa"/>
            </w:tcMar>
            <w:vAlign w:val="center"/>
            <w:hideMark/>
          </w:tcPr>
          <w:p w14:paraId="1DFE352D" w14:textId="77777777" w:rsidR="00000000" w:rsidRDefault="00A173A8">
            <w:pPr>
              <w:spacing w:after="100"/>
              <w:jc w:val="right"/>
              <w:rPr>
                <w:rFonts w:eastAsia="Times New Roman"/>
              </w:rPr>
            </w:pPr>
          </w:p>
        </w:tc>
        <w:tc>
          <w:tcPr>
            <w:tcW w:w="0" w:type="auto"/>
            <w:vAlign w:val="center"/>
            <w:hideMark/>
          </w:tcPr>
          <w:p w14:paraId="3C4ABC7D" w14:textId="77777777" w:rsidR="00000000" w:rsidRDefault="00A173A8">
            <w:pPr>
              <w:spacing w:after="100"/>
              <w:jc w:val="right"/>
              <w:rPr>
                <w:rFonts w:eastAsia="Times New Roman"/>
                <w:sz w:val="20"/>
                <w:szCs w:val="20"/>
              </w:rPr>
            </w:pPr>
          </w:p>
        </w:tc>
        <w:tc>
          <w:tcPr>
            <w:tcW w:w="0" w:type="auto"/>
            <w:vAlign w:val="center"/>
            <w:hideMark/>
          </w:tcPr>
          <w:p w14:paraId="1A2DE9A5" w14:textId="77777777" w:rsidR="00000000" w:rsidRDefault="00A173A8">
            <w:pPr>
              <w:spacing w:after="100"/>
              <w:rPr>
                <w:rFonts w:eastAsia="Times New Roman"/>
                <w:sz w:val="20"/>
                <w:szCs w:val="20"/>
              </w:rPr>
            </w:pPr>
          </w:p>
        </w:tc>
        <w:tc>
          <w:tcPr>
            <w:tcW w:w="0" w:type="auto"/>
            <w:vAlign w:val="center"/>
            <w:hideMark/>
          </w:tcPr>
          <w:p w14:paraId="6E69176F" w14:textId="77777777" w:rsidR="00000000" w:rsidRDefault="00A173A8">
            <w:pPr>
              <w:spacing w:after="100"/>
              <w:rPr>
                <w:rFonts w:eastAsia="Times New Roman"/>
                <w:sz w:val="20"/>
                <w:szCs w:val="20"/>
              </w:rPr>
            </w:pPr>
          </w:p>
        </w:tc>
        <w:tc>
          <w:tcPr>
            <w:tcW w:w="0" w:type="auto"/>
            <w:vAlign w:val="center"/>
            <w:hideMark/>
          </w:tcPr>
          <w:p w14:paraId="50B4FBE1" w14:textId="77777777" w:rsidR="00000000" w:rsidRDefault="00A173A8">
            <w:pPr>
              <w:spacing w:after="100"/>
              <w:rPr>
                <w:rFonts w:eastAsia="Times New Roman"/>
                <w:sz w:val="20"/>
                <w:szCs w:val="20"/>
              </w:rPr>
            </w:pPr>
          </w:p>
        </w:tc>
      </w:tr>
      <w:tr w:rsidR="00000000" w14:paraId="0614CF8D" w14:textId="77777777">
        <w:trPr>
          <w:divId w:val="569077606"/>
        </w:trPr>
        <w:tc>
          <w:tcPr>
            <w:tcW w:w="0" w:type="auto"/>
            <w:gridSpan w:val="3"/>
            <w:shd w:val="clear" w:color="auto" w:fill="FFFFFF"/>
            <w:tcMar>
              <w:top w:w="30" w:type="dxa"/>
              <w:left w:w="20" w:type="dxa"/>
              <w:bottom w:w="30" w:type="dxa"/>
              <w:right w:w="20" w:type="dxa"/>
            </w:tcMar>
            <w:vAlign w:val="center"/>
            <w:hideMark/>
          </w:tcPr>
          <w:p w14:paraId="23CB0D26" w14:textId="77777777" w:rsidR="00000000" w:rsidRDefault="00A173A8">
            <w:pPr>
              <w:spacing w:after="100"/>
              <w:divId w:val="1599025889"/>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3FC42CA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3F268FF" w14:textId="77777777" w:rsidR="00000000" w:rsidRDefault="00A173A8">
            <w:pPr>
              <w:spacing w:after="100"/>
              <w:jc w:val="right"/>
              <w:rPr>
                <w:rFonts w:eastAsia="Times New Roman"/>
              </w:rPr>
            </w:pPr>
            <w:r>
              <w:rPr>
                <w:rFonts w:eastAsia="Times New Roman"/>
                <w:b/>
                <w:bCs/>
                <w:color w:val="000000"/>
                <w:sz w:val="20"/>
                <w:szCs w:val="20"/>
              </w:rPr>
              <w:t>(14,875)</w:t>
            </w:r>
          </w:p>
        </w:tc>
        <w:tc>
          <w:tcPr>
            <w:tcW w:w="0" w:type="auto"/>
            <w:shd w:val="clear" w:color="auto" w:fill="FFFFFF"/>
            <w:tcMar>
              <w:top w:w="30" w:type="dxa"/>
              <w:left w:w="0" w:type="dxa"/>
              <w:bottom w:w="30" w:type="dxa"/>
              <w:right w:w="20" w:type="dxa"/>
            </w:tcMar>
            <w:vAlign w:val="center"/>
            <w:hideMark/>
          </w:tcPr>
          <w:p w14:paraId="65B2E6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3E39F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418654" w14:textId="77777777" w:rsidR="00000000" w:rsidRDefault="00A173A8">
            <w:pPr>
              <w:spacing w:after="100"/>
              <w:jc w:val="right"/>
              <w:rPr>
                <w:rFonts w:eastAsia="Times New Roman"/>
              </w:rPr>
            </w:pPr>
            <w:r>
              <w:rPr>
                <w:rFonts w:eastAsia="Times New Roman"/>
                <w:color w:val="000000"/>
                <w:sz w:val="20"/>
                <w:szCs w:val="20"/>
              </w:rPr>
              <w:t>(14,847)</w:t>
            </w:r>
          </w:p>
        </w:tc>
        <w:tc>
          <w:tcPr>
            <w:tcW w:w="0" w:type="auto"/>
            <w:shd w:val="clear" w:color="auto" w:fill="FFFFFF"/>
            <w:tcMar>
              <w:top w:w="30" w:type="dxa"/>
              <w:left w:w="0" w:type="dxa"/>
              <w:bottom w:w="30" w:type="dxa"/>
              <w:right w:w="20" w:type="dxa"/>
            </w:tcMar>
            <w:vAlign w:val="center"/>
            <w:hideMark/>
          </w:tcPr>
          <w:p w14:paraId="15CB0BB3" w14:textId="77777777" w:rsidR="00000000" w:rsidRDefault="00A173A8">
            <w:pPr>
              <w:spacing w:after="100"/>
              <w:jc w:val="right"/>
              <w:rPr>
                <w:rFonts w:eastAsia="Times New Roman"/>
              </w:rPr>
            </w:pPr>
          </w:p>
        </w:tc>
        <w:tc>
          <w:tcPr>
            <w:tcW w:w="0" w:type="auto"/>
            <w:vAlign w:val="center"/>
            <w:hideMark/>
          </w:tcPr>
          <w:p w14:paraId="298C9AEF" w14:textId="77777777" w:rsidR="00000000" w:rsidRDefault="00A173A8">
            <w:pPr>
              <w:spacing w:after="100"/>
              <w:jc w:val="right"/>
              <w:rPr>
                <w:rFonts w:eastAsia="Times New Roman"/>
                <w:sz w:val="20"/>
                <w:szCs w:val="20"/>
              </w:rPr>
            </w:pPr>
          </w:p>
        </w:tc>
        <w:tc>
          <w:tcPr>
            <w:tcW w:w="0" w:type="auto"/>
            <w:vAlign w:val="center"/>
            <w:hideMark/>
          </w:tcPr>
          <w:p w14:paraId="1220928D" w14:textId="77777777" w:rsidR="00000000" w:rsidRDefault="00A173A8">
            <w:pPr>
              <w:spacing w:after="100"/>
              <w:rPr>
                <w:rFonts w:eastAsia="Times New Roman"/>
                <w:sz w:val="20"/>
                <w:szCs w:val="20"/>
              </w:rPr>
            </w:pPr>
          </w:p>
        </w:tc>
        <w:tc>
          <w:tcPr>
            <w:tcW w:w="0" w:type="auto"/>
            <w:vAlign w:val="center"/>
            <w:hideMark/>
          </w:tcPr>
          <w:p w14:paraId="06A2E8E4" w14:textId="77777777" w:rsidR="00000000" w:rsidRDefault="00A173A8">
            <w:pPr>
              <w:spacing w:after="100"/>
              <w:rPr>
                <w:rFonts w:eastAsia="Times New Roman"/>
                <w:sz w:val="20"/>
                <w:szCs w:val="20"/>
              </w:rPr>
            </w:pPr>
          </w:p>
        </w:tc>
        <w:tc>
          <w:tcPr>
            <w:tcW w:w="0" w:type="auto"/>
            <w:vAlign w:val="center"/>
            <w:hideMark/>
          </w:tcPr>
          <w:p w14:paraId="32CD391D" w14:textId="77777777" w:rsidR="00000000" w:rsidRDefault="00A173A8">
            <w:pPr>
              <w:spacing w:after="100"/>
              <w:rPr>
                <w:rFonts w:eastAsia="Times New Roman"/>
                <w:sz w:val="20"/>
                <w:szCs w:val="20"/>
              </w:rPr>
            </w:pPr>
          </w:p>
        </w:tc>
      </w:tr>
      <w:tr w:rsidR="00000000" w14:paraId="16C06A5A" w14:textId="77777777">
        <w:trPr>
          <w:divId w:val="569077606"/>
        </w:trPr>
        <w:tc>
          <w:tcPr>
            <w:tcW w:w="0" w:type="auto"/>
            <w:gridSpan w:val="3"/>
            <w:shd w:val="clear" w:color="auto" w:fill="CCEEFF"/>
            <w:tcMar>
              <w:top w:w="30" w:type="dxa"/>
              <w:left w:w="245" w:type="dxa"/>
              <w:bottom w:w="30" w:type="dxa"/>
              <w:right w:w="20" w:type="dxa"/>
            </w:tcMar>
            <w:vAlign w:val="center"/>
            <w:hideMark/>
          </w:tcPr>
          <w:p w14:paraId="676B08AC" w14:textId="77777777" w:rsidR="00000000" w:rsidRDefault="00A173A8">
            <w:pPr>
              <w:spacing w:after="100"/>
              <w:rPr>
                <w:rFonts w:eastAsia="Times New Roman"/>
              </w:rPr>
            </w:pPr>
            <w:r>
              <w:rPr>
                <w:rFonts w:eastAsia="Times New Roman"/>
                <w:color w:val="000000"/>
                <w:sz w:val="20"/>
                <w:szCs w:val="20"/>
              </w:rPr>
              <w:t>Noncumulative perpetual preferred stock</w:t>
            </w:r>
          </w:p>
        </w:tc>
        <w:tc>
          <w:tcPr>
            <w:tcW w:w="0" w:type="auto"/>
            <w:gridSpan w:val="3"/>
            <w:shd w:val="clear" w:color="auto" w:fill="CCEEFF"/>
            <w:tcMar>
              <w:top w:w="0" w:type="dxa"/>
              <w:left w:w="20" w:type="dxa"/>
              <w:bottom w:w="0" w:type="dxa"/>
              <w:right w:w="20" w:type="dxa"/>
            </w:tcMar>
            <w:vAlign w:val="center"/>
            <w:hideMark/>
          </w:tcPr>
          <w:p w14:paraId="10388E0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4AD1FFE" w14:textId="77777777" w:rsidR="00000000" w:rsidRDefault="00A173A8">
            <w:pPr>
              <w:spacing w:after="100"/>
              <w:jc w:val="right"/>
              <w:rPr>
                <w:rFonts w:eastAsia="Times New Roman"/>
              </w:rPr>
            </w:pPr>
            <w:r>
              <w:rPr>
                <w:rFonts w:eastAsia="Times New Roman"/>
                <w:b/>
                <w:bCs/>
                <w:color w:val="000000"/>
                <w:sz w:val="20"/>
                <w:szCs w:val="20"/>
              </w:rPr>
              <w:t>(4,845)</w:t>
            </w:r>
          </w:p>
        </w:tc>
        <w:tc>
          <w:tcPr>
            <w:tcW w:w="0" w:type="auto"/>
            <w:shd w:val="clear" w:color="auto" w:fill="CCEEFF"/>
            <w:tcMar>
              <w:top w:w="30" w:type="dxa"/>
              <w:left w:w="0" w:type="dxa"/>
              <w:bottom w:w="30" w:type="dxa"/>
              <w:right w:w="20" w:type="dxa"/>
            </w:tcMar>
            <w:vAlign w:val="center"/>
            <w:hideMark/>
          </w:tcPr>
          <w:p w14:paraId="60B14C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D98CA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F4EF82" w14:textId="77777777" w:rsidR="00000000" w:rsidRDefault="00A173A8">
            <w:pPr>
              <w:spacing w:after="100"/>
              <w:jc w:val="right"/>
              <w:rPr>
                <w:rFonts w:eastAsia="Times New Roman"/>
              </w:rPr>
            </w:pPr>
            <w:r>
              <w:rPr>
                <w:rFonts w:eastAsia="Times New Roman"/>
                <w:color w:val="000000"/>
                <w:sz w:val="20"/>
                <w:szCs w:val="20"/>
              </w:rPr>
              <w:t>(5,552)</w:t>
            </w:r>
          </w:p>
        </w:tc>
        <w:tc>
          <w:tcPr>
            <w:tcW w:w="0" w:type="auto"/>
            <w:shd w:val="clear" w:color="auto" w:fill="CCEEFF"/>
            <w:tcMar>
              <w:top w:w="30" w:type="dxa"/>
              <w:left w:w="0" w:type="dxa"/>
              <w:bottom w:w="30" w:type="dxa"/>
              <w:right w:w="20" w:type="dxa"/>
            </w:tcMar>
            <w:vAlign w:val="center"/>
            <w:hideMark/>
          </w:tcPr>
          <w:p w14:paraId="1F94FABC" w14:textId="77777777" w:rsidR="00000000" w:rsidRDefault="00A173A8">
            <w:pPr>
              <w:spacing w:after="100"/>
              <w:jc w:val="right"/>
              <w:rPr>
                <w:rFonts w:eastAsia="Times New Roman"/>
              </w:rPr>
            </w:pPr>
          </w:p>
        </w:tc>
        <w:tc>
          <w:tcPr>
            <w:tcW w:w="0" w:type="auto"/>
            <w:vAlign w:val="center"/>
            <w:hideMark/>
          </w:tcPr>
          <w:p w14:paraId="3163D417" w14:textId="77777777" w:rsidR="00000000" w:rsidRDefault="00A173A8">
            <w:pPr>
              <w:spacing w:after="100"/>
              <w:jc w:val="right"/>
              <w:rPr>
                <w:rFonts w:eastAsia="Times New Roman"/>
                <w:sz w:val="20"/>
                <w:szCs w:val="20"/>
              </w:rPr>
            </w:pPr>
          </w:p>
        </w:tc>
        <w:tc>
          <w:tcPr>
            <w:tcW w:w="0" w:type="auto"/>
            <w:vAlign w:val="center"/>
            <w:hideMark/>
          </w:tcPr>
          <w:p w14:paraId="5DCC4F5E" w14:textId="77777777" w:rsidR="00000000" w:rsidRDefault="00A173A8">
            <w:pPr>
              <w:spacing w:after="100"/>
              <w:rPr>
                <w:rFonts w:eastAsia="Times New Roman"/>
                <w:sz w:val="20"/>
                <w:szCs w:val="20"/>
              </w:rPr>
            </w:pPr>
          </w:p>
        </w:tc>
        <w:tc>
          <w:tcPr>
            <w:tcW w:w="0" w:type="auto"/>
            <w:vAlign w:val="center"/>
            <w:hideMark/>
          </w:tcPr>
          <w:p w14:paraId="020DC143" w14:textId="77777777" w:rsidR="00000000" w:rsidRDefault="00A173A8">
            <w:pPr>
              <w:spacing w:after="100"/>
              <w:rPr>
                <w:rFonts w:eastAsia="Times New Roman"/>
                <w:sz w:val="20"/>
                <w:szCs w:val="20"/>
              </w:rPr>
            </w:pPr>
          </w:p>
        </w:tc>
        <w:tc>
          <w:tcPr>
            <w:tcW w:w="0" w:type="auto"/>
            <w:vAlign w:val="center"/>
            <w:hideMark/>
          </w:tcPr>
          <w:p w14:paraId="64BBE155" w14:textId="77777777" w:rsidR="00000000" w:rsidRDefault="00A173A8">
            <w:pPr>
              <w:spacing w:after="100"/>
              <w:rPr>
                <w:rFonts w:eastAsia="Times New Roman"/>
                <w:sz w:val="20"/>
                <w:szCs w:val="20"/>
              </w:rPr>
            </w:pPr>
          </w:p>
        </w:tc>
      </w:tr>
      <w:tr w:rsidR="00000000" w14:paraId="3F4C8386" w14:textId="77777777">
        <w:trPr>
          <w:divId w:val="569077606"/>
        </w:trPr>
        <w:tc>
          <w:tcPr>
            <w:tcW w:w="0" w:type="auto"/>
            <w:gridSpan w:val="3"/>
            <w:shd w:val="clear" w:color="auto" w:fill="FFFFFF"/>
            <w:tcMar>
              <w:top w:w="30" w:type="dxa"/>
              <w:left w:w="20" w:type="dxa"/>
              <w:bottom w:w="30" w:type="dxa"/>
              <w:right w:w="20" w:type="dxa"/>
            </w:tcMar>
            <w:vAlign w:val="center"/>
            <w:hideMark/>
          </w:tcPr>
          <w:p w14:paraId="6EBCBB76" w14:textId="77777777" w:rsidR="00000000" w:rsidRDefault="00A173A8">
            <w:pPr>
              <w:spacing w:after="100"/>
              <w:rPr>
                <w:rFonts w:eastAsia="Times New Roman"/>
              </w:rPr>
            </w:pPr>
            <w:r>
              <w:rPr>
                <w:rFonts w:eastAsia="Times New Roman"/>
                <w:color w:val="000000"/>
                <w:sz w:val="20"/>
                <w:szCs w:val="20"/>
              </w:rPr>
              <w:t>Tangible common equity</w:t>
            </w:r>
          </w:p>
        </w:tc>
        <w:tc>
          <w:tcPr>
            <w:tcW w:w="0" w:type="auto"/>
            <w:gridSpan w:val="3"/>
            <w:shd w:val="clear" w:color="auto" w:fill="FFFFFF"/>
            <w:tcMar>
              <w:top w:w="0" w:type="dxa"/>
              <w:left w:w="20" w:type="dxa"/>
              <w:bottom w:w="0" w:type="dxa"/>
              <w:right w:w="20" w:type="dxa"/>
            </w:tcMar>
            <w:vAlign w:val="center"/>
            <w:hideMark/>
          </w:tcPr>
          <w:p w14:paraId="5970839E"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C763803"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E4FAF57" w14:textId="77777777" w:rsidR="00000000" w:rsidRDefault="00A173A8">
            <w:pPr>
              <w:spacing w:after="100"/>
              <w:jc w:val="right"/>
              <w:rPr>
                <w:rFonts w:eastAsia="Times New Roman"/>
              </w:rPr>
            </w:pPr>
            <w:r>
              <w:rPr>
                <w:rFonts w:eastAsia="Times New Roman"/>
                <w:b/>
                <w:bCs/>
                <w:color w:val="000000"/>
                <w:sz w:val="20"/>
                <w:szCs w:val="20"/>
              </w:rPr>
              <w:t>34,445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2069E2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E409E"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931D04F"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7112830" w14:textId="77777777" w:rsidR="00000000" w:rsidRDefault="00A173A8">
            <w:pPr>
              <w:spacing w:after="100"/>
              <w:jc w:val="right"/>
              <w:rPr>
                <w:rFonts w:eastAsia="Times New Roman"/>
              </w:rPr>
            </w:pPr>
            <w:r>
              <w:rPr>
                <w:rFonts w:eastAsia="Times New Roman"/>
                <w:color w:val="000000"/>
                <w:sz w:val="20"/>
                <w:szCs w:val="20"/>
              </w:rPr>
              <w:t>42,099 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3F89D6" w14:textId="77777777" w:rsidR="00000000" w:rsidRDefault="00A173A8">
            <w:pPr>
              <w:spacing w:after="100"/>
              <w:jc w:val="right"/>
              <w:rPr>
                <w:rFonts w:eastAsia="Times New Roman"/>
              </w:rPr>
            </w:pPr>
          </w:p>
        </w:tc>
        <w:tc>
          <w:tcPr>
            <w:tcW w:w="0" w:type="auto"/>
            <w:vAlign w:val="center"/>
            <w:hideMark/>
          </w:tcPr>
          <w:p w14:paraId="1897ACC3" w14:textId="77777777" w:rsidR="00000000" w:rsidRDefault="00A173A8">
            <w:pPr>
              <w:spacing w:after="100"/>
              <w:jc w:val="right"/>
              <w:rPr>
                <w:rFonts w:eastAsia="Times New Roman"/>
                <w:sz w:val="20"/>
                <w:szCs w:val="20"/>
              </w:rPr>
            </w:pPr>
          </w:p>
        </w:tc>
        <w:tc>
          <w:tcPr>
            <w:tcW w:w="0" w:type="auto"/>
            <w:vAlign w:val="center"/>
            <w:hideMark/>
          </w:tcPr>
          <w:p w14:paraId="0DCB7C66" w14:textId="77777777" w:rsidR="00000000" w:rsidRDefault="00A173A8">
            <w:pPr>
              <w:spacing w:after="100"/>
              <w:rPr>
                <w:rFonts w:eastAsia="Times New Roman"/>
                <w:sz w:val="20"/>
                <w:szCs w:val="20"/>
              </w:rPr>
            </w:pPr>
          </w:p>
        </w:tc>
        <w:tc>
          <w:tcPr>
            <w:tcW w:w="0" w:type="auto"/>
            <w:vAlign w:val="center"/>
            <w:hideMark/>
          </w:tcPr>
          <w:p w14:paraId="52701A70" w14:textId="77777777" w:rsidR="00000000" w:rsidRDefault="00A173A8">
            <w:pPr>
              <w:spacing w:after="100"/>
              <w:rPr>
                <w:rFonts w:eastAsia="Times New Roman"/>
                <w:sz w:val="20"/>
                <w:szCs w:val="20"/>
              </w:rPr>
            </w:pPr>
          </w:p>
        </w:tc>
        <w:tc>
          <w:tcPr>
            <w:tcW w:w="0" w:type="auto"/>
            <w:vAlign w:val="center"/>
            <w:hideMark/>
          </w:tcPr>
          <w:p w14:paraId="31B31C2C" w14:textId="77777777" w:rsidR="00000000" w:rsidRDefault="00A173A8">
            <w:pPr>
              <w:spacing w:after="100"/>
              <w:rPr>
                <w:rFonts w:eastAsia="Times New Roman"/>
                <w:sz w:val="20"/>
                <w:szCs w:val="20"/>
              </w:rPr>
            </w:pPr>
          </w:p>
        </w:tc>
      </w:tr>
      <w:tr w:rsidR="00000000" w14:paraId="77F293B9" w14:textId="77777777">
        <w:trPr>
          <w:divId w:val="569077606"/>
        </w:trPr>
        <w:tc>
          <w:tcPr>
            <w:tcW w:w="0" w:type="auto"/>
            <w:gridSpan w:val="3"/>
            <w:shd w:val="clear" w:color="auto" w:fill="CCEEFF"/>
            <w:tcMar>
              <w:top w:w="30" w:type="dxa"/>
              <w:left w:w="20" w:type="dxa"/>
              <w:bottom w:w="30" w:type="dxa"/>
              <w:right w:w="20" w:type="dxa"/>
            </w:tcMar>
            <w:vAlign w:val="center"/>
            <w:hideMark/>
          </w:tcPr>
          <w:p w14:paraId="755E86B7" w14:textId="77777777" w:rsidR="00000000" w:rsidRDefault="00A173A8">
            <w:pPr>
              <w:spacing w:after="100"/>
              <w:rPr>
                <w:rFonts w:eastAsia="Times New Roman"/>
              </w:rPr>
            </w:pPr>
            <w:r>
              <w:rPr>
                <w:rFonts w:eastAsia="Times New Roman"/>
                <w:b/>
                <w:bCs/>
                <w:color w:val="000000"/>
                <w:sz w:val="20"/>
                <w:szCs w:val="20"/>
              </w:rPr>
              <w:t>Tangible Assets (Period-End):</w:t>
            </w:r>
          </w:p>
        </w:tc>
        <w:tc>
          <w:tcPr>
            <w:tcW w:w="0" w:type="auto"/>
            <w:gridSpan w:val="3"/>
            <w:shd w:val="clear" w:color="auto" w:fill="CCEEFF"/>
            <w:tcMar>
              <w:top w:w="0" w:type="dxa"/>
              <w:left w:w="20" w:type="dxa"/>
              <w:bottom w:w="0" w:type="dxa"/>
              <w:right w:w="20" w:type="dxa"/>
            </w:tcMar>
            <w:vAlign w:val="center"/>
            <w:hideMark/>
          </w:tcPr>
          <w:p w14:paraId="46630EEB"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14031B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BF822E"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BF21CF7" w14:textId="77777777" w:rsidR="00000000" w:rsidRDefault="00A173A8">
            <w:pPr>
              <w:spacing w:after="100"/>
              <w:rPr>
                <w:rFonts w:eastAsia="Times New Roman"/>
                <w:sz w:val="20"/>
                <w:szCs w:val="20"/>
              </w:rPr>
            </w:pPr>
          </w:p>
        </w:tc>
        <w:tc>
          <w:tcPr>
            <w:tcW w:w="0" w:type="auto"/>
            <w:vAlign w:val="center"/>
            <w:hideMark/>
          </w:tcPr>
          <w:p w14:paraId="024E0C1F" w14:textId="77777777" w:rsidR="00000000" w:rsidRDefault="00A173A8">
            <w:pPr>
              <w:spacing w:after="100"/>
              <w:rPr>
                <w:rFonts w:eastAsia="Times New Roman"/>
                <w:sz w:val="20"/>
                <w:szCs w:val="20"/>
              </w:rPr>
            </w:pPr>
          </w:p>
        </w:tc>
        <w:tc>
          <w:tcPr>
            <w:tcW w:w="0" w:type="auto"/>
            <w:vAlign w:val="center"/>
            <w:hideMark/>
          </w:tcPr>
          <w:p w14:paraId="0733B351" w14:textId="77777777" w:rsidR="00000000" w:rsidRDefault="00A173A8">
            <w:pPr>
              <w:spacing w:after="100"/>
              <w:rPr>
                <w:rFonts w:eastAsia="Times New Roman"/>
                <w:sz w:val="20"/>
                <w:szCs w:val="20"/>
              </w:rPr>
            </w:pPr>
          </w:p>
        </w:tc>
        <w:tc>
          <w:tcPr>
            <w:tcW w:w="0" w:type="auto"/>
            <w:vAlign w:val="center"/>
            <w:hideMark/>
          </w:tcPr>
          <w:p w14:paraId="6572EACA" w14:textId="77777777" w:rsidR="00000000" w:rsidRDefault="00A173A8">
            <w:pPr>
              <w:spacing w:after="100"/>
              <w:rPr>
                <w:rFonts w:eastAsia="Times New Roman"/>
                <w:sz w:val="20"/>
                <w:szCs w:val="20"/>
              </w:rPr>
            </w:pPr>
          </w:p>
        </w:tc>
        <w:tc>
          <w:tcPr>
            <w:tcW w:w="0" w:type="auto"/>
            <w:vAlign w:val="center"/>
            <w:hideMark/>
          </w:tcPr>
          <w:p w14:paraId="04A63958" w14:textId="77777777" w:rsidR="00000000" w:rsidRDefault="00A173A8">
            <w:pPr>
              <w:spacing w:after="100"/>
              <w:rPr>
                <w:rFonts w:eastAsia="Times New Roman"/>
                <w:sz w:val="20"/>
                <w:szCs w:val="20"/>
              </w:rPr>
            </w:pPr>
          </w:p>
        </w:tc>
      </w:tr>
      <w:tr w:rsidR="00000000" w14:paraId="510F13B5" w14:textId="77777777">
        <w:trPr>
          <w:divId w:val="569077606"/>
        </w:trPr>
        <w:tc>
          <w:tcPr>
            <w:tcW w:w="0" w:type="auto"/>
            <w:gridSpan w:val="3"/>
            <w:shd w:val="clear" w:color="auto" w:fill="FFFFFF"/>
            <w:tcMar>
              <w:top w:w="30" w:type="dxa"/>
              <w:left w:w="245" w:type="dxa"/>
              <w:bottom w:w="30" w:type="dxa"/>
              <w:right w:w="20" w:type="dxa"/>
            </w:tcMar>
            <w:vAlign w:val="center"/>
            <w:hideMark/>
          </w:tcPr>
          <w:p w14:paraId="301A073C" w14:textId="77777777" w:rsidR="00000000" w:rsidRDefault="00A173A8">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14:paraId="71945958"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33468EC"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6CAA0B8F" w14:textId="77777777" w:rsidR="00000000" w:rsidRDefault="00A173A8">
            <w:pPr>
              <w:spacing w:after="100"/>
              <w:jc w:val="right"/>
              <w:rPr>
                <w:rFonts w:eastAsia="Times New Roman"/>
              </w:rPr>
            </w:pPr>
            <w:r>
              <w:rPr>
                <w:rFonts w:eastAsia="Times New Roman"/>
                <w:b/>
                <w:bCs/>
                <w:color w:val="000000"/>
                <w:sz w:val="20"/>
                <w:szCs w:val="20"/>
              </w:rPr>
              <w:t>440,288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528A67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ACECF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F0AF1A7"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41E58988" w14:textId="77777777" w:rsidR="00000000" w:rsidRDefault="00A173A8">
            <w:pPr>
              <w:spacing w:after="100"/>
              <w:jc w:val="right"/>
              <w:rPr>
                <w:rFonts w:eastAsia="Times New Roman"/>
              </w:rPr>
            </w:pPr>
            <w:r>
              <w:rPr>
                <w:rFonts w:eastAsia="Times New Roman"/>
                <w:color w:val="000000"/>
                <w:sz w:val="20"/>
                <w:szCs w:val="20"/>
              </w:rPr>
              <w:t>432,381 </w:t>
            </w:r>
          </w:p>
        </w:tc>
        <w:tc>
          <w:tcPr>
            <w:tcW w:w="0" w:type="auto"/>
            <w:shd w:val="clear" w:color="auto" w:fill="FFFFFF"/>
            <w:tcMar>
              <w:top w:w="30" w:type="dxa"/>
              <w:left w:w="0" w:type="dxa"/>
              <w:bottom w:w="30" w:type="dxa"/>
              <w:right w:w="20" w:type="dxa"/>
            </w:tcMar>
            <w:vAlign w:val="center"/>
            <w:hideMark/>
          </w:tcPr>
          <w:p w14:paraId="1DD9F588" w14:textId="77777777" w:rsidR="00000000" w:rsidRDefault="00A173A8">
            <w:pPr>
              <w:spacing w:after="100"/>
              <w:jc w:val="right"/>
              <w:rPr>
                <w:rFonts w:eastAsia="Times New Roman"/>
              </w:rPr>
            </w:pPr>
          </w:p>
        </w:tc>
        <w:tc>
          <w:tcPr>
            <w:tcW w:w="0" w:type="auto"/>
            <w:vAlign w:val="center"/>
            <w:hideMark/>
          </w:tcPr>
          <w:p w14:paraId="4DAD350D" w14:textId="77777777" w:rsidR="00000000" w:rsidRDefault="00A173A8">
            <w:pPr>
              <w:spacing w:after="100"/>
              <w:jc w:val="right"/>
              <w:rPr>
                <w:rFonts w:eastAsia="Times New Roman"/>
                <w:sz w:val="20"/>
                <w:szCs w:val="20"/>
              </w:rPr>
            </w:pPr>
          </w:p>
        </w:tc>
        <w:tc>
          <w:tcPr>
            <w:tcW w:w="0" w:type="auto"/>
            <w:vAlign w:val="center"/>
            <w:hideMark/>
          </w:tcPr>
          <w:p w14:paraId="08D91AFA" w14:textId="77777777" w:rsidR="00000000" w:rsidRDefault="00A173A8">
            <w:pPr>
              <w:spacing w:after="100"/>
              <w:rPr>
                <w:rFonts w:eastAsia="Times New Roman"/>
                <w:sz w:val="20"/>
                <w:szCs w:val="20"/>
              </w:rPr>
            </w:pPr>
          </w:p>
        </w:tc>
        <w:tc>
          <w:tcPr>
            <w:tcW w:w="0" w:type="auto"/>
            <w:vAlign w:val="center"/>
            <w:hideMark/>
          </w:tcPr>
          <w:p w14:paraId="0BECA7D7" w14:textId="77777777" w:rsidR="00000000" w:rsidRDefault="00A173A8">
            <w:pPr>
              <w:spacing w:after="100"/>
              <w:rPr>
                <w:rFonts w:eastAsia="Times New Roman"/>
                <w:sz w:val="20"/>
                <w:szCs w:val="20"/>
              </w:rPr>
            </w:pPr>
          </w:p>
        </w:tc>
        <w:tc>
          <w:tcPr>
            <w:tcW w:w="0" w:type="auto"/>
            <w:vAlign w:val="center"/>
            <w:hideMark/>
          </w:tcPr>
          <w:p w14:paraId="10EF8D5E" w14:textId="77777777" w:rsidR="00000000" w:rsidRDefault="00A173A8">
            <w:pPr>
              <w:spacing w:after="100"/>
              <w:rPr>
                <w:rFonts w:eastAsia="Times New Roman"/>
                <w:sz w:val="20"/>
                <w:szCs w:val="20"/>
              </w:rPr>
            </w:pPr>
          </w:p>
        </w:tc>
      </w:tr>
      <w:tr w:rsidR="00000000" w14:paraId="37FDD934" w14:textId="77777777">
        <w:trPr>
          <w:divId w:val="569077606"/>
        </w:trPr>
        <w:tc>
          <w:tcPr>
            <w:tcW w:w="0" w:type="auto"/>
            <w:gridSpan w:val="3"/>
            <w:shd w:val="clear" w:color="auto" w:fill="CCEEFF"/>
            <w:tcMar>
              <w:top w:w="30" w:type="dxa"/>
              <w:left w:w="20" w:type="dxa"/>
              <w:bottom w:w="30" w:type="dxa"/>
              <w:right w:w="20" w:type="dxa"/>
            </w:tcMar>
            <w:vAlign w:val="center"/>
            <w:hideMark/>
          </w:tcPr>
          <w:p w14:paraId="4A73E84F" w14:textId="77777777" w:rsidR="00000000" w:rsidRDefault="00A173A8">
            <w:pPr>
              <w:spacing w:after="100"/>
              <w:divId w:val="2115976907"/>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BA40B9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5CB6F5" w14:textId="77777777" w:rsidR="00000000" w:rsidRDefault="00A173A8">
            <w:pPr>
              <w:spacing w:after="100"/>
              <w:jc w:val="right"/>
              <w:rPr>
                <w:rFonts w:eastAsia="Times New Roman"/>
              </w:rPr>
            </w:pPr>
            <w:r>
              <w:rPr>
                <w:rFonts w:eastAsia="Times New Roman"/>
                <w:b/>
                <w:bCs/>
                <w:color w:val="000000"/>
                <w:sz w:val="20"/>
                <w:szCs w:val="20"/>
              </w:rPr>
              <w:t>(14,850)</w:t>
            </w:r>
          </w:p>
        </w:tc>
        <w:tc>
          <w:tcPr>
            <w:tcW w:w="0" w:type="auto"/>
            <w:shd w:val="clear" w:color="auto" w:fill="CCEEFF"/>
            <w:tcMar>
              <w:top w:w="30" w:type="dxa"/>
              <w:left w:w="0" w:type="dxa"/>
              <w:bottom w:w="30" w:type="dxa"/>
              <w:right w:w="20" w:type="dxa"/>
            </w:tcMar>
            <w:vAlign w:val="center"/>
            <w:hideMark/>
          </w:tcPr>
          <w:p w14:paraId="62E3A37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279C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076D16" w14:textId="77777777" w:rsidR="00000000" w:rsidRDefault="00A173A8">
            <w:pPr>
              <w:spacing w:after="100"/>
              <w:jc w:val="right"/>
              <w:rPr>
                <w:rFonts w:eastAsia="Times New Roman"/>
              </w:rPr>
            </w:pPr>
            <w:r>
              <w:rPr>
                <w:rFonts w:eastAsia="Times New Roman"/>
                <w:color w:val="000000"/>
                <w:sz w:val="20"/>
                <w:szCs w:val="20"/>
              </w:rPr>
              <w:t>(14,907)</w:t>
            </w:r>
          </w:p>
        </w:tc>
        <w:tc>
          <w:tcPr>
            <w:tcW w:w="0" w:type="auto"/>
            <w:shd w:val="clear" w:color="auto" w:fill="CCEEFF"/>
            <w:tcMar>
              <w:top w:w="30" w:type="dxa"/>
              <w:left w:w="0" w:type="dxa"/>
              <w:bottom w:w="30" w:type="dxa"/>
              <w:right w:w="20" w:type="dxa"/>
            </w:tcMar>
            <w:vAlign w:val="center"/>
            <w:hideMark/>
          </w:tcPr>
          <w:p w14:paraId="6BF0C6FF" w14:textId="77777777" w:rsidR="00000000" w:rsidRDefault="00A173A8">
            <w:pPr>
              <w:spacing w:after="100"/>
              <w:jc w:val="right"/>
              <w:rPr>
                <w:rFonts w:eastAsia="Times New Roman"/>
              </w:rPr>
            </w:pPr>
          </w:p>
        </w:tc>
        <w:tc>
          <w:tcPr>
            <w:tcW w:w="0" w:type="auto"/>
            <w:vAlign w:val="center"/>
            <w:hideMark/>
          </w:tcPr>
          <w:p w14:paraId="0F0F14F5" w14:textId="77777777" w:rsidR="00000000" w:rsidRDefault="00A173A8">
            <w:pPr>
              <w:spacing w:after="100"/>
              <w:jc w:val="right"/>
              <w:rPr>
                <w:rFonts w:eastAsia="Times New Roman"/>
                <w:sz w:val="20"/>
                <w:szCs w:val="20"/>
              </w:rPr>
            </w:pPr>
          </w:p>
        </w:tc>
        <w:tc>
          <w:tcPr>
            <w:tcW w:w="0" w:type="auto"/>
            <w:vAlign w:val="center"/>
            <w:hideMark/>
          </w:tcPr>
          <w:p w14:paraId="50A3B945" w14:textId="77777777" w:rsidR="00000000" w:rsidRDefault="00A173A8">
            <w:pPr>
              <w:spacing w:after="100"/>
              <w:rPr>
                <w:rFonts w:eastAsia="Times New Roman"/>
                <w:sz w:val="20"/>
                <w:szCs w:val="20"/>
              </w:rPr>
            </w:pPr>
          </w:p>
        </w:tc>
        <w:tc>
          <w:tcPr>
            <w:tcW w:w="0" w:type="auto"/>
            <w:vAlign w:val="center"/>
            <w:hideMark/>
          </w:tcPr>
          <w:p w14:paraId="340763BC" w14:textId="77777777" w:rsidR="00000000" w:rsidRDefault="00A173A8">
            <w:pPr>
              <w:spacing w:after="100"/>
              <w:rPr>
                <w:rFonts w:eastAsia="Times New Roman"/>
                <w:sz w:val="20"/>
                <w:szCs w:val="20"/>
              </w:rPr>
            </w:pPr>
          </w:p>
        </w:tc>
        <w:tc>
          <w:tcPr>
            <w:tcW w:w="0" w:type="auto"/>
            <w:vAlign w:val="center"/>
            <w:hideMark/>
          </w:tcPr>
          <w:p w14:paraId="1A89EAB5" w14:textId="77777777" w:rsidR="00000000" w:rsidRDefault="00A173A8">
            <w:pPr>
              <w:spacing w:after="100"/>
              <w:rPr>
                <w:rFonts w:eastAsia="Times New Roman"/>
                <w:sz w:val="20"/>
                <w:szCs w:val="20"/>
              </w:rPr>
            </w:pPr>
          </w:p>
        </w:tc>
      </w:tr>
      <w:tr w:rsidR="00000000" w14:paraId="1D26D35C" w14:textId="77777777">
        <w:trPr>
          <w:divId w:val="569077606"/>
        </w:trPr>
        <w:tc>
          <w:tcPr>
            <w:tcW w:w="0" w:type="auto"/>
            <w:gridSpan w:val="3"/>
            <w:shd w:val="clear" w:color="auto" w:fill="FFFFFF"/>
            <w:tcMar>
              <w:top w:w="30" w:type="dxa"/>
              <w:left w:w="20" w:type="dxa"/>
              <w:bottom w:w="30" w:type="dxa"/>
              <w:right w:w="20" w:type="dxa"/>
            </w:tcMar>
            <w:vAlign w:val="center"/>
            <w:hideMark/>
          </w:tcPr>
          <w:p w14:paraId="20826341" w14:textId="77777777" w:rsidR="00000000" w:rsidRDefault="00A173A8">
            <w:pPr>
              <w:spacing w:after="100"/>
              <w:rPr>
                <w:rFonts w:eastAsia="Times New Roman"/>
              </w:rPr>
            </w:pPr>
            <w:r>
              <w:rPr>
                <w:rFonts w:eastAsia="Times New Roman"/>
                <w:color w:val="000000"/>
                <w:sz w:val="20"/>
                <w:szCs w:val="20"/>
              </w:rPr>
              <w:t>Tangible assets</w:t>
            </w:r>
          </w:p>
        </w:tc>
        <w:tc>
          <w:tcPr>
            <w:tcW w:w="0" w:type="auto"/>
            <w:gridSpan w:val="3"/>
            <w:shd w:val="clear" w:color="auto" w:fill="FFFFFF"/>
            <w:tcMar>
              <w:top w:w="0" w:type="dxa"/>
              <w:left w:w="20" w:type="dxa"/>
              <w:bottom w:w="0" w:type="dxa"/>
              <w:right w:w="20" w:type="dxa"/>
            </w:tcMar>
            <w:vAlign w:val="center"/>
            <w:hideMark/>
          </w:tcPr>
          <w:p w14:paraId="45267367"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F26187F"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386B76D" w14:textId="77777777" w:rsidR="00000000" w:rsidRDefault="00A173A8">
            <w:pPr>
              <w:spacing w:after="100"/>
              <w:jc w:val="right"/>
              <w:rPr>
                <w:rFonts w:eastAsia="Times New Roman"/>
              </w:rPr>
            </w:pPr>
            <w:r>
              <w:rPr>
                <w:rFonts w:eastAsia="Times New Roman"/>
                <w:b/>
                <w:bCs/>
                <w:color w:val="000000"/>
                <w:sz w:val="20"/>
                <w:szCs w:val="20"/>
              </w:rPr>
              <w:t>425,438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2378AA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F933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14EAD2C"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25650D2" w14:textId="77777777" w:rsidR="00000000" w:rsidRDefault="00A173A8">
            <w:pPr>
              <w:spacing w:after="100"/>
              <w:jc w:val="right"/>
              <w:rPr>
                <w:rFonts w:eastAsia="Times New Roman"/>
              </w:rPr>
            </w:pPr>
            <w:r>
              <w:rPr>
                <w:rFonts w:eastAsia="Times New Roman"/>
                <w:color w:val="000000"/>
                <w:sz w:val="20"/>
                <w:szCs w:val="20"/>
              </w:rPr>
              <w:t>417,474 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6747FA" w14:textId="77777777" w:rsidR="00000000" w:rsidRDefault="00A173A8">
            <w:pPr>
              <w:spacing w:after="100"/>
              <w:jc w:val="right"/>
              <w:rPr>
                <w:rFonts w:eastAsia="Times New Roman"/>
              </w:rPr>
            </w:pPr>
          </w:p>
        </w:tc>
        <w:tc>
          <w:tcPr>
            <w:tcW w:w="0" w:type="auto"/>
            <w:vAlign w:val="center"/>
            <w:hideMark/>
          </w:tcPr>
          <w:p w14:paraId="69412ACB" w14:textId="77777777" w:rsidR="00000000" w:rsidRDefault="00A173A8">
            <w:pPr>
              <w:spacing w:after="100"/>
              <w:jc w:val="right"/>
              <w:rPr>
                <w:rFonts w:eastAsia="Times New Roman"/>
                <w:sz w:val="20"/>
                <w:szCs w:val="20"/>
              </w:rPr>
            </w:pPr>
          </w:p>
        </w:tc>
        <w:tc>
          <w:tcPr>
            <w:tcW w:w="0" w:type="auto"/>
            <w:vAlign w:val="center"/>
            <w:hideMark/>
          </w:tcPr>
          <w:p w14:paraId="041399F2" w14:textId="77777777" w:rsidR="00000000" w:rsidRDefault="00A173A8">
            <w:pPr>
              <w:spacing w:after="100"/>
              <w:rPr>
                <w:rFonts w:eastAsia="Times New Roman"/>
                <w:sz w:val="20"/>
                <w:szCs w:val="20"/>
              </w:rPr>
            </w:pPr>
          </w:p>
        </w:tc>
        <w:tc>
          <w:tcPr>
            <w:tcW w:w="0" w:type="auto"/>
            <w:vAlign w:val="center"/>
            <w:hideMark/>
          </w:tcPr>
          <w:p w14:paraId="7F05977A" w14:textId="77777777" w:rsidR="00000000" w:rsidRDefault="00A173A8">
            <w:pPr>
              <w:spacing w:after="100"/>
              <w:rPr>
                <w:rFonts w:eastAsia="Times New Roman"/>
                <w:sz w:val="20"/>
                <w:szCs w:val="20"/>
              </w:rPr>
            </w:pPr>
          </w:p>
        </w:tc>
        <w:tc>
          <w:tcPr>
            <w:tcW w:w="0" w:type="auto"/>
            <w:vAlign w:val="center"/>
            <w:hideMark/>
          </w:tcPr>
          <w:p w14:paraId="149116DD" w14:textId="77777777" w:rsidR="00000000" w:rsidRDefault="00A173A8">
            <w:pPr>
              <w:spacing w:after="100"/>
              <w:rPr>
                <w:rFonts w:eastAsia="Times New Roman"/>
                <w:sz w:val="20"/>
                <w:szCs w:val="20"/>
              </w:rPr>
            </w:pPr>
          </w:p>
        </w:tc>
      </w:tr>
      <w:tr w:rsidR="00000000" w14:paraId="7C8641CB" w14:textId="77777777">
        <w:trPr>
          <w:divId w:val="569077606"/>
        </w:trPr>
        <w:tc>
          <w:tcPr>
            <w:tcW w:w="0" w:type="auto"/>
            <w:gridSpan w:val="3"/>
            <w:shd w:val="clear" w:color="auto" w:fill="CCEEFF"/>
            <w:tcMar>
              <w:top w:w="30" w:type="dxa"/>
              <w:left w:w="20" w:type="dxa"/>
              <w:bottom w:w="30" w:type="dxa"/>
              <w:right w:w="20" w:type="dxa"/>
            </w:tcMar>
            <w:vAlign w:val="center"/>
            <w:hideMark/>
          </w:tcPr>
          <w:p w14:paraId="7587374D" w14:textId="77777777" w:rsidR="00000000" w:rsidRDefault="00A173A8">
            <w:pPr>
              <w:spacing w:after="100"/>
              <w:rPr>
                <w:rFonts w:eastAsia="Times New Roman"/>
              </w:rPr>
            </w:pPr>
            <w:r>
              <w:rPr>
                <w:rFonts w:eastAsia="Times New Roman"/>
                <w:b/>
                <w:bCs/>
                <w:color w:val="000000"/>
                <w:sz w:val="20"/>
                <w:szCs w:val="20"/>
              </w:rPr>
              <w:t>Tangible Assets (Quarterly Average):</w:t>
            </w:r>
          </w:p>
        </w:tc>
        <w:tc>
          <w:tcPr>
            <w:tcW w:w="0" w:type="auto"/>
            <w:gridSpan w:val="3"/>
            <w:shd w:val="clear" w:color="auto" w:fill="CCEEFF"/>
            <w:tcMar>
              <w:top w:w="0" w:type="dxa"/>
              <w:left w:w="20" w:type="dxa"/>
              <w:bottom w:w="0" w:type="dxa"/>
              <w:right w:w="20" w:type="dxa"/>
            </w:tcMar>
            <w:vAlign w:val="center"/>
            <w:hideMark/>
          </w:tcPr>
          <w:p w14:paraId="5F617EBB"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47AC3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A6A37A"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DA75EF" w14:textId="77777777" w:rsidR="00000000" w:rsidRDefault="00A173A8">
            <w:pPr>
              <w:spacing w:after="100"/>
              <w:rPr>
                <w:rFonts w:eastAsia="Times New Roman"/>
                <w:sz w:val="20"/>
                <w:szCs w:val="20"/>
              </w:rPr>
            </w:pPr>
          </w:p>
        </w:tc>
        <w:tc>
          <w:tcPr>
            <w:tcW w:w="0" w:type="auto"/>
            <w:vAlign w:val="center"/>
            <w:hideMark/>
          </w:tcPr>
          <w:p w14:paraId="78EB19E7" w14:textId="77777777" w:rsidR="00000000" w:rsidRDefault="00A173A8">
            <w:pPr>
              <w:spacing w:after="100"/>
              <w:rPr>
                <w:rFonts w:eastAsia="Times New Roman"/>
                <w:sz w:val="20"/>
                <w:szCs w:val="20"/>
              </w:rPr>
            </w:pPr>
          </w:p>
        </w:tc>
        <w:tc>
          <w:tcPr>
            <w:tcW w:w="0" w:type="auto"/>
            <w:vAlign w:val="center"/>
            <w:hideMark/>
          </w:tcPr>
          <w:p w14:paraId="6E4DA914" w14:textId="77777777" w:rsidR="00000000" w:rsidRDefault="00A173A8">
            <w:pPr>
              <w:spacing w:after="100"/>
              <w:rPr>
                <w:rFonts w:eastAsia="Times New Roman"/>
                <w:sz w:val="20"/>
                <w:szCs w:val="20"/>
              </w:rPr>
            </w:pPr>
          </w:p>
        </w:tc>
        <w:tc>
          <w:tcPr>
            <w:tcW w:w="0" w:type="auto"/>
            <w:vAlign w:val="center"/>
            <w:hideMark/>
          </w:tcPr>
          <w:p w14:paraId="345C4F57" w14:textId="77777777" w:rsidR="00000000" w:rsidRDefault="00A173A8">
            <w:pPr>
              <w:spacing w:after="100"/>
              <w:rPr>
                <w:rFonts w:eastAsia="Times New Roman"/>
                <w:sz w:val="20"/>
                <w:szCs w:val="20"/>
              </w:rPr>
            </w:pPr>
          </w:p>
        </w:tc>
        <w:tc>
          <w:tcPr>
            <w:tcW w:w="0" w:type="auto"/>
            <w:vAlign w:val="center"/>
            <w:hideMark/>
          </w:tcPr>
          <w:p w14:paraId="545C85CF" w14:textId="77777777" w:rsidR="00000000" w:rsidRDefault="00A173A8">
            <w:pPr>
              <w:spacing w:after="100"/>
              <w:rPr>
                <w:rFonts w:eastAsia="Times New Roman"/>
                <w:sz w:val="20"/>
                <w:szCs w:val="20"/>
              </w:rPr>
            </w:pPr>
          </w:p>
        </w:tc>
      </w:tr>
      <w:tr w:rsidR="00000000" w14:paraId="383C8BF5" w14:textId="77777777">
        <w:trPr>
          <w:divId w:val="569077606"/>
        </w:trPr>
        <w:tc>
          <w:tcPr>
            <w:tcW w:w="0" w:type="auto"/>
            <w:gridSpan w:val="3"/>
            <w:shd w:val="clear" w:color="auto" w:fill="FFFFFF"/>
            <w:tcMar>
              <w:top w:w="30" w:type="dxa"/>
              <w:left w:w="245" w:type="dxa"/>
              <w:bottom w:w="30" w:type="dxa"/>
              <w:right w:w="20" w:type="dxa"/>
            </w:tcMar>
            <w:vAlign w:val="center"/>
            <w:hideMark/>
          </w:tcPr>
          <w:p w14:paraId="459702A8" w14:textId="77777777" w:rsidR="00000000" w:rsidRDefault="00A173A8">
            <w:pPr>
              <w:spacing w:after="100"/>
              <w:rPr>
                <w:rFonts w:eastAsia="Times New Roman"/>
              </w:rPr>
            </w:pPr>
            <w:r>
              <w:rPr>
                <w:rFonts w:eastAsia="Times New Roman"/>
                <w:color w:val="000000"/>
                <w:sz w:val="20"/>
                <w:szCs w:val="20"/>
              </w:rPr>
              <w:t>Total assets</w:t>
            </w:r>
          </w:p>
        </w:tc>
        <w:tc>
          <w:tcPr>
            <w:tcW w:w="0" w:type="auto"/>
            <w:gridSpan w:val="3"/>
            <w:shd w:val="clear" w:color="auto" w:fill="FFFFFF"/>
            <w:tcMar>
              <w:top w:w="0" w:type="dxa"/>
              <w:left w:w="20" w:type="dxa"/>
              <w:bottom w:w="0" w:type="dxa"/>
              <w:right w:w="20" w:type="dxa"/>
            </w:tcMar>
            <w:vAlign w:val="center"/>
            <w:hideMark/>
          </w:tcPr>
          <w:p w14:paraId="4D4DAEE3"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83B1BB9" w14:textId="77777777" w:rsidR="00000000" w:rsidRDefault="00A173A8">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14:paraId="4EA35934" w14:textId="77777777" w:rsidR="00000000" w:rsidRDefault="00A173A8">
            <w:pPr>
              <w:spacing w:after="100"/>
              <w:jc w:val="right"/>
              <w:rPr>
                <w:rFonts w:eastAsia="Times New Roman"/>
              </w:rPr>
            </w:pPr>
            <w:r>
              <w:rPr>
                <w:rFonts w:eastAsia="Times New Roman"/>
                <w:b/>
                <w:bCs/>
                <w:color w:val="000000"/>
                <w:sz w:val="20"/>
                <w:szCs w:val="20"/>
              </w:rPr>
              <w:t>435,327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6BA2074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E953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EAE8DFB" w14:textId="77777777" w:rsidR="00000000" w:rsidRDefault="00A173A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14:paraId="6989C8D2" w14:textId="77777777" w:rsidR="00000000" w:rsidRDefault="00A173A8">
            <w:pPr>
              <w:spacing w:after="100"/>
              <w:jc w:val="right"/>
              <w:rPr>
                <w:rFonts w:eastAsia="Times New Roman"/>
              </w:rPr>
            </w:pPr>
            <w:r>
              <w:rPr>
                <w:rFonts w:eastAsia="Times New Roman"/>
                <w:color w:val="000000"/>
                <w:sz w:val="20"/>
                <w:szCs w:val="20"/>
              </w:rPr>
              <w:t>427,845 </w:t>
            </w:r>
          </w:p>
        </w:tc>
        <w:tc>
          <w:tcPr>
            <w:tcW w:w="0" w:type="auto"/>
            <w:shd w:val="clear" w:color="auto" w:fill="FFFFFF"/>
            <w:tcMar>
              <w:top w:w="30" w:type="dxa"/>
              <w:left w:w="0" w:type="dxa"/>
              <w:bottom w:w="30" w:type="dxa"/>
              <w:right w:w="20" w:type="dxa"/>
            </w:tcMar>
            <w:vAlign w:val="center"/>
            <w:hideMark/>
          </w:tcPr>
          <w:p w14:paraId="65EA1D0B" w14:textId="77777777" w:rsidR="00000000" w:rsidRDefault="00A173A8">
            <w:pPr>
              <w:spacing w:after="100"/>
              <w:jc w:val="right"/>
              <w:rPr>
                <w:rFonts w:eastAsia="Times New Roman"/>
              </w:rPr>
            </w:pPr>
          </w:p>
        </w:tc>
        <w:tc>
          <w:tcPr>
            <w:tcW w:w="0" w:type="auto"/>
            <w:vAlign w:val="center"/>
            <w:hideMark/>
          </w:tcPr>
          <w:p w14:paraId="61691964" w14:textId="77777777" w:rsidR="00000000" w:rsidRDefault="00A173A8">
            <w:pPr>
              <w:spacing w:after="100"/>
              <w:jc w:val="right"/>
              <w:rPr>
                <w:rFonts w:eastAsia="Times New Roman"/>
                <w:sz w:val="20"/>
                <w:szCs w:val="20"/>
              </w:rPr>
            </w:pPr>
          </w:p>
        </w:tc>
        <w:tc>
          <w:tcPr>
            <w:tcW w:w="0" w:type="auto"/>
            <w:vAlign w:val="center"/>
            <w:hideMark/>
          </w:tcPr>
          <w:p w14:paraId="18000ED6" w14:textId="77777777" w:rsidR="00000000" w:rsidRDefault="00A173A8">
            <w:pPr>
              <w:spacing w:after="100"/>
              <w:rPr>
                <w:rFonts w:eastAsia="Times New Roman"/>
                <w:sz w:val="20"/>
                <w:szCs w:val="20"/>
              </w:rPr>
            </w:pPr>
          </w:p>
        </w:tc>
        <w:tc>
          <w:tcPr>
            <w:tcW w:w="0" w:type="auto"/>
            <w:vAlign w:val="center"/>
            <w:hideMark/>
          </w:tcPr>
          <w:p w14:paraId="5545E4BC" w14:textId="77777777" w:rsidR="00000000" w:rsidRDefault="00A173A8">
            <w:pPr>
              <w:spacing w:after="100"/>
              <w:rPr>
                <w:rFonts w:eastAsia="Times New Roman"/>
                <w:sz w:val="20"/>
                <w:szCs w:val="20"/>
              </w:rPr>
            </w:pPr>
          </w:p>
        </w:tc>
        <w:tc>
          <w:tcPr>
            <w:tcW w:w="0" w:type="auto"/>
            <w:vAlign w:val="center"/>
            <w:hideMark/>
          </w:tcPr>
          <w:p w14:paraId="7564D497" w14:textId="77777777" w:rsidR="00000000" w:rsidRDefault="00A173A8">
            <w:pPr>
              <w:spacing w:after="100"/>
              <w:rPr>
                <w:rFonts w:eastAsia="Times New Roman"/>
                <w:sz w:val="20"/>
                <w:szCs w:val="20"/>
              </w:rPr>
            </w:pPr>
          </w:p>
        </w:tc>
      </w:tr>
      <w:tr w:rsidR="00000000" w14:paraId="458A3B3C" w14:textId="77777777">
        <w:trPr>
          <w:divId w:val="569077606"/>
        </w:trPr>
        <w:tc>
          <w:tcPr>
            <w:tcW w:w="0" w:type="auto"/>
            <w:gridSpan w:val="3"/>
            <w:shd w:val="clear" w:color="auto" w:fill="CCEEFF"/>
            <w:tcMar>
              <w:top w:w="30" w:type="dxa"/>
              <w:left w:w="20" w:type="dxa"/>
              <w:bottom w:w="30" w:type="dxa"/>
              <w:right w:w="20" w:type="dxa"/>
            </w:tcMar>
            <w:vAlign w:val="center"/>
            <w:hideMark/>
          </w:tcPr>
          <w:p w14:paraId="05D20D73" w14:textId="77777777" w:rsidR="00000000" w:rsidRDefault="00A173A8">
            <w:pPr>
              <w:spacing w:after="100"/>
              <w:divId w:val="2045061885"/>
              <w:rPr>
                <w:rFonts w:eastAsia="Times New Roman"/>
              </w:rPr>
            </w:pPr>
            <w:r>
              <w:rPr>
                <w:rFonts w:eastAsia="Times New Roman"/>
                <w:color w:val="000000"/>
                <w:sz w:val="20"/>
                <w:szCs w:val="20"/>
              </w:rPr>
              <w:t>Goodwill and other intangible asset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665AA74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ED038F7" w14:textId="77777777" w:rsidR="00000000" w:rsidRDefault="00A173A8">
            <w:pPr>
              <w:spacing w:after="100"/>
              <w:jc w:val="right"/>
              <w:rPr>
                <w:rFonts w:eastAsia="Times New Roman"/>
              </w:rPr>
            </w:pPr>
            <w:r>
              <w:rPr>
                <w:rFonts w:eastAsia="Times New Roman"/>
                <w:b/>
                <w:bCs/>
                <w:color w:val="000000"/>
                <w:sz w:val="20"/>
                <w:szCs w:val="20"/>
              </w:rPr>
              <w:t>(14,875)</w:t>
            </w:r>
          </w:p>
        </w:tc>
        <w:tc>
          <w:tcPr>
            <w:tcW w:w="0" w:type="auto"/>
            <w:shd w:val="clear" w:color="auto" w:fill="CCEEFF"/>
            <w:tcMar>
              <w:top w:w="30" w:type="dxa"/>
              <w:left w:w="0" w:type="dxa"/>
              <w:bottom w:w="30" w:type="dxa"/>
              <w:right w:w="20" w:type="dxa"/>
            </w:tcMar>
            <w:vAlign w:val="center"/>
            <w:hideMark/>
          </w:tcPr>
          <w:p w14:paraId="552644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183A3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7EE2F8" w14:textId="77777777" w:rsidR="00000000" w:rsidRDefault="00A173A8">
            <w:pPr>
              <w:spacing w:after="100"/>
              <w:jc w:val="right"/>
              <w:rPr>
                <w:rFonts w:eastAsia="Times New Roman"/>
              </w:rPr>
            </w:pPr>
            <w:r>
              <w:rPr>
                <w:rFonts w:eastAsia="Times New Roman"/>
                <w:color w:val="000000"/>
                <w:sz w:val="20"/>
                <w:szCs w:val="20"/>
              </w:rPr>
              <w:t>(14,847)</w:t>
            </w:r>
          </w:p>
        </w:tc>
        <w:tc>
          <w:tcPr>
            <w:tcW w:w="0" w:type="auto"/>
            <w:shd w:val="clear" w:color="auto" w:fill="CCEEFF"/>
            <w:tcMar>
              <w:top w:w="30" w:type="dxa"/>
              <w:left w:w="0" w:type="dxa"/>
              <w:bottom w:w="30" w:type="dxa"/>
              <w:right w:w="20" w:type="dxa"/>
            </w:tcMar>
            <w:vAlign w:val="center"/>
            <w:hideMark/>
          </w:tcPr>
          <w:p w14:paraId="62D60F65" w14:textId="77777777" w:rsidR="00000000" w:rsidRDefault="00A173A8">
            <w:pPr>
              <w:spacing w:after="100"/>
              <w:jc w:val="right"/>
              <w:rPr>
                <w:rFonts w:eastAsia="Times New Roman"/>
              </w:rPr>
            </w:pPr>
          </w:p>
        </w:tc>
        <w:tc>
          <w:tcPr>
            <w:tcW w:w="0" w:type="auto"/>
            <w:vAlign w:val="center"/>
            <w:hideMark/>
          </w:tcPr>
          <w:p w14:paraId="49198496" w14:textId="77777777" w:rsidR="00000000" w:rsidRDefault="00A173A8">
            <w:pPr>
              <w:spacing w:after="100"/>
              <w:jc w:val="right"/>
              <w:rPr>
                <w:rFonts w:eastAsia="Times New Roman"/>
                <w:sz w:val="20"/>
                <w:szCs w:val="20"/>
              </w:rPr>
            </w:pPr>
          </w:p>
        </w:tc>
        <w:tc>
          <w:tcPr>
            <w:tcW w:w="0" w:type="auto"/>
            <w:vAlign w:val="center"/>
            <w:hideMark/>
          </w:tcPr>
          <w:p w14:paraId="730041BC" w14:textId="77777777" w:rsidR="00000000" w:rsidRDefault="00A173A8">
            <w:pPr>
              <w:spacing w:after="100"/>
              <w:rPr>
                <w:rFonts w:eastAsia="Times New Roman"/>
                <w:sz w:val="20"/>
                <w:szCs w:val="20"/>
              </w:rPr>
            </w:pPr>
          </w:p>
        </w:tc>
        <w:tc>
          <w:tcPr>
            <w:tcW w:w="0" w:type="auto"/>
            <w:vAlign w:val="center"/>
            <w:hideMark/>
          </w:tcPr>
          <w:p w14:paraId="6BE6C1EE" w14:textId="77777777" w:rsidR="00000000" w:rsidRDefault="00A173A8">
            <w:pPr>
              <w:spacing w:after="100"/>
              <w:rPr>
                <w:rFonts w:eastAsia="Times New Roman"/>
                <w:sz w:val="20"/>
                <w:szCs w:val="20"/>
              </w:rPr>
            </w:pPr>
          </w:p>
        </w:tc>
        <w:tc>
          <w:tcPr>
            <w:tcW w:w="0" w:type="auto"/>
            <w:vAlign w:val="center"/>
            <w:hideMark/>
          </w:tcPr>
          <w:p w14:paraId="0EAAB263" w14:textId="77777777" w:rsidR="00000000" w:rsidRDefault="00A173A8">
            <w:pPr>
              <w:spacing w:after="100"/>
              <w:rPr>
                <w:rFonts w:eastAsia="Times New Roman"/>
                <w:sz w:val="20"/>
                <w:szCs w:val="20"/>
              </w:rPr>
            </w:pPr>
          </w:p>
        </w:tc>
      </w:tr>
      <w:tr w:rsidR="00000000" w14:paraId="5FF43DFB" w14:textId="77777777">
        <w:trPr>
          <w:divId w:val="569077606"/>
        </w:trPr>
        <w:tc>
          <w:tcPr>
            <w:tcW w:w="0" w:type="auto"/>
            <w:gridSpan w:val="3"/>
            <w:shd w:val="clear" w:color="auto" w:fill="FFFFFF"/>
            <w:tcMar>
              <w:top w:w="30" w:type="dxa"/>
              <w:left w:w="20" w:type="dxa"/>
              <w:bottom w:w="30" w:type="dxa"/>
              <w:right w:w="20" w:type="dxa"/>
            </w:tcMar>
            <w:vAlign w:val="center"/>
            <w:hideMark/>
          </w:tcPr>
          <w:p w14:paraId="630F3A45" w14:textId="77777777" w:rsidR="00000000" w:rsidRDefault="00A173A8">
            <w:pPr>
              <w:spacing w:after="100"/>
              <w:rPr>
                <w:rFonts w:eastAsia="Times New Roman"/>
              </w:rPr>
            </w:pPr>
            <w:r>
              <w:rPr>
                <w:rFonts w:eastAsia="Times New Roman"/>
                <w:color w:val="000000"/>
                <w:sz w:val="20"/>
                <w:szCs w:val="20"/>
              </w:rPr>
              <w:t>Tangible assets</w:t>
            </w:r>
          </w:p>
        </w:tc>
        <w:tc>
          <w:tcPr>
            <w:tcW w:w="0" w:type="auto"/>
            <w:gridSpan w:val="3"/>
            <w:shd w:val="clear" w:color="auto" w:fill="FFFFFF"/>
            <w:tcMar>
              <w:top w:w="0" w:type="dxa"/>
              <w:left w:w="20" w:type="dxa"/>
              <w:bottom w:w="0" w:type="dxa"/>
              <w:right w:w="20" w:type="dxa"/>
            </w:tcMar>
            <w:vAlign w:val="center"/>
            <w:hideMark/>
          </w:tcPr>
          <w:p w14:paraId="5A3B6239"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33419E5" w14:textId="77777777" w:rsidR="00000000" w:rsidRDefault="00A173A8">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0D24353" w14:textId="77777777" w:rsidR="00000000" w:rsidRDefault="00A173A8">
            <w:pPr>
              <w:spacing w:after="100"/>
              <w:jc w:val="right"/>
              <w:rPr>
                <w:rFonts w:eastAsia="Times New Roman"/>
              </w:rPr>
            </w:pPr>
            <w:r>
              <w:rPr>
                <w:rFonts w:eastAsia="Times New Roman"/>
                <w:b/>
                <w:bCs/>
                <w:color w:val="000000"/>
                <w:sz w:val="20"/>
                <w:szCs w:val="20"/>
              </w:rPr>
              <w:t>420,452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6DBEE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0EE7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40A446C" w14:textId="77777777" w:rsidR="00000000" w:rsidRDefault="00A173A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8EFA540" w14:textId="77777777" w:rsidR="00000000" w:rsidRDefault="00A173A8">
            <w:pPr>
              <w:spacing w:after="100"/>
              <w:jc w:val="right"/>
              <w:rPr>
                <w:rFonts w:eastAsia="Times New Roman"/>
              </w:rPr>
            </w:pPr>
            <w:r>
              <w:rPr>
                <w:rFonts w:eastAsia="Times New Roman"/>
                <w:color w:val="000000"/>
                <w:sz w:val="20"/>
                <w:szCs w:val="20"/>
              </w:rPr>
              <w:t>412,998 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A33CB3" w14:textId="77777777" w:rsidR="00000000" w:rsidRDefault="00A173A8">
            <w:pPr>
              <w:spacing w:after="100"/>
              <w:jc w:val="right"/>
              <w:rPr>
                <w:rFonts w:eastAsia="Times New Roman"/>
              </w:rPr>
            </w:pPr>
          </w:p>
        </w:tc>
        <w:tc>
          <w:tcPr>
            <w:tcW w:w="0" w:type="auto"/>
            <w:vAlign w:val="center"/>
            <w:hideMark/>
          </w:tcPr>
          <w:p w14:paraId="5D5C7E8F" w14:textId="77777777" w:rsidR="00000000" w:rsidRDefault="00A173A8">
            <w:pPr>
              <w:spacing w:after="100"/>
              <w:jc w:val="right"/>
              <w:rPr>
                <w:rFonts w:eastAsia="Times New Roman"/>
                <w:sz w:val="20"/>
                <w:szCs w:val="20"/>
              </w:rPr>
            </w:pPr>
          </w:p>
        </w:tc>
        <w:tc>
          <w:tcPr>
            <w:tcW w:w="0" w:type="auto"/>
            <w:vAlign w:val="center"/>
            <w:hideMark/>
          </w:tcPr>
          <w:p w14:paraId="4070247E" w14:textId="77777777" w:rsidR="00000000" w:rsidRDefault="00A173A8">
            <w:pPr>
              <w:spacing w:after="100"/>
              <w:rPr>
                <w:rFonts w:eastAsia="Times New Roman"/>
                <w:sz w:val="20"/>
                <w:szCs w:val="20"/>
              </w:rPr>
            </w:pPr>
          </w:p>
        </w:tc>
        <w:tc>
          <w:tcPr>
            <w:tcW w:w="0" w:type="auto"/>
            <w:vAlign w:val="center"/>
            <w:hideMark/>
          </w:tcPr>
          <w:p w14:paraId="2934C8DF" w14:textId="77777777" w:rsidR="00000000" w:rsidRDefault="00A173A8">
            <w:pPr>
              <w:spacing w:after="100"/>
              <w:rPr>
                <w:rFonts w:eastAsia="Times New Roman"/>
                <w:sz w:val="20"/>
                <w:szCs w:val="20"/>
              </w:rPr>
            </w:pPr>
          </w:p>
        </w:tc>
        <w:tc>
          <w:tcPr>
            <w:tcW w:w="0" w:type="auto"/>
            <w:vAlign w:val="center"/>
            <w:hideMark/>
          </w:tcPr>
          <w:p w14:paraId="690AD758" w14:textId="77777777" w:rsidR="00000000" w:rsidRDefault="00A173A8">
            <w:pPr>
              <w:spacing w:after="100"/>
              <w:rPr>
                <w:rFonts w:eastAsia="Times New Roman"/>
                <w:sz w:val="20"/>
                <w:szCs w:val="20"/>
              </w:rPr>
            </w:pPr>
          </w:p>
        </w:tc>
      </w:tr>
      <w:tr w:rsidR="00000000" w14:paraId="3E03B2CE" w14:textId="77777777">
        <w:trPr>
          <w:divId w:val="569077606"/>
        </w:trPr>
        <w:tc>
          <w:tcPr>
            <w:tcW w:w="0" w:type="auto"/>
            <w:gridSpan w:val="3"/>
            <w:shd w:val="clear" w:color="auto" w:fill="CCEEFF"/>
            <w:tcMar>
              <w:top w:w="30" w:type="dxa"/>
              <w:left w:w="20" w:type="dxa"/>
              <w:bottom w:w="30" w:type="dxa"/>
              <w:right w:w="20" w:type="dxa"/>
            </w:tcMar>
            <w:vAlign w:val="center"/>
            <w:hideMark/>
          </w:tcPr>
          <w:p w14:paraId="37FABF6B" w14:textId="77777777" w:rsidR="00000000" w:rsidRDefault="00A173A8">
            <w:pPr>
              <w:spacing w:after="100"/>
              <w:rPr>
                <w:rFonts w:eastAsia="Times New Roman"/>
              </w:rPr>
            </w:pPr>
            <w:r>
              <w:rPr>
                <w:rFonts w:eastAsia="Times New Roman"/>
                <w:b/>
                <w:bCs/>
                <w:color w:val="000000"/>
                <w:sz w:val="20"/>
                <w:szCs w:val="20"/>
              </w:rPr>
              <w:t>Non-GAAP Ratio:</w:t>
            </w:r>
          </w:p>
        </w:tc>
        <w:tc>
          <w:tcPr>
            <w:tcW w:w="0" w:type="auto"/>
            <w:gridSpan w:val="3"/>
            <w:shd w:val="clear" w:color="auto" w:fill="CCEEFF"/>
            <w:tcMar>
              <w:top w:w="0" w:type="dxa"/>
              <w:left w:w="20" w:type="dxa"/>
              <w:bottom w:w="0" w:type="dxa"/>
              <w:right w:w="20" w:type="dxa"/>
            </w:tcMar>
            <w:vAlign w:val="center"/>
            <w:hideMark/>
          </w:tcPr>
          <w:p w14:paraId="298E41AA"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179EFC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F050AD"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53DD35" w14:textId="77777777" w:rsidR="00000000" w:rsidRDefault="00A173A8">
            <w:pPr>
              <w:spacing w:after="100"/>
              <w:rPr>
                <w:rFonts w:eastAsia="Times New Roman"/>
                <w:sz w:val="20"/>
                <w:szCs w:val="20"/>
              </w:rPr>
            </w:pPr>
          </w:p>
        </w:tc>
        <w:tc>
          <w:tcPr>
            <w:tcW w:w="0" w:type="auto"/>
            <w:vAlign w:val="center"/>
            <w:hideMark/>
          </w:tcPr>
          <w:p w14:paraId="075A045D" w14:textId="77777777" w:rsidR="00000000" w:rsidRDefault="00A173A8">
            <w:pPr>
              <w:spacing w:after="100"/>
              <w:rPr>
                <w:rFonts w:eastAsia="Times New Roman"/>
                <w:sz w:val="20"/>
                <w:szCs w:val="20"/>
              </w:rPr>
            </w:pPr>
          </w:p>
        </w:tc>
        <w:tc>
          <w:tcPr>
            <w:tcW w:w="0" w:type="auto"/>
            <w:vAlign w:val="center"/>
            <w:hideMark/>
          </w:tcPr>
          <w:p w14:paraId="2366098D" w14:textId="77777777" w:rsidR="00000000" w:rsidRDefault="00A173A8">
            <w:pPr>
              <w:spacing w:after="100"/>
              <w:rPr>
                <w:rFonts w:eastAsia="Times New Roman"/>
                <w:sz w:val="20"/>
                <w:szCs w:val="20"/>
              </w:rPr>
            </w:pPr>
          </w:p>
        </w:tc>
        <w:tc>
          <w:tcPr>
            <w:tcW w:w="0" w:type="auto"/>
            <w:vAlign w:val="center"/>
            <w:hideMark/>
          </w:tcPr>
          <w:p w14:paraId="1C892EAE" w14:textId="77777777" w:rsidR="00000000" w:rsidRDefault="00A173A8">
            <w:pPr>
              <w:spacing w:after="100"/>
              <w:rPr>
                <w:rFonts w:eastAsia="Times New Roman"/>
                <w:sz w:val="20"/>
                <w:szCs w:val="20"/>
              </w:rPr>
            </w:pPr>
          </w:p>
        </w:tc>
        <w:tc>
          <w:tcPr>
            <w:tcW w:w="0" w:type="auto"/>
            <w:vAlign w:val="center"/>
            <w:hideMark/>
          </w:tcPr>
          <w:p w14:paraId="55D0957D" w14:textId="77777777" w:rsidR="00000000" w:rsidRDefault="00A173A8">
            <w:pPr>
              <w:spacing w:after="100"/>
              <w:rPr>
                <w:rFonts w:eastAsia="Times New Roman"/>
                <w:sz w:val="20"/>
                <w:szCs w:val="20"/>
              </w:rPr>
            </w:pPr>
          </w:p>
        </w:tc>
      </w:tr>
      <w:tr w:rsidR="00000000" w14:paraId="13F63E3C" w14:textId="77777777">
        <w:trPr>
          <w:divId w:val="569077606"/>
        </w:trPr>
        <w:tc>
          <w:tcPr>
            <w:tcW w:w="0" w:type="auto"/>
            <w:gridSpan w:val="3"/>
            <w:shd w:val="clear" w:color="auto" w:fill="FFFFFF"/>
            <w:tcMar>
              <w:top w:w="30" w:type="dxa"/>
              <w:left w:w="20" w:type="dxa"/>
              <w:bottom w:w="30" w:type="dxa"/>
              <w:right w:w="20" w:type="dxa"/>
            </w:tcMar>
            <w:vAlign w:val="center"/>
            <w:hideMark/>
          </w:tcPr>
          <w:p w14:paraId="2EEF4CDF" w14:textId="77777777" w:rsidR="00000000" w:rsidRDefault="00A173A8">
            <w:pPr>
              <w:spacing w:after="100"/>
              <w:divId w:val="1117332473"/>
              <w:rPr>
                <w:rFonts w:eastAsia="Times New Roman"/>
              </w:rPr>
            </w:pPr>
            <w:r>
              <w:rPr>
                <w:rFonts w:eastAsia="Times New Roman"/>
                <w:color w:val="000000"/>
                <w:sz w:val="20"/>
                <w:szCs w:val="20"/>
              </w:rPr>
              <w:t>Tangible common equity (“TCE”</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D64DE2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AB6187" w14:textId="77777777" w:rsidR="00000000" w:rsidRDefault="00A173A8">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14:paraId="76C925F9" w14:textId="77777777" w:rsidR="00000000" w:rsidRDefault="00A173A8">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DC2A890"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FC94D64" w14:textId="77777777" w:rsidR="00000000" w:rsidRDefault="00A173A8">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center"/>
            <w:hideMark/>
          </w:tcPr>
          <w:p w14:paraId="78AACE31" w14:textId="77777777" w:rsidR="00000000" w:rsidRDefault="00A173A8">
            <w:pPr>
              <w:spacing w:after="100"/>
              <w:jc w:val="right"/>
              <w:rPr>
                <w:rFonts w:eastAsia="Times New Roman"/>
              </w:rPr>
            </w:pPr>
            <w:r>
              <w:rPr>
                <w:rFonts w:eastAsia="Times New Roman"/>
                <w:color w:val="000000"/>
                <w:sz w:val="20"/>
                <w:szCs w:val="20"/>
              </w:rPr>
              <w:t>%</w:t>
            </w:r>
          </w:p>
        </w:tc>
        <w:tc>
          <w:tcPr>
            <w:tcW w:w="0" w:type="auto"/>
            <w:vAlign w:val="center"/>
            <w:hideMark/>
          </w:tcPr>
          <w:p w14:paraId="4BB517F9" w14:textId="77777777" w:rsidR="00000000" w:rsidRDefault="00A173A8">
            <w:pPr>
              <w:spacing w:after="100"/>
              <w:jc w:val="right"/>
              <w:rPr>
                <w:rFonts w:eastAsia="Times New Roman"/>
              </w:rPr>
            </w:pPr>
          </w:p>
        </w:tc>
        <w:tc>
          <w:tcPr>
            <w:tcW w:w="0" w:type="auto"/>
            <w:vAlign w:val="center"/>
            <w:hideMark/>
          </w:tcPr>
          <w:p w14:paraId="7D659421" w14:textId="77777777" w:rsidR="00000000" w:rsidRDefault="00A173A8">
            <w:pPr>
              <w:spacing w:after="100"/>
              <w:rPr>
                <w:rFonts w:eastAsia="Times New Roman"/>
                <w:sz w:val="20"/>
                <w:szCs w:val="20"/>
              </w:rPr>
            </w:pPr>
          </w:p>
        </w:tc>
        <w:tc>
          <w:tcPr>
            <w:tcW w:w="0" w:type="auto"/>
            <w:vAlign w:val="center"/>
            <w:hideMark/>
          </w:tcPr>
          <w:p w14:paraId="3CF0ACAD" w14:textId="77777777" w:rsidR="00000000" w:rsidRDefault="00A173A8">
            <w:pPr>
              <w:spacing w:after="100"/>
              <w:rPr>
                <w:rFonts w:eastAsia="Times New Roman"/>
                <w:sz w:val="20"/>
                <w:szCs w:val="20"/>
              </w:rPr>
            </w:pPr>
          </w:p>
        </w:tc>
        <w:tc>
          <w:tcPr>
            <w:tcW w:w="0" w:type="auto"/>
            <w:vAlign w:val="center"/>
            <w:hideMark/>
          </w:tcPr>
          <w:p w14:paraId="781D37E5" w14:textId="77777777" w:rsidR="00000000" w:rsidRDefault="00A173A8">
            <w:pPr>
              <w:spacing w:after="100"/>
              <w:rPr>
                <w:rFonts w:eastAsia="Times New Roman"/>
                <w:sz w:val="20"/>
                <w:szCs w:val="20"/>
              </w:rPr>
            </w:pPr>
          </w:p>
        </w:tc>
      </w:tr>
    </w:tbl>
    <w:p w14:paraId="68BE48F4" w14:textId="77777777" w:rsidR="00000000" w:rsidRDefault="00A173A8">
      <w:pPr>
        <w:divId w:val="1275987637"/>
        <w:rPr>
          <w:rFonts w:eastAsia="Times New Roman"/>
        </w:rPr>
      </w:pPr>
      <w:r>
        <w:rPr>
          <w:rFonts w:eastAsia="Times New Roman"/>
          <w:color w:val="000000"/>
          <w:sz w:val="20"/>
          <w:szCs w:val="20"/>
        </w:rPr>
        <w:t>__________</w:t>
      </w:r>
    </w:p>
    <w:p w14:paraId="6701AB94" w14:textId="77777777" w:rsidR="00000000" w:rsidRDefault="00A173A8">
      <w:pPr>
        <w:ind w:hanging="360"/>
        <w:jc w:val="both"/>
        <w:divId w:val="177107553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impact of related deferred taxes.</w:t>
      </w:r>
    </w:p>
    <w:p w14:paraId="46203F08" w14:textId="77777777" w:rsidR="00000000" w:rsidRDefault="00A173A8">
      <w:pPr>
        <w:ind w:hanging="360"/>
        <w:jc w:val="both"/>
        <w:divId w:val="22002497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TCE ratio is a non-GAAP measure calculated based on TCE divided by tangible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5706D32" w14:textId="77777777">
        <w:trPr>
          <w:divId w:val="1136335458"/>
          <w:jc w:val="center"/>
        </w:trPr>
        <w:tc>
          <w:tcPr>
            <w:tcW w:w="50" w:type="pct"/>
            <w:vAlign w:val="center"/>
            <w:hideMark/>
          </w:tcPr>
          <w:p w14:paraId="5E1EEFD2" w14:textId="77777777" w:rsidR="00000000" w:rsidRDefault="00A173A8">
            <w:pPr>
              <w:ind w:hanging="360"/>
              <w:jc w:val="both"/>
              <w:rPr>
                <w:rFonts w:eastAsia="Times New Roman"/>
              </w:rPr>
            </w:pPr>
          </w:p>
        </w:tc>
        <w:tc>
          <w:tcPr>
            <w:tcW w:w="1606" w:type="pct"/>
            <w:vAlign w:val="center"/>
            <w:hideMark/>
          </w:tcPr>
          <w:p w14:paraId="63E323ED" w14:textId="77777777" w:rsidR="00000000" w:rsidRDefault="00A173A8">
            <w:pPr>
              <w:spacing w:after="100"/>
              <w:rPr>
                <w:rFonts w:eastAsia="Times New Roman"/>
                <w:sz w:val="20"/>
                <w:szCs w:val="20"/>
              </w:rPr>
            </w:pPr>
          </w:p>
        </w:tc>
        <w:tc>
          <w:tcPr>
            <w:tcW w:w="5" w:type="pct"/>
            <w:vAlign w:val="center"/>
            <w:hideMark/>
          </w:tcPr>
          <w:p w14:paraId="1BE636BB" w14:textId="77777777" w:rsidR="00000000" w:rsidRDefault="00A173A8">
            <w:pPr>
              <w:spacing w:after="100"/>
              <w:rPr>
                <w:rFonts w:eastAsia="Times New Roman"/>
                <w:sz w:val="20"/>
                <w:szCs w:val="20"/>
              </w:rPr>
            </w:pPr>
          </w:p>
        </w:tc>
        <w:tc>
          <w:tcPr>
            <w:tcW w:w="50" w:type="pct"/>
            <w:vAlign w:val="center"/>
            <w:hideMark/>
          </w:tcPr>
          <w:p w14:paraId="69CE7288" w14:textId="77777777" w:rsidR="00000000" w:rsidRDefault="00A173A8">
            <w:pPr>
              <w:spacing w:after="100"/>
              <w:rPr>
                <w:rFonts w:eastAsia="Times New Roman"/>
                <w:sz w:val="20"/>
                <w:szCs w:val="20"/>
              </w:rPr>
            </w:pPr>
          </w:p>
        </w:tc>
        <w:tc>
          <w:tcPr>
            <w:tcW w:w="1614" w:type="pct"/>
            <w:vAlign w:val="center"/>
            <w:hideMark/>
          </w:tcPr>
          <w:p w14:paraId="300CBA00" w14:textId="77777777" w:rsidR="00000000" w:rsidRDefault="00A173A8">
            <w:pPr>
              <w:spacing w:after="100"/>
              <w:rPr>
                <w:rFonts w:eastAsia="Times New Roman"/>
                <w:sz w:val="20"/>
                <w:szCs w:val="20"/>
              </w:rPr>
            </w:pPr>
          </w:p>
        </w:tc>
        <w:tc>
          <w:tcPr>
            <w:tcW w:w="5" w:type="pct"/>
            <w:vAlign w:val="center"/>
            <w:hideMark/>
          </w:tcPr>
          <w:p w14:paraId="73486FBC" w14:textId="77777777" w:rsidR="00000000" w:rsidRDefault="00A173A8">
            <w:pPr>
              <w:spacing w:after="100"/>
              <w:rPr>
                <w:rFonts w:eastAsia="Times New Roman"/>
                <w:sz w:val="20"/>
                <w:szCs w:val="20"/>
              </w:rPr>
            </w:pPr>
          </w:p>
        </w:tc>
        <w:tc>
          <w:tcPr>
            <w:tcW w:w="50" w:type="pct"/>
            <w:vAlign w:val="center"/>
            <w:hideMark/>
          </w:tcPr>
          <w:p w14:paraId="3CF3620E" w14:textId="77777777" w:rsidR="00000000" w:rsidRDefault="00A173A8">
            <w:pPr>
              <w:spacing w:after="100"/>
              <w:rPr>
                <w:rFonts w:eastAsia="Times New Roman"/>
                <w:sz w:val="20"/>
                <w:szCs w:val="20"/>
              </w:rPr>
            </w:pPr>
          </w:p>
        </w:tc>
        <w:tc>
          <w:tcPr>
            <w:tcW w:w="1614" w:type="pct"/>
            <w:vAlign w:val="center"/>
            <w:hideMark/>
          </w:tcPr>
          <w:p w14:paraId="60057625" w14:textId="77777777" w:rsidR="00000000" w:rsidRDefault="00A173A8">
            <w:pPr>
              <w:spacing w:after="100"/>
              <w:rPr>
                <w:rFonts w:eastAsia="Times New Roman"/>
                <w:sz w:val="20"/>
                <w:szCs w:val="20"/>
              </w:rPr>
            </w:pPr>
          </w:p>
        </w:tc>
        <w:tc>
          <w:tcPr>
            <w:tcW w:w="5" w:type="pct"/>
            <w:vAlign w:val="center"/>
            <w:hideMark/>
          </w:tcPr>
          <w:p w14:paraId="4C925916" w14:textId="77777777" w:rsidR="00000000" w:rsidRDefault="00A173A8">
            <w:pPr>
              <w:spacing w:after="100"/>
              <w:rPr>
                <w:rFonts w:eastAsia="Times New Roman"/>
                <w:sz w:val="20"/>
                <w:szCs w:val="20"/>
              </w:rPr>
            </w:pPr>
          </w:p>
        </w:tc>
      </w:tr>
      <w:tr w:rsidR="00000000" w14:paraId="2DAFF703" w14:textId="77777777">
        <w:trPr>
          <w:divId w:val="1136335458"/>
          <w:trHeight w:val="300"/>
          <w:jc w:val="center"/>
        </w:trPr>
        <w:tc>
          <w:tcPr>
            <w:tcW w:w="0" w:type="auto"/>
            <w:gridSpan w:val="9"/>
            <w:tcMar>
              <w:top w:w="0" w:type="dxa"/>
              <w:left w:w="20" w:type="dxa"/>
              <w:bottom w:w="0" w:type="dxa"/>
              <w:right w:w="20" w:type="dxa"/>
            </w:tcMar>
            <w:vAlign w:val="center"/>
            <w:hideMark/>
          </w:tcPr>
          <w:p w14:paraId="6519E696" w14:textId="77777777" w:rsidR="00000000" w:rsidRDefault="00A173A8">
            <w:pPr>
              <w:spacing w:after="100"/>
              <w:rPr>
                <w:rFonts w:eastAsia="Times New Roman"/>
                <w:sz w:val="20"/>
                <w:szCs w:val="20"/>
              </w:rPr>
            </w:pPr>
          </w:p>
        </w:tc>
      </w:tr>
      <w:tr w:rsidR="00000000" w14:paraId="43847AEF" w14:textId="77777777">
        <w:trPr>
          <w:divId w:val="1136335458"/>
          <w:jc w:val="center"/>
        </w:trPr>
        <w:tc>
          <w:tcPr>
            <w:tcW w:w="0" w:type="auto"/>
            <w:gridSpan w:val="3"/>
            <w:tcMar>
              <w:top w:w="0" w:type="dxa"/>
              <w:left w:w="20" w:type="dxa"/>
              <w:bottom w:w="0" w:type="dxa"/>
              <w:right w:w="20" w:type="dxa"/>
            </w:tcMar>
            <w:vAlign w:val="center"/>
            <w:hideMark/>
          </w:tcPr>
          <w:p w14:paraId="52A404DB"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95B2C6F" w14:textId="77777777" w:rsidR="00000000" w:rsidRDefault="00A173A8">
            <w:pPr>
              <w:spacing w:after="100"/>
              <w:jc w:val="center"/>
              <w:rPr>
                <w:rFonts w:eastAsia="Times New Roman"/>
              </w:rPr>
            </w:pPr>
            <w:r>
              <w:rPr>
                <w:rFonts w:eastAsia="Times New Roman"/>
                <w:color w:val="000000"/>
                <w:sz w:val="16"/>
                <w:szCs w:val="16"/>
              </w:rPr>
              <w:t>57</w:t>
            </w:r>
          </w:p>
        </w:tc>
        <w:tc>
          <w:tcPr>
            <w:tcW w:w="0" w:type="auto"/>
            <w:gridSpan w:val="3"/>
            <w:tcMar>
              <w:top w:w="30" w:type="dxa"/>
              <w:left w:w="20" w:type="dxa"/>
              <w:bottom w:w="30" w:type="dxa"/>
              <w:right w:w="20" w:type="dxa"/>
            </w:tcMar>
            <w:vAlign w:val="bottom"/>
            <w:hideMark/>
          </w:tcPr>
          <w:p w14:paraId="39C4873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C6D0BE0" w14:textId="77777777" w:rsidR="00000000" w:rsidRDefault="00A173A8">
      <w:pPr>
        <w:rPr>
          <w:rFonts w:eastAsia="Times New Roman"/>
        </w:rPr>
      </w:pPr>
      <w:r>
        <w:rPr>
          <w:rFonts w:eastAsia="Times New Roman"/>
        </w:rPr>
        <w:pict w14:anchorId="2B55C801">
          <v:rect id="_x0000_i1082" style="width:0;height:1.5pt" o:hralign="center" o:hrstd="t" o:hr="t" fillcolor="#a0a0a0" stroked="f"/>
        </w:pict>
      </w:r>
    </w:p>
    <w:p w14:paraId="0E6D5D2E" w14:textId="77777777" w:rsidR="00000000" w:rsidRDefault="00A173A8">
      <w:pPr>
        <w:ind w:hanging="360"/>
        <w:jc w:val="both"/>
        <w:divId w:val="879786486"/>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671C464" w14:textId="77777777">
        <w:trPr>
          <w:divId w:val="155268853"/>
        </w:trPr>
        <w:tc>
          <w:tcPr>
            <w:tcW w:w="50" w:type="pct"/>
            <w:vAlign w:val="center"/>
            <w:hideMark/>
          </w:tcPr>
          <w:p w14:paraId="149C6828" w14:textId="77777777" w:rsidR="00000000" w:rsidRDefault="00A173A8">
            <w:pPr>
              <w:ind w:hanging="360"/>
              <w:jc w:val="both"/>
              <w:rPr>
                <w:rFonts w:eastAsia="Times New Roman"/>
              </w:rPr>
            </w:pPr>
          </w:p>
        </w:tc>
        <w:tc>
          <w:tcPr>
            <w:tcW w:w="4945" w:type="pct"/>
            <w:vAlign w:val="center"/>
            <w:hideMark/>
          </w:tcPr>
          <w:p w14:paraId="4F549415" w14:textId="77777777" w:rsidR="00000000" w:rsidRDefault="00A173A8">
            <w:pPr>
              <w:spacing w:after="100"/>
              <w:rPr>
                <w:rFonts w:eastAsia="Times New Roman"/>
                <w:sz w:val="20"/>
                <w:szCs w:val="20"/>
              </w:rPr>
            </w:pPr>
          </w:p>
        </w:tc>
        <w:tc>
          <w:tcPr>
            <w:tcW w:w="5" w:type="pct"/>
            <w:vAlign w:val="center"/>
            <w:hideMark/>
          </w:tcPr>
          <w:p w14:paraId="7AC1C364" w14:textId="77777777" w:rsidR="00000000" w:rsidRDefault="00A173A8">
            <w:pPr>
              <w:spacing w:after="100"/>
              <w:rPr>
                <w:rFonts w:eastAsia="Times New Roman"/>
                <w:sz w:val="20"/>
                <w:szCs w:val="20"/>
              </w:rPr>
            </w:pPr>
          </w:p>
        </w:tc>
      </w:tr>
      <w:tr w:rsidR="00000000" w14:paraId="554A5CB0" w14:textId="77777777">
        <w:trPr>
          <w:divId w:val="15526885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5883448" w14:textId="77777777" w:rsidR="00000000" w:rsidRDefault="00A173A8">
            <w:pPr>
              <w:spacing w:after="100"/>
              <w:rPr>
                <w:rFonts w:eastAsia="Times New Roman"/>
              </w:rPr>
            </w:pPr>
            <w:r>
              <w:rPr>
                <w:rFonts w:eastAsia="Times New Roman"/>
                <w:b/>
                <w:bCs/>
                <w:color w:val="000000"/>
                <w:sz w:val="20"/>
                <w:szCs w:val="20"/>
              </w:rPr>
              <w:t>Glossary and Acronyms</w:t>
            </w:r>
          </w:p>
        </w:tc>
      </w:tr>
    </w:tbl>
    <w:p w14:paraId="20D29E10" w14:textId="77777777" w:rsidR="00000000" w:rsidRDefault="00A173A8">
      <w:pPr>
        <w:jc w:val="both"/>
        <w:divId w:val="2102526700"/>
        <w:rPr>
          <w:rFonts w:eastAsia="Times New Roman"/>
        </w:rPr>
      </w:pPr>
      <w:r>
        <w:rPr>
          <w:rFonts w:eastAsia="Times New Roman"/>
          <w:b/>
          <w:bCs/>
          <w:color w:val="000000"/>
          <w:sz w:val="20"/>
          <w:szCs w:val="20"/>
        </w:rPr>
        <w:t>Alternative Reference Rates Committee:</w:t>
      </w:r>
      <w:r>
        <w:rPr>
          <w:rFonts w:eastAsia="Times New Roman"/>
          <w:color w:val="000000"/>
          <w:sz w:val="20"/>
          <w:szCs w:val="20"/>
        </w:rPr>
        <w:t xml:space="preserve"> </w:t>
      </w:r>
      <w:r>
        <w:rPr>
          <w:rFonts w:eastAsia="Times New Roman"/>
          <w:color w:val="000000"/>
          <w:sz w:val="20"/>
          <w:szCs w:val="20"/>
        </w:rPr>
        <w:t>A group of private-market participants convened by the Federal Reserve Board and the Federal Reserve Bank of New York that has recommended SOFR as the preferred alternative to replace U.S. dollar (USD) LIBOR referenced instruments.</w:t>
      </w:r>
    </w:p>
    <w:p w14:paraId="4B068249" w14:textId="77777777" w:rsidR="00000000" w:rsidRDefault="00A173A8">
      <w:pPr>
        <w:jc w:val="both"/>
        <w:divId w:val="727924926"/>
        <w:rPr>
          <w:rFonts w:eastAsia="Times New Roman"/>
        </w:rPr>
      </w:pPr>
      <w:r>
        <w:rPr>
          <w:rFonts w:eastAsia="Times New Roman"/>
          <w:b/>
          <w:bCs/>
          <w:color w:val="000000"/>
          <w:sz w:val="20"/>
          <w:szCs w:val="20"/>
        </w:rPr>
        <w:t>Amortized cost:</w:t>
      </w:r>
      <w:r>
        <w:rPr>
          <w:rFonts w:eastAsia="Times New Roman"/>
          <w:color w:val="000000"/>
          <w:sz w:val="20"/>
          <w:szCs w:val="20"/>
        </w:rPr>
        <w:t xml:space="preserve"> The amou</w:t>
      </w:r>
      <w:r>
        <w:rPr>
          <w:rFonts w:eastAsia="Times New Roman"/>
          <w:color w:val="000000"/>
          <w:sz w:val="20"/>
          <w:szCs w:val="20"/>
        </w:rPr>
        <w:t>nt at which a financing receivable or investment is originated or acquired, adjusted for applicable accrued interest, accretion, or amortization of premium, discount, and net deferred fees or costs, collection of cash, write-offs, foreign exchange and fair</w:t>
      </w:r>
      <w:r>
        <w:rPr>
          <w:rFonts w:eastAsia="Times New Roman"/>
          <w:color w:val="000000"/>
          <w:sz w:val="20"/>
          <w:szCs w:val="20"/>
        </w:rPr>
        <w:t xml:space="preserve"> value hedge accounting adjustments.</w:t>
      </w:r>
    </w:p>
    <w:p w14:paraId="53C10661" w14:textId="77777777" w:rsidR="00000000" w:rsidRDefault="00A173A8">
      <w:pPr>
        <w:jc w:val="both"/>
        <w:divId w:val="1703749091"/>
        <w:rPr>
          <w:rFonts w:eastAsia="Times New Roman"/>
        </w:rPr>
      </w:pPr>
      <w:r>
        <w:rPr>
          <w:rFonts w:eastAsia="Times New Roman"/>
          <w:b/>
          <w:bCs/>
          <w:color w:val="000000"/>
          <w:sz w:val="20"/>
          <w:szCs w:val="20"/>
        </w:rPr>
        <w:t xml:space="preserve">Annual Report: </w:t>
      </w:r>
      <w:r>
        <w:rPr>
          <w:rFonts w:eastAsia="Times New Roman"/>
          <w:color w:val="000000"/>
          <w:sz w:val="20"/>
          <w:szCs w:val="20"/>
        </w:rPr>
        <w:t xml:space="preserve">References to our “2021 Form 10-K” or “2021 Annual Report” are to our Annual Report on Form 10-K for the fiscal year ended December 31, 2021. </w:t>
      </w:r>
    </w:p>
    <w:p w14:paraId="2F1EAB9A" w14:textId="77777777" w:rsidR="00000000" w:rsidRDefault="00A173A8">
      <w:pPr>
        <w:jc w:val="both"/>
        <w:divId w:val="1998339621"/>
        <w:rPr>
          <w:rFonts w:eastAsia="Times New Roman"/>
        </w:rPr>
      </w:pPr>
      <w:r>
        <w:rPr>
          <w:rFonts w:eastAsia="Times New Roman"/>
          <w:b/>
          <w:bCs/>
          <w:color w:val="000000"/>
          <w:sz w:val="20"/>
          <w:szCs w:val="20"/>
        </w:rPr>
        <w:t xml:space="preserve">Banks: </w:t>
      </w:r>
      <w:r>
        <w:rPr>
          <w:rFonts w:eastAsia="Times New Roman"/>
          <w:color w:val="000000"/>
          <w:sz w:val="20"/>
          <w:szCs w:val="20"/>
        </w:rPr>
        <w:t>Refers to COBNA and CONA.</w:t>
      </w:r>
    </w:p>
    <w:p w14:paraId="46AA1028" w14:textId="77777777" w:rsidR="00000000" w:rsidRDefault="00A173A8">
      <w:pPr>
        <w:jc w:val="both"/>
        <w:divId w:val="865753259"/>
        <w:rPr>
          <w:rFonts w:eastAsia="Times New Roman"/>
        </w:rPr>
      </w:pPr>
      <w:r>
        <w:rPr>
          <w:rFonts w:eastAsia="Times New Roman"/>
          <w:b/>
          <w:bCs/>
          <w:color w:val="000000"/>
          <w:sz w:val="20"/>
          <w:szCs w:val="20"/>
        </w:rPr>
        <w:t>Basel Committee:</w:t>
      </w:r>
      <w:r>
        <w:rPr>
          <w:rFonts w:eastAsia="Times New Roman"/>
          <w:color w:val="000000"/>
          <w:sz w:val="20"/>
          <w:szCs w:val="20"/>
        </w:rPr>
        <w:t xml:space="preserve"> The Basel C</w:t>
      </w:r>
      <w:r>
        <w:rPr>
          <w:rFonts w:eastAsia="Times New Roman"/>
          <w:color w:val="000000"/>
          <w:sz w:val="20"/>
          <w:szCs w:val="20"/>
        </w:rPr>
        <w:t>ommittee on Banking Supervision.</w:t>
      </w:r>
    </w:p>
    <w:p w14:paraId="053AA6E0" w14:textId="77777777" w:rsidR="00000000" w:rsidRDefault="00A173A8">
      <w:pPr>
        <w:jc w:val="both"/>
        <w:divId w:val="1174763291"/>
        <w:rPr>
          <w:rFonts w:eastAsia="Times New Roman"/>
        </w:rPr>
      </w:pPr>
      <w:r>
        <w:rPr>
          <w:rFonts w:eastAsia="Times New Roman"/>
          <w:b/>
          <w:bCs/>
          <w:color w:val="000000"/>
          <w:sz w:val="20"/>
          <w:szCs w:val="20"/>
        </w:rPr>
        <w:t xml:space="preserve">Basel III Advanced Approaches: </w:t>
      </w:r>
      <w:r>
        <w:rPr>
          <w:rFonts w:eastAsia="Times New Roman"/>
          <w:color w:val="000000"/>
          <w:sz w:val="20"/>
          <w:szCs w:val="20"/>
        </w:rPr>
        <w:t>The Basel III Advanced Approaches is mandatory for Category I and II institutions. Category III institutions, such as us, are no longer subject to the Basel III Advanced Approaches framework e</w:t>
      </w:r>
      <w:r>
        <w:rPr>
          <w:rFonts w:eastAsia="Times New Roman"/>
          <w:color w:val="000000"/>
          <w:sz w:val="20"/>
          <w:szCs w:val="20"/>
        </w:rPr>
        <w:t>ffective January 1, 2020.</w:t>
      </w:r>
    </w:p>
    <w:p w14:paraId="362098C5" w14:textId="77777777" w:rsidR="00000000" w:rsidRDefault="00A173A8">
      <w:pPr>
        <w:jc w:val="both"/>
        <w:divId w:val="1709448017"/>
        <w:rPr>
          <w:rFonts w:eastAsia="Times New Roman"/>
        </w:rPr>
      </w:pPr>
      <w:r>
        <w:rPr>
          <w:rFonts w:eastAsia="Times New Roman"/>
          <w:b/>
          <w:bCs/>
          <w:color w:val="000000"/>
          <w:sz w:val="20"/>
          <w:szCs w:val="20"/>
        </w:rPr>
        <w:t>Basel III Capital Rules:</w:t>
      </w:r>
      <w:r>
        <w:rPr>
          <w:rFonts w:eastAsia="Times New Roman"/>
          <w:color w:val="000000"/>
          <w:sz w:val="20"/>
          <w:szCs w:val="20"/>
        </w:rPr>
        <w:t xml:space="preserve"> The regulatory capital requirements established by the Federal Banking Agencies in July 2013 to implement the Basel III capital framework developed by the Basel Committee as well as certain Dodd-Frank Act </w:t>
      </w:r>
      <w:r>
        <w:rPr>
          <w:rFonts w:eastAsia="Times New Roman"/>
          <w:color w:val="000000"/>
          <w:sz w:val="20"/>
          <w:szCs w:val="20"/>
        </w:rPr>
        <w:t>and other capital provisions.</w:t>
      </w:r>
    </w:p>
    <w:p w14:paraId="1B919CA7" w14:textId="77777777" w:rsidR="00000000" w:rsidRDefault="00A173A8">
      <w:pPr>
        <w:jc w:val="both"/>
        <w:divId w:val="223950155"/>
        <w:rPr>
          <w:rFonts w:eastAsia="Times New Roman"/>
        </w:rPr>
      </w:pPr>
      <w:r>
        <w:rPr>
          <w:rFonts w:eastAsia="Times New Roman"/>
          <w:b/>
          <w:bCs/>
          <w:color w:val="000000"/>
          <w:sz w:val="20"/>
          <w:szCs w:val="20"/>
        </w:rPr>
        <w:t xml:space="preserve">Basel III Standardized Approach: </w:t>
      </w:r>
      <w:r>
        <w:rPr>
          <w:rFonts w:eastAsia="Times New Roman"/>
          <w:color w:val="000000"/>
          <w:sz w:val="20"/>
          <w:szCs w:val="20"/>
        </w:rPr>
        <w:t>The Basel III Capital Rules modified Basel I to create the Basel III Standardized Approach.</w:t>
      </w:r>
    </w:p>
    <w:p w14:paraId="3C337967" w14:textId="77777777" w:rsidR="00000000" w:rsidRDefault="00A173A8">
      <w:pPr>
        <w:jc w:val="both"/>
        <w:divId w:val="73626212"/>
        <w:rPr>
          <w:rFonts w:eastAsia="Times New Roman"/>
        </w:rPr>
      </w:pPr>
      <w:r>
        <w:rPr>
          <w:rFonts w:eastAsia="Times New Roman"/>
          <w:b/>
          <w:bCs/>
          <w:color w:val="000000"/>
          <w:sz w:val="20"/>
          <w:szCs w:val="20"/>
        </w:rPr>
        <w:t xml:space="preserve">Capital One </w:t>
      </w:r>
      <w:r>
        <w:rPr>
          <w:rFonts w:eastAsia="Times New Roman"/>
          <w:color w:val="000000"/>
          <w:sz w:val="20"/>
          <w:szCs w:val="20"/>
        </w:rPr>
        <w:t xml:space="preserve">or the </w:t>
      </w:r>
      <w:r>
        <w:rPr>
          <w:rFonts w:eastAsia="Times New Roman"/>
          <w:b/>
          <w:bCs/>
          <w:color w:val="000000"/>
          <w:sz w:val="20"/>
          <w:szCs w:val="20"/>
        </w:rPr>
        <w:t>Company:</w:t>
      </w:r>
      <w:r>
        <w:rPr>
          <w:rFonts w:eastAsia="Times New Roman"/>
          <w:color w:val="000000"/>
          <w:sz w:val="20"/>
          <w:szCs w:val="20"/>
        </w:rPr>
        <w:t xml:space="preserve"> Capital One Financial Corporation and its subsidiaries.</w:t>
      </w:r>
    </w:p>
    <w:p w14:paraId="1DC529E1" w14:textId="77777777" w:rsidR="00000000" w:rsidRDefault="00A173A8">
      <w:pPr>
        <w:jc w:val="both"/>
        <w:divId w:val="273482685"/>
        <w:rPr>
          <w:rFonts w:eastAsia="Times New Roman"/>
        </w:rPr>
      </w:pPr>
      <w:r>
        <w:rPr>
          <w:rFonts w:eastAsia="Times New Roman"/>
          <w:b/>
          <w:bCs/>
          <w:color w:val="000000"/>
          <w:sz w:val="20"/>
          <w:szCs w:val="20"/>
        </w:rPr>
        <w:t>The Coronavirus A</w:t>
      </w:r>
      <w:r>
        <w:rPr>
          <w:rFonts w:eastAsia="Times New Roman"/>
          <w:b/>
          <w:bCs/>
          <w:color w:val="000000"/>
          <w:sz w:val="20"/>
          <w:szCs w:val="20"/>
        </w:rPr>
        <w:t>id, Relief, and Economic Security Act (“CARES Act”):</w:t>
      </w:r>
      <w:r>
        <w:rPr>
          <w:rFonts w:eastAsia="Times New Roman"/>
          <w:color w:val="000000"/>
          <w:sz w:val="20"/>
          <w:szCs w:val="20"/>
        </w:rPr>
        <w:t xml:space="preserve"> Legislation signed into law on March 27, 2020, which expired on January 1, 2022. This law, while in effect, among other things, authorized a number of lending programs to support the flow of credit to co</w:t>
      </w:r>
      <w:r>
        <w:rPr>
          <w:rFonts w:eastAsia="Times New Roman"/>
          <w:color w:val="000000"/>
          <w:sz w:val="20"/>
          <w:szCs w:val="20"/>
        </w:rPr>
        <w:t>nsumers and businesses and gave the banking organizations an option to temporarily suspend the determination of certain qualified loans modified as a result of COVID-19 as being TDR, which was extended by the Consolidated Appropriations Act 2021.</w:t>
      </w:r>
    </w:p>
    <w:p w14:paraId="2FE45ED4" w14:textId="77777777" w:rsidR="00000000" w:rsidRDefault="00A173A8">
      <w:pPr>
        <w:jc w:val="both"/>
        <w:divId w:val="1919945605"/>
        <w:rPr>
          <w:rFonts w:eastAsia="Times New Roman"/>
        </w:rPr>
      </w:pPr>
      <w:r>
        <w:rPr>
          <w:rFonts w:eastAsia="Times New Roman"/>
          <w:b/>
          <w:bCs/>
          <w:color w:val="000000"/>
          <w:sz w:val="20"/>
          <w:szCs w:val="20"/>
        </w:rPr>
        <w:t xml:space="preserve">Carrying </w:t>
      </w:r>
      <w:r>
        <w:rPr>
          <w:rFonts w:eastAsia="Times New Roman"/>
          <w:b/>
          <w:bCs/>
          <w:color w:val="000000"/>
          <w:sz w:val="20"/>
          <w:szCs w:val="20"/>
        </w:rPr>
        <w:t>value (with respect to loans</w:t>
      </w:r>
      <w:r>
        <w:rPr>
          <w:rFonts w:eastAsia="Times New Roman"/>
          <w:color w:val="000000"/>
          <w:sz w:val="20"/>
          <w:szCs w:val="20"/>
        </w:rPr>
        <w:t>)</w:t>
      </w:r>
      <w:r>
        <w:rPr>
          <w:rFonts w:eastAsia="Times New Roman"/>
          <w:b/>
          <w:bCs/>
          <w:color w:val="000000"/>
          <w:sz w:val="20"/>
          <w:szCs w:val="20"/>
        </w:rPr>
        <w:t>:</w:t>
      </w:r>
      <w:r>
        <w:rPr>
          <w:rFonts w:eastAsia="Times New Roman"/>
          <w:color w:val="000000"/>
          <w:sz w:val="20"/>
          <w:szCs w:val="20"/>
        </w:rPr>
        <w:t xml:space="preserve"> The amount at which a loan is recorded on the consolidated balance sheets. For loans recorded at amortized cost, carrying value is the unpaid principal balance net of unamortized deferred loan origination fees and costs, and </w:t>
      </w:r>
      <w:r>
        <w:rPr>
          <w:rFonts w:eastAsia="Times New Roman"/>
          <w:color w:val="000000"/>
          <w:sz w:val="20"/>
          <w:szCs w:val="20"/>
        </w:rPr>
        <w:t xml:space="preserve">unamortized purchase premium or discount. For loans that are or have been on nonaccrual status, the carrying value is also reduced by any net charge-offs that have been recorded and the amount of interest payments applied as a reduction of principal under </w:t>
      </w:r>
      <w:r>
        <w:rPr>
          <w:rFonts w:eastAsia="Times New Roman"/>
          <w:color w:val="000000"/>
          <w:sz w:val="20"/>
          <w:szCs w:val="20"/>
        </w:rPr>
        <w:t>the cost recovery method. For credit card loans, the carrying value also includes interest that has been billed to the customer, net of any related reserves. Loans held for sale are recorded at either fair value (if we elect the fair value option) or at th</w:t>
      </w:r>
      <w:r>
        <w:rPr>
          <w:rFonts w:eastAsia="Times New Roman"/>
          <w:color w:val="000000"/>
          <w:sz w:val="20"/>
          <w:szCs w:val="20"/>
        </w:rPr>
        <w:t>e lower of cost or fair value.</w:t>
      </w:r>
    </w:p>
    <w:p w14:paraId="6716A66F" w14:textId="77777777" w:rsidR="00000000" w:rsidRDefault="00A173A8">
      <w:pPr>
        <w:jc w:val="both"/>
        <w:divId w:val="2071806684"/>
        <w:rPr>
          <w:rFonts w:eastAsia="Times New Roman"/>
        </w:rPr>
      </w:pPr>
      <w:r>
        <w:rPr>
          <w:rFonts w:eastAsia="Times New Roman"/>
          <w:b/>
          <w:bCs/>
          <w:color w:val="000000"/>
          <w:sz w:val="20"/>
          <w:szCs w:val="20"/>
        </w:rPr>
        <w:t>CECL:</w:t>
      </w:r>
      <w:r>
        <w:rPr>
          <w:rFonts w:eastAsia="Times New Roman"/>
          <w:color w:val="000000"/>
          <w:sz w:val="20"/>
          <w:szCs w:val="20"/>
        </w:rPr>
        <w:t xml:space="preserve"> In June 2016, the Financial Accounting Standards Board (“FASB”) issued Accounting Standards Update (“ASU”) No. 2016-13, Financial Instruments—Credit Losses (Topic 326): </w:t>
      </w:r>
      <w:r>
        <w:rPr>
          <w:rFonts w:eastAsia="Times New Roman"/>
          <w:i/>
          <w:iCs/>
          <w:color w:val="000000"/>
          <w:sz w:val="20"/>
          <w:szCs w:val="20"/>
        </w:rPr>
        <w:t>Measurement of Credit Losses on Financial Instrume</w:t>
      </w:r>
      <w:r>
        <w:rPr>
          <w:rFonts w:eastAsia="Times New Roman"/>
          <w:i/>
          <w:iCs/>
          <w:color w:val="000000"/>
          <w:sz w:val="20"/>
          <w:szCs w:val="20"/>
        </w:rPr>
        <w:t>nts</w:t>
      </w:r>
      <w:r>
        <w:rPr>
          <w:rFonts w:eastAsia="Times New Roman"/>
          <w:color w:val="000000"/>
          <w:sz w:val="20"/>
          <w:szCs w:val="20"/>
        </w:rPr>
        <w:t>. This ASU requires an impairment model (known as the current expected credit loss (“CECL”) model) that is based on expected rather than incurred losses, with an anticipated result of more timely loss recognition. This guidance was effective for us on J</w:t>
      </w:r>
      <w:r>
        <w:rPr>
          <w:rFonts w:eastAsia="Times New Roman"/>
          <w:color w:val="000000"/>
          <w:sz w:val="20"/>
          <w:szCs w:val="20"/>
        </w:rPr>
        <w:t xml:space="preserve">anuary 1, 2020. </w:t>
      </w:r>
    </w:p>
    <w:p w14:paraId="6AFBCBBC" w14:textId="77777777" w:rsidR="00000000" w:rsidRDefault="00A173A8">
      <w:pPr>
        <w:jc w:val="both"/>
        <w:rPr>
          <w:rFonts w:eastAsia="Times New Roman"/>
        </w:rPr>
      </w:pPr>
      <w:r>
        <w:rPr>
          <w:rFonts w:eastAsia="Times New Roman"/>
          <w:b/>
          <w:bCs/>
          <w:color w:val="000000"/>
          <w:sz w:val="20"/>
          <w:szCs w:val="20"/>
        </w:rPr>
        <w:t>CECL Transition Rule:</w:t>
      </w:r>
      <w:r>
        <w:rPr>
          <w:rFonts w:eastAsia="Times New Roman"/>
          <w:b/>
          <w:bCs/>
          <w:color w:val="000000"/>
        </w:rPr>
        <w:t xml:space="preserve"> </w:t>
      </w:r>
      <w:r>
        <w:rPr>
          <w:rFonts w:eastAsia="Times New Roman"/>
          <w:color w:val="000000"/>
          <w:sz w:val="20"/>
          <w:szCs w:val="20"/>
        </w:rPr>
        <w:t xml:space="preserve">A rule adopted by the Federal Banking Agencies and effective in 2020 that provides banking institutions an optional five-year transition period to phase in the impact of the CECL standard on their regulatory capital. </w:t>
      </w:r>
    </w:p>
    <w:p w14:paraId="58C3DC36" w14:textId="77777777" w:rsidR="00000000" w:rsidRDefault="00A173A8">
      <w:pPr>
        <w:jc w:val="both"/>
        <w:divId w:val="29115136"/>
        <w:rPr>
          <w:rFonts w:eastAsia="Times New Roman"/>
        </w:rPr>
      </w:pPr>
      <w:r>
        <w:rPr>
          <w:rFonts w:eastAsia="Times New Roman"/>
          <w:b/>
          <w:bCs/>
          <w:color w:val="000000"/>
          <w:sz w:val="20"/>
          <w:szCs w:val="20"/>
        </w:rPr>
        <w:t>COBNA:</w:t>
      </w:r>
      <w:r>
        <w:rPr>
          <w:rFonts w:eastAsia="Times New Roman"/>
          <w:color w:val="000000"/>
          <w:sz w:val="20"/>
          <w:szCs w:val="20"/>
        </w:rPr>
        <w:t xml:space="preserve"> </w:t>
      </w:r>
      <w:r>
        <w:rPr>
          <w:rFonts w:eastAsia="Times New Roman"/>
          <w:color w:val="000000"/>
          <w:sz w:val="20"/>
          <w:szCs w:val="20"/>
        </w:rPr>
        <w:t>Capital One Bank (USA), National Association, one of our fully owned subsidiaries, which offers credit card products along with other lending products and consumer services.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B3B253A" w14:textId="77777777">
        <w:trPr>
          <w:divId w:val="2107461437"/>
          <w:jc w:val="center"/>
        </w:trPr>
        <w:tc>
          <w:tcPr>
            <w:tcW w:w="50" w:type="pct"/>
            <w:vAlign w:val="center"/>
            <w:hideMark/>
          </w:tcPr>
          <w:p w14:paraId="6CE3F9A0" w14:textId="77777777" w:rsidR="00000000" w:rsidRDefault="00A173A8">
            <w:pPr>
              <w:jc w:val="both"/>
              <w:rPr>
                <w:rFonts w:eastAsia="Times New Roman"/>
              </w:rPr>
            </w:pPr>
          </w:p>
        </w:tc>
        <w:tc>
          <w:tcPr>
            <w:tcW w:w="1606" w:type="pct"/>
            <w:vAlign w:val="center"/>
            <w:hideMark/>
          </w:tcPr>
          <w:p w14:paraId="00EC728E" w14:textId="77777777" w:rsidR="00000000" w:rsidRDefault="00A173A8">
            <w:pPr>
              <w:spacing w:after="100"/>
              <w:rPr>
                <w:rFonts w:eastAsia="Times New Roman"/>
                <w:sz w:val="20"/>
                <w:szCs w:val="20"/>
              </w:rPr>
            </w:pPr>
          </w:p>
        </w:tc>
        <w:tc>
          <w:tcPr>
            <w:tcW w:w="5" w:type="pct"/>
            <w:vAlign w:val="center"/>
            <w:hideMark/>
          </w:tcPr>
          <w:p w14:paraId="09F355C8" w14:textId="77777777" w:rsidR="00000000" w:rsidRDefault="00A173A8">
            <w:pPr>
              <w:spacing w:after="100"/>
              <w:rPr>
                <w:rFonts w:eastAsia="Times New Roman"/>
                <w:sz w:val="20"/>
                <w:szCs w:val="20"/>
              </w:rPr>
            </w:pPr>
          </w:p>
        </w:tc>
        <w:tc>
          <w:tcPr>
            <w:tcW w:w="50" w:type="pct"/>
            <w:vAlign w:val="center"/>
            <w:hideMark/>
          </w:tcPr>
          <w:p w14:paraId="572E82DE" w14:textId="77777777" w:rsidR="00000000" w:rsidRDefault="00A173A8">
            <w:pPr>
              <w:spacing w:after="100"/>
              <w:rPr>
                <w:rFonts w:eastAsia="Times New Roman"/>
                <w:sz w:val="20"/>
                <w:szCs w:val="20"/>
              </w:rPr>
            </w:pPr>
          </w:p>
        </w:tc>
        <w:tc>
          <w:tcPr>
            <w:tcW w:w="1614" w:type="pct"/>
            <w:vAlign w:val="center"/>
            <w:hideMark/>
          </w:tcPr>
          <w:p w14:paraId="2E5F603E" w14:textId="77777777" w:rsidR="00000000" w:rsidRDefault="00A173A8">
            <w:pPr>
              <w:spacing w:after="100"/>
              <w:rPr>
                <w:rFonts w:eastAsia="Times New Roman"/>
                <w:sz w:val="20"/>
                <w:szCs w:val="20"/>
              </w:rPr>
            </w:pPr>
          </w:p>
        </w:tc>
        <w:tc>
          <w:tcPr>
            <w:tcW w:w="5" w:type="pct"/>
            <w:vAlign w:val="center"/>
            <w:hideMark/>
          </w:tcPr>
          <w:p w14:paraId="1BFC07BD" w14:textId="77777777" w:rsidR="00000000" w:rsidRDefault="00A173A8">
            <w:pPr>
              <w:spacing w:after="100"/>
              <w:rPr>
                <w:rFonts w:eastAsia="Times New Roman"/>
                <w:sz w:val="20"/>
                <w:szCs w:val="20"/>
              </w:rPr>
            </w:pPr>
          </w:p>
        </w:tc>
        <w:tc>
          <w:tcPr>
            <w:tcW w:w="50" w:type="pct"/>
            <w:vAlign w:val="center"/>
            <w:hideMark/>
          </w:tcPr>
          <w:p w14:paraId="2EC18FA4" w14:textId="77777777" w:rsidR="00000000" w:rsidRDefault="00A173A8">
            <w:pPr>
              <w:spacing w:after="100"/>
              <w:rPr>
                <w:rFonts w:eastAsia="Times New Roman"/>
                <w:sz w:val="20"/>
                <w:szCs w:val="20"/>
              </w:rPr>
            </w:pPr>
          </w:p>
        </w:tc>
        <w:tc>
          <w:tcPr>
            <w:tcW w:w="1614" w:type="pct"/>
            <w:vAlign w:val="center"/>
            <w:hideMark/>
          </w:tcPr>
          <w:p w14:paraId="52B03FF9" w14:textId="77777777" w:rsidR="00000000" w:rsidRDefault="00A173A8">
            <w:pPr>
              <w:spacing w:after="100"/>
              <w:rPr>
                <w:rFonts w:eastAsia="Times New Roman"/>
                <w:sz w:val="20"/>
                <w:szCs w:val="20"/>
              </w:rPr>
            </w:pPr>
          </w:p>
        </w:tc>
        <w:tc>
          <w:tcPr>
            <w:tcW w:w="5" w:type="pct"/>
            <w:vAlign w:val="center"/>
            <w:hideMark/>
          </w:tcPr>
          <w:p w14:paraId="4E93128A" w14:textId="77777777" w:rsidR="00000000" w:rsidRDefault="00A173A8">
            <w:pPr>
              <w:spacing w:after="100"/>
              <w:rPr>
                <w:rFonts w:eastAsia="Times New Roman"/>
                <w:sz w:val="20"/>
                <w:szCs w:val="20"/>
              </w:rPr>
            </w:pPr>
          </w:p>
        </w:tc>
      </w:tr>
      <w:tr w:rsidR="00000000" w14:paraId="2DF1CC5B" w14:textId="77777777">
        <w:trPr>
          <w:divId w:val="2107461437"/>
          <w:trHeight w:val="300"/>
          <w:jc w:val="center"/>
        </w:trPr>
        <w:tc>
          <w:tcPr>
            <w:tcW w:w="0" w:type="auto"/>
            <w:gridSpan w:val="9"/>
            <w:tcMar>
              <w:top w:w="0" w:type="dxa"/>
              <w:left w:w="20" w:type="dxa"/>
              <w:bottom w:w="0" w:type="dxa"/>
              <w:right w:w="20" w:type="dxa"/>
            </w:tcMar>
            <w:vAlign w:val="center"/>
            <w:hideMark/>
          </w:tcPr>
          <w:p w14:paraId="27100DE5" w14:textId="77777777" w:rsidR="00000000" w:rsidRDefault="00A173A8">
            <w:pPr>
              <w:spacing w:after="100"/>
              <w:rPr>
                <w:rFonts w:eastAsia="Times New Roman"/>
                <w:sz w:val="20"/>
                <w:szCs w:val="20"/>
              </w:rPr>
            </w:pPr>
          </w:p>
        </w:tc>
      </w:tr>
      <w:tr w:rsidR="00000000" w14:paraId="0C04D8A1" w14:textId="77777777">
        <w:trPr>
          <w:divId w:val="2107461437"/>
          <w:jc w:val="center"/>
        </w:trPr>
        <w:tc>
          <w:tcPr>
            <w:tcW w:w="0" w:type="auto"/>
            <w:gridSpan w:val="3"/>
            <w:tcMar>
              <w:top w:w="0" w:type="dxa"/>
              <w:left w:w="20" w:type="dxa"/>
              <w:bottom w:w="0" w:type="dxa"/>
              <w:right w:w="20" w:type="dxa"/>
            </w:tcMar>
            <w:vAlign w:val="center"/>
            <w:hideMark/>
          </w:tcPr>
          <w:p w14:paraId="30398172"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927C9B5" w14:textId="77777777" w:rsidR="00000000" w:rsidRDefault="00A173A8">
            <w:pPr>
              <w:spacing w:after="100"/>
              <w:jc w:val="center"/>
              <w:rPr>
                <w:rFonts w:eastAsia="Times New Roman"/>
              </w:rPr>
            </w:pPr>
            <w:r>
              <w:rPr>
                <w:rFonts w:eastAsia="Times New Roman"/>
                <w:color w:val="000000"/>
                <w:sz w:val="16"/>
                <w:szCs w:val="16"/>
              </w:rPr>
              <w:t>58</w:t>
            </w:r>
          </w:p>
        </w:tc>
        <w:tc>
          <w:tcPr>
            <w:tcW w:w="0" w:type="auto"/>
            <w:gridSpan w:val="3"/>
            <w:tcMar>
              <w:top w:w="30" w:type="dxa"/>
              <w:left w:w="20" w:type="dxa"/>
              <w:bottom w:w="30" w:type="dxa"/>
              <w:right w:w="20" w:type="dxa"/>
            </w:tcMar>
            <w:vAlign w:val="bottom"/>
            <w:hideMark/>
          </w:tcPr>
          <w:p w14:paraId="7671EFAE"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0F75A0D" w14:textId="77777777" w:rsidR="00000000" w:rsidRDefault="00A173A8">
      <w:pPr>
        <w:rPr>
          <w:rFonts w:eastAsia="Times New Roman"/>
        </w:rPr>
      </w:pPr>
      <w:r>
        <w:rPr>
          <w:rFonts w:eastAsia="Times New Roman"/>
        </w:rPr>
        <w:pict w14:anchorId="14E6A73B">
          <v:rect id="_x0000_i1083" style="width:0;height:1.5pt" o:hralign="center" o:hrstd="t" o:hr="t" fillcolor="#a0a0a0" stroked="f"/>
        </w:pict>
      </w:r>
    </w:p>
    <w:p w14:paraId="1C467C17" w14:textId="77777777" w:rsidR="00000000" w:rsidRDefault="00A173A8">
      <w:pPr>
        <w:ind w:hanging="360"/>
        <w:jc w:val="both"/>
        <w:divId w:val="1307662323"/>
        <w:rPr>
          <w:rFonts w:eastAsia="Times New Roman"/>
        </w:rPr>
      </w:pPr>
      <w:hyperlink w:anchor="i7ffd5d61af6f4722b1b1b07530d51c06_13" w:history="1">
        <w:r>
          <w:rPr>
            <w:rStyle w:val="a3"/>
            <w:rFonts w:eastAsia="Times New Roman"/>
            <w:sz w:val="16"/>
            <w:szCs w:val="16"/>
          </w:rPr>
          <w:t>Table of Contents</w:t>
        </w:r>
      </w:hyperlink>
    </w:p>
    <w:p w14:paraId="57135040" w14:textId="77777777" w:rsidR="00000000" w:rsidRDefault="00A173A8">
      <w:pPr>
        <w:jc w:val="both"/>
        <w:divId w:val="1670207032"/>
        <w:rPr>
          <w:rFonts w:eastAsia="Times New Roman"/>
        </w:rPr>
      </w:pPr>
      <w:r>
        <w:rPr>
          <w:rFonts w:eastAsia="Times New Roman"/>
          <w:b/>
          <w:bCs/>
          <w:color w:val="000000"/>
          <w:sz w:val="20"/>
          <w:szCs w:val="20"/>
        </w:rPr>
        <w:t xml:space="preserve">Common equity Tier 1 (“CET1”) capital: </w:t>
      </w:r>
      <w:r>
        <w:rPr>
          <w:rFonts w:eastAsia="Times New Roman"/>
          <w:color w:val="000000"/>
          <w:sz w:val="20"/>
          <w:szCs w:val="20"/>
        </w:rPr>
        <w:t>Calculated as the sum of common equity, related surplus and retained earnings, and accumulated other com</w:t>
      </w:r>
      <w:r>
        <w:rPr>
          <w:rFonts w:eastAsia="Times New Roman"/>
          <w:color w:val="000000"/>
          <w:sz w:val="20"/>
          <w:szCs w:val="20"/>
        </w:rPr>
        <w:t>prehensive income net of applicable phase-ins, less goodwill and other intangibles net of associated deferred tax liabilities and applicable phase-ins, less other deductions, as defined by regulators.</w:t>
      </w:r>
    </w:p>
    <w:p w14:paraId="1AFA958C" w14:textId="77777777" w:rsidR="00000000" w:rsidRDefault="00A173A8">
      <w:pPr>
        <w:jc w:val="both"/>
        <w:divId w:val="849299341"/>
        <w:rPr>
          <w:rFonts w:eastAsia="Times New Roman"/>
        </w:rPr>
      </w:pPr>
      <w:r>
        <w:rPr>
          <w:rFonts w:eastAsia="Times New Roman"/>
          <w:b/>
          <w:bCs/>
          <w:color w:val="000000"/>
          <w:sz w:val="20"/>
          <w:szCs w:val="20"/>
        </w:rPr>
        <w:t xml:space="preserve">CONA: </w:t>
      </w:r>
      <w:r>
        <w:rPr>
          <w:rFonts w:eastAsia="Times New Roman"/>
          <w:color w:val="000000"/>
          <w:sz w:val="20"/>
          <w:szCs w:val="20"/>
        </w:rPr>
        <w:t>Capital One, National Association, one of our fully owned subsidiaries, which offers a broad spectrum of banking products and financial services to consumers, small businesses and commercial clients.</w:t>
      </w:r>
    </w:p>
    <w:p w14:paraId="1A47DDB9" w14:textId="77777777" w:rsidR="00000000" w:rsidRDefault="00A173A8">
      <w:pPr>
        <w:jc w:val="both"/>
        <w:divId w:val="2144106512"/>
        <w:rPr>
          <w:rFonts w:eastAsia="Times New Roman"/>
        </w:rPr>
      </w:pPr>
      <w:r>
        <w:rPr>
          <w:rFonts w:eastAsia="Times New Roman"/>
          <w:b/>
          <w:bCs/>
          <w:color w:val="000000"/>
          <w:sz w:val="20"/>
          <w:szCs w:val="20"/>
        </w:rPr>
        <w:t>Credit risk:</w:t>
      </w:r>
      <w:r>
        <w:rPr>
          <w:rFonts w:eastAsia="Times New Roman"/>
          <w:color w:val="000000"/>
          <w:sz w:val="20"/>
          <w:szCs w:val="20"/>
        </w:rPr>
        <w:t xml:space="preserve"> The risk to current or projected financial </w:t>
      </w:r>
      <w:r>
        <w:rPr>
          <w:rFonts w:eastAsia="Times New Roman"/>
          <w:color w:val="000000"/>
          <w:sz w:val="20"/>
          <w:szCs w:val="20"/>
        </w:rPr>
        <w:t>condition and resilience arising from an obligor’s failure to meet the terms of any contract with the Company or otherwise perform as agreed.</w:t>
      </w:r>
    </w:p>
    <w:p w14:paraId="5211CF15" w14:textId="77777777" w:rsidR="00000000" w:rsidRDefault="00A173A8">
      <w:pPr>
        <w:jc w:val="both"/>
        <w:divId w:val="496073442"/>
        <w:rPr>
          <w:rFonts w:eastAsia="Times New Roman"/>
        </w:rPr>
      </w:pPr>
      <w:r>
        <w:rPr>
          <w:rFonts w:eastAsia="Times New Roman"/>
          <w:b/>
          <w:bCs/>
          <w:color w:val="000000"/>
          <w:sz w:val="20"/>
          <w:szCs w:val="20"/>
        </w:rPr>
        <w:t>Cybersecurity Incident:</w:t>
      </w:r>
      <w:r>
        <w:rPr>
          <w:rFonts w:eastAsia="Times New Roman"/>
          <w:color w:val="000000"/>
          <w:sz w:val="20"/>
          <w:szCs w:val="20"/>
        </w:rPr>
        <w:t xml:space="preserve"> The unauthorized access by an outside individual who obtained certain types of personal in</w:t>
      </w:r>
      <w:r>
        <w:rPr>
          <w:rFonts w:eastAsia="Times New Roman"/>
          <w:color w:val="000000"/>
          <w:sz w:val="20"/>
          <w:szCs w:val="20"/>
        </w:rPr>
        <w:t xml:space="preserve">formation relating to people who had applied for our credit card products and to our credit card customers that we announced on July 29, 2019. </w:t>
      </w:r>
    </w:p>
    <w:p w14:paraId="10424068" w14:textId="77777777" w:rsidR="00000000" w:rsidRDefault="00A173A8">
      <w:pPr>
        <w:jc w:val="both"/>
        <w:divId w:val="1742172636"/>
        <w:rPr>
          <w:rFonts w:eastAsia="Times New Roman"/>
        </w:rPr>
      </w:pPr>
      <w:r>
        <w:rPr>
          <w:rFonts w:eastAsia="Times New Roman"/>
          <w:b/>
          <w:bCs/>
          <w:color w:val="000000"/>
          <w:sz w:val="20"/>
          <w:szCs w:val="20"/>
        </w:rPr>
        <w:t>Derivative:</w:t>
      </w:r>
      <w:r>
        <w:rPr>
          <w:rFonts w:eastAsia="Times New Roman"/>
          <w:color w:val="000000"/>
          <w:sz w:val="20"/>
          <w:szCs w:val="20"/>
        </w:rPr>
        <w:t xml:space="preserve"> A contract or agreement whose value is derived from changes in interest rates, foreign exchange rate</w:t>
      </w:r>
      <w:r>
        <w:rPr>
          <w:rFonts w:eastAsia="Times New Roman"/>
          <w:color w:val="000000"/>
          <w:sz w:val="20"/>
          <w:szCs w:val="20"/>
        </w:rPr>
        <w:t>s, prices of securities or commodities, credit worthiness for credit default swaps or financial or commodity indices.</w:t>
      </w:r>
    </w:p>
    <w:p w14:paraId="58AD9F36" w14:textId="77777777" w:rsidR="00000000" w:rsidRDefault="00A173A8">
      <w:pPr>
        <w:jc w:val="both"/>
        <w:divId w:val="666859571"/>
        <w:rPr>
          <w:rFonts w:eastAsia="Times New Roman"/>
        </w:rPr>
      </w:pPr>
      <w:r>
        <w:rPr>
          <w:rFonts w:eastAsia="Times New Roman"/>
          <w:b/>
          <w:bCs/>
          <w:color w:val="000000"/>
          <w:sz w:val="20"/>
          <w:szCs w:val="20"/>
        </w:rPr>
        <w:t>Discontinued operations:</w:t>
      </w:r>
      <w:r>
        <w:rPr>
          <w:rFonts w:eastAsia="Times New Roman"/>
          <w:color w:val="000000"/>
          <w:sz w:val="20"/>
          <w:szCs w:val="20"/>
        </w:rPr>
        <w:t xml:space="preserve"> The operating results of a component of an entity, as defined by Accounting Standards Codification (“ASC”) 205, t</w:t>
      </w:r>
      <w:r>
        <w:rPr>
          <w:rFonts w:eastAsia="Times New Roman"/>
          <w:color w:val="000000"/>
          <w:sz w:val="20"/>
          <w:szCs w:val="20"/>
        </w:rPr>
        <w:t>hat are removed from continuing operations when that component has been disposed of or it is management’s intention to sell the component.</w:t>
      </w:r>
    </w:p>
    <w:p w14:paraId="17C1B4C2" w14:textId="77777777" w:rsidR="00000000" w:rsidRDefault="00A173A8">
      <w:pPr>
        <w:jc w:val="both"/>
        <w:divId w:val="1574585342"/>
        <w:rPr>
          <w:rFonts w:eastAsia="Times New Roman"/>
        </w:rPr>
      </w:pPr>
      <w:r>
        <w:rPr>
          <w:rFonts w:eastAsia="Times New Roman"/>
          <w:b/>
          <w:bCs/>
          <w:color w:val="000000"/>
          <w:sz w:val="20"/>
          <w:szCs w:val="20"/>
        </w:rPr>
        <w:t>Dodd-Frank Wall Street Reform and Consumer Protection Act (“Dodd-Frank Act”):</w:t>
      </w:r>
      <w:r>
        <w:rPr>
          <w:rFonts w:eastAsia="Times New Roman"/>
          <w:color w:val="000000"/>
          <w:sz w:val="20"/>
          <w:szCs w:val="20"/>
        </w:rPr>
        <w:t xml:space="preserve"> Regulatory reform legislation signed in</w:t>
      </w:r>
      <w:r>
        <w:rPr>
          <w:rFonts w:eastAsia="Times New Roman"/>
          <w:color w:val="000000"/>
          <w:sz w:val="20"/>
          <w:szCs w:val="20"/>
        </w:rPr>
        <w:t>to law on July 21, 2010. This law broadly affects the financial services industry and contains numerous provisions aimed at strengthening the sound operation of the financial services sector.</w:t>
      </w:r>
    </w:p>
    <w:p w14:paraId="7D403DA8" w14:textId="77777777" w:rsidR="00000000" w:rsidRDefault="00A173A8">
      <w:pPr>
        <w:jc w:val="both"/>
        <w:divId w:val="2132935218"/>
        <w:rPr>
          <w:rFonts w:eastAsia="Times New Roman"/>
        </w:rPr>
      </w:pPr>
      <w:r>
        <w:rPr>
          <w:rFonts w:eastAsia="Times New Roman"/>
          <w:b/>
          <w:bCs/>
          <w:color w:val="000000"/>
          <w:sz w:val="20"/>
          <w:szCs w:val="20"/>
        </w:rPr>
        <w:t xml:space="preserve">Exchange Act: </w:t>
      </w:r>
      <w:r>
        <w:rPr>
          <w:rFonts w:eastAsia="Times New Roman"/>
          <w:color w:val="000000"/>
          <w:sz w:val="20"/>
          <w:szCs w:val="20"/>
        </w:rPr>
        <w:t>The Securities Exchange Act of 1934, as amended.</w:t>
      </w:r>
    </w:p>
    <w:p w14:paraId="248A454D" w14:textId="77777777" w:rsidR="00000000" w:rsidRDefault="00A173A8">
      <w:pPr>
        <w:jc w:val="both"/>
        <w:divId w:val="1335451101"/>
        <w:rPr>
          <w:rFonts w:eastAsia="Times New Roman"/>
        </w:rPr>
      </w:pPr>
      <w:r>
        <w:rPr>
          <w:rFonts w:eastAsia="Times New Roman"/>
          <w:b/>
          <w:bCs/>
          <w:color w:val="000000"/>
          <w:sz w:val="20"/>
          <w:szCs w:val="20"/>
        </w:rPr>
        <w:t>e</w:t>
      </w:r>
      <w:r>
        <w:rPr>
          <w:rFonts w:eastAsia="Times New Roman"/>
          <w:b/>
          <w:bCs/>
          <w:color w:val="000000"/>
          <w:sz w:val="20"/>
          <w:szCs w:val="20"/>
        </w:rPr>
        <w:t>Xtensible Business Reporting Language (“XBRL”):</w:t>
      </w:r>
      <w:r>
        <w:rPr>
          <w:rFonts w:eastAsia="Times New Roman"/>
          <w:color w:val="000000"/>
          <w:sz w:val="20"/>
          <w:szCs w:val="20"/>
        </w:rPr>
        <w:t xml:space="preserve"> A language for the electronic communication of business and financial data.</w:t>
      </w:r>
    </w:p>
    <w:p w14:paraId="67916AC5" w14:textId="77777777" w:rsidR="00000000" w:rsidRDefault="00A173A8">
      <w:pPr>
        <w:jc w:val="both"/>
        <w:divId w:val="99961369"/>
        <w:rPr>
          <w:rFonts w:eastAsia="Times New Roman"/>
        </w:rPr>
      </w:pPr>
      <w:r>
        <w:rPr>
          <w:rFonts w:eastAsia="Times New Roman"/>
          <w:b/>
          <w:bCs/>
          <w:color w:val="000000"/>
          <w:sz w:val="20"/>
          <w:szCs w:val="20"/>
        </w:rPr>
        <w:t>Federal Banking Agencies:</w:t>
      </w:r>
      <w:r>
        <w:rPr>
          <w:rFonts w:eastAsia="Times New Roman"/>
          <w:color w:val="000000"/>
          <w:sz w:val="20"/>
          <w:szCs w:val="20"/>
        </w:rPr>
        <w:t xml:space="preserve"> The Federal Reserve, Office of the Comptroller of the Currency and Federal Deposit Insurance Corporation.</w:t>
      </w:r>
    </w:p>
    <w:p w14:paraId="50B9F290" w14:textId="77777777" w:rsidR="00000000" w:rsidRDefault="00A173A8">
      <w:pPr>
        <w:jc w:val="both"/>
        <w:divId w:val="998339763"/>
        <w:rPr>
          <w:rFonts w:eastAsia="Times New Roman"/>
        </w:rPr>
      </w:pPr>
      <w:r>
        <w:rPr>
          <w:rFonts w:eastAsia="Times New Roman"/>
          <w:b/>
          <w:bCs/>
          <w:color w:val="000000"/>
          <w:sz w:val="20"/>
          <w:szCs w:val="20"/>
        </w:rPr>
        <w:t>Federal Reserve:</w:t>
      </w:r>
      <w:r>
        <w:rPr>
          <w:rFonts w:eastAsia="Times New Roman"/>
          <w:color w:val="000000"/>
          <w:sz w:val="20"/>
          <w:szCs w:val="20"/>
        </w:rPr>
        <w:t xml:space="preserve"> The Board of Governors of the Federal Reserve System.</w:t>
      </w:r>
    </w:p>
    <w:p w14:paraId="089B66D7" w14:textId="77777777" w:rsidR="00000000" w:rsidRDefault="00A173A8">
      <w:pPr>
        <w:jc w:val="both"/>
        <w:divId w:val="556167801"/>
        <w:rPr>
          <w:rFonts w:eastAsia="Times New Roman"/>
        </w:rPr>
      </w:pPr>
      <w:r>
        <w:rPr>
          <w:rFonts w:eastAsia="Times New Roman"/>
          <w:b/>
          <w:bCs/>
          <w:color w:val="000000"/>
          <w:sz w:val="20"/>
          <w:szCs w:val="20"/>
        </w:rPr>
        <w:t>FICO score:</w:t>
      </w:r>
      <w:r>
        <w:rPr>
          <w:rFonts w:eastAsia="Times New Roman"/>
          <w:color w:val="000000"/>
          <w:sz w:val="20"/>
          <w:szCs w:val="20"/>
        </w:rPr>
        <w:t xml:space="preserve"> A measure of consumer credit risk provided by credit bureaus, typically produced from statistical modeling software created by FICO (formerly known as “Fair Isaac Corporatio</w:t>
      </w:r>
      <w:r>
        <w:rPr>
          <w:rFonts w:eastAsia="Times New Roman"/>
          <w:color w:val="000000"/>
          <w:sz w:val="20"/>
          <w:szCs w:val="20"/>
        </w:rPr>
        <w:t>n”) utilizing data collected by the credit bureaus.</w:t>
      </w:r>
    </w:p>
    <w:p w14:paraId="4CC5087E" w14:textId="77777777" w:rsidR="00000000" w:rsidRDefault="00A173A8">
      <w:pPr>
        <w:jc w:val="both"/>
        <w:divId w:val="989753278"/>
        <w:rPr>
          <w:rFonts w:eastAsia="Times New Roman"/>
        </w:rPr>
      </w:pPr>
      <w:r>
        <w:rPr>
          <w:rFonts w:eastAsia="Times New Roman"/>
          <w:b/>
          <w:bCs/>
          <w:color w:val="000000"/>
          <w:sz w:val="20"/>
          <w:szCs w:val="20"/>
        </w:rPr>
        <w:t>Foreign exchange contracts:</w:t>
      </w:r>
      <w:r>
        <w:rPr>
          <w:rFonts w:eastAsia="Times New Roman"/>
          <w:color w:val="000000"/>
          <w:sz w:val="20"/>
          <w:szCs w:val="20"/>
        </w:rPr>
        <w:t xml:space="preserve"> Contracts that provide for the future receipt or delivery of foreign currency at previously agreed-upon terms.</w:t>
      </w:r>
    </w:p>
    <w:p w14:paraId="3DE3A111" w14:textId="77777777" w:rsidR="00000000" w:rsidRDefault="00A173A8">
      <w:pPr>
        <w:jc w:val="both"/>
        <w:divId w:val="1908151809"/>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A government-sponsored enterprise or agency is a f</w:t>
      </w:r>
      <w:r>
        <w:rPr>
          <w:rFonts w:eastAsia="Times New Roman"/>
          <w:color w:val="000000"/>
          <w:sz w:val="20"/>
          <w:szCs w:val="20"/>
        </w:rPr>
        <w:t>inancial services corporation created by the United States Congress. Examples of U.S. government agencies include Federal National Mortgage Association (“Fannie Mae”), Federal Home Loan Mortgage Corporation (“Freddie Mac”), Government National Mortgage Ass</w:t>
      </w:r>
      <w:r>
        <w:rPr>
          <w:rFonts w:eastAsia="Times New Roman"/>
          <w:color w:val="000000"/>
          <w:sz w:val="20"/>
          <w:szCs w:val="20"/>
        </w:rPr>
        <w:t>ociation (“Ginnie Mae”) and the Federal Home Loan Banks (“FHLB”).</w:t>
      </w:r>
    </w:p>
    <w:p w14:paraId="60A6D41A" w14:textId="77777777" w:rsidR="00000000" w:rsidRDefault="00A173A8">
      <w:pPr>
        <w:jc w:val="both"/>
        <w:divId w:val="1091773564"/>
        <w:rPr>
          <w:rFonts w:eastAsia="Times New Roman"/>
        </w:rPr>
      </w:pPr>
      <w:r>
        <w:rPr>
          <w:rFonts w:eastAsia="Times New Roman"/>
          <w:b/>
          <w:bCs/>
          <w:color w:val="000000"/>
          <w:sz w:val="20"/>
          <w:szCs w:val="20"/>
        </w:rPr>
        <w:t>Interest rate sensitivity:</w:t>
      </w:r>
      <w:r>
        <w:rPr>
          <w:rFonts w:eastAsia="Times New Roman"/>
          <w:color w:val="000000"/>
          <w:sz w:val="20"/>
          <w:szCs w:val="20"/>
        </w:rPr>
        <w:t xml:space="preserve"> The exposure to interest rate movements.</w:t>
      </w:r>
    </w:p>
    <w:p w14:paraId="7B23DBDC" w14:textId="77777777" w:rsidR="00000000" w:rsidRDefault="00A173A8">
      <w:pPr>
        <w:jc w:val="both"/>
        <w:divId w:val="1262255081"/>
        <w:rPr>
          <w:rFonts w:eastAsia="Times New Roman"/>
        </w:rPr>
      </w:pPr>
      <w:r>
        <w:rPr>
          <w:rFonts w:eastAsia="Times New Roman"/>
          <w:b/>
          <w:bCs/>
          <w:color w:val="000000"/>
          <w:sz w:val="20"/>
          <w:szCs w:val="20"/>
        </w:rPr>
        <w:t>Interest rate swaps:</w:t>
      </w:r>
      <w:r>
        <w:rPr>
          <w:rFonts w:eastAsia="Times New Roman"/>
          <w:color w:val="000000"/>
          <w:sz w:val="20"/>
          <w:szCs w:val="20"/>
        </w:rPr>
        <w:t xml:space="preserve"> </w:t>
      </w:r>
      <w:r>
        <w:rPr>
          <w:rFonts w:eastAsia="Times New Roman"/>
          <w:color w:val="000000"/>
          <w:sz w:val="20"/>
          <w:szCs w:val="20"/>
        </w:rPr>
        <w:t>Contracts in which a series of interest rate flows in a single currency are exchanged over a prescribed period. Interest rate swaps are the most common type of derivative contract that we use in our asset/liability management activities.</w:t>
      </w:r>
    </w:p>
    <w:p w14:paraId="29B66EC6" w14:textId="77777777" w:rsidR="00000000" w:rsidRDefault="00A173A8">
      <w:pPr>
        <w:jc w:val="both"/>
        <w:divId w:val="1107311470"/>
        <w:rPr>
          <w:rFonts w:eastAsia="Times New Roman"/>
        </w:rPr>
      </w:pPr>
      <w:r>
        <w:rPr>
          <w:rFonts w:eastAsia="Times New Roman"/>
          <w:b/>
          <w:bCs/>
          <w:color w:val="000000"/>
          <w:sz w:val="20"/>
          <w:szCs w:val="20"/>
        </w:rPr>
        <w:t>Investment grade:</w:t>
      </w:r>
      <w:r>
        <w:rPr>
          <w:rFonts w:eastAsia="Times New Roman"/>
          <w:color w:val="000000"/>
          <w:sz w:val="20"/>
          <w:szCs w:val="20"/>
        </w:rPr>
        <w:t xml:space="preserve"> </w:t>
      </w:r>
      <w:r>
        <w:rPr>
          <w:rFonts w:eastAsia="Times New Roman"/>
          <w:color w:val="000000"/>
          <w:sz w:val="20"/>
          <w:szCs w:val="20"/>
        </w:rPr>
        <w:t>Represents a Moody’s long-term rating of Baa3 or better; and/or a S&amp;P long-term rating of BBB- or better; and/or a Fitch long-term rating of BBB- or better; or if unrated, an equivalent rating using our internal risk ratings. Instruments that fall below th</w:t>
      </w:r>
      <w:r>
        <w:rPr>
          <w:rFonts w:eastAsia="Times New Roman"/>
          <w:color w:val="000000"/>
          <w:sz w:val="20"/>
          <w:szCs w:val="20"/>
        </w:rPr>
        <w:t>ese levels are considered to be non-investment grade.</w:t>
      </w:r>
    </w:p>
    <w:p w14:paraId="56C4727A" w14:textId="77777777" w:rsidR="00000000" w:rsidRDefault="00A173A8">
      <w:pPr>
        <w:jc w:val="both"/>
        <w:divId w:val="2020768529"/>
        <w:rPr>
          <w:rFonts w:eastAsia="Times New Roman"/>
        </w:rPr>
      </w:pPr>
      <w:r>
        <w:rPr>
          <w:rFonts w:eastAsia="Times New Roman"/>
          <w:b/>
          <w:bCs/>
          <w:color w:val="000000"/>
          <w:sz w:val="20"/>
          <w:szCs w:val="20"/>
        </w:rPr>
        <w:t xml:space="preserve">Investor entities: </w:t>
      </w:r>
      <w:r>
        <w:rPr>
          <w:rFonts w:eastAsia="Times New Roman"/>
          <w:color w:val="000000"/>
          <w:sz w:val="20"/>
          <w:szCs w:val="20"/>
        </w:rPr>
        <w:t>Entities that invest in community development entities (“CDE”) that provide debt financing to businesses and non-profit entities in low-income and rural communities.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7CEF0E0" w14:textId="77777777">
        <w:trPr>
          <w:divId w:val="1359503435"/>
          <w:jc w:val="center"/>
        </w:trPr>
        <w:tc>
          <w:tcPr>
            <w:tcW w:w="50" w:type="pct"/>
            <w:vAlign w:val="center"/>
            <w:hideMark/>
          </w:tcPr>
          <w:p w14:paraId="49689646" w14:textId="77777777" w:rsidR="00000000" w:rsidRDefault="00A173A8">
            <w:pPr>
              <w:jc w:val="both"/>
              <w:rPr>
                <w:rFonts w:eastAsia="Times New Roman"/>
              </w:rPr>
            </w:pPr>
          </w:p>
        </w:tc>
        <w:tc>
          <w:tcPr>
            <w:tcW w:w="1606" w:type="pct"/>
            <w:vAlign w:val="center"/>
            <w:hideMark/>
          </w:tcPr>
          <w:p w14:paraId="4C59E11B" w14:textId="77777777" w:rsidR="00000000" w:rsidRDefault="00A173A8">
            <w:pPr>
              <w:spacing w:after="100"/>
              <w:rPr>
                <w:rFonts w:eastAsia="Times New Roman"/>
                <w:sz w:val="20"/>
                <w:szCs w:val="20"/>
              </w:rPr>
            </w:pPr>
          </w:p>
        </w:tc>
        <w:tc>
          <w:tcPr>
            <w:tcW w:w="5" w:type="pct"/>
            <w:vAlign w:val="center"/>
            <w:hideMark/>
          </w:tcPr>
          <w:p w14:paraId="2F1DB54E" w14:textId="77777777" w:rsidR="00000000" w:rsidRDefault="00A173A8">
            <w:pPr>
              <w:spacing w:after="100"/>
              <w:rPr>
                <w:rFonts w:eastAsia="Times New Roman"/>
                <w:sz w:val="20"/>
                <w:szCs w:val="20"/>
              </w:rPr>
            </w:pPr>
          </w:p>
        </w:tc>
        <w:tc>
          <w:tcPr>
            <w:tcW w:w="50" w:type="pct"/>
            <w:vAlign w:val="center"/>
            <w:hideMark/>
          </w:tcPr>
          <w:p w14:paraId="21C14BC7" w14:textId="77777777" w:rsidR="00000000" w:rsidRDefault="00A173A8">
            <w:pPr>
              <w:spacing w:after="100"/>
              <w:rPr>
                <w:rFonts w:eastAsia="Times New Roman"/>
                <w:sz w:val="20"/>
                <w:szCs w:val="20"/>
              </w:rPr>
            </w:pPr>
          </w:p>
        </w:tc>
        <w:tc>
          <w:tcPr>
            <w:tcW w:w="1614" w:type="pct"/>
            <w:vAlign w:val="center"/>
            <w:hideMark/>
          </w:tcPr>
          <w:p w14:paraId="0F84CDFD" w14:textId="77777777" w:rsidR="00000000" w:rsidRDefault="00A173A8">
            <w:pPr>
              <w:spacing w:after="100"/>
              <w:rPr>
                <w:rFonts w:eastAsia="Times New Roman"/>
                <w:sz w:val="20"/>
                <w:szCs w:val="20"/>
              </w:rPr>
            </w:pPr>
          </w:p>
        </w:tc>
        <w:tc>
          <w:tcPr>
            <w:tcW w:w="5" w:type="pct"/>
            <w:vAlign w:val="center"/>
            <w:hideMark/>
          </w:tcPr>
          <w:p w14:paraId="74DF1B54" w14:textId="77777777" w:rsidR="00000000" w:rsidRDefault="00A173A8">
            <w:pPr>
              <w:spacing w:after="100"/>
              <w:rPr>
                <w:rFonts w:eastAsia="Times New Roman"/>
                <w:sz w:val="20"/>
                <w:szCs w:val="20"/>
              </w:rPr>
            </w:pPr>
          </w:p>
        </w:tc>
        <w:tc>
          <w:tcPr>
            <w:tcW w:w="50" w:type="pct"/>
            <w:vAlign w:val="center"/>
            <w:hideMark/>
          </w:tcPr>
          <w:p w14:paraId="2E285D1A" w14:textId="77777777" w:rsidR="00000000" w:rsidRDefault="00A173A8">
            <w:pPr>
              <w:spacing w:after="100"/>
              <w:rPr>
                <w:rFonts w:eastAsia="Times New Roman"/>
                <w:sz w:val="20"/>
                <w:szCs w:val="20"/>
              </w:rPr>
            </w:pPr>
          </w:p>
        </w:tc>
        <w:tc>
          <w:tcPr>
            <w:tcW w:w="1614" w:type="pct"/>
            <w:vAlign w:val="center"/>
            <w:hideMark/>
          </w:tcPr>
          <w:p w14:paraId="5D888463" w14:textId="77777777" w:rsidR="00000000" w:rsidRDefault="00A173A8">
            <w:pPr>
              <w:spacing w:after="100"/>
              <w:rPr>
                <w:rFonts w:eastAsia="Times New Roman"/>
                <w:sz w:val="20"/>
                <w:szCs w:val="20"/>
              </w:rPr>
            </w:pPr>
          </w:p>
        </w:tc>
        <w:tc>
          <w:tcPr>
            <w:tcW w:w="5" w:type="pct"/>
            <w:vAlign w:val="center"/>
            <w:hideMark/>
          </w:tcPr>
          <w:p w14:paraId="594BB0EA" w14:textId="77777777" w:rsidR="00000000" w:rsidRDefault="00A173A8">
            <w:pPr>
              <w:spacing w:after="100"/>
              <w:rPr>
                <w:rFonts w:eastAsia="Times New Roman"/>
                <w:sz w:val="20"/>
                <w:szCs w:val="20"/>
              </w:rPr>
            </w:pPr>
          </w:p>
        </w:tc>
      </w:tr>
      <w:tr w:rsidR="00000000" w14:paraId="1895321C" w14:textId="77777777">
        <w:trPr>
          <w:divId w:val="1359503435"/>
          <w:trHeight w:val="300"/>
          <w:jc w:val="center"/>
        </w:trPr>
        <w:tc>
          <w:tcPr>
            <w:tcW w:w="0" w:type="auto"/>
            <w:gridSpan w:val="9"/>
            <w:tcMar>
              <w:top w:w="0" w:type="dxa"/>
              <w:left w:w="20" w:type="dxa"/>
              <w:bottom w:w="0" w:type="dxa"/>
              <w:right w:w="20" w:type="dxa"/>
            </w:tcMar>
            <w:vAlign w:val="center"/>
            <w:hideMark/>
          </w:tcPr>
          <w:p w14:paraId="68FBA27B" w14:textId="77777777" w:rsidR="00000000" w:rsidRDefault="00A173A8">
            <w:pPr>
              <w:spacing w:after="100"/>
              <w:rPr>
                <w:rFonts w:eastAsia="Times New Roman"/>
                <w:sz w:val="20"/>
                <w:szCs w:val="20"/>
              </w:rPr>
            </w:pPr>
          </w:p>
        </w:tc>
      </w:tr>
      <w:tr w:rsidR="00000000" w14:paraId="396864D9" w14:textId="77777777">
        <w:trPr>
          <w:divId w:val="1359503435"/>
          <w:jc w:val="center"/>
        </w:trPr>
        <w:tc>
          <w:tcPr>
            <w:tcW w:w="0" w:type="auto"/>
            <w:gridSpan w:val="3"/>
            <w:tcMar>
              <w:top w:w="0" w:type="dxa"/>
              <w:left w:w="20" w:type="dxa"/>
              <w:bottom w:w="0" w:type="dxa"/>
              <w:right w:w="20" w:type="dxa"/>
            </w:tcMar>
            <w:vAlign w:val="center"/>
            <w:hideMark/>
          </w:tcPr>
          <w:p w14:paraId="2EB02574"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999F58" w14:textId="77777777" w:rsidR="00000000" w:rsidRDefault="00A173A8">
            <w:pPr>
              <w:spacing w:after="100"/>
              <w:jc w:val="center"/>
              <w:rPr>
                <w:rFonts w:eastAsia="Times New Roman"/>
              </w:rPr>
            </w:pPr>
            <w:r>
              <w:rPr>
                <w:rFonts w:eastAsia="Times New Roman"/>
                <w:color w:val="000000"/>
                <w:sz w:val="16"/>
                <w:szCs w:val="16"/>
              </w:rPr>
              <w:t>59</w:t>
            </w:r>
          </w:p>
        </w:tc>
        <w:tc>
          <w:tcPr>
            <w:tcW w:w="0" w:type="auto"/>
            <w:gridSpan w:val="3"/>
            <w:tcMar>
              <w:top w:w="30" w:type="dxa"/>
              <w:left w:w="20" w:type="dxa"/>
              <w:bottom w:w="30" w:type="dxa"/>
              <w:right w:w="20" w:type="dxa"/>
            </w:tcMar>
            <w:vAlign w:val="bottom"/>
            <w:hideMark/>
          </w:tcPr>
          <w:p w14:paraId="3E82C26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4F1AF99" w14:textId="77777777" w:rsidR="00000000" w:rsidRDefault="00A173A8">
      <w:pPr>
        <w:rPr>
          <w:rFonts w:eastAsia="Times New Roman"/>
        </w:rPr>
      </w:pPr>
      <w:r>
        <w:rPr>
          <w:rFonts w:eastAsia="Times New Roman"/>
        </w:rPr>
        <w:pict w14:anchorId="6FAA463E">
          <v:rect id="_x0000_i1084" style="width:0;height:1.5pt" o:hralign="center" o:hrstd="t" o:hr="t" fillcolor="#a0a0a0" stroked="f"/>
        </w:pict>
      </w:r>
    </w:p>
    <w:p w14:paraId="76EA6775" w14:textId="77777777" w:rsidR="00000000" w:rsidRDefault="00A173A8">
      <w:pPr>
        <w:ind w:hanging="360"/>
        <w:jc w:val="both"/>
        <w:divId w:val="715080017"/>
        <w:rPr>
          <w:rFonts w:eastAsia="Times New Roman"/>
        </w:rPr>
      </w:pPr>
      <w:hyperlink w:anchor="i7ffd5d61af6f4722b1b1b07530d51c06_13" w:history="1">
        <w:r>
          <w:rPr>
            <w:rStyle w:val="a3"/>
            <w:rFonts w:eastAsia="Times New Roman"/>
            <w:sz w:val="16"/>
            <w:szCs w:val="16"/>
          </w:rPr>
          <w:t>Table of Contents</w:t>
        </w:r>
      </w:hyperlink>
    </w:p>
    <w:p w14:paraId="198FDC7B" w14:textId="77777777" w:rsidR="00000000" w:rsidRDefault="00A173A8">
      <w:pPr>
        <w:jc w:val="both"/>
        <w:divId w:val="601185539"/>
        <w:rPr>
          <w:rFonts w:eastAsia="Times New Roman"/>
        </w:rPr>
      </w:pPr>
      <w:r>
        <w:rPr>
          <w:rFonts w:eastAsia="Times New Roman"/>
          <w:b/>
          <w:bCs/>
          <w:color w:val="000000"/>
          <w:sz w:val="20"/>
          <w:szCs w:val="20"/>
        </w:rPr>
        <w:t>LCR Rule:</w:t>
      </w:r>
      <w:r>
        <w:rPr>
          <w:rFonts w:eastAsia="Times New Roman"/>
          <w:color w:val="000000"/>
          <w:sz w:val="20"/>
          <w:szCs w:val="20"/>
        </w:rPr>
        <w:t xml:space="preserve"> In September 2014, the Federal Banking Agencies issued final rules implementing the Basel III Liquidity Coverage Ratio (“LCR”) in the</w:t>
      </w:r>
      <w:r>
        <w:rPr>
          <w:rFonts w:eastAsia="Times New Roman"/>
          <w:color w:val="000000"/>
          <w:sz w:val="20"/>
          <w:szCs w:val="20"/>
        </w:rPr>
        <w:t xml:space="preserve"> United States. The LCR is calculated by dividing the amount of an institution’s high quality, unencumbered liquid assets by its estimated net cash outflow, as defined and calculated in accordance with the LCR Rule. </w:t>
      </w:r>
    </w:p>
    <w:p w14:paraId="3F0A2098" w14:textId="77777777" w:rsidR="00000000" w:rsidRDefault="00A173A8">
      <w:pPr>
        <w:jc w:val="both"/>
        <w:divId w:val="1837112929"/>
        <w:rPr>
          <w:rFonts w:eastAsia="Times New Roman"/>
        </w:rPr>
      </w:pPr>
      <w:r>
        <w:rPr>
          <w:rFonts w:eastAsia="Times New Roman"/>
          <w:b/>
          <w:bCs/>
          <w:color w:val="000000"/>
          <w:sz w:val="20"/>
          <w:szCs w:val="20"/>
        </w:rPr>
        <w:t>Leverage ratio:</w:t>
      </w:r>
      <w:r>
        <w:rPr>
          <w:rFonts w:eastAsia="Times New Roman"/>
          <w:color w:val="000000"/>
          <w:sz w:val="20"/>
          <w:szCs w:val="20"/>
        </w:rPr>
        <w:t xml:space="preserve"> Tier 1 capital divided </w:t>
      </w:r>
      <w:r>
        <w:rPr>
          <w:rFonts w:eastAsia="Times New Roman"/>
          <w:color w:val="000000"/>
          <w:sz w:val="20"/>
          <w:szCs w:val="20"/>
        </w:rPr>
        <w:t>by average assets after certain adjustments, as defined by the regulators.</w:t>
      </w:r>
    </w:p>
    <w:p w14:paraId="02912CC2" w14:textId="77777777" w:rsidR="00000000" w:rsidRDefault="00A173A8">
      <w:pPr>
        <w:jc w:val="both"/>
        <w:divId w:val="220214136"/>
        <w:rPr>
          <w:rFonts w:eastAsia="Times New Roman"/>
        </w:rPr>
      </w:pPr>
      <w:r>
        <w:rPr>
          <w:rFonts w:eastAsia="Times New Roman"/>
          <w:b/>
          <w:bCs/>
          <w:color w:val="000000"/>
          <w:sz w:val="20"/>
          <w:szCs w:val="20"/>
        </w:rPr>
        <w:t>Liquidity risk:</w:t>
      </w:r>
      <w:r>
        <w:rPr>
          <w:rFonts w:eastAsia="Times New Roman"/>
          <w:color w:val="000000"/>
          <w:sz w:val="20"/>
          <w:szCs w:val="20"/>
        </w:rPr>
        <w:t xml:space="preserve"> The risk that the Company will not be able to meet its future financial obligations as they come due, or invest in future asset growth because of an inability to obt</w:t>
      </w:r>
      <w:r>
        <w:rPr>
          <w:rFonts w:eastAsia="Times New Roman"/>
          <w:color w:val="000000"/>
          <w:sz w:val="20"/>
          <w:szCs w:val="20"/>
        </w:rPr>
        <w:t>ain funds at a reasonable price within a reasonable time.</w:t>
      </w:r>
    </w:p>
    <w:p w14:paraId="166EB12C" w14:textId="77777777" w:rsidR="00000000" w:rsidRDefault="00A173A8">
      <w:pPr>
        <w:jc w:val="both"/>
        <w:divId w:val="593709325"/>
        <w:rPr>
          <w:rFonts w:eastAsia="Times New Roman"/>
        </w:rPr>
      </w:pPr>
      <w:r>
        <w:rPr>
          <w:rFonts w:eastAsia="Times New Roman"/>
          <w:b/>
          <w:bCs/>
          <w:color w:val="000000"/>
          <w:sz w:val="20"/>
          <w:szCs w:val="20"/>
        </w:rPr>
        <w:t xml:space="preserve">Loan-to-value (“LTV”) ratio: </w:t>
      </w:r>
      <w:r>
        <w:rPr>
          <w:rFonts w:eastAsia="Times New Roman"/>
          <w:color w:val="000000"/>
          <w:sz w:val="20"/>
          <w:szCs w:val="20"/>
        </w:rPr>
        <w:t>The relationship, expressed as a percentage, between the principal amount of a loan and the appraised value of the collateral securing the loan.</w:t>
      </w:r>
    </w:p>
    <w:p w14:paraId="2F8F9C49" w14:textId="77777777" w:rsidR="00000000" w:rsidRDefault="00A173A8">
      <w:pPr>
        <w:jc w:val="both"/>
        <w:divId w:val="420177874"/>
        <w:rPr>
          <w:rFonts w:eastAsia="Times New Roman"/>
        </w:rPr>
      </w:pPr>
      <w:r>
        <w:rPr>
          <w:rFonts w:eastAsia="Times New Roman"/>
          <w:b/>
          <w:bCs/>
          <w:color w:val="000000"/>
          <w:sz w:val="20"/>
          <w:szCs w:val="20"/>
        </w:rPr>
        <w:t xml:space="preserve">Managed presentation: </w:t>
      </w:r>
      <w:r>
        <w:rPr>
          <w:rFonts w:eastAsia="Times New Roman"/>
          <w:color w:val="000000"/>
          <w:sz w:val="20"/>
          <w:szCs w:val="20"/>
        </w:rPr>
        <w:t xml:space="preserve">A non-GAAP presentation of business segment results derived from our internal management </w:t>
      </w:r>
      <w:r>
        <w:rPr>
          <w:rFonts w:eastAsia="Times New Roman"/>
          <w:color w:val="000000"/>
          <w:sz w:val="20"/>
          <w:szCs w:val="20"/>
        </w:rPr>
        <w:t>accounting and reporting process, which employs various allocation methodologies, including funds transfer pricing, to assign certain balance sheet assets, deposits and other liabilities and their related revenues and expenses directly or indirectly attrib</w:t>
      </w:r>
      <w:r>
        <w:rPr>
          <w:rFonts w:eastAsia="Times New Roman"/>
          <w:color w:val="000000"/>
          <w:sz w:val="20"/>
          <w:szCs w:val="20"/>
        </w:rPr>
        <w:t xml:space="preserve">utable to each business segment. The results of our individual businesses reflect the manner in which management evaluates performance and makes decisions about funding our operations and allocating resources and are intended to reflect each segment as if </w:t>
      </w:r>
      <w:r>
        <w:rPr>
          <w:rFonts w:eastAsia="Times New Roman"/>
          <w:color w:val="000000"/>
          <w:sz w:val="20"/>
          <w:szCs w:val="20"/>
        </w:rPr>
        <w:t xml:space="preserve">it were a stand-alone business. </w:t>
      </w:r>
    </w:p>
    <w:p w14:paraId="336B68F3" w14:textId="77777777" w:rsidR="00000000" w:rsidRDefault="00A173A8">
      <w:pPr>
        <w:jc w:val="both"/>
        <w:divId w:val="352270781"/>
        <w:rPr>
          <w:rFonts w:eastAsia="Times New Roman"/>
        </w:rPr>
      </w:pPr>
      <w:r>
        <w:rPr>
          <w:rFonts w:eastAsia="Times New Roman"/>
          <w:b/>
          <w:bCs/>
          <w:color w:val="000000"/>
          <w:sz w:val="20"/>
          <w:szCs w:val="20"/>
        </w:rPr>
        <w:t>Market risk:</w:t>
      </w:r>
      <w:r>
        <w:rPr>
          <w:rFonts w:eastAsia="Times New Roman"/>
          <w:color w:val="000000"/>
          <w:sz w:val="20"/>
          <w:szCs w:val="20"/>
        </w:rPr>
        <w:t xml:space="preserve"> The risk that an institution’s earnings or the economic value of equity could be adversely impacted by changes in interest rates, foreign exchange rates or other market factors.</w:t>
      </w:r>
    </w:p>
    <w:p w14:paraId="3AA5F03E" w14:textId="77777777" w:rsidR="00000000" w:rsidRDefault="00A173A8">
      <w:pPr>
        <w:jc w:val="both"/>
        <w:divId w:val="561794310"/>
        <w:rPr>
          <w:rFonts w:eastAsia="Times New Roman"/>
        </w:rPr>
      </w:pPr>
      <w:r>
        <w:rPr>
          <w:rFonts w:eastAsia="Times New Roman"/>
          <w:b/>
          <w:bCs/>
          <w:color w:val="000000"/>
          <w:sz w:val="20"/>
          <w:szCs w:val="20"/>
        </w:rPr>
        <w:t>Master netting agreement:</w:t>
      </w:r>
      <w:r>
        <w:rPr>
          <w:rFonts w:eastAsia="Times New Roman"/>
          <w:color w:val="000000"/>
          <w:sz w:val="20"/>
          <w:szCs w:val="20"/>
        </w:rPr>
        <w:t xml:space="preserve"> An agr</w:t>
      </w:r>
      <w:r>
        <w:rPr>
          <w:rFonts w:eastAsia="Times New Roman"/>
          <w:color w:val="000000"/>
          <w:sz w:val="20"/>
          <w:szCs w:val="20"/>
        </w:rPr>
        <w:t>eement between two counterparties that have multiple contracts with each other that provides for the net settlement of all contracts through a single payment in the event of default or termination of any one contract.</w:t>
      </w:r>
    </w:p>
    <w:p w14:paraId="0AFE5CAF" w14:textId="77777777" w:rsidR="00000000" w:rsidRDefault="00A173A8">
      <w:pPr>
        <w:jc w:val="both"/>
        <w:divId w:val="1818305890"/>
        <w:rPr>
          <w:rFonts w:eastAsia="Times New Roman"/>
        </w:rPr>
      </w:pPr>
      <w:r>
        <w:rPr>
          <w:rFonts w:eastAsia="Times New Roman"/>
          <w:b/>
          <w:bCs/>
          <w:color w:val="000000"/>
          <w:sz w:val="20"/>
          <w:szCs w:val="20"/>
        </w:rPr>
        <w:t>Mortgage servicing rights (“MSRs”):</w:t>
      </w:r>
      <w:r>
        <w:rPr>
          <w:rFonts w:eastAsia="Times New Roman"/>
          <w:color w:val="000000"/>
          <w:sz w:val="20"/>
          <w:szCs w:val="20"/>
        </w:rPr>
        <w:t xml:space="preserve"> Th</w:t>
      </w:r>
      <w:r>
        <w:rPr>
          <w:rFonts w:eastAsia="Times New Roman"/>
          <w:color w:val="000000"/>
          <w:sz w:val="20"/>
          <w:szCs w:val="20"/>
        </w:rPr>
        <w:t>e right to service a mortgage loan when the underlying loan is sold or securitized. Servicing includes collections for principal, interest and escrow payments from borrowers and accounting for and remitting principal and interest payments to investors.</w:t>
      </w:r>
    </w:p>
    <w:p w14:paraId="5B36571A" w14:textId="77777777" w:rsidR="00000000" w:rsidRDefault="00A173A8">
      <w:pPr>
        <w:jc w:val="both"/>
        <w:divId w:val="1086803464"/>
        <w:rPr>
          <w:rFonts w:eastAsia="Times New Roman"/>
        </w:rPr>
      </w:pPr>
      <w:r>
        <w:rPr>
          <w:rFonts w:eastAsia="Times New Roman"/>
          <w:b/>
          <w:bCs/>
          <w:color w:val="000000"/>
          <w:sz w:val="20"/>
          <w:szCs w:val="20"/>
        </w:rPr>
        <w:t>Net</w:t>
      </w:r>
      <w:r>
        <w:rPr>
          <w:rFonts w:eastAsia="Times New Roman"/>
          <w:b/>
          <w:bCs/>
          <w:color w:val="000000"/>
          <w:sz w:val="20"/>
          <w:szCs w:val="20"/>
        </w:rPr>
        <w:t xml:space="preserve"> charge-off rate</w:t>
      </w:r>
      <w:r>
        <w:rPr>
          <w:rFonts w:eastAsia="Times New Roman"/>
          <w:color w:val="000000"/>
          <w:sz w:val="20"/>
          <w:szCs w:val="20"/>
        </w:rPr>
        <w:t>: Represents (annualized) net charge-offs divided by average loans held for investment for the period. Negative net charge-offs and related rates are captioned as net recoveries.</w:t>
      </w:r>
    </w:p>
    <w:p w14:paraId="4EB85CC2" w14:textId="77777777" w:rsidR="00000000" w:rsidRDefault="00A173A8">
      <w:pPr>
        <w:jc w:val="both"/>
        <w:divId w:val="369230345"/>
        <w:rPr>
          <w:rFonts w:eastAsia="Times New Roman"/>
        </w:rPr>
      </w:pPr>
      <w:r>
        <w:rPr>
          <w:rFonts w:eastAsia="Times New Roman"/>
          <w:b/>
          <w:bCs/>
          <w:color w:val="000000"/>
          <w:sz w:val="20"/>
          <w:szCs w:val="20"/>
        </w:rPr>
        <w:t>Net interest margin:</w:t>
      </w:r>
      <w:r>
        <w:rPr>
          <w:rFonts w:eastAsia="Times New Roman"/>
          <w:color w:val="000000"/>
          <w:sz w:val="20"/>
          <w:szCs w:val="20"/>
        </w:rPr>
        <w:t xml:space="preserve"> Represents (annualized) net interest inc</w:t>
      </w:r>
      <w:r>
        <w:rPr>
          <w:rFonts w:eastAsia="Times New Roman"/>
          <w:color w:val="000000"/>
          <w:sz w:val="20"/>
          <w:szCs w:val="20"/>
        </w:rPr>
        <w:t>ome divided by average interest-earning assets for the period.</w:t>
      </w:r>
    </w:p>
    <w:p w14:paraId="11CB4FED" w14:textId="77777777" w:rsidR="00000000" w:rsidRDefault="00A173A8">
      <w:pPr>
        <w:jc w:val="both"/>
        <w:divId w:val="533080159"/>
        <w:rPr>
          <w:rFonts w:eastAsia="Times New Roman"/>
        </w:rPr>
      </w:pPr>
      <w:r>
        <w:rPr>
          <w:rFonts w:eastAsia="Times New Roman"/>
          <w:b/>
          <w:bCs/>
          <w:color w:val="000000"/>
          <w:sz w:val="20"/>
          <w:szCs w:val="20"/>
        </w:rPr>
        <w:t>NSFR Rule:</w:t>
      </w:r>
      <w:r>
        <w:rPr>
          <w:rFonts w:eastAsia="Times New Roman"/>
          <w:color w:val="000000"/>
          <w:sz w:val="20"/>
          <w:szCs w:val="20"/>
        </w:rPr>
        <w:t xml:space="preserve"> The Federal Banking Agencies issued a rule in October 2020 implementing the net stable funding ratio (“NSFR”). The NSFR measures the stability of our funding profile and requires us </w:t>
      </w:r>
      <w:r>
        <w:rPr>
          <w:rFonts w:eastAsia="Times New Roman"/>
          <w:color w:val="000000"/>
          <w:sz w:val="20"/>
          <w:szCs w:val="20"/>
        </w:rPr>
        <w:t>to maintain minimum amounts of stable funding to support our assets, commitments and derivatives exposures over a one-year period.</w:t>
      </w:r>
    </w:p>
    <w:p w14:paraId="3FC5FB95" w14:textId="77777777" w:rsidR="00000000" w:rsidRDefault="00A173A8">
      <w:pPr>
        <w:jc w:val="both"/>
        <w:divId w:val="1186359835"/>
        <w:rPr>
          <w:rFonts w:eastAsia="Times New Roman"/>
        </w:rPr>
      </w:pPr>
      <w:r>
        <w:rPr>
          <w:rFonts w:eastAsia="Times New Roman"/>
          <w:b/>
          <w:bCs/>
          <w:color w:val="000000"/>
          <w:sz w:val="20"/>
          <w:szCs w:val="20"/>
        </w:rPr>
        <w:t>Nonperforming loans:</w:t>
      </w:r>
      <w:r>
        <w:rPr>
          <w:rFonts w:eastAsia="Times New Roman"/>
          <w:color w:val="000000"/>
          <w:sz w:val="20"/>
          <w:szCs w:val="20"/>
        </w:rPr>
        <w:t xml:space="preserve"> Generally include loans that have been placed on nonaccrual status. We do not report loans classified as</w:t>
      </w:r>
      <w:r>
        <w:rPr>
          <w:rFonts w:eastAsia="Times New Roman"/>
          <w:color w:val="000000"/>
          <w:sz w:val="20"/>
          <w:szCs w:val="20"/>
        </w:rPr>
        <w:t xml:space="preserve"> held for sale as nonperforming.</w:t>
      </w:r>
    </w:p>
    <w:p w14:paraId="29515DB8" w14:textId="77777777" w:rsidR="00000000" w:rsidRDefault="00A173A8">
      <w:pPr>
        <w:jc w:val="both"/>
        <w:divId w:val="722873928"/>
        <w:rPr>
          <w:rFonts w:eastAsia="Times New Roman"/>
        </w:rPr>
      </w:pPr>
      <w:r>
        <w:rPr>
          <w:rFonts w:eastAsia="Times New Roman"/>
          <w:b/>
          <w:bCs/>
          <w:color w:val="000000"/>
          <w:sz w:val="20"/>
          <w:szCs w:val="20"/>
        </w:rPr>
        <w:t xml:space="preserve">Public Funds deposits: </w:t>
      </w:r>
      <w:r>
        <w:rPr>
          <w:rFonts w:eastAsia="Times New Roman"/>
          <w:color w:val="000000"/>
          <w:sz w:val="20"/>
          <w:szCs w:val="20"/>
        </w:rPr>
        <w:t xml:space="preserve">Deposits that are derived from a variety of political subdivisions such as school districts and municipalities. </w:t>
      </w:r>
    </w:p>
    <w:p w14:paraId="31852679" w14:textId="77777777" w:rsidR="00000000" w:rsidRDefault="00A173A8">
      <w:pPr>
        <w:jc w:val="both"/>
        <w:divId w:val="205605392"/>
        <w:rPr>
          <w:rFonts w:eastAsia="Times New Roman"/>
        </w:rPr>
      </w:pPr>
      <w:r>
        <w:rPr>
          <w:rFonts w:eastAsia="Times New Roman"/>
          <w:b/>
          <w:bCs/>
          <w:color w:val="000000"/>
          <w:sz w:val="20"/>
          <w:szCs w:val="20"/>
        </w:rPr>
        <w:t>Purchase volume:</w:t>
      </w:r>
      <w:r>
        <w:rPr>
          <w:rFonts w:eastAsia="Times New Roman"/>
          <w:color w:val="000000"/>
          <w:sz w:val="20"/>
          <w:szCs w:val="20"/>
        </w:rPr>
        <w:t xml:space="preserve"> </w:t>
      </w:r>
      <w:r>
        <w:rPr>
          <w:rFonts w:eastAsia="Times New Roman"/>
          <w:color w:val="000000"/>
          <w:sz w:val="20"/>
          <w:szCs w:val="20"/>
        </w:rPr>
        <w:t>Consists of purchase transactions, net of returns, for the period, and excludes cash advance and balance transfer transactions.</w:t>
      </w:r>
    </w:p>
    <w:p w14:paraId="5C21C67F" w14:textId="77777777" w:rsidR="00000000" w:rsidRDefault="00A173A8">
      <w:pPr>
        <w:jc w:val="both"/>
        <w:divId w:val="1745637648"/>
        <w:rPr>
          <w:rFonts w:eastAsia="Times New Roman"/>
        </w:rPr>
      </w:pPr>
      <w:r>
        <w:rPr>
          <w:rFonts w:eastAsia="Times New Roman"/>
          <w:b/>
          <w:bCs/>
          <w:color w:val="000000"/>
          <w:sz w:val="20"/>
          <w:szCs w:val="20"/>
        </w:rPr>
        <w:t>Rating agency:</w:t>
      </w:r>
      <w:r>
        <w:rPr>
          <w:rFonts w:eastAsia="Times New Roman"/>
          <w:color w:val="000000"/>
          <w:sz w:val="20"/>
          <w:szCs w:val="20"/>
        </w:rPr>
        <w:t xml:space="preserve"> An independent agency that assesses the credit quality and likelihood of default of an issue or issuer and assign</w:t>
      </w:r>
      <w:r>
        <w:rPr>
          <w:rFonts w:eastAsia="Times New Roman"/>
          <w:color w:val="000000"/>
          <w:sz w:val="20"/>
          <w:szCs w:val="20"/>
        </w:rPr>
        <w:t>s a rating to that issue or issuer.</w:t>
      </w:r>
    </w:p>
    <w:p w14:paraId="16C8EE79" w14:textId="77777777" w:rsidR="00000000" w:rsidRDefault="00A173A8">
      <w:pPr>
        <w:jc w:val="both"/>
        <w:divId w:val="1732465149"/>
        <w:rPr>
          <w:rFonts w:eastAsia="Times New Roman"/>
        </w:rPr>
      </w:pPr>
      <w:r>
        <w:rPr>
          <w:rFonts w:eastAsia="Times New Roman"/>
          <w:b/>
          <w:bCs/>
          <w:color w:val="000000"/>
          <w:sz w:val="20"/>
          <w:szCs w:val="20"/>
        </w:rPr>
        <w:t>Repurchase agreement:</w:t>
      </w:r>
      <w:r>
        <w:rPr>
          <w:rFonts w:eastAsia="Times New Roman"/>
          <w:color w:val="000000"/>
          <w:sz w:val="20"/>
          <w:szCs w:val="20"/>
        </w:rPr>
        <w:t xml:space="preserve"> An instrument used to raise short-term funds whereby securities are sold with an agreement for the seller to buy back the securities at a later date. </w:t>
      </w:r>
    </w:p>
    <w:p w14:paraId="357166DC" w14:textId="77777777" w:rsidR="00000000" w:rsidRDefault="00A173A8">
      <w:pPr>
        <w:jc w:val="both"/>
        <w:divId w:val="66072463"/>
        <w:rPr>
          <w:rFonts w:eastAsia="Times New Roman"/>
        </w:rPr>
      </w:pPr>
      <w:r>
        <w:rPr>
          <w:rFonts w:eastAsia="Times New Roman"/>
          <w:b/>
          <w:bCs/>
          <w:color w:val="000000"/>
          <w:sz w:val="20"/>
          <w:szCs w:val="20"/>
        </w:rPr>
        <w:t>Restructuring charges:</w:t>
      </w:r>
      <w:r>
        <w:rPr>
          <w:rFonts w:eastAsia="Times New Roman"/>
          <w:color w:val="000000"/>
          <w:sz w:val="20"/>
          <w:szCs w:val="20"/>
        </w:rPr>
        <w:t xml:space="preserve"> Charges associated with </w:t>
      </w:r>
      <w:r>
        <w:rPr>
          <w:rFonts w:eastAsia="Times New Roman"/>
          <w:color w:val="000000"/>
          <w:sz w:val="20"/>
          <w:szCs w:val="20"/>
        </w:rPr>
        <w:t>the realignment of resources supporting various businesses, primarily consisting of severance and related benefits pursuant to our ongoing benefit programs and impairment of certain assets related to the business locations and/or activities being exited.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8A709AB" w14:textId="77777777">
        <w:trPr>
          <w:divId w:val="1452937935"/>
          <w:jc w:val="center"/>
        </w:trPr>
        <w:tc>
          <w:tcPr>
            <w:tcW w:w="50" w:type="pct"/>
            <w:vAlign w:val="center"/>
            <w:hideMark/>
          </w:tcPr>
          <w:p w14:paraId="5A83C3A9" w14:textId="77777777" w:rsidR="00000000" w:rsidRDefault="00A173A8">
            <w:pPr>
              <w:jc w:val="both"/>
              <w:rPr>
                <w:rFonts w:eastAsia="Times New Roman"/>
              </w:rPr>
            </w:pPr>
          </w:p>
        </w:tc>
        <w:tc>
          <w:tcPr>
            <w:tcW w:w="1606" w:type="pct"/>
            <w:vAlign w:val="center"/>
            <w:hideMark/>
          </w:tcPr>
          <w:p w14:paraId="0BF61E03" w14:textId="77777777" w:rsidR="00000000" w:rsidRDefault="00A173A8">
            <w:pPr>
              <w:spacing w:after="100"/>
              <w:rPr>
                <w:rFonts w:eastAsia="Times New Roman"/>
                <w:sz w:val="20"/>
                <w:szCs w:val="20"/>
              </w:rPr>
            </w:pPr>
          </w:p>
        </w:tc>
        <w:tc>
          <w:tcPr>
            <w:tcW w:w="5" w:type="pct"/>
            <w:vAlign w:val="center"/>
            <w:hideMark/>
          </w:tcPr>
          <w:p w14:paraId="7BEA16FA" w14:textId="77777777" w:rsidR="00000000" w:rsidRDefault="00A173A8">
            <w:pPr>
              <w:spacing w:after="100"/>
              <w:rPr>
                <w:rFonts w:eastAsia="Times New Roman"/>
                <w:sz w:val="20"/>
                <w:szCs w:val="20"/>
              </w:rPr>
            </w:pPr>
          </w:p>
        </w:tc>
        <w:tc>
          <w:tcPr>
            <w:tcW w:w="50" w:type="pct"/>
            <w:vAlign w:val="center"/>
            <w:hideMark/>
          </w:tcPr>
          <w:p w14:paraId="5E80765F" w14:textId="77777777" w:rsidR="00000000" w:rsidRDefault="00A173A8">
            <w:pPr>
              <w:spacing w:after="100"/>
              <w:rPr>
                <w:rFonts w:eastAsia="Times New Roman"/>
                <w:sz w:val="20"/>
                <w:szCs w:val="20"/>
              </w:rPr>
            </w:pPr>
          </w:p>
        </w:tc>
        <w:tc>
          <w:tcPr>
            <w:tcW w:w="1614" w:type="pct"/>
            <w:vAlign w:val="center"/>
            <w:hideMark/>
          </w:tcPr>
          <w:p w14:paraId="0149F69A" w14:textId="77777777" w:rsidR="00000000" w:rsidRDefault="00A173A8">
            <w:pPr>
              <w:spacing w:after="100"/>
              <w:rPr>
                <w:rFonts w:eastAsia="Times New Roman"/>
                <w:sz w:val="20"/>
                <w:szCs w:val="20"/>
              </w:rPr>
            </w:pPr>
          </w:p>
        </w:tc>
        <w:tc>
          <w:tcPr>
            <w:tcW w:w="5" w:type="pct"/>
            <w:vAlign w:val="center"/>
            <w:hideMark/>
          </w:tcPr>
          <w:p w14:paraId="0D862E7E" w14:textId="77777777" w:rsidR="00000000" w:rsidRDefault="00A173A8">
            <w:pPr>
              <w:spacing w:after="100"/>
              <w:rPr>
                <w:rFonts w:eastAsia="Times New Roman"/>
                <w:sz w:val="20"/>
                <w:szCs w:val="20"/>
              </w:rPr>
            </w:pPr>
          </w:p>
        </w:tc>
        <w:tc>
          <w:tcPr>
            <w:tcW w:w="50" w:type="pct"/>
            <w:vAlign w:val="center"/>
            <w:hideMark/>
          </w:tcPr>
          <w:p w14:paraId="6FB24242" w14:textId="77777777" w:rsidR="00000000" w:rsidRDefault="00A173A8">
            <w:pPr>
              <w:spacing w:after="100"/>
              <w:rPr>
                <w:rFonts w:eastAsia="Times New Roman"/>
                <w:sz w:val="20"/>
                <w:szCs w:val="20"/>
              </w:rPr>
            </w:pPr>
          </w:p>
        </w:tc>
        <w:tc>
          <w:tcPr>
            <w:tcW w:w="1614" w:type="pct"/>
            <w:vAlign w:val="center"/>
            <w:hideMark/>
          </w:tcPr>
          <w:p w14:paraId="24A4C2F2" w14:textId="77777777" w:rsidR="00000000" w:rsidRDefault="00A173A8">
            <w:pPr>
              <w:spacing w:after="100"/>
              <w:rPr>
                <w:rFonts w:eastAsia="Times New Roman"/>
                <w:sz w:val="20"/>
                <w:szCs w:val="20"/>
              </w:rPr>
            </w:pPr>
          </w:p>
        </w:tc>
        <w:tc>
          <w:tcPr>
            <w:tcW w:w="5" w:type="pct"/>
            <w:vAlign w:val="center"/>
            <w:hideMark/>
          </w:tcPr>
          <w:p w14:paraId="5FD77B6E" w14:textId="77777777" w:rsidR="00000000" w:rsidRDefault="00A173A8">
            <w:pPr>
              <w:spacing w:after="100"/>
              <w:rPr>
                <w:rFonts w:eastAsia="Times New Roman"/>
                <w:sz w:val="20"/>
                <w:szCs w:val="20"/>
              </w:rPr>
            </w:pPr>
          </w:p>
        </w:tc>
      </w:tr>
      <w:tr w:rsidR="00000000" w14:paraId="65568DB9" w14:textId="77777777">
        <w:trPr>
          <w:divId w:val="1452937935"/>
          <w:trHeight w:val="300"/>
          <w:jc w:val="center"/>
        </w:trPr>
        <w:tc>
          <w:tcPr>
            <w:tcW w:w="0" w:type="auto"/>
            <w:gridSpan w:val="9"/>
            <w:tcMar>
              <w:top w:w="0" w:type="dxa"/>
              <w:left w:w="20" w:type="dxa"/>
              <w:bottom w:w="0" w:type="dxa"/>
              <w:right w:w="20" w:type="dxa"/>
            </w:tcMar>
            <w:vAlign w:val="center"/>
            <w:hideMark/>
          </w:tcPr>
          <w:p w14:paraId="6B2AD5BC" w14:textId="77777777" w:rsidR="00000000" w:rsidRDefault="00A173A8">
            <w:pPr>
              <w:spacing w:after="100"/>
              <w:rPr>
                <w:rFonts w:eastAsia="Times New Roman"/>
                <w:sz w:val="20"/>
                <w:szCs w:val="20"/>
              </w:rPr>
            </w:pPr>
          </w:p>
        </w:tc>
      </w:tr>
      <w:tr w:rsidR="00000000" w14:paraId="39677AB6" w14:textId="77777777">
        <w:trPr>
          <w:divId w:val="1452937935"/>
          <w:jc w:val="center"/>
        </w:trPr>
        <w:tc>
          <w:tcPr>
            <w:tcW w:w="0" w:type="auto"/>
            <w:gridSpan w:val="3"/>
            <w:tcMar>
              <w:top w:w="0" w:type="dxa"/>
              <w:left w:w="20" w:type="dxa"/>
              <w:bottom w:w="0" w:type="dxa"/>
              <w:right w:w="20" w:type="dxa"/>
            </w:tcMar>
            <w:vAlign w:val="center"/>
            <w:hideMark/>
          </w:tcPr>
          <w:p w14:paraId="4487D8EF"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A9A23CA" w14:textId="77777777" w:rsidR="00000000" w:rsidRDefault="00A173A8">
            <w:pPr>
              <w:spacing w:after="100"/>
              <w:jc w:val="center"/>
              <w:rPr>
                <w:rFonts w:eastAsia="Times New Roman"/>
              </w:rPr>
            </w:pPr>
            <w:r>
              <w:rPr>
                <w:rFonts w:eastAsia="Times New Roman"/>
                <w:color w:val="000000"/>
                <w:sz w:val="16"/>
                <w:szCs w:val="16"/>
              </w:rPr>
              <w:t>60</w:t>
            </w:r>
          </w:p>
        </w:tc>
        <w:tc>
          <w:tcPr>
            <w:tcW w:w="0" w:type="auto"/>
            <w:gridSpan w:val="3"/>
            <w:tcMar>
              <w:top w:w="30" w:type="dxa"/>
              <w:left w:w="20" w:type="dxa"/>
              <w:bottom w:w="30" w:type="dxa"/>
              <w:right w:w="20" w:type="dxa"/>
            </w:tcMar>
            <w:vAlign w:val="bottom"/>
            <w:hideMark/>
          </w:tcPr>
          <w:p w14:paraId="765BC37D"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1DB6BF6" w14:textId="77777777" w:rsidR="00000000" w:rsidRDefault="00A173A8">
      <w:pPr>
        <w:rPr>
          <w:rFonts w:eastAsia="Times New Roman"/>
        </w:rPr>
      </w:pPr>
      <w:r>
        <w:rPr>
          <w:rFonts w:eastAsia="Times New Roman"/>
        </w:rPr>
        <w:pict w14:anchorId="7255A11F">
          <v:rect id="_x0000_i1085" style="width:0;height:1.5pt" o:hralign="center" o:hrstd="t" o:hr="t" fillcolor="#a0a0a0" stroked="f"/>
        </w:pict>
      </w:r>
    </w:p>
    <w:p w14:paraId="69C9A005" w14:textId="77777777" w:rsidR="00000000" w:rsidRDefault="00A173A8">
      <w:pPr>
        <w:ind w:hanging="360"/>
        <w:jc w:val="both"/>
        <w:divId w:val="1669677188"/>
        <w:rPr>
          <w:rFonts w:eastAsia="Times New Roman"/>
        </w:rPr>
      </w:pPr>
      <w:hyperlink w:anchor="i7ffd5d61af6f4722b1b1b07530d51c06_13" w:history="1">
        <w:r>
          <w:rPr>
            <w:rStyle w:val="a3"/>
            <w:rFonts w:eastAsia="Times New Roman"/>
            <w:sz w:val="16"/>
            <w:szCs w:val="16"/>
          </w:rPr>
          <w:t>Table of Contents</w:t>
        </w:r>
      </w:hyperlink>
    </w:p>
    <w:p w14:paraId="770CCFFB" w14:textId="77777777" w:rsidR="00000000" w:rsidRDefault="00A173A8">
      <w:pPr>
        <w:jc w:val="both"/>
        <w:divId w:val="2134058102"/>
        <w:rPr>
          <w:rFonts w:eastAsia="Times New Roman"/>
        </w:rPr>
      </w:pPr>
      <w:r>
        <w:rPr>
          <w:rFonts w:eastAsia="Times New Roman"/>
          <w:b/>
          <w:bCs/>
          <w:color w:val="000000"/>
          <w:sz w:val="20"/>
          <w:szCs w:val="20"/>
        </w:rPr>
        <w:t xml:space="preserve">Risk-weighted assets: </w:t>
      </w:r>
      <w:r>
        <w:rPr>
          <w:rFonts w:eastAsia="Times New Roman"/>
          <w:color w:val="000000"/>
          <w:sz w:val="20"/>
          <w:szCs w:val="20"/>
        </w:rPr>
        <w:t>On- and off-balance sheet assets that are assigned to one of several broad risk categories and weighted by factors repres</w:t>
      </w:r>
      <w:r>
        <w:rPr>
          <w:rFonts w:eastAsia="Times New Roman"/>
          <w:color w:val="000000"/>
          <w:sz w:val="20"/>
          <w:szCs w:val="20"/>
        </w:rPr>
        <w:t xml:space="preserve">enting their risk and potential for default. </w:t>
      </w:r>
    </w:p>
    <w:p w14:paraId="4193CD2A" w14:textId="77777777" w:rsidR="00000000" w:rsidRDefault="00A173A8">
      <w:pPr>
        <w:jc w:val="both"/>
        <w:divId w:val="1723745961"/>
        <w:rPr>
          <w:rFonts w:eastAsia="Times New Roman"/>
        </w:rPr>
      </w:pPr>
      <w:r>
        <w:rPr>
          <w:rFonts w:eastAsia="Times New Roman"/>
          <w:b/>
          <w:bCs/>
          <w:color w:val="000000"/>
          <w:sz w:val="20"/>
          <w:szCs w:val="20"/>
        </w:rPr>
        <w:t>Securitized debt obligations:</w:t>
      </w:r>
      <w:r>
        <w:rPr>
          <w:rFonts w:eastAsia="Times New Roman"/>
          <w:color w:val="000000"/>
          <w:sz w:val="20"/>
          <w:szCs w:val="20"/>
        </w:rPr>
        <w:t xml:space="preserve"> A type of asset-backed security and structured credit product constructed from a portfolio of fixed-income assets.</w:t>
      </w:r>
    </w:p>
    <w:p w14:paraId="5E329D32" w14:textId="77777777" w:rsidR="00000000" w:rsidRDefault="00A173A8">
      <w:pPr>
        <w:jc w:val="both"/>
        <w:divId w:val="1836261817"/>
        <w:rPr>
          <w:rFonts w:eastAsia="Times New Roman"/>
        </w:rPr>
      </w:pPr>
      <w:r>
        <w:rPr>
          <w:rFonts w:eastAsia="Times New Roman"/>
          <w:b/>
          <w:bCs/>
          <w:color w:val="000000"/>
          <w:sz w:val="20"/>
          <w:szCs w:val="20"/>
        </w:rPr>
        <w:t xml:space="preserve">Stress capital buffer: </w:t>
      </w:r>
      <w:r>
        <w:rPr>
          <w:rFonts w:eastAsia="Times New Roman"/>
          <w:color w:val="000000"/>
          <w:sz w:val="20"/>
          <w:szCs w:val="20"/>
        </w:rPr>
        <w:t>A component of our new standardized approa</w:t>
      </w:r>
      <w:r>
        <w:rPr>
          <w:rFonts w:eastAsia="Times New Roman"/>
          <w:color w:val="000000"/>
          <w:sz w:val="20"/>
          <w:szCs w:val="20"/>
        </w:rPr>
        <w:t xml:space="preserve">ch capital conservation buffer, which will be recalibrated annually based on the results of our supervisory stress tests. </w:t>
      </w:r>
    </w:p>
    <w:p w14:paraId="56C5784E" w14:textId="77777777" w:rsidR="00000000" w:rsidRDefault="00A173A8">
      <w:pPr>
        <w:jc w:val="both"/>
        <w:divId w:val="951739395"/>
        <w:rPr>
          <w:rFonts w:eastAsia="Times New Roman"/>
        </w:rPr>
      </w:pPr>
      <w:r>
        <w:rPr>
          <w:rFonts w:eastAsia="Times New Roman"/>
          <w:b/>
          <w:bCs/>
          <w:color w:val="000000"/>
          <w:sz w:val="20"/>
          <w:szCs w:val="20"/>
        </w:rPr>
        <w:t xml:space="preserve">Subprime: </w:t>
      </w:r>
      <w:r>
        <w:rPr>
          <w:rFonts w:eastAsia="Times New Roman"/>
          <w:color w:val="000000"/>
          <w:sz w:val="20"/>
          <w:szCs w:val="20"/>
        </w:rPr>
        <w:t>For purposes of lending in our Credit Card business, we generally consider FICO scores of 660 or below, or other equivalent risk scores, to be subprime. For purposes of auto lending in our Consumer Banking business, we generally consider FICO scores of 620</w:t>
      </w:r>
      <w:r>
        <w:rPr>
          <w:rFonts w:eastAsia="Times New Roman"/>
          <w:color w:val="000000"/>
          <w:sz w:val="20"/>
          <w:szCs w:val="20"/>
        </w:rPr>
        <w:t xml:space="preserve"> or below to be subprime.</w:t>
      </w:r>
    </w:p>
    <w:p w14:paraId="70A52CD0" w14:textId="77777777" w:rsidR="00000000" w:rsidRDefault="00A173A8">
      <w:pPr>
        <w:jc w:val="both"/>
        <w:divId w:val="1698652679"/>
        <w:rPr>
          <w:rFonts w:eastAsia="Times New Roman"/>
        </w:rPr>
      </w:pPr>
      <w:r>
        <w:rPr>
          <w:rFonts w:eastAsia="Times New Roman"/>
          <w:b/>
          <w:bCs/>
          <w:color w:val="000000"/>
          <w:sz w:val="20"/>
          <w:szCs w:val="20"/>
        </w:rPr>
        <w:t>Tangible common equity:</w:t>
      </w:r>
      <w:r>
        <w:rPr>
          <w:rFonts w:eastAsia="Times New Roman"/>
          <w:color w:val="000000"/>
          <w:sz w:val="20"/>
          <w:szCs w:val="20"/>
        </w:rPr>
        <w:t xml:space="preserve"> A non-GAAP financial measure. Common equity less goodwill and other intangible assets adjusted for deferred tax liabilities associated with non-tax deductible intangible assets and tax deductible goodwill.</w:t>
      </w:r>
    </w:p>
    <w:p w14:paraId="0BB517A9" w14:textId="77777777" w:rsidR="00000000" w:rsidRDefault="00A173A8">
      <w:pPr>
        <w:jc w:val="both"/>
        <w:divId w:val="1440174331"/>
        <w:rPr>
          <w:rFonts w:eastAsia="Times New Roman"/>
        </w:rPr>
      </w:pPr>
      <w:r>
        <w:rPr>
          <w:rFonts w:eastAsia="Times New Roman"/>
          <w:b/>
          <w:bCs/>
          <w:color w:val="000000"/>
          <w:sz w:val="20"/>
          <w:szCs w:val="20"/>
        </w:rPr>
        <w:t>Troubled debt restructuring (“TDR”):</w:t>
      </w:r>
      <w:r>
        <w:rPr>
          <w:rFonts w:eastAsia="Times New Roman"/>
          <w:color w:val="000000"/>
          <w:sz w:val="20"/>
          <w:szCs w:val="20"/>
        </w:rPr>
        <w:t xml:space="preserve"> A TDR is deemed to occur when the contractual terms of a loan agreement are modified by granting a concession to a borrower that is experiencing financial difficulty.</w:t>
      </w:r>
    </w:p>
    <w:p w14:paraId="3D5957AE" w14:textId="77777777" w:rsidR="00000000" w:rsidRDefault="00A173A8">
      <w:pPr>
        <w:jc w:val="both"/>
        <w:divId w:val="1200506504"/>
        <w:rPr>
          <w:rFonts w:eastAsia="Times New Roman"/>
        </w:rPr>
      </w:pPr>
      <w:r>
        <w:rPr>
          <w:rFonts w:eastAsia="Times New Roman"/>
          <w:b/>
          <w:bCs/>
          <w:color w:val="000000"/>
          <w:sz w:val="20"/>
          <w:szCs w:val="20"/>
        </w:rPr>
        <w:t>Unfunded commitments:</w:t>
      </w:r>
      <w:r>
        <w:rPr>
          <w:rFonts w:eastAsia="Times New Roman"/>
          <w:color w:val="000000"/>
          <w:sz w:val="20"/>
          <w:szCs w:val="20"/>
        </w:rPr>
        <w:t xml:space="preserve"> Legally binding agreements to </w:t>
      </w:r>
      <w:r>
        <w:rPr>
          <w:rFonts w:eastAsia="Times New Roman"/>
          <w:color w:val="000000"/>
          <w:sz w:val="20"/>
          <w:szCs w:val="20"/>
        </w:rPr>
        <w:t>provide a defined level of financing until a specified future date.</w:t>
      </w:r>
    </w:p>
    <w:p w14:paraId="27858B46" w14:textId="77777777" w:rsidR="00000000" w:rsidRDefault="00A173A8">
      <w:pPr>
        <w:jc w:val="both"/>
        <w:divId w:val="1828476979"/>
        <w:rPr>
          <w:rFonts w:eastAsia="Times New Roman"/>
        </w:rPr>
      </w:pPr>
      <w:r>
        <w:rPr>
          <w:rFonts w:eastAsia="Times New Roman"/>
          <w:b/>
          <w:bCs/>
          <w:color w:val="000000"/>
          <w:sz w:val="20"/>
          <w:szCs w:val="20"/>
        </w:rPr>
        <w:t xml:space="preserve">U.K. PPI Reserve: </w:t>
      </w:r>
      <w:r>
        <w:rPr>
          <w:rFonts w:eastAsia="Times New Roman"/>
          <w:color w:val="000000"/>
          <w:sz w:val="20"/>
          <w:szCs w:val="20"/>
        </w:rPr>
        <w:t>U.K. payment protection insurance customer refund reserve.</w:t>
      </w:r>
    </w:p>
    <w:p w14:paraId="493CC6D5" w14:textId="77777777" w:rsidR="00000000" w:rsidRDefault="00A173A8">
      <w:pPr>
        <w:jc w:val="both"/>
        <w:divId w:val="1011181463"/>
        <w:rPr>
          <w:rFonts w:eastAsia="Times New Roman"/>
        </w:rPr>
      </w:pPr>
      <w:r>
        <w:rPr>
          <w:rFonts w:eastAsia="Times New Roman"/>
          <w:b/>
          <w:bCs/>
          <w:color w:val="000000"/>
          <w:sz w:val="20"/>
          <w:szCs w:val="20"/>
        </w:rPr>
        <w:t>U.S. GAAP:</w:t>
      </w:r>
      <w:r>
        <w:rPr>
          <w:rFonts w:eastAsia="Times New Roman"/>
          <w:color w:val="000000"/>
          <w:sz w:val="20"/>
          <w:szCs w:val="20"/>
        </w:rPr>
        <w:t xml:space="preserve"> Accounting principles generally accepted in the United States of America. Accounting rules and conve</w:t>
      </w:r>
      <w:r>
        <w:rPr>
          <w:rFonts w:eastAsia="Times New Roman"/>
          <w:color w:val="000000"/>
          <w:sz w:val="20"/>
          <w:szCs w:val="20"/>
        </w:rPr>
        <w:t>ntions defining acceptable practices in preparing financial statements in the U.S.</w:t>
      </w:r>
    </w:p>
    <w:p w14:paraId="3BA4C161" w14:textId="77777777" w:rsidR="00000000" w:rsidRDefault="00A173A8">
      <w:pPr>
        <w:jc w:val="both"/>
        <w:divId w:val="862867249"/>
        <w:rPr>
          <w:rFonts w:eastAsia="Times New Roman"/>
        </w:rPr>
      </w:pPr>
      <w:r>
        <w:rPr>
          <w:rFonts w:eastAsia="Times New Roman"/>
          <w:b/>
          <w:bCs/>
          <w:color w:val="000000"/>
          <w:sz w:val="20"/>
          <w:szCs w:val="20"/>
        </w:rPr>
        <w:t>U.S. Real Gross Domestic Product (“GDP”) Rate</w:t>
      </w:r>
      <w:r>
        <w:rPr>
          <w:rFonts w:eastAsia="Times New Roman"/>
          <w:color w:val="000000"/>
          <w:sz w:val="20"/>
          <w:szCs w:val="20"/>
        </w:rPr>
        <w:t>: Is an inflation-adjusted measure that reflects the value of all goods and services produced by an economy in a given year.</w:t>
      </w:r>
    </w:p>
    <w:p w14:paraId="3A9B8493" w14:textId="77777777" w:rsidR="00000000" w:rsidRDefault="00A173A8">
      <w:pPr>
        <w:jc w:val="both"/>
        <w:divId w:val="705299392"/>
        <w:rPr>
          <w:rFonts w:eastAsia="Times New Roman"/>
        </w:rPr>
      </w:pPr>
      <w:r>
        <w:rPr>
          <w:rFonts w:eastAsia="Times New Roman"/>
          <w:b/>
          <w:bCs/>
          <w:color w:val="000000"/>
          <w:sz w:val="20"/>
          <w:szCs w:val="20"/>
        </w:rPr>
        <w:t>Var</w:t>
      </w:r>
      <w:r>
        <w:rPr>
          <w:rFonts w:eastAsia="Times New Roman"/>
          <w:b/>
          <w:bCs/>
          <w:color w:val="000000"/>
          <w:sz w:val="20"/>
          <w:szCs w:val="20"/>
        </w:rPr>
        <w:t>iable interest entity (“VIE”):</w:t>
      </w:r>
      <w:r>
        <w:rPr>
          <w:rFonts w:eastAsia="Times New Roman"/>
          <w:color w:val="000000"/>
          <w:sz w:val="20"/>
          <w:szCs w:val="20"/>
        </w:rPr>
        <w:t xml:space="preserve"> An entity that, by design, either (i) lack sufficient equity to permit the entity to finance its activities without additional subordinated financial support from other parties; or (ii) have equity investors that do not have </w:t>
      </w:r>
      <w:r>
        <w:rPr>
          <w:rFonts w:eastAsia="Times New Roman"/>
          <w:color w:val="000000"/>
          <w:sz w:val="20"/>
          <w:szCs w:val="20"/>
        </w:rPr>
        <w:t>the ability to make significant decisions relating to the entity’s operations through voting rights; and/or (iii) do not have the obligation to absorb the expected losses, or do not have the right to receive the residual returns of the entity.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27D34D8" w14:textId="77777777">
        <w:trPr>
          <w:divId w:val="320042974"/>
          <w:jc w:val="center"/>
        </w:trPr>
        <w:tc>
          <w:tcPr>
            <w:tcW w:w="50" w:type="pct"/>
            <w:vAlign w:val="center"/>
            <w:hideMark/>
          </w:tcPr>
          <w:p w14:paraId="7B39C92D" w14:textId="77777777" w:rsidR="00000000" w:rsidRDefault="00A173A8">
            <w:pPr>
              <w:jc w:val="both"/>
              <w:rPr>
                <w:rFonts w:eastAsia="Times New Roman"/>
              </w:rPr>
            </w:pPr>
          </w:p>
        </w:tc>
        <w:tc>
          <w:tcPr>
            <w:tcW w:w="1606" w:type="pct"/>
            <w:vAlign w:val="center"/>
            <w:hideMark/>
          </w:tcPr>
          <w:p w14:paraId="72E7B204" w14:textId="77777777" w:rsidR="00000000" w:rsidRDefault="00A173A8">
            <w:pPr>
              <w:spacing w:after="100"/>
              <w:rPr>
                <w:rFonts w:eastAsia="Times New Roman"/>
                <w:sz w:val="20"/>
                <w:szCs w:val="20"/>
              </w:rPr>
            </w:pPr>
          </w:p>
        </w:tc>
        <w:tc>
          <w:tcPr>
            <w:tcW w:w="5" w:type="pct"/>
            <w:vAlign w:val="center"/>
            <w:hideMark/>
          </w:tcPr>
          <w:p w14:paraId="3DA5283B" w14:textId="77777777" w:rsidR="00000000" w:rsidRDefault="00A173A8">
            <w:pPr>
              <w:spacing w:after="100"/>
              <w:rPr>
                <w:rFonts w:eastAsia="Times New Roman"/>
                <w:sz w:val="20"/>
                <w:szCs w:val="20"/>
              </w:rPr>
            </w:pPr>
          </w:p>
        </w:tc>
        <w:tc>
          <w:tcPr>
            <w:tcW w:w="50" w:type="pct"/>
            <w:vAlign w:val="center"/>
            <w:hideMark/>
          </w:tcPr>
          <w:p w14:paraId="0405451E" w14:textId="77777777" w:rsidR="00000000" w:rsidRDefault="00A173A8">
            <w:pPr>
              <w:spacing w:after="100"/>
              <w:rPr>
                <w:rFonts w:eastAsia="Times New Roman"/>
                <w:sz w:val="20"/>
                <w:szCs w:val="20"/>
              </w:rPr>
            </w:pPr>
          </w:p>
        </w:tc>
        <w:tc>
          <w:tcPr>
            <w:tcW w:w="1614" w:type="pct"/>
            <w:vAlign w:val="center"/>
            <w:hideMark/>
          </w:tcPr>
          <w:p w14:paraId="59392FAB" w14:textId="77777777" w:rsidR="00000000" w:rsidRDefault="00A173A8">
            <w:pPr>
              <w:spacing w:after="100"/>
              <w:rPr>
                <w:rFonts w:eastAsia="Times New Roman"/>
                <w:sz w:val="20"/>
                <w:szCs w:val="20"/>
              </w:rPr>
            </w:pPr>
          </w:p>
        </w:tc>
        <w:tc>
          <w:tcPr>
            <w:tcW w:w="5" w:type="pct"/>
            <w:vAlign w:val="center"/>
            <w:hideMark/>
          </w:tcPr>
          <w:p w14:paraId="01E68D90" w14:textId="77777777" w:rsidR="00000000" w:rsidRDefault="00A173A8">
            <w:pPr>
              <w:spacing w:after="100"/>
              <w:rPr>
                <w:rFonts w:eastAsia="Times New Roman"/>
                <w:sz w:val="20"/>
                <w:szCs w:val="20"/>
              </w:rPr>
            </w:pPr>
          </w:p>
        </w:tc>
        <w:tc>
          <w:tcPr>
            <w:tcW w:w="50" w:type="pct"/>
            <w:vAlign w:val="center"/>
            <w:hideMark/>
          </w:tcPr>
          <w:p w14:paraId="04D18A02" w14:textId="77777777" w:rsidR="00000000" w:rsidRDefault="00A173A8">
            <w:pPr>
              <w:spacing w:after="100"/>
              <w:rPr>
                <w:rFonts w:eastAsia="Times New Roman"/>
                <w:sz w:val="20"/>
                <w:szCs w:val="20"/>
              </w:rPr>
            </w:pPr>
          </w:p>
        </w:tc>
        <w:tc>
          <w:tcPr>
            <w:tcW w:w="1614" w:type="pct"/>
            <w:vAlign w:val="center"/>
            <w:hideMark/>
          </w:tcPr>
          <w:p w14:paraId="75A82726" w14:textId="77777777" w:rsidR="00000000" w:rsidRDefault="00A173A8">
            <w:pPr>
              <w:spacing w:after="100"/>
              <w:rPr>
                <w:rFonts w:eastAsia="Times New Roman"/>
                <w:sz w:val="20"/>
                <w:szCs w:val="20"/>
              </w:rPr>
            </w:pPr>
          </w:p>
        </w:tc>
        <w:tc>
          <w:tcPr>
            <w:tcW w:w="5" w:type="pct"/>
            <w:vAlign w:val="center"/>
            <w:hideMark/>
          </w:tcPr>
          <w:p w14:paraId="4EF2C505" w14:textId="77777777" w:rsidR="00000000" w:rsidRDefault="00A173A8">
            <w:pPr>
              <w:spacing w:after="100"/>
              <w:rPr>
                <w:rFonts w:eastAsia="Times New Roman"/>
                <w:sz w:val="20"/>
                <w:szCs w:val="20"/>
              </w:rPr>
            </w:pPr>
          </w:p>
        </w:tc>
      </w:tr>
      <w:tr w:rsidR="00000000" w14:paraId="335953E9" w14:textId="77777777">
        <w:trPr>
          <w:divId w:val="320042974"/>
          <w:trHeight w:val="300"/>
          <w:jc w:val="center"/>
        </w:trPr>
        <w:tc>
          <w:tcPr>
            <w:tcW w:w="0" w:type="auto"/>
            <w:gridSpan w:val="9"/>
            <w:tcMar>
              <w:top w:w="0" w:type="dxa"/>
              <w:left w:w="20" w:type="dxa"/>
              <w:bottom w:w="0" w:type="dxa"/>
              <w:right w:w="20" w:type="dxa"/>
            </w:tcMar>
            <w:vAlign w:val="center"/>
            <w:hideMark/>
          </w:tcPr>
          <w:p w14:paraId="28612F1E" w14:textId="77777777" w:rsidR="00000000" w:rsidRDefault="00A173A8">
            <w:pPr>
              <w:spacing w:after="100"/>
              <w:rPr>
                <w:rFonts w:eastAsia="Times New Roman"/>
                <w:sz w:val="20"/>
                <w:szCs w:val="20"/>
              </w:rPr>
            </w:pPr>
          </w:p>
        </w:tc>
      </w:tr>
      <w:tr w:rsidR="00000000" w14:paraId="5902C7A8" w14:textId="77777777">
        <w:trPr>
          <w:divId w:val="320042974"/>
          <w:jc w:val="center"/>
        </w:trPr>
        <w:tc>
          <w:tcPr>
            <w:tcW w:w="0" w:type="auto"/>
            <w:gridSpan w:val="3"/>
            <w:tcMar>
              <w:top w:w="0" w:type="dxa"/>
              <w:left w:w="20" w:type="dxa"/>
              <w:bottom w:w="0" w:type="dxa"/>
              <w:right w:w="20" w:type="dxa"/>
            </w:tcMar>
            <w:vAlign w:val="center"/>
            <w:hideMark/>
          </w:tcPr>
          <w:p w14:paraId="04F4EC76"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320240A" w14:textId="77777777" w:rsidR="00000000" w:rsidRDefault="00A173A8">
            <w:pPr>
              <w:spacing w:after="100"/>
              <w:jc w:val="center"/>
              <w:rPr>
                <w:rFonts w:eastAsia="Times New Roman"/>
              </w:rPr>
            </w:pPr>
            <w:r>
              <w:rPr>
                <w:rFonts w:eastAsia="Times New Roman"/>
                <w:color w:val="000000"/>
                <w:sz w:val="16"/>
                <w:szCs w:val="16"/>
              </w:rPr>
              <w:t>61</w:t>
            </w:r>
          </w:p>
        </w:tc>
        <w:tc>
          <w:tcPr>
            <w:tcW w:w="0" w:type="auto"/>
            <w:gridSpan w:val="3"/>
            <w:tcMar>
              <w:top w:w="30" w:type="dxa"/>
              <w:left w:w="20" w:type="dxa"/>
              <w:bottom w:w="30" w:type="dxa"/>
              <w:right w:w="20" w:type="dxa"/>
            </w:tcMar>
            <w:vAlign w:val="bottom"/>
            <w:hideMark/>
          </w:tcPr>
          <w:p w14:paraId="43135DD0"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AB262BA" w14:textId="77777777" w:rsidR="00000000" w:rsidRDefault="00A173A8">
      <w:pPr>
        <w:rPr>
          <w:rFonts w:eastAsia="Times New Roman"/>
        </w:rPr>
      </w:pPr>
      <w:r>
        <w:rPr>
          <w:rFonts w:eastAsia="Times New Roman"/>
        </w:rPr>
        <w:pict w14:anchorId="5A1311FB">
          <v:rect id="_x0000_i1086" style="width:0;height:1.5pt" o:hralign="center" o:hrstd="t" o:hr="t" fillcolor="#a0a0a0" stroked="f"/>
        </w:pict>
      </w:r>
    </w:p>
    <w:p w14:paraId="08826C97" w14:textId="77777777" w:rsidR="00000000" w:rsidRDefault="00A173A8">
      <w:pPr>
        <w:ind w:hanging="360"/>
        <w:jc w:val="both"/>
        <w:divId w:val="1585649981"/>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F045268" w14:textId="77777777">
        <w:trPr>
          <w:divId w:val="839661547"/>
        </w:trPr>
        <w:tc>
          <w:tcPr>
            <w:tcW w:w="50" w:type="pct"/>
            <w:vAlign w:val="center"/>
            <w:hideMark/>
          </w:tcPr>
          <w:p w14:paraId="0E8C895E" w14:textId="77777777" w:rsidR="00000000" w:rsidRDefault="00A173A8">
            <w:pPr>
              <w:ind w:hanging="360"/>
              <w:jc w:val="both"/>
              <w:rPr>
                <w:rFonts w:eastAsia="Times New Roman"/>
              </w:rPr>
            </w:pPr>
          </w:p>
        </w:tc>
        <w:tc>
          <w:tcPr>
            <w:tcW w:w="4945" w:type="pct"/>
            <w:vAlign w:val="center"/>
            <w:hideMark/>
          </w:tcPr>
          <w:p w14:paraId="407E8A94" w14:textId="77777777" w:rsidR="00000000" w:rsidRDefault="00A173A8">
            <w:pPr>
              <w:spacing w:after="100"/>
              <w:rPr>
                <w:rFonts w:eastAsia="Times New Roman"/>
                <w:sz w:val="20"/>
                <w:szCs w:val="20"/>
              </w:rPr>
            </w:pPr>
          </w:p>
        </w:tc>
        <w:tc>
          <w:tcPr>
            <w:tcW w:w="5" w:type="pct"/>
            <w:vAlign w:val="center"/>
            <w:hideMark/>
          </w:tcPr>
          <w:p w14:paraId="519728C8" w14:textId="77777777" w:rsidR="00000000" w:rsidRDefault="00A173A8">
            <w:pPr>
              <w:spacing w:after="100"/>
              <w:rPr>
                <w:rFonts w:eastAsia="Times New Roman"/>
                <w:sz w:val="20"/>
                <w:szCs w:val="20"/>
              </w:rPr>
            </w:pPr>
          </w:p>
        </w:tc>
      </w:tr>
      <w:tr w:rsidR="00000000" w14:paraId="711BB165" w14:textId="77777777">
        <w:trPr>
          <w:divId w:val="83966154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53DA19C6" w14:textId="77777777" w:rsidR="00000000" w:rsidRDefault="00A173A8">
            <w:pPr>
              <w:spacing w:after="100"/>
              <w:divId w:val="1689913382"/>
              <w:rPr>
                <w:rFonts w:eastAsia="Times New Roman"/>
              </w:rPr>
            </w:pPr>
            <w:r>
              <w:rPr>
                <w:rFonts w:eastAsia="Times New Roman"/>
                <w:b/>
                <w:bCs/>
                <w:i/>
                <w:iCs/>
                <w:color w:val="000000"/>
                <w:sz w:val="20"/>
                <w:szCs w:val="20"/>
              </w:rPr>
              <w:t>Acronyms</w:t>
            </w:r>
          </w:p>
        </w:tc>
      </w:tr>
    </w:tbl>
    <w:p w14:paraId="4E71622E" w14:textId="77777777" w:rsidR="00000000" w:rsidRDefault="00A173A8">
      <w:pPr>
        <w:jc w:val="both"/>
        <w:divId w:val="996034812"/>
        <w:rPr>
          <w:rFonts w:eastAsia="Times New Roman"/>
        </w:rPr>
      </w:pPr>
      <w:r>
        <w:rPr>
          <w:rFonts w:eastAsia="Times New Roman"/>
          <w:b/>
          <w:bCs/>
          <w:color w:val="000000"/>
          <w:sz w:val="20"/>
          <w:szCs w:val="20"/>
        </w:rPr>
        <w:t xml:space="preserve">ABS: </w:t>
      </w:r>
      <w:r>
        <w:rPr>
          <w:rFonts w:eastAsia="Times New Roman"/>
          <w:color w:val="000000"/>
          <w:sz w:val="20"/>
          <w:szCs w:val="20"/>
        </w:rPr>
        <w:t>Asset-backed securities</w:t>
      </w:r>
    </w:p>
    <w:p w14:paraId="6ED06D87" w14:textId="77777777" w:rsidR="00000000" w:rsidRDefault="00A173A8">
      <w:pPr>
        <w:jc w:val="both"/>
        <w:divId w:val="402339891"/>
        <w:rPr>
          <w:rFonts w:eastAsia="Times New Roman"/>
        </w:rPr>
      </w:pPr>
      <w:r>
        <w:rPr>
          <w:rFonts w:eastAsia="Times New Roman"/>
          <w:b/>
          <w:bCs/>
          <w:color w:val="000000"/>
          <w:sz w:val="20"/>
          <w:szCs w:val="20"/>
        </w:rPr>
        <w:t>AOCI:</w:t>
      </w:r>
      <w:r>
        <w:rPr>
          <w:rFonts w:eastAsia="Times New Roman"/>
          <w:color w:val="000000"/>
          <w:sz w:val="20"/>
          <w:szCs w:val="20"/>
        </w:rPr>
        <w:t xml:space="preserve"> Accumulated other comprehensive income</w:t>
      </w:r>
    </w:p>
    <w:p w14:paraId="4D06C6AF" w14:textId="77777777" w:rsidR="00000000" w:rsidRDefault="00A173A8">
      <w:pPr>
        <w:jc w:val="both"/>
        <w:divId w:val="489322901"/>
        <w:rPr>
          <w:rFonts w:eastAsia="Times New Roman"/>
        </w:rPr>
      </w:pPr>
      <w:r>
        <w:rPr>
          <w:rFonts w:eastAsia="Times New Roman"/>
          <w:b/>
          <w:bCs/>
          <w:color w:val="000000"/>
          <w:sz w:val="20"/>
          <w:szCs w:val="20"/>
        </w:rPr>
        <w:t xml:space="preserve">ARRC: </w:t>
      </w:r>
      <w:r>
        <w:rPr>
          <w:rFonts w:eastAsia="Times New Roman"/>
          <w:color w:val="000000"/>
          <w:sz w:val="20"/>
          <w:szCs w:val="20"/>
        </w:rPr>
        <w:t>Alternative Reference Rates Committee</w:t>
      </w:r>
    </w:p>
    <w:p w14:paraId="1800FE1F" w14:textId="77777777" w:rsidR="00000000" w:rsidRDefault="00A173A8">
      <w:pPr>
        <w:jc w:val="both"/>
        <w:divId w:val="2068265183"/>
        <w:rPr>
          <w:rFonts w:eastAsia="Times New Roman"/>
        </w:rPr>
      </w:pPr>
      <w:r>
        <w:rPr>
          <w:rFonts w:eastAsia="Times New Roman"/>
          <w:b/>
          <w:bCs/>
          <w:color w:val="000000"/>
          <w:sz w:val="20"/>
          <w:szCs w:val="20"/>
        </w:rPr>
        <w:t>ASU:</w:t>
      </w:r>
      <w:r>
        <w:rPr>
          <w:rFonts w:eastAsia="Times New Roman"/>
          <w:color w:val="000000"/>
          <w:sz w:val="20"/>
          <w:szCs w:val="20"/>
        </w:rPr>
        <w:t xml:space="preserve"> Accounting Standards Update</w:t>
      </w:r>
    </w:p>
    <w:p w14:paraId="792196DE" w14:textId="77777777" w:rsidR="00000000" w:rsidRDefault="00A173A8">
      <w:pPr>
        <w:jc w:val="both"/>
        <w:divId w:val="1450663609"/>
        <w:rPr>
          <w:rFonts w:eastAsia="Times New Roman"/>
        </w:rPr>
      </w:pPr>
      <w:r>
        <w:rPr>
          <w:rFonts w:eastAsia="Times New Roman"/>
          <w:b/>
          <w:bCs/>
          <w:color w:val="000000"/>
          <w:sz w:val="20"/>
          <w:szCs w:val="20"/>
        </w:rPr>
        <w:t>ASC:</w:t>
      </w:r>
      <w:r>
        <w:rPr>
          <w:rFonts w:eastAsia="Times New Roman"/>
          <w:color w:val="000000"/>
          <w:sz w:val="20"/>
          <w:szCs w:val="20"/>
        </w:rPr>
        <w:t xml:space="preserve"> Accounting Standards Codification</w:t>
      </w:r>
    </w:p>
    <w:p w14:paraId="18A5B7EA" w14:textId="77777777" w:rsidR="00000000" w:rsidRDefault="00A173A8">
      <w:pPr>
        <w:jc w:val="both"/>
        <w:divId w:val="221791373"/>
        <w:rPr>
          <w:rFonts w:eastAsia="Times New Roman"/>
        </w:rPr>
      </w:pPr>
      <w:r>
        <w:rPr>
          <w:rFonts w:eastAsia="Times New Roman"/>
          <w:b/>
          <w:bCs/>
          <w:color w:val="000000"/>
          <w:sz w:val="20"/>
          <w:szCs w:val="20"/>
        </w:rPr>
        <w:t>ATM:</w:t>
      </w:r>
      <w:r>
        <w:rPr>
          <w:rFonts w:eastAsia="Times New Roman"/>
          <w:color w:val="000000"/>
          <w:sz w:val="20"/>
          <w:szCs w:val="20"/>
        </w:rPr>
        <w:t xml:space="preserve"> Automated teller machine</w:t>
      </w:r>
    </w:p>
    <w:p w14:paraId="288D49D3" w14:textId="77777777" w:rsidR="00000000" w:rsidRDefault="00A173A8">
      <w:pPr>
        <w:jc w:val="both"/>
        <w:divId w:val="1777209330"/>
        <w:rPr>
          <w:rFonts w:eastAsia="Times New Roman"/>
        </w:rPr>
      </w:pPr>
      <w:r>
        <w:rPr>
          <w:rFonts w:eastAsia="Times New Roman"/>
          <w:b/>
          <w:bCs/>
          <w:color w:val="000000"/>
          <w:sz w:val="20"/>
          <w:szCs w:val="20"/>
        </w:rPr>
        <w:t>BHC:</w:t>
      </w:r>
      <w:r>
        <w:rPr>
          <w:rFonts w:eastAsia="Times New Roman"/>
          <w:color w:val="000000"/>
          <w:sz w:val="20"/>
          <w:szCs w:val="20"/>
        </w:rPr>
        <w:t xml:space="preserve"> Bank holding company</w:t>
      </w:r>
    </w:p>
    <w:p w14:paraId="4F55F7DF" w14:textId="77777777" w:rsidR="00000000" w:rsidRDefault="00A173A8">
      <w:pPr>
        <w:jc w:val="both"/>
        <w:divId w:val="1018039492"/>
        <w:rPr>
          <w:rFonts w:eastAsia="Times New Roman"/>
        </w:rPr>
      </w:pPr>
      <w:r>
        <w:rPr>
          <w:rFonts w:eastAsia="Times New Roman"/>
          <w:b/>
          <w:bCs/>
          <w:color w:val="000000"/>
          <w:sz w:val="20"/>
          <w:szCs w:val="20"/>
        </w:rPr>
        <w:t>bps:</w:t>
      </w:r>
      <w:r>
        <w:rPr>
          <w:rFonts w:eastAsia="Times New Roman"/>
          <w:color w:val="000000"/>
          <w:sz w:val="20"/>
          <w:szCs w:val="20"/>
        </w:rPr>
        <w:t xml:space="preserve"> Basis points</w:t>
      </w:r>
    </w:p>
    <w:p w14:paraId="30130625" w14:textId="77777777" w:rsidR="00000000" w:rsidRDefault="00A173A8">
      <w:pPr>
        <w:jc w:val="both"/>
        <w:divId w:val="1433435568"/>
        <w:rPr>
          <w:rFonts w:eastAsia="Times New Roman"/>
        </w:rPr>
      </w:pPr>
      <w:r>
        <w:rPr>
          <w:rFonts w:eastAsia="Times New Roman"/>
          <w:b/>
          <w:bCs/>
          <w:color w:val="000000"/>
          <w:sz w:val="20"/>
          <w:szCs w:val="20"/>
        </w:rPr>
        <w:t xml:space="preserve">CAD: </w:t>
      </w:r>
      <w:r>
        <w:rPr>
          <w:rFonts w:eastAsia="Times New Roman"/>
          <w:color w:val="000000"/>
          <w:sz w:val="20"/>
          <w:szCs w:val="20"/>
        </w:rPr>
        <w:t>Canadian dollar</w:t>
      </w:r>
    </w:p>
    <w:p w14:paraId="64DF9500" w14:textId="77777777" w:rsidR="00000000" w:rsidRDefault="00A173A8">
      <w:pPr>
        <w:jc w:val="both"/>
        <w:divId w:val="34355307"/>
        <w:rPr>
          <w:rFonts w:eastAsia="Times New Roman"/>
        </w:rPr>
      </w:pPr>
      <w:r>
        <w:rPr>
          <w:rFonts w:eastAsia="Times New Roman"/>
          <w:b/>
          <w:bCs/>
          <w:color w:val="000000"/>
          <w:sz w:val="20"/>
          <w:szCs w:val="20"/>
        </w:rPr>
        <w:t xml:space="preserve">CARES: </w:t>
      </w:r>
      <w:r>
        <w:rPr>
          <w:rFonts w:eastAsia="Times New Roman"/>
          <w:color w:val="000000"/>
          <w:sz w:val="20"/>
          <w:szCs w:val="20"/>
        </w:rPr>
        <w:t>Coronavirus Aid, Relief, and Economic Securi</w:t>
      </w:r>
      <w:r>
        <w:rPr>
          <w:rFonts w:eastAsia="Times New Roman"/>
          <w:color w:val="000000"/>
          <w:sz w:val="20"/>
          <w:szCs w:val="20"/>
        </w:rPr>
        <w:t>ty</w:t>
      </w:r>
    </w:p>
    <w:p w14:paraId="70641FDA" w14:textId="77777777" w:rsidR="00000000" w:rsidRDefault="00A173A8">
      <w:pPr>
        <w:jc w:val="both"/>
        <w:divId w:val="1946495307"/>
        <w:rPr>
          <w:rFonts w:eastAsia="Times New Roman"/>
        </w:rPr>
      </w:pPr>
      <w:r>
        <w:rPr>
          <w:rFonts w:eastAsia="Times New Roman"/>
          <w:b/>
          <w:bCs/>
          <w:color w:val="000000"/>
          <w:sz w:val="20"/>
          <w:szCs w:val="20"/>
        </w:rPr>
        <w:t xml:space="preserve">CCAR: </w:t>
      </w:r>
      <w:r>
        <w:rPr>
          <w:rFonts w:eastAsia="Times New Roman"/>
          <w:color w:val="000000"/>
          <w:sz w:val="20"/>
          <w:szCs w:val="20"/>
        </w:rPr>
        <w:t>Comprehensive Capital Analysis and Review</w:t>
      </w:r>
    </w:p>
    <w:p w14:paraId="4C26DBE4" w14:textId="77777777" w:rsidR="00000000" w:rsidRDefault="00A173A8">
      <w:pPr>
        <w:jc w:val="both"/>
        <w:divId w:val="614941105"/>
        <w:rPr>
          <w:rFonts w:eastAsia="Times New Roman"/>
        </w:rPr>
      </w:pPr>
      <w:r>
        <w:rPr>
          <w:rFonts w:eastAsia="Times New Roman"/>
          <w:b/>
          <w:bCs/>
          <w:color w:val="000000"/>
          <w:sz w:val="20"/>
          <w:szCs w:val="20"/>
        </w:rPr>
        <w:t>CCP:</w:t>
      </w:r>
      <w:r>
        <w:rPr>
          <w:rFonts w:eastAsia="Times New Roman"/>
          <w:color w:val="000000"/>
          <w:sz w:val="20"/>
          <w:szCs w:val="20"/>
        </w:rPr>
        <w:t xml:space="preserve"> Central Counterparty Clearinghouse, or Central Clearinghouse</w:t>
      </w:r>
    </w:p>
    <w:p w14:paraId="09CE90AC" w14:textId="77777777" w:rsidR="00000000" w:rsidRDefault="00A173A8">
      <w:pPr>
        <w:jc w:val="both"/>
        <w:divId w:val="967973457"/>
        <w:rPr>
          <w:rFonts w:eastAsia="Times New Roman"/>
        </w:rPr>
      </w:pPr>
      <w:r>
        <w:rPr>
          <w:rFonts w:eastAsia="Times New Roman"/>
          <w:b/>
          <w:bCs/>
          <w:color w:val="000000"/>
          <w:sz w:val="20"/>
          <w:szCs w:val="20"/>
        </w:rPr>
        <w:t>CDE:</w:t>
      </w:r>
      <w:r>
        <w:rPr>
          <w:rFonts w:eastAsia="Times New Roman"/>
          <w:color w:val="000000"/>
          <w:sz w:val="20"/>
          <w:szCs w:val="20"/>
        </w:rPr>
        <w:t xml:space="preserve"> Community development entities </w:t>
      </w:r>
    </w:p>
    <w:p w14:paraId="5490DDF7" w14:textId="77777777" w:rsidR="00000000" w:rsidRDefault="00A173A8">
      <w:pPr>
        <w:jc w:val="both"/>
        <w:divId w:val="760181391"/>
        <w:rPr>
          <w:rFonts w:eastAsia="Times New Roman"/>
        </w:rPr>
      </w:pPr>
      <w:r>
        <w:rPr>
          <w:rFonts w:eastAsia="Times New Roman"/>
          <w:b/>
          <w:bCs/>
          <w:color w:val="000000"/>
          <w:sz w:val="20"/>
          <w:szCs w:val="20"/>
        </w:rPr>
        <w:t xml:space="preserve">CECL: </w:t>
      </w:r>
      <w:r>
        <w:rPr>
          <w:rFonts w:eastAsia="Times New Roman"/>
          <w:color w:val="000000"/>
          <w:sz w:val="20"/>
          <w:szCs w:val="20"/>
        </w:rPr>
        <w:t>Current expected credit loss</w:t>
      </w:r>
    </w:p>
    <w:p w14:paraId="54A03182" w14:textId="77777777" w:rsidR="00000000" w:rsidRDefault="00A173A8">
      <w:pPr>
        <w:jc w:val="both"/>
        <w:divId w:val="170607824"/>
        <w:rPr>
          <w:rFonts w:eastAsia="Times New Roman"/>
        </w:rPr>
      </w:pPr>
      <w:r>
        <w:rPr>
          <w:rFonts w:eastAsia="Times New Roman"/>
          <w:b/>
          <w:bCs/>
          <w:color w:val="000000"/>
          <w:sz w:val="20"/>
          <w:szCs w:val="20"/>
        </w:rPr>
        <w:t xml:space="preserve">CET1: </w:t>
      </w:r>
      <w:r>
        <w:rPr>
          <w:rFonts w:eastAsia="Times New Roman"/>
          <w:color w:val="000000"/>
          <w:sz w:val="20"/>
          <w:szCs w:val="20"/>
        </w:rPr>
        <w:t>Common equity Tier 1 capital</w:t>
      </w:r>
    </w:p>
    <w:p w14:paraId="20982DD5" w14:textId="77777777" w:rsidR="00000000" w:rsidRDefault="00A173A8">
      <w:pPr>
        <w:jc w:val="both"/>
        <w:divId w:val="224151251"/>
        <w:rPr>
          <w:rFonts w:eastAsia="Times New Roman"/>
        </w:rPr>
      </w:pPr>
      <w:r>
        <w:rPr>
          <w:rFonts w:eastAsia="Times New Roman"/>
          <w:b/>
          <w:bCs/>
          <w:color w:val="000000"/>
          <w:sz w:val="20"/>
          <w:szCs w:val="20"/>
        </w:rPr>
        <w:t xml:space="preserve">CMBS: </w:t>
      </w:r>
      <w:r>
        <w:rPr>
          <w:rFonts w:eastAsia="Times New Roman"/>
          <w:color w:val="000000"/>
          <w:sz w:val="20"/>
          <w:szCs w:val="20"/>
        </w:rPr>
        <w:t>Commercial mortgage-backed securities</w:t>
      </w:r>
    </w:p>
    <w:p w14:paraId="0923038C" w14:textId="77777777" w:rsidR="00000000" w:rsidRDefault="00A173A8">
      <w:pPr>
        <w:jc w:val="both"/>
        <w:divId w:val="393166115"/>
        <w:rPr>
          <w:rFonts w:eastAsia="Times New Roman"/>
        </w:rPr>
      </w:pPr>
      <w:r>
        <w:rPr>
          <w:rFonts w:eastAsia="Times New Roman"/>
          <w:b/>
          <w:bCs/>
          <w:color w:val="000000"/>
          <w:sz w:val="20"/>
          <w:szCs w:val="20"/>
        </w:rPr>
        <w:t>CME:</w:t>
      </w:r>
      <w:r>
        <w:rPr>
          <w:rFonts w:eastAsia="Times New Roman"/>
          <w:color w:val="000000"/>
          <w:sz w:val="20"/>
          <w:szCs w:val="20"/>
        </w:rPr>
        <w:t xml:space="preserve"> Chicago Mercantile Exchange</w:t>
      </w:r>
    </w:p>
    <w:p w14:paraId="1F4BCA0F" w14:textId="77777777" w:rsidR="00000000" w:rsidRDefault="00A173A8">
      <w:pPr>
        <w:jc w:val="both"/>
        <w:divId w:val="274482221"/>
        <w:rPr>
          <w:rFonts w:eastAsia="Times New Roman"/>
        </w:rPr>
      </w:pPr>
      <w:r>
        <w:rPr>
          <w:rFonts w:eastAsia="Times New Roman"/>
          <w:b/>
          <w:bCs/>
          <w:color w:val="000000"/>
          <w:sz w:val="20"/>
          <w:szCs w:val="20"/>
        </w:rPr>
        <w:t>COEP:</w:t>
      </w:r>
      <w:r>
        <w:rPr>
          <w:rFonts w:eastAsia="Times New Roman"/>
          <w:color w:val="000000"/>
          <w:sz w:val="20"/>
          <w:szCs w:val="20"/>
        </w:rPr>
        <w:t xml:space="preserve"> Capital One (Europe) plc</w:t>
      </w:r>
    </w:p>
    <w:p w14:paraId="39935DC4" w14:textId="77777777" w:rsidR="00000000" w:rsidRDefault="00A173A8">
      <w:pPr>
        <w:jc w:val="both"/>
        <w:divId w:val="107437057"/>
        <w:rPr>
          <w:rFonts w:eastAsia="Times New Roman"/>
        </w:rPr>
      </w:pPr>
      <w:r>
        <w:rPr>
          <w:rFonts w:eastAsia="Times New Roman"/>
          <w:b/>
          <w:bCs/>
          <w:color w:val="000000"/>
          <w:sz w:val="20"/>
          <w:szCs w:val="20"/>
        </w:rPr>
        <w:t>COF:</w:t>
      </w:r>
      <w:r>
        <w:rPr>
          <w:rFonts w:eastAsia="Times New Roman"/>
          <w:color w:val="000000"/>
          <w:sz w:val="20"/>
          <w:szCs w:val="20"/>
        </w:rPr>
        <w:t xml:space="preserve"> Capital One Financial Corporation</w:t>
      </w:r>
    </w:p>
    <w:p w14:paraId="65810A82" w14:textId="77777777" w:rsidR="00000000" w:rsidRDefault="00A173A8">
      <w:pPr>
        <w:jc w:val="both"/>
        <w:divId w:val="1017194032"/>
        <w:rPr>
          <w:rFonts w:eastAsia="Times New Roman"/>
        </w:rPr>
      </w:pPr>
      <w:r>
        <w:rPr>
          <w:rFonts w:eastAsia="Times New Roman"/>
          <w:b/>
          <w:bCs/>
          <w:color w:val="000000"/>
          <w:sz w:val="20"/>
          <w:szCs w:val="20"/>
        </w:rPr>
        <w:t xml:space="preserve">COVID-19: </w:t>
      </w:r>
      <w:r>
        <w:rPr>
          <w:rFonts w:eastAsia="Times New Roman"/>
          <w:color w:val="000000"/>
          <w:sz w:val="20"/>
          <w:szCs w:val="20"/>
        </w:rPr>
        <w:t>Coronavirus disease of 2019</w:t>
      </w:r>
    </w:p>
    <w:p w14:paraId="227D030E" w14:textId="77777777" w:rsidR="00000000" w:rsidRDefault="00A173A8">
      <w:pPr>
        <w:jc w:val="both"/>
        <w:divId w:val="30767365"/>
        <w:rPr>
          <w:rFonts w:eastAsia="Times New Roman"/>
        </w:rPr>
      </w:pPr>
      <w:r>
        <w:rPr>
          <w:rFonts w:eastAsia="Times New Roman"/>
          <w:b/>
          <w:bCs/>
          <w:color w:val="000000"/>
          <w:sz w:val="20"/>
          <w:szCs w:val="20"/>
        </w:rPr>
        <w:t xml:space="preserve">CVA: </w:t>
      </w:r>
      <w:r>
        <w:rPr>
          <w:rFonts w:eastAsia="Times New Roman"/>
          <w:color w:val="000000"/>
          <w:sz w:val="20"/>
          <w:szCs w:val="20"/>
        </w:rPr>
        <w:t>Credit valuation adjustment</w:t>
      </w:r>
    </w:p>
    <w:p w14:paraId="30EB0428" w14:textId="77777777" w:rsidR="00000000" w:rsidRDefault="00A173A8">
      <w:pPr>
        <w:jc w:val="both"/>
        <w:divId w:val="1821847867"/>
        <w:rPr>
          <w:rFonts w:eastAsia="Times New Roman"/>
        </w:rPr>
      </w:pPr>
      <w:r>
        <w:rPr>
          <w:rFonts w:eastAsia="Times New Roman"/>
          <w:b/>
          <w:bCs/>
          <w:color w:val="000000"/>
          <w:sz w:val="20"/>
          <w:szCs w:val="20"/>
        </w:rPr>
        <w:t>DCF:</w:t>
      </w:r>
      <w:r>
        <w:rPr>
          <w:rFonts w:eastAsia="Times New Roman"/>
          <w:color w:val="000000"/>
          <w:sz w:val="20"/>
          <w:szCs w:val="20"/>
        </w:rPr>
        <w:t xml:space="preserve"> Discounted cash flow</w:t>
      </w:r>
    </w:p>
    <w:p w14:paraId="430B44BA" w14:textId="77777777" w:rsidR="00000000" w:rsidRDefault="00A173A8">
      <w:pPr>
        <w:jc w:val="both"/>
        <w:divId w:val="1229418890"/>
        <w:rPr>
          <w:rFonts w:eastAsia="Times New Roman"/>
        </w:rPr>
      </w:pPr>
      <w:r>
        <w:rPr>
          <w:rFonts w:eastAsia="Times New Roman"/>
          <w:b/>
          <w:bCs/>
          <w:color w:val="000000"/>
          <w:sz w:val="20"/>
          <w:szCs w:val="20"/>
        </w:rPr>
        <w:t>DIF</w:t>
      </w:r>
      <w:r>
        <w:rPr>
          <w:rFonts w:eastAsia="Times New Roman"/>
          <w:color w:val="000000"/>
          <w:sz w:val="20"/>
          <w:szCs w:val="20"/>
        </w:rPr>
        <w:t>: Deposit Insurance Fund</w:t>
      </w:r>
    </w:p>
    <w:p w14:paraId="22587760" w14:textId="77777777" w:rsidR="00000000" w:rsidRDefault="00A173A8">
      <w:pPr>
        <w:jc w:val="both"/>
        <w:divId w:val="1437363069"/>
        <w:rPr>
          <w:rFonts w:eastAsia="Times New Roman"/>
        </w:rPr>
      </w:pPr>
      <w:r>
        <w:rPr>
          <w:rFonts w:eastAsia="Times New Roman"/>
          <w:b/>
          <w:bCs/>
          <w:color w:val="000000"/>
          <w:sz w:val="20"/>
          <w:szCs w:val="20"/>
        </w:rPr>
        <w:t xml:space="preserve">DVA: </w:t>
      </w:r>
      <w:r>
        <w:rPr>
          <w:rFonts w:eastAsia="Times New Roman"/>
          <w:color w:val="000000"/>
          <w:sz w:val="20"/>
          <w:szCs w:val="20"/>
        </w:rPr>
        <w:t xml:space="preserve">Debit valuation adjustment </w:t>
      </w:r>
    </w:p>
    <w:p w14:paraId="36E8759E" w14:textId="77777777" w:rsidR="00000000" w:rsidRDefault="00A173A8">
      <w:pPr>
        <w:jc w:val="both"/>
        <w:divId w:val="977996132"/>
        <w:rPr>
          <w:rFonts w:eastAsia="Times New Roman"/>
        </w:rPr>
      </w:pPr>
      <w:r>
        <w:rPr>
          <w:rFonts w:eastAsia="Times New Roman"/>
          <w:b/>
          <w:bCs/>
          <w:color w:val="000000"/>
          <w:sz w:val="20"/>
          <w:szCs w:val="20"/>
        </w:rPr>
        <w:t>EUR:</w:t>
      </w:r>
      <w:r>
        <w:rPr>
          <w:rFonts w:eastAsia="Times New Roman"/>
          <w:color w:val="000000"/>
          <w:sz w:val="20"/>
          <w:szCs w:val="20"/>
        </w:rPr>
        <w:t xml:space="preserve"> Euro</w:t>
      </w:r>
    </w:p>
    <w:p w14:paraId="0EF4FCC7" w14:textId="77777777" w:rsidR="00000000" w:rsidRDefault="00A173A8">
      <w:pPr>
        <w:jc w:val="both"/>
        <w:divId w:val="1249117548"/>
        <w:rPr>
          <w:rFonts w:eastAsia="Times New Roman"/>
        </w:rPr>
      </w:pPr>
      <w:r>
        <w:rPr>
          <w:rFonts w:eastAsia="Times New Roman"/>
          <w:b/>
          <w:bCs/>
          <w:color w:val="000000"/>
          <w:sz w:val="20"/>
          <w:szCs w:val="20"/>
        </w:rPr>
        <w:t xml:space="preserve">Fannie Mae: </w:t>
      </w:r>
      <w:r>
        <w:rPr>
          <w:rFonts w:eastAsia="Times New Roman"/>
          <w:color w:val="000000"/>
          <w:sz w:val="20"/>
          <w:szCs w:val="20"/>
        </w:rPr>
        <w:t>Federal National Mortgage Association</w:t>
      </w:r>
    </w:p>
    <w:p w14:paraId="6792119E" w14:textId="77777777" w:rsidR="00000000" w:rsidRDefault="00A173A8">
      <w:pPr>
        <w:jc w:val="both"/>
        <w:divId w:val="207030544"/>
        <w:rPr>
          <w:rFonts w:eastAsia="Times New Roman"/>
        </w:rPr>
      </w:pPr>
      <w:r>
        <w:rPr>
          <w:rFonts w:eastAsia="Times New Roman"/>
          <w:b/>
          <w:bCs/>
          <w:color w:val="000000"/>
          <w:sz w:val="20"/>
          <w:szCs w:val="20"/>
        </w:rPr>
        <w:t>FASB:</w:t>
      </w:r>
      <w:r>
        <w:rPr>
          <w:rFonts w:eastAsia="Times New Roman"/>
          <w:color w:val="000000"/>
          <w:sz w:val="20"/>
          <w:szCs w:val="20"/>
        </w:rPr>
        <w:t xml:space="preserve"> Financial Accounting Standards Board</w:t>
      </w:r>
    </w:p>
    <w:p w14:paraId="69BAC47F" w14:textId="77777777" w:rsidR="00000000" w:rsidRDefault="00A173A8">
      <w:pPr>
        <w:jc w:val="both"/>
        <w:divId w:val="1022628214"/>
        <w:rPr>
          <w:rFonts w:eastAsia="Times New Roman"/>
        </w:rPr>
      </w:pPr>
      <w:r>
        <w:rPr>
          <w:rFonts w:eastAsia="Times New Roman"/>
          <w:b/>
          <w:bCs/>
          <w:color w:val="000000"/>
          <w:sz w:val="20"/>
          <w:szCs w:val="20"/>
        </w:rPr>
        <w:t xml:space="preserve">FCA: </w:t>
      </w:r>
      <w:r>
        <w:rPr>
          <w:rFonts w:eastAsia="Times New Roman"/>
          <w:color w:val="000000"/>
          <w:sz w:val="20"/>
          <w:szCs w:val="20"/>
        </w:rPr>
        <w:t>U.K. Financial Conduct Authority</w:t>
      </w:r>
    </w:p>
    <w:p w14:paraId="3D111DC5" w14:textId="77777777" w:rsidR="00000000" w:rsidRDefault="00A173A8">
      <w:pPr>
        <w:jc w:val="both"/>
        <w:divId w:val="2042515413"/>
        <w:rPr>
          <w:rFonts w:eastAsia="Times New Roman"/>
        </w:rPr>
      </w:pPr>
      <w:r>
        <w:rPr>
          <w:rFonts w:eastAsia="Times New Roman"/>
          <w:b/>
          <w:bCs/>
          <w:color w:val="000000"/>
          <w:sz w:val="20"/>
          <w:szCs w:val="20"/>
        </w:rPr>
        <w:t>FCM:</w:t>
      </w:r>
      <w:r>
        <w:rPr>
          <w:rFonts w:eastAsia="Times New Roman"/>
          <w:color w:val="000000"/>
          <w:sz w:val="20"/>
          <w:szCs w:val="20"/>
        </w:rPr>
        <w:t xml:space="preserve"> Futures commission merchant</w:t>
      </w:r>
    </w:p>
    <w:p w14:paraId="54AFDC0B" w14:textId="77777777" w:rsidR="00000000" w:rsidRDefault="00A173A8">
      <w:pPr>
        <w:jc w:val="both"/>
        <w:divId w:val="905452740"/>
        <w:rPr>
          <w:rFonts w:eastAsia="Times New Roman"/>
        </w:rPr>
      </w:pPr>
      <w:r>
        <w:rPr>
          <w:rFonts w:eastAsia="Times New Roman"/>
          <w:b/>
          <w:bCs/>
          <w:color w:val="000000"/>
          <w:sz w:val="20"/>
          <w:szCs w:val="20"/>
        </w:rPr>
        <w:t>FDIC:</w:t>
      </w:r>
      <w:r>
        <w:rPr>
          <w:rFonts w:eastAsia="Times New Roman"/>
          <w:color w:val="000000"/>
          <w:sz w:val="20"/>
          <w:szCs w:val="20"/>
        </w:rPr>
        <w:t xml:space="preserve"> Federal Deposit In</w:t>
      </w:r>
      <w:r>
        <w:rPr>
          <w:rFonts w:eastAsia="Times New Roman"/>
          <w:color w:val="000000"/>
          <w:sz w:val="20"/>
          <w:szCs w:val="20"/>
        </w:rPr>
        <w:t xml:space="preserve">surance Corporation </w:t>
      </w:r>
    </w:p>
    <w:p w14:paraId="799964CA" w14:textId="77777777" w:rsidR="00000000" w:rsidRDefault="00A173A8">
      <w:pPr>
        <w:divId w:val="530454238"/>
        <w:rPr>
          <w:rFonts w:eastAsia="Times New Roman"/>
        </w:rPr>
      </w:pPr>
      <w:r>
        <w:rPr>
          <w:rFonts w:eastAsia="Times New Roman"/>
          <w:b/>
          <w:bCs/>
          <w:color w:val="000000"/>
          <w:sz w:val="20"/>
          <w:szCs w:val="20"/>
        </w:rPr>
        <w:t xml:space="preserve">FFIEC: </w:t>
      </w:r>
      <w:r>
        <w:rPr>
          <w:rFonts w:eastAsia="Times New Roman"/>
          <w:color w:val="000000"/>
          <w:sz w:val="20"/>
          <w:szCs w:val="20"/>
        </w:rPr>
        <w:t>Federal Financial Institutions Examination Council</w:t>
      </w:r>
    </w:p>
    <w:p w14:paraId="0CBC8E93" w14:textId="77777777" w:rsidR="00000000" w:rsidRDefault="00A173A8">
      <w:pPr>
        <w:jc w:val="both"/>
        <w:divId w:val="1131288486"/>
        <w:rPr>
          <w:rFonts w:eastAsia="Times New Roman"/>
        </w:rPr>
      </w:pPr>
      <w:r>
        <w:rPr>
          <w:rFonts w:eastAsia="Times New Roman"/>
          <w:b/>
          <w:bCs/>
          <w:color w:val="000000"/>
          <w:sz w:val="20"/>
          <w:szCs w:val="20"/>
        </w:rPr>
        <w:t xml:space="preserve">FHLB: </w:t>
      </w:r>
      <w:r>
        <w:rPr>
          <w:rFonts w:eastAsia="Times New Roman"/>
          <w:color w:val="000000"/>
          <w:sz w:val="20"/>
          <w:szCs w:val="20"/>
        </w:rPr>
        <w:t>Federal Home Loan Banks</w:t>
      </w:r>
    </w:p>
    <w:p w14:paraId="38B6542D" w14:textId="77777777" w:rsidR="00000000" w:rsidRDefault="00A173A8">
      <w:pPr>
        <w:jc w:val="both"/>
        <w:divId w:val="1164396108"/>
        <w:rPr>
          <w:rFonts w:eastAsia="Times New Roman"/>
        </w:rPr>
      </w:pPr>
      <w:r>
        <w:rPr>
          <w:rFonts w:eastAsia="Times New Roman"/>
          <w:b/>
          <w:bCs/>
          <w:color w:val="000000"/>
          <w:sz w:val="20"/>
          <w:szCs w:val="20"/>
        </w:rPr>
        <w:t xml:space="preserve">Fitch: </w:t>
      </w:r>
      <w:r>
        <w:rPr>
          <w:rFonts w:eastAsia="Times New Roman"/>
          <w:color w:val="000000"/>
          <w:sz w:val="20"/>
          <w:szCs w:val="20"/>
        </w:rPr>
        <w:t>Fitch Ratings</w:t>
      </w:r>
    </w:p>
    <w:p w14:paraId="45C813B8" w14:textId="77777777" w:rsidR="00000000" w:rsidRDefault="00A173A8">
      <w:pPr>
        <w:jc w:val="both"/>
        <w:divId w:val="1665739942"/>
        <w:rPr>
          <w:rFonts w:eastAsia="Times New Roman"/>
        </w:rPr>
      </w:pPr>
      <w:r>
        <w:rPr>
          <w:rFonts w:eastAsia="Times New Roman"/>
          <w:b/>
          <w:bCs/>
          <w:color w:val="000000"/>
          <w:sz w:val="20"/>
          <w:szCs w:val="20"/>
        </w:rPr>
        <w:t>Freddie Mac:</w:t>
      </w:r>
      <w:r>
        <w:rPr>
          <w:rFonts w:ascii="Arial" w:eastAsia="Times New Roman" w:hAnsi="Arial" w:cs="Arial"/>
          <w:color w:val="000000"/>
          <w:sz w:val="20"/>
          <w:szCs w:val="20"/>
        </w:rPr>
        <w:t xml:space="preserve"> </w:t>
      </w:r>
      <w:r>
        <w:rPr>
          <w:rFonts w:eastAsia="Times New Roman"/>
          <w:color w:val="000000"/>
          <w:sz w:val="20"/>
          <w:szCs w:val="20"/>
        </w:rPr>
        <w:t>Federal Home Loan Mortgage Corporation</w:t>
      </w:r>
    </w:p>
    <w:p w14:paraId="27A95DBA" w14:textId="77777777" w:rsidR="00000000" w:rsidRDefault="00A173A8">
      <w:pPr>
        <w:jc w:val="both"/>
        <w:divId w:val="2072193571"/>
        <w:rPr>
          <w:rFonts w:eastAsia="Times New Roman"/>
        </w:rPr>
      </w:pPr>
      <w:r>
        <w:rPr>
          <w:rFonts w:eastAsia="Times New Roman"/>
          <w:b/>
          <w:bCs/>
          <w:color w:val="000000"/>
          <w:sz w:val="20"/>
          <w:szCs w:val="20"/>
        </w:rPr>
        <w:t xml:space="preserve">GAAP: </w:t>
      </w:r>
      <w:r>
        <w:rPr>
          <w:rFonts w:eastAsia="Times New Roman"/>
          <w:color w:val="000000"/>
          <w:sz w:val="20"/>
          <w:szCs w:val="20"/>
        </w:rPr>
        <w:t>Generally accepted accounting principles in the U.S.</w:t>
      </w:r>
    </w:p>
    <w:p w14:paraId="277D60EB" w14:textId="77777777" w:rsidR="00000000" w:rsidRDefault="00A173A8">
      <w:pPr>
        <w:jc w:val="both"/>
        <w:divId w:val="525097427"/>
        <w:rPr>
          <w:rFonts w:eastAsia="Times New Roman"/>
        </w:rPr>
      </w:pPr>
      <w:r>
        <w:rPr>
          <w:rFonts w:eastAsia="Times New Roman"/>
          <w:b/>
          <w:bCs/>
          <w:color w:val="000000"/>
          <w:sz w:val="20"/>
          <w:szCs w:val="20"/>
        </w:rPr>
        <w:t xml:space="preserve">GBP: </w:t>
      </w:r>
      <w:r>
        <w:rPr>
          <w:rFonts w:eastAsia="Times New Roman"/>
          <w:color w:val="000000"/>
          <w:sz w:val="20"/>
          <w:szCs w:val="20"/>
        </w:rPr>
        <w:t>Pound ster</w:t>
      </w:r>
      <w:r>
        <w:rPr>
          <w:rFonts w:eastAsia="Times New Roman"/>
          <w:color w:val="000000"/>
          <w:sz w:val="20"/>
          <w:szCs w:val="20"/>
        </w:rPr>
        <w:t>ling</w:t>
      </w:r>
    </w:p>
    <w:p w14:paraId="0FFBE1A1" w14:textId="77777777" w:rsidR="00000000" w:rsidRDefault="00A173A8">
      <w:pPr>
        <w:jc w:val="both"/>
        <w:divId w:val="70348459"/>
        <w:rPr>
          <w:rFonts w:eastAsia="Times New Roman"/>
        </w:rPr>
      </w:pPr>
      <w:r>
        <w:rPr>
          <w:rFonts w:eastAsia="Times New Roman"/>
          <w:b/>
          <w:bCs/>
          <w:color w:val="000000"/>
          <w:sz w:val="20"/>
          <w:szCs w:val="20"/>
        </w:rPr>
        <w:t>GDP:</w:t>
      </w:r>
      <w:r>
        <w:rPr>
          <w:rFonts w:eastAsia="Times New Roman"/>
          <w:color w:val="000000"/>
          <w:sz w:val="20"/>
          <w:szCs w:val="20"/>
        </w:rPr>
        <w:t xml:space="preserve"> U.S. Real Gross Domestic Product</w:t>
      </w:r>
    </w:p>
    <w:p w14:paraId="4D0B9130" w14:textId="77777777" w:rsidR="00000000" w:rsidRDefault="00A173A8">
      <w:pPr>
        <w:jc w:val="both"/>
        <w:divId w:val="930889162"/>
        <w:rPr>
          <w:rFonts w:eastAsia="Times New Roman"/>
        </w:rPr>
      </w:pPr>
      <w:r>
        <w:rPr>
          <w:rFonts w:eastAsia="Times New Roman"/>
          <w:b/>
          <w:bCs/>
          <w:color w:val="000000"/>
          <w:sz w:val="20"/>
          <w:szCs w:val="20"/>
        </w:rPr>
        <w:t>Ginnie Mae:</w:t>
      </w:r>
      <w:r>
        <w:rPr>
          <w:rFonts w:ascii="Arial" w:eastAsia="Times New Roman" w:hAnsi="Arial" w:cs="Arial"/>
          <w:color w:val="000000"/>
          <w:sz w:val="20"/>
          <w:szCs w:val="20"/>
        </w:rPr>
        <w:t xml:space="preserve"> </w:t>
      </w:r>
      <w:r>
        <w:rPr>
          <w:rFonts w:eastAsia="Times New Roman"/>
          <w:color w:val="000000"/>
          <w:sz w:val="20"/>
          <w:szCs w:val="20"/>
        </w:rPr>
        <w:t>Government National Mortgage Association</w:t>
      </w:r>
    </w:p>
    <w:p w14:paraId="4FCDC504" w14:textId="77777777" w:rsidR="00000000" w:rsidRDefault="00A173A8">
      <w:pPr>
        <w:jc w:val="both"/>
        <w:divId w:val="2025008025"/>
        <w:rPr>
          <w:rFonts w:eastAsia="Times New Roman"/>
        </w:rPr>
      </w:pPr>
      <w:r>
        <w:rPr>
          <w:rFonts w:eastAsia="Times New Roman"/>
          <w:b/>
          <w:bCs/>
          <w:color w:val="000000"/>
          <w:sz w:val="20"/>
          <w:szCs w:val="20"/>
        </w:rPr>
        <w:t>G-SIB:</w:t>
      </w:r>
      <w:r>
        <w:rPr>
          <w:rFonts w:ascii="Arial" w:eastAsia="Times New Roman" w:hAnsi="Arial" w:cs="Arial"/>
          <w:color w:val="000000"/>
          <w:sz w:val="20"/>
          <w:szCs w:val="20"/>
        </w:rPr>
        <w:t xml:space="preserve"> </w:t>
      </w:r>
      <w:r>
        <w:rPr>
          <w:rFonts w:eastAsia="Times New Roman"/>
          <w:color w:val="000000"/>
          <w:sz w:val="20"/>
          <w:szCs w:val="20"/>
        </w:rPr>
        <w:t>Global systemically important banks</w:t>
      </w:r>
    </w:p>
    <w:p w14:paraId="240BF77B" w14:textId="77777777" w:rsidR="00000000" w:rsidRDefault="00A173A8">
      <w:pPr>
        <w:jc w:val="both"/>
        <w:divId w:val="802432331"/>
        <w:rPr>
          <w:rFonts w:eastAsia="Times New Roman"/>
        </w:rPr>
      </w:pPr>
      <w:r>
        <w:rPr>
          <w:rFonts w:eastAsia="Times New Roman"/>
          <w:b/>
          <w:bCs/>
          <w:color w:val="000000"/>
          <w:sz w:val="20"/>
          <w:szCs w:val="20"/>
        </w:rPr>
        <w:t>GSE or Agency:</w:t>
      </w:r>
      <w:r>
        <w:rPr>
          <w:rFonts w:eastAsia="Times New Roman"/>
          <w:color w:val="000000"/>
          <w:sz w:val="20"/>
          <w:szCs w:val="20"/>
        </w:rPr>
        <w:t xml:space="preserve"> Government-sponsored enterprise</w:t>
      </w:r>
    </w:p>
    <w:p w14:paraId="7A21F908" w14:textId="77777777" w:rsidR="00000000" w:rsidRDefault="00A173A8">
      <w:pPr>
        <w:jc w:val="both"/>
        <w:divId w:val="1207139938"/>
        <w:rPr>
          <w:rFonts w:eastAsia="Times New Roman"/>
        </w:rPr>
      </w:pPr>
      <w:r>
        <w:rPr>
          <w:rFonts w:eastAsia="Times New Roman"/>
          <w:b/>
          <w:bCs/>
          <w:color w:val="000000"/>
          <w:sz w:val="20"/>
          <w:szCs w:val="20"/>
        </w:rPr>
        <w:t>IBA</w:t>
      </w:r>
      <w:r>
        <w:rPr>
          <w:rFonts w:eastAsia="Times New Roman"/>
          <w:color w:val="000000"/>
          <w:sz w:val="20"/>
          <w:szCs w:val="20"/>
        </w:rPr>
        <w:t>: ICE Benchmark Administration </w:t>
      </w:r>
    </w:p>
    <w:p w14:paraId="045B8F76" w14:textId="77777777" w:rsidR="00000000" w:rsidRDefault="00A173A8">
      <w:pPr>
        <w:jc w:val="both"/>
        <w:divId w:val="607078524"/>
        <w:rPr>
          <w:rFonts w:eastAsia="Times New Roman"/>
        </w:rPr>
      </w:pPr>
      <w:r>
        <w:rPr>
          <w:rFonts w:eastAsia="Times New Roman"/>
          <w:b/>
          <w:bCs/>
          <w:color w:val="000000"/>
          <w:sz w:val="20"/>
          <w:szCs w:val="20"/>
        </w:rPr>
        <w:t xml:space="preserve">ICE: </w:t>
      </w:r>
      <w:r>
        <w:rPr>
          <w:rFonts w:eastAsia="Times New Roman"/>
          <w:color w:val="000000"/>
          <w:sz w:val="20"/>
          <w:szCs w:val="20"/>
        </w:rPr>
        <w:t>Intercontinental Exchange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2280840" w14:textId="77777777">
        <w:trPr>
          <w:divId w:val="439883706"/>
          <w:jc w:val="center"/>
        </w:trPr>
        <w:tc>
          <w:tcPr>
            <w:tcW w:w="50" w:type="pct"/>
            <w:vAlign w:val="center"/>
            <w:hideMark/>
          </w:tcPr>
          <w:p w14:paraId="479B568B" w14:textId="77777777" w:rsidR="00000000" w:rsidRDefault="00A173A8">
            <w:pPr>
              <w:jc w:val="both"/>
              <w:rPr>
                <w:rFonts w:eastAsia="Times New Roman"/>
              </w:rPr>
            </w:pPr>
          </w:p>
        </w:tc>
        <w:tc>
          <w:tcPr>
            <w:tcW w:w="1606" w:type="pct"/>
            <w:vAlign w:val="center"/>
            <w:hideMark/>
          </w:tcPr>
          <w:p w14:paraId="2D53E093" w14:textId="77777777" w:rsidR="00000000" w:rsidRDefault="00A173A8">
            <w:pPr>
              <w:spacing w:after="100"/>
              <w:rPr>
                <w:rFonts w:eastAsia="Times New Roman"/>
                <w:sz w:val="20"/>
                <w:szCs w:val="20"/>
              </w:rPr>
            </w:pPr>
          </w:p>
        </w:tc>
        <w:tc>
          <w:tcPr>
            <w:tcW w:w="5" w:type="pct"/>
            <w:vAlign w:val="center"/>
            <w:hideMark/>
          </w:tcPr>
          <w:p w14:paraId="05DB2539" w14:textId="77777777" w:rsidR="00000000" w:rsidRDefault="00A173A8">
            <w:pPr>
              <w:spacing w:after="100"/>
              <w:rPr>
                <w:rFonts w:eastAsia="Times New Roman"/>
                <w:sz w:val="20"/>
                <w:szCs w:val="20"/>
              </w:rPr>
            </w:pPr>
          </w:p>
        </w:tc>
        <w:tc>
          <w:tcPr>
            <w:tcW w:w="50" w:type="pct"/>
            <w:vAlign w:val="center"/>
            <w:hideMark/>
          </w:tcPr>
          <w:p w14:paraId="432FA990" w14:textId="77777777" w:rsidR="00000000" w:rsidRDefault="00A173A8">
            <w:pPr>
              <w:spacing w:after="100"/>
              <w:rPr>
                <w:rFonts w:eastAsia="Times New Roman"/>
                <w:sz w:val="20"/>
                <w:szCs w:val="20"/>
              </w:rPr>
            </w:pPr>
          </w:p>
        </w:tc>
        <w:tc>
          <w:tcPr>
            <w:tcW w:w="1614" w:type="pct"/>
            <w:vAlign w:val="center"/>
            <w:hideMark/>
          </w:tcPr>
          <w:p w14:paraId="1688D973" w14:textId="77777777" w:rsidR="00000000" w:rsidRDefault="00A173A8">
            <w:pPr>
              <w:spacing w:after="100"/>
              <w:rPr>
                <w:rFonts w:eastAsia="Times New Roman"/>
                <w:sz w:val="20"/>
                <w:szCs w:val="20"/>
              </w:rPr>
            </w:pPr>
          </w:p>
        </w:tc>
        <w:tc>
          <w:tcPr>
            <w:tcW w:w="5" w:type="pct"/>
            <w:vAlign w:val="center"/>
            <w:hideMark/>
          </w:tcPr>
          <w:p w14:paraId="1B0AC5FB" w14:textId="77777777" w:rsidR="00000000" w:rsidRDefault="00A173A8">
            <w:pPr>
              <w:spacing w:after="100"/>
              <w:rPr>
                <w:rFonts w:eastAsia="Times New Roman"/>
                <w:sz w:val="20"/>
                <w:szCs w:val="20"/>
              </w:rPr>
            </w:pPr>
          </w:p>
        </w:tc>
        <w:tc>
          <w:tcPr>
            <w:tcW w:w="50" w:type="pct"/>
            <w:vAlign w:val="center"/>
            <w:hideMark/>
          </w:tcPr>
          <w:p w14:paraId="0759E050" w14:textId="77777777" w:rsidR="00000000" w:rsidRDefault="00A173A8">
            <w:pPr>
              <w:spacing w:after="100"/>
              <w:rPr>
                <w:rFonts w:eastAsia="Times New Roman"/>
                <w:sz w:val="20"/>
                <w:szCs w:val="20"/>
              </w:rPr>
            </w:pPr>
          </w:p>
        </w:tc>
        <w:tc>
          <w:tcPr>
            <w:tcW w:w="1614" w:type="pct"/>
            <w:vAlign w:val="center"/>
            <w:hideMark/>
          </w:tcPr>
          <w:p w14:paraId="1DFF2466" w14:textId="77777777" w:rsidR="00000000" w:rsidRDefault="00A173A8">
            <w:pPr>
              <w:spacing w:after="100"/>
              <w:rPr>
                <w:rFonts w:eastAsia="Times New Roman"/>
                <w:sz w:val="20"/>
                <w:szCs w:val="20"/>
              </w:rPr>
            </w:pPr>
          </w:p>
        </w:tc>
        <w:tc>
          <w:tcPr>
            <w:tcW w:w="5" w:type="pct"/>
            <w:vAlign w:val="center"/>
            <w:hideMark/>
          </w:tcPr>
          <w:p w14:paraId="60240D88" w14:textId="77777777" w:rsidR="00000000" w:rsidRDefault="00A173A8">
            <w:pPr>
              <w:spacing w:after="100"/>
              <w:rPr>
                <w:rFonts w:eastAsia="Times New Roman"/>
                <w:sz w:val="20"/>
                <w:szCs w:val="20"/>
              </w:rPr>
            </w:pPr>
          </w:p>
        </w:tc>
      </w:tr>
      <w:tr w:rsidR="00000000" w14:paraId="5FF74625" w14:textId="77777777">
        <w:trPr>
          <w:divId w:val="439883706"/>
          <w:trHeight w:val="300"/>
          <w:jc w:val="center"/>
        </w:trPr>
        <w:tc>
          <w:tcPr>
            <w:tcW w:w="0" w:type="auto"/>
            <w:gridSpan w:val="9"/>
            <w:tcMar>
              <w:top w:w="0" w:type="dxa"/>
              <w:left w:w="20" w:type="dxa"/>
              <w:bottom w:w="0" w:type="dxa"/>
              <w:right w:w="20" w:type="dxa"/>
            </w:tcMar>
            <w:vAlign w:val="center"/>
            <w:hideMark/>
          </w:tcPr>
          <w:p w14:paraId="34D16408" w14:textId="77777777" w:rsidR="00000000" w:rsidRDefault="00A173A8">
            <w:pPr>
              <w:spacing w:after="100"/>
              <w:rPr>
                <w:rFonts w:eastAsia="Times New Roman"/>
                <w:sz w:val="20"/>
                <w:szCs w:val="20"/>
              </w:rPr>
            </w:pPr>
          </w:p>
        </w:tc>
      </w:tr>
      <w:tr w:rsidR="00000000" w14:paraId="2F8C7BA4" w14:textId="77777777">
        <w:trPr>
          <w:divId w:val="439883706"/>
          <w:jc w:val="center"/>
        </w:trPr>
        <w:tc>
          <w:tcPr>
            <w:tcW w:w="0" w:type="auto"/>
            <w:gridSpan w:val="3"/>
            <w:tcMar>
              <w:top w:w="0" w:type="dxa"/>
              <w:left w:w="20" w:type="dxa"/>
              <w:bottom w:w="0" w:type="dxa"/>
              <w:right w:w="20" w:type="dxa"/>
            </w:tcMar>
            <w:vAlign w:val="center"/>
            <w:hideMark/>
          </w:tcPr>
          <w:p w14:paraId="2C4ADEF9"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F58AEA7" w14:textId="77777777" w:rsidR="00000000" w:rsidRDefault="00A173A8">
            <w:pPr>
              <w:spacing w:after="100"/>
              <w:jc w:val="center"/>
              <w:rPr>
                <w:rFonts w:eastAsia="Times New Roman"/>
              </w:rPr>
            </w:pPr>
            <w:r>
              <w:rPr>
                <w:rFonts w:eastAsia="Times New Roman"/>
                <w:color w:val="000000"/>
                <w:sz w:val="16"/>
                <w:szCs w:val="16"/>
              </w:rPr>
              <w:t>62</w:t>
            </w:r>
          </w:p>
        </w:tc>
        <w:tc>
          <w:tcPr>
            <w:tcW w:w="0" w:type="auto"/>
            <w:gridSpan w:val="3"/>
            <w:tcMar>
              <w:top w:w="30" w:type="dxa"/>
              <w:left w:w="20" w:type="dxa"/>
              <w:bottom w:w="30" w:type="dxa"/>
              <w:right w:w="20" w:type="dxa"/>
            </w:tcMar>
            <w:vAlign w:val="bottom"/>
            <w:hideMark/>
          </w:tcPr>
          <w:p w14:paraId="18311F5A"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B70020B" w14:textId="77777777" w:rsidR="00000000" w:rsidRDefault="00A173A8">
      <w:pPr>
        <w:rPr>
          <w:rFonts w:eastAsia="Times New Roman"/>
        </w:rPr>
      </w:pPr>
      <w:r>
        <w:rPr>
          <w:rFonts w:eastAsia="Times New Roman"/>
        </w:rPr>
        <w:pict w14:anchorId="28A59D6E">
          <v:rect id="_x0000_i1087" style="width:0;height:1.5pt" o:hralign="center" o:hrstd="t" o:hr="t" fillcolor="#a0a0a0" stroked="f"/>
        </w:pict>
      </w:r>
    </w:p>
    <w:p w14:paraId="530B3411" w14:textId="77777777" w:rsidR="00000000" w:rsidRDefault="00A173A8">
      <w:pPr>
        <w:ind w:hanging="360"/>
        <w:jc w:val="both"/>
        <w:divId w:val="20909548"/>
        <w:rPr>
          <w:rFonts w:eastAsia="Times New Roman"/>
        </w:rPr>
      </w:pPr>
      <w:hyperlink w:anchor="i7ffd5d61af6f4722b1b1b07530d51c06_13" w:history="1">
        <w:r>
          <w:rPr>
            <w:rStyle w:val="a3"/>
            <w:rFonts w:eastAsia="Times New Roman"/>
            <w:sz w:val="16"/>
            <w:szCs w:val="16"/>
          </w:rPr>
          <w:t>Table of Contents</w:t>
        </w:r>
      </w:hyperlink>
    </w:p>
    <w:p w14:paraId="6FD9425F" w14:textId="77777777" w:rsidR="00000000" w:rsidRDefault="00A173A8">
      <w:pPr>
        <w:jc w:val="both"/>
        <w:divId w:val="41565517"/>
        <w:rPr>
          <w:rFonts w:eastAsia="Times New Roman"/>
        </w:rPr>
      </w:pPr>
      <w:r>
        <w:rPr>
          <w:rFonts w:eastAsia="Times New Roman"/>
          <w:b/>
          <w:bCs/>
          <w:color w:val="000000"/>
          <w:sz w:val="20"/>
          <w:szCs w:val="20"/>
        </w:rPr>
        <w:t>IRM:</w:t>
      </w:r>
      <w:r>
        <w:rPr>
          <w:rFonts w:eastAsia="Times New Roman"/>
          <w:color w:val="000000"/>
          <w:sz w:val="20"/>
          <w:szCs w:val="20"/>
        </w:rPr>
        <w:t xml:space="preserve"> Independent Risk Management</w:t>
      </w:r>
    </w:p>
    <w:p w14:paraId="7CD41A50" w14:textId="77777777" w:rsidR="00000000" w:rsidRDefault="00A173A8">
      <w:pPr>
        <w:jc w:val="both"/>
        <w:divId w:val="1292859824"/>
        <w:rPr>
          <w:rFonts w:eastAsia="Times New Roman"/>
        </w:rPr>
      </w:pPr>
      <w:r>
        <w:rPr>
          <w:rFonts w:eastAsia="Times New Roman"/>
          <w:b/>
          <w:bCs/>
          <w:color w:val="000000"/>
          <w:sz w:val="20"/>
          <w:szCs w:val="20"/>
        </w:rPr>
        <w:t xml:space="preserve">ISDA: </w:t>
      </w:r>
      <w:r>
        <w:rPr>
          <w:rFonts w:eastAsia="Times New Roman"/>
          <w:color w:val="000000"/>
          <w:sz w:val="20"/>
          <w:szCs w:val="20"/>
        </w:rPr>
        <w:t>International Swaps and Derivatives Association</w:t>
      </w:r>
    </w:p>
    <w:p w14:paraId="70026D2A" w14:textId="77777777" w:rsidR="00000000" w:rsidRDefault="00A173A8">
      <w:pPr>
        <w:jc w:val="both"/>
        <w:divId w:val="1914506015"/>
        <w:rPr>
          <w:rFonts w:eastAsia="Times New Roman"/>
        </w:rPr>
      </w:pPr>
      <w:r>
        <w:rPr>
          <w:rFonts w:eastAsia="Times New Roman"/>
          <w:b/>
          <w:bCs/>
          <w:color w:val="000000"/>
          <w:sz w:val="20"/>
          <w:szCs w:val="20"/>
        </w:rPr>
        <w:t>LCH:</w:t>
      </w:r>
      <w:r>
        <w:rPr>
          <w:rFonts w:eastAsia="Times New Roman"/>
          <w:color w:val="000000"/>
          <w:sz w:val="20"/>
          <w:szCs w:val="20"/>
        </w:rPr>
        <w:t xml:space="preserve"> LCH Group</w:t>
      </w:r>
    </w:p>
    <w:p w14:paraId="2822D913" w14:textId="77777777" w:rsidR="00000000" w:rsidRDefault="00A173A8">
      <w:pPr>
        <w:jc w:val="both"/>
        <w:divId w:val="578516546"/>
        <w:rPr>
          <w:rFonts w:eastAsia="Times New Roman"/>
        </w:rPr>
      </w:pPr>
      <w:r>
        <w:rPr>
          <w:rFonts w:eastAsia="Times New Roman"/>
          <w:b/>
          <w:bCs/>
          <w:color w:val="000000"/>
          <w:sz w:val="20"/>
          <w:szCs w:val="20"/>
        </w:rPr>
        <w:t>LCR:</w:t>
      </w:r>
      <w:r>
        <w:rPr>
          <w:rFonts w:eastAsia="Times New Roman"/>
          <w:color w:val="000000"/>
          <w:sz w:val="20"/>
          <w:szCs w:val="20"/>
        </w:rPr>
        <w:t xml:space="preserve"> </w:t>
      </w:r>
      <w:r>
        <w:rPr>
          <w:rFonts w:eastAsia="Times New Roman"/>
          <w:color w:val="000000"/>
          <w:sz w:val="20"/>
          <w:szCs w:val="20"/>
        </w:rPr>
        <w:t>Liquidity coverage ratio</w:t>
      </w:r>
    </w:p>
    <w:p w14:paraId="5BEE6845" w14:textId="77777777" w:rsidR="00000000" w:rsidRDefault="00A173A8">
      <w:pPr>
        <w:jc w:val="both"/>
        <w:divId w:val="1786533637"/>
        <w:rPr>
          <w:rFonts w:eastAsia="Times New Roman"/>
        </w:rPr>
      </w:pPr>
      <w:r>
        <w:rPr>
          <w:rFonts w:eastAsia="Times New Roman"/>
          <w:b/>
          <w:bCs/>
          <w:color w:val="000000"/>
          <w:sz w:val="20"/>
          <w:szCs w:val="20"/>
        </w:rPr>
        <w:t>LIBOR:</w:t>
      </w:r>
      <w:r>
        <w:rPr>
          <w:rFonts w:ascii="Arial" w:eastAsia="Times New Roman" w:hAnsi="Arial" w:cs="Arial"/>
          <w:color w:val="000000"/>
          <w:sz w:val="20"/>
          <w:szCs w:val="20"/>
        </w:rPr>
        <w:t xml:space="preserve"> </w:t>
      </w:r>
      <w:r>
        <w:rPr>
          <w:rFonts w:eastAsia="Times New Roman"/>
          <w:color w:val="000000"/>
          <w:sz w:val="20"/>
          <w:szCs w:val="20"/>
        </w:rPr>
        <w:t>London Interbank Offered Rate</w:t>
      </w:r>
    </w:p>
    <w:p w14:paraId="64230C03" w14:textId="77777777" w:rsidR="00000000" w:rsidRDefault="00A173A8">
      <w:pPr>
        <w:jc w:val="both"/>
        <w:divId w:val="247081227"/>
        <w:rPr>
          <w:rFonts w:eastAsia="Times New Roman"/>
        </w:rPr>
      </w:pPr>
      <w:r>
        <w:rPr>
          <w:rFonts w:eastAsia="Times New Roman"/>
          <w:b/>
          <w:bCs/>
          <w:color w:val="000000"/>
          <w:sz w:val="20"/>
          <w:szCs w:val="20"/>
        </w:rPr>
        <w:t xml:space="preserve">LTV: </w:t>
      </w:r>
      <w:r>
        <w:rPr>
          <w:rFonts w:eastAsia="Times New Roman"/>
          <w:color w:val="000000"/>
          <w:sz w:val="20"/>
          <w:szCs w:val="20"/>
        </w:rPr>
        <w:t>Loan-to-Value</w:t>
      </w:r>
    </w:p>
    <w:p w14:paraId="2F90ACFA" w14:textId="77777777" w:rsidR="00000000" w:rsidRDefault="00A173A8">
      <w:pPr>
        <w:jc w:val="both"/>
        <w:divId w:val="738014254"/>
        <w:rPr>
          <w:rFonts w:eastAsia="Times New Roman"/>
        </w:rPr>
      </w:pPr>
      <w:r>
        <w:rPr>
          <w:rFonts w:eastAsia="Times New Roman"/>
          <w:b/>
          <w:bCs/>
          <w:color w:val="000000"/>
          <w:sz w:val="20"/>
          <w:szCs w:val="20"/>
        </w:rPr>
        <w:t>MDL:</w:t>
      </w:r>
      <w:r>
        <w:rPr>
          <w:rFonts w:eastAsia="Times New Roman"/>
          <w:color w:val="000000"/>
          <w:sz w:val="20"/>
          <w:szCs w:val="20"/>
        </w:rPr>
        <w:t xml:space="preserve"> Multi-district litigation</w:t>
      </w:r>
    </w:p>
    <w:p w14:paraId="5C48BD26" w14:textId="77777777" w:rsidR="00000000" w:rsidRDefault="00A173A8">
      <w:pPr>
        <w:jc w:val="both"/>
        <w:divId w:val="1846941979"/>
        <w:rPr>
          <w:rFonts w:eastAsia="Times New Roman"/>
        </w:rPr>
      </w:pPr>
      <w:r>
        <w:rPr>
          <w:rFonts w:eastAsia="Times New Roman"/>
          <w:b/>
          <w:bCs/>
          <w:color w:val="000000"/>
          <w:sz w:val="20"/>
          <w:szCs w:val="20"/>
        </w:rPr>
        <w:t>Moody’s:</w:t>
      </w:r>
      <w:r>
        <w:rPr>
          <w:rFonts w:eastAsia="Times New Roman"/>
          <w:color w:val="000000"/>
          <w:sz w:val="20"/>
          <w:szCs w:val="20"/>
        </w:rPr>
        <w:t xml:space="preserve"> Moody’s Investors Service</w:t>
      </w:r>
    </w:p>
    <w:p w14:paraId="6D8D3BD6" w14:textId="77777777" w:rsidR="00000000" w:rsidRDefault="00A173A8">
      <w:pPr>
        <w:jc w:val="both"/>
        <w:divId w:val="669604645"/>
        <w:rPr>
          <w:rFonts w:eastAsia="Times New Roman"/>
        </w:rPr>
      </w:pPr>
      <w:r>
        <w:rPr>
          <w:rFonts w:eastAsia="Times New Roman"/>
          <w:b/>
          <w:bCs/>
          <w:color w:val="000000"/>
          <w:sz w:val="20"/>
          <w:szCs w:val="20"/>
        </w:rPr>
        <w:t xml:space="preserve">MSRs: </w:t>
      </w:r>
      <w:r>
        <w:rPr>
          <w:rFonts w:eastAsia="Times New Roman"/>
          <w:color w:val="000000"/>
          <w:sz w:val="20"/>
          <w:szCs w:val="20"/>
        </w:rPr>
        <w:t>Mortgage servicing rights</w:t>
      </w:r>
    </w:p>
    <w:p w14:paraId="5E3D6332" w14:textId="77777777" w:rsidR="00000000" w:rsidRDefault="00A173A8">
      <w:pPr>
        <w:jc w:val="both"/>
        <w:divId w:val="1129786009"/>
        <w:rPr>
          <w:rFonts w:eastAsia="Times New Roman"/>
        </w:rPr>
      </w:pPr>
      <w:r>
        <w:rPr>
          <w:rFonts w:eastAsia="Times New Roman"/>
          <w:b/>
          <w:bCs/>
          <w:color w:val="000000"/>
          <w:sz w:val="20"/>
          <w:szCs w:val="20"/>
        </w:rPr>
        <w:t>NSFR:</w:t>
      </w:r>
      <w:r>
        <w:rPr>
          <w:rFonts w:eastAsia="Times New Roman"/>
          <w:color w:val="000000"/>
          <w:sz w:val="20"/>
          <w:szCs w:val="20"/>
        </w:rPr>
        <w:t xml:space="preserve"> Net stable funding ratio</w:t>
      </w:r>
    </w:p>
    <w:p w14:paraId="74136913" w14:textId="77777777" w:rsidR="00000000" w:rsidRDefault="00A173A8">
      <w:pPr>
        <w:jc w:val="both"/>
        <w:divId w:val="993073007"/>
        <w:rPr>
          <w:rFonts w:eastAsia="Times New Roman"/>
        </w:rPr>
      </w:pPr>
      <w:r>
        <w:rPr>
          <w:rFonts w:eastAsia="Times New Roman"/>
          <w:b/>
          <w:bCs/>
          <w:color w:val="000000"/>
          <w:sz w:val="20"/>
          <w:szCs w:val="20"/>
        </w:rPr>
        <w:t>OCC:</w:t>
      </w:r>
      <w:r>
        <w:rPr>
          <w:rFonts w:eastAsia="Times New Roman"/>
          <w:color w:val="000000"/>
          <w:sz w:val="20"/>
          <w:szCs w:val="20"/>
        </w:rPr>
        <w:t xml:space="preserve"> Office of the Comptroller of the Currency</w:t>
      </w:r>
      <w:r>
        <w:rPr>
          <w:rFonts w:eastAsia="Times New Roman"/>
          <w:color w:val="000000"/>
          <w:sz w:val="20"/>
          <w:szCs w:val="20"/>
        </w:rPr>
        <w:t xml:space="preserve"> </w:t>
      </w:r>
    </w:p>
    <w:p w14:paraId="27B2FE08" w14:textId="77777777" w:rsidR="00000000" w:rsidRDefault="00A173A8">
      <w:pPr>
        <w:jc w:val="both"/>
        <w:divId w:val="126827264"/>
        <w:rPr>
          <w:rFonts w:eastAsia="Times New Roman"/>
        </w:rPr>
      </w:pPr>
      <w:r>
        <w:rPr>
          <w:rFonts w:eastAsia="Times New Roman"/>
          <w:b/>
          <w:bCs/>
          <w:color w:val="000000"/>
          <w:sz w:val="20"/>
          <w:szCs w:val="20"/>
        </w:rPr>
        <w:t xml:space="preserve">OTC: </w:t>
      </w:r>
      <w:r>
        <w:rPr>
          <w:rFonts w:eastAsia="Times New Roman"/>
          <w:color w:val="000000"/>
          <w:sz w:val="20"/>
          <w:szCs w:val="20"/>
        </w:rPr>
        <w:t xml:space="preserve">Over-the-counter </w:t>
      </w:r>
    </w:p>
    <w:p w14:paraId="18C843C3" w14:textId="77777777" w:rsidR="00000000" w:rsidRDefault="00A173A8">
      <w:pPr>
        <w:jc w:val="both"/>
        <w:divId w:val="2005929996"/>
        <w:rPr>
          <w:rFonts w:eastAsia="Times New Roman"/>
        </w:rPr>
      </w:pPr>
      <w:r>
        <w:rPr>
          <w:rFonts w:eastAsia="Times New Roman"/>
          <w:b/>
          <w:bCs/>
          <w:color w:val="000000"/>
          <w:sz w:val="20"/>
          <w:szCs w:val="20"/>
        </w:rPr>
        <w:t>PCA:</w:t>
      </w:r>
      <w:r>
        <w:rPr>
          <w:rFonts w:ascii="Arial" w:eastAsia="Times New Roman" w:hAnsi="Arial" w:cs="Arial"/>
          <w:color w:val="000000"/>
          <w:sz w:val="20"/>
          <w:szCs w:val="20"/>
        </w:rPr>
        <w:t xml:space="preserve"> </w:t>
      </w:r>
      <w:r>
        <w:rPr>
          <w:rFonts w:eastAsia="Times New Roman"/>
          <w:color w:val="000000"/>
          <w:sz w:val="20"/>
          <w:szCs w:val="20"/>
        </w:rPr>
        <w:t>Prompt corrective action</w:t>
      </w:r>
    </w:p>
    <w:p w14:paraId="55DC54EC" w14:textId="77777777" w:rsidR="00000000" w:rsidRDefault="00A173A8">
      <w:pPr>
        <w:jc w:val="both"/>
        <w:divId w:val="963920950"/>
        <w:rPr>
          <w:rFonts w:eastAsia="Times New Roman"/>
        </w:rPr>
      </w:pPr>
      <w:r>
        <w:rPr>
          <w:rFonts w:eastAsia="Times New Roman"/>
          <w:b/>
          <w:bCs/>
          <w:color w:val="000000"/>
          <w:sz w:val="20"/>
          <w:szCs w:val="20"/>
        </w:rPr>
        <w:t xml:space="preserve">PCCR: </w:t>
      </w:r>
      <w:r>
        <w:rPr>
          <w:rFonts w:eastAsia="Times New Roman"/>
          <w:color w:val="000000"/>
          <w:sz w:val="20"/>
          <w:szCs w:val="20"/>
        </w:rPr>
        <w:t>Purchased credit card relationship</w:t>
      </w:r>
    </w:p>
    <w:p w14:paraId="00B2CDB6" w14:textId="77777777" w:rsidR="00000000" w:rsidRDefault="00A173A8">
      <w:pPr>
        <w:jc w:val="both"/>
        <w:divId w:val="1469281068"/>
        <w:rPr>
          <w:rFonts w:eastAsia="Times New Roman"/>
        </w:rPr>
      </w:pPr>
      <w:r>
        <w:rPr>
          <w:rFonts w:eastAsia="Times New Roman"/>
          <w:b/>
          <w:bCs/>
          <w:color w:val="000000"/>
          <w:sz w:val="20"/>
          <w:szCs w:val="20"/>
        </w:rPr>
        <w:t xml:space="preserve">PPI: </w:t>
      </w:r>
      <w:r>
        <w:rPr>
          <w:rFonts w:eastAsia="Times New Roman"/>
          <w:color w:val="000000"/>
          <w:sz w:val="20"/>
          <w:szCs w:val="20"/>
        </w:rPr>
        <w:t>Payment protection insurance</w:t>
      </w:r>
    </w:p>
    <w:p w14:paraId="668A68C6" w14:textId="77777777" w:rsidR="00000000" w:rsidRDefault="00A173A8">
      <w:pPr>
        <w:jc w:val="both"/>
        <w:divId w:val="345208329"/>
        <w:rPr>
          <w:rFonts w:eastAsia="Times New Roman"/>
        </w:rPr>
      </w:pPr>
      <w:r>
        <w:rPr>
          <w:rFonts w:eastAsia="Times New Roman"/>
          <w:b/>
          <w:bCs/>
          <w:color w:val="000000"/>
          <w:sz w:val="20"/>
          <w:szCs w:val="20"/>
        </w:rPr>
        <w:t xml:space="preserve">PPP: </w:t>
      </w:r>
      <w:r>
        <w:rPr>
          <w:rFonts w:eastAsia="Times New Roman"/>
          <w:color w:val="000000"/>
          <w:sz w:val="20"/>
          <w:szCs w:val="20"/>
        </w:rPr>
        <w:t>Paycheck Protection Program</w:t>
      </w:r>
    </w:p>
    <w:p w14:paraId="66E273D5" w14:textId="77777777" w:rsidR="00000000" w:rsidRDefault="00A173A8">
      <w:pPr>
        <w:jc w:val="both"/>
        <w:divId w:val="1702780406"/>
        <w:rPr>
          <w:rFonts w:eastAsia="Times New Roman"/>
        </w:rPr>
      </w:pPr>
      <w:r>
        <w:rPr>
          <w:rFonts w:eastAsia="Times New Roman"/>
          <w:b/>
          <w:bCs/>
          <w:color w:val="000000"/>
          <w:sz w:val="20"/>
          <w:szCs w:val="20"/>
        </w:rPr>
        <w:t xml:space="preserve">RMBS: </w:t>
      </w:r>
      <w:r>
        <w:rPr>
          <w:rFonts w:eastAsia="Times New Roman"/>
          <w:color w:val="000000"/>
          <w:sz w:val="20"/>
          <w:szCs w:val="20"/>
        </w:rPr>
        <w:t>Residential mortgage-backed securities</w:t>
      </w:r>
    </w:p>
    <w:p w14:paraId="18829A02" w14:textId="77777777" w:rsidR="00000000" w:rsidRDefault="00A173A8">
      <w:pPr>
        <w:jc w:val="both"/>
        <w:divId w:val="1346983231"/>
        <w:rPr>
          <w:rFonts w:eastAsia="Times New Roman"/>
        </w:rPr>
      </w:pPr>
      <w:r>
        <w:rPr>
          <w:rFonts w:eastAsia="Times New Roman"/>
          <w:b/>
          <w:bCs/>
          <w:color w:val="000000"/>
          <w:sz w:val="20"/>
          <w:szCs w:val="20"/>
        </w:rPr>
        <w:t>RSU:</w:t>
      </w:r>
      <w:r>
        <w:rPr>
          <w:rFonts w:eastAsia="Times New Roman"/>
          <w:color w:val="000000"/>
          <w:sz w:val="20"/>
          <w:szCs w:val="20"/>
        </w:rPr>
        <w:t xml:space="preserve"> Restricted stock unit</w:t>
      </w:r>
    </w:p>
    <w:p w14:paraId="655AFA38" w14:textId="77777777" w:rsidR="00000000" w:rsidRDefault="00A173A8">
      <w:pPr>
        <w:jc w:val="both"/>
        <w:divId w:val="5057428"/>
        <w:rPr>
          <w:rFonts w:eastAsia="Times New Roman"/>
        </w:rPr>
      </w:pPr>
      <w:r>
        <w:rPr>
          <w:rFonts w:eastAsia="Times New Roman"/>
          <w:b/>
          <w:bCs/>
          <w:color w:val="000000"/>
          <w:sz w:val="20"/>
          <w:szCs w:val="20"/>
        </w:rPr>
        <w:t>S&amp;P:</w:t>
      </w:r>
      <w:r>
        <w:rPr>
          <w:rFonts w:ascii="Arial" w:eastAsia="Times New Roman" w:hAnsi="Arial" w:cs="Arial"/>
          <w:color w:val="000000"/>
          <w:sz w:val="20"/>
          <w:szCs w:val="20"/>
        </w:rPr>
        <w:t xml:space="preserve"> </w:t>
      </w:r>
      <w:r>
        <w:rPr>
          <w:rFonts w:eastAsia="Times New Roman"/>
          <w:color w:val="000000"/>
          <w:sz w:val="20"/>
          <w:szCs w:val="20"/>
        </w:rPr>
        <w:t xml:space="preserve">Standard &amp; </w:t>
      </w:r>
      <w:r>
        <w:rPr>
          <w:rFonts w:eastAsia="Times New Roman"/>
          <w:color w:val="000000"/>
          <w:sz w:val="20"/>
          <w:szCs w:val="20"/>
        </w:rPr>
        <w:t>Poor’s</w:t>
      </w:r>
    </w:p>
    <w:p w14:paraId="6E3E18B9" w14:textId="77777777" w:rsidR="00000000" w:rsidRDefault="00A173A8">
      <w:pPr>
        <w:jc w:val="both"/>
        <w:divId w:val="1699350922"/>
        <w:rPr>
          <w:rFonts w:eastAsia="Times New Roman"/>
        </w:rPr>
      </w:pPr>
      <w:r>
        <w:rPr>
          <w:rFonts w:eastAsia="Times New Roman"/>
          <w:b/>
          <w:bCs/>
          <w:color w:val="000000"/>
          <w:sz w:val="20"/>
          <w:szCs w:val="20"/>
        </w:rPr>
        <w:t>SEC:</w:t>
      </w:r>
      <w:r>
        <w:rPr>
          <w:rFonts w:eastAsia="Times New Roman"/>
          <w:color w:val="000000"/>
          <w:sz w:val="20"/>
          <w:szCs w:val="20"/>
        </w:rPr>
        <w:t xml:space="preserve"> U.S. Securities and Exchange Commission</w:t>
      </w:r>
    </w:p>
    <w:p w14:paraId="5F475E00" w14:textId="77777777" w:rsidR="00000000" w:rsidRDefault="00A173A8">
      <w:pPr>
        <w:jc w:val="both"/>
        <w:divId w:val="93938366"/>
        <w:rPr>
          <w:rFonts w:eastAsia="Times New Roman"/>
        </w:rPr>
      </w:pPr>
      <w:r>
        <w:rPr>
          <w:rFonts w:eastAsia="Times New Roman"/>
          <w:b/>
          <w:bCs/>
          <w:color w:val="000000"/>
          <w:sz w:val="20"/>
          <w:szCs w:val="20"/>
        </w:rPr>
        <w:t>SOFR:</w:t>
      </w:r>
      <w:r>
        <w:rPr>
          <w:rFonts w:eastAsia="Times New Roman"/>
          <w:color w:val="000000"/>
          <w:sz w:val="20"/>
          <w:szCs w:val="20"/>
        </w:rPr>
        <w:t xml:space="preserve"> Secured Overnight Financing Rate</w:t>
      </w:r>
    </w:p>
    <w:p w14:paraId="4FEE1C50" w14:textId="77777777" w:rsidR="00000000" w:rsidRDefault="00A173A8">
      <w:pPr>
        <w:jc w:val="both"/>
        <w:divId w:val="654380881"/>
        <w:rPr>
          <w:rFonts w:eastAsia="Times New Roman"/>
        </w:rPr>
      </w:pPr>
      <w:r>
        <w:rPr>
          <w:rFonts w:eastAsia="Times New Roman"/>
          <w:b/>
          <w:bCs/>
          <w:color w:val="000000"/>
          <w:sz w:val="20"/>
          <w:szCs w:val="20"/>
        </w:rPr>
        <w:t>TCE:</w:t>
      </w:r>
      <w:r>
        <w:rPr>
          <w:rFonts w:eastAsia="Times New Roman"/>
          <w:color w:val="000000"/>
          <w:sz w:val="20"/>
          <w:szCs w:val="20"/>
        </w:rPr>
        <w:t xml:space="preserve"> Tangible common equity</w:t>
      </w:r>
    </w:p>
    <w:p w14:paraId="7CC0FBA1" w14:textId="77777777" w:rsidR="00000000" w:rsidRDefault="00A173A8">
      <w:pPr>
        <w:jc w:val="both"/>
        <w:divId w:val="649291133"/>
        <w:rPr>
          <w:rFonts w:eastAsia="Times New Roman"/>
        </w:rPr>
      </w:pPr>
      <w:r>
        <w:rPr>
          <w:rFonts w:eastAsia="Times New Roman"/>
          <w:b/>
          <w:bCs/>
          <w:color w:val="000000"/>
          <w:sz w:val="20"/>
          <w:szCs w:val="20"/>
        </w:rPr>
        <w:t>TDR:</w:t>
      </w:r>
      <w:r>
        <w:rPr>
          <w:rFonts w:eastAsia="Times New Roman"/>
          <w:color w:val="000000"/>
          <w:sz w:val="20"/>
          <w:szCs w:val="20"/>
        </w:rPr>
        <w:t xml:space="preserve"> Troubled debt restructuring</w:t>
      </w:r>
    </w:p>
    <w:p w14:paraId="12825623" w14:textId="77777777" w:rsidR="00000000" w:rsidRDefault="00A173A8">
      <w:pPr>
        <w:jc w:val="both"/>
        <w:divId w:val="219022227"/>
        <w:rPr>
          <w:rFonts w:eastAsia="Times New Roman"/>
        </w:rPr>
      </w:pPr>
      <w:r>
        <w:rPr>
          <w:rFonts w:eastAsia="Times New Roman"/>
          <w:b/>
          <w:bCs/>
          <w:color w:val="000000"/>
          <w:sz w:val="20"/>
          <w:szCs w:val="20"/>
        </w:rPr>
        <w:t>U.K.:</w:t>
      </w:r>
      <w:r>
        <w:rPr>
          <w:rFonts w:eastAsia="Times New Roman"/>
          <w:color w:val="000000"/>
          <w:sz w:val="20"/>
          <w:szCs w:val="20"/>
        </w:rPr>
        <w:t xml:space="preserve"> United Kingdom</w:t>
      </w:r>
    </w:p>
    <w:p w14:paraId="2D2F3FED" w14:textId="77777777" w:rsidR="00000000" w:rsidRDefault="00A173A8">
      <w:pPr>
        <w:jc w:val="both"/>
        <w:divId w:val="386757640"/>
        <w:rPr>
          <w:rFonts w:eastAsia="Times New Roman"/>
        </w:rPr>
      </w:pPr>
      <w:r>
        <w:rPr>
          <w:rFonts w:eastAsia="Times New Roman"/>
          <w:b/>
          <w:bCs/>
          <w:color w:val="000000"/>
          <w:sz w:val="20"/>
          <w:szCs w:val="20"/>
        </w:rPr>
        <w:t xml:space="preserve">U.K. GDPR: </w:t>
      </w:r>
      <w:r>
        <w:rPr>
          <w:rFonts w:eastAsia="Times New Roman"/>
          <w:color w:val="000000"/>
          <w:sz w:val="20"/>
          <w:szCs w:val="20"/>
        </w:rPr>
        <w:t xml:space="preserve">U.K. General Data Protection Regulation </w:t>
      </w:r>
    </w:p>
    <w:p w14:paraId="08B43E51" w14:textId="77777777" w:rsidR="00000000" w:rsidRDefault="00A173A8">
      <w:pPr>
        <w:jc w:val="both"/>
        <w:divId w:val="293414158"/>
        <w:rPr>
          <w:rFonts w:eastAsia="Times New Roman"/>
        </w:rPr>
      </w:pPr>
      <w:r>
        <w:rPr>
          <w:rFonts w:eastAsia="Times New Roman"/>
          <w:b/>
          <w:bCs/>
          <w:color w:val="000000"/>
          <w:sz w:val="20"/>
          <w:szCs w:val="20"/>
        </w:rPr>
        <w:t>U.S.:</w:t>
      </w:r>
      <w:r>
        <w:rPr>
          <w:rFonts w:eastAsia="Times New Roman"/>
          <w:color w:val="000000"/>
          <w:sz w:val="20"/>
          <w:szCs w:val="20"/>
        </w:rPr>
        <w:t xml:space="preserve"> United States of America</w:t>
      </w:r>
    </w:p>
    <w:p w14:paraId="05C76D64" w14:textId="77777777" w:rsidR="00000000" w:rsidRDefault="00A173A8">
      <w:pPr>
        <w:jc w:val="both"/>
        <w:divId w:val="296686095"/>
        <w:rPr>
          <w:rFonts w:eastAsia="Times New Roman"/>
        </w:rPr>
      </w:pPr>
      <w:r>
        <w:rPr>
          <w:rFonts w:eastAsia="Times New Roman"/>
          <w:b/>
          <w:bCs/>
          <w:color w:val="000000"/>
          <w:sz w:val="20"/>
          <w:szCs w:val="20"/>
        </w:rPr>
        <w:t xml:space="preserve">USD: </w:t>
      </w:r>
      <w:r>
        <w:rPr>
          <w:rFonts w:eastAsia="Times New Roman"/>
          <w:color w:val="000000"/>
          <w:sz w:val="20"/>
          <w:szCs w:val="20"/>
        </w:rPr>
        <w:t>United States Dollar</w:t>
      </w:r>
    </w:p>
    <w:p w14:paraId="4EBC3F23" w14:textId="77777777" w:rsidR="00000000" w:rsidRDefault="00A173A8">
      <w:pPr>
        <w:jc w:val="both"/>
        <w:divId w:val="1335457469"/>
        <w:rPr>
          <w:rFonts w:eastAsia="Times New Roman"/>
        </w:rPr>
      </w:pPr>
      <w:r>
        <w:rPr>
          <w:rFonts w:eastAsia="Times New Roman"/>
          <w:b/>
          <w:bCs/>
          <w:color w:val="000000"/>
          <w:sz w:val="20"/>
          <w:szCs w:val="20"/>
        </w:rPr>
        <w:t>VIE:</w:t>
      </w:r>
      <w:r>
        <w:rPr>
          <w:rFonts w:eastAsia="Times New Roman"/>
          <w:color w:val="000000"/>
          <w:sz w:val="20"/>
          <w:szCs w:val="20"/>
        </w:rPr>
        <w:t xml:space="preserve"> Variable interest entity</w:t>
      </w:r>
    </w:p>
    <w:p w14:paraId="26CF0931" w14:textId="77777777" w:rsidR="00000000" w:rsidRDefault="00A173A8">
      <w:pPr>
        <w:jc w:val="both"/>
        <w:divId w:val="1675304146"/>
        <w:rPr>
          <w:rFonts w:eastAsia="Times New Roman"/>
        </w:rPr>
      </w:pPr>
      <w:r>
        <w:rPr>
          <w:rFonts w:eastAsia="Times New Roman"/>
          <w:b/>
          <w:bCs/>
          <w:color w:val="000000"/>
          <w:sz w:val="20"/>
          <w:szCs w:val="20"/>
        </w:rPr>
        <w:t>XBRL:</w:t>
      </w:r>
      <w:r>
        <w:rPr>
          <w:rFonts w:eastAsia="Times New Roman"/>
          <w:color w:val="000000"/>
          <w:sz w:val="20"/>
          <w:szCs w:val="20"/>
        </w:rPr>
        <w:t xml:space="preserve"> Extensible business reporting language</w:t>
      </w:r>
    </w:p>
    <w:p w14:paraId="6FA070B8" w14:textId="77777777" w:rsidR="00000000" w:rsidRDefault="00A173A8">
      <w:pPr>
        <w:jc w:val="both"/>
        <w:divId w:val="60411384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E05BB56" w14:textId="77777777">
        <w:trPr>
          <w:divId w:val="1295671623"/>
          <w:jc w:val="center"/>
        </w:trPr>
        <w:tc>
          <w:tcPr>
            <w:tcW w:w="50" w:type="pct"/>
            <w:vAlign w:val="center"/>
            <w:hideMark/>
          </w:tcPr>
          <w:p w14:paraId="79112D77" w14:textId="77777777" w:rsidR="00000000" w:rsidRDefault="00A173A8">
            <w:pPr>
              <w:jc w:val="both"/>
              <w:rPr>
                <w:rFonts w:eastAsia="Times New Roman"/>
              </w:rPr>
            </w:pPr>
          </w:p>
        </w:tc>
        <w:tc>
          <w:tcPr>
            <w:tcW w:w="1606" w:type="pct"/>
            <w:vAlign w:val="center"/>
            <w:hideMark/>
          </w:tcPr>
          <w:p w14:paraId="230A1A5B" w14:textId="77777777" w:rsidR="00000000" w:rsidRDefault="00A173A8">
            <w:pPr>
              <w:spacing w:after="100"/>
              <w:rPr>
                <w:rFonts w:eastAsia="Times New Roman"/>
                <w:sz w:val="20"/>
                <w:szCs w:val="20"/>
              </w:rPr>
            </w:pPr>
          </w:p>
        </w:tc>
        <w:tc>
          <w:tcPr>
            <w:tcW w:w="5" w:type="pct"/>
            <w:vAlign w:val="center"/>
            <w:hideMark/>
          </w:tcPr>
          <w:p w14:paraId="55A1CCBB" w14:textId="77777777" w:rsidR="00000000" w:rsidRDefault="00A173A8">
            <w:pPr>
              <w:spacing w:after="100"/>
              <w:rPr>
                <w:rFonts w:eastAsia="Times New Roman"/>
                <w:sz w:val="20"/>
                <w:szCs w:val="20"/>
              </w:rPr>
            </w:pPr>
          </w:p>
        </w:tc>
        <w:tc>
          <w:tcPr>
            <w:tcW w:w="50" w:type="pct"/>
            <w:vAlign w:val="center"/>
            <w:hideMark/>
          </w:tcPr>
          <w:p w14:paraId="3B37FA33" w14:textId="77777777" w:rsidR="00000000" w:rsidRDefault="00A173A8">
            <w:pPr>
              <w:spacing w:after="100"/>
              <w:rPr>
                <w:rFonts w:eastAsia="Times New Roman"/>
                <w:sz w:val="20"/>
                <w:szCs w:val="20"/>
              </w:rPr>
            </w:pPr>
          </w:p>
        </w:tc>
        <w:tc>
          <w:tcPr>
            <w:tcW w:w="1614" w:type="pct"/>
            <w:vAlign w:val="center"/>
            <w:hideMark/>
          </w:tcPr>
          <w:p w14:paraId="6D864F51" w14:textId="77777777" w:rsidR="00000000" w:rsidRDefault="00A173A8">
            <w:pPr>
              <w:spacing w:after="100"/>
              <w:rPr>
                <w:rFonts w:eastAsia="Times New Roman"/>
                <w:sz w:val="20"/>
                <w:szCs w:val="20"/>
              </w:rPr>
            </w:pPr>
          </w:p>
        </w:tc>
        <w:tc>
          <w:tcPr>
            <w:tcW w:w="5" w:type="pct"/>
            <w:vAlign w:val="center"/>
            <w:hideMark/>
          </w:tcPr>
          <w:p w14:paraId="549DB9A1" w14:textId="77777777" w:rsidR="00000000" w:rsidRDefault="00A173A8">
            <w:pPr>
              <w:spacing w:after="100"/>
              <w:rPr>
                <w:rFonts w:eastAsia="Times New Roman"/>
                <w:sz w:val="20"/>
                <w:szCs w:val="20"/>
              </w:rPr>
            </w:pPr>
          </w:p>
        </w:tc>
        <w:tc>
          <w:tcPr>
            <w:tcW w:w="50" w:type="pct"/>
            <w:vAlign w:val="center"/>
            <w:hideMark/>
          </w:tcPr>
          <w:p w14:paraId="41E74236" w14:textId="77777777" w:rsidR="00000000" w:rsidRDefault="00A173A8">
            <w:pPr>
              <w:spacing w:after="100"/>
              <w:rPr>
                <w:rFonts w:eastAsia="Times New Roman"/>
                <w:sz w:val="20"/>
                <w:szCs w:val="20"/>
              </w:rPr>
            </w:pPr>
          </w:p>
        </w:tc>
        <w:tc>
          <w:tcPr>
            <w:tcW w:w="1614" w:type="pct"/>
            <w:vAlign w:val="center"/>
            <w:hideMark/>
          </w:tcPr>
          <w:p w14:paraId="5FE3DA99" w14:textId="77777777" w:rsidR="00000000" w:rsidRDefault="00A173A8">
            <w:pPr>
              <w:spacing w:after="100"/>
              <w:rPr>
                <w:rFonts w:eastAsia="Times New Roman"/>
                <w:sz w:val="20"/>
                <w:szCs w:val="20"/>
              </w:rPr>
            </w:pPr>
          </w:p>
        </w:tc>
        <w:tc>
          <w:tcPr>
            <w:tcW w:w="5" w:type="pct"/>
            <w:vAlign w:val="center"/>
            <w:hideMark/>
          </w:tcPr>
          <w:p w14:paraId="4345F646" w14:textId="77777777" w:rsidR="00000000" w:rsidRDefault="00A173A8">
            <w:pPr>
              <w:spacing w:after="100"/>
              <w:rPr>
                <w:rFonts w:eastAsia="Times New Roman"/>
                <w:sz w:val="20"/>
                <w:szCs w:val="20"/>
              </w:rPr>
            </w:pPr>
          </w:p>
        </w:tc>
      </w:tr>
      <w:tr w:rsidR="00000000" w14:paraId="6AE65244" w14:textId="77777777">
        <w:trPr>
          <w:divId w:val="1295671623"/>
          <w:trHeight w:val="300"/>
          <w:jc w:val="center"/>
        </w:trPr>
        <w:tc>
          <w:tcPr>
            <w:tcW w:w="0" w:type="auto"/>
            <w:gridSpan w:val="9"/>
            <w:tcMar>
              <w:top w:w="0" w:type="dxa"/>
              <w:left w:w="20" w:type="dxa"/>
              <w:bottom w:w="0" w:type="dxa"/>
              <w:right w:w="20" w:type="dxa"/>
            </w:tcMar>
            <w:vAlign w:val="center"/>
            <w:hideMark/>
          </w:tcPr>
          <w:p w14:paraId="6CF0BF43" w14:textId="77777777" w:rsidR="00000000" w:rsidRDefault="00A173A8">
            <w:pPr>
              <w:spacing w:after="100"/>
              <w:rPr>
                <w:rFonts w:eastAsia="Times New Roman"/>
                <w:sz w:val="20"/>
                <w:szCs w:val="20"/>
              </w:rPr>
            </w:pPr>
          </w:p>
        </w:tc>
      </w:tr>
      <w:tr w:rsidR="00000000" w14:paraId="204729F6" w14:textId="77777777">
        <w:trPr>
          <w:divId w:val="1295671623"/>
          <w:jc w:val="center"/>
        </w:trPr>
        <w:tc>
          <w:tcPr>
            <w:tcW w:w="0" w:type="auto"/>
            <w:gridSpan w:val="3"/>
            <w:tcMar>
              <w:top w:w="0" w:type="dxa"/>
              <w:left w:w="20" w:type="dxa"/>
              <w:bottom w:w="0" w:type="dxa"/>
              <w:right w:w="20" w:type="dxa"/>
            </w:tcMar>
            <w:vAlign w:val="center"/>
            <w:hideMark/>
          </w:tcPr>
          <w:p w14:paraId="20EEEE52"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9397DC2" w14:textId="77777777" w:rsidR="00000000" w:rsidRDefault="00A173A8">
            <w:pPr>
              <w:spacing w:after="100"/>
              <w:jc w:val="center"/>
              <w:rPr>
                <w:rFonts w:eastAsia="Times New Roman"/>
              </w:rPr>
            </w:pPr>
            <w:r>
              <w:rPr>
                <w:rFonts w:eastAsia="Times New Roman"/>
                <w:color w:val="000000"/>
                <w:sz w:val="16"/>
                <w:szCs w:val="16"/>
              </w:rPr>
              <w:t>63</w:t>
            </w:r>
          </w:p>
        </w:tc>
        <w:tc>
          <w:tcPr>
            <w:tcW w:w="0" w:type="auto"/>
            <w:gridSpan w:val="3"/>
            <w:tcMar>
              <w:top w:w="30" w:type="dxa"/>
              <w:left w:w="20" w:type="dxa"/>
              <w:bottom w:w="30" w:type="dxa"/>
              <w:right w:w="20" w:type="dxa"/>
            </w:tcMar>
            <w:vAlign w:val="bottom"/>
            <w:hideMark/>
          </w:tcPr>
          <w:p w14:paraId="7D9A3744"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5217863" w14:textId="77777777" w:rsidR="00000000" w:rsidRDefault="00A173A8">
      <w:pPr>
        <w:rPr>
          <w:rFonts w:eastAsia="Times New Roman"/>
        </w:rPr>
      </w:pPr>
      <w:r>
        <w:rPr>
          <w:rFonts w:eastAsia="Times New Roman"/>
        </w:rPr>
        <w:pict w14:anchorId="7495573B">
          <v:rect id="_x0000_i1088" style="width:0;height:1.5pt" o:hralign="center" o:hrstd="t" o:hr="t" fillcolor="#a0a0a0" stroked="f"/>
        </w:pict>
      </w:r>
    </w:p>
    <w:p w14:paraId="50146CBE" w14:textId="77777777" w:rsidR="00000000" w:rsidRDefault="00A173A8">
      <w:pPr>
        <w:ind w:hanging="360"/>
        <w:jc w:val="both"/>
        <w:divId w:val="436827403"/>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7679"/>
        <w:gridCol w:w="36"/>
        <w:gridCol w:w="72"/>
        <w:gridCol w:w="413"/>
        <w:gridCol w:w="37"/>
      </w:tblGrid>
      <w:tr w:rsidR="00000000" w14:paraId="1FF2A68C" w14:textId="77777777">
        <w:trPr>
          <w:divId w:val="1280140741"/>
        </w:trPr>
        <w:tc>
          <w:tcPr>
            <w:tcW w:w="50" w:type="pct"/>
            <w:vAlign w:val="center"/>
            <w:hideMark/>
          </w:tcPr>
          <w:p w14:paraId="3A9C9BC0" w14:textId="77777777" w:rsidR="00000000" w:rsidRDefault="00A173A8">
            <w:pPr>
              <w:ind w:hanging="360"/>
              <w:jc w:val="both"/>
              <w:rPr>
                <w:rFonts w:eastAsia="Times New Roman"/>
              </w:rPr>
            </w:pPr>
          </w:p>
        </w:tc>
        <w:tc>
          <w:tcPr>
            <w:tcW w:w="4630" w:type="pct"/>
            <w:vAlign w:val="center"/>
            <w:hideMark/>
          </w:tcPr>
          <w:p w14:paraId="250FEFB7" w14:textId="77777777" w:rsidR="00000000" w:rsidRDefault="00A173A8">
            <w:pPr>
              <w:spacing w:after="100"/>
              <w:rPr>
                <w:rFonts w:eastAsia="Times New Roman"/>
                <w:sz w:val="20"/>
                <w:szCs w:val="20"/>
              </w:rPr>
            </w:pPr>
          </w:p>
        </w:tc>
        <w:tc>
          <w:tcPr>
            <w:tcW w:w="5" w:type="pct"/>
            <w:vAlign w:val="center"/>
            <w:hideMark/>
          </w:tcPr>
          <w:p w14:paraId="6F6C0696" w14:textId="77777777" w:rsidR="00000000" w:rsidRDefault="00A173A8">
            <w:pPr>
              <w:spacing w:after="100"/>
              <w:rPr>
                <w:rFonts w:eastAsia="Times New Roman"/>
                <w:sz w:val="20"/>
                <w:szCs w:val="20"/>
              </w:rPr>
            </w:pPr>
          </w:p>
        </w:tc>
        <w:tc>
          <w:tcPr>
            <w:tcW w:w="50" w:type="pct"/>
            <w:vAlign w:val="center"/>
            <w:hideMark/>
          </w:tcPr>
          <w:p w14:paraId="1E4590CB" w14:textId="77777777" w:rsidR="00000000" w:rsidRDefault="00A173A8">
            <w:pPr>
              <w:spacing w:after="100"/>
              <w:rPr>
                <w:rFonts w:eastAsia="Times New Roman"/>
                <w:sz w:val="20"/>
                <w:szCs w:val="20"/>
              </w:rPr>
            </w:pPr>
          </w:p>
        </w:tc>
        <w:tc>
          <w:tcPr>
            <w:tcW w:w="259" w:type="pct"/>
            <w:vAlign w:val="center"/>
            <w:hideMark/>
          </w:tcPr>
          <w:p w14:paraId="6DD08F97" w14:textId="77777777" w:rsidR="00000000" w:rsidRDefault="00A173A8">
            <w:pPr>
              <w:spacing w:after="100"/>
              <w:rPr>
                <w:rFonts w:eastAsia="Times New Roman"/>
                <w:sz w:val="20"/>
                <w:szCs w:val="20"/>
              </w:rPr>
            </w:pPr>
          </w:p>
        </w:tc>
        <w:tc>
          <w:tcPr>
            <w:tcW w:w="5" w:type="pct"/>
            <w:vAlign w:val="center"/>
            <w:hideMark/>
          </w:tcPr>
          <w:p w14:paraId="75217782" w14:textId="77777777" w:rsidR="00000000" w:rsidRDefault="00A173A8">
            <w:pPr>
              <w:spacing w:after="100"/>
              <w:rPr>
                <w:rFonts w:eastAsia="Times New Roman"/>
                <w:sz w:val="20"/>
                <w:szCs w:val="20"/>
              </w:rPr>
            </w:pPr>
          </w:p>
        </w:tc>
      </w:tr>
      <w:tr w:rsidR="00000000" w14:paraId="0BDA2E4B" w14:textId="77777777">
        <w:trPr>
          <w:divId w:val="1280140741"/>
        </w:trPr>
        <w:tc>
          <w:tcPr>
            <w:tcW w:w="0" w:type="auto"/>
            <w:gridSpan w:val="6"/>
            <w:tcMar>
              <w:top w:w="30" w:type="dxa"/>
              <w:left w:w="20" w:type="dxa"/>
              <w:bottom w:w="30" w:type="dxa"/>
              <w:right w:w="20" w:type="dxa"/>
            </w:tcMar>
            <w:vAlign w:val="bottom"/>
            <w:hideMark/>
          </w:tcPr>
          <w:p w14:paraId="3AEC0720" w14:textId="77777777" w:rsidR="00000000" w:rsidRDefault="00A173A8">
            <w:pPr>
              <w:spacing w:after="100"/>
              <w:divId w:val="914630728"/>
              <w:rPr>
                <w:rFonts w:eastAsia="Times New Roman"/>
              </w:rPr>
            </w:pPr>
            <w:hyperlink w:anchor="i7ffd5d61af6f4722b1b1b07530d51c06_319" w:history="1">
              <w:r>
                <w:rPr>
                  <w:rStyle w:val="a3"/>
                  <w:rFonts w:eastAsia="Times New Roman"/>
                  <w:b/>
                  <w:bCs/>
                  <w:color w:val="000000"/>
                  <w:sz w:val="20"/>
                  <w:szCs w:val="20"/>
                  <w:u w:val="none"/>
                </w:rPr>
                <w:t>Item </w:t>
              </w:r>
              <w:r>
                <w:rPr>
                  <w:rStyle w:val="a3"/>
                  <w:rFonts w:eastAsia="Times New Roman"/>
                  <w:b/>
                  <w:bCs/>
                  <w:color w:val="000000"/>
                  <w:sz w:val="20"/>
                  <w:szCs w:val="20"/>
                  <w:u w:val="none"/>
                </w:rPr>
                <w:t>1. Financial Statements and Supplementary Data</w:t>
              </w:r>
            </w:hyperlink>
          </w:p>
        </w:tc>
      </w:tr>
      <w:tr w:rsidR="00000000" w14:paraId="2DBD100C" w14:textId="77777777">
        <w:trPr>
          <w:divId w:val="1280140741"/>
        </w:trPr>
        <w:tc>
          <w:tcPr>
            <w:tcW w:w="0" w:type="auto"/>
            <w:gridSpan w:val="3"/>
            <w:tcMar>
              <w:top w:w="0" w:type="dxa"/>
              <w:left w:w="20" w:type="dxa"/>
              <w:bottom w:w="0" w:type="dxa"/>
              <w:right w:w="20" w:type="dxa"/>
            </w:tcMar>
            <w:vAlign w:val="center"/>
            <w:hideMark/>
          </w:tcPr>
          <w:p w14:paraId="4C2EBAA7"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37BB767B" w14:textId="77777777" w:rsidR="00000000" w:rsidRDefault="00A173A8">
            <w:pPr>
              <w:spacing w:after="100"/>
              <w:jc w:val="center"/>
              <w:rPr>
                <w:rFonts w:eastAsia="Times New Roman"/>
              </w:rPr>
            </w:pPr>
            <w:r>
              <w:rPr>
                <w:rFonts w:eastAsia="Times New Roman"/>
                <w:b/>
                <w:bCs/>
                <w:color w:val="000000"/>
                <w:sz w:val="20"/>
                <w:szCs w:val="20"/>
              </w:rPr>
              <w:t>Page</w:t>
            </w:r>
          </w:p>
        </w:tc>
      </w:tr>
      <w:tr w:rsidR="00000000" w14:paraId="2BFBAF64" w14:textId="77777777">
        <w:trPr>
          <w:divId w:val="1280140741"/>
        </w:trPr>
        <w:tc>
          <w:tcPr>
            <w:tcW w:w="0" w:type="auto"/>
            <w:gridSpan w:val="3"/>
            <w:vAlign w:val="center"/>
            <w:hideMark/>
          </w:tcPr>
          <w:p w14:paraId="491D5B26" w14:textId="77777777" w:rsidR="00000000" w:rsidRDefault="00A173A8">
            <w:pPr>
              <w:spacing w:after="100"/>
              <w:jc w:val="center"/>
              <w:rPr>
                <w:rFonts w:eastAsia="Times New Roman"/>
              </w:rPr>
            </w:pPr>
          </w:p>
        </w:tc>
        <w:tc>
          <w:tcPr>
            <w:tcW w:w="0" w:type="auto"/>
            <w:gridSpan w:val="3"/>
            <w:vAlign w:val="center"/>
            <w:hideMark/>
          </w:tcPr>
          <w:p w14:paraId="063EA2E4" w14:textId="77777777" w:rsidR="00000000" w:rsidRDefault="00A173A8">
            <w:pPr>
              <w:spacing w:after="100"/>
              <w:rPr>
                <w:rFonts w:eastAsia="Times New Roman"/>
                <w:sz w:val="20"/>
                <w:szCs w:val="20"/>
              </w:rPr>
            </w:pPr>
          </w:p>
        </w:tc>
      </w:tr>
      <w:tr w:rsidR="00000000" w14:paraId="61E57D24" w14:textId="77777777">
        <w:trPr>
          <w:divId w:val="1280140741"/>
        </w:trPr>
        <w:tc>
          <w:tcPr>
            <w:tcW w:w="0" w:type="auto"/>
            <w:gridSpan w:val="3"/>
            <w:vAlign w:val="center"/>
            <w:hideMark/>
          </w:tcPr>
          <w:p w14:paraId="71844965" w14:textId="77777777" w:rsidR="00000000" w:rsidRDefault="00A173A8">
            <w:pPr>
              <w:spacing w:after="100"/>
              <w:rPr>
                <w:rFonts w:eastAsia="Times New Roman"/>
                <w:sz w:val="20"/>
                <w:szCs w:val="20"/>
              </w:rPr>
            </w:pPr>
          </w:p>
        </w:tc>
        <w:tc>
          <w:tcPr>
            <w:tcW w:w="0" w:type="auto"/>
            <w:gridSpan w:val="3"/>
            <w:vAlign w:val="center"/>
            <w:hideMark/>
          </w:tcPr>
          <w:p w14:paraId="7B009F20" w14:textId="77777777" w:rsidR="00000000" w:rsidRDefault="00A173A8">
            <w:pPr>
              <w:spacing w:after="100"/>
              <w:rPr>
                <w:rFonts w:eastAsia="Times New Roman"/>
                <w:sz w:val="20"/>
                <w:szCs w:val="20"/>
              </w:rPr>
            </w:pPr>
          </w:p>
        </w:tc>
      </w:tr>
      <w:tr w:rsidR="00000000" w14:paraId="23E71FC8" w14:textId="77777777">
        <w:trPr>
          <w:divId w:val="1280140741"/>
        </w:trPr>
        <w:tc>
          <w:tcPr>
            <w:tcW w:w="0" w:type="auto"/>
            <w:gridSpan w:val="3"/>
            <w:vAlign w:val="center"/>
            <w:hideMark/>
          </w:tcPr>
          <w:p w14:paraId="3BFECB49" w14:textId="77777777" w:rsidR="00000000" w:rsidRDefault="00A173A8">
            <w:pPr>
              <w:spacing w:after="100"/>
              <w:rPr>
                <w:rFonts w:eastAsia="Times New Roman"/>
                <w:sz w:val="20"/>
                <w:szCs w:val="20"/>
              </w:rPr>
            </w:pPr>
          </w:p>
        </w:tc>
        <w:tc>
          <w:tcPr>
            <w:tcW w:w="0" w:type="auto"/>
            <w:gridSpan w:val="3"/>
            <w:vAlign w:val="center"/>
            <w:hideMark/>
          </w:tcPr>
          <w:p w14:paraId="38C97700" w14:textId="77777777" w:rsidR="00000000" w:rsidRDefault="00A173A8">
            <w:pPr>
              <w:spacing w:after="100"/>
              <w:rPr>
                <w:rFonts w:eastAsia="Times New Roman"/>
                <w:sz w:val="20"/>
                <w:szCs w:val="20"/>
              </w:rPr>
            </w:pPr>
          </w:p>
        </w:tc>
      </w:tr>
      <w:tr w:rsidR="00000000" w14:paraId="34B3597B" w14:textId="77777777">
        <w:trPr>
          <w:divId w:val="1280140741"/>
        </w:trPr>
        <w:tc>
          <w:tcPr>
            <w:tcW w:w="0" w:type="auto"/>
            <w:gridSpan w:val="3"/>
            <w:tcMar>
              <w:top w:w="30" w:type="dxa"/>
              <w:left w:w="20" w:type="dxa"/>
              <w:bottom w:w="30" w:type="dxa"/>
              <w:right w:w="20" w:type="dxa"/>
            </w:tcMar>
            <w:hideMark/>
          </w:tcPr>
          <w:p w14:paraId="74BAFAE5" w14:textId="77777777" w:rsidR="00000000" w:rsidRDefault="00A173A8">
            <w:pPr>
              <w:spacing w:after="100"/>
              <w:divId w:val="1975326914"/>
              <w:rPr>
                <w:rFonts w:eastAsia="Times New Roman"/>
              </w:rPr>
            </w:pPr>
            <w:hyperlink w:anchor="i7ffd5d61af6f4722b1b1b07530d51c06_331" w:history="1">
              <w:r>
                <w:rPr>
                  <w:rStyle w:val="a3"/>
                  <w:rFonts w:eastAsia="Times New Roman"/>
                  <w:color w:val="000000"/>
                  <w:sz w:val="20"/>
                  <w:szCs w:val="20"/>
                  <w:u w:val="none"/>
                </w:rPr>
                <w:t>Consolidated Financial Statements</w:t>
              </w:r>
            </w:hyperlink>
          </w:p>
        </w:tc>
        <w:tc>
          <w:tcPr>
            <w:tcW w:w="0" w:type="auto"/>
            <w:gridSpan w:val="3"/>
            <w:tcMar>
              <w:top w:w="30" w:type="dxa"/>
              <w:left w:w="20" w:type="dxa"/>
              <w:bottom w:w="30" w:type="dxa"/>
              <w:right w:w="20" w:type="dxa"/>
            </w:tcMar>
            <w:hideMark/>
          </w:tcPr>
          <w:p w14:paraId="443808B8" w14:textId="77777777" w:rsidR="00000000" w:rsidRDefault="00A173A8">
            <w:pPr>
              <w:spacing w:after="100"/>
              <w:jc w:val="center"/>
              <w:rPr>
                <w:rFonts w:eastAsia="Times New Roman"/>
              </w:rPr>
            </w:pPr>
            <w:hyperlink w:anchor="i7ffd5d61af6f4722b1b1b07530d51c06_331" w:history="1">
              <w:r>
                <w:rPr>
                  <w:rStyle w:val="a3"/>
                  <w:rFonts w:eastAsia="Times New Roman"/>
                  <w:color w:val="000000"/>
                  <w:sz w:val="20"/>
                  <w:szCs w:val="20"/>
                  <w:u w:val="none"/>
                </w:rPr>
                <w:t>65</w:t>
              </w:r>
            </w:hyperlink>
          </w:p>
        </w:tc>
      </w:tr>
      <w:tr w:rsidR="00000000" w14:paraId="4B27A7FF" w14:textId="77777777">
        <w:trPr>
          <w:divId w:val="1280140741"/>
        </w:trPr>
        <w:tc>
          <w:tcPr>
            <w:tcW w:w="0" w:type="auto"/>
            <w:gridSpan w:val="3"/>
            <w:tcMar>
              <w:top w:w="30" w:type="dxa"/>
              <w:left w:w="20" w:type="dxa"/>
              <w:bottom w:w="30" w:type="dxa"/>
              <w:right w:w="20" w:type="dxa"/>
            </w:tcMar>
            <w:hideMark/>
          </w:tcPr>
          <w:p w14:paraId="5F7C86F8" w14:textId="77777777" w:rsidR="00000000" w:rsidRDefault="00A173A8">
            <w:pPr>
              <w:spacing w:after="100"/>
              <w:divId w:val="1395933114"/>
              <w:rPr>
                <w:rFonts w:eastAsia="Times New Roman"/>
              </w:rPr>
            </w:pPr>
            <w:hyperlink w:anchor="i7ffd5d61af6f4722b1b1b07530d51c06_334"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hideMark/>
          </w:tcPr>
          <w:p w14:paraId="4752B647" w14:textId="77777777" w:rsidR="00000000" w:rsidRDefault="00A173A8">
            <w:pPr>
              <w:spacing w:after="100"/>
              <w:jc w:val="center"/>
              <w:rPr>
                <w:rFonts w:eastAsia="Times New Roman"/>
              </w:rPr>
            </w:pPr>
            <w:hyperlink w:anchor="i7ffd5d61af6f4722b1b1b07530d51c06_334" w:history="1">
              <w:r>
                <w:rPr>
                  <w:rStyle w:val="a3"/>
                  <w:rFonts w:eastAsia="Times New Roman"/>
                  <w:color w:val="000000"/>
                  <w:sz w:val="20"/>
                  <w:szCs w:val="20"/>
                  <w:u w:val="none"/>
                </w:rPr>
                <w:t>65</w:t>
              </w:r>
            </w:hyperlink>
          </w:p>
        </w:tc>
      </w:tr>
      <w:tr w:rsidR="00000000" w14:paraId="3E3F8739" w14:textId="77777777">
        <w:trPr>
          <w:divId w:val="1280140741"/>
        </w:trPr>
        <w:tc>
          <w:tcPr>
            <w:tcW w:w="0" w:type="auto"/>
            <w:gridSpan w:val="3"/>
            <w:tcMar>
              <w:top w:w="30" w:type="dxa"/>
              <w:left w:w="20" w:type="dxa"/>
              <w:bottom w:w="30" w:type="dxa"/>
              <w:right w:w="20" w:type="dxa"/>
            </w:tcMar>
            <w:hideMark/>
          </w:tcPr>
          <w:p w14:paraId="4B64B22F" w14:textId="77777777" w:rsidR="00000000" w:rsidRDefault="00A173A8">
            <w:pPr>
              <w:spacing w:after="100"/>
              <w:divId w:val="1552619964"/>
              <w:rPr>
                <w:rFonts w:eastAsia="Times New Roman"/>
              </w:rPr>
            </w:pPr>
            <w:hyperlink w:anchor="i7ffd5d61af6f4722b1b1b07530d51c06_337"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hideMark/>
          </w:tcPr>
          <w:p w14:paraId="71149907" w14:textId="77777777" w:rsidR="00000000" w:rsidRDefault="00A173A8">
            <w:pPr>
              <w:spacing w:after="100"/>
              <w:jc w:val="center"/>
              <w:rPr>
                <w:rFonts w:eastAsia="Times New Roman"/>
              </w:rPr>
            </w:pPr>
            <w:hyperlink w:anchor="i7ffd5d61af6f4722b1b1b07530d51c06_337" w:history="1">
              <w:r>
                <w:rPr>
                  <w:rStyle w:val="a3"/>
                  <w:rFonts w:eastAsia="Times New Roman"/>
                  <w:color w:val="000000"/>
                  <w:sz w:val="20"/>
                  <w:szCs w:val="20"/>
                  <w:u w:val="none"/>
                </w:rPr>
                <w:t>66</w:t>
              </w:r>
            </w:hyperlink>
          </w:p>
        </w:tc>
      </w:tr>
      <w:tr w:rsidR="00000000" w14:paraId="66F51E71" w14:textId="77777777">
        <w:trPr>
          <w:divId w:val="1280140741"/>
        </w:trPr>
        <w:tc>
          <w:tcPr>
            <w:tcW w:w="0" w:type="auto"/>
            <w:gridSpan w:val="3"/>
            <w:tcMar>
              <w:top w:w="30" w:type="dxa"/>
              <w:left w:w="20" w:type="dxa"/>
              <w:bottom w:w="30" w:type="dxa"/>
              <w:right w:w="20" w:type="dxa"/>
            </w:tcMar>
            <w:hideMark/>
          </w:tcPr>
          <w:p w14:paraId="26335BEB" w14:textId="77777777" w:rsidR="00000000" w:rsidRDefault="00A173A8">
            <w:pPr>
              <w:spacing w:after="100"/>
              <w:divId w:val="1510485959"/>
              <w:rPr>
                <w:rFonts w:eastAsia="Times New Roman"/>
              </w:rPr>
            </w:pPr>
            <w:hyperlink w:anchor="i7ffd5d61af6f4722b1b1b07530d51c06_340"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hideMark/>
          </w:tcPr>
          <w:p w14:paraId="1B5A016B" w14:textId="77777777" w:rsidR="00000000" w:rsidRDefault="00A173A8">
            <w:pPr>
              <w:spacing w:after="100"/>
              <w:jc w:val="center"/>
              <w:rPr>
                <w:rFonts w:eastAsia="Times New Roman"/>
              </w:rPr>
            </w:pPr>
            <w:hyperlink w:anchor="i7ffd5d61af6f4722b1b1b07530d51c06_340" w:history="1">
              <w:r>
                <w:rPr>
                  <w:rStyle w:val="a3"/>
                  <w:rFonts w:eastAsia="Times New Roman"/>
                  <w:color w:val="000000"/>
                  <w:sz w:val="20"/>
                  <w:szCs w:val="20"/>
                  <w:u w:val="none"/>
                </w:rPr>
                <w:t>67</w:t>
              </w:r>
            </w:hyperlink>
          </w:p>
        </w:tc>
      </w:tr>
      <w:tr w:rsidR="00000000" w14:paraId="45649020" w14:textId="77777777">
        <w:trPr>
          <w:divId w:val="1280140741"/>
        </w:trPr>
        <w:tc>
          <w:tcPr>
            <w:tcW w:w="0" w:type="auto"/>
            <w:gridSpan w:val="3"/>
            <w:tcMar>
              <w:top w:w="30" w:type="dxa"/>
              <w:left w:w="20" w:type="dxa"/>
              <w:bottom w:w="30" w:type="dxa"/>
              <w:right w:w="20" w:type="dxa"/>
            </w:tcMar>
            <w:hideMark/>
          </w:tcPr>
          <w:p w14:paraId="649DB435" w14:textId="77777777" w:rsidR="00000000" w:rsidRDefault="00A173A8">
            <w:pPr>
              <w:spacing w:after="100"/>
              <w:divId w:val="1816407645"/>
              <w:rPr>
                <w:rFonts w:eastAsia="Times New Roman"/>
              </w:rPr>
            </w:pPr>
            <w:hyperlink w:anchor="i7ffd5d61af6f4722b1b1b07530d51c06_343" w:history="1">
              <w:r>
                <w:rPr>
                  <w:rStyle w:val="a3"/>
                  <w:rFonts w:eastAsia="Times New Roman"/>
                  <w:color w:val="000000"/>
                  <w:sz w:val="20"/>
                  <w:szCs w:val="20"/>
                  <w:u w:val="none"/>
                </w:rPr>
                <w:t>Consolidated Statements of Changes in St</w:t>
              </w:r>
              <w:r>
                <w:rPr>
                  <w:rStyle w:val="a3"/>
                  <w:rFonts w:eastAsia="Times New Roman"/>
                  <w:color w:val="000000"/>
                  <w:sz w:val="20"/>
                  <w:szCs w:val="20"/>
                  <w:u w:val="none"/>
                </w:rPr>
                <w:t>ockholders’ Equity</w:t>
              </w:r>
            </w:hyperlink>
          </w:p>
        </w:tc>
        <w:tc>
          <w:tcPr>
            <w:tcW w:w="0" w:type="auto"/>
            <w:gridSpan w:val="3"/>
            <w:tcMar>
              <w:top w:w="30" w:type="dxa"/>
              <w:left w:w="20" w:type="dxa"/>
              <w:bottom w:w="30" w:type="dxa"/>
              <w:right w:w="20" w:type="dxa"/>
            </w:tcMar>
            <w:hideMark/>
          </w:tcPr>
          <w:p w14:paraId="11174952" w14:textId="77777777" w:rsidR="00000000" w:rsidRDefault="00A173A8">
            <w:pPr>
              <w:spacing w:after="100"/>
              <w:jc w:val="center"/>
              <w:rPr>
                <w:rFonts w:eastAsia="Times New Roman"/>
              </w:rPr>
            </w:pPr>
            <w:hyperlink w:anchor="i7ffd5d61af6f4722b1b1b07530d51c06_343" w:history="1">
              <w:r>
                <w:rPr>
                  <w:rStyle w:val="a3"/>
                  <w:rFonts w:eastAsia="Times New Roman"/>
                  <w:color w:val="000000"/>
                  <w:sz w:val="20"/>
                  <w:szCs w:val="20"/>
                  <w:u w:val="none"/>
                </w:rPr>
                <w:t>68</w:t>
              </w:r>
            </w:hyperlink>
          </w:p>
        </w:tc>
      </w:tr>
      <w:tr w:rsidR="00000000" w14:paraId="271ADC71" w14:textId="77777777">
        <w:trPr>
          <w:divId w:val="1280140741"/>
        </w:trPr>
        <w:tc>
          <w:tcPr>
            <w:tcW w:w="0" w:type="auto"/>
            <w:gridSpan w:val="3"/>
            <w:tcMar>
              <w:top w:w="30" w:type="dxa"/>
              <w:left w:w="20" w:type="dxa"/>
              <w:bottom w:w="30" w:type="dxa"/>
              <w:right w:w="20" w:type="dxa"/>
            </w:tcMar>
            <w:hideMark/>
          </w:tcPr>
          <w:p w14:paraId="3DFA0473" w14:textId="77777777" w:rsidR="00000000" w:rsidRDefault="00A173A8">
            <w:pPr>
              <w:spacing w:after="100"/>
              <w:divId w:val="921529094"/>
              <w:rPr>
                <w:rFonts w:eastAsia="Times New Roman"/>
              </w:rPr>
            </w:pPr>
            <w:hyperlink w:anchor="i7ffd5d61af6f4722b1b1b07530d51c06_346"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hideMark/>
          </w:tcPr>
          <w:p w14:paraId="3B898E0A" w14:textId="77777777" w:rsidR="00000000" w:rsidRDefault="00A173A8">
            <w:pPr>
              <w:spacing w:after="100"/>
              <w:jc w:val="center"/>
              <w:rPr>
                <w:rFonts w:eastAsia="Times New Roman"/>
              </w:rPr>
            </w:pPr>
            <w:hyperlink w:anchor="i7ffd5d61af6f4722b1b1b07530d51c06_346" w:history="1">
              <w:r>
                <w:rPr>
                  <w:rStyle w:val="a3"/>
                  <w:rFonts w:eastAsia="Times New Roman"/>
                  <w:color w:val="000000"/>
                  <w:sz w:val="20"/>
                  <w:szCs w:val="20"/>
                  <w:u w:val="none"/>
                </w:rPr>
                <w:t>69</w:t>
              </w:r>
            </w:hyperlink>
          </w:p>
        </w:tc>
      </w:tr>
      <w:tr w:rsidR="00000000" w14:paraId="6BCDDD75" w14:textId="77777777">
        <w:trPr>
          <w:divId w:val="1280140741"/>
        </w:trPr>
        <w:tc>
          <w:tcPr>
            <w:tcW w:w="0" w:type="auto"/>
            <w:gridSpan w:val="3"/>
            <w:tcMar>
              <w:top w:w="30" w:type="dxa"/>
              <w:left w:w="20" w:type="dxa"/>
              <w:bottom w:w="30" w:type="dxa"/>
              <w:right w:w="20" w:type="dxa"/>
            </w:tcMar>
            <w:hideMark/>
          </w:tcPr>
          <w:p w14:paraId="4C87A77A" w14:textId="77777777" w:rsidR="00000000" w:rsidRDefault="00A173A8">
            <w:pPr>
              <w:spacing w:after="100"/>
              <w:divId w:val="1871185787"/>
              <w:rPr>
                <w:rFonts w:eastAsia="Times New Roman"/>
              </w:rPr>
            </w:pPr>
            <w:hyperlink w:anchor="i7ffd5d61af6f4722b1b1b07530d51c06_352"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hideMark/>
          </w:tcPr>
          <w:p w14:paraId="0B30D7A7" w14:textId="77777777" w:rsidR="00000000" w:rsidRDefault="00A173A8">
            <w:pPr>
              <w:spacing w:after="100"/>
              <w:jc w:val="center"/>
              <w:rPr>
                <w:rFonts w:eastAsia="Times New Roman"/>
              </w:rPr>
            </w:pPr>
            <w:hyperlink w:anchor="i7ffd5d61af6f4722b1b1b07530d51c06_349" w:history="1">
              <w:r>
                <w:rPr>
                  <w:rStyle w:val="a3"/>
                  <w:rFonts w:eastAsia="Times New Roman"/>
                  <w:color w:val="000000"/>
                  <w:sz w:val="20"/>
                  <w:szCs w:val="20"/>
                  <w:u w:val="none"/>
                </w:rPr>
                <w:t>71</w:t>
              </w:r>
            </w:hyperlink>
          </w:p>
        </w:tc>
      </w:tr>
      <w:tr w:rsidR="00000000" w14:paraId="174FF3B4" w14:textId="77777777">
        <w:trPr>
          <w:divId w:val="1280140741"/>
        </w:trPr>
        <w:tc>
          <w:tcPr>
            <w:tcW w:w="0" w:type="auto"/>
            <w:gridSpan w:val="3"/>
            <w:tcMar>
              <w:top w:w="30" w:type="dxa"/>
              <w:left w:w="20" w:type="dxa"/>
              <w:bottom w:w="30" w:type="dxa"/>
              <w:right w:w="20" w:type="dxa"/>
            </w:tcMar>
            <w:hideMark/>
          </w:tcPr>
          <w:p w14:paraId="53B5CFC2" w14:textId="77777777" w:rsidR="00000000" w:rsidRDefault="00A173A8">
            <w:pPr>
              <w:spacing w:after="100"/>
              <w:divId w:val="1928341681"/>
              <w:rPr>
                <w:rFonts w:eastAsia="Times New Roman"/>
              </w:rPr>
            </w:pPr>
            <w:hyperlink w:anchor="i7ffd5d61af6f4722b1b1b07530d51c06_349" w:history="1">
              <w:r>
                <w:rPr>
                  <w:rStyle w:val="a3"/>
                  <w:rFonts w:eastAsia="Times New Roman"/>
                  <w:color w:val="000000"/>
                  <w:sz w:val="20"/>
                  <w:szCs w:val="20"/>
                  <w:u w:val="none"/>
                </w:rPr>
                <w:t>Note 1—Summary of Signifi</w:t>
              </w:r>
              <w:r>
                <w:rPr>
                  <w:rStyle w:val="a3"/>
                  <w:rFonts w:eastAsia="Times New Roman"/>
                  <w:color w:val="000000"/>
                  <w:sz w:val="20"/>
                  <w:szCs w:val="20"/>
                  <w:u w:val="none"/>
                </w:rPr>
                <w:t>cant Accounting Policies</w:t>
              </w:r>
            </w:hyperlink>
          </w:p>
        </w:tc>
        <w:tc>
          <w:tcPr>
            <w:tcW w:w="0" w:type="auto"/>
            <w:gridSpan w:val="3"/>
            <w:tcMar>
              <w:top w:w="30" w:type="dxa"/>
              <w:left w:w="20" w:type="dxa"/>
              <w:bottom w:w="30" w:type="dxa"/>
              <w:right w:w="20" w:type="dxa"/>
            </w:tcMar>
            <w:hideMark/>
          </w:tcPr>
          <w:p w14:paraId="00F021DE" w14:textId="77777777" w:rsidR="00000000" w:rsidRDefault="00A173A8">
            <w:pPr>
              <w:spacing w:after="100"/>
              <w:jc w:val="center"/>
              <w:rPr>
                <w:rFonts w:eastAsia="Times New Roman"/>
              </w:rPr>
            </w:pPr>
            <w:hyperlink w:anchor="i7ffd5d61af6f4722b1b1b07530d51c06_349" w:history="1">
              <w:r>
                <w:rPr>
                  <w:rStyle w:val="a3"/>
                  <w:rFonts w:eastAsia="Times New Roman"/>
                  <w:color w:val="000000"/>
                  <w:sz w:val="20"/>
                  <w:szCs w:val="20"/>
                  <w:u w:val="none"/>
                </w:rPr>
                <w:t>71</w:t>
              </w:r>
            </w:hyperlink>
          </w:p>
        </w:tc>
      </w:tr>
      <w:tr w:rsidR="00000000" w14:paraId="0EAD4D90" w14:textId="77777777">
        <w:trPr>
          <w:divId w:val="1280140741"/>
        </w:trPr>
        <w:tc>
          <w:tcPr>
            <w:tcW w:w="0" w:type="auto"/>
            <w:gridSpan w:val="3"/>
            <w:tcMar>
              <w:top w:w="30" w:type="dxa"/>
              <w:left w:w="20" w:type="dxa"/>
              <w:bottom w:w="30" w:type="dxa"/>
              <w:right w:w="20" w:type="dxa"/>
            </w:tcMar>
            <w:hideMark/>
          </w:tcPr>
          <w:p w14:paraId="714500C1" w14:textId="77777777" w:rsidR="00000000" w:rsidRDefault="00A173A8">
            <w:pPr>
              <w:spacing w:after="100"/>
              <w:divId w:val="484203190"/>
              <w:rPr>
                <w:rFonts w:eastAsia="Times New Roman"/>
              </w:rPr>
            </w:pPr>
            <w:hyperlink w:anchor="i7ffd5d61af6f4722b1b1b07530d51c06_355"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hideMark/>
          </w:tcPr>
          <w:p w14:paraId="7F3AD293" w14:textId="77777777" w:rsidR="00000000" w:rsidRDefault="00A173A8">
            <w:pPr>
              <w:spacing w:after="100"/>
              <w:jc w:val="center"/>
              <w:rPr>
                <w:rFonts w:eastAsia="Times New Roman"/>
              </w:rPr>
            </w:pPr>
            <w:hyperlink w:anchor="i7ffd5d61af6f4722b1b1b07530d51c06_355" w:history="1">
              <w:r>
                <w:rPr>
                  <w:rStyle w:val="a3"/>
                  <w:rFonts w:eastAsia="Times New Roman"/>
                  <w:color w:val="000000"/>
                  <w:sz w:val="20"/>
                  <w:szCs w:val="20"/>
                  <w:u w:val="none"/>
                </w:rPr>
                <w:t>72</w:t>
              </w:r>
            </w:hyperlink>
          </w:p>
        </w:tc>
      </w:tr>
      <w:tr w:rsidR="00000000" w14:paraId="4A3F6A92" w14:textId="77777777">
        <w:trPr>
          <w:divId w:val="1280140741"/>
        </w:trPr>
        <w:tc>
          <w:tcPr>
            <w:tcW w:w="0" w:type="auto"/>
            <w:gridSpan w:val="3"/>
            <w:tcMar>
              <w:top w:w="30" w:type="dxa"/>
              <w:left w:w="20" w:type="dxa"/>
              <w:bottom w:w="30" w:type="dxa"/>
              <w:right w:w="20" w:type="dxa"/>
            </w:tcMar>
            <w:hideMark/>
          </w:tcPr>
          <w:p w14:paraId="2985400A" w14:textId="77777777" w:rsidR="00000000" w:rsidRDefault="00A173A8">
            <w:pPr>
              <w:spacing w:after="100"/>
              <w:divId w:val="706368090"/>
              <w:rPr>
                <w:rFonts w:eastAsia="Times New Roman"/>
              </w:rPr>
            </w:pPr>
            <w:hyperlink w:anchor="i7ffd5d61af6f4722b1b1b07530d51c06_358"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hideMark/>
          </w:tcPr>
          <w:p w14:paraId="77F69858" w14:textId="77777777" w:rsidR="00000000" w:rsidRDefault="00A173A8">
            <w:pPr>
              <w:spacing w:after="100"/>
              <w:jc w:val="center"/>
              <w:rPr>
                <w:rFonts w:eastAsia="Times New Roman"/>
              </w:rPr>
            </w:pPr>
            <w:hyperlink w:anchor="i7ffd5d61af6f4722b1b1b07530d51c06_358" w:history="1">
              <w:r>
                <w:rPr>
                  <w:rStyle w:val="a3"/>
                  <w:rFonts w:eastAsia="Times New Roman"/>
                  <w:color w:val="000000"/>
                  <w:sz w:val="20"/>
                  <w:szCs w:val="20"/>
                  <w:u w:val="none"/>
                </w:rPr>
                <w:t>75</w:t>
              </w:r>
            </w:hyperlink>
          </w:p>
        </w:tc>
      </w:tr>
      <w:tr w:rsidR="00000000" w14:paraId="16E114FE" w14:textId="77777777">
        <w:trPr>
          <w:divId w:val="1280140741"/>
        </w:trPr>
        <w:tc>
          <w:tcPr>
            <w:tcW w:w="0" w:type="auto"/>
            <w:gridSpan w:val="3"/>
            <w:tcMar>
              <w:top w:w="30" w:type="dxa"/>
              <w:left w:w="20" w:type="dxa"/>
              <w:bottom w:w="30" w:type="dxa"/>
              <w:right w:w="20" w:type="dxa"/>
            </w:tcMar>
            <w:hideMark/>
          </w:tcPr>
          <w:p w14:paraId="7DE82D97" w14:textId="77777777" w:rsidR="00000000" w:rsidRDefault="00A173A8">
            <w:pPr>
              <w:spacing w:after="100"/>
              <w:divId w:val="1531140452"/>
              <w:rPr>
                <w:rFonts w:eastAsia="Times New Roman"/>
              </w:rPr>
            </w:pPr>
            <w:hyperlink w:anchor="i7ffd5d61af6f4722b1b1b07530d51c06_382" w:history="1">
              <w:r>
                <w:rPr>
                  <w:rStyle w:val="a3"/>
                  <w:rFonts w:eastAsia="Times New Roman"/>
                  <w:color w:val="000000"/>
                  <w:sz w:val="20"/>
                  <w:szCs w:val="20"/>
                  <w:u w:val="none"/>
                </w:rPr>
                <w:t>Note 4—Allowance for Credit Losses and Reserve for Unfunded Lending Commitments</w:t>
              </w:r>
            </w:hyperlink>
          </w:p>
        </w:tc>
        <w:tc>
          <w:tcPr>
            <w:tcW w:w="0" w:type="auto"/>
            <w:gridSpan w:val="3"/>
            <w:tcMar>
              <w:top w:w="30" w:type="dxa"/>
              <w:left w:w="20" w:type="dxa"/>
              <w:bottom w:w="30" w:type="dxa"/>
              <w:right w:w="20" w:type="dxa"/>
            </w:tcMar>
            <w:hideMark/>
          </w:tcPr>
          <w:p w14:paraId="4F29EFCB" w14:textId="77777777" w:rsidR="00000000" w:rsidRDefault="00A173A8">
            <w:pPr>
              <w:spacing w:after="100"/>
              <w:jc w:val="center"/>
              <w:rPr>
                <w:rFonts w:eastAsia="Times New Roman"/>
              </w:rPr>
            </w:pPr>
            <w:hyperlink w:anchor="i7ffd5d61af6f4722b1b1b07530d51c06_382" w:history="1">
              <w:r>
                <w:rPr>
                  <w:rStyle w:val="a3"/>
                  <w:rFonts w:eastAsia="Times New Roman"/>
                  <w:color w:val="000000"/>
                  <w:sz w:val="20"/>
                  <w:szCs w:val="20"/>
                  <w:u w:val="none"/>
                </w:rPr>
                <w:t>84</w:t>
              </w:r>
            </w:hyperlink>
          </w:p>
        </w:tc>
      </w:tr>
      <w:tr w:rsidR="00000000" w14:paraId="511ADCCC" w14:textId="77777777">
        <w:trPr>
          <w:divId w:val="1280140741"/>
        </w:trPr>
        <w:tc>
          <w:tcPr>
            <w:tcW w:w="0" w:type="auto"/>
            <w:gridSpan w:val="3"/>
            <w:tcMar>
              <w:top w:w="30" w:type="dxa"/>
              <w:left w:w="20" w:type="dxa"/>
              <w:bottom w:w="30" w:type="dxa"/>
              <w:right w:w="20" w:type="dxa"/>
            </w:tcMar>
            <w:hideMark/>
          </w:tcPr>
          <w:p w14:paraId="53EF0A5F" w14:textId="77777777" w:rsidR="00000000" w:rsidRDefault="00A173A8">
            <w:pPr>
              <w:spacing w:after="100"/>
              <w:divId w:val="1882862399"/>
              <w:rPr>
                <w:rFonts w:eastAsia="Times New Roman"/>
              </w:rPr>
            </w:pPr>
            <w:hyperlink w:anchor="i7ffd5d61af6f4722b1b1b07530d51c06_385"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hideMark/>
          </w:tcPr>
          <w:p w14:paraId="146DBDE6" w14:textId="77777777" w:rsidR="00000000" w:rsidRDefault="00A173A8">
            <w:pPr>
              <w:spacing w:after="100"/>
              <w:jc w:val="center"/>
              <w:rPr>
                <w:rFonts w:eastAsia="Times New Roman"/>
              </w:rPr>
            </w:pPr>
            <w:hyperlink w:anchor="i7ffd5d61af6f4722b1b1b07530d51c06_385" w:history="1">
              <w:r>
                <w:rPr>
                  <w:rStyle w:val="a3"/>
                  <w:rFonts w:eastAsia="Times New Roman"/>
                  <w:color w:val="000000"/>
                  <w:sz w:val="20"/>
                  <w:szCs w:val="20"/>
                  <w:u w:val="none"/>
                </w:rPr>
                <w:t>87</w:t>
              </w:r>
            </w:hyperlink>
          </w:p>
        </w:tc>
      </w:tr>
      <w:tr w:rsidR="00000000" w14:paraId="05D2477C" w14:textId="77777777">
        <w:trPr>
          <w:divId w:val="1280140741"/>
        </w:trPr>
        <w:tc>
          <w:tcPr>
            <w:tcW w:w="0" w:type="auto"/>
            <w:gridSpan w:val="3"/>
            <w:tcMar>
              <w:top w:w="30" w:type="dxa"/>
              <w:left w:w="20" w:type="dxa"/>
              <w:bottom w:w="30" w:type="dxa"/>
              <w:right w:w="20" w:type="dxa"/>
            </w:tcMar>
            <w:hideMark/>
          </w:tcPr>
          <w:p w14:paraId="0E955973" w14:textId="77777777" w:rsidR="00000000" w:rsidRDefault="00A173A8">
            <w:pPr>
              <w:spacing w:after="100"/>
              <w:divId w:val="174459634"/>
              <w:rPr>
                <w:rFonts w:eastAsia="Times New Roman"/>
              </w:rPr>
            </w:pPr>
            <w:hyperlink w:anchor="i7ffd5d61af6f4722b1b1b07530d51c06_388" w:history="1">
              <w:r>
                <w:rPr>
                  <w:rStyle w:val="a3"/>
                  <w:rFonts w:eastAsia="Times New Roman"/>
                  <w:color w:val="000000"/>
                  <w:sz w:val="20"/>
                  <w:szCs w:val="20"/>
                  <w:u w:val="none"/>
                </w:rPr>
                <w:t>Note 6—Goodwill and Other Intangible Assets</w:t>
              </w:r>
            </w:hyperlink>
          </w:p>
        </w:tc>
        <w:tc>
          <w:tcPr>
            <w:tcW w:w="0" w:type="auto"/>
            <w:gridSpan w:val="3"/>
            <w:tcMar>
              <w:top w:w="30" w:type="dxa"/>
              <w:left w:w="20" w:type="dxa"/>
              <w:bottom w:w="30" w:type="dxa"/>
              <w:right w:w="20" w:type="dxa"/>
            </w:tcMar>
            <w:hideMark/>
          </w:tcPr>
          <w:p w14:paraId="1295545E" w14:textId="77777777" w:rsidR="00000000" w:rsidRDefault="00A173A8">
            <w:pPr>
              <w:spacing w:after="100"/>
              <w:jc w:val="center"/>
              <w:rPr>
                <w:rFonts w:eastAsia="Times New Roman"/>
              </w:rPr>
            </w:pPr>
            <w:hyperlink w:anchor="i7ffd5d61af6f4722b1b1b07530d51c06_388" w:history="1">
              <w:r>
                <w:rPr>
                  <w:rStyle w:val="a3"/>
                  <w:rFonts w:eastAsia="Times New Roman"/>
                  <w:color w:val="000000"/>
                  <w:sz w:val="20"/>
                  <w:szCs w:val="20"/>
                  <w:u w:val="none"/>
                </w:rPr>
                <w:t>91</w:t>
              </w:r>
            </w:hyperlink>
          </w:p>
        </w:tc>
      </w:tr>
      <w:tr w:rsidR="00000000" w14:paraId="2C5C0F2D" w14:textId="77777777">
        <w:trPr>
          <w:divId w:val="1280140741"/>
        </w:trPr>
        <w:tc>
          <w:tcPr>
            <w:tcW w:w="0" w:type="auto"/>
            <w:gridSpan w:val="3"/>
            <w:vAlign w:val="center"/>
            <w:hideMark/>
          </w:tcPr>
          <w:p w14:paraId="6F0D0F66" w14:textId="77777777" w:rsidR="00000000" w:rsidRDefault="00A173A8">
            <w:pPr>
              <w:spacing w:after="100"/>
              <w:jc w:val="center"/>
              <w:rPr>
                <w:rFonts w:eastAsia="Times New Roman"/>
              </w:rPr>
            </w:pPr>
          </w:p>
        </w:tc>
        <w:tc>
          <w:tcPr>
            <w:tcW w:w="0" w:type="auto"/>
            <w:gridSpan w:val="3"/>
            <w:vAlign w:val="center"/>
            <w:hideMark/>
          </w:tcPr>
          <w:p w14:paraId="6314B476" w14:textId="77777777" w:rsidR="00000000" w:rsidRDefault="00A173A8">
            <w:pPr>
              <w:spacing w:after="100"/>
              <w:rPr>
                <w:rFonts w:eastAsia="Times New Roman"/>
                <w:sz w:val="20"/>
                <w:szCs w:val="20"/>
              </w:rPr>
            </w:pPr>
          </w:p>
        </w:tc>
      </w:tr>
      <w:tr w:rsidR="00000000" w14:paraId="07356069" w14:textId="77777777">
        <w:trPr>
          <w:divId w:val="1280140741"/>
        </w:trPr>
        <w:tc>
          <w:tcPr>
            <w:tcW w:w="0" w:type="auto"/>
            <w:gridSpan w:val="3"/>
            <w:tcMar>
              <w:top w:w="30" w:type="dxa"/>
              <w:left w:w="20" w:type="dxa"/>
              <w:bottom w:w="30" w:type="dxa"/>
              <w:right w:w="20" w:type="dxa"/>
            </w:tcMar>
            <w:hideMark/>
          </w:tcPr>
          <w:p w14:paraId="62BEF1EF" w14:textId="77777777" w:rsidR="00000000" w:rsidRDefault="00A173A8">
            <w:pPr>
              <w:spacing w:after="100"/>
              <w:divId w:val="2112699535"/>
              <w:rPr>
                <w:rFonts w:eastAsia="Times New Roman"/>
              </w:rPr>
            </w:pPr>
            <w:hyperlink w:anchor="i7ffd5d61af6f4722b1b1b07530d51c06_394" w:history="1">
              <w:r>
                <w:rPr>
                  <w:rStyle w:val="a3"/>
                  <w:rFonts w:eastAsia="Times New Roman"/>
                  <w:color w:val="000000"/>
                  <w:sz w:val="20"/>
                  <w:szCs w:val="20"/>
                  <w:u w:val="none"/>
                </w:rPr>
                <w:t>Note 7—Deposits and Borrowings</w:t>
              </w:r>
            </w:hyperlink>
          </w:p>
        </w:tc>
        <w:tc>
          <w:tcPr>
            <w:tcW w:w="0" w:type="auto"/>
            <w:gridSpan w:val="3"/>
            <w:tcMar>
              <w:top w:w="30" w:type="dxa"/>
              <w:left w:w="20" w:type="dxa"/>
              <w:bottom w:w="30" w:type="dxa"/>
              <w:right w:w="20" w:type="dxa"/>
            </w:tcMar>
            <w:hideMark/>
          </w:tcPr>
          <w:p w14:paraId="52544DB1" w14:textId="77777777" w:rsidR="00000000" w:rsidRDefault="00A173A8">
            <w:pPr>
              <w:spacing w:after="100"/>
              <w:jc w:val="center"/>
              <w:rPr>
                <w:rFonts w:eastAsia="Times New Roman"/>
              </w:rPr>
            </w:pPr>
            <w:hyperlink w:anchor="i7ffd5d61af6f4722b1b1b07530d51c06_394" w:history="1">
              <w:r>
                <w:rPr>
                  <w:rStyle w:val="a3"/>
                  <w:rFonts w:eastAsia="Times New Roman"/>
                  <w:color w:val="000000"/>
                  <w:sz w:val="20"/>
                  <w:szCs w:val="20"/>
                  <w:u w:val="none"/>
                </w:rPr>
                <w:t>92</w:t>
              </w:r>
            </w:hyperlink>
          </w:p>
        </w:tc>
      </w:tr>
      <w:tr w:rsidR="00000000" w14:paraId="10727CFA" w14:textId="77777777">
        <w:trPr>
          <w:divId w:val="1280140741"/>
        </w:trPr>
        <w:tc>
          <w:tcPr>
            <w:tcW w:w="0" w:type="auto"/>
            <w:gridSpan w:val="3"/>
            <w:tcMar>
              <w:top w:w="30" w:type="dxa"/>
              <w:left w:w="20" w:type="dxa"/>
              <w:bottom w:w="30" w:type="dxa"/>
              <w:right w:w="20" w:type="dxa"/>
            </w:tcMar>
            <w:hideMark/>
          </w:tcPr>
          <w:p w14:paraId="25C05F35" w14:textId="77777777" w:rsidR="00000000" w:rsidRDefault="00A173A8">
            <w:pPr>
              <w:spacing w:after="100"/>
              <w:divId w:val="1637876165"/>
              <w:rPr>
                <w:rFonts w:eastAsia="Times New Roman"/>
              </w:rPr>
            </w:pPr>
            <w:hyperlink w:anchor="i7ffd5d61af6f4722b1b1b07530d51c06_397" w:history="1">
              <w:r>
                <w:rPr>
                  <w:rStyle w:val="a3"/>
                  <w:rFonts w:eastAsia="Times New Roman"/>
                  <w:color w:val="000000"/>
                  <w:sz w:val="20"/>
                  <w:szCs w:val="20"/>
                  <w:u w:val="none"/>
                </w:rPr>
                <w:t>Note 8—Derivative Instruments and Hedging Activities</w:t>
              </w:r>
            </w:hyperlink>
          </w:p>
        </w:tc>
        <w:tc>
          <w:tcPr>
            <w:tcW w:w="0" w:type="auto"/>
            <w:gridSpan w:val="3"/>
            <w:tcMar>
              <w:top w:w="30" w:type="dxa"/>
              <w:left w:w="20" w:type="dxa"/>
              <w:bottom w:w="30" w:type="dxa"/>
              <w:right w:w="20" w:type="dxa"/>
            </w:tcMar>
            <w:hideMark/>
          </w:tcPr>
          <w:p w14:paraId="60113D88" w14:textId="77777777" w:rsidR="00000000" w:rsidRDefault="00A173A8">
            <w:pPr>
              <w:spacing w:after="100"/>
              <w:jc w:val="center"/>
              <w:rPr>
                <w:rFonts w:eastAsia="Times New Roman"/>
              </w:rPr>
            </w:pPr>
            <w:hyperlink w:anchor="i7ffd5d61af6f4722b1b1b07530d51c06_397" w:history="1">
              <w:r>
                <w:rPr>
                  <w:rStyle w:val="a3"/>
                  <w:rFonts w:eastAsia="Times New Roman"/>
                  <w:color w:val="000000"/>
                  <w:sz w:val="20"/>
                  <w:szCs w:val="20"/>
                  <w:u w:val="none"/>
                </w:rPr>
                <w:t>93</w:t>
              </w:r>
            </w:hyperlink>
          </w:p>
        </w:tc>
      </w:tr>
      <w:tr w:rsidR="00000000" w14:paraId="5B06CBBE" w14:textId="77777777">
        <w:trPr>
          <w:divId w:val="1280140741"/>
        </w:trPr>
        <w:tc>
          <w:tcPr>
            <w:tcW w:w="0" w:type="auto"/>
            <w:gridSpan w:val="3"/>
            <w:tcMar>
              <w:top w:w="30" w:type="dxa"/>
              <w:left w:w="20" w:type="dxa"/>
              <w:bottom w:w="30" w:type="dxa"/>
              <w:right w:w="20" w:type="dxa"/>
            </w:tcMar>
            <w:hideMark/>
          </w:tcPr>
          <w:p w14:paraId="13312BE2" w14:textId="77777777" w:rsidR="00000000" w:rsidRDefault="00A173A8">
            <w:pPr>
              <w:spacing w:after="100"/>
              <w:divId w:val="1499154073"/>
              <w:rPr>
                <w:rFonts w:eastAsia="Times New Roman"/>
              </w:rPr>
            </w:pPr>
            <w:hyperlink w:anchor="i7ffd5d61af6f4722b1b1b07530d51c06_400" w:history="1">
              <w:r>
                <w:rPr>
                  <w:rStyle w:val="a3"/>
                  <w:rFonts w:eastAsia="Times New Roman"/>
                  <w:color w:val="000000"/>
                  <w:sz w:val="20"/>
                  <w:szCs w:val="20"/>
                  <w:u w:val="none"/>
                </w:rPr>
                <w:t>Note 9—Stockholders’ Equity</w:t>
              </w:r>
            </w:hyperlink>
          </w:p>
        </w:tc>
        <w:tc>
          <w:tcPr>
            <w:tcW w:w="0" w:type="auto"/>
            <w:gridSpan w:val="3"/>
            <w:tcMar>
              <w:top w:w="30" w:type="dxa"/>
              <w:left w:w="20" w:type="dxa"/>
              <w:bottom w:w="30" w:type="dxa"/>
              <w:right w:w="20" w:type="dxa"/>
            </w:tcMar>
            <w:hideMark/>
          </w:tcPr>
          <w:p w14:paraId="606D4541" w14:textId="77777777" w:rsidR="00000000" w:rsidRDefault="00A173A8">
            <w:pPr>
              <w:spacing w:after="100"/>
              <w:jc w:val="center"/>
              <w:rPr>
                <w:rFonts w:eastAsia="Times New Roman"/>
              </w:rPr>
            </w:pPr>
            <w:hyperlink w:anchor="i7ffd5d61af6f4722b1b1b07530d51c06_400" w:history="1">
              <w:r>
                <w:rPr>
                  <w:rStyle w:val="a3"/>
                  <w:rFonts w:eastAsia="Times New Roman"/>
                  <w:color w:val="000000"/>
                  <w:sz w:val="20"/>
                  <w:szCs w:val="20"/>
                  <w:u w:val="none"/>
                </w:rPr>
                <w:t>102</w:t>
              </w:r>
            </w:hyperlink>
          </w:p>
        </w:tc>
      </w:tr>
      <w:tr w:rsidR="00000000" w14:paraId="29ECB55F" w14:textId="77777777">
        <w:trPr>
          <w:divId w:val="1280140741"/>
        </w:trPr>
        <w:tc>
          <w:tcPr>
            <w:tcW w:w="0" w:type="auto"/>
            <w:gridSpan w:val="3"/>
            <w:vAlign w:val="center"/>
            <w:hideMark/>
          </w:tcPr>
          <w:p w14:paraId="2EC31EE7" w14:textId="77777777" w:rsidR="00000000" w:rsidRDefault="00A173A8">
            <w:pPr>
              <w:spacing w:after="100"/>
              <w:jc w:val="center"/>
              <w:rPr>
                <w:rFonts w:eastAsia="Times New Roman"/>
              </w:rPr>
            </w:pPr>
          </w:p>
        </w:tc>
        <w:tc>
          <w:tcPr>
            <w:tcW w:w="0" w:type="auto"/>
            <w:gridSpan w:val="3"/>
            <w:vAlign w:val="center"/>
            <w:hideMark/>
          </w:tcPr>
          <w:p w14:paraId="0E854675" w14:textId="77777777" w:rsidR="00000000" w:rsidRDefault="00A173A8">
            <w:pPr>
              <w:spacing w:after="100"/>
              <w:rPr>
                <w:rFonts w:eastAsia="Times New Roman"/>
                <w:sz w:val="20"/>
                <w:szCs w:val="20"/>
              </w:rPr>
            </w:pPr>
          </w:p>
        </w:tc>
      </w:tr>
      <w:tr w:rsidR="00000000" w14:paraId="5FC94465" w14:textId="77777777">
        <w:trPr>
          <w:divId w:val="1280140741"/>
        </w:trPr>
        <w:tc>
          <w:tcPr>
            <w:tcW w:w="0" w:type="auto"/>
            <w:gridSpan w:val="3"/>
            <w:tcMar>
              <w:top w:w="30" w:type="dxa"/>
              <w:left w:w="20" w:type="dxa"/>
              <w:bottom w:w="30" w:type="dxa"/>
              <w:right w:w="20" w:type="dxa"/>
            </w:tcMar>
            <w:hideMark/>
          </w:tcPr>
          <w:p w14:paraId="78F6C032" w14:textId="77777777" w:rsidR="00000000" w:rsidRDefault="00A173A8">
            <w:pPr>
              <w:spacing w:after="100"/>
              <w:divId w:val="139427261"/>
              <w:rPr>
                <w:rFonts w:eastAsia="Times New Roman"/>
              </w:rPr>
            </w:pPr>
            <w:hyperlink w:anchor="i7ffd5d61af6f4722b1b1b07530d51c06_409" w:history="1">
              <w:r>
                <w:rPr>
                  <w:rStyle w:val="a3"/>
                  <w:rFonts w:eastAsia="Times New Roman"/>
                  <w:color w:val="000000"/>
                  <w:sz w:val="20"/>
                  <w:szCs w:val="20"/>
                  <w:u w:val="none"/>
                </w:rPr>
                <w:t>Note 10—Earnings Per Common Share</w:t>
              </w:r>
            </w:hyperlink>
          </w:p>
        </w:tc>
        <w:tc>
          <w:tcPr>
            <w:tcW w:w="0" w:type="auto"/>
            <w:gridSpan w:val="3"/>
            <w:tcMar>
              <w:top w:w="30" w:type="dxa"/>
              <w:left w:w="20" w:type="dxa"/>
              <w:bottom w:w="30" w:type="dxa"/>
              <w:right w:w="20" w:type="dxa"/>
            </w:tcMar>
            <w:hideMark/>
          </w:tcPr>
          <w:p w14:paraId="2D383155" w14:textId="77777777" w:rsidR="00000000" w:rsidRDefault="00A173A8">
            <w:pPr>
              <w:spacing w:after="100"/>
              <w:jc w:val="center"/>
              <w:rPr>
                <w:rFonts w:eastAsia="Times New Roman"/>
              </w:rPr>
            </w:pPr>
            <w:hyperlink w:anchor="i7ffd5d61af6f4722b1b1b07530d51c06_409" w:history="1">
              <w:r>
                <w:rPr>
                  <w:rStyle w:val="a3"/>
                  <w:rFonts w:eastAsia="Times New Roman"/>
                  <w:color w:val="000000"/>
                  <w:sz w:val="20"/>
                  <w:szCs w:val="20"/>
                  <w:u w:val="none"/>
                </w:rPr>
                <w:t>105</w:t>
              </w:r>
            </w:hyperlink>
          </w:p>
        </w:tc>
      </w:tr>
      <w:tr w:rsidR="00000000" w14:paraId="7910F96F" w14:textId="77777777">
        <w:trPr>
          <w:divId w:val="1280140741"/>
        </w:trPr>
        <w:tc>
          <w:tcPr>
            <w:tcW w:w="0" w:type="auto"/>
            <w:gridSpan w:val="3"/>
            <w:vAlign w:val="center"/>
            <w:hideMark/>
          </w:tcPr>
          <w:p w14:paraId="4751D193" w14:textId="77777777" w:rsidR="00000000" w:rsidRDefault="00A173A8">
            <w:pPr>
              <w:spacing w:after="100"/>
              <w:jc w:val="center"/>
              <w:rPr>
                <w:rFonts w:eastAsia="Times New Roman"/>
              </w:rPr>
            </w:pPr>
          </w:p>
        </w:tc>
        <w:tc>
          <w:tcPr>
            <w:tcW w:w="0" w:type="auto"/>
            <w:gridSpan w:val="3"/>
            <w:vAlign w:val="center"/>
            <w:hideMark/>
          </w:tcPr>
          <w:p w14:paraId="28E1CA0C" w14:textId="77777777" w:rsidR="00000000" w:rsidRDefault="00A173A8">
            <w:pPr>
              <w:spacing w:after="100"/>
              <w:rPr>
                <w:rFonts w:eastAsia="Times New Roman"/>
                <w:sz w:val="20"/>
                <w:szCs w:val="20"/>
              </w:rPr>
            </w:pPr>
          </w:p>
        </w:tc>
      </w:tr>
      <w:tr w:rsidR="00000000" w14:paraId="1E3C6486" w14:textId="77777777">
        <w:trPr>
          <w:divId w:val="1280140741"/>
        </w:trPr>
        <w:tc>
          <w:tcPr>
            <w:tcW w:w="0" w:type="auto"/>
            <w:gridSpan w:val="3"/>
            <w:vAlign w:val="center"/>
            <w:hideMark/>
          </w:tcPr>
          <w:p w14:paraId="1B3E17AE" w14:textId="77777777" w:rsidR="00000000" w:rsidRDefault="00A173A8">
            <w:pPr>
              <w:spacing w:after="100"/>
              <w:rPr>
                <w:rFonts w:eastAsia="Times New Roman"/>
                <w:sz w:val="20"/>
                <w:szCs w:val="20"/>
              </w:rPr>
            </w:pPr>
          </w:p>
        </w:tc>
        <w:tc>
          <w:tcPr>
            <w:tcW w:w="0" w:type="auto"/>
            <w:gridSpan w:val="3"/>
            <w:vAlign w:val="center"/>
            <w:hideMark/>
          </w:tcPr>
          <w:p w14:paraId="381F2788" w14:textId="77777777" w:rsidR="00000000" w:rsidRDefault="00A173A8">
            <w:pPr>
              <w:spacing w:after="100"/>
              <w:rPr>
                <w:rFonts w:eastAsia="Times New Roman"/>
                <w:sz w:val="20"/>
                <w:szCs w:val="20"/>
              </w:rPr>
            </w:pPr>
          </w:p>
        </w:tc>
      </w:tr>
      <w:tr w:rsidR="00000000" w14:paraId="0B4E3E2C" w14:textId="77777777">
        <w:trPr>
          <w:divId w:val="1280140741"/>
        </w:trPr>
        <w:tc>
          <w:tcPr>
            <w:tcW w:w="0" w:type="auto"/>
            <w:gridSpan w:val="3"/>
            <w:vAlign w:val="center"/>
            <w:hideMark/>
          </w:tcPr>
          <w:p w14:paraId="0DE93389" w14:textId="77777777" w:rsidR="00000000" w:rsidRDefault="00A173A8">
            <w:pPr>
              <w:spacing w:after="100"/>
              <w:rPr>
                <w:rFonts w:eastAsia="Times New Roman"/>
                <w:sz w:val="20"/>
                <w:szCs w:val="20"/>
              </w:rPr>
            </w:pPr>
          </w:p>
        </w:tc>
        <w:tc>
          <w:tcPr>
            <w:tcW w:w="0" w:type="auto"/>
            <w:gridSpan w:val="3"/>
            <w:vAlign w:val="center"/>
            <w:hideMark/>
          </w:tcPr>
          <w:p w14:paraId="466AD3DA" w14:textId="77777777" w:rsidR="00000000" w:rsidRDefault="00A173A8">
            <w:pPr>
              <w:spacing w:after="100"/>
              <w:rPr>
                <w:rFonts w:eastAsia="Times New Roman"/>
                <w:sz w:val="20"/>
                <w:szCs w:val="20"/>
              </w:rPr>
            </w:pPr>
          </w:p>
        </w:tc>
      </w:tr>
      <w:tr w:rsidR="00000000" w14:paraId="76A9F0D8" w14:textId="77777777">
        <w:trPr>
          <w:divId w:val="1280140741"/>
        </w:trPr>
        <w:tc>
          <w:tcPr>
            <w:tcW w:w="0" w:type="auto"/>
            <w:gridSpan w:val="3"/>
            <w:tcMar>
              <w:top w:w="30" w:type="dxa"/>
              <w:left w:w="20" w:type="dxa"/>
              <w:bottom w:w="30" w:type="dxa"/>
              <w:right w:w="20" w:type="dxa"/>
            </w:tcMar>
            <w:hideMark/>
          </w:tcPr>
          <w:p w14:paraId="53B3C7A5" w14:textId="77777777" w:rsidR="00000000" w:rsidRDefault="00A173A8">
            <w:pPr>
              <w:spacing w:after="100"/>
              <w:divId w:val="1448236071"/>
              <w:rPr>
                <w:rFonts w:eastAsia="Times New Roman"/>
              </w:rPr>
            </w:pPr>
            <w:hyperlink w:anchor="i7ffd5d61af6f4722b1b1b07530d51c06_421" w:history="1">
              <w:r>
                <w:rPr>
                  <w:rStyle w:val="a3"/>
                  <w:rFonts w:eastAsia="Times New Roman"/>
                  <w:color w:val="000000"/>
                  <w:sz w:val="20"/>
                  <w:szCs w:val="20"/>
                  <w:u w:val="none"/>
                </w:rPr>
                <w:t>Note 11—Fair Value Measurement</w:t>
              </w:r>
            </w:hyperlink>
          </w:p>
        </w:tc>
        <w:tc>
          <w:tcPr>
            <w:tcW w:w="0" w:type="auto"/>
            <w:gridSpan w:val="3"/>
            <w:tcMar>
              <w:top w:w="30" w:type="dxa"/>
              <w:left w:w="20" w:type="dxa"/>
              <w:bottom w:w="30" w:type="dxa"/>
              <w:right w:w="20" w:type="dxa"/>
            </w:tcMar>
            <w:hideMark/>
          </w:tcPr>
          <w:p w14:paraId="32FEDE7B" w14:textId="77777777" w:rsidR="00000000" w:rsidRDefault="00A173A8">
            <w:pPr>
              <w:spacing w:after="100"/>
              <w:jc w:val="center"/>
              <w:rPr>
                <w:rFonts w:eastAsia="Times New Roman"/>
              </w:rPr>
            </w:pPr>
            <w:hyperlink w:anchor="i7ffd5d61af6f4722b1b1b07530d51c06_421" w:history="1">
              <w:r>
                <w:rPr>
                  <w:rStyle w:val="a3"/>
                  <w:rFonts w:eastAsia="Times New Roman"/>
                  <w:color w:val="000000"/>
                  <w:sz w:val="20"/>
                  <w:szCs w:val="20"/>
                  <w:u w:val="none"/>
                </w:rPr>
                <w:t>106</w:t>
              </w:r>
            </w:hyperlink>
          </w:p>
        </w:tc>
      </w:tr>
      <w:tr w:rsidR="00000000" w14:paraId="308A2A73" w14:textId="77777777">
        <w:trPr>
          <w:divId w:val="1280140741"/>
        </w:trPr>
        <w:tc>
          <w:tcPr>
            <w:tcW w:w="0" w:type="auto"/>
            <w:gridSpan w:val="3"/>
            <w:tcMar>
              <w:top w:w="30" w:type="dxa"/>
              <w:left w:w="20" w:type="dxa"/>
              <w:bottom w:w="30" w:type="dxa"/>
              <w:right w:w="20" w:type="dxa"/>
            </w:tcMar>
            <w:hideMark/>
          </w:tcPr>
          <w:p w14:paraId="70897857" w14:textId="77777777" w:rsidR="00000000" w:rsidRDefault="00A173A8">
            <w:pPr>
              <w:spacing w:after="100"/>
              <w:divId w:val="1915629996"/>
              <w:rPr>
                <w:rFonts w:eastAsia="Times New Roman"/>
              </w:rPr>
            </w:pPr>
            <w:hyperlink w:anchor="i7ffd5d61af6f4722b1b1b07530d51c06_424" w:history="1">
              <w:r>
                <w:rPr>
                  <w:rStyle w:val="a3"/>
                  <w:rFonts w:eastAsia="Times New Roman"/>
                  <w:color w:val="000000"/>
                  <w:sz w:val="20"/>
                  <w:szCs w:val="20"/>
                  <w:u w:val="none"/>
                </w:rPr>
                <w:t>Note 12—Business Segments and Revenu</w:t>
              </w:r>
              <w:r>
                <w:rPr>
                  <w:rStyle w:val="a3"/>
                  <w:rFonts w:eastAsia="Times New Roman"/>
                  <w:color w:val="000000"/>
                  <w:sz w:val="20"/>
                  <w:szCs w:val="20"/>
                  <w:u w:val="none"/>
                </w:rPr>
                <w:t>e from Contracts with Customers</w:t>
              </w:r>
            </w:hyperlink>
          </w:p>
        </w:tc>
        <w:tc>
          <w:tcPr>
            <w:tcW w:w="0" w:type="auto"/>
            <w:gridSpan w:val="3"/>
            <w:tcMar>
              <w:top w:w="30" w:type="dxa"/>
              <w:left w:w="20" w:type="dxa"/>
              <w:bottom w:w="30" w:type="dxa"/>
              <w:right w:w="20" w:type="dxa"/>
            </w:tcMar>
            <w:hideMark/>
          </w:tcPr>
          <w:p w14:paraId="64DA94C5" w14:textId="77777777" w:rsidR="00000000" w:rsidRDefault="00A173A8">
            <w:pPr>
              <w:spacing w:after="100"/>
              <w:jc w:val="center"/>
              <w:rPr>
                <w:rFonts w:eastAsia="Times New Roman"/>
              </w:rPr>
            </w:pPr>
            <w:hyperlink w:anchor="i7ffd5d61af6f4722b1b1b07530d51c06_424" w:history="1">
              <w:r>
                <w:rPr>
                  <w:rStyle w:val="a3"/>
                  <w:rFonts w:eastAsia="Times New Roman"/>
                  <w:color w:val="000000"/>
                  <w:sz w:val="20"/>
                  <w:szCs w:val="20"/>
                  <w:u w:val="none"/>
                </w:rPr>
                <w:t>113</w:t>
              </w:r>
            </w:hyperlink>
          </w:p>
        </w:tc>
      </w:tr>
      <w:tr w:rsidR="00000000" w14:paraId="79469FB0" w14:textId="77777777">
        <w:trPr>
          <w:divId w:val="1280140741"/>
        </w:trPr>
        <w:tc>
          <w:tcPr>
            <w:tcW w:w="0" w:type="auto"/>
            <w:gridSpan w:val="3"/>
            <w:tcMar>
              <w:top w:w="30" w:type="dxa"/>
              <w:left w:w="20" w:type="dxa"/>
              <w:bottom w:w="30" w:type="dxa"/>
              <w:right w:w="20" w:type="dxa"/>
            </w:tcMar>
            <w:hideMark/>
          </w:tcPr>
          <w:p w14:paraId="3F8B524C" w14:textId="77777777" w:rsidR="00000000" w:rsidRDefault="00A173A8">
            <w:pPr>
              <w:spacing w:after="100"/>
              <w:divId w:val="482502046"/>
              <w:rPr>
                <w:rFonts w:eastAsia="Times New Roman"/>
              </w:rPr>
            </w:pPr>
            <w:hyperlink w:anchor="i7ffd5d61af6f4722b1b1b07530d51c06_427" w:history="1">
              <w:r>
                <w:rPr>
                  <w:rStyle w:val="a3"/>
                  <w:rFonts w:eastAsia="Times New Roman"/>
                  <w:color w:val="000000"/>
                  <w:sz w:val="20"/>
                  <w:szCs w:val="20"/>
                  <w:u w:val="none"/>
                </w:rPr>
                <w:t>Note 13—</w:t>
              </w:r>
              <w:r>
                <w:rPr>
                  <w:rStyle w:val="a3"/>
                  <w:rFonts w:eastAsia="Times New Roman"/>
                  <w:color w:val="000000"/>
                  <w:sz w:val="20"/>
                  <w:szCs w:val="20"/>
                  <w:u w:val="none"/>
                </w:rPr>
                <w:t>Commitments, Contingencies, Guarantees and Others</w:t>
              </w:r>
            </w:hyperlink>
          </w:p>
        </w:tc>
        <w:tc>
          <w:tcPr>
            <w:tcW w:w="0" w:type="auto"/>
            <w:gridSpan w:val="3"/>
            <w:tcMar>
              <w:top w:w="30" w:type="dxa"/>
              <w:left w:w="20" w:type="dxa"/>
              <w:bottom w:w="30" w:type="dxa"/>
              <w:right w:w="20" w:type="dxa"/>
            </w:tcMar>
            <w:hideMark/>
          </w:tcPr>
          <w:p w14:paraId="5EE10340" w14:textId="77777777" w:rsidR="00000000" w:rsidRDefault="00A173A8">
            <w:pPr>
              <w:spacing w:after="100"/>
              <w:jc w:val="center"/>
              <w:rPr>
                <w:rFonts w:eastAsia="Times New Roman"/>
              </w:rPr>
            </w:pPr>
            <w:hyperlink w:anchor="i7ffd5d61af6f4722b1b1b07530d51c06_427" w:history="1">
              <w:r>
                <w:rPr>
                  <w:rStyle w:val="a3"/>
                  <w:rFonts w:eastAsia="Times New Roman"/>
                  <w:color w:val="000000"/>
                  <w:sz w:val="20"/>
                  <w:szCs w:val="20"/>
                  <w:u w:val="none"/>
                </w:rPr>
                <w:t>117</w:t>
              </w:r>
            </w:hyperlink>
          </w:p>
        </w:tc>
      </w:tr>
      <w:tr w:rsidR="00000000" w14:paraId="1CBE6BCB" w14:textId="77777777">
        <w:trPr>
          <w:divId w:val="1280140741"/>
        </w:trPr>
        <w:tc>
          <w:tcPr>
            <w:tcW w:w="0" w:type="auto"/>
            <w:gridSpan w:val="3"/>
            <w:vAlign w:val="center"/>
            <w:hideMark/>
          </w:tcPr>
          <w:p w14:paraId="2569234B" w14:textId="77777777" w:rsidR="00000000" w:rsidRDefault="00A173A8">
            <w:pPr>
              <w:spacing w:after="100"/>
              <w:jc w:val="center"/>
              <w:rPr>
                <w:rFonts w:eastAsia="Times New Roman"/>
              </w:rPr>
            </w:pPr>
          </w:p>
        </w:tc>
        <w:tc>
          <w:tcPr>
            <w:tcW w:w="0" w:type="auto"/>
            <w:gridSpan w:val="3"/>
            <w:vAlign w:val="center"/>
            <w:hideMark/>
          </w:tcPr>
          <w:p w14:paraId="4D7BAD91" w14:textId="77777777" w:rsidR="00000000" w:rsidRDefault="00A173A8">
            <w:pPr>
              <w:spacing w:after="100"/>
              <w:rPr>
                <w:rFonts w:eastAsia="Times New Roman"/>
                <w:sz w:val="20"/>
                <w:szCs w:val="20"/>
              </w:rPr>
            </w:pPr>
          </w:p>
        </w:tc>
      </w:tr>
      <w:tr w:rsidR="00000000" w14:paraId="53654A84" w14:textId="77777777">
        <w:trPr>
          <w:divId w:val="1280140741"/>
        </w:trPr>
        <w:tc>
          <w:tcPr>
            <w:tcW w:w="0" w:type="auto"/>
            <w:gridSpan w:val="3"/>
            <w:vAlign w:val="center"/>
            <w:hideMark/>
          </w:tcPr>
          <w:p w14:paraId="503A1599" w14:textId="77777777" w:rsidR="00000000" w:rsidRDefault="00A173A8">
            <w:pPr>
              <w:spacing w:after="100"/>
              <w:rPr>
                <w:rFonts w:eastAsia="Times New Roman"/>
                <w:sz w:val="20"/>
                <w:szCs w:val="20"/>
              </w:rPr>
            </w:pPr>
          </w:p>
        </w:tc>
        <w:tc>
          <w:tcPr>
            <w:tcW w:w="0" w:type="auto"/>
            <w:gridSpan w:val="3"/>
            <w:vAlign w:val="center"/>
            <w:hideMark/>
          </w:tcPr>
          <w:p w14:paraId="5F5B7A07" w14:textId="77777777" w:rsidR="00000000" w:rsidRDefault="00A173A8">
            <w:pPr>
              <w:spacing w:after="100"/>
              <w:rPr>
                <w:rFonts w:eastAsia="Times New Roman"/>
                <w:sz w:val="20"/>
                <w:szCs w:val="20"/>
              </w:rPr>
            </w:pPr>
          </w:p>
        </w:tc>
      </w:tr>
      <w:tr w:rsidR="00000000" w14:paraId="3A1DB6A9" w14:textId="77777777">
        <w:trPr>
          <w:divId w:val="1280140741"/>
        </w:trPr>
        <w:tc>
          <w:tcPr>
            <w:tcW w:w="0" w:type="auto"/>
            <w:gridSpan w:val="3"/>
            <w:vAlign w:val="center"/>
            <w:hideMark/>
          </w:tcPr>
          <w:p w14:paraId="6FE879F9" w14:textId="77777777" w:rsidR="00000000" w:rsidRDefault="00A173A8">
            <w:pPr>
              <w:spacing w:after="100"/>
              <w:rPr>
                <w:rFonts w:eastAsia="Times New Roman"/>
                <w:sz w:val="20"/>
                <w:szCs w:val="20"/>
              </w:rPr>
            </w:pPr>
          </w:p>
        </w:tc>
        <w:tc>
          <w:tcPr>
            <w:tcW w:w="0" w:type="auto"/>
            <w:gridSpan w:val="3"/>
            <w:vAlign w:val="center"/>
            <w:hideMark/>
          </w:tcPr>
          <w:p w14:paraId="449C455C"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820F384" w14:textId="77777777">
        <w:trPr>
          <w:jc w:val="center"/>
        </w:trPr>
        <w:tc>
          <w:tcPr>
            <w:tcW w:w="50" w:type="pct"/>
            <w:vAlign w:val="center"/>
            <w:hideMark/>
          </w:tcPr>
          <w:p w14:paraId="20F53BE0" w14:textId="77777777" w:rsidR="00000000" w:rsidRDefault="00A173A8">
            <w:pPr>
              <w:jc w:val="both"/>
              <w:rPr>
                <w:rFonts w:eastAsia="Times New Roman"/>
              </w:rPr>
            </w:pPr>
          </w:p>
        </w:tc>
        <w:tc>
          <w:tcPr>
            <w:tcW w:w="1606" w:type="pct"/>
            <w:vAlign w:val="center"/>
            <w:hideMark/>
          </w:tcPr>
          <w:p w14:paraId="7B06C8FA" w14:textId="77777777" w:rsidR="00000000" w:rsidRDefault="00A173A8">
            <w:pPr>
              <w:spacing w:after="100"/>
              <w:rPr>
                <w:rFonts w:eastAsia="Times New Roman"/>
                <w:sz w:val="20"/>
                <w:szCs w:val="20"/>
              </w:rPr>
            </w:pPr>
          </w:p>
        </w:tc>
        <w:tc>
          <w:tcPr>
            <w:tcW w:w="5" w:type="pct"/>
            <w:vAlign w:val="center"/>
            <w:hideMark/>
          </w:tcPr>
          <w:p w14:paraId="4E591F66" w14:textId="77777777" w:rsidR="00000000" w:rsidRDefault="00A173A8">
            <w:pPr>
              <w:spacing w:after="100"/>
              <w:rPr>
                <w:rFonts w:eastAsia="Times New Roman"/>
                <w:sz w:val="20"/>
                <w:szCs w:val="20"/>
              </w:rPr>
            </w:pPr>
          </w:p>
        </w:tc>
        <w:tc>
          <w:tcPr>
            <w:tcW w:w="50" w:type="pct"/>
            <w:vAlign w:val="center"/>
            <w:hideMark/>
          </w:tcPr>
          <w:p w14:paraId="4C165A34" w14:textId="77777777" w:rsidR="00000000" w:rsidRDefault="00A173A8">
            <w:pPr>
              <w:spacing w:after="100"/>
              <w:rPr>
                <w:rFonts w:eastAsia="Times New Roman"/>
                <w:sz w:val="20"/>
                <w:szCs w:val="20"/>
              </w:rPr>
            </w:pPr>
          </w:p>
        </w:tc>
        <w:tc>
          <w:tcPr>
            <w:tcW w:w="1614" w:type="pct"/>
            <w:vAlign w:val="center"/>
            <w:hideMark/>
          </w:tcPr>
          <w:p w14:paraId="108F680B" w14:textId="77777777" w:rsidR="00000000" w:rsidRDefault="00A173A8">
            <w:pPr>
              <w:spacing w:after="100"/>
              <w:rPr>
                <w:rFonts w:eastAsia="Times New Roman"/>
                <w:sz w:val="20"/>
                <w:szCs w:val="20"/>
              </w:rPr>
            </w:pPr>
          </w:p>
        </w:tc>
        <w:tc>
          <w:tcPr>
            <w:tcW w:w="5" w:type="pct"/>
            <w:vAlign w:val="center"/>
            <w:hideMark/>
          </w:tcPr>
          <w:p w14:paraId="689717BB" w14:textId="77777777" w:rsidR="00000000" w:rsidRDefault="00A173A8">
            <w:pPr>
              <w:spacing w:after="100"/>
              <w:rPr>
                <w:rFonts w:eastAsia="Times New Roman"/>
                <w:sz w:val="20"/>
                <w:szCs w:val="20"/>
              </w:rPr>
            </w:pPr>
          </w:p>
        </w:tc>
        <w:tc>
          <w:tcPr>
            <w:tcW w:w="50" w:type="pct"/>
            <w:vAlign w:val="center"/>
            <w:hideMark/>
          </w:tcPr>
          <w:p w14:paraId="07764172" w14:textId="77777777" w:rsidR="00000000" w:rsidRDefault="00A173A8">
            <w:pPr>
              <w:spacing w:after="100"/>
              <w:rPr>
                <w:rFonts w:eastAsia="Times New Roman"/>
                <w:sz w:val="20"/>
                <w:szCs w:val="20"/>
              </w:rPr>
            </w:pPr>
          </w:p>
        </w:tc>
        <w:tc>
          <w:tcPr>
            <w:tcW w:w="1614" w:type="pct"/>
            <w:vAlign w:val="center"/>
            <w:hideMark/>
          </w:tcPr>
          <w:p w14:paraId="5EB96417" w14:textId="77777777" w:rsidR="00000000" w:rsidRDefault="00A173A8">
            <w:pPr>
              <w:spacing w:after="100"/>
              <w:rPr>
                <w:rFonts w:eastAsia="Times New Roman"/>
                <w:sz w:val="20"/>
                <w:szCs w:val="20"/>
              </w:rPr>
            </w:pPr>
          </w:p>
        </w:tc>
        <w:tc>
          <w:tcPr>
            <w:tcW w:w="5" w:type="pct"/>
            <w:vAlign w:val="center"/>
            <w:hideMark/>
          </w:tcPr>
          <w:p w14:paraId="0941B09C" w14:textId="77777777" w:rsidR="00000000" w:rsidRDefault="00A173A8">
            <w:pPr>
              <w:spacing w:after="100"/>
              <w:rPr>
                <w:rFonts w:eastAsia="Times New Roman"/>
                <w:sz w:val="20"/>
                <w:szCs w:val="20"/>
              </w:rPr>
            </w:pPr>
          </w:p>
        </w:tc>
      </w:tr>
      <w:tr w:rsidR="00000000" w14:paraId="7D1B08FB" w14:textId="77777777">
        <w:trPr>
          <w:trHeight w:val="300"/>
          <w:jc w:val="center"/>
        </w:trPr>
        <w:tc>
          <w:tcPr>
            <w:tcW w:w="0" w:type="auto"/>
            <w:gridSpan w:val="9"/>
            <w:tcMar>
              <w:top w:w="0" w:type="dxa"/>
              <w:left w:w="20" w:type="dxa"/>
              <w:bottom w:w="0" w:type="dxa"/>
              <w:right w:w="20" w:type="dxa"/>
            </w:tcMar>
            <w:vAlign w:val="center"/>
            <w:hideMark/>
          </w:tcPr>
          <w:p w14:paraId="632AD42F" w14:textId="77777777" w:rsidR="00000000" w:rsidRDefault="00A173A8">
            <w:pPr>
              <w:spacing w:after="100"/>
              <w:rPr>
                <w:rFonts w:eastAsia="Times New Roman"/>
                <w:sz w:val="20"/>
                <w:szCs w:val="20"/>
              </w:rPr>
            </w:pPr>
          </w:p>
        </w:tc>
      </w:tr>
      <w:tr w:rsidR="00000000" w14:paraId="0AB78174" w14:textId="77777777">
        <w:trPr>
          <w:jc w:val="center"/>
        </w:trPr>
        <w:tc>
          <w:tcPr>
            <w:tcW w:w="0" w:type="auto"/>
            <w:gridSpan w:val="3"/>
            <w:tcMar>
              <w:top w:w="0" w:type="dxa"/>
              <w:left w:w="20" w:type="dxa"/>
              <w:bottom w:w="0" w:type="dxa"/>
              <w:right w:w="20" w:type="dxa"/>
            </w:tcMar>
            <w:vAlign w:val="center"/>
            <w:hideMark/>
          </w:tcPr>
          <w:p w14:paraId="11347355"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3937F5" w14:textId="77777777" w:rsidR="00000000" w:rsidRDefault="00A173A8">
            <w:pPr>
              <w:spacing w:after="100"/>
              <w:jc w:val="center"/>
              <w:rPr>
                <w:rFonts w:eastAsia="Times New Roman"/>
              </w:rPr>
            </w:pPr>
            <w:r>
              <w:rPr>
                <w:rFonts w:eastAsia="Times New Roman"/>
                <w:color w:val="000000"/>
                <w:sz w:val="16"/>
                <w:szCs w:val="16"/>
              </w:rPr>
              <w:t>64</w:t>
            </w:r>
          </w:p>
        </w:tc>
        <w:tc>
          <w:tcPr>
            <w:tcW w:w="0" w:type="auto"/>
            <w:gridSpan w:val="3"/>
            <w:tcMar>
              <w:top w:w="30" w:type="dxa"/>
              <w:left w:w="20" w:type="dxa"/>
              <w:bottom w:w="30" w:type="dxa"/>
              <w:right w:w="20" w:type="dxa"/>
            </w:tcMar>
            <w:vAlign w:val="bottom"/>
            <w:hideMark/>
          </w:tcPr>
          <w:p w14:paraId="42246EB2"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CEDEA00" w14:textId="77777777" w:rsidR="00000000" w:rsidRDefault="00A173A8">
      <w:pPr>
        <w:rPr>
          <w:rFonts w:eastAsia="Times New Roman"/>
        </w:rPr>
      </w:pPr>
      <w:r>
        <w:rPr>
          <w:rFonts w:eastAsia="Times New Roman"/>
        </w:rPr>
        <w:pict w14:anchorId="20405D35">
          <v:rect id="_x0000_i1089" style="width:0;height:1.5pt" o:hralign="center" o:hrstd="t" o:hr="t" fillcolor="#a0a0a0" stroked="f"/>
        </w:pict>
      </w:r>
    </w:p>
    <w:p w14:paraId="0E36D7F2" w14:textId="77777777" w:rsidR="00000000" w:rsidRDefault="00A173A8">
      <w:pPr>
        <w:jc w:val="both"/>
        <w:divId w:val="141241961"/>
        <w:rPr>
          <w:rFonts w:eastAsia="Times New Roman"/>
        </w:rPr>
      </w:pPr>
      <w:hyperlink w:anchor="i7ffd5d61af6f4722b1b1b07530d51c06_13" w:history="1">
        <w:r>
          <w:rPr>
            <w:rStyle w:val="a3"/>
            <w:rFonts w:eastAsia="Times New Roman"/>
            <w:sz w:val="16"/>
            <w:szCs w:val="16"/>
          </w:rPr>
          <w:t>Table of Contents</w:t>
        </w:r>
      </w:hyperlink>
    </w:p>
    <w:p w14:paraId="69071F80" w14:textId="77777777" w:rsidR="00000000" w:rsidRDefault="00A173A8">
      <w:pPr>
        <w:jc w:val="center"/>
        <w:divId w:val="141241961"/>
        <w:rPr>
          <w:rFonts w:eastAsia="Times New Roman"/>
        </w:rPr>
      </w:pPr>
    </w:p>
    <w:p w14:paraId="5150615E" w14:textId="77777777" w:rsidR="00000000" w:rsidRDefault="00A173A8">
      <w:pPr>
        <w:jc w:val="center"/>
        <w:divId w:val="141241961"/>
        <w:rPr>
          <w:rFonts w:eastAsia="Times New Roman"/>
        </w:rPr>
      </w:pPr>
      <w:r>
        <w:rPr>
          <w:rFonts w:eastAsia="Times New Roman"/>
          <w:b/>
          <w:bCs/>
          <w:color w:val="000000"/>
          <w:sz w:val="20"/>
          <w:szCs w:val="20"/>
        </w:rPr>
        <w:t>CAPITAL ONE FINANCIAL CORPORATION</w:t>
      </w:r>
    </w:p>
    <w:p w14:paraId="13B43442" w14:textId="77777777" w:rsidR="00000000" w:rsidRDefault="00A173A8">
      <w:pPr>
        <w:jc w:val="center"/>
        <w:divId w:val="141241961"/>
        <w:rPr>
          <w:rFonts w:eastAsia="Times New Roman"/>
        </w:rPr>
      </w:pPr>
      <w:r>
        <w:rPr>
          <w:rFonts w:eastAsia="Times New Roman"/>
          <w:b/>
          <w:bCs/>
          <w:color w:val="000000"/>
          <w:sz w:val="20"/>
          <w:szCs w:val="20"/>
        </w:rPr>
        <w:t>CONSOLIDATED STATEMENTS OF INCOME (UNAUDITED)</w:t>
      </w:r>
    </w:p>
    <w:p w14:paraId="03458B0B" w14:textId="77777777" w:rsidR="00000000" w:rsidRDefault="00A173A8">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108"/>
        <w:gridCol w:w="40"/>
        <w:gridCol w:w="36"/>
        <w:gridCol w:w="36"/>
        <w:gridCol w:w="36"/>
        <w:gridCol w:w="100"/>
        <w:gridCol w:w="504"/>
        <w:gridCol w:w="36"/>
        <w:gridCol w:w="36"/>
        <w:gridCol w:w="36"/>
        <w:gridCol w:w="36"/>
        <w:gridCol w:w="100"/>
        <w:gridCol w:w="461"/>
        <w:gridCol w:w="36"/>
        <w:gridCol w:w="36"/>
        <w:gridCol w:w="36"/>
        <w:gridCol w:w="36"/>
        <w:gridCol w:w="100"/>
        <w:gridCol w:w="480"/>
        <w:gridCol w:w="36"/>
        <w:gridCol w:w="36"/>
        <w:gridCol w:w="36"/>
        <w:gridCol w:w="36"/>
        <w:gridCol w:w="100"/>
        <w:gridCol w:w="480"/>
        <w:gridCol w:w="36"/>
        <w:gridCol w:w="36"/>
        <w:gridCol w:w="36"/>
        <w:gridCol w:w="36"/>
        <w:gridCol w:w="36"/>
        <w:gridCol w:w="36"/>
        <w:gridCol w:w="36"/>
      </w:tblGrid>
      <w:tr w:rsidR="00000000" w14:paraId="00A20E39" w14:textId="77777777">
        <w:trPr>
          <w:jc w:val="center"/>
        </w:trPr>
        <w:tc>
          <w:tcPr>
            <w:tcW w:w="50" w:type="pct"/>
            <w:vAlign w:val="center"/>
            <w:hideMark/>
          </w:tcPr>
          <w:p w14:paraId="1DF3C7EA" w14:textId="77777777" w:rsidR="00000000" w:rsidRDefault="00A173A8">
            <w:pPr>
              <w:jc w:val="both"/>
              <w:rPr>
                <w:rFonts w:eastAsia="Times New Roman"/>
              </w:rPr>
            </w:pPr>
          </w:p>
        </w:tc>
        <w:tc>
          <w:tcPr>
            <w:tcW w:w="3197" w:type="pct"/>
            <w:vAlign w:val="center"/>
            <w:hideMark/>
          </w:tcPr>
          <w:p w14:paraId="2C492837" w14:textId="77777777" w:rsidR="00000000" w:rsidRDefault="00A173A8">
            <w:pPr>
              <w:spacing w:after="100"/>
              <w:rPr>
                <w:rFonts w:eastAsia="Times New Roman"/>
                <w:sz w:val="20"/>
                <w:szCs w:val="20"/>
              </w:rPr>
            </w:pPr>
          </w:p>
        </w:tc>
        <w:tc>
          <w:tcPr>
            <w:tcW w:w="5" w:type="pct"/>
            <w:vAlign w:val="center"/>
            <w:hideMark/>
          </w:tcPr>
          <w:p w14:paraId="0D98860C" w14:textId="77777777" w:rsidR="00000000" w:rsidRDefault="00A173A8">
            <w:pPr>
              <w:spacing w:after="100"/>
              <w:rPr>
                <w:rFonts w:eastAsia="Times New Roman"/>
                <w:sz w:val="20"/>
                <w:szCs w:val="20"/>
              </w:rPr>
            </w:pPr>
          </w:p>
        </w:tc>
        <w:tc>
          <w:tcPr>
            <w:tcW w:w="5" w:type="pct"/>
            <w:vAlign w:val="center"/>
            <w:hideMark/>
          </w:tcPr>
          <w:p w14:paraId="2F5B3973" w14:textId="77777777" w:rsidR="00000000" w:rsidRDefault="00A173A8">
            <w:pPr>
              <w:spacing w:after="100"/>
              <w:rPr>
                <w:rFonts w:eastAsia="Times New Roman"/>
                <w:sz w:val="20"/>
                <w:szCs w:val="20"/>
              </w:rPr>
            </w:pPr>
          </w:p>
        </w:tc>
        <w:tc>
          <w:tcPr>
            <w:tcW w:w="19" w:type="pct"/>
            <w:vAlign w:val="center"/>
            <w:hideMark/>
          </w:tcPr>
          <w:p w14:paraId="59B7C85E" w14:textId="77777777" w:rsidR="00000000" w:rsidRDefault="00A173A8">
            <w:pPr>
              <w:spacing w:after="100"/>
              <w:rPr>
                <w:rFonts w:eastAsia="Times New Roman"/>
                <w:sz w:val="20"/>
                <w:szCs w:val="20"/>
              </w:rPr>
            </w:pPr>
          </w:p>
        </w:tc>
        <w:tc>
          <w:tcPr>
            <w:tcW w:w="5" w:type="pct"/>
            <w:vAlign w:val="center"/>
            <w:hideMark/>
          </w:tcPr>
          <w:p w14:paraId="7A8EA4F2" w14:textId="77777777" w:rsidR="00000000" w:rsidRDefault="00A173A8">
            <w:pPr>
              <w:spacing w:after="100"/>
              <w:rPr>
                <w:rFonts w:eastAsia="Times New Roman"/>
                <w:sz w:val="20"/>
                <w:szCs w:val="20"/>
              </w:rPr>
            </w:pPr>
          </w:p>
        </w:tc>
        <w:tc>
          <w:tcPr>
            <w:tcW w:w="50" w:type="pct"/>
            <w:vAlign w:val="center"/>
            <w:hideMark/>
          </w:tcPr>
          <w:p w14:paraId="4D5AE035" w14:textId="77777777" w:rsidR="00000000" w:rsidRDefault="00A173A8">
            <w:pPr>
              <w:spacing w:after="100"/>
              <w:rPr>
                <w:rFonts w:eastAsia="Times New Roman"/>
                <w:sz w:val="20"/>
                <w:szCs w:val="20"/>
              </w:rPr>
            </w:pPr>
          </w:p>
        </w:tc>
        <w:tc>
          <w:tcPr>
            <w:tcW w:w="347" w:type="pct"/>
            <w:vAlign w:val="center"/>
            <w:hideMark/>
          </w:tcPr>
          <w:p w14:paraId="32583AAE" w14:textId="77777777" w:rsidR="00000000" w:rsidRDefault="00A173A8">
            <w:pPr>
              <w:spacing w:after="100"/>
              <w:rPr>
                <w:rFonts w:eastAsia="Times New Roman"/>
                <w:sz w:val="20"/>
                <w:szCs w:val="20"/>
              </w:rPr>
            </w:pPr>
          </w:p>
        </w:tc>
        <w:tc>
          <w:tcPr>
            <w:tcW w:w="5" w:type="pct"/>
            <w:vAlign w:val="center"/>
            <w:hideMark/>
          </w:tcPr>
          <w:p w14:paraId="7DCFEE7D" w14:textId="77777777" w:rsidR="00000000" w:rsidRDefault="00A173A8">
            <w:pPr>
              <w:spacing w:after="100"/>
              <w:rPr>
                <w:rFonts w:eastAsia="Times New Roman"/>
                <w:sz w:val="20"/>
                <w:szCs w:val="20"/>
              </w:rPr>
            </w:pPr>
          </w:p>
        </w:tc>
        <w:tc>
          <w:tcPr>
            <w:tcW w:w="5" w:type="pct"/>
            <w:vAlign w:val="center"/>
            <w:hideMark/>
          </w:tcPr>
          <w:p w14:paraId="2CFD23FA" w14:textId="77777777" w:rsidR="00000000" w:rsidRDefault="00A173A8">
            <w:pPr>
              <w:spacing w:after="100"/>
              <w:rPr>
                <w:rFonts w:eastAsia="Times New Roman"/>
                <w:sz w:val="20"/>
                <w:szCs w:val="20"/>
              </w:rPr>
            </w:pPr>
          </w:p>
        </w:tc>
        <w:tc>
          <w:tcPr>
            <w:tcW w:w="26" w:type="pct"/>
            <w:vAlign w:val="center"/>
            <w:hideMark/>
          </w:tcPr>
          <w:p w14:paraId="0659FD53" w14:textId="77777777" w:rsidR="00000000" w:rsidRDefault="00A173A8">
            <w:pPr>
              <w:spacing w:after="100"/>
              <w:rPr>
                <w:rFonts w:eastAsia="Times New Roman"/>
                <w:sz w:val="20"/>
                <w:szCs w:val="20"/>
              </w:rPr>
            </w:pPr>
          </w:p>
        </w:tc>
        <w:tc>
          <w:tcPr>
            <w:tcW w:w="5" w:type="pct"/>
            <w:vAlign w:val="center"/>
            <w:hideMark/>
          </w:tcPr>
          <w:p w14:paraId="455801EA" w14:textId="77777777" w:rsidR="00000000" w:rsidRDefault="00A173A8">
            <w:pPr>
              <w:spacing w:after="100"/>
              <w:rPr>
                <w:rFonts w:eastAsia="Times New Roman"/>
                <w:sz w:val="20"/>
                <w:szCs w:val="20"/>
              </w:rPr>
            </w:pPr>
          </w:p>
        </w:tc>
        <w:tc>
          <w:tcPr>
            <w:tcW w:w="50" w:type="pct"/>
            <w:vAlign w:val="center"/>
            <w:hideMark/>
          </w:tcPr>
          <w:p w14:paraId="5C4E40A7" w14:textId="77777777" w:rsidR="00000000" w:rsidRDefault="00A173A8">
            <w:pPr>
              <w:spacing w:after="100"/>
              <w:rPr>
                <w:rFonts w:eastAsia="Times New Roman"/>
                <w:sz w:val="20"/>
                <w:szCs w:val="20"/>
              </w:rPr>
            </w:pPr>
          </w:p>
        </w:tc>
        <w:tc>
          <w:tcPr>
            <w:tcW w:w="347" w:type="pct"/>
            <w:vAlign w:val="center"/>
            <w:hideMark/>
          </w:tcPr>
          <w:p w14:paraId="41132DEB" w14:textId="77777777" w:rsidR="00000000" w:rsidRDefault="00A173A8">
            <w:pPr>
              <w:spacing w:after="100"/>
              <w:rPr>
                <w:rFonts w:eastAsia="Times New Roman"/>
                <w:sz w:val="20"/>
                <w:szCs w:val="20"/>
              </w:rPr>
            </w:pPr>
          </w:p>
        </w:tc>
        <w:tc>
          <w:tcPr>
            <w:tcW w:w="5" w:type="pct"/>
            <w:vAlign w:val="center"/>
            <w:hideMark/>
          </w:tcPr>
          <w:p w14:paraId="17D575C0" w14:textId="77777777" w:rsidR="00000000" w:rsidRDefault="00A173A8">
            <w:pPr>
              <w:spacing w:after="100"/>
              <w:rPr>
                <w:rFonts w:eastAsia="Times New Roman"/>
                <w:sz w:val="20"/>
                <w:szCs w:val="20"/>
              </w:rPr>
            </w:pPr>
          </w:p>
        </w:tc>
        <w:tc>
          <w:tcPr>
            <w:tcW w:w="5" w:type="pct"/>
            <w:vAlign w:val="center"/>
            <w:hideMark/>
          </w:tcPr>
          <w:p w14:paraId="7313175F" w14:textId="77777777" w:rsidR="00000000" w:rsidRDefault="00A173A8">
            <w:pPr>
              <w:spacing w:after="100"/>
              <w:rPr>
                <w:rFonts w:eastAsia="Times New Roman"/>
                <w:sz w:val="20"/>
                <w:szCs w:val="20"/>
              </w:rPr>
            </w:pPr>
          </w:p>
        </w:tc>
        <w:tc>
          <w:tcPr>
            <w:tcW w:w="26" w:type="pct"/>
            <w:vAlign w:val="center"/>
            <w:hideMark/>
          </w:tcPr>
          <w:p w14:paraId="3E74826F" w14:textId="77777777" w:rsidR="00000000" w:rsidRDefault="00A173A8">
            <w:pPr>
              <w:spacing w:after="100"/>
              <w:rPr>
                <w:rFonts w:eastAsia="Times New Roman"/>
                <w:sz w:val="20"/>
                <w:szCs w:val="20"/>
              </w:rPr>
            </w:pPr>
          </w:p>
        </w:tc>
        <w:tc>
          <w:tcPr>
            <w:tcW w:w="5" w:type="pct"/>
            <w:vAlign w:val="center"/>
            <w:hideMark/>
          </w:tcPr>
          <w:p w14:paraId="16BCBDF5" w14:textId="77777777" w:rsidR="00000000" w:rsidRDefault="00A173A8">
            <w:pPr>
              <w:spacing w:after="100"/>
              <w:rPr>
                <w:rFonts w:eastAsia="Times New Roman"/>
                <w:sz w:val="20"/>
                <w:szCs w:val="20"/>
              </w:rPr>
            </w:pPr>
          </w:p>
        </w:tc>
        <w:tc>
          <w:tcPr>
            <w:tcW w:w="50" w:type="pct"/>
            <w:vAlign w:val="center"/>
            <w:hideMark/>
          </w:tcPr>
          <w:p w14:paraId="61D02D7A" w14:textId="77777777" w:rsidR="00000000" w:rsidRDefault="00A173A8">
            <w:pPr>
              <w:spacing w:after="100"/>
              <w:rPr>
                <w:rFonts w:eastAsia="Times New Roman"/>
                <w:sz w:val="20"/>
                <w:szCs w:val="20"/>
              </w:rPr>
            </w:pPr>
          </w:p>
        </w:tc>
        <w:tc>
          <w:tcPr>
            <w:tcW w:w="347" w:type="pct"/>
            <w:vAlign w:val="center"/>
            <w:hideMark/>
          </w:tcPr>
          <w:p w14:paraId="0A6D9A7C" w14:textId="77777777" w:rsidR="00000000" w:rsidRDefault="00A173A8">
            <w:pPr>
              <w:spacing w:after="100"/>
              <w:rPr>
                <w:rFonts w:eastAsia="Times New Roman"/>
                <w:sz w:val="20"/>
                <w:szCs w:val="20"/>
              </w:rPr>
            </w:pPr>
          </w:p>
        </w:tc>
        <w:tc>
          <w:tcPr>
            <w:tcW w:w="5" w:type="pct"/>
            <w:vAlign w:val="center"/>
            <w:hideMark/>
          </w:tcPr>
          <w:p w14:paraId="29CC2F83" w14:textId="77777777" w:rsidR="00000000" w:rsidRDefault="00A173A8">
            <w:pPr>
              <w:spacing w:after="100"/>
              <w:rPr>
                <w:rFonts w:eastAsia="Times New Roman"/>
                <w:sz w:val="20"/>
                <w:szCs w:val="20"/>
              </w:rPr>
            </w:pPr>
          </w:p>
        </w:tc>
        <w:tc>
          <w:tcPr>
            <w:tcW w:w="5" w:type="pct"/>
            <w:vAlign w:val="center"/>
            <w:hideMark/>
          </w:tcPr>
          <w:p w14:paraId="19476B5D" w14:textId="77777777" w:rsidR="00000000" w:rsidRDefault="00A173A8">
            <w:pPr>
              <w:spacing w:after="100"/>
              <w:rPr>
                <w:rFonts w:eastAsia="Times New Roman"/>
                <w:sz w:val="20"/>
                <w:szCs w:val="20"/>
              </w:rPr>
            </w:pPr>
          </w:p>
        </w:tc>
        <w:tc>
          <w:tcPr>
            <w:tcW w:w="26" w:type="pct"/>
            <w:vAlign w:val="center"/>
            <w:hideMark/>
          </w:tcPr>
          <w:p w14:paraId="63EEA028" w14:textId="77777777" w:rsidR="00000000" w:rsidRDefault="00A173A8">
            <w:pPr>
              <w:spacing w:after="100"/>
              <w:rPr>
                <w:rFonts w:eastAsia="Times New Roman"/>
                <w:sz w:val="20"/>
                <w:szCs w:val="20"/>
              </w:rPr>
            </w:pPr>
          </w:p>
        </w:tc>
        <w:tc>
          <w:tcPr>
            <w:tcW w:w="5" w:type="pct"/>
            <w:vAlign w:val="center"/>
            <w:hideMark/>
          </w:tcPr>
          <w:p w14:paraId="54830269" w14:textId="77777777" w:rsidR="00000000" w:rsidRDefault="00A173A8">
            <w:pPr>
              <w:spacing w:after="100"/>
              <w:rPr>
                <w:rFonts w:eastAsia="Times New Roman"/>
                <w:sz w:val="20"/>
                <w:szCs w:val="20"/>
              </w:rPr>
            </w:pPr>
          </w:p>
        </w:tc>
        <w:tc>
          <w:tcPr>
            <w:tcW w:w="50" w:type="pct"/>
            <w:vAlign w:val="center"/>
            <w:hideMark/>
          </w:tcPr>
          <w:p w14:paraId="410054DB" w14:textId="77777777" w:rsidR="00000000" w:rsidRDefault="00A173A8">
            <w:pPr>
              <w:spacing w:after="100"/>
              <w:rPr>
                <w:rFonts w:eastAsia="Times New Roman"/>
                <w:sz w:val="20"/>
                <w:szCs w:val="20"/>
              </w:rPr>
            </w:pPr>
          </w:p>
        </w:tc>
        <w:tc>
          <w:tcPr>
            <w:tcW w:w="347" w:type="pct"/>
            <w:vAlign w:val="center"/>
            <w:hideMark/>
          </w:tcPr>
          <w:p w14:paraId="44C41FD0" w14:textId="77777777" w:rsidR="00000000" w:rsidRDefault="00A173A8">
            <w:pPr>
              <w:spacing w:after="100"/>
              <w:rPr>
                <w:rFonts w:eastAsia="Times New Roman"/>
                <w:sz w:val="20"/>
                <w:szCs w:val="20"/>
              </w:rPr>
            </w:pPr>
          </w:p>
        </w:tc>
        <w:tc>
          <w:tcPr>
            <w:tcW w:w="5" w:type="pct"/>
            <w:vAlign w:val="center"/>
            <w:hideMark/>
          </w:tcPr>
          <w:p w14:paraId="330548A1" w14:textId="77777777" w:rsidR="00000000" w:rsidRDefault="00A173A8">
            <w:pPr>
              <w:spacing w:after="100"/>
              <w:rPr>
                <w:rFonts w:eastAsia="Times New Roman"/>
                <w:sz w:val="20"/>
                <w:szCs w:val="20"/>
              </w:rPr>
            </w:pPr>
          </w:p>
        </w:tc>
        <w:tc>
          <w:tcPr>
            <w:tcW w:w="0" w:type="auto"/>
            <w:gridSpan w:val="3"/>
            <w:vAlign w:val="center"/>
            <w:hideMark/>
          </w:tcPr>
          <w:p w14:paraId="6CC008B3" w14:textId="77777777" w:rsidR="00000000" w:rsidRDefault="00A173A8">
            <w:pPr>
              <w:spacing w:after="100"/>
              <w:rPr>
                <w:rFonts w:eastAsia="Times New Roman"/>
                <w:sz w:val="20"/>
                <w:szCs w:val="20"/>
              </w:rPr>
            </w:pPr>
          </w:p>
        </w:tc>
        <w:tc>
          <w:tcPr>
            <w:tcW w:w="0" w:type="auto"/>
            <w:gridSpan w:val="3"/>
            <w:vAlign w:val="center"/>
            <w:hideMark/>
          </w:tcPr>
          <w:p w14:paraId="1E1AAE6B" w14:textId="77777777" w:rsidR="00000000" w:rsidRDefault="00A173A8">
            <w:pPr>
              <w:spacing w:after="100"/>
              <w:rPr>
                <w:rFonts w:eastAsia="Times New Roman"/>
                <w:sz w:val="20"/>
                <w:szCs w:val="20"/>
              </w:rPr>
            </w:pPr>
          </w:p>
        </w:tc>
      </w:tr>
      <w:tr w:rsidR="00000000" w14:paraId="27BA7850" w14:textId="77777777">
        <w:trPr>
          <w:jc w:val="center"/>
        </w:trPr>
        <w:tc>
          <w:tcPr>
            <w:tcW w:w="0" w:type="auto"/>
            <w:gridSpan w:val="3"/>
            <w:tcMar>
              <w:top w:w="0" w:type="dxa"/>
              <w:left w:w="20" w:type="dxa"/>
              <w:bottom w:w="0" w:type="dxa"/>
              <w:right w:w="20" w:type="dxa"/>
            </w:tcMar>
            <w:vAlign w:val="center"/>
            <w:hideMark/>
          </w:tcPr>
          <w:p w14:paraId="640861E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A06915"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4EC163C" w14:textId="77777777" w:rsidR="00000000" w:rsidRDefault="00A173A8">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01DB9D6"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F6F2FDE"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778C2B6A" w14:textId="77777777" w:rsidR="00000000" w:rsidRDefault="00A173A8">
            <w:pPr>
              <w:spacing w:after="100"/>
              <w:rPr>
                <w:rFonts w:eastAsia="Times New Roman"/>
                <w:sz w:val="20"/>
                <w:szCs w:val="20"/>
              </w:rPr>
            </w:pPr>
          </w:p>
        </w:tc>
        <w:tc>
          <w:tcPr>
            <w:tcW w:w="0" w:type="auto"/>
            <w:vAlign w:val="center"/>
            <w:hideMark/>
          </w:tcPr>
          <w:p w14:paraId="576A848E" w14:textId="77777777" w:rsidR="00000000" w:rsidRDefault="00A173A8">
            <w:pPr>
              <w:spacing w:after="100"/>
              <w:rPr>
                <w:rFonts w:eastAsia="Times New Roman"/>
                <w:sz w:val="20"/>
                <w:szCs w:val="20"/>
              </w:rPr>
            </w:pPr>
          </w:p>
        </w:tc>
        <w:tc>
          <w:tcPr>
            <w:tcW w:w="0" w:type="auto"/>
            <w:vAlign w:val="center"/>
            <w:hideMark/>
          </w:tcPr>
          <w:p w14:paraId="2C6C2FF3" w14:textId="77777777" w:rsidR="00000000" w:rsidRDefault="00A173A8">
            <w:pPr>
              <w:spacing w:after="100"/>
              <w:rPr>
                <w:rFonts w:eastAsia="Times New Roman"/>
                <w:sz w:val="20"/>
                <w:szCs w:val="20"/>
              </w:rPr>
            </w:pPr>
          </w:p>
        </w:tc>
        <w:tc>
          <w:tcPr>
            <w:tcW w:w="0" w:type="auto"/>
            <w:vAlign w:val="center"/>
            <w:hideMark/>
          </w:tcPr>
          <w:p w14:paraId="4D785A7D" w14:textId="77777777" w:rsidR="00000000" w:rsidRDefault="00A173A8">
            <w:pPr>
              <w:spacing w:after="100"/>
              <w:rPr>
                <w:rFonts w:eastAsia="Times New Roman"/>
                <w:sz w:val="20"/>
                <w:szCs w:val="20"/>
              </w:rPr>
            </w:pPr>
          </w:p>
        </w:tc>
        <w:tc>
          <w:tcPr>
            <w:tcW w:w="0" w:type="auto"/>
            <w:vAlign w:val="center"/>
            <w:hideMark/>
          </w:tcPr>
          <w:p w14:paraId="1D3445C1" w14:textId="77777777" w:rsidR="00000000" w:rsidRDefault="00A173A8">
            <w:pPr>
              <w:spacing w:after="100"/>
              <w:rPr>
                <w:rFonts w:eastAsia="Times New Roman"/>
                <w:sz w:val="20"/>
                <w:szCs w:val="20"/>
              </w:rPr>
            </w:pPr>
          </w:p>
        </w:tc>
        <w:tc>
          <w:tcPr>
            <w:tcW w:w="0" w:type="auto"/>
            <w:vAlign w:val="center"/>
            <w:hideMark/>
          </w:tcPr>
          <w:p w14:paraId="7964B681" w14:textId="77777777" w:rsidR="00000000" w:rsidRDefault="00A173A8">
            <w:pPr>
              <w:spacing w:after="100"/>
              <w:rPr>
                <w:rFonts w:eastAsia="Times New Roman"/>
                <w:sz w:val="20"/>
                <w:szCs w:val="20"/>
              </w:rPr>
            </w:pPr>
          </w:p>
        </w:tc>
      </w:tr>
      <w:tr w:rsidR="00000000" w14:paraId="009D613B" w14:textId="77777777">
        <w:trPr>
          <w:jc w:val="center"/>
        </w:trPr>
        <w:tc>
          <w:tcPr>
            <w:tcW w:w="0" w:type="auto"/>
            <w:gridSpan w:val="3"/>
            <w:tcMar>
              <w:top w:w="30" w:type="dxa"/>
              <w:left w:w="20" w:type="dxa"/>
              <w:bottom w:w="30" w:type="dxa"/>
              <w:right w:w="20" w:type="dxa"/>
            </w:tcMar>
            <w:vAlign w:val="bottom"/>
            <w:hideMark/>
          </w:tcPr>
          <w:p w14:paraId="37A65BDF" w14:textId="77777777" w:rsidR="00000000" w:rsidRDefault="00A173A8">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14:paraId="041F4671"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EDE1B04"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9BF4A9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A9E1A8F"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E6DE2A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89BE592"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FC2FCE3"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366C6B0E"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7853C2B6" w14:textId="77777777" w:rsidR="00000000" w:rsidRDefault="00A173A8">
            <w:pPr>
              <w:spacing w:after="100"/>
              <w:jc w:val="center"/>
              <w:rPr>
                <w:rFonts w:eastAsia="Times New Roman"/>
              </w:rPr>
            </w:pPr>
          </w:p>
        </w:tc>
        <w:tc>
          <w:tcPr>
            <w:tcW w:w="0" w:type="auto"/>
            <w:gridSpan w:val="3"/>
            <w:vAlign w:val="center"/>
            <w:hideMark/>
          </w:tcPr>
          <w:p w14:paraId="4061BD06" w14:textId="77777777" w:rsidR="00000000" w:rsidRDefault="00A173A8">
            <w:pPr>
              <w:spacing w:after="100"/>
              <w:rPr>
                <w:rFonts w:eastAsia="Times New Roman"/>
                <w:sz w:val="20"/>
                <w:szCs w:val="20"/>
              </w:rPr>
            </w:pPr>
          </w:p>
        </w:tc>
      </w:tr>
      <w:tr w:rsidR="00000000" w14:paraId="44549EED"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0A7C3F0" w14:textId="77777777" w:rsidR="00000000" w:rsidRDefault="00A173A8">
            <w:pPr>
              <w:spacing w:after="100"/>
              <w:rPr>
                <w:rFonts w:eastAsia="Times New Roman"/>
              </w:rPr>
            </w:pPr>
            <w:r>
              <w:rPr>
                <w:rFonts w:eastAsia="Times New Roman"/>
                <w:b/>
                <w:bCs/>
                <w:color w:val="000000"/>
                <w:sz w:val="16"/>
                <w:szCs w:val="16"/>
              </w:rPr>
              <w:t>Interest income:</w:t>
            </w:r>
          </w:p>
        </w:tc>
        <w:tc>
          <w:tcPr>
            <w:tcW w:w="0" w:type="auto"/>
            <w:gridSpan w:val="3"/>
            <w:shd w:val="clear" w:color="auto" w:fill="CCEEFF"/>
            <w:tcMar>
              <w:top w:w="0" w:type="dxa"/>
              <w:left w:w="20" w:type="dxa"/>
              <w:bottom w:w="0" w:type="dxa"/>
              <w:right w:w="20" w:type="dxa"/>
            </w:tcMar>
            <w:vAlign w:val="center"/>
            <w:hideMark/>
          </w:tcPr>
          <w:p w14:paraId="2F14AE2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6AA71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99CC8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492A9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F4D0B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F86DE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9CF3D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432625" w14:textId="77777777" w:rsidR="00000000" w:rsidRDefault="00A173A8">
            <w:pPr>
              <w:spacing w:after="100"/>
              <w:rPr>
                <w:rFonts w:eastAsia="Times New Roman"/>
                <w:sz w:val="20"/>
                <w:szCs w:val="20"/>
              </w:rPr>
            </w:pPr>
          </w:p>
        </w:tc>
        <w:tc>
          <w:tcPr>
            <w:tcW w:w="0" w:type="auto"/>
            <w:gridSpan w:val="3"/>
            <w:vAlign w:val="center"/>
            <w:hideMark/>
          </w:tcPr>
          <w:p w14:paraId="6F1B2544" w14:textId="77777777" w:rsidR="00000000" w:rsidRDefault="00A173A8">
            <w:pPr>
              <w:spacing w:after="100"/>
              <w:rPr>
                <w:rFonts w:eastAsia="Times New Roman"/>
                <w:sz w:val="20"/>
                <w:szCs w:val="20"/>
              </w:rPr>
            </w:pPr>
          </w:p>
        </w:tc>
        <w:tc>
          <w:tcPr>
            <w:tcW w:w="0" w:type="auto"/>
            <w:gridSpan w:val="3"/>
            <w:vAlign w:val="center"/>
            <w:hideMark/>
          </w:tcPr>
          <w:p w14:paraId="7F719B02" w14:textId="77777777" w:rsidR="00000000" w:rsidRDefault="00A173A8">
            <w:pPr>
              <w:spacing w:after="100"/>
              <w:rPr>
                <w:rFonts w:eastAsia="Times New Roman"/>
                <w:sz w:val="20"/>
                <w:szCs w:val="20"/>
              </w:rPr>
            </w:pPr>
          </w:p>
        </w:tc>
      </w:tr>
      <w:tr w:rsidR="00000000" w14:paraId="070AE3D0" w14:textId="77777777">
        <w:trPr>
          <w:jc w:val="center"/>
        </w:trPr>
        <w:tc>
          <w:tcPr>
            <w:tcW w:w="0" w:type="auto"/>
            <w:gridSpan w:val="3"/>
            <w:shd w:val="clear" w:color="auto" w:fill="FFFFFF"/>
            <w:tcMar>
              <w:top w:w="30" w:type="dxa"/>
              <w:left w:w="245" w:type="dxa"/>
              <w:bottom w:w="30" w:type="dxa"/>
              <w:right w:w="20" w:type="dxa"/>
            </w:tcMar>
            <w:vAlign w:val="center"/>
            <w:hideMark/>
          </w:tcPr>
          <w:p w14:paraId="7D61C608" w14:textId="77777777" w:rsidR="00000000" w:rsidRDefault="00A173A8">
            <w:pPr>
              <w:spacing w:after="100"/>
              <w:rPr>
                <w:rFonts w:eastAsia="Times New Roman"/>
              </w:rPr>
            </w:pPr>
            <w:r>
              <w:rPr>
                <w:rFonts w:eastAsia="Times New Roman"/>
                <w:color w:val="000000"/>
                <w:sz w:val="16"/>
                <w:szCs w:val="16"/>
              </w:rPr>
              <w:t>Loans, including loans held for sale</w:t>
            </w:r>
          </w:p>
        </w:tc>
        <w:tc>
          <w:tcPr>
            <w:tcW w:w="0" w:type="auto"/>
            <w:gridSpan w:val="3"/>
            <w:shd w:val="clear" w:color="auto" w:fill="FFFFFF"/>
            <w:tcMar>
              <w:top w:w="0" w:type="dxa"/>
              <w:left w:w="20" w:type="dxa"/>
              <w:bottom w:w="0" w:type="dxa"/>
              <w:right w:w="20" w:type="dxa"/>
            </w:tcMar>
            <w:vAlign w:val="center"/>
            <w:hideMark/>
          </w:tcPr>
          <w:p w14:paraId="2AF71C3D"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5032966"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455814B5" w14:textId="77777777" w:rsidR="00000000" w:rsidRDefault="00A173A8">
            <w:pPr>
              <w:spacing w:after="100"/>
              <w:jc w:val="right"/>
              <w:rPr>
                <w:rFonts w:eastAsia="Times New Roman"/>
              </w:rPr>
            </w:pPr>
            <w:r>
              <w:rPr>
                <w:rFonts w:eastAsia="Times New Roman"/>
                <w:b/>
                <w:bCs/>
                <w:color w:val="000000"/>
                <w:sz w:val="16"/>
                <w:szCs w:val="16"/>
              </w:rPr>
              <w:t>6,605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F1F37B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AA8BF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8C8DDBE"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CEFBFC0" w14:textId="77777777" w:rsidR="00000000" w:rsidRDefault="00A173A8">
            <w:pPr>
              <w:spacing w:after="100"/>
              <w:jc w:val="right"/>
              <w:rPr>
                <w:rFonts w:eastAsia="Times New Roman"/>
              </w:rPr>
            </w:pPr>
            <w:r>
              <w:rPr>
                <w:rFonts w:eastAsia="Times New Roman"/>
                <w:color w:val="000000"/>
                <w:sz w:val="16"/>
                <w:szCs w:val="16"/>
              </w:rPr>
              <w:t>5,753 </w:t>
            </w:r>
          </w:p>
        </w:tc>
        <w:tc>
          <w:tcPr>
            <w:tcW w:w="0" w:type="auto"/>
            <w:shd w:val="clear" w:color="auto" w:fill="FFFFFF"/>
            <w:tcMar>
              <w:top w:w="30" w:type="dxa"/>
              <w:left w:w="0" w:type="dxa"/>
              <w:bottom w:w="30" w:type="dxa"/>
              <w:right w:w="20" w:type="dxa"/>
            </w:tcMar>
            <w:vAlign w:val="center"/>
            <w:hideMark/>
          </w:tcPr>
          <w:p w14:paraId="149C2103" w14:textId="77777777" w:rsidR="00000000" w:rsidRDefault="00A173A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4AB381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793DFE9"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7F01DCC2" w14:textId="77777777" w:rsidR="00000000" w:rsidRDefault="00A173A8">
            <w:pPr>
              <w:spacing w:after="100"/>
              <w:jc w:val="right"/>
              <w:rPr>
                <w:rFonts w:eastAsia="Times New Roman"/>
              </w:rPr>
            </w:pPr>
            <w:r>
              <w:rPr>
                <w:rFonts w:eastAsia="Times New Roman"/>
                <w:b/>
                <w:bCs/>
                <w:color w:val="000000"/>
                <w:sz w:val="16"/>
                <w:szCs w:val="16"/>
              </w:rPr>
              <w:t>12,972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57F0D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25122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735445F"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218CB5F9" w14:textId="77777777" w:rsidR="00000000" w:rsidRDefault="00A173A8">
            <w:pPr>
              <w:spacing w:after="100"/>
              <w:jc w:val="right"/>
              <w:rPr>
                <w:rFonts w:eastAsia="Times New Roman"/>
              </w:rPr>
            </w:pPr>
            <w:r>
              <w:rPr>
                <w:rFonts w:eastAsia="Times New Roman"/>
                <w:color w:val="000000"/>
                <w:sz w:val="16"/>
                <w:szCs w:val="16"/>
              </w:rPr>
              <w:t>11,607 </w:t>
            </w:r>
          </w:p>
        </w:tc>
        <w:tc>
          <w:tcPr>
            <w:tcW w:w="0" w:type="auto"/>
            <w:shd w:val="clear" w:color="auto" w:fill="FFFFFF"/>
            <w:tcMar>
              <w:top w:w="30" w:type="dxa"/>
              <w:left w:w="0" w:type="dxa"/>
              <w:bottom w:w="30" w:type="dxa"/>
              <w:right w:w="20" w:type="dxa"/>
            </w:tcMar>
            <w:vAlign w:val="center"/>
            <w:hideMark/>
          </w:tcPr>
          <w:p w14:paraId="2E2DD38C" w14:textId="77777777" w:rsidR="00000000" w:rsidRDefault="00A173A8">
            <w:pPr>
              <w:spacing w:after="100"/>
              <w:jc w:val="right"/>
              <w:rPr>
                <w:rFonts w:eastAsia="Times New Roman"/>
              </w:rPr>
            </w:pPr>
          </w:p>
        </w:tc>
        <w:tc>
          <w:tcPr>
            <w:tcW w:w="0" w:type="auto"/>
            <w:gridSpan w:val="3"/>
            <w:vAlign w:val="center"/>
            <w:hideMark/>
          </w:tcPr>
          <w:p w14:paraId="2F195D47" w14:textId="77777777" w:rsidR="00000000" w:rsidRDefault="00A173A8">
            <w:pPr>
              <w:spacing w:after="100"/>
              <w:jc w:val="right"/>
              <w:rPr>
                <w:rFonts w:eastAsia="Times New Roman"/>
                <w:sz w:val="20"/>
                <w:szCs w:val="20"/>
              </w:rPr>
            </w:pPr>
          </w:p>
        </w:tc>
        <w:tc>
          <w:tcPr>
            <w:tcW w:w="0" w:type="auto"/>
            <w:gridSpan w:val="3"/>
            <w:vAlign w:val="center"/>
            <w:hideMark/>
          </w:tcPr>
          <w:p w14:paraId="7B1C4834" w14:textId="77777777" w:rsidR="00000000" w:rsidRDefault="00A173A8">
            <w:pPr>
              <w:spacing w:after="100"/>
              <w:rPr>
                <w:rFonts w:eastAsia="Times New Roman"/>
                <w:sz w:val="20"/>
                <w:szCs w:val="20"/>
              </w:rPr>
            </w:pPr>
          </w:p>
        </w:tc>
      </w:tr>
      <w:tr w:rsidR="00000000" w14:paraId="03E0AA2F" w14:textId="77777777">
        <w:trPr>
          <w:jc w:val="center"/>
        </w:trPr>
        <w:tc>
          <w:tcPr>
            <w:tcW w:w="0" w:type="auto"/>
            <w:gridSpan w:val="3"/>
            <w:shd w:val="clear" w:color="auto" w:fill="CCEEFF"/>
            <w:tcMar>
              <w:top w:w="30" w:type="dxa"/>
              <w:left w:w="245" w:type="dxa"/>
              <w:bottom w:w="30" w:type="dxa"/>
              <w:right w:w="20" w:type="dxa"/>
            </w:tcMar>
            <w:vAlign w:val="center"/>
            <w:hideMark/>
          </w:tcPr>
          <w:p w14:paraId="47D24BD9" w14:textId="77777777" w:rsidR="00000000" w:rsidRDefault="00A173A8">
            <w:pPr>
              <w:spacing w:after="100"/>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14:paraId="69B4A0E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8D3B98" w14:textId="77777777" w:rsidR="00000000" w:rsidRDefault="00A173A8">
            <w:pPr>
              <w:spacing w:after="100"/>
              <w:jc w:val="right"/>
              <w:rPr>
                <w:rFonts w:eastAsia="Times New Roman"/>
              </w:rPr>
            </w:pPr>
            <w:r>
              <w:rPr>
                <w:rFonts w:eastAsia="Times New Roman"/>
                <w:b/>
                <w:bCs/>
                <w:color w:val="000000"/>
                <w:sz w:val="16"/>
                <w:szCs w:val="16"/>
              </w:rPr>
              <w:t>435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2341E3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828A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BD68FC" w14:textId="77777777" w:rsidR="00000000" w:rsidRDefault="00A173A8">
            <w:pPr>
              <w:spacing w:after="100"/>
              <w:jc w:val="right"/>
              <w:rPr>
                <w:rFonts w:eastAsia="Times New Roman"/>
              </w:rPr>
            </w:pPr>
            <w:r>
              <w:rPr>
                <w:rFonts w:eastAsia="Times New Roman"/>
                <w:color w:val="000000"/>
                <w:sz w:val="16"/>
                <w:szCs w:val="16"/>
              </w:rPr>
              <w:t>370 </w:t>
            </w:r>
          </w:p>
        </w:tc>
        <w:tc>
          <w:tcPr>
            <w:tcW w:w="0" w:type="auto"/>
            <w:shd w:val="clear" w:color="auto" w:fill="CCEEFF"/>
            <w:tcMar>
              <w:top w:w="30" w:type="dxa"/>
              <w:left w:w="0" w:type="dxa"/>
              <w:bottom w:w="30" w:type="dxa"/>
              <w:right w:w="20" w:type="dxa"/>
            </w:tcMar>
            <w:vAlign w:val="center"/>
            <w:hideMark/>
          </w:tcPr>
          <w:p w14:paraId="5D717A3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6A74A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0B3C35" w14:textId="77777777" w:rsidR="00000000" w:rsidRDefault="00A173A8">
            <w:pPr>
              <w:spacing w:after="100"/>
              <w:jc w:val="right"/>
              <w:rPr>
                <w:rFonts w:eastAsia="Times New Roman"/>
              </w:rPr>
            </w:pPr>
            <w:r>
              <w:rPr>
                <w:rFonts w:eastAsia="Times New Roman"/>
                <w:b/>
                <w:bCs/>
                <w:color w:val="000000"/>
                <w:sz w:val="16"/>
                <w:szCs w:val="16"/>
              </w:rPr>
              <w:t>837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A11A6E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CCA1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222DA6" w14:textId="77777777" w:rsidR="00000000" w:rsidRDefault="00A173A8">
            <w:pPr>
              <w:spacing w:after="100"/>
              <w:jc w:val="right"/>
              <w:rPr>
                <w:rFonts w:eastAsia="Times New Roman"/>
              </w:rPr>
            </w:pPr>
            <w:r>
              <w:rPr>
                <w:rFonts w:eastAsia="Times New Roman"/>
                <w:color w:val="000000"/>
                <w:sz w:val="16"/>
                <w:szCs w:val="16"/>
              </w:rPr>
              <w:t>761 </w:t>
            </w:r>
          </w:p>
        </w:tc>
        <w:tc>
          <w:tcPr>
            <w:tcW w:w="0" w:type="auto"/>
            <w:shd w:val="clear" w:color="auto" w:fill="CCEEFF"/>
            <w:tcMar>
              <w:top w:w="30" w:type="dxa"/>
              <w:left w:w="0" w:type="dxa"/>
              <w:bottom w:w="30" w:type="dxa"/>
              <w:right w:w="20" w:type="dxa"/>
            </w:tcMar>
            <w:vAlign w:val="center"/>
            <w:hideMark/>
          </w:tcPr>
          <w:p w14:paraId="273E09DB" w14:textId="77777777" w:rsidR="00000000" w:rsidRDefault="00A173A8">
            <w:pPr>
              <w:spacing w:after="100"/>
              <w:jc w:val="right"/>
              <w:rPr>
                <w:rFonts w:eastAsia="Times New Roman"/>
              </w:rPr>
            </w:pPr>
          </w:p>
        </w:tc>
        <w:tc>
          <w:tcPr>
            <w:tcW w:w="0" w:type="auto"/>
            <w:gridSpan w:val="3"/>
            <w:vAlign w:val="center"/>
            <w:hideMark/>
          </w:tcPr>
          <w:p w14:paraId="120CD427" w14:textId="77777777" w:rsidR="00000000" w:rsidRDefault="00A173A8">
            <w:pPr>
              <w:spacing w:after="100"/>
              <w:jc w:val="right"/>
              <w:rPr>
                <w:rFonts w:eastAsia="Times New Roman"/>
                <w:sz w:val="20"/>
                <w:szCs w:val="20"/>
              </w:rPr>
            </w:pPr>
          </w:p>
        </w:tc>
        <w:tc>
          <w:tcPr>
            <w:tcW w:w="0" w:type="auto"/>
            <w:gridSpan w:val="3"/>
            <w:vAlign w:val="center"/>
            <w:hideMark/>
          </w:tcPr>
          <w:p w14:paraId="11339B7C" w14:textId="77777777" w:rsidR="00000000" w:rsidRDefault="00A173A8">
            <w:pPr>
              <w:spacing w:after="100"/>
              <w:rPr>
                <w:rFonts w:eastAsia="Times New Roman"/>
                <w:sz w:val="20"/>
                <w:szCs w:val="20"/>
              </w:rPr>
            </w:pPr>
          </w:p>
        </w:tc>
      </w:tr>
      <w:tr w:rsidR="00000000" w14:paraId="19FB2970" w14:textId="77777777">
        <w:trPr>
          <w:jc w:val="center"/>
        </w:trPr>
        <w:tc>
          <w:tcPr>
            <w:tcW w:w="0" w:type="auto"/>
            <w:gridSpan w:val="3"/>
            <w:shd w:val="clear" w:color="auto" w:fill="FFFFFF"/>
            <w:tcMar>
              <w:top w:w="30" w:type="dxa"/>
              <w:left w:w="245" w:type="dxa"/>
              <w:bottom w:w="30" w:type="dxa"/>
              <w:right w:w="20" w:type="dxa"/>
            </w:tcMar>
            <w:vAlign w:val="center"/>
            <w:hideMark/>
          </w:tcPr>
          <w:p w14:paraId="5CED8126" w14:textId="77777777" w:rsidR="00000000" w:rsidRDefault="00A173A8">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1E8071D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09CE3B5" w14:textId="77777777" w:rsidR="00000000" w:rsidRDefault="00A173A8">
            <w:pPr>
              <w:spacing w:after="100"/>
              <w:jc w:val="right"/>
              <w:rPr>
                <w:rFonts w:eastAsia="Times New Roman"/>
              </w:rPr>
            </w:pPr>
            <w:r>
              <w:rPr>
                <w:rFonts w:eastAsia="Times New Roman"/>
                <w:b/>
                <w:bCs/>
                <w:color w:val="000000"/>
                <w:sz w:val="16"/>
                <w:szCs w:val="16"/>
              </w:rPr>
              <w:t>55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DD867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9B7C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AB9ACB" w14:textId="77777777" w:rsidR="00000000" w:rsidRDefault="00A173A8">
            <w:pPr>
              <w:spacing w:after="100"/>
              <w:jc w:val="right"/>
              <w:rPr>
                <w:rFonts w:eastAsia="Times New Roman"/>
              </w:rPr>
            </w:pPr>
            <w:r>
              <w:rPr>
                <w:rFonts w:eastAsia="Times New Roman"/>
                <w:color w:val="000000"/>
                <w:sz w:val="16"/>
                <w:szCs w:val="16"/>
              </w:rPr>
              <w:t>16 </w:t>
            </w:r>
          </w:p>
        </w:tc>
        <w:tc>
          <w:tcPr>
            <w:tcW w:w="0" w:type="auto"/>
            <w:shd w:val="clear" w:color="auto" w:fill="FFFFFF"/>
            <w:tcMar>
              <w:top w:w="30" w:type="dxa"/>
              <w:left w:w="0" w:type="dxa"/>
              <w:bottom w:w="30" w:type="dxa"/>
              <w:right w:w="20" w:type="dxa"/>
            </w:tcMar>
            <w:vAlign w:val="center"/>
            <w:hideMark/>
          </w:tcPr>
          <w:p w14:paraId="355E2740" w14:textId="77777777" w:rsidR="00000000" w:rsidRDefault="00A173A8">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814A35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CBC37B" w14:textId="77777777" w:rsidR="00000000" w:rsidRDefault="00A173A8">
            <w:pPr>
              <w:spacing w:after="100"/>
              <w:jc w:val="right"/>
              <w:rPr>
                <w:rFonts w:eastAsia="Times New Roman"/>
              </w:rPr>
            </w:pPr>
            <w:r>
              <w:rPr>
                <w:rFonts w:eastAsia="Times New Roman"/>
                <w:b/>
                <w:bCs/>
                <w:color w:val="000000"/>
                <w:sz w:val="16"/>
                <w:szCs w:val="16"/>
              </w:rPr>
              <w:t>70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617356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68839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B8D0329" w14:textId="77777777" w:rsidR="00000000" w:rsidRDefault="00A173A8">
            <w:pPr>
              <w:spacing w:after="100"/>
              <w:jc w:val="right"/>
              <w:rPr>
                <w:rFonts w:eastAsia="Times New Roman"/>
              </w:rPr>
            </w:pPr>
            <w:r>
              <w:rPr>
                <w:rFonts w:eastAsia="Times New Roman"/>
                <w:color w:val="000000"/>
                <w:sz w:val="16"/>
                <w:szCs w:val="16"/>
              </w:rPr>
              <w:t>32 </w:t>
            </w:r>
          </w:p>
        </w:tc>
        <w:tc>
          <w:tcPr>
            <w:tcW w:w="0" w:type="auto"/>
            <w:shd w:val="clear" w:color="auto" w:fill="FFFFFF"/>
            <w:tcMar>
              <w:top w:w="30" w:type="dxa"/>
              <w:left w:w="0" w:type="dxa"/>
              <w:bottom w:w="30" w:type="dxa"/>
              <w:right w:w="20" w:type="dxa"/>
            </w:tcMar>
            <w:vAlign w:val="center"/>
            <w:hideMark/>
          </w:tcPr>
          <w:p w14:paraId="0BBF046E" w14:textId="77777777" w:rsidR="00000000" w:rsidRDefault="00A173A8">
            <w:pPr>
              <w:spacing w:after="100"/>
              <w:jc w:val="right"/>
              <w:rPr>
                <w:rFonts w:eastAsia="Times New Roman"/>
              </w:rPr>
            </w:pPr>
          </w:p>
        </w:tc>
        <w:tc>
          <w:tcPr>
            <w:tcW w:w="0" w:type="auto"/>
            <w:gridSpan w:val="3"/>
            <w:vAlign w:val="center"/>
            <w:hideMark/>
          </w:tcPr>
          <w:p w14:paraId="3A199CD8" w14:textId="77777777" w:rsidR="00000000" w:rsidRDefault="00A173A8">
            <w:pPr>
              <w:spacing w:after="100"/>
              <w:jc w:val="right"/>
              <w:rPr>
                <w:rFonts w:eastAsia="Times New Roman"/>
                <w:sz w:val="20"/>
                <w:szCs w:val="20"/>
              </w:rPr>
            </w:pPr>
          </w:p>
        </w:tc>
        <w:tc>
          <w:tcPr>
            <w:tcW w:w="0" w:type="auto"/>
            <w:gridSpan w:val="3"/>
            <w:vAlign w:val="center"/>
            <w:hideMark/>
          </w:tcPr>
          <w:p w14:paraId="03A2DCBE" w14:textId="77777777" w:rsidR="00000000" w:rsidRDefault="00A173A8">
            <w:pPr>
              <w:spacing w:after="100"/>
              <w:rPr>
                <w:rFonts w:eastAsia="Times New Roman"/>
                <w:sz w:val="20"/>
                <w:szCs w:val="20"/>
              </w:rPr>
            </w:pPr>
          </w:p>
        </w:tc>
      </w:tr>
      <w:tr w:rsidR="00000000" w14:paraId="233B7BEE" w14:textId="77777777">
        <w:trPr>
          <w:jc w:val="center"/>
        </w:trPr>
        <w:tc>
          <w:tcPr>
            <w:tcW w:w="0" w:type="auto"/>
            <w:gridSpan w:val="3"/>
            <w:shd w:val="clear" w:color="auto" w:fill="CCEEFF"/>
            <w:tcMar>
              <w:top w:w="30" w:type="dxa"/>
              <w:left w:w="20" w:type="dxa"/>
              <w:bottom w:w="30" w:type="dxa"/>
              <w:right w:w="20" w:type="dxa"/>
            </w:tcMar>
            <w:vAlign w:val="center"/>
            <w:hideMark/>
          </w:tcPr>
          <w:p w14:paraId="53715AF1" w14:textId="77777777" w:rsidR="00000000" w:rsidRDefault="00A173A8">
            <w:pPr>
              <w:spacing w:after="100"/>
              <w:rPr>
                <w:rFonts w:eastAsia="Times New Roman"/>
              </w:rPr>
            </w:pPr>
            <w:r>
              <w:rPr>
                <w:rFonts w:eastAsia="Times New Roman"/>
                <w:color w:val="000000"/>
                <w:sz w:val="16"/>
                <w:szCs w:val="16"/>
              </w:rPr>
              <w:t>Total interest income</w:t>
            </w:r>
          </w:p>
        </w:tc>
        <w:tc>
          <w:tcPr>
            <w:tcW w:w="0" w:type="auto"/>
            <w:gridSpan w:val="3"/>
            <w:shd w:val="clear" w:color="auto" w:fill="CCEEFF"/>
            <w:tcMar>
              <w:top w:w="0" w:type="dxa"/>
              <w:left w:w="20" w:type="dxa"/>
              <w:bottom w:w="0" w:type="dxa"/>
              <w:right w:w="20" w:type="dxa"/>
            </w:tcMar>
            <w:vAlign w:val="center"/>
            <w:hideMark/>
          </w:tcPr>
          <w:p w14:paraId="3EBAC4AA"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E1783EE" w14:textId="77777777" w:rsidR="00000000" w:rsidRDefault="00A173A8">
            <w:pPr>
              <w:spacing w:after="100"/>
              <w:jc w:val="right"/>
              <w:rPr>
                <w:rFonts w:eastAsia="Times New Roman"/>
              </w:rPr>
            </w:pPr>
            <w:r>
              <w:rPr>
                <w:rFonts w:eastAsia="Times New Roman"/>
                <w:b/>
                <w:bCs/>
                <w:color w:val="000000"/>
                <w:sz w:val="16"/>
                <w:szCs w:val="16"/>
              </w:rPr>
              <w:t>7,095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2CF09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16B45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C120FA8" w14:textId="77777777" w:rsidR="00000000" w:rsidRDefault="00A173A8">
            <w:pPr>
              <w:spacing w:after="100"/>
              <w:jc w:val="right"/>
              <w:rPr>
                <w:rFonts w:eastAsia="Times New Roman"/>
              </w:rPr>
            </w:pPr>
            <w:r>
              <w:rPr>
                <w:rFonts w:eastAsia="Times New Roman"/>
                <w:color w:val="000000"/>
                <w:sz w:val="16"/>
                <w:szCs w:val="16"/>
              </w:rPr>
              <w:t>6,139 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EF588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240B3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CFCEB2" w14:textId="77777777" w:rsidR="00000000" w:rsidRDefault="00A173A8">
            <w:pPr>
              <w:spacing w:after="100"/>
              <w:jc w:val="right"/>
              <w:rPr>
                <w:rFonts w:eastAsia="Times New Roman"/>
              </w:rPr>
            </w:pPr>
            <w:r>
              <w:rPr>
                <w:rFonts w:eastAsia="Times New Roman"/>
                <w:b/>
                <w:bCs/>
                <w:color w:val="000000"/>
                <w:sz w:val="16"/>
                <w:szCs w:val="16"/>
              </w:rPr>
              <w:t>13,879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394A9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F917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5AB8F4B" w14:textId="77777777" w:rsidR="00000000" w:rsidRDefault="00A173A8">
            <w:pPr>
              <w:spacing w:after="100"/>
              <w:jc w:val="right"/>
              <w:rPr>
                <w:rFonts w:eastAsia="Times New Roman"/>
              </w:rPr>
            </w:pPr>
            <w:r>
              <w:rPr>
                <w:rFonts w:eastAsia="Times New Roman"/>
                <w:color w:val="000000"/>
                <w:sz w:val="16"/>
                <w:szCs w:val="16"/>
              </w:rPr>
              <w:t>12,400 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A4F1A8" w14:textId="77777777" w:rsidR="00000000" w:rsidRDefault="00A173A8">
            <w:pPr>
              <w:spacing w:after="100"/>
              <w:jc w:val="right"/>
              <w:rPr>
                <w:rFonts w:eastAsia="Times New Roman"/>
              </w:rPr>
            </w:pPr>
          </w:p>
        </w:tc>
        <w:tc>
          <w:tcPr>
            <w:tcW w:w="0" w:type="auto"/>
            <w:gridSpan w:val="3"/>
            <w:vAlign w:val="center"/>
            <w:hideMark/>
          </w:tcPr>
          <w:p w14:paraId="5FD7A9D3" w14:textId="77777777" w:rsidR="00000000" w:rsidRDefault="00A173A8">
            <w:pPr>
              <w:spacing w:after="100"/>
              <w:jc w:val="right"/>
              <w:rPr>
                <w:rFonts w:eastAsia="Times New Roman"/>
                <w:sz w:val="20"/>
                <w:szCs w:val="20"/>
              </w:rPr>
            </w:pPr>
          </w:p>
        </w:tc>
        <w:tc>
          <w:tcPr>
            <w:tcW w:w="0" w:type="auto"/>
            <w:gridSpan w:val="3"/>
            <w:vAlign w:val="center"/>
            <w:hideMark/>
          </w:tcPr>
          <w:p w14:paraId="6F9ADDCA" w14:textId="77777777" w:rsidR="00000000" w:rsidRDefault="00A173A8">
            <w:pPr>
              <w:spacing w:after="100"/>
              <w:rPr>
                <w:rFonts w:eastAsia="Times New Roman"/>
                <w:sz w:val="20"/>
                <w:szCs w:val="20"/>
              </w:rPr>
            </w:pPr>
          </w:p>
        </w:tc>
      </w:tr>
      <w:tr w:rsidR="00000000" w14:paraId="766DD4C7" w14:textId="77777777">
        <w:trPr>
          <w:jc w:val="center"/>
        </w:trPr>
        <w:tc>
          <w:tcPr>
            <w:tcW w:w="0" w:type="auto"/>
            <w:gridSpan w:val="3"/>
            <w:shd w:val="clear" w:color="auto" w:fill="FFFFFF"/>
            <w:tcMar>
              <w:top w:w="30" w:type="dxa"/>
              <w:left w:w="20" w:type="dxa"/>
              <w:bottom w:w="30" w:type="dxa"/>
              <w:right w:w="20" w:type="dxa"/>
            </w:tcMar>
            <w:vAlign w:val="center"/>
            <w:hideMark/>
          </w:tcPr>
          <w:p w14:paraId="3C0E2284" w14:textId="77777777" w:rsidR="00000000" w:rsidRDefault="00A173A8">
            <w:pPr>
              <w:spacing w:after="100"/>
              <w:rPr>
                <w:rFonts w:eastAsia="Times New Roman"/>
              </w:rPr>
            </w:pPr>
            <w:r>
              <w:rPr>
                <w:rFonts w:eastAsia="Times New Roman"/>
                <w:b/>
                <w:bCs/>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14:paraId="054EFF9E"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B105D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3936B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F3B8E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9743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BD782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B7D70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C0CD03" w14:textId="77777777" w:rsidR="00000000" w:rsidRDefault="00A173A8">
            <w:pPr>
              <w:spacing w:after="100"/>
              <w:rPr>
                <w:rFonts w:eastAsia="Times New Roman"/>
                <w:sz w:val="20"/>
                <w:szCs w:val="20"/>
              </w:rPr>
            </w:pPr>
          </w:p>
        </w:tc>
        <w:tc>
          <w:tcPr>
            <w:tcW w:w="0" w:type="auto"/>
            <w:gridSpan w:val="3"/>
            <w:vAlign w:val="center"/>
            <w:hideMark/>
          </w:tcPr>
          <w:p w14:paraId="508598AC" w14:textId="77777777" w:rsidR="00000000" w:rsidRDefault="00A173A8">
            <w:pPr>
              <w:spacing w:after="100"/>
              <w:rPr>
                <w:rFonts w:eastAsia="Times New Roman"/>
                <w:sz w:val="20"/>
                <w:szCs w:val="20"/>
              </w:rPr>
            </w:pPr>
          </w:p>
        </w:tc>
        <w:tc>
          <w:tcPr>
            <w:tcW w:w="0" w:type="auto"/>
            <w:gridSpan w:val="3"/>
            <w:vAlign w:val="center"/>
            <w:hideMark/>
          </w:tcPr>
          <w:p w14:paraId="303EDB3F" w14:textId="77777777" w:rsidR="00000000" w:rsidRDefault="00A173A8">
            <w:pPr>
              <w:spacing w:after="100"/>
              <w:rPr>
                <w:rFonts w:eastAsia="Times New Roman"/>
                <w:sz w:val="20"/>
                <w:szCs w:val="20"/>
              </w:rPr>
            </w:pPr>
          </w:p>
        </w:tc>
      </w:tr>
      <w:tr w:rsidR="00000000" w14:paraId="41E8BFC2" w14:textId="77777777">
        <w:trPr>
          <w:jc w:val="center"/>
        </w:trPr>
        <w:tc>
          <w:tcPr>
            <w:tcW w:w="0" w:type="auto"/>
            <w:gridSpan w:val="3"/>
            <w:shd w:val="clear" w:color="auto" w:fill="CCEEFF"/>
            <w:tcMar>
              <w:top w:w="30" w:type="dxa"/>
              <w:left w:w="245" w:type="dxa"/>
              <w:bottom w:w="30" w:type="dxa"/>
              <w:right w:w="20" w:type="dxa"/>
            </w:tcMar>
            <w:vAlign w:val="center"/>
            <w:hideMark/>
          </w:tcPr>
          <w:p w14:paraId="6E88CEC6" w14:textId="77777777" w:rsidR="00000000" w:rsidRDefault="00A173A8">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14:paraId="1171852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B0D1EED" w14:textId="77777777" w:rsidR="00000000" w:rsidRDefault="00A173A8">
            <w:pPr>
              <w:spacing w:after="100"/>
              <w:jc w:val="right"/>
              <w:rPr>
                <w:rFonts w:eastAsia="Times New Roman"/>
              </w:rPr>
            </w:pPr>
            <w:r>
              <w:rPr>
                <w:rFonts w:eastAsia="Times New Roman"/>
                <w:b/>
                <w:bCs/>
                <w:color w:val="000000"/>
                <w:sz w:val="16"/>
                <w:szCs w:val="16"/>
              </w:rPr>
              <w:t>293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1683F1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48484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09316C" w14:textId="77777777" w:rsidR="00000000" w:rsidRDefault="00A173A8">
            <w:pPr>
              <w:spacing w:after="100"/>
              <w:jc w:val="right"/>
              <w:rPr>
                <w:rFonts w:eastAsia="Times New Roman"/>
              </w:rPr>
            </w:pPr>
            <w:r>
              <w:rPr>
                <w:rFonts w:eastAsia="Times New Roman"/>
                <w:color w:val="000000"/>
                <w:sz w:val="16"/>
                <w:szCs w:val="16"/>
              </w:rPr>
              <w:t>237 </w:t>
            </w:r>
          </w:p>
        </w:tc>
        <w:tc>
          <w:tcPr>
            <w:tcW w:w="0" w:type="auto"/>
            <w:shd w:val="clear" w:color="auto" w:fill="CCEEFF"/>
            <w:tcMar>
              <w:top w:w="30" w:type="dxa"/>
              <w:left w:w="0" w:type="dxa"/>
              <w:bottom w:w="30" w:type="dxa"/>
              <w:right w:w="20" w:type="dxa"/>
            </w:tcMar>
            <w:vAlign w:val="center"/>
            <w:hideMark/>
          </w:tcPr>
          <w:p w14:paraId="4AB9B21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2A6A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F01D47" w14:textId="77777777" w:rsidR="00000000" w:rsidRDefault="00A173A8">
            <w:pPr>
              <w:spacing w:after="100"/>
              <w:jc w:val="right"/>
              <w:rPr>
                <w:rFonts w:eastAsia="Times New Roman"/>
              </w:rPr>
            </w:pPr>
            <w:r>
              <w:rPr>
                <w:rFonts w:eastAsia="Times New Roman"/>
                <w:b/>
                <w:bCs/>
                <w:color w:val="000000"/>
                <w:sz w:val="16"/>
                <w:szCs w:val="16"/>
              </w:rPr>
              <w:t>511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19FE0A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9E81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C9A581" w14:textId="77777777" w:rsidR="00000000" w:rsidRDefault="00A173A8">
            <w:pPr>
              <w:spacing w:after="100"/>
              <w:jc w:val="right"/>
              <w:rPr>
                <w:rFonts w:eastAsia="Times New Roman"/>
              </w:rPr>
            </w:pPr>
            <w:r>
              <w:rPr>
                <w:rFonts w:eastAsia="Times New Roman"/>
                <w:color w:val="000000"/>
                <w:sz w:val="16"/>
                <w:szCs w:val="16"/>
              </w:rPr>
              <w:t>506 </w:t>
            </w:r>
          </w:p>
        </w:tc>
        <w:tc>
          <w:tcPr>
            <w:tcW w:w="0" w:type="auto"/>
            <w:shd w:val="clear" w:color="auto" w:fill="CCEEFF"/>
            <w:tcMar>
              <w:top w:w="30" w:type="dxa"/>
              <w:left w:w="0" w:type="dxa"/>
              <w:bottom w:w="30" w:type="dxa"/>
              <w:right w:w="20" w:type="dxa"/>
            </w:tcMar>
            <w:vAlign w:val="center"/>
            <w:hideMark/>
          </w:tcPr>
          <w:p w14:paraId="0ADF15F7" w14:textId="77777777" w:rsidR="00000000" w:rsidRDefault="00A173A8">
            <w:pPr>
              <w:spacing w:after="100"/>
              <w:jc w:val="right"/>
              <w:rPr>
                <w:rFonts w:eastAsia="Times New Roman"/>
              </w:rPr>
            </w:pPr>
          </w:p>
        </w:tc>
        <w:tc>
          <w:tcPr>
            <w:tcW w:w="0" w:type="auto"/>
            <w:gridSpan w:val="3"/>
            <w:vAlign w:val="center"/>
            <w:hideMark/>
          </w:tcPr>
          <w:p w14:paraId="2B5A5EE0" w14:textId="77777777" w:rsidR="00000000" w:rsidRDefault="00A173A8">
            <w:pPr>
              <w:spacing w:after="100"/>
              <w:jc w:val="right"/>
              <w:rPr>
                <w:rFonts w:eastAsia="Times New Roman"/>
                <w:sz w:val="20"/>
                <w:szCs w:val="20"/>
              </w:rPr>
            </w:pPr>
          </w:p>
        </w:tc>
        <w:tc>
          <w:tcPr>
            <w:tcW w:w="0" w:type="auto"/>
            <w:gridSpan w:val="3"/>
            <w:vAlign w:val="center"/>
            <w:hideMark/>
          </w:tcPr>
          <w:p w14:paraId="44F68F6A" w14:textId="77777777" w:rsidR="00000000" w:rsidRDefault="00A173A8">
            <w:pPr>
              <w:spacing w:after="100"/>
              <w:rPr>
                <w:rFonts w:eastAsia="Times New Roman"/>
                <w:sz w:val="20"/>
                <w:szCs w:val="20"/>
              </w:rPr>
            </w:pPr>
          </w:p>
        </w:tc>
      </w:tr>
      <w:tr w:rsidR="00000000" w14:paraId="27CFFC6B" w14:textId="77777777">
        <w:trPr>
          <w:jc w:val="center"/>
        </w:trPr>
        <w:tc>
          <w:tcPr>
            <w:tcW w:w="0" w:type="auto"/>
            <w:gridSpan w:val="3"/>
            <w:shd w:val="clear" w:color="auto" w:fill="FFFFFF"/>
            <w:tcMar>
              <w:top w:w="30" w:type="dxa"/>
              <w:left w:w="245" w:type="dxa"/>
              <w:bottom w:w="30" w:type="dxa"/>
              <w:right w:w="20" w:type="dxa"/>
            </w:tcMar>
            <w:vAlign w:val="center"/>
            <w:hideMark/>
          </w:tcPr>
          <w:p w14:paraId="19113EAF" w14:textId="77777777" w:rsidR="00000000" w:rsidRDefault="00A173A8">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14:paraId="459E84C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59CCBE" w14:textId="77777777" w:rsidR="00000000" w:rsidRDefault="00A173A8">
            <w:pPr>
              <w:spacing w:after="100"/>
              <w:jc w:val="right"/>
              <w:rPr>
                <w:rFonts w:eastAsia="Times New Roman"/>
              </w:rPr>
            </w:pPr>
            <w:r>
              <w:rPr>
                <w:rFonts w:eastAsia="Times New Roman"/>
                <w:b/>
                <w:bCs/>
                <w:color w:val="000000"/>
                <w:sz w:val="16"/>
                <w:szCs w:val="16"/>
              </w:rPr>
              <w:t>65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910832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84E30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079980" w14:textId="77777777" w:rsidR="00000000" w:rsidRDefault="00A173A8">
            <w:pPr>
              <w:spacing w:after="100"/>
              <w:jc w:val="right"/>
              <w:rPr>
                <w:rFonts w:eastAsia="Times New Roman"/>
              </w:rPr>
            </w:pPr>
            <w:r>
              <w:rPr>
                <w:rFonts w:eastAsia="Times New Roman"/>
                <w:color w:val="000000"/>
                <w:sz w:val="16"/>
                <w:szCs w:val="16"/>
              </w:rPr>
              <w:t>28 </w:t>
            </w:r>
          </w:p>
        </w:tc>
        <w:tc>
          <w:tcPr>
            <w:tcW w:w="0" w:type="auto"/>
            <w:shd w:val="clear" w:color="auto" w:fill="FFFFFF"/>
            <w:tcMar>
              <w:top w:w="30" w:type="dxa"/>
              <w:left w:w="0" w:type="dxa"/>
              <w:bottom w:w="30" w:type="dxa"/>
              <w:right w:w="20" w:type="dxa"/>
            </w:tcMar>
            <w:vAlign w:val="center"/>
            <w:hideMark/>
          </w:tcPr>
          <w:p w14:paraId="1098C8C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C195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4519A2" w14:textId="77777777" w:rsidR="00000000" w:rsidRDefault="00A173A8">
            <w:pPr>
              <w:spacing w:after="100"/>
              <w:jc w:val="right"/>
              <w:rPr>
                <w:rFonts w:eastAsia="Times New Roman"/>
              </w:rPr>
            </w:pPr>
            <w:r>
              <w:rPr>
                <w:rFonts w:eastAsia="Times New Roman"/>
                <w:b/>
                <w:bCs/>
                <w:color w:val="000000"/>
                <w:sz w:val="16"/>
                <w:szCs w:val="16"/>
              </w:rPr>
              <w:t>94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DF565C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F060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A6CF85" w14:textId="77777777" w:rsidR="00000000" w:rsidRDefault="00A173A8">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center"/>
            <w:hideMark/>
          </w:tcPr>
          <w:p w14:paraId="6E741C1F" w14:textId="77777777" w:rsidR="00000000" w:rsidRDefault="00A173A8">
            <w:pPr>
              <w:spacing w:after="100"/>
              <w:jc w:val="right"/>
              <w:rPr>
                <w:rFonts w:eastAsia="Times New Roman"/>
              </w:rPr>
            </w:pPr>
          </w:p>
        </w:tc>
        <w:tc>
          <w:tcPr>
            <w:tcW w:w="0" w:type="auto"/>
            <w:gridSpan w:val="3"/>
            <w:vAlign w:val="center"/>
            <w:hideMark/>
          </w:tcPr>
          <w:p w14:paraId="7767C64C" w14:textId="77777777" w:rsidR="00000000" w:rsidRDefault="00A173A8">
            <w:pPr>
              <w:spacing w:after="100"/>
              <w:jc w:val="right"/>
              <w:rPr>
                <w:rFonts w:eastAsia="Times New Roman"/>
                <w:sz w:val="20"/>
                <w:szCs w:val="20"/>
              </w:rPr>
            </w:pPr>
          </w:p>
        </w:tc>
        <w:tc>
          <w:tcPr>
            <w:tcW w:w="0" w:type="auto"/>
            <w:gridSpan w:val="3"/>
            <w:vAlign w:val="center"/>
            <w:hideMark/>
          </w:tcPr>
          <w:p w14:paraId="632F4752" w14:textId="77777777" w:rsidR="00000000" w:rsidRDefault="00A173A8">
            <w:pPr>
              <w:spacing w:after="100"/>
              <w:rPr>
                <w:rFonts w:eastAsia="Times New Roman"/>
                <w:sz w:val="20"/>
                <w:szCs w:val="20"/>
              </w:rPr>
            </w:pPr>
          </w:p>
        </w:tc>
      </w:tr>
      <w:tr w:rsidR="00000000" w14:paraId="6888CD8E" w14:textId="77777777">
        <w:trPr>
          <w:jc w:val="center"/>
        </w:trPr>
        <w:tc>
          <w:tcPr>
            <w:tcW w:w="0" w:type="auto"/>
            <w:gridSpan w:val="3"/>
            <w:shd w:val="clear" w:color="auto" w:fill="CCEEFF"/>
            <w:tcMar>
              <w:top w:w="30" w:type="dxa"/>
              <w:left w:w="245" w:type="dxa"/>
              <w:bottom w:w="30" w:type="dxa"/>
              <w:right w:w="20" w:type="dxa"/>
            </w:tcMar>
            <w:vAlign w:val="center"/>
            <w:hideMark/>
          </w:tcPr>
          <w:p w14:paraId="7113505D" w14:textId="77777777" w:rsidR="00000000" w:rsidRDefault="00A173A8">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14:paraId="0CFEE22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9375221" w14:textId="77777777" w:rsidR="00000000" w:rsidRDefault="00A173A8">
            <w:pPr>
              <w:spacing w:after="100"/>
              <w:jc w:val="right"/>
              <w:rPr>
                <w:rFonts w:eastAsia="Times New Roman"/>
              </w:rPr>
            </w:pPr>
            <w:r>
              <w:rPr>
                <w:rFonts w:eastAsia="Times New Roman"/>
                <w:b/>
                <w:bCs/>
                <w:color w:val="000000"/>
                <w:sz w:val="16"/>
                <w:szCs w:val="16"/>
              </w:rPr>
              <w:t>194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A5692E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E9CB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DF9297" w14:textId="77777777" w:rsidR="00000000" w:rsidRDefault="00A173A8">
            <w:pPr>
              <w:spacing w:after="100"/>
              <w:jc w:val="right"/>
              <w:rPr>
                <w:rFonts w:eastAsia="Times New Roman"/>
              </w:rPr>
            </w:pPr>
            <w:r>
              <w:rPr>
                <w:rFonts w:eastAsia="Times New Roman"/>
                <w:color w:val="000000"/>
                <w:sz w:val="16"/>
                <w:szCs w:val="16"/>
              </w:rPr>
              <w:t>122 </w:t>
            </w:r>
          </w:p>
        </w:tc>
        <w:tc>
          <w:tcPr>
            <w:tcW w:w="0" w:type="auto"/>
            <w:shd w:val="clear" w:color="auto" w:fill="CCEEFF"/>
            <w:tcMar>
              <w:top w:w="30" w:type="dxa"/>
              <w:left w:w="0" w:type="dxa"/>
              <w:bottom w:w="30" w:type="dxa"/>
              <w:right w:w="20" w:type="dxa"/>
            </w:tcMar>
            <w:vAlign w:val="center"/>
            <w:hideMark/>
          </w:tcPr>
          <w:p w14:paraId="5C0790F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1DD2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9CFCB3" w14:textId="77777777" w:rsidR="00000000" w:rsidRDefault="00A173A8">
            <w:pPr>
              <w:spacing w:after="100"/>
              <w:jc w:val="right"/>
              <w:rPr>
                <w:rFonts w:eastAsia="Times New Roman"/>
              </w:rPr>
            </w:pPr>
            <w:r>
              <w:rPr>
                <w:rFonts w:eastAsia="Times New Roman"/>
                <w:b/>
                <w:bCs/>
                <w:color w:val="000000"/>
                <w:sz w:val="16"/>
                <w:szCs w:val="16"/>
              </w:rPr>
              <w:t>325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59744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53A8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436273" w14:textId="77777777" w:rsidR="00000000" w:rsidRDefault="00A173A8">
            <w:pPr>
              <w:spacing w:after="100"/>
              <w:jc w:val="right"/>
              <w:rPr>
                <w:rFonts w:eastAsia="Times New Roman"/>
              </w:rPr>
            </w:pPr>
            <w:r>
              <w:rPr>
                <w:rFonts w:eastAsia="Times New Roman"/>
                <w:color w:val="000000"/>
                <w:sz w:val="16"/>
                <w:szCs w:val="16"/>
              </w:rPr>
              <w:t>251 </w:t>
            </w:r>
          </w:p>
        </w:tc>
        <w:tc>
          <w:tcPr>
            <w:tcW w:w="0" w:type="auto"/>
            <w:shd w:val="clear" w:color="auto" w:fill="CCEEFF"/>
            <w:tcMar>
              <w:top w:w="30" w:type="dxa"/>
              <w:left w:w="0" w:type="dxa"/>
              <w:bottom w:w="30" w:type="dxa"/>
              <w:right w:w="20" w:type="dxa"/>
            </w:tcMar>
            <w:vAlign w:val="center"/>
            <w:hideMark/>
          </w:tcPr>
          <w:p w14:paraId="6624B6F5" w14:textId="77777777" w:rsidR="00000000" w:rsidRDefault="00A173A8">
            <w:pPr>
              <w:spacing w:after="100"/>
              <w:jc w:val="right"/>
              <w:rPr>
                <w:rFonts w:eastAsia="Times New Roman"/>
              </w:rPr>
            </w:pPr>
          </w:p>
        </w:tc>
        <w:tc>
          <w:tcPr>
            <w:tcW w:w="0" w:type="auto"/>
            <w:gridSpan w:val="3"/>
            <w:vAlign w:val="center"/>
            <w:hideMark/>
          </w:tcPr>
          <w:p w14:paraId="298BC566" w14:textId="77777777" w:rsidR="00000000" w:rsidRDefault="00A173A8">
            <w:pPr>
              <w:spacing w:after="100"/>
              <w:jc w:val="right"/>
              <w:rPr>
                <w:rFonts w:eastAsia="Times New Roman"/>
                <w:sz w:val="20"/>
                <w:szCs w:val="20"/>
              </w:rPr>
            </w:pPr>
          </w:p>
        </w:tc>
        <w:tc>
          <w:tcPr>
            <w:tcW w:w="0" w:type="auto"/>
            <w:gridSpan w:val="3"/>
            <w:vAlign w:val="center"/>
            <w:hideMark/>
          </w:tcPr>
          <w:p w14:paraId="72209F36" w14:textId="77777777" w:rsidR="00000000" w:rsidRDefault="00A173A8">
            <w:pPr>
              <w:spacing w:after="100"/>
              <w:rPr>
                <w:rFonts w:eastAsia="Times New Roman"/>
                <w:sz w:val="20"/>
                <w:szCs w:val="20"/>
              </w:rPr>
            </w:pPr>
          </w:p>
        </w:tc>
      </w:tr>
      <w:tr w:rsidR="00000000" w14:paraId="33BAEAF2" w14:textId="77777777">
        <w:trPr>
          <w:jc w:val="center"/>
        </w:trPr>
        <w:tc>
          <w:tcPr>
            <w:tcW w:w="0" w:type="auto"/>
            <w:gridSpan w:val="3"/>
            <w:shd w:val="clear" w:color="auto" w:fill="FFFFFF"/>
            <w:tcMar>
              <w:top w:w="30" w:type="dxa"/>
              <w:left w:w="245" w:type="dxa"/>
              <w:bottom w:w="30" w:type="dxa"/>
              <w:right w:w="20" w:type="dxa"/>
            </w:tcMar>
            <w:vAlign w:val="center"/>
            <w:hideMark/>
          </w:tcPr>
          <w:p w14:paraId="6342B300" w14:textId="77777777" w:rsidR="00000000" w:rsidRDefault="00A173A8">
            <w:pPr>
              <w:spacing w:after="100"/>
              <w:rPr>
                <w:rFonts w:eastAsia="Times New Roman"/>
              </w:rPr>
            </w:pPr>
            <w:r>
              <w:rPr>
                <w:rFonts w:eastAsia="Times New Roman"/>
                <w:color w:val="000000"/>
                <w:sz w:val="16"/>
                <w:szCs w:val="16"/>
              </w:rPr>
              <w:t>Other borrowings</w:t>
            </w:r>
          </w:p>
        </w:tc>
        <w:tc>
          <w:tcPr>
            <w:tcW w:w="0" w:type="auto"/>
            <w:gridSpan w:val="3"/>
            <w:shd w:val="clear" w:color="auto" w:fill="FFFFFF"/>
            <w:tcMar>
              <w:top w:w="0" w:type="dxa"/>
              <w:left w:w="20" w:type="dxa"/>
              <w:bottom w:w="0" w:type="dxa"/>
              <w:right w:w="20" w:type="dxa"/>
            </w:tcMar>
            <w:vAlign w:val="center"/>
            <w:hideMark/>
          </w:tcPr>
          <w:p w14:paraId="10D9EED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3ACF199" w14:textId="77777777" w:rsidR="00000000" w:rsidRDefault="00A173A8">
            <w:pPr>
              <w:spacing w:after="100"/>
              <w:jc w:val="right"/>
              <w:rPr>
                <w:rFonts w:eastAsia="Times New Roman"/>
              </w:rPr>
            </w:pPr>
            <w:r>
              <w:rPr>
                <w:rFonts w:eastAsia="Times New Roman"/>
                <w:b/>
                <w:bCs/>
                <w:color w:val="000000"/>
                <w:sz w:val="16"/>
                <w:szCs w:val="16"/>
              </w:rPr>
              <w:t>26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CBD2A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A2DB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88B14E" w14:textId="77777777" w:rsidR="00000000" w:rsidRDefault="00A173A8">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center"/>
            <w:hideMark/>
          </w:tcPr>
          <w:p w14:paraId="4406BF6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A740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7198DE" w14:textId="77777777" w:rsidR="00000000" w:rsidRDefault="00A173A8">
            <w:pPr>
              <w:spacing w:after="100"/>
              <w:jc w:val="right"/>
              <w:rPr>
                <w:rFonts w:eastAsia="Times New Roman"/>
              </w:rPr>
            </w:pPr>
            <w:r>
              <w:rPr>
                <w:rFonts w:eastAsia="Times New Roman"/>
                <w:b/>
                <w:bCs/>
                <w:color w:val="000000"/>
                <w:sz w:val="16"/>
                <w:szCs w:val="16"/>
              </w:rPr>
              <w:t>35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30247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2657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AB5C52" w14:textId="77777777" w:rsidR="00000000" w:rsidRDefault="00A173A8">
            <w:pPr>
              <w:spacing w:after="100"/>
              <w:jc w:val="right"/>
              <w:rPr>
                <w:rFonts w:eastAsia="Times New Roman"/>
              </w:rPr>
            </w:pPr>
            <w:r>
              <w:rPr>
                <w:rFonts w:eastAsia="Times New Roman"/>
                <w:color w:val="000000"/>
                <w:sz w:val="16"/>
                <w:szCs w:val="16"/>
              </w:rPr>
              <w:t>18 </w:t>
            </w:r>
          </w:p>
        </w:tc>
        <w:tc>
          <w:tcPr>
            <w:tcW w:w="0" w:type="auto"/>
            <w:shd w:val="clear" w:color="auto" w:fill="FFFFFF"/>
            <w:tcMar>
              <w:top w:w="30" w:type="dxa"/>
              <w:left w:w="0" w:type="dxa"/>
              <w:bottom w:w="30" w:type="dxa"/>
              <w:right w:w="20" w:type="dxa"/>
            </w:tcMar>
            <w:vAlign w:val="center"/>
            <w:hideMark/>
          </w:tcPr>
          <w:p w14:paraId="1D01AAAE" w14:textId="77777777" w:rsidR="00000000" w:rsidRDefault="00A173A8">
            <w:pPr>
              <w:spacing w:after="100"/>
              <w:jc w:val="right"/>
              <w:rPr>
                <w:rFonts w:eastAsia="Times New Roman"/>
              </w:rPr>
            </w:pPr>
          </w:p>
        </w:tc>
        <w:tc>
          <w:tcPr>
            <w:tcW w:w="0" w:type="auto"/>
            <w:gridSpan w:val="3"/>
            <w:vAlign w:val="center"/>
            <w:hideMark/>
          </w:tcPr>
          <w:p w14:paraId="63FD9679" w14:textId="77777777" w:rsidR="00000000" w:rsidRDefault="00A173A8">
            <w:pPr>
              <w:spacing w:after="100"/>
              <w:jc w:val="right"/>
              <w:rPr>
                <w:rFonts w:eastAsia="Times New Roman"/>
                <w:sz w:val="20"/>
                <w:szCs w:val="20"/>
              </w:rPr>
            </w:pPr>
          </w:p>
        </w:tc>
        <w:tc>
          <w:tcPr>
            <w:tcW w:w="0" w:type="auto"/>
            <w:gridSpan w:val="3"/>
            <w:vAlign w:val="center"/>
            <w:hideMark/>
          </w:tcPr>
          <w:p w14:paraId="128281D1" w14:textId="77777777" w:rsidR="00000000" w:rsidRDefault="00A173A8">
            <w:pPr>
              <w:spacing w:after="100"/>
              <w:rPr>
                <w:rFonts w:eastAsia="Times New Roman"/>
                <w:sz w:val="20"/>
                <w:szCs w:val="20"/>
              </w:rPr>
            </w:pPr>
          </w:p>
        </w:tc>
      </w:tr>
      <w:tr w:rsidR="00000000" w14:paraId="5A52AABF" w14:textId="77777777">
        <w:trPr>
          <w:jc w:val="center"/>
        </w:trPr>
        <w:tc>
          <w:tcPr>
            <w:tcW w:w="0" w:type="auto"/>
            <w:gridSpan w:val="3"/>
            <w:shd w:val="clear" w:color="auto" w:fill="CCEEFF"/>
            <w:tcMar>
              <w:top w:w="30" w:type="dxa"/>
              <w:left w:w="20" w:type="dxa"/>
              <w:bottom w:w="30" w:type="dxa"/>
              <w:right w:w="20" w:type="dxa"/>
            </w:tcMar>
            <w:vAlign w:val="center"/>
            <w:hideMark/>
          </w:tcPr>
          <w:p w14:paraId="24D40C59" w14:textId="77777777" w:rsidR="00000000" w:rsidRDefault="00A173A8">
            <w:pPr>
              <w:spacing w:after="100"/>
              <w:rPr>
                <w:rFonts w:eastAsia="Times New Roman"/>
              </w:rPr>
            </w:pPr>
            <w:r>
              <w:rPr>
                <w:rFonts w:eastAsia="Times New Roman"/>
                <w:color w:val="000000"/>
                <w:sz w:val="16"/>
                <w:szCs w:val="16"/>
              </w:rPr>
              <w:t>Total interest expense</w:t>
            </w:r>
          </w:p>
        </w:tc>
        <w:tc>
          <w:tcPr>
            <w:tcW w:w="0" w:type="auto"/>
            <w:gridSpan w:val="3"/>
            <w:shd w:val="clear" w:color="auto" w:fill="CCEEFF"/>
            <w:tcMar>
              <w:top w:w="0" w:type="dxa"/>
              <w:left w:w="20" w:type="dxa"/>
              <w:bottom w:w="0" w:type="dxa"/>
              <w:right w:w="20" w:type="dxa"/>
            </w:tcMar>
            <w:vAlign w:val="center"/>
            <w:hideMark/>
          </w:tcPr>
          <w:p w14:paraId="75EA8247"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94D6BA" w14:textId="77777777" w:rsidR="00000000" w:rsidRDefault="00A173A8">
            <w:pPr>
              <w:spacing w:after="100"/>
              <w:jc w:val="right"/>
              <w:rPr>
                <w:rFonts w:eastAsia="Times New Roman"/>
              </w:rPr>
            </w:pPr>
            <w:r>
              <w:rPr>
                <w:rFonts w:eastAsia="Times New Roman"/>
                <w:b/>
                <w:bCs/>
                <w:color w:val="000000"/>
                <w:sz w:val="16"/>
                <w:szCs w:val="16"/>
              </w:rPr>
              <w:t>578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FE7E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4BD7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05439B1" w14:textId="77777777" w:rsidR="00000000" w:rsidRDefault="00A173A8">
            <w:pPr>
              <w:spacing w:after="100"/>
              <w:jc w:val="right"/>
              <w:rPr>
                <w:rFonts w:eastAsia="Times New Roman"/>
              </w:rPr>
            </w:pPr>
            <w:r>
              <w:rPr>
                <w:rFonts w:eastAsia="Times New Roman"/>
                <w:color w:val="000000"/>
                <w:sz w:val="16"/>
                <w:szCs w:val="16"/>
              </w:rPr>
              <w:t>396 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362A7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0912E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6269CFA" w14:textId="77777777" w:rsidR="00000000" w:rsidRDefault="00A173A8">
            <w:pPr>
              <w:spacing w:after="100"/>
              <w:jc w:val="right"/>
              <w:rPr>
                <w:rFonts w:eastAsia="Times New Roman"/>
              </w:rPr>
            </w:pPr>
            <w:r>
              <w:rPr>
                <w:rFonts w:eastAsia="Times New Roman"/>
                <w:b/>
                <w:bCs/>
                <w:color w:val="000000"/>
                <w:sz w:val="16"/>
                <w:szCs w:val="16"/>
              </w:rPr>
              <w:t>965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610F1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8CD14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4473AC" w14:textId="77777777" w:rsidR="00000000" w:rsidRDefault="00A173A8">
            <w:pPr>
              <w:spacing w:after="100"/>
              <w:jc w:val="right"/>
              <w:rPr>
                <w:rFonts w:eastAsia="Times New Roman"/>
              </w:rPr>
            </w:pPr>
            <w:r>
              <w:rPr>
                <w:rFonts w:eastAsia="Times New Roman"/>
                <w:color w:val="000000"/>
                <w:sz w:val="16"/>
                <w:szCs w:val="16"/>
              </w:rPr>
              <w:t>835 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1644C8" w14:textId="77777777" w:rsidR="00000000" w:rsidRDefault="00A173A8">
            <w:pPr>
              <w:spacing w:after="100"/>
              <w:jc w:val="right"/>
              <w:rPr>
                <w:rFonts w:eastAsia="Times New Roman"/>
              </w:rPr>
            </w:pPr>
          </w:p>
        </w:tc>
        <w:tc>
          <w:tcPr>
            <w:tcW w:w="0" w:type="auto"/>
            <w:gridSpan w:val="3"/>
            <w:vAlign w:val="center"/>
            <w:hideMark/>
          </w:tcPr>
          <w:p w14:paraId="27598872" w14:textId="77777777" w:rsidR="00000000" w:rsidRDefault="00A173A8">
            <w:pPr>
              <w:spacing w:after="100"/>
              <w:jc w:val="right"/>
              <w:rPr>
                <w:rFonts w:eastAsia="Times New Roman"/>
                <w:sz w:val="20"/>
                <w:szCs w:val="20"/>
              </w:rPr>
            </w:pPr>
          </w:p>
        </w:tc>
        <w:tc>
          <w:tcPr>
            <w:tcW w:w="0" w:type="auto"/>
            <w:gridSpan w:val="3"/>
            <w:vAlign w:val="center"/>
            <w:hideMark/>
          </w:tcPr>
          <w:p w14:paraId="30D44473" w14:textId="77777777" w:rsidR="00000000" w:rsidRDefault="00A173A8">
            <w:pPr>
              <w:spacing w:after="100"/>
              <w:rPr>
                <w:rFonts w:eastAsia="Times New Roman"/>
                <w:sz w:val="20"/>
                <w:szCs w:val="20"/>
              </w:rPr>
            </w:pPr>
          </w:p>
        </w:tc>
      </w:tr>
      <w:tr w:rsidR="00000000" w14:paraId="4F237D33" w14:textId="77777777">
        <w:trPr>
          <w:jc w:val="center"/>
        </w:trPr>
        <w:tc>
          <w:tcPr>
            <w:tcW w:w="0" w:type="auto"/>
            <w:gridSpan w:val="3"/>
            <w:shd w:val="clear" w:color="auto" w:fill="FFFFFF"/>
            <w:tcMar>
              <w:top w:w="30" w:type="dxa"/>
              <w:left w:w="20" w:type="dxa"/>
              <w:bottom w:w="30" w:type="dxa"/>
              <w:right w:w="20" w:type="dxa"/>
            </w:tcMar>
            <w:vAlign w:val="center"/>
            <w:hideMark/>
          </w:tcPr>
          <w:p w14:paraId="306D395B" w14:textId="77777777" w:rsidR="00000000" w:rsidRDefault="00A173A8">
            <w:pPr>
              <w:spacing w:after="100"/>
              <w:rPr>
                <w:rFonts w:eastAsia="Times New Roman"/>
              </w:rPr>
            </w:pPr>
            <w:r>
              <w:rPr>
                <w:rFonts w:eastAsia="Times New Roman"/>
                <w:color w:val="000000"/>
                <w:sz w:val="16"/>
                <w:szCs w:val="16"/>
              </w:rPr>
              <w:t>Net interest income</w:t>
            </w:r>
          </w:p>
        </w:tc>
        <w:tc>
          <w:tcPr>
            <w:tcW w:w="0" w:type="auto"/>
            <w:gridSpan w:val="3"/>
            <w:shd w:val="clear" w:color="auto" w:fill="FFFFFF"/>
            <w:tcMar>
              <w:top w:w="0" w:type="dxa"/>
              <w:left w:w="20" w:type="dxa"/>
              <w:bottom w:w="0" w:type="dxa"/>
              <w:right w:w="20" w:type="dxa"/>
            </w:tcMar>
            <w:vAlign w:val="center"/>
            <w:hideMark/>
          </w:tcPr>
          <w:p w14:paraId="693E14F9"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DB78826" w14:textId="77777777" w:rsidR="00000000" w:rsidRDefault="00A173A8">
            <w:pPr>
              <w:spacing w:after="100"/>
              <w:jc w:val="right"/>
              <w:rPr>
                <w:rFonts w:eastAsia="Times New Roman"/>
              </w:rPr>
            </w:pPr>
            <w:r>
              <w:rPr>
                <w:rFonts w:eastAsia="Times New Roman"/>
                <w:b/>
                <w:bCs/>
                <w:color w:val="000000"/>
                <w:sz w:val="16"/>
                <w:szCs w:val="16"/>
              </w:rPr>
              <w:t>6,517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4EEDEA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E0F6D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369D90A" w14:textId="77777777" w:rsidR="00000000" w:rsidRDefault="00A173A8">
            <w:pPr>
              <w:spacing w:after="100"/>
              <w:jc w:val="right"/>
              <w:rPr>
                <w:rFonts w:eastAsia="Times New Roman"/>
              </w:rPr>
            </w:pPr>
            <w:r>
              <w:rPr>
                <w:rFonts w:eastAsia="Times New Roman"/>
                <w:color w:val="000000"/>
                <w:sz w:val="16"/>
                <w:szCs w:val="16"/>
              </w:rPr>
              <w:t>5,743 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EB82D2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A7EBF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713ECD9" w14:textId="77777777" w:rsidR="00000000" w:rsidRDefault="00A173A8">
            <w:pPr>
              <w:spacing w:after="100"/>
              <w:jc w:val="right"/>
              <w:rPr>
                <w:rFonts w:eastAsia="Times New Roman"/>
              </w:rPr>
            </w:pPr>
            <w:r>
              <w:rPr>
                <w:rFonts w:eastAsia="Times New Roman"/>
                <w:b/>
                <w:bCs/>
                <w:color w:val="000000"/>
                <w:sz w:val="16"/>
                <w:szCs w:val="16"/>
              </w:rPr>
              <w:t>12,914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272085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5C9D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0D22B5" w14:textId="77777777" w:rsidR="00000000" w:rsidRDefault="00A173A8">
            <w:pPr>
              <w:spacing w:after="100"/>
              <w:jc w:val="right"/>
              <w:rPr>
                <w:rFonts w:eastAsia="Times New Roman"/>
              </w:rPr>
            </w:pPr>
            <w:r>
              <w:rPr>
                <w:rFonts w:eastAsia="Times New Roman"/>
                <w:color w:val="000000"/>
                <w:sz w:val="16"/>
                <w:szCs w:val="16"/>
              </w:rPr>
              <w:t>11,565 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AF95F48" w14:textId="77777777" w:rsidR="00000000" w:rsidRDefault="00A173A8">
            <w:pPr>
              <w:spacing w:after="100"/>
              <w:jc w:val="right"/>
              <w:rPr>
                <w:rFonts w:eastAsia="Times New Roman"/>
              </w:rPr>
            </w:pPr>
          </w:p>
        </w:tc>
        <w:tc>
          <w:tcPr>
            <w:tcW w:w="0" w:type="auto"/>
            <w:gridSpan w:val="3"/>
            <w:vAlign w:val="center"/>
            <w:hideMark/>
          </w:tcPr>
          <w:p w14:paraId="0BC92BB8" w14:textId="77777777" w:rsidR="00000000" w:rsidRDefault="00A173A8">
            <w:pPr>
              <w:spacing w:after="100"/>
              <w:jc w:val="right"/>
              <w:rPr>
                <w:rFonts w:eastAsia="Times New Roman"/>
                <w:sz w:val="20"/>
                <w:szCs w:val="20"/>
              </w:rPr>
            </w:pPr>
          </w:p>
        </w:tc>
        <w:tc>
          <w:tcPr>
            <w:tcW w:w="0" w:type="auto"/>
            <w:gridSpan w:val="3"/>
            <w:vAlign w:val="center"/>
            <w:hideMark/>
          </w:tcPr>
          <w:p w14:paraId="3F9EEE29" w14:textId="77777777" w:rsidR="00000000" w:rsidRDefault="00A173A8">
            <w:pPr>
              <w:spacing w:after="100"/>
              <w:rPr>
                <w:rFonts w:eastAsia="Times New Roman"/>
                <w:sz w:val="20"/>
                <w:szCs w:val="20"/>
              </w:rPr>
            </w:pPr>
          </w:p>
        </w:tc>
      </w:tr>
      <w:tr w:rsidR="00000000" w14:paraId="24601AAE" w14:textId="77777777">
        <w:trPr>
          <w:jc w:val="center"/>
        </w:trPr>
        <w:tc>
          <w:tcPr>
            <w:tcW w:w="0" w:type="auto"/>
            <w:gridSpan w:val="3"/>
            <w:shd w:val="clear" w:color="auto" w:fill="CCEEFF"/>
            <w:tcMar>
              <w:top w:w="30" w:type="dxa"/>
              <w:left w:w="245" w:type="dxa"/>
              <w:bottom w:w="30" w:type="dxa"/>
              <w:right w:w="20" w:type="dxa"/>
            </w:tcMar>
            <w:vAlign w:val="center"/>
            <w:hideMark/>
          </w:tcPr>
          <w:p w14:paraId="1F86F35B" w14:textId="77777777" w:rsidR="00000000" w:rsidRDefault="00A173A8">
            <w:pPr>
              <w:spacing w:after="100"/>
              <w:rPr>
                <w:rFonts w:eastAsia="Times New Roman"/>
              </w:rPr>
            </w:pPr>
            <w:r>
              <w:rPr>
                <w:rFonts w:eastAsia="Times New Roman"/>
                <w:color w:val="000000"/>
                <w:sz w:val="16"/>
                <w:szCs w:val="16"/>
              </w:rPr>
              <w:t xml:space="preserve">Provision (benefit) for credit losses </w:t>
            </w:r>
          </w:p>
        </w:tc>
        <w:tc>
          <w:tcPr>
            <w:tcW w:w="0" w:type="auto"/>
            <w:gridSpan w:val="3"/>
            <w:shd w:val="clear" w:color="auto" w:fill="CCEEFF"/>
            <w:tcMar>
              <w:top w:w="0" w:type="dxa"/>
              <w:left w:w="20" w:type="dxa"/>
              <w:bottom w:w="0" w:type="dxa"/>
              <w:right w:w="20" w:type="dxa"/>
            </w:tcMar>
            <w:vAlign w:val="center"/>
            <w:hideMark/>
          </w:tcPr>
          <w:p w14:paraId="1732BE2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0B4CA30" w14:textId="77777777" w:rsidR="00000000" w:rsidRDefault="00A173A8">
            <w:pPr>
              <w:spacing w:after="100"/>
              <w:jc w:val="right"/>
              <w:rPr>
                <w:rFonts w:eastAsia="Times New Roman"/>
              </w:rPr>
            </w:pPr>
            <w:r>
              <w:rPr>
                <w:rFonts w:eastAsia="Times New Roman"/>
                <w:b/>
                <w:bCs/>
                <w:color w:val="000000"/>
                <w:sz w:val="16"/>
                <w:szCs w:val="16"/>
              </w:rPr>
              <w:t>1,085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2BD50E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49F7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F7000F" w14:textId="77777777" w:rsidR="00000000" w:rsidRDefault="00A173A8">
            <w:pPr>
              <w:spacing w:after="100"/>
              <w:jc w:val="right"/>
              <w:rPr>
                <w:rFonts w:eastAsia="Times New Roman"/>
              </w:rPr>
            </w:pPr>
            <w:r>
              <w:rPr>
                <w:rFonts w:eastAsia="Times New Roman"/>
                <w:color w:val="000000"/>
                <w:sz w:val="16"/>
                <w:szCs w:val="16"/>
              </w:rPr>
              <w:t>(1,160)</w:t>
            </w:r>
          </w:p>
        </w:tc>
        <w:tc>
          <w:tcPr>
            <w:tcW w:w="0" w:type="auto"/>
            <w:shd w:val="clear" w:color="auto" w:fill="CCEEFF"/>
            <w:tcMar>
              <w:top w:w="30" w:type="dxa"/>
              <w:left w:w="0" w:type="dxa"/>
              <w:bottom w:w="30" w:type="dxa"/>
              <w:right w:w="20" w:type="dxa"/>
            </w:tcMar>
            <w:vAlign w:val="center"/>
            <w:hideMark/>
          </w:tcPr>
          <w:p w14:paraId="64CA30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A5B61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4832A0" w14:textId="77777777" w:rsidR="00000000" w:rsidRDefault="00A173A8">
            <w:pPr>
              <w:spacing w:after="100"/>
              <w:jc w:val="right"/>
              <w:rPr>
                <w:rFonts w:eastAsia="Times New Roman"/>
              </w:rPr>
            </w:pPr>
            <w:r>
              <w:rPr>
                <w:rFonts w:eastAsia="Times New Roman"/>
                <w:b/>
                <w:bCs/>
                <w:color w:val="000000"/>
                <w:sz w:val="16"/>
                <w:szCs w:val="16"/>
              </w:rPr>
              <w:t>1,762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FCB17E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6051A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296CFA" w14:textId="77777777" w:rsidR="00000000" w:rsidRDefault="00A173A8">
            <w:pPr>
              <w:spacing w:after="100"/>
              <w:jc w:val="right"/>
              <w:rPr>
                <w:rFonts w:eastAsia="Times New Roman"/>
              </w:rPr>
            </w:pPr>
            <w:r>
              <w:rPr>
                <w:rFonts w:eastAsia="Times New Roman"/>
                <w:color w:val="000000"/>
                <w:sz w:val="16"/>
                <w:szCs w:val="16"/>
              </w:rPr>
              <w:t>(1,983)</w:t>
            </w:r>
          </w:p>
        </w:tc>
        <w:tc>
          <w:tcPr>
            <w:tcW w:w="0" w:type="auto"/>
            <w:shd w:val="clear" w:color="auto" w:fill="CCEEFF"/>
            <w:tcMar>
              <w:top w:w="30" w:type="dxa"/>
              <w:left w:w="0" w:type="dxa"/>
              <w:bottom w:w="30" w:type="dxa"/>
              <w:right w:w="20" w:type="dxa"/>
            </w:tcMar>
            <w:vAlign w:val="center"/>
            <w:hideMark/>
          </w:tcPr>
          <w:p w14:paraId="77468F94" w14:textId="77777777" w:rsidR="00000000" w:rsidRDefault="00A173A8">
            <w:pPr>
              <w:spacing w:after="100"/>
              <w:jc w:val="right"/>
              <w:rPr>
                <w:rFonts w:eastAsia="Times New Roman"/>
              </w:rPr>
            </w:pPr>
          </w:p>
        </w:tc>
        <w:tc>
          <w:tcPr>
            <w:tcW w:w="0" w:type="auto"/>
            <w:gridSpan w:val="3"/>
            <w:vAlign w:val="center"/>
            <w:hideMark/>
          </w:tcPr>
          <w:p w14:paraId="68FF1C05" w14:textId="77777777" w:rsidR="00000000" w:rsidRDefault="00A173A8">
            <w:pPr>
              <w:spacing w:after="100"/>
              <w:jc w:val="right"/>
              <w:rPr>
                <w:rFonts w:eastAsia="Times New Roman"/>
                <w:sz w:val="20"/>
                <w:szCs w:val="20"/>
              </w:rPr>
            </w:pPr>
          </w:p>
        </w:tc>
        <w:tc>
          <w:tcPr>
            <w:tcW w:w="0" w:type="auto"/>
            <w:gridSpan w:val="3"/>
            <w:vAlign w:val="center"/>
            <w:hideMark/>
          </w:tcPr>
          <w:p w14:paraId="1DE2E461" w14:textId="77777777" w:rsidR="00000000" w:rsidRDefault="00A173A8">
            <w:pPr>
              <w:spacing w:after="100"/>
              <w:rPr>
                <w:rFonts w:eastAsia="Times New Roman"/>
                <w:sz w:val="20"/>
                <w:szCs w:val="20"/>
              </w:rPr>
            </w:pPr>
          </w:p>
        </w:tc>
      </w:tr>
      <w:tr w:rsidR="00000000" w14:paraId="43929470" w14:textId="77777777">
        <w:trPr>
          <w:jc w:val="center"/>
        </w:trPr>
        <w:tc>
          <w:tcPr>
            <w:tcW w:w="0" w:type="auto"/>
            <w:gridSpan w:val="3"/>
            <w:shd w:val="clear" w:color="auto" w:fill="FFFFFF"/>
            <w:tcMar>
              <w:top w:w="30" w:type="dxa"/>
              <w:left w:w="20" w:type="dxa"/>
              <w:bottom w:w="30" w:type="dxa"/>
              <w:right w:w="20" w:type="dxa"/>
            </w:tcMar>
            <w:vAlign w:val="center"/>
            <w:hideMark/>
          </w:tcPr>
          <w:p w14:paraId="15EC5CF4" w14:textId="77777777" w:rsidR="00000000" w:rsidRDefault="00A173A8">
            <w:pPr>
              <w:spacing w:after="100"/>
              <w:rPr>
                <w:rFonts w:eastAsia="Times New Roman"/>
              </w:rPr>
            </w:pPr>
            <w:r>
              <w:rPr>
                <w:rFonts w:eastAsia="Times New Roman"/>
                <w:color w:val="000000"/>
                <w:sz w:val="16"/>
                <w:szCs w:val="16"/>
              </w:rPr>
              <w:t>Net interest income after provision for credit losses</w:t>
            </w:r>
          </w:p>
        </w:tc>
        <w:tc>
          <w:tcPr>
            <w:tcW w:w="0" w:type="auto"/>
            <w:gridSpan w:val="3"/>
            <w:shd w:val="clear" w:color="auto" w:fill="FFFFFF"/>
            <w:tcMar>
              <w:top w:w="0" w:type="dxa"/>
              <w:left w:w="20" w:type="dxa"/>
              <w:bottom w:w="0" w:type="dxa"/>
              <w:right w:w="20" w:type="dxa"/>
            </w:tcMar>
            <w:vAlign w:val="center"/>
            <w:hideMark/>
          </w:tcPr>
          <w:p w14:paraId="27B6CB04"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A973225" w14:textId="77777777" w:rsidR="00000000" w:rsidRDefault="00A173A8">
            <w:pPr>
              <w:spacing w:after="100"/>
              <w:jc w:val="right"/>
              <w:rPr>
                <w:rFonts w:eastAsia="Times New Roman"/>
              </w:rPr>
            </w:pPr>
            <w:r>
              <w:rPr>
                <w:rFonts w:eastAsia="Times New Roman"/>
                <w:b/>
                <w:bCs/>
                <w:color w:val="000000"/>
                <w:sz w:val="16"/>
                <w:szCs w:val="16"/>
              </w:rPr>
              <w:t>5,432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56B792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1494F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A42EA9" w14:textId="77777777" w:rsidR="00000000" w:rsidRDefault="00A173A8">
            <w:pPr>
              <w:spacing w:after="100"/>
              <w:jc w:val="right"/>
              <w:rPr>
                <w:rFonts w:eastAsia="Times New Roman"/>
              </w:rPr>
            </w:pPr>
            <w:r>
              <w:rPr>
                <w:rFonts w:eastAsia="Times New Roman"/>
                <w:color w:val="000000"/>
                <w:sz w:val="16"/>
                <w:szCs w:val="16"/>
              </w:rPr>
              <w:t>6,903 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9EDC3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72129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C416143" w14:textId="77777777" w:rsidR="00000000" w:rsidRDefault="00A173A8">
            <w:pPr>
              <w:spacing w:after="100"/>
              <w:jc w:val="right"/>
              <w:rPr>
                <w:rFonts w:eastAsia="Times New Roman"/>
              </w:rPr>
            </w:pPr>
            <w:r>
              <w:rPr>
                <w:rFonts w:eastAsia="Times New Roman"/>
                <w:b/>
                <w:bCs/>
                <w:color w:val="000000"/>
                <w:sz w:val="16"/>
                <w:szCs w:val="16"/>
              </w:rPr>
              <w:t>11,152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3D18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CC1D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AD63C3C" w14:textId="77777777" w:rsidR="00000000" w:rsidRDefault="00A173A8">
            <w:pPr>
              <w:spacing w:after="100"/>
              <w:jc w:val="right"/>
              <w:rPr>
                <w:rFonts w:eastAsia="Times New Roman"/>
              </w:rPr>
            </w:pPr>
            <w:r>
              <w:rPr>
                <w:rFonts w:eastAsia="Times New Roman"/>
                <w:color w:val="000000"/>
                <w:sz w:val="16"/>
                <w:szCs w:val="16"/>
              </w:rPr>
              <w:t>13,548 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D1BACB" w14:textId="77777777" w:rsidR="00000000" w:rsidRDefault="00A173A8">
            <w:pPr>
              <w:spacing w:after="100"/>
              <w:jc w:val="right"/>
              <w:rPr>
                <w:rFonts w:eastAsia="Times New Roman"/>
              </w:rPr>
            </w:pPr>
          </w:p>
        </w:tc>
        <w:tc>
          <w:tcPr>
            <w:tcW w:w="0" w:type="auto"/>
            <w:gridSpan w:val="3"/>
            <w:vAlign w:val="center"/>
            <w:hideMark/>
          </w:tcPr>
          <w:p w14:paraId="13F7ADEE" w14:textId="77777777" w:rsidR="00000000" w:rsidRDefault="00A173A8">
            <w:pPr>
              <w:spacing w:after="100"/>
              <w:jc w:val="right"/>
              <w:rPr>
                <w:rFonts w:eastAsia="Times New Roman"/>
                <w:sz w:val="20"/>
                <w:szCs w:val="20"/>
              </w:rPr>
            </w:pPr>
          </w:p>
        </w:tc>
        <w:tc>
          <w:tcPr>
            <w:tcW w:w="0" w:type="auto"/>
            <w:gridSpan w:val="3"/>
            <w:vAlign w:val="center"/>
            <w:hideMark/>
          </w:tcPr>
          <w:p w14:paraId="1FD82F12" w14:textId="77777777" w:rsidR="00000000" w:rsidRDefault="00A173A8">
            <w:pPr>
              <w:spacing w:after="100"/>
              <w:rPr>
                <w:rFonts w:eastAsia="Times New Roman"/>
                <w:sz w:val="20"/>
                <w:szCs w:val="20"/>
              </w:rPr>
            </w:pPr>
          </w:p>
        </w:tc>
      </w:tr>
      <w:tr w:rsidR="00000000" w14:paraId="7F76FE53" w14:textId="77777777">
        <w:trPr>
          <w:jc w:val="center"/>
        </w:trPr>
        <w:tc>
          <w:tcPr>
            <w:tcW w:w="0" w:type="auto"/>
            <w:gridSpan w:val="3"/>
            <w:shd w:val="clear" w:color="auto" w:fill="CCEEFF"/>
            <w:tcMar>
              <w:top w:w="30" w:type="dxa"/>
              <w:left w:w="20" w:type="dxa"/>
              <w:bottom w:w="30" w:type="dxa"/>
              <w:right w:w="20" w:type="dxa"/>
            </w:tcMar>
            <w:vAlign w:val="center"/>
            <w:hideMark/>
          </w:tcPr>
          <w:p w14:paraId="695570CA" w14:textId="77777777" w:rsidR="00000000" w:rsidRDefault="00A173A8">
            <w:pPr>
              <w:spacing w:after="100"/>
              <w:rPr>
                <w:rFonts w:eastAsia="Times New Roman"/>
              </w:rPr>
            </w:pPr>
            <w:r>
              <w:rPr>
                <w:rFonts w:eastAsia="Times New Roman"/>
                <w:b/>
                <w:bCs/>
                <w:color w:val="000000"/>
                <w:sz w:val="16"/>
                <w:szCs w:val="16"/>
              </w:rPr>
              <w:t>Non-interest income:</w:t>
            </w:r>
          </w:p>
        </w:tc>
        <w:tc>
          <w:tcPr>
            <w:tcW w:w="0" w:type="auto"/>
            <w:gridSpan w:val="3"/>
            <w:shd w:val="clear" w:color="auto" w:fill="CCEEFF"/>
            <w:tcMar>
              <w:top w:w="0" w:type="dxa"/>
              <w:left w:w="20" w:type="dxa"/>
              <w:bottom w:w="0" w:type="dxa"/>
              <w:right w:w="20" w:type="dxa"/>
            </w:tcMar>
            <w:vAlign w:val="center"/>
            <w:hideMark/>
          </w:tcPr>
          <w:p w14:paraId="0DD4E900"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FB62E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0DA00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C095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32D22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B5909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78C9F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E821A1" w14:textId="77777777" w:rsidR="00000000" w:rsidRDefault="00A173A8">
            <w:pPr>
              <w:spacing w:after="100"/>
              <w:rPr>
                <w:rFonts w:eastAsia="Times New Roman"/>
                <w:sz w:val="20"/>
                <w:szCs w:val="20"/>
              </w:rPr>
            </w:pPr>
          </w:p>
        </w:tc>
        <w:tc>
          <w:tcPr>
            <w:tcW w:w="0" w:type="auto"/>
            <w:gridSpan w:val="3"/>
            <w:vAlign w:val="center"/>
            <w:hideMark/>
          </w:tcPr>
          <w:p w14:paraId="5E5EF9B9" w14:textId="77777777" w:rsidR="00000000" w:rsidRDefault="00A173A8">
            <w:pPr>
              <w:spacing w:after="100"/>
              <w:rPr>
                <w:rFonts w:eastAsia="Times New Roman"/>
                <w:sz w:val="20"/>
                <w:szCs w:val="20"/>
              </w:rPr>
            </w:pPr>
          </w:p>
        </w:tc>
        <w:tc>
          <w:tcPr>
            <w:tcW w:w="0" w:type="auto"/>
            <w:gridSpan w:val="3"/>
            <w:vAlign w:val="center"/>
            <w:hideMark/>
          </w:tcPr>
          <w:p w14:paraId="7C9F1F0C" w14:textId="77777777" w:rsidR="00000000" w:rsidRDefault="00A173A8">
            <w:pPr>
              <w:spacing w:after="100"/>
              <w:rPr>
                <w:rFonts w:eastAsia="Times New Roman"/>
                <w:sz w:val="20"/>
                <w:szCs w:val="20"/>
              </w:rPr>
            </w:pPr>
          </w:p>
        </w:tc>
      </w:tr>
      <w:tr w:rsidR="00000000" w14:paraId="5E5E1137" w14:textId="77777777">
        <w:trPr>
          <w:jc w:val="center"/>
        </w:trPr>
        <w:tc>
          <w:tcPr>
            <w:tcW w:w="0" w:type="auto"/>
            <w:gridSpan w:val="3"/>
            <w:shd w:val="clear" w:color="auto" w:fill="FFFFFF"/>
            <w:tcMar>
              <w:top w:w="30" w:type="dxa"/>
              <w:left w:w="245" w:type="dxa"/>
              <w:bottom w:w="30" w:type="dxa"/>
              <w:right w:w="20" w:type="dxa"/>
            </w:tcMar>
            <w:vAlign w:val="center"/>
            <w:hideMark/>
          </w:tcPr>
          <w:p w14:paraId="1307B6CF" w14:textId="77777777" w:rsidR="00000000" w:rsidRDefault="00A173A8">
            <w:pPr>
              <w:spacing w:after="100"/>
              <w:rPr>
                <w:rFonts w:eastAsia="Times New Roman"/>
              </w:rPr>
            </w:pPr>
            <w:r>
              <w:rPr>
                <w:rFonts w:eastAsia="Times New Roman"/>
                <w:color w:val="000000"/>
                <w:sz w:val="16"/>
                <w:szCs w:val="16"/>
              </w:rPr>
              <w:t>Interchange fees, net</w:t>
            </w:r>
          </w:p>
        </w:tc>
        <w:tc>
          <w:tcPr>
            <w:tcW w:w="0" w:type="auto"/>
            <w:gridSpan w:val="3"/>
            <w:shd w:val="clear" w:color="auto" w:fill="FFFFFF"/>
            <w:tcMar>
              <w:top w:w="0" w:type="dxa"/>
              <w:left w:w="20" w:type="dxa"/>
              <w:bottom w:w="0" w:type="dxa"/>
              <w:right w:w="20" w:type="dxa"/>
            </w:tcMar>
            <w:vAlign w:val="center"/>
            <w:hideMark/>
          </w:tcPr>
          <w:p w14:paraId="29FCD20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3124489" w14:textId="77777777" w:rsidR="00000000" w:rsidRDefault="00A173A8">
            <w:pPr>
              <w:spacing w:after="100"/>
              <w:jc w:val="right"/>
              <w:rPr>
                <w:rFonts w:eastAsia="Times New Roman"/>
              </w:rPr>
            </w:pPr>
            <w:r>
              <w:rPr>
                <w:rFonts w:eastAsia="Times New Roman"/>
                <w:b/>
                <w:bCs/>
                <w:color w:val="000000"/>
                <w:sz w:val="16"/>
                <w:szCs w:val="16"/>
              </w:rPr>
              <w:t>1,201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EDC2E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0286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4B040E" w14:textId="77777777" w:rsidR="00000000" w:rsidRDefault="00A173A8">
            <w:pPr>
              <w:spacing w:after="100"/>
              <w:jc w:val="right"/>
              <w:rPr>
                <w:rFonts w:eastAsia="Times New Roman"/>
              </w:rPr>
            </w:pPr>
            <w:r>
              <w:rPr>
                <w:rFonts w:eastAsia="Times New Roman"/>
                <w:color w:val="000000"/>
                <w:sz w:val="16"/>
                <w:szCs w:val="16"/>
              </w:rPr>
              <w:t>1,016 </w:t>
            </w:r>
          </w:p>
        </w:tc>
        <w:tc>
          <w:tcPr>
            <w:tcW w:w="0" w:type="auto"/>
            <w:shd w:val="clear" w:color="auto" w:fill="FFFFFF"/>
            <w:tcMar>
              <w:top w:w="30" w:type="dxa"/>
              <w:left w:w="0" w:type="dxa"/>
              <w:bottom w:w="30" w:type="dxa"/>
              <w:right w:w="20" w:type="dxa"/>
            </w:tcMar>
            <w:vAlign w:val="center"/>
            <w:hideMark/>
          </w:tcPr>
          <w:p w14:paraId="37E78B0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DE58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EA9521" w14:textId="77777777" w:rsidR="00000000" w:rsidRDefault="00A173A8">
            <w:pPr>
              <w:spacing w:after="100"/>
              <w:jc w:val="right"/>
              <w:rPr>
                <w:rFonts w:eastAsia="Times New Roman"/>
              </w:rPr>
            </w:pPr>
            <w:r>
              <w:rPr>
                <w:rFonts w:eastAsia="Times New Roman"/>
                <w:b/>
                <w:bCs/>
                <w:color w:val="000000"/>
                <w:sz w:val="16"/>
                <w:szCs w:val="16"/>
              </w:rPr>
              <w:t>2,234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B67D1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EA813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6D1AB1" w14:textId="77777777" w:rsidR="00000000" w:rsidRDefault="00A173A8">
            <w:pPr>
              <w:spacing w:after="100"/>
              <w:jc w:val="right"/>
              <w:rPr>
                <w:rFonts w:eastAsia="Times New Roman"/>
              </w:rPr>
            </w:pPr>
            <w:r>
              <w:rPr>
                <w:rFonts w:eastAsia="Times New Roman"/>
                <w:color w:val="000000"/>
                <w:sz w:val="16"/>
                <w:szCs w:val="16"/>
              </w:rPr>
              <w:t>1,833 </w:t>
            </w:r>
          </w:p>
        </w:tc>
        <w:tc>
          <w:tcPr>
            <w:tcW w:w="0" w:type="auto"/>
            <w:shd w:val="clear" w:color="auto" w:fill="FFFFFF"/>
            <w:tcMar>
              <w:top w:w="30" w:type="dxa"/>
              <w:left w:w="0" w:type="dxa"/>
              <w:bottom w:w="30" w:type="dxa"/>
              <w:right w:w="20" w:type="dxa"/>
            </w:tcMar>
            <w:vAlign w:val="center"/>
            <w:hideMark/>
          </w:tcPr>
          <w:p w14:paraId="7FA5B2BE" w14:textId="77777777" w:rsidR="00000000" w:rsidRDefault="00A173A8">
            <w:pPr>
              <w:spacing w:after="100"/>
              <w:jc w:val="right"/>
              <w:rPr>
                <w:rFonts w:eastAsia="Times New Roman"/>
              </w:rPr>
            </w:pPr>
          </w:p>
        </w:tc>
        <w:tc>
          <w:tcPr>
            <w:tcW w:w="0" w:type="auto"/>
            <w:gridSpan w:val="3"/>
            <w:vAlign w:val="center"/>
            <w:hideMark/>
          </w:tcPr>
          <w:p w14:paraId="12C716F1" w14:textId="77777777" w:rsidR="00000000" w:rsidRDefault="00A173A8">
            <w:pPr>
              <w:spacing w:after="100"/>
              <w:jc w:val="right"/>
              <w:rPr>
                <w:rFonts w:eastAsia="Times New Roman"/>
                <w:sz w:val="20"/>
                <w:szCs w:val="20"/>
              </w:rPr>
            </w:pPr>
          </w:p>
        </w:tc>
        <w:tc>
          <w:tcPr>
            <w:tcW w:w="0" w:type="auto"/>
            <w:gridSpan w:val="3"/>
            <w:vAlign w:val="center"/>
            <w:hideMark/>
          </w:tcPr>
          <w:p w14:paraId="7AC7CF06" w14:textId="77777777" w:rsidR="00000000" w:rsidRDefault="00A173A8">
            <w:pPr>
              <w:spacing w:after="100"/>
              <w:rPr>
                <w:rFonts w:eastAsia="Times New Roman"/>
                <w:sz w:val="20"/>
                <w:szCs w:val="20"/>
              </w:rPr>
            </w:pPr>
          </w:p>
        </w:tc>
      </w:tr>
      <w:tr w:rsidR="00000000" w14:paraId="7C5048E0" w14:textId="77777777">
        <w:trPr>
          <w:jc w:val="center"/>
        </w:trPr>
        <w:tc>
          <w:tcPr>
            <w:tcW w:w="0" w:type="auto"/>
            <w:gridSpan w:val="3"/>
            <w:shd w:val="clear" w:color="auto" w:fill="CCEEFF"/>
            <w:tcMar>
              <w:top w:w="30" w:type="dxa"/>
              <w:left w:w="245" w:type="dxa"/>
              <w:bottom w:w="30" w:type="dxa"/>
              <w:right w:w="20" w:type="dxa"/>
            </w:tcMar>
            <w:vAlign w:val="center"/>
            <w:hideMark/>
          </w:tcPr>
          <w:p w14:paraId="59C74485" w14:textId="77777777" w:rsidR="00000000" w:rsidRDefault="00A173A8">
            <w:pPr>
              <w:spacing w:after="100"/>
              <w:rPr>
                <w:rFonts w:eastAsia="Times New Roman"/>
              </w:rPr>
            </w:pPr>
            <w:r>
              <w:rPr>
                <w:rFonts w:eastAsia="Times New Roman"/>
                <w:color w:val="000000"/>
                <w:sz w:val="16"/>
                <w:szCs w:val="16"/>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4C9C7E7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AACF832" w14:textId="77777777" w:rsidR="00000000" w:rsidRDefault="00A173A8">
            <w:pPr>
              <w:spacing w:after="100"/>
              <w:jc w:val="right"/>
              <w:rPr>
                <w:rFonts w:eastAsia="Times New Roman"/>
              </w:rPr>
            </w:pPr>
            <w:r>
              <w:rPr>
                <w:rFonts w:eastAsia="Times New Roman"/>
                <w:b/>
                <w:bCs/>
                <w:color w:val="000000"/>
                <w:sz w:val="16"/>
                <w:szCs w:val="16"/>
              </w:rPr>
              <w:t>415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8BA62E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09EA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83D7CB" w14:textId="77777777" w:rsidR="00000000" w:rsidRDefault="00A173A8">
            <w:pPr>
              <w:spacing w:after="100"/>
              <w:jc w:val="right"/>
              <w:rPr>
                <w:rFonts w:eastAsia="Times New Roman"/>
              </w:rPr>
            </w:pPr>
            <w:r>
              <w:rPr>
                <w:rFonts w:eastAsia="Times New Roman"/>
                <w:color w:val="000000"/>
                <w:sz w:val="16"/>
                <w:szCs w:val="16"/>
              </w:rPr>
              <w:t>384 </w:t>
            </w:r>
          </w:p>
        </w:tc>
        <w:tc>
          <w:tcPr>
            <w:tcW w:w="0" w:type="auto"/>
            <w:shd w:val="clear" w:color="auto" w:fill="CCEEFF"/>
            <w:tcMar>
              <w:top w:w="30" w:type="dxa"/>
              <w:left w:w="0" w:type="dxa"/>
              <w:bottom w:w="30" w:type="dxa"/>
              <w:right w:w="20" w:type="dxa"/>
            </w:tcMar>
            <w:vAlign w:val="center"/>
            <w:hideMark/>
          </w:tcPr>
          <w:p w14:paraId="04FA60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6ECF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FCA54D" w14:textId="77777777" w:rsidR="00000000" w:rsidRDefault="00A173A8">
            <w:pPr>
              <w:spacing w:after="100"/>
              <w:jc w:val="right"/>
              <w:rPr>
                <w:rFonts w:eastAsia="Times New Roman"/>
              </w:rPr>
            </w:pPr>
            <w:r>
              <w:rPr>
                <w:rFonts w:eastAsia="Times New Roman"/>
                <w:b/>
                <w:bCs/>
                <w:color w:val="000000"/>
                <w:sz w:val="16"/>
                <w:szCs w:val="16"/>
              </w:rPr>
              <w:t>815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A5E6D5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4771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A9B62C" w14:textId="77777777" w:rsidR="00000000" w:rsidRDefault="00A173A8">
            <w:pPr>
              <w:spacing w:after="100"/>
              <w:jc w:val="right"/>
              <w:rPr>
                <w:rFonts w:eastAsia="Times New Roman"/>
              </w:rPr>
            </w:pPr>
            <w:r>
              <w:rPr>
                <w:rFonts w:eastAsia="Times New Roman"/>
                <w:color w:val="000000"/>
                <w:sz w:val="16"/>
                <w:szCs w:val="16"/>
              </w:rPr>
              <w:t>736 </w:t>
            </w:r>
          </w:p>
        </w:tc>
        <w:tc>
          <w:tcPr>
            <w:tcW w:w="0" w:type="auto"/>
            <w:shd w:val="clear" w:color="auto" w:fill="CCEEFF"/>
            <w:tcMar>
              <w:top w:w="30" w:type="dxa"/>
              <w:left w:w="0" w:type="dxa"/>
              <w:bottom w:w="30" w:type="dxa"/>
              <w:right w:w="20" w:type="dxa"/>
            </w:tcMar>
            <w:vAlign w:val="center"/>
            <w:hideMark/>
          </w:tcPr>
          <w:p w14:paraId="46BEA9C0" w14:textId="77777777" w:rsidR="00000000" w:rsidRDefault="00A173A8">
            <w:pPr>
              <w:spacing w:after="100"/>
              <w:jc w:val="right"/>
              <w:rPr>
                <w:rFonts w:eastAsia="Times New Roman"/>
              </w:rPr>
            </w:pPr>
          </w:p>
        </w:tc>
        <w:tc>
          <w:tcPr>
            <w:tcW w:w="0" w:type="auto"/>
            <w:gridSpan w:val="3"/>
            <w:vAlign w:val="center"/>
            <w:hideMark/>
          </w:tcPr>
          <w:p w14:paraId="1B82F694" w14:textId="77777777" w:rsidR="00000000" w:rsidRDefault="00A173A8">
            <w:pPr>
              <w:spacing w:after="100"/>
              <w:jc w:val="right"/>
              <w:rPr>
                <w:rFonts w:eastAsia="Times New Roman"/>
                <w:sz w:val="20"/>
                <w:szCs w:val="20"/>
              </w:rPr>
            </w:pPr>
          </w:p>
        </w:tc>
        <w:tc>
          <w:tcPr>
            <w:tcW w:w="0" w:type="auto"/>
            <w:gridSpan w:val="3"/>
            <w:vAlign w:val="center"/>
            <w:hideMark/>
          </w:tcPr>
          <w:p w14:paraId="0A3A5EB7" w14:textId="77777777" w:rsidR="00000000" w:rsidRDefault="00A173A8">
            <w:pPr>
              <w:spacing w:after="100"/>
              <w:rPr>
                <w:rFonts w:eastAsia="Times New Roman"/>
                <w:sz w:val="20"/>
                <w:szCs w:val="20"/>
              </w:rPr>
            </w:pPr>
          </w:p>
        </w:tc>
      </w:tr>
      <w:tr w:rsidR="00000000" w14:paraId="1D150317" w14:textId="77777777">
        <w:trPr>
          <w:jc w:val="center"/>
        </w:trPr>
        <w:tc>
          <w:tcPr>
            <w:tcW w:w="0" w:type="auto"/>
            <w:gridSpan w:val="3"/>
            <w:shd w:val="clear" w:color="auto" w:fill="FFFFFF"/>
            <w:tcMar>
              <w:top w:w="30" w:type="dxa"/>
              <w:left w:w="245" w:type="dxa"/>
              <w:bottom w:w="30" w:type="dxa"/>
              <w:right w:w="20" w:type="dxa"/>
            </w:tcMar>
            <w:vAlign w:val="center"/>
            <w:hideMark/>
          </w:tcPr>
          <w:p w14:paraId="2F08B4A2" w14:textId="77777777" w:rsidR="00000000" w:rsidRDefault="00A173A8">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7C067D0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FF8192B" w14:textId="77777777" w:rsidR="00000000" w:rsidRDefault="00A173A8">
            <w:pPr>
              <w:spacing w:after="100"/>
              <w:jc w:val="right"/>
              <w:rPr>
                <w:rFonts w:eastAsia="Times New Roman"/>
              </w:rPr>
            </w:pPr>
            <w:r>
              <w:rPr>
                <w:rFonts w:eastAsia="Times New Roman"/>
                <w:b/>
                <w:bCs/>
                <w:color w:val="000000"/>
                <w:sz w:val="16"/>
                <w:szCs w:val="16"/>
              </w:rPr>
              <w:t>99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BEA380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3266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940A90" w14:textId="77777777" w:rsidR="00000000" w:rsidRDefault="00A173A8">
            <w:pPr>
              <w:spacing w:after="100"/>
              <w:jc w:val="right"/>
              <w:rPr>
                <w:rFonts w:eastAsia="Times New Roman"/>
              </w:rPr>
            </w:pPr>
            <w:r>
              <w:rPr>
                <w:rFonts w:eastAsia="Times New Roman"/>
                <w:color w:val="000000"/>
                <w:sz w:val="16"/>
                <w:szCs w:val="16"/>
              </w:rPr>
              <w:t>231 </w:t>
            </w:r>
          </w:p>
        </w:tc>
        <w:tc>
          <w:tcPr>
            <w:tcW w:w="0" w:type="auto"/>
            <w:shd w:val="clear" w:color="auto" w:fill="FFFFFF"/>
            <w:tcMar>
              <w:top w:w="30" w:type="dxa"/>
              <w:left w:w="0" w:type="dxa"/>
              <w:bottom w:w="30" w:type="dxa"/>
              <w:right w:w="20" w:type="dxa"/>
            </w:tcMar>
            <w:vAlign w:val="center"/>
            <w:hideMark/>
          </w:tcPr>
          <w:p w14:paraId="416620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63DC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ACC8C5" w14:textId="77777777" w:rsidR="00000000" w:rsidRDefault="00A173A8">
            <w:pPr>
              <w:spacing w:after="100"/>
              <w:jc w:val="right"/>
              <w:rPr>
                <w:rFonts w:eastAsia="Times New Roman"/>
              </w:rPr>
            </w:pPr>
            <w:r>
              <w:rPr>
                <w:rFonts w:eastAsia="Times New Roman"/>
                <w:b/>
                <w:bCs/>
                <w:color w:val="000000"/>
                <w:sz w:val="16"/>
                <w:szCs w:val="16"/>
              </w:rPr>
              <w:t>442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99F00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DBE9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CE643CF" w14:textId="77777777" w:rsidR="00000000" w:rsidRDefault="00A173A8">
            <w:pPr>
              <w:spacing w:after="100"/>
              <w:jc w:val="right"/>
              <w:rPr>
                <w:rFonts w:eastAsia="Times New Roman"/>
              </w:rPr>
            </w:pPr>
            <w:r>
              <w:rPr>
                <w:rFonts w:eastAsia="Times New Roman"/>
                <w:color w:val="000000"/>
                <w:sz w:val="16"/>
                <w:szCs w:val="16"/>
              </w:rPr>
              <w:t>353 </w:t>
            </w:r>
          </w:p>
        </w:tc>
        <w:tc>
          <w:tcPr>
            <w:tcW w:w="0" w:type="auto"/>
            <w:shd w:val="clear" w:color="auto" w:fill="FFFFFF"/>
            <w:tcMar>
              <w:top w:w="30" w:type="dxa"/>
              <w:left w:w="0" w:type="dxa"/>
              <w:bottom w:w="30" w:type="dxa"/>
              <w:right w:w="20" w:type="dxa"/>
            </w:tcMar>
            <w:vAlign w:val="center"/>
            <w:hideMark/>
          </w:tcPr>
          <w:p w14:paraId="48C42DA5" w14:textId="77777777" w:rsidR="00000000" w:rsidRDefault="00A173A8">
            <w:pPr>
              <w:spacing w:after="100"/>
              <w:jc w:val="right"/>
              <w:rPr>
                <w:rFonts w:eastAsia="Times New Roman"/>
              </w:rPr>
            </w:pPr>
          </w:p>
        </w:tc>
        <w:tc>
          <w:tcPr>
            <w:tcW w:w="0" w:type="auto"/>
            <w:gridSpan w:val="3"/>
            <w:vAlign w:val="center"/>
            <w:hideMark/>
          </w:tcPr>
          <w:p w14:paraId="2917FDCA" w14:textId="77777777" w:rsidR="00000000" w:rsidRDefault="00A173A8">
            <w:pPr>
              <w:spacing w:after="100"/>
              <w:jc w:val="right"/>
              <w:rPr>
                <w:rFonts w:eastAsia="Times New Roman"/>
                <w:sz w:val="20"/>
                <w:szCs w:val="20"/>
              </w:rPr>
            </w:pPr>
          </w:p>
        </w:tc>
        <w:tc>
          <w:tcPr>
            <w:tcW w:w="0" w:type="auto"/>
            <w:gridSpan w:val="3"/>
            <w:vAlign w:val="center"/>
            <w:hideMark/>
          </w:tcPr>
          <w:p w14:paraId="187008F9" w14:textId="77777777" w:rsidR="00000000" w:rsidRDefault="00A173A8">
            <w:pPr>
              <w:spacing w:after="100"/>
              <w:rPr>
                <w:rFonts w:eastAsia="Times New Roman"/>
                <w:sz w:val="20"/>
                <w:szCs w:val="20"/>
              </w:rPr>
            </w:pPr>
          </w:p>
        </w:tc>
      </w:tr>
      <w:tr w:rsidR="00000000" w14:paraId="5DA90DC4" w14:textId="77777777">
        <w:trPr>
          <w:jc w:val="center"/>
        </w:trPr>
        <w:tc>
          <w:tcPr>
            <w:tcW w:w="0" w:type="auto"/>
            <w:gridSpan w:val="3"/>
            <w:shd w:val="clear" w:color="auto" w:fill="CCEEFF"/>
            <w:tcMar>
              <w:top w:w="30" w:type="dxa"/>
              <w:left w:w="20" w:type="dxa"/>
              <w:bottom w:w="30" w:type="dxa"/>
              <w:right w:w="20" w:type="dxa"/>
            </w:tcMar>
            <w:vAlign w:val="center"/>
            <w:hideMark/>
          </w:tcPr>
          <w:p w14:paraId="4A243989" w14:textId="77777777" w:rsidR="00000000" w:rsidRDefault="00A173A8">
            <w:pPr>
              <w:spacing w:after="100"/>
              <w:rPr>
                <w:rFonts w:eastAsia="Times New Roman"/>
              </w:rPr>
            </w:pPr>
            <w:r>
              <w:rPr>
                <w:rFonts w:eastAsia="Times New Roman"/>
                <w:color w:val="000000"/>
                <w:sz w:val="16"/>
                <w:szCs w:val="16"/>
              </w:rPr>
              <w:t>Total non-interest income</w:t>
            </w:r>
          </w:p>
        </w:tc>
        <w:tc>
          <w:tcPr>
            <w:tcW w:w="0" w:type="auto"/>
            <w:gridSpan w:val="3"/>
            <w:shd w:val="clear" w:color="auto" w:fill="CCEEFF"/>
            <w:tcMar>
              <w:top w:w="0" w:type="dxa"/>
              <w:left w:w="20" w:type="dxa"/>
              <w:bottom w:w="0" w:type="dxa"/>
              <w:right w:w="20" w:type="dxa"/>
            </w:tcMar>
            <w:vAlign w:val="center"/>
            <w:hideMark/>
          </w:tcPr>
          <w:p w14:paraId="6AC00EBD"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025DEC" w14:textId="77777777" w:rsidR="00000000" w:rsidRDefault="00A173A8">
            <w:pPr>
              <w:spacing w:after="100"/>
              <w:jc w:val="right"/>
              <w:rPr>
                <w:rFonts w:eastAsia="Times New Roman"/>
              </w:rPr>
            </w:pPr>
            <w:r>
              <w:rPr>
                <w:rFonts w:eastAsia="Times New Roman"/>
                <w:b/>
                <w:bCs/>
                <w:color w:val="000000"/>
                <w:sz w:val="16"/>
                <w:szCs w:val="16"/>
              </w:rPr>
              <w:t>1,715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6DA0AD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EA75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9C73251" w14:textId="77777777" w:rsidR="00000000" w:rsidRDefault="00A173A8">
            <w:pPr>
              <w:spacing w:after="100"/>
              <w:jc w:val="right"/>
              <w:rPr>
                <w:rFonts w:eastAsia="Times New Roman"/>
              </w:rPr>
            </w:pPr>
            <w:r>
              <w:rPr>
                <w:rFonts w:eastAsia="Times New Roman"/>
                <w:color w:val="000000"/>
                <w:sz w:val="16"/>
                <w:szCs w:val="16"/>
              </w:rPr>
              <w:t>1,631 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E202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7D2D4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33E3F46" w14:textId="77777777" w:rsidR="00000000" w:rsidRDefault="00A173A8">
            <w:pPr>
              <w:spacing w:after="100"/>
              <w:jc w:val="right"/>
              <w:rPr>
                <w:rFonts w:eastAsia="Times New Roman"/>
              </w:rPr>
            </w:pPr>
            <w:r>
              <w:rPr>
                <w:rFonts w:eastAsia="Times New Roman"/>
                <w:b/>
                <w:bCs/>
                <w:color w:val="000000"/>
                <w:sz w:val="16"/>
                <w:szCs w:val="16"/>
              </w:rPr>
              <w:t>3,491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60E5BC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320E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773232D" w14:textId="77777777" w:rsidR="00000000" w:rsidRDefault="00A173A8">
            <w:pPr>
              <w:spacing w:after="100"/>
              <w:jc w:val="right"/>
              <w:rPr>
                <w:rFonts w:eastAsia="Times New Roman"/>
              </w:rPr>
            </w:pPr>
            <w:r>
              <w:rPr>
                <w:rFonts w:eastAsia="Times New Roman"/>
                <w:color w:val="000000"/>
                <w:sz w:val="16"/>
                <w:szCs w:val="16"/>
              </w:rPr>
              <w:t>2,922 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195195" w14:textId="77777777" w:rsidR="00000000" w:rsidRDefault="00A173A8">
            <w:pPr>
              <w:spacing w:after="100"/>
              <w:jc w:val="right"/>
              <w:rPr>
                <w:rFonts w:eastAsia="Times New Roman"/>
              </w:rPr>
            </w:pPr>
          </w:p>
        </w:tc>
        <w:tc>
          <w:tcPr>
            <w:tcW w:w="0" w:type="auto"/>
            <w:gridSpan w:val="3"/>
            <w:vAlign w:val="center"/>
            <w:hideMark/>
          </w:tcPr>
          <w:p w14:paraId="215BB1F9" w14:textId="77777777" w:rsidR="00000000" w:rsidRDefault="00A173A8">
            <w:pPr>
              <w:spacing w:after="100"/>
              <w:jc w:val="right"/>
              <w:rPr>
                <w:rFonts w:eastAsia="Times New Roman"/>
                <w:sz w:val="20"/>
                <w:szCs w:val="20"/>
              </w:rPr>
            </w:pPr>
          </w:p>
        </w:tc>
        <w:tc>
          <w:tcPr>
            <w:tcW w:w="0" w:type="auto"/>
            <w:gridSpan w:val="3"/>
            <w:vAlign w:val="center"/>
            <w:hideMark/>
          </w:tcPr>
          <w:p w14:paraId="55C76636" w14:textId="77777777" w:rsidR="00000000" w:rsidRDefault="00A173A8">
            <w:pPr>
              <w:spacing w:after="100"/>
              <w:rPr>
                <w:rFonts w:eastAsia="Times New Roman"/>
                <w:sz w:val="20"/>
                <w:szCs w:val="20"/>
              </w:rPr>
            </w:pPr>
          </w:p>
        </w:tc>
      </w:tr>
      <w:tr w:rsidR="00000000" w14:paraId="3FA893FD" w14:textId="77777777">
        <w:trPr>
          <w:jc w:val="center"/>
        </w:trPr>
        <w:tc>
          <w:tcPr>
            <w:tcW w:w="0" w:type="auto"/>
            <w:gridSpan w:val="3"/>
            <w:shd w:val="clear" w:color="auto" w:fill="FFFFFF"/>
            <w:tcMar>
              <w:top w:w="30" w:type="dxa"/>
              <w:left w:w="20" w:type="dxa"/>
              <w:bottom w:w="30" w:type="dxa"/>
              <w:right w:w="20" w:type="dxa"/>
            </w:tcMar>
            <w:vAlign w:val="center"/>
            <w:hideMark/>
          </w:tcPr>
          <w:p w14:paraId="3982047A" w14:textId="77777777" w:rsidR="00000000" w:rsidRDefault="00A173A8">
            <w:pPr>
              <w:spacing w:after="100"/>
              <w:rPr>
                <w:rFonts w:eastAsia="Times New Roman"/>
              </w:rPr>
            </w:pPr>
            <w:r>
              <w:rPr>
                <w:rFonts w:eastAsia="Times New Roman"/>
                <w:b/>
                <w:bCs/>
                <w:color w:val="000000"/>
                <w:sz w:val="16"/>
                <w:szCs w:val="16"/>
              </w:rPr>
              <w:t>Non-interest expense:</w:t>
            </w:r>
          </w:p>
        </w:tc>
        <w:tc>
          <w:tcPr>
            <w:tcW w:w="0" w:type="auto"/>
            <w:gridSpan w:val="3"/>
            <w:shd w:val="clear" w:color="auto" w:fill="FFFFFF"/>
            <w:tcMar>
              <w:top w:w="0" w:type="dxa"/>
              <w:left w:w="20" w:type="dxa"/>
              <w:bottom w:w="0" w:type="dxa"/>
              <w:right w:w="20" w:type="dxa"/>
            </w:tcMar>
            <w:vAlign w:val="center"/>
            <w:hideMark/>
          </w:tcPr>
          <w:p w14:paraId="4BF281DA"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6C779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359FB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3C4B7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27682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D4415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DA986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15179C" w14:textId="77777777" w:rsidR="00000000" w:rsidRDefault="00A173A8">
            <w:pPr>
              <w:spacing w:after="100"/>
              <w:rPr>
                <w:rFonts w:eastAsia="Times New Roman"/>
                <w:sz w:val="20"/>
                <w:szCs w:val="20"/>
              </w:rPr>
            </w:pPr>
          </w:p>
        </w:tc>
        <w:tc>
          <w:tcPr>
            <w:tcW w:w="0" w:type="auto"/>
            <w:gridSpan w:val="3"/>
            <w:vAlign w:val="center"/>
            <w:hideMark/>
          </w:tcPr>
          <w:p w14:paraId="41378900" w14:textId="77777777" w:rsidR="00000000" w:rsidRDefault="00A173A8">
            <w:pPr>
              <w:spacing w:after="100"/>
              <w:rPr>
                <w:rFonts w:eastAsia="Times New Roman"/>
                <w:sz w:val="20"/>
                <w:szCs w:val="20"/>
              </w:rPr>
            </w:pPr>
          </w:p>
        </w:tc>
        <w:tc>
          <w:tcPr>
            <w:tcW w:w="0" w:type="auto"/>
            <w:gridSpan w:val="3"/>
            <w:vAlign w:val="center"/>
            <w:hideMark/>
          </w:tcPr>
          <w:p w14:paraId="0A8F89DD" w14:textId="77777777" w:rsidR="00000000" w:rsidRDefault="00A173A8">
            <w:pPr>
              <w:spacing w:after="100"/>
              <w:rPr>
                <w:rFonts w:eastAsia="Times New Roman"/>
                <w:sz w:val="20"/>
                <w:szCs w:val="20"/>
              </w:rPr>
            </w:pPr>
          </w:p>
        </w:tc>
      </w:tr>
      <w:tr w:rsidR="00000000" w14:paraId="0FBC75ED" w14:textId="77777777">
        <w:trPr>
          <w:jc w:val="center"/>
        </w:trPr>
        <w:tc>
          <w:tcPr>
            <w:tcW w:w="0" w:type="auto"/>
            <w:gridSpan w:val="3"/>
            <w:shd w:val="clear" w:color="auto" w:fill="CCEEFF"/>
            <w:tcMar>
              <w:top w:w="30" w:type="dxa"/>
              <w:left w:w="245" w:type="dxa"/>
              <w:bottom w:w="30" w:type="dxa"/>
              <w:right w:w="20" w:type="dxa"/>
            </w:tcMar>
            <w:vAlign w:val="center"/>
            <w:hideMark/>
          </w:tcPr>
          <w:p w14:paraId="41422D4C" w14:textId="77777777" w:rsidR="00000000" w:rsidRDefault="00A173A8">
            <w:pPr>
              <w:spacing w:after="100"/>
              <w:rPr>
                <w:rFonts w:eastAsia="Times New Roman"/>
              </w:rPr>
            </w:pPr>
            <w:r>
              <w:rPr>
                <w:rFonts w:eastAsia="Times New Roman"/>
                <w:color w:val="000000"/>
                <w:sz w:val="16"/>
                <w:szCs w:val="16"/>
              </w:rPr>
              <w:t>Salaries and associate benefits</w:t>
            </w:r>
          </w:p>
        </w:tc>
        <w:tc>
          <w:tcPr>
            <w:tcW w:w="0" w:type="auto"/>
            <w:gridSpan w:val="3"/>
            <w:shd w:val="clear" w:color="auto" w:fill="CCEEFF"/>
            <w:tcMar>
              <w:top w:w="0" w:type="dxa"/>
              <w:left w:w="20" w:type="dxa"/>
              <w:bottom w:w="0" w:type="dxa"/>
              <w:right w:w="20" w:type="dxa"/>
            </w:tcMar>
            <w:vAlign w:val="center"/>
            <w:hideMark/>
          </w:tcPr>
          <w:p w14:paraId="22D0950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6F1EDE8" w14:textId="77777777" w:rsidR="00000000" w:rsidRDefault="00A173A8">
            <w:pPr>
              <w:spacing w:after="100"/>
              <w:jc w:val="right"/>
              <w:rPr>
                <w:rFonts w:eastAsia="Times New Roman"/>
              </w:rPr>
            </w:pPr>
            <w:r>
              <w:rPr>
                <w:rFonts w:eastAsia="Times New Roman"/>
                <w:b/>
                <w:bCs/>
                <w:color w:val="000000"/>
                <w:sz w:val="16"/>
                <w:szCs w:val="16"/>
              </w:rPr>
              <w:t>1,946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A40B83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90FF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176BA6" w14:textId="77777777" w:rsidR="00000000" w:rsidRDefault="00A173A8">
            <w:pPr>
              <w:spacing w:after="100"/>
              <w:jc w:val="right"/>
              <w:rPr>
                <w:rFonts w:eastAsia="Times New Roman"/>
              </w:rPr>
            </w:pPr>
            <w:r>
              <w:rPr>
                <w:rFonts w:eastAsia="Times New Roman"/>
                <w:color w:val="000000"/>
                <w:sz w:val="16"/>
                <w:szCs w:val="16"/>
              </w:rPr>
              <w:t>1,781 </w:t>
            </w:r>
          </w:p>
        </w:tc>
        <w:tc>
          <w:tcPr>
            <w:tcW w:w="0" w:type="auto"/>
            <w:shd w:val="clear" w:color="auto" w:fill="CCEEFF"/>
            <w:tcMar>
              <w:top w:w="30" w:type="dxa"/>
              <w:left w:w="0" w:type="dxa"/>
              <w:bottom w:w="30" w:type="dxa"/>
              <w:right w:w="20" w:type="dxa"/>
            </w:tcMar>
            <w:vAlign w:val="center"/>
            <w:hideMark/>
          </w:tcPr>
          <w:p w14:paraId="5C899A1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EA506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1C7C81" w14:textId="77777777" w:rsidR="00000000" w:rsidRDefault="00A173A8">
            <w:pPr>
              <w:spacing w:after="100"/>
              <w:jc w:val="right"/>
              <w:rPr>
                <w:rFonts w:eastAsia="Times New Roman"/>
              </w:rPr>
            </w:pPr>
            <w:r>
              <w:rPr>
                <w:rFonts w:eastAsia="Times New Roman"/>
                <w:b/>
                <w:bCs/>
                <w:color w:val="000000"/>
                <w:sz w:val="16"/>
                <w:szCs w:val="16"/>
              </w:rPr>
              <w:t>3,972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4E133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9328B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8D4E0B" w14:textId="77777777" w:rsidR="00000000" w:rsidRDefault="00A173A8">
            <w:pPr>
              <w:spacing w:after="100"/>
              <w:jc w:val="right"/>
              <w:rPr>
                <w:rFonts w:eastAsia="Times New Roman"/>
              </w:rPr>
            </w:pPr>
            <w:r>
              <w:rPr>
                <w:rFonts w:eastAsia="Times New Roman"/>
                <w:color w:val="000000"/>
                <w:sz w:val="16"/>
                <w:szCs w:val="16"/>
              </w:rPr>
              <w:t>3,628 </w:t>
            </w:r>
          </w:p>
        </w:tc>
        <w:tc>
          <w:tcPr>
            <w:tcW w:w="0" w:type="auto"/>
            <w:shd w:val="clear" w:color="auto" w:fill="CCEEFF"/>
            <w:tcMar>
              <w:top w:w="30" w:type="dxa"/>
              <w:left w:w="0" w:type="dxa"/>
              <w:bottom w:w="30" w:type="dxa"/>
              <w:right w:w="20" w:type="dxa"/>
            </w:tcMar>
            <w:vAlign w:val="center"/>
            <w:hideMark/>
          </w:tcPr>
          <w:p w14:paraId="4DF7CEDE" w14:textId="77777777" w:rsidR="00000000" w:rsidRDefault="00A173A8">
            <w:pPr>
              <w:spacing w:after="100"/>
              <w:jc w:val="right"/>
              <w:rPr>
                <w:rFonts w:eastAsia="Times New Roman"/>
              </w:rPr>
            </w:pPr>
          </w:p>
        </w:tc>
        <w:tc>
          <w:tcPr>
            <w:tcW w:w="0" w:type="auto"/>
            <w:gridSpan w:val="3"/>
            <w:vAlign w:val="center"/>
            <w:hideMark/>
          </w:tcPr>
          <w:p w14:paraId="36C7F071" w14:textId="77777777" w:rsidR="00000000" w:rsidRDefault="00A173A8">
            <w:pPr>
              <w:spacing w:after="100"/>
              <w:jc w:val="right"/>
              <w:rPr>
                <w:rFonts w:eastAsia="Times New Roman"/>
                <w:sz w:val="20"/>
                <w:szCs w:val="20"/>
              </w:rPr>
            </w:pPr>
          </w:p>
        </w:tc>
        <w:tc>
          <w:tcPr>
            <w:tcW w:w="0" w:type="auto"/>
            <w:gridSpan w:val="3"/>
            <w:vAlign w:val="center"/>
            <w:hideMark/>
          </w:tcPr>
          <w:p w14:paraId="2F5FF811" w14:textId="77777777" w:rsidR="00000000" w:rsidRDefault="00A173A8">
            <w:pPr>
              <w:spacing w:after="100"/>
              <w:rPr>
                <w:rFonts w:eastAsia="Times New Roman"/>
                <w:sz w:val="20"/>
                <w:szCs w:val="20"/>
              </w:rPr>
            </w:pPr>
          </w:p>
        </w:tc>
      </w:tr>
      <w:tr w:rsidR="00000000" w14:paraId="59F0F904" w14:textId="77777777">
        <w:trPr>
          <w:jc w:val="center"/>
        </w:trPr>
        <w:tc>
          <w:tcPr>
            <w:tcW w:w="0" w:type="auto"/>
            <w:gridSpan w:val="3"/>
            <w:shd w:val="clear" w:color="auto" w:fill="FFFFFF"/>
            <w:tcMar>
              <w:top w:w="30" w:type="dxa"/>
              <w:left w:w="245" w:type="dxa"/>
              <w:bottom w:w="30" w:type="dxa"/>
              <w:right w:w="20" w:type="dxa"/>
            </w:tcMar>
            <w:vAlign w:val="center"/>
            <w:hideMark/>
          </w:tcPr>
          <w:p w14:paraId="4C04BF17" w14:textId="77777777" w:rsidR="00000000" w:rsidRDefault="00A173A8">
            <w:pPr>
              <w:spacing w:after="100"/>
              <w:rPr>
                <w:rFonts w:eastAsia="Times New Roman"/>
              </w:rPr>
            </w:pPr>
            <w:r>
              <w:rPr>
                <w:rFonts w:eastAsia="Times New Roman"/>
                <w:color w:val="000000"/>
                <w:sz w:val="16"/>
                <w:szCs w:val="16"/>
              </w:rPr>
              <w:t>Occupancy and equipment</w:t>
            </w:r>
          </w:p>
        </w:tc>
        <w:tc>
          <w:tcPr>
            <w:tcW w:w="0" w:type="auto"/>
            <w:gridSpan w:val="3"/>
            <w:shd w:val="clear" w:color="auto" w:fill="FFFFFF"/>
            <w:tcMar>
              <w:top w:w="0" w:type="dxa"/>
              <w:left w:w="20" w:type="dxa"/>
              <w:bottom w:w="0" w:type="dxa"/>
              <w:right w:w="20" w:type="dxa"/>
            </w:tcMar>
            <w:vAlign w:val="center"/>
            <w:hideMark/>
          </w:tcPr>
          <w:p w14:paraId="6D23C5D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068FBC8" w14:textId="77777777" w:rsidR="00000000" w:rsidRDefault="00A173A8">
            <w:pPr>
              <w:spacing w:after="100"/>
              <w:jc w:val="right"/>
              <w:rPr>
                <w:rFonts w:eastAsia="Times New Roman"/>
              </w:rPr>
            </w:pPr>
            <w:r>
              <w:rPr>
                <w:rFonts w:eastAsia="Times New Roman"/>
                <w:b/>
                <w:bCs/>
                <w:color w:val="000000"/>
                <w:sz w:val="16"/>
                <w:szCs w:val="16"/>
              </w:rPr>
              <w:t>481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68FF01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B54C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F185F5" w14:textId="77777777" w:rsidR="00000000" w:rsidRDefault="00A173A8">
            <w:pPr>
              <w:spacing w:after="100"/>
              <w:jc w:val="right"/>
              <w:rPr>
                <w:rFonts w:eastAsia="Times New Roman"/>
              </w:rPr>
            </w:pPr>
            <w:r>
              <w:rPr>
                <w:rFonts w:eastAsia="Times New Roman"/>
                <w:color w:val="000000"/>
                <w:sz w:val="16"/>
                <w:szCs w:val="16"/>
              </w:rPr>
              <w:t>523 </w:t>
            </w:r>
          </w:p>
        </w:tc>
        <w:tc>
          <w:tcPr>
            <w:tcW w:w="0" w:type="auto"/>
            <w:shd w:val="clear" w:color="auto" w:fill="FFFFFF"/>
            <w:tcMar>
              <w:top w:w="30" w:type="dxa"/>
              <w:left w:w="0" w:type="dxa"/>
              <w:bottom w:w="30" w:type="dxa"/>
              <w:right w:w="20" w:type="dxa"/>
            </w:tcMar>
            <w:vAlign w:val="center"/>
            <w:hideMark/>
          </w:tcPr>
          <w:p w14:paraId="4AACCC1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F52A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B2632C" w14:textId="77777777" w:rsidR="00000000" w:rsidRDefault="00A173A8">
            <w:pPr>
              <w:spacing w:after="100"/>
              <w:jc w:val="right"/>
              <w:rPr>
                <w:rFonts w:eastAsia="Times New Roman"/>
              </w:rPr>
            </w:pPr>
            <w:r>
              <w:rPr>
                <w:rFonts w:eastAsia="Times New Roman"/>
                <w:b/>
                <w:bCs/>
                <w:color w:val="000000"/>
                <w:sz w:val="16"/>
                <w:szCs w:val="16"/>
              </w:rPr>
              <w:t>994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4938A0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29F0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3BDF1B" w14:textId="77777777" w:rsidR="00000000" w:rsidRDefault="00A173A8">
            <w:pPr>
              <w:spacing w:after="100"/>
              <w:jc w:val="right"/>
              <w:rPr>
                <w:rFonts w:eastAsia="Times New Roman"/>
              </w:rPr>
            </w:pPr>
            <w:r>
              <w:rPr>
                <w:rFonts w:eastAsia="Times New Roman"/>
                <w:color w:val="000000"/>
                <w:sz w:val="16"/>
                <w:szCs w:val="16"/>
              </w:rPr>
              <w:t>995 </w:t>
            </w:r>
          </w:p>
        </w:tc>
        <w:tc>
          <w:tcPr>
            <w:tcW w:w="0" w:type="auto"/>
            <w:shd w:val="clear" w:color="auto" w:fill="FFFFFF"/>
            <w:tcMar>
              <w:top w:w="30" w:type="dxa"/>
              <w:left w:w="0" w:type="dxa"/>
              <w:bottom w:w="30" w:type="dxa"/>
              <w:right w:w="20" w:type="dxa"/>
            </w:tcMar>
            <w:vAlign w:val="center"/>
            <w:hideMark/>
          </w:tcPr>
          <w:p w14:paraId="75EAE98B" w14:textId="77777777" w:rsidR="00000000" w:rsidRDefault="00A173A8">
            <w:pPr>
              <w:spacing w:after="100"/>
              <w:jc w:val="right"/>
              <w:rPr>
                <w:rFonts w:eastAsia="Times New Roman"/>
              </w:rPr>
            </w:pPr>
          </w:p>
        </w:tc>
        <w:tc>
          <w:tcPr>
            <w:tcW w:w="0" w:type="auto"/>
            <w:gridSpan w:val="3"/>
            <w:vAlign w:val="center"/>
            <w:hideMark/>
          </w:tcPr>
          <w:p w14:paraId="500E786D" w14:textId="77777777" w:rsidR="00000000" w:rsidRDefault="00A173A8">
            <w:pPr>
              <w:spacing w:after="100"/>
              <w:jc w:val="right"/>
              <w:rPr>
                <w:rFonts w:eastAsia="Times New Roman"/>
                <w:sz w:val="20"/>
                <w:szCs w:val="20"/>
              </w:rPr>
            </w:pPr>
          </w:p>
        </w:tc>
        <w:tc>
          <w:tcPr>
            <w:tcW w:w="0" w:type="auto"/>
            <w:gridSpan w:val="3"/>
            <w:vAlign w:val="center"/>
            <w:hideMark/>
          </w:tcPr>
          <w:p w14:paraId="562EBC0C" w14:textId="77777777" w:rsidR="00000000" w:rsidRDefault="00A173A8">
            <w:pPr>
              <w:spacing w:after="100"/>
              <w:rPr>
                <w:rFonts w:eastAsia="Times New Roman"/>
                <w:sz w:val="20"/>
                <w:szCs w:val="20"/>
              </w:rPr>
            </w:pPr>
          </w:p>
        </w:tc>
      </w:tr>
      <w:tr w:rsidR="00000000" w14:paraId="6AA2DD8D" w14:textId="77777777">
        <w:trPr>
          <w:jc w:val="center"/>
        </w:trPr>
        <w:tc>
          <w:tcPr>
            <w:tcW w:w="0" w:type="auto"/>
            <w:gridSpan w:val="3"/>
            <w:shd w:val="clear" w:color="auto" w:fill="CCEEFF"/>
            <w:tcMar>
              <w:top w:w="30" w:type="dxa"/>
              <w:left w:w="245" w:type="dxa"/>
              <w:bottom w:w="30" w:type="dxa"/>
              <w:right w:w="20" w:type="dxa"/>
            </w:tcMar>
            <w:vAlign w:val="center"/>
            <w:hideMark/>
          </w:tcPr>
          <w:p w14:paraId="0C8DF46F" w14:textId="77777777" w:rsidR="00000000" w:rsidRDefault="00A173A8">
            <w:pPr>
              <w:spacing w:after="100"/>
              <w:rPr>
                <w:rFonts w:eastAsia="Times New Roman"/>
              </w:rPr>
            </w:pPr>
            <w:r>
              <w:rPr>
                <w:rFonts w:eastAsia="Times New Roman"/>
                <w:color w:val="000000"/>
                <w:sz w:val="16"/>
                <w:szCs w:val="16"/>
              </w:rPr>
              <w:t>Marketing</w:t>
            </w:r>
          </w:p>
        </w:tc>
        <w:tc>
          <w:tcPr>
            <w:tcW w:w="0" w:type="auto"/>
            <w:gridSpan w:val="3"/>
            <w:shd w:val="clear" w:color="auto" w:fill="CCEEFF"/>
            <w:tcMar>
              <w:top w:w="0" w:type="dxa"/>
              <w:left w:w="20" w:type="dxa"/>
              <w:bottom w:w="0" w:type="dxa"/>
              <w:right w:w="20" w:type="dxa"/>
            </w:tcMar>
            <w:vAlign w:val="center"/>
            <w:hideMark/>
          </w:tcPr>
          <w:p w14:paraId="3CE701F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543510D" w14:textId="77777777" w:rsidR="00000000" w:rsidRDefault="00A173A8">
            <w:pPr>
              <w:spacing w:after="100"/>
              <w:jc w:val="right"/>
              <w:rPr>
                <w:rFonts w:eastAsia="Times New Roman"/>
              </w:rPr>
            </w:pPr>
            <w:r>
              <w:rPr>
                <w:rFonts w:eastAsia="Times New Roman"/>
                <w:b/>
                <w:bCs/>
                <w:color w:val="000000"/>
                <w:sz w:val="16"/>
                <w:szCs w:val="16"/>
              </w:rPr>
              <w:t>1,003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2891DE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4D6AB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036D48" w14:textId="77777777" w:rsidR="00000000" w:rsidRDefault="00A173A8">
            <w:pPr>
              <w:spacing w:after="100"/>
              <w:jc w:val="right"/>
              <w:rPr>
                <w:rFonts w:eastAsia="Times New Roman"/>
              </w:rPr>
            </w:pPr>
            <w:r>
              <w:rPr>
                <w:rFonts w:eastAsia="Times New Roman"/>
                <w:color w:val="000000"/>
                <w:sz w:val="16"/>
                <w:szCs w:val="16"/>
              </w:rPr>
              <w:t>620 </w:t>
            </w:r>
          </w:p>
        </w:tc>
        <w:tc>
          <w:tcPr>
            <w:tcW w:w="0" w:type="auto"/>
            <w:shd w:val="clear" w:color="auto" w:fill="CCEEFF"/>
            <w:tcMar>
              <w:top w:w="30" w:type="dxa"/>
              <w:left w:w="0" w:type="dxa"/>
              <w:bottom w:w="30" w:type="dxa"/>
              <w:right w:w="20" w:type="dxa"/>
            </w:tcMar>
            <w:vAlign w:val="center"/>
            <w:hideMark/>
          </w:tcPr>
          <w:p w14:paraId="0884579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1468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9C4B05" w14:textId="77777777" w:rsidR="00000000" w:rsidRDefault="00A173A8">
            <w:pPr>
              <w:spacing w:after="100"/>
              <w:jc w:val="right"/>
              <w:rPr>
                <w:rFonts w:eastAsia="Times New Roman"/>
              </w:rPr>
            </w:pPr>
            <w:r>
              <w:rPr>
                <w:rFonts w:eastAsia="Times New Roman"/>
                <w:b/>
                <w:bCs/>
                <w:color w:val="000000"/>
                <w:sz w:val="16"/>
                <w:szCs w:val="16"/>
              </w:rPr>
              <w:t>1,921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9F6B05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7FC4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F6279B" w14:textId="77777777" w:rsidR="00000000" w:rsidRDefault="00A173A8">
            <w:pPr>
              <w:spacing w:after="100"/>
              <w:jc w:val="right"/>
              <w:rPr>
                <w:rFonts w:eastAsia="Times New Roman"/>
              </w:rPr>
            </w:pPr>
            <w:r>
              <w:rPr>
                <w:rFonts w:eastAsia="Times New Roman"/>
                <w:color w:val="000000"/>
                <w:sz w:val="16"/>
                <w:szCs w:val="16"/>
              </w:rPr>
              <w:t>1,121 </w:t>
            </w:r>
          </w:p>
        </w:tc>
        <w:tc>
          <w:tcPr>
            <w:tcW w:w="0" w:type="auto"/>
            <w:shd w:val="clear" w:color="auto" w:fill="CCEEFF"/>
            <w:tcMar>
              <w:top w:w="30" w:type="dxa"/>
              <w:left w:w="0" w:type="dxa"/>
              <w:bottom w:w="30" w:type="dxa"/>
              <w:right w:w="20" w:type="dxa"/>
            </w:tcMar>
            <w:vAlign w:val="center"/>
            <w:hideMark/>
          </w:tcPr>
          <w:p w14:paraId="155A29CC" w14:textId="77777777" w:rsidR="00000000" w:rsidRDefault="00A173A8">
            <w:pPr>
              <w:spacing w:after="100"/>
              <w:jc w:val="right"/>
              <w:rPr>
                <w:rFonts w:eastAsia="Times New Roman"/>
              </w:rPr>
            </w:pPr>
          </w:p>
        </w:tc>
        <w:tc>
          <w:tcPr>
            <w:tcW w:w="0" w:type="auto"/>
            <w:gridSpan w:val="3"/>
            <w:vAlign w:val="center"/>
            <w:hideMark/>
          </w:tcPr>
          <w:p w14:paraId="3F022B56" w14:textId="77777777" w:rsidR="00000000" w:rsidRDefault="00A173A8">
            <w:pPr>
              <w:spacing w:after="100"/>
              <w:jc w:val="right"/>
              <w:rPr>
                <w:rFonts w:eastAsia="Times New Roman"/>
                <w:sz w:val="20"/>
                <w:szCs w:val="20"/>
              </w:rPr>
            </w:pPr>
          </w:p>
        </w:tc>
        <w:tc>
          <w:tcPr>
            <w:tcW w:w="0" w:type="auto"/>
            <w:gridSpan w:val="3"/>
            <w:vAlign w:val="center"/>
            <w:hideMark/>
          </w:tcPr>
          <w:p w14:paraId="51454CDF" w14:textId="77777777" w:rsidR="00000000" w:rsidRDefault="00A173A8">
            <w:pPr>
              <w:spacing w:after="100"/>
              <w:rPr>
                <w:rFonts w:eastAsia="Times New Roman"/>
                <w:sz w:val="20"/>
                <w:szCs w:val="20"/>
              </w:rPr>
            </w:pPr>
          </w:p>
        </w:tc>
      </w:tr>
      <w:tr w:rsidR="00000000" w14:paraId="16B70B71" w14:textId="77777777">
        <w:trPr>
          <w:jc w:val="center"/>
        </w:trPr>
        <w:tc>
          <w:tcPr>
            <w:tcW w:w="0" w:type="auto"/>
            <w:gridSpan w:val="3"/>
            <w:shd w:val="clear" w:color="auto" w:fill="FFFFFF"/>
            <w:tcMar>
              <w:top w:w="30" w:type="dxa"/>
              <w:left w:w="245" w:type="dxa"/>
              <w:bottom w:w="30" w:type="dxa"/>
              <w:right w:w="20" w:type="dxa"/>
            </w:tcMar>
            <w:vAlign w:val="center"/>
            <w:hideMark/>
          </w:tcPr>
          <w:p w14:paraId="051A6290" w14:textId="77777777" w:rsidR="00000000" w:rsidRDefault="00A173A8">
            <w:pPr>
              <w:spacing w:after="100"/>
              <w:rPr>
                <w:rFonts w:eastAsia="Times New Roman"/>
              </w:rPr>
            </w:pPr>
            <w:r>
              <w:rPr>
                <w:rFonts w:eastAsia="Times New Roman"/>
                <w:color w:val="000000"/>
                <w:sz w:val="16"/>
                <w:szCs w:val="16"/>
              </w:rPr>
              <w:t>Professional services</w:t>
            </w:r>
          </w:p>
        </w:tc>
        <w:tc>
          <w:tcPr>
            <w:tcW w:w="0" w:type="auto"/>
            <w:gridSpan w:val="3"/>
            <w:shd w:val="clear" w:color="auto" w:fill="FFFFFF"/>
            <w:tcMar>
              <w:top w:w="0" w:type="dxa"/>
              <w:left w:w="20" w:type="dxa"/>
              <w:bottom w:w="0" w:type="dxa"/>
              <w:right w:w="20" w:type="dxa"/>
            </w:tcMar>
            <w:vAlign w:val="center"/>
            <w:hideMark/>
          </w:tcPr>
          <w:p w14:paraId="6043D6D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59626F0" w14:textId="77777777" w:rsidR="00000000" w:rsidRDefault="00A173A8">
            <w:pPr>
              <w:spacing w:after="100"/>
              <w:jc w:val="right"/>
              <w:rPr>
                <w:rFonts w:eastAsia="Times New Roman"/>
              </w:rPr>
            </w:pPr>
            <w:r>
              <w:rPr>
                <w:rFonts w:eastAsia="Times New Roman"/>
                <w:b/>
                <w:bCs/>
                <w:color w:val="000000"/>
                <w:sz w:val="16"/>
                <w:szCs w:val="16"/>
              </w:rPr>
              <w:t>458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C60927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DEB6F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1D16BD" w14:textId="77777777" w:rsidR="00000000" w:rsidRDefault="00A173A8">
            <w:pPr>
              <w:spacing w:after="100"/>
              <w:jc w:val="right"/>
              <w:rPr>
                <w:rFonts w:eastAsia="Times New Roman"/>
              </w:rPr>
            </w:pPr>
            <w:r>
              <w:rPr>
                <w:rFonts w:eastAsia="Times New Roman"/>
                <w:color w:val="000000"/>
                <w:sz w:val="16"/>
                <w:szCs w:val="16"/>
              </w:rPr>
              <w:t>341 </w:t>
            </w:r>
          </w:p>
        </w:tc>
        <w:tc>
          <w:tcPr>
            <w:tcW w:w="0" w:type="auto"/>
            <w:shd w:val="clear" w:color="auto" w:fill="FFFFFF"/>
            <w:tcMar>
              <w:top w:w="30" w:type="dxa"/>
              <w:left w:w="0" w:type="dxa"/>
              <w:bottom w:w="30" w:type="dxa"/>
              <w:right w:w="20" w:type="dxa"/>
            </w:tcMar>
            <w:vAlign w:val="center"/>
            <w:hideMark/>
          </w:tcPr>
          <w:p w14:paraId="4CFE2CB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77E4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84D419" w14:textId="77777777" w:rsidR="00000000" w:rsidRDefault="00A173A8">
            <w:pPr>
              <w:spacing w:after="100"/>
              <w:jc w:val="right"/>
              <w:rPr>
                <w:rFonts w:eastAsia="Times New Roman"/>
              </w:rPr>
            </w:pPr>
            <w:r>
              <w:rPr>
                <w:rFonts w:eastAsia="Times New Roman"/>
                <w:b/>
                <w:bCs/>
                <w:color w:val="000000"/>
                <w:sz w:val="16"/>
                <w:szCs w:val="16"/>
              </w:rPr>
              <w:t>855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2C9762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C7BE4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DB24B3" w14:textId="77777777" w:rsidR="00000000" w:rsidRDefault="00A173A8">
            <w:pPr>
              <w:spacing w:after="100"/>
              <w:jc w:val="right"/>
              <w:rPr>
                <w:rFonts w:eastAsia="Times New Roman"/>
              </w:rPr>
            </w:pPr>
            <w:r>
              <w:rPr>
                <w:rFonts w:eastAsia="Times New Roman"/>
                <w:color w:val="000000"/>
                <w:sz w:val="16"/>
                <w:szCs w:val="16"/>
              </w:rPr>
              <w:t>633 </w:t>
            </w:r>
          </w:p>
        </w:tc>
        <w:tc>
          <w:tcPr>
            <w:tcW w:w="0" w:type="auto"/>
            <w:shd w:val="clear" w:color="auto" w:fill="FFFFFF"/>
            <w:tcMar>
              <w:top w:w="30" w:type="dxa"/>
              <w:left w:w="0" w:type="dxa"/>
              <w:bottom w:w="30" w:type="dxa"/>
              <w:right w:w="20" w:type="dxa"/>
            </w:tcMar>
            <w:vAlign w:val="center"/>
            <w:hideMark/>
          </w:tcPr>
          <w:p w14:paraId="341BB361" w14:textId="77777777" w:rsidR="00000000" w:rsidRDefault="00A173A8">
            <w:pPr>
              <w:spacing w:after="100"/>
              <w:jc w:val="right"/>
              <w:rPr>
                <w:rFonts w:eastAsia="Times New Roman"/>
              </w:rPr>
            </w:pPr>
          </w:p>
        </w:tc>
        <w:tc>
          <w:tcPr>
            <w:tcW w:w="0" w:type="auto"/>
            <w:gridSpan w:val="3"/>
            <w:vAlign w:val="center"/>
            <w:hideMark/>
          </w:tcPr>
          <w:p w14:paraId="25BD6D9A" w14:textId="77777777" w:rsidR="00000000" w:rsidRDefault="00A173A8">
            <w:pPr>
              <w:spacing w:after="100"/>
              <w:jc w:val="right"/>
              <w:rPr>
                <w:rFonts w:eastAsia="Times New Roman"/>
                <w:sz w:val="20"/>
                <w:szCs w:val="20"/>
              </w:rPr>
            </w:pPr>
          </w:p>
        </w:tc>
        <w:tc>
          <w:tcPr>
            <w:tcW w:w="0" w:type="auto"/>
            <w:gridSpan w:val="3"/>
            <w:vAlign w:val="center"/>
            <w:hideMark/>
          </w:tcPr>
          <w:p w14:paraId="6F226CDB" w14:textId="77777777" w:rsidR="00000000" w:rsidRDefault="00A173A8">
            <w:pPr>
              <w:spacing w:after="100"/>
              <w:rPr>
                <w:rFonts w:eastAsia="Times New Roman"/>
                <w:sz w:val="20"/>
                <w:szCs w:val="20"/>
              </w:rPr>
            </w:pPr>
          </w:p>
        </w:tc>
      </w:tr>
      <w:tr w:rsidR="00000000" w14:paraId="4EE77346" w14:textId="77777777">
        <w:trPr>
          <w:jc w:val="center"/>
        </w:trPr>
        <w:tc>
          <w:tcPr>
            <w:tcW w:w="0" w:type="auto"/>
            <w:gridSpan w:val="3"/>
            <w:shd w:val="clear" w:color="auto" w:fill="CCEEFF"/>
            <w:tcMar>
              <w:top w:w="30" w:type="dxa"/>
              <w:left w:w="245" w:type="dxa"/>
              <w:bottom w:w="30" w:type="dxa"/>
              <w:right w:w="20" w:type="dxa"/>
            </w:tcMar>
            <w:vAlign w:val="center"/>
            <w:hideMark/>
          </w:tcPr>
          <w:p w14:paraId="073EA786" w14:textId="77777777" w:rsidR="00000000" w:rsidRDefault="00A173A8">
            <w:pPr>
              <w:spacing w:after="100"/>
              <w:rPr>
                <w:rFonts w:eastAsia="Times New Roman"/>
              </w:rPr>
            </w:pPr>
            <w:r>
              <w:rPr>
                <w:rFonts w:eastAsia="Times New Roman"/>
                <w:color w:val="000000"/>
                <w:sz w:val="16"/>
                <w:szCs w:val="16"/>
              </w:rPr>
              <w:t>Communications and data processing</w:t>
            </w:r>
          </w:p>
        </w:tc>
        <w:tc>
          <w:tcPr>
            <w:tcW w:w="0" w:type="auto"/>
            <w:gridSpan w:val="3"/>
            <w:shd w:val="clear" w:color="auto" w:fill="CCEEFF"/>
            <w:tcMar>
              <w:top w:w="0" w:type="dxa"/>
              <w:left w:w="20" w:type="dxa"/>
              <w:bottom w:w="0" w:type="dxa"/>
              <w:right w:w="20" w:type="dxa"/>
            </w:tcMar>
            <w:vAlign w:val="center"/>
            <w:hideMark/>
          </w:tcPr>
          <w:p w14:paraId="09AD7F5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FFC221F" w14:textId="77777777" w:rsidR="00000000" w:rsidRDefault="00A173A8">
            <w:pPr>
              <w:spacing w:after="100"/>
              <w:jc w:val="right"/>
              <w:rPr>
                <w:rFonts w:eastAsia="Times New Roman"/>
              </w:rPr>
            </w:pPr>
            <w:r>
              <w:rPr>
                <w:rFonts w:eastAsia="Times New Roman"/>
                <w:b/>
                <w:bCs/>
                <w:color w:val="000000"/>
                <w:sz w:val="16"/>
                <w:szCs w:val="16"/>
              </w:rPr>
              <w:t>339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6B5EB7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16CC6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AD8B80" w14:textId="77777777" w:rsidR="00000000" w:rsidRDefault="00A173A8">
            <w:pPr>
              <w:spacing w:after="100"/>
              <w:jc w:val="right"/>
              <w:rPr>
                <w:rFonts w:eastAsia="Times New Roman"/>
              </w:rPr>
            </w:pPr>
            <w:r>
              <w:rPr>
                <w:rFonts w:eastAsia="Times New Roman"/>
                <w:color w:val="000000"/>
                <w:sz w:val="16"/>
                <w:szCs w:val="16"/>
              </w:rPr>
              <w:t>315 </w:t>
            </w:r>
          </w:p>
        </w:tc>
        <w:tc>
          <w:tcPr>
            <w:tcW w:w="0" w:type="auto"/>
            <w:shd w:val="clear" w:color="auto" w:fill="CCEEFF"/>
            <w:tcMar>
              <w:top w:w="30" w:type="dxa"/>
              <w:left w:w="0" w:type="dxa"/>
              <w:bottom w:w="30" w:type="dxa"/>
              <w:right w:w="20" w:type="dxa"/>
            </w:tcMar>
            <w:vAlign w:val="center"/>
            <w:hideMark/>
          </w:tcPr>
          <w:p w14:paraId="39CD8AF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57E01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3BE5EF" w14:textId="77777777" w:rsidR="00000000" w:rsidRDefault="00A173A8">
            <w:pPr>
              <w:spacing w:after="100"/>
              <w:jc w:val="right"/>
              <w:rPr>
                <w:rFonts w:eastAsia="Times New Roman"/>
              </w:rPr>
            </w:pPr>
            <w:r>
              <w:rPr>
                <w:rFonts w:eastAsia="Times New Roman"/>
                <w:b/>
                <w:bCs/>
                <w:color w:val="000000"/>
                <w:sz w:val="16"/>
                <w:szCs w:val="16"/>
              </w:rPr>
              <w:t>678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7F0E20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C2F6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54B00E" w14:textId="77777777" w:rsidR="00000000" w:rsidRDefault="00A173A8">
            <w:pPr>
              <w:spacing w:after="100"/>
              <w:jc w:val="right"/>
              <w:rPr>
                <w:rFonts w:eastAsia="Times New Roman"/>
              </w:rPr>
            </w:pPr>
            <w:r>
              <w:rPr>
                <w:rFonts w:eastAsia="Times New Roman"/>
                <w:color w:val="000000"/>
                <w:sz w:val="16"/>
                <w:szCs w:val="16"/>
              </w:rPr>
              <w:t>617 </w:t>
            </w:r>
          </w:p>
        </w:tc>
        <w:tc>
          <w:tcPr>
            <w:tcW w:w="0" w:type="auto"/>
            <w:shd w:val="clear" w:color="auto" w:fill="CCEEFF"/>
            <w:tcMar>
              <w:top w:w="30" w:type="dxa"/>
              <w:left w:w="0" w:type="dxa"/>
              <w:bottom w:w="30" w:type="dxa"/>
              <w:right w:w="20" w:type="dxa"/>
            </w:tcMar>
            <w:vAlign w:val="center"/>
            <w:hideMark/>
          </w:tcPr>
          <w:p w14:paraId="06F2F74F" w14:textId="77777777" w:rsidR="00000000" w:rsidRDefault="00A173A8">
            <w:pPr>
              <w:spacing w:after="100"/>
              <w:jc w:val="right"/>
              <w:rPr>
                <w:rFonts w:eastAsia="Times New Roman"/>
              </w:rPr>
            </w:pPr>
          </w:p>
        </w:tc>
        <w:tc>
          <w:tcPr>
            <w:tcW w:w="0" w:type="auto"/>
            <w:gridSpan w:val="3"/>
            <w:vAlign w:val="center"/>
            <w:hideMark/>
          </w:tcPr>
          <w:p w14:paraId="32064CAB" w14:textId="77777777" w:rsidR="00000000" w:rsidRDefault="00A173A8">
            <w:pPr>
              <w:spacing w:after="100"/>
              <w:jc w:val="right"/>
              <w:rPr>
                <w:rFonts w:eastAsia="Times New Roman"/>
                <w:sz w:val="20"/>
                <w:szCs w:val="20"/>
              </w:rPr>
            </w:pPr>
          </w:p>
        </w:tc>
        <w:tc>
          <w:tcPr>
            <w:tcW w:w="0" w:type="auto"/>
            <w:gridSpan w:val="3"/>
            <w:vAlign w:val="center"/>
            <w:hideMark/>
          </w:tcPr>
          <w:p w14:paraId="36B81416" w14:textId="77777777" w:rsidR="00000000" w:rsidRDefault="00A173A8">
            <w:pPr>
              <w:spacing w:after="100"/>
              <w:rPr>
                <w:rFonts w:eastAsia="Times New Roman"/>
                <w:sz w:val="20"/>
                <w:szCs w:val="20"/>
              </w:rPr>
            </w:pPr>
          </w:p>
        </w:tc>
      </w:tr>
      <w:tr w:rsidR="00000000" w14:paraId="6A4A3ECB" w14:textId="77777777">
        <w:trPr>
          <w:jc w:val="center"/>
        </w:trPr>
        <w:tc>
          <w:tcPr>
            <w:tcW w:w="0" w:type="auto"/>
            <w:gridSpan w:val="3"/>
            <w:shd w:val="clear" w:color="auto" w:fill="FFFFFF"/>
            <w:tcMar>
              <w:top w:w="30" w:type="dxa"/>
              <w:left w:w="245" w:type="dxa"/>
              <w:bottom w:w="30" w:type="dxa"/>
              <w:right w:w="20" w:type="dxa"/>
            </w:tcMar>
            <w:vAlign w:val="center"/>
            <w:hideMark/>
          </w:tcPr>
          <w:p w14:paraId="203E11C2" w14:textId="77777777" w:rsidR="00000000" w:rsidRDefault="00A173A8">
            <w:pPr>
              <w:spacing w:after="100"/>
              <w:rPr>
                <w:rFonts w:eastAsia="Times New Roman"/>
              </w:rPr>
            </w:pPr>
            <w:r>
              <w:rPr>
                <w:rFonts w:eastAsia="Times New Roman"/>
                <w:color w:val="000000"/>
                <w:sz w:val="16"/>
                <w:szCs w:val="16"/>
              </w:rPr>
              <w:t>Amortization of intangibles</w:t>
            </w:r>
          </w:p>
        </w:tc>
        <w:tc>
          <w:tcPr>
            <w:tcW w:w="0" w:type="auto"/>
            <w:gridSpan w:val="3"/>
            <w:shd w:val="clear" w:color="auto" w:fill="FFFFFF"/>
            <w:tcMar>
              <w:top w:w="0" w:type="dxa"/>
              <w:left w:w="20" w:type="dxa"/>
              <w:bottom w:w="0" w:type="dxa"/>
              <w:right w:w="20" w:type="dxa"/>
            </w:tcMar>
            <w:vAlign w:val="center"/>
            <w:hideMark/>
          </w:tcPr>
          <w:p w14:paraId="083C045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17F2E50" w14:textId="77777777" w:rsidR="00000000" w:rsidRDefault="00A173A8">
            <w:pPr>
              <w:spacing w:after="100"/>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720691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C496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490D03" w14:textId="77777777" w:rsidR="00000000" w:rsidRDefault="00A173A8">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14:paraId="3784EF5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DEAFA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0470DA" w14:textId="77777777" w:rsidR="00000000" w:rsidRDefault="00A173A8">
            <w:pPr>
              <w:spacing w:after="100"/>
              <w:jc w:val="right"/>
              <w:rPr>
                <w:rFonts w:eastAsia="Times New Roman"/>
              </w:rPr>
            </w:pPr>
            <w:r>
              <w:rPr>
                <w:rFonts w:eastAsia="Times New Roman"/>
                <w:b/>
                <w:bCs/>
                <w:color w:val="000000"/>
                <w:sz w:val="16"/>
                <w:szCs w:val="16"/>
              </w:rPr>
              <w:t>28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06A52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E5706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15097D" w14:textId="77777777" w:rsidR="00000000" w:rsidRDefault="00A173A8">
            <w:pPr>
              <w:spacing w:after="100"/>
              <w:jc w:val="right"/>
              <w:rPr>
                <w:rFonts w:eastAsia="Times New Roman"/>
              </w:rPr>
            </w:pPr>
            <w:r>
              <w:rPr>
                <w:rFonts w:eastAsia="Times New Roman"/>
                <w:color w:val="000000"/>
                <w:sz w:val="16"/>
                <w:szCs w:val="16"/>
              </w:rPr>
              <w:t>11 </w:t>
            </w:r>
          </w:p>
        </w:tc>
        <w:tc>
          <w:tcPr>
            <w:tcW w:w="0" w:type="auto"/>
            <w:shd w:val="clear" w:color="auto" w:fill="FFFFFF"/>
            <w:tcMar>
              <w:top w:w="30" w:type="dxa"/>
              <w:left w:w="0" w:type="dxa"/>
              <w:bottom w:w="30" w:type="dxa"/>
              <w:right w:w="20" w:type="dxa"/>
            </w:tcMar>
            <w:vAlign w:val="center"/>
            <w:hideMark/>
          </w:tcPr>
          <w:p w14:paraId="1C19C87E" w14:textId="77777777" w:rsidR="00000000" w:rsidRDefault="00A173A8">
            <w:pPr>
              <w:spacing w:after="100"/>
              <w:jc w:val="right"/>
              <w:rPr>
                <w:rFonts w:eastAsia="Times New Roman"/>
              </w:rPr>
            </w:pPr>
          </w:p>
        </w:tc>
        <w:tc>
          <w:tcPr>
            <w:tcW w:w="0" w:type="auto"/>
            <w:gridSpan w:val="3"/>
            <w:vAlign w:val="center"/>
            <w:hideMark/>
          </w:tcPr>
          <w:p w14:paraId="242D5993" w14:textId="77777777" w:rsidR="00000000" w:rsidRDefault="00A173A8">
            <w:pPr>
              <w:spacing w:after="100"/>
              <w:jc w:val="right"/>
              <w:rPr>
                <w:rFonts w:eastAsia="Times New Roman"/>
                <w:sz w:val="20"/>
                <w:szCs w:val="20"/>
              </w:rPr>
            </w:pPr>
          </w:p>
        </w:tc>
        <w:tc>
          <w:tcPr>
            <w:tcW w:w="0" w:type="auto"/>
            <w:gridSpan w:val="3"/>
            <w:vAlign w:val="center"/>
            <w:hideMark/>
          </w:tcPr>
          <w:p w14:paraId="7AD22109" w14:textId="77777777" w:rsidR="00000000" w:rsidRDefault="00A173A8">
            <w:pPr>
              <w:spacing w:after="100"/>
              <w:rPr>
                <w:rFonts w:eastAsia="Times New Roman"/>
                <w:sz w:val="20"/>
                <w:szCs w:val="20"/>
              </w:rPr>
            </w:pPr>
          </w:p>
        </w:tc>
      </w:tr>
      <w:tr w:rsidR="00000000" w14:paraId="608D1415" w14:textId="77777777">
        <w:trPr>
          <w:jc w:val="center"/>
        </w:trPr>
        <w:tc>
          <w:tcPr>
            <w:tcW w:w="0" w:type="auto"/>
            <w:gridSpan w:val="3"/>
            <w:shd w:val="clear" w:color="auto" w:fill="CCEEFF"/>
            <w:tcMar>
              <w:top w:w="30" w:type="dxa"/>
              <w:left w:w="245" w:type="dxa"/>
              <w:bottom w:w="30" w:type="dxa"/>
              <w:right w:w="20" w:type="dxa"/>
            </w:tcMar>
            <w:vAlign w:val="center"/>
            <w:hideMark/>
          </w:tcPr>
          <w:p w14:paraId="3D57DA92" w14:textId="77777777" w:rsidR="00000000" w:rsidRDefault="00A173A8">
            <w:pPr>
              <w:spacing w:after="100"/>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14:paraId="6E68F14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AFDDDC8" w14:textId="77777777" w:rsidR="00000000" w:rsidRDefault="00A173A8">
            <w:pPr>
              <w:spacing w:after="100"/>
              <w:jc w:val="right"/>
              <w:rPr>
                <w:rFonts w:eastAsia="Times New Roman"/>
              </w:rPr>
            </w:pPr>
            <w:r>
              <w:rPr>
                <w:rFonts w:eastAsia="Times New Roman"/>
                <w:b/>
                <w:bCs/>
                <w:color w:val="000000"/>
                <w:sz w:val="16"/>
                <w:szCs w:val="16"/>
              </w:rPr>
              <w:t>342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8320E2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5FFD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44460E" w14:textId="77777777" w:rsidR="00000000" w:rsidRDefault="00A173A8">
            <w:pPr>
              <w:spacing w:after="100"/>
              <w:jc w:val="right"/>
              <w:rPr>
                <w:rFonts w:eastAsia="Times New Roman"/>
              </w:rPr>
            </w:pPr>
            <w:r>
              <w:rPr>
                <w:rFonts w:eastAsia="Times New Roman"/>
                <w:color w:val="000000"/>
                <w:sz w:val="16"/>
                <w:szCs w:val="16"/>
              </w:rPr>
              <w:t>381 </w:t>
            </w:r>
          </w:p>
        </w:tc>
        <w:tc>
          <w:tcPr>
            <w:tcW w:w="0" w:type="auto"/>
            <w:shd w:val="clear" w:color="auto" w:fill="CCEEFF"/>
            <w:tcMar>
              <w:top w:w="30" w:type="dxa"/>
              <w:left w:w="0" w:type="dxa"/>
              <w:bottom w:w="30" w:type="dxa"/>
              <w:right w:w="20" w:type="dxa"/>
            </w:tcMar>
            <w:vAlign w:val="center"/>
            <w:hideMark/>
          </w:tcPr>
          <w:p w14:paraId="774038F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D71AB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828284E" w14:textId="77777777" w:rsidR="00000000" w:rsidRDefault="00A173A8">
            <w:pPr>
              <w:spacing w:after="100"/>
              <w:jc w:val="right"/>
              <w:rPr>
                <w:rFonts w:eastAsia="Times New Roman"/>
              </w:rPr>
            </w:pPr>
            <w:r>
              <w:rPr>
                <w:rFonts w:eastAsia="Times New Roman"/>
                <w:b/>
                <w:bCs/>
                <w:color w:val="000000"/>
                <w:sz w:val="16"/>
                <w:szCs w:val="16"/>
              </w:rPr>
              <w:t>686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79F2C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BAD4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E32960" w14:textId="77777777" w:rsidR="00000000" w:rsidRDefault="00A173A8">
            <w:pPr>
              <w:spacing w:after="100"/>
              <w:jc w:val="right"/>
              <w:rPr>
                <w:rFonts w:eastAsia="Times New Roman"/>
              </w:rPr>
            </w:pPr>
            <w:r>
              <w:rPr>
                <w:rFonts w:eastAsia="Times New Roman"/>
                <w:color w:val="000000"/>
                <w:sz w:val="16"/>
                <w:szCs w:val="16"/>
              </w:rPr>
              <w:t>701 </w:t>
            </w:r>
          </w:p>
        </w:tc>
        <w:tc>
          <w:tcPr>
            <w:tcW w:w="0" w:type="auto"/>
            <w:shd w:val="clear" w:color="auto" w:fill="CCEEFF"/>
            <w:tcMar>
              <w:top w:w="30" w:type="dxa"/>
              <w:left w:w="0" w:type="dxa"/>
              <w:bottom w:w="30" w:type="dxa"/>
              <w:right w:w="20" w:type="dxa"/>
            </w:tcMar>
            <w:vAlign w:val="center"/>
            <w:hideMark/>
          </w:tcPr>
          <w:p w14:paraId="1EB724A3" w14:textId="77777777" w:rsidR="00000000" w:rsidRDefault="00A173A8">
            <w:pPr>
              <w:spacing w:after="100"/>
              <w:jc w:val="right"/>
              <w:rPr>
                <w:rFonts w:eastAsia="Times New Roman"/>
              </w:rPr>
            </w:pPr>
          </w:p>
        </w:tc>
        <w:tc>
          <w:tcPr>
            <w:tcW w:w="0" w:type="auto"/>
            <w:gridSpan w:val="3"/>
            <w:vAlign w:val="center"/>
            <w:hideMark/>
          </w:tcPr>
          <w:p w14:paraId="7305561B" w14:textId="77777777" w:rsidR="00000000" w:rsidRDefault="00A173A8">
            <w:pPr>
              <w:spacing w:after="100"/>
              <w:jc w:val="right"/>
              <w:rPr>
                <w:rFonts w:eastAsia="Times New Roman"/>
                <w:sz w:val="20"/>
                <w:szCs w:val="20"/>
              </w:rPr>
            </w:pPr>
          </w:p>
        </w:tc>
        <w:tc>
          <w:tcPr>
            <w:tcW w:w="0" w:type="auto"/>
            <w:gridSpan w:val="3"/>
            <w:vAlign w:val="center"/>
            <w:hideMark/>
          </w:tcPr>
          <w:p w14:paraId="2EC5424B" w14:textId="77777777" w:rsidR="00000000" w:rsidRDefault="00A173A8">
            <w:pPr>
              <w:spacing w:after="100"/>
              <w:rPr>
                <w:rFonts w:eastAsia="Times New Roman"/>
                <w:sz w:val="20"/>
                <w:szCs w:val="20"/>
              </w:rPr>
            </w:pPr>
          </w:p>
        </w:tc>
      </w:tr>
      <w:tr w:rsidR="00000000" w14:paraId="75FBE5BB" w14:textId="77777777">
        <w:trPr>
          <w:jc w:val="center"/>
        </w:trPr>
        <w:tc>
          <w:tcPr>
            <w:tcW w:w="0" w:type="auto"/>
            <w:gridSpan w:val="3"/>
            <w:shd w:val="clear" w:color="auto" w:fill="FFFFFF"/>
            <w:tcMar>
              <w:top w:w="30" w:type="dxa"/>
              <w:left w:w="20" w:type="dxa"/>
              <w:bottom w:w="30" w:type="dxa"/>
              <w:right w:w="20" w:type="dxa"/>
            </w:tcMar>
            <w:vAlign w:val="center"/>
            <w:hideMark/>
          </w:tcPr>
          <w:p w14:paraId="1F48457E" w14:textId="77777777" w:rsidR="00000000" w:rsidRDefault="00A173A8">
            <w:pPr>
              <w:spacing w:after="100"/>
              <w:rPr>
                <w:rFonts w:eastAsia="Times New Roman"/>
              </w:rPr>
            </w:pPr>
            <w:r>
              <w:rPr>
                <w:rFonts w:eastAsia="Times New Roman"/>
                <w:color w:val="000000"/>
                <w:sz w:val="16"/>
                <w:szCs w:val="16"/>
              </w:rPr>
              <w:t>Total non-interest expense</w:t>
            </w:r>
          </w:p>
        </w:tc>
        <w:tc>
          <w:tcPr>
            <w:tcW w:w="0" w:type="auto"/>
            <w:gridSpan w:val="3"/>
            <w:shd w:val="clear" w:color="auto" w:fill="FFFFFF"/>
            <w:tcMar>
              <w:top w:w="0" w:type="dxa"/>
              <w:left w:w="20" w:type="dxa"/>
              <w:bottom w:w="0" w:type="dxa"/>
              <w:right w:w="20" w:type="dxa"/>
            </w:tcMar>
            <w:vAlign w:val="center"/>
            <w:hideMark/>
          </w:tcPr>
          <w:p w14:paraId="329EC0C6"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F564925" w14:textId="77777777" w:rsidR="00000000" w:rsidRDefault="00A173A8">
            <w:pPr>
              <w:spacing w:after="100"/>
              <w:jc w:val="right"/>
              <w:rPr>
                <w:rFonts w:eastAsia="Times New Roman"/>
              </w:rPr>
            </w:pPr>
            <w:r>
              <w:rPr>
                <w:rFonts w:eastAsia="Times New Roman"/>
                <w:b/>
                <w:bCs/>
                <w:color w:val="000000"/>
                <w:sz w:val="16"/>
                <w:szCs w:val="16"/>
              </w:rPr>
              <w:t>4,583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C40C26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6F62A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B2799B9" w14:textId="77777777" w:rsidR="00000000" w:rsidRDefault="00A173A8">
            <w:pPr>
              <w:spacing w:after="100"/>
              <w:jc w:val="right"/>
              <w:rPr>
                <w:rFonts w:eastAsia="Times New Roman"/>
              </w:rPr>
            </w:pPr>
            <w:r>
              <w:rPr>
                <w:rFonts w:eastAsia="Times New Roman"/>
                <w:color w:val="000000"/>
                <w:sz w:val="16"/>
                <w:szCs w:val="16"/>
              </w:rPr>
              <w:t>3,966 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94122E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E3CEF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8874FD7" w14:textId="77777777" w:rsidR="00000000" w:rsidRDefault="00A173A8">
            <w:pPr>
              <w:spacing w:after="100"/>
              <w:jc w:val="right"/>
              <w:rPr>
                <w:rFonts w:eastAsia="Times New Roman"/>
              </w:rPr>
            </w:pPr>
            <w:r>
              <w:rPr>
                <w:rFonts w:eastAsia="Times New Roman"/>
                <w:b/>
                <w:bCs/>
                <w:color w:val="000000"/>
                <w:sz w:val="16"/>
                <w:szCs w:val="16"/>
              </w:rPr>
              <w:t>9,134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A0EC5D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8C80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AECF92" w14:textId="77777777" w:rsidR="00000000" w:rsidRDefault="00A173A8">
            <w:pPr>
              <w:spacing w:after="100"/>
              <w:jc w:val="right"/>
              <w:rPr>
                <w:rFonts w:eastAsia="Times New Roman"/>
              </w:rPr>
            </w:pPr>
            <w:r>
              <w:rPr>
                <w:rFonts w:eastAsia="Times New Roman"/>
                <w:color w:val="000000"/>
                <w:sz w:val="16"/>
                <w:szCs w:val="16"/>
              </w:rPr>
              <w:t>7,706 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55DE6C3" w14:textId="77777777" w:rsidR="00000000" w:rsidRDefault="00A173A8">
            <w:pPr>
              <w:spacing w:after="100"/>
              <w:jc w:val="right"/>
              <w:rPr>
                <w:rFonts w:eastAsia="Times New Roman"/>
              </w:rPr>
            </w:pPr>
          </w:p>
        </w:tc>
        <w:tc>
          <w:tcPr>
            <w:tcW w:w="0" w:type="auto"/>
            <w:gridSpan w:val="3"/>
            <w:vAlign w:val="center"/>
            <w:hideMark/>
          </w:tcPr>
          <w:p w14:paraId="3E6A8EB2" w14:textId="77777777" w:rsidR="00000000" w:rsidRDefault="00A173A8">
            <w:pPr>
              <w:spacing w:after="100"/>
              <w:jc w:val="right"/>
              <w:rPr>
                <w:rFonts w:eastAsia="Times New Roman"/>
                <w:sz w:val="20"/>
                <w:szCs w:val="20"/>
              </w:rPr>
            </w:pPr>
          </w:p>
        </w:tc>
        <w:tc>
          <w:tcPr>
            <w:tcW w:w="0" w:type="auto"/>
            <w:gridSpan w:val="3"/>
            <w:vAlign w:val="center"/>
            <w:hideMark/>
          </w:tcPr>
          <w:p w14:paraId="18F123EC" w14:textId="77777777" w:rsidR="00000000" w:rsidRDefault="00A173A8">
            <w:pPr>
              <w:spacing w:after="100"/>
              <w:rPr>
                <w:rFonts w:eastAsia="Times New Roman"/>
                <w:sz w:val="20"/>
                <w:szCs w:val="20"/>
              </w:rPr>
            </w:pPr>
          </w:p>
        </w:tc>
      </w:tr>
      <w:tr w:rsidR="00000000" w14:paraId="2F579BB4" w14:textId="77777777">
        <w:trPr>
          <w:jc w:val="center"/>
        </w:trPr>
        <w:tc>
          <w:tcPr>
            <w:tcW w:w="0" w:type="auto"/>
            <w:gridSpan w:val="3"/>
            <w:shd w:val="clear" w:color="auto" w:fill="CCEEFF"/>
            <w:tcMar>
              <w:top w:w="30" w:type="dxa"/>
              <w:left w:w="20" w:type="dxa"/>
              <w:bottom w:w="30" w:type="dxa"/>
              <w:right w:w="20" w:type="dxa"/>
            </w:tcMar>
            <w:vAlign w:val="center"/>
            <w:hideMark/>
          </w:tcPr>
          <w:p w14:paraId="5BA91E55" w14:textId="77777777" w:rsidR="00000000" w:rsidRDefault="00A173A8">
            <w:pPr>
              <w:spacing w:after="100"/>
              <w:rPr>
                <w:rFonts w:eastAsia="Times New Roman"/>
              </w:rPr>
            </w:pPr>
            <w:r>
              <w:rPr>
                <w:rFonts w:eastAsia="Times New Roman"/>
                <w:color w:val="000000"/>
                <w:sz w:val="16"/>
                <w:szCs w:val="16"/>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14:paraId="01FD9633"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877C48B" w14:textId="77777777" w:rsidR="00000000" w:rsidRDefault="00A173A8">
            <w:pPr>
              <w:spacing w:after="100"/>
              <w:jc w:val="right"/>
              <w:rPr>
                <w:rFonts w:eastAsia="Times New Roman"/>
              </w:rPr>
            </w:pPr>
            <w:r>
              <w:rPr>
                <w:rFonts w:eastAsia="Times New Roman"/>
                <w:b/>
                <w:bCs/>
                <w:color w:val="000000"/>
                <w:sz w:val="16"/>
                <w:szCs w:val="16"/>
              </w:rPr>
              <w:t>2,564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BBF42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3072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85AAAC" w14:textId="77777777" w:rsidR="00000000" w:rsidRDefault="00A173A8">
            <w:pPr>
              <w:spacing w:after="100"/>
              <w:jc w:val="right"/>
              <w:rPr>
                <w:rFonts w:eastAsia="Times New Roman"/>
              </w:rPr>
            </w:pPr>
            <w:r>
              <w:rPr>
                <w:rFonts w:eastAsia="Times New Roman"/>
                <w:color w:val="000000"/>
                <w:sz w:val="16"/>
                <w:szCs w:val="16"/>
              </w:rPr>
              <w:t>4,568 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FF163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9518F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4EC20A3" w14:textId="77777777" w:rsidR="00000000" w:rsidRDefault="00A173A8">
            <w:pPr>
              <w:spacing w:after="100"/>
              <w:jc w:val="right"/>
              <w:rPr>
                <w:rFonts w:eastAsia="Times New Roman"/>
              </w:rPr>
            </w:pPr>
            <w:r>
              <w:rPr>
                <w:rFonts w:eastAsia="Times New Roman"/>
                <w:b/>
                <w:bCs/>
                <w:color w:val="000000"/>
                <w:sz w:val="16"/>
                <w:szCs w:val="16"/>
              </w:rPr>
              <w:t>5,509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ACE3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77B9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3CAFC9" w14:textId="77777777" w:rsidR="00000000" w:rsidRDefault="00A173A8">
            <w:pPr>
              <w:spacing w:after="100"/>
              <w:jc w:val="right"/>
              <w:rPr>
                <w:rFonts w:eastAsia="Times New Roman"/>
              </w:rPr>
            </w:pPr>
            <w:r>
              <w:rPr>
                <w:rFonts w:eastAsia="Times New Roman"/>
                <w:color w:val="000000"/>
                <w:sz w:val="16"/>
                <w:szCs w:val="16"/>
              </w:rPr>
              <w:t>8,764 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3095BF" w14:textId="77777777" w:rsidR="00000000" w:rsidRDefault="00A173A8">
            <w:pPr>
              <w:spacing w:after="100"/>
              <w:jc w:val="right"/>
              <w:rPr>
                <w:rFonts w:eastAsia="Times New Roman"/>
              </w:rPr>
            </w:pPr>
          </w:p>
        </w:tc>
        <w:tc>
          <w:tcPr>
            <w:tcW w:w="0" w:type="auto"/>
            <w:gridSpan w:val="3"/>
            <w:vAlign w:val="center"/>
            <w:hideMark/>
          </w:tcPr>
          <w:p w14:paraId="7DEDB798" w14:textId="77777777" w:rsidR="00000000" w:rsidRDefault="00A173A8">
            <w:pPr>
              <w:spacing w:after="100"/>
              <w:jc w:val="right"/>
              <w:rPr>
                <w:rFonts w:eastAsia="Times New Roman"/>
                <w:sz w:val="20"/>
                <w:szCs w:val="20"/>
              </w:rPr>
            </w:pPr>
          </w:p>
        </w:tc>
        <w:tc>
          <w:tcPr>
            <w:tcW w:w="0" w:type="auto"/>
            <w:gridSpan w:val="3"/>
            <w:vAlign w:val="center"/>
            <w:hideMark/>
          </w:tcPr>
          <w:p w14:paraId="23A9420C" w14:textId="77777777" w:rsidR="00000000" w:rsidRDefault="00A173A8">
            <w:pPr>
              <w:spacing w:after="100"/>
              <w:rPr>
                <w:rFonts w:eastAsia="Times New Roman"/>
                <w:sz w:val="20"/>
                <w:szCs w:val="20"/>
              </w:rPr>
            </w:pPr>
          </w:p>
        </w:tc>
      </w:tr>
      <w:tr w:rsidR="00000000" w14:paraId="5E359FE3" w14:textId="77777777">
        <w:trPr>
          <w:jc w:val="center"/>
        </w:trPr>
        <w:tc>
          <w:tcPr>
            <w:tcW w:w="0" w:type="auto"/>
            <w:gridSpan w:val="3"/>
            <w:shd w:val="clear" w:color="auto" w:fill="FFFFFF"/>
            <w:tcMar>
              <w:top w:w="30" w:type="dxa"/>
              <w:left w:w="20" w:type="dxa"/>
              <w:bottom w:w="30" w:type="dxa"/>
              <w:right w:w="20" w:type="dxa"/>
            </w:tcMar>
            <w:vAlign w:val="center"/>
            <w:hideMark/>
          </w:tcPr>
          <w:p w14:paraId="4EFD1DF5" w14:textId="77777777" w:rsidR="00000000" w:rsidRDefault="00A173A8">
            <w:pPr>
              <w:spacing w:after="100"/>
              <w:rPr>
                <w:rFonts w:eastAsia="Times New Roman"/>
              </w:rPr>
            </w:pPr>
            <w:r>
              <w:rPr>
                <w:rFonts w:eastAsia="Times New Roman"/>
                <w:color w:val="000000"/>
                <w:sz w:val="16"/>
                <w:szCs w:val="16"/>
              </w:rPr>
              <w:t>Income tax provision</w:t>
            </w:r>
          </w:p>
        </w:tc>
        <w:tc>
          <w:tcPr>
            <w:tcW w:w="0" w:type="auto"/>
            <w:gridSpan w:val="3"/>
            <w:shd w:val="clear" w:color="auto" w:fill="FFFFFF"/>
            <w:tcMar>
              <w:top w:w="0" w:type="dxa"/>
              <w:left w:w="20" w:type="dxa"/>
              <w:bottom w:w="0" w:type="dxa"/>
              <w:right w:w="20" w:type="dxa"/>
            </w:tcMar>
            <w:vAlign w:val="center"/>
            <w:hideMark/>
          </w:tcPr>
          <w:p w14:paraId="5F732A7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031686E" w14:textId="77777777" w:rsidR="00000000" w:rsidRDefault="00A173A8">
            <w:pPr>
              <w:spacing w:after="100"/>
              <w:jc w:val="right"/>
              <w:rPr>
                <w:rFonts w:eastAsia="Times New Roman"/>
              </w:rPr>
            </w:pPr>
            <w:r>
              <w:rPr>
                <w:rFonts w:eastAsia="Times New Roman"/>
                <w:b/>
                <w:bCs/>
                <w:color w:val="000000"/>
                <w:sz w:val="16"/>
                <w:szCs w:val="16"/>
              </w:rPr>
              <w:t>533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280233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309D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2D13F6" w14:textId="77777777" w:rsidR="00000000" w:rsidRDefault="00A173A8">
            <w:pPr>
              <w:spacing w:after="100"/>
              <w:jc w:val="right"/>
              <w:rPr>
                <w:rFonts w:eastAsia="Times New Roman"/>
              </w:rPr>
            </w:pPr>
            <w:r>
              <w:rPr>
                <w:rFonts w:eastAsia="Times New Roman"/>
                <w:color w:val="000000"/>
                <w:sz w:val="16"/>
                <w:szCs w:val="16"/>
              </w:rPr>
              <w:t>1,031 </w:t>
            </w:r>
          </w:p>
        </w:tc>
        <w:tc>
          <w:tcPr>
            <w:tcW w:w="0" w:type="auto"/>
            <w:shd w:val="clear" w:color="auto" w:fill="FFFFFF"/>
            <w:tcMar>
              <w:top w:w="30" w:type="dxa"/>
              <w:left w:w="0" w:type="dxa"/>
              <w:bottom w:w="30" w:type="dxa"/>
              <w:right w:w="20" w:type="dxa"/>
            </w:tcMar>
            <w:vAlign w:val="center"/>
            <w:hideMark/>
          </w:tcPr>
          <w:p w14:paraId="736387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6B0A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F3000E" w14:textId="77777777" w:rsidR="00000000" w:rsidRDefault="00A173A8">
            <w:pPr>
              <w:spacing w:after="100"/>
              <w:jc w:val="right"/>
              <w:rPr>
                <w:rFonts w:eastAsia="Times New Roman"/>
              </w:rPr>
            </w:pPr>
            <w:r>
              <w:rPr>
                <w:rFonts w:eastAsia="Times New Roman"/>
                <w:b/>
                <w:bCs/>
                <w:color w:val="000000"/>
                <w:sz w:val="16"/>
                <w:szCs w:val="16"/>
              </w:rPr>
              <w:t>1,075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B5604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FE811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AC4A0A" w14:textId="77777777" w:rsidR="00000000" w:rsidRDefault="00A173A8">
            <w:pPr>
              <w:spacing w:after="100"/>
              <w:jc w:val="right"/>
              <w:rPr>
                <w:rFonts w:eastAsia="Times New Roman"/>
              </w:rPr>
            </w:pPr>
            <w:r>
              <w:rPr>
                <w:rFonts w:eastAsia="Times New Roman"/>
                <w:color w:val="000000"/>
                <w:sz w:val="16"/>
                <w:szCs w:val="16"/>
              </w:rPr>
              <w:t>1,900 </w:t>
            </w:r>
          </w:p>
        </w:tc>
        <w:tc>
          <w:tcPr>
            <w:tcW w:w="0" w:type="auto"/>
            <w:shd w:val="clear" w:color="auto" w:fill="FFFFFF"/>
            <w:tcMar>
              <w:top w:w="30" w:type="dxa"/>
              <w:left w:w="0" w:type="dxa"/>
              <w:bottom w:w="30" w:type="dxa"/>
              <w:right w:w="20" w:type="dxa"/>
            </w:tcMar>
            <w:vAlign w:val="center"/>
            <w:hideMark/>
          </w:tcPr>
          <w:p w14:paraId="27A16249" w14:textId="77777777" w:rsidR="00000000" w:rsidRDefault="00A173A8">
            <w:pPr>
              <w:spacing w:after="100"/>
              <w:jc w:val="right"/>
              <w:rPr>
                <w:rFonts w:eastAsia="Times New Roman"/>
              </w:rPr>
            </w:pPr>
          </w:p>
        </w:tc>
        <w:tc>
          <w:tcPr>
            <w:tcW w:w="0" w:type="auto"/>
            <w:gridSpan w:val="3"/>
            <w:vAlign w:val="center"/>
            <w:hideMark/>
          </w:tcPr>
          <w:p w14:paraId="75445FB6" w14:textId="77777777" w:rsidR="00000000" w:rsidRDefault="00A173A8">
            <w:pPr>
              <w:spacing w:after="100"/>
              <w:jc w:val="right"/>
              <w:rPr>
                <w:rFonts w:eastAsia="Times New Roman"/>
                <w:sz w:val="20"/>
                <w:szCs w:val="20"/>
              </w:rPr>
            </w:pPr>
          </w:p>
        </w:tc>
        <w:tc>
          <w:tcPr>
            <w:tcW w:w="0" w:type="auto"/>
            <w:gridSpan w:val="3"/>
            <w:vAlign w:val="center"/>
            <w:hideMark/>
          </w:tcPr>
          <w:p w14:paraId="5B18B71C" w14:textId="77777777" w:rsidR="00000000" w:rsidRDefault="00A173A8">
            <w:pPr>
              <w:spacing w:after="100"/>
              <w:rPr>
                <w:rFonts w:eastAsia="Times New Roman"/>
                <w:sz w:val="20"/>
                <w:szCs w:val="20"/>
              </w:rPr>
            </w:pPr>
          </w:p>
        </w:tc>
      </w:tr>
      <w:tr w:rsidR="00000000" w14:paraId="56F9B225" w14:textId="77777777">
        <w:trPr>
          <w:jc w:val="center"/>
        </w:trPr>
        <w:tc>
          <w:tcPr>
            <w:tcW w:w="0" w:type="auto"/>
            <w:gridSpan w:val="3"/>
            <w:shd w:val="clear" w:color="auto" w:fill="CCEEFF"/>
            <w:tcMar>
              <w:top w:w="30" w:type="dxa"/>
              <w:left w:w="20" w:type="dxa"/>
              <w:bottom w:w="30" w:type="dxa"/>
              <w:right w:w="20" w:type="dxa"/>
            </w:tcMar>
            <w:vAlign w:val="center"/>
            <w:hideMark/>
          </w:tcPr>
          <w:p w14:paraId="4A43A4D3" w14:textId="77777777" w:rsidR="00000000" w:rsidRDefault="00A173A8">
            <w:pPr>
              <w:spacing w:after="100"/>
              <w:rPr>
                <w:rFonts w:eastAsia="Times New Roman"/>
              </w:rPr>
            </w:pPr>
            <w:r>
              <w:rPr>
                <w:rFonts w:eastAsia="Times New Roman"/>
                <w:color w:val="000000"/>
                <w:sz w:val="16"/>
                <w:szCs w:val="16"/>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201718EF"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12439FA" w14:textId="77777777" w:rsidR="00000000" w:rsidRDefault="00A173A8">
            <w:pPr>
              <w:spacing w:after="100"/>
              <w:jc w:val="right"/>
              <w:rPr>
                <w:rFonts w:eastAsia="Times New Roman"/>
              </w:rPr>
            </w:pPr>
            <w:r>
              <w:rPr>
                <w:rFonts w:eastAsia="Times New Roman"/>
                <w:b/>
                <w:bCs/>
                <w:color w:val="000000"/>
                <w:sz w:val="16"/>
                <w:szCs w:val="16"/>
              </w:rPr>
              <w:t>2,031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D10BA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B8EBB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37DAD2" w14:textId="77777777" w:rsidR="00000000" w:rsidRDefault="00A173A8">
            <w:pPr>
              <w:spacing w:after="100"/>
              <w:jc w:val="right"/>
              <w:rPr>
                <w:rFonts w:eastAsia="Times New Roman"/>
              </w:rPr>
            </w:pPr>
            <w:r>
              <w:rPr>
                <w:rFonts w:eastAsia="Times New Roman"/>
                <w:color w:val="000000"/>
                <w:sz w:val="16"/>
                <w:szCs w:val="16"/>
              </w:rPr>
              <w:t>3,537 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D2701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243A3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1D9370E" w14:textId="77777777" w:rsidR="00000000" w:rsidRDefault="00A173A8">
            <w:pPr>
              <w:spacing w:after="100"/>
              <w:jc w:val="right"/>
              <w:rPr>
                <w:rFonts w:eastAsia="Times New Roman"/>
              </w:rPr>
            </w:pPr>
            <w:r>
              <w:rPr>
                <w:rFonts w:eastAsia="Times New Roman"/>
                <w:b/>
                <w:bCs/>
                <w:color w:val="000000"/>
                <w:sz w:val="16"/>
                <w:szCs w:val="16"/>
              </w:rPr>
              <w:t>4,434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21D1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13F0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25B0BD0" w14:textId="77777777" w:rsidR="00000000" w:rsidRDefault="00A173A8">
            <w:pPr>
              <w:spacing w:after="100"/>
              <w:jc w:val="right"/>
              <w:rPr>
                <w:rFonts w:eastAsia="Times New Roman"/>
              </w:rPr>
            </w:pPr>
            <w:r>
              <w:rPr>
                <w:rFonts w:eastAsia="Times New Roman"/>
                <w:color w:val="000000"/>
                <w:sz w:val="16"/>
                <w:szCs w:val="16"/>
              </w:rPr>
              <w:t>6,864 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E10D79" w14:textId="77777777" w:rsidR="00000000" w:rsidRDefault="00A173A8">
            <w:pPr>
              <w:spacing w:after="100"/>
              <w:jc w:val="right"/>
              <w:rPr>
                <w:rFonts w:eastAsia="Times New Roman"/>
              </w:rPr>
            </w:pPr>
          </w:p>
        </w:tc>
        <w:tc>
          <w:tcPr>
            <w:tcW w:w="0" w:type="auto"/>
            <w:gridSpan w:val="3"/>
            <w:vAlign w:val="center"/>
            <w:hideMark/>
          </w:tcPr>
          <w:p w14:paraId="19CE8572" w14:textId="77777777" w:rsidR="00000000" w:rsidRDefault="00A173A8">
            <w:pPr>
              <w:spacing w:after="100"/>
              <w:jc w:val="right"/>
              <w:rPr>
                <w:rFonts w:eastAsia="Times New Roman"/>
                <w:sz w:val="20"/>
                <w:szCs w:val="20"/>
              </w:rPr>
            </w:pPr>
          </w:p>
        </w:tc>
        <w:tc>
          <w:tcPr>
            <w:tcW w:w="0" w:type="auto"/>
            <w:gridSpan w:val="3"/>
            <w:vAlign w:val="center"/>
            <w:hideMark/>
          </w:tcPr>
          <w:p w14:paraId="22E21984" w14:textId="77777777" w:rsidR="00000000" w:rsidRDefault="00A173A8">
            <w:pPr>
              <w:spacing w:after="100"/>
              <w:rPr>
                <w:rFonts w:eastAsia="Times New Roman"/>
                <w:sz w:val="20"/>
                <w:szCs w:val="20"/>
              </w:rPr>
            </w:pPr>
          </w:p>
        </w:tc>
      </w:tr>
      <w:tr w:rsidR="00000000" w14:paraId="29C379E0" w14:textId="77777777">
        <w:trPr>
          <w:jc w:val="center"/>
        </w:trPr>
        <w:tc>
          <w:tcPr>
            <w:tcW w:w="0" w:type="auto"/>
            <w:gridSpan w:val="3"/>
            <w:shd w:val="clear" w:color="auto" w:fill="FFFFFF"/>
            <w:tcMar>
              <w:top w:w="30" w:type="dxa"/>
              <w:left w:w="20" w:type="dxa"/>
              <w:bottom w:w="30" w:type="dxa"/>
              <w:right w:w="20" w:type="dxa"/>
            </w:tcMar>
            <w:vAlign w:val="center"/>
            <w:hideMark/>
          </w:tcPr>
          <w:p w14:paraId="44342370" w14:textId="77777777" w:rsidR="00000000" w:rsidRDefault="00A173A8">
            <w:pPr>
              <w:spacing w:after="100"/>
              <w:rPr>
                <w:rFonts w:eastAsia="Times New Roman"/>
              </w:rPr>
            </w:pPr>
            <w:r>
              <w:rPr>
                <w:rFonts w:eastAsia="Times New Roman"/>
                <w:color w:val="000000"/>
                <w:sz w:val="16"/>
                <w:szCs w:val="16"/>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14:paraId="1F404C0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B1F8FF"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46AA0E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D0EB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2B53F4" w14:textId="77777777" w:rsidR="00000000" w:rsidRDefault="00A173A8">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center"/>
            <w:hideMark/>
          </w:tcPr>
          <w:p w14:paraId="4840BC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AA3F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F16737"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D11883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37AA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A515E2" w14:textId="77777777" w:rsidR="00000000" w:rsidRDefault="00A173A8">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center"/>
            <w:hideMark/>
          </w:tcPr>
          <w:p w14:paraId="2E45684D" w14:textId="77777777" w:rsidR="00000000" w:rsidRDefault="00A173A8">
            <w:pPr>
              <w:spacing w:after="100"/>
              <w:jc w:val="right"/>
              <w:rPr>
                <w:rFonts w:eastAsia="Times New Roman"/>
              </w:rPr>
            </w:pPr>
          </w:p>
        </w:tc>
        <w:tc>
          <w:tcPr>
            <w:tcW w:w="0" w:type="auto"/>
            <w:gridSpan w:val="3"/>
            <w:vAlign w:val="center"/>
            <w:hideMark/>
          </w:tcPr>
          <w:p w14:paraId="37BF2CB6" w14:textId="77777777" w:rsidR="00000000" w:rsidRDefault="00A173A8">
            <w:pPr>
              <w:spacing w:after="100"/>
              <w:jc w:val="right"/>
              <w:rPr>
                <w:rFonts w:eastAsia="Times New Roman"/>
                <w:sz w:val="20"/>
                <w:szCs w:val="20"/>
              </w:rPr>
            </w:pPr>
          </w:p>
        </w:tc>
        <w:tc>
          <w:tcPr>
            <w:tcW w:w="0" w:type="auto"/>
            <w:gridSpan w:val="3"/>
            <w:vAlign w:val="center"/>
            <w:hideMark/>
          </w:tcPr>
          <w:p w14:paraId="3C231AAF" w14:textId="77777777" w:rsidR="00000000" w:rsidRDefault="00A173A8">
            <w:pPr>
              <w:spacing w:after="100"/>
              <w:rPr>
                <w:rFonts w:eastAsia="Times New Roman"/>
                <w:sz w:val="20"/>
                <w:szCs w:val="20"/>
              </w:rPr>
            </w:pPr>
          </w:p>
        </w:tc>
      </w:tr>
      <w:tr w:rsidR="00000000" w14:paraId="59175EC0" w14:textId="77777777">
        <w:trPr>
          <w:jc w:val="center"/>
        </w:trPr>
        <w:tc>
          <w:tcPr>
            <w:tcW w:w="0" w:type="auto"/>
            <w:gridSpan w:val="3"/>
            <w:shd w:val="clear" w:color="auto" w:fill="CCEEFF"/>
            <w:tcMar>
              <w:top w:w="30" w:type="dxa"/>
              <w:left w:w="20" w:type="dxa"/>
              <w:bottom w:w="30" w:type="dxa"/>
              <w:right w:w="20" w:type="dxa"/>
            </w:tcMar>
            <w:vAlign w:val="center"/>
            <w:hideMark/>
          </w:tcPr>
          <w:p w14:paraId="4B275918" w14:textId="77777777" w:rsidR="00000000" w:rsidRDefault="00A173A8">
            <w:pPr>
              <w:spacing w:after="100"/>
              <w:rPr>
                <w:rFonts w:eastAsia="Times New Roman"/>
              </w:rPr>
            </w:pPr>
            <w:r>
              <w:rPr>
                <w:rFonts w:eastAsia="Times New Roman"/>
                <w:b/>
                <w:bCs/>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14:paraId="3F91DBF0"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AF6771" w14:textId="77777777" w:rsidR="00000000" w:rsidRDefault="00A173A8">
            <w:pPr>
              <w:spacing w:after="100"/>
              <w:jc w:val="right"/>
              <w:rPr>
                <w:rFonts w:eastAsia="Times New Roman"/>
              </w:rPr>
            </w:pPr>
            <w:r>
              <w:rPr>
                <w:rFonts w:eastAsia="Times New Roman"/>
                <w:b/>
                <w:bCs/>
                <w:color w:val="000000"/>
                <w:sz w:val="16"/>
                <w:szCs w:val="16"/>
              </w:rPr>
              <w:t>2,031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20516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E0108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E797CF" w14:textId="77777777" w:rsidR="00000000" w:rsidRDefault="00A173A8">
            <w:pPr>
              <w:spacing w:after="100"/>
              <w:jc w:val="right"/>
              <w:rPr>
                <w:rFonts w:eastAsia="Times New Roman"/>
              </w:rPr>
            </w:pPr>
            <w:r>
              <w:rPr>
                <w:rFonts w:eastAsia="Times New Roman"/>
                <w:color w:val="000000"/>
                <w:sz w:val="16"/>
                <w:szCs w:val="16"/>
              </w:rPr>
              <w:t>3,536 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B7CEF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ADF3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CA26838" w14:textId="77777777" w:rsidR="00000000" w:rsidRDefault="00A173A8">
            <w:pPr>
              <w:spacing w:after="100"/>
              <w:jc w:val="right"/>
              <w:rPr>
                <w:rFonts w:eastAsia="Times New Roman"/>
              </w:rPr>
            </w:pPr>
            <w:r>
              <w:rPr>
                <w:rFonts w:eastAsia="Times New Roman"/>
                <w:b/>
                <w:bCs/>
                <w:color w:val="000000"/>
                <w:sz w:val="16"/>
                <w:szCs w:val="16"/>
              </w:rPr>
              <w:t>4,434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85165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7EEE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C54531B" w14:textId="77777777" w:rsidR="00000000" w:rsidRDefault="00A173A8">
            <w:pPr>
              <w:spacing w:after="100"/>
              <w:jc w:val="right"/>
              <w:rPr>
                <w:rFonts w:eastAsia="Times New Roman"/>
              </w:rPr>
            </w:pPr>
            <w:r>
              <w:rPr>
                <w:rFonts w:eastAsia="Times New Roman"/>
                <w:color w:val="000000"/>
                <w:sz w:val="16"/>
                <w:szCs w:val="16"/>
              </w:rPr>
              <w:t>6,861 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050827" w14:textId="77777777" w:rsidR="00000000" w:rsidRDefault="00A173A8">
            <w:pPr>
              <w:spacing w:after="100"/>
              <w:jc w:val="right"/>
              <w:rPr>
                <w:rFonts w:eastAsia="Times New Roman"/>
              </w:rPr>
            </w:pPr>
          </w:p>
        </w:tc>
        <w:tc>
          <w:tcPr>
            <w:tcW w:w="0" w:type="auto"/>
            <w:gridSpan w:val="3"/>
            <w:vAlign w:val="center"/>
            <w:hideMark/>
          </w:tcPr>
          <w:p w14:paraId="6E1695BC" w14:textId="77777777" w:rsidR="00000000" w:rsidRDefault="00A173A8">
            <w:pPr>
              <w:spacing w:after="100"/>
              <w:jc w:val="right"/>
              <w:rPr>
                <w:rFonts w:eastAsia="Times New Roman"/>
                <w:sz w:val="20"/>
                <w:szCs w:val="20"/>
              </w:rPr>
            </w:pPr>
          </w:p>
        </w:tc>
        <w:tc>
          <w:tcPr>
            <w:tcW w:w="0" w:type="auto"/>
            <w:gridSpan w:val="3"/>
            <w:vAlign w:val="center"/>
            <w:hideMark/>
          </w:tcPr>
          <w:p w14:paraId="737B37C4" w14:textId="77777777" w:rsidR="00000000" w:rsidRDefault="00A173A8">
            <w:pPr>
              <w:spacing w:after="100"/>
              <w:rPr>
                <w:rFonts w:eastAsia="Times New Roman"/>
                <w:sz w:val="20"/>
                <w:szCs w:val="20"/>
              </w:rPr>
            </w:pPr>
          </w:p>
        </w:tc>
      </w:tr>
      <w:tr w:rsidR="00000000" w14:paraId="373033E5" w14:textId="77777777">
        <w:trPr>
          <w:jc w:val="center"/>
        </w:trPr>
        <w:tc>
          <w:tcPr>
            <w:tcW w:w="0" w:type="auto"/>
            <w:gridSpan w:val="3"/>
            <w:shd w:val="clear" w:color="auto" w:fill="FFFFFF"/>
            <w:tcMar>
              <w:top w:w="30" w:type="dxa"/>
              <w:left w:w="20" w:type="dxa"/>
              <w:bottom w:w="30" w:type="dxa"/>
              <w:right w:w="20" w:type="dxa"/>
            </w:tcMar>
            <w:vAlign w:val="center"/>
            <w:hideMark/>
          </w:tcPr>
          <w:p w14:paraId="709AD206" w14:textId="77777777" w:rsidR="00000000" w:rsidRDefault="00A173A8">
            <w:pPr>
              <w:spacing w:after="100"/>
              <w:rPr>
                <w:rFonts w:eastAsia="Times New Roman"/>
              </w:rPr>
            </w:pPr>
            <w:r>
              <w:rPr>
                <w:rFonts w:eastAsia="Times New Roman"/>
                <w:color w:val="000000"/>
                <w:sz w:val="16"/>
                <w:szCs w:val="16"/>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14:paraId="7E782E0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38BD548" w14:textId="77777777" w:rsidR="00000000" w:rsidRDefault="00A173A8">
            <w:pPr>
              <w:spacing w:after="100"/>
              <w:jc w:val="right"/>
              <w:rPr>
                <w:rFonts w:eastAsia="Times New Roman"/>
              </w:rPr>
            </w:pPr>
            <w:r>
              <w:rPr>
                <w:rFonts w:eastAsia="Times New Roman"/>
                <w:b/>
                <w:bCs/>
                <w:color w:val="000000"/>
                <w:sz w:val="16"/>
                <w:szCs w:val="16"/>
              </w:rPr>
              <w:t>(25)</w:t>
            </w:r>
          </w:p>
        </w:tc>
        <w:tc>
          <w:tcPr>
            <w:tcW w:w="0" w:type="auto"/>
            <w:shd w:val="clear" w:color="auto" w:fill="FFFFFF"/>
            <w:tcMar>
              <w:top w:w="30" w:type="dxa"/>
              <w:left w:w="0" w:type="dxa"/>
              <w:bottom w:w="30" w:type="dxa"/>
              <w:right w:w="20" w:type="dxa"/>
            </w:tcMar>
            <w:vAlign w:val="center"/>
            <w:hideMark/>
          </w:tcPr>
          <w:p w14:paraId="0682114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DE71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F79228" w14:textId="77777777" w:rsidR="00000000" w:rsidRDefault="00A173A8">
            <w:pPr>
              <w:spacing w:after="100"/>
              <w:jc w:val="right"/>
              <w:rPr>
                <w:rFonts w:eastAsia="Times New Roman"/>
              </w:rPr>
            </w:pPr>
            <w:r>
              <w:rPr>
                <w:rFonts w:eastAsia="Times New Roman"/>
                <w:color w:val="000000"/>
                <w:sz w:val="16"/>
                <w:szCs w:val="16"/>
              </w:rPr>
              <w:t>(30)</w:t>
            </w:r>
          </w:p>
        </w:tc>
        <w:tc>
          <w:tcPr>
            <w:tcW w:w="0" w:type="auto"/>
            <w:shd w:val="clear" w:color="auto" w:fill="FFFFFF"/>
            <w:tcMar>
              <w:top w:w="30" w:type="dxa"/>
              <w:left w:w="0" w:type="dxa"/>
              <w:bottom w:w="30" w:type="dxa"/>
              <w:right w:w="20" w:type="dxa"/>
            </w:tcMar>
            <w:vAlign w:val="center"/>
            <w:hideMark/>
          </w:tcPr>
          <w:p w14:paraId="39AEEDD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6F46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3AB5BC" w14:textId="77777777" w:rsidR="00000000" w:rsidRDefault="00A173A8">
            <w:pPr>
              <w:spacing w:after="100"/>
              <w:jc w:val="right"/>
              <w:rPr>
                <w:rFonts w:eastAsia="Times New Roman"/>
              </w:rPr>
            </w:pPr>
            <w:r>
              <w:rPr>
                <w:rFonts w:eastAsia="Times New Roman"/>
                <w:b/>
                <w:bCs/>
                <w:color w:val="000000"/>
                <w:sz w:val="16"/>
                <w:szCs w:val="16"/>
              </w:rPr>
              <w:t>(53)</w:t>
            </w:r>
          </w:p>
        </w:tc>
        <w:tc>
          <w:tcPr>
            <w:tcW w:w="0" w:type="auto"/>
            <w:shd w:val="clear" w:color="auto" w:fill="FFFFFF"/>
            <w:tcMar>
              <w:top w:w="30" w:type="dxa"/>
              <w:left w:w="0" w:type="dxa"/>
              <w:bottom w:w="30" w:type="dxa"/>
              <w:right w:w="20" w:type="dxa"/>
            </w:tcMar>
            <w:vAlign w:val="center"/>
            <w:hideMark/>
          </w:tcPr>
          <w:p w14:paraId="185ACE7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B00EB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3147A3" w14:textId="77777777" w:rsidR="00000000" w:rsidRDefault="00A173A8">
            <w:pPr>
              <w:spacing w:after="100"/>
              <w:jc w:val="right"/>
              <w:rPr>
                <w:rFonts w:eastAsia="Times New Roman"/>
              </w:rPr>
            </w:pPr>
            <w:r>
              <w:rPr>
                <w:rFonts w:eastAsia="Times New Roman"/>
                <w:color w:val="000000"/>
                <w:sz w:val="16"/>
                <w:szCs w:val="16"/>
              </w:rPr>
              <w:t>(58)</w:t>
            </w:r>
          </w:p>
        </w:tc>
        <w:tc>
          <w:tcPr>
            <w:tcW w:w="0" w:type="auto"/>
            <w:shd w:val="clear" w:color="auto" w:fill="FFFFFF"/>
            <w:tcMar>
              <w:top w:w="30" w:type="dxa"/>
              <w:left w:w="0" w:type="dxa"/>
              <w:bottom w:w="30" w:type="dxa"/>
              <w:right w:w="20" w:type="dxa"/>
            </w:tcMar>
            <w:vAlign w:val="center"/>
            <w:hideMark/>
          </w:tcPr>
          <w:p w14:paraId="44962B3B" w14:textId="77777777" w:rsidR="00000000" w:rsidRDefault="00A173A8">
            <w:pPr>
              <w:spacing w:after="100"/>
              <w:jc w:val="right"/>
              <w:rPr>
                <w:rFonts w:eastAsia="Times New Roman"/>
              </w:rPr>
            </w:pPr>
          </w:p>
        </w:tc>
        <w:tc>
          <w:tcPr>
            <w:tcW w:w="0" w:type="auto"/>
            <w:gridSpan w:val="3"/>
            <w:vAlign w:val="center"/>
            <w:hideMark/>
          </w:tcPr>
          <w:p w14:paraId="50054961" w14:textId="77777777" w:rsidR="00000000" w:rsidRDefault="00A173A8">
            <w:pPr>
              <w:spacing w:after="100"/>
              <w:jc w:val="right"/>
              <w:rPr>
                <w:rFonts w:eastAsia="Times New Roman"/>
                <w:sz w:val="20"/>
                <w:szCs w:val="20"/>
              </w:rPr>
            </w:pPr>
          </w:p>
        </w:tc>
        <w:tc>
          <w:tcPr>
            <w:tcW w:w="0" w:type="auto"/>
            <w:gridSpan w:val="3"/>
            <w:vAlign w:val="center"/>
            <w:hideMark/>
          </w:tcPr>
          <w:p w14:paraId="75DCEAFF" w14:textId="77777777" w:rsidR="00000000" w:rsidRDefault="00A173A8">
            <w:pPr>
              <w:spacing w:after="100"/>
              <w:rPr>
                <w:rFonts w:eastAsia="Times New Roman"/>
                <w:sz w:val="20"/>
                <w:szCs w:val="20"/>
              </w:rPr>
            </w:pPr>
          </w:p>
        </w:tc>
      </w:tr>
      <w:tr w:rsidR="00000000" w14:paraId="652CD68B" w14:textId="77777777">
        <w:trPr>
          <w:jc w:val="center"/>
        </w:trPr>
        <w:tc>
          <w:tcPr>
            <w:tcW w:w="0" w:type="auto"/>
            <w:gridSpan w:val="3"/>
            <w:shd w:val="clear" w:color="auto" w:fill="CCEEFF"/>
            <w:tcMar>
              <w:top w:w="30" w:type="dxa"/>
              <w:left w:w="20" w:type="dxa"/>
              <w:bottom w:w="30" w:type="dxa"/>
              <w:right w:w="20" w:type="dxa"/>
            </w:tcMar>
            <w:vAlign w:val="center"/>
            <w:hideMark/>
          </w:tcPr>
          <w:p w14:paraId="4F43AA63" w14:textId="77777777" w:rsidR="00000000" w:rsidRDefault="00A173A8">
            <w:pPr>
              <w:spacing w:after="100"/>
              <w:rPr>
                <w:rFonts w:eastAsia="Times New Roman"/>
              </w:rPr>
            </w:pPr>
            <w:r>
              <w:rPr>
                <w:rFonts w:eastAsia="Times New Roman"/>
                <w:color w:val="000000"/>
                <w:sz w:val="16"/>
                <w:szCs w:val="16"/>
              </w:rPr>
              <w:t>Preferred stock dividends</w:t>
            </w:r>
          </w:p>
        </w:tc>
        <w:tc>
          <w:tcPr>
            <w:tcW w:w="0" w:type="auto"/>
            <w:gridSpan w:val="3"/>
            <w:shd w:val="clear" w:color="auto" w:fill="CCEEFF"/>
            <w:tcMar>
              <w:top w:w="0" w:type="dxa"/>
              <w:left w:w="20" w:type="dxa"/>
              <w:bottom w:w="0" w:type="dxa"/>
              <w:right w:w="20" w:type="dxa"/>
            </w:tcMar>
            <w:vAlign w:val="center"/>
            <w:hideMark/>
          </w:tcPr>
          <w:p w14:paraId="71EC7BC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8550C4F" w14:textId="77777777" w:rsidR="00000000" w:rsidRDefault="00A173A8">
            <w:pPr>
              <w:spacing w:after="100"/>
              <w:jc w:val="right"/>
              <w:rPr>
                <w:rFonts w:eastAsia="Times New Roman"/>
              </w:rPr>
            </w:pPr>
            <w:r>
              <w:rPr>
                <w:rFonts w:eastAsia="Times New Roman"/>
                <w:b/>
                <w:bCs/>
                <w:color w:val="000000"/>
                <w:sz w:val="16"/>
                <w:szCs w:val="16"/>
              </w:rPr>
              <w:t>(57)</w:t>
            </w:r>
          </w:p>
        </w:tc>
        <w:tc>
          <w:tcPr>
            <w:tcW w:w="0" w:type="auto"/>
            <w:shd w:val="clear" w:color="auto" w:fill="CCEEFF"/>
            <w:tcMar>
              <w:top w:w="30" w:type="dxa"/>
              <w:left w:w="0" w:type="dxa"/>
              <w:bottom w:w="30" w:type="dxa"/>
              <w:right w:w="20" w:type="dxa"/>
            </w:tcMar>
            <w:vAlign w:val="center"/>
            <w:hideMark/>
          </w:tcPr>
          <w:p w14:paraId="11C6012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6EF7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BD67D9" w14:textId="77777777" w:rsidR="00000000" w:rsidRDefault="00A173A8">
            <w:pPr>
              <w:spacing w:after="100"/>
              <w:jc w:val="right"/>
              <w:rPr>
                <w:rFonts w:eastAsia="Times New Roman"/>
              </w:rPr>
            </w:pPr>
            <w:r>
              <w:rPr>
                <w:rFonts w:eastAsia="Times New Roman"/>
                <w:color w:val="000000"/>
                <w:sz w:val="16"/>
                <w:szCs w:val="16"/>
              </w:rPr>
              <w:t>(60)</w:t>
            </w:r>
          </w:p>
        </w:tc>
        <w:tc>
          <w:tcPr>
            <w:tcW w:w="0" w:type="auto"/>
            <w:shd w:val="clear" w:color="auto" w:fill="CCEEFF"/>
            <w:tcMar>
              <w:top w:w="30" w:type="dxa"/>
              <w:left w:w="0" w:type="dxa"/>
              <w:bottom w:w="30" w:type="dxa"/>
              <w:right w:w="20" w:type="dxa"/>
            </w:tcMar>
            <w:vAlign w:val="center"/>
            <w:hideMark/>
          </w:tcPr>
          <w:p w14:paraId="4145AB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3112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4598E0" w14:textId="77777777" w:rsidR="00000000" w:rsidRDefault="00A173A8">
            <w:pPr>
              <w:spacing w:after="100"/>
              <w:jc w:val="right"/>
              <w:rPr>
                <w:rFonts w:eastAsia="Times New Roman"/>
              </w:rPr>
            </w:pPr>
            <w:r>
              <w:rPr>
                <w:rFonts w:eastAsia="Times New Roman"/>
                <w:b/>
                <w:bCs/>
                <w:color w:val="000000"/>
                <w:sz w:val="16"/>
                <w:szCs w:val="16"/>
              </w:rPr>
              <w:t>(114)</w:t>
            </w:r>
          </w:p>
        </w:tc>
        <w:tc>
          <w:tcPr>
            <w:tcW w:w="0" w:type="auto"/>
            <w:shd w:val="clear" w:color="auto" w:fill="CCEEFF"/>
            <w:tcMar>
              <w:top w:w="30" w:type="dxa"/>
              <w:left w:w="0" w:type="dxa"/>
              <w:bottom w:w="30" w:type="dxa"/>
              <w:right w:w="20" w:type="dxa"/>
            </w:tcMar>
            <w:vAlign w:val="center"/>
            <w:hideMark/>
          </w:tcPr>
          <w:p w14:paraId="3D069A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FF5C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64E8DA" w14:textId="77777777" w:rsidR="00000000" w:rsidRDefault="00A173A8">
            <w:pPr>
              <w:spacing w:after="100"/>
              <w:jc w:val="right"/>
              <w:rPr>
                <w:rFonts w:eastAsia="Times New Roman"/>
              </w:rPr>
            </w:pPr>
            <w:r>
              <w:rPr>
                <w:rFonts w:eastAsia="Times New Roman"/>
                <w:color w:val="000000"/>
                <w:sz w:val="16"/>
                <w:szCs w:val="16"/>
              </w:rPr>
              <w:t>(121)</w:t>
            </w:r>
          </w:p>
        </w:tc>
        <w:tc>
          <w:tcPr>
            <w:tcW w:w="0" w:type="auto"/>
            <w:shd w:val="clear" w:color="auto" w:fill="CCEEFF"/>
            <w:tcMar>
              <w:top w:w="30" w:type="dxa"/>
              <w:left w:w="0" w:type="dxa"/>
              <w:bottom w:w="30" w:type="dxa"/>
              <w:right w:w="20" w:type="dxa"/>
            </w:tcMar>
            <w:vAlign w:val="center"/>
            <w:hideMark/>
          </w:tcPr>
          <w:p w14:paraId="4F45BBF3" w14:textId="77777777" w:rsidR="00000000" w:rsidRDefault="00A173A8">
            <w:pPr>
              <w:spacing w:after="100"/>
              <w:jc w:val="right"/>
              <w:rPr>
                <w:rFonts w:eastAsia="Times New Roman"/>
              </w:rPr>
            </w:pPr>
          </w:p>
        </w:tc>
        <w:tc>
          <w:tcPr>
            <w:tcW w:w="0" w:type="auto"/>
            <w:gridSpan w:val="3"/>
            <w:vAlign w:val="center"/>
            <w:hideMark/>
          </w:tcPr>
          <w:p w14:paraId="4148416E" w14:textId="77777777" w:rsidR="00000000" w:rsidRDefault="00A173A8">
            <w:pPr>
              <w:spacing w:after="100"/>
              <w:jc w:val="right"/>
              <w:rPr>
                <w:rFonts w:eastAsia="Times New Roman"/>
                <w:sz w:val="20"/>
                <w:szCs w:val="20"/>
              </w:rPr>
            </w:pPr>
          </w:p>
        </w:tc>
        <w:tc>
          <w:tcPr>
            <w:tcW w:w="0" w:type="auto"/>
            <w:gridSpan w:val="3"/>
            <w:vAlign w:val="center"/>
            <w:hideMark/>
          </w:tcPr>
          <w:p w14:paraId="0C02DEDF" w14:textId="77777777" w:rsidR="00000000" w:rsidRDefault="00A173A8">
            <w:pPr>
              <w:spacing w:after="100"/>
              <w:rPr>
                <w:rFonts w:eastAsia="Times New Roman"/>
                <w:sz w:val="20"/>
                <w:szCs w:val="20"/>
              </w:rPr>
            </w:pPr>
          </w:p>
        </w:tc>
      </w:tr>
      <w:tr w:rsidR="00000000" w14:paraId="0C0C8474" w14:textId="77777777">
        <w:trPr>
          <w:jc w:val="center"/>
        </w:trPr>
        <w:tc>
          <w:tcPr>
            <w:tcW w:w="0" w:type="auto"/>
            <w:gridSpan w:val="3"/>
            <w:vAlign w:val="center"/>
            <w:hideMark/>
          </w:tcPr>
          <w:p w14:paraId="042F81EB" w14:textId="77777777" w:rsidR="00000000" w:rsidRDefault="00A173A8">
            <w:pPr>
              <w:spacing w:after="100"/>
              <w:rPr>
                <w:rFonts w:eastAsia="Times New Roman"/>
                <w:sz w:val="20"/>
                <w:szCs w:val="20"/>
              </w:rPr>
            </w:pPr>
          </w:p>
        </w:tc>
        <w:tc>
          <w:tcPr>
            <w:tcW w:w="0" w:type="auto"/>
            <w:gridSpan w:val="3"/>
            <w:vAlign w:val="center"/>
            <w:hideMark/>
          </w:tcPr>
          <w:p w14:paraId="2D97CBAB" w14:textId="77777777" w:rsidR="00000000" w:rsidRDefault="00A173A8">
            <w:pPr>
              <w:spacing w:after="100"/>
              <w:rPr>
                <w:rFonts w:eastAsia="Times New Roman"/>
                <w:sz w:val="20"/>
                <w:szCs w:val="20"/>
              </w:rPr>
            </w:pPr>
          </w:p>
        </w:tc>
        <w:tc>
          <w:tcPr>
            <w:tcW w:w="0" w:type="auto"/>
            <w:gridSpan w:val="3"/>
            <w:vAlign w:val="center"/>
            <w:hideMark/>
          </w:tcPr>
          <w:p w14:paraId="336D3AE9" w14:textId="77777777" w:rsidR="00000000" w:rsidRDefault="00A173A8">
            <w:pPr>
              <w:spacing w:after="100"/>
              <w:rPr>
                <w:rFonts w:eastAsia="Times New Roman"/>
                <w:sz w:val="20"/>
                <w:szCs w:val="20"/>
              </w:rPr>
            </w:pPr>
          </w:p>
        </w:tc>
        <w:tc>
          <w:tcPr>
            <w:tcW w:w="0" w:type="auto"/>
            <w:gridSpan w:val="3"/>
            <w:vAlign w:val="center"/>
            <w:hideMark/>
          </w:tcPr>
          <w:p w14:paraId="0079C3AE" w14:textId="77777777" w:rsidR="00000000" w:rsidRDefault="00A173A8">
            <w:pPr>
              <w:spacing w:after="100"/>
              <w:rPr>
                <w:rFonts w:eastAsia="Times New Roman"/>
                <w:sz w:val="20"/>
                <w:szCs w:val="20"/>
              </w:rPr>
            </w:pPr>
          </w:p>
        </w:tc>
        <w:tc>
          <w:tcPr>
            <w:tcW w:w="0" w:type="auto"/>
            <w:gridSpan w:val="3"/>
            <w:vAlign w:val="center"/>
            <w:hideMark/>
          </w:tcPr>
          <w:p w14:paraId="5A54A52E" w14:textId="77777777" w:rsidR="00000000" w:rsidRDefault="00A173A8">
            <w:pPr>
              <w:spacing w:after="100"/>
              <w:rPr>
                <w:rFonts w:eastAsia="Times New Roman"/>
                <w:sz w:val="20"/>
                <w:szCs w:val="20"/>
              </w:rPr>
            </w:pPr>
          </w:p>
        </w:tc>
        <w:tc>
          <w:tcPr>
            <w:tcW w:w="0" w:type="auto"/>
            <w:gridSpan w:val="3"/>
            <w:vAlign w:val="center"/>
            <w:hideMark/>
          </w:tcPr>
          <w:p w14:paraId="7C51ADAD" w14:textId="77777777" w:rsidR="00000000" w:rsidRDefault="00A173A8">
            <w:pPr>
              <w:spacing w:after="100"/>
              <w:rPr>
                <w:rFonts w:eastAsia="Times New Roman"/>
                <w:sz w:val="20"/>
                <w:szCs w:val="20"/>
              </w:rPr>
            </w:pPr>
          </w:p>
        </w:tc>
        <w:tc>
          <w:tcPr>
            <w:tcW w:w="0" w:type="auto"/>
            <w:gridSpan w:val="3"/>
            <w:vAlign w:val="center"/>
            <w:hideMark/>
          </w:tcPr>
          <w:p w14:paraId="6480B497" w14:textId="77777777" w:rsidR="00000000" w:rsidRDefault="00A173A8">
            <w:pPr>
              <w:spacing w:after="100"/>
              <w:rPr>
                <w:rFonts w:eastAsia="Times New Roman"/>
                <w:sz w:val="20"/>
                <w:szCs w:val="20"/>
              </w:rPr>
            </w:pPr>
          </w:p>
        </w:tc>
        <w:tc>
          <w:tcPr>
            <w:tcW w:w="0" w:type="auto"/>
            <w:gridSpan w:val="3"/>
            <w:vAlign w:val="center"/>
            <w:hideMark/>
          </w:tcPr>
          <w:p w14:paraId="389CF0AE" w14:textId="77777777" w:rsidR="00000000" w:rsidRDefault="00A173A8">
            <w:pPr>
              <w:spacing w:after="100"/>
              <w:rPr>
                <w:rFonts w:eastAsia="Times New Roman"/>
                <w:sz w:val="20"/>
                <w:szCs w:val="20"/>
              </w:rPr>
            </w:pPr>
          </w:p>
        </w:tc>
        <w:tc>
          <w:tcPr>
            <w:tcW w:w="0" w:type="auto"/>
            <w:gridSpan w:val="3"/>
            <w:vAlign w:val="center"/>
            <w:hideMark/>
          </w:tcPr>
          <w:p w14:paraId="77CA054B" w14:textId="77777777" w:rsidR="00000000" w:rsidRDefault="00A173A8">
            <w:pPr>
              <w:spacing w:after="100"/>
              <w:rPr>
                <w:rFonts w:eastAsia="Times New Roman"/>
                <w:sz w:val="20"/>
                <w:szCs w:val="20"/>
              </w:rPr>
            </w:pPr>
          </w:p>
        </w:tc>
        <w:tc>
          <w:tcPr>
            <w:tcW w:w="0" w:type="auto"/>
            <w:gridSpan w:val="3"/>
            <w:vAlign w:val="center"/>
            <w:hideMark/>
          </w:tcPr>
          <w:p w14:paraId="1C3A1665" w14:textId="77777777" w:rsidR="00000000" w:rsidRDefault="00A173A8">
            <w:pPr>
              <w:spacing w:after="100"/>
              <w:rPr>
                <w:rFonts w:eastAsia="Times New Roman"/>
                <w:sz w:val="20"/>
                <w:szCs w:val="20"/>
              </w:rPr>
            </w:pPr>
          </w:p>
        </w:tc>
        <w:tc>
          <w:tcPr>
            <w:tcW w:w="0" w:type="auto"/>
            <w:gridSpan w:val="3"/>
            <w:vAlign w:val="center"/>
            <w:hideMark/>
          </w:tcPr>
          <w:p w14:paraId="7B79D5D0" w14:textId="77777777" w:rsidR="00000000" w:rsidRDefault="00A173A8">
            <w:pPr>
              <w:spacing w:after="100"/>
              <w:rPr>
                <w:rFonts w:eastAsia="Times New Roman"/>
                <w:sz w:val="20"/>
                <w:szCs w:val="20"/>
              </w:rPr>
            </w:pPr>
          </w:p>
        </w:tc>
      </w:tr>
      <w:tr w:rsidR="00000000" w14:paraId="2F3A0262" w14:textId="77777777">
        <w:trPr>
          <w:jc w:val="center"/>
        </w:trPr>
        <w:tc>
          <w:tcPr>
            <w:tcW w:w="0" w:type="auto"/>
            <w:gridSpan w:val="3"/>
            <w:shd w:val="clear" w:color="auto" w:fill="FFFFFF"/>
            <w:tcMar>
              <w:top w:w="30" w:type="dxa"/>
              <w:left w:w="20" w:type="dxa"/>
              <w:bottom w:w="30" w:type="dxa"/>
              <w:right w:w="20" w:type="dxa"/>
            </w:tcMar>
            <w:vAlign w:val="center"/>
            <w:hideMark/>
          </w:tcPr>
          <w:p w14:paraId="5741FB3B" w14:textId="77777777" w:rsidR="00000000" w:rsidRDefault="00A173A8">
            <w:pPr>
              <w:spacing w:after="100"/>
              <w:rPr>
                <w:rFonts w:eastAsia="Times New Roman"/>
              </w:rPr>
            </w:pPr>
            <w:r>
              <w:rPr>
                <w:rFonts w:eastAsia="Times New Roman"/>
                <w:b/>
                <w:bCs/>
                <w:color w:val="000000"/>
                <w:sz w:val="16"/>
                <w:szCs w:val="16"/>
              </w:rPr>
              <w:t>Net income available to common stockholders</w:t>
            </w:r>
          </w:p>
        </w:tc>
        <w:tc>
          <w:tcPr>
            <w:tcW w:w="0" w:type="auto"/>
            <w:gridSpan w:val="3"/>
            <w:shd w:val="clear" w:color="auto" w:fill="FFFFFF"/>
            <w:tcMar>
              <w:top w:w="0" w:type="dxa"/>
              <w:left w:w="20" w:type="dxa"/>
              <w:bottom w:w="0" w:type="dxa"/>
              <w:right w:w="20" w:type="dxa"/>
            </w:tcMar>
            <w:vAlign w:val="center"/>
            <w:hideMark/>
          </w:tcPr>
          <w:p w14:paraId="194FDCE7"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7DA54EC"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DF8B4C0" w14:textId="77777777" w:rsidR="00000000" w:rsidRDefault="00A173A8">
            <w:pPr>
              <w:spacing w:after="100"/>
              <w:jc w:val="right"/>
              <w:rPr>
                <w:rFonts w:eastAsia="Times New Roman"/>
              </w:rPr>
            </w:pPr>
            <w:r>
              <w:rPr>
                <w:rFonts w:eastAsia="Times New Roman"/>
                <w:b/>
                <w:bCs/>
                <w:color w:val="000000"/>
                <w:sz w:val="16"/>
                <w:szCs w:val="16"/>
              </w:rPr>
              <w:t>1,949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3B33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0B65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09F1AE3"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2D7722C" w14:textId="77777777" w:rsidR="00000000" w:rsidRDefault="00A173A8">
            <w:pPr>
              <w:spacing w:after="100"/>
              <w:jc w:val="right"/>
              <w:rPr>
                <w:rFonts w:eastAsia="Times New Roman"/>
              </w:rPr>
            </w:pPr>
            <w:r>
              <w:rPr>
                <w:rFonts w:eastAsia="Times New Roman"/>
                <w:color w:val="000000"/>
                <w:sz w:val="16"/>
                <w:szCs w:val="16"/>
              </w:rPr>
              <w:t>3,446 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E43D7A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B4069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46CC2AA"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B74D35D" w14:textId="77777777" w:rsidR="00000000" w:rsidRDefault="00A173A8">
            <w:pPr>
              <w:spacing w:after="100"/>
              <w:jc w:val="right"/>
              <w:rPr>
                <w:rFonts w:eastAsia="Times New Roman"/>
              </w:rPr>
            </w:pPr>
            <w:r>
              <w:rPr>
                <w:rFonts w:eastAsia="Times New Roman"/>
                <w:b/>
                <w:bCs/>
                <w:color w:val="000000"/>
                <w:sz w:val="16"/>
                <w:szCs w:val="16"/>
              </w:rPr>
              <w:t>4,267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BDD8E4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8C8A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F26C725"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DB2C8DC" w14:textId="77777777" w:rsidR="00000000" w:rsidRDefault="00A173A8">
            <w:pPr>
              <w:spacing w:after="100"/>
              <w:jc w:val="right"/>
              <w:rPr>
                <w:rFonts w:eastAsia="Times New Roman"/>
              </w:rPr>
            </w:pPr>
            <w:r>
              <w:rPr>
                <w:rFonts w:eastAsia="Times New Roman"/>
                <w:color w:val="000000"/>
                <w:sz w:val="16"/>
                <w:szCs w:val="16"/>
              </w:rPr>
              <w:t>6,682 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D06168" w14:textId="77777777" w:rsidR="00000000" w:rsidRDefault="00A173A8">
            <w:pPr>
              <w:spacing w:after="100"/>
              <w:jc w:val="right"/>
              <w:rPr>
                <w:rFonts w:eastAsia="Times New Roman"/>
              </w:rPr>
            </w:pPr>
          </w:p>
        </w:tc>
        <w:tc>
          <w:tcPr>
            <w:tcW w:w="0" w:type="auto"/>
            <w:gridSpan w:val="3"/>
            <w:vAlign w:val="center"/>
            <w:hideMark/>
          </w:tcPr>
          <w:p w14:paraId="4B35C98B" w14:textId="77777777" w:rsidR="00000000" w:rsidRDefault="00A173A8">
            <w:pPr>
              <w:spacing w:after="100"/>
              <w:jc w:val="right"/>
              <w:rPr>
                <w:rFonts w:eastAsia="Times New Roman"/>
                <w:sz w:val="20"/>
                <w:szCs w:val="20"/>
              </w:rPr>
            </w:pPr>
          </w:p>
        </w:tc>
        <w:tc>
          <w:tcPr>
            <w:tcW w:w="0" w:type="auto"/>
            <w:gridSpan w:val="3"/>
            <w:vAlign w:val="center"/>
            <w:hideMark/>
          </w:tcPr>
          <w:p w14:paraId="6981AF96" w14:textId="77777777" w:rsidR="00000000" w:rsidRDefault="00A173A8">
            <w:pPr>
              <w:spacing w:after="100"/>
              <w:rPr>
                <w:rFonts w:eastAsia="Times New Roman"/>
                <w:sz w:val="20"/>
                <w:szCs w:val="20"/>
              </w:rPr>
            </w:pPr>
          </w:p>
        </w:tc>
      </w:tr>
      <w:tr w:rsidR="00000000" w14:paraId="41FD9B6B" w14:textId="77777777">
        <w:trPr>
          <w:jc w:val="center"/>
        </w:trPr>
        <w:tc>
          <w:tcPr>
            <w:tcW w:w="0" w:type="auto"/>
            <w:gridSpan w:val="3"/>
            <w:shd w:val="clear" w:color="auto" w:fill="CCEEFF"/>
            <w:tcMar>
              <w:top w:w="30" w:type="dxa"/>
              <w:left w:w="20" w:type="dxa"/>
              <w:bottom w:w="30" w:type="dxa"/>
              <w:right w:w="20" w:type="dxa"/>
            </w:tcMar>
            <w:vAlign w:val="center"/>
            <w:hideMark/>
          </w:tcPr>
          <w:p w14:paraId="5F7A2ADD" w14:textId="77777777" w:rsidR="00000000" w:rsidRDefault="00A173A8">
            <w:pPr>
              <w:spacing w:after="100"/>
              <w:rPr>
                <w:rFonts w:eastAsia="Times New Roman"/>
              </w:rPr>
            </w:pPr>
            <w:r>
              <w:rPr>
                <w:rFonts w:eastAsia="Times New Roman"/>
                <w:b/>
                <w:bCs/>
                <w:color w:val="000000"/>
                <w:sz w:val="16"/>
                <w:szCs w:val="16"/>
              </w:rPr>
              <w:t>Basic earnings per common share:</w:t>
            </w:r>
          </w:p>
        </w:tc>
        <w:tc>
          <w:tcPr>
            <w:tcW w:w="0" w:type="auto"/>
            <w:gridSpan w:val="3"/>
            <w:shd w:val="clear" w:color="auto" w:fill="CCEEFF"/>
            <w:tcMar>
              <w:top w:w="0" w:type="dxa"/>
              <w:left w:w="20" w:type="dxa"/>
              <w:bottom w:w="0" w:type="dxa"/>
              <w:right w:w="20" w:type="dxa"/>
            </w:tcMar>
            <w:vAlign w:val="center"/>
            <w:hideMark/>
          </w:tcPr>
          <w:p w14:paraId="6CCB4224"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CB5417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9D1260"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D6C3C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221132"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BFA8BD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D2DD45"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57F5BB5" w14:textId="77777777" w:rsidR="00000000" w:rsidRDefault="00A173A8">
            <w:pPr>
              <w:spacing w:after="100"/>
              <w:rPr>
                <w:rFonts w:eastAsia="Times New Roman"/>
                <w:sz w:val="20"/>
                <w:szCs w:val="20"/>
              </w:rPr>
            </w:pPr>
          </w:p>
        </w:tc>
        <w:tc>
          <w:tcPr>
            <w:tcW w:w="0" w:type="auto"/>
            <w:gridSpan w:val="3"/>
            <w:vAlign w:val="center"/>
            <w:hideMark/>
          </w:tcPr>
          <w:p w14:paraId="11EE1F13" w14:textId="77777777" w:rsidR="00000000" w:rsidRDefault="00A173A8">
            <w:pPr>
              <w:spacing w:after="100"/>
              <w:rPr>
                <w:rFonts w:eastAsia="Times New Roman"/>
                <w:sz w:val="20"/>
                <w:szCs w:val="20"/>
              </w:rPr>
            </w:pPr>
          </w:p>
        </w:tc>
        <w:tc>
          <w:tcPr>
            <w:tcW w:w="0" w:type="auto"/>
            <w:gridSpan w:val="3"/>
            <w:vAlign w:val="center"/>
            <w:hideMark/>
          </w:tcPr>
          <w:p w14:paraId="772ADA17" w14:textId="77777777" w:rsidR="00000000" w:rsidRDefault="00A173A8">
            <w:pPr>
              <w:spacing w:after="100"/>
              <w:rPr>
                <w:rFonts w:eastAsia="Times New Roman"/>
                <w:sz w:val="20"/>
                <w:szCs w:val="20"/>
              </w:rPr>
            </w:pPr>
          </w:p>
        </w:tc>
      </w:tr>
      <w:tr w:rsidR="00000000" w14:paraId="56E7E757" w14:textId="77777777">
        <w:trPr>
          <w:jc w:val="center"/>
        </w:trPr>
        <w:tc>
          <w:tcPr>
            <w:tcW w:w="0" w:type="auto"/>
            <w:gridSpan w:val="3"/>
            <w:shd w:val="clear" w:color="auto" w:fill="FFFFFF"/>
            <w:tcMar>
              <w:top w:w="30" w:type="dxa"/>
              <w:left w:w="20" w:type="dxa"/>
              <w:bottom w:w="30" w:type="dxa"/>
              <w:right w:w="20" w:type="dxa"/>
            </w:tcMar>
            <w:vAlign w:val="center"/>
            <w:hideMark/>
          </w:tcPr>
          <w:p w14:paraId="39402379" w14:textId="77777777" w:rsidR="00000000" w:rsidRDefault="00A173A8">
            <w:pPr>
              <w:spacing w:after="100"/>
              <w:rPr>
                <w:rFonts w:eastAsia="Times New Roman"/>
              </w:rPr>
            </w:pPr>
            <w:r>
              <w:rPr>
                <w:rFonts w:eastAsia="Times New Roman"/>
                <w:color w:val="000000"/>
                <w:sz w:val="16"/>
                <w:szCs w:val="16"/>
              </w:rPr>
              <w:t>Net income from continuing operations</w:t>
            </w:r>
          </w:p>
        </w:tc>
        <w:tc>
          <w:tcPr>
            <w:tcW w:w="0" w:type="auto"/>
            <w:gridSpan w:val="3"/>
            <w:shd w:val="clear" w:color="auto" w:fill="FFFFFF"/>
            <w:tcMar>
              <w:top w:w="0" w:type="dxa"/>
              <w:left w:w="20" w:type="dxa"/>
              <w:bottom w:w="0" w:type="dxa"/>
              <w:right w:w="20" w:type="dxa"/>
            </w:tcMar>
            <w:vAlign w:val="center"/>
            <w:hideMark/>
          </w:tcPr>
          <w:p w14:paraId="6C9DBD5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A765B8B"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29A2DDB5" w14:textId="77777777" w:rsidR="00000000" w:rsidRDefault="00A173A8">
            <w:pPr>
              <w:spacing w:after="100"/>
              <w:jc w:val="right"/>
              <w:rPr>
                <w:rFonts w:eastAsia="Times New Roman"/>
              </w:rPr>
            </w:pPr>
            <w:r>
              <w:rPr>
                <w:rFonts w:eastAsia="Times New Roman"/>
                <w:b/>
                <w:bCs/>
                <w:color w:val="000000"/>
                <w:sz w:val="16"/>
                <w:szCs w:val="16"/>
              </w:rPr>
              <w:t>4.98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820261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3440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F35DFC4"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30D63B85" w14:textId="77777777" w:rsidR="00000000" w:rsidRDefault="00A173A8">
            <w:pPr>
              <w:spacing w:after="100"/>
              <w:jc w:val="right"/>
              <w:rPr>
                <w:rFonts w:eastAsia="Times New Roman"/>
              </w:rPr>
            </w:pPr>
            <w:r>
              <w:rPr>
                <w:rFonts w:eastAsia="Times New Roman"/>
                <w:color w:val="000000"/>
                <w:sz w:val="16"/>
                <w:szCs w:val="16"/>
              </w:rPr>
              <w:t>7.65 </w:t>
            </w:r>
          </w:p>
        </w:tc>
        <w:tc>
          <w:tcPr>
            <w:tcW w:w="0" w:type="auto"/>
            <w:shd w:val="clear" w:color="auto" w:fill="FFFFFF"/>
            <w:tcMar>
              <w:top w:w="30" w:type="dxa"/>
              <w:left w:w="0" w:type="dxa"/>
              <w:bottom w:w="30" w:type="dxa"/>
              <w:right w:w="20" w:type="dxa"/>
            </w:tcMar>
            <w:vAlign w:val="center"/>
            <w:hideMark/>
          </w:tcPr>
          <w:p w14:paraId="25B6249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5EB4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33FCE66"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11DDDD19" w14:textId="77777777" w:rsidR="00000000" w:rsidRDefault="00A173A8">
            <w:pPr>
              <w:spacing w:after="100"/>
              <w:jc w:val="right"/>
              <w:rPr>
                <w:rFonts w:eastAsia="Times New Roman"/>
              </w:rPr>
            </w:pPr>
            <w:r>
              <w:rPr>
                <w:rFonts w:eastAsia="Times New Roman"/>
                <w:b/>
                <w:bCs/>
                <w:color w:val="000000"/>
                <w:sz w:val="16"/>
                <w:szCs w:val="16"/>
              </w:rPr>
              <w:t>10.65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777CAD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D943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31CC4D9"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71B886C1" w14:textId="77777777" w:rsidR="00000000" w:rsidRDefault="00A173A8">
            <w:pPr>
              <w:spacing w:after="100"/>
              <w:jc w:val="right"/>
              <w:rPr>
                <w:rFonts w:eastAsia="Times New Roman"/>
              </w:rPr>
            </w:pPr>
            <w:r>
              <w:rPr>
                <w:rFonts w:eastAsia="Times New Roman"/>
                <w:color w:val="000000"/>
                <w:sz w:val="16"/>
                <w:szCs w:val="16"/>
              </w:rPr>
              <w:t>14.70 </w:t>
            </w:r>
          </w:p>
        </w:tc>
        <w:tc>
          <w:tcPr>
            <w:tcW w:w="0" w:type="auto"/>
            <w:shd w:val="clear" w:color="auto" w:fill="FFFFFF"/>
            <w:tcMar>
              <w:top w:w="30" w:type="dxa"/>
              <w:left w:w="0" w:type="dxa"/>
              <w:bottom w:w="30" w:type="dxa"/>
              <w:right w:w="20" w:type="dxa"/>
            </w:tcMar>
            <w:vAlign w:val="center"/>
            <w:hideMark/>
          </w:tcPr>
          <w:p w14:paraId="4F1696B8" w14:textId="77777777" w:rsidR="00000000" w:rsidRDefault="00A173A8">
            <w:pPr>
              <w:spacing w:after="100"/>
              <w:jc w:val="right"/>
              <w:rPr>
                <w:rFonts w:eastAsia="Times New Roman"/>
              </w:rPr>
            </w:pPr>
          </w:p>
        </w:tc>
        <w:tc>
          <w:tcPr>
            <w:tcW w:w="0" w:type="auto"/>
            <w:gridSpan w:val="3"/>
            <w:vAlign w:val="center"/>
            <w:hideMark/>
          </w:tcPr>
          <w:p w14:paraId="30A0ED62" w14:textId="77777777" w:rsidR="00000000" w:rsidRDefault="00A173A8">
            <w:pPr>
              <w:spacing w:after="100"/>
              <w:jc w:val="right"/>
              <w:rPr>
                <w:rFonts w:eastAsia="Times New Roman"/>
                <w:sz w:val="20"/>
                <w:szCs w:val="20"/>
              </w:rPr>
            </w:pPr>
          </w:p>
        </w:tc>
        <w:tc>
          <w:tcPr>
            <w:tcW w:w="0" w:type="auto"/>
            <w:gridSpan w:val="3"/>
            <w:vAlign w:val="center"/>
            <w:hideMark/>
          </w:tcPr>
          <w:p w14:paraId="28BF8898" w14:textId="77777777" w:rsidR="00000000" w:rsidRDefault="00A173A8">
            <w:pPr>
              <w:spacing w:after="100"/>
              <w:rPr>
                <w:rFonts w:eastAsia="Times New Roman"/>
                <w:sz w:val="20"/>
                <w:szCs w:val="20"/>
              </w:rPr>
            </w:pPr>
          </w:p>
        </w:tc>
      </w:tr>
      <w:tr w:rsidR="00000000" w14:paraId="7614173F" w14:textId="77777777">
        <w:trPr>
          <w:jc w:val="center"/>
        </w:trPr>
        <w:tc>
          <w:tcPr>
            <w:tcW w:w="0" w:type="auto"/>
            <w:gridSpan w:val="3"/>
            <w:vAlign w:val="center"/>
            <w:hideMark/>
          </w:tcPr>
          <w:p w14:paraId="19A2D052" w14:textId="77777777" w:rsidR="00000000" w:rsidRDefault="00A173A8">
            <w:pPr>
              <w:spacing w:after="100"/>
              <w:rPr>
                <w:rFonts w:eastAsia="Times New Roman"/>
                <w:sz w:val="20"/>
                <w:szCs w:val="20"/>
              </w:rPr>
            </w:pPr>
          </w:p>
        </w:tc>
        <w:tc>
          <w:tcPr>
            <w:tcW w:w="0" w:type="auto"/>
            <w:gridSpan w:val="3"/>
            <w:vAlign w:val="center"/>
            <w:hideMark/>
          </w:tcPr>
          <w:p w14:paraId="161E99DB" w14:textId="77777777" w:rsidR="00000000" w:rsidRDefault="00A173A8">
            <w:pPr>
              <w:spacing w:after="100"/>
              <w:rPr>
                <w:rFonts w:eastAsia="Times New Roman"/>
                <w:sz w:val="20"/>
                <w:szCs w:val="20"/>
              </w:rPr>
            </w:pPr>
          </w:p>
        </w:tc>
        <w:tc>
          <w:tcPr>
            <w:tcW w:w="0" w:type="auto"/>
            <w:gridSpan w:val="3"/>
            <w:vAlign w:val="center"/>
            <w:hideMark/>
          </w:tcPr>
          <w:p w14:paraId="2F0125A6" w14:textId="77777777" w:rsidR="00000000" w:rsidRDefault="00A173A8">
            <w:pPr>
              <w:spacing w:after="100"/>
              <w:rPr>
                <w:rFonts w:eastAsia="Times New Roman"/>
                <w:sz w:val="20"/>
                <w:szCs w:val="20"/>
              </w:rPr>
            </w:pPr>
          </w:p>
        </w:tc>
        <w:tc>
          <w:tcPr>
            <w:tcW w:w="0" w:type="auto"/>
            <w:gridSpan w:val="3"/>
            <w:vAlign w:val="center"/>
            <w:hideMark/>
          </w:tcPr>
          <w:p w14:paraId="5A0E28E5" w14:textId="77777777" w:rsidR="00000000" w:rsidRDefault="00A173A8">
            <w:pPr>
              <w:spacing w:after="100"/>
              <w:rPr>
                <w:rFonts w:eastAsia="Times New Roman"/>
                <w:sz w:val="20"/>
                <w:szCs w:val="20"/>
              </w:rPr>
            </w:pPr>
          </w:p>
        </w:tc>
        <w:tc>
          <w:tcPr>
            <w:tcW w:w="0" w:type="auto"/>
            <w:gridSpan w:val="3"/>
            <w:vAlign w:val="center"/>
            <w:hideMark/>
          </w:tcPr>
          <w:p w14:paraId="6C43BFFE" w14:textId="77777777" w:rsidR="00000000" w:rsidRDefault="00A173A8">
            <w:pPr>
              <w:spacing w:after="100"/>
              <w:rPr>
                <w:rFonts w:eastAsia="Times New Roman"/>
                <w:sz w:val="20"/>
                <w:szCs w:val="20"/>
              </w:rPr>
            </w:pPr>
          </w:p>
        </w:tc>
        <w:tc>
          <w:tcPr>
            <w:tcW w:w="0" w:type="auto"/>
            <w:gridSpan w:val="3"/>
            <w:vAlign w:val="center"/>
            <w:hideMark/>
          </w:tcPr>
          <w:p w14:paraId="7E295534" w14:textId="77777777" w:rsidR="00000000" w:rsidRDefault="00A173A8">
            <w:pPr>
              <w:spacing w:after="100"/>
              <w:rPr>
                <w:rFonts w:eastAsia="Times New Roman"/>
                <w:sz w:val="20"/>
                <w:szCs w:val="20"/>
              </w:rPr>
            </w:pPr>
          </w:p>
        </w:tc>
        <w:tc>
          <w:tcPr>
            <w:tcW w:w="0" w:type="auto"/>
            <w:gridSpan w:val="3"/>
            <w:vAlign w:val="center"/>
            <w:hideMark/>
          </w:tcPr>
          <w:p w14:paraId="12B69551" w14:textId="77777777" w:rsidR="00000000" w:rsidRDefault="00A173A8">
            <w:pPr>
              <w:spacing w:after="100"/>
              <w:rPr>
                <w:rFonts w:eastAsia="Times New Roman"/>
                <w:sz w:val="20"/>
                <w:szCs w:val="20"/>
              </w:rPr>
            </w:pPr>
          </w:p>
        </w:tc>
        <w:tc>
          <w:tcPr>
            <w:tcW w:w="0" w:type="auto"/>
            <w:gridSpan w:val="3"/>
            <w:vAlign w:val="center"/>
            <w:hideMark/>
          </w:tcPr>
          <w:p w14:paraId="018B0DC9" w14:textId="77777777" w:rsidR="00000000" w:rsidRDefault="00A173A8">
            <w:pPr>
              <w:spacing w:after="100"/>
              <w:rPr>
                <w:rFonts w:eastAsia="Times New Roman"/>
                <w:sz w:val="20"/>
                <w:szCs w:val="20"/>
              </w:rPr>
            </w:pPr>
          </w:p>
        </w:tc>
        <w:tc>
          <w:tcPr>
            <w:tcW w:w="0" w:type="auto"/>
            <w:gridSpan w:val="3"/>
            <w:vAlign w:val="center"/>
            <w:hideMark/>
          </w:tcPr>
          <w:p w14:paraId="4E9C84D3" w14:textId="77777777" w:rsidR="00000000" w:rsidRDefault="00A173A8">
            <w:pPr>
              <w:spacing w:after="100"/>
              <w:rPr>
                <w:rFonts w:eastAsia="Times New Roman"/>
                <w:sz w:val="20"/>
                <w:szCs w:val="20"/>
              </w:rPr>
            </w:pPr>
          </w:p>
        </w:tc>
        <w:tc>
          <w:tcPr>
            <w:tcW w:w="0" w:type="auto"/>
            <w:gridSpan w:val="3"/>
            <w:vAlign w:val="center"/>
            <w:hideMark/>
          </w:tcPr>
          <w:p w14:paraId="65A08451" w14:textId="77777777" w:rsidR="00000000" w:rsidRDefault="00A173A8">
            <w:pPr>
              <w:spacing w:after="100"/>
              <w:rPr>
                <w:rFonts w:eastAsia="Times New Roman"/>
                <w:sz w:val="20"/>
                <w:szCs w:val="20"/>
              </w:rPr>
            </w:pPr>
          </w:p>
        </w:tc>
        <w:tc>
          <w:tcPr>
            <w:tcW w:w="0" w:type="auto"/>
            <w:gridSpan w:val="3"/>
            <w:vAlign w:val="center"/>
            <w:hideMark/>
          </w:tcPr>
          <w:p w14:paraId="5A0111C8" w14:textId="77777777" w:rsidR="00000000" w:rsidRDefault="00A173A8">
            <w:pPr>
              <w:spacing w:after="100"/>
              <w:rPr>
                <w:rFonts w:eastAsia="Times New Roman"/>
                <w:sz w:val="20"/>
                <w:szCs w:val="20"/>
              </w:rPr>
            </w:pPr>
          </w:p>
        </w:tc>
      </w:tr>
      <w:tr w:rsidR="00000000" w14:paraId="785B0E14" w14:textId="77777777">
        <w:trPr>
          <w:jc w:val="center"/>
        </w:trPr>
        <w:tc>
          <w:tcPr>
            <w:tcW w:w="0" w:type="auto"/>
            <w:gridSpan w:val="3"/>
            <w:shd w:val="clear" w:color="auto" w:fill="CCEEFF"/>
            <w:tcMar>
              <w:top w:w="30" w:type="dxa"/>
              <w:left w:w="20" w:type="dxa"/>
              <w:bottom w:w="30" w:type="dxa"/>
              <w:right w:w="20" w:type="dxa"/>
            </w:tcMar>
            <w:vAlign w:val="center"/>
            <w:hideMark/>
          </w:tcPr>
          <w:p w14:paraId="7BCCB3CF" w14:textId="77777777" w:rsidR="00000000" w:rsidRDefault="00A173A8">
            <w:pPr>
              <w:spacing w:after="100"/>
              <w:rPr>
                <w:rFonts w:eastAsia="Times New Roman"/>
              </w:rPr>
            </w:pPr>
            <w:r>
              <w:rPr>
                <w:rFonts w:eastAsia="Times New Roman"/>
                <w:color w:val="000000"/>
                <w:sz w:val="16"/>
                <w:szCs w:val="16"/>
              </w:rPr>
              <w:t>Net income (loss) per basic common share</w:t>
            </w:r>
          </w:p>
        </w:tc>
        <w:tc>
          <w:tcPr>
            <w:tcW w:w="0" w:type="auto"/>
            <w:gridSpan w:val="3"/>
            <w:shd w:val="clear" w:color="auto" w:fill="CCEEFF"/>
            <w:tcMar>
              <w:top w:w="0" w:type="dxa"/>
              <w:left w:w="20" w:type="dxa"/>
              <w:bottom w:w="0" w:type="dxa"/>
              <w:right w:w="20" w:type="dxa"/>
            </w:tcMar>
            <w:vAlign w:val="center"/>
            <w:hideMark/>
          </w:tcPr>
          <w:p w14:paraId="771B0A00"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35BA14D"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D47F830" w14:textId="77777777" w:rsidR="00000000" w:rsidRDefault="00A173A8">
            <w:pPr>
              <w:spacing w:after="100"/>
              <w:jc w:val="right"/>
              <w:rPr>
                <w:rFonts w:eastAsia="Times New Roman"/>
              </w:rPr>
            </w:pPr>
            <w:r>
              <w:rPr>
                <w:rFonts w:eastAsia="Times New Roman"/>
                <w:b/>
                <w:bCs/>
                <w:color w:val="000000"/>
                <w:sz w:val="16"/>
                <w:szCs w:val="16"/>
              </w:rPr>
              <w:t>4.98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0934E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EAE1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0A8DEEE"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97D03A3" w14:textId="77777777" w:rsidR="00000000" w:rsidRDefault="00A173A8">
            <w:pPr>
              <w:spacing w:after="100"/>
              <w:jc w:val="right"/>
              <w:rPr>
                <w:rFonts w:eastAsia="Times New Roman"/>
              </w:rPr>
            </w:pPr>
            <w:r>
              <w:rPr>
                <w:rFonts w:eastAsia="Times New Roman"/>
                <w:color w:val="000000"/>
                <w:sz w:val="16"/>
                <w:szCs w:val="16"/>
              </w:rPr>
              <w:t>7.65 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01606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DB2CC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2508E7B"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776B829" w14:textId="77777777" w:rsidR="00000000" w:rsidRDefault="00A173A8">
            <w:pPr>
              <w:spacing w:after="100"/>
              <w:jc w:val="right"/>
              <w:rPr>
                <w:rFonts w:eastAsia="Times New Roman"/>
              </w:rPr>
            </w:pPr>
            <w:r>
              <w:rPr>
                <w:rFonts w:eastAsia="Times New Roman"/>
                <w:b/>
                <w:bCs/>
                <w:color w:val="000000"/>
                <w:sz w:val="16"/>
                <w:szCs w:val="16"/>
              </w:rPr>
              <w:t>10.65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83CE9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986A1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129DC66"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DF9272C" w14:textId="77777777" w:rsidR="00000000" w:rsidRDefault="00A173A8">
            <w:pPr>
              <w:spacing w:after="100"/>
              <w:jc w:val="right"/>
              <w:rPr>
                <w:rFonts w:eastAsia="Times New Roman"/>
              </w:rPr>
            </w:pPr>
            <w:r>
              <w:rPr>
                <w:rFonts w:eastAsia="Times New Roman"/>
                <w:color w:val="000000"/>
                <w:sz w:val="16"/>
                <w:szCs w:val="16"/>
              </w:rPr>
              <w:t>14.70 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A608EF5" w14:textId="77777777" w:rsidR="00000000" w:rsidRDefault="00A173A8">
            <w:pPr>
              <w:spacing w:after="100"/>
              <w:jc w:val="right"/>
              <w:rPr>
                <w:rFonts w:eastAsia="Times New Roman"/>
              </w:rPr>
            </w:pPr>
          </w:p>
        </w:tc>
        <w:tc>
          <w:tcPr>
            <w:tcW w:w="0" w:type="auto"/>
            <w:gridSpan w:val="3"/>
            <w:vAlign w:val="center"/>
            <w:hideMark/>
          </w:tcPr>
          <w:p w14:paraId="6559543F" w14:textId="77777777" w:rsidR="00000000" w:rsidRDefault="00A173A8">
            <w:pPr>
              <w:spacing w:after="100"/>
              <w:jc w:val="right"/>
              <w:rPr>
                <w:rFonts w:eastAsia="Times New Roman"/>
                <w:sz w:val="20"/>
                <w:szCs w:val="20"/>
              </w:rPr>
            </w:pPr>
          </w:p>
        </w:tc>
        <w:tc>
          <w:tcPr>
            <w:tcW w:w="0" w:type="auto"/>
            <w:gridSpan w:val="3"/>
            <w:vAlign w:val="center"/>
            <w:hideMark/>
          </w:tcPr>
          <w:p w14:paraId="2F01EFD8" w14:textId="77777777" w:rsidR="00000000" w:rsidRDefault="00A173A8">
            <w:pPr>
              <w:spacing w:after="100"/>
              <w:rPr>
                <w:rFonts w:eastAsia="Times New Roman"/>
                <w:sz w:val="20"/>
                <w:szCs w:val="20"/>
              </w:rPr>
            </w:pPr>
          </w:p>
        </w:tc>
      </w:tr>
      <w:tr w:rsidR="00000000" w14:paraId="6FA54220" w14:textId="77777777">
        <w:trPr>
          <w:jc w:val="center"/>
        </w:trPr>
        <w:tc>
          <w:tcPr>
            <w:tcW w:w="0" w:type="auto"/>
            <w:gridSpan w:val="3"/>
            <w:shd w:val="clear" w:color="auto" w:fill="FFFFFF"/>
            <w:tcMar>
              <w:top w:w="30" w:type="dxa"/>
              <w:left w:w="20" w:type="dxa"/>
              <w:bottom w:w="30" w:type="dxa"/>
              <w:right w:w="20" w:type="dxa"/>
            </w:tcMar>
            <w:vAlign w:val="center"/>
            <w:hideMark/>
          </w:tcPr>
          <w:p w14:paraId="58380296" w14:textId="77777777" w:rsidR="00000000" w:rsidRDefault="00A173A8">
            <w:pPr>
              <w:spacing w:after="100"/>
              <w:rPr>
                <w:rFonts w:eastAsia="Times New Roman"/>
              </w:rPr>
            </w:pPr>
            <w:r>
              <w:rPr>
                <w:rFonts w:eastAsia="Times New Roman"/>
                <w:b/>
                <w:bCs/>
                <w:color w:val="000000"/>
                <w:sz w:val="16"/>
                <w:szCs w:val="16"/>
              </w:rPr>
              <w:t>Diluted earnings per common share:</w:t>
            </w:r>
          </w:p>
        </w:tc>
        <w:tc>
          <w:tcPr>
            <w:tcW w:w="0" w:type="auto"/>
            <w:gridSpan w:val="3"/>
            <w:shd w:val="clear" w:color="auto" w:fill="FFFFFF"/>
            <w:tcMar>
              <w:top w:w="0" w:type="dxa"/>
              <w:left w:w="20" w:type="dxa"/>
              <w:bottom w:w="0" w:type="dxa"/>
              <w:right w:w="20" w:type="dxa"/>
            </w:tcMar>
            <w:vAlign w:val="center"/>
            <w:hideMark/>
          </w:tcPr>
          <w:p w14:paraId="77C80EED"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0F1A38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1ADDE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BF2C9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1FC3D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A85D5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122E84"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8F8294" w14:textId="77777777" w:rsidR="00000000" w:rsidRDefault="00A173A8">
            <w:pPr>
              <w:spacing w:after="100"/>
              <w:rPr>
                <w:rFonts w:eastAsia="Times New Roman"/>
                <w:sz w:val="20"/>
                <w:szCs w:val="20"/>
              </w:rPr>
            </w:pPr>
          </w:p>
        </w:tc>
        <w:tc>
          <w:tcPr>
            <w:tcW w:w="0" w:type="auto"/>
            <w:gridSpan w:val="3"/>
            <w:vAlign w:val="center"/>
            <w:hideMark/>
          </w:tcPr>
          <w:p w14:paraId="0E912EBA" w14:textId="77777777" w:rsidR="00000000" w:rsidRDefault="00A173A8">
            <w:pPr>
              <w:spacing w:after="100"/>
              <w:rPr>
                <w:rFonts w:eastAsia="Times New Roman"/>
                <w:sz w:val="20"/>
                <w:szCs w:val="20"/>
              </w:rPr>
            </w:pPr>
          </w:p>
        </w:tc>
        <w:tc>
          <w:tcPr>
            <w:tcW w:w="0" w:type="auto"/>
            <w:gridSpan w:val="3"/>
            <w:vAlign w:val="center"/>
            <w:hideMark/>
          </w:tcPr>
          <w:p w14:paraId="72BA4991" w14:textId="77777777" w:rsidR="00000000" w:rsidRDefault="00A173A8">
            <w:pPr>
              <w:spacing w:after="100"/>
              <w:rPr>
                <w:rFonts w:eastAsia="Times New Roman"/>
                <w:sz w:val="20"/>
                <w:szCs w:val="20"/>
              </w:rPr>
            </w:pPr>
          </w:p>
        </w:tc>
      </w:tr>
      <w:tr w:rsidR="00000000" w14:paraId="4C5B94DA" w14:textId="77777777">
        <w:trPr>
          <w:jc w:val="center"/>
        </w:trPr>
        <w:tc>
          <w:tcPr>
            <w:tcW w:w="0" w:type="auto"/>
            <w:gridSpan w:val="3"/>
            <w:shd w:val="clear" w:color="auto" w:fill="CCEEFF"/>
            <w:tcMar>
              <w:top w:w="30" w:type="dxa"/>
              <w:left w:w="20" w:type="dxa"/>
              <w:bottom w:w="30" w:type="dxa"/>
              <w:right w:w="20" w:type="dxa"/>
            </w:tcMar>
            <w:vAlign w:val="center"/>
            <w:hideMark/>
          </w:tcPr>
          <w:p w14:paraId="31E6A89B" w14:textId="77777777" w:rsidR="00000000" w:rsidRDefault="00A173A8">
            <w:pPr>
              <w:spacing w:after="100"/>
              <w:rPr>
                <w:rFonts w:eastAsia="Times New Roman"/>
              </w:rPr>
            </w:pPr>
            <w:r>
              <w:rPr>
                <w:rFonts w:eastAsia="Times New Roman"/>
                <w:color w:val="000000"/>
                <w:sz w:val="16"/>
                <w:szCs w:val="16"/>
              </w:rPr>
              <w:t>Net income from continuing operations</w:t>
            </w:r>
          </w:p>
        </w:tc>
        <w:tc>
          <w:tcPr>
            <w:tcW w:w="0" w:type="auto"/>
            <w:gridSpan w:val="3"/>
            <w:shd w:val="clear" w:color="auto" w:fill="CCEEFF"/>
            <w:tcMar>
              <w:top w:w="0" w:type="dxa"/>
              <w:left w:w="20" w:type="dxa"/>
              <w:bottom w:w="0" w:type="dxa"/>
              <w:right w:w="20" w:type="dxa"/>
            </w:tcMar>
            <w:vAlign w:val="center"/>
            <w:hideMark/>
          </w:tcPr>
          <w:p w14:paraId="78DF1A32"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21FCF2D7"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7FFCF38D" w14:textId="77777777" w:rsidR="00000000" w:rsidRDefault="00A173A8">
            <w:pPr>
              <w:spacing w:after="100"/>
              <w:jc w:val="right"/>
              <w:rPr>
                <w:rFonts w:eastAsia="Times New Roman"/>
              </w:rPr>
            </w:pPr>
            <w:r>
              <w:rPr>
                <w:rFonts w:eastAsia="Times New Roman"/>
                <w:b/>
                <w:bCs/>
                <w:color w:val="000000"/>
                <w:sz w:val="16"/>
                <w:szCs w:val="16"/>
              </w:rPr>
              <w:t>4.96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618531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37B448"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A0BE05D"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04AAF7BA" w14:textId="77777777" w:rsidR="00000000" w:rsidRDefault="00A173A8">
            <w:pPr>
              <w:spacing w:after="100"/>
              <w:jc w:val="right"/>
              <w:rPr>
                <w:rFonts w:eastAsia="Times New Roman"/>
              </w:rPr>
            </w:pPr>
            <w:r>
              <w:rPr>
                <w:rFonts w:eastAsia="Times New Roman"/>
                <w:color w:val="000000"/>
                <w:sz w:val="16"/>
                <w:szCs w:val="16"/>
              </w:rPr>
              <w:t>7.62 </w:t>
            </w:r>
          </w:p>
        </w:tc>
        <w:tc>
          <w:tcPr>
            <w:tcW w:w="0" w:type="auto"/>
            <w:shd w:val="clear" w:color="auto" w:fill="CCEEFF"/>
            <w:tcMar>
              <w:top w:w="30" w:type="dxa"/>
              <w:left w:w="0" w:type="dxa"/>
              <w:bottom w:w="30" w:type="dxa"/>
              <w:right w:w="20" w:type="dxa"/>
            </w:tcMar>
            <w:vAlign w:val="center"/>
            <w:hideMark/>
          </w:tcPr>
          <w:p w14:paraId="2DEE46E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23E052"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06164AE"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13605E93" w14:textId="77777777" w:rsidR="00000000" w:rsidRDefault="00A173A8">
            <w:pPr>
              <w:spacing w:after="100"/>
              <w:jc w:val="right"/>
              <w:rPr>
                <w:rFonts w:eastAsia="Times New Roman"/>
              </w:rPr>
            </w:pPr>
            <w:r>
              <w:rPr>
                <w:rFonts w:eastAsia="Times New Roman"/>
                <w:b/>
                <w:bCs/>
                <w:color w:val="000000"/>
                <w:sz w:val="16"/>
                <w:szCs w:val="16"/>
              </w:rPr>
              <w:t>10.61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318EE7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803201"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70B18D2"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3FC3FC91" w14:textId="77777777" w:rsidR="00000000" w:rsidRDefault="00A173A8">
            <w:pPr>
              <w:spacing w:after="100"/>
              <w:jc w:val="right"/>
              <w:rPr>
                <w:rFonts w:eastAsia="Times New Roman"/>
              </w:rPr>
            </w:pPr>
            <w:r>
              <w:rPr>
                <w:rFonts w:eastAsia="Times New Roman"/>
                <w:color w:val="000000"/>
                <w:sz w:val="16"/>
                <w:szCs w:val="16"/>
              </w:rPr>
              <w:t>14.65 </w:t>
            </w:r>
          </w:p>
        </w:tc>
        <w:tc>
          <w:tcPr>
            <w:tcW w:w="0" w:type="auto"/>
            <w:shd w:val="clear" w:color="auto" w:fill="CCEEFF"/>
            <w:tcMar>
              <w:top w:w="30" w:type="dxa"/>
              <w:left w:w="0" w:type="dxa"/>
              <w:bottom w:w="30" w:type="dxa"/>
              <w:right w:w="20" w:type="dxa"/>
            </w:tcMar>
            <w:vAlign w:val="center"/>
            <w:hideMark/>
          </w:tcPr>
          <w:p w14:paraId="5CBD1D11" w14:textId="77777777" w:rsidR="00000000" w:rsidRDefault="00A173A8">
            <w:pPr>
              <w:spacing w:after="100"/>
              <w:jc w:val="right"/>
              <w:rPr>
                <w:rFonts w:eastAsia="Times New Roman"/>
              </w:rPr>
            </w:pPr>
          </w:p>
        </w:tc>
        <w:tc>
          <w:tcPr>
            <w:tcW w:w="0" w:type="auto"/>
            <w:gridSpan w:val="3"/>
            <w:vAlign w:val="center"/>
            <w:hideMark/>
          </w:tcPr>
          <w:p w14:paraId="5E10FF93" w14:textId="77777777" w:rsidR="00000000" w:rsidRDefault="00A173A8">
            <w:pPr>
              <w:spacing w:after="100"/>
              <w:jc w:val="right"/>
              <w:rPr>
                <w:rFonts w:eastAsia="Times New Roman"/>
                <w:sz w:val="20"/>
                <w:szCs w:val="20"/>
              </w:rPr>
            </w:pPr>
          </w:p>
        </w:tc>
        <w:tc>
          <w:tcPr>
            <w:tcW w:w="0" w:type="auto"/>
            <w:gridSpan w:val="3"/>
            <w:vAlign w:val="center"/>
            <w:hideMark/>
          </w:tcPr>
          <w:p w14:paraId="4D29818B" w14:textId="77777777" w:rsidR="00000000" w:rsidRDefault="00A173A8">
            <w:pPr>
              <w:spacing w:after="100"/>
              <w:rPr>
                <w:rFonts w:eastAsia="Times New Roman"/>
                <w:sz w:val="20"/>
                <w:szCs w:val="20"/>
              </w:rPr>
            </w:pPr>
          </w:p>
        </w:tc>
      </w:tr>
      <w:tr w:rsidR="00000000" w14:paraId="0A89528C" w14:textId="77777777">
        <w:trPr>
          <w:jc w:val="center"/>
        </w:trPr>
        <w:tc>
          <w:tcPr>
            <w:tcW w:w="0" w:type="auto"/>
            <w:gridSpan w:val="3"/>
            <w:vAlign w:val="center"/>
            <w:hideMark/>
          </w:tcPr>
          <w:p w14:paraId="706A437D" w14:textId="77777777" w:rsidR="00000000" w:rsidRDefault="00A173A8">
            <w:pPr>
              <w:spacing w:after="100"/>
              <w:rPr>
                <w:rFonts w:eastAsia="Times New Roman"/>
                <w:sz w:val="20"/>
                <w:szCs w:val="20"/>
              </w:rPr>
            </w:pPr>
          </w:p>
        </w:tc>
        <w:tc>
          <w:tcPr>
            <w:tcW w:w="0" w:type="auto"/>
            <w:gridSpan w:val="3"/>
            <w:vAlign w:val="center"/>
            <w:hideMark/>
          </w:tcPr>
          <w:p w14:paraId="37ABF983" w14:textId="77777777" w:rsidR="00000000" w:rsidRDefault="00A173A8">
            <w:pPr>
              <w:spacing w:after="100"/>
              <w:rPr>
                <w:rFonts w:eastAsia="Times New Roman"/>
                <w:sz w:val="20"/>
                <w:szCs w:val="20"/>
              </w:rPr>
            </w:pPr>
          </w:p>
        </w:tc>
        <w:tc>
          <w:tcPr>
            <w:tcW w:w="0" w:type="auto"/>
            <w:gridSpan w:val="3"/>
            <w:vAlign w:val="center"/>
            <w:hideMark/>
          </w:tcPr>
          <w:p w14:paraId="5B8FEE08" w14:textId="77777777" w:rsidR="00000000" w:rsidRDefault="00A173A8">
            <w:pPr>
              <w:spacing w:after="100"/>
              <w:rPr>
                <w:rFonts w:eastAsia="Times New Roman"/>
                <w:sz w:val="20"/>
                <w:szCs w:val="20"/>
              </w:rPr>
            </w:pPr>
          </w:p>
        </w:tc>
        <w:tc>
          <w:tcPr>
            <w:tcW w:w="0" w:type="auto"/>
            <w:gridSpan w:val="3"/>
            <w:vAlign w:val="center"/>
            <w:hideMark/>
          </w:tcPr>
          <w:p w14:paraId="3BAB81C6" w14:textId="77777777" w:rsidR="00000000" w:rsidRDefault="00A173A8">
            <w:pPr>
              <w:spacing w:after="100"/>
              <w:rPr>
                <w:rFonts w:eastAsia="Times New Roman"/>
                <w:sz w:val="20"/>
                <w:szCs w:val="20"/>
              </w:rPr>
            </w:pPr>
          </w:p>
        </w:tc>
        <w:tc>
          <w:tcPr>
            <w:tcW w:w="0" w:type="auto"/>
            <w:gridSpan w:val="3"/>
            <w:vAlign w:val="center"/>
            <w:hideMark/>
          </w:tcPr>
          <w:p w14:paraId="3D9E4CBE" w14:textId="77777777" w:rsidR="00000000" w:rsidRDefault="00A173A8">
            <w:pPr>
              <w:spacing w:after="100"/>
              <w:rPr>
                <w:rFonts w:eastAsia="Times New Roman"/>
                <w:sz w:val="20"/>
                <w:szCs w:val="20"/>
              </w:rPr>
            </w:pPr>
          </w:p>
        </w:tc>
        <w:tc>
          <w:tcPr>
            <w:tcW w:w="0" w:type="auto"/>
            <w:gridSpan w:val="3"/>
            <w:vAlign w:val="center"/>
            <w:hideMark/>
          </w:tcPr>
          <w:p w14:paraId="7CF2D742" w14:textId="77777777" w:rsidR="00000000" w:rsidRDefault="00A173A8">
            <w:pPr>
              <w:spacing w:after="100"/>
              <w:rPr>
                <w:rFonts w:eastAsia="Times New Roman"/>
                <w:sz w:val="20"/>
                <w:szCs w:val="20"/>
              </w:rPr>
            </w:pPr>
          </w:p>
        </w:tc>
        <w:tc>
          <w:tcPr>
            <w:tcW w:w="0" w:type="auto"/>
            <w:gridSpan w:val="3"/>
            <w:vAlign w:val="center"/>
            <w:hideMark/>
          </w:tcPr>
          <w:p w14:paraId="0B38EEB3" w14:textId="77777777" w:rsidR="00000000" w:rsidRDefault="00A173A8">
            <w:pPr>
              <w:spacing w:after="100"/>
              <w:rPr>
                <w:rFonts w:eastAsia="Times New Roman"/>
                <w:sz w:val="20"/>
                <w:szCs w:val="20"/>
              </w:rPr>
            </w:pPr>
          </w:p>
        </w:tc>
        <w:tc>
          <w:tcPr>
            <w:tcW w:w="0" w:type="auto"/>
            <w:gridSpan w:val="3"/>
            <w:vAlign w:val="center"/>
            <w:hideMark/>
          </w:tcPr>
          <w:p w14:paraId="2229F5E9" w14:textId="77777777" w:rsidR="00000000" w:rsidRDefault="00A173A8">
            <w:pPr>
              <w:spacing w:after="100"/>
              <w:rPr>
                <w:rFonts w:eastAsia="Times New Roman"/>
                <w:sz w:val="20"/>
                <w:szCs w:val="20"/>
              </w:rPr>
            </w:pPr>
          </w:p>
        </w:tc>
        <w:tc>
          <w:tcPr>
            <w:tcW w:w="0" w:type="auto"/>
            <w:gridSpan w:val="3"/>
            <w:vAlign w:val="center"/>
            <w:hideMark/>
          </w:tcPr>
          <w:p w14:paraId="3ECBBDEB" w14:textId="77777777" w:rsidR="00000000" w:rsidRDefault="00A173A8">
            <w:pPr>
              <w:spacing w:after="100"/>
              <w:rPr>
                <w:rFonts w:eastAsia="Times New Roman"/>
                <w:sz w:val="20"/>
                <w:szCs w:val="20"/>
              </w:rPr>
            </w:pPr>
          </w:p>
        </w:tc>
        <w:tc>
          <w:tcPr>
            <w:tcW w:w="0" w:type="auto"/>
            <w:gridSpan w:val="3"/>
            <w:vAlign w:val="center"/>
            <w:hideMark/>
          </w:tcPr>
          <w:p w14:paraId="2941A4C8" w14:textId="77777777" w:rsidR="00000000" w:rsidRDefault="00A173A8">
            <w:pPr>
              <w:spacing w:after="100"/>
              <w:rPr>
                <w:rFonts w:eastAsia="Times New Roman"/>
                <w:sz w:val="20"/>
                <w:szCs w:val="20"/>
              </w:rPr>
            </w:pPr>
          </w:p>
        </w:tc>
        <w:tc>
          <w:tcPr>
            <w:tcW w:w="0" w:type="auto"/>
            <w:gridSpan w:val="3"/>
            <w:vAlign w:val="center"/>
            <w:hideMark/>
          </w:tcPr>
          <w:p w14:paraId="565B6046" w14:textId="77777777" w:rsidR="00000000" w:rsidRDefault="00A173A8">
            <w:pPr>
              <w:spacing w:after="100"/>
              <w:rPr>
                <w:rFonts w:eastAsia="Times New Roman"/>
                <w:sz w:val="20"/>
                <w:szCs w:val="20"/>
              </w:rPr>
            </w:pPr>
          </w:p>
        </w:tc>
      </w:tr>
      <w:tr w:rsidR="00000000" w14:paraId="3148EED1" w14:textId="77777777">
        <w:trPr>
          <w:jc w:val="center"/>
        </w:trPr>
        <w:tc>
          <w:tcPr>
            <w:tcW w:w="0" w:type="auto"/>
            <w:gridSpan w:val="3"/>
            <w:shd w:val="clear" w:color="auto" w:fill="FFFFFF"/>
            <w:tcMar>
              <w:top w:w="30" w:type="dxa"/>
              <w:left w:w="20" w:type="dxa"/>
              <w:bottom w:w="30" w:type="dxa"/>
              <w:right w:w="20" w:type="dxa"/>
            </w:tcMar>
            <w:vAlign w:val="center"/>
            <w:hideMark/>
          </w:tcPr>
          <w:p w14:paraId="513074AA" w14:textId="77777777" w:rsidR="00000000" w:rsidRDefault="00A173A8">
            <w:pPr>
              <w:spacing w:after="100"/>
              <w:rPr>
                <w:rFonts w:eastAsia="Times New Roman"/>
              </w:rPr>
            </w:pPr>
            <w:r>
              <w:rPr>
                <w:rFonts w:eastAsia="Times New Roman"/>
                <w:color w:val="000000"/>
                <w:sz w:val="16"/>
                <w:szCs w:val="16"/>
              </w:rPr>
              <w:t>Net income (loss) per diluted common share</w:t>
            </w:r>
          </w:p>
        </w:tc>
        <w:tc>
          <w:tcPr>
            <w:tcW w:w="0" w:type="auto"/>
            <w:gridSpan w:val="3"/>
            <w:shd w:val="clear" w:color="auto" w:fill="FFFFFF"/>
            <w:tcMar>
              <w:top w:w="0" w:type="dxa"/>
              <w:left w:w="20" w:type="dxa"/>
              <w:bottom w:w="0" w:type="dxa"/>
              <w:right w:w="20" w:type="dxa"/>
            </w:tcMar>
            <w:vAlign w:val="center"/>
            <w:hideMark/>
          </w:tcPr>
          <w:p w14:paraId="4AF87340"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86A41C1"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F696B58" w14:textId="77777777" w:rsidR="00000000" w:rsidRDefault="00A173A8">
            <w:pPr>
              <w:spacing w:after="100"/>
              <w:jc w:val="right"/>
              <w:rPr>
                <w:rFonts w:eastAsia="Times New Roman"/>
              </w:rPr>
            </w:pPr>
            <w:r>
              <w:rPr>
                <w:rFonts w:eastAsia="Times New Roman"/>
                <w:b/>
                <w:bCs/>
                <w:color w:val="000000"/>
                <w:sz w:val="16"/>
                <w:szCs w:val="16"/>
              </w:rPr>
              <w:t>4.96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A47EDD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BB63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909E113"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B0C7D3B" w14:textId="77777777" w:rsidR="00000000" w:rsidRDefault="00A173A8">
            <w:pPr>
              <w:spacing w:after="100"/>
              <w:jc w:val="right"/>
              <w:rPr>
                <w:rFonts w:eastAsia="Times New Roman"/>
              </w:rPr>
            </w:pPr>
            <w:r>
              <w:rPr>
                <w:rFonts w:eastAsia="Times New Roman"/>
                <w:color w:val="000000"/>
                <w:sz w:val="16"/>
                <w:szCs w:val="16"/>
              </w:rPr>
              <w:t>7.62 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92D067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EE33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640A8DA"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99A792D" w14:textId="77777777" w:rsidR="00000000" w:rsidRDefault="00A173A8">
            <w:pPr>
              <w:spacing w:after="100"/>
              <w:jc w:val="right"/>
              <w:rPr>
                <w:rFonts w:eastAsia="Times New Roman"/>
              </w:rPr>
            </w:pPr>
            <w:r>
              <w:rPr>
                <w:rFonts w:eastAsia="Times New Roman"/>
                <w:b/>
                <w:bCs/>
                <w:color w:val="000000"/>
                <w:sz w:val="16"/>
                <w:szCs w:val="16"/>
              </w:rPr>
              <w:t>10.61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627A63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2050F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4CFDEEA"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5A78B27" w14:textId="77777777" w:rsidR="00000000" w:rsidRDefault="00A173A8">
            <w:pPr>
              <w:spacing w:after="100"/>
              <w:jc w:val="right"/>
              <w:rPr>
                <w:rFonts w:eastAsia="Times New Roman"/>
              </w:rPr>
            </w:pPr>
            <w:r>
              <w:rPr>
                <w:rFonts w:eastAsia="Times New Roman"/>
                <w:color w:val="000000"/>
                <w:sz w:val="16"/>
                <w:szCs w:val="16"/>
              </w:rPr>
              <w:t>14.65 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7923056" w14:textId="77777777" w:rsidR="00000000" w:rsidRDefault="00A173A8">
            <w:pPr>
              <w:spacing w:after="100"/>
              <w:jc w:val="right"/>
              <w:rPr>
                <w:rFonts w:eastAsia="Times New Roman"/>
              </w:rPr>
            </w:pPr>
          </w:p>
        </w:tc>
        <w:tc>
          <w:tcPr>
            <w:tcW w:w="0" w:type="auto"/>
            <w:gridSpan w:val="3"/>
            <w:vAlign w:val="center"/>
            <w:hideMark/>
          </w:tcPr>
          <w:p w14:paraId="2E550C90" w14:textId="77777777" w:rsidR="00000000" w:rsidRDefault="00A173A8">
            <w:pPr>
              <w:spacing w:after="100"/>
              <w:jc w:val="right"/>
              <w:rPr>
                <w:rFonts w:eastAsia="Times New Roman"/>
                <w:sz w:val="20"/>
                <w:szCs w:val="20"/>
              </w:rPr>
            </w:pPr>
          </w:p>
        </w:tc>
        <w:tc>
          <w:tcPr>
            <w:tcW w:w="0" w:type="auto"/>
            <w:gridSpan w:val="3"/>
            <w:vAlign w:val="center"/>
            <w:hideMark/>
          </w:tcPr>
          <w:p w14:paraId="0FCFC86E" w14:textId="77777777" w:rsidR="00000000" w:rsidRDefault="00A173A8">
            <w:pPr>
              <w:spacing w:after="100"/>
              <w:rPr>
                <w:rFonts w:eastAsia="Times New Roman"/>
                <w:sz w:val="20"/>
                <w:szCs w:val="20"/>
              </w:rPr>
            </w:pPr>
          </w:p>
        </w:tc>
      </w:tr>
    </w:tbl>
    <w:p w14:paraId="55FE8D02" w14:textId="77777777" w:rsidR="00000000" w:rsidRDefault="00A173A8">
      <w:pPr>
        <w:ind w:firstLine="720"/>
        <w:jc w:val="center"/>
        <w:rPr>
          <w:rFonts w:eastAsia="Times New Roman"/>
        </w:rPr>
      </w:pPr>
      <w:r>
        <w:rPr>
          <w:rFonts w:eastAsia="Times New Roman"/>
          <w:color w:val="000000"/>
          <w:sz w:val="20"/>
          <w:szCs w:val="20"/>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16E37DF7" w14:textId="77777777">
        <w:trPr>
          <w:divId w:val="516232755"/>
          <w:jc w:val="center"/>
        </w:trPr>
        <w:tc>
          <w:tcPr>
            <w:tcW w:w="50" w:type="pct"/>
            <w:vAlign w:val="center"/>
            <w:hideMark/>
          </w:tcPr>
          <w:p w14:paraId="217471B3" w14:textId="77777777" w:rsidR="00000000" w:rsidRDefault="00A173A8">
            <w:pPr>
              <w:ind w:firstLine="720"/>
              <w:jc w:val="center"/>
              <w:rPr>
                <w:rFonts w:eastAsia="Times New Roman"/>
              </w:rPr>
            </w:pPr>
          </w:p>
        </w:tc>
        <w:tc>
          <w:tcPr>
            <w:tcW w:w="1606" w:type="pct"/>
            <w:vAlign w:val="center"/>
            <w:hideMark/>
          </w:tcPr>
          <w:p w14:paraId="0B3AB00E" w14:textId="77777777" w:rsidR="00000000" w:rsidRDefault="00A173A8">
            <w:pPr>
              <w:spacing w:after="100"/>
              <w:rPr>
                <w:rFonts w:eastAsia="Times New Roman"/>
                <w:sz w:val="20"/>
                <w:szCs w:val="20"/>
              </w:rPr>
            </w:pPr>
          </w:p>
        </w:tc>
        <w:tc>
          <w:tcPr>
            <w:tcW w:w="5" w:type="pct"/>
            <w:vAlign w:val="center"/>
            <w:hideMark/>
          </w:tcPr>
          <w:p w14:paraId="6580BC43" w14:textId="77777777" w:rsidR="00000000" w:rsidRDefault="00A173A8">
            <w:pPr>
              <w:spacing w:after="100"/>
              <w:rPr>
                <w:rFonts w:eastAsia="Times New Roman"/>
                <w:sz w:val="20"/>
                <w:szCs w:val="20"/>
              </w:rPr>
            </w:pPr>
          </w:p>
        </w:tc>
        <w:tc>
          <w:tcPr>
            <w:tcW w:w="50" w:type="pct"/>
            <w:vAlign w:val="center"/>
            <w:hideMark/>
          </w:tcPr>
          <w:p w14:paraId="16C33281" w14:textId="77777777" w:rsidR="00000000" w:rsidRDefault="00A173A8">
            <w:pPr>
              <w:spacing w:after="100"/>
              <w:rPr>
                <w:rFonts w:eastAsia="Times New Roman"/>
                <w:sz w:val="20"/>
                <w:szCs w:val="20"/>
              </w:rPr>
            </w:pPr>
          </w:p>
        </w:tc>
        <w:tc>
          <w:tcPr>
            <w:tcW w:w="1614" w:type="pct"/>
            <w:vAlign w:val="center"/>
            <w:hideMark/>
          </w:tcPr>
          <w:p w14:paraId="5975425F" w14:textId="77777777" w:rsidR="00000000" w:rsidRDefault="00A173A8">
            <w:pPr>
              <w:spacing w:after="100"/>
              <w:rPr>
                <w:rFonts w:eastAsia="Times New Roman"/>
                <w:sz w:val="20"/>
                <w:szCs w:val="20"/>
              </w:rPr>
            </w:pPr>
          </w:p>
        </w:tc>
        <w:tc>
          <w:tcPr>
            <w:tcW w:w="5" w:type="pct"/>
            <w:vAlign w:val="center"/>
            <w:hideMark/>
          </w:tcPr>
          <w:p w14:paraId="0280299B" w14:textId="77777777" w:rsidR="00000000" w:rsidRDefault="00A173A8">
            <w:pPr>
              <w:spacing w:after="100"/>
              <w:rPr>
                <w:rFonts w:eastAsia="Times New Roman"/>
                <w:sz w:val="20"/>
                <w:szCs w:val="20"/>
              </w:rPr>
            </w:pPr>
          </w:p>
        </w:tc>
        <w:tc>
          <w:tcPr>
            <w:tcW w:w="50" w:type="pct"/>
            <w:vAlign w:val="center"/>
            <w:hideMark/>
          </w:tcPr>
          <w:p w14:paraId="09C8D2CA" w14:textId="77777777" w:rsidR="00000000" w:rsidRDefault="00A173A8">
            <w:pPr>
              <w:spacing w:after="100"/>
              <w:rPr>
                <w:rFonts w:eastAsia="Times New Roman"/>
                <w:sz w:val="20"/>
                <w:szCs w:val="20"/>
              </w:rPr>
            </w:pPr>
          </w:p>
        </w:tc>
        <w:tc>
          <w:tcPr>
            <w:tcW w:w="1614" w:type="pct"/>
            <w:vAlign w:val="center"/>
            <w:hideMark/>
          </w:tcPr>
          <w:p w14:paraId="784B3AB1" w14:textId="77777777" w:rsidR="00000000" w:rsidRDefault="00A173A8">
            <w:pPr>
              <w:spacing w:after="100"/>
              <w:rPr>
                <w:rFonts w:eastAsia="Times New Roman"/>
                <w:sz w:val="20"/>
                <w:szCs w:val="20"/>
              </w:rPr>
            </w:pPr>
          </w:p>
        </w:tc>
        <w:tc>
          <w:tcPr>
            <w:tcW w:w="5" w:type="pct"/>
            <w:vAlign w:val="center"/>
            <w:hideMark/>
          </w:tcPr>
          <w:p w14:paraId="791788AE" w14:textId="77777777" w:rsidR="00000000" w:rsidRDefault="00A173A8">
            <w:pPr>
              <w:spacing w:after="100"/>
              <w:rPr>
                <w:rFonts w:eastAsia="Times New Roman"/>
                <w:sz w:val="20"/>
                <w:szCs w:val="20"/>
              </w:rPr>
            </w:pPr>
          </w:p>
        </w:tc>
      </w:tr>
      <w:tr w:rsidR="00000000" w14:paraId="0C00A542" w14:textId="77777777">
        <w:trPr>
          <w:divId w:val="516232755"/>
          <w:jc w:val="center"/>
        </w:trPr>
        <w:tc>
          <w:tcPr>
            <w:tcW w:w="0" w:type="auto"/>
            <w:gridSpan w:val="9"/>
            <w:tcMar>
              <w:top w:w="30" w:type="dxa"/>
              <w:left w:w="20" w:type="dxa"/>
              <w:bottom w:w="30" w:type="dxa"/>
              <w:right w:w="20" w:type="dxa"/>
            </w:tcMar>
            <w:vAlign w:val="bottom"/>
            <w:hideMark/>
          </w:tcPr>
          <w:p w14:paraId="30641EDC" w14:textId="77777777" w:rsidR="00000000" w:rsidRDefault="00A173A8">
            <w:pPr>
              <w:spacing w:after="100"/>
              <w:jc w:val="center"/>
              <w:rPr>
                <w:rFonts w:eastAsia="Times New Roman"/>
              </w:rPr>
            </w:pPr>
            <w:r>
              <w:rPr>
                <w:rFonts w:eastAsia="Times New Roman"/>
                <w:color w:val="000000"/>
                <w:sz w:val="20"/>
                <w:szCs w:val="20"/>
              </w:rPr>
              <w:t>See Notes to Consolidated Financial Statements.</w:t>
            </w:r>
          </w:p>
        </w:tc>
      </w:tr>
      <w:tr w:rsidR="00000000" w14:paraId="7389FDC1" w14:textId="77777777">
        <w:trPr>
          <w:divId w:val="516232755"/>
          <w:jc w:val="center"/>
        </w:trPr>
        <w:tc>
          <w:tcPr>
            <w:tcW w:w="0" w:type="auto"/>
            <w:gridSpan w:val="3"/>
            <w:tcMar>
              <w:top w:w="0" w:type="dxa"/>
              <w:left w:w="20" w:type="dxa"/>
              <w:bottom w:w="0" w:type="dxa"/>
              <w:right w:w="20" w:type="dxa"/>
            </w:tcMar>
            <w:vAlign w:val="center"/>
            <w:hideMark/>
          </w:tcPr>
          <w:p w14:paraId="0FD08575"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9CA0FC" w14:textId="77777777" w:rsidR="00000000" w:rsidRDefault="00A173A8">
            <w:pPr>
              <w:spacing w:after="100"/>
              <w:jc w:val="center"/>
              <w:rPr>
                <w:rFonts w:eastAsia="Times New Roman"/>
              </w:rPr>
            </w:pPr>
            <w:r>
              <w:rPr>
                <w:rFonts w:eastAsia="Times New Roman"/>
                <w:color w:val="000000"/>
                <w:sz w:val="16"/>
                <w:szCs w:val="16"/>
              </w:rPr>
              <w:t>65</w:t>
            </w:r>
          </w:p>
        </w:tc>
        <w:tc>
          <w:tcPr>
            <w:tcW w:w="0" w:type="auto"/>
            <w:gridSpan w:val="3"/>
            <w:tcMar>
              <w:top w:w="30" w:type="dxa"/>
              <w:left w:w="20" w:type="dxa"/>
              <w:bottom w:w="30" w:type="dxa"/>
              <w:right w:w="20" w:type="dxa"/>
            </w:tcMar>
            <w:vAlign w:val="bottom"/>
            <w:hideMark/>
          </w:tcPr>
          <w:p w14:paraId="0CD8C854"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FD8BAA5" w14:textId="77777777" w:rsidR="00000000" w:rsidRDefault="00A173A8">
      <w:pPr>
        <w:rPr>
          <w:rFonts w:eastAsia="Times New Roman"/>
        </w:rPr>
      </w:pPr>
      <w:r>
        <w:rPr>
          <w:rFonts w:eastAsia="Times New Roman"/>
        </w:rPr>
        <w:pict w14:anchorId="60448DF2">
          <v:rect id="_x0000_i1090" style="width:0;height:1.5pt" o:hralign="center" o:hrstd="t" o:hr="t" fillcolor="#a0a0a0" stroked="f"/>
        </w:pict>
      </w:r>
    </w:p>
    <w:p w14:paraId="087D0437" w14:textId="77777777" w:rsidR="00000000" w:rsidRDefault="00A173A8">
      <w:pPr>
        <w:jc w:val="both"/>
        <w:divId w:val="1090279264"/>
        <w:rPr>
          <w:rFonts w:eastAsia="Times New Roman"/>
        </w:rPr>
      </w:pPr>
      <w:hyperlink w:anchor="i7ffd5d61af6f4722b1b1b07530d51c06_13" w:history="1">
        <w:r>
          <w:rPr>
            <w:rStyle w:val="a3"/>
            <w:rFonts w:eastAsia="Times New Roman"/>
            <w:sz w:val="16"/>
            <w:szCs w:val="16"/>
          </w:rPr>
          <w:t>Table of Contents</w:t>
        </w:r>
      </w:hyperlink>
    </w:p>
    <w:p w14:paraId="3F177544" w14:textId="77777777" w:rsidR="00000000" w:rsidRDefault="00A173A8">
      <w:pPr>
        <w:jc w:val="center"/>
        <w:divId w:val="1090279264"/>
        <w:rPr>
          <w:rFonts w:eastAsia="Times New Roman"/>
        </w:rPr>
      </w:pPr>
    </w:p>
    <w:p w14:paraId="01FA8FE4" w14:textId="77777777" w:rsidR="00000000" w:rsidRDefault="00A173A8">
      <w:pPr>
        <w:jc w:val="center"/>
        <w:divId w:val="1090279264"/>
        <w:rPr>
          <w:rFonts w:eastAsia="Times New Roman"/>
        </w:rPr>
      </w:pPr>
      <w:r>
        <w:rPr>
          <w:rFonts w:eastAsia="Times New Roman"/>
          <w:b/>
          <w:bCs/>
          <w:color w:val="000000"/>
          <w:sz w:val="20"/>
          <w:szCs w:val="20"/>
        </w:rPr>
        <w:t>CAPITAL ONE FINANCIAL CORPORATION</w:t>
      </w:r>
    </w:p>
    <w:p w14:paraId="046EDDAC" w14:textId="77777777" w:rsidR="00000000" w:rsidRDefault="00A173A8">
      <w:pPr>
        <w:jc w:val="center"/>
        <w:divId w:val="1090279264"/>
        <w:rPr>
          <w:rFonts w:eastAsia="Times New Roman"/>
        </w:rPr>
      </w:pPr>
      <w:r>
        <w:rPr>
          <w:rFonts w:eastAsia="Times New Roman"/>
          <w:b/>
          <w:bCs/>
          <w:color w:val="000000"/>
          <w:sz w:val="20"/>
          <w:szCs w:val="20"/>
        </w:rPr>
        <w:t>CONSOLIDATED STATEMENTS OF COMPREHENSIVE INCOME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384"/>
        <w:gridCol w:w="37"/>
        <w:gridCol w:w="36"/>
        <w:gridCol w:w="36"/>
        <w:gridCol w:w="36"/>
        <w:gridCol w:w="100"/>
        <w:gridCol w:w="715"/>
        <w:gridCol w:w="36"/>
        <w:gridCol w:w="36"/>
        <w:gridCol w:w="36"/>
        <w:gridCol w:w="36"/>
        <w:gridCol w:w="100"/>
        <w:gridCol w:w="674"/>
        <w:gridCol w:w="36"/>
        <w:gridCol w:w="36"/>
        <w:gridCol w:w="36"/>
        <w:gridCol w:w="36"/>
        <w:gridCol w:w="100"/>
        <w:gridCol w:w="675"/>
        <w:gridCol w:w="36"/>
        <w:gridCol w:w="36"/>
        <w:gridCol w:w="36"/>
        <w:gridCol w:w="36"/>
        <w:gridCol w:w="100"/>
        <w:gridCol w:w="735"/>
        <w:gridCol w:w="36"/>
        <w:gridCol w:w="36"/>
        <w:gridCol w:w="36"/>
      </w:tblGrid>
      <w:tr w:rsidR="00000000" w14:paraId="69E4E247" w14:textId="77777777">
        <w:trPr>
          <w:jc w:val="center"/>
        </w:trPr>
        <w:tc>
          <w:tcPr>
            <w:tcW w:w="50" w:type="pct"/>
            <w:vAlign w:val="center"/>
            <w:hideMark/>
          </w:tcPr>
          <w:p w14:paraId="2C3AB9AC" w14:textId="77777777" w:rsidR="00000000" w:rsidRDefault="00A173A8">
            <w:pPr>
              <w:jc w:val="center"/>
              <w:rPr>
                <w:rFonts w:eastAsia="Times New Roman"/>
              </w:rPr>
            </w:pPr>
          </w:p>
        </w:tc>
        <w:tc>
          <w:tcPr>
            <w:tcW w:w="2693" w:type="pct"/>
            <w:vAlign w:val="center"/>
            <w:hideMark/>
          </w:tcPr>
          <w:p w14:paraId="63F1D011" w14:textId="77777777" w:rsidR="00000000" w:rsidRDefault="00A173A8">
            <w:pPr>
              <w:spacing w:after="100"/>
              <w:rPr>
                <w:rFonts w:eastAsia="Times New Roman"/>
                <w:sz w:val="20"/>
                <w:szCs w:val="20"/>
              </w:rPr>
            </w:pPr>
          </w:p>
        </w:tc>
        <w:tc>
          <w:tcPr>
            <w:tcW w:w="5" w:type="pct"/>
            <w:vAlign w:val="center"/>
            <w:hideMark/>
          </w:tcPr>
          <w:p w14:paraId="4EC80FE7" w14:textId="77777777" w:rsidR="00000000" w:rsidRDefault="00A173A8">
            <w:pPr>
              <w:spacing w:after="100"/>
              <w:rPr>
                <w:rFonts w:eastAsia="Times New Roman"/>
                <w:sz w:val="20"/>
                <w:szCs w:val="20"/>
              </w:rPr>
            </w:pPr>
          </w:p>
        </w:tc>
        <w:tc>
          <w:tcPr>
            <w:tcW w:w="5" w:type="pct"/>
            <w:vAlign w:val="center"/>
            <w:hideMark/>
          </w:tcPr>
          <w:p w14:paraId="6C16EC7A" w14:textId="77777777" w:rsidR="00000000" w:rsidRDefault="00A173A8">
            <w:pPr>
              <w:spacing w:after="100"/>
              <w:rPr>
                <w:rFonts w:eastAsia="Times New Roman"/>
                <w:sz w:val="20"/>
                <w:szCs w:val="20"/>
              </w:rPr>
            </w:pPr>
          </w:p>
        </w:tc>
        <w:tc>
          <w:tcPr>
            <w:tcW w:w="19" w:type="pct"/>
            <w:vAlign w:val="center"/>
            <w:hideMark/>
          </w:tcPr>
          <w:p w14:paraId="467B032D" w14:textId="77777777" w:rsidR="00000000" w:rsidRDefault="00A173A8">
            <w:pPr>
              <w:spacing w:after="100"/>
              <w:rPr>
                <w:rFonts w:eastAsia="Times New Roman"/>
                <w:sz w:val="20"/>
                <w:szCs w:val="20"/>
              </w:rPr>
            </w:pPr>
          </w:p>
        </w:tc>
        <w:tc>
          <w:tcPr>
            <w:tcW w:w="5" w:type="pct"/>
            <w:vAlign w:val="center"/>
            <w:hideMark/>
          </w:tcPr>
          <w:p w14:paraId="78359CC0" w14:textId="77777777" w:rsidR="00000000" w:rsidRDefault="00A173A8">
            <w:pPr>
              <w:spacing w:after="100"/>
              <w:rPr>
                <w:rFonts w:eastAsia="Times New Roman"/>
                <w:sz w:val="20"/>
                <w:szCs w:val="20"/>
              </w:rPr>
            </w:pPr>
          </w:p>
        </w:tc>
        <w:tc>
          <w:tcPr>
            <w:tcW w:w="50" w:type="pct"/>
            <w:vAlign w:val="center"/>
            <w:hideMark/>
          </w:tcPr>
          <w:p w14:paraId="3BCB75ED" w14:textId="77777777" w:rsidR="00000000" w:rsidRDefault="00A173A8">
            <w:pPr>
              <w:spacing w:after="100"/>
              <w:rPr>
                <w:rFonts w:eastAsia="Times New Roman"/>
                <w:sz w:val="20"/>
                <w:szCs w:val="20"/>
              </w:rPr>
            </w:pPr>
          </w:p>
        </w:tc>
        <w:tc>
          <w:tcPr>
            <w:tcW w:w="464" w:type="pct"/>
            <w:vAlign w:val="center"/>
            <w:hideMark/>
          </w:tcPr>
          <w:p w14:paraId="0777C876" w14:textId="77777777" w:rsidR="00000000" w:rsidRDefault="00A173A8">
            <w:pPr>
              <w:spacing w:after="100"/>
              <w:rPr>
                <w:rFonts w:eastAsia="Times New Roman"/>
                <w:sz w:val="20"/>
                <w:szCs w:val="20"/>
              </w:rPr>
            </w:pPr>
          </w:p>
        </w:tc>
        <w:tc>
          <w:tcPr>
            <w:tcW w:w="5" w:type="pct"/>
            <w:vAlign w:val="center"/>
            <w:hideMark/>
          </w:tcPr>
          <w:p w14:paraId="195215A9" w14:textId="77777777" w:rsidR="00000000" w:rsidRDefault="00A173A8">
            <w:pPr>
              <w:spacing w:after="100"/>
              <w:rPr>
                <w:rFonts w:eastAsia="Times New Roman"/>
                <w:sz w:val="20"/>
                <w:szCs w:val="20"/>
              </w:rPr>
            </w:pPr>
          </w:p>
        </w:tc>
        <w:tc>
          <w:tcPr>
            <w:tcW w:w="5" w:type="pct"/>
            <w:vAlign w:val="center"/>
            <w:hideMark/>
          </w:tcPr>
          <w:p w14:paraId="7D15B01C" w14:textId="77777777" w:rsidR="00000000" w:rsidRDefault="00A173A8">
            <w:pPr>
              <w:spacing w:after="100"/>
              <w:rPr>
                <w:rFonts w:eastAsia="Times New Roman"/>
                <w:sz w:val="20"/>
                <w:szCs w:val="20"/>
              </w:rPr>
            </w:pPr>
          </w:p>
        </w:tc>
        <w:tc>
          <w:tcPr>
            <w:tcW w:w="26" w:type="pct"/>
            <w:vAlign w:val="center"/>
            <w:hideMark/>
          </w:tcPr>
          <w:p w14:paraId="44121975" w14:textId="77777777" w:rsidR="00000000" w:rsidRDefault="00A173A8">
            <w:pPr>
              <w:spacing w:after="100"/>
              <w:rPr>
                <w:rFonts w:eastAsia="Times New Roman"/>
                <w:sz w:val="20"/>
                <w:szCs w:val="20"/>
              </w:rPr>
            </w:pPr>
          </w:p>
        </w:tc>
        <w:tc>
          <w:tcPr>
            <w:tcW w:w="5" w:type="pct"/>
            <w:vAlign w:val="center"/>
            <w:hideMark/>
          </w:tcPr>
          <w:p w14:paraId="05677DF1" w14:textId="77777777" w:rsidR="00000000" w:rsidRDefault="00A173A8">
            <w:pPr>
              <w:spacing w:after="100"/>
              <w:rPr>
                <w:rFonts w:eastAsia="Times New Roman"/>
                <w:sz w:val="20"/>
                <w:szCs w:val="20"/>
              </w:rPr>
            </w:pPr>
          </w:p>
        </w:tc>
        <w:tc>
          <w:tcPr>
            <w:tcW w:w="50" w:type="pct"/>
            <w:vAlign w:val="center"/>
            <w:hideMark/>
          </w:tcPr>
          <w:p w14:paraId="6E573142" w14:textId="77777777" w:rsidR="00000000" w:rsidRDefault="00A173A8">
            <w:pPr>
              <w:spacing w:after="100"/>
              <w:rPr>
                <w:rFonts w:eastAsia="Times New Roman"/>
                <w:sz w:val="20"/>
                <w:szCs w:val="20"/>
              </w:rPr>
            </w:pPr>
          </w:p>
        </w:tc>
        <w:tc>
          <w:tcPr>
            <w:tcW w:w="464" w:type="pct"/>
            <w:vAlign w:val="center"/>
            <w:hideMark/>
          </w:tcPr>
          <w:p w14:paraId="22099F59" w14:textId="77777777" w:rsidR="00000000" w:rsidRDefault="00A173A8">
            <w:pPr>
              <w:spacing w:after="100"/>
              <w:rPr>
                <w:rFonts w:eastAsia="Times New Roman"/>
                <w:sz w:val="20"/>
                <w:szCs w:val="20"/>
              </w:rPr>
            </w:pPr>
          </w:p>
        </w:tc>
        <w:tc>
          <w:tcPr>
            <w:tcW w:w="5" w:type="pct"/>
            <w:vAlign w:val="center"/>
            <w:hideMark/>
          </w:tcPr>
          <w:p w14:paraId="6632E23C" w14:textId="77777777" w:rsidR="00000000" w:rsidRDefault="00A173A8">
            <w:pPr>
              <w:spacing w:after="100"/>
              <w:rPr>
                <w:rFonts w:eastAsia="Times New Roman"/>
                <w:sz w:val="20"/>
                <w:szCs w:val="20"/>
              </w:rPr>
            </w:pPr>
          </w:p>
        </w:tc>
        <w:tc>
          <w:tcPr>
            <w:tcW w:w="5" w:type="pct"/>
            <w:vAlign w:val="center"/>
            <w:hideMark/>
          </w:tcPr>
          <w:p w14:paraId="491E0DE2" w14:textId="77777777" w:rsidR="00000000" w:rsidRDefault="00A173A8">
            <w:pPr>
              <w:spacing w:after="100"/>
              <w:rPr>
                <w:rFonts w:eastAsia="Times New Roman"/>
                <w:sz w:val="20"/>
                <w:szCs w:val="20"/>
              </w:rPr>
            </w:pPr>
          </w:p>
        </w:tc>
        <w:tc>
          <w:tcPr>
            <w:tcW w:w="26" w:type="pct"/>
            <w:vAlign w:val="center"/>
            <w:hideMark/>
          </w:tcPr>
          <w:p w14:paraId="21077B22" w14:textId="77777777" w:rsidR="00000000" w:rsidRDefault="00A173A8">
            <w:pPr>
              <w:spacing w:after="100"/>
              <w:rPr>
                <w:rFonts w:eastAsia="Times New Roman"/>
                <w:sz w:val="20"/>
                <w:szCs w:val="20"/>
              </w:rPr>
            </w:pPr>
          </w:p>
        </w:tc>
        <w:tc>
          <w:tcPr>
            <w:tcW w:w="5" w:type="pct"/>
            <w:vAlign w:val="center"/>
            <w:hideMark/>
          </w:tcPr>
          <w:p w14:paraId="370B8DA3" w14:textId="77777777" w:rsidR="00000000" w:rsidRDefault="00A173A8">
            <w:pPr>
              <w:spacing w:after="100"/>
              <w:rPr>
                <w:rFonts w:eastAsia="Times New Roman"/>
                <w:sz w:val="20"/>
                <w:szCs w:val="20"/>
              </w:rPr>
            </w:pPr>
          </w:p>
        </w:tc>
        <w:tc>
          <w:tcPr>
            <w:tcW w:w="50" w:type="pct"/>
            <w:vAlign w:val="center"/>
            <w:hideMark/>
          </w:tcPr>
          <w:p w14:paraId="5145683A" w14:textId="77777777" w:rsidR="00000000" w:rsidRDefault="00A173A8">
            <w:pPr>
              <w:spacing w:after="100"/>
              <w:rPr>
                <w:rFonts w:eastAsia="Times New Roman"/>
                <w:sz w:val="20"/>
                <w:szCs w:val="20"/>
              </w:rPr>
            </w:pPr>
          </w:p>
        </w:tc>
        <w:tc>
          <w:tcPr>
            <w:tcW w:w="464" w:type="pct"/>
            <w:vAlign w:val="center"/>
            <w:hideMark/>
          </w:tcPr>
          <w:p w14:paraId="6EBC53E2" w14:textId="77777777" w:rsidR="00000000" w:rsidRDefault="00A173A8">
            <w:pPr>
              <w:spacing w:after="100"/>
              <w:rPr>
                <w:rFonts w:eastAsia="Times New Roman"/>
                <w:sz w:val="20"/>
                <w:szCs w:val="20"/>
              </w:rPr>
            </w:pPr>
          </w:p>
        </w:tc>
        <w:tc>
          <w:tcPr>
            <w:tcW w:w="5" w:type="pct"/>
            <w:vAlign w:val="center"/>
            <w:hideMark/>
          </w:tcPr>
          <w:p w14:paraId="49EAE4A3" w14:textId="77777777" w:rsidR="00000000" w:rsidRDefault="00A173A8">
            <w:pPr>
              <w:spacing w:after="100"/>
              <w:rPr>
                <w:rFonts w:eastAsia="Times New Roman"/>
                <w:sz w:val="20"/>
                <w:szCs w:val="20"/>
              </w:rPr>
            </w:pPr>
          </w:p>
        </w:tc>
        <w:tc>
          <w:tcPr>
            <w:tcW w:w="5" w:type="pct"/>
            <w:vAlign w:val="center"/>
            <w:hideMark/>
          </w:tcPr>
          <w:p w14:paraId="53520B78" w14:textId="77777777" w:rsidR="00000000" w:rsidRDefault="00A173A8">
            <w:pPr>
              <w:spacing w:after="100"/>
              <w:rPr>
                <w:rFonts w:eastAsia="Times New Roman"/>
                <w:sz w:val="20"/>
                <w:szCs w:val="20"/>
              </w:rPr>
            </w:pPr>
          </w:p>
        </w:tc>
        <w:tc>
          <w:tcPr>
            <w:tcW w:w="26" w:type="pct"/>
            <w:vAlign w:val="center"/>
            <w:hideMark/>
          </w:tcPr>
          <w:p w14:paraId="0D8ED4A9" w14:textId="77777777" w:rsidR="00000000" w:rsidRDefault="00A173A8">
            <w:pPr>
              <w:spacing w:after="100"/>
              <w:rPr>
                <w:rFonts w:eastAsia="Times New Roman"/>
                <w:sz w:val="20"/>
                <w:szCs w:val="20"/>
              </w:rPr>
            </w:pPr>
          </w:p>
        </w:tc>
        <w:tc>
          <w:tcPr>
            <w:tcW w:w="5" w:type="pct"/>
            <w:vAlign w:val="center"/>
            <w:hideMark/>
          </w:tcPr>
          <w:p w14:paraId="3B81179C" w14:textId="77777777" w:rsidR="00000000" w:rsidRDefault="00A173A8">
            <w:pPr>
              <w:spacing w:after="100"/>
              <w:rPr>
                <w:rFonts w:eastAsia="Times New Roman"/>
                <w:sz w:val="20"/>
                <w:szCs w:val="20"/>
              </w:rPr>
            </w:pPr>
          </w:p>
        </w:tc>
        <w:tc>
          <w:tcPr>
            <w:tcW w:w="50" w:type="pct"/>
            <w:vAlign w:val="center"/>
            <w:hideMark/>
          </w:tcPr>
          <w:p w14:paraId="627388B2" w14:textId="77777777" w:rsidR="00000000" w:rsidRDefault="00A173A8">
            <w:pPr>
              <w:spacing w:after="100"/>
              <w:rPr>
                <w:rFonts w:eastAsia="Times New Roman"/>
                <w:sz w:val="20"/>
                <w:szCs w:val="20"/>
              </w:rPr>
            </w:pPr>
          </w:p>
        </w:tc>
        <w:tc>
          <w:tcPr>
            <w:tcW w:w="500" w:type="pct"/>
            <w:vAlign w:val="center"/>
            <w:hideMark/>
          </w:tcPr>
          <w:p w14:paraId="05500A61" w14:textId="77777777" w:rsidR="00000000" w:rsidRDefault="00A173A8">
            <w:pPr>
              <w:spacing w:after="100"/>
              <w:rPr>
                <w:rFonts w:eastAsia="Times New Roman"/>
                <w:sz w:val="20"/>
                <w:szCs w:val="20"/>
              </w:rPr>
            </w:pPr>
          </w:p>
        </w:tc>
        <w:tc>
          <w:tcPr>
            <w:tcW w:w="5" w:type="pct"/>
            <w:vAlign w:val="center"/>
            <w:hideMark/>
          </w:tcPr>
          <w:p w14:paraId="6AAAEC6C" w14:textId="77777777" w:rsidR="00000000" w:rsidRDefault="00A173A8">
            <w:pPr>
              <w:spacing w:after="100"/>
              <w:rPr>
                <w:rFonts w:eastAsia="Times New Roman"/>
                <w:sz w:val="20"/>
                <w:szCs w:val="20"/>
              </w:rPr>
            </w:pPr>
          </w:p>
        </w:tc>
        <w:tc>
          <w:tcPr>
            <w:tcW w:w="0" w:type="auto"/>
            <w:vAlign w:val="center"/>
            <w:hideMark/>
          </w:tcPr>
          <w:p w14:paraId="3A3CEC7D" w14:textId="77777777" w:rsidR="00000000" w:rsidRDefault="00A173A8">
            <w:pPr>
              <w:spacing w:after="100"/>
              <w:rPr>
                <w:rFonts w:eastAsia="Times New Roman"/>
                <w:sz w:val="20"/>
                <w:szCs w:val="20"/>
              </w:rPr>
            </w:pPr>
          </w:p>
        </w:tc>
        <w:tc>
          <w:tcPr>
            <w:tcW w:w="0" w:type="auto"/>
            <w:vAlign w:val="center"/>
            <w:hideMark/>
          </w:tcPr>
          <w:p w14:paraId="4E49378C" w14:textId="77777777" w:rsidR="00000000" w:rsidRDefault="00A173A8">
            <w:pPr>
              <w:spacing w:after="100"/>
              <w:rPr>
                <w:rFonts w:eastAsia="Times New Roman"/>
                <w:sz w:val="20"/>
                <w:szCs w:val="20"/>
              </w:rPr>
            </w:pPr>
          </w:p>
        </w:tc>
      </w:tr>
      <w:tr w:rsidR="00000000" w14:paraId="15B65A11" w14:textId="77777777">
        <w:trPr>
          <w:jc w:val="center"/>
        </w:trPr>
        <w:tc>
          <w:tcPr>
            <w:tcW w:w="0" w:type="auto"/>
            <w:gridSpan w:val="3"/>
            <w:tcMar>
              <w:top w:w="0" w:type="dxa"/>
              <w:left w:w="20" w:type="dxa"/>
              <w:bottom w:w="0" w:type="dxa"/>
              <w:right w:w="20" w:type="dxa"/>
            </w:tcMar>
            <w:vAlign w:val="center"/>
            <w:hideMark/>
          </w:tcPr>
          <w:p w14:paraId="0CC9B7A1"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965C4D"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05FD461" w14:textId="77777777" w:rsidR="00000000" w:rsidRDefault="00A173A8">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27638859"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0728298"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3408C6E7" w14:textId="77777777" w:rsidR="00000000" w:rsidRDefault="00A173A8">
            <w:pPr>
              <w:spacing w:after="100"/>
              <w:jc w:val="center"/>
              <w:rPr>
                <w:rFonts w:eastAsia="Times New Roman"/>
              </w:rPr>
            </w:pPr>
          </w:p>
        </w:tc>
        <w:tc>
          <w:tcPr>
            <w:tcW w:w="0" w:type="auto"/>
            <w:vAlign w:val="center"/>
            <w:hideMark/>
          </w:tcPr>
          <w:p w14:paraId="4FC362E9" w14:textId="77777777" w:rsidR="00000000" w:rsidRDefault="00A173A8">
            <w:pPr>
              <w:spacing w:after="100"/>
              <w:rPr>
                <w:rFonts w:eastAsia="Times New Roman"/>
                <w:sz w:val="20"/>
                <w:szCs w:val="20"/>
              </w:rPr>
            </w:pPr>
          </w:p>
        </w:tc>
      </w:tr>
      <w:tr w:rsidR="00000000" w14:paraId="386729D0" w14:textId="77777777">
        <w:trPr>
          <w:jc w:val="center"/>
        </w:trPr>
        <w:tc>
          <w:tcPr>
            <w:tcW w:w="0" w:type="auto"/>
            <w:gridSpan w:val="3"/>
            <w:tcMar>
              <w:top w:w="30" w:type="dxa"/>
              <w:left w:w="20" w:type="dxa"/>
              <w:bottom w:w="30" w:type="dxa"/>
              <w:right w:w="20" w:type="dxa"/>
            </w:tcMar>
            <w:vAlign w:val="bottom"/>
            <w:hideMark/>
          </w:tcPr>
          <w:p w14:paraId="0FA9F45A"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60FE0B0"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2B780F"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0A9B329"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4B1252"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00AB93F"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71571E"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527DA57"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F004CF"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vAlign w:val="center"/>
            <w:hideMark/>
          </w:tcPr>
          <w:p w14:paraId="16F564CD" w14:textId="77777777" w:rsidR="00000000" w:rsidRDefault="00A173A8">
            <w:pPr>
              <w:spacing w:after="100"/>
              <w:jc w:val="center"/>
              <w:rPr>
                <w:rFonts w:eastAsia="Times New Roman"/>
              </w:rPr>
            </w:pPr>
          </w:p>
        </w:tc>
        <w:tc>
          <w:tcPr>
            <w:tcW w:w="0" w:type="auto"/>
            <w:vAlign w:val="center"/>
            <w:hideMark/>
          </w:tcPr>
          <w:p w14:paraId="5F28B9A7" w14:textId="77777777" w:rsidR="00000000" w:rsidRDefault="00A173A8">
            <w:pPr>
              <w:spacing w:after="100"/>
              <w:rPr>
                <w:rFonts w:eastAsia="Times New Roman"/>
                <w:sz w:val="20"/>
                <w:szCs w:val="20"/>
              </w:rPr>
            </w:pPr>
          </w:p>
        </w:tc>
      </w:tr>
      <w:tr w:rsidR="00000000" w14:paraId="4D26F006" w14:textId="77777777">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8BBEAD9" w14:textId="77777777" w:rsidR="00000000" w:rsidRDefault="00A173A8">
            <w:pPr>
              <w:spacing w:after="100"/>
              <w:rPr>
                <w:rFonts w:eastAsia="Times New Roman"/>
              </w:rPr>
            </w:pPr>
            <w:r>
              <w:rPr>
                <w:rFonts w:eastAsia="Times New Roman"/>
                <w:b/>
                <w:bCs/>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14:paraId="0C2D8251"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8ED1E17"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BA828D4" w14:textId="77777777" w:rsidR="00000000" w:rsidRDefault="00A173A8">
            <w:pPr>
              <w:spacing w:after="100"/>
              <w:jc w:val="right"/>
              <w:rPr>
                <w:rFonts w:eastAsia="Times New Roman"/>
              </w:rPr>
            </w:pPr>
            <w:r>
              <w:rPr>
                <w:rFonts w:eastAsia="Times New Roman"/>
                <w:b/>
                <w:bCs/>
                <w:color w:val="000000"/>
                <w:sz w:val="16"/>
                <w:szCs w:val="16"/>
              </w:rPr>
              <w:t>2,031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332A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DF2BC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2A01D3B"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38E3E77" w14:textId="77777777" w:rsidR="00000000" w:rsidRDefault="00A173A8">
            <w:pPr>
              <w:spacing w:after="100"/>
              <w:jc w:val="right"/>
              <w:rPr>
                <w:rFonts w:eastAsia="Times New Roman"/>
              </w:rPr>
            </w:pPr>
            <w:r>
              <w:rPr>
                <w:rFonts w:eastAsia="Times New Roman"/>
                <w:color w:val="000000"/>
                <w:sz w:val="16"/>
                <w:szCs w:val="16"/>
              </w:rPr>
              <w:t>3,536 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FF59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2725B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DDE9A52"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FD32883" w14:textId="77777777" w:rsidR="00000000" w:rsidRDefault="00A173A8">
            <w:pPr>
              <w:spacing w:after="100"/>
              <w:jc w:val="right"/>
              <w:rPr>
                <w:rFonts w:eastAsia="Times New Roman"/>
              </w:rPr>
            </w:pPr>
            <w:r>
              <w:rPr>
                <w:rFonts w:eastAsia="Times New Roman"/>
                <w:b/>
                <w:bCs/>
                <w:color w:val="000000"/>
                <w:sz w:val="16"/>
                <w:szCs w:val="16"/>
              </w:rPr>
              <w:t>4,434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C5F2A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FA819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B4ACCBC"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F9D0F68" w14:textId="77777777" w:rsidR="00000000" w:rsidRDefault="00A173A8">
            <w:pPr>
              <w:spacing w:after="100"/>
              <w:jc w:val="right"/>
              <w:rPr>
                <w:rFonts w:eastAsia="Times New Roman"/>
              </w:rPr>
            </w:pPr>
            <w:r>
              <w:rPr>
                <w:rFonts w:eastAsia="Times New Roman"/>
                <w:color w:val="000000"/>
                <w:sz w:val="16"/>
                <w:szCs w:val="16"/>
              </w:rPr>
              <w:t>6,861 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64CAB7" w14:textId="77777777" w:rsidR="00000000" w:rsidRDefault="00A173A8">
            <w:pPr>
              <w:spacing w:after="100"/>
              <w:jc w:val="right"/>
              <w:rPr>
                <w:rFonts w:eastAsia="Times New Roman"/>
              </w:rPr>
            </w:pPr>
          </w:p>
        </w:tc>
        <w:tc>
          <w:tcPr>
            <w:tcW w:w="0" w:type="auto"/>
            <w:vAlign w:val="center"/>
            <w:hideMark/>
          </w:tcPr>
          <w:p w14:paraId="20C1C8B1" w14:textId="77777777" w:rsidR="00000000" w:rsidRDefault="00A173A8">
            <w:pPr>
              <w:spacing w:after="100"/>
              <w:jc w:val="right"/>
              <w:rPr>
                <w:rFonts w:eastAsia="Times New Roman"/>
                <w:sz w:val="20"/>
                <w:szCs w:val="20"/>
              </w:rPr>
            </w:pPr>
          </w:p>
        </w:tc>
        <w:tc>
          <w:tcPr>
            <w:tcW w:w="0" w:type="auto"/>
            <w:vAlign w:val="center"/>
            <w:hideMark/>
          </w:tcPr>
          <w:p w14:paraId="453CEB98" w14:textId="77777777" w:rsidR="00000000" w:rsidRDefault="00A173A8">
            <w:pPr>
              <w:spacing w:after="100"/>
              <w:rPr>
                <w:rFonts w:eastAsia="Times New Roman"/>
                <w:sz w:val="20"/>
                <w:szCs w:val="20"/>
              </w:rPr>
            </w:pPr>
          </w:p>
        </w:tc>
      </w:tr>
      <w:tr w:rsidR="00000000" w14:paraId="194EB90B" w14:textId="77777777">
        <w:trPr>
          <w:jc w:val="center"/>
        </w:trPr>
        <w:tc>
          <w:tcPr>
            <w:tcW w:w="0" w:type="auto"/>
            <w:gridSpan w:val="3"/>
            <w:shd w:val="clear" w:color="auto" w:fill="FFFFFF"/>
            <w:tcMar>
              <w:top w:w="30" w:type="dxa"/>
              <w:left w:w="20" w:type="dxa"/>
              <w:bottom w:w="30" w:type="dxa"/>
              <w:right w:w="20" w:type="dxa"/>
            </w:tcMar>
            <w:vAlign w:val="center"/>
            <w:hideMark/>
          </w:tcPr>
          <w:p w14:paraId="69D2ECCB" w14:textId="77777777" w:rsidR="00000000" w:rsidRDefault="00A173A8">
            <w:pPr>
              <w:spacing w:after="100"/>
              <w:rPr>
                <w:rFonts w:eastAsia="Times New Roman"/>
              </w:rPr>
            </w:pPr>
            <w:r>
              <w:rPr>
                <w:rFonts w:eastAsia="Times New Roman"/>
                <w:b/>
                <w:bCs/>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5BD3270C"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8DE88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1D5AF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3818E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2098A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8D421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2D5D4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601600" w14:textId="77777777" w:rsidR="00000000" w:rsidRDefault="00A173A8">
            <w:pPr>
              <w:spacing w:after="100"/>
              <w:rPr>
                <w:rFonts w:eastAsia="Times New Roman"/>
                <w:sz w:val="20"/>
                <w:szCs w:val="20"/>
              </w:rPr>
            </w:pPr>
          </w:p>
        </w:tc>
        <w:tc>
          <w:tcPr>
            <w:tcW w:w="0" w:type="auto"/>
            <w:vAlign w:val="center"/>
            <w:hideMark/>
          </w:tcPr>
          <w:p w14:paraId="6038FA74" w14:textId="77777777" w:rsidR="00000000" w:rsidRDefault="00A173A8">
            <w:pPr>
              <w:spacing w:after="100"/>
              <w:rPr>
                <w:rFonts w:eastAsia="Times New Roman"/>
                <w:sz w:val="20"/>
                <w:szCs w:val="20"/>
              </w:rPr>
            </w:pPr>
          </w:p>
        </w:tc>
        <w:tc>
          <w:tcPr>
            <w:tcW w:w="0" w:type="auto"/>
            <w:vAlign w:val="center"/>
            <w:hideMark/>
          </w:tcPr>
          <w:p w14:paraId="04ED291C" w14:textId="77777777" w:rsidR="00000000" w:rsidRDefault="00A173A8">
            <w:pPr>
              <w:spacing w:after="100"/>
              <w:rPr>
                <w:rFonts w:eastAsia="Times New Roman"/>
                <w:sz w:val="20"/>
                <w:szCs w:val="20"/>
              </w:rPr>
            </w:pPr>
          </w:p>
        </w:tc>
      </w:tr>
      <w:tr w:rsidR="00000000" w14:paraId="31035702" w14:textId="77777777">
        <w:trPr>
          <w:jc w:val="center"/>
        </w:trPr>
        <w:tc>
          <w:tcPr>
            <w:tcW w:w="0" w:type="auto"/>
            <w:gridSpan w:val="3"/>
            <w:shd w:val="clear" w:color="auto" w:fill="CCEEFF"/>
            <w:tcMar>
              <w:top w:w="30" w:type="dxa"/>
              <w:left w:w="245" w:type="dxa"/>
              <w:bottom w:w="30" w:type="dxa"/>
              <w:right w:w="20" w:type="dxa"/>
            </w:tcMar>
            <w:vAlign w:val="center"/>
            <w:hideMark/>
          </w:tcPr>
          <w:p w14:paraId="7C1D925D" w14:textId="77777777" w:rsidR="00000000" w:rsidRDefault="00A173A8">
            <w:pPr>
              <w:spacing w:after="100"/>
              <w:rPr>
                <w:rFonts w:eastAsia="Times New Roman"/>
              </w:rPr>
            </w:pPr>
            <w:r>
              <w:rPr>
                <w:rFonts w:eastAsia="Times New Roman"/>
                <w:color w:val="000000"/>
                <w:sz w:val="16"/>
                <w:szCs w:val="16"/>
              </w:rPr>
              <w:t>Net unrealized gains (losses) on securities available for sale</w:t>
            </w:r>
          </w:p>
        </w:tc>
        <w:tc>
          <w:tcPr>
            <w:tcW w:w="0" w:type="auto"/>
            <w:gridSpan w:val="3"/>
            <w:shd w:val="clear" w:color="auto" w:fill="CCEEFF"/>
            <w:tcMar>
              <w:top w:w="0" w:type="dxa"/>
              <w:left w:w="20" w:type="dxa"/>
              <w:bottom w:w="0" w:type="dxa"/>
              <w:right w:w="20" w:type="dxa"/>
            </w:tcMar>
            <w:vAlign w:val="center"/>
            <w:hideMark/>
          </w:tcPr>
          <w:p w14:paraId="158502E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ACD4158" w14:textId="77777777" w:rsidR="00000000" w:rsidRDefault="00A173A8">
            <w:pPr>
              <w:spacing w:after="100"/>
              <w:jc w:val="right"/>
              <w:rPr>
                <w:rFonts w:eastAsia="Times New Roman"/>
              </w:rPr>
            </w:pPr>
            <w:r>
              <w:rPr>
                <w:rFonts w:eastAsia="Times New Roman"/>
                <w:b/>
                <w:bCs/>
                <w:color w:val="000000"/>
                <w:sz w:val="16"/>
                <w:szCs w:val="16"/>
              </w:rPr>
              <w:t>(2,288)</w:t>
            </w:r>
          </w:p>
        </w:tc>
        <w:tc>
          <w:tcPr>
            <w:tcW w:w="0" w:type="auto"/>
            <w:shd w:val="clear" w:color="auto" w:fill="CCEEFF"/>
            <w:tcMar>
              <w:top w:w="30" w:type="dxa"/>
              <w:left w:w="0" w:type="dxa"/>
              <w:bottom w:w="30" w:type="dxa"/>
              <w:right w:w="20" w:type="dxa"/>
            </w:tcMar>
            <w:vAlign w:val="center"/>
            <w:hideMark/>
          </w:tcPr>
          <w:p w14:paraId="1F5096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0E17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F5EE91" w14:textId="77777777" w:rsidR="00000000" w:rsidRDefault="00A173A8">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center"/>
            <w:hideMark/>
          </w:tcPr>
          <w:p w14:paraId="4CCDF8D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FDA2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F0A452" w14:textId="77777777" w:rsidR="00000000" w:rsidRDefault="00A173A8">
            <w:pPr>
              <w:spacing w:after="100"/>
              <w:jc w:val="right"/>
              <w:rPr>
                <w:rFonts w:eastAsia="Times New Roman"/>
              </w:rPr>
            </w:pPr>
            <w:r>
              <w:rPr>
                <w:rFonts w:eastAsia="Times New Roman"/>
                <w:b/>
                <w:bCs/>
                <w:color w:val="000000"/>
                <w:sz w:val="16"/>
                <w:szCs w:val="16"/>
              </w:rPr>
              <w:t>(5,541)</w:t>
            </w:r>
          </w:p>
        </w:tc>
        <w:tc>
          <w:tcPr>
            <w:tcW w:w="0" w:type="auto"/>
            <w:shd w:val="clear" w:color="auto" w:fill="CCEEFF"/>
            <w:tcMar>
              <w:top w:w="30" w:type="dxa"/>
              <w:left w:w="0" w:type="dxa"/>
              <w:bottom w:w="30" w:type="dxa"/>
              <w:right w:w="20" w:type="dxa"/>
            </w:tcMar>
            <w:vAlign w:val="center"/>
            <w:hideMark/>
          </w:tcPr>
          <w:p w14:paraId="1EDCA0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F756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46F34A" w14:textId="77777777" w:rsidR="00000000" w:rsidRDefault="00A173A8">
            <w:pPr>
              <w:spacing w:after="100"/>
              <w:jc w:val="right"/>
              <w:rPr>
                <w:rFonts w:eastAsia="Times New Roman"/>
              </w:rPr>
            </w:pPr>
            <w:r>
              <w:rPr>
                <w:rFonts w:eastAsia="Times New Roman"/>
                <w:color w:val="000000"/>
                <w:sz w:val="16"/>
                <w:szCs w:val="16"/>
              </w:rPr>
              <w:t>(1,097)</w:t>
            </w:r>
          </w:p>
        </w:tc>
        <w:tc>
          <w:tcPr>
            <w:tcW w:w="0" w:type="auto"/>
            <w:shd w:val="clear" w:color="auto" w:fill="CCEEFF"/>
            <w:tcMar>
              <w:top w:w="30" w:type="dxa"/>
              <w:left w:w="0" w:type="dxa"/>
              <w:bottom w:w="30" w:type="dxa"/>
              <w:right w:w="20" w:type="dxa"/>
            </w:tcMar>
            <w:vAlign w:val="center"/>
            <w:hideMark/>
          </w:tcPr>
          <w:p w14:paraId="43F02AAF" w14:textId="77777777" w:rsidR="00000000" w:rsidRDefault="00A173A8">
            <w:pPr>
              <w:spacing w:after="100"/>
              <w:jc w:val="right"/>
              <w:rPr>
                <w:rFonts w:eastAsia="Times New Roman"/>
              </w:rPr>
            </w:pPr>
          </w:p>
        </w:tc>
        <w:tc>
          <w:tcPr>
            <w:tcW w:w="0" w:type="auto"/>
            <w:vAlign w:val="center"/>
            <w:hideMark/>
          </w:tcPr>
          <w:p w14:paraId="6FA25C61" w14:textId="77777777" w:rsidR="00000000" w:rsidRDefault="00A173A8">
            <w:pPr>
              <w:spacing w:after="100"/>
              <w:jc w:val="right"/>
              <w:rPr>
                <w:rFonts w:eastAsia="Times New Roman"/>
                <w:sz w:val="20"/>
                <w:szCs w:val="20"/>
              </w:rPr>
            </w:pPr>
          </w:p>
        </w:tc>
        <w:tc>
          <w:tcPr>
            <w:tcW w:w="0" w:type="auto"/>
            <w:vAlign w:val="center"/>
            <w:hideMark/>
          </w:tcPr>
          <w:p w14:paraId="42BEE927" w14:textId="77777777" w:rsidR="00000000" w:rsidRDefault="00A173A8">
            <w:pPr>
              <w:spacing w:after="100"/>
              <w:rPr>
                <w:rFonts w:eastAsia="Times New Roman"/>
                <w:sz w:val="20"/>
                <w:szCs w:val="20"/>
              </w:rPr>
            </w:pPr>
          </w:p>
        </w:tc>
      </w:tr>
      <w:tr w:rsidR="00000000" w14:paraId="388E1540" w14:textId="77777777">
        <w:trPr>
          <w:jc w:val="center"/>
        </w:trPr>
        <w:tc>
          <w:tcPr>
            <w:tcW w:w="0" w:type="auto"/>
            <w:gridSpan w:val="3"/>
            <w:shd w:val="clear" w:color="auto" w:fill="FFFFFF"/>
            <w:tcMar>
              <w:top w:w="30" w:type="dxa"/>
              <w:left w:w="245" w:type="dxa"/>
              <w:bottom w:w="30" w:type="dxa"/>
              <w:right w:w="20" w:type="dxa"/>
            </w:tcMar>
            <w:vAlign w:val="center"/>
            <w:hideMark/>
          </w:tcPr>
          <w:p w14:paraId="682DB965" w14:textId="77777777" w:rsidR="00000000" w:rsidRDefault="00A173A8">
            <w:pPr>
              <w:spacing w:after="100"/>
              <w:rPr>
                <w:rFonts w:eastAsia="Times New Roman"/>
              </w:rPr>
            </w:pPr>
            <w:r>
              <w:rPr>
                <w:rFonts w:eastAsia="Times New Roman"/>
                <w:color w:val="000000"/>
                <w:sz w:val="16"/>
                <w:szCs w:val="16"/>
              </w:rPr>
              <w:t>Net unrealized losses on hedging relationships</w:t>
            </w:r>
          </w:p>
        </w:tc>
        <w:tc>
          <w:tcPr>
            <w:tcW w:w="0" w:type="auto"/>
            <w:gridSpan w:val="3"/>
            <w:shd w:val="clear" w:color="auto" w:fill="FFFFFF"/>
            <w:tcMar>
              <w:top w:w="0" w:type="dxa"/>
              <w:left w:w="20" w:type="dxa"/>
              <w:bottom w:w="0" w:type="dxa"/>
              <w:right w:w="20" w:type="dxa"/>
            </w:tcMar>
            <w:vAlign w:val="center"/>
            <w:hideMark/>
          </w:tcPr>
          <w:p w14:paraId="3D2E577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5DD7EA4" w14:textId="77777777" w:rsidR="00000000" w:rsidRDefault="00A173A8">
            <w:pPr>
              <w:spacing w:after="100"/>
              <w:jc w:val="right"/>
              <w:rPr>
                <w:rFonts w:eastAsia="Times New Roman"/>
              </w:rPr>
            </w:pPr>
            <w:r>
              <w:rPr>
                <w:rFonts w:eastAsia="Times New Roman"/>
                <w:b/>
                <w:bCs/>
                <w:color w:val="000000"/>
                <w:sz w:val="16"/>
                <w:szCs w:val="16"/>
              </w:rPr>
              <w:t>(483)</w:t>
            </w:r>
          </w:p>
        </w:tc>
        <w:tc>
          <w:tcPr>
            <w:tcW w:w="0" w:type="auto"/>
            <w:shd w:val="clear" w:color="auto" w:fill="FFFFFF"/>
            <w:tcMar>
              <w:top w:w="30" w:type="dxa"/>
              <w:left w:w="0" w:type="dxa"/>
              <w:bottom w:w="30" w:type="dxa"/>
              <w:right w:w="20" w:type="dxa"/>
            </w:tcMar>
            <w:vAlign w:val="center"/>
            <w:hideMark/>
          </w:tcPr>
          <w:p w14:paraId="0D50255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4F9D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E22770" w14:textId="77777777" w:rsidR="00000000" w:rsidRDefault="00A173A8">
            <w:pPr>
              <w:spacing w:after="100"/>
              <w:jc w:val="right"/>
              <w:rPr>
                <w:rFonts w:eastAsia="Times New Roman"/>
              </w:rPr>
            </w:pPr>
            <w:r>
              <w:rPr>
                <w:rFonts w:eastAsia="Times New Roman"/>
                <w:color w:val="000000"/>
                <w:sz w:val="16"/>
                <w:szCs w:val="16"/>
              </w:rPr>
              <w:t>(51)</w:t>
            </w:r>
          </w:p>
        </w:tc>
        <w:tc>
          <w:tcPr>
            <w:tcW w:w="0" w:type="auto"/>
            <w:shd w:val="clear" w:color="auto" w:fill="FFFFFF"/>
            <w:tcMar>
              <w:top w:w="30" w:type="dxa"/>
              <w:left w:w="0" w:type="dxa"/>
              <w:bottom w:w="30" w:type="dxa"/>
              <w:right w:w="20" w:type="dxa"/>
            </w:tcMar>
            <w:vAlign w:val="center"/>
            <w:hideMark/>
          </w:tcPr>
          <w:p w14:paraId="3A0FEE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02CA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FF00A8" w14:textId="77777777" w:rsidR="00000000" w:rsidRDefault="00A173A8">
            <w:pPr>
              <w:spacing w:after="100"/>
              <w:jc w:val="right"/>
              <w:rPr>
                <w:rFonts w:eastAsia="Times New Roman"/>
              </w:rPr>
            </w:pPr>
            <w:r>
              <w:rPr>
                <w:rFonts w:eastAsia="Times New Roman"/>
                <w:b/>
                <w:bCs/>
                <w:color w:val="000000"/>
                <w:sz w:val="16"/>
                <w:szCs w:val="16"/>
              </w:rPr>
              <w:t>(1,692)</w:t>
            </w:r>
          </w:p>
        </w:tc>
        <w:tc>
          <w:tcPr>
            <w:tcW w:w="0" w:type="auto"/>
            <w:shd w:val="clear" w:color="auto" w:fill="FFFFFF"/>
            <w:tcMar>
              <w:top w:w="30" w:type="dxa"/>
              <w:left w:w="0" w:type="dxa"/>
              <w:bottom w:w="30" w:type="dxa"/>
              <w:right w:w="20" w:type="dxa"/>
            </w:tcMar>
            <w:vAlign w:val="center"/>
            <w:hideMark/>
          </w:tcPr>
          <w:p w14:paraId="39C8E0A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5F6CA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D7A0B9" w14:textId="77777777" w:rsidR="00000000" w:rsidRDefault="00A173A8">
            <w:pPr>
              <w:spacing w:after="100"/>
              <w:jc w:val="right"/>
              <w:rPr>
                <w:rFonts w:eastAsia="Times New Roman"/>
              </w:rPr>
            </w:pPr>
            <w:r>
              <w:rPr>
                <w:rFonts w:eastAsia="Times New Roman"/>
                <w:color w:val="000000"/>
                <w:sz w:val="16"/>
                <w:szCs w:val="16"/>
              </w:rPr>
              <w:t>(632)</w:t>
            </w:r>
          </w:p>
        </w:tc>
        <w:tc>
          <w:tcPr>
            <w:tcW w:w="0" w:type="auto"/>
            <w:shd w:val="clear" w:color="auto" w:fill="FFFFFF"/>
            <w:tcMar>
              <w:top w:w="30" w:type="dxa"/>
              <w:left w:w="0" w:type="dxa"/>
              <w:bottom w:w="30" w:type="dxa"/>
              <w:right w:w="20" w:type="dxa"/>
            </w:tcMar>
            <w:vAlign w:val="center"/>
            <w:hideMark/>
          </w:tcPr>
          <w:p w14:paraId="103DCE8C" w14:textId="77777777" w:rsidR="00000000" w:rsidRDefault="00A173A8">
            <w:pPr>
              <w:spacing w:after="100"/>
              <w:jc w:val="right"/>
              <w:rPr>
                <w:rFonts w:eastAsia="Times New Roman"/>
              </w:rPr>
            </w:pPr>
          </w:p>
        </w:tc>
        <w:tc>
          <w:tcPr>
            <w:tcW w:w="0" w:type="auto"/>
            <w:vAlign w:val="center"/>
            <w:hideMark/>
          </w:tcPr>
          <w:p w14:paraId="2E299592" w14:textId="77777777" w:rsidR="00000000" w:rsidRDefault="00A173A8">
            <w:pPr>
              <w:spacing w:after="100"/>
              <w:jc w:val="right"/>
              <w:rPr>
                <w:rFonts w:eastAsia="Times New Roman"/>
                <w:sz w:val="20"/>
                <w:szCs w:val="20"/>
              </w:rPr>
            </w:pPr>
          </w:p>
        </w:tc>
        <w:tc>
          <w:tcPr>
            <w:tcW w:w="0" w:type="auto"/>
            <w:vAlign w:val="center"/>
            <w:hideMark/>
          </w:tcPr>
          <w:p w14:paraId="0C5BCB2C" w14:textId="77777777" w:rsidR="00000000" w:rsidRDefault="00A173A8">
            <w:pPr>
              <w:spacing w:after="100"/>
              <w:rPr>
                <w:rFonts w:eastAsia="Times New Roman"/>
                <w:sz w:val="20"/>
                <w:szCs w:val="20"/>
              </w:rPr>
            </w:pPr>
          </w:p>
        </w:tc>
      </w:tr>
      <w:tr w:rsidR="00000000" w14:paraId="43A41DC9" w14:textId="77777777">
        <w:trPr>
          <w:jc w:val="center"/>
        </w:trPr>
        <w:tc>
          <w:tcPr>
            <w:tcW w:w="0" w:type="auto"/>
            <w:gridSpan w:val="3"/>
            <w:shd w:val="clear" w:color="auto" w:fill="CCEEFF"/>
            <w:tcMar>
              <w:top w:w="30" w:type="dxa"/>
              <w:left w:w="245" w:type="dxa"/>
              <w:bottom w:w="30" w:type="dxa"/>
              <w:right w:w="20" w:type="dxa"/>
            </w:tcMar>
            <w:vAlign w:val="center"/>
            <w:hideMark/>
          </w:tcPr>
          <w:p w14:paraId="3DD20FEB" w14:textId="77777777" w:rsidR="00000000" w:rsidRDefault="00A173A8">
            <w:pPr>
              <w:spacing w:after="100"/>
              <w:rPr>
                <w:rFonts w:eastAsia="Times New Roman"/>
              </w:rPr>
            </w:pPr>
            <w:r>
              <w:rPr>
                <w:rFonts w:eastAsia="Times New Roman"/>
                <w:color w:val="000000"/>
                <w:sz w:val="16"/>
                <w:szCs w:val="16"/>
              </w:rPr>
              <w:t>Foreign currency translation adjustments</w:t>
            </w:r>
          </w:p>
        </w:tc>
        <w:tc>
          <w:tcPr>
            <w:tcW w:w="0" w:type="auto"/>
            <w:gridSpan w:val="3"/>
            <w:shd w:val="clear" w:color="auto" w:fill="CCEEFF"/>
            <w:tcMar>
              <w:top w:w="0" w:type="dxa"/>
              <w:left w:w="20" w:type="dxa"/>
              <w:bottom w:w="0" w:type="dxa"/>
              <w:right w:w="20" w:type="dxa"/>
            </w:tcMar>
            <w:vAlign w:val="center"/>
            <w:hideMark/>
          </w:tcPr>
          <w:p w14:paraId="3EB971C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B4EBD1A" w14:textId="77777777" w:rsidR="00000000" w:rsidRDefault="00A173A8">
            <w:pPr>
              <w:spacing w:after="100"/>
              <w:jc w:val="right"/>
              <w:rPr>
                <w:rFonts w:eastAsia="Times New Roman"/>
              </w:rPr>
            </w:pPr>
            <w:r>
              <w:rPr>
                <w:rFonts w:eastAsia="Times New Roman"/>
                <w:b/>
                <w:bCs/>
                <w:color w:val="000000"/>
                <w:sz w:val="16"/>
                <w:szCs w:val="16"/>
              </w:rPr>
              <w:t>(52)</w:t>
            </w:r>
          </w:p>
        </w:tc>
        <w:tc>
          <w:tcPr>
            <w:tcW w:w="0" w:type="auto"/>
            <w:shd w:val="clear" w:color="auto" w:fill="CCEEFF"/>
            <w:tcMar>
              <w:top w:w="30" w:type="dxa"/>
              <w:left w:w="0" w:type="dxa"/>
              <w:bottom w:w="30" w:type="dxa"/>
              <w:right w:w="20" w:type="dxa"/>
            </w:tcMar>
            <w:vAlign w:val="center"/>
            <w:hideMark/>
          </w:tcPr>
          <w:p w14:paraId="46B9782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3EED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2EE3E2" w14:textId="77777777" w:rsidR="00000000" w:rsidRDefault="00A173A8">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center"/>
            <w:hideMark/>
          </w:tcPr>
          <w:p w14:paraId="1AE921E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67BB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855C1E" w14:textId="77777777" w:rsidR="00000000" w:rsidRDefault="00A173A8">
            <w:pPr>
              <w:spacing w:after="100"/>
              <w:jc w:val="right"/>
              <w:rPr>
                <w:rFonts w:eastAsia="Times New Roman"/>
              </w:rPr>
            </w:pPr>
            <w:r>
              <w:rPr>
                <w:rFonts w:eastAsia="Times New Roman"/>
                <w:b/>
                <w:bCs/>
                <w:color w:val="000000"/>
                <w:sz w:val="16"/>
                <w:szCs w:val="16"/>
              </w:rPr>
              <w:t>(57)</w:t>
            </w:r>
          </w:p>
        </w:tc>
        <w:tc>
          <w:tcPr>
            <w:tcW w:w="0" w:type="auto"/>
            <w:shd w:val="clear" w:color="auto" w:fill="CCEEFF"/>
            <w:tcMar>
              <w:top w:w="30" w:type="dxa"/>
              <w:left w:w="0" w:type="dxa"/>
              <w:bottom w:w="30" w:type="dxa"/>
              <w:right w:w="20" w:type="dxa"/>
            </w:tcMar>
            <w:vAlign w:val="center"/>
            <w:hideMark/>
          </w:tcPr>
          <w:p w14:paraId="482BEB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7161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485649" w14:textId="77777777" w:rsidR="00000000" w:rsidRDefault="00A173A8">
            <w:pPr>
              <w:spacing w:after="100"/>
              <w:jc w:val="right"/>
              <w:rPr>
                <w:rFonts w:eastAsia="Times New Roman"/>
              </w:rPr>
            </w:pPr>
            <w:r>
              <w:rPr>
                <w:rFonts w:eastAsia="Times New Roman"/>
                <w:color w:val="000000"/>
                <w:sz w:val="16"/>
                <w:szCs w:val="16"/>
              </w:rPr>
              <w:t>28 </w:t>
            </w:r>
          </w:p>
        </w:tc>
        <w:tc>
          <w:tcPr>
            <w:tcW w:w="0" w:type="auto"/>
            <w:shd w:val="clear" w:color="auto" w:fill="CCEEFF"/>
            <w:tcMar>
              <w:top w:w="30" w:type="dxa"/>
              <w:left w:w="0" w:type="dxa"/>
              <w:bottom w:w="30" w:type="dxa"/>
              <w:right w:w="20" w:type="dxa"/>
            </w:tcMar>
            <w:vAlign w:val="center"/>
            <w:hideMark/>
          </w:tcPr>
          <w:p w14:paraId="0D23231D" w14:textId="77777777" w:rsidR="00000000" w:rsidRDefault="00A173A8">
            <w:pPr>
              <w:spacing w:after="100"/>
              <w:jc w:val="right"/>
              <w:rPr>
                <w:rFonts w:eastAsia="Times New Roman"/>
              </w:rPr>
            </w:pPr>
          </w:p>
        </w:tc>
        <w:tc>
          <w:tcPr>
            <w:tcW w:w="0" w:type="auto"/>
            <w:vAlign w:val="center"/>
            <w:hideMark/>
          </w:tcPr>
          <w:p w14:paraId="1806B4ED" w14:textId="77777777" w:rsidR="00000000" w:rsidRDefault="00A173A8">
            <w:pPr>
              <w:spacing w:after="100"/>
              <w:jc w:val="right"/>
              <w:rPr>
                <w:rFonts w:eastAsia="Times New Roman"/>
                <w:sz w:val="20"/>
                <w:szCs w:val="20"/>
              </w:rPr>
            </w:pPr>
          </w:p>
        </w:tc>
        <w:tc>
          <w:tcPr>
            <w:tcW w:w="0" w:type="auto"/>
            <w:vAlign w:val="center"/>
            <w:hideMark/>
          </w:tcPr>
          <w:p w14:paraId="5457B413" w14:textId="77777777" w:rsidR="00000000" w:rsidRDefault="00A173A8">
            <w:pPr>
              <w:spacing w:after="100"/>
              <w:rPr>
                <w:rFonts w:eastAsia="Times New Roman"/>
                <w:sz w:val="20"/>
                <w:szCs w:val="20"/>
              </w:rPr>
            </w:pPr>
          </w:p>
        </w:tc>
      </w:tr>
      <w:tr w:rsidR="00000000" w14:paraId="6CEADE9E" w14:textId="77777777">
        <w:trPr>
          <w:jc w:val="center"/>
        </w:trPr>
        <w:tc>
          <w:tcPr>
            <w:tcW w:w="0" w:type="auto"/>
            <w:gridSpan w:val="3"/>
            <w:vAlign w:val="center"/>
            <w:hideMark/>
          </w:tcPr>
          <w:p w14:paraId="0A177C8B" w14:textId="77777777" w:rsidR="00000000" w:rsidRDefault="00A173A8">
            <w:pPr>
              <w:spacing w:after="100"/>
              <w:rPr>
                <w:rFonts w:eastAsia="Times New Roman"/>
                <w:sz w:val="20"/>
                <w:szCs w:val="20"/>
              </w:rPr>
            </w:pPr>
          </w:p>
        </w:tc>
        <w:tc>
          <w:tcPr>
            <w:tcW w:w="0" w:type="auto"/>
            <w:gridSpan w:val="3"/>
            <w:vAlign w:val="center"/>
            <w:hideMark/>
          </w:tcPr>
          <w:p w14:paraId="42118FC7" w14:textId="77777777" w:rsidR="00000000" w:rsidRDefault="00A173A8">
            <w:pPr>
              <w:spacing w:after="100"/>
              <w:rPr>
                <w:rFonts w:eastAsia="Times New Roman"/>
                <w:sz w:val="20"/>
                <w:szCs w:val="20"/>
              </w:rPr>
            </w:pPr>
          </w:p>
        </w:tc>
        <w:tc>
          <w:tcPr>
            <w:tcW w:w="0" w:type="auto"/>
            <w:gridSpan w:val="3"/>
            <w:vAlign w:val="center"/>
            <w:hideMark/>
          </w:tcPr>
          <w:p w14:paraId="36C5905F" w14:textId="77777777" w:rsidR="00000000" w:rsidRDefault="00A173A8">
            <w:pPr>
              <w:spacing w:after="100"/>
              <w:rPr>
                <w:rFonts w:eastAsia="Times New Roman"/>
                <w:sz w:val="20"/>
                <w:szCs w:val="20"/>
              </w:rPr>
            </w:pPr>
          </w:p>
        </w:tc>
        <w:tc>
          <w:tcPr>
            <w:tcW w:w="0" w:type="auto"/>
            <w:gridSpan w:val="3"/>
            <w:vAlign w:val="center"/>
            <w:hideMark/>
          </w:tcPr>
          <w:p w14:paraId="54406680" w14:textId="77777777" w:rsidR="00000000" w:rsidRDefault="00A173A8">
            <w:pPr>
              <w:spacing w:after="100"/>
              <w:rPr>
                <w:rFonts w:eastAsia="Times New Roman"/>
                <w:sz w:val="20"/>
                <w:szCs w:val="20"/>
              </w:rPr>
            </w:pPr>
          </w:p>
        </w:tc>
        <w:tc>
          <w:tcPr>
            <w:tcW w:w="0" w:type="auto"/>
            <w:gridSpan w:val="3"/>
            <w:vAlign w:val="center"/>
            <w:hideMark/>
          </w:tcPr>
          <w:p w14:paraId="45A91C1C" w14:textId="77777777" w:rsidR="00000000" w:rsidRDefault="00A173A8">
            <w:pPr>
              <w:spacing w:after="100"/>
              <w:rPr>
                <w:rFonts w:eastAsia="Times New Roman"/>
                <w:sz w:val="20"/>
                <w:szCs w:val="20"/>
              </w:rPr>
            </w:pPr>
          </w:p>
        </w:tc>
        <w:tc>
          <w:tcPr>
            <w:tcW w:w="0" w:type="auto"/>
            <w:gridSpan w:val="3"/>
            <w:vAlign w:val="center"/>
            <w:hideMark/>
          </w:tcPr>
          <w:p w14:paraId="03A82F53" w14:textId="77777777" w:rsidR="00000000" w:rsidRDefault="00A173A8">
            <w:pPr>
              <w:spacing w:after="100"/>
              <w:rPr>
                <w:rFonts w:eastAsia="Times New Roman"/>
                <w:sz w:val="20"/>
                <w:szCs w:val="20"/>
              </w:rPr>
            </w:pPr>
          </w:p>
        </w:tc>
        <w:tc>
          <w:tcPr>
            <w:tcW w:w="0" w:type="auto"/>
            <w:gridSpan w:val="3"/>
            <w:vAlign w:val="center"/>
            <w:hideMark/>
          </w:tcPr>
          <w:p w14:paraId="662C2BC3" w14:textId="77777777" w:rsidR="00000000" w:rsidRDefault="00A173A8">
            <w:pPr>
              <w:spacing w:after="100"/>
              <w:rPr>
                <w:rFonts w:eastAsia="Times New Roman"/>
                <w:sz w:val="20"/>
                <w:szCs w:val="20"/>
              </w:rPr>
            </w:pPr>
          </w:p>
        </w:tc>
        <w:tc>
          <w:tcPr>
            <w:tcW w:w="0" w:type="auto"/>
            <w:gridSpan w:val="3"/>
            <w:vAlign w:val="center"/>
            <w:hideMark/>
          </w:tcPr>
          <w:p w14:paraId="4797C2EA" w14:textId="77777777" w:rsidR="00000000" w:rsidRDefault="00A173A8">
            <w:pPr>
              <w:spacing w:after="100"/>
              <w:rPr>
                <w:rFonts w:eastAsia="Times New Roman"/>
                <w:sz w:val="20"/>
                <w:szCs w:val="20"/>
              </w:rPr>
            </w:pPr>
          </w:p>
        </w:tc>
        <w:tc>
          <w:tcPr>
            <w:tcW w:w="0" w:type="auto"/>
            <w:gridSpan w:val="3"/>
            <w:vAlign w:val="center"/>
            <w:hideMark/>
          </w:tcPr>
          <w:p w14:paraId="241D5424" w14:textId="77777777" w:rsidR="00000000" w:rsidRDefault="00A173A8">
            <w:pPr>
              <w:spacing w:after="100"/>
              <w:rPr>
                <w:rFonts w:eastAsia="Times New Roman"/>
                <w:sz w:val="20"/>
                <w:szCs w:val="20"/>
              </w:rPr>
            </w:pPr>
          </w:p>
        </w:tc>
        <w:tc>
          <w:tcPr>
            <w:tcW w:w="0" w:type="auto"/>
            <w:vAlign w:val="center"/>
            <w:hideMark/>
          </w:tcPr>
          <w:p w14:paraId="1431A759" w14:textId="77777777" w:rsidR="00000000" w:rsidRDefault="00A173A8">
            <w:pPr>
              <w:spacing w:after="100"/>
              <w:rPr>
                <w:rFonts w:eastAsia="Times New Roman"/>
                <w:sz w:val="20"/>
                <w:szCs w:val="20"/>
              </w:rPr>
            </w:pPr>
          </w:p>
        </w:tc>
        <w:tc>
          <w:tcPr>
            <w:tcW w:w="0" w:type="auto"/>
            <w:vAlign w:val="center"/>
            <w:hideMark/>
          </w:tcPr>
          <w:p w14:paraId="4FEDB2A2" w14:textId="77777777" w:rsidR="00000000" w:rsidRDefault="00A173A8">
            <w:pPr>
              <w:spacing w:after="100"/>
              <w:rPr>
                <w:rFonts w:eastAsia="Times New Roman"/>
                <w:sz w:val="20"/>
                <w:szCs w:val="20"/>
              </w:rPr>
            </w:pPr>
          </w:p>
        </w:tc>
      </w:tr>
      <w:tr w:rsidR="00000000" w14:paraId="4F07D41E" w14:textId="77777777">
        <w:trPr>
          <w:jc w:val="center"/>
        </w:trPr>
        <w:tc>
          <w:tcPr>
            <w:tcW w:w="0" w:type="auto"/>
            <w:gridSpan w:val="3"/>
            <w:shd w:val="clear" w:color="auto" w:fill="FFFFFF"/>
            <w:tcMar>
              <w:top w:w="30" w:type="dxa"/>
              <w:left w:w="245" w:type="dxa"/>
              <w:bottom w:w="30" w:type="dxa"/>
              <w:right w:w="20" w:type="dxa"/>
            </w:tcMar>
            <w:vAlign w:val="center"/>
            <w:hideMark/>
          </w:tcPr>
          <w:p w14:paraId="096B5793" w14:textId="77777777" w:rsidR="00000000" w:rsidRDefault="00A173A8">
            <w:pPr>
              <w:spacing w:after="100"/>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14:paraId="760B65C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E4BCEFF"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D50C88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8DBB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822066"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7421BAE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0B0AB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A66173"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8F54C3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AF40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F1E84D" w14:textId="77777777" w:rsidR="00000000" w:rsidRDefault="00A173A8">
            <w:pPr>
              <w:spacing w:after="100"/>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center"/>
            <w:hideMark/>
          </w:tcPr>
          <w:p w14:paraId="43698766" w14:textId="77777777" w:rsidR="00000000" w:rsidRDefault="00A173A8">
            <w:pPr>
              <w:spacing w:after="100"/>
              <w:jc w:val="right"/>
              <w:rPr>
                <w:rFonts w:eastAsia="Times New Roman"/>
              </w:rPr>
            </w:pPr>
          </w:p>
        </w:tc>
        <w:tc>
          <w:tcPr>
            <w:tcW w:w="0" w:type="auto"/>
            <w:vAlign w:val="center"/>
            <w:hideMark/>
          </w:tcPr>
          <w:p w14:paraId="427C1B16" w14:textId="77777777" w:rsidR="00000000" w:rsidRDefault="00A173A8">
            <w:pPr>
              <w:spacing w:after="100"/>
              <w:jc w:val="right"/>
              <w:rPr>
                <w:rFonts w:eastAsia="Times New Roman"/>
                <w:sz w:val="20"/>
                <w:szCs w:val="20"/>
              </w:rPr>
            </w:pPr>
          </w:p>
        </w:tc>
        <w:tc>
          <w:tcPr>
            <w:tcW w:w="0" w:type="auto"/>
            <w:vAlign w:val="center"/>
            <w:hideMark/>
          </w:tcPr>
          <w:p w14:paraId="2E27FC53" w14:textId="77777777" w:rsidR="00000000" w:rsidRDefault="00A173A8">
            <w:pPr>
              <w:spacing w:after="100"/>
              <w:rPr>
                <w:rFonts w:eastAsia="Times New Roman"/>
                <w:sz w:val="20"/>
                <w:szCs w:val="20"/>
              </w:rPr>
            </w:pPr>
          </w:p>
        </w:tc>
      </w:tr>
      <w:tr w:rsidR="00000000" w14:paraId="208A1CD3" w14:textId="77777777">
        <w:trPr>
          <w:jc w:val="center"/>
        </w:trPr>
        <w:tc>
          <w:tcPr>
            <w:tcW w:w="0" w:type="auto"/>
            <w:gridSpan w:val="3"/>
            <w:shd w:val="clear" w:color="auto" w:fill="CCEEFF"/>
            <w:tcMar>
              <w:top w:w="30" w:type="dxa"/>
              <w:left w:w="20" w:type="dxa"/>
              <w:bottom w:w="30" w:type="dxa"/>
              <w:right w:w="20" w:type="dxa"/>
            </w:tcMar>
            <w:vAlign w:val="center"/>
            <w:hideMark/>
          </w:tcPr>
          <w:p w14:paraId="7A61662D" w14:textId="77777777" w:rsidR="00000000" w:rsidRDefault="00A173A8">
            <w:pPr>
              <w:spacing w:after="100"/>
              <w:rPr>
                <w:rFonts w:eastAsia="Times New Roman"/>
              </w:rPr>
            </w:pPr>
            <w:r>
              <w:rPr>
                <w:rFonts w:eastAsia="Times New Roman"/>
                <w:color w:val="000000"/>
                <w:sz w:val="16"/>
                <w:szCs w:val="16"/>
              </w:rPr>
              <w:t>Other comprehensive income (loss), net of tax</w:t>
            </w:r>
          </w:p>
        </w:tc>
        <w:tc>
          <w:tcPr>
            <w:tcW w:w="0" w:type="auto"/>
            <w:gridSpan w:val="3"/>
            <w:shd w:val="clear" w:color="auto" w:fill="CCEEFF"/>
            <w:tcMar>
              <w:top w:w="0" w:type="dxa"/>
              <w:left w:w="20" w:type="dxa"/>
              <w:bottom w:w="0" w:type="dxa"/>
              <w:right w:w="20" w:type="dxa"/>
            </w:tcMar>
            <w:vAlign w:val="center"/>
            <w:hideMark/>
          </w:tcPr>
          <w:p w14:paraId="0599C00A"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69047D" w14:textId="77777777" w:rsidR="00000000" w:rsidRDefault="00A173A8">
            <w:pPr>
              <w:spacing w:after="100"/>
              <w:jc w:val="right"/>
              <w:rPr>
                <w:rFonts w:eastAsia="Times New Roman"/>
              </w:rPr>
            </w:pPr>
            <w:r>
              <w:rPr>
                <w:rFonts w:eastAsia="Times New Roman"/>
                <w:b/>
                <w:bCs/>
                <w:color w:val="000000"/>
                <w:sz w:val="16"/>
                <w:szCs w:val="16"/>
              </w:rPr>
              <w:t>(2,823)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DE2CD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B10A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6A49EE" w14:textId="77777777" w:rsidR="00000000" w:rsidRDefault="00A173A8">
            <w:pPr>
              <w:spacing w:after="100"/>
              <w:jc w:val="right"/>
              <w:rPr>
                <w:rFonts w:eastAsia="Times New Roman"/>
              </w:rPr>
            </w:pPr>
            <w:r>
              <w:rPr>
                <w:rFonts w:eastAsia="Times New Roman"/>
                <w:color w:val="000000"/>
                <w:sz w:val="16"/>
                <w:szCs w:val="16"/>
              </w:rPr>
              <w:t>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5A30DF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5AD8A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35588E" w14:textId="77777777" w:rsidR="00000000" w:rsidRDefault="00A173A8">
            <w:pPr>
              <w:spacing w:after="100"/>
              <w:jc w:val="right"/>
              <w:rPr>
                <w:rFonts w:eastAsia="Times New Roman"/>
              </w:rPr>
            </w:pPr>
            <w:r>
              <w:rPr>
                <w:rFonts w:eastAsia="Times New Roman"/>
                <w:b/>
                <w:bCs/>
                <w:color w:val="000000"/>
                <w:sz w:val="16"/>
                <w:szCs w:val="16"/>
              </w:rPr>
              <w:t>(7,290)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92FE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10A7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3A517D" w14:textId="77777777" w:rsidR="00000000" w:rsidRDefault="00A173A8">
            <w:pPr>
              <w:spacing w:after="100"/>
              <w:jc w:val="right"/>
              <w:rPr>
                <w:rFonts w:eastAsia="Times New Roman"/>
              </w:rPr>
            </w:pPr>
            <w:r>
              <w:rPr>
                <w:rFonts w:eastAsia="Times New Roman"/>
                <w:color w:val="000000"/>
                <w:sz w:val="16"/>
                <w:szCs w:val="16"/>
              </w:rPr>
              <w:t>(1,702)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550A58" w14:textId="77777777" w:rsidR="00000000" w:rsidRDefault="00A173A8">
            <w:pPr>
              <w:spacing w:after="100"/>
              <w:jc w:val="right"/>
              <w:rPr>
                <w:rFonts w:eastAsia="Times New Roman"/>
              </w:rPr>
            </w:pPr>
          </w:p>
        </w:tc>
        <w:tc>
          <w:tcPr>
            <w:tcW w:w="0" w:type="auto"/>
            <w:vAlign w:val="center"/>
            <w:hideMark/>
          </w:tcPr>
          <w:p w14:paraId="797A94F4" w14:textId="77777777" w:rsidR="00000000" w:rsidRDefault="00A173A8">
            <w:pPr>
              <w:spacing w:after="100"/>
              <w:jc w:val="right"/>
              <w:rPr>
                <w:rFonts w:eastAsia="Times New Roman"/>
                <w:sz w:val="20"/>
                <w:szCs w:val="20"/>
              </w:rPr>
            </w:pPr>
          </w:p>
        </w:tc>
        <w:tc>
          <w:tcPr>
            <w:tcW w:w="0" w:type="auto"/>
            <w:vAlign w:val="center"/>
            <w:hideMark/>
          </w:tcPr>
          <w:p w14:paraId="6EB13D50" w14:textId="77777777" w:rsidR="00000000" w:rsidRDefault="00A173A8">
            <w:pPr>
              <w:spacing w:after="100"/>
              <w:rPr>
                <w:rFonts w:eastAsia="Times New Roman"/>
                <w:sz w:val="20"/>
                <w:szCs w:val="20"/>
              </w:rPr>
            </w:pPr>
          </w:p>
        </w:tc>
      </w:tr>
      <w:tr w:rsidR="00000000" w14:paraId="3F2060A6" w14:textId="77777777">
        <w:trPr>
          <w:jc w:val="center"/>
        </w:trPr>
        <w:tc>
          <w:tcPr>
            <w:tcW w:w="0" w:type="auto"/>
            <w:gridSpan w:val="3"/>
            <w:shd w:val="clear" w:color="auto" w:fill="FFFFFF"/>
            <w:tcMar>
              <w:top w:w="30" w:type="dxa"/>
              <w:left w:w="20" w:type="dxa"/>
              <w:bottom w:w="30" w:type="dxa"/>
              <w:right w:w="20" w:type="dxa"/>
            </w:tcMar>
            <w:vAlign w:val="center"/>
            <w:hideMark/>
          </w:tcPr>
          <w:p w14:paraId="6D80A0BE" w14:textId="77777777" w:rsidR="00000000" w:rsidRDefault="00A173A8">
            <w:pPr>
              <w:spacing w:after="100"/>
              <w:rPr>
                <w:rFonts w:eastAsia="Times New Roman"/>
              </w:rPr>
            </w:pPr>
            <w:r>
              <w:rPr>
                <w:rFonts w:eastAsia="Times New Roman"/>
                <w:b/>
                <w:bCs/>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14:paraId="7AA38DE9"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F880B45"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12537FF" w14:textId="77777777" w:rsidR="00000000" w:rsidRDefault="00A173A8">
            <w:pPr>
              <w:spacing w:after="100"/>
              <w:jc w:val="right"/>
              <w:rPr>
                <w:rFonts w:eastAsia="Times New Roman"/>
              </w:rPr>
            </w:pPr>
            <w:r>
              <w:rPr>
                <w:rFonts w:eastAsia="Times New Roman"/>
                <w:b/>
                <w:bCs/>
                <w:color w:val="000000"/>
                <w:sz w:val="16"/>
                <w:szCs w:val="16"/>
              </w:rPr>
              <w:t>(792)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BE21B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34FE1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804AAEC"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61DEF28" w14:textId="77777777" w:rsidR="00000000" w:rsidRDefault="00A173A8">
            <w:pPr>
              <w:spacing w:after="100"/>
              <w:jc w:val="right"/>
              <w:rPr>
                <w:rFonts w:eastAsia="Times New Roman"/>
              </w:rPr>
            </w:pPr>
            <w:r>
              <w:rPr>
                <w:rFonts w:eastAsia="Times New Roman"/>
                <w:color w:val="000000"/>
                <w:sz w:val="16"/>
                <w:szCs w:val="16"/>
              </w:rPr>
              <w:t>3,545 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56CC00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10897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D77674A"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8C2446C" w14:textId="77777777" w:rsidR="00000000" w:rsidRDefault="00A173A8">
            <w:pPr>
              <w:spacing w:after="100"/>
              <w:jc w:val="right"/>
              <w:rPr>
                <w:rFonts w:eastAsia="Times New Roman"/>
              </w:rPr>
            </w:pPr>
            <w:r>
              <w:rPr>
                <w:rFonts w:eastAsia="Times New Roman"/>
                <w:b/>
                <w:bCs/>
                <w:color w:val="000000"/>
                <w:sz w:val="16"/>
                <w:szCs w:val="16"/>
              </w:rPr>
              <w:t>(2,856)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FC7A2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2822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671F27"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22FBFA" w14:textId="77777777" w:rsidR="00000000" w:rsidRDefault="00A173A8">
            <w:pPr>
              <w:spacing w:after="100"/>
              <w:jc w:val="right"/>
              <w:rPr>
                <w:rFonts w:eastAsia="Times New Roman"/>
              </w:rPr>
            </w:pPr>
            <w:r>
              <w:rPr>
                <w:rFonts w:eastAsia="Times New Roman"/>
                <w:color w:val="000000"/>
                <w:sz w:val="16"/>
                <w:szCs w:val="16"/>
              </w:rPr>
              <w:t>5,159 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29735F" w14:textId="77777777" w:rsidR="00000000" w:rsidRDefault="00A173A8">
            <w:pPr>
              <w:spacing w:after="100"/>
              <w:jc w:val="right"/>
              <w:rPr>
                <w:rFonts w:eastAsia="Times New Roman"/>
              </w:rPr>
            </w:pPr>
          </w:p>
        </w:tc>
        <w:tc>
          <w:tcPr>
            <w:tcW w:w="0" w:type="auto"/>
            <w:vAlign w:val="center"/>
            <w:hideMark/>
          </w:tcPr>
          <w:p w14:paraId="1E3BDD47" w14:textId="77777777" w:rsidR="00000000" w:rsidRDefault="00A173A8">
            <w:pPr>
              <w:spacing w:after="100"/>
              <w:jc w:val="right"/>
              <w:rPr>
                <w:rFonts w:eastAsia="Times New Roman"/>
                <w:sz w:val="20"/>
                <w:szCs w:val="20"/>
              </w:rPr>
            </w:pPr>
          </w:p>
        </w:tc>
        <w:tc>
          <w:tcPr>
            <w:tcW w:w="0" w:type="auto"/>
            <w:vAlign w:val="center"/>
            <w:hideMark/>
          </w:tcPr>
          <w:p w14:paraId="79A4B77E" w14:textId="77777777" w:rsidR="00000000" w:rsidRDefault="00A173A8">
            <w:pPr>
              <w:spacing w:after="100"/>
              <w:rPr>
                <w:rFonts w:eastAsia="Times New Roman"/>
                <w:sz w:val="20"/>
                <w:szCs w:val="20"/>
              </w:rPr>
            </w:pPr>
          </w:p>
        </w:tc>
      </w:tr>
    </w:tbl>
    <w:p w14:paraId="58288E27" w14:textId="77777777" w:rsidR="00000000" w:rsidRDefault="00A173A8">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60486715" w14:textId="77777777">
        <w:trPr>
          <w:divId w:val="1836874662"/>
          <w:jc w:val="center"/>
        </w:trPr>
        <w:tc>
          <w:tcPr>
            <w:tcW w:w="50" w:type="pct"/>
            <w:vAlign w:val="center"/>
            <w:hideMark/>
          </w:tcPr>
          <w:p w14:paraId="26E263CF" w14:textId="77777777" w:rsidR="00000000" w:rsidRDefault="00A173A8">
            <w:pPr>
              <w:jc w:val="center"/>
              <w:rPr>
                <w:rFonts w:eastAsia="Times New Roman"/>
              </w:rPr>
            </w:pPr>
          </w:p>
        </w:tc>
        <w:tc>
          <w:tcPr>
            <w:tcW w:w="1606" w:type="pct"/>
            <w:vAlign w:val="center"/>
            <w:hideMark/>
          </w:tcPr>
          <w:p w14:paraId="561BB66B" w14:textId="77777777" w:rsidR="00000000" w:rsidRDefault="00A173A8">
            <w:pPr>
              <w:spacing w:after="100"/>
              <w:rPr>
                <w:rFonts w:eastAsia="Times New Roman"/>
                <w:sz w:val="20"/>
                <w:szCs w:val="20"/>
              </w:rPr>
            </w:pPr>
          </w:p>
        </w:tc>
        <w:tc>
          <w:tcPr>
            <w:tcW w:w="5" w:type="pct"/>
            <w:vAlign w:val="center"/>
            <w:hideMark/>
          </w:tcPr>
          <w:p w14:paraId="003205E2" w14:textId="77777777" w:rsidR="00000000" w:rsidRDefault="00A173A8">
            <w:pPr>
              <w:spacing w:after="100"/>
              <w:rPr>
                <w:rFonts w:eastAsia="Times New Roman"/>
                <w:sz w:val="20"/>
                <w:szCs w:val="20"/>
              </w:rPr>
            </w:pPr>
          </w:p>
        </w:tc>
        <w:tc>
          <w:tcPr>
            <w:tcW w:w="50" w:type="pct"/>
            <w:vAlign w:val="center"/>
            <w:hideMark/>
          </w:tcPr>
          <w:p w14:paraId="1A186EDE" w14:textId="77777777" w:rsidR="00000000" w:rsidRDefault="00A173A8">
            <w:pPr>
              <w:spacing w:after="100"/>
              <w:rPr>
                <w:rFonts w:eastAsia="Times New Roman"/>
                <w:sz w:val="20"/>
                <w:szCs w:val="20"/>
              </w:rPr>
            </w:pPr>
          </w:p>
        </w:tc>
        <w:tc>
          <w:tcPr>
            <w:tcW w:w="1614" w:type="pct"/>
            <w:vAlign w:val="center"/>
            <w:hideMark/>
          </w:tcPr>
          <w:p w14:paraId="3662043B" w14:textId="77777777" w:rsidR="00000000" w:rsidRDefault="00A173A8">
            <w:pPr>
              <w:spacing w:after="100"/>
              <w:rPr>
                <w:rFonts w:eastAsia="Times New Roman"/>
                <w:sz w:val="20"/>
                <w:szCs w:val="20"/>
              </w:rPr>
            </w:pPr>
          </w:p>
        </w:tc>
        <w:tc>
          <w:tcPr>
            <w:tcW w:w="5" w:type="pct"/>
            <w:vAlign w:val="center"/>
            <w:hideMark/>
          </w:tcPr>
          <w:p w14:paraId="69491B83" w14:textId="77777777" w:rsidR="00000000" w:rsidRDefault="00A173A8">
            <w:pPr>
              <w:spacing w:after="100"/>
              <w:rPr>
                <w:rFonts w:eastAsia="Times New Roman"/>
                <w:sz w:val="20"/>
                <w:szCs w:val="20"/>
              </w:rPr>
            </w:pPr>
          </w:p>
        </w:tc>
        <w:tc>
          <w:tcPr>
            <w:tcW w:w="50" w:type="pct"/>
            <w:vAlign w:val="center"/>
            <w:hideMark/>
          </w:tcPr>
          <w:p w14:paraId="34B158F7" w14:textId="77777777" w:rsidR="00000000" w:rsidRDefault="00A173A8">
            <w:pPr>
              <w:spacing w:after="100"/>
              <w:rPr>
                <w:rFonts w:eastAsia="Times New Roman"/>
                <w:sz w:val="20"/>
                <w:szCs w:val="20"/>
              </w:rPr>
            </w:pPr>
          </w:p>
        </w:tc>
        <w:tc>
          <w:tcPr>
            <w:tcW w:w="1614" w:type="pct"/>
            <w:vAlign w:val="center"/>
            <w:hideMark/>
          </w:tcPr>
          <w:p w14:paraId="12AED68C" w14:textId="77777777" w:rsidR="00000000" w:rsidRDefault="00A173A8">
            <w:pPr>
              <w:spacing w:after="100"/>
              <w:rPr>
                <w:rFonts w:eastAsia="Times New Roman"/>
                <w:sz w:val="20"/>
                <w:szCs w:val="20"/>
              </w:rPr>
            </w:pPr>
          </w:p>
        </w:tc>
        <w:tc>
          <w:tcPr>
            <w:tcW w:w="5" w:type="pct"/>
            <w:vAlign w:val="center"/>
            <w:hideMark/>
          </w:tcPr>
          <w:p w14:paraId="58697207" w14:textId="77777777" w:rsidR="00000000" w:rsidRDefault="00A173A8">
            <w:pPr>
              <w:spacing w:after="100"/>
              <w:rPr>
                <w:rFonts w:eastAsia="Times New Roman"/>
                <w:sz w:val="20"/>
                <w:szCs w:val="20"/>
              </w:rPr>
            </w:pPr>
          </w:p>
        </w:tc>
      </w:tr>
      <w:tr w:rsidR="00000000" w14:paraId="3A6958B1" w14:textId="77777777">
        <w:trPr>
          <w:divId w:val="1836874662"/>
          <w:jc w:val="center"/>
        </w:trPr>
        <w:tc>
          <w:tcPr>
            <w:tcW w:w="0" w:type="auto"/>
            <w:gridSpan w:val="9"/>
            <w:tcMar>
              <w:top w:w="30" w:type="dxa"/>
              <w:left w:w="20" w:type="dxa"/>
              <w:bottom w:w="30" w:type="dxa"/>
              <w:right w:w="20" w:type="dxa"/>
            </w:tcMar>
            <w:vAlign w:val="bottom"/>
            <w:hideMark/>
          </w:tcPr>
          <w:p w14:paraId="54A78A16" w14:textId="77777777" w:rsidR="00000000" w:rsidRDefault="00A173A8">
            <w:pPr>
              <w:spacing w:after="100"/>
              <w:jc w:val="center"/>
              <w:rPr>
                <w:rFonts w:eastAsia="Times New Roman"/>
              </w:rPr>
            </w:pPr>
            <w:r>
              <w:rPr>
                <w:rFonts w:eastAsia="Times New Roman"/>
                <w:color w:val="000000"/>
                <w:sz w:val="20"/>
                <w:szCs w:val="20"/>
              </w:rPr>
              <w:t>See Notes to Consolidated Financial Statements.</w:t>
            </w:r>
          </w:p>
        </w:tc>
      </w:tr>
      <w:tr w:rsidR="00000000" w14:paraId="5CB1B05B" w14:textId="77777777">
        <w:trPr>
          <w:divId w:val="1836874662"/>
          <w:jc w:val="center"/>
        </w:trPr>
        <w:tc>
          <w:tcPr>
            <w:tcW w:w="0" w:type="auto"/>
            <w:gridSpan w:val="3"/>
            <w:tcMar>
              <w:top w:w="0" w:type="dxa"/>
              <w:left w:w="20" w:type="dxa"/>
              <w:bottom w:w="0" w:type="dxa"/>
              <w:right w:w="20" w:type="dxa"/>
            </w:tcMar>
            <w:vAlign w:val="center"/>
            <w:hideMark/>
          </w:tcPr>
          <w:p w14:paraId="767C4AF3"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9544584" w14:textId="77777777" w:rsidR="00000000" w:rsidRDefault="00A173A8">
            <w:pPr>
              <w:spacing w:after="100"/>
              <w:jc w:val="center"/>
              <w:rPr>
                <w:rFonts w:eastAsia="Times New Roman"/>
              </w:rPr>
            </w:pPr>
            <w:r>
              <w:rPr>
                <w:rFonts w:eastAsia="Times New Roman"/>
                <w:color w:val="000000"/>
                <w:sz w:val="16"/>
                <w:szCs w:val="16"/>
              </w:rPr>
              <w:t>66</w:t>
            </w:r>
          </w:p>
        </w:tc>
        <w:tc>
          <w:tcPr>
            <w:tcW w:w="0" w:type="auto"/>
            <w:gridSpan w:val="3"/>
            <w:tcMar>
              <w:top w:w="30" w:type="dxa"/>
              <w:left w:w="20" w:type="dxa"/>
              <w:bottom w:w="30" w:type="dxa"/>
              <w:right w:w="20" w:type="dxa"/>
            </w:tcMar>
            <w:vAlign w:val="bottom"/>
            <w:hideMark/>
          </w:tcPr>
          <w:p w14:paraId="50FB8888"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7C782EE" w14:textId="77777777" w:rsidR="00000000" w:rsidRDefault="00A173A8">
      <w:pPr>
        <w:rPr>
          <w:rFonts w:eastAsia="Times New Roman"/>
        </w:rPr>
      </w:pPr>
      <w:r>
        <w:rPr>
          <w:rFonts w:eastAsia="Times New Roman"/>
        </w:rPr>
        <w:pict w14:anchorId="410678FF">
          <v:rect id="_x0000_i1091" style="width:0;height:1.5pt" o:hralign="center" o:hrstd="t" o:hr="t" fillcolor="#a0a0a0" stroked="f"/>
        </w:pict>
      </w:r>
    </w:p>
    <w:p w14:paraId="2BF69F35" w14:textId="77777777" w:rsidR="00000000" w:rsidRDefault="00A173A8">
      <w:pPr>
        <w:jc w:val="both"/>
        <w:divId w:val="1278875205"/>
        <w:rPr>
          <w:rFonts w:eastAsia="Times New Roman"/>
        </w:rPr>
      </w:pPr>
      <w:hyperlink w:anchor="i7ffd5d61af6f4722b1b1b07530d51c06_13" w:history="1">
        <w:r>
          <w:rPr>
            <w:rStyle w:val="a3"/>
            <w:rFonts w:eastAsia="Times New Roman"/>
            <w:sz w:val="16"/>
            <w:szCs w:val="16"/>
          </w:rPr>
          <w:t>Table of Contents</w:t>
        </w:r>
      </w:hyperlink>
    </w:p>
    <w:p w14:paraId="2F467751" w14:textId="77777777" w:rsidR="00000000" w:rsidRDefault="00A173A8">
      <w:pPr>
        <w:jc w:val="center"/>
        <w:divId w:val="1278875205"/>
        <w:rPr>
          <w:rFonts w:eastAsia="Times New Roman"/>
        </w:rPr>
      </w:pPr>
    </w:p>
    <w:p w14:paraId="3D5C27B5" w14:textId="77777777" w:rsidR="00000000" w:rsidRDefault="00A173A8">
      <w:pPr>
        <w:jc w:val="center"/>
        <w:divId w:val="1278875205"/>
        <w:rPr>
          <w:rFonts w:eastAsia="Times New Roman"/>
        </w:rPr>
      </w:pPr>
      <w:r>
        <w:rPr>
          <w:rFonts w:eastAsia="Times New Roman"/>
          <w:b/>
          <w:bCs/>
          <w:color w:val="000000"/>
          <w:sz w:val="20"/>
          <w:szCs w:val="20"/>
        </w:rPr>
        <w:t>CAPITAL ONE FINANCIAL CORPORATION</w:t>
      </w:r>
    </w:p>
    <w:p w14:paraId="136C16F6" w14:textId="77777777" w:rsidR="00000000" w:rsidRDefault="00A173A8">
      <w:pPr>
        <w:jc w:val="center"/>
        <w:divId w:val="1278875205"/>
        <w:rPr>
          <w:rFonts w:eastAsia="Times New Roman"/>
        </w:rPr>
      </w:pPr>
      <w:r>
        <w:rPr>
          <w:rFonts w:eastAsia="Times New Roman"/>
          <w:b/>
          <w:bCs/>
          <w:color w:val="000000"/>
          <w:sz w:val="20"/>
          <w:szCs w:val="20"/>
        </w:rPr>
        <w:t>CONSOLIDATED BALANCE SHEETS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4"/>
        <w:gridCol w:w="5932"/>
        <w:gridCol w:w="39"/>
        <w:gridCol w:w="36"/>
        <w:gridCol w:w="36"/>
        <w:gridCol w:w="36"/>
        <w:gridCol w:w="100"/>
        <w:gridCol w:w="894"/>
        <w:gridCol w:w="36"/>
        <w:gridCol w:w="36"/>
        <w:gridCol w:w="36"/>
        <w:gridCol w:w="36"/>
        <w:gridCol w:w="101"/>
        <w:gridCol w:w="895"/>
        <w:gridCol w:w="36"/>
      </w:tblGrid>
      <w:tr w:rsidR="00000000" w14:paraId="7BCE9070" w14:textId="77777777">
        <w:trPr>
          <w:divId w:val="719326495"/>
          <w:jc w:val="center"/>
        </w:trPr>
        <w:tc>
          <w:tcPr>
            <w:tcW w:w="50" w:type="pct"/>
            <w:vAlign w:val="center"/>
            <w:hideMark/>
          </w:tcPr>
          <w:p w14:paraId="34B9846E" w14:textId="77777777" w:rsidR="00000000" w:rsidRDefault="00A173A8">
            <w:pPr>
              <w:jc w:val="center"/>
              <w:rPr>
                <w:rFonts w:eastAsia="Times New Roman"/>
              </w:rPr>
            </w:pPr>
          </w:p>
        </w:tc>
        <w:tc>
          <w:tcPr>
            <w:tcW w:w="3598" w:type="pct"/>
            <w:vAlign w:val="center"/>
            <w:hideMark/>
          </w:tcPr>
          <w:p w14:paraId="4C1A381E" w14:textId="77777777" w:rsidR="00000000" w:rsidRDefault="00A173A8">
            <w:pPr>
              <w:spacing w:after="100"/>
              <w:rPr>
                <w:rFonts w:eastAsia="Times New Roman"/>
                <w:sz w:val="20"/>
                <w:szCs w:val="20"/>
              </w:rPr>
            </w:pPr>
          </w:p>
        </w:tc>
        <w:tc>
          <w:tcPr>
            <w:tcW w:w="5" w:type="pct"/>
            <w:vAlign w:val="center"/>
            <w:hideMark/>
          </w:tcPr>
          <w:p w14:paraId="24E7ADAB" w14:textId="77777777" w:rsidR="00000000" w:rsidRDefault="00A173A8">
            <w:pPr>
              <w:spacing w:after="100"/>
              <w:rPr>
                <w:rFonts w:eastAsia="Times New Roman"/>
                <w:sz w:val="20"/>
                <w:szCs w:val="20"/>
              </w:rPr>
            </w:pPr>
          </w:p>
        </w:tc>
        <w:tc>
          <w:tcPr>
            <w:tcW w:w="5" w:type="pct"/>
            <w:vAlign w:val="center"/>
            <w:hideMark/>
          </w:tcPr>
          <w:p w14:paraId="66FE39A2" w14:textId="77777777" w:rsidR="00000000" w:rsidRDefault="00A173A8">
            <w:pPr>
              <w:spacing w:after="100"/>
              <w:rPr>
                <w:rFonts w:eastAsia="Times New Roman"/>
                <w:sz w:val="20"/>
                <w:szCs w:val="20"/>
              </w:rPr>
            </w:pPr>
          </w:p>
        </w:tc>
        <w:tc>
          <w:tcPr>
            <w:tcW w:w="26" w:type="pct"/>
            <w:vAlign w:val="center"/>
            <w:hideMark/>
          </w:tcPr>
          <w:p w14:paraId="41F5E4C0" w14:textId="77777777" w:rsidR="00000000" w:rsidRDefault="00A173A8">
            <w:pPr>
              <w:spacing w:after="100"/>
              <w:rPr>
                <w:rFonts w:eastAsia="Times New Roman"/>
                <w:sz w:val="20"/>
                <w:szCs w:val="20"/>
              </w:rPr>
            </w:pPr>
          </w:p>
        </w:tc>
        <w:tc>
          <w:tcPr>
            <w:tcW w:w="5" w:type="pct"/>
            <w:vAlign w:val="center"/>
            <w:hideMark/>
          </w:tcPr>
          <w:p w14:paraId="11557EFB" w14:textId="77777777" w:rsidR="00000000" w:rsidRDefault="00A173A8">
            <w:pPr>
              <w:spacing w:after="100"/>
              <w:rPr>
                <w:rFonts w:eastAsia="Times New Roman"/>
                <w:sz w:val="20"/>
                <w:szCs w:val="20"/>
              </w:rPr>
            </w:pPr>
          </w:p>
        </w:tc>
        <w:tc>
          <w:tcPr>
            <w:tcW w:w="50" w:type="pct"/>
            <w:vAlign w:val="center"/>
            <w:hideMark/>
          </w:tcPr>
          <w:p w14:paraId="17F525DF" w14:textId="77777777" w:rsidR="00000000" w:rsidRDefault="00A173A8">
            <w:pPr>
              <w:spacing w:after="100"/>
              <w:rPr>
                <w:rFonts w:eastAsia="Times New Roman"/>
                <w:sz w:val="20"/>
                <w:szCs w:val="20"/>
              </w:rPr>
            </w:pPr>
          </w:p>
        </w:tc>
        <w:tc>
          <w:tcPr>
            <w:tcW w:w="581" w:type="pct"/>
            <w:vAlign w:val="center"/>
            <w:hideMark/>
          </w:tcPr>
          <w:p w14:paraId="32BAA8D0" w14:textId="77777777" w:rsidR="00000000" w:rsidRDefault="00A173A8">
            <w:pPr>
              <w:spacing w:after="100"/>
              <w:rPr>
                <w:rFonts w:eastAsia="Times New Roman"/>
                <w:sz w:val="20"/>
                <w:szCs w:val="20"/>
              </w:rPr>
            </w:pPr>
          </w:p>
        </w:tc>
        <w:tc>
          <w:tcPr>
            <w:tcW w:w="5" w:type="pct"/>
            <w:vAlign w:val="center"/>
            <w:hideMark/>
          </w:tcPr>
          <w:p w14:paraId="3DEB145F" w14:textId="77777777" w:rsidR="00000000" w:rsidRDefault="00A173A8">
            <w:pPr>
              <w:spacing w:after="100"/>
              <w:rPr>
                <w:rFonts w:eastAsia="Times New Roman"/>
                <w:sz w:val="20"/>
                <w:szCs w:val="20"/>
              </w:rPr>
            </w:pPr>
          </w:p>
        </w:tc>
        <w:tc>
          <w:tcPr>
            <w:tcW w:w="5" w:type="pct"/>
            <w:vAlign w:val="center"/>
            <w:hideMark/>
          </w:tcPr>
          <w:p w14:paraId="7E794E0F" w14:textId="77777777" w:rsidR="00000000" w:rsidRDefault="00A173A8">
            <w:pPr>
              <w:spacing w:after="100"/>
              <w:rPr>
                <w:rFonts w:eastAsia="Times New Roman"/>
                <w:sz w:val="20"/>
                <w:szCs w:val="20"/>
              </w:rPr>
            </w:pPr>
          </w:p>
        </w:tc>
        <w:tc>
          <w:tcPr>
            <w:tcW w:w="26" w:type="pct"/>
            <w:vAlign w:val="center"/>
            <w:hideMark/>
          </w:tcPr>
          <w:p w14:paraId="0EB49594" w14:textId="77777777" w:rsidR="00000000" w:rsidRDefault="00A173A8">
            <w:pPr>
              <w:spacing w:after="100"/>
              <w:rPr>
                <w:rFonts w:eastAsia="Times New Roman"/>
                <w:sz w:val="20"/>
                <w:szCs w:val="20"/>
              </w:rPr>
            </w:pPr>
          </w:p>
        </w:tc>
        <w:tc>
          <w:tcPr>
            <w:tcW w:w="5" w:type="pct"/>
            <w:vAlign w:val="center"/>
            <w:hideMark/>
          </w:tcPr>
          <w:p w14:paraId="40DB199F" w14:textId="77777777" w:rsidR="00000000" w:rsidRDefault="00A173A8">
            <w:pPr>
              <w:spacing w:after="100"/>
              <w:rPr>
                <w:rFonts w:eastAsia="Times New Roman"/>
                <w:sz w:val="20"/>
                <w:szCs w:val="20"/>
              </w:rPr>
            </w:pPr>
          </w:p>
        </w:tc>
        <w:tc>
          <w:tcPr>
            <w:tcW w:w="50" w:type="pct"/>
            <w:vAlign w:val="center"/>
            <w:hideMark/>
          </w:tcPr>
          <w:p w14:paraId="3072ADD9" w14:textId="77777777" w:rsidR="00000000" w:rsidRDefault="00A173A8">
            <w:pPr>
              <w:spacing w:after="100"/>
              <w:rPr>
                <w:rFonts w:eastAsia="Times New Roman"/>
                <w:sz w:val="20"/>
                <w:szCs w:val="20"/>
              </w:rPr>
            </w:pPr>
          </w:p>
        </w:tc>
        <w:tc>
          <w:tcPr>
            <w:tcW w:w="581" w:type="pct"/>
            <w:vAlign w:val="center"/>
            <w:hideMark/>
          </w:tcPr>
          <w:p w14:paraId="3A842371" w14:textId="77777777" w:rsidR="00000000" w:rsidRDefault="00A173A8">
            <w:pPr>
              <w:spacing w:after="100"/>
              <w:rPr>
                <w:rFonts w:eastAsia="Times New Roman"/>
                <w:sz w:val="20"/>
                <w:szCs w:val="20"/>
              </w:rPr>
            </w:pPr>
          </w:p>
        </w:tc>
        <w:tc>
          <w:tcPr>
            <w:tcW w:w="5" w:type="pct"/>
            <w:vAlign w:val="center"/>
            <w:hideMark/>
          </w:tcPr>
          <w:p w14:paraId="7A507612" w14:textId="77777777" w:rsidR="00000000" w:rsidRDefault="00A173A8">
            <w:pPr>
              <w:spacing w:after="100"/>
              <w:rPr>
                <w:rFonts w:eastAsia="Times New Roman"/>
                <w:sz w:val="20"/>
                <w:szCs w:val="20"/>
              </w:rPr>
            </w:pPr>
          </w:p>
        </w:tc>
      </w:tr>
      <w:tr w:rsidR="00000000" w14:paraId="1603A476" w14:textId="77777777">
        <w:trPr>
          <w:divId w:val="719326495"/>
          <w:jc w:val="center"/>
        </w:trPr>
        <w:tc>
          <w:tcPr>
            <w:tcW w:w="0" w:type="auto"/>
            <w:gridSpan w:val="3"/>
            <w:tcMar>
              <w:top w:w="30" w:type="dxa"/>
              <w:left w:w="20" w:type="dxa"/>
              <w:bottom w:w="30" w:type="dxa"/>
              <w:right w:w="20" w:type="dxa"/>
            </w:tcMar>
            <w:vAlign w:val="bottom"/>
            <w:hideMark/>
          </w:tcPr>
          <w:p w14:paraId="3E881B4A" w14:textId="77777777" w:rsidR="00000000" w:rsidRDefault="00A173A8">
            <w:pPr>
              <w:spacing w:after="100"/>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14:paraId="068BB071"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37FC8843"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6E04486E"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55B98DA"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0ADE9B77" w14:textId="77777777">
        <w:trPr>
          <w:divId w:val="719326495"/>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4C8FE5D" w14:textId="77777777" w:rsidR="00000000" w:rsidRDefault="00A173A8">
            <w:pPr>
              <w:spacing w:after="100"/>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14:paraId="4DD2F1CD"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93324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FC510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BCD905" w14:textId="77777777" w:rsidR="00000000" w:rsidRDefault="00A173A8">
            <w:pPr>
              <w:spacing w:after="100"/>
              <w:rPr>
                <w:rFonts w:eastAsia="Times New Roman"/>
                <w:sz w:val="20"/>
                <w:szCs w:val="20"/>
              </w:rPr>
            </w:pPr>
          </w:p>
        </w:tc>
      </w:tr>
      <w:tr w:rsidR="00000000" w14:paraId="1D9B75ED"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18FEE772" w14:textId="77777777" w:rsidR="00000000" w:rsidRDefault="00A173A8">
            <w:pPr>
              <w:spacing w:after="100"/>
              <w:rPr>
                <w:rFonts w:eastAsia="Times New Roman"/>
              </w:rPr>
            </w:pPr>
            <w:r>
              <w:rPr>
                <w:rFonts w:eastAsia="Times New Roman"/>
                <w:color w:val="000000"/>
                <w:sz w:val="16"/>
                <w:szCs w:val="16"/>
              </w:rPr>
              <w:t>Cash and cash equivalents:</w:t>
            </w:r>
          </w:p>
        </w:tc>
        <w:tc>
          <w:tcPr>
            <w:tcW w:w="0" w:type="auto"/>
            <w:gridSpan w:val="3"/>
            <w:shd w:val="clear" w:color="auto" w:fill="FFFFFF"/>
            <w:tcMar>
              <w:top w:w="0" w:type="dxa"/>
              <w:left w:w="20" w:type="dxa"/>
              <w:bottom w:w="0" w:type="dxa"/>
              <w:right w:w="20" w:type="dxa"/>
            </w:tcMar>
            <w:vAlign w:val="center"/>
            <w:hideMark/>
          </w:tcPr>
          <w:p w14:paraId="0601B145"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A680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75A4B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3CE7F5" w14:textId="77777777" w:rsidR="00000000" w:rsidRDefault="00A173A8">
            <w:pPr>
              <w:spacing w:after="100"/>
              <w:rPr>
                <w:rFonts w:eastAsia="Times New Roman"/>
                <w:sz w:val="20"/>
                <w:szCs w:val="20"/>
              </w:rPr>
            </w:pPr>
          </w:p>
        </w:tc>
      </w:tr>
      <w:tr w:rsidR="00000000" w14:paraId="1120BFE4" w14:textId="77777777">
        <w:trPr>
          <w:divId w:val="719326495"/>
          <w:jc w:val="center"/>
        </w:trPr>
        <w:tc>
          <w:tcPr>
            <w:tcW w:w="0" w:type="auto"/>
            <w:gridSpan w:val="3"/>
            <w:shd w:val="clear" w:color="auto" w:fill="CCEEFF"/>
            <w:tcMar>
              <w:top w:w="30" w:type="dxa"/>
              <w:left w:w="245" w:type="dxa"/>
              <w:bottom w:w="30" w:type="dxa"/>
              <w:right w:w="20" w:type="dxa"/>
            </w:tcMar>
            <w:vAlign w:val="center"/>
            <w:hideMark/>
          </w:tcPr>
          <w:p w14:paraId="7007C95B" w14:textId="77777777" w:rsidR="00000000" w:rsidRDefault="00A173A8">
            <w:pPr>
              <w:spacing w:after="100"/>
              <w:rPr>
                <w:rFonts w:eastAsia="Times New Roman"/>
              </w:rPr>
            </w:pPr>
            <w:r>
              <w:rPr>
                <w:rFonts w:eastAsia="Times New Roman"/>
                <w:color w:val="000000"/>
                <w:sz w:val="16"/>
                <w:szCs w:val="16"/>
              </w:rPr>
              <w:t>Cash and due from banks</w:t>
            </w:r>
          </w:p>
        </w:tc>
        <w:tc>
          <w:tcPr>
            <w:tcW w:w="0" w:type="auto"/>
            <w:gridSpan w:val="3"/>
            <w:shd w:val="clear" w:color="auto" w:fill="CCEEFF"/>
            <w:tcMar>
              <w:top w:w="0" w:type="dxa"/>
              <w:left w:w="20" w:type="dxa"/>
              <w:bottom w:w="0" w:type="dxa"/>
              <w:right w:w="20" w:type="dxa"/>
            </w:tcMar>
            <w:vAlign w:val="center"/>
            <w:hideMark/>
          </w:tcPr>
          <w:p w14:paraId="75C4941A"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1172A6F4"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767B9BB4" w14:textId="77777777" w:rsidR="00000000" w:rsidRDefault="00A173A8">
            <w:pPr>
              <w:spacing w:after="100"/>
              <w:jc w:val="right"/>
              <w:rPr>
                <w:rFonts w:eastAsia="Times New Roman"/>
              </w:rPr>
            </w:pPr>
            <w:r>
              <w:rPr>
                <w:rFonts w:eastAsia="Times New Roman"/>
                <w:b/>
                <w:bCs/>
                <w:color w:val="000000"/>
                <w:sz w:val="16"/>
                <w:szCs w:val="16"/>
              </w:rPr>
              <w:t>4,825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F114A0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15E95"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DA65FF5"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62BC0E12" w14:textId="77777777" w:rsidR="00000000" w:rsidRDefault="00A173A8">
            <w:pPr>
              <w:spacing w:after="100"/>
              <w:jc w:val="right"/>
              <w:rPr>
                <w:rFonts w:eastAsia="Times New Roman"/>
              </w:rPr>
            </w:pPr>
            <w:r>
              <w:rPr>
                <w:rFonts w:eastAsia="Times New Roman"/>
                <w:color w:val="000000"/>
                <w:sz w:val="16"/>
                <w:szCs w:val="16"/>
              </w:rPr>
              <w:t>4,164 </w:t>
            </w:r>
          </w:p>
        </w:tc>
        <w:tc>
          <w:tcPr>
            <w:tcW w:w="0" w:type="auto"/>
            <w:shd w:val="clear" w:color="auto" w:fill="CCEEFF"/>
            <w:tcMar>
              <w:top w:w="30" w:type="dxa"/>
              <w:left w:w="0" w:type="dxa"/>
              <w:bottom w:w="30" w:type="dxa"/>
              <w:right w:w="20" w:type="dxa"/>
            </w:tcMar>
            <w:vAlign w:val="center"/>
            <w:hideMark/>
          </w:tcPr>
          <w:p w14:paraId="6374C119" w14:textId="77777777" w:rsidR="00000000" w:rsidRDefault="00A173A8">
            <w:pPr>
              <w:spacing w:after="100"/>
              <w:jc w:val="right"/>
              <w:rPr>
                <w:rFonts w:eastAsia="Times New Roman"/>
              </w:rPr>
            </w:pPr>
          </w:p>
        </w:tc>
      </w:tr>
      <w:tr w:rsidR="00000000" w14:paraId="487170C6" w14:textId="77777777">
        <w:trPr>
          <w:divId w:val="719326495"/>
          <w:jc w:val="center"/>
        </w:trPr>
        <w:tc>
          <w:tcPr>
            <w:tcW w:w="0" w:type="auto"/>
            <w:gridSpan w:val="3"/>
            <w:shd w:val="clear" w:color="auto" w:fill="FFFFFF"/>
            <w:tcMar>
              <w:top w:w="30" w:type="dxa"/>
              <w:left w:w="245" w:type="dxa"/>
              <w:bottom w:w="30" w:type="dxa"/>
              <w:right w:w="20" w:type="dxa"/>
            </w:tcMar>
            <w:vAlign w:val="center"/>
            <w:hideMark/>
          </w:tcPr>
          <w:p w14:paraId="306E3F35" w14:textId="77777777" w:rsidR="00000000" w:rsidRDefault="00A173A8">
            <w:pPr>
              <w:spacing w:after="100"/>
              <w:rPr>
                <w:rFonts w:eastAsia="Times New Roman"/>
              </w:rPr>
            </w:pPr>
            <w:r>
              <w:rPr>
                <w:rFonts w:eastAsia="Times New Roman"/>
                <w:color w:val="000000"/>
                <w:sz w:val="16"/>
                <w:szCs w:val="16"/>
              </w:rPr>
              <w:t>Interest-bearing deposits and other short-term investments</w:t>
            </w:r>
          </w:p>
        </w:tc>
        <w:tc>
          <w:tcPr>
            <w:tcW w:w="0" w:type="auto"/>
            <w:gridSpan w:val="3"/>
            <w:shd w:val="clear" w:color="auto" w:fill="FFFFFF"/>
            <w:tcMar>
              <w:top w:w="0" w:type="dxa"/>
              <w:left w:w="20" w:type="dxa"/>
              <w:bottom w:w="0" w:type="dxa"/>
              <w:right w:w="20" w:type="dxa"/>
            </w:tcMar>
            <w:vAlign w:val="center"/>
            <w:hideMark/>
          </w:tcPr>
          <w:p w14:paraId="107BA2A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21AD42D" w14:textId="77777777" w:rsidR="00000000" w:rsidRDefault="00A173A8">
            <w:pPr>
              <w:spacing w:after="100"/>
              <w:jc w:val="right"/>
              <w:rPr>
                <w:rFonts w:eastAsia="Times New Roman"/>
              </w:rPr>
            </w:pPr>
            <w:r>
              <w:rPr>
                <w:rFonts w:eastAsia="Times New Roman"/>
                <w:b/>
                <w:bCs/>
                <w:color w:val="000000"/>
                <w:sz w:val="16"/>
                <w:szCs w:val="16"/>
              </w:rPr>
              <w:t>16,728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A4AAC7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C6730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3860D5" w14:textId="77777777" w:rsidR="00000000" w:rsidRDefault="00A173A8">
            <w:pPr>
              <w:spacing w:after="100"/>
              <w:jc w:val="right"/>
              <w:rPr>
                <w:rFonts w:eastAsia="Times New Roman"/>
              </w:rPr>
            </w:pPr>
            <w:r>
              <w:rPr>
                <w:rFonts w:eastAsia="Times New Roman"/>
                <w:color w:val="000000"/>
                <w:sz w:val="16"/>
                <w:szCs w:val="16"/>
              </w:rPr>
              <w:t>17,582 </w:t>
            </w:r>
          </w:p>
        </w:tc>
        <w:tc>
          <w:tcPr>
            <w:tcW w:w="0" w:type="auto"/>
            <w:shd w:val="clear" w:color="auto" w:fill="FFFFFF"/>
            <w:tcMar>
              <w:top w:w="30" w:type="dxa"/>
              <w:left w:w="0" w:type="dxa"/>
              <w:bottom w:w="30" w:type="dxa"/>
              <w:right w:w="20" w:type="dxa"/>
            </w:tcMar>
            <w:vAlign w:val="center"/>
            <w:hideMark/>
          </w:tcPr>
          <w:p w14:paraId="1AE7C4B1" w14:textId="77777777" w:rsidR="00000000" w:rsidRDefault="00A173A8">
            <w:pPr>
              <w:spacing w:after="100"/>
              <w:jc w:val="right"/>
              <w:rPr>
                <w:rFonts w:eastAsia="Times New Roman"/>
              </w:rPr>
            </w:pPr>
          </w:p>
        </w:tc>
      </w:tr>
      <w:tr w:rsidR="00000000" w14:paraId="43B39E7D"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430037CB" w14:textId="77777777" w:rsidR="00000000" w:rsidRDefault="00A173A8">
            <w:pPr>
              <w:spacing w:after="100"/>
              <w:rPr>
                <w:rFonts w:eastAsia="Times New Roman"/>
              </w:rPr>
            </w:pPr>
            <w:r>
              <w:rPr>
                <w:rFonts w:eastAsia="Times New Roman"/>
                <w:color w:val="000000"/>
                <w:sz w:val="16"/>
                <w:szCs w:val="16"/>
              </w:rPr>
              <w:t>Total cash and cash equivalents</w:t>
            </w:r>
          </w:p>
        </w:tc>
        <w:tc>
          <w:tcPr>
            <w:tcW w:w="0" w:type="auto"/>
            <w:gridSpan w:val="3"/>
            <w:shd w:val="clear" w:color="auto" w:fill="CCEEFF"/>
            <w:tcMar>
              <w:top w:w="0" w:type="dxa"/>
              <w:left w:w="20" w:type="dxa"/>
              <w:bottom w:w="0" w:type="dxa"/>
              <w:right w:w="20" w:type="dxa"/>
            </w:tcMar>
            <w:vAlign w:val="center"/>
            <w:hideMark/>
          </w:tcPr>
          <w:p w14:paraId="7A6934BE"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1196099" w14:textId="77777777" w:rsidR="00000000" w:rsidRDefault="00A173A8">
            <w:pPr>
              <w:spacing w:after="100"/>
              <w:jc w:val="right"/>
              <w:rPr>
                <w:rFonts w:eastAsia="Times New Roman"/>
              </w:rPr>
            </w:pPr>
            <w:r>
              <w:rPr>
                <w:rFonts w:eastAsia="Times New Roman"/>
                <w:b/>
                <w:bCs/>
                <w:color w:val="000000"/>
                <w:sz w:val="16"/>
                <w:szCs w:val="16"/>
              </w:rPr>
              <w:t>21,553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9BA5E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92E7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FB976DC" w14:textId="77777777" w:rsidR="00000000" w:rsidRDefault="00A173A8">
            <w:pPr>
              <w:spacing w:after="100"/>
              <w:jc w:val="right"/>
              <w:rPr>
                <w:rFonts w:eastAsia="Times New Roman"/>
              </w:rPr>
            </w:pPr>
            <w:r>
              <w:rPr>
                <w:rFonts w:eastAsia="Times New Roman"/>
                <w:color w:val="000000"/>
                <w:sz w:val="16"/>
                <w:szCs w:val="16"/>
              </w:rPr>
              <w:t>21,746 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9119CA7" w14:textId="77777777" w:rsidR="00000000" w:rsidRDefault="00A173A8">
            <w:pPr>
              <w:spacing w:after="100"/>
              <w:jc w:val="right"/>
              <w:rPr>
                <w:rFonts w:eastAsia="Times New Roman"/>
              </w:rPr>
            </w:pPr>
          </w:p>
        </w:tc>
      </w:tr>
      <w:tr w:rsidR="00000000" w14:paraId="721991DC"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5CD409DC" w14:textId="77777777" w:rsidR="00000000" w:rsidRDefault="00A173A8">
            <w:pPr>
              <w:spacing w:after="100"/>
              <w:rPr>
                <w:rFonts w:eastAsia="Times New Roman"/>
              </w:rPr>
            </w:pPr>
            <w:r>
              <w:rPr>
                <w:rFonts w:eastAsia="Times New Roman"/>
                <w:color w:val="000000"/>
                <w:sz w:val="16"/>
                <w:szCs w:val="16"/>
              </w:rPr>
              <w:t>Restricted cash for securitization investors</w:t>
            </w:r>
          </w:p>
        </w:tc>
        <w:tc>
          <w:tcPr>
            <w:tcW w:w="0" w:type="auto"/>
            <w:gridSpan w:val="3"/>
            <w:shd w:val="clear" w:color="auto" w:fill="FFFFFF"/>
            <w:tcMar>
              <w:top w:w="0" w:type="dxa"/>
              <w:left w:w="20" w:type="dxa"/>
              <w:bottom w:w="0" w:type="dxa"/>
              <w:right w:w="20" w:type="dxa"/>
            </w:tcMar>
            <w:vAlign w:val="center"/>
            <w:hideMark/>
          </w:tcPr>
          <w:p w14:paraId="4D8B1EB4"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25BACD" w14:textId="77777777" w:rsidR="00000000" w:rsidRDefault="00A173A8">
            <w:pPr>
              <w:spacing w:after="100"/>
              <w:jc w:val="right"/>
              <w:rPr>
                <w:rFonts w:eastAsia="Times New Roman"/>
              </w:rPr>
            </w:pPr>
            <w:r>
              <w:rPr>
                <w:rFonts w:eastAsia="Times New Roman"/>
                <w:b/>
                <w:bCs/>
                <w:color w:val="000000"/>
                <w:sz w:val="16"/>
                <w:szCs w:val="16"/>
              </w:rPr>
              <w:t>697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7C3B6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FF3AF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58665E2" w14:textId="77777777" w:rsidR="00000000" w:rsidRDefault="00A173A8">
            <w:pPr>
              <w:spacing w:after="100"/>
              <w:jc w:val="right"/>
              <w:rPr>
                <w:rFonts w:eastAsia="Times New Roman"/>
              </w:rPr>
            </w:pPr>
            <w:r>
              <w:rPr>
                <w:rFonts w:eastAsia="Times New Roman"/>
                <w:color w:val="000000"/>
                <w:sz w:val="16"/>
                <w:szCs w:val="16"/>
              </w:rPr>
              <w:t>308 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FF5982" w14:textId="77777777" w:rsidR="00000000" w:rsidRDefault="00A173A8">
            <w:pPr>
              <w:spacing w:after="100"/>
              <w:jc w:val="right"/>
              <w:rPr>
                <w:rFonts w:eastAsia="Times New Roman"/>
              </w:rPr>
            </w:pPr>
          </w:p>
        </w:tc>
      </w:tr>
      <w:tr w:rsidR="00000000" w14:paraId="55089F41"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59FDA99E" w14:textId="77777777" w:rsidR="00000000" w:rsidRDefault="00A173A8">
            <w:pPr>
              <w:spacing w:after="100"/>
              <w:divId w:val="1973317158"/>
              <w:rPr>
                <w:rFonts w:eastAsia="Times New Roman"/>
              </w:rPr>
            </w:pPr>
            <w:r>
              <w:rPr>
                <w:rFonts w:eastAsia="Times New Roman"/>
                <w:color w:val="000000"/>
                <w:sz w:val="16"/>
                <w:szCs w:val="16"/>
              </w:rPr>
              <w:t>Securities available for sale (amortized cost of $89.9 billion and $94.9 billion and allowance for credit losses of $3 million and $1 million as of June 30, 2022 and December 31, 2021, respectively)</w:t>
            </w:r>
          </w:p>
        </w:tc>
        <w:tc>
          <w:tcPr>
            <w:tcW w:w="0" w:type="auto"/>
            <w:gridSpan w:val="3"/>
            <w:shd w:val="clear" w:color="auto" w:fill="CCEEFF"/>
            <w:tcMar>
              <w:top w:w="0" w:type="dxa"/>
              <w:left w:w="20" w:type="dxa"/>
              <w:bottom w:w="0" w:type="dxa"/>
              <w:right w:w="20" w:type="dxa"/>
            </w:tcMar>
            <w:vAlign w:val="center"/>
            <w:hideMark/>
          </w:tcPr>
          <w:p w14:paraId="7361069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47844F" w14:textId="77777777" w:rsidR="00000000" w:rsidRDefault="00A173A8">
            <w:pPr>
              <w:spacing w:after="100"/>
              <w:jc w:val="right"/>
              <w:rPr>
                <w:rFonts w:eastAsia="Times New Roman"/>
              </w:rPr>
            </w:pPr>
            <w:r>
              <w:rPr>
                <w:rFonts w:eastAsia="Times New Roman"/>
                <w:b/>
                <w:bCs/>
                <w:color w:val="000000"/>
                <w:sz w:val="16"/>
                <w:szCs w:val="16"/>
              </w:rPr>
              <w:t>83,022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EABAB6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DC87F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598D0A" w14:textId="77777777" w:rsidR="00000000" w:rsidRDefault="00A173A8">
            <w:pPr>
              <w:spacing w:after="100"/>
              <w:jc w:val="right"/>
              <w:rPr>
                <w:rFonts w:eastAsia="Times New Roman"/>
              </w:rPr>
            </w:pPr>
            <w:r>
              <w:rPr>
                <w:rFonts w:eastAsia="Times New Roman"/>
                <w:color w:val="000000"/>
                <w:sz w:val="16"/>
                <w:szCs w:val="16"/>
              </w:rPr>
              <w:t>95,261 </w:t>
            </w:r>
          </w:p>
        </w:tc>
        <w:tc>
          <w:tcPr>
            <w:tcW w:w="0" w:type="auto"/>
            <w:shd w:val="clear" w:color="auto" w:fill="CCEEFF"/>
            <w:tcMar>
              <w:top w:w="30" w:type="dxa"/>
              <w:left w:w="0" w:type="dxa"/>
              <w:bottom w:w="30" w:type="dxa"/>
              <w:right w:w="20" w:type="dxa"/>
            </w:tcMar>
            <w:vAlign w:val="bottom"/>
            <w:hideMark/>
          </w:tcPr>
          <w:p w14:paraId="6B847EFD" w14:textId="77777777" w:rsidR="00000000" w:rsidRDefault="00A173A8">
            <w:pPr>
              <w:spacing w:after="100"/>
              <w:jc w:val="right"/>
              <w:rPr>
                <w:rFonts w:eastAsia="Times New Roman"/>
              </w:rPr>
            </w:pPr>
          </w:p>
        </w:tc>
      </w:tr>
      <w:tr w:rsidR="00000000" w14:paraId="07646E24"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46D25775" w14:textId="77777777" w:rsidR="00000000" w:rsidRDefault="00A173A8">
            <w:pPr>
              <w:spacing w:after="100"/>
              <w:rPr>
                <w:rFonts w:eastAsia="Times New Roman"/>
              </w:rPr>
            </w:pPr>
            <w:r>
              <w:rPr>
                <w:rFonts w:eastAsia="Times New Roman"/>
                <w:color w:val="000000"/>
                <w:sz w:val="16"/>
                <w:szCs w:val="16"/>
              </w:rPr>
              <w:t>Loans held for investment:</w:t>
            </w:r>
          </w:p>
        </w:tc>
        <w:tc>
          <w:tcPr>
            <w:tcW w:w="0" w:type="auto"/>
            <w:gridSpan w:val="3"/>
            <w:shd w:val="clear" w:color="auto" w:fill="FFFFFF"/>
            <w:tcMar>
              <w:top w:w="0" w:type="dxa"/>
              <w:left w:w="20" w:type="dxa"/>
              <w:bottom w:w="0" w:type="dxa"/>
              <w:right w:w="20" w:type="dxa"/>
            </w:tcMar>
            <w:vAlign w:val="center"/>
            <w:hideMark/>
          </w:tcPr>
          <w:p w14:paraId="0E71EAFD"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0AA5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A317C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D32CA3" w14:textId="77777777" w:rsidR="00000000" w:rsidRDefault="00A173A8">
            <w:pPr>
              <w:spacing w:after="100"/>
              <w:rPr>
                <w:rFonts w:eastAsia="Times New Roman"/>
                <w:sz w:val="20"/>
                <w:szCs w:val="20"/>
              </w:rPr>
            </w:pPr>
          </w:p>
        </w:tc>
      </w:tr>
      <w:tr w:rsidR="00000000" w14:paraId="1C8ABE15" w14:textId="77777777">
        <w:trPr>
          <w:divId w:val="719326495"/>
          <w:jc w:val="center"/>
        </w:trPr>
        <w:tc>
          <w:tcPr>
            <w:tcW w:w="0" w:type="auto"/>
            <w:gridSpan w:val="3"/>
            <w:shd w:val="clear" w:color="auto" w:fill="CCEEFF"/>
            <w:tcMar>
              <w:top w:w="30" w:type="dxa"/>
              <w:left w:w="245" w:type="dxa"/>
              <w:bottom w:w="30" w:type="dxa"/>
              <w:right w:w="20" w:type="dxa"/>
            </w:tcMar>
            <w:vAlign w:val="center"/>
            <w:hideMark/>
          </w:tcPr>
          <w:p w14:paraId="32E2178C" w14:textId="77777777" w:rsidR="00000000" w:rsidRDefault="00A173A8">
            <w:pPr>
              <w:spacing w:after="100"/>
              <w:rPr>
                <w:rFonts w:eastAsia="Times New Roman"/>
              </w:rPr>
            </w:pPr>
            <w:r>
              <w:rPr>
                <w:rFonts w:eastAsia="Times New Roman"/>
                <w:color w:val="000000"/>
                <w:sz w:val="16"/>
                <w:szCs w:val="16"/>
              </w:rPr>
              <w:t>Unsecuritized loans held for investment</w:t>
            </w:r>
          </w:p>
        </w:tc>
        <w:tc>
          <w:tcPr>
            <w:tcW w:w="0" w:type="auto"/>
            <w:gridSpan w:val="3"/>
            <w:shd w:val="clear" w:color="auto" w:fill="CCEEFF"/>
            <w:tcMar>
              <w:top w:w="0" w:type="dxa"/>
              <w:left w:w="20" w:type="dxa"/>
              <w:bottom w:w="0" w:type="dxa"/>
              <w:right w:w="20" w:type="dxa"/>
            </w:tcMar>
            <w:vAlign w:val="center"/>
            <w:hideMark/>
          </w:tcPr>
          <w:p w14:paraId="26AE1FB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1047340" w14:textId="77777777" w:rsidR="00000000" w:rsidRDefault="00A173A8">
            <w:pPr>
              <w:spacing w:after="100"/>
              <w:jc w:val="right"/>
              <w:rPr>
                <w:rFonts w:eastAsia="Times New Roman"/>
              </w:rPr>
            </w:pPr>
            <w:r>
              <w:rPr>
                <w:rFonts w:eastAsia="Times New Roman"/>
                <w:b/>
                <w:bCs/>
                <w:color w:val="000000"/>
                <w:sz w:val="16"/>
                <w:szCs w:val="16"/>
              </w:rPr>
              <w:t>271,339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2C60C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E246E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C71EBD" w14:textId="77777777" w:rsidR="00000000" w:rsidRDefault="00A173A8">
            <w:pPr>
              <w:spacing w:after="100"/>
              <w:jc w:val="right"/>
              <w:rPr>
                <w:rFonts w:eastAsia="Times New Roman"/>
              </w:rPr>
            </w:pPr>
            <w:r>
              <w:rPr>
                <w:rFonts w:eastAsia="Times New Roman"/>
                <w:color w:val="000000"/>
                <w:sz w:val="16"/>
                <w:szCs w:val="16"/>
              </w:rPr>
              <w:t>252,468 </w:t>
            </w:r>
          </w:p>
        </w:tc>
        <w:tc>
          <w:tcPr>
            <w:tcW w:w="0" w:type="auto"/>
            <w:shd w:val="clear" w:color="auto" w:fill="CCEEFF"/>
            <w:tcMar>
              <w:top w:w="30" w:type="dxa"/>
              <w:left w:w="0" w:type="dxa"/>
              <w:bottom w:w="30" w:type="dxa"/>
              <w:right w:w="20" w:type="dxa"/>
            </w:tcMar>
            <w:vAlign w:val="center"/>
            <w:hideMark/>
          </w:tcPr>
          <w:p w14:paraId="3AF322CC" w14:textId="77777777" w:rsidR="00000000" w:rsidRDefault="00A173A8">
            <w:pPr>
              <w:spacing w:after="100"/>
              <w:jc w:val="right"/>
              <w:rPr>
                <w:rFonts w:eastAsia="Times New Roman"/>
              </w:rPr>
            </w:pPr>
          </w:p>
        </w:tc>
      </w:tr>
      <w:tr w:rsidR="00000000" w14:paraId="57EE17C2" w14:textId="77777777">
        <w:trPr>
          <w:divId w:val="719326495"/>
          <w:jc w:val="center"/>
        </w:trPr>
        <w:tc>
          <w:tcPr>
            <w:tcW w:w="0" w:type="auto"/>
            <w:gridSpan w:val="3"/>
            <w:shd w:val="clear" w:color="auto" w:fill="FFFFFF"/>
            <w:tcMar>
              <w:top w:w="30" w:type="dxa"/>
              <w:left w:w="245" w:type="dxa"/>
              <w:bottom w:w="30" w:type="dxa"/>
              <w:right w:w="20" w:type="dxa"/>
            </w:tcMar>
            <w:vAlign w:val="center"/>
            <w:hideMark/>
          </w:tcPr>
          <w:p w14:paraId="11AAFA88" w14:textId="77777777" w:rsidR="00000000" w:rsidRDefault="00A173A8">
            <w:pPr>
              <w:spacing w:after="100"/>
              <w:rPr>
                <w:rFonts w:eastAsia="Times New Roman"/>
              </w:rPr>
            </w:pPr>
            <w:r>
              <w:rPr>
                <w:rFonts w:eastAsia="Times New Roman"/>
                <w:color w:val="000000"/>
                <w:sz w:val="16"/>
                <w:szCs w:val="16"/>
              </w:rPr>
              <w:t>Loans held in consolidated trusts</w:t>
            </w:r>
          </w:p>
        </w:tc>
        <w:tc>
          <w:tcPr>
            <w:tcW w:w="0" w:type="auto"/>
            <w:gridSpan w:val="3"/>
            <w:shd w:val="clear" w:color="auto" w:fill="FFFFFF"/>
            <w:tcMar>
              <w:top w:w="0" w:type="dxa"/>
              <w:left w:w="20" w:type="dxa"/>
              <w:bottom w:w="0" w:type="dxa"/>
              <w:right w:w="20" w:type="dxa"/>
            </w:tcMar>
            <w:vAlign w:val="center"/>
            <w:hideMark/>
          </w:tcPr>
          <w:p w14:paraId="6759F12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850C0F" w14:textId="77777777" w:rsidR="00000000" w:rsidRDefault="00A173A8">
            <w:pPr>
              <w:spacing w:after="100"/>
              <w:jc w:val="right"/>
              <w:rPr>
                <w:rFonts w:eastAsia="Times New Roman"/>
              </w:rPr>
            </w:pPr>
            <w:r>
              <w:rPr>
                <w:rFonts w:eastAsia="Times New Roman"/>
                <w:b/>
                <w:bCs/>
                <w:color w:val="000000"/>
                <w:sz w:val="16"/>
                <w:szCs w:val="16"/>
              </w:rPr>
              <w:t>25,045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B2C595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6C39C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F20843" w14:textId="77777777" w:rsidR="00000000" w:rsidRDefault="00A173A8">
            <w:pPr>
              <w:spacing w:after="100"/>
              <w:jc w:val="right"/>
              <w:rPr>
                <w:rFonts w:eastAsia="Times New Roman"/>
              </w:rPr>
            </w:pPr>
            <w:r>
              <w:rPr>
                <w:rFonts w:eastAsia="Times New Roman"/>
                <w:color w:val="000000"/>
                <w:sz w:val="16"/>
                <w:szCs w:val="16"/>
              </w:rPr>
              <w:t>24,872 </w:t>
            </w:r>
          </w:p>
        </w:tc>
        <w:tc>
          <w:tcPr>
            <w:tcW w:w="0" w:type="auto"/>
            <w:shd w:val="clear" w:color="auto" w:fill="FFFFFF"/>
            <w:tcMar>
              <w:top w:w="30" w:type="dxa"/>
              <w:left w:w="0" w:type="dxa"/>
              <w:bottom w:w="30" w:type="dxa"/>
              <w:right w:w="20" w:type="dxa"/>
            </w:tcMar>
            <w:vAlign w:val="center"/>
            <w:hideMark/>
          </w:tcPr>
          <w:p w14:paraId="2133B687" w14:textId="77777777" w:rsidR="00000000" w:rsidRDefault="00A173A8">
            <w:pPr>
              <w:spacing w:after="100"/>
              <w:jc w:val="right"/>
              <w:rPr>
                <w:rFonts w:eastAsia="Times New Roman"/>
              </w:rPr>
            </w:pPr>
          </w:p>
        </w:tc>
      </w:tr>
      <w:tr w:rsidR="00000000" w14:paraId="50FC81BE"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64124896" w14:textId="77777777" w:rsidR="00000000" w:rsidRDefault="00A173A8">
            <w:pPr>
              <w:spacing w:after="100"/>
              <w:rPr>
                <w:rFonts w:eastAsia="Times New Roman"/>
              </w:rPr>
            </w:pPr>
            <w:r>
              <w:rPr>
                <w:rFonts w:eastAsia="Times New Roman"/>
                <w:color w:val="000000"/>
                <w:sz w:val="16"/>
                <w:szCs w:val="16"/>
              </w:rPr>
              <w:t>Total loans held for investment</w:t>
            </w:r>
          </w:p>
        </w:tc>
        <w:tc>
          <w:tcPr>
            <w:tcW w:w="0" w:type="auto"/>
            <w:gridSpan w:val="3"/>
            <w:shd w:val="clear" w:color="auto" w:fill="CCEEFF"/>
            <w:tcMar>
              <w:top w:w="0" w:type="dxa"/>
              <w:left w:w="20" w:type="dxa"/>
              <w:bottom w:w="0" w:type="dxa"/>
              <w:right w:w="20" w:type="dxa"/>
            </w:tcMar>
            <w:vAlign w:val="center"/>
            <w:hideMark/>
          </w:tcPr>
          <w:p w14:paraId="2C779DE7"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3F1609E" w14:textId="77777777" w:rsidR="00000000" w:rsidRDefault="00A173A8">
            <w:pPr>
              <w:spacing w:after="100"/>
              <w:jc w:val="right"/>
              <w:rPr>
                <w:rFonts w:eastAsia="Times New Roman"/>
              </w:rPr>
            </w:pPr>
            <w:r>
              <w:rPr>
                <w:rFonts w:eastAsia="Times New Roman"/>
                <w:b/>
                <w:bCs/>
                <w:color w:val="000000"/>
                <w:sz w:val="16"/>
                <w:szCs w:val="16"/>
              </w:rPr>
              <w:t>296,384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143B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406C1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7FE867" w14:textId="77777777" w:rsidR="00000000" w:rsidRDefault="00A173A8">
            <w:pPr>
              <w:spacing w:after="100"/>
              <w:jc w:val="right"/>
              <w:rPr>
                <w:rFonts w:eastAsia="Times New Roman"/>
              </w:rPr>
            </w:pPr>
            <w:r>
              <w:rPr>
                <w:rFonts w:eastAsia="Times New Roman"/>
                <w:color w:val="000000"/>
                <w:sz w:val="16"/>
                <w:szCs w:val="16"/>
              </w:rPr>
              <w:t>277,340 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10391C9" w14:textId="77777777" w:rsidR="00000000" w:rsidRDefault="00A173A8">
            <w:pPr>
              <w:spacing w:after="100"/>
              <w:jc w:val="right"/>
              <w:rPr>
                <w:rFonts w:eastAsia="Times New Roman"/>
              </w:rPr>
            </w:pPr>
          </w:p>
        </w:tc>
      </w:tr>
      <w:tr w:rsidR="00000000" w14:paraId="6A564F82" w14:textId="77777777">
        <w:trPr>
          <w:divId w:val="719326495"/>
          <w:jc w:val="center"/>
        </w:trPr>
        <w:tc>
          <w:tcPr>
            <w:tcW w:w="0" w:type="auto"/>
            <w:gridSpan w:val="3"/>
            <w:shd w:val="clear" w:color="auto" w:fill="FFFFFF"/>
            <w:tcMar>
              <w:top w:w="30" w:type="dxa"/>
              <w:left w:w="245" w:type="dxa"/>
              <w:bottom w:w="30" w:type="dxa"/>
              <w:right w:w="20" w:type="dxa"/>
            </w:tcMar>
            <w:vAlign w:val="center"/>
            <w:hideMark/>
          </w:tcPr>
          <w:p w14:paraId="020A38EF" w14:textId="77777777" w:rsidR="00000000" w:rsidRDefault="00A173A8">
            <w:pPr>
              <w:spacing w:after="100"/>
              <w:rPr>
                <w:rFonts w:eastAsia="Times New Roman"/>
              </w:rPr>
            </w:pPr>
            <w:r>
              <w:rPr>
                <w:rFonts w:eastAsia="Times New Roman"/>
                <w:color w:val="000000"/>
                <w:sz w:val="16"/>
                <w:szCs w:val="16"/>
              </w:rPr>
              <w:t>Allowance for credit losses</w:t>
            </w:r>
          </w:p>
        </w:tc>
        <w:tc>
          <w:tcPr>
            <w:tcW w:w="0" w:type="auto"/>
            <w:gridSpan w:val="3"/>
            <w:shd w:val="clear" w:color="auto" w:fill="FFFFFF"/>
            <w:tcMar>
              <w:top w:w="0" w:type="dxa"/>
              <w:left w:w="20" w:type="dxa"/>
              <w:bottom w:w="0" w:type="dxa"/>
              <w:right w:w="20" w:type="dxa"/>
            </w:tcMar>
            <w:vAlign w:val="center"/>
            <w:hideMark/>
          </w:tcPr>
          <w:p w14:paraId="5D36D34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B55572B" w14:textId="77777777" w:rsidR="00000000" w:rsidRDefault="00A173A8">
            <w:pPr>
              <w:spacing w:after="100"/>
              <w:jc w:val="right"/>
              <w:rPr>
                <w:rFonts w:eastAsia="Times New Roman"/>
              </w:rPr>
            </w:pPr>
            <w:r>
              <w:rPr>
                <w:rFonts w:eastAsia="Times New Roman"/>
                <w:b/>
                <w:bCs/>
                <w:color w:val="000000"/>
                <w:sz w:val="16"/>
                <w:szCs w:val="16"/>
              </w:rPr>
              <w:t>(11,491)</w:t>
            </w:r>
          </w:p>
        </w:tc>
        <w:tc>
          <w:tcPr>
            <w:tcW w:w="0" w:type="auto"/>
            <w:shd w:val="clear" w:color="auto" w:fill="FFFFFF"/>
            <w:tcMar>
              <w:top w:w="30" w:type="dxa"/>
              <w:left w:w="0" w:type="dxa"/>
              <w:bottom w:w="30" w:type="dxa"/>
              <w:right w:w="20" w:type="dxa"/>
            </w:tcMar>
            <w:vAlign w:val="center"/>
            <w:hideMark/>
          </w:tcPr>
          <w:p w14:paraId="33FDD2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F911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ED2CB7" w14:textId="77777777" w:rsidR="00000000" w:rsidRDefault="00A173A8">
            <w:pPr>
              <w:spacing w:after="100"/>
              <w:jc w:val="right"/>
              <w:rPr>
                <w:rFonts w:eastAsia="Times New Roman"/>
              </w:rPr>
            </w:pPr>
            <w:r>
              <w:rPr>
                <w:rFonts w:eastAsia="Times New Roman"/>
                <w:color w:val="000000"/>
                <w:sz w:val="16"/>
                <w:szCs w:val="16"/>
              </w:rPr>
              <w:t>(11,430)</w:t>
            </w:r>
          </w:p>
        </w:tc>
        <w:tc>
          <w:tcPr>
            <w:tcW w:w="0" w:type="auto"/>
            <w:shd w:val="clear" w:color="auto" w:fill="FFFFFF"/>
            <w:tcMar>
              <w:top w:w="30" w:type="dxa"/>
              <w:left w:w="0" w:type="dxa"/>
              <w:bottom w:w="30" w:type="dxa"/>
              <w:right w:w="20" w:type="dxa"/>
            </w:tcMar>
            <w:vAlign w:val="center"/>
            <w:hideMark/>
          </w:tcPr>
          <w:p w14:paraId="40D945C4" w14:textId="77777777" w:rsidR="00000000" w:rsidRDefault="00A173A8">
            <w:pPr>
              <w:spacing w:after="100"/>
              <w:jc w:val="right"/>
              <w:rPr>
                <w:rFonts w:eastAsia="Times New Roman"/>
              </w:rPr>
            </w:pPr>
          </w:p>
        </w:tc>
      </w:tr>
      <w:tr w:rsidR="00000000" w14:paraId="28BCDBE6"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0C35303B" w14:textId="77777777" w:rsidR="00000000" w:rsidRDefault="00A173A8">
            <w:pPr>
              <w:spacing w:after="100"/>
              <w:rPr>
                <w:rFonts w:eastAsia="Times New Roman"/>
              </w:rPr>
            </w:pPr>
            <w:r>
              <w:rPr>
                <w:rFonts w:eastAsia="Times New Roman"/>
                <w:color w:val="000000"/>
                <w:sz w:val="16"/>
                <w:szCs w:val="16"/>
              </w:rPr>
              <w:t>Net loans held for investment</w:t>
            </w:r>
          </w:p>
        </w:tc>
        <w:tc>
          <w:tcPr>
            <w:tcW w:w="0" w:type="auto"/>
            <w:gridSpan w:val="3"/>
            <w:shd w:val="clear" w:color="auto" w:fill="CCEEFF"/>
            <w:tcMar>
              <w:top w:w="0" w:type="dxa"/>
              <w:left w:w="20" w:type="dxa"/>
              <w:bottom w:w="0" w:type="dxa"/>
              <w:right w:w="20" w:type="dxa"/>
            </w:tcMar>
            <w:vAlign w:val="center"/>
            <w:hideMark/>
          </w:tcPr>
          <w:p w14:paraId="6F880087"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89249E" w14:textId="77777777" w:rsidR="00000000" w:rsidRDefault="00A173A8">
            <w:pPr>
              <w:spacing w:after="100"/>
              <w:jc w:val="right"/>
              <w:rPr>
                <w:rFonts w:eastAsia="Times New Roman"/>
              </w:rPr>
            </w:pPr>
            <w:r>
              <w:rPr>
                <w:rFonts w:eastAsia="Times New Roman"/>
                <w:b/>
                <w:bCs/>
                <w:color w:val="000000"/>
                <w:sz w:val="16"/>
                <w:szCs w:val="16"/>
              </w:rPr>
              <w:t>284,893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B4E98B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4893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51687C" w14:textId="77777777" w:rsidR="00000000" w:rsidRDefault="00A173A8">
            <w:pPr>
              <w:spacing w:after="100"/>
              <w:jc w:val="right"/>
              <w:rPr>
                <w:rFonts w:eastAsia="Times New Roman"/>
              </w:rPr>
            </w:pPr>
            <w:r>
              <w:rPr>
                <w:rFonts w:eastAsia="Times New Roman"/>
                <w:color w:val="000000"/>
                <w:sz w:val="16"/>
                <w:szCs w:val="16"/>
              </w:rPr>
              <w:t>265,910 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2244F8" w14:textId="77777777" w:rsidR="00000000" w:rsidRDefault="00A173A8">
            <w:pPr>
              <w:spacing w:after="100"/>
              <w:jc w:val="right"/>
              <w:rPr>
                <w:rFonts w:eastAsia="Times New Roman"/>
              </w:rPr>
            </w:pPr>
          </w:p>
        </w:tc>
      </w:tr>
      <w:tr w:rsidR="00000000" w14:paraId="21983B99"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704CDF6B" w14:textId="77777777" w:rsidR="00000000" w:rsidRDefault="00A173A8">
            <w:pPr>
              <w:spacing w:after="100"/>
              <w:divId w:val="1047803496"/>
              <w:rPr>
                <w:rFonts w:eastAsia="Times New Roman"/>
              </w:rPr>
            </w:pPr>
            <w:r>
              <w:rPr>
                <w:rFonts w:eastAsia="Times New Roman"/>
                <w:color w:val="000000"/>
                <w:sz w:val="16"/>
                <w:szCs w:val="16"/>
              </w:rPr>
              <w:t>Loans held for sale ($767 million and $1.0 </w:t>
            </w:r>
            <w:r>
              <w:rPr>
                <w:rFonts w:eastAsia="Times New Roman"/>
                <w:color w:val="000000"/>
                <w:sz w:val="16"/>
                <w:szCs w:val="16"/>
              </w:rPr>
              <w:t>billion carried at fair value as of June 30, 2022 and December 31, 2021, respectively)</w:t>
            </w:r>
          </w:p>
        </w:tc>
        <w:tc>
          <w:tcPr>
            <w:tcW w:w="0" w:type="auto"/>
            <w:gridSpan w:val="3"/>
            <w:shd w:val="clear" w:color="auto" w:fill="FFFFFF"/>
            <w:tcMar>
              <w:top w:w="0" w:type="dxa"/>
              <w:left w:w="20" w:type="dxa"/>
              <w:bottom w:w="0" w:type="dxa"/>
              <w:right w:w="20" w:type="dxa"/>
            </w:tcMar>
            <w:vAlign w:val="center"/>
            <w:hideMark/>
          </w:tcPr>
          <w:p w14:paraId="5023F60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A2ECAD" w14:textId="77777777" w:rsidR="00000000" w:rsidRDefault="00A173A8">
            <w:pPr>
              <w:spacing w:after="100"/>
              <w:jc w:val="right"/>
              <w:rPr>
                <w:rFonts w:eastAsia="Times New Roman"/>
              </w:rPr>
            </w:pPr>
            <w:r>
              <w:rPr>
                <w:rFonts w:eastAsia="Times New Roman"/>
                <w:b/>
                <w:bCs/>
                <w:color w:val="000000"/>
                <w:sz w:val="16"/>
                <w:szCs w:val="16"/>
              </w:rPr>
              <w:t>875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B5E52C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B9E4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2C8ED" w14:textId="77777777" w:rsidR="00000000" w:rsidRDefault="00A173A8">
            <w:pPr>
              <w:spacing w:after="100"/>
              <w:jc w:val="right"/>
              <w:rPr>
                <w:rFonts w:eastAsia="Times New Roman"/>
              </w:rPr>
            </w:pPr>
            <w:r>
              <w:rPr>
                <w:rFonts w:eastAsia="Times New Roman"/>
                <w:color w:val="000000"/>
                <w:sz w:val="16"/>
                <w:szCs w:val="16"/>
              </w:rPr>
              <w:t>5,888 </w:t>
            </w:r>
          </w:p>
        </w:tc>
        <w:tc>
          <w:tcPr>
            <w:tcW w:w="0" w:type="auto"/>
            <w:shd w:val="clear" w:color="auto" w:fill="FFFFFF"/>
            <w:tcMar>
              <w:top w:w="30" w:type="dxa"/>
              <w:left w:w="0" w:type="dxa"/>
              <w:bottom w:w="30" w:type="dxa"/>
              <w:right w:w="20" w:type="dxa"/>
            </w:tcMar>
            <w:vAlign w:val="bottom"/>
            <w:hideMark/>
          </w:tcPr>
          <w:p w14:paraId="70B31778" w14:textId="77777777" w:rsidR="00000000" w:rsidRDefault="00A173A8">
            <w:pPr>
              <w:spacing w:after="100"/>
              <w:jc w:val="right"/>
              <w:rPr>
                <w:rFonts w:eastAsia="Times New Roman"/>
              </w:rPr>
            </w:pPr>
          </w:p>
        </w:tc>
      </w:tr>
      <w:tr w:rsidR="00000000" w14:paraId="6D4D61D9"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683330B9" w14:textId="77777777" w:rsidR="00000000" w:rsidRDefault="00A173A8">
            <w:pPr>
              <w:spacing w:after="100"/>
              <w:rPr>
                <w:rFonts w:eastAsia="Times New Roman"/>
              </w:rPr>
            </w:pPr>
            <w:r>
              <w:rPr>
                <w:rFonts w:eastAsia="Times New Roman"/>
                <w:color w:val="000000"/>
                <w:sz w:val="16"/>
                <w:szCs w:val="16"/>
              </w:rPr>
              <w:t>Premises and equipment, net</w:t>
            </w:r>
          </w:p>
        </w:tc>
        <w:tc>
          <w:tcPr>
            <w:tcW w:w="0" w:type="auto"/>
            <w:gridSpan w:val="3"/>
            <w:shd w:val="clear" w:color="auto" w:fill="CCEEFF"/>
            <w:tcMar>
              <w:top w:w="0" w:type="dxa"/>
              <w:left w:w="20" w:type="dxa"/>
              <w:bottom w:w="0" w:type="dxa"/>
              <w:right w:w="20" w:type="dxa"/>
            </w:tcMar>
            <w:vAlign w:val="center"/>
            <w:hideMark/>
          </w:tcPr>
          <w:p w14:paraId="0EE128B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EE493FA" w14:textId="77777777" w:rsidR="00000000" w:rsidRDefault="00A173A8">
            <w:pPr>
              <w:spacing w:after="100"/>
              <w:jc w:val="right"/>
              <w:rPr>
                <w:rFonts w:eastAsia="Times New Roman"/>
              </w:rPr>
            </w:pPr>
            <w:r>
              <w:rPr>
                <w:rFonts w:eastAsia="Times New Roman"/>
                <w:b/>
                <w:bCs/>
                <w:color w:val="000000"/>
                <w:sz w:val="16"/>
                <w:szCs w:val="16"/>
              </w:rPr>
              <w:t>4,238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20DDC4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C940D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C8CA19" w14:textId="77777777" w:rsidR="00000000" w:rsidRDefault="00A173A8">
            <w:pPr>
              <w:spacing w:after="100"/>
              <w:jc w:val="right"/>
              <w:rPr>
                <w:rFonts w:eastAsia="Times New Roman"/>
              </w:rPr>
            </w:pPr>
            <w:r>
              <w:rPr>
                <w:rFonts w:eastAsia="Times New Roman"/>
                <w:color w:val="000000"/>
                <w:sz w:val="16"/>
                <w:szCs w:val="16"/>
              </w:rPr>
              <w:t>4,210 </w:t>
            </w:r>
          </w:p>
        </w:tc>
        <w:tc>
          <w:tcPr>
            <w:tcW w:w="0" w:type="auto"/>
            <w:shd w:val="clear" w:color="auto" w:fill="CCEEFF"/>
            <w:tcMar>
              <w:top w:w="30" w:type="dxa"/>
              <w:left w:w="0" w:type="dxa"/>
              <w:bottom w:w="30" w:type="dxa"/>
              <w:right w:w="20" w:type="dxa"/>
            </w:tcMar>
            <w:vAlign w:val="center"/>
            <w:hideMark/>
          </w:tcPr>
          <w:p w14:paraId="40FE0D34" w14:textId="77777777" w:rsidR="00000000" w:rsidRDefault="00A173A8">
            <w:pPr>
              <w:spacing w:after="100"/>
              <w:jc w:val="right"/>
              <w:rPr>
                <w:rFonts w:eastAsia="Times New Roman"/>
              </w:rPr>
            </w:pPr>
          </w:p>
        </w:tc>
      </w:tr>
      <w:tr w:rsidR="00000000" w14:paraId="416271D9"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4CAFB97E" w14:textId="77777777" w:rsidR="00000000" w:rsidRDefault="00A173A8">
            <w:pPr>
              <w:spacing w:after="100"/>
              <w:rPr>
                <w:rFonts w:eastAsia="Times New Roman"/>
              </w:rPr>
            </w:pPr>
            <w:r>
              <w:rPr>
                <w:rFonts w:eastAsia="Times New Roman"/>
                <w:color w:val="000000"/>
                <w:sz w:val="16"/>
                <w:szCs w:val="16"/>
              </w:rPr>
              <w:t>Interest receivable</w:t>
            </w:r>
          </w:p>
        </w:tc>
        <w:tc>
          <w:tcPr>
            <w:tcW w:w="0" w:type="auto"/>
            <w:gridSpan w:val="3"/>
            <w:shd w:val="clear" w:color="auto" w:fill="FFFFFF"/>
            <w:tcMar>
              <w:top w:w="0" w:type="dxa"/>
              <w:left w:w="20" w:type="dxa"/>
              <w:bottom w:w="0" w:type="dxa"/>
              <w:right w:w="20" w:type="dxa"/>
            </w:tcMar>
            <w:vAlign w:val="center"/>
            <w:hideMark/>
          </w:tcPr>
          <w:p w14:paraId="0C6BF3C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4734347" w14:textId="77777777" w:rsidR="00000000" w:rsidRDefault="00A173A8">
            <w:pPr>
              <w:spacing w:after="100"/>
              <w:jc w:val="right"/>
              <w:rPr>
                <w:rFonts w:eastAsia="Times New Roman"/>
              </w:rPr>
            </w:pPr>
            <w:r>
              <w:rPr>
                <w:rFonts w:eastAsia="Times New Roman"/>
                <w:b/>
                <w:bCs/>
                <w:color w:val="000000"/>
                <w:sz w:val="16"/>
                <w:szCs w:val="16"/>
              </w:rPr>
              <w:t>1,611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4E8C08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FBF2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C63F85" w14:textId="77777777" w:rsidR="00000000" w:rsidRDefault="00A173A8">
            <w:pPr>
              <w:spacing w:after="100"/>
              <w:jc w:val="right"/>
              <w:rPr>
                <w:rFonts w:eastAsia="Times New Roman"/>
              </w:rPr>
            </w:pPr>
            <w:r>
              <w:rPr>
                <w:rFonts w:eastAsia="Times New Roman"/>
                <w:color w:val="000000"/>
                <w:sz w:val="16"/>
                <w:szCs w:val="16"/>
              </w:rPr>
              <w:t>1,460 </w:t>
            </w:r>
          </w:p>
        </w:tc>
        <w:tc>
          <w:tcPr>
            <w:tcW w:w="0" w:type="auto"/>
            <w:shd w:val="clear" w:color="auto" w:fill="FFFFFF"/>
            <w:tcMar>
              <w:top w:w="30" w:type="dxa"/>
              <w:left w:w="0" w:type="dxa"/>
              <w:bottom w:w="30" w:type="dxa"/>
              <w:right w:w="20" w:type="dxa"/>
            </w:tcMar>
            <w:vAlign w:val="center"/>
            <w:hideMark/>
          </w:tcPr>
          <w:p w14:paraId="6A7FBC29" w14:textId="77777777" w:rsidR="00000000" w:rsidRDefault="00A173A8">
            <w:pPr>
              <w:spacing w:after="100"/>
              <w:jc w:val="right"/>
              <w:rPr>
                <w:rFonts w:eastAsia="Times New Roman"/>
              </w:rPr>
            </w:pPr>
          </w:p>
        </w:tc>
      </w:tr>
      <w:tr w:rsidR="00000000" w14:paraId="31193A08"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78B65C75" w14:textId="77777777" w:rsidR="00000000" w:rsidRDefault="00A173A8">
            <w:pPr>
              <w:spacing w:after="100"/>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14:paraId="0705F16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A0B1B32" w14:textId="77777777" w:rsidR="00000000" w:rsidRDefault="00A173A8">
            <w:pPr>
              <w:spacing w:after="100"/>
              <w:jc w:val="right"/>
              <w:rPr>
                <w:rFonts w:eastAsia="Times New Roman"/>
              </w:rPr>
            </w:pPr>
            <w:r>
              <w:rPr>
                <w:rFonts w:eastAsia="Times New Roman"/>
                <w:b/>
                <w:bCs/>
                <w:color w:val="000000"/>
                <w:sz w:val="16"/>
                <w:szCs w:val="16"/>
              </w:rPr>
              <w:t>14,778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71EFCA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D00C1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6D3570" w14:textId="77777777" w:rsidR="00000000" w:rsidRDefault="00A173A8">
            <w:pPr>
              <w:spacing w:after="100"/>
              <w:jc w:val="right"/>
              <w:rPr>
                <w:rFonts w:eastAsia="Times New Roman"/>
              </w:rPr>
            </w:pPr>
            <w:r>
              <w:rPr>
                <w:rFonts w:eastAsia="Times New Roman"/>
                <w:color w:val="000000"/>
                <w:sz w:val="16"/>
                <w:szCs w:val="16"/>
              </w:rPr>
              <w:t>14,782 </w:t>
            </w:r>
          </w:p>
        </w:tc>
        <w:tc>
          <w:tcPr>
            <w:tcW w:w="0" w:type="auto"/>
            <w:shd w:val="clear" w:color="auto" w:fill="CCEEFF"/>
            <w:tcMar>
              <w:top w:w="30" w:type="dxa"/>
              <w:left w:w="0" w:type="dxa"/>
              <w:bottom w:w="30" w:type="dxa"/>
              <w:right w:w="20" w:type="dxa"/>
            </w:tcMar>
            <w:vAlign w:val="center"/>
            <w:hideMark/>
          </w:tcPr>
          <w:p w14:paraId="1AA7C40F" w14:textId="77777777" w:rsidR="00000000" w:rsidRDefault="00A173A8">
            <w:pPr>
              <w:spacing w:after="100"/>
              <w:jc w:val="right"/>
              <w:rPr>
                <w:rFonts w:eastAsia="Times New Roman"/>
              </w:rPr>
            </w:pPr>
          </w:p>
        </w:tc>
      </w:tr>
      <w:tr w:rsidR="00000000" w14:paraId="7FD5AF61"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2FD422CB" w14:textId="77777777" w:rsidR="00000000" w:rsidRDefault="00A173A8">
            <w:pPr>
              <w:spacing w:after="100"/>
              <w:rPr>
                <w:rFonts w:eastAsia="Times New Roman"/>
              </w:rPr>
            </w:pPr>
            <w:r>
              <w:rPr>
                <w:rFonts w:eastAsia="Times New Roman"/>
                <w:color w:val="000000"/>
                <w:sz w:val="16"/>
                <w:szCs w:val="16"/>
              </w:rPr>
              <w:t>Other assets</w:t>
            </w:r>
          </w:p>
        </w:tc>
        <w:tc>
          <w:tcPr>
            <w:tcW w:w="0" w:type="auto"/>
            <w:gridSpan w:val="3"/>
            <w:shd w:val="clear" w:color="auto" w:fill="FFFFFF"/>
            <w:tcMar>
              <w:top w:w="0" w:type="dxa"/>
              <w:left w:w="20" w:type="dxa"/>
              <w:bottom w:w="0" w:type="dxa"/>
              <w:right w:w="20" w:type="dxa"/>
            </w:tcMar>
            <w:vAlign w:val="center"/>
            <w:hideMark/>
          </w:tcPr>
          <w:p w14:paraId="7847901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C6F09EF" w14:textId="77777777" w:rsidR="00000000" w:rsidRDefault="00A173A8">
            <w:pPr>
              <w:spacing w:after="100"/>
              <w:jc w:val="right"/>
              <w:rPr>
                <w:rFonts w:eastAsia="Times New Roman"/>
              </w:rPr>
            </w:pPr>
            <w:r>
              <w:rPr>
                <w:rFonts w:eastAsia="Times New Roman"/>
                <w:b/>
                <w:bCs/>
                <w:color w:val="000000"/>
                <w:sz w:val="16"/>
                <w:szCs w:val="16"/>
              </w:rPr>
              <w:t>28,621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ADCF85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08F8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FE169E" w14:textId="77777777" w:rsidR="00000000" w:rsidRDefault="00A173A8">
            <w:pPr>
              <w:spacing w:after="100"/>
              <w:jc w:val="right"/>
              <w:rPr>
                <w:rFonts w:eastAsia="Times New Roman"/>
              </w:rPr>
            </w:pPr>
            <w:r>
              <w:rPr>
                <w:rFonts w:eastAsia="Times New Roman"/>
                <w:color w:val="000000"/>
                <w:sz w:val="16"/>
                <w:szCs w:val="16"/>
              </w:rPr>
              <w:t>22,816 </w:t>
            </w:r>
          </w:p>
        </w:tc>
        <w:tc>
          <w:tcPr>
            <w:tcW w:w="0" w:type="auto"/>
            <w:shd w:val="clear" w:color="auto" w:fill="FFFFFF"/>
            <w:tcMar>
              <w:top w:w="30" w:type="dxa"/>
              <w:left w:w="0" w:type="dxa"/>
              <w:bottom w:w="30" w:type="dxa"/>
              <w:right w:w="20" w:type="dxa"/>
            </w:tcMar>
            <w:vAlign w:val="center"/>
            <w:hideMark/>
          </w:tcPr>
          <w:p w14:paraId="45B65B34" w14:textId="77777777" w:rsidR="00000000" w:rsidRDefault="00A173A8">
            <w:pPr>
              <w:spacing w:after="100"/>
              <w:jc w:val="right"/>
              <w:rPr>
                <w:rFonts w:eastAsia="Times New Roman"/>
              </w:rPr>
            </w:pPr>
          </w:p>
        </w:tc>
      </w:tr>
      <w:tr w:rsidR="00000000" w14:paraId="6FB09C15"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43B6261B" w14:textId="77777777" w:rsidR="00000000" w:rsidRDefault="00A173A8">
            <w:pPr>
              <w:spacing w:after="100"/>
              <w:rPr>
                <w:rFonts w:eastAsia="Times New Roman"/>
              </w:rPr>
            </w:pPr>
            <w:r>
              <w:rPr>
                <w:rFonts w:eastAsia="Times New Roman"/>
                <w:b/>
                <w:bCs/>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14:paraId="3DE0BC0A"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19AAA7D"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58B7BF7" w14:textId="77777777" w:rsidR="00000000" w:rsidRDefault="00A173A8">
            <w:pPr>
              <w:spacing w:after="100"/>
              <w:jc w:val="right"/>
              <w:rPr>
                <w:rFonts w:eastAsia="Times New Roman"/>
              </w:rPr>
            </w:pPr>
            <w:r>
              <w:rPr>
                <w:rFonts w:eastAsia="Times New Roman"/>
                <w:b/>
                <w:bCs/>
                <w:color w:val="000000"/>
                <w:sz w:val="16"/>
                <w:szCs w:val="16"/>
              </w:rPr>
              <w:t>440,288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1F84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FDC6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627DD1A"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259D4F5" w14:textId="77777777" w:rsidR="00000000" w:rsidRDefault="00A173A8">
            <w:pPr>
              <w:spacing w:after="100"/>
              <w:jc w:val="right"/>
              <w:rPr>
                <w:rFonts w:eastAsia="Times New Roman"/>
              </w:rPr>
            </w:pPr>
            <w:r>
              <w:rPr>
                <w:rFonts w:eastAsia="Times New Roman"/>
                <w:color w:val="000000"/>
                <w:sz w:val="16"/>
                <w:szCs w:val="16"/>
              </w:rPr>
              <w:t>432,381 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4BA2C8" w14:textId="77777777" w:rsidR="00000000" w:rsidRDefault="00A173A8">
            <w:pPr>
              <w:spacing w:after="100"/>
              <w:jc w:val="right"/>
              <w:rPr>
                <w:rFonts w:eastAsia="Times New Roman"/>
              </w:rPr>
            </w:pPr>
          </w:p>
        </w:tc>
      </w:tr>
      <w:tr w:rsidR="00000000" w14:paraId="2E168631" w14:textId="77777777">
        <w:trPr>
          <w:divId w:val="719326495"/>
          <w:trHeight w:val="240"/>
          <w:jc w:val="center"/>
        </w:trPr>
        <w:tc>
          <w:tcPr>
            <w:tcW w:w="0" w:type="auto"/>
            <w:gridSpan w:val="3"/>
            <w:shd w:val="clear" w:color="auto" w:fill="FFFFFF"/>
            <w:tcMar>
              <w:top w:w="0" w:type="dxa"/>
              <w:left w:w="20" w:type="dxa"/>
              <w:bottom w:w="0" w:type="dxa"/>
              <w:right w:w="20" w:type="dxa"/>
            </w:tcMar>
            <w:vAlign w:val="center"/>
            <w:hideMark/>
          </w:tcPr>
          <w:p w14:paraId="6560D221"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6A299C"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CB158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066776"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BBFE46" w14:textId="77777777" w:rsidR="00000000" w:rsidRDefault="00A173A8">
            <w:pPr>
              <w:spacing w:after="100"/>
              <w:rPr>
                <w:rFonts w:eastAsia="Times New Roman"/>
                <w:sz w:val="20"/>
                <w:szCs w:val="20"/>
              </w:rPr>
            </w:pPr>
          </w:p>
        </w:tc>
      </w:tr>
      <w:tr w:rsidR="00000000" w14:paraId="27B2446A"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3126D992" w14:textId="77777777" w:rsidR="00000000" w:rsidRDefault="00A173A8">
            <w:pPr>
              <w:spacing w:after="100"/>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14:paraId="3A7592BA"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AB77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AE596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A7BAB2" w14:textId="77777777" w:rsidR="00000000" w:rsidRDefault="00A173A8">
            <w:pPr>
              <w:spacing w:after="100"/>
              <w:rPr>
                <w:rFonts w:eastAsia="Times New Roman"/>
                <w:sz w:val="20"/>
                <w:szCs w:val="20"/>
              </w:rPr>
            </w:pPr>
          </w:p>
        </w:tc>
      </w:tr>
      <w:tr w:rsidR="00000000" w14:paraId="65BBDAA2"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7CF752D2" w14:textId="77777777" w:rsidR="00000000" w:rsidRDefault="00A173A8">
            <w:pPr>
              <w:spacing w:after="100"/>
              <w:rPr>
                <w:rFonts w:eastAsia="Times New Roman"/>
              </w:rPr>
            </w:pPr>
            <w:r>
              <w:rPr>
                <w:rFonts w:eastAsia="Times New Roman"/>
                <w:color w:val="000000"/>
                <w:sz w:val="16"/>
                <w:szCs w:val="16"/>
              </w:rPr>
              <w:t>Interest payable</w:t>
            </w:r>
          </w:p>
        </w:tc>
        <w:tc>
          <w:tcPr>
            <w:tcW w:w="0" w:type="auto"/>
            <w:gridSpan w:val="3"/>
            <w:shd w:val="clear" w:color="auto" w:fill="FFFFFF"/>
            <w:tcMar>
              <w:top w:w="0" w:type="dxa"/>
              <w:left w:w="20" w:type="dxa"/>
              <w:bottom w:w="0" w:type="dxa"/>
              <w:right w:w="20" w:type="dxa"/>
            </w:tcMar>
            <w:vAlign w:val="center"/>
            <w:hideMark/>
          </w:tcPr>
          <w:p w14:paraId="37314AF6"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9157ED4"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48AF8573" w14:textId="77777777" w:rsidR="00000000" w:rsidRDefault="00A173A8">
            <w:pPr>
              <w:spacing w:after="100"/>
              <w:jc w:val="right"/>
              <w:rPr>
                <w:rFonts w:eastAsia="Times New Roman"/>
              </w:rPr>
            </w:pPr>
            <w:r>
              <w:rPr>
                <w:rFonts w:eastAsia="Times New Roman"/>
                <w:b/>
                <w:bCs/>
                <w:color w:val="000000"/>
                <w:sz w:val="16"/>
                <w:szCs w:val="16"/>
              </w:rPr>
              <w:t>333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09F5F2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111A0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41F67DD"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63E05868" w14:textId="77777777" w:rsidR="00000000" w:rsidRDefault="00A173A8">
            <w:pPr>
              <w:spacing w:after="100"/>
              <w:jc w:val="right"/>
              <w:rPr>
                <w:rFonts w:eastAsia="Times New Roman"/>
              </w:rPr>
            </w:pPr>
            <w:r>
              <w:rPr>
                <w:rFonts w:eastAsia="Times New Roman"/>
                <w:color w:val="000000"/>
                <w:sz w:val="16"/>
                <w:szCs w:val="16"/>
              </w:rPr>
              <w:t>281 </w:t>
            </w:r>
          </w:p>
        </w:tc>
        <w:tc>
          <w:tcPr>
            <w:tcW w:w="0" w:type="auto"/>
            <w:shd w:val="clear" w:color="auto" w:fill="FFFFFF"/>
            <w:tcMar>
              <w:top w:w="30" w:type="dxa"/>
              <w:left w:w="0" w:type="dxa"/>
              <w:bottom w:w="30" w:type="dxa"/>
              <w:right w:w="20" w:type="dxa"/>
            </w:tcMar>
            <w:vAlign w:val="center"/>
            <w:hideMark/>
          </w:tcPr>
          <w:p w14:paraId="30AC86CB" w14:textId="77777777" w:rsidR="00000000" w:rsidRDefault="00A173A8">
            <w:pPr>
              <w:spacing w:after="100"/>
              <w:jc w:val="right"/>
              <w:rPr>
                <w:rFonts w:eastAsia="Times New Roman"/>
              </w:rPr>
            </w:pPr>
          </w:p>
        </w:tc>
      </w:tr>
      <w:tr w:rsidR="00000000" w14:paraId="4C07BE89"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72BF5E3A" w14:textId="77777777" w:rsidR="00000000" w:rsidRDefault="00A173A8">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14:paraId="328ECE0F"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83DA0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4F60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2D9708" w14:textId="77777777" w:rsidR="00000000" w:rsidRDefault="00A173A8">
            <w:pPr>
              <w:spacing w:after="100"/>
              <w:rPr>
                <w:rFonts w:eastAsia="Times New Roman"/>
                <w:sz w:val="20"/>
                <w:szCs w:val="20"/>
              </w:rPr>
            </w:pPr>
          </w:p>
        </w:tc>
      </w:tr>
      <w:tr w:rsidR="00000000" w14:paraId="455DF6BD" w14:textId="77777777">
        <w:trPr>
          <w:divId w:val="719326495"/>
          <w:jc w:val="center"/>
        </w:trPr>
        <w:tc>
          <w:tcPr>
            <w:tcW w:w="0" w:type="auto"/>
            <w:gridSpan w:val="3"/>
            <w:shd w:val="clear" w:color="auto" w:fill="FFFFFF"/>
            <w:tcMar>
              <w:top w:w="30" w:type="dxa"/>
              <w:left w:w="245" w:type="dxa"/>
              <w:bottom w:w="30" w:type="dxa"/>
              <w:right w:w="20" w:type="dxa"/>
            </w:tcMar>
            <w:vAlign w:val="center"/>
            <w:hideMark/>
          </w:tcPr>
          <w:p w14:paraId="60256330" w14:textId="77777777" w:rsidR="00000000" w:rsidRDefault="00A173A8">
            <w:pPr>
              <w:spacing w:after="100"/>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14:paraId="155B04F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FDAAACF" w14:textId="77777777" w:rsidR="00000000" w:rsidRDefault="00A173A8">
            <w:pPr>
              <w:spacing w:after="100"/>
              <w:jc w:val="right"/>
              <w:rPr>
                <w:rFonts w:eastAsia="Times New Roman"/>
              </w:rPr>
            </w:pPr>
            <w:r>
              <w:rPr>
                <w:rFonts w:eastAsia="Times New Roman"/>
                <w:b/>
                <w:bCs/>
                <w:color w:val="000000"/>
                <w:sz w:val="16"/>
                <w:szCs w:val="16"/>
              </w:rPr>
              <w:t>37,004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2D7A5A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FC064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08A04F3" w14:textId="77777777" w:rsidR="00000000" w:rsidRDefault="00A173A8">
            <w:pPr>
              <w:spacing w:after="100"/>
              <w:jc w:val="right"/>
              <w:rPr>
                <w:rFonts w:eastAsia="Times New Roman"/>
              </w:rPr>
            </w:pPr>
            <w:r>
              <w:rPr>
                <w:rFonts w:eastAsia="Times New Roman"/>
                <w:color w:val="000000"/>
                <w:sz w:val="16"/>
                <w:szCs w:val="16"/>
              </w:rPr>
              <w:t>38,043 </w:t>
            </w:r>
          </w:p>
        </w:tc>
        <w:tc>
          <w:tcPr>
            <w:tcW w:w="0" w:type="auto"/>
            <w:shd w:val="clear" w:color="auto" w:fill="FFFFFF"/>
            <w:tcMar>
              <w:top w:w="30" w:type="dxa"/>
              <w:left w:w="0" w:type="dxa"/>
              <w:bottom w:w="30" w:type="dxa"/>
              <w:right w:w="20" w:type="dxa"/>
            </w:tcMar>
            <w:vAlign w:val="center"/>
            <w:hideMark/>
          </w:tcPr>
          <w:p w14:paraId="39EC9D5E" w14:textId="77777777" w:rsidR="00000000" w:rsidRDefault="00A173A8">
            <w:pPr>
              <w:spacing w:after="100"/>
              <w:jc w:val="right"/>
              <w:rPr>
                <w:rFonts w:eastAsia="Times New Roman"/>
              </w:rPr>
            </w:pPr>
          </w:p>
        </w:tc>
      </w:tr>
      <w:tr w:rsidR="00000000" w14:paraId="3D8D9457" w14:textId="77777777">
        <w:trPr>
          <w:divId w:val="719326495"/>
          <w:jc w:val="center"/>
        </w:trPr>
        <w:tc>
          <w:tcPr>
            <w:tcW w:w="0" w:type="auto"/>
            <w:gridSpan w:val="3"/>
            <w:shd w:val="clear" w:color="auto" w:fill="CCEEFF"/>
            <w:tcMar>
              <w:top w:w="30" w:type="dxa"/>
              <w:left w:w="245" w:type="dxa"/>
              <w:bottom w:w="30" w:type="dxa"/>
              <w:right w:w="20" w:type="dxa"/>
            </w:tcMar>
            <w:vAlign w:val="center"/>
            <w:hideMark/>
          </w:tcPr>
          <w:p w14:paraId="40CF9776" w14:textId="77777777" w:rsidR="00000000" w:rsidRDefault="00A173A8">
            <w:pPr>
              <w:spacing w:after="100"/>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14:paraId="76F26BC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D1E5A75" w14:textId="77777777" w:rsidR="00000000" w:rsidRDefault="00A173A8">
            <w:pPr>
              <w:spacing w:after="100"/>
              <w:jc w:val="right"/>
              <w:rPr>
                <w:rFonts w:eastAsia="Times New Roman"/>
              </w:rPr>
            </w:pPr>
            <w:r>
              <w:rPr>
                <w:rFonts w:eastAsia="Times New Roman"/>
                <w:b/>
                <w:bCs/>
                <w:color w:val="000000"/>
                <w:sz w:val="16"/>
                <w:szCs w:val="16"/>
              </w:rPr>
              <w:t>270,881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081235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52BC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DD381A" w14:textId="77777777" w:rsidR="00000000" w:rsidRDefault="00A173A8">
            <w:pPr>
              <w:spacing w:after="100"/>
              <w:jc w:val="right"/>
              <w:rPr>
                <w:rFonts w:eastAsia="Times New Roman"/>
              </w:rPr>
            </w:pPr>
            <w:r>
              <w:rPr>
                <w:rFonts w:eastAsia="Times New Roman"/>
                <w:color w:val="000000"/>
                <w:sz w:val="16"/>
                <w:szCs w:val="16"/>
              </w:rPr>
              <w:t>272,937 </w:t>
            </w:r>
          </w:p>
        </w:tc>
        <w:tc>
          <w:tcPr>
            <w:tcW w:w="0" w:type="auto"/>
            <w:shd w:val="clear" w:color="auto" w:fill="CCEEFF"/>
            <w:tcMar>
              <w:top w:w="30" w:type="dxa"/>
              <w:left w:w="0" w:type="dxa"/>
              <w:bottom w:w="30" w:type="dxa"/>
              <w:right w:w="20" w:type="dxa"/>
            </w:tcMar>
            <w:vAlign w:val="center"/>
            <w:hideMark/>
          </w:tcPr>
          <w:p w14:paraId="48BE09DF" w14:textId="77777777" w:rsidR="00000000" w:rsidRDefault="00A173A8">
            <w:pPr>
              <w:spacing w:after="100"/>
              <w:jc w:val="right"/>
              <w:rPr>
                <w:rFonts w:eastAsia="Times New Roman"/>
              </w:rPr>
            </w:pPr>
          </w:p>
        </w:tc>
      </w:tr>
      <w:tr w:rsidR="00000000" w14:paraId="7E5C5520"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7B80AFC2" w14:textId="77777777" w:rsidR="00000000" w:rsidRDefault="00A173A8">
            <w:pPr>
              <w:spacing w:after="100"/>
              <w:rPr>
                <w:rFonts w:eastAsia="Times New Roman"/>
              </w:rPr>
            </w:pPr>
            <w:r>
              <w:rPr>
                <w:rFonts w:eastAsia="Times New Roman"/>
                <w:color w:val="000000"/>
                <w:sz w:val="16"/>
                <w:szCs w:val="16"/>
              </w:rPr>
              <w:t>Total deposits</w:t>
            </w:r>
          </w:p>
        </w:tc>
        <w:tc>
          <w:tcPr>
            <w:tcW w:w="0" w:type="auto"/>
            <w:gridSpan w:val="3"/>
            <w:shd w:val="clear" w:color="auto" w:fill="FFFFFF"/>
            <w:tcMar>
              <w:top w:w="0" w:type="dxa"/>
              <w:left w:w="20" w:type="dxa"/>
              <w:bottom w:w="0" w:type="dxa"/>
              <w:right w:w="20" w:type="dxa"/>
            </w:tcMar>
            <w:vAlign w:val="center"/>
            <w:hideMark/>
          </w:tcPr>
          <w:p w14:paraId="12E3A3BC"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0D1952" w14:textId="77777777" w:rsidR="00000000" w:rsidRDefault="00A173A8">
            <w:pPr>
              <w:spacing w:after="100"/>
              <w:jc w:val="right"/>
              <w:rPr>
                <w:rFonts w:eastAsia="Times New Roman"/>
              </w:rPr>
            </w:pPr>
            <w:r>
              <w:rPr>
                <w:rFonts w:eastAsia="Times New Roman"/>
                <w:b/>
                <w:bCs/>
                <w:color w:val="000000"/>
                <w:sz w:val="16"/>
                <w:szCs w:val="16"/>
              </w:rPr>
              <w:t>307,885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B9137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FAC9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78E045C" w14:textId="77777777" w:rsidR="00000000" w:rsidRDefault="00A173A8">
            <w:pPr>
              <w:spacing w:after="100"/>
              <w:jc w:val="right"/>
              <w:rPr>
                <w:rFonts w:eastAsia="Times New Roman"/>
              </w:rPr>
            </w:pPr>
            <w:r>
              <w:rPr>
                <w:rFonts w:eastAsia="Times New Roman"/>
                <w:color w:val="000000"/>
                <w:sz w:val="16"/>
                <w:szCs w:val="16"/>
              </w:rPr>
              <w:t>310,980 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E4A2AE3" w14:textId="77777777" w:rsidR="00000000" w:rsidRDefault="00A173A8">
            <w:pPr>
              <w:spacing w:after="100"/>
              <w:jc w:val="right"/>
              <w:rPr>
                <w:rFonts w:eastAsia="Times New Roman"/>
              </w:rPr>
            </w:pPr>
          </w:p>
        </w:tc>
      </w:tr>
      <w:tr w:rsidR="00000000" w14:paraId="61447D1A"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373AA6D5" w14:textId="77777777" w:rsidR="00000000" w:rsidRDefault="00A173A8">
            <w:pPr>
              <w:spacing w:after="100"/>
              <w:rPr>
                <w:rFonts w:eastAsia="Times New Roman"/>
              </w:rPr>
            </w:pPr>
            <w:r>
              <w:rPr>
                <w:rFonts w:eastAsia="Times New Roman"/>
                <w:color w:val="000000"/>
                <w:sz w:val="16"/>
                <w:szCs w:val="16"/>
              </w:rPr>
              <w:t>Securitized debt obligations</w:t>
            </w:r>
          </w:p>
        </w:tc>
        <w:tc>
          <w:tcPr>
            <w:tcW w:w="0" w:type="auto"/>
            <w:gridSpan w:val="3"/>
            <w:shd w:val="clear" w:color="auto" w:fill="CCEEFF"/>
            <w:tcMar>
              <w:top w:w="0" w:type="dxa"/>
              <w:left w:w="20" w:type="dxa"/>
              <w:bottom w:w="0" w:type="dxa"/>
              <w:right w:w="20" w:type="dxa"/>
            </w:tcMar>
            <w:vAlign w:val="center"/>
            <w:hideMark/>
          </w:tcPr>
          <w:p w14:paraId="601F1D1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4AC8BF2" w14:textId="77777777" w:rsidR="00000000" w:rsidRDefault="00A173A8">
            <w:pPr>
              <w:spacing w:after="100"/>
              <w:jc w:val="right"/>
              <w:rPr>
                <w:rFonts w:eastAsia="Times New Roman"/>
              </w:rPr>
            </w:pPr>
            <w:r>
              <w:rPr>
                <w:rFonts w:eastAsia="Times New Roman"/>
                <w:b/>
                <w:bCs/>
                <w:color w:val="000000"/>
                <w:sz w:val="16"/>
                <w:szCs w:val="16"/>
              </w:rPr>
              <w:t>17,466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A81956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DB67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5D9420" w14:textId="77777777" w:rsidR="00000000" w:rsidRDefault="00A173A8">
            <w:pPr>
              <w:spacing w:after="100"/>
              <w:jc w:val="right"/>
              <w:rPr>
                <w:rFonts w:eastAsia="Times New Roman"/>
              </w:rPr>
            </w:pPr>
            <w:r>
              <w:rPr>
                <w:rFonts w:eastAsia="Times New Roman"/>
                <w:color w:val="000000"/>
                <w:sz w:val="16"/>
                <w:szCs w:val="16"/>
              </w:rPr>
              <w:t>14,994 </w:t>
            </w:r>
          </w:p>
        </w:tc>
        <w:tc>
          <w:tcPr>
            <w:tcW w:w="0" w:type="auto"/>
            <w:shd w:val="clear" w:color="auto" w:fill="CCEEFF"/>
            <w:tcMar>
              <w:top w:w="30" w:type="dxa"/>
              <w:left w:w="0" w:type="dxa"/>
              <w:bottom w:w="30" w:type="dxa"/>
              <w:right w:w="20" w:type="dxa"/>
            </w:tcMar>
            <w:vAlign w:val="center"/>
            <w:hideMark/>
          </w:tcPr>
          <w:p w14:paraId="49085F80" w14:textId="77777777" w:rsidR="00000000" w:rsidRDefault="00A173A8">
            <w:pPr>
              <w:spacing w:after="100"/>
              <w:jc w:val="right"/>
              <w:rPr>
                <w:rFonts w:eastAsia="Times New Roman"/>
              </w:rPr>
            </w:pPr>
          </w:p>
        </w:tc>
      </w:tr>
      <w:tr w:rsidR="00000000" w14:paraId="3B87B665"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1B8032DA" w14:textId="77777777" w:rsidR="00000000" w:rsidRDefault="00A173A8">
            <w:pPr>
              <w:spacing w:after="100"/>
              <w:rPr>
                <w:rFonts w:eastAsia="Times New Roman"/>
              </w:rPr>
            </w:pPr>
            <w:r>
              <w:rPr>
                <w:rFonts w:eastAsia="Times New Roman"/>
                <w:color w:val="000000"/>
                <w:sz w:val="16"/>
                <w:szCs w:val="16"/>
              </w:rPr>
              <w:t>Other debt:</w:t>
            </w:r>
          </w:p>
        </w:tc>
        <w:tc>
          <w:tcPr>
            <w:tcW w:w="0" w:type="auto"/>
            <w:gridSpan w:val="3"/>
            <w:shd w:val="clear" w:color="auto" w:fill="FFFFFF"/>
            <w:tcMar>
              <w:top w:w="0" w:type="dxa"/>
              <w:left w:w="20" w:type="dxa"/>
              <w:bottom w:w="0" w:type="dxa"/>
              <w:right w:w="20" w:type="dxa"/>
            </w:tcMar>
            <w:vAlign w:val="center"/>
            <w:hideMark/>
          </w:tcPr>
          <w:p w14:paraId="202B97F5"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7165C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5A399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613053" w14:textId="77777777" w:rsidR="00000000" w:rsidRDefault="00A173A8">
            <w:pPr>
              <w:spacing w:after="100"/>
              <w:rPr>
                <w:rFonts w:eastAsia="Times New Roman"/>
                <w:sz w:val="20"/>
                <w:szCs w:val="20"/>
              </w:rPr>
            </w:pPr>
          </w:p>
        </w:tc>
      </w:tr>
      <w:tr w:rsidR="00000000" w14:paraId="3D3AD6BE" w14:textId="77777777">
        <w:trPr>
          <w:divId w:val="719326495"/>
          <w:jc w:val="center"/>
        </w:trPr>
        <w:tc>
          <w:tcPr>
            <w:tcW w:w="0" w:type="auto"/>
            <w:gridSpan w:val="3"/>
            <w:shd w:val="clear" w:color="auto" w:fill="CCEEFF"/>
            <w:tcMar>
              <w:top w:w="30" w:type="dxa"/>
              <w:left w:w="245" w:type="dxa"/>
              <w:bottom w:w="30" w:type="dxa"/>
              <w:right w:w="20" w:type="dxa"/>
            </w:tcMar>
            <w:vAlign w:val="center"/>
            <w:hideMark/>
          </w:tcPr>
          <w:p w14:paraId="606D1D27" w14:textId="77777777" w:rsidR="00000000" w:rsidRDefault="00A173A8">
            <w:pPr>
              <w:spacing w:after="100"/>
              <w:rPr>
                <w:rFonts w:eastAsia="Times New Roman"/>
              </w:rPr>
            </w:pPr>
            <w:r>
              <w:rPr>
                <w:rFonts w:eastAsia="Times New Roman"/>
                <w:color w:val="000000"/>
                <w:sz w:val="16"/>
                <w:szCs w:val="16"/>
              </w:rPr>
              <w:t>Federal funds purchased and securities loaned or sold under agreements to repurchase</w:t>
            </w:r>
          </w:p>
        </w:tc>
        <w:tc>
          <w:tcPr>
            <w:tcW w:w="0" w:type="auto"/>
            <w:gridSpan w:val="3"/>
            <w:shd w:val="clear" w:color="auto" w:fill="CCEEFF"/>
            <w:tcMar>
              <w:top w:w="0" w:type="dxa"/>
              <w:left w:w="20" w:type="dxa"/>
              <w:bottom w:w="0" w:type="dxa"/>
              <w:right w:w="20" w:type="dxa"/>
            </w:tcMar>
            <w:vAlign w:val="center"/>
            <w:hideMark/>
          </w:tcPr>
          <w:p w14:paraId="5504408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F2D43D5" w14:textId="77777777" w:rsidR="00000000" w:rsidRDefault="00A173A8">
            <w:pPr>
              <w:spacing w:after="100"/>
              <w:jc w:val="right"/>
              <w:rPr>
                <w:rFonts w:eastAsia="Times New Roman"/>
              </w:rPr>
            </w:pPr>
            <w:r>
              <w:rPr>
                <w:rFonts w:eastAsia="Times New Roman"/>
                <w:b/>
                <w:bCs/>
                <w:color w:val="000000"/>
                <w:sz w:val="16"/>
                <w:szCs w:val="16"/>
              </w:rPr>
              <w:t>440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68FF75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121A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448AA3" w14:textId="77777777" w:rsidR="00000000" w:rsidRDefault="00A173A8">
            <w:pPr>
              <w:spacing w:after="100"/>
              <w:jc w:val="right"/>
              <w:rPr>
                <w:rFonts w:eastAsia="Times New Roman"/>
              </w:rPr>
            </w:pPr>
            <w:r>
              <w:rPr>
                <w:rFonts w:eastAsia="Times New Roman"/>
                <w:color w:val="000000"/>
                <w:sz w:val="16"/>
                <w:szCs w:val="16"/>
              </w:rPr>
              <w:t>820 </w:t>
            </w:r>
          </w:p>
        </w:tc>
        <w:tc>
          <w:tcPr>
            <w:tcW w:w="0" w:type="auto"/>
            <w:shd w:val="clear" w:color="auto" w:fill="CCEEFF"/>
            <w:tcMar>
              <w:top w:w="30" w:type="dxa"/>
              <w:left w:w="0" w:type="dxa"/>
              <w:bottom w:w="30" w:type="dxa"/>
              <w:right w:w="20" w:type="dxa"/>
            </w:tcMar>
            <w:vAlign w:val="center"/>
            <w:hideMark/>
          </w:tcPr>
          <w:p w14:paraId="38876502" w14:textId="77777777" w:rsidR="00000000" w:rsidRDefault="00A173A8">
            <w:pPr>
              <w:spacing w:after="100"/>
              <w:jc w:val="right"/>
              <w:rPr>
                <w:rFonts w:eastAsia="Times New Roman"/>
              </w:rPr>
            </w:pPr>
          </w:p>
        </w:tc>
      </w:tr>
      <w:tr w:rsidR="00000000" w14:paraId="0A5F8E96" w14:textId="77777777">
        <w:trPr>
          <w:divId w:val="719326495"/>
          <w:jc w:val="center"/>
        </w:trPr>
        <w:tc>
          <w:tcPr>
            <w:tcW w:w="0" w:type="auto"/>
            <w:gridSpan w:val="3"/>
            <w:shd w:val="clear" w:color="auto" w:fill="FFFFFF"/>
            <w:tcMar>
              <w:top w:w="30" w:type="dxa"/>
              <w:left w:w="245" w:type="dxa"/>
              <w:bottom w:w="30" w:type="dxa"/>
              <w:right w:w="20" w:type="dxa"/>
            </w:tcMar>
            <w:vAlign w:val="center"/>
            <w:hideMark/>
          </w:tcPr>
          <w:p w14:paraId="154D08C6" w14:textId="77777777" w:rsidR="00000000" w:rsidRDefault="00A173A8">
            <w:pPr>
              <w:spacing w:after="100"/>
              <w:rPr>
                <w:rFonts w:eastAsia="Times New Roman"/>
              </w:rPr>
            </w:pPr>
            <w:r>
              <w:rPr>
                <w:rFonts w:eastAsia="Times New Roman"/>
                <w:color w:val="000000"/>
                <w:sz w:val="16"/>
                <w:szCs w:val="16"/>
              </w:rPr>
              <w:t>Senior and subordinated notes</w:t>
            </w:r>
          </w:p>
        </w:tc>
        <w:tc>
          <w:tcPr>
            <w:tcW w:w="0" w:type="auto"/>
            <w:gridSpan w:val="3"/>
            <w:shd w:val="clear" w:color="auto" w:fill="FFFFFF"/>
            <w:tcMar>
              <w:top w:w="0" w:type="dxa"/>
              <w:left w:w="20" w:type="dxa"/>
              <w:bottom w:w="0" w:type="dxa"/>
              <w:right w:w="20" w:type="dxa"/>
            </w:tcMar>
            <w:vAlign w:val="center"/>
            <w:hideMark/>
          </w:tcPr>
          <w:p w14:paraId="47564DE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4F84733" w14:textId="77777777" w:rsidR="00000000" w:rsidRDefault="00A173A8">
            <w:pPr>
              <w:spacing w:after="100"/>
              <w:jc w:val="right"/>
              <w:rPr>
                <w:rFonts w:eastAsia="Times New Roman"/>
              </w:rPr>
            </w:pPr>
            <w:r>
              <w:rPr>
                <w:rFonts w:eastAsia="Times New Roman"/>
                <w:b/>
                <w:bCs/>
                <w:color w:val="000000"/>
                <w:sz w:val="16"/>
                <w:szCs w:val="16"/>
              </w:rPr>
              <w:t>30,489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3D0620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D224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28A3B5" w14:textId="77777777" w:rsidR="00000000" w:rsidRDefault="00A173A8">
            <w:pPr>
              <w:spacing w:after="100"/>
              <w:jc w:val="right"/>
              <w:rPr>
                <w:rFonts w:eastAsia="Times New Roman"/>
              </w:rPr>
            </w:pPr>
            <w:r>
              <w:rPr>
                <w:rFonts w:eastAsia="Times New Roman"/>
                <w:color w:val="000000"/>
                <w:sz w:val="16"/>
                <w:szCs w:val="16"/>
              </w:rPr>
              <w:t>27,219 </w:t>
            </w:r>
          </w:p>
        </w:tc>
        <w:tc>
          <w:tcPr>
            <w:tcW w:w="0" w:type="auto"/>
            <w:shd w:val="clear" w:color="auto" w:fill="FFFFFF"/>
            <w:tcMar>
              <w:top w:w="30" w:type="dxa"/>
              <w:left w:w="0" w:type="dxa"/>
              <w:bottom w:w="30" w:type="dxa"/>
              <w:right w:w="20" w:type="dxa"/>
            </w:tcMar>
            <w:vAlign w:val="center"/>
            <w:hideMark/>
          </w:tcPr>
          <w:p w14:paraId="501D2D4C" w14:textId="77777777" w:rsidR="00000000" w:rsidRDefault="00A173A8">
            <w:pPr>
              <w:spacing w:after="100"/>
              <w:jc w:val="right"/>
              <w:rPr>
                <w:rFonts w:eastAsia="Times New Roman"/>
              </w:rPr>
            </w:pPr>
          </w:p>
        </w:tc>
      </w:tr>
      <w:tr w:rsidR="00000000" w14:paraId="57FA29FA" w14:textId="77777777">
        <w:trPr>
          <w:divId w:val="719326495"/>
          <w:jc w:val="center"/>
        </w:trPr>
        <w:tc>
          <w:tcPr>
            <w:tcW w:w="0" w:type="auto"/>
            <w:gridSpan w:val="3"/>
            <w:shd w:val="clear" w:color="auto" w:fill="CCEEFF"/>
            <w:tcMar>
              <w:top w:w="30" w:type="dxa"/>
              <w:left w:w="245" w:type="dxa"/>
              <w:bottom w:w="30" w:type="dxa"/>
              <w:right w:w="20" w:type="dxa"/>
            </w:tcMar>
            <w:vAlign w:val="center"/>
            <w:hideMark/>
          </w:tcPr>
          <w:p w14:paraId="0EEDB908" w14:textId="77777777" w:rsidR="00000000" w:rsidRDefault="00A173A8">
            <w:pPr>
              <w:spacing w:after="100"/>
              <w:rPr>
                <w:rFonts w:eastAsia="Times New Roman"/>
              </w:rPr>
            </w:pPr>
            <w:r>
              <w:rPr>
                <w:rFonts w:eastAsia="Times New Roman"/>
                <w:color w:val="000000"/>
                <w:sz w:val="16"/>
                <w:szCs w:val="16"/>
              </w:rPr>
              <w:t>Other borrowings</w:t>
            </w:r>
          </w:p>
        </w:tc>
        <w:tc>
          <w:tcPr>
            <w:tcW w:w="0" w:type="auto"/>
            <w:gridSpan w:val="3"/>
            <w:shd w:val="clear" w:color="auto" w:fill="CCEEFF"/>
            <w:tcMar>
              <w:top w:w="0" w:type="dxa"/>
              <w:left w:w="20" w:type="dxa"/>
              <w:bottom w:w="0" w:type="dxa"/>
              <w:right w:w="20" w:type="dxa"/>
            </w:tcMar>
            <w:vAlign w:val="center"/>
            <w:hideMark/>
          </w:tcPr>
          <w:p w14:paraId="50E025A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2111E8E" w14:textId="77777777" w:rsidR="00000000" w:rsidRDefault="00A173A8">
            <w:pPr>
              <w:spacing w:after="100"/>
              <w:jc w:val="right"/>
              <w:rPr>
                <w:rFonts w:eastAsia="Times New Roman"/>
              </w:rPr>
            </w:pPr>
            <w:r>
              <w:rPr>
                <w:rFonts w:eastAsia="Times New Roman"/>
                <w:b/>
                <w:bCs/>
                <w:color w:val="000000"/>
                <w:sz w:val="16"/>
                <w:szCs w:val="16"/>
              </w:rPr>
              <w:t>10,543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5CE11D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8F404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A25942" w14:textId="77777777" w:rsidR="00000000" w:rsidRDefault="00A173A8">
            <w:pPr>
              <w:spacing w:after="100"/>
              <w:jc w:val="right"/>
              <w:rPr>
                <w:rFonts w:eastAsia="Times New Roman"/>
              </w:rPr>
            </w:pPr>
            <w:r>
              <w:rPr>
                <w:rFonts w:eastAsia="Times New Roman"/>
                <w:color w:val="000000"/>
                <w:sz w:val="16"/>
                <w:szCs w:val="16"/>
              </w:rPr>
              <w:t>53 </w:t>
            </w:r>
          </w:p>
        </w:tc>
        <w:tc>
          <w:tcPr>
            <w:tcW w:w="0" w:type="auto"/>
            <w:shd w:val="clear" w:color="auto" w:fill="CCEEFF"/>
            <w:tcMar>
              <w:top w:w="30" w:type="dxa"/>
              <w:left w:w="0" w:type="dxa"/>
              <w:bottom w:w="30" w:type="dxa"/>
              <w:right w:w="20" w:type="dxa"/>
            </w:tcMar>
            <w:vAlign w:val="center"/>
            <w:hideMark/>
          </w:tcPr>
          <w:p w14:paraId="0E4714EB" w14:textId="77777777" w:rsidR="00000000" w:rsidRDefault="00A173A8">
            <w:pPr>
              <w:spacing w:after="100"/>
              <w:jc w:val="right"/>
              <w:rPr>
                <w:rFonts w:eastAsia="Times New Roman"/>
              </w:rPr>
            </w:pPr>
          </w:p>
        </w:tc>
      </w:tr>
      <w:tr w:rsidR="00000000" w14:paraId="415C9A72"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332934E9" w14:textId="77777777" w:rsidR="00000000" w:rsidRDefault="00A173A8">
            <w:pPr>
              <w:spacing w:after="100"/>
              <w:rPr>
                <w:rFonts w:eastAsia="Times New Roman"/>
              </w:rPr>
            </w:pPr>
            <w:r>
              <w:rPr>
                <w:rFonts w:eastAsia="Times New Roman"/>
                <w:color w:val="000000"/>
                <w:sz w:val="16"/>
                <w:szCs w:val="16"/>
              </w:rPr>
              <w:t>Total other debt</w:t>
            </w:r>
          </w:p>
        </w:tc>
        <w:tc>
          <w:tcPr>
            <w:tcW w:w="0" w:type="auto"/>
            <w:gridSpan w:val="3"/>
            <w:shd w:val="clear" w:color="auto" w:fill="FFFFFF"/>
            <w:tcMar>
              <w:top w:w="0" w:type="dxa"/>
              <w:left w:w="20" w:type="dxa"/>
              <w:bottom w:w="0" w:type="dxa"/>
              <w:right w:w="20" w:type="dxa"/>
            </w:tcMar>
            <w:vAlign w:val="center"/>
            <w:hideMark/>
          </w:tcPr>
          <w:p w14:paraId="4EDFA75C"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52450A8" w14:textId="77777777" w:rsidR="00000000" w:rsidRDefault="00A173A8">
            <w:pPr>
              <w:spacing w:after="100"/>
              <w:jc w:val="right"/>
              <w:rPr>
                <w:rFonts w:eastAsia="Times New Roman"/>
              </w:rPr>
            </w:pPr>
            <w:r>
              <w:rPr>
                <w:rFonts w:eastAsia="Times New Roman"/>
                <w:b/>
                <w:bCs/>
                <w:color w:val="000000"/>
                <w:sz w:val="16"/>
                <w:szCs w:val="16"/>
              </w:rPr>
              <w:t>41,472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D372DE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7B32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CFE124" w14:textId="77777777" w:rsidR="00000000" w:rsidRDefault="00A173A8">
            <w:pPr>
              <w:spacing w:after="100"/>
              <w:jc w:val="right"/>
              <w:rPr>
                <w:rFonts w:eastAsia="Times New Roman"/>
              </w:rPr>
            </w:pPr>
            <w:r>
              <w:rPr>
                <w:rFonts w:eastAsia="Times New Roman"/>
                <w:color w:val="000000"/>
                <w:sz w:val="16"/>
                <w:szCs w:val="16"/>
              </w:rPr>
              <w:t>28,092 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FCE7FD" w14:textId="77777777" w:rsidR="00000000" w:rsidRDefault="00A173A8">
            <w:pPr>
              <w:spacing w:after="100"/>
              <w:jc w:val="right"/>
              <w:rPr>
                <w:rFonts w:eastAsia="Times New Roman"/>
              </w:rPr>
            </w:pPr>
          </w:p>
        </w:tc>
      </w:tr>
      <w:tr w:rsidR="00000000" w14:paraId="79D03F54"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189DD079" w14:textId="77777777" w:rsidR="00000000" w:rsidRDefault="00A173A8">
            <w:pPr>
              <w:spacing w:after="100"/>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14:paraId="7953694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FF9BE67" w14:textId="77777777" w:rsidR="00000000" w:rsidRDefault="00A173A8">
            <w:pPr>
              <w:spacing w:after="100"/>
              <w:jc w:val="right"/>
              <w:rPr>
                <w:rFonts w:eastAsia="Times New Roman"/>
              </w:rPr>
            </w:pPr>
            <w:r>
              <w:rPr>
                <w:rFonts w:eastAsia="Times New Roman"/>
                <w:b/>
                <w:bCs/>
                <w:color w:val="000000"/>
                <w:sz w:val="16"/>
                <w:szCs w:val="16"/>
              </w:rPr>
              <w:t>19,722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B0A3C8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0C8F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EB1907" w14:textId="77777777" w:rsidR="00000000" w:rsidRDefault="00A173A8">
            <w:pPr>
              <w:spacing w:after="100"/>
              <w:jc w:val="right"/>
              <w:rPr>
                <w:rFonts w:eastAsia="Times New Roman"/>
              </w:rPr>
            </w:pPr>
            <w:r>
              <w:rPr>
                <w:rFonts w:eastAsia="Times New Roman"/>
                <w:color w:val="000000"/>
                <w:sz w:val="16"/>
                <w:szCs w:val="16"/>
              </w:rPr>
              <w:t>17,005 </w:t>
            </w:r>
          </w:p>
        </w:tc>
        <w:tc>
          <w:tcPr>
            <w:tcW w:w="0" w:type="auto"/>
            <w:shd w:val="clear" w:color="auto" w:fill="CCEEFF"/>
            <w:tcMar>
              <w:top w:w="30" w:type="dxa"/>
              <w:left w:w="0" w:type="dxa"/>
              <w:bottom w:w="30" w:type="dxa"/>
              <w:right w:w="20" w:type="dxa"/>
            </w:tcMar>
            <w:vAlign w:val="center"/>
            <w:hideMark/>
          </w:tcPr>
          <w:p w14:paraId="7E2C0532" w14:textId="77777777" w:rsidR="00000000" w:rsidRDefault="00A173A8">
            <w:pPr>
              <w:spacing w:after="100"/>
              <w:jc w:val="right"/>
              <w:rPr>
                <w:rFonts w:eastAsia="Times New Roman"/>
              </w:rPr>
            </w:pPr>
          </w:p>
        </w:tc>
      </w:tr>
      <w:tr w:rsidR="00000000" w14:paraId="328062D4"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451A7692" w14:textId="77777777" w:rsidR="00000000" w:rsidRDefault="00A173A8">
            <w:pPr>
              <w:spacing w:after="100"/>
              <w:rPr>
                <w:rFonts w:eastAsia="Times New Roman"/>
              </w:rPr>
            </w:pPr>
            <w:r>
              <w:rPr>
                <w:rFonts w:eastAsia="Times New Roman"/>
                <w:b/>
                <w:bCs/>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14:paraId="23439F06"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3876CD" w14:textId="77777777" w:rsidR="00000000" w:rsidRDefault="00A173A8">
            <w:pPr>
              <w:spacing w:after="100"/>
              <w:jc w:val="right"/>
              <w:rPr>
                <w:rFonts w:eastAsia="Times New Roman"/>
              </w:rPr>
            </w:pPr>
            <w:r>
              <w:rPr>
                <w:rFonts w:eastAsia="Times New Roman"/>
                <w:b/>
                <w:bCs/>
                <w:color w:val="000000"/>
                <w:sz w:val="16"/>
                <w:szCs w:val="16"/>
              </w:rPr>
              <w:t>386,878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329D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3B0B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2E8184" w14:textId="77777777" w:rsidR="00000000" w:rsidRDefault="00A173A8">
            <w:pPr>
              <w:spacing w:after="100"/>
              <w:jc w:val="right"/>
              <w:rPr>
                <w:rFonts w:eastAsia="Times New Roman"/>
              </w:rPr>
            </w:pPr>
            <w:r>
              <w:rPr>
                <w:rFonts w:eastAsia="Times New Roman"/>
                <w:color w:val="000000"/>
                <w:sz w:val="16"/>
                <w:szCs w:val="16"/>
              </w:rPr>
              <w:t>371,352 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02B91AC" w14:textId="77777777" w:rsidR="00000000" w:rsidRDefault="00A173A8">
            <w:pPr>
              <w:spacing w:after="100"/>
              <w:jc w:val="right"/>
              <w:rPr>
                <w:rFonts w:eastAsia="Times New Roman"/>
              </w:rPr>
            </w:pPr>
          </w:p>
        </w:tc>
      </w:tr>
      <w:tr w:rsidR="00000000" w14:paraId="64016E1D"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025C35B6" w14:textId="77777777" w:rsidR="00000000" w:rsidRDefault="00A173A8">
            <w:pPr>
              <w:spacing w:after="100"/>
              <w:rPr>
                <w:rFonts w:eastAsia="Times New Roman"/>
              </w:rPr>
            </w:pPr>
            <w:r>
              <w:rPr>
                <w:rFonts w:eastAsia="Times New Roman"/>
                <w:color w:val="000000"/>
                <w:sz w:val="16"/>
                <w:szCs w:val="16"/>
              </w:rPr>
              <w:t>Commitments, contingencies and guarantees (see Note 13)</w:t>
            </w:r>
          </w:p>
        </w:tc>
        <w:tc>
          <w:tcPr>
            <w:tcW w:w="0" w:type="auto"/>
            <w:gridSpan w:val="3"/>
            <w:shd w:val="clear" w:color="auto" w:fill="CCEEFF"/>
            <w:tcMar>
              <w:top w:w="0" w:type="dxa"/>
              <w:left w:w="20" w:type="dxa"/>
              <w:bottom w:w="0" w:type="dxa"/>
              <w:right w:w="20" w:type="dxa"/>
            </w:tcMar>
            <w:vAlign w:val="center"/>
            <w:hideMark/>
          </w:tcPr>
          <w:p w14:paraId="268540AA"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0E806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615E5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6DF94B" w14:textId="77777777" w:rsidR="00000000" w:rsidRDefault="00A173A8">
            <w:pPr>
              <w:spacing w:after="100"/>
              <w:rPr>
                <w:rFonts w:eastAsia="Times New Roman"/>
                <w:sz w:val="20"/>
                <w:szCs w:val="20"/>
              </w:rPr>
            </w:pPr>
          </w:p>
        </w:tc>
      </w:tr>
      <w:tr w:rsidR="00000000" w14:paraId="30CD589D"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25EA2D65" w14:textId="77777777" w:rsidR="00000000" w:rsidRDefault="00A173A8">
            <w:pPr>
              <w:spacing w:after="100"/>
              <w:rPr>
                <w:rFonts w:eastAsia="Times New Roman"/>
              </w:rPr>
            </w:pPr>
            <w:r>
              <w:rPr>
                <w:rFonts w:eastAsia="Times New Roman"/>
                <w:b/>
                <w:bCs/>
                <w:color w:val="000000"/>
                <w:sz w:val="16"/>
                <w:szCs w:val="16"/>
              </w:rPr>
              <w:t>Stockholders’ equity:</w:t>
            </w:r>
          </w:p>
        </w:tc>
        <w:tc>
          <w:tcPr>
            <w:tcW w:w="0" w:type="auto"/>
            <w:gridSpan w:val="3"/>
            <w:shd w:val="clear" w:color="auto" w:fill="FFFFFF"/>
            <w:tcMar>
              <w:top w:w="0" w:type="dxa"/>
              <w:left w:w="20" w:type="dxa"/>
              <w:bottom w:w="0" w:type="dxa"/>
              <w:right w:w="20" w:type="dxa"/>
            </w:tcMar>
            <w:vAlign w:val="center"/>
            <w:hideMark/>
          </w:tcPr>
          <w:p w14:paraId="23DC53E2"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8AD6E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64031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D642CC" w14:textId="77777777" w:rsidR="00000000" w:rsidRDefault="00A173A8">
            <w:pPr>
              <w:spacing w:after="100"/>
              <w:rPr>
                <w:rFonts w:eastAsia="Times New Roman"/>
                <w:sz w:val="20"/>
                <w:szCs w:val="20"/>
              </w:rPr>
            </w:pPr>
          </w:p>
        </w:tc>
      </w:tr>
      <w:tr w:rsidR="00000000" w14:paraId="6A6DB162"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50CD43F8" w14:textId="77777777" w:rsidR="00000000" w:rsidRDefault="00A173A8">
            <w:pPr>
              <w:spacing w:after="100"/>
              <w:divId w:val="1487086254"/>
              <w:rPr>
                <w:rFonts w:eastAsia="Times New Roman"/>
              </w:rPr>
            </w:pPr>
            <w:r>
              <w:rPr>
                <w:rFonts w:eastAsia="Times New Roman"/>
                <w:color w:val="000000"/>
                <w:sz w:val="16"/>
                <w:szCs w:val="16"/>
              </w:rPr>
              <w:t>Preferred stock (par value $0.01 per share; 50,000,000 shares authorized; 4,975,000 shares issued and outstanding as of both June 30, 2022 and December 31, 2021)</w:t>
            </w:r>
          </w:p>
        </w:tc>
        <w:tc>
          <w:tcPr>
            <w:tcW w:w="0" w:type="auto"/>
            <w:gridSpan w:val="3"/>
            <w:shd w:val="clear" w:color="auto" w:fill="CCEEFF"/>
            <w:tcMar>
              <w:top w:w="0" w:type="dxa"/>
              <w:left w:w="20" w:type="dxa"/>
              <w:bottom w:w="0" w:type="dxa"/>
              <w:right w:w="20" w:type="dxa"/>
            </w:tcMar>
            <w:vAlign w:val="center"/>
            <w:hideMark/>
          </w:tcPr>
          <w:p w14:paraId="6DB55F2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0F4D41"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0138F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7055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15A544"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14:paraId="7771F916" w14:textId="77777777" w:rsidR="00000000" w:rsidRDefault="00A173A8">
            <w:pPr>
              <w:spacing w:after="100"/>
              <w:jc w:val="right"/>
              <w:rPr>
                <w:rFonts w:eastAsia="Times New Roman"/>
              </w:rPr>
            </w:pPr>
          </w:p>
        </w:tc>
      </w:tr>
      <w:tr w:rsidR="00000000" w14:paraId="1BE40D88"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0D3AE821" w14:textId="77777777" w:rsidR="00000000" w:rsidRDefault="00A173A8">
            <w:pPr>
              <w:spacing w:after="100"/>
              <w:divId w:val="2087410470"/>
              <w:rPr>
                <w:rFonts w:eastAsia="Times New Roman"/>
              </w:rPr>
            </w:pPr>
            <w:r>
              <w:rPr>
                <w:rFonts w:eastAsia="Times New Roman"/>
                <w:color w:val="000000"/>
                <w:sz w:val="16"/>
                <w:szCs w:val="16"/>
              </w:rPr>
              <w:t>Common stock (par value $0.01 per share; 1,000,000,000 shares authorized; 6</w:t>
            </w:r>
            <w:r>
              <w:rPr>
                <w:rFonts w:eastAsia="Times New Roman"/>
                <w:color w:val="000000"/>
                <w:sz w:val="16"/>
                <w:szCs w:val="16"/>
              </w:rPr>
              <w:t>88,277,408 and 685,057,944 shares issued as of June 30, 2022 and December 31, 2021, respectively; 383,817,721 and 413,858,537 shares outstanding as of June 30, 2022 and December 31, 2021, respectively)</w:t>
            </w:r>
          </w:p>
        </w:tc>
        <w:tc>
          <w:tcPr>
            <w:tcW w:w="0" w:type="auto"/>
            <w:gridSpan w:val="3"/>
            <w:shd w:val="clear" w:color="auto" w:fill="FFFFFF"/>
            <w:tcMar>
              <w:top w:w="0" w:type="dxa"/>
              <w:left w:w="20" w:type="dxa"/>
              <w:bottom w:w="0" w:type="dxa"/>
              <w:right w:w="20" w:type="dxa"/>
            </w:tcMar>
            <w:vAlign w:val="center"/>
            <w:hideMark/>
          </w:tcPr>
          <w:p w14:paraId="27E7E034"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90F6CC" w14:textId="77777777" w:rsidR="00000000" w:rsidRDefault="00A173A8">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558A3A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B630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63258B" w14:textId="77777777" w:rsidR="00000000" w:rsidRDefault="00A173A8">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14:paraId="30A3EDBC" w14:textId="77777777" w:rsidR="00000000" w:rsidRDefault="00A173A8">
            <w:pPr>
              <w:spacing w:after="100"/>
              <w:jc w:val="right"/>
              <w:rPr>
                <w:rFonts w:eastAsia="Times New Roman"/>
              </w:rPr>
            </w:pPr>
          </w:p>
        </w:tc>
      </w:tr>
      <w:tr w:rsidR="00000000" w14:paraId="29784E57"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16E7E8C9" w14:textId="77777777" w:rsidR="00000000" w:rsidRDefault="00A173A8">
            <w:pPr>
              <w:spacing w:after="100"/>
              <w:rPr>
                <w:rFonts w:eastAsia="Times New Roman"/>
              </w:rPr>
            </w:pPr>
            <w:r>
              <w:rPr>
                <w:rFonts w:eastAsia="Times New Roman"/>
                <w:color w:val="000000"/>
                <w:sz w:val="16"/>
                <w:szCs w:val="16"/>
              </w:rPr>
              <w:t>Additional paid-in capital, net</w:t>
            </w:r>
          </w:p>
        </w:tc>
        <w:tc>
          <w:tcPr>
            <w:tcW w:w="0" w:type="auto"/>
            <w:gridSpan w:val="3"/>
            <w:shd w:val="clear" w:color="auto" w:fill="CCEEFF"/>
            <w:tcMar>
              <w:top w:w="0" w:type="dxa"/>
              <w:left w:w="20" w:type="dxa"/>
              <w:bottom w:w="0" w:type="dxa"/>
              <w:right w:w="20" w:type="dxa"/>
            </w:tcMar>
            <w:vAlign w:val="center"/>
            <w:hideMark/>
          </w:tcPr>
          <w:p w14:paraId="59DA1A5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F318C12" w14:textId="77777777" w:rsidR="00000000" w:rsidRDefault="00A173A8">
            <w:pPr>
              <w:spacing w:after="100"/>
              <w:jc w:val="right"/>
              <w:rPr>
                <w:rFonts w:eastAsia="Times New Roman"/>
              </w:rPr>
            </w:pPr>
            <w:r>
              <w:rPr>
                <w:rFonts w:eastAsia="Times New Roman"/>
                <w:b/>
                <w:bCs/>
                <w:color w:val="000000"/>
                <w:sz w:val="16"/>
                <w:szCs w:val="16"/>
              </w:rPr>
              <w:t>34,425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AD749C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757A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2B5AA5" w14:textId="77777777" w:rsidR="00000000" w:rsidRDefault="00A173A8">
            <w:pPr>
              <w:spacing w:after="100"/>
              <w:jc w:val="right"/>
              <w:rPr>
                <w:rFonts w:eastAsia="Times New Roman"/>
              </w:rPr>
            </w:pPr>
            <w:r>
              <w:rPr>
                <w:rFonts w:eastAsia="Times New Roman"/>
                <w:color w:val="000000"/>
                <w:sz w:val="16"/>
                <w:szCs w:val="16"/>
              </w:rPr>
              <w:t>34,112 </w:t>
            </w:r>
          </w:p>
        </w:tc>
        <w:tc>
          <w:tcPr>
            <w:tcW w:w="0" w:type="auto"/>
            <w:shd w:val="clear" w:color="auto" w:fill="CCEEFF"/>
            <w:tcMar>
              <w:top w:w="30" w:type="dxa"/>
              <w:left w:w="0" w:type="dxa"/>
              <w:bottom w:w="30" w:type="dxa"/>
              <w:right w:w="20" w:type="dxa"/>
            </w:tcMar>
            <w:vAlign w:val="center"/>
            <w:hideMark/>
          </w:tcPr>
          <w:p w14:paraId="68413AC4" w14:textId="77777777" w:rsidR="00000000" w:rsidRDefault="00A173A8">
            <w:pPr>
              <w:spacing w:after="100"/>
              <w:jc w:val="right"/>
              <w:rPr>
                <w:rFonts w:eastAsia="Times New Roman"/>
              </w:rPr>
            </w:pPr>
          </w:p>
        </w:tc>
      </w:tr>
      <w:tr w:rsidR="00000000" w14:paraId="7A5A913A"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076230FB" w14:textId="77777777" w:rsidR="00000000" w:rsidRDefault="00A173A8">
            <w:pPr>
              <w:spacing w:after="100"/>
              <w:rPr>
                <w:rFonts w:eastAsia="Times New Roman"/>
              </w:rPr>
            </w:pPr>
            <w:r>
              <w:rPr>
                <w:rFonts w:eastAsia="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14:paraId="5CFDCAB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F5613BD" w14:textId="77777777" w:rsidR="00000000" w:rsidRDefault="00A173A8">
            <w:pPr>
              <w:spacing w:after="100"/>
              <w:jc w:val="right"/>
              <w:rPr>
                <w:rFonts w:eastAsia="Times New Roman"/>
              </w:rPr>
            </w:pPr>
            <w:r>
              <w:rPr>
                <w:rFonts w:eastAsia="Times New Roman"/>
                <w:b/>
                <w:bCs/>
                <w:color w:val="000000"/>
                <w:sz w:val="16"/>
                <w:szCs w:val="16"/>
              </w:rPr>
              <w:t>54,836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44003E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3021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D35344" w14:textId="77777777" w:rsidR="00000000" w:rsidRDefault="00A173A8">
            <w:pPr>
              <w:spacing w:after="100"/>
              <w:jc w:val="right"/>
              <w:rPr>
                <w:rFonts w:eastAsia="Times New Roman"/>
              </w:rPr>
            </w:pPr>
            <w:r>
              <w:rPr>
                <w:rFonts w:eastAsia="Times New Roman"/>
                <w:color w:val="000000"/>
                <w:sz w:val="16"/>
                <w:szCs w:val="16"/>
              </w:rPr>
              <w:t>51,006 </w:t>
            </w:r>
          </w:p>
        </w:tc>
        <w:tc>
          <w:tcPr>
            <w:tcW w:w="0" w:type="auto"/>
            <w:shd w:val="clear" w:color="auto" w:fill="FFFFFF"/>
            <w:tcMar>
              <w:top w:w="30" w:type="dxa"/>
              <w:left w:w="0" w:type="dxa"/>
              <w:bottom w:w="30" w:type="dxa"/>
              <w:right w:w="20" w:type="dxa"/>
            </w:tcMar>
            <w:vAlign w:val="center"/>
            <w:hideMark/>
          </w:tcPr>
          <w:p w14:paraId="0F2E32AB" w14:textId="77777777" w:rsidR="00000000" w:rsidRDefault="00A173A8">
            <w:pPr>
              <w:spacing w:after="100"/>
              <w:jc w:val="right"/>
              <w:rPr>
                <w:rFonts w:eastAsia="Times New Roman"/>
              </w:rPr>
            </w:pPr>
          </w:p>
        </w:tc>
      </w:tr>
      <w:tr w:rsidR="00000000" w14:paraId="2A2FEBFE"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7F82465E" w14:textId="77777777" w:rsidR="00000000" w:rsidRDefault="00A173A8">
            <w:pPr>
              <w:spacing w:after="100"/>
              <w:rPr>
                <w:rFonts w:eastAsia="Times New Roman"/>
              </w:rPr>
            </w:pPr>
            <w:r>
              <w:rPr>
                <w:rFonts w:eastAsia="Times New Roman"/>
                <w:color w:val="000000"/>
                <w:sz w:val="16"/>
                <w:szCs w:val="16"/>
              </w:rPr>
              <w:t>Accumulated other comprehensive income (loss)</w:t>
            </w:r>
          </w:p>
        </w:tc>
        <w:tc>
          <w:tcPr>
            <w:tcW w:w="0" w:type="auto"/>
            <w:gridSpan w:val="3"/>
            <w:shd w:val="clear" w:color="auto" w:fill="CCEEFF"/>
            <w:tcMar>
              <w:top w:w="0" w:type="dxa"/>
              <w:left w:w="20" w:type="dxa"/>
              <w:bottom w:w="0" w:type="dxa"/>
              <w:right w:w="20" w:type="dxa"/>
            </w:tcMar>
            <w:vAlign w:val="center"/>
            <w:hideMark/>
          </w:tcPr>
          <w:p w14:paraId="43D27E5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D464CC9" w14:textId="77777777" w:rsidR="00000000" w:rsidRDefault="00A173A8">
            <w:pPr>
              <w:spacing w:after="100"/>
              <w:jc w:val="right"/>
              <w:rPr>
                <w:rFonts w:eastAsia="Times New Roman"/>
              </w:rPr>
            </w:pPr>
            <w:r>
              <w:rPr>
                <w:rFonts w:eastAsia="Times New Roman"/>
                <w:b/>
                <w:bCs/>
                <w:color w:val="000000"/>
                <w:sz w:val="16"/>
                <w:szCs w:val="16"/>
              </w:rPr>
              <w:t>(6,916)</w:t>
            </w:r>
          </w:p>
        </w:tc>
        <w:tc>
          <w:tcPr>
            <w:tcW w:w="0" w:type="auto"/>
            <w:shd w:val="clear" w:color="auto" w:fill="CCEEFF"/>
            <w:tcMar>
              <w:top w:w="30" w:type="dxa"/>
              <w:left w:w="0" w:type="dxa"/>
              <w:bottom w:w="30" w:type="dxa"/>
              <w:right w:w="20" w:type="dxa"/>
            </w:tcMar>
            <w:vAlign w:val="center"/>
            <w:hideMark/>
          </w:tcPr>
          <w:p w14:paraId="0CFCB22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B7B2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C15499" w14:textId="77777777" w:rsidR="00000000" w:rsidRDefault="00A173A8">
            <w:pPr>
              <w:spacing w:after="100"/>
              <w:jc w:val="right"/>
              <w:rPr>
                <w:rFonts w:eastAsia="Times New Roman"/>
              </w:rPr>
            </w:pPr>
            <w:r>
              <w:rPr>
                <w:rFonts w:eastAsia="Times New Roman"/>
                <w:color w:val="000000"/>
                <w:sz w:val="16"/>
                <w:szCs w:val="16"/>
              </w:rPr>
              <w:t>374 </w:t>
            </w:r>
          </w:p>
        </w:tc>
        <w:tc>
          <w:tcPr>
            <w:tcW w:w="0" w:type="auto"/>
            <w:shd w:val="clear" w:color="auto" w:fill="CCEEFF"/>
            <w:tcMar>
              <w:top w:w="30" w:type="dxa"/>
              <w:left w:w="0" w:type="dxa"/>
              <w:bottom w:w="30" w:type="dxa"/>
              <w:right w:w="20" w:type="dxa"/>
            </w:tcMar>
            <w:vAlign w:val="center"/>
            <w:hideMark/>
          </w:tcPr>
          <w:p w14:paraId="52D756F6" w14:textId="77777777" w:rsidR="00000000" w:rsidRDefault="00A173A8">
            <w:pPr>
              <w:spacing w:after="100"/>
              <w:jc w:val="right"/>
              <w:rPr>
                <w:rFonts w:eastAsia="Times New Roman"/>
              </w:rPr>
            </w:pPr>
          </w:p>
        </w:tc>
      </w:tr>
      <w:tr w:rsidR="00000000" w14:paraId="62E9095D"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0B7D33D6" w14:textId="77777777" w:rsidR="00000000" w:rsidRDefault="00A173A8">
            <w:pPr>
              <w:spacing w:after="100"/>
              <w:divId w:val="1869758851"/>
              <w:rPr>
                <w:rFonts w:eastAsia="Times New Roman"/>
              </w:rPr>
            </w:pPr>
            <w:r>
              <w:rPr>
                <w:rFonts w:eastAsia="Times New Roman"/>
                <w:color w:val="000000"/>
                <w:sz w:val="16"/>
                <w:szCs w:val="16"/>
              </w:rPr>
              <w:t xml:space="preserve">Treasury stock, at cost (par value $0.01 per share; 304,459,687 and </w:t>
            </w:r>
            <w:r>
              <w:rPr>
                <w:rFonts w:eastAsia="Times New Roman"/>
                <w:color w:val="000000"/>
                <w:sz w:val="16"/>
                <w:szCs w:val="16"/>
              </w:rPr>
              <w:t>271,199,407 shares as of June 30, 2022 and December 31, 2021, respectively)</w:t>
            </w:r>
          </w:p>
        </w:tc>
        <w:tc>
          <w:tcPr>
            <w:tcW w:w="0" w:type="auto"/>
            <w:gridSpan w:val="3"/>
            <w:shd w:val="clear" w:color="auto" w:fill="FFFFFF"/>
            <w:tcMar>
              <w:top w:w="0" w:type="dxa"/>
              <w:left w:w="20" w:type="dxa"/>
              <w:bottom w:w="0" w:type="dxa"/>
              <w:right w:w="20" w:type="dxa"/>
            </w:tcMar>
            <w:vAlign w:val="center"/>
            <w:hideMark/>
          </w:tcPr>
          <w:p w14:paraId="5D3A53E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B2E4B2" w14:textId="77777777" w:rsidR="00000000" w:rsidRDefault="00A173A8">
            <w:pPr>
              <w:spacing w:after="100"/>
              <w:jc w:val="right"/>
              <w:rPr>
                <w:rFonts w:eastAsia="Times New Roman"/>
              </w:rPr>
            </w:pPr>
            <w:r>
              <w:rPr>
                <w:rFonts w:eastAsia="Times New Roman"/>
                <w:b/>
                <w:bCs/>
                <w:color w:val="000000"/>
                <w:sz w:val="16"/>
                <w:szCs w:val="16"/>
              </w:rPr>
              <w:t>(28,942)</w:t>
            </w:r>
          </w:p>
        </w:tc>
        <w:tc>
          <w:tcPr>
            <w:tcW w:w="0" w:type="auto"/>
            <w:shd w:val="clear" w:color="auto" w:fill="FFFFFF"/>
            <w:tcMar>
              <w:top w:w="30" w:type="dxa"/>
              <w:left w:w="0" w:type="dxa"/>
              <w:bottom w:w="30" w:type="dxa"/>
              <w:right w:w="20" w:type="dxa"/>
            </w:tcMar>
            <w:vAlign w:val="bottom"/>
            <w:hideMark/>
          </w:tcPr>
          <w:p w14:paraId="66FC579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8BD9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DB76C" w14:textId="77777777" w:rsidR="00000000" w:rsidRDefault="00A173A8">
            <w:pPr>
              <w:spacing w:after="100"/>
              <w:jc w:val="right"/>
              <w:rPr>
                <w:rFonts w:eastAsia="Times New Roman"/>
              </w:rPr>
            </w:pPr>
            <w:r>
              <w:rPr>
                <w:rFonts w:eastAsia="Times New Roman"/>
                <w:color w:val="000000"/>
                <w:sz w:val="16"/>
                <w:szCs w:val="16"/>
              </w:rPr>
              <w:t>(24,470)</w:t>
            </w:r>
          </w:p>
        </w:tc>
        <w:tc>
          <w:tcPr>
            <w:tcW w:w="0" w:type="auto"/>
            <w:shd w:val="clear" w:color="auto" w:fill="FFFFFF"/>
            <w:tcMar>
              <w:top w:w="30" w:type="dxa"/>
              <w:left w:w="0" w:type="dxa"/>
              <w:bottom w:w="30" w:type="dxa"/>
              <w:right w:w="20" w:type="dxa"/>
            </w:tcMar>
            <w:vAlign w:val="bottom"/>
            <w:hideMark/>
          </w:tcPr>
          <w:p w14:paraId="2382905D" w14:textId="77777777" w:rsidR="00000000" w:rsidRDefault="00A173A8">
            <w:pPr>
              <w:spacing w:after="100"/>
              <w:jc w:val="right"/>
              <w:rPr>
                <w:rFonts w:eastAsia="Times New Roman"/>
              </w:rPr>
            </w:pPr>
          </w:p>
        </w:tc>
      </w:tr>
      <w:tr w:rsidR="00000000" w14:paraId="722417EB" w14:textId="77777777">
        <w:trPr>
          <w:divId w:val="719326495"/>
          <w:jc w:val="center"/>
        </w:trPr>
        <w:tc>
          <w:tcPr>
            <w:tcW w:w="0" w:type="auto"/>
            <w:gridSpan w:val="3"/>
            <w:shd w:val="clear" w:color="auto" w:fill="CCEEFF"/>
            <w:tcMar>
              <w:top w:w="30" w:type="dxa"/>
              <w:left w:w="20" w:type="dxa"/>
              <w:bottom w:w="30" w:type="dxa"/>
              <w:right w:w="20" w:type="dxa"/>
            </w:tcMar>
            <w:vAlign w:val="center"/>
            <w:hideMark/>
          </w:tcPr>
          <w:p w14:paraId="21191CDD" w14:textId="77777777" w:rsidR="00000000" w:rsidRDefault="00A173A8">
            <w:pPr>
              <w:spacing w:after="100"/>
              <w:rPr>
                <w:rFonts w:eastAsia="Times New Roman"/>
              </w:rPr>
            </w:pPr>
            <w:r>
              <w:rPr>
                <w:rFonts w:eastAsia="Times New Roman"/>
                <w:b/>
                <w:bCs/>
                <w:color w:val="000000"/>
                <w:sz w:val="16"/>
                <w:szCs w:val="16"/>
              </w:rPr>
              <w:t>Total stockholders’ equity</w:t>
            </w:r>
          </w:p>
        </w:tc>
        <w:tc>
          <w:tcPr>
            <w:tcW w:w="0" w:type="auto"/>
            <w:gridSpan w:val="3"/>
            <w:shd w:val="clear" w:color="auto" w:fill="CCEEFF"/>
            <w:tcMar>
              <w:top w:w="0" w:type="dxa"/>
              <w:left w:w="20" w:type="dxa"/>
              <w:bottom w:w="0" w:type="dxa"/>
              <w:right w:w="20" w:type="dxa"/>
            </w:tcMar>
            <w:vAlign w:val="center"/>
            <w:hideMark/>
          </w:tcPr>
          <w:p w14:paraId="5B750939"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EFBFBA" w14:textId="77777777" w:rsidR="00000000" w:rsidRDefault="00A173A8">
            <w:pPr>
              <w:spacing w:after="100"/>
              <w:jc w:val="right"/>
              <w:rPr>
                <w:rFonts w:eastAsia="Times New Roman"/>
              </w:rPr>
            </w:pPr>
            <w:r>
              <w:rPr>
                <w:rFonts w:eastAsia="Times New Roman"/>
                <w:b/>
                <w:bCs/>
                <w:color w:val="000000"/>
                <w:sz w:val="16"/>
                <w:szCs w:val="16"/>
              </w:rPr>
              <w:t>53,410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9B0B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B776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4F1A75B" w14:textId="77777777" w:rsidR="00000000" w:rsidRDefault="00A173A8">
            <w:pPr>
              <w:spacing w:after="100"/>
              <w:jc w:val="right"/>
              <w:rPr>
                <w:rFonts w:eastAsia="Times New Roman"/>
              </w:rPr>
            </w:pPr>
            <w:r>
              <w:rPr>
                <w:rFonts w:eastAsia="Times New Roman"/>
                <w:color w:val="000000"/>
                <w:sz w:val="16"/>
                <w:szCs w:val="16"/>
              </w:rPr>
              <w:t>61,029 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AE1338" w14:textId="77777777" w:rsidR="00000000" w:rsidRDefault="00A173A8">
            <w:pPr>
              <w:spacing w:after="100"/>
              <w:jc w:val="right"/>
              <w:rPr>
                <w:rFonts w:eastAsia="Times New Roman"/>
              </w:rPr>
            </w:pPr>
          </w:p>
        </w:tc>
      </w:tr>
      <w:tr w:rsidR="00000000" w14:paraId="729630BF" w14:textId="77777777">
        <w:trPr>
          <w:divId w:val="719326495"/>
          <w:jc w:val="center"/>
        </w:trPr>
        <w:tc>
          <w:tcPr>
            <w:tcW w:w="0" w:type="auto"/>
            <w:gridSpan w:val="3"/>
            <w:shd w:val="clear" w:color="auto" w:fill="FFFFFF"/>
            <w:tcMar>
              <w:top w:w="30" w:type="dxa"/>
              <w:left w:w="20" w:type="dxa"/>
              <w:bottom w:w="30" w:type="dxa"/>
              <w:right w:w="20" w:type="dxa"/>
            </w:tcMar>
            <w:vAlign w:val="center"/>
            <w:hideMark/>
          </w:tcPr>
          <w:p w14:paraId="6DB684A2" w14:textId="77777777" w:rsidR="00000000" w:rsidRDefault="00A173A8">
            <w:pPr>
              <w:spacing w:after="100"/>
              <w:rPr>
                <w:rFonts w:eastAsia="Times New Roman"/>
              </w:rPr>
            </w:pPr>
            <w:r>
              <w:rPr>
                <w:rFonts w:eastAsia="Times New Roman"/>
                <w:b/>
                <w:bCs/>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14:paraId="0E0B3B35"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FEB1993"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940F484" w14:textId="77777777" w:rsidR="00000000" w:rsidRDefault="00A173A8">
            <w:pPr>
              <w:spacing w:after="100"/>
              <w:jc w:val="right"/>
              <w:rPr>
                <w:rFonts w:eastAsia="Times New Roman"/>
              </w:rPr>
            </w:pPr>
            <w:r>
              <w:rPr>
                <w:rFonts w:eastAsia="Times New Roman"/>
                <w:b/>
                <w:bCs/>
                <w:color w:val="000000"/>
                <w:sz w:val="16"/>
                <w:szCs w:val="16"/>
              </w:rPr>
              <w:t>440,288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BF15D2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0261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6114625"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FBCEFD4" w14:textId="77777777" w:rsidR="00000000" w:rsidRDefault="00A173A8">
            <w:pPr>
              <w:spacing w:after="100"/>
              <w:jc w:val="right"/>
              <w:rPr>
                <w:rFonts w:eastAsia="Times New Roman"/>
              </w:rPr>
            </w:pPr>
            <w:r>
              <w:rPr>
                <w:rFonts w:eastAsia="Times New Roman"/>
                <w:color w:val="000000"/>
                <w:sz w:val="16"/>
                <w:szCs w:val="16"/>
              </w:rPr>
              <w:t>432,381 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E49718E" w14:textId="77777777" w:rsidR="00000000" w:rsidRDefault="00A173A8">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D9A79AF" w14:textId="77777777">
        <w:trPr>
          <w:jc w:val="center"/>
        </w:trPr>
        <w:tc>
          <w:tcPr>
            <w:tcW w:w="50" w:type="pct"/>
            <w:vAlign w:val="center"/>
            <w:hideMark/>
          </w:tcPr>
          <w:p w14:paraId="06D8F944" w14:textId="77777777" w:rsidR="00000000" w:rsidRDefault="00A173A8">
            <w:pPr>
              <w:jc w:val="center"/>
              <w:rPr>
                <w:rFonts w:eastAsia="Times New Roman"/>
              </w:rPr>
            </w:pPr>
          </w:p>
        </w:tc>
        <w:tc>
          <w:tcPr>
            <w:tcW w:w="1606" w:type="pct"/>
            <w:vAlign w:val="center"/>
            <w:hideMark/>
          </w:tcPr>
          <w:p w14:paraId="4CDF4C24" w14:textId="77777777" w:rsidR="00000000" w:rsidRDefault="00A173A8">
            <w:pPr>
              <w:spacing w:after="100"/>
              <w:rPr>
                <w:rFonts w:eastAsia="Times New Roman"/>
                <w:sz w:val="20"/>
                <w:szCs w:val="20"/>
              </w:rPr>
            </w:pPr>
          </w:p>
        </w:tc>
        <w:tc>
          <w:tcPr>
            <w:tcW w:w="5" w:type="pct"/>
            <w:vAlign w:val="center"/>
            <w:hideMark/>
          </w:tcPr>
          <w:p w14:paraId="2D78E1E3" w14:textId="77777777" w:rsidR="00000000" w:rsidRDefault="00A173A8">
            <w:pPr>
              <w:spacing w:after="100"/>
              <w:rPr>
                <w:rFonts w:eastAsia="Times New Roman"/>
                <w:sz w:val="20"/>
                <w:szCs w:val="20"/>
              </w:rPr>
            </w:pPr>
          </w:p>
        </w:tc>
        <w:tc>
          <w:tcPr>
            <w:tcW w:w="50" w:type="pct"/>
            <w:vAlign w:val="center"/>
            <w:hideMark/>
          </w:tcPr>
          <w:p w14:paraId="117E8F05" w14:textId="77777777" w:rsidR="00000000" w:rsidRDefault="00A173A8">
            <w:pPr>
              <w:spacing w:after="100"/>
              <w:rPr>
                <w:rFonts w:eastAsia="Times New Roman"/>
                <w:sz w:val="20"/>
                <w:szCs w:val="20"/>
              </w:rPr>
            </w:pPr>
          </w:p>
        </w:tc>
        <w:tc>
          <w:tcPr>
            <w:tcW w:w="1614" w:type="pct"/>
            <w:vAlign w:val="center"/>
            <w:hideMark/>
          </w:tcPr>
          <w:p w14:paraId="3F416638" w14:textId="77777777" w:rsidR="00000000" w:rsidRDefault="00A173A8">
            <w:pPr>
              <w:spacing w:after="100"/>
              <w:rPr>
                <w:rFonts w:eastAsia="Times New Roman"/>
                <w:sz w:val="20"/>
                <w:szCs w:val="20"/>
              </w:rPr>
            </w:pPr>
          </w:p>
        </w:tc>
        <w:tc>
          <w:tcPr>
            <w:tcW w:w="5" w:type="pct"/>
            <w:vAlign w:val="center"/>
            <w:hideMark/>
          </w:tcPr>
          <w:p w14:paraId="4AFB3D0C" w14:textId="77777777" w:rsidR="00000000" w:rsidRDefault="00A173A8">
            <w:pPr>
              <w:spacing w:after="100"/>
              <w:rPr>
                <w:rFonts w:eastAsia="Times New Roman"/>
                <w:sz w:val="20"/>
                <w:szCs w:val="20"/>
              </w:rPr>
            </w:pPr>
          </w:p>
        </w:tc>
        <w:tc>
          <w:tcPr>
            <w:tcW w:w="50" w:type="pct"/>
            <w:vAlign w:val="center"/>
            <w:hideMark/>
          </w:tcPr>
          <w:p w14:paraId="2361D2DF" w14:textId="77777777" w:rsidR="00000000" w:rsidRDefault="00A173A8">
            <w:pPr>
              <w:spacing w:after="100"/>
              <w:rPr>
                <w:rFonts w:eastAsia="Times New Roman"/>
                <w:sz w:val="20"/>
                <w:szCs w:val="20"/>
              </w:rPr>
            </w:pPr>
          </w:p>
        </w:tc>
        <w:tc>
          <w:tcPr>
            <w:tcW w:w="1614" w:type="pct"/>
            <w:vAlign w:val="center"/>
            <w:hideMark/>
          </w:tcPr>
          <w:p w14:paraId="7AE382DC" w14:textId="77777777" w:rsidR="00000000" w:rsidRDefault="00A173A8">
            <w:pPr>
              <w:spacing w:after="100"/>
              <w:rPr>
                <w:rFonts w:eastAsia="Times New Roman"/>
                <w:sz w:val="20"/>
                <w:szCs w:val="20"/>
              </w:rPr>
            </w:pPr>
          </w:p>
        </w:tc>
        <w:tc>
          <w:tcPr>
            <w:tcW w:w="5" w:type="pct"/>
            <w:vAlign w:val="center"/>
            <w:hideMark/>
          </w:tcPr>
          <w:p w14:paraId="05202790" w14:textId="77777777" w:rsidR="00000000" w:rsidRDefault="00A173A8">
            <w:pPr>
              <w:spacing w:after="100"/>
              <w:rPr>
                <w:rFonts w:eastAsia="Times New Roman"/>
                <w:sz w:val="20"/>
                <w:szCs w:val="20"/>
              </w:rPr>
            </w:pPr>
          </w:p>
        </w:tc>
      </w:tr>
      <w:tr w:rsidR="00000000" w14:paraId="72DBDD6A" w14:textId="77777777">
        <w:trPr>
          <w:jc w:val="center"/>
        </w:trPr>
        <w:tc>
          <w:tcPr>
            <w:tcW w:w="0" w:type="auto"/>
            <w:gridSpan w:val="9"/>
            <w:tcMar>
              <w:top w:w="30" w:type="dxa"/>
              <w:left w:w="20" w:type="dxa"/>
              <w:bottom w:w="30" w:type="dxa"/>
              <w:right w:w="20" w:type="dxa"/>
            </w:tcMar>
            <w:vAlign w:val="bottom"/>
            <w:hideMark/>
          </w:tcPr>
          <w:p w14:paraId="6A3AF528" w14:textId="77777777" w:rsidR="00000000" w:rsidRDefault="00A173A8">
            <w:pPr>
              <w:spacing w:after="100"/>
              <w:jc w:val="center"/>
              <w:rPr>
                <w:rFonts w:eastAsia="Times New Roman"/>
              </w:rPr>
            </w:pPr>
            <w:r>
              <w:rPr>
                <w:rFonts w:eastAsia="Times New Roman"/>
                <w:color w:val="000000"/>
                <w:sz w:val="20"/>
                <w:szCs w:val="20"/>
              </w:rPr>
              <w:t>See Notes to Consolidated Financial Statements.</w:t>
            </w:r>
          </w:p>
        </w:tc>
      </w:tr>
      <w:tr w:rsidR="00000000" w14:paraId="03964C0F" w14:textId="77777777">
        <w:trPr>
          <w:jc w:val="center"/>
        </w:trPr>
        <w:tc>
          <w:tcPr>
            <w:tcW w:w="0" w:type="auto"/>
            <w:gridSpan w:val="3"/>
            <w:tcMar>
              <w:top w:w="0" w:type="dxa"/>
              <w:left w:w="20" w:type="dxa"/>
              <w:bottom w:w="0" w:type="dxa"/>
              <w:right w:w="20" w:type="dxa"/>
            </w:tcMar>
            <w:vAlign w:val="center"/>
            <w:hideMark/>
          </w:tcPr>
          <w:p w14:paraId="77CA1C32"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A8B190" w14:textId="77777777" w:rsidR="00000000" w:rsidRDefault="00A173A8">
            <w:pPr>
              <w:spacing w:after="100"/>
              <w:jc w:val="center"/>
              <w:rPr>
                <w:rFonts w:eastAsia="Times New Roman"/>
              </w:rPr>
            </w:pPr>
            <w:r>
              <w:rPr>
                <w:rFonts w:eastAsia="Times New Roman"/>
                <w:color w:val="000000"/>
                <w:sz w:val="16"/>
                <w:szCs w:val="16"/>
              </w:rPr>
              <w:t>67</w:t>
            </w:r>
          </w:p>
        </w:tc>
        <w:tc>
          <w:tcPr>
            <w:tcW w:w="0" w:type="auto"/>
            <w:gridSpan w:val="3"/>
            <w:tcMar>
              <w:top w:w="30" w:type="dxa"/>
              <w:left w:w="20" w:type="dxa"/>
              <w:bottom w:w="30" w:type="dxa"/>
              <w:right w:w="20" w:type="dxa"/>
            </w:tcMar>
            <w:vAlign w:val="bottom"/>
            <w:hideMark/>
          </w:tcPr>
          <w:p w14:paraId="25B09D7B"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7F07CCB" w14:textId="77777777" w:rsidR="00000000" w:rsidRDefault="00A173A8">
      <w:pPr>
        <w:rPr>
          <w:rFonts w:eastAsia="Times New Roman"/>
        </w:rPr>
      </w:pPr>
      <w:r>
        <w:rPr>
          <w:rFonts w:eastAsia="Times New Roman"/>
        </w:rPr>
        <w:pict w14:anchorId="305CA0AF">
          <v:rect id="_x0000_i1092" style="width:0;height:1.5pt" o:hralign="center" o:hrstd="t" o:hr="t" fillcolor="#a0a0a0" stroked="f"/>
        </w:pict>
      </w:r>
    </w:p>
    <w:p w14:paraId="1FF04B12" w14:textId="77777777" w:rsidR="00000000" w:rsidRDefault="00A173A8">
      <w:pPr>
        <w:jc w:val="both"/>
        <w:divId w:val="1004090972"/>
        <w:rPr>
          <w:rFonts w:eastAsia="Times New Roman"/>
        </w:rPr>
      </w:pPr>
      <w:hyperlink w:anchor="i7ffd5d61af6f4722b1b1b07530d51c06_13" w:history="1">
        <w:r>
          <w:rPr>
            <w:rStyle w:val="a3"/>
            <w:rFonts w:eastAsia="Times New Roman"/>
            <w:sz w:val="16"/>
            <w:szCs w:val="16"/>
          </w:rPr>
          <w:t>Table of Contents</w:t>
        </w:r>
      </w:hyperlink>
    </w:p>
    <w:p w14:paraId="607CA46A" w14:textId="77777777" w:rsidR="00000000" w:rsidRDefault="00A173A8">
      <w:pPr>
        <w:jc w:val="center"/>
        <w:divId w:val="1004090972"/>
        <w:rPr>
          <w:rFonts w:eastAsia="Times New Roman"/>
        </w:rPr>
      </w:pPr>
    </w:p>
    <w:p w14:paraId="28BC5D29" w14:textId="77777777" w:rsidR="00000000" w:rsidRDefault="00A173A8">
      <w:pPr>
        <w:jc w:val="center"/>
        <w:divId w:val="1004090972"/>
        <w:rPr>
          <w:rFonts w:eastAsia="Times New Roman"/>
        </w:rPr>
      </w:pPr>
      <w:r>
        <w:rPr>
          <w:rFonts w:eastAsia="Times New Roman"/>
          <w:b/>
          <w:bCs/>
          <w:color w:val="000000"/>
          <w:sz w:val="20"/>
          <w:szCs w:val="20"/>
        </w:rPr>
        <w:t>CAPITAL ONE FINANCIAL CORPORATION</w:t>
      </w:r>
    </w:p>
    <w:p w14:paraId="5D4EC1E3" w14:textId="77777777" w:rsidR="00000000" w:rsidRDefault="00A173A8">
      <w:pPr>
        <w:jc w:val="center"/>
        <w:divId w:val="1004090972"/>
        <w:rPr>
          <w:rFonts w:eastAsia="Times New Roman"/>
        </w:rPr>
      </w:pPr>
      <w:r>
        <w:rPr>
          <w:rFonts w:eastAsia="Times New Roman"/>
          <w:b/>
          <w:bCs/>
          <w:color w:val="000000"/>
          <w:sz w:val="20"/>
          <w:szCs w:val="20"/>
        </w:rPr>
        <w:t>CONSOLIDATED STATEMENTS OF CHANGES IN STOCKHOLDERS’ EQUITY (UNAUDITED)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1135"/>
        <w:gridCol w:w="36"/>
        <w:gridCol w:w="36"/>
        <w:gridCol w:w="36"/>
        <w:gridCol w:w="36"/>
        <w:gridCol w:w="89"/>
        <w:gridCol w:w="611"/>
        <w:gridCol w:w="38"/>
        <w:gridCol w:w="36"/>
        <w:gridCol w:w="36"/>
        <w:gridCol w:w="36"/>
        <w:gridCol w:w="101"/>
        <w:gridCol w:w="431"/>
        <w:gridCol w:w="36"/>
        <w:gridCol w:w="36"/>
        <w:gridCol w:w="36"/>
        <w:gridCol w:w="36"/>
        <w:gridCol w:w="95"/>
        <w:gridCol w:w="765"/>
        <w:gridCol w:w="39"/>
        <w:gridCol w:w="37"/>
        <w:gridCol w:w="36"/>
        <w:gridCol w:w="36"/>
        <w:gridCol w:w="101"/>
        <w:gridCol w:w="434"/>
        <w:gridCol w:w="36"/>
        <w:gridCol w:w="36"/>
        <w:gridCol w:w="36"/>
        <w:gridCol w:w="36"/>
        <w:gridCol w:w="101"/>
        <w:gridCol w:w="577"/>
        <w:gridCol w:w="36"/>
        <w:gridCol w:w="36"/>
        <w:gridCol w:w="36"/>
        <w:gridCol w:w="36"/>
        <w:gridCol w:w="100"/>
        <w:gridCol w:w="480"/>
        <w:gridCol w:w="36"/>
        <w:gridCol w:w="36"/>
        <w:gridCol w:w="36"/>
        <w:gridCol w:w="36"/>
        <w:gridCol w:w="101"/>
        <w:gridCol w:w="871"/>
        <w:gridCol w:w="36"/>
        <w:gridCol w:w="36"/>
        <w:gridCol w:w="36"/>
        <w:gridCol w:w="36"/>
        <w:gridCol w:w="100"/>
        <w:gridCol w:w="547"/>
        <w:gridCol w:w="36"/>
        <w:gridCol w:w="36"/>
        <w:gridCol w:w="36"/>
        <w:gridCol w:w="36"/>
        <w:gridCol w:w="101"/>
        <w:gridCol w:w="763"/>
        <w:gridCol w:w="36"/>
      </w:tblGrid>
      <w:tr w:rsidR="00000000" w14:paraId="1562AF98" w14:textId="77777777">
        <w:trPr>
          <w:divId w:val="488981052"/>
        </w:trPr>
        <w:tc>
          <w:tcPr>
            <w:tcW w:w="50" w:type="pct"/>
            <w:vAlign w:val="center"/>
            <w:hideMark/>
          </w:tcPr>
          <w:p w14:paraId="3171130F" w14:textId="77777777" w:rsidR="00000000" w:rsidRDefault="00A173A8">
            <w:pPr>
              <w:jc w:val="center"/>
              <w:rPr>
                <w:rFonts w:eastAsia="Times New Roman"/>
              </w:rPr>
            </w:pPr>
          </w:p>
        </w:tc>
        <w:tc>
          <w:tcPr>
            <w:tcW w:w="1092" w:type="pct"/>
            <w:vAlign w:val="center"/>
            <w:hideMark/>
          </w:tcPr>
          <w:p w14:paraId="59F4E803" w14:textId="77777777" w:rsidR="00000000" w:rsidRDefault="00A173A8">
            <w:pPr>
              <w:spacing w:after="100"/>
              <w:rPr>
                <w:rFonts w:eastAsia="Times New Roman"/>
                <w:sz w:val="20"/>
                <w:szCs w:val="20"/>
              </w:rPr>
            </w:pPr>
          </w:p>
        </w:tc>
        <w:tc>
          <w:tcPr>
            <w:tcW w:w="5" w:type="pct"/>
            <w:vAlign w:val="center"/>
            <w:hideMark/>
          </w:tcPr>
          <w:p w14:paraId="23759275" w14:textId="77777777" w:rsidR="00000000" w:rsidRDefault="00A173A8">
            <w:pPr>
              <w:spacing w:after="100"/>
              <w:rPr>
                <w:rFonts w:eastAsia="Times New Roman"/>
                <w:sz w:val="20"/>
                <w:szCs w:val="20"/>
              </w:rPr>
            </w:pPr>
          </w:p>
        </w:tc>
        <w:tc>
          <w:tcPr>
            <w:tcW w:w="5" w:type="pct"/>
            <w:vAlign w:val="center"/>
            <w:hideMark/>
          </w:tcPr>
          <w:p w14:paraId="70806466" w14:textId="77777777" w:rsidR="00000000" w:rsidRDefault="00A173A8">
            <w:pPr>
              <w:spacing w:after="100"/>
              <w:rPr>
                <w:rFonts w:eastAsia="Times New Roman"/>
                <w:sz w:val="20"/>
                <w:szCs w:val="20"/>
              </w:rPr>
            </w:pPr>
          </w:p>
        </w:tc>
        <w:tc>
          <w:tcPr>
            <w:tcW w:w="26" w:type="pct"/>
            <w:vAlign w:val="center"/>
            <w:hideMark/>
          </w:tcPr>
          <w:p w14:paraId="08988B5A" w14:textId="77777777" w:rsidR="00000000" w:rsidRDefault="00A173A8">
            <w:pPr>
              <w:spacing w:after="100"/>
              <w:rPr>
                <w:rFonts w:eastAsia="Times New Roman"/>
                <w:sz w:val="20"/>
                <w:szCs w:val="20"/>
              </w:rPr>
            </w:pPr>
          </w:p>
        </w:tc>
        <w:tc>
          <w:tcPr>
            <w:tcW w:w="5" w:type="pct"/>
            <w:vAlign w:val="center"/>
            <w:hideMark/>
          </w:tcPr>
          <w:p w14:paraId="5F26BD8E" w14:textId="77777777" w:rsidR="00000000" w:rsidRDefault="00A173A8">
            <w:pPr>
              <w:spacing w:after="100"/>
              <w:rPr>
                <w:rFonts w:eastAsia="Times New Roman"/>
                <w:sz w:val="20"/>
                <w:szCs w:val="20"/>
              </w:rPr>
            </w:pPr>
          </w:p>
        </w:tc>
        <w:tc>
          <w:tcPr>
            <w:tcW w:w="50" w:type="pct"/>
            <w:vAlign w:val="center"/>
            <w:hideMark/>
          </w:tcPr>
          <w:p w14:paraId="6C42E3D3" w14:textId="77777777" w:rsidR="00000000" w:rsidRDefault="00A173A8">
            <w:pPr>
              <w:spacing w:after="100"/>
              <w:rPr>
                <w:rFonts w:eastAsia="Times New Roman"/>
                <w:sz w:val="20"/>
                <w:szCs w:val="20"/>
              </w:rPr>
            </w:pPr>
          </w:p>
        </w:tc>
        <w:tc>
          <w:tcPr>
            <w:tcW w:w="347" w:type="pct"/>
            <w:vAlign w:val="center"/>
            <w:hideMark/>
          </w:tcPr>
          <w:p w14:paraId="5D2AFD6D" w14:textId="77777777" w:rsidR="00000000" w:rsidRDefault="00A173A8">
            <w:pPr>
              <w:spacing w:after="100"/>
              <w:rPr>
                <w:rFonts w:eastAsia="Times New Roman"/>
                <w:sz w:val="20"/>
                <w:szCs w:val="20"/>
              </w:rPr>
            </w:pPr>
          </w:p>
        </w:tc>
        <w:tc>
          <w:tcPr>
            <w:tcW w:w="5" w:type="pct"/>
            <w:vAlign w:val="center"/>
            <w:hideMark/>
          </w:tcPr>
          <w:p w14:paraId="55492E77" w14:textId="77777777" w:rsidR="00000000" w:rsidRDefault="00A173A8">
            <w:pPr>
              <w:spacing w:after="100"/>
              <w:rPr>
                <w:rFonts w:eastAsia="Times New Roman"/>
                <w:sz w:val="20"/>
                <w:szCs w:val="20"/>
              </w:rPr>
            </w:pPr>
          </w:p>
        </w:tc>
        <w:tc>
          <w:tcPr>
            <w:tcW w:w="5" w:type="pct"/>
            <w:vAlign w:val="center"/>
            <w:hideMark/>
          </w:tcPr>
          <w:p w14:paraId="73886C56" w14:textId="77777777" w:rsidR="00000000" w:rsidRDefault="00A173A8">
            <w:pPr>
              <w:spacing w:after="100"/>
              <w:rPr>
                <w:rFonts w:eastAsia="Times New Roman"/>
                <w:sz w:val="20"/>
                <w:szCs w:val="20"/>
              </w:rPr>
            </w:pPr>
          </w:p>
        </w:tc>
        <w:tc>
          <w:tcPr>
            <w:tcW w:w="26" w:type="pct"/>
            <w:vAlign w:val="center"/>
            <w:hideMark/>
          </w:tcPr>
          <w:p w14:paraId="53B108AA" w14:textId="77777777" w:rsidR="00000000" w:rsidRDefault="00A173A8">
            <w:pPr>
              <w:spacing w:after="100"/>
              <w:rPr>
                <w:rFonts w:eastAsia="Times New Roman"/>
                <w:sz w:val="20"/>
                <w:szCs w:val="20"/>
              </w:rPr>
            </w:pPr>
          </w:p>
        </w:tc>
        <w:tc>
          <w:tcPr>
            <w:tcW w:w="5" w:type="pct"/>
            <w:vAlign w:val="center"/>
            <w:hideMark/>
          </w:tcPr>
          <w:p w14:paraId="49A6517A" w14:textId="77777777" w:rsidR="00000000" w:rsidRDefault="00A173A8">
            <w:pPr>
              <w:spacing w:after="100"/>
              <w:rPr>
                <w:rFonts w:eastAsia="Times New Roman"/>
                <w:sz w:val="20"/>
                <w:szCs w:val="20"/>
              </w:rPr>
            </w:pPr>
          </w:p>
        </w:tc>
        <w:tc>
          <w:tcPr>
            <w:tcW w:w="50" w:type="pct"/>
            <w:vAlign w:val="center"/>
            <w:hideMark/>
          </w:tcPr>
          <w:p w14:paraId="0C90887F" w14:textId="77777777" w:rsidR="00000000" w:rsidRDefault="00A173A8">
            <w:pPr>
              <w:spacing w:after="100"/>
              <w:rPr>
                <w:rFonts w:eastAsia="Times New Roman"/>
                <w:sz w:val="20"/>
                <w:szCs w:val="20"/>
              </w:rPr>
            </w:pPr>
          </w:p>
        </w:tc>
        <w:tc>
          <w:tcPr>
            <w:tcW w:w="237" w:type="pct"/>
            <w:vAlign w:val="center"/>
            <w:hideMark/>
          </w:tcPr>
          <w:p w14:paraId="1FD11514" w14:textId="77777777" w:rsidR="00000000" w:rsidRDefault="00A173A8">
            <w:pPr>
              <w:spacing w:after="100"/>
              <w:rPr>
                <w:rFonts w:eastAsia="Times New Roman"/>
                <w:sz w:val="20"/>
                <w:szCs w:val="20"/>
              </w:rPr>
            </w:pPr>
          </w:p>
        </w:tc>
        <w:tc>
          <w:tcPr>
            <w:tcW w:w="5" w:type="pct"/>
            <w:vAlign w:val="center"/>
            <w:hideMark/>
          </w:tcPr>
          <w:p w14:paraId="332268CC" w14:textId="77777777" w:rsidR="00000000" w:rsidRDefault="00A173A8">
            <w:pPr>
              <w:spacing w:after="100"/>
              <w:rPr>
                <w:rFonts w:eastAsia="Times New Roman"/>
                <w:sz w:val="20"/>
                <w:szCs w:val="20"/>
              </w:rPr>
            </w:pPr>
          </w:p>
        </w:tc>
        <w:tc>
          <w:tcPr>
            <w:tcW w:w="5" w:type="pct"/>
            <w:vAlign w:val="center"/>
            <w:hideMark/>
          </w:tcPr>
          <w:p w14:paraId="4A1B2D5B" w14:textId="77777777" w:rsidR="00000000" w:rsidRDefault="00A173A8">
            <w:pPr>
              <w:spacing w:after="100"/>
              <w:rPr>
                <w:rFonts w:eastAsia="Times New Roman"/>
                <w:sz w:val="20"/>
                <w:szCs w:val="20"/>
              </w:rPr>
            </w:pPr>
          </w:p>
        </w:tc>
        <w:tc>
          <w:tcPr>
            <w:tcW w:w="26" w:type="pct"/>
            <w:vAlign w:val="center"/>
            <w:hideMark/>
          </w:tcPr>
          <w:p w14:paraId="0FA7CE55" w14:textId="77777777" w:rsidR="00000000" w:rsidRDefault="00A173A8">
            <w:pPr>
              <w:spacing w:after="100"/>
              <w:rPr>
                <w:rFonts w:eastAsia="Times New Roman"/>
                <w:sz w:val="20"/>
                <w:szCs w:val="20"/>
              </w:rPr>
            </w:pPr>
          </w:p>
        </w:tc>
        <w:tc>
          <w:tcPr>
            <w:tcW w:w="5" w:type="pct"/>
            <w:vAlign w:val="center"/>
            <w:hideMark/>
          </w:tcPr>
          <w:p w14:paraId="33A3574A" w14:textId="77777777" w:rsidR="00000000" w:rsidRDefault="00A173A8">
            <w:pPr>
              <w:spacing w:after="100"/>
              <w:rPr>
                <w:rFonts w:eastAsia="Times New Roman"/>
                <w:sz w:val="20"/>
                <w:szCs w:val="20"/>
              </w:rPr>
            </w:pPr>
          </w:p>
        </w:tc>
        <w:tc>
          <w:tcPr>
            <w:tcW w:w="50" w:type="pct"/>
            <w:vAlign w:val="center"/>
            <w:hideMark/>
          </w:tcPr>
          <w:p w14:paraId="1C588581" w14:textId="77777777" w:rsidR="00000000" w:rsidRDefault="00A173A8">
            <w:pPr>
              <w:spacing w:after="100"/>
              <w:rPr>
                <w:rFonts w:eastAsia="Times New Roman"/>
                <w:sz w:val="20"/>
                <w:szCs w:val="20"/>
              </w:rPr>
            </w:pPr>
          </w:p>
        </w:tc>
        <w:tc>
          <w:tcPr>
            <w:tcW w:w="405" w:type="pct"/>
            <w:vAlign w:val="center"/>
            <w:hideMark/>
          </w:tcPr>
          <w:p w14:paraId="0B06749E" w14:textId="77777777" w:rsidR="00000000" w:rsidRDefault="00A173A8">
            <w:pPr>
              <w:spacing w:after="100"/>
              <w:rPr>
                <w:rFonts w:eastAsia="Times New Roman"/>
                <w:sz w:val="20"/>
                <w:szCs w:val="20"/>
              </w:rPr>
            </w:pPr>
          </w:p>
        </w:tc>
        <w:tc>
          <w:tcPr>
            <w:tcW w:w="5" w:type="pct"/>
            <w:vAlign w:val="center"/>
            <w:hideMark/>
          </w:tcPr>
          <w:p w14:paraId="11B48135" w14:textId="77777777" w:rsidR="00000000" w:rsidRDefault="00A173A8">
            <w:pPr>
              <w:spacing w:after="100"/>
              <w:rPr>
                <w:rFonts w:eastAsia="Times New Roman"/>
                <w:sz w:val="20"/>
                <w:szCs w:val="20"/>
              </w:rPr>
            </w:pPr>
          </w:p>
        </w:tc>
        <w:tc>
          <w:tcPr>
            <w:tcW w:w="5" w:type="pct"/>
            <w:vAlign w:val="center"/>
            <w:hideMark/>
          </w:tcPr>
          <w:p w14:paraId="54CD7D62" w14:textId="77777777" w:rsidR="00000000" w:rsidRDefault="00A173A8">
            <w:pPr>
              <w:spacing w:after="100"/>
              <w:rPr>
                <w:rFonts w:eastAsia="Times New Roman"/>
                <w:sz w:val="20"/>
                <w:szCs w:val="20"/>
              </w:rPr>
            </w:pPr>
          </w:p>
        </w:tc>
        <w:tc>
          <w:tcPr>
            <w:tcW w:w="26" w:type="pct"/>
            <w:vAlign w:val="center"/>
            <w:hideMark/>
          </w:tcPr>
          <w:p w14:paraId="6A4FFC1B" w14:textId="77777777" w:rsidR="00000000" w:rsidRDefault="00A173A8">
            <w:pPr>
              <w:spacing w:after="100"/>
              <w:rPr>
                <w:rFonts w:eastAsia="Times New Roman"/>
                <w:sz w:val="20"/>
                <w:szCs w:val="20"/>
              </w:rPr>
            </w:pPr>
          </w:p>
        </w:tc>
        <w:tc>
          <w:tcPr>
            <w:tcW w:w="5" w:type="pct"/>
            <w:vAlign w:val="center"/>
            <w:hideMark/>
          </w:tcPr>
          <w:p w14:paraId="19877A0B" w14:textId="77777777" w:rsidR="00000000" w:rsidRDefault="00A173A8">
            <w:pPr>
              <w:spacing w:after="100"/>
              <w:rPr>
                <w:rFonts w:eastAsia="Times New Roman"/>
                <w:sz w:val="20"/>
                <w:szCs w:val="20"/>
              </w:rPr>
            </w:pPr>
          </w:p>
        </w:tc>
        <w:tc>
          <w:tcPr>
            <w:tcW w:w="50" w:type="pct"/>
            <w:vAlign w:val="center"/>
            <w:hideMark/>
          </w:tcPr>
          <w:p w14:paraId="7D61B07D" w14:textId="77777777" w:rsidR="00000000" w:rsidRDefault="00A173A8">
            <w:pPr>
              <w:spacing w:after="100"/>
              <w:rPr>
                <w:rFonts w:eastAsia="Times New Roman"/>
                <w:sz w:val="20"/>
                <w:szCs w:val="20"/>
              </w:rPr>
            </w:pPr>
          </w:p>
        </w:tc>
        <w:tc>
          <w:tcPr>
            <w:tcW w:w="244" w:type="pct"/>
            <w:vAlign w:val="center"/>
            <w:hideMark/>
          </w:tcPr>
          <w:p w14:paraId="27BCA9F7" w14:textId="77777777" w:rsidR="00000000" w:rsidRDefault="00A173A8">
            <w:pPr>
              <w:spacing w:after="100"/>
              <w:rPr>
                <w:rFonts w:eastAsia="Times New Roman"/>
                <w:sz w:val="20"/>
                <w:szCs w:val="20"/>
              </w:rPr>
            </w:pPr>
          </w:p>
        </w:tc>
        <w:tc>
          <w:tcPr>
            <w:tcW w:w="5" w:type="pct"/>
            <w:vAlign w:val="center"/>
            <w:hideMark/>
          </w:tcPr>
          <w:p w14:paraId="0BD13AA1" w14:textId="77777777" w:rsidR="00000000" w:rsidRDefault="00A173A8">
            <w:pPr>
              <w:spacing w:after="100"/>
              <w:rPr>
                <w:rFonts w:eastAsia="Times New Roman"/>
                <w:sz w:val="20"/>
                <w:szCs w:val="20"/>
              </w:rPr>
            </w:pPr>
          </w:p>
        </w:tc>
        <w:tc>
          <w:tcPr>
            <w:tcW w:w="5" w:type="pct"/>
            <w:vAlign w:val="center"/>
            <w:hideMark/>
          </w:tcPr>
          <w:p w14:paraId="74C2FA6B" w14:textId="77777777" w:rsidR="00000000" w:rsidRDefault="00A173A8">
            <w:pPr>
              <w:spacing w:after="100"/>
              <w:rPr>
                <w:rFonts w:eastAsia="Times New Roman"/>
                <w:sz w:val="20"/>
                <w:szCs w:val="20"/>
              </w:rPr>
            </w:pPr>
          </w:p>
        </w:tc>
        <w:tc>
          <w:tcPr>
            <w:tcW w:w="26" w:type="pct"/>
            <w:vAlign w:val="center"/>
            <w:hideMark/>
          </w:tcPr>
          <w:p w14:paraId="770DC318" w14:textId="77777777" w:rsidR="00000000" w:rsidRDefault="00A173A8">
            <w:pPr>
              <w:spacing w:after="100"/>
              <w:rPr>
                <w:rFonts w:eastAsia="Times New Roman"/>
                <w:sz w:val="20"/>
                <w:szCs w:val="20"/>
              </w:rPr>
            </w:pPr>
          </w:p>
        </w:tc>
        <w:tc>
          <w:tcPr>
            <w:tcW w:w="5" w:type="pct"/>
            <w:vAlign w:val="center"/>
            <w:hideMark/>
          </w:tcPr>
          <w:p w14:paraId="66026308" w14:textId="77777777" w:rsidR="00000000" w:rsidRDefault="00A173A8">
            <w:pPr>
              <w:spacing w:after="100"/>
              <w:rPr>
                <w:rFonts w:eastAsia="Times New Roman"/>
                <w:sz w:val="20"/>
                <w:szCs w:val="20"/>
              </w:rPr>
            </w:pPr>
          </w:p>
        </w:tc>
        <w:tc>
          <w:tcPr>
            <w:tcW w:w="50" w:type="pct"/>
            <w:vAlign w:val="center"/>
            <w:hideMark/>
          </w:tcPr>
          <w:p w14:paraId="049E18BB" w14:textId="77777777" w:rsidR="00000000" w:rsidRDefault="00A173A8">
            <w:pPr>
              <w:spacing w:after="100"/>
              <w:rPr>
                <w:rFonts w:eastAsia="Times New Roman"/>
                <w:sz w:val="20"/>
                <w:szCs w:val="20"/>
              </w:rPr>
            </w:pPr>
          </w:p>
        </w:tc>
        <w:tc>
          <w:tcPr>
            <w:tcW w:w="317" w:type="pct"/>
            <w:vAlign w:val="center"/>
            <w:hideMark/>
          </w:tcPr>
          <w:p w14:paraId="402763D9" w14:textId="77777777" w:rsidR="00000000" w:rsidRDefault="00A173A8">
            <w:pPr>
              <w:spacing w:after="100"/>
              <w:rPr>
                <w:rFonts w:eastAsia="Times New Roman"/>
                <w:sz w:val="20"/>
                <w:szCs w:val="20"/>
              </w:rPr>
            </w:pPr>
          </w:p>
        </w:tc>
        <w:tc>
          <w:tcPr>
            <w:tcW w:w="5" w:type="pct"/>
            <w:vAlign w:val="center"/>
            <w:hideMark/>
          </w:tcPr>
          <w:p w14:paraId="422E5239" w14:textId="77777777" w:rsidR="00000000" w:rsidRDefault="00A173A8">
            <w:pPr>
              <w:spacing w:after="100"/>
              <w:rPr>
                <w:rFonts w:eastAsia="Times New Roman"/>
                <w:sz w:val="20"/>
                <w:szCs w:val="20"/>
              </w:rPr>
            </w:pPr>
          </w:p>
        </w:tc>
        <w:tc>
          <w:tcPr>
            <w:tcW w:w="5" w:type="pct"/>
            <w:vAlign w:val="center"/>
            <w:hideMark/>
          </w:tcPr>
          <w:p w14:paraId="06153F1C" w14:textId="77777777" w:rsidR="00000000" w:rsidRDefault="00A173A8">
            <w:pPr>
              <w:spacing w:after="100"/>
              <w:rPr>
                <w:rFonts w:eastAsia="Times New Roman"/>
                <w:sz w:val="20"/>
                <w:szCs w:val="20"/>
              </w:rPr>
            </w:pPr>
          </w:p>
        </w:tc>
        <w:tc>
          <w:tcPr>
            <w:tcW w:w="26" w:type="pct"/>
            <w:vAlign w:val="center"/>
            <w:hideMark/>
          </w:tcPr>
          <w:p w14:paraId="7822C5F2" w14:textId="77777777" w:rsidR="00000000" w:rsidRDefault="00A173A8">
            <w:pPr>
              <w:spacing w:after="100"/>
              <w:rPr>
                <w:rFonts w:eastAsia="Times New Roman"/>
                <w:sz w:val="20"/>
                <w:szCs w:val="20"/>
              </w:rPr>
            </w:pPr>
          </w:p>
        </w:tc>
        <w:tc>
          <w:tcPr>
            <w:tcW w:w="5" w:type="pct"/>
            <w:vAlign w:val="center"/>
            <w:hideMark/>
          </w:tcPr>
          <w:p w14:paraId="6910DEA1" w14:textId="77777777" w:rsidR="00000000" w:rsidRDefault="00A173A8">
            <w:pPr>
              <w:spacing w:after="100"/>
              <w:rPr>
                <w:rFonts w:eastAsia="Times New Roman"/>
                <w:sz w:val="20"/>
                <w:szCs w:val="20"/>
              </w:rPr>
            </w:pPr>
          </w:p>
        </w:tc>
        <w:tc>
          <w:tcPr>
            <w:tcW w:w="50" w:type="pct"/>
            <w:vAlign w:val="center"/>
            <w:hideMark/>
          </w:tcPr>
          <w:p w14:paraId="4739C14C" w14:textId="77777777" w:rsidR="00000000" w:rsidRDefault="00A173A8">
            <w:pPr>
              <w:spacing w:after="100"/>
              <w:rPr>
                <w:rFonts w:eastAsia="Times New Roman"/>
                <w:sz w:val="20"/>
                <w:szCs w:val="20"/>
              </w:rPr>
            </w:pPr>
          </w:p>
        </w:tc>
        <w:tc>
          <w:tcPr>
            <w:tcW w:w="303" w:type="pct"/>
            <w:vAlign w:val="center"/>
            <w:hideMark/>
          </w:tcPr>
          <w:p w14:paraId="0DB94F4A" w14:textId="77777777" w:rsidR="00000000" w:rsidRDefault="00A173A8">
            <w:pPr>
              <w:spacing w:after="100"/>
              <w:rPr>
                <w:rFonts w:eastAsia="Times New Roman"/>
                <w:sz w:val="20"/>
                <w:szCs w:val="20"/>
              </w:rPr>
            </w:pPr>
          </w:p>
        </w:tc>
        <w:tc>
          <w:tcPr>
            <w:tcW w:w="5" w:type="pct"/>
            <w:vAlign w:val="center"/>
            <w:hideMark/>
          </w:tcPr>
          <w:p w14:paraId="192372B9" w14:textId="77777777" w:rsidR="00000000" w:rsidRDefault="00A173A8">
            <w:pPr>
              <w:spacing w:after="100"/>
              <w:rPr>
                <w:rFonts w:eastAsia="Times New Roman"/>
                <w:sz w:val="20"/>
                <w:szCs w:val="20"/>
              </w:rPr>
            </w:pPr>
          </w:p>
        </w:tc>
        <w:tc>
          <w:tcPr>
            <w:tcW w:w="5" w:type="pct"/>
            <w:vAlign w:val="center"/>
            <w:hideMark/>
          </w:tcPr>
          <w:p w14:paraId="7FF4D674" w14:textId="77777777" w:rsidR="00000000" w:rsidRDefault="00A173A8">
            <w:pPr>
              <w:spacing w:after="100"/>
              <w:rPr>
                <w:rFonts w:eastAsia="Times New Roman"/>
                <w:sz w:val="20"/>
                <w:szCs w:val="20"/>
              </w:rPr>
            </w:pPr>
          </w:p>
        </w:tc>
        <w:tc>
          <w:tcPr>
            <w:tcW w:w="26" w:type="pct"/>
            <w:vAlign w:val="center"/>
            <w:hideMark/>
          </w:tcPr>
          <w:p w14:paraId="6ED429A2" w14:textId="77777777" w:rsidR="00000000" w:rsidRDefault="00A173A8">
            <w:pPr>
              <w:spacing w:after="100"/>
              <w:rPr>
                <w:rFonts w:eastAsia="Times New Roman"/>
                <w:sz w:val="20"/>
                <w:szCs w:val="20"/>
              </w:rPr>
            </w:pPr>
          </w:p>
        </w:tc>
        <w:tc>
          <w:tcPr>
            <w:tcW w:w="5" w:type="pct"/>
            <w:vAlign w:val="center"/>
            <w:hideMark/>
          </w:tcPr>
          <w:p w14:paraId="5C4E11AD" w14:textId="77777777" w:rsidR="00000000" w:rsidRDefault="00A173A8">
            <w:pPr>
              <w:spacing w:after="100"/>
              <w:rPr>
                <w:rFonts w:eastAsia="Times New Roman"/>
                <w:sz w:val="20"/>
                <w:szCs w:val="20"/>
              </w:rPr>
            </w:pPr>
          </w:p>
        </w:tc>
        <w:tc>
          <w:tcPr>
            <w:tcW w:w="50" w:type="pct"/>
            <w:vAlign w:val="center"/>
            <w:hideMark/>
          </w:tcPr>
          <w:p w14:paraId="3A09145B" w14:textId="77777777" w:rsidR="00000000" w:rsidRDefault="00A173A8">
            <w:pPr>
              <w:spacing w:after="100"/>
              <w:rPr>
                <w:rFonts w:eastAsia="Times New Roman"/>
                <w:sz w:val="20"/>
                <w:szCs w:val="20"/>
              </w:rPr>
            </w:pPr>
          </w:p>
        </w:tc>
        <w:tc>
          <w:tcPr>
            <w:tcW w:w="464" w:type="pct"/>
            <w:vAlign w:val="center"/>
            <w:hideMark/>
          </w:tcPr>
          <w:p w14:paraId="095EC03A" w14:textId="77777777" w:rsidR="00000000" w:rsidRDefault="00A173A8">
            <w:pPr>
              <w:spacing w:after="100"/>
              <w:rPr>
                <w:rFonts w:eastAsia="Times New Roman"/>
                <w:sz w:val="20"/>
                <w:szCs w:val="20"/>
              </w:rPr>
            </w:pPr>
          </w:p>
        </w:tc>
        <w:tc>
          <w:tcPr>
            <w:tcW w:w="5" w:type="pct"/>
            <w:vAlign w:val="center"/>
            <w:hideMark/>
          </w:tcPr>
          <w:p w14:paraId="13012A65" w14:textId="77777777" w:rsidR="00000000" w:rsidRDefault="00A173A8">
            <w:pPr>
              <w:spacing w:after="100"/>
              <w:rPr>
                <w:rFonts w:eastAsia="Times New Roman"/>
                <w:sz w:val="20"/>
                <w:szCs w:val="20"/>
              </w:rPr>
            </w:pPr>
          </w:p>
        </w:tc>
        <w:tc>
          <w:tcPr>
            <w:tcW w:w="5" w:type="pct"/>
            <w:vAlign w:val="center"/>
            <w:hideMark/>
          </w:tcPr>
          <w:p w14:paraId="2EC41672" w14:textId="77777777" w:rsidR="00000000" w:rsidRDefault="00A173A8">
            <w:pPr>
              <w:spacing w:after="100"/>
              <w:rPr>
                <w:rFonts w:eastAsia="Times New Roman"/>
                <w:sz w:val="20"/>
                <w:szCs w:val="20"/>
              </w:rPr>
            </w:pPr>
          </w:p>
        </w:tc>
        <w:tc>
          <w:tcPr>
            <w:tcW w:w="26" w:type="pct"/>
            <w:vAlign w:val="center"/>
            <w:hideMark/>
          </w:tcPr>
          <w:p w14:paraId="339DDE45" w14:textId="77777777" w:rsidR="00000000" w:rsidRDefault="00A173A8">
            <w:pPr>
              <w:spacing w:after="100"/>
              <w:rPr>
                <w:rFonts w:eastAsia="Times New Roman"/>
                <w:sz w:val="20"/>
                <w:szCs w:val="20"/>
              </w:rPr>
            </w:pPr>
          </w:p>
        </w:tc>
        <w:tc>
          <w:tcPr>
            <w:tcW w:w="5" w:type="pct"/>
            <w:vAlign w:val="center"/>
            <w:hideMark/>
          </w:tcPr>
          <w:p w14:paraId="4A64C226" w14:textId="77777777" w:rsidR="00000000" w:rsidRDefault="00A173A8">
            <w:pPr>
              <w:spacing w:after="100"/>
              <w:rPr>
                <w:rFonts w:eastAsia="Times New Roman"/>
                <w:sz w:val="20"/>
                <w:szCs w:val="20"/>
              </w:rPr>
            </w:pPr>
          </w:p>
        </w:tc>
        <w:tc>
          <w:tcPr>
            <w:tcW w:w="50" w:type="pct"/>
            <w:vAlign w:val="center"/>
            <w:hideMark/>
          </w:tcPr>
          <w:p w14:paraId="167917C7" w14:textId="77777777" w:rsidR="00000000" w:rsidRDefault="00A173A8">
            <w:pPr>
              <w:spacing w:after="100"/>
              <w:rPr>
                <w:rFonts w:eastAsia="Times New Roman"/>
                <w:sz w:val="20"/>
                <w:szCs w:val="20"/>
              </w:rPr>
            </w:pPr>
          </w:p>
        </w:tc>
        <w:tc>
          <w:tcPr>
            <w:tcW w:w="295" w:type="pct"/>
            <w:vAlign w:val="center"/>
            <w:hideMark/>
          </w:tcPr>
          <w:p w14:paraId="3E91FD51" w14:textId="77777777" w:rsidR="00000000" w:rsidRDefault="00A173A8">
            <w:pPr>
              <w:spacing w:after="100"/>
              <w:rPr>
                <w:rFonts w:eastAsia="Times New Roman"/>
                <w:sz w:val="20"/>
                <w:szCs w:val="20"/>
              </w:rPr>
            </w:pPr>
          </w:p>
        </w:tc>
        <w:tc>
          <w:tcPr>
            <w:tcW w:w="5" w:type="pct"/>
            <w:vAlign w:val="center"/>
            <w:hideMark/>
          </w:tcPr>
          <w:p w14:paraId="01AFE5F8" w14:textId="77777777" w:rsidR="00000000" w:rsidRDefault="00A173A8">
            <w:pPr>
              <w:spacing w:after="100"/>
              <w:rPr>
                <w:rFonts w:eastAsia="Times New Roman"/>
                <w:sz w:val="20"/>
                <w:szCs w:val="20"/>
              </w:rPr>
            </w:pPr>
          </w:p>
        </w:tc>
        <w:tc>
          <w:tcPr>
            <w:tcW w:w="5" w:type="pct"/>
            <w:vAlign w:val="center"/>
            <w:hideMark/>
          </w:tcPr>
          <w:p w14:paraId="541610E4" w14:textId="77777777" w:rsidR="00000000" w:rsidRDefault="00A173A8">
            <w:pPr>
              <w:spacing w:after="100"/>
              <w:rPr>
                <w:rFonts w:eastAsia="Times New Roman"/>
                <w:sz w:val="20"/>
                <w:szCs w:val="20"/>
              </w:rPr>
            </w:pPr>
          </w:p>
        </w:tc>
        <w:tc>
          <w:tcPr>
            <w:tcW w:w="26" w:type="pct"/>
            <w:vAlign w:val="center"/>
            <w:hideMark/>
          </w:tcPr>
          <w:p w14:paraId="6D92E4B4" w14:textId="77777777" w:rsidR="00000000" w:rsidRDefault="00A173A8">
            <w:pPr>
              <w:spacing w:after="100"/>
              <w:rPr>
                <w:rFonts w:eastAsia="Times New Roman"/>
                <w:sz w:val="20"/>
                <w:szCs w:val="20"/>
              </w:rPr>
            </w:pPr>
          </w:p>
        </w:tc>
        <w:tc>
          <w:tcPr>
            <w:tcW w:w="5" w:type="pct"/>
            <w:vAlign w:val="center"/>
            <w:hideMark/>
          </w:tcPr>
          <w:p w14:paraId="375CB11F" w14:textId="77777777" w:rsidR="00000000" w:rsidRDefault="00A173A8">
            <w:pPr>
              <w:spacing w:after="100"/>
              <w:rPr>
                <w:rFonts w:eastAsia="Times New Roman"/>
                <w:sz w:val="20"/>
                <w:szCs w:val="20"/>
              </w:rPr>
            </w:pPr>
          </w:p>
        </w:tc>
        <w:tc>
          <w:tcPr>
            <w:tcW w:w="50" w:type="pct"/>
            <w:vAlign w:val="center"/>
            <w:hideMark/>
          </w:tcPr>
          <w:p w14:paraId="7A03C31B" w14:textId="77777777" w:rsidR="00000000" w:rsidRDefault="00A173A8">
            <w:pPr>
              <w:spacing w:after="100"/>
              <w:rPr>
                <w:rFonts w:eastAsia="Times New Roman"/>
                <w:sz w:val="20"/>
                <w:szCs w:val="20"/>
              </w:rPr>
            </w:pPr>
          </w:p>
        </w:tc>
        <w:tc>
          <w:tcPr>
            <w:tcW w:w="413" w:type="pct"/>
            <w:vAlign w:val="center"/>
            <w:hideMark/>
          </w:tcPr>
          <w:p w14:paraId="7D60E2A2" w14:textId="77777777" w:rsidR="00000000" w:rsidRDefault="00A173A8">
            <w:pPr>
              <w:spacing w:after="100"/>
              <w:rPr>
                <w:rFonts w:eastAsia="Times New Roman"/>
                <w:sz w:val="20"/>
                <w:szCs w:val="20"/>
              </w:rPr>
            </w:pPr>
          </w:p>
        </w:tc>
        <w:tc>
          <w:tcPr>
            <w:tcW w:w="5" w:type="pct"/>
            <w:vAlign w:val="center"/>
            <w:hideMark/>
          </w:tcPr>
          <w:p w14:paraId="08E35C90" w14:textId="77777777" w:rsidR="00000000" w:rsidRDefault="00A173A8">
            <w:pPr>
              <w:spacing w:after="100"/>
              <w:rPr>
                <w:rFonts w:eastAsia="Times New Roman"/>
                <w:sz w:val="20"/>
                <w:szCs w:val="20"/>
              </w:rPr>
            </w:pPr>
          </w:p>
        </w:tc>
      </w:tr>
      <w:tr w:rsidR="00000000" w14:paraId="6FB9327A" w14:textId="77777777">
        <w:trPr>
          <w:divId w:val="488981052"/>
          <w:trHeight w:val="220"/>
        </w:trPr>
        <w:tc>
          <w:tcPr>
            <w:tcW w:w="0" w:type="auto"/>
            <w:gridSpan w:val="3"/>
            <w:vMerge w:val="restart"/>
            <w:tcMar>
              <w:top w:w="30" w:type="dxa"/>
              <w:left w:w="20" w:type="dxa"/>
              <w:bottom w:w="30" w:type="dxa"/>
              <w:right w:w="20" w:type="dxa"/>
            </w:tcMar>
            <w:vAlign w:val="bottom"/>
            <w:hideMark/>
          </w:tcPr>
          <w:p w14:paraId="05F7254D" w14:textId="77777777" w:rsidR="00000000" w:rsidRDefault="00A173A8">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14:paraId="755EAE98" w14:textId="77777777" w:rsidR="00000000" w:rsidRDefault="00A173A8">
            <w:pPr>
              <w:spacing w:after="100"/>
              <w:rPr>
                <w:rFonts w:eastAsia="Times New Roman"/>
              </w:rPr>
            </w:pPr>
          </w:p>
        </w:tc>
        <w:tc>
          <w:tcPr>
            <w:tcW w:w="0" w:type="auto"/>
            <w:gridSpan w:val="9"/>
            <w:tcMar>
              <w:top w:w="30" w:type="dxa"/>
              <w:left w:w="20" w:type="dxa"/>
              <w:bottom w:w="30" w:type="dxa"/>
              <w:right w:w="20" w:type="dxa"/>
            </w:tcMar>
            <w:vAlign w:val="bottom"/>
            <w:hideMark/>
          </w:tcPr>
          <w:p w14:paraId="4C5D0331" w14:textId="77777777" w:rsidR="00000000" w:rsidRDefault="00A173A8">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14:paraId="27503FF3"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CB21C40" w14:textId="77777777" w:rsidR="00000000" w:rsidRDefault="00A173A8">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67F2AE52"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4166F48" w14:textId="77777777" w:rsidR="00000000" w:rsidRDefault="00A173A8">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14:paraId="4BB801C9"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D2953AF" w14:textId="77777777" w:rsidR="00000000" w:rsidRDefault="00A173A8">
            <w:pPr>
              <w:spacing w:after="100"/>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14:paraId="657C4E58"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CD663DA" w14:textId="77777777" w:rsidR="00000000" w:rsidRDefault="00A173A8">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14:paraId="77C192E2"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82CEF7F" w14:textId="77777777" w:rsidR="00000000" w:rsidRDefault="00A173A8">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14:paraId="4EECBDAB"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B351D7D" w14:textId="77777777" w:rsidR="00000000" w:rsidRDefault="00A173A8">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r>
            <w:r>
              <w:rPr>
                <w:rFonts w:eastAsia="Times New Roman"/>
                <w:b/>
                <w:bCs/>
                <w:color w:val="000000"/>
                <w:sz w:val="14"/>
                <w:szCs w:val="14"/>
              </w:rPr>
              <w:t>Stockholders’</w:t>
            </w:r>
            <w:r>
              <w:rPr>
                <w:rFonts w:eastAsia="Times New Roman"/>
                <w:b/>
                <w:bCs/>
                <w:color w:val="000000"/>
                <w:sz w:val="14"/>
                <w:szCs w:val="14"/>
              </w:rPr>
              <w:br/>
              <w:t>Equity</w:t>
            </w:r>
          </w:p>
        </w:tc>
      </w:tr>
      <w:tr w:rsidR="00000000" w14:paraId="1D485ED2" w14:textId="77777777">
        <w:trPr>
          <w:divId w:val="488981052"/>
          <w:trHeight w:val="400"/>
        </w:trPr>
        <w:tc>
          <w:tcPr>
            <w:tcW w:w="0" w:type="auto"/>
            <w:gridSpan w:val="3"/>
            <w:vMerge/>
            <w:vAlign w:val="center"/>
            <w:hideMark/>
          </w:tcPr>
          <w:p w14:paraId="2ED26C15" w14:textId="77777777" w:rsidR="00000000" w:rsidRDefault="00A173A8">
            <w:pPr>
              <w:spacing w:after="100"/>
              <w:rPr>
                <w:rFonts w:eastAsia="Times New Roman"/>
              </w:rPr>
            </w:pPr>
          </w:p>
        </w:tc>
        <w:tc>
          <w:tcPr>
            <w:tcW w:w="0" w:type="auto"/>
            <w:gridSpan w:val="3"/>
            <w:vMerge/>
            <w:vAlign w:val="center"/>
            <w:hideMark/>
          </w:tcPr>
          <w:p w14:paraId="59891B8C"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F2B35B" w14:textId="77777777" w:rsidR="00000000" w:rsidRDefault="00A173A8">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28D7A0A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3BAEA3" w14:textId="77777777" w:rsidR="00000000" w:rsidRDefault="00A173A8">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53A7A05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BF36FE" w14:textId="77777777" w:rsidR="00000000" w:rsidRDefault="00A173A8">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22ADA51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A40028" w14:textId="77777777" w:rsidR="00000000" w:rsidRDefault="00A173A8">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00A6E856" w14:textId="77777777" w:rsidR="00000000" w:rsidRDefault="00A173A8">
            <w:pPr>
              <w:spacing w:after="100"/>
              <w:jc w:val="center"/>
              <w:rPr>
                <w:rFonts w:eastAsia="Times New Roman"/>
              </w:rPr>
            </w:pPr>
          </w:p>
        </w:tc>
        <w:tc>
          <w:tcPr>
            <w:tcW w:w="0" w:type="auto"/>
            <w:gridSpan w:val="3"/>
            <w:vMerge/>
            <w:vAlign w:val="center"/>
            <w:hideMark/>
          </w:tcPr>
          <w:p w14:paraId="1E2BCAA4" w14:textId="77777777" w:rsidR="00000000" w:rsidRDefault="00A173A8">
            <w:pPr>
              <w:spacing w:after="100"/>
              <w:rPr>
                <w:rFonts w:eastAsia="Times New Roman"/>
              </w:rPr>
            </w:pPr>
          </w:p>
        </w:tc>
        <w:tc>
          <w:tcPr>
            <w:tcW w:w="0" w:type="auto"/>
            <w:gridSpan w:val="3"/>
            <w:vMerge/>
            <w:vAlign w:val="center"/>
            <w:hideMark/>
          </w:tcPr>
          <w:p w14:paraId="1109AD2E" w14:textId="77777777" w:rsidR="00000000" w:rsidRDefault="00A173A8">
            <w:pPr>
              <w:spacing w:after="100"/>
              <w:rPr>
                <w:rFonts w:eastAsia="Times New Roman"/>
              </w:rPr>
            </w:pPr>
          </w:p>
        </w:tc>
        <w:tc>
          <w:tcPr>
            <w:tcW w:w="0" w:type="auto"/>
            <w:gridSpan w:val="3"/>
            <w:vMerge/>
            <w:vAlign w:val="center"/>
            <w:hideMark/>
          </w:tcPr>
          <w:p w14:paraId="3B457426" w14:textId="77777777" w:rsidR="00000000" w:rsidRDefault="00A173A8">
            <w:pPr>
              <w:spacing w:after="100"/>
              <w:rPr>
                <w:rFonts w:eastAsia="Times New Roman"/>
              </w:rPr>
            </w:pPr>
          </w:p>
        </w:tc>
        <w:tc>
          <w:tcPr>
            <w:tcW w:w="0" w:type="auto"/>
            <w:gridSpan w:val="3"/>
            <w:vMerge/>
            <w:vAlign w:val="center"/>
            <w:hideMark/>
          </w:tcPr>
          <w:p w14:paraId="72859B00" w14:textId="77777777" w:rsidR="00000000" w:rsidRDefault="00A173A8">
            <w:pPr>
              <w:spacing w:after="100"/>
              <w:rPr>
                <w:rFonts w:eastAsia="Times New Roman"/>
              </w:rPr>
            </w:pPr>
          </w:p>
        </w:tc>
        <w:tc>
          <w:tcPr>
            <w:tcW w:w="0" w:type="auto"/>
            <w:gridSpan w:val="3"/>
            <w:vMerge/>
            <w:vAlign w:val="center"/>
            <w:hideMark/>
          </w:tcPr>
          <w:p w14:paraId="0A983235" w14:textId="77777777" w:rsidR="00000000" w:rsidRDefault="00A173A8">
            <w:pPr>
              <w:spacing w:after="100"/>
              <w:rPr>
                <w:rFonts w:eastAsia="Times New Roman"/>
              </w:rPr>
            </w:pPr>
          </w:p>
        </w:tc>
        <w:tc>
          <w:tcPr>
            <w:tcW w:w="0" w:type="auto"/>
            <w:gridSpan w:val="3"/>
            <w:vMerge/>
            <w:vAlign w:val="center"/>
            <w:hideMark/>
          </w:tcPr>
          <w:p w14:paraId="0BCAE19D" w14:textId="77777777" w:rsidR="00000000" w:rsidRDefault="00A173A8">
            <w:pPr>
              <w:spacing w:after="100"/>
              <w:rPr>
                <w:rFonts w:eastAsia="Times New Roman"/>
              </w:rPr>
            </w:pPr>
          </w:p>
        </w:tc>
        <w:tc>
          <w:tcPr>
            <w:tcW w:w="0" w:type="auto"/>
            <w:gridSpan w:val="3"/>
            <w:vMerge/>
            <w:vAlign w:val="center"/>
            <w:hideMark/>
          </w:tcPr>
          <w:p w14:paraId="013E0D05" w14:textId="77777777" w:rsidR="00000000" w:rsidRDefault="00A173A8">
            <w:pPr>
              <w:spacing w:after="100"/>
              <w:rPr>
                <w:rFonts w:eastAsia="Times New Roman"/>
              </w:rPr>
            </w:pPr>
          </w:p>
        </w:tc>
        <w:tc>
          <w:tcPr>
            <w:tcW w:w="0" w:type="auto"/>
            <w:gridSpan w:val="3"/>
            <w:vMerge/>
            <w:vAlign w:val="center"/>
            <w:hideMark/>
          </w:tcPr>
          <w:p w14:paraId="44862925" w14:textId="77777777" w:rsidR="00000000" w:rsidRDefault="00A173A8">
            <w:pPr>
              <w:spacing w:after="100"/>
              <w:rPr>
                <w:rFonts w:eastAsia="Times New Roman"/>
              </w:rPr>
            </w:pPr>
          </w:p>
        </w:tc>
        <w:tc>
          <w:tcPr>
            <w:tcW w:w="0" w:type="auto"/>
            <w:gridSpan w:val="3"/>
            <w:vMerge/>
            <w:vAlign w:val="center"/>
            <w:hideMark/>
          </w:tcPr>
          <w:p w14:paraId="69E55059" w14:textId="77777777" w:rsidR="00000000" w:rsidRDefault="00A173A8">
            <w:pPr>
              <w:spacing w:after="100"/>
              <w:rPr>
                <w:rFonts w:eastAsia="Times New Roman"/>
              </w:rPr>
            </w:pPr>
          </w:p>
        </w:tc>
      </w:tr>
      <w:tr w:rsidR="00A173A8" w14:paraId="4AC2E43D" w14:textId="77777777">
        <w:trPr>
          <w:divId w:val="48898105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C6A54C2" w14:textId="77777777" w:rsidR="00000000" w:rsidRDefault="00A173A8">
            <w:pPr>
              <w:spacing w:after="100"/>
              <w:rPr>
                <w:rFonts w:eastAsia="Times New Roman"/>
              </w:rPr>
            </w:pPr>
            <w:r>
              <w:rPr>
                <w:rFonts w:eastAsia="Times New Roman"/>
                <w:b/>
                <w:bCs/>
                <w:color w:val="000000"/>
                <w:sz w:val="16"/>
                <w:szCs w:val="16"/>
              </w:rPr>
              <w:t>Balance as of December 31, 2021</w:t>
            </w:r>
          </w:p>
        </w:tc>
        <w:tc>
          <w:tcPr>
            <w:tcW w:w="0" w:type="auto"/>
            <w:gridSpan w:val="3"/>
            <w:shd w:val="clear" w:color="auto" w:fill="CCEEFF"/>
            <w:tcMar>
              <w:top w:w="0" w:type="dxa"/>
              <w:left w:w="20" w:type="dxa"/>
              <w:bottom w:w="0" w:type="dxa"/>
              <w:right w:w="20" w:type="dxa"/>
            </w:tcMar>
            <w:vAlign w:val="center"/>
            <w:hideMark/>
          </w:tcPr>
          <w:p w14:paraId="164298B4"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E8FF8B" w14:textId="77777777" w:rsidR="00000000" w:rsidRDefault="00A173A8">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A03C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5664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A0AC32"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FAD92D" w14:textId="77777777" w:rsidR="00000000" w:rsidRDefault="00A173A8">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6A531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03491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18C59C" w14:textId="77777777" w:rsidR="00000000" w:rsidRDefault="00A173A8">
            <w:pPr>
              <w:spacing w:after="100"/>
              <w:jc w:val="right"/>
              <w:rPr>
                <w:rFonts w:eastAsia="Times New Roman"/>
              </w:rPr>
            </w:pPr>
            <w:r>
              <w:rPr>
                <w:rFonts w:eastAsia="Times New Roman"/>
                <w:color w:val="000000"/>
                <w:sz w:val="16"/>
                <w:szCs w:val="16"/>
              </w:rPr>
              <w:t>685,057,944 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61D6F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0FE7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AF56FF"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A97C54" w14:textId="77777777" w:rsidR="00000000" w:rsidRDefault="00A173A8">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13A0E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141B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1219D6"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760E5F" w14:textId="77777777" w:rsidR="00000000" w:rsidRDefault="00A173A8">
            <w:pPr>
              <w:spacing w:after="100"/>
              <w:jc w:val="right"/>
              <w:rPr>
                <w:rFonts w:eastAsia="Times New Roman"/>
              </w:rPr>
            </w:pPr>
            <w:r>
              <w:rPr>
                <w:rFonts w:eastAsia="Times New Roman"/>
                <w:color w:val="000000"/>
                <w:sz w:val="16"/>
                <w:szCs w:val="16"/>
              </w:rPr>
              <w:t>34,112 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120E1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2FE9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DEB5B7"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EDD770" w14:textId="77777777" w:rsidR="00000000" w:rsidRDefault="00A173A8">
            <w:pPr>
              <w:spacing w:after="100"/>
              <w:jc w:val="right"/>
              <w:rPr>
                <w:rFonts w:eastAsia="Times New Roman"/>
              </w:rPr>
            </w:pPr>
            <w:r>
              <w:rPr>
                <w:rFonts w:eastAsia="Times New Roman"/>
                <w:color w:val="000000"/>
                <w:sz w:val="16"/>
                <w:szCs w:val="16"/>
              </w:rPr>
              <w:t>51,006 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6ED91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B862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A53EA2"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60B1DA" w14:textId="77777777" w:rsidR="00000000" w:rsidRDefault="00A173A8">
            <w:pPr>
              <w:spacing w:after="100"/>
              <w:jc w:val="right"/>
              <w:rPr>
                <w:rFonts w:eastAsia="Times New Roman"/>
              </w:rPr>
            </w:pPr>
            <w:r>
              <w:rPr>
                <w:rFonts w:eastAsia="Times New Roman"/>
                <w:color w:val="000000"/>
                <w:sz w:val="16"/>
                <w:szCs w:val="16"/>
              </w:rPr>
              <w:t>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93F2B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2BC8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987345"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8AF62F" w14:textId="77777777" w:rsidR="00000000" w:rsidRDefault="00A173A8">
            <w:pPr>
              <w:spacing w:after="100"/>
              <w:jc w:val="right"/>
              <w:rPr>
                <w:rFonts w:eastAsia="Times New Roman"/>
              </w:rPr>
            </w:pPr>
            <w:r>
              <w:rPr>
                <w:rFonts w:eastAsia="Times New Roman"/>
                <w:color w:val="000000"/>
                <w:sz w:val="16"/>
                <w:szCs w:val="16"/>
              </w:rPr>
              <w:t>(24,470)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1333E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BF68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EE1E79"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13B1B1" w14:textId="77777777" w:rsidR="00000000" w:rsidRDefault="00A173A8">
            <w:pPr>
              <w:spacing w:after="100"/>
              <w:jc w:val="right"/>
              <w:rPr>
                <w:rFonts w:eastAsia="Times New Roman"/>
              </w:rPr>
            </w:pPr>
            <w:r>
              <w:rPr>
                <w:rFonts w:eastAsia="Times New Roman"/>
                <w:color w:val="000000"/>
                <w:sz w:val="16"/>
                <w:szCs w:val="16"/>
              </w:rPr>
              <w:t>61,029 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94B3D0" w14:textId="77777777" w:rsidR="00000000" w:rsidRDefault="00A173A8">
            <w:pPr>
              <w:spacing w:after="100"/>
              <w:jc w:val="right"/>
              <w:rPr>
                <w:rFonts w:eastAsia="Times New Roman"/>
              </w:rPr>
            </w:pPr>
          </w:p>
        </w:tc>
      </w:tr>
      <w:tr w:rsidR="00000000" w14:paraId="5B9966C5" w14:textId="77777777">
        <w:trPr>
          <w:divId w:val="488981052"/>
        </w:trPr>
        <w:tc>
          <w:tcPr>
            <w:tcW w:w="0" w:type="auto"/>
            <w:gridSpan w:val="3"/>
            <w:vAlign w:val="center"/>
            <w:hideMark/>
          </w:tcPr>
          <w:p w14:paraId="31BAE269" w14:textId="77777777" w:rsidR="00000000" w:rsidRDefault="00A173A8">
            <w:pPr>
              <w:spacing w:after="100"/>
              <w:jc w:val="right"/>
              <w:rPr>
                <w:rFonts w:eastAsia="Times New Roman"/>
                <w:sz w:val="20"/>
                <w:szCs w:val="20"/>
              </w:rPr>
            </w:pPr>
          </w:p>
        </w:tc>
        <w:tc>
          <w:tcPr>
            <w:tcW w:w="0" w:type="auto"/>
            <w:gridSpan w:val="3"/>
            <w:vAlign w:val="center"/>
            <w:hideMark/>
          </w:tcPr>
          <w:p w14:paraId="698C9F59" w14:textId="77777777" w:rsidR="00000000" w:rsidRDefault="00A173A8">
            <w:pPr>
              <w:spacing w:after="100"/>
              <w:rPr>
                <w:rFonts w:eastAsia="Times New Roman"/>
                <w:sz w:val="20"/>
                <w:szCs w:val="20"/>
              </w:rPr>
            </w:pPr>
          </w:p>
        </w:tc>
        <w:tc>
          <w:tcPr>
            <w:tcW w:w="0" w:type="auto"/>
            <w:gridSpan w:val="3"/>
            <w:vAlign w:val="center"/>
            <w:hideMark/>
          </w:tcPr>
          <w:p w14:paraId="52CA04EE" w14:textId="77777777" w:rsidR="00000000" w:rsidRDefault="00A173A8">
            <w:pPr>
              <w:spacing w:after="100"/>
              <w:rPr>
                <w:rFonts w:eastAsia="Times New Roman"/>
                <w:sz w:val="20"/>
                <w:szCs w:val="20"/>
              </w:rPr>
            </w:pPr>
          </w:p>
        </w:tc>
        <w:tc>
          <w:tcPr>
            <w:tcW w:w="0" w:type="auto"/>
            <w:gridSpan w:val="3"/>
            <w:vAlign w:val="center"/>
            <w:hideMark/>
          </w:tcPr>
          <w:p w14:paraId="2B2BF202" w14:textId="77777777" w:rsidR="00000000" w:rsidRDefault="00A173A8">
            <w:pPr>
              <w:spacing w:after="100"/>
              <w:rPr>
                <w:rFonts w:eastAsia="Times New Roman"/>
                <w:sz w:val="20"/>
                <w:szCs w:val="20"/>
              </w:rPr>
            </w:pPr>
          </w:p>
        </w:tc>
        <w:tc>
          <w:tcPr>
            <w:tcW w:w="0" w:type="auto"/>
            <w:gridSpan w:val="3"/>
            <w:vAlign w:val="center"/>
            <w:hideMark/>
          </w:tcPr>
          <w:p w14:paraId="4FEFFE82" w14:textId="77777777" w:rsidR="00000000" w:rsidRDefault="00A173A8">
            <w:pPr>
              <w:spacing w:after="100"/>
              <w:rPr>
                <w:rFonts w:eastAsia="Times New Roman"/>
                <w:sz w:val="20"/>
                <w:szCs w:val="20"/>
              </w:rPr>
            </w:pPr>
          </w:p>
        </w:tc>
        <w:tc>
          <w:tcPr>
            <w:tcW w:w="0" w:type="auto"/>
            <w:gridSpan w:val="3"/>
            <w:vAlign w:val="center"/>
            <w:hideMark/>
          </w:tcPr>
          <w:p w14:paraId="45039B84" w14:textId="77777777" w:rsidR="00000000" w:rsidRDefault="00A173A8">
            <w:pPr>
              <w:spacing w:after="100"/>
              <w:rPr>
                <w:rFonts w:eastAsia="Times New Roman"/>
                <w:sz w:val="20"/>
                <w:szCs w:val="20"/>
              </w:rPr>
            </w:pPr>
          </w:p>
        </w:tc>
        <w:tc>
          <w:tcPr>
            <w:tcW w:w="0" w:type="auto"/>
            <w:gridSpan w:val="3"/>
            <w:vAlign w:val="center"/>
            <w:hideMark/>
          </w:tcPr>
          <w:p w14:paraId="3671EC13" w14:textId="77777777" w:rsidR="00000000" w:rsidRDefault="00A173A8">
            <w:pPr>
              <w:spacing w:after="100"/>
              <w:rPr>
                <w:rFonts w:eastAsia="Times New Roman"/>
                <w:sz w:val="20"/>
                <w:szCs w:val="20"/>
              </w:rPr>
            </w:pPr>
          </w:p>
        </w:tc>
        <w:tc>
          <w:tcPr>
            <w:tcW w:w="0" w:type="auto"/>
            <w:gridSpan w:val="3"/>
            <w:vAlign w:val="center"/>
            <w:hideMark/>
          </w:tcPr>
          <w:p w14:paraId="4B7A5591" w14:textId="77777777" w:rsidR="00000000" w:rsidRDefault="00A173A8">
            <w:pPr>
              <w:spacing w:after="100"/>
              <w:rPr>
                <w:rFonts w:eastAsia="Times New Roman"/>
                <w:sz w:val="20"/>
                <w:szCs w:val="20"/>
              </w:rPr>
            </w:pPr>
          </w:p>
        </w:tc>
        <w:tc>
          <w:tcPr>
            <w:tcW w:w="0" w:type="auto"/>
            <w:gridSpan w:val="3"/>
            <w:vAlign w:val="center"/>
            <w:hideMark/>
          </w:tcPr>
          <w:p w14:paraId="2F316C26" w14:textId="77777777" w:rsidR="00000000" w:rsidRDefault="00A173A8">
            <w:pPr>
              <w:spacing w:after="100"/>
              <w:rPr>
                <w:rFonts w:eastAsia="Times New Roman"/>
                <w:sz w:val="20"/>
                <w:szCs w:val="20"/>
              </w:rPr>
            </w:pPr>
          </w:p>
        </w:tc>
        <w:tc>
          <w:tcPr>
            <w:tcW w:w="0" w:type="auto"/>
            <w:gridSpan w:val="3"/>
            <w:vAlign w:val="center"/>
            <w:hideMark/>
          </w:tcPr>
          <w:p w14:paraId="160ECACB" w14:textId="77777777" w:rsidR="00000000" w:rsidRDefault="00A173A8">
            <w:pPr>
              <w:spacing w:after="100"/>
              <w:rPr>
                <w:rFonts w:eastAsia="Times New Roman"/>
                <w:sz w:val="20"/>
                <w:szCs w:val="20"/>
              </w:rPr>
            </w:pPr>
          </w:p>
        </w:tc>
        <w:tc>
          <w:tcPr>
            <w:tcW w:w="0" w:type="auto"/>
            <w:gridSpan w:val="3"/>
            <w:vAlign w:val="center"/>
            <w:hideMark/>
          </w:tcPr>
          <w:p w14:paraId="5086912E" w14:textId="77777777" w:rsidR="00000000" w:rsidRDefault="00A173A8">
            <w:pPr>
              <w:spacing w:after="100"/>
              <w:rPr>
                <w:rFonts w:eastAsia="Times New Roman"/>
                <w:sz w:val="20"/>
                <w:szCs w:val="20"/>
              </w:rPr>
            </w:pPr>
          </w:p>
        </w:tc>
        <w:tc>
          <w:tcPr>
            <w:tcW w:w="0" w:type="auto"/>
            <w:gridSpan w:val="3"/>
            <w:vAlign w:val="center"/>
            <w:hideMark/>
          </w:tcPr>
          <w:p w14:paraId="557C7DD5" w14:textId="77777777" w:rsidR="00000000" w:rsidRDefault="00A173A8">
            <w:pPr>
              <w:spacing w:after="100"/>
              <w:rPr>
                <w:rFonts w:eastAsia="Times New Roman"/>
                <w:sz w:val="20"/>
                <w:szCs w:val="20"/>
              </w:rPr>
            </w:pPr>
          </w:p>
        </w:tc>
        <w:tc>
          <w:tcPr>
            <w:tcW w:w="0" w:type="auto"/>
            <w:gridSpan w:val="3"/>
            <w:vAlign w:val="center"/>
            <w:hideMark/>
          </w:tcPr>
          <w:p w14:paraId="23F43257" w14:textId="77777777" w:rsidR="00000000" w:rsidRDefault="00A173A8">
            <w:pPr>
              <w:spacing w:after="100"/>
              <w:rPr>
                <w:rFonts w:eastAsia="Times New Roman"/>
                <w:sz w:val="20"/>
                <w:szCs w:val="20"/>
              </w:rPr>
            </w:pPr>
          </w:p>
        </w:tc>
        <w:tc>
          <w:tcPr>
            <w:tcW w:w="0" w:type="auto"/>
            <w:gridSpan w:val="3"/>
            <w:vAlign w:val="center"/>
            <w:hideMark/>
          </w:tcPr>
          <w:p w14:paraId="6A3C04E7" w14:textId="77777777" w:rsidR="00000000" w:rsidRDefault="00A173A8">
            <w:pPr>
              <w:spacing w:after="100"/>
              <w:rPr>
                <w:rFonts w:eastAsia="Times New Roman"/>
                <w:sz w:val="20"/>
                <w:szCs w:val="20"/>
              </w:rPr>
            </w:pPr>
          </w:p>
        </w:tc>
        <w:tc>
          <w:tcPr>
            <w:tcW w:w="0" w:type="auto"/>
            <w:gridSpan w:val="3"/>
            <w:vAlign w:val="center"/>
            <w:hideMark/>
          </w:tcPr>
          <w:p w14:paraId="1B94EED5" w14:textId="77777777" w:rsidR="00000000" w:rsidRDefault="00A173A8">
            <w:pPr>
              <w:spacing w:after="100"/>
              <w:rPr>
                <w:rFonts w:eastAsia="Times New Roman"/>
                <w:sz w:val="20"/>
                <w:szCs w:val="20"/>
              </w:rPr>
            </w:pPr>
          </w:p>
        </w:tc>
        <w:tc>
          <w:tcPr>
            <w:tcW w:w="0" w:type="auto"/>
            <w:gridSpan w:val="3"/>
            <w:vAlign w:val="center"/>
            <w:hideMark/>
          </w:tcPr>
          <w:p w14:paraId="3B9B1DD9" w14:textId="77777777" w:rsidR="00000000" w:rsidRDefault="00A173A8">
            <w:pPr>
              <w:spacing w:after="100"/>
              <w:rPr>
                <w:rFonts w:eastAsia="Times New Roman"/>
                <w:sz w:val="20"/>
                <w:szCs w:val="20"/>
              </w:rPr>
            </w:pPr>
          </w:p>
        </w:tc>
        <w:tc>
          <w:tcPr>
            <w:tcW w:w="0" w:type="auto"/>
            <w:gridSpan w:val="3"/>
            <w:vAlign w:val="center"/>
            <w:hideMark/>
          </w:tcPr>
          <w:p w14:paraId="48D4D7B6" w14:textId="77777777" w:rsidR="00000000" w:rsidRDefault="00A173A8">
            <w:pPr>
              <w:spacing w:after="100"/>
              <w:rPr>
                <w:rFonts w:eastAsia="Times New Roman"/>
                <w:sz w:val="20"/>
                <w:szCs w:val="20"/>
              </w:rPr>
            </w:pPr>
          </w:p>
        </w:tc>
        <w:tc>
          <w:tcPr>
            <w:tcW w:w="0" w:type="auto"/>
            <w:gridSpan w:val="3"/>
            <w:vAlign w:val="center"/>
            <w:hideMark/>
          </w:tcPr>
          <w:p w14:paraId="28643EB4" w14:textId="77777777" w:rsidR="00000000" w:rsidRDefault="00A173A8">
            <w:pPr>
              <w:spacing w:after="100"/>
              <w:rPr>
                <w:rFonts w:eastAsia="Times New Roman"/>
                <w:sz w:val="20"/>
                <w:szCs w:val="20"/>
              </w:rPr>
            </w:pPr>
          </w:p>
        </w:tc>
        <w:tc>
          <w:tcPr>
            <w:tcW w:w="0" w:type="auto"/>
            <w:gridSpan w:val="3"/>
            <w:vAlign w:val="center"/>
            <w:hideMark/>
          </w:tcPr>
          <w:p w14:paraId="28C65436" w14:textId="77777777" w:rsidR="00000000" w:rsidRDefault="00A173A8">
            <w:pPr>
              <w:spacing w:after="100"/>
              <w:rPr>
                <w:rFonts w:eastAsia="Times New Roman"/>
                <w:sz w:val="20"/>
                <w:szCs w:val="20"/>
              </w:rPr>
            </w:pPr>
          </w:p>
        </w:tc>
      </w:tr>
      <w:tr w:rsidR="00000000" w14:paraId="7DF53A56" w14:textId="77777777">
        <w:trPr>
          <w:divId w:val="488981052"/>
        </w:trPr>
        <w:tc>
          <w:tcPr>
            <w:tcW w:w="0" w:type="auto"/>
            <w:gridSpan w:val="3"/>
            <w:vAlign w:val="center"/>
            <w:hideMark/>
          </w:tcPr>
          <w:p w14:paraId="27087487" w14:textId="77777777" w:rsidR="00000000" w:rsidRDefault="00A173A8">
            <w:pPr>
              <w:spacing w:after="100"/>
              <w:rPr>
                <w:rFonts w:eastAsia="Times New Roman"/>
                <w:sz w:val="20"/>
                <w:szCs w:val="20"/>
              </w:rPr>
            </w:pPr>
          </w:p>
        </w:tc>
        <w:tc>
          <w:tcPr>
            <w:tcW w:w="0" w:type="auto"/>
            <w:gridSpan w:val="3"/>
            <w:vAlign w:val="center"/>
            <w:hideMark/>
          </w:tcPr>
          <w:p w14:paraId="0A6B142C" w14:textId="77777777" w:rsidR="00000000" w:rsidRDefault="00A173A8">
            <w:pPr>
              <w:spacing w:after="100"/>
              <w:rPr>
                <w:rFonts w:eastAsia="Times New Roman"/>
                <w:sz w:val="20"/>
                <w:szCs w:val="20"/>
              </w:rPr>
            </w:pPr>
          </w:p>
        </w:tc>
        <w:tc>
          <w:tcPr>
            <w:tcW w:w="0" w:type="auto"/>
            <w:gridSpan w:val="3"/>
            <w:vAlign w:val="center"/>
            <w:hideMark/>
          </w:tcPr>
          <w:p w14:paraId="48F18725" w14:textId="77777777" w:rsidR="00000000" w:rsidRDefault="00A173A8">
            <w:pPr>
              <w:spacing w:after="100"/>
              <w:rPr>
                <w:rFonts w:eastAsia="Times New Roman"/>
                <w:sz w:val="20"/>
                <w:szCs w:val="20"/>
              </w:rPr>
            </w:pPr>
          </w:p>
        </w:tc>
        <w:tc>
          <w:tcPr>
            <w:tcW w:w="0" w:type="auto"/>
            <w:gridSpan w:val="3"/>
            <w:vAlign w:val="center"/>
            <w:hideMark/>
          </w:tcPr>
          <w:p w14:paraId="74DA61E4" w14:textId="77777777" w:rsidR="00000000" w:rsidRDefault="00A173A8">
            <w:pPr>
              <w:spacing w:after="100"/>
              <w:rPr>
                <w:rFonts w:eastAsia="Times New Roman"/>
                <w:sz w:val="20"/>
                <w:szCs w:val="20"/>
              </w:rPr>
            </w:pPr>
          </w:p>
        </w:tc>
        <w:tc>
          <w:tcPr>
            <w:tcW w:w="0" w:type="auto"/>
            <w:gridSpan w:val="3"/>
            <w:vAlign w:val="center"/>
            <w:hideMark/>
          </w:tcPr>
          <w:p w14:paraId="78EA64A8" w14:textId="77777777" w:rsidR="00000000" w:rsidRDefault="00A173A8">
            <w:pPr>
              <w:spacing w:after="100"/>
              <w:rPr>
                <w:rFonts w:eastAsia="Times New Roman"/>
                <w:sz w:val="20"/>
                <w:szCs w:val="20"/>
              </w:rPr>
            </w:pPr>
          </w:p>
        </w:tc>
        <w:tc>
          <w:tcPr>
            <w:tcW w:w="0" w:type="auto"/>
            <w:gridSpan w:val="3"/>
            <w:vAlign w:val="center"/>
            <w:hideMark/>
          </w:tcPr>
          <w:p w14:paraId="5324728C" w14:textId="77777777" w:rsidR="00000000" w:rsidRDefault="00A173A8">
            <w:pPr>
              <w:spacing w:after="100"/>
              <w:rPr>
                <w:rFonts w:eastAsia="Times New Roman"/>
                <w:sz w:val="20"/>
                <w:szCs w:val="20"/>
              </w:rPr>
            </w:pPr>
          </w:p>
        </w:tc>
        <w:tc>
          <w:tcPr>
            <w:tcW w:w="0" w:type="auto"/>
            <w:gridSpan w:val="3"/>
            <w:vAlign w:val="center"/>
            <w:hideMark/>
          </w:tcPr>
          <w:p w14:paraId="384B45E4" w14:textId="77777777" w:rsidR="00000000" w:rsidRDefault="00A173A8">
            <w:pPr>
              <w:spacing w:after="100"/>
              <w:rPr>
                <w:rFonts w:eastAsia="Times New Roman"/>
                <w:sz w:val="20"/>
                <w:szCs w:val="20"/>
              </w:rPr>
            </w:pPr>
          </w:p>
        </w:tc>
        <w:tc>
          <w:tcPr>
            <w:tcW w:w="0" w:type="auto"/>
            <w:gridSpan w:val="3"/>
            <w:vAlign w:val="center"/>
            <w:hideMark/>
          </w:tcPr>
          <w:p w14:paraId="3AC51E49" w14:textId="77777777" w:rsidR="00000000" w:rsidRDefault="00A173A8">
            <w:pPr>
              <w:spacing w:after="100"/>
              <w:rPr>
                <w:rFonts w:eastAsia="Times New Roman"/>
                <w:sz w:val="20"/>
                <w:szCs w:val="20"/>
              </w:rPr>
            </w:pPr>
          </w:p>
        </w:tc>
        <w:tc>
          <w:tcPr>
            <w:tcW w:w="0" w:type="auto"/>
            <w:gridSpan w:val="3"/>
            <w:vAlign w:val="center"/>
            <w:hideMark/>
          </w:tcPr>
          <w:p w14:paraId="3727A3EC" w14:textId="77777777" w:rsidR="00000000" w:rsidRDefault="00A173A8">
            <w:pPr>
              <w:spacing w:after="100"/>
              <w:rPr>
                <w:rFonts w:eastAsia="Times New Roman"/>
                <w:sz w:val="20"/>
                <w:szCs w:val="20"/>
              </w:rPr>
            </w:pPr>
          </w:p>
        </w:tc>
        <w:tc>
          <w:tcPr>
            <w:tcW w:w="0" w:type="auto"/>
            <w:gridSpan w:val="3"/>
            <w:vAlign w:val="center"/>
            <w:hideMark/>
          </w:tcPr>
          <w:p w14:paraId="06C86091" w14:textId="77777777" w:rsidR="00000000" w:rsidRDefault="00A173A8">
            <w:pPr>
              <w:spacing w:after="100"/>
              <w:rPr>
                <w:rFonts w:eastAsia="Times New Roman"/>
                <w:sz w:val="20"/>
                <w:szCs w:val="20"/>
              </w:rPr>
            </w:pPr>
          </w:p>
        </w:tc>
        <w:tc>
          <w:tcPr>
            <w:tcW w:w="0" w:type="auto"/>
            <w:gridSpan w:val="3"/>
            <w:vAlign w:val="center"/>
            <w:hideMark/>
          </w:tcPr>
          <w:p w14:paraId="502D4742" w14:textId="77777777" w:rsidR="00000000" w:rsidRDefault="00A173A8">
            <w:pPr>
              <w:spacing w:after="100"/>
              <w:rPr>
                <w:rFonts w:eastAsia="Times New Roman"/>
                <w:sz w:val="20"/>
                <w:szCs w:val="20"/>
              </w:rPr>
            </w:pPr>
          </w:p>
        </w:tc>
        <w:tc>
          <w:tcPr>
            <w:tcW w:w="0" w:type="auto"/>
            <w:gridSpan w:val="3"/>
            <w:vAlign w:val="center"/>
            <w:hideMark/>
          </w:tcPr>
          <w:p w14:paraId="74138BBC" w14:textId="77777777" w:rsidR="00000000" w:rsidRDefault="00A173A8">
            <w:pPr>
              <w:spacing w:after="100"/>
              <w:rPr>
                <w:rFonts w:eastAsia="Times New Roman"/>
                <w:sz w:val="20"/>
                <w:szCs w:val="20"/>
              </w:rPr>
            </w:pPr>
          </w:p>
        </w:tc>
        <w:tc>
          <w:tcPr>
            <w:tcW w:w="0" w:type="auto"/>
            <w:gridSpan w:val="3"/>
            <w:vAlign w:val="center"/>
            <w:hideMark/>
          </w:tcPr>
          <w:p w14:paraId="2CE4A68E" w14:textId="77777777" w:rsidR="00000000" w:rsidRDefault="00A173A8">
            <w:pPr>
              <w:spacing w:after="100"/>
              <w:rPr>
                <w:rFonts w:eastAsia="Times New Roman"/>
                <w:sz w:val="20"/>
                <w:szCs w:val="20"/>
              </w:rPr>
            </w:pPr>
          </w:p>
        </w:tc>
        <w:tc>
          <w:tcPr>
            <w:tcW w:w="0" w:type="auto"/>
            <w:gridSpan w:val="3"/>
            <w:vAlign w:val="center"/>
            <w:hideMark/>
          </w:tcPr>
          <w:p w14:paraId="5AD667C8" w14:textId="77777777" w:rsidR="00000000" w:rsidRDefault="00A173A8">
            <w:pPr>
              <w:spacing w:after="100"/>
              <w:rPr>
                <w:rFonts w:eastAsia="Times New Roman"/>
                <w:sz w:val="20"/>
                <w:szCs w:val="20"/>
              </w:rPr>
            </w:pPr>
          </w:p>
        </w:tc>
        <w:tc>
          <w:tcPr>
            <w:tcW w:w="0" w:type="auto"/>
            <w:gridSpan w:val="3"/>
            <w:vAlign w:val="center"/>
            <w:hideMark/>
          </w:tcPr>
          <w:p w14:paraId="6E584775" w14:textId="77777777" w:rsidR="00000000" w:rsidRDefault="00A173A8">
            <w:pPr>
              <w:spacing w:after="100"/>
              <w:rPr>
                <w:rFonts w:eastAsia="Times New Roman"/>
                <w:sz w:val="20"/>
                <w:szCs w:val="20"/>
              </w:rPr>
            </w:pPr>
          </w:p>
        </w:tc>
        <w:tc>
          <w:tcPr>
            <w:tcW w:w="0" w:type="auto"/>
            <w:gridSpan w:val="3"/>
            <w:vAlign w:val="center"/>
            <w:hideMark/>
          </w:tcPr>
          <w:p w14:paraId="4BBA519C" w14:textId="77777777" w:rsidR="00000000" w:rsidRDefault="00A173A8">
            <w:pPr>
              <w:spacing w:after="100"/>
              <w:rPr>
                <w:rFonts w:eastAsia="Times New Roman"/>
                <w:sz w:val="20"/>
                <w:szCs w:val="20"/>
              </w:rPr>
            </w:pPr>
          </w:p>
        </w:tc>
        <w:tc>
          <w:tcPr>
            <w:tcW w:w="0" w:type="auto"/>
            <w:gridSpan w:val="3"/>
            <w:vAlign w:val="center"/>
            <w:hideMark/>
          </w:tcPr>
          <w:p w14:paraId="45D99C1F" w14:textId="77777777" w:rsidR="00000000" w:rsidRDefault="00A173A8">
            <w:pPr>
              <w:spacing w:after="100"/>
              <w:rPr>
                <w:rFonts w:eastAsia="Times New Roman"/>
                <w:sz w:val="20"/>
                <w:szCs w:val="20"/>
              </w:rPr>
            </w:pPr>
          </w:p>
        </w:tc>
        <w:tc>
          <w:tcPr>
            <w:tcW w:w="0" w:type="auto"/>
            <w:gridSpan w:val="3"/>
            <w:vAlign w:val="center"/>
            <w:hideMark/>
          </w:tcPr>
          <w:p w14:paraId="484731EB" w14:textId="77777777" w:rsidR="00000000" w:rsidRDefault="00A173A8">
            <w:pPr>
              <w:spacing w:after="100"/>
              <w:rPr>
                <w:rFonts w:eastAsia="Times New Roman"/>
                <w:sz w:val="20"/>
                <w:szCs w:val="20"/>
              </w:rPr>
            </w:pPr>
          </w:p>
        </w:tc>
        <w:tc>
          <w:tcPr>
            <w:tcW w:w="0" w:type="auto"/>
            <w:gridSpan w:val="3"/>
            <w:vAlign w:val="center"/>
            <w:hideMark/>
          </w:tcPr>
          <w:p w14:paraId="6E52EA59" w14:textId="77777777" w:rsidR="00000000" w:rsidRDefault="00A173A8">
            <w:pPr>
              <w:spacing w:after="100"/>
              <w:rPr>
                <w:rFonts w:eastAsia="Times New Roman"/>
                <w:sz w:val="20"/>
                <w:szCs w:val="20"/>
              </w:rPr>
            </w:pPr>
          </w:p>
        </w:tc>
      </w:tr>
      <w:tr w:rsidR="00000000" w14:paraId="0E76C89B" w14:textId="77777777">
        <w:trPr>
          <w:divId w:val="488981052"/>
        </w:trPr>
        <w:tc>
          <w:tcPr>
            <w:tcW w:w="0" w:type="auto"/>
            <w:gridSpan w:val="3"/>
            <w:vAlign w:val="center"/>
            <w:hideMark/>
          </w:tcPr>
          <w:p w14:paraId="43CBE58F" w14:textId="77777777" w:rsidR="00000000" w:rsidRDefault="00A173A8">
            <w:pPr>
              <w:spacing w:after="100"/>
              <w:rPr>
                <w:rFonts w:eastAsia="Times New Roman"/>
                <w:sz w:val="20"/>
                <w:szCs w:val="20"/>
              </w:rPr>
            </w:pPr>
          </w:p>
        </w:tc>
        <w:tc>
          <w:tcPr>
            <w:tcW w:w="0" w:type="auto"/>
            <w:gridSpan w:val="3"/>
            <w:vAlign w:val="center"/>
            <w:hideMark/>
          </w:tcPr>
          <w:p w14:paraId="00328395" w14:textId="77777777" w:rsidR="00000000" w:rsidRDefault="00A173A8">
            <w:pPr>
              <w:spacing w:after="100"/>
              <w:rPr>
                <w:rFonts w:eastAsia="Times New Roman"/>
                <w:sz w:val="20"/>
                <w:szCs w:val="20"/>
              </w:rPr>
            </w:pPr>
          </w:p>
        </w:tc>
        <w:tc>
          <w:tcPr>
            <w:tcW w:w="0" w:type="auto"/>
            <w:gridSpan w:val="3"/>
            <w:vAlign w:val="center"/>
            <w:hideMark/>
          </w:tcPr>
          <w:p w14:paraId="2CEE9C6F" w14:textId="77777777" w:rsidR="00000000" w:rsidRDefault="00A173A8">
            <w:pPr>
              <w:spacing w:after="100"/>
              <w:rPr>
                <w:rFonts w:eastAsia="Times New Roman"/>
                <w:sz w:val="20"/>
                <w:szCs w:val="20"/>
              </w:rPr>
            </w:pPr>
          </w:p>
        </w:tc>
        <w:tc>
          <w:tcPr>
            <w:tcW w:w="0" w:type="auto"/>
            <w:gridSpan w:val="3"/>
            <w:vAlign w:val="center"/>
            <w:hideMark/>
          </w:tcPr>
          <w:p w14:paraId="58F415BB" w14:textId="77777777" w:rsidR="00000000" w:rsidRDefault="00A173A8">
            <w:pPr>
              <w:spacing w:after="100"/>
              <w:rPr>
                <w:rFonts w:eastAsia="Times New Roman"/>
                <w:sz w:val="20"/>
                <w:szCs w:val="20"/>
              </w:rPr>
            </w:pPr>
          </w:p>
        </w:tc>
        <w:tc>
          <w:tcPr>
            <w:tcW w:w="0" w:type="auto"/>
            <w:gridSpan w:val="3"/>
            <w:vAlign w:val="center"/>
            <w:hideMark/>
          </w:tcPr>
          <w:p w14:paraId="26F29322" w14:textId="77777777" w:rsidR="00000000" w:rsidRDefault="00A173A8">
            <w:pPr>
              <w:spacing w:after="100"/>
              <w:rPr>
                <w:rFonts w:eastAsia="Times New Roman"/>
                <w:sz w:val="20"/>
                <w:szCs w:val="20"/>
              </w:rPr>
            </w:pPr>
          </w:p>
        </w:tc>
        <w:tc>
          <w:tcPr>
            <w:tcW w:w="0" w:type="auto"/>
            <w:gridSpan w:val="3"/>
            <w:vAlign w:val="center"/>
            <w:hideMark/>
          </w:tcPr>
          <w:p w14:paraId="43033DEB" w14:textId="77777777" w:rsidR="00000000" w:rsidRDefault="00A173A8">
            <w:pPr>
              <w:spacing w:after="100"/>
              <w:rPr>
                <w:rFonts w:eastAsia="Times New Roman"/>
                <w:sz w:val="20"/>
                <w:szCs w:val="20"/>
              </w:rPr>
            </w:pPr>
          </w:p>
        </w:tc>
        <w:tc>
          <w:tcPr>
            <w:tcW w:w="0" w:type="auto"/>
            <w:gridSpan w:val="3"/>
            <w:vAlign w:val="center"/>
            <w:hideMark/>
          </w:tcPr>
          <w:p w14:paraId="6E6B2D8B" w14:textId="77777777" w:rsidR="00000000" w:rsidRDefault="00A173A8">
            <w:pPr>
              <w:spacing w:after="100"/>
              <w:rPr>
                <w:rFonts w:eastAsia="Times New Roman"/>
                <w:sz w:val="20"/>
                <w:szCs w:val="20"/>
              </w:rPr>
            </w:pPr>
          </w:p>
        </w:tc>
        <w:tc>
          <w:tcPr>
            <w:tcW w:w="0" w:type="auto"/>
            <w:gridSpan w:val="3"/>
            <w:vAlign w:val="center"/>
            <w:hideMark/>
          </w:tcPr>
          <w:p w14:paraId="20BF3126" w14:textId="77777777" w:rsidR="00000000" w:rsidRDefault="00A173A8">
            <w:pPr>
              <w:spacing w:after="100"/>
              <w:rPr>
                <w:rFonts w:eastAsia="Times New Roman"/>
                <w:sz w:val="20"/>
                <w:szCs w:val="20"/>
              </w:rPr>
            </w:pPr>
          </w:p>
        </w:tc>
        <w:tc>
          <w:tcPr>
            <w:tcW w:w="0" w:type="auto"/>
            <w:gridSpan w:val="3"/>
            <w:vAlign w:val="center"/>
            <w:hideMark/>
          </w:tcPr>
          <w:p w14:paraId="61CD37D3" w14:textId="77777777" w:rsidR="00000000" w:rsidRDefault="00A173A8">
            <w:pPr>
              <w:spacing w:after="100"/>
              <w:rPr>
                <w:rFonts w:eastAsia="Times New Roman"/>
                <w:sz w:val="20"/>
                <w:szCs w:val="20"/>
              </w:rPr>
            </w:pPr>
          </w:p>
        </w:tc>
        <w:tc>
          <w:tcPr>
            <w:tcW w:w="0" w:type="auto"/>
            <w:gridSpan w:val="3"/>
            <w:vAlign w:val="center"/>
            <w:hideMark/>
          </w:tcPr>
          <w:p w14:paraId="18E37C43" w14:textId="77777777" w:rsidR="00000000" w:rsidRDefault="00A173A8">
            <w:pPr>
              <w:spacing w:after="100"/>
              <w:rPr>
                <w:rFonts w:eastAsia="Times New Roman"/>
                <w:sz w:val="20"/>
                <w:szCs w:val="20"/>
              </w:rPr>
            </w:pPr>
          </w:p>
        </w:tc>
        <w:tc>
          <w:tcPr>
            <w:tcW w:w="0" w:type="auto"/>
            <w:gridSpan w:val="3"/>
            <w:vAlign w:val="center"/>
            <w:hideMark/>
          </w:tcPr>
          <w:p w14:paraId="6A22CB50" w14:textId="77777777" w:rsidR="00000000" w:rsidRDefault="00A173A8">
            <w:pPr>
              <w:spacing w:after="100"/>
              <w:rPr>
                <w:rFonts w:eastAsia="Times New Roman"/>
                <w:sz w:val="20"/>
                <w:szCs w:val="20"/>
              </w:rPr>
            </w:pPr>
          </w:p>
        </w:tc>
        <w:tc>
          <w:tcPr>
            <w:tcW w:w="0" w:type="auto"/>
            <w:gridSpan w:val="3"/>
            <w:vAlign w:val="center"/>
            <w:hideMark/>
          </w:tcPr>
          <w:p w14:paraId="53DEA603" w14:textId="77777777" w:rsidR="00000000" w:rsidRDefault="00A173A8">
            <w:pPr>
              <w:spacing w:after="100"/>
              <w:rPr>
                <w:rFonts w:eastAsia="Times New Roman"/>
                <w:sz w:val="20"/>
                <w:szCs w:val="20"/>
              </w:rPr>
            </w:pPr>
          </w:p>
        </w:tc>
        <w:tc>
          <w:tcPr>
            <w:tcW w:w="0" w:type="auto"/>
            <w:gridSpan w:val="3"/>
            <w:vAlign w:val="center"/>
            <w:hideMark/>
          </w:tcPr>
          <w:p w14:paraId="1F9394C9" w14:textId="77777777" w:rsidR="00000000" w:rsidRDefault="00A173A8">
            <w:pPr>
              <w:spacing w:after="100"/>
              <w:rPr>
                <w:rFonts w:eastAsia="Times New Roman"/>
                <w:sz w:val="20"/>
                <w:szCs w:val="20"/>
              </w:rPr>
            </w:pPr>
          </w:p>
        </w:tc>
        <w:tc>
          <w:tcPr>
            <w:tcW w:w="0" w:type="auto"/>
            <w:gridSpan w:val="3"/>
            <w:vAlign w:val="center"/>
            <w:hideMark/>
          </w:tcPr>
          <w:p w14:paraId="7BBFB8BC" w14:textId="77777777" w:rsidR="00000000" w:rsidRDefault="00A173A8">
            <w:pPr>
              <w:spacing w:after="100"/>
              <w:rPr>
                <w:rFonts w:eastAsia="Times New Roman"/>
                <w:sz w:val="20"/>
                <w:szCs w:val="20"/>
              </w:rPr>
            </w:pPr>
          </w:p>
        </w:tc>
        <w:tc>
          <w:tcPr>
            <w:tcW w:w="0" w:type="auto"/>
            <w:gridSpan w:val="3"/>
            <w:vAlign w:val="center"/>
            <w:hideMark/>
          </w:tcPr>
          <w:p w14:paraId="051EFCB6" w14:textId="77777777" w:rsidR="00000000" w:rsidRDefault="00A173A8">
            <w:pPr>
              <w:spacing w:after="100"/>
              <w:rPr>
                <w:rFonts w:eastAsia="Times New Roman"/>
                <w:sz w:val="20"/>
                <w:szCs w:val="20"/>
              </w:rPr>
            </w:pPr>
          </w:p>
        </w:tc>
        <w:tc>
          <w:tcPr>
            <w:tcW w:w="0" w:type="auto"/>
            <w:gridSpan w:val="3"/>
            <w:vAlign w:val="center"/>
            <w:hideMark/>
          </w:tcPr>
          <w:p w14:paraId="10D181B3" w14:textId="77777777" w:rsidR="00000000" w:rsidRDefault="00A173A8">
            <w:pPr>
              <w:spacing w:after="100"/>
              <w:rPr>
                <w:rFonts w:eastAsia="Times New Roman"/>
                <w:sz w:val="20"/>
                <w:szCs w:val="20"/>
              </w:rPr>
            </w:pPr>
          </w:p>
        </w:tc>
        <w:tc>
          <w:tcPr>
            <w:tcW w:w="0" w:type="auto"/>
            <w:gridSpan w:val="3"/>
            <w:vAlign w:val="center"/>
            <w:hideMark/>
          </w:tcPr>
          <w:p w14:paraId="5069709D" w14:textId="77777777" w:rsidR="00000000" w:rsidRDefault="00A173A8">
            <w:pPr>
              <w:spacing w:after="100"/>
              <w:rPr>
                <w:rFonts w:eastAsia="Times New Roman"/>
                <w:sz w:val="20"/>
                <w:szCs w:val="20"/>
              </w:rPr>
            </w:pPr>
          </w:p>
        </w:tc>
        <w:tc>
          <w:tcPr>
            <w:tcW w:w="0" w:type="auto"/>
            <w:gridSpan w:val="3"/>
            <w:vAlign w:val="center"/>
            <w:hideMark/>
          </w:tcPr>
          <w:p w14:paraId="781226E6" w14:textId="77777777" w:rsidR="00000000" w:rsidRDefault="00A173A8">
            <w:pPr>
              <w:spacing w:after="100"/>
              <w:rPr>
                <w:rFonts w:eastAsia="Times New Roman"/>
                <w:sz w:val="20"/>
                <w:szCs w:val="20"/>
              </w:rPr>
            </w:pPr>
          </w:p>
        </w:tc>
        <w:tc>
          <w:tcPr>
            <w:tcW w:w="0" w:type="auto"/>
            <w:gridSpan w:val="3"/>
            <w:vAlign w:val="center"/>
            <w:hideMark/>
          </w:tcPr>
          <w:p w14:paraId="6B6B4D06" w14:textId="77777777" w:rsidR="00000000" w:rsidRDefault="00A173A8">
            <w:pPr>
              <w:spacing w:after="100"/>
              <w:rPr>
                <w:rFonts w:eastAsia="Times New Roman"/>
                <w:sz w:val="20"/>
                <w:szCs w:val="20"/>
              </w:rPr>
            </w:pPr>
          </w:p>
        </w:tc>
      </w:tr>
      <w:tr w:rsidR="00000000" w14:paraId="09DBC095" w14:textId="77777777">
        <w:trPr>
          <w:divId w:val="488981052"/>
        </w:trPr>
        <w:tc>
          <w:tcPr>
            <w:tcW w:w="0" w:type="auto"/>
            <w:gridSpan w:val="3"/>
            <w:vAlign w:val="center"/>
            <w:hideMark/>
          </w:tcPr>
          <w:p w14:paraId="7DFAABA9" w14:textId="77777777" w:rsidR="00000000" w:rsidRDefault="00A173A8">
            <w:pPr>
              <w:spacing w:after="100"/>
              <w:rPr>
                <w:rFonts w:eastAsia="Times New Roman"/>
                <w:sz w:val="20"/>
                <w:szCs w:val="20"/>
              </w:rPr>
            </w:pPr>
          </w:p>
        </w:tc>
        <w:tc>
          <w:tcPr>
            <w:tcW w:w="0" w:type="auto"/>
            <w:gridSpan w:val="3"/>
            <w:vAlign w:val="center"/>
            <w:hideMark/>
          </w:tcPr>
          <w:p w14:paraId="14986BEE" w14:textId="77777777" w:rsidR="00000000" w:rsidRDefault="00A173A8">
            <w:pPr>
              <w:spacing w:after="100"/>
              <w:rPr>
                <w:rFonts w:eastAsia="Times New Roman"/>
                <w:sz w:val="20"/>
                <w:szCs w:val="20"/>
              </w:rPr>
            </w:pPr>
          </w:p>
        </w:tc>
        <w:tc>
          <w:tcPr>
            <w:tcW w:w="0" w:type="auto"/>
            <w:gridSpan w:val="3"/>
            <w:vAlign w:val="center"/>
            <w:hideMark/>
          </w:tcPr>
          <w:p w14:paraId="367154EA" w14:textId="77777777" w:rsidR="00000000" w:rsidRDefault="00A173A8">
            <w:pPr>
              <w:spacing w:after="100"/>
              <w:rPr>
                <w:rFonts w:eastAsia="Times New Roman"/>
                <w:sz w:val="20"/>
                <w:szCs w:val="20"/>
              </w:rPr>
            </w:pPr>
          </w:p>
        </w:tc>
        <w:tc>
          <w:tcPr>
            <w:tcW w:w="0" w:type="auto"/>
            <w:gridSpan w:val="3"/>
            <w:vAlign w:val="center"/>
            <w:hideMark/>
          </w:tcPr>
          <w:p w14:paraId="34D36B7A" w14:textId="77777777" w:rsidR="00000000" w:rsidRDefault="00A173A8">
            <w:pPr>
              <w:spacing w:after="100"/>
              <w:rPr>
                <w:rFonts w:eastAsia="Times New Roman"/>
                <w:sz w:val="20"/>
                <w:szCs w:val="20"/>
              </w:rPr>
            </w:pPr>
          </w:p>
        </w:tc>
        <w:tc>
          <w:tcPr>
            <w:tcW w:w="0" w:type="auto"/>
            <w:gridSpan w:val="3"/>
            <w:vAlign w:val="center"/>
            <w:hideMark/>
          </w:tcPr>
          <w:p w14:paraId="2DCEF253" w14:textId="77777777" w:rsidR="00000000" w:rsidRDefault="00A173A8">
            <w:pPr>
              <w:spacing w:after="100"/>
              <w:rPr>
                <w:rFonts w:eastAsia="Times New Roman"/>
                <w:sz w:val="20"/>
                <w:szCs w:val="20"/>
              </w:rPr>
            </w:pPr>
          </w:p>
        </w:tc>
        <w:tc>
          <w:tcPr>
            <w:tcW w:w="0" w:type="auto"/>
            <w:gridSpan w:val="3"/>
            <w:vAlign w:val="center"/>
            <w:hideMark/>
          </w:tcPr>
          <w:p w14:paraId="77332D2B" w14:textId="77777777" w:rsidR="00000000" w:rsidRDefault="00A173A8">
            <w:pPr>
              <w:spacing w:after="100"/>
              <w:rPr>
                <w:rFonts w:eastAsia="Times New Roman"/>
                <w:sz w:val="20"/>
                <w:szCs w:val="20"/>
              </w:rPr>
            </w:pPr>
          </w:p>
        </w:tc>
        <w:tc>
          <w:tcPr>
            <w:tcW w:w="0" w:type="auto"/>
            <w:gridSpan w:val="3"/>
            <w:vAlign w:val="center"/>
            <w:hideMark/>
          </w:tcPr>
          <w:p w14:paraId="0158D4B8" w14:textId="77777777" w:rsidR="00000000" w:rsidRDefault="00A173A8">
            <w:pPr>
              <w:spacing w:after="100"/>
              <w:rPr>
                <w:rFonts w:eastAsia="Times New Roman"/>
                <w:sz w:val="20"/>
                <w:szCs w:val="20"/>
              </w:rPr>
            </w:pPr>
          </w:p>
        </w:tc>
        <w:tc>
          <w:tcPr>
            <w:tcW w:w="0" w:type="auto"/>
            <w:gridSpan w:val="3"/>
            <w:vAlign w:val="center"/>
            <w:hideMark/>
          </w:tcPr>
          <w:p w14:paraId="47E54154" w14:textId="77777777" w:rsidR="00000000" w:rsidRDefault="00A173A8">
            <w:pPr>
              <w:spacing w:after="100"/>
              <w:rPr>
                <w:rFonts w:eastAsia="Times New Roman"/>
                <w:sz w:val="20"/>
                <w:szCs w:val="20"/>
              </w:rPr>
            </w:pPr>
          </w:p>
        </w:tc>
        <w:tc>
          <w:tcPr>
            <w:tcW w:w="0" w:type="auto"/>
            <w:gridSpan w:val="3"/>
            <w:vAlign w:val="center"/>
            <w:hideMark/>
          </w:tcPr>
          <w:p w14:paraId="41080CFB" w14:textId="77777777" w:rsidR="00000000" w:rsidRDefault="00A173A8">
            <w:pPr>
              <w:spacing w:after="100"/>
              <w:rPr>
                <w:rFonts w:eastAsia="Times New Roman"/>
                <w:sz w:val="20"/>
                <w:szCs w:val="20"/>
              </w:rPr>
            </w:pPr>
          </w:p>
        </w:tc>
        <w:tc>
          <w:tcPr>
            <w:tcW w:w="0" w:type="auto"/>
            <w:gridSpan w:val="3"/>
            <w:vAlign w:val="center"/>
            <w:hideMark/>
          </w:tcPr>
          <w:p w14:paraId="6CE6D9D7" w14:textId="77777777" w:rsidR="00000000" w:rsidRDefault="00A173A8">
            <w:pPr>
              <w:spacing w:after="100"/>
              <w:rPr>
                <w:rFonts w:eastAsia="Times New Roman"/>
                <w:sz w:val="20"/>
                <w:szCs w:val="20"/>
              </w:rPr>
            </w:pPr>
          </w:p>
        </w:tc>
        <w:tc>
          <w:tcPr>
            <w:tcW w:w="0" w:type="auto"/>
            <w:gridSpan w:val="3"/>
            <w:vAlign w:val="center"/>
            <w:hideMark/>
          </w:tcPr>
          <w:p w14:paraId="6F3FF315" w14:textId="77777777" w:rsidR="00000000" w:rsidRDefault="00A173A8">
            <w:pPr>
              <w:spacing w:after="100"/>
              <w:rPr>
                <w:rFonts w:eastAsia="Times New Roman"/>
                <w:sz w:val="20"/>
                <w:szCs w:val="20"/>
              </w:rPr>
            </w:pPr>
          </w:p>
        </w:tc>
        <w:tc>
          <w:tcPr>
            <w:tcW w:w="0" w:type="auto"/>
            <w:gridSpan w:val="3"/>
            <w:vAlign w:val="center"/>
            <w:hideMark/>
          </w:tcPr>
          <w:p w14:paraId="035D4EB7" w14:textId="77777777" w:rsidR="00000000" w:rsidRDefault="00A173A8">
            <w:pPr>
              <w:spacing w:after="100"/>
              <w:rPr>
                <w:rFonts w:eastAsia="Times New Roman"/>
                <w:sz w:val="20"/>
                <w:szCs w:val="20"/>
              </w:rPr>
            </w:pPr>
          </w:p>
        </w:tc>
        <w:tc>
          <w:tcPr>
            <w:tcW w:w="0" w:type="auto"/>
            <w:gridSpan w:val="3"/>
            <w:vAlign w:val="center"/>
            <w:hideMark/>
          </w:tcPr>
          <w:p w14:paraId="2DA16D1E" w14:textId="77777777" w:rsidR="00000000" w:rsidRDefault="00A173A8">
            <w:pPr>
              <w:spacing w:after="100"/>
              <w:rPr>
                <w:rFonts w:eastAsia="Times New Roman"/>
                <w:sz w:val="20"/>
                <w:szCs w:val="20"/>
              </w:rPr>
            </w:pPr>
          </w:p>
        </w:tc>
        <w:tc>
          <w:tcPr>
            <w:tcW w:w="0" w:type="auto"/>
            <w:gridSpan w:val="3"/>
            <w:vAlign w:val="center"/>
            <w:hideMark/>
          </w:tcPr>
          <w:p w14:paraId="24E3D8F0" w14:textId="77777777" w:rsidR="00000000" w:rsidRDefault="00A173A8">
            <w:pPr>
              <w:spacing w:after="100"/>
              <w:rPr>
                <w:rFonts w:eastAsia="Times New Roman"/>
                <w:sz w:val="20"/>
                <w:szCs w:val="20"/>
              </w:rPr>
            </w:pPr>
          </w:p>
        </w:tc>
        <w:tc>
          <w:tcPr>
            <w:tcW w:w="0" w:type="auto"/>
            <w:gridSpan w:val="3"/>
            <w:vAlign w:val="center"/>
            <w:hideMark/>
          </w:tcPr>
          <w:p w14:paraId="54063C23" w14:textId="77777777" w:rsidR="00000000" w:rsidRDefault="00A173A8">
            <w:pPr>
              <w:spacing w:after="100"/>
              <w:rPr>
                <w:rFonts w:eastAsia="Times New Roman"/>
                <w:sz w:val="20"/>
                <w:szCs w:val="20"/>
              </w:rPr>
            </w:pPr>
          </w:p>
        </w:tc>
        <w:tc>
          <w:tcPr>
            <w:tcW w:w="0" w:type="auto"/>
            <w:gridSpan w:val="3"/>
            <w:vAlign w:val="center"/>
            <w:hideMark/>
          </w:tcPr>
          <w:p w14:paraId="0E3DF976" w14:textId="77777777" w:rsidR="00000000" w:rsidRDefault="00A173A8">
            <w:pPr>
              <w:spacing w:after="100"/>
              <w:rPr>
                <w:rFonts w:eastAsia="Times New Roman"/>
                <w:sz w:val="20"/>
                <w:szCs w:val="20"/>
              </w:rPr>
            </w:pPr>
          </w:p>
        </w:tc>
        <w:tc>
          <w:tcPr>
            <w:tcW w:w="0" w:type="auto"/>
            <w:gridSpan w:val="3"/>
            <w:vAlign w:val="center"/>
            <w:hideMark/>
          </w:tcPr>
          <w:p w14:paraId="7A97E92C" w14:textId="77777777" w:rsidR="00000000" w:rsidRDefault="00A173A8">
            <w:pPr>
              <w:spacing w:after="100"/>
              <w:rPr>
                <w:rFonts w:eastAsia="Times New Roman"/>
                <w:sz w:val="20"/>
                <w:szCs w:val="20"/>
              </w:rPr>
            </w:pPr>
          </w:p>
        </w:tc>
        <w:tc>
          <w:tcPr>
            <w:tcW w:w="0" w:type="auto"/>
            <w:gridSpan w:val="3"/>
            <w:vAlign w:val="center"/>
            <w:hideMark/>
          </w:tcPr>
          <w:p w14:paraId="30D93DDD" w14:textId="77777777" w:rsidR="00000000" w:rsidRDefault="00A173A8">
            <w:pPr>
              <w:spacing w:after="100"/>
              <w:rPr>
                <w:rFonts w:eastAsia="Times New Roman"/>
                <w:sz w:val="20"/>
                <w:szCs w:val="20"/>
              </w:rPr>
            </w:pPr>
          </w:p>
        </w:tc>
        <w:tc>
          <w:tcPr>
            <w:tcW w:w="0" w:type="auto"/>
            <w:gridSpan w:val="3"/>
            <w:vAlign w:val="center"/>
            <w:hideMark/>
          </w:tcPr>
          <w:p w14:paraId="19270AF3" w14:textId="77777777" w:rsidR="00000000" w:rsidRDefault="00A173A8">
            <w:pPr>
              <w:spacing w:after="100"/>
              <w:rPr>
                <w:rFonts w:eastAsia="Times New Roman"/>
                <w:sz w:val="20"/>
                <w:szCs w:val="20"/>
              </w:rPr>
            </w:pPr>
          </w:p>
        </w:tc>
      </w:tr>
      <w:tr w:rsidR="00000000" w14:paraId="06EEDEB9" w14:textId="77777777">
        <w:trPr>
          <w:divId w:val="488981052"/>
        </w:trPr>
        <w:tc>
          <w:tcPr>
            <w:tcW w:w="0" w:type="auto"/>
            <w:gridSpan w:val="3"/>
            <w:vAlign w:val="center"/>
            <w:hideMark/>
          </w:tcPr>
          <w:p w14:paraId="4E77BF5D" w14:textId="77777777" w:rsidR="00000000" w:rsidRDefault="00A173A8">
            <w:pPr>
              <w:spacing w:after="100"/>
              <w:rPr>
                <w:rFonts w:eastAsia="Times New Roman"/>
                <w:sz w:val="20"/>
                <w:szCs w:val="20"/>
              </w:rPr>
            </w:pPr>
          </w:p>
        </w:tc>
        <w:tc>
          <w:tcPr>
            <w:tcW w:w="0" w:type="auto"/>
            <w:gridSpan w:val="3"/>
            <w:vAlign w:val="center"/>
            <w:hideMark/>
          </w:tcPr>
          <w:p w14:paraId="62F52534" w14:textId="77777777" w:rsidR="00000000" w:rsidRDefault="00A173A8">
            <w:pPr>
              <w:spacing w:after="100"/>
              <w:rPr>
                <w:rFonts w:eastAsia="Times New Roman"/>
                <w:sz w:val="20"/>
                <w:szCs w:val="20"/>
              </w:rPr>
            </w:pPr>
          </w:p>
        </w:tc>
        <w:tc>
          <w:tcPr>
            <w:tcW w:w="0" w:type="auto"/>
            <w:gridSpan w:val="3"/>
            <w:vAlign w:val="center"/>
            <w:hideMark/>
          </w:tcPr>
          <w:p w14:paraId="71A13499" w14:textId="77777777" w:rsidR="00000000" w:rsidRDefault="00A173A8">
            <w:pPr>
              <w:spacing w:after="100"/>
              <w:rPr>
                <w:rFonts w:eastAsia="Times New Roman"/>
                <w:sz w:val="20"/>
                <w:szCs w:val="20"/>
              </w:rPr>
            </w:pPr>
          </w:p>
        </w:tc>
        <w:tc>
          <w:tcPr>
            <w:tcW w:w="0" w:type="auto"/>
            <w:gridSpan w:val="3"/>
            <w:vAlign w:val="center"/>
            <w:hideMark/>
          </w:tcPr>
          <w:p w14:paraId="506BC353" w14:textId="77777777" w:rsidR="00000000" w:rsidRDefault="00A173A8">
            <w:pPr>
              <w:spacing w:after="100"/>
              <w:rPr>
                <w:rFonts w:eastAsia="Times New Roman"/>
                <w:sz w:val="20"/>
                <w:szCs w:val="20"/>
              </w:rPr>
            </w:pPr>
          </w:p>
        </w:tc>
        <w:tc>
          <w:tcPr>
            <w:tcW w:w="0" w:type="auto"/>
            <w:gridSpan w:val="3"/>
            <w:vAlign w:val="center"/>
            <w:hideMark/>
          </w:tcPr>
          <w:p w14:paraId="513116CD" w14:textId="77777777" w:rsidR="00000000" w:rsidRDefault="00A173A8">
            <w:pPr>
              <w:spacing w:after="100"/>
              <w:rPr>
                <w:rFonts w:eastAsia="Times New Roman"/>
                <w:sz w:val="20"/>
                <w:szCs w:val="20"/>
              </w:rPr>
            </w:pPr>
          </w:p>
        </w:tc>
        <w:tc>
          <w:tcPr>
            <w:tcW w:w="0" w:type="auto"/>
            <w:gridSpan w:val="3"/>
            <w:vAlign w:val="center"/>
            <w:hideMark/>
          </w:tcPr>
          <w:p w14:paraId="63449388" w14:textId="77777777" w:rsidR="00000000" w:rsidRDefault="00A173A8">
            <w:pPr>
              <w:spacing w:after="100"/>
              <w:rPr>
                <w:rFonts w:eastAsia="Times New Roman"/>
                <w:sz w:val="20"/>
                <w:szCs w:val="20"/>
              </w:rPr>
            </w:pPr>
          </w:p>
        </w:tc>
        <w:tc>
          <w:tcPr>
            <w:tcW w:w="0" w:type="auto"/>
            <w:gridSpan w:val="3"/>
            <w:vAlign w:val="center"/>
            <w:hideMark/>
          </w:tcPr>
          <w:p w14:paraId="58DCB92C" w14:textId="77777777" w:rsidR="00000000" w:rsidRDefault="00A173A8">
            <w:pPr>
              <w:spacing w:after="100"/>
              <w:rPr>
                <w:rFonts w:eastAsia="Times New Roman"/>
                <w:sz w:val="20"/>
                <w:szCs w:val="20"/>
              </w:rPr>
            </w:pPr>
          </w:p>
        </w:tc>
        <w:tc>
          <w:tcPr>
            <w:tcW w:w="0" w:type="auto"/>
            <w:gridSpan w:val="3"/>
            <w:vAlign w:val="center"/>
            <w:hideMark/>
          </w:tcPr>
          <w:p w14:paraId="26B8B4FD" w14:textId="77777777" w:rsidR="00000000" w:rsidRDefault="00A173A8">
            <w:pPr>
              <w:spacing w:after="100"/>
              <w:rPr>
                <w:rFonts w:eastAsia="Times New Roman"/>
                <w:sz w:val="20"/>
                <w:szCs w:val="20"/>
              </w:rPr>
            </w:pPr>
          </w:p>
        </w:tc>
        <w:tc>
          <w:tcPr>
            <w:tcW w:w="0" w:type="auto"/>
            <w:gridSpan w:val="3"/>
            <w:vAlign w:val="center"/>
            <w:hideMark/>
          </w:tcPr>
          <w:p w14:paraId="170405E2" w14:textId="77777777" w:rsidR="00000000" w:rsidRDefault="00A173A8">
            <w:pPr>
              <w:spacing w:after="100"/>
              <w:rPr>
                <w:rFonts w:eastAsia="Times New Roman"/>
                <w:sz w:val="20"/>
                <w:szCs w:val="20"/>
              </w:rPr>
            </w:pPr>
          </w:p>
        </w:tc>
        <w:tc>
          <w:tcPr>
            <w:tcW w:w="0" w:type="auto"/>
            <w:gridSpan w:val="3"/>
            <w:vAlign w:val="center"/>
            <w:hideMark/>
          </w:tcPr>
          <w:p w14:paraId="10627CE1" w14:textId="77777777" w:rsidR="00000000" w:rsidRDefault="00A173A8">
            <w:pPr>
              <w:spacing w:after="100"/>
              <w:rPr>
                <w:rFonts w:eastAsia="Times New Roman"/>
                <w:sz w:val="20"/>
                <w:szCs w:val="20"/>
              </w:rPr>
            </w:pPr>
          </w:p>
        </w:tc>
        <w:tc>
          <w:tcPr>
            <w:tcW w:w="0" w:type="auto"/>
            <w:gridSpan w:val="3"/>
            <w:vAlign w:val="center"/>
            <w:hideMark/>
          </w:tcPr>
          <w:p w14:paraId="2D5D8C0C" w14:textId="77777777" w:rsidR="00000000" w:rsidRDefault="00A173A8">
            <w:pPr>
              <w:spacing w:after="100"/>
              <w:rPr>
                <w:rFonts w:eastAsia="Times New Roman"/>
                <w:sz w:val="20"/>
                <w:szCs w:val="20"/>
              </w:rPr>
            </w:pPr>
          </w:p>
        </w:tc>
        <w:tc>
          <w:tcPr>
            <w:tcW w:w="0" w:type="auto"/>
            <w:gridSpan w:val="3"/>
            <w:vAlign w:val="center"/>
            <w:hideMark/>
          </w:tcPr>
          <w:p w14:paraId="78D266B2" w14:textId="77777777" w:rsidR="00000000" w:rsidRDefault="00A173A8">
            <w:pPr>
              <w:spacing w:after="100"/>
              <w:rPr>
                <w:rFonts w:eastAsia="Times New Roman"/>
                <w:sz w:val="20"/>
                <w:szCs w:val="20"/>
              </w:rPr>
            </w:pPr>
          </w:p>
        </w:tc>
        <w:tc>
          <w:tcPr>
            <w:tcW w:w="0" w:type="auto"/>
            <w:gridSpan w:val="3"/>
            <w:vAlign w:val="center"/>
            <w:hideMark/>
          </w:tcPr>
          <w:p w14:paraId="3ABABFAA" w14:textId="77777777" w:rsidR="00000000" w:rsidRDefault="00A173A8">
            <w:pPr>
              <w:spacing w:after="100"/>
              <w:rPr>
                <w:rFonts w:eastAsia="Times New Roman"/>
                <w:sz w:val="20"/>
                <w:szCs w:val="20"/>
              </w:rPr>
            </w:pPr>
          </w:p>
        </w:tc>
        <w:tc>
          <w:tcPr>
            <w:tcW w:w="0" w:type="auto"/>
            <w:gridSpan w:val="3"/>
            <w:vAlign w:val="center"/>
            <w:hideMark/>
          </w:tcPr>
          <w:p w14:paraId="2957A01F" w14:textId="77777777" w:rsidR="00000000" w:rsidRDefault="00A173A8">
            <w:pPr>
              <w:spacing w:after="100"/>
              <w:rPr>
                <w:rFonts w:eastAsia="Times New Roman"/>
                <w:sz w:val="20"/>
                <w:szCs w:val="20"/>
              </w:rPr>
            </w:pPr>
          </w:p>
        </w:tc>
        <w:tc>
          <w:tcPr>
            <w:tcW w:w="0" w:type="auto"/>
            <w:gridSpan w:val="3"/>
            <w:vAlign w:val="center"/>
            <w:hideMark/>
          </w:tcPr>
          <w:p w14:paraId="21A6840E" w14:textId="77777777" w:rsidR="00000000" w:rsidRDefault="00A173A8">
            <w:pPr>
              <w:spacing w:after="100"/>
              <w:rPr>
                <w:rFonts w:eastAsia="Times New Roman"/>
                <w:sz w:val="20"/>
                <w:szCs w:val="20"/>
              </w:rPr>
            </w:pPr>
          </w:p>
        </w:tc>
        <w:tc>
          <w:tcPr>
            <w:tcW w:w="0" w:type="auto"/>
            <w:gridSpan w:val="3"/>
            <w:vAlign w:val="center"/>
            <w:hideMark/>
          </w:tcPr>
          <w:p w14:paraId="0C24C8CF" w14:textId="77777777" w:rsidR="00000000" w:rsidRDefault="00A173A8">
            <w:pPr>
              <w:spacing w:after="100"/>
              <w:rPr>
                <w:rFonts w:eastAsia="Times New Roman"/>
                <w:sz w:val="20"/>
                <w:szCs w:val="20"/>
              </w:rPr>
            </w:pPr>
          </w:p>
        </w:tc>
        <w:tc>
          <w:tcPr>
            <w:tcW w:w="0" w:type="auto"/>
            <w:gridSpan w:val="3"/>
            <w:vAlign w:val="center"/>
            <w:hideMark/>
          </w:tcPr>
          <w:p w14:paraId="7A3857C1" w14:textId="77777777" w:rsidR="00000000" w:rsidRDefault="00A173A8">
            <w:pPr>
              <w:spacing w:after="100"/>
              <w:rPr>
                <w:rFonts w:eastAsia="Times New Roman"/>
                <w:sz w:val="20"/>
                <w:szCs w:val="20"/>
              </w:rPr>
            </w:pPr>
          </w:p>
        </w:tc>
        <w:tc>
          <w:tcPr>
            <w:tcW w:w="0" w:type="auto"/>
            <w:gridSpan w:val="3"/>
            <w:vAlign w:val="center"/>
            <w:hideMark/>
          </w:tcPr>
          <w:p w14:paraId="5E8B8DE8" w14:textId="77777777" w:rsidR="00000000" w:rsidRDefault="00A173A8">
            <w:pPr>
              <w:spacing w:after="100"/>
              <w:rPr>
                <w:rFonts w:eastAsia="Times New Roman"/>
                <w:sz w:val="20"/>
                <w:szCs w:val="20"/>
              </w:rPr>
            </w:pPr>
          </w:p>
        </w:tc>
        <w:tc>
          <w:tcPr>
            <w:tcW w:w="0" w:type="auto"/>
            <w:gridSpan w:val="3"/>
            <w:vAlign w:val="center"/>
            <w:hideMark/>
          </w:tcPr>
          <w:p w14:paraId="2ACFF4CB" w14:textId="77777777" w:rsidR="00000000" w:rsidRDefault="00A173A8">
            <w:pPr>
              <w:spacing w:after="100"/>
              <w:rPr>
                <w:rFonts w:eastAsia="Times New Roman"/>
                <w:sz w:val="20"/>
                <w:szCs w:val="20"/>
              </w:rPr>
            </w:pPr>
          </w:p>
        </w:tc>
      </w:tr>
      <w:tr w:rsidR="00000000" w14:paraId="4A721239" w14:textId="77777777">
        <w:trPr>
          <w:divId w:val="488981052"/>
        </w:trPr>
        <w:tc>
          <w:tcPr>
            <w:tcW w:w="0" w:type="auto"/>
            <w:gridSpan w:val="3"/>
            <w:vAlign w:val="center"/>
            <w:hideMark/>
          </w:tcPr>
          <w:p w14:paraId="14E323EB" w14:textId="77777777" w:rsidR="00000000" w:rsidRDefault="00A173A8">
            <w:pPr>
              <w:spacing w:after="100"/>
              <w:rPr>
                <w:rFonts w:eastAsia="Times New Roman"/>
                <w:sz w:val="20"/>
                <w:szCs w:val="20"/>
              </w:rPr>
            </w:pPr>
          </w:p>
        </w:tc>
        <w:tc>
          <w:tcPr>
            <w:tcW w:w="0" w:type="auto"/>
            <w:gridSpan w:val="3"/>
            <w:vAlign w:val="center"/>
            <w:hideMark/>
          </w:tcPr>
          <w:p w14:paraId="68E5B780" w14:textId="77777777" w:rsidR="00000000" w:rsidRDefault="00A173A8">
            <w:pPr>
              <w:spacing w:after="100"/>
              <w:rPr>
                <w:rFonts w:eastAsia="Times New Roman"/>
                <w:sz w:val="20"/>
                <w:szCs w:val="20"/>
              </w:rPr>
            </w:pPr>
          </w:p>
        </w:tc>
        <w:tc>
          <w:tcPr>
            <w:tcW w:w="0" w:type="auto"/>
            <w:gridSpan w:val="3"/>
            <w:vAlign w:val="center"/>
            <w:hideMark/>
          </w:tcPr>
          <w:p w14:paraId="4FBD8E21" w14:textId="77777777" w:rsidR="00000000" w:rsidRDefault="00A173A8">
            <w:pPr>
              <w:spacing w:after="100"/>
              <w:rPr>
                <w:rFonts w:eastAsia="Times New Roman"/>
                <w:sz w:val="20"/>
                <w:szCs w:val="20"/>
              </w:rPr>
            </w:pPr>
          </w:p>
        </w:tc>
        <w:tc>
          <w:tcPr>
            <w:tcW w:w="0" w:type="auto"/>
            <w:gridSpan w:val="3"/>
            <w:vAlign w:val="center"/>
            <w:hideMark/>
          </w:tcPr>
          <w:p w14:paraId="36025FA8" w14:textId="77777777" w:rsidR="00000000" w:rsidRDefault="00A173A8">
            <w:pPr>
              <w:spacing w:after="100"/>
              <w:rPr>
                <w:rFonts w:eastAsia="Times New Roman"/>
                <w:sz w:val="20"/>
                <w:szCs w:val="20"/>
              </w:rPr>
            </w:pPr>
          </w:p>
        </w:tc>
        <w:tc>
          <w:tcPr>
            <w:tcW w:w="0" w:type="auto"/>
            <w:gridSpan w:val="3"/>
            <w:vAlign w:val="center"/>
            <w:hideMark/>
          </w:tcPr>
          <w:p w14:paraId="141C7771" w14:textId="77777777" w:rsidR="00000000" w:rsidRDefault="00A173A8">
            <w:pPr>
              <w:spacing w:after="100"/>
              <w:rPr>
                <w:rFonts w:eastAsia="Times New Roman"/>
                <w:sz w:val="20"/>
                <w:szCs w:val="20"/>
              </w:rPr>
            </w:pPr>
          </w:p>
        </w:tc>
        <w:tc>
          <w:tcPr>
            <w:tcW w:w="0" w:type="auto"/>
            <w:gridSpan w:val="3"/>
            <w:vAlign w:val="center"/>
            <w:hideMark/>
          </w:tcPr>
          <w:p w14:paraId="231EE180" w14:textId="77777777" w:rsidR="00000000" w:rsidRDefault="00A173A8">
            <w:pPr>
              <w:spacing w:after="100"/>
              <w:rPr>
                <w:rFonts w:eastAsia="Times New Roman"/>
                <w:sz w:val="20"/>
                <w:szCs w:val="20"/>
              </w:rPr>
            </w:pPr>
          </w:p>
        </w:tc>
        <w:tc>
          <w:tcPr>
            <w:tcW w:w="0" w:type="auto"/>
            <w:gridSpan w:val="3"/>
            <w:vAlign w:val="center"/>
            <w:hideMark/>
          </w:tcPr>
          <w:p w14:paraId="72BDAEDC" w14:textId="77777777" w:rsidR="00000000" w:rsidRDefault="00A173A8">
            <w:pPr>
              <w:spacing w:after="100"/>
              <w:rPr>
                <w:rFonts w:eastAsia="Times New Roman"/>
                <w:sz w:val="20"/>
                <w:szCs w:val="20"/>
              </w:rPr>
            </w:pPr>
          </w:p>
        </w:tc>
        <w:tc>
          <w:tcPr>
            <w:tcW w:w="0" w:type="auto"/>
            <w:gridSpan w:val="3"/>
            <w:vAlign w:val="center"/>
            <w:hideMark/>
          </w:tcPr>
          <w:p w14:paraId="71EA1313" w14:textId="77777777" w:rsidR="00000000" w:rsidRDefault="00A173A8">
            <w:pPr>
              <w:spacing w:after="100"/>
              <w:rPr>
                <w:rFonts w:eastAsia="Times New Roman"/>
                <w:sz w:val="20"/>
                <w:szCs w:val="20"/>
              </w:rPr>
            </w:pPr>
          </w:p>
        </w:tc>
        <w:tc>
          <w:tcPr>
            <w:tcW w:w="0" w:type="auto"/>
            <w:gridSpan w:val="3"/>
            <w:vAlign w:val="center"/>
            <w:hideMark/>
          </w:tcPr>
          <w:p w14:paraId="3BEAA222" w14:textId="77777777" w:rsidR="00000000" w:rsidRDefault="00A173A8">
            <w:pPr>
              <w:spacing w:after="100"/>
              <w:rPr>
                <w:rFonts w:eastAsia="Times New Roman"/>
                <w:sz w:val="20"/>
                <w:szCs w:val="20"/>
              </w:rPr>
            </w:pPr>
          </w:p>
        </w:tc>
        <w:tc>
          <w:tcPr>
            <w:tcW w:w="0" w:type="auto"/>
            <w:gridSpan w:val="3"/>
            <w:vAlign w:val="center"/>
            <w:hideMark/>
          </w:tcPr>
          <w:p w14:paraId="335AD149" w14:textId="77777777" w:rsidR="00000000" w:rsidRDefault="00A173A8">
            <w:pPr>
              <w:spacing w:after="100"/>
              <w:rPr>
                <w:rFonts w:eastAsia="Times New Roman"/>
                <w:sz w:val="20"/>
                <w:szCs w:val="20"/>
              </w:rPr>
            </w:pPr>
          </w:p>
        </w:tc>
        <w:tc>
          <w:tcPr>
            <w:tcW w:w="0" w:type="auto"/>
            <w:gridSpan w:val="3"/>
            <w:vAlign w:val="center"/>
            <w:hideMark/>
          </w:tcPr>
          <w:p w14:paraId="3E1BBCAE" w14:textId="77777777" w:rsidR="00000000" w:rsidRDefault="00A173A8">
            <w:pPr>
              <w:spacing w:after="100"/>
              <w:rPr>
                <w:rFonts w:eastAsia="Times New Roman"/>
                <w:sz w:val="20"/>
                <w:szCs w:val="20"/>
              </w:rPr>
            </w:pPr>
          </w:p>
        </w:tc>
        <w:tc>
          <w:tcPr>
            <w:tcW w:w="0" w:type="auto"/>
            <w:gridSpan w:val="3"/>
            <w:vAlign w:val="center"/>
            <w:hideMark/>
          </w:tcPr>
          <w:p w14:paraId="49222CE9" w14:textId="77777777" w:rsidR="00000000" w:rsidRDefault="00A173A8">
            <w:pPr>
              <w:spacing w:after="100"/>
              <w:rPr>
                <w:rFonts w:eastAsia="Times New Roman"/>
                <w:sz w:val="20"/>
                <w:szCs w:val="20"/>
              </w:rPr>
            </w:pPr>
          </w:p>
        </w:tc>
        <w:tc>
          <w:tcPr>
            <w:tcW w:w="0" w:type="auto"/>
            <w:gridSpan w:val="3"/>
            <w:vAlign w:val="center"/>
            <w:hideMark/>
          </w:tcPr>
          <w:p w14:paraId="3F21CE58" w14:textId="77777777" w:rsidR="00000000" w:rsidRDefault="00A173A8">
            <w:pPr>
              <w:spacing w:after="100"/>
              <w:rPr>
                <w:rFonts w:eastAsia="Times New Roman"/>
                <w:sz w:val="20"/>
                <w:szCs w:val="20"/>
              </w:rPr>
            </w:pPr>
          </w:p>
        </w:tc>
        <w:tc>
          <w:tcPr>
            <w:tcW w:w="0" w:type="auto"/>
            <w:gridSpan w:val="3"/>
            <w:vAlign w:val="center"/>
            <w:hideMark/>
          </w:tcPr>
          <w:p w14:paraId="0EF5EECC" w14:textId="77777777" w:rsidR="00000000" w:rsidRDefault="00A173A8">
            <w:pPr>
              <w:spacing w:after="100"/>
              <w:rPr>
                <w:rFonts w:eastAsia="Times New Roman"/>
                <w:sz w:val="20"/>
                <w:szCs w:val="20"/>
              </w:rPr>
            </w:pPr>
          </w:p>
        </w:tc>
        <w:tc>
          <w:tcPr>
            <w:tcW w:w="0" w:type="auto"/>
            <w:gridSpan w:val="3"/>
            <w:vAlign w:val="center"/>
            <w:hideMark/>
          </w:tcPr>
          <w:p w14:paraId="0BD6C002" w14:textId="77777777" w:rsidR="00000000" w:rsidRDefault="00A173A8">
            <w:pPr>
              <w:spacing w:after="100"/>
              <w:rPr>
                <w:rFonts w:eastAsia="Times New Roman"/>
                <w:sz w:val="20"/>
                <w:szCs w:val="20"/>
              </w:rPr>
            </w:pPr>
          </w:p>
        </w:tc>
        <w:tc>
          <w:tcPr>
            <w:tcW w:w="0" w:type="auto"/>
            <w:gridSpan w:val="3"/>
            <w:vAlign w:val="center"/>
            <w:hideMark/>
          </w:tcPr>
          <w:p w14:paraId="4890D389" w14:textId="77777777" w:rsidR="00000000" w:rsidRDefault="00A173A8">
            <w:pPr>
              <w:spacing w:after="100"/>
              <w:rPr>
                <w:rFonts w:eastAsia="Times New Roman"/>
                <w:sz w:val="20"/>
                <w:szCs w:val="20"/>
              </w:rPr>
            </w:pPr>
          </w:p>
        </w:tc>
        <w:tc>
          <w:tcPr>
            <w:tcW w:w="0" w:type="auto"/>
            <w:gridSpan w:val="3"/>
            <w:vAlign w:val="center"/>
            <w:hideMark/>
          </w:tcPr>
          <w:p w14:paraId="770FFB31" w14:textId="77777777" w:rsidR="00000000" w:rsidRDefault="00A173A8">
            <w:pPr>
              <w:spacing w:after="100"/>
              <w:rPr>
                <w:rFonts w:eastAsia="Times New Roman"/>
                <w:sz w:val="20"/>
                <w:szCs w:val="20"/>
              </w:rPr>
            </w:pPr>
          </w:p>
        </w:tc>
        <w:tc>
          <w:tcPr>
            <w:tcW w:w="0" w:type="auto"/>
            <w:gridSpan w:val="3"/>
            <w:vAlign w:val="center"/>
            <w:hideMark/>
          </w:tcPr>
          <w:p w14:paraId="3B24917E" w14:textId="77777777" w:rsidR="00000000" w:rsidRDefault="00A173A8">
            <w:pPr>
              <w:spacing w:after="100"/>
              <w:rPr>
                <w:rFonts w:eastAsia="Times New Roman"/>
                <w:sz w:val="20"/>
                <w:szCs w:val="20"/>
              </w:rPr>
            </w:pPr>
          </w:p>
        </w:tc>
        <w:tc>
          <w:tcPr>
            <w:tcW w:w="0" w:type="auto"/>
            <w:gridSpan w:val="3"/>
            <w:vAlign w:val="center"/>
            <w:hideMark/>
          </w:tcPr>
          <w:p w14:paraId="04EE7102" w14:textId="77777777" w:rsidR="00000000" w:rsidRDefault="00A173A8">
            <w:pPr>
              <w:spacing w:after="100"/>
              <w:rPr>
                <w:rFonts w:eastAsia="Times New Roman"/>
                <w:sz w:val="20"/>
                <w:szCs w:val="20"/>
              </w:rPr>
            </w:pPr>
          </w:p>
        </w:tc>
      </w:tr>
      <w:tr w:rsidR="00000000" w14:paraId="3048DD55" w14:textId="77777777">
        <w:trPr>
          <w:divId w:val="488981052"/>
        </w:trPr>
        <w:tc>
          <w:tcPr>
            <w:tcW w:w="0" w:type="auto"/>
            <w:gridSpan w:val="3"/>
            <w:vAlign w:val="center"/>
            <w:hideMark/>
          </w:tcPr>
          <w:p w14:paraId="1531ECE7" w14:textId="77777777" w:rsidR="00000000" w:rsidRDefault="00A173A8">
            <w:pPr>
              <w:spacing w:after="100"/>
              <w:rPr>
                <w:rFonts w:eastAsia="Times New Roman"/>
                <w:sz w:val="20"/>
                <w:szCs w:val="20"/>
              </w:rPr>
            </w:pPr>
          </w:p>
        </w:tc>
        <w:tc>
          <w:tcPr>
            <w:tcW w:w="0" w:type="auto"/>
            <w:gridSpan w:val="3"/>
            <w:vAlign w:val="center"/>
            <w:hideMark/>
          </w:tcPr>
          <w:p w14:paraId="375A0561" w14:textId="77777777" w:rsidR="00000000" w:rsidRDefault="00A173A8">
            <w:pPr>
              <w:spacing w:after="100"/>
              <w:rPr>
                <w:rFonts w:eastAsia="Times New Roman"/>
                <w:sz w:val="20"/>
                <w:szCs w:val="20"/>
              </w:rPr>
            </w:pPr>
          </w:p>
        </w:tc>
        <w:tc>
          <w:tcPr>
            <w:tcW w:w="0" w:type="auto"/>
            <w:gridSpan w:val="3"/>
            <w:vAlign w:val="center"/>
            <w:hideMark/>
          </w:tcPr>
          <w:p w14:paraId="138D1B34" w14:textId="77777777" w:rsidR="00000000" w:rsidRDefault="00A173A8">
            <w:pPr>
              <w:spacing w:after="100"/>
              <w:rPr>
                <w:rFonts w:eastAsia="Times New Roman"/>
                <w:sz w:val="20"/>
                <w:szCs w:val="20"/>
              </w:rPr>
            </w:pPr>
          </w:p>
        </w:tc>
        <w:tc>
          <w:tcPr>
            <w:tcW w:w="0" w:type="auto"/>
            <w:gridSpan w:val="3"/>
            <w:vAlign w:val="center"/>
            <w:hideMark/>
          </w:tcPr>
          <w:p w14:paraId="27595FE0" w14:textId="77777777" w:rsidR="00000000" w:rsidRDefault="00A173A8">
            <w:pPr>
              <w:spacing w:after="100"/>
              <w:rPr>
                <w:rFonts w:eastAsia="Times New Roman"/>
                <w:sz w:val="20"/>
                <w:szCs w:val="20"/>
              </w:rPr>
            </w:pPr>
          </w:p>
        </w:tc>
        <w:tc>
          <w:tcPr>
            <w:tcW w:w="0" w:type="auto"/>
            <w:gridSpan w:val="3"/>
            <w:vAlign w:val="center"/>
            <w:hideMark/>
          </w:tcPr>
          <w:p w14:paraId="2ABFE0E1" w14:textId="77777777" w:rsidR="00000000" w:rsidRDefault="00A173A8">
            <w:pPr>
              <w:spacing w:after="100"/>
              <w:rPr>
                <w:rFonts w:eastAsia="Times New Roman"/>
                <w:sz w:val="20"/>
                <w:szCs w:val="20"/>
              </w:rPr>
            </w:pPr>
          </w:p>
        </w:tc>
        <w:tc>
          <w:tcPr>
            <w:tcW w:w="0" w:type="auto"/>
            <w:gridSpan w:val="3"/>
            <w:vAlign w:val="center"/>
            <w:hideMark/>
          </w:tcPr>
          <w:p w14:paraId="1E22DCAD" w14:textId="77777777" w:rsidR="00000000" w:rsidRDefault="00A173A8">
            <w:pPr>
              <w:spacing w:after="100"/>
              <w:rPr>
                <w:rFonts w:eastAsia="Times New Roman"/>
                <w:sz w:val="20"/>
                <w:szCs w:val="20"/>
              </w:rPr>
            </w:pPr>
          </w:p>
        </w:tc>
        <w:tc>
          <w:tcPr>
            <w:tcW w:w="0" w:type="auto"/>
            <w:gridSpan w:val="3"/>
            <w:vAlign w:val="center"/>
            <w:hideMark/>
          </w:tcPr>
          <w:p w14:paraId="3A789085" w14:textId="77777777" w:rsidR="00000000" w:rsidRDefault="00A173A8">
            <w:pPr>
              <w:spacing w:after="100"/>
              <w:rPr>
                <w:rFonts w:eastAsia="Times New Roman"/>
                <w:sz w:val="20"/>
                <w:szCs w:val="20"/>
              </w:rPr>
            </w:pPr>
          </w:p>
        </w:tc>
        <w:tc>
          <w:tcPr>
            <w:tcW w:w="0" w:type="auto"/>
            <w:gridSpan w:val="3"/>
            <w:vAlign w:val="center"/>
            <w:hideMark/>
          </w:tcPr>
          <w:p w14:paraId="3E4D1695" w14:textId="77777777" w:rsidR="00000000" w:rsidRDefault="00A173A8">
            <w:pPr>
              <w:spacing w:after="100"/>
              <w:rPr>
                <w:rFonts w:eastAsia="Times New Roman"/>
                <w:sz w:val="20"/>
                <w:szCs w:val="20"/>
              </w:rPr>
            </w:pPr>
          </w:p>
        </w:tc>
        <w:tc>
          <w:tcPr>
            <w:tcW w:w="0" w:type="auto"/>
            <w:gridSpan w:val="3"/>
            <w:vAlign w:val="center"/>
            <w:hideMark/>
          </w:tcPr>
          <w:p w14:paraId="2E682AEC" w14:textId="77777777" w:rsidR="00000000" w:rsidRDefault="00A173A8">
            <w:pPr>
              <w:spacing w:after="100"/>
              <w:rPr>
                <w:rFonts w:eastAsia="Times New Roman"/>
                <w:sz w:val="20"/>
                <w:szCs w:val="20"/>
              </w:rPr>
            </w:pPr>
          </w:p>
        </w:tc>
        <w:tc>
          <w:tcPr>
            <w:tcW w:w="0" w:type="auto"/>
            <w:gridSpan w:val="3"/>
            <w:vAlign w:val="center"/>
            <w:hideMark/>
          </w:tcPr>
          <w:p w14:paraId="6D435C93" w14:textId="77777777" w:rsidR="00000000" w:rsidRDefault="00A173A8">
            <w:pPr>
              <w:spacing w:after="100"/>
              <w:rPr>
                <w:rFonts w:eastAsia="Times New Roman"/>
                <w:sz w:val="20"/>
                <w:szCs w:val="20"/>
              </w:rPr>
            </w:pPr>
          </w:p>
        </w:tc>
        <w:tc>
          <w:tcPr>
            <w:tcW w:w="0" w:type="auto"/>
            <w:gridSpan w:val="3"/>
            <w:vAlign w:val="center"/>
            <w:hideMark/>
          </w:tcPr>
          <w:p w14:paraId="4C43601F" w14:textId="77777777" w:rsidR="00000000" w:rsidRDefault="00A173A8">
            <w:pPr>
              <w:spacing w:after="100"/>
              <w:rPr>
                <w:rFonts w:eastAsia="Times New Roman"/>
                <w:sz w:val="20"/>
                <w:szCs w:val="20"/>
              </w:rPr>
            </w:pPr>
          </w:p>
        </w:tc>
        <w:tc>
          <w:tcPr>
            <w:tcW w:w="0" w:type="auto"/>
            <w:gridSpan w:val="3"/>
            <w:vAlign w:val="center"/>
            <w:hideMark/>
          </w:tcPr>
          <w:p w14:paraId="4FCB74AE" w14:textId="77777777" w:rsidR="00000000" w:rsidRDefault="00A173A8">
            <w:pPr>
              <w:spacing w:after="100"/>
              <w:rPr>
                <w:rFonts w:eastAsia="Times New Roman"/>
                <w:sz w:val="20"/>
                <w:szCs w:val="20"/>
              </w:rPr>
            </w:pPr>
          </w:p>
        </w:tc>
        <w:tc>
          <w:tcPr>
            <w:tcW w:w="0" w:type="auto"/>
            <w:gridSpan w:val="3"/>
            <w:vAlign w:val="center"/>
            <w:hideMark/>
          </w:tcPr>
          <w:p w14:paraId="4B4814DF" w14:textId="77777777" w:rsidR="00000000" w:rsidRDefault="00A173A8">
            <w:pPr>
              <w:spacing w:after="100"/>
              <w:rPr>
                <w:rFonts w:eastAsia="Times New Roman"/>
                <w:sz w:val="20"/>
                <w:szCs w:val="20"/>
              </w:rPr>
            </w:pPr>
          </w:p>
        </w:tc>
        <w:tc>
          <w:tcPr>
            <w:tcW w:w="0" w:type="auto"/>
            <w:gridSpan w:val="3"/>
            <w:vAlign w:val="center"/>
            <w:hideMark/>
          </w:tcPr>
          <w:p w14:paraId="27558ACD" w14:textId="77777777" w:rsidR="00000000" w:rsidRDefault="00A173A8">
            <w:pPr>
              <w:spacing w:after="100"/>
              <w:rPr>
                <w:rFonts w:eastAsia="Times New Roman"/>
                <w:sz w:val="20"/>
                <w:szCs w:val="20"/>
              </w:rPr>
            </w:pPr>
          </w:p>
        </w:tc>
        <w:tc>
          <w:tcPr>
            <w:tcW w:w="0" w:type="auto"/>
            <w:gridSpan w:val="3"/>
            <w:vAlign w:val="center"/>
            <w:hideMark/>
          </w:tcPr>
          <w:p w14:paraId="17BAA182" w14:textId="77777777" w:rsidR="00000000" w:rsidRDefault="00A173A8">
            <w:pPr>
              <w:spacing w:after="100"/>
              <w:rPr>
                <w:rFonts w:eastAsia="Times New Roman"/>
                <w:sz w:val="20"/>
                <w:szCs w:val="20"/>
              </w:rPr>
            </w:pPr>
          </w:p>
        </w:tc>
        <w:tc>
          <w:tcPr>
            <w:tcW w:w="0" w:type="auto"/>
            <w:gridSpan w:val="3"/>
            <w:vAlign w:val="center"/>
            <w:hideMark/>
          </w:tcPr>
          <w:p w14:paraId="6DD2B331" w14:textId="77777777" w:rsidR="00000000" w:rsidRDefault="00A173A8">
            <w:pPr>
              <w:spacing w:after="100"/>
              <w:rPr>
                <w:rFonts w:eastAsia="Times New Roman"/>
                <w:sz w:val="20"/>
                <w:szCs w:val="20"/>
              </w:rPr>
            </w:pPr>
          </w:p>
        </w:tc>
        <w:tc>
          <w:tcPr>
            <w:tcW w:w="0" w:type="auto"/>
            <w:gridSpan w:val="3"/>
            <w:vAlign w:val="center"/>
            <w:hideMark/>
          </w:tcPr>
          <w:p w14:paraId="47315D21" w14:textId="77777777" w:rsidR="00000000" w:rsidRDefault="00A173A8">
            <w:pPr>
              <w:spacing w:after="100"/>
              <w:rPr>
                <w:rFonts w:eastAsia="Times New Roman"/>
                <w:sz w:val="20"/>
                <w:szCs w:val="20"/>
              </w:rPr>
            </w:pPr>
          </w:p>
        </w:tc>
        <w:tc>
          <w:tcPr>
            <w:tcW w:w="0" w:type="auto"/>
            <w:gridSpan w:val="3"/>
            <w:vAlign w:val="center"/>
            <w:hideMark/>
          </w:tcPr>
          <w:p w14:paraId="4BCE9E6B" w14:textId="77777777" w:rsidR="00000000" w:rsidRDefault="00A173A8">
            <w:pPr>
              <w:spacing w:after="100"/>
              <w:rPr>
                <w:rFonts w:eastAsia="Times New Roman"/>
                <w:sz w:val="20"/>
                <w:szCs w:val="20"/>
              </w:rPr>
            </w:pPr>
          </w:p>
        </w:tc>
        <w:tc>
          <w:tcPr>
            <w:tcW w:w="0" w:type="auto"/>
            <w:gridSpan w:val="3"/>
            <w:vAlign w:val="center"/>
            <w:hideMark/>
          </w:tcPr>
          <w:p w14:paraId="50A04A22" w14:textId="77777777" w:rsidR="00000000" w:rsidRDefault="00A173A8">
            <w:pPr>
              <w:spacing w:after="100"/>
              <w:rPr>
                <w:rFonts w:eastAsia="Times New Roman"/>
                <w:sz w:val="20"/>
                <w:szCs w:val="20"/>
              </w:rPr>
            </w:pPr>
          </w:p>
        </w:tc>
      </w:tr>
      <w:tr w:rsidR="00000000" w14:paraId="50320E24" w14:textId="77777777">
        <w:trPr>
          <w:divId w:val="488981052"/>
        </w:trPr>
        <w:tc>
          <w:tcPr>
            <w:tcW w:w="0" w:type="auto"/>
            <w:gridSpan w:val="3"/>
            <w:vAlign w:val="center"/>
            <w:hideMark/>
          </w:tcPr>
          <w:p w14:paraId="765FDDB1" w14:textId="77777777" w:rsidR="00000000" w:rsidRDefault="00A173A8">
            <w:pPr>
              <w:spacing w:after="100"/>
              <w:rPr>
                <w:rFonts w:eastAsia="Times New Roman"/>
                <w:sz w:val="20"/>
                <w:szCs w:val="20"/>
              </w:rPr>
            </w:pPr>
          </w:p>
        </w:tc>
        <w:tc>
          <w:tcPr>
            <w:tcW w:w="0" w:type="auto"/>
            <w:gridSpan w:val="3"/>
            <w:vAlign w:val="center"/>
            <w:hideMark/>
          </w:tcPr>
          <w:p w14:paraId="56C8CB02" w14:textId="77777777" w:rsidR="00000000" w:rsidRDefault="00A173A8">
            <w:pPr>
              <w:spacing w:after="100"/>
              <w:rPr>
                <w:rFonts w:eastAsia="Times New Roman"/>
                <w:sz w:val="20"/>
                <w:szCs w:val="20"/>
              </w:rPr>
            </w:pPr>
          </w:p>
        </w:tc>
        <w:tc>
          <w:tcPr>
            <w:tcW w:w="0" w:type="auto"/>
            <w:gridSpan w:val="3"/>
            <w:vAlign w:val="center"/>
            <w:hideMark/>
          </w:tcPr>
          <w:p w14:paraId="7020E15E" w14:textId="77777777" w:rsidR="00000000" w:rsidRDefault="00A173A8">
            <w:pPr>
              <w:spacing w:after="100"/>
              <w:rPr>
                <w:rFonts w:eastAsia="Times New Roman"/>
                <w:sz w:val="20"/>
                <w:szCs w:val="20"/>
              </w:rPr>
            </w:pPr>
          </w:p>
        </w:tc>
        <w:tc>
          <w:tcPr>
            <w:tcW w:w="0" w:type="auto"/>
            <w:gridSpan w:val="3"/>
            <w:vAlign w:val="center"/>
            <w:hideMark/>
          </w:tcPr>
          <w:p w14:paraId="3872C497" w14:textId="77777777" w:rsidR="00000000" w:rsidRDefault="00A173A8">
            <w:pPr>
              <w:spacing w:after="100"/>
              <w:rPr>
                <w:rFonts w:eastAsia="Times New Roman"/>
                <w:sz w:val="20"/>
                <w:szCs w:val="20"/>
              </w:rPr>
            </w:pPr>
          </w:p>
        </w:tc>
        <w:tc>
          <w:tcPr>
            <w:tcW w:w="0" w:type="auto"/>
            <w:gridSpan w:val="3"/>
            <w:vAlign w:val="center"/>
            <w:hideMark/>
          </w:tcPr>
          <w:p w14:paraId="25ECAEFF" w14:textId="77777777" w:rsidR="00000000" w:rsidRDefault="00A173A8">
            <w:pPr>
              <w:spacing w:after="100"/>
              <w:rPr>
                <w:rFonts w:eastAsia="Times New Roman"/>
                <w:sz w:val="20"/>
                <w:szCs w:val="20"/>
              </w:rPr>
            </w:pPr>
          </w:p>
        </w:tc>
        <w:tc>
          <w:tcPr>
            <w:tcW w:w="0" w:type="auto"/>
            <w:gridSpan w:val="3"/>
            <w:vAlign w:val="center"/>
            <w:hideMark/>
          </w:tcPr>
          <w:p w14:paraId="040233D3" w14:textId="77777777" w:rsidR="00000000" w:rsidRDefault="00A173A8">
            <w:pPr>
              <w:spacing w:after="100"/>
              <w:rPr>
                <w:rFonts w:eastAsia="Times New Roman"/>
                <w:sz w:val="20"/>
                <w:szCs w:val="20"/>
              </w:rPr>
            </w:pPr>
          </w:p>
        </w:tc>
        <w:tc>
          <w:tcPr>
            <w:tcW w:w="0" w:type="auto"/>
            <w:gridSpan w:val="3"/>
            <w:vAlign w:val="center"/>
            <w:hideMark/>
          </w:tcPr>
          <w:p w14:paraId="638AC831" w14:textId="77777777" w:rsidR="00000000" w:rsidRDefault="00A173A8">
            <w:pPr>
              <w:spacing w:after="100"/>
              <w:rPr>
                <w:rFonts w:eastAsia="Times New Roman"/>
                <w:sz w:val="20"/>
                <w:szCs w:val="20"/>
              </w:rPr>
            </w:pPr>
          </w:p>
        </w:tc>
        <w:tc>
          <w:tcPr>
            <w:tcW w:w="0" w:type="auto"/>
            <w:gridSpan w:val="3"/>
            <w:vAlign w:val="center"/>
            <w:hideMark/>
          </w:tcPr>
          <w:p w14:paraId="5E2EF5E3" w14:textId="77777777" w:rsidR="00000000" w:rsidRDefault="00A173A8">
            <w:pPr>
              <w:spacing w:after="100"/>
              <w:rPr>
                <w:rFonts w:eastAsia="Times New Roman"/>
                <w:sz w:val="20"/>
                <w:szCs w:val="20"/>
              </w:rPr>
            </w:pPr>
          </w:p>
        </w:tc>
        <w:tc>
          <w:tcPr>
            <w:tcW w:w="0" w:type="auto"/>
            <w:gridSpan w:val="3"/>
            <w:vAlign w:val="center"/>
            <w:hideMark/>
          </w:tcPr>
          <w:p w14:paraId="4A9BE97E" w14:textId="77777777" w:rsidR="00000000" w:rsidRDefault="00A173A8">
            <w:pPr>
              <w:spacing w:after="100"/>
              <w:rPr>
                <w:rFonts w:eastAsia="Times New Roman"/>
                <w:sz w:val="20"/>
                <w:szCs w:val="20"/>
              </w:rPr>
            </w:pPr>
          </w:p>
        </w:tc>
        <w:tc>
          <w:tcPr>
            <w:tcW w:w="0" w:type="auto"/>
            <w:gridSpan w:val="3"/>
            <w:vAlign w:val="center"/>
            <w:hideMark/>
          </w:tcPr>
          <w:p w14:paraId="5A59736B" w14:textId="77777777" w:rsidR="00000000" w:rsidRDefault="00A173A8">
            <w:pPr>
              <w:spacing w:after="100"/>
              <w:rPr>
                <w:rFonts w:eastAsia="Times New Roman"/>
                <w:sz w:val="20"/>
                <w:szCs w:val="20"/>
              </w:rPr>
            </w:pPr>
          </w:p>
        </w:tc>
        <w:tc>
          <w:tcPr>
            <w:tcW w:w="0" w:type="auto"/>
            <w:gridSpan w:val="3"/>
            <w:vAlign w:val="center"/>
            <w:hideMark/>
          </w:tcPr>
          <w:p w14:paraId="34ADB83F" w14:textId="77777777" w:rsidR="00000000" w:rsidRDefault="00A173A8">
            <w:pPr>
              <w:spacing w:after="100"/>
              <w:rPr>
                <w:rFonts w:eastAsia="Times New Roman"/>
                <w:sz w:val="20"/>
                <w:szCs w:val="20"/>
              </w:rPr>
            </w:pPr>
          </w:p>
        </w:tc>
        <w:tc>
          <w:tcPr>
            <w:tcW w:w="0" w:type="auto"/>
            <w:gridSpan w:val="3"/>
            <w:vAlign w:val="center"/>
            <w:hideMark/>
          </w:tcPr>
          <w:p w14:paraId="078223B4" w14:textId="77777777" w:rsidR="00000000" w:rsidRDefault="00A173A8">
            <w:pPr>
              <w:spacing w:after="100"/>
              <w:rPr>
                <w:rFonts w:eastAsia="Times New Roman"/>
                <w:sz w:val="20"/>
                <w:szCs w:val="20"/>
              </w:rPr>
            </w:pPr>
          </w:p>
        </w:tc>
        <w:tc>
          <w:tcPr>
            <w:tcW w:w="0" w:type="auto"/>
            <w:gridSpan w:val="3"/>
            <w:vAlign w:val="center"/>
            <w:hideMark/>
          </w:tcPr>
          <w:p w14:paraId="26A06990" w14:textId="77777777" w:rsidR="00000000" w:rsidRDefault="00A173A8">
            <w:pPr>
              <w:spacing w:after="100"/>
              <w:rPr>
                <w:rFonts w:eastAsia="Times New Roman"/>
                <w:sz w:val="20"/>
                <w:szCs w:val="20"/>
              </w:rPr>
            </w:pPr>
          </w:p>
        </w:tc>
        <w:tc>
          <w:tcPr>
            <w:tcW w:w="0" w:type="auto"/>
            <w:gridSpan w:val="3"/>
            <w:vAlign w:val="center"/>
            <w:hideMark/>
          </w:tcPr>
          <w:p w14:paraId="72FE837D" w14:textId="77777777" w:rsidR="00000000" w:rsidRDefault="00A173A8">
            <w:pPr>
              <w:spacing w:after="100"/>
              <w:rPr>
                <w:rFonts w:eastAsia="Times New Roman"/>
                <w:sz w:val="20"/>
                <w:szCs w:val="20"/>
              </w:rPr>
            </w:pPr>
          </w:p>
        </w:tc>
        <w:tc>
          <w:tcPr>
            <w:tcW w:w="0" w:type="auto"/>
            <w:gridSpan w:val="3"/>
            <w:vAlign w:val="center"/>
            <w:hideMark/>
          </w:tcPr>
          <w:p w14:paraId="29074BDF" w14:textId="77777777" w:rsidR="00000000" w:rsidRDefault="00A173A8">
            <w:pPr>
              <w:spacing w:after="100"/>
              <w:rPr>
                <w:rFonts w:eastAsia="Times New Roman"/>
                <w:sz w:val="20"/>
                <w:szCs w:val="20"/>
              </w:rPr>
            </w:pPr>
          </w:p>
        </w:tc>
        <w:tc>
          <w:tcPr>
            <w:tcW w:w="0" w:type="auto"/>
            <w:gridSpan w:val="3"/>
            <w:vAlign w:val="center"/>
            <w:hideMark/>
          </w:tcPr>
          <w:p w14:paraId="17F66E6D" w14:textId="77777777" w:rsidR="00000000" w:rsidRDefault="00A173A8">
            <w:pPr>
              <w:spacing w:after="100"/>
              <w:rPr>
                <w:rFonts w:eastAsia="Times New Roman"/>
                <w:sz w:val="20"/>
                <w:szCs w:val="20"/>
              </w:rPr>
            </w:pPr>
          </w:p>
        </w:tc>
        <w:tc>
          <w:tcPr>
            <w:tcW w:w="0" w:type="auto"/>
            <w:gridSpan w:val="3"/>
            <w:vAlign w:val="center"/>
            <w:hideMark/>
          </w:tcPr>
          <w:p w14:paraId="63F6F8DA" w14:textId="77777777" w:rsidR="00000000" w:rsidRDefault="00A173A8">
            <w:pPr>
              <w:spacing w:after="100"/>
              <w:rPr>
                <w:rFonts w:eastAsia="Times New Roman"/>
                <w:sz w:val="20"/>
                <w:szCs w:val="20"/>
              </w:rPr>
            </w:pPr>
          </w:p>
        </w:tc>
        <w:tc>
          <w:tcPr>
            <w:tcW w:w="0" w:type="auto"/>
            <w:gridSpan w:val="3"/>
            <w:vAlign w:val="center"/>
            <w:hideMark/>
          </w:tcPr>
          <w:p w14:paraId="14B5B850" w14:textId="77777777" w:rsidR="00000000" w:rsidRDefault="00A173A8">
            <w:pPr>
              <w:spacing w:after="100"/>
              <w:rPr>
                <w:rFonts w:eastAsia="Times New Roman"/>
                <w:sz w:val="20"/>
                <w:szCs w:val="20"/>
              </w:rPr>
            </w:pPr>
          </w:p>
        </w:tc>
        <w:tc>
          <w:tcPr>
            <w:tcW w:w="0" w:type="auto"/>
            <w:gridSpan w:val="3"/>
            <w:vAlign w:val="center"/>
            <w:hideMark/>
          </w:tcPr>
          <w:p w14:paraId="1A6C84DF" w14:textId="77777777" w:rsidR="00000000" w:rsidRDefault="00A173A8">
            <w:pPr>
              <w:spacing w:after="100"/>
              <w:rPr>
                <w:rFonts w:eastAsia="Times New Roman"/>
                <w:sz w:val="20"/>
                <w:szCs w:val="20"/>
              </w:rPr>
            </w:pPr>
          </w:p>
        </w:tc>
      </w:tr>
      <w:tr w:rsidR="00000000" w14:paraId="37A4ABE6" w14:textId="77777777">
        <w:trPr>
          <w:divId w:val="488981052"/>
        </w:trPr>
        <w:tc>
          <w:tcPr>
            <w:tcW w:w="0" w:type="auto"/>
            <w:gridSpan w:val="3"/>
            <w:vAlign w:val="center"/>
            <w:hideMark/>
          </w:tcPr>
          <w:p w14:paraId="2B555E96" w14:textId="77777777" w:rsidR="00000000" w:rsidRDefault="00A173A8">
            <w:pPr>
              <w:spacing w:after="100"/>
              <w:rPr>
                <w:rFonts w:eastAsia="Times New Roman"/>
                <w:sz w:val="20"/>
                <w:szCs w:val="20"/>
              </w:rPr>
            </w:pPr>
          </w:p>
        </w:tc>
        <w:tc>
          <w:tcPr>
            <w:tcW w:w="0" w:type="auto"/>
            <w:gridSpan w:val="3"/>
            <w:vAlign w:val="center"/>
            <w:hideMark/>
          </w:tcPr>
          <w:p w14:paraId="051A5C5D" w14:textId="77777777" w:rsidR="00000000" w:rsidRDefault="00A173A8">
            <w:pPr>
              <w:spacing w:after="100"/>
              <w:rPr>
                <w:rFonts w:eastAsia="Times New Roman"/>
                <w:sz w:val="20"/>
                <w:szCs w:val="20"/>
              </w:rPr>
            </w:pPr>
          </w:p>
        </w:tc>
        <w:tc>
          <w:tcPr>
            <w:tcW w:w="0" w:type="auto"/>
            <w:gridSpan w:val="3"/>
            <w:vAlign w:val="center"/>
            <w:hideMark/>
          </w:tcPr>
          <w:p w14:paraId="5F561448" w14:textId="77777777" w:rsidR="00000000" w:rsidRDefault="00A173A8">
            <w:pPr>
              <w:spacing w:after="100"/>
              <w:rPr>
                <w:rFonts w:eastAsia="Times New Roman"/>
                <w:sz w:val="20"/>
                <w:szCs w:val="20"/>
              </w:rPr>
            </w:pPr>
          </w:p>
        </w:tc>
        <w:tc>
          <w:tcPr>
            <w:tcW w:w="0" w:type="auto"/>
            <w:gridSpan w:val="3"/>
            <w:vAlign w:val="center"/>
            <w:hideMark/>
          </w:tcPr>
          <w:p w14:paraId="0454E65A" w14:textId="77777777" w:rsidR="00000000" w:rsidRDefault="00A173A8">
            <w:pPr>
              <w:spacing w:after="100"/>
              <w:rPr>
                <w:rFonts w:eastAsia="Times New Roman"/>
                <w:sz w:val="20"/>
                <w:szCs w:val="20"/>
              </w:rPr>
            </w:pPr>
          </w:p>
        </w:tc>
        <w:tc>
          <w:tcPr>
            <w:tcW w:w="0" w:type="auto"/>
            <w:gridSpan w:val="3"/>
            <w:vAlign w:val="center"/>
            <w:hideMark/>
          </w:tcPr>
          <w:p w14:paraId="4815B627" w14:textId="77777777" w:rsidR="00000000" w:rsidRDefault="00A173A8">
            <w:pPr>
              <w:spacing w:after="100"/>
              <w:rPr>
                <w:rFonts w:eastAsia="Times New Roman"/>
                <w:sz w:val="20"/>
                <w:szCs w:val="20"/>
              </w:rPr>
            </w:pPr>
          </w:p>
        </w:tc>
        <w:tc>
          <w:tcPr>
            <w:tcW w:w="0" w:type="auto"/>
            <w:gridSpan w:val="3"/>
            <w:vAlign w:val="center"/>
            <w:hideMark/>
          </w:tcPr>
          <w:p w14:paraId="03F9DD80" w14:textId="77777777" w:rsidR="00000000" w:rsidRDefault="00A173A8">
            <w:pPr>
              <w:spacing w:after="100"/>
              <w:rPr>
                <w:rFonts w:eastAsia="Times New Roman"/>
                <w:sz w:val="20"/>
                <w:szCs w:val="20"/>
              </w:rPr>
            </w:pPr>
          </w:p>
        </w:tc>
        <w:tc>
          <w:tcPr>
            <w:tcW w:w="0" w:type="auto"/>
            <w:gridSpan w:val="3"/>
            <w:vAlign w:val="center"/>
            <w:hideMark/>
          </w:tcPr>
          <w:p w14:paraId="23B3171F" w14:textId="77777777" w:rsidR="00000000" w:rsidRDefault="00A173A8">
            <w:pPr>
              <w:spacing w:after="100"/>
              <w:rPr>
                <w:rFonts w:eastAsia="Times New Roman"/>
                <w:sz w:val="20"/>
                <w:szCs w:val="20"/>
              </w:rPr>
            </w:pPr>
          </w:p>
        </w:tc>
        <w:tc>
          <w:tcPr>
            <w:tcW w:w="0" w:type="auto"/>
            <w:gridSpan w:val="3"/>
            <w:vAlign w:val="center"/>
            <w:hideMark/>
          </w:tcPr>
          <w:p w14:paraId="288ACCC4" w14:textId="77777777" w:rsidR="00000000" w:rsidRDefault="00A173A8">
            <w:pPr>
              <w:spacing w:after="100"/>
              <w:rPr>
                <w:rFonts w:eastAsia="Times New Roman"/>
                <w:sz w:val="20"/>
                <w:szCs w:val="20"/>
              </w:rPr>
            </w:pPr>
          </w:p>
        </w:tc>
        <w:tc>
          <w:tcPr>
            <w:tcW w:w="0" w:type="auto"/>
            <w:gridSpan w:val="3"/>
            <w:vAlign w:val="center"/>
            <w:hideMark/>
          </w:tcPr>
          <w:p w14:paraId="6FDE4022" w14:textId="77777777" w:rsidR="00000000" w:rsidRDefault="00A173A8">
            <w:pPr>
              <w:spacing w:after="100"/>
              <w:rPr>
                <w:rFonts w:eastAsia="Times New Roman"/>
                <w:sz w:val="20"/>
                <w:szCs w:val="20"/>
              </w:rPr>
            </w:pPr>
          </w:p>
        </w:tc>
        <w:tc>
          <w:tcPr>
            <w:tcW w:w="0" w:type="auto"/>
            <w:gridSpan w:val="3"/>
            <w:vAlign w:val="center"/>
            <w:hideMark/>
          </w:tcPr>
          <w:p w14:paraId="3C4F5CC0" w14:textId="77777777" w:rsidR="00000000" w:rsidRDefault="00A173A8">
            <w:pPr>
              <w:spacing w:after="100"/>
              <w:rPr>
                <w:rFonts w:eastAsia="Times New Roman"/>
                <w:sz w:val="20"/>
                <w:szCs w:val="20"/>
              </w:rPr>
            </w:pPr>
          </w:p>
        </w:tc>
        <w:tc>
          <w:tcPr>
            <w:tcW w:w="0" w:type="auto"/>
            <w:gridSpan w:val="3"/>
            <w:vAlign w:val="center"/>
            <w:hideMark/>
          </w:tcPr>
          <w:p w14:paraId="4BA60A17" w14:textId="77777777" w:rsidR="00000000" w:rsidRDefault="00A173A8">
            <w:pPr>
              <w:spacing w:after="100"/>
              <w:rPr>
                <w:rFonts w:eastAsia="Times New Roman"/>
                <w:sz w:val="20"/>
                <w:szCs w:val="20"/>
              </w:rPr>
            </w:pPr>
          </w:p>
        </w:tc>
        <w:tc>
          <w:tcPr>
            <w:tcW w:w="0" w:type="auto"/>
            <w:gridSpan w:val="3"/>
            <w:vAlign w:val="center"/>
            <w:hideMark/>
          </w:tcPr>
          <w:p w14:paraId="3BDDF41D" w14:textId="77777777" w:rsidR="00000000" w:rsidRDefault="00A173A8">
            <w:pPr>
              <w:spacing w:after="100"/>
              <w:rPr>
                <w:rFonts w:eastAsia="Times New Roman"/>
                <w:sz w:val="20"/>
                <w:szCs w:val="20"/>
              </w:rPr>
            </w:pPr>
          </w:p>
        </w:tc>
        <w:tc>
          <w:tcPr>
            <w:tcW w:w="0" w:type="auto"/>
            <w:gridSpan w:val="3"/>
            <w:vAlign w:val="center"/>
            <w:hideMark/>
          </w:tcPr>
          <w:p w14:paraId="4CEADB9E" w14:textId="77777777" w:rsidR="00000000" w:rsidRDefault="00A173A8">
            <w:pPr>
              <w:spacing w:after="100"/>
              <w:rPr>
                <w:rFonts w:eastAsia="Times New Roman"/>
                <w:sz w:val="20"/>
                <w:szCs w:val="20"/>
              </w:rPr>
            </w:pPr>
          </w:p>
        </w:tc>
        <w:tc>
          <w:tcPr>
            <w:tcW w:w="0" w:type="auto"/>
            <w:gridSpan w:val="3"/>
            <w:vAlign w:val="center"/>
            <w:hideMark/>
          </w:tcPr>
          <w:p w14:paraId="68F8297E" w14:textId="77777777" w:rsidR="00000000" w:rsidRDefault="00A173A8">
            <w:pPr>
              <w:spacing w:after="100"/>
              <w:rPr>
                <w:rFonts w:eastAsia="Times New Roman"/>
                <w:sz w:val="20"/>
                <w:szCs w:val="20"/>
              </w:rPr>
            </w:pPr>
          </w:p>
        </w:tc>
        <w:tc>
          <w:tcPr>
            <w:tcW w:w="0" w:type="auto"/>
            <w:gridSpan w:val="3"/>
            <w:vAlign w:val="center"/>
            <w:hideMark/>
          </w:tcPr>
          <w:p w14:paraId="135CB299" w14:textId="77777777" w:rsidR="00000000" w:rsidRDefault="00A173A8">
            <w:pPr>
              <w:spacing w:after="100"/>
              <w:rPr>
                <w:rFonts w:eastAsia="Times New Roman"/>
                <w:sz w:val="20"/>
                <w:szCs w:val="20"/>
              </w:rPr>
            </w:pPr>
          </w:p>
        </w:tc>
        <w:tc>
          <w:tcPr>
            <w:tcW w:w="0" w:type="auto"/>
            <w:gridSpan w:val="3"/>
            <w:vAlign w:val="center"/>
            <w:hideMark/>
          </w:tcPr>
          <w:p w14:paraId="663C59AB" w14:textId="77777777" w:rsidR="00000000" w:rsidRDefault="00A173A8">
            <w:pPr>
              <w:spacing w:after="100"/>
              <w:rPr>
                <w:rFonts w:eastAsia="Times New Roman"/>
                <w:sz w:val="20"/>
                <w:szCs w:val="20"/>
              </w:rPr>
            </w:pPr>
          </w:p>
        </w:tc>
        <w:tc>
          <w:tcPr>
            <w:tcW w:w="0" w:type="auto"/>
            <w:gridSpan w:val="3"/>
            <w:vAlign w:val="center"/>
            <w:hideMark/>
          </w:tcPr>
          <w:p w14:paraId="3448D6E7" w14:textId="77777777" w:rsidR="00000000" w:rsidRDefault="00A173A8">
            <w:pPr>
              <w:spacing w:after="100"/>
              <w:rPr>
                <w:rFonts w:eastAsia="Times New Roman"/>
                <w:sz w:val="20"/>
                <w:szCs w:val="20"/>
              </w:rPr>
            </w:pPr>
          </w:p>
        </w:tc>
        <w:tc>
          <w:tcPr>
            <w:tcW w:w="0" w:type="auto"/>
            <w:gridSpan w:val="3"/>
            <w:vAlign w:val="center"/>
            <w:hideMark/>
          </w:tcPr>
          <w:p w14:paraId="69693754" w14:textId="77777777" w:rsidR="00000000" w:rsidRDefault="00A173A8">
            <w:pPr>
              <w:spacing w:after="100"/>
              <w:rPr>
                <w:rFonts w:eastAsia="Times New Roman"/>
                <w:sz w:val="20"/>
                <w:szCs w:val="20"/>
              </w:rPr>
            </w:pPr>
          </w:p>
        </w:tc>
        <w:tc>
          <w:tcPr>
            <w:tcW w:w="0" w:type="auto"/>
            <w:gridSpan w:val="3"/>
            <w:vAlign w:val="center"/>
            <w:hideMark/>
          </w:tcPr>
          <w:p w14:paraId="047C8270" w14:textId="77777777" w:rsidR="00000000" w:rsidRDefault="00A173A8">
            <w:pPr>
              <w:spacing w:after="100"/>
              <w:rPr>
                <w:rFonts w:eastAsia="Times New Roman"/>
                <w:sz w:val="20"/>
                <w:szCs w:val="20"/>
              </w:rPr>
            </w:pPr>
          </w:p>
        </w:tc>
      </w:tr>
      <w:tr w:rsidR="00000000" w14:paraId="55EF8614" w14:textId="77777777">
        <w:trPr>
          <w:divId w:val="488981052"/>
        </w:trPr>
        <w:tc>
          <w:tcPr>
            <w:tcW w:w="0" w:type="auto"/>
            <w:gridSpan w:val="3"/>
            <w:vAlign w:val="center"/>
            <w:hideMark/>
          </w:tcPr>
          <w:p w14:paraId="43636CA6" w14:textId="77777777" w:rsidR="00000000" w:rsidRDefault="00A173A8">
            <w:pPr>
              <w:spacing w:after="100"/>
              <w:rPr>
                <w:rFonts w:eastAsia="Times New Roman"/>
                <w:sz w:val="20"/>
                <w:szCs w:val="20"/>
              </w:rPr>
            </w:pPr>
          </w:p>
        </w:tc>
        <w:tc>
          <w:tcPr>
            <w:tcW w:w="0" w:type="auto"/>
            <w:gridSpan w:val="3"/>
            <w:vAlign w:val="center"/>
            <w:hideMark/>
          </w:tcPr>
          <w:p w14:paraId="584BEAD4" w14:textId="77777777" w:rsidR="00000000" w:rsidRDefault="00A173A8">
            <w:pPr>
              <w:spacing w:after="100"/>
              <w:rPr>
                <w:rFonts w:eastAsia="Times New Roman"/>
                <w:sz w:val="20"/>
                <w:szCs w:val="20"/>
              </w:rPr>
            </w:pPr>
          </w:p>
        </w:tc>
        <w:tc>
          <w:tcPr>
            <w:tcW w:w="0" w:type="auto"/>
            <w:gridSpan w:val="3"/>
            <w:vAlign w:val="center"/>
            <w:hideMark/>
          </w:tcPr>
          <w:p w14:paraId="737CAEA3" w14:textId="77777777" w:rsidR="00000000" w:rsidRDefault="00A173A8">
            <w:pPr>
              <w:spacing w:after="100"/>
              <w:rPr>
                <w:rFonts w:eastAsia="Times New Roman"/>
                <w:sz w:val="20"/>
                <w:szCs w:val="20"/>
              </w:rPr>
            </w:pPr>
          </w:p>
        </w:tc>
        <w:tc>
          <w:tcPr>
            <w:tcW w:w="0" w:type="auto"/>
            <w:gridSpan w:val="3"/>
            <w:vAlign w:val="center"/>
            <w:hideMark/>
          </w:tcPr>
          <w:p w14:paraId="1144AB70" w14:textId="77777777" w:rsidR="00000000" w:rsidRDefault="00A173A8">
            <w:pPr>
              <w:spacing w:after="100"/>
              <w:rPr>
                <w:rFonts w:eastAsia="Times New Roman"/>
                <w:sz w:val="20"/>
                <w:szCs w:val="20"/>
              </w:rPr>
            </w:pPr>
          </w:p>
        </w:tc>
        <w:tc>
          <w:tcPr>
            <w:tcW w:w="0" w:type="auto"/>
            <w:gridSpan w:val="3"/>
            <w:vAlign w:val="center"/>
            <w:hideMark/>
          </w:tcPr>
          <w:p w14:paraId="1271A3DC" w14:textId="77777777" w:rsidR="00000000" w:rsidRDefault="00A173A8">
            <w:pPr>
              <w:spacing w:after="100"/>
              <w:rPr>
                <w:rFonts w:eastAsia="Times New Roman"/>
                <w:sz w:val="20"/>
                <w:szCs w:val="20"/>
              </w:rPr>
            </w:pPr>
          </w:p>
        </w:tc>
        <w:tc>
          <w:tcPr>
            <w:tcW w:w="0" w:type="auto"/>
            <w:gridSpan w:val="3"/>
            <w:vAlign w:val="center"/>
            <w:hideMark/>
          </w:tcPr>
          <w:p w14:paraId="2CA7DCEE" w14:textId="77777777" w:rsidR="00000000" w:rsidRDefault="00A173A8">
            <w:pPr>
              <w:spacing w:after="100"/>
              <w:rPr>
                <w:rFonts w:eastAsia="Times New Roman"/>
                <w:sz w:val="20"/>
                <w:szCs w:val="20"/>
              </w:rPr>
            </w:pPr>
          </w:p>
        </w:tc>
        <w:tc>
          <w:tcPr>
            <w:tcW w:w="0" w:type="auto"/>
            <w:gridSpan w:val="3"/>
            <w:vAlign w:val="center"/>
            <w:hideMark/>
          </w:tcPr>
          <w:p w14:paraId="3ED35E2B" w14:textId="77777777" w:rsidR="00000000" w:rsidRDefault="00A173A8">
            <w:pPr>
              <w:spacing w:after="100"/>
              <w:rPr>
                <w:rFonts w:eastAsia="Times New Roman"/>
                <w:sz w:val="20"/>
                <w:szCs w:val="20"/>
              </w:rPr>
            </w:pPr>
          </w:p>
        </w:tc>
        <w:tc>
          <w:tcPr>
            <w:tcW w:w="0" w:type="auto"/>
            <w:gridSpan w:val="3"/>
            <w:vAlign w:val="center"/>
            <w:hideMark/>
          </w:tcPr>
          <w:p w14:paraId="4DD06AF1" w14:textId="77777777" w:rsidR="00000000" w:rsidRDefault="00A173A8">
            <w:pPr>
              <w:spacing w:after="100"/>
              <w:rPr>
                <w:rFonts w:eastAsia="Times New Roman"/>
                <w:sz w:val="20"/>
                <w:szCs w:val="20"/>
              </w:rPr>
            </w:pPr>
          </w:p>
        </w:tc>
        <w:tc>
          <w:tcPr>
            <w:tcW w:w="0" w:type="auto"/>
            <w:gridSpan w:val="3"/>
            <w:vAlign w:val="center"/>
            <w:hideMark/>
          </w:tcPr>
          <w:p w14:paraId="4FA378CA" w14:textId="77777777" w:rsidR="00000000" w:rsidRDefault="00A173A8">
            <w:pPr>
              <w:spacing w:after="100"/>
              <w:rPr>
                <w:rFonts w:eastAsia="Times New Roman"/>
                <w:sz w:val="20"/>
                <w:szCs w:val="20"/>
              </w:rPr>
            </w:pPr>
          </w:p>
        </w:tc>
        <w:tc>
          <w:tcPr>
            <w:tcW w:w="0" w:type="auto"/>
            <w:gridSpan w:val="3"/>
            <w:vAlign w:val="center"/>
            <w:hideMark/>
          </w:tcPr>
          <w:p w14:paraId="4D5DC409" w14:textId="77777777" w:rsidR="00000000" w:rsidRDefault="00A173A8">
            <w:pPr>
              <w:spacing w:after="100"/>
              <w:rPr>
                <w:rFonts w:eastAsia="Times New Roman"/>
                <w:sz w:val="20"/>
                <w:szCs w:val="20"/>
              </w:rPr>
            </w:pPr>
          </w:p>
        </w:tc>
        <w:tc>
          <w:tcPr>
            <w:tcW w:w="0" w:type="auto"/>
            <w:gridSpan w:val="3"/>
            <w:vAlign w:val="center"/>
            <w:hideMark/>
          </w:tcPr>
          <w:p w14:paraId="21366144" w14:textId="77777777" w:rsidR="00000000" w:rsidRDefault="00A173A8">
            <w:pPr>
              <w:spacing w:after="100"/>
              <w:rPr>
                <w:rFonts w:eastAsia="Times New Roman"/>
                <w:sz w:val="20"/>
                <w:szCs w:val="20"/>
              </w:rPr>
            </w:pPr>
          </w:p>
        </w:tc>
        <w:tc>
          <w:tcPr>
            <w:tcW w:w="0" w:type="auto"/>
            <w:gridSpan w:val="3"/>
            <w:vAlign w:val="center"/>
            <w:hideMark/>
          </w:tcPr>
          <w:p w14:paraId="3E3E38EE" w14:textId="77777777" w:rsidR="00000000" w:rsidRDefault="00A173A8">
            <w:pPr>
              <w:spacing w:after="100"/>
              <w:rPr>
                <w:rFonts w:eastAsia="Times New Roman"/>
                <w:sz w:val="20"/>
                <w:szCs w:val="20"/>
              </w:rPr>
            </w:pPr>
          </w:p>
        </w:tc>
        <w:tc>
          <w:tcPr>
            <w:tcW w:w="0" w:type="auto"/>
            <w:gridSpan w:val="3"/>
            <w:vAlign w:val="center"/>
            <w:hideMark/>
          </w:tcPr>
          <w:p w14:paraId="741AEA62" w14:textId="77777777" w:rsidR="00000000" w:rsidRDefault="00A173A8">
            <w:pPr>
              <w:spacing w:after="100"/>
              <w:rPr>
                <w:rFonts w:eastAsia="Times New Roman"/>
                <w:sz w:val="20"/>
                <w:szCs w:val="20"/>
              </w:rPr>
            </w:pPr>
          </w:p>
        </w:tc>
        <w:tc>
          <w:tcPr>
            <w:tcW w:w="0" w:type="auto"/>
            <w:gridSpan w:val="3"/>
            <w:vAlign w:val="center"/>
            <w:hideMark/>
          </w:tcPr>
          <w:p w14:paraId="479EAF55" w14:textId="77777777" w:rsidR="00000000" w:rsidRDefault="00A173A8">
            <w:pPr>
              <w:spacing w:after="100"/>
              <w:rPr>
                <w:rFonts w:eastAsia="Times New Roman"/>
                <w:sz w:val="20"/>
                <w:szCs w:val="20"/>
              </w:rPr>
            </w:pPr>
          </w:p>
        </w:tc>
        <w:tc>
          <w:tcPr>
            <w:tcW w:w="0" w:type="auto"/>
            <w:gridSpan w:val="3"/>
            <w:vAlign w:val="center"/>
            <w:hideMark/>
          </w:tcPr>
          <w:p w14:paraId="2DB921ED" w14:textId="77777777" w:rsidR="00000000" w:rsidRDefault="00A173A8">
            <w:pPr>
              <w:spacing w:after="100"/>
              <w:rPr>
                <w:rFonts w:eastAsia="Times New Roman"/>
                <w:sz w:val="20"/>
                <w:szCs w:val="20"/>
              </w:rPr>
            </w:pPr>
          </w:p>
        </w:tc>
        <w:tc>
          <w:tcPr>
            <w:tcW w:w="0" w:type="auto"/>
            <w:gridSpan w:val="3"/>
            <w:vAlign w:val="center"/>
            <w:hideMark/>
          </w:tcPr>
          <w:p w14:paraId="325756F7" w14:textId="77777777" w:rsidR="00000000" w:rsidRDefault="00A173A8">
            <w:pPr>
              <w:spacing w:after="100"/>
              <w:rPr>
                <w:rFonts w:eastAsia="Times New Roman"/>
                <w:sz w:val="20"/>
                <w:szCs w:val="20"/>
              </w:rPr>
            </w:pPr>
          </w:p>
        </w:tc>
        <w:tc>
          <w:tcPr>
            <w:tcW w:w="0" w:type="auto"/>
            <w:gridSpan w:val="3"/>
            <w:vAlign w:val="center"/>
            <w:hideMark/>
          </w:tcPr>
          <w:p w14:paraId="5BB021B6" w14:textId="77777777" w:rsidR="00000000" w:rsidRDefault="00A173A8">
            <w:pPr>
              <w:spacing w:after="100"/>
              <w:rPr>
                <w:rFonts w:eastAsia="Times New Roman"/>
                <w:sz w:val="20"/>
                <w:szCs w:val="20"/>
              </w:rPr>
            </w:pPr>
          </w:p>
        </w:tc>
        <w:tc>
          <w:tcPr>
            <w:tcW w:w="0" w:type="auto"/>
            <w:gridSpan w:val="3"/>
            <w:vAlign w:val="center"/>
            <w:hideMark/>
          </w:tcPr>
          <w:p w14:paraId="0F0A371C" w14:textId="77777777" w:rsidR="00000000" w:rsidRDefault="00A173A8">
            <w:pPr>
              <w:spacing w:after="100"/>
              <w:rPr>
                <w:rFonts w:eastAsia="Times New Roman"/>
                <w:sz w:val="20"/>
                <w:szCs w:val="20"/>
              </w:rPr>
            </w:pPr>
          </w:p>
        </w:tc>
        <w:tc>
          <w:tcPr>
            <w:tcW w:w="0" w:type="auto"/>
            <w:gridSpan w:val="3"/>
            <w:vAlign w:val="center"/>
            <w:hideMark/>
          </w:tcPr>
          <w:p w14:paraId="15F0E78B" w14:textId="77777777" w:rsidR="00000000" w:rsidRDefault="00A173A8">
            <w:pPr>
              <w:spacing w:after="100"/>
              <w:rPr>
                <w:rFonts w:eastAsia="Times New Roman"/>
                <w:sz w:val="20"/>
                <w:szCs w:val="20"/>
              </w:rPr>
            </w:pPr>
          </w:p>
        </w:tc>
      </w:tr>
      <w:tr w:rsidR="00000000" w14:paraId="5FB670FF" w14:textId="77777777">
        <w:trPr>
          <w:divId w:val="488981052"/>
        </w:trPr>
        <w:tc>
          <w:tcPr>
            <w:tcW w:w="0" w:type="auto"/>
            <w:gridSpan w:val="3"/>
            <w:vAlign w:val="center"/>
            <w:hideMark/>
          </w:tcPr>
          <w:p w14:paraId="60F78B26" w14:textId="77777777" w:rsidR="00000000" w:rsidRDefault="00A173A8">
            <w:pPr>
              <w:spacing w:after="100"/>
              <w:rPr>
                <w:rFonts w:eastAsia="Times New Roman"/>
                <w:sz w:val="20"/>
                <w:szCs w:val="20"/>
              </w:rPr>
            </w:pPr>
          </w:p>
        </w:tc>
        <w:tc>
          <w:tcPr>
            <w:tcW w:w="0" w:type="auto"/>
            <w:gridSpan w:val="3"/>
            <w:vAlign w:val="center"/>
            <w:hideMark/>
          </w:tcPr>
          <w:p w14:paraId="13A22180" w14:textId="77777777" w:rsidR="00000000" w:rsidRDefault="00A173A8">
            <w:pPr>
              <w:spacing w:after="100"/>
              <w:rPr>
                <w:rFonts w:eastAsia="Times New Roman"/>
                <w:sz w:val="20"/>
                <w:szCs w:val="20"/>
              </w:rPr>
            </w:pPr>
          </w:p>
        </w:tc>
        <w:tc>
          <w:tcPr>
            <w:tcW w:w="0" w:type="auto"/>
            <w:gridSpan w:val="3"/>
            <w:vAlign w:val="center"/>
            <w:hideMark/>
          </w:tcPr>
          <w:p w14:paraId="4DEBE62B" w14:textId="77777777" w:rsidR="00000000" w:rsidRDefault="00A173A8">
            <w:pPr>
              <w:spacing w:after="100"/>
              <w:rPr>
                <w:rFonts w:eastAsia="Times New Roman"/>
                <w:sz w:val="20"/>
                <w:szCs w:val="20"/>
              </w:rPr>
            </w:pPr>
          </w:p>
        </w:tc>
        <w:tc>
          <w:tcPr>
            <w:tcW w:w="0" w:type="auto"/>
            <w:gridSpan w:val="3"/>
            <w:vAlign w:val="center"/>
            <w:hideMark/>
          </w:tcPr>
          <w:p w14:paraId="6DE9E213" w14:textId="77777777" w:rsidR="00000000" w:rsidRDefault="00A173A8">
            <w:pPr>
              <w:spacing w:after="100"/>
              <w:rPr>
                <w:rFonts w:eastAsia="Times New Roman"/>
                <w:sz w:val="20"/>
                <w:szCs w:val="20"/>
              </w:rPr>
            </w:pPr>
          </w:p>
        </w:tc>
        <w:tc>
          <w:tcPr>
            <w:tcW w:w="0" w:type="auto"/>
            <w:gridSpan w:val="3"/>
            <w:vAlign w:val="center"/>
            <w:hideMark/>
          </w:tcPr>
          <w:p w14:paraId="4092E6AB" w14:textId="77777777" w:rsidR="00000000" w:rsidRDefault="00A173A8">
            <w:pPr>
              <w:spacing w:after="100"/>
              <w:rPr>
                <w:rFonts w:eastAsia="Times New Roman"/>
                <w:sz w:val="20"/>
                <w:szCs w:val="20"/>
              </w:rPr>
            </w:pPr>
          </w:p>
        </w:tc>
        <w:tc>
          <w:tcPr>
            <w:tcW w:w="0" w:type="auto"/>
            <w:gridSpan w:val="3"/>
            <w:vAlign w:val="center"/>
            <w:hideMark/>
          </w:tcPr>
          <w:p w14:paraId="5EA7FA06" w14:textId="77777777" w:rsidR="00000000" w:rsidRDefault="00A173A8">
            <w:pPr>
              <w:spacing w:after="100"/>
              <w:rPr>
                <w:rFonts w:eastAsia="Times New Roman"/>
                <w:sz w:val="20"/>
                <w:szCs w:val="20"/>
              </w:rPr>
            </w:pPr>
          </w:p>
        </w:tc>
        <w:tc>
          <w:tcPr>
            <w:tcW w:w="0" w:type="auto"/>
            <w:gridSpan w:val="3"/>
            <w:vAlign w:val="center"/>
            <w:hideMark/>
          </w:tcPr>
          <w:p w14:paraId="6D2F9217" w14:textId="77777777" w:rsidR="00000000" w:rsidRDefault="00A173A8">
            <w:pPr>
              <w:spacing w:after="100"/>
              <w:rPr>
                <w:rFonts w:eastAsia="Times New Roman"/>
                <w:sz w:val="20"/>
                <w:szCs w:val="20"/>
              </w:rPr>
            </w:pPr>
          </w:p>
        </w:tc>
        <w:tc>
          <w:tcPr>
            <w:tcW w:w="0" w:type="auto"/>
            <w:gridSpan w:val="3"/>
            <w:vAlign w:val="center"/>
            <w:hideMark/>
          </w:tcPr>
          <w:p w14:paraId="55047B5C" w14:textId="77777777" w:rsidR="00000000" w:rsidRDefault="00A173A8">
            <w:pPr>
              <w:spacing w:after="100"/>
              <w:rPr>
                <w:rFonts w:eastAsia="Times New Roman"/>
                <w:sz w:val="20"/>
                <w:szCs w:val="20"/>
              </w:rPr>
            </w:pPr>
          </w:p>
        </w:tc>
        <w:tc>
          <w:tcPr>
            <w:tcW w:w="0" w:type="auto"/>
            <w:gridSpan w:val="3"/>
            <w:vAlign w:val="center"/>
            <w:hideMark/>
          </w:tcPr>
          <w:p w14:paraId="27FD4DC4" w14:textId="77777777" w:rsidR="00000000" w:rsidRDefault="00A173A8">
            <w:pPr>
              <w:spacing w:after="100"/>
              <w:rPr>
                <w:rFonts w:eastAsia="Times New Roman"/>
                <w:sz w:val="20"/>
                <w:szCs w:val="20"/>
              </w:rPr>
            </w:pPr>
          </w:p>
        </w:tc>
        <w:tc>
          <w:tcPr>
            <w:tcW w:w="0" w:type="auto"/>
            <w:gridSpan w:val="3"/>
            <w:vAlign w:val="center"/>
            <w:hideMark/>
          </w:tcPr>
          <w:p w14:paraId="3B9D2DC6" w14:textId="77777777" w:rsidR="00000000" w:rsidRDefault="00A173A8">
            <w:pPr>
              <w:spacing w:after="100"/>
              <w:rPr>
                <w:rFonts w:eastAsia="Times New Roman"/>
                <w:sz w:val="20"/>
                <w:szCs w:val="20"/>
              </w:rPr>
            </w:pPr>
          </w:p>
        </w:tc>
        <w:tc>
          <w:tcPr>
            <w:tcW w:w="0" w:type="auto"/>
            <w:gridSpan w:val="3"/>
            <w:vAlign w:val="center"/>
            <w:hideMark/>
          </w:tcPr>
          <w:p w14:paraId="17F1C90B" w14:textId="77777777" w:rsidR="00000000" w:rsidRDefault="00A173A8">
            <w:pPr>
              <w:spacing w:after="100"/>
              <w:rPr>
                <w:rFonts w:eastAsia="Times New Roman"/>
                <w:sz w:val="20"/>
                <w:szCs w:val="20"/>
              </w:rPr>
            </w:pPr>
          </w:p>
        </w:tc>
        <w:tc>
          <w:tcPr>
            <w:tcW w:w="0" w:type="auto"/>
            <w:gridSpan w:val="3"/>
            <w:vAlign w:val="center"/>
            <w:hideMark/>
          </w:tcPr>
          <w:p w14:paraId="31BA62BE" w14:textId="77777777" w:rsidR="00000000" w:rsidRDefault="00A173A8">
            <w:pPr>
              <w:spacing w:after="100"/>
              <w:rPr>
                <w:rFonts w:eastAsia="Times New Roman"/>
                <w:sz w:val="20"/>
                <w:szCs w:val="20"/>
              </w:rPr>
            </w:pPr>
          </w:p>
        </w:tc>
        <w:tc>
          <w:tcPr>
            <w:tcW w:w="0" w:type="auto"/>
            <w:gridSpan w:val="3"/>
            <w:vAlign w:val="center"/>
            <w:hideMark/>
          </w:tcPr>
          <w:p w14:paraId="566AF242" w14:textId="77777777" w:rsidR="00000000" w:rsidRDefault="00A173A8">
            <w:pPr>
              <w:spacing w:after="100"/>
              <w:rPr>
                <w:rFonts w:eastAsia="Times New Roman"/>
                <w:sz w:val="20"/>
                <w:szCs w:val="20"/>
              </w:rPr>
            </w:pPr>
          </w:p>
        </w:tc>
        <w:tc>
          <w:tcPr>
            <w:tcW w:w="0" w:type="auto"/>
            <w:gridSpan w:val="3"/>
            <w:vAlign w:val="center"/>
            <w:hideMark/>
          </w:tcPr>
          <w:p w14:paraId="5FDCA2A5" w14:textId="77777777" w:rsidR="00000000" w:rsidRDefault="00A173A8">
            <w:pPr>
              <w:spacing w:after="100"/>
              <w:rPr>
                <w:rFonts w:eastAsia="Times New Roman"/>
                <w:sz w:val="20"/>
                <w:szCs w:val="20"/>
              </w:rPr>
            </w:pPr>
          </w:p>
        </w:tc>
        <w:tc>
          <w:tcPr>
            <w:tcW w:w="0" w:type="auto"/>
            <w:gridSpan w:val="3"/>
            <w:vAlign w:val="center"/>
            <w:hideMark/>
          </w:tcPr>
          <w:p w14:paraId="2E587786" w14:textId="77777777" w:rsidR="00000000" w:rsidRDefault="00A173A8">
            <w:pPr>
              <w:spacing w:after="100"/>
              <w:rPr>
                <w:rFonts w:eastAsia="Times New Roman"/>
                <w:sz w:val="20"/>
                <w:szCs w:val="20"/>
              </w:rPr>
            </w:pPr>
          </w:p>
        </w:tc>
        <w:tc>
          <w:tcPr>
            <w:tcW w:w="0" w:type="auto"/>
            <w:gridSpan w:val="3"/>
            <w:vAlign w:val="center"/>
            <w:hideMark/>
          </w:tcPr>
          <w:p w14:paraId="12EE1285" w14:textId="77777777" w:rsidR="00000000" w:rsidRDefault="00A173A8">
            <w:pPr>
              <w:spacing w:after="100"/>
              <w:rPr>
                <w:rFonts w:eastAsia="Times New Roman"/>
                <w:sz w:val="20"/>
                <w:szCs w:val="20"/>
              </w:rPr>
            </w:pPr>
          </w:p>
        </w:tc>
        <w:tc>
          <w:tcPr>
            <w:tcW w:w="0" w:type="auto"/>
            <w:gridSpan w:val="3"/>
            <w:vAlign w:val="center"/>
            <w:hideMark/>
          </w:tcPr>
          <w:p w14:paraId="52492CB1" w14:textId="77777777" w:rsidR="00000000" w:rsidRDefault="00A173A8">
            <w:pPr>
              <w:spacing w:after="100"/>
              <w:rPr>
                <w:rFonts w:eastAsia="Times New Roman"/>
                <w:sz w:val="20"/>
                <w:szCs w:val="20"/>
              </w:rPr>
            </w:pPr>
          </w:p>
        </w:tc>
        <w:tc>
          <w:tcPr>
            <w:tcW w:w="0" w:type="auto"/>
            <w:gridSpan w:val="3"/>
            <w:vAlign w:val="center"/>
            <w:hideMark/>
          </w:tcPr>
          <w:p w14:paraId="5C445ADD" w14:textId="77777777" w:rsidR="00000000" w:rsidRDefault="00A173A8">
            <w:pPr>
              <w:spacing w:after="100"/>
              <w:rPr>
                <w:rFonts w:eastAsia="Times New Roman"/>
                <w:sz w:val="20"/>
                <w:szCs w:val="20"/>
              </w:rPr>
            </w:pPr>
          </w:p>
        </w:tc>
        <w:tc>
          <w:tcPr>
            <w:tcW w:w="0" w:type="auto"/>
            <w:gridSpan w:val="3"/>
            <w:vAlign w:val="center"/>
            <w:hideMark/>
          </w:tcPr>
          <w:p w14:paraId="455EC4F3" w14:textId="77777777" w:rsidR="00000000" w:rsidRDefault="00A173A8">
            <w:pPr>
              <w:spacing w:after="100"/>
              <w:rPr>
                <w:rFonts w:eastAsia="Times New Roman"/>
                <w:sz w:val="20"/>
                <w:szCs w:val="20"/>
              </w:rPr>
            </w:pPr>
          </w:p>
        </w:tc>
      </w:tr>
      <w:tr w:rsidR="00000000" w14:paraId="3C0850E6" w14:textId="77777777">
        <w:trPr>
          <w:divId w:val="488981052"/>
        </w:trPr>
        <w:tc>
          <w:tcPr>
            <w:tcW w:w="0" w:type="auto"/>
            <w:gridSpan w:val="3"/>
            <w:vAlign w:val="center"/>
            <w:hideMark/>
          </w:tcPr>
          <w:p w14:paraId="7519D4DA" w14:textId="77777777" w:rsidR="00000000" w:rsidRDefault="00A173A8">
            <w:pPr>
              <w:spacing w:after="100"/>
              <w:rPr>
                <w:rFonts w:eastAsia="Times New Roman"/>
                <w:sz w:val="20"/>
                <w:szCs w:val="20"/>
              </w:rPr>
            </w:pPr>
          </w:p>
        </w:tc>
        <w:tc>
          <w:tcPr>
            <w:tcW w:w="0" w:type="auto"/>
            <w:gridSpan w:val="3"/>
            <w:vAlign w:val="center"/>
            <w:hideMark/>
          </w:tcPr>
          <w:p w14:paraId="7B07B6D0" w14:textId="77777777" w:rsidR="00000000" w:rsidRDefault="00A173A8">
            <w:pPr>
              <w:spacing w:after="100"/>
              <w:rPr>
                <w:rFonts w:eastAsia="Times New Roman"/>
                <w:sz w:val="20"/>
                <w:szCs w:val="20"/>
              </w:rPr>
            </w:pPr>
          </w:p>
        </w:tc>
        <w:tc>
          <w:tcPr>
            <w:tcW w:w="0" w:type="auto"/>
            <w:gridSpan w:val="3"/>
            <w:vAlign w:val="center"/>
            <w:hideMark/>
          </w:tcPr>
          <w:p w14:paraId="71FD4112" w14:textId="77777777" w:rsidR="00000000" w:rsidRDefault="00A173A8">
            <w:pPr>
              <w:spacing w:after="100"/>
              <w:rPr>
                <w:rFonts w:eastAsia="Times New Roman"/>
                <w:sz w:val="20"/>
                <w:szCs w:val="20"/>
              </w:rPr>
            </w:pPr>
          </w:p>
        </w:tc>
        <w:tc>
          <w:tcPr>
            <w:tcW w:w="0" w:type="auto"/>
            <w:gridSpan w:val="3"/>
            <w:vAlign w:val="center"/>
            <w:hideMark/>
          </w:tcPr>
          <w:p w14:paraId="1BB644F4" w14:textId="77777777" w:rsidR="00000000" w:rsidRDefault="00A173A8">
            <w:pPr>
              <w:spacing w:after="100"/>
              <w:rPr>
                <w:rFonts w:eastAsia="Times New Roman"/>
                <w:sz w:val="20"/>
                <w:szCs w:val="20"/>
              </w:rPr>
            </w:pPr>
          </w:p>
        </w:tc>
        <w:tc>
          <w:tcPr>
            <w:tcW w:w="0" w:type="auto"/>
            <w:gridSpan w:val="3"/>
            <w:vAlign w:val="center"/>
            <w:hideMark/>
          </w:tcPr>
          <w:p w14:paraId="3A801065" w14:textId="77777777" w:rsidR="00000000" w:rsidRDefault="00A173A8">
            <w:pPr>
              <w:spacing w:after="100"/>
              <w:rPr>
                <w:rFonts w:eastAsia="Times New Roman"/>
                <w:sz w:val="20"/>
                <w:szCs w:val="20"/>
              </w:rPr>
            </w:pPr>
          </w:p>
        </w:tc>
        <w:tc>
          <w:tcPr>
            <w:tcW w:w="0" w:type="auto"/>
            <w:gridSpan w:val="3"/>
            <w:vAlign w:val="center"/>
            <w:hideMark/>
          </w:tcPr>
          <w:p w14:paraId="5E01BEAB" w14:textId="77777777" w:rsidR="00000000" w:rsidRDefault="00A173A8">
            <w:pPr>
              <w:spacing w:after="100"/>
              <w:rPr>
                <w:rFonts w:eastAsia="Times New Roman"/>
                <w:sz w:val="20"/>
                <w:szCs w:val="20"/>
              </w:rPr>
            </w:pPr>
          </w:p>
        </w:tc>
        <w:tc>
          <w:tcPr>
            <w:tcW w:w="0" w:type="auto"/>
            <w:gridSpan w:val="3"/>
            <w:vAlign w:val="center"/>
            <w:hideMark/>
          </w:tcPr>
          <w:p w14:paraId="03FC8702" w14:textId="77777777" w:rsidR="00000000" w:rsidRDefault="00A173A8">
            <w:pPr>
              <w:spacing w:after="100"/>
              <w:rPr>
                <w:rFonts w:eastAsia="Times New Roman"/>
                <w:sz w:val="20"/>
                <w:szCs w:val="20"/>
              </w:rPr>
            </w:pPr>
          </w:p>
        </w:tc>
        <w:tc>
          <w:tcPr>
            <w:tcW w:w="0" w:type="auto"/>
            <w:gridSpan w:val="3"/>
            <w:vAlign w:val="center"/>
            <w:hideMark/>
          </w:tcPr>
          <w:p w14:paraId="09D405E3" w14:textId="77777777" w:rsidR="00000000" w:rsidRDefault="00A173A8">
            <w:pPr>
              <w:spacing w:after="100"/>
              <w:rPr>
                <w:rFonts w:eastAsia="Times New Roman"/>
                <w:sz w:val="20"/>
                <w:szCs w:val="20"/>
              </w:rPr>
            </w:pPr>
          </w:p>
        </w:tc>
        <w:tc>
          <w:tcPr>
            <w:tcW w:w="0" w:type="auto"/>
            <w:gridSpan w:val="3"/>
            <w:vAlign w:val="center"/>
            <w:hideMark/>
          </w:tcPr>
          <w:p w14:paraId="25F284BF" w14:textId="77777777" w:rsidR="00000000" w:rsidRDefault="00A173A8">
            <w:pPr>
              <w:spacing w:after="100"/>
              <w:rPr>
                <w:rFonts w:eastAsia="Times New Roman"/>
                <w:sz w:val="20"/>
                <w:szCs w:val="20"/>
              </w:rPr>
            </w:pPr>
          </w:p>
        </w:tc>
        <w:tc>
          <w:tcPr>
            <w:tcW w:w="0" w:type="auto"/>
            <w:gridSpan w:val="3"/>
            <w:vAlign w:val="center"/>
            <w:hideMark/>
          </w:tcPr>
          <w:p w14:paraId="63DB5E77" w14:textId="77777777" w:rsidR="00000000" w:rsidRDefault="00A173A8">
            <w:pPr>
              <w:spacing w:after="100"/>
              <w:rPr>
                <w:rFonts w:eastAsia="Times New Roman"/>
                <w:sz w:val="20"/>
                <w:szCs w:val="20"/>
              </w:rPr>
            </w:pPr>
          </w:p>
        </w:tc>
        <w:tc>
          <w:tcPr>
            <w:tcW w:w="0" w:type="auto"/>
            <w:gridSpan w:val="3"/>
            <w:vAlign w:val="center"/>
            <w:hideMark/>
          </w:tcPr>
          <w:p w14:paraId="71C3D537" w14:textId="77777777" w:rsidR="00000000" w:rsidRDefault="00A173A8">
            <w:pPr>
              <w:spacing w:after="100"/>
              <w:rPr>
                <w:rFonts w:eastAsia="Times New Roman"/>
                <w:sz w:val="20"/>
                <w:szCs w:val="20"/>
              </w:rPr>
            </w:pPr>
          </w:p>
        </w:tc>
        <w:tc>
          <w:tcPr>
            <w:tcW w:w="0" w:type="auto"/>
            <w:gridSpan w:val="3"/>
            <w:vAlign w:val="center"/>
            <w:hideMark/>
          </w:tcPr>
          <w:p w14:paraId="00D7A4F5" w14:textId="77777777" w:rsidR="00000000" w:rsidRDefault="00A173A8">
            <w:pPr>
              <w:spacing w:after="100"/>
              <w:rPr>
                <w:rFonts w:eastAsia="Times New Roman"/>
                <w:sz w:val="20"/>
                <w:szCs w:val="20"/>
              </w:rPr>
            </w:pPr>
          </w:p>
        </w:tc>
        <w:tc>
          <w:tcPr>
            <w:tcW w:w="0" w:type="auto"/>
            <w:gridSpan w:val="3"/>
            <w:vAlign w:val="center"/>
            <w:hideMark/>
          </w:tcPr>
          <w:p w14:paraId="6BDFF5C9" w14:textId="77777777" w:rsidR="00000000" w:rsidRDefault="00A173A8">
            <w:pPr>
              <w:spacing w:after="100"/>
              <w:rPr>
                <w:rFonts w:eastAsia="Times New Roman"/>
                <w:sz w:val="20"/>
                <w:szCs w:val="20"/>
              </w:rPr>
            </w:pPr>
          </w:p>
        </w:tc>
        <w:tc>
          <w:tcPr>
            <w:tcW w:w="0" w:type="auto"/>
            <w:gridSpan w:val="3"/>
            <w:vAlign w:val="center"/>
            <w:hideMark/>
          </w:tcPr>
          <w:p w14:paraId="09E5155D" w14:textId="77777777" w:rsidR="00000000" w:rsidRDefault="00A173A8">
            <w:pPr>
              <w:spacing w:after="100"/>
              <w:rPr>
                <w:rFonts w:eastAsia="Times New Roman"/>
                <w:sz w:val="20"/>
                <w:szCs w:val="20"/>
              </w:rPr>
            </w:pPr>
          </w:p>
        </w:tc>
        <w:tc>
          <w:tcPr>
            <w:tcW w:w="0" w:type="auto"/>
            <w:gridSpan w:val="3"/>
            <w:vAlign w:val="center"/>
            <w:hideMark/>
          </w:tcPr>
          <w:p w14:paraId="34713AAC" w14:textId="77777777" w:rsidR="00000000" w:rsidRDefault="00A173A8">
            <w:pPr>
              <w:spacing w:after="100"/>
              <w:rPr>
                <w:rFonts w:eastAsia="Times New Roman"/>
                <w:sz w:val="20"/>
                <w:szCs w:val="20"/>
              </w:rPr>
            </w:pPr>
          </w:p>
        </w:tc>
        <w:tc>
          <w:tcPr>
            <w:tcW w:w="0" w:type="auto"/>
            <w:gridSpan w:val="3"/>
            <w:vAlign w:val="center"/>
            <w:hideMark/>
          </w:tcPr>
          <w:p w14:paraId="76E4A090" w14:textId="77777777" w:rsidR="00000000" w:rsidRDefault="00A173A8">
            <w:pPr>
              <w:spacing w:after="100"/>
              <w:rPr>
                <w:rFonts w:eastAsia="Times New Roman"/>
                <w:sz w:val="20"/>
                <w:szCs w:val="20"/>
              </w:rPr>
            </w:pPr>
          </w:p>
        </w:tc>
        <w:tc>
          <w:tcPr>
            <w:tcW w:w="0" w:type="auto"/>
            <w:gridSpan w:val="3"/>
            <w:vAlign w:val="center"/>
            <w:hideMark/>
          </w:tcPr>
          <w:p w14:paraId="3BF0AA7A" w14:textId="77777777" w:rsidR="00000000" w:rsidRDefault="00A173A8">
            <w:pPr>
              <w:spacing w:after="100"/>
              <w:rPr>
                <w:rFonts w:eastAsia="Times New Roman"/>
                <w:sz w:val="20"/>
                <w:szCs w:val="20"/>
              </w:rPr>
            </w:pPr>
          </w:p>
        </w:tc>
        <w:tc>
          <w:tcPr>
            <w:tcW w:w="0" w:type="auto"/>
            <w:gridSpan w:val="3"/>
            <w:vAlign w:val="center"/>
            <w:hideMark/>
          </w:tcPr>
          <w:p w14:paraId="1AC8CF08" w14:textId="77777777" w:rsidR="00000000" w:rsidRDefault="00A173A8">
            <w:pPr>
              <w:spacing w:after="100"/>
              <w:rPr>
                <w:rFonts w:eastAsia="Times New Roman"/>
                <w:sz w:val="20"/>
                <w:szCs w:val="20"/>
              </w:rPr>
            </w:pPr>
          </w:p>
        </w:tc>
        <w:tc>
          <w:tcPr>
            <w:tcW w:w="0" w:type="auto"/>
            <w:gridSpan w:val="3"/>
            <w:vAlign w:val="center"/>
            <w:hideMark/>
          </w:tcPr>
          <w:p w14:paraId="24BB2F0A" w14:textId="77777777" w:rsidR="00000000" w:rsidRDefault="00A173A8">
            <w:pPr>
              <w:spacing w:after="100"/>
              <w:rPr>
                <w:rFonts w:eastAsia="Times New Roman"/>
                <w:sz w:val="20"/>
                <w:szCs w:val="20"/>
              </w:rPr>
            </w:pPr>
          </w:p>
        </w:tc>
      </w:tr>
      <w:tr w:rsidR="00000000" w14:paraId="45F28A61" w14:textId="77777777">
        <w:trPr>
          <w:divId w:val="488981052"/>
        </w:trPr>
        <w:tc>
          <w:tcPr>
            <w:tcW w:w="0" w:type="auto"/>
            <w:gridSpan w:val="3"/>
            <w:vAlign w:val="center"/>
            <w:hideMark/>
          </w:tcPr>
          <w:p w14:paraId="26145F39" w14:textId="77777777" w:rsidR="00000000" w:rsidRDefault="00A173A8">
            <w:pPr>
              <w:spacing w:after="100"/>
              <w:rPr>
                <w:rFonts w:eastAsia="Times New Roman"/>
                <w:sz w:val="20"/>
                <w:szCs w:val="20"/>
              </w:rPr>
            </w:pPr>
          </w:p>
        </w:tc>
        <w:tc>
          <w:tcPr>
            <w:tcW w:w="0" w:type="auto"/>
            <w:gridSpan w:val="3"/>
            <w:vAlign w:val="center"/>
            <w:hideMark/>
          </w:tcPr>
          <w:p w14:paraId="7695D51C" w14:textId="77777777" w:rsidR="00000000" w:rsidRDefault="00A173A8">
            <w:pPr>
              <w:spacing w:after="100"/>
              <w:rPr>
                <w:rFonts w:eastAsia="Times New Roman"/>
                <w:sz w:val="20"/>
                <w:szCs w:val="20"/>
              </w:rPr>
            </w:pPr>
          </w:p>
        </w:tc>
        <w:tc>
          <w:tcPr>
            <w:tcW w:w="0" w:type="auto"/>
            <w:gridSpan w:val="3"/>
            <w:vAlign w:val="center"/>
            <w:hideMark/>
          </w:tcPr>
          <w:p w14:paraId="6D1D9758" w14:textId="77777777" w:rsidR="00000000" w:rsidRDefault="00A173A8">
            <w:pPr>
              <w:spacing w:after="100"/>
              <w:rPr>
                <w:rFonts w:eastAsia="Times New Roman"/>
                <w:sz w:val="20"/>
                <w:szCs w:val="20"/>
              </w:rPr>
            </w:pPr>
          </w:p>
        </w:tc>
        <w:tc>
          <w:tcPr>
            <w:tcW w:w="0" w:type="auto"/>
            <w:gridSpan w:val="3"/>
            <w:vAlign w:val="center"/>
            <w:hideMark/>
          </w:tcPr>
          <w:p w14:paraId="2343F4B2" w14:textId="77777777" w:rsidR="00000000" w:rsidRDefault="00A173A8">
            <w:pPr>
              <w:spacing w:after="100"/>
              <w:rPr>
                <w:rFonts w:eastAsia="Times New Roman"/>
                <w:sz w:val="20"/>
                <w:szCs w:val="20"/>
              </w:rPr>
            </w:pPr>
          </w:p>
        </w:tc>
        <w:tc>
          <w:tcPr>
            <w:tcW w:w="0" w:type="auto"/>
            <w:gridSpan w:val="3"/>
            <w:vAlign w:val="center"/>
            <w:hideMark/>
          </w:tcPr>
          <w:p w14:paraId="010F0F88" w14:textId="77777777" w:rsidR="00000000" w:rsidRDefault="00A173A8">
            <w:pPr>
              <w:spacing w:after="100"/>
              <w:rPr>
                <w:rFonts w:eastAsia="Times New Roman"/>
                <w:sz w:val="20"/>
                <w:szCs w:val="20"/>
              </w:rPr>
            </w:pPr>
          </w:p>
        </w:tc>
        <w:tc>
          <w:tcPr>
            <w:tcW w:w="0" w:type="auto"/>
            <w:gridSpan w:val="3"/>
            <w:vAlign w:val="center"/>
            <w:hideMark/>
          </w:tcPr>
          <w:p w14:paraId="39D39718" w14:textId="77777777" w:rsidR="00000000" w:rsidRDefault="00A173A8">
            <w:pPr>
              <w:spacing w:after="100"/>
              <w:rPr>
                <w:rFonts w:eastAsia="Times New Roman"/>
                <w:sz w:val="20"/>
                <w:szCs w:val="20"/>
              </w:rPr>
            </w:pPr>
          </w:p>
        </w:tc>
        <w:tc>
          <w:tcPr>
            <w:tcW w:w="0" w:type="auto"/>
            <w:gridSpan w:val="3"/>
            <w:vAlign w:val="center"/>
            <w:hideMark/>
          </w:tcPr>
          <w:p w14:paraId="05584086" w14:textId="77777777" w:rsidR="00000000" w:rsidRDefault="00A173A8">
            <w:pPr>
              <w:spacing w:after="100"/>
              <w:rPr>
                <w:rFonts w:eastAsia="Times New Roman"/>
                <w:sz w:val="20"/>
                <w:szCs w:val="20"/>
              </w:rPr>
            </w:pPr>
          </w:p>
        </w:tc>
        <w:tc>
          <w:tcPr>
            <w:tcW w:w="0" w:type="auto"/>
            <w:gridSpan w:val="3"/>
            <w:vAlign w:val="center"/>
            <w:hideMark/>
          </w:tcPr>
          <w:p w14:paraId="25B01A97" w14:textId="77777777" w:rsidR="00000000" w:rsidRDefault="00A173A8">
            <w:pPr>
              <w:spacing w:after="100"/>
              <w:rPr>
                <w:rFonts w:eastAsia="Times New Roman"/>
                <w:sz w:val="20"/>
                <w:szCs w:val="20"/>
              </w:rPr>
            </w:pPr>
          </w:p>
        </w:tc>
        <w:tc>
          <w:tcPr>
            <w:tcW w:w="0" w:type="auto"/>
            <w:gridSpan w:val="3"/>
            <w:vAlign w:val="center"/>
            <w:hideMark/>
          </w:tcPr>
          <w:p w14:paraId="6FF8D863" w14:textId="77777777" w:rsidR="00000000" w:rsidRDefault="00A173A8">
            <w:pPr>
              <w:spacing w:after="100"/>
              <w:rPr>
                <w:rFonts w:eastAsia="Times New Roman"/>
                <w:sz w:val="20"/>
                <w:szCs w:val="20"/>
              </w:rPr>
            </w:pPr>
          </w:p>
        </w:tc>
        <w:tc>
          <w:tcPr>
            <w:tcW w:w="0" w:type="auto"/>
            <w:gridSpan w:val="3"/>
            <w:vAlign w:val="center"/>
            <w:hideMark/>
          </w:tcPr>
          <w:p w14:paraId="38923D62" w14:textId="77777777" w:rsidR="00000000" w:rsidRDefault="00A173A8">
            <w:pPr>
              <w:spacing w:after="100"/>
              <w:rPr>
                <w:rFonts w:eastAsia="Times New Roman"/>
                <w:sz w:val="20"/>
                <w:szCs w:val="20"/>
              </w:rPr>
            </w:pPr>
          </w:p>
        </w:tc>
        <w:tc>
          <w:tcPr>
            <w:tcW w:w="0" w:type="auto"/>
            <w:gridSpan w:val="3"/>
            <w:vAlign w:val="center"/>
            <w:hideMark/>
          </w:tcPr>
          <w:p w14:paraId="5D49B656" w14:textId="77777777" w:rsidR="00000000" w:rsidRDefault="00A173A8">
            <w:pPr>
              <w:spacing w:after="100"/>
              <w:rPr>
                <w:rFonts w:eastAsia="Times New Roman"/>
                <w:sz w:val="20"/>
                <w:szCs w:val="20"/>
              </w:rPr>
            </w:pPr>
          </w:p>
        </w:tc>
        <w:tc>
          <w:tcPr>
            <w:tcW w:w="0" w:type="auto"/>
            <w:gridSpan w:val="3"/>
            <w:vAlign w:val="center"/>
            <w:hideMark/>
          </w:tcPr>
          <w:p w14:paraId="6FE4E3FF" w14:textId="77777777" w:rsidR="00000000" w:rsidRDefault="00A173A8">
            <w:pPr>
              <w:spacing w:after="100"/>
              <w:rPr>
                <w:rFonts w:eastAsia="Times New Roman"/>
                <w:sz w:val="20"/>
                <w:szCs w:val="20"/>
              </w:rPr>
            </w:pPr>
          </w:p>
        </w:tc>
        <w:tc>
          <w:tcPr>
            <w:tcW w:w="0" w:type="auto"/>
            <w:gridSpan w:val="3"/>
            <w:vAlign w:val="center"/>
            <w:hideMark/>
          </w:tcPr>
          <w:p w14:paraId="3B0B96E9" w14:textId="77777777" w:rsidR="00000000" w:rsidRDefault="00A173A8">
            <w:pPr>
              <w:spacing w:after="100"/>
              <w:rPr>
                <w:rFonts w:eastAsia="Times New Roman"/>
                <w:sz w:val="20"/>
                <w:szCs w:val="20"/>
              </w:rPr>
            </w:pPr>
          </w:p>
        </w:tc>
        <w:tc>
          <w:tcPr>
            <w:tcW w:w="0" w:type="auto"/>
            <w:gridSpan w:val="3"/>
            <w:vAlign w:val="center"/>
            <w:hideMark/>
          </w:tcPr>
          <w:p w14:paraId="46A94A6D" w14:textId="77777777" w:rsidR="00000000" w:rsidRDefault="00A173A8">
            <w:pPr>
              <w:spacing w:after="100"/>
              <w:rPr>
                <w:rFonts w:eastAsia="Times New Roman"/>
                <w:sz w:val="20"/>
                <w:szCs w:val="20"/>
              </w:rPr>
            </w:pPr>
          </w:p>
        </w:tc>
        <w:tc>
          <w:tcPr>
            <w:tcW w:w="0" w:type="auto"/>
            <w:gridSpan w:val="3"/>
            <w:vAlign w:val="center"/>
            <w:hideMark/>
          </w:tcPr>
          <w:p w14:paraId="67991302" w14:textId="77777777" w:rsidR="00000000" w:rsidRDefault="00A173A8">
            <w:pPr>
              <w:spacing w:after="100"/>
              <w:rPr>
                <w:rFonts w:eastAsia="Times New Roman"/>
                <w:sz w:val="20"/>
                <w:szCs w:val="20"/>
              </w:rPr>
            </w:pPr>
          </w:p>
        </w:tc>
        <w:tc>
          <w:tcPr>
            <w:tcW w:w="0" w:type="auto"/>
            <w:gridSpan w:val="3"/>
            <w:vAlign w:val="center"/>
            <w:hideMark/>
          </w:tcPr>
          <w:p w14:paraId="767B24A4" w14:textId="77777777" w:rsidR="00000000" w:rsidRDefault="00A173A8">
            <w:pPr>
              <w:spacing w:after="100"/>
              <w:rPr>
                <w:rFonts w:eastAsia="Times New Roman"/>
                <w:sz w:val="20"/>
                <w:szCs w:val="20"/>
              </w:rPr>
            </w:pPr>
          </w:p>
        </w:tc>
        <w:tc>
          <w:tcPr>
            <w:tcW w:w="0" w:type="auto"/>
            <w:gridSpan w:val="3"/>
            <w:vAlign w:val="center"/>
            <w:hideMark/>
          </w:tcPr>
          <w:p w14:paraId="6D399D83" w14:textId="77777777" w:rsidR="00000000" w:rsidRDefault="00A173A8">
            <w:pPr>
              <w:spacing w:after="100"/>
              <w:rPr>
                <w:rFonts w:eastAsia="Times New Roman"/>
                <w:sz w:val="20"/>
                <w:szCs w:val="20"/>
              </w:rPr>
            </w:pPr>
          </w:p>
        </w:tc>
        <w:tc>
          <w:tcPr>
            <w:tcW w:w="0" w:type="auto"/>
            <w:gridSpan w:val="3"/>
            <w:vAlign w:val="center"/>
            <w:hideMark/>
          </w:tcPr>
          <w:p w14:paraId="565CA732" w14:textId="77777777" w:rsidR="00000000" w:rsidRDefault="00A173A8">
            <w:pPr>
              <w:spacing w:after="100"/>
              <w:rPr>
                <w:rFonts w:eastAsia="Times New Roman"/>
                <w:sz w:val="20"/>
                <w:szCs w:val="20"/>
              </w:rPr>
            </w:pPr>
          </w:p>
        </w:tc>
        <w:tc>
          <w:tcPr>
            <w:tcW w:w="0" w:type="auto"/>
            <w:gridSpan w:val="3"/>
            <w:vAlign w:val="center"/>
            <w:hideMark/>
          </w:tcPr>
          <w:p w14:paraId="3B8705B3" w14:textId="77777777" w:rsidR="00000000" w:rsidRDefault="00A173A8">
            <w:pPr>
              <w:spacing w:after="100"/>
              <w:rPr>
                <w:rFonts w:eastAsia="Times New Roman"/>
                <w:sz w:val="20"/>
                <w:szCs w:val="20"/>
              </w:rPr>
            </w:pPr>
          </w:p>
        </w:tc>
      </w:tr>
      <w:tr w:rsidR="00000000" w14:paraId="24584E1D" w14:textId="77777777">
        <w:trPr>
          <w:divId w:val="488981052"/>
        </w:trPr>
        <w:tc>
          <w:tcPr>
            <w:tcW w:w="0" w:type="auto"/>
            <w:gridSpan w:val="3"/>
            <w:vAlign w:val="center"/>
            <w:hideMark/>
          </w:tcPr>
          <w:p w14:paraId="04B389BA" w14:textId="77777777" w:rsidR="00000000" w:rsidRDefault="00A173A8">
            <w:pPr>
              <w:spacing w:after="100"/>
              <w:rPr>
                <w:rFonts w:eastAsia="Times New Roman"/>
                <w:sz w:val="20"/>
                <w:szCs w:val="20"/>
              </w:rPr>
            </w:pPr>
          </w:p>
        </w:tc>
        <w:tc>
          <w:tcPr>
            <w:tcW w:w="0" w:type="auto"/>
            <w:gridSpan w:val="3"/>
            <w:vAlign w:val="center"/>
            <w:hideMark/>
          </w:tcPr>
          <w:p w14:paraId="76B759EB" w14:textId="77777777" w:rsidR="00000000" w:rsidRDefault="00A173A8">
            <w:pPr>
              <w:spacing w:after="100"/>
              <w:rPr>
                <w:rFonts w:eastAsia="Times New Roman"/>
                <w:sz w:val="20"/>
                <w:szCs w:val="20"/>
              </w:rPr>
            </w:pPr>
          </w:p>
        </w:tc>
        <w:tc>
          <w:tcPr>
            <w:tcW w:w="0" w:type="auto"/>
            <w:gridSpan w:val="3"/>
            <w:vAlign w:val="center"/>
            <w:hideMark/>
          </w:tcPr>
          <w:p w14:paraId="730172CC" w14:textId="77777777" w:rsidR="00000000" w:rsidRDefault="00A173A8">
            <w:pPr>
              <w:spacing w:after="100"/>
              <w:rPr>
                <w:rFonts w:eastAsia="Times New Roman"/>
                <w:sz w:val="20"/>
                <w:szCs w:val="20"/>
              </w:rPr>
            </w:pPr>
          </w:p>
        </w:tc>
        <w:tc>
          <w:tcPr>
            <w:tcW w:w="0" w:type="auto"/>
            <w:gridSpan w:val="3"/>
            <w:vAlign w:val="center"/>
            <w:hideMark/>
          </w:tcPr>
          <w:p w14:paraId="199DE1A4" w14:textId="77777777" w:rsidR="00000000" w:rsidRDefault="00A173A8">
            <w:pPr>
              <w:spacing w:after="100"/>
              <w:rPr>
                <w:rFonts w:eastAsia="Times New Roman"/>
                <w:sz w:val="20"/>
                <w:szCs w:val="20"/>
              </w:rPr>
            </w:pPr>
          </w:p>
        </w:tc>
        <w:tc>
          <w:tcPr>
            <w:tcW w:w="0" w:type="auto"/>
            <w:gridSpan w:val="3"/>
            <w:vAlign w:val="center"/>
            <w:hideMark/>
          </w:tcPr>
          <w:p w14:paraId="58E608D9" w14:textId="77777777" w:rsidR="00000000" w:rsidRDefault="00A173A8">
            <w:pPr>
              <w:spacing w:after="100"/>
              <w:rPr>
                <w:rFonts w:eastAsia="Times New Roman"/>
                <w:sz w:val="20"/>
                <w:szCs w:val="20"/>
              </w:rPr>
            </w:pPr>
          </w:p>
        </w:tc>
        <w:tc>
          <w:tcPr>
            <w:tcW w:w="0" w:type="auto"/>
            <w:gridSpan w:val="3"/>
            <w:vAlign w:val="center"/>
            <w:hideMark/>
          </w:tcPr>
          <w:p w14:paraId="0BEE567C" w14:textId="77777777" w:rsidR="00000000" w:rsidRDefault="00A173A8">
            <w:pPr>
              <w:spacing w:after="100"/>
              <w:rPr>
                <w:rFonts w:eastAsia="Times New Roman"/>
                <w:sz w:val="20"/>
                <w:szCs w:val="20"/>
              </w:rPr>
            </w:pPr>
          </w:p>
        </w:tc>
        <w:tc>
          <w:tcPr>
            <w:tcW w:w="0" w:type="auto"/>
            <w:gridSpan w:val="3"/>
            <w:vAlign w:val="center"/>
            <w:hideMark/>
          </w:tcPr>
          <w:p w14:paraId="51788ADE" w14:textId="77777777" w:rsidR="00000000" w:rsidRDefault="00A173A8">
            <w:pPr>
              <w:spacing w:after="100"/>
              <w:rPr>
                <w:rFonts w:eastAsia="Times New Roman"/>
                <w:sz w:val="20"/>
                <w:szCs w:val="20"/>
              </w:rPr>
            </w:pPr>
          </w:p>
        </w:tc>
        <w:tc>
          <w:tcPr>
            <w:tcW w:w="0" w:type="auto"/>
            <w:gridSpan w:val="3"/>
            <w:vAlign w:val="center"/>
            <w:hideMark/>
          </w:tcPr>
          <w:p w14:paraId="18744CDA" w14:textId="77777777" w:rsidR="00000000" w:rsidRDefault="00A173A8">
            <w:pPr>
              <w:spacing w:after="100"/>
              <w:rPr>
                <w:rFonts w:eastAsia="Times New Roman"/>
                <w:sz w:val="20"/>
                <w:szCs w:val="20"/>
              </w:rPr>
            </w:pPr>
          </w:p>
        </w:tc>
        <w:tc>
          <w:tcPr>
            <w:tcW w:w="0" w:type="auto"/>
            <w:gridSpan w:val="3"/>
            <w:vAlign w:val="center"/>
            <w:hideMark/>
          </w:tcPr>
          <w:p w14:paraId="40B517BE" w14:textId="77777777" w:rsidR="00000000" w:rsidRDefault="00A173A8">
            <w:pPr>
              <w:spacing w:after="100"/>
              <w:rPr>
                <w:rFonts w:eastAsia="Times New Roman"/>
                <w:sz w:val="20"/>
                <w:szCs w:val="20"/>
              </w:rPr>
            </w:pPr>
          </w:p>
        </w:tc>
        <w:tc>
          <w:tcPr>
            <w:tcW w:w="0" w:type="auto"/>
            <w:gridSpan w:val="3"/>
            <w:vAlign w:val="center"/>
            <w:hideMark/>
          </w:tcPr>
          <w:p w14:paraId="7E5CB7F9" w14:textId="77777777" w:rsidR="00000000" w:rsidRDefault="00A173A8">
            <w:pPr>
              <w:spacing w:after="100"/>
              <w:rPr>
                <w:rFonts w:eastAsia="Times New Roman"/>
                <w:sz w:val="20"/>
                <w:szCs w:val="20"/>
              </w:rPr>
            </w:pPr>
          </w:p>
        </w:tc>
        <w:tc>
          <w:tcPr>
            <w:tcW w:w="0" w:type="auto"/>
            <w:gridSpan w:val="3"/>
            <w:vAlign w:val="center"/>
            <w:hideMark/>
          </w:tcPr>
          <w:p w14:paraId="460AD77F" w14:textId="77777777" w:rsidR="00000000" w:rsidRDefault="00A173A8">
            <w:pPr>
              <w:spacing w:after="100"/>
              <w:rPr>
                <w:rFonts w:eastAsia="Times New Roman"/>
                <w:sz w:val="20"/>
                <w:szCs w:val="20"/>
              </w:rPr>
            </w:pPr>
          </w:p>
        </w:tc>
        <w:tc>
          <w:tcPr>
            <w:tcW w:w="0" w:type="auto"/>
            <w:gridSpan w:val="3"/>
            <w:vAlign w:val="center"/>
            <w:hideMark/>
          </w:tcPr>
          <w:p w14:paraId="28FA0FB6" w14:textId="77777777" w:rsidR="00000000" w:rsidRDefault="00A173A8">
            <w:pPr>
              <w:spacing w:after="100"/>
              <w:rPr>
                <w:rFonts w:eastAsia="Times New Roman"/>
                <w:sz w:val="20"/>
                <w:szCs w:val="20"/>
              </w:rPr>
            </w:pPr>
          </w:p>
        </w:tc>
        <w:tc>
          <w:tcPr>
            <w:tcW w:w="0" w:type="auto"/>
            <w:gridSpan w:val="3"/>
            <w:vAlign w:val="center"/>
            <w:hideMark/>
          </w:tcPr>
          <w:p w14:paraId="1C39742A" w14:textId="77777777" w:rsidR="00000000" w:rsidRDefault="00A173A8">
            <w:pPr>
              <w:spacing w:after="100"/>
              <w:rPr>
                <w:rFonts w:eastAsia="Times New Roman"/>
                <w:sz w:val="20"/>
                <w:szCs w:val="20"/>
              </w:rPr>
            </w:pPr>
          </w:p>
        </w:tc>
        <w:tc>
          <w:tcPr>
            <w:tcW w:w="0" w:type="auto"/>
            <w:gridSpan w:val="3"/>
            <w:vAlign w:val="center"/>
            <w:hideMark/>
          </w:tcPr>
          <w:p w14:paraId="632A27D4" w14:textId="77777777" w:rsidR="00000000" w:rsidRDefault="00A173A8">
            <w:pPr>
              <w:spacing w:after="100"/>
              <w:rPr>
                <w:rFonts w:eastAsia="Times New Roman"/>
                <w:sz w:val="20"/>
                <w:szCs w:val="20"/>
              </w:rPr>
            </w:pPr>
          </w:p>
        </w:tc>
        <w:tc>
          <w:tcPr>
            <w:tcW w:w="0" w:type="auto"/>
            <w:gridSpan w:val="3"/>
            <w:vAlign w:val="center"/>
            <w:hideMark/>
          </w:tcPr>
          <w:p w14:paraId="6346CF2C" w14:textId="77777777" w:rsidR="00000000" w:rsidRDefault="00A173A8">
            <w:pPr>
              <w:spacing w:after="100"/>
              <w:rPr>
                <w:rFonts w:eastAsia="Times New Roman"/>
                <w:sz w:val="20"/>
                <w:szCs w:val="20"/>
              </w:rPr>
            </w:pPr>
          </w:p>
        </w:tc>
        <w:tc>
          <w:tcPr>
            <w:tcW w:w="0" w:type="auto"/>
            <w:gridSpan w:val="3"/>
            <w:vAlign w:val="center"/>
            <w:hideMark/>
          </w:tcPr>
          <w:p w14:paraId="2E86BF0D" w14:textId="77777777" w:rsidR="00000000" w:rsidRDefault="00A173A8">
            <w:pPr>
              <w:spacing w:after="100"/>
              <w:rPr>
                <w:rFonts w:eastAsia="Times New Roman"/>
                <w:sz w:val="20"/>
                <w:szCs w:val="20"/>
              </w:rPr>
            </w:pPr>
          </w:p>
        </w:tc>
        <w:tc>
          <w:tcPr>
            <w:tcW w:w="0" w:type="auto"/>
            <w:gridSpan w:val="3"/>
            <w:vAlign w:val="center"/>
            <w:hideMark/>
          </w:tcPr>
          <w:p w14:paraId="025C1710" w14:textId="77777777" w:rsidR="00000000" w:rsidRDefault="00A173A8">
            <w:pPr>
              <w:spacing w:after="100"/>
              <w:rPr>
                <w:rFonts w:eastAsia="Times New Roman"/>
                <w:sz w:val="20"/>
                <w:szCs w:val="20"/>
              </w:rPr>
            </w:pPr>
          </w:p>
        </w:tc>
        <w:tc>
          <w:tcPr>
            <w:tcW w:w="0" w:type="auto"/>
            <w:gridSpan w:val="3"/>
            <w:vAlign w:val="center"/>
            <w:hideMark/>
          </w:tcPr>
          <w:p w14:paraId="21ED8347" w14:textId="77777777" w:rsidR="00000000" w:rsidRDefault="00A173A8">
            <w:pPr>
              <w:spacing w:after="100"/>
              <w:rPr>
                <w:rFonts w:eastAsia="Times New Roman"/>
                <w:sz w:val="20"/>
                <w:szCs w:val="20"/>
              </w:rPr>
            </w:pPr>
          </w:p>
        </w:tc>
        <w:tc>
          <w:tcPr>
            <w:tcW w:w="0" w:type="auto"/>
            <w:gridSpan w:val="3"/>
            <w:vAlign w:val="center"/>
            <w:hideMark/>
          </w:tcPr>
          <w:p w14:paraId="2FD1F2B1" w14:textId="77777777" w:rsidR="00000000" w:rsidRDefault="00A173A8">
            <w:pPr>
              <w:spacing w:after="100"/>
              <w:rPr>
                <w:rFonts w:eastAsia="Times New Roman"/>
                <w:sz w:val="20"/>
                <w:szCs w:val="20"/>
              </w:rPr>
            </w:pPr>
          </w:p>
        </w:tc>
      </w:tr>
      <w:tr w:rsidR="00000000" w14:paraId="71016D30" w14:textId="77777777">
        <w:trPr>
          <w:divId w:val="488981052"/>
        </w:trPr>
        <w:tc>
          <w:tcPr>
            <w:tcW w:w="0" w:type="auto"/>
            <w:gridSpan w:val="3"/>
            <w:vAlign w:val="center"/>
            <w:hideMark/>
          </w:tcPr>
          <w:p w14:paraId="6AB971E5" w14:textId="77777777" w:rsidR="00000000" w:rsidRDefault="00A173A8">
            <w:pPr>
              <w:spacing w:after="100"/>
              <w:rPr>
                <w:rFonts w:eastAsia="Times New Roman"/>
                <w:sz w:val="20"/>
                <w:szCs w:val="20"/>
              </w:rPr>
            </w:pPr>
          </w:p>
        </w:tc>
        <w:tc>
          <w:tcPr>
            <w:tcW w:w="0" w:type="auto"/>
            <w:gridSpan w:val="3"/>
            <w:vAlign w:val="center"/>
            <w:hideMark/>
          </w:tcPr>
          <w:p w14:paraId="67534358" w14:textId="77777777" w:rsidR="00000000" w:rsidRDefault="00A173A8">
            <w:pPr>
              <w:spacing w:after="100"/>
              <w:rPr>
                <w:rFonts w:eastAsia="Times New Roman"/>
                <w:sz w:val="20"/>
                <w:szCs w:val="20"/>
              </w:rPr>
            </w:pPr>
          </w:p>
        </w:tc>
        <w:tc>
          <w:tcPr>
            <w:tcW w:w="0" w:type="auto"/>
            <w:gridSpan w:val="3"/>
            <w:vAlign w:val="center"/>
            <w:hideMark/>
          </w:tcPr>
          <w:p w14:paraId="004B690E" w14:textId="77777777" w:rsidR="00000000" w:rsidRDefault="00A173A8">
            <w:pPr>
              <w:spacing w:after="100"/>
              <w:rPr>
                <w:rFonts w:eastAsia="Times New Roman"/>
                <w:sz w:val="20"/>
                <w:szCs w:val="20"/>
              </w:rPr>
            </w:pPr>
          </w:p>
        </w:tc>
        <w:tc>
          <w:tcPr>
            <w:tcW w:w="0" w:type="auto"/>
            <w:gridSpan w:val="3"/>
            <w:vAlign w:val="center"/>
            <w:hideMark/>
          </w:tcPr>
          <w:p w14:paraId="6809E8A5" w14:textId="77777777" w:rsidR="00000000" w:rsidRDefault="00A173A8">
            <w:pPr>
              <w:spacing w:after="100"/>
              <w:rPr>
                <w:rFonts w:eastAsia="Times New Roman"/>
                <w:sz w:val="20"/>
                <w:szCs w:val="20"/>
              </w:rPr>
            </w:pPr>
          </w:p>
        </w:tc>
        <w:tc>
          <w:tcPr>
            <w:tcW w:w="0" w:type="auto"/>
            <w:gridSpan w:val="3"/>
            <w:vAlign w:val="center"/>
            <w:hideMark/>
          </w:tcPr>
          <w:p w14:paraId="5F2EE260" w14:textId="77777777" w:rsidR="00000000" w:rsidRDefault="00A173A8">
            <w:pPr>
              <w:spacing w:after="100"/>
              <w:rPr>
                <w:rFonts w:eastAsia="Times New Roman"/>
                <w:sz w:val="20"/>
                <w:szCs w:val="20"/>
              </w:rPr>
            </w:pPr>
          </w:p>
        </w:tc>
        <w:tc>
          <w:tcPr>
            <w:tcW w:w="0" w:type="auto"/>
            <w:gridSpan w:val="3"/>
            <w:vAlign w:val="center"/>
            <w:hideMark/>
          </w:tcPr>
          <w:p w14:paraId="24AF5C56" w14:textId="77777777" w:rsidR="00000000" w:rsidRDefault="00A173A8">
            <w:pPr>
              <w:spacing w:after="100"/>
              <w:rPr>
                <w:rFonts w:eastAsia="Times New Roman"/>
                <w:sz w:val="20"/>
                <w:szCs w:val="20"/>
              </w:rPr>
            </w:pPr>
          </w:p>
        </w:tc>
        <w:tc>
          <w:tcPr>
            <w:tcW w:w="0" w:type="auto"/>
            <w:gridSpan w:val="3"/>
            <w:vAlign w:val="center"/>
            <w:hideMark/>
          </w:tcPr>
          <w:p w14:paraId="76761273" w14:textId="77777777" w:rsidR="00000000" w:rsidRDefault="00A173A8">
            <w:pPr>
              <w:spacing w:after="100"/>
              <w:rPr>
                <w:rFonts w:eastAsia="Times New Roman"/>
                <w:sz w:val="20"/>
                <w:szCs w:val="20"/>
              </w:rPr>
            </w:pPr>
          </w:p>
        </w:tc>
        <w:tc>
          <w:tcPr>
            <w:tcW w:w="0" w:type="auto"/>
            <w:gridSpan w:val="3"/>
            <w:vAlign w:val="center"/>
            <w:hideMark/>
          </w:tcPr>
          <w:p w14:paraId="2AAEC35C" w14:textId="77777777" w:rsidR="00000000" w:rsidRDefault="00A173A8">
            <w:pPr>
              <w:spacing w:after="100"/>
              <w:rPr>
                <w:rFonts w:eastAsia="Times New Roman"/>
                <w:sz w:val="20"/>
                <w:szCs w:val="20"/>
              </w:rPr>
            </w:pPr>
          </w:p>
        </w:tc>
        <w:tc>
          <w:tcPr>
            <w:tcW w:w="0" w:type="auto"/>
            <w:gridSpan w:val="3"/>
            <w:vAlign w:val="center"/>
            <w:hideMark/>
          </w:tcPr>
          <w:p w14:paraId="0D896463" w14:textId="77777777" w:rsidR="00000000" w:rsidRDefault="00A173A8">
            <w:pPr>
              <w:spacing w:after="100"/>
              <w:rPr>
                <w:rFonts w:eastAsia="Times New Roman"/>
                <w:sz w:val="20"/>
                <w:szCs w:val="20"/>
              </w:rPr>
            </w:pPr>
          </w:p>
        </w:tc>
        <w:tc>
          <w:tcPr>
            <w:tcW w:w="0" w:type="auto"/>
            <w:gridSpan w:val="3"/>
            <w:vAlign w:val="center"/>
            <w:hideMark/>
          </w:tcPr>
          <w:p w14:paraId="6ADCD3C6" w14:textId="77777777" w:rsidR="00000000" w:rsidRDefault="00A173A8">
            <w:pPr>
              <w:spacing w:after="100"/>
              <w:rPr>
                <w:rFonts w:eastAsia="Times New Roman"/>
                <w:sz w:val="20"/>
                <w:szCs w:val="20"/>
              </w:rPr>
            </w:pPr>
          </w:p>
        </w:tc>
        <w:tc>
          <w:tcPr>
            <w:tcW w:w="0" w:type="auto"/>
            <w:gridSpan w:val="3"/>
            <w:vAlign w:val="center"/>
            <w:hideMark/>
          </w:tcPr>
          <w:p w14:paraId="34B53A68" w14:textId="77777777" w:rsidR="00000000" w:rsidRDefault="00A173A8">
            <w:pPr>
              <w:spacing w:after="100"/>
              <w:rPr>
                <w:rFonts w:eastAsia="Times New Roman"/>
                <w:sz w:val="20"/>
                <w:szCs w:val="20"/>
              </w:rPr>
            </w:pPr>
          </w:p>
        </w:tc>
        <w:tc>
          <w:tcPr>
            <w:tcW w:w="0" w:type="auto"/>
            <w:gridSpan w:val="3"/>
            <w:vAlign w:val="center"/>
            <w:hideMark/>
          </w:tcPr>
          <w:p w14:paraId="278E7BC7" w14:textId="77777777" w:rsidR="00000000" w:rsidRDefault="00A173A8">
            <w:pPr>
              <w:spacing w:after="100"/>
              <w:rPr>
                <w:rFonts w:eastAsia="Times New Roman"/>
                <w:sz w:val="20"/>
                <w:szCs w:val="20"/>
              </w:rPr>
            </w:pPr>
          </w:p>
        </w:tc>
        <w:tc>
          <w:tcPr>
            <w:tcW w:w="0" w:type="auto"/>
            <w:gridSpan w:val="3"/>
            <w:vAlign w:val="center"/>
            <w:hideMark/>
          </w:tcPr>
          <w:p w14:paraId="202F4C86" w14:textId="77777777" w:rsidR="00000000" w:rsidRDefault="00A173A8">
            <w:pPr>
              <w:spacing w:after="100"/>
              <w:rPr>
                <w:rFonts w:eastAsia="Times New Roman"/>
                <w:sz w:val="20"/>
                <w:szCs w:val="20"/>
              </w:rPr>
            </w:pPr>
          </w:p>
        </w:tc>
        <w:tc>
          <w:tcPr>
            <w:tcW w:w="0" w:type="auto"/>
            <w:gridSpan w:val="3"/>
            <w:vAlign w:val="center"/>
            <w:hideMark/>
          </w:tcPr>
          <w:p w14:paraId="5197723E" w14:textId="77777777" w:rsidR="00000000" w:rsidRDefault="00A173A8">
            <w:pPr>
              <w:spacing w:after="100"/>
              <w:rPr>
                <w:rFonts w:eastAsia="Times New Roman"/>
                <w:sz w:val="20"/>
                <w:szCs w:val="20"/>
              </w:rPr>
            </w:pPr>
          </w:p>
        </w:tc>
        <w:tc>
          <w:tcPr>
            <w:tcW w:w="0" w:type="auto"/>
            <w:gridSpan w:val="3"/>
            <w:vAlign w:val="center"/>
            <w:hideMark/>
          </w:tcPr>
          <w:p w14:paraId="3A068BE4" w14:textId="77777777" w:rsidR="00000000" w:rsidRDefault="00A173A8">
            <w:pPr>
              <w:spacing w:after="100"/>
              <w:rPr>
                <w:rFonts w:eastAsia="Times New Roman"/>
                <w:sz w:val="20"/>
                <w:szCs w:val="20"/>
              </w:rPr>
            </w:pPr>
          </w:p>
        </w:tc>
        <w:tc>
          <w:tcPr>
            <w:tcW w:w="0" w:type="auto"/>
            <w:gridSpan w:val="3"/>
            <w:vAlign w:val="center"/>
            <w:hideMark/>
          </w:tcPr>
          <w:p w14:paraId="28317BBA" w14:textId="77777777" w:rsidR="00000000" w:rsidRDefault="00A173A8">
            <w:pPr>
              <w:spacing w:after="100"/>
              <w:rPr>
                <w:rFonts w:eastAsia="Times New Roman"/>
                <w:sz w:val="20"/>
                <w:szCs w:val="20"/>
              </w:rPr>
            </w:pPr>
          </w:p>
        </w:tc>
        <w:tc>
          <w:tcPr>
            <w:tcW w:w="0" w:type="auto"/>
            <w:gridSpan w:val="3"/>
            <w:vAlign w:val="center"/>
            <w:hideMark/>
          </w:tcPr>
          <w:p w14:paraId="0D645681" w14:textId="77777777" w:rsidR="00000000" w:rsidRDefault="00A173A8">
            <w:pPr>
              <w:spacing w:after="100"/>
              <w:rPr>
                <w:rFonts w:eastAsia="Times New Roman"/>
                <w:sz w:val="20"/>
                <w:szCs w:val="20"/>
              </w:rPr>
            </w:pPr>
          </w:p>
        </w:tc>
        <w:tc>
          <w:tcPr>
            <w:tcW w:w="0" w:type="auto"/>
            <w:gridSpan w:val="3"/>
            <w:vAlign w:val="center"/>
            <w:hideMark/>
          </w:tcPr>
          <w:p w14:paraId="5D5754B9" w14:textId="77777777" w:rsidR="00000000" w:rsidRDefault="00A173A8">
            <w:pPr>
              <w:spacing w:after="100"/>
              <w:rPr>
                <w:rFonts w:eastAsia="Times New Roman"/>
                <w:sz w:val="20"/>
                <w:szCs w:val="20"/>
              </w:rPr>
            </w:pPr>
          </w:p>
        </w:tc>
        <w:tc>
          <w:tcPr>
            <w:tcW w:w="0" w:type="auto"/>
            <w:gridSpan w:val="3"/>
            <w:vAlign w:val="center"/>
            <w:hideMark/>
          </w:tcPr>
          <w:p w14:paraId="7A5A3072" w14:textId="77777777" w:rsidR="00000000" w:rsidRDefault="00A173A8">
            <w:pPr>
              <w:spacing w:after="100"/>
              <w:rPr>
                <w:rFonts w:eastAsia="Times New Roman"/>
                <w:sz w:val="20"/>
                <w:szCs w:val="20"/>
              </w:rPr>
            </w:pPr>
          </w:p>
        </w:tc>
      </w:tr>
      <w:tr w:rsidR="00000000" w14:paraId="592311F4" w14:textId="77777777">
        <w:trPr>
          <w:divId w:val="488981052"/>
        </w:trPr>
        <w:tc>
          <w:tcPr>
            <w:tcW w:w="0" w:type="auto"/>
            <w:gridSpan w:val="3"/>
            <w:vAlign w:val="center"/>
            <w:hideMark/>
          </w:tcPr>
          <w:p w14:paraId="5EC6BA4E" w14:textId="77777777" w:rsidR="00000000" w:rsidRDefault="00A173A8">
            <w:pPr>
              <w:spacing w:after="100"/>
              <w:rPr>
                <w:rFonts w:eastAsia="Times New Roman"/>
                <w:sz w:val="20"/>
                <w:szCs w:val="20"/>
              </w:rPr>
            </w:pPr>
          </w:p>
        </w:tc>
        <w:tc>
          <w:tcPr>
            <w:tcW w:w="0" w:type="auto"/>
            <w:gridSpan w:val="3"/>
            <w:vAlign w:val="center"/>
            <w:hideMark/>
          </w:tcPr>
          <w:p w14:paraId="08E62386" w14:textId="77777777" w:rsidR="00000000" w:rsidRDefault="00A173A8">
            <w:pPr>
              <w:spacing w:after="100"/>
              <w:rPr>
                <w:rFonts w:eastAsia="Times New Roman"/>
                <w:sz w:val="20"/>
                <w:szCs w:val="20"/>
              </w:rPr>
            </w:pPr>
          </w:p>
        </w:tc>
        <w:tc>
          <w:tcPr>
            <w:tcW w:w="0" w:type="auto"/>
            <w:gridSpan w:val="3"/>
            <w:vAlign w:val="center"/>
            <w:hideMark/>
          </w:tcPr>
          <w:p w14:paraId="7FED6F58" w14:textId="77777777" w:rsidR="00000000" w:rsidRDefault="00A173A8">
            <w:pPr>
              <w:spacing w:after="100"/>
              <w:rPr>
                <w:rFonts w:eastAsia="Times New Roman"/>
                <w:sz w:val="20"/>
                <w:szCs w:val="20"/>
              </w:rPr>
            </w:pPr>
          </w:p>
        </w:tc>
        <w:tc>
          <w:tcPr>
            <w:tcW w:w="0" w:type="auto"/>
            <w:gridSpan w:val="3"/>
            <w:vAlign w:val="center"/>
            <w:hideMark/>
          </w:tcPr>
          <w:p w14:paraId="52D56E7D" w14:textId="77777777" w:rsidR="00000000" w:rsidRDefault="00A173A8">
            <w:pPr>
              <w:spacing w:after="100"/>
              <w:rPr>
                <w:rFonts w:eastAsia="Times New Roman"/>
                <w:sz w:val="20"/>
                <w:szCs w:val="20"/>
              </w:rPr>
            </w:pPr>
          </w:p>
        </w:tc>
        <w:tc>
          <w:tcPr>
            <w:tcW w:w="0" w:type="auto"/>
            <w:gridSpan w:val="3"/>
            <w:vAlign w:val="center"/>
            <w:hideMark/>
          </w:tcPr>
          <w:p w14:paraId="60FCA46C" w14:textId="77777777" w:rsidR="00000000" w:rsidRDefault="00A173A8">
            <w:pPr>
              <w:spacing w:after="100"/>
              <w:rPr>
                <w:rFonts w:eastAsia="Times New Roman"/>
                <w:sz w:val="20"/>
                <w:szCs w:val="20"/>
              </w:rPr>
            </w:pPr>
          </w:p>
        </w:tc>
        <w:tc>
          <w:tcPr>
            <w:tcW w:w="0" w:type="auto"/>
            <w:gridSpan w:val="3"/>
            <w:vAlign w:val="center"/>
            <w:hideMark/>
          </w:tcPr>
          <w:p w14:paraId="573CBC78" w14:textId="77777777" w:rsidR="00000000" w:rsidRDefault="00A173A8">
            <w:pPr>
              <w:spacing w:after="100"/>
              <w:rPr>
                <w:rFonts w:eastAsia="Times New Roman"/>
                <w:sz w:val="20"/>
                <w:szCs w:val="20"/>
              </w:rPr>
            </w:pPr>
          </w:p>
        </w:tc>
        <w:tc>
          <w:tcPr>
            <w:tcW w:w="0" w:type="auto"/>
            <w:gridSpan w:val="3"/>
            <w:vAlign w:val="center"/>
            <w:hideMark/>
          </w:tcPr>
          <w:p w14:paraId="50171D63" w14:textId="77777777" w:rsidR="00000000" w:rsidRDefault="00A173A8">
            <w:pPr>
              <w:spacing w:after="100"/>
              <w:rPr>
                <w:rFonts w:eastAsia="Times New Roman"/>
                <w:sz w:val="20"/>
                <w:szCs w:val="20"/>
              </w:rPr>
            </w:pPr>
          </w:p>
        </w:tc>
        <w:tc>
          <w:tcPr>
            <w:tcW w:w="0" w:type="auto"/>
            <w:gridSpan w:val="3"/>
            <w:vAlign w:val="center"/>
            <w:hideMark/>
          </w:tcPr>
          <w:p w14:paraId="21CF37FB" w14:textId="77777777" w:rsidR="00000000" w:rsidRDefault="00A173A8">
            <w:pPr>
              <w:spacing w:after="100"/>
              <w:rPr>
                <w:rFonts w:eastAsia="Times New Roman"/>
                <w:sz w:val="20"/>
                <w:szCs w:val="20"/>
              </w:rPr>
            </w:pPr>
          </w:p>
        </w:tc>
        <w:tc>
          <w:tcPr>
            <w:tcW w:w="0" w:type="auto"/>
            <w:gridSpan w:val="3"/>
            <w:vAlign w:val="center"/>
            <w:hideMark/>
          </w:tcPr>
          <w:p w14:paraId="25A369EF" w14:textId="77777777" w:rsidR="00000000" w:rsidRDefault="00A173A8">
            <w:pPr>
              <w:spacing w:after="100"/>
              <w:rPr>
                <w:rFonts w:eastAsia="Times New Roman"/>
                <w:sz w:val="20"/>
                <w:szCs w:val="20"/>
              </w:rPr>
            </w:pPr>
          </w:p>
        </w:tc>
        <w:tc>
          <w:tcPr>
            <w:tcW w:w="0" w:type="auto"/>
            <w:gridSpan w:val="3"/>
            <w:vAlign w:val="center"/>
            <w:hideMark/>
          </w:tcPr>
          <w:p w14:paraId="0923AFD3" w14:textId="77777777" w:rsidR="00000000" w:rsidRDefault="00A173A8">
            <w:pPr>
              <w:spacing w:after="100"/>
              <w:rPr>
                <w:rFonts w:eastAsia="Times New Roman"/>
                <w:sz w:val="20"/>
                <w:szCs w:val="20"/>
              </w:rPr>
            </w:pPr>
          </w:p>
        </w:tc>
        <w:tc>
          <w:tcPr>
            <w:tcW w:w="0" w:type="auto"/>
            <w:gridSpan w:val="3"/>
            <w:vAlign w:val="center"/>
            <w:hideMark/>
          </w:tcPr>
          <w:p w14:paraId="391CD565" w14:textId="77777777" w:rsidR="00000000" w:rsidRDefault="00A173A8">
            <w:pPr>
              <w:spacing w:after="100"/>
              <w:rPr>
                <w:rFonts w:eastAsia="Times New Roman"/>
                <w:sz w:val="20"/>
                <w:szCs w:val="20"/>
              </w:rPr>
            </w:pPr>
          </w:p>
        </w:tc>
        <w:tc>
          <w:tcPr>
            <w:tcW w:w="0" w:type="auto"/>
            <w:gridSpan w:val="3"/>
            <w:vAlign w:val="center"/>
            <w:hideMark/>
          </w:tcPr>
          <w:p w14:paraId="22334FD2" w14:textId="77777777" w:rsidR="00000000" w:rsidRDefault="00A173A8">
            <w:pPr>
              <w:spacing w:after="100"/>
              <w:rPr>
                <w:rFonts w:eastAsia="Times New Roman"/>
                <w:sz w:val="20"/>
                <w:szCs w:val="20"/>
              </w:rPr>
            </w:pPr>
          </w:p>
        </w:tc>
        <w:tc>
          <w:tcPr>
            <w:tcW w:w="0" w:type="auto"/>
            <w:gridSpan w:val="3"/>
            <w:vAlign w:val="center"/>
            <w:hideMark/>
          </w:tcPr>
          <w:p w14:paraId="2589F3BF" w14:textId="77777777" w:rsidR="00000000" w:rsidRDefault="00A173A8">
            <w:pPr>
              <w:spacing w:after="100"/>
              <w:rPr>
                <w:rFonts w:eastAsia="Times New Roman"/>
                <w:sz w:val="20"/>
                <w:szCs w:val="20"/>
              </w:rPr>
            </w:pPr>
          </w:p>
        </w:tc>
        <w:tc>
          <w:tcPr>
            <w:tcW w:w="0" w:type="auto"/>
            <w:gridSpan w:val="3"/>
            <w:vAlign w:val="center"/>
            <w:hideMark/>
          </w:tcPr>
          <w:p w14:paraId="3858B2AA" w14:textId="77777777" w:rsidR="00000000" w:rsidRDefault="00A173A8">
            <w:pPr>
              <w:spacing w:after="100"/>
              <w:rPr>
                <w:rFonts w:eastAsia="Times New Roman"/>
                <w:sz w:val="20"/>
                <w:szCs w:val="20"/>
              </w:rPr>
            </w:pPr>
          </w:p>
        </w:tc>
        <w:tc>
          <w:tcPr>
            <w:tcW w:w="0" w:type="auto"/>
            <w:gridSpan w:val="3"/>
            <w:vAlign w:val="center"/>
            <w:hideMark/>
          </w:tcPr>
          <w:p w14:paraId="3DCAFA27" w14:textId="77777777" w:rsidR="00000000" w:rsidRDefault="00A173A8">
            <w:pPr>
              <w:spacing w:after="100"/>
              <w:rPr>
                <w:rFonts w:eastAsia="Times New Roman"/>
                <w:sz w:val="20"/>
                <w:szCs w:val="20"/>
              </w:rPr>
            </w:pPr>
          </w:p>
        </w:tc>
        <w:tc>
          <w:tcPr>
            <w:tcW w:w="0" w:type="auto"/>
            <w:gridSpan w:val="3"/>
            <w:vAlign w:val="center"/>
            <w:hideMark/>
          </w:tcPr>
          <w:p w14:paraId="2EEB6E34" w14:textId="77777777" w:rsidR="00000000" w:rsidRDefault="00A173A8">
            <w:pPr>
              <w:spacing w:after="100"/>
              <w:rPr>
                <w:rFonts w:eastAsia="Times New Roman"/>
                <w:sz w:val="20"/>
                <w:szCs w:val="20"/>
              </w:rPr>
            </w:pPr>
          </w:p>
        </w:tc>
        <w:tc>
          <w:tcPr>
            <w:tcW w:w="0" w:type="auto"/>
            <w:gridSpan w:val="3"/>
            <w:vAlign w:val="center"/>
            <w:hideMark/>
          </w:tcPr>
          <w:p w14:paraId="18EF9809" w14:textId="77777777" w:rsidR="00000000" w:rsidRDefault="00A173A8">
            <w:pPr>
              <w:spacing w:after="100"/>
              <w:rPr>
                <w:rFonts w:eastAsia="Times New Roman"/>
                <w:sz w:val="20"/>
                <w:szCs w:val="20"/>
              </w:rPr>
            </w:pPr>
          </w:p>
        </w:tc>
        <w:tc>
          <w:tcPr>
            <w:tcW w:w="0" w:type="auto"/>
            <w:gridSpan w:val="3"/>
            <w:vAlign w:val="center"/>
            <w:hideMark/>
          </w:tcPr>
          <w:p w14:paraId="3AA84E43" w14:textId="77777777" w:rsidR="00000000" w:rsidRDefault="00A173A8">
            <w:pPr>
              <w:spacing w:after="100"/>
              <w:rPr>
                <w:rFonts w:eastAsia="Times New Roman"/>
                <w:sz w:val="20"/>
                <w:szCs w:val="20"/>
              </w:rPr>
            </w:pPr>
          </w:p>
        </w:tc>
        <w:tc>
          <w:tcPr>
            <w:tcW w:w="0" w:type="auto"/>
            <w:gridSpan w:val="3"/>
            <w:vAlign w:val="center"/>
            <w:hideMark/>
          </w:tcPr>
          <w:p w14:paraId="65CF34A2" w14:textId="77777777" w:rsidR="00000000" w:rsidRDefault="00A173A8">
            <w:pPr>
              <w:spacing w:after="100"/>
              <w:rPr>
                <w:rFonts w:eastAsia="Times New Roman"/>
                <w:sz w:val="20"/>
                <w:szCs w:val="20"/>
              </w:rPr>
            </w:pPr>
          </w:p>
        </w:tc>
      </w:tr>
      <w:tr w:rsidR="00000000" w14:paraId="2E11DD22" w14:textId="77777777">
        <w:trPr>
          <w:divId w:val="488981052"/>
        </w:trPr>
        <w:tc>
          <w:tcPr>
            <w:tcW w:w="0" w:type="auto"/>
            <w:gridSpan w:val="3"/>
            <w:vAlign w:val="center"/>
            <w:hideMark/>
          </w:tcPr>
          <w:p w14:paraId="31749515" w14:textId="77777777" w:rsidR="00000000" w:rsidRDefault="00A173A8">
            <w:pPr>
              <w:spacing w:after="100"/>
              <w:rPr>
                <w:rFonts w:eastAsia="Times New Roman"/>
                <w:sz w:val="20"/>
                <w:szCs w:val="20"/>
              </w:rPr>
            </w:pPr>
          </w:p>
        </w:tc>
        <w:tc>
          <w:tcPr>
            <w:tcW w:w="0" w:type="auto"/>
            <w:gridSpan w:val="3"/>
            <w:vAlign w:val="center"/>
            <w:hideMark/>
          </w:tcPr>
          <w:p w14:paraId="60881F7E" w14:textId="77777777" w:rsidR="00000000" w:rsidRDefault="00A173A8">
            <w:pPr>
              <w:spacing w:after="100"/>
              <w:rPr>
                <w:rFonts w:eastAsia="Times New Roman"/>
                <w:sz w:val="20"/>
                <w:szCs w:val="20"/>
              </w:rPr>
            </w:pPr>
          </w:p>
        </w:tc>
        <w:tc>
          <w:tcPr>
            <w:tcW w:w="0" w:type="auto"/>
            <w:gridSpan w:val="3"/>
            <w:vAlign w:val="center"/>
            <w:hideMark/>
          </w:tcPr>
          <w:p w14:paraId="612D0EF2" w14:textId="77777777" w:rsidR="00000000" w:rsidRDefault="00A173A8">
            <w:pPr>
              <w:spacing w:after="100"/>
              <w:rPr>
                <w:rFonts w:eastAsia="Times New Roman"/>
                <w:sz w:val="20"/>
                <w:szCs w:val="20"/>
              </w:rPr>
            </w:pPr>
          </w:p>
        </w:tc>
        <w:tc>
          <w:tcPr>
            <w:tcW w:w="0" w:type="auto"/>
            <w:gridSpan w:val="3"/>
            <w:vAlign w:val="center"/>
            <w:hideMark/>
          </w:tcPr>
          <w:p w14:paraId="18A34284" w14:textId="77777777" w:rsidR="00000000" w:rsidRDefault="00A173A8">
            <w:pPr>
              <w:spacing w:after="100"/>
              <w:rPr>
                <w:rFonts w:eastAsia="Times New Roman"/>
                <w:sz w:val="20"/>
                <w:szCs w:val="20"/>
              </w:rPr>
            </w:pPr>
          </w:p>
        </w:tc>
        <w:tc>
          <w:tcPr>
            <w:tcW w:w="0" w:type="auto"/>
            <w:gridSpan w:val="3"/>
            <w:vAlign w:val="center"/>
            <w:hideMark/>
          </w:tcPr>
          <w:p w14:paraId="4A3B8B4F" w14:textId="77777777" w:rsidR="00000000" w:rsidRDefault="00A173A8">
            <w:pPr>
              <w:spacing w:after="100"/>
              <w:rPr>
                <w:rFonts w:eastAsia="Times New Roman"/>
                <w:sz w:val="20"/>
                <w:szCs w:val="20"/>
              </w:rPr>
            </w:pPr>
          </w:p>
        </w:tc>
        <w:tc>
          <w:tcPr>
            <w:tcW w:w="0" w:type="auto"/>
            <w:gridSpan w:val="3"/>
            <w:vAlign w:val="center"/>
            <w:hideMark/>
          </w:tcPr>
          <w:p w14:paraId="695C28DE" w14:textId="77777777" w:rsidR="00000000" w:rsidRDefault="00A173A8">
            <w:pPr>
              <w:spacing w:after="100"/>
              <w:rPr>
                <w:rFonts w:eastAsia="Times New Roman"/>
                <w:sz w:val="20"/>
                <w:szCs w:val="20"/>
              </w:rPr>
            </w:pPr>
          </w:p>
        </w:tc>
        <w:tc>
          <w:tcPr>
            <w:tcW w:w="0" w:type="auto"/>
            <w:gridSpan w:val="3"/>
            <w:vAlign w:val="center"/>
            <w:hideMark/>
          </w:tcPr>
          <w:p w14:paraId="0F98BE51" w14:textId="77777777" w:rsidR="00000000" w:rsidRDefault="00A173A8">
            <w:pPr>
              <w:spacing w:after="100"/>
              <w:rPr>
                <w:rFonts w:eastAsia="Times New Roman"/>
                <w:sz w:val="20"/>
                <w:szCs w:val="20"/>
              </w:rPr>
            </w:pPr>
          </w:p>
        </w:tc>
        <w:tc>
          <w:tcPr>
            <w:tcW w:w="0" w:type="auto"/>
            <w:gridSpan w:val="3"/>
            <w:vAlign w:val="center"/>
            <w:hideMark/>
          </w:tcPr>
          <w:p w14:paraId="71C9F1F4" w14:textId="77777777" w:rsidR="00000000" w:rsidRDefault="00A173A8">
            <w:pPr>
              <w:spacing w:after="100"/>
              <w:rPr>
                <w:rFonts w:eastAsia="Times New Roman"/>
                <w:sz w:val="20"/>
                <w:szCs w:val="20"/>
              </w:rPr>
            </w:pPr>
          </w:p>
        </w:tc>
        <w:tc>
          <w:tcPr>
            <w:tcW w:w="0" w:type="auto"/>
            <w:gridSpan w:val="3"/>
            <w:vAlign w:val="center"/>
            <w:hideMark/>
          </w:tcPr>
          <w:p w14:paraId="6B54173F" w14:textId="77777777" w:rsidR="00000000" w:rsidRDefault="00A173A8">
            <w:pPr>
              <w:spacing w:after="100"/>
              <w:rPr>
                <w:rFonts w:eastAsia="Times New Roman"/>
                <w:sz w:val="20"/>
                <w:szCs w:val="20"/>
              </w:rPr>
            </w:pPr>
          </w:p>
        </w:tc>
        <w:tc>
          <w:tcPr>
            <w:tcW w:w="0" w:type="auto"/>
            <w:gridSpan w:val="3"/>
            <w:vAlign w:val="center"/>
            <w:hideMark/>
          </w:tcPr>
          <w:p w14:paraId="140CC499" w14:textId="77777777" w:rsidR="00000000" w:rsidRDefault="00A173A8">
            <w:pPr>
              <w:spacing w:after="100"/>
              <w:rPr>
                <w:rFonts w:eastAsia="Times New Roman"/>
                <w:sz w:val="20"/>
                <w:szCs w:val="20"/>
              </w:rPr>
            </w:pPr>
          </w:p>
        </w:tc>
        <w:tc>
          <w:tcPr>
            <w:tcW w:w="0" w:type="auto"/>
            <w:gridSpan w:val="3"/>
            <w:vAlign w:val="center"/>
            <w:hideMark/>
          </w:tcPr>
          <w:p w14:paraId="48DEED09" w14:textId="77777777" w:rsidR="00000000" w:rsidRDefault="00A173A8">
            <w:pPr>
              <w:spacing w:after="100"/>
              <w:rPr>
                <w:rFonts w:eastAsia="Times New Roman"/>
                <w:sz w:val="20"/>
                <w:szCs w:val="20"/>
              </w:rPr>
            </w:pPr>
          </w:p>
        </w:tc>
        <w:tc>
          <w:tcPr>
            <w:tcW w:w="0" w:type="auto"/>
            <w:gridSpan w:val="3"/>
            <w:vAlign w:val="center"/>
            <w:hideMark/>
          </w:tcPr>
          <w:p w14:paraId="2B3848BD" w14:textId="77777777" w:rsidR="00000000" w:rsidRDefault="00A173A8">
            <w:pPr>
              <w:spacing w:after="100"/>
              <w:rPr>
                <w:rFonts w:eastAsia="Times New Roman"/>
                <w:sz w:val="20"/>
                <w:szCs w:val="20"/>
              </w:rPr>
            </w:pPr>
          </w:p>
        </w:tc>
        <w:tc>
          <w:tcPr>
            <w:tcW w:w="0" w:type="auto"/>
            <w:gridSpan w:val="3"/>
            <w:vAlign w:val="center"/>
            <w:hideMark/>
          </w:tcPr>
          <w:p w14:paraId="294B45AA" w14:textId="77777777" w:rsidR="00000000" w:rsidRDefault="00A173A8">
            <w:pPr>
              <w:spacing w:after="100"/>
              <w:rPr>
                <w:rFonts w:eastAsia="Times New Roman"/>
                <w:sz w:val="20"/>
                <w:szCs w:val="20"/>
              </w:rPr>
            </w:pPr>
          </w:p>
        </w:tc>
        <w:tc>
          <w:tcPr>
            <w:tcW w:w="0" w:type="auto"/>
            <w:gridSpan w:val="3"/>
            <w:vAlign w:val="center"/>
            <w:hideMark/>
          </w:tcPr>
          <w:p w14:paraId="47BC5DC7" w14:textId="77777777" w:rsidR="00000000" w:rsidRDefault="00A173A8">
            <w:pPr>
              <w:spacing w:after="100"/>
              <w:rPr>
                <w:rFonts w:eastAsia="Times New Roman"/>
                <w:sz w:val="20"/>
                <w:szCs w:val="20"/>
              </w:rPr>
            </w:pPr>
          </w:p>
        </w:tc>
        <w:tc>
          <w:tcPr>
            <w:tcW w:w="0" w:type="auto"/>
            <w:gridSpan w:val="3"/>
            <w:vAlign w:val="center"/>
            <w:hideMark/>
          </w:tcPr>
          <w:p w14:paraId="20667F06" w14:textId="77777777" w:rsidR="00000000" w:rsidRDefault="00A173A8">
            <w:pPr>
              <w:spacing w:after="100"/>
              <w:rPr>
                <w:rFonts w:eastAsia="Times New Roman"/>
                <w:sz w:val="20"/>
                <w:szCs w:val="20"/>
              </w:rPr>
            </w:pPr>
          </w:p>
        </w:tc>
        <w:tc>
          <w:tcPr>
            <w:tcW w:w="0" w:type="auto"/>
            <w:gridSpan w:val="3"/>
            <w:vAlign w:val="center"/>
            <w:hideMark/>
          </w:tcPr>
          <w:p w14:paraId="1723D9F5" w14:textId="77777777" w:rsidR="00000000" w:rsidRDefault="00A173A8">
            <w:pPr>
              <w:spacing w:after="100"/>
              <w:rPr>
                <w:rFonts w:eastAsia="Times New Roman"/>
                <w:sz w:val="20"/>
                <w:szCs w:val="20"/>
              </w:rPr>
            </w:pPr>
          </w:p>
        </w:tc>
        <w:tc>
          <w:tcPr>
            <w:tcW w:w="0" w:type="auto"/>
            <w:gridSpan w:val="3"/>
            <w:vAlign w:val="center"/>
            <w:hideMark/>
          </w:tcPr>
          <w:p w14:paraId="556D3823" w14:textId="77777777" w:rsidR="00000000" w:rsidRDefault="00A173A8">
            <w:pPr>
              <w:spacing w:after="100"/>
              <w:rPr>
                <w:rFonts w:eastAsia="Times New Roman"/>
                <w:sz w:val="20"/>
                <w:szCs w:val="20"/>
              </w:rPr>
            </w:pPr>
          </w:p>
        </w:tc>
        <w:tc>
          <w:tcPr>
            <w:tcW w:w="0" w:type="auto"/>
            <w:gridSpan w:val="3"/>
            <w:vAlign w:val="center"/>
            <w:hideMark/>
          </w:tcPr>
          <w:p w14:paraId="5A0F7007" w14:textId="77777777" w:rsidR="00000000" w:rsidRDefault="00A173A8">
            <w:pPr>
              <w:spacing w:after="100"/>
              <w:rPr>
                <w:rFonts w:eastAsia="Times New Roman"/>
                <w:sz w:val="20"/>
                <w:szCs w:val="20"/>
              </w:rPr>
            </w:pPr>
          </w:p>
        </w:tc>
        <w:tc>
          <w:tcPr>
            <w:tcW w:w="0" w:type="auto"/>
            <w:gridSpan w:val="3"/>
            <w:vAlign w:val="center"/>
            <w:hideMark/>
          </w:tcPr>
          <w:p w14:paraId="1D49AA2A" w14:textId="77777777" w:rsidR="00000000" w:rsidRDefault="00A173A8">
            <w:pPr>
              <w:spacing w:after="100"/>
              <w:rPr>
                <w:rFonts w:eastAsia="Times New Roman"/>
                <w:sz w:val="20"/>
                <w:szCs w:val="20"/>
              </w:rPr>
            </w:pPr>
          </w:p>
        </w:tc>
      </w:tr>
      <w:tr w:rsidR="00000000" w14:paraId="2FC541AD" w14:textId="77777777">
        <w:trPr>
          <w:divId w:val="488981052"/>
        </w:trPr>
        <w:tc>
          <w:tcPr>
            <w:tcW w:w="0" w:type="auto"/>
            <w:gridSpan w:val="3"/>
            <w:vAlign w:val="center"/>
            <w:hideMark/>
          </w:tcPr>
          <w:p w14:paraId="7E5D2CF3" w14:textId="77777777" w:rsidR="00000000" w:rsidRDefault="00A173A8">
            <w:pPr>
              <w:spacing w:after="100"/>
              <w:rPr>
                <w:rFonts w:eastAsia="Times New Roman"/>
                <w:sz w:val="20"/>
                <w:szCs w:val="20"/>
              </w:rPr>
            </w:pPr>
          </w:p>
        </w:tc>
        <w:tc>
          <w:tcPr>
            <w:tcW w:w="0" w:type="auto"/>
            <w:gridSpan w:val="3"/>
            <w:vAlign w:val="center"/>
            <w:hideMark/>
          </w:tcPr>
          <w:p w14:paraId="5792710B" w14:textId="77777777" w:rsidR="00000000" w:rsidRDefault="00A173A8">
            <w:pPr>
              <w:spacing w:after="100"/>
              <w:rPr>
                <w:rFonts w:eastAsia="Times New Roman"/>
                <w:sz w:val="20"/>
                <w:szCs w:val="20"/>
              </w:rPr>
            </w:pPr>
          </w:p>
        </w:tc>
        <w:tc>
          <w:tcPr>
            <w:tcW w:w="0" w:type="auto"/>
            <w:gridSpan w:val="3"/>
            <w:vAlign w:val="center"/>
            <w:hideMark/>
          </w:tcPr>
          <w:p w14:paraId="28079C1F" w14:textId="77777777" w:rsidR="00000000" w:rsidRDefault="00A173A8">
            <w:pPr>
              <w:spacing w:after="100"/>
              <w:rPr>
                <w:rFonts w:eastAsia="Times New Roman"/>
                <w:sz w:val="20"/>
                <w:szCs w:val="20"/>
              </w:rPr>
            </w:pPr>
          </w:p>
        </w:tc>
        <w:tc>
          <w:tcPr>
            <w:tcW w:w="0" w:type="auto"/>
            <w:gridSpan w:val="3"/>
            <w:vAlign w:val="center"/>
            <w:hideMark/>
          </w:tcPr>
          <w:p w14:paraId="46FD2508" w14:textId="77777777" w:rsidR="00000000" w:rsidRDefault="00A173A8">
            <w:pPr>
              <w:spacing w:after="100"/>
              <w:rPr>
                <w:rFonts w:eastAsia="Times New Roman"/>
                <w:sz w:val="20"/>
                <w:szCs w:val="20"/>
              </w:rPr>
            </w:pPr>
          </w:p>
        </w:tc>
        <w:tc>
          <w:tcPr>
            <w:tcW w:w="0" w:type="auto"/>
            <w:gridSpan w:val="3"/>
            <w:vAlign w:val="center"/>
            <w:hideMark/>
          </w:tcPr>
          <w:p w14:paraId="78828097" w14:textId="77777777" w:rsidR="00000000" w:rsidRDefault="00A173A8">
            <w:pPr>
              <w:spacing w:after="100"/>
              <w:rPr>
                <w:rFonts w:eastAsia="Times New Roman"/>
                <w:sz w:val="20"/>
                <w:szCs w:val="20"/>
              </w:rPr>
            </w:pPr>
          </w:p>
        </w:tc>
        <w:tc>
          <w:tcPr>
            <w:tcW w:w="0" w:type="auto"/>
            <w:gridSpan w:val="3"/>
            <w:vAlign w:val="center"/>
            <w:hideMark/>
          </w:tcPr>
          <w:p w14:paraId="418C1525" w14:textId="77777777" w:rsidR="00000000" w:rsidRDefault="00A173A8">
            <w:pPr>
              <w:spacing w:after="100"/>
              <w:rPr>
                <w:rFonts w:eastAsia="Times New Roman"/>
                <w:sz w:val="20"/>
                <w:szCs w:val="20"/>
              </w:rPr>
            </w:pPr>
          </w:p>
        </w:tc>
        <w:tc>
          <w:tcPr>
            <w:tcW w:w="0" w:type="auto"/>
            <w:gridSpan w:val="3"/>
            <w:vAlign w:val="center"/>
            <w:hideMark/>
          </w:tcPr>
          <w:p w14:paraId="361402AF" w14:textId="77777777" w:rsidR="00000000" w:rsidRDefault="00A173A8">
            <w:pPr>
              <w:spacing w:after="100"/>
              <w:rPr>
                <w:rFonts w:eastAsia="Times New Roman"/>
                <w:sz w:val="20"/>
                <w:szCs w:val="20"/>
              </w:rPr>
            </w:pPr>
          </w:p>
        </w:tc>
        <w:tc>
          <w:tcPr>
            <w:tcW w:w="0" w:type="auto"/>
            <w:gridSpan w:val="3"/>
            <w:vAlign w:val="center"/>
            <w:hideMark/>
          </w:tcPr>
          <w:p w14:paraId="38B7D009" w14:textId="77777777" w:rsidR="00000000" w:rsidRDefault="00A173A8">
            <w:pPr>
              <w:spacing w:after="100"/>
              <w:rPr>
                <w:rFonts w:eastAsia="Times New Roman"/>
                <w:sz w:val="20"/>
                <w:szCs w:val="20"/>
              </w:rPr>
            </w:pPr>
          </w:p>
        </w:tc>
        <w:tc>
          <w:tcPr>
            <w:tcW w:w="0" w:type="auto"/>
            <w:gridSpan w:val="3"/>
            <w:vAlign w:val="center"/>
            <w:hideMark/>
          </w:tcPr>
          <w:p w14:paraId="7EB4C8A6" w14:textId="77777777" w:rsidR="00000000" w:rsidRDefault="00A173A8">
            <w:pPr>
              <w:spacing w:after="100"/>
              <w:rPr>
                <w:rFonts w:eastAsia="Times New Roman"/>
                <w:sz w:val="20"/>
                <w:szCs w:val="20"/>
              </w:rPr>
            </w:pPr>
          </w:p>
        </w:tc>
        <w:tc>
          <w:tcPr>
            <w:tcW w:w="0" w:type="auto"/>
            <w:gridSpan w:val="3"/>
            <w:vAlign w:val="center"/>
            <w:hideMark/>
          </w:tcPr>
          <w:p w14:paraId="78829145" w14:textId="77777777" w:rsidR="00000000" w:rsidRDefault="00A173A8">
            <w:pPr>
              <w:spacing w:after="100"/>
              <w:rPr>
                <w:rFonts w:eastAsia="Times New Roman"/>
                <w:sz w:val="20"/>
                <w:szCs w:val="20"/>
              </w:rPr>
            </w:pPr>
          </w:p>
        </w:tc>
        <w:tc>
          <w:tcPr>
            <w:tcW w:w="0" w:type="auto"/>
            <w:gridSpan w:val="3"/>
            <w:vAlign w:val="center"/>
            <w:hideMark/>
          </w:tcPr>
          <w:p w14:paraId="440C05C4" w14:textId="77777777" w:rsidR="00000000" w:rsidRDefault="00A173A8">
            <w:pPr>
              <w:spacing w:after="100"/>
              <w:rPr>
                <w:rFonts w:eastAsia="Times New Roman"/>
                <w:sz w:val="20"/>
                <w:szCs w:val="20"/>
              </w:rPr>
            </w:pPr>
          </w:p>
        </w:tc>
        <w:tc>
          <w:tcPr>
            <w:tcW w:w="0" w:type="auto"/>
            <w:gridSpan w:val="3"/>
            <w:vAlign w:val="center"/>
            <w:hideMark/>
          </w:tcPr>
          <w:p w14:paraId="1C461A3B" w14:textId="77777777" w:rsidR="00000000" w:rsidRDefault="00A173A8">
            <w:pPr>
              <w:spacing w:after="100"/>
              <w:rPr>
                <w:rFonts w:eastAsia="Times New Roman"/>
                <w:sz w:val="20"/>
                <w:szCs w:val="20"/>
              </w:rPr>
            </w:pPr>
          </w:p>
        </w:tc>
        <w:tc>
          <w:tcPr>
            <w:tcW w:w="0" w:type="auto"/>
            <w:gridSpan w:val="3"/>
            <w:vAlign w:val="center"/>
            <w:hideMark/>
          </w:tcPr>
          <w:p w14:paraId="4868FDBC" w14:textId="77777777" w:rsidR="00000000" w:rsidRDefault="00A173A8">
            <w:pPr>
              <w:spacing w:after="100"/>
              <w:rPr>
                <w:rFonts w:eastAsia="Times New Roman"/>
                <w:sz w:val="20"/>
                <w:szCs w:val="20"/>
              </w:rPr>
            </w:pPr>
          </w:p>
        </w:tc>
        <w:tc>
          <w:tcPr>
            <w:tcW w:w="0" w:type="auto"/>
            <w:gridSpan w:val="3"/>
            <w:vAlign w:val="center"/>
            <w:hideMark/>
          </w:tcPr>
          <w:p w14:paraId="7EDAE6E4" w14:textId="77777777" w:rsidR="00000000" w:rsidRDefault="00A173A8">
            <w:pPr>
              <w:spacing w:after="100"/>
              <w:rPr>
                <w:rFonts w:eastAsia="Times New Roman"/>
                <w:sz w:val="20"/>
                <w:szCs w:val="20"/>
              </w:rPr>
            </w:pPr>
          </w:p>
        </w:tc>
        <w:tc>
          <w:tcPr>
            <w:tcW w:w="0" w:type="auto"/>
            <w:gridSpan w:val="3"/>
            <w:vAlign w:val="center"/>
            <w:hideMark/>
          </w:tcPr>
          <w:p w14:paraId="2ED8B19D" w14:textId="77777777" w:rsidR="00000000" w:rsidRDefault="00A173A8">
            <w:pPr>
              <w:spacing w:after="100"/>
              <w:rPr>
                <w:rFonts w:eastAsia="Times New Roman"/>
                <w:sz w:val="20"/>
                <w:szCs w:val="20"/>
              </w:rPr>
            </w:pPr>
          </w:p>
        </w:tc>
        <w:tc>
          <w:tcPr>
            <w:tcW w:w="0" w:type="auto"/>
            <w:gridSpan w:val="3"/>
            <w:vAlign w:val="center"/>
            <w:hideMark/>
          </w:tcPr>
          <w:p w14:paraId="4A22A662" w14:textId="77777777" w:rsidR="00000000" w:rsidRDefault="00A173A8">
            <w:pPr>
              <w:spacing w:after="100"/>
              <w:rPr>
                <w:rFonts w:eastAsia="Times New Roman"/>
                <w:sz w:val="20"/>
                <w:szCs w:val="20"/>
              </w:rPr>
            </w:pPr>
          </w:p>
        </w:tc>
        <w:tc>
          <w:tcPr>
            <w:tcW w:w="0" w:type="auto"/>
            <w:gridSpan w:val="3"/>
            <w:vAlign w:val="center"/>
            <w:hideMark/>
          </w:tcPr>
          <w:p w14:paraId="2E55C8FB" w14:textId="77777777" w:rsidR="00000000" w:rsidRDefault="00A173A8">
            <w:pPr>
              <w:spacing w:after="100"/>
              <w:rPr>
                <w:rFonts w:eastAsia="Times New Roman"/>
                <w:sz w:val="20"/>
                <w:szCs w:val="20"/>
              </w:rPr>
            </w:pPr>
          </w:p>
        </w:tc>
        <w:tc>
          <w:tcPr>
            <w:tcW w:w="0" w:type="auto"/>
            <w:gridSpan w:val="3"/>
            <w:vAlign w:val="center"/>
            <w:hideMark/>
          </w:tcPr>
          <w:p w14:paraId="2C0C14AF" w14:textId="77777777" w:rsidR="00000000" w:rsidRDefault="00A173A8">
            <w:pPr>
              <w:spacing w:after="100"/>
              <w:rPr>
                <w:rFonts w:eastAsia="Times New Roman"/>
                <w:sz w:val="20"/>
                <w:szCs w:val="20"/>
              </w:rPr>
            </w:pPr>
          </w:p>
        </w:tc>
        <w:tc>
          <w:tcPr>
            <w:tcW w:w="0" w:type="auto"/>
            <w:gridSpan w:val="3"/>
            <w:vAlign w:val="center"/>
            <w:hideMark/>
          </w:tcPr>
          <w:p w14:paraId="66824CB2" w14:textId="77777777" w:rsidR="00000000" w:rsidRDefault="00A173A8">
            <w:pPr>
              <w:spacing w:after="100"/>
              <w:rPr>
                <w:rFonts w:eastAsia="Times New Roman"/>
                <w:sz w:val="20"/>
                <w:szCs w:val="20"/>
              </w:rPr>
            </w:pPr>
          </w:p>
        </w:tc>
      </w:tr>
      <w:tr w:rsidR="00000000" w14:paraId="284A7750" w14:textId="77777777">
        <w:trPr>
          <w:divId w:val="488981052"/>
        </w:trPr>
        <w:tc>
          <w:tcPr>
            <w:tcW w:w="0" w:type="auto"/>
            <w:gridSpan w:val="3"/>
            <w:vAlign w:val="center"/>
            <w:hideMark/>
          </w:tcPr>
          <w:p w14:paraId="3D754ABC" w14:textId="77777777" w:rsidR="00000000" w:rsidRDefault="00A173A8">
            <w:pPr>
              <w:spacing w:after="100"/>
              <w:rPr>
                <w:rFonts w:eastAsia="Times New Roman"/>
                <w:sz w:val="20"/>
                <w:szCs w:val="20"/>
              </w:rPr>
            </w:pPr>
          </w:p>
        </w:tc>
        <w:tc>
          <w:tcPr>
            <w:tcW w:w="0" w:type="auto"/>
            <w:gridSpan w:val="3"/>
            <w:vAlign w:val="center"/>
            <w:hideMark/>
          </w:tcPr>
          <w:p w14:paraId="57C0F3AC" w14:textId="77777777" w:rsidR="00000000" w:rsidRDefault="00A173A8">
            <w:pPr>
              <w:spacing w:after="100"/>
              <w:rPr>
                <w:rFonts w:eastAsia="Times New Roman"/>
                <w:sz w:val="20"/>
                <w:szCs w:val="20"/>
              </w:rPr>
            </w:pPr>
          </w:p>
        </w:tc>
        <w:tc>
          <w:tcPr>
            <w:tcW w:w="0" w:type="auto"/>
            <w:gridSpan w:val="3"/>
            <w:vAlign w:val="center"/>
            <w:hideMark/>
          </w:tcPr>
          <w:p w14:paraId="20510479" w14:textId="77777777" w:rsidR="00000000" w:rsidRDefault="00A173A8">
            <w:pPr>
              <w:spacing w:after="100"/>
              <w:rPr>
                <w:rFonts w:eastAsia="Times New Roman"/>
                <w:sz w:val="20"/>
                <w:szCs w:val="20"/>
              </w:rPr>
            </w:pPr>
          </w:p>
        </w:tc>
        <w:tc>
          <w:tcPr>
            <w:tcW w:w="0" w:type="auto"/>
            <w:gridSpan w:val="3"/>
            <w:vAlign w:val="center"/>
            <w:hideMark/>
          </w:tcPr>
          <w:p w14:paraId="5F255A84" w14:textId="77777777" w:rsidR="00000000" w:rsidRDefault="00A173A8">
            <w:pPr>
              <w:spacing w:after="100"/>
              <w:rPr>
                <w:rFonts w:eastAsia="Times New Roman"/>
                <w:sz w:val="20"/>
                <w:szCs w:val="20"/>
              </w:rPr>
            </w:pPr>
          </w:p>
        </w:tc>
        <w:tc>
          <w:tcPr>
            <w:tcW w:w="0" w:type="auto"/>
            <w:gridSpan w:val="3"/>
            <w:vAlign w:val="center"/>
            <w:hideMark/>
          </w:tcPr>
          <w:p w14:paraId="370E5B83" w14:textId="77777777" w:rsidR="00000000" w:rsidRDefault="00A173A8">
            <w:pPr>
              <w:spacing w:after="100"/>
              <w:rPr>
                <w:rFonts w:eastAsia="Times New Roman"/>
                <w:sz w:val="20"/>
                <w:szCs w:val="20"/>
              </w:rPr>
            </w:pPr>
          </w:p>
        </w:tc>
        <w:tc>
          <w:tcPr>
            <w:tcW w:w="0" w:type="auto"/>
            <w:gridSpan w:val="3"/>
            <w:vAlign w:val="center"/>
            <w:hideMark/>
          </w:tcPr>
          <w:p w14:paraId="3CD97719" w14:textId="77777777" w:rsidR="00000000" w:rsidRDefault="00A173A8">
            <w:pPr>
              <w:spacing w:after="100"/>
              <w:rPr>
                <w:rFonts w:eastAsia="Times New Roman"/>
                <w:sz w:val="20"/>
                <w:szCs w:val="20"/>
              </w:rPr>
            </w:pPr>
          </w:p>
        </w:tc>
        <w:tc>
          <w:tcPr>
            <w:tcW w:w="0" w:type="auto"/>
            <w:gridSpan w:val="3"/>
            <w:vAlign w:val="center"/>
            <w:hideMark/>
          </w:tcPr>
          <w:p w14:paraId="7DBAD0FF" w14:textId="77777777" w:rsidR="00000000" w:rsidRDefault="00A173A8">
            <w:pPr>
              <w:spacing w:after="100"/>
              <w:rPr>
                <w:rFonts w:eastAsia="Times New Roman"/>
                <w:sz w:val="20"/>
                <w:szCs w:val="20"/>
              </w:rPr>
            </w:pPr>
          </w:p>
        </w:tc>
        <w:tc>
          <w:tcPr>
            <w:tcW w:w="0" w:type="auto"/>
            <w:gridSpan w:val="3"/>
            <w:vAlign w:val="center"/>
            <w:hideMark/>
          </w:tcPr>
          <w:p w14:paraId="02F0BB74" w14:textId="77777777" w:rsidR="00000000" w:rsidRDefault="00A173A8">
            <w:pPr>
              <w:spacing w:after="100"/>
              <w:rPr>
                <w:rFonts w:eastAsia="Times New Roman"/>
                <w:sz w:val="20"/>
                <w:szCs w:val="20"/>
              </w:rPr>
            </w:pPr>
          </w:p>
        </w:tc>
        <w:tc>
          <w:tcPr>
            <w:tcW w:w="0" w:type="auto"/>
            <w:gridSpan w:val="3"/>
            <w:vAlign w:val="center"/>
            <w:hideMark/>
          </w:tcPr>
          <w:p w14:paraId="68540B82" w14:textId="77777777" w:rsidR="00000000" w:rsidRDefault="00A173A8">
            <w:pPr>
              <w:spacing w:after="100"/>
              <w:rPr>
                <w:rFonts w:eastAsia="Times New Roman"/>
                <w:sz w:val="20"/>
                <w:szCs w:val="20"/>
              </w:rPr>
            </w:pPr>
          </w:p>
        </w:tc>
        <w:tc>
          <w:tcPr>
            <w:tcW w:w="0" w:type="auto"/>
            <w:gridSpan w:val="3"/>
            <w:vAlign w:val="center"/>
            <w:hideMark/>
          </w:tcPr>
          <w:p w14:paraId="7B4A672C" w14:textId="77777777" w:rsidR="00000000" w:rsidRDefault="00A173A8">
            <w:pPr>
              <w:spacing w:after="100"/>
              <w:rPr>
                <w:rFonts w:eastAsia="Times New Roman"/>
                <w:sz w:val="20"/>
                <w:szCs w:val="20"/>
              </w:rPr>
            </w:pPr>
          </w:p>
        </w:tc>
        <w:tc>
          <w:tcPr>
            <w:tcW w:w="0" w:type="auto"/>
            <w:gridSpan w:val="3"/>
            <w:vAlign w:val="center"/>
            <w:hideMark/>
          </w:tcPr>
          <w:p w14:paraId="7064F7DF" w14:textId="77777777" w:rsidR="00000000" w:rsidRDefault="00A173A8">
            <w:pPr>
              <w:spacing w:after="100"/>
              <w:rPr>
                <w:rFonts w:eastAsia="Times New Roman"/>
                <w:sz w:val="20"/>
                <w:szCs w:val="20"/>
              </w:rPr>
            </w:pPr>
          </w:p>
        </w:tc>
        <w:tc>
          <w:tcPr>
            <w:tcW w:w="0" w:type="auto"/>
            <w:gridSpan w:val="3"/>
            <w:vAlign w:val="center"/>
            <w:hideMark/>
          </w:tcPr>
          <w:p w14:paraId="6C860DA3" w14:textId="77777777" w:rsidR="00000000" w:rsidRDefault="00A173A8">
            <w:pPr>
              <w:spacing w:after="100"/>
              <w:rPr>
                <w:rFonts w:eastAsia="Times New Roman"/>
                <w:sz w:val="20"/>
                <w:szCs w:val="20"/>
              </w:rPr>
            </w:pPr>
          </w:p>
        </w:tc>
        <w:tc>
          <w:tcPr>
            <w:tcW w:w="0" w:type="auto"/>
            <w:gridSpan w:val="3"/>
            <w:vAlign w:val="center"/>
            <w:hideMark/>
          </w:tcPr>
          <w:p w14:paraId="6DC60825" w14:textId="77777777" w:rsidR="00000000" w:rsidRDefault="00A173A8">
            <w:pPr>
              <w:spacing w:after="100"/>
              <w:rPr>
                <w:rFonts w:eastAsia="Times New Roman"/>
                <w:sz w:val="20"/>
                <w:szCs w:val="20"/>
              </w:rPr>
            </w:pPr>
          </w:p>
        </w:tc>
        <w:tc>
          <w:tcPr>
            <w:tcW w:w="0" w:type="auto"/>
            <w:gridSpan w:val="3"/>
            <w:vAlign w:val="center"/>
            <w:hideMark/>
          </w:tcPr>
          <w:p w14:paraId="61335CDD" w14:textId="77777777" w:rsidR="00000000" w:rsidRDefault="00A173A8">
            <w:pPr>
              <w:spacing w:after="100"/>
              <w:rPr>
                <w:rFonts w:eastAsia="Times New Roman"/>
                <w:sz w:val="20"/>
                <w:szCs w:val="20"/>
              </w:rPr>
            </w:pPr>
          </w:p>
        </w:tc>
        <w:tc>
          <w:tcPr>
            <w:tcW w:w="0" w:type="auto"/>
            <w:gridSpan w:val="3"/>
            <w:vAlign w:val="center"/>
            <w:hideMark/>
          </w:tcPr>
          <w:p w14:paraId="0A7E7A02" w14:textId="77777777" w:rsidR="00000000" w:rsidRDefault="00A173A8">
            <w:pPr>
              <w:spacing w:after="100"/>
              <w:rPr>
                <w:rFonts w:eastAsia="Times New Roman"/>
                <w:sz w:val="20"/>
                <w:szCs w:val="20"/>
              </w:rPr>
            </w:pPr>
          </w:p>
        </w:tc>
        <w:tc>
          <w:tcPr>
            <w:tcW w:w="0" w:type="auto"/>
            <w:gridSpan w:val="3"/>
            <w:vAlign w:val="center"/>
            <w:hideMark/>
          </w:tcPr>
          <w:p w14:paraId="311B4B89" w14:textId="77777777" w:rsidR="00000000" w:rsidRDefault="00A173A8">
            <w:pPr>
              <w:spacing w:after="100"/>
              <w:rPr>
                <w:rFonts w:eastAsia="Times New Roman"/>
                <w:sz w:val="20"/>
                <w:szCs w:val="20"/>
              </w:rPr>
            </w:pPr>
          </w:p>
        </w:tc>
        <w:tc>
          <w:tcPr>
            <w:tcW w:w="0" w:type="auto"/>
            <w:gridSpan w:val="3"/>
            <w:vAlign w:val="center"/>
            <w:hideMark/>
          </w:tcPr>
          <w:p w14:paraId="7F2D9212" w14:textId="77777777" w:rsidR="00000000" w:rsidRDefault="00A173A8">
            <w:pPr>
              <w:spacing w:after="100"/>
              <w:rPr>
                <w:rFonts w:eastAsia="Times New Roman"/>
                <w:sz w:val="20"/>
                <w:szCs w:val="20"/>
              </w:rPr>
            </w:pPr>
          </w:p>
        </w:tc>
        <w:tc>
          <w:tcPr>
            <w:tcW w:w="0" w:type="auto"/>
            <w:gridSpan w:val="3"/>
            <w:vAlign w:val="center"/>
            <w:hideMark/>
          </w:tcPr>
          <w:p w14:paraId="1249AB70" w14:textId="77777777" w:rsidR="00000000" w:rsidRDefault="00A173A8">
            <w:pPr>
              <w:spacing w:after="100"/>
              <w:rPr>
                <w:rFonts w:eastAsia="Times New Roman"/>
                <w:sz w:val="20"/>
                <w:szCs w:val="20"/>
              </w:rPr>
            </w:pPr>
          </w:p>
        </w:tc>
        <w:tc>
          <w:tcPr>
            <w:tcW w:w="0" w:type="auto"/>
            <w:gridSpan w:val="3"/>
            <w:vAlign w:val="center"/>
            <w:hideMark/>
          </w:tcPr>
          <w:p w14:paraId="2F429492" w14:textId="77777777" w:rsidR="00000000" w:rsidRDefault="00A173A8">
            <w:pPr>
              <w:spacing w:after="100"/>
              <w:rPr>
                <w:rFonts w:eastAsia="Times New Roman"/>
                <w:sz w:val="20"/>
                <w:szCs w:val="20"/>
              </w:rPr>
            </w:pPr>
          </w:p>
        </w:tc>
      </w:tr>
      <w:tr w:rsidR="00000000" w14:paraId="71F58D97" w14:textId="77777777">
        <w:trPr>
          <w:divId w:val="488981052"/>
        </w:trPr>
        <w:tc>
          <w:tcPr>
            <w:tcW w:w="0" w:type="auto"/>
            <w:gridSpan w:val="3"/>
            <w:vAlign w:val="center"/>
            <w:hideMark/>
          </w:tcPr>
          <w:p w14:paraId="4BCFFC79" w14:textId="77777777" w:rsidR="00000000" w:rsidRDefault="00A173A8">
            <w:pPr>
              <w:spacing w:after="100"/>
              <w:rPr>
                <w:rFonts w:eastAsia="Times New Roman"/>
                <w:sz w:val="20"/>
                <w:szCs w:val="20"/>
              </w:rPr>
            </w:pPr>
          </w:p>
        </w:tc>
        <w:tc>
          <w:tcPr>
            <w:tcW w:w="0" w:type="auto"/>
            <w:gridSpan w:val="3"/>
            <w:vAlign w:val="center"/>
            <w:hideMark/>
          </w:tcPr>
          <w:p w14:paraId="05158195" w14:textId="77777777" w:rsidR="00000000" w:rsidRDefault="00A173A8">
            <w:pPr>
              <w:spacing w:after="100"/>
              <w:rPr>
                <w:rFonts w:eastAsia="Times New Roman"/>
                <w:sz w:val="20"/>
                <w:szCs w:val="20"/>
              </w:rPr>
            </w:pPr>
          </w:p>
        </w:tc>
        <w:tc>
          <w:tcPr>
            <w:tcW w:w="0" w:type="auto"/>
            <w:gridSpan w:val="3"/>
            <w:vAlign w:val="center"/>
            <w:hideMark/>
          </w:tcPr>
          <w:p w14:paraId="2518D984" w14:textId="77777777" w:rsidR="00000000" w:rsidRDefault="00A173A8">
            <w:pPr>
              <w:spacing w:after="100"/>
              <w:rPr>
                <w:rFonts w:eastAsia="Times New Roman"/>
                <w:sz w:val="20"/>
                <w:szCs w:val="20"/>
              </w:rPr>
            </w:pPr>
          </w:p>
        </w:tc>
        <w:tc>
          <w:tcPr>
            <w:tcW w:w="0" w:type="auto"/>
            <w:gridSpan w:val="3"/>
            <w:vAlign w:val="center"/>
            <w:hideMark/>
          </w:tcPr>
          <w:p w14:paraId="455D731F" w14:textId="77777777" w:rsidR="00000000" w:rsidRDefault="00A173A8">
            <w:pPr>
              <w:spacing w:after="100"/>
              <w:rPr>
                <w:rFonts w:eastAsia="Times New Roman"/>
                <w:sz w:val="20"/>
                <w:szCs w:val="20"/>
              </w:rPr>
            </w:pPr>
          </w:p>
        </w:tc>
        <w:tc>
          <w:tcPr>
            <w:tcW w:w="0" w:type="auto"/>
            <w:gridSpan w:val="3"/>
            <w:vAlign w:val="center"/>
            <w:hideMark/>
          </w:tcPr>
          <w:p w14:paraId="2D1641C2" w14:textId="77777777" w:rsidR="00000000" w:rsidRDefault="00A173A8">
            <w:pPr>
              <w:spacing w:after="100"/>
              <w:rPr>
                <w:rFonts w:eastAsia="Times New Roman"/>
                <w:sz w:val="20"/>
                <w:szCs w:val="20"/>
              </w:rPr>
            </w:pPr>
          </w:p>
        </w:tc>
        <w:tc>
          <w:tcPr>
            <w:tcW w:w="0" w:type="auto"/>
            <w:gridSpan w:val="3"/>
            <w:vAlign w:val="center"/>
            <w:hideMark/>
          </w:tcPr>
          <w:p w14:paraId="49E56C9E" w14:textId="77777777" w:rsidR="00000000" w:rsidRDefault="00A173A8">
            <w:pPr>
              <w:spacing w:after="100"/>
              <w:rPr>
                <w:rFonts w:eastAsia="Times New Roman"/>
                <w:sz w:val="20"/>
                <w:szCs w:val="20"/>
              </w:rPr>
            </w:pPr>
          </w:p>
        </w:tc>
        <w:tc>
          <w:tcPr>
            <w:tcW w:w="0" w:type="auto"/>
            <w:gridSpan w:val="3"/>
            <w:vAlign w:val="center"/>
            <w:hideMark/>
          </w:tcPr>
          <w:p w14:paraId="0184CBA2" w14:textId="77777777" w:rsidR="00000000" w:rsidRDefault="00A173A8">
            <w:pPr>
              <w:spacing w:after="100"/>
              <w:rPr>
                <w:rFonts w:eastAsia="Times New Roman"/>
                <w:sz w:val="20"/>
                <w:szCs w:val="20"/>
              </w:rPr>
            </w:pPr>
          </w:p>
        </w:tc>
        <w:tc>
          <w:tcPr>
            <w:tcW w:w="0" w:type="auto"/>
            <w:gridSpan w:val="3"/>
            <w:vAlign w:val="center"/>
            <w:hideMark/>
          </w:tcPr>
          <w:p w14:paraId="5E84BE59" w14:textId="77777777" w:rsidR="00000000" w:rsidRDefault="00A173A8">
            <w:pPr>
              <w:spacing w:after="100"/>
              <w:rPr>
                <w:rFonts w:eastAsia="Times New Roman"/>
                <w:sz w:val="20"/>
                <w:szCs w:val="20"/>
              </w:rPr>
            </w:pPr>
          </w:p>
        </w:tc>
        <w:tc>
          <w:tcPr>
            <w:tcW w:w="0" w:type="auto"/>
            <w:gridSpan w:val="3"/>
            <w:vAlign w:val="center"/>
            <w:hideMark/>
          </w:tcPr>
          <w:p w14:paraId="25873487" w14:textId="77777777" w:rsidR="00000000" w:rsidRDefault="00A173A8">
            <w:pPr>
              <w:spacing w:after="100"/>
              <w:rPr>
                <w:rFonts w:eastAsia="Times New Roman"/>
                <w:sz w:val="20"/>
                <w:szCs w:val="20"/>
              </w:rPr>
            </w:pPr>
          </w:p>
        </w:tc>
        <w:tc>
          <w:tcPr>
            <w:tcW w:w="0" w:type="auto"/>
            <w:gridSpan w:val="3"/>
            <w:vAlign w:val="center"/>
            <w:hideMark/>
          </w:tcPr>
          <w:p w14:paraId="4EF6D5F7" w14:textId="77777777" w:rsidR="00000000" w:rsidRDefault="00A173A8">
            <w:pPr>
              <w:spacing w:after="100"/>
              <w:rPr>
                <w:rFonts w:eastAsia="Times New Roman"/>
                <w:sz w:val="20"/>
                <w:szCs w:val="20"/>
              </w:rPr>
            </w:pPr>
          </w:p>
        </w:tc>
        <w:tc>
          <w:tcPr>
            <w:tcW w:w="0" w:type="auto"/>
            <w:gridSpan w:val="3"/>
            <w:vAlign w:val="center"/>
            <w:hideMark/>
          </w:tcPr>
          <w:p w14:paraId="6E7B4409" w14:textId="77777777" w:rsidR="00000000" w:rsidRDefault="00A173A8">
            <w:pPr>
              <w:spacing w:after="100"/>
              <w:rPr>
                <w:rFonts w:eastAsia="Times New Roman"/>
                <w:sz w:val="20"/>
                <w:szCs w:val="20"/>
              </w:rPr>
            </w:pPr>
          </w:p>
        </w:tc>
        <w:tc>
          <w:tcPr>
            <w:tcW w:w="0" w:type="auto"/>
            <w:gridSpan w:val="3"/>
            <w:vAlign w:val="center"/>
            <w:hideMark/>
          </w:tcPr>
          <w:p w14:paraId="09EE0F46" w14:textId="77777777" w:rsidR="00000000" w:rsidRDefault="00A173A8">
            <w:pPr>
              <w:spacing w:after="100"/>
              <w:rPr>
                <w:rFonts w:eastAsia="Times New Roman"/>
                <w:sz w:val="20"/>
                <w:szCs w:val="20"/>
              </w:rPr>
            </w:pPr>
          </w:p>
        </w:tc>
        <w:tc>
          <w:tcPr>
            <w:tcW w:w="0" w:type="auto"/>
            <w:gridSpan w:val="3"/>
            <w:vAlign w:val="center"/>
            <w:hideMark/>
          </w:tcPr>
          <w:p w14:paraId="0CCCA99A" w14:textId="77777777" w:rsidR="00000000" w:rsidRDefault="00A173A8">
            <w:pPr>
              <w:spacing w:after="100"/>
              <w:rPr>
                <w:rFonts w:eastAsia="Times New Roman"/>
                <w:sz w:val="20"/>
                <w:szCs w:val="20"/>
              </w:rPr>
            </w:pPr>
          </w:p>
        </w:tc>
        <w:tc>
          <w:tcPr>
            <w:tcW w:w="0" w:type="auto"/>
            <w:gridSpan w:val="3"/>
            <w:vAlign w:val="center"/>
            <w:hideMark/>
          </w:tcPr>
          <w:p w14:paraId="22934320" w14:textId="77777777" w:rsidR="00000000" w:rsidRDefault="00A173A8">
            <w:pPr>
              <w:spacing w:after="100"/>
              <w:rPr>
                <w:rFonts w:eastAsia="Times New Roman"/>
                <w:sz w:val="20"/>
                <w:szCs w:val="20"/>
              </w:rPr>
            </w:pPr>
          </w:p>
        </w:tc>
        <w:tc>
          <w:tcPr>
            <w:tcW w:w="0" w:type="auto"/>
            <w:gridSpan w:val="3"/>
            <w:vAlign w:val="center"/>
            <w:hideMark/>
          </w:tcPr>
          <w:p w14:paraId="0682F5B9" w14:textId="77777777" w:rsidR="00000000" w:rsidRDefault="00A173A8">
            <w:pPr>
              <w:spacing w:after="100"/>
              <w:rPr>
                <w:rFonts w:eastAsia="Times New Roman"/>
                <w:sz w:val="20"/>
                <w:szCs w:val="20"/>
              </w:rPr>
            </w:pPr>
          </w:p>
        </w:tc>
        <w:tc>
          <w:tcPr>
            <w:tcW w:w="0" w:type="auto"/>
            <w:gridSpan w:val="3"/>
            <w:vAlign w:val="center"/>
            <w:hideMark/>
          </w:tcPr>
          <w:p w14:paraId="69197E8A" w14:textId="77777777" w:rsidR="00000000" w:rsidRDefault="00A173A8">
            <w:pPr>
              <w:spacing w:after="100"/>
              <w:rPr>
                <w:rFonts w:eastAsia="Times New Roman"/>
                <w:sz w:val="20"/>
                <w:szCs w:val="20"/>
              </w:rPr>
            </w:pPr>
          </w:p>
        </w:tc>
        <w:tc>
          <w:tcPr>
            <w:tcW w:w="0" w:type="auto"/>
            <w:gridSpan w:val="3"/>
            <w:vAlign w:val="center"/>
            <w:hideMark/>
          </w:tcPr>
          <w:p w14:paraId="12186727" w14:textId="77777777" w:rsidR="00000000" w:rsidRDefault="00A173A8">
            <w:pPr>
              <w:spacing w:after="100"/>
              <w:rPr>
                <w:rFonts w:eastAsia="Times New Roman"/>
                <w:sz w:val="20"/>
                <w:szCs w:val="20"/>
              </w:rPr>
            </w:pPr>
          </w:p>
        </w:tc>
        <w:tc>
          <w:tcPr>
            <w:tcW w:w="0" w:type="auto"/>
            <w:gridSpan w:val="3"/>
            <w:vAlign w:val="center"/>
            <w:hideMark/>
          </w:tcPr>
          <w:p w14:paraId="4D39EFAD" w14:textId="77777777" w:rsidR="00000000" w:rsidRDefault="00A173A8">
            <w:pPr>
              <w:spacing w:after="100"/>
              <w:rPr>
                <w:rFonts w:eastAsia="Times New Roman"/>
                <w:sz w:val="20"/>
                <w:szCs w:val="20"/>
              </w:rPr>
            </w:pPr>
          </w:p>
        </w:tc>
        <w:tc>
          <w:tcPr>
            <w:tcW w:w="0" w:type="auto"/>
            <w:gridSpan w:val="3"/>
            <w:vAlign w:val="center"/>
            <w:hideMark/>
          </w:tcPr>
          <w:p w14:paraId="42AC95A4" w14:textId="77777777" w:rsidR="00000000" w:rsidRDefault="00A173A8">
            <w:pPr>
              <w:spacing w:after="100"/>
              <w:rPr>
                <w:rFonts w:eastAsia="Times New Roman"/>
                <w:sz w:val="20"/>
                <w:szCs w:val="20"/>
              </w:rPr>
            </w:pPr>
          </w:p>
        </w:tc>
      </w:tr>
      <w:tr w:rsidR="00000000" w14:paraId="6275309B" w14:textId="77777777">
        <w:trPr>
          <w:divId w:val="488981052"/>
        </w:trPr>
        <w:tc>
          <w:tcPr>
            <w:tcW w:w="0" w:type="auto"/>
            <w:gridSpan w:val="3"/>
            <w:vAlign w:val="center"/>
            <w:hideMark/>
          </w:tcPr>
          <w:p w14:paraId="7445D1F6" w14:textId="77777777" w:rsidR="00000000" w:rsidRDefault="00A173A8">
            <w:pPr>
              <w:spacing w:after="100"/>
              <w:rPr>
                <w:rFonts w:eastAsia="Times New Roman"/>
                <w:sz w:val="20"/>
                <w:szCs w:val="20"/>
              </w:rPr>
            </w:pPr>
          </w:p>
        </w:tc>
        <w:tc>
          <w:tcPr>
            <w:tcW w:w="0" w:type="auto"/>
            <w:gridSpan w:val="3"/>
            <w:vAlign w:val="center"/>
            <w:hideMark/>
          </w:tcPr>
          <w:p w14:paraId="3594D12A" w14:textId="77777777" w:rsidR="00000000" w:rsidRDefault="00A173A8">
            <w:pPr>
              <w:spacing w:after="100"/>
              <w:rPr>
                <w:rFonts w:eastAsia="Times New Roman"/>
                <w:sz w:val="20"/>
                <w:szCs w:val="20"/>
              </w:rPr>
            </w:pPr>
          </w:p>
        </w:tc>
        <w:tc>
          <w:tcPr>
            <w:tcW w:w="0" w:type="auto"/>
            <w:gridSpan w:val="3"/>
            <w:vAlign w:val="center"/>
            <w:hideMark/>
          </w:tcPr>
          <w:p w14:paraId="29290968" w14:textId="77777777" w:rsidR="00000000" w:rsidRDefault="00A173A8">
            <w:pPr>
              <w:spacing w:after="100"/>
              <w:rPr>
                <w:rFonts w:eastAsia="Times New Roman"/>
                <w:sz w:val="20"/>
                <w:szCs w:val="20"/>
              </w:rPr>
            </w:pPr>
          </w:p>
        </w:tc>
        <w:tc>
          <w:tcPr>
            <w:tcW w:w="0" w:type="auto"/>
            <w:gridSpan w:val="3"/>
            <w:vAlign w:val="center"/>
            <w:hideMark/>
          </w:tcPr>
          <w:p w14:paraId="265AA9C2" w14:textId="77777777" w:rsidR="00000000" w:rsidRDefault="00A173A8">
            <w:pPr>
              <w:spacing w:after="100"/>
              <w:rPr>
                <w:rFonts w:eastAsia="Times New Roman"/>
                <w:sz w:val="20"/>
                <w:szCs w:val="20"/>
              </w:rPr>
            </w:pPr>
          </w:p>
        </w:tc>
        <w:tc>
          <w:tcPr>
            <w:tcW w:w="0" w:type="auto"/>
            <w:gridSpan w:val="3"/>
            <w:vAlign w:val="center"/>
            <w:hideMark/>
          </w:tcPr>
          <w:p w14:paraId="7F2F3C2F" w14:textId="77777777" w:rsidR="00000000" w:rsidRDefault="00A173A8">
            <w:pPr>
              <w:spacing w:after="100"/>
              <w:rPr>
                <w:rFonts w:eastAsia="Times New Roman"/>
                <w:sz w:val="20"/>
                <w:szCs w:val="20"/>
              </w:rPr>
            </w:pPr>
          </w:p>
        </w:tc>
        <w:tc>
          <w:tcPr>
            <w:tcW w:w="0" w:type="auto"/>
            <w:gridSpan w:val="3"/>
            <w:vAlign w:val="center"/>
            <w:hideMark/>
          </w:tcPr>
          <w:p w14:paraId="5224C691" w14:textId="77777777" w:rsidR="00000000" w:rsidRDefault="00A173A8">
            <w:pPr>
              <w:spacing w:after="100"/>
              <w:rPr>
                <w:rFonts w:eastAsia="Times New Roman"/>
                <w:sz w:val="20"/>
                <w:szCs w:val="20"/>
              </w:rPr>
            </w:pPr>
          </w:p>
        </w:tc>
        <w:tc>
          <w:tcPr>
            <w:tcW w:w="0" w:type="auto"/>
            <w:gridSpan w:val="3"/>
            <w:vAlign w:val="center"/>
            <w:hideMark/>
          </w:tcPr>
          <w:p w14:paraId="67E28D4D" w14:textId="77777777" w:rsidR="00000000" w:rsidRDefault="00A173A8">
            <w:pPr>
              <w:spacing w:after="100"/>
              <w:rPr>
                <w:rFonts w:eastAsia="Times New Roman"/>
                <w:sz w:val="20"/>
                <w:szCs w:val="20"/>
              </w:rPr>
            </w:pPr>
          </w:p>
        </w:tc>
        <w:tc>
          <w:tcPr>
            <w:tcW w:w="0" w:type="auto"/>
            <w:gridSpan w:val="3"/>
            <w:vAlign w:val="center"/>
            <w:hideMark/>
          </w:tcPr>
          <w:p w14:paraId="7953C100" w14:textId="77777777" w:rsidR="00000000" w:rsidRDefault="00A173A8">
            <w:pPr>
              <w:spacing w:after="100"/>
              <w:rPr>
                <w:rFonts w:eastAsia="Times New Roman"/>
                <w:sz w:val="20"/>
                <w:szCs w:val="20"/>
              </w:rPr>
            </w:pPr>
          </w:p>
        </w:tc>
        <w:tc>
          <w:tcPr>
            <w:tcW w:w="0" w:type="auto"/>
            <w:gridSpan w:val="3"/>
            <w:vAlign w:val="center"/>
            <w:hideMark/>
          </w:tcPr>
          <w:p w14:paraId="1D200AC6" w14:textId="77777777" w:rsidR="00000000" w:rsidRDefault="00A173A8">
            <w:pPr>
              <w:spacing w:after="100"/>
              <w:rPr>
                <w:rFonts w:eastAsia="Times New Roman"/>
                <w:sz w:val="20"/>
                <w:szCs w:val="20"/>
              </w:rPr>
            </w:pPr>
          </w:p>
        </w:tc>
        <w:tc>
          <w:tcPr>
            <w:tcW w:w="0" w:type="auto"/>
            <w:gridSpan w:val="3"/>
            <w:vAlign w:val="center"/>
            <w:hideMark/>
          </w:tcPr>
          <w:p w14:paraId="714A0573" w14:textId="77777777" w:rsidR="00000000" w:rsidRDefault="00A173A8">
            <w:pPr>
              <w:spacing w:after="100"/>
              <w:rPr>
                <w:rFonts w:eastAsia="Times New Roman"/>
                <w:sz w:val="20"/>
                <w:szCs w:val="20"/>
              </w:rPr>
            </w:pPr>
          </w:p>
        </w:tc>
        <w:tc>
          <w:tcPr>
            <w:tcW w:w="0" w:type="auto"/>
            <w:gridSpan w:val="3"/>
            <w:vAlign w:val="center"/>
            <w:hideMark/>
          </w:tcPr>
          <w:p w14:paraId="3FBFFD78" w14:textId="77777777" w:rsidR="00000000" w:rsidRDefault="00A173A8">
            <w:pPr>
              <w:spacing w:after="100"/>
              <w:rPr>
                <w:rFonts w:eastAsia="Times New Roman"/>
                <w:sz w:val="20"/>
                <w:szCs w:val="20"/>
              </w:rPr>
            </w:pPr>
          </w:p>
        </w:tc>
        <w:tc>
          <w:tcPr>
            <w:tcW w:w="0" w:type="auto"/>
            <w:gridSpan w:val="3"/>
            <w:vAlign w:val="center"/>
            <w:hideMark/>
          </w:tcPr>
          <w:p w14:paraId="436BC5A0" w14:textId="77777777" w:rsidR="00000000" w:rsidRDefault="00A173A8">
            <w:pPr>
              <w:spacing w:after="100"/>
              <w:rPr>
                <w:rFonts w:eastAsia="Times New Roman"/>
                <w:sz w:val="20"/>
                <w:szCs w:val="20"/>
              </w:rPr>
            </w:pPr>
          </w:p>
        </w:tc>
        <w:tc>
          <w:tcPr>
            <w:tcW w:w="0" w:type="auto"/>
            <w:gridSpan w:val="3"/>
            <w:vAlign w:val="center"/>
            <w:hideMark/>
          </w:tcPr>
          <w:p w14:paraId="18896D95" w14:textId="77777777" w:rsidR="00000000" w:rsidRDefault="00A173A8">
            <w:pPr>
              <w:spacing w:after="100"/>
              <w:rPr>
                <w:rFonts w:eastAsia="Times New Roman"/>
                <w:sz w:val="20"/>
                <w:szCs w:val="20"/>
              </w:rPr>
            </w:pPr>
          </w:p>
        </w:tc>
        <w:tc>
          <w:tcPr>
            <w:tcW w:w="0" w:type="auto"/>
            <w:gridSpan w:val="3"/>
            <w:vAlign w:val="center"/>
            <w:hideMark/>
          </w:tcPr>
          <w:p w14:paraId="6B3DBA87" w14:textId="77777777" w:rsidR="00000000" w:rsidRDefault="00A173A8">
            <w:pPr>
              <w:spacing w:after="100"/>
              <w:rPr>
                <w:rFonts w:eastAsia="Times New Roman"/>
                <w:sz w:val="20"/>
                <w:szCs w:val="20"/>
              </w:rPr>
            </w:pPr>
          </w:p>
        </w:tc>
        <w:tc>
          <w:tcPr>
            <w:tcW w:w="0" w:type="auto"/>
            <w:gridSpan w:val="3"/>
            <w:vAlign w:val="center"/>
            <w:hideMark/>
          </w:tcPr>
          <w:p w14:paraId="3A29BF3C" w14:textId="77777777" w:rsidR="00000000" w:rsidRDefault="00A173A8">
            <w:pPr>
              <w:spacing w:after="100"/>
              <w:rPr>
                <w:rFonts w:eastAsia="Times New Roman"/>
                <w:sz w:val="20"/>
                <w:szCs w:val="20"/>
              </w:rPr>
            </w:pPr>
          </w:p>
        </w:tc>
        <w:tc>
          <w:tcPr>
            <w:tcW w:w="0" w:type="auto"/>
            <w:gridSpan w:val="3"/>
            <w:vAlign w:val="center"/>
            <w:hideMark/>
          </w:tcPr>
          <w:p w14:paraId="6E9A33BD" w14:textId="77777777" w:rsidR="00000000" w:rsidRDefault="00A173A8">
            <w:pPr>
              <w:spacing w:after="100"/>
              <w:rPr>
                <w:rFonts w:eastAsia="Times New Roman"/>
                <w:sz w:val="20"/>
                <w:szCs w:val="20"/>
              </w:rPr>
            </w:pPr>
          </w:p>
        </w:tc>
        <w:tc>
          <w:tcPr>
            <w:tcW w:w="0" w:type="auto"/>
            <w:gridSpan w:val="3"/>
            <w:vAlign w:val="center"/>
            <w:hideMark/>
          </w:tcPr>
          <w:p w14:paraId="2CBFDCC9" w14:textId="77777777" w:rsidR="00000000" w:rsidRDefault="00A173A8">
            <w:pPr>
              <w:spacing w:after="100"/>
              <w:rPr>
                <w:rFonts w:eastAsia="Times New Roman"/>
                <w:sz w:val="20"/>
                <w:szCs w:val="20"/>
              </w:rPr>
            </w:pPr>
          </w:p>
        </w:tc>
        <w:tc>
          <w:tcPr>
            <w:tcW w:w="0" w:type="auto"/>
            <w:gridSpan w:val="3"/>
            <w:vAlign w:val="center"/>
            <w:hideMark/>
          </w:tcPr>
          <w:p w14:paraId="5785E010" w14:textId="77777777" w:rsidR="00000000" w:rsidRDefault="00A173A8">
            <w:pPr>
              <w:spacing w:after="100"/>
              <w:rPr>
                <w:rFonts w:eastAsia="Times New Roman"/>
                <w:sz w:val="20"/>
                <w:szCs w:val="20"/>
              </w:rPr>
            </w:pPr>
          </w:p>
        </w:tc>
        <w:tc>
          <w:tcPr>
            <w:tcW w:w="0" w:type="auto"/>
            <w:gridSpan w:val="3"/>
            <w:vAlign w:val="center"/>
            <w:hideMark/>
          </w:tcPr>
          <w:p w14:paraId="45F1A5DF" w14:textId="77777777" w:rsidR="00000000" w:rsidRDefault="00A173A8">
            <w:pPr>
              <w:spacing w:after="100"/>
              <w:rPr>
                <w:rFonts w:eastAsia="Times New Roman"/>
                <w:sz w:val="20"/>
                <w:szCs w:val="20"/>
              </w:rPr>
            </w:pPr>
          </w:p>
        </w:tc>
      </w:tr>
      <w:tr w:rsidR="00000000" w14:paraId="66550DF3" w14:textId="77777777">
        <w:trPr>
          <w:divId w:val="488981052"/>
        </w:trPr>
        <w:tc>
          <w:tcPr>
            <w:tcW w:w="0" w:type="auto"/>
            <w:gridSpan w:val="3"/>
            <w:vAlign w:val="center"/>
            <w:hideMark/>
          </w:tcPr>
          <w:p w14:paraId="44D686EC" w14:textId="77777777" w:rsidR="00000000" w:rsidRDefault="00A173A8">
            <w:pPr>
              <w:spacing w:after="100"/>
              <w:rPr>
                <w:rFonts w:eastAsia="Times New Roman"/>
                <w:sz w:val="20"/>
                <w:szCs w:val="20"/>
              </w:rPr>
            </w:pPr>
          </w:p>
        </w:tc>
        <w:tc>
          <w:tcPr>
            <w:tcW w:w="0" w:type="auto"/>
            <w:gridSpan w:val="3"/>
            <w:vAlign w:val="center"/>
            <w:hideMark/>
          </w:tcPr>
          <w:p w14:paraId="7502D2B0" w14:textId="77777777" w:rsidR="00000000" w:rsidRDefault="00A173A8">
            <w:pPr>
              <w:spacing w:after="100"/>
              <w:rPr>
                <w:rFonts w:eastAsia="Times New Roman"/>
                <w:sz w:val="20"/>
                <w:szCs w:val="20"/>
              </w:rPr>
            </w:pPr>
          </w:p>
        </w:tc>
        <w:tc>
          <w:tcPr>
            <w:tcW w:w="0" w:type="auto"/>
            <w:gridSpan w:val="3"/>
            <w:vAlign w:val="center"/>
            <w:hideMark/>
          </w:tcPr>
          <w:p w14:paraId="0859AAAB" w14:textId="77777777" w:rsidR="00000000" w:rsidRDefault="00A173A8">
            <w:pPr>
              <w:spacing w:after="100"/>
              <w:rPr>
                <w:rFonts w:eastAsia="Times New Roman"/>
                <w:sz w:val="20"/>
                <w:szCs w:val="20"/>
              </w:rPr>
            </w:pPr>
          </w:p>
        </w:tc>
        <w:tc>
          <w:tcPr>
            <w:tcW w:w="0" w:type="auto"/>
            <w:gridSpan w:val="3"/>
            <w:vAlign w:val="center"/>
            <w:hideMark/>
          </w:tcPr>
          <w:p w14:paraId="72F517FE" w14:textId="77777777" w:rsidR="00000000" w:rsidRDefault="00A173A8">
            <w:pPr>
              <w:spacing w:after="100"/>
              <w:rPr>
                <w:rFonts w:eastAsia="Times New Roman"/>
                <w:sz w:val="20"/>
                <w:szCs w:val="20"/>
              </w:rPr>
            </w:pPr>
          </w:p>
        </w:tc>
        <w:tc>
          <w:tcPr>
            <w:tcW w:w="0" w:type="auto"/>
            <w:gridSpan w:val="3"/>
            <w:vAlign w:val="center"/>
            <w:hideMark/>
          </w:tcPr>
          <w:p w14:paraId="3FA65C1E" w14:textId="77777777" w:rsidR="00000000" w:rsidRDefault="00A173A8">
            <w:pPr>
              <w:spacing w:after="100"/>
              <w:rPr>
                <w:rFonts w:eastAsia="Times New Roman"/>
                <w:sz w:val="20"/>
                <w:szCs w:val="20"/>
              </w:rPr>
            </w:pPr>
          </w:p>
        </w:tc>
        <w:tc>
          <w:tcPr>
            <w:tcW w:w="0" w:type="auto"/>
            <w:gridSpan w:val="3"/>
            <w:vAlign w:val="center"/>
            <w:hideMark/>
          </w:tcPr>
          <w:p w14:paraId="6C28B3A7" w14:textId="77777777" w:rsidR="00000000" w:rsidRDefault="00A173A8">
            <w:pPr>
              <w:spacing w:after="100"/>
              <w:rPr>
                <w:rFonts w:eastAsia="Times New Roman"/>
                <w:sz w:val="20"/>
                <w:szCs w:val="20"/>
              </w:rPr>
            </w:pPr>
          </w:p>
        </w:tc>
        <w:tc>
          <w:tcPr>
            <w:tcW w:w="0" w:type="auto"/>
            <w:gridSpan w:val="3"/>
            <w:vAlign w:val="center"/>
            <w:hideMark/>
          </w:tcPr>
          <w:p w14:paraId="7080F5D1" w14:textId="77777777" w:rsidR="00000000" w:rsidRDefault="00A173A8">
            <w:pPr>
              <w:spacing w:after="100"/>
              <w:rPr>
                <w:rFonts w:eastAsia="Times New Roman"/>
                <w:sz w:val="20"/>
                <w:szCs w:val="20"/>
              </w:rPr>
            </w:pPr>
          </w:p>
        </w:tc>
        <w:tc>
          <w:tcPr>
            <w:tcW w:w="0" w:type="auto"/>
            <w:gridSpan w:val="3"/>
            <w:vAlign w:val="center"/>
            <w:hideMark/>
          </w:tcPr>
          <w:p w14:paraId="1E633F59" w14:textId="77777777" w:rsidR="00000000" w:rsidRDefault="00A173A8">
            <w:pPr>
              <w:spacing w:after="100"/>
              <w:rPr>
                <w:rFonts w:eastAsia="Times New Roman"/>
                <w:sz w:val="20"/>
                <w:szCs w:val="20"/>
              </w:rPr>
            </w:pPr>
          </w:p>
        </w:tc>
        <w:tc>
          <w:tcPr>
            <w:tcW w:w="0" w:type="auto"/>
            <w:gridSpan w:val="3"/>
            <w:vAlign w:val="center"/>
            <w:hideMark/>
          </w:tcPr>
          <w:p w14:paraId="60820CE0" w14:textId="77777777" w:rsidR="00000000" w:rsidRDefault="00A173A8">
            <w:pPr>
              <w:spacing w:after="100"/>
              <w:rPr>
                <w:rFonts w:eastAsia="Times New Roman"/>
                <w:sz w:val="20"/>
                <w:szCs w:val="20"/>
              </w:rPr>
            </w:pPr>
          </w:p>
        </w:tc>
        <w:tc>
          <w:tcPr>
            <w:tcW w:w="0" w:type="auto"/>
            <w:gridSpan w:val="3"/>
            <w:vAlign w:val="center"/>
            <w:hideMark/>
          </w:tcPr>
          <w:p w14:paraId="7834DB84" w14:textId="77777777" w:rsidR="00000000" w:rsidRDefault="00A173A8">
            <w:pPr>
              <w:spacing w:after="100"/>
              <w:rPr>
                <w:rFonts w:eastAsia="Times New Roman"/>
                <w:sz w:val="20"/>
                <w:szCs w:val="20"/>
              </w:rPr>
            </w:pPr>
          </w:p>
        </w:tc>
        <w:tc>
          <w:tcPr>
            <w:tcW w:w="0" w:type="auto"/>
            <w:gridSpan w:val="3"/>
            <w:vAlign w:val="center"/>
            <w:hideMark/>
          </w:tcPr>
          <w:p w14:paraId="1ED6579B" w14:textId="77777777" w:rsidR="00000000" w:rsidRDefault="00A173A8">
            <w:pPr>
              <w:spacing w:after="100"/>
              <w:rPr>
                <w:rFonts w:eastAsia="Times New Roman"/>
                <w:sz w:val="20"/>
                <w:szCs w:val="20"/>
              </w:rPr>
            </w:pPr>
          </w:p>
        </w:tc>
        <w:tc>
          <w:tcPr>
            <w:tcW w:w="0" w:type="auto"/>
            <w:gridSpan w:val="3"/>
            <w:vAlign w:val="center"/>
            <w:hideMark/>
          </w:tcPr>
          <w:p w14:paraId="1FEBAA81" w14:textId="77777777" w:rsidR="00000000" w:rsidRDefault="00A173A8">
            <w:pPr>
              <w:spacing w:after="100"/>
              <w:rPr>
                <w:rFonts w:eastAsia="Times New Roman"/>
                <w:sz w:val="20"/>
                <w:szCs w:val="20"/>
              </w:rPr>
            </w:pPr>
          </w:p>
        </w:tc>
        <w:tc>
          <w:tcPr>
            <w:tcW w:w="0" w:type="auto"/>
            <w:gridSpan w:val="3"/>
            <w:vAlign w:val="center"/>
            <w:hideMark/>
          </w:tcPr>
          <w:p w14:paraId="2EF8DE7F" w14:textId="77777777" w:rsidR="00000000" w:rsidRDefault="00A173A8">
            <w:pPr>
              <w:spacing w:after="100"/>
              <w:rPr>
                <w:rFonts w:eastAsia="Times New Roman"/>
                <w:sz w:val="20"/>
                <w:szCs w:val="20"/>
              </w:rPr>
            </w:pPr>
          </w:p>
        </w:tc>
        <w:tc>
          <w:tcPr>
            <w:tcW w:w="0" w:type="auto"/>
            <w:gridSpan w:val="3"/>
            <w:vAlign w:val="center"/>
            <w:hideMark/>
          </w:tcPr>
          <w:p w14:paraId="1C7C7A7E" w14:textId="77777777" w:rsidR="00000000" w:rsidRDefault="00A173A8">
            <w:pPr>
              <w:spacing w:after="100"/>
              <w:rPr>
                <w:rFonts w:eastAsia="Times New Roman"/>
                <w:sz w:val="20"/>
                <w:szCs w:val="20"/>
              </w:rPr>
            </w:pPr>
          </w:p>
        </w:tc>
        <w:tc>
          <w:tcPr>
            <w:tcW w:w="0" w:type="auto"/>
            <w:gridSpan w:val="3"/>
            <w:vAlign w:val="center"/>
            <w:hideMark/>
          </w:tcPr>
          <w:p w14:paraId="6E73EAC5" w14:textId="77777777" w:rsidR="00000000" w:rsidRDefault="00A173A8">
            <w:pPr>
              <w:spacing w:after="100"/>
              <w:rPr>
                <w:rFonts w:eastAsia="Times New Roman"/>
                <w:sz w:val="20"/>
                <w:szCs w:val="20"/>
              </w:rPr>
            </w:pPr>
          </w:p>
        </w:tc>
        <w:tc>
          <w:tcPr>
            <w:tcW w:w="0" w:type="auto"/>
            <w:gridSpan w:val="3"/>
            <w:vAlign w:val="center"/>
            <w:hideMark/>
          </w:tcPr>
          <w:p w14:paraId="70026DD7" w14:textId="77777777" w:rsidR="00000000" w:rsidRDefault="00A173A8">
            <w:pPr>
              <w:spacing w:after="100"/>
              <w:rPr>
                <w:rFonts w:eastAsia="Times New Roman"/>
                <w:sz w:val="20"/>
                <w:szCs w:val="20"/>
              </w:rPr>
            </w:pPr>
          </w:p>
        </w:tc>
        <w:tc>
          <w:tcPr>
            <w:tcW w:w="0" w:type="auto"/>
            <w:gridSpan w:val="3"/>
            <w:vAlign w:val="center"/>
            <w:hideMark/>
          </w:tcPr>
          <w:p w14:paraId="283CCF10" w14:textId="77777777" w:rsidR="00000000" w:rsidRDefault="00A173A8">
            <w:pPr>
              <w:spacing w:after="100"/>
              <w:rPr>
                <w:rFonts w:eastAsia="Times New Roman"/>
                <w:sz w:val="20"/>
                <w:szCs w:val="20"/>
              </w:rPr>
            </w:pPr>
          </w:p>
        </w:tc>
        <w:tc>
          <w:tcPr>
            <w:tcW w:w="0" w:type="auto"/>
            <w:gridSpan w:val="3"/>
            <w:vAlign w:val="center"/>
            <w:hideMark/>
          </w:tcPr>
          <w:p w14:paraId="3FE05953" w14:textId="77777777" w:rsidR="00000000" w:rsidRDefault="00A173A8">
            <w:pPr>
              <w:spacing w:after="100"/>
              <w:rPr>
                <w:rFonts w:eastAsia="Times New Roman"/>
                <w:sz w:val="20"/>
                <w:szCs w:val="20"/>
              </w:rPr>
            </w:pPr>
          </w:p>
        </w:tc>
        <w:tc>
          <w:tcPr>
            <w:tcW w:w="0" w:type="auto"/>
            <w:gridSpan w:val="3"/>
            <w:vAlign w:val="center"/>
            <w:hideMark/>
          </w:tcPr>
          <w:p w14:paraId="1CCFAE0E" w14:textId="77777777" w:rsidR="00000000" w:rsidRDefault="00A173A8">
            <w:pPr>
              <w:spacing w:after="100"/>
              <w:rPr>
                <w:rFonts w:eastAsia="Times New Roman"/>
                <w:sz w:val="20"/>
                <w:szCs w:val="20"/>
              </w:rPr>
            </w:pPr>
          </w:p>
        </w:tc>
      </w:tr>
      <w:tr w:rsidR="00000000" w14:paraId="131158EE" w14:textId="77777777">
        <w:trPr>
          <w:divId w:val="488981052"/>
        </w:trPr>
        <w:tc>
          <w:tcPr>
            <w:tcW w:w="0" w:type="auto"/>
            <w:gridSpan w:val="3"/>
            <w:vAlign w:val="center"/>
            <w:hideMark/>
          </w:tcPr>
          <w:p w14:paraId="68050C53" w14:textId="77777777" w:rsidR="00000000" w:rsidRDefault="00A173A8">
            <w:pPr>
              <w:spacing w:after="100"/>
              <w:rPr>
                <w:rFonts w:eastAsia="Times New Roman"/>
                <w:sz w:val="20"/>
                <w:szCs w:val="20"/>
              </w:rPr>
            </w:pPr>
          </w:p>
        </w:tc>
        <w:tc>
          <w:tcPr>
            <w:tcW w:w="0" w:type="auto"/>
            <w:gridSpan w:val="3"/>
            <w:vAlign w:val="center"/>
            <w:hideMark/>
          </w:tcPr>
          <w:p w14:paraId="24B6BF52" w14:textId="77777777" w:rsidR="00000000" w:rsidRDefault="00A173A8">
            <w:pPr>
              <w:spacing w:after="100"/>
              <w:rPr>
                <w:rFonts w:eastAsia="Times New Roman"/>
                <w:sz w:val="20"/>
                <w:szCs w:val="20"/>
              </w:rPr>
            </w:pPr>
          </w:p>
        </w:tc>
        <w:tc>
          <w:tcPr>
            <w:tcW w:w="0" w:type="auto"/>
            <w:gridSpan w:val="3"/>
            <w:vAlign w:val="center"/>
            <w:hideMark/>
          </w:tcPr>
          <w:p w14:paraId="11D6673C" w14:textId="77777777" w:rsidR="00000000" w:rsidRDefault="00A173A8">
            <w:pPr>
              <w:spacing w:after="100"/>
              <w:rPr>
                <w:rFonts w:eastAsia="Times New Roman"/>
                <w:sz w:val="20"/>
                <w:szCs w:val="20"/>
              </w:rPr>
            </w:pPr>
          </w:p>
        </w:tc>
        <w:tc>
          <w:tcPr>
            <w:tcW w:w="0" w:type="auto"/>
            <w:gridSpan w:val="3"/>
            <w:vAlign w:val="center"/>
            <w:hideMark/>
          </w:tcPr>
          <w:p w14:paraId="69433658" w14:textId="77777777" w:rsidR="00000000" w:rsidRDefault="00A173A8">
            <w:pPr>
              <w:spacing w:after="100"/>
              <w:rPr>
                <w:rFonts w:eastAsia="Times New Roman"/>
                <w:sz w:val="20"/>
                <w:szCs w:val="20"/>
              </w:rPr>
            </w:pPr>
          </w:p>
        </w:tc>
        <w:tc>
          <w:tcPr>
            <w:tcW w:w="0" w:type="auto"/>
            <w:gridSpan w:val="3"/>
            <w:vAlign w:val="center"/>
            <w:hideMark/>
          </w:tcPr>
          <w:p w14:paraId="5288CE18" w14:textId="77777777" w:rsidR="00000000" w:rsidRDefault="00A173A8">
            <w:pPr>
              <w:spacing w:after="100"/>
              <w:rPr>
                <w:rFonts w:eastAsia="Times New Roman"/>
                <w:sz w:val="20"/>
                <w:szCs w:val="20"/>
              </w:rPr>
            </w:pPr>
          </w:p>
        </w:tc>
        <w:tc>
          <w:tcPr>
            <w:tcW w:w="0" w:type="auto"/>
            <w:gridSpan w:val="3"/>
            <w:vAlign w:val="center"/>
            <w:hideMark/>
          </w:tcPr>
          <w:p w14:paraId="65575FC9" w14:textId="77777777" w:rsidR="00000000" w:rsidRDefault="00A173A8">
            <w:pPr>
              <w:spacing w:after="100"/>
              <w:rPr>
                <w:rFonts w:eastAsia="Times New Roman"/>
                <w:sz w:val="20"/>
                <w:szCs w:val="20"/>
              </w:rPr>
            </w:pPr>
          </w:p>
        </w:tc>
        <w:tc>
          <w:tcPr>
            <w:tcW w:w="0" w:type="auto"/>
            <w:gridSpan w:val="3"/>
            <w:vAlign w:val="center"/>
            <w:hideMark/>
          </w:tcPr>
          <w:p w14:paraId="64027F87" w14:textId="77777777" w:rsidR="00000000" w:rsidRDefault="00A173A8">
            <w:pPr>
              <w:spacing w:after="100"/>
              <w:rPr>
                <w:rFonts w:eastAsia="Times New Roman"/>
                <w:sz w:val="20"/>
                <w:szCs w:val="20"/>
              </w:rPr>
            </w:pPr>
          </w:p>
        </w:tc>
        <w:tc>
          <w:tcPr>
            <w:tcW w:w="0" w:type="auto"/>
            <w:gridSpan w:val="3"/>
            <w:vAlign w:val="center"/>
            <w:hideMark/>
          </w:tcPr>
          <w:p w14:paraId="4EE35242" w14:textId="77777777" w:rsidR="00000000" w:rsidRDefault="00A173A8">
            <w:pPr>
              <w:spacing w:after="100"/>
              <w:rPr>
                <w:rFonts w:eastAsia="Times New Roman"/>
                <w:sz w:val="20"/>
                <w:szCs w:val="20"/>
              </w:rPr>
            </w:pPr>
          </w:p>
        </w:tc>
        <w:tc>
          <w:tcPr>
            <w:tcW w:w="0" w:type="auto"/>
            <w:gridSpan w:val="3"/>
            <w:vAlign w:val="center"/>
            <w:hideMark/>
          </w:tcPr>
          <w:p w14:paraId="01D77D41" w14:textId="77777777" w:rsidR="00000000" w:rsidRDefault="00A173A8">
            <w:pPr>
              <w:spacing w:after="100"/>
              <w:rPr>
                <w:rFonts w:eastAsia="Times New Roman"/>
                <w:sz w:val="20"/>
                <w:szCs w:val="20"/>
              </w:rPr>
            </w:pPr>
          </w:p>
        </w:tc>
        <w:tc>
          <w:tcPr>
            <w:tcW w:w="0" w:type="auto"/>
            <w:gridSpan w:val="3"/>
            <w:vAlign w:val="center"/>
            <w:hideMark/>
          </w:tcPr>
          <w:p w14:paraId="42ECE0D5" w14:textId="77777777" w:rsidR="00000000" w:rsidRDefault="00A173A8">
            <w:pPr>
              <w:spacing w:after="100"/>
              <w:rPr>
                <w:rFonts w:eastAsia="Times New Roman"/>
                <w:sz w:val="20"/>
                <w:szCs w:val="20"/>
              </w:rPr>
            </w:pPr>
          </w:p>
        </w:tc>
        <w:tc>
          <w:tcPr>
            <w:tcW w:w="0" w:type="auto"/>
            <w:gridSpan w:val="3"/>
            <w:vAlign w:val="center"/>
            <w:hideMark/>
          </w:tcPr>
          <w:p w14:paraId="147A2A65" w14:textId="77777777" w:rsidR="00000000" w:rsidRDefault="00A173A8">
            <w:pPr>
              <w:spacing w:after="100"/>
              <w:rPr>
                <w:rFonts w:eastAsia="Times New Roman"/>
                <w:sz w:val="20"/>
                <w:szCs w:val="20"/>
              </w:rPr>
            </w:pPr>
          </w:p>
        </w:tc>
        <w:tc>
          <w:tcPr>
            <w:tcW w:w="0" w:type="auto"/>
            <w:gridSpan w:val="3"/>
            <w:vAlign w:val="center"/>
            <w:hideMark/>
          </w:tcPr>
          <w:p w14:paraId="2DB91519" w14:textId="77777777" w:rsidR="00000000" w:rsidRDefault="00A173A8">
            <w:pPr>
              <w:spacing w:after="100"/>
              <w:rPr>
                <w:rFonts w:eastAsia="Times New Roman"/>
                <w:sz w:val="20"/>
                <w:szCs w:val="20"/>
              </w:rPr>
            </w:pPr>
          </w:p>
        </w:tc>
        <w:tc>
          <w:tcPr>
            <w:tcW w:w="0" w:type="auto"/>
            <w:gridSpan w:val="3"/>
            <w:vAlign w:val="center"/>
            <w:hideMark/>
          </w:tcPr>
          <w:p w14:paraId="306B2099" w14:textId="77777777" w:rsidR="00000000" w:rsidRDefault="00A173A8">
            <w:pPr>
              <w:spacing w:after="100"/>
              <w:rPr>
                <w:rFonts w:eastAsia="Times New Roman"/>
                <w:sz w:val="20"/>
                <w:szCs w:val="20"/>
              </w:rPr>
            </w:pPr>
          </w:p>
        </w:tc>
        <w:tc>
          <w:tcPr>
            <w:tcW w:w="0" w:type="auto"/>
            <w:gridSpan w:val="3"/>
            <w:vAlign w:val="center"/>
            <w:hideMark/>
          </w:tcPr>
          <w:p w14:paraId="18CE501F" w14:textId="77777777" w:rsidR="00000000" w:rsidRDefault="00A173A8">
            <w:pPr>
              <w:spacing w:after="100"/>
              <w:rPr>
                <w:rFonts w:eastAsia="Times New Roman"/>
                <w:sz w:val="20"/>
                <w:szCs w:val="20"/>
              </w:rPr>
            </w:pPr>
          </w:p>
        </w:tc>
        <w:tc>
          <w:tcPr>
            <w:tcW w:w="0" w:type="auto"/>
            <w:gridSpan w:val="3"/>
            <w:vAlign w:val="center"/>
            <w:hideMark/>
          </w:tcPr>
          <w:p w14:paraId="3DE47421" w14:textId="77777777" w:rsidR="00000000" w:rsidRDefault="00A173A8">
            <w:pPr>
              <w:spacing w:after="100"/>
              <w:rPr>
                <w:rFonts w:eastAsia="Times New Roman"/>
                <w:sz w:val="20"/>
                <w:szCs w:val="20"/>
              </w:rPr>
            </w:pPr>
          </w:p>
        </w:tc>
        <w:tc>
          <w:tcPr>
            <w:tcW w:w="0" w:type="auto"/>
            <w:gridSpan w:val="3"/>
            <w:vAlign w:val="center"/>
            <w:hideMark/>
          </w:tcPr>
          <w:p w14:paraId="0047D8AE" w14:textId="77777777" w:rsidR="00000000" w:rsidRDefault="00A173A8">
            <w:pPr>
              <w:spacing w:after="100"/>
              <w:rPr>
                <w:rFonts w:eastAsia="Times New Roman"/>
                <w:sz w:val="20"/>
                <w:szCs w:val="20"/>
              </w:rPr>
            </w:pPr>
          </w:p>
        </w:tc>
        <w:tc>
          <w:tcPr>
            <w:tcW w:w="0" w:type="auto"/>
            <w:gridSpan w:val="3"/>
            <w:vAlign w:val="center"/>
            <w:hideMark/>
          </w:tcPr>
          <w:p w14:paraId="5F5031A6" w14:textId="77777777" w:rsidR="00000000" w:rsidRDefault="00A173A8">
            <w:pPr>
              <w:spacing w:after="100"/>
              <w:rPr>
                <w:rFonts w:eastAsia="Times New Roman"/>
                <w:sz w:val="20"/>
                <w:szCs w:val="20"/>
              </w:rPr>
            </w:pPr>
          </w:p>
        </w:tc>
        <w:tc>
          <w:tcPr>
            <w:tcW w:w="0" w:type="auto"/>
            <w:gridSpan w:val="3"/>
            <w:vAlign w:val="center"/>
            <w:hideMark/>
          </w:tcPr>
          <w:p w14:paraId="228D8E1E" w14:textId="77777777" w:rsidR="00000000" w:rsidRDefault="00A173A8">
            <w:pPr>
              <w:spacing w:after="100"/>
              <w:rPr>
                <w:rFonts w:eastAsia="Times New Roman"/>
                <w:sz w:val="20"/>
                <w:szCs w:val="20"/>
              </w:rPr>
            </w:pPr>
          </w:p>
        </w:tc>
        <w:tc>
          <w:tcPr>
            <w:tcW w:w="0" w:type="auto"/>
            <w:gridSpan w:val="3"/>
            <w:vAlign w:val="center"/>
            <w:hideMark/>
          </w:tcPr>
          <w:p w14:paraId="2B91CA79" w14:textId="77777777" w:rsidR="00000000" w:rsidRDefault="00A173A8">
            <w:pPr>
              <w:spacing w:after="100"/>
              <w:rPr>
                <w:rFonts w:eastAsia="Times New Roman"/>
                <w:sz w:val="20"/>
                <w:szCs w:val="20"/>
              </w:rPr>
            </w:pPr>
          </w:p>
        </w:tc>
      </w:tr>
      <w:tr w:rsidR="00000000" w14:paraId="35B64B64" w14:textId="77777777">
        <w:trPr>
          <w:divId w:val="488981052"/>
        </w:trPr>
        <w:tc>
          <w:tcPr>
            <w:tcW w:w="0" w:type="auto"/>
            <w:gridSpan w:val="3"/>
            <w:shd w:val="clear" w:color="auto" w:fill="FFFFFF"/>
            <w:tcMar>
              <w:top w:w="30" w:type="dxa"/>
              <w:left w:w="20" w:type="dxa"/>
              <w:bottom w:w="30" w:type="dxa"/>
              <w:right w:w="20" w:type="dxa"/>
            </w:tcMar>
            <w:vAlign w:val="center"/>
            <w:hideMark/>
          </w:tcPr>
          <w:p w14:paraId="1B8D5531" w14:textId="77777777" w:rsidR="00000000" w:rsidRDefault="00A173A8">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14:paraId="1809EB28"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8F136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E8474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029DF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72272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53EB2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7088D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3F566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E1CE1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ACE03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2261DD"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114ADB" w14:textId="77777777" w:rsidR="00000000" w:rsidRDefault="00A173A8">
            <w:pPr>
              <w:spacing w:after="100"/>
              <w:jc w:val="right"/>
              <w:rPr>
                <w:rFonts w:eastAsia="Times New Roman"/>
              </w:rPr>
            </w:pPr>
            <w:r>
              <w:rPr>
                <w:rFonts w:eastAsia="Times New Roman"/>
                <w:color w:val="000000"/>
                <w:sz w:val="16"/>
                <w:szCs w:val="16"/>
              </w:rPr>
              <w:t>2,403 </w:t>
            </w:r>
          </w:p>
        </w:tc>
        <w:tc>
          <w:tcPr>
            <w:tcW w:w="0" w:type="auto"/>
            <w:shd w:val="clear" w:color="auto" w:fill="FFFFFF"/>
            <w:tcMar>
              <w:top w:w="30" w:type="dxa"/>
              <w:left w:w="0" w:type="dxa"/>
              <w:bottom w:w="30" w:type="dxa"/>
              <w:right w:w="20" w:type="dxa"/>
            </w:tcMar>
            <w:vAlign w:val="center"/>
            <w:hideMark/>
          </w:tcPr>
          <w:p w14:paraId="677178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3D74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D72006" w14:textId="77777777" w:rsidR="00000000" w:rsidRDefault="00A173A8">
            <w:pPr>
              <w:spacing w:after="100"/>
              <w:jc w:val="right"/>
              <w:rPr>
                <w:rFonts w:eastAsia="Times New Roman"/>
              </w:rPr>
            </w:pPr>
            <w:r>
              <w:rPr>
                <w:rFonts w:eastAsia="Times New Roman"/>
                <w:color w:val="000000"/>
                <w:sz w:val="16"/>
                <w:szCs w:val="16"/>
              </w:rPr>
              <w:t>(4,467)</w:t>
            </w:r>
          </w:p>
        </w:tc>
        <w:tc>
          <w:tcPr>
            <w:tcW w:w="0" w:type="auto"/>
            <w:shd w:val="clear" w:color="auto" w:fill="FFFFFF"/>
            <w:tcMar>
              <w:top w:w="30" w:type="dxa"/>
              <w:left w:w="0" w:type="dxa"/>
              <w:bottom w:w="30" w:type="dxa"/>
              <w:right w:w="20" w:type="dxa"/>
            </w:tcMar>
            <w:vAlign w:val="center"/>
            <w:hideMark/>
          </w:tcPr>
          <w:p w14:paraId="59F486D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E56E93"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CFC50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C6B69E"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58CF1F" w14:textId="77777777" w:rsidR="00000000" w:rsidRDefault="00A173A8">
            <w:pPr>
              <w:spacing w:after="100"/>
              <w:jc w:val="right"/>
              <w:rPr>
                <w:rFonts w:eastAsia="Times New Roman"/>
              </w:rPr>
            </w:pPr>
            <w:r>
              <w:rPr>
                <w:rFonts w:eastAsia="Times New Roman"/>
                <w:color w:val="000000"/>
                <w:sz w:val="16"/>
                <w:szCs w:val="16"/>
              </w:rPr>
              <w:t>(2,064)</w:t>
            </w:r>
          </w:p>
        </w:tc>
        <w:tc>
          <w:tcPr>
            <w:tcW w:w="0" w:type="auto"/>
            <w:shd w:val="clear" w:color="auto" w:fill="FFFFFF"/>
            <w:tcMar>
              <w:top w:w="30" w:type="dxa"/>
              <w:left w:w="0" w:type="dxa"/>
              <w:bottom w:w="30" w:type="dxa"/>
              <w:right w:w="20" w:type="dxa"/>
            </w:tcMar>
            <w:vAlign w:val="center"/>
            <w:hideMark/>
          </w:tcPr>
          <w:p w14:paraId="290EBEB1" w14:textId="77777777" w:rsidR="00000000" w:rsidRDefault="00A173A8">
            <w:pPr>
              <w:spacing w:after="100"/>
              <w:jc w:val="right"/>
              <w:rPr>
                <w:rFonts w:eastAsia="Times New Roman"/>
              </w:rPr>
            </w:pPr>
          </w:p>
        </w:tc>
      </w:tr>
      <w:tr w:rsidR="00000000" w14:paraId="4AB43B29" w14:textId="77777777">
        <w:trPr>
          <w:divId w:val="488981052"/>
        </w:trPr>
        <w:tc>
          <w:tcPr>
            <w:tcW w:w="0" w:type="auto"/>
            <w:gridSpan w:val="3"/>
            <w:shd w:val="clear" w:color="auto" w:fill="CCEEFF"/>
            <w:tcMar>
              <w:top w:w="30" w:type="dxa"/>
              <w:left w:w="20" w:type="dxa"/>
              <w:bottom w:w="30" w:type="dxa"/>
              <w:right w:w="20" w:type="dxa"/>
            </w:tcMar>
            <w:vAlign w:val="center"/>
            <w:hideMark/>
          </w:tcPr>
          <w:p w14:paraId="2D7712EC" w14:textId="77777777" w:rsidR="00000000" w:rsidRDefault="00A173A8">
            <w:pPr>
              <w:spacing w:after="100"/>
              <w:divId w:val="1947273393"/>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4C1DA82C"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981E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89D75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17A6B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644A9F"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8F84D0" w14:textId="77777777" w:rsidR="00000000" w:rsidRDefault="00A173A8">
            <w:pPr>
              <w:spacing w:after="100"/>
              <w:jc w:val="right"/>
              <w:rPr>
                <w:rFonts w:eastAsia="Times New Roman"/>
              </w:rPr>
            </w:pPr>
            <w:r>
              <w:rPr>
                <w:rFonts w:eastAsia="Times New Roman"/>
                <w:color w:val="000000"/>
                <w:sz w:val="16"/>
                <w:szCs w:val="16"/>
              </w:rPr>
              <w:t>18,408 </w:t>
            </w:r>
          </w:p>
        </w:tc>
        <w:tc>
          <w:tcPr>
            <w:tcW w:w="0" w:type="auto"/>
            <w:shd w:val="clear" w:color="auto" w:fill="CCEEFF"/>
            <w:tcMar>
              <w:top w:w="30" w:type="dxa"/>
              <w:left w:w="0" w:type="dxa"/>
              <w:bottom w:w="30" w:type="dxa"/>
              <w:right w:w="20" w:type="dxa"/>
            </w:tcMar>
            <w:vAlign w:val="center"/>
            <w:hideMark/>
          </w:tcPr>
          <w:p w14:paraId="00E6EB3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DB6E8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2C3C69"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421667C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7284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F06150" w14:textId="77777777" w:rsidR="00000000" w:rsidRDefault="00A173A8">
            <w:pPr>
              <w:spacing w:after="100"/>
              <w:jc w:val="right"/>
              <w:rPr>
                <w:rFonts w:eastAsia="Times New Roman"/>
              </w:rPr>
            </w:pPr>
            <w:r>
              <w:rPr>
                <w:rFonts w:eastAsia="Times New Roman"/>
                <w:color w:val="000000"/>
                <w:sz w:val="16"/>
                <w:szCs w:val="16"/>
              </w:rPr>
              <w:t>2 </w:t>
            </w:r>
          </w:p>
        </w:tc>
        <w:tc>
          <w:tcPr>
            <w:tcW w:w="0" w:type="auto"/>
            <w:shd w:val="clear" w:color="auto" w:fill="CCEEFF"/>
            <w:tcMar>
              <w:top w:w="30" w:type="dxa"/>
              <w:left w:w="0" w:type="dxa"/>
              <w:bottom w:w="30" w:type="dxa"/>
              <w:right w:w="20" w:type="dxa"/>
            </w:tcMar>
            <w:vAlign w:val="center"/>
            <w:hideMark/>
          </w:tcPr>
          <w:p w14:paraId="2DD2254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ED38A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A38EC0" w14:textId="77777777" w:rsidR="00000000" w:rsidRDefault="00A173A8">
            <w:pPr>
              <w:spacing w:after="100"/>
              <w:jc w:val="right"/>
              <w:rPr>
                <w:rFonts w:eastAsia="Times New Roman"/>
              </w:rPr>
            </w:pPr>
            <w:r>
              <w:rPr>
                <w:rFonts w:eastAsia="Times New Roman"/>
                <w:color w:val="000000"/>
                <w:sz w:val="16"/>
                <w:szCs w:val="16"/>
              </w:rPr>
              <w:t>(253)</w:t>
            </w:r>
          </w:p>
        </w:tc>
        <w:tc>
          <w:tcPr>
            <w:tcW w:w="0" w:type="auto"/>
            <w:shd w:val="clear" w:color="auto" w:fill="CCEEFF"/>
            <w:tcMar>
              <w:top w:w="30" w:type="dxa"/>
              <w:left w:w="0" w:type="dxa"/>
              <w:bottom w:w="30" w:type="dxa"/>
              <w:right w:w="20" w:type="dxa"/>
            </w:tcMar>
            <w:vAlign w:val="center"/>
            <w:hideMark/>
          </w:tcPr>
          <w:p w14:paraId="01A8303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DBCD7"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52534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52BC7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14798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86B2D0"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86CB21" w14:textId="77777777" w:rsidR="00000000" w:rsidRDefault="00A173A8">
            <w:pPr>
              <w:spacing w:after="100"/>
              <w:jc w:val="right"/>
              <w:rPr>
                <w:rFonts w:eastAsia="Times New Roman"/>
              </w:rPr>
            </w:pPr>
            <w:r>
              <w:rPr>
                <w:rFonts w:eastAsia="Times New Roman"/>
                <w:color w:val="000000"/>
                <w:sz w:val="16"/>
                <w:szCs w:val="16"/>
              </w:rPr>
              <w:t>(251)</w:t>
            </w:r>
          </w:p>
        </w:tc>
        <w:tc>
          <w:tcPr>
            <w:tcW w:w="0" w:type="auto"/>
            <w:shd w:val="clear" w:color="auto" w:fill="CCEEFF"/>
            <w:tcMar>
              <w:top w:w="30" w:type="dxa"/>
              <w:left w:w="0" w:type="dxa"/>
              <w:bottom w:w="30" w:type="dxa"/>
              <w:right w:w="20" w:type="dxa"/>
            </w:tcMar>
            <w:vAlign w:val="center"/>
            <w:hideMark/>
          </w:tcPr>
          <w:p w14:paraId="7B2B6450" w14:textId="77777777" w:rsidR="00000000" w:rsidRDefault="00A173A8">
            <w:pPr>
              <w:spacing w:after="100"/>
              <w:jc w:val="right"/>
              <w:rPr>
                <w:rFonts w:eastAsia="Times New Roman"/>
              </w:rPr>
            </w:pPr>
          </w:p>
        </w:tc>
      </w:tr>
      <w:tr w:rsidR="00000000" w14:paraId="4D138992" w14:textId="77777777">
        <w:trPr>
          <w:divId w:val="488981052"/>
        </w:trPr>
        <w:tc>
          <w:tcPr>
            <w:tcW w:w="0" w:type="auto"/>
            <w:gridSpan w:val="3"/>
            <w:shd w:val="clear" w:color="auto" w:fill="FFFFFF"/>
            <w:tcMar>
              <w:top w:w="30" w:type="dxa"/>
              <w:left w:w="20" w:type="dxa"/>
              <w:bottom w:w="30" w:type="dxa"/>
              <w:right w:w="20" w:type="dxa"/>
            </w:tcMar>
            <w:vAlign w:val="center"/>
            <w:hideMark/>
          </w:tcPr>
          <w:p w14:paraId="7F4E7586" w14:textId="77777777" w:rsidR="00000000" w:rsidRDefault="00A173A8">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14:paraId="7FFF8984"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B864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6A952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E9BB3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BFD49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4C8E9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07CF0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9D9CD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972D3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AE5E8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6D9998"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AA1E4E" w14:textId="77777777" w:rsidR="00000000" w:rsidRDefault="00A173A8">
            <w:pPr>
              <w:spacing w:after="100"/>
              <w:jc w:val="right"/>
              <w:rPr>
                <w:rFonts w:eastAsia="Times New Roman"/>
              </w:rPr>
            </w:pPr>
            <w:r>
              <w:rPr>
                <w:rFonts w:eastAsia="Times New Roman"/>
                <w:color w:val="000000"/>
                <w:sz w:val="16"/>
                <w:szCs w:val="16"/>
              </w:rPr>
              <w:t>(57)</w:t>
            </w:r>
          </w:p>
        </w:tc>
        <w:tc>
          <w:tcPr>
            <w:tcW w:w="0" w:type="auto"/>
            <w:shd w:val="clear" w:color="auto" w:fill="FFFFFF"/>
            <w:tcMar>
              <w:top w:w="30" w:type="dxa"/>
              <w:left w:w="0" w:type="dxa"/>
              <w:bottom w:w="30" w:type="dxa"/>
              <w:right w:w="20" w:type="dxa"/>
            </w:tcMar>
            <w:vAlign w:val="center"/>
            <w:hideMark/>
          </w:tcPr>
          <w:p w14:paraId="5859781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1F24F"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99B19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3FCA0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370B7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C0D882"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3ED71C" w14:textId="77777777" w:rsidR="00000000" w:rsidRDefault="00A173A8">
            <w:pPr>
              <w:spacing w:after="100"/>
              <w:jc w:val="right"/>
              <w:rPr>
                <w:rFonts w:eastAsia="Times New Roman"/>
              </w:rPr>
            </w:pPr>
            <w:r>
              <w:rPr>
                <w:rFonts w:eastAsia="Times New Roman"/>
                <w:color w:val="000000"/>
                <w:sz w:val="16"/>
                <w:szCs w:val="16"/>
              </w:rPr>
              <w:t>(57)</w:t>
            </w:r>
          </w:p>
        </w:tc>
        <w:tc>
          <w:tcPr>
            <w:tcW w:w="0" w:type="auto"/>
            <w:shd w:val="clear" w:color="auto" w:fill="FFFFFF"/>
            <w:tcMar>
              <w:top w:w="30" w:type="dxa"/>
              <w:left w:w="0" w:type="dxa"/>
              <w:bottom w:w="30" w:type="dxa"/>
              <w:right w:w="20" w:type="dxa"/>
            </w:tcMar>
            <w:vAlign w:val="center"/>
            <w:hideMark/>
          </w:tcPr>
          <w:p w14:paraId="1CCF0585" w14:textId="77777777" w:rsidR="00000000" w:rsidRDefault="00A173A8">
            <w:pPr>
              <w:spacing w:after="100"/>
              <w:jc w:val="right"/>
              <w:rPr>
                <w:rFonts w:eastAsia="Times New Roman"/>
              </w:rPr>
            </w:pPr>
          </w:p>
        </w:tc>
      </w:tr>
      <w:tr w:rsidR="00000000" w14:paraId="2D5B030F" w14:textId="77777777">
        <w:trPr>
          <w:divId w:val="488981052"/>
        </w:trPr>
        <w:tc>
          <w:tcPr>
            <w:tcW w:w="0" w:type="auto"/>
            <w:gridSpan w:val="3"/>
            <w:shd w:val="clear" w:color="auto" w:fill="CCEEFF"/>
            <w:tcMar>
              <w:top w:w="30" w:type="dxa"/>
              <w:left w:w="20" w:type="dxa"/>
              <w:bottom w:w="30" w:type="dxa"/>
              <w:right w:w="20" w:type="dxa"/>
            </w:tcMar>
            <w:vAlign w:val="center"/>
            <w:hideMark/>
          </w:tcPr>
          <w:p w14:paraId="0191971C" w14:textId="77777777" w:rsidR="00000000" w:rsidRDefault="00A173A8">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495EC452"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9E4BA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C8AD5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ADD4F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D0E2B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96B3F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81EB2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26553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A0CF7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44CF7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D7048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D4BCA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55385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5E4E5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F16F46"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46A552" w14:textId="77777777" w:rsidR="00000000" w:rsidRDefault="00A173A8">
            <w:pPr>
              <w:spacing w:after="100"/>
              <w:jc w:val="right"/>
              <w:rPr>
                <w:rFonts w:eastAsia="Times New Roman"/>
              </w:rPr>
            </w:pPr>
            <w:r>
              <w:rPr>
                <w:rFonts w:eastAsia="Times New Roman"/>
                <w:color w:val="000000"/>
                <w:sz w:val="16"/>
                <w:szCs w:val="16"/>
              </w:rPr>
              <w:t>(2,484)</w:t>
            </w:r>
          </w:p>
        </w:tc>
        <w:tc>
          <w:tcPr>
            <w:tcW w:w="0" w:type="auto"/>
            <w:shd w:val="clear" w:color="auto" w:fill="CCEEFF"/>
            <w:tcMar>
              <w:top w:w="30" w:type="dxa"/>
              <w:left w:w="0" w:type="dxa"/>
              <w:bottom w:w="30" w:type="dxa"/>
              <w:right w:w="20" w:type="dxa"/>
            </w:tcMar>
            <w:vAlign w:val="center"/>
            <w:hideMark/>
          </w:tcPr>
          <w:p w14:paraId="054133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8E14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C6C991" w14:textId="77777777" w:rsidR="00000000" w:rsidRDefault="00A173A8">
            <w:pPr>
              <w:spacing w:after="100"/>
              <w:jc w:val="right"/>
              <w:rPr>
                <w:rFonts w:eastAsia="Times New Roman"/>
              </w:rPr>
            </w:pPr>
            <w:r>
              <w:rPr>
                <w:rFonts w:eastAsia="Times New Roman"/>
                <w:color w:val="000000"/>
                <w:sz w:val="16"/>
                <w:szCs w:val="16"/>
              </w:rPr>
              <w:t>(2,484)</w:t>
            </w:r>
          </w:p>
        </w:tc>
        <w:tc>
          <w:tcPr>
            <w:tcW w:w="0" w:type="auto"/>
            <w:shd w:val="clear" w:color="auto" w:fill="CCEEFF"/>
            <w:tcMar>
              <w:top w:w="30" w:type="dxa"/>
              <w:left w:w="0" w:type="dxa"/>
              <w:bottom w:w="30" w:type="dxa"/>
              <w:right w:w="20" w:type="dxa"/>
            </w:tcMar>
            <w:vAlign w:val="center"/>
            <w:hideMark/>
          </w:tcPr>
          <w:p w14:paraId="1A2F8DAE" w14:textId="77777777" w:rsidR="00000000" w:rsidRDefault="00A173A8">
            <w:pPr>
              <w:spacing w:after="100"/>
              <w:jc w:val="right"/>
              <w:rPr>
                <w:rFonts w:eastAsia="Times New Roman"/>
              </w:rPr>
            </w:pPr>
          </w:p>
        </w:tc>
      </w:tr>
      <w:tr w:rsidR="00000000" w14:paraId="7DC05CF7" w14:textId="77777777">
        <w:trPr>
          <w:divId w:val="488981052"/>
        </w:trPr>
        <w:tc>
          <w:tcPr>
            <w:tcW w:w="0" w:type="auto"/>
            <w:gridSpan w:val="3"/>
            <w:shd w:val="clear" w:color="auto" w:fill="FFFFFF"/>
            <w:tcMar>
              <w:top w:w="30" w:type="dxa"/>
              <w:left w:w="20" w:type="dxa"/>
              <w:bottom w:w="30" w:type="dxa"/>
              <w:right w:w="20" w:type="dxa"/>
            </w:tcMar>
            <w:vAlign w:val="center"/>
            <w:hideMark/>
          </w:tcPr>
          <w:p w14:paraId="17912ECB" w14:textId="77777777" w:rsidR="00000000" w:rsidRDefault="00A173A8">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14:paraId="37BCDB24"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2FD32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C4B8F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F9ADB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8AC762"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0FDC62" w14:textId="77777777" w:rsidR="00000000" w:rsidRDefault="00A173A8">
            <w:pPr>
              <w:spacing w:after="100"/>
              <w:jc w:val="right"/>
              <w:rPr>
                <w:rFonts w:eastAsia="Times New Roman"/>
              </w:rPr>
            </w:pPr>
            <w:r>
              <w:rPr>
                <w:rFonts w:eastAsia="Times New Roman"/>
                <w:color w:val="000000"/>
                <w:sz w:val="16"/>
                <w:szCs w:val="16"/>
              </w:rPr>
              <w:t>2,517,691 </w:t>
            </w:r>
          </w:p>
        </w:tc>
        <w:tc>
          <w:tcPr>
            <w:tcW w:w="0" w:type="auto"/>
            <w:shd w:val="clear" w:color="auto" w:fill="FFFFFF"/>
            <w:tcMar>
              <w:top w:w="30" w:type="dxa"/>
              <w:left w:w="0" w:type="dxa"/>
              <w:bottom w:w="30" w:type="dxa"/>
              <w:right w:w="20" w:type="dxa"/>
            </w:tcMar>
            <w:vAlign w:val="bottom"/>
            <w:hideMark/>
          </w:tcPr>
          <w:p w14:paraId="3886770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09F0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30DF4D"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59F363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2C51B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727A7" w14:textId="77777777" w:rsidR="00000000" w:rsidRDefault="00A173A8">
            <w:pPr>
              <w:spacing w:after="100"/>
              <w:jc w:val="right"/>
              <w:rPr>
                <w:rFonts w:eastAsia="Times New Roman"/>
              </w:rPr>
            </w:pPr>
            <w:r>
              <w:rPr>
                <w:rFonts w:eastAsia="Times New Roman"/>
                <w:color w:val="000000"/>
                <w:sz w:val="16"/>
                <w:szCs w:val="16"/>
              </w:rPr>
              <w:t>68 </w:t>
            </w:r>
          </w:p>
        </w:tc>
        <w:tc>
          <w:tcPr>
            <w:tcW w:w="0" w:type="auto"/>
            <w:shd w:val="clear" w:color="auto" w:fill="FFFFFF"/>
            <w:tcMar>
              <w:top w:w="30" w:type="dxa"/>
              <w:left w:w="0" w:type="dxa"/>
              <w:bottom w:w="30" w:type="dxa"/>
              <w:right w:w="20" w:type="dxa"/>
            </w:tcMar>
            <w:vAlign w:val="bottom"/>
            <w:hideMark/>
          </w:tcPr>
          <w:p w14:paraId="18C9138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FEDE0F"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99D23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238AD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92066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0BEB3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4B825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D4D40B"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D794EC" w14:textId="77777777" w:rsidR="00000000" w:rsidRDefault="00A173A8">
            <w:pPr>
              <w:spacing w:after="100"/>
              <w:jc w:val="right"/>
              <w:rPr>
                <w:rFonts w:eastAsia="Times New Roman"/>
              </w:rPr>
            </w:pPr>
            <w:r>
              <w:rPr>
                <w:rFonts w:eastAsia="Times New Roman"/>
                <w:color w:val="000000"/>
                <w:sz w:val="16"/>
                <w:szCs w:val="16"/>
              </w:rPr>
              <w:t>68 </w:t>
            </w:r>
          </w:p>
        </w:tc>
        <w:tc>
          <w:tcPr>
            <w:tcW w:w="0" w:type="auto"/>
            <w:shd w:val="clear" w:color="auto" w:fill="FFFFFF"/>
            <w:tcMar>
              <w:top w:w="30" w:type="dxa"/>
              <w:left w:w="0" w:type="dxa"/>
              <w:bottom w:w="30" w:type="dxa"/>
              <w:right w:w="20" w:type="dxa"/>
            </w:tcMar>
            <w:vAlign w:val="bottom"/>
            <w:hideMark/>
          </w:tcPr>
          <w:p w14:paraId="7E78DCED" w14:textId="77777777" w:rsidR="00000000" w:rsidRDefault="00A173A8">
            <w:pPr>
              <w:spacing w:after="100"/>
              <w:jc w:val="right"/>
              <w:rPr>
                <w:rFonts w:eastAsia="Times New Roman"/>
              </w:rPr>
            </w:pPr>
          </w:p>
        </w:tc>
      </w:tr>
      <w:tr w:rsidR="00000000" w14:paraId="22AEE46F" w14:textId="77777777">
        <w:trPr>
          <w:divId w:val="488981052"/>
        </w:trPr>
        <w:tc>
          <w:tcPr>
            <w:tcW w:w="0" w:type="auto"/>
            <w:gridSpan w:val="3"/>
            <w:shd w:val="clear" w:color="auto" w:fill="CCEEFF"/>
            <w:tcMar>
              <w:top w:w="30" w:type="dxa"/>
              <w:left w:w="20" w:type="dxa"/>
              <w:bottom w:w="30" w:type="dxa"/>
              <w:right w:w="20" w:type="dxa"/>
            </w:tcMar>
            <w:vAlign w:val="center"/>
            <w:hideMark/>
          </w:tcPr>
          <w:p w14:paraId="57BB6D16" w14:textId="77777777" w:rsidR="00000000" w:rsidRDefault="00A173A8">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14:paraId="4C54BA7C"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30A8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38A57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30320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FB0231"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8FE3A0" w14:textId="77777777" w:rsidR="00000000" w:rsidRDefault="00A173A8">
            <w:pPr>
              <w:spacing w:after="100"/>
              <w:jc w:val="right"/>
              <w:rPr>
                <w:rFonts w:eastAsia="Times New Roman"/>
              </w:rPr>
            </w:pPr>
            <w:r>
              <w:rPr>
                <w:rFonts w:eastAsia="Times New Roman"/>
                <w:color w:val="000000"/>
                <w:sz w:val="16"/>
                <w:szCs w:val="16"/>
              </w:rPr>
              <w:t>7,809 </w:t>
            </w:r>
          </w:p>
        </w:tc>
        <w:tc>
          <w:tcPr>
            <w:tcW w:w="0" w:type="auto"/>
            <w:shd w:val="clear" w:color="auto" w:fill="CCEEFF"/>
            <w:tcMar>
              <w:top w:w="30" w:type="dxa"/>
              <w:left w:w="0" w:type="dxa"/>
              <w:bottom w:w="30" w:type="dxa"/>
              <w:right w:w="20" w:type="dxa"/>
            </w:tcMar>
            <w:vAlign w:val="center"/>
            <w:hideMark/>
          </w:tcPr>
          <w:p w14:paraId="791C321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A625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5B7043"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64EE66D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C68A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769B25" w14:textId="77777777" w:rsidR="00000000" w:rsidRDefault="00A173A8">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14:paraId="312A85D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CD003"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A4CD3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60C34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30DCB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8FB1A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9FC38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1C62FC"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0E5B0D" w14:textId="77777777" w:rsidR="00000000" w:rsidRDefault="00A173A8">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14:paraId="2FC7E527" w14:textId="77777777" w:rsidR="00000000" w:rsidRDefault="00A173A8">
            <w:pPr>
              <w:spacing w:after="100"/>
              <w:jc w:val="right"/>
              <w:rPr>
                <w:rFonts w:eastAsia="Times New Roman"/>
              </w:rPr>
            </w:pPr>
          </w:p>
        </w:tc>
      </w:tr>
      <w:tr w:rsidR="00000000" w14:paraId="49AFC9F1" w14:textId="77777777">
        <w:trPr>
          <w:divId w:val="488981052"/>
        </w:trPr>
        <w:tc>
          <w:tcPr>
            <w:tcW w:w="0" w:type="auto"/>
            <w:gridSpan w:val="3"/>
            <w:vAlign w:val="center"/>
            <w:hideMark/>
          </w:tcPr>
          <w:p w14:paraId="2A7E32F1" w14:textId="77777777" w:rsidR="00000000" w:rsidRDefault="00A173A8">
            <w:pPr>
              <w:spacing w:after="100"/>
              <w:jc w:val="right"/>
              <w:rPr>
                <w:rFonts w:eastAsia="Times New Roman"/>
                <w:sz w:val="20"/>
                <w:szCs w:val="20"/>
              </w:rPr>
            </w:pPr>
          </w:p>
        </w:tc>
        <w:tc>
          <w:tcPr>
            <w:tcW w:w="0" w:type="auto"/>
            <w:gridSpan w:val="3"/>
            <w:vAlign w:val="center"/>
            <w:hideMark/>
          </w:tcPr>
          <w:p w14:paraId="46751F5E" w14:textId="77777777" w:rsidR="00000000" w:rsidRDefault="00A173A8">
            <w:pPr>
              <w:spacing w:after="100"/>
              <w:rPr>
                <w:rFonts w:eastAsia="Times New Roman"/>
                <w:sz w:val="20"/>
                <w:szCs w:val="20"/>
              </w:rPr>
            </w:pPr>
          </w:p>
        </w:tc>
        <w:tc>
          <w:tcPr>
            <w:tcW w:w="0" w:type="auto"/>
            <w:gridSpan w:val="3"/>
            <w:vAlign w:val="center"/>
            <w:hideMark/>
          </w:tcPr>
          <w:p w14:paraId="16412E7F" w14:textId="77777777" w:rsidR="00000000" w:rsidRDefault="00A173A8">
            <w:pPr>
              <w:spacing w:after="100"/>
              <w:rPr>
                <w:rFonts w:eastAsia="Times New Roman"/>
                <w:sz w:val="20"/>
                <w:szCs w:val="20"/>
              </w:rPr>
            </w:pPr>
          </w:p>
        </w:tc>
        <w:tc>
          <w:tcPr>
            <w:tcW w:w="0" w:type="auto"/>
            <w:gridSpan w:val="3"/>
            <w:vAlign w:val="center"/>
            <w:hideMark/>
          </w:tcPr>
          <w:p w14:paraId="5DA16D57" w14:textId="77777777" w:rsidR="00000000" w:rsidRDefault="00A173A8">
            <w:pPr>
              <w:spacing w:after="100"/>
              <w:rPr>
                <w:rFonts w:eastAsia="Times New Roman"/>
                <w:sz w:val="20"/>
                <w:szCs w:val="20"/>
              </w:rPr>
            </w:pPr>
          </w:p>
        </w:tc>
        <w:tc>
          <w:tcPr>
            <w:tcW w:w="0" w:type="auto"/>
            <w:gridSpan w:val="3"/>
            <w:vAlign w:val="center"/>
            <w:hideMark/>
          </w:tcPr>
          <w:p w14:paraId="14EC8D15" w14:textId="77777777" w:rsidR="00000000" w:rsidRDefault="00A173A8">
            <w:pPr>
              <w:spacing w:after="100"/>
              <w:rPr>
                <w:rFonts w:eastAsia="Times New Roman"/>
                <w:sz w:val="20"/>
                <w:szCs w:val="20"/>
              </w:rPr>
            </w:pPr>
          </w:p>
        </w:tc>
        <w:tc>
          <w:tcPr>
            <w:tcW w:w="0" w:type="auto"/>
            <w:gridSpan w:val="3"/>
            <w:vAlign w:val="center"/>
            <w:hideMark/>
          </w:tcPr>
          <w:p w14:paraId="51ED1660" w14:textId="77777777" w:rsidR="00000000" w:rsidRDefault="00A173A8">
            <w:pPr>
              <w:spacing w:after="100"/>
              <w:rPr>
                <w:rFonts w:eastAsia="Times New Roman"/>
                <w:sz w:val="20"/>
                <w:szCs w:val="20"/>
              </w:rPr>
            </w:pPr>
          </w:p>
        </w:tc>
        <w:tc>
          <w:tcPr>
            <w:tcW w:w="0" w:type="auto"/>
            <w:gridSpan w:val="3"/>
            <w:vAlign w:val="center"/>
            <w:hideMark/>
          </w:tcPr>
          <w:p w14:paraId="0F80401D" w14:textId="77777777" w:rsidR="00000000" w:rsidRDefault="00A173A8">
            <w:pPr>
              <w:spacing w:after="100"/>
              <w:rPr>
                <w:rFonts w:eastAsia="Times New Roman"/>
                <w:sz w:val="20"/>
                <w:szCs w:val="20"/>
              </w:rPr>
            </w:pPr>
          </w:p>
        </w:tc>
        <w:tc>
          <w:tcPr>
            <w:tcW w:w="0" w:type="auto"/>
            <w:gridSpan w:val="3"/>
            <w:vAlign w:val="center"/>
            <w:hideMark/>
          </w:tcPr>
          <w:p w14:paraId="462846D7" w14:textId="77777777" w:rsidR="00000000" w:rsidRDefault="00A173A8">
            <w:pPr>
              <w:spacing w:after="100"/>
              <w:rPr>
                <w:rFonts w:eastAsia="Times New Roman"/>
                <w:sz w:val="20"/>
                <w:szCs w:val="20"/>
              </w:rPr>
            </w:pPr>
          </w:p>
        </w:tc>
        <w:tc>
          <w:tcPr>
            <w:tcW w:w="0" w:type="auto"/>
            <w:gridSpan w:val="3"/>
            <w:vAlign w:val="center"/>
            <w:hideMark/>
          </w:tcPr>
          <w:p w14:paraId="123289B0" w14:textId="77777777" w:rsidR="00000000" w:rsidRDefault="00A173A8">
            <w:pPr>
              <w:spacing w:after="100"/>
              <w:rPr>
                <w:rFonts w:eastAsia="Times New Roman"/>
                <w:sz w:val="20"/>
                <w:szCs w:val="20"/>
              </w:rPr>
            </w:pPr>
          </w:p>
        </w:tc>
        <w:tc>
          <w:tcPr>
            <w:tcW w:w="0" w:type="auto"/>
            <w:gridSpan w:val="3"/>
            <w:vAlign w:val="center"/>
            <w:hideMark/>
          </w:tcPr>
          <w:p w14:paraId="37D8E7C6" w14:textId="77777777" w:rsidR="00000000" w:rsidRDefault="00A173A8">
            <w:pPr>
              <w:spacing w:after="100"/>
              <w:rPr>
                <w:rFonts w:eastAsia="Times New Roman"/>
                <w:sz w:val="20"/>
                <w:szCs w:val="20"/>
              </w:rPr>
            </w:pPr>
          </w:p>
        </w:tc>
        <w:tc>
          <w:tcPr>
            <w:tcW w:w="0" w:type="auto"/>
            <w:gridSpan w:val="3"/>
            <w:vAlign w:val="center"/>
            <w:hideMark/>
          </w:tcPr>
          <w:p w14:paraId="174071AC" w14:textId="77777777" w:rsidR="00000000" w:rsidRDefault="00A173A8">
            <w:pPr>
              <w:spacing w:after="100"/>
              <w:rPr>
                <w:rFonts w:eastAsia="Times New Roman"/>
                <w:sz w:val="20"/>
                <w:szCs w:val="20"/>
              </w:rPr>
            </w:pPr>
          </w:p>
        </w:tc>
        <w:tc>
          <w:tcPr>
            <w:tcW w:w="0" w:type="auto"/>
            <w:gridSpan w:val="3"/>
            <w:vAlign w:val="center"/>
            <w:hideMark/>
          </w:tcPr>
          <w:p w14:paraId="1E5585B0" w14:textId="77777777" w:rsidR="00000000" w:rsidRDefault="00A173A8">
            <w:pPr>
              <w:spacing w:after="100"/>
              <w:rPr>
                <w:rFonts w:eastAsia="Times New Roman"/>
                <w:sz w:val="20"/>
                <w:szCs w:val="20"/>
              </w:rPr>
            </w:pPr>
          </w:p>
        </w:tc>
        <w:tc>
          <w:tcPr>
            <w:tcW w:w="0" w:type="auto"/>
            <w:gridSpan w:val="3"/>
            <w:vAlign w:val="center"/>
            <w:hideMark/>
          </w:tcPr>
          <w:p w14:paraId="51F67F3D" w14:textId="77777777" w:rsidR="00000000" w:rsidRDefault="00A173A8">
            <w:pPr>
              <w:spacing w:after="100"/>
              <w:rPr>
                <w:rFonts w:eastAsia="Times New Roman"/>
                <w:sz w:val="20"/>
                <w:szCs w:val="20"/>
              </w:rPr>
            </w:pPr>
          </w:p>
        </w:tc>
        <w:tc>
          <w:tcPr>
            <w:tcW w:w="0" w:type="auto"/>
            <w:gridSpan w:val="3"/>
            <w:vAlign w:val="center"/>
            <w:hideMark/>
          </w:tcPr>
          <w:p w14:paraId="787C19E1" w14:textId="77777777" w:rsidR="00000000" w:rsidRDefault="00A173A8">
            <w:pPr>
              <w:spacing w:after="100"/>
              <w:rPr>
                <w:rFonts w:eastAsia="Times New Roman"/>
                <w:sz w:val="20"/>
                <w:szCs w:val="20"/>
              </w:rPr>
            </w:pPr>
          </w:p>
        </w:tc>
        <w:tc>
          <w:tcPr>
            <w:tcW w:w="0" w:type="auto"/>
            <w:gridSpan w:val="3"/>
            <w:vAlign w:val="center"/>
            <w:hideMark/>
          </w:tcPr>
          <w:p w14:paraId="4BF9BAF5" w14:textId="77777777" w:rsidR="00000000" w:rsidRDefault="00A173A8">
            <w:pPr>
              <w:spacing w:after="100"/>
              <w:rPr>
                <w:rFonts w:eastAsia="Times New Roman"/>
                <w:sz w:val="20"/>
                <w:szCs w:val="20"/>
              </w:rPr>
            </w:pPr>
          </w:p>
        </w:tc>
        <w:tc>
          <w:tcPr>
            <w:tcW w:w="0" w:type="auto"/>
            <w:gridSpan w:val="3"/>
            <w:vAlign w:val="center"/>
            <w:hideMark/>
          </w:tcPr>
          <w:p w14:paraId="46862A56" w14:textId="77777777" w:rsidR="00000000" w:rsidRDefault="00A173A8">
            <w:pPr>
              <w:spacing w:after="100"/>
              <w:rPr>
                <w:rFonts w:eastAsia="Times New Roman"/>
                <w:sz w:val="20"/>
                <w:szCs w:val="20"/>
              </w:rPr>
            </w:pPr>
          </w:p>
        </w:tc>
        <w:tc>
          <w:tcPr>
            <w:tcW w:w="0" w:type="auto"/>
            <w:gridSpan w:val="3"/>
            <w:vAlign w:val="center"/>
            <w:hideMark/>
          </w:tcPr>
          <w:p w14:paraId="2412FD36" w14:textId="77777777" w:rsidR="00000000" w:rsidRDefault="00A173A8">
            <w:pPr>
              <w:spacing w:after="100"/>
              <w:rPr>
                <w:rFonts w:eastAsia="Times New Roman"/>
                <w:sz w:val="20"/>
                <w:szCs w:val="20"/>
              </w:rPr>
            </w:pPr>
          </w:p>
        </w:tc>
        <w:tc>
          <w:tcPr>
            <w:tcW w:w="0" w:type="auto"/>
            <w:gridSpan w:val="3"/>
            <w:vAlign w:val="center"/>
            <w:hideMark/>
          </w:tcPr>
          <w:p w14:paraId="0788BD8A" w14:textId="77777777" w:rsidR="00000000" w:rsidRDefault="00A173A8">
            <w:pPr>
              <w:spacing w:after="100"/>
              <w:rPr>
                <w:rFonts w:eastAsia="Times New Roman"/>
                <w:sz w:val="20"/>
                <w:szCs w:val="20"/>
              </w:rPr>
            </w:pPr>
          </w:p>
        </w:tc>
        <w:tc>
          <w:tcPr>
            <w:tcW w:w="0" w:type="auto"/>
            <w:gridSpan w:val="3"/>
            <w:vAlign w:val="center"/>
            <w:hideMark/>
          </w:tcPr>
          <w:p w14:paraId="23DBFE19" w14:textId="77777777" w:rsidR="00000000" w:rsidRDefault="00A173A8">
            <w:pPr>
              <w:spacing w:after="100"/>
              <w:rPr>
                <w:rFonts w:eastAsia="Times New Roman"/>
                <w:sz w:val="20"/>
                <w:szCs w:val="20"/>
              </w:rPr>
            </w:pPr>
          </w:p>
        </w:tc>
      </w:tr>
      <w:tr w:rsidR="00000000" w14:paraId="3714C6D6" w14:textId="77777777">
        <w:trPr>
          <w:divId w:val="488981052"/>
        </w:trPr>
        <w:tc>
          <w:tcPr>
            <w:tcW w:w="0" w:type="auto"/>
            <w:gridSpan w:val="3"/>
            <w:shd w:val="clear" w:color="auto" w:fill="FFFFFF"/>
            <w:tcMar>
              <w:top w:w="30" w:type="dxa"/>
              <w:left w:w="20" w:type="dxa"/>
              <w:bottom w:w="30" w:type="dxa"/>
              <w:right w:w="20" w:type="dxa"/>
            </w:tcMar>
            <w:vAlign w:val="center"/>
            <w:hideMark/>
          </w:tcPr>
          <w:p w14:paraId="77E2F99D" w14:textId="77777777" w:rsidR="00000000" w:rsidRDefault="00A173A8">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FFFFFF"/>
            <w:tcMar>
              <w:top w:w="0" w:type="dxa"/>
              <w:left w:w="20" w:type="dxa"/>
              <w:bottom w:w="0" w:type="dxa"/>
              <w:right w:w="20" w:type="dxa"/>
            </w:tcMar>
            <w:vAlign w:val="center"/>
            <w:hideMark/>
          </w:tcPr>
          <w:p w14:paraId="598EFEC9"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D13D8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3191E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B7E19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55B24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A3FFD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99C21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B83CB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FEB13F"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E27329" w14:textId="77777777" w:rsidR="00000000" w:rsidRDefault="00A173A8">
            <w:pPr>
              <w:spacing w:after="100"/>
              <w:jc w:val="right"/>
              <w:rPr>
                <w:rFonts w:eastAsia="Times New Roman"/>
              </w:rPr>
            </w:pPr>
            <w:r>
              <w:rPr>
                <w:rFonts w:eastAsia="Times New Roman"/>
                <w:color w:val="000000"/>
                <w:sz w:val="16"/>
                <w:szCs w:val="16"/>
              </w:rPr>
              <w:t>103 </w:t>
            </w:r>
          </w:p>
        </w:tc>
        <w:tc>
          <w:tcPr>
            <w:tcW w:w="0" w:type="auto"/>
            <w:shd w:val="clear" w:color="auto" w:fill="FFFFFF"/>
            <w:tcMar>
              <w:top w:w="30" w:type="dxa"/>
              <w:left w:w="0" w:type="dxa"/>
              <w:bottom w:w="30" w:type="dxa"/>
              <w:right w:w="20" w:type="dxa"/>
            </w:tcMar>
            <w:vAlign w:val="bottom"/>
            <w:hideMark/>
          </w:tcPr>
          <w:p w14:paraId="1A68CB5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4E2545"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F89F4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3777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0B79E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518DF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C0AD0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BAAD06"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8CA3F6" w14:textId="77777777" w:rsidR="00000000" w:rsidRDefault="00A173A8">
            <w:pPr>
              <w:spacing w:after="100"/>
              <w:jc w:val="right"/>
              <w:rPr>
                <w:rFonts w:eastAsia="Times New Roman"/>
              </w:rPr>
            </w:pPr>
            <w:r>
              <w:rPr>
                <w:rFonts w:eastAsia="Times New Roman"/>
                <w:color w:val="000000"/>
                <w:sz w:val="16"/>
                <w:szCs w:val="16"/>
              </w:rPr>
              <w:t>103 </w:t>
            </w:r>
          </w:p>
        </w:tc>
        <w:tc>
          <w:tcPr>
            <w:tcW w:w="0" w:type="auto"/>
            <w:shd w:val="clear" w:color="auto" w:fill="FFFFFF"/>
            <w:tcMar>
              <w:top w:w="30" w:type="dxa"/>
              <w:left w:w="0" w:type="dxa"/>
              <w:bottom w:w="30" w:type="dxa"/>
              <w:right w:w="20" w:type="dxa"/>
            </w:tcMar>
            <w:vAlign w:val="bottom"/>
            <w:hideMark/>
          </w:tcPr>
          <w:p w14:paraId="447AD39B" w14:textId="77777777" w:rsidR="00000000" w:rsidRDefault="00A173A8">
            <w:pPr>
              <w:spacing w:after="100"/>
              <w:jc w:val="right"/>
              <w:rPr>
                <w:rFonts w:eastAsia="Times New Roman"/>
              </w:rPr>
            </w:pPr>
          </w:p>
        </w:tc>
      </w:tr>
      <w:tr w:rsidR="00A173A8" w14:paraId="1C8FAFB2" w14:textId="77777777">
        <w:trPr>
          <w:divId w:val="488981052"/>
        </w:trPr>
        <w:tc>
          <w:tcPr>
            <w:tcW w:w="0" w:type="auto"/>
            <w:gridSpan w:val="3"/>
            <w:shd w:val="clear" w:color="auto" w:fill="CCEEFF"/>
            <w:tcMar>
              <w:top w:w="30" w:type="dxa"/>
              <w:left w:w="20" w:type="dxa"/>
              <w:bottom w:w="30" w:type="dxa"/>
              <w:right w:w="20" w:type="dxa"/>
            </w:tcMar>
            <w:vAlign w:val="center"/>
            <w:hideMark/>
          </w:tcPr>
          <w:p w14:paraId="331CDE4E" w14:textId="77777777" w:rsidR="00000000" w:rsidRDefault="00A173A8">
            <w:pPr>
              <w:spacing w:after="100"/>
              <w:rPr>
                <w:rFonts w:eastAsia="Times New Roman"/>
              </w:rPr>
            </w:pPr>
            <w:r>
              <w:rPr>
                <w:rFonts w:eastAsia="Times New Roman"/>
                <w:b/>
                <w:bCs/>
                <w:color w:val="000000"/>
                <w:sz w:val="16"/>
                <w:szCs w:val="16"/>
              </w:rPr>
              <w:t>Balance as of March 31, 2022</w:t>
            </w:r>
          </w:p>
        </w:tc>
        <w:tc>
          <w:tcPr>
            <w:tcW w:w="0" w:type="auto"/>
            <w:gridSpan w:val="3"/>
            <w:shd w:val="clear" w:color="auto" w:fill="CCEEFF"/>
            <w:tcMar>
              <w:top w:w="0" w:type="dxa"/>
              <w:left w:w="20" w:type="dxa"/>
              <w:bottom w:w="0" w:type="dxa"/>
              <w:right w:w="20" w:type="dxa"/>
            </w:tcMar>
            <w:vAlign w:val="center"/>
            <w:hideMark/>
          </w:tcPr>
          <w:p w14:paraId="758912A6"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9D72FA" w14:textId="77777777" w:rsidR="00000000" w:rsidRDefault="00A173A8">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50A0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21E49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84B470D"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AF1AD08" w14:textId="77777777" w:rsidR="00000000" w:rsidRDefault="00A173A8">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87CBE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A5EEA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0C23E8F" w14:textId="77777777" w:rsidR="00000000" w:rsidRDefault="00A173A8">
            <w:pPr>
              <w:spacing w:after="100"/>
              <w:jc w:val="right"/>
              <w:rPr>
                <w:rFonts w:eastAsia="Times New Roman"/>
              </w:rPr>
            </w:pPr>
            <w:r>
              <w:rPr>
                <w:rFonts w:eastAsia="Times New Roman"/>
                <w:color w:val="000000"/>
                <w:sz w:val="16"/>
                <w:szCs w:val="16"/>
              </w:rPr>
              <w:t>687,601,852 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E6DA6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47A5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0E5C01B"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907B29C" w14:textId="77777777" w:rsidR="00000000" w:rsidRDefault="00A173A8">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5BEC9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0B94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7215AEC"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5A9E00E" w14:textId="77777777" w:rsidR="00000000" w:rsidRDefault="00A173A8">
            <w:pPr>
              <w:spacing w:after="100"/>
              <w:jc w:val="right"/>
              <w:rPr>
                <w:rFonts w:eastAsia="Times New Roman"/>
              </w:rPr>
            </w:pPr>
            <w:r>
              <w:rPr>
                <w:rFonts w:eastAsia="Times New Roman"/>
                <w:color w:val="000000"/>
                <w:sz w:val="16"/>
                <w:szCs w:val="16"/>
              </w:rPr>
              <w:t>34,286 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056E8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CF02E"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646D9B8"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71B4CD8" w14:textId="77777777" w:rsidR="00000000" w:rsidRDefault="00A173A8">
            <w:pPr>
              <w:spacing w:after="100"/>
              <w:jc w:val="right"/>
              <w:rPr>
                <w:rFonts w:eastAsia="Times New Roman"/>
              </w:rPr>
            </w:pPr>
            <w:r>
              <w:rPr>
                <w:rFonts w:eastAsia="Times New Roman"/>
                <w:color w:val="000000"/>
                <w:sz w:val="16"/>
                <w:szCs w:val="16"/>
              </w:rPr>
              <w:t>53,099 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D5FF4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45F41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7B0CA2D"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448FB50" w14:textId="77777777" w:rsidR="00000000" w:rsidRDefault="00A173A8">
            <w:pPr>
              <w:spacing w:after="100"/>
              <w:jc w:val="right"/>
              <w:rPr>
                <w:rFonts w:eastAsia="Times New Roman"/>
              </w:rPr>
            </w:pPr>
            <w:r>
              <w:rPr>
                <w:rFonts w:eastAsia="Times New Roman"/>
                <w:color w:val="000000"/>
                <w:sz w:val="16"/>
                <w:szCs w:val="16"/>
              </w:rPr>
              <w:t>(4,093)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DDF32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C6A0E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6185194"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DFE7E6B" w14:textId="77777777" w:rsidR="00000000" w:rsidRDefault="00A173A8">
            <w:pPr>
              <w:spacing w:after="100"/>
              <w:jc w:val="right"/>
              <w:rPr>
                <w:rFonts w:eastAsia="Times New Roman"/>
              </w:rPr>
            </w:pPr>
            <w:r>
              <w:rPr>
                <w:rFonts w:eastAsia="Times New Roman"/>
                <w:color w:val="000000"/>
                <w:sz w:val="16"/>
                <w:szCs w:val="16"/>
              </w:rPr>
              <w:t>(26,954)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744BF0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1B94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70CA531"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B2A1393" w14:textId="77777777" w:rsidR="00000000" w:rsidRDefault="00A173A8">
            <w:pPr>
              <w:spacing w:after="100"/>
              <w:jc w:val="right"/>
              <w:rPr>
                <w:rFonts w:eastAsia="Times New Roman"/>
              </w:rPr>
            </w:pPr>
            <w:r>
              <w:rPr>
                <w:rFonts w:eastAsia="Times New Roman"/>
                <w:color w:val="000000"/>
                <w:sz w:val="16"/>
                <w:szCs w:val="16"/>
              </w:rPr>
              <w:t>56,345 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3DF93F" w14:textId="77777777" w:rsidR="00000000" w:rsidRDefault="00A173A8">
            <w:pPr>
              <w:spacing w:after="100"/>
              <w:jc w:val="right"/>
              <w:rPr>
                <w:rFonts w:eastAsia="Times New Roman"/>
              </w:rPr>
            </w:pPr>
          </w:p>
        </w:tc>
      </w:tr>
      <w:tr w:rsidR="00000000" w14:paraId="4CF950E0" w14:textId="77777777">
        <w:trPr>
          <w:divId w:val="488981052"/>
        </w:trPr>
        <w:tc>
          <w:tcPr>
            <w:tcW w:w="0" w:type="auto"/>
            <w:gridSpan w:val="3"/>
            <w:vAlign w:val="center"/>
            <w:hideMark/>
          </w:tcPr>
          <w:p w14:paraId="4F53EFEB" w14:textId="77777777" w:rsidR="00000000" w:rsidRDefault="00A173A8">
            <w:pPr>
              <w:spacing w:after="100"/>
              <w:jc w:val="right"/>
              <w:rPr>
                <w:rFonts w:eastAsia="Times New Roman"/>
                <w:sz w:val="20"/>
                <w:szCs w:val="20"/>
              </w:rPr>
            </w:pPr>
          </w:p>
        </w:tc>
        <w:tc>
          <w:tcPr>
            <w:tcW w:w="0" w:type="auto"/>
            <w:gridSpan w:val="3"/>
            <w:vAlign w:val="center"/>
            <w:hideMark/>
          </w:tcPr>
          <w:p w14:paraId="6227E34F" w14:textId="77777777" w:rsidR="00000000" w:rsidRDefault="00A173A8">
            <w:pPr>
              <w:spacing w:after="100"/>
              <w:rPr>
                <w:rFonts w:eastAsia="Times New Roman"/>
                <w:sz w:val="20"/>
                <w:szCs w:val="20"/>
              </w:rPr>
            </w:pPr>
          </w:p>
        </w:tc>
        <w:tc>
          <w:tcPr>
            <w:tcW w:w="0" w:type="auto"/>
            <w:gridSpan w:val="3"/>
            <w:vAlign w:val="center"/>
            <w:hideMark/>
          </w:tcPr>
          <w:p w14:paraId="2F483ED8" w14:textId="77777777" w:rsidR="00000000" w:rsidRDefault="00A173A8">
            <w:pPr>
              <w:spacing w:after="100"/>
              <w:rPr>
                <w:rFonts w:eastAsia="Times New Roman"/>
                <w:sz w:val="20"/>
                <w:szCs w:val="20"/>
              </w:rPr>
            </w:pPr>
          </w:p>
        </w:tc>
        <w:tc>
          <w:tcPr>
            <w:tcW w:w="0" w:type="auto"/>
            <w:gridSpan w:val="3"/>
            <w:vAlign w:val="center"/>
            <w:hideMark/>
          </w:tcPr>
          <w:p w14:paraId="019FA297" w14:textId="77777777" w:rsidR="00000000" w:rsidRDefault="00A173A8">
            <w:pPr>
              <w:spacing w:after="100"/>
              <w:rPr>
                <w:rFonts w:eastAsia="Times New Roman"/>
                <w:sz w:val="20"/>
                <w:szCs w:val="20"/>
              </w:rPr>
            </w:pPr>
          </w:p>
        </w:tc>
        <w:tc>
          <w:tcPr>
            <w:tcW w:w="0" w:type="auto"/>
            <w:gridSpan w:val="3"/>
            <w:vAlign w:val="center"/>
            <w:hideMark/>
          </w:tcPr>
          <w:p w14:paraId="642D1E38" w14:textId="77777777" w:rsidR="00000000" w:rsidRDefault="00A173A8">
            <w:pPr>
              <w:spacing w:after="100"/>
              <w:rPr>
                <w:rFonts w:eastAsia="Times New Roman"/>
                <w:sz w:val="20"/>
                <w:szCs w:val="20"/>
              </w:rPr>
            </w:pPr>
          </w:p>
        </w:tc>
        <w:tc>
          <w:tcPr>
            <w:tcW w:w="0" w:type="auto"/>
            <w:gridSpan w:val="3"/>
            <w:vAlign w:val="center"/>
            <w:hideMark/>
          </w:tcPr>
          <w:p w14:paraId="31ED405C" w14:textId="77777777" w:rsidR="00000000" w:rsidRDefault="00A173A8">
            <w:pPr>
              <w:spacing w:after="100"/>
              <w:rPr>
                <w:rFonts w:eastAsia="Times New Roman"/>
                <w:sz w:val="20"/>
                <w:szCs w:val="20"/>
              </w:rPr>
            </w:pPr>
          </w:p>
        </w:tc>
        <w:tc>
          <w:tcPr>
            <w:tcW w:w="0" w:type="auto"/>
            <w:gridSpan w:val="3"/>
            <w:vAlign w:val="center"/>
            <w:hideMark/>
          </w:tcPr>
          <w:p w14:paraId="75CACB95" w14:textId="77777777" w:rsidR="00000000" w:rsidRDefault="00A173A8">
            <w:pPr>
              <w:spacing w:after="100"/>
              <w:rPr>
                <w:rFonts w:eastAsia="Times New Roman"/>
                <w:sz w:val="20"/>
                <w:szCs w:val="20"/>
              </w:rPr>
            </w:pPr>
          </w:p>
        </w:tc>
        <w:tc>
          <w:tcPr>
            <w:tcW w:w="0" w:type="auto"/>
            <w:gridSpan w:val="3"/>
            <w:vAlign w:val="center"/>
            <w:hideMark/>
          </w:tcPr>
          <w:p w14:paraId="7FF0FBE0" w14:textId="77777777" w:rsidR="00000000" w:rsidRDefault="00A173A8">
            <w:pPr>
              <w:spacing w:after="100"/>
              <w:rPr>
                <w:rFonts w:eastAsia="Times New Roman"/>
                <w:sz w:val="20"/>
                <w:szCs w:val="20"/>
              </w:rPr>
            </w:pPr>
          </w:p>
        </w:tc>
        <w:tc>
          <w:tcPr>
            <w:tcW w:w="0" w:type="auto"/>
            <w:gridSpan w:val="3"/>
            <w:vAlign w:val="center"/>
            <w:hideMark/>
          </w:tcPr>
          <w:p w14:paraId="5AFBBE2E" w14:textId="77777777" w:rsidR="00000000" w:rsidRDefault="00A173A8">
            <w:pPr>
              <w:spacing w:after="100"/>
              <w:rPr>
                <w:rFonts w:eastAsia="Times New Roman"/>
                <w:sz w:val="20"/>
                <w:szCs w:val="20"/>
              </w:rPr>
            </w:pPr>
          </w:p>
        </w:tc>
        <w:tc>
          <w:tcPr>
            <w:tcW w:w="0" w:type="auto"/>
            <w:gridSpan w:val="3"/>
            <w:vAlign w:val="center"/>
            <w:hideMark/>
          </w:tcPr>
          <w:p w14:paraId="06BBC3A8" w14:textId="77777777" w:rsidR="00000000" w:rsidRDefault="00A173A8">
            <w:pPr>
              <w:spacing w:after="100"/>
              <w:rPr>
                <w:rFonts w:eastAsia="Times New Roman"/>
                <w:sz w:val="20"/>
                <w:szCs w:val="20"/>
              </w:rPr>
            </w:pPr>
          </w:p>
        </w:tc>
        <w:tc>
          <w:tcPr>
            <w:tcW w:w="0" w:type="auto"/>
            <w:gridSpan w:val="3"/>
            <w:vAlign w:val="center"/>
            <w:hideMark/>
          </w:tcPr>
          <w:p w14:paraId="6C4DA872" w14:textId="77777777" w:rsidR="00000000" w:rsidRDefault="00A173A8">
            <w:pPr>
              <w:spacing w:after="100"/>
              <w:rPr>
                <w:rFonts w:eastAsia="Times New Roman"/>
                <w:sz w:val="20"/>
                <w:szCs w:val="20"/>
              </w:rPr>
            </w:pPr>
          </w:p>
        </w:tc>
        <w:tc>
          <w:tcPr>
            <w:tcW w:w="0" w:type="auto"/>
            <w:gridSpan w:val="3"/>
            <w:vAlign w:val="center"/>
            <w:hideMark/>
          </w:tcPr>
          <w:p w14:paraId="7A4401E4" w14:textId="77777777" w:rsidR="00000000" w:rsidRDefault="00A173A8">
            <w:pPr>
              <w:spacing w:after="100"/>
              <w:rPr>
                <w:rFonts w:eastAsia="Times New Roman"/>
                <w:sz w:val="20"/>
                <w:szCs w:val="20"/>
              </w:rPr>
            </w:pPr>
          </w:p>
        </w:tc>
        <w:tc>
          <w:tcPr>
            <w:tcW w:w="0" w:type="auto"/>
            <w:gridSpan w:val="3"/>
            <w:vAlign w:val="center"/>
            <w:hideMark/>
          </w:tcPr>
          <w:p w14:paraId="1E097800" w14:textId="77777777" w:rsidR="00000000" w:rsidRDefault="00A173A8">
            <w:pPr>
              <w:spacing w:after="100"/>
              <w:rPr>
                <w:rFonts w:eastAsia="Times New Roman"/>
                <w:sz w:val="20"/>
                <w:szCs w:val="20"/>
              </w:rPr>
            </w:pPr>
          </w:p>
        </w:tc>
        <w:tc>
          <w:tcPr>
            <w:tcW w:w="0" w:type="auto"/>
            <w:gridSpan w:val="3"/>
            <w:vAlign w:val="center"/>
            <w:hideMark/>
          </w:tcPr>
          <w:p w14:paraId="6C4D4854" w14:textId="77777777" w:rsidR="00000000" w:rsidRDefault="00A173A8">
            <w:pPr>
              <w:spacing w:after="100"/>
              <w:rPr>
                <w:rFonts w:eastAsia="Times New Roman"/>
                <w:sz w:val="20"/>
                <w:szCs w:val="20"/>
              </w:rPr>
            </w:pPr>
          </w:p>
        </w:tc>
        <w:tc>
          <w:tcPr>
            <w:tcW w:w="0" w:type="auto"/>
            <w:gridSpan w:val="3"/>
            <w:vAlign w:val="center"/>
            <w:hideMark/>
          </w:tcPr>
          <w:p w14:paraId="6BDC9E6C" w14:textId="77777777" w:rsidR="00000000" w:rsidRDefault="00A173A8">
            <w:pPr>
              <w:spacing w:after="100"/>
              <w:rPr>
                <w:rFonts w:eastAsia="Times New Roman"/>
                <w:sz w:val="20"/>
                <w:szCs w:val="20"/>
              </w:rPr>
            </w:pPr>
          </w:p>
        </w:tc>
        <w:tc>
          <w:tcPr>
            <w:tcW w:w="0" w:type="auto"/>
            <w:gridSpan w:val="3"/>
            <w:vAlign w:val="center"/>
            <w:hideMark/>
          </w:tcPr>
          <w:p w14:paraId="09B68242" w14:textId="77777777" w:rsidR="00000000" w:rsidRDefault="00A173A8">
            <w:pPr>
              <w:spacing w:after="100"/>
              <w:rPr>
                <w:rFonts w:eastAsia="Times New Roman"/>
                <w:sz w:val="20"/>
                <w:szCs w:val="20"/>
              </w:rPr>
            </w:pPr>
          </w:p>
        </w:tc>
        <w:tc>
          <w:tcPr>
            <w:tcW w:w="0" w:type="auto"/>
            <w:gridSpan w:val="3"/>
            <w:vAlign w:val="center"/>
            <w:hideMark/>
          </w:tcPr>
          <w:p w14:paraId="39AFDC8B" w14:textId="77777777" w:rsidR="00000000" w:rsidRDefault="00A173A8">
            <w:pPr>
              <w:spacing w:after="100"/>
              <w:rPr>
                <w:rFonts w:eastAsia="Times New Roman"/>
                <w:sz w:val="20"/>
                <w:szCs w:val="20"/>
              </w:rPr>
            </w:pPr>
          </w:p>
        </w:tc>
        <w:tc>
          <w:tcPr>
            <w:tcW w:w="0" w:type="auto"/>
            <w:gridSpan w:val="3"/>
            <w:vAlign w:val="center"/>
            <w:hideMark/>
          </w:tcPr>
          <w:p w14:paraId="2AAC8DAD" w14:textId="77777777" w:rsidR="00000000" w:rsidRDefault="00A173A8">
            <w:pPr>
              <w:spacing w:after="100"/>
              <w:rPr>
                <w:rFonts w:eastAsia="Times New Roman"/>
                <w:sz w:val="20"/>
                <w:szCs w:val="20"/>
              </w:rPr>
            </w:pPr>
          </w:p>
        </w:tc>
        <w:tc>
          <w:tcPr>
            <w:tcW w:w="0" w:type="auto"/>
            <w:gridSpan w:val="3"/>
            <w:vAlign w:val="center"/>
            <w:hideMark/>
          </w:tcPr>
          <w:p w14:paraId="38C3DCC5" w14:textId="77777777" w:rsidR="00000000" w:rsidRDefault="00A173A8">
            <w:pPr>
              <w:spacing w:after="100"/>
              <w:rPr>
                <w:rFonts w:eastAsia="Times New Roman"/>
                <w:sz w:val="20"/>
                <w:szCs w:val="20"/>
              </w:rPr>
            </w:pPr>
          </w:p>
        </w:tc>
      </w:tr>
      <w:tr w:rsidR="00000000" w14:paraId="6EE33C77" w14:textId="77777777">
        <w:trPr>
          <w:divId w:val="488981052"/>
        </w:trPr>
        <w:tc>
          <w:tcPr>
            <w:tcW w:w="0" w:type="auto"/>
            <w:gridSpan w:val="3"/>
            <w:shd w:val="clear" w:color="auto" w:fill="FFFFFF"/>
            <w:tcMar>
              <w:top w:w="30" w:type="dxa"/>
              <w:left w:w="20" w:type="dxa"/>
              <w:bottom w:w="30" w:type="dxa"/>
              <w:right w:w="20" w:type="dxa"/>
            </w:tcMar>
            <w:vAlign w:val="center"/>
            <w:hideMark/>
          </w:tcPr>
          <w:p w14:paraId="13A07D04" w14:textId="77777777" w:rsidR="00000000" w:rsidRDefault="00A173A8">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14:paraId="0EE8BB8D"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6FD37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0F208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160387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62B0A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20C45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18838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7B015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F09B3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7F50A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457E3D"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D08E21F" w14:textId="77777777" w:rsidR="00000000" w:rsidRDefault="00A173A8">
            <w:pPr>
              <w:spacing w:after="100"/>
              <w:jc w:val="right"/>
              <w:rPr>
                <w:rFonts w:eastAsia="Times New Roman"/>
              </w:rPr>
            </w:pPr>
            <w:r>
              <w:rPr>
                <w:rFonts w:eastAsia="Times New Roman"/>
                <w:b/>
                <w:bCs/>
                <w:color w:val="000000"/>
                <w:sz w:val="16"/>
                <w:szCs w:val="16"/>
              </w:rPr>
              <w:t>2,031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D791C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F98C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8956B00" w14:textId="77777777" w:rsidR="00000000" w:rsidRDefault="00A173A8">
            <w:pPr>
              <w:spacing w:after="100"/>
              <w:jc w:val="right"/>
              <w:rPr>
                <w:rFonts w:eastAsia="Times New Roman"/>
              </w:rPr>
            </w:pPr>
            <w:r>
              <w:rPr>
                <w:rFonts w:eastAsia="Times New Roman"/>
                <w:b/>
                <w:bCs/>
                <w:color w:val="000000"/>
                <w:sz w:val="16"/>
                <w:szCs w:val="16"/>
              </w:rPr>
              <w:t>(2,823)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36D53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F5C3B"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A1F97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EBD5EC"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F7A7F19" w14:textId="77777777" w:rsidR="00000000" w:rsidRDefault="00A173A8">
            <w:pPr>
              <w:spacing w:after="100"/>
              <w:jc w:val="right"/>
              <w:rPr>
                <w:rFonts w:eastAsia="Times New Roman"/>
              </w:rPr>
            </w:pPr>
            <w:r>
              <w:rPr>
                <w:rFonts w:eastAsia="Times New Roman"/>
                <w:b/>
                <w:bCs/>
                <w:color w:val="000000"/>
                <w:sz w:val="16"/>
                <w:szCs w:val="16"/>
              </w:rPr>
              <w:t>(792)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96ABD0B" w14:textId="77777777" w:rsidR="00000000" w:rsidRDefault="00A173A8">
            <w:pPr>
              <w:spacing w:after="100"/>
              <w:jc w:val="right"/>
              <w:rPr>
                <w:rFonts w:eastAsia="Times New Roman"/>
              </w:rPr>
            </w:pPr>
          </w:p>
        </w:tc>
      </w:tr>
      <w:tr w:rsidR="00000000" w14:paraId="4BCBCC51" w14:textId="77777777">
        <w:trPr>
          <w:divId w:val="488981052"/>
        </w:trPr>
        <w:tc>
          <w:tcPr>
            <w:tcW w:w="0" w:type="auto"/>
            <w:gridSpan w:val="3"/>
            <w:shd w:val="clear" w:color="auto" w:fill="CCEEFF"/>
            <w:tcMar>
              <w:top w:w="30" w:type="dxa"/>
              <w:left w:w="20" w:type="dxa"/>
              <w:bottom w:w="30" w:type="dxa"/>
              <w:right w:w="20" w:type="dxa"/>
            </w:tcMar>
            <w:vAlign w:val="center"/>
            <w:hideMark/>
          </w:tcPr>
          <w:p w14:paraId="1E938988" w14:textId="77777777" w:rsidR="00000000" w:rsidRDefault="00A173A8">
            <w:pPr>
              <w:spacing w:after="100"/>
              <w:divId w:val="1785152724"/>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1D0FFA41"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04CE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932A1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C2649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9A8D9D"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378AD1" w14:textId="77777777" w:rsidR="00000000" w:rsidRDefault="00A173A8">
            <w:pPr>
              <w:spacing w:after="100"/>
              <w:jc w:val="right"/>
              <w:rPr>
                <w:rFonts w:eastAsia="Times New Roman"/>
              </w:rPr>
            </w:pPr>
            <w:r>
              <w:rPr>
                <w:rFonts w:eastAsia="Times New Roman"/>
                <w:b/>
                <w:bCs/>
                <w:color w:val="000000"/>
                <w:sz w:val="16"/>
                <w:szCs w:val="16"/>
              </w:rPr>
              <w:t>4,083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0D5320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D99B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2F4438"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6358F57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CE410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A299F8" w14:textId="77777777" w:rsidR="00000000" w:rsidRDefault="00A173A8">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5F9777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67F44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142E67" w14:textId="77777777" w:rsidR="00000000" w:rsidRDefault="00A173A8">
            <w:pPr>
              <w:spacing w:after="100"/>
              <w:jc w:val="right"/>
              <w:rPr>
                <w:rFonts w:eastAsia="Times New Roman"/>
              </w:rPr>
            </w:pPr>
            <w:r>
              <w:rPr>
                <w:rFonts w:eastAsia="Times New Roman"/>
                <w:b/>
                <w:bCs/>
                <w:color w:val="000000"/>
                <w:sz w:val="16"/>
                <w:szCs w:val="16"/>
              </w:rPr>
              <w:t>(237)</w:t>
            </w:r>
          </w:p>
        </w:tc>
        <w:tc>
          <w:tcPr>
            <w:tcW w:w="0" w:type="auto"/>
            <w:shd w:val="clear" w:color="auto" w:fill="CCEEFF"/>
            <w:tcMar>
              <w:top w:w="30" w:type="dxa"/>
              <w:left w:w="0" w:type="dxa"/>
              <w:bottom w:w="30" w:type="dxa"/>
              <w:right w:w="20" w:type="dxa"/>
            </w:tcMar>
            <w:vAlign w:val="center"/>
            <w:hideMark/>
          </w:tcPr>
          <w:p w14:paraId="1244E5C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30049E"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E0ED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FD430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0117F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024ACE"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FCB161" w14:textId="77777777" w:rsidR="00000000" w:rsidRDefault="00A173A8">
            <w:pPr>
              <w:spacing w:after="100"/>
              <w:jc w:val="right"/>
              <w:rPr>
                <w:rFonts w:eastAsia="Times New Roman"/>
              </w:rPr>
            </w:pPr>
            <w:r>
              <w:rPr>
                <w:rFonts w:eastAsia="Times New Roman"/>
                <w:b/>
                <w:bCs/>
                <w:color w:val="000000"/>
                <w:sz w:val="16"/>
                <w:szCs w:val="16"/>
              </w:rPr>
              <w:t>(236)</w:t>
            </w:r>
          </w:p>
        </w:tc>
        <w:tc>
          <w:tcPr>
            <w:tcW w:w="0" w:type="auto"/>
            <w:shd w:val="clear" w:color="auto" w:fill="CCEEFF"/>
            <w:tcMar>
              <w:top w:w="30" w:type="dxa"/>
              <w:left w:w="0" w:type="dxa"/>
              <w:bottom w:w="30" w:type="dxa"/>
              <w:right w:w="20" w:type="dxa"/>
            </w:tcMar>
            <w:vAlign w:val="center"/>
            <w:hideMark/>
          </w:tcPr>
          <w:p w14:paraId="2D2DA97C" w14:textId="77777777" w:rsidR="00000000" w:rsidRDefault="00A173A8">
            <w:pPr>
              <w:spacing w:after="100"/>
              <w:jc w:val="right"/>
              <w:rPr>
                <w:rFonts w:eastAsia="Times New Roman"/>
              </w:rPr>
            </w:pPr>
          </w:p>
        </w:tc>
      </w:tr>
      <w:tr w:rsidR="00000000" w14:paraId="0468AA88" w14:textId="77777777">
        <w:trPr>
          <w:divId w:val="488981052"/>
        </w:trPr>
        <w:tc>
          <w:tcPr>
            <w:tcW w:w="0" w:type="auto"/>
            <w:gridSpan w:val="3"/>
            <w:shd w:val="clear" w:color="auto" w:fill="FFFFFF"/>
            <w:tcMar>
              <w:top w:w="30" w:type="dxa"/>
              <w:left w:w="20" w:type="dxa"/>
              <w:bottom w:w="30" w:type="dxa"/>
              <w:right w:w="20" w:type="dxa"/>
            </w:tcMar>
            <w:vAlign w:val="center"/>
            <w:hideMark/>
          </w:tcPr>
          <w:p w14:paraId="646A2A32" w14:textId="77777777" w:rsidR="00000000" w:rsidRDefault="00A173A8">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14:paraId="57E1BA25"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F128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67A7C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9B6C9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A259D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5C62C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46E49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BCE68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E38E5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D7C71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FE8FE1"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E29DC0" w14:textId="77777777" w:rsidR="00000000" w:rsidRDefault="00A173A8">
            <w:pPr>
              <w:spacing w:after="100"/>
              <w:jc w:val="right"/>
              <w:rPr>
                <w:rFonts w:eastAsia="Times New Roman"/>
              </w:rPr>
            </w:pPr>
            <w:r>
              <w:rPr>
                <w:rFonts w:eastAsia="Times New Roman"/>
                <w:b/>
                <w:bCs/>
                <w:color w:val="000000"/>
                <w:sz w:val="16"/>
                <w:szCs w:val="16"/>
              </w:rPr>
              <w:t>(57)</w:t>
            </w:r>
          </w:p>
        </w:tc>
        <w:tc>
          <w:tcPr>
            <w:tcW w:w="0" w:type="auto"/>
            <w:shd w:val="clear" w:color="auto" w:fill="FFFFFF"/>
            <w:tcMar>
              <w:top w:w="30" w:type="dxa"/>
              <w:left w:w="0" w:type="dxa"/>
              <w:bottom w:w="30" w:type="dxa"/>
              <w:right w:w="20" w:type="dxa"/>
            </w:tcMar>
            <w:vAlign w:val="center"/>
            <w:hideMark/>
          </w:tcPr>
          <w:p w14:paraId="1DCAC7F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66E47E"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58765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C1974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D5D2F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0C1D56"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CE3586" w14:textId="77777777" w:rsidR="00000000" w:rsidRDefault="00A173A8">
            <w:pPr>
              <w:spacing w:after="100"/>
              <w:jc w:val="right"/>
              <w:rPr>
                <w:rFonts w:eastAsia="Times New Roman"/>
              </w:rPr>
            </w:pPr>
            <w:r>
              <w:rPr>
                <w:rFonts w:eastAsia="Times New Roman"/>
                <w:b/>
                <w:bCs/>
                <w:color w:val="000000"/>
                <w:sz w:val="16"/>
                <w:szCs w:val="16"/>
              </w:rPr>
              <w:t>(57)</w:t>
            </w:r>
          </w:p>
        </w:tc>
        <w:tc>
          <w:tcPr>
            <w:tcW w:w="0" w:type="auto"/>
            <w:shd w:val="clear" w:color="auto" w:fill="FFFFFF"/>
            <w:tcMar>
              <w:top w:w="30" w:type="dxa"/>
              <w:left w:w="0" w:type="dxa"/>
              <w:bottom w:w="30" w:type="dxa"/>
              <w:right w:w="20" w:type="dxa"/>
            </w:tcMar>
            <w:vAlign w:val="center"/>
            <w:hideMark/>
          </w:tcPr>
          <w:p w14:paraId="20E821E2" w14:textId="77777777" w:rsidR="00000000" w:rsidRDefault="00A173A8">
            <w:pPr>
              <w:spacing w:after="100"/>
              <w:jc w:val="right"/>
              <w:rPr>
                <w:rFonts w:eastAsia="Times New Roman"/>
              </w:rPr>
            </w:pPr>
          </w:p>
        </w:tc>
      </w:tr>
      <w:tr w:rsidR="00000000" w14:paraId="67992BAF" w14:textId="77777777">
        <w:trPr>
          <w:divId w:val="488981052"/>
        </w:trPr>
        <w:tc>
          <w:tcPr>
            <w:tcW w:w="0" w:type="auto"/>
            <w:gridSpan w:val="3"/>
            <w:shd w:val="clear" w:color="auto" w:fill="CCEEFF"/>
            <w:tcMar>
              <w:top w:w="30" w:type="dxa"/>
              <w:left w:w="20" w:type="dxa"/>
              <w:bottom w:w="30" w:type="dxa"/>
              <w:right w:w="20" w:type="dxa"/>
            </w:tcMar>
            <w:vAlign w:val="center"/>
            <w:hideMark/>
          </w:tcPr>
          <w:p w14:paraId="3E62C533" w14:textId="77777777" w:rsidR="00000000" w:rsidRDefault="00A173A8">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6E340C4B"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8801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E80E3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76FFF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47983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A6D01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88F97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D7032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A1B0F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0F931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8A56E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33F62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778FD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D5D1C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DD41EA"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3695A3" w14:textId="77777777" w:rsidR="00000000" w:rsidRDefault="00A173A8">
            <w:pPr>
              <w:spacing w:after="100"/>
              <w:jc w:val="right"/>
              <w:rPr>
                <w:rFonts w:eastAsia="Times New Roman"/>
              </w:rPr>
            </w:pPr>
            <w:r>
              <w:rPr>
                <w:rFonts w:eastAsia="Times New Roman"/>
                <w:b/>
                <w:bCs/>
                <w:color w:val="000000"/>
                <w:sz w:val="16"/>
                <w:szCs w:val="16"/>
              </w:rPr>
              <w:t>(1,988)</w:t>
            </w:r>
          </w:p>
        </w:tc>
        <w:tc>
          <w:tcPr>
            <w:tcW w:w="0" w:type="auto"/>
            <w:shd w:val="clear" w:color="auto" w:fill="CCEEFF"/>
            <w:tcMar>
              <w:top w:w="30" w:type="dxa"/>
              <w:left w:w="0" w:type="dxa"/>
              <w:bottom w:w="30" w:type="dxa"/>
              <w:right w:w="20" w:type="dxa"/>
            </w:tcMar>
            <w:vAlign w:val="center"/>
            <w:hideMark/>
          </w:tcPr>
          <w:p w14:paraId="5D1749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73872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141026" w14:textId="77777777" w:rsidR="00000000" w:rsidRDefault="00A173A8">
            <w:pPr>
              <w:spacing w:after="100"/>
              <w:jc w:val="right"/>
              <w:rPr>
                <w:rFonts w:eastAsia="Times New Roman"/>
              </w:rPr>
            </w:pPr>
            <w:r>
              <w:rPr>
                <w:rFonts w:eastAsia="Times New Roman"/>
                <w:b/>
                <w:bCs/>
                <w:color w:val="000000"/>
                <w:sz w:val="16"/>
                <w:szCs w:val="16"/>
              </w:rPr>
              <w:t>(1,988)</w:t>
            </w:r>
          </w:p>
        </w:tc>
        <w:tc>
          <w:tcPr>
            <w:tcW w:w="0" w:type="auto"/>
            <w:shd w:val="clear" w:color="auto" w:fill="CCEEFF"/>
            <w:tcMar>
              <w:top w:w="30" w:type="dxa"/>
              <w:left w:w="0" w:type="dxa"/>
              <w:bottom w:w="30" w:type="dxa"/>
              <w:right w:w="20" w:type="dxa"/>
            </w:tcMar>
            <w:vAlign w:val="center"/>
            <w:hideMark/>
          </w:tcPr>
          <w:p w14:paraId="24BC51C1" w14:textId="77777777" w:rsidR="00000000" w:rsidRDefault="00A173A8">
            <w:pPr>
              <w:spacing w:after="100"/>
              <w:jc w:val="right"/>
              <w:rPr>
                <w:rFonts w:eastAsia="Times New Roman"/>
              </w:rPr>
            </w:pPr>
          </w:p>
        </w:tc>
      </w:tr>
      <w:tr w:rsidR="00000000" w14:paraId="33DA3FAB" w14:textId="77777777">
        <w:trPr>
          <w:divId w:val="488981052"/>
        </w:trPr>
        <w:tc>
          <w:tcPr>
            <w:tcW w:w="0" w:type="auto"/>
            <w:gridSpan w:val="3"/>
            <w:shd w:val="clear" w:color="auto" w:fill="FFFFFF"/>
            <w:tcMar>
              <w:top w:w="30" w:type="dxa"/>
              <w:left w:w="20" w:type="dxa"/>
              <w:bottom w:w="30" w:type="dxa"/>
              <w:right w:w="20" w:type="dxa"/>
            </w:tcMar>
            <w:vAlign w:val="center"/>
            <w:hideMark/>
          </w:tcPr>
          <w:p w14:paraId="7A2DB8DB" w14:textId="77777777" w:rsidR="00000000" w:rsidRDefault="00A173A8">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14:paraId="4719930F"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B76B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75791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B3F6F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167318"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4A21E2" w14:textId="77777777" w:rsidR="00000000" w:rsidRDefault="00A173A8">
            <w:pPr>
              <w:spacing w:after="100"/>
              <w:jc w:val="right"/>
              <w:rPr>
                <w:rFonts w:eastAsia="Times New Roman"/>
              </w:rPr>
            </w:pPr>
            <w:r>
              <w:rPr>
                <w:rFonts w:eastAsia="Times New Roman"/>
                <w:b/>
                <w:bCs/>
                <w:color w:val="000000"/>
                <w:sz w:val="16"/>
                <w:szCs w:val="16"/>
              </w:rPr>
              <w:t>671,473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0029D7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609BB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421352"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9EBFC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FABF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4A666" w14:textId="77777777" w:rsidR="00000000" w:rsidRDefault="00A173A8">
            <w:pPr>
              <w:spacing w:after="100"/>
              <w:jc w:val="right"/>
              <w:rPr>
                <w:rFonts w:eastAsia="Times New Roman"/>
              </w:rPr>
            </w:pPr>
            <w:r>
              <w:rPr>
                <w:rFonts w:eastAsia="Times New Roman"/>
                <w:b/>
                <w:bCs/>
                <w:color w:val="000000"/>
                <w:sz w:val="16"/>
                <w:szCs w:val="16"/>
              </w:rPr>
              <w:t>70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FF0936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54F73E"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9DF14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3DC58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D071C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A920E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5F25D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3A80BD"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69CD3E" w14:textId="77777777" w:rsidR="00000000" w:rsidRDefault="00A173A8">
            <w:pPr>
              <w:spacing w:after="100"/>
              <w:jc w:val="right"/>
              <w:rPr>
                <w:rFonts w:eastAsia="Times New Roman"/>
              </w:rPr>
            </w:pPr>
            <w:r>
              <w:rPr>
                <w:rFonts w:eastAsia="Times New Roman"/>
                <w:b/>
                <w:bCs/>
                <w:color w:val="000000"/>
                <w:sz w:val="16"/>
                <w:szCs w:val="16"/>
              </w:rPr>
              <w:t>70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EF3A3A9" w14:textId="77777777" w:rsidR="00000000" w:rsidRDefault="00A173A8">
            <w:pPr>
              <w:spacing w:after="100"/>
              <w:jc w:val="right"/>
              <w:rPr>
                <w:rFonts w:eastAsia="Times New Roman"/>
              </w:rPr>
            </w:pPr>
          </w:p>
        </w:tc>
      </w:tr>
      <w:tr w:rsidR="00000000" w14:paraId="19CB6FEC" w14:textId="77777777">
        <w:trPr>
          <w:divId w:val="488981052"/>
        </w:trPr>
        <w:tc>
          <w:tcPr>
            <w:tcW w:w="0" w:type="auto"/>
            <w:gridSpan w:val="3"/>
            <w:vAlign w:val="center"/>
            <w:hideMark/>
          </w:tcPr>
          <w:p w14:paraId="56C96294" w14:textId="77777777" w:rsidR="00000000" w:rsidRDefault="00A173A8">
            <w:pPr>
              <w:spacing w:after="100"/>
              <w:jc w:val="right"/>
              <w:rPr>
                <w:rFonts w:eastAsia="Times New Roman"/>
                <w:sz w:val="20"/>
                <w:szCs w:val="20"/>
              </w:rPr>
            </w:pPr>
          </w:p>
        </w:tc>
        <w:tc>
          <w:tcPr>
            <w:tcW w:w="0" w:type="auto"/>
            <w:gridSpan w:val="3"/>
            <w:vAlign w:val="center"/>
            <w:hideMark/>
          </w:tcPr>
          <w:p w14:paraId="06D7B158" w14:textId="77777777" w:rsidR="00000000" w:rsidRDefault="00A173A8">
            <w:pPr>
              <w:spacing w:after="100"/>
              <w:rPr>
                <w:rFonts w:eastAsia="Times New Roman"/>
                <w:sz w:val="20"/>
                <w:szCs w:val="20"/>
              </w:rPr>
            </w:pPr>
          </w:p>
        </w:tc>
        <w:tc>
          <w:tcPr>
            <w:tcW w:w="0" w:type="auto"/>
            <w:gridSpan w:val="3"/>
            <w:vAlign w:val="center"/>
            <w:hideMark/>
          </w:tcPr>
          <w:p w14:paraId="1BBB2DD3" w14:textId="77777777" w:rsidR="00000000" w:rsidRDefault="00A173A8">
            <w:pPr>
              <w:spacing w:after="100"/>
              <w:rPr>
                <w:rFonts w:eastAsia="Times New Roman"/>
                <w:sz w:val="20"/>
                <w:szCs w:val="20"/>
              </w:rPr>
            </w:pPr>
          </w:p>
        </w:tc>
        <w:tc>
          <w:tcPr>
            <w:tcW w:w="0" w:type="auto"/>
            <w:gridSpan w:val="3"/>
            <w:vAlign w:val="center"/>
            <w:hideMark/>
          </w:tcPr>
          <w:p w14:paraId="76D9BB9C" w14:textId="77777777" w:rsidR="00000000" w:rsidRDefault="00A173A8">
            <w:pPr>
              <w:spacing w:after="100"/>
              <w:rPr>
                <w:rFonts w:eastAsia="Times New Roman"/>
                <w:sz w:val="20"/>
                <w:szCs w:val="20"/>
              </w:rPr>
            </w:pPr>
          </w:p>
        </w:tc>
        <w:tc>
          <w:tcPr>
            <w:tcW w:w="0" w:type="auto"/>
            <w:gridSpan w:val="3"/>
            <w:vAlign w:val="center"/>
            <w:hideMark/>
          </w:tcPr>
          <w:p w14:paraId="19FF4636" w14:textId="77777777" w:rsidR="00000000" w:rsidRDefault="00A173A8">
            <w:pPr>
              <w:spacing w:after="100"/>
              <w:rPr>
                <w:rFonts w:eastAsia="Times New Roman"/>
                <w:sz w:val="20"/>
                <w:szCs w:val="20"/>
              </w:rPr>
            </w:pPr>
          </w:p>
        </w:tc>
        <w:tc>
          <w:tcPr>
            <w:tcW w:w="0" w:type="auto"/>
            <w:gridSpan w:val="3"/>
            <w:vAlign w:val="center"/>
            <w:hideMark/>
          </w:tcPr>
          <w:p w14:paraId="713546E1" w14:textId="77777777" w:rsidR="00000000" w:rsidRDefault="00A173A8">
            <w:pPr>
              <w:spacing w:after="100"/>
              <w:rPr>
                <w:rFonts w:eastAsia="Times New Roman"/>
                <w:sz w:val="20"/>
                <w:szCs w:val="20"/>
              </w:rPr>
            </w:pPr>
          </w:p>
        </w:tc>
        <w:tc>
          <w:tcPr>
            <w:tcW w:w="0" w:type="auto"/>
            <w:gridSpan w:val="3"/>
            <w:vAlign w:val="center"/>
            <w:hideMark/>
          </w:tcPr>
          <w:p w14:paraId="23ED0799" w14:textId="77777777" w:rsidR="00000000" w:rsidRDefault="00A173A8">
            <w:pPr>
              <w:spacing w:after="100"/>
              <w:rPr>
                <w:rFonts w:eastAsia="Times New Roman"/>
                <w:sz w:val="20"/>
                <w:szCs w:val="20"/>
              </w:rPr>
            </w:pPr>
          </w:p>
        </w:tc>
        <w:tc>
          <w:tcPr>
            <w:tcW w:w="0" w:type="auto"/>
            <w:gridSpan w:val="3"/>
            <w:vAlign w:val="center"/>
            <w:hideMark/>
          </w:tcPr>
          <w:p w14:paraId="574934C0" w14:textId="77777777" w:rsidR="00000000" w:rsidRDefault="00A173A8">
            <w:pPr>
              <w:spacing w:after="100"/>
              <w:rPr>
                <w:rFonts w:eastAsia="Times New Roman"/>
                <w:sz w:val="20"/>
                <w:szCs w:val="20"/>
              </w:rPr>
            </w:pPr>
          </w:p>
        </w:tc>
        <w:tc>
          <w:tcPr>
            <w:tcW w:w="0" w:type="auto"/>
            <w:gridSpan w:val="3"/>
            <w:vAlign w:val="center"/>
            <w:hideMark/>
          </w:tcPr>
          <w:p w14:paraId="2E797E1F" w14:textId="77777777" w:rsidR="00000000" w:rsidRDefault="00A173A8">
            <w:pPr>
              <w:spacing w:after="100"/>
              <w:rPr>
                <w:rFonts w:eastAsia="Times New Roman"/>
                <w:sz w:val="20"/>
                <w:szCs w:val="20"/>
              </w:rPr>
            </w:pPr>
          </w:p>
        </w:tc>
        <w:tc>
          <w:tcPr>
            <w:tcW w:w="0" w:type="auto"/>
            <w:gridSpan w:val="3"/>
            <w:vAlign w:val="center"/>
            <w:hideMark/>
          </w:tcPr>
          <w:p w14:paraId="05E832F9" w14:textId="77777777" w:rsidR="00000000" w:rsidRDefault="00A173A8">
            <w:pPr>
              <w:spacing w:after="100"/>
              <w:rPr>
                <w:rFonts w:eastAsia="Times New Roman"/>
                <w:sz w:val="20"/>
                <w:szCs w:val="20"/>
              </w:rPr>
            </w:pPr>
          </w:p>
        </w:tc>
        <w:tc>
          <w:tcPr>
            <w:tcW w:w="0" w:type="auto"/>
            <w:gridSpan w:val="3"/>
            <w:vAlign w:val="center"/>
            <w:hideMark/>
          </w:tcPr>
          <w:p w14:paraId="37F8276A" w14:textId="77777777" w:rsidR="00000000" w:rsidRDefault="00A173A8">
            <w:pPr>
              <w:spacing w:after="100"/>
              <w:rPr>
                <w:rFonts w:eastAsia="Times New Roman"/>
                <w:sz w:val="20"/>
                <w:szCs w:val="20"/>
              </w:rPr>
            </w:pPr>
          </w:p>
        </w:tc>
        <w:tc>
          <w:tcPr>
            <w:tcW w:w="0" w:type="auto"/>
            <w:gridSpan w:val="3"/>
            <w:vAlign w:val="center"/>
            <w:hideMark/>
          </w:tcPr>
          <w:p w14:paraId="460CE6BF" w14:textId="77777777" w:rsidR="00000000" w:rsidRDefault="00A173A8">
            <w:pPr>
              <w:spacing w:after="100"/>
              <w:rPr>
                <w:rFonts w:eastAsia="Times New Roman"/>
                <w:sz w:val="20"/>
                <w:szCs w:val="20"/>
              </w:rPr>
            </w:pPr>
          </w:p>
        </w:tc>
        <w:tc>
          <w:tcPr>
            <w:tcW w:w="0" w:type="auto"/>
            <w:gridSpan w:val="3"/>
            <w:vAlign w:val="center"/>
            <w:hideMark/>
          </w:tcPr>
          <w:p w14:paraId="77FD1409" w14:textId="77777777" w:rsidR="00000000" w:rsidRDefault="00A173A8">
            <w:pPr>
              <w:spacing w:after="100"/>
              <w:rPr>
                <w:rFonts w:eastAsia="Times New Roman"/>
                <w:sz w:val="20"/>
                <w:szCs w:val="20"/>
              </w:rPr>
            </w:pPr>
          </w:p>
        </w:tc>
        <w:tc>
          <w:tcPr>
            <w:tcW w:w="0" w:type="auto"/>
            <w:gridSpan w:val="3"/>
            <w:vAlign w:val="center"/>
            <w:hideMark/>
          </w:tcPr>
          <w:p w14:paraId="42F697A1" w14:textId="77777777" w:rsidR="00000000" w:rsidRDefault="00A173A8">
            <w:pPr>
              <w:spacing w:after="100"/>
              <w:rPr>
                <w:rFonts w:eastAsia="Times New Roman"/>
                <w:sz w:val="20"/>
                <w:szCs w:val="20"/>
              </w:rPr>
            </w:pPr>
          </w:p>
        </w:tc>
        <w:tc>
          <w:tcPr>
            <w:tcW w:w="0" w:type="auto"/>
            <w:gridSpan w:val="3"/>
            <w:vAlign w:val="center"/>
            <w:hideMark/>
          </w:tcPr>
          <w:p w14:paraId="0923C6CB" w14:textId="77777777" w:rsidR="00000000" w:rsidRDefault="00A173A8">
            <w:pPr>
              <w:spacing w:after="100"/>
              <w:rPr>
                <w:rFonts w:eastAsia="Times New Roman"/>
                <w:sz w:val="20"/>
                <w:szCs w:val="20"/>
              </w:rPr>
            </w:pPr>
          </w:p>
        </w:tc>
        <w:tc>
          <w:tcPr>
            <w:tcW w:w="0" w:type="auto"/>
            <w:gridSpan w:val="3"/>
            <w:vAlign w:val="center"/>
            <w:hideMark/>
          </w:tcPr>
          <w:p w14:paraId="3C8E2247" w14:textId="77777777" w:rsidR="00000000" w:rsidRDefault="00A173A8">
            <w:pPr>
              <w:spacing w:after="100"/>
              <w:rPr>
                <w:rFonts w:eastAsia="Times New Roman"/>
                <w:sz w:val="20"/>
                <w:szCs w:val="20"/>
              </w:rPr>
            </w:pPr>
          </w:p>
        </w:tc>
        <w:tc>
          <w:tcPr>
            <w:tcW w:w="0" w:type="auto"/>
            <w:gridSpan w:val="3"/>
            <w:vAlign w:val="center"/>
            <w:hideMark/>
          </w:tcPr>
          <w:p w14:paraId="33C5D10A" w14:textId="77777777" w:rsidR="00000000" w:rsidRDefault="00A173A8">
            <w:pPr>
              <w:spacing w:after="100"/>
              <w:rPr>
                <w:rFonts w:eastAsia="Times New Roman"/>
                <w:sz w:val="20"/>
                <w:szCs w:val="20"/>
              </w:rPr>
            </w:pPr>
          </w:p>
        </w:tc>
        <w:tc>
          <w:tcPr>
            <w:tcW w:w="0" w:type="auto"/>
            <w:gridSpan w:val="3"/>
            <w:vAlign w:val="center"/>
            <w:hideMark/>
          </w:tcPr>
          <w:p w14:paraId="46F13EE7" w14:textId="77777777" w:rsidR="00000000" w:rsidRDefault="00A173A8">
            <w:pPr>
              <w:spacing w:after="100"/>
              <w:rPr>
                <w:rFonts w:eastAsia="Times New Roman"/>
                <w:sz w:val="20"/>
                <w:szCs w:val="20"/>
              </w:rPr>
            </w:pPr>
          </w:p>
        </w:tc>
        <w:tc>
          <w:tcPr>
            <w:tcW w:w="0" w:type="auto"/>
            <w:gridSpan w:val="3"/>
            <w:vAlign w:val="center"/>
            <w:hideMark/>
          </w:tcPr>
          <w:p w14:paraId="30070EB1" w14:textId="77777777" w:rsidR="00000000" w:rsidRDefault="00A173A8">
            <w:pPr>
              <w:spacing w:after="100"/>
              <w:rPr>
                <w:rFonts w:eastAsia="Times New Roman"/>
                <w:sz w:val="20"/>
                <w:szCs w:val="20"/>
              </w:rPr>
            </w:pPr>
          </w:p>
        </w:tc>
      </w:tr>
      <w:tr w:rsidR="00000000" w14:paraId="706F8FF3" w14:textId="77777777">
        <w:trPr>
          <w:divId w:val="488981052"/>
        </w:trPr>
        <w:tc>
          <w:tcPr>
            <w:tcW w:w="0" w:type="auto"/>
            <w:gridSpan w:val="3"/>
            <w:vAlign w:val="center"/>
            <w:hideMark/>
          </w:tcPr>
          <w:p w14:paraId="2C917F7C" w14:textId="77777777" w:rsidR="00000000" w:rsidRDefault="00A173A8">
            <w:pPr>
              <w:spacing w:after="100"/>
              <w:rPr>
                <w:rFonts w:eastAsia="Times New Roman"/>
                <w:sz w:val="20"/>
                <w:szCs w:val="20"/>
              </w:rPr>
            </w:pPr>
          </w:p>
        </w:tc>
        <w:tc>
          <w:tcPr>
            <w:tcW w:w="0" w:type="auto"/>
            <w:gridSpan w:val="3"/>
            <w:vAlign w:val="center"/>
            <w:hideMark/>
          </w:tcPr>
          <w:p w14:paraId="64D48E36" w14:textId="77777777" w:rsidR="00000000" w:rsidRDefault="00A173A8">
            <w:pPr>
              <w:spacing w:after="100"/>
              <w:rPr>
                <w:rFonts w:eastAsia="Times New Roman"/>
                <w:sz w:val="20"/>
                <w:szCs w:val="20"/>
              </w:rPr>
            </w:pPr>
          </w:p>
        </w:tc>
        <w:tc>
          <w:tcPr>
            <w:tcW w:w="0" w:type="auto"/>
            <w:gridSpan w:val="3"/>
            <w:vAlign w:val="center"/>
            <w:hideMark/>
          </w:tcPr>
          <w:p w14:paraId="4960A979" w14:textId="77777777" w:rsidR="00000000" w:rsidRDefault="00A173A8">
            <w:pPr>
              <w:spacing w:after="100"/>
              <w:rPr>
                <w:rFonts w:eastAsia="Times New Roman"/>
                <w:sz w:val="20"/>
                <w:szCs w:val="20"/>
              </w:rPr>
            </w:pPr>
          </w:p>
        </w:tc>
        <w:tc>
          <w:tcPr>
            <w:tcW w:w="0" w:type="auto"/>
            <w:gridSpan w:val="3"/>
            <w:vAlign w:val="center"/>
            <w:hideMark/>
          </w:tcPr>
          <w:p w14:paraId="1C526A77" w14:textId="77777777" w:rsidR="00000000" w:rsidRDefault="00A173A8">
            <w:pPr>
              <w:spacing w:after="100"/>
              <w:rPr>
                <w:rFonts w:eastAsia="Times New Roman"/>
                <w:sz w:val="20"/>
                <w:szCs w:val="20"/>
              </w:rPr>
            </w:pPr>
          </w:p>
        </w:tc>
        <w:tc>
          <w:tcPr>
            <w:tcW w:w="0" w:type="auto"/>
            <w:gridSpan w:val="3"/>
            <w:vAlign w:val="center"/>
            <w:hideMark/>
          </w:tcPr>
          <w:p w14:paraId="20CB131A" w14:textId="77777777" w:rsidR="00000000" w:rsidRDefault="00A173A8">
            <w:pPr>
              <w:spacing w:after="100"/>
              <w:rPr>
                <w:rFonts w:eastAsia="Times New Roman"/>
                <w:sz w:val="20"/>
                <w:szCs w:val="20"/>
              </w:rPr>
            </w:pPr>
          </w:p>
        </w:tc>
        <w:tc>
          <w:tcPr>
            <w:tcW w:w="0" w:type="auto"/>
            <w:gridSpan w:val="3"/>
            <w:vAlign w:val="center"/>
            <w:hideMark/>
          </w:tcPr>
          <w:p w14:paraId="29A884F1" w14:textId="77777777" w:rsidR="00000000" w:rsidRDefault="00A173A8">
            <w:pPr>
              <w:spacing w:after="100"/>
              <w:rPr>
                <w:rFonts w:eastAsia="Times New Roman"/>
                <w:sz w:val="20"/>
                <w:szCs w:val="20"/>
              </w:rPr>
            </w:pPr>
          </w:p>
        </w:tc>
        <w:tc>
          <w:tcPr>
            <w:tcW w:w="0" w:type="auto"/>
            <w:gridSpan w:val="3"/>
            <w:vAlign w:val="center"/>
            <w:hideMark/>
          </w:tcPr>
          <w:p w14:paraId="4100E9BE" w14:textId="77777777" w:rsidR="00000000" w:rsidRDefault="00A173A8">
            <w:pPr>
              <w:spacing w:after="100"/>
              <w:rPr>
                <w:rFonts w:eastAsia="Times New Roman"/>
                <w:sz w:val="20"/>
                <w:szCs w:val="20"/>
              </w:rPr>
            </w:pPr>
          </w:p>
        </w:tc>
        <w:tc>
          <w:tcPr>
            <w:tcW w:w="0" w:type="auto"/>
            <w:gridSpan w:val="3"/>
            <w:vAlign w:val="center"/>
            <w:hideMark/>
          </w:tcPr>
          <w:p w14:paraId="5B13EFD8" w14:textId="77777777" w:rsidR="00000000" w:rsidRDefault="00A173A8">
            <w:pPr>
              <w:spacing w:after="100"/>
              <w:rPr>
                <w:rFonts w:eastAsia="Times New Roman"/>
                <w:sz w:val="20"/>
                <w:szCs w:val="20"/>
              </w:rPr>
            </w:pPr>
          </w:p>
        </w:tc>
        <w:tc>
          <w:tcPr>
            <w:tcW w:w="0" w:type="auto"/>
            <w:gridSpan w:val="3"/>
            <w:vAlign w:val="center"/>
            <w:hideMark/>
          </w:tcPr>
          <w:p w14:paraId="26E518CC" w14:textId="77777777" w:rsidR="00000000" w:rsidRDefault="00A173A8">
            <w:pPr>
              <w:spacing w:after="100"/>
              <w:rPr>
                <w:rFonts w:eastAsia="Times New Roman"/>
                <w:sz w:val="20"/>
                <w:szCs w:val="20"/>
              </w:rPr>
            </w:pPr>
          </w:p>
        </w:tc>
        <w:tc>
          <w:tcPr>
            <w:tcW w:w="0" w:type="auto"/>
            <w:gridSpan w:val="3"/>
            <w:vAlign w:val="center"/>
            <w:hideMark/>
          </w:tcPr>
          <w:p w14:paraId="3DF51018" w14:textId="77777777" w:rsidR="00000000" w:rsidRDefault="00A173A8">
            <w:pPr>
              <w:spacing w:after="100"/>
              <w:rPr>
                <w:rFonts w:eastAsia="Times New Roman"/>
                <w:sz w:val="20"/>
                <w:szCs w:val="20"/>
              </w:rPr>
            </w:pPr>
          </w:p>
        </w:tc>
        <w:tc>
          <w:tcPr>
            <w:tcW w:w="0" w:type="auto"/>
            <w:gridSpan w:val="3"/>
            <w:vAlign w:val="center"/>
            <w:hideMark/>
          </w:tcPr>
          <w:p w14:paraId="7D773538" w14:textId="77777777" w:rsidR="00000000" w:rsidRDefault="00A173A8">
            <w:pPr>
              <w:spacing w:after="100"/>
              <w:rPr>
                <w:rFonts w:eastAsia="Times New Roman"/>
                <w:sz w:val="20"/>
                <w:szCs w:val="20"/>
              </w:rPr>
            </w:pPr>
          </w:p>
        </w:tc>
        <w:tc>
          <w:tcPr>
            <w:tcW w:w="0" w:type="auto"/>
            <w:gridSpan w:val="3"/>
            <w:vAlign w:val="center"/>
            <w:hideMark/>
          </w:tcPr>
          <w:p w14:paraId="614190A4" w14:textId="77777777" w:rsidR="00000000" w:rsidRDefault="00A173A8">
            <w:pPr>
              <w:spacing w:after="100"/>
              <w:rPr>
                <w:rFonts w:eastAsia="Times New Roman"/>
                <w:sz w:val="20"/>
                <w:szCs w:val="20"/>
              </w:rPr>
            </w:pPr>
          </w:p>
        </w:tc>
        <w:tc>
          <w:tcPr>
            <w:tcW w:w="0" w:type="auto"/>
            <w:gridSpan w:val="3"/>
            <w:vAlign w:val="center"/>
            <w:hideMark/>
          </w:tcPr>
          <w:p w14:paraId="2B56C19D" w14:textId="77777777" w:rsidR="00000000" w:rsidRDefault="00A173A8">
            <w:pPr>
              <w:spacing w:after="100"/>
              <w:rPr>
                <w:rFonts w:eastAsia="Times New Roman"/>
                <w:sz w:val="20"/>
                <w:szCs w:val="20"/>
              </w:rPr>
            </w:pPr>
          </w:p>
        </w:tc>
        <w:tc>
          <w:tcPr>
            <w:tcW w:w="0" w:type="auto"/>
            <w:gridSpan w:val="3"/>
            <w:vAlign w:val="center"/>
            <w:hideMark/>
          </w:tcPr>
          <w:p w14:paraId="3A4E7C4D" w14:textId="77777777" w:rsidR="00000000" w:rsidRDefault="00A173A8">
            <w:pPr>
              <w:spacing w:after="100"/>
              <w:rPr>
                <w:rFonts w:eastAsia="Times New Roman"/>
                <w:sz w:val="20"/>
                <w:szCs w:val="20"/>
              </w:rPr>
            </w:pPr>
          </w:p>
        </w:tc>
        <w:tc>
          <w:tcPr>
            <w:tcW w:w="0" w:type="auto"/>
            <w:gridSpan w:val="3"/>
            <w:vAlign w:val="center"/>
            <w:hideMark/>
          </w:tcPr>
          <w:p w14:paraId="70036EC3" w14:textId="77777777" w:rsidR="00000000" w:rsidRDefault="00A173A8">
            <w:pPr>
              <w:spacing w:after="100"/>
              <w:rPr>
                <w:rFonts w:eastAsia="Times New Roman"/>
                <w:sz w:val="20"/>
                <w:szCs w:val="20"/>
              </w:rPr>
            </w:pPr>
          </w:p>
        </w:tc>
        <w:tc>
          <w:tcPr>
            <w:tcW w:w="0" w:type="auto"/>
            <w:gridSpan w:val="3"/>
            <w:vAlign w:val="center"/>
            <w:hideMark/>
          </w:tcPr>
          <w:p w14:paraId="4EBD120B" w14:textId="77777777" w:rsidR="00000000" w:rsidRDefault="00A173A8">
            <w:pPr>
              <w:spacing w:after="100"/>
              <w:rPr>
                <w:rFonts w:eastAsia="Times New Roman"/>
                <w:sz w:val="20"/>
                <w:szCs w:val="20"/>
              </w:rPr>
            </w:pPr>
          </w:p>
        </w:tc>
        <w:tc>
          <w:tcPr>
            <w:tcW w:w="0" w:type="auto"/>
            <w:gridSpan w:val="3"/>
            <w:vAlign w:val="center"/>
            <w:hideMark/>
          </w:tcPr>
          <w:p w14:paraId="466A1CB8" w14:textId="77777777" w:rsidR="00000000" w:rsidRDefault="00A173A8">
            <w:pPr>
              <w:spacing w:after="100"/>
              <w:rPr>
                <w:rFonts w:eastAsia="Times New Roman"/>
                <w:sz w:val="20"/>
                <w:szCs w:val="20"/>
              </w:rPr>
            </w:pPr>
          </w:p>
        </w:tc>
        <w:tc>
          <w:tcPr>
            <w:tcW w:w="0" w:type="auto"/>
            <w:gridSpan w:val="3"/>
            <w:vAlign w:val="center"/>
            <w:hideMark/>
          </w:tcPr>
          <w:p w14:paraId="6FDC87D2" w14:textId="77777777" w:rsidR="00000000" w:rsidRDefault="00A173A8">
            <w:pPr>
              <w:spacing w:after="100"/>
              <w:rPr>
                <w:rFonts w:eastAsia="Times New Roman"/>
                <w:sz w:val="20"/>
                <w:szCs w:val="20"/>
              </w:rPr>
            </w:pPr>
          </w:p>
        </w:tc>
        <w:tc>
          <w:tcPr>
            <w:tcW w:w="0" w:type="auto"/>
            <w:gridSpan w:val="3"/>
            <w:vAlign w:val="center"/>
            <w:hideMark/>
          </w:tcPr>
          <w:p w14:paraId="7A538057" w14:textId="77777777" w:rsidR="00000000" w:rsidRDefault="00A173A8">
            <w:pPr>
              <w:spacing w:after="100"/>
              <w:rPr>
                <w:rFonts w:eastAsia="Times New Roman"/>
                <w:sz w:val="20"/>
                <w:szCs w:val="20"/>
              </w:rPr>
            </w:pPr>
          </w:p>
        </w:tc>
      </w:tr>
      <w:tr w:rsidR="00000000" w14:paraId="429B4A99" w14:textId="77777777">
        <w:trPr>
          <w:divId w:val="488981052"/>
        </w:trPr>
        <w:tc>
          <w:tcPr>
            <w:tcW w:w="0" w:type="auto"/>
            <w:gridSpan w:val="3"/>
            <w:vAlign w:val="center"/>
            <w:hideMark/>
          </w:tcPr>
          <w:p w14:paraId="02F25158" w14:textId="77777777" w:rsidR="00000000" w:rsidRDefault="00A173A8">
            <w:pPr>
              <w:spacing w:after="100"/>
              <w:rPr>
                <w:rFonts w:eastAsia="Times New Roman"/>
                <w:sz w:val="20"/>
                <w:szCs w:val="20"/>
              </w:rPr>
            </w:pPr>
          </w:p>
        </w:tc>
        <w:tc>
          <w:tcPr>
            <w:tcW w:w="0" w:type="auto"/>
            <w:gridSpan w:val="3"/>
            <w:vAlign w:val="center"/>
            <w:hideMark/>
          </w:tcPr>
          <w:p w14:paraId="25275E62" w14:textId="77777777" w:rsidR="00000000" w:rsidRDefault="00A173A8">
            <w:pPr>
              <w:spacing w:after="100"/>
              <w:rPr>
                <w:rFonts w:eastAsia="Times New Roman"/>
                <w:sz w:val="20"/>
                <w:szCs w:val="20"/>
              </w:rPr>
            </w:pPr>
          </w:p>
        </w:tc>
        <w:tc>
          <w:tcPr>
            <w:tcW w:w="0" w:type="auto"/>
            <w:gridSpan w:val="3"/>
            <w:vAlign w:val="center"/>
            <w:hideMark/>
          </w:tcPr>
          <w:p w14:paraId="725C9F08" w14:textId="77777777" w:rsidR="00000000" w:rsidRDefault="00A173A8">
            <w:pPr>
              <w:spacing w:after="100"/>
              <w:rPr>
                <w:rFonts w:eastAsia="Times New Roman"/>
                <w:sz w:val="20"/>
                <w:szCs w:val="20"/>
              </w:rPr>
            </w:pPr>
          </w:p>
        </w:tc>
        <w:tc>
          <w:tcPr>
            <w:tcW w:w="0" w:type="auto"/>
            <w:gridSpan w:val="3"/>
            <w:vAlign w:val="center"/>
            <w:hideMark/>
          </w:tcPr>
          <w:p w14:paraId="664DE70C" w14:textId="77777777" w:rsidR="00000000" w:rsidRDefault="00A173A8">
            <w:pPr>
              <w:spacing w:after="100"/>
              <w:rPr>
                <w:rFonts w:eastAsia="Times New Roman"/>
                <w:sz w:val="20"/>
                <w:szCs w:val="20"/>
              </w:rPr>
            </w:pPr>
          </w:p>
        </w:tc>
        <w:tc>
          <w:tcPr>
            <w:tcW w:w="0" w:type="auto"/>
            <w:gridSpan w:val="3"/>
            <w:vAlign w:val="center"/>
            <w:hideMark/>
          </w:tcPr>
          <w:p w14:paraId="55A59BFD" w14:textId="77777777" w:rsidR="00000000" w:rsidRDefault="00A173A8">
            <w:pPr>
              <w:spacing w:after="100"/>
              <w:rPr>
                <w:rFonts w:eastAsia="Times New Roman"/>
                <w:sz w:val="20"/>
                <w:szCs w:val="20"/>
              </w:rPr>
            </w:pPr>
          </w:p>
        </w:tc>
        <w:tc>
          <w:tcPr>
            <w:tcW w:w="0" w:type="auto"/>
            <w:gridSpan w:val="3"/>
            <w:vAlign w:val="center"/>
            <w:hideMark/>
          </w:tcPr>
          <w:p w14:paraId="4D5E1093" w14:textId="77777777" w:rsidR="00000000" w:rsidRDefault="00A173A8">
            <w:pPr>
              <w:spacing w:after="100"/>
              <w:rPr>
                <w:rFonts w:eastAsia="Times New Roman"/>
                <w:sz w:val="20"/>
                <w:szCs w:val="20"/>
              </w:rPr>
            </w:pPr>
          </w:p>
        </w:tc>
        <w:tc>
          <w:tcPr>
            <w:tcW w:w="0" w:type="auto"/>
            <w:gridSpan w:val="3"/>
            <w:vAlign w:val="center"/>
            <w:hideMark/>
          </w:tcPr>
          <w:p w14:paraId="2CAEC52C" w14:textId="77777777" w:rsidR="00000000" w:rsidRDefault="00A173A8">
            <w:pPr>
              <w:spacing w:after="100"/>
              <w:rPr>
                <w:rFonts w:eastAsia="Times New Roman"/>
                <w:sz w:val="20"/>
                <w:szCs w:val="20"/>
              </w:rPr>
            </w:pPr>
          </w:p>
        </w:tc>
        <w:tc>
          <w:tcPr>
            <w:tcW w:w="0" w:type="auto"/>
            <w:gridSpan w:val="3"/>
            <w:vAlign w:val="center"/>
            <w:hideMark/>
          </w:tcPr>
          <w:p w14:paraId="47CF06CB" w14:textId="77777777" w:rsidR="00000000" w:rsidRDefault="00A173A8">
            <w:pPr>
              <w:spacing w:after="100"/>
              <w:rPr>
                <w:rFonts w:eastAsia="Times New Roman"/>
                <w:sz w:val="20"/>
                <w:szCs w:val="20"/>
              </w:rPr>
            </w:pPr>
          </w:p>
        </w:tc>
        <w:tc>
          <w:tcPr>
            <w:tcW w:w="0" w:type="auto"/>
            <w:gridSpan w:val="3"/>
            <w:vAlign w:val="center"/>
            <w:hideMark/>
          </w:tcPr>
          <w:p w14:paraId="6C448378" w14:textId="77777777" w:rsidR="00000000" w:rsidRDefault="00A173A8">
            <w:pPr>
              <w:spacing w:after="100"/>
              <w:rPr>
                <w:rFonts w:eastAsia="Times New Roman"/>
                <w:sz w:val="20"/>
                <w:szCs w:val="20"/>
              </w:rPr>
            </w:pPr>
          </w:p>
        </w:tc>
        <w:tc>
          <w:tcPr>
            <w:tcW w:w="0" w:type="auto"/>
            <w:gridSpan w:val="3"/>
            <w:vAlign w:val="center"/>
            <w:hideMark/>
          </w:tcPr>
          <w:p w14:paraId="1B7477C0" w14:textId="77777777" w:rsidR="00000000" w:rsidRDefault="00A173A8">
            <w:pPr>
              <w:spacing w:after="100"/>
              <w:rPr>
                <w:rFonts w:eastAsia="Times New Roman"/>
                <w:sz w:val="20"/>
                <w:szCs w:val="20"/>
              </w:rPr>
            </w:pPr>
          </w:p>
        </w:tc>
        <w:tc>
          <w:tcPr>
            <w:tcW w:w="0" w:type="auto"/>
            <w:gridSpan w:val="3"/>
            <w:vAlign w:val="center"/>
            <w:hideMark/>
          </w:tcPr>
          <w:p w14:paraId="5E22BC9E" w14:textId="77777777" w:rsidR="00000000" w:rsidRDefault="00A173A8">
            <w:pPr>
              <w:spacing w:after="100"/>
              <w:rPr>
                <w:rFonts w:eastAsia="Times New Roman"/>
                <w:sz w:val="20"/>
                <w:szCs w:val="20"/>
              </w:rPr>
            </w:pPr>
          </w:p>
        </w:tc>
        <w:tc>
          <w:tcPr>
            <w:tcW w:w="0" w:type="auto"/>
            <w:gridSpan w:val="3"/>
            <w:vAlign w:val="center"/>
            <w:hideMark/>
          </w:tcPr>
          <w:p w14:paraId="75AAD841" w14:textId="77777777" w:rsidR="00000000" w:rsidRDefault="00A173A8">
            <w:pPr>
              <w:spacing w:after="100"/>
              <w:rPr>
                <w:rFonts w:eastAsia="Times New Roman"/>
                <w:sz w:val="20"/>
                <w:szCs w:val="20"/>
              </w:rPr>
            </w:pPr>
          </w:p>
        </w:tc>
        <w:tc>
          <w:tcPr>
            <w:tcW w:w="0" w:type="auto"/>
            <w:gridSpan w:val="3"/>
            <w:vAlign w:val="center"/>
            <w:hideMark/>
          </w:tcPr>
          <w:p w14:paraId="3637342B" w14:textId="77777777" w:rsidR="00000000" w:rsidRDefault="00A173A8">
            <w:pPr>
              <w:spacing w:after="100"/>
              <w:rPr>
                <w:rFonts w:eastAsia="Times New Roman"/>
                <w:sz w:val="20"/>
                <w:szCs w:val="20"/>
              </w:rPr>
            </w:pPr>
          </w:p>
        </w:tc>
        <w:tc>
          <w:tcPr>
            <w:tcW w:w="0" w:type="auto"/>
            <w:gridSpan w:val="3"/>
            <w:vAlign w:val="center"/>
            <w:hideMark/>
          </w:tcPr>
          <w:p w14:paraId="7ED92784" w14:textId="77777777" w:rsidR="00000000" w:rsidRDefault="00A173A8">
            <w:pPr>
              <w:spacing w:after="100"/>
              <w:rPr>
                <w:rFonts w:eastAsia="Times New Roman"/>
                <w:sz w:val="20"/>
                <w:szCs w:val="20"/>
              </w:rPr>
            </w:pPr>
          </w:p>
        </w:tc>
        <w:tc>
          <w:tcPr>
            <w:tcW w:w="0" w:type="auto"/>
            <w:gridSpan w:val="3"/>
            <w:vAlign w:val="center"/>
            <w:hideMark/>
          </w:tcPr>
          <w:p w14:paraId="6BCDE13F" w14:textId="77777777" w:rsidR="00000000" w:rsidRDefault="00A173A8">
            <w:pPr>
              <w:spacing w:after="100"/>
              <w:rPr>
                <w:rFonts w:eastAsia="Times New Roman"/>
                <w:sz w:val="20"/>
                <w:szCs w:val="20"/>
              </w:rPr>
            </w:pPr>
          </w:p>
        </w:tc>
        <w:tc>
          <w:tcPr>
            <w:tcW w:w="0" w:type="auto"/>
            <w:gridSpan w:val="3"/>
            <w:vAlign w:val="center"/>
            <w:hideMark/>
          </w:tcPr>
          <w:p w14:paraId="5447161C" w14:textId="77777777" w:rsidR="00000000" w:rsidRDefault="00A173A8">
            <w:pPr>
              <w:spacing w:after="100"/>
              <w:rPr>
                <w:rFonts w:eastAsia="Times New Roman"/>
                <w:sz w:val="20"/>
                <w:szCs w:val="20"/>
              </w:rPr>
            </w:pPr>
          </w:p>
        </w:tc>
        <w:tc>
          <w:tcPr>
            <w:tcW w:w="0" w:type="auto"/>
            <w:gridSpan w:val="3"/>
            <w:vAlign w:val="center"/>
            <w:hideMark/>
          </w:tcPr>
          <w:p w14:paraId="4628237D" w14:textId="77777777" w:rsidR="00000000" w:rsidRDefault="00A173A8">
            <w:pPr>
              <w:spacing w:after="100"/>
              <w:rPr>
                <w:rFonts w:eastAsia="Times New Roman"/>
                <w:sz w:val="20"/>
                <w:szCs w:val="20"/>
              </w:rPr>
            </w:pPr>
          </w:p>
        </w:tc>
        <w:tc>
          <w:tcPr>
            <w:tcW w:w="0" w:type="auto"/>
            <w:gridSpan w:val="3"/>
            <w:vAlign w:val="center"/>
            <w:hideMark/>
          </w:tcPr>
          <w:p w14:paraId="0CE63ACB" w14:textId="77777777" w:rsidR="00000000" w:rsidRDefault="00A173A8">
            <w:pPr>
              <w:spacing w:after="100"/>
              <w:rPr>
                <w:rFonts w:eastAsia="Times New Roman"/>
                <w:sz w:val="20"/>
                <w:szCs w:val="20"/>
              </w:rPr>
            </w:pPr>
          </w:p>
        </w:tc>
        <w:tc>
          <w:tcPr>
            <w:tcW w:w="0" w:type="auto"/>
            <w:gridSpan w:val="3"/>
            <w:vAlign w:val="center"/>
            <w:hideMark/>
          </w:tcPr>
          <w:p w14:paraId="776A430D" w14:textId="77777777" w:rsidR="00000000" w:rsidRDefault="00A173A8">
            <w:pPr>
              <w:spacing w:after="100"/>
              <w:rPr>
                <w:rFonts w:eastAsia="Times New Roman"/>
                <w:sz w:val="20"/>
                <w:szCs w:val="20"/>
              </w:rPr>
            </w:pPr>
          </w:p>
        </w:tc>
      </w:tr>
      <w:tr w:rsidR="00000000" w14:paraId="793ABD6A" w14:textId="77777777">
        <w:trPr>
          <w:divId w:val="488981052"/>
        </w:trPr>
        <w:tc>
          <w:tcPr>
            <w:tcW w:w="0" w:type="auto"/>
            <w:gridSpan w:val="3"/>
            <w:shd w:val="clear" w:color="auto" w:fill="CCEEFF"/>
            <w:tcMar>
              <w:top w:w="30" w:type="dxa"/>
              <w:left w:w="20" w:type="dxa"/>
              <w:bottom w:w="30" w:type="dxa"/>
              <w:right w:w="20" w:type="dxa"/>
            </w:tcMar>
            <w:vAlign w:val="center"/>
            <w:hideMark/>
          </w:tcPr>
          <w:p w14:paraId="5A89B99B" w14:textId="77777777" w:rsidR="00000000" w:rsidRDefault="00A173A8">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14:paraId="70A249F8"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FCA7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A1969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1AAB7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2FFBA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D6C55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5E260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E5989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1B7541"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6E1262" w14:textId="77777777" w:rsidR="00000000" w:rsidRDefault="00A173A8">
            <w:pPr>
              <w:spacing w:after="100"/>
              <w:jc w:val="right"/>
              <w:rPr>
                <w:rFonts w:eastAsia="Times New Roman"/>
              </w:rPr>
            </w:pPr>
            <w:r>
              <w:rPr>
                <w:rFonts w:eastAsia="Times New Roman"/>
                <w:b/>
                <w:bCs/>
                <w:color w:val="000000"/>
                <w:sz w:val="16"/>
                <w:szCs w:val="16"/>
              </w:rPr>
              <w:t>68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AC4164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97E2CF"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E4F57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A8CC8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BA9CF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24DF1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8E442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D94FC0"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D572CF" w14:textId="77777777" w:rsidR="00000000" w:rsidRDefault="00A173A8">
            <w:pPr>
              <w:spacing w:after="100"/>
              <w:jc w:val="right"/>
              <w:rPr>
                <w:rFonts w:eastAsia="Times New Roman"/>
              </w:rPr>
            </w:pPr>
            <w:r>
              <w:rPr>
                <w:rFonts w:eastAsia="Times New Roman"/>
                <w:b/>
                <w:bCs/>
                <w:color w:val="000000"/>
                <w:sz w:val="16"/>
                <w:szCs w:val="16"/>
              </w:rPr>
              <w:t>68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1A244EA" w14:textId="77777777" w:rsidR="00000000" w:rsidRDefault="00A173A8">
            <w:pPr>
              <w:spacing w:after="100"/>
              <w:jc w:val="right"/>
              <w:rPr>
                <w:rFonts w:eastAsia="Times New Roman"/>
              </w:rPr>
            </w:pPr>
          </w:p>
        </w:tc>
      </w:tr>
      <w:tr w:rsidR="00A173A8" w14:paraId="2032CFB2" w14:textId="77777777">
        <w:trPr>
          <w:divId w:val="488981052"/>
        </w:trPr>
        <w:tc>
          <w:tcPr>
            <w:tcW w:w="0" w:type="auto"/>
            <w:gridSpan w:val="3"/>
            <w:shd w:val="clear" w:color="auto" w:fill="FFFFFF"/>
            <w:tcMar>
              <w:top w:w="30" w:type="dxa"/>
              <w:left w:w="20" w:type="dxa"/>
              <w:bottom w:w="30" w:type="dxa"/>
              <w:right w:w="20" w:type="dxa"/>
            </w:tcMar>
            <w:vAlign w:val="center"/>
            <w:hideMark/>
          </w:tcPr>
          <w:p w14:paraId="5D8187D0" w14:textId="77777777" w:rsidR="00000000" w:rsidRDefault="00A173A8">
            <w:pPr>
              <w:spacing w:after="100"/>
              <w:rPr>
                <w:rFonts w:eastAsia="Times New Roman"/>
              </w:rPr>
            </w:pPr>
            <w:r>
              <w:rPr>
                <w:rFonts w:eastAsia="Times New Roman"/>
                <w:b/>
                <w:bCs/>
                <w:color w:val="000000"/>
                <w:sz w:val="16"/>
                <w:szCs w:val="16"/>
              </w:rPr>
              <w:t>Balance as of June 30, 2022</w:t>
            </w:r>
          </w:p>
        </w:tc>
        <w:tc>
          <w:tcPr>
            <w:tcW w:w="0" w:type="auto"/>
            <w:gridSpan w:val="3"/>
            <w:shd w:val="clear" w:color="auto" w:fill="FFFFFF"/>
            <w:tcMar>
              <w:top w:w="0" w:type="dxa"/>
              <w:left w:w="20" w:type="dxa"/>
              <w:bottom w:w="0" w:type="dxa"/>
              <w:right w:w="20" w:type="dxa"/>
            </w:tcMar>
            <w:vAlign w:val="center"/>
            <w:hideMark/>
          </w:tcPr>
          <w:p w14:paraId="4D441D97" w14:textId="77777777" w:rsidR="00000000" w:rsidRDefault="00A173A8">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2FFA54" w14:textId="77777777" w:rsidR="00000000" w:rsidRDefault="00A173A8">
            <w:pPr>
              <w:spacing w:after="100"/>
              <w:jc w:val="right"/>
              <w:rPr>
                <w:rFonts w:eastAsia="Times New Roman"/>
              </w:rPr>
            </w:pPr>
            <w:r>
              <w:rPr>
                <w:rFonts w:eastAsia="Times New Roman"/>
                <w:b/>
                <w:bCs/>
                <w:color w:val="000000"/>
                <w:sz w:val="16"/>
                <w:szCs w:val="16"/>
              </w:rPr>
              <w:t>4,975,000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0A3458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AE294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7334BC"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BAC7E4"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936D7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DC3165"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5FD97D" w14:textId="77777777" w:rsidR="00000000" w:rsidRDefault="00A173A8">
            <w:pPr>
              <w:spacing w:after="100"/>
              <w:jc w:val="right"/>
              <w:rPr>
                <w:rFonts w:eastAsia="Times New Roman"/>
              </w:rPr>
            </w:pPr>
            <w:r>
              <w:rPr>
                <w:rFonts w:eastAsia="Times New Roman"/>
                <w:b/>
                <w:bCs/>
                <w:color w:val="000000"/>
                <w:sz w:val="16"/>
                <w:szCs w:val="16"/>
              </w:rPr>
              <w:t>688,277,408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277C8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E14B5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152672"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70C067" w14:textId="77777777" w:rsidR="00000000" w:rsidRDefault="00A173A8">
            <w:pPr>
              <w:spacing w:after="100"/>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91F2D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E815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453DE63"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874D43" w14:textId="77777777" w:rsidR="00000000" w:rsidRDefault="00A173A8">
            <w:pPr>
              <w:spacing w:after="100"/>
              <w:jc w:val="right"/>
              <w:rPr>
                <w:rFonts w:eastAsia="Times New Roman"/>
              </w:rPr>
            </w:pPr>
            <w:r>
              <w:rPr>
                <w:rFonts w:eastAsia="Times New Roman"/>
                <w:b/>
                <w:bCs/>
                <w:color w:val="000000"/>
                <w:sz w:val="16"/>
                <w:szCs w:val="16"/>
              </w:rPr>
              <w:t>34,425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ABE0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C6DA1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A92181"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7755D0" w14:textId="77777777" w:rsidR="00000000" w:rsidRDefault="00A173A8">
            <w:pPr>
              <w:spacing w:after="100"/>
              <w:jc w:val="right"/>
              <w:rPr>
                <w:rFonts w:eastAsia="Times New Roman"/>
              </w:rPr>
            </w:pPr>
            <w:r>
              <w:rPr>
                <w:rFonts w:eastAsia="Times New Roman"/>
                <w:b/>
                <w:bCs/>
                <w:color w:val="000000"/>
                <w:sz w:val="16"/>
                <w:szCs w:val="16"/>
              </w:rPr>
              <w:t>54,836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23E1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D17A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D031F5"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19863B" w14:textId="77777777" w:rsidR="00000000" w:rsidRDefault="00A173A8">
            <w:pPr>
              <w:spacing w:after="100"/>
              <w:jc w:val="right"/>
              <w:rPr>
                <w:rFonts w:eastAsia="Times New Roman"/>
              </w:rPr>
            </w:pPr>
            <w:r>
              <w:rPr>
                <w:rFonts w:eastAsia="Times New Roman"/>
                <w:b/>
                <w:bCs/>
                <w:color w:val="000000"/>
                <w:sz w:val="16"/>
                <w:szCs w:val="16"/>
              </w:rPr>
              <w:t>(6,916)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3F539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76664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3E81E4"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09E857" w14:textId="77777777" w:rsidR="00000000" w:rsidRDefault="00A173A8">
            <w:pPr>
              <w:spacing w:after="100"/>
              <w:jc w:val="right"/>
              <w:rPr>
                <w:rFonts w:eastAsia="Times New Roman"/>
              </w:rPr>
            </w:pPr>
            <w:r>
              <w:rPr>
                <w:rFonts w:eastAsia="Times New Roman"/>
                <w:b/>
                <w:bCs/>
                <w:color w:val="000000"/>
                <w:sz w:val="16"/>
                <w:szCs w:val="16"/>
              </w:rPr>
              <w:t>(28,942)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23034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1CB6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251DFC"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FC3825" w14:textId="77777777" w:rsidR="00000000" w:rsidRDefault="00A173A8">
            <w:pPr>
              <w:spacing w:after="100"/>
              <w:jc w:val="right"/>
              <w:rPr>
                <w:rFonts w:eastAsia="Times New Roman"/>
              </w:rPr>
            </w:pPr>
            <w:r>
              <w:rPr>
                <w:rFonts w:eastAsia="Times New Roman"/>
                <w:b/>
                <w:bCs/>
                <w:color w:val="000000"/>
                <w:sz w:val="16"/>
                <w:szCs w:val="16"/>
              </w:rPr>
              <w:t>53,410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02B6FD" w14:textId="77777777" w:rsidR="00000000" w:rsidRDefault="00A173A8">
            <w:pPr>
              <w:spacing w:after="100"/>
              <w:jc w:val="right"/>
              <w:rPr>
                <w:rFonts w:eastAsia="Times New Roman"/>
              </w:rPr>
            </w:pPr>
          </w:p>
        </w:tc>
      </w:tr>
    </w:tbl>
    <w:p w14:paraId="58569397" w14:textId="77777777" w:rsidR="00000000" w:rsidRDefault="00A173A8">
      <w:pPr>
        <w:jc w:val="both"/>
        <w:divId w:val="48898105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852"/>
        <w:gridCol w:w="36"/>
        <w:gridCol w:w="36"/>
        <w:gridCol w:w="36"/>
        <w:gridCol w:w="36"/>
        <w:gridCol w:w="36"/>
        <w:gridCol w:w="515"/>
        <w:gridCol w:w="36"/>
        <w:gridCol w:w="36"/>
        <w:gridCol w:w="36"/>
        <w:gridCol w:w="36"/>
        <w:gridCol w:w="36"/>
        <w:gridCol w:w="378"/>
        <w:gridCol w:w="36"/>
        <w:gridCol w:w="36"/>
        <w:gridCol w:w="36"/>
        <w:gridCol w:w="36"/>
        <w:gridCol w:w="36"/>
        <w:gridCol w:w="647"/>
        <w:gridCol w:w="36"/>
        <w:gridCol w:w="36"/>
        <w:gridCol w:w="36"/>
        <w:gridCol w:w="36"/>
        <w:gridCol w:w="36"/>
        <w:gridCol w:w="378"/>
        <w:gridCol w:w="36"/>
        <w:gridCol w:w="36"/>
        <w:gridCol w:w="36"/>
        <w:gridCol w:w="36"/>
        <w:gridCol w:w="36"/>
        <w:gridCol w:w="501"/>
        <w:gridCol w:w="36"/>
        <w:gridCol w:w="36"/>
        <w:gridCol w:w="36"/>
        <w:gridCol w:w="36"/>
        <w:gridCol w:w="37"/>
        <w:gridCol w:w="466"/>
        <w:gridCol w:w="36"/>
        <w:gridCol w:w="36"/>
        <w:gridCol w:w="36"/>
        <w:gridCol w:w="36"/>
        <w:gridCol w:w="38"/>
        <w:gridCol w:w="746"/>
        <w:gridCol w:w="36"/>
        <w:gridCol w:w="36"/>
        <w:gridCol w:w="36"/>
        <w:gridCol w:w="36"/>
        <w:gridCol w:w="38"/>
        <w:gridCol w:w="454"/>
        <w:gridCol w:w="36"/>
        <w:gridCol w:w="36"/>
        <w:gridCol w:w="36"/>
        <w:gridCol w:w="36"/>
        <w:gridCol w:w="38"/>
        <w:gridCol w:w="650"/>
        <w:gridCol w:w="36"/>
      </w:tblGrid>
      <w:tr w:rsidR="00000000" w14:paraId="7774770A" w14:textId="77777777">
        <w:trPr>
          <w:divId w:val="488981052"/>
        </w:trPr>
        <w:tc>
          <w:tcPr>
            <w:tcW w:w="50" w:type="pct"/>
            <w:vAlign w:val="center"/>
            <w:hideMark/>
          </w:tcPr>
          <w:p w14:paraId="0C68DCFA" w14:textId="77777777" w:rsidR="00000000" w:rsidRDefault="00A173A8">
            <w:pPr>
              <w:jc w:val="both"/>
              <w:rPr>
                <w:rFonts w:eastAsia="Times New Roman"/>
              </w:rPr>
            </w:pPr>
          </w:p>
        </w:tc>
        <w:tc>
          <w:tcPr>
            <w:tcW w:w="1129" w:type="pct"/>
            <w:vAlign w:val="center"/>
            <w:hideMark/>
          </w:tcPr>
          <w:p w14:paraId="2DF2237C" w14:textId="77777777" w:rsidR="00000000" w:rsidRDefault="00A173A8">
            <w:pPr>
              <w:spacing w:after="100"/>
              <w:rPr>
                <w:rFonts w:eastAsia="Times New Roman"/>
                <w:sz w:val="20"/>
                <w:szCs w:val="20"/>
              </w:rPr>
            </w:pPr>
          </w:p>
        </w:tc>
        <w:tc>
          <w:tcPr>
            <w:tcW w:w="5" w:type="pct"/>
            <w:vAlign w:val="center"/>
            <w:hideMark/>
          </w:tcPr>
          <w:p w14:paraId="3D481C85" w14:textId="77777777" w:rsidR="00000000" w:rsidRDefault="00A173A8">
            <w:pPr>
              <w:spacing w:after="100"/>
              <w:rPr>
                <w:rFonts w:eastAsia="Times New Roman"/>
                <w:sz w:val="20"/>
                <w:szCs w:val="20"/>
              </w:rPr>
            </w:pPr>
          </w:p>
        </w:tc>
        <w:tc>
          <w:tcPr>
            <w:tcW w:w="5" w:type="pct"/>
            <w:vAlign w:val="center"/>
            <w:hideMark/>
          </w:tcPr>
          <w:p w14:paraId="127AF74E" w14:textId="77777777" w:rsidR="00000000" w:rsidRDefault="00A173A8">
            <w:pPr>
              <w:spacing w:after="100"/>
              <w:rPr>
                <w:rFonts w:eastAsia="Times New Roman"/>
                <w:sz w:val="20"/>
                <w:szCs w:val="20"/>
              </w:rPr>
            </w:pPr>
          </w:p>
        </w:tc>
        <w:tc>
          <w:tcPr>
            <w:tcW w:w="26" w:type="pct"/>
            <w:vAlign w:val="center"/>
            <w:hideMark/>
          </w:tcPr>
          <w:p w14:paraId="126E2EC6" w14:textId="77777777" w:rsidR="00000000" w:rsidRDefault="00A173A8">
            <w:pPr>
              <w:spacing w:after="100"/>
              <w:rPr>
                <w:rFonts w:eastAsia="Times New Roman"/>
                <w:sz w:val="20"/>
                <w:szCs w:val="20"/>
              </w:rPr>
            </w:pPr>
          </w:p>
        </w:tc>
        <w:tc>
          <w:tcPr>
            <w:tcW w:w="5" w:type="pct"/>
            <w:vAlign w:val="center"/>
            <w:hideMark/>
          </w:tcPr>
          <w:p w14:paraId="280527B1" w14:textId="77777777" w:rsidR="00000000" w:rsidRDefault="00A173A8">
            <w:pPr>
              <w:spacing w:after="100"/>
              <w:rPr>
                <w:rFonts w:eastAsia="Times New Roman"/>
                <w:sz w:val="20"/>
                <w:szCs w:val="20"/>
              </w:rPr>
            </w:pPr>
          </w:p>
        </w:tc>
        <w:tc>
          <w:tcPr>
            <w:tcW w:w="50" w:type="pct"/>
            <w:vAlign w:val="center"/>
            <w:hideMark/>
          </w:tcPr>
          <w:p w14:paraId="68D068E5" w14:textId="77777777" w:rsidR="00000000" w:rsidRDefault="00A173A8">
            <w:pPr>
              <w:spacing w:after="100"/>
              <w:rPr>
                <w:rFonts w:eastAsia="Times New Roman"/>
                <w:sz w:val="20"/>
                <w:szCs w:val="20"/>
              </w:rPr>
            </w:pPr>
          </w:p>
        </w:tc>
        <w:tc>
          <w:tcPr>
            <w:tcW w:w="325" w:type="pct"/>
            <w:vAlign w:val="center"/>
            <w:hideMark/>
          </w:tcPr>
          <w:p w14:paraId="1E5510DB" w14:textId="77777777" w:rsidR="00000000" w:rsidRDefault="00A173A8">
            <w:pPr>
              <w:spacing w:after="100"/>
              <w:rPr>
                <w:rFonts w:eastAsia="Times New Roman"/>
                <w:sz w:val="20"/>
                <w:szCs w:val="20"/>
              </w:rPr>
            </w:pPr>
          </w:p>
        </w:tc>
        <w:tc>
          <w:tcPr>
            <w:tcW w:w="5" w:type="pct"/>
            <w:vAlign w:val="center"/>
            <w:hideMark/>
          </w:tcPr>
          <w:p w14:paraId="4074581B" w14:textId="77777777" w:rsidR="00000000" w:rsidRDefault="00A173A8">
            <w:pPr>
              <w:spacing w:after="100"/>
              <w:rPr>
                <w:rFonts w:eastAsia="Times New Roman"/>
                <w:sz w:val="20"/>
                <w:szCs w:val="20"/>
              </w:rPr>
            </w:pPr>
          </w:p>
        </w:tc>
        <w:tc>
          <w:tcPr>
            <w:tcW w:w="5" w:type="pct"/>
            <w:vAlign w:val="center"/>
            <w:hideMark/>
          </w:tcPr>
          <w:p w14:paraId="4A64E6A4" w14:textId="77777777" w:rsidR="00000000" w:rsidRDefault="00A173A8">
            <w:pPr>
              <w:spacing w:after="100"/>
              <w:rPr>
                <w:rFonts w:eastAsia="Times New Roman"/>
                <w:sz w:val="20"/>
                <w:szCs w:val="20"/>
              </w:rPr>
            </w:pPr>
          </w:p>
        </w:tc>
        <w:tc>
          <w:tcPr>
            <w:tcW w:w="26" w:type="pct"/>
            <w:vAlign w:val="center"/>
            <w:hideMark/>
          </w:tcPr>
          <w:p w14:paraId="1BF0EB76" w14:textId="77777777" w:rsidR="00000000" w:rsidRDefault="00A173A8">
            <w:pPr>
              <w:spacing w:after="100"/>
              <w:rPr>
                <w:rFonts w:eastAsia="Times New Roman"/>
                <w:sz w:val="20"/>
                <w:szCs w:val="20"/>
              </w:rPr>
            </w:pPr>
          </w:p>
        </w:tc>
        <w:tc>
          <w:tcPr>
            <w:tcW w:w="5" w:type="pct"/>
            <w:vAlign w:val="center"/>
            <w:hideMark/>
          </w:tcPr>
          <w:p w14:paraId="0485C518" w14:textId="77777777" w:rsidR="00000000" w:rsidRDefault="00A173A8">
            <w:pPr>
              <w:spacing w:after="100"/>
              <w:rPr>
                <w:rFonts w:eastAsia="Times New Roman"/>
                <w:sz w:val="20"/>
                <w:szCs w:val="20"/>
              </w:rPr>
            </w:pPr>
          </w:p>
        </w:tc>
        <w:tc>
          <w:tcPr>
            <w:tcW w:w="50" w:type="pct"/>
            <w:vAlign w:val="center"/>
            <w:hideMark/>
          </w:tcPr>
          <w:p w14:paraId="1AE6D82D" w14:textId="77777777" w:rsidR="00000000" w:rsidRDefault="00A173A8">
            <w:pPr>
              <w:spacing w:after="100"/>
              <w:rPr>
                <w:rFonts w:eastAsia="Times New Roman"/>
                <w:sz w:val="20"/>
                <w:szCs w:val="20"/>
              </w:rPr>
            </w:pPr>
          </w:p>
        </w:tc>
        <w:tc>
          <w:tcPr>
            <w:tcW w:w="244" w:type="pct"/>
            <w:vAlign w:val="center"/>
            <w:hideMark/>
          </w:tcPr>
          <w:p w14:paraId="25000181" w14:textId="77777777" w:rsidR="00000000" w:rsidRDefault="00A173A8">
            <w:pPr>
              <w:spacing w:after="100"/>
              <w:rPr>
                <w:rFonts w:eastAsia="Times New Roman"/>
                <w:sz w:val="20"/>
                <w:szCs w:val="20"/>
              </w:rPr>
            </w:pPr>
          </w:p>
        </w:tc>
        <w:tc>
          <w:tcPr>
            <w:tcW w:w="5" w:type="pct"/>
            <w:vAlign w:val="center"/>
            <w:hideMark/>
          </w:tcPr>
          <w:p w14:paraId="0C466C76" w14:textId="77777777" w:rsidR="00000000" w:rsidRDefault="00A173A8">
            <w:pPr>
              <w:spacing w:after="100"/>
              <w:rPr>
                <w:rFonts w:eastAsia="Times New Roman"/>
                <w:sz w:val="20"/>
                <w:szCs w:val="20"/>
              </w:rPr>
            </w:pPr>
          </w:p>
        </w:tc>
        <w:tc>
          <w:tcPr>
            <w:tcW w:w="5" w:type="pct"/>
            <w:vAlign w:val="center"/>
            <w:hideMark/>
          </w:tcPr>
          <w:p w14:paraId="04BB9FFF" w14:textId="77777777" w:rsidR="00000000" w:rsidRDefault="00A173A8">
            <w:pPr>
              <w:spacing w:after="100"/>
              <w:rPr>
                <w:rFonts w:eastAsia="Times New Roman"/>
                <w:sz w:val="20"/>
                <w:szCs w:val="20"/>
              </w:rPr>
            </w:pPr>
          </w:p>
        </w:tc>
        <w:tc>
          <w:tcPr>
            <w:tcW w:w="26" w:type="pct"/>
            <w:vAlign w:val="center"/>
            <w:hideMark/>
          </w:tcPr>
          <w:p w14:paraId="2CF5A4CC" w14:textId="77777777" w:rsidR="00000000" w:rsidRDefault="00A173A8">
            <w:pPr>
              <w:spacing w:after="100"/>
              <w:rPr>
                <w:rFonts w:eastAsia="Times New Roman"/>
                <w:sz w:val="20"/>
                <w:szCs w:val="20"/>
              </w:rPr>
            </w:pPr>
          </w:p>
        </w:tc>
        <w:tc>
          <w:tcPr>
            <w:tcW w:w="5" w:type="pct"/>
            <w:vAlign w:val="center"/>
            <w:hideMark/>
          </w:tcPr>
          <w:p w14:paraId="66BFF18F" w14:textId="77777777" w:rsidR="00000000" w:rsidRDefault="00A173A8">
            <w:pPr>
              <w:spacing w:after="100"/>
              <w:rPr>
                <w:rFonts w:eastAsia="Times New Roman"/>
                <w:sz w:val="20"/>
                <w:szCs w:val="20"/>
              </w:rPr>
            </w:pPr>
          </w:p>
        </w:tc>
        <w:tc>
          <w:tcPr>
            <w:tcW w:w="50" w:type="pct"/>
            <w:vAlign w:val="center"/>
            <w:hideMark/>
          </w:tcPr>
          <w:p w14:paraId="6CA2F7C7" w14:textId="77777777" w:rsidR="00000000" w:rsidRDefault="00A173A8">
            <w:pPr>
              <w:spacing w:after="100"/>
              <w:rPr>
                <w:rFonts w:eastAsia="Times New Roman"/>
                <w:sz w:val="20"/>
                <w:szCs w:val="20"/>
              </w:rPr>
            </w:pPr>
          </w:p>
        </w:tc>
        <w:tc>
          <w:tcPr>
            <w:tcW w:w="405" w:type="pct"/>
            <w:vAlign w:val="center"/>
            <w:hideMark/>
          </w:tcPr>
          <w:p w14:paraId="43087EA9" w14:textId="77777777" w:rsidR="00000000" w:rsidRDefault="00A173A8">
            <w:pPr>
              <w:spacing w:after="100"/>
              <w:rPr>
                <w:rFonts w:eastAsia="Times New Roman"/>
                <w:sz w:val="20"/>
                <w:szCs w:val="20"/>
              </w:rPr>
            </w:pPr>
          </w:p>
        </w:tc>
        <w:tc>
          <w:tcPr>
            <w:tcW w:w="5" w:type="pct"/>
            <w:vAlign w:val="center"/>
            <w:hideMark/>
          </w:tcPr>
          <w:p w14:paraId="37EFEC7E" w14:textId="77777777" w:rsidR="00000000" w:rsidRDefault="00A173A8">
            <w:pPr>
              <w:spacing w:after="100"/>
              <w:rPr>
                <w:rFonts w:eastAsia="Times New Roman"/>
                <w:sz w:val="20"/>
                <w:szCs w:val="20"/>
              </w:rPr>
            </w:pPr>
          </w:p>
        </w:tc>
        <w:tc>
          <w:tcPr>
            <w:tcW w:w="5" w:type="pct"/>
            <w:vAlign w:val="center"/>
            <w:hideMark/>
          </w:tcPr>
          <w:p w14:paraId="0A50621D" w14:textId="77777777" w:rsidR="00000000" w:rsidRDefault="00A173A8">
            <w:pPr>
              <w:spacing w:after="100"/>
              <w:rPr>
                <w:rFonts w:eastAsia="Times New Roman"/>
                <w:sz w:val="20"/>
                <w:szCs w:val="20"/>
              </w:rPr>
            </w:pPr>
          </w:p>
        </w:tc>
        <w:tc>
          <w:tcPr>
            <w:tcW w:w="26" w:type="pct"/>
            <w:vAlign w:val="center"/>
            <w:hideMark/>
          </w:tcPr>
          <w:p w14:paraId="48D098D3" w14:textId="77777777" w:rsidR="00000000" w:rsidRDefault="00A173A8">
            <w:pPr>
              <w:spacing w:after="100"/>
              <w:rPr>
                <w:rFonts w:eastAsia="Times New Roman"/>
                <w:sz w:val="20"/>
                <w:szCs w:val="20"/>
              </w:rPr>
            </w:pPr>
          </w:p>
        </w:tc>
        <w:tc>
          <w:tcPr>
            <w:tcW w:w="5" w:type="pct"/>
            <w:vAlign w:val="center"/>
            <w:hideMark/>
          </w:tcPr>
          <w:p w14:paraId="0583A987" w14:textId="77777777" w:rsidR="00000000" w:rsidRDefault="00A173A8">
            <w:pPr>
              <w:spacing w:after="100"/>
              <w:rPr>
                <w:rFonts w:eastAsia="Times New Roman"/>
                <w:sz w:val="20"/>
                <w:szCs w:val="20"/>
              </w:rPr>
            </w:pPr>
          </w:p>
        </w:tc>
        <w:tc>
          <w:tcPr>
            <w:tcW w:w="50" w:type="pct"/>
            <w:vAlign w:val="center"/>
            <w:hideMark/>
          </w:tcPr>
          <w:p w14:paraId="270B4F79" w14:textId="77777777" w:rsidR="00000000" w:rsidRDefault="00A173A8">
            <w:pPr>
              <w:spacing w:after="100"/>
              <w:rPr>
                <w:rFonts w:eastAsia="Times New Roman"/>
                <w:sz w:val="20"/>
                <w:szCs w:val="20"/>
              </w:rPr>
            </w:pPr>
          </w:p>
        </w:tc>
        <w:tc>
          <w:tcPr>
            <w:tcW w:w="244" w:type="pct"/>
            <w:vAlign w:val="center"/>
            <w:hideMark/>
          </w:tcPr>
          <w:p w14:paraId="77F4ADF8" w14:textId="77777777" w:rsidR="00000000" w:rsidRDefault="00A173A8">
            <w:pPr>
              <w:spacing w:after="100"/>
              <w:rPr>
                <w:rFonts w:eastAsia="Times New Roman"/>
                <w:sz w:val="20"/>
                <w:szCs w:val="20"/>
              </w:rPr>
            </w:pPr>
          </w:p>
        </w:tc>
        <w:tc>
          <w:tcPr>
            <w:tcW w:w="5" w:type="pct"/>
            <w:vAlign w:val="center"/>
            <w:hideMark/>
          </w:tcPr>
          <w:p w14:paraId="00C2FB35" w14:textId="77777777" w:rsidR="00000000" w:rsidRDefault="00A173A8">
            <w:pPr>
              <w:spacing w:after="100"/>
              <w:rPr>
                <w:rFonts w:eastAsia="Times New Roman"/>
                <w:sz w:val="20"/>
                <w:szCs w:val="20"/>
              </w:rPr>
            </w:pPr>
          </w:p>
        </w:tc>
        <w:tc>
          <w:tcPr>
            <w:tcW w:w="5" w:type="pct"/>
            <w:vAlign w:val="center"/>
            <w:hideMark/>
          </w:tcPr>
          <w:p w14:paraId="532BDA53" w14:textId="77777777" w:rsidR="00000000" w:rsidRDefault="00A173A8">
            <w:pPr>
              <w:spacing w:after="100"/>
              <w:rPr>
                <w:rFonts w:eastAsia="Times New Roman"/>
                <w:sz w:val="20"/>
                <w:szCs w:val="20"/>
              </w:rPr>
            </w:pPr>
          </w:p>
        </w:tc>
        <w:tc>
          <w:tcPr>
            <w:tcW w:w="26" w:type="pct"/>
            <w:vAlign w:val="center"/>
            <w:hideMark/>
          </w:tcPr>
          <w:p w14:paraId="5463733A" w14:textId="77777777" w:rsidR="00000000" w:rsidRDefault="00A173A8">
            <w:pPr>
              <w:spacing w:after="100"/>
              <w:rPr>
                <w:rFonts w:eastAsia="Times New Roman"/>
                <w:sz w:val="20"/>
                <w:szCs w:val="20"/>
              </w:rPr>
            </w:pPr>
          </w:p>
        </w:tc>
        <w:tc>
          <w:tcPr>
            <w:tcW w:w="5" w:type="pct"/>
            <w:vAlign w:val="center"/>
            <w:hideMark/>
          </w:tcPr>
          <w:p w14:paraId="06484B8B" w14:textId="77777777" w:rsidR="00000000" w:rsidRDefault="00A173A8">
            <w:pPr>
              <w:spacing w:after="100"/>
              <w:rPr>
                <w:rFonts w:eastAsia="Times New Roman"/>
                <w:sz w:val="20"/>
                <w:szCs w:val="20"/>
              </w:rPr>
            </w:pPr>
          </w:p>
        </w:tc>
        <w:tc>
          <w:tcPr>
            <w:tcW w:w="50" w:type="pct"/>
            <w:vAlign w:val="center"/>
            <w:hideMark/>
          </w:tcPr>
          <w:p w14:paraId="1E86D450" w14:textId="77777777" w:rsidR="00000000" w:rsidRDefault="00A173A8">
            <w:pPr>
              <w:spacing w:after="100"/>
              <w:rPr>
                <w:rFonts w:eastAsia="Times New Roman"/>
                <w:sz w:val="20"/>
                <w:szCs w:val="20"/>
              </w:rPr>
            </w:pPr>
          </w:p>
        </w:tc>
        <w:tc>
          <w:tcPr>
            <w:tcW w:w="317" w:type="pct"/>
            <w:vAlign w:val="center"/>
            <w:hideMark/>
          </w:tcPr>
          <w:p w14:paraId="358BB91C" w14:textId="77777777" w:rsidR="00000000" w:rsidRDefault="00A173A8">
            <w:pPr>
              <w:spacing w:after="100"/>
              <w:rPr>
                <w:rFonts w:eastAsia="Times New Roman"/>
                <w:sz w:val="20"/>
                <w:szCs w:val="20"/>
              </w:rPr>
            </w:pPr>
          </w:p>
        </w:tc>
        <w:tc>
          <w:tcPr>
            <w:tcW w:w="5" w:type="pct"/>
            <w:vAlign w:val="center"/>
            <w:hideMark/>
          </w:tcPr>
          <w:p w14:paraId="4C493BEA" w14:textId="77777777" w:rsidR="00000000" w:rsidRDefault="00A173A8">
            <w:pPr>
              <w:spacing w:after="100"/>
              <w:rPr>
                <w:rFonts w:eastAsia="Times New Roman"/>
                <w:sz w:val="20"/>
                <w:szCs w:val="20"/>
              </w:rPr>
            </w:pPr>
          </w:p>
        </w:tc>
        <w:tc>
          <w:tcPr>
            <w:tcW w:w="5" w:type="pct"/>
            <w:vAlign w:val="center"/>
            <w:hideMark/>
          </w:tcPr>
          <w:p w14:paraId="308C6A8F" w14:textId="77777777" w:rsidR="00000000" w:rsidRDefault="00A173A8">
            <w:pPr>
              <w:spacing w:after="100"/>
              <w:rPr>
                <w:rFonts w:eastAsia="Times New Roman"/>
                <w:sz w:val="20"/>
                <w:szCs w:val="20"/>
              </w:rPr>
            </w:pPr>
          </w:p>
        </w:tc>
        <w:tc>
          <w:tcPr>
            <w:tcW w:w="26" w:type="pct"/>
            <w:vAlign w:val="center"/>
            <w:hideMark/>
          </w:tcPr>
          <w:p w14:paraId="15E0AEAB" w14:textId="77777777" w:rsidR="00000000" w:rsidRDefault="00A173A8">
            <w:pPr>
              <w:spacing w:after="100"/>
              <w:rPr>
                <w:rFonts w:eastAsia="Times New Roman"/>
                <w:sz w:val="20"/>
                <w:szCs w:val="20"/>
              </w:rPr>
            </w:pPr>
          </w:p>
        </w:tc>
        <w:tc>
          <w:tcPr>
            <w:tcW w:w="5" w:type="pct"/>
            <w:vAlign w:val="center"/>
            <w:hideMark/>
          </w:tcPr>
          <w:p w14:paraId="67998ADE" w14:textId="77777777" w:rsidR="00000000" w:rsidRDefault="00A173A8">
            <w:pPr>
              <w:spacing w:after="100"/>
              <w:rPr>
                <w:rFonts w:eastAsia="Times New Roman"/>
                <w:sz w:val="20"/>
                <w:szCs w:val="20"/>
              </w:rPr>
            </w:pPr>
          </w:p>
        </w:tc>
        <w:tc>
          <w:tcPr>
            <w:tcW w:w="50" w:type="pct"/>
            <w:vAlign w:val="center"/>
            <w:hideMark/>
          </w:tcPr>
          <w:p w14:paraId="0871620F" w14:textId="77777777" w:rsidR="00000000" w:rsidRDefault="00A173A8">
            <w:pPr>
              <w:spacing w:after="100"/>
              <w:rPr>
                <w:rFonts w:eastAsia="Times New Roman"/>
                <w:sz w:val="20"/>
                <w:szCs w:val="20"/>
              </w:rPr>
            </w:pPr>
          </w:p>
        </w:tc>
        <w:tc>
          <w:tcPr>
            <w:tcW w:w="295" w:type="pct"/>
            <w:vAlign w:val="center"/>
            <w:hideMark/>
          </w:tcPr>
          <w:p w14:paraId="00CB9326" w14:textId="77777777" w:rsidR="00000000" w:rsidRDefault="00A173A8">
            <w:pPr>
              <w:spacing w:after="100"/>
              <w:rPr>
                <w:rFonts w:eastAsia="Times New Roman"/>
                <w:sz w:val="20"/>
                <w:szCs w:val="20"/>
              </w:rPr>
            </w:pPr>
          </w:p>
        </w:tc>
        <w:tc>
          <w:tcPr>
            <w:tcW w:w="5" w:type="pct"/>
            <w:vAlign w:val="center"/>
            <w:hideMark/>
          </w:tcPr>
          <w:p w14:paraId="1CD8C70A" w14:textId="77777777" w:rsidR="00000000" w:rsidRDefault="00A173A8">
            <w:pPr>
              <w:spacing w:after="100"/>
              <w:rPr>
                <w:rFonts w:eastAsia="Times New Roman"/>
                <w:sz w:val="20"/>
                <w:szCs w:val="20"/>
              </w:rPr>
            </w:pPr>
          </w:p>
        </w:tc>
        <w:tc>
          <w:tcPr>
            <w:tcW w:w="5" w:type="pct"/>
            <w:vAlign w:val="center"/>
            <w:hideMark/>
          </w:tcPr>
          <w:p w14:paraId="435880E2" w14:textId="77777777" w:rsidR="00000000" w:rsidRDefault="00A173A8">
            <w:pPr>
              <w:spacing w:after="100"/>
              <w:rPr>
                <w:rFonts w:eastAsia="Times New Roman"/>
                <w:sz w:val="20"/>
                <w:szCs w:val="20"/>
              </w:rPr>
            </w:pPr>
          </w:p>
        </w:tc>
        <w:tc>
          <w:tcPr>
            <w:tcW w:w="26" w:type="pct"/>
            <w:vAlign w:val="center"/>
            <w:hideMark/>
          </w:tcPr>
          <w:p w14:paraId="35553090" w14:textId="77777777" w:rsidR="00000000" w:rsidRDefault="00A173A8">
            <w:pPr>
              <w:spacing w:after="100"/>
              <w:rPr>
                <w:rFonts w:eastAsia="Times New Roman"/>
                <w:sz w:val="20"/>
                <w:szCs w:val="20"/>
              </w:rPr>
            </w:pPr>
          </w:p>
        </w:tc>
        <w:tc>
          <w:tcPr>
            <w:tcW w:w="5" w:type="pct"/>
            <w:vAlign w:val="center"/>
            <w:hideMark/>
          </w:tcPr>
          <w:p w14:paraId="2034C700" w14:textId="77777777" w:rsidR="00000000" w:rsidRDefault="00A173A8">
            <w:pPr>
              <w:spacing w:after="100"/>
              <w:rPr>
                <w:rFonts w:eastAsia="Times New Roman"/>
                <w:sz w:val="20"/>
                <w:szCs w:val="20"/>
              </w:rPr>
            </w:pPr>
          </w:p>
        </w:tc>
        <w:tc>
          <w:tcPr>
            <w:tcW w:w="50" w:type="pct"/>
            <w:vAlign w:val="center"/>
            <w:hideMark/>
          </w:tcPr>
          <w:p w14:paraId="23C317CE" w14:textId="77777777" w:rsidR="00000000" w:rsidRDefault="00A173A8">
            <w:pPr>
              <w:spacing w:after="100"/>
              <w:rPr>
                <w:rFonts w:eastAsia="Times New Roman"/>
                <w:sz w:val="20"/>
                <w:szCs w:val="20"/>
              </w:rPr>
            </w:pPr>
          </w:p>
        </w:tc>
        <w:tc>
          <w:tcPr>
            <w:tcW w:w="464" w:type="pct"/>
            <w:vAlign w:val="center"/>
            <w:hideMark/>
          </w:tcPr>
          <w:p w14:paraId="0E74F449" w14:textId="77777777" w:rsidR="00000000" w:rsidRDefault="00A173A8">
            <w:pPr>
              <w:spacing w:after="100"/>
              <w:rPr>
                <w:rFonts w:eastAsia="Times New Roman"/>
                <w:sz w:val="20"/>
                <w:szCs w:val="20"/>
              </w:rPr>
            </w:pPr>
          </w:p>
        </w:tc>
        <w:tc>
          <w:tcPr>
            <w:tcW w:w="5" w:type="pct"/>
            <w:vAlign w:val="center"/>
            <w:hideMark/>
          </w:tcPr>
          <w:p w14:paraId="37CC3BB5" w14:textId="77777777" w:rsidR="00000000" w:rsidRDefault="00A173A8">
            <w:pPr>
              <w:spacing w:after="100"/>
              <w:rPr>
                <w:rFonts w:eastAsia="Times New Roman"/>
                <w:sz w:val="20"/>
                <w:szCs w:val="20"/>
              </w:rPr>
            </w:pPr>
          </w:p>
        </w:tc>
        <w:tc>
          <w:tcPr>
            <w:tcW w:w="5" w:type="pct"/>
            <w:vAlign w:val="center"/>
            <w:hideMark/>
          </w:tcPr>
          <w:p w14:paraId="311B6885" w14:textId="77777777" w:rsidR="00000000" w:rsidRDefault="00A173A8">
            <w:pPr>
              <w:spacing w:after="100"/>
              <w:rPr>
                <w:rFonts w:eastAsia="Times New Roman"/>
                <w:sz w:val="20"/>
                <w:szCs w:val="20"/>
              </w:rPr>
            </w:pPr>
          </w:p>
        </w:tc>
        <w:tc>
          <w:tcPr>
            <w:tcW w:w="26" w:type="pct"/>
            <w:vAlign w:val="center"/>
            <w:hideMark/>
          </w:tcPr>
          <w:p w14:paraId="03858106" w14:textId="77777777" w:rsidR="00000000" w:rsidRDefault="00A173A8">
            <w:pPr>
              <w:spacing w:after="100"/>
              <w:rPr>
                <w:rFonts w:eastAsia="Times New Roman"/>
                <w:sz w:val="20"/>
                <w:szCs w:val="20"/>
              </w:rPr>
            </w:pPr>
          </w:p>
        </w:tc>
        <w:tc>
          <w:tcPr>
            <w:tcW w:w="5" w:type="pct"/>
            <w:vAlign w:val="center"/>
            <w:hideMark/>
          </w:tcPr>
          <w:p w14:paraId="33B37A54" w14:textId="77777777" w:rsidR="00000000" w:rsidRDefault="00A173A8">
            <w:pPr>
              <w:spacing w:after="100"/>
              <w:rPr>
                <w:rFonts w:eastAsia="Times New Roman"/>
                <w:sz w:val="20"/>
                <w:szCs w:val="20"/>
              </w:rPr>
            </w:pPr>
          </w:p>
        </w:tc>
        <w:tc>
          <w:tcPr>
            <w:tcW w:w="50" w:type="pct"/>
            <w:vAlign w:val="center"/>
            <w:hideMark/>
          </w:tcPr>
          <w:p w14:paraId="0768B65F" w14:textId="77777777" w:rsidR="00000000" w:rsidRDefault="00A173A8">
            <w:pPr>
              <w:spacing w:after="100"/>
              <w:rPr>
                <w:rFonts w:eastAsia="Times New Roman"/>
                <w:sz w:val="20"/>
                <w:szCs w:val="20"/>
              </w:rPr>
            </w:pPr>
          </w:p>
        </w:tc>
        <w:tc>
          <w:tcPr>
            <w:tcW w:w="288" w:type="pct"/>
            <w:vAlign w:val="center"/>
            <w:hideMark/>
          </w:tcPr>
          <w:p w14:paraId="5729036C" w14:textId="77777777" w:rsidR="00000000" w:rsidRDefault="00A173A8">
            <w:pPr>
              <w:spacing w:after="100"/>
              <w:rPr>
                <w:rFonts w:eastAsia="Times New Roman"/>
                <w:sz w:val="20"/>
                <w:szCs w:val="20"/>
              </w:rPr>
            </w:pPr>
          </w:p>
        </w:tc>
        <w:tc>
          <w:tcPr>
            <w:tcW w:w="5" w:type="pct"/>
            <w:vAlign w:val="center"/>
            <w:hideMark/>
          </w:tcPr>
          <w:p w14:paraId="5B7526D1" w14:textId="77777777" w:rsidR="00000000" w:rsidRDefault="00A173A8">
            <w:pPr>
              <w:spacing w:after="100"/>
              <w:rPr>
                <w:rFonts w:eastAsia="Times New Roman"/>
                <w:sz w:val="20"/>
                <w:szCs w:val="20"/>
              </w:rPr>
            </w:pPr>
          </w:p>
        </w:tc>
        <w:tc>
          <w:tcPr>
            <w:tcW w:w="5" w:type="pct"/>
            <w:vAlign w:val="center"/>
            <w:hideMark/>
          </w:tcPr>
          <w:p w14:paraId="385EFEF0" w14:textId="77777777" w:rsidR="00000000" w:rsidRDefault="00A173A8">
            <w:pPr>
              <w:spacing w:after="100"/>
              <w:rPr>
                <w:rFonts w:eastAsia="Times New Roman"/>
                <w:sz w:val="20"/>
                <w:szCs w:val="20"/>
              </w:rPr>
            </w:pPr>
          </w:p>
        </w:tc>
        <w:tc>
          <w:tcPr>
            <w:tcW w:w="26" w:type="pct"/>
            <w:vAlign w:val="center"/>
            <w:hideMark/>
          </w:tcPr>
          <w:p w14:paraId="2F66FCF4" w14:textId="77777777" w:rsidR="00000000" w:rsidRDefault="00A173A8">
            <w:pPr>
              <w:spacing w:after="100"/>
              <w:rPr>
                <w:rFonts w:eastAsia="Times New Roman"/>
                <w:sz w:val="20"/>
                <w:szCs w:val="20"/>
              </w:rPr>
            </w:pPr>
          </w:p>
        </w:tc>
        <w:tc>
          <w:tcPr>
            <w:tcW w:w="5" w:type="pct"/>
            <w:vAlign w:val="center"/>
            <w:hideMark/>
          </w:tcPr>
          <w:p w14:paraId="1D02E639" w14:textId="77777777" w:rsidR="00000000" w:rsidRDefault="00A173A8">
            <w:pPr>
              <w:spacing w:after="100"/>
              <w:rPr>
                <w:rFonts w:eastAsia="Times New Roman"/>
                <w:sz w:val="20"/>
                <w:szCs w:val="20"/>
              </w:rPr>
            </w:pPr>
          </w:p>
        </w:tc>
        <w:tc>
          <w:tcPr>
            <w:tcW w:w="50" w:type="pct"/>
            <w:vAlign w:val="center"/>
            <w:hideMark/>
          </w:tcPr>
          <w:p w14:paraId="1346DA6C" w14:textId="77777777" w:rsidR="00000000" w:rsidRDefault="00A173A8">
            <w:pPr>
              <w:spacing w:after="100"/>
              <w:rPr>
                <w:rFonts w:eastAsia="Times New Roman"/>
                <w:sz w:val="20"/>
                <w:szCs w:val="20"/>
              </w:rPr>
            </w:pPr>
          </w:p>
        </w:tc>
        <w:tc>
          <w:tcPr>
            <w:tcW w:w="406" w:type="pct"/>
            <w:vAlign w:val="center"/>
            <w:hideMark/>
          </w:tcPr>
          <w:p w14:paraId="2036202D" w14:textId="77777777" w:rsidR="00000000" w:rsidRDefault="00A173A8">
            <w:pPr>
              <w:spacing w:after="100"/>
              <w:rPr>
                <w:rFonts w:eastAsia="Times New Roman"/>
                <w:sz w:val="20"/>
                <w:szCs w:val="20"/>
              </w:rPr>
            </w:pPr>
          </w:p>
        </w:tc>
        <w:tc>
          <w:tcPr>
            <w:tcW w:w="5" w:type="pct"/>
            <w:vAlign w:val="center"/>
            <w:hideMark/>
          </w:tcPr>
          <w:p w14:paraId="577D2800" w14:textId="77777777" w:rsidR="00000000" w:rsidRDefault="00A173A8">
            <w:pPr>
              <w:spacing w:after="100"/>
              <w:rPr>
                <w:rFonts w:eastAsia="Times New Roman"/>
                <w:sz w:val="20"/>
                <w:szCs w:val="20"/>
              </w:rPr>
            </w:pPr>
          </w:p>
        </w:tc>
      </w:tr>
      <w:tr w:rsidR="00000000" w14:paraId="26B128D1" w14:textId="77777777">
        <w:trPr>
          <w:divId w:val="488981052"/>
          <w:trHeight w:val="60"/>
        </w:trPr>
        <w:tc>
          <w:tcPr>
            <w:tcW w:w="0" w:type="auto"/>
            <w:gridSpan w:val="57"/>
            <w:tcMar>
              <w:top w:w="0" w:type="dxa"/>
              <w:left w:w="20" w:type="dxa"/>
              <w:bottom w:w="0" w:type="dxa"/>
              <w:right w:w="20" w:type="dxa"/>
            </w:tcMar>
            <w:vAlign w:val="center"/>
            <w:hideMark/>
          </w:tcPr>
          <w:p w14:paraId="4A07C22E" w14:textId="77777777" w:rsidR="00000000" w:rsidRDefault="00A173A8">
            <w:pPr>
              <w:spacing w:after="100"/>
              <w:rPr>
                <w:rFonts w:eastAsia="Times New Roman"/>
                <w:sz w:val="20"/>
                <w:szCs w:val="20"/>
              </w:rPr>
            </w:pPr>
          </w:p>
        </w:tc>
      </w:tr>
      <w:tr w:rsidR="00000000" w14:paraId="753F4EB4" w14:textId="77777777">
        <w:trPr>
          <w:divId w:val="488981052"/>
        </w:trPr>
        <w:tc>
          <w:tcPr>
            <w:tcW w:w="0" w:type="auto"/>
            <w:gridSpan w:val="3"/>
            <w:vAlign w:val="center"/>
            <w:hideMark/>
          </w:tcPr>
          <w:p w14:paraId="7577A60D" w14:textId="77777777" w:rsidR="00000000" w:rsidRDefault="00A173A8">
            <w:pPr>
              <w:spacing w:after="100"/>
              <w:rPr>
                <w:rFonts w:eastAsia="Times New Roman"/>
                <w:sz w:val="20"/>
                <w:szCs w:val="20"/>
              </w:rPr>
            </w:pPr>
          </w:p>
        </w:tc>
        <w:tc>
          <w:tcPr>
            <w:tcW w:w="0" w:type="auto"/>
            <w:gridSpan w:val="3"/>
            <w:vAlign w:val="center"/>
            <w:hideMark/>
          </w:tcPr>
          <w:p w14:paraId="0A2A2F8C" w14:textId="77777777" w:rsidR="00000000" w:rsidRDefault="00A173A8">
            <w:pPr>
              <w:spacing w:after="100"/>
              <w:rPr>
                <w:rFonts w:eastAsia="Times New Roman"/>
                <w:sz w:val="20"/>
                <w:szCs w:val="20"/>
              </w:rPr>
            </w:pPr>
          </w:p>
        </w:tc>
        <w:tc>
          <w:tcPr>
            <w:tcW w:w="0" w:type="auto"/>
            <w:gridSpan w:val="3"/>
            <w:vAlign w:val="center"/>
            <w:hideMark/>
          </w:tcPr>
          <w:p w14:paraId="0F6EB3DA" w14:textId="77777777" w:rsidR="00000000" w:rsidRDefault="00A173A8">
            <w:pPr>
              <w:spacing w:after="100"/>
              <w:rPr>
                <w:rFonts w:eastAsia="Times New Roman"/>
                <w:sz w:val="20"/>
                <w:szCs w:val="20"/>
              </w:rPr>
            </w:pPr>
          </w:p>
        </w:tc>
        <w:tc>
          <w:tcPr>
            <w:tcW w:w="0" w:type="auto"/>
            <w:gridSpan w:val="3"/>
            <w:vAlign w:val="center"/>
            <w:hideMark/>
          </w:tcPr>
          <w:p w14:paraId="24F66932" w14:textId="77777777" w:rsidR="00000000" w:rsidRDefault="00A173A8">
            <w:pPr>
              <w:spacing w:after="100"/>
              <w:rPr>
                <w:rFonts w:eastAsia="Times New Roman"/>
                <w:sz w:val="20"/>
                <w:szCs w:val="20"/>
              </w:rPr>
            </w:pPr>
          </w:p>
        </w:tc>
        <w:tc>
          <w:tcPr>
            <w:tcW w:w="0" w:type="auto"/>
            <w:gridSpan w:val="3"/>
            <w:vAlign w:val="center"/>
            <w:hideMark/>
          </w:tcPr>
          <w:p w14:paraId="1C2E6315" w14:textId="77777777" w:rsidR="00000000" w:rsidRDefault="00A173A8">
            <w:pPr>
              <w:spacing w:after="100"/>
              <w:rPr>
                <w:rFonts w:eastAsia="Times New Roman"/>
                <w:sz w:val="20"/>
                <w:szCs w:val="20"/>
              </w:rPr>
            </w:pPr>
          </w:p>
        </w:tc>
        <w:tc>
          <w:tcPr>
            <w:tcW w:w="0" w:type="auto"/>
            <w:gridSpan w:val="3"/>
            <w:vAlign w:val="center"/>
            <w:hideMark/>
          </w:tcPr>
          <w:p w14:paraId="3A9BCDC8" w14:textId="77777777" w:rsidR="00000000" w:rsidRDefault="00A173A8">
            <w:pPr>
              <w:spacing w:after="100"/>
              <w:rPr>
                <w:rFonts w:eastAsia="Times New Roman"/>
                <w:sz w:val="20"/>
                <w:szCs w:val="20"/>
              </w:rPr>
            </w:pPr>
          </w:p>
        </w:tc>
        <w:tc>
          <w:tcPr>
            <w:tcW w:w="0" w:type="auto"/>
            <w:gridSpan w:val="3"/>
            <w:vAlign w:val="center"/>
            <w:hideMark/>
          </w:tcPr>
          <w:p w14:paraId="0632517E" w14:textId="77777777" w:rsidR="00000000" w:rsidRDefault="00A173A8">
            <w:pPr>
              <w:spacing w:after="100"/>
              <w:rPr>
                <w:rFonts w:eastAsia="Times New Roman"/>
                <w:sz w:val="20"/>
                <w:szCs w:val="20"/>
              </w:rPr>
            </w:pPr>
          </w:p>
        </w:tc>
        <w:tc>
          <w:tcPr>
            <w:tcW w:w="0" w:type="auto"/>
            <w:gridSpan w:val="3"/>
            <w:vAlign w:val="center"/>
            <w:hideMark/>
          </w:tcPr>
          <w:p w14:paraId="536D0E76" w14:textId="77777777" w:rsidR="00000000" w:rsidRDefault="00A173A8">
            <w:pPr>
              <w:spacing w:after="100"/>
              <w:rPr>
                <w:rFonts w:eastAsia="Times New Roman"/>
                <w:sz w:val="20"/>
                <w:szCs w:val="20"/>
              </w:rPr>
            </w:pPr>
          </w:p>
        </w:tc>
        <w:tc>
          <w:tcPr>
            <w:tcW w:w="0" w:type="auto"/>
            <w:gridSpan w:val="3"/>
            <w:vAlign w:val="center"/>
            <w:hideMark/>
          </w:tcPr>
          <w:p w14:paraId="19D0ADD8" w14:textId="77777777" w:rsidR="00000000" w:rsidRDefault="00A173A8">
            <w:pPr>
              <w:spacing w:after="100"/>
              <w:rPr>
                <w:rFonts w:eastAsia="Times New Roman"/>
                <w:sz w:val="20"/>
                <w:szCs w:val="20"/>
              </w:rPr>
            </w:pPr>
          </w:p>
        </w:tc>
        <w:tc>
          <w:tcPr>
            <w:tcW w:w="0" w:type="auto"/>
            <w:gridSpan w:val="3"/>
            <w:vAlign w:val="center"/>
            <w:hideMark/>
          </w:tcPr>
          <w:p w14:paraId="75A9FD4D" w14:textId="77777777" w:rsidR="00000000" w:rsidRDefault="00A173A8">
            <w:pPr>
              <w:spacing w:after="100"/>
              <w:rPr>
                <w:rFonts w:eastAsia="Times New Roman"/>
                <w:sz w:val="20"/>
                <w:szCs w:val="20"/>
              </w:rPr>
            </w:pPr>
          </w:p>
        </w:tc>
        <w:tc>
          <w:tcPr>
            <w:tcW w:w="0" w:type="auto"/>
            <w:gridSpan w:val="3"/>
            <w:vAlign w:val="center"/>
            <w:hideMark/>
          </w:tcPr>
          <w:p w14:paraId="156757E7" w14:textId="77777777" w:rsidR="00000000" w:rsidRDefault="00A173A8">
            <w:pPr>
              <w:spacing w:after="100"/>
              <w:rPr>
                <w:rFonts w:eastAsia="Times New Roman"/>
                <w:sz w:val="20"/>
                <w:szCs w:val="20"/>
              </w:rPr>
            </w:pPr>
          </w:p>
        </w:tc>
        <w:tc>
          <w:tcPr>
            <w:tcW w:w="0" w:type="auto"/>
            <w:gridSpan w:val="3"/>
            <w:vAlign w:val="center"/>
            <w:hideMark/>
          </w:tcPr>
          <w:p w14:paraId="38A4062B" w14:textId="77777777" w:rsidR="00000000" w:rsidRDefault="00A173A8">
            <w:pPr>
              <w:spacing w:after="100"/>
              <w:rPr>
                <w:rFonts w:eastAsia="Times New Roman"/>
                <w:sz w:val="20"/>
                <w:szCs w:val="20"/>
              </w:rPr>
            </w:pPr>
          </w:p>
        </w:tc>
        <w:tc>
          <w:tcPr>
            <w:tcW w:w="0" w:type="auto"/>
            <w:gridSpan w:val="3"/>
            <w:vAlign w:val="center"/>
            <w:hideMark/>
          </w:tcPr>
          <w:p w14:paraId="078D83E1" w14:textId="77777777" w:rsidR="00000000" w:rsidRDefault="00A173A8">
            <w:pPr>
              <w:spacing w:after="100"/>
              <w:rPr>
                <w:rFonts w:eastAsia="Times New Roman"/>
                <w:sz w:val="20"/>
                <w:szCs w:val="20"/>
              </w:rPr>
            </w:pPr>
          </w:p>
        </w:tc>
        <w:tc>
          <w:tcPr>
            <w:tcW w:w="0" w:type="auto"/>
            <w:gridSpan w:val="3"/>
            <w:vAlign w:val="center"/>
            <w:hideMark/>
          </w:tcPr>
          <w:p w14:paraId="5B090390" w14:textId="77777777" w:rsidR="00000000" w:rsidRDefault="00A173A8">
            <w:pPr>
              <w:spacing w:after="100"/>
              <w:rPr>
                <w:rFonts w:eastAsia="Times New Roman"/>
                <w:sz w:val="20"/>
                <w:szCs w:val="20"/>
              </w:rPr>
            </w:pPr>
          </w:p>
        </w:tc>
        <w:tc>
          <w:tcPr>
            <w:tcW w:w="0" w:type="auto"/>
            <w:gridSpan w:val="3"/>
            <w:vAlign w:val="center"/>
            <w:hideMark/>
          </w:tcPr>
          <w:p w14:paraId="03DA8754" w14:textId="77777777" w:rsidR="00000000" w:rsidRDefault="00A173A8">
            <w:pPr>
              <w:spacing w:after="100"/>
              <w:rPr>
                <w:rFonts w:eastAsia="Times New Roman"/>
                <w:sz w:val="20"/>
                <w:szCs w:val="20"/>
              </w:rPr>
            </w:pPr>
          </w:p>
        </w:tc>
        <w:tc>
          <w:tcPr>
            <w:tcW w:w="0" w:type="auto"/>
            <w:vAlign w:val="center"/>
            <w:hideMark/>
          </w:tcPr>
          <w:p w14:paraId="71865716" w14:textId="77777777" w:rsidR="00000000" w:rsidRDefault="00A173A8">
            <w:pPr>
              <w:spacing w:after="100"/>
              <w:rPr>
                <w:rFonts w:eastAsia="Times New Roman"/>
                <w:sz w:val="20"/>
                <w:szCs w:val="20"/>
              </w:rPr>
            </w:pPr>
          </w:p>
        </w:tc>
        <w:tc>
          <w:tcPr>
            <w:tcW w:w="0" w:type="auto"/>
            <w:vAlign w:val="center"/>
            <w:hideMark/>
          </w:tcPr>
          <w:p w14:paraId="49C7E253" w14:textId="77777777" w:rsidR="00000000" w:rsidRDefault="00A173A8">
            <w:pPr>
              <w:spacing w:after="100"/>
              <w:rPr>
                <w:rFonts w:eastAsia="Times New Roman"/>
                <w:sz w:val="20"/>
                <w:szCs w:val="20"/>
              </w:rPr>
            </w:pPr>
          </w:p>
        </w:tc>
        <w:tc>
          <w:tcPr>
            <w:tcW w:w="0" w:type="auto"/>
            <w:vAlign w:val="center"/>
            <w:hideMark/>
          </w:tcPr>
          <w:p w14:paraId="14426365" w14:textId="77777777" w:rsidR="00000000" w:rsidRDefault="00A173A8">
            <w:pPr>
              <w:spacing w:after="100"/>
              <w:rPr>
                <w:rFonts w:eastAsia="Times New Roman"/>
                <w:sz w:val="20"/>
                <w:szCs w:val="20"/>
              </w:rPr>
            </w:pPr>
          </w:p>
        </w:tc>
        <w:tc>
          <w:tcPr>
            <w:tcW w:w="0" w:type="auto"/>
            <w:vAlign w:val="center"/>
            <w:hideMark/>
          </w:tcPr>
          <w:p w14:paraId="51EBD9FB" w14:textId="77777777" w:rsidR="00000000" w:rsidRDefault="00A173A8">
            <w:pPr>
              <w:spacing w:after="100"/>
              <w:rPr>
                <w:rFonts w:eastAsia="Times New Roman"/>
                <w:sz w:val="20"/>
                <w:szCs w:val="20"/>
              </w:rPr>
            </w:pPr>
          </w:p>
        </w:tc>
        <w:tc>
          <w:tcPr>
            <w:tcW w:w="0" w:type="auto"/>
            <w:vAlign w:val="center"/>
            <w:hideMark/>
          </w:tcPr>
          <w:p w14:paraId="6016462D" w14:textId="77777777" w:rsidR="00000000" w:rsidRDefault="00A173A8">
            <w:pPr>
              <w:spacing w:after="100"/>
              <w:rPr>
                <w:rFonts w:eastAsia="Times New Roman"/>
                <w:sz w:val="20"/>
                <w:szCs w:val="20"/>
              </w:rPr>
            </w:pPr>
          </w:p>
        </w:tc>
        <w:tc>
          <w:tcPr>
            <w:tcW w:w="0" w:type="auto"/>
            <w:vAlign w:val="center"/>
            <w:hideMark/>
          </w:tcPr>
          <w:p w14:paraId="518F1DF0" w14:textId="77777777" w:rsidR="00000000" w:rsidRDefault="00A173A8">
            <w:pPr>
              <w:spacing w:after="100"/>
              <w:rPr>
                <w:rFonts w:eastAsia="Times New Roman"/>
                <w:sz w:val="20"/>
                <w:szCs w:val="20"/>
              </w:rPr>
            </w:pPr>
          </w:p>
        </w:tc>
        <w:tc>
          <w:tcPr>
            <w:tcW w:w="0" w:type="auto"/>
            <w:vAlign w:val="center"/>
            <w:hideMark/>
          </w:tcPr>
          <w:p w14:paraId="7A7C681C" w14:textId="77777777" w:rsidR="00000000" w:rsidRDefault="00A173A8">
            <w:pPr>
              <w:spacing w:after="100"/>
              <w:rPr>
                <w:rFonts w:eastAsia="Times New Roman"/>
                <w:sz w:val="20"/>
                <w:szCs w:val="20"/>
              </w:rPr>
            </w:pPr>
          </w:p>
        </w:tc>
        <w:tc>
          <w:tcPr>
            <w:tcW w:w="0" w:type="auto"/>
            <w:vAlign w:val="center"/>
            <w:hideMark/>
          </w:tcPr>
          <w:p w14:paraId="11B2F7E8" w14:textId="77777777" w:rsidR="00000000" w:rsidRDefault="00A173A8">
            <w:pPr>
              <w:spacing w:after="100"/>
              <w:rPr>
                <w:rFonts w:eastAsia="Times New Roman"/>
                <w:sz w:val="20"/>
                <w:szCs w:val="20"/>
              </w:rPr>
            </w:pPr>
          </w:p>
        </w:tc>
        <w:tc>
          <w:tcPr>
            <w:tcW w:w="0" w:type="auto"/>
            <w:vAlign w:val="center"/>
            <w:hideMark/>
          </w:tcPr>
          <w:p w14:paraId="19DD2AF8" w14:textId="77777777" w:rsidR="00000000" w:rsidRDefault="00A173A8">
            <w:pPr>
              <w:spacing w:after="100"/>
              <w:rPr>
                <w:rFonts w:eastAsia="Times New Roman"/>
                <w:sz w:val="20"/>
                <w:szCs w:val="20"/>
              </w:rPr>
            </w:pPr>
          </w:p>
        </w:tc>
        <w:tc>
          <w:tcPr>
            <w:tcW w:w="0" w:type="auto"/>
            <w:vAlign w:val="center"/>
            <w:hideMark/>
          </w:tcPr>
          <w:p w14:paraId="54C61B99" w14:textId="77777777" w:rsidR="00000000" w:rsidRDefault="00A173A8">
            <w:pPr>
              <w:spacing w:after="100"/>
              <w:rPr>
                <w:rFonts w:eastAsia="Times New Roman"/>
                <w:sz w:val="20"/>
                <w:szCs w:val="20"/>
              </w:rPr>
            </w:pPr>
          </w:p>
        </w:tc>
        <w:tc>
          <w:tcPr>
            <w:tcW w:w="0" w:type="auto"/>
            <w:vAlign w:val="center"/>
            <w:hideMark/>
          </w:tcPr>
          <w:p w14:paraId="4F1D9C91" w14:textId="77777777" w:rsidR="00000000" w:rsidRDefault="00A173A8">
            <w:pPr>
              <w:spacing w:after="100"/>
              <w:rPr>
                <w:rFonts w:eastAsia="Times New Roman"/>
                <w:sz w:val="20"/>
                <w:szCs w:val="20"/>
              </w:rPr>
            </w:pPr>
          </w:p>
        </w:tc>
        <w:tc>
          <w:tcPr>
            <w:tcW w:w="0" w:type="auto"/>
            <w:vAlign w:val="center"/>
            <w:hideMark/>
          </w:tcPr>
          <w:p w14:paraId="3E0C344D" w14:textId="77777777" w:rsidR="00000000" w:rsidRDefault="00A173A8">
            <w:pPr>
              <w:spacing w:after="100"/>
              <w:rPr>
                <w:rFonts w:eastAsia="Times New Roman"/>
                <w:sz w:val="20"/>
                <w:szCs w:val="20"/>
              </w:rPr>
            </w:pPr>
          </w:p>
        </w:tc>
      </w:tr>
      <w:tr w:rsidR="00000000" w14:paraId="35892E43" w14:textId="77777777">
        <w:trPr>
          <w:divId w:val="488981052"/>
        </w:trPr>
        <w:tc>
          <w:tcPr>
            <w:tcW w:w="0" w:type="auto"/>
            <w:gridSpan w:val="3"/>
            <w:vAlign w:val="center"/>
            <w:hideMark/>
          </w:tcPr>
          <w:p w14:paraId="18BB3C57" w14:textId="77777777" w:rsidR="00000000" w:rsidRDefault="00A173A8">
            <w:pPr>
              <w:spacing w:after="100"/>
              <w:rPr>
                <w:rFonts w:eastAsia="Times New Roman"/>
                <w:sz w:val="20"/>
                <w:szCs w:val="20"/>
              </w:rPr>
            </w:pPr>
          </w:p>
        </w:tc>
        <w:tc>
          <w:tcPr>
            <w:tcW w:w="0" w:type="auto"/>
            <w:gridSpan w:val="3"/>
            <w:vAlign w:val="center"/>
            <w:hideMark/>
          </w:tcPr>
          <w:p w14:paraId="62068D47" w14:textId="77777777" w:rsidR="00000000" w:rsidRDefault="00A173A8">
            <w:pPr>
              <w:spacing w:after="100"/>
              <w:rPr>
                <w:rFonts w:eastAsia="Times New Roman"/>
                <w:sz w:val="20"/>
                <w:szCs w:val="20"/>
              </w:rPr>
            </w:pPr>
          </w:p>
        </w:tc>
        <w:tc>
          <w:tcPr>
            <w:tcW w:w="0" w:type="auto"/>
            <w:gridSpan w:val="3"/>
            <w:vAlign w:val="center"/>
            <w:hideMark/>
          </w:tcPr>
          <w:p w14:paraId="3066B50F" w14:textId="77777777" w:rsidR="00000000" w:rsidRDefault="00A173A8">
            <w:pPr>
              <w:spacing w:after="100"/>
              <w:rPr>
                <w:rFonts w:eastAsia="Times New Roman"/>
                <w:sz w:val="20"/>
                <w:szCs w:val="20"/>
              </w:rPr>
            </w:pPr>
          </w:p>
        </w:tc>
        <w:tc>
          <w:tcPr>
            <w:tcW w:w="0" w:type="auto"/>
            <w:gridSpan w:val="3"/>
            <w:vAlign w:val="center"/>
            <w:hideMark/>
          </w:tcPr>
          <w:p w14:paraId="6F3CD93D" w14:textId="77777777" w:rsidR="00000000" w:rsidRDefault="00A173A8">
            <w:pPr>
              <w:spacing w:after="100"/>
              <w:rPr>
                <w:rFonts w:eastAsia="Times New Roman"/>
                <w:sz w:val="20"/>
                <w:szCs w:val="20"/>
              </w:rPr>
            </w:pPr>
          </w:p>
        </w:tc>
        <w:tc>
          <w:tcPr>
            <w:tcW w:w="0" w:type="auto"/>
            <w:gridSpan w:val="3"/>
            <w:vAlign w:val="center"/>
            <w:hideMark/>
          </w:tcPr>
          <w:p w14:paraId="0C66DC5E" w14:textId="77777777" w:rsidR="00000000" w:rsidRDefault="00A173A8">
            <w:pPr>
              <w:spacing w:after="100"/>
              <w:rPr>
                <w:rFonts w:eastAsia="Times New Roman"/>
                <w:sz w:val="20"/>
                <w:szCs w:val="20"/>
              </w:rPr>
            </w:pPr>
          </w:p>
        </w:tc>
        <w:tc>
          <w:tcPr>
            <w:tcW w:w="0" w:type="auto"/>
            <w:gridSpan w:val="3"/>
            <w:vAlign w:val="center"/>
            <w:hideMark/>
          </w:tcPr>
          <w:p w14:paraId="6120C881" w14:textId="77777777" w:rsidR="00000000" w:rsidRDefault="00A173A8">
            <w:pPr>
              <w:spacing w:after="100"/>
              <w:rPr>
                <w:rFonts w:eastAsia="Times New Roman"/>
                <w:sz w:val="20"/>
                <w:szCs w:val="20"/>
              </w:rPr>
            </w:pPr>
          </w:p>
        </w:tc>
        <w:tc>
          <w:tcPr>
            <w:tcW w:w="0" w:type="auto"/>
            <w:gridSpan w:val="3"/>
            <w:vAlign w:val="center"/>
            <w:hideMark/>
          </w:tcPr>
          <w:p w14:paraId="41B8EC35" w14:textId="77777777" w:rsidR="00000000" w:rsidRDefault="00A173A8">
            <w:pPr>
              <w:spacing w:after="100"/>
              <w:rPr>
                <w:rFonts w:eastAsia="Times New Roman"/>
                <w:sz w:val="20"/>
                <w:szCs w:val="20"/>
              </w:rPr>
            </w:pPr>
          </w:p>
        </w:tc>
        <w:tc>
          <w:tcPr>
            <w:tcW w:w="0" w:type="auto"/>
            <w:gridSpan w:val="3"/>
            <w:vAlign w:val="center"/>
            <w:hideMark/>
          </w:tcPr>
          <w:p w14:paraId="6E4A83F2" w14:textId="77777777" w:rsidR="00000000" w:rsidRDefault="00A173A8">
            <w:pPr>
              <w:spacing w:after="100"/>
              <w:rPr>
                <w:rFonts w:eastAsia="Times New Roman"/>
                <w:sz w:val="20"/>
                <w:szCs w:val="20"/>
              </w:rPr>
            </w:pPr>
          </w:p>
        </w:tc>
        <w:tc>
          <w:tcPr>
            <w:tcW w:w="0" w:type="auto"/>
            <w:vAlign w:val="center"/>
            <w:hideMark/>
          </w:tcPr>
          <w:p w14:paraId="3BB4BAD3" w14:textId="77777777" w:rsidR="00000000" w:rsidRDefault="00A173A8">
            <w:pPr>
              <w:spacing w:after="100"/>
              <w:rPr>
                <w:rFonts w:eastAsia="Times New Roman"/>
                <w:sz w:val="20"/>
                <w:szCs w:val="20"/>
              </w:rPr>
            </w:pPr>
          </w:p>
        </w:tc>
        <w:tc>
          <w:tcPr>
            <w:tcW w:w="0" w:type="auto"/>
            <w:vAlign w:val="center"/>
            <w:hideMark/>
          </w:tcPr>
          <w:p w14:paraId="1F6FF750" w14:textId="77777777" w:rsidR="00000000" w:rsidRDefault="00A173A8">
            <w:pPr>
              <w:spacing w:after="100"/>
              <w:rPr>
                <w:rFonts w:eastAsia="Times New Roman"/>
                <w:sz w:val="20"/>
                <w:szCs w:val="20"/>
              </w:rPr>
            </w:pPr>
          </w:p>
        </w:tc>
        <w:tc>
          <w:tcPr>
            <w:tcW w:w="0" w:type="auto"/>
            <w:vAlign w:val="center"/>
            <w:hideMark/>
          </w:tcPr>
          <w:p w14:paraId="256F768E" w14:textId="77777777" w:rsidR="00000000" w:rsidRDefault="00A173A8">
            <w:pPr>
              <w:spacing w:after="100"/>
              <w:rPr>
                <w:rFonts w:eastAsia="Times New Roman"/>
                <w:sz w:val="20"/>
                <w:szCs w:val="20"/>
              </w:rPr>
            </w:pPr>
          </w:p>
        </w:tc>
        <w:tc>
          <w:tcPr>
            <w:tcW w:w="0" w:type="auto"/>
            <w:vAlign w:val="center"/>
            <w:hideMark/>
          </w:tcPr>
          <w:p w14:paraId="4023EBCB" w14:textId="77777777" w:rsidR="00000000" w:rsidRDefault="00A173A8">
            <w:pPr>
              <w:spacing w:after="100"/>
              <w:rPr>
                <w:rFonts w:eastAsia="Times New Roman"/>
                <w:sz w:val="20"/>
                <w:szCs w:val="20"/>
              </w:rPr>
            </w:pPr>
          </w:p>
        </w:tc>
        <w:tc>
          <w:tcPr>
            <w:tcW w:w="0" w:type="auto"/>
            <w:vAlign w:val="center"/>
            <w:hideMark/>
          </w:tcPr>
          <w:p w14:paraId="3D19AC27" w14:textId="77777777" w:rsidR="00000000" w:rsidRDefault="00A173A8">
            <w:pPr>
              <w:spacing w:after="100"/>
              <w:rPr>
                <w:rFonts w:eastAsia="Times New Roman"/>
                <w:sz w:val="20"/>
                <w:szCs w:val="20"/>
              </w:rPr>
            </w:pPr>
          </w:p>
        </w:tc>
        <w:tc>
          <w:tcPr>
            <w:tcW w:w="0" w:type="auto"/>
            <w:vAlign w:val="center"/>
            <w:hideMark/>
          </w:tcPr>
          <w:p w14:paraId="1CEE331B" w14:textId="77777777" w:rsidR="00000000" w:rsidRDefault="00A173A8">
            <w:pPr>
              <w:spacing w:after="100"/>
              <w:rPr>
                <w:rFonts w:eastAsia="Times New Roman"/>
                <w:sz w:val="20"/>
                <w:szCs w:val="20"/>
              </w:rPr>
            </w:pPr>
          </w:p>
        </w:tc>
        <w:tc>
          <w:tcPr>
            <w:tcW w:w="0" w:type="auto"/>
            <w:vAlign w:val="center"/>
            <w:hideMark/>
          </w:tcPr>
          <w:p w14:paraId="792B4B9A" w14:textId="77777777" w:rsidR="00000000" w:rsidRDefault="00A173A8">
            <w:pPr>
              <w:spacing w:after="100"/>
              <w:rPr>
                <w:rFonts w:eastAsia="Times New Roman"/>
                <w:sz w:val="20"/>
                <w:szCs w:val="20"/>
              </w:rPr>
            </w:pPr>
          </w:p>
        </w:tc>
        <w:tc>
          <w:tcPr>
            <w:tcW w:w="0" w:type="auto"/>
            <w:vAlign w:val="center"/>
            <w:hideMark/>
          </w:tcPr>
          <w:p w14:paraId="0D004703" w14:textId="77777777" w:rsidR="00000000" w:rsidRDefault="00A173A8">
            <w:pPr>
              <w:spacing w:after="100"/>
              <w:rPr>
                <w:rFonts w:eastAsia="Times New Roman"/>
                <w:sz w:val="20"/>
                <w:szCs w:val="20"/>
              </w:rPr>
            </w:pPr>
          </w:p>
        </w:tc>
        <w:tc>
          <w:tcPr>
            <w:tcW w:w="0" w:type="auto"/>
            <w:vAlign w:val="center"/>
            <w:hideMark/>
          </w:tcPr>
          <w:p w14:paraId="5EB0FF80" w14:textId="77777777" w:rsidR="00000000" w:rsidRDefault="00A173A8">
            <w:pPr>
              <w:spacing w:after="100"/>
              <w:rPr>
                <w:rFonts w:eastAsia="Times New Roman"/>
                <w:sz w:val="20"/>
                <w:szCs w:val="20"/>
              </w:rPr>
            </w:pPr>
          </w:p>
        </w:tc>
        <w:tc>
          <w:tcPr>
            <w:tcW w:w="0" w:type="auto"/>
            <w:vAlign w:val="center"/>
            <w:hideMark/>
          </w:tcPr>
          <w:p w14:paraId="4746C14B" w14:textId="77777777" w:rsidR="00000000" w:rsidRDefault="00A173A8">
            <w:pPr>
              <w:spacing w:after="100"/>
              <w:rPr>
                <w:rFonts w:eastAsia="Times New Roman"/>
                <w:sz w:val="20"/>
                <w:szCs w:val="20"/>
              </w:rPr>
            </w:pPr>
          </w:p>
        </w:tc>
        <w:tc>
          <w:tcPr>
            <w:tcW w:w="0" w:type="auto"/>
            <w:vAlign w:val="center"/>
            <w:hideMark/>
          </w:tcPr>
          <w:p w14:paraId="00723464" w14:textId="77777777" w:rsidR="00000000" w:rsidRDefault="00A173A8">
            <w:pPr>
              <w:spacing w:after="100"/>
              <w:rPr>
                <w:rFonts w:eastAsia="Times New Roman"/>
                <w:sz w:val="20"/>
                <w:szCs w:val="20"/>
              </w:rPr>
            </w:pPr>
          </w:p>
        </w:tc>
        <w:tc>
          <w:tcPr>
            <w:tcW w:w="0" w:type="auto"/>
            <w:vAlign w:val="center"/>
            <w:hideMark/>
          </w:tcPr>
          <w:p w14:paraId="38508126" w14:textId="77777777" w:rsidR="00000000" w:rsidRDefault="00A173A8">
            <w:pPr>
              <w:spacing w:after="100"/>
              <w:rPr>
                <w:rFonts w:eastAsia="Times New Roman"/>
                <w:sz w:val="20"/>
                <w:szCs w:val="20"/>
              </w:rPr>
            </w:pPr>
          </w:p>
        </w:tc>
        <w:tc>
          <w:tcPr>
            <w:tcW w:w="0" w:type="auto"/>
            <w:vAlign w:val="center"/>
            <w:hideMark/>
          </w:tcPr>
          <w:p w14:paraId="037757B7" w14:textId="77777777" w:rsidR="00000000" w:rsidRDefault="00A173A8">
            <w:pPr>
              <w:spacing w:after="100"/>
              <w:rPr>
                <w:rFonts w:eastAsia="Times New Roman"/>
                <w:sz w:val="20"/>
                <w:szCs w:val="20"/>
              </w:rPr>
            </w:pPr>
          </w:p>
        </w:tc>
        <w:tc>
          <w:tcPr>
            <w:tcW w:w="0" w:type="auto"/>
            <w:vAlign w:val="center"/>
            <w:hideMark/>
          </w:tcPr>
          <w:p w14:paraId="146CBC4F" w14:textId="77777777" w:rsidR="00000000" w:rsidRDefault="00A173A8">
            <w:pPr>
              <w:spacing w:after="100"/>
              <w:rPr>
                <w:rFonts w:eastAsia="Times New Roman"/>
                <w:sz w:val="20"/>
                <w:szCs w:val="20"/>
              </w:rPr>
            </w:pPr>
          </w:p>
        </w:tc>
        <w:tc>
          <w:tcPr>
            <w:tcW w:w="0" w:type="auto"/>
            <w:vAlign w:val="center"/>
            <w:hideMark/>
          </w:tcPr>
          <w:p w14:paraId="2A80D859" w14:textId="77777777" w:rsidR="00000000" w:rsidRDefault="00A173A8">
            <w:pPr>
              <w:spacing w:after="100"/>
              <w:rPr>
                <w:rFonts w:eastAsia="Times New Roman"/>
                <w:sz w:val="20"/>
                <w:szCs w:val="20"/>
              </w:rPr>
            </w:pPr>
          </w:p>
        </w:tc>
        <w:tc>
          <w:tcPr>
            <w:tcW w:w="0" w:type="auto"/>
            <w:vAlign w:val="center"/>
            <w:hideMark/>
          </w:tcPr>
          <w:p w14:paraId="2BF8AA45" w14:textId="77777777" w:rsidR="00000000" w:rsidRDefault="00A173A8">
            <w:pPr>
              <w:spacing w:after="100"/>
              <w:rPr>
                <w:rFonts w:eastAsia="Times New Roman"/>
                <w:sz w:val="20"/>
                <w:szCs w:val="20"/>
              </w:rPr>
            </w:pPr>
          </w:p>
        </w:tc>
        <w:tc>
          <w:tcPr>
            <w:tcW w:w="0" w:type="auto"/>
            <w:vAlign w:val="center"/>
            <w:hideMark/>
          </w:tcPr>
          <w:p w14:paraId="7DA8EE08" w14:textId="77777777" w:rsidR="00000000" w:rsidRDefault="00A173A8">
            <w:pPr>
              <w:spacing w:after="100"/>
              <w:rPr>
                <w:rFonts w:eastAsia="Times New Roman"/>
                <w:sz w:val="20"/>
                <w:szCs w:val="20"/>
              </w:rPr>
            </w:pPr>
          </w:p>
        </w:tc>
        <w:tc>
          <w:tcPr>
            <w:tcW w:w="0" w:type="auto"/>
            <w:vAlign w:val="center"/>
            <w:hideMark/>
          </w:tcPr>
          <w:p w14:paraId="54C0A85C" w14:textId="77777777" w:rsidR="00000000" w:rsidRDefault="00A173A8">
            <w:pPr>
              <w:spacing w:after="100"/>
              <w:rPr>
                <w:rFonts w:eastAsia="Times New Roman"/>
                <w:sz w:val="20"/>
                <w:szCs w:val="20"/>
              </w:rPr>
            </w:pPr>
          </w:p>
        </w:tc>
        <w:tc>
          <w:tcPr>
            <w:tcW w:w="0" w:type="auto"/>
            <w:vAlign w:val="center"/>
            <w:hideMark/>
          </w:tcPr>
          <w:p w14:paraId="7E07AA35" w14:textId="77777777" w:rsidR="00000000" w:rsidRDefault="00A173A8">
            <w:pPr>
              <w:spacing w:after="100"/>
              <w:rPr>
                <w:rFonts w:eastAsia="Times New Roman"/>
                <w:sz w:val="20"/>
                <w:szCs w:val="20"/>
              </w:rPr>
            </w:pPr>
          </w:p>
        </w:tc>
        <w:tc>
          <w:tcPr>
            <w:tcW w:w="0" w:type="auto"/>
            <w:vAlign w:val="center"/>
            <w:hideMark/>
          </w:tcPr>
          <w:p w14:paraId="0719BCD3" w14:textId="77777777" w:rsidR="00000000" w:rsidRDefault="00A173A8">
            <w:pPr>
              <w:spacing w:after="100"/>
              <w:rPr>
                <w:rFonts w:eastAsia="Times New Roman"/>
                <w:sz w:val="20"/>
                <w:szCs w:val="20"/>
              </w:rPr>
            </w:pPr>
          </w:p>
        </w:tc>
        <w:tc>
          <w:tcPr>
            <w:tcW w:w="0" w:type="auto"/>
            <w:vAlign w:val="center"/>
            <w:hideMark/>
          </w:tcPr>
          <w:p w14:paraId="016DB104" w14:textId="77777777" w:rsidR="00000000" w:rsidRDefault="00A173A8">
            <w:pPr>
              <w:spacing w:after="100"/>
              <w:rPr>
                <w:rFonts w:eastAsia="Times New Roman"/>
                <w:sz w:val="20"/>
                <w:szCs w:val="20"/>
              </w:rPr>
            </w:pPr>
          </w:p>
        </w:tc>
        <w:tc>
          <w:tcPr>
            <w:tcW w:w="0" w:type="auto"/>
            <w:vAlign w:val="center"/>
            <w:hideMark/>
          </w:tcPr>
          <w:p w14:paraId="682C8911" w14:textId="77777777" w:rsidR="00000000" w:rsidRDefault="00A173A8">
            <w:pPr>
              <w:spacing w:after="100"/>
              <w:rPr>
                <w:rFonts w:eastAsia="Times New Roman"/>
                <w:sz w:val="20"/>
                <w:szCs w:val="20"/>
              </w:rPr>
            </w:pPr>
          </w:p>
        </w:tc>
        <w:tc>
          <w:tcPr>
            <w:tcW w:w="0" w:type="auto"/>
            <w:vAlign w:val="center"/>
            <w:hideMark/>
          </w:tcPr>
          <w:p w14:paraId="0F934E3C" w14:textId="77777777" w:rsidR="00000000" w:rsidRDefault="00A173A8">
            <w:pPr>
              <w:spacing w:after="100"/>
              <w:rPr>
                <w:rFonts w:eastAsia="Times New Roman"/>
                <w:sz w:val="20"/>
                <w:szCs w:val="20"/>
              </w:rPr>
            </w:pPr>
          </w:p>
        </w:tc>
        <w:tc>
          <w:tcPr>
            <w:tcW w:w="0" w:type="auto"/>
            <w:vAlign w:val="center"/>
            <w:hideMark/>
          </w:tcPr>
          <w:p w14:paraId="212D18CF" w14:textId="77777777" w:rsidR="00000000" w:rsidRDefault="00A173A8">
            <w:pPr>
              <w:spacing w:after="100"/>
              <w:rPr>
                <w:rFonts w:eastAsia="Times New Roman"/>
                <w:sz w:val="20"/>
                <w:szCs w:val="20"/>
              </w:rPr>
            </w:pPr>
          </w:p>
        </w:tc>
        <w:tc>
          <w:tcPr>
            <w:tcW w:w="0" w:type="auto"/>
            <w:vAlign w:val="center"/>
            <w:hideMark/>
          </w:tcPr>
          <w:p w14:paraId="5A1D7BD7" w14:textId="77777777" w:rsidR="00000000" w:rsidRDefault="00A173A8">
            <w:pPr>
              <w:spacing w:after="100"/>
              <w:rPr>
                <w:rFonts w:eastAsia="Times New Roman"/>
                <w:sz w:val="20"/>
                <w:szCs w:val="20"/>
              </w:rPr>
            </w:pPr>
          </w:p>
        </w:tc>
        <w:tc>
          <w:tcPr>
            <w:tcW w:w="0" w:type="auto"/>
            <w:vAlign w:val="center"/>
            <w:hideMark/>
          </w:tcPr>
          <w:p w14:paraId="3824BB40" w14:textId="77777777" w:rsidR="00000000" w:rsidRDefault="00A173A8">
            <w:pPr>
              <w:spacing w:after="100"/>
              <w:rPr>
                <w:rFonts w:eastAsia="Times New Roman"/>
                <w:sz w:val="20"/>
                <w:szCs w:val="20"/>
              </w:rPr>
            </w:pPr>
          </w:p>
        </w:tc>
        <w:tc>
          <w:tcPr>
            <w:tcW w:w="0" w:type="auto"/>
            <w:vAlign w:val="center"/>
            <w:hideMark/>
          </w:tcPr>
          <w:p w14:paraId="74305F69" w14:textId="77777777" w:rsidR="00000000" w:rsidRDefault="00A173A8">
            <w:pPr>
              <w:spacing w:after="100"/>
              <w:rPr>
                <w:rFonts w:eastAsia="Times New Roman"/>
                <w:sz w:val="20"/>
                <w:szCs w:val="20"/>
              </w:rPr>
            </w:pPr>
          </w:p>
        </w:tc>
        <w:tc>
          <w:tcPr>
            <w:tcW w:w="0" w:type="auto"/>
            <w:vAlign w:val="center"/>
            <w:hideMark/>
          </w:tcPr>
          <w:p w14:paraId="7EC94530" w14:textId="77777777" w:rsidR="00000000" w:rsidRDefault="00A173A8">
            <w:pPr>
              <w:spacing w:after="100"/>
              <w:rPr>
                <w:rFonts w:eastAsia="Times New Roman"/>
                <w:sz w:val="20"/>
                <w:szCs w:val="20"/>
              </w:rPr>
            </w:pPr>
          </w:p>
        </w:tc>
        <w:tc>
          <w:tcPr>
            <w:tcW w:w="0" w:type="auto"/>
            <w:vAlign w:val="center"/>
            <w:hideMark/>
          </w:tcPr>
          <w:p w14:paraId="0A7040FF" w14:textId="77777777" w:rsidR="00000000" w:rsidRDefault="00A173A8">
            <w:pPr>
              <w:spacing w:after="100"/>
              <w:rPr>
                <w:rFonts w:eastAsia="Times New Roman"/>
                <w:sz w:val="20"/>
                <w:szCs w:val="20"/>
              </w:rPr>
            </w:pPr>
          </w:p>
        </w:tc>
        <w:tc>
          <w:tcPr>
            <w:tcW w:w="0" w:type="auto"/>
            <w:vAlign w:val="center"/>
            <w:hideMark/>
          </w:tcPr>
          <w:p w14:paraId="0F7A222C" w14:textId="77777777" w:rsidR="00000000" w:rsidRDefault="00A173A8">
            <w:pPr>
              <w:spacing w:after="100"/>
              <w:rPr>
                <w:rFonts w:eastAsia="Times New Roman"/>
                <w:sz w:val="20"/>
                <w:szCs w:val="20"/>
              </w:rPr>
            </w:pPr>
          </w:p>
        </w:tc>
        <w:tc>
          <w:tcPr>
            <w:tcW w:w="0" w:type="auto"/>
            <w:vAlign w:val="center"/>
            <w:hideMark/>
          </w:tcPr>
          <w:p w14:paraId="5B7DB9EA" w14:textId="77777777" w:rsidR="00000000" w:rsidRDefault="00A173A8">
            <w:pPr>
              <w:spacing w:after="100"/>
              <w:rPr>
                <w:rFonts w:eastAsia="Times New Roman"/>
                <w:sz w:val="20"/>
                <w:szCs w:val="20"/>
              </w:rPr>
            </w:pPr>
          </w:p>
        </w:tc>
        <w:tc>
          <w:tcPr>
            <w:tcW w:w="0" w:type="auto"/>
            <w:vAlign w:val="center"/>
            <w:hideMark/>
          </w:tcPr>
          <w:p w14:paraId="01522E3D" w14:textId="77777777" w:rsidR="00000000" w:rsidRDefault="00A173A8">
            <w:pPr>
              <w:spacing w:after="100"/>
              <w:rPr>
                <w:rFonts w:eastAsia="Times New Roman"/>
                <w:sz w:val="20"/>
                <w:szCs w:val="20"/>
              </w:rPr>
            </w:pPr>
          </w:p>
        </w:tc>
        <w:tc>
          <w:tcPr>
            <w:tcW w:w="0" w:type="auto"/>
            <w:vAlign w:val="center"/>
            <w:hideMark/>
          </w:tcPr>
          <w:p w14:paraId="48C480AC" w14:textId="77777777" w:rsidR="00000000" w:rsidRDefault="00A173A8">
            <w:pPr>
              <w:spacing w:after="100"/>
              <w:rPr>
                <w:rFonts w:eastAsia="Times New Roman"/>
                <w:sz w:val="20"/>
                <w:szCs w:val="20"/>
              </w:rPr>
            </w:pPr>
          </w:p>
        </w:tc>
      </w:tr>
      <w:tr w:rsidR="00000000" w14:paraId="402B27CB" w14:textId="77777777">
        <w:trPr>
          <w:divId w:val="488981052"/>
        </w:trPr>
        <w:tc>
          <w:tcPr>
            <w:tcW w:w="0" w:type="auto"/>
            <w:gridSpan w:val="3"/>
            <w:vAlign w:val="center"/>
            <w:hideMark/>
          </w:tcPr>
          <w:p w14:paraId="6AC0953B" w14:textId="77777777" w:rsidR="00000000" w:rsidRDefault="00A173A8">
            <w:pPr>
              <w:spacing w:after="100"/>
              <w:rPr>
                <w:rFonts w:eastAsia="Times New Roman"/>
                <w:sz w:val="20"/>
                <w:szCs w:val="20"/>
              </w:rPr>
            </w:pPr>
          </w:p>
        </w:tc>
        <w:tc>
          <w:tcPr>
            <w:tcW w:w="0" w:type="auto"/>
            <w:gridSpan w:val="3"/>
            <w:vAlign w:val="center"/>
            <w:hideMark/>
          </w:tcPr>
          <w:p w14:paraId="7929F0EA" w14:textId="77777777" w:rsidR="00000000" w:rsidRDefault="00A173A8">
            <w:pPr>
              <w:spacing w:after="100"/>
              <w:rPr>
                <w:rFonts w:eastAsia="Times New Roman"/>
                <w:sz w:val="20"/>
                <w:szCs w:val="20"/>
              </w:rPr>
            </w:pPr>
          </w:p>
        </w:tc>
        <w:tc>
          <w:tcPr>
            <w:tcW w:w="0" w:type="auto"/>
            <w:gridSpan w:val="3"/>
            <w:vAlign w:val="center"/>
            <w:hideMark/>
          </w:tcPr>
          <w:p w14:paraId="590C4435" w14:textId="77777777" w:rsidR="00000000" w:rsidRDefault="00A173A8">
            <w:pPr>
              <w:spacing w:after="100"/>
              <w:rPr>
                <w:rFonts w:eastAsia="Times New Roman"/>
                <w:sz w:val="20"/>
                <w:szCs w:val="20"/>
              </w:rPr>
            </w:pPr>
          </w:p>
        </w:tc>
        <w:tc>
          <w:tcPr>
            <w:tcW w:w="0" w:type="auto"/>
            <w:gridSpan w:val="3"/>
            <w:vAlign w:val="center"/>
            <w:hideMark/>
          </w:tcPr>
          <w:p w14:paraId="46A18131" w14:textId="77777777" w:rsidR="00000000" w:rsidRDefault="00A173A8">
            <w:pPr>
              <w:spacing w:after="100"/>
              <w:rPr>
                <w:rFonts w:eastAsia="Times New Roman"/>
                <w:sz w:val="20"/>
                <w:szCs w:val="20"/>
              </w:rPr>
            </w:pPr>
          </w:p>
        </w:tc>
        <w:tc>
          <w:tcPr>
            <w:tcW w:w="0" w:type="auto"/>
            <w:gridSpan w:val="3"/>
            <w:vAlign w:val="center"/>
            <w:hideMark/>
          </w:tcPr>
          <w:p w14:paraId="3CE609C5" w14:textId="77777777" w:rsidR="00000000" w:rsidRDefault="00A173A8">
            <w:pPr>
              <w:spacing w:after="100"/>
              <w:rPr>
                <w:rFonts w:eastAsia="Times New Roman"/>
                <w:sz w:val="20"/>
                <w:szCs w:val="20"/>
              </w:rPr>
            </w:pPr>
          </w:p>
        </w:tc>
        <w:tc>
          <w:tcPr>
            <w:tcW w:w="0" w:type="auto"/>
            <w:gridSpan w:val="3"/>
            <w:vAlign w:val="center"/>
            <w:hideMark/>
          </w:tcPr>
          <w:p w14:paraId="6011A3A8" w14:textId="77777777" w:rsidR="00000000" w:rsidRDefault="00A173A8">
            <w:pPr>
              <w:spacing w:after="100"/>
              <w:rPr>
                <w:rFonts w:eastAsia="Times New Roman"/>
                <w:sz w:val="20"/>
                <w:szCs w:val="20"/>
              </w:rPr>
            </w:pPr>
          </w:p>
        </w:tc>
        <w:tc>
          <w:tcPr>
            <w:tcW w:w="0" w:type="auto"/>
            <w:gridSpan w:val="3"/>
            <w:vAlign w:val="center"/>
            <w:hideMark/>
          </w:tcPr>
          <w:p w14:paraId="1FC03CC0" w14:textId="77777777" w:rsidR="00000000" w:rsidRDefault="00A173A8">
            <w:pPr>
              <w:spacing w:after="100"/>
              <w:rPr>
                <w:rFonts w:eastAsia="Times New Roman"/>
                <w:sz w:val="20"/>
                <w:szCs w:val="20"/>
              </w:rPr>
            </w:pPr>
          </w:p>
        </w:tc>
        <w:tc>
          <w:tcPr>
            <w:tcW w:w="0" w:type="auto"/>
            <w:gridSpan w:val="3"/>
            <w:vAlign w:val="center"/>
            <w:hideMark/>
          </w:tcPr>
          <w:p w14:paraId="2CE747A0" w14:textId="77777777" w:rsidR="00000000" w:rsidRDefault="00A173A8">
            <w:pPr>
              <w:spacing w:after="100"/>
              <w:rPr>
                <w:rFonts w:eastAsia="Times New Roman"/>
                <w:sz w:val="20"/>
                <w:szCs w:val="20"/>
              </w:rPr>
            </w:pPr>
          </w:p>
        </w:tc>
        <w:tc>
          <w:tcPr>
            <w:tcW w:w="0" w:type="auto"/>
            <w:gridSpan w:val="3"/>
            <w:vAlign w:val="center"/>
            <w:hideMark/>
          </w:tcPr>
          <w:p w14:paraId="3FB38F9B" w14:textId="77777777" w:rsidR="00000000" w:rsidRDefault="00A173A8">
            <w:pPr>
              <w:spacing w:after="100"/>
              <w:rPr>
                <w:rFonts w:eastAsia="Times New Roman"/>
                <w:sz w:val="20"/>
                <w:szCs w:val="20"/>
              </w:rPr>
            </w:pPr>
          </w:p>
        </w:tc>
        <w:tc>
          <w:tcPr>
            <w:tcW w:w="0" w:type="auto"/>
            <w:gridSpan w:val="3"/>
            <w:vAlign w:val="center"/>
            <w:hideMark/>
          </w:tcPr>
          <w:p w14:paraId="6698F5E9" w14:textId="77777777" w:rsidR="00000000" w:rsidRDefault="00A173A8">
            <w:pPr>
              <w:spacing w:after="100"/>
              <w:rPr>
                <w:rFonts w:eastAsia="Times New Roman"/>
                <w:sz w:val="20"/>
                <w:szCs w:val="20"/>
              </w:rPr>
            </w:pPr>
          </w:p>
        </w:tc>
        <w:tc>
          <w:tcPr>
            <w:tcW w:w="0" w:type="auto"/>
            <w:gridSpan w:val="3"/>
            <w:vAlign w:val="center"/>
            <w:hideMark/>
          </w:tcPr>
          <w:p w14:paraId="151EEC39" w14:textId="77777777" w:rsidR="00000000" w:rsidRDefault="00A173A8">
            <w:pPr>
              <w:spacing w:after="100"/>
              <w:rPr>
                <w:rFonts w:eastAsia="Times New Roman"/>
                <w:sz w:val="20"/>
                <w:szCs w:val="20"/>
              </w:rPr>
            </w:pPr>
          </w:p>
        </w:tc>
        <w:tc>
          <w:tcPr>
            <w:tcW w:w="0" w:type="auto"/>
            <w:gridSpan w:val="3"/>
            <w:vAlign w:val="center"/>
            <w:hideMark/>
          </w:tcPr>
          <w:p w14:paraId="5E5914DB" w14:textId="77777777" w:rsidR="00000000" w:rsidRDefault="00A173A8">
            <w:pPr>
              <w:spacing w:after="100"/>
              <w:rPr>
                <w:rFonts w:eastAsia="Times New Roman"/>
                <w:sz w:val="20"/>
                <w:szCs w:val="20"/>
              </w:rPr>
            </w:pPr>
          </w:p>
        </w:tc>
        <w:tc>
          <w:tcPr>
            <w:tcW w:w="0" w:type="auto"/>
            <w:gridSpan w:val="3"/>
            <w:vAlign w:val="center"/>
            <w:hideMark/>
          </w:tcPr>
          <w:p w14:paraId="1A8200B5" w14:textId="77777777" w:rsidR="00000000" w:rsidRDefault="00A173A8">
            <w:pPr>
              <w:spacing w:after="100"/>
              <w:rPr>
                <w:rFonts w:eastAsia="Times New Roman"/>
                <w:sz w:val="20"/>
                <w:szCs w:val="20"/>
              </w:rPr>
            </w:pPr>
          </w:p>
        </w:tc>
        <w:tc>
          <w:tcPr>
            <w:tcW w:w="0" w:type="auto"/>
            <w:gridSpan w:val="3"/>
            <w:vAlign w:val="center"/>
            <w:hideMark/>
          </w:tcPr>
          <w:p w14:paraId="0861EFDB" w14:textId="77777777" w:rsidR="00000000" w:rsidRDefault="00A173A8">
            <w:pPr>
              <w:spacing w:after="100"/>
              <w:rPr>
                <w:rFonts w:eastAsia="Times New Roman"/>
                <w:sz w:val="20"/>
                <w:szCs w:val="20"/>
              </w:rPr>
            </w:pPr>
          </w:p>
        </w:tc>
        <w:tc>
          <w:tcPr>
            <w:tcW w:w="0" w:type="auto"/>
            <w:gridSpan w:val="3"/>
            <w:vAlign w:val="center"/>
            <w:hideMark/>
          </w:tcPr>
          <w:p w14:paraId="303B5EB4" w14:textId="77777777" w:rsidR="00000000" w:rsidRDefault="00A173A8">
            <w:pPr>
              <w:spacing w:after="100"/>
              <w:rPr>
                <w:rFonts w:eastAsia="Times New Roman"/>
                <w:sz w:val="20"/>
                <w:szCs w:val="20"/>
              </w:rPr>
            </w:pPr>
          </w:p>
        </w:tc>
        <w:tc>
          <w:tcPr>
            <w:tcW w:w="0" w:type="auto"/>
            <w:gridSpan w:val="3"/>
            <w:vAlign w:val="center"/>
            <w:hideMark/>
          </w:tcPr>
          <w:p w14:paraId="70ACF76E" w14:textId="77777777" w:rsidR="00000000" w:rsidRDefault="00A173A8">
            <w:pPr>
              <w:spacing w:after="100"/>
              <w:rPr>
                <w:rFonts w:eastAsia="Times New Roman"/>
                <w:sz w:val="20"/>
                <w:szCs w:val="20"/>
              </w:rPr>
            </w:pPr>
          </w:p>
        </w:tc>
        <w:tc>
          <w:tcPr>
            <w:tcW w:w="0" w:type="auto"/>
            <w:gridSpan w:val="3"/>
            <w:vAlign w:val="center"/>
            <w:hideMark/>
          </w:tcPr>
          <w:p w14:paraId="369D2136" w14:textId="77777777" w:rsidR="00000000" w:rsidRDefault="00A173A8">
            <w:pPr>
              <w:spacing w:after="100"/>
              <w:rPr>
                <w:rFonts w:eastAsia="Times New Roman"/>
                <w:sz w:val="20"/>
                <w:szCs w:val="20"/>
              </w:rPr>
            </w:pPr>
          </w:p>
        </w:tc>
        <w:tc>
          <w:tcPr>
            <w:tcW w:w="0" w:type="auto"/>
            <w:gridSpan w:val="3"/>
            <w:vAlign w:val="center"/>
            <w:hideMark/>
          </w:tcPr>
          <w:p w14:paraId="450FDDF9" w14:textId="77777777" w:rsidR="00000000" w:rsidRDefault="00A173A8">
            <w:pPr>
              <w:spacing w:after="100"/>
              <w:rPr>
                <w:rFonts w:eastAsia="Times New Roman"/>
                <w:sz w:val="20"/>
                <w:szCs w:val="20"/>
              </w:rPr>
            </w:pPr>
          </w:p>
        </w:tc>
        <w:tc>
          <w:tcPr>
            <w:tcW w:w="0" w:type="auto"/>
            <w:gridSpan w:val="3"/>
            <w:vAlign w:val="center"/>
            <w:hideMark/>
          </w:tcPr>
          <w:p w14:paraId="0CC36CA2" w14:textId="77777777" w:rsidR="00000000" w:rsidRDefault="00A173A8">
            <w:pPr>
              <w:spacing w:after="100"/>
              <w:rPr>
                <w:rFonts w:eastAsia="Times New Roman"/>
                <w:sz w:val="20"/>
                <w:szCs w:val="20"/>
              </w:rPr>
            </w:pPr>
          </w:p>
        </w:tc>
      </w:tr>
      <w:tr w:rsidR="00000000" w14:paraId="2F81918D" w14:textId="77777777">
        <w:trPr>
          <w:divId w:val="488981052"/>
        </w:trPr>
        <w:tc>
          <w:tcPr>
            <w:tcW w:w="0" w:type="auto"/>
            <w:gridSpan w:val="3"/>
            <w:vAlign w:val="center"/>
            <w:hideMark/>
          </w:tcPr>
          <w:p w14:paraId="52A25F47" w14:textId="77777777" w:rsidR="00000000" w:rsidRDefault="00A173A8">
            <w:pPr>
              <w:spacing w:after="100"/>
              <w:rPr>
                <w:rFonts w:eastAsia="Times New Roman"/>
                <w:sz w:val="20"/>
                <w:szCs w:val="20"/>
              </w:rPr>
            </w:pPr>
          </w:p>
        </w:tc>
        <w:tc>
          <w:tcPr>
            <w:tcW w:w="0" w:type="auto"/>
            <w:gridSpan w:val="3"/>
            <w:vAlign w:val="center"/>
            <w:hideMark/>
          </w:tcPr>
          <w:p w14:paraId="3A2DFA0A" w14:textId="77777777" w:rsidR="00000000" w:rsidRDefault="00A173A8">
            <w:pPr>
              <w:spacing w:after="100"/>
              <w:rPr>
                <w:rFonts w:eastAsia="Times New Roman"/>
                <w:sz w:val="20"/>
                <w:szCs w:val="20"/>
              </w:rPr>
            </w:pPr>
          </w:p>
        </w:tc>
        <w:tc>
          <w:tcPr>
            <w:tcW w:w="0" w:type="auto"/>
            <w:gridSpan w:val="3"/>
            <w:vAlign w:val="center"/>
            <w:hideMark/>
          </w:tcPr>
          <w:p w14:paraId="10DE23E8" w14:textId="77777777" w:rsidR="00000000" w:rsidRDefault="00A173A8">
            <w:pPr>
              <w:spacing w:after="100"/>
              <w:rPr>
                <w:rFonts w:eastAsia="Times New Roman"/>
                <w:sz w:val="20"/>
                <w:szCs w:val="20"/>
              </w:rPr>
            </w:pPr>
          </w:p>
        </w:tc>
        <w:tc>
          <w:tcPr>
            <w:tcW w:w="0" w:type="auto"/>
            <w:gridSpan w:val="3"/>
            <w:vAlign w:val="center"/>
            <w:hideMark/>
          </w:tcPr>
          <w:p w14:paraId="35143FB1" w14:textId="77777777" w:rsidR="00000000" w:rsidRDefault="00A173A8">
            <w:pPr>
              <w:spacing w:after="100"/>
              <w:rPr>
                <w:rFonts w:eastAsia="Times New Roman"/>
                <w:sz w:val="20"/>
                <w:szCs w:val="20"/>
              </w:rPr>
            </w:pPr>
          </w:p>
        </w:tc>
        <w:tc>
          <w:tcPr>
            <w:tcW w:w="0" w:type="auto"/>
            <w:gridSpan w:val="3"/>
            <w:vAlign w:val="center"/>
            <w:hideMark/>
          </w:tcPr>
          <w:p w14:paraId="64DC3CEB" w14:textId="77777777" w:rsidR="00000000" w:rsidRDefault="00A173A8">
            <w:pPr>
              <w:spacing w:after="100"/>
              <w:rPr>
                <w:rFonts w:eastAsia="Times New Roman"/>
                <w:sz w:val="20"/>
                <w:szCs w:val="20"/>
              </w:rPr>
            </w:pPr>
          </w:p>
        </w:tc>
        <w:tc>
          <w:tcPr>
            <w:tcW w:w="0" w:type="auto"/>
            <w:gridSpan w:val="3"/>
            <w:vAlign w:val="center"/>
            <w:hideMark/>
          </w:tcPr>
          <w:p w14:paraId="7019F87B" w14:textId="77777777" w:rsidR="00000000" w:rsidRDefault="00A173A8">
            <w:pPr>
              <w:spacing w:after="100"/>
              <w:rPr>
                <w:rFonts w:eastAsia="Times New Roman"/>
                <w:sz w:val="20"/>
                <w:szCs w:val="20"/>
              </w:rPr>
            </w:pPr>
          </w:p>
        </w:tc>
        <w:tc>
          <w:tcPr>
            <w:tcW w:w="0" w:type="auto"/>
            <w:gridSpan w:val="3"/>
            <w:vAlign w:val="center"/>
            <w:hideMark/>
          </w:tcPr>
          <w:p w14:paraId="2F5E8337" w14:textId="77777777" w:rsidR="00000000" w:rsidRDefault="00A173A8">
            <w:pPr>
              <w:spacing w:after="100"/>
              <w:rPr>
                <w:rFonts w:eastAsia="Times New Roman"/>
                <w:sz w:val="20"/>
                <w:szCs w:val="20"/>
              </w:rPr>
            </w:pPr>
          </w:p>
        </w:tc>
        <w:tc>
          <w:tcPr>
            <w:tcW w:w="0" w:type="auto"/>
            <w:gridSpan w:val="3"/>
            <w:vAlign w:val="center"/>
            <w:hideMark/>
          </w:tcPr>
          <w:p w14:paraId="57DCAA9F" w14:textId="77777777" w:rsidR="00000000" w:rsidRDefault="00A173A8">
            <w:pPr>
              <w:spacing w:after="100"/>
              <w:rPr>
                <w:rFonts w:eastAsia="Times New Roman"/>
                <w:sz w:val="20"/>
                <w:szCs w:val="20"/>
              </w:rPr>
            </w:pPr>
          </w:p>
        </w:tc>
        <w:tc>
          <w:tcPr>
            <w:tcW w:w="0" w:type="auto"/>
            <w:gridSpan w:val="3"/>
            <w:vAlign w:val="center"/>
            <w:hideMark/>
          </w:tcPr>
          <w:p w14:paraId="478A8734" w14:textId="77777777" w:rsidR="00000000" w:rsidRDefault="00A173A8">
            <w:pPr>
              <w:spacing w:after="100"/>
              <w:rPr>
                <w:rFonts w:eastAsia="Times New Roman"/>
                <w:sz w:val="20"/>
                <w:szCs w:val="20"/>
              </w:rPr>
            </w:pPr>
          </w:p>
        </w:tc>
        <w:tc>
          <w:tcPr>
            <w:tcW w:w="0" w:type="auto"/>
            <w:gridSpan w:val="3"/>
            <w:vAlign w:val="center"/>
            <w:hideMark/>
          </w:tcPr>
          <w:p w14:paraId="2871AFE2" w14:textId="77777777" w:rsidR="00000000" w:rsidRDefault="00A173A8">
            <w:pPr>
              <w:spacing w:after="100"/>
              <w:rPr>
                <w:rFonts w:eastAsia="Times New Roman"/>
                <w:sz w:val="20"/>
                <w:szCs w:val="20"/>
              </w:rPr>
            </w:pPr>
          </w:p>
        </w:tc>
        <w:tc>
          <w:tcPr>
            <w:tcW w:w="0" w:type="auto"/>
            <w:gridSpan w:val="3"/>
            <w:vAlign w:val="center"/>
            <w:hideMark/>
          </w:tcPr>
          <w:p w14:paraId="2C752A59" w14:textId="77777777" w:rsidR="00000000" w:rsidRDefault="00A173A8">
            <w:pPr>
              <w:spacing w:after="100"/>
              <w:rPr>
                <w:rFonts w:eastAsia="Times New Roman"/>
                <w:sz w:val="20"/>
                <w:szCs w:val="20"/>
              </w:rPr>
            </w:pPr>
          </w:p>
        </w:tc>
        <w:tc>
          <w:tcPr>
            <w:tcW w:w="0" w:type="auto"/>
            <w:gridSpan w:val="3"/>
            <w:vAlign w:val="center"/>
            <w:hideMark/>
          </w:tcPr>
          <w:p w14:paraId="25E6697B" w14:textId="77777777" w:rsidR="00000000" w:rsidRDefault="00A173A8">
            <w:pPr>
              <w:spacing w:after="100"/>
              <w:rPr>
                <w:rFonts w:eastAsia="Times New Roman"/>
                <w:sz w:val="20"/>
                <w:szCs w:val="20"/>
              </w:rPr>
            </w:pPr>
          </w:p>
        </w:tc>
        <w:tc>
          <w:tcPr>
            <w:tcW w:w="0" w:type="auto"/>
            <w:gridSpan w:val="3"/>
            <w:vAlign w:val="center"/>
            <w:hideMark/>
          </w:tcPr>
          <w:p w14:paraId="136962A9" w14:textId="77777777" w:rsidR="00000000" w:rsidRDefault="00A173A8">
            <w:pPr>
              <w:spacing w:after="100"/>
              <w:rPr>
                <w:rFonts w:eastAsia="Times New Roman"/>
                <w:sz w:val="20"/>
                <w:szCs w:val="20"/>
              </w:rPr>
            </w:pPr>
          </w:p>
        </w:tc>
        <w:tc>
          <w:tcPr>
            <w:tcW w:w="0" w:type="auto"/>
            <w:gridSpan w:val="3"/>
            <w:vAlign w:val="center"/>
            <w:hideMark/>
          </w:tcPr>
          <w:p w14:paraId="4CFAB21A" w14:textId="77777777" w:rsidR="00000000" w:rsidRDefault="00A173A8">
            <w:pPr>
              <w:spacing w:after="100"/>
              <w:rPr>
                <w:rFonts w:eastAsia="Times New Roman"/>
                <w:sz w:val="20"/>
                <w:szCs w:val="20"/>
              </w:rPr>
            </w:pPr>
          </w:p>
        </w:tc>
        <w:tc>
          <w:tcPr>
            <w:tcW w:w="0" w:type="auto"/>
            <w:gridSpan w:val="3"/>
            <w:vAlign w:val="center"/>
            <w:hideMark/>
          </w:tcPr>
          <w:p w14:paraId="488F7EF0" w14:textId="77777777" w:rsidR="00000000" w:rsidRDefault="00A173A8">
            <w:pPr>
              <w:spacing w:after="100"/>
              <w:rPr>
                <w:rFonts w:eastAsia="Times New Roman"/>
                <w:sz w:val="20"/>
                <w:szCs w:val="20"/>
              </w:rPr>
            </w:pPr>
          </w:p>
        </w:tc>
        <w:tc>
          <w:tcPr>
            <w:tcW w:w="0" w:type="auto"/>
            <w:gridSpan w:val="3"/>
            <w:vAlign w:val="center"/>
            <w:hideMark/>
          </w:tcPr>
          <w:p w14:paraId="4405A1D1" w14:textId="77777777" w:rsidR="00000000" w:rsidRDefault="00A173A8">
            <w:pPr>
              <w:spacing w:after="100"/>
              <w:rPr>
                <w:rFonts w:eastAsia="Times New Roman"/>
                <w:sz w:val="20"/>
                <w:szCs w:val="20"/>
              </w:rPr>
            </w:pPr>
          </w:p>
        </w:tc>
        <w:tc>
          <w:tcPr>
            <w:tcW w:w="0" w:type="auto"/>
            <w:gridSpan w:val="3"/>
            <w:vAlign w:val="center"/>
            <w:hideMark/>
          </w:tcPr>
          <w:p w14:paraId="271DA698" w14:textId="77777777" w:rsidR="00000000" w:rsidRDefault="00A173A8">
            <w:pPr>
              <w:spacing w:after="100"/>
              <w:rPr>
                <w:rFonts w:eastAsia="Times New Roman"/>
                <w:sz w:val="20"/>
                <w:szCs w:val="20"/>
              </w:rPr>
            </w:pPr>
          </w:p>
        </w:tc>
        <w:tc>
          <w:tcPr>
            <w:tcW w:w="0" w:type="auto"/>
            <w:gridSpan w:val="3"/>
            <w:vAlign w:val="center"/>
            <w:hideMark/>
          </w:tcPr>
          <w:p w14:paraId="378CDCA0" w14:textId="77777777" w:rsidR="00000000" w:rsidRDefault="00A173A8">
            <w:pPr>
              <w:spacing w:after="100"/>
              <w:rPr>
                <w:rFonts w:eastAsia="Times New Roman"/>
                <w:sz w:val="20"/>
                <w:szCs w:val="20"/>
              </w:rPr>
            </w:pPr>
          </w:p>
        </w:tc>
        <w:tc>
          <w:tcPr>
            <w:tcW w:w="0" w:type="auto"/>
            <w:gridSpan w:val="3"/>
            <w:vAlign w:val="center"/>
            <w:hideMark/>
          </w:tcPr>
          <w:p w14:paraId="31F8C3F0" w14:textId="77777777" w:rsidR="00000000" w:rsidRDefault="00A173A8">
            <w:pPr>
              <w:spacing w:after="100"/>
              <w:rPr>
                <w:rFonts w:eastAsia="Times New Roman"/>
                <w:sz w:val="20"/>
                <w:szCs w:val="20"/>
              </w:rPr>
            </w:pPr>
          </w:p>
        </w:tc>
      </w:tr>
      <w:tr w:rsidR="00000000" w14:paraId="6B1DEE18" w14:textId="77777777">
        <w:trPr>
          <w:divId w:val="488981052"/>
        </w:trPr>
        <w:tc>
          <w:tcPr>
            <w:tcW w:w="0" w:type="auto"/>
            <w:gridSpan w:val="3"/>
            <w:vAlign w:val="center"/>
            <w:hideMark/>
          </w:tcPr>
          <w:p w14:paraId="18B98D04" w14:textId="77777777" w:rsidR="00000000" w:rsidRDefault="00A173A8">
            <w:pPr>
              <w:spacing w:after="100"/>
              <w:rPr>
                <w:rFonts w:eastAsia="Times New Roman"/>
                <w:sz w:val="20"/>
                <w:szCs w:val="20"/>
              </w:rPr>
            </w:pPr>
          </w:p>
        </w:tc>
        <w:tc>
          <w:tcPr>
            <w:tcW w:w="0" w:type="auto"/>
            <w:gridSpan w:val="3"/>
            <w:vAlign w:val="center"/>
            <w:hideMark/>
          </w:tcPr>
          <w:p w14:paraId="21638E2C" w14:textId="77777777" w:rsidR="00000000" w:rsidRDefault="00A173A8">
            <w:pPr>
              <w:spacing w:after="100"/>
              <w:rPr>
                <w:rFonts w:eastAsia="Times New Roman"/>
                <w:sz w:val="20"/>
                <w:szCs w:val="20"/>
              </w:rPr>
            </w:pPr>
          </w:p>
        </w:tc>
        <w:tc>
          <w:tcPr>
            <w:tcW w:w="0" w:type="auto"/>
            <w:gridSpan w:val="3"/>
            <w:vAlign w:val="center"/>
            <w:hideMark/>
          </w:tcPr>
          <w:p w14:paraId="0351FEE9" w14:textId="77777777" w:rsidR="00000000" w:rsidRDefault="00A173A8">
            <w:pPr>
              <w:spacing w:after="100"/>
              <w:rPr>
                <w:rFonts w:eastAsia="Times New Roman"/>
                <w:sz w:val="20"/>
                <w:szCs w:val="20"/>
              </w:rPr>
            </w:pPr>
          </w:p>
        </w:tc>
        <w:tc>
          <w:tcPr>
            <w:tcW w:w="0" w:type="auto"/>
            <w:gridSpan w:val="3"/>
            <w:vAlign w:val="center"/>
            <w:hideMark/>
          </w:tcPr>
          <w:p w14:paraId="7BACEAB6" w14:textId="77777777" w:rsidR="00000000" w:rsidRDefault="00A173A8">
            <w:pPr>
              <w:spacing w:after="100"/>
              <w:rPr>
                <w:rFonts w:eastAsia="Times New Roman"/>
                <w:sz w:val="20"/>
                <w:szCs w:val="20"/>
              </w:rPr>
            </w:pPr>
          </w:p>
        </w:tc>
        <w:tc>
          <w:tcPr>
            <w:tcW w:w="0" w:type="auto"/>
            <w:gridSpan w:val="3"/>
            <w:vAlign w:val="center"/>
            <w:hideMark/>
          </w:tcPr>
          <w:p w14:paraId="33B53F8E" w14:textId="77777777" w:rsidR="00000000" w:rsidRDefault="00A173A8">
            <w:pPr>
              <w:spacing w:after="100"/>
              <w:rPr>
                <w:rFonts w:eastAsia="Times New Roman"/>
                <w:sz w:val="20"/>
                <w:szCs w:val="20"/>
              </w:rPr>
            </w:pPr>
          </w:p>
        </w:tc>
        <w:tc>
          <w:tcPr>
            <w:tcW w:w="0" w:type="auto"/>
            <w:gridSpan w:val="3"/>
            <w:vAlign w:val="center"/>
            <w:hideMark/>
          </w:tcPr>
          <w:p w14:paraId="4B5409AB" w14:textId="77777777" w:rsidR="00000000" w:rsidRDefault="00A173A8">
            <w:pPr>
              <w:spacing w:after="100"/>
              <w:rPr>
                <w:rFonts w:eastAsia="Times New Roman"/>
                <w:sz w:val="20"/>
                <w:szCs w:val="20"/>
              </w:rPr>
            </w:pPr>
          </w:p>
        </w:tc>
        <w:tc>
          <w:tcPr>
            <w:tcW w:w="0" w:type="auto"/>
            <w:gridSpan w:val="3"/>
            <w:vAlign w:val="center"/>
            <w:hideMark/>
          </w:tcPr>
          <w:p w14:paraId="7203D237" w14:textId="77777777" w:rsidR="00000000" w:rsidRDefault="00A173A8">
            <w:pPr>
              <w:spacing w:after="100"/>
              <w:rPr>
                <w:rFonts w:eastAsia="Times New Roman"/>
                <w:sz w:val="20"/>
                <w:szCs w:val="20"/>
              </w:rPr>
            </w:pPr>
          </w:p>
        </w:tc>
        <w:tc>
          <w:tcPr>
            <w:tcW w:w="0" w:type="auto"/>
            <w:gridSpan w:val="3"/>
            <w:vAlign w:val="center"/>
            <w:hideMark/>
          </w:tcPr>
          <w:p w14:paraId="17A473CE" w14:textId="77777777" w:rsidR="00000000" w:rsidRDefault="00A173A8">
            <w:pPr>
              <w:spacing w:after="100"/>
              <w:rPr>
                <w:rFonts w:eastAsia="Times New Roman"/>
                <w:sz w:val="20"/>
                <w:szCs w:val="20"/>
              </w:rPr>
            </w:pPr>
          </w:p>
        </w:tc>
        <w:tc>
          <w:tcPr>
            <w:tcW w:w="0" w:type="auto"/>
            <w:gridSpan w:val="3"/>
            <w:vAlign w:val="center"/>
            <w:hideMark/>
          </w:tcPr>
          <w:p w14:paraId="1AFB6800" w14:textId="77777777" w:rsidR="00000000" w:rsidRDefault="00A173A8">
            <w:pPr>
              <w:spacing w:after="100"/>
              <w:rPr>
                <w:rFonts w:eastAsia="Times New Roman"/>
                <w:sz w:val="20"/>
                <w:szCs w:val="20"/>
              </w:rPr>
            </w:pPr>
          </w:p>
        </w:tc>
        <w:tc>
          <w:tcPr>
            <w:tcW w:w="0" w:type="auto"/>
            <w:gridSpan w:val="3"/>
            <w:vAlign w:val="center"/>
            <w:hideMark/>
          </w:tcPr>
          <w:p w14:paraId="39D18A63" w14:textId="77777777" w:rsidR="00000000" w:rsidRDefault="00A173A8">
            <w:pPr>
              <w:spacing w:after="100"/>
              <w:rPr>
                <w:rFonts w:eastAsia="Times New Roman"/>
                <w:sz w:val="20"/>
                <w:szCs w:val="20"/>
              </w:rPr>
            </w:pPr>
          </w:p>
        </w:tc>
        <w:tc>
          <w:tcPr>
            <w:tcW w:w="0" w:type="auto"/>
            <w:gridSpan w:val="3"/>
            <w:vAlign w:val="center"/>
            <w:hideMark/>
          </w:tcPr>
          <w:p w14:paraId="36B6CF42" w14:textId="77777777" w:rsidR="00000000" w:rsidRDefault="00A173A8">
            <w:pPr>
              <w:spacing w:after="100"/>
              <w:rPr>
                <w:rFonts w:eastAsia="Times New Roman"/>
                <w:sz w:val="20"/>
                <w:szCs w:val="20"/>
              </w:rPr>
            </w:pPr>
          </w:p>
        </w:tc>
        <w:tc>
          <w:tcPr>
            <w:tcW w:w="0" w:type="auto"/>
            <w:gridSpan w:val="3"/>
            <w:vAlign w:val="center"/>
            <w:hideMark/>
          </w:tcPr>
          <w:p w14:paraId="1E39E1E8" w14:textId="77777777" w:rsidR="00000000" w:rsidRDefault="00A173A8">
            <w:pPr>
              <w:spacing w:after="100"/>
              <w:rPr>
                <w:rFonts w:eastAsia="Times New Roman"/>
                <w:sz w:val="20"/>
                <w:szCs w:val="20"/>
              </w:rPr>
            </w:pPr>
          </w:p>
        </w:tc>
        <w:tc>
          <w:tcPr>
            <w:tcW w:w="0" w:type="auto"/>
            <w:gridSpan w:val="3"/>
            <w:vAlign w:val="center"/>
            <w:hideMark/>
          </w:tcPr>
          <w:p w14:paraId="2D9C4D56" w14:textId="77777777" w:rsidR="00000000" w:rsidRDefault="00A173A8">
            <w:pPr>
              <w:spacing w:after="100"/>
              <w:rPr>
                <w:rFonts w:eastAsia="Times New Roman"/>
                <w:sz w:val="20"/>
                <w:szCs w:val="20"/>
              </w:rPr>
            </w:pPr>
          </w:p>
        </w:tc>
        <w:tc>
          <w:tcPr>
            <w:tcW w:w="0" w:type="auto"/>
            <w:gridSpan w:val="3"/>
            <w:vAlign w:val="center"/>
            <w:hideMark/>
          </w:tcPr>
          <w:p w14:paraId="604F9DBA" w14:textId="77777777" w:rsidR="00000000" w:rsidRDefault="00A173A8">
            <w:pPr>
              <w:spacing w:after="100"/>
              <w:rPr>
                <w:rFonts w:eastAsia="Times New Roman"/>
                <w:sz w:val="20"/>
                <w:szCs w:val="20"/>
              </w:rPr>
            </w:pPr>
          </w:p>
        </w:tc>
        <w:tc>
          <w:tcPr>
            <w:tcW w:w="0" w:type="auto"/>
            <w:gridSpan w:val="3"/>
            <w:vAlign w:val="center"/>
            <w:hideMark/>
          </w:tcPr>
          <w:p w14:paraId="6962DF54" w14:textId="77777777" w:rsidR="00000000" w:rsidRDefault="00A173A8">
            <w:pPr>
              <w:spacing w:after="100"/>
              <w:rPr>
                <w:rFonts w:eastAsia="Times New Roman"/>
                <w:sz w:val="20"/>
                <w:szCs w:val="20"/>
              </w:rPr>
            </w:pPr>
          </w:p>
        </w:tc>
        <w:tc>
          <w:tcPr>
            <w:tcW w:w="0" w:type="auto"/>
            <w:gridSpan w:val="3"/>
            <w:vAlign w:val="center"/>
            <w:hideMark/>
          </w:tcPr>
          <w:p w14:paraId="111E95E6" w14:textId="77777777" w:rsidR="00000000" w:rsidRDefault="00A173A8">
            <w:pPr>
              <w:spacing w:after="100"/>
              <w:rPr>
                <w:rFonts w:eastAsia="Times New Roman"/>
                <w:sz w:val="20"/>
                <w:szCs w:val="20"/>
              </w:rPr>
            </w:pPr>
          </w:p>
        </w:tc>
        <w:tc>
          <w:tcPr>
            <w:tcW w:w="0" w:type="auto"/>
            <w:gridSpan w:val="3"/>
            <w:vAlign w:val="center"/>
            <w:hideMark/>
          </w:tcPr>
          <w:p w14:paraId="5D69601C" w14:textId="77777777" w:rsidR="00000000" w:rsidRDefault="00A173A8">
            <w:pPr>
              <w:spacing w:after="100"/>
              <w:rPr>
                <w:rFonts w:eastAsia="Times New Roman"/>
                <w:sz w:val="20"/>
                <w:szCs w:val="20"/>
              </w:rPr>
            </w:pPr>
          </w:p>
        </w:tc>
        <w:tc>
          <w:tcPr>
            <w:tcW w:w="0" w:type="auto"/>
            <w:gridSpan w:val="3"/>
            <w:vAlign w:val="center"/>
            <w:hideMark/>
          </w:tcPr>
          <w:p w14:paraId="2E98FDEC" w14:textId="77777777" w:rsidR="00000000" w:rsidRDefault="00A173A8">
            <w:pPr>
              <w:spacing w:after="100"/>
              <w:rPr>
                <w:rFonts w:eastAsia="Times New Roman"/>
                <w:sz w:val="20"/>
                <w:szCs w:val="20"/>
              </w:rPr>
            </w:pPr>
          </w:p>
        </w:tc>
        <w:tc>
          <w:tcPr>
            <w:tcW w:w="0" w:type="auto"/>
            <w:gridSpan w:val="3"/>
            <w:vAlign w:val="center"/>
            <w:hideMark/>
          </w:tcPr>
          <w:p w14:paraId="3E5201DA" w14:textId="77777777" w:rsidR="00000000" w:rsidRDefault="00A173A8">
            <w:pPr>
              <w:spacing w:after="100"/>
              <w:rPr>
                <w:rFonts w:eastAsia="Times New Roman"/>
                <w:sz w:val="20"/>
                <w:szCs w:val="20"/>
              </w:rPr>
            </w:pPr>
          </w:p>
        </w:tc>
      </w:tr>
      <w:tr w:rsidR="00000000" w14:paraId="3FC1A5D8" w14:textId="77777777">
        <w:trPr>
          <w:divId w:val="488981052"/>
        </w:trPr>
        <w:tc>
          <w:tcPr>
            <w:tcW w:w="0" w:type="auto"/>
            <w:gridSpan w:val="3"/>
            <w:vAlign w:val="center"/>
            <w:hideMark/>
          </w:tcPr>
          <w:p w14:paraId="7644101E" w14:textId="77777777" w:rsidR="00000000" w:rsidRDefault="00A173A8">
            <w:pPr>
              <w:spacing w:after="100"/>
              <w:rPr>
                <w:rFonts w:eastAsia="Times New Roman"/>
                <w:sz w:val="20"/>
                <w:szCs w:val="20"/>
              </w:rPr>
            </w:pPr>
          </w:p>
        </w:tc>
        <w:tc>
          <w:tcPr>
            <w:tcW w:w="0" w:type="auto"/>
            <w:gridSpan w:val="3"/>
            <w:vAlign w:val="center"/>
            <w:hideMark/>
          </w:tcPr>
          <w:p w14:paraId="2C2B436A" w14:textId="77777777" w:rsidR="00000000" w:rsidRDefault="00A173A8">
            <w:pPr>
              <w:spacing w:after="100"/>
              <w:rPr>
                <w:rFonts w:eastAsia="Times New Roman"/>
                <w:sz w:val="20"/>
                <w:szCs w:val="20"/>
              </w:rPr>
            </w:pPr>
          </w:p>
        </w:tc>
        <w:tc>
          <w:tcPr>
            <w:tcW w:w="0" w:type="auto"/>
            <w:gridSpan w:val="3"/>
            <w:vAlign w:val="center"/>
            <w:hideMark/>
          </w:tcPr>
          <w:p w14:paraId="12C5FE5F" w14:textId="77777777" w:rsidR="00000000" w:rsidRDefault="00A173A8">
            <w:pPr>
              <w:spacing w:after="100"/>
              <w:rPr>
                <w:rFonts w:eastAsia="Times New Roman"/>
                <w:sz w:val="20"/>
                <w:szCs w:val="20"/>
              </w:rPr>
            </w:pPr>
          </w:p>
        </w:tc>
        <w:tc>
          <w:tcPr>
            <w:tcW w:w="0" w:type="auto"/>
            <w:gridSpan w:val="3"/>
            <w:vAlign w:val="center"/>
            <w:hideMark/>
          </w:tcPr>
          <w:p w14:paraId="50BC3337" w14:textId="77777777" w:rsidR="00000000" w:rsidRDefault="00A173A8">
            <w:pPr>
              <w:spacing w:after="100"/>
              <w:rPr>
                <w:rFonts w:eastAsia="Times New Roman"/>
                <w:sz w:val="20"/>
                <w:szCs w:val="20"/>
              </w:rPr>
            </w:pPr>
          </w:p>
        </w:tc>
        <w:tc>
          <w:tcPr>
            <w:tcW w:w="0" w:type="auto"/>
            <w:gridSpan w:val="3"/>
            <w:vAlign w:val="center"/>
            <w:hideMark/>
          </w:tcPr>
          <w:p w14:paraId="5F05A15E" w14:textId="77777777" w:rsidR="00000000" w:rsidRDefault="00A173A8">
            <w:pPr>
              <w:spacing w:after="100"/>
              <w:rPr>
                <w:rFonts w:eastAsia="Times New Roman"/>
                <w:sz w:val="20"/>
                <w:szCs w:val="20"/>
              </w:rPr>
            </w:pPr>
          </w:p>
        </w:tc>
        <w:tc>
          <w:tcPr>
            <w:tcW w:w="0" w:type="auto"/>
            <w:gridSpan w:val="3"/>
            <w:vAlign w:val="center"/>
            <w:hideMark/>
          </w:tcPr>
          <w:p w14:paraId="760C6B90" w14:textId="77777777" w:rsidR="00000000" w:rsidRDefault="00A173A8">
            <w:pPr>
              <w:spacing w:after="100"/>
              <w:rPr>
                <w:rFonts w:eastAsia="Times New Roman"/>
                <w:sz w:val="20"/>
                <w:szCs w:val="20"/>
              </w:rPr>
            </w:pPr>
          </w:p>
        </w:tc>
        <w:tc>
          <w:tcPr>
            <w:tcW w:w="0" w:type="auto"/>
            <w:gridSpan w:val="3"/>
            <w:vAlign w:val="center"/>
            <w:hideMark/>
          </w:tcPr>
          <w:p w14:paraId="55875A0A" w14:textId="77777777" w:rsidR="00000000" w:rsidRDefault="00A173A8">
            <w:pPr>
              <w:spacing w:after="100"/>
              <w:rPr>
                <w:rFonts w:eastAsia="Times New Roman"/>
                <w:sz w:val="20"/>
                <w:szCs w:val="20"/>
              </w:rPr>
            </w:pPr>
          </w:p>
        </w:tc>
        <w:tc>
          <w:tcPr>
            <w:tcW w:w="0" w:type="auto"/>
            <w:gridSpan w:val="3"/>
            <w:vAlign w:val="center"/>
            <w:hideMark/>
          </w:tcPr>
          <w:p w14:paraId="44960CAC" w14:textId="77777777" w:rsidR="00000000" w:rsidRDefault="00A173A8">
            <w:pPr>
              <w:spacing w:after="100"/>
              <w:rPr>
                <w:rFonts w:eastAsia="Times New Roman"/>
                <w:sz w:val="20"/>
                <w:szCs w:val="20"/>
              </w:rPr>
            </w:pPr>
          </w:p>
        </w:tc>
        <w:tc>
          <w:tcPr>
            <w:tcW w:w="0" w:type="auto"/>
            <w:gridSpan w:val="3"/>
            <w:vAlign w:val="center"/>
            <w:hideMark/>
          </w:tcPr>
          <w:p w14:paraId="4B70F08F" w14:textId="77777777" w:rsidR="00000000" w:rsidRDefault="00A173A8">
            <w:pPr>
              <w:spacing w:after="100"/>
              <w:rPr>
                <w:rFonts w:eastAsia="Times New Roman"/>
                <w:sz w:val="20"/>
                <w:szCs w:val="20"/>
              </w:rPr>
            </w:pPr>
          </w:p>
        </w:tc>
        <w:tc>
          <w:tcPr>
            <w:tcW w:w="0" w:type="auto"/>
            <w:gridSpan w:val="3"/>
            <w:vAlign w:val="center"/>
            <w:hideMark/>
          </w:tcPr>
          <w:p w14:paraId="46C98221" w14:textId="77777777" w:rsidR="00000000" w:rsidRDefault="00A173A8">
            <w:pPr>
              <w:spacing w:after="100"/>
              <w:rPr>
                <w:rFonts w:eastAsia="Times New Roman"/>
                <w:sz w:val="20"/>
                <w:szCs w:val="20"/>
              </w:rPr>
            </w:pPr>
          </w:p>
        </w:tc>
        <w:tc>
          <w:tcPr>
            <w:tcW w:w="0" w:type="auto"/>
            <w:gridSpan w:val="3"/>
            <w:vAlign w:val="center"/>
            <w:hideMark/>
          </w:tcPr>
          <w:p w14:paraId="3B920035" w14:textId="77777777" w:rsidR="00000000" w:rsidRDefault="00A173A8">
            <w:pPr>
              <w:spacing w:after="100"/>
              <w:rPr>
                <w:rFonts w:eastAsia="Times New Roman"/>
                <w:sz w:val="20"/>
                <w:szCs w:val="20"/>
              </w:rPr>
            </w:pPr>
          </w:p>
        </w:tc>
        <w:tc>
          <w:tcPr>
            <w:tcW w:w="0" w:type="auto"/>
            <w:gridSpan w:val="3"/>
            <w:vAlign w:val="center"/>
            <w:hideMark/>
          </w:tcPr>
          <w:p w14:paraId="6B1ED162" w14:textId="77777777" w:rsidR="00000000" w:rsidRDefault="00A173A8">
            <w:pPr>
              <w:spacing w:after="100"/>
              <w:rPr>
                <w:rFonts w:eastAsia="Times New Roman"/>
                <w:sz w:val="20"/>
                <w:szCs w:val="20"/>
              </w:rPr>
            </w:pPr>
          </w:p>
        </w:tc>
        <w:tc>
          <w:tcPr>
            <w:tcW w:w="0" w:type="auto"/>
            <w:gridSpan w:val="3"/>
            <w:vAlign w:val="center"/>
            <w:hideMark/>
          </w:tcPr>
          <w:p w14:paraId="18539E88" w14:textId="77777777" w:rsidR="00000000" w:rsidRDefault="00A173A8">
            <w:pPr>
              <w:spacing w:after="100"/>
              <w:rPr>
                <w:rFonts w:eastAsia="Times New Roman"/>
                <w:sz w:val="20"/>
                <w:szCs w:val="20"/>
              </w:rPr>
            </w:pPr>
          </w:p>
        </w:tc>
        <w:tc>
          <w:tcPr>
            <w:tcW w:w="0" w:type="auto"/>
            <w:gridSpan w:val="3"/>
            <w:vAlign w:val="center"/>
            <w:hideMark/>
          </w:tcPr>
          <w:p w14:paraId="5AF579AF" w14:textId="77777777" w:rsidR="00000000" w:rsidRDefault="00A173A8">
            <w:pPr>
              <w:spacing w:after="100"/>
              <w:rPr>
                <w:rFonts w:eastAsia="Times New Roman"/>
                <w:sz w:val="20"/>
                <w:szCs w:val="20"/>
              </w:rPr>
            </w:pPr>
          </w:p>
        </w:tc>
        <w:tc>
          <w:tcPr>
            <w:tcW w:w="0" w:type="auto"/>
            <w:gridSpan w:val="3"/>
            <w:vAlign w:val="center"/>
            <w:hideMark/>
          </w:tcPr>
          <w:p w14:paraId="164A03D8" w14:textId="77777777" w:rsidR="00000000" w:rsidRDefault="00A173A8">
            <w:pPr>
              <w:spacing w:after="100"/>
              <w:rPr>
                <w:rFonts w:eastAsia="Times New Roman"/>
                <w:sz w:val="20"/>
                <w:szCs w:val="20"/>
              </w:rPr>
            </w:pPr>
          </w:p>
        </w:tc>
        <w:tc>
          <w:tcPr>
            <w:tcW w:w="0" w:type="auto"/>
            <w:gridSpan w:val="3"/>
            <w:vAlign w:val="center"/>
            <w:hideMark/>
          </w:tcPr>
          <w:p w14:paraId="30824412" w14:textId="77777777" w:rsidR="00000000" w:rsidRDefault="00A173A8">
            <w:pPr>
              <w:spacing w:after="100"/>
              <w:rPr>
                <w:rFonts w:eastAsia="Times New Roman"/>
                <w:sz w:val="20"/>
                <w:szCs w:val="20"/>
              </w:rPr>
            </w:pPr>
          </w:p>
        </w:tc>
        <w:tc>
          <w:tcPr>
            <w:tcW w:w="0" w:type="auto"/>
            <w:gridSpan w:val="3"/>
            <w:vAlign w:val="center"/>
            <w:hideMark/>
          </w:tcPr>
          <w:p w14:paraId="107A2EC6" w14:textId="77777777" w:rsidR="00000000" w:rsidRDefault="00A173A8">
            <w:pPr>
              <w:spacing w:after="100"/>
              <w:rPr>
                <w:rFonts w:eastAsia="Times New Roman"/>
                <w:sz w:val="20"/>
                <w:szCs w:val="20"/>
              </w:rPr>
            </w:pPr>
          </w:p>
        </w:tc>
        <w:tc>
          <w:tcPr>
            <w:tcW w:w="0" w:type="auto"/>
            <w:gridSpan w:val="3"/>
            <w:vAlign w:val="center"/>
            <w:hideMark/>
          </w:tcPr>
          <w:p w14:paraId="3A61194D" w14:textId="77777777" w:rsidR="00000000" w:rsidRDefault="00A173A8">
            <w:pPr>
              <w:spacing w:after="100"/>
              <w:rPr>
                <w:rFonts w:eastAsia="Times New Roman"/>
                <w:sz w:val="20"/>
                <w:szCs w:val="20"/>
              </w:rPr>
            </w:pPr>
          </w:p>
        </w:tc>
        <w:tc>
          <w:tcPr>
            <w:tcW w:w="0" w:type="auto"/>
            <w:gridSpan w:val="3"/>
            <w:vAlign w:val="center"/>
            <w:hideMark/>
          </w:tcPr>
          <w:p w14:paraId="3A1481BB" w14:textId="77777777" w:rsidR="00000000" w:rsidRDefault="00A173A8">
            <w:pPr>
              <w:spacing w:after="100"/>
              <w:rPr>
                <w:rFonts w:eastAsia="Times New Roman"/>
                <w:sz w:val="20"/>
                <w:szCs w:val="20"/>
              </w:rPr>
            </w:pPr>
          </w:p>
        </w:tc>
      </w:tr>
      <w:tr w:rsidR="00000000" w14:paraId="1ACEF45D" w14:textId="77777777">
        <w:trPr>
          <w:divId w:val="488981052"/>
        </w:trPr>
        <w:tc>
          <w:tcPr>
            <w:tcW w:w="0" w:type="auto"/>
            <w:gridSpan w:val="3"/>
            <w:vAlign w:val="center"/>
            <w:hideMark/>
          </w:tcPr>
          <w:p w14:paraId="0304312E" w14:textId="77777777" w:rsidR="00000000" w:rsidRDefault="00A173A8">
            <w:pPr>
              <w:spacing w:after="100"/>
              <w:rPr>
                <w:rFonts w:eastAsia="Times New Roman"/>
                <w:sz w:val="20"/>
                <w:szCs w:val="20"/>
              </w:rPr>
            </w:pPr>
          </w:p>
        </w:tc>
        <w:tc>
          <w:tcPr>
            <w:tcW w:w="0" w:type="auto"/>
            <w:gridSpan w:val="3"/>
            <w:vAlign w:val="center"/>
            <w:hideMark/>
          </w:tcPr>
          <w:p w14:paraId="52DF5FCB" w14:textId="77777777" w:rsidR="00000000" w:rsidRDefault="00A173A8">
            <w:pPr>
              <w:spacing w:after="100"/>
              <w:rPr>
                <w:rFonts w:eastAsia="Times New Roman"/>
                <w:sz w:val="20"/>
                <w:szCs w:val="20"/>
              </w:rPr>
            </w:pPr>
          </w:p>
        </w:tc>
        <w:tc>
          <w:tcPr>
            <w:tcW w:w="0" w:type="auto"/>
            <w:gridSpan w:val="3"/>
            <w:vAlign w:val="center"/>
            <w:hideMark/>
          </w:tcPr>
          <w:p w14:paraId="5E6ABD6C" w14:textId="77777777" w:rsidR="00000000" w:rsidRDefault="00A173A8">
            <w:pPr>
              <w:spacing w:after="100"/>
              <w:rPr>
                <w:rFonts w:eastAsia="Times New Roman"/>
                <w:sz w:val="20"/>
                <w:szCs w:val="20"/>
              </w:rPr>
            </w:pPr>
          </w:p>
        </w:tc>
        <w:tc>
          <w:tcPr>
            <w:tcW w:w="0" w:type="auto"/>
            <w:gridSpan w:val="3"/>
            <w:vAlign w:val="center"/>
            <w:hideMark/>
          </w:tcPr>
          <w:p w14:paraId="3FF1BE70" w14:textId="77777777" w:rsidR="00000000" w:rsidRDefault="00A173A8">
            <w:pPr>
              <w:spacing w:after="100"/>
              <w:rPr>
                <w:rFonts w:eastAsia="Times New Roman"/>
                <w:sz w:val="20"/>
                <w:szCs w:val="20"/>
              </w:rPr>
            </w:pPr>
          </w:p>
        </w:tc>
        <w:tc>
          <w:tcPr>
            <w:tcW w:w="0" w:type="auto"/>
            <w:gridSpan w:val="3"/>
            <w:vAlign w:val="center"/>
            <w:hideMark/>
          </w:tcPr>
          <w:p w14:paraId="38239F3C" w14:textId="77777777" w:rsidR="00000000" w:rsidRDefault="00A173A8">
            <w:pPr>
              <w:spacing w:after="100"/>
              <w:rPr>
                <w:rFonts w:eastAsia="Times New Roman"/>
                <w:sz w:val="20"/>
                <w:szCs w:val="20"/>
              </w:rPr>
            </w:pPr>
          </w:p>
        </w:tc>
        <w:tc>
          <w:tcPr>
            <w:tcW w:w="0" w:type="auto"/>
            <w:gridSpan w:val="3"/>
            <w:vAlign w:val="center"/>
            <w:hideMark/>
          </w:tcPr>
          <w:p w14:paraId="49A0A4C0" w14:textId="77777777" w:rsidR="00000000" w:rsidRDefault="00A173A8">
            <w:pPr>
              <w:spacing w:after="100"/>
              <w:rPr>
                <w:rFonts w:eastAsia="Times New Roman"/>
                <w:sz w:val="20"/>
                <w:szCs w:val="20"/>
              </w:rPr>
            </w:pPr>
          </w:p>
        </w:tc>
        <w:tc>
          <w:tcPr>
            <w:tcW w:w="0" w:type="auto"/>
            <w:gridSpan w:val="3"/>
            <w:vAlign w:val="center"/>
            <w:hideMark/>
          </w:tcPr>
          <w:p w14:paraId="32DD3F6E" w14:textId="77777777" w:rsidR="00000000" w:rsidRDefault="00A173A8">
            <w:pPr>
              <w:spacing w:after="100"/>
              <w:rPr>
                <w:rFonts w:eastAsia="Times New Roman"/>
                <w:sz w:val="20"/>
                <w:szCs w:val="20"/>
              </w:rPr>
            </w:pPr>
          </w:p>
        </w:tc>
        <w:tc>
          <w:tcPr>
            <w:tcW w:w="0" w:type="auto"/>
            <w:gridSpan w:val="3"/>
            <w:vAlign w:val="center"/>
            <w:hideMark/>
          </w:tcPr>
          <w:p w14:paraId="6CD72517" w14:textId="77777777" w:rsidR="00000000" w:rsidRDefault="00A173A8">
            <w:pPr>
              <w:spacing w:after="100"/>
              <w:rPr>
                <w:rFonts w:eastAsia="Times New Roman"/>
                <w:sz w:val="20"/>
                <w:szCs w:val="20"/>
              </w:rPr>
            </w:pPr>
          </w:p>
        </w:tc>
        <w:tc>
          <w:tcPr>
            <w:tcW w:w="0" w:type="auto"/>
            <w:gridSpan w:val="3"/>
            <w:vAlign w:val="center"/>
            <w:hideMark/>
          </w:tcPr>
          <w:p w14:paraId="14B6E429" w14:textId="77777777" w:rsidR="00000000" w:rsidRDefault="00A173A8">
            <w:pPr>
              <w:spacing w:after="100"/>
              <w:rPr>
                <w:rFonts w:eastAsia="Times New Roman"/>
                <w:sz w:val="20"/>
                <w:szCs w:val="20"/>
              </w:rPr>
            </w:pPr>
          </w:p>
        </w:tc>
        <w:tc>
          <w:tcPr>
            <w:tcW w:w="0" w:type="auto"/>
            <w:gridSpan w:val="3"/>
            <w:vAlign w:val="center"/>
            <w:hideMark/>
          </w:tcPr>
          <w:p w14:paraId="475BB5A9" w14:textId="77777777" w:rsidR="00000000" w:rsidRDefault="00A173A8">
            <w:pPr>
              <w:spacing w:after="100"/>
              <w:rPr>
                <w:rFonts w:eastAsia="Times New Roman"/>
                <w:sz w:val="20"/>
                <w:szCs w:val="20"/>
              </w:rPr>
            </w:pPr>
          </w:p>
        </w:tc>
        <w:tc>
          <w:tcPr>
            <w:tcW w:w="0" w:type="auto"/>
            <w:gridSpan w:val="3"/>
            <w:vAlign w:val="center"/>
            <w:hideMark/>
          </w:tcPr>
          <w:p w14:paraId="2454FA26" w14:textId="77777777" w:rsidR="00000000" w:rsidRDefault="00A173A8">
            <w:pPr>
              <w:spacing w:after="100"/>
              <w:rPr>
                <w:rFonts w:eastAsia="Times New Roman"/>
                <w:sz w:val="20"/>
                <w:szCs w:val="20"/>
              </w:rPr>
            </w:pPr>
          </w:p>
        </w:tc>
        <w:tc>
          <w:tcPr>
            <w:tcW w:w="0" w:type="auto"/>
            <w:gridSpan w:val="3"/>
            <w:vAlign w:val="center"/>
            <w:hideMark/>
          </w:tcPr>
          <w:p w14:paraId="6B0D50E7" w14:textId="77777777" w:rsidR="00000000" w:rsidRDefault="00A173A8">
            <w:pPr>
              <w:spacing w:after="100"/>
              <w:rPr>
                <w:rFonts w:eastAsia="Times New Roman"/>
                <w:sz w:val="20"/>
                <w:szCs w:val="20"/>
              </w:rPr>
            </w:pPr>
          </w:p>
        </w:tc>
        <w:tc>
          <w:tcPr>
            <w:tcW w:w="0" w:type="auto"/>
            <w:gridSpan w:val="3"/>
            <w:vAlign w:val="center"/>
            <w:hideMark/>
          </w:tcPr>
          <w:p w14:paraId="78E5AA98" w14:textId="77777777" w:rsidR="00000000" w:rsidRDefault="00A173A8">
            <w:pPr>
              <w:spacing w:after="100"/>
              <w:rPr>
                <w:rFonts w:eastAsia="Times New Roman"/>
                <w:sz w:val="20"/>
                <w:szCs w:val="20"/>
              </w:rPr>
            </w:pPr>
          </w:p>
        </w:tc>
        <w:tc>
          <w:tcPr>
            <w:tcW w:w="0" w:type="auto"/>
            <w:gridSpan w:val="3"/>
            <w:vAlign w:val="center"/>
            <w:hideMark/>
          </w:tcPr>
          <w:p w14:paraId="1DCE9304" w14:textId="77777777" w:rsidR="00000000" w:rsidRDefault="00A173A8">
            <w:pPr>
              <w:spacing w:after="100"/>
              <w:rPr>
                <w:rFonts w:eastAsia="Times New Roman"/>
                <w:sz w:val="20"/>
                <w:szCs w:val="20"/>
              </w:rPr>
            </w:pPr>
          </w:p>
        </w:tc>
        <w:tc>
          <w:tcPr>
            <w:tcW w:w="0" w:type="auto"/>
            <w:gridSpan w:val="3"/>
            <w:vAlign w:val="center"/>
            <w:hideMark/>
          </w:tcPr>
          <w:p w14:paraId="18EAB56E" w14:textId="77777777" w:rsidR="00000000" w:rsidRDefault="00A173A8">
            <w:pPr>
              <w:spacing w:after="100"/>
              <w:rPr>
                <w:rFonts w:eastAsia="Times New Roman"/>
                <w:sz w:val="20"/>
                <w:szCs w:val="20"/>
              </w:rPr>
            </w:pPr>
          </w:p>
        </w:tc>
        <w:tc>
          <w:tcPr>
            <w:tcW w:w="0" w:type="auto"/>
            <w:gridSpan w:val="3"/>
            <w:vAlign w:val="center"/>
            <w:hideMark/>
          </w:tcPr>
          <w:p w14:paraId="7F3F008B" w14:textId="77777777" w:rsidR="00000000" w:rsidRDefault="00A173A8">
            <w:pPr>
              <w:spacing w:after="100"/>
              <w:rPr>
                <w:rFonts w:eastAsia="Times New Roman"/>
                <w:sz w:val="20"/>
                <w:szCs w:val="20"/>
              </w:rPr>
            </w:pPr>
          </w:p>
        </w:tc>
        <w:tc>
          <w:tcPr>
            <w:tcW w:w="0" w:type="auto"/>
            <w:gridSpan w:val="3"/>
            <w:vAlign w:val="center"/>
            <w:hideMark/>
          </w:tcPr>
          <w:p w14:paraId="2F04CE8E" w14:textId="77777777" w:rsidR="00000000" w:rsidRDefault="00A173A8">
            <w:pPr>
              <w:spacing w:after="100"/>
              <w:rPr>
                <w:rFonts w:eastAsia="Times New Roman"/>
                <w:sz w:val="20"/>
                <w:szCs w:val="20"/>
              </w:rPr>
            </w:pPr>
          </w:p>
        </w:tc>
        <w:tc>
          <w:tcPr>
            <w:tcW w:w="0" w:type="auto"/>
            <w:gridSpan w:val="3"/>
            <w:vAlign w:val="center"/>
            <w:hideMark/>
          </w:tcPr>
          <w:p w14:paraId="6674F360" w14:textId="77777777" w:rsidR="00000000" w:rsidRDefault="00A173A8">
            <w:pPr>
              <w:spacing w:after="100"/>
              <w:rPr>
                <w:rFonts w:eastAsia="Times New Roman"/>
                <w:sz w:val="20"/>
                <w:szCs w:val="20"/>
              </w:rPr>
            </w:pPr>
          </w:p>
        </w:tc>
        <w:tc>
          <w:tcPr>
            <w:tcW w:w="0" w:type="auto"/>
            <w:gridSpan w:val="3"/>
            <w:vAlign w:val="center"/>
            <w:hideMark/>
          </w:tcPr>
          <w:p w14:paraId="2FA9A941" w14:textId="77777777" w:rsidR="00000000" w:rsidRDefault="00A173A8">
            <w:pPr>
              <w:spacing w:after="100"/>
              <w:rPr>
                <w:rFonts w:eastAsia="Times New Roman"/>
                <w:sz w:val="20"/>
                <w:szCs w:val="20"/>
              </w:rPr>
            </w:pPr>
          </w:p>
        </w:tc>
      </w:tr>
      <w:tr w:rsidR="00000000" w14:paraId="7C23486F" w14:textId="77777777">
        <w:trPr>
          <w:divId w:val="488981052"/>
        </w:trPr>
        <w:tc>
          <w:tcPr>
            <w:tcW w:w="0" w:type="auto"/>
            <w:gridSpan w:val="3"/>
            <w:vAlign w:val="center"/>
            <w:hideMark/>
          </w:tcPr>
          <w:p w14:paraId="10814DC8" w14:textId="77777777" w:rsidR="00000000" w:rsidRDefault="00A173A8">
            <w:pPr>
              <w:spacing w:after="100"/>
              <w:rPr>
                <w:rFonts w:eastAsia="Times New Roman"/>
                <w:sz w:val="20"/>
                <w:szCs w:val="20"/>
              </w:rPr>
            </w:pPr>
          </w:p>
        </w:tc>
        <w:tc>
          <w:tcPr>
            <w:tcW w:w="0" w:type="auto"/>
            <w:gridSpan w:val="3"/>
            <w:vAlign w:val="center"/>
            <w:hideMark/>
          </w:tcPr>
          <w:p w14:paraId="4B91BBC3" w14:textId="77777777" w:rsidR="00000000" w:rsidRDefault="00A173A8">
            <w:pPr>
              <w:spacing w:after="100"/>
              <w:rPr>
                <w:rFonts w:eastAsia="Times New Roman"/>
                <w:sz w:val="20"/>
                <w:szCs w:val="20"/>
              </w:rPr>
            </w:pPr>
          </w:p>
        </w:tc>
        <w:tc>
          <w:tcPr>
            <w:tcW w:w="0" w:type="auto"/>
            <w:gridSpan w:val="3"/>
            <w:vAlign w:val="center"/>
            <w:hideMark/>
          </w:tcPr>
          <w:p w14:paraId="30DCF3F8" w14:textId="77777777" w:rsidR="00000000" w:rsidRDefault="00A173A8">
            <w:pPr>
              <w:spacing w:after="100"/>
              <w:rPr>
                <w:rFonts w:eastAsia="Times New Roman"/>
                <w:sz w:val="20"/>
                <w:szCs w:val="20"/>
              </w:rPr>
            </w:pPr>
          </w:p>
        </w:tc>
        <w:tc>
          <w:tcPr>
            <w:tcW w:w="0" w:type="auto"/>
            <w:gridSpan w:val="3"/>
            <w:vAlign w:val="center"/>
            <w:hideMark/>
          </w:tcPr>
          <w:p w14:paraId="2788398D" w14:textId="77777777" w:rsidR="00000000" w:rsidRDefault="00A173A8">
            <w:pPr>
              <w:spacing w:after="100"/>
              <w:rPr>
                <w:rFonts w:eastAsia="Times New Roman"/>
                <w:sz w:val="20"/>
                <w:szCs w:val="20"/>
              </w:rPr>
            </w:pPr>
          </w:p>
        </w:tc>
        <w:tc>
          <w:tcPr>
            <w:tcW w:w="0" w:type="auto"/>
            <w:gridSpan w:val="3"/>
            <w:vAlign w:val="center"/>
            <w:hideMark/>
          </w:tcPr>
          <w:p w14:paraId="3014A280" w14:textId="77777777" w:rsidR="00000000" w:rsidRDefault="00A173A8">
            <w:pPr>
              <w:spacing w:after="100"/>
              <w:rPr>
                <w:rFonts w:eastAsia="Times New Roman"/>
                <w:sz w:val="20"/>
                <w:szCs w:val="20"/>
              </w:rPr>
            </w:pPr>
          </w:p>
        </w:tc>
        <w:tc>
          <w:tcPr>
            <w:tcW w:w="0" w:type="auto"/>
            <w:gridSpan w:val="3"/>
            <w:vAlign w:val="center"/>
            <w:hideMark/>
          </w:tcPr>
          <w:p w14:paraId="22AADEE5" w14:textId="77777777" w:rsidR="00000000" w:rsidRDefault="00A173A8">
            <w:pPr>
              <w:spacing w:after="100"/>
              <w:rPr>
                <w:rFonts w:eastAsia="Times New Roman"/>
                <w:sz w:val="20"/>
                <w:szCs w:val="20"/>
              </w:rPr>
            </w:pPr>
          </w:p>
        </w:tc>
        <w:tc>
          <w:tcPr>
            <w:tcW w:w="0" w:type="auto"/>
            <w:gridSpan w:val="3"/>
            <w:vAlign w:val="center"/>
            <w:hideMark/>
          </w:tcPr>
          <w:p w14:paraId="1035BB3B" w14:textId="77777777" w:rsidR="00000000" w:rsidRDefault="00A173A8">
            <w:pPr>
              <w:spacing w:after="100"/>
              <w:rPr>
                <w:rFonts w:eastAsia="Times New Roman"/>
                <w:sz w:val="20"/>
                <w:szCs w:val="20"/>
              </w:rPr>
            </w:pPr>
          </w:p>
        </w:tc>
        <w:tc>
          <w:tcPr>
            <w:tcW w:w="0" w:type="auto"/>
            <w:gridSpan w:val="3"/>
            <w:vAlign w:val="center"/>
            <w:hideMark/>
          </w:tcPr>
          <w:p w14:paraId="785C7735" w14:textId="77777777" w:rsidR="00000000" w:rsidRDefault="00A173A8">
            <w:pPr>
              <w:spacing w:after="100"/>
              <w:rPr>
                <w:rFonts w:eastAsia="Times New Roman"/>
                <w:sz w:val="20"/>
                <w:szCs w:val="20"/>
              </w:rPr>
            </w:pPr>
          </w:p>
        </w:tc>
        <w:tc>
          <w:tcPr>
            <w:tcW w:w="0" w:type="auto"/>
            <w:gridSpan w:val="3"/>
            <w:vAlign w:val="center"/>
            <w:hideMark/>
          </w:tcPr>
          <w:p w14:paraId="0E5635FA" w14:textId="77777777" w:rsidR="00000000" w:rsidRDefault="00A173A8">
            <w:pPr>
              <w:spacing w:after="100"/>
              <w:rPr>
                <w:rFonts w:eastAsia="Times New Roman"/>
                <w:sz w:val="20"/>
                <w:szCs w:val="20"/>
              </w:rPr>
            </w:pPr>
          </w:p>
        </w:tc>
        <w:tc>
          <w:tcPr>
            <w:tcW w:w="0" w:type="auto"/>
            <w:gridSpan w:val="3"/>
            <w:vAlign w:val="center"/>
            <w:hideMark/>
          </w:tcPr>
          <w:p w14:paraId="1C6165E7" w14:textId="77777777" w:rsidR="00000000" w:rsidRDefault="00A173A8">
            <w:pPr>
              <w:spacing w:after="100"/>
              <w:rPr>
                <w:rFonts w:eastAsia="Times New Roman"/>
                <w:sz w:val="20"/>
                <w:szCs w:val="20"/>
              </w:rPr>
            </w:pPr>
          </w:p>
        </w:tc>
        <w:tc>
          <w:tcPr>
            <w:tcW w:w="0" w:type="auto"/>
            <w:gridSpan w:val="3"/>
            <w:vAlign w:val="center"/>
            <w:hideMark/>
          </w:tcPr>
          <w:p w14:paraId="5F8F1D97" w14:textId="77777777" w:rsidR="00000000" w:rsidRDefault="00A173A8">
            <w:pPr>
              <w:spacing w:after="100"/>
              <w:rPr>
                <w:rFonts w:eastAsia="Times New Roman"/>
                <w:sz w:val="20"/>
                <w:szCs w:val="20"/>
              </w:rPr>
            </w:pPr>
          </w:p>
        </w:tc>
        <w:tc>
          <w:tcPr>
            <w:tcW w:w="0" w:type="auto"/>
            <w:gridSpan w:val="3"/>
            <w:vAlign w:val="center"/>
            <w:hideMark/>
          </w:tcPr>
          <w:p w14:paraId="106F1F6C" w14:textId="77777777" w:rsidR="00000000" w:rsidRDefault="00A173A8">
            <w:pPr>
              <w:spacing w:after="100"/>
              <w:rPr>
                <w:rFonts w:eastAsia="Times New Roman"/>
                <w:sz w:val="20"/>
                <w:szCs w:val="20"/>
              </w:rPr>
            </w:pPr>
          </w:p>
        </w:tc>
        <w:tc>
          <w:tcPr>
            <w:tcW w:w="0" w:type="auto"/>
            <w:gridSpan w:val="3"/>
            <w:vAlign w:val="center"/>
            <w:hideMark/>
          </w:tcPr>
          <w:p w14:paraId="1215257D" w14:textId="77777777" w:rsidR="00000000" w:rsidRDefault="00A173A8">
            <w:pPr>
              <w:spacing w:after="100"/>
              <w:rPr>
                <w:rFonts w:eastAsia="Times New Roman"/>
                <w:sz w:val="20"/>
                <w:szCs w:val="20"/>
              </w:rPr>
            </w:pPr>
          </w:p>
        </w:tc>
        <w:tc>
          <w:tcPr>
            <w:tcW w:w="0" w:type="auto"/>
            <w:gridSpan w:val="3"/>
            <w:vAlign w:val="center"/>
            <w:hideMark/>
          </w:tcPr>
          <w:p w14:paraId="504BE92D" w14:textId="77777777" w:rsidR="00000000" w:rsidRDefault="00A173A8">
            <w:pPr>
              <w:spacing w:after="100"/>
              <w:rPr>
                <w:rFonts w:eastAsia="Times New Roman"/>
                <w:sz w:val="20"/>
                <w:szCs w:val="20"/>
              </w:rPr>
            </w:pPr>
          </w:p>
        </w:tc>
        <w:tc>
          <w:tcPr>
            <w:tcW w:w="0" w:type="auto"/>
            <w:gridSpan w:val="3"/>
            <w:vAlign w:val="center"/>
            <w:hideMark/>
          </w:tcPr>
          <w:p w14:paraId="0B3D491B" w14:textId="77777777" w:rsidR="00000000" w:rsidRDefault="00A173A8">
            <w:pPr>
              <w:spacing w:after="100"/>
              <w:rPr>
                <w:rFonts w:eastAsia="Times New Roman"/>
                <w:sz w:val="20"/>
                <w:szCs w:val="20"/>
              </w:rPr>
            </w:pPr>
          </w:p>
        </w:tc>
        <w:tc>
          <w:tcPr>
            <w:tcW w:w="0" w:type="auto"/>
            <w:gridSpan w:val="3"/>
            <w:vAlign w:val="center"/>
            <w:hideMark/>
          </w:tcPr>
          <w:p w14:paraId="492A378C" w14:textId="77777777" w:rsidR="00000000" w:rsidRDefault="00A173A8">
            <w:pPr>
              <w:spacing w:after="100"/>
              <w:rPr>
                <w:rFonts w:eastAsia="Times New Roman"/>
                <w:sz w:val="20"/>
                <w:szCs w:val="20"/>
              </w:rPr>
            </w:pPr>
          </w:p>
        </w:tc>
        <w:tc>
          <w:tcPr>
            <w:tcW w:w="0" w:type="auto"/>
            <w:gridSpan w:val="3"/>
            <w:vAlign w:val="center"/>
            <w:hideMark/>
          </w:tcPr>
          <w:p w14:paraId="73A1CC2D" w14:textId="77777777" w:rsidR="00000000" w:rsidRDefault="00A173A8">
            <w:pPr>
              <w:spacing w:after="100"/>
              <w:rPr>
                <w:rFonts w:eastAsia="Times New Roman"/>
                <w:sz w:val="20"/>
                <w:szCs w:val="20"/>
              </w:rPr>
            </w:pPr>
          </w:p>
        </w:tc>
        <w:tc>
          <w:tcPr>
            <w:tcW w:w="0" w:type="auto"/>
            <w:gridSpan w:val="3"/>
            <w:vAlign w:val="center"/>
            <w:hideMark/>
          </w:tcPr>
          <w:p w14:paraId="2122BDC8" w14:textId="77777777" w:rsidR="00000000" w:rsidRDefault="00A173A8">
            <w:pPr>
              <w:spacing w:after="100"/>
              <w:rPr>
                <w:rFonts w:eastAsia="Times New Roman"/>
                <w:sz w:val="20"/>
                <w:szCs w:val="20"/>
              </w:rPr>
            </w:pPr>
          </w:p>
        </w:tc>
        <w:tc>
          <w:tcPr>
            <w:tcW w:w="0" w:type="auto"/>
            <w:gridSpan w:val="3"/>
            <w:vAlign w:val="center"/>
            <w:hideMark/>
          </w:tcPr>
          <w:p w14:paraId="4CD756A1" w14:textId="77777777" w:rsidR="00000000" w:rsidRDefault="00A173A8">
            <w:pPr>
              <w:spacing w:after="100"/>
              <w:rPr>
                <w:rFonts w:eastAsia="Times New Roman"/>
                <w:sz w:val="20"/>
                <w:szCs w:val="20"/>
              </w:rPr>
            </w:pPr>
          </w:p>
        </w:tc>
      </w:tr>
      <w:tr w:rsidR="00000000" w14:paraId="56BB25F7" w14:textId="77777777">
        <w:trPr>
          <w:divId w:val="488981052"/>
        </w:trPr>
        <w:tc>
          <w:tcPr>
            <w:tcW w:w="0" w:type="auto"/>
            <w:gridSpan w:val="3"/>
            <w:vAlign w:val="center"/>
            <w:hideMark/>
          </w:tcPr>
          <w:p w14:paraId="709EC461" w14:textId="77777777" w:rsidR="00000000" w:rsidRDefault="00A173A8">
            <w:pPr>
              <w:spacing w:after="100"/>
              <w:rPr>
                <w:rFonts w:eastAsia="Times New Roman"/>
                <w:sz w:val="20"/>
                <w:szCs w:val="20"/>
              </w:rPr>
            </w:pPr>
          </w:p>
        </w:tc>
        <w:tc>
          <w:tcPr>
            <w:tcW w:w="0" w:type="auto"/>
            <w:gridSpan w:val="3"/>
            <w:vAlign w:val="center"/>
            <w:hideMark/>
          </w:tcPr>
          <w:p w14:paraId="15E0B966" w14:textId="77777777" w:rsidR="00000000" w:rsidRDefault="00A173A8">
            <w:pPr>
              <w:spacing w:after="100"/>
              <w:rPr>
                <w:rFonts w:eastAsia="Times New Roman"/>
                <w:sz w:val="20"/>
                <w:szCs w:val="20"/>
              </w:rPr>
            </w:pPr>
          </w:p>
        </w:tc>
        <w:tc>
          <w:tcPr>
            <w:tcW w:w="0" w:type="auto"/>
            <w:gridSpan w:val="3"/>
            <w:vAlign w:val="center"/>
            <w:hideMark/>
          </w:tcPr>
          <w:p w14:paraId="693530C7" w14:textId="77777777" w:rsidR="00000000" w:rsidRDefault="00A173A8">
            <w:pPr>
              <w:spacing w:after="100"/>
              <w:rPr>
                <w:rFonts w:eastAsia="Times New Roman"/>
                <w:sz w:val="20"/>
                <w:szCs w:val="20"/>
              </w:rPr>
            </w:pPr>
          </w:p>
        </w:tc>
        <w:tc>
          <w:tcPr>
            <w:tcW w:w="0" w:type="auto"/>
            <w:gridSpan w:val="3"/>
            <w:vAlign w:val="center"/>
            <w:hideMark/>
          </w:tcPr>
          <w:p w14:paraId="389D415F" w14:textId="77777777" w:rsidR="00000000" w:rsidRDefault="00A173A8">
            <w:pPr>
              <w:spacing w:after="100"/>
              <w:rPr>
                <w:rFonts w:eastAsia="Times New Roman"/>
                <w:sz w:val="20"/>
                <w:szCs w:val="20"/>
              </w:rPr>
            </w:pPr>
          </w:p>
        </w:tc>
        <w:tc>
          <w:tcPr>
            <w:tcW w:w="0" w:type="auto"/>
            <w:gridSpan w:val="3"/>
            <w:vAlign w:val="center"/>
            <w:hideMark/>
          </w:tcPr>
          <w:p w14:paraId="03E1B5C1" w14:textId="77777777" w:rsidR="00000000" w:rsidRDefault="00A173A8">
            <w:pPr>
              <w:spacing w:after="100"/>
              <w:rPr>
                <w:rFonts w:eastAsia="Times New Roman"/>
                <w:sz w:val="20"/>
                <w:szCs w:val="20"/>
              </w:rPr>
            </w:pPr>
          </w:p>
        </w:tc>
        <w:tc>
          <w:tcPr>
            <w:tcW w:w="0" w:type="auto"/>
            <w:gridSpan w:val="3"/>
            <w:vAlign w:val="center"/>
            <w:hideMark/>
          </w:tcPr>
          <w:p w14:paraId="0506513C" w14:textId="77777777" w:rsidR="00000000" w:rsidRDefault="00A173A8">
            <w:pPr>
              <w:spacing w:after="100"/>
              <w:rPr>
                <w:rFonts w:eastAsia="Times New Roman"/>
                <w:sz w:val="20"/>
                <w:szCs w:val="20"/>
              </w:rPr>
            </w:pPr>
          </w:p>
        </w:tc>
        <w:tc>
          <w:tcPr>
            <w:tcW w:w="0" w:type="auto"/>
            <w:gridSpan w:val="3"/>
            <w:vAlign w:val="center"/>
            <w:hideMark/>
          </w:tcPr>
          <w:p w14:paraId="5E670D0A" w14:textId="77777777" w:rsidR="00000000" w:rsidRDefault="00A173A8">
            <w:pPr>
              <w:spacing w:after="100"/>
              <w:rPr>
                <w:rFonts w:eastAsia="Times New Roman"/>
                <w:sz w:val="20"/>
                <w:szCs w:val="20"/>
              </w:rPr>
            </w:pPr>
          </w:p>
        </w:tc>
        <w:tc>
          <w:tcPr>
            <w:tcW w:w="0" w:type="auto"/>
            <w:gridSpan w:val="3"/>
            <w:vAlign w:val="center"/>
            <w:hideMark/>
          </w:tcPr>
          <w:p w14:paraId="326C12D9" w14:textId="77777777" w:rsidR="00000000" w:rsidRDefault="00A173A8">
            <w:pPr>
              <w:spacing w:after="100"/>
              <w:rPr>
                <w:rFonts w:eastAsia="Times New Roman"/>
                <w:sz w:val="20"/>
                <w:szCs w:val="20"/>
              </w:rPr>
            </w:pPr>
          </w:p>
        </w:tc>
        <w:tc>
          <w:tcPr>
            <w:tcW w:w="0" w:type="auto"/>
            <w:gridSpan w:val="3"/>
            <w:vAlign w:val="center"/>
            <w:hideMark/>
          </w:tcPr>
          <w:p w14:paraId="771BDCFB" w14:textId="77777777" w:rsidR="00000000" w:rsidRDefault="00A173A8">
            <w:pPr>
              <w:spacing w:after="100"/>
              <w:rPr>
                <w:rFonts w:eastAsia="Times New Roman"/>
                <w:sz w:val="20"/>
                <w:szCs w:val="20"/>
              </w:rPr>
            </w:pPr>
          </w:p>
        </w:tc>
        <w:tc>
          <w:tcPr>
            <w:tcW w:w="0" w:type="auto"/>
            <w:gridSpan w:val="3"/>
            <w:vAlign w:val="center"/>
            <w:hideMark/>
          </w:tcPr>
          <w:p w14:paraId="02F97456" w14:textId="77777777" w:rsidR="00000000" w:rsidRDefault="00A173A8">
            <w:pPr>
              <w:spacing w:after="100"/>
              <w:rPr>
                <w:rFonts w:eastAsia="Times New Roman"/>
                <w:sz w:val="20"/>
                <w:szCs w:val="20"/>
              </w:rPr>
            </w:pPr>
          </w:p>
        </w:tc>
        <w:tc>
          <w:tcPr>
            <w:tcW w:w="0" w:type="auto"/>
            <w:gridSpan w:val="3"/>
            <w:vAlign w:val="center"/>
            <w:hideMark/>
          </w:tcPr>
          <w:p w14:paraId="36F0B121" w14:textId="77777777" w:rsidR="00000000" w:rsidRDefault="00A173A8">
            <w:pPr>
              <w:spacing w:after="100"/>
              <w:rPr>
                <w:rFonts w:eastAsia="Times New Roman"/>
                <w:sz w:val="20"/>
                <w:szCs w:val="20"/>
              </w:rPr>
            </w:pPr>
          </w:p>
        </w:tc>
        <w:tc>
          <w:tcPr>
            <w:tcW w:w="0" w:type="auto"/>
            <w:gridSpan w:val="3"/>
            <w:vAlign w:val="center"/>
            <w:hideMark/>
          </w:tcPr>
          <w:p w14:paraId="4AC80712" w14:textId="77777777" w:rsidR="00000000" w:rsidRDefault="00A173A8">
            <w:pPr>
              <w:spacing w:after="100"/>
              <w:rPr>
                <w:rFonts w:eastAsia="Times New Roman"/>
                <w:sz w:val="20"/>
                <w:szCs w:val="20"/>
              </w:rPr>
            </w:pPr>
          </w:p>
        </w:tc>
        <w:tc>
          <w:tcPr>
            <w:tcW w:w="0" w:type="auto"/>
            <w:gridSpan w:val="3"/>
            <w:vAlign w:val="center"/>
            <w:hideMark/>
          </w:tcPr>
          <w:p w14:paraId="76C42456" w14:textId="77777777" w:rsidR="00000000" w:rsidRDefault="00A173A8">
            <w:pPr>
              <w:spacing w:after="100"/>
              <w:rPr>
                <w:rFonts w:eastAsia="Times New Roman"/>
                <w:sz w:val="20"/>
                <w:szCs w:val="20"/>
              </w:rPr>
            </w:pPr>
          </w:p>
        </w:tc>
        <w:tc>
          <w:tcPr>
            <w:tcW w:w="0" w:type="auto"/>
            <w:gridSpan w:val="3"/>
            <w:vAlign w:val="center"/>
            <w:hideMark/>
          </w:tcPr>
          <w:p w14:paraId="5DB2FF89" w14:textId="77777777" w:rsidR="00000000" w:rsidRDefault="00A173A8">
            <w:pPr>
              <w:spacing w:after="100"/>
              <w:rPr>
                <w:rFonts w:eastAsia="Times New Roman"/>
                <w:sz w:val="20"/>
                <w:szCs w:val="20"/>
              </w:rPr>
            </w:pPr>
          </w:p>
        </w:tc>
        <w:tc>
          <w:tcPr>
            <w:tcW w:w="0" w:type="auto"/>
            <w:gridSpan w:val="3"/>
            <w:vAlign w:val="center"/>
            <w:hideMark/>
          </w:tcPr>
          <w:p w14:paraId="37021432" w14:textId="77777777" w:rsidR="00000000" w:rsidRDefault="00A173A8">
            <w:pPr>
              <w:spacing w:after="100"/>
              <w:rPr>
                <w:rFonts w:eastAsia="Times New Roman"/>
                <w:sz w:val="20"/>
                <w:szCs w:val="20"/>
              </w:rPr>
            </w:pPr>
          </w:p>
        </w:tc>
        <w:tc>
          <w:tcPr>
            <w:tcW w:w="0" w:type="auto"/>
            <w:gridSpan w:val="3"/>
            <w:vAlign w:val="center"/>
            <w:hideMark/>
          </w:tcPr>
          <w:p w14:paraId="65CD8B71" w14:textId="77777777" w:rsidR="00000000" w:rsidRDefault="00A173A8">
            <w:pPr>
              <w:spacing w:after="100"/>
              <w:rPr>
                <w:rFonts w:eastAsia="Times New Roman"/>
                <w:sz w:val="20"/>
                <w:szCs w:val="20"/>
              </w:rPr>
            </w:pPr>
          </w:p>
        </w:tc>
        <w:tc>
          <w:tcPr>
            <w:tcW w:w="0" w:type="auto"/>
            <w:gridSpan w:val="3"/>
            <w:vAlign w:val="center"/>
            <w:hideMark/>
          </w:tcPr>
          <w:p w14:paraId="196B609E" w14:textId="77777777" w:rsidR="00000000" w:rsidRDefault="00A173A8">
            <w:pPr>
              <w:spacing w:after="100"/>
              <w:rPr>
                <w:rFonts w:eastAsia="Times New Roman"/>
                <w:sz w:val="20"/>
                <w:szCs w:val="20"/>
              </w:rPr>
            </w:pPr>
          </w:p>
        </w:tc>
        <w:tc>
          <w:tcPr>
            <w:tcW w:w="0" w:type="auto"/>
            <w:gridSpan w:val="3"/>
            <w:vAlign w:val="center"/>
            <w:hideMark/>
          </w:tcPr>
          <w:p w14:paraId="47665CD3" w14:textId="77777777" w:rsidR="00000000" w:rsidRDefault="00A173A8">
            <w:pPr>
              <w:spacing w:after="100"/>
              <w:rPr>
                <w:rFonts w:eastAsia="Times New Roman"/>
                <w:sz w:val="20"/>
                <w:szCs w:val="20"/>
              </w:rPr>
            </w:pPr>
          </w:p>
        </w:tc>
        <w:tc>
          <w:tcPr>
            <w:tcW w:w="0" w:type="auto"/>
            <w:gridSpan w:val="3"/>
            <w:vAlign w:val="center"/>
            <w:hideMark/>
          </w:tcPr>
          <w:p w14:paraId="3D03D2CF" w14:textId="77777777" w:rsidR="00000000" w:rsidRDefault="00A173A8">
            <w:pPr>
              <w:spacing w:after="100"/>
              <w:rPr>
                <w:rFonts w:eastAsia="Times New Roman"/>
                <w:sz w:val="20"/>
                <w:szCs w:val="20"/>
              </w:rPr>
            </w:pPr>
          </w:p>
        </w:tc>
      </w:tr>
      <w:tr w:rsidR="00000000" w14:paraId="10BC99BF" w14:textId="77777777">
        <w:trPr>
          <w:divId w:val="488981052"/>
        </w:trPr>
        <w:tc>
          <w:tcPr>
            <w:tcW w:w="0" w:type="auto"/>
            <w:gridSpan w:val="3"/>
            <w:vAlign w:val="center"/>
            <w:hideMark/>
          </w:tcPr>
          <w:p w14:paraId="64AC5B9B" w14:textId="77777777" w:rsidR="00000000" w:rsidRDefault="00A173A8">
            <w:pPr>
              <w:spacing w:after="100"/>
              <w:rPr>
                <w:rFonts w:eastAsia="Times New Roman"/>
                <w:sz w:val="20"/>
                <w:szCs w:val="20"/>
              </w:rPr>
            </w:pPr>
          </w:p>
        </w:tc>
        <w:tc>
          <w:tcPr>
            <w:tcW w:w="0" w:type="auto"/>
            <w:gridSpan w:val="3"/>
            <w:vAlign w:val="center"/>
            <w:hideMark/>
          </w:tcPr>
          <w:p w14:paraId="43433235" w14:textId="77777777" w:rsidR="00000000" w:rsidRDefault="00A173A8">
            <w:pPr>
              <w:spacing w:after="100"/>
              <w:rPr>
                <w:rFonts w:eastAsia="Times New Roman"/>
                <w:sz w:val="20"/>
                <w:szCs w:val="20"/>
              </w:rPr>
            </w:pPr>
          </w:p>
        </w:tc>
        <w:tc>
          <w:tcPr>
            <w:tcW w:w="0" w:type="auto"/>
            <w:gridSpan w:val="3"/>
            <w:vAlign w:val="center"/>
            <w:hideMark/>
          </w:tcPr>
          <w:p w14:paraId="03EA007C" w14:textId="77777777" w:rsidR="00000000" w:rsidRDefault="00A173A8">
            <w:pPr>
              <w:spacing w:after="100"/>
              <w:rPr>
                <w:rFonts w:eastAsia="Times New Roman"/>
                <w:sz w:val="20"/>
                <w:szCs w:val="20"/>
              </w:rPr>
            </w:pPr>
          </w:p>
        </w:tc>
        <w:tc>
          <w:tcPr>
            <w:tcW w:w="0" w:type="auto"/>
            <w:gridSpan w:val="3"/>
            <w:vAlign w:val="center"/>
            <w:hideMark/>
          </w:tcPr>
          <w:p w14:paraId="432157BC" w14:textId="77777777" w:rsidR="00000000" w:rsidRDefault="00A173A8">
            <w:pPr>
              <w:spacing w:after="100"/>
              <w:rPr>
                <w:rFonts w:eastAsia="Times New Roman"/>
                <w:sz w:val="20"/>
                <w:szCs w:val="20"/>
              </w:rPr>
            </w:pPr>
          </w:p>
        </w:tc>
        <w:tc>
          <w:tcPr>
            <w:tcW w:w="0" w:type="auto"/>
            <w:gridSpan w:val="3"/>
            <w:vAlign w:val="center"/>
            <w:hideMark/>
          </w:tcPr>
          <w:p w14:paraId="712F9418" w14:textId="77777777" w:rsidR="00000000" w:rsidRDefault="00A173A8">
            <w:pPr>
              <w:spacing w:after="100"/>
              <w:rPr>
                <w:rFonts w:eastAsia="Times New Roman"/>
                <w:sz w:val="20"/>
                <w:szCs w:val="20"/>
              </w:rPr>
            </w:pPr>
          </w:p>
        </w:tc>
        <w:tc>
          <w:tcPr>
            <w:tcW w:w="0" w:type="auto"/>
            <w:gridSpan w:val="3"/>
            <w:vAlign w:val="center"/>
            <w:hideMark/>
          </w:tcPr>
          <w:p w14:paraId="495163E4" w14:textId="77777777" w:rsidR="00000000" w:rsidRDefault="00A173A8">
            <w:pPr>
              <w:spacing w:after="100"/>
              <w:rPr>
                <w:rFonts w:eastAsia="Times New Roman"/>
                <w:sz w:val="20"/>
                <w:szCs w:val="20"/>
              </w:rPr>
            </w:pPr>
          </w:p>
        </w:tc>
        <w:tc>
          <w:tcPr>
            <w:tcW w:w="0" w:type="auto"/>
            <w:gridSpan w:val="3"/>
            <w:vAlign w:val="center"/>
            <w:hideMark/>
          </w:tcPr>
          <w:p w14:paraId="5271EF61" w14:textId="77777777" w:rsidR="00000000" w:rsidRDefault="00A173A8">
            <w:pPr>
              <w:spacing w:after="100"/>
              <w:rPr>
                <w:rFonts w:eastAsia="Times New Roman"/>
                <w:sz w:val="20"/>
                <w:szCs w:val="20"/>
              </w:rPr>
            </w:pPr>
          </w:p>
        </w:tc>
        <w:tc>
          <w:tcPr>
            <w:tcW w:w="0" w:type="auto"/>
            <w:gridSpan w:val="3"/>
            <w:vAlign w:val="center"/>
            <w:hideMark/>
          </w:tcPr>
          <w:p w14:paraId="77F93600" w14:textId="77777777" w:rsidR="00000000" w:rsidRDefault="00A173A8">
            <w:pPr>
              <w:spacing w:after="100"/>
              <w:rPr>
                <w:rFonts w:eastAsia="Times New Roman"/>
                <w:sz w:val="20"/>
                <w:szCs w:val="20"/>
              </w:rPr>
            </w:pPr>
          </w:p>
        </w:tc>
        <w:tc>
          <w:tcPr>
            <w:tcW w:w="0" w:type="auto"/>
            <w:gridSpan w:val="3"/>
            <w:vAlign w:val="center"/>
            <w:hideMark/>
          </w:tcPr>
          <w:p w14:paraId="2E998F11" w14:textId="77777777" w:rsidR="00000000" w:rsidRDefault="00A173A8">
            <w:pPr>
              <w:spacing w:after="100"/>
              <w:rPr>
                <w:rFonts w:eastAsia="Times New Roman"/>
                <w:sz w:val="20"/>
                <w:szCs w:val="20"/>
              </w:rPr>
            </w:pPr>
          </w:p>
        </w:tc>
        <w:tc>
          <w:tcPr>
            <w:tcW w:w="0" w:type="auto"/>
            <w:gridSpan w:val="3"/>
            <w:vAlign w:val="center"/>
            <w:hideMark/>
          </w:tcPr>
          <w:p w14:paraId="54125CC3" w14:textId="77777777" w:rsidR="00000000" w:rsidRDefault="00A173A8">
            <w:pPr>
              <w:spacing w:after="100"/>
              <w:rPr>
                <w:rFonts w:eastAsia="Times New Roman"/>
                <w:sz w:val="20"/>
                <w:szCs w:val="20"/>
              </w:rPr>
            </w:pPr>
          </w:p>
        </w:tc>
        <w:tc>
          <w:tcPr>
            <w:tcW w:w="0" w:type="auto"/>
            <w:gridSpan w:val="3"/>
            <w:vAlign w:val="center"/>
            <w:hideMark/>
          </w:tcPr>
          <w:p w14:paraId="5F7D79A8" w14:textId="77777777" w:rsidR="00000000" w:rsidRDefault="00A173A8">
            <w:pPr>
              <w:spacing w:after="100"/>
              <w:rPr>
                <w:rFonts w:eastAsia="Times New Roman"/>
                <w:sz w:val="20"/>
                <w:szCs w:val="20"/>
              </w:rPr>
            </w:pPr>
          </w:p>
        </w:tc>
        <w:tc>
          <w:tcPr>
            <w:tcW w:w="0" w:type="auto"/>
            <w:gridSpan w:val="3"/>
            <w:vAlign w:val="center"/>
            <w:hideMark/>
          </w:tcPr>
          <w:p w14:paraId="6BB1138C" w14:textId="77777777" w:rsidR="00000000" w:rsidRDefault="00A173A8">
            <w:pPr>
              <w:spacing w:after="100"/>
              <w:rPr>
                <w:rFonts w:eastAsia="Times New Roman"/>
                <w:sz w:val="20"/>
                <w:szCs w:val="20"/>
              </w:rPr>
            </w:pPr>
          </w:p>
        </w:tc>
        <w:tc>
          <w:tcPr>
            <w:tcW w:w="0" w:type="auto"/>
            <w:gridSpan w:val="3"/>
            <w:vAlign w:val="center"/>
            <w:hideMark/>
          </w:tcPr>
          <w:p w14:paraId="0347C2D2" w14:textId="77777777" w:rsidR="00000000" w:rsidRDefault="00A173A8">
            <w:pPr>
              <w:spacing w:after="100"/>
              <w:rPr>
                <w:rFonts w:eastAsia="Times New Roman"/>
                <w:sz w:val="20"/>
                <w:szCs w:val="20"/>
              </w:rPr>
            </w:pPr>
          </w:p>
        </w:tc>
        <w:tc>
          <w:tcPr>
            <w:tcW w:w="0" w:type="auto"/>
            <w:gridSpan w:val="3"/>
            <w:vAlign w:val="center"/>
            <w:hideMark/>
          </w:tcPr>
          <w:p w14:paraId="7309A78F" w14:textId="77777777" w:rsidR="00000000" w:rsidRDefault="00A173A8">
            <w:pPr>
              <w:spacing w:after="100"/>
              <w:rPr>
                <w:rFonts w:eastAsia="Times New Roman"/>
                <w:sz w:val="20"/>
                <w:szCs w:val="20"/>
              </w:rPr>
            </w:pPr>
          </w:p>
        </w:tc>
        <w:tc>
          <w:tcPr>
            <w:tcW w:w="0" w:type="auto"/>
            <w:gridSpan w:val="3"/>
            <w:vAlign w:val="center"/>
            <w:hideMark/>
          </w:tcPr>
          <w:p w14:paraId="546E1EC6" w14:textId="77777777" w:rsidR="00000000" w:rsidRDefault="00A173A8">
            <w:pPr>
              <w:spacing w:after="100"/>
              <w:rPr>
                <w:rFonts w:eastAsia="Times New Roman"/>
                <w:sz w:val="20"/>
                <w:szCs w:val="20"/>
              </w:rPr>
            </w:pPr>
          </w:p>
        </w:tc>
        <w:tc>
          <w:tcPr>
            <w:tcW w:w="0" w:type="auto"/>
            <w:gridSpan w:val="3"/>
            <w:vAlign w:val="center"/>
            <w:hideMark/>
          </w:tcPr>
          <w:p w14:paraId="1F9F6C38" w14:textId="77777777" w:rsidR="00000000" w:rsidRDefault="00A173A8">
            <w:pPr>
              <w:spacing w:after="100"/>
              <w:rPr>
                <w:rFonts w:eastAsia="Times New Roman"/>
                <w:sz w:val="20"/>
                <w:szCs w:val="20"/>
              </w:rPr>
            </w:pPr>
          </w:p>
        </w:tc>
        <w:tc>
          <w:tcPr>
            <w:tcW w:w="0" w:type="auto"/>
            <w:gridSpan w:val="3"/>
            <w:vAlign w:val="center"/>
            <w:hideMark/>
          </w:tcPr>
          <w:p w14:paraId="42077576" w14:textId="77777777" w:rsidR="00000000" w:rsidRDefault="00A173A8">
            <w:pPr>
              <w:spacing w:after="100"/>
              <w:rPr>
                <w:rFonts w:eastAsia="Times New Roman"/>
                <w:sz w:val="20"/>
                <w:szCs w:val="20"/>
              </w:rPr>
            </w:pPr>
          </w:p>
        </w:tc>
        <w:tc>
          <w:tcPr>
            <w:tcW w:w="0" w:type="auto"/>
            <w:gridSpan w:val="3"/>
            <w:vAlign w:val="center"/>
            <w:hideMark/>
          </w:tcPr>
          <w:p w14:paraId="333216E5" w14:textId="77777777" w:rsidR="00000000" w:rsidRDefault="00A173A8">
            <w:pPr>
              <w:spacing w:after="100"/>
              <w:rPr>
                <w:rFonts w:eastAsia="Times New Roman"/>
                <w:sz w:val="20"/>
                <w:szCs w:val="20"/>
              </w:rPr>
            </w:pPr>
          </w:p>
        </w:tc>
        <w:tc>
          <w:tcPr>
            <w:tcW w:w="0" w:type="auto"/>
            <w:gridSpan w:val="3"/>
            <w:vAlign w:val="center"/>
            <w:hideMark/>
          </w:tcPr>
          <w:p w14:paraId="23A51FAB" w14:textId="77777777" w:rsidR="00000000" w:rsidRDefault="00A173A8">
            <w:pPr>
              <w:spacing w:after="100"/>
              <w:rPr>
                <w:rFonts w:eastAsia="Times New Roman"/>
                <w:sz w:val="20"/>
                <w:szCs w:val="20"/>
              </w:rPr>
            </w:pPr>
          </w:p>
        </w:tc>
      </w:tr>
      <w:tr w:rsidR="00000000" w14:paraId="5EB803AF" w14:textId="77777777">
        <w:trPr>
          <w:divId w:val="488981052"/>
        </w:trPr>
        <w:tc>
          <w:tcPr>
            <w:tcW w:w="0" w:type="auto"/>
            <w:gridSpan w:val="3"/>
            <w:vAlign w:val="center"/>
            <w:hideMark/>
          </w:tcPr>
          <w:p w14:paraId="2E62F7D3" w14:textId="77777777" w:rsidR="00000000" w:rsidRDefault="00A173A8">
            <w:pPr>
              <w:spacing w:after="100"/>
              <w:rPr>
                <w:rFonts w:eastAsia="Times New Roman"/>
                <w:sz w:val="20"/>
                <w:szCs w:val="20"/>
              </w:rPr>
            </w:pPr>
          </w:p>
        </w:tc>
        <w:tc>
          <w:tcPr>
            <w:tcW w:w="0" w:type="auto"/>
            <w:gridSpan w:val="3"/>
            <w:vAlign w:val="center"/>
            <w:hideMark/>
          </w:tcPr>
          <w:p w14:paraId="25CA1F6A" w14:textId="77777777" w:rsidR="00000000" w:rsidRDefault="00A173A8">
            <w:pPr>
              <w:spacing w:after="100"/>
              <w:rPr>
                <w:rFonts w:eastAsia="Times New Roman"/>
                <w:sz w:val="20"/>
                <w:szCs w:val="20"/>
              </w:rPr>
            </w:pPr>
          </w:p>
        </w:tc>
        <w:tc>
          <w:tcPr>
            <w:tcW w:w="0" w:type="auto"/>
            <w:gridSpan w:val="3"/>
            <w:vAlign w:val="center"/>
            <w:hideMark/>
          </w:tcPr>
          <w:p w14:paraId="5623DD1B" w14:textId="77777777" w:rsidR="00000000" w:rsidRDefault="00A173A8">
            <w:pPr>
              <w:spacing w:after="100"/>
              <w:rPr>
                <w:rFonts w:eastAsia="Times New Roman"/>
                <w:sz w:val="20"/>
                <w:szCs w:val="20"/>
              </w:rPr>
            </w:pPr>
          </w:p>
        </w:tc>
        <w:tc>
          <w:tcPr>
            <w:tcW w:w="0" w:type="auto"/>
            <w:gridSpan w:val="3"/>
            <w:vAlign w:val="center"/>
            <w:hideMark/>
          </w:tcPr>
          <w:p w14:paraId="38E6261B" w14:textId="77777777" w:rsidR="00000000" w:rsidRDefault="00A173A8">
            <w:pPr>
              <w:spacing w:after="100"/>
              <w:rPr>
                <w:rFonts w:eastAsia="Times New Roman"/>
                <w:sz w:val="20"/>
                <w:szCs w:val="20"/>
              </w:rPr>
            </w:pPr>
          </w:p>
        </w:tc>
        <w:tc>
          <w:tcPr>
            <w:tcW w:w="0" w:type="auto"/>
            <w:gridSpan w:val="3"/>
            <w:vAlign w:val="center"/>
            <w:hideMark/>
          </w:tcPr>
          <w:p w14:paraId="7050B6B8" w14:textId="77777777" w:rsidR="00000000" w:rsidRDefault="00A173A8">
            <w:pPr>
              <w:spacing w:after="100"/>
              <w:rPr>
                <w:rFonts w:eastAsia="Times New Roman"/>
                <w:sz w:val="20"/>
                <w:szCs w:val="20"/>
              </w:rPr>
            </w:pPr>
          </w:p>
        </w:tc>
        <w:tc>
          <w:tcPr>
            <w:tcW w:w="0" w:type="auto"/>
            <w:gridSpan w:val="3"/>
            <w:vAlign w:val="center"/>
            <w:hideMark/>
          </w:tcPr>
          <w:p w14:paraId="637E93AC" w14:textId="77777777" w:rsidR="00000000" w:rsidRDefault="00A173A8">
            <w:pPr>
              <w:spacing w:after="100"/>
              <w:rPr>
                <w:rFonts w:eastAsia="Times New Roman"/>
                <w:sz w:val="20"/>
                <w:szCs w:val="20"/>
              </w:rPr>
            </w:pPr>
          </w:p>
        </w:tc>
        <w:tc>
          <w:tcPr>
            <w:tcW w:w="0" w:type="auto"/>
            <w:gridSpan w:val="3"/>
            <w:vAlign w:val="center"/>
            <w:hideMark/>
          </w:tcPr>
          <w:p w14:paraId="09F41DCE" w14:textId="77777777" w:rsidR="00000000" w:rsidRDefault="00A173A8">
            <w:pPr>
              <w:spacing w:after="100"/>
              <w:rPr>
                <w:rFonts w:eastAsia="Times New Roman"/>
                <w:sz w:val="20"/>
                <w:szCs w:val="20"/>
              </w:rPr>
            </w:pPr>
          </w:p>
        </w:tc>
        <w:tc>
          <w:tcPr>
            <w:tcW w:w="0" w:type="auto"/>
            <w:gridSpan w:val="3"/>
            <w:vAlign w:val="center"/>
            <w:hideMark/>
          </w:tcPr>
          <w:p w14:paraId="75282606" w14:textId="77777777" w:rsidR="00000000" w:rsidRDefault="00A173A8">
            <w:pPr>
              <w:spacing w:after="100"/>
              <w:rPr>
                <w:rFonts w:eastAsia="Times New Roman"/>
                <w:sz w:val="20"/>
                <w:szCs w:val="20"/>
              </w:rPr>
            </w:pPr>
          </w:p>
        </w:tc>
        <w:tc>
          <w:tcPr>
            <w:tcW w:w="0" w:type="auto"/>
            <w:gridSpan w:val="3"/>
            <w:vAlign w:val="center"/>
            <w:hideMark/>
          </w:tcPr>
          <w:p w14:paraId="2047AB3E" w14:textId="77777777" w:rsidR="00000000" w:rsidRDefault="00A173A8">
            <w:pPr>
              <w:spacing w:after="100"/>
              <w:rPr>
                <w:rFonts w:eastAsia="Times New Roman"/>
                <w:sz w:val="20"/>
                <w:szCs w:val="20"/>
              </w:rPr>
            </w:pPr>
          </w:p>
        </w:tc>
        <w:tc>
          <w:tcPr>
            <w:tcW w:w="0" w:type="auto"/>
            <w:gridSpan w:val="3"/>
            <w:vAlign w:val="center"/>
            <w:hideMark/>
          </w:tcPr>
          <w:p w14:paraId="7881351F" w14:textId="77777777" w:rsidR="00000000" w:rsidRDefault="00A173A8">
            <w:pPr>
              <w:spacing w:after="100"/>
              <w:rPr>
                <w:rFonts w:eastAsia="Times New Roman"/>
                <w:sz w:val="20"/>
                <w:szCs w:val="20"/>
              </w:rPr>
            </w:pPr>
          </w:p>
        </w:tc>
        <w:tc>
          <w:tcPr>
            <w:tcW w:w="0" w:type="auto"/>
            <w:gridSpan w:val="3"/>
            <w:vAlign w:val="center"/>
            <w:hideMark/>
          </w:tcPr>
          <w:p w14:paraId="0FDFF108" w14:textId="77777777" w:rsidR="00000000" w:rsidRDefault="00A173A8">
            <w:pPr>
              <w:spacing w:after="100"/>
              <w:rPr>
                <w:rFonts w:eastAsia="Times New Roman"/>
                <w:sz w:val="20"/>
                <w:szCs w:val="20"/>
              </w:rPr>
            </w:pPr>
          </w:p>
        </w:tc>
        <w:tc>
          <w:tcPr>
            <w:tcW w:w="0" w:type="auto"/>
            <w:gridSpan w:val="3"/>
            <w:vAlign w:val="center"/>
            <w:hideMark/>
          </w:tcPr>
          <w:p w14:paraId="1D2E82AB" w14:textId="77777777" w:rsidR="00000000" w:rsidRDefault="00A173A8">
            <w:pPr>
              <w:spacing w:after="100"/>
              <w:rPr>
                <w:rFonts w:eastAsia="Times New Roman"/>
                <w:sz w:val="20"/>
                <w:szCs w:val="20"/>
              </w:rPr>
            </w:pPr>
          </w:p>
        </w:tc>
        <w:tc>
          <w:tcPr>
            <w:tcW w:w="0" w:type="auto"/>
            <w:gridSpan w:val="3"/>
            <w:vAlign w:val="center"/>
            <w:hideMark/>
          </w:tcPr>
          <w:p w14:paraId="1C57ADE5" w14:textId="77777777" w:rsidR="00000000" w:rsidRDefault="00A173A8">
            <w:pPr>
              <w:spacing w:after="100"/>
              <w:rPr>
                <w:rFonts w:eastAsia="Times New Roman"/>
                <w:sz w:val="20"/>
                <w:szCs w:val="20"/>
              </w:rPr>
            </w:pPr>
          </w:p>
        </w:tc>
        <w:tc>
          <w:tcPr>
            <w:tcW w:w="0" w:type="auto"/>
            <w:gridSpan w:val="3"/>
            <w:vAlign w:val="center"/>
            <w:hideMark/>
          </w:tcPr>
          <w:p w14:paraId="6AB6E083" w14:textId="77777777" w:rsidR="00000000" w:rsidRDefault="00A173A8">
            <w:pPr>
              <w:spacing w:after="100"/>
              <w:rPr>
                <w:rFonts w:eastAsia="Times New Roman"/>
                <w:sz w:val="20"/>
                <w:szCs w:val="20"/>
              </w:rPr>
            </w:pPr>
          </w:p>
        </w:tc>
        <w:tc>
          <w:tcPr>
            <w:tcW w:w="0" w:type="auto"/>
            <w:gridSpan w:val="3"/>
            <w:vAlign w:val="center"/>
            <w:hideMark/>
          </w:tcPr>
          <w:p w14:paraId="04CFF5E2" w14:textId="77777777" w:rsidR="00000000" w:rsidRDefault="00A173A8">
            <w:pPr>
              <w:spacing w:after="100"/>
              <w:rPr>
                <w:rFonts w:eastAsia="Times New Roman"/>
                <w:sz w:val="20"/>
                <w:szCs w:val="20"/>
              </w:rPr>
            </w:pPr>
          </w:p>
        </w:tc>
        <w:tc>
          <w:tcPr>
            <w:tcW w:w="0" w:type="auto"/>
            <w:gridSpan w:val="3"/>
            <w:vAlign w:val="center"/>
            <w:hideMark/>
          </w:tcPr>
          <w:p w14:paraId="39188EFB" w14:textId="77777777" w:rsidR="00000000" w:rsidRDefault="00A173A8">
            <w:pPr>
              <w:spacing w:after="100"/>
              <w:rPr>
                <w:rFonts w:eastAsia="Times New Roman"/>
                <w:sz w:val="20"/>
                <w:szCs w:val="20"/>
              </w:rPr>
            </w:pPr>
          </w:p>
        </w:tc>
        <w:tc>
          <w:tcPr>
            <w:tcW w:w="0" w:type="auto"/>
            <w:gridSpan w:val="3"/>
            <w:vAlign w:val="center"/>
            <w:hideMark/>
          </w:tcPr>
          <w:p w14:paraId="7E320FA4" w14:textId="77777777" w:rsidR="00000000" w:rsidRDefault="00A173A8">
            <w:pPr>
              <w:spacing w:after="100"/>
              <w:rPr>
                <w:rFonts w:eastAsia="Times New Roman"/>
                <w:sz w:val="20"/>
                <w:szCs w:val="20"/>
              </w:rPr>
            </w:pPr>
          </w:p>
        </w:tc>
        <w:tc>
          <w:tcPr>
            <w:tcW w:w="0" w:type="auto"/>
            <w:gridSpan w:val="3"/>
            <w:vAlign w:val="center"/>
            <w:hideMark/>
          </w:tcPr>
          <w:p w14:paraId="618F0C53" w14:textId="77777777" w:rsidR="00000000" w:rsidRDefault="00A173A8">
            <w:pPr>
              <w:spacing w:after="100"/>
              <w:rPr>
                <w:rFonts w:eastAsia="Times New Roman"/>
                <w:sz w:val="20"/>
                <w:szCs w:val="20"/>
              </w:rPr>
            </w:pPr>
          </w:p>
        </w:tc>
        <w:tc>
          <w:tcPr>
            <w:tcW w:w="0" w:type="auto"/>
            <w:gridSpan w:val="3"/>
            <w:vAlign w:val="center"/>
            <w:hideMark/>
          </w:tcPr>
          <w:p w14:paraId="47D8AED5" w14:textId="77777777" w:rsidR="00000000" w:rsidRDefault="00A173A8">
            <w:pPr>
              <w:spacing w:after="100"/>
              <w:rPr>
                <w:rFonts w:eastAsia="Times New Roman"/>
                <w:sz w:val="20"/>
                <w:szCs w:val="20"/>
              </w:rPr>
            </w:pPr>
          </w:p>
        </w:tc>
      </w:tr>
      <w:tr w:rsidR="00000000" w14:paraId="72532CE6" w14:textId="77777777">
        <w:trPr>
          <w:divId w:val="488981052"/>
        </w:trPr>
        <w:tc>
          <w:tcPr>
            <w:tcW w:w="0" w:type="auto"/>
            <w:gridSpan w:val="3"/>
            <w:vAlign w:val="center"/>
            <w:hideMark/>
          </w:tcPr>
          <w:p w14:paraId="54723667" w14:textId="77777777" w:rsidR="00000000" w:rsidRDefault="00A173A8">
            <w:pPr>
              <w:spacing w:after="100"/>
              <w:rPr>
                <w:rFonts w:eastAsia="Times New Roman"/>
                <w:sz w:val="20"/>
                <w:szCs w:val="20"/>
              </w:rPr>
            </w:pPr>
          </w:p>
        </w:tc>
        <w:tc>
          <w:tcPr>
            <w:tcW w:w="0" w:type="auto"/>
            <w:gridSpan w:val="3"/>
            <w:vAlign w:val="center"/>
            <w:hideMark/>
          </w:tcPr>
          <w:p w14:paraId="3C9DE17D" w14:textId="77777777" w:rsidR="00000000" w:rsidRDefault="00A173A8">
            <w:pPr>
              <w:spacing w:after="100"/>
              <w:rPr>
                <w:rFonts w:eastAsia="Times New Roman"/>
                <w:sz w:val="20"/>
                <w:szCs w:val="20"/>
              </w:rPr>
            </w:pPr>
          </w:p>
        </w:tc>
        <w:tc>
          <w:tcPr>
            <w:tcW w:w="0" w:type="auto"/>
            <w:gridSpan w:val="3"/>
            <w:vAlign w:val="center"/>
            <w:hideMark/>
          </w:tcPr>
          <w:p w14:paraId="0FE04A9C" w14:textId="77777777" w:rsidR="00000000" w:rsidRDefault="00A173A8">
            <w:pPr>
              <w:spacing w:after="100"/>
              <w:rPr>
                <w:rFonts w:eastAsia="Times New Roman"/>
                <w:sz w:val="20"/>
                <w:szCs w:val="20"/>
              </w:rPr>
            </w:pPr>
          </w:p>
        </w:tc>
        <w:tc>
          <w:tcPr>
            <w:tcW w:w="0" w:type="auto"/>
            <w:gridSpan w:val="3"/>
            <w:vAlign w:val="center"/>
            <w:hideMark/>
          </w:tcPr>
          <w:p w14:paraId="2A9B001D" w14:textId="77777777" w:rsidR="00000000" w:rsidRDefault="00A173A8">
            <w:pPr>
              <w:spacing w:after="100"/>
              <w:rPr>
                <w:rFonts w:eastAsia="Times New Roman"/>
                <w:sz w:val="20"/>
                <w:szCs w:val="20"/>
              </w:rPr>
            </w:pPr>
          </w:p>
        </w:tc>
        <w:tc>
          <w:tcPr>
            <w:tcW w:w="0" w:type="auto"/>
            <w:gridSpan w:val="3"/>
            <w:vAlign w:val="center"/>
            <w:hideMark/>
          </w:tcPr>
          <w:p w14:paraId="17603047" w14:textId="77777777" w:rsidR="00000000" w:rsidRDefault="00A173A8">
            <w:pPr>
              <w:spacing w:after="100"/>
              <w:rPr>
                <w:rFonts w:eastAsia="Times New Roman"/>
                <w:sz w:val="20"/>
                <w:szCs w:val="20"/>
              </w:rPr>
            </w:pPr>
          </w:p>
        </w:tc>
        <w:tc>
          <w:tcPr>
            <w:tcW w:w="0" w:type="auto"/>
            <w:gridSpan w:val="3"/>
            <w:vAlign w:val="center"/>
            <w:hideMark/>
          </w:tcPr>
          <w:p w14:paraId="6028E22B" w14:textId="77777777" w:rsidR="00000000" w:rsidRDefault="00A173A8">
            <w:pPr>
              <w:spacing w:after="100"/>
              <w:rPr>
                <w:rFonts w:eastAsia="Times New Roman"/>
                <w:sz w:val="20"/>
                <w:szCs w:val="20"/>
              </w:rPr>
            </w:pPr>
          </w:p>
        </w:tc>
        <w:tc>
          <w:tcPr>
            <w:tcW w:w="0" w:type="auto"/>
            <w:gridSpan w:val="3"/>
            <w:vAlign w:val="center"/>
            <w:hideMark/>
          </w:tcPr>
          <w:p w14:paraId="1B796550" w14:textId="77777777" w:rsidR="00000000" w:rsidRDefault="00A173A8">
            <w:pPr>
              <w:spacing w:after="100"/>
              <w:rPr>
                <w:rFonts w:eastAsia="Times New Roman"/>
                <w:sz w:val="20"/>
                <w:szCs w:val="20"/>
              </w:rPr>
            </w:pPr>
          </w:p>
        </w:tc>
        <w:tc>
          <w:tcPr>
            <w:tcW w:w="0" w:type="auto"/>
            <w:gridSpan w:val="3"/>
            <w:vAlign w:val="center"/>
            <w:hideMark/>
          </w:tcPr>
          <w:p w14:paraId="1B3071CD" w14:textId="77777777" w:rsidR="00000000" w:rsidRDefault="00A173A8">
            <w:pPr>
              <w:spacing w:after="100"/>
              <w:rPr>
                <w:rFonts w:eastAsia="Times New Roman"/>
                <w:sz w:val="20"/>
                <w:szCs w:val="20"/>
              </w:rPr>
            </w:pPr>
          </w:p>
        </w:tc>
        <w:tc>
          <w:tcPr>
            <w:tcW w:w="0" w:type="auto"/>
            <w:gridSpan w:val="3"/>
            <w:vAlign w:val="center"/>
            <w:hideMark/>
          </w:tcPr>
          <w:p w14:paraId="2C8A80BE" w14:textId="77777777" w:rsidR="00000000" w:rsidRDefault="00A173A8">
            <w:pPr>
              <w:spacing w:after="100"/>
              <w:rPr>
                <w:rFonts w:eastAsia="Times New Roman"/>
                <w:sz w:val="20"/>
                <w:szCs w:val="20"/>
              </w:rPr>
            </w:pPr>
          </w:p>
        </w:tc>
        <w:tc>
          <w:tcPr>
            <w:tcW w:w="0" w:type="auto"/>
            <w:gridSpan w:val="3"/>
            <w:vAlign w:val="center"/>
            <w:hideMark/>
          </w:tcPr>
          <w:p w14:paraId="5879C680" w14:textId="77777777" w:rsidR="00000000" w:rsidRDefault="00A173A8">
            <w:pPr>
              <w:spacing w:after="100"/>
              <w:rPr>
                <w:rFonts w:eastAsia="Times New Roman"/>
                <w:sz w:val="20"/>
                <w:szCs w:val="20"/>
              </w:rPr>
            </w:pPr>
          </w:p>
        </w:tc>
        <w:tc>
          <w:tcPr>
            <w:tcW w:w="0" w:type="auto"/>
            <w:gridSpan w:val="3"/>
            <w:vAlign w:val="center"/>
            <w:hideMark/>
          </w:tcPr>
          <w:p w14:paraId="52C0EF4C" w14:textId="77777777" w:rsidR="00000000" w:rsidRDefault="00A173A8">
            <w:pPr>
              <w:spacing w:after="100"/>
              <w:rPr>
                <w:rFonts w:eastAsia="Times New Roman"/>
                <w:sz w:val="20"/>
                <w:szCs w:val="20"/>
              </w:rPr>
            </w:pPr>
          </w:p>
        </w:tc>
        <w:tc>
          <w:tcPr>
            <w:tcW w:w="0" w:type="auto"/>
            <w:gridSpan w:val="3"/>
            <w:vAlign w:val="center"/>
            <w:hideMark/>
          </w:tcPr>
          <w:p w14:paraId="4EA9056F" w14:textId="77777777" w:rsidR="00000000" w:rsidRDefault="00A173A8">
            <w:pPr>
              <w:spacing w:after="100"/>
              <w:rPr>
                <w:rFonts w:eastAsia="Times New Roman"/>
                <w:sz w:val="20"/>
                <w:szCs w:val="20"/>
              </w:rPr>
            </w:pPr>
          </w:p>
        </w:tc>
        <w:tc>
          <w:tcPr>
            <w:tcW w:w="0" w:type="auto"/>
            <w:gridSpan w:val="3"/>
            <w:vAlign w:val="center"/>
            <w:hideMark/>
          </w:tcPr>
          <w:p w14:paraId="45425076" w14:textId="77777777" w:rsidR="00000000" w:rsidRDefault="00A173A8">
            <w:pPr>
              <w:spacing w:after="100"/>
              <w:rPr>
                <w:rFonts w:eastAsia="Times New Roman"/>
                <w:sz w:val="20"/>
                <w:szCs w:val="20"/>
              </w:rPr>
            </w:pPr>
          </w:p>
        </w:tc>
        <w:tc>
          <w:tcPr>
            <w:tcW w:w="0" w:type="auto"/>
            <w:gridSpan w:val="3"/>
            <w:vAlign w:val="center"/>
            <w:hideMark/>
          </w:tcPr>
          <w:p w14:paraId="1C15903E" w14:textId="77777777" w:rsidR="00000000" w:rsidRDefault="00A173A8">
            <w:pPr>
              <w:spacing w:after="100"/>
              <w:rPr>
                <w:rFonts w:eastAsia="Times New Roman"/>
                <w:sz w:val="20"/>
                <w:szCs w:val="20"/>
              </w:rPr>
            </w:pPr>
          </w:p>
        </w:tc>
        <w:tc>
          <w:tcPr>
            <w:tcW w:w="0" w:type="auto"/>
            <w:gridSpan w:val="3"/>
            <w:vAlign w:val="center"/>
            <w:hideMark/>
          </w:tcPr>
          <w:p w14:paraId="024B580B" w14:textId="77777777" w:rsidR="00000000" w:rsidRDefault="00A173A8">
            <w:pPr>
              <w:spacing w:after="100"/>
              <w:rPr>
                <w:rFonts w:eastAsia="Times New Roman"/>
                <w:sz w:val="20"/>
                <w:szCs w:val="20"/>
              </w:rPr>
            </w:pPr>
          </w:p>
        </w:tc>
        <w:tc>
          <w:tcPr>
            <w:tcW w:w="0" w:type="auto"/>
            <w:gridSpan w:val="3"/>
            <w:vAlign w:val="center"/>
            <w:hideMark/>
          </w:tcPr>
          <w:p w14:paraId="1F7D5658" w14:textId="77777777" w:rsidR="00000000" w:rsidRDefault="00A173A8">
            <w:pPr>
              <w:spacing w:after="100"/>
              <w:rPr>
                <w:rFonts w:eastAsia="Times New Roman"/>
                <w:sz w:val="20"/>
                <w:szCs w:val="20"/>
              </w:rPr>
            </w:pPr>
          </w:p>
        </w:tc>
        <w:tc>
          <w:tcPr>
            <w:tcW w:w="0" w:type="auto"/>
            <w:gridSpan w:val="3"/>
            <w:vAlign w:val="center"/>
            <w:hideMark/>
          </w:tcPr>
          <w:p w14:paraId="2666383A" w14:textId="77777777" w:rsidR="00000000" w:rsidRDefault="00A173A8">
            <w:pPr>
              <w:spacing w:after="100"/>
              <w:rPr>
                <w:rFonts w:eastAsia="Times New Roman"/>
                <w:sz w:val="20"/>
                <w:szCs w:val="20"/>
              </w:rPr>
            </w:pPr>
          </w:p>
        </w:tc>
        <w:tc>
          <w:tcPr>
            <w:tcW w:w="0" w:type="auto"/>
            <w:gridSpan w:val="3"/>
            <w:vAlign w:val="center"/>
            <w:hideMark/>
          </w:tcPr>
          <w:p w14:paraId="3A87D3C6" w14:textId="77777777" w:rsidR="00000000" w:rsidRDefault="00A173A8">
            <w:pPr>
              <w:spacing w:after="100"/>
              <w:rPr>
                <w:rFonts w:eastAsia="Times New Roman"/>
                <w:sz w:val="20"/>
                <w:szCs w:val="20"/>
              </w:rPr>
            </w:pPr>
          </w:p>
        </w:tc>
        <w:tc>
          <w:tcPr>
            <w:tcW w:w="0" w:type="auto"/>
            <w:gridSpan w:val="3"/>
            <w:vAlign w:val="center"/>
            <w:hideMark/>
          </w:tcPr>
          <w:p w14:paraId="07D43072" w14:textId="77777777" w:rsidR="00000000" w:rsidRDefault="00A173A8">
            <w:pPr>
              <w:spacing w:after="100"/>
              <w:rPr>
                <w:rFonts w:eastAsia="Times New Roman"/>
                <w:sz w:val="20"/>
                <w:szCs w:val="20"/>
              </w:rPr>
            </w:pPr>
          </w:p>
        </w:tc>
      </w:tr>
      <w:tr w:rsidR="00000000" w14:paraId="46AEC2EC" w14:textId="77777777">
        <w:trPr>
          <w:divId w:val="488981052"/>
        </w:trPr>
        <w:tc>
          <w:tcPr>
            <w:tcW w:w="0" w:type="auto"/>
            <w:gridSpan w:val="3"/>
            <w:vAlign w:val="center"/>
            <w:hideMark/>
          </w:tcPr>
          <w:p w14:paraId="7BEE6930" w14:textId="77777777" w:rsidR="00000000" w:rsidRDefault="00A173A8">
            <w:pPr>
              <w:spacing w:after="100"/>
              <w:rPr>
                <w:rFonts w:eastAsia="Times New Roman"/>
                <w:sz w:val="20"/>
                <w:szCs w:val="20"/>
              </w:rPr>
            </w:pPr>
          </w:p>
        </w:tc>
        <w:tc>
          <w:tcPr>
            <w:tcW w:w="0" w:type="auto"/>
            <w:gridSpan w:val="3"/>
            <w:vAlign w:val="center"/>
            <w:hideMark/>
          </w:tcPr>
          <w:p w14:paraId="04465D8A" w14:textId="77777777" w:rsidR="00000000" w:rsidRDefault="00A173A8">
            <w:pPr>
              <w:spacing w:after="100"/>
              <w:rPr>
                <w:rFonts w:eastAsia="Times New Roman"/>
                <w:sz w:val="20"/>
                <w:szCs w:val="20"/>
              </w:rPr>
            </w:pPr>
          </w:p>
        </w:tc>
        <w:tc>
          <w:tcPr>
            <w:tcW w:w="0" w:type="auto"/>
            <w:gridSpan w:val="3"/>
            <w:vAlign w:val="center"/>
            <w:hideMark/>
          </w:tcPr>
          <w:p w14:paraId="1A7F176E" w14:textId="77777777" w:rsidR="00000000" w:rsidRDefault="00A173A8">
            <w:pPr>
              <w:spacing w:after="100"/>
              <w:rPr>
                <w:rFonts w:eastAsia="Times New Roman"/>
                <w:sz w:val="20"/>
                <w:szCs w:val="20"/>
              </w:rPr>
            </w:pPr>
          </w:p>
        </w:tc>
        <w:tc>
          <w:tcPr>
            <w:tcW w:w="0" w:type="auto"/>
            <w:gridSpan w:val="3"/>
            <w:vAlign w:val="center"/>
            <w:hideMark/>
          </w:tcPr>
          <w:p w14:paraId="18B29574" w14:textId="77777777" w:rsidR="00000000" w:rsidRDefault="00A173A8">
            <w:pPr>
              <w:spacing w:after="100"/>
              <w:rPr>
                <w:rFonts w:eastAsia="Times New Roman"/>
                <w:sz w:val="20"/>
                <w:szCs w:val="20"/>
              </w:rPr>
            </w:pPr>
          </w:p>
        </w:tc>
        <w:tc>
          <w:tcPr>
            <w:tcW w:w="0" w:type="auto"/>
            <w:gridSpan w:val="3"/>
            <w:vAlign w:val="center"/>
            <w:hideMark/>
          </w:tcPr>
          <w:p w14:paraId="161C495A" w14:textId="77777777" w:rsidR="00000000" w:rsidRDefault="00A173A8">
            <w:pPr>
              <w:spacing w:after="100"/>
              <w:rPr>
                <w:rFonts w:eastAsia="Times New Roman"/>
                <w:sz w:val="20"/>
                <w:szCs w:val="20"/>
              </w:rPr>
            </w:pPr>
          </w:p>
        </w:tc>
        <w:tc>
          <w:tcPr>
            <w:tcW w:w="0" w:type="auto"/>
            <w:gridSpan w:val="3"/>
            <w:vAlign w:val="center"/>
            <w:hideMark/>
          </w:tcPr>
          <w:p w14:paraId="5636BCBD" w14:textId="77777777" w:rsidR="00000000" w:rsidRDefault="00A173A8">
            <w:pPr>
              <w:spacing w:after="100"/>
              <w:rPr>
                <w:rFonts w:eastAsia="Times New Roman"/>
                <w:sz w:val="20"/>
                <w:szCs w:val="20"/>
              </w:rPr>
            </w:pPr>
          </w:p>
        </w:tc>
        <w:tc>
          <w:tcPr>
            <w:tcW w:w="0" w:type="auto"/>
            <w:gridSpan w:val="3"/>
            <w:vAlign w:val="center"/>
            <w:hideMark/>
          </w:tcPr>
          <w:p w14:paraId="0CF37D99" w14:textId="77777777" w:rsidR="00000000" w:rsidRDefault="00A173A8">
            <w:pPr>
              <w:spacing w:after="100"/>
              <w:rPr>
                <w:rFonts w:eastAsia="Times New Roman"/>
                <w:sz w:val="20"/>
                <w:szCs w:val="20"/>
              </w:rPr>
            </w:pPr>
          </w:p>
        </w:tc>
        <w:tc>
          <w:tcPr>
            <w:tcW w:w="0" w:type="auto"/>
            <w:gridSpan w:val="3"/>
            <w:vAlign w:val="center"/>
            <w:hideMark/>
          </w:tcPr>
          <w:p w14:paraId="74260F60" w14:textId="77777777" w:rsidR="00000000" w:rsidRDefault="00A173A8">
            <w:pPr>
              <w:spacing w:after="100"/>
              <w:rPr>
                <w:rFonts w:eastAsia="Times New Roman"/>
                <w:sz w:val="20"/>
                <w:szCs w:val="20"/>
              </w:rPr>
            </w:pPr>
          </w:p>
        </w:tc>
        <w:tc>
          <w:tcPr>
            <w:tcW w:w="0" w:type="auto"/>
            <w:gridSpan w:val="3"/>
            <w:vAlign w:val="center"/>
            <w:hideMark/>
          </w:tcPr>
          <w:p w14:paraId="7328C9F0" w14:textId="77777777" w:rsidR="00000000" w:rsidRDefault="00A173A8">
            <w:pPr>
              <w:spacing w:after="100"/>
              <w:rPr>
                <w:rFonts w:eastAsia="Times New Roman"/>
                <w:sz w:val="20"/>
                <w:szCs w:val="20"/>
              </w:rPr>
            </w:pPr>
          </w:p>
        </w:tc>
        <w:tc>
          <w:tcPr>
            <w:tcW w:w="0" w:type="auto"/>
            <w:gridSpan w:val="3"/>
            <w:vAlign w:val="center"/>
            <w:hideMark/>
          </w:tcPr>
          <w:p w14:paraId="7ED7E3F6" w14:textId="77777777" w:rsidR="00000000" w:rsidRDefault="00A173A8">
            <w:pPr>
              <w:spacing w:after="100"/>
              <w:rPr>
                <w:rFonts w:eastAsia="Times New Roman"/>
                <w:sz w:val="20"/>
                <w:szCs w:val="20"/>
              </w:rPr>
            </w:pPr>
          </w:p>
        </w:tc>
        <w:tc>
          <w:tcPr>
            <w:tcW w:w="0" w:type="auto"/>
            <w:gridSpan w:val="3"/>
            <w:vAlign w:val="center"/>
            <w:hideMark/>
          </w:tcPr>
          <w:p w14:paraId="3B51443C" w14:textId="77777777" w:rsidR="00000000" w:rsidRDefault="00A173A8">
            <w:pPr>
              <w:spacing w:after="100"/>
              <w:rPr>
                <w:rFonts w:eastAsia="Times New Roman"/>
                <w:sz w:val="20"/>
                <w:szCs w:val="20"/>
              </w:rPr>
            </w:pPr>
          </w:p>
        </w:tc>
        <w:tc>
          <w:tcPr>
            <w:tcW w:w="0" w:type="auto"/>
            <w:gridSpan w:val="3"/>
            <w:vAlign w:val="center"/>
            <w:hideMark/>
          </w:tcPr>
          <w:p w14:paraId="37B392FB" w14:textId="77777777" w:rsidR="00000000" w:rsidRDefault="00A173A8">
            <w:pPr>
              <w:spacing w:after="100"/>
              <w:rPr>
                <w:rFonts w:eastAsia="Times New Roman"/>
                <w:sz w:val="20"/>
                <w:szCs w:val="20"/>
              </w:rPr>
            </w:pPr>
          </w:p>
        </w:tc>
        <w:tc>
          <w:tcPr>
            <w:tcW w:w="0" w:type="auto"/>
            <w:gridSpan w:val="3"/>
            <w:vAlign w:val="center"/>
            <w:hideMark/>
          </w:tcPr>
          <w:p w14:paraId="7F1A7136" w14:textId="77777777" w:rsidR="00000000" w:rsidRDefault="00A173A8">
            <w:pPr>
              <w:spacing w:after="100"/>
              <w:rPr>
                <w:rFonts w:eastAsia="Times New Roman"/>
                <w:sz w:val="20"/>
                <w:szCs w:val="20"/>
              </w:rPr>
            </w:pPr>
          </w:p>
        </w:tc>
        <w:tc>
          <w:tcPr>
            <w:tcW w:w="0" w:type="auto"/>
            <w:gridSpan w:val="3"/>
            <w:vAlign w:val="center"/>
            <w:hideMark/>
          </w:tcPr>
          <w:p w14:paraId="34761024" w14:textId="77777777" w:rsidR="00000000" w:rsidRDefault="00A173A8">
            <w:pPr>
              <w:spacing w:after="100"/>
              <w:rPr>
                <w:rFonts w:eastAsia="Times New Roman"/>
                <w:sz w:val="20"/>
                <w:szCs w:val="20"/>
              </w:rPr>
            </w:pPr>
          </w:p>
        </w:tc>
        <w:tc>
          <w:tcPr>
            <w:tcW w:w="0" w:type="auto"/>
            <w:gridSpan w:val="3"/>
            <w:vAlign w:val="center"/>
            <w:hideMark/>
          </w:tcPr>
          <w:p w14:paraId="305601BB" w14:textId="77777777" w:rsidR="00000000" w:rsidRDefault="00A173A8">
            <w:pPr>
              <w:spacing w:after="100"/>
              <w:rPr>
                <w:rFonts w:eastAsia="Times New Roman"/>
                <w:sz w:val="20"/>
                <w:szCs w:val="20"/>
              </w:rPr>
            </w:pPr>
          </w:p>
        </w:tc>
        <w:tc>
          <w:tcPr>
            <w:tcW w:w="0" w:type="auto"/>
            <w:gridSpan w:val="3"/>
            <w:vAlign w:val="center"/>
            <w:hideMark/>
          </w:tcPr>
          <w:p w14:paraId="6E8D35CD" w14:textId="77777777" w:rsidR="00000000" w:rsidRDefault="00A173A8">
            <w:pPr>
              <w:spacing w:after="100"/>
              <w:rPr>
                <w:rFonts w:eastAsia="Times New Roman"/>
                <w:sz w:val="20"/>
                <w:szCs w:val="20"/>
              </w:rPr>
            </w:pPr>
          </w:p>
        </w:tc>
        <w:tc>
          <w:tcPr>
            <w:tcW w:w="0" w:type="auto"/>
            <w:gridSpan w:val="3"/>
            <w:vAlign w:val="center"/>
            <w:hideMark/>
          </w:tcPr>
          <w:p w14:paraId="3A55F5A1" w14:textId="77777777" w:rsidR="00000000" w:rsidRDefault="00A173A8">
            <w:pPr>
              <w:spacing w:after="100"/>
              <w:rPr>
                <w:rFonts w:eastAsia="Times New Roman"/>
                <w:sz w:val="20"/>
                <w:szCs w:val="20"/>
              </w:rPr>
            </w:pPr>
          </w:p>
        </w:tc>
        <w:tc>
          <w:tcPr>
            <w:tcW w:w="0" w:type="auto"/>
            <w:gridSpan w:val="3"/>
            <w:vAlign w:val="center"/>
            <w:hideMark/>
          </w:tcPr>
          <w:p w14:paraId="0EBCFA95" w14:textId="77777777" w:rsidR="00000000" w:rsidRDefault="00A173A8">
            <w:pPr>
              <w:spacing w:after="100"/>
              <w:rPr>
                <w:rFonts w:eastAsia="Times New Roman"/>
                <w:sz w:val="20"/>
                <w:szCs w:val="20"/>
              </w:rPr>
            </w:pPr>
          </w:p>
        </w:tc>
        <w:tc>
          <w:tcPr>
            <w:tcW w:w="0" w:type="auto"/>
            <w:gridSpan w:val="3"/>
            <w:vAlign w:val="center"/>
            <w:hideMark/>
          </w:tcPr>
          <w:p w14:paraId="02E5D87C" w14:textId="77777777" w:rsidR="00000000" w:rsidRDefault="00A173A8">
            <w:pPr>
              <w:spacing w:after="100"/>
              <w:rPr>
                <w:rFonts w:eastAsia="Times New Roman"/>
                <w:sz w:val="20"/>
                <w:szCs w:val="20"/>
              </w:rPr>
            </w:pPr>
          </w:p>
        </w:tc>
      </w:tr>
      <w:tr w:rsidR="00000000" w14:paraId="7A4DAB46" w14:textId="77777777">
        <w:trPr>
          <w:divId w:val="488981052"/>
        </w:trPr>
        <w:tc>
          <w:tcPr>
            <w:tcW w:w="0" w:type="auto"/>
            <w:gridSpan w:val="3"/>
            <w:vAlign w:val="center"/>
            <w:hideMark/>
          </w:tcPr>
          <w:p w14:paraId="3978A237" w14:textId="77777777" w:rsidR="00000000" w:rsidRDefault="00A173A8">
            <w:pPr>
              <w:spacing w:after="100"/>
              <w:rPr>
                <w:rFonts w:eastAsia="Times New Roman"/>
                <w:sz w:val="20"/>
                <w:szCs w:val="20"/>
              </w:rPr>
            </w:pPr>
          </w:p>
        </w:tc>
        <w:tc>
          <w:tcPr>
            <w:tcW w:w="0" w:type="auto"/>
            <w:gridSpan w:val="3"/>
            <w:vAlign w:val="center"/>
            <w:hideMark/>
          </w:tcPr>
          <w:p w14:paraId="63F3F796" w14:textId="77777777" w:rsidR="00000000" w:rsidRDefault="00A173A8">
            <w:pPr>
              <w:spacing w:after="100"/>
              <w:rPr>
                <w:rFonts w:eastAsia="Times New Roman"/>
                <w:sz w:val="20"/>
                <w:szCs w:val="20"/>
              </w:rPr>
            </w:pPr>
          </w:p>
        </w:tc>
        <w:tc>
          <w:tcPr>
            <w:tcW w:w="0" w:type="auto"/>
            <w:gridSpan w:val="3"/>
            <w:vAlign w:val="center"/>
            <w:hideMark/>
          </w:tcPr>
          <w:p w14:paraId="216E2D01" w14:textId="77777777" w:rsidR="00000000" w:rsidRDefault="00A173A8">
            <w:pPr>
              <w:spacing w:after="100"/>
              <w:rPr>
                <w:rFonts w:eastAsia="Times New Roman"/>
                <w:sz w:val="20"/>
                <w:szCs w:val="20"/>
              </w:rPr>
            </w:pPr>
          </w:p>
        </w:tc>
        <w:tc>
          <w:tcPr>
            <w:tcW w:w="0" w:type="auto"/>
            <w:gridSpan w:val="3"/>
            <w:vAlign w:val="center"/>
            <w:hideMark/>
          </w:tcPr>
          <w:p w14:paraId="1AC14E57" w14:textId="77777777" w:rsidR="00000000" w:rsidRDefault="00A173A8">
            <w:pPr>
              <w:spacing w:after="100"/>
              <w:rPr>
                <w:rFonts w:eastAsia="Times New Roman"/>
                <w:sz w:val="20"/>
                <w:szCs w:val="20"/>
              </w:rPr>
            </w:pPr>
          </w:p>
        </w:tc>
        <w:tc>
          <w:tcPr>
            <w:tcW w:w="0" w:type="auto"/>
            <w:gridSpan w:val="3"/>
            <w:vAlign w:val="center"/>
            <w:hideMark/>
          </w:tcPr>
          <w:p w14:paraId="04E72452" w14:textId="77777777" w:rsidR="00000000" w:rsidRDefault="00A173A8">
            <w:pPr>
              <w:spacing w:after="100"/>
              <w:rPr>
                <w:rFonts w:eastAsia="Times New Roman"/>
                <w:sz w:val="20"/>
                <w:szCs w:val="20"/>
              </w:rPr>
            </w:pPr>
          </w:p>
        </w:tc>
        <w:tc>
          <w:tcPr>
            <w:tcW w:w="0" w:type="auto"/>
            <w:gridSpan w:val="3"/>
            <w:vAlign w:val="center"/>
            <w:hideMark/>
          </w:tcPr>
          <w:p w14:paraId="3269008F" w14:textId="77777777" w:rsidR="00000000" w:rsidRDefault="00A173A8">
            <w:pPr>
              <w:spacing w:after="100"/>
              <w:rPr>
                <w:rFonts w:eastAsia="Times New Roman"/>
                <w:sz w:val="20"/>
                <w:szCs w:val="20"/>
              </w:rPr>
            </w:pPr>
          </w:p>
        </w:tc>
        <w:tc>
          <w:tcPr>
            <w:tcW w:w="0" w:type="auto"/>
            <w:gridSpan w:val="3"/>
            <w:vAlign w:val="center"/>
            <w:hideMark/>
          </w:tcPr>
          <w:p w14:paraId="01472C38" w14:textId="77777777" w:rsidR="00000000" w:rsidRDefault="00A173A8">
            <w:pPr>
              <w:spacing w:after="100"/>
              <w:rPr>
                <w:rFonts w:eastAsia="Times New Roman"/>
                <w:sz w:val="20"/>
                <w:szCs w:val="20"/>
              </w:rPr>
            </w:pPr>
          </w:p>
        </w:tc>
        <w:tc>
          <w:tcPr>
            <w:tcW w:w="0" w:type="auto"/>
            <w:gridSpan w:val="3"/>
            <w:vAlign w:val="center"/>
            <w:hideMark/>
          </w:tcPr>
          <w:p w14:paraId="227811A6" w14:textId="77777777" w:rsidR="00000000" w:rsidRDefault="00A173A8">
            <w:pPr>
              <w:spacing w:after="100"/>
              <w:rPr>
                <w:rFonts w:eastAsia="Times New Roman"/>
                <w:sz w:val="20"/>
                <w:szCs w:val="20"/>
              </w:rPr>
            </w:pPr>
          </w:p>
        </w:tc>
        <w:tc>
          <w:tcPr>
            <w:tcW w:w="0" w:type="auto"/>
            <w:gridSpan w:val="3"/>
            <w:vAlign w:val="center"/>
            <w:hideMark/>
          </w:tcPr>
          <w:p w14:paraId="7349D4B6" w14:textId="77777777" w:rsidR="00000000" w:rsidRDefault="00A173A8">
            <w:pPr>
              <w:spacing w:after="100"/>
              <w:rPr>
                <w:rFonts w:eastAsia="Times New Roman"/>
                <w:sz w:val="20"/>
                <w:szCs w:val="20"/>
              </w:rPr>
            </w:pPr>
          </w:p>
        </w:tc>
        <w:tc>
          <w:tcPr>
            <w:tcW w:w="0" w:type="auto"/>
            <w:gridSpan w:val="3"/>
            <w:vAlign w:val="center"/>
            <w:hideMark/>
          </w:tcPr>
          <w:p w14:paraId="7272336D" w14:textId="77777777" w:rsidR="00000000" w:rsidRDefault="00A173A8">
            <w:pPr>
              <w:spacing w:after="100"/>
              <w:rPr>
                <w:rFonts w:eastAsia="Times New Roman"/>
                <w:sz w:val="20"/>
                <w:szCs w:val="20"/>
              </w:rPr>
            </w:pPr>
          </w:p>
        </w:tc>
        <w:tc>
          <w:tcPr>
            <w:tcW w:w="0" w:type="auto"/>
            <w:gridSpan w:val="3"/>
            <w:vAlign w:val="center"/>
            <w:hideMark/>
          </w:tcPr>
          <w:p w14:paraId="222BD502" w14:textId="77777777" w:rsidR="00000000" w:rsidRDefault="00A173A8">
            <w:pPr>
              <w:spacing w:after="100"/>
              <w:rPr>
                <w:rFonts w:eastAsia="Times New Roman"/>
                <w:sz w:val="20"/>
                <w:szCs w:val="20"/>
              </w:rPr>
            </w:pPr>
          </w:p>
        </w:tc>
        <w:tc>
          <w:tcPr>
            <w:tcW w:w="0" w:type="auto"/>
            <w:gridSpan w:val="3"/>
            <w:vAlign w:val="center"/>
            <w:hideMark/>
          </w:tcPr>
          <w:p w14:paraId="069783AC" w14:textId="77777777" w:rsidR="00000000" w:rsidRDefault="00A173A8">
            <w:pPr>
              <w:spacing w:after="100"/>
              <w:rPr>
                <w:rFonts w:eastAsia="Times New Roman"/>
                <w:sz w:val="20"/>
                <w:szCs w:val="20"/>
              </w:rPr>
            </w:pPr>
          </w:p>
        </w:tc>
        <w:tc>
          <w:tcPr>
            <w:tcW w:w="0" w:type="auto"/>
            <w:gridSpan w:val="3"/>
            <w:vAlign w:val="center"/>
            <w:hideMark/>
          </w:tcPr>
          <w:p w14:paraId="7DA31E12" w14:textId="77777777" w:rsidR="00000000" w:rsidRDefault="00A173A8">
            <w:pPr>
              <w:spacing w:after="100"/>
              <w:rPr>
                <w:rFonts w:eastAsia="Times New Roman"/>
                <w:sz w:val="20"/>
                <w:szCs w:val="20"/>
              </w:rPr>
            </w:pPr>
          </w:p>
        </w:tc>
        <w:tc>
          <w:tcPr>
            <w:tcW w:w="0" w:type="auto"/>
            <w:gridSpan w:val="3"/>
            <w:vAlign w:val="center"/>
            <w:hideMark/>
          </w:tcPr>
          <w:p w14:paraId="75C58867" w14:textId="77777777" w:rsidR="00000000" w:rsidRDefault="00A173A8">
            <w:pPr>
              <w:spacing w:after="100"/>
              <w:rPr>
                <w:rFonts w:eastAsia="Times New Roman"/>
                <w:sz w:val="20"/>
                <w:szCs w:val="20"/>
              </w:rPr>
            </w:pPr>
          </w:p>
        </w:tc>
        <w:tc>
          <w:tcPr>
            <w:tcW w:w="0" w:type="auto"/>
            <w:gridSpan w:val="3"/>
            <w:vAlign w:val="center"/>
            <w:hideMark/>
          </w:tcPr>
          <w:p w14:paraId="360EDEF7" w14:textId="77777777" w:rsidR="00000000" w:rsidRDefault="00A173A8">
            <w:pPr>
              <w:spacing w:after="100"/>
              <w:rPr>
                <w:rFonts w:eastAsia="Times New Roman"/>
                <w:sz w:val="20"/>
                <w:szCs w:val="20"/>
              </w:rPr>
            </w:pPr>
          </w:p>
        </w:tc>
        <w:tc>
          <w:tcPr>
            <w:tcW w:w="0" w:type="auto"/>
            <w:gridSpan w:val="3"/>
            <w:vAlign w:val="center"/>
            <w:hideMark/>
          </w:tcPr>
          <w:p w14:paraId="738C73D5" w14:textId="77777777" w:rsidR="00000000" w:rsidRDefault="00A173A8">
            <w:pPr>
              <w:spacing w:after="100"/>
              <w:rPr>
                <w:rFonts w:eastAsia="Times New Roman"/>
                <w:sz w:val="20"/>
                <w:szCs w:val="20"/>
              </w:rPr>
            </w:pPr>
          </w:p>
        </w:tc>
        <w:tc>
          <w:tcPr>
            <w:tcW w:w="0" w:type="auto"/>
            <w:gridSpan w:val="3"/>
            <w:vAlign w:val="center"/>
            <w:hideMark/>
          </w:tcPr>
          <w:p w14:paraId="6E44A4DE" w14:textId="77777777" w:rsidR="00000000" w:rsidRDefault="00A173A8">
            <w:pPr>
              <w:spacing w:after="100"/>
              <w:rPr>
                <w:rFonts w:eastAsia="Times New Roman"/>
                <w:sz w:val="20"/>
                <w:szCs w:val="20"/>
              </w:rPr>
            </w:pPr>
          </w:p>
        </w:tc>
        <w:tc>
          <w:tcPr>
            <w:tcW w:w="0" w:type="auto"/>
            <w:gridSpan w:val="3"/>
            <w:vAlign w:val="center"/>
            <w:hideMark/>
          </w:tcPr>
          <w:p w14:paraId="5A75C777" w14:textId="77777777" w:rsidR="00000000" w:rsidRDefault="00A173A8">
            <w:pPr>
              <w:spacing w:after="100"/>
              <w:rPr>
                <w:rFonts w:eastAsia="Times New Roman"/>
                <w:sz w:val="20"/>
                <w:szCs w:val="20"/>
              </w:rPr>
            </w:pPr>
          </w:p>
        </w:tc>
        <w:tc>
          <w:tcPr>
            <w:tcW w:w="0" w:type="auto"/>
            <w:gridSpan w:val="3"/>
            <w:vAlign w:val="center"/>
            <w:hideMark/>
          </w:tcPr>
          <w:p w14:paraId="737212F1" w14:textId="77777777" w:rsidR="00000000" w:rsidRDefault="00A173A8">
            <w:pPr>
              <w:spacing w:after="100"/>
              <w:rPr>
                <w:rFonts w:eastAsia="Times New Roman"/>
                <w:sz w:val="20"/>
                <w:szCs w:val="20"/>
              </w:rPr>
            </w:pPr>
          </w:p>
        </w:tc>
      </w:tr>
      <w:tr w:rsidR="00000000" w14:paraId="376126B1" w14:textId="77777777">
        <w:trPr>
          <w:divId w:val="488981052"/>
        </w:trPr>
        <w:tc>
          <w:tcPr>
            <w:tcW w:w="0" w:type="auto"/>
            <w:gridSpan w:val="3"/>
            <w:vAlign w:val="center"/>
            <w:hideMark/>
          </w:tcPr>
          <w:p w14:paraId="10B082DC" w14:textId="77777777" w:rsidR="00000000" w:rsidRDefault="00A173A8">
            <w:pPr>
              <w:spacing w:after="100"/>
              <w:rPr>
                <w:rFonts w:eastAsia="Times New Roman"/>
                <w:sz w:val="20"/>
                <w:szCs w:val="20"/>
              </w:rPr>
            </w:pPr>
          </w:p>
        </w:tc>
        <w:tc>
          <w:tcPr>
            <w:tcW w:w="0" w:type="auto"/>
            <w:gridSpan w:val="3"/>
            <w:vAlign w:val="center"/>
            <w:hideMark/>
          </w:tcPr>
          <w:p w14:paraId="5E98F116" w14:textId="77777777" w:rsidR="00000000" w:rsidRDefault="00A173A8">
            <w:pPr>
              <w:spacing w:after="100"/>
              <w:rPr>
                <w:rFonts w:eastAsia="Times New Roman"/>
                <w:sz w:val="20"/>
                <w:szCs w:val="20"/>
              </w:rPr>
            </w:pPr>
          </w:p>
        </w:tc>
        <w:tc>
          <w:tcPr>
            <w:tcW w:w="0" w:type="auto"/>
            <w:gridSpan w:val="3"/>
            <w:vAlign w:val="center"/>
            <w:hideMark/>
          </w:tcPr>
          <w:p w14:paraId="2C65B78E" w14:textId="77777777" w:rsidR="00000000" w:rsidRDefault="00A173A8">
            <w:pPr>
              <w:spacing w:after="100"/>
              <w:rPr>
                <w:rFonts w:eastAsia="Times New Roman"/>
                <w:sz w:val="20"/>
                <w:szCs w:val="20"/>
              </w:rPr>
            </w:pPr>
          </w:p>
        </w:tc>
        <w:tc>
          <w:tcPr>
            <w:tcW w:w="0" w:type="auto"/>
            <w:gridSpan w:val="3"/>
            <w:vAlign w:val="center"/>
            <w:hideMark/>
          </w:tcPr>
          <w:p w14:paraId="553F7EE7" w14:textId="77777777" w:rsidR="00000000" w:rsidRDefault="00A173A8">
            <w:pPr>
              <w:spacing w:after="100"/>
              <w:rPr>
                <w:rFonts w:eastAsia="Times New Roman"/>
                <w:sz w:val="20"/>
                <w:szCs w:val="20"/>
              </w:rPr>
            </w:pPr>
          </w:p>
        </w:tc>
        <w:tc>
          <w:tcPr>
            <w:tcW w:w="0" w:type="auto"/>
            <w:gridSpan w:val="3"/>
            <w:vAlign w:val="center"/>
            <w:hideMark/>
          </w:tcPr>
          <w:p w14:paraId="7FF44638" w14:textId="77777777" w:rsidR="00000000" w:rsidRDefault="00A173A8">
            <w:pPr>
              <w:spacing w:after="100"/>
              <w:rPr>
                <w:rFonts w:eastAsia="Times New Roman"/>
                <w:sz w:val="20"/>
                <w:szCs w:val="20"/>
              </w:rPr>
            </w:pPr>
          </w:p>
        </w:tc>
        <w:tc>
          <w:tcPr>
            <w:tcW w:w="0" w:type="auto"/>
            <w:gridSpan w:val="3"/>
            <w:vAlign w:val="center"/>
            <w:hideMark/>
          </w:tcPr>
          <w:p w14:paraId="5936DE89" w14:textId="77777777" w:rsidR="00000000" w:rsidRDefault="00A173A8">
            <w:pPr>
              <w:spacing w:after="100"/>
              <w:rPr>
                <w:rFonts w:eastAsia="Times New Roman"/>
                <w:sz w:val="20"/>
                <w:szCs w:val="20"/>
              </w:rPr>
            </w:pPr>
          </w:p>
        </w:tc>
        <w:tc>
          <w:tcPr>
            <w:tcW w:w="0" w:type="auto"/>
            <w:gridSpan w:val="3"/>
            <w:vAlign w:val="center"/>
            <w:hideMark/>
          </w:tcPr>
          <w:p w14:paraId="290401EA" w14:textId="77777777" w:rsidR="00000000" w:rsidRDefault="00A173A8">
            <w:pPr>
              <w:spacing w:after="100"/>
              <w:rPr>
                <w:rFonts w:eastAsia="Times New Roman"/>
                <w:sz w:val="20"/>
                <w:szCs w:val="20"/>
              </w:rPr>
            </w:pPr>
          </w:p>
        </w:tc>
        <w:tc>
          <w:tcPr>
            <w:tcW w:w="0" w:type="auto"/>
            <w:gridSpan w:val="3"/>
            <w:vAlign w:val="center"/>
            <w:hideMark/>
          </w:tcPr>
          <w:p w14:paraId="19CA472D" w14:textId="77777777" w:rsidR="00000000" w:rsidRDefault="00A173A8">
            <w:pPr>
              <w:spacing w:after="100"/>
              <w:rPr>
                <w:rFonts w:eastAsia="Times New Roman"/>
                <w:sz w:val="20"/>
                <w:szCs w:val="20"/>
              </w:rPr>
            </w:pPr>
          </w:p>
        </w:tc>
        <w:tc>
          <w:tcPr>
            <w:tcW w:w="0" w:type="auto"/>
            <w:gridSpan w:val="3"/>
            <w:vAlign w:val="center"/>
            <w:hideMark/>
          </w:tcPr>
          <w:p w14:paraId="001942AC" w14:textId="77777777" w:rsidR="00000000" w:rsidRDefault="00A173A8">
            <w:pPr>
              <w:spacing w:after="100"/>
              <w:rPr>
                <w:rFonts w:eastAsia="Times New Roman"/>
                <w:sz w:val="20"/>
                <w:szCs w:val="20"/>
              </w:rPr>
            </w:pPr>
          </w:p>
        </w:tc>
        <w:tc>
          <w:tcPr>
            <w:tcW w:w="0" w:type="auto"/>
            <w:gridSpan w:val="3"/>
            <w:vAlign w:val="center"/>
            <w:hideMark/>
          </w:tcPr>
          <w:p w14:paraId="641F723C" w14:textId="77777777" w:rsidR="00000000" w:rsidRDefault="00A173A8">
            <w:pPr>
              <w:spacing w:after="100"/>
              <w:rPr>
                <w:rFonts w:eastAsia="Times New Roman"/>
                <w:sz w:val="20"/>
                <w:szCs w:val="20"/>
              </w:rPr>
            </w:pPr>
          </w:p>
        </w:tc>
        <w:tc>
          <w:tcPr>
            <w:tcW w:w="0" w:type="auto"/>
            <w:gridSpan w:val="3"/>
            <w:vAlign w:val="center"/>
            <w:hideMark/>
          </w:tcPr>
          <w:p w14:paraId="256E5904" w14:textId="77777777" w:rsidR="00000000" w:rsidRDefault="00A173A8">
            <w:pPr>
              <w:spacing w:after="100"/>
              <w:rPr>
                <w:rFonts w:eastAsia="Times New Roman"/>
                <w:sz w:val="20"/>
                <w:szCs w:val="20"/>
              </w:rPr>
            </w:pPr>
          </w:p>
        </w:tc>
        <w:tc>
          <w:tcPr>
            <w:tcW w:w="0" w:type="auto"/>
            <w:gridSpan w:val="3"/>
            <w:vAlign w:val="center"/>
            <w:hideMark/>
          </w:tcPr>
          <w:p w14:paraId="1559C12D" w14:textId="77777777" w:rsidR="00000000" w:rsidRDefault="00A173A8">
            <w:pPr>
              <w:spacing w:after="100"/>
              <w:rPr>
                <w:rFonts w:eastAsia="Times New Roman"/>
                <w:sz w:val="20"/>
                <w:szCs w:val="20"/>
              </w:rPr>
            </w:pPr>
          </w:p>
        </w:tc>
        <w:tc>
          <w:tcPr>
            <w:tcW w:w="0" w:type="auto"/>
            <w:gridSpan w:val="3"/>
            <w:vAlign w:val="center"/>
            <w:hideMark/>
          </w:tcPr>
          <w:p w14:paraId="2F54A335" w14:textId="77777777" w:rsidR="00000000" w:rsidRDefault="00A173A8">
            <w:pPr>
              <w:spacing w:after="100"/>
              <w:rPr>
                <w:rFonts w:eastAsia="Times New Roman"/>
                <w:sz w:val="20"/>
                <w:szCs w:val="20"/>
              </w:rPr>
            </w:pPr>
          </w:p>
        </w:tc>
        <w:tc>
          <w:tcPr>
            <w:tcW w:w="0" w:type="auto"/>
            <w:gridSpan w:val="3"/>
            <w:vAlign w:val="center"/>
            <w:hideMark/>
          </w:tcPr>
          <w:p w14:paraId="5D05E325" w14:textId="77777777" w:rsidR="00000000" w:rsidRDefault="00A173A8">
            <w:pPr>
              <w:spacing w:after="100"/>
              <w:rPr>
                <w:rFonts w:eastAsia="Times New Roman"/>
                <w:sz w:val="20"/>
                <w:szCs w:val="20"/>
              </w:rPr>
            </w:pPr>
          </w:p>
        </w:tc>
        <w:tc>
          <w:tcPr>
            <w:tcW w:w="0" w:type="auto"/>
            <w:gridSpan w:val="3"/>
            <w:vAlign w:val="center"/>
            <w:hideMark/>
          </w:tcPr>
          <w:p w14:paraId="45E7F9CD" w14:textId="77777777" w:rsidR="00000000" w:rsidRDefault="00A173A8">
            <w:pPr>
              <w:spacing w:after="100"/>
              <w:rPr>
                <w:rFonts w:eastAsia="Times New Roman"/>
                <w:sz w:val="20"/>
                <w:szCs w:val="20"/>
              </w:rPr>
            </w:pPr>
          </w:p>
        </w:tc>
        <w:tc>
          <w:tcPr>
            <w:tcW w:w="0" w:type="auto"/>
            <w:gridSpan w:val="3"/>
            <w:vAlign w:val="center"/>
            <w:hideMark/>
          </w:tcPr>
          <w:p w14:paraId="6F6714DF" w14:textId="77777777" w:rsidR="00000000" w:rsidRDefault="00A173A8">
            <w:pPr>
              <w:spacing w:after="100"/>
              <w:rPr>
                <w:rFonts w:eastAsia="Times New Roman"/>
                <w:sz w:val="20"/>
                <w:szCs w:val="20"/>
              </w:rPr>
            </w:pPr>
          </w:p>
        </w:tc>
        <w:tc>
          <w:tcPr>
            <w:tcW w:w="0" w:type="auto"/>
            <w:gridSpan w:val="3"/>
            <w:vAlign w:val="center"/>
            <w:hideMark/>
          </w:tcPr>
          <w:p w14:paraId="6098A253" w14:textId="77777777" w:rsidR="00000000" w:rsidRDefault="00A173A8">
            <w:pPr>
              <w:spacing w:after="100"/>
              <w:rPr>
                <w:rFonts w:eastAsia="Times New Roman"/>
                <w:sz w:val="20"/>
                <w:szCs w:val="20"/>
              </w:rPr>
            </w:pPr>
          </w:p>
        </w:tc>
        <w:tc>
          <w:tcPr>
            <w:tcW w:w="0" w:type="auto"/>
            <w:gridSpan w:val="3"/>
            <w:vAlign w:val="center"/>
            <w:hideMark/>
          </w:tcPr>
          <w:p w14:paraId="5A9838F8" w14:textId="77777777" w:rsidR="00000000" w:rsidRDefault="00A173A8">
            <w:pPr>
              <w:spacing w:after="100"/>
              <w:rPr>
                <w:rFonts w:eastAsia="Times New Roman"/>
                <w:sz w:val="20"/>
                <w:szCs w:val="20"/>
              </w:rPr>
            </w:pPr>
          </w:p>
        </w:tc>
        <w:tc>
          <w:tcPr>
            <w:tcW w:w="0" w:type="auto"/>
            <w:gridSpan w:val="3"/>
            <w:vAlign w:val="center"/>
            <w:hideMark/>
          </w:tcPr>
          <w:p w14:paraId="1CCE74BD" w14:textId="77777777" w:rsidR="00000000" w:rsidRDefault="00A173A8">
            <w:pPr>
              <w:spacing w:after="100"/>
              <w:rPr>
                <w:rFonts w:eastAsia="Times New Roman"/>
                <w:sz w:val="20"/>
                <w:szCs w:val="20"/>
              </w:rPr>
            </w:pPr>
          </w:p>
        </w:tc>
      </w:tr>
      <w:tr w:rsidR="00000000" w14:paraId="441FBE1E" w14:textId="77777777">
        <w:trPr>
          <w:divId w:val="488981052"/>
        </w:trPr>
        <w:tc>
          <w:tcPr>
            <w:tcW w:w="0" w:type="auto"/>
            <w:gridSpan w:val="3"/>
            <w:vAlign w:val="center"/>
            <w:hideMark/>
          </w:tcPr>
          <w:p w14:paraId="25161856" w14:textId="77777777" w:rsidR="00000000" w:rsidRDefault="00A173A8">
            <w:pPr>
              <w:spacing w:after="100"/>
              <w:rPr>
                <w:rFonts w:eastAsia="Times New Roman"/>
                <w:sz w:val="20"/>
                <w:szCs w:val="20"/>
              </w:rPr>
            </w:pPr>
          </w:p>
        </w:tc>
        <w:tc>
          <w:tcPr>
            <w:tcW w:w="0" w:type="auto"/>
            <w:gridSpan w:val="3"/>
            <w:vAlign w:val="center"/>
            <w:hideMark/>
          </w:tcPr>
          <w:p w14:paraId="5BB07262" w14:textId="77777777" w:rsidR="00000000" w:rsidRDefault="00A173A8">
            <w:pPr>
              <w:spacing w:after="100"/>
              <w:rPr>
                <w:rFonts w:eastAsia="Times New Roman"/>
                <w:sz w:val="20"/>
                <w:szCs w:val="20"/>
              </w:rPr>
            </w:pPr>
          </w:p>
        </w:tc>
        <w:tc>
          <w:tcPr>
            <w:tcW w:w="0" w:type="auto"/>
            <w:gridSpan w:val="3"/>
            <w:vAlign w:val="center"/>
            <w:hideMark/>
          </w:tcPr>
          <w:p w14:paraId="1B20FCF6" w14:textId="77777777" w:rsidR="00000000" w:rsidRDefault="00A173A8">
            <w:pPr>
              <w:spacing w:after="100"/>
              <w:rPr>
                <w:rFonts w:eastAsia="Times New Roman"/>
                <w:sz w:val="20"/>
                <w:szCs w:val="20"/>
              </w:rPr>
            </w:pPr>
          </w:p>
        </w:tc>
        <w:tc>
          <w:tcPr>
            <w:tcW w:w="0" w:type="auto"/>
            <w:gridSpan w:val="3"/>
            <w:vAlign w:val="center"/>
            <w:hideMark/>
          </w:tcPr>
          <w:p w14:paraId="5B95174C" w14:textId="77777777" w:rsidR="00000000" w:rsidRDefault="00A173A8">
            <w:pPr>
              <w:spacing w:after="100"/>
              <w:rPr>
                <w:rFonts w:eastAsia="Times New Roman"/>
                <w:sz w:val="20"/>
                <w:szCs w:val="20"/>
              </w:rPr>
            </w:pPr>
          </w:p>
        </w:tc>
        <w:tc>
          <w:tcPr>
            <w:tcW w:w="0" w:type="auto"/>
            <w:gridSpan w:val="3"/>
            <w:vAlign w:val="center"/>
            <w:hideMark/>
          </w:tcPr>
          <w:p w14:paraId="01ABA5B7" w14:textId="77777777" w:rsidR="00000000" w:rsidRDefault="00A173A8">
            <w:pPr>
              <w:spacing w:after="100"/>
              <w:rPr>
                <w:rFonts w:eastAsia="Times New Roman"/>
                <w:sz w:val="20"/>
                <w:szCs w:val="20"/>
              </w:rPr>
            </w:pPr>
          </w:p>
        </w:tc>
        <w:tc>
          <w:tcPr>
            <w:tcW w:w="0" w:type="auto"/>
            <w:gridSpan w:val="3"/>
            <w:vAlign w:val="center"/>
            <w:hideMark/>
          </w:tcPr>
          <w:p w14:paraId="31010E8F" w14:textId="77777777" w:rsidR="00000000" w:rsidRDefault="00A173A8">
            <w:pPr>
              <w:spacing w:after="100"/>
              <w:rPr>
                <w:rFonts w:eastAsia="Times New Roman"/>
                <w:sz w:val="20"/>
                <w:szCs w:val="20"/>
              </w:rPr>
            </w:pPr>
          </w:p>
        </w:tc>
        <w:tc>
          <w:tcPr>
            <w:tcW w:w="0" w:type="auto"/>
            <w:gridSpan w:val="3"/>
            <w:vAlign w:val="center"/>
            <w:hideMark/>
          </w:tcPr>
          <w:p w14:paraId="10985CD2" w14:textId="77777777" w:rsidR="00000000" w:rsidRDefault="00A173A8">
            <w:pPr>
              <w:spacing w:after="100"/>
              <w:rPr>
                <w:rFonts w:eastAsia="Times New Roman"/>
                <w:sz w:val="20"/>
                <w:szCs w:val="20"/>
              </w:rPr>
            </w:pPr>
          </w:p>
        </w:tc>
        <w:tc>
          <w:tcPr>
            <w:tcW w:w="0" w:type="auto"/>
            <w:gridSpan w:val="3"/>
            <w:vAlign w:val="center"/>
            <w:hideMark/>
          </w:tcPr>
          <w:p w14:paraId="402D98BD" w14:textId="77777777" w:rsidR="00000000" w:rsidRDefault="00A173A8">
            <w:pPr>
              <w:spacing w:after="100"/>
              <w:rPr>
                <w:rFonts w:eastAsia="Times New Roman"/>
                <w:sz w:val="20"/>
                <w:szCs w:val="20"/>
              </w:rPr>
            </w:pPr>
          </w:p>
        </w:tc>
        <w:tc>
          <w:tcPr>
            <w:tcW w:w="0" w:type="auto"/>
            <w:gridSpan w:val="3"/>
            <w:vAlign w:val="center"/>
            <w:hideMark/>
          </w:tcPr>
          <w:p w14:paraId="30496A32" w14:textId="77777777" w:rsidR="00000000" w:rsidRDefault="00A173A8">
            <w:pPr>
              <w:spacing w:after="100"/>
              <w:rPr>
                <w:rFonts w:eastAsia="Times New Roman"/>
                <w:sz w:val="20"/>
                <w:szCs w:val="20"/>
              </w:rPr>
            </w:pPr>
          </w:p>
        </w:tc>
        <w:tc>
          <w:tcPr>
            <w:tcW w:w="0" w:type="auto"/>
            <w:gridSpan w:val="3"/>
            <w:vAlign w:val="center"/>
            <w:hideMark/>
          </w:tcPr>
          <w:p w14:paraId="0B7BCA59" w14:textId="77777777" w:rsidR="00000000" w:rsidRDefault="00A173A8">
            <w:pPr>
              <w:spacing w:after="100"/>
              <w:rPr>
                <w:rFonts w:eastAsia="Times New Roman"/>
                <w:sz w:val="20"/>
                <w:szCs w:val="20"/>
              </w:rPr>
            </w:pPr>
          </w:p>
        </w:tc>
        <w:tc>
          <w:tcPr>
            <w:tcW w:w="0" w:type="auto"/>
            <w:gridSpan w:val="3"/>
            <w:vAlign w:val="center"/>
            <w:hideMark/>
          </w:tcPr>
          <w:p w14:paraId="270E6511" w14:textId="77777777" w:rsidR="00000000" w:rsidRDefault="00A173A8">
            <w:pPr>
              <w:spacing w:after="100"/>
              <w:rPr>
                <w:rFonts w:eastAsia="Times New Roman"/>
                <w:sz w:val="20"/>
                <w:szCs w:val="20"/>
              </w:rPr>
            </w:pPr>
          </w:p>
        </w:tc>
        <w:tc>
          <w:tcPr>
            <w:tcW w:w="0" w:type="auto"/>
            <w:gridSpan w:val="3"/>
            <w:vAlign w:val="center"/>
            <w:hideMark/>
          </w:tcPr>
          <w:p w14:paraId="6E480182" w14:textId="77777777" w:rsidR="00000000" w:rsidRDefault="00A173A8">
            <w:pPr>
              <w:spacing w:after="100"/>
              <w:rPr>
                <w:rFonts w:eastAsia="Times New Roman"/>
                <w:sz w:val="20"/>
                <w:szCs w:val="20"/>
              </w:rPr>
            </w:pPr>
          </w:p>
        </w:tc>
        <w:tc>
          <w:tcPr>
            <w:tcW w:w="0" w:type="auto"/>
            <w:gridSpan w:val="3"/>
            <w:vAlign w:val="center"/>
            <w:hideMark/>
          </w:tcPr>
          <w:p w14:paraId="5B6ECB3D" w14:textId="77777777" w:rsidR="00000000" w:rsidRDefault="00A173A8">
            <w:pPr>
              <w:spacing w:after="100"/>
              <w:rPr>
                <w:rFonts w:eastAsia="Times New Roman"/>
                <w:sz w:val="20"/>
                <w:szCs w:val="20"/>
              </w:rPr>
            </w:pPr>
          </w:p>
        </w:tc>
        <w:tc>
          <w:tcPr>
            <w:tcW w:w="0" w:type="auto"/>
            <w:gridSpan w:val="3"/>
            <w:vAlign w:val="center"/>
            <w:hideMark/>
          </w:tcPr>
          <w:p w14:paraId="4477DC78" w14:textId="77777777" w:rsidR="00000000" w:rsidRDefault="00A173A8">
            <w:pPr>
              <w:spacing w:after="100"/>
              <w:rPr>
                <w:rFonts w:eastAsia="Times New Roman"/>
                <w:sz w:val="20"/>
                <w:szCs w:val="20"/>
              </w:rPr>
            </w:pPr>
          </w:p>
        </w:tc>
        <w:tc>
          <w:tcPr>
            <w:tcW w:w="0" w:type="auto"/>
            <w:gridSpan w:val="3"/>
            <w:vAlign w:val="center"/>
            <w:hideMark/>
          </w:tcPr>
          <w:p w14:paraId="4551C45B" w14:textId="77777777" w:rsidR="00000000" w:rsidRDefault="00A173A8">
            <w:pPr>
              <w:spacing w:after="100"/>
              <w:rPr>
                <w:rFonts w:eastAsia="Times New Roman"/>
                <w:sz w:val="20"/>
                <w:szCs w:val="20"/>
              </w:rPr>
            </w:pPr>
          </w:p>
        </w:tc>
        <w:tc>
          <w:tcPr>
            <w:tcW w:w="0" w:type="auto"/>
            <w:gridSpan w:val="3"/>
            <w:vAlign w:val="center"/>
            <w:hideMark/>
          </w:tcPr>
          <w:p w14:paraId="6CE6ABF3" w14:textId="77777777" w:rsidR="00000000" w:rsidRDefault="00A173A8">
            <w:pPr>
              <w:spacing w:after="100"/>
              <w:rPr>
                <w:rFonts w:eastAsia="Times New Roman"/>
                <w:sz w:val="20"/>
                <w:szCs w:val="20"/>
              </w:rPr>
            </w:pPr>
          </w:p>
        </w:tc>
        <w:tc>
          <w:tcPr>
            <w:tcW w:w="0" w:type="auto"/>
            <w:gridSpan w:val="3"/>
            <w:vAlign w:val="center"/>
            <w:hideMark/>
          </w:tcPr>
          <w:p w14:paraId="685F81C3" w14:textId="77777777" w:rsidR="00000000" w:rsidRDefault="00A173A8">
            <w:pPr>
              <w:spacing w:after="100"/>
              <w:rPr>
                <w:rFonts w:eastAsia="Times New Roman"/>
                <w:sz w:val="20"/>
                <w:szCs w:val="20"/>
              </w:rPr>
            </w:pPr>
          </w:p>
        </w:tc>
        <w:tc>
          <w:tcPr>
            <w:tcW w:w="0" w:type="auto"/>
            <w:gridSpan w:val="3"/>
            <w:vAlign w:val="center"/>
            <w:hideMark/>
          </w:tcPr>
          <w:p w14:paraId="3301F2AD" w14:textId="77777777" w:rsidR="00000000" w:rsidRDefault="00A173A8">
            <w:pPr>
              <w:spacing w:after="100"/>
              <w:rPr>
                <w:rFonts w:eastAsia="Times New Roman"/>
                <w:sz w:val="20"/>
                <w:szCs w:val="20"/>
              </w:rPr>
            </w:pPr>
          </w:p>
        </w:tc>
        <w:tc>
          <w:tcPr>
            <w:tcW w:w="0" w:type="auto"/>
            <w:gridSpan w:val="3"/>
            <w:vAlign w:val="center"/>
            <w:hideMark/>
          </w:tcPr>
          <w:p w14:paraId="6CC7B2B5" w14:textId="77777777" w:rsidR="00000000" w:rsidRDefault="00A173A8">
            <w:pPr>
              <w:spacing w:after="100"/>
              <w:rPr>
                <w:rFonts w:eastAsia="Times New Roman"/>
                <w:sz w:val="20"/>
                <w:szCs w:val="20"/>
              </w:rPr>
            </w:pPr>
          </w:p>
        </w:tc>
      </w:tr>
      <w:tr w:rsidR="00000000" w14:paraId="13F2442D" w14:textId="77777777">
        <w:trPr>
          <w:divId w:val="488981052"/>
        </w:trPr>
        <w:tc>
          <w:tcPr>
            <w:tcW w:w="0" w:type="auto"/>
            <w:gridSpan w:val="3"/>
            <w:vAlign w:val="center"/>
            <w:hideMark/>
          </w:tcPr>
          <w:p w14:paraId="10CD6230" w14:textId="77777777" w:rsidR="00000000" w:rsidRDefault="00A173A8">
            <w:pPr>
              <w:spacing w:after="100"/>
              <w:rPr>
                <w:rFonts w:eastAsia="Times New Roman"/>
                <w:sz w:val="20"/>
                <w:szCs w:val="20"/>
              </w:rPr>
            </w:pPr>
          </w:p>
        </w:tc>
        <w:tc>
          <w:tcPr>
            <w:tcW w:w="0" w:type="auto"/>
            <w:gridSpan w:val="3"/>
            <w:vAlign w:val="center"/>
            <w:hideMark/>
          </w:tcPr>
          <w:p w14:paraId="323C8462" w14:textId="77777777" w:rsidR="00000000" w:rsidRDefault="00A173A8">
            <w:pPr>
              <w:spacing w:after="100"/>
              <w:rPr>
                <w:rFonts w:eastAsia="Times New Roman"/>
                <w:sz w:val="20"/>
                <w:szCs w:val="20"/>
              </w:rPr>
            </w:pPr>
          </w:p>
        </w:tc>
        <w:tc>
          <w:tcPr>
            <w:tcW w:w="0" w:type="auto"/>
            <w:gridSpan w:val="3"/>
            <w:vAlign w:val="center"/>
            <w:hideMark/>
          </w:tcPr>
          <w:p w14:paraId="56AF7F3D" w14:textId="77777777" w:rsidR="00000000" w:rsidRDefault="00A173A8">
            <w:pPr>
              <w:spacing w:after="100"/>
              <w:rPr>
                <w:rFonts w:eastAsia="Times New Roman"/>
                <w:sz w:val="20"/>
                <w:szCs w:val="20"/>
              </w:rPr>
            </w:pPr>
          </w:p>
        </w:tc>
        <w:tc>
          <w:tcPr>
            <w:tcW w:w="0" w:type="auto"/>
            <w:gridSpan w:val="3"/>
            <w:vAlign w:val="center"/>
            <w:hideMark/>
          </w:tcPr>
          <w:p w14:paraId="25B1269F" w14:textId="77777777" w:rsidR="00000000" w:rsidRDefault="00A173A8">
            <w:pPr>
              <w:spacing w:after="100"/>
              <w:rPr>
                <w:rFonts w:eastAsia="Times New Roman"/>
                <w:sz w:val="20"/>
                <w:szCs w:val="20"/>
              </w:rPr>
            </w:pPr>
          </w:p>
        </w:tc>
        <w:tc>
          <w:tcPr>
            <w:tcW w:w="0" w:type="auto"/>
            <w:gridSpan w:val="3"/>
            <w:vAlign w:val="center"/>
            <w:hideMark/>
          </w:tcPr>
          <w:p w14:paraId="182364FA" w14:textId="77777777" w:rsidR="00000000" w:rsidRDefault="00A173A8">
            <w:pPr>
              <w:spacing w:after="100"/>
              <w:rPr>
                <w:rFonts w:eastAsia="Times New Roman"/>
                <w:sz w:val="20"/>
                <w:szCs w:val="20"/>
              </w:rPr>
            </w:pPr>
          </w:p>
        </w:tc>
        <w:tc>
          <w:tcPr>
            <w:tcW w:w="0" w:type="auto"/>
            <w:gridSpan w:val="3"/>
            <w:vAlign w:val="center"/>
            <w:hideMark/>
          </w:tcPr>
          <w:p w14:paraId="20E57BAD" w14:textId="77777777" w:rsidR="00000000" w:rsidRDefault="00A173A8">
            <w:pPr>
              <w:spacing w:after="100"/>
              <w:rPr>
                <w:rFonts w:eastAsia="Times New Roman"/>
                <w:sz w:val="20"/>
                <w:szCs w:val="20"/>
              </w:rPr>
            </w:pPr>
          </w:p>
        </w:tc>
        <w:tc>
          <w:tcPr>
            <w:tcW w:w="0" w:type="auto"/>
            <w:gridSpan w:val="3"/>
            <w:vAlign w:val="center"/>
            <w:hideMark/>
          </w:tcPr>
          <w:p w14:paraId="1EC65FCF" w14:textId="77777777" w:rsidR="00000000" w:rsidRDefault="00A173A8">
            <w:pPr>
              <w:spacing w:after="100"/>
              <w:rPr>
                <w:rFonts w:eastAsia="Times New Roman"/>
                <w:sz w:val="20"/>
                <w:szCs w:val="20"/>
              </w:rPr>
            </w:pPr>
          </w:p>
        </w:tc>
        <w:tc>
          <w:tcPr>
            <w:tcW w:w="0" w:type="auto"/>
            <w:gridSpan w:val="3"/>
            <w:vAlign w:val="center"/>
            <w:hideMark/>
          </w:tcPr>
          <w:p w14:paraId="3B565860" w14:textId="77777777" w:rsidR="00000000" w:rsidRDefault="00A173A8">
            <w:pPr>
              <w:spacing w:after="100"/>
              <w:rPr>
                <w:rFonts w:eastAsia="Times New Roman"/>
                <w:sz w:val="20"/>
                <w:szCs w:val="20"/>
              </w:rPr>
            </w:pPr>
          </w:p>
        </w:tc>
        <w:tc>
          <w:tcPr>
            <w:tcW w:w="0" w:type="auto"/>
            <w:gridSpan w:val="3"/>
            <w:vAlign w:val="center"/>
            <w:hideMark/>
          </w:tcPr>
          <w:p w14:paraId="7A891BFC" w14:textId="77777777" w:rsidR="00000000" w:rsidRDefault="00A173A8">
            <w:pPr>
              <w:spacing w:after="100"/>
              <w:rPr>
                <w:rFonts w:eastAsia="Times New Roman"/>
                <w:sz w:val="20"/>
                <w:szCs w:val="20"/>
              </w:rPr>
            </w:pPr>
          </w:p>
        </w:tc>
        <w:tc>
          <w:tcPr>
            <w:tcW w:w="0" w:type="auto"/>
            <w:gridSpan w:val="3"/>
            <w:vAlign w:val="center"/>
            <w:hideMark/>
          </w:tcPr>
          <w:p w14:paraId="79038CD4" w14:textId="77777777" w:rsidR="00000000" w:rsidRDefault="00A173A8">
            <w:pPr>
              <w:spacing w:after="100"/>
              <w:rPr>
                <w:rFonts w:eastAsia="Times New Roman"/>
                <w:sz w:val="20"/>
                <w:szCs w:val="20"/>
              </w:rPr>
            </w:pPr>
          </w:p>
        </w:tc>
        <w:tc>
          <w:tcPr>
            <w:tcW w:w="0" w:type="auto"/>
            <w:gridSpan w:val="3"/>
            <w:vAlign w:val="center"/>
            <w:hideMark/>
          </w:tcPr>
          <w:p w14:paraId="183E8BA4" w14:textId="77777777" w:rsidR="00000000" w:rsidRDefault="00A173A8">
            <w:pPr>
              <w:spacing w:after="100"/>
              <w:rPr>
                <w:rFonts w:eastAsia="Times New Roman"/>
                <w:sz w:val="20"/>
                <w:szCs w:val="20"/>
              </w:rPr>
            </w:pPr>
          </w:p>
        </w:tc>
        <w:tc>
          <w:tcPr>
            <w:tcW w:w="0" w:type="auto"/>
            <w:gridSpan w:val="3"/>
            <w:vAlign w:val="center"/>
            <w:hideMark/>
          </w:tcPr>
          <w:p w14:paraId="327FD856" w14:textId="77777777" w:rsidR="00000000" w:rsidRDefault="00A173A8">
            <w:pPr>
              <w:spacing w:after="100"/>
              <w:rPr>
                <w:rFonts w:eastAsia="Times New Roman"/>
                <w:sz w:val="20"/>
                <w:szCs w:val="20"/>
              </w:rPr>
            </w:pPr>
          </w:p>
        </w:tc>
        <w:tc>
          <w:tcPr>
            <w:tcW w:w="0" w:type="auto"/>
            <w:gridSpan w:val="3"/>
            <w:vAlign w:val="center"/>
            <w:hideMark/>
          </w:tcPr>
          <w:p w14:paraId="6D9B3933" w14:textId="77777777" w:rsidR="00000000" w:rsidRDefault="00A173A8">
            <w:pPr>
              <w:spacing w:after="100"/>
              <w:rPr>
                <w:rFonts w:eastAsia="Times New Roman"/>
                <w:sz w:val="20"/>
                <w:szCs w:val="20"/>
              </w:rPr>
            </w:pPr>
          </w:p>
        </w:tc>
        <w:tc>
          <w:tcPr>
            <w:tcW w:w="0" w:type="auto"/>
            <w:gridSpan w:val="3"/>
            <w:vAlign w:val="center"/>
            <w:hideMark/>
          </w:tcPr>
          <w:p w14:paraId="76EE512F" w14:textId="77777777" w:rsidR="00000000" w:rsidRDefault="00A173A8">
            <w:pPr>
              <w:spacing w:after="100"/>
              <w:rPr>
                <w:rFonts w:eastAsia="Times New Roman"/>
                <w:sz w:val="20"/>
                <w:szCs w:val="20"/>
              </w:rPr>
            </w:pPr>
          </w:p>
        </w:tc>
        <w:tc>
          <w:tcPr>
            <w:tcW w:w="0" w:type="auto"/>
            <w:gridSpan w:val="3"/>
            <w:vAlign w:val="center"/>
            <w:hideMark/>
          </w:tcPr>
          <w:p w14:paraId="2FAD7B6D" w14:textId="77777777" w:rsidR="00000000" w:rsidRDefault="00A173A8">
            <w:pPr>
              <w:spacing w:after="100"/>
              <w:rPr>
                <w:rFonts w:eastAsia="Times New Roman"/>
                <w:sz w:val="20"/>
                <w:szCs w:val="20"/>
              </w:rPr>
            </w:pPr>
          </w:p>
        </w:tc>
        <w:tc>
          <w:tcPr>
            <w:tcW w:w="0" w:type="auto"/>
            <w:gridSpan w:val="3"/>
            <w:vAlign w:val="center"/>
            <w:hideMark/>
          </w:tcPr>
          <w:p w14:paraId="2D64C81C" w14:textId="77777777" w:rsidR="00000000" w:rsidRDefault="00A173A8">
            <w:pPr>
              <w:spacing w:after="100"/>
              <w:rPr>
                <w:rFonts w:eastAsia="Times New Roman"/>
                <w:sz w:val="20"/>
                <w:szCs w:val="20"/>
              </w:rPr>
            </w:pPr>
          </w:p>
        </w:tc>
        <w:tc>
          <w:tcPr>
            <w:tcW w:w="0" w:type="auto"/>
            <w:gridSpan w:val="3"/>
            <w:vAlign w:val="center"/>
            <w:hideMark/>
          </w:tcPr>
          <w:p w14:paraId="0E5DA6E7" w14:textId="77777777" w:rsidR="00000000" w:rsidRDefault="00A173A8">
            <w:pPr>
              <w:spacing w:after="100"/>
              <w:rPr>
                <w:rFonts w:eastAsia="Times New Roman"/>
                <w:sz w:val="20"/>
                <w:szCs w:val="20"/>
              </w:rPr>
            </w:pPr>
          </w:p>
        </w:tc>
        <w:tc>
          <w:tcPr>
            <w:tcW w:w="0" w:type="auto"/>
            <w:gridSpan w:val="3"/>
            <w:vAlign w:val="center"/>
            <w:hideMark/>
          </w:tcPr>
          <w:p w14:paraId="39D89F65" w14:textId="77777777" w:rsidR="00000000" w:rsidRDefault="00A173A8">
            <w:pPr>
              <w:spacing w:after="100"/>
              <w:rPr>
                <w:rFonts w:eastAsia="Times New Roman"/>
                <w:sz w:val="20"/>
                <w:szCs w:val="20"/>
              </w:rPr>
            </w:pPr>
          </w:p>
        </w:tc>
        <w:tc>
          <w:tcPr>
            <w:tcW w:w="0" w:type="auto"/>
            <w:gridSpan w:val="3"/>
            <w:vAlign w:val="center"/>
            <w:hideMark/>
          </w:tcPr>
          <w:p w14:paraId="4667B75D" w14:textId="77777777" w:rsidR="00000000" w:rsidRDefault="00A173A8">
            <w:pPr>
              <w:spacing w:after="100"/>
              <w:rPr>
                <w:rFonts w:eastAsia="Times New Roman"/>
                <w:sz w:val="20"/>
                <w:szCs w:val="20"/>
              </w:rPr>
            </w:pPr>
          </w:p>
        </w:tc>
      </w:tr>
      <w:tr w:rsidR="00000000" w14:paraId="7F61279F" w14:textId="77777777">
        <w:trPr>
          <w:divId w:val="488981052"/>
        </w:trPr>
        <w:tc>
          <w:tcPr>
            <w:tcW w:w="0" w:type="auto"/>
            <w:gridSpan w:val="3"/>
            <w:vAlign w:val="center"/>
            <w:hideMark/>
          </w:tcPr>
          <w:p w14:paraId="502E4092" w14:textId="77777777" w:rsidR="00000000" w:rsidRDefault="00A173A8">
            <w:pPr>
              <w:spacing w:after="100"/>
              <w:rPr>
                <w:rFonts w:eastAsia="Times New Roman"/>
                <w:sz w:val="20"/>
                <w:szCs w:val="20"/>
              </w:rPr>
            </w:pPr>
          </w:p>
        </w:tc>
        <w:tc>
          <w:tcPr>
            <w:tcW w:w="0" w:type="auto"/>
            <w:gridSpan w:val="3"/>
            <w:vAlign w:val="center"/>
            <w:hideMark/>
          </w:tcPr>
          <w:p w14:paraId="19701328" w14:textId="77777777" w:rsidR="00000000" w:rsidRDefault="00A173A8">
            <w:pPr>
              <w:spacing w:after="100"/>
              <w:rPr>
                <w:rFonts w:eastAsia="Times New Roman"/>
                <w:sz w:val="20"/>
                <w:szCs w:val="20"/>
              </w:rPr>
            </w:pPr>
          </w:p>
        </w:tc>
        <w:tc>
          <w:tcPr>
            <w:tcW w:w="0" w:type="auto"/>
            <w:gridSpan w:val="3"/>
            <w:vAlign w:val="center"/>
            <w:hideMark/>
          </w:tcPr>
          <w:p w14:paraId="7B9BB181" w14:textId="77777777" w:rsidR="00000000" w:rsidRDefault="00A173A8">
            <w:pPr>
              <w:spacing w:after="100"/>
              <w:rPr>
                <w:rFonts w:eastAsia="Times New Roman"/>
                <w:sz w:val="20"/>
                <w:szCs w:val="20"/>
              </w:rPr>
            </w:pPr>
          </w:p>
        </w:tc>
        <w:tc>
          <w:tcPr>
            <w:tcW w:w="0" w:type="auto"/>
            <w:gridSpan w:val="3"/>
            <w:vAlign w:val="center"/>
            <w:hideMark/>
          </w:tcPr>
          <w:p w14:paraId="1EF5A91C" w14:textId="77777777" w:rsidR="00000000" w:rsidRDefault="00A173A8">
            <w:pPr>
              <w:spacing w:after="100"/>
              <w:rPr>
                <w:rFonts w:eastAsia="Times New Roman"/>
                <w:sz w:val="20"/>
                <w:szCs w:val="20"/>
              </w:rPr>
            </w:pPr>
          </w:p>
        </w:tc>
        <w:tc>
          <w:tcPr>
            <w:tcW w:w="0" w:type="auto"/>
            <w:gridSpan w:val="3"/>
            <w:vAlign w:val="center"/>
            <w:hideMark/>
          </w:tcPr>
          <w:p w14:paraId="51656BC4" w14:textId="77777777" w:rsidR="00000000" w:rsidRDefault="00A173A8">
            <w:pPr>
              <w:spacing w:after="100"/>
              <w:rPr>
                <w:rFonts w:eastAsia="Times New Roman"/>
                <w:sz w:val="20"/>
                <w:szCs w:val="20"/>
              </w:rPr>
            </w:pPr>
          </w:p>
        </w:tc>
        <w:tc>
          <w:tcPr>
            <w:tcW w:w="0" w:type="auto"/>
            <w:gridSpan w:val="3"/>
            <w:vAlign w:val="center"/>
            <w:hideMark/>
          </w:tcPr>
          <w:p w14:paraId="3AE41AD1" w14:textId="77777777" w:rsidR="00000000" w:rsidRDefault="00A173A8">
            <w:pPr>
              <w:spacing w:after="100"/>
              <w:rPr>
                <w:rFonts w:eastAsia="Times New Roman"/>
                <w:sz w:val="20"/>
                <w:szCs w:val="20"/>
              </w:rPr>
            </w:pPr>
          </w:p>
        </w:tc>
        <w:tc>
          <w:tcPr>
            <w:tcW w:w="0" w:type="auto"/>
            <w:gridSpan w:val="3"/>
            <w:vAlign w:val="center"/>
            <w:hideMark/>
          </w:tcPr>
          <w:p w14:paraId="5BE58AE2" w14:textId="77777777" w:rsidR="00000000" w:rsidRDefault="00A173A8">
            <w:pPr>
              <w:spacing w:after="100"/>
              <w:rPr>
                <w:rFonts w:eastAsia="Times New Roman"/>
                <w:sz w:val="20"/>
                <w:szCs w:val="20"/>
              </w:rPr>
            </w:pPr>
          </w:p>
        </w:tc>
        <w:tc>
          <w:tcPr>
            <w:tcW w:w="0" w:type="auto"/>
            <w:gridSpan w:val="3"/>
            <w:vAlign w:val="center"/>
            <w:hideMark/>
          </w:tcPr>
          <w:p w14:paraId="100DDA78" w14:textId="77777777" w:rsidR="00000000" w:rsidRDefault="00A173A8">
            <w:pPr>
              <w:spacing w:after="100"/>
              <w:rPr>
                <w:rFonts w:eastAsia="Times New Roman"/>
                <w:sz w:val="20"/>
                <w:szCs w:val="20"/>
              </w:rPr>
            </w:pPr>
          </w:p>
        </w:tc>
        <w:tc>
          <w:tcPr>
            <w:tcW w:w="0" w:type="auto"/>
            <w:gridSpan w:val="3"/>
            <w:vAlign w:val="center"/>
            <w:hideMark/>
          </w:tcPr>
          <w:p w14:paraId="7E82E350" w14:textId="77777777" w:rsidR="00000000" w:rsidRDefault="00A173A8">
            <w:pPr>
              <w:spacing w:after="100"/>
              <w:rPr>
                <w:rFonts w:eastAsia="Times New Roman"/>
                <w:sz w:val="20"/>
                <w:szCs w:val="20"/>
              </w:rPr>
            </w:pPr>
          </w:p>
        </w:tc>
        <w:tc>
          <w:tcPr>
            <w:tcW w:w="0" w:type="auto"/>
            <w:gridSpan w:val="3"/>
            <w:vAlign w:val="center"/>
            <w:hideMark/>
          </w:tcPr>
          <w:p w14:paraId="7E577D54" w14:textId="77777777" w:rsidR="00000000" w:rsidRDefault="00A173A8">
            <w:pPr>
              <w:spacing w:after="100"/>
              <w:rPr>
                <w:rFonts w:eastAsia="Times New Roman"/>
                <w:sz w:val="20"/>
                <w:szCs w:val="20"/>
              </w:rPr>
            </w:pPr>
          </w:p>
        </w:tc>
        <w:tc>
          <w:tcPr>
            <w:tcW w:w="0" w:type="auto"/>
            <w:gridSpan w:val="3"/>
            <w:vAlign w:val="center"/>
            <w:hideMark/>
          </w:tcPr>
          <w:p w14:paraId="7D6FF6B9" w14:textId="77777777" w:rsidR="00000000" w:rsidRDefault="00A173A8">
            <w:pPr>
              <w:spacing w:after="100"/>
              <w:rPr>
                <w:rFonts w:eastAsia="Times New Roman"/>
                <w:sz w:val="20"/>
                <w:szCs w:val="20"/>
              </w:rPr>
            </w:pPr>
          </w:p>
        </w:tc>
        <w:tc>
          <w:tcPr>
            <w:tcW w:w="0" w:type="auto"/>
            <w:gridSpan w:val="3"/>
            <w:vAlign w:val="center"/>
            <w:hideMark/>
          </w:tcPr>
          <w:p w14:paraId="4B59171C" w14:textId="77777777" w:rsidR="00000000" w:rsidRDefault="00A173A8">
            <w:pPr>
              <w:spacing w:after="100"/>
              <w:rPr>
                <w:rFonts w:eastAsia="Times New Roman"/>
                <w:sz w:val="20"/>
                <w:szCs w:val="20"/>
              </w:rPr>
            </w:pPr>
          </w:p>
        </w:tc>
        <w:tc>
          <w:tcPr>
            <w:tcW w:w="0" w:type="auto"/>
            <w:gridSpan w:val="3"/>
            <w:vAlign w:val="center"/>
            <w:hideMark/>
          </w:tcPr>
          <w:p w14:paraId="33D86969" w14:textId="77777777" w:rsidR="00000000" w:rsidRDefault="00A173A8">
            <w:pPr>
              <w:spacing w:after="100"/>
              <w:rPr>
                <w:rFonts w:eastAsia="Times New Roman"/>
                <w:sz w:val="20"/>
                <w:szCs w:val="20"/>
              </w:rPr>
            </w:pPr>
          </w:p>
        </w:tc>
        <w:tc>
          <w:tcPr>
            <w:tcW w:w="0" w:type="auto"/>
            <w:gridSpan w:val="3"/>
            <w:vAlign w:val="center"/>
            <w:hideMark/>
          </w:tcPr>
          <w:p w14:paraId="1050ABA0" w14:textId="77777777" w:rsidR="00000000" w:rsidRDefault="00A173A8">
            <w:pPr>
              <w:spacing w:after="100"/>
              <w:rPr>
                <w:rFonts w:eastAsia="Times New Roman"/>
                <w:sz w:val="20"/>
                <w:szCs w:val="20"/>
              </w:rPr>
            </w:pPr>
          </w:p>
        </w:tc>
        <w:tc>
          <w:tcPr>
            <w:tcW w:w="0" w:type="auto"/>
            <w:gridSpan w:val="3"/>
            <w:vAlign w:val="center"/>
            <w:hideMark/>
          </w:tcPr>
          <w:p w14:paraId="01D4E1BC" w14:textId="77777777" w:rsidR="00000000" w:rsidRDefault="00A173A8">
            <w:pPr>
              <w:spacing w:after="100"/>
              <w:rPr>
                <w:rFonts w:eastAsia="Times New Roman"/>
                <w:sz w:val="20"/>
                <w:szCs w:val="20"/>
              </w:rPr>
            </w:pPr>
          </w:p>
        </w:tc>
        <w:tc>
          <w:tcPr>
            <w:tcW w:w="0" w:type="auto"/>
            <w:gridSpan w:val="3"/>
            <w:vAlign w:val="center"/>
            <w:hideMark/>
          </w:tcPr>
          <w:p w14:paraId="5EE49D25" w14:textId="77777777" w:rsidR="00000000" w:rsidRDefault="00A173A8">
            <w:pPr>
              <w:spacing w:after="100"/>
              <w:rPr>
                <w:rFonts w:eastAsia="Times New Roman"/>
                <w:sz w:val="20"/>
                <w:szCs w:val="20"/>
              </w:rPr>
            </w:pPr>
          </w:p>
        </w:tc>
        <w:tc>
          <w:tcPr>
            <w:tcW w:w="0" w:type="auto"/>
            <w:gridSpan w:val="3"/>
            <w:vAlign w:val="center"/>
            <w:hideMark/>
          </w:tcPr>
          <w:p w14:paraId="036D88F6" w14:textId="77777777" w:rsidR="00000000" w:rsidRDefault="00A173A8">
            <w:pPr>
              <w:spacing w:after="100"/>
              <w:rPr>
                <w:rFonts w:eastAsia="Times New Roman"/>
                <w:sz w:val="20"/>
                <w:szCs w:val="20"/>
              </w:rPr>
            </w:pPr>
          </w:p>
        </w:tc>
        <w:tc>
          <w:tcPr>
            <w:tcW w:w="0" w:type="auto"/>
            <w:gridSpan w:val="3"/>
            <w:vAlign w:val="center"/>
            <w:hideMark/>
          </w:tcPr>
          <w:p w14:paraId="1C2BFACB" w14:textId="77777777" w:rsidR="00000000" w:rsidRDefault="00A173A8">
            <w:pPr>
              <w:spacing w:after="100"/>
              <w:rPr>
                <w:rFonts w:eastAsia="Times New Roman"/>
                <w:sz w:val="20"/>
                <w:szCs w:val="20"/>
              </w:rPr>
            </w:pPr>
          </w:p>
        </w:tc>
        <w:tc>
          <w:tcPr>
            <w:tcW w:w="0" w:type="auto"/>
            <w:gridSpan w:val="3"/>
            <w:vAlign w:val="center"/>
            <w:hideMark/>
          </w:tcPr>
          <w:p w14:paraId="5E4104C7" w14:textId="77777777" w:rsidR="00000000" w:rsidRDefault="00A173A8">
            <w:pPr>
              <w:spacing w:after="100"/>
              <w:rPr>
                <w:rFonts w:eastAsia="Times New Roman"/>
                <w:sz w:val="20"/>
                <w:szCs w:val="20"/>
              </w:rPr>
            </w:pPr>
          </w:p>
        </w:tc>
      </w:tr>
      <w:tr w:rsidR="00000000" w14:paraId="7A825DF8" w14:textId="77777777">
        <w:trPr>
          <w:divId w:val="488981052"/>
        </w:trPr>
        <w:tc>
          <w:tcPr>
            <w:tcW w:w="0" w:type="auto"/>
            <w:gridSpan w:val="3"/>
            <w:vAlign w:val="center"/>
            <w:hideMark/>
          </w:tcPr>
          <w:p w14:paraId="4D39FD17" w14:textId="77777777" w:rsidR="00000000" w:rsidRDefault="00A173A8">
            <w:pPr>
              <w:spacing w:after="100"/>
              <w:rPr>
                <w:rFonts w:eastAsia="Times New Roman"/>
                <w:sz w:val="20"/>
                <w:szCs w:val="20"/>
              </w:rPr>
            </w:pPr>
          </w:p>
        </w:tc>
        <w:tc>
          <w:tcPr>
            <w:tcW w:w="0" w:type="auto"/>
            <w:gridSpan w:val="3"/>
            <w:vAlign w:val="center"/>
            <w:hideMark/>
          </w:tcPr>
          <w:p w14:paraId="44AF3EC9" w14:textId="77777777" w:rsidR="00000000" w:rsidRDefault="00A173A8">
            <w:pPr>
              <w:spacing w:after="100"/>
              <w:rPr>
                <w:rFonts w:eastAsia="Times New Roman"/>
                <w:sz w:val="20"/>
                <w:szCs w:val="20"/>
              </w:rPr>
            </w:pPr>
          </w:p>
        </w:tc>
        <w:tc>
          <w:tcPr>
            <w:tcW w:w="0" w:type="auto"/>
            <w:gridSpan w:val="3"/>
            <w:vAlign w:val="center"/>
            <w:hideMark/>
          </w:tcPr>
          <w:p w14:paraId="12088049" w14:textId="77777777" w:rsidR="00000000" w:rsidRDefault="00A173A8">
            <w:pPr>
              <w:spacing w:after="100"/>
              <w:rPr>
                <w:rFonts w:eastAsia="Times New Roman"/>
                <w:sz w:val="20"/>
                <w:szCs w:val="20"/>
              </w:rPr>
            </w:pPr>
          </w:p>
        </w:tc>
        <w:tc>
          <w:tcPr>
            <w:tcW w:w="0" w:type="auto"/>
            <w:gridSpan w:val="3"/>
            <w:vAlign w:val="center"/>
            <w:hideMark/>
          </w:tcPr>
          <w:p w14:paraId="6B2E2D22" w14:textId="77777777" w:rsidR="00000000" w:rsidRDefault="00A173A8">
            <w:pPr>
              <w:spacing w:after="100"/>
              <w:rPr>
                <w:rFonts w:eastAsia="Times New Roman"/>
                <w:sz w:val="20"/>
                <w:szCs w:val="20"/>
              </w:rPr>
            </w:pPr>
          </w:p>
        </w:tc>
        <w:tc>
          <w:tcPr>
            <w:tcW w:w="0" w:type="auto"/>
            <w:gridSpan w:val="3"/>
            <w:vAlign w:val="center"/>
            <w:hideMark/>
          </w:tcPr>
          <w:p w14:paraId="65866F87" w14:textId="77777777" w:rsidR="00000000" w:rsidRDefault="00A173A8">
            <w:pPr>
              <w:spacing w:after="100"/>
              <w:rPr>
                <w:rFonts w:eastAsia="Times New Roman"/>
                <w:sz w:val="20"/>
                <w:szCs w:val="20"/>
              </w:rPr>
            </w:pPr>
          </w:p>
        </w:tc>
        <w:tc>
          <w:tcPr>
            <w:tcW w:w="0" w:type="auto"/>
            <w:gridSpan w:val="3"/>
            <w:vAlign w:val="center"/>
            <w:hideMark/>
          </w:tcPr>
          <w:p w14:paraId="717189BF" w14:textId="77777777" w:rsidR="00000000" w:rsidRDefault="00A173A8">
            <w:pPr>
              <w:spacing w:after="100"/>
              <w:rPr>
                <w:rFonts w:eastAsia="Times New Roman"/>
                <w:sz w:val="20"/>
                <w:szCs w:val="20"/>
              </w:rPr>
            </w:pPr>
          </w:p>
        </w:tc>
        <w:tc>
          <w:tcPr>
            <w:tcW w:w="0" w:type="auto"/>
            <w:gridSpan w:val="3"/>
            <w:vAlign w:val="center"/>
            <w:hideMark/>
          </w:tcPr>
          <w:p w14:paraId="2BBE6052" w14:textId="77777777" w:rsidR="00000000" w:rsidRDefault="00A173A8">
            <w:pPr>
              <w:spacing w:after="100"/>
              <w:rPr>
                <w:rFonts w:eastAsia="Times New Roman"/>
                <w:sz w:val="20"/>
                <w:szCs w:val="20"/>
              </w:rPr>
            </w:pPr>
          </w:p>
        </w:tc>
        <w:tc>
          <w:tcPr>
            <w:tcW w:w="0" w:type="auto"/>
            <w:gridSpan w:val="3"/>
            <w:vAlign w:val="center"/>
            <w:hideMark/>
          </w:tcPr>
          <w:p w14:paraId="4181EE0D" w14:textId="77777777" w:rsidR="00000000" w:rsidRDefault="00A173A8">
            <w:pPr>
              <w:spacing w:after="100"/>
              <w:rPr>
                <w:rFonts w:eastAsia="Times New Roman"/>
                <w:sz w:val="20"/>
                <w:szCs w:val="20"/>
              </w:rPr>
            </w:pPr>
          </w:p>
        </w:tc>
        <w:tc>
          <w:tcPr>
            <w:tcW w:w="0" w:type="auto"/>
            <w:gridSpan w:val="3"/>
            <w:vAlign w:val="center"/>
            <w:hideMark/>
          </w:tcPr>
          <w:p w14:paraId="30962E68" w14:textId="77777777" w:rsidR="00000000" w:rsidRDefault="00A173A8">
            <w:pPr>
              <w:spacing w:after="100"/>
              <w:rPr>
                <w:rFonts w:eastAsia="Times New Roman"/>
                <w:sz w:val="20"/>
                <w:szCs w:val="20"/>
              </w:rPr>
            </w:pPr>
          </w:p>
        </w:tc>
        <w:tc>
          <w:tcPr>
            <w:tcW w:w="0" w:type="auto"/>
            <w:gridSpan w:val="3"/>
            <w:vAlign w:val="center"/>
            <w:hideMark/>
          </w:tcPr>
          <w:p w14:paraId="0C7F22C7" w14:textId="77777777" w:rsidR="00000000" w:rsidRDefault="00A173A8">
            <w:pPr>
              <w:spacing w:after="100"/>
              <w:rPr>
                <w:rFonts w:eastAsia="Times New Roman"/>
                <w:sz w:val="20"/>
                <w:szCs w:val="20"/>
              </w:rPr>
            </w:pPr>
          </w:p>
        </w:tc>
        <w:tc>
          <w:tcPr>
            <w:tcW w:w="0" w:type="auto"/>
            <w:gridSpan w:val="3"/>
            <w:vAlign w:val="center"/>
            <w:hideMark/>
          </w:tcPr>
          <w:p w14:paraId="0465DB5A" w14:textId="77777777" w:rsidR="00000000" w:rsidRDefault="00A173A8">
            <w:pPr>
              <w:spacing w:after="100"/>
              <w:rPr>
                <w:rFonts w:eastAsia="Times New Roman"/>
                <w:sz w:val="20"/>
                <w:szCs w:val="20"/>
              </w:rPr>
            </w:pPr>
          </w:p>
        </w:tc>
        <w:tc>
          <w:tcPr>
            <w:tcW w:w="0" w:type="auto"/>
            <w:gridSpan w:val="3"/>
            <w:vAlign w:val="center"/>
            <w:hideMark/>
          </w:tcPr>
          <w:p w14:paraId="529CC1DE" w14:textId="77777777" w:rsidR="00000000" w:rsidRDefault="00A173A8">
            <w:pPr>
              <w:spacing w:after="100"/>
              <w:rPr>
                <w:rFonts w:eastAsia="Times New Roman"/>
                <w:sz w:val="20"/>
                <w:szCs w:val="20"/>
              </w:rPr>
            </w:pPr>
          </w:p>
        </w:tc>
        <w:tc>
          <w:tcPr>
            <w:tcW w:w="0" w:type="auto"/>
            <w:gridSpan w:val="3"/>
            <w:vAlign w:val="center"/>
            <w:hideMark/>
          </w:tcPr>
          <w:p w14:paraId="62C64800" w14:textId="77777777" w:rsidR="00000000" w:rsidRDefault="00A173A8">
            <w:pPr>
              <w:spacing w:after="100"/>
              <w:rPr>
                <w:rFonts w:eastAsia="Times New Roman"/>
                <w:sz w:val="20"/>
                <w:szCs w:val="20"/>
              </w:rPr>
            </w:pPr>
          </w:p>
        </w:tc>
        <w:tc>
          <w:tcPr>
            <w:tcW w:w="0" w:type="auto"/>
            <w:gridSpan w:val="3"/>
            <w:vAlign w:val="center"/>
            <w:hideMark/>
          </w:tcPr>
          <w:p w14:paraId="6BC5067B" w14:textId="77777777" w:rsidR="00000000" w:rsidRDefault="00A173A8">
            <w:pPr>
              <w:spacing w:after="100"/>
              <w:rPr>
                <w:rFonts w:eastAsia="Times New Roman"/>
                <w:sz w:val="20"/>
                <w:szCs w:val="20"/>
              </w:rPr>
            </w:pPr>
          </w:p>
        </w:tc>
        <w:tc>
          <w:tcPr>
            <w:tcW w:w="0" w:type="auto"/>
            <w:gridSpan w:val="3"/>
            <w:vAlign w:val="center"/>
            <w:hideMark/>
          </w:tcPr>
          <w:p w14:paraId="00969EC3" w14:textId="77777777" w:rsidR="00000000" w:rsidRDefault="00A173A8">
            <w:pPr>
              <w:spacing w:after="100"/>
              <w:rPr>
                <w:rFonts w:eastAsia="Times New Roman"/>
                <w:sz w:val="20"/>
                <w:szCs w:val="20"/>
              </w:rPr>
            </w:pPr>
          </w:p>
        </w:tc>
        <w:tc>
          <w:tcPr>
            <w:tcW w:w="0" w:type="auto"/>
            <w:gridSpan w:val="3"/>
            <w:vAlign w:val="center"/>
            <w:hideMark/>
          </w:tcPr>
          <w:p w14:paraId="2D555EE8" w14:textId="77777777" w:rsidR="00000000" w:rsidRDefault="00A173A8">
            <w:pPr>
              <w:spacing w:after="100"/>
              <w:rPr>
                <w:rFonts w:eastAsia="Times New Roman"/>
                <w:sz w:val="20"/>
                <w:szCs w:val="20"/>
              </w:rPr>
            </w:pPr>
          </w:p>
        </w:tc>
        <w:tc>
          <w:tcPr>
            <w:tcW w:w="0" w:type="auto"/>
            <w:gridSpan w:val="3"/>
            <w:vAlign w:val="center"/>
            <w:hideMark/>
          </w:tcPr>
          <w:p w14:paraId="3F26A95F" w14:textId="77777777" w:rsidR="00000000" w:rsidRDefault="00A173A8">
            <w:pPr>
              <w:spacing w:after="100"/>
              <w:rPr>
                <w:rFonts w:eastAsia="Times New Roman"/>
                <w:sz w:val="20"/>
                <w:szCs w:val="20"/>
              </w:rPr>
            </w:pPr>
          </w:p>
        </w:tc>
        <w:tc>
          <w:tcPr>
            <w:tcW w:w="0" w:type="auto"/>
            <w:gridSpan w:val="3"/>
            <w:vAlign w:val="center"/>
            <w:hideMark/>
          </w:tcPr>
          <w:p w14:paraId="493C849B" w14:textId="77777777" w:rsidR="00000000" w:rsidRDefault="00A173A8">
            <w:pPr>
              <w:spacing w:after="100"/>
              <w:rPr>
                <w:rFonts w:eastAsia="Times New Roman"/>
                <w:sz w:val="20"/>
                <w:szCs w:val="20"/>
              </w:rPr>
            </w:pPr>
          </w:p>
        </w:tc>
        <w:tc>
          <w:tcPr>
            <w:tcW w:w="0" w:type="auto"/>
            <w:gridSpan w:val="3"/>
            <w:vAlign w:val="center"/>
            <w:hideMark/>
          </w:tcPr>
          <w:p w14:paraId="31B7FD6F" w14:textId="77777777" w:rsidR="00000000" w:rsidRDefault="00A173A8">
            <w:pPr>
              <w:spacing w:after="100"/>
              <w:rPr>
                <w:rFonts w:eastAsia="Times New Roman"/>
                <w:sz w:val="20"/>
                <w:szCs w:val="20"/>
              </w:rPr>
            </w:pPr>
          </w:p>
        </w:tc>
      </w:tr>
      <w:tr w:rsidR="00000000" w14:paraId="4D2C9888" w14:textId="77777777">
        <w:trPr>
          <w:divId w:val="488981052"/>
        </w:trPr>
        <w:tc>
          <w:tcPr>
            <w:tcW w:w="0" w:type="auto"/>
            <w:gridSpan w:val="3"/>
            <w:vAlign w:val="center"/>
            <w:hideMark/>
          </w:tcPr>
          <w:p w14:paraId="765BDA58" w14:textId="77777777" w:rsidR="00000000" w:rsidRDefault="00A173A8">
            <w:pPr>
              <w:spacing w:after="100"/>
              <w:rPr>
                <w:rFonts w:eastAsia="Times New Roman"/>
                <w:sz w:val="20"/>
                <w:szCs w:val="20"/>
              </w:rPr>
            </w:pPr>
          </w:p>
        </w:tc>
        <w:tc>
          <w:tcPr>
            <w:tcW w:w="0" w:type="auto"/>
            <w:gridSpan w:val="3"/>
            <w:vAlign w:val="center"/>
            <w:hideMark/>
          </w:tcPr>
          <w:p w14:paraId="3CD4477F" w14:textId="77777777" w:rsidR="00000000" w:rsidRDefault="00A173A8">
            <w:pPr>
              <w:spacing w:after="100"/>
              <w:rPr>
                <w:rFonts w:eastAsia="Times New Roman"/>
                <w:sz w:val="20"/>
                <w:szCs w:val="20"/>
              </w:rPr>
            </w:pPr>
          </w:p>
        </w:tc>
        <w:tc>
          <w:tcPr>
            <w:tcW w:w="0" w:type="auto"/>
            <w:gridSpan w:val="3"/>
            <w:vAlign w:val="center"/>
            <w:hideMark/>
          </w:tcPr>
          <w:p w14:paraId="36C7B1C6" w14:textId="77777777" w:rsidR="00000000" w:rsidRDefault="00A173A8">
            <w:pPr>
              <w:spacing w:after="100"/>
              <w:rPr>
                <w:rFonts w:eastAsia="Times New Roman"/>
                <w:sz w:val="20"/>
                <w:szCs w:val="20"/>
              </w:rPr>
            </w:pPr>
          </w:p>
        </w:tc>
        <w:tc>
          <w:tcPr>
            <w:tcW w:w="0" w:type="auto"/>
            <w:gridSpan w:val="3"/>
            <w:vAlign w:val="center"/>
            <w:hideMark/>
          </w:tcPr>
          <w:p w14:paraId="25FBBC38" w14:textId="77777777" w:rsidR="00000000" w:rsidRDefault="00A173A8">
            <w:pPr>
              <w:spacing w:after="100"/>
              <w:rPr>
                <w:rFonts w:eastAsia="Times New Roman"/>
                <w:sz w:val="20"/>
                <w:szCs w:val="20"/>
              </w:rPr>
            </w:pPr>
          </w:p>
        </w:tc>
        <w:tc>
          <w:tcPr>
            <w:tcW w:w="0" w:type="auto"/>
            <w:gridSpan w:val="3"/>
            <w:vAlign w:val="center"/>
            <w:hideMark/>
          </w:tcPr>
          <w:p w14:paraId="4570682A" w14:textId="77777777" w:rsidR="00000000" w:rsidRDefault="00A173A8">
            <w:pPr>
              <w:spacing w:after="100"/>
              <w:rPr>
                <w:rFonts w:eastAsia="Times New Roman"/>
                <w:sz w:val="20"/>
                <w:szCs w:val="20"/>
              </w:rPr>
            </w:pPr>
          </w:p>
        </w:tc>
        <w:tc>
          <w:tcPr>
            <w:tcW w:w="0" w:type="auto"/>
            <w:gridSpan w:val="3"/>
            <w:vAlign w:val="center"/>
            <w:hideMark/>
          </w:tcPr>
          <w:p w14:paraId="0458F977" w14:textId="77777777" w:rsidR="00000000" w:rsidRDefault="00A173A8">
            <w:pPr>
              <w:spacing w:after="100"/>
              <w:rPr>
                <w:rFonts w:eastAsia="Times New Roman"/>
                <w:sz w:val="20"/>
                <w:szCs w:val="20"/>
              </w:rPr>
            </w:pPr>
          </w:p>
        </w:tc>
        <w:tc>
          <w:tcPr>
            <w:tcW w:w="0" w:type="auto"/>
            <w:gridSpan w:val="3"/>
            <w:vAlign w:val="center"/>
            <w:hideMark/>
          </w:tcPr>
          <w:p w14:paraId="6466F46A" w14:textId="77777777" w:rsidR="00000000" w:rsidRDefault="00A173A8">
            <w:pPr>
              <w:spacing w:after="100"/>
              <w:rPr>
                <w:rFonts w:eastAsia="Times New Roman"/>
                <w:sz w:val="20"/>
                <w:szCs w:val="20"/>
              </w:rPr>
            </w:pPr>
          </w:p>
        </w:tc>
        <w:tc>
          <w:tcPr>
            <w:tcW w:w="0" w:type="auto"/>
            <w:gridSpan w:val="3"/>
            <w:vAlign w:val="center"/>
            <w:hideMark/>
          </w:tcPr>
          <w:p w14:paraId="5CBB6A76" w14:textId="77777777" w:rsidR="00000000" w:rsidRDefault="00A173A8">
            <w:pPr>
              <w:spacing w:after="100"/>
              <w:rPr>
                <w:rFonts w:eastAsia="Times New Roman"/>
                <w:sz w:val="20"/>
                <w:szCs w:val="20"/>
              </w:rPr>
            </w:pPr>
          </w:p>
        </w:tc>
        <w:tc>
          <w:tcPr>
            <w:tcW w:w="0" w:type="auto"/>
            <w:gridSpan w:val="3"/>
            <w:vAlign w:val="center"/>
            <w:hideMark/>
          </w:tcPr>
          <w:p w14:paraId="1CF0168C" w14:textId="77777777" w:rsidR="00000000" w:rsidRDefault="00A173A8">
            <w:pPr>
              <w:spacing w:after="100"/>
              <w:rPr>
                <w:rFonts w:eastAsia="Times New Roman"/>
                <w:sz w:val="20"/>
                <w:szCs w:val="20"/>
              </w:rPr>
            </w:pPr>
          </w:p>
        </w:tc>
        <w:tc>
          <w:tcPr>
            <w:tcW w:w="0" w:type="auto"/>
            <w:gridSpan w:val="3"/>
            <w:vAlign w:val="center"/>
            <w:hideMark/>
          </w:tcPr>
          <w:p w14:paraId="419DBEFE" w14:textId="77777777" w:rsidR="00000000" w:rsidRDefault="00A173A8">
            <w:pPr>
              <w:spacing w:after="100"/>
              <w:rPr>
                <w:rFonts w:eastAsia="Times New Roman"/>
                <w:sz w:val="20"/>
                <w:szCs w:val="20"/>
              </w:rPr>
            </w:pPr>
          </w:p>
        </w:tc>
        <w:tc>
          <w:tcPr>
            <w:tcW w:w="0" w:type="auto"/>
            <w:gridSpan w:val="3"/>
            <w:vAlign w:val="center"/>
            <w:hideMark/>
          </w:tcPr>
          <w:p w14:paraId="5BB4F0B6" w14:textId="77777777" w:rsidR="00000000" w:rsidRDefault="00A173A8">
            <w:pPr>
              <w:spacing w:after="100"/>
              <w:rPr>
                <w:rFonts w:eastAsia="Times New Roman"/>
                <w:sz w:val="20"/>
                <w:szCs w:val="20"/>
              </w:rPr>
            </w:pPr>
          </w:p>
        </w:tc>
        <w:tc>
          <w:tcPr>
            <w:tcW w:w="0" w:type="auto"/>
            <w:gridSpan w:val="3"/>
            <w:vAlign w:val="center"/>
            <w:hideMark/>
          </w:tcPr>
          <w:p w14:paraId="4783592C" w14:textId="77777777" w:rsidR="00000000" w:rsidRDefault="00A173A8">
            <w:pPr>
              <w:spacing w:after="100"/>
              <w:rPr>
                <w:rFonts w:eastAsia="Times New Roman"/>
                <w:sz w:val="20"/>
                <w:szCs w:val="20"/>
              </w:rPr>
            </w:pPr>
          </w:p>
        </w:tc>
        <w:tc>
          <w:tcPr>
            <w:tcW w:w="0" w:type="auto"/>
            <w:gridSpan w:val="3"/>
            <w:vAlign w:val="center"/>
            <w:hideMark/>
          </w:tcPr>
          <w:p w14:paraId="1500CBC6" w14:textId="77777777" w:rsidR="00000000" w:rsidRDefault="00A173A8">
            <w:pPr>
              <w:spacing w:after="100"/>
              <w:rPr>
                <w:rFonts w:eastAsia="Times New Roman"/>
                <w:sz w:val="20"/>
                <w:szCs w:val="20"/>
              </w:rPr>
            </w:pPr>
          </w:p>
        </w:tc>
        <w:tc>
          <w:tcPr>
            <w:tcW w:w="0" w:type="auto"/>
            <w:gridSpan w:val="3"/>
            <w:vAlign w:val="center"/>
            <w:hideMark/>
          </w:tcPr>
          <w:p w14:paraId="5A9615CA" w14:textId="77777777" w:rsidR="00000000" w:rsidRDefault="00A173A8">
            <w:pPr>
              <w:spacing w:after="100"/>
              <w:rPr>
                <w:rFonts w:eastAsia="Times New Roman"/>
                <w:sz w:val="20"/>
                <w:szCs w:val="20"/>
              </w:rPr>
            </w:pPr>
          </w:p>
        </w:tc>
        <w:tc>
          <w:tcPr>
            <w:tcW w:w="0" w:type="auto"/>
            <w:gridSpan w:val="3"/>
            <w:vAlign w:val="center"/>
            <w:hideMark/>
          </w:tcPr>
          <w:p w14:paraId="4ACEBC53" w14:textId="77777777" w:rsidR="00000000" w:rsidRDefault="00A173A8">
            <w:pPr>
              <w:spacing w:after="100"/>
              <w:rPr>
                <w:rFonts w:eastAsia="Times New Roman"/>
                <w:sz w:val="20"/>
                <w:szCs w:val="20"/>
              </w:rPr>
            </w:pPr>
          </w:p>
        </w:tc>
        <w:tc>
          <w:tcPr>
            <w:tcW w:w="0" w:type="auto"/>
            <w:gridSpan w:val="3"/>
            <w:vAlign w:val="center"/>
            <w:hideMark/>
          </w:tcPr>
          <w:p w14:paraId="781BA31A" w14:textId="77777777" w:rsidR="00000000" w:rsidRDefault="00A173A8">
            <w:pPr>
              <w:spacing w:after="100"/>
              <w:rPr>
                <w:rFonts w:eastAsia="Times New Roman"/>
                <w:sz w:val="20"/>
                <w:szCs w:val="20"/>
              </w:rPr>
            </w:pPr>
          </w:p>
        </w:tc>
        <w:tc>
          <w:tcPr>
            <w:tcW w:w="0" w:type="auto"/>
            <w:gridSpan w:val="3"/>
            <w:vAlign w:val="center"/>
            <w:hideMark/>
          </w:tcPr>
          <w:p w14:paraId="574D0C50" w14:textId="77777777" w:rsidR="00000000" w:rsidRDefault="00A173A8">
            <w:pPr>
              <w:spacing w:after="100"/>
              <w:rPr>
                <w:rFonts w:eastAsia="Times New Roman"/>
                <w:sz w:val="20"/>
                <w:szCs w:val="20"/>
              </w:rPr>
            </w:pPr>
          </w:p>
        </w:tc>
        <w:tc>
          <w:tcPr>
            <w:tcW w:w="0" w:type="auto"/>
            <w:gridSpan w:val="3"/>
            <w:vAlign w:val="center"/>
            <w:hideMark/>
          </w:tcPr>
          <w:p w14:paraId="41DE3A3F" w14:textId="77777777" w:rsidR="00000000" w:rsidRDefault="00A173A8">
            <w:pPr>
              <w:spacing w:after="100"/>
              <w:rPr>
                <w:rFonts w:eastAsia="Times New Roman"/>
                <w:sz w:val="20"/>
                <w:szCs w:val="20"/>
              </w:rPr>
            </w:pPr>
          </w:p>
        </w:tc>
        <w:tc>
          <w:tcPr>
            <w:tcW w:w="0" w:type="auto"/>
            <w:gridSpan w:val="3"/>
            <w:vAlign w:val="center"/>
            <w:hideMark/>
          </w:tcPr>
          <w:p w14:paraId="056D4CEB" w14:textId="77777777" w:rsidR="00000000" w:rsidRDefault="00A173A8">
            <w:pPr>
              <w:spacing w:after="100"/>
              <w:rPr>
                <w:rFonts w:eastAsia="Times New Roman"/>
                <w:sz w:val="20"/>
                <w:szCs w:val="20"/>
              </w:rPr>
            </w:pPr>
          </w:p>
        </w:tc>
      </w:tr>
      <w:tr w:rsidR="00000000" w14:paraId="1405F579" w14:textId="77777777">
        <w:trPr>
          <w:divId w:val="488981052"/>
        </w:trPr>
        <w:tc>
          <w:tcPr>
            <w:tcW w:w="0" w:type="auto"/>
            <w:gridSpan w:val="3"/>
            <w:vAlign w:val="center"/>
            <w:hideMark/>
          </w:tcPr>
          <w:p w14:paraId="42E465FC" w14:textId="77777777" w:rsidR="00000000" w:rsidRDefault="00A173A8">
            <w:pPr>
              <w:spacing w:after="100"/>
              <w:rPr>
                <w:rFonts w:eastAsia="Times New Roman"/>
                <w:sz w:val="20"/>
                <w:szCs w:val="20"/>
              </w:rPr>
            </w:pPr>
          </w:p>
        </w:tc>
        <w:tc>
          <w:tcPr>
            <w:tcW w:w="0" w:type="auto"/>
            <w:gridSpan w:val="3"/>
            <w:vAlign w:val="center"/>
            <w:hideMark/>
          </w:tcPr>
          <w:p w14:paraId="4F294073" w14:textId="77777777" w:rsidR="00000000" w:rsidRDefault="00A173A8">
            <w:pPr>
              <w:spacing w:after="100"/>
              <w:rPr>
                <w:rFonts w:eastAsia="Times New Roman"/>
                <w:sz w:val="20"/>
                <w:szCs w:val="20"/>
              </w:rPr>
            </w:pPr>
          </w:p>
        </w:tc>
        <w:tc>
          <w:tcPr>
            <w:tcW w:w="0" w:type="auto"/>
            <w:gridSpan w:val="3"/>
            <w:vAlign w:val="center"/>
            <w:hideMark/>
          </w:tcPr>
          <w:p w14:paraId="7C9A55B0" w14:textId="77777777" w:rsidR="00000000" w:rsidRDefault="00A173A8">
            <w:pPr>
              <w:spacing w:after="100"/>
              <w:rPr>
                <w:rFonts w:eastAsia="Times New Roman"/>
                <w:sz w:val="20"/>
                <w:szCs w:val="20"/>
              </w:rPr>
            </w:pPr>
          </w:p>
        </w:tc>
        <w:tc>
          <w:tcPr>
            <w:tcW w:w="0" w:type="auto"/>
            <w:gridSpan w:val="3"/>
            <w:vAlign w:val="center"/>
            <w:hideMark/>
          </w:tcPr>
          <w:p w14:paraId="47D63FF1" w14:textId="77777777" w:rsidR="00000000" w:rsidRDefault="00A173A8">
            <w:pPr>
              <w:spacing w:after="100"/>
              <w:rPr>
                <w:rFonts w:eastAsia="Times New Roman"/>
                <w:sz w:val="20"/>
                <w:szCs w:val="20"/>
              </w:rPr>
            </w:pPr>
          </w:p>
        </w:tc>
        <w:tc>
          <w:tcPr>
            <w:tcW w:w="0" w:type="auto"/>
            <w:gridSpan w:val="3"/>
            <w:vAlign w:val="center"/>
            <w:hideMark/>
          </w:tcPr>
          <w:p w14:paraId="015FD5E6" w14:textId="77777777" w:rsidR="00000000" w:rsidRDefault="00A173A8">
            <w:pPr>
              <w:spacing w:after="100"/>
              <w:rPr>
                <w:rFonts w:eastAsia="Times New Roman"/>
                <w:sz w:val="20"/>
                <w:szCs w:val="20"/>
              </w:rPr>
            </w:pPr>
          </w:p>
        </w:tc>
        <w:tc>
          <w:tcPr>
            <w:tcW w:w="0" w:type="auto"/>
            <w:gridSpan w:val="3"/>
            <w:vAlign w:val="center"/>
            <w:hideMark/>
          </w:tcPr>
          <w:p w14:paraId="549D87C2" w14:textId="77777777" w:rsidR="00000000" w:rsidRDefault="00A173A8">
            <w:pPr>
              <w:spacing w:after="100"/>
              <w:rPr>
                <w:rFonts w:eastAsia="Times New Roman"/>
                <w:sz w:val="20"/>
                <w:szCs w:val="20"/>
              </w:rPr>
            </w:pPr>
          </w:p>
        </w:tc>
        <w:tc>
          <w:tcPr>
            <w:tcW w:w="0" w:type="auto"/>
            <w:gridSpan w:val="3"/>
            <w:vAlign w:val="center"/>
            <w:hideMark/>
          </w:tcPr>
          <w:p w14:paraId="3A6E07F4" w14:textId="77777777" w:rsidR="00000000" w:rsidRDefault="00A173A8">
            <w:pPr>
              <w:spacing w:after="100"/>
              <w:rPr>
                <w:rFonts w:eastAsia="Times New Roman"/>
                <w:sz w:val="20"/>
                <w:szCs w:val="20"/>
              </w:rPr>
            </w:pPr>
          </w:p>
        </w:tc>
        <w:tc>
          <w:tcPr>
            <w:tcW w:w="0" w:type="auto"/>
            <w:gridSpan w:val="3"/>
            <w:vAlign w:val="center"/>
            <w:hideMark/>
          </w:tcPr>
          <w:p w14:paraId="2A33DEDA" w14:textId="77777777" w:rsidR="00000000" w:rsidRDefault="00A173A8">
            <w:pPr>
              <w:spacing w:after="100"/>
              <w:rPr>
                <w:rFonts w:eastAsia="Times New Roman"/>
                <w:sz w:val="20"/>
                <w:szCs w:val="20"/>
              </w:rPr>
            </w:pPr>
          </w:p>
        </w:tc>
        <w:tc>
          <w:tcPr>
            <w:tcW w:w="0" w:type="auto"/>
            <w:gridSpan w:val="3"/>
            <w:vAlign w:val="center"/>
            <w:hideMark/>
          </w:tcPr>
          <w:p w14:paraId="22F9286A" w14:textId="77777777" w:rsidR="00000000" w:rsidRDefault="00A173A8">
            <w:pPr>
              <w:spacing w:after="100"/>
              <w:rPr>
                <w:rFonts w:eastAsia="Times New Roman"/>
                <w:sz w:val="20"/>
                <w:szCs w:val="20"/>
              </w:rPr>
            </w:pPr>
          </w:p>
        </w:tc>
        <w:tc>
          <w:tcPr>
            <w:tcW w:w="0" w:type="auto"/>
            <w:gridSpan w:val="3"/>
            <w:vAlign w:val="center"/>
            <w:hideMark/>
          </w:tcPr>
          <w:p w14:paraId="4B902E78" w14:textId="77777777" w:rsidR="00000000" w:rsidRDefault="00A173A8">
            <w:pPr>
              <w:spacing w:after="100"/>
              <w:rPr>
                <w:rFonts w:eastAsia="Times New Roman"/>
                <w:sz w:val="20"/>
                <w:szCs w:val="20"/>
              </w:rPr>
            </w:pPr>
          </w:p>
        </w:tc>
        <w:tc>
          <w:tcPr>
            <w:tcW w:w="0" w:type="auto"/>
            <w:gridSpan w:val="3"/>
            <w:vAlign w:val="center"/>
            <w:hideMark/>
          </w:tcPr>
          <w:p w14:paraId="755381C4" w14:textId="77777777" w:rsidR="00000000" w:rsidRDefault="00A173A8">
            <w:pPr>
              <w:spacing w:after="100"/>
              <w:rPr>
                <w:rFonts w:eastAsia="Times New Roman"/>
                <w:sz w:val="20"/>
                <w:szCs w:val="20"/>
              </w:rPr>
            </w:pPr>
          </w:p>
        </w:tc>
        <w:tc>
          <w:tcPr>
            <w:tcW w:w="0" w:type="auto"/>
            <w:gridSpan w:val="3"/>
            <w:vAlign w:val="center"/>
            <w:hideMark/>
          </w:tcPr>
          <w:p w14:paraId="1FA623AE" w14:textId="77777777" w:rsidR="00000000" w:rsidRDefault="00A173A8">
            <w:pPr>
              <w:spacing w:after="100"/>
              <w:rPr>
                <w:rFonts w:eastAsia="Times New Roman"/>
                <w:sz w:val="20"/>
                <w:szCs w:val="20"/>
              </w:rPr>
            </w:pPr>
          </w:p>
        </w:tc>
        <w:tc>
          <w:tcPr>
            <w:tcW w:w="0" w:type="auto"/>
            <w:gridSpan w:val="3"/>
            <w:vAlign w:val="center"/>
            <w:hideMark/>
          </w:tcPr>
          <w:p w14:paraId="43B39E35" w14:textId="77777777" w:rsidR="00000000" w:rsidRDefault="00A173A8">
            <w:pPr>
              <w:spacing w:after="100"/>
              <w:rPr>
                <w:rFonts w:eastAsia="Times New Roman"/>
                <w:sz w:val="20"/>
                <w:szCs w:val="20"/>
              </w:rPr>
            </w:pPr>
          </w:p>
        </w:tc>
        <w:tc>
          <w:tcPr>
            <w:tcW w:w="0" w:type="auto"/>
            <w:gridSpan w:val="3"/>
            <w:vAlign w:val="center"/>
            <w:hideMark/>
          </w:tcPr>
          <w:p w14:paraId="5CC9227B" w14:textId="77777777" w:rsidR="00000000" w:rsidRDefault="00A173A8">
            <w:pPr>
              <w:spacing w:after="100"/>
              <w:rPr>
                <w:rFonts w:eastAsia="Times New Roman"/>
                <w:sz w:val="20"/>
                <w:szCs w:val="20"/>
              </w:rPr>
            </w:pPr>
          </w:p>
        </w:tc>
        <w:tc>
          <w:tcPr>
            <w:tcW w:w="0" w:type="auto"/>
            <w:gridSpan w:val="3"/>
            <w:vAlign w:val="center"/>
            <w:hideMark/>
          </w:tcPr>
          <w:p w14:paraId="2B3CB09C" w14:textId="77777777" w:rsidR="00000000" w:rsidRDefault="00A173A8">
            <w:pPr>
              <w:spacing w:after="100"/>
              <w:rPr>
                <w:rFonts w:eastAsia="Times New Roman"/>
                <w:sz w:val="20"/>
                <w:szCs w:val="20"/>
              </w:rPr>
            </w:pPr>
          </w:p>
        </w:tc>
        <w:tc>
          <w:tcPr>
            <w:tcW w:w="0" w:type="auto"/>
            <w:gridSpan w:val="3"/>
            <w:vAlign w:val="center"/>
            <w:hideMark/>
          </w:tcPr>
          <w:p w14:paraId="5250280A" w14:textId="77777777" w:rsidR="00000000" w:rsidRDefault="00A173A8">
            <w:pPr>
              <w:spacing w:after="100"/>
              <w:rPr>
                <w:rFonts w:eastAsia="Times New Roman"/>
                <w:sz w:val="20"/>
                <w:szCs w:val="20"/>
              </w:rPr>
            </w:pPr>
          </w:p>
        </w:tc>
        <w:tc>
          <w:tcPr>
            <w:tcW w:w="0" w:type="auto"/>
            <w:gridSpan w:val="3"/>
            <w:vAlign w:val="center"/>
            <w:hideMark/>
          </w:tcPr>
          <w:p w14:paraId="681CD987" w14:textId="77777777" w:rsidR="00000000" w:rsidRDefault="00A173A8">
            <w:pPr>
              <w:spacing w:after="100"/>
              <w:rPr>
                <w:rFonts w:eastAsia="Times New Roman"/>
                <w:sz w:val="20"/>
                <w:szCs w:val="20"/>
              </w:rPr>
            </w:pPr>
          </w:p>
        </w:tc>
        <w:tc>
          <w:tcPr>
            <w:tcW w:w="0" w:type="auto"/>
            <w:gridSpan w:val="3"/>
            <w:vAlign w:val="center"/>
            <w:hideMark/>
          </w:tcPr>
          <w:p w14:paraId="35D1FE57" w14:textId="77777777" w:rsidR="00000000" w:rsidRDefault="00A173A8">
            <w:pPr>
              <w:spacing w:after="100"/>
              <w:rPr>
                <w:rFonts w:eastAsia="Times New Roman"/>
                <w:sz w:val="20"/>
                <w:szCs w:val="20"/>
              </w:rPr>
            </w:pPr>
          </w:p>
        </w:tc>
        <w:tc>
          <w:tcPr>
            <w:tcW w:w="0" w:type="auto"/>
            <w:gridSpan w:val="3"/>
            <w:vAlign w:val="center"/>
            <w:hideMark/>
          </w:tcPr>
          <w:p w14:paraId="54171177" w14:textId="77777777" w:rsidR="00000000" w:rsidRDefault="00A173A8">
            <w:pPr>
              <w:spacing w:after="100"/>
              <w:rPr>
                <w:rFonts w:eastAsia="Times New Roman"/>
                <w:sz w:val="20"/>
                <w:szCs w:val="20"/>
              </w:rPr>
            </w:pPr>
          </w:p>
        </w:tc>
      </w:tr>
      <w:tr w:rsidR="00000000" w14:paraId="0BACC95A" w14:textId="77777777">
        <w:trPr>
          <w:divId w:val="488981052"/>
        </w:trPr>
        <w:tc>
          <w:tcPr>
            <w:tcW w:w="0" w:type="auto"/>
            <w:gridSpan w:val="3"/>
            <w:vAlign w:val="center"/>
            <w:hideMark/>
          </w:tcPr>
          <w:p w14:paraId="43A6E45F" w14:textId="77777777" w:rsidR="00000000" w:rsidRDefault="00A173A8">
            <w:pPr>
              <w:spacing w:after="100"/>
              <w:rPr>
                <w:rFonts w:eastAsia="Times New Roman"/>
                <w:sz w:val="20"/>
                <w:szCs w:val="20"/>
              </w:rPr>
            </w:pPr>
          </w:p>
        </w:tc>
        <w:tc>
          <w:tcPr>
            <w:tcW w:w="0" w:type="auto"/>
            <w:gridSpan w:val="3"/>
            <w:vAlign w:val="center"/>
            <w:hideMark/>
          </w:tcPr>
          <w:p w14:paraId="7493D9F0" w14:textId="77777777" w:rsidR="00000000" w:rsidRDefault="00A173A8">
            <w:pPr>
              <w:spacing w:after="100"/>
              <w:rPr>
                <w:rFonts w:eastAsia="Times New Roman"/>
                <w:sz w:val="20"/>
                <w:szCs w:val="20"/>
              </w:rPr>
            </w:pPr>
          </w:p>
        </w:tc>
        <w:tc>
          <w:tcPr>
            <w:tcW w:w="0" w:type="auto"/>
            <w:gridSpan w:val="3"/>
            <w:vAlign w:val="center"/>
            <w:hideMark/>
          </w:tcPr>
          <w:p w14:paraId="671CCCB0" w14:textId="77777777" w:rsidR="00000000" w:rsidRDefault="00A173A8">
            <w:pPr>
              <w:spacing w:after="100"/>
              <w:rPr>
                <w:rFonts w:eastAsia="Times New Roman"/>
                <w:sz w:val="20"/>
                <w:szCs w:val="20"/>
              </w:rPr>
            </w:pPr>
          </w:p>
        </w:tc>
        <w:tc>
          <w:tcPr>
            <w:tcW w:w="0" w:type="auto"/>
            <w:gridSpan w:val="3"/>
            <w:vAlign w:val="center"/>
            <w:hideMark/>
          </w:tcPr>
          <w:p w14:paraId="56E5698E" w14:textId="77777777" w:rsidR="00000000" w:rsidRDefault="00A173A8">
            <w:pPr>
              <w:spacing w:after="100"/>
              <w:rPr>
                <w:rFonts w:eastAsia="Times New Roman"/>
                <w:sz w:val="20"/>
                <w:szCs w:val="20"/>
              </w:rPr>
            </w:pPr>
          </w:p>
        </w:tc>
        <w:tc>
          <w:tcPr>
            <w:tcW w:w="0" w:type="auto"/>
            <w:gridSpan w:val="3"/>
            <w:vAlign w:val="center"/>
            <w:hideMark/>
          </w:tcPr>
          <w:p w14:paraId="3A0F62D3" w14:textId="77777777" w:rsidR="00000000" w:rsidRDefault="00A173A8">
            <w:pPr>
              <w:spacing w:after="100"/>
              <w:rPr>
                <w:rFonts w:eastAsia="Times New Roman"/>
                <w:sz w:val="20"/>
                <w:szCs w:val="20"/>
              </w:rPr>
            </w:pPr>
          </w:p>
        </w:tc>
        <w:tc>
          <w:tcPr>
            <w:tcW w:w="0" w:type="auto"/>
            <w:gridSpan w:val="3"/>
            <w:vAlign w:val="center"/>
            <w:hideMark/>
          </w:tcPr>
          <w:p w14:paraId="7B4F0440" w14:textId="77777777" w:rsidR="00000000" w:rsidRDefault="00A173A8">
            <w:pPr>
              <w:spacing w:after="100"/>
              <w:rPr>
                <w:rFonts w:eastAsia="Times New Roman"/>
                <w:sz w:val="20"/>
                <w:szCs w:val="20"/>
              </w:rPr>
            </w:pPr>
          </w:p>
        </w:tc>
        <w:tc>
          <w:tcPr>
            <w:tcW w:w="0" w:type="auto"/>
            <w:gridSpan w:val="3"/>
            <w:vAlign w:val="center"/>
            <w:hideMark/>
          </w:tcPr>
          <w:p w14:paraId="21631605" w14:textId="77777777" w:rsidR="00000000" w:rsidRDefault="00A173A8">
            <w:pPr>
              <w:spacing w:after="100"/>
              <w:rPr>
                <w:rFonts w:eastAsia="Times New Roman"/>
                <w:sz w:val="20"/>
                <w:szCs w:val="20"/>
              </w:rPr>
            </w:pPr>
          </w:p>
        </w:tc>
        <w:tc>
          <w:tcPr>
            <w:tcW w:w="0" w:type="auto"/>
            <w:gridSpan w:val="3"/>
            <w:vAlign w:val="center"/>
            <w:hideMark/>
          </w:tcPr>
          <w:p w14:paraId="71508093" w14:textId="77777777" w:rsidR="00000000" w:rsidRDefault="00A173A8">
            <w:pPr>
              <w:spacing w:after="100"/>
              <w:rPr>
                <w:rFonts w:eastAsia="Times New Roman"/>
                <w:sz w:val="20"/>
                <w:szCs w:val="20"/>
              </w:rPr>
            </w:pPr>
          </w:p>
        </w:tc>
        <w:tc>
          <w:tcPr>
            <w:tcW w:w="0" w:type="auto"/>
            <w:gridSpan w:val="3"/>
            <w:vAlign w:val="center"/>
            <w:hideMark/>
          </w:tcPr>
          <w:p w14:paraId="38618189" w14:textId="77777777" w:rsidR="00000000" w:rsidRDefault="00A173A8">
            <w:pPr>
              <w:spacing w:after="100"/>
              <w:rPr>
                <w:rFonts w:eastAsia="Times New Roman"/>
                <w:sz w:val="20"/>
                <w:szCs w:val="20"/>
              </w:rPr>
            </w:pPr>
          </w:p>
        </w:tc>
        <w:tc>
          <w:tcPr>
            <w:tcW w:w="0" w:type="auto"/>
            <w:gridSpan w:val="3"/>
            <w:vAlign w:val="center"/>
            <w:hideMark/>
          </w:tcPr>
          <w:p w14:paraId="0FB3419C" w14:textId="77777777" w:rsidR="00000000" w:rsidRDefault="00A173A8">
            <w:pPr>
              <w:spacing w:after="100"/>
              <w:rPr>
                <w:rFonts w:eastAsia="Times New Roman"/>
                <w:sz w:val="20"/>
                <w:szCs w:val="20"/>
              </w:rPr>
            </w:pPr>
          </w:p>
        </w:tc>
        <w:tc>
          <w:tcPr>
            <w:tcW w:w="0" w:type="auto"/>
            <w:gridSpan w:val="3"/>
            <w:vAlign w:val="center"/>
            <w:hideMark/>
          </w:tcPr>
          <w:p w14:paraId="6AE8B32B" w14:textId="77777777" w:rsidR="00000000" w:rsidRDefault="00A173A8">
            <w:pPr>
              <w:spacing w:after="100"/>
              <w:rPr>
                <w:rFonts w:eastAsia="Times New Roman"/>
                <w:sz w:val="20"/>
                <w:szCs w:val="20"/>
              </w:rPr>
            </w:pPr>
          </w:p>
        </w:tc>
        <w:tc>
          <w:tcPr>
            <w:tcW w:w="0" w:type="auto"/>
            <w:gridSpan w:val="3"/>
            <w:vAlign w:val="center"/>
            <w:hideMark/>
          </w:tcPr>
          <w:p w14:paraId="7C2E6CFB" w14:textId="77777777" w:rsidR="00000000" w:rsidRDefault="00A173A8">
            <w:pPr>
              <w:spacing w:after="100"/>
              <w:rPr>
                <w:rFonts w:eastAsia="Times New Roman"/>
                <w:sz w:val="20"/>
                <w:szCs w:val="20"/>
              </w:rPr>
            </w:pPr>
          </w:p>
        </w:tc>
        <w:tc>
          <w:tcPr>
            <w:tcW w:w="0" w:type="auto"/>
            <w:gridSpan w:val="3"/>
            <w:vAlign w:val="center"/>
            <w:hideMark/>
          </w:tcPr>
          <w:p w14:paraId="1C17DCD6" w14:textId="77777777" w:rsidR="00000000" w:rsidRDefault="00A173A8">
            <w:pPr>
              <w:spacing w:after="100"/>
              <w:rPr>
                <w:rFonts w:eastAsia="Times New Roman"/>
                <w:sz w:val="20"/>
                <w:szCs w:val="20"/>
              </w:rPr>
            </w:pPr>
          </w:p>
        </w:tc>
        <w:tc>
          <w:tcPr>
            <w:tcW w:w="0" w:type="auto"/>
            <w:gridSpan w:val="3"/>
            <w:vAlign w:val="center"/>
            <w:hideMark/>
          </w:tcPr>
          <w:p w14:paraId="5A7FB6C3" w14:textId="77777777" w:rsidR="00000000" w:rsidRDefault="00A173A8">
            <w:pPr>
              <w:spacing w:after="100"/>
              <w:rPr>
                <w:rFonts w:eastAsia="Times New Roman"/>
                <w:sz w:val="20"/>
                <w:szCs w:val="20"/>
              </w:rPr>
            </w:pPr>
          </w:p>
        </w:tc>
        <w:tc>
          <w:tcPr>
            <w:tcW w:w="0" w:type="auto"/>
            <w:gridSpan w:val="3"/>
            <w:vAlign w:val="center"/>
            <w:hideMark/>
          </w:tcPr>
          <w:p w14:paraId="70933971" w14:textId="77777777" w:rsidR="00000000" w:rsidRDefault="00A173A8">
            <w:pPr>
              <w:spacing w:after="100"/>
              <w:rPr>
                <w:rFonts w:eastAsia="Times New Roman"/>
                <w:sz w:val="20"/>
                <w:szCs w:val="20"/>
              </w:rPr>
            </w:pPr>
          </w:p>
        </w:tc>
        <w:tc>
          <w:tcPr>
            <w:tcW w:w="0" w:type="auto"/>
            <w:gridSpan w:val="3"/>
            <w:vAlign w:val="center"/>
            <w:hideMark/>
          </w:tcPr>
          <w:p w14:paraId="5B0FA5C0" w14:textId="77777777" w:rsidR="00000000" w:rsidRDefault="00A173A8">
            <w:pPr>
              <w:spacing w:after="100"/>
              <w:rPr>
                <w:rFonts w:eastAsia="Times New Roman"/>
                <w:sz w:val="20"/>
                <w:szCs w:val="20"/>
              </w:rPr>
            </w:pPr>
          </w:p>
        </w:tc>
        <w:tc>
          <w:tcPr>
            <w:tcW w:w="0" w:type="auto"/>
            <w:gridSpan w:val="3"/>
            <w:vAlign w:val="center"/>
            <w:hideMark/>
          </w:tcPr>
          <w:p w14:paraId="0256A0C7" w14:textId="77777777" w:rsidR="00000000" w:rsidRDefault="00A173A8">
            <w:pPr>
              <w:spacing w:after="100"/>
              <w:rPr>
                <w:rFonts w:eastAsia="Times New Roman"/>
                <w:sz w:val="20"/>
                <w:szCs w:val="20"/>
              </w:rPr>
            </w:pPr>
          </w:p>
        </w:tc>
        <w:tc>
          <w:tcPr>
            <w:tcW w:w="0" w:type="auto"/>
            <w:gridSpan w:val="3"/>
            <w:vAlign w:val="center"/>
            <w:hideMark/>
          </w:tcPr>
          <w:p w14:paraId="5062A698" w14:textId="77777777" w:rsidR="00000000" w:rsidRDefault="00A173A8">
            <w:pPr>
              <w:spacing w:after="100"/>
              <w:rPr>
                <w:rFonts w:eastAsia="Times New Roman"/>
                <w:sz w:val="20"/>
                <w:szCs w:val="20"/>
              </w:rPr>
            </w:pPr>
          </w:p>
        </w:tc>
        <w:tc>
          <w:tcPr>
            <w:tcW w:w="0" w:type="auto"/>
            <w:gridSpan w:val="3"/>
            <w:vAlign w:val="center"/>
            <w:hideMark/>
          </w:tcPr>
          <w:p w14:paraId="739DE6D1" w14:textId="77777777" w:rsidR="00000000" w:rsidRDefault="00A173A8">
            <w:pPr>
              <w:spacing w:after="100"/>
              <w:rPr>
                <w:rFonts w:eastAsia="Times New Roman"/>
                <w:sz w:val="20"/>
                <w:szCs w:val="20"/>
              </w:rPr>
            </w:pPr>
          </w:p>
        </w:tc>
      </w:tr>
      <w:tr w:rsidR="00000000" w14:paraId="4CBBA795" w14:textId="77777777">
        <w:trPr>
          <w:divId w:val="488981052"/>
        </w:trPr>
        <w:tc>
          <w:tcPr>
            <w:tcW w:w="0" w:type="auto"/>
            <w:gridSpan w:val="3"/>
            <w:vAlign w:val="center"/>
            <w:hideMark/>
          </w:tcPr>
          <w:p w14:paraId="7EB54B0C" w14:textId="77777777" w:rsidR="00000000" w:rsidRDefault="00A173A8">
            <w:pPr>
              <w:spacing w:after="100"/>
              <w:rPr>
                <w:rFonts w:eastAsia="Times New Roman"/>
                <w:sz w:val="20"/>
                <w:szCs w:val="20"/>
              </w:rPr>
            </w:pPr>
          </w:p>
        </w:tc>
        <w:tc>
          <w:tcPr>
            <w:tcW w:w="0" w:type="auto"/>
            <w:gridSpan w:val="3"/>
            <w:vAlign w:val="center"/>
            <w:hideMark/>
          </w:tcPr>
          <w:p w14:paraId="0C0D04E6" w14:textId="77777777" w:rsidR="00000000" w:rsidRDefault="00A173A8">
            <w:pPr>
              <w:spacing w:after="100"/>
              <w:rPr>
                <w:rFonts w:eastAsia="Times New Roman"/>
                <w:sz w:val="20"/>
                <w:szCs w:val="20"/>
              </w:rPr>
            </w:pPr>
          </w:p>
        </w:tc>
        <w:tc>
          <w:tcPr>
            <w:tcW w:w="0" w:type="auto"/>
            <w:gridSpan w:val="3"/>
            <w:vAlign w:val="center"/>
            <w:hideMark/>
          </w:tcPr>
          <w:p w14:paraId="6A8190A4" w14:textId="77777777" w:rsidR="00000000" w:rsidRDefault="00A173A8">
            <w:pPr>
              <w:spacing w:after="100"/>
              <w:rPr>
                <w:rFonts w:eastAsia="Times New Roman"/>
                <w:sz w:val="20"/>
                <w:szCs w:val="20"/>
              </w:rPr>
            </w:pPr>
          </w:p>
        </w:tc>
        <w:tc>
          <w:tcPr>
            <w:tcW w:w="0" w:type="auto"/>
            <w:gridSpan w:val="3"/>
            <w:vAlign w:val="center"/>
            <w:hideMark/>
          </w:tcPr>
          <w:p w14:paraId="0796E06A" w14:textId="77777777" w:rsidR="00000000" w:rsidRDefault="00A173A8">
            <w:pPr>
              <w:spacing w:after="100"/>
              <w:rPr>
                <w:rFonts w:eastAsia="Times New Roman"/>
                <w:sz w:val="20"/>
                <w:szCs w:val="20"/>
              </w:rPr>
            </w:pPr>
          </w:p>
        </w:tc>
        <w:tc>
          <w:tcPr>
            <w:tcW w:w="0" w:type="auto"/>
            <w:gridSpan w:val="3"/>
            <w:vAlign w:val="center"/>
            <w:hideMark/>
          </w:tcPr>
          <w:p w14:paraId="422BE726" w14:textId="77777777" w:rsidR="00000000" w:rsidRDefault="00A173A8">
            <w:pPr>
              <w:spacing w:after="100"/>
              <w:rPr>
                <w:rFonts w:eastAsia="Times New Roman"/>
                <w:sz w:val="20"/>
                <w:szCs w:val="20"/>
              </w:rPr>
            </w:pPr>
          </w:p>
        </w:tc>
        <w:tc>
          <w:tcPr>
            <w:tcW w:w="0" w:type="auto"/>
            <w:gridSpan w:val="3"/>
            <w:vAlign w:val="center"/>
            <w:hideMark/>
          </w:tcPr>
          <w:p w14:paraId="294F6FD4" w14:textId="77777777" w:rsidR="00000000" w:rsidRDefault="00A173A8">
            <w:pPr>
              <w:spacing w:after="100"/>
              <w:rPr>
                <w:rFonts w:eastAsia="Times New Roman"/>
                <w:sz w:val="20"/>
                <w:szCs w:val="20"/>
              </w:rPr>
            </w:pPr>
          </w:p>
        </w:tc>
        <w:tc>
          <w:tcPr>
            <w:tcW w:w="0" w:type="auto"/>
            <w:gridSpan w:val="3"/>
            <w:vAlign w:val="center"/>
            <w:hideMark/>
          </w:tcPr>
          <w:p w14:paraId="6781D561" w14:textId="77777777" w:rsidR="00000000" w:rsidRDefault="00A173A8">
            <w:pPr>
              <w:spacing w:after="100"/>
              <w:rPr>
                <w:rFonts w:eastAsia="Times New Roman"/>
                <w:sz w:val="20"/>
                <w:szCs w:val="20"/>
              </w:rPr>
            </w:pPr>
          </w:p>
        </w:tc>
        <w:tc>
          <w:tcPr>
            <w:tcW w:w="0" w:type="auto"/>
            <w:gridSpan w:val="3"/>
            <w:vAlign w:val="center"/>
            <w:hideMark/>
          </w:tcPr>
          <w:p w14:paraId="7AE3E15F" w14:textId="77777777" w:rsidR="00000000" w:rsidRDefault="00A173A8">
            <w:pPr>
              <w:spacing w:after="100"/>
              <w:rPr>
                <w:rFonts w:eastAsia="Times New Roman"/>
                <w:sz w:val="20"/>
                <w:szCs w:val="20"/>
              </w:rPr>
            </w:pPr>
          </w:p>
        </w:tc>
        <w:tc>
          <w:tcPr>
            <w:tcW w:w="0" w:type="auto"/>
            <w:gridSpan w:val="3"/>
            <w:vAlign w:val="center"/>
            <w:hideMark/>
          </w:tcPr>
          <w:p w14:paraId="1349F260" w14:textId="77777777" w:rsidR="00000000" w:rsidRDefault="00A173A8">
            <w:pPr>
              <w:spacing w:after="100"/>
              <w:rPr>
                <w:rFonts w:eastAsia="Times New Roman"/>
                <w:sz w:val="20"/>
                <w:szCs w:val="20"/>
              </w:rPr>
            </w:pPr>
          </w:p>
        </w:tc>
        <w:tc>
          <w:tcPr>
            <w:tcW w:w="0" w:type="auto"/>
            <w:gridSpan w:val="3"/>
            <w:vAlign w:val="center"/>
            <w:hideMark/>
          </w:tcPr>
          <w:p w14:paraId="16E3FFE7" w14:textId="77777777" w:rsidR="00000000" w:rsidRDefault="00A173A8">
            <w:pPr>
              <w:spacing w:after="100"/>
              <w:rPr>
                <w:rFonts w:eastAsia="Times New Roman"/>
                <w:sz w:val="20"/>
                <w:szCs w:val="20"/>
              </w:rPr>
            </w:pPr>
          </w:p>
        </w:tc>
        <w:tc>
          <w:tcPr>
            <w:tcW w:w="0" w:type="auto"/>
            <w:gridSpan w:val="3"/>
            <w:vAlign w:val="center"/>
            <w:hideMark/>
          </w:tcPr>
          <w:p w14:paraId="43DD0F25" w14:textId="77777777" w:rsidR="00000000" w:rsidRDefault="00A173A8">
            <w:pPr>
              <w:spacing w:after="100"/>
              <w:rPr>
                <w:rFonts w:eastAsia="Times New Roman"/>
                <w:sz w:val="20"/>
                <w:szCs w:val="20"/>
              </w:rPr>
            </w:pPr>
          </w:p>
        </w:tc>
        <w:tc>
          <w:tcPr>
            <w:tcW w:w="0" w:type="auto"/>
            <w:gridSpan w:val="3"/>
            <w:vAlign w:val="center"/>
            <w:hideMark/>
          </w:tcPr>
          <w:p w14:paraId="129ACA32" w14:textId="77777777" w:rsidR="00000000" w:rsidRDefault="00A173A8">
            <w:pPr>
              <w:spacing w:after="100"/>
              <w:rPr>
                <w:rFonts w:eastAsia="Times New Roman"/>
                <w:sz w:val="20"/>
                <w:szCs w:val="20"/>
              </w:rPr>
            </w:pPr>
          </w:p>
        </w:tc>
        <w:tc>
          <w:tcPr>
            <w:tcW w:w="0" w:type="auto"/>
            <w:gridSpan w:val="3"/>
            <w:vAlign w:val="center"/>
            <w:hideMark/>
          </w:tcPr>
          <w:p w14:paraId="574BAC24" w14:textId="77777777" w:rsidR="00000000" w:rsidRDefault="00A173A8">
            <w:pPr>
              <w:spacing w:after="100"/>
              <w:rPr>
                <w:rFonts w:eastAsia="Times New Roman"/>
                <w:sz w:val="20"/>
                <w:szCs w:val="20"/>
              </w:rPr>
            </w:pPr>
          </w:p>
        </w:tc>
        <w:tc>
          <w:tcPr>
            <w:tcW w:w="0" w:type="auto"/>
            <w:gridSpan w:val="3"/>
            <w:vAlign w:val="center"/>
            <w:hideMark/>
          </w:tcPr>
          <w:p w14:paraId="0D17C1F7" w14:textId="77777777" w:rsidR="00000000" w:rsidRDefault="00A173A8">
            <w:pPr>
              <w:spacing w:after="100"/>
              <w:rPr>
                <w:rFonts w:eastAsia="Times New Roman"/>
                <w:sz w:val="20"/>
                <w:szCs w:val="20"/>
              </w:rPr>
            </w:pPr>
          </w:p>
        </w:tc>
        <w:tc>
          <w:tcPr>
            <w:tcW w:w="0" w:type="auto"/>
            <w:gridSpan w:val="3"/>
            <w:vAlign w:val="center"/>
            <w:hideMark/>
          </w:tcPr>
          <w:p w14:paraId="6378CEE2" w14:textId="77777777" w:rsidR="00000000" w:rsidRDefault="00A173A8">
            <w:pPr>
              <w:spacing w:after="100"/>
              <w:rPr>
                <w:rFonts w:eastAsia="Times New Roman"/>
                <w:sz w:val="20"/>
                <w:szCs w:val="20"/>
              </w:rPr>
            </w:pPr>
          </w:p>
        </w:tc>
        <w:tc>
          <w:tcPr>
            <w:tcW w:w="0" w:type="auto"/>
            <w:gridSpan w:val="3"/>
            <w:vAlign w:val="center"/>
            <w:hideMark/>
          </w:tcPr>
          <w:p w14:paraId="2CA5B01C" w14:textId="77777777" w:rsidR="00000000" w:rsidRDefault="00A173A8">
            <w:pPr>
              <w:spacing w:after="100"/>
              <w:rPr>
                <w:rFonts w:eastAsia="Times New Roman"/>
                <w:sz w:val="20"/>
                <w:szCs w:val="20"/>
              </w:rPr>
            </w:pPr>
          </w:p>
        </w:tc>
        <w:tc>
          <w:tcPr>
            <w:tcW w:w="0" w:type="auto"/>
            <w:gridSpan w:val="3"/>
            <w:vAlign w:val="center"/>
            <w:hideMark/>
          </w:tcPr>
          <w:p w14:paraId="6B61ED3F" w14:textId="77777777" w:rsidR="00000000" w:rsidRDefault="00A173A8">
            <w:pPr>
              <w:spacing w:after="100"/>
              <w:rPr>
                <w:rFonts w:eastAsia="Times New Roman"/>
                <w:sz w:val="20"/>
                <w:szCs w:val="20"/>
              </w:rPr>
            </w:pPr>
          </w:p>
        </w:tc>
        <w:tc>
          <w:tcPr>
            <w:tcW w:w="0" w:type="auto"/>
            <w:gridSpan w:val="3"/>
            <w:vAlign w:val="center"/>
            <w:hideMark/>
          </w:tcPr>
          <w:p w14:paraId="26D78A3E" w14:textId="77777777" w:rsidR="00000000" w:rsidRDefault="00A173A8">
            <w:pPr>
              <w:spacing w:after="100"/>
              <w:rPr>
                <w:rFonts w:eastAsia="Times New Roman"/>
                <w:sz w:val="20"/>
                <w:szCs w:val="20"/>
              </w:rPr>
            </w:pPr>
          </w:p>
        </w:tc>
        <w:tc>
          <w:tcPr>
            <w:tcW w:w="0" w:type="auto"/>
            <w:gridSpan w:val="3"/>
            <w:vAlign w:val="center"/>
            <w:hideMark/>
          </w:tcPr>
          <w:p w14:paraId="35DF25D8" w14:textId="77777777" w:rsidR="00000000" w:rsidRDefault="00A173A8">
            <w:pPr>
              <w:spacing w:after="100"/>
              <w:rPr>
                <w:rFonts w:eastAsia="Times New Roman"/>
                <w:sz w:val="20"/>
                <w:szCs w:val="20"/>
              </w:rPr>
            </w:pPr>
          </w:p>
        </w:tc>
      </w:tr>
      <w:tr w:rsidR="00000000" w14:paraId="177B320C" w14:textId="77777777">
        <w:trPr>
          <w:divId w:val="488981052"/>
        </w:trPr>
        <w:tc>
          <w:tcPr>
            <w:tcW w:w="0" w:type="auto"/>
            <w:gridSpan w:val="3"/>
            <w:vAlign w:val="center"/>
            <w:hideMark/>
          </w:tcPr>
          <w:p w14:paraId="5618F058" w14:textId="77777777" w:rsidR="00000000" w:rsidRDefault="00A173A8">
            <w:pPr>
              <w:spacing w:after="100"/>
              <w:rPr>
                <w:rFonts w:eastAsia="Times New Roman"/>
                <w:sz w:val="20"/>
                <w:szCs w:val="20"/>
              </w:rPr>
            </w:pPr>
          </w:p>
        </w:tc>
        <w:tc>
          <w:tcPr>
            <w:tcW w:w="0" w:type="auto"/>
            <w:gridSpan w:val="3"/>
            <w:vAlign w:val="center"/>
            <w:hideMark/>
          </w:tcPr>
          <w:p w14:paraId="15C94B6B" w14:textId="77777777" w:rsidR="00000000" w:rsidRDefault="00A173A8">
            <w:pPr>
              <w:spacing w:after="100"/>
              <w:rPr>
                <w:rFonts w:eastAsia="Times New Roman"/>
                <w:sz w:val="20"/>
                <w:szCs w:val="20"/>
              </w:rPr>
            </w:pPr>
          </w:p>
        </w:tc>
        <w:tc>
          <w:tcPr>
            <w:tcW w:w="0" w:type="auto"/>
            <w:gridSpan w:val="3"/>
            <w:vAlign w:val="center"/>
            <w:hideMark/>
          </w:tcPr>
          <w:p w14:paraId="665F0D7A" w14:textId="77777777" w:rsidR="00000000" w:rsidRDefault="00A173A8">
            <w:pPr>
              <w:spacing w:after="100"/>
              <w:rPr>
                <w:rFonts w:eastAsia="Times New Roman"/>
                <w:sz w:val="20"/>
                <w:szCs w:val="20"/>
              </w:rPr>
            </w:pPr>
          </w:p>
        </w:tc>
        <w:tc>
          <w:tcPr>
            <w:tcW w:w="0" w:type="auto"/>
            <w:gridSpan w:val="3"/>
            <w:vAlign w:val="center"/>
            <w:hideMark/>
          </w:tcPr>
          <w:p w14:paraId="6794F7B4" w14:textId="77777777" w:rsidR="00000000" w:rsidRDefault="00A173A8">
            <w:pPr>
              <w:spacing w:after="100"/>
              <w:rPr>
                <w:rFonts w:eastAsia="Times New Roman"/>
                <w:sz w:val="20"/>
                <w:szCs w:val="20"/>
              </w:rPr>
            </w:pPr>
          </w:p>
        </w:tc>
        <w:tc>
          <w:tcPr>
            <w:tcW w:w="0" w:type="auto"/>
            <w:gridSpan w:val="3"/>
            <w:vAlign w:val="center"/>
            <w:hideMark/>
          </w:tcPr>
          <w:p w14:paraId="58EFB44B" w14:textId="77777777" w:rsidR="00000000" w:rsidRDefault="00A173A8">
            <w:pPr>
              <w:spacing w:after="100"/>
              <w:rPr>
                <w:rFonts w:eastAsia="Times New Roman"/>
                <w:sz w:val="20"/>
                <w:szCs w:val="20"/>
              </w:rPr>
            </w:pPr>
          </w:p>
        </w:tc>
        <w:tc>
          <w:tcPr>
            <w:tcW w:w="0" w:type="auto"/>
            <w:gridSpan w:val="3"/>
            <w:vAlign w:val="center"/>
            <w:hideMark/>
          </w:tcPr>
          <w:p w14:paraId="7EE47D68" w14:textId="77777777" w:rsidR="00000000" w:rsidRDefault="00A173A8">
            <w:pPr>
              <w:spacing w:after="100"/>
              <w:rPr>
                <w:rFonts w:eastAsia="Times New Roman"/>
                <w:sz w:val="20"/>
                <w:szCs w:val="20"/>
              </w:rPr>
            </w:pPr>
          </w:p>
        </w:tc>
        <w:tc>
          <w:tcPr>
            <w:tcW w:w="0" w:type="auto"/>
            <w:gridSpan w:val="3"/>
            <w:vAlign w:val="center"/>
            <w:hideMark/>
          </w:tcPr>
          <w:p w14:paraId="1EABE8A8" w14:textId="77777777" w:rsidR="00000000" w:rsidRDefault="00A173A8">
            <w:pPr>
              <w:spacing w:after="100"/>
              <w:rPr>
                <w:rFonts w:eastAsia="Times New Roman"/>
                <w:sz w:val="20"/>
                <w:szCs w:val="20"/>
              </w:rPr>
            </w:pPr>
          </w:p>
        </w:tc>
        <w:tc>
          <w:tcPr>
            <w:tcW w:w="0" w:type="auto"/>
            <w:gridSpan w:val="3"/>
            <w:vAlign w:val="center"/>
            <w:hideMark/>
          </w:tcPr>
          <w:p w14:paraId="440941D5" w14:textId="77777777" w:rsidR="00000000" w:rsidRDefault="00A173A8">
            <w:pPr>
              <w:spacing w:after="100"/>
              <w:rPr>
                <w:rFonts w:eastAsia="Times New Roman"/>
                <w:sz w:val="20"/>
                <w:szCs w:val="20"/>
              </w:rPr>
            </w:pPr>
          </w:p>
        </w:tc>
        <w:tc>
          <w:tcPr>
            <w:tcW w:w="0" w:type="auto"/>
            <w:gridSpan w:val="3"/>
            <w:vAlign w:val="center"/>
            <w:hideMark/>
          </w:tcPr>
          <w:p w14:paraId="322F6930" w14:textId="77777777" w:rsidR="00000000" w:rsidRDefault="00A173A8">
            <w:pPr>
              <w:spacing w:after="100"/>
              <w:rPr>
                <w:rFonts w:eastAsia="Times New Roman"/>
                <w:sz w:val="20"/>
                <w:szCs w:val="20"/>
              </w:rPr>
            </w:pPr>
          </w:p>
        </w:tc>
        <w:tc>
          <w:tcPr>
            <w:tcW w:w="0" w:type="auto"/>
            <w:gridSpan w:val="3"/>
            <w:vAlign w:val="center"/>
            <w:hideMark/>
          </w:tcPr>
          <w:p w14:paraId="5FE323FD" w14:textId="77777777" w:rsidR="00000000" w:rsidRDefault="00A173A8">
            <w:pPr>
              <w:spacing w:after="100"/>
              <w:rPr>
                <w:rFonts w:eastAsia="Times New Roman"/>
                <w:sz w:val="20"/>
                <w:szCs w:val="20"/>
              </w:rPr>
            </w:pPr>
          </w:p>
        </w:tc>
        <w:tc>
          <w:tcPr>
            <w:tcW w:w="0" w:type="auto"/>
            <w:gridSpan w:val="3"/>
            <w:vAlign w:val="center"/>
            <w:hideMark/>
          </w:tcPr>
          <w:p w14:paraId="27E87AAD" w14:textId="77777777" w:rsidR="00000000" w:rsidRDefault="00A173A8">
            <w:pPr>
              <w:spacing w:after="100"/>
              <w:rPr>
                <w:rFonts w:eastAsia="Times New Roman"/>
                <w:sz w:val="20"/>
                <w:szCs w:val="20"/>
              </w:rPr>
            </w:pPr>
          </w:p>
        </w:tc>
        <w:tc>
          <w:tcPr>
            <w:tcW w:w="0" w:type="auto"/>
            <w:gridSpan w:val="3"/>
            <w:vAlign w:val="center"/>
            <w:hideMark/>
          </w:tcPr>
          <w:p w14:paraId="1CB7098E" w14:textId="77777777" w:rsidR="00000000" w:rsidRDefault="00A173A8">
            <w:pPr>
              <w:spacing w:after="100"/>
              <w:rPr>
                <w:rFonts w:eastAsia="Times New Roman"/>
                <w:sz w:val="20"/>
                <w:szCs w:val="20"/>
              </w:rPr>
            </w:pPr>
          </w:p>
        </w:tc>
        <w:tc>
          <w:tcPr>
            <w:tcW w:w="0" w:type="auto"/>
            <w:gridSpan w:val="3"/>
            <w:vAlign w:val="center"/>
            <w:hideMark/>
          </w:tcPr>
          <w:p w14:paraId="34F643BC" w14:textId="77777777" w:rsidR="00000000" w:rsidRDefault="00A173A8">
            <w:pPr>
              <w:spacing w:after="100"/>
              <w:rPr>
                <w:rFonts w:eastAsia="Times New Roman"/>
                <w:sz w:val="20"/>
                <w:szCs w:val="20"/>
              </w:rPr>
            </w:pPr>
          </w:p>
        </w:tc>
        <w:tc>
          <w:tcPr>
            <w:tcW w:w="0" w:type="auto"/>
            <w:gridSpan w:val="3"/>
            <w:vAlign w:val="center"/>
            <w:hideMark/>
          </w:tcPr>
          <w:p w14:paraId="66915125" w14:textId="77777777" w:rsidR="00000000" w:rsidRDefault="00A173A8">
            <w:pPr>
              <w:spacing w:after="100"/>
              <w:rPr>
                <w:rFonts w:eastAsia="Times New Roman"/>
                <w:sz w:val="20"/>
                <w:szCs w:val="20"/>
              </w:rPr>
            </w:pPr>
          </w:p>
        </w:tc>
        <w:tc>
          <w:tcPr>
            <w:tcW w:w="0" w:type="auto"/>
            <w:gridSpan w:val="3"/>
            <w:vAlign w:val="center"/>
            <w:hideMark/>
          </w:tcPr>
          <w:p w14:paraId="6FE2EE14" w14:textId="77777777" w:rsidR="00000000" w:rsidRDefault="00A173A8">
            <w:pPr>
              <w:spacing w:after="100"/>
              <w:rPr>
                <w:rFonts w:eastAsia="Times New Roman"/>
                <w:sz w:val="20"/>
                <w:szCs w:val="20"/>
              </w:rPr>
            </w:pPr>
          </w:p>
        </w:tc>
        <w:tc>
          <w:tcPr>
            <w:tcW w:w="0" w:type="auto"/>
            <w:gridSpan w:val="3"/>
            <w:vAlign w:val="center"/>
            <w:hideMark/>
          </w:tcPr>
          <w:p w14:paraId="6FD455D8" w14:textId="77777777" w:rsidR="00000000" w:rsidRDefault="00A173A8">
            <w:pPr>
              <w:spacing w:after="100"/>
              <w:rPr>
                <w:rFonts w:eastAsia="Times New Roman"/>
                <w:sz w:val="20"/>
                <w:szCs w:val="20"/>
              </w:rPr>
            </w:pPr>
          </w:p>
        </w:tc>
        <w:tc>
          <w:tcPr>
            <w:tcW w:w="0" w:type="auto"/>
            <w:gridSpan w:val="3"/>
            <w:vAlign w:val="center"/>
            <w:hideMark/>
          </w:tcPr>
          <w:p w14:paraId="3FEE44EB" w14:textId="77777777" w:rsidR="00000000" w:rsidRDefault="00A173A8">
            <w:pPr>
              <w:spacing w:after="100"/>
              <w:rPr>
                <w:rFonts w:eastAsia="Times New Roman"/>
                <w:sz w:val="20"/>
                <w:szCs w:val="20"/>
              </w:rPr>
            </w:pPr>
          </w:p>
        </w:tc>
        <w:tc>
          <w:tcPr>
            <w:tcW w:w="0" w:type="auto"/>
            <w:gridSpan w:val="3"/>
            <w:vAlign w:val="center"/>
            <w:hideMark/>
          </w:tcPr>
          <w:p w14:paraId="32D6B22E" w14:textId="77777777" w:rsidR="00000000" w:rsidRDefault="00A173A8">
            <w:pPr>
              <w:spacing w:after="100"/>
              <w:rPr>
                <w:rFonts w:eastAsia="Times New Roman"/>
                <w:sz w:val="20"/>
                <w:szCs w:val="20"/>
              </w:rPr>
            </w:pPr>
          </w:p>
        </w:tc>
        <w:tc>
          <w:tcPr>
            <w:tcW w:w="0" w:type="auto"/>
            <w:gridSpan w:val="3"/>
            <w:vAlign w:val="center"/>
            <w:hideMark/>
          </w:tcPr>
          <w:p w14:paraId="717E5B23" w14:textId="77777777" w:rsidR="00000000" w:rsidRDefault="00A173A8">
            <w:pPr>
              <w:spacing w:after="100"/>
              <w:rPr>
                <w:rFonts w:eastAsia="Times New Roman"/>
                <w:sz w:val="20"/>
                <w:szCs w:val="20"/>
              </w:rPr>
            </w:pPr>
          </w:p>
        </w:tc>
      </w:tr>
      <w:tr w:rsidR="00000000" w14:paraId="498CAF69" w14:textId="77777777">
        <w:trPr>
          <w:divId w:val="488981052"/>
        </w:trPr>
        <w:tc>
          <w:tcPr>
            <w:tcW w:w="0" w:type="auto"/>
            <w:gridSpan w:val="3"/>
            <w:vAlign w:val="center"/>
            <w:hideMark/>
          </w:tcPr>
          <w:p w14:paraId="6C3BB23A" w14:textId="77777777" w:rsidR="00000000" w:rsidRDefault="00A173A8">
            <w:pPr>
              <w:spacing w:after="100"/>
              <w:rPr>
                <w:rFonts w:eastAsia="Times New Roman"/>
                <w:sz w:val="20"/>
                <w:szCs w:val="20"/>
              </w:rPr>
            </w:pPr>
          </w:p>
        </w:tc>
        <w:tc>
          <w:tcPr>
            <w:tcW w:w="0" w:type="auto"/>
            <w:gridSpan w:val="3"/>
            <w:vAlign w:val="center"/>
            <w:hideMark/>
          </w:tcPr>
          <w:p w14:paraId="493139EE" w14:textId="77777777" w:rsidR="00000000" w:rsidRDefault="00A173A8">
            <w:pPr>
              <w:spacing w:after="100"/>
              <w:rPr>
                <w:rFonts w:eastAsia="Times New Roman"/>
                <w:sz w:val="20"/>
                <w:szCs w:val="20"/>
              </w:rPr>
            </w:pPr>
          </w:p>
        </w:tc>
        <w:tc>
          <w:tcPr>
            <w:tcW w:w="0" w:type="auto"/>
            <w:gridSpan w:val="3"/>
            <w:vAlign w:val="center"/>
            <w:hideMark/>
          </w:tcPr>
          <w:p w14:paraId="008837CE" w14:textId="77777777" w:rsidR="00000000" w:rsidRDefault="00A173A8">
            <w:pPr>
              <w:spacing w:after="100"/>
              <w:rPr>
                <w:rFonts w:eastAsia="Times New Roman"/>
                <w:sz w:val="20"/>
                <w:szCs w:val="20"/>
              </w:rPr>
            </w:pPr>
          </w:p>
        </w:tc>
        <w:tc>
          <w:tcPr>
            <w:tcW w:w="0" w:type="auto"/>
            <w:gridSpan w:val="3"/>
            <w:vAlign w:val="center"/>
            <w:hideMark/>
          </w:tcPr>
          <w:p w14:paraId="04D1933C" w14:textId="77777777" w:rsidR="00000000" w:rsidRDefault="00A173A8">
            <w:pPr>
              <w:spacing w:after="100"/>
              <w:rPr>
                <w:rFonts w:eastAsia="Times New Roman"/>
                <w:sz w:val="20"/>
                <w:szCs w:val="20"/>
              </w:rPr>
            </w:pPr>
          </w:p>
        </w:tc>
        <w:tc>
          <w:tcPr>
            <w:tcW w:w="0" w:type="auto"/>
            <w:gridSpan w:val="3"/>
            <w:vAlign w:val="center"/>
            <w:hideMark/>
          </w:tcPr>
          <w:p w14:paraId="770A1D84" w14:textId="77777777" w:rsidR="00000000" w:rsidRDefault="00A173A8">
            <w:pPr>
              <w:spacing w:after="100"/>
              <w:rPr>
                <w:rFonts w:eastAsia="Times New Roman"/>
                <w:sz w:val="20"/>
                <w:szCs w:val="20"/>
              </w:rPr>
            </w:pPr>
          </w:p>
        </w:tc>
        <w:tc>
          <w:tcPr>
            <w:tcW w:w="0" w:type="auto"/>
            <w:gridSpan w:val="3"/>
            <w:vAlign w:val="center"/>
            <w:hideMark/>
          </w:tcPr>
          <w:p w14:paraId="5A1B498B" w14:textId="77777777" w:rsidR="00000000" w:rsidRDefault="00A173A8">
            <w:pPr>
              <w:spacing w:after="100"/>
              <w:rPr>
                <w:rFonts w:eastAsia="Times New Roman"/>
                <w:sz w:val="20"/>
                <w:szCs w:val="20"/>
              </w:rPr>
            </w:pPr>
          </w:p>
        </w:tc>
        <w:tc>
          <w:tcPr>
            <w:tcW w:w="0" w:type="auto"/>
            <w:gridSpan w:val="3"/>
            <w:vAlign w:val="center"/>
            <w:hideMark/>
          </w:tcPr>
          <w:p w14:paraId="63E14C5C" w14:textId="77777777" w:rsidR="00000000" w:rsidRDefault="00A173A8">
            <w:pPr>
              <w:spacing w:after="100"/>
              <w:rPr>
                <w:rFonts w:eastAsia="Times New Roman"/>
                <w:sz w:val="20"/>
                <w:szCs w:val="20"/>
              </w:rPr>
            </w:pPr>
          </w:p>
        </w:tc>
        <w:tc>
          <w:tcPr>
            <w:tcW w:w="0" w:type="auto"/>
            <w:gridSpan w:val="3"/>
            <w:vAlign w:val="center"/>
            <w:hideMark/>
          </w:tcPr>
          <w:p w14:paraId="553B50B8" w14:textId="77777777" w:rsidR="00000000" w:rsidRDefault="00A173A8">
            <w:pPr>
              <w:spacing w:after="100"/>
              <w:rPr>
                <w:rFonts w:eastAsia="Times New Roman"/>
                <w:sz w:val="20"/>
                <w:szCs w:val="20"/>
              </w:rPr>
            </w:pPr>
          </w:p>
        </w:tc>
        <w:tc>
          <w:tcPr>
            <w:tcW w:w="0" w:type="auto"/>
            <w:gridSpan w:val="3"/>
            <w:vAlign w:val="center"/>
            <w:hideMark/>
          </w:tcPr>
          <w:p w14:paraId="5F9480E1" w14:textId="77777777" w:rsidR="00000000" w:rsidRDefault="00A173A8">
            <w:pPr>
              <w:spacing w:after="100"/>
              <w:rPr>
                <w:rFonts w:eastAsia="Times New Roman"/>
                <w:sz w:val="20"/>
                <w:szCs w:val="20"/>
              </w:rPr>
            </w:pPr>
          </w:p>
        </w:tc>
        <w:tc>
          <w:tcPr>
            <w:tcW w:w="0" w:type="auto"/>
            <w:gridSpan w:val="3"/>
            <w:vAlign w:val="center"/>
            <w:hideMark/>
          </w:tcPr>
          <w:p w14:paraId="5F211001" w14:textId="77777777" w:rsidR="00000000" w:rsidRDefault="00A173A8">
            <w:pPr>
              <w:spacing w:after="100"/>
              <w:rPr>
                <w:rFonts w:eastAsia="Times New Roman"/>
                <w:sz w:val="20"/>
                <w:szCs w:val="20"/>
              </w:rPr>
            </w:pPr>
          </w:p>
        </w:tc>
        <w:tc>
          <w:tcPr>
            <w:tcW w:w="0" w:type="auto"/>
            <w:gridSpan w:val="3"/>
            <w:vAlign w:val="center"/>
            <w:hideMark/>
          </w:tcPr>
          <w:p w14:paraId="126FCF28" w14:textId="77777777" w:rsidR="00000000" w:rsidRDefault="00A173A8">
            <w:pPr>
              <w:spacing w:after="100"/>
              <w:rPr>
                <w:rFonts w:eastAsia="Times New Roman"/>
                <w:sz w:val="20"/>
                <w:szCs w:val="20"/>
              </w:rPr>
            </w:pPr>
          </w:p>
        </w:tc>
        <w:tc>
          <w:tcPr>
            <w:tcW w:w="0" w:type="auto"/>
            <w:gridSpan w:val="3"/>
            <w:vAlign w:val="center"/>
            <w:hideMark/>
          </w:tcPr>
          <w:p w14:paraId="666AEE5F" w14:textId="77777777" w:rsidR="00000000" w:rsidRDefault="00A173A8">
            <w:pPr>
              <w:spacing w:after="100"/>
              <w:rPr>
                <w:rFonts w:eastAsia="Times New Roman"/>
                <w:sz w:val="20"/>
                <w:szCs w:val="20"/>
              </w:rPr>
            </w:pPr>
          </w:p>
        </w:tc>
        <w:tc>
          <w:tcPr>
            <w:tcW w:w="0" w:type="auto"/>
            <w:gridSpan w:val="3"/>
            <w:vAlign w:val="center"/>
            <w:hideMark/>
          </w:tcPr>
          <w:p w14:paraId="2F479F3C" w14:textId="77777777" w:rsidR="00000000" w:rsidRDefault="00A173A8">
            <w:pPr>
              <w:spacing w:after="100"/>
              <w:rPr>
                <w:rFonts w:eastAsia="Times New Roman"/>
                <w:sz w:val="20"/>
                <w:szCs w:val="20"/>
              </w:rPr>
            </w:pPr>
          </w:p>
        </w:tc>
        <w:tc>
          <w:tcPr>
            <w:tcW w:w="0" w:type="auto"/>
            <w:gridSpan w:val="3"/>
            <w:vAlign w:val="center"/>
            <w:hideMark/>
          </w:tcPr>
          <w:p w14:paraId="69B489C6" w14:textId="77777777" w:rsidR="00000000" w:rsidRDefault="00A173A8">
            <w:pPr>
              <w:spacing w:after="100"/>
              <w:rPr>
                <w:rFonts w:eastAsia="Times New Roman"/>
                <w:sz w:val="20"/>
                <w:szCs w:val="20"/>
              </w:rPr>
            </w:pPr>
          </w:p>
        </w:tc>
        <w:tc>
          <w:tcPr>
            <w:tcW w:w="0" w:type="auto"/>
            <w:gridSpan w:val="3"/>
            <w:vAlign w:val="center"/>
            <w:hideMark/>
          </w:tcPr>
          <w:p w14:paraId="4E166DFC" w14:textId="77777777" w:rsidR="00000000" w:rsidRDefault="00A173A8">
            <w:pPr>
              <w:spacing w:after="100"/>
              <w:rPr>
                <w:rFonts w:eastAsia="Times New Roman"/>
                <w:sz w:val="20"/>
                <w:szCs w:val="20"/>
              </w:rPr>
            </w:pPr>
          </w:p>
        </w:tc>
        <w:tc>
          <w:tcPr>
            <w:tcW w:w="0" w:type="auto"/>
            <w:gridSpan w:val="3"/>
            <w:vAlign w:val="center"/>
            <w:hideMark/>
          </w:tcPr>
          <w:p w14:paraId="4D863C74" w14:textId="77777777" w:rsidR="00000000" w:rsidRDefault="00A173A8">
            <w:pPr>
              <w:spacing w:after="100"/>
              <w:rPr>
                <w:rFonts w:eastAsia="Times New Roman"/>
                <w:sz w:val="20"/>
                <w:szCs w:val="20"/>
              </w:rPr>
            </w:pPr>
          </w:p>
        </w:tc>
        <w:tc>
          <w:tcPr>
            <w:tcW w:w="0" w:type="auto"/>
            <w:gridSpan w:val="3"/>
            <w:vAlign w:val="center"/>
            <w:hideMark/>
          </w:tcPr>
          <w:p w14:paraId="31CA1B2A" w14:textId="77777777" w:rsidR="00000000" w:rsidRDefault="00A173A8">
            <w:pPr>
              <w:spacing w:after="100"/>
              <w:rPr>
                <w:rFonts w:eastAsia="Times New Roman"/>
                <w:sz w:val="20"/>
                <w:szCs w:val="20"/>
              </w:rPr>
            </w:pPr>
          </w:p>
        </w:tc>
        <w:tc>
          <w:tcPr>
            <w:tcW w:w="0" w:type="auto"/>
            <w:gridSpan w:val="3"/>
            <w:vAlign w:val="center"/>
            <w:hideMark/>
          </w:tcPr>
          <w:p w14:paraId="3180D8C0" w14:textId="77777777" w:rsidR="00000000" w:rsidRDefault="00A173A8">
            <w:pPr>
              <w:spacing w:after="100"/>
              <w:rPr>
                <w:rFonts w:eastAsia="Times New Roman"/>
                <w:sz w:val="20"/>
                <w:szCs w:val="20"/>
              </w:rPr>
            </w:pPr>
          </w:p>
        </w:tc>
        <w:tc>
          <w:tcPr>
            <w:tcW w:w="0" w:type="auto"/>
            <w:gridSpan w:val="3"/>
            <w:vAlign w:val="center"/>
            <w:hideMark/>
          </w:tcPr>
          <w:p w14:paraId="370803F5" w14:textId="77777777" w:rsidR="00000000" w:rsidRDefault="00A173A8">
            <w:pPr>
              <w:spacing w:after="100"/>
              <w:rPr>
                <w:rFonts w:eastAsia="Times New Roman"/>
                <w:sz w:val="20"/>
                <w:szCs w:val="20"/>
              </w:rPr>
            </w:pPr>
          </w:p>
        </w:tc>
      </w:tr>
      <w:tr w:rsidR="00000000" w14:paraId="10304085" w14:textId="77777777">
        <w:trPr>
          <w:divId w:val="488981052"/>
        </w:trPr>
        <w:tc>
          <w:tcPr>
            <w:tcW w:w="0" w:type="auto"/>
            <w:gridSpan w:val="3"/>
            <w:vAlign w:val="center"/>
            <w:hideMark/>
          </w:tcPr>
          <w:p w14:paraId="35322E14" w14:textId="77777777" w:rsidR="00000000" w:rsidRDefault="00A173A8">
            <w:pPr>
              <w:spacing w:after="100"/>
              <w:rPr>
                <w:rFonts w:eastAsia="Times New Roman"/>
                <w:sz w:val="20"/>
                <w:szCs w:val="20"/>
              </w:rPr>
            </w:pPr>
          </w:p>
        </w:tc>
        <w:tc>
          <w:tcPr>
            <w:tcW w:w="0" w:type="auto"/>
            <w:gridSpan w:val="3"/>
            <w:vAlign w:val="center"/>
            <w:hideMark/>
          </w:tcPr>
          <w:p w14:paraId="611E946C" w14:textId="77777777" w:rsidR="00000000" w:rsidRDefault="00A173A8">
            <w:pPr>
              <w:spacing w:after="100"/>
              <w:rPr>
                <w:rFonts w:eastAsia="Times New Roman"/>
                <w:sz w:val="20"/>
                <w:szCs w:val="20"/>
              </w:rPr>
            </w:pPr>
          </w:p>
        </w:tc>
        <w:tc>
          <w:tcPr>
            <w:tcW w:w="0" w:type="auto"/>
            <w:gridSpan w:val="3"/>
            <w:vAlign w:val="center"/>
            <w:hideMark/>
          </w:tcPr>
          <w:p w14:paraId="6D30E74C" w14:textId="77777777" w:rsidR="00000000" w:rsidRDefault="00A173A8">
            <w:pPr>
              <w:spacing w:after="100"/>
              <w:rPr>
                <w:rFonts w:eastAsia="Times New Roman"/>
                <w:sz w:val="20"/>
                <w:szCs w:val="20"/>
              </w:rPr>
            </w:pPr>
          </w:p>
        </w:tc>
        <w:tc>
          <w:tcPr>
            <w:tcW w:w="0" w:type="auto"/>
            <w:gridSpan w:val="3"/>
            <w:vAlign w:val="center"/>
            <w:hideMark/>
          </w:tcPr>
          <w:p w14:paraId="08263650" w14:textId="77777777" w:rsidR="00000000" w:rsidRDefault="00A173A8">
            <w:pPr>
              <w:spacing w:after="100"/>
              <w:rPr>
                <w:rFonts w:eastAsia="Times New Roman"/>
                <w:sz w:val="20"/>
                <w:szCs w:val="20"/>
              </w:rPr>
            </w:pPr>
          </w:p>
        </w:tc>
        <w:tc>
          <w:tcPr>
            <w:tcW w:w="0" w:type="auto"/>
            <w:gridSpan w:val="3"/>
            <w:vAlign w:val="center"/>
            <w:hideMark/>
          </w:tcPr>
          <w:p w14:paraId="3CFE5D86" w14:textId="77777777" w:rsidR="00000000" w:rsidRDefault="00A173A8">
            <w:pPr>
              <w:spacing w:after="100"/>
              <w:rPr>
                <w:rFonts w:eastAsia="Times New Roman"/>
                <w:sz w:val="20"/>
                <w:szCs w:val="20"/>
              </w:rPr>
            </w:pPr>
          </w:p>
        </w:tc>
        <w:tc>
          <w:tcPr>
            <w:tcW w:w="0" w:type="auto"/>
            <w:gridSpan w:val="3"/>
            <w:vAlign w:val="center"/>
            <w:hideMark/>
          </w:tcPr>
          <w:p w14:paraId="0556BBF2" w14:textId="77777777" w:rsidR="00000000" w:rsidRDefault="00A173A8">
            <w:pPr>
              <w:spacing w:after="100"/>
              <w:rPr>
                <w:rFonts w:eastAsia="Times New Roman"/>
                <w:sz w:val="20"/>
                <w:szCs w:val="20"/>
              </w:rPr>
            </w:pPr>
          </w:p>
        </w:tc>
        <w:tc>
          <w:tcPr>
            <w:tcW w:w="0" w:type="auto"/>
            <w:gridSpan w:val="3"/>
            <w:vAlign w:val="center"/>
            <w:hideMark/>
          </w:tcPr>
          <w:p w14:paraId="6B74D35B" w14:textId="77777777" w:rsidR="00000000" w:rsidRDefault="00A173A8">
            <w:pPr>
              <w:spacing w:after="100"/>
              <w:rPr>
                <w:rFonts w:eastAsia="Times New Roman"/>
                <w:sz w:val="20"/>
                <w:szCs w:val="20"/>
              </w:rPr>
            </w:pPr>
          </w:p>
        </w:tc>
        <w:tc>
          <w:tcPr>
            <w:tcW w:w="0" w:type="auto"/>
            <w:gridSpan w:val="3"/>
            <w:vAlign w:val="center"/>
            <w:hideMark/>
          </w:tcPr>
          <w:p w14:paraId="7BDD3CD8" w14:textId="77777777" w:rsidR="00000000" w:rsidRDefault="00A173A8">
            <w:pPr>
              <w:spacing w:after="100"/>
              <w:rPr>
                <w:rFonts w:eastAsia="Times New Roman"/>
                <w:sz w:val="20"/>
                <w:szCs w:val="20"/>
              </w:rPr>
            </w:pPr>
          </w:p>
        </w:tc>
        <w:tc>
          <w:tcPr>
            <w:tcW w:w="0" w:type="auto"/>
            <w:gridSpan w:val="3"/>
            <w:vAlign w:val="center"/>
            <w:hideMark/>
          </w:tcPr>
          <w:p w14:paraId="71743529" w14:textId="77777777" w:rsidR="00000000" w:rsidRDefault="00A173A8">
            <w:pPr>
              <w:spacing w:after="100"/>
              <w:rPr>
                <w:rFonts w:eastAsia="Times New Roman"/>
                <w:sz w:val="20"/>
                <w:szCs w:val="20"/>
              </w:rPr>
            </w:pPr>
          </w:p>
        </w:tc>
        <w:tc>
          <w:tcPr>
            <w:tcW w:w="0" w:type="auto"/>
            <w:gridSpan w:val="3"/>
            <w:vAlign w:val="center"/>
            <w:hideMark/>
          </w:tcPr>
          <w:p w14:paraId="12284821" w14:textId="77777777" w:rsidR="00000000" w:rsidRDefault="00A173A8">
            <w:pPr>
              <w:spacing w:after="100"/>
              <w:rPr>
                <w:rFonts w:eastAsia="Times New Roman"/>
                <w:sz w:val="20"/>
                <w:szCs w:val="20"/>
              </w:rPr>
            </w:pPr>
          </w:p>
        </w:tc>
        <w:tc>
          <w:tcPr>
            <w:tcW w:w="0" w:type="auto"/>
            <w:gridSpan w:val="3"/>
            <w:vAlign w:val="center"/>
            <w:hideMark/>
          </w:tcPr>
          <w:p w14:paraId="2E63D28F" w14:textId="77777777" w:rsidR="00000000" w:rsidRDefault="00A173A8">
            <w:pPr>
              <w:spacing w:after="100"/>
              <w:rPr>
                <w:rFonts w:eastAsia="Times New Roman"/>
                <w:sz w:val="20"/>
                <w:szCs w:val="20"/>
              </w:rPr>
            </w:pPr>
          </w:p>
        </w:tc>
        <w:tc>
          <w:tcPr>
            <w:tcW w:w="0" w:type="auto"/>
            <w:gridSpan w:val="3"/>
            <w:vAlign w:val="center"/>
            <w:hideMark/>
          </w:tcPr>
          <w:p w14:paraId="4691971C" w14:textId="77777777" w:rsidR="00000000" w:rsidRDefault="00A173A8">
            <w:pPr>
              <w:spacing w:after="100"/>
              <w:rPr>
                <w:rFonts w:eastAsia="Times New Roman"/>
                <w:sz w:val="20"/>
                <w:szCs w:val="20"/>
              </w:rPr>
            </w:pPr>
          </w:p>
        </w:tc>
        <w:tc>
          <w:tcPr>
            <w:tcW w:w="0" w:type="auto"/>
            <w:gridSpan w:val="3"/>
            <w:vAlign w:val="center"/>
            <w:hideMark/>
          </w:tcPr>
          <w:p w14:paraId="5A5EDADF" w14:textId="77777777" w:rsidR="00000000" w:rsidRDefault="00A173A8">
            <w:pPr>
              <w:spacing w:after="100"/>
              <w:rPr>
                <w:rFonts w:eastAsia="Times New Roman"/>
                <w:sz w:val="20"/>
                <w:szCs w:val="20"/>
              </w:rPr>
            </w:pPr>
          </w:p>
        </w:tc>
        <w:tc>
          <w:tcPr>
            <w:tcW w:w="0" w:type="auto"/>
            <w:gridSpan w:val="3"/>
            <w:vAlign w:val="center"/>
            <w:hideMark/>
          </w:tcPr>
          <w:p w14:paraId="03FF84B7" w14:textId="77777777" w:rsidR="00000000" w:rsidRDefault="00A173A8">
            <w:pPr>
              <w:spacing w:after="100"/>
              <w:rPr>
                <w:rFonts w:eastAsia="Times New Roman"/>
                <w:sz w:val="20"/>
                <w:szCs w:val="20"/>
              </w:rPr>
            </w:pPr>
          </w:p>
        </w:tc>
        <w:tc>
          <w:tcPr>
            <w:tcW w:w="0" w:type="auto"/>
            <w:gridSpan w:val="3"/>
            <w:vAlign w:val="center"/>
            <w:hideMark/>
          </w:tcPr>
          <w:p w14:paraId="7C9322F0" w14:textId="77777777" w:rsidR="00000000" w:rsidRDefault="00A173A8">
            <w:pPr>
              <w:spacing w:after="100"/>
              <w:rPr>
                <w:rFonts w:eastAsia="Times New Roman"/>
                <w:sz w:val="20"/>
                <w:szCs w:val="20"/>
              </w:rPr>
            </w:pPr>
          </w:p>
        </w:tc>
        <w:tc>
          <w:tcPr>
            <w:tcW w:w="0" w:type="auto"/>
            <w:gridSpan w:val="3"/>
            <w:vAlign w:val="center"/>
            <w:hideMark/>
          </w:tcPr>
          <w:p w14:paraId="33B055D0" w14:textId="77777777" w:rsidR="00000000" w:rsidRDefault="00A173A8">
            <w:pPr>
              <w:spacing w:after="100"/>
              <w:rPr>
                <w:rFonts w:eastAsia="Times New Roman"/>
                <w:sz w:val="20"/>
                <w:szCs w:val="20"/>
              </w:rPr>
            </w:pPr>
          </w:p>
        </w:tc>
        <w:tc>
          <w:tcPr>
            <w:tcW w:w="0" w:type="auto"/>
            <w:gridSpan w:val="3"/>
            <w:vAlign w:val="center"/>
            <w:hideMark/>
          </w:tcPr>
          <w:p w14:paraId="0ED8D386" w14:textId="77777777" w:rsidR="00000000" w:rsidRDefault="00A173A8">
            <w:pPr>
              <w:spacing w:after="100"/>
              <w:rPr>
                <w:rFonts w:eastAsia="Times New Roman"/>
                <w:sz w:val="20"/>
                <w:szCs w:val="20"/>
              </w:rPr>
            </w:pPr>
          </w:p>
        </w:tc>
        <w:tc>
          <w:tcPr>
            <w:tcW w:w="0" w:type="auto"/>
            <w:gridSpan w:val="3"/>
            <w:vAlign w:val="center"/>
            <w:hideMark/>
          </w:tcPr>
          <w:p w14:paraId="2F376FAE" w14:textId="77777777" w:rsidR="00000000" w:rsidRDefault="00A173A8">
            <w:pPr>
              <w:spacing w:after="100"/>
              <w:rPr>
                <w:rFonts w:eastAsia="Times New Roman"/>
                <w:sz w:val="20"/>
                <w:szCs w:val="20"/>
              </w:rPr>
            </w:pPr>
          </w:p>
        </w:tc>
        <w:tc>
          <w:tcPr>
            <w:tcW w:w="0" w:type="auto"/>
            <w:gridSpan w:val="3"/>
            <w:vAlign w:val="center"/>
            <w:hideMark/>
          </w:tcPr>
          <w:p w14:paraId="7CC4424B" w14:textId="77777777" w:rsidR="00000000" w:rsidRDefault="00A173A8">
            <w:pPr>
              <w:spacing w:after="100"/>
              <w:rPr>
                <w:rFonts w:eastAsia="Times New Roman"/>
                <w:sz w:val="20"/>
                <w:szCs w:val="20"/>
              </w:rPr>
            </w:pPr>
          </w:p>
        </w:tc>
      </w:tr>
      <w:tr w:rsidR="00000000" w14:paraId="221E4F2F" w14:textId="77777777">
        <w:trPr>
          <w:divId w:val="488981052"/>
        </w:trPr>
        <w:tc>
          <w:tcPr>
            <w:tcW w:w="0" w:type="auto"/>
            <w:gridSpan w:val="3"/>
            <w:vAlign w:val="center"/>
            <w:hideMark/>
          </w:tcPr>
          <w:p w14:paraId="2627D8CD" w14:textId="77777777" w:rsidR="00000000" w:rsidRDefault="00A173A8">
            <w:pPr>
              <w:spacing w:after="100"/>
              <w:rPr>
                <w:rFonts w:eastAsia="Times New Roman"/>
                <w:sz w:val="20"/>
                <w:szCs w:val="20"/>
              </w:rPr>
            </w:pPr>
          </w:p>
        </w:tc>
        <w:tc>
          <w:tcPr>
            <w:tcW w:w="0" w:type="auto"/>
            <w:gridSpan w:val="3"/>
            <w:vAlign w:val="center"/>
            <w:hideMark/>
          </w:tcPr>
          <w:p w14:paraId="61B509EF" w14:textId="77777777" w:rsidR="00000000" w:rsidRDefault="00A173A8">
            <w:pPr>
              <w:spacing w:after="100"/>
              <w:rPr>
                <w:rFonts w:eastAsia="Times New Roman"/>
                <w:sz w:val="20"/>
                <w:szCs w:val="20"/>
              </w:rPr>
            </w:pPr>
          </w:p>
        </w:tc>
        <w:tc>
          <w:tcPr>
            <w:tcW w:w="0" w:type="auto"/>
            <w:gridSpan w:val="3"/>
            <w:vAlign w:val="center"/>
            <w:hideMark/>
          </w:tcPr>
          <w:p w14:paraId="794B1161" w14:textId="77777777" w:rsidR="00000000" w:rsidRDefault="00A173A8">
            <w:pPr>
              <w:spacing w:after="100"/>
              <w:rPr>
                <w:rFonts w:eastAsia="Times New Roman"/>
                <w:sz w:val="20"/>
                <w:szCs w:val="20"/>
              </w:rPr>
            </w:pPr>
          </w:p>
        </w:tc>
        <w:tc>
          <w:tcPr>
            <w:tcW w:w="0" w:type="auto"/>
            <w:gridSpan w:val="3"/>
            <w:vAlign w:val="center"/>
            <w:hideMark/>
          </w:tcPr>
          <w:p w14:paraId="4FE6A43B" w14:textId="77777777" w:rsidR="00000000" w:rsidRDefault="00A173A8">
            <w:pPr>
              <w:spacing w:after="100"/>
              <w:rPr>
                <w:rFonts w:eastAsia="Times New Roman"/>
                <w:sz w:val="20"/>
                <w:szCs w:val="20"/>
              </w:rPr>
            </w:pPr>
          </w:p>
        </w:tc>
        <w:tc>
          <w:tcPr>
            <w:tcW w:w="0" w:type="auto"/>
            <w:gridSpan w:val="3"/>
            <w:vAlign w:val="center"/>
            <w:hideMark/>
          </w:tcPr>
          <w:p w14:paraId="5E375E26" w14:textId="77777777" w:rsidR="00000000" w:rsidRDefault="00A173A8">
            <w:pPr>
              <w:spacing w:after="100"/>
              <w:rPr>
                <w:rFonts w:eastAsia="Times New Roman"/>
                <w:sz w:val="20"/>
                <w:szCs w:val="20"/>
              </w:rPr>
            </w:pPr>
          </w:p>
        </w:tc>
        <w:tc>
          <w:tcPr>
            <w:tcW w:w="0" w:type="auto"/>
            <w:gridSpan w:val="3"/>
            <w:vAlign w:val="center"/>
            <w:hideMark/>
          </w:tcPr>
          <w:p w14:paraId="0D23B52B" w14:textId="77777777" w:rsidR="00000000" w:rsidRDefault="00A173A8">
            <w:pPr>
              <w:spacing w:after="100"/>
              <w:rPr>
                <w:rFonts w:eastAsia="Times New Roman"/>
                <w:sz w:val="20"/>
                <w:szCs w:val="20"/>
              </w:rPr>
            </w:pPr>
          </w:p>
        </w:tc>
        <w:tc>
          <w:tcPr>
            <w:tcW w:w="0" w:type="auto"/>
            <w:gridSpan w:val="3"/>
            <w:vAlign w:val="center"/>
            <w:hideMark/>
          </w:tcPr>
          <w:p w14:paraId="2DE9F289" w14:textId="77777777" w:rsidR="00000000" w:rsidRDefault="00A173A8">
            <w:pPr>
              <w:spacing w:after="100"/>
              <w:rPr>
                <w:rFonts w:eastAsia="Times New Roman"/>
                <w:sz w:val="20"/>
                <w:szCs w:val="20"/>
              </w:rPr>
            </w:pPr>
          </w:p>
        </w:tc>
        <w:tc>
          <w:tcPr>
            <w:tcW w:w="0" w:type="auto"/>
            <w:gridSpan w:val="3"/>
            <w:vAlign w:val="center"/>
            <w:hideMark/>
          </w:tcPr>
          <w:p w14:paraId="030A494A" w14:textId="77777777" w:rsidR="00000000" w:rsidRDefault="00A173A8">
            <w:pPr>
              <w:spacing w:after="100"/>
              <w:rPr>
                <w:rFonts w:eastAsia="Times New Roman"/>
                <w:sz w:val="20"/>
                <w:szCs w:val="20"/>
              </w:rPr>
            </w:pPr>
          </w:p>
        </w:tc>
        <w:tc>
          <w:tcPr>
            <w:tcW w:w="0" w:type="auto"/>
            <w:gridSpan w:val="3"/>
            <w:vAlign w:val="center"/>
            <w:hideMark/>
          </w:tcPr>
          <w:p w14:paraId="3CAA555A" w14:textId="77777777" w:rsidR="00000000" w:rsidRDefault="00A173A8">
            <w:pPr>
              <w:spacing w:after="100"/>
              <w:rPr>
                <w:rFonts w:eastAsia="Times New Roman"/>
                <w:sz w:val="20"/>
                <w:szCs w:val="20"/>
              </w:rPr>
            </w:pPr>
          </w:p>
        </w:tc>
        <w:tc>
          <w:tcPr>
            <w:tcW w:w="0" w:type="auto"/>
            <w:gridSpan w:val="3"/>
            <w:vAlign w:val="center"/>
            <w:hideMark/>
          </w:tcPr>
          <w:p w14:paraId="6D9943BF" w14:textId="77777777" w:rsidR="00000000" w:rsidRDefault="00A173A8">
            <w:pPr>
              <w:spacing w:after="100"/>
              <w:rPr>
                <w:rFonts w:eastAsia="Times New Roman"/>
                <w:sz w:val="20"/>
                <w:szCs w:val="20"/>
              </w:rPr>
            </w:pPr>
          </w:p>
        </w:tc>
        <w:tc>
          <w:tcPr>
            <w:tcW w:w="0" w:type="auto"/>
            <w:gridSpan w:val="3"/>
            <w:vAlign w:val="center"/>
            <w:hideMark/>
          </w:tcPr>
          <w:p w14:paraId="2BC8F65E" w14:textId="77777777" w:rsidR="00000000" w:rsidRDefault="00A173A8">
            <w:pPr>
              <w:spacing w:after="100"/>
              <w:rPr>
                <w:rFonts w:eastAsia="Times New Roman"/>
                <w:sz w:val="20"/>
                <w:szCs w:val="20"/>
              </w:rPr>
            </w:pPr>
          </w:p>
        </w:tc>
        <w:tc>
          <w:tcPr>
            <w:tcW w:w="0" w:type="auto"/>
            <w:gridSpan w:val="3"/>
            <w:vAlign w:val="center"/>
            <w:hideMark/>
          </w:tcPr>
          <w:p w14:paraId="57A030EA" w14:textId="77777777" w:rsidR="00000000" w:rsidRDefault="00A173A8">
            <w:pPr>
              <w:spacing w:after="100"/>
              <w:rPr>
                <w:rFonts w:eastAsia="Times New Roman"/>
                <w:sz w:val="20"/>
                <w:szCs w:val="20"/>
              </w:rPr>
            </w:pPr>
          </w:p>
        </w:tc>
        <w:tc>
          <w:tcPr>
            <w:tcW w:w="0" w:type="auto"/>
            <w:gridSpan w:val="3"/>
            <w:vAlign w:val="center"/>
            <w:hideMark/>
          </w:tcPr>
          <w:p w14:paraId="378166C3" w14:textId="77777777" w:rsidR="00000000" w:rsidRDefault="00A173A8">
            <w:pPr>
              <w:spacing w:after="100"/>
              <w:rPr>
                <w:rFonts w:eastAsia="Times New Roman"/>
                <w:sz w:val="20"/>
                <w:szCs w:val="20"/>
              </w:rPr>
            </w:pPr>
          </w:p>
        </w:tc>
        <w:tc>
          <w:tcPr>
            <w:tcW w:w="0" w:type="auto"/>
            <w:gridSpan w:val="3"/>
            <w:vAlign w:val="center"/>
            <w:hideMark/>
          </w:tcPr>
          <w:p w14:paraId="7A5013F0" w14:textId="77777777" w:rsidR="00000000" w:rsidRDefault="00A173A8">
            <w:pPr>
              <w:spacing w:after="100"/>
              <w:rPr>
                <w:rFonts w:eastAsia="Times New Roman"/>
                <w:sz w:val="20"/>
                <w:szCs w:val="20"/>
              </w:rPr>
            </w:pPr>
          </w:p>
        </w:tc>
        <w:tc>
          <w:tcPr>
            <w:tcW w:w="0" w:type="auto"/>
            <w:gridSpan w:val="3"/>
            <w:vAlign w:val="center"/>
            <w:hideMark/>
          </w:tcPr>
          <w:p w14:paraId="6D19DADE" w14:textId="77777777" w:rsidR="00000000" w:rsidRDefault="00A173A8">
            <w:pPr>
              <w:spacing w:after="100"/>
              <w:rPr>
                <w:rFonts w:eastAsia="Times New Roman"/>
                <w:sz w:val="20"/>
                <w:szCs w:val="20"/>
              </w:rPr>
            </w:pPr>
          </w:p>
        </w:tc>
        <w:tc>
          <w:tcPr>
            <w:tcW w:w="0" w:type="auto"/>
            <w:gridSpan w:val="3"/>
            <w:vAlign w:val="center"/>
            <w:hideMark/>
          </w:tcPr>
          <w:p w14:paraId="13EE5A15" w14:textId="77777777" w:rsidR="00000000" w:rsidRDefault="00A173A8">
            <w:pPr>
              <w:spacing w:after="100"/>
              <w:rPr>
                <w:rFonts w:eastAsia="Times New Roman"/>
                <w:sz w:val="20"/>
                <w:szCs w:val="20"/>
              </w:rPr>
            </w:pPr>
          </w:p>
        </w:tc>
        <w:tc>
          <w:tcPr>
            <w:tcW w:w="0" w:type="auto"/>
            <w:gridSpan w:val="3"/>
            <w:vAlign w:val="center"/>
            <w:hideMark/>
          </w:tcPr>
          <w:p w14:paraId="3A028C9B" w14:textId="77777777" w:rsidR="00000000" w:rsidRDefault="00A173A8">
            <w:pPr>
              <w:spacing w:after="100"/>
              <w:rPr>
                <w:rFonts w:eastAsia="Times New Roman"/>
                <w:sz w:val="20"/>
                <w:szCs w:val="20"/>
              </w:rPr>
            </w:pPr>
          </w:p>
        </w:tc>
        <w:tc>
          <w:tcPr>
            <w:tcW w:w="0" w:type="auto"/>
            <w:gridSpan w:val="3"/>
            <w:vAlign w:val="center"/>
            <w:hideMark/>
          </w:tcPr>
          <w:p w14:paraId="0ED8D9E6" w14:textId="77777777" w:rsidR="00000000" w:rsidRDefault="00A173A8">
            <w:pPr>
              <w:spacing w:after="100"/>
              <w:rPr>
                <w:rFonts w:eastAsia="Times New Roman"/>
                <w:sz w:val="20"/>
                <w:szCs w:val="20"/>
              </w:rPr>
            </w:pPr>
          </w:p>
        </w:tc>
        <w:tc>
          <w:tcPr>
            <w:tcW w:w="0" w:type="auto"/>
            <w:gridSpan w:val="3"/>
            <w:vAlign w:val="center"/>
            <w:hideMark/>
          </w:tcPr>
          <w:p w14:paraId="302BF9E3" w14:textId="77777777" w:rsidR="00000000" w:rsidRDefault="00A173A8">
            <w:pPr>
              <w:spacing w:after="100"/>
              <w:rPr>
                <w:rFonts w:eastAsia="Times New Roman"/>
                <w:sz w:val="20"/>
                <w:szCs w:val="20"/>
              </w:rPr>
            </w:pPr>
          </w:p>
        </w:tc>
      </w:tr>
      <w:tr w:rsidR="00000000" w14:paraId="4312CFC3" w14:textId="77777777">
        <w:trPr>
          <w:divId w:val="488981052"/>
        </w:trPr>
        <w:tc>
          <w:tcPr>
            <w:tcW w:w="0" w:type="auto"/>
            <w:gridSpan w:val="3"/>
            <w:vAlign w:val="center"/>
            <w:hideMark/>
          </w:tcPr>
          <w:p w14:paraId="7FD0901E" w14:textId="77777777" w:rsidR="00000000" w:rsidRDefault="00A173A8">
            <w:pPr>
              <w:spacing w:after="100"/>
              <w:rPr>
                <w:rFonts w:eastAsia="Times New Roman"/>
                <w:sz w:val="20"/>
                <w:szCs w:val="20"/>
              </w:rPr>
            </w:pPr>
          </w:p>
        </w:tc>
        <w:tc>
          <w:tcPr>
            <w:tcW w:w="0" w:type="auto"/>
            <w:gridSpan w:val="3"/>
            <w:vAlign w:val="center"/>
            <w:hideMark/>
          </w:tcPr>
          <w:p w14:paraId="7F35CB20" w14:textId="77777777" w:rsidR="00000000" w:rsidRDefault="00A173A8">
            <w:pPr>
              <w:spacing w:after="100"/>
              <w:rPr>
                <w:rFonts w:eastAsia="Times New Roman"/>
                <w:sz w:val="20"/>
                <w:szCs w:val="20"/>
              </w:rPr>
            </w:pPr>
          </w:p>
        </w:tc>
        <w:tc>
          <w:tcPr>
            <w:tcW w:w="0" w:type="auto"/>
            <w:gridSpan w:val="3"/>
            <w:vAlign w:val="center"/>
            <w:hideMark/>
          </w:tcPr>
          <w:p w14:paraId="4DBE911F" w14:textId="77777777" w:rsidR="00000000" w:rsidRDefault="00A173A8">
            <w:pPr>
              <w:spacing w:after="100"/>
              <w:rPr>
                <w:rFonts w:eastAsia="Times New Roman"/>
                <w:sz w:val="20"/>
                <w:szCs w:val="20"/>
              </w:rPr>
            </w:pPr>
          </w:p>
        </w:tc>
        <w:tc>
          <w:tcPr>
            <w:tcW w:w="0" w:type="auto"/>
            <w:gridSpan w:val="3"/>
            <w:vAlign w:val="center"/>
            <w:hideMark/>
          </w:tcPr>
          <w:p w14:paraId="22D22DE7" w14:textId="77777777" w:rsidR="00000000" w:rsidRDefault="00A173A8">
            <w:pPr>
              <w:spacing w:after="100"/>
              <w:rPr>
                <w:rFonts w:eastAsia="Times New Roman"/>
                <w:sz w:val="20"/>
                <w:szCs w:val="20"/>
              </w:rPr>
            </w:pPr>
          </w:p>
        </w:tc>
        <w:tc>
          <w:tcPr>
            <w:tcW w:w="0" w:type="auto"/>
            <w:gridSpan w:val="3"/>
            <w:vAlign w:val="center"/>
            <w:hideMark/>
          </w:tcPr>
          <w:p w14:paraId="7437B003" w14:textId="77777777" w:rsidR="00000000" w:rsidRDefault="00A173A8">
            <w:pPr>
              <w:spacing w:after="100"/>
              <w:rPr>
                <w:rFonts w:eastAsia="Times New Roman"/>
                <w:sz w:val="20"/>
                <w:szCs w:val="20"/>
              </w:rPr>
            </w:pPr>
          </w:p>
        </w:tc>
        <w:tc>
          <w:tcPr>
            <w:tcW w:w="0" w:type="auto"/>
            <w:gridSpan w:val="3"/>
            <w:vAlign w:val="center"/>
            <w:hideMark/>
          </w:tcPr>
          <w:p w14:paraId="17684CAB" w14:textId="77777777" w:rsidR="00000000" w:rsidRDefault="00A173A8">
            <w:pPr>
              <w:spacing w:after="100"/>
              <w:rPr>
                <w:rFonts w:eastAsia="Times New Roman"/>
                <w:sz w:val="20"/>
                <w:szCs w:val="20"/>
              </w:rPr>
            </w:pPr>
          </w:p>
        </w:tc>
        <w:tc>
          <w:tcPr>
            <w:tcW w:w="0" w:type="auto"/>
            <w:gridSpan w:val="3"/>
            <w:vAlign w:val="center"/>
            <w:hideMark/>
          </w:tcPr>
          <w:p w14:paraId="1751ED0D" w14:textId="77777777" w:rsidR="00000000" w:rsidRDefault="00A173A8">
            <w:pPr>
              <w:spacing w:after="100"/>
              <w:rPr>
                <w:rFonts w:eastAsia="Times New Roman"/>
                <w:sz w:val="20"/>
                <w:szCs w:val="20"/>
              </w:rPr>
            </w:pPr>
          </w:p>
        </w:tc>
        <w:tc>
          <w:tcPr>
            <w:tcW w:w="0" w:type="auto"/>
            <w:gridSpan w:val="3"/>
            <w:vAlign w:val="center"/>
            <w:hideMark/>
          </w:tcPr>
          <w:p w14:paraId="3CFFD6A7" w14:textId="77777777" w:rsidR="00000000" w:rsidRDefault="00A173A8">
            <w:pPr>
              <w:spacing w:after="100"/>
              <w:rPr>
                <w:rFonts w:eastAsia="Times New Roman"/>
                <w:sz w:val="20"/>
                <w:szCs w:val="20"/>
              </w:rPr>
            </w:pPr>
          </w:p>
        </w:tc>
        <w:tc>
          <w:tcPr>
            <w:tcW w:w="0" w:type="auto"/>
            <w:gridSpan w:val="3"/>
            <w:vAlign w:val="center"/>
            <w:hideMark/>
          </w:tcPr>
          <w:p w14:paraId="3DDA90B8" w14:textId="77777777" w:rsidR="00000000" w:rsidRDefault="00A173A8">
            <w:pPr>
              <w:spacing w:after="100"/>
              <w:rPr>
                <w:rFonts w:eastAsia="Times New Roman"/>
                <w:sz w:val="20"/>
                <w:szCs w:val="20"/>
              </w:rPr>
            </w:pPr>
          </w:p>
        </w:tc>
        <w:tc>
          <w:tcPr>
            <w:tcW w:w="0" w:type="auto"/>
            <w:gridSpan w:val="3"/>
            <w:vAlign w:val="center"/>
            <w:hideMark/>
          </w:tcPr>
          <w:p w14:paraId="04EECAB3" w14:textId="77777777" w:rsidR="00000000" w:rsidRDefault="00A173A8">
            <w:pPr>
              <w:spacing w:after="100"/>
              <w:rPr>
                <w:rFonts w:eastAsia="Times New Roman"/>
                <w:sz w:val="20"/>
                <w:szCs w:val="20"/>
              </w:rPr>
            </w:pPr>
          </w:p>
        </w:tc>
        <w:tc>
          <w:tcPr>
            <w:tcW w:w="0" w:type="auto"/>
            <w:gridSpan w:val="3"/>
            <w:vAlign w:val="center"/>
            <w:hideMark/>
          </w:tcPr>
          <w:p w14:paraId="57E2DF10" w14:textId="77777777" w:rsidR="00000000" w:rsidRDefault="00A173A8">
            <w:pPr>
              <w:spacing w:after="100"/>
              <w:rPr>
                <w:rFonts w:eastAsia="Times New Roman"/>
                <w:sz w:val="20"/>
                <w:szCs w:val="20"/>
              </w:rPr>
            </w:pPr>
          </w:p>
        </w:tc>
        <w:tc>
          <w:tcPr>
            <w:tcW w:w="0" w:type="auto"/>
            <w:gridSpan w:val="3"/>
            <w:vAlign w:val="center"/>
            <w:hideMark/>
          </w:tcPr>
          <w:p w14:paraId="35943ED5" w14:textId="77777777" w:rsidR="00000000" w:rsidRDefault="00A173A8">
            <w:pPr>
              <w:spacing w:after="100"/>
              <w:rPr>
                <w:rFonts w:eastAsia="Times New Roman"/>
                <w:sz w:val="20"/>
                <w:szCs w:val="20"/>
              </w:rPr>
            </w:pPr>
          </w:p>
        </w:tc>
        <w:tc>
          <w:tcPr>
            <w:tcW w:w="0" w:type="auto"/>
            <w:gridSpan w:val="3"/>
            <w:vAlign w:val="center"/>
            <w:hideMark/>
          </w:tcPr>
          <w:p w14:paraId="133B38F0" w14:textId="77777777" w:rsidR="00000000" w:rsidRDefault="00A173A8">
            <w:pPr>
              <w:spacing w:after="100"/>
              <w:rPr>
                <w:rFonts w:eastAsia="Times New Roman"/>
                <w:sz w:val="20"/>
                <w:szCs w:val="20"/>
              </w:rPr>
            </w:pPr>
          </w:p>
        </w:tc>
        <w:tc>
          <w:tcPr>
            <w:tcW w:w="0" w:type="auto"/>
            <w:gridSpan w:val="3"/>
            <w:vAlign w:val="center"/>
            <w:hideMark/>
          </w:tcPr>
          <w:p w14:paraId="62041492" w14:textId="77777777" w:rsidR="00000000" w:rsidRDefault="00A173A8">
            <w:pPr>
              <w:spacing w:after="100"/>
              <w:rPr>
                <w:rFonts w:eastAsia="Times New Roman"/>
                <w:sz w:val="20"/>
                <w:szCs w:val="20"/>
              </w:rPr>
            </w:pPr>
          </w:p>
        </w:tc>
        <w:tc>
          <w:tcPr>
            <w:tcW w:w="0" w:type="auto"/>
            <w:gridSpan w:val="3"/>
            <w:vAlign w:val="center"/>
            <w:hideMark/>
          </w:tcPr>
          <w:p w14:paraId="51960685" w14:textId="77777777" w:rsidR="00000000" w:rsidRDefault="00A173A8">
            <w:pPr>
              <w:spacing w:after="100"/>
              <w:rPr>
                <w:rFonts w:eastAsia="Times New Roman"/>
                <w:sz w:val="20"/>
                <w:szCs w:val="20"/>
              </w:rPr>
            </w:pPr>
          </w:p>
        </w:tc>
        <w:tc>
          <w:tcPr>
            <w:tcW w:w="0" w:type="auto"/>
            <w:gridSpan w:val="3"/>
            <w:vAlign w:val="center"/>
            <w:hideMark/>
          </w:tcPr>
          <w:p w14:paraId="03850239" w14:textId="77777777" w:rsidR="00000000" w:rsidRDefault="00A173A8">
            <w:pPr>
              <w:spacing w:after="100"/>
              <w:rPr>
                <w:rFonts w:eastAsia="Times New Roman"/>
                <w:sz w:val="20"/>
                <w:szCs w:val="20"/>
              </w:rPr>
            </w:pPr>
          </w:p>
        </w:tc>
        <w:tc>
          <w:tcPr>
            <w:tcW w:w="0" w:type="auto"/>
            <w:gridSpan w:val="3"/>
            <w:vAlign w:val="center"/>
            <w:hideMark/>
          </w:tcPr>
          <w:p w14:paraId="20B2F962" w14:textId="77777777" w:rsidR="00000000" w:rsidRDefault="00A173A8">
            <w:pPr>
              <w:spacing w:after="100"/>
              <w:rPr>
                <w:rFonts w:eastAsia="Times New Roman"/>
                <w:sz w:val="20"/>
                <w:szCs w:val="20"/>
              </w:rPr>
            </w:pPr>
          </w:p>
        </w:tc>
        <w:tc>
          <w:tcPr>
            <w:tcW w:w="0" w:type="auto"/>
            <w:gridSpan w:val="3"/>
            <w:vAlign w:val="center"/>
            <w:hideMark/>
          </w:tcPr>
          <w:p w14:paraId="0D15F2AE" w14:textId="77777777" w:rsidR="00000000" w:rsidRDefault="00A173A8">
            <w:pPr>
              <w:spacing w:after="100"/>
              <w:rPr>
                <w:rFonts w:eastAsia="Times New Roman"/>
                <w:sz w:val="20"/>
                <w:szCs w:val="20"/>
              </w:rPr>
            </w:pPr>
          </w:p>
        </w:tc>
        <w:tc>
          <w:tcPr>
            <w:tcW w:w="0" w:type="auto"/>
            <w:gridSpan w:val="3"/>
            <w:vAlign w:val="center"/>
            <w:hideMark/>
          </w:tcPr>
          <w:p w14:paraId="1E0BBB07" w14:textId="77777777" w:rsidR="00000000" w:rsidRDefault="00A173A8">
            <w:pPr>
              <w:spacing w:after="100"/>
              <w:rPr>
                <w:rFonts w:eastAsia="Times New Roman"/>
                <w:sz w:val="20"/>
                <w:szCs w:val="20"/>
              </w:rPr>
            </w:pPr>
          </w:p>
        </w:tc>
      </w:tr>
      <w:tr w:rsidR="00000000" w14:paraId="0979EF65" w14:textId="77777777">
        <w:trPr>
          <w:divId w:val="488981052"/>
        </w:trPr>
        <w:tc>
          <w:tcPr>
            <w:tcW w:w="0" w:type="auto"/>
            <w:gridSpan w:val="3"/>
            <w:vAlign w:val="center"/>
            <w:hideMark/>
          </w:tcPr>
          <w:p w14:paraId="43B94BF9" w14:textId="77777777" w:rsidR="00000000" w:rsidRDefault="00A173A8">
            <w:pPr>
              <w:spacing w:after="100"/>
              <w:rPr>
                <w:rFonts w:eastAsia="Times New Roman"/>
                <w:sz w:val="20"/>
                <w:szCs w:val="20"/>
              </w:rPr>
            </w:pPr>
          </w:p>
        </w:tc>
        <w:tc>
          <w:tcPr>
            <w:tcW w:w="0" w:type="auto"/>
            <w:gridSpan w:val="3"/>
            <w:vAlign w:val="center"/>
            <w:hideMark/>
          </w:tcPr>
          <w:p w14:paraId="36A46B05" w14:textId="77777777" w:rsidR="00000000" w:rsidRDefault="00A173A8">
            <w:pPr>
              <w:spacing w:after="100"/>
              <w:rPr>
                <w:rFonts w:eastAsia="Times New Roman"/>
                <w:sz w:val="20"/>
                <w:szCs w:val="20"/>
              </w:rPr>
            </w:pPr>
          </w:p>
        </w:tc>
        <w:tc>
          <w:tcPr>
            <w:tcW w:w="0" w:type="auto"/>
            <w:gridSpan w:val="3"/>
            <w:vAlign w:val="center"/>
            <w:hideMark/>
          </w:tcPr>
          <w:p w14:paraId="5CAA774E" w14:textId="77777777" w:rsidR="00000000" w:rsidRDefault="00A173A8">
            <w:pPr>
              <w:spacing w:after="100"/>
              <w:rPr>
                <w:rFonts w:eastAsia="Times New Roman"/>
                <w:sz w:val="20"/>
                <w:szCs w:val="20"/>
              </w:rPr>
            </w:pPr>
          </w:p>
        </w:tc>
        <w:tc>
          <w:tcPr>
            <w:tcW w:w="0" w:type="auto"/>
            <w:gridSpan w:val="3"/>
            <w:vAlign w:val="center"/>
            <w:hideMark/>
          </w:tcPr>
          <w:p w14:paraId="12AFD909" w14:textId="77777777" w:rsidR="00000000" w:rsidRDefault="00A173A8">
            <w:pPr>
              <w:spacing w:after="100"/>
              <w:rPr>
                <w:rFonts w:eastAsia="Times New Roman"/>
                <w:sz w:val="20"/>
                <w:szCs w:val="20"/>
              </w:rPr>
            </w:pPr>
          </w:p>
        </w:tc>
        <w:tc>
          <w:tcPr>
            <w:tcW w:w="0" w:type="auto"/>
            <w:gridSpan w:val="3"/>
            <w:vAlign w:val="center"/>
            <w:hideMark/>
          </w:tcPr>
          <w:p w14:paraId="7F25DEBF" w14:textId="77777777" w:rsidR="00000000" w:rsidRDefault="00A173A8">
            <w:pPr>
              <w:spacing w:after="100"/>
              <w:rPr>
                <w:rFonts w:eastAsia="Times New Roman"/>
                <w:sz w:val="20"/>
                <w:szCs w:val="20"/>
              </w:rPr>
            </w:pPr>
          </w:p>
        </w:tc>
        <w:tc>
          <w:tcPr>
            <w:tcW w:w="0" w:type="auto"/>
            <w:gridSpan w:val="3"/>
            <w:vAlign w:val="center"/>
            <w:hideMark/>
          </w:tcPr>
          <w:p w14:paraId="6ADF333B" w14:textId="77777777" w:rsidR="00000000" w:rsidRDefault="00A173A8">
            <w:pPr>
              <w:spacing w:after="100"/>
              <w:rPr>
                <w:rFonts w:eastAsia="Times New Roman"/>
                <w:sz w:val="20"/>
                <w:szCs w:val="20"/>
              </w:rPr>
            </w:pPr>
          </w:p>
        </w:tc>
        <w:tc>
          <w:tcPr>
            <w:tcW w:w="0" w:type="auto"/>
            <w:gridSpan w:val="3"/>
            <w:vAlign w:val="center"/>
            <w:hideMark/>
          </w:tcPr>
          <w:p w14:paraId="0FBD435E" w14:textId="77777777" w:rsidR="00000000" w:rsidRDefault="00A173A8">
            <w:pPr>
              <w:spacing w:after="100"/>
              <w:rPr>
                <w:rFonts w:eastAsia="Times New Roman"/>
                <w:sz w:val="20"/>
                <w:szCs w:val="20"/>
              </w:rPr>
            </w:pPr>
          </w:p>
        </w:tc>
        <w:tc>
          <w:tcPr>
            <w:tcW w:w="0" w:type="auto"/>
            <w:gridSpan w:val="3"/>
            <w:vAlign w:val="center"/>
            <w:hideMark/>
          </w:tcPr>
          <w:p w14:paraId="6ACE1409" w14:textId="77777777" w:rsidR="00000000" w:rsidRDefault="00A173A8">
            <w:pPr>
              <w:spacing w:after="100"/>
              <w:rPr>
                <w:rFonts w:eastAsia="Times New Roman"/>
                <w:sz w:val="20"/>
                <w:szCs w:val="20"/>
              </w:rPr>
            </w:pPr>
          </w:p>
        </w:tc>
        <w:tc>
          <w:tcPr>
            <w:tcW w:w="0" w:type="auto"/>
            <w:gridSpan w:val="3"/>
            <w:vAlign w:val="center"/>
            <w:hideMark/>
          </w:tcPr>
          <w:p w14:paraId="7EE38185" w14:textId="77777777" w:rsidR="00000000" w:rsidRDefault="00A173A8">
            <w:pPr>
              <w:spacing w:after="100"/>
              <w:rPr>
                <w:rFonts w:eastAsia="Times New Roman"/>
                <w:sz w:val="20"/>
                <w:szCs w:val="20"/>
              </w:rPr>
            </w:pPr>
          </w:p>
        </w:tc>
        <w:tc>
          <w:tcPr>
            <w:tcW w:w="0" w:type="auto"/>
            <w:gridSpan w:val="3"/>
            <w:vAlign w:val="center"/>
            <w:hideMark/>
          </w:tcPr>
          <w:p w14:paraId="78ECCD04" w14:textId="77777777" w:rsidR="00000000" w:rsidRDefault="00A173A8">
            <w:pPr>
              <w:spacing w:after="100"/>
              <w:rPr>
                <w:rFonts w:eastAsia="Times New Roman"/>
                <w:sz w:val="20"/>
                <w:szCs w:val="20"/>
              </w:rPr>
            </w:pPr>
          </w:p>
        </w:tc>
        <w:tc>
          <w:tcPr>
            <w:tcW w:w="0" w:type="auto"/>
            <w:gridSpan w:val="3"/>
            <w:vAlign w:val="center"/>
            <w:hideMark/>
          </w:tcPr>
          <w:p w14:paraId="2F81FC7A" w14:textId="77777777" w:rsidR="00000000" w:rsidRDefault="00A173A8">
            <w:pPr>
              <w:spacing w:after="100"/>
              <w:rPr>
                <w:rFonts w:eastAsia="Times New Roman"/>
                <w:sz w:val="20"/>
                <w:szCs w:val="20"/>
              </w:rPr>
            </w:pPr>
          </w:p>
        </w:tc>
        <w:tc>
          <w:tcPr>
            <w:tcW w:w="0" w:type="auto"/>
            <w:gridSpan w:val="3"/>
            <w:vAlign w:val="center"/>
            <w:hideMark/>
          </w:tcPr>
          <w:p w14:paraId="28BFAF0F" w14:textId="77777777" w:rsidR="00000000" w:rsidRDefault="00A173A8">
            <w:pPr>
              <w:spacing w:after="100"/>
              <w:rPr>
                <w:rFonts w:eastAsia="Times New Roman"/>
                <w:sz w:val="20"/>
                <w:szCs w:val="20"/>
              </w:rPr>
            </w:pPr>
          </w:p>
        </w:tc>
        <w:tc>
          <w:tcPr>
            <w:tcW w:w="0" w:type="auto"/>
            <w:gridSpan w:val="3"/>
            <w:vAlign w:val="center"/>
            <w:hideMark/>
          </w:tcPr>
          <w:p w14:paraId="5CABAB03" w14:textId="77777777" w:rsidR="00000000" w:rsidRDefault="00A173A8">
            <w:pPr>
              <w:spacing w:after="100"/>
              <w:rPr>
                <w:rFonts w:eastAsia="Times New Roman"/>
                <w:sz w:val="20"/>
                <w:szCs w:val="20"/>
              </w:rPr>
            </w:pPr>
          </w:p>
        </w:tc>
        <w:tc>
          <w:tcPr>
            <w:tcW w:w="0" w:type="auto"/>
            <w:gridSpan w:val="3"/>
            <w:vAlign w:val="center"/>
            <w:hideMark/>
          </w:tcPr>
          <w:p w14:paraId="40CC86C1" w14:textId="77777777" w:rsidR="00000000" w:rsidRDefault="00A173A8">
            <w:pPr>
              <w:spacing w:after="100"/>
              <w:rPr>
                <w:rFonts w:eastAsia="Times New Roman"/>
                <w:sz w:val="20"/>
                <w:szCs w:val="20"/>
              </w:rPr>
            </w:pPr>
          </w:p>
        </w:tc>
        <w:tc>
          <w:tcPr>
            <w:tcW w:w="0" w:type="auto"/>
            <w:gridSpan w:val="3"/>
            <w:vAlign w:val="center"/>
            <w:hideMark/>
          </w:tcPr>
          <w:p w14:paraId="015A6CD7" w14:textId="77777777" w:rsidR="00000000" w:rsidRDefault="00A173A8">
            <w:pPr>
              <w:spacing w:after="100"/>
              <w:rPr>
                <w:rFonts w:eastAsia="Times New Roman"/>
                <w:sz w:val="20"/>
                <w:szCs w:val="20"/>
              </w:rPr>
            </w:pPr>
          </w:p>
        </w:tc>
        <w:tc>
          <w:tcPr>
            <w:tcW w:w="0" w:type="auto"/>
            <w:gridSpan w:val="3"/>
            <w:vAlign w:val="center"/>
            <w:hideMark/>
          </w:tcPr>
          <w:p w14:paraId="050E159A" w14:textId="77777777" w:rsidR="00000000" w:rsidRDefault="00A173A8">
            <w:pPr>
              <w:spacing w:after="100"/>
              <w:rPr>
                <w:rFonts w:eastAsia="Times New Roman"/>
                <w:sz w:val="20"/>
                <w:szCs w:val="20"/>
              </w:rPr>
            </w:pPr>
          </w:p>
        </w:tc>
        <w:tc>
          <w:tcPr>
            <w:tcW w:w="0" w:type="auto"/>
            <w:gridSpan w:val="3"/>
            <w:vAlign w:val="center"/>
            <w:hideMark/>
          </w:tcPr>
          <w:p w14:paraId="085F6FD8" w14:textId="77777777" w:rsidR="00000000" w:rsidRDefault="00A173A8">
            <w:pPr>
              <w:spacing w:after="100"/>
              <w:rPr>
                <w:rFonts w:eastAsia="Times New Roman"/>
                <w:sz w:val="20"/>
                <w:szCs w:val="20"/>
              </w:rPr>
            </w:pPr>
          </w:p>
        </w:tc>
        <w:tc>
          <w:tcPr>
            <w:tcW w:w="0" w:type="auto"/>
            <w:gridSpan w:val="3"/>
            <w:vAlign w:val="center"/>
            <w:hideMark/>
          </w:tcPr>
          <w:p w14:paraId="50526799" w14:textId="77777777" w:rsidR="00000000" w:rsidRDefault="00A173A8">
            <w:pPr>
              <w:spacing w:after="100"/>
              <w:rPr>
                <w:rFonts w:eastAsia="Times New Roman"/>
                <w:sz w:val="20"/>
                <w:szCs w:val="20"/>
              </w:rPr>
            </w:pPr>
          </w:p>
        </w:tc>
        <w:tc>
          <w:tcPr>
            <w:tcW w:w="0" w:type="auto"/>
            <w:gridSpan w:val="3"/>
            <w:vAlign w:val="center"/>
            <w:hideMark/>
          </w:tcPr>
          <w:p w14:paraId="045D4703" w14:textId="77777777" w:rsidR="00000000" w:rsidRDefault="00A173A8">
            <w:pPr>
              <w:spacing w:after="100"/>
              <w:rPr>
                <w:rFonts w:eastAsia="Times New Roman"/>
                <w:sz w:val="20"/>
                <w:szCs w:val="20"/>
              </w:rPr>
            </w:pPr>
          </w:p>
        </w:tc>
      </w:tr>
    </w:tbl>
    <w:tbl>
      <w:tblPr>
        <w:tblW w:w="4978" w:type="pct"/>
        <w:tblCellMar>
          <w:top w:w="15" w:type="dxa"/>
          <w:left w:w="15" w:type="dxa"/>
          <w:bottom w:w="15" w:type="dxa"/>
          <w:right w:w="15" w:type="dxa"/>
        </w:tblCellMar>
        <w:tblLook w:val="04A0" w:firstRow="1" w:lastRow="0" w:firstColumn="1" w:lastColumn="0" w:noHBand="0" w:noVBand="1"/>
      </w:tblPr>
      <w:tblGrid>
        <w:gridCol w:w="144"/>
        <w:gridCol w:w="1814"/>
        <w:gridCol w:w="144"/>
        <w:gridCol w:w="144"/>
        <w:gridCol w:w="144"/>
        <w:gridCol w:w="144"/>
        <w:gridCol w:w="144"/>
        <w:gridCol w:w="539"/>
        <w:gridCol w:w="144"/>
        <w:gridCol w:w="144"/>
        <w:gridCol w:w="144"/>
        <w:gridCol w:w="144"/>
        <w:gridCol w:w="144"/>
        <w:gridCol w:w="406"/>
        <w:gridCol w:w="144"/>
        <w:gridCol w:w="144"/>
        <w:gridCol w:w="144"/>
        <w:gridCol w:w="144"/>
        <w:gridCol w:w="144"/>
        <w:gridCol w:w="673"/>
        <w:gridCol w:w="144"/>
        <w:gridCol w:w="144"/>
        <w:gridCol w:w="144"/>
        <w:gridCol w:w="144"/>
        <w:gridCol w:w="144"/>
        <w:gridCol w:w="406"/>
        <w:gridCol w:w="144"/>
        <w:gridCol w:w="144"/>
        <w:gridCol w:w="144"/>
        <w:gridCol w:w="144"/>
        <w:gridCol w:w="144"/>
        <w:gridCol w:w="527"/>
        <w:gridCol w:w="144"/>
        <w:gridCol w:w="144"/>
        <w:gridCol w:w="144"/>
        <w:gridCol w:w="144"/>
        <w:gridCol w:w="144"/>
        <w:gridCol w:w="502"/>
        <w:gridCol w:w="144"/>
        <w:gridCol w:w="144"/>
        <w:gridCol w:w="144"/>
        <w:gridCol w:w="144"/>
        <w:gridCol w:w="144"/>
        <w:gridCol w:w="770"/>
        <w:gridCol w:w="144"/>
        <w:gridCol w:w="144"/>
        <w:gridCol w:w="144"/>
        <w:gridCol w:w="144"/>
        <w:gridCol w:w="144"/>
        <w:gridCol w:w="479"/>
        <w:gridCol w:w="144"/>
        <w:gridCol w:w="144"/>
        <w:gridCol w:w="144"/>
        <w:gridCol w:w="144"/>
        <w:gridCol w:w="144"/>
        <w:gridCol w:w="686"/>
        <w:gridCol w:w="144"/>
      </w:tblGrid>
      <w:tr w:rsidR="00000000" w14:paraId="0BA4C4D4" w14:textId="77777777">
        <w:tc>
          <w:tcPr>
            <w:tcW w:w="50" w:type="pct"/>
            <w:vAlign w:val="center"/>
            <w:hideMark/>
          </w:tcPr>
          <w:p w14:paraId="25E1BD1A" w14:textId="77777777" w:rsidR="00000000" w:rsidRDefault="00A173A8">
            <w:pPr>
              <w:jc w:val="both"/>
              <w:rPr>
                <w:rFonts w:eastAsia="Times New Roman"/>
              </w:rPr>
            </w:pPr>
          </w:p>
        </w:tc>
        <w:tc>
          <w:tcPr>
            <w:tcW w:w="1097" w:type="pct"/>
            <w:vAlign w:val="center"/>
            <w:hideMark/>
          </w:tcPr>
          <w:p w14:paraId="602045E4" w14:textId="77777777" w:rsidR="00000000" w:rsidRDefault="00A173A8">
            <w:pPr>
              <w:spacing w:after="100"/>
              <w:rPr>
                <w:rFonts w:eastAsia="Times New Roman"/>
                <w:sz w:val="20"/>
                <w:szCs w:val="20"/>
              </w:rPr>
            </w:pPr>
          </w:p>
        </w:tc>
        <w:tc>
          <w:tcPr>
            <w:tcW w:w="5" w:type="pct"/>
            <w:vAlign w:val="center"/>
            <w:hideMark/>
          </w:tcPr>
          <w:p w14:paraId="5126258D" w14:textId="77777777" w:rsidR="00000000" w:rsidRDefault="00A173A8">
            <w:pPr>
              <w:spacing w:after="100"/>
              <w:rPr>
                <w:rFonts w:eastAsia="Times New Roman"/>
                <w:sz w:val="20"/>
                <w:szCs w:val="20"/>
              </w:rPr>
            </w:pPr>
          </w:p>
        </w:tc>
        <w:tc>
          <w:tcPr>
            <w:tcW w:w="5" w:type="pct"/>
            <w:vAlign w:val="center"/>
            <w:hideMark/>
          </w:tcPr>
          <w:p w14:paraId="3F7B7760" w14:textId="77777777" w:rsidR="00000000" w:rsidRDefault="00A173A8">
            <w:pPr>
              <w:spacing w:after="100"/>
              <w:rPr>
                <w:rFonts w:eastAsia="Times New Roman"/>
                <w:sz w:val="20"/>
                <w:szCs w:val="20"/>
              </w:rPr>
            </w:pPr>
          </w:p>
        </w:tc>
        <w:tc>
          <w:tcPr>
            <w:tcW w:w="26" w:type="pct"/>
            <w:vAlign w:val="center"/>
            <w:hideMark/>
          </w:tcPr>
          <w:p w14:paraId="7E9F7FF4" w14:textId="77777777" w:rsidR="00000000" w:rsidRDefault="00A173A8">
            <w:pPr>
              <w:spacing w:after="100"/>
              <w:rPr>
                <w:rFonts w:eastAsia="Times New Roman"/>
                <w:sz w:val="20"/>
                <w:szCs w:val="20"/>
              </w:rPr>
            </w:pPr>
          </w:p>
        </w:tc>
        <w:tc>
          <w:tcPr>
            <w:tcW w:w="5" w:type="pct"/>
            <w:vAlign w:val="center"/>
            <w:hideMark/>
          </w:tcPr>
          <w:p w14:paraId="47FCAAED" w14:textId="77777777" w:rsidR="00000000" w:rsidRDefault="00A173A8">
            <w:pPr>
              <w:spacing w:after="100"/>
              <w:rPr>
                <w:rFonts w:eastAsia="Times New Roman"/>
                <w:sz w:val="20"/>
                <w:szCs w:val="20"/>
              </w:rPr>
            </w:pPr>
          </w:p>
        </w:tc>
        <w:tc>
          <w:tcPr>
            <w:tcW w:w="50" w:type="pct"/>
            <w:vAlign w:val="center"/>
            <w:hideMark/>
          </w:tcPr>
          <w:p w14:paraId="43362688" w14:textId="77777777" w:rsidR="00000000" w:rsidRDefault="00A173A8">
            <w:pPr>
              <w:spacing w:after="100"/>
              <w:rPr>
                <w:rFonts w:eastAsia="Times New Roman"/>
                <w:sz w:val="20"/>
                <w:szCs w:val="20"/>
              </w:rPr>
            </w:pPr>
          </w:p>
        </w:tc>
        <w:tc>
          <w:tcPr>
            <w:tcW w:w="326" w:type="pct"/>
            <w:vAlign w:val="center"/>
            <w:hideMark/>
          </w:tcPr>
          <w:p w14:paraId="0F71007B" w14:textId="77777777" w:rsidR="00000000" w:rsidRDefault="00A173A8">
            <w:pPr>
              <w:spacing w:after="100"/>
              <w:rPr>
                <w:rFonts w:eastAsia="Times New Roman"/>
                <w:sz w:val="20"/>
                <w:szCs w:val="20"/>
              </w:rPr>
            </w:pPr>
          </w:p>
        </w:tc>
        <w:tc>
          <w:tcPr>
            <w:tcW w:w="5" w:type="pct"/>
            <w:vAlign w:val="center"/>
            <w:hideMark/>
          </w:tcPr>
          <w:p w14:paraId="7D2C36B0" w14:textId="77777777" w:rsidR="00000000" w:rsidRDefault="00A173A8">
            <w:pPr>
              <w:spacing w:after="100"/>
              <w:rPr>
                <w:rFonts w:eastAsia="Times New Roman"/>
                <w:sz w:val="20"/>
                <w:szCs w:val="20"/>
              </w:rPr>
            </w:pPr>
          </w:p>
        </w:tc>
        <w:tc>
          <w:tcPr>
            <w:tcW w:w="5" w:type="pct"/>
            <w:vAlign w:val="center"/>
            <w:hideMark/>
          </w:tcPr>
          <w:p w14:paraId="243AED22" w14:textId="77777777" w:rsidR="00000000" w:rsidRDefault="00A173A8">
            <w:pPr>
              <w:spacing w:after="100"/>
              <w:rPr>
                <w:rFonts w:eastAsia="Times New Roman"/>
                <w:sz w:val="20"/>
                <w:szCs w:val="20"/>
              </w:rPr>
            </w:pPr>
          </w:p>
        </w:tc>
        <w:tc>
          <w:tcPr>
            <w:tcW w:w="26" w:type="pct"/>
            <w:vAlign w:val="center"/>
            <w:hideMark/>
          </w:tcPr>
          <w:p w14:paraId="03A7FA1C" w14:textId="77777777" w:rsidR="00000000" w:rsidRDefault="00A173A8">
            <w:pPr>
              <w:spacing w:after="100"/>
              <w:rPr>
                <w:rFonts w:eastAsia="Times New Roman"/>
                <w:sz w:val="20"/>
                <w:szCs w:val="20"/>
              </w:rPr>
            </w:pPr>
          </w:p>
        </w:tc>
        <w:tc>
          <w:tcPr>
            <w:tcW w:w="5" w:type="pct"/>
            <w:vAlign w:val="center"/>
            <w:hideMark/>
          </w:tcPr>
          <w:p w14:paraId="5E32C5F5" w14:textId="77777777" w:rsidR="00000000" w:rsidRDefault="00A173A8">
            <w:pPr>
              <w:spacing w:after="100"/>
              <w:rPr>
                <w:rFonts w:eastAsia="Times New Roman"/>
                <w:sz w:val="20"/>
                <w:szCs w:val="20"/>
              </w:rPr>
            </w:pPr>
          </w:p>
        </w:tc>
        <w:tc>
          <w:tcPr>
            <w:tcW w:w="50" w:type="pct"/>
            <w:vAlign w:val="center"/>
            <w:hideMark/>
          </w:tcPr>
          <w:p w14:paraId="5CE13446" w14:textId="77777777" w:rsidR="00000000" w:rsidRDefault="00A173A8">
            <w:pPr>
              <w:spacing w:after="100"/>
              <w:rPr>
                <w:rFonts w:eastAsia="Times New Roman"/>
                <w:sz w:val="20"/>
                <w:szCs w:val="20"/>
              </w:rPr>
            </w:pPr>
          </w:p>
        </w:tc>
        <w:tc>
          <w:tcPr>
            <w:tcW w:w="246" w:type="pct"/>
            <w:vAlign w:val="center"/>
            <w:hideMark/>
          </w:tcPr>
          <w:p w14:paraId="469F4D54" w14:textId="77777777" w:rsidR="00000000" w:rsidRDefault="00A173A8">
            <w:pPr>
              <w:spacing w:after="100"/>
              <w:rPr>
                <w:rFonts w:eastAsia="Times New Roman"/>
                <w:sz w:val="20"/>
                <w:szCs w:val="20"/>
              </w:rPr>
            </w:pPr>
          </w:p>
        </w:tc>
        <w:tc>
          <w:tcPr>
            <w:tcW w:w="5" w:type="pct"/>
            <w:vAlign w:val="center"/>
            <w:hideMark/>
          </w:tcPr>
          <w:p w14:paraId="68665892" w14:textId="77777777" w:rsidR="00000000" w:rsidRDefault="00A173A8">
            <w:pPr>
              <w:spacing w:after="100"/>
              <w:rPr>
                <w:rFonts w:eastAsia="Times New Roman"/>
                <w:sz w:val="20"/>
                <w:szCs w:val="20"/>
              </w:rPr>
            </w:pPr>
          </w:p>
        </w:tc>
        <w:tc>
          <w:tcPr>
            <w:tcW w:w="5" w:type="pct"/>
            <w:vAlign w:val="center"/>
            <w:hideMark/>
          </w:tcPr>
          <w:p w14:paraId="3960B6B3" w14:textId="77777777" w:rsidR="00000000" w:rsidRDefault="00A173A8">
            <w:pPr>
              <w:spacing w:after="100"/>
              <w:rPr>
                <w:rFonts w:eastAsia="Times New Roman"/>
                <w:sz w:val="20"/>
                <w:szCs w:val="20"/>
              </w:rPr>
            </w:pPr>
          </w:p>
        </w:tc>
        <w:tc>
          <w:tcPr>
            <w:tcW w:w="26" w:type="pct"/>
            <w:vAlign w:val="center"/>
            <w:hideMark/>
          </w:tcPr>
          <w:p w14:paraId="4E4DCCD0" w14:textId="77777777" w:rsidR="00000000" w:rsidRDefault="00A173A8">
            <w:pPr>
              <w:spacing w:after="100"/>
              <w:rPr>
                <w:rFonts w:eastAsia="Times New Roman"/>
                <w:sz w:val="20"/>
                <w:szCs w:val="20"/>
              </w:rPr>
            </w:pPr>
          </w:p>
        </w:tc>
        <w:tc>
          <w:tcPr>
            <w:tcW w:w="5" w:type="pct"/>
            <w:vAlign w:val="center"/>
            <w:hideMark/>
          </w:tcPr>
          <w:p w14:paraId="19B734F6" w14:textId="77777777" w:rsidR="00000000" w:rsidRDefault="00A173A8">
            <w:pPr>
              <w:spacing w:after="100"/>
              <w:rPr>
                <w:rFonts w:eastAsia="Times New Roman"/>
                <w:sz w:val="20"/>
                <w:szCs w:val="20"/>
              </w:rPr>
            </w:pPr>
          </w:p>
        </w:tc>
        <w:tc>
          <w:tcPr>
            <w:tcW w:w="50" w:type="pct"/>
            <w:vAlign w:val="center"/>
            <w:hideMark/>
          </w:tcPr>
          <w:p w14:paraId="24777C56" w14:textId="77777777" w:rsidR="00000000" w:rsidRDefault="00A173A8">
            <w:pPr>
              <w:spacing w:after="100"/>
              <w:rPr>
                <w:rFonts w:eastAsia="Times New Roman"/>
                <w:sz w:val="20"/>
                <w:szCs w:val="20"/>
              </w:rPr>
            </w:pPr>
          </w:p>
        </w:tc>
        <w:tc>
          <w:tcPr>
            <w:tcW w:w="407" w:type="pct"/>
            <w:vAlign w:val="center"/>
            <w:hideMark/>
          </w:tcPr>
          <w:p w14:paraId="16E9C736" w14:textId="77777777" w:rsidR="00000000" w:rsidRDefault="00A173A8">
            <w:pPr>
              <w:spacing w:after="100"/>
              <w:rPr>
                <w:rFonts w:eastAsia="Times New Roman"/>
                <w:sz w:val="20"/>
                <w:szCs w:val="20"/>
              </w:rPr>
            </w:pPr>
          </w:p>
        </w:tc>
        <w:tc>
          <w:tcPr>
            <w:tcW w:w="5" w:type="pct"/>
            <w:vAlign w:val="center"/>
            <w:hideMark/>
          </w:tcPr>
          <w:p w14:paraId="218C1F89" w14:textId="77777777" w:rsidR="00000000" w:rsidRDefault="00A173A8">
            <w:pPr>
              <w:spacing w:after="100"/>
              <w:rPr>
                <w:rFonts w:eastAsia="Times New Roman"/>
                <w:sz w:val="20"/>
                <w:szCs w:val="20"/>
              </w:rPr>
            </w:pPr>
          </w:p>
        </w:tc>
        <w:tc>
          <w:tcPr>
            <w:tcW w:w="5" w:type="pct"/>
            <w:vAlign w:val="center"/>
            <w:hideMark/>
          </w:tcPr>
          <w:p w14:paraId="17A29819" w14:textId="77777777" w:rsidR="00000000" w:rsidRDefault="00A173A8">
            <w:pPr>
              <w:spacing w:after="100"/>
              <w:rPr>
                <w:rFonts w:eastAsia="Times New Roman"/>
                <w:sz w:val="20"/>
                <w:szCs w:val="20"/>
              </w:rPr>
            </w:pPr>
          </w:p>
        </w:tc>
        <w:tc>
          <w:tcPr>
            <w:tcW w:w="26" w:type="pct"/>
            <w:vAlign w:val="center"/>
            <w:hideMark/>
          </w:tcPr>
          <w:p w14:paraId="53B1BBF1" w14:textId="77777777" w:rsidR="00000000" w:rsidRDefault="00A173A8">
            <w:pPr>
              <w:spacing w:after="100"/>
              <w:rPr>
                <w:rFonts w:eastAsia="Times New Roman"/>
                <w:sz w:val="20"/>
                <w:szCs w:val="20"/>
              </w:rPr>
            </w:pPr>
          </w:p>
        </w:tc>
        <w:tc>
          <w:tcPr>
            <w:tcW w:w="5" w:type="pct"/>
            <w:vAlign w:val="center"/>
            <w:hideMark/>
          </w:tcPr>
          <w:p w14:paraId="6483E39E" w14:textId="77777777" w:rsidR="00000000" w:rsidRDefault="00A173A8">
            <w:pPr>
              <w:spacing w:after="100"/>
              <w:rPr>
                <w:rFonts w:eastAsia="Times New Roman"/>
                <w:sz w:val="20"/>
                <w:szCs w:val="20"/>
              </w:rPr>
            </w:pPr>
          </w:p>
        </w:tc>
        <w:tc>
          <w:tcPr>
            <w:tcW w:w="50" w:type="pct"/>
            <w:vAlign w:val="center"/>
            <w:hideMark/>
          </w:tcPr>
          <w:p w14:paraId="32C000C9" w14:textId="77777777" w:rsidR="00000000" w:rsidRDefault="00A173A8">
            <w:pPr>
              <w:spacing w:after="100"/>
              <w:rPr>
                <w:rFonts w:eastAsia="Times New Roman"/>
                <w:sz w:val="20"/>
                <w:szCs w:val="20"/>
              </w:rPr>
            </w:pPr>
          </w:p>
        </w:tc>
        <w:tc>
          <w:tcPr>
            <w:tcW w:w="246" w:type="pct"/>
            <w:vAlign w:val="center"/>
            <w:hideMark/>
          </w:tcPr>
          <w:p w14:paraId="0AEAF770" w14:textId="77777777" w:rsidR="00000000" w:rsidRDefault="00A173A8">
            <w:pPr>
              <w:spacing w:after="100"/>
              <w:rPr>
                <w:rFonts w:eastAsia="Times New Roman"/>
                <w:sz w:val="20"/>
                <w:szCs w:val="20"/>
              </w:rPr>
            </w:pPr>
          </w:p>
        </w:tc>
        <w:tc>
          <w:tcPr>
            <w:tcW w:w="5" w:type="pct"/>
            <w:vAlign w:val="center"/>
            <w:hideMark/>
          </w:tcPr>
          <w:p w14:paraId="7323440C" w14:textId="77777777" w:rsidR="00000000" w:rsidRDefault="00A173A8">
            <w:pPr>
              <w:spacing w:after="100"/>
              <w:rPr>
                <w:rFonts w:eastAsia="Times New Roman"/>
                <w:sz w:val="20"/>
                <w:szCs w:val="20"/>
              </w:rPr>
            </w:pPr>
          </w:p>
        </w:tc>
        <w:tc>
          <w:tcPr>
            <w:tcW w:w="5" w:type="pct"/>
            <w:vAlign w:val="center"/>
            <w:hideMark/>
          </w:tcPr>
          <w:p w14:paraId="2AF681B0" w14:textId="77777777" w:rsidR="00000000" w:rsidRDefault="00A173A8">
            <w:pPr>
              <w:spacing w:after="100"/>
              <w:rPr>
                <w:rFonts w:eastAsia="Times New Roman"/>
                <w:sz w:val="20"/>
                <w:szCs w:val="20"/>
              </w:rPr>
            </w:pPr>
          </w:p>
        </w:tc>
        <w:tc>
          <w:tcPr>
            <w:tcW w:w="26" w:type="pct"/>
            <w:vAlign w:val="center"/>
            <w:hideMark/>
          </w:tcPr>
          <w:p w14:paraId="4DDA0432" w14:textId="77777777" w:rsidR="00000000" w:rsidRDefault="00A173A8">
            <w:pPr>
              <w:spacing w:after="100"/>
              <w:rPr>
                <w:rFonts w:eastAsia="Times New Roman"/>
                <w:sz w:val="20"/>
                <w:szCs w:val="20"/>
              </w:rPr>
            </w:pPr>
          </w:p>
        </w:tc>
        <w:tc>
          <w:tcPr>
            <w:tcW w:w="5" w:type="pct"/>
            <w:vAlign w:val="center"/>
            <w:hideMark/>
          </w:tcPr>
          <w:p w14:paraId="3FDFC20A" w14:textId="77777777" w:rsidR="00000000" w:rsidRDefault="00A173A8">
            <w:pPr>
              <w:spacing w:after="100"/>
              <w:rPr>
                <w:rFonts w:eastAsia="Times New Roman"/>
                <w:sz w:val="20"/>
                <w:szCs w:val="20"/>
              </w:rPr>
            </w:pPr>
          </w:p>
        </w:tc>
        <w:tc>
          <w:tcPr>
            <w:tcW w:w="50" w:type="pct"/>
            <w:vAlign w:val="center"/>
            <w:hideMark/>
          </w:tcPr>
          <w:p w14:paraId="0623C53D" w14:textId="77777777" w:rsidR="00000000" w:rsidRDefault="00A173A8">
            <w:pPr>
              <w:spacing w:after="100"/>
              <w:rPr>
                <w:rFonts w:eastAsia="Times New Roman"/>
                <w:sz w:val="20"/>
                <w:szCs w:val="20"/>
              </w:rPr>
            </w:pPr>
          </w:p>
        </w:tc>
        <w:tc>
          <w:tcPr>
            <w:tcW w:w="319" w:type="pct"/>
            <w:vAlign w:val="center"/>
            <w:hideMark/>
          </w:tcPr>
          <w:p w14:paraId="25527334" w14:textId="77777777" w:rsidR="00000000" w:rsidRDefault="00A173A8">
            <w:pPr>
              <w:spacing w:after="100"/>
              <w:rPr>
                <w:rFonts w:eastAsia="Times New Roman"/>
                <w:sz w:val="20"/>
                <w:szCs w:val="20"/>
              </w:rPr>
            </w:pPr>
          </w:p>
        </w:tc>
        <w:tc>
          <w:tcPr>
            <w:tcW w:w="5" w:type="pct"/>
            <w:vAlign w:val="center"/>
            <w:hideMark/>
          </w:tcPr>
          <w:p w14:paraId="671A54A6" w14:textId="77777777" w:rsidR="00000000" w:rsidRDefault="00A173A8">
            <w:pPr>
              <w:spacing w:after="100"/>
              <w:rPr>
                <w:rFonts w:eastAsia="Times New Roman"/>
                <w:sz w:val="20"/>
                <w:szCs w:val="20"/>
              </w:rPr>
            </w:pPr>
          </w:p>
        </w:tc>
        <w:tc>
          <w:tcPr>
            <w:tcW w:w="5" w:type="pct"/>
            <w:vAlign w:val="center"/>
            <w:hideMark/>
          </w:tcPr>
          <w:p w14:paraId="782E5E6F" w14:textId="77777777" w:rsidR="00000000" w:rsidRDefault="00A173A8">
            <w:pPr>
              <w:spacing w:after="100"/>
              <w:rPr>
                <w:rFonts w:eastAsia="Times New Roman"/>
                <w:sz w:val="20"/>
                <w:szCs w:val="20"/>
              </w:rPr>
            </w:pPr>
          </w:p>
        </w:tc>
        <w:tc>
          <w:tcPr>
            <w:tcW w:w="26" w:type="pct"/>
            <w:vAlign w:val="center"/>
            <w:hideMark/>
          </w:tcPr>
          <w:p w14:paraId="25E9CB60" w14:textId="77777777" w:rsidR="00000000" w:rsidRDefault="00A173A8">
            <w:pPr>
              <w:spacing w:after="100"/>
              <w:rPr>
                <w:rFonts w:eastAsia="Times New Roman"/>
                <w:sz w:val="20"/>
                <w:szCs w:val="20"/>
              </w:rPr>
            </w:pPr>
          </w:p>
        </w:tc>
        <w:tc>
          <w:tcPr>
            <w:tcW w:w="5" w:type="pct"/>
            <w:vAlign w:val="center"/>
            <w:hideMark/>
          </w:tcPr>
          <w:p w14:paraId="152BEFE1" w14:textId="77777777" w:rsidR="00000000" w:rsidRDefault="00A173A8">
            <w:pPr>
              <w:spacing w:after="100"/>
              <w:rPr>
                <w:rFonts w:eastAsia="Times New Roman"/>
                <w:sz w:val="20"/>
                <w:szCs w:val="20"/>
              </w:rPr>
            </w:pPr>
          </w:p>
        </w:tc>
        <w:tc>
          <w:tcPr>
            <w:tcW w:w="50" w:type="pct"/>
            <w:vAlign w:val="center"/>
            <w:hideMark/>
          </w:tcPr>
          <w:p w14:paraId="519E4196" w14:textId="77777777" w:rsidR="00000000" w:rsidRDefault="00A173A8">
            <w:pPr>
              <w:spacing w:after="100"/>
              <w:rPr>
                <w:rFonts w:eastAsia="Times New Roman"/>
                <w:sz w:val="20"/>
                <w:szCs w:val="20"/>
              </w:rPr>
            </w:pPr>
          </w:p>
        </w:tc>
        <w:tc>
          <w:tcPr>
            <w:tcW w:w="304" w:type="pct"/>
            <w:vAlign w:val="center"/>
            <w:hideMark/>
          </w:tcPr>
          <w:p w14:paraId="3F46EFD5" w14:textId="77777777" w:rsidR="00000000" w:rsidRDefault="00A173A8">
            <w:pPr>
              <w:spacing w:after="100"/>
              <w:rPr>
                <w:rFonts w:eastAsia="Times New Roman"/>
                <w:sz w:val="20"/>
                <w:szCs w:val="20"/>
              </w:rPr>
            </w:pPr>
          </w:p>
        </w:tc>
        <w:tc>
          <w:tcPr>
            <w:tcW w:w="5" w:type="pct"/>
            <w:vAlign w:val="center"/>
            <w:hideMark/>
          </w:tcPr>
          <w:p w14:paraId="1F6B9E24" w14:textId="77777777" w:rsidR="00000000" w:rsidRDefault="00A173A8">
            <w:pPr>
              <w:spacing w:after="100"/>
              <w:rPr>
                <w:rFonts w:eastAsia="Times New Roman"/>
                <w:sz w:val="20"/>
                <w:szCs w:val="20"/>
              </w:rPr>
            </w:pPr>
          </w:p>
        </w:tc>
        <w:tc>
          <w:tcPr>
            <w:tcW w:w="5" w:type="pct"/>
            <w:vAlign w:val="center"/>
            <w:hideMark/>
          </w:tcPr>
          <w:p w14:paraId="7E9E83CC" w14:textId="77777777" w:rsidR="00000000" w:rsidRDefault="00A173A8">
            <w:pPr>
              <w:spacing w:after="100"/>
              <w:rPr>
                <w:rFonts w:eastAsia="Times New Roman"/>
                <w:sz w:val="20"/>
                <w:szCs w:val="20"/>
              </w:rPr>
            </w:pPr>
          </w:p>
        </w:tc>
        <w:tc>
          <w:tcPr>
            <w:tcW w:w="26" w:type="pct"/>
            <w:vAlign w:val="center"/>
            <w:hideMark/>
          </w:tcPr>
          <w:p w14:paraId="22331635" w14:textId="77777777" w:rsidR="00000000" w:rsidRDefault="00A173A8">
            <w:pPr>
              <w:spacing w:after="100"/>
              <w:rPr>
                <w:rFonts w:eastAsia="Times New Roman"/>
                <w:sz w:val="20"/>
                <w:szCs w:val="20"/>
              </w:rPr>
            </w:pPr>
          </w:p>
        </w:tc>
        <w:tc>
          <w:tcPr>
            <w:tcW w:w="5" w:type="pct"/>
            <w:vAlign w:val="center"/>
            <w:hideMark/>
          </w:tcPr>
          <w:p w14:paraId="1CE7B4B7" w14:textId="77777777" w:rsidR="00000000" w:rsidRDefault="00A173A8">
            <w:pPr>
              <w:spacing w:after="100"/>
              <w:rPr>
                <w:rFonts w:eastAsia="Times New Roman"/>
                <w:sz w:val="20"/>
                <w:szCs w:val="20"/>
              </w:rPr>
            </w:pPr>
          </w:p>
        </w:tc>
        <w:tc>
          <w:tcPr>
            <w:tcW w:w="50" w:type="pct"/>
            <w:vAlign w:val="center"/>
            <w:hideMark/>
          </w:tcPr>
          <w:p w14:paraId="000C9292" w14:textId="77777777" w:rsidR="00000000" w:rsidRDefault="00A173A8">
            <w:pPr>
              <w:spacing w:after="100"/>
              <w:rPr>
                <w:rFonts w:eastAsia="Times New Roman"/>
                <w:sz w:val="20"/>
                <w:szCs w:val="20"/>
              </w:rPr>
            </w:pPr>
          </w:p>
        </w:tc>
        <w:tc>
          <w:tcPr>
            <w:tcW w:w="466" w:type="pct"/>
            <w:vAlign w:val="center"/>
            <w:hideMark/>
          </w:tcPr>
          <w:p w14:paraId="7D5FA674" w14:textId="77777777" w:rsidR="00000000" w:rsidRDefault="00A173A8">
            <w:pPr>
              <w:spacing w:after="100"/>
              <w:rPr>
                <w:rFonts w:eastAsia="Times New Roman"/>
                <w:sz w:val="20"/>
                <w:szCs w:val="20"/>
              </w:rPr>
            </w:pPr>
          </w:p>
        </w:tc>
        <w:tc>
          <w:tcPr>
            <w:tcW w:w="5" w:type="pct"/>
            <w:vAlign w:val="center"/>
            <w:hideMark/>
          </w:tcPr>
          <w:p w14:paraId="5981B1EB" w14:textId="77777777" w:rsidR="00000000" w:rsidRDefault="00A173A8">
            <w:pPr>
              <w:spacing w:after="100"/>
              <w:rPr>
                <w:rFonts w:eastAsia="Times New Roman"/>
                <w:sz w:val="20"/>
                <w:szCs w:val="20"/>
              </w:rPr>
            </w:pPr>
          </w:p>
        </w:tc>
        <w:tc>
          <w:tcPr>
            <w:tcW w:w="5" w:type="pct"/>
            <w:vAlign w:val="center"/>
            <w:hideMark/>
          </w:tcPr>
          <w:p w14:paraId="5F935CB6" w14:textId="77777777" w:rsidR="00000000" w:rsidRDefault="00A173A8">
            <w:pPr>
              <w:spacing w:after="100"/>
              <w:rPr>
                <w:rFonts w:eastAsia="Times New Roman"/>
                <w:sz w:val="20"/>
                <w:szCs w:val="20"/>
              </w:rPr>
            </w:pPr>
          </w:p>
        </w:tc>
        <w:tc>
          <w:tcPr>
            <w:tcW w:w="26" w:type="pct"/>
            <w:vAlign w:val="center"/>
            <w:hideMark/>
          </w:tcPr>
          <w:p w14:paraId="335891E0" w14:textId="77777777" w:rsidR="00000000" w:rsidRDefault="00A173A8">
            <w:pPr>
              <w:spacing w:after="100"/>
              <w:rPr>
                <w:rFonts w:eastAsia="Times New Roman"/>
                <w:sz w:val="20"/>
                <w:szCs w:val="20"/>
              </w:rPr>
            </w:pPr>
          </w:p>
        </w:tc>
        <w:tc>
          <w:tcPr>
            <w:tcW w:w="5" w:type="pct"/>
            <w:vAlign w:val="center"/>
            <w:hideMark/>
          </w:tcPr>
          <w:p w14:paraId="67E11D75" w14:textId="77777777" w:rsidR="00000000" w:rsidRDefault="00A173A8">
            <w:pPr>
              <w:spacing w:after="100"/>
              <w:rPr>
                <w:rFonts w:eastAsia="Times New Roman"/>
                <w:sz w:val="20"/>
                <w:szCs w:val="20"/>
              </w:rPr>
            </w:pPr>
          </w:p>
        </w:tc>
        <w:tc>
          <w:tcPr>
            <w:tcW w:w="50" w:type="pct"/>
            <w:vAlign w:val="center"/>
            <w:hideMark/>
          </w:tcPr>
          <w:p w14:paraId="4233FE9A" w14:textId="77777777" w:rsidR="00000000" w:rsidRDefault="00A173A8">
            <w:pPr>
              <w:spacing w:after="100"/>
              <w:rPr>
                <w:rFonts w:eastAsia="Times New Roman"/>
                <w:sz w:val="20"/>
                <w:szCs w:val="20"/>
              </w:rPr>
            </w:pPr>
          </w:p>
        </w:tc>
        <w:tc>
          <w:tcPr>
            <w:tcW w:w="290" w:type="pct"/>
            <w:vAlign w:val="center"/>
            <w:hideMark/>
          </w:tcPr>
          <w:p w14:paraId="5FBB1F67" w14:textId="77777777" w:rsidR="00000000" w:rsidRDefault="00A173A8">
            <w:pPr>
              <w:spacing w:after="100"/>
              <w:rPr>
                <w:rFonts w:eastAsia="Times New Roman"/>
                <w:sz w:val="20"/>
                <w:szCs w:val="20"/>
              </w:rPr>
            </w:pPr>
          </w:p>
        </w:tc>
        <w:tc>
          <w:tcPr>
            <w:tcW w:w="5" w:type="pct"/>
            <w:vAlign w:val="center"/>
            <w:hideMark/>
          </w:tcPr>
          <w:p w14:paraId="28B09ADF" w14:textId="77777777" w:rsidR="00000000" w:rsidRDefault="00A173A8">
            <w:pPr>
              <w:spacing w:after="100"/>
              <w:rPr>
                <w:rFonts w:eastAsia="Times New Roman"/>
                <w:sz w:val="20"/>
                <w:szCs w:val="20"/>
              </w:rPr>
            </w:pPr>
          </w:p>
        </w:tc>
        <w:tc>
          <w:tcPr>
            <w:tcW w:w="5" w:type="pct"/>
            <w:vAlign w:val="center"/>
            <w:hideMark/>
          </w:tcPr>
          <w:p w14:paraId="1A32186F" w14:textId="77777777" w:rsidR="00000000" w:rsidRDefault="00A173A8">
            <w:pPr>
              <w:spacing w:after="100"/>
              <w:rPr>
                <w:rFonts w:eastAsia="Times New Roman"/>
                <w:sz w:val="20"/>
                <w:szCs w:val="20"/>
              </w:rPr>
            </w:pPr>
          </w:p>
        </w:tc>
        <w:tc>
          <w:tcPr>
            <w:tcW w:w="26" w:type="pct"/>
            <w:vAlign w:val="center"/>
            <w:hideMark/>
          </w:tcPr>
          <w:p w14:paraId="0EE00F60" w14:textId="77777777" w:rsidR="00000000" w:rsidRDefault="00A173A8">
            <w:pPr>
              <w:spacing w:after="100"/>
              <w:rPr>
                <w:rFonts w:eastAsia="Times New Roman"/>
                <w:sz w:val="20"/>
                <w:szCs w:val="20"/>
              </w:rPr>
            </w:pPr>
          </w:p>
        </w:tc>
        <w:tc>
          <w:tcPr>
            <w:tcW w:w="5" w:type="pct"/>
            <w:vAlign w:val="center"/>
            <w:hideMark/>
          </w:tcPr>
          <w:p w14:paraId="44BAA06E" w14:textId="77777777" w:rsidR="00000000" w:rsidRDefault="00A173A8">
            <w:pPr>
              <w:spacing w:after="100"/>
              <w:rPr>
                <w:rFonts w:eastAsia="Times New Roman"/>
                <w:sz w:val="20"/>
                <w:szCs w:val="20"/>
              </w:rPr>
            </w:pPr>
          </w:p>
        </w:tc>
        <w:tc>
          <w:tcPr>
            <w:tcW w:w="50" w:type="pct"/>
            <w:vAlign w:val="center"/>
            <w:hideMark/>
          </w:tcPr>
          <w:p w14:paraId="46A96B89" w14:textId="77777777" w:rsidR="00000000" w:rsidRDefault="00A173A8">
            <w:pPr>
              <w:spacing w:after="100"/>
              <w:rPr>
                <w:rFonts w:eastAsia="Times New Roman"/>
                <w:sz w:val="20"/>
                <w:szCs w:val="20"/>
              </w:rPr>
            </w:pPr>
          </w:p>
        </w:tc>
        <w:tc>
          <w:tcPr>
            <w:tcW w:w="415" w:type="pct"/>
            <w:vAlign w:val="center"/>
            <w:hideMark/>
          </w:tcPr>
          <w:p w14:paraId="6C8F3CDC" w14:textId="77777777" w:rsidR="00000000" w:rsidRDefault="00A173A8">
            <w:pPr>
              <w:spacing w:after="100"/>
              <w:rPr>
                <w:rFonts w:eastAsia="Times New Roman"/>
                <w:sz w:val="20"/>
                <w:szCs w:val="20"/>
              </w:rPr>
            </w:pPr>
          </w:p>
        </w:tc>
        <w:tc>
          <w:tcPr>
            <w:tcW w:w="5" w:type="pct"/>
            <w:vAlign w:val="center"/>
            <w:hideMark/>
          </w:tcPr>
          <w:p w14:paraId="4E1EB8CF" w14:textId="77777777" w:rsidR="00000000" w:rsidRDefault="00A173A8">
            <w:pPr>
              <w:spacing w:after="100"/>
              <w:rPr>
                <w:rFonts w:eastAsia="Times New Roman"/>
                <w:sz w:val="20"/>
                <w:szCs w:val="20"/>
              </w:rPr>
            </w:pPr>
          </w:p>
        </w:tc>
      </w:tr>
      <w:tr w:rsidR="00000000" w14:paraId="2928171A" w14:textId="77777777">
        <w:trPr>
          <w:trHeight w:val="420"/>
        </w:trPr>
        <w:tc>
          <w:tcPr>
            <w:tcW w:w="0" w:type="auto"/>
            <w:gridSpan w:val="3"/>
            <w:vMerge w:val="restart"/>
            <w:tcMar>
              <w:top w:w="30" w:type="dxa"/>
              <w:left w:w="20" w:type="dxa"/>
              <w:bottom w:w="30" w:type="dxa"/>
              <w:right w:w="20" w:type="dxa"/>
            </w:tcMar>
            <w:vAlign w:val="bottom"/>
            <w:hideMark/>
          </w:tcPr>
          <w:p w14:paraId="4B1FB482" w14:textId="77777777" w:rsidR="00000000" w:rsidRDefault="00A173A8">
            <w:pPr>
              <w:spacing w:after="100"/>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14:paraId="1A5CC19C" w14:textId="77777777" w:rsidR="00000000" w:rsidRDefault="00A173A8">
            <w:pPr>
              <w:spacing w:after="100"/>
              <w:rPr>
                <w:rFonts w:eastAsia="Times New Roman"/>
              </w:rPr>
            </w:pPr>
          </w:p>
        </w:tc>
        <w:tc>
          <w:tcPr>
            <w:tcW w:w="0" w:type="auto"/>
            <w:gridSpan w:val="9"/>
            <w:tcMar>
              <w:top w:w="30" w:type="dxa"/>
              <w:left w:w="20" w:type="dxa"/>
              <w:bottom w:w="30" w:type="dxa"/>
              <w:right w:w="20" w:type="dxa"/>
            </w:tcMar>
            <w:vAlign w:val="bottom"/>
            <w:hideMark/>
          </w:tcPr>
          <w:p w14:paraId="737C441A" w14:textId="77777777" w:rsidR="00000000" w:rsidRDefault="00A173A8">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14:paraId="014D8FC3"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790D820" w14:textId="77777777" w:rsidR="00000000" w:rsidRDefault="00A173A8">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2AC00484"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37A0679" w14:textId="77777777" w:rsidR="00000000" w:rsidRDefault="00A173A8">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14:paraId="1B5708DE"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4FBF19E" w14:textId="77777777" w:rsidR="00000000" w:rsidRDefault="00A173A8">
            <w:pPr>
              <w:spacing w:after="100"/>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14:paraId="00712F1A"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128BB82" w14:textId="77777777" w:rsidR="00000000" w:rsidRDefault="00A173A8">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14:paraId="62AE3381"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FFAD9EE" w14:textId="77777777" w:rsidR="00000000" w:rsidRDefault="00A173A8">
            <w:pPr>
              <w:spacing w:after="100"/>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14:paraId="65875D92"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51D8947" w14:textId="77777777" w:rsidR="00000000" w:rsidRDefault="00A173A8">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t>Equity</w:t>
            </w:r>
          </w:p>
        </w:tc>
      </w:tr>
      <w:tr w:rsidR="00000000" w14:paraId="0DB6F6F4" w14:textId="77777777">
        <w:trPr>
          <w:trHeight w:val="220"/>
        </w:trPr>
        <w:tc>
          <w:tcPr>
            <w:tcW w:w="0" w:type="auto"/>
            <w:gridSpan w:val="3"/>
            <w:vMerge/>
            <w:vAlign w:val="center"/>
            <w:hideMark/>
          </w:tcPr>
          <w:p w14:paraId="020AFDAA" w14:textId="77777777" w:rsidR="00000000" w:rsidRDefault="00A173A8">
            <w:pPr>
              <w:spacing w:after="100"/>
              <w:rPr>
                <w:rFonts w:eastAsia="Times New Roman"/>
              </w:rPr>
            </w:pPr>
          </w:p>
        </w:tc>
        <w:tc>
          <w:tcPr>
            <w:tcW w:w="0" w:type="auto"/>
            <w:gridSpan w:val="3"/>
            <w:vMerge/>
            <w:vAlign w:val="center"/>
            <w:hideMark/>
          </w:tcPr>
          <w:p w14:paraId="7AB22597"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5912F6" w14:textId="77777777" w:rsidR="00000000" w:rsidRDefault="00A173A8">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37393093"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093CA3" w14:textId="77777777" w:rsidR="00000000" w:rsidRDefault="00A173A8">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05680CC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BE5CA0" w14:textId="77777777" w:rsidR="00000000" w:rsidRDefault="00A173A8">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14:paraId="38F41A0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9839D8" w14:textId="77777777" w:rsidR="00000000" w:rsidRDefault="00A173A8">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14:paraId="75EFD421" w14:textId="77777777" w:rsidR="00000000" w:rsidRDefault="00A173A8">
            <w:pPr>
              <w:spacing w:after="100"/>
              <w:jc w:val="center"/>
              <w:rPr>
                <w:rFonts w:eastAsia="Times New Roman"/>
              </w:rPr>
            </w:pPr>
          </w:p>
        </w:tc>
        <w:tc>
          <w:tcPr>
            <w:tcW w:w="0" w:type="auto"/>
            <w:gridSpan w:val="3"/>
            <w:vMerge/>
            <w:vAlign w:val="center"/>
            <w:hideMark/>
          </w:tcPr>
          <w:p w14:paraId="0CA9ECD4" w14:textId="77777777" w:rsidR="00000000" w:rsidRDefault="00A173A8">
            <w:pPr>
              <w:spacing w:after="100"/>
              <w:rPr>
                <w:rFonts w:eastAsia="Times New Roman"/>
              </w:rPr>
            </w:pPr>
          </w:p>
        </w:tc>
        <w:tc>
          <w:tcPr>
            <w:tcW w:w="0" w:type="auto"/>
            <w:gridSpan w:val="3"/>
            <w:vMerge/>
            <w:vAlign w:val="center"/>
            <w:hideMark/>
          </w:tcPr>
          <w:p w14:paraId="6DEF37C9" w14:textId="77777777" w:rsidR="00000000" w:rsidRDefault="00A173A8">
            <w:pPr>
              <w:spacing w:after="100"/>
              <w:rPr>
                <w:rFonts w:eastAsia="Times New Roman"/>
              </w:rPr>
            </w:pPr>
          </w:p>
        </w:tc>
        <w:tc>
          <w:tcPr>
            <w:tcW w:w="0" w:type="auto"/>
            <w:gridSpan w:val="3"/>
            <w:vMerge/>
            <w:vAlign w:val="center"/>
            <w:hideMark/>
          </w:tcPr>
          <w:p w14:paraId="0D3C11C2" w14:textId="77777777" w:rsidR="00000000" w:rsidRDefault="00A173A8">
            <w:pPr>
              <w:spacing w:after="100"/>
              <w:rPr>
                <w:rFonts w:eastAsia="Times New Roman"/>
              </w:rPr>
            </w:pPr>
          </w:p>
        </w:tc>
        <w:tc>
          <w:tcPr>
            <w:tcW w:w="0" w:type="auto"/>
            <w:gridSpan w:val="3"/>
            <w:vMerge/>
            <w:vAlign w:val="center"/>
            <w:hideMark/>
          </w:tcPr>
          <w:p w14:paraId="5481FD24" w14:textId="77777777" w:rsidR="00000000" w:rsidRDefault="00A173A8">
            <w:pPr>
              <w:spacing w:after="100"/>
              <w:rPr>
                <w:rFonts w:eastAsia="Times New Roman"/>
              </w:rPr>
            </w:pPr>
          </w:p>
        </w:tc>
        <w:tc>
          <w:tcPr>
            <w:tcW w:w="0" w:type="auto"/>
            <w:gridSpan w:val="3"/>
            <w:vMerge/>
            <w:vAlign w:val="center"/>
            <w:hideMark/>
          </w:tcPr>
          <w:p w14:paraId="19D93ABA" w14:textId="77777777" w:rsidR="00000000" w:rsidRDefault="00A173A8">
            <w:pPr>
              <w:spacing w:after="100"/>
              <w:rPr>
                <w:rFonts w:eastAsia="Times New Roman"/>
              </w:rPr>
            </w:pPr>
          </w:p>
        </w:tc>
        <w:tc>
          <w:tcPr>
            <w:tcW w:w="0" w:type="auto"/>
            <w:gridSpan w:val="3"/>
            <w:vMerge/>
            <w:vAlign w:val="center"/>
            <w:hideMark/>
          </w:tcPr>
          <w:p w14:paraId="3DAEB395" w14:textId="77777777" w:rsidR="00000000" w:rsidRDefault="00A173A8">
            <w:pPr>
              <w:spacing w:after="100"/>
              <w:rPr>
                <w:rFonts w:eastAsia="Times New Roman"/>
              </w:rPr>
            </w:pPr>
          </w:p>
        </w:tc>
        <w:tc>
          <w:tcPr>
            <w:tcW w:w="0" w:type="auto"/>
            <w:gridSpan w:val="3"/>
            <w:vMerge/>
            <w:vAlign w:val="center"/>
            <w:hideMark/>
          </w:tcPr>
          <w:p w14:paraId="722C35F0" w14:textId="77777777" w:rsidR="00000000" w:rsidRDefault="00A173A8">
            <w:pPr>
              <w:spacing w:after="100"/>
              <w:rPr>
                <w:rFonts w:eastAsia="Times New Roman"/>
              </w:rPr>
            </w:pPr>
          </w:p>
        </w:tc>
        <w:tc>
          <w:tcPr>
            <w:tcW w:w="0" w:type="auto"/>
            <w:gridSpan w:val="3"/>
            <w:vMerge/>
            <w:vAlign w:val="center"/>
            <w:hideMark/>
          </w:tcPr>
          <w:p w14:paraId="251E3E16" w14:textId="77777777" w:rsidR="00000000" w:rsidRDefault="00A173A8">
            <w:pPr>
              <w:spacing w:after="100"/>
              <w:rPr>
                <w:rFonts w:eastAsia="Times New Roman"/>
              </w:rPr>
            </w:pPr>
          </w:p>
        </w:tc>
        <w:tc>
          <w:tcPr>
            <w:tcW w:w="0" w:type="auto"/>
            <w:gridSpan w:val="3"/>
            <w:vMerge/>
            <w:vAlign w:val="center"/>
            <w:hideMark/>
          </w:tcPr>
          <w:p w14:paraId="14409C40" w14:textId="77777777" w:rsidR="00000000" w:rsidRDefault="00A173A8">
            <w:pPr>
              <w:spacing w:after="100"/>
              <w:rPr>
                <w:rFonts w:eastAsia="Times New Roman"/>
              </w:rPr>
            </w:pPr>
          </w:p>
        </w:tc>
      </w:tr>
      <w:tr w:rsidR="00000000" w14:paraId="5DC09FA2" w14:textId="7777777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F2CAEDB" w14:textId="77777777" w:rsidR="00000000" w:rsidRDefault="00A173A8">
            <w:pPr>
              <w:spacing w:after="100"/>
              <w:rPr>
                <w:rFonts w:eastAsia="Times New Roman"/>
              </w:rPr>
            </w:pPr>
            <w:r>
              <w:rPr>
                <w:rFonts w:eastAsia="Times New Roman"/>
                <w:b/>
                <w:bCs/>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14:paraId="303CD496"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B44DD8" w14:textId="77777777" w:rsidR="00000000" w:rsidRDefault="00A173A8">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1B18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DBFE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0880E1"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44D76E" w14:textId="77777777" w:rsidR="00000000" w:rsidRDefault="00A173A8">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0990C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4B9F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606E51" w14:textId="77777777" w:rsidR="00000000" w:rsidRDefault="00A173A8">
            <w:pPr>
              <w:spacing w:after="100"/>
              <w:jc w:val="right"/>
              <w:rPr>
                <w:rFonts w:eastAsia="Times New Roman"/>
              </w:rPr>
            </w:pPr>
            <w:r>
              <w:rPr>
                <w:rFonts w:eastAsia="Times New Roman"/>
                <w:color w:val="000000"/>
                <w:sz w:val="16"/>
                <w:szCs w:val="16"/>
              </w:rPr>
              <w:t>679,932,837 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74C48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39A1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5AA57D"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8B9D7B" w14:textId="77777777" w:rsidR="00000000" w:rsidRDefault="00A173A8">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252E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54F1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A386399"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51C58B" w14:textId="77777777" w:rsidR="00000000" w:rsidRDefault="00A173A8">
            <w:pPr>
              <w:spacing w:after="100"/>
              <w:jc w:val="right"/>
              <w:rPr>
                <w:rFonts w:eastAsia="Times New Roman"/>
              </w:rPr>
            </w:pPr>
            <w:r>
              <w:rPr>
                <w:rFonts w:eastAsia="Times New Roman"/>
                <w:color w:val="000000"/>
                <w:sz w:val="16"/>
                <w:szCs w:val="16"/>
              </w:rPr>
              <w:t>33,480 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141A9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E174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E016F9"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DE24EC" w14:textId="77777777" w:rsidR="00000000" w:rsidRDefault="00A173A8">
            <w:pPr>
              <w:spacing w:after="100"/>
              <w:jc w:val="right"/>
              <w:rPr>
                <w:rFonts w:eastAsia="Times New Roman"/>
              </w:rPr>
            </w:pPr>
            <w:r>
              <w:rPr>
                <w:rFonts w:eastAsia="Times New Roman"/>
                <w:color w:val="000000"/>
                <w:sz w:val="16"/>
                <w:szCs w:val="16"/>
              </w:rPr>
              <w:t>40,088 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3B63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55AF8A"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3C2BD5"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6A5707" w14:textId="77777777" w:rsidR="00000000" w:rsidRDefault="00A173A8">
            <w:pPr>
              <w:spacing w:after="100"/>
              <w:jc w:val="right"/>
              <w:rPr>
                <w:rFonts w:eastAsia="Times New Roman"/>
              </w:rPr>
            </w:pPr>
            <w:r>
              <w:rPr>
                <w:rFonts w:eastAsia="Times New Roman"/>
                <w:color w:val="000000"/>
                <w:sz w:val="16"/>
                <w:szCs w:val="16"/>
              </w:rPr>
              <w:t>3,494 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99A0C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B9C81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3DCD01"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EE977A" w14:textId="77777777" w:rsidR="00000000" w:rsidRDefault="00A173A8">
            <w:pPr>
              <w:spacing w:after="100"/>
              <w:jc w:val="right"/>
              <w:rPr>
                <w:rFonts w:eastAsia="Times New Roman"/>
              </w:rPr>
            </w:pPr>
            <w:r>
              <w:rPr>
                <w:rFonts w:eastAsia="Times New Roman"/>
                <w:color w:val="000000"/>
                <w:sz w:val="16"/>
                <w:szCs w:val="16"/>
              </w:rPr>
              <w:t>(16,865)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35DD6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B1667"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17356C"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695F6F" w14:textId="77777777" w:rsidR="00000000" w:rsidRDefault="00A173A8">
            <w:pPr>
              <w:spacing w:after="100"/>
              <w:jc w:val="right"/>
              <w:rPr>
                <w:rFonts w:eastAsia="Times New Roman"/>
              </w:rPr>
            </w:pPr>
            <w:r>
              <w:rPr>
                <w:rFonts w:eastAsia="Times New Roman"/>
                <w:color w:val="000000"/>
                <w:sz w:val="16"/>
                <w:szCs w:val="16"/>
              </w:rPr>
              <w:t>60,204 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7EC7B8" w14:textId="77777777" w:rsidR="00000000" w:rsidRDefault="00A173A8">
            <w:pPr>
              <w:spacing w:after="100"/>
              <w:jc w:val="right"/>
              <w:rPr>
                <w:rFonts w:eastAsia="Times New Roman"/>
              </w:rPr>
            </w:pPr>
          </w:p>
        </w:tc>
      </w:tr>
      <w:tr w:rsidR="00000000" w14:paraId="7E495D36" w14:textId="77777777">
        <w:tc>
          <w:tcPr>
            <w:tcW w:w="0" w:type="auto"/>
            <w:gridSpan w:val="3"/>
            <w:shd w:val="clear" w:color="auto" w:fill="FFFFFF"/>
            <w:tcMar>
              <w:top w:w="30" w:type="dxa"/>
              <w:left w:w="20" w:type="dxa"/>
              <w:bottom w:w="30" w:type="dxa"/>
              <w:right w:w="20" w:type="dxa"/>
            </w:tcMar>
            <w:vAlign w:val="center"/>
            <w:hideMark/>
          </w:tcPr>
          <w:p w14:paraId="41B8E6C3" w14:textId="77777777" w:rsidR="00000000" w:rsidRDefault="00A173A8">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14:paraId="6D79A9AB"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EF55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C7CE8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4AA72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FB26B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07E52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EF2AB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4679A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B51CC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1F0CA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368D88"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3E09331" w14:textId="77777777" w:rsidR="00000000" w:rsidRDefault="00A173A8">
            <w:pPr>
              <w:spacing w:after="100"/>
              <w:jc w:val="right"/>
              <w:rPr>
                <w:rFonts w:eastAsia="Times New Roman"/>
              </w:rPr>
            </w:pPr>
            <w:r>
              <w:rPr>
                <w:rFonts w:eastAsia="Times New Roman"/>
                <w:color w:val="000000"/>
                <w:sz w:val="16"/>
                <w:szCs w:val="16"/>
              </w:rPr>
              <w:t>3,325 </w:t>
            </w:r>
          </w:p>
        </w:tc>
        <w:tc>
          <w:tcPr>
            <w:tcW w:w="0" w:type="auto"/>
            <w:shd w:val="clear" w:color="auto" w:fill="FFFFFF"/>
            <w:tcMar>
              <w:top w:w="30" w:type="dxa"/>
              <w:left w:w="0" w:type="dxa"/>
              <w:bottom w:w="30" w:type="dxa"/>
              <w:right w:w="20" w:type="dxa"/>
            </w:tcMar>
            <w:vAlign w:val="center"/>
            <w:hideMark/>
          </w:tcPr>
          <w:p w14:paraId="497B912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7C2A2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6B1C93" w14:textId="77777777" w:rsidR="00000000" w:rsidRDefault="00A173A8">
            <w:pPr>
              <w:spacing w:after="100"/>
              <w:jc w:val="right"/>
              <w:rPr>
                <w:rFonts w:eastAsia="Times New Roman"/>
              </w:rPr>
            </w:pPr>
            <w:r>
              <w:rPr>
                <w:rFonts w:eastAsia="Times New Roman"/>
                <w:color w:val="000000"/>
                <w:sz w:val="16"/>
                <w:szCs w:val="16"/>
              </w:rPr>
              <w:t>(1,711)</w:t>
            </w:r>
          </w:p>
        </w:tc>
        <w:tc>
          <w:tcPr>
            <w:tcW w:w="0" w:type="auto"/>
            <w:shd w:val="clear" w:color="auto" w:fill="FFFFFF"/>
            <w:tcMar>
              <w:top w:w="30" w:type="dxa"/>
              <w:left w:w="0" w:type="dxa"/>
              <w:bottom w:w="30" w:type="dxa"/>
              <w:right w:w="20" w:type="dxa"/>
            </w:tcMar>
            <w:vAlign w:val="center"/>
            <w:hideMark/>
          </w:tcPr>
          <w:p w14:paraId="0A34028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1C7B1"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66923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0320D1"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0EC28C" w14:textId="77777777" w:rsidR="00000000" w:rsidRDefault="00A173A8">
            <w:pPr>
              <w:spacing w:after="100"/>
              <w:jc w:val="right"/>
              <w:rPr>
                <w:rFonts w:eastAsia="Times New Roman"/>
              </w:rPr>
            </w:pPr>
            <w:r>
              <w:rPr>
                <w:rFonts w:eastAsia="Times New Roman"/>
                <w:color w:val="000000"/>
                <w:sz w:val="16"/>
                <w:szCs w:val="16"/>
              </w:rPr>
              <w:t>1,614 </w:t>
            </w:r>
          </w:p>
        </w:tc>
        <w:tc>
          <w:tcPr>
            <w:tcW w:w="0" w:type="auto"/>
            <w:shd w:val="clear" w:color="auto" w:fill="FFFFFF"/>
            <w:tcMar>
              <w:top w:w="30" w:type="dxa"/>
              <w:left w:w="0" w:type="dxa"/>
              <w:bottom w:w="30" w:type="dxa"/>
              <w:right w:w="20" w:type="dxa"/>
            </w:tcMar>
            <w:vAlign w:val="center"/>
            <w:hideMark/>
          </w:tcPr>
          <w:p w14:paraId="564A5FC8" w14:textId="77777777" w:rsidR="00000000" w:rsidRDefault="00A173A8">
            <w:pPr>
              <w:spacing w:after="100"/>
              <w:jc w:val="right"/>
              <w:rPr>
                <w:rFonts w:eastAsia="Times New Roman"/>
              </w:rPr>
            </w:pPr>
          </w:p>
        </w:tc>
      </w:tr>
      <w:tr w:rsidR="00000000" w14:paraId="46EF5987" w14:textId="77777777">
        <w:tc>
          <w:tcPr>
            <w:tcW w:w="0" w:type="auto"/>
            <w:gridSpan w:val="3"/>
            <w:shd w:val="clear" w:color="auto" w:fill="CCEEFF"/>
            <w:tcMar>
              <w:top w:w="30" w:type="dxa"/>
              <w:left w:w="20" w:type="dxa"/>
              <w:bottom w:w="30" w:type="dxa"/>
              <w:right w:w="20" w:type="dxa"/>
            </w:tcMar>
            <w:vAlign w:val="bottom"/>
            <w:hideMark/>
          </w:tcPr>
          <w:p w14:paraId="5F89CD7D" w14:textId="77777777" w:rsidR="00000000" w:rsidRDefault="00A173A8">
            <w:pPr>
              <w:spacing w:after="100"/>
              <w:divId w:val="326786533"/>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449D0B67"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B43D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F645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CC9B2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68B8ED"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8B37CF" w14:textId="77777777" w:rsidR="00000000" w:rsidRDefault="00A173A8">
            <w:pPr>
              <w:spacing w:after="100"/>
              <w:jc w:val="right"/>
              <w:rPr>
                <w:rFonts w:eastAsia="Times New Roman"/>
              </w:rPr>
            </w:pPr>
            <w:r>
              <w:rPr>
                <w:rFonts w:eastAsia="Times New Roman"/>
                <w:color w:val="000000"/>
                <w:sz w:val="16"/>
                <w:szCs w:val="16"/>
              </w:rPr>
              <w:t>13,356 </w:t>
            </w:r>
          </w:p>
        </w:tc>
        <w:tc>
          <w:tcPr>
            <w:tcW w:w="0" w:type="auto"/>
            <w:shd w:val="clear" w:color="auto" w:fill="CCEEFF"/>
            <w:tcMar>
              <w:top w:w="30" w:type="dxa"/>
              <w:left w:w="0" w:type="dxa"/>
              <w:bottom w:w="30" w:type="dxa"/>
              <w:right w:w="20" w:type="dxa"/>
            </w:tcMar>
            <w:vAlign w:val="center"/>
            <w:hideMark/>
          </w:tcPr>
          <w:p w14:paraId="1CE8E6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46D9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4C9E5C"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2963EFD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5ACD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F5108B" w14:textId="77777777" w:rsidR="00000000" w:rsidRDefault="00A173A8">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14:paraId="34888D5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2610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71F687" w14:textId="77777777" w:rsidR="00000000" w:rsidRDefault="00A173A8">
            <w:pPr>
              <w:spacing w:after="100"/>
              <w:jc w:val="right"/>
              <w:rPr>
                <w:rFonts w:eastAsia="Times New Roman"/>
              </w:rPr>
            </w:pPr>
            <w:r>
              <w:rPr>
                <w:rFonts w:eastAsia="Times New Roman"/>
                <w:color w:val="000000"/>
                <w:sz w:val="16"/>
                <w:szCs w:val="16"/>
              </w:rPr>
              <w:t>(185)</w:t>
            </w:r>
          </w:p>
        </w:tc>
        <w:tc>
          <w:tcPr>
            <w:tcW w:w="0" w:type="auto"/>
            <w:shd w:val="clear" w:color="auto" w:fill="CCEEFF"/>
            <w:tcMar>
              <w:top w:w="30" w:type="dxa"/>
              <w:left w:w="0" w:type="dxa"/>
              <w:bottom w:w="30" w:type="dxa"/>
              <w:right w:w="20" w:type="dxa"/>
            </w:tcMar>
            <w:vAlign w:val="center"/>
            <w:hideMark/>
          </w:tcPr>
          <w:p w14:paraId="3C0B8B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32EA8"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21A1A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4417A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4B54B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FE4A4C"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752092" w14:textId="77777777" w:rsidR="00000000" w:rsidRDefault="00A173A8">
            <w:pPr>
              <w:spacing w:after="100"/>
              <w:jc w:val="right"/>
              <w:rPr>
                <w:rFonts w:eastAsia="Times New Roman"/>
              </w:rPr>
            </w:pPr>
            <w:r>
              <w:rPr>
                <w:rFonts w:eastAsia="Times New Roman"/>
                <w:color w:val="000000"/>
                <w:sz w:val="16"/>
                <w:szCs w:val="16"/>
              </w:rPr>
              <w:t>(184)</w:t>
            </w:r>
          </w:p>
        </w:tc>
        <w:tc>
          <w:tcPr>
            <w:tcW w:w="0" w:type="auto"/>
            <w:shd w:val="clear" w:color="auto" w:fill="CCEEFF"/>
            <w:tcMar>
              <w:top w:w="30" w:type="dxa"/>
              <w:left w:w="0" w:type="dxa"/>
              <w:bottom w:w="30" w:type="dxa"/>
              <w:right w:w="20" w:type="dxa"/>
            </w:tcMar>
            <w:vAlign w:val="center"/>
            <w:hideMark/>
          </w:tcPr>
          <w:p w14:paraId="4D6F6E82" w14:textId="77777777" w:rsidR="00000000" w:rsidRDefault="00A173A8">
            <w:pPr>
              <w:spacing w:after="100"/>
              <w:jc w:val="right"/>
              <w:rPr>
                <w:rFonts w:eastAsia="Times New Roman"/>
              </w:rPr>
            </w:pPr>
          </w:p>
        </w:tc>
      </w:tr>
      <w:tr w:rsidR="00000000" w14:paraId="3C73FA71" w14:textId="77777777">
        <w:tc>
          <w:tcPr>
            <w:tcW w:w="0" w:type="auto"/>
            <w:gridSpan w:val="3"/>
            <w:shd w:val="clear" w:color="auto" w:fill="FFFFFF"/>
            <w:tcMar>
              <w:top w:w="30" w:type="dxa"/>
              <w:left w:w="20" w:type="dxa"/>
              <w:bottom w:w="30" w:type="dxa"/>
              <w:right w:w="20" w:type="dxa"/>
            </w:tcMar>
            <w:vAlign w:val="bottom"/>
            <w:hideMark/>
          </w:tcPr>
          <w:p w14:paraId="674A63E3" w14:textId="77777777" w:rsidR="00000000" w:rsidRDefault="00A173A8">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14:paraId="2BE6DF1F"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A721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C6CCC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AB60B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A90AB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0CF2F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D1911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B83BB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D8521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D14DE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A6C786"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413E63" w14:textId="77777777" w:rsidR="00000000" w:rsidRDefault="00A173A8">
            <w:pPr>
              <w:spacing w:after="100"/>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center"/>
            <w:hideMark/>
          </w:tcPr>
          <w:p w14:paraId="57034C9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9DCA45"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65804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F5E02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A52E4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EC57A5"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EB1B39" w14:textId="77777777" w:rsidR="00000000" w:rsidRDefault="00A173A8">
            <w:pPr>
              <w:spacing w:after="100"/>
              <w:jc w:val="right"/>
              <w:rPr>
                <w:rFonts w:eastAsia="Times New Roman"/>
              </w:rPr>
            </w:pPr>
            <w:r>
              <w:rPr>
                <w:rFonts w:eastAsia="Times New Roman"/>
                <w:color w:val="000000"/>
                <w:sz w:val="16"/>
                <w:szCs w:val="16"/>
              </w:rPr>
              <w:t>(61)</w:t>
            </w:r>
          </w:p>
        </w:tc>
        <w:tc>
          <w:tcPr>
            <w:tcW w:w="0" w:type="auto"/>
            <w:shd w:val="clear" w:color="auto" w:fill="FFFFFF"/>
            <w:tcMar>
              <w:top w:w="30" w:type="dxa"/>
              <w:left w:w="0" w:type="dxa"/>
              <w:bottom w:w="30" w:type="dxa"/>
              <w:right w:w="20" w:type="dxa"/>
            </w:tcMar>
            <w:vAlign w:val="center"/>
            <w:hideMark/>
          </w:tcPr>
          <w:p w14:paraId="7D804214" w14:textId="77777777" w:rsidR="00000000" w:rsidRDefault="00A173A8">
            <w:pPr>
              <w:spacing w:after="100"/>
              <w:jc w:val="right"/>
              <w:rPr>
                <w:rFonts w:eastAsia="Times New Roman"/>
              </w:rPr>
            </w:pPr>
          </w:p>
        </w:tc>
      </w:tr>
      <w:tr w:rsidR="00000000" w14:paraId="627FBE8F" w14:textId="77777777">
        <w:tc>
          <w:tcPr>
            <w:tcW w:w="0" w:type="auto"/>
            <w:gridSpan w:val="3"/>
            <w:shd w:val="clear" w:color="auto" w:fill="CCEEFF"/>
            <w:tcMar>
              <w:top w:w="30" w:type="dxa"/>
              <w:left w:w="20" w:type="dxa"/>
              <w:bottom w:w="30" w:type="dxa"/>
              <w:right w:w="20" w:type="dxa"/>
            </w:tcMar>
            <w:vAlign w:val="bottom"/>
            <w:hideMark/>
          </w:tcPr>
          <w:p w14:paraId="485BA096" w14:textId="77777777" w:rsidR="00000000" w:rsidRDefault="00A173A8">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7E2C64AB"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1EED9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8D318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B24EC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8410D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87C47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886BA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96095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F1CA4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A57B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34EC3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56CBC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D55EC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A2A47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8BE927"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7C767B" w14:textId="77777777" w:rsidR="00000000" w:rsidRDefault="00A173A8">
            <w:pPr>
              <w:spacing w:after="100"/>
              <w:jc w:val="right"/>
              <w:rPr>
                <w:rFonts w:eastAsia="Times New Roman"/>
              </w:rPr>
            </w:pPr>
            <w:r>
              <w:rPr>
                <w:rFonts w:eastAsia="Times New Roman"/>
                <w:color w:val="000000"/>
                <w:sz w:val="16"/>
                <w:szCs w:val="16"/>
              </w:rPr>
              <w:t>(575)</w:t>
            </w:r>
          </w:p>
        </w:tc>
        <w:tc>
          <w:tcPr>
            <w:tcW w:w="0" w:type="auto"/>
            <w:shd w:val="clear" w:color="auto" w:fill="CCEEFF"/>
            <w:tcMar>
              <w:top w:w="30" w:type="dxa"/>
              <w:left w:w="0" w:type="dxa"/>
              <w:bottom w:w="30" w:type="dxa"/>
              <w:right w:w="20" w:type="dxa"/>
            </w:tcMar>
            <w:vAlign w:val="center"/>
            <w:hideMark/>
          </w:tcPr>
          <w:p w14:paraId="06DA031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B5118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16E13CD" w14:textId="77777777" w:rsidR="00000000" w:rsidRDefault="00A173A8">
            <w:pPr>
              <w:spacing w:after="100"/>
              <w:jc w:val="right"/>
              <w:rPr>
                <w:rFonts w:eastAsia="Times New Roman"/>
              </w:rPr>
            </w:pPr>
            <w:r>
              <w:rPr>
                <w:rFonts w:eastAsia="Times New Roman"/>
                <w:color w:val="000000"/>
                <w:sz w:val="16"/>
                <w:szCs w:val="16"/>
              </w:rPr>
              <w:t>(575)</w:t>
            </w:r>
          </w:p>
        </w:tc>
        <w:tc>
          <w:tcPr>
            <w:tcW w:w="0" w:type="auto"/>
            <w:shd w:val="clear" w:color="auto" w:fill="CCEEFF"/>
            <w:tcMar>
              <w:top w:w="30" w:type="dxa"/>
              <w:left w:w="0" w:type="dxa"/>
              <w:bottom w:w="30" w:type="dxa"/>
              <w:right w:w="20" w:type="dxa"/>
            </w:tcMar>
            <w:vAlign w:val="center"/>
            <w:hideMark/>
          </w:tcPr>
          <w:p w14:paraId="56FA7C4F" w14:textId="77777777" w:rsidR="00000000" w:rsidRDefault="00A173A8">
            <w:pPr>
              <w:spacing w:after="100"/>
              <w:jc w:val="right"/>
              <w:rPr>
                <w:rFonts w:eastAsia="Times New Roman"/>
              </w:rPr>
            </w:pPr>
          </w:p>
        </w:tc>
      </w:tr>
      <w:tr w:rsidR="00000000" w14:paraId="6BF968D1" w14:textId="77777777">
        <w:tc>
          <w:tcPr>
            <w:tcW w:w="0" w:type="auto"/>
            <w:gridSpan w:val="3"/>
            <w:shd w:val="clear" w:color="auto" w:fill="FFFFFF"/>
            <w:tcMar>
              <w:top w:w="30" w:type="dxa"/>
              <w:left w:w="20" w:type="dxa"/>
              <w:bottom w:w="30" w:type="dxa"/>
              <w:right w:w="20" w:type="dxa"/>
            </w:tcMar>
            <w:vAlign w:val="bottom"/>
            <w:hideMark/>
          </w:tcPr>
          <w:p w14:paraId="59BE6850" w14:textId="77777777" w:rsidR="00000000" w:rsidRDefault="00A173A8">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14:paraId="78B4A245"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22FC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AF786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AAC71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A53FC8"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8CC7DB" w14:textId="77777777" w:rsidR="00000000" w:rsidRDefault="00A173A8">
            <w:pPr>
              <w:spacing w:after="100"/>
              <w:jc w:val="right"/>
              <w:rPr>
                <w:rFonts w:eastAsia="Times New Roman"/>
              </w:rPr>
            </w:pPr>
            <w:r>
              <w:rPr>
                <w:rFonts w:eastAsia="Times New Roman"/>
                <w:color w:val="000000"/>
                <w:sz w:val="16"/>
                <w:szCs w:val="16"/>
              </w:rPr>
              <w:t>2,531,966 </w:t>
            </w:r>
          </w:p>
        </w:tc>
        <w:tc>
          <w:tcPr>
            <w:tcW w:w="0" w:type="auto"/>
            <w:shd w:val="clear" w:color="auto" w:fill="FFFFFF"/>
            <w:tcMar>
              <w:top w:w="30" w:type="dxa"/>
              <w:left w:w="0" w:type="dxa"/>
              <w:bottom w:w="30" w:type="dxa"/>
              <w:right w:w="20" w:type="dxa"/>
            </w:tcMar>
            <w:vAlign w:val="bottom"/>
            <w:hideMark/>
          </w:tcPr>
          <w:p w14:paraId="01DBDB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7227C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6DC0C3"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14:paraId="6588C8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8BBFF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4FD3EC" w14:textId="77777777" w:rsidR="00000000" w:rsidRDefault="00A173A8">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5081EE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D440C"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48487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0FE6D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17FDD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71968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A914E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92F98B"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7C225D" w14:textId="77777777" w:rsidR="00000000" w:rsidRDefault="00A173A8">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14:paraId="763F0D98" w14:textId="77777777" w:rsidR="00000000" w:rsidRDefault="00A173A8">
            <w:pPr>
              <w:spacing w:after="100"/>
              <w:jc w:val="right"/>
              <w:rPr>
                <w:rFonts w:eastAsia="Times New Roman"/>
              </w:rPr>
            </w:pPr>
          </w:p>
        </w:tc>
      </w:tr>
      <w:tr w:rsidR="00000000" w14:paraId="4A8A458E" w14:textId="77777777">
        <w:tc>
          <w:tcPr>
            <w:tcW w:w="0" w:type="auto"/>
            <w:gridSpan w:val="3"/>
            <w:shd w:val="clear" w:color="auto" w:fill="CCEEFF"/>
            <w:tcMar>
              <w:top w:w="30" w:type="dxa"/>
              <w:left w:w="20" w:type="dxa"/>
              <w:bottom w:w="30" w:type="dxa"/>
              <w:right w:w="20" w:type="dxa"/>
            </w:tcMar>
            <w:vAlign w:val="bottom"/>
            <w:hideMark/>
          </w:tcPr>
          <w:p w14:paraId="5A3709A5" w14:textId="77777777" w:rsidR="00000000" w:rsidRDefault="00A173A8">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14:paraId="0C79D231"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14DB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8F038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8725A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BCB982"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258665" w14:textId="77777777" w:rsidR="00000000" w:rsidRDefault="00A173A8">
            <w:pPr>
              <w:spacing w:after="100"/>
              <w:jc w:val="right"/>
              <w:rPr>
                <w:rFonts w:eastAsia="Times New Roman"/>
              </w:rPr>
            </w:pPr>
            <w:r>
              <w:rPr>
                <w:rFonts w:eastAsia="Times New Roman"/>
                <w:color w:val="000000"/>
                <w:sz w:val="16"/>
                <w:szCs w:val="16"/>
              </w:rPr>
              <w:t>283,398 </w:t>
            </w:r>
          </w:p>
        </w:tc>
        <w:tc>
          <w:tcPr>
            <w:tcW w:w="0" w:type="auto"/>
            <w:shd w:val="clear" w:color="auto" w:fill="CCEEFF"/>
            <w:tcMar>
              <w:top w:w="30" w:type="dxa"/>
              <w:left w:w="0" w:type="dxa"/>
              <w:bottom w:w="30" w:type="dxa"/>
              <w:right w:w="20" w:type="dxa"/>
            </w:tcMar>
            <w:vAlign w:val="center"/>
            <w:hideMark/>
          </w:tcPr>
          <w:p w14:paraId="14A1A63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13C9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2DDBFF"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395DA47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7C745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9878C57" w14:textId="77777777" w:rsidR="00000000" w:rsidRDefault="00A173A8">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center"/>
            <w:hideMark/>
          </w:tcPr>
          <w:p w14:paraId="201FA69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45F505"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D5B3A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5B059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F20A2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7B8E8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16774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EBA4A7"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189925" w14:textId="77777777" w:rsidR="00000000" w:rsidRDefault="00A173A8">
            <w:pPr>
              <w:spacing w:after="100"/>
              <w:jc w:val="right"/>
              <w:rPr>
                <w:rFonts w:eastAsia="Times New Roman"/>
              </w:rPr>
            </w:pPr>
            <w:r>
              <w:rPr>
                <w:rFonts w:eastAsia="Times New Roman"/>
                <w:color w:val="000000"/>
                <w:sz w:val="16"/>
                <w:szCs w:val="16"/>
              </w:rPr>
              <w:t>19 </w:t>
            </w:r>
          </w:p>
        </w:tc>
        <w:tc>
          <w:tcPr>
            <w:tcW w:w="0" w:type="auto"/>
            <w:shd w:val="clear" w:color="auto" w:fill="CCEEFF"/>
            <w:tcMar>
              <w:top w:w="30" w:type="dxa"/>
              <w:left w:w="0" w:type="dxa"/>
              <w:bottom w:w="30" w:type="dxa"/>
              <w:right w:w="20" w:type="dxa"/>
            </w:tcMar>
            <w:vAlign w:val="center"/>
            <w:hideMark/>
          </w:tcPr>
          <w:p w14:paraId="62B811A8" w14:textId="77777777" w:rsidR="00000000" w:rsidRDefault="00A173A8">
            <w:pPr>
              <w:spacing w:after="100"/>
              <w:jc w:val="right"/>
              <w:rPr>
                <w:rFonts w:eastAsia="Times New Roman"/>
              </w:rPr>
            </w:pPr>
          </w:p>
        </w:tc>
      </w:tr>
      <w:tr w:rsidR="00000000" w14:paraId="29458FED" w14:textId="77777777">
        <w:tc>
          <w:tcPr>
            <w:tcW w:w="0" w:type="auto"/>
            <w:gridSpan w:val="3"/>
            <w:shd w:val="clear" w:color="auto" w:fill="FFFFFF"/>
            <w:tcMar>
              <w:top w:w="30" w:type="dxa"/>
              <w:left w:w="20" w:type="dxa"/>
              <w:bottom w:w="30" w:type="dxa"/>
              <w:right w:w="20" w:type="dxa"/>
            </w:tcMar>
            <w:vAlign w:val="bottom"/>
            <w:hideMark/>
          </w:tcPr>
          <w:p w14:paraId="359B252A" w14:textId="77777777" w:rsidR="00000000" w:rsidRDefault="00A173A8">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FFFFFF"/>
            <w:tcMar>
              <w:top w:w="0" w:type="dxa"/>
              <w:left w:w="20" w:type="dxa"/>
              <w:bottom w:w="0" w:type="dxa"/>
              <w:right w:w="20" w:type="dxa"/>
            </w:tcMar>
            <w:vAlign w:val="center"/>
            <w:hideMark/>
          </w:tcPr>
          <w:p w14:paraId="1BED882A"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D66D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ADEBD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3D6C5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73847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ADC5F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913EF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28A10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B77971"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BAB857" w14:textId="77777777" w:rsidR="00000000" w:rsidRDefault="00A173A8">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bottom"/>
            <w:hideMark/>
          </w:tcPr>
          <w:p w14:paraId="393EEF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65CFB"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09E20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31D08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19DA1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D027F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998AB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6A73FA"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02931" w14:textId="77777777" w:rsidR="00000000" w:rsidRDefault="00A173A8">
            <w:pPr>
              <w:spacing w:after="100"/>
              <w:jc w:val="right"/>
              <w:rPr>
                <w:rFonts w:eastAsia="Times New Roman"/>
              </w:rPr>
            </w:pPr>
            <w:r>
              <w:rPr>
                <w:rFonts w:eastAsia="Times New Roman"/>
                <w:color w:val="000000"/>
                <w:sz w:val="16"/>
                <w:szCs w:val="16"/>
              </w:rPr>
              <w:t>111 </w:t>
            </w:r>
          </w:p>
        </w:tc>
        <w:tc>
          <w:tcPr>
            <w:tcW w:w="0" w:type="auto"/>
            <w:shd w:val="clear" w:color="auto" w:fill="FFFFFF"/>
            <w:tcMar>
              <w:top w:w="30" w:type="dxa"/>
              <w:left w:w="0" w:type="dxa"/>
              <w:bottom w:w="30" w:type="dxa"/>
              <w:right w:w="20" w:type="dxa"/>
            </w:tcMar>
            <w:vAlign w:val="bottom"/>
            <w:hideMark/>
          </w:tcPr>
          <w:p w14:paraId="316921E1" w14:textId="77777777" w:rsidR="00000000" w:rsidRDefault="00A173A8">
            <w:pPr>
              <w:spacing w:after="100"/>
              <w:jc w:val="right"/>
              <w:rPr>
                <w:rFonts w:eastAsia="Times New Roman"/>
              </w:rPr>
            </w:pPr>
          </w:p>
        </w:tc>
      </w:tr>
      <w:tr w:rsidR="00000000" w14:paraId="0211849D" w14:textId="77777777">
        <w:tc>
          <w:tcPr>
            <w:tcW w:w="0" w:type="auto"/>
            <w:gridSpan w:val="3"/>
            <w:shd w:val="clear" w:color="auto" w:fill="CCEEFF"/>
            <w:tcMar>
              <w:top w:w="30" w:type="dxa"/>
              <w:left w:w="20" w:type="dxa"/>
              <w:bottom w:w="30" w:type="dxa"/>
              <w:right w:w="20" w:type="dxa"/>
            </w:tcMar>
            <w:vAlign w:val="bottom"/>
            <w:hideMark/>
          </w:tcPr>
          <w:p w14:paraId="6CAF531B" w14:textId="77777777" w:rsidR="00000000" w:rsidRDefault="00A173A8">
            <w:pPr>
              <w:spacing w:after="100"/>
              <w:rPr>
                <w:rFonts w:eastAsia="Times New Roman"/>
              </w:rPr>
            </w:pPr>
            <w:r>
              <w:rPr>
                <w:rFonts w:eastAsia="Times New Roman"/>
                <w:b/>
                <w:bCs/>
                <w:color w:val="000000"/>
                <w:sz w:val="16"/>
                <w:szCs w:val="16"/>
              </w:rPr>
              <w:t>Balance as of March 31, 2021</w:t>
            </w:r>
          </w:p>
        </w:tc>
        <w:tc>
          <w:tcPr>
            <w:tcW w:w="0" w:type="auto"/>
            <w:gridSpan w:val="3"/>
            <w:shd w:val="clear" w:color="auto" w:fill="CCEEFF"/>
            <w:tcMar>
              <w:top w:w="0" w:type="dxa"/>
              <w:left w:w="20" w:type="dxa"/>
              <w:bottom w:w="0" w:type="dxa"/>
              <w:right w:w="20" w:type="dxa"/>
            </w:tcMar>
            <w:vAlign w:val="center"/>
            <w:hideMark/>
          </w:tcPr>
          <w:p w14:paraId="1D14351D"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B464838" w14:textId="77777777" w:rsidR="00000000" w:rsidRDefault="00A173A8">
            <w:pPr>
              <w:spacing w:after="100"/>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4D460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84C23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1C07AE"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F5F8B87" w14:textId="77777777" w:rsidR="00000000" w:rsidRDefault="00A173A8">
            <w:pPr>
              <w:spacing w:after="100"/>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78BAC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A1F3C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12F050" w14:textId="77777777" w:rsidR="00000000" w:rsidRDefault="00A173A8">
            <w:pPr>
              <w:spacing w:after="100"/>
              <w:jc w:val="right"/>
              <w:rPr>
                <w:rFonts w:eastAsia="Times New Roman"/>
              </w:rPr>
            </w:pPr>
            <w:r>
              <w:rPr>
                <w:rFonts w:eastAsia="Times New Roman"/>
                <w:color w:val="000000"/>
                <w:sz w:val="16"/>
                <w:szCs w:val="16"/>
              </w:rPr>
              <w:t>682,761,557 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9A1C0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32391E"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6C62869"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B092F4B" w14:textId="77777777" w:rsidR="00000000" w:rsidRDefault="00A173A8">
            <w:pPr>
              <w:spacing w:after="100"/>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68207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3703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9E4E425"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D112413" w14:textId="77777777" w:rsidR="00000000" w:rsidRDefault="00A173A8">
            <w:pPr>
              <w:spacing w:after="100"/>
              <w:jc w:val="right"/>
              <w:rPr>
                <w:rFonts w:eastAsia="Times New Roman"/>
              </w:rPr>
            </w:pPr>
            <w:r>
              <w:rPr>
                <w:rFonts w:eastAsia="Times New Roman"/>
                <w:color w:val="000000"/>
                <w:sz w:val="16"/>
                <w:szCs w:val="16"/>
              </w:rPr>
              <w:t>33,671 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A1D56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859F5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D3EF0A0"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2A1F50E" w14:textId="77777777" w:rsidR="00000000" w:rsidRDefault="00A173A8">
            <w:pPr>
              <w:spacing w:after="100"/>
              <w:jc w:val="right"/>
              <w:rPr>
                <w:rFonts w:eastAsia="Times New Roman"/>
              </w:rPr>
            </w:pPr>
            <w:r>
              <w:rPr>
                <w:rFonts w:eastAsia="Times New Roman"/>
                <w:color w:val="000000"/>
                <w:sz w:val="16"/>
                <w:szCs w:val="16"/>
              </w:rPr>
              <w:t>43,167 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A42E6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3B49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EB2EF13"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18A81EC" w14:textId="77777777" w:rsidR="00000000" w:rsidRDefault="00A173A8">
            <w:pPr>
              <w:spacing w:after="100"/>
              <w:jc w:val="right"/>
              <w:rPr>
                <w:rFonts w:eastAsia="Times New Roman"/>
              </w:rPr>
            </w:pPr>
            <w:r>
              <w:rPr>
                <w:rFonts w:eastAsia="Times New Roman"/>
                <w:color w:val="000000"/>
                <w:sz w:val="16"/>
                <w:szCs w:val="16"/>
              </w:rPr>
              <w:t>1,783 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A702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FBCA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1C44DF9"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2F00912" w14:textId="77777777" w:rsidR="00000000" w:rsidRDefault="00A173A8">
            <w:pPr>
              <w:spacing w:after="100"/>
              <w:jc w:val="right"/>
              <w:rPr>
                <w:rFonts w:eastAsia="Times New Roman"/>
              </w:rPr>
            </w:pPr>
            <w:r>
              <w:rPr>
                <w:rFonts w:eastAsia="Times New Roman"/>
                <w:color w:val="000000"/>
                <w:sz w:val="16"/>
                <w:szCs w:val="16"/>
              </w:rPr>
              <w:t>(17,440)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98D9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E99D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5BFA51E"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42E4099" w14:textId="77777777" w:rsidR="00000000" w:rsidRDefault="00A173A8">
            <w:pPr>
              <w:spacing w:after="100"/>
              <w:jc w:val="right"/>
              <w:rPr>
                <w:rFonts w:eastAsia="Times New Roman"/>
              </w:rPr>
            </w:pPr>
            <w:r>
              <w:rPr>
                <w:rFonts w:eastAsia="Times New Roman"/>
                <w:color w:val="000000"/>
                <w:sz w:val="16"/>
                <w:szCs w:val="16"/>
              </w:rPr>
              <w:t>61,188 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70F91C" w14:textId="77777777" w:rsidR="00000000" w:rsidRDefault="00A173A8">
            <w:pPr>
              <w:spacing w:after="100"/>
              <w:jc w:val="right"/>
              <w:rPr>
                <w:rFonts w:eastAsia="Times New Roman"/>
              </w:rPr>
            </w:pPr>
          </w:p>
        </w:tc>
      </w:tr>
      <w:tr w:rsidR="00000000" w14:paraId="4716B2FD" w14:textId="77777777">
        <w:tc>
          <w:tcPr>
            <w:tcW w:w="0" w:type="auto"/>
            <w:gridSpan w:val="3"/>
            <w:shd w:val="clear" w:color="auto" w:fill="FFFFFF"/>
            <w:tcMar>
              <w:top w:w="30" w:type="dxa"/>
              <w:left w:w="20" w:type="dxa"/>
              <w:bottom w:w="30" w:type="dxa"/>
              <w:right w:w="20" w:type="dxa"/>
            </w:tcMar>
            <w:vAlign w:val="center"/>
            <w:hideMark/>
          </w:tcPr>
          <w:p w14:paraId="75191B8D" w14:textId="77777777" w:rsidR="00000000" w:rsidRDefault="00A173A8">
            <w:pPr>
              <w:spacing w:after="100"/>
              <w:rPr>
                <w:rFonts w:eastAsia="Times New Roman"/>
              </w:rPr>
            </w:pPr>
            <w:r>
              <w:rPr>
                <w:rFonts w:eastAsia="Times New Roman"/>
                <w:color w:val="000000"/>
                <w:sz w:val="16"/>
                <w:szCs w:val="16"/>
              </w:rPr>
              <w:t>Comprehensive income (loss)</w:t>
            </w:r>
          </w:p>
        </w:tc>
        <w:tc>
          <w:tcPr>
            <w:tcW w:w="0" w:type="auto"/>
            <w:gridSpan w:val="3"/>
            <w:shd w:val="clear" w:color="auto" w:fill="FFFFFF"/>
            <w:tcMar>
              <w:top w:w="0" w:type="dxa"/>
              <w:left w:w="20" w:type="dxa"/>
              <w:bottom w:w="0" w:type="dxa"/>
              <w:right w:w="20" w:type="dxa"/>
            </w:tcMar>
            <w:vAlign w:val="center"/>
            <w:hideMark/>
          </w:tcPr>
          <w:p w14:paraId="5F42E9FB"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517396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01B129"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6F620B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524735"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E82623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FFC1E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0BDE18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81DD7E"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41B28B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F64E73" w14:textId="77777777" w:rsidR="00000000" w:rsidRDefault="00A173A8">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042C5451" w14:textId="77777777" w:rsidR="00000000" w:rsidRDefault="00A173A8">
            <w:pPr>
              <w:spacing w:after="100"/>
              <w:jc w:val="right"/>
              <w:rPr>
                <w:rFonts w:eastAsia="Times New Roman"/>
              </w:rPr>
            </w:pPr>
            <w:r>
              <w:rPr>
                <w:rFonts w:eastAsia="Times New Roman"/>
                <w:color w:val="000000"/>
                <w:sz w:val="16"/>
                <w:szCs w:val="16"/>
              </w:rPr>
              <w:t>3,536 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33AB664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0196E" w14:textId="77777777" w:rsidR="00000000" w:rsidRDefault="00A173A8">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3A5C64C5" w14:textId="77777777" w:rsidR="00000000" w:rsidRDefault="00A173A8">
            <w:pPr>
              <w:spacing w:after="100"/>
              <w:jc w:val="right"/>
              <w:rPr>
                <w:rFonts w:eastAsia="Times New Roman"/>
              </w:rPr>
            </w:pPr>
            <w:r>
              <w:rPr>
                <w:rFonts w:eastAsia="Times New Roman"/>
                <w:color w:val="000000"/>
                <w:sz w:val="16"/>
                <w:szCs w:val="16"/>
              </w:rPr>
              <w:t>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0592A6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DE491" w14:textId="77777777" w:rsidR="00000000" w:rsidRDefault="00A173A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06763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F269F6" w14:textId="77777777" w:rsidR="00000000" w:rsidRDefault="00A173A8">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26D7C282" w14:textId="77777777" w:rsidR="00000000" w:rsidRDefault="00A173A8">
            <w:pPr>
              <w:spacing w:after="100"/>
              <w:jc w:val="right"/>
              <w:rPr>
                <w:rFonts w:eastAsia="Times New Roman"/>
              </w:rPr>
            </w:pPr>
            <w:r>
              <w:rPr>
                <w:rFonts w:eastAsia="Times New Roman"/>
                <w:color w:val="000000"/>
                <w:sz w:val="16"/>
                <w:szCs w:val="16"/>
              </w:rPr>
              <w:t>3,545 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3E4DBB49" w14:textId="77777777" w:rsidR="00000000" w:rsidRDefault="00A173A8">
            <w:pPr>
              <w:spacing w:after="100"/>
              <w:jc w:val="right"/>
              <w:rPr>
                <w:rFonts w:eastAsia="Times New Roman"/>
              </w:rPr>
            </w:pPr>
          </w:p>
        </w:tc>
      </w:tr>
      <w:tr w:rsidR="00000000" w14:paraId="6CD4BF94" w14:textId="77777777">
        <w:tc>
          <w:tcPr>
            <w:tcW w:w="0" w:type="auto"/>
            <w:gridSpan w:val="3"/>
            <w:shd w:val="clear" w:color="auto" w:fill="CCEEFF"/>
            <w:tcMar>
              <w:top w:w="30" w:type="dxa"/>
              <w:left w:w="20" w:type="dxa"/>
              <w:bottom w:w="30" w:type="dxa"/>
              <w:right w:w="20" w:type="dxa"/>
            </w:tcMar>
            <w:vAlign w:val="bottom"/>
            <w:hideMark/>
          </w:tcPr>
          <w:p w14:paraId="4CDD7B16" w14:textId="77777777" w:rsidR="00000000" w:rsidRDefault="00A173A8">
            <w:pPr>
              <w:spacing w:after="100"/>
              <w:divId w:val="1359308808"/>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14:paraId="67C7D966"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C192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8E247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18E8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93D4D7"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592F46" w14:textId="77777777" w:rsidR="00000000" w:rsidRDefault="00A173A8">
            <w:pPr>
              <w:spacing w:after="100"/>
              <w:jc w:val="right"/>
              <w:rPr>
                <w:rFonts w:eastAsia="Times New Roman"/>
              </w:rPr>
            </w:pPr>
            <w:r>
              <w:rPr>
                <w:rFonts w:eastAsia="Times New Roman"/>
                <w:color w:val="000000"/>
                <w:sz w:val="16"/>
                <w:szCs w:val="16"/>
              </w:rPr>
              <w:t>4,954 </w:t>
            </w:r>
          </w:p>
        </w:tc>
        <w:tc>
          <w:tcPr>
            <w:tcW w:w="0" w:type="auto"/>
            <w:shd w:val="clear" w:color="auto" w:fill="CCEEFF"/>
            <w:tcMar>
              <w:top w:w="30" w:type="dxa"/>
              <w:left w:w="0" w:type="dxa"/>
              <w:bottom w:w="30" w:type="dxa"/>
              <w:right w:w="20" w:type="dxa"/>
            </w:tcMar>
            <w:vAlign w:val="center"/>
            <w:hideMark/>
          </w:tcPr>
          <w:p w14:paraId="54774AD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040E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479DDC"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347FF2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9143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0A34BC" w14:textId="77777777" w:rsidR="00000000" w:rsidRDefault="00A173A8">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center"/>
            <w:hideMark/>
          </w:tcPr>
          <w:p w14:paraId="2596029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D283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2D11B6" w14:textId="77777777" w:rsidR="00000000" w:rsidRDefault="00A173A8">
            <w:pPr>
              <w:spacing w:after="100"/>
              <w:jc w:val="right"/>
              <w:rPr>
                <w:rFonts w:eastAsia="Times New Roman"/>
              </w:rPr>
            </w:pPr>
            <w:r>
              <w:rPr>
                <w:rFonts w:eastAsia="Times New Roman"/>
                <w:color w:val="000000"/>
                <w:sz w:val="16"/>
                <w:szCs w:val="16"/>
              </w:rPr>
              <w:t>(182)</w:t>
            </w:r>
          </w:p>
        </w:tc>
        <w:tc>
          <w:tcPr>
            <w:tcW w:w="0" w:type="auto"/>
            <w:shd w:val="clear" w:color="auto" w:fill="CCEEFF"/>
            <w:tcMar>
              <w:top w:w="30" w:type="dxa"/>
              <w:left w:w="0" w:type="dxa"/>
              <w:bottom w:w="30" w:type="dxa"/>
              <w:right w:w="20" w:type="dxa"/>
            </w:tcMar>
            <w:vAlign w:val="center"/>
            <w:hideMark/>
          </w:tcPr>
          <w:p w14:paraId="030D486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ECC91"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1A9EE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4F1F0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65DCA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CEEAB3"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0ED4ED" w14:textId="77777777" w:rsidR="00000000" w:rsidRDefault="00A173A8">
            <w:pPr>
              <w:spacing w:after="100"/>
              <w:jc w:val="right"/>
              <w:rPr>
                <w:rFonts w:eastAsia="Times New Roman"/>
              </w:rPr>
            </w:pPr>
            <w:r>
              <w:rPr>
                <w:rFonts w:eastAsia="Times New Roman"/>
                <w:color w:val="000000"/>
                <w:sz w:val="16"/>
                <w:szCs w:val="16"/>
              </w:rPr>
              <w:t>(181)</w:t>
            </w:r>
          </w:p>
        </w:tc>
        <w:tc>
          <w:tcPr>
            <w:tcW w:w="0" w:type="auto"/>
            <w:shd w:val="clear" w:color="auto" w:fill="CCEEFF"/>
            <w:tcMar>
              <w:top w:w="30" w:type="dxa"/>
              <w:left w:w="0" w:type="dxa"/>
              <w:bottom w:w="30" w:type="dxa"/>
              <w:right w:w="20" w:type="dxa"/>
            </w:tcMar>
            <w:vAlign w:val="center"/>
            <w:hideMark/>
          </w:tcPr>
          <w:p w14:paraId="030B8AB4" w14:textId="77777777" w:rsidR="00000000" w:rsidRDefault="00A173A8">
            <w:pPr>
              <w:spacing w:after="100"/>
              <w:jc w:val="right"/>
              <w:rPr>
                <w:rFonts w:eastAsia="Times New Roman"/>
              </w:rPr>
            </w:pPr>
          </w:p>
        </w:tc>
      </w:tr>
      <w:tr w:rsidR="00000000" w14:paraId="4BA5C53A" w14:textId="77777777">
        <w:tc>
          <w:tcPr>
            <w:tcW w:w="0" w:type="auto"/>
            <w:gridSpan w:val="3"/>
            <w:shd w:val="clear" w:color="auto" w:fill="FFFFFF"/>
            <w:tcMar>
              <w:top w:w="30" w:type="dxa"/>
              <w:left w:w="20" w:type="dxa"/>
              <w:bottom w:w="30" w:type="dxa"/>
              <w:right w:w="20" w:type="dxa"/>
            </w:tcMar>
            <w:vAlign w:val="bottom"/>
            <w:hideMark/>
          </w:tcPr>
          <w:p w14:paraId="38C686B5" w14:textId="77777777" w:rsidR="00000000" w:rsidRDefault="00A173A8">
            <w:pPr>
              <w:spacing w:after="100"/>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14:paraId="332A9490"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224B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984AF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81AE1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FF9A1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C65A7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8A3ED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9A426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F26A5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E7892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85009F"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75A5BB" w14:textId="77777777" w:rsidR="00000000" w:rsidRDefault="00A173A8">
            <w:pPr>
              <w:spacing w:after="100"/>
              <w:jc w:val="right"/>
              <w:rPr>
                <w:rFonts w:eastAsia="Times New Roman"/>
              </w:rPr>
            </w:pPr>
            <w:r>
              <w:rPr>
                <w:rFonts w:eastAsia="Times New Roman"/>
                <w:color w:val="000000"/>
                <w:sz w:val="16"/>
                <w:szCs w:val="16"/>
              </w:rPr>
              <w:t>(60)</w:t>
            </w:r>
          </w:p>
        </w:tc>
        <w:tc>
          <w:tcPr>
            <w:tcW w:w="0" w:type="auto"/>
            <w:shd w:val="clear" w:color="auto" w:fill="FFFFFF"/>
            <w:tcMar>
              <w:top w:w="30" w:type="dxa"/>
              <w:left w:w="0" w:type="dxa"/>
              <w:bottom w:w="30" w:type="dxa"/>
              <w:right w:w="20" w:type="dxa"/>
            </w:tcMar>
            <w:vAlign w:val="center"/>
            <w:hideMark/>
          </w:tcPr>
          <w:p w14:paraId="3463EC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91E44"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BB0A5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87A9C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88335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2695D4"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4EBE36" w14:textId="77777777" w:rsidR="00000000" w:rsidRDefault="00A173A8">
            <w:pPr>
              <w:spacing w:after="100"/>
              <w:jc w:val="right"/>
              <w:rPr>
                <w:rFonts w:eastAsia="Times New Roman"/>
              </w:rPr>
            </w:pPr>
            <w:r>
              <w:rPr>
                <w:rFonts w:eastAsia="Times New Roman"/>
                <w:color w:val="000000"/>
                <w:sz w:val="16"/>
                <w:szCs w:val="16"/>
              </w:rPr>
              <w:t>(60)</w:t>
            </w:r>
          </w:p>
        </w:tc>
        <w:tc>
          <w:tcPr>
            <w:tcW w:w="0" w:type="auto"/>
            <w:shd w:val="clear" w:color="auto" w:fill="FFFFFF"/>
            <w:tcMar>
              <w:top w:w="30" w:type="dxa"/>
              <w:left w:w="0" w:type="dxa"/>
              <w:bottom w:w="30" w:type="dxa"/>
              <w:right w:w="20" w:type="dxa"/>
            </w:tcMar>
            <w:vAlign w:val="center"/>
            <w:hideMark/>
          </w:tcPr>
          <w:p w14:paraId="66E3C913" w14:textId="77777777" w:rsidR="00000000" w:rsidRDefault="00A173A8">
            <w:pPr>
              <w:spacing w:after="100"/>
              <w:jc w:val="right"/>
              <w:rPr>
                <w:rFonts w:eastAsia="Times New Roman"/>
              </w:rPr>
            </w:pPr>
          </w:p>
        </w:tc>
      </w:tr>
      <w:tr w:rsidR="00000000" w14:paraId="427667E7" w14:textId="77777777">
        <w:tc>
          <w:tcPr>
            <w:tcW w:w="0" w:type="auto"/>
            <w:gridSpan w:val="3"/>
            <w:shd w:val="clear" w:color="auto" w:fill="CCEEFF"/>
            <w:tcMar>
              <w:top w:w="30" w:type="dxa"/>
              <w:left w:w="20" w:type="dxa"/>
              <w:bottom w:w="30" w:type="dxa"/>
              <w:right w:w="20" w:type="dxa"/>
            </w:tcMar>
            <w:vAlign w:val="bottom"/>
            <w:hideMark/>
          </w:tcPr>
          <w:p w14:paraId="318C2E6B" w14:textId="77777777" w:rsidR="00000000" w:rsidRDefault="00A173A8">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69DD8B5F"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8A6C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64313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C1A32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9C557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87E20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F786B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F8796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55D9C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90891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E7796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28C2D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C7F0A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67E6C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0D04EF"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8317D8" w14:textId="77777777" w:rsidR="00000000" w:rsidRDefault="00A173A8">
            <w:pPr>
              <w:spacing w:after="100"/>
              <w:jc w:val="right"/>
              <w:rPr>
                <w:rFonts w:eastAsia="Times New Roman"/>
              </w:rPr>
            </w:pPr>
            <w:r>
              <w:rPr>
                <w:rFonts w:eastAsia="Times New Roman"/>
                <w:color w:val="000000"/>
                <w:sz w:val="16"/>
                <w:szCs w:val="16"/>
              </w:rPr>
              <w:t>(1,668)</w:t>
            </w:r>
          </w:p>
        </w:tc>
        <w:tc>
          <w:tcPr>
            <w:tcW w:w="0" w:type="auto"/>
            <w:shd w:val="clear" w:color="auto" w:fill="CCEEFF"/>
            <w:tcMar>
              <w:top w:w="30" w:type="dxa"/>
              <w:left w:w="0" w:type="dxa"/>
              <w:bottom w:w="30" w:type="dxa"/>
              <w:right w:w="20" w:type="dxa"/>
            </w:tcMar>
            <w:vAlign w:val="center"/>
            <w:hideMark/>
          </w:tcPr>
          <w:p w14:paraId="5C369D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397E4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AF2278" w14:textId="77777777" w:rsidR="00000000" w:rsidRDefault="00A173A8">
            <w:pPr>
              <w:spacing w:after="100"/>
              <w:jc w:val="right"/>
              <w:rPr>
                <w:rFonts w:eastAsia="Times New Roman"/>
              </w:rPr>
            </w:pPr>
            <w:r>
              <w:rPr>
                <w:rFonts w:eastAsia="Times New Roman"/>
                <w:color w:val="000000"/>
                <w:sz w:val="16"/>
                <w:szCs w:val="16"/>
              </w:rPr>
              <w:t>(1,668)</w:t>
            </w:r>
          </w:p>
        </w:tc>
        <w:tc>
          <w:tcPr>
            <w:tcW w:w="0" w:type="auto"/>
            <w:shd w:val="clear" w:color="auto" w:fill="CCEEFF"/>
            <w:tcMar>
              <w:top w:w="30" w:type="dxa"/>
              <w:left w:w="0" w:type="dxa"/>
              <w:bottom w:w="30" w:type="dxa"/>
              <w:right w:w="20" w:type="dxa"/>
            </w:tcMar>
            <w:vAlign w:val="center"/>
            <w:hideMark/>
          </w:tcPr>
          <w:p w14:paraId="17CA2EE9" w14:textId="77777777" w:rsidR="00000000" w:rsidRDefault="00A173A8">
            <w:pPr>
              <w:spacing w:after="100"/>
              <w:jc w:val="right"/>
              <w:rPr>
                <w:rFonts w:eastAsia="Times New Roman"/>
              </w:rPr>
            </w:pPr>
          </w:p>
        </w:tc>
      </w:tr>
      <w:tr w:rsidR="00000000" w14:paraId="663F0D3D" w14:textId="77777777">
        <w:tc>
          <w:tcPr>
            <w:tcW w:w="0" w:type="auto"/>
            <w:gridSpan w:val="3"/>
            <w:shd w:val="clear" w:color="auto" w:fill="FFFFFF"/>
            <w:tcMar>
              <w:top w:w="30" w:type="dxa"/>
              <w:left w:w="20" w:type="dxa"/>
              <w:bottom w:w="30" w:type="dxa"/>
              <w:right w:w="20" w:type="dxa"/>
            </w:tcMar>
            <w:vAlign w:val="center"/>
            <w:hideMark/>
          </w:tcPr>
          <w:p w14:paraId="537CD8CA" w14:textId="77777777" w:rsidR="00000000" w:rsidRDefault="00A173A8">
            <w:pPr>
              <w:spacing w:after="100"/>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14:paraId="7795AF58"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74CDB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058E6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35990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3B980D"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44F8A6" w14:textId="77777777" w:rsidR="00000000" w:rsidRDefault="00A173A8">
            <w:pPr>
              <w:spacing w:after="100"/>
              <w:jc w:val="right"/>
              <w:rPr>
                <w:rFonts w:eastAsia="Times New Roman"/>
              </w:rPr>
            </w:pPr>
            <w:r>
              <w:rPr>
                <w:rFonts w:eastAsia="Times New Roman"/>
                <w:color w:val="000000"/>
                <w:sz w:val="16"/>
                <w:szCs w:val="16"/>
              </w:rPr>
              <w:t>583,779 </w:t>
            </w:r>
          </w:p>
        </w:tc>
        <w:tc>
          <w:tcPr>
            <w:tcW w:w="0" w:type="auto"/>
            <w:shd w:val="clear" w:color="auto" w:fill="FFFFFF"/>
            <w:tcMar>
              <w:top w:w="30" w:type="dxa"/>
              <w:left w:w="0" w:type="dxa"/>
              <w:bottom w:w="30" w:type="dxa"/>
              <w:right w:w="20" w:type="dxa"/>
            </w:tcMar>
            <w:vAlign w:val="center"/>
            <w:hideMark/>
          </w:tcPr>
          <w:p w14:paraId="3103DCE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3F947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306D2E"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12D95B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BC6E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2AB9AD" w14:textId="77777777" w:rsidR="00000000" w:rsidRDefault="00A173A8">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center"/>
            <w:hideMark/>
          </w:tcPr>
          <w:p w14:paraId="7822044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0BF1E3"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4B6B4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60610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76631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C54F9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8B179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14DD7D"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81D1E2" w14:textId="77777777" w:rsidR="00000000" w:rsidRDefault="00A173A8">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center"/>
            <w:hideMark/>
          </w:tcPr>
          <w:p w14:paraId="565DC442" w14:textId="77777777" w:rsidR="00000000" w:rsidRDefault="00A173A8">
            <w:pPr>
              <w:spacing w:after="100"/>
              <w:jc w:val="right"/>
              <w:rPr>
                <w:rFonts w:eastAsia="Times New Roman"/>
              </w:rPr>
            </w:pPr>
          </w:p>
        </w:tc>
      </w:tr>
      <w:tr w:rsidR="00000000" w14:paraId="1CC31626" w14:textId="77777777">
        <w:tc>
          <w:tcPr>
            <w:tcW w:w="0" w:type="auto"/>
            <w:gridSpan w:val="3"/>
            <w:shd w:val="clear" w:color="auto" w:fill="CCEEFF"/>
            <w:tcMar>
              <w:top w:w="30" w:type="dxa"/>
              <w:left w:w="20" w:type="dxa"/>
              <w:bottom w:w="30" w:type="dxa"/>
              <w:right w:w="20" w:type="dxa"/>
            </w:tcMar>
            <w:vAlign w:val="bottom"/>
            <w:hideMark/>
          </w:tcPr>
          <w:p w14:paraId="1BEBC144" w14:textId="77777777" w:rsidR="00000000" w:rsidRDefault="00A173A8">
            <w:pPr>
              <w:spacing w:after="100"/>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14:paraId="3E621AF4"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0E6E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96BA6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78F74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B22E2F"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A2BC68" w14:textId="77777777" w:rsidR="00000000" w:rsidRDefault="00A173A8">
            <w:pPr>
              <w:spacing w:after="100"/>
              <w:jc w:val="right"/>
              <w:rPr>
                <w:rFonts w:eastAsia="Times New Roman"/>
              </w:rPr>
            </w:pPr>
            <w:r>
              <w:rPr>
                <w:rFonts w:eastAsia="Times New Roman"/>
                <w:color w:val="000000"/>
                <w:sz w:val="16"/>
                <w:szCs w:val="16"/>
              </w:rPr>
              <w:t>209,528 </w:t>
            </w:r>
          </w:p>
        </w:tc>
        <w:tc>
          <w:tcPr>
            <w:tcW w:w="0" w:type="auto"/>
            <w:shd w:val="clear" w:color="auto" w:fill="CCEEFF"/>
            <w:tcMar>
              <w:top w:w="30" w:type="dxa"/>
              <w:left w:w="0" w:type="dxa"/>
              <w:bottom w:w="30" w:type="dxa"/>
              <w:right w:w="20" w:type="dxa"/>
            </w:tcMar>
            <w:vAlign w:val="center"/>
            <w:hideMark/>
          </w:tcPr>
          <w:p w14:paraId="0D22BB0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6D957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0BF096"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14:paraId="38199C1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5B98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2C53F4" w14:textId="77777777" w:rsidR="00000000" w:rsidRDefault="00A173A8">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center"/>
            <w:hideMark/>
          </w:tcPr>
          <w:p w14:paraId="019D89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23B11"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90BD0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B1010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80A01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8B521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D87F1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8F72B0"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2F96BE" w14:textId="77777777" w:rsidR="00000000" w:rsidRDefault="00A173A8">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center"/>
            <w:hideMark/>
          </w:tcPr>
          <w:p w14:paraId="15B6B178" w14:textId="77777777" w:rsidR="00000000" w:rsidRDefault="00A173A8">
            <w:pPr>
              <w:spacing w:after="100"/>
              <w:jc w:val="right"/>
              <w:rPr>
                <w:rFonts w:eastAsia="Times New Roman"/>
              </w:rPr>
            </w:pPr>
          </w:p>
        </w:tc>
      </w:tr>
      <w:tr w:rsidR="00000000" w14:paraId="5CEDD373" w14:textId="77777777">
        <w:tc>
          <w:tcPr>
            <w:tcW w:w="0" w:type="auto"/>
            <w:gridSpan w:val="3"/>
            <w:shd w:val="clear" w:color="auto" w:fill="FFFFFF"/>
            <w:tcMar>
              <w:top w:w="30" w:type="dxa"/>
              <w:left w:w="20" w:type="dxa"/>
              <w:bottom w:w="30" w:type="dxa"/>
              <w:right w:w="20" w:type="dxa"/>
            </w:tcMar>
            <w:vAlign w:val="bottom"/>
            <w:hideMark/>
          </w:tcPr>
          <w:p w14:paraId="03356336" w14:textId="77777777" w:rsidR="00000000" w:rsidRDefault="00A173A8">
            <w:pPr>
              <w:spacing w:after="100"/>
              <w:rPr>
                <w:rFonts w:eastAsia="Times New Roman"/>
              </w:rPr>
            </w:pPr>
            <w:r>
              <w:rPr>
                <w:rFonts w:eastAsia="Times New Roman"/>
                <w:color w:val="000000"/>
                <w:sz w:val="16"/>
                <w:szCs w:val="16"/>
              </w:rPr>
              <w:t>Issuances of preferred stock</w:t>
            </w:r>
          </w:p>
        </w:tc>
        <w:tc>
          <w:tcPr>
            <w:tcW w:w="0" w:type="auto"/>
            <w:gridSpan w:val="3"/>
            <w:shd w:val="clear" w:color="auto" w:fill="FFFFFF"/>
            <w:tcMar>
              <w:top w:w="0" w:type="dxa"/>
              <w:left w:w="20" w:type="dxa"/>
              <w:bottom w:w="0" w:type="dxa"/>
              <w:right w:w="20" w:type="dxa"/>
            </w:tcMar>
            <w:vAlign w:val="center"/>
            <w:hideMark/>
          </w:tcPr>
          <w:p w14:paraId="322BB2F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17D3E84" w14:textId="77777777" w:rsidR="00000000" w:rsidRDefault="00A173A8">
            <w:pPr>
              <w:spacing w:after="100"/>
              <w:jc w:val="right"/>
              <w:rPr>
                <w:rFonts w:eastAsia="Times New Roman"/>
              </w:rPr>
            </w:pPr>
            <w:r>
              <w:rPr>
                <w:rFonts w:eastAsia="Times New Roman"/>
                <w:color w:val="000000"/>
                <w:sz w:val="16"/>
                <w:szCs w:val="16"/>
              </w:rPr>
              <w:t>1,675,000 </w:t>
            </w:r>
          </w:p>
        </w:tc>
        <w:tc>
          <w:tcPr>
            <w:tcW w:w="0" w:type="auto"/>
            <w:shd w:val="clear" w:color="auto" w:fill="FFFFFF"/>
            <w:tcMar>
              <w:top w:w="30" w:type="dxa"/>
              <w:left w:w="0" w:type="dxa"/>
              <w:bottom w:w="30" w:type="dxa"/>
              <w:right w:w="20" w:type="dxa"/>
            </w:tcMar>
            <w:vAlign w:val="center"/>
            <w:hideMark/>
          </w:tcPr>
          <w:p w14:paraId="4CD432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DF56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AC7830"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4A8BA8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723AB"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B04B2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4131D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2241B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3F5123"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186EC6" w14:textId="77777777" w:rsidR="00000000" w:rsidRDefault="00A173A8">
            <w:pPr>
              <w:spacing w:after="100"/>
              <w:jc w:val="right"/>
              <w:rPr>
                <w:rFonts w:eastAsia="Times New Roman"/>
              </w:rPr>
            </w:pPr>
            <w:r>
              <w:rPr>
                <w:rFonts w:eastAsia="Times New Roman"/>
                <w:color w:val="000000"/>
                <w:sz w:val="16"/>
                <w:szCs w:val="16"/>
              </w:rPr>
              <w:t>1,641 </w:t>
            </w:r>
          </w:p>
        </w:tc>
        <w:tc>
          <w:tcPr>
            <w:tcW w:w="0" w:type="auto"/>
            <w:shd w:val="clear" w:color="auto" w:fill="FFFFFF"/>
            <w:tcMar>
              <w:top w:w="30" w:type="dxa"/>
              <w:left w:w="0" w:type="dxa"/>
              <w:bottom w:w="30" w:type="dxa"/>
              <w:right w:w="20" w:type="dxa"/>
            </w:tcMar>
            <w:vAlign w:val="center"/>
            <w:hideMark/>
          </w:tcPr>
          <w:p w14:paraId="0B5E919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0380C1"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6F497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628D3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D10E5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1EF2E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59213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5D3080"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1A6455" w14:textId="77777777" w:rsidR="00000000" w:rsidRDefault="00A173A8">
            <w:pPr>
              <w:spacing w:after="100"/>
              <w:jc w:val="right"/>
              <w:rPr>
                <w:rFonts w:eastAsia="Times New Roman"/>
              </w:rPr>
            </w:pPr>
            <w:r>
              <w:rPr>
                <w:rFonts w:eastAsia="Times New Roman"/>
                <w:color w:val="000000"/>
                <w:sz w:val="16"/>
                <w:szCs w:val="16"/>
              </w:rPr>
              <w:t>1,641 </w:t>
            </w:r>
          </w:p>
        </w:tc>
        <w:tc>
          <w:tcPr>
            <w:tcW w:w="0" w:type="auto"/>
            <w:shd w:val="clear" w:color="auto" w:fill="FFFFFF"/>
            <w:tcMar>
              <w:top w:w="30" w:type="dxa"/>
              <w:left w:w="0" w:type="dxa"/>
              <w:bottom w:w="30" w:type="dxa"/>
              <w:right w:w="20" w:type="dxa"/>
            </w:tcMar>
            <w:vAlign w:val="center"/>
            <w:hideMark/>
          </w:tcPr>
          <w:p w14:paraId="4A87F5CF" w14:textId="77777777" w:rsidR="00000000" w:rsidRDefault="00A173A8">
            <w:pPr>
              <w:spacing w:after="100"/>
              <w:jc w:val="right"/>
              <w:rPr>
                <w:rFonts w:eastAsia="Times New Roman"/>
              </w:rPr>
            </w:pPr>
          </w:p>
        </w:tc>
      </w:tr>
      <w:tr w:rsidR="00000000" w14:paraId="2798568F" w14:textId="77777777">
        <w:tc>
          <w:tcPr>
            <w:tcW w:w="0" w:type="auto"/>
            <w:gridSpan w:val="3"/>
            <w:shd w:val="clear" w:color="auto" w:fill="CCEEFF"/>
            <w:tcMar>
              <w:top w:w="30" w:type="dxa"/>
              <w:left w:w="20" w:type="dxa"/>
              <w:bottom w:w="30" w:type="dxa"/>
              <w:right w:w="20" w:type="dxa"/>
            </w:tcMar>
            <w:vAlign w:val="bottom"/>
            <w:hideMark/>
          </w:tcPr>
          <w:p w14:paraId="2AD5C708" w14:textId="77777777" w:rsidR="00000000" w:rsidRDefault="00A173A8">
            <w:pPr>
              <w:spacing w:after="100"/>
              <w:rPr>
                <w:rFonts w:eastAsia="Times New Roman"/>
              </w:rPr>
            </w:pPr>
            <w:r>
              <w:rPr>
                <w:rFonts w:eastAsia="Times New Roman"/>
                <w:color w:val="000000"/>
                <w:sz w:val="16"/>
                <w:szCs w:val="16"/>
              </w:rPr>
              <w:t>Compensation expense for restricted stock units</w:t>
            </w:r>
          </w:p>
        </w:tc>
        <w:tc>
          <w:tcPr>
            <w:tcW w:w="0" w:type="auto"/>
            <w:gridSpan w:val="3"/>
            <w:shd w:val="clear" w:color="auto" w:fill="CCEEFF"/>
            <w:tcMar>
              <w:top w:w="0" w:type="dxa"/>
              <w:left w:w="20" w:type="dxa"/>
              <w:bottom w:w="0" w:type="dxa"/>
              <w:right w:w="20" w:type="dxa"/>
            </w:tcMar>
            <w:vAlign w:val="center"/>
            <w:hideMark/>
          </w:tcPr>
          <w:p w14:paraId="66415918"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03C9B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5EE6D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CBCE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ACCF2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93930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7C9CE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9B510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8186D1"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41DB5A7" w14:textId="77777777" w:rsidR="00000000" w:rsidRDefault="00A173A8">
            <w:pPr>
              <w:spacing w:after="100"/>
              <w:jc w:val="right"/>
              <w:rPr>
                <w:rFonts w:eastAsia="Times New Roman"/>
              </w:rPr>
            </w:pPr>
            <w:r>
              <w:rPr>
                <w:rFonts w:eastAsia="Times New Roman"/>
                <w:color w:val="000000"/>
                <w:sz w:val="16"/>
                <w:szCs w:val="16"/>
              </w:rPr>
              <w:t>84 </w:t>
            </w:r>
          </w:p>
        </w:tc>
        <w:tc>
          <w:tcPr>
            <w:tcW w:w="0" w:type="auto"/>
            <w:shd w:val="clear" w:color="auto" w:fill="CCEEFF"/>
            <w:tcMar>
              <w:top w:w="30" w:type="dxa"/>
              <w:left w:w="0" w:type="dxa"/>
              <w:bottom w:w="30" w:type="dxa"/>
              <w:right w:w="20" w:type="dxa"/>
            </w:tcMar>
            <w:vAlign w:val="center"/>
            <w:hideMark/>
          </w:tcPr>
          <w:p w14:paraId="02CE843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2E7F6"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79A8D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4FA2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187EF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CB3AA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969EC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55ADBB"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F6A151" w14:textId="77777777" w:rsidR="00000000" w:rsidRDefault="00A173A8">
            <w:pPr>
              <w:spacing w:after="100"/>
              <w:jc w:val="right"/>
              <w:rPr>
                <w:rFonts w:eastAsia="Times New Roman"/>
              </w:rPr>
            </w:pPr>
            <w:r>
              <w:rPr>
                <w:rFonts w:eastAsia="Times New Roman"/>
                <w:color w:val="000000"/>
                <w:sz w:val="16"/>
                <w:szCs w:val="16"/>
              </w:rPr>
              <w:t>84 </w:t>
            </w:r>
          </w:p>
        </w:tc>
        <w:tc>
          <w:tcPr>
            <w:tcW w:w="0" w:type="auto"/>
            <w:shd w:val="clear" w:color="auto" w:fill="CCEEFF"/>
            <w:tcMar>
              <w:top w:w="30" w:type="dxa"/>
              <w:left w:w="0" w:type="dxa"/>
              <w:bottom w:w="30" w:type="dxa"/>
              <w:right w:w="20" w:type="dxa"/>
            </w:tcMar>
            <w:vAlign w:val="center"/>
            <w:hideMark/>
          </w:tcPr>
          <w:p w14:paraId="64979E14" w14:textId="77777777" w:rsidR="00000000" w:rsidRDefault="00A173A8">
            <w:pPr>
              <w:spacing w:after="100"/>
              <w:jc w:val="right"/>
              <w:rPr>
                <w:rFonts w:eastAsia="Times New Roman"/>
              </w:rPr>
            </w:pPr>
          </w:p>
        </w:tc>
      </w:tr>
      <w:tr w:rsidR="00000000" w14:paraId="4EE623ED" w14:textId="77777777">
        <w:tc>
          <w:tcPr>
            <w:tcW w:w="0" w:type="auto"/>
            <w:gridSpan w:val="3"/>
            <w:shd w:val="clear" w:color="auto" w:fill="FFFFFF"/>
            <w:tcMar>
              <w:top w:w="30" w:type="dxa"/>
              <w:left w:w="20" w:type="dxa"/>
              <w:bottom w:w="30" w:type="dxa"/>
              <w:right w:w="20" w:type="dxa"/>
            </w:tcMar>
            <w:vAlign w:val="bottom"/>
            <w:hideMark/>
          </w:tcPr>
          <w:p w14:paraId="1A3D7801" w14:textId="77777777" w:rsidR="00000000" w:rsidRDefault="00A173A8">
            <w:pPr>
              <w:spacing w:after="100"/>
              <w:rPr>
                <w:rFonts w:eastAsia="Times New Roman"/>
              </w:rPr>
            </w:pPr>
            <w:r>
              <w:rPr>
                <w:rFonts w:eastAsia="Times New Roman"/>
                <w:b/>
                <w:bCs/>
                <w:color w:val="000000"/>
                <w:sz w:val="16"/>
                <w:szCs w:val="16"/>
              </w:rPr>
              <w:t>Balance as of June 30, 2021</w:t>
            </w:r>
          </w:p>
        </w:tc>
        <w:tc>
          <w:tcPr>
            <w:tcW w:w="0" w:type="auto"/>
            <w:gridSpan w:val="3"/>
            <w:shd w:val="clear" w:color="auto" w:fill="FFFFFF"/>
            <w:tcMar>
              <w:top w:w="0" w:type="dxa"/>
              <w:left w:w="20" w:type="dxa"/>
              <w:bottom w:w="0" w:type="dxa"/>
              <w:right w:w="20" w:type="dxa"/>
            </w:tcMar>
            <w:vAlign w:val="center"/>
            <w:hideMark/>
          </w:tcPr>
          <w:p w14:paraId="43317FDA" w14:textId="77777777" w:rsidR="00000000" w:rsidRDefault="00A173A8">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D029E98" w14:textId="77777777" w:rsidR="00000000" w:rsidRDefault="00A173A8">
            <w:pPr>
              <w:spacing w:after="100"/>
              <w:jc w:val="right"/>
              <w:rPr>
                <w:rFonts w:eastAsia="Times New Roman"/>
              </w:rPr>
            </w:pPr>
            <w:r>
              <w:rPr>
                <w:rFonts w:eastAsia="Times New Roman"/>
                <w:color w:val="000000"/>
                <w:sz w:val="16"/>
                <w:szCs w:val="16"/>
              </w:rPr>
              <w:t>6,650,000 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88B03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0802B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65D123B"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B911C8D" w14:textId="77777777" w:rsidR="00000000" w:rsidRDefault="00A173A8">
            <w:pPr>
              <w:spacing w:after="100"/>
              <w:jc w:val="right"/>
              <w:rPr>
                <w:rFonts w:eastAsia="Times New Roman"/>
              </w:rPr>
            </w:pPr>
            <w:r>
              <w:rPr>
                <w:rFonts w:eastAsia="Times New Roman"/>
                <w:color w:val="000000"/>
                <w:sz w:val="16"/>
                <w:szCs w:val="16"/>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901332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32DAA"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0CBA0D5" w14:textId="77777777" w:rsidR="00000000" w:rsidRDefault="00A173A8">
            <w:pPr>
              <w:spacing w:after="100"/>
              <w:jc w:val="right"/>
              <w:rPr>
                <w:rFonts w:eastAsia="Times New Roman"/>
              </w:rPr>
            </w:pPr>
            <w:r>
              <w:rPr>
                <w:rFonts w:eastAsia="Times New Roman"/>
                <w:color w:val="000000"/>
                <w:sz w:val="16"/>
                <w:szCs w:val="16"/>
              </w:rPr>
              <w:t>683,559,818 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EE5EF8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24152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14CF2C0"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009B1AD" w14:textId="77777777" w:rsidR="00000000" w:rsidRDefault="00A173A8">
            <w:pPr>
              <w:spacing w:after="100"/>
              <w:jc w:val="right"/>
              <w:rPr>
                <w:rFonts w:eastAsia="Times New Roman"/>
              </w:rPr>
            </w:pPr>
            <w:r>
              <w:rPr>
                <w:rFonts w:eastAsia="Times New Roman"/>
                <w:color w:val="000000"/>
                <w:sz w:val="16"/>
                <w:szCs w:val="16"/>
              </w:rPr>
              <w:t>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EF212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C1AA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65853F5"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599DA89" w14:textId="77777777" w:rsidR="00000000" w:rsidRDefault="00A173A8">
            <w:pPr>
              <w:spacing w:after="100"/>
              <w:jc w:val="right"/>
              <w:rPr>
                <w:rFonts w:eastAsia="Times New Roman"/>
              </w:rPr>
            </w:pPr>
            <w:r>
              <w:rPr>
                <w:rFonts w:eastAsia="Times New Roman"/>
                <w:color w:val="000000"/>
                <w:sz w:val="16"/>
                <w:szCs w:val="16"/>
              </w:rPr>
              <w:t>35,472 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A618F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7A09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468747A"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649724A" w14:textId="77777777" w:rsidR="00000000" w:rsidRDefault="00A173A8">
            <w:pPr>
              <w:spacing w:after="100"/>
              <w:jc w:val="right"/>
              <w:rPr>
                <w:rFonts w:eastAsia="Times New Roman"/>
              </w:rPr>
            </w:pPr>
            <w:r>
              <w:rPr>
                <w:rFonts w:eastAsia="Times New Roman"/>
                <w:color w:val="000000"/>
                <w:sz w:val="16"/>
                <w:szCs w:val="16"/>
              </w:rPr>
              <w:t>46,461 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AB2786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189A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ACB29D4"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F109983" w14:textId="77777777" w:rsidR="00000000" w:rsidRDefault="00A173A8">
            <w:pPr>
              <w:spacing w:after="100"/>
              <w:jc w:val="right"/>
              <w:rPr>
                <w:rFonts w:eastAsia="Times New Roman"/>
              </w:rPr>
            </w:pPr>
            <w:r>
              <w:rPr>
                <w:rFonts w:eastAsia="Times New Roman"/>
                <w:color w:val="000000"/>
                <w:sz w:val="16"/>
                <w:szCs w:val="16"/>
              </w:rPr>
              <w:t>1,792 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ADDF4D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74D3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32A717A"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E503321" w14:textId="77777777" w:rsidR="00000000" w:rsidRDefault="00A173A8">
            <w:pPr>
              <w:spacing w:after="100"/>
              <w:jc w:val="right"/>
              <w:rPr>
                <w:rFonts w:eastAsia="Times New Roman"/>
              </w:rPr>
            </w:pPr>
            <w:r>
              <w:rPr>
                <w:rFonts w:eastAsia="Times New Roman"/>
                <w:color w:val="000000"/>
                <w:sz w:val="16"/>
                <w:szCs w:val="16"/>
              </w:rPr>
              <w:t>(19,108)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5C670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D0EDD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23FF21E"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A385385" w14:textId="77777777" w:rsidR="00000000" w:rsidRDefault="00A173A8">
            <w:pPr>
              <w:spacing w:after="100"/>
              <w:jc w:val="right"/>
              <w:rPr>
                <w:rFonts w:eastAsia="Times New Roman"/>
              </w:rPr>
            </w:pPr>
            <w:r>
              <w:rPr>
                <w:rFonts w:eastAsia="Times New Roman"/>
                <w:color w:val="000000"/>
                <w:sz w:val="16"/>
                <w:szCs w:val="16"/>
              </w:rPr>
              <w:t>64,624 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DE9015D" w14:textId="77777777" w:rsidR="00000000" w:rsidRDefault="00A173A8">
            <w:pPr>
              <w:spacing w:after="100"/>
              <w:jc w:val="right"/>
              <w:rPr>
                <w:rFonts w:eastAsia="Times New Roman"/>
              </w:rPr>
            </w:pPr>
          </w:p>
        </w:tc>
      </w:tr>
    </w:tbl>
    <w:p w14:paraId="6DFD1E73" w14:textId="77777777" w:rsidR="00000000" w:rsidRDefault="00A173A8">
      <w:pPr>
        <w:rPr>
          <w:rFonts w:eastAsia="Times New Roman"/>
        </w:rPr>
      </w:pPr>
      <w:r>
        <w:rPr>
          <w:rFonts w:eastAsia="Times New Roman"/>
          <w:color w:val="000000"/>
          <w:sz w:val="20"/>
          <w:szCs w:val="20"/>
        </w:rPr>
        <w:t>__________</w:t>
      </w:r>
    </w:p>
    <w:p w14:paraId="22861C70" w14:textId="77777777" w:rsidR="00000000" w:rsidRDefault="00A173A8">
      <w:pPr>
        <w:ind w:hanging="360"/>
        <w:jc w:val="both"/>
        <w:divId w:val="169738802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We declared dividends per share on our common stock of $0.60 and $0.40 in the second quarter of 2022 and 2021,respectively, and $1.20 and $0.80 </w:t>
      </w:r>
      <w:r>
        <w:rPr>
          <w:rFonts w:eastAsia="Times New Roman"/>
          <w:color w:val="000000"/>
          <w:sz w:val="16"/>
          <w:szCs w:val="16"/>
        </w:rPr>
        <w:t>in the first six months of 2022 and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40F48DCF" w14:textId="77777777">
        <w:trPr>
          <w:divId w:val="1250042900"/>
          <w:jc w:val="center"/>
        </w:trPr>
        <w:tc>
          <w:tcPr>
            <w:tcW w:w="50" w:type="pct"/>
            <w:vAlign w:val="center"/>
            <w:hideMark/>
          </w:tcPr>
          <w:p w14:paraId="0DFDB581" w14:textId="77777777" w:rsidR="00000000" w:rsidRDefault="00A173A8">
            <w:pPr>
              <w:ind w:hanging="360"/>
              <w:jc w:val="both"/>
              <w:rPr>
                <w:rFonts w:eastAsia="Times New Roman"/>
              </w:rPr>
            </w:pPr>
          </w:p>
        </w:tc>
        <w:tc>
          <w:tcPr>
            <w:tcW w:w="1606" w:type="pct"/>
            <w:vAlign w:val="center"/>
            <w:hideMark/>
          </w:tcPr>
          <w:p w14:paraId="5928CDE9" w14:textId="77777777" w:rsidR="00000000" w:rsidRDefault="00A173A8">
            <w:pPr>
              <w:spacing w:after="100"/>
              <w:rPr>
                <w:rFonts w:eastAsia="Times New Roman"/>
                <w:sz w:val="20"/>
                <w:szCs w:val="20"/>
              </w:rPr>
            </w:pPr>
          </w:p>
        </w:tc>
        <w:tc>
          <w:tcPr>
            <w:tcW w:w="5" w:type="pct"/>
            <w:vAlign w:val="center"/>
            <w:hideMark/>
          </w:tcPr>
          <w:p w14:paraId="0D703864" w14:textId="77777777" w:rsidR="00000000" w:rsidRDefault="00A173A8">
            <w:pPr>
              <w:spacing w:after="100"/>
              <w:rPr>
                <w:rFonts w:eastAsia="Times New Roman"/>
                <w:sz w:val="20"/>
                <w:szCs w:val="20"/>
              </w:rPr>
            </w:pPr>
          </w:p>
        </w:tc>
        <w:tc>
          <w:tcPr>
            <w:tcW w:w="50" w:type="pct"/>
            <w:vAlign w:val="center"/>
            <w:hideMark/>
          </w:tcPr>
          <w:p w14:paraId="25301884" w14:textId="77777777" w:rsidR="00000000" w:rsidRDefault="00A173A8">
            <w:pPr>
              <w:spacing w:after="100"/>
              <w:rPr>
                <w:rFonts w:eastAsia="Times New Roman"/>
                <w:sz w:val="20"/>
                <w:szCs w:val="20"/>
              </w:rPr>
            </w:pPr>
          </w:p>
        </w:tc>
        <w:tc>
          <w:tcPr>
            <w:tcW w:w="1614" w:type="pct"/>
            <w:vAlign w:val="center"/>
            <w:hideMark/>
          </w:tcPr>
          <w:p w14:paraId="41293EAB" w14:textId="77777777" w:rsidR="00000000" w:rsidRDefault="00A173A8">
            <w:pPr>
              <w:spacing w:after="100"/>
              <w:rPr>
                <w:rFonts w:eastAsia="Times New Roman"/>
                <w:sz w:val="20"/>
                <w:szCs w:val="20"/>
              </w:rPr>
            </w:pPr>
          </w:p>
        </w:tc>
        <w:tc>
          <w:tcPr>
            <w:tcW w:w="5" w:type="pct"/>
            <w:vAlign w:val="center"/>
            <w:hideMark/>
          </w:tcPr>
          <w:p w14:paraId="6656013B" w14:textId="77777777" w:rsidR="00000000" w:rsidRDefault="00A173A8">
            <w:pPr>
              <w:spacing w:after="100"/>
              <w:rPr>
                <w:rFonts w:eastAsia="Times New Roman"/>
                <w:sz w:val="20"/>
                <w:szCs w:val="20"/>
              </w:rPr>
            </w:pPr>
          </w:p>
        </w:tc>
        <w:tc>
          <w:tcPr>
            <w:tcW w:w="50" w:type="pct"/>
            <w:vAlign w:val="center"/>
            <w:hideMark/>
          </w:tcPr>
          <w:p w14:paraId="0C7A2FD8" w14:textId="77777777" w:rsidR="00000000" w:rsidRDefault="00A173A8">
            <w:pPr>
              <w:spacing w:after="100"/>
              <w:rPr>
                <w:rFonts w:eastAsia="Times New Roman"/>
                <w:sz w:val="20"/>
                <w:szCs w:val="20"/>
              </w:rPr>
            </w:pPr>
          </w:p>
        </w:tc>
        <w:tc>
          <w:tcPr>
            <w:tcW w:w="1614" w:type="pct"/>
            <w:vAlign w:val="center"/>
            <w:hideMark/>
          </w:tcPr>
          <w:p w14:paraId="468A2B2A" w14:textId="77777777" w:rsidR="00000000" w:rsidRDefault="00A173A8">
            <w:pPr>
              <w:spacing w:after="100"/>
              <w:rPr>
                <w:rFonts w:eastAsia="Times New Roman"/>
                <w:sz w:val="20"/>
                <w:szCs w:val="20"/>
              </w:rPr>
            </w:pPr>
          </w:p>
        </w:tc>
        <w:tc>
          <w:tcPr>
            <w:tcW w:w="5" w:type="pct"/>
            <w:vAlign w:val="center"/>
            <w:hideMark/>
          </w:tcPr>
          <w:p w14:paraId="3DA6BEDA" w14:textId="77777777" w:rsidR="00000000" w:rsidRDefault="00A173A8">
            <w:pPr>
              <w:spacing w:after="100"/>
              <w:rPr>
                <w:rFonts w:eastAsia="Times New Roman"/>
                <w:sz w:val="20"/>
                <w:szCs w:val="20"/>
              </w:rPr>
            </w:pPr>
          </w:p>
        </w:tc>
      </w:tr>
      <w:tr w:rsidR="00000000" w14:paraId="395FA9E5" w14:textId="77777777">
        <w:trPr>
          <w:divId w:val="1250042900"/>
          <w:jc w:val="center"/>
        </w:trPr>
        <w:tc>
          <w:tcPr>
            <w:tcW w:w="0" w:type="auto"/>
            <w:gridSpan w:val="9"/>
            <w:tcMar>
              <w:top w:w="30" w:type="dxa"/>
              <w:left w:w="20" w:type="dxa"/>
              <w:bottom w:w="30" w:type="dxa"/>
              <w:right w:w="20" w:type="dxa"/>
            </w:tcMar>
            <w:vAlign w:val="bottom"/>
            <w:hideMark/>
          </w:tcPr>
          <w:p w14:paraId="00F10529" w14:textId="77777777" w:rsidR="00000000" w:rsidRDefault="00A173A8">
            <w:pPr>
              <w:spacing w:after="100"/>
              <w:jc w:val="center"/>
              <w:rPr>
                <w:rFonts w:eastAsia="Times New Roman"/>
              </w:rPr>
            </w:pPr>
            <w:r>
              <w:rPr>
                <w:rFonts w:eastAsia="Times New Roman"/>
                <w:color w:val="000000"/>
                <w:sz w:val="20"/>
                <w:szCs w:val="20"/>
              </w:rPr>
              <w:t>See Notes to Consolidated Financial Statements.</w:t>
            </w:r>
          </w:p>
        </w:tc>
      </w:tr>
      <w:tr w:rsidR="00000000" w14:paraId="4E6DFB1C" w14:textId="77777777">
        <w:trPr>
          <w:divId w:val="1250042900"/>
          <w:jc w:val="center"/>
        </w:trPr>
        <w:tc>
          <w:tcPr>
            <w:tcW w:w="0" w:type="auto"/>
            <w:gridSpan w:val="3"/>
            <w:tcMar>
              <w:top w:w="0" w:type="dxa"/>
              <w:left w:w="20" w:type="dxa"/>
              <w:bottom w:w="0" w:type="dxa"/>
              <w:right w:w="20" w:type="dxa"/>
            </w:tcMar>
            <w:vAlign w:val="center"/>
            <w:hideMark/>
          </w:tcPr>
          <w:p w14:paraId="26059248"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C99C2A" w14:textId="77777777" w:rsidR="00000000" w:rsidRDefault="00A173A8">
            <w:pPr>
              <w:spacing w:after="100"/>
              <w:jc w:val="center"/>
              <w:rPr>
                <w:rFonts w:eastAsia="Times New Roman"/>
              </w:rPr>
            </w:pPr>
            <w:r>
              <w:rPr>
                <w:rFonts w:eastAsia="Times New Roman"/>
                <w:color w:val="000000"/>
                <w:sz w:val="16"/>
                <w:szCs w:val="16"/>
              </w:rPr>
              <w:t>68</w:t>
            </w:r>
          </w:p>
        </w:tc>
        <w:tc>
          <w:tcPr>
            <w:tcW w:w="0" w:type="auto"/>
            <w:gridSpan w:val="3"/>
            <w:tcMar>
              <w:top w:w="30" w:type="dxa"/>
              <w:left w:w="20" w:type="dxa"/>
              <w:bottom w:w="30" w:type="dxa"/>
              <w:right w:w="20" w:type="dxa"/>
            </w:tcMar>
            <w:vAlign w:val="bottom"/>
            <w:hideMark/>
          </w:tcPr>
          <w:p w14:paraId="5778C016"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C474952" w14:textId="77777777" w:rsidR="00000000" w:rsidRDefault="00A173A8">
      <w:pPr>
        <w:rPr>
          <w:rFonts w:eastAsia="Times New Roman"/>
        </w:rPr>
      </w:pPr>
      <w:r>
        <w:rPr>
          <w:rFonts w:eastAsia="Times New Roman"/>
        </w:rPr>
        <w:pict w14:anchorId="6C8D2F71">
          <v:rect id="_x0000_i1093" style="width:0;height:1.5pt" o:hralign="center" o:hrstd="t" o:hr="t" fillcolor="#a0a0a0" stroked="f"/>
        </w:pict>
      </w:r>
    </w:p>
    <w:p w14:paraId="05D4BB10" w14:textId="77777777" w:rsidR="00000000" w:rsidRDefault="00A173A8">
      <w:pPr>
        <w:jc w:val="both"/>
        <w:divId w:val="217404966"/>
        <w:rPr>
          <w:rFonts w:eastAsia="Times New Roman"/>
        </w:rPr>
      </w:pPr>
      <w:hyperlink w:anchor="i7ffd5d61af6f4722b1b1b07530d51c06_13" w:history="1">
        <w:r>
          <w:rPr>
            <w:rStyle w:val="a3"/>
            <w:rFonts w:eastAsia="Times New Roman"/>
            <w:sz w:val="16"/>
            <w:szCs w:val="16"/>
          </w:rPr>
          <w:t>Table of Contents</w:t>
        </w:r>
      </w:hyperlink>
    </w:p>
    <w:p w14:paraId="4D191A6C" w14:textId="77777777" w:rsidR="00000000" w:rsidRDefault="00A173A8">
      <w:pPr>
        <w:jc w:val="center"/>
        <w:divId w:val="217404966"/>
        <w:rPr>
          <w:rFonts w:eastAsia="Times New Roman"/>
        </w:rPr>
      </w:pPr>
    </w:p>
    <w:p w14:paraId="57177142" w14:textId="77777777" w:rsidR="00000000" w:rsidRDefault="00A173A8">
      <w:pPr>
        <w:jc w:val="center"/>
        <w:divId w:val="217404966"/>
        <w:rPr>
          <w:rFonts w:eastAsia="Times New Roman"/>
        </w:rPr>
      </w:pPr>
      <w:r>
        <w:rPr>
          <w:rFonts w:eastAsia="Times New Roman"/>
          <w:b/>
          <w:bCs/>
          <w:color w:val="000000"/>
          <w:sz w:val="20"/>
          <w:szCs w:val="20"/>
        </w:rPr>
        <w:t>CAPITAL ONE FINANCIAL CORPORATION</w:t>
      </w:r>
    </w:p>
    <w:p w14:paraId="3960CA84" w14:textId="77777777" w:rsidR="00000000" w:rsidRDefault="00A173A8">
      <w:pPr>
        <w:jc w:val="center"/>
        <w:divId w:val="217404966"/>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503"/>
        <w:gridCol w:w="39"/>
        <w:gridCol w:w="36"/>
        <w:gridCol w:w="36"/>
        <w:gridCol w:w="36"/>
        <w:gridCol w:w="101"/>
        <w:gridCol w:w="1008"/>
        <w:gridCol w:w="36"/>
        <w:gridCol w:w="36"/>
        <w:gridCol w:w="36"/>
        <w:gridCol w:w="36"/>
        <w:gridCol w:w="101"/>
        <w:gridCol w:w="1009"/>
        <w:gridCol w:w="36"/>
        <w:gridCol w:w="36"/>
        <w:gridCol w:w="36"/>
        <w:gridCol w:w="36"/>
        <w:gridCol w:w="36"/>
        <w:gridCol w:w="36"/>
        <w:gridCol w:w="36"/>
      </w:tblGrid>
      <w:tr w:rsidR="00000000" w14:paraId="322F877E" w14:textId="77777777">
        <w:trPr>
          <w:divId w:val="1358772218"/>
        </w:trPr>
        <w:tc>
          <w:tcPr>
            <w:tcW w:w="50" w:type="pct"/>
            <w:vAlign w:val="center"/>
            <w:hideMark/>
          </w:tcPr>
          <w:p w14:paraId="5146061D" w14:textId="77777777" w:rsidR="00000000" w:rsidRDefault="00A173A8">
            <w:pPr>
              <w:jc w:val="center"/>
              <w:rPr>
                <w:rFonts w:eastAsia="Times New Roman"/>
              </w:rPr>
            </w:pPr>
          </w:p>
        </w:tc>
        <w:tc>
          <w:tcPr>
            <w:tcW w:w="3424" w:type="pct"/>
            <w:vAlign w:val="center"/>
            <w:hideMark/>
          </w:tcPr>
          <w:p w14:paraId="0665706A" w14:textId="77777777" w:rsidR="00000000" w:rsidRDefault="00A173A8">
            <w:pPr>
              <w:spacing w:after="100"/>
              <w:rPr>
                <w:rFonts w:eastAsia="Times New Roman"/>
                <w:sz w:val="20"/>
                <w:szCs w:val="20"/>
              </w:rPr>
            </w:pPr>
          </w:p>
        </w:tc>
        <w:tc>
          <w:tcPr>
            <w:tcW w:w="5" w:type="pct"/>
            <w:vAlign w:val="center"/>
            <w:hideMark/>
          </w:tcPr>
          <w:p w14:paraId="7C9638DE" w14:textId="77777777" w:rsidR="00000000" w:rsidRDefault="00A173A8">
            <w:pPr>
              <w:spacing w:after="100"/>
              <w:rPr>
                <w:rFonts w:eastAsia="Times New Roman"/>
                <w:sz w:val="20"/>
                <w:szCs w:val="20"/>
              </w:rPr>
            </w:pPr>
          </w:p>
        </w:tc>
        <w:tc>
          <w:tcPr>
            <w:tcW w:w="5" w:type="pct"/>
            <w:vAlign w:val="center"/>
            <w:hideMark/>
          </w:tcPr>
          <w:p w14:paraId="2A109CDA" w14:textId="77777777" w:rsidR="00000000" w:rsidRDefault="00A173A8">
            <w:pPr>
              <w:spacing w:after="100"/>
              <w:rPr>
                <w:rFonts w:eastAsia="Times New Roman"/>
                <w:sz w:val="20"/>
                <w:szCs w:val="20"/>
              </w:rPr>
            </w:pPr>
          </w:p>
        </w:tc>
        <w:tc>
          <w:tcPr>
            <w:tcW w:w="26" w:type="pct"/>
            <w:vAlign w:val="center"/>
            <w:hideMark/>
          </w:tcPr>
          <w:p w14:paraId="5A5E28F1" w14:textId="77777777" w:rsidR="00000000" w:rsidRDefault="00A173A8">
            <w:pPr>
              <w:spacing w:after="100"/>
              <w:rPr>
                <w:rFonts w:eastAsia="Times New Roman"/>
                <w:sz w:val="20"/>
                <w:szCs w:val="20"/>
              </w:rPr>
            </w:pPr>
          </w:p>
        </w:tc>
        <w:tc>
          <w:tcPr>
            <w:tcW w:w="5" w:type="pct"/>
            <w:vAlign w:val="center"/>
            <w:hideMark/>
          </w:tcPr>
          <w:p w14:paraId="695585E8" w14:textId="77777777" w:rsidR="00000000" w:rsidRDefault="00A173A8">
            <w:pPr>
              <w:spacing w:after="100"/>
              <w:rPr>
                <w:rFonts w:eastAsia="Times New Roman"/>
                <w:sz w:val="20"/>
                <w:szCs w:val="20"/>
              </w:rPr>
            </w:pPr>
          </w:p>
        </w:tc>
        <w:tc>
          <w:tcPr>
            <w:tcW w:w="50" w:type="pct"/>
            <w:vAlign w:val="center"/>
            <w:hideMark/>
          </w:tcPr>
          <w:p w14:paraId="10FF05C0" w14:textId="77777777" w:rsidR="00000000" w:rsidRDefault="00A173A8">
            <w:pPr>
              <w:spacing w:after="100"/>
              <w:rPr>
                <w:rFonts w:eastAsia="Times New Roman"/>
                <w:sz w:val="20"/>
                <w:szCs w:val="20"/>
              </w:rPr>
            </w:pPr>
          </w:p>
        </w:tc>
        <w:tc>
          <w:tcPr>
            <w:tcW w:w="668" w:type="pct"/>
            <w:vAlign w:val="center"/>
            <w:hideMark/>
          </w:tcPr>
          <w:p w14:paraId="228C62E1" w14:textId="77777777" w:rsidR="00000000" w:rsidRDefault="00A173A8">
            <w:pPr>
              <w:spacing w:after="100"/>
              <w:rPr>
                <w:rFonts w:eastAsia="Times New Roman"/>
                <w:sz w:val="20"/>
                <w:szCs w:val="20"/>
              </w:rPr>
            </w:pPr>
          </w:p>
        </w:tc>
        <w:tc>
          <w:tcPr>
            <w:tcW w:w="5" w:type="pct"/>
            <w:vAlign w:val="center"/>
            <w:hideMark/>
          </w:tcPr>
          <w:p w14:paraId="7EBA1A31" w14:textId="77777777" w:rsidR="00000000" w:rsidRDefault="00A173A8">
            <w:pPr>
              <w:spacing w:after="100"/>
              <w:rPr>
                <w:rFonts w:eastAsia="Times New Roman"/>
                <w:sz w:val="20"/>
                <w:szCs w:val="20"/>
              </w:rPr>
            </w:pPr>
          </w:p>
        </w:tc>
        <w:tc>
          <w:tcPr>
            <w:tcW w:w="5" w:type="pct"/>
            <w:vAlign w:val="center"/>
            <w:hideMark/>
          </w:tcPr>
          <w:p w14:paraId="448BBC71" w14:textId="77777777" w:rsidR="00000000" w:rsidRDefault="00A173A8">
            <w:pPr>
              <w:spacing w:after="100"/>
              <w:rPr>
                <w:rFonts w:eastAsia="Times New Roman"/>
                <w:sz w:val="20"/>
                <w:szCs w:val="20"/>
              </w:rPr>
            </w:pPr>
          </w:p>
        </w:tc>
        <w:tc>
          <w:tcPr>
            <w:tcW w:w="26" w:type="pct"/>
            <w:vAlign w:val="center"/>
            <w:hideMark/>
          </w:tcPr>
          <w:p w14:paraId="3FC91198" w14:textId="77777777" w:rsidR="00000000" w:rsidRDefault="00A173A8">
            <w:pPr>
              <w:spacing w:after="100"/>
              <w:rPr>
                <w:rFonts w:eastAsia="Times New Roman"/>
                <w:sz w:val="20"/>
                <w:szCs w:val="20"/>
              </w:rPr>
            </w:pPr>
          </w:p>
        </w:tc>
        <w:tc>
          <w:tcPr>
            <w:tcW w:w="5" w:type="pct"/>
            <w:vAlign w:val="center"/>
            <w:hideMark/>
          </w:tcPr>
          <w:p w14:paraId="1FB4C631" w14:textId="77777777" w:rsidR="00000000" w:rsidRDefault="00A173A8">
            <w:pPr>
              <w:spacing w:after="100"/>
              <w:rPr>
                <w:rFonts w:eastAsia="Times New Roman"/>
                <w:sz w:val="20"/>
                <w:szCs w:val="20"/>
              </w:rPr>
            </w:pPr>
          </w:p>
        </w:tc>
        <w:tc>
          <w:tcPr>
            <w:tcW w:w="50" w:type="pct"/>
            <w:vAlign w:val="center"/>
            <w:hideMark/>
          </w:tcPr>
          <w:p w14:paraId="752414B3" w14:textId="77777777" w:rsidR="00000000" w:rsidRDefault="00A173A8">
            <w:pPr>
              <w:spacing w:after="100"/>
              <w:rPr>
                <w:rFonts w:eastAsia="Times New Roman"/>
                <w:sz w:val="20"/>
                <w:szCs w:val="20"/>
              </w:rPr>
            </w:pPr>
          </w:p>
        </w:tc>
        <w:tc>
          <w:tcPr>
            <w:tcW w:w="668" w:type="pct"/>
            <w:vAlign w:val="center"/>
            <w:hideMark/>
          </w:tcPr>
          <w:p w14:paraId="043AFB23" w14:textId="77777777" w:rsidR="00000000" w:rsidRDefault="00A173A8">
            <w:pPr>
              <w:spacing w:after="100"/>
              <w:rPr>
                <w:rFonts w:eastAsia="Times New Roman"/>
                <w:sz w:val="20"/>
                <w:szCs w:val="20"/>
              </w:rPr>
            </w:pPr>
          </w:p>
        </w:tc>
        <w:tc>
          <w:tcPr>
            <w:tcW w:w="5" w:type="pct"/>
            <w:vAlign w:val="center"/>
            <w:hideMark/>
          </w:tcPr>
          <w:p w14:paraId="65C1149A" w14:textId="77777777" w:rsidR="00000000" w:rsidRDefault="00A173A8">
            <w:pPr>
              <w:spacing w:after="100"/>
              <w:rPr>
                <w:rFonts w:eastAsia="Times New Roman"/>
                <w:sz w:val="20"/>
                <w:szCs w:val="20"/>
              </w:rPr>
            </w:pPr>
          </w:p>
        </w:tc>
        <w:tc>
          <w:tcPr>
            <w:tcW w:w="0" w:type="auto"/>
            <w:gridSpan w:val="3"/>
            <w:vAlign w:val="center"/>
            <w:hideMark/>
          </w:tcPr>
          <w:p w14:paraId="3B403C33" w14:textId="77777777" w:rsidR="00000000" w:rsidRDefault="00A173A8">
            <w:pPr>
              <w:spacing w:after="100"/>
              <w:rPr>
                <w:rFonts w:eastAsia="Times New Roman"/>
                <w:sz w:val="20"/>
                <w:szCs w:val="20"/>
              </w:rPr>
            </w:pPr>
          </w:p>
        </w:tc>
        <w:tc>
          <w:tcPr>
            <w:tcW w:w="0" w:type="auto"/>
            <w:gridSpan w:val="3"/>
            <w:vAlign w:val="center"/>
            <w:hideMark/>
          </w:tcPr>
          <w:p w14:paraId="2A524BB7" w14:textId="77777777" w:rsidR="00000000" w:rsidRDefault="00A173A8">
            <w:pPr>
              <w:spacing w:after="100"/>
              <w:rPr>
                <w:rFonts w:eastAsia="Times New Roman"/>
                <w:sz w:val="20"/>
                <w:szCs w:val="20"/>
              </w:rPr>
            </w:pPr>
          </w:p>
        </w:tc>
      </w:tr>
      <w:tr w:rsidR="00000000" w14:paraId="3BBD71CF" w14:textId="77777777">
        <w:trPr>
          <w:divId w:val="1358772218"/>
        </w:trPr>
        <w:tc>
          <w:tcPr>
            <w:tcW w:w="0" w:type="auto"/>
            <w:gridSpan w:val="3"/>
            <w:tcMar>
              <w:top w:w="0" w:type="dxa"/>
              <w:left w:w="20" w:type="dxa"/>
              <w:bottom w:w="0" w:type="dxa"/>
              <w:right w:w="20" w:type="dxa"/>
            </w:tcMar>
            <w:vAlign w:val="center"/>
            <w:hideMark/>
          </w:tcPr>
          <w:p w14:paraId="646DC8B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B9C316"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0B7DFC16"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gridSpan w:val="3"/>
            <w:vAlign w:val="center"/>
            <w:hideMark/>
          </w:tcPr>
          <w:p w14:paraId="7B3C8A57" w14:textId="77777777" w:rsidR="00000000" w:rsidRDefault="00A173A8">
            <w:pPr>
              <w:spacing w:after="100"/>
              <w:jc w:val="center"/>
              <w:rPr>
                <w:rFonts w:eastAsia="Times New Roman"/>
              </w:rPr>
            </w:pPr>
          </w:p>
        </w:tc>
        <w:tc>
          <w:tcPr>
            <w:tcW w:w="0" w:type="auto"/>
            <w:gridSpan w:val="3"/>
            <w:vAlign w:val="center"/>
            <w:hideMark/>
          </w:tcPr>
          <w:p w14:paraId="5C942E34" w14:textId="77777777" w:rsidR="00000000" w:rsidRDefault="00A173A8">
            <w:pPr>
              <w:spacing w:after="100"/>
              <w:rPr>
                <w:rFonts w:eastAsia="Times New Roman"/>
                <w:sz w:val="20"/>
                <w:szCs w:val="20"/>
              </w:rPr>
            </w:pPr>
          </w:p>
        </w:tc>
      </w:tr>
      <w:tr w:rsidR="00000000" w14:paraId="0CDC58AC" w14:textId="77777777">
        <w:trPr>
          <w:divId w:val="1358772218"/>
        </w:trPr>
        <w:tc>
          <w:tcPr>
            <w:tcW w:w="0" w:type="auto"/>
            <w:gridSpan w:val="3"/>
            <w:tcMar>
              <w:top w:w="30" w:type="dxa"/>
              <w:left w:w="20" w:type="dxa"/>
              <w:bottom w:w="30" w:type="dxa"/>
              <w:right w:w="20" w:type="dxa"/>
            </w:tcMar>
            <w:vAlign w:val="center"/>
            <w:hideMark/>
          </w:tcPr>
          <w:p w14:paraId="6DC3E1C5" w14:textId="77777777" w:rsidR="00000000" w:rsidRDefault="00A173A8">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14:paraId="0EB93F07"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3B397C7"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BD29BE3"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69B33133"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1A735449" w14:textId="77777777" w:rsidR="00000000" w:rsidRDefault="00A173A8">
            <w:pPr>
              <w:spacing w:after="100"/>
              <w:jc w:val="center"/>
              <w:rPr>
                <w:rFonts w:eastAsia="Times New Roman"/>
              </w:rPr>
            </w:pPr>
          </w:p>
        </w:tc>
        <w:tc>
          <w:tcPr>
            <w:tcW w:w="0" w:type="auto"/>
            <w:gridSpan w:val="3"/>
            <w:vAlign w:val="center"/>
            <w:hideMark/>
          </w:tcPr>
          <w:p w14:paraId="5575376E" w14:textId="77777777" w:rsidR="00000000" w:rsidRDefault="00A173A8">
            <w:pPr>
              <w:spacing w:after="100"/>
              <w:rPr>
                <w:rFonts w:eastAsia="Times New Roman"/>
                <w:sz w:val="20"/>
                <w:szCs w:val="20"/>
              </w:rPr>
            </w:pPr>
          </w:p>
        </w:tc>
      </w:tr>
      <w:tr w:rsidR="00000000" w14:paraId="61F253EF" w14:textId="77777777">
        <w:trPr>
          <w:divId w:val="135877221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C426C90" w14:textId="77777777" w:rsidR="00000000" w:rsidRDefault="00A173A8">
            <w:pPr>
              <w:spacing w:after="100"/>
              <w:rPr>
                <w:rFonts w:eastAsia="Times New Roman"/>
              </w:rPr>
            </w:pPr>
            <w:r>
              <w:rPr>
                <w:rFonts w:eastAsia="Times New Roman"/>
                <w:b/>
                <w:bCs/>
                <w:color w:val="000000"/>
                <w:sz w:val="16"/>
                <w:szCs w:val="16"/>
              </w:rPr>
              <w:t>Operating activities:</w:t>
            </w:r>
          </w:p>
        </w:tc>
        <w:tc>
          <w:tcPr>
            <w:tcW w:w="0" w:type="auto"/>
            <w:gridSpan w:val="3"/>
            <w:shd w:val="clear" w:color="auto" w:fill="CCEEFF"/>
            <w:tcMar>
              <w:top w:w="0" w:type="dxa"/>
              <w:left w:w="20" w:type="dxa"/>
              <w:bottom w:w="0" w:type="dxa"/>
              <w:right w:w="20" w:type="dxa"/>
            </w:tcMar>
            <w:vAlign w:val="center"/>
            <w:hideMark/>
          </w:tcPr>
          <w:p w14:paraId="1B4BC55A"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DEDD0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D2D68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7D93C0" w14:textId="77777777" w:rsidR="00000000" w:rsidRDefault="00A173A8">
            <w:pPr>
              <w:spacing w:after="100"/>
              <w:rPr>
                <w:rFonts w:eastAsia="Times New Roman"/>
                <w:sz w:val="20"/>
                <w:szCs w:val="20"/>
              </w:rPr>
            </w:pPr>
          </w:p>
        </w:tc>
        <w:tc>
          <w:tcPr>
            <w:tcW w:w="0" w:type="auto"/>
            <w:gridSpan w:val="3"/>
            <w:vAlign w:val="center"/>
            <w:hideMark/>
          </w:tcPr>
          <w:p w14:paraId="4799ECE3" w14:textId="77777777" w:rsidR="00000000" w:rsidRDefault="00A173A8">
            <w:pPr>
              <w:spacing w:after="100"/>
              <w:rPr>
                <w:rFonts w:eastAsia="Times New Roman"/>
                <w:sz w:val="20"/>
                <w:szCs w:val="20"/>
              </w:rPr>
            </w:pPr>
          </w:p>
        </w:tc>
        <w:tc>
          <w:tcPr>
            <w:tcW w:w="0" w:type="auto"/>
            <w:gridSpan w:val="3"/>
            <w:vAlign w:val="center"/>
            <w:hideMark/>
          </w:tcPr>
          <w:p w14:paraId="7721ACE2" w14:textId="77777777" w:rsidR="00000000" w:rsidRDefault="00A173A8">
            <w:pPr>
              <w:spacing w:after="100"/>
              <w:rPr>
                <w:rFonts w:eastAsia="Times New Roman"/>
                <w:sz w:val="20"/>
                <w:szCs w:val="20"/>
              </w:rPr>
            </w:pPr>
          </w:p>
        </w:tc>
      </w:tr>
      <w:tr w:rsidR="00000000" w14:paraId="2F6ADED4" w14:textId="77777777">
        <w:trPr>
          <w:divId w:val="1358772218"/>
        </w:trPr>
        <w:tc>
          <w:tcPr>
            <w:tcW w:w="0" w:type="auto"/>
            <w:gridSpan w:val="3"/>
            <w:shd w:val="clear" w:color="auto" w:fill="FFFFFF"/>
            <w:tcMar>
              <w:top w:w="30" w:type="dxa"/>
              <w:left w:w="20" w:type="dxa"/>
              <w:bottom w:w="30" w:type="dxa"/>
              <w:right w:w="20" w:type="dxa"/>
            </w:tcMar>
            <w:vAlign w:val="center"/>
            <w:hideMark/>
          </w:tcPr>
          <w:p w14:paraId="288ADF27" w14:textId="77777777" w:rsidR="00000000" w:rsidRDefault="00A173A8">
            <w:pPr>
              <w:spacing w:after="100"/>
              <w:rPr>
                <w:rFonts w:eastAsia="Times New Roman"/>
              </w:rPr>
            </w:pPr>
            <w:r>
              <w:rPr>
                <w:rFonts w:eastAsia="Times New Roman"/>
                <w:color w:val="000000"/>
                <w:sz w:val="16"/>
                <w:szCs w:val="16"/>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14:paraId="729FA126"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0F621AB"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14:paraId="2D76887F" w14:textId="77777777" w:rsidR="00000000" w:rsidRDefault="00A173A8">
            <w:pPr>
              <w:spacing w:after="100"/>
              <w:jc w:val="right"/>
              <w:rPr>
                <w:rFonts w:eastAsia="Times New Roman"/>
              </w:rPr>
            </w:pPr>
            <w:r>
              <w:rPr>
                <w:rFonts w:eastAsia="Times New Roman"/>
                <w:b/>
                <w:bCs/>
                <w:color w:val="000000"/>
                <w:sz w:val="16"/>
                <w:szCs w:val="16"/>
              </w:rPr>
              <w:t>4,434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75F2E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53C4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D3777BE"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14:paraId="63F99414" w14:textId="77777777" w:rsidR="00000000" w:rsidRDefault="00A173A8">
            <w:pPr>
              <w:spacing w:after="100"/>
              <w:jc w:val="right"/>
              <w:rPr>
                <w:rFonts w:eastAsia="Times New Roman"/>
              </w:rPr>
            </w:pPr>
            <w:r>
              <w:rPr>
                <w:rFonts w:eastAsia="Times New Roman"/>
                <w:color w:val="000000"/>
                <w:sz w:val="16"/>
                <w:szCs w:val="16"/>
              </w:rPr>
              <w:t>6,864 </w:t>
            </w:r>
          </w:p>
        </w:tc>
        <w:tc>
          <w:tcPr>
            <w:tcW w:w="0" w:type="auto"/>
            <w:shd w:val="clear" w:color="auto" w:fill="FFFFFF"/>
            <w:tcMar>
              <w:top w:w="30" w:type="dxa"/>
              <w:left w:w="0" w:type="dxa"/>
              <w:bottom w:w="30" w:type="dxa"/>
              <w:right w:w="20" w:type="dxa"/>
            </w:tcMar>
            <w:vAlign w:val="center"/>
            <w:hideMark/>
          </w:tcPr>
          <w:p w14:paraId="78B2BE38" w14:textId="77777777" w:rsidR="00000000" w:rsidRDefault="00A173A8">
            <w:pPr>
              <w:spacing w:after="100"/>
              <w:jc w:val="right"/>
              <w:rPr>
                <w:rFonts w:eastAsia="Times New Roman"/>
              </w:rPr>
            </w:pPr>
          </w:p>
        </w:tc>
        <w:tc>
          <w:tcPr>
            <w:tcW w:w="0" w:type="auto"/>
            <w:gridSpan w:val="3"/>
            <w:vAlign w:val="center"/>
            <w:hideMark/>
          </w:tcPr>
          <w:p w14:paraId="7C386D51" w14:textId="77777777" w:rsidR="00000000" w:rsidRDefault="00A173A8">
            <w:pPr>
              <w:spacing w:after="100"/>
              <w:jc w:val="right"/>
              <w:rPr>
                <w:rFonts w:eastAsia="Times New Roman"/>
                <w:sz w:val="20"/>
                <w:szCs w:val="20"/>
              </w:rPr>
            </w:pPr>
          </w:p>
        </w:tc>
        <w:tc>
          <w:tcPr>
            <w:tcW w:w="0" w:type="auto"/>
            <w:gridSpan w:val="3"/>
            <w:vAlign w:val="center"/>
            <w:hideMark/>
          </w:tcPr>
          <w:p w14:paraId="1BC6A9C0" w14:textId="77777777" w:rsidR="00000000" w:rsidRDefault="00A173A8">
            <w:pPr>
              <w:spacing w:after="100"/>
              <w:rPr>
                <w:rFonts w:eastAsia="Times New Roman"/>
                <w:sz w:val="20"/>
                <w:szCs w:val="20"/>
              </w:rPr>
            </w:pPr>
          </w:p>
        </w:tc>
      </w:tr>
      <w:tr w:rsidR="00000000" w14:paraId="6277269E" w14:textId="77777777">
        <w:trPr>
          <w:divId w:val="1358772218"/>
        </w:trPr>
        <w:tc>
          <w:tcPr>
            <w:tcW w:w="0" w:type="auto"/>
            <w:gridSpan w:val="3"/>
            <w:shd w:val="clear" w:color="auto" w:fill="CCEEFF"/>
            <w:tcMar>
              <w:top w:w="30" w:type="dxa"/>
              <w:left w:w="20" w:type="dxa"/>
              <w:bottom w:w="30" w:type="dxa"/>
              <w:right w:w="20" w:type="dxa"/>
            </w:tcMar>
            <w:vAlign w:val="center"/>
            <w:hideMark/>
          </w:tcPr>
          <w:p w14:paraId="31F327B5" w14:textId="77777777" w:rsidR="00000000" w:rsidRDefault="00A173A8">
            <w:pPr>
              <w:spacing w:after="100"/>
              <w:rPr>
                <w:rFonts w:eastAsia="Times New Roman"/>
              </w:rPr>
            </w:pPr>
            <w:r>
              <w:rPr>
                <w:rFonts w:eastAsia="Times New Roman"/>
                <w:color w:val="000000"/>
                <w:sz w:val="16"/>
                <w:szCs w:val="16"/>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14:paraId="5847298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D11645B"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F43CD0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C5FF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99DD26" w14:textId="77777777" w:rsidR="00000000" w:rsidRDefault="00A173A8">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center"/>
            <w:hideMark/>
          </w:tcPr>
          <w:p w14:paraId="77C5B58C" w14:textId="77777777" w:rsidR="00000000" w:rsidRDefault="00A173A8">
            <w:pPr>
              <w:spacing w:after="100"/>
              <w:jc w:val="right"/>
              <w:rPr>
                <w:rFonts w:eastAsia="Times New Roman"/>
              </w:rPr>
            </w:pPr>
          </w:p>
        </w:tc>
        <w:tc>
          <w:tcPr>
            <w:tcW w:w="0" w:type="auto"/>
            <w:gridSpan w:val="3"/>
            <w:vAlign w:val="center"/>
            <w:hideMark/>
          </w:tcPr>
          <w:p w14:paraId="76D2A548" w14:textId="77777777" w:rsidR="00000000" w:rsidRDefault="00A173A8">
            <w:pPr>
              <w:spacing w:after="100"/>
              <w:jc w:val="right"/>
              <w:rPr>
                <w:rFonts w:eastAsia="Times New Roman"/>
                <w:sz w:val="20"/>
                <w:szCs w:val="20"/>
              </w:rPr>
            </w:pPr>
          </w:p>
        </w:tc>
        <w:tc>
          <w:tcPr>
            <w:tcW w:w="0" w:type="auto"/>
            <w:gridSpan w:val="3"/>
            <w:vAlign w:val="center"/>
            <w:hideMark/>
          </w:tcPr>
          <w:p w14:paraId="0A1BAAE1" w14:textId="77777777" w:rsidR="00000000" w:rsidRDefault="00A173A8">
            <w:pPr>
              <w:spacing w:after="100"/>
              <w:rPr>
                <w:rFonts w:eastAsia="Times New Roman"/>
                <w:sz w:val="20"/>
                <w:szCs w:val="20"/>
              </w:rPr>
            </w:pPr>
          </w:p>
        </w:tc>
      </w:tr>
      <w:tr w:rsidR="00000000" w14:paraId="0F7172DC" w14:textId="77777777">
        <w:trPr>
          <w:divId w:val="1358772218"/>
        </w:trPr>
        <w:tc>
          <w:tcPr>
            <w:tcW w:w="0" w:type="auto"/>
            <w:gridSpan w:val="3"/>
            <w:shd w:val="clear" w:color="auto" w:fill="FFFFFF"/>
            <w:tcMar>
              <w:top w:w="30" w:type="dxa"/>
              <w:left w:w="20" w:type="dxa"/>
              <w:bottom w:w="30" w:type="dxa"/>
              <w:right w:w="20" w:type="dxa"/>
            </w:tcMar>
            <w:vAlign w:val="center"/>
            <w:hideMark/>
          </w:tcPr>
          <w:p w14:paraId="10117409" w14:textId="77777777" w:rsidR="00000000" w:rsidRDefault="00A173A8">
            <w:pPr>
              <w:spacing w:after="100"/>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14:paraId="089D41AF"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3ED83D5" w14:textId="77777777" w:rsidR="00000000" w:rsidRDefault="00A173A8">
            <w:pPr>
              <w:spacing w:after="100"/>
              <w:jc w:val="right"/>
              <w:rPr>
                <w:rFonts w:eastAsia="Times New Roman"/>
              </w:rPr>
            </w:pPr>
            <w:r>
              <w:rPr>
                <w:rFonts w:eastAsia="Times New Roman"/>
                <w:b/>
                <w:bCs/>
                <w:color w:val="000000"/>
                <w:sz w:val="16"/>
                <w:szCs w:val="16"/>
              </w:rPr>
              <w:t>4,434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9E7512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0352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0A41507" w14:textId="77777777" w:rsidR="00000000" w:rsidRDefault="00A173A8">
            <w:pPr>
              <w:spacing w:after="100"/>
              <w:jc w:val="right"/>
              <w:rPr>
                <w:rFonts w:eastAsia="Times New Roman"/>
              </w:rPr>
            </w:pPr>
            <w:r>
              <w:rPr>
                <w:rFonts w:eastAsia="Times New Roman"/>
                <w:color w:val="000000"/>
                <w:sz w:val="16"/>
                <w:szCs w:val="16"/>
              </w:rPr>
              <w:t>6,861 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1C76AAF" w14:textId="77777777" w:rsidR="00000000" w:rsidRDefault="00A173A8">
            <w:pPr>
              <w:spacing w:after="100"/>
              <w:jc w:val="right"/>
              <w:rPr>
                <w:rFonts w:eastAsia="Times New Roman"/>
              </w:rPr>
            </w:pPr>
          </w:p>
        </w:tc>
        <w:tc>
          <w:tcPr>
            <w:tcW w:w="0" w:type="auto"/>
            <w:gridSpan w:val="3"/>
            <w:vAlign w:val="center"/>
            <w:hideMark/>
          </w:tcPr>
          <w:p w14:paraId="6A549DCE" w14:textId="77777777" w:rsidR="00000000" w:rsidRDefault="00A173A8">
            <w:pPr>
              <w:spacing w:after="100"/>
              <w:jc w:val="right"/>
              <w:rPr>
                <w:rFonts w:eastAsia="Times New Roman"/>
                <w:sz w:val="20"/>
                <w:szCs w:val="20"/>
              </w:rPr>
            </w:pPr>
          </w:p>
        </w:tc>
        <w:tc>
          <w:tcPr>
            <w:tcW w:w="0" w:type="auto"/>
            <w:gridSpan w:val="3"/>
            <w:vAlign w:val="center"/>
            <w:hideMark/>
          </w:tcPr>
          <w:p w14:paraId="4B36C6B2" w14:textId="77777777" w:rsidR="00000000" w:rsidRDefault="00A173A8">
            <w:pPr>
              <w:spacing w:after="100"/>
              <w:rPr>
                <w:rFonts w:eastAsia="Times New Roman"/>
                <w:sz w:val="20"/>
                <w:szCs w:val="20"/>
              </w:rPr>
            </w:pPr>
          </w:p>
        </w:tc>
      </w:tr>
      <w:tr w:rsidR="00000000" w14:paraId="668F2200" w14:textId="77777777">
        <w:trPr>
          <w:divId w:val="1358772218"/>
        </w:trPr>
        <w:tc>
          <w:tcPr>
            <w:tcW w:w="0" w:type="auto"/>
            <w:gridSpan w:val="3"/>
            <w:shd w:val="clear" w:color="auto" w:fill="CCEEFF"/>
            <w:tcMar>
              <w:top w:w="30" w:type="dxa"/>
              <w:left w:w="20" w:type="dxa"/>
              <w:bottom w:w="30" w:type="dxa"/>
              <w:right w:w="20" w:type="dxa"/>
            </w:tcMar>
            <w:vAlign w:val="center"/>
            <w:hideMark/>
          </w:tcPr>
          <w:p w14:paraId="0E500D62" w14:textId="77777777" w:rsidR="00000000" w:rsidRDefault="00A173A8">
            <w:pPr>
              <w:spacing w:after="100"/>
              <w:rPr>
                <w:rFonts w:eastAsia="Times New Roman"/>
              </w:rPr>
            </w:pPr>
            <w:r>
              <w:rPr>
                <w:rFonts w:eastAsia="Times New Roman"/>
                <w:color w:val="000000"/>
                <w:sz w:val="16"/>
                <w:szCs w:val="16"/>
              </w:rPr>
              <w:t>Adjustments to reconcile net income (loss) to net cash from operating activities:</w:t>
            </w:r>
          </w:p>
        </w:tc>
        <w:tc>
          <w:tcPr>
            <w:tcW w:w="0" w:type="auto"/>
            <w:gridSpan w:val="3"/>
            <w:shd w:val="clear" w:color="auto" w:fill="CCEEFF"/>
            <w:tcMar>
              <w:top w:w="0" w:type="dxa"/>
              <w:left w:w="20" w:type="dxa"/>
              <w:bottom w:w="0" w:type="dxa"/>
              <w:right w:w="20" w:type="dxa"/>
            </w:tcMar>
            <w:vAlign w:val="center"/>
            <w:hideMark/>
          </w:tcPr>
          <w:p w14:paraId="301E2991"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2D65A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A1D0E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D7CC7D" w14:textId="77777777" w:rsidR="00000000" w:rsidRDefault="00A173A8">
            <w:pPr>
              <w:spacing w:after="100"/>
              <w:rPr>
                <w:rFonts w:eastAsia="Times New Roman"/>
                <w:sz w:val="20"/>
                <w:szCs w:val="20"/>
              </w:rPr>
            </w:pPr>
          </w:p>
        </w:tc>
        <w:tc>
          <w:tcPr>
            <w:tcW w:w="0" w:type="auto"/>
            <w:gridSpan w:val="3"/>
            <w:vAlign w:val="center"/>
            <w:hideMark/>
          </w:tcPr>
          <w:p w14:paraId="1BCCB573" w14:textId="77777777" w:rsidR="00000000" w:rsidRDefault="00A173A8">
            <w:pPr>
              <w:spacing w:after="100"/>
              <w:rPr>
                <w:rFonts w:eastAsia="Times New Roman"/>
                <w:sz w:val="20"/>
                <w:szCs w:val="20"/>
              </w:rPr>
            </w:pPr>
          </w:p>
        </w:tc>
        <w:tc>
          <w:tcPr>
            <w:tcW w:w="0" w:type="auto"/>
            <w:gridSpan w:val="3"/>
            <w:vAlign w:val="center"/>
            <w:hideMark/>
          </w:tcPr>
          <w:p w14:paraId="1759AEAF" w14:textId="77777777" w:rsidR="00000000" w:rsidRDefault="00A173A8">
            <w:pPr>
              <w:spacing w:after="100"/>
              <w:rPr>
                <w:rFonts w:eastAsia="Times New Roman"/>
                <w:sz w:val="20"/>
                <w:szCs w:val="20"/>
              </w:rPr>
            </w:pPr>
          </w:p>
        </w:tc>
      </w:tr>
      <w:tr w:rsidR="00000000" w14:paraId="09ED66FE" w14:textId="77777777">
        <w:trPr>
          <w:divId w:val="1358772218"/>
        </w:trPr>
        <w:tc>
          <w:tcPr>
            <w:tcW w:w="0" w:type="auto"/>
            <w:gridSpan w:val="3"/>
            <w:shd w:val="clear" w:color="auto" w:fill="FFFFFF"/>
            <w:tcMar>
              <w:top w:w="30" w:type="dxa"/>
              <w:left w:w="245" w:type="dxa"/>
              <w:bottom w:w="30" w:type="dxa"/>
              <w:right w:w="20" w:type="dxa"/>
            </w:tcMar>
            <w:vAlign w:val="center"/>
            <w:hideMark/>
          </w:tcPr>
          <w:p w14:paraId="1C183D35" w14:textId="77777777" w:rsidR="00000000" w:rsidRDefault="00A173A8">
            <w:pPr>
              <w:spacing w:after="100"/>
              <w:rPr>
                <w:rFonts w:eastAsia="Times New Roman"/>
              </w:rPr>
            </w:pPr>
            <w:r>
              <w:rPr>
                <w:rFonts w:eastAsia="Times New Roman"/>
                <w:color w:val="000000"/>
                <w:sz w:val="16"/>
                <w:szCs w:val="16"/>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68F0E09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BE5B003" w14:textId="77777777" w:rsidR="00000000" w:rsidRDefault="00A173A8">
            <w:pPr>
              <w:spacing w:after="100"/>
              <w:jc w:val="right"/>
              <w:rPr>
                <w:rFonts w:eastAsia="Times New Roman"/>
              </w:rPr>
            </w:pPr>
            <w:r>
              <w:rPr>
                <w:rFonts w:eastAsia="Times New Roman"/>
                <w:b/>
                <w:bCs/>
                <w:color w:val="000000"/>
                <w:sz w:val="16"/>
                <w:szCs w:val="16"/>
              </w:rPr>
              <w:t>1,762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59E602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B4B6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E96239" w14:textId="77777777" w:rsidR="00000000" w:rsidRDefault="00A173A8">
            <w:pPr>
              <w:spacing w:after="100"/>
              <w:jc w:val="right"/>
              <w:rPr>
                <w:rFonts w:eastAsia="Times New Roman"/>
              </w:rPr>
            </w:pPr>
            <w:r>
              <w:rPr>
                <w:rFonts w:eastAsia="Times New Roman"/>
                <w:color w:val="000000"/>
                <w:sz w:val="16"/>
                <w:szCs w:val="16"/>
              </w:rPr>
              <w:t>(1,983)</w:t>
            </w:r>
          </w:p>
        </w:tc>
        <w:tc>
          <w:tcPr>
            <w:tcW w:w="0" w:type="auto"/>
            <w:shd w:val="clear" w:color="auto" w:fill="FFFFFF"/>
            <w:tcMar>
              <w:top w:w="30" w:type="dxa"/>
              <w:left w:w="0" w:type="dxa"/>
              <w:bottom w:w="30" w:type="dxa"/>
              <w:right w:w="20" w:type="dxa"/>
            </w:tcMar>
            <w:vAlign w:val="center"/>
            <w:hideMark/>
          </w:tcPr>
          <w:p w14:paraId="5E6A0570" w14:textId="77777777" w:rsidR="00000000" w:rsidRDefault="00A173A8">
            <w:pPr>
              <w:spacing w:after="100"/>
              <w:jc w:val="right"/>
              <w:rPr>
                <w:rFonts w:eastAsia="Times New Roman"/>
              </w:rPr>
            </w:pPr>
          </w:p>
        </w:tc>
        <w:tc>
          <w:tcPr>
            <w:tcW w:w="0" w:type="auto"/>
            <w:gridSpan w:val="3"/>
            <w:vAlign w:val="center"/>
            <w:hideMark/>
          </w:tcPr>
          <w:p w14:paraId="245F86A3" w14:textId="77777777" w:rsidR="00000000" w:rsidRDefault="00A173A8">
            <w:pPr>
              <w:spacing w:after="100"/>
              <w:jc w:val="right"/>
              <w:rPr>
                <w:rFonts w:eastAsia="Times New Roman"/>
                <w:sz w:val="20"/>
                <w:szCs w:val="20"/>
              </w:rPr>
            </w:pPr>
          </w:p>
        </w:tc>
        <w:tc>
          <w:tcPr>
            <w:tcW w:w="0" w:type="auto"/>
            <w:gridSpan w:val="3"/>
            <w:vAlign w:val="center"/>
            <w:hideMark/>
          </w:tcPr>
          <w:p w14:paraId="7FBCD2BC" w14:textId="77777777" w:rsidR="00000000" w:rsidRDefault="00A173A8">
            <w:pPr>
              <w:spacing w:after="100"/>
              <w:rPr>
                <w:rFonts w:eastAsia="Times New Roman"/>
                <w:sz w:val="20"/>
                <w:szCs w:val="20"/>
              </w:rPr>
            </w:pPr>
          </w:p>
        </w:tc>
      </w:tr>
      <w:tr w:rsidR="00000000" w14:paraId="1CBF9E48" w14:textId="77777777">
        <w:trPr>
          <w:divId w:val="1358772218"/>
        </w:trPr>
        <w:tc>
          <w:tcPr>
            <w:tcW w:w="0" w:type="auto"/>
            <w:gridSpan w:val="3"/>
            <w:shd w:val="clear" w:color="auto" w:fill="CCEEFF"/>
            <w:tcMar>
              <w:top w:w="30" w:type="dxa"/>
              <w:left w:w="245" w:type="dxa"/>
              <w:bottom w:w="30" w:type="dxa"/>
              <w:right w:w="20" w:type="dxa"/>
            </w:tcMar>
            <w:vAlign w:val="center"/>
            <w:hideMark/>
          </w:tcPr>
          <w:p w14:paraId="7394D8F1" w14:textId="77777777" w:rsidR="00000000" w:rsidRDefault="00A173A8">
            <w:pPr>
              <w:spacing w:after="100"/>
              <w:rPr>
                <w:rFonts w:eastAsia="Times New Roman"/>
              </w:rPr>
            </w:pPr>
            <w:r>
              <w:rPr>
                <w:rFonts w:eastAsia="Times New Roman"/>
                <w:color w:val="000000"/>
                <w:sz w:val="16"/>
                <w:szCs w:val="16"/>
              </w:rPr>
              <w:t>Depreciation and amortization, net</w:t>
            </w:r>
          </w:p>
        </w:tc>
        <w:tc>
          <w:tcPr>
            <w:tcW w:w="0" w:type="auto"/>
            <w:gridSpan w:val="3"/>
            <w:shd w:val="clear" w:color="auto" w:fill="CCEEFF"/>
            <w:tcMar>
              <w:top w:w="0" w:type="dxa"/>
              <w:left w:w="20" w:type="dxa"/>
              <w:bottom w:w="0" w:type="dxa"/>
              <w:right w:w="20" w:type="dxa"/>
            </w:tcMar>
            <w:vAlign w:val="center"/>
            <w:hideMark/>
          </w:tcPr>
          <w:p w14:paraId="3053780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D2FB248" w14:textId="77777777" w:rsidR="00000000" w:rsidRDefault="00A173A8">
            <w:pPr>
              <w:spacing w:after="100"/>
              <w:jc w:val="right"/>
              <w:rPr>
                <w:rFonts w:eastAsia="Times New Roman"/>
              </w:rPr>
            </w:pPr>
            <w:r>
              <w:rPr>
                <w:rFonts w:eastAsia="Times New Roman"/>
                <w:b/>
                <w:bCs/>
                <w:color w:val="000000"/>
                <w:sz w:val="16"/>
                <w:szCs w:val="16"/>
              </w:rPr>
              <w:t>1,623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9D727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563A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9CDB41" w14:textId="77777777" w:rsidR="00000000" w:rsidRDefault="00A173A8">
            <w:pPr>
              <w:spacing w:after="100"/>
              <w:jc w:val="right"/>
              <w:rPr>
                <w:rFonts w:eastAsia="Times New Roman"/>
              </w:rPr>
            </w:pPr>
            <w:r>
              <w:rPr>
                <w:rFonts w:eastAsia="Times New Roman"/>
                <w:color w:val="000000"/>
                <w:sz w:val="16"/>
                <w:szCs w:val="16"/>
              </w:rPr>
              <w:t>1,714 </w:t>
            </w:r>
          </w:p>
        </w:tc>
        <w:tc>
          <w:tcPr>
            <w:tcW w:w="0" w:type="auto"/>
            <w:shd w:val="clear" w:color="auto" w:fill="CCEEFF"/>
            <w:tcMar>
              <w:top w:w="30" w:type="dxa"/>
              <w:left w:w="0" w:type="dxa"/>
              <w:bottom w:w="30" w:type="dxa"/>
              <w:right w:w="20" w:type="dxa"/>
            </w:tcMar>
            <w:vAlign w:val="center"/>
            <w:hideMark/>
          </w:tcPr>
          <w:p w14:paraId="0D94216F" w14:textId="77777777" w:rsidR="00000000" w:rsidRDefault="00A173A8">
            <w:pPr>
              <w:spacing w:after="100"/>
              <w:jc w:val="right"/>
              <w:rPr>
                <w:rFonts w:eastAsia="Times New Roman"/>
              </w:rPr>
            </w:pPr>
          </w:p>
        </w:tc>
        <w:tc>
          <w:tcPr>
            <w:tcW w:w="0" w:type="auto"/>
            <w:gridSpan w:val="3"/>
            <w:vAlign w:val="center"/>
            <w:hideMark/>
          </w:tcPr>
          <w:p w14:paraId="06D36A7B" w14:textId="77777777" w:rsidR="00000000" w:rsidRDefault="00A173A8">
            <w:pPr>
              <w:spacing w:after="100"/>
              <w:jc w:val="right"/>
              <w:rPr>
                <w:rFonts w:eastAsia="Times New Roman"/>
                <w:sz w:val="20"/>
                <w:szCs w:val="20"/>
              </w:rPr>
            </w:pPr>
          </w:p>
        </w:tc>
        <w:tc>
          <w:tcPr>
            <w:tcW w:w="0" w:type="auto"/>
            <w:gridSpan w:val="3"/>
            <w:vAlign w:val="center"/>
            <w:hideMark/>
          </w:tcPr>
          <w:p w14:paraId="77A8AB46" w14:textId="77777777" w:rsidR="00000000" w:rsidRDefault="00A173A8">
            <w:pPr>
              <w:spacing w:after="100"/>
              <w:rPr>
                <w:rFonts w:eastAsia="Times New Roman"/>
                <w:sz w:val="20"/>
                <w:szCs w:val="20"/>
              </w:rPr>
            </w:pPr>
          </w:p>
        </w:tc>
      </w:tr>
      <w:tr w:rsidR="00000000" w14:paraId="4F7E7959" w14:textId="77777777">
        <w:trPr>
          <w:divId w:val="1358772218"/>
        </w:trPr>
        <w:tc>
          <w:tcPr>
            <w:tcW w:w="0" w:type="auto"/>
            <w:gridSpan w:val="3"/>
            <w:shd w:val="clear" w:color="auto" w:fill="FFFFFF"/>
            <w:tcMar>
              <w:top w:w="30" w:type="dxa"/>
              <w:left w:w="245" w:type="dxa"/>
              <w:bottom w:w="30" w:type="dxa"/>
              <w:right w:w="20" w:type="dxa"/>
            </w:tcMar>
            <w:vAlign w:val="center"/>
            <w:hideMark/>
          </w:tcPr>
          <w:p w14:paraId="7E2801C0" w14:textId="77777777" w:rsidR="00000000" w:rsidRDefault="00A173A8">
            <w:pPr>
              <w:spacing w:after="100"/>
              <w:rPr>
                <w:rFonts w:eastAsia="Times New Roman"/>
              </w:rPr>
            </w:pPr>
            <w:r>
              <w:rPr>
                <w:rFonts w:eastAsia="Times New Roman"/>
                <w:color w:val="000000"/>
                <w:sz w:val="16"/>
                <w:szCs w:val="16"/>
              </w:rPr>
              <w:t>Deferred tax provision (benefit)</w:t>
            </w:r>
          </w:p>
        </w:tc>
        <w:tc>
          <w:tcPr>
            <w:tcW w:w="0" w:type="auto"/>
            <w:gridSpan w:val="3"/>
            <w:shd w:val="clear" w:color="auto" w:fill="FFFFFF"/>
            <w:tcMar>
              <w:top w:w="0" w:type="dxa"/>
              <w:left w:w="20" w:type="dxa"/>
              <w:bottom w:w="0" w:type="dxa"/>
              <w:right w:w="20" w:type="dxa"/>
            </w:tcMar>
            <w:vAlign w:val="center"/>
            <w:hideMark/>
          </w:tcPr>
          <w:p w14:paraId="5FD81B8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A5291F" w14:textId="77777777" w:rsidR="00000000" w:rsidRDefault="00A173A8">
            <w:pPr>
              <w:spacing w:after="100"/>
              <w:jc w:val="right"/>
              <w:rPr>
                <w:rFonts w:eastAsia="Times New Roman"/>
              </w:rPr>
            </w:pPr>
            <w:r>
              <w:rPr>
                <w:rFonts w:eastAsia="Times New Roman"/>
                <w:b/>
                <w:bCs/>
                <w:color w:val="000000"/>
                <w:sz w:val="16"/>
                <w:szCs w:val="16"/>
              </w:rPr>
              <w:t>(11)</w:t>
            </w:r>
          </w:p>
        </w:tc>
        <w:tc>
          <w:tcPr>
            <w:tcW w:w="0" w:type="auto"/>
            <w:shd w:val="clear" w:color="auto" w:fill="FFFFFF"/>
            <w:tcMar>
              <w:top w:w="30" w:type="dxa"/>
              <w:left w:w="0" w:type="dxa"/>
              <w:bottom w:w="30" w:type="dxa"/>
              <w:right w:w="20" w:type="dxa"/>
            </w:tcMar>
            <w:vAlign w:val="center"/>
            <w:hideMark/>
          </w:tcPr>
          <w:p w14:paraId="5B272F4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D864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25C5D5" w14:textId="77777777" w:rsidR="00000000" w:rsidRDefault="00A173A8">
            <w:pPr>
              <w:spacing w:after="100"/>
              <w:jc w:val="right"/>
              <w:rPr>
                <w:rFonts w:eastAsia="Times New Roman"/>
              </w:rPr>
            </w:pPr>
            <w:r>
              <w:rPr>
                <w:rFonts w:eastAsia="Times New Roman"/>
                <w:color w:val="000000"/>
                <w:sz w:val="16"/>
                <w:szCs w:val="16"/>
              </w:rPr>
              <w:t>574 </w:t>
            </w:r>
          </w:p>
        </w:tc>
        <w:tc>
          <w:tcPr>
            <w:tcW w:w="0" w:type="auto"/>
            <w:shd w:val="clear" w:color="auto" w:fill="FFFFFF"/>
            <w:tcMar>
              <w:top w:w="30" w:type="dxa"/>
              <w:left w:w="0" w:type="dxa"/>
              <w:bottom w:w="30" w:type="dxa"/>
              <w:right w:w="20" w:type="dxa"/>
            </w:tcMar>
            <w:vAlign w:val="center"/>
            <w:hideMark/>
          </w:tcPr>
          <w:p w14:paraId="0A236D60" w14:textId="77777777" w:rsidR="00000000" w:rsidRDefault="00A173A8">
            <w:pPr>
              <w:spacing w:after="100"/>
              <w:jc w:val="right"/>
              <w:rPr>
                <w:rFonts w:eastAsia="Times New Roman"/>
              </w:rPr>
            </w:pPr>
          </w:p>
        </w:tc>
        <w:tc>
          <w:tcPr>
            <w:tcW w:w="0" w:type="auto"/>
            <w:gridSpan w:val="3"/>
            <w:vAlign w:val="center"/>
            <w:hideMark/>
          </w:tcPr>
          <w:p w14:paraId="0C27AC0F" w14:textId="77777777" w:rsidR="00000000" w:rsidRDefault="00A173A8">
            <w:pPr>
              <w:spacing w:after="100"/>
              <w:jc w:val="right"/>
              <w:rPr>
                <w:rFonts w:eastAsia="Times New Roman"/>
                <w:sz w:val="20"/>
                <w:szCs w:val="20"/>
              </w:rPr>
            </w:pPr>
          </w:p>
        </w:tc>
        <w:tc>
          <w:tcPr>
            <w:tcW w:w="0" w:type="auto"/>
            <w:gridSpan w:val="3"/>
            <w:vAlign w:val="center"/>
            <w:hideMark/>
          </w:tcPr>
          <w:p w14:paraId="6900670E" w14:textId="77777777" w:rsidR="00000000" w:rsidRDefault="00A173A8">
            <w:pPr>
              <w:spacing w:after="100"/>
              <w:rPr>
                <w:rFonts w:eastAsia="Times New Roman"/>
                <w:sz w:val="20"/>
                <w:szCs w:val="20"/>
              </w:rPr>
            </w:pPr>
          </w:p>
        </w:tc>
      </w:tr>
      <w:tr w:rsidR="00000000" w14:paraId="25C1084B" w14:textId="77777777">
        <w:trPr>
          <w:divId w:val="1358772218"/>
        </w:trPr>
        <w:tc>
          <w:tcPr>
            <w:tcW w:w="0" w:type="auto"/>
            <w:gridSpan w:val="3"/>
            <w:shd w:val="clear" w:color="auto" w:fill="CCEEFF"/>
            <w:tcMar>
              <w:top w:w="30" w:type="dxa"/>
              <w:left w:w="245" w:type="dxa"/>
              <w:bottom w:w="30" w:type="dxa"/>
              <w:right w:w="20" w:type="dxa"/>
            </w:tcMar>
            <w:vAlign w:val="center"/>
            <w:hideMark/>
          </w:tcPr>
          <w:p w14:paraId="42022F70" w14:textId="77777777" w:rsidR="00000000" w:rsidRDefault="00A173A8">
            <w:pPr>
              <w:spacing w:after="100"/>
              <w:rPr>
                <w:rFonts w:eastAsia="Times New Roman"/>
              </w:rPr>
            </w:pPr>
            <w:r>
              <w:rPr>
                <w:rFonts w:eastAsia="Times New Roman"/>
                <w:color w:val="000000"/>
                <w:sz w:val="16"/>
                <w:szCs w:val="16"/>
              </w:rPr>
              <w:t>Net securities losses (gains)</w:t>
            </w:r>
          </w:p>
        </w:tc>
        <w:tc>
          <w:tcPr>
            <w:tcW w:w="0" w:type="auto"/>
            <w:gridSpan w:val="3"/>
            <w:shd w:val="clear" w:color="auto" w:fill="CCEEFF"/>
            <w:tcMar>
              <w:top w:w="0" w:type="dxa"/>
              <w:left w:w="20" w:type="dxa"/>
              <w:bottom w:w="0" w:type="dxa"/>
              <w:right w:w="20" w:type="dxa"/>
            </w:tcMar>
            <w:vAlign w:val="center"/>
            <w:hideMark/>
          </w:tcPr>
          <w:p w14:paraId="68E2A8F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A77E371" w14:textId="77777777" w:rsidR="00000000" w:rsidRDefault="00A173A8">
            <w:pPr>
              <w:spacing w:after="100"/>
              <w:jc w:val="right"/>
              <w:rPr>
                <w:rFonts w:eastAsia="Times New Roman"/>
              </w:rPr>
            </w:pPr>
            <w:r>
              <w:rPr>
                <w:rFonts w:eastAsia="Times New Roman"/>
                <w:b/>
                <w:bCs/>
                <w:color w:val="000000"/>
                <w:sz w:val="16"/>
                <w:szCs w:val="16"/>
              </w:rPr>
              <w:t>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445D413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C9D2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467CEC" w14:textId="77777777" w:rsidR="00000000" w:rsidRDefault="00A173A8">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center"/>
            <w:hideMark/>
          </w:tcPr>
          <w:p w14:paraId="1A333EB5" w14:textId="77777777" w:rsidR="00000000" w:rsidRDefault="00A173A8">
            <w:pPr>
              <w:spacing w:after="100"/>
              <w:jc w:val="right"/>
              <w:rPr>
                <w:rFonts w:eastAsia="Times New Roman"/>
              </w:rPr>
            </w:pPr>
          </w:p>
        </w:tc>
        <w:tc>
          <w:tcPr>
            <w:tcW w:w="0" w:type="auto"/>
            <w:gridSpan w:val="3"/>
            <w:vAlign w:val="center"/>
            <w:hideMark/>
          </w:tcPr>
          <w:p w14:paraId="3AF9587B" w14:textId="77777777" w:rsidR="00000000" w:rsidRDefault="00A173A8">
            <w:pPr>
              <w:spacing w:after="100"/>
              <w:jc w:val="right"/>
              <w:rPr>
                <w:rFonts w:eastAsia="Times New Roman"/>
                <w:sz w:val="20"/>
                <w:szCs w:val="20"/>
              </w:rPr>
            </w:pPr>
          </w:p>
        </w:tc>
        <w:tc>
          <w:tcPr>
            <w:tcW w:w="0" w:type="auto"/>
            <w:gridSpan w:val="3"/>
            <w:vAlign w:val="center"/>
            <w:hideMark/>
          </w:tcPr>
          <w:p w14:paraId="0AC43F67" w14:textId="77777777" w:rsidR="00000000" w:rsidRDefault="00A173A8">
            <w:pPr>
              <w:spacing w:after="100"/>
              <w:rPr>
                <w:rFonts w:eastAsia="Times New Roman"/>
                <w:sz w:val="20"/>
                <w:szCs w:val="20"/>
              </w:rPr>
            </w:pPr>
          </w:p>
        </w:tc>
      </w:tr>
      <w:tr w:rsidR="00000000" w14:paraId="75D9E1E1" w14:textId="77777777">
        <w:trPr>
          <w:divId w:val="1358772218"/>
        </w:trPr>
        <w:tc>
          <w:tcPr>
            <w:tcW w:w="0" w:type="auto"/>
            <w:gridSpan w:val="3"/>
            <w:shd w:val="clear" w:color="auto" w:fill="FFFFFF"/>
            <w:tcMar>
              <w:top w:w="30" w:type="dxa"/>
              <w:left w:w="245" w:type="dxa"/>
              <w:bottom w:w="30" w:type="dxa"/>
              <w:right w:w="20" w:type="dxa"/>
            </w:tcMar>
            <w:vAlign w:val="center"/>
            <w:hideMark/>
          </w:tcPr>
          <w:p w14:paraId="7967EFB9" w14:textId="77777777" w:rsidR="00000000" w:rsidRDefault="00A173A8">
            <w:pPr>
              <w:spacing w:after="100"/>
              <w:rPr>
                <w:rFonts w:eastAsia="Times New Roman"/>
              </w:rPr>
            </w:pPr>
            <w:r>
              <w:rPr>
                <w:rFonts w:eastAsia="Times New Roman"/>
                <w:color w:val="000000"/>
                <w:sz w:val="16"/>
                <w:szCs w:val="16"/>
              </w:rPr>
              <w:t>Gain on sales of loans</w:t>
            </w:r>
          </w:p>
        </w:tc>
        <w:tc>
          <w:tcPr>
            <w:tcW w:w="0" w:type="auto"/>
            <w:gridSpan w:val="3"/>
            <w:shd w:val="clear" w:color="auto" w:fill="FFFFFF"/>
            <w:tcMar>
              <w:top w:w="0" w:type="dxa"/>
              <w:left w:w="20" w:type="dxa"/>
              <w:bottom w:w="0" w:type="dxa"/>
              <w:right w:w="20" w:type="dxa"/>
            </w:tcMar>
            <w:vAlign w:val="center"/>
            <w:hideMark/>
          </w:tcPr>
          <w:p w14:paraId="23647B2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0D647A2" w14:textId="77777777" w:rsidR="00000000" w:rsidRDefault="00A173A8">
            <w:pPr>
              <w:spacing w:after="100"/>
              <w:jc w:val="right"/>
              <w:rPr>
                <w:rFonts w:eastAsia="Times New Roman"/>
              </w:rPr>
            </w:pPr>
            <w:r>
              <w:rPr>
                <w:rFonts w:eastAsia="Times New Roman"/>
                <w:b/>
                <w:bCs/>
                <w:color w:val="000000"/>
                <w:sz w:val="16"/>
                <w:szCs w:val="16"/>
              </w:rPr>
              <w:t>(181)</w:t>
            </w:r>
          </w:p>
        </w:tc>
        <w:tc>
          <w:tcPr>
            <w:tcW w:w="0" w:type="auto"/>
            <w:shd w:val="clear" w:color="auto" w:fill="FFFFFF"/>
            <w:tcMar>
              <w:top w:w="30" w:type="dxa"/>
              <w:left w:w="0" w:type="dxa"/>
              <w:bottom w:w="30" w:type="dxa"/>
              <w:right w:w="20" w:type="dxa"/>
            </w:tcMar>
            <w:vAlign w:val="center"/>
            <w:hideMark/>
          </w:tcPr>
          <w:p w14:paraId="17870D5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75CE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5400C2" w14:textId="77777777" w:rsidR="00000000" w:rsidRDefault="00A173A8">
            <w:pPr>
              <w:spacing w:after="100"/>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center"/>
            <w:hideMark/>
          </w:tcPr>
          <w:p w14:paraId="0BADC91A" w14:textId="77777777" w:rsidR="00000000" w:rsidRDefault="00A173A8">
            <w:pPr>
              <w:spacing w:after="100"/>
              <w:jc w:val="right"/>
              <w:rPr>
                <w:rFonts w:eastAsia="Times New Roman"/>
              </w:rPr>
            </w:pPr>
          </w:p>
        </w:tc>
        <w:tc>
          <w:tcPr>
            <w:tcW w:w="0" w:type="auto"/>
            <w:gridSpan w:val="3"/>
            <w:vAlign w:val="center"/>
            <w:hideMark/>
          </w:tcPr>
          <w:p w14:paraId="2508ADE2" w14:textId="77777777" w:rsidR="00000000" w:rsidRDefault="00A173A8">
            <w:pPr>
              <w:spacing w:after="100"/>
              <w:jc w:val="right"/>
              <w:rPr>
                <w:rFonts w:eastAsia="Times New Roman"/>
                <w:sz w:val="20"/>
                <w:szCs w:val="20"/>
              </w:rPr>
            </w:pPr>
          </w:p>
        </w:tc>
        <w:tc>
          <w:tcPr>
            <w:tcW w:w="0" w:type="auto"/>
            <w:gridSpan w:val="3"/>
            <w:vAlign w:val="center"/>
            <w:hideMark/>
          </w:tcPr>
          <w:p w14:paraId="59037CDC" w14:textId="77777777" w:rsidR="00000000" w:rsidRDefault="00A173A8">
            <w:pPr>
              <w:spacing w:after="100"/>
              <w:rPr>
                <w:rFonts w:eastAsia="Times New Roman"/>
                <w:sz w:val="20"/>
                <w:szCs w:val="20"/>
              </w:rPr>
            </w:pPr>
          </w:p>
        </w:tc>
      </w:tr>
      <w:tr w:rsidR="00000000" w14:paraId="5E12A0DC" w14:textId="77777777">
        <w:trPr>
          <w:divId w:val="1358772218"/>
        </w:trPr>
        <w:tc>
          <w:tcPr>
            <w:tcW w:w="0" w:type="auto"/>
            <w:gridSpan w:val="3"/>
            <w:shd w:val="clear" w:color="auto" w:fill="CCEEFF"/>
            <w:tcMar>
              <w:top w:w="30" w:type="dxa"/>
              <w:left w:w="245" w:type="dxa"/>
              <w:bottom w:w="30" w:type="dxa"/>
              <w:right w:w="20" w:type="dxa"/>
            </w:tcMar>
            <w:vAlign w:val="center"/>
            <w:hideMark/>
          </w:tcPr>
          <w:p w14:paraId="42BB6C66" w14:textId="77777777" w:rsidR="00000000" w:rsidRDefault="00A173A8">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14:paraId="2B3A620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9D0036E" w14:textId="77777777" w:rsidR="00000000" w:rsidRDefault="00A173A8">
            <w:pPr>
              <w:spacing w:after="100"/>
              <w:jc w:val="right"/>
              <w:rPr>
                <w:rFonts w:eastAsia="Times New Roman"/>
              </w:rPr>
            </w:pPr>
            <w:r>
              <w:rPr>
                <w:rFonts w:eastAsia="Times New Roman"/>
                <w:b/>
                <w:bCs/>
                <w:color w:val="000000"/>
                <w:sz w:val="16"/>
                <w:szCs w:val="16"/>
              </w:rPr>
              <w:t>172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C207F1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B826A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B02006" w14:textId="77777777" w:rsidR="00000000" w:rsidRDefault="00A173A8">
            <w:pPr>
              <w:spacing w:after="100"/>
              <w:jc w:val="right"/>
              <w:rPr>
                <w:rFonts w:eastAsia="Times New Roman"/>
              </w:rPr>
            </w:pPr>
            <w:r>
              <w:rPr>
                <w:rFonts w:eastAsia="Times New Roman"/>
                <w:color w:val="000000"/>
                <w:sz w:val="16"/>
                <w:szCs w:val="16"/>
              </w:rPr>
              <w:t>206 </w:t>
            </w:r>
          </w:p>
        </w:tc>
        <w:tc>
          <w:tcPr>
            <w:tcW w:w="0" w:type="auto"/>
            <w:shd w:val="clear" w:color="auto" w:fill="CCEEFF"/>
            <w:tcMar>
              <w:top w:w="30" w:type="dxa"/>
              <w:left w:w="0" w:type="dxa"/>
              <w:bottom w:w="30" w:type="dxa"/>
              <w:right w:w="20" w:type="dxa"/>
            </w:tcMar>
            <w:vAlign w:val="center"/>
            <w:hideMark/>
          </w:tcPr>
          <w:p w14:paraId="33C95EF9" w14:textId="77777777" w:rsidR="00000000" w:rsidRDefault="00A173A8">
            <w:pPr>
              <w:spacing w:after="100"/>
              <w:jc w:val="right"/>
              <w:rPr>
                <w:rFonts w:eastAsia="Times New Roman"/>
              </w:rPr>
            </w:pPr>
          </w:p>
        </w:tc>
        <w:tc>
          <w:tcPr>
            <w:tcW w:w="0" w:type="auto"/>
            <w:gridSpan w:val="3"/>
            <w:vAlign w:val="center"/>
            <w:hideMark/>
          </w:tcPr>
          <w:p w14:paraId="4F4D334C" w14:textId="77777777" w:rsidR="00000000" w:rsidRDefault="00A173A8">
            <w:pPr>
              <w:spacing w:after="100"/>
              <w:jc w:val="right"/>
              <w:rPr>
                <w:rFonts w:eastAsia="Times New Roman"/>
                <w:sz w:val="20"/>
                <w:szCs w:val="20"/>
              </w:rPr>
            </w:pPr>
          </w:p>
        </w:tc>
        <w:tc>
          <w:tcPr>
            <w:tcW w:w="0" w:type="auto"/>
            <w:gridSpan w:val="3"/>
            <w:vAlign w:val="center"/>
            <w:hideMark/>
          </w:tcPr>
          <w:p w14:paraId="5FB5D754" w14:textId="77777777" w:rsidR="00000000" w:rsidRDefault="00A173A8">
            <w:pPr>
              <w:spacing w:after="100"/>
              <w:rPr>
                <w:rFonts w:eastAsia="Times New Roman"/>
                <w:sz w:val="20"/>
                <w:szCs w:val="20"/>
              </w:rPr>
            </w:pPr>
          </w:p>
        </w:tc>
      </w:tr>
      <w:tr w:rsidR="00000000" w14:paraId="618BFA1B" w14:textId="77777777">
        <w:trPr>
          <w:divId w:val="1358772218"/>
        </w:trPr>
        <w:tc>
          <w:tcPr>
            <w:tcW w:w="0" w:type="auto"/>
            <w:gridSpan w:val="3"/>
            <w:shd w:val="clear" w:color="auto" w:fill="FFFFFF"/>
            <w:tcMar>
              <w:top w:w="30" w:type="dxa"/>
              <w:left w:w="245" w:type="dxa"/>
              <w:bottom w:w="30" w:type="dxa"/>
              <w:right w:w="20" w:type="dxa"/>
            </w:tcMar>
            <w:vAlign w:val="center"/>
            <w:hideMark/>
          </w:tcPr>
          <w:p w14:paraId="0BB1EE9E" w14:textId="77777777" w:rsidR="00000000" w:rsidRDefault="00A173A8">
            <w:pPr>
              <w:spacing w:after="100"/>
              <w:rPr>
                <w:rFonts w:eastAsia="Times New Roman"/>
              </w:rPr>
            </w:pPr>
            <w:r>
              <w:rPr>
                <w:rFonts w:eastAsia="Times New Roman"/>
                <w:color w:val="000000"/>
                <w:sz w:val="16"/>
                <w:szCs w:val="16"/>
              </w:rPr>
              <w:t>Other (including (gains) and losses from equity investments)</w:t>
            </w:r>
          </w:p>
        </w:tc>
        <w:tc>
          <w:tcPr>
            <w:tcW w:w="0" w:type="auto"/>
            <w:gridSpan w:val="3"/>
            <w:shd w:val="clear" w:color="auto" w:fill="FFFFFF"/>
            <w:tcMar>
              <w:top w:w="0" w:type="dxa"/>
              <w:left w:w="20" w:type="dxa"/>
              <w:bottom w:w="0" w:type="dxa"/>
              <w:right w:w="20" w:type="dxa"/>
            </w:tcMar>
            <w:vAlign w:val="center"/>
            <w:hideMark/>
          </w:tcPr>
          <w:p w14:paraId="441BDCF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BF7F691" w14:textId="77777777" w:rsidR="00000000" w:rsidRDefault="00A173A8">
            <w:pPr>
              <w:spacing w:after="100"/>
              <w:jc w:val="right"/>
              <w:rPr>
                <w:rFonts w:eastAsia="Times New Roman"/>
              </w:rPr>
            </w:pPr>
            <w:r>
              <w:rPr>
                <w:rFonts w:eastAsia="Times New Roman"/>
                <w:b/>
                <w:bCs/>
                <w:color w:val="000000"/>
                <w:sz w:val="16"/>
                <w:szCs w:val="16"/>
              </w:rPr>
              <w:t>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2BB23E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5CCE8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6CC047" w14:textId="77777777" w:rsidR="00000000" w:rsidRDefault="00A173A8">
            <w:pPr>
              <w:spacing w:after="100"/>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center"/>
            <w:hideMark/>
          </w:tcPr>
          <w:p w14:paraId="0E194175" w14:textId="77777777" w:rsidR="00000000" w:rsidRDefault="00A173A8">
            <w:pPr>
              <w:spacing w:after="100"/>
              <w:jc w:val="right"/>
              <w:rPr>
                <w:rFonts w:eastAsia="Times New Roman"/>
              </w:rPr>
            </w:pPr>
          </w:p>
        </w:tc>
        <w:tc>
          <w:tcPr>
            <w:tcW w:w="0" w:type="auto"/>
            <w:gridSpan w:val="3"/>
            <w:vAlign w:val="center"/>
            <w:hideMark/>
          </w:tcPr>
          <w:p w14:paraId="79F0DAED" w14:textId="77777777" w:rsidR="00000000" w:rsidRDefault="00A173A8">
            <w:pPr>
              <w:spacing w:after="100"/>
              <w:jc w:val="right"/>
              <w:rPr>
                <w:rFonts w:eastAsia="Times New Roman"/>
                <w:sz w:val="20"/>
                <w:szCs w:val="20"/>
              </w:rPr>
            </w:pPr>
          </w:p>
        </w:tc>
        <w:tc>
          <w:tcPr>
            <w:tcW w:w="0" w:type="auto"/>
            <w:gridSpan w:val="3"/>
            <w:vAlign w:val="center"/>
            <w:hideMark/>
          </w:tcPr>
          <w:p w14:paraId="280BA37F" w14:textId="77777777" w:rsidR="00000000" w:rsidRDefault="00A173A8">
            <w:pPr>
              <w:spacing w:after="100"/>
              <w:rPr>
                <w:rFonts w:eastAsia="Times New Roman"/>
                <w:sz w:val="20"/>
                <w:szCs w:val="20"/>
              </w:rPr>
            </w:pPr>
          </w:p>
        </w:tc>
      </w:tr>
      <w:tr w:rsidR="00000000" w14:paraId="3F140D3E" w14:textId="77777777">
        <w:trPr>
          <w:divId w:val="1358772218"/>
        </w:trPr>
        <w:tc>
          <w:tcPr>
            <w:tcW w:w="0" w:type="auto"/>
            <w:gridSpan w:val="3"/>
            <w:shd w:val="clear" w:color="auto" w:fill="CCEEFF"/>
            <w:tcMar>
              <w:top w:w="30" w:type="dxa"/>
              <w:left w:w="20" w:type="dxa"/>
              <w:bottom w:w="30" w:type="dxa"/>
              <w:right w:w="20" w:type="dxa"/>
            </w:tcMar>
            <w:vAlign w:val="center"/>
            <w:hideMark/>
          </w:tcPr>
          <w:p w14:paraId="5206B5C6" w14:textId="77777777" w:rsidR="00000000" w:rsidRDefault="00A173A8">
            <w:pPr>
              <w:spacing w:after="100"/>
              <w:rPr>
                <w:rFonts w:eastAsia="Times New Roman"/>
              </w:rPr>
            </w:pPr>
            <w:r>
              <w:rPr>
                <w:rFonts w:eastAsia="Times New Roman"/>
                <w:color w:val="000000"/>
                <w:sz w:val="16"/>
                <w:szCs w:val="16"/>
              </w:rPr>
              <w:t>Loans held for sale:</w:t>
            </w:r>
          </w:p>
        </w:tc>
        <w:tc>
          <w:tcPr>
            <w:tcW w:w="0" w:type="auto"/>
            <w:gridSpan w:val="3"/>
            <w:shd w:val="clear" w:color="auto" w:fill="CCEEFF"/>
            <w:tcMar>
              <w:top w:w="0" w:type="dxa"/>
              <w:left w:w="20" w:type="dxa"/>
              <w:bottom w:w="0" w:type="dxa"/>
              <w:right w:w="20" w:type="dxa"/>
            </w:tcMar>
            <w:vAlign w:val="center"/>
            <w:hideMark/>
          </w:tcPr>
          <w:p w14:paraId="66785035"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A9F4F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26ACC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BEFEFE" w14:textId="77777777" w:rsidR="00000000" w:rsidRDefault="00A173A8">
            <w:pPr>
              <w:spacing w:after="100"/>
              <w:rPr>
                <w:rFonts w:eastAsia="Times New Roman"/>
                <w:sz w:val="20"/>
                <w:szCs w:val="20"/>
              </w:rPr>
            </w:pPr>
          </w:p>
        </w:tc>
        <w:tc>
          <w:tcPr>
            <w:tcW w:w="0" w:type="auto"/>
            <w:gridSpan w:val="3"/>
            <w:vAlign w:val="center"/>
            <w:hideMark/>
          </w:tcPr>
          <w:p w14:paraId="23495907" w14:textId="77777777" w:rsidR="00000000" w:rsidRDefault="00A173A8">
            <w:pPr>
              <w:spacing w:after="100"/>
              <w:rPr>
                <w:rFonts w:eastAsia="Times New Roman"/>
                <w:sz w:val="20"/>
                <w:szCs w:val="20"/>
              </w:rPr>
            </w:pPr>
          </w:p>
        </w:tc>
        <w:tc>
          <w:tcPr>
            <w:tcW w:w="0" w:type="auto"/>
            <w:gridSpan w:val="3"/>
            <w:vAlign w:val="center"/>
            <w:hideMark/>
          </w:tcPr>
          <w:p w14:paraId="4FE92A99" w14:textId="77777777" w:rsidR="00000000" w:rsidRDefault="00A173A8">
            <w:pPr>
              <w:spacing w:after="100"/>
              <w:rPr>
                <w:rFonts w:eastAsia="Times New Roman"/>
                <w:sz w:val="20"/>
                <w:szCs w:val="20"/>
              </w:rPr>
            </w:pPr>
          </w:p>
        </w:tc>
      </w:tr>
      <w:tr w:rsidR="00000000" w14:paraId="5C276772" w14:textId="77777777">
        <w:trPr>
          <w:divId w:val="1358772218"/>
        </w:trPr>
        <w:tc>
          <w:tcPr>
            <w:tcW w:w="0" w:type="auto"/>
            <w:gridSpan w:val="3"/>
            <w:shd w:val="clear" w:color="auto" w:fill="FFFFFF"/>
            <w:tcMar>
              <w:top w:w="30" w:type="dxa"/>
              <w:left w:w="245" w:type="dxa"/>
              <w:bottom w:w="30" w:type="dxa"/>
              <w:right w:w="20" w:type="dxa"/>
            </w:tcMar>
            <w:vAlign w:val="center"/>
            <w:hideMark/>
          </w:tcPr>
          <w:p w14:paraId="7F4CDF4F" w14:textId="77777777" w:rsidR="00000000" w:rsidRDefault="00A173A8">
            <w:pPr>
              <w:spacing w:after="100"/>
              <w:rPr>
                <w:rFonts w:eastAsia="Times New Roman"/>
              </w:rPr>
            </w:pPr>
            <w:r>
              <w:rPr>
                <w:rFonts w:eastAsia="Times New Roman"/>
                <w:color w:val="000000"/>
                <w:sz w:val="16"/>
                <w:szCs w:val="16"/>
              </w:rPr>
              <w:t>Originations and purchases</w:t>
            </w:r>
          </w:p>
        </w:tc>
        <w:tc>
          <w:tcPr>
            <w:tcW w:w="0" w:type="auto"/>
            <w:gridSpan w:val="3"/>
            <w:shd w:val="clear" w:color="auto" w:fill="FFFFFF"/>
            <w:tcMar>
              <w:top w:w="0" w:type="dxa"/>
              <w:left w:w="20" w:type="dxa"/>
              <w:bottom w:w="0" w:type="dxa"/>
              <w:right w:w="20" w:type="dxa"/>
            </w:tcMar>
            <w:vAlign w:val="center"/>
            <w:hideMark/>
          </w:tcPr>
          <w:p w14:paraId="431FC71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525C50D" w14:textId="77777777" w:rsidR="00000000" w:rsidRDefault="00A173A8">
            <w:pPr>
              <w:spacing w:after="100"/>
              <w:jc w:val="right"/>
              <w:rPr>
                <w:rFonts w:eastAsia="Times New Roman"/>
              </w:rPr>
            </w:pPr>
            <w:r>
              <w:rPr>
                <w:rFonts w:eastAsia="Times New Roman"/>
                <w:b/>
                <w:bCs/>
                <w:color w:val="000000"/>
                <w:sz w:val="16"/>
                <w:szCs w:val="16"/>
              </w:rPr>
              <w:t>(4,040)</w:t>
            </w:r>
          </w:p>
        </w:tc>
        <w:tc>
          <w:tcPr>
            <w:tcW w:w="0" w:type="auto"/>
            <w:shd w:val="clear" w:color="auto" w:fill="FFFFFF"/>
            <w:tcMar>
              <w:top w:w="30" w:type="dxa"/>
              <w:left w:w="0" w:type="dxa"/>
              <w:bottom w:w="30" w:type="dxa"/>
              <w:right w:w="20" w:type="dxa"/>
            </w:tcMar>
            <w:vAlign w:val="center"/>
            <w:hideMark/>
          </w:tcPr>
          <w:p w14:paraId="05055BB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9B523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ADFBAC" w14:textId="77777777" w:rsidR="00000000" w:rsidRDefault="00A173A8">
            <w:pPr>
              <w:spacing w:after="100"/>
              <w:jc w:val="right"/>
              <w:rPr>
                <w:rFonts w:eastAsia="Times New Roman"/>
              </w:rPr>
            </w:pPr>
            <w:r>
              <w:rPr>
                <w:rFonts w:eastAsia="Times New Roman"/>
                <w:color w:val="000000"/>
                <w:sz w:val="16"/>
                <w:szCs w:val="16"/>
              </w:rPr>
              <w:t>(3,233)</w:t>
            </w:r>
          </w:p>
        </w:tc>
        <w:tc>
          <w:tcPr>
            <w:tcW w:w="0" w:type="auto"/>
            <w:shd w:val="clear" w:color="auto" w:fill="FFFFFF"/>
            <w:tcMar>
              <w:top w:w="30" w:type="dxa"/>
              <w:left w:w="0" w:type="dxa"/>
              <w:bottom w:w="30" w:type="dxa"/>
              <w:right w:w="20" w:type="dxa"/>
            </w:tcMar>
            <w:vAlign w:val="center"/>
            <w:hideMark/>
          </w:tcPr>
          <w:p w14:paraId="2B9CBA58" w14:textId="77777777" w:rsidR="00000000" w:rsidRDefault="00A173A8">
            <w:pPr>
              <w:spacing w:after="100"/>
              <w:jc w:val="right"/>
              <w:rPr>
                <w:rFonts w:eastAsia="Times New Roman"/>
              </w:rPr>
            </w:pPr>
          </w:p>
        </w:tc>
        <w:tc>
          <w:tcPr>
            <w:tcW w:w="0" w:type="auto"/>
            <w:gridSpan w:val="3"/>
            <w:vAlign w:val="center"/>
            <w:hideMark/>
          </w:tcPr>
          <w:p w14:paraId="36A59909" w14:textId="77777777" w:rsidR="00000000" w:rsidRDefault="00A173A8">
            <w:pPr>
              <w:spacing w:after="100"/>
              <w:jc w:val="right"/>
              <w:rPr>
                <w:rFonts w:eastAsia="Times New Roman"/>
                <w:sz w:val="20"/>
                <w:szCs w:val="20"/>
              </w:rPr>
            </w:pPr>
          </w:p>
        </w:tc>
        <w:tc>
          <w:tcPr>
            <w:tcW w:w="0" w:type="auto"/>
            <w:gridSpan w:val="3"/>
            <w:vAlign w:val="center"/>
            <w:hideMark/>
          </w:tcPr>
          <w:p w14:paraId="09ECCAA9" w14:textId="77777777" w:rsidR="00000000" w:rsidRDefault="00A173A8">
            <w:pPr>
              <w:spacing w:after="100"/>
              <w:rPr>
                <w:rFonts w:eastAsia="Times New Roman"/>
                <w:sz w:val="20"/>
                <w:szCs w:val="20"/>
              </w:rPr>
            </w:pPr>
          </w:p>
        </w:tc>
      </w:tr>
      <w:tr w:rsidR="00000000" w14:paraId="2A81B677" w14:textId="77777777">
        <w:trPr>
          <w:divId w:val="1358772218"/>
        </w:trPr>
        <w:tc>
          <w:tcPr>
            <w:tcW w:w="0" w:type="auto"/>
            <w:gridSpan w:val="3"/>
            <w:shd w:val="clear" w:color="auto" w:fill="CCEEFF"/>
            <w:tcMar>
              <w:top w:w="30" w:type="dxa"/>
              <w:left w:w="245" w:type="dxa"/>
              <w:bottom w:w="30" w:type="dxa"/>
              <w:right w:w="20" w:type="dxa"/>
            </w:tcMar>
            <w:vAlign w:val="center"/>
            <w:hideMark/>
          </w:tcPr>
          <w:p w14:paraId="6EB86723" w14:textId="77777777" w:rsidR="00000000" w:rsidRDefault="00A173A8">
            <w:pPr>
              <w:spacing w:after="100"/>
              <w:rPr>
                <w:rFonts w:eastAsia="Times New Roman"/>
              </w:rPr>
            </w:pPr>
            <w:r>
              <w:rPr>
                <w:rFonts w:eastAsia="Times New Roman"/>
                <w:color w:val="000000"/>
                <w:sz w:val="16"/>
                <w:szCs w:val="16"/>
              </w:rPr>
              <w:t>Proceeds from sales and paydowns</w:t>
            </w:r>
          </w:p>
        </w:tc>
        <w:tc>
          <w:tcPr>
            <w:tcW w:w="0" w:type="auto"/>
            <w:gridSpan w:val="3"/>
            <w:shd w:val="clear" w:color="auto" w:fill="CCEEFF"/>
            <w:tcMar>
              <w:top w:w="0" w:type="dxa"/>
              <w:left w:w="20" w:type="dxa"/>
              <w:bottom w:w="0" w:type="dxa"/>
              <w:right w:w="20" w:type="dxa"/>
            </w:tcMar>
            <w:vAlign w:val="center"/>
            <w:hideMark/>
          </w:tcPr>
          <w:p w14:paraId="3359AB0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2038C42" w14:textId="77777777" w:rsidR="00000000" w:rsidRDefault="00A173A8">
            <w:pPr>
              <w:spacing w:after="100"/>
              <w:jc w:val="right"/>
              <w:rPr>
                <w:rFonts w:eastAsia="Times New Roman"/>
              </w:rPr>
            </w:pPr>
            <w:r>
              <w:rPr>
                <w:rFonts w:eastAsia="Times New Roman"/>
                <w:b/>
                <w:bCs/>
                <w:color w:val="000000"/>
                <w:sz w:val="16"/>
                <w:szCs w:val="16"/>
              </w:rPr>
              <w:t>4,354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D28697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3AC0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CAD37E" w14:textId="77777777" w:rsidR="00000000" w:rsidRDefault="00A173A8">
            <w:pPr>
              <w:spacing w:after="100"/>
              <w:jc w:val="right"/>
              <w:rPr>
                <w:rFonts w:eastAsia="Times New Roman"/>
              </w:rPr>
            </w:pPr>
            <w:r>
              <w:rPr>
                <w:rFonts w:eastAsia="Times New Roman"/>
                <w:color w:val="000000"/>
                <w:sz w:val="16"/>
                <w:szCs w:val="16"/>
              </w:rPr>
              <w:t>3,707 </w:t>
            </w:r>
          </w:p>
        </w:tc>
        <w:tc>
          <w:tcPr>
            <w:tcW w:w="0" w:type="auto"/>
            <w:shd w:val="clear" w:color="auto" w:fill="CCEEFF"/>
            <w:tcMar>
              <w:top w:w="30" w:type="dxa"/>
              <w:left w:w="0" w:type="dxa"/>
              <w:bottom w:w="30" w:type="dxa"/>
              <w:right w:w="20" w:type="dxa"/>
            </w:tcMar>
            <w:vAlign w:val="center"/>
            <w:hideMark/>
          </w:tcPr>
          <w:p w14:paraId="342071E7" w14:textId="77777777" w:rsidR="00000000" w:rsidRDefault="00A173A8">
            <w:pPr>
              <w:spacing w:after="100"/>
              <w:jc w:val="right"/>
              <w:rPr>
                <w:rFonts w:eastAsia="Times New Roman"/>
              </w:rPr>
            </w:pPr>
          </w:p>
        </w:tc>
        <w:tc>
          <w:tcPr>
            <w:tcW w:w="0" w:type="auto"/>
            <w:gridSpan w:val="3"/>
            <w:vAlign w:val="center"/>
            <w:hideMark/>
          </w:tcPr>
          <w:p w14:paraId="5BBE6F53" w14:textId="77777777" w:rsidR="00000000" w:rsidRDefault="00A173A8">
            <w:pPr>
              <w:spacing w:after="100"/>
              <w:jc w:val="right"/>
              <w:rPr>
                <w:rFonts w:eastAsia="Times New Roman"/>
                <w:sz w:val="20"/>
                <w:szCs w:val="20"/>
              </w:rPr>
            </w:pPr>
          </w:p>
        </w:tc>
        <w:tc>
          <w:tcPr>
            <w:tcW w:w="0" w:type="auto"/>
            <w:gridSpan w:val="3"/>
            <w:vAlign w:val="center"/>
            <w:hideMark/>
          </w:tcPr>
          <w:p w14:paraId="33C1BD23" w14:textId="77777777" w:rsidR="00000000" w:rsidRDefault="00A173A8">
            <w:pPr>
              <w:spacing w:after="100"/>
              <w:rPr>
                <w:rFonts w:eastAsia="Times New Roman"/>
                <w:sz w:val="20"/>
                <w:szCs w:val="20"/>
              </w:rPr>
            </w:pPr>
          </w:p>
        </w:tc>
      </w:tr>
      <w:tr w:rsidR="00000000" w14:paraId="682B486E" w14:textId="77777777">
        <w:trPr>
          <w:divId w:val="1358772218"/>
        </w:trPr>
        <w:tc>
          <w:tcPr>
            <w:tcW w:w="0" w:type="auto"/>
            <w:gridSpan w:val="3"/>
            <w:shd w:val="clear" w:color="auto" w:fill="FFFFFF"/>
            <w:tcMar>
              <w:top w:w="30" w:type="dxa"/>
              <w:left w:w="20" w:type="dxa"/>
              <w:bottom w:w="30" w:type="dxa"/>
              <w:right w:w="20" w:type="dxa"/>
            </w:tcMar>
            <w:vAlign w:val="center"/>
            <w:hideMark/>
          </w:tcPr>
          <w:p w14:paraId="4D41C966" w14:textId="77777777" w:rsidR="00000000" w:rsidRDefault="00A173A8">
            <w:pPr>
              <w:spacing w:after="100"/>
              <w:rPr>
                <w:rFonts w:eastAsia="Times New Roman"/>
              </w:rPr>
            </w:pPr>
            <w:r>
              <w:rPr>
                <w:rFonts w:eastAsia="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14:paraId="6FD8238C"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8955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E6F30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05BF50" w14:textId="77777777" w:rsidR="00000000" w:rsidRDefault="00A173A8">
            <w:pPr>
              <w:spacing w:after="100"/>
              <w:rPr>
                <w:rFonts w:eastAsia="Times New Roman"/>
                <w:sz w:val="20"/>
                <w:szCs w:val="20"/>
              </w:rPr>
            </w:pPr>
          </w:p>
        </w:tc>
        <w:tc>
          <w:tcPr>
            <w:tcW w:w="0" w:type="auto"/>
            <w:gridSpan w:val="3"/>
            <w:vAlign w:val="center"/>
            <w:hideMark/>
          </w:tcPr>
          <w:p w14:paraId="4E893867" w14:textId="77777777" w:rsidR="00000000" w:rsidRDefault="00A173A8">
            <w:pPr>
              <w:spacing w:after="100"/>
              <w:rPr>
                <w:rFonts w:eastAsia="Times New Roman"/>
                <w:sz w:val="20"/>
                <w:szCs w:val="20"/>
              </w:rPr>
            </w:pPr>
          </w:p>
        </w:tc>
        <w:tc>
          <w:tcPr>
            <w:tcW w:w="0" w:type="auto"/>
            <w:gridSpan w:val="3"/>
            <w:vAlign w:val="center"/>
            <w:hideMark/>
          </w:tcPr>
          <w:p w14:paraId="0145A72E" w14:textId="77777777" w:rsidR="00000000" w:rsidRDefault="00A173A8">
            <w:pPr>
              <w:spacing w:after="100"/>
              <w:rPr>
                <w:rFonts w:eastAsia="Times New Roman"/>
                <w:sz w:val="20"/>
                <w:szCs w:val="20"/>
              </w:rPr>
            </w:pPr>
          </w:p>
        </w:tc>
      </w:tr>
      <w:tr w:rsidR="00000000" w14:paraId="23381706" w14:textId="77777777">
        <w:trPr>
          <w:divId w:val="1358772218"/>
        </w:trPr>
        <w:tc>
          <w:tcPr>
            <w:tcW w:w="0" w:type="auto"/>
            <w:gridSpan w:val="3"/>
            <w:shd w:val="clear" w:color="auto" w:fill="CCEEFF"/>
            <w:tcMar>
              <w:top w:w="30" w:type="dxa"/>
              <w:left w:w="245" w:type="dxa"/>
              <w:bottom w:w="30" w:type="dxa"/>
              <w:right w:w="20" w:type="dxa"/>
            </w:tcMar>
            <w:vAlign w:val="center"/>
            <w:hideMark/>
          </w:tcPr>
          <w:p w14:paraId="5F86910E" w14:textId="77777777" w:rsidR="00000000" w:rsidRDefault="00A173A8">
            <w:pPr>
              <w:spacing w:after="100"/>
              <w:rPr>
                <w:rFonts w:eastAsia="Times New Roman"/>
              </w:rPr>
            </w:pPr>
            <w:r>
              <w:rPr>
                <w:rFonts w:eastAsia="Times New Roman"/>
                <w:color w:val="000000"/>
                <w:sz w:val="16"/>
                <w:szCs w:val="16"/>
              </w:rPr>
              <w:t>Changes in interest receivable</w:t>
            </w:r>
          </w:p>
        </w:tc>
        <w:tc>
          <w:tcPr>
            <w:tcW w:w="0" w:type="auto"/>
            <w:gridSpan w:val="3"/>
            <w:shd w:val="clear" w:color="auto" w:fill="CCEEFF"/>
            <w:tcMar>
              <w:top w:w="0" w:type="dxa"/>
              <w:left w:w="20" w:type="dxa"/>
              <w:bottom w:w="0" w:type="dxa"/>
              <w:right w:w="20" w:type="dxa"/>
            </w:tcMar>
            <w:vAlign w:val="center"/>
            <w:hideMark/>
          </w:tcPr>
          <w:p w14:paraId="4877BD5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A8C5F2" w14:textId="77777777" w:rsidR="00000000" w:rsidRDefault="00A173A8">
            <w:pPr>
              <w:spacing w:after="100"/>
              <w:jc w:val="right"/>
              <w:rPr>
                <w:rFonts w:eastAsia="Times New Roman"/>
              </w:rPr>
            </w:pPr>
            <w:r>
              <w:rPr>
                <w:rFonts w:eastAsia="Times New Roman"/>
                <w:b/>
                <w:bCs/>
                <w:color w:val="000000"/>
                <w:sz w:val="16"/>
                <w:szCs w:val="16"/>
              </w:rPr>
              <w:t>(151)</w:t>
            </w:r>
          </w:p>
        </w:tc>
        <w:tc>
          <w:tcPr>
            <w:tcW w:w="0" w:type="auto"/>
            <w:shd w:val="clear" w:color="auto" w:fill="CCEEFF"/>
            <w:tcMar>
              <w:top w:w="30" w:type="dxa"/>
              <w:left w:w="0" w:type="dxa"/>
              <w:bottom w:w="30" w:type="dxa"/>
              <w:right w:w="20" w:type="dxa"/>
            </w:tcMar>
            <w:vAlign w:val="center"/>
            <w:hideMark/>
          </w:tcPr>
          <w:p w14:paraId="49BEA5F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2A2E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60DA34" w14:textId="77777777" w:rsidR="00000000" w:rsidRDefault="00A173A8">
            <w:pPr>
              <w:spacing w:after="100"/>
              <w:jc w:val="right"/>
              <w:rPr>
                <w:rFonts w:eastAsia="Times New Roman"/>
              </w:rPr>
            </w:pPr>
            <w:r>
              <w:rPr>
                <w:rFonts w:eastAsia="Times New Roman"/>
                <w:color w:val="000000"/>
                <w:sz w:val="16"/>
                <w:szCs w:val="16"/>
              </w:rPr>
              <w:t>99 </w:t>
            </w:r>
          </w:p>
        </w:tc>
        <w:tc>
          <w:tcPr>
            <w:tcW w:w="0" w:type="auto"/>
            <w:shd w:val="clear" w:color="auto" w:fill="CCEEFF"/>
            <w:tcMar>
              <w:top w:w="30" w:type="dxa"/>
              <w:left w:w="0" w:type="dxa"/>
              <w:bottom w:w="30" w:type="dxa"/>
              <w:right w:w="20" w:type="dxa"/>
            </w:tcMar>
            <w:vAlign w:val="center"/>
            <w:hideMark/>
          </w:tcPr>
          <w:p w14:paraId="529FC5A5" w14:textId="77777777" w:rsidR="00000000" w:rsidRDefault="00A173A8">
            <w:pPr>
              <w:spacing w:after="100"/>
              <w:jc w:val="right"/>
              <w:rPr>
                <w:rFonts w:eastAsia="Times New Roman"/>
              </w:rPr>
            </w:pPr>
          </w:p>
        </w:tc>
        <w:tc>
          <w:tcPr>
            <w:tcW w:w="0" w:type="auto"/>
            <w:gridSpan w:val="3"/>
            <w:vAlign w:val="center"/>
            <w:hideMark/>
          </w:tcPr>
          <w:p w14:paraId="566E3317" w14:textId="77777777" w:rsidR="00000000" w:rsidRDefault="00A173A8">
            <w:pPr>
              <w:spacing w:after="100"/>
              <w:jc w:val="right"/>
              <w:rPr>
                <w:rFonts w:eastAsia="Times New Roman"/>
                <w:sz w:val="20"/>
                <w:szCs w:val="20"/>
              </w:rPr>
            </w:pPr>
          </w:p>
        </w:tc>
        <w:tc>
          <w:tcPr>
            <w:tcW w:w="0" w:type="auto"/>
            <w:gridSpan w:val="3"/>
            <w:vAlign w:val="center"/>
            <w:hideMark/>
          </w:tcPr>
          <w:p w14:paraId="5CAAE5A0" w14:textId="77777777" w:rsidR="00000000" w:rsidRDefault="00A173A8">
            <w:pPr>
              <w:spacing w:after="100"/>
              <w:rPr>
                <w:rFonts w:eastAsia="Times New Roman"/>
                <w:sz w:val="20"/>
                <w:szCs w:val="20"/>
              </w:rPr>
            </w:pPr>
          </w:p>
        </w:tc>
      </w:tr>
      <w:tr w:rsidR="00000000" w14:paraId="6CF36AFE" w14:textId="77777777">
        <w:trPr>
          <w:divId w:val="1358772218"/>
        </w:trPr>
        <w:tc>
          <w:tcPr>
            <w:tcW w:w="0" w:type="auto"/>
            <w:gridSpan w:val="3"/>
            <w:shd w:val="clear" w:color="auto" w:fill="FFFFFF"/>
            <w:tcMar>
              <w:top w:w="30" w:type="dxa"/>
              <w:left w:w="245" w:type="dxa"/>
              <w:bottom w:w="30" w:type="dxa"/>
              <w:right w:w="20" w:type="dxa"/>
            </w:tcMar>
            <w:vAlign w:val="center"/>
            <w:hideMark/>
          </w:tcPr>
          <w:p w14:paraId="39D80A3C" w14:textId="77777777" w:rsidR="00000000" w:rsidRDefault="00A173A8">
            <w:pPr>
              <w:spacing w:after="100"/>
              <w:rPr>
                <w:rFonts w:eastAsia="Times New Roman"/>
              </w:rPr>
            </w:pPr>
            <w:r>
              <w:rPr>
                <w:rFonts w:eastAsia="Times New Roman"/>
                <w:color w:val="000000"/>
                <w:sz w:val="16"/>
                <w:szCs w:val="16"/>
              </w:rPr>
              <w:t>Changes in other assets</w:t>
            </w:r>
          </w:p>
        </w:tc>
        <w:tc>
          <w:tcPr>
            <w:tcW w:w="0" w:type="auto"/>
            <w:gridSpan w:val="3"/>
            <w:shd w:val="clear" w:color="auto" w:fill="FFFFFF"/>
            <w:tcMar>
              <w:top w:w="0" w:type="dxa"/>
              <w:left w:w="20" w:type="dxa"/>
              <w:bottom w:w="0" w:type="dxa"/>
              <w:right w:w="20" w:type="dxa"/>
            </w:tcMar>
            <w:vAlign w:val="center"/>
            <w:hideMark/>
          </w:tcPr>
          <w:p w14:paraId="300D7D7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092CD4B" w14:textId="77777777" w:rsidR="00000000" w:rsidRDefault="00A173A8">
            <w:pPr>
              <w:spacing w:after="100"/>
              <w:jc w:val="right"/>
              <w:rPr>
                <w:rFonts w:eastAsia="Times New Roman"/>
              </w:rPr>
            </w:pPr>
            <w:r>
              <w:rPr>
                <w:rFonts w:eastAsia="Times New Roman"/>
                <w:b/>
                <w:bCs/>
                <w:color w:val="000000"/>
                <w:sz w:val="16"/>
                <w:szCs w:val="16"/>
              </w:rPr>
              <w:t>(5,578)</w:t>
            </w:r>
          </w:p>
        </w:tc>
        <w:tc>
          <w:tcPr>
            <w:tcW w:w="0" w:type="auto"/>
            <w:shd w:val="clear" w:color="auto" w:fill="FFFFFF"/>
            <w:tcMar>
              <w:top w:w="30" w:type="dxa"/>
              <w:left w:w="0" w:type="dxa"/>
              <w:bottom w:w="30" w:type="dxa"/>
              <w:right w:w="20" w:type="dxa"/>
            </w:tcMar>
            <w:vAlign w:val="center"/>
            <w:hideMark/>
          </w:tcPr>
          <w:p w14:paraId="6ADA7D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04EE2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3019AA" w14:textId="77777777" w:rsidR="00000000" w:rsidRDefault="00A173A8">
            <w:pPr>
              <w:spacing w:after="100"/>
              <w:jc w:val="right"/>
              <w:rPr>
                <w:rFonts w:eastAsia="Times New Roman"/>
              </w:rPr>
            </w:pPr>
            <w:r>
              <w:rPr>
                <w:rFonts w:eastAsia="Times New Roman"/>
                <w:color w:val="000000"/>
                <w:sz w:val="16"/>
                <w:szCs w:val="16"/>
              </w:rPr>
              <w:t>(3,183)</w:t>
            </w:r>
          </w:p>
        </w:tc>
        <w:tc>
          <w:tcPr>
            <w:tcW w:w="0" w:type="auto"/>
            <w:shd w:val="clear" w:color="auto" w:fill="FFFFFF"/>
            <w:tcMar>
              <w:top w:w="30" w:type="dxa"/>
              <w:left w:w="0" w:type="dxa"/>
              <w:bottom w:w="30" w:type="dxa"/>
              <w:right w:w="20" w:type="dxa"/>
            </w:tcMar>
            <w:vAlign w:val="center"/>
            <w:hideMark/>
          </w:tcPr>
          <w:p w14:paraId="3B557902" w14:textId="77777777" w:rsidR="00000000" w:rsidRDefault="00A173A8">
            <w:pPr>
              <w:spacing w:after="100"/>
              <w:jc w:val="right"/>
              <w:rPr>
                <w:rFonts w:eastAsia="Times New Roman"/>
              </w:rPr>
            </w:pPr>
          </w:p>
        </w:tc>
        <w:tc>
          <w:tcPr>
            <w:tcW w:w="0" w:type="auto"/>
            <w:gridSpan w:val="3"/>
            <w:vAlign w:val="center"/>
            <w:hideMark/>
          </w:tcPr>
          <w:p w14:paraId="59100AEE" w14:textId="77777777" w:rsidR="00000000" w:rsidRDefault="00A173A8">
            <w:pPr>
              <w:spacing w:after="100"/>
              <w:jc w:val="right"/>
              <w:rPr>
                <w:rFonts w:eastAsia="Times New Roman"/>
                <w:sz w:val="20"/>
                <w:szCs w:val="20"/>
              </w:rPr>
            </w:pPr>
          </w:p>
        </w:tc>
        <w:tc>
          <w:tcPr>
            <w:tcW w:w="0" w:type="auto"/>
            <w:gridSpan w:val="3"/>
            <w:vAlign w:val="center"/>
            <w:hideMark/>
          </w:tcPr>
          <w:p w14:paraId="5780380F" w14:textId="77777777" w:rsidR="00000000" w:rsidRDefault="00A173A8">
            <w:pPr>
              <w:spacing w:after="100"/>
              <w:rPr>
                <w:rFonts w:eastAsia="Times New Roman"/>
                <w:sz w:val="20"/>
                <w:szCs w:val="20"/>
              </w:rPr>
            </w:pPr>
          </w:p>
        </w:tc>
      </w:tr>
      <w:tr w:rsidR="00000000" w14:paraId="1ED69745" w14:textId="77777777">
        <w:trPr>
          <w:divId w:val="1358772218"/>
        </w:trPr>
        <w:tc>
          <w:tcPr>
            <w:tcW w:w="0" w:type="auto"/>
            <w:gridSpan w:val="3"/>
            <w:shd w:val="clear" w:color="auto" w:fill="CCEEFF"/>
            <w:tcMar>
              <w:top w:w="30" w:type="dxa"/>
              <w:left w:w="245" w:type="dxa"/>
              <w:bottom w:w="30" w:type="dxa"/>
              <w:right w:w="20" w:type="dxa"/>
            </w:tcMar>
            <w:vAlign w:val="center"/>
            <w:hideMark/>
          </w:tcPr>
          <w:p w14:paraId="515C806B" w14:textId="77777777" w:rsidR="00000000" w:rsidRDefault="00A173A8">
            <w:pPr>
              <w:spacing w:after="100"/>
              <w:rPr>
                <w:rFonts w:eastAsia="Times New Roman"/>
              </w:rPr>
            </w:pPr>
            <w:r>
              <w:rPr>
                <w:rFonts w:eastAsia="Times New Roman"/>
                <w:color w:val="000000"/>
                <w:sz w:val="16"/>
                <w:szCs w:val="16"/>
              </w:rPr>
              <w:t>Changes in interest payable</w:t>
            </w:r>
          </w:p>
        </w:tc>
        <w:tc>
          <w:tcPr>
            <w:tcW w:w="0" w:type="auto"/>
            <w:gridSpan w:val="3"/>
            <w:shd w:val="clear" w:color="auto" w:fill="CCEEFF"/>
            <w:tcMar>
              <w:top w:w="0" w:type="dxa"/>
              <w:left w:w="20" w:type="dxa"/>
              <w:bottom w:w="0" w:type="dxa"/>
              <w:right w:w="20" w:type="dxa"/>
            </w:tcMar>
            <w:vAlign w:val="center"/>
            <w:hideMark/>
          </w:tcPr>
          <w:p w14:paraId="64B7634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A69B0C1" w14:textId="77777777" w:rsidR="00000000" w:rsidRDefault="00A173A8">
            <w:pPr>
              <w:spacing w:after="100"/>
              <w:jc w:val="right"/>
              <w:rPr>
                <w:rFonts w:eastAsia="Times New Roman"/>
              </w:rPr>
            </w:pPr>
            <w:r>
              <w:rPr>
                <w:rFonts w:eastAsia="Times New Roman"/>
                <w:b/>
                <w:bCs/>
                <w:color w:val="000000"/>
                <w:sz w:val="16"/>
                <w:szCs w:val="16"/>
              </w:rPr>
              <w:t>52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73AEBAE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44DAC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89DA3D" w14:textId="77777777" w:rsidR="00000000" w:rsidRDefault="00A173A8">
            <w:pPr>
              <w:spacing w:after="100"/>
              <w:jc w:val="right"/>
              <w:rPr>
                <w:rFonts w:eastAsia="Times New Roman"/>
              </w:rPr>
            </w:pPr>
            <w:r>
              <w:rPr>
                <w:rFonts w:eastAsia="Times New Roman"/>
                <w:color w:val="000000"/>
                <w:sz w:val="16"/>
                <w:szCs w:val="16"/>
              </w:rPr>
              <w:t>(51)</w:t>
            </w:r>
          </w:p>
        </w:tc>
        <w:tc>
          <w:tcPr>
            <w:tcW w:w="0" w:type="auto"/>
            <w:shd w:val="clear" w:color="auto" w:fill="CCEEFF"/>
            <w:tcMar>
              <w:top w:w="30" w:type="dxa"/>
              <w:left w:w="0" w:type="dxa"/>
              <w:bottom w:w="30" w:type="dxa"/>
              <w:right w:w="20" w:type="dxa"/>
            </w:tcMar>
            <w:vAlign w:val="center"/>
            <w:hideMark/>
          </w:tcPr>
          <w:p w14:paraId="588616BF" w14:textId="77777777" w:rsidR="00000000" w:rsidRDefault="00A173A8">
            <w:pPr>
              <w:spacing w:after="100"/>
              <w:jc w:val="right"/>
              <w:rPr>
                <w:rFonts w:eastAsia="Times New Roman"/>
              </w:rPr>
            </w:pPr>
          </w:p>
        </w:tc>
        <w:tc>
          <w:tcPr>
            <w:tcW w:w="0" w:type="auto"/>
            <w:gridSpan w:val="3"/>
            <w:vAlign w:val="center"/>
            <w:hideMark/>
          </w:tcPr>
          <w:p w14:paraId="2B238D42" w14:textId="77777777" w:rsidR="00000000" w:rsidRDefault="00A173A8">
            <w:pPr>
              <w:spacing w:after="100"/>
              <w:jc w:val="right"/>
              <w:rPr>
                <w:rFonts w:eastAsia="Times New Roman"/>
                <w:sz w:val="20"/>
                <w:szCs w:val="20"/>
              </w:rPr>
            </w:pPr>
          </w:p>
        </w:tc>
        <w:tc>
          <w:tcPr>
            <w:tcW w:w="0" w:type="auto"/>
            <w:gridSpan w:val="3"/>
            <w:vAlign w:val="center"/>
            <w:hideMark/>
          </w:tcPr>
          <w:p w14:paraId="0DEED7B9" w14:textId="77777777" w:rsidR="00000000" w:rsidRDefault="00A173A8">
            <w:pPr>
              <w:spacing w:after="100"/>
              <w:rPr>
                <w:rFonts w:eastAsia="Times New Roman"/>
                <w:sz w:val="20"/>
                <w:szCs w:val="20"/>
              </w:rPr>
            </w:pPr>
          </w:p>
        </w:tc>
      </w:tr>
      <w:tr w:rsidR="00000000" w14:paraId="19A1F9EF" w14:textId="77777777">
        <w:trPr>
          <w:divId w:val="1358772218"/>
        </w:trPr>
        <w:tc>
          <w:tcPr>
            <w:tcW w:w="0" w:type="auto"/>
            <w:gridSpan w:val="3"/>
            <w:shd w:val="clear" w:color="auto" w:fill="FFFFFF"/>
            <w:tcMar>
              <w:top w:w="30" w:type="dxa"/>
              <w:left w:w="245" w:type="dxa"/>
              <w:bottom w:w="30" w:type="dxa"/>
              <w:right w:w="20" w:type="dxa"/>
            </w:tcMar>
            <w:vAlign w:val="center"/>
            <w:hideMark/>
          </w:tcPr>
          <w:p w14:paraId="2975FB59" w14:textId="77777777" w:rsidR="00000000" w:rsidRDefault="00A173A8">
            <w:pPr>
              <w:spacing w:after="100"/>
              <w:rPr>
                <w:rFonts w:eastAsia="Times New Roman"/>
              </w:rPr>
            </w:pPr>
            <w:r>
              <w:rPr>
                <w:rFonts w:eastAsia="Times New Roman"/>
                <w:color w:val="000000"/>
                <w:sz w:val="16"/>
                <w:szCs w:val="16"/>
              </w:rPr>
              <w:t>Changes in other liabilities</w:t>
            </w:r>
          </w:p>
        </w:tc>
        <w:tc>
          <w:tcPr>
            <w:tcW w:w="0" w:type="auto"/>
            <w:gridSpan w:val="3"/>
            <w:shd w:val="clear" w:color="auto" w:fill="FFFFFF"/>
            <w:tcMar>
              <w:top w:w="0" w:type="dxa"/>
              <w:left w:w="20" w:type="dxa"/>
              <w:bottom w:w="0" w:type="dxa"/>
              <w:right w:w="20" w:type="dxa"/>
            </w:tcMar>
            <w:vAlign w:val="center"/>
            <w:hideMark/>
          </w:tcPr>
          <w:p w14:paraId="2E38518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19CC432" w14:textId="77777777" w:rsidR="00000000" w:rsidRDefault="00A173A8">
            <w:pPr>
              <w:spacing w:after="100"/>
              <w:jc w:val="right"/>
              <w:rPr>
                <w:rFonts w:eastAsia="Times New Roman"/>
              </w:rPr>
            </w:pPr>
            <w:r>
              <w:rPr>
                <w:rFonts w:eastAsia="Times New Roman"/>
                <w:b/>
                <w:bCs/>
                <w:color w:val="000000"/>
                <w:sz w:val="16"/>
                <w:szCs w:val="16"/>
              </w:rPr>
              <w:t>414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61F7A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4728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CB9876" w14:textId="77777777" w:rsidR="00000000" w:rsidRDefault="00A173A8">
            <w:pPr>
              <w:spacing w:after="100"/>
              <w:jc w:val="right"/>
              <w:rPr>
                <w:rFonts w:eastAsia="Times New Roman"/>
              </w:rPr>
            </w:pPr>
            <w:r>
              <w:rPr>
                <w:rFonts w:eastAsia="Times New Roman"/>
                <w:color w:val="000000"/>
                <w:sz w:val="16"/>
                <w:szCs w:val="16"/>
              </w:rPr>
              <w:t>957 </w:t>
            </w:r>
          </w:p>
        </w:tc>
        <w:tc>
          <w:tcPr>
            <w:tcW w:w="0" w:type="auto"/>
            <w:shd w:val="clear" w:color="auto" w:fill="FFFFFF"/>
            <w:tcMar>
              <w:top w:w="30" w:type="dxa"/>
              <w:left w:w="0" w:type="dxa"/>
              <w:bottom w:w="30" w:type="dxa"/>
              <w:right w:w="20" w:type="dxa"/>
            </w:tcMar>
            <w:vAlign w:val="center"/>
            <w:hideMark/>
          </w:tcPr>
          <w:p w14:paraId="70A4CFD7" w14:textId="77777777" w:rsidR="00000000" w:rsidRDefault="00A173A8">
            <w:pPr>
              <w:spacing w:after="100"/>
              <w:jc w:val="right"/>
              <w:rPr>
                <w:rFonts w:eastAsia="Times New Roman"/>
              </w:rPr>
            </w:pPr>
          </w:p>
        </w:tc>
        <w:tc>
          <w:tcPr>
            <w:tcW w:w="0" w:type="auto"/>
            <w:gridSpan w:val="3"/>
            <w:vAlign w:val="center"/>
            <w:hideMark/>
          </w:tcPr>
          <w:p w14:paraId="7DC65760" w14:textId="77777777" w:rsidR="00000000" w:rsidRDefault="00A173A8">
            <w:pPr>
              <w:spacing w:after="100"/>
              <w:jc w:val="right"/>
              <w:rPr>
                <w:rFonts w:eastAsia="Times New Roman"/>
                <w:sz w:val="20"/>
                <w:szCs w:val="20"/>
              </w:rPr>
            </w:pPr>
          </w:p>
        </w:tc>
        <w:tc>
          <w:tcPr>
            <w:tcW w:w="0" w:type="auto"/>
            <w:gridSpan w:val="3"/>
            <w:vAlign w:val="center"/>
            <w:hideMark/>
          </w:tcPr>
          <w:p w14:paraId="3D12E9D9" w14:textId="77777777" w:rsidR="00000000" w:rsidRDefault="00A173A8">
            <w:pPr>
              <w:spacing w:after="100"/>
              <w:rPr>
                <w:rFonts w:eastAsia="Times New Roman"/>
                <w:sz w:val="20"/>
                <w:szCs w:val="20"/>
              </w:rPr>
            </w:pPr>
          </w:p>
        </w:tc>
      </w:tr>
      <w:tr w:rsidR="00000000" w14:paraId="2EAF8A82" w14:textId="77777777">
        <w:trPr>
          <w:divId w:val="1358772218"/>
        </w:trPr>
        <w:tc>
          <w:tcPr>
            <w:tcW w:w="0" w:type="auto"/>
            <w:gridSpan w:val="3"/>
            <w:shd w:val="clear" w:color="auto" w:fill="CCEEFF"/>
            <w:tcMar>
              <w:top w:w="30" w:type="dxa"/>
              <w:left w:w="20" w:type="dxa"/>
              <w:bottom w:w="30" w:type="dxa"/>
              <w:right w:w="20" w:type="dxa"/>
            </w:tcMar>
            <w:vAlign w:val="center"/>
            <w:hideMark/>
          </w:tcPr>
          <w:p w14:paraId="75FDFFF7" w14:textId="77777777" w:rsidR="00000000" w:rsidRDefault="00A173A8">
            <w:pPr>
              <w:spacing w:after="100"/>
              <w:rPr>
                <w:rFonts w:eastAsia="Times New Roman"/>
              </w:rPr>
            </w:pPr>
            <w:r>
              <w:rPr>
                <w:rFonts w:eastAsia="Times New Roman"/>
                <w:color w:val="000000"/>
                <w:sz w:val="16"/>
                <w:szCs w:val="16"/>
              </w:rPr>
              <w:t>Net change from discontinued operations</w:t>
            </w:r>
          </w:p>
        </w:tc>
        <w:tc>
          <w:tcPr>
            <w:tcW w:w="0" w:type="auto"/>
            <w:gridSpan w:val="3"/>
            <w:shd w:val="clear" w:color="auto" w:fill="CCEEFF"/>
            <w:tcMar>
              <w:top w:w="0" w:type="dxa"/>
              <w:left w:w="20" w:type="dxa"/>
              <w:bottom w:w="0" w:type="dxa"/>
              <w:right w:w="20" w:type="dxa"/>
            </w:tcMar>
            <w:vAlign w:val="center"/>
            <w:hideMark/>
          </w:tcPr>
          <w:p w14:paraId="2C51A52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338F3AD" w14:textId="77777777" w:rsidR="00000000" w:rsidRDefault="00A173A8">
            <w:pPr>
              <w:spacing w:after="100"/>
              <w:jc w:val="right"/>
              <w:rPr>
                <w:rFonts w:eastAsia="Times New Roman"/>
              </w:rPr>
            </w:pPr>
            <w:r>
              <w:rPr>
                <w:rFonts w:eastAsia="Times New Roman"/>
                <w:b/>
                <w:bCs/>
                <w:color w:val="000000"/>
                <w:sz w:val="16"/>
                <w:szCs w:val="16"/>
              </w:rPr>
              <w:t>(1)</w:t>
            </w:r>
          </w:p>
        </w:tc>
        <w:tc>
          <w:tcPr>
            <w:tcW w:w="0" w:type="auto"/>
            <w:shd w:val="clear" w:color="auto" w:fill="CCEEFF"/>
            <w:tcMar>
              <w:top w:w="30" w:type="dxa"/>
              <w:left w:w="0" w:type="dxa"/>
              <w:bottom w:w="30" w:type="dxa"/>
              <w:right w:w="20" w:type="dxa"/>
            </w:tcMar>
            <w:vAlign w:val="center"/>
            <w:hideMark/>
          </w:tcPr>
          <w:p w14:paraId="4AE9040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4C1B4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BFE02A" w14:textId="77777777" w:rsidR="00000000" w:rsidRDefault="00A173A8">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center"/>
            <w:hideMark/>
          </w:tcPr>
          <w:p w14:paraId="3E0795E2" w14:textId="77777777" w:rsidR="00000000" w:rsidRDefault="00A173A8">
            <w:pPr>
              <w:spacing w:after="100"/>
              <w:jc w:val="right"/>
              <w:rPr>
                <w:rFonts w:eastAsia="Times New Roman"/>
              </w:rPr>
            </w:pPr>
          </w:p>
        </w:tc>
        <w:tc>
          <w:tcPr>
            <w:tcW w:w="0" w:type="auto"/>
            <w:gridSpan w:val="3"/>
            <w:vAlign w:val="center"/>
            <w:hideMark/>
          </w:tcPr>
          <w:p w14:paraId="440DC4C9" w14:textId="77777777" w:rsidR="00000000" w:rsidRDefault="00A173A8">
            <w:pPr>
              <w:spacing w:after="100"/>
              <w:jc w:val="right"/>
              <w:rPr>
                <w:rFonts w:eastAsia="Times New Roman"/>
                <w:sz w:val="20"/>
                <w:szCs w:val="20"/>
              </w:rPr>
            </w:pPr>
          </w:p>
        </w:tc>
        <w:tc>
          <w:tcPr>
            <w:tcW w:w="0" w:type="auto"/>
            <w:gridSpan w:val="3"/>
            <w:vAlign w:val="center"/>
            <w:hideMark/>
          </w:tcPr>
          <w:p w14:paraId="5F432A02" w14:textId="77777777" w:rsidR="00000000" w:rsidRDefault="00A173A8">
            <w:pPr>
              <w:spacing w:after="100"/>
              <w:rPr>
                <w:rFonts w:eastAsia="Times New Roman"/>
                <w:sz w:val="20"/>
                <w:szCs w:val="20"/>
              </w:rPr>
            </w:pPr>
          </w:p>
        </w:tc>
      </w:tr>
      <w:tr w:rsidR="00000000" w14:paraId="18E01140" w14:textId="77777777">
        <w:trPr>
          <w:divId w:val="1358772218"/>
        </w:trPr>
        <w:tc>
          <w:tcPr>
            <w:tcW w:w="0" w:type="auto"/>
            <w:gridSpan w:val="3"/>
            <w:shd w:val="clear" w:color="auto" w:fill="FFFFFF"/>
            <w:tcMar>
              <w:top w:w="30" w:type="dxa"/>
              <w:left w:w="20" w:type="dxa"/>
              <w:bottom w:w="30" w:type="dxa"/>
              <w:right w:w="20" w:type="dxa"/>
            </w:tcMar>
            <w:vAlign w:val="center"/>
            <w:hideMark/>
          </w:tcPr>
          <w:p w14:paraId="1F6179C4" w14:textId="77777777" w:rsidR="00000000" w:rsidRDefault="00A173A8">
            <w:pPr>
              <w:spacing w:after="100"/>
              <w:rPr>
                <w:rFonts w:eastAsia="Times New Roman"/>
              </w:rPr>
            </w:pPr>
            <w:r>
              <w:rPr>
                <w:rFonts w:eastAsia="Times New Roman"/>
                <w:b/>
                <w:bCs/>
                <w:color w:val="000000"/>
                <w:sz w:val="16"/>
                <w:szCs w:val="16"/>
              </w:rPr>
              <w:t>Net cash from operating activities</w:t>
            </w:r>
          </w:p>
        </w:tc>
        <w:tc>
          <w:tcPr>
            <w:tcW w:w="0" w:type="auto"/>
            <w:gridSpan w:val="3"/>
            <w:shd w:val="clear" w:color="auto" w:fill="FFFFFF"/>
            <w:tcMar>
              <w:top w:w="0" w:type="dxa"/>
              <w:left w:w="20" w:type="dxa"/>
              <w:bottom w:w="0" w:type="dxa"/>
              <w:right w:w="20" w:type="dxa"/>
            </w:tcMar>
            <w:vAlign w:val="center"/>
            <w:hideMark/>
          </w:tcPr>
          <w:p w14:paraId="79891430"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AD87A4A" w14:textId="77777777" w:rsidR="00000000" w:rsidRDefault="00A173A8">
            <w:pPr>
              <w:spacing w:after="100"/>
              <w:jc w:val="right"/>
              <w:rPr>
                <w:rFonts w:eastAsia="Times New Roman"/>
              </w:rPr>
            </w:pPr>
            <w:r>
              <w:rPr>
                <w:rFonts w:eastAsia="Times New Roman"/>
                <w:b/>
                <w:bCs/>
                <w:color w:val="000000"/>
                <w:sz w:val="16"/>
                <w:szCs w:val="16"/>
              </w:rPr>
              <w:t>2,875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D81E4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F83B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93D7E44" w14:textId="77777777" w:rsidR="00000000" w:rsidRDefault="00A173A8">
            <w:pPr>
              <w:spacing w:after="100"/>
              <w:jc w:val="right"/>
              <w:rPr>
                <w:rFonts w:eastAsia="Times New Roman"/>
              </w:rPr>
            </w:pPr>
            <w:r>
              <w:rPr>
                <w:rFonts w:eastAsia="Times New Roman"/>
                <w:color w:val="000000"/>
                <w:sz w:val="16"/>
                <w:szCs w:val="16"/>
              </w:rPr>
              <w:t>5,694 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21CEAC" w14:textId="77777777" w:rsidR="00000000" w:rsidRDefault="00A173A8">
            <w:pPr>
              <w:spacing w:after="100"/>
              <w:jc w:val="right"/>
              <w:rPr>
                <w:rFonts w:eastAsia="Times New Roman"/>
              </w:rPr>
            </w:pPr>
          </w:p>
        </w:tc>
        <w:tc>
          <w:tcPr>
            <w:tcW w:w="0" w:type="auto"/>
            <w:gridSpan w:val="3"/>
            <w:vAlign w:val="center"/>
            <w:hideMark/>
          </w:tcPr>
          <w:p w14:paraId="57025966" w14:textId="77777777" w:rsidR="00000000" w:rsidRDefault="00A173A8">
            <w:pPr>
              <w:spacing w:after="100"/>
              <w:jc w:val="right"/>
              <w:rPr>
                <w:rFonts w:eastAsia="Times New Roman"/>
                <w:sz w:val="20"/>
                <w:szCs w:val="20"/>
              </w:rPr>
            </w:pPr>
          </w:p>
        </w:tc>
        <w:tc>
          <w:tcPr>
            <w:tcW w:w="0" w:type="auto"/>
            <w:gridSpan w:val="3"/>
            <w:vAlign w:val="center"/>
            <w:hideMark/>
          </w:tcPr>
          <w:p w14:paraId="102C91BF" w14:textId="77777777" w:rsidR="00000000" w:rsidRDefault="00A173A8">
            <w:pPr>
              <w:spacing w:after="100"/>
              <w:rPr>
                <w:rFonts w:eastAsia="Times New Roman"/>
                <w:sz w:val="20"/>
                <w:szCs w:val="20"/>
              </w:rPr>
            </w:pPr>
          </w:p>
        </w:tc>
      </w:tr>
      <w:tr w:rsidR="00000000" w14:paraId="5DD26782" w14:textId="77777777">
        <w:trPr>
          <w:divId w:val="1358772218"/>
        </w:trPr>
        <w:tc>
          <w:tcPr>
            <w:tcW w:w="0" w:type="auto"/>
            <w:gridSpan w:val="3"/>
            <w:shd w:val="clear" w:color="auto" w:fill="CCEEFF"/>
            <w:tcMar>
              <w:top w:w="30" w:type="dxa"/>
              <w:left w:w="20" w:type="dxa"/>
              <w:bottom w:w="30" w:type="dxa"/>
              <w:right w:w="20" w:type="dxa"/>
            </w:tcMar>
            <w:vAlign w:val="center"/>
            <w:hideMark/>
          </w:tcPr>
          <w:p w14:paraId="670274F4" w14:textId="77777777" w:rsidR="00000000" w:rsidRDefault="00A173A8">
            <w:pPr>
              <w:spacing w:after="100"/>
              <w:rPr>
                <w:rFonts w:eastAsia="Times New Roman"/>
              </w:rPr>
            </w:pPr>
            <w:r>
              <w:rPr>
                <w:rFonts w:eastAsia="Times New Roman"/>
                <w:b/>
                <w:bCs/>
                <w:color w:val="000000"/>
                <w:sz w:val="16"/>
                <w:szCs w:val="16"/>
              </w:rPr>
              <w:t>Investing activities:</w:t>
            </w:r>
          </w:p>
        </w:tc>
        <w:tc>
          <w:tcPr>
            <w:tcW w:w="0" w:type="auto"/>
            <w:gridSpan w:val="3"/>
            <w:shd w:val="clear" w:color="auto" w:fill="CCEEFF"/>
            <w:tcMar>
              <w:top w:w="0" w:type="dxa"/>
              <w:left w:w="20" w:type="dxa"/>
              <w:bottom w:w="0" w:type="dxa"/>
              <w:right w:w="20" w:type="dxa"/>
            </w:tcMar>
            <w:vAlign w:val="center"/>
            <w:hideMark/>
          </w:tcPr>
          <w:p w14:paraId="644D9106"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C191F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094AB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84C2E6" w14:textId="77777777" w:rsidR="00000000" w:rsidRDefault="00A173A8">
            <w:pPr>
              <w:spacing w:after="100"/>
              <w:rPr>
                <w:rFonts w:eastAsia="Times New Roman"/>
                <w:sz w:val="20"/>
                <w:szCs w:val="20"/>
              </w:rPr>
            </w:pPr>
          </w:p>
        </w:tc>
        <w:tc>
          <w:tcPr>
            <w:tcW w:w="0" w:type="auto"/>
            <w:gridSpan w:val="3"/>
            <w:vAlign w:val="center"/>
            <w:hideMark/>
          </w:tcPr>
          <w:p w14:paraId="2E35B8AA" w14:textId="77777777" w:rsidR="00000000" w:rsidRDefault="00A173A8">
            <w:pPr>
              <w:spacing w:after="100"/>
              <w:rPr>
                <w:rFonts w:eastAsia="Times New Roman"/>
                <w:sz w:val="20"/>
                <w:szCs w:val="20"/>
              </w:rPr>
            </w:pPr>
          </w:p>
        </w:tc>
        <w:tc>
          <w:tcPr>
            <w:tcW w:w="0" w:type="auto"/>
            <w:gridSpan w:val="3"/>
            <w:vAlign w:val="center"/>
            <w:hideMark/>
          </w:tcPr>
          <w:p w14:paraId="5DFA13B1" w14:textId="77777777" w:rsidR="00000000" w:rsidRDefault="00A173A8">
            <w:pPr>
              <w:spacing w:after="100"/>
              <w:rPr>
                <w:rFonts w:eastAsia="Times New Roman"/>
                <w:sz w:val="20"/>
                <w:szCs w:val="20"/>
              </w:rPr>
            </w:pPr>
          </w:p>
        </w:tc>
      </w:tr>
      <w:tr w:rsidR="00000000" w14:paraId="57FDEDA2" w14:textId="77777777">
        <w:trPr>
          <w:divId w:val="1358772218"/>
        </w:trPr>
        <w:tc>
          <w:tcPr>
            <w:tcW w:w="0" w:type="auto"/>
            <w:gridSpan w:val="3"/>
            <w:vAlign w:val="center"/>
            <w:hideMark/>
          </w:tcPr>
          <w:p w14:paraId="6BD9C9E1" w14:textId="77777777" w:rsidR="00000000" w:rsidRDefault="00A173A8">
            <w:pPr>
              <w:spacing w:after="100"/>
              <w:rPr>
                <w:rFonts w:eastAsia="Times New Roman"/>
                <w:sz w:val="20"/>
                <w:szCs w:val="20"/>
              </w:rPr>
            </w:pPr>
          </w:p>
        </w:tc>
        <w:tc>
          <w:tcPr>
            <w:tcW w:w="0" w:type="auto"/>
            <w:gridSpan w:val="3"/>
            <w:vAlign w:val="center"/>
            <w:hideMark/>
          </w:tcPr>
          <w:p w14:paraId="1D22ACE9" w14:textId="77777777" w:rsidR="00000000" w:rsidRDefault="00A173A8">
            <w:pPr>
              <w:spacing w:after="100"/>
              <w:rPr>
                <w:rFonts w:eastAsia="Times New Roman"/>
                <w:sz w:val="20"/>
                <w:szCs w:val="20"/>
              </w:rPr>
            </w:pPr>
          </w:p>
        </w:tc>
        <w:tc>
          <w:tcPr>
            <w:tcW w:w="0" w:type="auto"/>
            <w:gridSpan w:val="3"/>
            <w:vAlign w:val="center"/>
            <w:hideMark/>
          </w:tcPr>
          <w:p w14:paraId="565016F9" w14:textId="77777777" w:rsidR="00000000" w:rsidRDefault="00A173A8">
            <w:pPr>
              <w:spacing w:after="100"/>
              <w:rPr>
                <w:rFonts w:eastAsia="Times New Roman"/>
                <w:sz w:val="20"/>
                <w:szCs w:val="20"/>
              </w:rPr>
            </w:pPr>
          </w:p>
        </w:tc>
        <w:tc>
          <w:tcPr>
            <w:tcW w:w="0" w:type="auto"/>
            <w:gridSpan w:val="3"/>
            <w:vAlign w:val="center"/>
            <w:hideMark/>
          </w:tcPr>
          <w:p w14:paraId="598E2E5D" w14:textId="77777777" w:rsidR="00000000" w:rsidRDefault="00A173A8">
            <w:pPr>
              <w:spacing w:after="100"/>
              <w:rPr>
                <w:rFonts w:eastAsia="Times New Roman"/>
                <w:sz w:val="20"/>
                <w:szCs w:val="20"/>
              </w:rPr>
            </w:pPr>
          </w:p>
        </w:tc>
        <w:tc>
          <w:tcPr>
            <w:tcW w:w="0" w:type="auto"/>
            <w:gridSpan w:val="3"/>
            <w:vAlign w:val="center"/>
            <w:hideMark/>
          </w:tcPr>
          <w:p w14:paraId="3E9592CE" w14:textId="77777777" w:rsidR="00000000" w:rsidRDefault="00A173A8">
            <w:pPr>
              <w:spacing w:after="100"/>
              <w:rPr>
                <w:rFonts w:eastAsia="Times New Roman"/>
                <w:sz w:val="20"/>
                <w:szCs w:val="20"/>
              </w:rPr>
            </w:pPr>
          </w:p>
        </w:tc>
        <w:tc>
          <w:tcPr>
            <w:tcW w:w="0" w:type="auto"/>
            <w:gridSpan w:val="3"/>
            <w:vAlign w:val="center"/>
            <w:hideMark/>
          </w:tcPr>
          <w:p w14:paraId="0B2DCDB1" w14:textId="77777777" w:rsidR="00000000" w:rsidRDefault="00A173A8">
            <w:pPr>
              <w:spacing w:after="100"/>
              <w:rPr>
                <w:rFonts w:eastAsia="Times New Roman"/>
                <w:sz w:val="20"/>
                <w:szCs w:val="20"/>
              </w:rPr>
            </w:pPr>
          </w:p>
        </w:tc>
        <w:tc>
          <w:tcPr>
            <w:tcW w:w="0" w:type="auto"/>
            <w:gridSpan w:val="3"/>
            <w:vAlign w:val="center"/>
            <w:hideMark/>
          </w:tcPr>
          <w:p w14:paraId="7738C581" w14:textId="77777777" w:rsidR="00000000" w:rsidRDefault="00A173A8">
            <w:pPr>
              <w:spacing w:after="100"/>
              <w:rPr>
                <w:rFonts w:eastAsia="Times New Roman"/>
                <w:sz w:val="20"/>
                <w:szCs w:val="20"/>
              </w:rPr>
            </w:pPr>
          </w:p>
        </w:tc>
      </w:tr>
      <w:tr w:rsidR="00000000" w14:paraId="266676B3" w14:textId="77777777">
        <w:trPr>
          <w:divId w:val="1358772218"/>
        </w:trPr>
        <w:tc>
          <w:tcPr>
            <w:tcW w:w="0" w:type="auto"/>
            <w:gridSpan w:val="3"/>
            <w:shd w:val="clear" w:color="auto" w:fill="FFFFFF"/>
            <w:tcMar>
              <w:top w:w="30" w:type="dxa"/>
              <w:left w:w="20" w:type="dxa"/>
              <w:bottom w:w="30" w:type="dxa"/>
              <w:right w:w="20" w:type="dxa"/>
            </w:tcMar>
            <w:vAlign w:val="center"/>
            <w:hideMark/>
          </w:tcPr>
          <w:p w14:paraId="43923EC9" w14:textId="77777777" w:rsidR="00000000" w:rsidRDefault="00A173A8">
            <w:pPr>
              <w:spacing w:after="100"/>
              <w:rPr>
                <w:rFonts w:eastAsia="Times New Roman"/>
              </w:rPr>
            </w:pPr>
            <w:r>
              <w:rPr>
                <w:rFonts w:eastAsia="Times New Roman"/>
                <w:color w:val="000000"/>
                <w:sz w:val="16"/>
                <w:szCs w:val="16"/>
              </w:rPr>
              <w:t>Securities available for sale:</w:t>
            </w:r>
          </w:p>
        </w:tc>
        <w:tc>
          <w:tcPr>
            <w:tcW w:w="0" w:type="auto"/>
            <w:gridSpan w:val="3"/>
            <w:shd w:val="clear" w:color="auto" w:fill="FFFFFF"/>
            <w:tcMar>
              <w:top w:w="0" w:type="dxa"/>
              <w:left w:w="20" w:type="dxa"/>
              <w:bottom w:w="0" w:type="dxa"/>
              <w:right w:w="20" w:type="dxa"/>
            </w:tcMar>
            <w:vAlign w:val="center"/>
            <w:hideMark/>
          </w:tcPr>
          <w:p w14:paraId="5C7F842D"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EA66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42F1D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44D44C" w14:textId="77777777" w:rsidR="00000000" w:rsidRDefault="00A173A8">
            <w:pPr>
              <w:spacing w:after="100"/>
              <w:rPr>
                <w:rFonts w:eastAsia="Times New Roman"/>
                <w:sz w:val="20"/>
                <w:szCs w:val="20"/>
              </w:rPr>
            </w:pPr>
          </w:p>
        </w:tc>
        <w:tc>
          <w:tcPr>
            <w:tcW w:w="0" w:type="auto"/>
            <w:gridSpan w:val="3"/>
            <w:vAlign w:val="center"/>
            <w:hideMark/>
          </w:tcPr>
          <w:p w14:paraId="30911F82" w14:textId="77777777" w:rsidR="00000000" w:rsidRDefault="00A173A8">
            <w:pPr>
              <w:spacing w:after="100"/>
              <w:rPr>
                <w:rFonts w:eastAsia="Times New Roman"/>
                <w:sz w:val="20"/>
                <w:szCs w:val="20"/>
              </w:rPr>
            </w:pPr>
          </w:p>
        </w:tc>
        <w:tc>
          <w:tcPr>
            <w:tcW w:w="0" w:type="auto"/>
            <w:gridSpan w:val="3"/>
            <w:vAlign w:val="center"/>
            <w:hideMark/>
          </w:tcPr>
          <w:p w14:paraId="4A728509" w14:textId="77777777" w:rsidR="00000000" w:rsidRDefault="00A173A8">
            <w:pPr>
              <w:spacing w:after="100"/>
              <w:rPr>
                <w:rFonts w:eastAsia="Times New Roman"/>
                <w:sz w:val="20"/>
                <w:szCs w:val="20"/>
              </w:rPr>
            </w:pPr>
          </w:p>
        </w:tc>
      </w:tr>
      <w:tr w:rsidR="00000000" w14:paraId="7E6772A0" w14:textId="77777777">
        <w:trPr>
          <w:divId w:val="1358772218"/>
        </w:trPr>
        <w:tc>
          <w:tcPr>
            <w:tcW w:w="0" w:type="auto"/>
            <w:gridSpan w:val="3"/>
            <w:shd w:val="clear" w:color="auto" w:fill="CCEEFF"/>
            <w:tcMar>
              <w:top w:w="30" w:type="dxa"/>
              <w:left w:w="245" w:type="dxa"/>
              <w:bottom w:w="30" w:type="dxa"/>
              <w:right w:w="20" w:type="dxa"/>
            </w:tcMar>
            <w:vAlign w:val="center"/>
            <w:hideMark/>
          </w:tcPr>
          <w:p w14:paraId="43E46EFE" w14:textId="77777777" w:rsidR="00000000" w:rsidRDefault="00A173A8">
            <w:pPr>
              <w:spacing w:after="100"/>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14:paraId="2D82E86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21B9BDB" w14:textId="77777777" w:rsidR="00000000" w:rsidRDefault="00A173A8">
            <w:pPr>
              <w:spacing w:after="100"/>
              <w:jc w:val="right"/>
              <w:rPr>
                <w:rFonts w:eastAsia="Times New Roman"/>
              </w:rPr>
            </w:pPr>
            <w:r>
              <w:rPr>
                <w:rFonts w:eastAsia="Times New Roman"/>
                <w:b/>
                <w:bCs/>
                <w:color w:val="000000"/>
                <w:sz w:val="16"/>
                <w:szCs w:val="16"/>
              </w:rPr>
              <w:t>(7,698)</w:t>
            </w:r>
          </w:p>
        </w:tc>
        <w:tc>
          <w:tcPr>
            <w:tcW w:w="0" w:type="auto"/>
            <w:shd w:val="clear" w:color="auto" w:fill="CCEEFF"/>
            <w:tcMar>
              <w:top w:w="30" w:type="dxa"/>
              <w:left w:w="0" w:type="dxa"/>
              <w:bottom w:w="30" w:type="dxa"/>
              <w:right w:w="20" w:type="dxa"/>
            </w:tcMar>
            <w:vAlign w:val="center"/>
            <w:hideMark/>
          </w:tcPr>
          <w:p w14:paraId="4836D68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00AA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365356" w14:textId="77777777" w:rsidR="00000000" w:rsidRDefault="00A173A8">
            <w:pPr>
              <w:spacing w:after="100"/>
              <w:jc w:val="right"/>
              <w:rPr>
                <w:rFonts w:eastAsia="Times New Roman"/>
              </w:rPr>
            </w:pPr>
            <w:r>
              <w:rPr>
                <w:rFonts w:eastAsia="Times New Roman"/>
                <w:color w:val="000000"/>
                <w:sz w:val="16"/>
                <w:szCs w:val="16"/>
              </w:rPr>
              <w:t>(18,185)</w:t>
            </w:r>
          </w:p>
        </w:tc>
        <w:tc>
          <w:tcPr>
            <w:tcW w:w="0" w:type="auto"/>
            <w:shd w:val="clear" w:color="auto" w:fill="CCEEFF"/>
            <w:tcMar>
              <w:top w:w="30" w:type="dxa"/>
              <w:left w:w="0" w:type="dxa"/>
              <w:bottom w:w="30" w:type="dxa"/>
              <w:right w:w="20" w:type="dxa"/>
            </w:tcMar>
            <w:vAlign w:val="center"/>
            <w:hideMark/>
          </w:tcPr>
          <w:p w14:paraId="3127BE9E" w14:textId="77777777" w:rsidR="00000000" w:rsidRDefault="00A173A8">
            <w:pPr>
              <w:spacing w:after="100"/>
              <w:jc w:val="right"/>
              <w:rPr>
                <w:rFonts w:eastAsia="Times New Roman"/>
              </w:rPr>
            </w:pPr>
          </w:p>
        </w:tc>
        <w:tc>
          <w:tcPr>
            <w:tcW w:w="0" w:type="auto"/>
            <w:gridSpan w:val="3"/>
            <w:vAlign w:val="center"/>
            <w:hideMark/>
          </w:tcPr>
          <w:p w14:paraId="5CC88BF6" w14:textId="77777777" w:rsidR="00000000" w:rsidRDefault="00A173A8">
            <w:pPr>
              <w:spacing w:after="100"/>
              <w:jc w:val="right"/>
              <w:rPr>
                <w:rFonts w:eastAsia="Times New Roman"/>
                <w:sz w:val="20"/>
                <w:szCs w:val="20"/>
              </w:rPr>
            </w:pPr>
          </w:p>
        </w:tc>
        <w:tc>
          <w:tcPr>
            <w:tcW w:w="0" w:type="auto"/>
            <w:gridSpan w:val="3"/>
            <w:vAlign w:val="center"/>
            <w:hideMark/>
          </w:tcPr>
          <w:p w14:paraId="14AE5109" w14:textId="77777777" w:rsidR="00000000" w:rsidRDefault="00A173A8">
            <w:pPr>
              <w:spacing w:after="100"/>
              <w:rPr>
                <w:rFonts w:eastAsia="Times New Roman"/>
                <w:sz w:val="20"/>
                <w:szCs w:val="20"/>
              </w:rPr>
            </w:pPr>
          </w:p>
        </w:tc>
      </w:tr>
      <w:tr w:rsidR="00000000" w14:paraId="4C5B6564" w14:textId="77777777">
        <w:trPr>
          <w:divId w:val="1358772218"/>
        </w:trPr>
        <w:tc>
          <w:tcPr>
            <w:tcW w:w="0" w:type="auto"/>
            <w:gridSpan w:val="3"/>
            <w:shd w:val="clear" w:color="auto" w:fill="FFFFFF"/>
            <w:tcMar>
              <w:top w:w="30" w:type="dxa"/>
              <w:left w:w="245" w:type="dxa"/>
              <w:bottom w:w="30" w:type="dxa"/>
              <w:right w:w="20" w:type="dxa"/>
            </w:tcMar>
            <w:vAlign w:val="center"/>
            <w:hideMark/>
          </w:tcPr>
          <w:p w14:paraId="61A55258" w14:textId="77777777" w:rsidR="00000000" w:rsidRDefault="00A173A8">
            <w:pPr>
              <w:spacing w:after="100"/>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14:paraId="1E54DB4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86DF0F0" w14:textId="77777777" w:rsidR="00000000" w:rsidRDefault="00A173A8">
            <w:pPr>
              <w:spacing w:after="100"/>
              <w:jc w:val="right"/>
              <w:rPr>
                <w:rFonts w:eastAsia="Times New Roman"/>
              </w:rPr>
            </w:pPr>
            <w:r>
              <w:rPr>
                <w:rFonts w:eastAsia="Times New Roman"/>
                <w:b/>
                <w:bCs/>
                <w:color w:val="000000"/>
                <w:sz w:val="16"/>
                <w:szCs w:val="16"/>
              </w:rPr>
              <w:t>10,129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6CC10A7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B6AE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01A497" w14:textId="77777777" w:rsidR="00000000" w:rsidRDefault="00A173A8">
            <w:pPr>
              <w:spacing w:after="100"/>
              <w:jc w:val="right"/>
              <w:rPr>
                <w:rFonts w:eastAsia="Times New Roman"/>
              </w:rPr>
            </w:pPr>
            <w:r>
              <w:rPr>
                <w:rFonts w:eastAsia="Times New Roman"/>
                <w:color w:val="000000"/>
                <w:sz w:val="16"/>
                <w:szCs w:val="16"/>
              </w:rPr>
              <w:t>14,142 </w:t>
            </w:r>
          </w:p>
        </w:tc>
        <w:tc>
          <w:tcPr>
            <w:tcW w:w="0" w:type="auto"/>
            <w:shd w:val="clear" w:color="auto" w:fill="FFFFFF"/>
            <w:tcMar>
              <w:top w:w="30" w:type="dxa"/>
              <w:left w:w="0" w:type="dxa"/>
              <w:bottom w:w="30" w:type="dxa"/>
              <w:right w:w="20" w:type="dxa"/>
            </w:tcMar>
            <w:vAlign w:val="center"/>
            <w:hideMark/>
          </w:tcPr>
          <w:p w14:paraId="0B14324A" w14:textId="77777777" w:rsidR="00000000" w:rsidRDefault="00A173A8">
            <w:pPr>
              <w:spacing w:after="100"/>
              <w:jc w:val="right"/>
              <w:rPr>
                <w:rFonts w:eastAsia="Times New Roman"/>
              </w:rPr>
            </w:pPr>
          </w:p>
        </w:tc>
        <w:tc>
          <w:tcPr>
            <w:tcW w:w="0" w:type="auto"/>
            <w:gridSpan w:val="3"/>
            <w:vAlign w:val="center"/>
            <w:hideMark/>
          </w:tcPr>
          <w:p w14:paraId="20D9F6E9" w14:textId="77777777" w:rsidR="00000000" w:rsidRDefault="00A173A8">
            <w:pPr>
              <w:spacing w:after="100"/>
              <w:jc w:val="right"/>
              <w:rPr>
                <w:rFonts w:eastAsia="Times New Roman"/>
                <w:sz w:val="20"/>
                <w:szCs w:val="20"/>
              </w:rPr>
            </w:pPr>
          </w:p>
        </w:tc>
        <w:tc>
          <w:tcPr>
            <w:tcW w:w="0" w:type="auto"/>
            <w:gridSpan w:val="3"/>
            <w:vAlign w:val="center"/>
            <w:hideMark/>
          </w:tcPr>
          <w:p w14:paraId="64E1FAB2" w14:textId="77777777" w:rsidR="00000000" w:rsidRDefault="00A173A8">
            <w:pPr>
              <w:spacing w:after="100"/>
              <w:rPr>
                <w:rFonts w:eastAsia="Times New Roman"/>
                <w:sz w:val="20"/>
                <w:szCs w:val="20"/>
              </w:rPr>
            </w:pPr>
          </w:p>
        </w:tc>
      </w:tr>
      <w:tr w:rsidR="00000000" w14:paraId="7D34D7CD" w14:textId="77777777">
        <w:trPr>
          <w:divId w:val="1358772218"/>
        </w:trPr>
        <w:tc>
          <w:tcPr>
            <w:tcW w:w="0" w:type="auto"/>
            <w:gridSpan w:val="3"/>
            <w:shd w:val="clear" w:color="auto" w:fill="CCEEFF"/>
            <w:tcMar>
              <w:top w:w="30" w:type="dxa"/>
              <w:left w:w="245" w:type="dxa"/>
              <w:bottom w:w="30" w:type="dxa"/>
              <w:right w:w="20" w:type="dxa"/>
            </w:tcMar>
            <w:vAlign w:val="center"/>
            <w:hideMark/>
          </w:tcPr>
          <w:p w14:paraId="694D884A" w14:textId="77777777" w:rsidR="00000000" w:rsidRDefault="00A173A8">
            <w:pPr>
              <w:spacing w:after="100"/>
              <w:rPr>
                <w:rFonts w:eastAsia="Times New Roman"/>
              </w:rPr>
            </w:pPr>
            <w:r>
              <w:rPr>
                <w:rFonts w:eastAsia="Times New Roman"/>
                <w:color w:val="000000"/>
                <w:sz w:val="16"/>
                <w:szCs w:val="16"/>
              </w:rPr>
              <w:t>Proceeds from sales</w:t>
            </w:r>
          </w:p>
        </w:tc>
        <w:tc>
          <w:tcPr>
            <w:tcW w:w="0" w:type="auto"/>
            <w:gridSpan w:val="3"/>
            <w:shd w:val="clear" w:color="auto" w:fill="CCEEFF"/>
            <w:tcMar>
              <w:top w:w="0" w:type="dxa"/>
              <w:left w:w="20" w:type="dxa"/>
              <w:bottom w:w="0" w:type="dxa"/>
              <w:right w:w="20" w:type="dxa"/>
            </w:tcMar>
            <w:vAlign w:val="center"/>
            <w:hideMark/>
          </w:tcPr>
          <w:p w14:paraId="5E726C5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6B3A0FE" w14:textId="77777777" w:rsidR="00000000" w:rsidRDefault="00A173A8">
            <w:pPr>
              <w:spacing w:after="100"/>
              <w:jc w:val="right"/>
              <w:rPr>
                <w:rFonts w:eastAsia="Times New Roman"/>
              </w:rPr>
            </w:pPr>
            <w:r>
              <w:rPr>
                <w:rFonts w:eastAsia="Times New Roman"/>
                <w:b/>
                <w:bCs/>
                <w:color w:val="000000"/>
                <w:sz w:val="16"/>
                <w:szCs w:val="16"/>
              </w:rPr>
              <w:t>2,240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14342A7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E945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9D9769" w14:textId="77777777" w:rsidR="00000000" w:rsidRDefault="00A173A8">
            <w:pPr>
              <w:spacing w:after="100"/>
              <w:jc w:val="right"/>
              <w:rPr>
                <w:rFonts w:eastAsia="Times New Roman"/>
              </w:rPr>
            </w:pPr>
            <w:r>
              <w:rPr>
                <w:rFonts w:eastAsia="Times New Roman"/>
                <w:color w:val="000000"/>
                <w:sz w:val="16"/>
                <w:szCs w:val="16"/>
              </w:rPr>
              <w:t>595 </w:t>
            </w:r>
          </w:p>
        </w:tc>
        <w:tc>
          <w:tcPr>
            <w:tcW w:w="0" w:type="auto"/>
            <w:shd w:val="clear" w:color="auto" w:fill="CCEEFF"/>
            <w:tcMar>
              <w:top w:w="30" w:type="dxa"/>
              <w:left w:w="0" w:type="dxa"/>
              <w:bottom w:w="30" w:type="dxa"/>
              <w:right w:w="20" w:type="dxa"/>
            </w:tcMar>
            <w:vAlign w:val="center"/>
            <w:hideMark/>
          </w:tcPr>
          <w:p w14:paraId="25C66DC3" w14:textId="77777777" w:rsidR="00000000" w:rsidRDefault="00A173A8">
            <w:pPr>
              <w:spacing w:after="100"/>
              <w:jc w:val="right"/>
              <w:rPr>
                <w:rFonts w:eastAsia="Times New Roman"/>
              </w:rPr>
            </w:pPr>
          </w:p>
        </w:tc>
        <w:tc>
          <w:tcPr>
            <w:tcW w:w="0" w:type="auto"/>
            <w:gridSpan w:val="3"/>
            <w:vAlign w:val="center"/>
            <w:hideMark/>
          </w:tcPr>
          <w:p w14:paraId="486DAAC8" w14:textId="77777777" w:rsidR="00000000" w:rsidRDefault="00A173A8">
            <w:pPr>
              <w:spacing w:after="100"/>
              <w:jc w:val="right"/>
              <w:rPr>
                <w:rFonts w:eastAsia="Times New Roman"/>
                <w:sz w:val="20"/>
                <w:szCs w:val="20"/>
              </w:rPr>
            </w:pPr>
          </w:p>
        </w:tc>
        <w:tc>
          <w:tcPr>
            <w:tcW w:w="0" w:type="auto"/>
            <w:gridSpan w:val="3"/>
            <w:vAlign w:val="center"/>
            <w:hideMark/>
          </w:tcPr>
          <w:p w14:paraId="323D8570" w14:textId="77777777" w:rsidR="00000000" w:rsidRDefault="00A173A8">
            <w:pPr>
              <w:spacing w:after="100"/>
              <w:rPr>
                <w:rFonts w:eastAsia="Times New Roman"/>
                <w:sz w:val="20"/>
                <w:szCs w:val="20"/>
              </w:rPr>
            </w:pPr>
          </w:p>
        </w:tc>
      </w:tr>
      <w:tr w:rsidR="00000000" w14:paraId="63C20055" w14:textId="77777777">
        <w:trPr>
          <w:divId w:val="1358772218"/>
        </w:trPr>
        <w:tc>
          <w:tcPr>
            <w:tcW w:w="0" w:type="auto"/>
            <w:gridSpan w:val="3"/>
            <w:vAlign w:val="center"/>
            <w:hideMark/>
          </w:tcPr>
          <w:p w14:paraId="6F47C390" w14:textId="77777777" w:rsidR="00000000" w:rsidRDefault="00A173A8">
            <w:pPr>
              <w:spacing w:after="100"/>
              <w:rPr>
                <w:rFonts w:eastAsia="Times New Roman"/>
                <w:sz w:val="20"/>
                <w:szCs w:val="20"/>
              </w:rPr>
            </w:pPr>
          </w:p>
        </w:tc>
        <w:tc>
          <w:tcPr>
            <w:tcW w:w="0" w:type="auto"/>
            <w:gridSpan w:val="3"/>
            <w:vAlign w:val="center"/>
            <w:hideMark/>
          </w:tcPr>
          <w:p w14:paraId="2F266153" w14:textId="77777777" w:rsidR="00000000" w:rsidRDefault="00A173A8">
            <w:pPr>
              <w:spacing w:after="100"/>
              <w:rPr>
                <w:rFonts w:eastAsia="Times New Roman"/>
                <w:sz w:val="20"/>
                <w:szCs w:val="20"/>
              </w:rPr>
            </w:pPr>
          </w:p>
        </w:tc>
        <w:tc>
          <w:tcPr>
            <w:tcW w:w="0" w:type="auto"/>
            <w:gridSpan w:val="3"/>
            <w:vAlign w:val="center"/>
            <w:hideMark/>
          </w:tcPr>
          <w:p w14:paraId="6E708A49" w14:textId="77777777" w:rsidR="00000000" w:rsidRDefault="00A173A8">
            <w:pPr>
              <w:spacing w:after="100"/>
              <w:rPr>
                <w:rFonts w:eastAsia="Times New Roman"/>
                <w:sz w:val="20"/>
                <w:szCs w:val="20"/>
              </w:rPr>
            </w:pPr>
          </w:p>
        </w:tc>
        <w:tc>
          <w:tcPr>
            <w:tcW w:w="0" w:type="auto"/>
            <w:gridSpan w:val="3"/>
            <w:vAlign w:val="center"/>
            <w:hideMark/>
          </w:tcPr>
          <w:p w14:paraId="6E760A41" w14:textId="77777777" w:rsidR="00000000" w:rsidRDefault="00A173A8">
            <w:pPr>
              <w:spacing w:after="100"/>
              <w:rPr>
                <w:rFonts w:eastAsia="Times New Roman"/>
                <w:sz w:val="20"/>
                <w:szCs w:val="20"/>
              </w:rPr>
            </w:pPr>
          </w:p>
        </w:tc>
        <w:tc>
          <w:tcPr>
            <w:tcW w:w="0" w:type="auto"/>
            <w:gridSpan w:val="3"/>
            <w:vAlign w:val="center"/>
            <w:hideMark/>
          </w:tcPr>
          <w:p w14:paraId="417443A5" w14:textId="77777777" w:rsidR="00000000" w:rsidRDefault="00A173A8">
            <w:pPr>
              <w:spacing w:after="100"/>
              <w:rPr>
                <w:rFonts w:eastAsia="Times New Roman"/>
                <w:sz w:val="20"/>
                <w:szCs w:val="20"/>
              </w:rPr>
            </w:pPr>
          </w:p>
        </w:tc>
        <w:tc>
          <w:tcPr>
            <w:tcW w:w="0" w:type="auto"/>
            <w:gridSpan w:val="3"/>
            <w:vAlign w:val="center"/>
            <w:hideMark/>
          </w:tcPr>
          <w:p w14:paraId="2453D74D" w14:textId="77777777" w:rsidR="00000000" w:rsidRDefault="00A173A8">
            <w:pPr>
              <w:spacing w:after="100"/>
              <w:rPr>
                <w:rFonts w:eastAsia="Times New Roman"/>
                <w:sz w:val="20"/>
                <w:szCs w:val="20"/>
              </w:rPr>
            </w:pPr>
          </w:p>
        </w:tc>
        <w:tc>
          <w:tcPr>
            <w:tcW w:w="0" w:type="auto"/>
            <w:gridSpan w:val="3"/>
            <w:vAlign w:val="center"/>
            <w:hideMark/>
          </w:tcPr>
          <w:p w14:paraId="3F776DF4" w14:textId="77777777" w:rsidR="00000000" w:rsidRDefault="00A173A8">
            <w:pPr>
              <w:spacing w:after="100"/>
              <w:rPr>
                <w:rFonts w:eastAsia="Times New Roman"/>
                <w:sz w:val="20"/>
                <w:szCs w:val="20"/>
              </w:rPr>
            </w:pPr>
          </w:p>
        </w:tc>
      </w:tr>
      <w:tr w:rsidR="00000000" w14:paraId="7CD05978" w14:textId="77777777">
        <w:trPr>
          <w:divId w:val="1358772218"/>
        </w:trPr>
        <w:tc>
          <w:tcPr>
            <w:tcW w:w="0" w:type="auto"/>
            <w:gridSpan w:val="3"/>
            <w:vAlign w:val="center"/>
            <w:hideMark/>
          </w:tcPr>
          <w:p w14:paraId="24939CCA" w14:textId="77777777" w:rsidR="00000000" w:rsidRDefault="00A173A8">
            <w:pPr>
              <w:spacing w:after="100"/>
              <w:rPr>
                <w:rFonts w:eastAsia="Times New Roman"/>
                <w:sz w:val="20"/>
                <w:szCs w:val="20"/>
              </w:rPr>
            </w:pPr>
          </w:p>
        </w:tc>
        <w:tc>
          <w:tcPr>
            <w:tcW w:w="0" w:type="auto"/>
            <w:gridSpan w:val="3"/>
            <w:vAlign w:val="center"/>
            <w:hideMark/>
          </w:tcPr>
          <w:p w14:paraId="4DF2B80A" w14:textId="77777777" w:rsidR="00000000" w:rsidRDefault="00A173A8">
            <w:pPr>
              <w:spacing w:after="100"/>
              <w:rPr>
                <w:rFonts w:eastAsia="Times New Roman"/>
                <w:sz w:val="20"/>
                <w:szCs w:val="20"/>
              </w:rPr>
            </w:pPr>
          </w:p>
        </w:tc>
        <w:tc>
          <w:tcPr>
            <w:tcW w:w="0" w:type="auto"/>
            <w:gridSpan w:val="3"/>
            <w:vAlign w:val="center"/>
            <w:hideMark/>
          </w:tcPr>
          <w:p w14:paraId="738B3C7C" w14:textId="77777777" w:rsidR="00000000" w:rsidRDefault="00A173A8">
            <w:pPr>
              <w:spacing w:after="100"/>
              <w:rPr>
                <w:rFonts w:eastAsia="Times New Roman"/>
                <w:sz w:val="20"/>
                <w:szCs w:val="20"/>
              </w:rPr>
            </w:pPr>
          </w:p>
        </w:tc>
        <w:tc>
          <w:tcPr>
            <w:tcW w:w="0" w:type="auto"/>
            <w:gridSpan w:val="3"/>
            <w:vAlign w:val="center"/>
            <w:hideMark/>
          </w:tcPr>
          <w:p w14:paraId="3F9C4D9E" w14:textId="77777777" w:rsidR="00000000" w:rsidRDefault="00A173A8">
            <w:pPr>
              <w:spacing w:after="100"/>
              <w:rPr>
                <w:rFonts w:eastAsia="Times New Roman"/>
                <w:sz w:val="20"/>
                <w:szCs w:val="20"/>
              </w:rPr>
            </w:pPr>
          </w:p>
        </w:tc>
        <w:tc>
          <w:tcPr>
            <w:tcW w:w="0" w:type="auto"/>
            <w:gridSpan w:val="3"/>
            <w:vAlign w:val="center"/>
            <w:hideMark/>
          </w:tcPr>
          <w:p w14:paraId="6A5A87E1" w14:textId="77777777" w:rsidR="00000000" w:rsidRDefault="00A173A8">
            <w:pPr>
              <w:spacing w:after="100"/>
              <w:rPr>
                <w:rFonts w:eastAsia="Times New Roman"/>
                <w:sz w:val="20"/>
                <w:szCs w:val="20"/>
              </w:rPr>
            </w:pPr>
          </w:p>
        </w:tc>
        <w:tc>
          <w:tcPr>
            <w:tcW w:w="0" w:type="auto"/>
            <w:gridSpan w:val="3"/>
            <w:vAlign w:val="center"/>
            <w:hideMark/>
          </w:tcPr>
          <w:p w14:paraId="2E1BA8A4" w14:textId="77777777" w:rsidR="00000000" w:rsidRDefault="00A173A8">
            <w:pPr>
              <w:spacing w:after="100"/>
              <w:rPr>
                <w:rFonts w:eastAsia="Times New Roman"/>
                <w:sz w:val="20"/>
                <w:szCs w:val="20"/>
              </w:rPr>
            </w:pPr>
          </w:p>
        </w:tc>
        <w:tc>
          <w:tcPr>
            <w:tcW w:w="0" w:type="auto"/>
            <w:gridSpan w:val="3"/>
            <w:vAlign w:val="center"/>
            <w:hideMark/>
          </w:tcPr>
          <w:p w14:paraId="7621769D" w14:textId="77777777" w:rsidR="00000000" w:rsidRDefault="00A173A8">
            <w:pPr>
              <w:spacing w:after="100"/>
              <w:rPr>
                <w:rFonts w:eastAsia="Times New Roman"/>
                <w:sz w:val="20"/>
                <w:szCs w:val="20"/>
              </w:rPr>
            </w:pPr>
          </w:p>
        </w:tc>
      </w:tr>
      <w:tr w:rsidR="00000000" w14:paraId="77F8F379" w14:textId="77777777">
        <w:trPr>
          <w:divId w:val="1358772218"/>
        </w:trPr>
        <w:tc>
          <w:tcPr>
            <w:tcW w:w="0" w:type="auto"/>
            <w:gridSpan w:val="3"/>
            <w:vAlign w:val="center"/>
            <w:hideMark/>
          </w:tcPr>
          <w:p w14:paraId="60055B49" w14:textId="77777777" w:rsidR="00000000" w:rsidRDefault="00A173A8">
            <w:pPr>
              <w:spacing w:after="100"/>
              <w:rPr>
                <w:rFonts w:eastAsia="Times New Roman"/>
                <w:sz w:val="20"/>
                <w:szCs w:val="20"/>
              </w:rPr>
            </w:pPr>
          </w:p>
        </w:tc>
        <w:tc>
          <w:tcPr>
            <w:tcW w:w="0" w:type="auto"/>
            <w:gridSpan w:val="3"/>
            <w:vAlign w:val="center"/>
            <w:hideMark/>
          </w:tcPr>
          <w:p w14:paraId="488BE1C0" w14:textId="77777777" w:rsidR="00000000" w:rsidRDefault="00A173A8">
            <w:pPr>
              <w:spacing w:after="100"/>
              <w:rPr>
                <w:rFonts w:eastAsia="Times New Roman"/>
                <w:sz w:val="20"/>
                <w:szCs w:val="20"/>
              </w:rPr>
            </w:pPr>
          </w:p>
        </w:tc>
        <w:tc>
          <w:tcPr>
            <w:tcW w:w="0" w:type="auto"/>
            <w:gridSpan w:val="3"/>
            <w:vAlign w:val="center"/>
            <w:hideMark/>
          </w:tcPr>
          <w:p w14:paraId="3960619C" w14:textId="77777777" w:rsidR="00000000" w:rsidRDefault="00A173A8">
            <w:pPr>
              <w:spacing w:after="100"/>
              <w:rPr>
                <w:rFonts w:eastAsia="Times New Roman"/>
                <w:sz w:val="20"/>
                <w:szCs w:val="20"/>
              </w:rPr>
            </w:pPr>
          </w:p>
        </w:tc>
        <w:tc>
          <w:tcPr>
            <w:tcW w:w="0" w:type="auto"/>
            <w:gridSpan w:val="3"/>
            <w:vAlign w:val="center"/>
            <w:hideMark/>
          </w:tcPr>
          <w:p w14:paraId="418D75DD" w14:textId="77777777" w:rsidR="00000000" w:rsidRDefault="00A173A8">
            <w:pPr>
              <w:spacing w:after="100"/>
              <w:rPr>
                <w:rFonts w:eastAsia="Times New Roman"/>
                <w:sz w:val="20"/>
                <w:szCs w:val="20"/>
              </w:rPr>
            </w:pPr>
          </w:p>
        </w:tc>
        <w:tc>
          <w:tcPr>
            <w:tcW w:w="0" w:type="auto"/>
            <w:gridSpan w:val="3"/>
            <w:vAlign w:val="center"/>
            <w:hideMark/>
          </w:tcPr>
          <w:p w14:paraId="6AEF711B" w14:textId="77777777" w:rsidR="00000000" w:rsidRDefault="00A173A8">
            <w:pPr>
              <w:spacing w:after="100"/>
              <w:rPr>
                <w:rFonts w:eastAsia="Times New Roman"/>
                <w:sz w:val="20"/>
                <w:szCs w:val="20"/>
              </w:rPr>
            </w:pPr>
          </w:p>
        </w:tc>
        <w:tc>
          <w:tcPr>
            <w:tcW w:w="0" w:type="auto"/>
            <w:gridSpan w:val="3"/>
            <w:vAlign w:val="center"/>
            <w:hideMark/>
          </w:tcPr>
          <w:p w14:paraId="7ED30022" w14:textId="77777777" w:rsidR="00000000" w:rsidRDefault="00A173A8">
            <w:pPr>
              <w:spacing w:after="100"/>
              <w:rPr>
                <w:rFonts w:eastAsia="Times New Roman"/>
                <w:sz w:val="20"/>
                <w:szCs w:val="20"/>
              </w:rPr>
            </w:pPr>
          </w:p>
        </w:tc>
        <w:tc>
          <w:tcPr>
            <w:tcW w:w="0" w:type="auto"/>
            <w:gridSpan w:val="3"/>
            <w:vAlign w:val="center"/>
            <w:hideMark/>
          </w:tcPr>
          <w:p w14:paraId="7FB904C5" w14:textId="77777777" w:rsidR="00000000" w:rsidRDefault="00A173A8">
            <w:pPr>
              <w:spacing w:after="100"/>
              <w:rPr>
                <w:rFonts w:eastAsia="Times New Roman"/>
                <w:sz w:val="20"/>
                <w:szCs w:val="20"/>
              </w:rPr>
            </w:pPr>
          </w:p>
        </w:tc>
      </w:tr>
      <w:tr w:rsidR="00000000" w14:paraId="6C841760" w14:textId="77777777">
        <w:trPr>
          <w:divId w:val="1358772218"/>
        </w:trPr>
        <w:tc>
          <w:tcPr>
            <w:tcW w:w="0" w:type="auto"/>
            <w:gridSpan w:val="3"/>
            <w:shd w:val="clear" w:color="auto" w:fill="FFFFFF"/>
            <w:tcMar>
              <w:top w:w="30" w:type="dxa"/>
              <w:left w:w="20" w:type="dxa"/>
              <w:bottom w:w="30" w:type="dxa"/>
              <w:right w:w="20" w:type="dxa"/>
            </w:tcMar>
            <w:vAlign w:val="center"/>
            <w:hideMark/>
          </w:tcPr>
          <w:p w14:paraId="24A1572E" w14:textId="77777777" w:rsidR="00000000" w:rsidRDefault="00A173A8">
            <w:pPr>
              <w:spacing w:after="100"/>
              <w:rPr>
                <w:rFonts w:eastAsia="Times New Roman"/>
              </w:rPr>
            </w:pPr>
            <w:r>
              <w:rPr>
                <w:rFonts w:eastAsia="Times New Roman"/>
                <w:color w:val="000000"/>
                <w:sz w:val="16"/>
                <w:szCs w:val="16"/>
              </w:rPr>
              <w:t>Loans:</w:t>
            </w:r>
          </w:p>
        </w:tc>
        <w:tc>
          <w:tcPr>
            <w:tcW w:w="0" w:type="auto"/>
            <w:gridSpan w:val="3"/>
            <w:shd w:val="clear" w:color="auto" w:fill="FFFFFF"/>
            <w:tcMar>
              <w:top w:w="0" w:type="dxa"/>
              <w:left w:w="20" w:type="dxa"/>
              <w:bottom w:w="0" w:type="dxa"/>
              <w:right w:w="20" w:type="dxa"/>
            </w:tcMar>
            <w:vAlign w:val="center"/>
            <w:hideMark/>
          </w:tcPr>
          <w:p w14:paraId="5C9A3AAE"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C9FD2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028AA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8D0FD0" w14:textId="77777777" w:rsidR="00000000" w:rsidRDefault="00A173A8">
            <w:pPr>
              <w:spacing w:after="100"/>
              <w:rPr>
                <w:rFonts w:eastAsia="Times New Roman"/>
                <w:sz w:val="20"/>
                <w:szCs w:val="20"/>
              </w:rPr>
            </w:pPr>
          </w:p>
        </w:tc>
        <w:tc>
          <w:tcPr>
            <w:tcW w:w="0" w:type="auto"/>
            <w:gridSpan w:val="3"/>
            <w:vAlign w:val="center"/>
            <w:hideMark/>
          </w:tcPr>
          <w:p w14:paraId="59A489C9" w14:textId="77777777" w:rsidR="00000000" w:rsidRDefault="00A173A8">
            <w:pPr>
              <w:spacing w:after="100"/>
              <w:rPr>
                <w:rFonts w:eastAsia="Times New Roman"/>
                <w:sz w:val="20"/>
                <w:szCs w:val="20"/>
              </w:rPr>
            </w:pPr>
          </w:p>
        </w:tc>
        <w:tc>
          <w:tcPr>
            <w:tcW w:w="0" w:type="auto"/>
            <w:gridSpan w:val="3"/>
            <w:vAlign w:val="center"/>
            <w:hideMark/>
          </w:tcPr>
          <w:p w14:paraId="1846BB17" w14:textId="77777777" w:rsidR="00000000" w:rsidRDefault="00A173A8">
            <w:pPr>
              <w:spacing w:after="100"/>
              <w:rPr>
                <w:rFonts w:eastAsia="Times New Roman"/>
                <w:sz w:val="20"/>
                <w:szCs w:val="20"/>
              </w:rPr>
            </w:pPr>
          </w:p>
        </w:tc>
      </w:tr>
      <w:tr w:rsidR="00000000" w14:paraId="716CC231" w14:textId="77777777">
        <w:trPr>
          <w:divId w:val="1358772218"/>
        </w:trPr>
        <w:tc>
          <w:tcPr>
            <w:tcW w:w="0" w:type="auto"/>
            <w:gridSpan w:val="3"/>
            <w:shd w:val="clear" w:color="auto" w:fill="CCEEFF"/>
            <w:tcMar>
              <w:top w:w="30" w:type="dxa"/>
              <w:left w:w="245" w:type="dxa"/>
              <w:bottom w:w="30" w:type="dxa"/>
              <w:right w:w="20" w:type="dxa"/>
            </w:tcMar>
            <w:vAlign w:val="center"/>
            <w:hideMark/>
          </w:tcPr>
          <w:p w14:paraId="2281BCA8" w14:textId="77777777" w:rsidR="00000000" w:rsidRDefault="00A173A8">
            <w:pPr>
              <w:spacing w:after="100"/>
              <w:rPr>
                <w:rFonts w:eastAsia="Times New Roman"/>
              </w:rPr>
            </w:pPr>
            <w:r>
              <w:rPr>
                <w:rFonts w:eastAsia="Times New Roman"/>
                <w:color w:val="000000"/>
                <w:sz w:val="16"/>
                <w:szCs w:val="16"/>
              </w:rPr>
              <w:t>Net changes in loans originated as held for investment</w:t>
            </w:r>
          </w:p>
        </w:tc>
        <w:tc>
          <w:tcPr>
            <w:tcW w:w="0" w:type="auto"/>
            <w:gridSpan w:val="3"/>
            <w:shd w:val="clear" w:color="auto" w:fill="CCEEFF"/>
            <w:tcMar>
              <w:top w:w="0" w:type="dxa"/>
              <w:left w:w="20" w:type="dxa"/>
              <w:bottom w:w="0" w:type="dxa"/>
              <w:right w:w="20" w:type="dxa"/>
            </w:tcMar>
            <w:vAlign w:val="center"/>
            <w:hideMark/>
          </w:tcPr>
          <w:p w14:paraId="662F396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CB9B2A8" w14:textId="77777777" w:rsidR="00000000" w:rsidRDefault="00A173A8">
            <w:pPr>
              <w:spacing w:after="100"/>
              <w:jc w:val="right"/>
              <w:rPr>
                <w:rFonts w:eastAsia="Times New Roman"/>
              </w:rPr>
            </w:pPr>
            <w:r>
              <w:rPr>
                <w:rFonts w:eastAsia="Times New Roman"/>
                <w:b/>
                <w:bCs/>
                <w:color w:val="000000"/>
                <w:sz w:val="16"/>
                <w:szCs w:val="16"/>
              </w:rPr>
              <w:t>(17,352)</w:t>
            </w:r>
          </w:p>
        </w:tc>
        <w:tc>
          <w:tcPr>
            <w:tcW w:w="0" w:type="auto"/>
            <w:shd w:val="clear" w:color="auto" w:fill="CCEEFF"/>
            <w:tcMar>
              <w:top w:w="30" w:type="dxa"/>
              <w:left w:w="0" w:type="dxa"/>
              <w:bottom w:w="30" w:type="dxa"/>
              <w:right w:w="20" w:type="dxa"/>
            </w:tcMar>
            <w:vAlign w:val="center"/>
            <w:hideMark/>
          </w:tcPr>
          <w:p w14:paraId="3B079E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4A8D0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10A64B" w14:textId="77777777" w:rsidR="00000000" w:rsidRDefault="00A173A8">
            <w:pPr>
              <w:spacing w:after="100"/>
              <w:jc w:val="right"/>
              <w:rPr>
                <w:rFonts w:eastAsia="Times New Roman"/>
              </w:rPr>
            </w:pPr>
            <w:r>
              <w:rPr>
                <w:rFonts w:eastAsia="Times New Roman"/>
                <w:color w:val="000000"/>
                <w:sz w:val="16"/>
                <w:szCs w:val="16"/>
              </w:rPr>
              <w:t>(5,160)</w:t>
            </w:r>
          </w:p>
        </w:tc>
        <w:tc>
          <w:tcPr>
            <w:tcW w:w="0" w:type="auto"/>
            <w:shd w:val="clear" w:color="auto" w:fill="CCEEFF"/>
            <w:tcMar>
              <w:top w:w="30" w:type="dxa"/>
              <w:left w:w="0" w:type="dxa"/>
              <w:bottom w:w="30" w:type="dxa"/>
              <w:right w:w="20" w:type="dxa"/>
            </w:tcMar>
            <w:vAlign w:val="center"/>
            <w:hideMark/>
          </w:tcPr>
          <w:p w14:paraId="02C89545" w14:textId="77777777" w:rsidR="00000000" w:rsidRDefault="00A173A8">
            <w:pPr>
              <w:spacing w:after="100"/>
              <w:jc w:val="right"/>
              <w:rPr>
                <w:rFonts w:eastAsia="Times New Roman"/>
              </w:rPr>
            </w:pPr>
          </w:p>
        </w:tc>
        <w:tc>
          <w:tcPr>
            <w:tcW w:w="0" w:type="auto"/>
            <w:gridSpan w:val="3"/>
            <w:vAlign w:val="center"/>
            <w:hideMark/>
          </w:tcPr>
          <w:p w14:paraId="64131BA8" w14:textId="77777777" w:rsidR="00000000" w:rsidRDefault="00A173A8">
            <w:pPr>
              <w:spacing w:after="100"/>
              <w:jc w:val="right"/>
              <w:rPr>
                <w:rFonts w:eastAsia="Times New Roman"/>
                <w:sz w:val="20"/>
                <w:szCs w:val="20"/>
              </w:rPr>
            </w:pPr>
          </w:p>
        </w:tc>
        <w:tc>
          <w:tcPr>
            <w:tcW w:w="0" w:type="auto"/>
            <w:gridSpan w:val="3"/>
            <w:vAlign w:val="center"/>
            <w:hideMark/>
          </w:tcPr>
          <w:p w14:paraId="4C18E096" w14:textId="77777777" w:rsidR="00000000" w:rsidRDefault="00A173A8">
            <w:pPr>
              <w:spacing w:after="100"/>
              <w:rPr>
                <w:rFonts w:eastAsia="Times New Roman"/>
                <w:sz w:val="20"/>
                <w:szCs w:val="20"/>
              </w:rPr>
            </w:pPr>
          </w:p>
        </w:tc>
      </w:tr>
      <w:tr w:rsidR="00000000" w14:paraId="1D78C543" w14:textId="77777777">
        <w:trPr>
          <w:divId w:val="1358772218"/>
        </w:trPr>
        <w:tc>
          <w:tcPr>
            <w:tcW w:w="0" w:type="auto"/>
            <w:gridSpan w:val="3"/>
            <w:shd w:val="clear" w:color="auto" w:fill="FFFFFF"/>
            <w:tcMar>
              <w:top w:w="30" w:type="dxa"/>
              <w:left w:w="245" w:type="dxa"/>
              <w:bottom w:w="30" w:type="dxa"/>
              <w:right w:w="20" w:type="dxa"/>
            </w:tcMar>
            <w:vAlign w:val="center"/>
            <w:hideMark/>
          </w:tcPr>
          <w:p w14:paraId="7462BA9F" w14:textId="77777777" w:rsidR="00000000" w:rsidRDefault="00A173A8">
            <w:pPr>
              <w:spacing w:after="100"/>
              <w:rPr>
                <w:rFonts w:eastAsia="Times New Roman"/>
              </w:rPr>
            </w:pPr>
            <w:r>
              <w:rPr>
                <w:rFonts w:eastAsia="Times New Roman"/>
                <w:color w:val="000000"/>
                <w:sz w:val="16"/>
                <w:szCs w:val="16"/>
              </w:rPr>
              <w:t>Principal recoveries of loans previously charged off</w:t>
            </w:r>
          </w:p>
        </w:tc>
        <w:tc>
          <w:tcPr>
            <w:tcW w:w="0" w:type="auto"/>
            <w:gridSpan w:val="3"/>
            <w:shd w:val="clear" w:color="auto" w:fill="FFFFFF"/>
            <w:tcMar>
              <w:top w:w="0" w:type="dxa"/>
              <w:left w:w="20" w:type="dxa"/>
              <w:bottom w:w="0" w:type="dxa"/>
              <w:right w:w="20" w:type="dxa"/>
            </w:tcMar>
            <w:vAlign w:val="center"/>
            <w:hideMark/>
          </w:tcPr>
          <w:p w14:paraId="0A9E6A7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A66FEB7" w14:textId="77777777" w:rsidR="00000000" w:rsidRDefault="00A173A8">
            <w:pPr>
              <w:spacing w:after="100"/>
              <w:jc w:val="right"/>
              <w:rPr>
                <w:rFonts w:eastAsia="Times New Roman"/>
              </w:rPr>
            </w:pPr>
            <w:r>
              <w:rPr>
                <w:rFonts w:eastAsia="Times New Roman"/>
                <w:b/>
                <w:bCs/>
                <w:color w:val="000000"/>
                <w:sz w:val="16"/>
                <w:szCs w:val="16"/>
              </w:rPr>
              <w:t>1,092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5C46A81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C67A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10786E" w14:textId="77777777" w:rsidR="00000000" w:rsidRDefault="00A173A8">
            <w:pPr>
              <w:spacing w:after="100"/>
              <w:jc w:val="right"/>
              <w:rPr>
                <w:rFonts w:eastAsia="Times New Roman"/>
              </w:rPr>
            </w:pPr>
            <w:r>
              <w:rPr>
                <w:rFonts w:eastAsia="Times New Roman"/>
                <w:color w:val="000000"/>
                <w:sz w:val="16"/>
                <w:szCs w:val="16"/>
              </w:rPr>
              <w:t>1,308 </w:t>
            </w:r>
          </w:p>
        </w:tc>
        <w:tc>
          <w:tcPr>
            <w:tcW w:w="0" w:type="auto"/>
            <w:shd w:val="clear" w:color="auto" w:fill="FFFFFF"/>
            <w:tcMar>
              <w:top w:w="30" w:type="dxa"/>
              <w:left w:w="0" w:type="dxa"/>
              <w:bottom w:w="30" w:type="dxa"/>
              <w:right w:w="20" w:type="dxa"/>
            </w:tcMar>
            <w:vAlign w:val="center"/>
            <w:hideMark/>
          </w:tcPr>
          <w:p w14:paraId="64E91835" w14:textId="77777777" w:rsidR="00000000" w:rsidRDefault="00A173A8">
            <w:pPr>
              <w:spacing w:after="100"/>
              <w:jc w:val="right"/>
              <w:rPr>
                <w:rFonts w:eastAsia="Times New Roman"/>
              </w:rPr>
            </w:pPr>
          </w:p>
        </w:tc>
        <w:tc>
          <w:tcPr>
            <w:tcW w:w="0" w:type="auto"/>
            <w:gridSpan w:val="3"/>
            <w:vAlign w:val="center"/>
            <w:hideMark/>
          </w:tcPr>
          <w:p w14:paraId="5D529A05" w14:textId="77777777" w:rsidR="00000000" w:rsidRDefault="00A173A8">
            <w:pPr>
              <w:spacing w:after="100"/>
              <w:jc w:val="right"/>
              <w:rPr>
                <w:rFonts w:eastAsia="Times New Roman"/>
                <w:sz w:val="20"/>
                <w:szCs w:val="20"/>
              </w:rPr>
            </w:pPr>
          </w:p>
        </w:tc>
        <w:tc>
          <w:tcPr>
            <w:tcW w:w="0" w:type="auto"/>
            <w:gridSpan w:val="3"/>
            <w:vAlign w:val="center"/>
            <w:hideMark/>
          </w:tcPr>
          <w:p w14:paraId="44EB99D1" w14:textId="77777777" w:rsidR="00000000" w:rsidRDefault="00A173A8">
            <w:pPr>
              <w:spacing w:after="100"/>
              <w:rPr>
                <w:rFonts w:eastAsia="Times New Roman"/>
                <w:sz w:val="20"/>
                <w:szCs w:val="20"/>
              </w:rPr>
            </w:pPr>
          </w:p>
        </w:tc>
      </w:tr>
      <w:tr w:rsidR="00000000" w14:paraId="528D4398" w14:textId="77777777">
        <w:trPr>
          <w:divId w:val="1358772218"/>
        </w:trPr>
        <w:tc>
          <w:tcPr>
            <w:tcW w:w="0" w:type="auto"/>
            <w:gridSpan w:val="3"/>
            <w:shd w:val="clear" w:color="auto" w:fill="CCEEFF"/>
            <w:tcMar>
              <w:top w:w="30" w:type="dxa"/>
              <w:left w:w="20" w:type="dxa"/>
              <w:bottom w:w="30" w:type="dxa"/>
              <w:right w:w="20" w:type="dxa"/>
            </w:tcMar>
            <w:vAlign w:val="center"/>
            <w:hideMark/>
          </w:tcPr>
          <w:p w14:paraId="3D34691E" w14:textId="77777777" w:rsidR="00000000" w:rsidRDefault="00A173A8">
            <w:pPr>
              <w:spacing w:after="100"/>
              <w:rPr>
                <w:rFonts w:eastAsia="Times New Roman"/>
              </w:rPr>
            </w:pPr>
            <w:r>
              <w:rPr>
                <w:rFonts w:eastAsia="Times New Roman"/>
                <w:color w:val="000000"/>
                <w:sz w:val="16"/>
                <w:szCs w:val="16"/>
              </w:rPr>
              <w:t>Net purchases of premises and equipment</w:t>
            </w:r>
          </w:p>
        </w:tc>
        <w:tc>
          <w:tcPr>
            <w:tcW w:w="0" w:type="auto"/>
            <w:gridSpan w:val="3"/>
            <w:shd w:val="clear" w:color="auto" w:fill="CCEEFF"/>
            <w:tcMar>
              <w:top w:w="0" w:type="dxa"/>
              <w:left w:w="20" w:type="dxa"/>
              <w:bottom w:w="0" w:type="dxa"/>
              <w:right w:w="20" w:type="dxa"/>
            </w:tcMar>
            <w:vAlign w:val="center"/>
            <w:hideMark/>
          </w:tcPr>
          <w:p w14:paraId="1EB16C3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790EB99" w14:textId="77777777" w:rsidR="00000000" w:rsidRDefault="00A173A8">
            <w:pPr>
              <w:spacing w:after="100"/>
              <w:jc w:val="right"/>
              <w:rPr>
                <w:rFonts w:eastAsia="Times New Roman"/>
              </w:rPr>
            </w:pPr>
            <w:r>
              <w:rPr>
                <w:rFonts w:eastAsia="Times New Roman"/>
                <w:b/>
                <w:bCs/>
                <w:color w:val="000000"/>
                <w:sz w:val="16"/>
                <w:szCs w:val="16"/>
              </w:rPr>
              <w:t>(423)</w:t>
            </w:r>
          </w:p>
        </w:tc>
        <w:tc>
          <w:tcPr>
            <w:tcW w:w="0" w:type="auto"/>
            <w:shd w:val="clear" w:color="auto" w:fill="CCEEFF"/>
            <w:tcMar>
              <w:top w:w="30" w:type="dxa"/>
              <w:left w:w="0" w:type="dxa"/>
              <w:bottom w:w="30" w:type="dxa"/>
              <w:right w:w="20" w:type="dxa"/>
            </w:tcMar>
            <w:vAlign w:val="center"/>
            <w:hideMark/>
          </w:tcPr>
          <w:p w14:paraId="2DAB04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608D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EE24A7" w14:textId="77777777" w:rsidR="00000000" w:rsidRDefault="00A173A8">
            <w:pPr>
              <w:spacing w:after="100"/>
              <w:jc w:val="right"/>
              <w:rPr>
                <w:rFonts w:eastAsia="Times New Roman"/>
              </w:rPr>
            </w:pPr>
            <w:r>
              <w:rPr>
                <w:rFonts w:eastAsia="Times New Roman"/>
                <w:color w:val="000000"/>
                <w:sz w:val="16"/>
                <w:szCs w:val="16"/>
              </w:rPr>
              <w:t>(341)</w:t>
            </w:r>
          </w:p>
        </w:tc>
        <w:tc>
          <w:tcPr>
            <w:tcW w:w="0" w:type="auto"/>
            <w:shd w:val="clear" w:color="auto" w:fill="CCEEFF"/>
            <w:tcMar>
              <w:top w:w="30" w:type="dxa"/>
              <w:left w:w="0" w:type="dxa"/>
              <w:bottom w:w="30" w:type="dxa"/>
              <w:right w:w="20" w:type="dxa"/>
            </w:tcMar>
            <w:vAlign w:val="center"/>
            <w:hideMark/>
          </w:tcPr>
          <w:p w14:paraId="660100DE" w14:textId="77777777" w:rsidR="00000000" w:rsidRDefault="00A173A8">
            <w:pPr>
              <w:spacing w:after="100"/>
              <w:jc w:val="right"/>
              <w:rPr>
                <w:rFonts w:eastAsia="Times New Roman"/>
              </w:rPr>
            </w:pPr>
          </w:p>
        </w:tc>
        <w:tc>
          <w:tcPr>
            <w:tcW w:w="0" w:type="auto"/>
            <w:gridSpan w:val="3"/>
            <w:vAlign w:val="center"/>
            <w:hideMark/>
          </w:tcPr>
          <w:p w14:paraId="4F8B3B8F" w14:textId="77777777" w:rsidR="00000000" w:rsidRDefault="00A173A8">
            <w:pPr>
              <w:spacing w:after="100"/>
              <w:jc w:val="right"/>
              <w:rPr>
                <w:rFonts w:eastAsia="Times New Roman"/>
                <w:sz w:val="20"/>
                <w:szCs w:val="20"/>
              </w:rPr>
            </w:pPr>
          </w:p>
        </w:tc>
        <w:tc>
          <w:tcPr>
            <w:tcW w:w="0" w:type="auto"/>
            <w:gridSpan w:val="3"/>
            <w:vAlign w:val="center"/>
            <w:hideMark/>
          </w:tcPr>
          <w:p w14:paraId="2B78C0E8" w14:textId="77777777" w:rsidR="00000000" w:rsidRDefault="00A173A8">
            <w:pPr>
              <w:spacing w:after="100"/>
              <w:rPr>
                <w:rFonts w:eastAsia="Times New Roman"/>
                <w:sz w:val="20"/>
                <w:szCs w:val="20"/>
              </w:rPr>
            </w:pPr>
          </w:p>
        </w:tc>
      </w:tr>
      <w:tr w:rsidR="00000000" w14:paraId="1BECF208" w14:textId="77777777">
        <w:trPr>
          <w:divId w:val="1358772218"/>
        </w:trPr>
        <w:tc>
          <w:tcPr>
            <w:tcW w:w="0" w:type="auto"/>
            <w:gridSpan w:val="3"/>
            <w:shd w:val="clear" w:color="auto" w:fill="FFFFFF"/>
            <w:tcMar>
              <w:top w:w="30" w:type="dxa"/>
              <w:left w:w="20" w:type="dxa"/>
              <w:bottom w:w="30" w:type="dxa"/>
              <w:right w:w="20" w:type="dxa"/>
            </w:tcMar>
            <w:vAlign w:val="center"/>
            <w:hideMark/>
          </w:tcPr>
          <w:p w14:paraId="10670AB8" w14:textId="77777777" w:rsidR="00000000" w:rsidRDefault="00A173A8">
            <w:pPr>
              <w:spacing w:after="100"/>
              <w:rPr>
                <w:rFonts w:eastAsia="Times New Roman"/>
              </w:rPr>
            </w:pPr>
            <w:r>
              <w:rPr>
                <w:rFonts w:eastAsia="Times New Roman"/>
                <w:color w:val="000000"/>
                <w:sz w:val="16"/>
                <w:szCs w:val="16"/>
              </w:rPr>
              <w:t>Net cash from acquisition activities</w:t>
            </w:r>
          </w:p>
        </w:tc>
        <w:tc>
          <w:tcPr>
            <w:tcW w:w="0" w:type="auto"/>
            <w:gridSpan w:val="3"/>
            <w:shd w:val="clear" w:color="auto" w:fill="FFFFFF"/>
            <w:tcMar>
              <w:top w:w="0" w:type="dxa"/>
              <w:left w:w="20" w:type="dxa"/>
              <w:bottom w:w="0" w:type="dxa"/>
              <w:right w:w="20" w:type="dxa"/>
            </w:tcMar>
            <w:vAlign w:val="center"/>
            <w:hideMark/>
          </w:tcPr>
          <w:p w14:paraId="5C12E8E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7E626D"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7792CE6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0456D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83B297" w14:textId="77777777" w:rsidR="00000000" w:rsidRDefault="00A173A8">
            <w:pPr>
              <w:spacing w:after="100"/>
              <w:jc w:val="right"/>
              <w:rPr>
                <w:rFonts w:eastAsia="Times New Roman"/>
              </w:rPr>
            </w:pPr>
            <w:r>
              <w:rPr>
                <w:rFonts w:eastAsia="Times New Roman"/>
                <w:color w:val="000000"/>
                <w:sz w:val="16"/>
                <w:szCs w:val="16"/>
              </w:rPr>
              <w:t>(24)</w:t>
            </w:r>
          </w:p>
        </w:tc>
        <w:tc>
          <w:tcPr>
            <w:tcW w:w="0" w:type="auto"/>
            <w:shd w:val="clear" w:color="auto" w:fill="FFFFFF"/>
            <w:tcMar>
              <w:top w:w="30" w:type="dxa"/>
              <w:left w:w="0" w:type="dxa"/>
              <w:bottom w:w="30" w:type="dxa"/>
              <w:right w:w="20" w:type="dxa"/>
            </w:tcMar>
            <w:vAlign w:val="center"/>
            <w:hideMark/>
          </w:tcPr>
          <w:p w14:paraId="7A67582B" w14:textId="77777777" w:rsidR="00000000" w:rsidRDefault="00A173A8">
            <w:pPr>
              <w:spacing w:after="100"/>
              <w:jc w:val="right"/>
              <w:rPr>
                <w:rFonts w:eastAsia="Times New Roman"/>
              </w:rPr>
            </w:pPr>
          </w:p>
        </w:tc>
        <w:tc>
          <w:tcPr>
            <w:tcW w:w="0" w:type="auto"/>
            <w:gridSpan w:val="3"/>
            <w:vAlign w:val="center"/>
            <w:hideMark/>
          </w:tcPr>
          <w:p w14:paraId="69AE59A3" w14:textId="77777777" w:rsidR="00000000" w:rsidRDefault="00A173A8">
            <w:pPr>
              <w:spacing w:after="100"/>
              <w:jc w:val="right"/>
              <w:rPr>
                <w:rFonts w:eastAsia="Times New Roman"/>
                <w:sz w:val="20"/>
                <w:szCs w:val="20"/>
              </w:rPr>
            </w:pPr>
          </w:p>
        </w:tc>
        <w:tc>
          <w:tcPr>
            <w:tcW w:w="0" w:type="auto"/>
            <w:gridSpan w:val="3"/>
            <w:vAlign w:val="center"/>
            <w:hideMark/>
          </w:tcPr>
          <w:p w14:paraId="60B1B155" w14:textId="77777777" w:rsidR="00000000" w:rsidRDefault="00A173A8">
            <w:pPr>
              <w:spacing w:after="100"/>
              <w:rPr>
                <w:rFonts w:eastAsia="Times New Roman"/>
                <w:sz w:val="20"/>
                <w:szCs w:val="20"/>
              </w:rPr>
            </w:pPr>
          </w:p>
        </w:tc>
      </w:tr>
      <w:tr w:rsidR="00000000" w14:paraId="249881A3" w14:textId="77777777">
        <w:trPr>
          <w:divId w:val="1358772218"/>
        </w:trPr>
        <w:tc>
          <w:tcPr>
            <w:tcW w:w="0" w:type="auto"/>
            <w:gridSpan w:val="3"/>
            <w:shd w:val="clear" w:color="auto" w:fill="CCEEFF"/>
            <w:tcMar>
              <w:top w:w="30" w:type="dxa"/>
              <w:left w:w="20" w:type="dxa"/>
              <w:bottom w:w="30" w:type="dxa"/>
              <w:right w:w="20" w:type="dxa"/>
            </w:tcMar>
            <w:vAlign w:val="center"/>
            <w:hideMark/>
          </w:tcPr>
          <w:p w14:paraId="6C0DE2D0" w14:textId="77777777" w:rsidR="00000000" w:rsidRDefault="00A173A8">
            <w:pPr>
              <w:spacing w:after="100"/>
              <w:rPr>
                <w:rFonts w:eastAsia="Times New Roman"/>
              </w:rPr>
            </w:pPr>
            <w:r>
              <w:rPr>
                <w:rFonts w:eastAsia="Times New Roman"/>
                <w:color w:val="000000"/>
                <w:sz w:val="16"/>
                <w:szCs w:val="16"/>
              </w:rPr>
              <w:t>Net cash used in other investing activities</w:t>
            </w:r>
          </w:p>
        </w:tc>
        <w:tc>
          <w:tcPr>
            <w:tcW w:w="0" w:type="auto"/>
            <w:gridSpan w:val="3"/>
            <w:shd w:val="clear" w:color="auto" w:fill="CCEEFF"/>
            <w:tcMar>
              <w:top w:w="0" w:type="dxa"/>
              <w:left w:w="20" w:type="dxa"/>
              <w:bottom w:w="0" w:type="dxa"/>
              <w:right w:w="20" w:type="dxa"/>
            </w:tcMar>
            <w:vAlign w:val="center"/>
            <w:hideMark/>
          </w:tcPr>
          <w:p w14:paraId="6BC3317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A4D44EC" w14:textId="77777777" w:rsidR="00000000" w:rsidRDefault="00A173A8">
            <w:pPr>
              <w:spacing w:after="100"/>
              <w:jc w:val="right"/>
              <w:rPr>
                <w:rFonts w:eastAsia="Times New Roman"/>
              </w:rPr>
            </w:pPr>
            <w:r>
              <w:rPr>
                <w:rFonts w:eastAsia="Times New Roman"/>
                <w:b/>
                <w:bCs/>
                <w:color w:val="000000"/>
                <w:sz w:val="16"/>
                <w:szCs w:val="16"/>
              </w:rPr>
              <w:t>(490)</w:t>
            </w:r>
          </w:p>
        </w:tc>
        <w:tc>
          <w:tcPr>
            <w:tcW w:w="0" w:type="auto"/>
            <w:shd w:val="clear" w:color="auto" w:fill="CCEEFF"/>
            <w:tcMar>
              <w:top w:w="30" w:type="dxa"/>
              <w:left w:w="0" w:type="dxa"/>
              <w:bottom w:w="30" w:type="dxa"/>
              <w:right w:w="20" w:type="dxa"/>
            </w:tcMar>
            <w:vAlign w:val="center"/>
            <w:hideMark/>
          </w:tcPr>
          <w:p w14:paraId="4159EF7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4B15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548C9C" w14:textId="77777777" w:rsidR="00000000" w:rsidRDefault="00A173A8">
            <w:pPr>
              <w:spacing w:after="100"/>
              <w:jc w:val="right"/>
              <w:rPr>
                <w:rFonts w:eastAsia="Times New Roman"/>
              </w:rPr>
            </w:pPr>
            <w:r>
              <w:rPr>
                <w:rFonts w:eastAsia="Times New Roman"/>
                <w:color w:val="000000"/>
                <w:sz w:val="16"/>
                <w:szCs w:val="16"/>
              </w:rPr>
              <w:t>(26)</w:t>
            </w:r>
          </w:p>
        </w:tc>
        <w:tc>
          <w:tcPr>
            <w:tcW w:w="0" w:type="auto"/>
            <w:shd w:val="clear" w:color="auto" w:fill="CCEEFF"/>
            <w:tcMar>
              <w:top w:w="30" w:type="dxa"/>
              <w:left w:w="0" w:type="dxa"/>
              <w:bottom w:w="30" w:type="dxa"/>
              <w:right w:w="20" w:type="dxa"/>
            </w:tcMar>
            <w:vAlign w:val="center"/>
            <w:hideMark/>
          </w:tcPr>
          <w:p w14:paraId="16A2F805" w14:textId="77777777" w:rsidR="00000000" w:rsidRDefault="00A173A8">
            <w:pPr>
              <w:spacing w:after="100"/>
              <w:jc w:val="right"/>
              <w:rPr>
                <w:rFonts w:eastAsia="Times New Roman"/>
              </w:rPr>
            </w:pPr>
          </w:p>
        </w:tc>
        <w:tc>
          <w:tcPr>
            <w:tcW w:w="0" w:type="auto"/>
            <w:gridSpan w:val="3"/>
            <w:vAlign w:val="center"/>
            <w:hideMark/>
          </w:tcPr>
          <w:p w14:paraId="051185E7" w14:textId="77777777" w:rsidR="00000000" w:rsidRDefault="00A173A8">
            <w:pPr>
              <w:spacing w:after="100"/>
              <w:jc w:val="right"/>
              <w:rPr>
                <w:rFonts w:eastAsia="Times New Roman"/>
                <w:sz w:val="20"/>
                <w:szCs w:val="20"/>
              </w:rPr>
            </w:pPr>
          </w:p>
        </w:tc>
        <w:tc>
          <w:tcPr>
            <w:tcW w:w="0" w:type="auto"/>
            <w:gridSpan w:val="3"/>
            <w:vAlign w:val="center"/>
            <w:hideMark/>
          </w:tcPr>
          <w:p w14:paraId="0C4A973C" w14:textId="77777777" w:rsidR="00000000" w:rsidRDefault="00A173A8">
            <w:pPr>
              <w:spacing w:after="100"/>
              <w:rPr>
                <w:rFonts w:eastAsia="Times New Roman"/>
                <w:sz w:val="20"/>
                <w:szCs w:val="20"/>
              </w:rPr>
            </w:pPr>
          </w:p>
        </w:tc>
      </w:tr>
      <w:tr w:rsidR="00000000" w14:paraId="416FE6AD" w14:textId="77777777">
        <w:trPr>
          <w:divId w:val="1358772218"/>
        </w:trPr>
        <w:tc>
          <w:tcPr>
            <w:tcW w:w="0" w:type="auto"/>
            <w:gridSpan w:val="3"/>
            <w:shd w:val="clear" w:color="auto" w:fill="FFFFFF"/>
            <w:tcMar>
              <w:top w:w="30" w:type="dxa"/>
              <w:left w:w="20" w:type="dxa"/>
              <w:bottom w:w="30" w:type="dxa"/>
              <w:right w:w="20" w:type="dxa"/>
            </w:tcMar>
            <w:vAlign w:val="center"/>
            <w:hideMark/>
          </w:tcPr>
          <w:p w14:paraId="09B1FD78" w14:textId="77777777" w:rsidR="00000000" w:rsidRDefault="00A173A8">
            <w:pPr>
              <w:spacing w:after="100"/>
              <w:rPr>
                <w:rFonts w:eastAsia="Times New Roman"/>
              </w:rPr>
            </w:pPr>
            <w:r>
              <w:rPr>
                <w:rFonts w:eastAsia="Times New Roman"/>
                <w:b/>
                <w:bCs/>
                <w:color w:val="000000"/>
                <w:sz w:val="16"/>
                <w:szCs w:val="16"/>
              </w:rPr>
              <w:t>Net cash used in investing activities</w:t>
            </w:r>
          </w:p>
        </w:tc>
        <w:tc>
          <w:tcPr>
            <w:tcW w:w="0" w:type="auto"/>
            <w:gridSpan w:val="3"/>
            <w:shd w:val="clear" w:color="auto" w:fill="FFFFFF"/>
            <w:tcMar>
              <w:top w:w="0" w:type="dxa"/>
              <w:left w:w="20" w:type="dxa"/>
              <w:bottom w:w="0" w:type="dxa"/>
              <w:right w:w="20" w:type="dxa"/>
            </w:tcMar>
            <w:vAlign w:val="center"/>
            <w:hideMark/>
          </w:tcPr>
          <w:p w14:paraId="0C55A15D" w14:textId="77777777" w:rsidR="00000000" w:rsidRDefault="00A173A8">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4C1C2C2D" w14:textId="77777777" w:rsidR="00000000" w:rsidRDefault="00A173A8">
            <w:pPr>
              <w:spacing w:after="100"/>
              <w:jc w:val="right"/>
              <w:rPr>
                <w:rFonts w:eastAsia="Times New Roman"/>
              </w:rPr>
            </w:pPr>
            <w:r>
              <w:rPr>
                <w:rFonts w:eastAsia="Times New Roman"/>
                <w:b/>
                <w:bCs/>
                <w:color w:val="000000"/>
                <w:sz w:val="16"/>
                <w:szCs w:val="16"/>
              </w:rPr>
              <w:t>(12,502)</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6FD787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741D18"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138D0527" w14:textId="77777777" w:rsidR="00000000" w:rsidRDefault="00A173A8">
            <w:pPr>
              <w:spacing w:after="100"/>
              <w:jc w:val="right"/>
              <w:rPr>
                <w:rFonts w:eastAsia="Times New Roman"/>
              </w:rPr>
            </w:pPr>
            <w:r>
              <w:rPr>
                <w:rFonts w:eastAsia="Times New Roman"/>
                <w:color w:val="000000"/>
                <w:sz w:val="16"/>
                <w:szCs w:val="16"/>
              </w:rPr>
              <w:t>(7,691)</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240B5E12" w14:textId="77777777" w:rsidR="00000000" w:rsidRDefault="00A173A8">
            <w:pPr>
              <w:spacing w:after="100"/>
              <w:jc w:val="right"/>
              <w:rPr>
                <w:rFonts w:eastAsia="Times New Roman"/>
              </w:rPr>
            </w:pPr>
          </w:p>
        </w:tc>
        <w:tc>
          <w:tcPr>
            <w:tcW w:w="0" w:type="auto"/>
            <w:gridSpan w:val="3"/>
            <w:vAlign w:val="center"/>
            <w:hideMark/>
          </w:tcPr>
          <w:p w14:paraId="63249527" w14:textId="77777777" w:rsidR="00000000" w:rsidRDefault="00A173A8">
            <w:pPr>
              <w:spacing w:after="100"/>
              <w:jc w:val="right"/>
              <w:rPr>
                <w:rFonts w:eastAsia="Times New Roman"/>
                <w:sz w:val="20"/>
                <w:szCs w:val="20"/>
              </w:rPr>
            </w:pPr>
          </w:p>
        </w:tc>
        <w:tc>
          <w:tcPr>
            <w:tcW w:w="0" w:type="auto"/>
            <w:gridSpan w:val="3"/>
            <w:vAlign w:val="center"/>
            <w:hideMark/>
          </w:tcPr>
          <w:p w14:paraId="0D7AF75A" w14:textId="77777777" w:rsidR="00000000" w:rsidRDefault="00A173A8">
            <w:pPr>
              <w:spacing w:after="100"/>
              <w:rPr>
                <w:rFonts w:eastAsia="Times New Roman"/>
                <w:sz w:val="20"/>
                <w:szCs w:val="20"/>
              </w:rPr>
            </w:pPr>
          </w:p>
        </w:tc>
      </w:tr>
      <w:tr w:rsidR="00000000" w14:paraId="2CC73222" w14:textId="77777777">
        <w:trPr>
          <w:divId w:val="1358772218"/>
          <w:trHeight w:val="240"/>
        </w:trPr>
        <w:tc>
          <w:tcPr>
            <w:tcW w:w="0" w:type="auto"/>
            <w:gridSpan w:val="15"/>
            <w:tcMar>
              <w:top w:w="0" w:type="dxa"/>
              <w:left w:w="20" w:type="dxa"/>
              <w:bottom w:w="0" w:type="dxa"/>
              <w:right w:w="20" w:type="dxa"/>
            </w:tcMar>
            <w:vAlign w:val="center"/>
            <w:hideMark/>
          </w:tcPr>
          <w:p w14:paraId="7CF1506A" w14:textId="77777777" w:rsidR="00000000" w:rsidRDefault="00A173A8">
            <w:pPr>
              <w:spacing w:after="100"/>
              <w:rPr>
                <w:rFonts w:eastAsia="Times New Roman"/>
                <w:sz w:val="20"/>
                <w:szCs w:val="20"/>
              </w:rPr>
            </w:pPr>
          </w:p>
        </w:tc>
        <w:tc>
          <w:tcPr>
            <w:tcW w:w="0" w:type="auto"/>
            <w:vAlign w:val="center"/>
            <w:hideMark/>
          </w:tcPr>
          <w:p w14:paraId="50A6DCFB" w14:textId="77777777" w:rsidR="00000000" w:rsidRDefault="00A173A8">
            <w:pPr>
              <w:spacing w:after="100"/>
              <w:rPr>
                <w:rFonts w:eastAsia="Times New Roman"/>
                <w:sz w:val="20"/>
                <w:szCs w:val="20"/>
              </w:rPr>
            </w:pPr>
          </w:p>
        </w:tc>
        <w:tc>
          <w:tcPr>
            <w:tcW w:w="0" w:type="auto"/>
            <w:vAlign w:val="center"/>
            <w:hideMark/>
          </w:tcPr>
          <w:p w14:paraId="2C78675F" w14:textId="77777777" w:rsidR="00000000" w:rsidRDefault="00A173A8">
            <w:pPr>
              <w:spacing w:after="100"/>
              <w:rPr>
                <w:rFonts w:eastAsia="Times New Roman"/>
                <w:sz w:val="20"/>
                <w:szCs w:val="20"/>
              </w:rPr>
            </w:pPr>
          </w:p>
        </w:tc>
        <w:tc>
          <w:tcPr>
            <w:tcW w:w="0" w:type="auto"/>
            <w:vAlign w:val="center"/>
            <w:hideMark/>
          </w:tcPr>
          <w:p w14:paraId="2222675A" w14:textId="77777777" w:rsidR="00000000" w:rsidRDefault="00A173A8">
            <w:pPr>
              <w:spacing w:after="100"/>
              <w:rPr>
                <w:rFonts w:eastAsia="Times New Roman"/>
                <w:sz w:val="20"/>
                <w:szCs w:val="20"/>
              </w:rPr>
            </w:pPr>
          </w:p>
        </w:tc>
        <w:tc>
          <w:tcPr>
            <w:tcW w:w="0" w:type="auto"/>
            <w:vAlign w:val="center"/>
            <w:hideMark/>
          </w:tcPr>
          <w:p w14:paraId="1CE3B83F" w14:textId="77777777" w:rsidR="00000000" w:rsidRDefault="00A173A8">
            <w:pPr>
              <w:spacing w:after="100"/>
              <w:rPr>
                <w:rFonts w:eastAsia="Times New Roman"/>
                <w:sz w:val="20"/>
                <w:szCs w:val="20"/>
              </w:rPr>
            </w:pPr>
          </w:p>
        </w:tc>
        <w:tc>
          <w:tcPr>
            <w:tcW w:w="0" w:type="auto"/>
            <w:vAlign w:val="center"/>
            <w:hideMark/>
          </w:tcPr>
          <w:p w14:paraId="6720067A" w14:textId="77777777" w:rsidR="00000000" w:rsidRDefault="00A173A8">
            <w:pPr>
              <w:spacing w:after="100"/>
              <w:rPr>
                <w:rFonts w:eastAsia="Times New Roman"/>
                <w:sz w:val="20"/>
                <w:szCs w:val="20"/>
              </w:rPr>
            </w:pPr>
          </w:p>
        </w:tc>
        <w:tc>
          <w:tcPr>
            <w:tcW w:w="0" w:type="auto"/>
            <w:vAlign w:val="center"/>
            <w:hideMark/>
          </w:tcPr>
          <w:p w14:paraId="52A55BFF"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AB0EE40" w14:textId="77777777">
        <w:trPr>
          <w:jc w:val="center"/>
        </w:trPr>
        <w:tc>
          <w:tcPr>
            <w:tcW w:w="50" w:type="pct"/>
            <w:vAlign w:val="center"/>
            <w:hideMark/>
          </w:tcPr>
          <w:p w14:paraId="70DB1CCA" w14:textId="77777777" w:rsidR="00000000" w:rsidRDefault="00A173A8">
            <w:pPr>
              <w:rPr>
                <w:rFonts w:eastAsia="Times New Roman"/>
              </w:rPr>
            </w:pPr>
          </w:p>
        </w:tc>
        <w:tc>
          <w:tcPr>
            <w:tcW w:w="1606" w:type="pct"/>
            <w:vAlign w:val="center"/>
            <w:hideMark/>
          </w:tcPr>
          <w:p w14:paraId="20EC5471" w14:textId="77777777" w:rsidR="00000000" w:rsidRDefault="00A173A8">
            <w:pPr>
              <w:spacing w:after="100"/>
              <w:rPr>
                <w:rFonts w:eastAsia="Times New Roman"/>
                <w:sz w:val="20"/>
                <w:szCs w:val="20"/>
              </w:rPr>
            </w:pPr>
          </w:p>
        </w:tc>
        <w:tc>
          <w:tcPr>
            <w:tcW w:w="5" w:type="pct"/>
            <w:vAlign w:val="center"/>
            <w:hideMark/>
          </w:tcPr>
          <w:p w14:paraId="25702BA0" w14:textId="77777777" w:rsidR="00000000" w:rsidRDefault="00A173A8">
            <w:pPr>
              <w:spacing w:after="100"/>
              <w:rPr>
                <w:rFonts w:eastAsia="Times New Roman"/>
                <w:sz w:val="20"/>
                <w:szCs w:val="20"/>
              </w:rPr>
            </w:pPr>
          </w:p>
        </w:tc>
        <w:tc>
          <w:tcPr>
            <w:tcW w:w="50" w:type="pct"/>
            <w:vAlign w:val="center"/>
            <w:hideMark/>
          </w:tcPr>
          <w:p w14:paraId="5B4651EB" w14:textId="77777777" w:rsidR="00000000" w:rsidRDefault="00A173A8">
            <w:pPr>
              <w:spacing w:after="100"/>
              <w:rPr>
                <w:rFonts w:eastAsia="Times New Roman"/>
                <w:sz w:val="20"/>
                <w:szCs w:val="20"/>
              </w:rPr>
            </w:pPr>
          </w:p>
        </w:tc>
        <w:tc>
          <w:tcPr>
            <w:tcW w:w="1614" w:type="pct"/>
            <w:vAlign w:val="center"/>
            <w:hideMark/>
          </w:tcPr>
          <w:p w14:paraId="33C19870" w14:textId="77777777" w:rsidR="00000000" w:rsidRDefault="00A173A8">
            <w:pPr>
              <w:spacing w:after="100"/>
              <w:rPr>
                <w:rFonts w:eastAsia="Times New Roman"/>
                <w:sz w:val="20"/>
                <w:szCs w:val="20"/>
              </w:rPr>
            </w:pPr>
          </w:p>
        </w:tc>
        <w:tc>
          <w:tcPr>
            <w:tcW w:w="5" w:type="pct"/>
            <w:vAlign w:val="center"/>
            <w:hideMark/>
          </w:tcPr>
          <w:p w14:paraId="2501C207" w14:textId="77777777" w:rsidR="00000000" w:rsidRDefault="00A173A8">
            <w:pPr>
              <w:spacing w:after="100"/>
              <w:rPr>
                <w:rFonts w:eastAsia="Times New Roman"/>
                <w:sz w:val="20"/>
                <w:szCs w:val="20"/>
              </w:rPr>
            </w:pPr>
          </w:p>
        </w:tc>
        <w:tc>
          <w:tcPr>
            <w:tcW w:w="50" w:type="pct"/>
            <w:vAlign w:val="center"/>
            <w:hideMark/>
          </w:tcPr>
          <w:p w14:paraId="4F7D4901" w14:textId="77777777" w:rsidR="00000000" w:rsidRDefault="00A173A8">
            <w:pPr>
              <w:spacing w:after="100"/>
              <w:rPr>
                <w:rFonts w:eastAsia="Times New Roman"/>
                <w:sz w:val="20"/>
                <w:szCs w:val="20"/>
              </w:rPr>
            </w:pPr>
          </w:p>
        </w:tc>
        <w:tc>
          <w:tcPr>
            <w:tcW w:w="1614" w:type="pct"/>
            <w:vAlign w:val="center"/>
            <w:hideMark/>
          </w:tcPr>
          <w:p w14:paraId="146689A0" w14:textId="77777777" w:rsidR="00000000" w:rsidRDefault="00A173A8">
            <w:pPr>
              <w:spacing w:after="100"/>
              <w:rPr>
                <w:rFonts w:eastAsia="Times New Roman"/>
                <w:sz w:val="20"/>
                <w:szCs w:val="20"/>
              </w:rPr>
            </w:pPr>
          </w:p>
        </w:tc>
        <w:tc>
          <w:tcPr>
            <w:tcW w:w="5" w:type="pct"/>
            <w:vAlign w:val="center"/>
            <w:hideMark/>
          </w:tcPr>
          <w:p w14:paraId="3CBA85EF" w14:textId="77777777" w:rsidR="00000000" w:rsidRDefault="00A173A8">
            <w:pPr>
              <w:spacing w:after="100"/>
              <w:rPr>
                <w:rFonts w:eastAsia="Times New Roman"/>
                <w:sz w:val="20"/>
                <w:szCs w:val="20"/>
              </w:rPr>
            </w:pPr>
          </w:p>
        </w:tc>
      </w:tr>
      <w:tr w:rsidR="00000000" w14:paraId="2F309CEC" w14:textId="77777777">
        <w:trPr>
          <w:jc w:val="center"/>
        </w:trPr>
        <w:tc>
          <w:tcPr>
            <w:tcW w:w="0" w:type="auto"/>
            <w:gridSpan w:val="9"/>
            <w:tcMar>
              <w:top w:w="30" w:type="dxa"/>
              <w:left w:w="20" w:type="dxa"/>
              <w:bottom w:w="30" w:type="dxa"/>
              <w:right w:w="20" w:type="dxa"/>
            </w:tcMar>
            <w:vAlign w:val="bottom"/>
            <w:hideMark/>
          </w:tcPr>
          <w:p w14:paraId="50B0F194" w14:textId="77777777" w:rsidR="00000000" w:rsidRDefault="00A173A8">
            <w:pPr>
              <w:spacing w:after="100"/>
              <w:jc w:val="center"/>
              <w:rPr>
                <w:rFonts w:eastAsia="Times New Roman"/>
              </w:rPr>
            </w:pPr>
            <w:r>
              <w:rPr>
                <w:rFonts w:eastAsia="Times New Roman"/>
                <w:color w:val="000000"/>
                <w:sz w:val="20"/>
                <w:szCs w:val="20"/>
              </w:rPr>
              <w:t>See Notes to Consolidated Financial Statements.</w:t>
            </w:r>
          </w:p>
        </w:tc>
      </w:tr>
      <w:tr w:rsidR="00000000" w14:paraId="7B656045" w14:textId="77777777">
        <w:trPr>
          <w:jc w:val="center"/>
        </w:trPr>
        <w:tc>
          <w:tcPr>
            <w:tcW w:w="0" w:type="auto"/>
            <w:gridSpan w:val="3"/>
            <w:tcMar>
              <w:top w:w="0" w:type="dxa"/>
              <w:left w:w="20" w:type="dxa"/>
              <w:bottom w:w="0" w:type="dxa"/>
              <w:right w:w="20" w:type="dxa"/>
            </w:tcMar>
            <w:vAlign w:val="center"/>
            <w:hideMark/>
          </w:tcPr>
          <w:p w14:paraId="7700E19F"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DC936F" w14:textId="77777777" w:rsidR="00000000" w:rsidRDefault="00A173A8">
            <w:pPr>
              <w:spacing w:after="100"/>
              <w:jc w:val="center"/>
              <w:rPr>
                <w:rFonts w:eastAsia="Times New Roman"/>
              </w:rPr>
            </w:pPr>
            <w:r>
              <w:rPr>
                <w:rFonts w:eastAsia="Times New Roman"/>
                <w:color w:val="000000"/>
                <w:sz w:val="16"/>
                <w:szCs w:val="16"/>
              </w:rPr>
              <w:t>69</w:t>
            </w:r>
          </w:p>
        </w:tc>
        <w:tc>
          <w:tcPr>
            <w:tcW w:w="0" w:type="auto"/>
            <w:gridSpan w:val="3"/>
            <w:tcMar>
              <w:top w:w="30" w:type="dxa"/>
              <w:left w:w="20" w:type="dxa"/>
              <w:bottom w:w="30" w:type="dxa"/>
              <w:right w:w="20" w:type="dxa"/>
            </w:tcMar>
            <w:vAlign w:val="bottom"/>
            <w:hideMark/>
          </w:tcPr>
          <w:p w14:paraId="64110122"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B2B3EFC" w14:textId="77777777" w:rsidR="00000000" w:rsidRDefault="00A173A8">
      <w:pPr>
        <w:rPr>
          <w:rFonts w:eastAsia="Times New Roman"/>
        </w:rPr>
      </w:pPr>
      <w:r>
        <w:rPr>
          <w:rFonts w:eastAsia="Times New Roman"/>
        </w:rPr>
        <w:pict w14:anchorId="7F61E208">
          <v:rect id="_x0000_i1094" style="width:0;height:1.5pt" o:hralign="center" o:hrstd="t" o:hr="t" fillcolor="#a0a0a0" stroked="f"/>
        </w:pict>
      </w:r>
    </w:p>
    <w:p w14:paraId="451C3691" w14:textId="77777777" w:rsidR="00000000" w:rsidRDefault="00A173A8">
      <w:pPr>
        <w:jc w:val="both"/>
        <w:divId w:val="2076078815"/>
        <w:rPr>
          <w:rFonts w:eastAsia="Times New Roman"/>
        </w:rPr>
      </w:pPr>
      <w:hyperlink w:anchor="i7ffd5d61af6f4722b1b1b07530d51c06_13" w:history="1">
        <w:r>
          <w:rPr>
            <w:rStyle w:val="a3"/>
            <w:rFonts w:eastAsia="Times New Roman"/>
            <w:sz w:val="16"/>
            <w:szCs w:val="16"/>
          </w:rPr>
          <w:t>Table of Contents</w:t>
        </w:r>
      </w:hyperlink>
    </w:p>
    <w:p w14:paraId="66663D9A" w14:textId="77777777" w:rsidR="00000000" w:rsidRDefault="00A173A8">
      <w:pPr>
        <w:jc w:val="center"/>
        <w:divId w:val="2076078815"/>
        <w:rPr>
          <w:rFonts w:eastAsia="Times New Roman"/>
        </w:rPr>
      </w:pPr>
    </w:p>
    <w:p w14:paraId="7B56307B" w14:textId="77777777" w:rsidR="00000000" w:rsidRDefault="00A173A8">
      <w:pPr>
        <w:jc w:val="center"/>
        <w:divId w:val="2076078815"/>
        <w:rPr>
          <w:rFonts w:eastAsia="Times New Roman"/>
        </w:rPr>
      </w:pPr>
      <w:r>
        <w:rPr>
          <w:rFonts w:eastAsia="Times New Roman"/>
          <w:b/>
          <w:bCs/>
          <w:color w:val="000000"/>
          <w:sz w:val="20"/>
          <w:szCs w:val="20"/>
        </w:rPr>
        <w:t>CAPITAL ONE FINANCIAL CORPORATION</w:t>
      </w:r>
    </w:p>
    <w:p w14:paraId="348EE255" w14:textId="77777777" w:rsidR="00000000" w:rsidRDefault="00A173A8">
      <w:pPr>
        <w:jc w:val="center"/>
        <w:divId w:val="2076078815"/>
        <w:rPr>
          <w:rFonts w:eastAsia="Times New Roman"/>
        </w:rPr>
      </w:pPr>
      <w:r>
        <w:rPr>
          <w:rFonts w:eastAsia="Times New Roman"/>
          <w:b/>
          <w:bCs/>
          <w:color w:val="000000"/>
          <w:sz w:val="20"/>
          <w:szCs w:val="20"/>
        </w:rPr>
        <w:t>CONSOLIDATED STATEMENTS OF CASH FLOWS (UNAUDITED)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5503"/>
        <w:gridCol w:w="40"/>
        <w:gridCol w:w="36"/>
        <w:gridCol w:w="36"/>
        <w:gridCol w:w="36"/>
        <w:gridCol w:w="100"/>
        <w:gridCol w:w="1009"/>
        <w:gridCol w:w="36"/>
        <w:gridCol w:w="36"/>
        <w:gridCol w:w="36"/>
        <w:gridCol w:w="36"/>
        <w:gridCol w:w="100"/>
        <w:gridCol w:w="1009"/>
        <w:gridCol w:w="36"/>
        <w:gridCol w:w="36"/>
        <w:gridCol w:w="36"/>
        <w:gridCol w:w="36"/>
        <w:gridCol w:w="36"/>
        <w:gridCol w:w="36"/>
        <w:gridCol w:w="36"/>
      </w:tblGrid>
      <w:tr w:rsidR="00000000" w14:paraId="05AEA17A" w14:textId="77777777">
        <w:trPr>
          <w:divId w:val="1518959676"/>
        </w:trPr>
        <w:tc>
          <w:tcPr>
            <w:tcW w:w="50" w:type="pct"/>
            <w:vAlign w:val="center"/>
            <w:hideMark/>
          </w:tcPr>
          <w:p w14:paraId="688DB643" w14:textId="77777777" w:rsidR="00000000" w:rsidRDefault="00A173A8">
            <w:pPr>
              <w:jc w:val="center"/>
              <w:rPr>
                <w:rFonts w:eastAsia="Times New Roman"/>
              </w:rPr>
            </w:pPr>
          </w:p>
        </w:tc>
        <w:tc>
          <w:tcPr>
            <w:tcW w:w="3424" w:type="pct"/>
            <w:vAlign w:val="center"/>
            <w:hideMark/>
          </w:tcPr>
          <w:p w14:paraId="1F960AF3" w14:textId="77777777" w:rsidR="00000000" w:rsidRDefault="00A173A8">
            <w:pPr>
              <w:spacing w:after="100"/>
              <w:rPr>
                <w:rFonts w:eastAsia="Times New Roman"/>
                <w:sz w:val="20"/>
                <w:szCs w:val="20"/>
              </w:rPr>
            </w:pPr>
          </w:p>
        </w:tc>
        <w:tc>
          <w:tcPr>
            <w:tcW w:w="5" w:type="pct"/>
            <w:vAlign w:val="center"/>
            <w:hideMark/>
          </w:tcPr>
          <w:p w14:paraId="5A2EC140" w14:textId="77777777" w:rsidR="00000000" w:rsidRDefault="00A173A8">
            <w:pPr>
              <w:spacing w:after="100"/>
              <w:rPr>
                <w:rFonts w:eastAsia="Times New Roman"/>
                <w:sz w:val="20"/>
                <w:szCs w:val="20"/>
              </w:rPr>
            </w:pPr>
          </w:p>
        </w:tc>
        <w:tc>
          <w:tcPr>
            <w:tcW w:w="5" w:type="pct"/>
            <w:vAlign w:val="center"/>
            <w:hideMark/>
          </w:tcPr>
          <w:p w14:paraId="4EB89E33" w14:textId="77777777" w:rsidR="00000000" w:rsidRDefault="00A173A8">
            <w:pPr>
              <w:spacing w:after="100"/>
              <w:rPr>
                <w:rFonts w:eastAsia="Times New Roman"/>
                <w:sz w:val="20"/>
                <w:szCs w:val="20"/>
              </w:rPr>
            </w:pPr>
          </w:p>
        </w:tc>
        <w:tc>
          <w:tcPr>
            <w:tcW w:w="26" w:type="pct"/>
            <w:vAlign w:val="center"/>
            <w:hideMark/>
          </w:tcPr>
          <w:p w14:paraId="1B99DE3A" w14:textId="77777777" w:rsidR="00000000" w:rsidRDefault="00A173A8">
            <w:pPr>
              <w:spacing w:after="100"/>
              <w:rPr>
                <w:rFonts w:eastAsia="Times New Roman"/>
                <w:sz w:val="20"/>
                <w:szCs w:val="20"/>
              </w:rPr>
            </w:pPr>
          </w:p>
        </w:tc>
        <w:tc>
          <w:tcPr>
            <w:tcW w:w="5" w:type="pct"/>
            <w:vAlign w:val="center"/>
            <w:hideMark/>
          </w:tcPr>
          <w:p w14:paraId="78EF066C" w14:textId="77777777" w:rsidR="00000000" w:rsidRDefault="00A173A8">
            <w:pPr>
              <w:spacing w:after="100"/>
              <w:rPr>
                <w:rFonts w:eastAsia="Times New Roman"/>
                <w:sz w:val="20"/>
                <w:szCs w:val="20"/>
              </w:rPr>
            </w:pPr>
          </w:p>
        </w:tc>
        <w:tc>
          <w:tcPr>
            <w:tcW w:w="50" w:type="pct"/>
            <w:vAlign w:val="center"/>
            <w:hideMark/>
          </w:tcPr>
          <w:p w14:paraId="04D655A6" w14:textId="77777777" w:rsidR="00000000" w:rsidRDefault="00A173A8">
            <w:pPr>
              <w:spacing w:after="100"/>
              <w:rPr>
                <w:rFonts w:eastAsia="Times New Roman"/>
                <w:sz w:val="20"/>
                <w:szCs w:val="20"/>
              </w:rPr>
            </w:pPr>
          </w:p>
        </w:tc>
        <w:tc>
          <w:tcPr>
            <w:tcW w:w="668" w:type="pct"/>
            <w:vAlign w:val="center"/>
            <w:hideMark/>
          </w:tcPr>
          <w:p w14:paraId="2DA070E3" w14:textId="77777777" w:rsidR="00000000" w:rsidRDefault="00A173A8">
            <w:pPr>
              <w:spacing w:after="100"/>
              <w:rPr>
                <w:rFonts w:eastAsia="Times New Roman"/>
                <w:sz w:val="20"/>
                <w:szCs w:val="20"/>
              </w:rPr>
            </w:pPr>
          </w:p>
        </w:tc>
        <w:tc>
          <w:tcPr>
            <w:tcW w:w="5" w:type="pct"/>
            <w:vAlign w:val="center"/>
            <w:hideMark/>
          </w:tcPr>
          <w:p w14:paraId="7F17750D" w14:textId="77777777" w:rsidR="00000000" w:rsidRDefault="00A173A8">
            <w:pPr>
              <w:spacing w:after="100"/>
              <w:rPr>
                <w:rFonts w:eastAsia="Times New Roman"/>
                <w:sz w:val="20"/>
                <w:szCs w:val="20"/>
              </w:rPr>
            </w:pPr>
          </w:p>
        </w:tc>
        <w:tc>
          <w:tcPr>
            <w:tcW w:w="5" w:type="pct"/>
            <w:vAlign w:val="center"/>
            <w:hideMark/>
          </w:tcPr>
          <w:p w14:paraId="41F26397" w14:textId="77777777" w:rsidR="00000000" w:rsidRDefault="00A173A8">
            <w:pPr>
              <w:spacing w:after="100"/>
              <w:rPr>
                <w:rFonts w:eastAsia="Times New Roman"/>
                <w:sz w:val="20"/>
                <w:szCs w:val="20"/>
              </w:rPr>
            </w:pPr>
          </w:p>
        </w:tc>
        <w:tc>
          <w:tcPr>
            <w:tcW w:w="26" w:type="pct"/>
            <w:vAlign w:val="center"/>
            <w:hideMark/>
          </w:tcPr>
          <w:p w14:paraId="0AE3790B" w14:textId="77777777" w:rsidR="00000000" w:rsidRDefault="00A173A8">
            <w:pPr>
              <w:spacing w:after="100"/>
              <w:rPr>
                <w:rFonts w:eastAsia="Times New Roman"/>
                <w:sz w:val="20"/>
                <w:szCs w:val="20"/>
              </w:rPr>
            </w:pPr>
          </w:p>
        </w:tc>
        <w:tc>
          <w:tcPr>
            <w:tcW w:w="5" w:type="pct"/>
            <w:vAlign w:val="center"/>
            <w:hideMark/>
          </w:tcPr>
          <w:p w14:paraId="53A73EA9" w14:textId="77777777" w:rsidR="00000000" w:rsidRDefault="00A173A8">
            <w:pPr>
              <w:spacing w:after="100"/>
              <w:rPr>
                <w:rFonts w:eastAsia="Times New Roman"/>
                <w:sz w:val="20"/>
                <w:szCs w:val="20"/>
              </w:rPr>
            </w:pPr>
          </w:p>
        </w:tc>
        <w:tc>
          <w:tcPr>
            <w:tcW w:w="50" w:type="pct"/>
            <w:vAlign w:val="center"/>
            <w:hideMark/>
          </w:tcPr>
          <w:p w14:paraId="521BC4EA" w14:textId="77777777" w:rsidR="00000000" w:rsidRDefault="00A173A8">
            <w:pPr>
              <w:spacing w:after="100"/>
              <w:rPr>
                <w:rFonts w:eastAsia="Times New Roman"/>
                <w:sz w:val="20"/>
                <w:szCs w:val="20"/>
              </w:rPr>
            </w:pPr>
          </w:p>
        </w:tc>
        <w:tc>
          <w:tcPr>
            <w:tcW w:w="668" w:type="pct"/>
            <w:vAlign w:val="center"/>
            <w:hideMark/>
          </w:tcPr>
          <w:p w14:paraId="0E5E37F3" w14:textId="77777777" w:rsidR="00000000" w:rsidRDefault="00A173A8">
            <w:pPr>
              <w:spacing w:after="100"/>
              <w:rPr>
                <w:rFonts w:eastAsia="Times New Roman"/>
                <w:sz w:val="20"/>
                <w:szCs w:val="20"/>
              </w:rPr>
            </w:pPr>
          </w:p>
        </w:tc>
        <w:tc>
          <w:tcPr>
            <w:tcW w:w="5" w:type="pct"/>
            <w:vAlign w:val="center"/>
            <w:hideMark/>
          </w:tcPr>
          <w:p w14:paraId="4F95312E" w14:textId="77777777" w:rsidR="00000000" w:rsidRDefault="00A173A8">
            <w:pPr>
              <w:spacing w:after="100"/>
              <w:rPr>
                <w:rFonts w:eastAsia="Times New Roman"/>
                <w:sz w:val="20"/>
                <w:szCs w:val="20"/>
              </w:rPr>
            </w:pPr>
          </w:p>
        </w:tc>
        <w:tc>
          <w:tcPr>
            <w:tcW w:w="0" w:type="auto"/>
            <w:gridSpan w:val="3"/>
            <w:vAlign w:val="center"/>
            <w:hideMark/>
          </w:tcPr>
          <w:p w14:paraId="298C8BA0" w14:textId="77777777" w:rsidR="00000000" w:rsidRDefault="00A173A8">
            <w:pPr>
              <w:spacing w:after="100"/>
              <w:rPr>
                <w:rFonts w:eastAsia="Times New Roman"/>
                <w:sz w:val="20"/>
                <w:szCs w:val="20"/>
              </w:rPr>
            </w:pPr>
          </w:p>
        </w:tc>
        <w:tc>
          <w:tcPr>
            <w:tcW w:w="0" w:type="auto"/>
            <w:gridSpan w:val="3"/>
            <w:vAlign w:val="center"/>
            <w:hideMark/>
          </w:tcPr>
          <w:p w14:paraId="0FD551C5" w14:textId="77777777" w:rsidR="00000000" w:rsidRDefault="00A173A8">
            <w:pPr>
              <w:spacing w:after="100"/>
              <w:rPr>
                <w:rFonts w:eastAsia="Times New Roman"/>
                <w:sz w:val="20"/>
                <w:szCs w:val="20"/>
              </w:rPr>
            </w:pPr>
          </w:p>
        </w:tc>
      </w:tr>
      <w:tr w:rsidR="00000000" w14:paraId="25FA26CA" w14:textId="77777777">
        <w:trPr>
          <w:divId w:val="1518959676"/>
        </w:trPr>
        <w:tc>
          <w:tcPr>
            <w:tcW w:w="0" w:type="auto"/>
            <w:gridSpan w:val="3"/>
            <w:tcMar>
              <w:top w:w="0" w:type="dxa"/>
              <w:left w:w="20" w:type="dxa"/>
              <w:bottom w:w="0" w:type="dxa"/>
              <w:right w:w="20" w:type="dxa"/>
            </w:tcMar>
            <w:vAlign w:val="center"/>
            <w:hideMark/>
          </w:tcPr>
          <w:p w14:paraId="17756D8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F8CF2F"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7A30F571"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4344F92B" w14:textId="77777777" w:rsidR="00000000" w:rsidRDefault="00A173A8">
            <w:pPr>
              <w:spacing w:after="100"/>
              <w:rPr>
                <w:rFonts w:eastAsia="Times New Roman"/>
                <w:sz w:val="20"/>
                <w:szCs w:val="20"/>
              </w:rPr>
            </w:pPr>
          </w:p>
        </w:tc>
        <w:tc>
          <w:tcPr>
            <w:tcW w:w="0" w:type="auto"/>
            <w:vAlign w:val="center"/>
            <w:hideMark/>
          </w:tcPr>
          <w:p w14:paraId="4817D00C" w14:textId="77777777" w:rsidR="00000000" w:rsidRDefault="00A173A8">
            <w:pPr>
              <w:spacing w:after="100"/>
              <w:rPr>
                <w:rFonts w:eastAsia="Times New Roman"/>
                <w:sz w:val="20"/>
                <w:szCs w:val="20"/>
              </w:rPr>
            </w:pPr>
          </w:p>
        </w:tc>
        <w:tc>
          <w:tcPr>
            <w:tcW w:w="0" w:type="auto"/>
            <w:vAlign w:val="center"/>
            <w:hideMark/>
          </w:tcPr>
          <w:p w14:paraId="549525A3" w14:textId="77777777" w:rsidR="00000000" w:rsidRDefault="00A173A8">
            <w:pPr>
              <w:spacing w:after="100"/>
              <w:rPr>
                <w:rFonts w:eastAsia="Times New Roman"/>
                <w:sz w:val="20"/>
                <w:szCs w:val="20"/>
              </w:rPr>
            </w:pPr>
          </w:p>
        </w:tc>
        <w:tc>
          <w:tcPr>
            <w:tcW w:w="0" w:type="auto"/>
            <w:vAlign w:val="center"/>
            <w:hideMark/>
          </w:tcPr>
          <w:p w14:paraId="78D1D0C7" w14:textId="77777777" w:rsidR="00000000" w:rsidRDefault="00A173A8">
            <w:pPr>
              <w:spacing w:after="100"/>
              <w:rPr>
                <w:rFonts w:eastAsia="Times New Roman"/>
                <w:sz w:val="20"/>
                <w:szCs w:val="20"/>
              </w:rPr>
            </w:pPr>
          </w:p>
        </w:tc>
        <w:tc>
          <w:tcPr>
            <w:tcW w:w="0" w:type="auto"/>
            <w:vAlign w:val="center"/>
            <w:hideMark/>
          </w:tcPr>
          <w:p w14:paraId="24435815" w14:textId="77777777" w:rsidR="00000000" w:rsidRDefault="00A173A8">
            <w:pPr>
              <w:spacing w:after="100"/>
              <w:rPr>
                <w:rFonts w:eastAsia="Times New Roman"/>
                <w:sz w:val="20"/>
                <w:szCs w:val="20"/>
              </w:rPr>
            </w:pPr>
          </w:p>
        </w:tc>
        <w:tc>
          <w:tcPr>
            <w:tcW w:w="0" w:type="auto"/>
            <w:vAlign w:val="center"/>
            <w:hideMark/>
          </w:tcPr>
          <w:p w14:paraId="4696E5C9" w14:textId="77777777" w:rsidR="00000000" w:rsidRDefault="00A173A8">
            <w:pPr>
              <w:spacing w:after="100"/>
              <w:rPr>
                <w:rFonts w:eastAsia="Times New Roman"/>
                <w:sz w:val="20"/>
                <w:szCs w:val="20"/>
              </w:rPr>
            </w:pPr>
          </w:p>
        </w:tc>
      </w:tr>
      <w:tr w:rsidR="00000000" w14:paraId="31C14251" w14:textId="77777777">
        <w:trPr>
          <w:divId w:val="1518959676"/>
        </w:trPr>
        <w:tc>
          <w:tcPr>
            <w:tcW w:w="0" w:type="auto"/>
            <w:gridSpan w:val="3"/>
            <w:tcMar>
              <w:top w:w="30" w:type="dxa"/>
              <w:left w:w="20" w:type="dxa"/>
              <w:bottom w:w="30" w:type="dxa"/>
              <w:right w:w="20" w:type="dxa"/>
            </w:tcMar>
            <w:vAlign w:val="center"/>
            <w:hideMark/>
          </w:tcPr>
          <w:p w14:paraId="08AED3E6" w14:textId="77777777" w:rsidR="00000000" w:rsidRDefault="00A173A8">
            <w:pPr>
              <w:spacing w:after="100"/>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14:paraId="3603E118"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4DDF1495"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225812F"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3D98E82"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7C3D1865" w14:textId="77777777" w:rsidR="00000000" w:rsidRDefault="00A173A8">
            <w:pPr>
              <w:spacing w:after="100"/>
              <w:jc w:val="center"/>
              <w:rPr>
                <w:rFonts w:eastAsia="Times New Roman"/>
              </w:rPr>
            </w:pPr>
          </w:p>
        </w:tc>
        <w:tc>
          <w:tcPr>
            <w:tcW w:w="0" w:type="auto"/>
            <w:gridSpan w:val="3"/>
            <w:vAlign w:val="center"/>
            <w:hideMark/>
          </w:tcPr>
          <w:p w14:paraId="4EDDE5AF" w14:textId="77777777" w:rsidR="00000000" w:rsidRDefault="00A173A8">
            <w:pPr>
              <w:spacing w:after="100"/>
              <w:rPr>
                <w:rFonts w:eastAsia="Times New Roman"/>
                <w:sz w:val="20"/>
                <w:szCs w:val="20"/>
              </w:rPr>
            </w:pPr>
          </w:p>
        </w:tc>
      </w:tr>
      <w:tr w:rsidR="00000000" w14:paraId="1B8DEC88" w14:textId="77777777">
        <w:trPr>
          <w:divId w:val="151895967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E19EBCD" w14:textId="77777777" w:rsidR="00000000" w:rsidRDefault="00A173A8">
            <w:pPr>
              <w:spacing w:after="100"/>
              <w:rPr>
                <w:rFonts w:eastAsia="Times New Roman"/>
              </w:rPr>
            </w:pPr>
            <w:r>
              <w:rPr>
                <w:rFonts w:eastAsia="Times New Roman"/>
                <w:b/>
                <w:bCs/>
                <w:color w:val="000000"/>
                <w:sz w:val="16"/>
                <w:szCs w:val="16"/>
              </w:rPr>
              <w:t>Financing activities:</w:t>
            </w:r>
          </w:p>
        </w:tc>
        <w:tc>
          <w:tcPr>
            <w:tcW w:w="0" w:type="auto"/>
            <w:gridSpan w:val="3"/>
            <w:shd w:val="clear" w:color="auto" w:fill="CCEEFF"/>
            <w:tcMar>
              <w:top w:w="0" w:type="dxa"/>
              <w:left w:w="20" w:type="dxa"/>
              <w:bottom w:w="0" w:type="dxa"/>
              <w:right w:w="20" w:type="dxa"/>
            </w:tcMar>
            <w:vAlign w:val="center"/>
            <w:hideMark/>
          </w:tcPr>
          <w:p w14:paraId="2377F12A"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6B9BF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4C40E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62D1C1" w14:textId="77777777" w:rsidR="00000000" w:rsidRDefault="00A173A8">
            <w:pPr>
              <w:spacing w:after="100"/>
              <w:rPr>
                <w:rFonts w:eastAsia="Times New Roman"/>
                <w:sz w:val="20"/>
                <w:szCs w:val="20"/>
              </w:rPr>
            </w:pPr>
          </w:p>
        </w:tc>
        <w:tc>
          <w:tcPr>
            <w:tcW w:w="0" w:type="auto"/>
            <w:gridSpan w:val="3"/>
            <w:vAlign w:val="center"/>
            <w:hideMark/>
          </w:tcPr>
          <w:p w14:paraId="1C15D26D" w14:textId="77777777" w:rsidR="00000000" w:rsidRDefault="00A173A8">
            <w:pPr>
              <w:spacing w:after="100"/>
              <w:rPr>
                <w:rFonts w:eastAsia="Times New Roman"/>
                <w:sz w:val="20"/>
                <w:szCs w:val="20"/>
              </w:rPr>
            </w:pPr>
          </w:p>
        </w:tc>
        <w:tc>
          <w:tcPr>
            <w:tcW w:w="0" w:type="auto"/>
            <w:gridSpan w:val="3"/>
            <w:vAlign w:val="center"/>
            <w:hideMark/>
          </w:tcPr>
          <w:p w14:paraId="0C365600" w14:textId="77777777" w:rsidR="00000000" w:rsidRDefault="00A173A8">
            <w:pPr>
              <w:spacing w:after="100"/>
              <w:rPr>
                <w:rFonts w:eastAsia="Times New Roman"/>
                <w:sz w:val="20"/>
                <w:szCs w:val="20"/>
              </w:rPr>
            </w:pPr>
          </w:p>
        </w:tc>
      </w:tr>
      <w:tr w:rsidR="00000000" w14:paraId="7785537E" w14:textId="77777777">
        <w:trPr>
          <w:divId w:val="1518959676"/>
        </w:trPr>
        <w:tc>
          <w:tcPr>
            <w:tcW w:w="0" w:type="auto"/>
            <w:gridSpan w:val="3"/>
            <w:shd w:val="clear" w:color="auto" w:fill="FFFFFF"/>
            <w:tcMar>
              <w:top w:w="30" w:type="dxa"/>
              <w:left w:w="20" w:type="dxa"/>
              <w:bottom w:w="30" w:type="dxa"/>
              <w:right w:w="20" w:type="dxa"/>
            </w:tcMar>
            <w:vAlign w:val="center"/>
            <w:hideMark/>
          </w:tcPr>
          <w:p w14:paraId="2EB7EF87" w14:textId="77777777" w:rsidR="00000000" w:rsidRDefault="00A173A8">
            <w:pPr>
              <w:spacing w:after="100"/>
              <w:rPr>
                <w:rFonts w:eastAsia="Times New Roman"/>
              </w:rPr>
            </w:pPr>
            <w:r>
              <w:rPr>
                <w:rFonts w:eastAsia="Times New Roman"/>
                <w:color w:val="000000"/>
                <w:sz w:val="16"/>
                <w:szCs w:val="16"/>
              </w:rPr>
              <w:t>Deposits and borrowings:</w:t>
            </w:r>
          </w:p>
        </w:tc>
        <w:tc>
          <w:tcPr>
            <w:tcW w:w="0" w:type="auto"/>
            <w:gridSpan w:val="3"/>
            <w:shd w:val="clear" w:color="auto" w:fill="FFFFFF"/>
            <w:tcMar>
              <w:top w:w="0" w:type="dxa"/>
              <w:left w:w="20" w:type="dxa"/>
              <w:bottom w:w="0" w:type="dxa"/>
              <w:right w:w="20" w:type="dxa"/>
            </w:tcMar>
            <w:vAlign w:val="center"/>
            <w:hideMark/>
          </w:tcPr>
          <w:p w14:paraId="616CEAE1"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B959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2702F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A8DB21" w14:textId="77777777" w:rsidR="00000000" w:rsidRDefault="00A173A8">
            <w:pPr>
              <w:spacing w:after="100"/>
              <w:rPr>
                <w:rFonts w:eastAsia="Times New Roman"/>
                <w:sz w:val="20"/>
                <w:szCs w:val="20"/>
              </w:rPr>
            </w:pPr>
          </w:p>
        </w:tc>
        <w:tc>
          <w:tcPr>
            <w:tcW w:w="0" w:type="auto"/>
            <w:gridSpan w:val="3"/>
            <w:vAlign w:val="center"/>
            <w:hideMark/>
          </w:tcPr>
          <w:p w14:paraId="21EB32F8" w14:textId="77777777" w:rsidR="00000000" w:rsidRDefault="00A173A8">
            <w:pPr>
              <w:spacing w:after="100"/>
              <w:rPr>
                <w:rFonts w:eastAsia="Times New Roman"/>
                <w:sz w:val="20"/>
                <w:szCs w:val="20"/>
              </w:rPr>
            </w:pPr>
          </w:p>
        </w:tc>
        <w:tc>
          <w:tcPr>
            <w:tcW w:w="0" w:type="auto"/>
            <w:gridSpan w:val="3"/>
            <w:vAlign w:val="center"/>
            <w:hideMark/>
          </w:tcPr>
          <w:p w14:paraId="570F0D7D" w14:textId="77777777" w:rsidR="00000000" w:rsidRDefault="00A173A8">
            <w:pPr>
              <w:spacing w:after="100"/>
              <w:rPr>
                <w:rFonts w:eastAsia="Times New Roman"/>
                <w:sz w:val="20"/>
                <w:szCs w:val="20"/>
              </w:rPr>
            </w:pPr>
          </w:p>
        </w:tc>
      </w:tr>
      <w:tr w:rsidR="00000000" w14:paraId="397DFC52" w14:textId="77777777">
        <w:trPr>
          <w:divId w:val="1518959676"/>
        </w:trPr>
        <w:tc>
          <w:tcPr>
            <w:tcW w:w="0" w:type="auto"/>
            <w:gridSpan w:val="3"/>
            <w:shd w:val="clear" w:color="auto" w:fill="CCEEFF"/>
            <w:tcMar>
              <w:top w:w="30" w:type="dxa"/>
              <w:left w:w="245" w:type="dxa"/>
              <w:bottom w:w="30" w:type="dxa"/>
              <w:right w:w="20" w:type="dxa"/>
            </w:tcMar>
            <w:vAlign w:val="center"/>
            <w:hideMark/>
          </w:tcPr>
          <w:p w14:paraId="50E0F5DE" w14:textId="77777777" w:rsidR="00000000" w:rsidRDefault="00A173A8">
            <w:pPr>
              <w:spacing w:after="100"/>
              <w:rPr>
                <w:rFonts w:eastAsia="Times New Roman"/>
              </w:rPr>
            </w:pPr>
            <w:r>
              <w:rPr>
                <w:rFonts w:eastAsia="Times New Roman"/>
                <w:color w:val="000000"/>
                <w:sz w:val="16"/>
                <w:szCs w:val="16"/>
              </w:rPr>
              <w:t>Changes in deposits</w:t>
            </w:r>
          </w:p>
        </w:tc>
        <w:tc>
          <w:tcPr>
            <w:tcW w:w="0" w:type="auto"/>
            <w:gridSpan w:val="3"/>
            <w:shd w:val="clear" w:color="auto" w:fill="CCEEFF"/>
            <w:tcMar>
              <w:top w:w="0" w:type="dxa"/>
              <w:left w:w="20" w:type="dxa"/>
              <w:bottom w:w="0" w:type="dxa"/>
              <w:right w:w="20" w:type="dxa"/>
            </w:tcMar>
            <w:vAlign w:val="center"/>
            <w:hideMark/>
          </w:tcPr>
          <w:p w14:paraId="61453178"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687B10B"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0E9FD4C8" w14:textId="77777777" w:rsidR="00000000" w:rsidRDefault="00A173A8">
            <w:pPr>
              <w:spacing w:after="100"/>
              <w:jc w:val="right"/>
              <w:rPr>
                <w:rFonts w:eastAsia="Times New Roman"/>
              </w:rPr>
            </w:pPr>
            <w:r>
              <w:rPr>
                <w:rFonts w:eastAsia="Times New Roman"/>
                <w:b/>
                <w:bCs/>
                <w:color w:val="000000"/>
                <w:sz w:val="16"/>
                <w:szCs w:val="16"/>
              </w:rPr>
              <w:t>(2,913)</w:t>
            </w:r>
          </w:p>
        </w:tc>
        <w:tc>
          <w:tcPr>
            <w:tcW w:w="0" w:type="auto"/>
            <w:shd w:val="clear" w:color="auto" w:fill="CCEEFF"/>
            <w:tcMar>
              <w:top w:w="30" w:type="dxa"/>
              <w:left w:w="0" w:type="dxa"/>
              <w:bottom w:w="30" w:type="dxa"/>
              <w:right w:w="20" w:type="dxa"/>
            </w:tcMar>
            <w:vAlign w:val="center"/>
            <w:hideMark/>
          </w:tcPr>
          <w:p w14:paraId="24B2B1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58374E"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14EA146"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308DD0AC" w14:textId="77777777" w:rsidR="00000000" w:rsidRDefault="00A173A8">
            <w:pPr>
              <w:spacing w:after="100"/>
              <w:jc w:val="right"/>
              <w:rPr>
                <w:rFonts w:eastAsia="Times New Roman"/>
              </w:rPr>
            </w:pPr>
            <w:r>
              <w:rPr>
                <w:rFonts w:eastAsia="Times New Roman"/>
                <w:color w:val="000000"/>
                <w:sz w:val="16"/>
                <w:szCs w:val="16"/>
              </w:rPr>
              <w:t>945 </w:t>
            </w:r>
          </w:p>
        </w:tc>
        <w:tc>
          <w:tcPr>
            <w:tcW w:w="0" w:type="auto"/>
            <w:shd w:val="clear" w:color="auto" w:fill="CCEEFF"/>
            <w:tcMar>
              <w:top w:w="30" w:type="dxa"/>
              <w:left w:w="0" w:type="dxa"/>
              <w:bottom w:w="30" w:type="dxa"/>
              <w:right w:w="20" w:type="dxa"/>
            </w:tcMar>
            <w:vAlign w:val="center"/>
            <w:hideMark/>
          </w:tcPr>
          <w:p w14:paraId="4B8B32F2" w14:textId="77777777" w:rsidR="00000000" w:rsidRDefault="00A173A8">
            <w:pPr>
              <w:spacing w:after="100"/>
              <w:jc w:val="right"/>
              <w:rPr>
                <w:rFonts w:eastAsia="Times New Roman"/>
              </w:rPr>
            </w:pPr>
          </w:p>
        </w:tc>
        <w:tc>
          <w:tcPr>
            <w:tcW w:w="0" w:type="auto"/>
            <w:gridSpan w:val="3"/>
            <w:vAlign w:val="center"/>
            <w:hideMark/>
          </w:tcPr>
          <w:p w14:paraId="362E4D4C" w14:textId="77777777" w:rsidR="00000000" w:rsidRDefault="00A173A8">
            <w:pPr>
              <w:spacing w:after="100"/>
              <w:jc w:val="right"/>
              <w:rPr>
                <w:rFonts w:eastAsia="Times New Roman"/>
                <w:sz w:val="20"/>
                <w:szCs w:val="20"/>
              </w:rPr>
            </w:pPr>
          </w:p>
        </w:tc>
        <w:tc>
          <w:tcPr>
            <w:tcW w:w="0" w:type="auto"/>
            <w:gridSpan w:val="3"/>
            <w:vAlign w:val="center"/>
            <w:hideMark/>
          </w:tcPr>
          <w:p w14:paraId="29583F37" w14:textId="77777777" w:rsidR="00000000" w:rsidRDefault="00A173A8">
            <w:pPr>
              <w:spacing w:after="100"/>
              <w:rPr>
                <w:rFonts w:eastAsia="Times New Roman"/>
                <w:sz w:val="20"/>
                <w:szCs w:val="20"/>
              </w:rPr>
            </w:pPr>
          </w:p>
        </w:tc>
      </w:tr>
      <w:tr w:rsidR="00000000" w14:paraId="21177518" w14:textId="77777777">
        <w:trPr>
          <w:divId w:val="1518959676"/>
        </w:trPr>
        <w:tc>
          <w:tcPr>
            <w:tcW w:w="0" w:type="auto"/>
            <w:gridSpan w:val="3"/>
            <w:shd w:val="clear" w:color="auto" w:fill="FFFFFF"/>
            <w:tcMar>
              <w:top w:w="30" w:type="dxa"/>
              <w:left w:w="245" w:type="dxa"/>
              <w:bottom w:w="30" w:type="dxa"/>
              <w:right w:w="20" w:type="dxa"/>
            </w:tcMar>
            <w:vAlign w:val="center"/>
            <w:hideMark/>
          </w:tcPr>
          <w:p w14:paraId="31459960" w14:textId="77777777" w:rsidR="00000000" w:rsidRDefault="00A173A8">
            <w:pPr>
              <w:spacing w:after="100"/>
              <w:rPr>
                <w:rFonts w:eastAsia="Times New Roman"/>
              </w:rPr>
            </w:pPr>
            <w:r>
              <w:rPr>
                <w:rFonts w:eastAsia="Times New Roman"/>
                <w:color w:val="000000"/>
                <w:sz w:val="16"/>
                <w:szCs w:val="16"/>
              </w:rPr>
              <w:t>Issuance of securitized debt obligations</w:t>
            </w:r>
          </w:p>
        </w:tc>
        <w:tc>
          <w:tcPr>
            <w:tcW w:w="0" w:type="auto"/>
            <w:gridSpan w:val="3"/>
            <w:shd w:val="clear" w:color="auto" w:fill="FFFFFF"/>
            <w:tcMar>
              <w:top w:w="0" w:type="dxa"/>
              <w:left w:w="20" w:type="dxa"/>
              <w:bottom w:w="0" w:type="dxa"/>
              <w:right w:w="20" w:type="dxa"/>
            </w:tcMar>
            <w:vAlign w:val="center"/>
            <w:hideMark/>
          </w:tcPr>
          <w:p w14:paraId="5619CB9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A375C2" w14:textId="77777777" w:rsidR="00000000" w:rsidRDefault="00A173A8">
            <w:pPr>
              <w:spacing w:after="100"/>
              <w:jc w:val="right"/>
              <w:rPr>
                <w:rFonts w:eastAsia="Times New Roman"/>
              </w:rPr>
            </w:pPr>
            <w:r>
              <w:rPr>
                <w:rFonts w:eastAsia="Times New Roman"/>
                <w:b/>
                <w:bCs/>
                <w:color w:val="000000"/>
                <w:sz w:val="16"/>
                <w:szCs w:val="16"/>
              </w:rPr>
              <w:t>6,483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37E9658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89B8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A429D7"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59E61118" w14:textId="77777777" w:rsidR="00000000" w:rsidRDefault="00A173A8">
            <w:pPr>
              <w:spacing w:after="100"/>
              <w:jc w:val="right"/>
              <w:rPr>
                <w:rFonts w:eastAsia="Times New Roman"/>
              </w:rPr>
            </w:pPr>
          </w:p>
        </w:tc>
        <w:tc>
          <w:tcPr>
            <w:tcW w:w="0" w:type="auto"/>
            <w:gridSpan w:val="3"/>
            <w:vAlign w:val="center"/>
            <w:hideMark/>
          </w:tcPr>
          <w:p w14:paraId="6A2AA673" w14:textId="77777777" w:rsidR="00000000" w:rsidRDefault="00A173A8">
            <w:pPr>
              <w:spacing w:after="100"/>
              <w:jc w:val="right"/>
              <w:rPr>
                <w:rFonts w:eastAsia="Times New Roman"/>
                <w:sz w:val="20"/>
                <w:szCs w:val="20"/>
              </w:rPr>
            </w:pPr>
          </w:p>
        </w:tc>
        <w:tc>
          <w:tcPr>
            <w:tcW w:w="0" w:type="auto"/>
            <w:gridSpan w:val="3"/>
            <w:vAlign w:val="center"/>
            <w:hideMark/>
          </w:tcPr>
          <w:p w14:paraId="014076BA" w14:textId="77777777" w:rsidR="00000000" w:rsidRDefault="00A173A8">
            <w:pPr>
              <w:spacing w:after="100"/>
              <w:rPr>
                <w:rFonts w:eastAsia="Times New Roman"/>
                <w:sz w:val="20"/>
                <w:szCs w:val="20"/>
              </w:rPr>
            </w:pPr>
          </w:p>
        </w:tc>
      </w:tr>
      <w:tr w:rsidR="00000000" w14:paraId="00C1FD23" w14:textId="77777777">
        <w:trPr>
          <w:divId w:val="1518959676"/>
        </w:trPr>
        <w:tc>
          <w:tcPr>
            <w:tcW w:w="0" w:type="auto"/>
            <w:gridSpan w:val="3"/>
            <w:shd w:val="clear" w:color="auto" w:fill="CCEEFF"/>
            <w:tcMar>
              <w:top w:w="30" w:type="dxa"/>
              <w:left w:w="245" w:type="dxa"/>
              <w:bottom w:w="30" w:type="dxa"/>
              <w:right w:w="20" w:type="dxa"/>
            </w:tcMar>
            <w:vAlign w:val="center"/>
            <w:hideMark/>
          </w:tcPr>
          <w:p w14:paraId="1BF3E40D" w14:textId="77777777" w:rsidR="00000000" w:rsidRDefault="00A173A8">
            <w:pPr>
              <w:spacing w:after="100"/>
              <w:rPr>
                <w:rFonts w:eastAsia="Times New Roman"/>
              </w:rPr>
            </w:pPr>
            <w:r>
              <w:rPr>
                <w:rFonts w:eastAsia="Times New Roman"/>
                <w:color w:val="000000"/>
                <w:sz w:val="16"/>
                <w:szCs w:val="16"/>
              </w:rPr>
              <w:t>Maturities and paydowns of securitized debt obligations</w:t>
            </w:r>
          </w:p>
        </w:tc>
        <w:tc>
          <w:tcPr>
            <w:tcW w:w="0" w:type="auto"/>
            <w:gridSpan w:val="3"/>
            <w:shd w:val="clear" w:color="auto" w:fill="CCEEFF"/>
            <w:tcMar>
              <w:top w:w="0" w:type="dxa"/>
              <w:left w:w="20" w:type="dxa"/>
              <w:bottom w:w="0" w:type="dxa"/>
              <w:right w:w="20" w:type="dxa"/>
            </w:tcMar>
            <w:vAlign w:val="center"/>
            <w:hideMark/>
          </w:tcPr>
          <w:p w14:paraId="76808CE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CA9F7EF" w14:textId="77777777" w:rsidR="00000000" w:rsidRDefault="00A173A8">
            <w:pPr>
              <w:spacing w:after="100"/>
              <w:jc w:val="right"/>
              <w:rPr>
                <w:rFonts w:eastAsia="Times New Roman"/>
              </w:rPr>
            </w:pPr>
            <w:r>
              <w:rPr>
                <w:rFonts w:eastAsia="Times New Roman"/>
                <w:b/>
                <w:bCs/>
                <w:color w:val="000000"/>
                <w:sz w:val="16"/>
                <w:szCs w:val="16"/>
              </w:rPr>
              <w:t>(3,593)</w:t>
            </w:r>
          </w:p>
        </w:tc>
        <w:tc>
          <w:tcPr>
            <w:tcW w:w="0" w:type="auto"/>
            <w:shd w:val="clear" w:color="auto" w:fill="CCEEFF"/>
            <w:tcMar>
              <w:top w:w="30" w:type="dxa"/>
              <w:left w:w="0" w:type="dxa"/>
              <w:bottom w:w="30" w:type="dxa"/>
              <w:right w:w="20" w:type="dxa"/>
            </w:tcMar>
            <w:vAlign w:val="center"/>
            <w:hideMark/>
          </w:tcPr>
          <w:p w14:paraId="5F9959A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12112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27B2D8" w14:textId="77777777" w:rsidR="00000000" w:rsidRDefault="00A173A8">
            <w:pPr>
              <w:spacing w:after="100"/>
              <w:jc w:val="right"/>
              <w:rPr>
                <w:rFonts w:eastAsia="Times New Roman"/>
              </w:rPr>
            </w:pPr>
            <w:r>
              <w:rPr>
                <w:rFonts w:eastAsia="Times New Roman"/>
                <w:color w:val="000000"/>
                <w:sz w:val="16"/>
                <w:szCs w:val="16"/>
              </w:rPr>
              <w:t>(1,773)</w:t>
            </w:r>
          </w:p>
        </w:tc>
        <w:tc>
          <w:tcPr>
            <w:tcW w:w="0" w:type="auto"/>
            <w:shd w:val="clear" w:color="auto" w:fill="CCEEFF"/>
            <w:tcMar>
              <w:top w:w="30" w:type="dxa"/>
              <w:left w:w="0" w:type="dxa"/>
              <w:bottom w:w="30" w:type="dxa"/>
              <w:right w:w="20" w:type="dxa"/>
            </w:tcMar>
            <w:vAlign w:val="center"/>
            <w:hideMark/>
          </w:tcPr>
          <w:p w14:paraId="3F04E77A" w14:textId="77777777" w:rsidR="00000000" w:rsidRDefault="00A173A8">
            <w:pPr>
              <w:spacing w:after="100"/>
              <w:jc w:val="right"/>
              <w:rPr>
                <w:rFonts w:eastAsia="Times New Roman"/>
              </w:rPr>
            </w:pPr>
          </w:p>
        </w:tc>
        <w:tc>
          <w:tcPr>
            <w:tcW w:w="0" w:type="auto"/>
            <w:gridSpan w:val="3"/>
            <w:vAlign w:val="center"/>
            <w:hideMark/>
          </w:tcPr>
          <w:p w14:paraId="3A311973" w14:textId="77777777" w:rsidR="00000000" w:rsidRDefault="00A173A8">
            <w:pPr>
              <w:spacing w:after="100"/>
              <w:jc w:val="right"/>
              <w:rPr>
                <w:rFonts w:eastAsia="Times New Roman"/>
                <w:sz w:val="20"/>
                <w:szCs w:val="20"/>
              </w:rPr>
            </w:pPr>
          </w:p>
        </w:tc>
        <w:tc>
          <w:tcPr>
            <w:tcW w:w="0" w:type="auto"/>
            <w:gridSpan w:val="3"/>
            <w:vAlign w:val="center"/>
            <w:hideMark/>
          </w:tcPr>
          <w:p w14:paraId="08AA1A5C" w14:textId="77777777" w:rsidR="00000000" w:rsidRDefault="00A173A8">
            <w:pPr>
              <w:spacing w:after="100"/>
              <w:rPr>
                <w:rFonts w:eastAsia="Times New Roman"/>
                <w:sz w:val="20"/>
                <w:szCs w:val="20"/>
              </w:rPr>
            </w:pPr>
          </w:p>
        </w:tc>
      </w:tr>
      <w:tr w:rsidR="00000000" w14:paraId="4B1E3C65" w14:textId="77777777">
        <w:trPr>
          <w:divId w:val="1518959676"/>
        </w:trPr>
        <w:tc>
          <w:tcPr>
            <w:tcW w:w="0" w:type="auto"/>
            <w:gridSpan w:val="3"/>
            <w:shd w:val="clear" w:color="auto" w:fill="FFFFFF"/>
            <w:tcMar>
              <w:top w:w="30" w:type="dxa"/>
              <w:left w:w="245" w:type="dxa"/>
              <w:bottom w:w="30" w:type="dxa"/>
              <w:right w:w="20" w:type="dxa"/>
            </w:tcMar>
            <w:vAlign w:val="center"/>
            <w:hideMark/>
          </w:tcPr>
          <w:p w14:paraId="2D18E6A8" w14:textId="77777777" w:rsidR="00000000" w:rsidRDefault="00A173A8">
            <w:pPr>
              <w:spacing w:after="100"/>
              <w:rPr>
                <w:rFonts w:eastAsia="Times New Roman"/>
              </w:rPr>
            </w:pPr>
            <w:r>
              <w:rPr>
                <w:rFonts w:eastAsia="Times New Roman"/>
                <w:color w:val="000000"/>
                <w:sz w:val="16"/>
                <w:szCs w:val="16"/>
              </w:rPr>
              <w:t>Issuance of senior and subordinated notes and long-term FHLB advances</w:t>
            </w:r>
          </w:p>
        </w:tc>
        <w:tc>
          <w:tcPr>
            <w:tcW w:w="0" w:type="auto"/>
            <w:gridSpan w:val="3"/>
            <w:shd w:val="clear" w:color="auto" w:fill="FFFFFF"/>
            <w:tcMar>
              <w:top w:w="0" w:type="dxa"/>
              <w:left w:w="20" w:type="dxa"/>
              <w:bottom w:w="0" w:type="dxa"/>
              <w:right w:w="20" w:type="dxa"/>
            </w:tcMar>
            <w:vAlign w:val="center"/>
            <w:hideMark/>
          </w:tcPr>
          <w:p w14:paraId="2F5584B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ED0281E" w14:textId="77777777" w:rsidR="00000000" w:rsidRDefault="00A173A8">
            <w:pPr>
              <w:spacing w:after="100"/>
              <w:jc w:val="right"/>
              <w:rPr>
                <w:rFonts w:eastAsia="Times New Roman"/>
              </w:rPr>
            </w:pPr>
            <w:r>
              <w:rPr>
                <w:rFonts w:eastAsia="Times New Roman"/>
                <w:b/>
                <w:bCs/>
                <w:color w:val="000000"/>
                <w:sz w:val="16"/>
                <w:szCs w:val="16"/>
              </w:rPr>
              <w:t>17,528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129FF6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92E7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0940FC" w14:textId="77777777" w:rsidR="00000000" w:rsidRDefault="00A173A8">
            <w:pPr>
              <w:spacing w:after="100"/>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14:paraId="600ED9A3" w14:textId="77777777" w:rsidR="00000000" w:rsidRDefault="00A173A8">
            <w:pPr>
              <w:spacing w:after="100"/>
              <w:jc w:val="right"/>
              <w:rPr>
                <w:rFonts w:eastAsia="Times New Roman"/>
              </w:rPr>
            </w:pPr>
          </w:p>
        </w:tc>
        <w:tc>
          <w:tcPr>
            <w:tcW w:w="0" w:type="auto"/>
            <w:gridSpan w:val="3"/>
            <w:vAlign w:val="center"/>
            <w:hideMark/>
          </w:tcPr>
          <w:p w14:paraId="34C0371B" w14:textId="77777777" w:rsidR="00000000" w:rsidRDefault="00A173A8">
            <w:pPr>
              <w:spacing w:after="100"/>
              <w:jc w:val="right"/>
              <w:rPr>
                <w:rFonts w:eastAsia="Times New Roman"/>
                <w:sz w:val="20"/>
                <w:szCs w:val="20"/>
              </w:rPr>
            </w:pPr>
          </w:p>
        </w:tc>
        <w:tc>
          <w:tcPr>
            <w:tcW w:w="0" w:type="auto"/>
            <w:gridSpan w:val="3"/>
            <w:vAlign w:val="center"/>
            <w:hideMark/>
          </w:tcPr>
          <w:p w14:paraId="4D0EC812" w14:textId="77777777" w:rsidR="00000000" w:rsidRDefault="00A173A8">
            <w:pPr>
              <w:spacing w:after="100"/>
              <w:rPr>
                <w:rFonts w:eastAsia="Times New Roman"/>
                <w:sz w:val="20"/>
                <w:szCs w:val="20"/>
              </w:rPr>
            </w:pPr>
          </w:p>
        </w:tc>
      </w:tr>
      <w:tr w:rsidR="00000000" w14:paraId="3D515F4E" w14:textId="77777777">
        <w:trPr>
          <w:divId w:val="1518959676"/>
        </w:trPr>
        <w:tc>
          <w:tcPr>
            <w:tcW w:w="0" w:type="auto"/>
            <w:gridSpan w:val="3"/>
            <w:shd w:val="clear" w:color="auto" w:fill="CCEEFF"/>
            <w:tcMar>
              <w:top w:w="30" w:type="dxa"/>
              <w:left w:w="245" w:type="dxa"/>
              <w:bottom w:w="30" w:type="dxa"/>
              <w:right w:w="20" w:type="dxa"/>
            </w:tcMar>
            <w:vAlign w:val="center"/>
            <w:hideMark/>
          </w:tcPr>
          <w:p w14:paraId="61FFD112" w14:textId="77777777" w:rsidR="00000000" w:rsidRDefault="00A173A8">
            <w:pPr>
              <w:spacing w:after="100"/>
              <w:rPr>
                <w:rFonts w:eastAsia="Times New Roman"/>
              </w:rPr>
            </w:pPr>
            <w:r>
              <w:rPr>
                <w:rFonts w:eastAsia="Times New Roman"/>
                <w:color w:val="000000"/>
                <w:sz w:val="16"/>
                <w:szCs w:val="16"/>
              </w:rPr>
              <w:t>Maturities and paydowns of senior and subordinated notes and long-term FHLB advances</w:t>
            </w:r>
          </w:p>
        </w:tc>
        <w:tc>
          <w:tcPr>
            <w:tcW w:w="0" w:type="auto"/>
            <w:gridSpan w:val="3"/>
            <w:shd w:val="clear" w:color="auto" w:fill="CCEEFF"/>
            <w:tcMar>
              <w:top w:w="0" w:type="dxa"/>
              <w:left w:w="20" w:type="dxa"/>
              <w:bottom w:w="0" w:type="dxa"/>
              <w:right w:w="20" w:type="dxa"/>
            </w:tcMar>
            <w:vAlign w:val="center"/>
            <w:hideMark/>
          </w:tcPr>
          <w:p w14:paraId="2E048C5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F888F30" w14:textId="77777777" w:rsidR="00000000" w:rsidRDefault="00A173A8">
            <w:pPr>
              <w:spacing w:after="100"/>
              <w:jc w:val="right"/>
              <w:rPr>
                <w:rFonts w:eastAsia="Times New Roman"/>
              </w:rPr>
            </w:pPr>
            <w:r>
              <w:rPr>
                <w:rFonts w:eastAsia="Times New Roman"/>
                <w:b/>
                <w:bCs/>
                <w:color w:val="000000"/>
                <w:sz w:val="16"/>
                <w:szCs w:val="16"/>
              </w:rPr>
              <w:t>(2,357)</w:t>
            </w:r>
          </w:p>
        </w:tc>
        <w:tc>
          <w:tcPr>
            <w:tcW w:w="0" w:type="auto"/>
            <w:shd w:val="clear" w:color="auto" w:fill="CCEEFF"/>
            <w:tcMar>
              <w:top w:w="30" w:type="dxa"/>
              <w:left w:w="0" w:type="dxa"/>
              <w:bottom w:w="30" w:type="dxa"/>
              <w:right w:w="20" w:type="dxa"/>
            </w:tcMar>
            <w:vAlign w:val="center"/>
            <w:hideMark/>
          </w:tcPr>
          <w:p w14:paraId="34EA1D5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5A5F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6C05FE" w14:textId="77777777" w:rsidR="00000000" w:rsidRDefault="00A173A8">
            <w:pPr>
              <w:spacing w:after="100"/>
              <w:jc w:val="right"/>
              <w:rPr>
                <w:rFonts w:eastAsia="Times New Roman"/>
              </w:rPr>
            </w:pPr>
            <w:r>
              <w:rPr>
                <w:rFonts w:eastAsia="Times New Roman"/>
                <w:color w:val="000000"/>
                <w:sz w:val="16"/>
                <w:szCs w:val="16"/>
              </w:rPr>
              <w:t>(2,085)</w:t>
            </w:r>
          </w:p>
        </w:tc>
        <w:tc>
          <w:tcPr>
            <w:tcW w:w="0" w:type="auto"/>
            <w:shd w:val="clear" w:color="auto" w:fill="CCEEFF"/>
            <w:tcMar>
              <w:top w:w="30" w:type="dxa"/>
              <w:left w:w="0" w:type="dxa"/>
              <w:bottom w:w="30" w:type="dxa"/>
              <w:right w:w="20" w:type="dxa"/>
            </w:tcMar>
            <w:vAlign w:val="center"/>
            <w:hideMark/>
          </w:tcPr>
          <w:p w14:paraId="4B2E82EA" w14:textId="77777777" w:rsidR="00000000" w:rsidRDefault="00A173A8">
            <w:pPr>
              <w:spacing w:after="100"/>
              <w:jc w:val="right"/>
              <w:rPr>
                <w:rFonts w:eastAsia="Times New Roman"/>
              </w:rPr>
            </w:pPr>
          </w:p>
        </w:tc>
        <w:tc>
          <w:tcPr>
            <w:tcW w:w="0" w:type="auto"/>
            <w:gridSpan w:val="3"/>
            <w:vAlign w:val="center"/>
            <w:hideMark/>
          </w:tcPr>
          <w:p w14:paraId="52613A34" w14:textId="77777777" w:rsidR="00000000" w:rsidRDefault="00A173A8">
            <w:pPr>
              <w:spacing w:after="100"/>
              <w:jc w:val="right"/>
              <w:rPr>
                <w:rFonts w:eastAsia="Times New Roman"/>
                <w:sz w:val="20"/>
                <w:szCs w:val="20"/>
              </w:rPr>
            </w:pPr>
          </w:p>
        </w:tc>
        <w:tc>
          <w:tcPr>
            <w:tcW w:w="0" w:type="auto"/>
            <w:gridSpan w:val="3"/>
            <w:vAlign w:val="center"/>
            <w:hideMark/>
          </w:tcPr>
          <w:p w14:paraId="7702B11B" w14:textId="77777777" w:rsidR="00000000" w:rsidRDefault="00A173A8">
            <w:pPr>
              <w:spacing w:after="100"/>
              <w:rPr>
                <w:rFonts w:eastAsia="Times New Roman"/>
                <w:sz w:val="20"/>
                <w:szCs w:val="20"/>
              </w:rPr>
            </w:pPr>
          </w:p>
        </w:tc>
      </w:tr>
      <w:tr w:rsidR="00000000" w14:paraId="501B00E7" w14:textId="77777777">
        <w:trPr>
          <w:divId w:val="1518959676"/>
        </w:trPr>
        <w:tc>
          <w:tcPr>
            <w:tcW w:w="0" w:type="auto"/>
            <w:gridSpan w:val="3"/>
            <w:shd w:val="clear" w:color="auto" w:fill="FFFFFF"/>
            <w:tcMar>
              <w:top w:w="30" w:type="dxa"/>
              <w:left w:w="245" w:type="dxa"/>
              <w:bottom w:w="30" w:type="dxa"/>
              <w:right w:w="20" w:type="dxa"/>
            </w:tcMar>
            <w:vAlign w:val="center"/>
            <w:hideMark/>
          </w:tcPr>
          <w:p w14:paraId="75C20EF8" w14:textId="77777777" w:rsidR="00000000" w:rsidRDefault="00A173A8">
            <w:pPr>
              <w:spacing w:after="100"/>
              <w:rPr>
                <w:rFonts w:eastAsia="Times New Roman"/>
              </w:rPr>
            </w:pPr>
            <w:r>
              <w:rPr>
                <w:rFonts w:eastAsia="Times New Roman"/>
                <w:color w:val="000000"/>
                <w:sz w:val="16"/>
                <w:szCs w:val="16"/>
              </w:rPr>
              <w:t>Changes in other borrowings</w:t>
            </w:r>
          </w:p>
        </w:tc>
        <w:tc>
          <w:tcPr>
            <w:tcW w:w="0" w:type="auto"/>
            <w:gridSpan w:val="3"/>
            <w:shd w:val="clear" w:color="auto" w:fill="FFFFFF"/>
            <w:tcMar>
              <w:top w:w="0" w:type="dxa"/>
              <w:left w:w="20" w:type="dxa"/>
              <w:bottom w:w="0" w:type="dxa"/>
              <w:right w:w="20" w:type="dxa"/>
            </w:tcMar>
            <w:vAlign w:val="center"/>
            <w:hideMark/>
          </w:tcPr>
          <w:p w14:paraId="30C545E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B180BBC" w14:textId="77777777" w:rsidR="00000000" w:rsidRDefault="00A173A8">
            <w:pPr>
              <w:spacing w:after="100"/>
              <w:jc w:val="right"/>
              <w:rPr>
                <w:rFonts w:eastAsia="Times New Roman"/>
              </w:rPr>
            </w:pPr>
            <w:r>
              <w:rPr>
                <w:rFonts w:eastAsia="Times New Roman"/>
                <w:b/>
                <w:bCs/>
                <w:color w:val="000000"/>
                <w:sz w:val="16"/>
                <w:szCs w:val="16"/>
              </w:rPr>
              <w:t>(391)</w:t>
            </w:r>
          </w:p>
        </w:tc>
        <w:tc>
          <w:tcPr>
            <w:tcW w:w="0" w:type="auto"/>
            <w:shd w:val="clear" w:color="auto" w:fill="FFFFFF"/>
            <w:tcMar>
              <w:top w:w="30" w:type="dxa"/>
              <w:left w:w="0" w:type="dxa"/>
              <w:bottom w:w="30" w:type="dxa"/>
              <w:right w:w="20" w:type="dxa"/>
            </w:tcMar>
            <w:vAlign w:val="center"/>
            <w:hideMark/>
          </w:tcPr>
          <w:p w14:paraId="0486EA1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F301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7419D4" w14:textId="77777777" w:rsidR="00000000" w:rsidRDefault="00A173A8">
            <w:pPr>
              <w:spacing w:after="100"/>
              <w:jc w:val="right"/>
              <w:rPr>
                <w:rFonts w:eastAsia="Times New Roman"/>
              </w:rPr>
            </w:pPr>
            <w:r>
              <w:rPr>
                <w:rFonts w:eastAsia="Times New Roman"/>
                <w:color w:val="000000"/>
                <w:sz w:val="16"/>
                <w:szCs w:val="16"/>
              </w:rPr>
              <w:t>161 </w:t>
            </w:r>
          </w:p>
        </w:tc>
        <w:tc>
          <w:tcPr>
            <w:tcW w:w="0" w:type="auto"/>
            <w:shd w:val="clear" w:color="auto" w:fill="FFFFFF"/>
            <w:tcMar>
              <w:top w:w="30" w:type="dxa"/>
              <w:left w:w="0" w:type="dxa"/>
              <w:bottom w:w="30" w:type="dxa"/>
              <w:right w:w="20" w:type="dxa"/>
            </w:tcMar>
            <w:vAlign w:val="center"/>
            <w:hideMark/>
          </w:tcPr>
          <w:p w14:paraId="220F9416" w14:textId="77777777" w:rsidR="00000000" w:rsidRDefault="00A173A8">
            <w:pPr>
              <w:spacing w:after="100"/>
              <w:jc w:val="right"/>
              <w:rPr>
                <w:rFonts w:eastAsia="Times New Roman"/>
              </w:rPr>
            </w:pPr>
          </w:p>
        </w:tc>
        <w:tc>
          <w:tcPr>
            <w:tcW w:w="0" w:type="auto"/>
            <w:gridSpan w:val="3"/>
            <w:vAlign w:val="center"/>
            <w:hideMark/>
          </w:tcPr>
          <w:p w14:paraId="4AB0E110" w14:textId="77777777" w:rsidR="00000000" w:rsidRDefault="00A173A8">
            <w:pPr>
              <w:spacing w:after="100"/>
              <w:jc w:val="right"/>
              <w:rPr>
                <w:rFonts w:eastAsia="Times New Roman"/>
                <w:sz w:val="20"/>
                <w:szCs w:val="20"/>
              </w:rPr>
            </w:pPr>
          </w:p>
        </w:tc>
        <w:tc>
          <w:tcPr>
            <w:tcW w:w="0" w:type="auto"/>
            <w:gridSpan w:val="3"/>
            <w:vAlign w:val="center"/>
            <w:hideMark/>
          </w:tcPr>
          <w:p w14:paraId="7EB7112E" w14:textId="77777777" w:rsidR="00000000" w:rsidRDefault="00A173A8">
            <w:pPr>
              <w:spacing w:after="100"/>
              <w:rPr>
                <w:rFonts w:eastAsia="Times New Roman"/>
                <w:sz w:val="20"/>
                <w:szCs w:val="20"/>
              </w:rPr>
            </w:pPr>
          </w:p>
        </w:tc>
      </w:tr>
      <w:tr w:rsidR="00000000" w14:paraId="1C28B47C" w14:textId="77777777">
        <w:trPr>
          <w:divId w:val="1518959676"/>
        </w:trPr>
        <w:tc>
          <w:tcPr>
            <w:tcW w:w="0" w:type="auto"/>
            <w:gridSpan w:val="3"/>
            <w:shd w:val="clear" w:color="auto" w:fill="CCEEFF"/>
            <w:tcMar>
              <w:top w:w="30" w:type="dxa"/>
              <w:left w:w="20" w:type="dxa"/>
              <w:bottom w:w="30" w:type="dxa"/>
              <w:right w:w="20" w:type="dxa"/>
            </w:tcMar>
            <w:vAlign w:val="center"/>
            <w:hideMark/>
          </w:tcPr>
          <w:p w14:paraId="36FE8D0A" w14:textId="77777777" w:rsidR="00000000" w:rsidRDefault="00A173A8">
            <w:pPr>
              <w:spacing w:after="100"/>
              <w:rPr>
                <w:rFonts w:eastAsia="Times New Roman"/>
              </w:rPr>
            </w:pPr>
            <w:r>
              <w:rPr>
                <w:rFonts w:eastAsia="Times New Roman"/>
                <w:color w:val="000000"/>
                <w:sz w:val="16"/>
                <w:szCs w:val="16"/>
              </w:rPr>
              <w:t>Common stock:</w:t>
            </w:r>
          </w:p>
        </w:tc>
        <w:tc>
          <w:tcPr>
            <w:tcW w:w="0" w:type="auto"/>
            <w:gridSpan w:val="3"/>
            <w:shd w:val="clear" w:color="auto" w:fill="CCEEFF"/>
            <w:tcMar>
              <w:top w:w="0" w:type="dxa"/>
              <w:left w:w="20" w:type="dxa"/>
              <w:bottom w:w="0" w:type="dxa"/>
              <w:right w:w="20" w:type="dxa"/>
            </w:tcMar>
            <w:vAlign w:val="center"/>
            <w:hideMark/>
          </w:tcPr>
          <w:p w14:paraId="5E757A6B"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E6472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441BF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F20EE0" w14:textId="77777777" w:rsidR="00000000" w:rsidRDefault="00A173A8">
            <w:pPr>
              <w:spacing w:after="100"/>
              <w:rPr>
                <w:rFonts w:eastAsia="Times New Roman"/>
                <w:sz w:val="20"/>
                <w:szCs w:val="20"/>
              </w:rPr>
            </w:pPr>
          </w:p>
        </w:tc>
        <w:tc>
          <w:tcPr>
            <w:tcW w:w="0" w:type="auto"/>
            <w:gridSpan w:val="3"/>
            <w:vAlign w:val="center"/>
            <w:hideMark/>
          </w:tcPr>
          <w:p w14:paraId="2031850A" w14:textId="77777777" w:rsidR="00000000" w:rsidRDefault="00A173A8">
            <w:pPr>
              <w:spacing w:after="100"/>
              <w:rPr>
                <w:rFonts w:eastAsia="Times New Roman"/>
                <w:sz w:val="20"/>
                <w:szCs w:val="20"/>
              </w:rPr>
            </w:pPr>
          </w:p>
        </w:tc>
        <w:tc>
          <w:tcPr>
            <w:tcW w:w="0" w:type="auto"/>
            <w:gridSpan w:val="3"/>
            <w:vAlign w:val="center"/>
            <w:hideMark/>
          </w:tcPr>
          <w:p w14:paraId="26C9860F" w14:textId="77777777" w:rsidR="00000000" w:rsidRDefault="00A173A8">
            <w:pPr>
              <w:spacing w:after="100"/>
              <w:rPr>
                <w:rFonts w:eastAsia="Times New Roman"/>
                <w:sz w:val="20"/>
                <w:szCs w:val="20"/>
              </w:rPr>
            </w:pPr>
          </w:p>
        </w:tc>
      </w:tr>
      <w:tr w:rsidR="00000000" w14:paraId="692001A5" w14:textId="77777777">
        <w:trPr>
          <w:divId w:val="1518959676"/>
        </w:trPr>
        <w:tc>
          <w:tcPr>
            <w:tcW w:w="0" w:type="auto"/>
            <w:gridSpan w:val="3"/>
            <w:shd w:val="clear" w:color="auto" w:fill="FFFFFF"/>
            <w:tcMar>
              <w:top w:w="30" w:type="dxa"/>
              <w:left w:w="245" w:type="dxa"/>
              <w:bottom w:w="30" w:type="dxa"/>
              <w:right w:w="20" w:type="dxa"/>
            </w:tcMar>
            <w:vAlign w:val="center"/>
            <w:hideMark/>
          </w:tcPr>
          <w:p w14:paraId="60A0B404" w14:textId="77777777" w:rsidR="00000000" w:rsidRDefault="00A173A8">
            <w:pPr>
              <w:spacing w:after="100"/>
              <w:rPr>
                <w:rFonts w:eastAsia="Times New Roman"/>
              </w:rPr>
            </w:pPr>
            <w:r>
              <w:rPr>
                <w:rFonts w:eastAsia="Times New Roman"/>
                <w:color w:val="000000"/>
                <w:sz w:val="16"/>
                <w:szCs w:val="16"/>
              </w:rPr>
              <w:t>Net proceeds from issuances</w:t>
            </w:r>
          </w:p>
        </w:tc>
        <w:tc>
          <w:tcPr>
            <w:tcW w:w="0" w:type="auto"/>
            <w:gridSpan w:val="3"/>
            <w:shd w:val="clear" w:color="auto" w:fill="FFFFFF"/>
            <w:tcMar>
              <w:top w:w="0" w:type="dxa"/>
              <w:left w:w="20" w:type="dxa"/>
              <w:bottom w:w="0" w:type="dxa"/>
              <w:right w:w="20" w:type="dxa"/>
            </w:tcMar>
            <w:vAlign w:val="center"/>
            <w:hideMark/>
          </w:tcPr>
          <w:p w14:paraId="1026D56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CD64D27" w14:textId="77777777" w:rsidR="00000000" w:rsidRDefault="00A173A8">
            <w:pPr>
              <w:spacing w:after="100"/>
              <w:jc w:val="right"/>
              <w:rPr>
                <w:rFonts w:eastAsia="Times New Roman"/>
              </w:rPr>
            </w:pPr>
            <w:r>
              <w:rPr>
                <w:rFonts w:eastAsia="Times New Roman"/>
                <w:b/>
                <w:bCs/>
                <w:color w:val="000000"/>
                <w:sz w:val="16"/>
                <w:szCs w:val="16"/>
              </w:rPr>
              <w:t>138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045A9E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F32F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D437B4" w14:textId="77777777" w:rsidR="00000000" w:rsidRDefault="00A173A8">
            <w:pPr>
              <w:spacing w:after="100"/>
              <w:jc w:val="right"/>
              <w:rPr>
                <w:rFonts w:eastAsia="Times New Roman"/>
              </w:rPr>
            </w:pPr>
            <w:r>
              <w:rPr>
                <w:rFonts w:eastAsia="Times New Roman"/>
                <w:color w:val="000000"/>
                <w:sz w:val="16"/>
                <w:szCs w:val="16"/>
              </w:rPr>
              <w:t>120 </w:t>
            </w:r>
          </w:p>
        </w:tc>
        <w:tc>
          <w:tcPr>
            <w:tcW w:w="0" w:type="auto"/>
            <w:shd w:val="clear" w:color="auto" w:fill="FFFFFF"/>
            <w:tcMar>
              <w:top w:w="30" w:type="dxa"/>
              <w:left w:w="0" w:type="dxa"/>
              <w:bottom w:w="30" w:type="dxa"/>
              <w:right w:w="20" w:type="dxa"/>
            </w:tcMar>
            <w:vAlign w:val="center"/>
            <w:hideMark/>
          </w:tcPr>
          <w:p w14:paraId="2569D0C7" w14:textId="77777777" w:rsidR="00000000" w:rsidRDefault="00A173A8">
            <w:pPr>
              <w:spacing w:after="100"/>
              <w:jc w:val="right"/>
              <w:rPr>
                <w:rFonts w:eastAsia="Times New Roman"/>
              </w:rPr>
            </w:pPr>
          </w:p>
        </w:tc>
        <w:tc>
          <w:tcPr>
            <w:tcW w:w="0" w:type="auto"/>
            <w:gridSpan w:val="3"/>
            <w:vAlign w:val="center"/>
            <w:hideMark/>
          </w:tcPr>
          <w:p w14:paraId="677B3AB5" w14:textId="77777777" w:rsidR="00000000" w:rsidRDefault="00A173A8">
            <w:pPr>
              <w:spacing w:after="100"/>
              <w:jc w:val="right"/>
              <w:rPr>
                <w:rFonts w:eastAsia="Times New Roman"/>
                <w:sz w:val="20"/>
                <w:szCs w:val="20"/>
              </w:rPr>
            </w:pPr>
          </w:p>
        </w:tc>
        <w:tc>
          <w:tcPr>
            <w:tcW w:w="0" w:type="auto"/>
            <w:gridSpan w:val="3"/>
            <w:vAlign w:val="center"/>
            <w:hideMark/>
          </w:tcPr>
          <w:p w14:paraId="7D88187A" w14:textId="77777777" w:rsidR="00000000" w:rsidRDefault="00A173A8">
            <w:pPr>
              <w:spacing w:after="100"/>
              <w:rPr>
                <w:rFonts w:eastAsia="Times New Roman"/>
                <w:sz w:val="20"/>
                <w:szCs w:val="20"/>
              </w:rPr>
            </w:pPr>
          </w:p>
        </w:tc>
      </w:tr>
      <w:tr w:rsidR="00000000" w14:paraId="03A423F2" w14:textId="77777777">
        <w:trPr>
          <w:divId w:val="1518959676"/>
        </w:trPr>
        <w:tc>
          <w:tcPr>
            <w:tcW w:w="0" w:type="auto"/>
            <w:gridSpan w:val="3"/>
            <w:shd w:val="clear" w:color="auto" w:fill="CCEEFF"/>
            <w:tcMar>
              <w:top w:w="30" w:type="dxa"/>
              <w:left w:w="245" w:type="dxa"/>
              <w:bottom w:w="30" w:type="dxa"/>
              <w:right w:w="20" w:type="dxa"/>
            </w:tcMar>
            <w:vAlign w:val="center"/>
            <w:hideMark/>
          </w:tcPr>
          <w:p w14:paraId="0BEC0491" w14:textId="77777777" w:rsidR="00000000" w:rsidRDefault="00A173A8">
            <w:pPr>
              <w:spacing w:after="100"/>
              <w:rPr>
                <w:rFonts w:eastAsia="Times New Roman"/>
              </w:rPr>
            </w:pPr>
            <w:r>
              <w:rPr>
                <w:rFonts w:eastAsia="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center"/>
            <w:hideMark/>
          </w:tcPr>
          <w:p w14:paraId="7877D82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8AD750B" w14:textId="77777777" w:rsidR="00000000" w:rsidRDefault="00A173A8">
            <w:pPr>
              <w:spacing w:after="100"/>
              <w:jc w:val="right"/>
              <w:rPr>
                <w:rFonts w:eastAsia="Times New Roman"/>
              </w:rPr>
            </w:pPr>
            <w:r>
              <w:rPr>
                <w:rFonts w:eastAsia="Times New Roman"/>
                <w:b/>
                <w:bCs/>
                <w:color w:val="000000"/>
                <w:sz w:val="16"/>
                <w:szCs w:val="16"/>
              </w:rPr>
              <w:t>(487)</w:t>
            </w:r>
          </w:p>
        </w:tc>
        <w:tc>
          <w:tcPr>
            <w:tcW w:w="0" w:type="auto"/>
            <w:shd w:val="clear" w:color="auto" w:fill="CCEEFF"/>
            <w:tcMar>
              <w:top w:w="30" w:type="dxa"/>
              <w:left w:w="0" w:type="dxa"/>
              <w:bottom w:w="30" w:type="dxa"/>
              <w:right w:w="20" w:type="dxa"/>
            </w:tcMar>
            <w:vAlign w:val="center"/>
            <w:hideMark/>
          </w:tcPr>
          <w:p w14:paraId="216FE51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B5534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48275A" w14:textId="77777777" w:rsidR="00000000" w:rsidRDefault="00A173A8">
            <w:pPr>
              <w:spacing w:after="100"/>
              <w:jc w:val="right"/>
              <w:rPr>
                <w:rFonts w:eastAsia="Times New Roman"/>
              </w:rPr>
            </w:pPr>
            <w:r>
              <w:rPr>
                <w:rFonts w:eastAsia="Times New Roman"/>
                <w:color w:val="000000"/>
                <w:sz w:val="16"/>
                <w:szCs w:val="16"/>
              </w:rPr>
              <w:t>(365)</w:t>
            </w:r>
          </w:p>
        </w:tc>
        <w:tc>
          <w:tcPr>
            <w:tcW w:w="0" w:type="auto"/>
            <w:shd w:val="clear" w:color="auto" w:fill="CCEEFF"/>
            <w:tcMar>
              <w:top w:w="30" w:type="dxa"/>
              <w:left w:w="0" w:type="dxa"/>
              <w:bottom w:w="30" w:type="dxa"/>
              <w:right w:w="20" w:type="dxa"/>
            </w:tcMar>
            <w:vAlign w:val="center"/>
            <w:hideMark/>
          </w:tcPr>
          <w:p w14:paraId="721A84C1" w14:textId="77777777" w:rsidR="00000000" w:rsidRDefault="00A173A8">
            <w:pPr>
              <w:spacing w:after="100"/>
              <w:jc w:val="right"/>
              <w:rPr>
                <w:rFonts w:eastAsia="Times New Roman"/>
              </w:rPr>
            </w:pPr>
          </w:p>
        </w:tc>
        <w:tc>
          <w:tcPr>
            <w:tcW w:w="0" w:type="auto"/>
            <w:gridSpan w:val="3"/>
            <w:vAlign w:val="center"/>
            <w:hideMark/>
          </w:tcPr>
          <w:p w14:paraId="7E63D0E0" w14:textId="77777777" w:rsidR="00000000" w:rsidRDefault="00A173A8">
            <w:pPr>
              <w:spacing w:after="100"/>
              <w:jc w:val="right"/>
              <w:rPr>
                <w:rFonts w:eastAsia="Times New Roman"/>
                <w:sz w:val="20"/>
                <w:szCs w:val="20"/>
              </w:rPr>
            </w:pPr>
          </w:p>
        </w:tc>
        <w:tc>
          <w:tcPr>
            <w:tcW w:w="0" w:type="auto"/>
            <w:gridSpan w:val="3"/>
            <w:vAlign w:val="center"/>
            <w:hideMark/>
          </w:tcPr>
          <w:p w14:paraId="56512FD0" w14:textId="77777777" w:rsidR="00000000" w:rsidRDefault="00A173A8">
            <w:pPr>
              <w:spacing w:after="100"/>
              <w:rPr>
                <w:rFonts w:eastAsia="Times New Roman"/>
                <w:sz w:val="20"/>
                <w:szCs w:val="20"/>
              </w:rPr>
            </w:pPr>
          </w:p>
        </w:tc>
      </w:tr>
      <w:tr w:rsidR="00000000" w14:paraId="49864211" w14:textId="77777777">
        <w:trPr>
          <w:divId w:val="1518959676"/>
        </w:trPr>
        <w:tc>
          <w:tcPr>
            <w:tcW w:w="0" w:type="auto"/>
            <w:gridSpan w:val="3"/>
            <w:shd w:val="clear" w:color="auto" w:fill="FFFFFF"/>
            <w:tcMar>
              <w:top w:w="30" w:type="dxa"/>
              <w:left w:w="20" w:type="dxa"/>
              <w:bottom w:w="30" w:type="dxa"/>
              <w:right w:w="20" w:type="dxa"/>
            </w:tcMar>
            <w:vAlign w:val="center"/>
            <w:hideMark/>
          </w:tcPr>
          <w:p w14:paraId="4B03A52C" w14:textId="77777777" w:rsidR="00000000" w:rsidRDefault="00A173A8">
            <w:pPr>
              <w:spacing w:after="100"/>
              <w:rPr>
                <w:rFonts w:eastAsia="Times New Roman"/>
              </w:rPr>
            </w:pPr>
            <w:r>
              <w:rPr>
                <w:rFonts w:eastAsia="Times New Roman"/>
                <w:color w:val="000000"/>
                <w:sz w:val="16"/>
                <w:szCs w:val="16"/>
              </w:rPr>
              <w:t>Preferred stock:</w:t>
            </w:r>
          </w:p>
        </w:tc>
        <w:tc>
          <w:tcPr>
            <w:tcW w:w="0" w:type="auto"/>
            <w:gridSpan w:val="3"/>
            <w:shd w:val="clear" w:color="auto" w:fill="FFFFFF"/>
            <w:tcMar>
              <w:top w:w="0" w:type="dxa"/>
              <w:left w:w="20" w:type="dxa"/>
              <w:bottom w:w="0" w:type="dxa"/>
              <w:right w:w="20" w:type="dxa"/>
            </w:tcMar>
            <w:vAlign w:val="center"/>
            <w:hideMark/>
          </w:tcPr>
          <w:p w14:paraId="65E473E8"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F6CD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3F3A9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B86FF5" w14:textId="77777777" w:rsidR="00000000" w:rsidRDefault="00A173A8">
            <w:pPr>
              <w:spacing w:after="100"/>
              <w:rPr>
                <w:rFonts w:eastAsia="Times New Roman"/>
                <w:sz w:val="20"/>
                <w:szCs w:val="20"/>
              </w:rPr>
            </w:pPr>
          </w:p>
        </w:tc>
        <w:tc>
          <w:tcPr>
            <w:tcW w:w="0" w:type="auto"/>
            <w:gridSpan w:val="3"/>
            <w:vAlign w:val="center"/>
            <w:hideMark/>
          </w:tcPr>
          <w:p w14:paraId="26ABB218" w14:textId="77777777" w:rsidR="00000000" w:rsidRDefault="00A173A8">
            <w:pPr>
              <w:spacing w:after="100"/>
              <w:rPr>
                <w:rFonts w:eastAsia="Times New Roman"/>
                <w:sz w:val="20"/>
                <w:szCs w:val="20"/>
              </w:rPr>
            </w:pPr>
          </w:p>
        </w:tc>
        <w:tc>
          <w:tcPr>
            <w:tcW w:w="0" w:type="auto"/>
            <w:gridSpan w:val="3"/>
            <w:vAlign w:val="center"/>
            <w:hideMark/>
          </w:tcPr>
          <w:p w14:paraId="23DBFD04" w14:textId="77777777" w:rsidR="00000000" w:rsidRDefault="00A173A8">
            <w:pPr>
              <w:spacing w:after="100"/>
              <w:rPr>
                <w:rFonts w:eastAsia="Times New Roman"/>
                <w:sz w:val="20"/>
                <w:szCs w:val="20"/>
              </w:rPr>
            </w:pPr>
          </w:p>
        </w:tc>
      </w:tr>
      <w:tr w:rsidR="00000000" w14:paraId="3C3B7A3B" w14:textId="77777777">
        <w:trPr>
          <w:divId w:val="1518959676"/>
        </w:trPr>
        <w:tc>
          <w:tcPr>
            <w:tcW w:w="0" w:type="auto"/>
            <w:gridSpan w:val="3"/>
            <w:shd w:val="clear" w:color="auto" w:fill="CCEEFF"/>
            <w:tcMar>
              <w:top w:w="30" w:type="dxa"/>
              <w:left w:w="245" w:type="dxa"/>
              <w:bottom w:w="30" w:type="dxa"/>
              <w:right w:w="20" w:type="dxa"/>
            </w:tcMar>
            <w:vAlign w:val="center"/>
            <w:hideMark/>
          </w:tcPr>
          <w:p w14:paraId="3EA1682F" w14:textId="77777777" w:rsidR="00000000" w:rsidRDefault="00A173A8">
            <w:pPr>
              <w:spacing w:after="100"/>
              <w:rPr>
                <w:rFonts w:eastAsia="Times New Roman"/>
              </w:rPr>
            </w:pPr>
            <w:r>
              <w:rPr>
                <w:rFonts w:eastAsia="Times New Roman"/>
                <w:color w:val="000000"/>
                <w:sz w:val="16"/>
                <w:szCs w:val="16"/>
              </w:rPr>
              <w:t>Net proceeds from issuances</w:t>
            </w:r>
          </w:p>
        </w:tc>
        <w:tc>
          <w:tcPr>
            <w:tcW w:w="0" w:type="auto"/>
            <w:gridSpan w:val="3"/>
            <w:shd w:val="clear" w:color="auto" w:fill="CCEEFF"/>
            <w:tcMar>
              <w:top w:w="0" w:type="dxa"/>
              <w:left w:w="20" w:type="dxa"/>
              <w:bottom w:w="0" w:type="dxa"/>
              <w:right w:w="20" w:type="dxa"/>
            </w:tcMar>
            <w:vAlign w:val="center"/>
            <w:hideMark/>
          </w:tcPr>
          <w:p w14:paraId="51269D0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162FA19" w14:textId="77777777" w:rsidR="00000000" w:rsidRDefault="00A173A8">
            <w:pPr>
              <w:spacing w:after="100"/>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5D2161C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1012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874582" w14:textId="77777777" w:rsidR="00000000" w:rsidRDefault="00A173A8">
            <w:pPr>
              <w:spacing w:after="100"/>
              <w:jc w:val="right"/>
              <w:rPr>
                <w:rFonts w:eastAsia="Times New Roman"/>
              </w:rPr>
            </w:pPr>
            <w:r>
              <w:rPr>
                <w:rFonts w:eastAsia="Times New Roman"/>
                <w:color w:val="000000"/>
                <w:sz w:val="16"/>
                <w:szCs w:val="16"/>
              </w:rPr>
              <w:t>1,641 </w:t>
            </w:r>
          </w:p>
        </w:tc>
        <w:tc>
          <w:tcPr>
            <w:tcW w:w="0" w:type="auto"/>
            <w:shd w:val="clear" w:color="auto" w:fill="CCEEFF"/>
            <w:tcMar>
              <w:top w:w="30" w:type="dxa"/>
              <w:left w:w="0" w:type="dxa"/>
              <w:bottom w:w="30" w:type="dxa"/>
              <w:right w:w="20" w:type="dxa"/>
            </w:tcMar>
            <w:vAlign w:val="center"/>
            <w:hideMark/>
          </w:tcPr>
          <w:p w14:paraId="61827978" w14:textId="77777777" w:rsidR="00000000" w:rsidRDefault="00A173A8">
            <w:pPr>
              <w:spacing w:after="100"/>
              <w:jc w:val="right"/>
              <w:rPr>
                <w:rFonts w:eastAsia="Times New Roman"/>
              </w:rPr>
            </w:pPr>
          </w:p>
        </w:tc>
        <w:tc>
          <w:tcPr>
            <w:tcW w:w="0" w:type="auto"/>
            <w:gridSpan w:val="3"/>
            <w:vAlign w:val="center"/>
            <w:hideMark/>
          </w:tcPr>
          <w:p w14:paraId="657AEA80" w14:textId="77777777" w:rsidR="00000000" w:rsidRDefault="00A173A8">
            <w:pPr>
              <w:spacing w:after="100"/>
              <w:jc w:val="right"/>
              <w:rPr>
                <w:rFonts w:eastAsia="Times New Roman"/>
                <w:sz w:val="20"/>
                <w:szCs w:val="20"/>
              </w:rPr>
            </w:pPr>
          </w:p>
        </w:tc>
        <w:tc>
          <w:tcPr>
            <w:tcW w:w="0" w:type="auto"/>
            <w:gridSpan w:val="3"/>
            <w:vAlign w:val="center"/>
            <w:hideMark/>
          </w:tcPr>
          <w:p w14:paraId="37831EA5" w14:textId="77777777" w:rsidR="00000000" w:rsidRDefault="00A173A8">
            <w:pPr>
              <w:spacing w:after="100"/>
              <w:rPr>
                <w:rFonts w:eastAsia="Times New Roman"/>
                <w:sz w:val="20"/>
                <w:szCs w:val="20"/>
              </w:rPr>
            </w:pPr>
          </w:p>
        </w:tc>
      </w:tr>
      <w:tr w:rsidR="00000000" w14:paraId="37952BE8" w14:textId="77777777">
        <w:trPr>
          <w:divId w:val="1518959676"/>
        </w:trPr>
        <w:tc>
          <w:tcPr>
            <w:tcW w:w="0" w:type="auto"/>
            <w:gridSpan w:val="3"/>
            <w:shd w:val="clear" w:color="auto" w:fill="FFFFFF"/>
            <w:tcMar>
              <w:top w:w="30" w:type="dxa"/>
              <w:left w:w="245" w:type="dxa"/>
              <w:bottom w:w="30" w:type="dxa"/>
              <w:right w:w="20" w:type="dxa"/>
            </w:tcMar>
            <w:vAlign w:val="center"/>
            <w:hideMark/>
          </w:tcPr>
          <w:p w14:paraId="50CCFE8D" w14:textId="77777777" w:rsidR="00000000" w:rsidRDefault="00A173A8">
            <w:pPr>
              <w:spacing w:after="100"/>
              <w:rPr>
                <w:rFonts w:eastAsia="Times New Roman"/>
              </w:rPr>
            </w:pPr>
            <w:r>
              <w:rPr>
                <w:rFonts w:eastAsia="Times New Roman"/>
                <w:color w:val="000000"/>
                <w:sz w:val="16"/>
                <w:szCs w:val="16"/>
              </w:rPr>
              <w:t>Dividends paid</w:t>
            </w:r>
          </w:p>
        </w:tc>
        <w:tc>
          <w:tcPr>
            <w:tcW w:w="0" w:type="auto"/>
            <w:gridSpan w:val="3"/>
            <w:shd w:val="clear" w:color="auto" w:fill="FFFFFF"/>
            <w:tcMar>
              <w:top w:w="0" w:type="dxa"/>
              <w:left w:w="20" w:type="dxa"/>
              <w:bottom w:w="0" w:type="dxa"/>
              <w:right w:w="20" w:type="dxa"/>
            </w:tcMar>
            <w:vAlign w:val="center"/>
            <w:hideMark/>
          </w:tcPr>
          <w:p w14:paraId="634E4E3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E1CBDB9" w14:textId="77777777" w:rsidR="00000000" w:rsidRDefault="00A173A8">
            <w:pPr>
              <w:spacing w:after="100"/>
              <w:jc w:val="right"/>
              <w:rPr>
                <w:rFonts w:eastAsia="Times New Roman"/>
              </w:rPr>
            </w:pPr>
            <w:r>
              <w:rPr>
                <w:rFonts w:eastAsia="Times New Roman"/>
                <w:b/>
                <w:bCs/>
                <w:color w:val="000000"/>
                <w:sz w:val="16"/>
                <w:szCs w:val="16"/>
              </w:rPr>
              <w:t>(114)</w:t>
            </w:r>
          </w:p>
        </w:tc>
        <w:tc>
          <w:tcPr>
            <w:tcW w:w="0" w:type="auto"/>
            <w:shd w:val="clear" w:color="auto" w:fill="FFFFFF"/>
            <w:tcMar>
              <w:top w:w="30" w:type="dxa"/>
              <w:left w:w="0" w:type="dxa"/>
              <w:bottom w:w="30" w:type="dxa"/>
              <w:right w:w="20" w:type="dxa"/>
            </w:tcMar>
            <w:vAlign w:val="center"/>
            <w:hideMark/>
          </w:tcPr>
          <w:p w14:paraId="3FA73F3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0249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F8EDB4" w14:textId="77777777" w:rsidR="00000000" w:rsidRDefault="00A173A8">
            <w:pPr>
              <w:spacing w:after="100"/>
              <w:jc w:val="right"/>
              <w:rPr>
                <w:rFonts w:eastAsia="Times New Roman"/>
              </w:rPr>
            </w:pPr>
            <w:r>
              <w:rPr>
                <w:rFonts w:eastAsia="Times New Roman"/>
                <w:color w:val="000000"/>
                <w:sz w:val="16"/>
                <w:szCs w:val="16"/>
              </w:rPr>
              <w:t>(121)</w:t>
            </w:r>
          </w:p>
        </w:tc>
        <w:tc>
          <w:tcPr>
            <w:tcW w:w="0" w:type="auto"/>
            <w:shd w:val="clear" w:color="auto" w:fill="FFFFFF"/>
            <w:tcMar>
              <w:top w:w="30" w:type="dxa"/>
              <w:left w:w="0" w:type="dxa"/>
              <w:bottom w:w="30" w:type="dxa"/>
              <w:right w:w="20" w:type="dxa"/>
            </w:tcMar>
            <w:vAlign w:val="center"/>
            <w:hideMark/>
          </w:tcPr>
          <w:p w14:paraId="53C3F05A" w14:textId="77777777" w:rsidR="00000000" w:rsidRDefault="00A173A8">
            <w:pPr>
              <w:spacing w:after="100"/>
              <w:jc w:val="right"/>
              <w:rPr>
                <w:rFonts w:eastAsia="Times New Roman"/>
              </w:rPr>
            </w:pPr>
          </w:p>
        </w:tc>
        <w:tc>
          <w:tcPr>
            <w:tcW w:w="0" w:type="auto"/>
            <w:gridSpan w:val="3"/>
            <w:vAlign w:val="center"/>
            <w:hideMark/>
          </w:tcPr>
          <w:p w14:paraId="1EE87DFF" w14:textId="77777777" w:rsidR="00000000" w:rsidRDefault="00A173A8">
            <w:pPr>
              <w:spacing w:after="100"/>
              <w:jc w:val="right"/>
              <w:rPr>
                <w:rFonts w:eastAsia="Times New Roman"/>
                <w:sz w:val="20"/>
                <w:szCs w:val="20"/>
              </w:rPr>
            </w:pPr>
          </w:p>
        </w:tc>
        <w:tc>
          <w:tcPr>
            <w:tcW w:w="0" w:type="auto"/>
            <w:gridSpan w:val="3"/>
            <w:vAlign w:val="center"/>
            <w:hideMark/>
          </w:tcPr>
          <w:p w14:paraId="5836562F" w14:textId="77777777" w:rsidR="00000000" w:rsidRDefault="00A173A8">
            <w:pPr>
              <w:spacing w:after="100"/>
              <w:rPr>
                <w:rFonts w:eastAsia="Times New Roman"/>
                <w:sz w:val="20"/>
                <w:szCs w:val="20"/>
              </w:rPr>
            </w:pPr>
          </w:p>
        </w:tc>
      </w:tr>
      <w:tr w:rsidR="00000000" w14:paraId="6597243B" w14:textId="77777777">
        <w:trPr>
          <w:divId w:val="1518959676"/>
        </w:trPr>
        <w:tc>
          <w:tcPr>
            <w:tcW w:w="0" w:type="auto"/>
            <w:gridSpan w:val="3"/>
            <w:vAlign w:val="center"/>
            <w:hideMark/>
          </w:tcPr>
          <w:p w14:paraId="70C22D28" w14:textId="77777777" w:rsidR="00000000" w:rsidRDefault="00A173A8">
            <w:pPr>
              <w:spacing w:after="100"/>
              <w:rPr>
                <w:rFonts w:eastAsia="Times New Roman"/>
                <w:sz w:val="20"/>
                <w:szCs w:val="20"/>
              </w:rPr>
            </w:pPr>
          </w:p>
        </w:tc>
        <w:tc>
          <w:tcPr>
            <w:tcW w:w="0" w:type="auto"/>
            <w:gridSpan w:val="3"/>
            <w:vAlign w:val="center"/>
            <w:hideMark/>
          </w:tcPr>
          <w:p w14:paraId="644B5B7A" w14:textId="77777777" w:rsidR="00000000" w:rsidRDefault="00A173A8">
            <w:pPr>
              <w:spacing w:after="100"/>
              <w:rPr>
                <w:rFonts w:eastAsia="Times New Roman"/>
                <w:sz w:val="20"/>
                <w:szCs w:val="20"/>
              </w:rPr>
            </w:pPr>
          </w:p>
        </w:tc>
        <w:tc>
          <w:tcPr>
            <w:tcW w:w="0" w:type="auto"/>
            <w:gridSpan w:val="3"/>
            <w:vAlign w:val="center"/>
            <w:hideMark/>
          </w:tcPr>
          <w:p w14:paraId="3A015294" w14:textId="77777777" w:rsidR="00000000" w:rsidRDefault="00A173A8">
            <w:pPr>
              <w:spacing w:after="100"/>
              <w:rPr>
                <w:rFonts w:eastAsia="Times New Roman"/>
                <w:sz w:val="20"/>
                <w:szCs w:val="20"/>
              </w:rPr>
            </w:pPr>
          </w:p>
        </w:tc>
        <w:tc>
          <w:tcPr>
            <w:tcW w:w="0" w:type="auto"/>
            <w:gridSpan w:val="3"/>
            <w:vAlign w:val="center"/>
            <w:hideMark/>
          </w:tcPr>
          <w:p w14:paraId="5FC9C9E3" w14:textId="77777777" w:rsidR="00000000" w:rsidRDefault="00A173A8">
            <w:pPr>
              <w:spacing w:after="100"/>
              <w:rPr>
                <w:rFonts w:eastAsia="Times New Roman"/>
                <w:sz w:val="20"/>
                <w:szCs w:val="20"/>
              </w:rPr>
            </w:pPr>
          </w:p>
        </w:tc>
        <w:tc>
          <w:tcPr>
            <w:tcW w:w="0" w:type="auto"/>
            <w:gridSpan w:val="3"/>
            <w:vAlign w:val="center"/>
            <w:hideMark/>
          </w:tcPr>
          <w:p w14:paraId="5B52E64D" w14:textId="77777777" w:rsidR="00000000" w:rsidRDefault="00A173A8">
            <w:pPr>
              <w:spacing w:after="100"/>
              <w:rPr>
                <w:rFonts w:eastAsia="Times New Roman"/>
                <w:sz w:val="20"/>
                <w:szCs w:val="20"/>
              </w:rPr>
            </w:pPr>
          </w:p>
        </w:tc>
        <w:tc>
          <w:tcPr>
            <w:tcW w:w="0" w:type="auto"/>
            <w:gridSpan w:val="3"/>
            <w:vAlign w:val="center"/>
            <w:hideMark/>
          </w:tcPr>
          <w:p w14:paraId="1659F3D6" w14:textId="77777777" w:rsidR="00000000" w:rsidRDefault="00A173A8">
            <w:pPr>
              <w:spacing w:after="100"/>
              <w:rPr>
                <w:rFonts w:eastAsia="Times New Roman"/>
                <w:sz w:val="20"/>
                <w:szCs w:val="20"/>
              </w:rPr>
            </w:pPr>
          </w:p>
        </w:tc>
        <w:tc>
          <w:tcPr>
            <w:tcW w:w="0" w:type="auto"/>
            <w:gridSpan w:val="3"/>
            <w:vAlign w:val="center"/>
            <w:hideMark/>
          </w:tcPr>
          <w:p w14:paraId="13EC26BF" w14:textId="77777777" w:rsidR="00000000" w:rsidRDefault="00A173A8">
            <w:pPr>
              <w:spacing w:after="100"/>
              <w:rPr>
                <w:rFonts w:eastAsia="Times New Roman"/>
                <w:sz w:val="20"/>
                <w:szCs w:val="20"/>
              </w:rPr>
            </w:pPr>
          </w:p>
        </w:tc>
      </w:tr>
      <w:tr w:rsidR="00000000" w14:paraId="742F8B9A" w14:textId="77777777">
        <w:trPr>
          <w:divId w:val="1518959676"/>
        </w:trPr>
        <w:tc>
          <w:tcPr>
            <w:tcW w:w="0" w:type="auto"/>
            <w:gridSpan w:val="3"/>
            <w:shd w:val="clear" w:color="auto" w:fill="CCEEFF"/>
            <w:tcMar>
              <w:top w:w="30" w:type="dxa"/>
              <w:left w:w="20" w:type="dxa"/>
              <w:bottom w:w="30" w:type="dxa"/>
              <w:right w:w="20" w:type="dxa"/>
            </w:tcMar>
            <w:vAlign w:val="center"/>
            <w:hideMark/>
          </w:tcPr>
          <w:p w14:paraId="7255EA22" w14:textId="77777777" w:rsidR="00000000" w:rsidRDefault="00A173A8">
            <w:pPr>
              <w:spacing w:after="100"/>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14:paraId="6504207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A5EA130" w14:textId="77777777" w:rsidR="00000000" w:rsidRDefault="00A173A8">
            <w:pPr>
              <w:spacing w:after="100"/>
              <w:jc w:val="right"/>
              <w:rPr>
                <w:rFonts w:eastAsia="Times New Roman"/>
              </w:rPr>
            </w:pPr>
            <w:r>
              <w:rPr>
                <w:rFonts w:eastAsia="Times New Roman"/>
                <w:b/>
                <w:bCs/>
                <w:color w:val="000000"/>
                <w:sz w:val="16"/>
                <w:szCs w:val="16"/>
              </w:rPr>
              <w:t>(4,472)</w:t>
            </w:r>
          </w:p>
        </w:tc>
        <w:tc>
          <w:tcPr>
            <w:tcW w:w="0" w:type="auto"/>
            <w:shd w:val="clear" w:color="auto" w:fill="CCEEFF"/>
            <w:tcMar>
              <w:top w:w="30" w:type="dxa"/>
              <w:left w:w="0" w:type="dxa"/>
              <w:bottom w:w="30" w:type="dxa"/>
              <w:right w:w="20" w:type="dxa"/>
            </w:tcMar>
            <w:vAlign w:val="center"/>
            <w:hideMark/>
          </w:tcPr>
          <w:p w14:paraId="4B5AA97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24442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58352F" w14:textId="77777777" w:rsidR="00000000" w:rsidRDefault="00A173A8">
            <w:pPr>
              <w:spacing w:after="100"/>
              <w:jc w:val="right"/>
              <w:rPr>
                <w:rFonts w:eastAsia="Times New Roman"/>
              </w:rPr>
            </w:pPr>
            <w:r>
              <w:rPr>
                <w:rFonts w:eastAsia="Times New Roman"/>
                <w:color w:val="000000"/>
                <w:sz w:val="16"/>
                <w:szCs w:val="16"/>
              </w:rPr>
              <w:t>(2,243)</w:t>
            </w:r>
          </w:p>
        </w:tc>
        <w:tc>
          <w:tcPr>
            <w:tcW w:w="0" w:type="auto"/>
            <w:shd w:val="clear" w:color="auto" w:fill="CCEEFF"/>
            <w:tcMar>
              <w:top w:w="30" w:type="dxa"/>
              <w:left w:w="0" w:type="dxa"/>
              <w:bottom w:w="30" w:type="dxa"/>
              <w:right w:w="20" w:type="dxa"/>
            </w:tcMar>
            <w:vAlign w:val="center"/>
            <w:hideMark/>
          </w:tcPr>
          <w:p w14:paraId="64FD26CF" w14:textId="77777777" w:rsidR="00000000" w:rsidRDefault="00A173A8">
            <w:pPr>
              <w:spacing w:after="100"/>
              <w:jc w:val="right"/>
              <w:rPr>
                <w:rFonts w:eastAsia="Times New Roman"/>
              </w:rPr>
            </w:pPr>
          </w:p>
        </w:tc>
        <w:tc>
          <w:tcPr>
            <w:tcW w:w="0" w:type="auto"/>
            <w:gridSpan w:val="3"/>
            <w:vAlign w:val="center"/>
            <w:hideMark/>
          </w:tcPr>
          <w:p w14:paraId="5EC6D220" w14:textId="77777777" w:rsidR="00000000" w:rsidRDefault="00A173A8">
            <w:pPr>
              <w:spacing w:after="100"/>
              <w:jc w:val="right"/>
              <w:rPr>
                <w:rFonts w:eastAsia="Times New Roman"/>
                <w:sz w:val="20"/>
                <w:szCs w:val="20"/>
              </w:rPr>
            </w:pPr>
          </w:p>
        </w:tc>
        <w:tc>
          <w:tcPr>
            <w:tcW w:w="0" w:type="auto"/>
            <w:gridSpan w:val="3"/>
            <w:vAlign w:val="center"/>
            <w:hideMark/>
          </w:tcPr>
          <w:p w14:paraId="0C780A4B" w14:textId="77777777" w:rsidR="00000000" w:rsidRDefault="00A173A8">
            <w:pPr>
              <w:spacing w:after="100"/>
              <w:rPr>
                <w:rFonts w:eastAsia="Times New Roman"/>
                <w:sz w:val="20"/>
                <w:szCs w:val="20"/>
              </w:rPr>
            </w:pPr>
          </w:p>
        </w:tc>
      </w:tr>
      <w:tr w:rsidR="00000000" w14:paraId="1595D1E1" w14:textId="77777777">
        <w:trPr>
          <w:divId w:val="1518959676"/>
        </w:trPr>
        <w:tc>
          <w:tcPr>
            <w:tcW w:w="0" w:type="auto"/>
            <w:gridSpan w:val="3"/>
            <w:shd w:val="clear" w:color="auto" w:fill="FFFFFF"/>
            <w:tcMar>
              <w:top w:w="30" w:type="dxa"/>
              <w:left w:w="20" w:type="dxa"/>
              <w:bottom w:w="30" w:type="dxa"/>
              <w:right w:w="20" w:type="dxa"/>
            </w:tcMar>
            <w:vAlign w:val="center"/>
            <w:hideMark/>
          </w:tcPr>
          <w:p w14:paraId="5F0B812A" w14:textId="77777777" w:rsidR="00000000" w:rsidRDefault="00A173A8">
            <w:pPr>
              <w:spacing w:after="100"/>
              <w:rPr>
                <w:rFonts w:eastAsia="Times New Roman"/>
              </w:rPr>
            </w:pPr>
            <w:r>
              <w:rPr>
                <w:rFonts w:eastAsia="Times New Roman"/>
                <w:color w:val="000000"/>
                <w:sz w:val="16"/>
                <w:szCs w:val="16"/>
              </w:rPr>
              <w:t>Proceeds from share-based payment activities</w:t>
            </w:r>
          </w:p>
        </w:tc>
        <w:tc>
          <w:tcPr>
            <w:tcW w:w="0" w:type="auto"/>
            <w:gridSpan w:val="3"/>
            <w:shd w:val="clear" w:color="auto" w:fill="FFFFFF"/>
            <w:tcMar>
              <w:top w:w="0" w:type="dxa"/>
              <w:left w:w="20" w:type="dxa"/>
              <w:bottom w:w="0" w:type="dxa"/>
              <w:right w:w="20" w:type="dxa"/>
            </w:tcMar>
            <w:vAlign w:val="center"/>
            <w:hideMark/>
          </w:tcPr>
          <w:p w14:paraId="5767099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6E7BDD3" w14:textId="77777777" w:rsidR="00000000" w:rsidRDefault="00A173A8">
            <w:pPr>
              <w:spacing w:after="100"/>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36A04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E225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B93502" w14:textId="77777777" w:rsidR="00000000" w:rsidRDefault="00A173A8">
            <w:pPr>
              <w:spacing w:after="100"/>
              <w:jc w:val="right"/>
              <w:rPr>
                <w:rFonts w:eastAsia="Times New Roman"/>
              </w:rPr>
            </w:pPr>
            <w:r>
              <w:rPr>
                <w:rFonts w:eastAsia="Times New Roman"/>
                <w:color w:val="000000"/>
                <w:sz w:val="16"/>
                <w:szCs w:val="16"/>
              </w:rPr>
              <w:t>34 </w:t>
            </w:r>
          </w:p>
        </w:tc>
        <w:tc>
          <w:tcPr>
            <w:tcW w:w="0" w:type="auto"/>
            <w:shd w:val="clear" w:color="auto" w:fill="FFFFFF"/>
            <w:tcMar>
              <w:top w:w="30" w:type="dxa"/>
              <w:left w:w="0" w:type="dxa"/>
              <w:bottom w:w="30" w:type="dxa"/>
              <w:right w:w="20" w:type="dxa"/>
            </w:tcMar>
            <w:vAlign w:val="center"/>
            <w:hideMark/>
          </w:tcPr>
          <w:p w14:paraId="7B3364CA" w14:textId="77777777" w:rsidR="00000000" w:rsidRDefault="00A173A8">
            <w:pPr>
              <w:spacing w:after="100"/>
              <w:jc w:val="right"/>
              <w:rPr>
                <w:rFonts w:eastAsia="Times New Roman"/>
              </w:rPr>
            </w:pPr>
          </w:p>
        </w:tc>
        <w:tc>
          <w:tcPr>
            <w:tcW w:w="0" w:type="auto"/>
            <w:gridSpan w:val="3"/>
            <w:vAlign w:val="center"/>
            <w:hideMark/>
          </w:tcPr>
          <w:p w14:paraId="7DAE9C21" w14:textId="77777777" w:rsidR="00000000" w:rsidRDefault="00A173A8">
            <w:pPr>
              <w:spacing w:after="100"/>
              <w:jc w:val="right"/>
              <w:rPr>
                <w:rFonts w:eastAsia="Times New Roman"/>
                <w:sz w:val="20"/>
                <w:szCs w:val="20"/>
              </w:rPr>
            </w:pPr>
          </w:p>
        </w:tc>
        <w:tc>
          <w:tcPr>
            <w:tcW w:w="0" w:type="auto"/>
            <w:gridSpan w:val="3"/>
            <w:vAlign w:val="center"/>
            <w:hideMark/>
          </w:tcPr>
          <w:p w14:paraId="2EA89CD8" w14:textId="77777777" w:rsidR="00000000" w:rsidRDefault="00A173A8">
            <w:pPr>
              <w:spacing w:after="100"/>
              <w:rPr>
                <w:rFonts w:eastAsia="Times New Roman"/>
                <w:sz w:val="20"/>
                <w:szCs w:val="20"/>
              </w:rPr>
            </w:pPr>
          </w:p>
        </w:tc>
      </w:tr>
      <w:tr w:rsidR="00000000" w14:paraId="5B6564BA" w14:textId="77777777">
        <w:trPr>
          <w:divId w:val="1518959676"/>
        </w:trPr>
        <w:tc>
          <w:tcPr>
            <w:tcW w:w="0" w:type="auto"/>
            <w:gridSpan w:val="3"/>
            <w:shd w:val="clear" w:color="auto" w:fill="CCEEFF"/>
            <w:tcMar>
              <w:top w:w="30" w:type="dxa"/>
              <w:left w:w="20" w:type="dxa"/>
              <w:bottom w:w="30" w:type="dxa"/>
              <w:right w:w="20" w:type="dxa"/>
            </w:tcMar>
            <w:vAlign w:val="center"/>
            <w:hideMark/>
          </w:tcPr>
          <w:p w14:paraId="2FA15C30" w14:textId="77777777" w:rsidR="00000000" w:rsidRDefault="00A173A8">
            <w:pPr>
              <w:spacing w:after="100"/>
              <w:rPr>
                <w:rFonts w:eastAsia="Times New Roman"/>
              </w:rPr>
            </w:pPr>
            <w:r>
              <w:rPr>
                <w:rFonts w:eastAsia="Times New Roman"/>
                <w:b/>
                <w:bCs/>
                <w:color w:val="000000"/>
                <w:sz w:val="16"/>
                <w:szCs w:val="16"/>
              </w:rPr>
              <w:t>Net cash from (used in) financing activities</w:t>
            </w:r>
          </w:p>
        </w:tc>
        <w:tc>
          <w:tcPr>
            <w:tcW w:w="0" w:type="auto"/>
            <w:gridSpan w:val="3"/>
            <w:shd w:val="clear" w:color="auto" w:fill="CCEEFF"/>
            <w:tcMar>
              <w:top w:w="0" w:type="dxa"/>
              <w:left w:w="20" w:type="dxa"/>
              <w:bottom w:w="0" w:type="dxa"/>
              <w:right w:w="20" w:type="dxa"/>
            </w:tcMar>
            <w:vAlign w:val="center"/>
            <w:hideMark/>
          </w:tcPr>
          <w:p w14:paraId="5C5A60CC"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2405744" w14:textId="77777777" w:rsidR="00000000" w:rsidRDefault="00A173A8">
            <w:pPr>
              <w:spacing w:after="100"/>
              <w:jc w:val="right"/>
              <w:rPr>
                <w:rFonts w:eastAsia="Times New Roman"/>
              </w:rPr>
            </w:pPr>
            <w:r>
              <w:rPr>
                <w:rFonts w:eastAsia="Times New Roman"/>
                <w:b/>
                <w:bCs/>
                <w:color w:val="000000"/>
                <w:sz w:val="16"/>
                <w:szCs w:val="16"/>
              </w:rPr>
              <w:t>9,823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960876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80B2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C10DDF6" w14:textId="77777777" w:rsidR="00000000" w:rsidRDefault="00A173A8">
            <w:pPr>
              <w:spacing w:after="100"/>
              <w:jc w:val="right"/>
              <w:rPr>
                <w:rFonts w:eastAsia="Times New Roman"/>
              </w:rPr>
            </w:pPr>
            <w:r>
              <w:rPr>
                <w:rFonts w:eastAsia="Times New Roman"/>
                <w:color w:val="000000"/>
                <w:sz w:val="16"/>
                <w:szCs w:val="16"/>
              </w:rPr>
              <w:t>(3,686)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201DCE" w14:textId="77777777" w:rsidR="00000000" w:rsidRDefault="00A173A8">
            <w:pPr>
              <w:spacing w:after="100"/>
              <w:jc w:val="right"/>
              <w:rPr>
                <w:rFonts w:eastAsia="Times New Roman"/>
              </w:rPr>
            </w:pPr>
          </w:p>
        </w:tc>
        <w:tc>
          <w:tcPr>
            <w:tcW w:w="0" w:type="auto"/>
            <w:gridSpan w:val="3"/>
            <w:vAlign w:val="center"/>
            <w:hideMark/>
          </w:tcPr>
          <w:p w14:paraId="01242FD9" w14:textId="77777777" w:rsidR="00000000" w:rsidRDefault="00A173A8">
            <w:pPr>
              <w:spacing w:after="100"/>
              <w:jc w:val="right"/>
              <w:rPr>
                <w:rFonts w:eastAsia="Times New Roman"/>
                <w:sz w:val="20"/>
                <w:szCs w:val="20"/>
              </w:rPr>
            </w:pPr>
          </w:p>
        </w:tc>
        <w:tc>
          <w:tcPr>
            <w:tcW w:w="0" w:type="auto"/>
            <w:gridSpan w:val="3"/>
            <w:vAlign w:val="center"/>
            <w:hideMark/>
          </w:tcPr>
          <w:p w14:paraId="644C3A4C" w14:textId="77777777" w:rsidR="00000000" w:rsidRDefault="00A173A8">
            <w:pPr>
              <w:spacing w:after="100"/>
              <w:rPr>
                <w:rFonts w:eastAsia="Times New Roman"/>
                <w:sz w:val="20"/>
                <w:szCs w:val="20"/>
              </w:rPr>
            </w:pPr>
          </w:p>
        </w:tc>
      </w:tr>
      <w:tr w:rsidR="00000000" w14:paraId="5036FC7C" w14:textId="77777777">
        <w:trPr>
          <w:divId w:val="1518959676"/>
        </w:trPr>
        <w:tc>
          <w:tcPr>
            <w:tcW w:w="0" w:type="auto"/>
            <w:gridSpan w:val="3"/>
            <w:shd w:val="clear" w:color="auto" w:fill="FFFFFF"/>
            <w:tcMar>
              <w:top w:w="30" w:type="dxa"/>
              <w:left w:w="20" w:type="dxa"/>
              <w:bottom w:w="30" w:type="dxa"/>
              <w:right w:w="20" w:type="dxa"/>
            </w:tcMar>
            <w:vAlign w:val="center"/>
            <w:hideMark/>
          </w:tcPr>
          <w:p w14:paraId="5BD6272F" w14:textId="77777777" w:rsidR="00000000" w:rsidRDefault="00A173A8">
            <w:pPr>
              <w:spacing w:after="100"/>
              <w:rPr>
                <w:rFonts w:eastAsia="Times New Roman"/>
              </w:rPr>
            </w:pPr>
            <w:r>
              <w:rPr>
                <w:rFonts w:eastAsia="Times New Roman"/>
                <w:color w:val="000000"/>
                <w:sz w:val="16"/>
                <w:szCs w:val="16"/>
              </w:rPr>
              <w:t>Changes in cash, cash equivalents and restricted cash for securitization investors</w:t>
            </w:r>
          </w:p>
        </w:tc>
        <w:tc>
          <w:tcPr>
            <w:tcW w:w="0" w:type="auto"/>
            <w:gridSpan w:val="3"/>
            <w:shd w:val="clear" w:color="auto" w:fill="FFFFFF"/>
            <w:tcMar>
              <w:top w:w="0" w:type="dxa"/>
              <w:left w:w="20" w:type="dxa"/>
              <w:bottom w:w="0" w:type="dxa"/>
              <w:right w:w="20" w:type="dxa"/>
            </w:tcMar>
            <w:vAlign w:val="center"/>
            <w:hideMark/>
          </w:tcPr>
          <w:p w14:paraId="41AA1A54"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5C0E3B4" w14:textId="77777777" w:rsidR="00000000" w:rsidRDefault="00A173A8">
            <w:pPr>
              <w:spacing w:after="100"/>
              <w:jc w:val="right"/>
              <w:rPr>
                <w:rFonts w:eastAsia="Times New Roman"/>
              </w:rPr>
            </w:pPr>
            <w:r>
              <w:rPr>
                <w:rFonts w:eastAsia="Times New Roman"/>
                <w:b/>
                <w:bCs/>
                <w:color w:val="000000"/>
                <w:sz w:val="16"/>
                <w:szCs w:val="16"/>
              </w:rPr>
              <w:t>196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EC4C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BE75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4276308" w14:textId="77777777" w:rsidR="00000000" w:rsidRDefault="00A173A8">
            <w:pPr>
              <w:spacing w:after="100"/>
              <w:jc w:val="right"/>
              <w:rPr>
                <w:rFonts w:eastAsia="Times New Roman"/>
              </w:rPr>
            </w:pPr>
            <w:r>
              <w:rPr>
                <w:rFonts w:eastAsia="Times New Roman"/>
                <w:color w:val="000000"/>
                <w:sz w:val="16"/>
                <w:szCs w:val="16"/>
              </w:rPr>
              <w:t>(5,683)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60EDCA3" w14:textId="77777777" w:rsidR="00000000" w:rsidRDefault="00A173A8">
            <w:pPr>
              <w:spacing w:after="100"/>
              <w:jc w:val="right"/>
              <w:rPr>
                <w:rFonts w:eastAsia="Times New Roman"/>
              </w:rPr>
            </w:pPr>
          </w:p>
        </w:tc>
        <w:tc>
          <w:tcPr>
            <w:tcW w:w="0" w:type="auto"/>
            <w:gridSpan w:val="3"/>
            <w:vAlign w:val="center"/>
            <w:hideMark/>
          </w:tcPr>
          <w:p w14:paraId="53330B91" w14:textId="77777777" w:rsidR="00000000" w:rsidRDefault="00A173A8">
            <w:pPr>
              <w:spacing w:after="100"/>
              <w:jc w:val="right"/>
              <w:rPr>
                <w:rFonts w:eastAsia="Times New Roman"/>
                <w:sz w:val="20"/>
                <w:szCs w:val="20"/>
              </w:rPr>
            </w:pPr>
          </w:p>
        </w:tc>
        <w:tc>
          <w:tcPr>
            <w:tcW w:w="0" w:type="auto"/>
            <w:gridSpan w:val="3"/>
            <w:vAlign w:val="center"/>
            <w:hideMark/>
          </w:tcPr>
          <w:p w14:paraId="684F95E9" w14:textId="77777777" w:rsidR="00000000" w:rsidRDefault="00A173A8">
            <w:pPr>
              <w:spacing w:after="100"/>
              <w:rPr>
                <w:rFonts w:eastAsia="Times New Roman"/>
                <w:sz w:val="20"/>
                <w:szCs w:val="20"/>
              </w:rPr>
            </w:pPr>
          </w:p>
        </w:tc>
      </w:tr>
      <w:tr w:rsidR="00000000" w14:paraId="47359B53" w14:textId="77777777">
        <w:trPr>
          <w:divId w:val="1518959676"/>
        </w:trPr>
        <w:tc>
          <w:tcPr>
            <w:tcW w:w="0" w:type="auto"/>
            <w:gridSpan w:val="3"/>
            <w:shd w:val="clear" w:color="auto" w:fill="CCEEFF"/>
            <w:tcMar>
              <w:top w:w="30" w:type="dxa"/>
              <w:left w:w="20" w:type="dxa"/>
              <w:bottom w:w="30" w:type="dxa"/>
              <w:right w:w="20" w:type="dxa"/>
            </w:tcMar>
            <w:vAlign w:val="center"/>
            <w:hideMark/>
          </w:tcPr>
          <w:p w14:paraId="68811003" w14:textId="77777777" w:rsidR="00000000" w:rsidRDefault="00A173A8">
            <w:pPr>
              <w:spacing w:after="100"/>
              <w:rPr>
                <w:rFonts w:eastAsia="Times New Roman"/>
              </w:rPr>
            </w:pPr>
            <w:r>
              <w:rPr>
                <w:rFonts w:eastAsia="Times New Roman"/>
                <w:color w:val="000000"/>
                <w:sz w:val="16"/>
                <w:szCs w:val="16"/>
              </w:rPr>
              <w:t>Cash, cash equivalents and restricted cash for securitization investors, beginning of the period</w:t>
            </w:r>
          </w:p>
        </w:tc>
        <w:tc>
          <w:tcPr>
            <w:tcW w:w="0" w:type="auto"/>
            <w:gridSpan w:val="3"/>
            <w:shd w:val="clear" w:color="auto" w:fill="CCEEFF"/>
            <w:tcMar>
              <w:top w:w="0" w:type="dxa"/>
              <w:left w:w="20" w:type="dxa"/>
              <w:bottom w:w="0" w:type="dxa"/>
              <w:right w:w="20" w:type="dxa"/>
            </w:tcMar>
            <w:vAlign w:val="center"/>
            <w:hideMark/>
          </w:tcPr>
          <w:p w14:paraId="3A5043A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440C546" w14:textId="77777777" w:rsidR="00000000" w:rsidRDefault="00A173A8">
            <w:pPr>
              <w:spacing w:after="100"/>
              <w:jc w:val="right"/>
              <w:rPr>
                <w:rFonts w:eastAsia="Times New Roman"/>
              </w:rPr>
            </w:pPr>
            <w:r>
              <w:rPr>
                <w:rFonts w:eastAsia="Times New Roman"/>
                <w:b/>
                <w:bCs/>
                <w:color w:val="000000"/>
                <w:sz w:val="16"/>
                <w:szCs w:val="16"/>
              </w:rPr>
              <w:t>22,054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33DCD33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FB51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F2A0C6" w14:textId="77777777" w:rsidR="00000000" w:rsidRDefault="00A173A8">
            <w:pPr>
              <w:spacing w:after="100"/>
              <w:jc w:val="right"/>
              <w:rPr>
                <w:rFonts w:eastAsia="Times New Roman"/>
              </w:rPr>
            </w:pPr>
            <w:r>
              <w:rPr>
                <w:rFonts w:eastAsia="Times New Roman"/>
                <w:color w:val="000000"/>
                <w:sz w:val="16"/>
                <w:szCs w:val="16"/>
              </w:rPr>
              <w:t>40,771 </w:t>
            </w:r>
          </w:p>
        </w:tc>
        <w:tc>
          <w:tcPr>
            <w:tcW w:w="0" w:type="auto"/>
            <w:shd w:val="clear" w:color="auto" w:fill="CCEEFF"/>
            <w:tcMar>
              <w:top w:w="30" w:type="dxa"/>
              <w:left w:w="0" w:type="dxa"/>
              <w:bottom w:w="30" w:type="dxa"/>
              <w:right w:w="20" w:type="dxa"/>
            </w:tcMar>
            <w:vAlign w:val="center"/>
            <w:hideMark/>
          </w:tcPr>
          <w:p w14:paraId="7D0EA3F8" w14:textId="77777777" w:rsidR="00000000" w:rsidRDefault="00A173A8">
            <w:pPr>
              <w:spacing w:after="100"/>
              <w:jc w:val="right"/>
              <w:rPr>
                <w:rFonts w:eastAsia="Times New Roman"/>
              </w:rPr>
            </w:pPr>
          </w:p>
        </w:tc>
        <w:tc>
          <w:tcPr>
            <w:tcW w:w="0" w:type="auto"/>
            <w:gridSpan w:val="3"/>
            <w:vAlign w:val="center"/>
            <w:hideMark/>
          </w:tcPr>
          <w:p w14:paraId="35B54B58" w14:textId="77777777" w:rsidR="00000000" w:rsidRDefault="00A173A8">
            <w:pPr>
              <w:spacing w:after="100"/>
              <w:jc w:val="right"/>
              <w:rPr>
                <w:rFonts w:eastAsia="Times New Roman"/>
                <w:sz w:val="20"/>
                <w:szCs w:val="20"/>
              </w:rPr>
            </w:pPr>
          </w:p>
        </w:tc>
        <w:tc>
          <w:tcPr>
            <w:tcW w:w="0" w:type="auto"/>
            <w:gridSpan w:val="3"/>
            <w:vAlign w:val="center"/>
            <w:hideMark/>
          </w:tcPr>
          <w:p w14:paraId="07183854" w14:textId="77777777" w:rsidR="00000000" w:rsidRDefault="00A173A8">
            <w:pPr>
              <w:spacing w:after="100"/>
              <w:rPr>
                <w:rFonts w:eastAsia="Times New Roman"/>
                <w:sz w:val="20"/>
                <w:szCs w:val="20"/>
              </w:rPr>
            </w:pPr>
          </w:p>
        </w:tc>
      </w:tr>
      <w:tr w:rsidR="00000000" w14:paraId="7414A1E1" w14:textId="77777777">
        <w:trPr>
          <w:divId w:val="1518959676"/>
        </w:trPr>
        <w:tc>
          <w:tcPr>
            <w:tcW w:w="0" w:type="auto"/>
            <w:gridSpan w:val="3"/>
            <w:shd w:val="clear" w:color="auto" w:fill="FFFFFF"/>
            <w:tcMar>
              <w:top w:w="30" w:type="dxa"/>
              <w:left w:w="20" w:type="dxa"/>
              <w:bottom w:w="30" w:type="dxa"/>
              <w:right w:w="20" w:type="dxa"/>
            </w:tcMar>
            <w:vAlign w:val="center"/>
            <w:hideMark/>
          </w:tcPr>
          <w:p w14:paraId="6E948A74" w14:textId="77777777" w:rsidR="00000000" w:rsidRDefault="00A173A8">
            <w:pPr>
              <w:spacing w:after="100"/>
              <w:rPr>
                <w:rFonts w:eastAsia="Times New Roman"/>
              </w:rPr>
            </w:pPr>
            <w:r>
              <w:rPr>
                <w:rFonts w:eastAsia="Times New Roman"/>
                <w:color w:val="000000"/>
                <w:sz w:val="16"/>
                <w:szCs w:val="16"/>
              </w:rPr>
              <w:t>Cash, cash equivalents and restricted cash for securitization investors, end of the period</w:t>
            </w:r>
          </w:p>
        </w:tc>
        <w:tc>
          <w:tcPr>
            <w:tcW w:w="0" w:type="auto"/>
            <w:gridSpan w:val="3"/>
            <w:shd w:val="clear" w:color="auto" w:fill="FFFFFF"/>
            <w:tcMar>
              <w:top w:w="0" w:type="dxa"/>
              <w:left w:w="20" w:type="dxa"/>
              <w:bottom w:w="0" w:type="dxa"/>
              <w:right w:w="20" w:type="dxa"/>
            </w:tcMar>
            <w:vAlign w:val="center"/>
            <w:hideMark/>
          </w:tcPr>
          <w:p w14:paraId="53907309"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799F383"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81FE13A" w14:textId="77777777" w:rsidR="00000000" w:rsidRDefault="00A173A8">
            <w:pPr>
              <w:spacing w:after="100"/>
              <w:jc w:val="right"/>
              <w:rPr>
                <w:rFonts w:eastAsia="Times New Roman"/>
              </w:rPr>
            </w:pPr>
            <w:r>
              <w:rPr>
                <w:rFonts w:eastAsia="Times New Roman"/>
                <w:b/>
                <w:bCs/>
                <w:color w:val="000000"/>
                <w:sz w:val="16"/>
                <w:szCs w:val="16"/>
              </w:rPr>
              <w:t>22,250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1032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D6C4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2E0BB16"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276113D" w14:textId="77777777" w:rsidR="00000000" w:rsidRDefault="00A173A8">
            <w:pPr>
              <w:spacing w:after="100"/>
              <w:jc w:val="right"/>
              <w:rPr>
                <w:rFonts w:eastAsia="Times New Roman"/>
              </w:rPr>
            </w:pPr>
            <w:r>
              <w:rPr>
                <w:rFonts w:eastAsia="Times New Roman"/>
                <w:color w:val="000000"/>
                <w:sz w:val="16"/>
                <w:szCs w:val="16"/>
              </w:rPr>
              <w:t>35,088 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6800742" w14:textId="77777777" w:rsidR="00000000" w:rsidRDefault="00A173A8">
            <w:pPr>
              <w:spacing w:after="100"/>
              <w:jc w:val="right"/>
              <w:rPr>
                <w:rFonts w:eastAsia="Times New Roman"/>
              </w:rPr>
            </w:pPr>
          </w:p>
        </w:tc>
        <w:tc>
          <w:tcPr>
            <w:tcW w:w="0" w:type="auto"/>
            <w:gridSpan w:val="3"/>
            <w:vAlign w:val="center"/>
            <w:hideMark/>
          </w:tcPr>
          <w:p w14:paraId="08A34E5D" w14:textId="77777777" w:rsidR="00000000" w:rsidRDefault="00A173A8">
            <w:pPr>
              <w:spacing w:after="100"/>
              <w:jc w:val="right"/>
              <w:rPr>
                <w:rFonts w:eastAsia="Times New Roman"/>
                <w:sz w:val="20"/>
                <w:szCs w:val="20"/>
              </w:rPr>
            </w:pPr>
          </w:p>
        </w:tc>
        <w:tc>
          <w:tcPr>
            <w:tcW w:w="0" w:type="auto"/>
            <w:gridSpan w:val="3"/>
            <w:vAlign w:val="center"/>
            <w:hideMark/>
          </w:tcPr>
          <w:p w14:paraId="7C020206" w14:textId="77777777" w:rsidR="00000000" w:rsidRDefault="00A173A8">
            <w:pPr>
              <w:spacing w:after="100"/>
              <w:rPr>
                <w:rFonts w:eastAsia="Times New Roman"/>
                <w:sz w:val="20"/>
                <w:szCs w:val="20"/>
              </w:rPr>
            </w:pPr>
          </w:p>
        </w:tc>
      </w:tr>
      <w:tr w:rsidR="00000000" w14:paraId="23CEB318" w14:textId="77777777">
        <w:trPr>
          <w:divId w:val="1518959676"/>
        </w:trPr>
        <w:tc>
          <w:tcPr>
            <w:tcW w:w="0" w:type="auto"/>
            <w:gridSpan w:val="3"/>
            <w:shd w:val="clear" w:color="auto" w:fill="CCEEFF"/>
            <w:tcMar>
              <w:top w:w="30" w:type="dxa"/>
              <w:left w:w="20" w:type="dxa"/>
              <w:bottom w:w="30" w:type="dxa"/>
              <w:right w:w="20" w:type="dxa"/>
            </w:tcMar>
            <w:vAlign w:val="center"/>
            <w:hideMark/>
          </w:tcPr>
          <w:p w14:paraId="56931EC3" w14:textId="77777777" w:rsidR="00000000" w:rsidRDefault="00A173A8">
            <w:pPr>
              <w:spacing w:after="100"/>
              <w:rPr>
                <w:rFonts w:eastAsia="Times New Roman"/>
              </w:rPr>
            </w:pPr>
            <w:r>
              <w:rPr>
                <w:rFonts w:eastAsia="Times New Roman"/>
                <w:b/>
                <w:bCs/>
                <w:color w:val="000000"/>
                <w:sz w:val="16"/>
                <w:szCs w:val="16"/>
              </w:rPr>
              <w:t>Supplemental cash flow information:</w:t>
            </w:r>
          </w:p>
        </w:tc>
        <w:tc>
          <w:tcPr>
            <w:tcW w:w="0" w:type="auto"/>
            <w:gridSpan w:val="3"/>
            <w:shd w:val="clear" w:color="auto" w:fill="CCEEFF"/>
            <w:tcMar>
              <w:top w:w="0" w:type="dxa"/>
              <w:left w:w="20" w:type="dxa"/>
              <w:bottom w:w="0" w:type="dxa"/>
              <w:right w:w="20" w:type="dxa"/>
            </w:tcMar>
            <w:vAlign w:val="center"/>
            <w:hideMark/>
          </w:tcPr>
          <w:p w14:paraId="650FF993"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E67B5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163A2F"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C2C96F" w14:textId="77777777" w:rsidR="00000000" w:rsidRDefault="00A173A8">
            <w:pPr>
              <w:spacing w:after="100"/>
              <w:rPr>
                <w:rFonts w:eastAsia="Times New Roman"/>
                <w:sz w:val="20"/>
                <w:szCs w:val="20"/>
              </w:rPr>
            </w:pPr>
          </w:p>
        </w:tc>
        <w:tc>
          <w:tcPr>
            <w:tcW w:w="0" w:type="auto"/>
            <w:gridSpan w:val="3"/>
            <w:vAlign w:val="center"/>
            <w:hideMark/>
          </w:tcPr>
          <w:p w14:paraId="1BB66F2F" w14:textId="77777777" w:rsidR="00000000" w:rsidRDefault="00A173A8">
            <w:pPr>
              <w:spacing w:after="100"/>
              <w:rPr>
                <w:rFonts w:eastAsia="Times New Roman"/>
                <w:sz w:val="20"/>
                <w:szCs w:val="20"/>
              </w:rPr>
            </w:pPr>
          </w:p>
        </w:tc>
        <w:tc>
          <w:tcPr>
            <w:tcW w:w="0" w:type="auto"/>
            <w:gridSpan w:val="3"/>
            <w:vAlign w:val="center"/>
            <w:hideMark/>
          </w:tcPr>
          <w:p w14:paraId="40D418F8" w14:textId="77777777" w:rsidR="00000000" w:rsidRDefault="00A173A8">
            <w:pPr>
              <w:spacing w:after="100"/>
              <w:rPr>
                <w:rFonts w:eastAsia="Times New Roman"/>
                <w:sz w:val="20"/>
                <w:szCs w:val="20"/>
              </w:rPr>
            </w:pPr>
          </w:p>
        </w:tc>
      </w:tr>
      <w:tr w:rsidR="00000000" w14:paraId="6DE5B1BD" w14:textId="77777777">
        <w:trPr>
          <w:divId w:val="1518959676"/>
        </w:trPr>
        <w:tc>
          <w:tcPr>
            <w:tcW w:w="0" w:type="auto"/>
            <w:gridSpan w:val="3"/>
            <w:shd w:val="clear" w:color="auto" w:fill="FFFFFF"/>
            <w:tcMar>
              <w:top w:w="30" w:type="dxa"/>
              <w:left w:w="20" w:type="dxa"/>
              <w:bottom w:w="30" w:type="dxa"/>
              <w:right w:w="20" w:type="dxa"/>
            </w:tcMar>
            <w:vAlign w:val="center"/>
            <w:hideMark/>
          </w:tcPr>
          <w:p w14:paraId="4BB960C2" w14:textId="77777777" w:rsidR="00000000" w:rsidRDefault="00A173A8">
            <w:pPr>
              <w:spacing w:after="100"/>
              <w:rPr>
                <w:rFonts w:eastAsia="Times New Roman"/>
              </w:rPr>
            </w:pPr>
            <w:r>
              <w:rPr>
                <w:rFonts w:eastAsia="Times New Roman"/>
                <w:color w:val="000000"/>
                <w:sz w:val="16"/>
                <w:szCs w:val="16"/>
              </w:rPr>
              <w:t>Non-cash items:</w:t>
            </w:r>
          </w:p>
        </w:tc>
        <w:tc>
          <w:tcPr>
            <w:tcW w:w="0" w:type="auto"/>
            <w:gridSpan w:val="3"/>
            <w:shd w:val="clear" w:color="auto" w:fill="FFFFFF"/>
            <w:tcMar>
              <w:top w:w="0" w:type="dxa"/>
              <w:left w:w="20" w:type="dxa"/>
              <w:bottom w:w="0" w:type="dxa"/>
              <w:right w:w="20" w:type="dxa"/>
            </w:tcMar>
            <w:vAlign w:val="center"/>
            <w:hideMark/>
          </w:tcPr>
          <w:p w14:paraId="21C1BF6E"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9A75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F5A04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129E4E" w14:textId="77777777" w:rsidR="00000000" w:rsidRDefault="00A173A8">
            <w:pPr>
              <w:spacing w:after="100"/>
              <w:rPr>
                <w:rFonts w:eastAsia="Times New Roman"/>
                <w:sz w:val="20"/>
                <w:szCs w:val="20"/>
              </w:rPr>
            </w:pPr>
          </w:p>
        </w:tc>
        <w:tc>
          <w:tcPr>
            <w:tcW w:w="0" w:type="auto"/>
            <w:gridSpan w:val="3"/>
            <w:vAlign w:val="center"/>
            <w:hideMark/>
          </w:tcPr>
          <w:p w14:paraId="7F50005B" w14:textId="77777777" w:rsidR="00000000" w:rsidRDefault="00A173A8">
            <w:pPr>
              <w:spacing w:after="100"/>
              <w:rPr>
                <w:rFonts w:eastAsia="Times New Roman"/>
                <w:sz w:val="20"/>
                <w:szCs w:val="20"/>
              </w:rPr>
            </w:pPr>
          </w:p>
        </w:tc>
        <w:tc>
          <w:tcPr>
            <w:tcW w:w="0" w:type="auto"/>
            <w:gridSpan w:val="3"/>
            <w:vAlign w:val="center"/>
            <w:hideMark/>
          </w:tcPr>
          <w:p w14:paraId="3B2AA416" w14:textId="77777777" w:rsidR="00000000" w:rsidRDefault="00A173A8">
            <w:pPr>
              <w:spacing w:after="100"/>
              <w:rPr>
                <w:rFonts w:eastAsia="Times New Roman"/>
                <w:sz w:val="20"/>
                <w:szCs w:val="20"/>
              </w:rPr>
            </w:pPr>
          </w:p>
        </w:tc>
      </w:tr>
      <w:tr w:rsidR="00000000" w14:paraId="2480D5C6" w14:textId="77777777">
        <w:trPr>
          <w:divId w:val="1518959676"/>
        </w:trPr>
        <w:tc>
          <w:tcPr>
            <w:tcW w:w="0" w:type="auto"/>
            <w:gridSpan w:val="3"/>
            <w:shd w:val="clear" w:color="auto" w:fill="CCEEFF"/>
            <w:tcMar>
              <w:top w:w="30" w:type="dxa"/>
              <w:left w:w="245" w:type="dxa"/>
              <w:bottom w:w="30" w:type="dxa"/>
              <w:right w:w="20" w:type="dxa"/>
            </w:tcMar>
            <w:vAlign w:val="center"/>
            <w:hideMark/>
          </w:tcPr>
          <w:p w14:paraId="1FE08005" w14:textId="77777777" w:rsidR="00000000" w:rsidRDefault="00A173A8">
            <w:pPr>
              <w:spacing w:after="100"/>
              <w:rPr>
                <w:rFonts w:eastAsia="Times New Roman"/>
              </w:rPr>
            </w:pPr>
            <w:r>
              <w:rPr>
                <w:rFonts w:eastAsia="Times New Roman"/>
                <w:color w:val="000000"/>
                <w:sz w:val="16"/>
                <w:szCs w:val="16"/>
              </w:rPr>
              <w:t>Net transfers from loans held for investment to loans held for sale</w:t>
            </w:r>
          </w:p>
        </w:tc>
        <w:tc>
          <w:tcPr>
            <w:tcW w:w="0" w:type="auto"/>
            <w:gridSpan w:val="3"/>
            <w:shd w:val="clear" w:color="auto" w:fill="CCEEFF"/>
            <w:tcMar>
              <w:top w:w="0" w:type="dxa"/>
              <w:left w:w="20" w:type="dxa"/>
              <w:bottom w:w="0" w:type="dxa"/>
              <w:right w:w="20" w:type="dxa"/>
            </w:tcMar>
            <w:vAlign w:val="center"/>
            <w:hideMark/>
          </w:tcPr>
          <w:p w14:paraId="029C0A13"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73B2E9B" w14:textId="77777777" w:rsidR="00000000" w:rsidRDefault="00A173A8">
            <w:pPr>
              <w:spacing w:after="100"/>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14:paraId="7477B086" w14:textId="77777777" w:rsidR="00000000" w:rsidRDefault="00A173A8">
            <w:pPr>
              <w:spacing w:after="100"/>
              <w:jc w:val="right"/>
              <w:rPr>
                <w:rFonts w:eastAsia="Times New Roman"/>
              </w:rPr>
            </w:pPr>
            <w:r>
              <w:rPr>
                <w:rFonts w:eastAsia="Times New Roman"/>
                <w:b/>
                <w:bCs/>
                <w:color w:val="000000"/>
                <w:sz w:val="16"/>
                <w:szCs w:val="16"/>
              </w:rPr>
              <w:t>775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2EBBE8B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DB5479"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E44954C" w14:textId="77777777" w:rsidR="00000000" w:rsidRDefault="00A173A8">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14:paraId="582081D0" w14:textId="77777777" w:rsidR="00000000" w:rsidRDefault="00A173A8">
            <w:pPr>
              <w:spacing w:after="100"/>
              <w:jc w:val="right"/>
              <w:rPr>
                <w:rFonts w:eastAsia="Times New Roman"/>
              </w:rPr>
            </w:pPr>
            <w:r>
              <w:rPr>
                <w:rFonts w:eastAsia="Times New Roman"/>
                <w:color w:val="000000"/>
                <w:sz w:val="16"/>
                <w:szCs w:val="16"/>
              </w:rPr>
              <w:t>4,575 </w:t>
            </w:r>
          </w:p>
        </w:tc>
        <w:tc>
          <w:tcPr>
            <w:tcW w:w="0" w:type="auto"/>
            <w:shd w:val="clear" w:color="auto" w:fill="CCEEFF"/>
            <w:tcMar>
              <w:top w:w="30" w:type="dxa"/>
              <w:left w:w="0" w:type="dxa"/>
              <w:bottom w:w="30" w:type="dxa"/>
              <w:right w:w="20" w:type="dxa"/>
            </w:tcMar>
            <w:vAlign w:val="center"/>
            <w:hideMark/>
          </w:tcPr>
          <w:p w14:paraId="7220F67B" w14:textId="77777777" w:rsidR="00000000" w:rsidRDefault="00A173A8">
            <w:pPr>
              <w:spacing w:after="100"/>
              <w:jc w:val="right"/>
              <w:rPr>
                <w:rFonts w:eastAsia="Times New Roman"/>
              </w:rPr>
            </w:pPr>
          </w:p>
        </w:tc>
        <w:tc>
          <w:tcPr>
            <w:tcW w:w="0" w:type="auto"/>
            <w:gridSpan w:val="3"/>
            <w:vAlign w:val="center"/>
            <w:hideMark/>
          </w:tcPr>
          <w:p w14:paraId="759CB86D" w14:textId="77777777" w:rsidR="00000000" w:rsidRDefault="00A173A8">
            <w:pPr>
              <w:spacing w:after="100"/>
              <w:jc w:val="right"/>
              <w:rPr>
                <w:rFonts w:eastAsia="Times New Roman"/>
                <w:sz w:val="20"/>
                <w:szCs w:val="20"/>
              </w:rPr>
            </w:pPr>
          </w:p>
        </w:tc>
        <w:tc>
          <w:tcPr>
            <w:tcW w:w="0" w:type="auto"/>
            <w:gridSpan w:val="3"/>
            <w:vAlign w:val="center"/>
            <w:hideMark/>
          </w:tcPr>
          <w:p w14:paraId="185C3598" w14:textId="77777777" w:rsidR="00000000" w:rsidRDefault="00A173A8">
            <w:pPr>
              <w:spacing w:after="100"/>
              <w:rPr>
                <w:rFonts w:eastAsia="Times New Roman"/>
                <w:sz w:val="20"/>
                <w:szCs w:val="20"/>
              </w:rPr>
            </w:pPr>
          </w:p>
        </w:tc>
      </w:tr>
      <w:tr w:rsidR="00000000" w14:paraId="3D907B71" w14:textId="77777777">
        <w:trPr>
          <w:divId w:val="1518959676"/>
        </w:trPr>
        <w:tc>
          <w:tcPr>
            <w:tcW w:w="0" w:type="auto"/>
            <w:gridSpan w:val="3"/>
            <w:vAlign w:val="center"/>
            <w:hideMark/>
          </w:tcPr>
          <w:p w14:paraId="7D95C054" w14:textId="77777777" w:rsidR="00000000" w:rsidRDefault="00A173A8">
            <w:pPr>
              <w:spacing w:after="100"/>
              <w:rPr>
                <w:rFonts w:eastAsia="Times New Roman"/>
                <w:sz w:val="20"/>
                <w:szCs w:val="20"/>
              </w:rPr>
            </w:pPr>
          </w:p>
        </w:tc>
        <w:tc>
          <w:tcPr>
            <w:tcW w:w="0" w:type="auto"/>
            <w:gridSpan w:val="3"/>
            <w:vAlign w:val="center"/>
            <w:hideMark/>
          </w:tcPr>
          <w:p w14:paraId="75004794" w14:textId="77777777" w:rsidR="00000000" w:rsidRDefault="00A173A8">
            <w:pPr>
              <w:spacing w:after="100"/>
              <w:rPr>
                <w:rFonts w:eastAsia="Times New Roman"/>
                <w:sz w:val="20"/>
                <w:szCs w:val="20"/>
              </w:rPr>
            </w:pPr>
          </w:p>
        </w:tc>
        <w:tc>
          <w:tcPr>
            <w:tcW w:w="0" w:type="auto"/>
            <w:gridSpan w:val="3"/>
            <w:vAlign w:val="center"/>
            <w:hideMark/>
          </w:tcPr>
          <w:p w14:paraId="26C6FCB7" w14:textId="77777777" w:rsidR="00000000" w:rsidRDefault="00A173A8">
            <w:pPr>
              <w:spacing w:after="100"/>
              <w:rPr>
                <w:rFonts w:eastAsia="Times New Roman"/>
                <w:sz w:val="20"/>
                <w:szCs w:val="20"/>
              </w:rPr>
            </w:pPr>
          </w:p>
        </w:tc>
        <w:tc>
          <w:tcPr>
            <w:tcW w:w="0" w:type="auto"/>
            <w:gridSpan w:val="3"/>
            <w:vAlign w:val="center"/>
            <w:hideMark/>
          </w:tcPr>
          <w:p w14:paraId="3AD9CD60" w14:textId="77777777" w:rsidR="00000000" w:rsidRDefault="00A173A8">
            <w:pPr>
              <w:spacing w:after="100"/>
              <w:rPr>
                <w:rFonts w:eastAsia="Times New Roman"/>
                <w:sz w:val="20"/>
                <w:szCs w:val="20"/>
              </w:rPr>
            </w:pPr>
          </w:p>
        </w:tc>
        <w:tc>
          <w:tcPr>
            <w:tcW w:w="0" w:type="auto"/>
            <w:gridSpan w:val="3"/>
            <w:vAlign w:val="center"/>
            <w:hideMark/>
          </w:tcPr>
          <w:p w14:paraId="50A8ADFF" w14:textId="77777777" w:rsidR="00000000" w:rsidRDefault="00A173A8">
            <w:pPr>
              <w:spacing w:after="100"/>
              <w:rPr>
                <w:rFonts w:eastAsia="Times New Roman"/>
                <w:sz w:val="20"/>
                <w:szCs w:val="20"/>
              </w:rPr>
            </w:pPr>
          </w:p>
        </w:tc>
        <w:tc>
          <w:tcPr>
            <w:tcW w:w="0" w:type="auto"/>
            <w:gridSpan w:val="3"/>
            <w:vAlign w:val="center"/>
            <w:hideMark/>
          </w:tcPr>
          <w:p w14:paraId="7227EC78" w14:textId="77777777" w:rsidR="00000000" w:rsidRDefault="00A173A8">
            <w:pPr>
              <w:spacing w:after="100"/>
              <w:rPr>
                <w:rFonts w:eastAsia="Times New Roman"/>
                <w:sz w:val="20"/>
                <w:szCs w:val="20"/>
              </w:rPr>
            </w:pPr>
          </w:p>
        </w:tc>
        <w:tc>
          <w:tcPr>
            <w:tcW w:w="0" w:type="auto"/>
            <w:gridSpan w:val="3"/>
            <w:vAlign w:val="center"/>
            <w:hideMark/>
          </w:tcPr>
          <w:p w14:paraId="00A7B9D3" w14:textId="77777777" w:rsidR="00000000" w:rsidRDefault="00A173A8">
            <w:pPr>
              <w:spacing w:after="100"/>
              <w:rPr>
                <w:rFonts w:eastAsia="Times New Roman"/>
                <w:sz w:val="20"/>
                <w:szCs w:val="20"/>
              </w:rPr>
            </w:pPr>
          </w:p>
        </w:tc>
      </w:tr>
      <w:tr w:rsidR="00000000" w14:paraId="474D36EC" w14:textId="77777777">
        <w:trPr>
          <w:divId w:val="1518959676"/>
        </w:trPr>
        <w:tc>
          <w:tcPr>
            <w:tcW w:w="0" w:type="auto"/>
            <w:gridSpan w:val="3"/>
            <w:vAlign w:val="center"/>
            <w:hideMark/>
          </w:tcPr>
          <w:p w14:paraId="6ADC62D5" w14:textId="77777777" w:rsidR="00000000" w:rsidRDefault="00A173A8">
            <w:pPr>
              <w:spacing w:after="100"/>
              <w:rPr>
                <w:rFonts w:eastAsia="Times New Roman"/>
                <w:sz w:val="20"/>
                <w:szCs w:val="20"/>
              </w:rPr>
            </w:pPr>
          </w:p>
        </w:tc>
        <w:tc>
          <w:tcPr>
            <w:tcW w:w="0" w:type="auto"/>
            <w:gridSpan w:val="3"/>
            <w:vAlign w:val="center"/>
            <w:hideMark/>
          </w:tcPr>
          <w:p w14:paraId="23C8874E" w14:textId="77777777" w:rsidR="00000000" w:rsidRDefault="00A173A8">
            <w:pPr>
              <w:spacing w:after="100"/>
              <w:rPr>
                <w:rFonts w:eastAsia="Times New Roman"/>
                <w:sz w:val="20"/>
                <w:szCs w:val="20"/>
              </w:rPr>
            </w:pPr>
          </w:p>
        </w:tc>
        <w:tc>
          <w:tcPr>
            <w:tcW w:w="0" w:type="auto"/>
            <w:gridSpan w:val="3"/>
            <w:vAlign w:val="center"/>
            <w:hideMark/>
          </w:tcPr>
          <w:p w14:paraId="5EFB93F9" w14:textId="77777777" w:rsidR="00000000" w:rsidRDefault="00A173A8">
            <w:pPr>
              <w:spacing w:after="100"/>
              <w:rPr>
                <w:rFonts w:eastAsia="Times New Roman"/>
                <w:sz w:val="20"/>
                <w:szCs w:val="20"/>
              </w:rPr>
            </w:pPr>
          </w:p>
        </w:tc>
        <w:tc>
          <w:tcPr>
            <w:tcW w:w="0" w:type="auto"/>
            <w:gridSpan w:val="3"/>
            <w:vAlign w:val="center"/>
            <w:hideMark/>
          </w:tcPr>
          <w:p w14:paraId="7468B316" w14:textId="77777777" w:rsidR="00000000" w:rsidRDefault="00A173A8">
            <w:pPr>
              <w:spacing w:after="100"/>
              <w:rPr>
                <w:rFonts w:eastAsia="Times New Roman"/>
                <w:sz w:val="20"/>
                <w:szCs w:val="20"/>
              </w:rPr>
            </w:pPr>
          </w:p>
        </w:tc>
        <w:tc>
          <w:tcPr>
            <w:tcW w:w="0" w:type="auto"/>
            <w:gridSpan w:val="3"/>
            <w:vAlign w:val="center"/>
            <w:hideMark/>
          </w:tcPr>
          <w:p w14:paraId="6FAB47F4" w14:textId="77777777" w:rsidR="00000000" w:rsidRDefault="00A173A8">
            <w:pPr>
              <w:spacing w:after="100"/>
              <w:rPr>
                <w:rFonts w:eastAsia="Times New Roman"/>
                <w:sz w:val="20"/>
                <w:szCs w:val="20"/>
              </w:rPr>
            </w:pPr>
          </w:p>
        </w:tc>
        <w:tc>
          <w:tcPr>
            <w:tcW w:w="0" w:type="auto"/>
            <w:gridSpan w:val="3"/>
            <w:vAlign w:val="center"/>
            <w:hideMark/>
          </w:tcPr>
          <w:p w14:paraId="18F44A50" w14:textId="77777777" w:rsidR="00000000" w:rsidRDefault="00A173A8">
            <w:pPr>
              <w:spacing w:after="100"/>
              <w:rPr>
                <w:rFonts w:eastAsia="Times New Roman"/>
                <w:sz w:val="20"/>
                <w:szCs w:val="20"/>
              </w:rPr>
            </w:pPr>
          </w:p>
        </w:tc>
        <w:tc>
          <w:tcPr>
            <w:tcW w:w="0" w:type="auto"/>
            <w:gridSpan w:val="3"/>
            <w:vAlign w:val="center"/>
            <w:hideMark/>
          </w:tcPr>
          <w:p w14:paraId="6ED39D7A" w14:textId="77777777" w:rsidR="00000000" w:rsidRDefault="00A173A8">
            <w:pPr>
              <w:spacing w:after="100"/>
              <w:rPr>
                <w:rFonts w:eastAsia="Times New Roman"/>
                <w:sz w:val="20"/>
                <w:szCs w:val="20"/>
              </w:rPr>
            </w:pPr>
          </w:p>
        </w:tc>
      </w:tr>
      <w:tr w:rsidR="00000000" w14:paraId="62A4CCA6" w14:textId="77777777">
        <w:trPr>
          <w:divId w:val="1518959676"/>
        </w:trPr>
        <w:tc>
          <w:tcPr>
            <w:tcW w:w="0" w:type="auto"/>
            <w:gridSpan w:val="3"/>
            <w:vAlign w:val="center"/>
            <w:hideMark/>
          </w:tcPr>
          <w:p w14:paraId="7840E142" w14:textId="77777777" w:rsidR="00000000" w:rsidRDefault="00A173A8">
            <w:pPr>
              <w:spacing w:after="100"/>
              <w:rPr>
                <w:rFonts w:eastAsia="Times New Roman"/>
                <w:sz w:val="20"/>
                <w:szCs w:val="20"/>
              </w:rPr>
            </w:pPr>
          </w:p>
        </w:tc>
        <w:tc>
          <w:tcPr>
            <w:tcW w:w="0" w:type="auto"/>
            <w:gridSpan w:val="3"/>
            <w:vAlign w:val="center"/>
            <w:hideMark/>
          </w:tcPr>
          <w:p w14:paraId="6C0EA5E6" w14:textId="77777777" w:rsidR="00000000" w:rsidRDefault="00A173A8">
            <w:pPr>
              <w:spacing w:after="100"/>
              <w:rPr>
                <w:rFonts w:eastAsia="Times New Roman"/>
                <w:sz w:val="20"/>
                <w:szCs w:val="20"/>
              </w:rPr>
            </w:pPr>
          </w:p>
        </w:tc>
        <w:tc>
          <w:tcPr>
            <w:tcW w:w="0" w:type="auto"/>
            <w:gridSpan w:val="3"/>
            <w:vAlign w:val="center"/>
            <w:hideMark/>
          </w:tcPr>
          <w:p w14:paraId="08FF4B64" w14:textId="77777777" w:rsidR="00000000" w:rsidRDefault="00A173A8">
            <w:pPr>
              <w:spacing w:after="100"/>
              <w:rPr>
                <w:rFonts w:eastAsia="Times New Roman"/>
                <w:sz w:val="20"/>
                <w:szCs w:val="20"/>
              </w:rPr>
            </w:pPr>
          </w:p>
        </w:tc>
        <w:tc>
          <w:tcPr>
            <w:tcW w:w="0" w:type="auto"/>
            <w:gridSpan w:val="3"/>
            <w:vAlign w:val="center"/>
            <w:hideMark/>
          </w:tcPr>
          <w:p w14:paraId="44FBDEEB" w14:textId="77777777" w:rsidR="00000000" w:rsidRDefault="00A173A8">
            <w:pPr>
              <w:spacing w:after="100"/>
              <w:rPr>
                <w:rFonts w:eastAsia="Times New Roman"/>
                <w:sz w:val="20"/>
                <w:szCs w:val="20"/>
              </w:rPr>
            </w:pPr>
          </w:p>
        </w:tc>
        <w:tc>
          <w:tcPr>
            <w:tcW w:w="0" w:type="auto"/>
            <w:gridSpan w:val="3"/>
            <w:vAlign w:val="center"/>
            <w:hideMark/>
          </w:tcPr>
          <w:p w14:paraId="0DA3C1EE" w14:textId="77777777" w:rsidR="00000000" w:rsidRDefault="00A173A8">
            <w:pPr>
              <w:spacing w:after="100"/>
              <w:rPr>
                <w:rFonts w:eastAsia="Times New Roman"/>
                <w:sz w:val="20"/>
                <w:szCs w:val="20"/>
              </w:rPr>
            </w:pPr>
          </w:p>
        </w:tc>
        <w:tc>
          <w:tcPr>
            <w:tcW w:w="0" w:type="auto"/>
            <w:gridSpan w:val="3"/>
            <w:vAlign w:val="center"/>
            <w:hideMark/>
          </w:tcPr>
          <w:p w14:paraId="5E5371CB" w14:textId="77777777" w:rsidR="00000000" w:rsidRDefault="00A173A8">
            <w:pPr>
              <w:spacing w:after="100"/>
              <w:rPr>
                <w:rFonts w:eastAsia="Times New Roman"/>
                <w:sz w:val="20"/>
                <w:szCs w:val="20"/>
              </w:rPr>
            </w:pPr>
          </w:p>
        </w:tc>
        <w:tc>
          <w:tcPr>
            <w:tcW w:w="0" w:type="auto"/>
            <w:gridSpan w:val="3"/>
            <w:vAlign w:val="center"/>
            <w:hideMark/>
          </w:tcPr>
          <w:p w14:paraId="42416AA3" w14:textId="77777777" w:rsidR="00000000" w:rsidRDefault="00A173A8">
            <w:pPr>
              <w:spacing w:after="100"/>
              <w:rPr>
                <w:rFonts w:eastAsia="Times New Roman"/>
                <w:sz w:val="20"/>
                <w:szCs w:val="20"/>
              </w:rPr>
            </w:pPr>
          </w:p>
        </w:tc>
      </w:tr>
      <w:tr w:rsidR="00000000" w14:paraId="48019F2F" w14:textId="77777777">
        <w:trPr>
          <w:divId w:val="1518959676"/>
        </w:trPr>
        <w:tc>
          <w:tcPr>
            <w:tcW w:w="0" w:type="auto"/>
            <w:gridSpan w:val="3"/>
            <w:shd w:val="clear" w:color="auto" w:fill="FFFFFF"/>
            <w:tcMar>
              <w:top w:w="30" w:type="dxa"/>
              <w:left w:w="20" w:type="dxa"/>
              <w:bottom w:w="30" w:type="dxa"/>
              <w:right w:w="20" w:type="dxa"/>
            </w:tcMar>
            <w:vAlign w:val="center"/>
            <w:hideMark/>
          </w:tcPr>
          <w:p w14:paraId="674BE98C" w14:textId="77777777" w:rsidR="00000000" w:rsidRDefault="00A173A8">
            <w:pPr>
              <w:spacing w:after="100"/>
              <w:rPr>
                <w:rFonts w:eastAsia="Times New Roman"/>
              </w:rPr>
            </w:pPr>
            <w:r>
              <w:rPr>
                <w:rFonts w:eastAsia="Times New Roman"/>
                <w:color w:val="000000"/>
                <w:sz w:val="16"/>
                <w:szCs w:val="16"/>
              </w:rPr>
              <w:t>Interest paid</w:t>
            </w:r>
          </w:p>
        </w:tc>
        <w:tc>
          <w:tcPr>
            <w:tcW w:w="0" w:type="auto"/>
            <w:gridSpan w:val="3"/>
            <w:shd w:val="clear" w:color="auto" w:fill="FFFFFF"/>
            <w:tcMar>
              <w:top w:w="0" w:type="dxa"/>
              <w:left w:w="20" w:type="dxa"/>
              <w:bottom w:w="0" w:type="dxa"/>
              <w:right w:w="20" w:type="dxa"/>
            </w:tcMar>
            <w:vAlign w:val="center"/>
            <w:hideMark/>
          </w:tcPr>
          <w:p w14:paraId="664B999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D51229A" w14:textId="77777777" w:rsidR="00000000" w:rsidRDefault="00A173A8">
            <w:pPr>
              <w:spacing w:after="100"/>
              <w:jc w:val="right"/>
              <w:rPr>
                <w:rFonts w:eastAsia="Times New Roman"/>
              </w:rPr>
            </w:pPr>
            <w:r>
              <w:rPr>
                <w:rFonts w:eastAsia="Times New Roman"/>
                <w:b/>
                <w:bCs/>
                <w:color w:val="000000"/>
                <w:sz w:val="16"/>
                <w:szCs w:val="16"/>
              </w:rPr>
              <w:t>969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14:paraId="2CA976D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0EA8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72F1E5" w14:textId="77777777" w:rsidR="00000000" w:rsidRDefault="00A173A8">
            <w:pPr>
              <w:spacing w:after="100"/>
              <w:jc w:val="right"/>
              <w:rPr>
                <w:rFonts w:eastAsia="Times New Roman"/>
              </w:rPr>
            </w:pPr>
            <w:r>
              <w:rPr>
                <w:rFonts w:eastAsia="Times New Roman"/>
                <w:color w:val="000000"/>
                <w:sz w:val="16"/>
                <w:szCs w:val="16"/>
              </w:rPr>
              <w:t>1,145 </w:t>
            </w:r>
          </w:p>
        </w:tc>
        <w:tc>
          <w:tcPr>
            <w:tcW w:w="0" w:type="auto"/>
            <w:shd w:val="clear" w:color="auto" w:fill="FFFFFF"/>
            <w:tcMar>
              <w:top w:w="30" w:type="dxa"/>
              <w:left w:w="0" w:type="dxa"/>
              <w:bottom w:w="30" w:type="dxa"/>
              <w:right w:w="20" w:type="dxa"/>
            </w:tcMar>
            <w:vAlign w:val="center"/>
            <w:hideMark/>
          </w:tcPr>
          <w:p w14:paraId="11B6D3E8" w14:textId="77777777" w:rsidR="00000000" w:rsidRDefault="00A173A8">
            <w:pPr>
              <w:spacing w:after="100"/>
              <w:jc w:val="right"/>
              <w:rPr>
                <w:rFonts w:eastAsia="Times New Roman"/>
              </w:rPr>
            </w:pPr>
          </w:p>
        </w:tc>
        <w:tc>
          <w:tcPr>
            <w:tcW w:w="0" w:type="auto"/>
            <w:gridSpan w:val="3"/>
            <w:vAlign w:val="center"/>
            <w:hideMark/>
          </w:tcPr>
          <w:p w14:paraId="2DEC2C78" w14:textId="77777777" w:rsidR="00000000" w:rsidRDefault="00A173A8">
            <w:pPr>
              <w:spacing w:after="100"/>
              <w:jc w:val="right"/>
              <w:rPr>
                <w:rFonts w:eastAsia="Times New Roman"/>
                <w:sz w:val="20"/>
                <w:szCs w:val="20"/>
              </w:rPr>
            </w:pPr>
          </w:p>
        </w:tc>
        <w:tc>
          <w:tcPr>
            <w:tcW w:w="0" w:type="auto"/>
            <w:gridSpan w:val="3"/>
            <w:vAlign w:val="center"/>
            <w:hideMark/>
          </w:tcPr>
          <w:p w14:paraId="5872D27B" w14:textId="77777777" w:rsidR="00000000" w:rsidRDefault="00A173A8">
            <w:pPr>
              <w:spacing w:after="100"/>
              <w:rPr>
                <w:rFonts w:eastAsia="Times New Roman"/>
                <w:sz w:val="20"/>
                <w:szCs w:val="20"/>
              </w:rPr>
            </w:pPr>
          </w:p>
        </w:tc>
      </w:tr>
      <w:tr w:rsidR="00000000" w14:paraId="1D3D0F57" w14:textId="77777777">
        <w:trPr>
          <w:divId w:val="1518959676"/>
        </w:trPr>
        <w:tc>
          <w:tcPr>
            <w:tcW w:w="0" w:type="auto"/>
            <w:gridSpan w:val="3"/>
            <w:shd w:val="clear" w:color="auto" w:fill="CCEEFF"/>
            <w:tcMar>
              <w:top w:w="30" w:type="dxa"/>
              <w:left w:w="20" w:type="dxa"/>
              <w:bottom w:w="30" w:type="dxa"/>
              <w:right w:w="20" w:type="dxa"/>
            </w:tcMar>
            <w:vAlign w:val="center"/>
            <w:hideMark/>
          </w:tcPr>
          <w:p w14:paraId="0144BA80" w14:textId="77777777" w:rsidR="00000000" w:rsidRDefault="00A173A8">
            <w:pPr>
              <w:spacing w:after="100"/>
              <w:rPr>
                <w:rFonts w:eastAsia="Times New Roman"/>
              </w:rPr>
            </w:pPr>
            <w:r>
              <w:rPr>
                <w:rFonts w:eastAsia="Times New Roman"/>
                <w:color w:val="000000"/>
                <w:sz w:val="16"/>
                <w:szCs w:val="16"/>
              </w:rPr>
              <w:t>Income tax paid</w:t>
            </w:r>
          </w:p>
        </w:tc>
        <w:tc>
          <w:tcPr>
            <w:tcW w:w="0" w:type="auto"/>
            <w:gridSpan w:val="3"/>
            <w:shd w:val="clear" w:color="auto" w:fill="CCEEFF"/>
            <w:tcMar>
              <w:top w:w="0" w:type="dxa"/>
              <w:left w:w="20" w:type="dxa"/>
              <w:bottom w:w="0" w:type="dxa"/>
              <w:right w:w="20" w:type="dxa"/>
            </w:tcMar>
            <w:vAlign w:val="center"/>
            <w:hideMark/>
          </w:tcPr>
          <w:p w14:paraId="44B36D9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280BA7D" w14:textId="77777777" w:rsidR="00000000" w:rsidRDefault="00A173A8">
            <w:pPr>
              <w:spacing w:after="100"/>
              <w:jc w:val="right"/>
              <w:rPr>
                <w:rFonts w:eastAsia="Times New Roman"/>
              </w:rPr>
            </w:pPr>
            <w:r>
              <w:rPr>
                <w:rFonts w:eastAsia="Times New Roman"/>
                <w:b/>
                <w:bCs/>
                <w:color w:val="000000"/>
                <w:sz w:val="16"/>
                <w:szCs w:val="16"/>
              </w:rPr>
              <w:t>473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14:paraId="0F7F10E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8FA7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6D5AB6" w14:textId="77777777" w:rsidR="00000000" w:rsidRDefault="00A173A8">
            <w:pPr>
              <w:spacing w:after="100"/>
              <w:jc w:val="right"/>
              <w:rPr>
                <w:rFonts w:eastAsia="Times New Roman"/>
              </w:rPr>
            </w:pPr>
            <w:r>
              <w:rPr>
                <w:rFonts w:eastAsia="Times New Roman"/>
                <w:color w:val="000000"/>
                <w:sz w:val="16"/>
                <w:szCs w:val="16"/>
              </w:rPr>
              <w:t>1,013 </w:t>
            </w:r>
          </w:p>
        </w:tc>
        <w:tc>
          <w:tcPr>
            <w:tcW w:w="0" w:type="auto"/>
            <w:shd w:val="clear" w:color="auto" w:fill="CCEEFF"/>
            <w:tcMar>
              <w:top w:w="30" w:type="dxa"/>
              <w:left w:w="0" w:type="dxa"/>
              <w:bottom w:w="30" w:type="dxa"/>
              <w:right w:w="20" w:type="dxa"/>
            </w:tcMar>
            <w:vAlign w:val="center"/>
            <w:hideMark/>
          </w:tcPr>
          <w:p w14:paraId="7D3DA36C" w14:textId="77777777" w:rsidR="00000000" w:rsidRDefault="00A173A8">
            <w:pPr>
              <w:spacing w:after="100"/>
              <w:jc w:val="right"/>
              <w:rPr>
                <w:rFonts w:eastAsia="Times New Roman"/>
              </w:rPr>
            </w:pPr>
          </w:p>
        </w:tc>
        <w:tc>
          <w:tcPr>
            <w:tcW w:w="0" w:type="auto"/>
            <w:gridSpan w:val="3"/>
            <w:vAlign w:val="center"/>
            <w:hideMark/>
          </w:tcPr>
          <w:p w14:paraId="40B365FD" w14:textId="77777777" w:rsidR="00000000" w:rsidRDefault="00A173A8">
            <w:pPr>
              <w:spacing w:after="100"/>
              <w:jc w:val="right"/>
              <w:rPr>
                <w:rFonts w:eastAsia="Times New Roman"/>
                <w:sz w:val="20"/>
                <w:szCs w:val="20"/>
              </w:rPr>
            </w:pPr>
          </w:p>
        </w:tc>
        <w:tc>
          <w:tcPr>
            <w:tcW w:w="0" w:type="auto"/>
            <w:gridSpan w:val="3"/>
            <w:vAlign w:val="center"/>
            <w:hideMark/>
          </w:tcPr>
          <w:p w14:paraId="3D5C6936" w14:textId="77777777" w:rsidR="00000000" w:rsidRDefault="00A173A8">
            <w:pPr>
              <w:spacing w:after="100"/>
              <w:rPr>
                <w:rFonts w:eastAsia="Times New Roman"/>
                <w:sz w:val="20"/>
                <w:szCs w:val="20"/>
              </w:rPr>
            </w:pPr>
          </w:p>
        </w:tc>
      </w:tr>
    </w:tbl>
    <w:p w14:paraId="4A824476" w14:textId="77777777" w:rsidR="00000000" w:rsidRDefault="00A173A8">
      <w:pPr>
        <w:ind w:firstLine="720"/>
        <w:divId w:val="114754914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14:paraId="3DDC5D6E" w14:textId="77777777">
        <w:trPr>
          <w:divId w:val="1116171600"/>
          <w:jc w:val="center"/>
        </w:trPr>
        <w:tc>
          <w:tcPr>
            <w:tcW w:w="50" w:type="pct"/>
            <w:vAlign w:val="center"/>
            <w:hideMark/>
          </w:tcPr>
          <w:p w14:paraId="02894421" w14:textId="77777777" w:rsidR="00000000" w:rsidRDefault="00A173A8">
            <w:pPr>
              <w:ind w:firstLine="720"/>
              <w:rPr>
                <w:rFonts w:eastAsia="Times New Roman"/>
              </w:rPr>
            </w:pPr>
          </w:p>
        </w:tc>
        <w:tc>
          <w:tcPr>
            <w:tcW w:w="1606" w:type="pct"/>
            <w:vAlign w:val="center"/>
            <w:hideMark/>
          </w:tcPr>
          <w:p w14:paraId="6707509F" w14:textId="77777777" w:rsidR="00000000" w:rsidRDefault="00A173A8">
            <w:pPr>
              <w:spacing w:after="100"/>
              <w:rPr>
                <w:rFonts w:eastAsia="Times New Roman"/>
                <w:sz w:val="20"/>
                <w:szCs w:val="20"/>
              </w:rPr>
            </w:pPr>
          </w:p>
        </w:tc>
        <w:tc>
          <w:tcPr>
            <w:tcW w:w="5" w:type="pct"/>
            <w:vAlign w:val="center"/>
            <w:hideMark/>
          </w:tcPr>
          <w:p w14:paraId="1EACCB2B" w14:textId="77777777" w:rsidR="00000000" w:rsidRDefault="00A173A8">
            <w:pPr>
              <w:spacing w:after="100"/>
              <w:rPr>
                <w:rFonts w:eastAsia="Times New Roman"/>
                <w:sz w:val="20"/>
                <w:szCs w:val="20"/>
              </w:rPr>
            </w:pPr>
          </w:p>
        </w:tc>
        <w:tc>
          <w:tcPr>
            <w:tcW w:w="50" w:type="pct"/>
            <w:vAlign w:val="center"/>
            <w:hideMark/>
          </w:tcPr>
          <w:p w14:paraId="65FAEE36" w14:textId="77777777" w:rsidR="00000000" w:rsidRDefault="00A173A8">
            <w:pPr>
              <w:spacing w:after="100"/>
              <w:rPr>
                <w:rFonts w:eastAsia="Times New Roman"/>
                <w:sz w:val="20"/>
                <w:szCs w:val="20"/>
              </w:rPr>
            </w:pPr>
          </w:p>
        </w:tc>
        <w:tc>
          <w:tcPr>
            <w:tcW w:w="1614" w:type="pct"/>
            <w:vAlign w:val="center"/>
            <w:hideMark/>
          </w:tcPr>
          <w:p w14:paraId="6691734B" w14:textId="77777777" w:rsidR="00000000" w:rsidRDefault="00A173A8">
            <w:pPr>
              <w:spacing w:after="100"/>
              <w:rPr>
                <w:rFonts w:eastAsia="Times New Roman"/>
                <w:sz w:val="20"/>
                <w:szCs w:val="20"/>
              </w:rPr>
            </w:pPr>
          </w:p>
        </w:tc>
        <w:tc>
          <w:tcPr>
            <w:tcW w:w="5" w:type="pct"/>
            <w:vAlign w:val="center"/>
            <w:hideMark/>
          </w:tcPr>
          <w:p w14:paraId="7500F0BD" w14:textId="77777777" w:rsidR="00000000" w:rsidRDefault="00A173A8">
            <w:pPr>
              <w:spacing w:after="100"/>
              <w:rPr>
                <w:rFonts w:eastAsia="Times New Roman"/>
                <w:sz w:val="20"/>
                <w:szCs w:val="20"/>
              </w:rPr>
            </w:pPr>
          </w:p>
        </w:tc>
        <w:tc>
          <w:tcPr>
            <w:tcW w:w="50" w:type="pct"/>
            <w:vAlign w:val="center"/>
            <w:hideMark/>
          </w:tcPr>
          <w:p w14:paraId="40208376" w14:textId="77777777" w:rsidR="00000000" w:rsidRDefault="00A173A8">
            <w:pPr>
              <w:spacing w:after="100"/>
              <w:rPr>
                <w:rFonts w:eastAsia="Times New Roman"/>
                <w:sz w:val="20"/>
                <w:szCs w:val="20"/>
              </w:rPr>
            </w:pPr>
          </w:p>
        </w:tc>
        <w:tc>
          <w:tcPr>
            <w:tcW w:w="1614" w:type="pct"/>
            <w:vAlign w:val="center"/>
            <w:hideMark/>
          </w:tcPr>
          <w:p w14:paraId="3A6028FF" w14:textId="77777777" w:rsidR="00000000" w:rsidRDefault="00A173A8">
            <w:pPr>
              <w:spacing w:after="100"/>
              <w:rPr>
                <w:rFonts w:eastAsia="Times New Roman"/>
                <w:sz w:val="20"/>
                <w:szCs w:val="20"/>
              </w:rPr>
            </w:pPr>
          </w:p>
        </w:tc>
        <w:tc>
          <w:tcPr>
            <w:tcW w:w="5" w:type="pct"/>
            <w:vAlign w:val="center"/>
            <w:hideMark/>
          </w:tcPr>
          <w:p w14:paraId="1611A464" w14:textId="77777777" w:rsidR="00000000" w:rsidRDefault="00A173A8">
            <w:pPr>
              <w:spacing w:after="100"/>
              <w:rPr>
                <w:rFonts w:eastAsia="Times New Roman"/>
                <w:sz w:val="20"/>
                <w:szCs w:val="20"/>
              </w:rPr>
            </w:pPr>
          </w:p>
        </w:tc>
      </w:tr>
      <w:tr w:rsidR="00000000" w14:paraId="74985638" w14:textId="77777777">
        <w:trPr>
          <w:divId w:val="1116171600"/>
          <w:jc w:val="center"/>
        </w:trPr>
        <w:tc>
          <w:tcPr>
            <w:tcW w:w="0" w:type="auto"/>
            <w:gridSpan w:val="9"/>
            <w:tcMar>
              <w:top w:w="30" w:type="dxa"/>
              <w:left w:w="20" w:type="dxa"/>
              <w:bottom w:w="30" w:type="dxa"/>
              <w:right w:w="20" w:type="dxa"/>
            </w:tcMar>
            <w:vAlign w:val="bottom"/>
            <w:hideMark/>
          </w:tcPr>
          <w:p w14:paraId="49F91B47" w14:textId="77777777" w:rsidR="00000000" w:rsidRDefault="00A173A8">
            <w:pPr>
              <w:spacing w:after="100"/>
              <w:jc w:val="center"/>
              <w:rPr>
                <w:rFonts w:eastAsia="Times New Roman"/>
              </w:rPr>
            </w:pPr>
            <w:r>
              <w:rPr>
                <w:rFonts w:eastAsia="Times New Roman"/>
                <w:color w:val="000000"/>
                <w:sz w:val="20"/>
                <w:szCs w:val="20"/>
              </w:rPr>
              <w:t>See Notes to Consolidated Financial Statements.</w:t>
            </w:r>
          </w:p>
        </w:tc>
      </w:tr>
      <w:tr w:rsidR="00000000" w14:paraId="59B88FF8" w14:textId="77777777">
        <w:trPr>
          <w:divId w:val="1116171600"/>
          <w:jc w:val="center"/>
        </w:trPr>
        <w:tc>
          <w:tcPr>
            <w:tcW w:w="0" w:type="auto"/>
            <w:gridSpan w:val="3"/>
            <w:tcMar>
              <w:top w:w="0" w:type="dxa"/>
              <w:left w:w="20" w:type="dxa"/>
              <w:bottom w:w="0" w:type="dxa"/>
              <w:right w:w="20" w:type="dxa"/>
            </w:tcMar>
            <w:vAlign w:val="center"/>
            <w:hideMark/>
          </w:tcPr>
          <w:p w14:paraId="1330A3F9"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0F4439" w14:textId="77777777" w:rsidR="00000000" w:rsidRDefault="00A173A8">
            <w:pPr>
              <w:spacing w:after="100"/>
              <w:jc w:val="center"/>
              <w:rPr>
                <w:rFonts w:eastAsia="Times New Roman"/>
              </w:rPr>
            </w:pPr>
            <w:r>
              <w:rPr>
                <w:rFonts w:eastAsia="Times New Roman"/>
                <w:color w:val="000000"/>
                <w:sz w:val="16"/>
                <w:szCs w:val="16"/>
              </w:rPr>
              <w:t>70</w:t>
            </w:r>
          </w:p>
        </w:tc>
        <w:tc>
          <w:tcPr>
            <w:tcW w:w="0" w:type="auto"/>
            <w:gridSpan w:val="3"/>
            <w:tcMar>
              <w:top w:w="30" w:type="dxa"/>
              <w:left w:w="20" w:type="dxa"/>
              <w:bottom w:w="30" w:type="dxa"/>
              <w:right w:w="20" w:type="dxa"/>
            </w:tcMar>
            <w:vAlign w:val="bottom"/>
            <w:hideMark/>
          </w:tcPr>
          <w:p w14:paraId="00B92477"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877F36A" w14:textId="77777777" w:rsidR="00000000" w:rsidRDefault="00A173A8">
      <w:pPr>
        <w:rPr>
          <w:rFonts w:eastAsia="Times New Roman"/>
        </w:rPr>
      </w:pPr>
      <w:r>
        <w:rPr>
          <w:rFonts w:eastAsia="Times New Roman"/>
        </w:rPr>
        <w:pict w14:anchorId="692940F8">
          <v:rect id="_x0000_i1095" style="width:0;height:1.5pt" o:hralign="center" o:hrstd="t" o:hr="t" fillcolor="#a0a0a0" stroked="f"/>
        </w:pict>
      </w:r>
    </w:p>
    <w:p w14:paraId="4CC1F20A" w14:textId="77777777" w:rsidR="00000000" w:rsidRDefault="00A173A8">
      <w:pPr>
        <w:jc w:val="both"/>
        <w:divId w:val="1397317683"/>
        <w:rPr>
          <w:rFonts w:eastAsia="Times New Roman"/>
        </w:rPr>
      </w:pPr>
      <w:hyperlink w:anchor="i7ffd5d61af6f4722b1b1b07530d51c06_13"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4E8F831F" w14:textId="77777777">
        <w:trPr>
          <w:divId w:val="1282758611"/>
          <w:jc w:val="center"/>
        </w:trPr>
        <w:tc>
          <w:tcPr>
            <w:tcW w:w="50" w:type="pct"/>
            <w:vAlign w:val="center"/>
            <w:hideMark/>
          </w:tcPr>
          <w:p w14:paraId="476F3CE1" w14:textId="77777777" w:rsidR="00000000" w:rsidRDefault="00A173A8">
            <w:pPr>
              <w:jc w:val="both"/>
              <w:rPr>
                <w:rFonts w:eastAsia="Times New Roman"/>
              </w:rPr>
            </w:pPr>
          </w:p>
        </w:tc>
        <w:tc>
          <w:tcPr>
            <w:tcW w:w="4945" w:type="pct"/>
            <w:vAlign w:val="center"/>
            <w:hideMark/>
          </w:tcPr>
          <w:p w14:paraId="117F5603" w14:textId="77777777" w:rsidR="00000000" w:rsidRDefault="00A173A8">
            <w:pPr>
              <w:spacing w:after="100"/>
              <w:rPr>
                <w:rFonts w:eastAsia="Times New Roman"/>
                <w:sz w:val="20"/>
                <w:szCs w:val="20"/>
              </w:rPr>
            </w:pPr>
          </w:p>
        </w:tc>
        <w:tc>
          <w:tcPr>
            <w:tcW w:w="5" w:type="pct"/>
            <w:vAlign w:val="center"/>
            <w:hideMark/>
          </w:tcPr>
          <w:p w14:paraId="5D13757F" w14:textId="77777777" w:rsidR="00000000" w:rsidRDefault="00A173A8">
            <w:pPr>
              <w:spacing w:after="100"/>
              <w:rPr>
                <w:rFonts w:eastAsia="Times New Roman"/>
                <w:sz w:val="20"/>
                <w:szCs w:val="20"/>
              </w:rPr>
            </w:pPr>
          </w:p>
        </w:tc>
      </w:tr>
      <w:tr w:rsidR="00000000" w14:paraId="67014841" w14:textId="77777777">
        <w:trPr>
          <w:divId w:val="1282758611"/>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2A60B02" w14:textId="77777777" w:rsidR="00000000" w:rsidRDefault="00A173A8">
            <w:pPr>
              <w:spacing w:after="100"/>
              <w:rPr>
                <w:rFonts w:eastAsia="Times New Roman"/>
              </w:rPr>
            </w:pPr>
            <w:r>
              <w:rPr>
                <w:rFonts w:eastAsia="Times New Roman"/>
                <w:b/>
                <w:bCs/>
                <w:color w:val="000000"/>
                <w:sz w:val="20"/>
                <w:szCs w:val="20"/>
              </w:rPr>
              <w:t>NOTE 1—SUMMARY OF SIGNIFICANT ACCOUNTING POLICIES</w:t>
            </w:r>
          </w:p>
        </w:tc>
      </w:tr>
    </w:tbl>
    <w:p w14:paraId="373DE19F" w14:textId="77777777" w:rsidR="00000000" w:rsidRDefault="00A173A8">
      <w:pPr>
        <w:divId w:val="1821267333"/>
        <w:rPr>
          <w:rFonts w:eastAsia="Times New Roman"/>
        </w:rPr>
      </w:pPr>
      <w:r>
        <w:rPr>
          <w:rFonts w:eastAsia="Times New Roman"/>
          <w:b/>
          <w:bCs/>
          <w:color w:val="000000"/>
          <w:sz w:val="20"/>
          <w:szCs w:val="20"/>
        </w:rPr>
        <w:t>The Company</w:t>
      </w:r>
    </w:p>
    <w:p w14:paraId="5C055BD7" w14:textId="77777777" w:rsidR="00000000" w:rsidRDefault="00A173A8">
      <w:pPr>
        <w:jc w:val="both"/>
        <w:divId w:val="2004115479"/>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bsidiaries (the “Company” or “Capital One”) offer a broad array of financial products and services to consumers, small businesses and commercial clients through digital channels, branch locations, Cafés and other distribution channels. As of June 30, 2022,</w:t>
      </w:r>
      <w:r>
        <w:rPr>
          <w:rFonts w:eastAsia="Times New Roman"/>
          <w:color w:val="000000"/>
          <w:sz w:val="20"/>
          <w:szCs w:val="20"/>
        </w:rPr>
        <w:t xml:space="preserve"> our principal subsidiaries included:</w:t>
      </w:r>
    </w:p>
    <w:p w14:paraId="54A12118" w14:textId="77777777" w:rsidR="00000000" w:rsidRDefault="00A173A8">
      <w:pPr>
        <w:ind w:hanging="360"/>
        <w:jc w:val="both"/>
        <w:divId w:val="2146584691"/>
        <w:rPr>
          <w:rFonts w:eastAsia="Times New Roman"/>
        </w:rPr>
      </w:pPr>
      <w:r>
        <w:rPr>
          <w:rFonts w:eastAsia="Times New Roman"/>
          <w:color w:val="000000"/>
          <w:sz w:val="20"/>
          <w:szCs w:val="20"/>
        </w:rPr>
        <w:t>•Capital One Bank (USA), National Association (“COBNA”), which offers credit card products along with other lending products and consumer services; and</w:t>
      </w:r>
    </w:p>
    <w:p w14:paraId="447F7554" w14:textId="77777777" w:rsidR="00000000" w:rsidRDefault="00A173A8">
      <w:pPr>
        <w:ind w:hanging="360"/>
        <w:jc w:val="both"/>
        <w:divId w:val="217128438"/>
        <w:rPr>
          <w:rFonts w:eastAsia="Times New Roman"/>
        </w:rPr>
      </w:pPr>
      <w:r>
        <w:rPr>
          <w:rFonts w:eastAsia="Times New Roman"/>
          <w:color w:val="000000"/>
          <w:sz w:val="20"/>
          <w:szCs w:val="20"/>
        </w:rPr>
        <w:t>•</w:t>
      </w:r>
      <w:r>
        <w:rPr>
          <w:rFonts w:eastAsia="Times New Roman"/>
          <w:color w:val="000000"/>
          <w:sz w:val="20"/>
          <w:szCs w:val="20"/>
        </w:rPr>
        <w:t>Capital One, National Association (“CONA”), which offers a broad spectrum of banking products and financial services to consumers, small businesses and commercial clients.</w:t>
      </w:r>
    </w:p>
    <w:p w14:paraId="68C4E8A9" w14:textId="77777777" w:rsidR="00000000" w:rsidRDefault="00A173A8">
      <w:pPr>
        <w:jc w:val="both"/>
        <w:divId w:val="133643103"/>
        <w:rPr>
          <w:rFonts w:eastAsia="Times New Roman"/>
        </w:rPr>
      </w:pPr>
      <w:r>
        <w:rPr>
          <w:rFonts w:eastAsia="Times New Roman"/>
          <w:color w:val="000000"/>
          <w:sz w:val="20"/>
          <w:szCs w:val="20"/>
        </w:rPr>
        <w:t xml:space="preserve">The Company is hereafter collectively referred to as “we,” “us” or “our.” COBNA and </w:t>
      </w:r>
      <w:r>
        <w:rPr>
          <w:rFonts w:eastAsia="Times New Roman"/>
          <w:color w:val="000000"/>
          <w:sz w:val="20"/>
          <w:szCs w:val="20"/>
        </w:rPr>
        <w:t>CONA are collectively referred to as the “Banks.”</w:t>
      </w:r>
    </w:p>
    <w:p w14:paraId="651E90BB" w14:textId="77777777" w:rsidR="00000000" w:rsidRDefault="00A173A8">
      <w:pPr>
        <w:jc w:val="both"/>
        <w:divId w:val="1057244263"/>
        <w:rPr>
          <w:rFonts w:eastAsia="Times New Roman"/>
        </w:rPr>
      </w:pPr>
      <w:r>
        <w:rPr>
          <w:rFonts w:eastAsia="Times New Roman"/>
          <w:color w:val="000000"/>
          <w:sz w:val="20"/>
          <w:szCs w:val="20"/>
        </w:rPr>
        <w:t>We also offer products outside of the United States of America (“U.S.”) principally through Capital One (Europe) plc (“COEP”), an indirect subsidiary of COBNA organized and located in the United Kingdom (“U</w:t>
      </w:r>
      <w:r>
        <w:rPr>
          <w:rFonts w:eastAsia="Times New Roman"/>
          <w:color w:val="000000"/>
          <w:sz w:val="20"/>
          <w:szCs w:val="20"/>
        </w:rPr>
        <w:t>.K.”), and through a branch of COBNA in Canada. COEP has authority, among other things, to provide credit card loans. Our branch of COBNA in Canada also has the authority to provide credit card loans.</w:t>
      </w:r>
    </w:p>
    <w:p w14:paraId="60A34101" w14:textId="77777777" w:rsidR="00000000" w:rsidRDefault="00A173A8">
      <w:pPr>
        <w:jc w:val="both"/>
        <w:divId w:val="865170741"/>
        <w:rPr>
          <w:rFonts w:eastAsia="Times New Roman"/>
        </w:rPr>
      </w:pPr>
      <w:r>
        <w:rPr>
          <w:rFonts w:eastAsia="Times New Roman"/>
          <w:color w:val="000000"/>
          <w:sz w:val="20"/>
          <w:szCs w:val="20"/>
        </w:rPr>
        <w:t>Our principal operations are organized for management r</w:t>
      </w:r>
      <w:r>
        <w:rPr>
          <w:rFonts w:eastAsia="Times New Roman"/>
          <w:color w:val="000000"/>
          <w:sz w:val="20"/>
          <w:szCs w:val="20"/>
        </w:rPr>
        <w:t>eporting purposes into three major business segments, which are defined primarily based on the products and services provided or the types of customer served: Credit Card, Consumer Banking and Commercial Banking. We provide details on our business segments</w:t>
      </w:r>
      <w:r>
        <w:rPr>
          <w:rFonts w:eastAsia="Times New Roman"/>
          <w:color w:val="000000"/>
          <w:sz w:val="20"/>
          <w:szCs w:val="20"/>
        </w:rPr>
        <w:t>, the integration of recent acquisitions, if any, into our business segments and the allocation methodologies and accounting policies used to derive our business segment results in “Note 12—Business Segments and Revenue from Contracts with Customers.”</w:t>
      </w:r>
    </w:p>
    <w:p w14:paraId="7201B2DB" w14:textId="77777777" w:rsidR="00000000" w:rsidRDefault="00A173A8">
      <w:pPr>
        <w:divId w:val="232472207"/>
        <w:rPr>
          <w:rFonts w:eastAsia="Times New Roman"/>
        </w:rPr>
      </w:pPr>
      <w:r>
        <w:rPr>
          <w:rFonts w:eastAsia="Times New Roman"/>
          <w:b/>
          <w:bCs/>
          <w:color w:val="000000"/>
          <w:sz w:val="20"/>
          <w:szCs w:val="20"/>
        </w:rPr>
        <w:t>Basi</w:t>
      </w:r>
      <w:r>
        <w:rPr>
          <w:rFonts w:eastAsia="Times New Roman"/>
          <w:b/>
          <w:bCs/>
          <w:color w:val="000000"/>
          <w:sz w:val="20"/>
          <w:szCs w:val="20"/>
        </w:rPr>
        <w:t>s of Presentation and Use of Estimates</w:t>
      </w:r>
    </w:p>
    <w:p w14:paraId="46376030" w14:textId="77777777" w:rsidR="00000000" w:rsidRDefault="00A173A8">
      <w:pPr>
        <w:jc w:val="both"/>
        <w:divId w:val="332269028"/>
        <w:rPr>
          <w:rFonts w:eastAsia="Times New Roman"/>
        </w:rPr>
      </w:pPr>
      <w:r>
        <w:rPr>
          <w:rFonts w:eastAsia="Times New Roman"/>
          <w:color w:val="000000"/>
          <w:sz w:val="20"/>
          <w:szCs w:val="20"/>
        </w:rPr>
        <w:t>The accompanying unaudited interim consolidated financial statements have been prepared in accordance with generally accepted accounting principles in the U.S. (“U.S. GAAP”). The preparation of the consolidated financ</w:t>
      </w:r>
      <w:r>
        <w:rPr>
          <w:rFonts w:eastAsia="Times New Roman"/>
          <w:color w:val="000000"/>
          <w:sz w:val="20"/>
          <w:szCs w:val="20"/>
        </w:rPr>
        <w:t>ial statements in conformity with U.S. GAAP requires management to make estimates and assumptions that affect the amounts reported in the consolidated financial statements and in the related disclosures. These estimates are based on information available a</w:t>
      </w:r>
      <w:r>
        <w:rPr>
          <w:rFonts w:eastAsia="Times New Roman"/>
          <w:color w:val="000000"/>
          <w:sz w:val="20"/>
          <w:szCs w:val="20"/>
        </w:rPr>
        <w:t>s of the date of the consolidated financial statements. While management makes its best judgments, actual amounts or results could differ from these estimates. In the opinion of management, all normal, recurring adjustments have been included for a fair st</w:t>
      </w:r>
      <w:r>
        <w:rPr>
          <w:rFonts w:eastAsia="Times New Roman"/>
          <w:color w:val="000000"/>
          <w:sz w:val="20"/>
          <w:szCs w:val="20"/>
        </w:rPr>
        <w:t>atement of this interim financial information.</w:t>
      </w:r>
      <w:r>
        <w:rPr>
          <w:rFonts w:eastAsia="Times New Roman"/>
          <w:i/>
          <w:iCs/>
          <w:color w:val="000000"/>
          <w:sz w:val="20"/>
          <w:szCs w:val="20"/>
        </w:rPr>
        <w:t xml:space="preserve"> </w:t>
      </w:r>
    </w:p>
    <w:p w14:paraId="5571E92D" w14:textId="77777777" w:rsidR="00000000" w:rsidRDefault="00A173A8">
      <w:pPr>
        <w:jc w:val="both"/>
        <w:divId w:val="1951350422"/>
        <w:rPr>
          <w:rFonts w:eastAsia="Times New Roman"/>
        </w:rPr>
      </w:pPr>
      <w:r>
        <w:rPr>
          <w:rFonts w:eastAsia="Times New Roman"/>
          <w:color w:val="000000"/>
          <w:sz w:val="20"/>
          <w:szCs w:val="20"/>
        </w:rPr>
        <w:t>These unaudited interim consolidated financial statements should be read in conjunction with the audited consolidated financial statements, and related notes thereto, included in Capital One Financial Corpora</w:t>
      </w:r>
      <w:r>
        <w:rPr>
          <w:rFonts w:eastAsia="Times New Roman"/>
          <w:color w:val="000000"/>
          <w:sz w:val="20"/>
          <w:szCs w:val="20"/>
        </w:rPr>
        <w:t>tion’s 2021 Annual Report on Form 10-K (“2021 Form 10-K”).</w:t>
      </w:r>
    </w:p>
    <w:p w14:paraId="0E0B5817" w14:textId="77777777" w:rsidR="00000000" w:rsidRDefault="00A173A8">
      <w:pPr>
        <w:divId w:val="274945663"/>
        <w:rPr>
          <w:rFonts w:eastAsia="Times New Roman"/>
        </w:rPr>
      </w:pPr>
      <w:r>
        <w:rPr>
          <w:rFonts w:eastAsia="Times New Roman"/>
          <w:b/>
          <w:bCs/>
          <w:color w:val="000000"/>
          <w:sz w:val="20"/>
          <w:szCs w:val="20"/>
        </w:rPr>
        <w:t>Newly Adopted Accounting Standards During the Six Months Ended June 30, 2022</w:t>
      </w:r>
    </w:p>
    <w:tbl>
      <w:tblPr>
        <w:tblW w:w="5000" w:type="pct"/>
        <w:tblCellMar>
          <w:top w:w="15" w:type="dxa"/>
          <w:left w:w="15" w:type="dxa"/>
          <w:bottom w:w="15" w:type="dxa"/>
          <w:right w:w="15" w:type="dxa"/>
        </w:tblCellMar>
        <w:tblLook w:val="04A0" w:firstRow="1" w:lastRow="0" w:firstColumn="1" w:lastColumn="0" w:noHBand="0" w:noVBand="1"/>
      </w:tblPr>
      <w:tblGrid>
        <w:gridCol w:w="58"/>
        <w:gridCol w:w="2264"/>
        <w:gridCol w:w="36"/>
        <w:gridCol w:w="36"/>
        <w:gridCol w:w="36"/>
        <w:gridCol w:w="36"/>
        <w:gridCol w:w="41"/>
        <w:gridCol w:w="2788"/>
        <w:gridCol w:w="36"/>
        <w:gridCol w:w="36"/>
        <w:gridCol w:w="36"/>
        <w:gridCol w:w="36"/>
        <w:gridCol w:w="42"/>
        <w:gridCol w:w="2788"/>
        <w:gridCol w:w="37"/>
      </w:tblGrid>
      <w:tr w:rsidR="00000000" w14:paraId="343B0EED" w14:textId="77777777">
        <w:trPr>
          <w:divId w:val="384984263"/>
        </w:trPr>
        <w:tc>
          <w:tcPr>
            <w:tcW w:w="50" w:type="pct"/>
            <w:vAlign w:val="center"/>
            <w:hideMark/>
          </w:tcPr>
          <w:p w14:paraId="643F1DAE" w14:textId="77777777" w:rsidR="00000000" w:rsidRDefault="00A173A8">
            <w:pPr>
              <w:rPr>
                <w:rFonts w:eastAsia="Times New Roman"/>
              </w:rPr>
            </w:pPr>
          </w:p>
        </w:tc>
        <w:tc>
          <w:tcPr>
            <w:tcW w:w="1377" w:type="pct"/>
            <w:vAlign w:val="center"/>
            <w:hideMark/>
          </w:tcPr>
          <w:p w14:paraId="6462864F" w14:textId="77777777" w:rsidR="00000000" w:rsidRDefault="00A173A8">
            <w:pPr>
              <w:spacing w:after="100"/>
              <w:rPr>
                <w:rFonts w:eastAsia="Times New Roman"/>
                <w:sz w:val="20"/>
                <w:szCs w:val="20"/>
              </w:rPr>
            </w:pPr>
          </w:p>
        </w:tc>
        <w:tc>
          <w:tcPr>
            <w:tcW w:w="5" w:type="pct"/>
            <w:vAlign w:val="center"/>
            <w:hideMark/>
          </w:tcPr>
          <w:p w14:paraId="32C76655" w14:textId="77777777" w:rsidR="00000000" w:rsidRDefault="00A173A8">
            <w:pPr>
              <w:spacing w:after="100"/>
              <w:rPr>
                <w:rFonts w:eastAsia="Times New Roman"/>
                <w:sz w:val="20"/>
                <w:szCs w:val="20"/>
              </w:rPr>
            </w:pPr>
          </w:p>
        </w:tc>
        <w:tc>
          <w:tcPr>
            <w:tcW w:w="5" w:type="pct"/>
            <w:vAlign w:val="center"/>
            <w:hideMark/>
          </w:tcPr>
          <w:p w14:paraId="26AD985B" w14:textId="77777777" w:rsidR="00000000" w:rsidRDefault="00A173A8">
            <w:pPr>
              <w:spacing w:after="100"/>
              <w:rPr>
                <w:rFonts w:eastAsia="Times New Roman"/>
                <w:sz w:val="20"/>
                <w:szCs w:val="20"/>
              </w:rPr>
            </w:pPr>
          </w:p>
        </w:tc>
        <w:tc>
          <w:tcPr>
            <w:tcW w:w="26" w:type="pct"/>
            <w:vAlign w:val="center"/>
            <w:hideMark/>
          </w:tcPr>
          <w:p w14:paraId="6CBAADDA" w14:textId="77777777" w:rsidR="00000000" w:rsidRDefault="00A173A8">
            <w:pPr>
              <w:spacing w:after="100"/>
              <w:rPr>
                <w:rFonts w:eastAsia="Times New Roman"/>
                <w:sz w:val="20"/>
                <w:szCs w:val="20"/>
              </w:rPr>
            </w:pPr>
          </w:p>
        </w:tc>
        <w:tc>
          <w:tcPr>
            <w:tcW w:w="5" w:type="pct"/>
            <w:vAlign w:val="center"/>
            <w:hideMark/>
          </w:tcPr>
          <w:p w14:paraId="50AC7962" w14:textId="77777777" w:rsidR="00000000" w:rsidRDefault="00A173A8">
            <w:pPr>
              <w:spacing w:after="100"/>
              <w:rPr>
                <w:rFonts w:eastAsia="Times New Roman"/>
                <w:sz w:val="20"/>
                <w:szCs w:val="20"/>
              </w:rPr>
            </w:pPr>
          </w:p>
        </w:tc>
        <w:tc>
          <w:tcPr>
            <w:tcW w:w="50" w:type="pct"/>
            <w:vAlign w:val="center"/>
            <w:hideMark/>
          </w:tcPr>
          <w:p w14:paraId="03B981BE" w14:textId="77777777" w:rsidR="00000000" w:rsidRDefault="00A173A8">
            <w:pPr>
              <w:spacing w:after="100"/>
              <w:rPr>
                <w:rFonts w:eastAsia="Times New Roman"/>
                <w:sz w:val="20"/>
                <w:szCs w:val="20"/>
              </w:rPr>
            </w:pPr>
          </w:p>
        </w:tc>
        <w:tc>
          <w:tcPr>
            <w:tcW w:w="1692" w:type="pct"/>
            <w:vAlign w:val="center"/>
            <w:hideMark/>
          </w:tcPr>
          <w:p w14:paraId="7EB30107" w14:textId="77777777" w:rsidR="00000000" w:rsidRDefault="00A173A8">
            <w:pPr>
              <w:spacing w:after="100"/>
              <w:rPr>
                <w:rFonts w:eastAsia="Times New Roman"/>
                <w:sz w:val="20"/>
                <w:szCs w:val="20"/>
              </w:rPr>
            </w:pPr>
          </w:p>
        </w:tc>
        <w:tc>
          <w:tcPr>
            <w:tcW w:w="5" w:type="pct"/>
            <w:vAlign w:val="center"/>
            <w:hideMark/>
          </w:tcPr>
          <w:p w14:paraId="343B73C9" w14:textId="77777777" w:rsidR="00000000" w:rsidRDefault="00A173A8">
            <w:pPr>
              <w:spacing w:after="100"/>
              <w:rPr>
                <w:rFonts w:eastAsia="Times New Roman"/>
                <w:sz w:val="20"/>
                <w:szCs w:val="20"/>
              </w:rPr>
            </w:pPr>
          </w:p>
        </w:tc>
        <w:tc>
          <w:tcPr>
            <w:tcW w:w="5" w:type="pct"/>
            <w:vAlign w:val="center"/>
            <w:hideMark/>
          </w:tcPr>
          <w:p w14:paraId="67D5C4CD" w14:textId="77777777" w:rsidR="00000000" w:rsidRDefault="00A173A8">
            <w:pPr>
              <w:spacing w:after="100"/>
              <w:rPr>
                <w:rFonts w:eastAsia="Times New Roman"/>
                <w:sz w:val="20"/>
                <w:szCs w:val="20"/>
              </w:rPr>
            </w:pPr>
          </w:p>
        </w:tc>
        <w:tc>
          <w:tcPr>
            <w:tcW w:w="26" w:type="pct"/>
            <w:vAlign w:val="center"/>
            <w:hideMark/>
          </w:tcPr>
          <w:p w14:paraId="0EEBE410" w14:textId="77777777" w:rsidR="00000000" w:rsidRDefault="00A173A8">
            <w:pPr>
              <w:spacing w:after="100"/>
              <w:rPr>
                <w:rFonts w:eastAsia="Times New Roman"/>
                <w:sz w:val="20"/>
                <w:szCs w:val="20"/>
              </w:rPr>
            </w:pPr>
          </w:p>
        </w:tc>
        <w:tc>
          <w:tcPr>
            <w:tcW w:w="5" w:type="pct"/>
            <w:vAlign w:val="center"/>
            <w:hideMark/>
          </w:tcPr>
          <w:p w14:paraId="0A98E965" w14:textId="77777777" w:rsidR="00000000" w:rsidRDefault="00A173A8">
            <w:pPr>
              <w:spacing w:after="100"/>
              <w:rPr>
                <w:rFonts w:eastAsia="Times New Roman"/>
                <w:sz w:val="20"/>
                <w:szCs w:val="20"/>
              </w:rPr>
            </w:pPr>
          </w:p>
        </w:tc>
        <w:tc>
          <w:tcPr>
            <w:tcW w:w="50" w:type="pct"/>
            <w:vAlign w:val="center"/>
            <w:hideMark/>
          </w:tcPr>
          <w:p w14:paraId="273E8848" w14:textId="77777777" w:rsidR="00000000" w:rsidRDefault="00A173A8">
            <w:pPr>
              <w:spacing w:after="100"/>
              <w:rPr>
                <w:rFonts w:eastAsia="Times New Roman"/>
                <w:sz w:val="20"/>
                <w:szCs w:val="20"/>
              </w:rPr>
            </w:pPr>
          </w:p>
        </w:tc>
        <w:tc>
          <w:tcPr>
            <w:tcW w:w="1692" w:type="pct"/>
            <w:vAlign w:val="center"/>
            <w:hideMark/>
          </w:tcPr>
          <w:p w14:paraId="24FEFBAA" w14:textId="77777777" w:rsidR="00000000" w:rsidRDefault="00A173A8">
            <w:pPr>
              <w:spacing w:after="100"/>
              <w:rPr>
                <w:rFonts w:eastAsia="Times New Roman"/>
                <w:sz w:val="20"/>
                <w:szCs w:val="20"/>
              </w:rPr>
            </w:pPr>
          </w:p>
        </w:tc>
        <w:tc>
          <w:tcPr>
            <w:tcW w:w="5" w:type="pct"/>
            <w:vAlign w:val="center"/>
            <w:hideMark/>
          </w:tcPr>
          <w:p w14:paraId="65096380" w14:textId="77777777" w:rsidR="00000000" w:rsidRDefault="00A173A8">
            <w:pPr>
              <w:spacing w:after="100"/>
              <w:rPr>
                <w:rFonts w:eastAsia="Times New Roman"/>
                <w:sz w:val="20"/>
                <w:szCs w:val="20"/>
              </w:rPr>
            </w:pPr>
          </w:p>
        </w:tc>
      </w:tr>
      <w:tr w:rsidR="00000000" w14:paraId="321BC7DF" w14:textId="77777777">
        <w:trPr>
          <w:divId w:val="384984263"/>
        </w:trPr>
        <w:tc>
          <w:tcPr>
            <w:tcW w:w="0" w:type="auto"/>
            <w:gridSpan w:val="3"/>
            <w:tcMar>
              <w:top w:w="30" w:type="dxa"/>
              <w:left w:w="20" w:type="dxa"/>
              <w:bottom w:w="30" w:type="dxa"/>
              <w:right w:w="20" w:type="dxa"/>
            </w:tcMar>
            <w:vAlign w:val="center"/>
            <w:hideMark/>
          </w:tcPr>
          <w:p w14:paraId="58B86360" w14:textId="77777777" w:rsidR="00000000" w:rsidRDefault="00A173A8">
            <w:pPr>
              <w:spacing w:after="100"/>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14:paraId="34C94C71"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9865A7A" w14:textId="77777777" w:rsidR="00000000" w:rsidRDefault="00A173A8">
            <w:pPr>
              <w:spacing w:after="100"/>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14:paraId="2249C27A"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2B69917" w14:textId="77777777" w:rsidR="00000000" w:rsidRDefault="00A173A8">
            <w:pPr>
              <w:spacing w:after="100"/>
              <w:jc w:val="center"/>
              <w:rPr>
                <w:rFonts w:eastAsia="Times New Roman"/>
              </w:rPr>
            </w:pPr>
            <w:r>
              <w:rPr>
                <w:rFonts w:eastAsia="Times New Roman"/>
                <w:b/>
                <w:bCs/>
                <w:color w:val="000000"/>
                <w:sz w:val="16"/>
                <w:szCs w:val="16"/>
              </w:rPr>
              <w:t>Adoption Timing and Financial Statement Impacts</w:t>
            </w:r>
          </w:p>
        </w:tc>
      </w:tr>
      <w:tr w:rsidR="00000000" w14:paraId="604647CA" w14:textId="77777777">
        <w:trPr>
          <w:divId w:val="384984263"/>
        </w:trPr>
        <w:tc>
          <w:tcPr>
            <w:tcW w:w="0" w:type="auto"/>
            <w:gridSpan w:val="3"/>
            <w:tcBorders>
              <w:top w:val="single" w:sz="8" w:space="0" w:color="000000"/>
              <w:bottom w:val="single" w:sz="8" w:space="0" w:color="000000"/>
            </w:tcBorders>
            <w:tcMar>
              <w:top w:w="30" w:type="dxa"/>
              <w:left w:w="20" w:type="dxa"/>
              <w:bottom w:w="30" w:type="dxa"/>
              <w:right w:w="20" w:type="dxa"/>
            </w:tcMar>
            <w:hideMark/>
          </w:tcPr>
          <w:p w14:paraId="6ECF788C" w14:textId="77777777" w:rsidR="00000000" w:rsidRDefault="00A173A8">
            <w:pPr>
              <w:spacing w:after="100"/>
              <w:divId w:val="2009555163"/>
              <w:rPr>
                <w:rFonts w:eastAsia="Times New Roman"/>
              </w:rPr>
            </w:pPr>
            <w:r>
              <w:rPr>
                <w:rFonts w:eastAsia="Times New Roman"/>
                <w:color w:val="000000"/>
                <w:sz w:val="18"/>
                <w:szCs w:val="18"/>
              </w:rPr>
              <w:t>Fair Value Hedging</w:t>
            </w:r>
          </w:p>
          <w:p w14:paraId="28508F18" w14:textId="77777777" w:rsidR="00000000" w:rsidRDefault="00A173A8">
            <w:pPr>
              <w:spacing w:after="100"/>
              <w:divId w:val="1214149688"/>
              <w:rPr>
                <w:rFonts w:eastAsia="Times New Roman"/>
              </w:rPr>
            </w:pPr>
          </w:p>
          <w:p w14:paraId="358E457D" w14:textId="77777777" w:rsidR="00000000" w:rsidRDefault="00A173A8">
            <w:pPr>
              <w:spacing w:after="100"/>
              <w:divId w:val="1126701760"/>
              <w:rPr>
                <w:rFonts w:eastAsia="Times New Roman"/>
              </w:rPr>
            </w:pPr>
            <w:r>
              <w:rPr>
                <w:rFonts w:eastAsia="Times New Roman"/>
                <w:color w:val="000000"/>
                <w:sz w:val="18"/>
                <w:szCs w:val="18"/>
              </w:rPr>
              <w:t xml:space="preserve">ASU No. 2022-01, Derivatives and Hedging (Topic 815): </w:t>
            </w:r>
            <w:r>
              <w:rPr>
                <w:rFonts w:eastAsia="Times New Roman"/>
                <w:i/>
                <w:iCs/>
                <w:color w:val="000000"/>
                <w:sz w:val="18"/>
                <w:szCs w:val="18"/>
              </w:rPr>
              <w:t>Fair Value Hedging - Portfolio Layering Method</w:t>
            </w:r>
          </w:p>
          <w:p w14:paraId="2E0CA7F9" w14:textId="77777777" w:rsidR="00000000" w:rsidRDefault="00A173A8">
            <w:pPr>
              <w:spacing w:after="100"/>
              <w:divId w:val="1001811500"/>
              <w:rPr>
                <w:rFonts w:eastAsia="Times New Roman"/>
              </w:rPr>
            </w:pPr>
          </w:p>
          <w:p w14:paraId="3694D3F3" w14:textId="77777777" w:rsidR="00000000" w:rsidRDefault="00A173A8">
            <w:pPr>
              <w:spacing w:after="100"/>
              <w:divId w:val="1007757418"/>
              <w:rPr>
                <w:rFonts w:eastAsia="Times New Roman"/>
              </w:rPr>
            </w:pPr>
            <w:r>
              <w:rPr>
                <w:rFonts w:eastAsia="Times New Roman"/>
                <w:i/>
                <w:iCs/>
                <w:color w:val="000000"/>
                <w:sz w:val="18"/>
                <w:szCs w:val="18"/>
              </w:rPr>
              <w:t>Issued March 2022</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0693D89D"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70E9AF83" w14:textId="77777777" w:rsidR="00000000" w:rsidRDefault="00A173A8">
            <w:pPr>
              <w:spacing w:after="100"/>
              <w:rPr>
                <w:rFonts w:eastAsia="Times New Roman"/>
              </w:rPr>
            </w:pPr>
            <w:r>
              <w:rPr>
                <w:rFonts w:eastAsia="Times New Roman"/>
                <w:color w:val="000000"/>
                <w:sz w:val="18"/>
                <w:szCs w:val="18"/>
              </w:rPr>
              <w:t xml:space="preserve">The amendments in this ASU establish the portfolio-layer method which provides flexibility to achieve fair value hedge accounting for multiple hedged layers within a single closed portfolio of financial assets. </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4FFF226F"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14:paraId="09D8E142" w14:textId="77777777" w:rsidR="00000000" w:rsidRDefault="00A173A8">
            <w:pPr>
              <w:spacing w:after="100"/>
              <w:rPr>
                <w:rFonts w:eastAsia="Times New Roman"/>
              </w:rPr>
            </w:pPr>
            <w:r>
              <w:rPr>
                <w:rFonts w:eastAsia="Times New Roman"/>
                <w:color w:val="000000"/>
                <w:sz w:val="18"/>
                <w:szCs w:val="18"/>
              </w:rPr>
              <w:t xml:space="preserve">We adopted this guidance in the second </w:t>
            </w:r>
            <w:r>
              <w:rPr>
                <w:rFonts w:eastAsia="Times New Roman"/>
                <w:color w:val="000000"/>
                <w:sz w:val="18"/>
                <w:szCs w:val="18"/>
              </w:rPr>
              <w:t xml:space="preserve">quarter of 2022 using the prospective method of adoption. </w:t>
            </w:r>
            <w:r>
              <w:rPr>
                <w:rFonts w:eastAsia="Times New Roman"/>
                <w:color w:val="000000"/>
                <w:sz w:val="18"/>
                <w:szCs w:val="18"/>
              </w:rPr>
              <w:br/>
            </w:r>
            <w:r>
              <w:rPr>
                <w:rFonts w:eastAsia="Times New Roman"/>
                <w:sz w:val="18"/>
                <w:szCs w:val="18"/>
              </w:rPr>
              <w:br/>
            </w:r>
            <w:r>
              <w:rPr>
                <w:rFonts w:eastAsia="Times New Roman"/>
                <w:color w:val="000000"/>
                <w:sz w:val="18"/>
                <w:szCs w:val="18"/>
              </w:rPr>
              <w:t>Our adoption of this standard did not have an impact on our consolidated financial statements as any designation of portfolio layer method hedges would be applied prospectively.</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6582B7CB" w14:textId="77777777">
        <w:trPr>
          <w:jc w:val="center"/>
        </w:trPr>
        <w:tc>
          <w:tcPr>
            <w:tcW w:w="50" w:type="pct"/>
            <w:vAlign w:val="center"/>
            <w:hideMark/>
          </w:tcPr>
          <w:p w14:paraId="033CEDAC" w14:textId="77777777" w:rsidR="00000000" w:rsidRDefault="00A173A8">
            <w:pPr>
              <w:rPr>
                <w:rFonts w:eastAsia="Times New Roman"/>
              </w:rPr>
            </w:pPr>
          </w:p>
        </w:tc>
        <w:tc>
          <w:tcPr>
            <w:tcW w:w="1606" w:type="pct"/>
            <w:vAlign w:val="center"/>
            <w:hideMark/>
          </w:tcPr>
          <w:p w14:paraId="5376986E" w14:textId="77777777" w:rsidR="00000000" w:rsidRDefault="00A173A8">
            <w:pPr>
              <w:spacing w:after="100"/>
              <w:rPr>
                <w:rFonts w:eastAsia="Times New Roman"/>
                <w:sz w:val="20"/>
                <w:szCs w:val="20"/>
              </w:rPr>
            </w:pPr>
          </w:p>
        </w:tc>
        <w:tc>
          <w:tcPr>
            <w:tcW w:w="5" w:type="pct"/>
            <w:vAlign w:val="center"/>
            <w:hideMark/>
          </w:tcPr>
          <w:p w14:paraId="07C28F9B" w14:textId="77777777" w:rsidR="00000000" w:rsidRDefault="00A173A8">
            <w:pPr>
              <w:spacing w:after="100"/>
              <w:rPr>
                <w:rFonts w:eastAsia="Times New Roman"/>
                <w:sz w:val="20"/>
                <w:szCs w:val="20"/>
              </w:rPr>
            </w:pPr>
          </w:p>
        </w:tc>
        <w:tc>
          <w:tcPr>
            <w:tcW w:w="50" w:type="pct"/>
            <w:vAlign w:val="center"/>
            <w:hideMark/>
          </w:tcPr>
          <w:p w14:paraId="4E0BD70B" w14:textId="77777777" w:rsidR="00000000" w:rsidRDefault="00A173A8">
            <w:pPr>
              <w:spacing w:after="100"/>
              <w:rPr>
                <w:rFonts w:eastAsia="Times New Roman"/>
                <w:sz w:val="20"/>
                <w:szCs w:val="20"/>
              </w:rPr>
            </w:pPr>
          </w:p>
        </w:tc>
        <w:tc>
          <w:tcPr>
            <w:tcW w:w="1614" w:type="pct"/>
            <w:vAlign w:val="center"/>
            <w:hideMark/>
          </w:tcPr>
          <w:p w14:paraId="3745A181" w14:textId="77777777" w:rsidR="00000000" w:rsidRDefault="00A173A8">
            <w:pPr>
              <w:spacing w:after="100"/>
              <w:rPr>
                <w:rFonts w:eastAsia="Times New Roman"/>
                <w:sz w:val="20"/>
                <w:szCs w:val="20"/>
              </w:rPr>
            </w:pPr>
          </w:p>
        </w:tc>
        <w:tc>
          <w:tcPr>
            <w:tcW w:w="5" w:type="pct"/>
            <w:vAlign w:val="center"/>
            <w:hideMark/>
          </w:tcPr>
          <w:p w14:paraId="0551A9E8" w14:textId="77777777" w:rsidR="00000000" w:rsidRDefault="00A173A8">
            <w:pPr>
              <w:spacing w:after="100"/>
              <w:rPr>
                <w:rFonts w:eastAsia="Times New Roman"/>
                <w:sz w:val="20"/>
                <w:szCs w:val="20"/>
              </w:rPr>
            </w:pPr>
          </w:p>
        </w:tc>
        <w:tc>
          <w:tcPr>
            <w:tcW w:w="50" w:type="pct"/>
            <w:vAlign w:val="center"/>
            <w:hideMark/>
          </w:tcPr>
          <w:p w14:paraId="28EFED2B" w14:textId="77777777" w:rsidR="00000000" w:rsidRDefault="00A173A8">
            <w:pPr>
              <w:spacing w:after="100"/>
              <w:rPr>
                <w:rFonts w:eastAsia="Times New Roman"/>
                <w:sz w:val="20"/>
                <w:szCs w:val="20"/>
              </w:rPr>
            </w:pPr>
          </w:p>
        </w:tc>
        <w:tc>
          <w:tcPr>
            <w:tcW w:w="1614" w:type="pct"/>
            <w:vAlign w:val="center"/>
            <w:hideMark/>
          </w:tcPr>
          <w:p w14:paraId="176A53D4" w14:textId="77777777" w:rsidR="00000000" w:rsidRDefault="00A173A8">
            <w:pPr>
              <w:spacing w:after="100"/>
              <w:rPr>
                <w:rFonts w:eastAsia="Times New Roman"/>
                <w:sz w:val="20"/>
                <w:szCs w:val="20"/>
              </w:rPr>
            </w:pPr>
          </w:p>
        </w:tc>
        <w:tc>
          <w:tcPr>
            <w:tcW w:w="5" w:type="pct"/>
            <w:vAlign w:val="center"/>
            <w:hideMark/>
          </w:tcPr>
          <w:p w14:paraId="651EB13F" w14:textId="77777777" w:rsidR="00000000" w:rsidRDefault="00A173A8">
            <w:pPr>
              <w:spacing w:after="100"/>
              <w:rPr>
                <w:rFonts w:eastAsia="Times New Roman"/>
                <w:sz w:val="20"/>
                <w:szCs w:val="20"/>
              </w:rPr>
            </w:pPr>
          </w:p>
        </w:tc>
      </w:tr>
      <w:tr w:rsidR="00000000" w14:paraId="26E1091E" w14:textId="77777777">
        <w:trPr>
          <w:trHeight w:val="300"/>
          <w:jc w:val="center"/>
        </w:trPr>
        <w:tc>
          <w:tcPr>
            <w:tcW w:w="0" w:type="auto"/>
            <w:gridSpan w:val="9"/>
            <w:tcMar>
              <w:top w:w="0" w:type="dxa"/>
              <w:left w:w="20" w:type="dxa"/>
              <w:bottom w:w="0" w:type="dxa"/>
              <w:right w:w="20" w:type="dxa"/>
            </w:tcMar>
            <w:vAlign w:val="center"/>
            <w:hideMark/>
          </w:tcPr>
          <w:p w14:paraId="62D1D4E4" w14:textId="77777777" w:rsidR="00000000" w:rsidRDefault="00A173A8">
            <w:pPr>
              <w:spacing w:after="100"/>
              <w:rPr>
                <w:rFonts w:eastAsia="Times New Roman"/>
                <w:sz w:val="20"/>
                <w:szCs w:val="20"/>
              </w:rPr>
            </w:pPr>
          </w:p>
        </w:tc>
      </w:tr>
      <w:tr w:rsidR="00000000" w14:paraId="032E3B85" w14:textId="77777777">
        <w:trPr>
          <w:jc w:val="center"/>
        </w:trPr>
        <w:tc>
          <w:tcPr>
            <w:tcW w:w="0" w:type="auto"/>
            <w:gridSpan w:val="3"/>
            <w:tcMar>
              <w:top w:w="0" w:type="dxa"/>
              <w:left w:w="20" w:type="dxa"/>
              <w:bottom w:w="0" w:type="dxa"/>
              <w:right w:w="20" w:type="dxa"/>
            </w:tcMar>
            <w:vAlign w:val="center"/>
            <w:hideMark/>
          </w:tcPr>
          <w:p w14:paraId="22279905"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426157A" w14:textId="77777777" w:rsidR="00000000" w:rsidRDefault="00A173A8">
            <w:pPr>
              <w:spacing w:after="100"/>
              <w:jc w:val="center"/>
              <w:rPr>
                <w:rFonts w:eastAsia="Times New Roman"/>
              </w:rPr>
            </w:pPr>
            <w:r>
              <w:rPr>
                <w:rFonts w:eastAsia="Times New Roman"/>
                <w:color w:val="000000"/>
                <w:sz w:val="16"/>
                <w:szCs w:val="16"/>
              </w:rPr>
              <w:t>71</w:t>
            </w:r>
          </w:p>
        </w:tc>
        <w:tc>
          <w:tcPr>
            <w:tcW w:w="0" w:type="auto"/>
            <w:gridSpan w:val="3"/>
            <w:tcMar>
              <w:top w:w="30" w:type="dxa"/>
              <w:left w:w="20" w:type="dxa"/>
              <w:bottom w:w="30" w:type="dxa"/>
              <w:right w:w="20" w:type="dxa"/>
            </w:tcMar>
            <w:vAlign w:val="bottom"/>
            <w:hideMark/>
          </w:tcPr>
          <w:p w14:paraId="2412E02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FAE20C1" w14:textId="77777777" w:rsidR="00000000" w:rsidRDefault="00A173A8">
      <w:pPr>
        <w:rPr>
          <w:rFonts w:eastAsia="Times New Roman"/>
        </w:rPr>
      </w:pPr>
      <w:r>
        <w:rPr>
          <w:rFonts w:eastAsia="Times New Roman"/>
        </w:rPr>
        <w:pict w14:anchorId="6EAE51DE">
          <v:rect id="_x0000_i1096" style="width:0;height:1.5pt" o:hralign="center" o:hrstd="t" o:hr="t" fillcolor="#a0a0a0" stroked="f"/>
        </w:pict>
      </w:r>
    </w:p>
    <w:p w14:paraId="762B51DF" w14:textId="77777777" w:rsidR="00000000" w:rsidRDefault="00A173A8">
      <w:pPr>
        <w:jc w:val="both"/>
        <w:divId w:val="1410687359"/>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AB3B806" w14:textId="77777777">
        <w:trPr>
          <w:divId w:val="607202652"/>
        </w:trPr>
        <w:tc>
          <w:tcPr>
            <w:tcW w:w="50" w:type="pct"/>
            <w:vAlign w:val="center"/>
            <w:hideMark/>
          </w:tcPr>
          <w:p w14:paraId="76F0CCF9" w14:textId="77777777" w:rsidR="00000000" w:rsidRDefault="00A173A8">
            <w:pPr>
              <w:jc w:val="both"/>
              <w:rPr>
                <w:rFonts w:eastAsia="Times New Roman"/>
              </w:rPr>
            </w:pPr>
          </w:p>
        </w:tc>
        <w:tc>
          <w:tcPr>
            <w:tcW w:w="4945" w:type="pct"/>
            <w:vAlign w:val="center"/>
            <w:hideMark/>
          </w:tcPr>
          <w:p w14:paraId="0EF45B21" w14:textId="77777777" w:rsidR="00000000" w:rsidRDefault="00A173A8">
            <w:pPr>
              <w:spacing w:after="100"/>
              <w:rPr>
                <w:rFonts w:eastAsia="Times New Roman"/>
                <w:sz w:val="20"/>
                <w:szCs w:val="20"/>
              </w:rPr>
            </w:pPr>
          </w:p>
        </w:tc>
        <w:tc>
          <w:tcPr>
            <w:tcW w:w="5" w:type="pct"/>
            <w:vAlign w:val="center"/>
            <w:hideMark/>
          </w:tcPr>
          <w:p w14:paraId="4F58BF67" w14:textId="77777777" w:rsidR="00000000" w:rsidRDefault="00A173A8">
            <w:pPr>
              <w:spacing w:after="100"/>
              <w:rPr>
                <w:rFonts w:eastAsia="Times New Roman"/>
                <w:sz w:val="20"/>
                <w:szCs w:val="20"/>
              </w:rPr>
            </w:pPr>
          </w:p>
        </w:tc>
      </w:tr>
      <w:tr w:rsidR="00000000" w14:paraId="63807787" w14:textId="77777777">
        <w:trPr>
          <w:divId w:val="60720265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7BA77D57" w14:textId="77777777" w:rsidR="00000000" w:rsidRDefault="00A173A8">
            <w:pPr>
              <w:spacing w:after="100"/>
              <w:rPr>
                <w:rFonts w:eastAsia="Times New Roman"/>
              </w:rPr>
            </w:pPr>
            <w:r>
              <w:rPr>
                <w:rFonts w:eastAsia="Times New Roman"/>
                <w:b/>
                <w:bCs/>
                <w:color w:val="000000"/>
                <w:sz w:val="20"/>
                <w:szCs w:val="20"/>
              </w:rPr>
              <w:t>NOTE 2—INVESTMENT SECURITIES</w:t>
            </w:r>
          </w:p>
        </w:tc>
      </w:tr>
    </w:tbl>
    <w:p w14:paraId="527658DF" w14:textId="77777777" w:rsidR="00000000" w:rsidRDefault="00A173A8">
      <w:pPr>
        <w:jc w:val="both"/>
        <w:divId w:val="753673361"/>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commercial mortgage-backed securities (“CMBS”), U.S. Treasury se</w:t>
      </w:r>
      <w:r>
        <w:rPr>
          <w:rFonts w:eastAsia="Times New Roman"/>
          <w:color w:val="000000"/>
          <w:sz w:val="20"/>
          <w:szCs w:val="20"/>
        </w:rPr>
        <w:t>curities and other securities. Agency securities include Government National Mortgage Association (“Ginnie Mae”) guaranteed securities, Federal National Mortgage Association (“Fannie Mae”) and Federal Home Loan Mortgage Corporation (“Freddie Mac”) issued s</w:t>
      </w:r>
      <w:r>
        <w:rPr>
          <w:rFonts w:eastAsia="Times New Roman"/>
          <w:color w:val="000000"/>
          <w:sz w:val="20"/>
          <w:szCs w:val="20"/>
        </w:rPr>
        <w:t>ecurities. The carrying value of our investments in Agency and U.S. Treasury securities represented 97% and 96% of our total investment securities portfolio as of June 30, 2022 and December 31, 2021 respectively.</w:t>
      </w:r>
    </w:p>
    <w:p w14:paraId="213C5342" w14:textId="77777777" w:rsidR="00000000" w:rsidRDefault="00A173A8">
      <w:pPr>
        <w:jc w:val="both"/>
        <w:divId w:val="1696729253"/>
        <w:rPr>
          <w:rFonts w:eastAsia="Times New Roman"/>
        </w:rPr>
      </w:pPr>
      <w:r>
        <w:rPr>
          <w:rFonts w:eastAsia="Times New Roman"/>
          <w:color w:val="000000"/>
          <w:sz w:val="20"/>
          <w:szCs w:val="20"/>
        </w:rPr>
        <w:t>The table below presents the amortized cost</w:t>
      </w:r>
      <w:r>
        <w:rPr>
          <w:rFonts w:eastAsia="Times New Roman"/>
          <w:color w:val="000000"/>
          <w:sz w:val="20"/>
          <w:szCs w:val="20"/>
        </w:rPr>
        <w:t xml:space="preserve">, allowance for credit losses, gross unrealized gains and losses, and fair value aggregated by major security type as of June 30, 2022 and December 31, 2021. Accrued interest receivable of $204 million and $207 million as of June 30, 2022 and December 31, </w:t>
      </w:r>
      <w:r>
        <w:rPr>
          <w:rFonts w:eastAsia="Times New Roman"/>
          <w:color w:val="000000"/>
          <w:sz w:val="20"/>
          <w:szCs w:val="20"/>
        </w:rPr>
        <w:t>2021, respectively, is not included in the table below.</w:t>
      </w:r>
    </w:p>
    <w:p w14:paraId="2252C233" w14:textId="77777777" w:rsidR="00000000" w:rsidRDefault="00A173A8">
      <w:pPr>
        <w:divId w:val="944582267"/>
        <w:rPr>
          <w:rFonts w:eastAsia="Times New Roman"/>
        </w:rPr>
      </w:pPr>
      <w:r>
        <w:rPr>
          <w:rFonts w:eastAsia="Times New Roman"/>
          <w:b/>
          <w:bCs/>
          <w:color w:val="000000"/>
          <w:sz w:val="18"/>
          <w:szCs w:val="18"/>
        </w:rPr>
        <w:t xml:space="preserve">Table 2.1: Investment Securities Available for Sale </w:t>
      </w:r>
    </w:p>
    <w:tbl>
      <w:tblPr>
        <w:tblW w:w="4978" w:type="pct"/>
        <w:tblCellMar>
          <w:top w:w="15" w:type="dxa"/>
          <w:left w:w="15" w:type="dxa"/>
          <w:bottom w:w="15" w:type="dxa"/>
          <w:right w:w="15" w:type="dxa"/>
        </w:tblCellMar>
        <w:tblLook w:val="04A0" w:firstRow="1" w:lastRow="0" w:firstColumn="1" w:lastColumn="0" w:noHBand="0" w:noVBand="1"/>
      </w:tblPr>
      <w:tblGrid>
        <w:gridCol w:w="38"/>
        <w:gridCol w:w="3667"/>
        <w:gridCol w:w="37"/>
        <w:gridCol w:w="36"/>
        <w:gridCol w:w="36"/>
        <w:gridCol w:w="36"/>
        <w:gridCol w:w="111"/>
        <w:gridCol w:w="674"/>
        <w:gridCol w:w="36"/>
        <w:gridCol w:w="36"/>
        <w:gridCol w:w="36"/>
        <w:gridCol w:w="36"/>
        <w:gridCol w:w="111"/>
        <w:gridCol w:w="659"/>
        <w:gridCol w:w="36"/>
        <w:gridCol w:w="36"/>
        <w:gridCol w:w="36"/>
        <w:gridCol w:w="36"/>
        <w:gridCol w:w="111"/>
        <w:gridCol w:w="690"/>
        <w:gridCol w:w="36"/>
        <w:gridCol w:w="36"/>
        <w:gridCol w:w="36"/>
        <w:gridCol w:w="36"/>
        <w:gridCol w:w="111"/>
        <w:gridCol w:w="690"/>
        <w:gridCol w:w="36"/>
        <w:gridCol w:w="36"/>
        <w:gridCol w:w="36"/>
        <w:gridCol w:w="36"/>
        <w:gridCol w:w="110"/>
        <w:gridCol w:w="540"/>
        <w:gridCol w:w="36"/>
      </w:tblGrid>
      <w:tr w:rsidR="00000000" w14:paraId="5917735B" w14:textId="77777777">
        <w:trPr>
          <w:divId w:val="211695352"/>
        </w:trPr>
        <w:tc>
          <w:tcPr>
            <w:tcW w:w="50" w:type="pct"/>
            <w:vAlign w:val="center"/>
            <w:hideMark/>
          </w:tcPr>
          <w:p w14:paraId="5BF0F358" w14:textId="77777777" w:rsidR="00000000" w:rsidRDefault="00A173A8">
            <w:pPr>
              <w:rPr>
                <w:rFonts w:eastAsia="Times New Roman"/>
              </w:rPr>
            </w:pPr>
          </w:p>
        </w:tc>
        <w:tc>
          <w:tcPr>
            <w:tcW w:w="2522" w:type="pct"/>
            <w:vAlign w:val="center"/>
            <w:hideMark/>
          </w:tcPr>
          <w:p w14:paraId="45B4687C" w14:textId="77777777" w:rsidR="00000000" w:rsidRDefault="00A173A8">
            <w:pPr>
              <w:spacing w:after="100"/>
              <w:rPr>
                <w:rFonts w:eastAsia="Times New Roman"/>
                <w:sz w:val="20"/>
                <w:szCs w:val="20"/>
              </w:rPr>
            </w:pPr>
          </w:p>
        </w:tc>
        <w:tc>
          <w:tcPr>
            <w:tcW w:w="5" w:type="pct"/>
            <w:vAlign w:val="center"/>
            <w:hideMark/>
          </w:tcPr>
          <w:p w14:paraId="35193E01" w14:textId="77777777" w:rsidR="00000000" w:rsidRDefault="00A173A8">
            <w:pPr>
              <w:spacing w:after="100"/>
              <w:rPr>
                <w:rFonts w:eastAsia="Times New Roman"/>
                <w:sz w:val="20"/>
                <w:szCs w:val="20"/>
              </w:rPr>
            </w:pPr>
          </w:p>
        </w:tc>
        <w:tc>
          <w:tcPr>
            <w:tcW w:w="5" w:type="pct"/>
            <w:vAlign w:val="center"/>
            <w:hideMark/>
          </w:tcPr>
          <w:p w14:paraId="246C87DA" w14:textId="77777777" w:rsidR="00000000" w:rsidRDefault="00A173A8">
            <w:pPr>
              <w:spacing w:after="100"/>
              <w:rPr>
                <w:rFonts w:eastAsia="Times New Roman"/>
                <w:sz w:val="20"/>
                <w:szCs w:val="20"/>
              </w:rPr>
            </w:pPr>
          </w:p>
        </w:tc>
        <w:tc>
          <w:tcPr>
            <w:tcW w:w="26" w:type="pct"/>
            <w:vAlign w:val="center"/>
            <w:hideMark/>
          </w:tcPr>
          <w:p w14:paraId="72A487B7" w14:textId="77777777" w:rsidR="00000000" w:rsidRDefault="00A173A8">
            <w:pPr>
              <w:spacing w:after="100"/>
              <w:rPr>
                <w:rFonts w:eastAsia="Times New Roman"/>
                <w:sz w:val="20"/>
                <w:szCs w:val="20"/>
              </w:rPr>
            </w:pPr>
          </w:p>
        </w:tc>
        <w:tc>
          <w:tcPr>
            <w:tcW w:w="5" w:type="pct"/>
            <w:vAlign w:val="center"/>
            <w:hideMark/>
          </w:tcPr>
          <w:p w14:paraId="2CF7694C" w14:textId="77777777" w:rsidR="00000000" w:rsidRDefault="00A173A8">
            <w:pPr>
              <w:spacing w:after="100"/>
              <w:rPr>
                <w:rFonts w:eastAsia="Times New Roman"/>
                <w:sz w:val="20"/>
                <w:szCs w:val="20"/>
              </w:rPr>
            </w:pPr>
          </w:p>
        </w:tc>
        <w:tc>
          <w:tcPr>
            <w:tcW w:w="50" w:type="pct"/>
            <w:vAlign w:val="center"/>
            <w:hideMark/>
          </w:tcPr>
          <w:p w14:paraId="2A8F5F27" w14:textId="77777777" w:rsidR="00000000" w:rsidRDefault="00A173A8">
            <w:pPr>
              <w:spacing w:after="100"/>
              <w:rPr>
                <w:rFonts w:eastAsia="Times New Roman"/>
                <w:sz w:val="20"/>
                <w:szCs w:val="20"/>
              </w:rPr>
            </w:pPr>
          </w:p>
        </w:tc>
        <w:tc>
          <w:tcPr>
            <w:tcW w:w="392" w:type="pct"/>
            <w:vAlign w:val="center"/>
            <w:hideMark/>
          </w:tcPr>
          <w:p w14:paraId="59422D23" w14:textId="77777777" w:rsidR="00000000" w:rsidRDefault="00A173A8">
            <w:pPr>
              <w:spacing w:after="100"/>
              <w:rPr>
                <w:rFonts w:eastAsia="Times New Roman"/>
                <w:sz w:val="20"/>
                <w:szCs w:val="20"/>
              </w:rPr>
            </w:pPr>
          </w:p>
        </w:tc>
        <w:tc>
          <w:tcPr>
            <w:tcW w:w="5" w:type="pct"/>
            <w:vAlign w:val="center"/>
            <w:hideMark/>
          </w:tcPr>
          <w:p w14:paraId="5ACA8CFA" w14:textId="77777777" w:rsidR="00000000" w:rsidRDefault="00A173A8">
            <w:pPr>
              <w:spacing w:after="100"/>
              <w:rPr>
                <w:rFonts w:eastAsia="Times New Roman"/>
                <w:sz w:val="20"/>
                <w:szCs w:val="20"/>
              </w:rPr>
            </w:pPr>
          </w:p>
        </w:tc>
        <w:tc>
          <w:tcPr>
            <w:tcW w:w="5" w:type="pct"/>
            <w:vAlign w:val="center"/>
            <w:hideMark/>
          </w:tcPr>
          <w:p w14:paraId="278F36ED" w14:textId="77777777" w:rsidR="00000000" w:rsidRDefault="00A173A8">
            <w:pPr>
              <w:spacing w:after="100"/>
              <w:rPr>
                <w:rFonts w:eastAsia="Times New Roman"/>
                <w:sz w:val="20"/>
                <w:szCs w:val="20"/>
              </w:rPr>
            </w:pPr>
          </w:p>
        </w:tc>
        <w:tc>
          <w:tcPr>
            <w:tcW w:w="26" w:type="pct"/>
            <w:vAlign w:val="center"/>
            <w:hideMark/>
          </w:tcPr>
          <w:p w14:paraId="3C3AEF59" w14:textId="77777777" w:rsidR="00000000" w:rsidRDefault="00A173A8">
            <w:pPr>
              <w:spacing w:after="100"/>
              <w:rPr>
                <w:rFonts w:eastAsia="Times New Roman"/>
                <w:sz w:val="20"/>
                <w:szCs w:val="20"/>
              </w:rPr>
            </w:pPr>
          </w:p>
        </w:tc>
        <w:tc>
          <w:tcPr>
            <w:tcW w:w="5" w:type="pct"/>
            <w:vAlign w:val="center"/>
            <w:hideMark/>
          </w:tcPr>
          <w:p w14:paraId="3BFD0D96" w14:textId="77777777" w:rsidR="00000000" w:rsidRDefault="00A173A8">
            <w:pPr>
              <w:spacing w:after="100"/>
              <w:rPr>
                <w:rFonts w:eastAsia="Times New Roman"/>
                <w:sz w:val="20"/>
                <w:szCs w:val="20"/>
              </w:rPr>
            </w:pPr>
          </w:p>
        </w:tc>
        <w:tc>
          <w:tcPr>
            <w:tcW w:w="50" w:type="pct"/>
            <w:vAlign w:val="center"/>
            <w:hideMark/>
          </w:tcPr>
          <w:p w14:paraId="75FF0EAD" w14:textId="77777777" w:rsidR="00000000" w:rsidRDefault="00A173A8">
            <w:pPr>
              <w:spacing w:after="100"/>
              <w:rPr>
                <w:rFonts w:eastAsia="Times New Roman"/>
                <w:sz w:val="20"/>
                <w:szCs w:val="20"/>
              </w:rPr>
            </w:pPr>
          </w:p>
        </w:tc>
        <w:tc>
          <w:tcPr>
            <w:tcW w:w="392" w:type="pct"/>
            <w:vAlign w:val="center"/>
            <w:hideMark/>
          </w:tcPr>
          <w:p w14:paraId="54E30539" w14:textId="77777777" w:rsidR="00000000" w:rsidRDefault="00A173A8">
            <w:pPr>
              <w:spacing w:after="100"/>
              <w:rPr>
                <w:rFonts w:eastAsia="Times New Roman"/>
                <w:sz w:val="20"/>
                <w:szCs w:val="20"/>
              </w:rPr>
            </w:pPr>
          </w:p>
        </w:tc>
        <w:tc>
          <w:tcPr>
            <w:tcW w:w="5" w:type="pct"/>
            <w:vAlign w:val="center"/>
            <w:hideMark/>
          </w:tcPr>
          <w:p w14:paraId="244C37A5" w14:textId="77777777" w:rsidR="00000000" w:rsidRDefault="00A173A8">
            <w:pPr>
              <w:spacing w:after="100"/>
              <w:rPr>
                <w:rFonts w:eastAsia="Times New Roman"/>
                <w:sz w:val="20"/>
                <w:szCs w:val="20"/>
              </w:rPr>
            </w:pPr>
          </w:p>
        </w:tc>
        <w:tc>
          <w:tcPr>
            <w:tcW w:w="5" w:type="pct"/>
            <w:vAlign w:val="center"/>
            <w:hideMark/>
          </w:tcPr>
          <w:p w14:paraId="1AFF89EA" w14:textId="77777777" w:rsidR="00000000" w:rsidRDefault="00A173A8">
            <w:pPr>
              <w:spacing w:after="100"/>
              <w:rPr>
                <w:rFonts w:eastAsia="Times New Roman"/>
                <w:sz w:val="20"/>
                <w:szCs w:val="20"/>
              </w:rPr>
            </w:pPr>
          </w:p>
        </w:tc>
        <w:tc>
          <w:tcPr>
            <w:tcW w:w="26" w:type="pct"/>
            <w:vAlign w:val="center"/>
            <w:hideMark/>
          </w:tcPr>
          <w:p w14:paraId="585A88BC" w14:textId="77777777" w:rsidR="00000000" w:rsidRDefault="00A173A8">
            <w:pPr>
              <w:spacing w:after="100"/>
              <w:rPr>
                <w:rFonts w:eastAsia="Times New Roman"/>
                <w:sz w:val="20"/>
                <w:szCs w:val="20"/>
              </w:rPr>
            </w:pPr>
          </w:p>
        </w:tc>
        <w:tc>
          <w:tcPr>
            <w:tcW w:w="5" w:type="pct"/>
            <w:vAlign w:val="center"/>
            <w:hideMark/>
          </w:tcPr>
          <w:p w14:paraId="243C6D04" w14:textId="77777777" w:rsidR="00000000" w:rsidRDefault="00A173A8">
            <w:pPr>
              <w:spacing w:after="100"/>
              <w:rPr>
                <w:rFonts w:eastAsia="Times New Roman"/>
                <w:sz w:val="20"/>
                <w:szCs w:val="20"/>
              </w:rPr>
            </w:pPr>
          </w:p>
        </w:tc>
        <w:tc>
          <w:tcPr>
            <w:tcW w:w="50" w:type="pct"/>
            <w:vAlign w:val="center"/>
            <w:hideMark/>
          </w:tcPr>
          <w:p w14:paraId="3D2EE854" w14:textId="77777777" w:rsidR="00000000" w:rsidRDefault="00A173A8">
            <w:pPr>
              <w:spacing w:after="100"/>
              <w:rPr>
                <w:rFonts w:eastAsia="Times New Roman"/>
                <w:sz w:val="20"/>
                <w:szCs w:val="20"/>
              </w:rPr>
            </w:pPr>
          </w:p>
        </w:tc>
        <w:tc>
          <w:tcPr>
            <w:tcW w:w="392" w:type="pct"/>
            <w:vAlign w:val="center"/>
            <w:hideMark/>
          </w:tcPr>
          <w:p w14:paraId="4B93A8FE" w14:textId="77777777" w:rsidR="00000000" w:rsidRDefault="00A173A8">
            <w:pPr>
              <w:spacing w:after="100"/>
              <w:rPr>
                <w:rFonts w:eastAsia="Times New Roman"/>
                <w:sz w:val="20"/>
                <w:szCs w:val="20"/>
              </w:rPr>
            </w:pPr>
          </w:p>
        </w:tc>
        <w:tc>
          <w:tcPr>
            <w:tcW w:w="5" w:type="pct"/>
            <w:vAlign w:val="center"/>
            <w:hideMark/>
          </w:tcPr>
          <w:p w14:paraId="7AC7073D" w14:textId="77777777" w:rsidR="00000000" w:rsidRDefault="00A173A8">
            <w:pPr>
              <w:spacing w:after="100"/>
              <w:rPr>
                <w:rFonts w:eastAsia="Times New Roman"/>
                <w:sz w:val="20"/>
                <w:szCs w:val="20"/>
              </w:rPr>
            </w:pPr>
          </w:p>
        </w:tc>
        <w:tc>
          <w:tcPr>
            <w:tcW w:w="5" w:type="pct"/>
            <w:vAlign w:val="center"/>
            <w:hideMark/>
          </w:tcPr>
          <w:p w14:paraId="406DAFBD" w14:textId="77777777" w:rsidR="00000000" w:rsidRDefault="00A173A8">
            <w:pPr>
              <w:spacing w:after="100"/>
              <w:rPr>
                <w:rFonts w:eastAsia="Times New Roman"/>
                <w:sz w:val="20"/>
                <w:szCs w:val="20"/>
              </w:rPr>
            </w:pPr>
          </w:p>
        </w:tc>
        <w:tc>
          <w:tcPr>
            <w:tcW w:w="26" w:type="pct"/>
            <w:vAlign w:val="center"/>
            <w:hideMark/>
          </w:tcPr>
          <w:p w14:paraId="4AFBB3CF" w14:textId="77777777" w:rsidR="00000000" w:rsidRDefault="00A173A8">
            <w:pPr>
              <w:spacing w:after="100"/>
              <w:rPr>
                <w:rFonts w:eastAsia="Times New Roman"/>
                <w:sz w:val="20"/>
                <w:szCs w:val="20"/>
              </w:rPr>
            </w:pPr>
          </w:p>
        </w:tc>
        <w:tc>
          <w:tcPr>
            <w:tcW w:w="5" w:type="pct"/>
            <w:vAlign w:val="center"/>
            <w:hideMark/>
          </w:tcPr>
          <w:p w14:paraId="352DF759" w14:textId="77777777" w:rsidR="00000000" w:rsidRDefault="00A173A8">
            <w:pPr>
              <w:spacing w:after="100"/>
              <w:rPr>
                <w:rFonts w:eastAsia="Times New Roman"/>
                <w:sz w:val="20"/>
                <w:szCs w:val="20"/>
              </w:rPr>
            </w:pPr>
          </w:p>
        </w:tc>
        <w:tc>
          <w:tcPr>
            <w:tcW w:w="50" w:type="pct"/>
            <w:vAlign w:val="center"/>
            <w:hideMark/>
          </w:tcPr>
          <w:p w14:paraId="3F76E16E" w14:textId="77777777" w:rsidR="00000000" w:rsidRDefault="00A173A8">
            <w:pPr>
              <w:spacing w:after="100"/>
              <w:rPr>
                <w:rFonts w:eastAsia="Times New Roman"/>
                <w:sz w:val="20"/>
                <w:szCs w:val="20"/>
              </w:rPr>
            </w:pPr>
          </w:p>
        </w:tc>
        <w:tc>
          <w:tcPr>
            <w:tcW w:w="392" w:type="pct"/>
            <w:vAlign w:val="center"/>
            <w:hideMark/>
          </w:tcPr>
          <w:p w14:paraId="4EB31978" w14:textId="77777777" w:rsidR="00000000" w:rsidRDefault="00A173A8">
            <w:pPr>
              <w:spacing w:after="100"/>
              <w:rPr>
                <w:rFonts w:eastAsia="Times New Roman"/>
                <w:sz w:val="20"/>
                <w:szCs w:val="20"/>
              </w:rPr>
            </w:pPr>
          </w:p>
        </w:tc>
        <w:tc>
          <w:tcPr>
            <w:tcW w:w="5" w:type="pct"/>
            <w:vAlign w:val="center"/>
            <w:hideMark/>
          </w:tcPr>
          <w:p w14:paraId="47E4E8A2" w14:textId="77777777" w:rsidR="00000000" w:rsidRDefault="00A173A8">
            <w:pPr>
              <w:spacing w:after="100"/>
              <w:rPr>
                <w:rFonts w:eastAsia="Times New Roman"/>
                <w:sz w:val="20"/>
                <w:szCs w:val="20"/>
              </w:rPr>
            </w:pPr>
          </w:p>
        </w:tc>
        <w:tc>
          <w:tcPr>
            <w:tcW w:w="5" w:type="pct"/>
            <w:vAlign w:val="center"/>
            <w:hideMark/>
          </w:tcPr>
          <w:p w14:paraId="33BD791A" w14:textId="77777777" w:rsidR="00000000" w:rsidRDefault="00A173A8">
            <w:pPr>
              <w:spacing w:after="100"/>
              <w:rPr>
                <w:rFonts w:eastAsia="Times New Roman"/>
                <w:sz w:val="20"/>
                <w:szCs w:val="20"/>
              </w:rPr>
            </w:pPr>
          </w:p>
        </w:tc>
        <w:tc>
          <w:tcPr>
            <w:tcW w:w="26" w:type="pct"/>
            <w:vAlign w:val="center"/>
            <w:hideMark/>
          </w:tcPr>
          <w:p w14:paraId="06DBA3A7" w14:textId="77777777" w:rsidR="00000000" w:rsidRDefault="00A173A8">
            <w:pPr>
              <w:spacing w:after="100"/>
              <w:rPr>
                <w:rFonts w:eastAsia="Times New Roman"/>
                <w:sz w:val="20"/>
                <w:szCs w:val="20"/>
              </w:rPr>
            </w:pPr>
          </w:p>
        </w:tc>
        <w:tc>
          <w:tcPr>
            <w:tcW w:w="5" w:type="pct"/>
            <w:vAlign w:val="center"/>
            <w:hideMark/>
          </w:tcPr>
          <w:p w14:paraId="332202E7" w14:textId="77777777" w:rsidR="00000000" w:rsidRDefault="00A173A8">
            <w:pPr>
              <w:spacing w:after="100"/>
              <w:rPr>
                <w:rFonts w:eastAsia="Times New Roman"/>
                <w:sz w:val="20"/>
                <w:szCs w:val="20"/>
              </w:rPr>
            </w:pPr>
          </w:p>
        </w:tc>
        <w:tc>
          <w:tcPr>
            <w:tcW w:w="50" w:type="pct"/>
            <w:vAlign w:val="center"/>
            <w:hideMark/>
          </w:tcPr>
          <w:p w14:paraId="3AD62B77" w14:textId="77777777" w:rsidR="00000000" w:rsidRDefault="00A173A8">
            <w:pPr>
              <w:spacing w:after="100"/>
              <w:rPr>
                <w:rFonts w:eastAsia="Times New Roman"/>
                <w:sz w:val="20"/>
                <w:szCs w:val="20"/>
              </w:rPr>
            </w:pPr>
          </w:p>
        </w:tc>
        <w:tc>
          <w:tcPr>
            <w:tcW w:w="393" w:type="pct"/>
            <w:vAlign w:val="center"/>
            <w:hideMark/>
          </w:tcPr>
          <w:p w14:paraId="454E3C03" w14:textId="77777777" w:rsidR="00000000" w:rsidRDefault="00A173A8">
            <w:pPr>
              <w:spacing w:after="100"/>
              <w:rPr>
                <w:rFonts w:eastAsia="Times New Roman"/>
                <w:sz w:val="20"/>
                <w:szCs w:val="20"/>
              </w:rPr>
            </w:pPr>
          </w:p>
        </w:tc>
        <w:tc>
          <w:tcPr>
            <w:tcW w:w="5" w:type="pct"/>
            <w:vAlign w:val="center"/>
            <w:hideMark/>
          </w:tcPr>
          <w:p w14:paraId="65611960" w14:textId="77777777" w:rsidR="00000000" w:rsidRDefault="00A173A8">
            <w:pPr>
              <w:spacing w:after="100"/>
              <w:rPr>
                <w:rFonts w:eastAsia="Times New Roman"/>
                <w:sz w:val="20"/>
                <w:szCs w:val="20"/>
              </w:rPr>
            </w:pPr>
          </w:p>
        </w:tc>
      </w:tr>
      <w:tr w:rsidR="00000000" w14:paraId="18BE2299" w14:textId="77777777">
        <w:trPr>
          <w:divId w:val="211695352"/>
        </w:trPr>
        <w:tc>
          <w:tcPr>
            <w:tcW w:w="0" w:type="auto"/>
            <w:gridSpan w:val="3"/>
            <w:tcMar>
              <w:top w:w="0" w:type="dxa"/>
              <w:left w:w="20" w:type="dxa"/>
              <w:bottom w:w="0" w:type="dxa"/>
              <w:right w:w="20" w:type="dxa"/>
            </w:tcMar>
            <w:vAlign w:val="center"/>
            <w:hideMark/>
          </w:tcPr>
          <w:p w14:paraId="73B1511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808976"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226775F" w14:textId="77777777" w:rsidR="00000000" w:rsidRDefault="00A173A8">
            <w:pPr>
              <w:spacing w:after="100"/>
              <w:jc w:val="center"/>
              <w:rPr>
                <w:rFonts w:eastAsia="Times New Roman"/>
              </w:rPr>
            </w:pPr>
            <w:r>
              <w:rPr>
                <w:rFonts w:eastAsia="Times New Roman"/>
                <w:b/>
                <w:bCs/>
                <w:color w:val="000000"/>
                <w:sz w:val="16"/>
                <w:szCs w:val="16"/>
              </w:rPr>
              <w:t>June 30, 2022</w:t>
            </w:r>
          </w:p>
        </w:tc>
      </w:tr>
      <w:tr w:rsidR="00000000" w14:paraId="5E589B27" w14:textId="77777777">
        <w:trPr>
          <w:divId w:val="211695352"/>
        </w:trPr>
        <w:tc>
          <w:tcPr>
            <w:tcW w:w="0" w:type="auto"/>
            <w:gridSpan w:val="3"/>
            <w:tcBorders>
              <w:bottom w:val="single" w:sz="8" w:space="0" w:color="000000"/>
            </w:tcBorders>
            <w:tcMar>
              <w:top w:w="30" w:type="dxa"/>
              <w:left w:w="20" w:type="dxa"/>
              <w:bottom w:w="30" w:type="dxa"/>
              <w:right w:w="20" w:type="dxa"/>
            </w:tcMar>
            <w:vAlign w:val="bottom"/>
            <w:hideMark/>
          </w:tcPr>
          <w:p w14:paraId="51420C11"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DD5D9C4"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101C21" w14:textId="77777777" w:rsidR="00000000" w:rsidRDefault="00A173A8">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4513F56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9BB55D4" w14:textId="77777777" w:rsidR="00000000" w:rsidRDefault="00A173A8">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w:t>
            </w:r>
            <w:r>
              <w:rPr>
                <w:rFonts w:eastAsia="Times New Roman"/>
                <w:b/>
                <w:bCs/>
                <w:color w:val="000000"/>
                <w:sz w:val="16"/>
                <w:szCs w:val="16"/>
              </w:rPr>
              <w:t>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14:paraId="12D869D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360AC41" w14:textId="77777777" w:rsidR="00000000" w:rsidRDefault="00A173A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14:paraId="7EBD02F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427B744" w14:textId="77777777" w:rsidR="00000000" w:rsidRDefault="00A173A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14:paraId="72AE772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1E1000" w14:textId="77777777" w:rsidR="00000000" w:rsidRDefault="00A173A8">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14:paraId="51F01E84" w14:textId="77777777">
        <w:trPr>
          <w:divId w:val="21169535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8450821" w14:textId="77777777" w:rsidR="00000000" w:rsidRDefault="00A173A8">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14:paraId="5B558F1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601D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4793E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01DB7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4D0FD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657A2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0C1C3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A308A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8EC72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7A1122" w14:textId="77777777" w:rsidR="00000000" w:rsidRDefault="00A173A8">
            <w:pPr>
              <w:spacing w:after="100"/>
              <w:rPr>
                <w:rFonts w:eastAsia="Times New Roman"/>
                <w:sz w:val="20"/>
                <w:szCs w:val="20"/>
              </w:rPr>
            </w:pPr>
          </w:p>
        </w:tc>
      </w:tr>
      <w:tr w:rsidR="00000000" w14:paraId="1695984F" w14:textId="77777777">
        <w:trPr>
          <w:divId w:val="211695352"/>
        </w:trPr>
        <w:tc>
          <w:tcPr>
            <w:tcW w:w="0" w:type="auto"/>
            <w:gridSpan w:val="3"/>
            <w:shd w:val="clear" w:color="auto" w:fill="FFFFFF"/>
            <w:tcMar>
              <w:top w:w="30" w:type="dxa"/>
              <w:left w:w="20" w:type="dxa"/>
              <w:bottom w:w="30" w:type="dxa"/>
              <w:right w:w="20" w:type="dxa"/>
            </w:tcMar>
            <w:vAlign w:val="center"/>
            <w:hideMark/>
          </w:tcPr>
          <w:p w14:paraId="03CF8DA4" w14:textId="77777777" w:rsidR="00000000" w:rsidRDefault="00A173A8">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4C797E5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BF04DBB"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CE2EA61" w14:textId="77777777" w:rsidR="00000000" w:rsidRDefault="00A173A8">
            <w:pPr>
              <w:spacing w:after="100"/>
              <w:jc w:val="right"/>
              <w:rPr>
                <w:rFonts w:eastAsia="Times New Roman"/>
              </w:rPr>
            </w:pPr>
            <w:r>
              <w:rPr>
                <w:rFonts w:eastAsia="Times New Roman"/>
                <w:b/>
                <w:bCs/>
                <w:color w:val="000000"/>
                <w:sz w:val="18"/>
                <w:szCs w:val="18"/>
              </w:rPr>
              <w:t>8,664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4677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DE27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6C57AC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103B05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591764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72D51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8648FCB"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4ED3571"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27E9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9593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4215E0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F2085AA" w14:textId="77777777" w:rsidR="00000000" w:rsidRDefault="00A173A8">
            <w:pPr>
              <w:spacing w:after="100"/>
              <w:jc w:val="right"/>
              <w:rPr>
                <w:rFonts w:eastAsia="Times New Roman"/>
              </w:rPr>
            </w:pPr>
            <w:r>
              <w:rPr>
                <w:rFonts w:eastAsia="Times New Roman"/>
                <w:b/>
                <w:bCs/>
                <w:color w:val="000000"/>
                <w:sz w:val="18"/>
                <w:szCs w:val="18"/>
              </w:rPr>
              <w:t>(44)</w:t>
            </w:r>
          </w:p>
        </w:tc>
        <w:tc>
          <w:tcPr>
            <w:tcW w:w="0" w:type="auto"/>
            <w:shd w:val="clear" w:color="auto" w:fill="FFFFFF"/>
            <w:tcMar>
              <w:top w:w="30" w:type="dxa"/>
              <w:left w:w="0" w:type="dxa"/>
              <w:bottom w:w="30" w:type="dxa"/>
              <w:right w:w="20" w:type="dxa"/>
            </w:tcMar>
            <w:vAlign w:val="center"/>
            <w:hideMark/>
          </w:tcPr>
          <w:p w14:paraId="6DB485C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7DE86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649BD0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5E51720" w14:textId="77777777" w:rsidR="00000000" w:rsidRDefault="00A173A8">
            <w:pPr>
              <w:spacing w:after="100"/>
              <w:jc w:val="right"/>
              <w:rPr>
                <w:rFonts w:eastAsia="Times New Roman"/>
              </w:rPr>
            </w:pPr>
            <w:r>
              <w:rPr>
                <w:rFonts w:eastAsia="Times New Roman"/>
                <w:b/>
                <w:bCs/>
                <w:color w:val="000000"/>
                <w:sz w:val="18"/>
                <w:szCs w:val="18"/>
              </w:rPr>
              <w:t>8,624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0B4E3D7" w14:textId="77777777" w:rsidR="00000000" w:rsidRDefault="00A173A8">
            <w:pPr>
              <w:spacing w:after="100"/>
              <w:jc w:val="right"/>
              <w:rPr>
                <w:rFonts w:eastAsia="Times New Roman"/>
              </w:rPr>
            </w:pPr>
          </w:p>
        </w:tc>
      </w:tr>
      <w:tr w:rsidR="00000000" w14:paraId="682B1207" w14:textId="77777777">
        <w:trPr>
          <w:divId w:val="211695352"/>
        </w:trPr>
        <w:tc>
          <w:tcPr>
            <w:tcW w:w="0" w:type="auto"/>
            <w:gridSpan w:val="3"/>
            <w:shd w:val="clear" w:color="auto" w:fill="CCEEFF"/>
            <w:tcMar>
              <w:top w:w="30" w:type="dxa"/>
              <w:left w:w="20" w:type="dxa"/>
              <w:bottom w:w="30" w:type="dxa"/>
              <w:right w:w="20" w:type="dxa"/>
            </w:tcMar>
            <w:vAlign w:val="center"/>
            <w:hideMark/>
          </w:tcPr>
          <w:p w14:paraId="0400C314"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14:paraId="2C488878"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831E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8EF0E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BD08D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09E78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04907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28194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5D802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0ADC3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B02293" w14:textId="77777777" w:rsidR="00000000" w:rsidRDefault="00A173A8">
            <w:pPr>
              <w:spacing w:after="100"/>
              <w:rPr>
                <w:rFonts w:eastAsia="Times New Roman"/>
                <w:sz w:val="20"/>
                <w:szCs w:val="20"/>
              </w:rPr>
            </w:pPr>
          </w:p>
        </w:tc>
      </w:tr>
      <w:tr w:rsidR="00000000" w14:paraId="331DB719" w14:textId="77777777">
        <w:trPr>
          <w:divId w:val="211695352"/>
        </w:trPr>
        <w:tc>
          <w:tcPr>
            <w:tcW w:w="0" w:type="auto"/>
            <w:gridSpan w:val="3"/>
            <w:shd w:val="clear" w:color="auto" w:fill="FFFFFF"/>
            <w:tcMar>
              <w:top w:w="30" w:type="dxa"/>
              <w:left w:w="245" w:type="dxa"/>
              <w:bottom w:w="30" w:type="dxa"/>
              <w:right w:w="20" w:type="dxa"/>
            </w:tcMar>
            <w:vAlign w:val="center"/>
            <w:hideMark/>
          </w:tcPr>
          <w:p w14:paraId="575F9253" w14:textId="77777777" w:rsidR="00000000" w:rsidRDefault="00A173A8">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087D56B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73844A" w14:textId="77777777" w:rsidR="00000000" w:rsidRDefault="00A173A8">
            <w:pPr>
              <w:spacing w:after="100"/>
              <w:jc w:val="right"/>
              <w:rPr>
                <w:rFonts w:eastAsia="Times New Roman"/>
              </w:rPr>
            </w:pPr>
            <w:r>
              <w:rPr>
                <w:rFonts w:eastAsia="Times New Roman"/>
                <w:b/>
                <w:bCs/>
                <w:color w:val="000000"/>
                <w:sz w:val="18"/>
                <w:szCs w:val="18"/>
              </w:rPr>
              <w:t>71,215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9A6E95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396D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CF5C5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616A7C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2FB89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CA3CC4" w14:textId="77777777" w:rsidR="00000000" w:rsidRDefault="00A173A8">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48A345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6173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B56243" w14:textId="77777777" w:rsidR="00000000" w:rsidRDefault="00A173A8">
            <w:pPr>
              <w:spacing w:after="100"/>
              <w:jc w:val="right"/>
              <w:rPr>
                <w:rFonts w:eastAsia="Times New Roman"/>
              </w:rPr>
            </w:pPr>
            <w:r>
              <w:rPr>
                <w:rFonts w:eastAsia="Times New Roman"/>
                <w:b/>
                <w:bCs/>
                <w:color w:val="000000"/>
                <w:sz w:val="18"/>
                <w:szCs w:val="18"/>
              </w:rPr>
              <w:t>(6,603)</w:t>
            </w:r>
          </w:p>
        </w:tc>
        <w:tc>
          <w:tcPr>
            <w:tcW w:w="0" w:type="auto"/>
            <w:shd w:val="clear" w:color="auto" w:fill="FFFFFF"/>
            <w:tcMar>
              <w:top w:w="30" w:type="dxa"/>
              <w:left w:w="0" w:type="dxa"/>
              <w:bottom w:w="30" w:type="dxa"/>
              <w:right w:w="20" w:type="dxa"/>
            </w:tcMar>
            <w:vAlign w:val="center"/>
            <w:hideMark/>
          </w:tcPr>
          <w:p w14:paraId="0A87708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553E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A14CE4" w14:textId="77777777" w:rsidR="00000000" w:rsidRDefault="00A173A8">
            <w:pPr>
              <w:spacing w:after="100"/>
              <w:jc w:val="right"/>
              <w:rPr>
                <w:rFonts w:eastAsia="Times New Roman"/>
              </w:rPr>
            </w:pPr>
            <w:r>
              <w:rPr>
                <w:rFonts w:eastAsia="Times New Roman"/>
                <w:b/>
                <w:bCs/>
                <w:color w:val="000000"/>
                <w:sz w:val="18"/>
                <w:szCs w:val="18"/>
              </w:rPr>
              <w:t>64,705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50F9D99" w14:textId="77777777" w:rsidR="00000000" w:rsidRDefault="00A173A8">
            <w:pPr>
              <w:spacing w:after="100"/>
              <w:jc w:val="right"/>
              <w:rPr>
                <w:rFonts w:eastAsia="Times New Roman"/>
              </w:rPr>
            </w:pPr>
          </w:p>
        </w:tc>
      </w:tr>
      <w:tr w:rsidR="00000000" w14:paraId="24A0AE5F" w14:textId="77777777">
        <w:trPr>
          <w:divId w:val="211695352"/>
        </w:trPr>
        <w:tc>
          <w:tcPr>
            <w:tcW w:w="0" w:type="auto"/>
            <w:gridSpan w:val="3"/>
            <w:shd w:val="clear" w:color="auto" w:fill="CCEEFF"/>
            <w:tcMar>
              <w:top w:w="30" w:type="dxa"/>
              <w:left w:w="245" w:type="dxa"/>
              <w:bottom w:w="30" w:type="dxa"/>
              <w:right w:w="20" w:type="dxa"/>
            </w:tcMar>
            <w:vAlign w:val="center"/>
            <w:hideMark/>
          </w:tcPr>
          <w:p w14:paraId="1605FC9F" w14:textId="77777777" w:rsidR="00000000" w:rsidRDefault="00A173A8">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7EB91EA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ED8C92D" w14:textId="77777777" w:rsidR="00000000" w:rsidRDefault="00A173A8">
            <w:pPr>
              <w:spacing w:after="100"/>
              <w:jc w:val="right"/>
              <w:rPr>
                <w:rFonts w:eastAsia="Times New Roman"/>
              </w:rPr>
            </w:pPr>
            <w:r>
              <w:rPr>
                <w:rFonts w:eastAsia="Times New Roman"/>
                <w:b/>
                <w:bCs/>
                <w:color w:val="000000"/>
                <w:sz w:val="18"/>
                <w:szCs w:val="18"/>
              </w:rPr>
              <w:t>687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DAA904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EA25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574285" w14:textId="77777777" w:rsidR="00000000" w:rsidRDefault="00A173A8">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center"/>
            <w:hideMark/>
          </w:tcPr>
          <w:p w14:paraId="2C9FAA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9133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4266F0" w14:textId="77777777" w:rsidR="00000000" w:rsidRDefault="00A173A8">
            <w:pPr>
              <w:spacing w:after="100"/>
              <w:jc w:val="right"/>
              <w:rPr>
                <w:rFonts w:eastAsia="Times New Roman"/>
              </w:rPr>
            </w:pPr>
            <w:r>
              <w:rPr>
                <w:rFonts w:eastAsia="Times New Roman"/>
                <w:b/>
                <w:bCs/>
                <w:color w:val="000000"/>
                <w:sz w:val="18"/>
                <w:szCs w:val="18"/>
              </w:rPr>
              <w:t>140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673F6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5396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8673AB1" w14:textId="77777777" w:rsidR="00000000" w:rsidRDefault="00A173A8">
            <w:pPr>
              <w:spacing w:after="100"/>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14:paraId="2B438D3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C521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3511AA" w14:textId="77777777" w:rsidR="00000000" w:rsidRDefault="00A173A8">
            <w:pPr>
              <w:spacing w:after="100"/>
              <w:jc w:val="right"/>
              <w:rPr>
                <w:rFonts w:eastAsia="Times New Roman"/>
              </w:rPr>
            </w:pPr>
            <w:r>
              <w:rPr>
                <w:rFonts w:eastAsia="Times New Roman"/>
                <w:b/>
                <w:bCs/>
                <w:color w:val="000000"/>
                <w:sz w:val="18"/>
                <w:szCs w:val="18"/>
              </w:rPr>
              <w:t>822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9F3AF80" w14:textId="77777777" w:rsidR="00000000" w:rsidRDefault="00A173A8">
            <w:pPr>
              <w:spacing w:after="100"/>
              <w:jc w:val="right"/>
              <w:rPr>
                <w:rFonts w:eastAsia="Times New Roman"/>
              </w:rPr>
            </w:pPr>
          </w:p>
        </w:tc>
      </w:tr>
      <w:tr w:rsidR="00000000" w14:paraId="12DBA064" w14:textId="77777777">
        <w:trPr>
          <w:divId w:val="211695352"/>
        </w:trPr>
        <w:tc>
          <w:tcPr>
            <w:tcW w:w="0" w:type="auto"/>
            <w:gridSpan w:val="3"/>
            <w:shd w:val="clear" w:color="auto" w:fill="FFFFFF"/>
            <w:tcMar>
              <w:top w:w="30" w:type="dxa"/>
              <w:left w:w="20" w:type="dxa"/>
              <w:bottom w:w="30" w:type="dxa"/>
              <w:right w:w="20" w:type="dxa"/>
            </w:tcMar>
            <w:vAlign w:val="center"/>
            <w:hideMark/>
          </w:tcPr>
          <w:p w14:paraId="434E496E" w14:textId="77777777" w:rsidR="00000000" w:rsidRDefault="00A173A8">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2D63CF6A"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918CFCD" w14:textId="77777777" w:rsidR="00000000" w:rsidRDefault="00A173A8">
            <w:pPr>
              <w:spacing w:after="100"/>
              <w:jc w:val="right"/>
              <w:rPr>
                <w:rFonts w:eastAsia="Times New Roman"/>
              </w:rPr>
            </w:pPr>
            <w:r>
              <w:rPr>
                <w:rFonts w:eastAsia="Times New Roman"/>
                <w:b/>
                <w:bCs/>
                <w:color w:val="000000"/>
                <w:sz w:val="18"/>
                <w:szCs w:val="18"/>
              </w:rPr>
              <w:t>71,902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7E8D1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80AC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4828AF9" w14:textId="77777777" w:rsidR="00000000" w:rsidRDefault="00A173A8">
            <w:pPr>
              <w:spacing w:after="100"/>
              <w:jc w:val="right"/>
              <w:rPr>
                <w:rFonts w:eastAsia="Times New Roman"/>
              </w:rPr>
            </w:pPr>
            <w:r>
              <w:rPr>
                <w:rFonts w:eastAsia="Times New Roman"/>
                <w:b/>
                <w:bCs/>
                <w:color w:val="000000"/>
                <w:sz w:val="18"/>
                <w:szCs w:val="18"/>
              </w:rPr>
              <w:t>(3)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1A570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88DEC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DD7B6FD" w14:textId="77777777" w:rsidR="00000000" w:rsidRDefault="00A173A8">
            <w:pPr>
              <w:spacing w:after="100"/>
              <w:jc w:val="right"/>
              <w:rPr>
                <w:rFonts w:eastAsia="Times New Roman"/>
              </w:rPr>
            </w:pPr>
            <w:r>
              <w:rPr>
                <w:rFonts w:eastAsia="Times New Roman"/>
                <w:b/>
                <w:bCs/>
                <w:color w:val="000000"/>
                <w:sz w:val="18"/>
                <w:szCs w:val="18"/>
              </w:rPr>
              <w:t>233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93C5F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DE46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D0172F" w14:textId="77777777" w:rsidR="00000000" w:rsidRDefault="00A173A8">
            <w:pPr>
              <w:spacing w:after="100"/>
              <w:jc w:val="right"/>
              <w:rPr>
                <w:rFonts w:eastAsia="Times New Roman"/>
              </w:rPr>
            </w:pPr>
            <w:r>
              <w:rPr>
                <w:rFonts w:eastAsia="Times New Roman"/>
                <w:b/>
                <w:bCs/>
                <w:color w:val="000000"/>
                <w:sz w:val="18"/>
                <w:szCs w:val="18"/>
              </w:rPr>
              <w:t>(6,605)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16694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17E5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E9B131" w14:textId="77777777" w:rsidR="00000000" w:rsidRDefault="00A173A8">
            <w:pPr>
              <w:spacing w:after="100"/>
              <w:jc w:val="right"/>
              <w:rPr>
                <w:rFonts w:eastAsia="Times New Roman"/>
              </w:rPr>
            </w:pPr>
            <w:r>
              <w:rPr>
                <w:rFonts w:eastAsia="Times New Roman"/>
                <w:b/>
                <w:bCs/>
                <w:color w:val="000000"/>
                <w:sz w:val="18"/>
                <w:szCs w:val="18"/>
              </w:rPr>
              <w:t>65,527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F3F84F0" w14:textId="77777777" w:rsidR="00000000" w:rsidRDefault="00A173A8">
            <w:pPr>
              <w:spacing w:after="100"/>
              <w:jc w:val="right"/>
              <w:rPr>
                <w:rFonts w:eastAsia="Times New Roman"/>
              </w:rPr>
            </w:pPr>
          </w:p>
        </w:tc>
      </w:tr>
      <w:tr w:rsidR="00000000" w14:paraId="3ABED451" w14:textId="77777777">
        <w:trPr>
          <w:divId w:val="211695352"/>
        </w:trPr>
        <w:tc>
          <w:tcPr>
            <w:tcW w:w="0" w:type="auto"/>
            <w:gridSpan w:val="3"/>
            <w:shd w:val="clear" w:color="auto" w:fill="CCEEFF"/>
            <w:tcMar>
              <w:top w:w="30" w:type="dxa"/>
              <w:left w:w="20" w:type="dxa"/>
              <w:bottom w:w="30" w:type="dxa"/>
              <w:right w:w="20" w:type="dxa"/>
            </w:tcMar>
            <w:vAlign w:val="center"/>
            <w:hideMark/>
          </w:tcPr>
          <w:p w14:paraId="0EA4CE75" w14:textId="77777777" w:rsidR="00000000" w:rsidRDefault="00A173A8">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14:paraId="639125D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2655995" w14:textId="77777777" w:rsidR="00000000" w:rsidRDefault="00A173A8">
            <w:pPr>
              <w:spacing w:after="100"/>
              <w:jc w:val="right"/>
              <w:rPr>
                <w:rFonts w:eastAsia="Times New Roman"/>
              </w:rPr>
            </w:pPr>
            <w:r>
              <w:rPr>
                <w:rFonts w:eastAsia="Times New Roman"/>
                <w:b/>
                <w:bCs/>
                <w:color w:val="000000"/>
                <w:sz w:val="18"/>
                <w:szCs w:val="18"/>
              </w:rPr>
              <w:t>8,060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52A96F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EB33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5EEA6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953309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7BA2B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1D1CC5" w14:textId="77777777" w:rsidR="00000000" w:rsidRDefault="00A173A8">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E57B7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DA20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FCAED2" w14:textId="77777777" w:rsidR="00000000" w:rsidRDefault="00A173A8">
            <w:pPr>
              <w:spacing w:after="100"/>
              <w:jc w:val="right"/>
              <w:rPr>
                <w:rFonts w:eastAsia="Times New Roman"/>
              </w:rPr>
            </w:pPr>
            <w:r>
              <w:rPr>
                <w:rFonts w:eastAsia="Times New Roman"/>
                <w:b/>
                <w:bCs/>
                <w:color w:val="000000"/>
                <w:sz w:val="18"/>
                <w:szCs w:val="18"/>
              </w:rPr>
              <w:t>(494)</w:t>
            </w:r>
          </w:p>
        </w:tc>
        <w:tc>
          <w:tcPr>
            <w:tcW w:w="0" w:type="auto"/>
            <w:shd w:val="clear" w:color="auto" w:fill="CCEEFF"/>
            <w:tcMar>
              <w:top w:w="30" w:type="dxa"/>
              <w:left w:w="0" w:type="dxa"/>
              <w:bottom w:w="30" w:type="dxa"/>
              <w:right w:w="20" w:type="dxa"/>
            </w:tcMar>
            <w:vAlign w:val="center"/>
            <w:hideMark/>
          </w:tcPr>
          <w:p w14:paraId="47CB797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FEC50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D8B937" w14:textId="77777777" w:rsidR="00000000" w:rsidRDefault="00A173A8">
            <w:pPr>
              <w:spacing w:after="100"/>
              <w:jc w:val="right"/>
              <w:rPr>
                <w:rFonts w:eastAsia="Times New Roman"/>
              </w:rPr>
            </w:pPr>
            <w:r>
              <w:rPr>
                <w:rFonts w:eastAsia="Times New Roman"/>
                <w:b/>
                <w:bCs/>
                <w:color w:val="000000"/>
                <w:sz w:val="18"/>
                <w:szCs w:val="18"/>
              </w:rPr>
              <w:t>7,574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8464480" w14:textId="77777777" w:rsidR="00000000" w:rsidRDefault="00A173A8">
            <w:pPr>
              <w:spacing w:after="100"/>
              <w:jc w:val="right"/>
              <w:rPr>
                <w:rFonts w:eastAsia="Times New Roman"/>
              </w:rPr>
            </w:pPr>
          </w:p>
        </w:tc>
      </w:tr>
      <w:tr w:rsidR="00000000" w14:paraId="47DDABC6" w14:textId="77777777">
        <w:trPr>
          <w:divId w:val="211695352"/>
        </w:trPr>
        <w:tc>
          <w:tcPr>
            <w:tcW w:w="0" w:type="auto"/>
            <w:gridSpan w:val="3"/>
            <w:shd w:val="clear" w:color="auto" w:fill="FFFFFF"/>
            <w:tcMar>
              <w:top w:w="30" w:type="dxa"/>
              <w:left w:w="20" w:type="dxa"/>
              <w:bottom w:w="30" w:type="dxa"/>
              <w:right w:w="20" w:type="dxa"/>
            </w:tcMar>
            <w:vAlign w:val="center"/>
            <w:hideMark/>
          </w:tcPr>
          <w:p w14:paraId="45E3FDF8" w14:textId="77777777" w:rsidR="00000000" w:rsidRDefault="00A173A8">
            <w:pPr>
              <w:spacing w:after="100"/>
              <w:divId w:val="1187065232"/>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692E51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6A8C13" w14:textId="77777777" w:rsidR="00000000" w:rsidRDefault="00A173A8">
            <w:pPr>
              <w:spacing w:after="100"/>
              <w:jc w:val="right"/>
              <w:rPr>
                <w:rFonts w:eastAsia="Times New Roman"/>
              </w:rPr>
            </w:pPr>
            <w:r>
              <w:rPr>
                <w:rFonts w:eastAsia="Times New Roman"/>
                <w:b/>
                <w:bCs/>
                <w:color w:val="000000"/>
                <w:sz w:val="18"/>
                <w:szCs w:val="18"/>
              </w:rPr>
              <w:t>1,307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E8C990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D6AEF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03912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E4410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FD52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C02B54"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4B155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EDD6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FFE195" w14:textId="77777777" w:rsidR="00000000" w:rsidRDefault="00A173A8">
            <w:pPr>
              <w:spacing w:after="100"/>
              <w:jc w:val="right"/>
              <w:rPr>
                <w:rFonts w:eastAsia="Times New Roman"/>
              </w:rPr>
            </w:pPr>
            <w:r>
              <w:rPr>
                <w:rFonts w:eastAsia="Times New Roman"/>
                <w:b/>
                <w:bCs/>
                <w:color w:val="000000"/>
                <w:sz w:val="18"/>
                <w:szCs w:val="18"/>
              </w:rPr>
              <w:t>(11)</w:t>
            </w:r>
          </w:p>
        </w:tc>
        <w:tc>
          <w:tcPr>
            <w:tcW w:w="0" w:type="auto"/>
            <w:shd w:val="clear" w:color="auto" w:fill="FFFFFF"/>
            <w:tcMar>
              <w:top w:w="30" w:type="dxa"/>
              <w:left w:w="0" w:type="dxa"/>
              <w:bottom w:w="30" w:type="dxa"/>
              <w:right w:w="20" w:type="dxa"/>
            </w:tcMar>
            <w:vAlign w:val="center"/>
            <w:hideMark/>
          </w:tcPr>
          <w:p w14:paraId="737DB0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CC28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EEF462" w14:textId="77777777" w:rsidR="00000000" w:rsidRDefault="00A173A8">
            <w:pPr>
              <w:spacing w:after="100"/>
              <w:jc w:val="right"/>
              <w:rPr>
                <w:rFonts w:eastAsia="Times New Roman"/>
              </w:rPr>
            </w:pPr>
            <w:r>
              <w:rPr>
                <w:rFonts w:eastAsia="Times New Roman"/>
                <w:b/>
                <w:bCs/>
                <w:color w:val="000000"/>
                <w:sz w:val="18"/>
                <w:szCs w:val="18"/>
              </w:rPr>
              <w:t>1,297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A221072" w14:textId="77777777" w:rsidR="00000000" w:rsidRDefault="00A173A8">
            <w:pPr>
              <w:spacing w:after="100"/>
              <w:jc w:val="right"/>
              <w:rPr>
                <w:rFonts w:eastAsia="Times New Roman"/>
              </w:rPr>
            </w:pPr>
          </w:p>
        </w:tc>
      </w:tr>
      <w:tr w:rsidR="00000000" w14:paraId="006D6ACE" w14:textId="77777777">
        <w:trPr>
          <w:divId w:val="211695352"/>
        </w:trPr>
        <w:tc>
          <w:tcPr>
            <w:tcW w:w="0" w:type="auto"/>
            <w:gridSpan w:val="3"/>
            <w:shd w:val="clear" w:color="auto" w:fill="CCEEFF"/>
            <w:tcMar>
              <w:top w:w="30" w:type="dxa"/>
              <w:left w:w="20" w:type="dxa"/>
              <w:bottom w:w="30" w:type="dxa"/>
              <w:right w:w="20" w:type="dxa"/>
            </w:tcMar>
            <w:vAlign w:val="center"/>
            <w:hideMark/>
          </w:tcPr>
          <w:p w14:paraId="1E1393EA" w14:textId="77777777" w:rsidR="00000000" w:rsidRDefault="00A173A8">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14:paraId="701E2855"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FFE4B26"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995DDD3" w14:textId="77777777" w:rsidR="00000000" w:rsidRDefault="00A173A8">
            <w:pPr>
              <w:spacing w:after="100"/>
              <w:jc w:val="right"/>
              <w:rPr>
                <w:rFonts w:eastAsia="Times New Roman"/>
              </w:rPr>
            </w:pPr>
            <w:r>
              <w:rPr>
                <w:rFonts w:eastAsia="Times New Roman"/>
                <w:b/>
                <w:bCs/>
                <w:color w:val="000000"/>
                <w:sz w:val="18"/>
                <w:szCs w:val="18"/>
              </w:rPr>
              <w:t>89,933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56BCC8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15D7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ABA4CB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81E80DE" w14:textId="77777777" w:rsidR="00000000" w:rsidRDefault="00A173A8">
            <w:pPr>
              <w:spacing w:after="100"/>
              <w:jc w:val="right"/>
              <w:rPr>
                <w:rFonts w:eastAsia="Times New Roman"/>
              </w:rPr>
            </w:pPr>
            <w:r>
              <w:rPr>
                <w:rFonts w:eastAsia="Times New Roman"/>
                <w:b/>
                <w:bCs/>
                <w:color w:val="000000"/>
                <w:sz w:val="18"/>
                <w:szCs w:val="18"/>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542A3E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5E9C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A360E2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6C98AA5" w14:textId="77777777" w:rsidR="00000000" w:rsidRDefault="00A173A8">
            <w:pPr>
              <w:spacing w:after="100"/>
              <w:jc w:val="right"/>
              <w:rPr>
                <w:rFonts w:eastAsia="Times New Roman"/>
              </w:rPr>
            </w:pPr>
            <w:r>
              <w:rPr>
                <w:rFonts w:eastAsia="Times New Roman"/>
                <w:b/>
                <w:bCs/>
                <w:color w:val="000000"/>
                <w:sz w:val="18"/>
                <w:szCs w:val="18"/>
              </w:rPr>
              <w:t>246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CD8905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54BF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0E11DB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73E22DD" w14:textId="77777777" w:rsidR="00000000" w:rsidRDefault="00A173A8">
            <w:pPr>
              <w:spacing w:after="100"/>
              <w:jc w:val="right"/>
              <w:rPr>
                <w:rFonts w:eastAsia="Times New Roman"/>
              </w:rPr>
            </w:pPr>
            <w:r>
              <w:rPr>
                <w:rFonts w:eastAsia="Times New Roman"/>
                <w:b/>
                <w:bCs/>
                <w:color w:val="000000"/>
                <w:sz w:val="18"/>
                <w:szCs w:val="18"/>
              </w:rPr>
              <w:t>(7,154)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5CC5E4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91DD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C09767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213E058" w14:textId="77777777" w:rsidR="00000000" w:rsidRDefault="00A173A8">
            <w:pPr>
              <w:spacing w:after="100"/>
              <w:jc w:val="right"/>
              <w:rPr>
                <w:rFonts w:eastAsia="Times New Roman"/>
              </w:rPr>
            </w:pPr>
            <w:r>
              <w:rPr>
                <w:rFonts w:eastAsia="Times New Roman"/>
                <w:b/>
                <w:bCs/>
                <w:color w:val="000000"/>
                <w:sz w:val="18"/>
                <w:szCs w:val="18"/>
              </w:rPr>
              <w:t>83,022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F9273B4" w14:textId="77777777" w:rsidR="00000000" w:rsidRDefault="00A173A8">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06"/>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7"/>
        <w:gridCol w:w="144"/>
        <w:gridCol w:w="144"/>
        <w:gridCol w:w="144"/>
        <w:gridCol w:w="144"/>
        <w:gridCol w:w="144"/>
        <w:gridCol w:w="649"/>
        <w:gridCol w:w="144"/>
      </w:tblGrid>
      <w:tr w:rsidR="00000000" w14:paraId="069524CA" w14:textId="77777777">
        <w:tc>
          <w:tcPr>
            <w:tcW w:w="50" w:type="pct"/>
            <w:vAlign w:val="center"/>
            <w:hideMark/>
          </w:tcPr>
          <w:p w14:paraId="00A70CF9" w14:textId="77777777" w:rsidR="00000000" w:rsidRDefault="00A173A8">
            <w:pPr>
              <w:rPr>
                <w:rFonts w:eastAsia="Times New Roman"/>
              </w:rPr>
            </w:pPr>
          </w:p>
        </w:tc>
        <w:tc>
          <w:tcPr>
            <w:tcW w:w="2532" w:type="pct"/>
            <w:vAlign w:val="center"/>
            <w:hideMark/>
          </w:tcPr>
          <w:p w14:paraId="23A95F69" w14:textId="77777777" w:rsidR="00000000" w:rsidRDefault="00A173A8">
            <w:pPr>
              <w:spacing w:after="100"/>
              <w:rPr>
                <w:rFonts w:eastAsia="Times New Roman"/>
                <w:sz w:val="20"/>
                <w:szCs w:val="20"/>
              </w:rPr>
            </w:pPr>
          </w:p>
        </w:tc>
        <w:tc>
          <w:tcPr>
            <w:tcW w:w="5" w:type="pct"/>
            <w:vAlign w:val="center"/>
            <w:hideMark/>
          </w:tcPr>
          <w:p w14:paraId="33BE11E7" w14:textId="77777777" w:rsidR="00000000" w:rsidRDefault="00A173A8">
            <w:pPr>
              <w:spacing w:after="100"/>
              <w:rPr>
                <w:rFonts w:eastAsia="Times New Roman"/>
                <w:sz w:val="20"/>
                <w:szCs w:val="20"/>
              </w:rPr>
            </w:pPr>
          </w:p>
        </w:tc>
        <w:tc>
          <w:tcPr>
            <w:tcW w:w="5" w:type="pct"/>
            <w:vAlign w:val="center"/>
            <w:hideMark/>
          </w:tcPr>
          <w:p w14:paraId="1DC19270" w14:textId="77777777" w:rsidR="00000000" w:rsidRDefault="00A173A8">
            <w:pPr>
              <w:spacing w:after="100"/>
              <w:rPr>
                <w:rFonts w:eastAsia="Times New Roman"/>
                <w:sz w:val="20"/>
                <w:szCs w:val="20"/>
              </w:rPr>
            </w:pPr>
          </w:p>
        </w:tc>
        <w:tc>
          <w:tcPr>
            <w:tcW w:w="26" w:type="pct"/>
            <w:vAlign w:val="center"/>
            <w:hideMark/>
          </w:tcPr>
          <w:p w14:paraId="261BA7C5" w14:textId="77777777" w:rsidR="00000000" w:rsidRDefault="00A173A8">
            <w:pPr>
              <w:spacing w:after="100"/>
              <w:rPr>
                <w:rFonts w:eastAsia="Times New Roman"/>
                <w:sz w:val="20"/>
                <w:szCs w:val="20"/>
              </w:rPr>
            </w:pPr>
          </w:p>
        </w:tc>
        <w:tc>
          <w:tcPr>
            <w:tcW w:w="5" w:type="pct"/>
            <w:vAlign w:val="center"/>
            <w:hideMark/>
          </w:tcPr>
          <w:p w14:paraId="0E0000EE" w14:textId="77777777" w:rsidR="00000000" w:rsidRDefault="00A173A8">
            <w:pPr>
              <w:spacing w:after="100"/>
              <w:rPr>
                <w:rFonts w:eastAsia="Times New Roman"/>
                <w:sz w:val="20"/>
                <w:szCs w:val="20"/>
              </w:rPr>
            </w:pPr>
          </w:p>
        </w:tc>
        <w:tc>
          <w:tcPr>
            <w:tcW w:w="50" w:type="pct"/>
            <w:vAlign w:val="center"/>
            <w:hideMark/>
          </w:tcPr>
          <w:p w14:paraId="313069D0" w14:textId="77777777" w:rsidR="00000000" w:rsidRDefault="00A173A8">
            <w:pPr>
              <w:spacing w:after="100"/>
              <w:rPr>
                <w:rFonts w:eastAsia="Times New Roman"/>
                <w:sz w:val="20"/>
                <w:szCs w:val="20"/>
              </w:rPr>
            </w:pPr>
          </w:p>
        </w:tc>
        <w:tc>
          <w:tcPr>
            <w:tcW w:w="390" w:type="pct"/>
            <w:vAlign w:val="center"/>
            <w:hideMark/>
          </w:tcPr>
          <w:p w14:paraId="29582D5D" w14:textId="77777777" w:rsidR="00000000" w:rsidRDefault="00A173A8">
            <w:pPr>
              <w:spacing w:after="100"/>
              <w:rPr>
                <w:rFonts w:eastAsia="Times New Roman"/>
                <w:sz w:val="20"/>
                <w:szCs w:val="20"/>
              </w:rPr>
            </w:pPr>
          </w:p>
        </w:tc>
        <w:tc>
          <w:tcPr>
            <w:tcW w:w="5" w:type="pct"/>
            <w:vAlign w:val="center"/>
            <w:hideMark/>
          </w:tcPr>
          <w:p w14:paraId="36D10DFB" w14:textId="77777777" w:rsidR="00000000" w:rsidRDefault="00A173A8">
            <w:pPr>
              <w:spacing w:after="100"/>
              <w:rPr>
                <w:rFonts w:eastAsia="Times New Roman"/>
                <w:sz w:val="20"/>
                <w:szCs w:val="20"/>
              </w:rPr>
            </w:pPr>
          </w:p>
        </w:tc>
        <w:tc>
          <w:tcPr>
            <w:tcW w:w="5" w:type="pct"/>
            <w:vAlign w:val="center"/>
            <w:hideMark/>
          </w:tcPr>
          <w:p w14:paraId="0D12396E" w14:textId="77777777" w:rsidR="00000000" w:rsidRDefault="00A173A8">
            <w:pPr>
              <w:spacing w:after="100"/>
              <w:rPr>
                <w:rFonts w:eastAsia="Times New Roman"/>
                <w:sz w:val="20"/>
                <w:szCs w:val="20"/>
              </w:rPr>
            </w:pPr>
          </w:p>
        </w:tc>
        <w:tc>
          <w:tcPr>
            <w:tcW w:w="26" w:type="pct"/>
            <w:vAlign w:val="center"/>
            <w:hideMark/>
          </w:tcPr>
          <w:p w14:paraId="0F31E7A9" w14:textId="77777777" w:rsidR="00000000" w:rsidRDefault="00A173A8">
            <w:pPr>
              <w:spacing w:after="100"/>
              <w:rPr>
                <w:rFonts w:eastAsia="Times New Roman"/>
                <w:sz w:val="20"/>
                <w:szCs w:val="20"/>
              </w:rPr>
            </w:pPr>
          </w:p>
        </w:tc>
        <w:tc>
          <w:tcPr>
            <w:tcW w:w="5" w:type="pct"/>
            <w:vAlign w:val="center"/>
            <w:hideMark/>
          </w:tcPr>
          <w:p w14:paraId="089108CD" w14:textId="77777777" w:rsidR="00000000" w:rsidRDefault="00A173A8">
            <w:pPr>
              <w:spacing w:after="100"/>
              <w:rPr>
                <w:rFonts w:eastAsia="Times New Roman"/>
                <w:sz w:val="20"/>
                <w:szCs w:val="20"/>
              </w:rPr>
            </w:pPr>
          </w:p>
        </w:tc>
        <w:tc>
          <w:tcPr>
            <w:tcW w:w="50" w:type="pct"/>
            <w:vAlign w:val="center"/>
            <w:hideMark/>
          </w:tcPr>
          <w:p w14:paraId="3F0B621C" w14:textId="77777777" w:rsidR="00000000" w:rsidRDefault="00A173A8">
            <w:pPr>
              <w:spacing w:after="100"/>
              <w:rPr>
                <w:rFonts w:eastAsia="Times New Roman"/>
                <w:sz w:val="20"/>
                <w:szCs w:val="20"/>
              </w:rPr>
            </w:pPr>
          </w:p>
        </w:tc>
        <w:tc>
          <w:tcPr>
            <w:tcW w:w="390" w:type="pct"/>
            <w:vAlign w:val="center"/>
            <w:hideMark/>
          </w:tcPr>
          <w:p w14:paraId="32BFAA82" w14:textId="77777777" w:rsidR="00000000" w:rsidRDefault="00A173A8">
            <w:pPr>
              <w:spacing w:after="100"/>
              <w:rPr>
                <w:rFonts w:eastAsia="Times New Roman"/>
                <w:sz w:val="20"/>
                <w:szCs w:val="20"/>
              </w:rPr>
            </w:pPr>
          </w:p>
        </w:tc>
        <w:tc>
          <w:tcPr>
            <w:tcW w:w="5" w:type="pct"/>
            <w:vAlign w:val="center"/>
            <w:hideMark/>
          </w:tcPr>
          <w:p w14:paraId="7DFD0B00" w14:textId="77777777" w:rsidR="00000000" w:rsidRDefault="00A173A8">
            <w:pPr>
              <w:spacing w:after="100"/>
              <w:rPr>
                <w:rFonts w:eastAsia="Times New Roman"/>
                <w:sz w:val="20"/>
                <w:szCs w:val="20"/>
              </w:rPr>
            </w:pPr>
          </w:p>
        </w:tc>
        <w:tc>
          <w:tcPr>
            <w:tcW w:w="5" w:type="pct"/>
            <w:vAlign w:val="center"/>
            <w:hideMark/>
          </w:tcPr>
          <w:p w14:paraId="6F9BEDAB" w14:textId="77777777" w:rsidR="00000000" w:rsidRDefault="00A173A8">
            <w:pPr>
              <w:spacing w:after="100"/>
              <w:rPr>
                <w:rFonts w:eastAsia="Times New Roman"/>
                <w:sz w:val="20"/>
                <w:szCs w:val="20"/>
              </w:rPr>
            </w:pPr>
          </w:p>
        </w:tc>
        <w:tc>
          <w:tcPr>
            <w:tcW w:w="26" w:type="pct"/>
            <w:vAlign w:val="center"/>
            <w:hideMark/>
          </w:tcPr>
          <w:p w14:paraId="4BF99DE6" w14:textId="77777777" w:rsidR="00000000" w:rsidRDefault="00A173A8">
            <w:pPr>
              <w:spacing w:after="100"/>
              <w:rPr>
                <w:rFonts w:eastAsia="Times New Roman"/>
                <w:sz w:val="20"/>
                <w:szCs w:val="20"/>
              </w:rPr>
            </w:pPr>
          </w:p>
        </w:tc>
        <w:tc>
          <w:tcPr>
            <w:tcW w:w="5" w:type="pct"/>
            <w:vAlign w:val="center"/>
            <w:hideMark/>
          </w:tcPr>
          <w:p w14:paraId="422B663C" w14:textId="77777777" w:rsidR="00000000" w:rsidRDefault="00A173A8">
            <w:pPr>
              <w:spacing w:after="100"/>
              <w:rPr>
                <w:rFonts w:eastAsia="Times New Roman"/>
                <w:sz w:val="20"/>
                <w:szCs w:val="20"/>
              </w:rPr>
            </w:pPr>
          </w:p>
        </w:tc>
        <w:tc>
          <w:tcPr>
            <w:tcW w:w="50" w:type="pct"/>
            <w:vAlign w:val="center"/>
            <w:hideMark/>
          </w:tcPr>
          <w:p w14:paraId="15FDD1EF" w14:textId="77777777" w:rsidR="00000000" w:rsidRDefault="00A173A8">
            <w:pPr>
              <w:spacing w:after="100"/>
              <w:rPr>
                <w:rFonts w:eastAsia="Times New Roman"/>
                <w:sz w:val="20"/>
                <w:szCs w:val="20"/>
              </w:rPr>
            </w:pPr>
          </w:p>
        </w:tc>
        <w:tc>
          <w:tcPr>
            <w:tcW w:w="390" w:type="pct"/>
            <w:vAlign w:val="center"/>
            <w:hideMark/>
          </w:tcPr>
          <w:p w14:paraId="456B71E6" w14:textId="77777777" w:rsidR="00000000" w:rsidRDefault="00A173A8">
            <w:pPr>
              <w:spacing w:after="100"/>
              <w:rPr>
                <w:rFonts w:eastAsia="Times New Roman"/>
                <w:sz w:val="20"/>
                <w:szCs w:val="20"/>
              </w:rPr>
            </w:pPr>
          </w:p>
        </w:tc>
        <w:tc>
          <w:tcPr>
            <w:tcW w:w="5" w:type="pct"/>
            <w:vAlign w:val="center"/>
            <w:hideMark/>
          </w:tcPr>
          <w:p w14:paraId="45FD679C" w14:textId="77777777" w:rsidR="00000000" w:rsidRDefault="00A173A8">
            <w:pPr>
              <w:spacing w:after="100"/>
              <w:rPr>
                <w:rFonts w:eastAsia="Times New Roman"/>
                <w:sz w:val="20"/>
                <w:szCs w:val="20"/>
              </w:rPr>
            </w:pPr>
          </w:p>
        </w:tc>
        <w:tc>
          <w:tcPr>
            <w:tcW w:w="5" w:type="pct"/>
            <w:vAlign w:val="center"/>
            <w:hideMark/>
          </w:tcPr>
          <w:p w14:paraId="257CAA75" w14:textId="77777777" w:rsidR="00000000" w:rsidRDefault="00A173A8">
            <w:pPr>
              <w:spacing w:after="100"/>
              <w:rPr>
                <w:rFonts w:eastAsia="Times New Roman"/>
                <w:sz w:val="20"/>
                <w:szCs w:val="20"/>
              </w:rPr>
            </w:pPr>
          </w:p>
        </w:tc>
        <w:tc>
          <w:tcPr>
            <w:tcW w:w="26" w:type="pct"/>
            <w:vAlign w:val="center"/>
            <w:hideMark/>
          </w:tcPr>
          <w:p w14:paraId="3AA41BBA" w14:textId="77777777" w:rsidR="00000000" w:rsidRDefault="00A173A8">
            <w:pPr>
              <w:spacing w:after="100"/>
              <w:rPr>
                <w:rFonts w:eastAsia="Times New Roman"/>
                <w:sz w:val="20"/>
                <w:szCs w:val="20"/>
              </w:rPr>
            </w:pPr>
          </w:p>
        </w:tc>
        <w:tc>
          <w:tcPr>
            <w:tcW w:w="5" w:type="pct"/>
            <w:vAlign w:val="center"/>
            <w:hideMark/>
          </w:tcPr>
          <w:p w14:paraId="44C88483" w14:textId="77777777" w:rsidR="00000000" w:rsidRDefault="00A173A8">
            <w:pPr>
              <w:spacing w:after="100"/>
              <w:rPr>
                <w:rFonts w:eastAsia="Times New Roman"/>
                <w:sz w:val="20"/>
                <w:szCs w:val="20"/>
              </w:rPr>
            </w:pPr>
          </w:p>
        </w:tc>
        <w:tc>
          <w:tcPr>
            <w:tcW w:w="50" w:type="pct"/>
            <w:vAlign w:val="center"/>
            <w:hideMark/>
          </w:tcPr>
          <w:p w14:paraId="5B907C8A" w14:textId="77777777" w:rsidR="00000000" w:rsidRDefault="00A173A8">
            <w:pPr>
              <w:spacing w:after="100"/>
              <w:rPr>
                <w:rFonts w:eastAsia="Times New Roman"/>
                <w:sz w:val="20"/>
                <w:szCs w:val="20"/>
              </w:rPr>
            </w:pPr>
          </w:p>
        </w:tc>
        <w:tc>
          <w:tcPr>
            <w:tcW w:w="390" w:type="pct"/>
            <w:vAlign w:val="center"/>
            <w:hideMark/>
          </w:tcPr>
          <w:p w14:paraId="5106AA00" w14:textId="77777777" w:rsidR="00000000" w:rsidRDefault="00A173A8">
            <w:pPr>
              <w:spacing w:after="100"/>
              <w:rPr>
                <w:rFonts w:eastAsia="Times New Roman"/>
                <w:sz w:val="20"/>
                <w:szCs w:val="20"/>
              </w:rPr>
            </w:pPr>
          </w:p>
        </w:tc>
        <w:tc>
          <w:tcPr>
            <w:tcW w:w="5" w:type="pct"/>
            <w:vAlign w:val="center"/>
            <w:hideMark/>
          </w:tcPr>
          <w:p w14:paraId="07B4A31C" w14:textId="77777777" w:rsidR="00000000" w:rsidRDefault="00A173A8">
            <w:pPr>
              <w:spacing w:after="100"/>
              <w:rPr>
                <w:rFonts w:eastAsia="Times New Roman"/>
                <w:sz w:val="20"/>
                <w:szCs w:val="20"/>
              </w:rPr>
            </w:pPr>
          </w:p>
        </w:tc>
        <w:tc>
          <w:tcPr>
            <w:tcW w:w="5" w:type="pct"/>
            <w:vAlign w:val="center"/>
            <w:hideMark/>
          </w:tcPr>
          <w:p w14:paraId="37E22C3C" w14:textId="77777777" w:rsidR="00000000" w:rsidRDefault="00A173A8">
            <w:pPr>
              <w:spacing w:after="100"/>
              <w:rPr>
                <w:rFonts w:eastAsia="Times New Roman"/>
                <w:sz w:val="20"/>
                <w:szCs w:val="20"/>
              </w:rPr>
            </w:pPr>
          </w:p>
        </w:tc>
        <w:tc>
          <w:tcPr>
            <w:tcW w:w="26" w:type="pct"/>
            <w:vAlign w:val="center"/>
            <w:hideMark/>
          </w:tcPr>
          <w:p w14:paraId="7AC7C313" w14:textId="77777777" w:rsidR="00000000" w:rsidRDefault="00A173A8">
            <w:pPr>
              <w:spacing w:after="100"/>
              <w:rPr>
                <w:rFonts w:eastAsia="Times New Roman"/>
                <w:sz w:val="20"/>
                <w:szCs w:val="20"/>
              </w:rPr>
            </w:pPr>
          </w:p>
        </w:tc>
        <w:tc>
          <w:tcPr>
            <w:tcW w:w="5" w:type="pct"/>
            <w:vAlign w:val="center"/>
            <w:hideMark/>
          </w:tcPr>
          <w:p w14:paraId="5C93A277" w14:textId="77777777" w:rsidR="00000000" w:rsidRDefault="00A173A8">
            <w:pPr>
              <w:spacing w:after="100"/>
              <w:rPr>
                <w:rFonts w:eastAsia="Times New Roman"/>
                <w:sz w:val="20"/>
                <w:szCs w:val="20"/>
              </w:rPr>
            </w:pPr>
          </w:p>
        </w:tc>
        <w:tc>
          <w:tcPr>
            <w:tcW w:w="50" w:type="pct"/>
            <w:vAlign w:val="center"/>
            <w:hideMark/>
          </w:tcPr>
          <w:p w14:paraId="26CCA518" w14:textId="77777777" w:rsidR="00000000" w:rsidRDefault="00A173A8">
            <w:pPr>
              <w:spacing w:after="100"/>
              <w:rPr>
                <w:rFonts w:eastAsia="Times New Roman"/>
                <w:sz w:val="20"/>
                <w:szCs w:val="20"/>
              </w:rPr>
            </w:pPr>
          </w:p>
        </w:tc>
        <w:tc>
          <w:tcPr>
            <w:tcW w:w="391" w:type="pct"/>
            <w:vAlign w:val="center"/>
            <w:hideMark/>
          </w:tcPr>
          <w:p w14:paraId="13E658D9" w14:textId="77777777" w:rsidR="00000000" w:rsidRDefault="00A173A8">
            <w:pPr>
              <w:spacing w:after="100"/>
              <w:rPr>
                <w:rFonts w:eastAsia="Times New Roman"/>
                <w:sz w:val="20"/>
                <w:szCs w:val="20"/>
              </w:rPr>
            </w:pPr>
          </w:p>
        </w:tc>
        <w:tc>
          <w:tcPr>
            <w:tcW w:w="5" w:type="pct"/>
            <w:vAlign w:val="center"/>
            <w:hideMark/>
          </w:tcPr>
          <w:p w14:paraId="06EB291E" w14:textId="77777777" w:rsidR="00000000" w:rsidRDefault="00A173A8">
            <w:pPr>
              <w:spacing w:after="100"/>
              <w:rPr>
                <w:rFonts w:eastAsia="Times New Roman"/>
                <w:sz w:val="20"/>
                <w:szCs w:val="20"/>
              </w:rPr>
            </w:pPr>
          </w:p>
        </w:tc>
      </w:tr>
      <w:tr w:rsidR="00000000" w14:paraId="3AEA9B33" w14:textId="77777777">
        <w:tc>
          <w:tcPr>
            <w:tcW w:w="0" w:type="auto"/>
            <w:gridSpan w:val="3"/>
            <w:tcMar>
              <w:top w:w="30" w:type="dxa"/>
              <w:left w:w="20" w:type="dxa"/>
              <w:bottom w:w="30" w:type="dxa"/>
              <w:right w:w="20" w:type="dxa"/>
            </w:tcMar>
            <w:vAlign w:val="bottom"/>
            <w:hideMark/>
          </w:tcPr>
          <w:p w14:paraId="22B11866"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F01D1AD" w14:textId="77777777" w:rsidR="00000000" w:rsidRDefault="00A173A8">
            <w:pPr>
              <w:spacing w:after="100"/>
              <w:rPr>
                <w:rFonts w:eastAsia="Times New Roman"/>
              </w:rPr>
            </w:pPr>
          </w:p>
        </w:tc>
        <w:tc>
          <w:tcPr>
            <w:tcW w:w="0" w:type="auto"/>
            <w:gridSpan w:val="27"/>
            <w:tcMar>
              <w:top w:w="30" w:type="dxa"/>
              <w:left w:w="20" w:type="dxa"/>
              <w:bottom w:w="30" w:type="dxa"/>
              <w:right w:w="20" w:type="dxa"/>
            </w:tcMar>
            <w:vAlign w:val="bottom"/>
            <w:hideMark/>
          </w:tcPr>
          <w:p w14:paraId="03D5C4C6"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7CCE76E0" w14:textId="77777777">
        <w:tc>
          <w:tcPr>
            <w:tcW w:w="0" w:type="auto"/>
            <w:gridSpan w:val="3"/>
            <w:tcMar>
              <w:top w:w="30" w:type="dxa"/>
              <w:left w:w="20" w:type="dxa"/>
              <w:bottom w:w="30" w:type="dxa"/>
              <w:right w:w="20" w:type="dxa"/>
            </w:tcMar>
            <w:vAlign w:val="bottom"/>
            <w:hideMark/>
          </w:tcPr>
          <w:p w14:paraId="5550C101"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6091629"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A3F1B7" w14:textId="77777777" w:rsidR="00000000" w:rsidRDefault="00A173A8">
            <w:pPr>
              <w:spacing w:after="100"/>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2D7CFCF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01FAA2" w14:textId="77777777" w:rsidR="00000000" w:rsidRDefault="00A173A8">
            <w:pPr>
              <w:spacing w:after="100"/>
              <w:jc w:val="center"/>
              <w:rPr>
                <w:rFonts w:eastAsia="Times New Roman"/>
              </w:rPr>
            </w:pPr>
            <w:r>
              <w:rPr>
                <w:rFonts w:eastAsia="Times New Roman"/>
                <w:b/>
                <w:bCs/>
                <w:color w:val="000000"/>
                <w:sz w:val="16"/>
                <w:szCs w:val="16"/>
              </w:rPr>
              <w:t>Allowance</w:t>
            </w:r>
            <w:r>
              <w:rPr>
                <w:rFonts w:eastAsia="Times New Roman"/>
                <w:b/>
                <w:bCs/>
                <w:color w:val="000000"/>
                <w:sz w:val="16"/>
                <w:szCs w:val="16"/>
              </w:rPr>
              <w:br/>
              <w:t> for Credit</w:t>
            </w:r>
            <w:r>
              <w:rPr>
                <w:rFonts w:eastAsia="Times New Roman"/>
                <w:b/>
                <w:bCs/>
                <w:color w:val="000000"/>
                <w:sz w:val="16"/>
                <w:szCs w:val="16"/>
              </w:rPr>
              <w:br/>
              <w:t> Losses</w:t>
            </w:r>
          </w:p>
        </w:tc>
        <w:tc>
          <w:tcPr>
            <w:tcW w:w="0" w:type="auto"/>
            <w:gridSpan w:val="3"/>
            <w:tcBorders>
              <w:top w:val="single" w:sz="8" w:space="0" w:color="000000"/>
            </w:tcBorders>
            <w:tcMar>
              <w:top w:w="0" w:type="dxa"/>
              <w:left w:w="20" w:type="dxa"/>
              <w:bottom w:w="0" w:type="dxa"/>
              <w:right w:w="20" w:type="dxa"/>
            </w:tcMar>
            <w:vAlign w:val="center"/>
            <w:hideMark/>
          </w:tcPr>
          <w:p w14:paraId="79F8DD5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5006D4" w14:textId="77777777" w:rsidR="00000000" w:rsidRDefault="00A173A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14:paraId="2822E41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94D723" w14:textId="77777777" w:rsidR="00000000" w:rsidRDefault="00A173A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14:paraId="320E4DEE"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D072BC" w14:textId="77777777" w:rsidR="00000000" w:rsidRDefault="00A173A8">
            <w:pPr>
              <w:spacing w:after="100"/>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14:paraId="0FDD08E3"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7B374C0" w14:textId="77777777" w:rsidR="00000000" w:rsidRDefault="00A173A8">
            <w:pPr>
              <w:spacing w:after="100"/>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14:paraId="5A92A98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7DF68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7A77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90FEF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92F99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7CF85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509C3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86D78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08450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4D8466" w14:textId="77777777" w:rsidR="00000000" w:rsidRDefault="00A173A8">
            <w:pPr>
              <w:spacing w:after="100"/>
              <w:rPr>
                <w:rFonts w:eastAsia="Times New Roman"/>
                <w:sz w:val="20"/>
                <w:szCs w:val="20"/>
              </w:rPr>
            </w:pPr>
          </w:p>
        </w:tc>
      </w:tr>
      <w:tr w:rsidR="00000000" w14:paraId="12DDCFC4" w14:textId="77777777">
        <w:tc>
          <w:tcPr>
            <w:tcW w:w="0" w:type="auto"/>
            <w:gridSpan w:val="3"/>
            <w:shd w:val="clear" w:color="auto" w:fill="FFFFFF"/>
            <w:tcMar>
              <w:top w:w="30" w:type="dxa"/>
              <w:left w:w="20" w:type="dxa"/>
              <w:bottom w:w="30" w:type="dxa"/>
              <w:right w:w="20" w:type="dxa"/>
            </w:tcMar>
            <w:vAlign w:val="center"/>
            <w:hideMark/>
          </w:tcPr>
          <w:p w14:paraId="2DAA990C" w14:textId="77777777" w:rsidR="00000000" w:rsidRDefault="00A173A8">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04BE3E20"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162002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7ACD0A6" w14:textId="77777777" w:rsidR="00000000" w:rsidRDefault="00A173A8">
            <w:pPr>
              <w:spacing w:after="100"/>
              <w:jc w:val="right"/>
              <w:rPr>
                <w:rFonts w:eastAsia="Times New Roman"/>
              </w:rPr>
            </w:pPr>
            <w:r>
              <w:rPr>
                <w:rFonts w:eastAsia="Times New Roman"/>
                <w:color w:val="000000"/>
                <w:sz w:val="18"/>
                <w:szCs w:val="18"/>
              </w:rPr>
              <w:t>9,419 </w:t>
            </w:r>
          </w:p>
        </w:tc>
        <w:tc>
          <w:tcPr>
            <w:tcW w:w="0" w:type="auto"/>
            <w:shd w:val="clear" w:color="auto" w:fill="FFFFFF"/>
            <w:tcMar>
              <w:top w:w="30" w:type="dxa"/>
              <w:left w:w="0" w:type="dxa"/>
              <w:bottom w:w="30" w:type="dxa"/>
              <w:right w:w="20" w:type="dxa"/>
            </w:tcMar>
            <w:vAlign w:val="center"/>
            <w:hideMark/>
          </w:tcPr>
          <w:p w14:paraId="3BCD738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D4F7C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C33487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66EF02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8FF6DC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23E0FB"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D7AEE0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00A4B25" w14:textId="77777777" w:rsidR="00000000" w:rsidRDefault="00A173A8">
            <w:pPr>
              <w:spacing w:after="100"/>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14:paraId="55F1CB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092CE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30CD4A3"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E4663E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D747E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2249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3B1A630"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14185A3" w14:textId="77777777" w:rsidR="00000000" w:rsidRDefault="00A173A8">
            <w:pPr>
              <w:spacing w:after="100"/>
              <w:jc w:val="right"/>
              <w:rPr>
                <w:rFonts w:eastAsia="Times New Roman"/>
              </w:rPr>
            </w:pPr>
            <w:r>
              <w:rPr>
                <w:rFonts w:eastAsia="Times New Roman"/>
                <w:color w:val="000000"/>
                <w:sz w:val="18"/>
                <w:szCs w:val="18"/>
              </w:rPr>
              <w:t>9,442 </w:t>
            </w:r>
          </w:p>
        </w:tc>
        <w:tc>
          <w:tcPr>
            <w:tcW w:w="0" w:type="auto"/>
            <w:shd w:val="clear" w:color="auto" w:fill="FFFFFF"/>
            <w:tcMar>
              <w:top w:w="30" w:type="dxa"/>
              <w:left w:w="0" w:type="dxa"/>
              <w:bottom w:w="30" w:type="dxa"/>
              <w:right w:w="20" w:type="dxa"/>
            </w:tcMar>
            <w:vAlign w:val="center"/>
            <w:hideMark/>
          </w:tcPr>
          <w:p w14:paraId="49B07DFB" w14:textId="77777777" w:rsidR="00000000" w:rsidRDefault="00A173A8">
            <w:pPr>
              <w:spacing w:after="100"/>
              <w:jc w:val="right"/>
              <w:rPr>
                <w:rFonts w:eastAsia="Times New Roman"/>
              </w:rPr>
            </w:pPr>
          </w:p>
        </w:tc>
      </w:tr>
      <w:tr w:rsidR="00000000" w14:paraId="5787A352" w14:textId="77777777">
        <w:tc>
          <w:tcPr>
            <w:tcW w:w="0" w:type="auto"/>
            <w:gridSpan w:val="3"/>
            <w:shd w:val="clear" w:color="auto" w:fill="CCEEFF"/>
            <w:tcMar>
              <w:top w:w="30" w:type="dxa"/>
              <w:left w:w="20" w:type="dxa"/>
              <w:bottom w:w="30" w:type="dxa"/>
              <w:right w:w="20" w:type="dxa"/>
            </w:tcMar>
            <w:vAlign w:val="center"/>
            <w:hideMark/>
          </w:tcPr>
          <w:p w14:paraId="62785F61"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14:paraId="3EEFE986"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E98F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9FFD8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CEC35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27E3F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2AB3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4F474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F4B8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B0A1B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384A50" w14:textId="77777777" w:rsidR="00000000" w:rsidRDefault="00A173A8">
            <w:pPr>
              <w:spacing w:after="100"/>
              <w:rPr>
                <w:rFonts w:eastAsia="Times New Roman"/>
                <w:sz w:val="20"/>
                <w:szCs w:val="20"/>
              </w:rPr>
            </w:pPr>
          </w:p>
        </w:tc>
      </w:tr>
      <w:tr w:rsidR="00000000" w14:paraId="7D75382A" w14:textId="77777777">
        <w:tc>
          <w:tcPr>
            <w:tcW w:w="0" w:type="auto"/>
            <w:gridSpan w:val="3"/>
            <w:shd w:val="clear" w:color="auto" w:fill="FFFFFF"/>
            <w:tcMar>
              <w:top w:w="30" w:type="dxa"/>
              <w:left w:w="245" w:type="dxa"/>
              <w:bottom w:w="30" w:type="dxa"/>
              <w:right w:w="20" w:type="dxa"/>
            </w:tcMar>
            <w:vAlign w:val="center"/>
            <w:hideMark/>
          </w:tcPr>
          <w:p w14:paraId="09916CD7" w14:textId="77777777" w:rsidR="00000000" w:rsidRDefault="00A173A8">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2B0924B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8D315B8" w14:textId="77777777" w:rsidR="00000000" w:rsidRDefault="00A173A8">
            <w:pPr>
              <w:spacing w:after="100"/>
              <w:jc w:val="right"/>
              <w:rPr>
                <w:rFonts w:eastAsia="Times New Roman"/>
              </w:rPr>
            </w:pPr>
            <w:r>
              <w:rPr>
                <w:rFonts w:eastAsia="Times New Roman"/>
                <w:color w:val="000000"/>
                <w:sz w:val="18"/>
                <w:szCs w:val="18"/>
              </w:rPr>
              <w:t>72,593 </w:t>
            </w:r>
          </w:p>
        </w:tc>
        <w:tc>
          <w:tcPr>
            <w:tcW w:w="0" w:type="auto"/>
            <w:shd w:val="clear" w:color="auto" w:fill="FFFFFF"/>
            <w:tcMar>
              <w:top w:w="30" w:type="dxa"/>
              <w:left w:w="0" w:type="dxa"/>
              <w:bottom w:w="30" w:type="dxa"/>
              <w:right w:w="20" w:type="dxa"/>
            </w:tcMar>
            <w:vAlign w:val="center"/>
            <w:hideMark/>
          </w:tcPr>
          <w:p w14:paraId="74F4EA0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281C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FA9A7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B04D75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C5239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F2C700" w14:textId="77777777" w:rsidR="00000000" w:rsidRDefault="00A173A8">
            <w:pPr>
              <w:spacing w:after="100"/>
              <w:jc w:val="right"/>
              <w:rPr>
                <w:rFonts w:eastAsia="Times New Roman"/>
              </w:rPr>
            </w:pPr>
            <w:r>
              <w:rPr>
                <w:rFonts w:eastAsia="Times New Roman"/>
                <w:color w:val="000000"/>
                <w:sz w:val="18"/>
                <w:szCs w:val="18"/>
              </w:rPr>
              <w:t>958 </w:t>
            </w:r>
          </w:p>
        </w:tc>
        <w:tc>
          <w:tcPr>
            <w:tcW w:w="0" w:type="auto"/>
            <w:shd w:val="clear" w:color="auto" w:fill="FFFFFF"/>
            <w:tcMar>
              <w:top w:w="30" w:type="dxa"/>
              <w:left w:w="0" w:type="dxa"/>
              <w:bottom w:w="30" w:type="dxa"/>
              <w:right w:w="20" w:type="dxa"/>
            </w:tcMar>
            <w:vAlign w:val="center"/>
            <w:hideMark/>
          </w:tcPr>
          <w:p w14:paraId="78C903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7F7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F8236A" w14:textId="77777777" w:rsidR="00000000" w:rsidRDefault="00A173A8">
            <w:pPr>
              <w:spacing w:after="100"/>
              <w:jc w:val="right"/>
              <w:rPr>
                <w:rFonts w:eastAsia="Times New Roman"/>
              </w:rPr>
            </w:pPr>
            <w:r>
              <w:rPr>
                <w:rFonts w:eastAsia="Times New Roman"/>
                <w:color w:val="000000"/>
                <w:sz w:val="18"/>
                <w:szCs w:val="18"/>
              </w:rPr>
              <w:t>(931)</w:t>
            </w:r>
          </w:p>
        </w:tc>
        <w:tc>
          <w:tcPr>
            <w:tcW w:w="0" w:type="auto"/>
            <w:shd w:val="clear" w:color="auto" w:fill="FFFFFF"/>
            <w:tcMar>
              <w:top w:w="30" w:type="dxa"/>
              <w:left w:w="0" w:type="dxa"/>
              <w:bottom w:w="30" w:type="dxa"/>
              <w:right w:w="20" w:type="dxa"/>
            </w:tcMar>
            <w:vAlign w:val="center"/>
            <w:hideMark/>
          </w:tcPr>
          <w:p w14:paraId="0C73617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DEDE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4CF6E3" w14:textId="77777777" w:rsidR="00000000" w:rsidRDefault="00A173A8">
            <w:pPr>
              <w:spacing w:after="100"/>
              <w:jc w:val="right"/>
              <w:rPr>
                <w:rFonts w:eastAsia="Times New Roman"/>
              </w:rPr>
            </w:pPr>
            <w:r>
              <w:rPr>
                <w:rFonts w:eastAsia="Times New Roman"/>
                <w:color w:val="000000"/>
                <w:sz w:val="18"/>
                <w:szCs w:val="18"/>
              </w:rPr>
              <w:t>72,620 </w:t>
            </w:r>
          </w:p>
        </w:tc>
        <w:tc>
          <w:tcPr>
            <w:tcW w:w="0" w:type="auto"/>
            <w:shd w:val="clear" w:color="auto" w:fill="FFFFFF"/>
            <w:tcMar>
              <w:top w:w="30" w:type="dxa"/>
              <w:left w:w="0" w:type="dxa"/>
              <w:bottom w:w="30" w:type="dxa"/>
              <w:right w:w="20" w:type="dxa"/>
            </w:tcMar>
            <w:vAlign w:val="center"/>
            <w:hideMark/>
          </w:tcPr>
          <w:p w14:paraId="70A823E0" w14:textId="77777777" w:rsidR="00000000" w:rsidRDefault="00A173A8">
            <w:pPr>
              <w:spacing w:after="100"/>
              <w:jc w:val="right"/>
              <w:rPr>
                <w:rFonts w:eastAsia="Times New Roman"/>
              </w:rPr>
            </w:pPr>
          </w:p>
        </w:tc>
      </w:tr>
      <w:tr w:rsidR="00000000" w14:paraId="143EF690" w14:textId="77777777">
        <w:tc>
          <w:tcPr>
            <w:tcW w:w="0" w:type="auto"/>
            <w:gridSpan w:val="3"/>
            <w:shd w:val="clear" w:color="auto" w:fill="CCEEFF"/>
            <w:tcMar>
              <w:top w:w="30" w:type="dxa"/>
              <w:left w:w="245" w:type="dxa"/>
              <w:bottom w:w="30" w:type="dxa"/>
              <w:right w:w="20" w:type="dxa"/>
            </w:tcMar>
            <w:vAlign w:val="center"/>
            <w:hideMark/>
          </w:tcPr>
          <w:p w14:paraId="14F8A3C3" w14:textId="77777777" w:rsidR="00000000" w:rsidRDefault="00A173A8">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21AF371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9E189F4" w14:textId="77777777" w:rsidR="00000000" w:rsidRDefault="00A173A8">
            <w:pPr>
              <w:spacing w:after="100"/>
              <w:jc w:val="right"/>
              <w:rPr>
                <w:rFonts w:eastAsia="Times New Roman"/>
              </w:rPr>
            </w:pPr>
            <w:r>
              <w:rPr>
                <w:rFonts w:eastAsia="Times New Roman"/>
                <w:color w:val="000000"/>
                <w:sz w:val="18"/>
                <w:szCs w:val="18"/>
              </w:rPr>
              <w:t>792 </w:t>
            </w:r>
          </w:p>
        </w:tc>
        <w:tc>
          <w:tcPr>
            <w:tcW w:w="0" w:type="auto"/>
            <w:shd w:val="clear" w:color="auto" w:fill="CCEEFF"/>
            <w:tcMar>
              <w:top w:w="30" w:type="dxa"/>
              <w:left w:w="0" w:type="dxa"/>
              <w:bottom w:w="30" w:type="dxa"/>
              <w:right w:w="20" w:type="dxa"/>
            </w:tcMar>
            <w:vAlign w:val="center"/>
            <w:hideMark/>
          </w:tcPr>
          <w:p w14:paraId="3C76479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5E9B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03D43F"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65F2224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A73E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DE65C0" w14:textId="77777777" w:rsidR="00000000" w:rsidRDefault="00A173A8">
            <w:pPr>
              <w:spacing w:after="100"/>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center"/>
            <w:hideMark/>
          </w:tcPr>
          <w:p w14:paraId="18F24C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088B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0A73A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404BC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C794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54E949" w14:textId="77777777" w:rsidR="00000000" w:rsidRDefault="00A173A8">
            <w:pPr>
              <w:spacing w:after="100"/>
              <w:jc w:val="right"/>
              <w:rPr>
                <w:rFonts w:eastAsia="Times New Roman"/>
              </w:rPr>
            </w:pPr>
            <w:r>
              <w:rPr>
                <w:rFonts w:eastAsia="Times New Roman"/>
                <w:color w:val="000000"/>
                <w:sz w:val="18"/>
                <w:szCs w:val="18"/>
              </w:rPr>
              <w:t>996 </w:t>
            </w:r>
          </w:p>
        </w:tc>
        <w:tc>
          <w:tcPr>
            <w:tcW w:w="0" w:type="auto"/>
            <w:shd w:val="clear" w:color="auto" w:fill="CCEEFF"/>
            <w:tcMar>
              <w:top w:w="30" w:type="dxa"/>
              <w:left w:w="0" w:type="dxa"/>
              <w:bottom w:w="30" w:type="dxa"/>
              <w:right w:w="20" w:type="dxa"/>
            </w:tcMar>
            <w:vAlign w:val="center"/>
            <w:hideMark/>
          </w:tcPr>
          <w:p w14:paraId="1B868F95" w14:textId="77777777" w:rsidR="00000000" w:rsidRDefault="00A173A8">
            <w:pPr>
              <w:spacing w:after="100"/>
              <w:jc w:val="right"/>
              <w:rPr>
                <w:rFonts w:eastAsia="Times New Roman"/>
              </w:rPr>
            </w:pPr>
          </w:p>
        </w:tc>
      </w:tr>
      <w:tr w:rsidR="00000000" w14:paraId="2EC50878" w14:textId="77777777">
        <w:tc>
          <w:tcPr>
            <w:tcW w:w="0" w:type="auto"/>
            <w:gridSpan w:val="3"/>
            <w:shd w:val="clear" w:color="auto" w:fill="FFFFFF"/>
            <w:tcMar>
              <w:top w:w="30" w:type="dxa"/>
              <w:left w:w="20" w:type="dxa"/>
              <w:bottom w:w="30" w:type="dxa"/>
              <w:right w:w="20" w:type="dxa"/>
            </w:tcMar>
            <w:vAlign w:val="center"/>
            <w:hideMark/>
          </w:tcPr>
          <w:p w14:paraId="4E85A4F7" w14:textId="77777777" w:rsidR="00000000" w:rsidRDefault="00A173A8">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78166979"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ED94DAE" w14:textId="77777777" w:rsidR="00000000" w:rsidRDefault="00A173A8">
            <w:pPr>
              <w:spacing w:after="100"/>
              <w:jc w:val="right"/>
              <w:rPr>
                <w:rFonts w:eastAsia="Times New Roman"/>
              </w:rPr>
            </w:pPr>
            <w:r>
              <w:rPr>
                <w:rFonts w:eastAsia="Times New Roman"/>
                <w:color w:val="000000"/>
                <w:sz w:val="18"/>
                <w:szCs w:val="18"/>
              </w:rPr>
              <w:t>73,385 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185D67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816D4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E4ABCD2" w14:textId="77777777" w:rsidR="00000000" w:rsidRDefault="00A173A8">
            <w:pPr>
              <w:spacing w:after="100"/>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3AB7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55D9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031E80" w14:textId="77777777" w:rsidR="00000000" w:rsidRDefault="00A173A8">
            <w:pPr>
              <w:spacing w:after="100"/>
              <w:jc w:val="right"/>
              <w:rPr>
                <w:rFonts w:eastAsia="Times New Roman"/>
              </w:rPr>
            </w:pPr>
            <w:r>
              <w:rPr>
                <w:rFonts w:eastAsia="Times New Roman"/>
                <w:color w:val="000000"/>
                <w:sz w:val="18"/>
                <w:szCs w:val="18"/>
              </w:rPr>
              <w:t>1,163 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B5EF6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D8F7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F65B4A6" w14:textId="77777777" w:rsidR="00000000" w:rsidRDefault="00A173A8">
            <w:pPr>
              <w:spacing w:after="100"/>
              <w:jc w:val="right"/>
              <w:rPr>
                <w:rFonts w:eastAsia="Times New Roman"/>
              </w:rPr>
            </w:pPr>
            <w:r>
              <w:rPr>
                <w:rFonts w:eastAsia="Times New Roman"/>
                <w:color w:val="000000"/>
                <w:sz w:val="18"/>
                <w:szCs w:val="18"/>
              </w:rPr>
              <w:t>(931)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D03E2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CABE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88B283D" w14:textId="77777777" w:rsidR="00000000" w:rsidRDefault="00A173A8">
            <w:pPr>
              <w:spacing w:after="100"/>
              <w:jc w:val="right"/>
              <w:rPr>
                <w:rFonts w:eastAsia="Times New Roman"/>
              </w:rPr>
            </w:pPr>
            <w:r>
              <w:rPr>
                <w:rFonts w:eastAsia="Times New Roman"/>
                <w:color w:val="000000"/>
                <w:sz w:val="18"/>
                <w:szCs w:val="18"/>
              </w:rPr>
              <w:t>73,616 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9380E7" w14:textId="77777777" w:rsidR="00000000" w:rsidRDefault="00A173A8">
            <w:pPr>
              <w:spacing w:after="100"/>
              <w:jc w:val="right"/>
              <w:rPr>
                <w:rFonts w:eastAsia="Times New Roman"/>
              </w:rPr>
            </w:pPr>
          </w:p>
        </w:tc>
      </w:tr>
      <w:tr w:rsidR="00000000" w14:paraId="5C476B15" w14:textId="77777777">
        <w:tc>
          <w:tcPr>
            <w:tcW w:w="0" w:type="auto"/>
            <w:gridSpan w:val="3"/>
            <w:shd w:val="clear" w:color="auto" w:fill="CCEEFF"/>
            <w:tcMar>
              <w:top w:w="30" w:type="dxa"/>
              <w:left w:w="20" w:type="dxa"/>
              <w:bottom w:w="30" w:type="dxa"/>
              <w:right w:w="20" w:type="dxa"/>
            </w:tcMar>
            <w:vAlign w:val="center"/>
            <w:hideMark/>
          </w:tcPr>
          <w:p w14:paraId="57E2A24F" w14:textId="77777777" w:rsidR="00000000" w:rsidRDefault="00A173A8">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14:paraId="2C798BD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DF57F9B" w14:textId="77777777" w:rsidR="00000000" w:rsidRDefault="00A173A8">
            <w:pPr>
              <w:spacing w:after="100"/>
              <w:jc w:val="right"/>
              <w:rPr>
                <w:rFonts w:eastAsia="Times New Roman"/>
              </w:rPr>
            </w:pPr>
            <w:r>
              <w:rPr>
                <w:rFonts w:eastAsia="Times New Roman"/>
                <w:color w:val="000000"/>
                <w:sz w:val="18"/>
                <w:szCs w:val="18"/>
              </w:rPr>
              <w:t>9,237 </w:t>
            </w:r>
          </w:p>
        </w:tc>
        <w:tc>
          <w:tcPr>
            <w:tcW w:w="0" w:type="auto"/>
            <w:shd w:val="clear" w:color="auto" w:fill="CCEEFF"/>
            <w:tcMar>
              <w:top w:w="30" w:type="dxa"/>
              <w:left w:w="0" w:type="dxa"/>
              <w:bottom w:w="30" w:type="dxa"/>
              <w:right w:w="20" w:type="dxa"/>
            </w:tcMar>
            <w:vAlign w:val="center"/>
            <w:hideMark/>
          </w:tcPr>
          <w:p w14:paraId="5E2D3D5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813B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3A3CA2"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E35002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54725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B39C6B" w14:textId="77777777" w:rsidR="00000000" w:rsidRDefault="00A173A8">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14:paraId="718497C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F7E2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57049D" w14:textId="77777777" w:rsidR="00000000" w:rsidRDefault="00A173A8">
            <w:pPr>
              <w:spacing w:after="100"/>
              <w:jc w:val="right"/>
              <w:rPr>
                <w:rFonts w:eastAsia="Times New Roman"/>
              </w:rPr>
            </w:pPr>
            <w:r>
              <w:rPr>
                <w:rFonts w:eastAsia="Times New Roman"/>
                <w:color w:val="000000"/>
                <w:sz w:val="18"/>
                <w:szCs w:val="18"/>
              </w:rPr>
              <w:t>(63)</w:t>
            </w:r>
          </w:p>
        </w:tc>
        <w:tc>
          <w:tcPr>
            <w:tcW w:w="0" w:type="auto"/>
            <w:shd w:val="clear" w:color="auto" w:fill="CCEEFF"/>
            <w:tcMar>
              <w:top w:w="30" w:type="dxa"/>
              <w:left w:w="0" w:type="dxa"/>
              <w:bottom w:w="30" w:type="dxa"/>
              <w:right w:w="20" w:type="dxa"/>
            </w:tcMar>
            <w:vAlign w:val="center"/>
            <w:hideMark/>
          </w:tcPr>
          <w:p w14:paraId="5458FD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0440F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3D6B1F" w14:textId="77777777" w:rsidR="00000000" w:rsidRDefault="00A173A8">
            <w:pPr>
              <w:spacing w:after="100"/>
              <w:jc w:val="right"/>
              <w:rPr>
                <w:rFonts w:eastAsia="Times New Roman"/>
              </w:rPr>
            </w:pPr>
            <w:r>
              <w:rPr>
                <w:rFonts w:eastAsia="Times New Roman"/>
                <w:color w:val="000000"/>
                <w:sz w:val="18"/>
                <w:szCs w:val="18"/>
              </w:rPr>
              <w:t>9,369 </w:t>
            </w:r>
          </w:p>
        </w:tc>
        <w:tc>
          <w:tcPr>
            <w:tcW w:w="0" w:type="auto"/>
            <w:shd w:val="clear" w:color="auto" w:fill="CCEEFF"/>
            <w:tcMar>
              <w:top w:w="30" w:type="dxa"/>
              <w:left w:w="0" w:type="dxa"/>
              <w:bottom w:w="30" w:type="dxa"/>
              <w:right w:w="20" w:type="dxa"/>
            </w:tcMar>
            <w:vAlign w:val="center"/>
            <w:hideMark/>
          </w:tcPr>
          <w:p w14:paraId="32435602" w14:textId="77777777" w:rsidR="00000000" w:rsidRDefault="00A173A8">
            <w:pPr>
              <w:spacing w:after="100"/>
              <w:jc w:val="right"/>
              <w:rPr>
                <w:rFonts w:eastAsia="Times New Roman"/>
              </w:rPr>
            </w:pPr>
          </w:p>
        </w:tc>
      </w:tr>
      <w:tr w:rsidR="00000000" w14:paraId="094A3240" w14:textId="77777777">
        <w:tc>
          <w:tcPr>
            <w:tcW w:w="0" w:type="auto"/>
            <w:gridSpan w:val="3"/>
            <w:shd w:val="clear" w:color="auto" w:fill="FFFFFF"/>
            <w:tcMar>
              <w:top w:w="30" w:type="dxa"/>
              <w:left w:w="20" w:type="dxa"/>
              <w:bottom w:w="30" w:type="dxa"/>
              <w:right w:w="20" w:type="dxa"/>
            </w:tcMar>
            <w:vAlign w:val="center"/>
            <w:hideMark/>
          </w:tcPr>
          <w:p w14:paraId="3AE3F519" w14:textId="77777777" w:rsidR="00000000" w:rsidRDefault="00A173A8">
            <w:pPr>
              <w:spacing w:after="100"/>
              <w:divId w:val="1932421916"/>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63E8C3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895BC13" w14:textId="77777777" w:rsidR="00000000" w:rsidRDefault="00A173A8">
            <w:pPr>
              <w:spacing w:after="100"/>
              <w:jc w:val="right"/>
              <w:rPr>
                <w:rFonts w:eastAsia="Times New Roman"/>
              </w:rPr>
            </w:pPr>
            <w:r>
              <w:rPr>
                <w:rFonts w:eastAsia="Times New Roman"/>
                <w:color w:val="000000"/>
                <w:sz w:val="18"/>
                <w:szCs w:val="18"/>
              </w:rPr>
              <w:t>2,830 </w:t>
            </w:r>
          </w:p>
        </w:tc>
        <w:tc>
          <w:tcPr>
            <w:tcW w:w="0" w:type="auto"/>
            <w:shd w:val="clear" w:color="auto" w:fill="FFFFFF"/>
            <w:tcMar>
              <w:top w:w="30" w:type="dxa"/>
              <w:left w:w="0" w:type="dxa"/>
              <w:bottom w:w="30" w:type="dxa"/>
              <w:right w:w="20" w:type="dxa"/>
            </w:tcMar>
            <w:vAlign w:val="center"/>
            <w:hideMark/>
          </w:tcPr>
          <w:p w14:paraId="635CF12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9D481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E3F7D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7A7F09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6740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5E04FC" w14:textId="77777777" w:rsidR="00000000" w:rsidRDefault="00A173A8">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14:paraId="29F22C9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5512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273D21" w14:textId="77777777" w:rsidR="00000000" w:rsidRDefault="00A173A8">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14:paraId="5360ED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80A77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A65828" w14:textId="77777777" w:rsidR="00000000" w:rsidRDefault="00A173A8">
            <w:pPr>
              <w:spacing w:after="100"/>
              <w:jc w:val="right"/>
              <w:rPr>
                <w:rFonts w:eastAsia="Times New Roman"/>
              </w:rPr>
            </w:pPr>
            <w:r>
              <w:rPr>
                <w:rFonts w:eastAsia="Times New Roman"/>
                <w:color w:val="000000"/>
                <w:sz w:val="18"/>
                <w:szCs w:val="18"/>
              </w:rPr>
              <w:t>2,834 </w:t>
            </w:r>
          </w:p>
        </w:tc>
        <w:tc>
          <w:tcPr>
            <w:tcW w:w="0" w:type="auto"/>
            <w:shd w:val="clear" w:color="auto" w:fill="FFFFFF"/>
            <w:tcMar>
              <w:top w:w="30" w:type="dxa"/>
              <w:left w:w="0" w:type="dxa"/>
              <w:bottom w:w="30" w:type="dxa"/>
              <w:right w:w="20" w:type="dxa"/>
            </w:tcMar>
            <w:vAlign w:val="center"/>
            <w:hideMark/>
          </w:tcPr>
          <w:p w14:paraId="2A909FAB" w14:textId="77777777" w:rsidR="00000000" w:rsidRDefault="00A173A8">
            <w:pPr>
              <w:spacing w:after="100"/>
              <w:jc w:val="right"/>
              <w:rPr>
                <w:rFonts w:eastAsia="Times New Roman"/>
              </w:rPr>
            </w:pPr>
          </w:p>
        </w:tc>
      </w:tr>
      <w:tr w:rsidR="00000000" w14:paraId="733191AC" w14:textId="77777777">
        <w:tc>
          <w:tcPr>
            <w:tcW w:w="0" w:type="auto"/>
            <w:gridSpan w:val="3"/>
            <w:shd w:val="clear" w:color="auto" w:fill="CCEEFF"/>
            <w:tcMar>
              <w:top w:w="30" w:type="dxa"/>
              <w:left w:w="20" w:type="dxa"/>
              <w:bottom w:w="30" w:type="dxa"/>
              <w:right w:w="20" w:type="dxa"/>
            </w:tcMar>
            <w:vAlign w:val="center"/>
            <w:hideMark/>
          </w:tcPr>
          <w:p w14:paraId="7E766D87" w14:textId="77777777" w:rsidR="00000000" w:rsidRDefault="00A173A8">
            <w:pPr>
              <w:spacing w:after="100"/>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14:paraId="2054E1A9"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361CF8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A647F83" w14:textId="77777777" w:rsidR="00000000" w:rsidRDefault="00A173A8">
            <w:pPr>
              <w:spacing w:after="100"/>
              <w:jc w:val="right"/>
              <w:rPr>
                <w:rFonts w:eastAsia="Times New Roman"/>
              </w:rPr>
            </w:pPr>
            <w:r>
              <w:rPr>
                <w:rFonts w:eastAsia="Times New Roman"/>
                <w:color w:val="000000"/>
                <w:sz w:val="18"/>
                <w:szCs w:val="18"/>
              </w:rPr>
              <w:t>94,871 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C7C81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6FE65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2E4021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0317443" w14:textId="77777777" w:rsidR="00000000" w:rsidRDefault="00A173A8">
            <w:pPr>
              <w:spacing w:after="100"/>
              <w:jc w:val="right"/>
              <w:rPr>
                <w:rFonts w:eastAsia="Times New Roman"/>
              </w:rPr>
            </w:pPr>
            <w:r>
              <w:rPr>
                <w:rFonts w:eastAsia="Times New Roman"/>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4461F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0F58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417A47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A0C54A5" w14:textId="77777777" w:rsidR="00000000" w:rsidRDefault="00A173A8">
            <w:pPr>
              <w:spacing w:after="100"/>
              <w:jc w:val="right"/>
              <w:rPr>
                <w:rFonts w:eastAsia="Times New Roman"/>
              </w:rPr>
            </w:pPr>
            <w:r>
              <w:rPr>
                <w:rFonts w:eastAsia="Times New Roman"/>
                <w:color w:val="000000"/>
                <w:sz w:val="18"/>
                <w:szCs w:val="18"/>
              </w:rPr>
              <w:t>1,387 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61836B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84FE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61EB5C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32F5640" w14:textId="77777777" w:rsidR="00000000" w:rsidRDefault="00A173A8">
            <w:pPr>
              <w:spacing w:after="100"/>
              <w:jc w:val="right"/>
              <w:rPr>
                <w:rFonts w:eastAsia="Times New Roman"/>
              </w:rPr>
            </w:pPr>
            <w:r>
              <w:rPr>
                <w:rFonts w:eastAsia="Times New Roman"/>
                <w:color w:val="000000"/>
                <w:sz w:val="18"/>
                <w:szCs w:val="18"/>
              </w:rPr>
              <w:t>(996)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A0CA45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AC98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2E1DA9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D8AD20F" w14:textId="77777777" w:rsidR="00000000" w:rsidRDefault="00A173A8">
            <w:pPr>
              <w:spacing w:after="100"/>
              <w:jc w:val="right"/>
              <w:rPr>
                <w:rFonts w:eastAsia="Times New Roman"/>
              </w:rPr>
            </w:pPr>
            <w:r>
              <w:rPr>
                <w:rFonts w:eastAsia="Times New Roman"/>
                <w:color w:val="000000"/>
                <w:sz w:val="18"/>
                <w:szCs w:val="18"/>
              </w:rPr>
              <w:t>95,261 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1A933B6" w14:textId="77777777" w:rsidR="00000000" w:rsidRDefault="00A173A8">
            <w:pPr>
              <w:spacing w:after="100"/>
              <w:jc w:val="right"/>
              <w:rPr>
                <w:rFonts w:eastAsia="Times New Roman"/>
              </w:rPr>
            </w:pPr>
          </w:p>
        </w:tc>
      </w:tr>
    </w:tbl>
    <w:p w14:paraId="4FAE7B67" w14:textId="77777777" w:rsidR="00000000" w:rsidRDefault="00A173A8">
      <w:pPr>
        <w:divId w:val="1186555384"/>
        <w:rPr>
          <w:rFonts w:eastAsia="Times New Roman"/>
        </w:rPr>
      </w:pPr>
      <w:r>
        <w:rPr>
          <w:rFonts w:eastAsia="Times New Roman"/>
          <w:b/>
          <w:bCs/>
          <w:color w:val="000000"/>
          <w:sz w:val="18"/>
          <w:szCs w:val="18"/>
        </w:rPr>
        <w:t>__________    </w:t>
      </w:r>
    </w:p>
    <w:p w14:paraId="73C10B70" w14:textId="77777777" w:rsidR="00000000" w:rsidRDefault="00A173A8">
      <w:pPr>
        <w:ind w:hanging="360"/>
        <w:jc w:val="both"/>
        <w:divId w:val="4117328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$566 million and $2.0 billion of asset-backed securities (“ABS”) as of June 30, 2022 and December 31, 2021 respectively. The remaining amount is primarily comprised of supranat</w:t>
      </w:r>
      <w:r>
        <w:rPr>
          <w:rFonts w:eastAsia="Times New Roman"/>
          <w:color w:val="000000"/>
          <w:sz w:val="16"/>
          <w:szCs w:val="16"/>
        </w:rPr>
        <w:t>ional bonds and foreign government bonds.</w:t>
      </w:r>
    </w:p>
    <w:p w14:paraId="4FE0AC8A" w14:textId="77777777" w:rsidR="00000000" w:rsidRDefault="00A173A8">
      <w:pPr>
        <w:divId w:val="1834831703"/>
        <w:rPr>
          <w:rFonts w:eastAsia="Times New Roman"/>
        </w:rPr>
      </w:pPr>
      <w:r>
        <w:rPr>
          <w:rFonts w:eastAsia="Times New Roman"/>
          <w:b/>
          <w:bCs/>
          <w:color w:val="000000"/>
          <w:sz w:val="20"/>
          <w:szCs w:val="20"/>
        </w:rPr>
        <w:t>Investment Securities in a Gross Unrealized Loss Position</w:t>
      </w:r>
    </w:p>
    <w:p w14:paraId="794816DA" w14:textId="77777777" w:rsidR="00000000" w:rsidRDefault="00A173A8">
      <w:pPr>
        <w:jc w:val="both"/>
        <w:divId w:val="1478380975"/>
        <w:rPr>
          <w:rFonts w:eastAsia="Times New Roman"/>
        </w:rPr>
      </w:pPr>
      <w:r>
        <w:rPr>
          <w:rFonts w:eastAsia="Times New Roman"/>
          <w:color w:val="000000"/>
          <w:sz w:val="20"/>
          <w:szCs w:val="20"/>
        </w:rPr>
        <w:t>The table below provides the gross unrealized losses and fair value of our securities available for sale aggregated by major security type and the length of time that individual securities have been in a continuous unrealized loss position as of June 30, 2</w:t>
      </w:r>
      <w:r>
        <w:rPr>
          <w:rFonts w:eastAsia="Times New Roman"/>
          <w:color w:val="000000"/>
          <w:sz w:val="20"/>
          <w:szCs w:val="20"/>
        </w:rPr>
        <w:t xml:space="preserve">022 and December 31, 2021. The amounts include securities available for sale without an allowance for credit losses.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90FB01D" w14:textId="77777777">
        <w:trPr>
          <w:divId w:val="952053214"/>
          <w:jc w:val="center"/>
        </w:trPr>
        <w:tc>
          <w:tcPr>
            <w:tcW w:w="50" w:type="pct"/>
            <w:vAlign w:val="center"/>
            <w:hideMark/>
          </w:tcPr>
          <w:p w14:paraId="5DA1988A" w14:textId="77777777" w:rsidR="00000000" w:rsidRDefault="00A173A8">
            <w:pPr>
              <w:jc w:val="both"/>
              <w:rPr>
                <w:rFonts w:eastAsia="Times New Roman"/>
              </w:rPr>
            </w:pPr>
          </w:p>
        </w:tc>
        <w:tc>
          <w:tcPr>
            <w:tcW w:w="1606" w:type="pct"/>
            <w:vAlign w:val="center"/>
            <w:hideMark/>
          </w:tcPr>
          <w:p w14:paraId="1B65BCFA" w14:textId="77777777" w:rsidR="00000000" w:rsidRDefault="00A173A8">
            <w:pPr>
              <w:spacing w:after="100"/>
              <w:rPr>
                <w:rFonts w:eastAsia="Times New Roman"/>
                <w:sz w:val="20"/>
                <w:szCs w:val="20"/>
              </w:rPr>
            </w:pPr>
          </w:p>
        </w:tc>
        <w:tc>
          <w:tcPr>
            <w:tcW w:w="5" w:type="pct"/>
            <w:vAlign w:val="center"/>
            <w:hideMark/>
          </w:tcPr>
          <w:p w14:paraId="290F8A4E" w14:textId="77777777" w:rsidR="00000000" w:rsidRDefault="00A173A8">
            <w:pPr>
              <w:spacing w:after="100"/>
              <w:rPr>
                <w:rFonts w:eastAsia="Times New Roman"/>
                <w:sz w:val="20"/>
                <w:szCs w:val="20"/>
              </w:rPr>
            </w:pPr>
          </w:p>
        </w:tc>
        <w:tc>
          <w:tcPr>
            <w:tcW w:w="50" w:type="pct"/>
            <w:vAlign w:val="center"/>
            <w:hideMark/>
          </w:tcPr>
          <w:p w14:paraId="543990C0" w14:textId="77777777" w:rsidR="00000000" w:rsidRDefault="00A173A8">
            <w:pPr>
              <w:spacing w:after="100"/>
              <w:rPr>
                <w:rFonts w:eastAsia="Times New Roman"/>
                <w:sz w:val="20"/>
                <w:szCs w:val="20"/>
              </w:rPr>
            </w:pPr>
          </w:p>
        </w:tc>
        <w:tc>
          <w:tcPr>
            <w:tcW w:w="1614" w:type="pct"/>
            <w:vAlign w:val="center"/>
            <w:hideMark/>
          </w:tcPr>
          <w:p w14:paraId="3F72FB5A" w14:textId="77777777" w:rsidR="00000000" w:rsidRDefault="00A173A8">
            <w:pPr>
              <w:spacing w:after="100"/>
              <w:rPr>
                <w:rFonts w:eastAsia="Times New Roman"/>
                <w:sz w:val="20"/>
                <w:szCs w:val="20"/>
              </w:rPr>
            </w:pPr>
          </w:p>
        </w:tc>
        <w:tc>
          <w:tcPr>
            <w:tcW w:w="5" w:type="pct"/>
            <w:vAlign w:val="center"/>
            <w:hideMark/>
          </w:tcPr>
          <w:p w14:paraId="39219139" w14:textId="77777777" w:rsidR="00000000" w:rsidRDefault="00A173A8">
            <w:pPr>
              <w:spacing w:after="100"/>
              <w:rPr>
                <w:rFonts w:eastAsia="Times New Roman"/>
                <w:sz w:val="20"/>
                <w:szCs w:val="20"/>
              </w:rPr>
            </w:pPr>
          </w:p>
        </w:tc>
        <w:tc>
          <w:tcPr>
            <w:tcW w:w="50" w:type="pct"/>
            <w:vAlign w:val="center"/>
            <w:hideMark/>
          </w:tcPr>
          <w:p w14:paraId="57CD1644" w14:textId="77777777" w:rsidR="00000000" w:rsidRDefault="00A173A8">
            <w:pPr>
              <w:spacing w:after="100"/>
              <w:rPr>
                <w:rFonts w:eastAsia="Times New Roman"/>
                <w:sz w:val="20"/>
                <w:szCs w:val="20"/>
              </w:rPr>
            </w:pPr>
          </w:p>
        </w:tc>
        <w:tc>
          <w:tcPr>
            <w:tcW w:w="1614" w:type="pct"/>
            <w:vAlign w:val="center"/>
            <w:hideMark/>
          </w:tcPr>
          <w:p w14:paraId="71DC1162" w14:textId="77777777" w:rsidR="00000000" w:rsidRDefault="00A173A8">
            <w:pPr>
              <w:spacing w:after="100"/>
              <w:rPr>
                <w:rFonts w:eastAsia="Times New Roman"/>
                <w:sz w:val="20"/>
                <w:szCs w:val="20"/>
              </w:rPr>
            </w:pPr>
          </w:p>
        </w:tc>
        <w:tc>
          <w:tcPr>
            <w:tcW w:w="5" w:type="pct"/>
            <w:vAlign w:val="center"/>
            <w:hideMark/>
          </w:tcPr>
          <w:p w14:paraId="2293BEE9" w14:textId="77777777" w:rsidR="00000000" w:rsidRDefault="00A173A8">
            <w:pPr>
              <w:spacing w:after="100"/>
              <w:rPr>
                <w:rFonts w:eastAsia="Times New Roman"/>
                <w:sz w:val="20"/>
                <w:szCs w:val="20"/>
              </w:rPr>
            </w:pPr>
          </w:p>
        </w:tc>
      </w:tr>
      <w:tr w:rsidR="00000000" w14:paraId="096A7AB9" w14:textId="77777777">
        <w:trPr>
          <w:divId w:val="952053214"/>
          <w:trHeight w:val="300"/>
          <w:jc w:val="center"/>
        </w:trPr>
        <w:tc>
          <w:tcPr>
            <w:tcW w:w="0" w:type="auto"/>
            <w:gridSpan w:val="9"/>
            <w:tcMar>
              <w:top w:w="0" w:type="dxa"/>
              <w:left w:w="20" w:type="dxa"/>
              <w:bottom w:w="0" w:type="dxa"/>
              <w:right w:w="20" w:type="dxa"/>
            </w:tcMar>
            <w:vAlign w:val="center"/>
            <w:hideMark/>
          </w:tcPr>
          <w:p w14:paraId="09E3F63F" w14:textId="77777777" w:rsidR="00000000" w:rsidRDefault="00A173A8">
            <w:pPr>
              <w:spacing w:after="100"/>
              <w:rPr>
                <w:rFonts w:eastAsia="Times New Roman"/>
                <w:sz w:val="20"/>
                <w:szCs w:val="20"/>
              </w:rPr>
            </w:pPr>
          </w:p>
        </w:tc>
      </w:tr>
      <w:tr w:rsidR="00000000" w14:paraId="38C657FD" w14:textId="77777777">
        <w:trPr>
          <w:divId w:val="952053214"/>
          <w:jc w:val="center"/>
        </w:trPr>
        <w:tc>
          <w:tcPr>
            <w:tcW w:w="0" w:type="auto"/>
            <w:gridSpan w:val="3"/>
            <w:tcMar>
              <w:top w:w="0" w:type="dxa"/>
              <w:left w:w="20" w:type="dxa"/>
              <w:bottom w:w="0" w:type="dxa"/>
              <w:right w:w="20" w:type="dxa"/>
            </w:tcMar>
            <w:vAlign w:val="center"/>
            <w:hideMark/>
          </w:tcPr>
          <w:p w14:paraId="54F2C8A6"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108600D" w14:textId="77777777" w:rsidR="00000000" w:rsidRDefault="00A173A8">
            <w:pPr>
              <w:spacing w:after="100"/>
              <w:jc w:val="center"/>
              <w:rPr>
                <w:rFonts w:eastAsia="Times New Roman"/>
              </w:rPr>
            </w:pPr>
            <w:r>
              <w:rPr>
                <w:rFonts w:eastAsia="Times New Roman"/>
                <w:color w:val="000000"/>
                <w:sz w:val="16"/>
                <w:szCs w:val="16"/>
              </w:rPr>
              <w:t>72</w:t>
            </w:r>
          </w:p>
        </w:tc>
        <w:tc>
          <w:tcPr>
            <w:tcW w:w="0" w:type="auto"/>
            <w:gridSpan w:val="3"/>
            <w:tcMar>
              <w:top w:w="30" w:type="dxa"/>
              <w:left w:w="20" w:type="dxa"/>
              <w:bottom w:w="30" w:type="dxa"/>
              <w:right w:w="20" w:type="dxa"/>
            </w:tcMar>
            <w:vAlign w:val="bottom"/>
            <w:hideMark/>
          </w:tcPr>
          <w:p w14:paraId="39597ABC"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C2A541C" w14:textId="77777777" w:rsidR="00000000" w:rsidRDefault="00A173A8">
      <w:pPr>
        <w:rPr>
          <w:rFonts w:eastAsia="Times New Roman"/>
        </w:rPr>
      </w:pPr>
      <w:r>
        <w:rPr>
          <w:rFonts w:eastAsia="Times New Roman"/>
        </w:rPr>
        <w:pict w14:anchorId="3087A171">
          <v:rect id="_x0000_i1097" style="width:0;height:1.5pt" o:hralign="center" o:hrstd="t" o:hr="t" fillcolor="#a0a0a0" stroked="f"/>
        </w:pict>
      </w:r>
    </w:p>
    <w:p w14:paraId="6EE98FC9" w14:textId="77777777" w:rsidR="00000000" w:rsidRDefault="00A173A8">
      <w:pPr>
        <w:jc w:val="both"/>
        <w:divId w:val="1473330141"/>
        <w:rPr>
          <w:rFonts w:eastAsia="Times New Roman"/>
        </w:rPr>
      </w:pPr>
      <w:hyperlink w:anchor="i7ffd5d61af6f4722b1b1b07530d51c06_13" w:history="1">
        <w:r>
          <w:rPr>
            <w:rStyle w:val="a3"/>
            <w:rFonts w:eastAsia="Times New Roman"/>
            <w:sz w:val="16"/>
            <w:szCs w:val="16"/>
          </w:rPr>
          <w:t>Table of Contents</w:t>
        </w:r>
      </w:hyperlink>
    </w:p>
    <w:p w14:paraId="113DF527" w14:textId="77777777" w:rsidR="00000000" w:rsidRDefault="00A173A8">
      <w:pPr>
        <w:divId w:val="801459170"/>
        <w:rPr>
          <w:rFonts w:eastAsia="Times New Roman"/>
        </w:rPr>
      </w:pPr>
      <w:r>
        <w:rPr>
          <w:rFonts w:eastAsia="Times New Roman"/>
          <w:b/>
          <w:bCs/>
          <w:color w:val="000000"/>
          <w:sz w:val="18"/>
          <w:szCs w:val="18"/>
        </w:rPr>
        <w:t>Table 2.2: Securities in a Gross Unrealized Loss Position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14:paraId="301D45F4" w14:textId="77777777">
        <w:trPr>
          <w:divId w:val="701594081"/>
        </w:trPr>
        <w:tc>
          <w:tcPr>
            <w:tcW w:w="50" w:type="pct"/>
            <w:vAlign w:val="center"/>
            <w:hideMark/>
          </w:tcPr>
          <w:p w14:paraId="10F298A3" w14:textId="77777777" w:rsidR="00000000" w:rsidRDefault="00A173A8">
            <w:pPr>
              <w:rPr>
                <w:rFonts w:eastAsia="Times New Roman"/>
              </w:rPr>
            </w:pPr>
          </w:p>
        </w:tc>
        <w:tc>
          <w:tcPr>
            <w:tcW w:w="2137" w:type="pct"/>
            <w:vAlign w:val="center"/>
            <w:hideMark/>
          </w:tcPr>
          <w:p w14:paraId="45D652EC" w14:textId="77777777" w:rsidR="00000000" w:rsidRDefault="00A173A8">
            <w:pPr>
              <w:spacing w:after="100"/>
              <w:rPr>
                <w:rFonts w:eastAsia="Times New Roman"/>
                <w:sz w:val="20"/>
                <w:szCs w:val="20"/>
              </w:rPr>
            </w:pPr>
          </w:p>
        </w:tc>
        <w:tc>
          <w:tcPr>
            <w:tcW w:w="5" w:type="pct"/>
            <w:vAlign w:val="center"/>
            <w:hideMark/>
          </w:tcPr>
          <w:p w14:paraId="4A37F9EE" w14:textId="77777777" w:rsidR="00000000" w:rsidRDefault="00A173A8">
            <w:pPr>
              <w:spacing w:after="100"/>
              <w:rPr>
                <w:rFonts w:eastAsia="Times New Roman"/>
                <w:sz w:val="20"/>
                <w:szCs w:val="20"/>
              </w:rPr>
            </w:pPr>
          </w:p>
        </w:tc>
        <w:tc>
          <w:tcPr>
            <w:tcW w:w="5" w:type="pct"/>
            <w:vAlign w:val="center"/>
            <w:hideMark/>
          </w:tcPr>
          <w:p w14:paraId="607C0344" w14:textId="77777777" w:rsidR="00000000" w:rsidRDefault="00A173A8">
            <w:pPr>
              <w:spacing w:after="100"/>
              <w:rPr>
                <w:rFonts w:eastAsia="Times New Roman"/>
                <w:sz w:val="20"/>
                <w:szCs w:val="20"/>
              </w:rPr>
            </w:pPr>
          </w:p>
        </w:tc>
        <w:tc>
          <w:tcPr>
            <w:tcW w:w="26" w:type="pct"/>
            <w:vAlign w:val="center"/>
            <w:hideMark/>
          </w:tcPr>
          <w:p w14:paraId="10961F73" w14:textId="77777777" w:rsidR="00000000" w:rsidRDefault="00A173A8">
            <w:pPr>
              <w:spacing w:after="100"/>
              <w:rPr>
                <w:rFonts w:eastAsia="Times New Roman"/>
                <w:sz w:val="20"/>
                <w:szCs w:val="20"/>
              </w:rPr>
            </w:pPr>
          </w:p>
        </w:tc>
        <w:tc>
          <w:tcPr>
            <w:tcW w:w="5" w:type="pct"/>
            <w:vAlign w:val="center"/>
            <w:hideMark/>
          </w:tcPr>
          <w:p w14:paraId="6A4126C9" w14:textId="77777777" w:rsidR="00000000" w:rsidRDefault="00A173A8">
            <w:pPr>
              <w:spacing w:after="100"/>
              <w:rPr>
                <w:rFonts w:eastAsia="Times New Roman"/>
                <w:sz w:val="20"/>
                <w:szCs w:val="20"/>
              </w:rPr>
            </w:pPr>
          </w:p>
        </w:tc>
        <w:tc>
          <w:tcPr>
            <w:tcW w:w="50" w:type="pct"/>
            <w:vAlign w:val="center"/>
            <w:hideMark/>
          </w:tcPr>
          <w:p w14:paraId="6079ED12" w14:textId="77777777" w:rsidR="00000000" w:rsidRDefault="00A173A8">
            <w:pPr>
              <w:spacing w:after="100"/>
              <w:rPr>
                <w:rFonts w:eastAsia="Times New Roman"/>
                <w:sz w:val="20"/>
                <w:szCs w:val="20"/>
              </w:rPr>
            </w:pPr>
          </w:p>
        </w:tc>
        <w:tc>
          <w:tcPr>
            <w:tcW w:w="376" w:type="pct"/>
            <w:vAlign w:val="center"/>
            <w:hideMark/>
          </w:tcPr>
          <w:p w14:paraId="4088B5A3" w14:textId="77777777" w:rsidR="00000000" w:rsidRDefault="00A173A8">
            <w:pPr>
              <w:spacing w:after="100"/>
              <w:rPr>
                <w:rFonts w:eastAsia="Times New Roman"/>
                <w:sz w:val="20"/>
                <w:szCs w:val="20"/>
              </w:rPr>
            </w:pPr>
          </w:p>
        </w:tc>
        <w:tc>
          <w:tcPr>
            <w:tcW w:w="5" w:type="pct"/>
            <w:vAlign w:val="center"/>
            <w:hideMark/>
          </w:tcPr>
          <w:p w14:paraId="57AD0FD8" w14:textId="77777777" w:rsidR="00000000" w:rsidRDefault="00A173A8">
            <w:pPr>
              <w:spacing w:after="100"/>
              <w:rPr>
                <w:rFonts w:eastAsia="Times New Roman"/>
                <w:sz w:val="20"/>
                <w:szCs w:val="20"/>
              </w:rPr>
            </w:pPr>
          </w:p>
        </w:tc>
        <w:tc>
          <w:tcPr>
            <w:tcW w:w="5" w:type="pct"/>
            <w:vAlign w:val="center"/>
            <w:hideMark/>
          </w:tcPr>
          <w:p w14:paraId="2545C54F" w14:textId="77777777" w:rsidR="00000000" w:rsidRDefault="00A173A8">
            <w:pPr>
              <w:spacing w:after="100"/>
              <w:rPr>
                <w:rFonts w:eastAsia="Times New Roman"/>
                <w:sz w:val="20"/>
                <w:szCs w:val="20"/>
              </w:rPr>
            </w:pPr>
          </w:p>
        </w:tc>
        <w:tc>
          <w:tcPr>
            <w:tcW w:w="26" w:type="pct"/>
            <w:vAlign w:val="center"/>
            <w:hideMark/>
          </w:tcPr>
          <w:p w14:paraId="00AF3A80" w14:textId="77777777" w:rsidR="00000000" w:rsidRDefault="00A173A8">
            <w:pPr>
              <w:spacing w:after="100"/>
              <w:rPr>
                <w:rFonts w:eastAsia="Times New Roman"/>
                <w:sz w:val="20"/>
                <w:szCs w:val="20"/>
              </w:rPr>
            </w:pPr>
          </w:p>
        </w:tc>
        <w:tc>
          <w:tcPr>
            <w:tcW w:w="5" w:type="pct"/>
            <w:vAlign w:val="center"/>
            <w:hideMark/>
          </w:tcPr>
          <w:p w14:paraId="5D63E8F6" w14:textId="77777777" w:rsidR="00000000" w:rsidRDefault="00A173A8">
            <w:pPr>
              <w:spacing w:after="100"/>
              <w:rPr>
                <w:rFonts w:eastAsia="Times New Roman"/>
                <w:sz w:val="20"/>
                <w:szCs w:val="20"/>
              </w:rPr>
            </w:pPr>
          </w:p>
        </w:tc>
        <w:tc>
          <w:tcPr>
            <w:tcW w:w="50" w:type="pct"/>
            <w:vAlign w:val="center"/>
            <w:hideMark/>
          </w:tcPr>
          <w:p w14:paraId="5CED0281" w14:textId="77777777" w:rsidR="00000000" w:rsidRDefault="00A173A8">
            <w:pPr>
              <w:spacing w:after="100"/>
              <w:rPr>
                <w:rFonts w:eastAsia="Times New Roman"/>
                <w:sz w:val="20"/>
                <w:szCs w:val="20"/>
              </w:rPr>
            </w:pPr>
          </w:p>
        </w:tc>
        <w:tc>
          <w:tcPr>
            <w:tcW w:w="376" w:type="pct"/>
            <w:vAlign w:val="center"/>
            <w:hideMark/>
          </w:tcPr>
          <w:p w14:paraId="0B85EBB4" w14:textId="77777777" w:rsidR="00000000" w:rsidRDefault="00A173A8">
            <w:pPr>
              <w:spacing w:after="100"/>
              <w:rPr>
                <w:rFonts w:eastAsia="Times New Roman"/>
                <w:sz w:val="20"/>
                <w:szCs w:val="20"/>
              </w:rPr>
            </w:pPr>
          </w:p>
        </w:tc>
        <w:tc>
          <w:tcPr>
            <w:tcW w:w="5" w:type="pct"/>
            <w:vAlign w:val="center"/>
            <w:hideMark/>
          </w:tcPr>
          <w:p w14:paraId="2BB00DE4" w14:textId="77777777" w:rsidR="00000000" w:rsidRDefault="00A173A8">
            <w:pPr>
              <w:spacing w:after="100"/>
              <w:rPr>
                <w:rFonts w:eastAsia="Times New Roman"/>
                <w:sz w:val="20"/>
                <w:szCs w:val="20"/>
              </w:rPr>
            </w:pPr>
          </w:p>
        </w:tc>
        <w:tc>
          <w:tcPr>
            <w:tcW w:w="5" w:type="pct"/>
            <w:vAlign w:val="center"/>
            <w:hideMark/>
          </w:tcPr>
          <w:p w14:paraId="1C11B1D5" w14:textId="77777777" w:rsidR="00000000" w:rsidRDefault="00A173A8">
            <w:pPr>
              <w:spacing w:after="100"/>
              <w:rPr>
                <w:rFonts w:eastAsia="Times New Roman"/>
                <w:sz w:val="20"/>
                <w:szCs w:val="20"/>
              </w:rPr>
            </w:pPr>
          </w:p>
        </w:tc>
        <w:tc>
          <w:tcPr>
            <w:tcW w:w="26" w:type="pct"/>
            <w:vAlign w:val="center"/>
            <w:hideMark/>
          </w:tcPr>
          <w:p w14:paraId="6DDFEF39" w14:textId="77777777" w:rsidR="00000000" w:rsidRDefault="00A173A8">
            <w:pPr>
              <w:spacing w:after="100"/>
              <w:rPr>
                <w:rFonts w:eastAsia="Times New Roman"/>
                <w:sz w:val="20"/>
                <w:szCs w:val="20"/>
              </w:rPr>
            </w:pPr>
          </w:p>
        </w:tc>
        <w:tc>
          <w:tcPr>
            <w:tcW w:w="5" w:type="pct"/>
            <w:vAlign w:val="center"/>
            <w:hideMark/>
          </w:tcPr>
          <w:p w14:paraId="42E95C69" w14:textId="77777777" w:rsidR="00000000" w:rsidRDefault="00A173A8">
            <w:pPr>
              <w:spacing w:after="100"/>
              <w:rPr>
                <w:rFonts w:eastAsia="Times New Roman"/>
                <w:sz w:val="20"/>
                <w:szCs w:val="20"/>
              </w:rPr>
            </w:pPr>
          </w:p>
        </w:tc>
        <w:tc>
          <w:tcPr>
            <w:tcW w:w="50" w:type="pct"/>
            <w:vAlign w:val="center"/>
            <w:hideMark/>
          </w:tcPr>
          <w:p w14:paraId="0D8B07FB" w14:textId="77777777" w:rsidR="00000000" w:rsidRDefault="00A173A8">
            <w:pPr>
              <w:spacing w:after="100"/>
              <w:rPr>
                <w:rFonts w:eastAsia="Times New Roman"/>
                <w:sz w:val="20"/>
                <w:szCs w:val="20"/>
              </w:rPr>
            </w:pPr>
          </w:p>
        </w:tc>
        <w:tc>
          <w:tcPr>
            <w:tcW w:w="376" w:type="pct"/>
            <w:vAlign w:val="center"/>
            <w:hideMark/>
          </w:tcPr>
          <w:p w14:paraId="29BDE7E0" w14:textId="77777777" w:rsidR="00000000" w:rsidRDefault="00A173A8">
            <w:pPr>
              <w:spacing w:after="100"/>
              <w:rPr>
                <w:rFonts w:eastAsia="Times New Roman"/>
                <w:sz w:val="20"/>
                <w:szCs w:val="20"/>
              </w:rPr>
            </w:pPr>
          </w:p>
        </w:tc>
        <w:tc>
          <w:tcPr>
            <w:tcW w:w="5" w:type="pct"/>
            <w:vAlign w:val="center"/>
            <w:hideMark/>
          </w:tcPr>
          <w:p w14:paraId="75753EFC" w14:textId="77777777" w:rsidR="00000000" w:rsidRDefault="00A173A8">
            <w:pPr>
              <w:spacing w:after="100"/>
              <w:rPr>
                <w:rFonts w:eastAsia="Times New Roman"/>
                <w:sz w:val="20"/>
                <w:szCs w:val="20"/>
              </w:rPr>
            </w:pPr>
          </w:p>
        </w:tc>
        <w:tc>
          <w:tcPr>
            <w:tcW w:w="5" w:type="pct"/>
            <w:vAlign w:val="center"/>
            <w:hideMark/>
          </w:tcPr>
          <w:p w14:paraId="2DFE35BF" w14:textId="77777777" w:rsidR="00000000" w:rsidRDefault="00A173A8">
            <w:pPr>
              <w:spacing w:after="100"/>
              <w:rPr>
                <w:rFonts w:eastAsia="Times New Roman"/>
                <w:sz w:val="20"/>
                <w:szCs w:val="20"/>
              </w:rPr>
            </w:pPr>
          </w:p>
        </w:tc>
        <w:tc>
          <w:tcPr>
            <w:tcW w:w="26" w:type="pct"/>
            <w:vAlign w:val="center"/>
            <w:hideMark/>
          </w:tcPr>
          <w:p w14:paraId="0C609EF5" w14:textId="77777777" w:rsidR="00000000" w:rsidRDefault="00A173A8">
            <w:pPr>
              <w:spacing w:after="100"/>
              <w:rPr>
                <w:rFonts w:eastAsia="Times New Roman"/>
                <w:sz w:val="20"/>
                <w:szCs w:val="20"/>
              </w:rPr>
            </w:pPr>
          </w:p>
        </w:tc>
        <w:tc>
          <w:tcPr>
            <w:tcW w:w="5" w:type="pct"/>
            <w:vAlign w:val="center"/>
            <w:hideMark/>
          </w:tcPr>
          <w:p w14:paraId="71BEC3D0" w14:textId="77777777" w:rsidR="00000000" w:rsidRDefault="00A173A8">
            <w:pPr>
              <w:spacing w:after="100"/>
              <w:rPr>
                <w:rFonts w:eastAsia="Times New Roman"/>
                <w:sz w:val="20"/>
                <w:szCs w:val="20"/>
              </w:rPr>
            </w:pPr>
          </w:p>
        </w:tc>
        <w:tc>
          <w:tcPr>
            <w:tcW w:w="50" w:type="pct"/>
            <w:vAlign w:val="center"/>
            <w:hideMark/>
          </w:tcPr>
          <w:p w14:paraId="3E6B0636" w14:textId="77777777" w:rsidR="00000000" w:rsidRDefault="00A173A8">
            <w:pPr>
              <w:spacing w:after="100"/>
              <w:rPr>
                <w:rFonts w:eastAsia="Times New Roman"/>
                <w:sz w:val="20"/>
                <w:szCs w:val="20"/>
              </w:rPr>
            </w:pPr>
          </w:p>
        </w:tc>
        <w:tc>
          <w:tcPr>
            <w:tcW w:w="376" w:type="pct"/>
            <w:vAlign w:val="center"/>
            <w:hideMark/>
          </w:tcPr>
          <w:p w14:paraId="2ADA2501" w14:textId="77777777" w:rsidR="00000000" w:rsidRDefault="00A173A8">
            <w:pPr>
              <w:spacing w:after="100"/>
              <w:rPr>
                <w:rFonts w:eastAsia="Times New Roman"/>
                <w:sz w:val="20"/>
                <w:szCs w:val="20"/>
              </w:rPr>
            </w:pPr>
          </w:p>
        </w:tc>
        <w:tc>
          <w:tcPr>
            <w:tcW w:w="5" w:type="pct"/>
            <w:vAlign w:val="center"/>
            <w:hideMark/>
          </w:tcPr>
          <w:p w14:paraId="0DCA539C" w14:textId="77777777" w:rsidR="00000000" w:rsidRDefault="00A173A8">
            <w:pPr>
              <w:spacing w:after="100"/>
              <w:rPr>
                <w:rFonts w:eastAsia="Times New Roman"/>
                <w:sz w:val="20"/>
                <w:szCs w:val="20"/>
              </w:rPr>
            </w:pPr>
          </w:p>
        </w:tc>
        <w:tc>
          <w:tcPr>
            <w:tcW w:w="5" w:type="pct"/>
            <w:vAlign w:val="center"/>
            <w:hideMark/>
          </w:tcPr>
          <w:p w14:paraId="25F63CA6" w14:textId="77777777" w:rsidR="00000000" w:rsidRDefault="00A173A8">
            <w:pPr>
              <w:spacing w:after="100"/>
              <w:rPr>
                <w:rFonts w:eastAsia="Times New Roman"/>
                <w:sz w:val="20"/>
                <w:szCs w:val="20"/>
              </w:rPr>
            </w:pPr>
          </w:p>
        </w:tc>
        <w:tc>
          <w:tcPr>
            <w:tcW w:w="26" w:type="pct"/>
            <w:vAlign w:val="center"/>
            <w:hideMark/>
          </w:tcPr>
          <w:p w14:paraId="72816FE3" w14:textId="77777777" w:rsidR="00000000" w:rsidRDefault="00A173A8">
            <w:pPr>
              <w:spacing w:after="100"/>
              <w:rPr>
                <w:rFonts w:eastAsia="Times New Roman"/>
                <w:sz w:val="20"/>
                <w:szCs w:val="20"/>
              </w:rPr>
            </w:pPr>
          </w:p>
        </w:tc>
        <w:tc>
          <w:tcPr>
            <w:tcW w:w="5" w:type="pct"/>
            <w:vAlign w:val="center"/>
            <w:hideMark/>
          </w:tcPr>
          <w:p w14:paraId="6AAE5185" w14:textId="77777777" w:rsidR="00000000" w:rsidRDefault="00A173A8">
            <w:pPr>
              <w:spacing w:after="100"/>
              <w:rPr>
                <w:rFonts w:eastAsia="Times New Roman"/>
                <w:sz w:val="20"/>
                <w:szCs w:val="20"/>
              </w:rPr>
            </w:pPr>
          </w:p>
        </w:tc>
        <w:tc>
          <w:tcPr>
            <w:tcW w:w="50" w:type="pct"/>
            <w:vAlign w:val="center"/>
            <w:hideMark/>
          </w:tcPr>
          <w:p w14:paraId="3C7A5779" w14:textId="77777777" w:rsidR="00000000" w:rsidRDefault="00A173A8">
            <w:pPr>
              <w:spacing w:after="100"/>
              <w:rPr>
                <w:rFonts w:eastAsia="Times New Roman"/>
                <w:sz w:val="20"/>
                <w:szCs w:val="20"/>
              </w:rPr>
            </w:pPr>
          </w:p>
        </w:tc>
        <w:tc>
          <w:tcPr>
            <w:tcW w:w="376" w:type="pct"/>
            <w:vAlign w:val="center"/>
            <w:hideMark/>
          </w:tcPr>
          <w:p w14:paraId="3C7A95F9" w14:textId="77777777" w:rsidR="00000000" w:rsidRDefault="00A173A8">
            <w:pPr>
              <w:spacing w:after="100"/>
              <w:rPr>
                <w:rFonts w:eastAsia="Times New Roman"/>
                <w:sz w:val="20"/>
                <w:szCs w:val="20"/>
              </w:rPr>
            </w:pPr>
          </w:p>
        </w:tc>
        <w:tc>
          <w:tcPr>
            <w:tcW w:w="5" w:type="pct"/>
            <w:vAlign w:val="center"/>
            <w:hideMark/>
          </w:tcPr>
          <w:p w14:paraId="45D84334" w14:textId="77777777" w:rsidR="00000000" w:rsidRDefault="00A173A8">
            <w:pPr>
              <w:spacing w:after="100"/>
              <w:rPr>
                <w:rFonts w:eastAsia="Times New Roman"/>
                <w:sz w:val="20"/>
                <w:szCs w:val="20"/>
              </w:rPr>
            </w:pPr>
          </w:p>
        </w:tc>
        <w:tc>
          <w:tcPr>
            <w:tcW w:w="5" w:type="pct"/>
            <w:vAlign w:val="center"/>
            <w:hideMark/>
          </w:tcPr>
          <w:p w14:paraId="14970240" w14:textId="77777777" w:rsidR="00000000" w:rsidRDefault="00A173A8">
            <w:pPr>
              <w:spacing w:after="100"/>
              <w:rPr>
                <w:rFonts w:eastAsia="Times New Roman"/>
                <w:sz w:val="20"/>
                <w:szCs w:val="20"/>
              </w:rPr>
            </w:pPr>
          </w:p>
        </w:tc>
        <w:tc>
          <w:tcPr>
            <w:tcW w:w="26" w:type="pct"/>
            <w:vAlign w:val="center"/>
            <w:hideMark/>
          </w:tcPr>
          <w:p w14:paraId="003E1B5C" w14:textId="77777777" w:rsidR="00000000" w:rsidRDefault="00A173A8">
            <w:pPr>
              <w:spacing w:after="100"/>
              <w:rPr>
                <w:rFonts w:eastAsia="Times New Roman"/>
                <w:sz w:val="20"/>
                <w:szCs w:val="20"/>
              </w:rPr>
            </w:pPr>
          </w:p>
        </w:tc>
        <w:tc>
          <w:tcPr>
            <w:tcW w:w="5" w:type="pct"/>
            <w:vAlign w:val="center"/>
            <w:hideMark/>
          </w:tcPr>
          <w:p w14:paraId="69AC3E2F" w14:textId="77777777" w:rsidR="00000000" w:rsidRDefault="00A173A8">
            <w:pPr>
              <w:spacing w:after="100"/>
              <w:rPr>
                <w:rFonts w:eastAsia="Times New Roman"/>
                <w:sz w:val="20"/>
                <w:szCs w:val="20"/>
              </w:rPr>
            </w:pPr>
          </w:p>
        </w:tc>
        <w:tc>
          <w:tcPr>
            <w:tcW w:w="50" w:type="pct"/>
            <w:vAlign w:val="center"/>
            <w:hideMark/>
          </w:tcPr>
          <w:p w14:paraId="0FDA7FE6" w14:textId="77777777" w:rsidR="00000000" w:rsidRDefault="00A173A8">
            <w:pPr>
              <w:spacing w:after="100"/>
              <w:rPr>
                <w:rFonts w:eastAsia="Times New Roman"/>
                <w:sz w:val="20"/>
                <w:szCs w:val="20"/>
              </w:rPr>
            </w:pPr>
          </w:p>
        </w:tc>
        <w:tc>
          <w:tcPr>
            <w:tcW w:w="376" w:type="pct"/>
            <w:vAlign w:val="center"/>
            <w:hideMark/>
          </w:tcPr>
          <w:p w14:paraId="4C694EDB" w14:textId="77777777" w:rsidR="00000000" w:rsidRDefault="00A173A8">
            <w:pPr>
              <w:spacing w:after="100"/>
              <w:rPr>
                <w:rFonts w:eastAsia="Times New Roman"/>
                <w:sz w:val="20"/>
                <w:szCs w:val="20"/>
              </w:rPr>
            </w:pPr>
          </w:p>
        </w:tc>
        <w:tc>
          <w:tcPr>
            <w:tcW w:w="5" w:type="pct"/>
            <w:vAlign w:val="center"/>
            <w:hideMark/>
          </w:tcPr>
          <w:p w14:paraId="7F02F927" w14:textId="77777777" w:rsidR="00000000" w:rsidRDefault="00A173A8">
            <w:pPr>
              <w:spacing w:after="100"/>
              <w:rPr>
                <w:rFonts w:eastAsia="Times New Roman"/>
                <w:sz w:val="20"/>
                <w:szCs w:val="20"/>
              </w:rPr>
            </w:pPr>
          </w:p>
        </w:tc>
      </w:tr>
      <w:tr w:rsidR="00000000" w14:paraId="65942877" w14:textId="77777777">
        <w:trPr>
          <w:divId w:val="701594081"/>
        </w:trPr>
        <w:tc>
          <w:tcPr>
            <w:tcW w:w="0" w:type="auto"/>
            <w:gridSpan w:val="3"/>
            <w:tcMar>
              <w:top w:w="0" w:type="dxa"/>
              <w:left w:w="20" w:type="dxa"/>
              <w:bottom w:w="0" w:type="dxa"/>
              <w:right w:w="20" w:type="dxa"/>
            </w:tcMar>
            <w:vAlign w:val="center"/>
            <w:hideMark/>
          </w:tcPr>
          <w:p w14:paraId="6E1173F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9B7C4A" w14:textId="77777777" w:rsidR="00000000" w:rsidRDefault="00A173A8">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1DFBF289" w14:textId="77777777" w:rsidR="00000000" w:rsidRDefault="00A173A8">
            <w:pPr>
              <w:spacing w:after="100"/>
              <w:jc w:val="center"/>
              <w:rPr>
                <w:rFonts w:eastAsia="Times New Roman"/>
              </w:rPr>
            </w:pPr>
            <w:r>
              <w:rPr>
                <w:rFonts w:eastAsia="Times New Roman"/>
                <w:b/>
                <w:bCs/>
                <w:color w:val="000000"/>
                <w:sz w:val="16"/>
                <w:szCs w:val="16"/>
              </w:rPr>
              <w:t>June 30, 2022</w:t>
            </w:r>
          </w:p>
        </w:tc>
      </w:tr>
      <w:tr w:rsidR="00000000" w14:paraId="504DB528" w14:textId="77777777">
        <w:trPr>
          <w:divId w:val="701594081"/>
        </w:trPr>
        <w:tc>
          <w:tcPr>
            <w:tcW w:w="0" w:type="auto"/>
            <w:gridSpan w:val="3"/>
            <w:tcMar>
              <w:top w:w="0" w:type="dxa"/>
              <w:left w:w="20" w:type="dxa"/>
              <w:bottom w:w="0" w:type="dxa"/>
              <w:right w:w="20" w:type="dxa"/>
            </w:tcMar>
            <w:vAlign w:val="center"/>
            <w:hideMark/>
          </w:tcPr>
          <w:p w14:paraId="7FE14DFE"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17A17A4"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3E9A68D" w14:textId="77777777" w:rsidR="00000000" w:rsidRDefault="00A173A8">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14:paraId="75A73CFF"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BDBFCC5" w14:textId="77777777" w:rsidR="00000000" w:rsidRDefault="00A173A8">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14:paraId="317CEE67"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0D2C148"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339256B0" w14:textId="77777777">
        <w:trPr>
          <w:divId w:val="701594081"/>
        </w:trPr>
        <w:tc>
          <w:tcPr>
            <w:tcW w:w="0" w:type="auto"/>
            <w:gridSpan w:val="3"/>
            <w:tcMar>
              <w:top w:w="30" w:type="dxa"/>
              <w:left w:w="20" w:type="dxa"/>
              <w:bottom w:w="30" w:type="dxa"/>
              <w:right w:w="20" w:type="dxa"/>
            </w:tcMar>
            <w:vAlign w:val="bottom"/>
            <w:hideMark/>
          </w:tcPr>
          <w:p w14:paraId="502B9CBE"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428FD5D"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8CB88C" w14:textId="77777777" w:rsidR="00000000" w:rsidRDefault="00A173A8">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68908B9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4799DD" w14:textId="77777777" w:rsidR="00000000" w:rsidRDefault="00A173A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31E678BF"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B2F979" w14:textId="77777777" w:rsidR="00000000" w:rsidRDefault="00A173A8">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7A1978B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39C626" w14:textId="77777777" w:rsidR="00000000" w:rsidRDefault="00A173A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49737167"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D24ED6" w14:textId="77777777" w:rsidR="00000000" w:rsidRDefault="00A173A8">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5B276073"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AC0D99" w14:textId="77777777" w:rsidR="00000000" w:rsidRDefault="00A173A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14:paraId="59BEDB11" w14:textId="77777777">
        <w:trPr>
          <w:divId w:val="7015940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01468F2" w14:textId="77777777" w:rsidR="00000000" w:rsidRDefault="00A173A8">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14:paraId="7A0AB891"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579CC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26026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3775F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B5A6A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C71C4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95825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B5879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1F72B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81903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86090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15788F" w14:textId="77777777" w:rsidR="00000000" w:rsidRDefault="00A173A8">
            <w:pPr>
              <w:spacing w:after="100"/>
              <w:rPr>
                <w:rFonts w:eastAsia="Times New Roman"/>
                <w:sz w:val="20"/>
                <w:szCs w:val="20"/>
              </w:rPr>
            </w:pPr>
          </w:p>
        </w:tc>
      </w:tr>
      <w:tr w:rsidR="00000000" w14:paraId="4588AB4C" w14:textId="77777777">
        <w:trPr>
          <w:divId w:val="701594081"/>
        </w:trPr>
        <w:tc>
          <w:tcPr>
            <w:tcW w:w="0" w:type="auto"/>
            <w:gridSpan w:val="3"/>
            <w:shd w:val="clear" w:color="auto" w:fill="FFFFFF"/>
            <w:tcMar>
              <w:top w:w="30" w:type="dxa"/>
              <w:left w:w="20" w:type="dxa"/>
              <w:bottom w:w="30" w:type="dxa"/>
              <w:right w:w="20" w:type="dxa"/>
            </w:tcMar>
            <w:vAlign w:val="center"/>
            <w:hideMark/>
          </w:tcPr>
          <w:p w14:paraId="09E70235" w14:textId="77777777" w:rsidR="00000000" w:rsidRDefault="00A173A8">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7E4C555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173ADC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DDE4870" w14:textId="77777777" w:rsidR="00000000" w:rsidRDefault="00A173A8">
            <w:pPr>
              <w:spacing w:after="100"/>
              <w:jc w:val="right"/>
              <w:rPr>
                <w:rFonts w:eastAsia="Times New Roman"/>
              </w:rPr>
            </w:pPr>
            <w:r>
              <w:rPr>
                <w:rFonts w:eastAsia="Times New Roman"/>
                <w:b/>
                <w:bCs/>
                <w:color w:val="000000"/>
                <w:sz w:val="18"/>
                <w:szCs w:val="18"/>
              </w:rPr>
              <w:t>4,098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38DE3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8232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718A10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6E63C92" w14:textId="77777777" w:rsidR="00000000" w:rsidRDefault="00A173A8">
            <w:pPr>
              <w:spacing w:after="100"/>
              <w:jc w:val="right"/>
              <w:rPr>
                <w:rFonts w:eastAsia="Times New Roman"/>
              </w:rPr>
            </w:pPr>
            <w:r>
              <w:rPr>
                <w:rFonts w:eastAsia="Times New Roman"/>
                <w:b/>
                <w:bCs/>
                <w:color w:val="000000"/>
                <w:sz w:val="18"/>
                <w:szCs w:val="18"/>
              </w:rPr>
              <w:t>(44)</w:t>
            </w:r>
          </w:p>
        </w:tc>
        <w:tc>
          <w:tcPr>
            <w:tcW w:w="0" w:type="auto"/>
            <w:shd w:val="clear" w:color="auto" w:fill="FFFFFF"/>
            <w:tcMar>
              <w:top w:w="30" w:type="dxa"/>
              <w:left w:w="0" w:type="dxa"/>
              <w:bottom w:w="30" w:type="dxa"/>
              <w:right w:w="20" w:type="dxa"/>
            </w:tcMar>
            <w:vAlign w:val="center"/>
            <w:hideMark/>
          </w:tcPr>
          <w:p w14:paraId="39AE7B4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BAB7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BAD737B"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83416B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584CE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C6097"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B624CAE"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524A88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61D32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EE5B0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4270FE8"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99A147E" w14:textId="77777777" w:rsidR="00000000" w:rsidRDefault="00A173A8">
            <w:pPr>
              <w:spacing w:after="100"/>
              <w:jc w:val="right"/>
              <w:rPr>
                <w:rFonts w:eastAsia="Times New Roman"/>
              </w:rPr>
            </w:pPr>
            <w:r>
              <w:rPr>
                <w:rFonts w:eastAsia="Times New Roman"/>
                <w:b/>
                <w:bCs/>
                <w:color w:val="000000"/>
                <w:sz w:val="18"/>
                <w:szCs w:val="18"/>
              </w:rPr>
              <w:t>4,098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10FE1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17E4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886E25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9A59D9C" w14:textId="77777777" w:rsidR="00000000" w:rsidRDefault="00A173A8">
            <w:pPr>
              <w:spacing w:after="100"/>
              <w:jc w:val="right"/>
              <w:rPr>
                <w:rFonts w:eastAsia="Times New Roman"/>
              </w:rPr>
            </w:pPr>
            <w:r>
              <w:rPr>
                <w:rFonts w:eastAsia="Times New Roman"/>
                <w:b/>
                <w:bCs/>
                <w:color w:val="000000"/>
                <w:sz w:val="18"/>
                <w:szCs w:val="18"/>
              </w:rPr>
              <w:t>(44)</w:t>
            </w:r>
          </w:p>
        </w:tc>
        <w:tc>
          <w:tcPr>
            <w:tcW w:w="0" w:type="auto"/>
            <w:shd w:val="clear" w:color="auto" w:fill="FFFFFF"/>
            <w:tcMar>
              <w:top w:w="30" w:type="dxa"/>
              <w:left w:w="0" w:type="dxa"/>
              <w:bottom w:w="30" w:type="dxa"/>
              <w:right w:w="20" w:type="dxa"/>
            </w:tcMar>
            <w:vAlign w:val="center"/>
            <w:hideMark/>
          </w:tcPr>
          <w:p w14:paraId="619C557E" w14:textId="77777777" w:rsidR="00000000" w:rsidRDefault="00A173A8">
            <w:pPr>
              <w:spacing w:after="100"/>
              <w:jc w:val="right"/>
              <w:rPr>
                <w:rFonts w:eastAsia="Times New Roman"/>
              </w:rPr>
            </w:pPr>
          </w:p>
        </w:tc>
      </w:tr>
      <w:tr w:rsidR="00000000" w14:paraId="41910C11" w14:textId="77777777">
        <w:trPr>
          <w:divId w:val="701594081"/>
        </w:trPr>
        <w:tc>
          <w:tcPr>
            <w:tcW w:w="0" w:type="auto"/>
            <w:gridSpan w:val="3"/>
            <w:shd w:val="clear" w:color="auto" w:fill="CCEEFF"/>
            <w:tcMar>
              <w:top w:w="30" w:type="dxa"/>
              <w:left w:w="20" w:type="dxa"/>
              <w:bottom w:w="30" w:type="dxa"/>
              <w:right w:w="20" w:type="dxa"/>
            </w:tcMar>
            <w:vAlign w:val="center"/>
            <w:hideMark/>
          </w:tcPr>
          <w:p w14:paraId="27206B5C"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14:paraId="21C37FB7"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075A6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243A3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D9780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DE01D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F9DE3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CEAB8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97928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DCB36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DC8F3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6F7F1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6C2340" w14:textId="77777777" w:rsidR="00000000" w:rsidRDefault="00A173A8">
            <w:pPr>
              <w:spacing w:after="100"/>
              <w:rPr>
                <w:rFonts w:eastAsia="Times New Roman"/>
                <w:sz w:val="20"/>
                <w:szCs w:val="20"/>
              </w:rPr>
            </w:pPr>
          </w:p>
        </w:tc>
      </w:tr>
      <w:tr w:rsidR="00000000" w14:paraId="3160BF13" w14:textId="77777777">
        <w:trPr>
          <w:divId w:val="701594081"/>
        </w:trPr>
        <w:tc>
          <w:tcPr>
            <w:tcW w:w="0" w:type="auto"/>
            <w:gridSpan w:val="3"/>
            <w:shd w:val="clear" w:color="auto" w:fill="FFFFFF"/>
            <w:tcMar>
              <w:top w:w="30" w:type="dxa"/>
              <w:left w:w="245" w:type="dxa"/>
              <w:bottom w:w="30" w:type="dxa"/>
              <w:right w:w="20" w:type="dxa"/>
            </w:tcMar>
            <w:vAlign w:val="center"/>
            <w:hideMark/>
          </w:tcPr>
          <w:p w14:paraId="7488BC64" w14:textId="77777777" w:rsidR="00000000" w:rsidRDefault="00A173A8">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3CB04ED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2CCD04A" w14:textId="77777777" w:rsidR="00000000" w:rsidRDefault="00A173A8">
            <w:pPr>
              <w:spacing w:after="100"/>
              <w:jc w:val="right"/>
              <w:rPr>
                <w:rFonts w:eastAsia="Times New Roman"/>
              </w:rPr>
            </w:pPr>
            <w:r>
              <w:rPr>
                <w:rFonts w:eastAsia="Times New Roman"/>
                <w:b/>
                <w:bCs/>
                <w:color w:val="000000"/>
                <w:sz w:val="18"/>
                <w:szCs w:val="18"/>
              </w:rPr>
              <w:t>45,363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5F865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1A12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8138ED" w14:textId="77777777" w:rsidR="00000000" w:rsidRDefault="00A173A8">
            <w:pPr>
              <w:spacing w:after="100"/>
              <w:jc w:val="right"/>
              <w:rPr>
                <w:rFonts w:eastAsia="Times New Roman"/>
              </w:rPr>
            </w:pPr>
            <w:r>
              <w:rPr>
                <w:rFonts w:eastAsia="Times New Roman"/>
                <w:b/>
                <w:bCs/>
                <w:color w:val="000000"/>
                <w:sz w:val="18"/>
                <w:szCs w:val="18"/>
              </w:rPr>
              <w:t>(4,001)</w:t>
            </w:r>
          </w:p>
        </w:tc>
        <w:tc>
          <w:tcPr>
            <w:tcW w:w="0" w:type="auto"/>
            <w:shd w:val="clear" w:color="auto" w:fill="FFFFFF"/>
            <w:tcMar>
              <w:top w:w="30" w:type="dxa"/>
              <w:left w:w="0" w:type="dxa"/>
              <w:bottom w:w="30" w:type="dxa"/>
              <w:right w:w="20" w:type="dxa"/>
            </w:tcMar>
            <w:vAlign w:val="center"/>
            <w:hideMark/>
          </w:tcPr>
          <w:p w14:paraId="1E71C66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5ED6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019641" w14:textId="77777777" w:rsidR="00000000" w:rsidRDefault="00A173A8">
            <w:pPr>
              <w:spacing w:after="100"/>
              <w:jc w:val="right"/>
              <w:rPr>
                <w:rFonts w:eastAsia="Times New Roman"/>
              </w:rPr>
            </w:pPr>
            <w:r>
              <w:rPr>
                <w:rFonts w:eastAsia="Times New Roman"/>
                <w:b/>
                <w:bCs/>
                <w:color w:val="000000"/>
                <w:sz w:val="18"/>
                <w:szCs w:val="18"/>
              </w:rPr>
              <w:t>16,238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EEE35E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967CD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3F239C" w14:textId="77777777" w:rsidR="00000000" w:rsidRDefault="00A173A8">
            <w:pPr>
              <w:spacing w:after="100"/>
              <w:jc w:val="right"/>
              <w:rPr>
                <w:rFonts w:eastAsia="Times New Roman"/>
              </w:rPr>
            </w:pPr>
            <w:r>
              <w:rPr>
                <w:rFonts w:eastAsia="Times New Roman"/>
                <w:b/>
                <w:bCs/>
                <w:color w:val="000000"/>
                <w:sz w:val="18"/>
                <w:szCs w:val="18"/>
              </w:rPr>
              <w:t>(2,602)</w:t>
            </w:r>
          </w:p>
        </w:tc>
        <w:tc>
          <w:tcPr>
            <w:tcW w:w="0" w:type="auto"/>
            <w:shd w:val="clear" w:color="auto" w:fill="FFFFFF"/>
            <w:tcMar>
              <w:top w:w="30" w:type="dxa"/>
              <w:left w:w="0" w:type="dxa"/>
              <w:bottom w:w="30" w:type="dxa"/>
              <w:right w:w="20" w:type="dxa"/>
            </w:tcMar>
            <w:vAlign w:val="center"/>
            <w:hideMark/>
          </w:tcPr>
          <w:p w14:paraId="1445EEA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1C52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562BE2" w14:textId="77777777" w:rsidR="00000000" w:rsidRDefault="00A173A8">
            <w:pPr>
              <w:spacing w:after="100"/>
              <w:jc w:val="right"/>
              <w:rPr>
                <w:rFonts w:eastAsia="Times New Roman"/>
              </w:rPr>
            </w:pPr>
            <w:r>
              <w:rPr>
                <w:rFonts w:eastAsia="Times New Roman"/>
                <w:b/>
                <w:bCs/>
                <w:color w:val="000000"/>
                <w:sz w:val="18"/>
                <w:szCs w:val="18"/>
              </w:rPr>
              <w:t>61,601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DE63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9A37A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54D0D7" w14:textId="77777777" w:rsidR="00000000" w:rsidRDefault="00A173A8">
            <w:pPr>
              <w:spacing w:after="100"/>
              <w:jc w:val="right"/>
              <w:rPr>
                <w:rFonts w:eastAsia="Times New Roman"/>
              </w:rPr>
            </w:pPr>
            <w:r>
              <w:rPr>
                <w:rFonts w:eastAsia="Times New Roman"/>
                <w:b/>
                <w:bCs/>
                <w:color w:val="000000"/>
                <w:sz w:val="18"/>
                <w:szCs w:val="18"/>
              </w:rPr>
              <w:t>(6,603)</w:t>
            </w:r>
          </w:p>
        </w:tc>
        <w:tc>
          <w:tcPr>
            <w:tcW w:w="0" w:type="auto"/>
            <w:shd w:val="clear" w:color="auto" w:fill="FFFFFF"/>
            <w:tcMar>
              <w:top w:w="30" w:type="dxa"/>
              <w:left w:w="0" w:type="dxa"/>
              <w:bottom w:w="30" w:type="dxa"/>
              <w:right w:w="20" w:type="dxa"/>
            </w:tcMar>
            <w:vAlign w:val="center"/>
            <w:hideMark/>
          </w:tcPr>
          <w:p w14:paraId="12DC882C" w14:textId="77777777" w:rsidR="00000000" w:rsidRDefault="00A173A8">
            <w:pPr>
              <w:spacing w:after="100"/>
              <w:jc w:val="right"/>
              <w:rPr>
                <w:rFonts w:eastAsia="Times New Roman"/>
              </w:rPr>
            </w:pPr>
          </w:p>
        </w:tc>
      </w:tr>
      <w:tr w:rsidR="00000000" w14:paraId="0406C61B" w14:textId="77777777">
        <w:trPr>
          <w:divId w:val="701594081"/>
        </w:trPr>
        <w:tc>
          <w:tcPr>
            <w:tcW w:w="0" w:type="auto"/>
            <w:gridSpan w:val="3"/>
            <w:shd w:val="clear" w:color="auto" w:fill="CCEEFF"/>
            <w:tcMar>
              <w:top w:w="30" w:type="dxa"/>
              <w:left w:w="245" w:type="dxa"/>
              <w:bottom w:w="30" w:type="dxa"/>
              <w:right w:w="20" w:type="dxa"/>
            </w:tcMar>
            <w:vAlign w:val="center"/>
            <w:hideMark/>
          </w:tcPr>
          <w:p w14:paraId="678F137E" w14:textId="77777777" w:rsidR="00000000" w:rsidRDefault="00A173A8">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76EBAF9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ABB7C55" w14:textId="77777777" w:rsidR="00000000" w:rsidRDefault="00A173A8">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59DB24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E239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39309A"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550A535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2D2BA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F115E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6E18C5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1CE8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EC101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322B6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8019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219202" w14:textId="77777777" w:rsidR="00000000" w:rsidRDefault="00A173A8">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2EB519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6A35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D42582"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24AFB6DB" w14:textId="77777777" w:rsidR="00000000" w:rsidRDefault="00A173A8">
            <w:pPr>
              <w:spacing w:after="100"/>
              <w:jc w:val="right"/>
              <w:rPr>
                <w:rFonts w:eastAsia="Times New Roman"/>
              </w:rPr>
            </w:pPr>
          </w:p>
        </w:tc>
      </w:tr>
      <w:tr w:rsidR="00000000" w14:paraId="5D053D64" w14:textId="77777777">
        <w:trPr>
          <w:divId w:val="701594081"/>
        </w:trPr>
        <w:tc>
          <w:tcPr>
            <w:tcW w:w="0" w:type="auto"/>
            <w:gridSpan w:val="3"/>
            <w:shd w:val="clear" w:color="auto" w:fill="FFFFFF"/>
            <w:tcMar>
              <w:top w:w="30" w:type="dxa"/>
              <w:left w:w="20" w:type="dxa"/>
              <w:bottom w:w="30" w:type="dxa"/>
              <w:right w:w="20" w:type="dxa"/>
            </w:tcMar>
            <w:vAlign w:val="center"/>
            <w:hideMark/>
          </w:tcPr>
          <w:p w14:paraId="12EAA56C" w14:textId="77777777" w:rsidR="00000000" w:rsidRDefault="00A173A8">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4ED8C8C5"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9B11AB" w14:textId="77777777" w:rsidR="00000000" w:rsidRDefault="00A173A8">
            <w:pPr>
              <w:spacing w:after="100"/>
              <w:jc w:val="right"/>
              <w:rPr>
                <w:rFonts w:eastAsia="Times New Roman"/>
              </w:rPr>
            </w:pPr>
            <w:r>
              <w:rPr>
                <w:rFonts w:eastAsia="Times New Roman"/>
                <w:b/>
                <w:bCs/>
                <w:color w:val="000000"/>
                <w:sz w:val="18"/>
                <w:szCs w:val="18"/>
              </w:rPr>
              <w:t>45,382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101C0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4BD0A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68F6C5B" w14:textId="77777777" w:rsidR="00000000" w:rsidRDefault="00A173A8">
            <w:pPr>
              <w:spacing w:after="100"/>
              <w:jc w:val="right"/>
              <w:rPr>
                <w:rFonts w:eastAsia="Times New Roman"/>
              </w:rPr>
            </w:pPr>
            <w:r>
              <w:rPr>
                <w:rFonts w:eastAsia="Times New Roman"/>
                <w:b/>
                <w:bCs/>
                <w:color w:val="000000"/>
                <w:sz w:val="18"/>
                <w:szCs w:val="18"/>
              </w:rPr>
              <w:t>(4,002)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3CBD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1986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551A806" w14:textId="77777777" w:rsidR="00000000" w:rsidRDefault="00A173A8">
            <w:pPr>
              <w:spacing w:after="100"/>
              <w:jc w:val="right"/>
              <w:rPr>
                <w:rFonts w:eastAsia="Times New Roman"/>
              </w:rPr>
            </w:pPr>
            <w:r>
              <w:rPr>
                <w:rFonts w:eastAsia="Times New Roman"/>
                <w:b/>
                <w:bCs/>
                <w:color w:val="000000"/>
                <w:sz w:val="18"/>
                <w:szCs w:val="18"/>
              </w:rPr>
              <w:t>16,238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A7D5E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C5019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5D9CF93" w14:textId="77777777" w:rsidR="00000000" w:rsidRDefault="00A173A8">
            <w:pPr>
              <w:spacing w:after="100"/>
              <w:jc w:val="right"/>
              <w:rPr>
                <w:rFonts w:eastAsia="Times New Roman"/>
              </w:rPr>
            </w:pPr>
            <w:r>
              <w:rPr>
                <w:rFonts w:eastAsia="Times New Roman"/>
                <w:b/>
                <w:bCs/>
                <w:color w:val="000000"/>
                <w:sz w:val="18"/>
                <w:szCs w:val="18"/>
              </w:rPr>
              <w:t>(2,602)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FFD013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4410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E02754" w14:textId="77777777" w:rsidR="00000000" w:rsidRDefault="00A173A8">
            <w:pPr>
              <w:spacing w:after="100"/>
              <w:jc w:val="right"/>
              <w:rPr>
                <w:rFonts w:eastAsia="Times New Roman"/>
              </w:rPr>
            </w:pPr>
            <w:r>
              <w:rPr>
                <w:rFonts w:eastAsia="Times New Roman"/>
                <w:b/>
                <w:bCs/>
                <w:color w:val="000000"/>
                <w:sz w:val="18"/>
                <w:szCs w:val="18"/>
              </w:rPr>
              <w:t>61,620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517D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3F77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E79420F" w14:textId="77777777" w:rsidR="00000000" w:rsidRDefault="00A173A8">
            <w:pPr>
              <w:spacing w:after="100"/>
              <w:jc w:val="right"/>
              <w:rPr>
                <w:rFonts w:eastAsia="Times New Roman"/>
              </w:rPr>
            </w:pPr>
            <w:r>
              <w:rPr>
                <w:rFonts w:eastAsia="Times New Roman"/>
                <w:b/>
                <w:bCs/>
                <w:color w:val="000000"/>
                <w:sz w:val="18"/>
                <w:szCs w:val="18"/>
              </w:rPr>
              <w:t>(6,604)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E80B46" w14:textId="77777777" w:rsidR="00000000" w:rsidRDefault="00A173A8">
            <w:pPr>
              <w:spacing w:after="100"/>
              <w:jc w:val="right"/>
              <w:rPr>
                <w:rFonts w:eastAsia="Times New Roman"/>
              </w:rPr>
            </w:pPr>
          </w:p>
        </w:tc>
      </w:tr>
      <w:tr w:rsidR="00000000" w14:paraId="51AF5033" w14:textId="77777777">
        <w:trPr>
          <w:divId w:val="701594081"/>
        </w:trPr>
        <w:tc>
          <w:tcPr>
            <w:tcW w:w="0" w:type="auto"/>
            <w:gridSpan w:val="3"/>
            <w:shd w:val="clear" w:color="auto" w:fill="CCEEFF"/>
            <w:tcMar>
              <w:top w:w="30" w:type="dxa"/>
              <w:left w:w="20" w:type="dxa"/>
              <w:bottom w:w="30" w:type="dxa"/>
              <w:right w:w="20" w:type="dxa"/>
            </w:tcMar>
            <w:vAlign w:val="center"/>
            <w:hideMark/>
          </w:tcPr>
          <w:p w14:paraId="2D1111AD" w14:textId="77777777" w:rsidR="00000000" w:rsidRDefault="00A173A8">
            <w:pPr>
              <w:spacing w:after="100"/>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14:paraId="02DFE65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294CFA1" w14:textId="77777777" w:rsidR="00000000" w:rsidRDefault="00A173A8">
            <w:pPr>
              <w:spacing w:after="100"/>
              <w:jc w:val="right"/>
              <w:rPr>
                <w:rFonts w:eastAsia="Times New Roman"/>
              </w:rPr>
            </w:pPr>
            <w:r>
              <w:rPr>
                <w:rFonts w:eastAsia="Times New Roman"/>
                <w:b/>
                <w:bCs/>
                <w:color w:val="000000"/>
                <w:sz w:val="18"/>
                <w:szCs w:val="18"/>
              </w:rPr>
              <w:t>5,929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1EE318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EED0F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D2CA01" w14:textId="77777777" w:rsidR="00000000" w:rsidRDefault="00A173A8">
            <w:pPr>
              <w:spacing w:after="100"/>
              <w:jc w:val="right"/>
              <w:rPr>
                <w:rFonts w:eastAsia="Times New Roman"/>
              </w:rPr>
            </w:pPr>
            <w:r>
              <w:rPr>
                <w:rFonts w:eastAsia="Times New Roman"/>
                <w:b/>
                <w:bCs/>
                <w:color w:val="000000"/>
                <w:sz w:val="18"/>
                <w:szCs w:val="18"/>
              </w:rPr>
              <w:t>(345)</w:t>
            </w:r>
          </w:p>
        </w:tc>
        <w:tc>
          <w:tcPr>
            <w:tcW w:w="0" w:type="auto"/>
            <w:shd w:val="clear" w:color="auto" w:fill="CCEEFF"/>
            <w:tcMar>
              <w:top w:w="30" w:type="dxa"/>
              <w:left w:w="0" w:type="dxa"/>
              <w:bottom w:w="30" w:type="dxa"/>
              <w:right w:w="20" w:type="dxa"/>
            </w:tcMar>
            <w:vAlign w:val="center"/>
            <w:hideMark/>
          </w:tcPr>
          <w:p w14:paraId="369C5D0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9DF7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EF813F" w14:textId="77777777" w:rsidR="00000000" w:rsidRDefault="00A173A8">
            <w:pPr>
              <w:spacing w:after="100"/>
              <w:jc w:val="right"/>
              <w:rPr>
                <w:rFonts w:eastAsia="Times New Roman"/>
              </w:rPr>
            </w:pPr>
            <w:r>
              <w:rPr>
                <w:rFonts w:eastAsia="Times New Roman"/>
                <w:b/>
                <w:bCs/>
                <w:color w:val="000000"/>
                <w:sz w:val="18"/>
                <w:szCs w:val="18"/>
              </w:rPr>
              <w:t>1,201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13E28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95AB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09069A" w14:textId="77777777" w:rsidR="00000000" w:rsidRDefault="00A173A8">
            <w:pPr>
              <w:spacing w:after="100"/>
              <w:jc w:val="right"/>
              <w:rPr>
                <w:rFonts w:eastAsia="Times New Roman"/>
              </w:rPr>
            </w:pPr>
            <w:r>
              <w:rPr>
                <w:rFonts w:eastAsia="Times New Roman"/>
                <w:b/>
                <w:bCs/>
                <w:color w:val="000000"/>
                <w:sz w:val="18"/>
                <w:szCs w:val="18"/>
              </w:rPr>
              <w:t>(149)</w:t>
            </w:r>
          </w:p>
        </w:tc>
        <w:tc>
          <w:tcPr>
            <w:tcW w:w="0" w:type="auto"/>
            <w:shd w:val="clear" w:color="auto" w:fill="CCEEFF"/>
            <w:tcMar>
              <w:top w:w="30" w:type="dxa"/>
              <w:left w:w="0" w:type="dxa"/>
              <w:bottom w:w="30" w:type="dxa"/>
              <w:right w:w="20" w:type="dxa"/>
            </w:tcMar>
            <w:vAlign w:val="center"/>
            <w:hideMark/>
          </w:tcPr>
          <w:p w14:paraId="594F14A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D8ABF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4A7714" w14:textId="77777777" w:rsidR="00000000" w:rsidRDefault="00A173A8">
            <w:pPr>
              <w:spacing w:after="100"/>
              <w:jc w:val="right"/>
              <w:rPr>
                <w:rFonts w:eastAsia="Times New Roman"/>
              </w:rPr>
            </w:pPr>
            <w:r>
              <w:rPr>
                <w:rFonts w:eastAsia="Times New Roman"/>
                <w:b/>
                <w:bCs/>
                <w:color w:val="000000"/>
                <w:sz w:val="18"/>
                <w:szCs w:val="18"/>
              </w:rPr>
              <w:t>7,130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BC70B4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07F0B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AB75FA" w14:textId="77777777" w:rsidR="00000000" w:rsidRDefault="00A173A8">
            <w:pPr>
              <w:spacing w:after="100"/>
              <w:jc w:val="right"/>
              <w:rPr>
                <w:rFonts w:eastAsia="Times New Roman"/>
              </w:rPr>
            </w:pPr>
            <w:r>
              <w:rPr>
                <w:rFonts w:eastAsia="Times New Roman"/>
                <w:b/>
                <w:bCs/>
                <w:color w:val="000000"/>
                <w:sz w:val="18"/>
                <w:szCs w:val="18"/>
              </w:rPr>
              <w:t>(494)</w:t>
            </w:r>
          </w:p>
        </w:tc>
        <w:tc>
          <w:tcPr>
            <w:tcW w:w="0" w:type="auto"/>
            <w:shd w:val="clear" w:color="auto" w:fill="CCEEFF"/>
            <w:tcMar>
              <w:top w:w="30" w:type="dxa"/>
              <w:left w:w="0" w:type="dxa"/>
              <w:bottom w:w="30" w:type="dxa"/>
              <w:right w:w="20" w:type="dxa"/>
            </w:tcMar>
            <w:vAlign w:val="center"/>
            <w:hideMark/>
          </w:tcPr>
          <w:p w14:paraId="19D9C034" w14:textId="77777777" w:rsidR="00000000" w:rsidRDefault="00A173A8">
            <w:pPr>
              <w:spacing w:after="100"/>
              <w:jc w:val="right"/>
              <w:rPr>
                <w:rFonts w:eastAsia="Times New Roman"/>
              </w:rPr>
            </w:pPr>
          </w:p>
        </w:tc>
      </w:tr>
      <w:tr w:rsidR="00000000" w14:paraId="28B7210A" w14:textId="77777777">
        <w:trPr>
          <w:divId w:val="701594081"/>
        </w:trPr>
        <w:tc>
          <w:tcPr>
            <w:tcW w:w="0" w:type="auto"/>
            <w:gridSpan w:val="3"/>
            <w:shd w:val="clear" w:color="auto" w:fill="FFFFFF"/>
            <w:tcMar>
              <w:top w:w="30" w:type="dxa"/>
              <w:left w:w="20" w:type="dxa"/>
              <w:bottom w:w="30" w:type="dxa"/>
              <w:right w:w="20" w:type="dxa"/>
            </w:tcMar>
            <w:vAlign w:val="center"/>
            <w:hideMark/>
          </w:tcPr>
          <w:p w14:paraId="4DA48F0A" w14:textId="77777777" w:rsidR="00000000" w:rsidRDefault="00A173A8">
            <w:pPr>
              <w:spacing w:after="100"/>
              <w:divId w:val="1152521536"/>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D105CA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7BF73B2" w14:textId="77777777" w:rsidR="00000000" w:rsidRDefault="00A173A8">
            <w:pPr>
              <w:spacing w:after="100"/>
              <w:jc w:val="right"/>
              <w:rPr>
                <w:rFonts w:eastAsia="Times New Roman"/>
              </w:rPr>
            </w:pPr>
            <w:r>
              <w:rPr>
                <w:rFonts w:eastAsia="Times New Roman"/>
                <w:b/>
                <w:bCs/>
                <w:color w:val="000000"/>
                <w:sz w:val="18"/>
                <w:szCs w:val="18"/>
              </w:rPr>
              <w:t>957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6C645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5BEDC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BD2430" w14:textId="77777777" w:rsidR="00000000" w:rsidRDefault="00A173A8">
            <w:pPr>
              <w:spacing w:after="100"/>
              <w:jc w:val="right"/>
              <w:rPr>
                <w:rFonts w:eastAsia="Times New Roman"/>
              </w:rPr>
            </w:pPr>
            <w:r>
              <w:rPr>
                <w:rFonts w:eastAsia="Times New Roman"/>
                <w:b/>
                <w:bCs/>
                <w:color w:val="000000"/>
                <w:sz w:val="18"/>
                <w:szCs w:val="18"/>
              </w:rPr>
              <w:t>(11)</w:t>
            </w:r>
          </w:p>
        </w:tc>
        <w:tc>
          <w:tcPr>
            <w:tcW w:w="0" w:type="auto"/>
            <w:shd w:val="clear" w:color="auto" w:fill="FFFFFF"/>
            <w:tcMar>
              <w:top w:w="30" w:type="dxa"/>
              <w:left w:w="0" w:type="dxa"/>
              <w:bottom w:w="30" w:type="dxa"/>
              <w:right w:w="20" w:type="dxa"/>
            </w:tcMar>
            <w:vAlign w:val="center"/>
            <w:hideMark/>
          </w:tcPr>
          <w:p w14:paraId="272210D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BF16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99B1B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143D8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E30A7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149CC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CFE8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12601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FC9164" w14:textId="77777777" w:rsidR="00000000" w:rsidRDefault="00A173A8">
            <w:pPr>
              <w:spacing w:after="100"/>
              <w:jc w:val="right"/>
              <w:rPr>
                <w:rFonts w:eastAsia="Times New Roman"/>
              </w:rPr>
            </w:pPr>
            <w:r>
              <w:rPr>
                <w:rFonts w:eastAsia="Times New Roman"/>
                <w:b/>
                <w:bCs/>
                <w:color w:val="000000"/>
                <w:sz w:val="18"/>
                <w:szCs w:val="18"/>
              </w:rPr>
              <w:t>957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E62970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48AF1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723DD5" w14:textId="77777777" w:rsidR="00000000" w:rsidRDefault="00A173A8">
            <w:pPr>
              <w:spacing w:after="100"/>
              <w:jc w:val="right"/>
              <w:rPr>
                <w:rFonts w:eastAsia="Times New Roman"/>
              </w:rPr>
            </w:pPr>
            <w:r>
              <w:rPr>
                <w:rFonts w:eastAsia="Times New Roman"/>
                <w:b/>
                <w:bCs/>
                <w:color w:val="000000"/>
                <w:sz w:val="18"/>
                <w:szCs w:val="18"/>
              </w:rPr>
              <w:t>(11)</w:t>
            </w:r>
          </w:p>
        </w:tc>
        <w:tc>
          <w:tcPr>
            <w:tcW w:w="0" w:type="auto"/>
            <w:shd w:val="clear" w:color="auto" w:fill="FFFFFF"/>
            <w:tcMar>
              <w:top w:w="30" w:type="dxa"/>
              <w:left w:w="0" w:type="dxa"/>
              <w:bottom w:w="30" w:type="dxa"/>
              <w:right w:w="20" w:type="dxa"/>
            </w:tcMar>
            <w:vAlign w:val="center"/>
            <w:hideMark/>
          </w:tcPr>
          <w:p w14:paraId="5BBACF7F" w14:textId="77777777" w:rsidR="00000000" w:rsidRDefault="00A173A8">
            <w:pPr>
              <w:spacing w:after="100"/>
              <w:jc w:val="right"/>
              <w:rPr>
                <w:rFonts w:eastAsia="Times New Roman"/>
              </w:rPr>
            </w:pPr>
          </w:p>
        </w:tc>
      </w:tr>
      <w:tr w:rsidR="00000000" w14:paraId="06C9F241" w14:textId="77777777">
        <w:trPr>
          <w:divId w:val="701594081"/>
        </w:trPr>
        <w:tc>
          <w:tcPr>
            <w:tcW w:w="0" w:type="auto"/>
            <w:gridSpan w:val="3"/>
            <w:shd w:val="clear" w:color="auto" w:fill="CCEEFF"/>
            <w:tcMar>
              <w:top w:w="30" w:type="dxa"/>
              <w:left w:w="20" w:type="dxa"/>
              <w:bottom w:w="30" w:type="dxa"/>
              <w:right w:w="20" w:type="dxa"/>
            </w:tcMar>
            <w:vAlign w:val="bottom"/>
            <w:hideMark/>
          </w:tcPr>
          <w:p w14:paraId="147B57AC" w14:textId="77777777" w:rsidR="00000000" w:rsidRDefault="00A173A8">
            <w:pPr>
              <w:spacing w:after="100"/>
              <w:divId w:val="1023018395"/>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ADF2F8F"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30652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A47735" w14:textId="77777777" w:rsidR="00000000" w:rsidRDefault="00A173A8">
            <w:pPr>
              <w:spacing w:after="100"/>
              <w:jc w:val="right"/>
              <w:rPr>
                <w:rFonts w:eastAsia="Times New Roman"/>
              </w:rPr>
            </w:pPr>
            <w:r>
              <w:rPr>
                <w:rFonts w:eastAsia="Times New Roman"/>
                <w:b/>
                <w:bCs/>
                <w:color w:val="000000"/>
                <w:sz w:val="18"/>
                <w:szCs w:val="18"/>
              </w:rPr>
              <w:t>56,366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7E0C6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E0D8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49CC8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386B2D" w14:textId="77777777" w:rsidR="00000000" w:rsidRDefault="00A173A8">
            <w:pPr>
              <w:spacing w:after="100"/>
              <w:jc w:val="right"/>
              <w:rPr>
                <w:rFonts w:eastAsia="Times New Roman"/>
              </w:rPr>
            </w:pPr>
            <w:r>
              <w:rPr>
                <w:rFonts w:eastAsia="Times New Roman"/>
                <w:b/>
                <w:bCs/>
                <w:color w:val="000000"/>
                <w:sz w:val="18"/>
                <w:szCs w:val="18"/>
              </w:rPr>
              <w:t>(4,402)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747B3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8772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EEE7A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39FA7D" w14:textId="77777777" w:rsidR="00000000" w:rsidRDefault="00A173A8">
            <w:pPr>
              <w:spacing w:after="100"/>
              <w:jc w:val="right"/>
              <w:rPr>
                <w:rFonts w:eastAsia="Times New Roman"/>
              </w:rPr>
            </w:pPr>
            <w:r>
              <w:rPr>
                <w:rFonts w:eastAsia="Times New Roman"/>
                <w:b/>
                <w:bCs/>
                <w:color w:val="000000"/>
                <w:sz w:val="18"/>
                <w:szCs w:val="18"/>
              </w:rPr>
              <w:t>17,439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4B5AC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7A96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F5A3446"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943E31" w14:textId="77777777" w:rsidR="00000000" w:rsidRDefault="00A173A8">
            <w:pPr>
              <w:spacing w:after="100"/>
              <w:jc w:val="right"/>
              <w:rPr>
                <w:rFonts w:eastAsia="Times New Roman"/>
              </w:rPr>
            </w:pPr>
            <w:r>
              <w:rPr>
                <w:rFonts w:eastAsia="Times New Roman"/>
                <w:b/>
                <w:bCs/>
                <w:color w:val="000000"/>
                <w:sz w:val="18"/>
                <w:szCs w:val="18"/>
              </w:rPr>
              <w:t>(2,751)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22B2B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E28C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DF83D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D2447F" w14:textId="77777777" w:rsidR="00000000" w:rsidRDefault="00A173A8">
            <w:pPr>
              <w:spacing w:after="100"/>
              <w:jc w:val="right"/>
              <w:rPr>
                <w:rFonts w:eastAsia="Times New Roman"/>
              </w:rPr>
            </w:pPr>
            <w:r>
              <w:rPr>
                <w:rFonts w:eastAsia="Times New Roman"/>
                <w:b/>
                <w:bCs/>
                <w:color w:val="000000"/>
                <w:sz w:val="18"/>
                <w:szCs w:val="18"/>
              </w:rPr>
              <w:t>73,805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9A911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D91E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92FD46"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20B27CF" w14:textId="77777777" w:rsidR="00000000" w:rsidRDefault="00A173A8">
            <w:pPr>
              <w:spacing w:after="100"/>
              <w:jc w:val="right"/>
              <w:rPr>
                <w:rFonts w:eastAsia="Times New Roman"/>
              </w:rPr>
            </w:pPr>
            <w:r>
              <w:rPr>
                <w:rFonts w:eastAsia="Times New Roman"/>
                <w:b/>
                <w:bCs/>
                <w:color w:val="000000"/>
                <w:sz w:val="18"/>
                <w:szCs w:val="18"/>
              </w:rPr>
              <w:t>(7,153)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02E2F7" w14:textId="77777777" w:rsidR="00000000" w:rsidRDefault="00A173A8">
            <w:pPr>
              <w:spacing w:after="100"/>
              <w:jc w:val="right"/>
              <w:rPr>
                <w:rFonts w:eastAsia="Times New Roman"/>
              </w:rPr>
            </w:pPr>
          </w:p>
        </w:tc>
      </w:tr>
    </w:tbl>
    <w:p w14:paraId="0C5F56E6" w14:textId="77777777" w:rsidR="00000000" w:rsidRDefault="00A173A8">
      <w:pPr>
        <w:divId w:val="70159408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14:paraId="5CE01A14" w14:textId="77777777">
        <w:trPr>
          <w:divId w:val="701594081"/>
        </w:trPr>
        <w:tc>
          <w:tcPr>
            <w:tcW w:w="50" w:type="pct"/>
            <w:vAlign w:val="center"/>
            <w:hideMark/>
          </w:tcPr>
          <w:p w14:paraId="40955A45" w14:textId="77777777" w:rsidR="00000000" w:rsidRDefault="00A173A8">
            <w:pPr>
              <w:rPr>
                <w:rFonts w:eastAsia="Times New Roman"/>
              </w:rPr>
            </w:pPr>
          </w:p>
        </w:tc>
        <w:tc>
          <w:tcPr>
            <w:tcW w:w="2137" w:type="pct"/>
            <w:vAlign w:val="center"/>
            <w:hideMark/>
          </w:tcPr>
          <w:p w14:paraId="3CB4E30E" w14:textId="77777777" w:rsidR="00000000" w:rsidRDefault="00A173A8">
            <w:pPr>
              <w:spacing w:after="100"/>
              <w:rPr>
                <w:rFonts w:eastAsia="Times New Roman"/>
                <w:sz w:val="20"/>
                <w:szCs w:val="20"/>
              </w:rPr>
            </w:pPr>
          </w:p>
        </w:tc>
        <w:tc>
          <w:tcPr>
            <w:tcW w:w="5" w:type="pct"/>
            <w:vAlign w:val="center"/>
            <w:hideMark/>
          </w:tcPr>
          <w:p w14:paraId="02776FB3" w14:textId="77777777" w:rsidR="00000000" w:rsidRDefault="00A173A8">
            <w:pPr>
              <w:spacing w:after="100"/>
              <w:rPr>
                <w:rFonts w:eastAsia="Times New Roman"/>
                <w:sz w:val="20"/>
                <w:szCs w:val="20"/>
              </w:rPr>
            </w:pPr>
          </w:p>
        </w:tc>
        <w:tc>
          <w:tcPr>
            <w:tcW w:w="5" w:type="pct"/>
            <w:vAlign w:val="center"/>
            <w:hideMark/>
          </w:tcPr>
          <w:p w14:paraId="3B04D0D0" w14:textId="77777777" w:rsidR="00000000" w:rsidRDefault="00A173A8">
            <w:pPr>
              <w:spacing w:after="100"/>
              <w:rPr>
                <w:rFonts w:eastAsia="Times New Roman"/>
                <w:sz w:val="20"/>
                <w:szCs w:val="20"/>
              </w:rPr>
            </w:pPr>
          </w:p>
        </w:tc>
        <w:tc>
          <w:tcPr>
            <w:tcW w:w="26" w:type="pct"/>
            <w:vAlign w:val="center"/>
            <w:hideMark/>
          </w:tcPr>
          <w:p w14:paraId="42CB8A8A" w14:textId="77777777" w:rsidR="00000000" w:rsidRDefault="00A173A8">
            <w:pPr>
              <w:spacing w:after="100"/>
              <w:rPr>
                <w:rFonts w:eastAsia="Times New Roman"/>
                <w:sz w:val="20"/>
                <w:szCs w:val="20"/>
              </w:rPr>
            </w:pPr>
          </w:p>
        </w:tc>
        <w:tc>
          <w:tcPr>
            <w:tcW w:w="5" w:type="pct"/>
            <w:vAlign w:val="center"/>
            <w:hideMark/>
          </w:tcPr>
          <w:p w14:paraId="158EABD9" w14:textId="77777777" w:rsidR="00000000" w:rsidRDefault="00A173A8">
            <w:pPr>
              <w:spacing w:after="100"/>
              <w:rPr>
                <w:rFonts w:eastAsia="Times New Roman"/>
                <w:sz w:val="20"/>
                <w:szCs w:val="20"/>
              </w:rPr>
            </w:pPr>
          </w:p>
        </w:tc>
        <w:tc>
          <w:tcPr>
            <w:tcW w:w="50" w:type="pct"/>
            <w:vAlign w:val="center"/>
            <w:hideMark/>
          </w:tcPr>
          <w:p w14:paraId="1D6363E6" w14:textId="77777777" w:rsidR="00000000" w:rsidRDefault="00A173A8">
            <w:pPr>
              <w:spacing w:after="100"/>
              <w:rPr>
                <w:rFonts w:eastAsia="Times New Roman"/>
                <w:sz w:val="20"/>
                <w:szCs w:val="20"/>
              </w:rPr>
            </w:pPr>
          </w:p>
        </w:tc>
        <w:tc>
          <w:tcPr>
            <w:tcW w:w="376" w:type="pct"/>
            <w:vAlign w:val="center"/>
            <w:hideMark/>
          </w:tcPr>
          <w:p w14:paraId="08FC2DA6" w14:textId="77777777" w:rsidR="00000000" w:rsidRDefault="00A173A8">
            <w:pPr>
              <w:spacing w:after="100"/>
              <w:rPr>
                <w:rFonts w:eastAsia="Times New Roman"/>
                <w:sz w:val="20"/>
                <w:szCs w:val="20"/>
              </w:rPr>
            </w:pPr>
          </w:p>
        </w:tc>
        <w:tc>
          <w:tcPr>
            <w:tcW w:w="5" w:type="pct"/>
            <w:vAlign w:val="center"/>
            <w:hideMark/>
          </w:tcPr>
          <w:p w14:paraId="4D6FEA88" w14:textId="77777777" w:rsidR="00000000" w:rsidRDefault="00A173A8">
            <w:pPr>
              <w:spacing w:after="100"/>
              <w:rPr>
                <w:rFonts w:eastAsia="Times New Roman"/>
                <w:sz w:val="20"/>
                <w:szCs w:val="20"/>
              </w:rPr>
            </w:pPr>
          </w:p>
        </w:tc>
        <w:tc>
          <w:tcPr>
            <w:tcW w:w="5" w:type="pct"/>
            <w:vAlign w:val="center"/>
            <w:hideMark/>
          </w:tcPr>
          <w:p w14:paraId="59854A35" w14:textId="77777777" w:rsidR="00000000" w:rsidRDefault="00A173A8">
            <w:pPr>
              <w:spacing w:after="100"/>
              <w:rPr>
                <w:rFonts w:eastAsia="Times New Roman"/>
                <w:sz w:val="20"/>
                <w:szCs w:val="20"/>
              </w:rPr>
            </w:pPr>
          </w:p>
        </w:tc>
        <w:tc>
          <w:tcPr>
            <w:tcW w:w="26" w:type="pct"/>
            <w:vAlign w:val="center"/>
            <w:hideMark/>
          </w:tcPr>
          <w:p w14:paraId="697CB52F" w14:textId="77777777" w:rsidR="00000000" w:rsidRDefault="00A173A8">
            <w:pPr>
              <w:spacing w:after="100"/>
              <w:rPr>
                <w:rFonts w:eastAsia="Times New Roman"/>
                <w:sz w:val="20"/>
                <w:szCs w:val="20"/>
              </w:rPr>
            </w:pPr>
          </w:p>
        </w:tc>
        <w:tc>
          <w:tcPr>
            <w:tcW w:w="5" w:type="pct"/>
            <w:vAlign w:val="center"/>
            <w:hideMark/>
          </w:tcPr>
          <w:p w14:paraId="703FB56C" w14:textId="77777777" w:rsidR="00000000" w:rsidRDefault="00A173A8">
            <w:pPr>
              <w:spacing w:after="100"/>
              <w:rPr>
                <w:rFonts w:eastAsia="Times New Roman"/>
                <w:sz w:val="20"/>
                <w:szCs w:val="20"/>
              </w:rPr>
            </w:pPr>
          </w:p>
        </w:tc>
        <w:tc>
          <w:tcPr>
            <w:tcW w:w="50" w:type="pct"/>
            <w:vAlign w:val="center"/>
            <w:hideMark/>
          </w:tcPr>
          <w:p w14:paraId="571FD8E8" w14:textId="77777777" w:rsidR="00000000" w:rsidRDefault="00A173A8">
            <w:pPr>
              <w:spacing w:after="100"/>
              <w:rPr>
                <w:rFonts w:eastAsia="Times New Roman"/>
                <w:sz w:val="20"/>
                <w:szCs w:val="20"/>
              </w:rPr>
            </w:pPr>
          </w:p>
        </w:tc>
        <w:tc>
          <w:tcPr>
            <w:tcW w:w="376" w:type="pct"/>
            <w:vAlign w:val="center"/>
            <w:hideMark/>
          </w:tcPr>
          <w:p w14:paraId="7BD1330A" w14:textId="77777777" w:rsidR="00000000" w:rsidRDefault="00A173A8">
            <w:pPr>
              <w:spacing w:after="100"/>
              <w:rPr>
                <w:rFonts w:eastAsia="Times New Roman"/>
                <w:sz w:val="20"/>
                <w:szCs w:val="20"/>
              </w:rPr>
            </w:pPr>
          </w:p>
        </w:tc>
        <w:tc>
          <w:tcPr>
            <w:tcW w:w="5" w:type="pct"/>
            <w:vAlign w:val="center"/>
            <w:hideMark/>
          </w:tcPr>
          <w:p w14:paraId="23A00304" w14:textId="77777777" w:rsidR="00000000" w:rsidRDefault="00A173A8">
            <w:pPr>
              <w:spacing w:after="100"/>
              <w:rPr>
                <w:rFonts w:eastAsia="Times New Roman"/>
                <w:sz w:val="20"/>
                <w:szCs w:val="20"/>
              </w:rPr>
            </w:pPr>
          </w:p>
        </w:tc>
        <w:tc>
          <w:tcPr>
            <w:tcW w:w="5" w:type="pct"/>
            <w:vAlign w:val="center"/>
            <w:hideMark/>
          </w:tcPr>
          <w:p w14:paraId="4CA07802" w14:textId="77777777" w:rsidR="00000000" w:rsidRDefault="00A173A8">
            <w:pPr>
              <w:spacing w:after="100"/>
              <w:rPr>
                <w:rFonts w:eastAsia="Times New Roman"/>
                <w:sz w:val="20"/>
                <w:szCs w:val="20"/>
              </w:rPr>
            </w:pPr>
          </w:p>
        </w:tc>
        <w:tc>
          <w:tcPr>
            <w:tcW w:w="26" w:type="pct"/>
            <w:vAlign w:val="center"/>
            <w:hideMark/>
          </w:tcPr>
          <w:p w14:paraId="4328D079" w14:textId="77777777" w:rsidR="00000000" w:rsidRDefault="00A173A8">
            <w:pPr>
              <w:spacing w:after="100"/>
              <w:rPr>
                <w:rFonts w:eastAsia="Times New Roman"/>
                <w:sz w:val="20"/>
                <w:szCs w:val="20"/>
              </w:rPr>
            </w:pPr>
          </w:p>
        </w:tc>
        <w:tc>
          <w:tcPr>
            <w:tcW w:w="5" w:type="pct"/>
            <w:vAlign w:val="center"/>
            <w:hideMark/>
          </w:tcPr>
          <w:p w14:paraId="0FD29371" w14:textId="77777777" w:rsidR="00000000" w:rsidRDefault="00A173A8">
            <w:pPr>
              <w:spacing w:after="100"/>
              <w:rPr>
                <w:rFonts w:eastAsia="Times New Roman"/>
                <w:sz w:val="20"/>
                <w:szCs w:val="20"/>
              </w:rPr>
            </w:pPr>
          </w:p>
        </w:tc>
        <w:tc>
          <w:tcPr>
            <w:tcW w:w="50" w:type="pct"/>
            <w:vAlign w:val="center"/>
            <w:hideMark/>
          </w:tcPr>
          <w:p w14:paraId="1C6F1598" w14:textId="77777777" w:rsidR="00000000" w:rsidRDefault="00A173A8">
            <w:pPr>
              <w:spacing w:after="100"/>
              <w:rPr>
                <w:rFonts w:eastAsia="Times New Roman"/>
                <w:sz w:val="20"/>
                <w:szCs w:val="20"/>
              </w:rPr>
            </w:pPr>
          </w:p>
        </w:tc>
        <w:tc>
          <w:tcPr>
            <w:tcW w:w="376" w:type="pct"/>
            <w:vAlign w:val="center"/>
            <w:hideMark/>
          </w:tcPr>
          <w:p w14:paraId="6C9C1CE4" w14:textId="77777777" w:rsidR="00000000" w:rsidRDefault="00A173A8">
            <w:pPr>
              <w:spacing w:after="100"/>
              <w:rPr>
                <w:rFonts w:eastAsia="Times New Roman"/>
                <w:sz w:val="20"/>
                <w:szCs w:val="20"/>
              </w:rPr>
            </w:pPr>
          </w:p>
        </w:tc>
        <w:tc>
          <w:tcPr>
            <w:tcW w:w="5" w:type="pct"/>
            <w:vAlign w:val="center"/>
            <w:hideMark/>
          </w:tcPr>
          <w:p w14:paraId="3C0D4B44" w14:textId="77777777" w:rsidR="00000000" w:rsidRDefault="00A173A8">
            <w:pPr>
              <w:spacing w:after="100"/>
              <w:rPr>
                <w:rFonts w:eastAsia="Times New Roman"/>
                <w:sz w:val="20"/>
                <w:szCs w:val="20"/>
              </w:rPr>
            </w:pPr>
          </w:p>
        </w:tc>
        <w:tc>
          <w:tcPr>
            <w:tcW w:w="5" w:type="pct"/>
            <w:vAlign w:val="center"/>
            <w:hideMark/>
          </w:tcPr>
          <w:p w14:paraId="650D5408" w14:textId="77777777" w:rsidR="00000000" w:rsidRDefault="00A173A8">
            <w:pPr>
              <w:spacing w:after="100"/>
              <w:rPr>
                <w:rFonts w:eastAsia="Times New Roman"/>
                <w:sz w:val="20"/>
                <w:szCs w:val="20"/>
              </w:rPr>
            </w:pPr>
          </w:p>
        </w:tc>
        <w:tc>
          <w:tcPr>
            <w:tcW w:w="26" w:type="pct"/>
            <w:vAlign w:val="center"/>
            <w:hideMark/>
          </w:tcPr>
          <w:p w14:paraId="4B5D9910" w14:textId="77777777" w:rsidR="00000000" w:rsidRDefault="00A173A8">
            <w:pPr>
              <w:spacing w:after="100"/>
              <w:rPr>
                <w:rFonts w:eastAsia="Times New Roman"/>
                <w:sz w:val="20"/>
                <w:szCs w:val="20"/>
              </w:rPr>
            </w:pPr>
          </w:p>
        </w:tc>
        <w:tc>
          <w:tcPr>
            <w:tcW w:w="5" w:type="pct"/>
            <w:vAlign w:val="center"/>
            <w:hideMark/>
          </w:tcPr>
          <w:p w14:paraId="60C5D2B4" w14:textId="77777777" w:rsidR="00000000" w:rsidRDefault="00A173A8">
            <w:pPr>
              <w:spacing w:after="100"/>
              <w:rPr>
                <w:rFonts w:eastAsia="Times New Roman"/>
                <w:sz w:val="20"/>
                <w:szCs w:val="20"/>
              </w:rPr>
            </w:pPr>
          </w:p>
        </w:tc>
        <w:tc>
          <w:tcPr>
            <w:tcW w:w="50" w:type="pct"/>
            <w:vAlign w:val="center"/>
            <w:hideMark/>
          </w:tcPr>
          <w:p w14:paraId="20311FB4" w14:textId="77777777" w:rsidR="00000000" w:rsidRDefault="00A173A8">
            <w:pPr>
              <w:spacing w:after="100"/>
              <w:rPr>
                <w:rFonts w:eastAsia="Times New Roman"/>
                <w:sz w:val="20"/>
                <w:szCs w:val="20"/>
              </w:rPr>
            </w:pPr>
          </w:p>
        </w:tc>
        <w:tc>
          <w:tcPr>
            <w:tcW w:w="376" w:type="pct"/>
            <w:vAlign w:val="center"/>
            <w:hideMark/>
          </w:tcPr>
          <w:p w14:paraId="179A0DD7" w14:textId="77777777" w:rsidR="00000000" w:rsidRDefault="00A173A8">
            <w:pPr>
              <w:spacing w:after="100"/>
              <w:rPr>
                <w:rFonts w:eastAsia="Times New Roman"/>
                <w:sz w:val="20"/>
                <w:szCs w:val="20"/>
              </w:rPr>
            </w:pPr>
          </w:p>
        </w:tc>
        <w:tc>
          <w:tcPr>
            <w:tcW w:w="5" w:type="pct"/>
            <w:vAlign w:val="center"/>
            <w:hideMark/>
          </w:tcPr>
          <w:p w14:paraId="0C11B598" w14:textId="77777777" w:rsidR="00000000" w:rsidRDefault="00A173A8">
            <w:pPr>
              <w:spacing w:after="100"/>
              <w:rPr>
                <w:rFonts w:eastAsia="Times New Roman"/>
                <w:sz w:val="20"/>
                <w:szCs w:val="20"/>
              </w:rPr>
            </w:pPr>
          </w:p>
        </w:tc>
        <w:tc>
          <w:tcPr>
            <w:tcW w:w="5" w:type="pct"/>
            <w:vAlign w:val="center"/>
            <w:hideMark/>
          </w:tcPr>
          <w:p w14:paraId="1E703C72" w14:textId="77777777" w:rsidR="00000000" w:rsidRDefault="00A173A8">
            <w:pPr>
              <w:spacing w:after="100"/>
              <w:rPr>
                <w:rFonts w:eastAsia="Times New Roman"/>
                <w:sz w:val="20"/>
                <w:szCs w:val="20"/>
              </w:rPr>
            </w:pPr>
          </w:p>
        </w:tc>
        <w:tc>
          <w:tcPr>
            <w:tcW w:w="26" w:type="pct"/>
            <w:vAlign w:val="center"/>
            <w:hideMark/>
          </w:tcPr>
          <w:p w14:paraId="52CBAC0B" w14:textId="77777777" w:rsidR="00000000" w:rsidRDefault="00A173A8">
            <w:pPr>
              <w:spacing w:after="100"/>
              <w:rPr>
                <w:rFonts w:eastAsia="Times New Roman"/>
                <w:sz w:val="20"/>
                <w:szCs w:val="20"/>
              </w:rPr>
            </w:pPr>
          </w:p>
        </w:tc>
        <w:tc>
          <w:tcPr>
            <w:tcW w:w="5" w:type="pct"/>
            <w:vAlign w:val="center"/>
            <w:hideMark/>
          </w:tcPr>
          <w:p w14:paraId="6A93F889" w14:textId="77777777" w:rsidR="00000000" w:rsidRDefault="00A173A8">
            <w:pPr>
              <w:spacing w:after="100"/>
              <w:rPr>
                <w:rFonts w:eastAsia="Times New Roman"/>
                <w:sz w:val="20"/>
                <w:szCs w:val="20"/>
              </w:rPr>
            </w:pPr>
          </w:p>
        </w:tc>
        <w:tc>
          <w:tcPr>
            <w:tcW w:w="50" w:type="pct"/>
            <w:vAlign w:val="center"/>
            <w:hideMark/>
          </w:tcPr>
          <w:p w14:paraId="49B2981B" w14:textId="77777777" w:rsidR="00000000" w:rsidRDefault="00A173A8">
            <w:pPr>
              <w:spacing w:after="100"/>
              <w:rPr>
                <w:rFonts w:eastAsia="Times New Roman"/>
                <w:sz w:val="20"/>
                <w:szCs w:val="20"/>
              </w:rPr>
            </w:pPr>
          </w:p>
        </w:tc>
        <w:tc>
          <w:tcPr>
            <w:tcW w:w="376" w:type="pct"/>
            <w:vAlign w:val="center"/>
            <w:hideMark/>
          </w:tcPr>
          <w:p w14:paraId="638212B5" w14:textId="77777777" w:rsidR="00000000" w:rsidRDefault="00A173A8">
            <w:pPr>
              <w:spacing w:after="100"/>
              <w:rPr>
                <w:rFonts w:eastAsia="Times New Roman"/>
                <w:sz w:val="20"/>
                <w:szCs w:val="20"/>
              </w:rPr>
            </w:pPr>
          </w:p>
        </w:tc>
        <w:tc>
          <w:tcPr>
            <w:tcW w:w="5" w:type="pct"/>
            <w:vAlign w:val="center"/>
            <w:hideMark/>
          </w:tcPr>
          <w:p w14:paraId="10148DDD" w14:textId="77777777" w:rsidR="00000000" w:rsidRDefault="00A173A8">
            <w:pPr>
              <w:spacing w:after="100"/>
              <w:rPr>
                <w:rFonts w:eastAsia="Times New Roman"/>
                <w:sz w:val="20"/>
                <w:szCs w:val="20"/>
              </w:rPr>
            </w:pPr>
          </w:p>
        </w:tc>
        <w:tc>
          <w:tcPr>
            <w:tcW w:w="5" w:type="pct"/>
            <w:vAlign w:val="center"/>
            <w:hideMark/>
          </w:tcPr>
          <w:p w14:paraId="7F92FE2B" w14:textId="77777777" w:rsidR="00000000" w:rsidRDefault="00A173A8">
            <w:pPr>
              <w:spacing w:after="100"/>
              <w:rPr>
                <w:rFonts w:eastAsia="Times New Roman"/>
                <w:sz w:val="20"/>
                <w:szCs w:val="20"/>
              </w:rPr>
            </w:pPr>
          </w:p>
        </w:tc>
        <w:tc>
          <w:tcPr>
            <w:tcW w:w="26" w:type="pct"/>
            <w:vAlign w:val="center"/>
            <w:hideMark/>
          </w:tcPr>
          <w:p w14:paraId="452DC23D" w14:textId="77777777" w:rsidR="00000000" w:rsidRDefault="00A173A8">
            <w:pPr>
              <w:spacing w:after="100"/>
              <w:rPr>
                <w:rFonts w:eastAsia="Times New Roman"/>
                <w:sz w:val="20"/>
                <w:szCs w:val="20"/>
              </w:rPr>
            </w:pPr>
          </w:p>
        </w:tc>
        <w:tc>
          <w:tcPr>
            <w:tcW w:w="5" w:type="pct"/>
            <w:vAlign w:val="center"/>
            <w:hideMark/>
          </w:tcPr>
          <w:p w14:paraId="07817980" w14:textId="77777777" w:rsidR="00000000" w:rsidRDefault="00A173A8">
            <w:pPr>
              <w:spacing w:after="100"/>
              <w:rPr>
                <w:rFonts w:eastAsia="Times New Roman"/>
                <w:sz w:val="20"/>
                <w:szCs w:val="20"/>
              </w:rPr>
            </w:pPr>
          </w:p>
        </w:tc>
        <w:tc>
          <w:tcPr>
            <w:tcW w:w="50" w:type="pct"/>
            <w:vAlign w:val="center"/>
            <w:hideMark/>
          </w:tcPr>
          <w:p w14:paraId="0D1EE717" w14:textId="77777777" w:rsidR="00000000" w:rsidRDefault="00A173A8">
            <w:pPr>
              <w:spacing w:after="100"/>
              <w:rPr>
                <w:rFonts w:eastAsia="Times New Roman"/>
                <w:sz w:val="20"/>
                <w:szCs w:val="20"/>
              </w:rPr>
            </w:pPr>
          </w:p>
        </w:tc>
        <w:tc>
          <w:tcPr>
            <w:tcW w:w="376" w:type="pct"/>
            <w:vAlign w:val="center"/>
            <w:hideMark/>
          </w:tcPr>
          <w:p w14:paraId="75940AAF" w14:textId="77777777" w:rsidR="00000000" w:rsidRDefault="00A173A8">
            <w:pPr>
              <w:spacing w:after="100"/>
              <w:rPr>
                <w:rFonts w:eastAsia="Times New Roman"/>
                <w:sz w:val="20"/>
                <w:szCs w:val="20"/>
              </w:rPr>
            </w:pPr>
          </w:p>
        </w:tc>
        <w:tc>
          <w:tcPr>
            <w:tcW w:w="5" w:type="pct"/>
            <w:vAlign w:val="center"/>
            <w:hideMark/>
          </w:tcPr>
          <w:p w14:paraId="4B6AD7A8" w14:textId="77777777" w:rsidR="00000000" w:rsidRDefault="00A173A8">
            <w:pPr>
              <w:spacing w:after="100"/>
              <w:rPr>
                <w:rFonts w:eastAsia="Times New Roman"/>
                <w:sz w:val="20"/>
                <w:szCs w:val="20"/>
              </w:rPr>
            </w:pPr>
          </w:p>
        </w:tc>
      </w:tr>
      <w:tr w:rsidR="00000000" w14:paraId="02F93063" w14:textId="77777777">
        <w:trPr>
          <w:divId w:val="701594081"/>
        </w:trPr>
        <w:tc>
          <w:tcPr>
            <w:tcW w:w="0" w:type="auto"/>
            <w:gridSpan w:val="3"/>
            <w:tcMar>
              <w:top w:w="0" w:type="dxa"/>
              <w:left w:w="20" w:type="dxa"/>
              <w:bottom w:w="0" w:type="dxa"/>
              <w:right w:w="20" w:type="dxa"/>
            </w:tcMar>
            <w:vAlign w:val="center"/>
            <w:hideMark/>
          </w:tcPr>
          <w:p w14:paraId="1C554723"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96C357" w14:textId="77777777" w:rsidR="00000000" w:rsidRDefault="00A173A8">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48D087DE"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2B3925B7" w14:textId="77777777">
        <w:trPr>
          <w:divId w:val="701594081"/>
        </w:trPr>
        <w:tc>
          <w:tcPr>
            <w:tcW w:w="0" w:type="auto"/>
            <w:gridSpan w:val="3"/>
            <w:tcMar>
              <w:top w:w="0" w:type="dxa"/>
              <w:left w:w="20" w:type="dxa"/>
              <w:bottom w:w="0" w:type="dxa"/>
              <w:right w:w="20" w:type="dxa"/>
            </w:tcMar>
            <w:vAlign w:val="center"/>
            <w:hideMark/>
          </w:tcPr>
          <w:p w14:paraId="2CC1E62F"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5A876F7"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AE89CB3" w14:textId="77777777" w:rsidR="00000000" w:rsidRDefault="00A173A8">
            <w:pPr>
              <w:spacing w:after="100"/>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14:paraId="58D056FE"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4BA6318E" w14:textId="77777777" w:rsidR="00000000" w:rsidRDefault="00A173A8">
            <w:pPr>
              <w:spacing w:after="100"/>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14:paraId="41C7E1EA"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C3292DE"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23612056" w14:textId="77777777">
        <w:trPr>
          <w:divId w:val="701594081"/>
        </w:trPr>
        <w:tc>
          <w:tcPr>
            <w:tcW w:w="0" w:type="auto"/>
            <w:gridSpan w:val="3"/>
            <w:tcMar>
              <w:top w:w="30" w:type="dxa"/>
              <w:left w:w="20" w:type="dxa"/>
              <w:bottom w:w="30" w:type="dxa"/>
              <w:right w:w="20" w:type="dxa"/>
            </w:tcMar>
            <w:vAlign w:val="bottom"/>
            <w:hideMark/>
          </w:tcPr>
          <w:p w14:paraId="4A68B9DE"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EAF5211"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EC168B" w14:textId="77777777" w:rsidR="00000000" w:rsidRDefault="00A173A8">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7A29871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309131" w14:textId="77777777" w:rsidR="00000000" w:rsidRDefault="00A173A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303EC6D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5DF45F" w14:textId="77777777" w:rsidR="00000000" w:rsidRDefault="00A173A8">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7674E66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B81465" w14:textId="77777777" w:rsidR="00000000" w:rsidRDefault="00A173A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14:paraId="19F3673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CAB06C" w14:textId="77777777" w:rsidR="00000000" w:rsidRDefault="00A173A8">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14:paraId="5FDEEF1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87D0C7" w14:textId="77777777" w:rsidR="00000000" w:rsidRDefault="00A173A8">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14:paraId="696E090F" w14:textId="77777777">
        <w:trPr>
          <w:divId w:val="7015940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0224600" w14:textId="77777777" w:rsidR="00000000" w:rsidRDefault="00A173A8">
            <w:pPr>
              <w:spacing w:after="100"/>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14:paraId="1DE4682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7BBD0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0FF68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72A23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C50E4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C0FFB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1F3EC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B98CE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5F3D9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CA318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D9FA6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691C42" w14:textId="77777777" w:rsidR="00000000" w:rsidRDefault="00A173A8">
            <w:pPr>
              <w:spacing w:after="100"/>
              <w:rPr>
                <w:rFonts w:eastAsia="Times New Roman"/>
                <w:sz w:val="20"/>
                <w:szCs w:val="20"/>
              </w:rPr>
            </w:pPr>
          </w:p>
        </w:tc>
      </w:tr>
      <w:tr w:rsidR="00000000" w14:paraId="064005C5" w14:textId="77777777">
        <w:trPr>
          <w:divId w:val="701594081"/>
        </w:trPr>
        <w:tc>
          <w:tcPr>
            <w:tcW w:w="0" w:type="auto"/>
            <w:gridSpan w:val="3"/>
            <w:vAlign w:val="center"/>
            <w:hideMark/>
          </w:tcPr>
          <w:p w14:paraId="3D5E72AB" w14:textId="77777777" w:rsidR="00000000" w:rsidRDefault="00A173A8">
            <w:pPr>
              <w:spacing w:after="100"/>
              <w:rPr>
                <w:rFonts w:eastAsia="Times New Roman"/>
                <w:sz w:val="20"/>
                <w:szCs w:val="20"/>
              </w:rPr>
            </w:pPr>
          </w:p>
        </w:tc>
        <w:tc>
          <w:tcPr>
            <w:tcW w:w="0" w:type="auto"/>
            <w:gridSpan w:val="3"/>
            <w:vAlign w:val="center"/>
            <w:hideMark/>
          </w:tcPr>
          <w:p w14:paraId="6B61EB60" w14:textId="77777777" w:rsidR="00000000" w:rsidRDefault="00A173A8">
            <w:pPr>
              <w:spacing w:after="100"/>
              <w:rPr>
                <w:rFonts w:eastAsia="Times New Roman"/>
                <w:sz w:val="20"/>
                <w:szCs w:val="20"/>
              </w:rPr>
            </w:pPr>
          </w:p>
        </w:tc>
        <w:tc>
          <w:tcPr>
            <w:tcW w:w="0" w:type="auto"/>
            <w:gridSpan w:val="3"/>
            <w:vAlign w:val="center"/>
            <w:hideMark/>
          </w:tcPr>
          <w:p w14:paraId="268FB93D" w14:textId="77777777" w:rsidR="00000000" w:rsidRDefault="00A173A8">
            <w:pPr>
              <w:spacing w:after="100"/>
              <w:rPr>
                <w:rFonts w:eastAsia="Times New Roman"/>
                <w:sz w:val="20"/>
                <w:szCs w:val="20"/>
              </w:rPr>
            </w:pPr>
          </w:p>
        </w:tc>
        <w:tc>
          <w:tcPr>
            <w:tcW w:w="0" w:type="auto"/>
            <w:gridSpan w:val="3"/>
            <w:vAlign w:val="center"/>
            <w:hideMark/>
          </w:tcPr>
          <w:p w14:paraId="72C21A45" w14:textId="77777777" w:rsidR="00000000" w:rsidRDefault="00A173A8">
            <w:pPr>
              <w:spacing w:after="100"/>
              <w:rPr>
                <w:rFonts w:eastAsia="Times New Roman"/>
                <w:sz w:val="20"/>
                <w:szCs w:val="20"/>
              </w:rPr>
            </w:pPr>
          </w:p>
        </w:tc>
        <w:tc>
          <w:tcPr>
            <w:tcW w:w="0" w:type="auto"/>
            <w:gridSpan w:val="3"/>
            <w:vAlign w:val="center"/>
            <w:hideMark/>
          </w:tcPr>
          <w:p w14:paraId="1B76C35A" w14:textId="77777777" w:rsidR="00000000" w:rsidRDefault="00A173A8">
            <w:pPr>
              <w:spacing w:after="100"/>
              <w:rPr>
                <w:rFonts w:eastAsia="Times New Roman"/>
                <w:sz w:val="20"/>
                <w:szCs w:val="20"/>
              </w:rPr>
            </w:pPr>
          </w:p>
        </w:tc>
        <w:tc>
          <w:tcPr>
            <w:tcW w:w="0" w:type="auto"/>
            <w:gridSpan w:val="3"/>
            <w:vAlign w:val="center"/>
            <w:hideMark/>
          </w:tcPr>
          <w:p w14:paraId="363117F5" w14:textId="77777777" w:rsidR="00000000" w:rsidRDefault="00A173A8">
            <w:pPr>
              <w:spacing w:after="100"/>
              <w:rPr>
                <w:rFonts w:eastAsia="Times New Roman"/>
                <w:sz w:val="20"/>
                <w:szCs w:val="20"/>
              </w:rPr>
            </w:pPr>
          </w:p>
        </w:tc>
        <w:tc>
          <w:tcPr>
            <w:tcW w:w="0" w:type="auto"/>
            <w:gridSpan w:val="3"/>
            <w:vAlign w:val="center"/>
            <w:hideMark/>
          </w:tcPr>
          <w:p w14:paraId="1470D7B1" w14:textId="77777777" w:rsidR="00000000" w:rsidRDefault="00A173A8">
            <w:pPr>
              <w:spacing w:after="100"/>
              <w:rPr>
                <w:rFonts w:eastAsia="Times New Roman"/>
                <w:sz w:val="20"/>
                <w:szCs w:val="20"/>
              </w:rPr>
            </w:pPr>
          </w:p>
        </w:tc>
        <w:tc>
          <w:tcPr>
            <w:tcW w:w="0" w:type="auto"/>
            <w:gridSpan w:val="3"/>
            <w:vAlign w:val="center"/>
            <w:hideMark/>
          </w:tcPr>
          <w:p w14:paraId="480F51EE" w14:textId="77777777" w:rsidR="00000000" w:rsidRDefault="00A173A8">
            <w:pPr>
              <w:spacing w:after="100"/>
              <w:rPr>
                <w:rFonts w:eastAsia="Times New Roman"/>
                <w:sz w:val="20"/>
                <w:szCs w:val="20"/>
              </w:rPr>
            </w:pPr>
          </w:p>
        </w:tc>
        <w:tc>
          <w:tcPr>
            <w:tcW w:w="0" w:type="auto"/>
            <w:gridSpan w:val="3"/>
            <w:vAlign w:val="center"/>
            <w:hideMark/>
          </w:tcPr>
          <w:p w14:paraId="0EC6ECE2" w14:textId="77777777" w:rsidR="00000000" w:rsidRDefault="00A173A8">
            <w:pPr>
              <w:spacing w:after="100"/>
              <w:rPr>
                <w:rFonts w:eastAsia="Times New Roman"/>
                <w:sz w:val="20"/>
                <w:szCs w:val="20"/>
              </w:rPr>
            </w:pPr>
          </w:p>
        </w:tc>
        <w:tc>
          <w:tcPr>
            <w:tcW w:w="0" w:type="auto"/>
            <w:gridSpan w:val="3"/>
            <w:vAlign w:val="center"/>
            <w:hideMark/>
          </w:tcPr>
          <w:p w14:paraId="007A5047" w14:textId="77777777" w:rsidR="00000000" w:rsidRDefault="00A173A8">
            <w:pPr>
              <w:spacing w:after="100"/>
              <w:rPr>
                <w:rFonts w:eastAsia="Times New Roman"/>
                <w:sz w:val="20"/>
                <w:szCs w:val="20"/>
              </w:rPr>
            </w:pPr>
          </w:p>
        </w:tc>
        <w:tc>
          <w:tcPr>
            <w:tcW w:w="0" w:type="auto"/>
            <w:gridSpan w:val="3"/>
            <w:vAlign w:val="center"/>
            <w:hideMark/>
          </w:tcPr>
          <w:p w14:paraId="6F6673C7" w14:textId="77777777" w:rsidR="00000000" w:rsidRDefault="00A173A8">
            <w:pPr>
              <w:spacing w:after="100"/>
              <w:rPr>
                <w:rFonts w:eastAsia="Times New Roman"/>
                <w:sz w:val="20"/>
                <w:szCs w:val="20"/>
              </w:rPr>
            </w:pPr>
          </w:p>
        </w:tc>
        <w:tc>
          <w:tcPr>
            <w:tcW w:w="0" w:type="auto"/>
            <w:gridSpan w:val="3"/>
            <w:vAlign w:val="center"/>
            <w:hideMark/>
          </w:tcPr>
          <w:p w14:paraId="48749E24" w14:textId="77777777" w:rsidR="00000000" w:rsidRDefault="00A173A8">
            <w:pPr>
              <w:spacing w:after="100"/>
              <w:rPr>
                <w:rFonts w:eastAsia="Times New Roman"/>
                <w:sz w:val="20"/>
                <w:szCs w:val="20"/>
              </w:rPr>
            </w:pPr>
          </w:p>
        </w:tc>
        <w:tc>
          <w:tcPr>
            <w:tcW w:w="0" w:type="auto"/>
            <w:gridSpan w:val="3"/>
            <w:vAlign w:val="center"/>
            <w:hideMark/>
          </w:tcPr>
          <w:p w14:paraId="3CE3B268" w14:textId="77777777" w:rsidR="00000000" w:rsidRDefault="00A173A8">
            <w:pPr>
              <w:spacing w:after="100"/>
              <w:rPr>
                <w:rFonts w:eastAsia="Times New Roman"/>
                <w:sz w:val="20"/>
                <w:szCs w:val="20"/>
              </w:rPr>
            </w:pPr>
          </w:p>
        </w:tc>
      </w:tr>
      <w:tr w:rsidR="00000000" w14:paraId="489F7C09" w14:textId="77777777">
        <w:trPr>
          <w:divId w:val="701594081"/>
        </w:trPr>
        <w:tc>
          <w:tcPr>
            <w:tcW w:w="0" w:type="auto"/>
            <w:gridSpan w:val="3"/>
            <w:shd w:val="clear" w:color="auto" w:fill="FFFFFF"/>
            <w:tcMar>
              <w:top w:w="30" w:type="dxa"/>
              <w:left w:w="20" w:type="dxa"/>
              <w:bottom w:w="30" w:type="dxa"/>
              <w:right w:w="20" w:type="dxa"/>
            </w:tcMar>
            <w:vAlign w:val="center"/>
            <w:hideMark/>
          </w:tcPr>
          <w:p w14:paraId="6129FCB4"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22D070B1"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7FEDF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D941B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BB2F0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06CFD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6057D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16291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32753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C7015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8A477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E434D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CBCDB4" w14:textId="77777777" w:rsidR="00000000" w:rsidRDefault="00A173A8">
            <w:pPr>
              <w:spacing w:after="100"/>
              <w:rPr>
                <w:rFonts w:eastAsia="Times New Roman"/>
                <w:sz w:val="20"/>
                <w:szCs w:val="20"/>
              </w:rPr>
            </w:pPr>
          </w:p>
        </w:tc>
      </w:tr>
      <w:tr w:rsidR="00000000" w14:paraId="3FF4F20F" w14:textId="77777777">
        <w:trPr>
          <w:divId w:val="701594081"/>
        </w:trPr>
        <w:tc>
          <w:tcPr>
            <w:tcW w:w="0" w:type="auto"/>
            <w:gridSpan w:val="3"/>
            <w:shd w:val="clear" w:color="auto" w:fill="CCEEFF"/>
            <w:tcMar>
              <w:top w:w="30" w:type="dxa"/>
              <w:left w:w="245" w:type="dxa"/>
              <w:bottom w:w="30" w:type="dxa"/>
              <w:right w:w="20" w:type="dxa"/>
            </w:tcMar>
            <w:vAlign w:val="center"/>
            <w:hideMark/>
          </w:tcPr>
          <w:p w14:paraId="296632AC" w14:textId="77777777" w:rsidR="00000000" w:rsidRDefault="00A173A8">
            <w:pPr>
              <w:spacing w:after="100"/>
              <w:rPr>
                <w:rFonts w:eastAsia="Times New Roman"/>
              </w:rPr>
            </w:pPr>
            <w:r>
              <w:rPr>
                <w:rFonts w:eastAsia="Times New Roman"/>
                <w:color w:val="000000"/>
                <w:sz w:val="18"/>
                <w:szCs w:val="18"/>
              </w:rPr>
              <w:t>Agency</w:t>
            </w:r>
          </w:p>
        </w:tc>
        <w:tc>
          <w:tcPr>
            <w:tcW w:w="0" w:type="auto"/>
            <w:gridSpan w:val="3"/>
            <w:shd w:val="clear" w:color="auto" w:fill="CCEEFF"/>
            <w:tcMar>
              <w:top w:w="0" w:type="dxa"/>
              <w:left w:w="20" w:type="dxa"/>
              <w:bottom w:w="0" w:type="dxa"/>
              <w:right w:w="20" w:type="dxa"/>
            </w:tcMar>
            <w:vAlign w:val="center"/>
            <w:hideMark/>
          </w:tcPr>
          <w:p w14:paraId="50B2BC50"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73EF1C0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712557D" w14:textId="77777777" w:rsidR="00000000" w:rsidRDefault="00A173A8">
            <w:pPr>
              <w:spacing w:after="100"/>
              <w:jc w:val="right"/>
              <w:rPr>
                <w:rFonts w:eastAsia="Times New Roman"/>
              </w:rPr>
            </w:pPr>
            <w:r>
              <w:rPr>
                <w:rFonts w:eastAsia="Times New Roman"/>
                <w:color w:val="000000"/>
                <w:sz w:val="18"/>
                <w:szCs w:val="18"/>
              </w:rPr>
              <w:t>37,492 </w:t>
            </w:r>
          </w:p>
        </w:tc>
        <w:tc>
          <w:tcPr>
            <w:tcW w:w="0" w:type="auto"/>
            <w:shd w:val="clear" w:color="auto" w:fill="CCEEFF"/>
            <w:tcMar>
              <w:top w:w="30" w:type="dxa"/>
              <w:left w:w="0" w:type="dxa"/>
              <w:bottom w:w="30" w:type="dxa"/>
              <w:right w:w="20" w:type="dxa"/>
            </w:tcMar>
            <w:vAlign w:val="center"/>
            <w:hideMark/>
          </w:tcPr>
          <w:p w14:paraId="5566717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B4F33"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0BA2C1E"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13B7DE0" w14:textId="77777777" w:rsidR="00000000" w:rsidRDefault="00A173A8">
            <w:pPr>
              <w:spacing w:after="100"/>
              <w:jc w:val="right"/>
              <w:rPr>
                <w:rFonts w:eastAsia="Times New Roman"/>
              </w:rPr>
            </w:pPr>
            <w:r>
              <w:rPr>
                <w:rFonts w:eastAsia="Times New Roman"/>
                <w:color w:val="000000"/>
                <w:sz w:val="18"/>
                <w:szCs w:val="18"/>
              </w:rPr>
              <w:t>(632)</w:t>
            </w:r>
          </w:p>
        </w:tc>
        <w:tc>
          <w:tcPr>
            <w:tcW w:w="0" w:type="auto"/>
            <w:shd w:val="clear" w:color="auto" w:fill="CCEEFF"/>
            <w:tcMar>
              <w:top w:w="30" w:type="dxa"/>
              <w:left w:w="0" w:type="dxa"/>
              <w:bottom w:w="30" w:type="dxa"/>
              <w:right w:w="20" w:type="dxa"/>
            </w:tcMar>
            <w:vAlign w:val="center"/>
            <w:hideMark/>
          </w:tcPr>
          <w:p w14:paraId="5258C15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FDB43E"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CF88A9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5EA6595" w14:textId="77777777" w:rsidR="00000000" w:rsidRDefault="00A173A8">
            <w:pPr>
              <w:spacing w:after="100"/>
              <w:jc w:val="right"/>
              <w:rPr>
                <w:rFonts w:eastAsia="Times New Roman"/>
              </w:rPr>
            </w:pPr>
            <w:r>
              <w:rPr>
                <w:rFonts w:eastAsia="Times New Roman"/>
                <w:color w:val="000000"/>
                <w:sz w:val="18"/>
                <w:szCs w:val="18"/>
              </w:rPr>
              <w:t>8,606 </w:t>
            </w:r>
          </w:p>
        </w:tc>
        <w:tc>
          <w:tcPr>
            <w:tcW w:w="0" w:type="auto"/>
            <w:shd w:val="clear" w:color="auto" w:fill="CCEEFF"/>
            <w:tcMar>
              <w:top w:w="30" w:type="dxa"/>
              <w:left w:w="0" w:type="dxa"/>
              <w:bottom w:w="30" w:type="dxa"/>
              <w:right w:w="20" w:type="dxa"/>
            </w:tcMar>
            <w:vAlign w:val="center"/>
            <w:hideMark/>
          </w:tcPr>
          <w:p w14:paraId="5C47AF9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28F380"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F124AB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BC8564D" w14:textId="77777777" w:rsidR="00000000" w:rsidRDefault="00A173A8">
            <w:pPr>
              <w:spacing w:after="100"/>
              <w:jc w:val="right"/>
              <w:rPr>
                <w:rFonts w:eastAsia="Times New Roman"/>
              </w:rPr>
            </w:pPr>
            <w:r>
              <w:rPr>
                <w:rFonts w:eastAsia="Times New Roman"/>
                <w:color w:val="000000"/>
                <w:sz w:val="18"/>
                <w:szCs w:val="18"/>
              </w:rPr>
              <w:t>(299)</w:t>
            </w:r>
          </w:p>
        </w:tc>
        <w:tc>
          <w:tcPr>
            <w:tcW w:w="0" w:type="auto"/>
            <w:shd w:val="clear" w:color="auto" w:fill="CCEEFF"/>
            <w:tcMar>
              <w:top w:w="30" w:type="dxa"/>
              <w:left w:w="0" w:type="dxa"/>
              <w:bottom w:w="30" w:type="dxa"/>
              <w:right w:w="20" w:type="dxa"/>
            </w:tcMar>
            <w:vAlign w:val="center"/>
            <w:hideMark/>
          </w:tcPr>
          <w:p w14:paraId="1FA36DF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BE53BA"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F9EECD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EF11858" w14:textId="77777777" w:rsidR="00000000" w:rsidRDefault="00A173A8">
            <w:pPr>
              <w:spacing w:after="100"/>
              <w:jc w:val="right"/>
              <w:rPr>
                <w:rFonts w:eastAsia="Times New Roman"/>
              </w:rPr>
            </w:pPr>
            <w:r>
              <w:rPr>
                <w:rFonts w:eastAsia="Times New Roman"/>
                <w:color w:val="000000"/>
                <w:sz w:val="18"/>
                <w:szCs w:val="18"/>
              </w:rPr>
              <w:t>46,098 </w:t>
            </w:r>
          </w:p>
        </w:tc>
        <w:tc>
          <w:tcPr>
            <w:tcW w:w="0" w:type="auto"/>
            <w:shd w:val="clear" w:color="auto" w:fill="CCEEFF"/>
            <w:tcMar>
              <w:top w:w="30" w:type="dxa"/>
              <w:left w:w="0" w:type="dxa"/>
              <w:bottom w:w="30" w:type="dxa"/>
              <w:right w:w="20" w:type="dxa"/>
            </w:tcMar>
            <w:vAlign w:val="center"/>
            <w:hideMark/>
          </w:tcPr>
          <w:p w14:paraId="023FEE2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A0A762"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3424A8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132B593" w14:textId="77777777" w:rsidR="00000000" w:rsidRDefault="00A173A8">
            <w:pPr>
              <w:spacing w:after="100"/>
              <w:jc w:val="right"/>
              <w:rPr>
                <w:rFonts w:eastAsia="Times New Roman"/>
              </w:rPr>
            </w:pPr>
            <w:r>
              <w:rPr>
                <w:rFonts w:eastAsia="Times New Roman"/>
                <w:color w:val="000000"/>
                <w:sz w:val="18"/>
                <w:szCs w:val="18"/>
              </w:rPr>
              <w:t>(931)</w:t>
            </w:r>
          </w:p>
        </w:tc>
        <w:tc>
          <w:tcPr>
            <w:tcW w:w="0" w:type="auto"/>
            <w:shd w:val="clear" w:color="auto" w:fill="CCEEFF"/>
            <w:tcMar>
              <w:top w:w="30" w:type="dxa"/>
              <w:left w:w="0" w:type="dxa"/>
              <w:bottom w:w="30" w:type="dxa"/>
              <w:right w:w="20" w:type="dxa"/>
            </w:tcMar>
            <w:vAlign w:val="center"/>
            <w:hideMark/>
          </w:tcPr>
          <w:p w14:paraId="016CA4A5" w14:textId="77777777" w:rsidR="00000000" w:rsidRDefault="00A173A8">
            <w:pPr>
              <w:spacing w:after="100"/>
              <w:jc w:val="right"/>
              <w:rPr>
                <w:rFonts w:eastAsia="Times New Roman"/>
              </w:rPr>
            </w:pPr>
          </w:p>
        </w:tc>
      </w:tr>
      <w:tr w:rsidR="00000000" w14:paraId="4266CDED" w14:textId="77777777">
        <w:trPr>
          <w:divId w:val="701594081"/>
        </w:trPr>
        <w:tc>
          <w:tcPr>
            <w:tcW w:w="0" w:type="auto"/>
            <w:gridSpan w:val="3"/>
            <w:shd w:val="clear" w:color="auto" w:fill="FFFFFF"/>
            <w:tcMar>
              <w:top w:w="30" w:type="dxa"/>
              <w:left w:w="245" w:type="dxa"/>
              <w:bottom w:w="30" w:type="dxa"/>
              <w:right w:w="20" w:type="dxa"/>
            </w:tcMar>
            <w:vAlign w:val="center"/>
            <w:hideMark/>
          </w:tcPr>
          <w:p w14:paraId="32F6F20F" w14:textId="77777777" w:rsidR="00000000" w:rsidRDefault="00A173A8">
            <w:pPr>
              <w:spacing w:after="100"/>
              <w:rPr>
                <w:rFonts w:eastAsia="Times New Roman"/>
              </w:rPr>
            </w:pPr>
            <w:r>
              <w:rPr>
                <w:rFonts w:eastAsia="Times New Roman"/>
                <w:color w:val="000000"/>
                <w:sz w:val="18"/>
                <w:szCs w:val="18"/>
              </w:rPr>
              <w:t>Non-agency</w:t>
            </w:r>
          </w:p>
        </w:tc>
        <w:tc>
          <w:tcPr>
            <w:tcW w:w="0" w:type="auto"/>
            <w:gridSpan w:val="3"/>
            <w:shd w:val="clear" w:color="auto" w:fill="FFFFFF"/>
            <w:tcMar>
              <w:top w:w="0" w:type="dxa"/>
              <w:left w:w="20" w:type="dxa"/>
              <w:bottom w:w="0" w:type="dxa"/>
              <w:right w:w="20" w:type="dxa"/>
            </w:tcMar>
            <w:vAlign w:val="center"/>
            <w:hideMark/>
          </w:tcPr>
          <w:p w14:paraId="46B0E8C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BDE6D57" w14:textId="77777777" w:rsidR="00000000" w:rsidRDefault="00A173A8">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6F1556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AB344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00F3A3"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68F936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5979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64CA1B"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35AA304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AA5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755CB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D7279C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5871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0CCDCF"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3C403E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175C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30C45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1E8FE0B" w14:textId="77777777" w:rsidR="00000000" w:rsidRDefault="00A173A8">
            <w:pPr>
              <w:spacing w:after="100"/>
              <w:jc w:val="right"/>
              <w:rPr>
                <w:rFonts w:eastAsia="Times New Roman"/>
              </w:rPr>
            </w:pPr>
          </w:p>
        </w:tc>
      </w:tr>
      <w:tr w:rsidR="00000000" w14:paraId="34818A7A" w14:textId="77777777">
        <w:trPr>
          <w:divId w:val="701594081"/>
        </w:trPr>
        <w:tc>
          <w:tcPr>
            <w:tcW w:w="0" w:type="auto"/>
            <w:gridSpan w:val="3"/>
            <w:shd w:val="clear" w:color="auto" w:fill="CCEEFF"/>
            <w:tcMar>
              <w:top w:w="30" w:type="dxa"/>
              <w:left w:w="20" w:type="dxa"/>
              <w:bottom w:w="30" w:type="dxa"/>
              <w:right w:w="20" w:type="dxa"/>
            </w:tcMar>
            <w:vAlign w:val="center"/>
            <w:hideMark/>
          </w:tcPr>
          <w:p w14:paraId="7CF6E672" w14:textId="77777777" w:rsidR="00000000" w:rsidRDefault="00A173A8">
            <w:pPr>
              <w:spacing w:after="100"/>
              <w:rPr>
                <w:rFonts w:eastAsia="Times New Roman"/>
              </w:rPr>
            </w:pPr>
            <w:r>
              <w:rPr>
                <w:rFonts w:eastAsia="Times New Roman"/>
                <w:color w:val="000000"/>
                <w:sz w:val="18"/>
                <w:szCs w:val="18"/>
              </w:rPr>
              <w:t>Total RMBS</w:t>
            </w:r>
          </w:p>
        </w:tc>
        <w:tc>
          <w:tcPr>
            <w:tcW w:w="0" w:type="auto"/>
            <w:gridSpan w:val="3"/>
            <w:shd w:val="clear" w:color="auto" w:fill="CCEEFF"/>
            <w:tcMar>
              <w:top w:w="0" w:type="dxa"/>
              <w:left w:w="20" w:type="dxa"/>
              <w:bottom w:w="0" w:type="dxa"/>
              <w:right w:w="20" w:type="dxa"/>
            </w:tcMar>
            <w:vAlign w:val="center"/>
            <w:hideMark/>
          </w:tcPr>
          <w:p w14:paraId="26F38C17"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521EC0" w14:textId="77777777" w:rsidR="00000000" w:rsidRDefault="00A173A8">
            <w:pPr>
              <w:spacing w:after="100"/>
              <w:jc w:val="right"/>
              <w:rPr>
                <w:rFonts w:eastAsia="Times New Roman"/>
              </w:rPr>
            </w:pPr>
            <w:r>
              <w:rPr>
                <w:rFonts w:eastAsia="Times New Roman"/>
                <w:color w:val="000000"/>
                <w:sz w:val="18"/>
                <w:szCs w:val="18"/>
              </w:rPr>
              <w:t>37,495 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172A82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8E7E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8D59B07" w14:textId="77777777" w:rsidR="00000000" w:rsidRDefault="00A173A8">
            <w:pPr>
              <w:spacing w:after="100"/>
              <w:jc w:val="right"/>
              <w:rPr>
                <w:rFonts w:eastAsia="Times New Roman"/>
              </w:rPr>
            </w:pPr>
            <w:r>
              <w:rPr>
                <w:rFonts w:eastAsia="Times New Roman"/>
                <w:color w:val="000000"/>
                <w:sz w:val="18"/>
                <w:szCs w:val="18"/>
              </w:rPr>
              <w:t>(632)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A93D0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6F51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4501AB" w14:textId="77777777" w:rsidR="00000000" w:rsidRDefault="00A173A8">
            <w:pPr>
              <w:spacing w:after="100"/>
              <w:jc w:val="right"/>
              <w:rPr>
                <w:rFonts w:eastAsia="Times New Roman"/>
              </w:rPr>
            </w:pPr>
            <w:r>
              <w:rPr>
                <w:rFonts w:eastAsia="Times New Roman"/>
                <w:color w:val="000000"/>
                <w:sz w:val="18"/>
                <w:szCs w:val="18"/>
              </w:rPr>
              <w:t>8,607 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5DCB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49215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1910143" w14:textId="77777777" w:rsidR="00000000" w:rsidRDefault="00A173A8">
            <w:pPr>
              <w:spacing w:after="100"/>
              <w:jc w:val="right"/>
              <w:rPr>
                <w:rFonts w:eastAsia="Times New Roman"/>
              </w:rPr>
            </w:pPr>
            <w:r>
              <w:rPr>
                <w:rFonts w:eastAsia="Times New Roman"/>
                <w:color w:val="000000"/>
                <w:sz w:val="18"/>
                <w:szCs w:val="18"/>
              </w:rPr>
              <w:t>(299)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EA4E7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01C7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7E1E6B7" w14:textId="77777777" w:rsidR="00000000" w:rsidRDefault="00A173A8">
            <w:pPr>
              <w:spacing w:after="100"/>
              <w:jc w:val="right"/>
              <w:rPr>
                <w:rFonts w:eastAsia="Times New Roman"/>
              </w:rPr>
            </w:pPr>
            <w:r>
              <w:rPr>
                <w:rFonts w:eastAsia="Times New Roman"/>
                <w:color w:val="000000"/>
                <w:sz w:val="18"/>
                <w:szCs w:val="18"/>
              </w:rPr>
              <w:t>46,102 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5CC54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8597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55CA73B" w14:textId="77777777" w:rsidR="00000000" w:rsidRDefault="00A173A8">
            <w:pPr>
              <w:spacing w:after="100"/>
              <w:jc w:val="right"/>
              <w:rPr>
                <w:rFonts w:eastAsia="Times New Roman"/>
              </w:rPr>
            </w:pPr>
            <w:r>
              <w:rPr>
                <w:rFonts w:eastAsia="Times New Roman"/>
                <w:color w:val="000000"/>
                <w:sz w:val="18"/>
                <w:szCs w:val="18"/>
              </w:rPr>
              <w:t>(931)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887872" w14:textId="77777777" w:rsidR="00000000" w:rsidRDefault="00A173A8">
            <w:pPr>
              <w:spacing w:after="100"/>
              <w:jc w:val="right"/>
              <w:rPr>
                <w:rFonts w:eastAsia="Times New Roman"/>
              </w:rPr>
            </w:pPr>
          </w:p>
        </w:tc>
      </w:tr>
      <w:tr w:rsidR="00000000" w14:paraId="259B32B0" w14:textId="77777777">
        <w:trPr>
          <w:divId w:val="701594081"/>
        </w:trPr>
        <w:tc>
          <w:tcPr>
            <w:tcW w:w="0" w:type="auto"/>
            <w:gridSpan w:val="3"/>
            <w:shd w:val="clear" w:color="auto" w:fill="FFFFFF"/>
            <w:tcMar>
              <w:top w:w="30" w:type="dxa"/>
              <w:left w:w="20" w:type="dxa"/>
              <w:bottom w:w="30" w:type="dxa"/>
              <w:right w:w="20" w:type="dxa"/>
            </w:tcMar>
            <w:vAlign w:val="center"/>
            <w:hideMark/>
          </w:tcPr>
          <w:p w14:paraId="68AA34B9" w14:textId="77777777" w:rsidR="00000000" w:rsidRDefault="00A173A8">
            <w:pPr>
              <w:spacing w:after="100"/>
              <w:rPr>
                <w:rFonts w:eastAsia="Times New Roman"/>
              </w:rPr>
            </w:pPr>
            <w:r>
              <w:rPr>
                <w:rFonts w:eastAsia="Times New Roman"/>
                <w:color w:val="000000"/>
                <w:sz w:val="18"/>
                <w:szCs w:val="18"/>
              </w:rPr>
              <w:t>Agency CMBS</w:t>
            </w:r>
          </w:p>
        </w:tc>
        <w:tc>
          <w:tcPr>
            <w:tcW w:w="0" w:type="auto"/>
            <w:gridSpan w:val="3"/>
            <w:shd w:val="clear" w:color="auto" w:fill="FFFFFF"/>
            <w:tcMar>
              <w:top w:w="0" w:type="dxa"/>
              <w:left w:w="20" w:type="dxa"/>
              <w:bottom w:w="0" w:type="dxa"/>
              <w:right w:w="20" w:type="dxa"/>
            </w:tcMar>
            <w:vAlign w:val="center"/>
            <w:hideMark/>
          </w:tcPr>
          <w:p w14:paraId="64B5853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2C42097" w14:textId="77777777" w:rsidR="00000000" w:rsidRDefault="00A173A8">
            <w:pPr>
              <w:spacing w:after="100"/>
              <w:jc w:val="right"/>
              <w:rPr>
                <w:rFonts w:eastAsia="Times New Roman"/>
              </w:rPr>
            </w:pPr>
            <w:r>
              <w:rPr>
                <w:rFonts w:eastAsia="Times New Roman"/>
                <w:color w:val="000000"/>
                <w:sz w:val="18"/>
                <w:szCs w:val="18"/>
              </w:rPr>
              <w:t>2,999 </w:t>
            </w:r>
          </w:p>
        </w:tc>
        <w:tc>
          <w:tcPr>
            <w:tcW w:w="0" w:type="auto"/>
            <w:shd w:val="clear" w:color="auto" w:fill="FFFFFF"/>
            <w:tcMar>
              <w:top w:w="30" w:type="dxa"/>
              <w:left w:w="0" w:type="dxa"/>
              <w:bottom w:w="30" w:type="dxa"/>
              <w:right w:w="20" w:type="dxa"/>
            </w:tcMar>
            <w:vAlign w:val="center"/>
            <w:hideMark/>
          </w:tcPr>
          <w:p w14:paraId="59230EA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5252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9F543C" w14:textId="77777777" w:rsidR="00000000" w:rsidRDefault="00A173A8">
            <w:pPr>
              <w:spacing w:after="100"/>
              <w:jc w:val="right"/>
              <w:rPr>
                <w:rFonts w:eastAsia="Times New Roman"/>
              </w:rPr>
            </w:pPr>
            <w:r>
              <w:rPr>
                <w:rFonts w:eastAsia="Times New Roman"/>
                <w:color w:val="000000"/>
                <w:sz w:val="18"/>
                <w:szCs w:val="18"/>
              </w:rPr>
              <w:t>(36)</w:t>
            </w:r>
          </w:p>
        </w:tc>
        <w:tc>
          <w:tcPr>
            <w:tcW w:w="0" w:type="auto"/>
            <w:shd w:val="clear" w:color="auto" w:fill="FFFFFF"/>
            <w:tcMar>
              <w:top w:w="30" w:type="dxa"/>
              <w:left w:w="0" w:type="dxa"/>
              <w:bottom w:w="30" w:type="dxa"/>
              <w:right w:w="20" w:type="dxa"/>
            </w:tcMar>
            <w:vAlign w:val="center"/>
            <w:hideMark/>
          </w:tcPr>
          <w:p w14:paraId="466F60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3459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224FDB" w14:textId="77777777" w:rsidR="00000000" w:rsidRDefault="00A173A8">
            <w:pPr>
              <w:spacing w:after="100"/>
              <w:jc w:val="right"/>
              <w:rPr>
                <w:rFonts w:eastAsia="Times New Roman"/>
              </w:rPr>
            </w:pPr>
            <w:r>
              <w:rPr>
                <w:rFonts w:eastAsia="Times New Roman"/>
                <w:color w:val="000000"/>
                <w:sz w:val="18"/>
                <w:szCs w:val="18"/>
              </w:rPr>
              <w:t>803 </w:t>
            </w:r>
          </w:p>
        </w:tc>
        <w:tc>
          <w:tcPr>
            <w:tcW w:w="0" w:type="auto"/>
            <w:shd w:val="clear" w:color="auto" w:fill="FFFFFF"/>
            <w:tcMar>
              <w:top w:w="30" w:type="dxa"/>
              <w:left w:w="0" w:type="dxa"/>
              <w:bottom w:w="30" w:type="dxa"/>
              <w:right w:w="20" w:type="dxa"/>
            </w:tcMar>
            <w:vAlign w:val="center"/>
            <w:hideMark/>
          </w:tcPr>
          <w:p w14:paraId="345E6AC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28B6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1A38EC" w14:textId="77777777" w:rsidR="00000000" w:rsidRDefault="00A173A8">
            <w:pPr>
              <w:spacing w:after="100"/>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center"/>
            <w:hideMark/>
          </w:tcPr>
          <w:p w14:paraId="4C06750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539D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4960FF" w14:textId="77777777" w:rsidR="00000000" w:rsidRDefault="00A173A8">
            <w:pPr>
              <w:spacing w:after="100"/>
              <w:jc w:val="right"/>
              <w:rPr>
                <w:rFonts w:eastAsia="Times New Roman"/>
              </w:rPr>
            </w:pPr>
            <w:r>
              <w:rPr>
                <w:rFonts w:eastAsia="Times New Roman"/>
                <w:color w:val="000000"/>
                <w:sz w:val="18"/>
                <w:szCs w:val="18"/>
              </w:rPr>
              <w:t>3,802 </w:t>
            </w:r>
          </w:p>
        </w:tc>
        <w:tc>
          <w:tcPr>
            <w:tcW w:w="0" w:type="auto"/>
            <w:shd w:val="clear" w:color="auto" w:fill="FFFFFF"/>
            <w:tcMar>
              <w:top w:w="30" w:type="dxa"/>
              <w:left w:w="0" w:type="dxa"/>
              <w:bottom w:w="30" w:type="dxa"/>
              <w:right w:w="20" w:type="dxa"/>
            </w:tcMar>
            <w:vAlign w:val="center"/>
            <w:hideMark/>
          </w:tcPr>
          <w:p w14:paraId="1D1AF9B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E9DA1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604F37" w14:textId="77777777" w:rsidR="00000000" w:rsidRDefault="00A173A8">
            <w:pPr>
              <w:spacing w:after="100"/>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center"/>
            <w:hideMark/>
          </w:tcPr>
          <w:p w14:paraId="75CBC6EC" w14:textId="77777777" w:rsidR="00000000" w:rsidRDefault="00A173A8">
            <w:pPr>
              <w:spacing w:after="100"/>
              <w:jc w:val="right"/>
              <w:rPr>
                <w:rFonts w:eastAsia="Times New Roman"/>
              </w:rPr>
            </w:pPr>
          </w:p>
        </w:tc>
      </w:tr>
      <w:tr w:rsidR="00000000" w14:paraId="438CB1E8" w14:textId="77777777">
        <w:trPr>
          <w:divId w:val="701594081"/>
        </w:trPr>
        <w:tc>
          <w:tcPr>
            <w:tcW w:w="0" w:type="auto"/>
            <w:gridSpan w:val="3"/>
            <w:shd w:val="clear" w:color="auto" w:fill="CCEEFF"/>
            <w:tcMar>
              <w:top w:w="30" w:type="dxa"/>
              <w:left w:w="20" w:type="dxa"/>
              <w:bottom w:w="30" w:type="dxa"/>
              <w:right w:w="20" w:type="dxa"/>
            </w:tcMar>
            <w:vAlign w:val="center"/>
            <w:hideMark/>
          </w:tcPr>
          <w:p w14:paraId="4DF45397" w14:textId="77777777" w:rsidR="00000000" w:rsidRDefault="00A173A8">
            <w:pPr>
              <w:spacing w:after="100"/>
              <w:divId w:val="772747539"/>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137B6E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7076BD" w14:textId="77777777" w:rsidR="00000000" w:rsidRDefault="00A173A8">
            <w:pPr>
              <w:spacing w:after="100"/>
              <w:jc w:val="right"/>
              <w:rPr>
                <w:rFonts w:eastAsia="Times New Roman"/>
              </w:rPr>
            </w:pPr>
            <w:r>
              <w:rPr>
                <w:rFonts w:eastAsia="Times New Roman"/>
                <w:color w:val="000000"/>
                <w:sz w:val="18"/>
                <w:szCs w:val="18"/>
              </w:rPr>
              <w:t>1,207 </w:t>
            </w:r>
          </w:p>
        </w:tc>
        <w:tc>
          <w:tcPr>
            <w:tcW w:w="0" w:type="auto"/>
            <w:shd w:val="clear" w:color="auto" w:fill="CCEEFF"/>
            <w:tcMar>
              <w:top w:w="30" w:type="dxa"/>
              <w:left w:w="0" w:type="dxa"/>
              <w:bottom w:w="30" w:type="dxa"/>
              <w:right w:w="20" w:type="dxa"/>
            </w:tcMar>
            <w:vAlign w:val="center"/>
            <w:hideMark/>
          </w:tcPr>
          <w:p w14:paraId="1287FAB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A91D7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DC0472" w14:textId="77777777" w:rsidR="00000000" w:rsidRDefault="00A173A8">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6AA3555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CDE5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BA883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609AE2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6B032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063F79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61DECD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4BD1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A7F1C8" w14:textId="77777777" w:rsidR="00000000" w:rsidRDefault="00A173A8">
            <w:pPr>
              <w:spacing w:after="100"/>
              <w:jc w:val="right"/>
              <w:rPr>
                <w:rFonts w:eastAsia="Times New Roman"/>
              </w:rPr>
            </w:pPr>
            <w:r>
              <w:rPr>
                <w:rFonts w:eastAsia="Times New Roman"/>
                <w:color w:val="000000"/>
                <w:sz w:val="18"/>
                <w:szCs w:val="18"/>
              </w:rPr>
              <w:t>1,207 </w:t>
            </w:r>
          </w:p>
        </w:tc>
        <w:tc>
          <w:tcPr>
            <w:tcW w:w="0" w:type="auto"/>
            <w:shd w:val="clear" w:color="auto" w:fill="CCEEFF"/>
            <w:tcMar>
              <w:top w:w="30" w:type="dxa"/>
              <w:left w:w="0" w:type="dxa"/>
              <w:bottom w:w="30" w:type="dxa"/>
              <w:right w:w="20" w:type="dxa"/>
            </w:tcMar>
            <w:vAlign w:val="center"/>
            <w:hideMark/>
          </w:tcPr>
          <w:p w14:paraId="50F33CE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3588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A19311A" w14:textId="77777777" w:rsidR="00000000" w:rsidRDefault="00A173A8">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14:paraId="437D9367" w14:textId="77777777" w:rsidR="00000000" w:rsidRDefault="00A173A8">
            <w:pPr>
              <w:spacing w:after="100"/>
              <w:jc w:val="right"/>
              <w:rPr>
                <w:rFonts w:eastAsia="Times New Roman"/>
              </w:rPr>
            </w:pPr>
          </w:p>
        </w:tc>
      </w:tr>
      <w:tr w:rsidR="00000000" w14:paraId="063164C8" w14:textId="77777777">
        <w:trPr>
          <w:divId w:val="701594081"/>
        </w:trPr>
        <w:tc>
          <w:tcPr>
            <w:tcW w:w="0" w:type="auto"/>
            <w:gridSpan w:val="3"/>
            <w:shd w:val="clear" w:color="auto" w:fill="FFFFFF"/>
            <w:tcMar>
              <w:top w:w="30" w:type="dxa"/>
              <w:left w:w="20" w:type="dxa"/>
              <w:bottom w:w="30" w:type="dxa"/>
              <w:right w:w="20" w:type="dxa"/>
            </w:tcMar>
            <w:vAlign w:val="bottom"/>
            <w:hideMark/>
          </w:tcPr>
          <w:p w14:paraId="0791E2CF" w14:textId="77777777" w:rsidR="00000000" w:rsidRDefault="00A173A8">
            <w:pPr>
              <w:spacing w:after="100"/>
              <w:divId w:val="1022127810"/>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2B6C44B"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95215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2D44B3" w14:textId="77777777" w:rsidR="00000000" w:rsidRDefault="00A173A8">
            <w:pPr>
              <w:spacing w:after="100"/>
              <w:jc w:val="right"/>
              <w:rPr>
                <w:rFonts w:eastAsia="Times New Roman"/>
              </w:rPr>
            </w:pPr>
            <w:r>
              <w:rPr>
                <w:rFonts w:eastAsia="Times New Roman"/>
                <w:color w:val="000000"/>
                <w:sz w:val="18"/>
                <w:szCs w:val="18"/>
              </w:rPr>
              <w:t>41,701 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B1710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ADA6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A8D9B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B4FB79" w14:textId="77777777" w:rsidR="00000000" w:rsidRDefault="00A173A8">
            <w:pPr>
              <w:spacing w:after="100"/>
              <w:jc w:val="right"/>
              <w:rPr>
                <w:rFonts w:eastAsia="Times New Roman"/>
              </w:rPr>
            </w:pPr>
            <w:r>
              <w:rPr>
                <w:rFonts w:eastAsia="Times New Roman"/>
                <w:color w:val="000000"/>
                <w:sz w:val="18"/>
                <w:szCs w:val="18"/>
              </w:rPr>
              <w:t>(670)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D2041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ABEC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F68DE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1AE78B5" w14:textId="77777777" w:rsidR="00000000" w:rsidRDefault="00A173A8">
            <w:pPr>
              <w:spacing w:after="100"/>
              <w:jc w:val="right"/>
              <w:rPr>
                <w:rFonts w:eastAsia="Times New Roman"/>
              </w:rPr>
            </w:pPr>
            <w:r>
              <w:rPr>
                <w:rFonts w:eastAsia="Times New Roman"/>
                <w:color w:val="000000"/>
                <w:sz w:val="18"/>
                <w:szCs w:val="18"/>
              </w:rPr>
              <w:t>9,410 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59B4E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D28FA"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99E7CB"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5E4304" w14:textId="77777777" w:rsidR="00000000" w:rsidRDefault="00A173A8">
            <w:pPr>
              <w:spacing w:after="100"/>
              <w:jc w:val="right"/>
              <w:rPr>
                <w:rFonts w:eastAsia="Times New Roman"/>
              </w:rPr>
            </w:pPr>
            <w:r>
              <w:rPr>
                <w:rFonts w:eastAsia="Times New Roman"/>
                <w:color w:val="000000"/>
                <w:sz w:val="18"/>
                <w:szCs w:val="18"/>
              </w:rPr>
              <w:t>(326)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3DDC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B31C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0F0706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1547EE" w14:textId="77777777" w:rsidR="00000000" w:rsidRDefault="00A173A8">
            <w:pPr>
              <w:spacing w:after="100"/>
              <w:jc w:val="right"/>
              <w:rPr>
                <w:rFonts w:eastAsia="Times New Roman"/>
              </w:rPr>
            </w:pPr>
            <w:r>
              <w:rPr>
                <w:rFonts w:eastAsia="Times New Roman"/>
                <w:color w:val="000000"/>
                <w:sz w:val="18"/>
                <w:szCs w:val="18"/>
              </w:rPr>
              <w:t>51,111 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7562E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12CC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FF08A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FD053B" w14:textId="77777777" w:rsidR="00000000" w:rsidRDefault="00A173A8">
            <w:pPr>
              <w:spacing w:after="100"/>
              <w:jc w:val="right"/>
              <w:rPr>
                <w:rFonts w:eastAsia="Times New Roman"/>
              </w:rPr>
            </w:pPr>
            <w:r>
              <w:rPr>
                <w:rFonts w:eastAsia="Times New Roman"/>
                <w:color w:val="000000"/>
                <w:sz w:val="18"/>
                <w:szCs w:val="18"/>
              </w:rPr>
              <w:t>(996)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BE723D" w14:textId="77777777" w:rsidR="00000000" w:rsidRDefault="00A173A8">
            <w:pPr>
              <w:spacing w:after="100"/>
              <w:jc w:val="right"/>
              <w:rPr>
                <w:rFonts w:eastAsia="Times New Roman"/>
              </w:rPr>
            </w:pPr>
          </w:p>
        </w:tc>
      </w:tr>
    </w:tbl>
    <w:p w14:paraId="2FF3FF3C" w14:textId="77777777" w:rsidR="00000000" w:rsidRDefault="00A173A8">
      <w:pPr>
        <w:divId w:val="1532182100"/>
        <w:rPr>
          <w:rFonts w:eastAsia="Times New Roman"/>
        </w:rPr>
      </w:pPr>
      <w:r>
        <w:rPr>
          <w:rFonts w:eastAsia="Times New Roman"/>
          <w:color w:val="000000"/>
          <w:sz w:val="20"/>
          <w:szCs w:val="20"/>
        </w:rPr>
        <w:t>__________</w:t>
      </w:r>
    </w:p>
    <w:p w14:paraId="3E936B93" w14:textId="77777777" w:rsidR="00000000" w:rsidRDefault="00A173A8">
      <w:pPr>
        <w:ind w:hanging="360"/>
        <w:jc w:val="both"/>
        <w:divId w:val="103516011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Includes primarily ABS, foreign government bonds, and supranational bonds.</w:t>
      </w:r>
    </w:p>
    <w:p w14:paraId="3892CAE2" w14:textId="77777777" w:rsidR="00000000" w:rsidRDefault="00A173A8">
      <w:pPr>
        <w:ind w:hanging="360"/>
        <w:jc w:val="both"/>
        <w:divId w:val="172124992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Consists of approxima</w:t>
      </w:r>
      <w:r>
        <w:rPr>
          <w:rFonts w:eastAsia="Times New Roman"/>
          <w:color w:val="000000"/>
          <w:sz w:val="16"/>
          <w:szCs w:val="16"/>
          <w:shd w:val="clear" w:color="auto" w:fill="FFFFFF"/>
        </w:rPr>
        <w:t>tely</w:t>
      </w:r>
      <w:r>
        <w:rPr>
          <w:rFonts w:eastAsia="Times New Roman"/>
          <w:color w:val="000000"/>
          <w:sz w:val="16"/>
          <w:szCs w:val="16"/>
        </w:rPr>
        <w:t xml:space="preserve"> 2,500 and 740 se</w:t>
      </w:r>
      <w:r>
        <w:rPr>
          <w:rFonts w:eastAsia="Times New Roman"/>
          <w:color w:val="000000"/>
          <w:sz w:val="16"/>
          <w:szCs w:val="16"/>
          <w:shd w:val="clear" w:color="auto" w:fill="FFFFFF"/>
        </w:rPr>
        <w:t>cur</w:t>
      </w:r>
      <w:r>
        <w:rPr>
          <w:rFonts w:eastAsia="Times New Roman"/>
          <w:color w:val="000000"/>
          <w:sz w:val="16"/>
          <w:szCs w:val="16"/>
        </w:rPr>
        <w:t>ities in gross unrealized loss positions as of June 30, 2022 and December 31, 2021, respectively.</w:t>
      </w:r>
    </w:p>
    <w:p w14:paraId="727E09D4" w14:textId="77777777" w:rsidR="00000000" w:rsidRDefault="00A173A8">
      <w:pPr>
        <w:divId w:val="131994346"/>
        <w:rPr>
          <w:rFonts w:eastAsia="Times New Roman"/>
        </w:rPr>
      </w:pPr>
      <w:r>
        <w:rPr>
          <w:rFonts w:eastAsia="Times New Roman"/>
          <w:b/>
          <w:bCs/>
          <w:color w:val="000000"/>
          <w:sz w:val="20"/>
          <w:szCs w:val="20"/>
        </w:rPr>
        <w:t>Maturities and Yields of Investment Securities</w:t>
      </w:r>
    </w:p>
    <w:p w14:paraId="684C0007" w14:textId="77777777" w:rsidR="00000000" w:rsidRDefault="00A173A8">
      <w:pPr>
        <w:jc w:val="both"/>
        <w:divId w:val="552039308"/>
        <w:rPr>
          <w:rFonts w:eastAsia="Times New Roman"/>
        </w:rPr>
      </w:pPr>
      <w:r>
        <w:rPr>
          <w:rFonts w:eastAsia="Times New Roman"/>
          <w:color w:val="000000"/>
          <w:sz w:val="20"/>
          <w:szCs w:val="20"/>
        </w:rPr>
        <w:t xml:space="preserve">The table below summarizes, as of June 30, 2022, the fair value of our investment securities by major security </w:t>
      </w:r>
      <w:r>
        <w:rPr>
          <w:rFonts w:eastAsia="Times New Roman"/>
          <w:color w:val="000000"/>
          <w:sz w:val="20"/>
          <w:szCs w:val="20"/>
        </w:rPr>
        <w:t>type and contractual maturity as well as the total fair value, amortized cost and weighted-average yields of our investment securities by contractual maturity. Because borrowers may have the right to call or prepay certain obligations, the expected maturit</w:t>
      </w:r>
      <w:r>
        <w:rPr>
          <w:rFonts w:eastAsia="Times New Roman"/>
          <w:color w:val="000000"/>
          <w:sz w:val="20"/>
          <w:szCs w:val="20"/>
        </w:rPr>
        <w:t>ies of our securities are likely to differ from the scheduled contractual maturities presented below. The weighted-average yield below represents the effective yield for the investment securities and is calculated based on the amortized cost of each securi</w:t>
      </w:r>
      <w:r>
        <w:rPr>
          <w:rFonts w:eastAsia="Times New Roman"/>
          <w:color w:val="000000"/>
          <w:sz w:val="20"/>
          <w:szCs w:val="20"/>
        </w:rPr>
        <w:t>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67DC6A1" w14:textId="77777777">
        <w:trPr>
          <w:divId w:val="1393967326"/>
          <w:jc w:val="center"/>
        </w:trPr>
        <w:tc>
          <w:tcPr>
            <w:tcW w:w="50" w:type="pct"/>
            <w:vAlign w:val="center"/>
            <w:hideMark/>
          </w:tcPr>
          <w:p w14:paraId="46A9E9AE" w14:textId="77777777" w:rsidR="00000000" w:rsidRDefault="00A173A8">
            <w:pPr>
              <w:jc w:val="both"/>
              <w:rPr>
                <w:rFonts w:eastAsia="Times New Roman"/>
              </w:rPr>
            </w:pPr>
          </w:p>
        </w:tc>
        <w:tc>
          <w:tcPr>
            <w:tcW w:w="1606" w:type="pct"/>
            <w:vAlign w:val="center"/>
            <w:hideMark/>
          </w:tcPr>
          <w:p w14:paraId="7F768994" w14:textId="77777777" w:rsidR="00000000" w:rsidRDefault="00A173A8">
            <w:pPr>
              <w:spacing w:after="100"/>
              <w:rPr>
                <w:rFonts w:eastAsia="Times New Roman"/>
                <w:sz w:val="20"/>
                <w:szCs w:val="20"/>
              </w:rPr>
            </w:pPr>
          </w:p>
        </w:tc>
        <w:tc>
          <w:tcPr>
            <w:tcW w:w="5" w:type="pct"/>
            <w:vAlign w:val="center"/>
            <w:hideMark/>
          </w:tcPr>
          <w:p w14:paraId="0188FD03" w14:textId="77777777" w:rsidR="00000000" w:rsidRDefault="00A173A8">
            <w:pPr>
              <w:spacing w:after="100"/>
              <w:rPr>
                <w:rFonts w:eastAsia="Times New Roman"/>
                <w:sz w:val="20"/>
                <w:szCs w:val="20"/>
              </w:rPr>
            </w:pPr>
          </w:p>
        </w:tc>
        <w:tc>
          <w:tcPr>
            <w:tcW w:w="50" w:type="pct"/>
            <w:vAlign w:val="center"/>
            <w:hideMark/>
          </w:tcPr>
          <w:p w14:paraId="7F5F1482" w14:textId="77777777" w:rsidR="00000000" w:rsidRDefault="00A173A8">
            <w:pPr>
              <w:spacing w:after="100"/>
              <w:rPr>
                <w:rFonts w:eastAsia="Times New Roman"/>
                <w:sz w:val="20"/>
                <w:szCs w:val="20"/>
              </w:rPr>
            </w:pPr>
          </w:p>
        </w:tc>
        <w:tc>
          <w:tcPr>
            <w:tcW w:w="1614" w:type="pct"/>
            <w:vAlign w:val="center"/>
            <w:hideMark/>
          </w:tcPr>
          <w:p w14:paraId="7DA2B6CF" w14:textId="77777777" w:rsidR="00000000" w:rsidRDefault="00A173A8">
            <w:pPr>
              <w:spacing w:after="100"/>
              <w:rPr>
                <w:rFonts w:eastAsia="Times New Roman"/>
                <w:sz w:val="20"/>
                <w:szCs w:val="20"/>
              </w:rPr>
            </w:pPr>
          </w:p>
        </w:tc>
        <w:tc>
          <w:tcPr>
            <w:tcW w:w="5" w:type="pct"/>
            <w:vAlign w:val="center"/>
            <w:hideMark/>
          </w:tcPr>
          <w:p w14:paraId="664C2B0B" w14:textId="77777777" w:rsidR="00000000" w:rsidRDefault="00A173A8">
            <w:pPr>
              <w:spacing w:after="100"/>
              <w:rPr>
                <w:rFonts w:eastAsia="Times New Roman"/>
                <w:sz w:val="20"/>
                <w:szCs w:val="20"/>
              </w:rPr>
            </w:pPr>
          </w:p>
        </w:tc>
        <w:tc>
          <w:tcPr>
            <w:tcW w:w="50" w:type="pct"/>
            <w:vAlign w:val="center"/>
            <w:hideMark/>
          </w:tcPr>
          <w:p w14:paraId="131C2AFA" w14:textId="77777777" w:rsidR="00000000" w:rsidRDefault="00A173A8">
            <w:pPr>
              <w:spacing w:after="100"/>
              <w:rPr>
                <w:rFonts w:eastAsia="Times New Roman"/>
                <w:sz w:val="20"/>
                <w:szCs w:val="20"/>
              </w:rPr>
            </w:pPr>
          </w:p>
        </w:tc>
        <w:tc>
          <w:tcPr>
            <w:tcW w:w="1614" w:type="pct"/>
            <w:vAlign w:val="center"/>
            <w:hideMark/>
          </w:tcPr>
          <w:p w14:paraId="3AA97477" w14:textId="77777777" w:rsidR="00000000" w:rsidRDefault="00A173A8">
            <w:pPr>
              <w:spacing w:after="100"/>
              <w:rPr>
                <w:rFonts w:eastAsia="Times New Roman"/>
                <w:sz w:val="20"/>
                <w:szCs w:val="20"/>
              </w:rPr>
            </w:pPr>
          </w:p>
        </w:tc>
        <w:tc>
          <w:tcPr>
            <w:tcW w:w="5" w:type="pct"/>
            <w:vAlign w:val="center"/>
            <w:hideMark/>
          </w:tcPr>
          <w:p w14:paraId="11E5C330" w14:textId="77777777" w:rsidR="00000000" w:rsidRDefault="00A173A8">
            <w:pPr>
              <w:spacing w:after="100"/>
              <w:rPr>
                <w:rFonts w:eastAsia="Times New Roman"/>
                <w:sz w:val="20"/>
                <w:szCs w:val="20"/>
              </w:rPr>
            </w:pPr>
          </w:p>
        </w:tc>
      </w:tr>
      <w:tr w:rsidR="00000000" w14:paraId="5133FFF7" w14:textId="77777777">
        <w:trPr>
          <w:divId w:val="1393967326"/>
          <w:trHeight w:val="300"/>
          <w:jc w:val="center"/>
        </w:trPr>
        <w:tc>
          <w:tcPr>
            <w:tcW w:w="0" w:type="auto"/>
            <w:gridSpan w:val="9"/>
            <w:tcMar>
              <w:top w:w="0" w:type="dxa"/>
              <w:left w:w="20" w:type="dxa"/>
              <w:bottom w:w="0" w:type="dxa"/>
              <w:right w:w="20" w:type="dxa"/>
            </w:tcMar>
            <w:vAlign w:val="center"/>
            <w:hideMark/>
          </w:tcPr>
          <w:p w14:paraId="1239DF30" w14:textId="77777777" w:rsidR="00000000" w:rsidRDefault="00A173A8">
            <w:pPr>
              <w:spacing w:after="100"/>
              <w:rPr>
                <w:rFonts w:eastAsia="Times New Roman"/>
                <w:sz w:val="20"/>
                <w:szCs w:val="20"/>
              </w:rPr>
            </w:pPr>
          </w:p>
        </w:tc>
      </w:tr>
      <w:tr w:rsidR="00000000" w14:paraId="7FF1D82E" w14:textId="77777777">
        <w:trPr>
          <w:divId w:val="1393967326"/>
          <w:jc w:val="center"/>
        </w:trPr>
        <w:tc>
          <w:tcPr>
            <w:tcW w:w="0" w:type="auto"/>
            <w:gridSpan w:val="3"/>
            <w:tcMar>
              <w:top w:w="0" w:type="dxa"/>
              <w:left w:w="20" w:type="dxa"/>
              <w:bottom w:w="0" w:type="dxa"/>
              <w:right w:w="20" w:type="dxa"/>
            </w:tcMar>
            <w:vAlign w:val="center"/>
            <w:hideMark/>
          </w:tcPr>
          <w:p w14:paraId="52EF842A"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9AE2C81" w14:textId="77777777" w:rsidR="00000000" w:rsidRDefault="00A173A8">
            <w:pPr>
              <w:spacing w:after="100"/>
              <w:jc w:val="center"/>
              <w:rPr>
                <w:rFonts w:eastAsia="Times New Roman"/>
              </w:rPr>
            </w:pPr>
            <w:r>
              <w:rPr>
                <w:rFonts w:eastAsia="Times New Roman"/>
                <w:color w:val="000000"/>
                <w:sz w:val="16"/>
                <w:szCs w:val="16"/>
              </w:rPr>
              <w:t>73</w:t>
            </w:r>
          </w:p>
        </w:tc>
        <w:tc>
          <w:tcPr>
            <w:tcW w:w="0" w:type="auto"/>
            <w:gridSpan w:val="3"/>
            <w:tcMar>
              <w:top w:w="30" w:type="dxa"/>
              <w:left w:w="20" w:type="dxa"/>
              <w:bottom w:w="30" w:type="dxa"/>
              <w:right w:w="20" w:type="dxa"/>
            </w:tcMar>
            <w:vAlign w:val="bottom"/>
            <w:hideMark/>
          </w:tcPr>
          <w:p w14:paraId="39EE2442"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BFF659A" w14:textId="77777777" w:rsidR="00000000" w:rsidRDefault="00A173A8">
      <w:pPr>
        <w:rPr>
          <w:rFonts w:eastAsia="Times New Roman"/>
        </w:rPr>
      </w:pPr>
      <w:r>
        <w:rPr>
          <w:rFonts w:eastAsia="Times New Roman"/>
        </w:rPr>
        <w:pict w14:anchorId="5E494630">
          <v:rect id="_x0000_i1098" style="width:0;height:1.5pt" o:hralign="center" o:hrstd="t" o:hr="t" fillcolor="#a0a0a0" stroked="f"/>
        </w:pict>
      </w:r>
    </w:p>
    <w:p w14:paraId="0FE9BFC2" w14:textId="77777777" w:rsidR="00000000" w:rsidRDefault="00A173A8">
      <w:pPr>
        <w:jc w:val="both"/>
        <w:divId w:val="636909060"/>
        <w:rPr>
          <w:rFonts w:eastAsia="Times New Roman"/>
        </w:rPr>
      </w:pPr>
      <w:hyperlink w:anchor="i7ffd5d61af6f4722b1b1b07530d51c06_13" w:history="1">
        <w:r>
          <w:rPr>
            <w:rStyle w:val="a3"/>
            <w:rFonts w:eastAsia="Times New Roman"/>
            <w:sz w:val="16"/>
            <w:szCs w:val="16"/>
          </w:rPr>
          <w:t>Table of Contents</w:t>
        </w:r>
      </w:hyperlink>
    </w:p>
    <w:p w14:paraId="156E1DDE" w14:textId="77777777" w:rsidR="00000000" w:rsidRDefault="00A173A8">
      <w:pPr>
        <w:divId w:val="796946101"/>
        <w:rPr>
          <w:rFonts w:eastAsia="Times New Roman"/>
        </w:rPr>
      </w:pPr>
      <w:r>
        <w:rPr>
          <w:rFonts w:eastAsia="Times New Roman"/>
          <w:b/>
          <w:bCs/>
          <w:color w:val="000000"/>
          <w:sz w:val="18"/>
          <w:szCs w:val="18"/>
        </w:rPr>
        <w:t>Table 2.3: Contractual Maturities and Weighted-Average Yields of Securities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3329"/>
        <w:gridCol w:w="38"/>
        <w:gridCol w:w="36"/>
        <w:gridCol w:w="36"/>
        <w:gridCol w:w="36"/>
        <w:gridCol w:w="110"/>
        <w:gridCol w:w="556"/>
        <w:gridCol w:w="200"/>
        <w:gridCol w:w="36"/>
        <w:gridCol w:w="36"/>
        <w:gridCol w:w="36"/>
        <w:gridCol w:w="110"/>
        <w:gridCol w:w="556"/>
        <w:gridCol w:w="200"/>
        <w:gridCol w:w="36"/>
        <w:gridCol w:w="36"/>
        <w:gridCol w:w="36"/>
        <w:gridCol w:w="110"/>
        <w:gridCol w:w="557"/>
        <w:gridCol w:w="200"/>
        <w:gridCol w:w="36"/>
        <w:gridCol w:w="36"/>
        <w:gridCol w:w="36"/>
        <w:gridCol w:w="110"/>
        <w:gridCol w:w="558"/>
        <w:gridCol w:w="200"/>
        <w:gridCol w:w="36"/>
        <w:gridCol w:w="36"/>
        <w:gridCol w:w="36"/>
        <w:gridCol w:w="110"/>
        <w:gridCol w:w="558"/>
        <w:gridCol w:w="200"/>
      </w:tblGrid>
      <w:tr w:rsidR="00000000" w14:paraId="37023635" w14:textId="77777777">
        <w:trPr>
          <w:divId w:val="521090368"/>
        </w:trPr>
        <w:tc>
          <w:tcPr>
            <w:tcW w:w="50" w:type="pct"/>
            <w:vAlign w:val="center"/>
            <w:hideMark/>
          </w:tcPr>
          <w:p w14:paraId="3C7C7D74" w14:textId="77777777" w:rsidR="00000000" w:rsidRDefault="00A173A8">
            <w:pPr>
              <w:rPr>
                <w:rFonts w:eastAsia="Times New Roman"/>
              </w:rPr>
            </w:pPr>
          </w:p>
        </w:tc>
        <w:tc>
          <w:tcPr>
            <w:tcW w:w="2122" w:type="pct"/>
            <w:vAlign w:val="center"/>
            <w:hideMark/>
          </w:tcPr>
          <w:p w14:paraId="0EE5A0A3" w14:textId="77777777" w:rsidR="00000000" w:rsidRDefault="00A173A8">
            <w:pPr>
              <w:spacing w:after="100"/>
              <w:rPr>
                <w:rFonts w:eastAsia="Times New Roman"/>
                <w:sz w:val="20"/>
                <w:szCs w:val="20"/>
              </w:rPr>
            </w:pPr>
          </w:p>
        </w:tc>
        <w:tc>
          <w:tcPr>
            <w:tcW w:w="5" w:type="pct"/>
            <w:vAlign w:val="center"/>
            <w:hideMark/>
          </w:tcPr>
          <w:p w14:paraId="1A504A5C" w14:textId="77777777" w:rsidR="00000000" w:rsidRDefault="00A173A8">
            <w:pPr>
              <w:spacing w:after="100"/>
              <w:rPr>
                <w:rFonts w:eastAsia="Times New Roman"/>
                <w:sz w:val="20"/>
                <w:szCs w:val="20"/>
              </w:rPr>
            </w:pPr>
          </w:p>
        </w:tc>
        <w:tc>
          <w:tcPr>
            <w:tcW w:w="5" w:type="pct"/>
            <w:vAlign w:val="center"/>
            <w:hideMark/>
          </w:tcPr>
          <w:p w14:paraId="1541674B" w14:textId="77777777" w:rsidR="00000000" w:rsidRDefault="00A173A8">
            <w:pPr>
              <w:spacing w:after="100"/>
              <w:rPr>
                <w:rFonts w:eastAsia="Times New Roman"/>
                <w:sz w:val="20"/>
                <w:szCs w:val="20"/>
              </w:rPr>
            </w:pPr>
          </w:p>
        </w:tc>
        <w:tc>
          <w:tcPr>
            <w:tcW w:w="26" w:type="pct"/>
            <w:vAlign w:val="center"/>
            <w:hideMark/>
          </w:tcPr>
          <w:p w14:paraId="092460BF" w14:textId="77777777" w:rsidR="00000000" w:rsidRDefault="00A173A8">
            <w:pPr>
              <w:spacing w:after="100"/>
              <w:rPr>
                <w:rFonts w:eastAsia="Times New Roman"/>
                <w:sz w:val="20"/>
                <w:szCs w:val="20"/>
              </w:rPr>
            </w:pPr>
          </w:p>
        </w:tc>
        <w:tc>
          <w:tcPr>
            <w:tcW w:w="5" w:type="pct"/>
            <w:vAlign w:val="center"/>
            <w:hideMark/>
          </w:tcPr>
          <w:p w14:paraId="53A03137" w14:textId="77777777" w:rsidR="00000000" w:rsidRDefault="00A173A8">
            <w:pPr>
              <w:spacing w:after="100"/>
              <w:rPr>
                <w:rFonts w:eastAsia="Times New Roman"/>
                <w:sz w:val="20"/>
                <w:szCs w:val="20"/>
              </w:rPr>
            </w:pPr>
          </w:p>
        </w:tc>
        <w:tc>
          <w:tcPr>
            <w:tcW w:w="50" w:type="pct"/>
            <w:vAlign w:val="center"/>
            <w:hideMark/>
          </w:tcPr>
          <w:p w14:paraId="438CDCCD" w14:textId="77777777" w:rsidR="00000000" w:rsidRDefault="00A173A8">
            <w:pPr>
              <w:spacing w:after="100"/>
              <w:rPr>
                <w:rFonts w:eastAsia="Times New Roman"/>
                <w:sz w:val="20"/>
                <w:szCs w:val="20"/>
              </w:rPr>
            </w:pPr>
          </w:p>
        </w:tc>
        <w:tc>
          <w:tcPr>
            <w:tcW w:w="472" w:type="pct"/>
            <w:vAlign w:val="center"/>
            <w:hideMark/>
          </w:tcPr>
          <w:p w14:paraId="0DFF8BCD" w14:textId="77777777" w:rsidR="00000000" w:rsidRDefault="00A173A8">
            <w:pPr>
              <w:spacing w:after="100"/>
              <w:rPr>
                <w:rFonts w:eastAsia="Times New Roman"/>
                <w:sz w:val="20"/>
                <w:szCs w:val="20"/>
              </w:rPr>
            </w:pPr>
          </w:p>
        </w:tc>
        <w:tc>
          <w:tcPr>
            <w:tcW w:w="5" w:type="pct"/>
            <w:vAlign w:val="center"/>
            <w:hideMark/>
          </w:tcPr>
          <w:p w14:paraId="1FA2FD75" w14:textId="77777777" w:rsidR="00000000" w:rsidRDefault="00A173A8">
            <w:pPr>
              <w:spacing w:after="100"/>
              <w:rPr>
                <w:rFonts w:eastAsia="Times New Roman"/>
                <w:sz w:val="20"/>
                <w:szCs w:val="20"/>
              </w:rPr>
            </w:pPr>
          </w:p>
        </w:tc>
        <w:tc>
          <w:tcPr>
            <w:tcW w:w="5" w:type="pct"/>
            <w:vAlign w:val="center"/>
            <w:hideMark/>
          </w:tcPr>
          <w:p w14:paraId="4AE23E01" w14:textId="77777777" w:rsidR="00000000" w:rsidRDefault="00A173A8">
            <w:pPr>
              <w:spacing w:after="100"/>
              <w:rPr>
                <w:rFonts w:eastAsia="Times New Roman"/>
                <w:sz w:val="20"/>
                <w:szCs w:val="20"/>
              </w:rPr>
            </w:pPr>
          </w:p>
        </w:tc>
        <w:tc>
          <w:tcPr>
            <w:tcW w:w="26" w:type="pct"/>
            <w:vAlign w:val="center"/>
            <w:hideMark/>
          </w:tcPr>
          <w:p w14:paraId="647197A9" w14:textId="77777777" w:rsidR="00000000" w:rsidRDefault="00A173A8">
            <w:pPr>
              <w:spacing w:after="100"/>
              <w:rPr>
                <w:rFonts w:eastAsia="Times New Roman"/>
                <w:sz w:val="20"/>
                <w:szCs w:val="20"/>
              </w:rPr>
            </w:pPr>
          </w:p>
        </w:tc>
        <w:tc>
          <w:tcPr>
            <w:tcW w:w="5" w:type="pct"/>
            <w:vAlign w:val="center"/>
            <w:hideMark/>
          </w:tcPr>
          <w:p w14:paraId="74D40C6D" w14:textId="77777777" w:rsidR="00000000" w:rsidRDefault="00A173A8">
            <w:pPr>
              <w:spacing w:after="100"/>
              <w:rPr>
                <w:rFonts w:eastAsia="Times New Roman"/>
                <w:sz w:val="20"/>
                <w:szCs w:val="20"/>
              </w:rPr>
            </w:pPr>
          </w:p>
        </w:tc>
        <w:tc>
          <w:tcPr>
            <w:tcW w:w="50" w:type="pct"/>
            <w:vAlign w:val="center"/>
            <w:hideMark/>
          </w:tcPr>
          <w:p w14:paraId="05EDB03B" w14:textId="77777777" w:rsidR="00000000" w:rsidRDefault="00A173A8">
            <w:pPr>
              <w:spacing w:after="100"/>
              <w:rPr>
                <w:rFonts w:eastAsia="Times New Roman"/>
                <w:sz w:val="20"/>
                <w:szCs w:val="20"/>
              </w:rPr>
            </w:pPr>
          </w:p>
        </w:tc>
        <w:tc>
          <w:tcPr>
            <w:tcW w:w="472" w:type="pct"/>
            <w:vAlign w:val="center"/>
            <w:hideMark/>
          </w:tcPr>
          <w:p w14:paraId="0A8E7A04" w14:textId="77777777" w:rsidR="00000000" w:rsidRDefault="00A173A8">
            <w:pPr>
              <w:spacing w:after="100"/>
              <w:rPr>
                <w:rFonts w:eastAsia="Times New Roman"/>
                <w:sz w:val="20"/>
                <w:szCs w:val="20"/>
              </w:rPr>
            </w:pPr>
          </w:p>
        </w:tc>
        <w:tc>
          <w:tcPr>
            <w:tcW w:w="5" w:type="pct"/>
            <w:vAlign w:val="center"/>
            <w:hideMark/>
          </w:tcPr>
          <w:p w14:paraId="16EB8FDF" w14:textId="77777777" w:rsidR="00000000" w:rsidRDefault="00A173A8">
            <w:pPr>
              <w:spacing w:after="100"/>
              <w:rPr>
                <w:rFonts w:eastAsia="Times New Roman"/>
                <w:sz w:val="20"/>
                <w:szCs w:val="20"/>
              </w:rPr>
            </w:pPr>
          </w:p>
        </w:tc>
        <w:tc>
          <w:tcPr>
            <w:tcW w:w="5" w:type="pct"/>
            <w:vAlign w:val="center"/>
            <w:hideMark/>
          </w:tcPr>
          <w:p w14:paraId="65FB1C20" w14:textId="77777777" w:rsidR="00000000" w:rsidRDefault="00A173A8">
            <w:pPr>
              <w:spacing w:after="100"/>
              <w:rPr>
                <w:rFonts w:eastAsia="Times New Roman"/>
                <w:sz w:val="20"/>
                <w:szCs w:val="20"/>
              </w:rPr>
            </w:pPr>
          </w:p>
        </w:tc>
        <w:tc>
          <w:tcPr>
            <w:tcW w:w="26" w:type="pct"/>
            <w:vAlign w:val="center"/>
            <w:hideMark/>
          </w:tcPr>
          <w:p w14:paraId="6D72E7B7" w14:textId="77777777" w:rsidR="00000000" w:rsidRDefault="00A173A8">
            <w:pPr>
              <w:spacing w:after="100"/>
              <w:rPr>
                <w:rFonts w:eastAsia="Times New Roman"/>
                <w:sz w:val="20"/>
                <w:szCs w:val="20"/>
              </w:rPr>
            </w:pPr>
          </w:p>
        </w:tc>
        <w:tc>
          <w:tcPr>
            <w:tcW w:w="5" w:type="pct"/>
            <w:vAlign w:val="center"/>
            <w:hideMark/>
          </w:tcPr>
          <w:p w14:paraId="6C304D7D" w14:textId="77777777" w:rsidR="00000000" w:rsidRDefault="00A173A8">
            <w:pPr>
              <w:spacing w:after="100"/>
              <w:rPr>
                <w:rFonts w:eastAsia="Times New Roman"/>
                <w:sz w:val="20"/>
                <w:szCs w:val="20"/>
              </w:rPr>
            </w:pPr>
          </w:p>
        </w:tc>
        <w:tc>
          <w:tcPr>
            <w:tcW w:w="50" w:type="pct"/>
            <w:vAlign w:val="center"/>
            <w:hideMark/>
          </w:tcPr>
          <w:p w14:paraId="1419B7EA" w14:textId="77777777" w:rsidR="00000000" w:rsidRDefault="00A173A8">
            <w:pPr>
              <w:spacing w:after="100"/>
              <w:rPr>
                <w:rFonts w:eastAsia="Times New Roman"/>
                <w:sz w:val="20"/>
                <w:szCs w:val="20"/>
              </w:rPr>
            </w:pPr>
          </w:p>
        </w:tc>
        <w:tc>
          <w:tcPr>
            <w:tcW w:w="472" w:type="pct"/>
            <w:vAlign w:val="center"/>
            <w:hideMark/>
          </w:tcPr>
          <w:p w14:paraId="39B13718" w14:textId="77777777" w:rsidR="00000000" w:rsidRDefault="00A173A8">
            <w:pPr>
              <w:spacing w:after="100"/>
              <w:rPr>
                <w:rFonts w:eastAsia="Times New Roman"/>
                <w:sz w:val="20"/>
                <w:szCs w:val="20"/>
              </w:rPr>
            </w:pPr>
          </w:p>
        </w:tc>
        <w:tc>
          <w:tcPr>
            <w:tcW w:w="5" w:type="pct"/>
            <w:vAlign w:val="center"/>
            <w:hideMark/>
          </w:tcPr>
          <w:p w14:paraId="5E9B5834" w14:textId="77777777" w:rsidR="00000000" w:rsidRDefault="00A173A8">
            <w:pPr>
              <w:spacing w:after="100"/>
              <w:rPr>
                <w:rFonts w:eastAsia="Times New Roman"/>
                <w:sz w:val="20"/>
                <w:szCs w:val="20"/>
              </w:rPr>
            </w:pPr>
          </w:p>
        </w:tc>
        <w:tc>
          <w:tcPr>
            <w:tcW w:w="5" w:type="pct"/>
            <w:vAlign w:val="center"/>
            <w:hideMark/>
          </w:tcPr>
          <w:p w14:paraId="08939D7C" w14:textId="77777777" w:rsidR="00000000" w:rsidRDefault="00A173A8">
            <w:pPr>
              <w:spacing w:after="100"/>
              <w:rPr>
                <w:rFonts w:eastAsia="Times New Roman"/>
                <w:sz w:val="20"/>
                <w:szCs w:val="20"/>
              </w:rPr>
            </w:pPr>
          </w:p>
        </w:tc>
        <w:tc>
          <w:tcPr>
            <w:tcW w:w="26" w:type="pct"/>
            <w:vAlign w:val="center"/>
            <w:hideMark/>
          </w:tcPr>
          <w:p w14:paraId="220D4250" w14:textId="77777777" w:rsidR="00000000" w:rsidRDefault="00A173A8">
            <w:pPr>
              <w:spacing w:after="100"/>
              <w:rPr>
                <w:rFonts w:eastAsia="Times New Roman"/>
                <w:sz w:val="20"/>
                <w:szCs w:val="20"/>
              </w:rPr>
            </w:pPr>
          </w:p>
        </w:tc>
        <w:tc>
          <w:tcPr>
            <w:tcW w:w="5" w:type="pct"/>
            <w:vAlign w:val="center"/>
            <w:hideMark/>
          </w:tcPr>
          <w:p w14:paraId="71B5CD9A" w14:textId="77777777" w:rsidR="00000000" w:rsidRDefault="00A173A8">
            <w:pPr>
              <w:spacing w:after="100"/>
              <w:rPr>
                <w:rFonts w:eastAsia="Times New Roman"/>
                <w:sz w:val="20"/>
                <w:szCs w:val="20"/>
              </w:rPr>
            </w:pPr>
          </w:p>
        </w:tc>
        <w:tc>
          <w:tcPr>
            <w:tcW w:w="50" w:type="pct"/>
            <w:vAlign w:val="center"/>
            <w:hideMark/>
          </w:tcPr>
          <w:p w14:paraId="669D8547" w14:textId="77777777" w:rsidR="00000000" w:rsidRDefault="00A173A8">
            <w:pPr>
              <w:spacing w:after="100"/>
              <w:rPr>
                <w:rFonts w:eastAsia="Times New Roman"/>
                <w:sz w:val="20"/>
                <w:szCs w:val="20"/>
              </w:rPr>
            </w:pPr>
          </w:p>
        </w:tc>
        <w:tc>
          <w:tcPr>
            <w:tcW w:w="472" w:type="pct"/>
            <w:vAlign w:val="center"/>
            <w:hideMark/>
          </w:tcPr>
          <w:p w14:paraId="440EEA35" w14:textId="77777777" w:rsidR="00000000" w:rsidRDefault="00A173A8">
            <w:pPr>
              <w:spacing w:after="100"/>
              <w:rPr>
                <w:rFonts w:eastAsia="Times New Roman"/>
                <w:sz w:val="20"/>
                <w:szCs w:val="20"/>
              </w:rPr>
            </w:pPr>
          </w:p>
        </w:tc>
        <w:tc>
          <w:tcPr>
            <w:tcW w:w="5" w:type="pct"/>
            <w:vAlign w:val="center"/>
            <w:hideMark/>
          </w:tcPr>
          <w:p w14:paraId="0B3BBEEF" w14:textId="77777777" w:rsidR="00000000" w:rsidRDefault="00A173A8">
            <w:pPr>
              <w:spacing w:after="100"/>
              <w:rPr>
                <w:rFonts w:eastAsia="Times New Roman"/>
                <w:sz w:val="20"/>
                <w:szCs w:val="20"/>
              </w:rPr>
            </w:pPr>
          </w:p>
        </w:tc>
        <w:tc>
          <w:tcPr>
            <w:tcW w:w="5" w:type="pct"/>
            <w:vAlign w:val="center"/>
            <w:hideMark/>
          </w:tcPr>
          <w:p w14:paraId="0E189BD6" w14:textId="77777777" w:rsidR="00000000" w:rsidRDefault="00A173A8">
            <w:pPr>
              <w:spacing w:after="100"/>
              <w:rPr>
                <w:rFonts w:eastAsia="Times New Roman"/>
                <w:sz w:val="20"/>
                <w:szCs w:val="20"/>
              </w:rPr>
            </w:pPr>
          </w:p>
        </w:tc>
        <w:tc>
          <w:tcPr>
            <w:tcW w:w="26" w:type="pct"/>
            <w:vAlign w:val="center"/>
            <w:hideMark/>
          </w:tcPr>
          <w:p w14:paraId="611F1F61" w14:textId="77777777" w:rsidR="00000000" w:rsidRDefault="00A173A8">
            <w:pPr>
              <w:spacing w:after="100"/>
              <w:rPr>
                <w:rFonts w:eastAsia="Times New Roman"/>
                <w:sz w:val="20"/>
                <w:szCs w:val="20"/>
              </w:rPr>
            </w:pPr>
          </w:p>
        </w:tc>
        <w:tc>
          <w:tcPr>
            <w:tcW w:w="5" w:type="pct"/>
            <w:vAlign w:val="center"/>
            <w:hideMark/>
          </w:tcPr>
          <w:p w14:paraId="0203C6C0" w14:textId="77777777" w:rsidR="00000000" w:rsidRDefault="00A173A8">
            <w:pPr>
              <w:spacing w:after="100"/>
              <w:rPr>
                <w:rFonts w:eastAsia="Times New Roman"/>
                <w:sz w:val="20"/>
                <w:szCs w:val="20"/>
              </w:rPr>
            </w:pPr>
          </w:p>
        </w:tc>
        <w:tc>
          <w:tcPr>
            <w:tcW w:w="50" w:type="pct"/>
            <w:vAlign w:val="center"/>
            <w:hideMark/>
          </w:tcPr>
          <w:p w14:paraId="65EC668D" w14:textId="77777777" w:rsidR="00000000" w:rsidRDefault="00A173A8">
            <w:pPr>
              <w:spacing w:after="100"/>
              <w:rPr>
                <w:rFonts w:eastAsia="Times New Roman"/>
                <w:sz w:val="20"/>
                <w:szCs w:val="20"/>
              </w:rPr>
            </w:pPr>
          </w:p>
        </w:tc>
        <w:tc>
          <w:tcPr>
            <w:tcW w:w="472" w:type="pct"/>
            <w:vAlign w:val="center"/>
            <w:hideMark/>
          </w:tcPr>
          <w:p w14:paraId="39270EE9" w14:textId="77777777" w:rsidR="00000000" w:rsidRDefault="00A173A8">
            <w:pPr>
              <w:spacing w:after="100"/>
              <w:rPr>
                <w:rFonts w:eastAsia="Times New Roman"/>
                <w:sz w:val="20"/>
                <w:szCs w:val="20"/>
              </w:rPr>
            </w:pPr>
          </w:p>
        </w:tc>
        <w:tc>
          <w:tcPr>
            <w:tcW w:w="5" w:type="pct"/>
            <w:vAlign w:val="center"/>
            <w:hideMark/>
          </w:tcPr>
          <w:p w14:paraId="2A73C967" w14:textId="77777777" w:rsidR="00000000" w:rsidRDefault="00A173A8">
            <w:pPr>
              <w:spacing w:after="100"/>
              <w:rPr>
                <w:rFonts w:eastAsia="Times New Roman"/>
                <w:sz w:val="20"/>
                <w:szCs w:val="20"/>
              </w:rPr>
            </w:pPr>
          </w:p>
        </w:tc>
      </w:tr>
      <w:tr w:rsidR="00000000" w14:paraId="4044B322" w14:textId="77777777">
        <w:trPr>
          <w:divId w:val="521090368"/>
        </w:trPr>
        <w:tc>
          <w:tcPr>
            <w:tcW w:w="0" w:type="auto"/>
            <w:gridSpan w:val="3"/>
            <w:tcMar>
              <w:top w:w="0" w:type="dxa"/>
              <w:left w:w="20" w:type="dxa"/>
              <w:bottom w:w="0" w:type="dxa"/>
              <w:right w:w="20" w:type="dxa"/>
            </w:tcMar>
            <w:vAlign w:val="center"/>
            <w:hideMark/>
          </w:tcPr>
          <w:p w14:paraId="6AE6552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5DF1CB"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C11C1CD" w14:textId="77777777" w:rsidR="00000000" w:rsidRDefault="00A173A8">
            <w:pPr>
              <w:spacing w:after="100"/>
              <w:jc w:val="center"/>
              <w:rPr>
                <w:rFonts w:eastAsia="Times New Roman"/>
              </w:rPr>
            </w:pPr>
            <w:r>
              <w:rPr>
                <w:rFonts w:eastAsia="Times New Roman"/>
                <w:b/>
                <w:bCs/>
                <w:color w:val="000000"/>
                <w:sz w:val="16"/>
                <w:szCs w:val="16"/>
              </w:rPr>
              <w:t>June 30, 2022</w:t>
            </w:r>
          </w:p>
        </w:tc>
      </w:tr>
      <w:tr w:rsidR="00000000" w14:paraId="17152CB0" w14:textId="77777777">
        <w:trPr>
          <w:divId w:val="521090368"/>
        </w:trPr>
        <w:tc>
          <w:tcPr>
            <w:tcW w:w="0" w:type="auto"/>
            <w:gridSpan w:val="3"/>
            <w:tcMar>
              <w:top w:w="30" w:type="dxa"/>
              <w:left w:w="20" w:type="dxa"/>
              <w:bottom w:w="30" w:type="dxa"/>
              <w:right w:w="20" w:type="dxa"/>
            </w:tcMar>
            <w:vAlign w:val="bottom"/>
            <w:hideMark/>
          </w:tcPr>
          <w:p w14:paraId="2698FB24"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5E75B1C"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79F2281" w14:textId="77777777" w:rsidR="00000000" w:rsidRDefault="00A173A8">
            <w:pPr>
              <w:spacing w:after="100"/>
              <w:jc w:val="center"/>
              <w:rPr>
                <w:rFonts w:eastAsia="Times New Roman"/>
              </w:rPr>
            </w:pPr>
            <w:r>
              <w:rPr>
                <w:rFonts w:eastAsia="Times New Roman"/>
                <w:b/>
                <w:bCs/>
                <w:color w:val="000000"/>
                <w:sz w:val="16"/>
                <w:szCs w:val="16"/>
              </w:rPr>
              <w:t xml:space="preserve">Due in </w:t>
            </w:r>
            <w:r>
              <w:rPr>
                <w:rFonts w:eastAsia="Times New Roman"/>
                <w:b/>
                <w:bCs/>
                <w:color w:val="000000"/>
                <w:sz w:val="16"/>
                <w:szCs w:val="16"/>
              </w:rPr>
              <w:br/>
              <w:t>1 Year or Less</w:t>
            </w:r>
          </w:p>
        </w:tc>
        <w:tc>
          <w:tcPr>
            <w:tcW w:w="0" w:type="auto"/>
            <w:gridSpan w:val="3"/>
            <w:tcBorders>
              <w:top w:val="single" w:sz="8" w:space="0" w:color="000000"/>
            </w:tcBorders>
            <w:tcMar>
              <w:top w:w="0" w:type="dxa"/>
              <w:left w:w="20" w:type="dxa"/>
              <w:bottom w:w="0" w:type="dxa"/>
              <w:right w:w="20" w:type="dxa"/>
            </w:tcMar>
            <w:vAlign w:val="center"/>
            <w:hideMark/>
          </w:tcPr>
          <w:p w14:paraId="1EFB86D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70564C" w14:textId="77777777" w:rsidR="00000000" w:rsidRDefault="00A173A8">
            <w:pPr>
              <w:spacing w:after="100"/>
              <w:jc w:val="center"/>
              <w:rPr>
                <w:rFonts w:eastAsia="Times New Roman"/>
              </w:rPr>
            </w:pPr>
            <w:r>
              <w:rPr>
                <w:rFonts w:eastAsia="Times New Roman"/>
                <w:b/>
                <w:bCs/>
                <w:color w:val="000000"/>
                <w:sz w:val="16"/>
                <w:szCs w:val="16"/>
              </w:rPr>
              <w:t>Due &gt; 1 Year</w:t>
            </w:r>
            <w:r>
              <w:rPr>
                <w:rFonts w:eastAsia="Times New Roman"/>
                <w:b/>
                <w:bCs/>
                <w:color w:val="000000"/>
                <w:sz w:val="16"/>
                <w:szCs w:val="16"/>
              </w:rPr>
              <w:br/>
              <w:t>through</w:t>
            </w:r>
            <w:r>
              <w:rPr>
                <w:rFonts w:eastAsia="Times New Roman"/>
                <w:b/>
                <w:bCs/>
                <w:color w:val="000000"/>
                <w:sz w:val="16"/>
                <w:szCs w:val="16"/>
              </w:rPr>
              <w:br/>
              <w:t>5 Years</w:t>
            </w:r>
          </w:p>
        </w:tc>
        <w:tc>
          <w:tcPr>
            <w:tcW w:w="0" w:type="auto"/>
            <w:gridSpan w:val="3"/>
            <w:tcBorders>
              <w:top w:val="single" w:sz="8" w:space="0" w:color="000000"/>
            </w:tcBorders>
            <w:tcMar>
              <w:top w:w="0" w:type="dxa"/>
              <w:left w:w="20" w:type="dxa"/>
              <w:bottom w:w="0" w:type="dxa"/>
              <w:right w:w="20" w:type="dxa"/>
            </w:tcMar>
            <w:vAlign w:val="center"/>
            <w:hideMark/>
          </w:tcPr>
          <w:p w14:paraId="1AAB6EF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CBB20C" w14:textId="77777777" w:rsidR="00000000" w:rsidRDefault="00A173A8">
            <w:pPr>
              <w:spacing w:after="100"/>
              <w:jc w:val="center"/>
              <w:rPr>
                <w:rFonts w:eastAsia="Times New Roman"/>
              </w:rPr>
            </w:pPr>
            <w:r>
              <w:rPr>
                <w:rFonts w:eastAsia="Times New Roman"/>
                <w:b/>
                <w:bCs/>
                <w:color w:val="000000"/>
                <w:sz w:val="16"/>
                <w:szCs w:val="16"/>
              </w:rPr>
              <w:t xml:space="preserve">Due &gt; </w:t>
            </w:r>
            <w:r>
              <w:rPr>
                <w:rFonts w:eastAsia="Times New Roman"/>
                <w:b/>
                <w:bCs/>
                <w:color w:val="000000"/>
                <w:sz w:val="16"/>
                <w:szCs w:val="16"/>
              </w:rPr>
              <w:t>5 Years</w:t>
            </w:r>
            <w:r>
              <w:rPr>
                <w:rFonts w:eastAsia="Times New Roman"/>
                <w:b/>
                <w:bCs/>
                <w:color w:val="000000"/>
                <w:sz w:val="16"/>
                <w:szCs w:val="16"/>
              </w:rPr>
              <w:br/>
              <w:t>through</w:t>
            </w:r>
            <w:r>
              <w:rPr>
                <w:rFonts w:eastAsia="Times New Roman"/>
                <w:b/>
                <w:bCs/>
                <w:color w:val="000000"/>
                <w:sz w:val="16"/>
                <w:szCs w:val="16"/>
              </w:rPr>
              <w:br/>
              <w:t>10 Years</w:t>
            </w:r>
          </w:p>
        </w:tc>
        <w:tc>
          <w:tcPr>
            <w:tcW w:w="0" w:type="auto"/>
            <w:gridSpan w:val="3"/>
            <w:tcBorders>
              <w:top w:val="single" w:sz="8" w:space="0" w:color="000000"/>
            </w:tcBorders>
            <w:tcMar>
              <w:top w:w="0" w:type="dxa"/>
              <w:left w:w="20" w:type="dxa"/>
              <w:bottom w:w="0" w:type="dxa"/>
              <w:right w:w="20" w:type="dxa"/>
            </w:tcMar>
            <w:vAlign w:val="center"/>
            <w:hideMark/>
          </w:tcPr>
          <w:p w14:paraId="4A7A4D6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F92AFC" w14:textId="77777777" w:rsidR="00000000" w:rsidRDefault="00A173A8">
            <w:pPr>
              <w:spacing w:after="100"/>
              <w:jc w:val="center"/>
              <w:rPr>
                <w:rFonts w:eastAsia="Times New Roman"/>
              </w:rPr>
            </w:pPr>
            <w:r>
              <w:rPr>
                <w:rFonts w:eastAsia="Times New Roman"/>
                <w:b/>
                <w:bCs/>
                <w:color w:val="000000"/>
                <w:sz w:val="16"/>
                <w:szCs w:val="16"/>
              </w:rPr>
              <w:t>Due &gt; 10 Years</w:t>
            </w:r>
          </w:p>
        </w:tc>
        <w:tc>
          <w:tcPr>
            <w:tcW w:w="0" w:type="auto"/>
            <w:gridSpan w:val="3"/>
            <w:tcBorders>
              <w:top w:val="single" w:sz="8" w:space="0" w:color="000000"/>
            </w:tcBorders>
            <w:tcMar>
              <w:top w:w="0" w:type="dxa"/>
              <w:left w:w="20" w:type="dxa"/>
              <w:bottom w:w="0" w:type="dxa"/>
              <w:right w:w="20" w:type="dxa"/>
            </w:tcMar>
            <w:vAlign w:val="center"/>
            <w:hideMark/>
          </w:tcPr>
          <w:p w14:paraId="01F2DDF7"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3A0D18"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3BE0F6F5" w14:textId="77777777">
        <w:trPr>
          <w:divId w:val="52109036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26013B0" w14:textId="77777777" w:rsidR="00000000" w:rsidRDefault="00A173A8">
            <w:pPr>
              <w:spacing w:after="100"/>
              <w:rPr>
                <w:rFonts w:eastAsia="Times New Roman"/>
              </w:rPr>
            </w:pPr>
            <w:r>
              <w:rPr>
                <w:rFonts w:eastAsia="Times New Roman"/>
                <w:b/>
                <w:bCs/>
                <w:color w:val="000000"/>
                <w:sz w:val="18"/>
                <w:szCs w:val="18"/>
              </w:rPr>
              <w:t>Fair value of securities available for sale:</w:t>
            </w:r>
          </w:p>
        </w:tc>
        <w:tc>
          <w:tcPr>
            <w:tcW w:w="0" w:type="auto"/>
            <w:gridSpan w:val="3"/>
            <w:shd w:val="clear" w:color="auto" w:fill="CCEEFF"/>
            <w:tcMar>
              <w:top w:w="0" w:type="dxa"/>
              <w:left w:w="20" w:type="dxa"/>
              <w:bottom w:w="0" w:type="dxa"/>
              <w:right w:w="20" w:type="dxa"/>
            </w:tcMar>
            <w:vAlign w:val="center"/>
            <w:hideMark/>
          </w:tcPr>
          <w:p w14:paraId="5ADFFFCF"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657CD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74343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047E4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6CF7C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6B726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10A7B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FF10A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2E326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50768E" w14:textId="77777777" w:rsidR="00000000" w:rsidRDefault="00A173A8">
            <w:pPr>
              <w:spacing w:after="100"/>
              <w:rPr>
                <w:rFonts w:eastAsia="Times New Roman"/>
                <w:sz w:val="20"/>
                <w:szCs w:val="20"/>
              </w:rPr>
            </w:pPr>
          </w:p>
        </w:tc>
      </w:tr>
      <w:tr w:rsidR="00000000" w14:paraId="2BABAD73" w14:textId="77777777">
        <w:trPr>
          <w:divId w:val="521090368"/>
        </w:trPr>
        <w:tc>
          <w:tcPr>
            <w:tcW w:w="0" w:type="auto"/>
            <w:gridSpan w:val="3"/>
            <w:shd w:val="clear" w:color="auto" w:fill="FFFFFF"/>
            <w:tcMar>
              <w:top w:w="30" w:type="dxa"/>
              <w:left w:w="20" w:type="dxa"/>
              <w:bottom w:w="30" w:type="dxa"/>
              <w:right w:w="20" w:type="dxa"/>
            </w:tcMar>
            <w:vAlign w:val="center"/>
            <w:hideMark/>
          </w:tcPr>
          <w:p w14:paraId="406EF8E2" w14:textId="77777777" w:rsidR="00000000" w:rsidRDefault="00A173A8">
            <w:pPr>
              <w:spacing w:after="100"/>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14:paraId="7C4ED4CF"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746F9D0"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8EAA110" w14:textId="77777777" w:rsidR="00000000" w:rsidRDefault="00A173A8">
            <w:pPr>
              <w:spacing w:after="100"/>
              <w:jc w:val="right"/>
              <w:rPr>
                <w:rFonts w:eastAsia="Times New Roman"/>
              </w:rPr>
            </w:pPr>
            <w:r>
              <w:rPr>
                <w:rFonts w:eastAsia="Times New Roman"/>
                <w:b/>
                <w:bCs/>
                <w:color w:val="000000"/>
                <w:sz w:val="18"/>
                <w:szCs w:val="18"/>
              </w:rPr>
              <w:t>3,893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31D0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16024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620A0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526826F" w14:textId="77777777" w:rsidR="00000000" w:rsidRDefault="00A173A8">
            <w:pPr>
              <w:spacing w:after="100"/>
              <w:jc w:val="right"/>
              <w:rPr>
                <w:rFonts w:eastAsia="Times New Roman"/>
              </w:rPr>
            </w:pPr>
            <w:r>
              <w:rPr>
                <w:rFonts w:eastAsia="Times New Roman"/>
                <w:b/>
                <w:bCs/>
                <w:color w:val="000000"/>
                <w:sz w:val="18"/>
                <w:szCs w:val="18"/>
              </w:rPr>
              <w:t>4,731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66AD6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6EA0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1E30A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63CF2B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377ED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8DDD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E332046"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A6A0CD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7BBE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AA36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6C9C3C"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EB28B80" w14:textId="77777777" w:rsidR="00000000" w:rsidRDefault="00A173A8">
            <w:pPr>
              <w:spacing w:after="100"/>
              <w:jc w:val="right"/>
              <w:rPr>
                <w:rFonts w:eastAsia="Times New Roman"/>
              </w:rPr>
            </w:pPr>
            <w:r>
              <w:rPr>
                <w:rFonts w:eastAsia="Times New Roman"/>
                <w:b/>
                <w:bCs/>
                <w:color w:val="000000"/>
                <w:sz w:val="18"/>
                <w:szCs w:val="18"/>
              </w:rPr>
              <w:t>8,624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9EA84F" w14:textId="77777777" w:rsidR="00000000" w:rsidRDefault="00A173A8">
            <w:pPr>
              <w:spacing w:after="100"/>
              <w:jc w:val="right"/>
              <w:rPr>
                <w:rFonts w:eastAsia="Times New Roman"/>
              </w:rPr>
            </w:pPr>
          </w:p>
        </w:tc>
      </w:tr>
      <w:tr w:rsidR="00000000" w14:paraId="64EDD870" w14:textId="77777777">
        <w:trPr>
          <w:divId w:val="521090368"/>
        </w:trPr>
        <w:tc>
          <w:tcPr>
            <w:tcW w:w="0" w:type="auto"/>
            <w:gridSpan w:val="3"/>
            <w:shd w:val="clear" w:color="auto" w:fill="CCEEFF"/>
            <w:tcMar>
              <w:top w:w="30" w:type="dxa"/>
              <w:left w:w="20" w:type="dxa"/>
              <w:bottom w:w="30" w:type="dxa"/>
              <w:right w:w="20" w:type="dxa"/>
            </w:tcMar>
            <w:vAlign w:val="center"/>
            <w:hideMark/>
          </w:tcPr>
          <w:p w14:paraId="7429EAF1" w14:textId="77777777" w:rsidR="00000000" w:rsidRDefault="00A173A8">
            <w:pPr>
              <w:spacing w:after="100"/>
              <w:divId w:val="1371144879"/>
              <w:rPr>
                <w:rFonts w:eastAsia="Times New Roman"/>
              </w:rPr>
            </w:pPr>
            <w:r>
              <w:rPr>
                <w:rFonts w:eastAsia="Times New Roman"/>
                <w:color w:val="000000"/>
                <w:sz w:val="18"/>
                <w:szCs w:val="18"/>
              </w:rPr>
              <w:t>RMB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07271B69"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3485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0BDA9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CEE08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877E1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FC3DD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DD885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C481F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BBC7F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F213C8" w14:textId="77777777" w:rsidR="00000000" w:rsidRDefault="00A173A8">
            <w:pPr>
              <w:spacing w:after="100"/>
              <w:rPr>
                <w:rFonts w:eastAsia="Times New Roman"/>
                <w:sz w:val="20"/>
                <w:szCs w:val="20"/>
              </w:rPr>
            </w:pPr>
          </w:p>
        </w:tc>
      </w:tr>
      <w:tr w:rsidR="00000000" w14:paraId="2D8C231B" w14:textId="77777777">
        <w:trPr>
          <w:divId w:val="521090368"/>
        </w:trPr>
        <w:tc>
          <w:tcPr>
            <w:tcW w:w="0" w:type="auto"/>
            <w:gridSpan w:val="3"/>
            <w:shd w:val="clear" w:color="auto" w:fill="FFFFFF"/>
            <w:tcMar>
              <w:top w:w="30" w:type="dxa"/>
              <w:left w:w="245" w:type="dxa"/>
              <w:bottom w:w="30" w:type="dxa"/>
              <w:right w:w="20" w:type="dxa"/>
            </w:tcMar>
            <w:vAlign w:val="center"/>
            <w:hideMark/>
          </w:tcPr>
          <w:p w14:paraId="13953966" w14:textId="77777777" w:rsidR="00000000" w:rsidRDefault="00A173A8">
            <w:pPr>
              <w:spacing w:after="100"/>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14:paraId="5EC7C96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8776D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E64B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5E3F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65570" w14:textId="77777777" w:rsidR="00000000" w:rsidRDefault="00A173A8">
            <w:pPr>
              <w:spacing w:after="100"/>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788F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1566C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15A854" w14:textId="77777777" w:rsidR="00000000" w:rsidRDefault="00A173A8">
            <w:pPr>
              <w:spacing w:after="100"/>
              <w:jc w:val="right"/>
              <w:rPr>
                <w:rFonts w:eastAsia="Times New Roman"/>
              </w:rPr>
            </w:pPr>
            <w:r>
              <w:rPr>
                <w:rFonts w:eastAsia="Times New Roman"/>
                <w:b/>
                <w:bCs/>
                <w:color w:val="000000"/>
                <w:sz w:val="18"/>
                <w:szCs w:val="18"/>
              </w:rPr>
              <w:t>1,100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E780E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8BDF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AD62DC" w14:textId="77777777" w:rsidR="00000000" w:rsidRDefault="00A173A8">
            <w:pPr>
              <w:spacing w:after="100"/>
              <w:jc w:val="right"/>
              <w:rPr>
                <w:rFonts w:eastAsia="Times New Roman"/>
              </w:rPr>
            </w:pPr>
            <w:r>
              <w:rPr>
                <w:rFonts w:eastAsia="Times New Roman"/>
                <w:b/>
                <w:bCs/>
                <w:color w:val="000000"/>
                <w:sz w:val="18"/>
                <w:szCs w:val="18"/>
              </w:rPr>
              <w:t>63,499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4B664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3A160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6D0096" w14:textId="77777777" w:rsidR="00000000" w:rsidRDefault="00A173A8">
            <w:pPr>
              <w:spacing w:after="100"/>
              <w:jc w:val="right"/>
              <w:rPr>
                <w:rFonts w:eastAsia="Times New Roman"/>
              </w:rPr>
            </w:pPr>
            <w:r>
              <w:rPr>
                <w:rFonts w:eastAsia="Times New Roman"/>
                <w:b/>
                <w:bCs/>
                <w:color w:val="000000"/>
                <w:sz w:val="18"/>
                <w:szCs w:val="18"/>
              </w:rPr>
              <w:t>64,705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7BC4ABE" w14:textId="77777777" w:rsidR="00000000" w:rsidRDefault="00A173A8">
            <w:pPr>
              <w:spacing w:after="100"/>
              <w:jc w:val="right"/>
              <w:rPr>
                <w:rFonts w:eastAsia="Times New Roman"/>
              </w:rPr>
            </w:pPr>
          </w:p>
        </w:tc>
      </w:tr>
      <w:tr w:rsidR="00000000" w14:paraId="2373110E" w14:textId="77777777">
        <w:trPr>
          <w:divId w:val="521090368"/>
        </w:trPr>
        <w:tc>
          <w:tcPr>
            <w:tcW w:w="0" w:type="auto"/>
            <w:gridSpan w:val="3"/>
            <w:shd w:val="clear" w:color="auto" w:fill="CCEEFF"/>
            <w:tcMar>
              <w:top w:w="30" w:type="dxa"/>
              <w:left w:w="245" w:type="dxa"/>
              <w:bottom w:w="30" w:type="dxa"/>
              <w:right w:w="20" w:type="dxa"/>
            </w:tcMar>
            <w:vAlign w:val="center"/>
            <w:hideMark/>
          </w:tcPr>
          <w:p w14:paraId="742B929B" w14:textId="77777777" w:rsidR="00000000" w:rsidRDefault="00A173A8">
            <w:pPr>
              <w:spacing w:after="100"/>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14:paraId="46A42F4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B7ABD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848FFA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540C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12DD3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BD9FC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6BD5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BA0FE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015A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A65F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56C2B9" w14:textId="77777777" w:rsidR="00000000" w:rsidRDefault="00A173A8">
            <w:pPr>
              <w:spacing w:after="100"/>
              <w:jc w:val="right"/>
              <w:rPr>
                <w:rFonts w:eastAsia="Times New Roman"/>
              </w:rPr>
            </w:pPr>
            <w:r>
              <w:rPr>
                <w:rFonts w:eastAsia="Times New Roman"/>
                <w:b/>
                <w:bCs/>
                <w:color w:val="000000"/>
                <w:sz w:val="18"/>
                <w:szCs w:val="18"/>
              </w:rPr>
              <w:t>822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78EEB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6A2B6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102194" w14:textId="77777777" w:rsidR="00000000" w:rsidRDefault="00A173A8">
            <w:pPr>
              <w:spacing w:after="100"/>
              <w:jc w:val="right"/>
              <w:rPr>
                <w:rFonts w:eastAsia="Times New Roman"/>
              </w:rPr>
            </w:pPr>
            <w:r>
              <w:rPr>
                <w:rFonts w:eastAsia="Times New Roman"/>
                <w:b/>
                <w:bCs/>
                <w:color w:val="000000"/>
                <w:sz w:val="18"/>
                <w:szCs w:val="18"/>
              </w:rPr>
              <w:t>822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E4FAB8" w14:textId="77777777" w:rsidR="00000000" w:rsidRDefault="00A173A8">
            <w:pPr>
              <w:spacing w:after="100"/>
              <w:jc w:val="right"/>
              <w:rPr>
                <w:rFonts w:eastAsia="Times New Roman"/>
              </w:rPr>
            </w:pPr>
          </w:p>
        </w:tc>
      </w:tr>
      <w:tr w:rsidR="00000000" w14:paraId="14211A85" w14:textId="77777777">
        <w:trPr>
          <w:divId w:val="521090368"/>
        </w:trPr>
        <w:tc>
          <w:tcPr>
            <w:tcW w:w="0" w:type="auto"/>
            <w:gridSpan w:val="3"/>
            <w:shd w:val="clear" w:color="auto" w:fill="FFFFFF"/>
            <w:tcMar>
              <w:top w:w="30" w:type="dxa"/>
              <w:left w:w="20" w:type="dxa"/>
              <w:bottom w:w="30" w:type="dxa"/>
              <w:right w:w="20" w:type="dxa"/>
            </w:tcMar>
            <w:vAlign w:val="center"/>
            <w:hideMark/>
          </w:tcPr>
          <w:p w14:paraId="10620002" w14:textId="77777777" w:rsidR="00000000" w:rsidRDefault="00A173A8">
            <w:pPr>
              <w:spacing w:after="100"/>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14:paraId="1AA70FDD"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18618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628C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256F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903945" w14:textId="77777777" w:rsidR="00000000" w:rsidRDefault="00A173A8">
            <w:pPr>
              <w:spacing w:after="100"/>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F1F49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412DA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824A78" w14:textId="77777777" w:rsidR="00000000" w:rsidRDefault="00A173A8">
            <w:pPr>
              <w:spacing w:after="100"/>
              <w:jc w:val="right"/>
              <w:rPr>
                <w:rFonts w:eastAsia="Times New Roman"/>
              </w:rPr>
            </w:pPr>
            <w:r>
              <w:rPr>
                <w:rFonts w:eastAsia="Times New Roman"/>
                <w:b/>
                <w:bCs/>
                <w:color w:val="000000"/>
                <w:sz w:val="18"/>
                <w:szCs w:val="18"/>
              </w:rPr>
              <w:t>1,100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6FCA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84D5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4D1198" w14:textId="77777777" w:rsidR="00000000" w:rsidRDefault="00A173A8">
            <w:pPr>
              <w:spacing w:after="100"/>
              <w:jc w:val="right"/>
              <w:rPr>
                <w:rFonts w:eastAsia="Times New Roman"/>
              </w:rPr>
            </w:pPr>
            <w:r>
              <w:rPr>
                <w:rFonts w:eastAsia="Times New Roman"/>
                <w:b/>
                <w:bCs/>
                <w:color w:val="000000"/>
                <w:sz w:val="18"/>
                <w:szCs w:val="18"/>
              </w:rPr>
              <w:t>64,321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A8FD7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1754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CC3E71" w14:textId="77777777" w:rsidR="00000000" w:rsidRDefault="00A173A8">
            <w:pPr>
              <w:spacing w:after="100"/>
              <w:jc w:val="right"/>
              <w:rPr>
                <w:rFonts w:eastAsia="Times New Roman"/>
              </w:rPr>
            </w:pPr>
            <w:r>
              <w:rPr>
                <w:rFonts w:eastAsia="Times New Roman"/>
                <w:b/>
                <w:bCs/>
                <w:color w:val="000000"/>
                <w:sz w:val="18"/>
                <w:szCs w:val="18"/>
              </w:rPr>
              <w:t>65,527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844A3E" w14:textId="77777777" w:rsidR="00000000" w:rsidRDefault="00A173A8">
            <w:pPr>
              <w:spacing w:after="100"/>
              <w:jc w:val="right"/>
              <w:rPr>
                <w:rFonts w:eastAsia="Times New Roman"/>
              </w:rPr>
            </w:pPr>
          </w:p>
        </w:tc>
      </w:tr>
      <w:tr w:rsidR="00000000" w14:paraId="421DC881" w14:textId="77777777">
        <w:trPr>
          <w:divId w:val="521090368"/>
        </w:trPr>
        <w:tc>
          <w:tcPr>
            <w:tcW w:w="0" w:type="auto"/>
            <w:gridSpan w:val="3"/>
            <w:shd w:val="clear" w:color="auto" w:fill="CCEEFF"/>
            <w:tcMar>
              <w:top w:w="30" w:type="dxa"/>
              <w:left w:w="20" w:type="dxa"/>
              <w:bottom w:w="30" w:type="dxa"/>
              <w:right w:w="20" w:type="dxa"/>
            </w:tcMar>
            <w:vAlign w:val="center"/>
            <w:hideMark/>
          </w:tcPr>
          <w:p w14:paraId="55032CAB" w14:textId="77777777" w:rsidR="00000000" w:rsidRDefault="00A173A8">
            <w:pPr>
              <w:spacing w:after="100"/>
              <w:divId w:val="1963150169"/>
              <w:rPr>
                <w:rFonts w:eastAsia="Times New Roman"/>
              </w:rPr>
            </w:pPr>
            <w:r>
              <w:rPr>
                <w:rFonts w:eastAsia="Times New Roman"/>
                <w:color w:val="000000"/>
                <w:sz w:val="18"/>
                <w:szCs w:val="18"/>
              </w:rPr>
              <w:t>Agency CMB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5D5797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A249F7" w14:textId="77777777" w:rsidR="00000000" w:rsidRDefault="00A173A8">
            <w:pPr>
              <w:spacing w:after="100"/>
              <w:jc w:val="right"/>
              <w:rPr>
                <w:rFonts w:eastAsia="Times New Roman"/>
              </w:rPr>
            </w:pPr>
            <w:r>
              <w:rPr>
                <w:rFonts w:eastAsia="Times New Roman"/>
                <w:b/>
                <w:bCs/>
                <w:color w:val="000000"/>
                <w:sz w:val="18"/>
                <w:szCs w:val="18"/>
              </w:rPr>
              <w:t>285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FC39F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852C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9D8AC6" w14:textId="77777777" w:rsidR="00000000" w:rsidRDefault="00A173A8">
            <w:pPr>
              <w:spacing w:after="100"/>
              <w:jc w:val="right"/>
              <w:rPr>
                <w:rFonts w:eastAsia="Times New Roman"/>
              </w:rPr>
            </w:pPr>
            <w:r>
              <w:rPr>
                <w:rFonts w:eastAsia="Times New Roman"/>
                <w:b/>
                <w:bCs/>
                <w:color w:val="000000"/>
                <w:sz w:val="18"/>
                <w:szCs w:val="18"/>
              </w:rPr>
              <w:t>1,897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E181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4043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91C350" w14:textId="77777777" w:rsidR="00000000" w:rsidRDefault="00A173A8">
            <w:pPr>
              <w:spacing w:after="100"/>
              <w:jc w:val="right"/>
              <w:rPr>
                <w:rFonts w:eastAsia="Times New Roman"/>
              </w:rPr>
            </w:pPr>
            <w:r>
              <w:rPr>
                <w:rFonts w:eastAsia="Times New Roman"/>
                <w:b/>
                <w:bCs/>
                <w:color w:val="000000"/>
                <w:sz w:val="18"/>
                <w:szCs w:val="18"/>
              </w:rPr>
              <w:t>3,690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FEA30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17B5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A5A819" w14:textId="77777777" w:rsidR="00000000" w:rsidRDefault="00A173A8">
            <w:pPr>
              <w:spacing w:after="100"/>
              <w:jc w:val="right"/>
              <w:rPr>
                <w:rFonts w:eastAsia="Times New Roman"/>
              </w:rPr>
            </w:pPr>
            <w:r>
              <w:rPr>
                <w:rFonts w:eastAsia="Times New Roman"/>
                <w:b/>
                <w:bCs/>
                <w:color w:val="000000"/>
                <w:sz w:val="18"/>
                <w:szCs w:val="18"/>
              </w:rPr>
              <w:t>1,702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2EABB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E3CC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EEB26E" w14:textId="77777777" w:rsidR="00000000" w:rsidRDefault="00A173A8">
            <w:pPr>
              <w:spacing w:after="100"/>
              <w:jc w:val="right"/>
              <w:rPr>
                <w:rFonts w:eastAsia="Times New Roman"/>
              </w:rPr>
            </w:pPr>
            <w:r>
              <w:rPr>
                <w:rFonts w:eastAsia="Times New Roman"/>
                <w:b/>
                <w:bCs/>
                <w:color w:val="000000"/>
                <w:sz w:val="18"/>
                <w:szCs w:val="18"/>
              </w:rPr>
              <w:t>7,574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3FDD69" w14:textId="77777777" w:rsidR="00000000" w:rsidRDefault="00A173A8">
            <w:pPr>
              <w:spacing w:after="100"/>
              <w:jc w:val="right"/>
              <w:rPr>
                <w:rFonts w:eastAsia="Times New Roman"/>
              </w:rPr>
            </w:pPr>
          </w:p>
        </w:tc>
      </w:tr>
      <w:tr w:rsidR="00000000" w14:paraId="05B24EDA" w14:textId="77777777">
        <w:trPr>
          <w:divId w:val="521090368"/>
        </w:trPr>
        <w:tc>
          <w:tcPr>
            <w:tcW w:w="0" w:type="auto"/>
            <w:gridSpan w:val="3"/>
            <w:shd w:val="clear" w:color="auto" w:fill="FFFFFF"/>
            <w:tcMar>
              <w:top w:w="30" w:type="dxa"/>
              <w:left w:w="20" w:type="dxa"/>
              <w:bottom w:w="30" w:type="dxa"/>
              <w:right w:w="20" w:type="dxa"/>
            </w:tcMar>
            <w:vAlign w:val="center"/>
            <w:hideMark/>
          </w:tcPr>
          <w:p w14:paraId="0BA1E205" w14:textId="77777777" w:rsidR="00000000" w:rsidRDefault="00A173A8">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14:paraId="5C68958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33D79B1" w14:textId="77777777" w:rsidR="00000000" w:rsidRDefault="00A173A8">
            <w:pPr>
              <w:spacing w:after="100"/>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725B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360C5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856084" w14:textId="77777777" w:rsidR="00000000" w:rsidRDefault="00A173A8">
            <w:pPr>
              <w:spacing w:after="100"/>
              <w:jc w:val="right"/>
              <w:rPr>
                <w:rFonts w:eastAsia="Times New Roman"/>
              </w:rPr>
            </w:pPr>
            <w:r>
              <w:rPr>
                <w:rFonts w:eastAsia="Times New Roman"/>
                <w:b/>
                <w:bCs/>
                <w:color w:val="000000"/>
                <w:sz w:val="18"/>
                <w:szCs w:val="18"/>
              </w:rPr>
              <w:t>835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1D4972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7559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5A371A" w14:textId="77777777" w:rsidR="00000000" w:rsidRDefault="00A173A8">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00A65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AB69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BAE4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B9991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FFB2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32817A" w14:textId="77777777" w:rsidR="00000000" w:rsidRDefault="00A173A8">
            <w:pPr>
              <w:spacing w:after="100"/>
              <w:jc w:val="right"/>
              <w:rPr>
                <w:rFonts w:eastAsia="Times New Roman"/>
              </w:rPr>
            </w:pPr>
            <w:r>
              <w:rPr>
                <w:rFonts w:eastAsia="Times New Roman"/>
                <w:b/>
                <w:bCs/>
                <w:color w:val="000000"/>
                <w:sz w:val="18"/>
                <w:szCs w:val="18"/>
              </w:rPr>
              <w:t>1,297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9DE04A" w14:textId="77777777" w:rsidR="00000000" w:rsidRDefault="00A173A8">
            <w:pPr>
              <w:spacing w:after="100"/>
              <w:jc w:val="right"/>
              <w:rPr>
                <w:rFonts w:eastAsia="Times New Roman"/>
              </w:rPr>
            </w:pPr>
          </w:p>
        </w:tc>
      </w:tr>
      <w:tr w:rsidR="00000000" w14:paraId="46AE7761" w14:textId="77777777">
        <w:trPr>
          <w:divId w:val="521090368"/>
        </w:trPr>
        <w:tc>
          <w:tcPr>
            <w:tcW w:w="0" w:type="auto"/>
            <w:gridSpan w:val="3"/>
            <w:shd w:val="clear" w:color="auto" w:fill="CCEEFF"/>
            <w:tcMar>
              <w:top w:w="30" w:type="dxa"/>
              <w:left w:w="20" w:type="dxa"/>
              <w:bottom w:w="30" w:type="dxa"/>
              <w:right w:w="20" w:type="dxa"/>
            </w:tcMar>
            <w:vAlign w:val="center"/>
            <w:hideMark/>
          </w:tcPr>
          <w:p w14:paraId="2487BE1D" w14:textId="77777777" w:rsidR="00000000" w:rsidRDefault="00A173A8">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14:paraId="06952BDD"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C0822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4D9C82" w14:textId="77777777" w:rsidR="00000000" w:rsidRDefault="00A173A8">
            <w:pPr>
              <w:spacing w:after="100"/>
              <w:jc w:val="right"/>
              <w:rPr>
                <w:rFonts w:eastAsia="Times New Roman"/>
              </w:rPr>
            </w:pPr>
            <w:r>
              <w:rPr>
                <w:rFonts w:eastAsia="Times New Roman"/>
                <w:b/>
                <w:bCs/>
                <w:color w:val="000000"/>
                <w:sz w:val="18"/>
                <w:szCs w:val="18"/>
              </w:rPr>
              <w:t>4,399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7A039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E9767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72008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8A2FE8" w14:textId="77777777" w:rsidR="00000000" w:rsidRDefault="00A173A8">
            <w:pPr>
              <w:spacing w:after="100"/>
              <w:jc w:val="right"/>
              <w:rPr>
                <w:rFonts w:eastAsia="Times New Roman"/>
              </w:rPr>
            </w:pPr>
            <w:r>
              <w:rPr>
                <w:rFonts w:eastAsia="Times New Roman"/>
                <w:b/>
                <w:bCs/>
                <w:color w:val="000000"/>
                <w:sz w:val="18"/>
                <w:szCs w:val="18"/>
              </w:rPr>
              <w:t>7,569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5C7F0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0C5F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37048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B4CFBC" w14:textId="77777777" w:rsidR="00000000" w:rsidRDefault="00A173A8">
            <w:pPr>
              <w:spacing w:after="100"/>
              <w:jc w:val="right"/>
              <w:rPr>
                <w:rFonts w:eastAsia="Times New Roman"/>
              </w:rPr>
            </w:pPr>
            <w:r>
              <w:rPr>
                <w:rFonts w:eastAsia="Times New Roman"/>
                <w:b/>
                <w:bCs/>
                <w:color w:val="000000"/>
                <w:sz w:val="18"/>
                <w:szCs w:val="18"/>
              </w:rPr>
              <w:t>5,031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92375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61C87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5552F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5D2C7E" w14:textId="77777777" w:rsidR="00000000" w:rsidRDefault="00A173A8">
            <w:pPr>
              <w:spacing w:after="100"/>
              <w:jc w:val="right"/>
              <w:rPr>
                <w:rFonts w:eastAsia="Times New Roman"/>
              </w:rPr>
            </w:pPr>
            <w:r>
              <w:rPr>
                <w:rFonts w:eastAsia="Times New Roman"/>
                <w:b/>
                <w:bCs/>
                <w:color w:val="000000"/>
                <w:sz w:val="18"/>
                <w:szCs w:val="18"/>
              </w:rPr>
              <w:t>66,023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80B84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AB28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10592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394B7E" w14:textId="77777777" w:rsidR="00000000" w:rsidRDefault="00A173A8">
            <w:pPr>
              <w:spacing w:after="100"/>
              <w:jc w:val="right"/>
              <w:rPr>
                <w:rFonts w:eastAsia="Times New Roman"/>
              </w:rPr>
            </w:pPr>
            <w:r>
              <w:rPr>
                <w:rFonts w:eastAsia="Times New Roman"/>
                <w:b/>
                <w:bCs/>
                <w:color w:val="000000"/>
                <w:sz w:val="18"/>
                <w:szCs w:val="18"/>
              </w:rPr>
              <w:t>83,022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11F345" w14:textId="77777777" w:rsidR="00000000" w:rsidRDefault="00A173A8">
            <w:pPr>
              <w:spacing w:after="100"/>
              <w:jc w:val="right"/>
              <w:rPr>
                <w:rFonts w:eastAsia="Times New Roman"/>
              </w:rPr>
            </w:pPr>
          </w:p>
        </w:tc>
      </w:tr>
      <w:tr w:rsidR="00000000" w14:paraId="1DAE211E" w14:textId="77777777">
        <w:trPr>
          <w:divId w:val="521090368"/>
        </w:trPr>
        <w:tc>
          <w:tcPr>
            <w:tcW w:w="0" w:type="auto"/>
            <w:gridSpan w:val="3"/>
            <w:shd w:val="clear" w:color="auto" w:fill="FFFFFF"/>
            <w:tcMar>
              <w:top w:w="30" w:type="dxa"/>
              <w:left w:w="20" w:type="dxa"/>
              <w:bottom w:w="30" w:type="dxa"/>
              <w:right w:w="20" w:type="dxa"/>
            </w:tcMar>
            <w:vAlign w:val="center"/>
            <w:hideMark/>
          </w:tcPr>
          <w:p w14:paraId="2E26B1DC" w14:textId="77777777" w:rsidR="00000000" w:rsidRDefault="00A173A8">
            <w:pPr>
              <w:spacing w:after="100"/>
              <w:rPr>
                <w:rFonts w:eastAsia="Times New Roman"/>
              </w:rPr>
            </w:pPr>
            <w:r>
              <w:rPr>
                <w:rFonts w:eastAsia="Times New Roman"/>
                <w:b/>
                <w:bCs/>
                <w:color w:val="000000"/>
                <w:sz w:val="18"/>
                <w:szCs w:val="18"/>
              </w:rPr>
              <w:t>Amortized cost of securities available for sale</w:t>
            </w:r>
          </w:p>
        </w:tc>
        <w:tc>
          <w:tcPr>
            <w:tcW w:w="0" w:type="auto"/>
            <w:gridSpan w:val="3"/>
            <w:shd w:val="clear" w:color="auto" w:fill="FFFFFF"/>
            <w:tcMar>
              <w:top w:w="0" w:type="dxa"/>
              <w:left w:w="20" w:type="dxa"/>
              <w:bottom w:w="0" w:type="dxa"/>
              <w:right w:w="20" w:type="dxa"/>
            </w:tcMar>
            <w:vAlign w:val="center"/>
            <w:hideMark/>
          </w:tcPr>
          <w:p w14:paraId="1D8214CC" w14:textId="77777777" w:rsidR="00000000" w:rsidRDefault="00A173A8">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264A1B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99CA786" w14:textId="77777777" w:rsidR="00000000" w:rsidRDefault="00A173A8">
            <w:pPr>
              <w:spacing w:after="100"/>
              <w:jc w:val="right"/>
              <w:rPr>
                <w:rFonts w:eastAsia="Times New Roman"/>
              </w:rPr>
            </w:pPr>
            <w:r>
              <w:rPr>
                <w:rFonts w:eastAsia="Times New Roman"/>
                <w:b/>
                <w:bCs/>
                <w:color w:val="000000"/>
                <w:sz w:val="18"/>
                <w:szCs w:val="18"/>
              </w:rPr>
              <w:t>4,399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9D3827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3FFCD3"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BD2E0F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40DA4BF" w14:textId="77777777" w:rsidR="00000000" w:rsidRDefault="00A173A8">
            <w:pPr>
              <w:spacing w:after="100"/>
              <w:jc w:val="right"/>
              <w:rPr>
                <w:rFonts w:eastAsia="Times New Roman"/>
              </w:rPr>
            </w:pPr>
            <w:r>
              <w:rPr>
                <w:rFonts w:eastAsia="Times New Roman"/>
                <w:b/>
                <w:bCs/>
                <w:color w:val="000000"/>
                <w:sz w:val="18"/>
                <w:szCs w:val="18"/>
              </w:rPr>
              <w:t>7,705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A7609A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C41F3"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75AE6A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54FC413" w14:textId="77777777" w:rsidR="00000000" w:rsidRDefault="00A173A8">
            <w:pPr>
              <w:spacing w:after="100"/>
              <w:jc w:val="right"/>
              <w:rPr>
                <w:rFonts w:eastAsia="Times New Roman"/>
              </w:rPr>
            </w:pPr>
            <w:r>
              <w:rPr>
                <w:rFonts w:eastAsia="Times New Roman"/>
                <w:b/>
                <w:bCs/>
                <w:color w:val="000000"/>
                <w:sz w:val="18"/>
                <w:szCs w:val="18"/>
              </w:rPr>
              <w:t>5,365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021EF3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E2AA15"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2A3BBB3"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E649438" w14:textId="77777777" w:rsidR="00000000" w:rsidRDefault="00A173A8">
            <w:pPr>
              <w:spacing w:after="100"/>
              <w:jc w:val="right"/>
              <w:rPr>
                <w:rFonts w:eastAsia="Times New Roman"/>
              </w:rPr>
            </w:pPr>
            <w:r>
              <w:rPr>
                <w:rFonts w:eastAsia="Times New Roman"/>
                <w:b/>
                <w:bCs/>
                <w:color w:val="000000"/>
                <w:sz w:val="18"/>
                <w:szCs w:val="18"/>
              </w:rPr>
              <w:t>72,464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397328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79A356"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77BC253"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1DAF12C" w14:textId="77777777" w:rsidR="00000000" w:rsidRDefault="00A173A8">
            <w:pPr>
              <w:spacing w:after="100"/>
              <w:jc w:val="right"/>
              <w:rPr>
                <w:rFonts w:eastAsia="Times New Roman"/>
              </w:rPr>
            </w:pPr>
            <w:r>
              <w:rPr>
                <w:rFonts w:eastAsia="Times New Roman"/>
                <w:b/>
                <w:bCs/>
                <w:color w:val="000000"/>
                <w:sz w:val="18"/>
                <w:szCs w:val="18"/>
              </w:rPr>
              <w:t>89,933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7630B1D" w14:textId="77777777" w:rsidR="00000000" w:rsidRDefault="00A173A8">
            <w:pPr>
              <w:spacing w:after="100"/>
              <w:jc w:val="right"/>
              <w:rPr>
                <w:rFonts w:eastAsia="Times New Roman"/>
              </w:rPr>
            </w:pPr>
          </w:p>
        </w:tc>
      </w:tr>
      <w:tr w:rsidR="00000000" w14:paraId="57CDB202" w14:textId="77777777">
        <w:trPr>
          <w:divId w:val="521090368"/>
        </w:trPr>
        <w:tc>
          <w:tcPr>
            <w:tcW w:w="0" w:type="auto"/>
            <w:gridSpan w:val="3"/>
            <w:shd w:val="clear" w:color="auto" w:fill="CCEEFF"/>
            <w:tcMar>
              <w:top w:w="30" w:type="dxa"/>
              <w:left w:w="20" w:type="dxa"/>
              <w:bottom w:w="30" w:type="dxa"/>
              <w:right w:w="20" w:type="dxa"/>
            </w:tcMar>
            <w:vAlign w:val="center"/>
            <w:hideMark/>
          </w:tcPr>
          <w:p w14:paraId="3C393D9C" w14:textId="77777777" w:rsidR="00000000" w:rsidRDefault="00A173A8">
            <w:pPr>
              <w:spacing w:after="100"/>
              <w:rPr>
                <w:rFonts w:eastAsia="Times New Roman"/>
              </w:rPr>
            </w:pPr>
            <w:r>
              <w:rPr>
                <w:rFonts w:eastAsia="Times New Roman"/>
                <w:b/>
                <w:bCs/>
                <w:color w:val="000000"/>
                <w:sz w:val="18"/>
                <w:szCs w:val="18"/>
              </w:rPr>
              <w:t>Weighted-average yield for securities available for sale</w:t>
            </w:r>
          </w:p>
        </w:tc>
        <w:tc>
          <w:tcPr>
            <w:tcW w:w="0" w:type="auto"/>
            <w:gridSpan w:val="3"/>
            <w:shd w:val="clear" w:color="auto" w:fill="CCEEFF"/>
            <w:tcMar>
              <w:top w:w="0" w:type="dxa"/>
              <w:left w:w="20" w:type="dxa"/>
              <w:bottom w:w="0" w:type="dxa"/>
              <w:right w:w="20" w:type="dxa"/>
            </w:tcMar>
            <w:vAlign w:val="center"/>
            <w:hideMark/>
          </w:tcPr>
          <w:p w14:paraId="7AFD6EF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7973679" w14:textId="77777777" w:rsidR="00000000" w:rsidRDefault="00A173A8">
            <w:pPr>
              <w:spacing w:after="100"/>
              <w:jc w:val="right"/>
              <w:rPr>
                <w:rFonts w:eastAsia="Times New Roman"/>
              </w:rPr>
            </w:pPr>
            <w:r>
              <w:rPr>
                <w:rFonts w:eastAsia="Times New Roman"/>
                <w:b/>
                <w:bCs/>
                <w:color w:val="000000"/>
                <w:sz w:val="18"/>
                <w:szCs w:val="18"/>
              </w:rPr>
              <w:t>0.83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11AF14"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5476540D"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8362FE" w14:textId="77777777" w:rsidR="00000000" w:rsidRDefault="00A173A8">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D79962B"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3C82DF0A"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B3605F" w14:textId="77777777" w:rsidR="00000000" w:rsidRDefault="00A173A8">
            <w:pPr>
              <w:spacing w:after="100"/>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84D8E8"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6A81FF31"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827DC83" w14:textId="77777777" w:rsidR="00000000" w:rsidRDefault="00A173A8">
            <w:pPr>
              <w:spacing w:after="100"/>
              <w:jc w:val="right"/>
              <w:rPr>
                <w:rFonts w:eastAsia="Times New Roman"/>
              </w:rPr>
            </w:pPr>
            <w:r>
              <w:rPr>
                <w:rFonts w:eastAsia="Times New Roman"/>
                <w:b/>
                <w:bCs/>
                <w:color w:val="000000"/>
                <w:sz w:val="18"/>
                <w:szCs w:val="18"/>
              </w:rPr>
              <w:t>2.09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433BAC"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A550429"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8D6818" w14:textId="77777777" w:rsidR="00000000" w:rsidRDefault="00A173A8">
            <w:pPr>
              <w:spacing w:after="100"/>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DF3A55" w14:textId="77777777" w:rsidR="00000000" w:rsidRDefault="00A173A8">
            <w:pPr>
              <w:spacing w:after="100"/>
              <w:jc w:val="right"/>
              <w:rPr>
                <w:rFonts w:eastAsia="Times New Roman"/>
              </w:rPr>
            </w:pPr>
            <w:r>
              <w:rPr>
                <w:rFonts w:eastAsia="Times New Roman"/>
                <w:b/>
                <w:bCs/>
                <w:color w:val="000000"/>
                <w:sz w:val="18"/>
                <w:szCs w:val="18"/>
              </w:rPr>
              <w:t>%</w:t>
            </w:r>
          </w:p>
        </w:tc>
      </w:tr>
      <w:tr w:rsidR="00000000" w14:paraId="160D2954" w14:textId="77777777">
        <w:trPr>
          <w:divId w:val="521090368"/>
        </w:trPr>
        <w:tc>
          <w:tcPr>
            <w:tcW w:w="0" w:type="auto"/>
            <w:gridSpan w:val="3"/>
            <w:vAlign w:val="center"/>
            <w:hideMark/>
          </w:tcPr>
          <w:p w14:paraId="0932DC7C" w14:textId="77777777" w:rsidR="00000000" w:rsidRDefault="00A173A8">
            <w:pPr>
              <w:spacing w:after="100"/>
              <w:jc w:val="right"/>
              <w:rPr>
                <w:rFonts w:eastAsia="Times New Roman"/>
              </w:rPr>
            </w:pPr>
          </w:p>
        </w:tc>
        <w:tc>
          <w:tcPr>
            <w:tcW w:w="0" w:type="auto"/>
            <w:vAlign w:val="center"/>
            <w:hideMark/>
          </w:tcPr>
          <w:p w14:paraId="7F4127C8" w14:textId="77777777" w:rsidR="00000000" w:rsidRDefault="00A173A8">
            <w:pPr>
              <w:spacing w:after="100"/>
              <w:rPr>
                <w:rFonts w:eastAsia="Times New Roman"/>
                <w:sz w:val="20"/>
                <w:szCs w:val="20"/>
              </w:rPr>
            </w:pPr>
          </w:p>
        </w:tc>
        <w:tc>
          <w:tcPr>
            <w:tcW w:w="0" w:type="auto"/>
            <w:vAlign w:val="center"/>
            <w:hideMark/>
          </w:tcPr>
          <w:p w14:paraId="01A02057" w14:textId="77777777" w:rsidR="00000000" w:rsidRDefault="00A173A8">
            <w:pPr>
              <w:spacing w:after="100"/>
              <w:rPr>
                <w:rFonts w:eastAsia="Times New Roman"/>
                <w:sz w:val="20"/>
                <w:szCs w:val="20"/>
              </w:rPr>
            </w:pPr>
          </w:p>
        </w:tc>
        <w:tc>
          <w:tcPr>
            <w:tcW w:w="0" w:type="auto"/>
            <w:vAlign w:val="center"/>
            <w:hideMark/>
          </w:tcPr>
          <w:p w14:paraId="770566AB" w14:textId="77777777" w:rsidR="00000000" w:rsidRDefault="00A173A8">
            <w:pPr>
              <w:spacing w:after="100"/>
              <w:rPr>
                <w:rFonts w:eastAsia="Times New Roman"/>
                <w:sz w:val="20"/>
                <w:szCs w:val="20"/>
              </w:rPr>
            </w:pPr>
          </w:p>
        </w:tc>
        <w:tc>
          <w:tcPr>
            <w:tcW w:w="0" w:type="auto"/>
            <w:vAlign w:val="center"/>
            <w:hideMark/>
          </w:tcPr>
          <w:p w14:paraId="2540AFC0" w14:textId="77777777" w:rsidR="00000000" w:rsidRDefault="00A173A8">
            <w:pPr>
              <w:spacing w:after="100"/>
              <w:rPr>
                <w:rFonts w:eastAsia="Times New Roman"/>
                <w:sz w:val="20"/>
                <w:szCs w:val="20"/>
              </w:rPr>
            </w:pPr>
          </w:p>
        </w:tc>
        <w:tc>
          <w:tcPr>
            <w:tcW w:w="0" w:type="auto"/>
            <w:vAlign w:val="center"/>
            <w:hideMark/>
          </w:tcPr>
          <w:p w14:paraId="3DA320E8" w14:textId="77777777" w:rsidR="00000000" w:rsidRDefault="00A173A8">
            <w:pPr>
              <w:spacing w:after="100"/>
              <w:rPr>
                <w:rFonts w:eastAsia="Times New Roman"/>
                <w:sz w:val="20"/>
                <w:szCs w:val="20"/>
              </w:rPr>
            </w:pPr>
          </w:p>
        </w:tc>
        <w:tc>
          <w:tcPr>
            <w:tcW w:w="0" w:type="auto"/>
            <w:vAlign w:val="center"/>
            <w:hideMark/>
          </w:tcPr>
          <w:p w14:paraId="36323B0D" w14:textId="77777777" w:rsidR="00000000" w:rsidRDefault="00A173A8">
            <w:pPr>
              <w:spacing w:after="100"/>
              <w:rPr>
                <w:rFonts w:eastAsia="Times New Roman"/>
                <w:sz w:val="20"/>
                <w:szCs w:val="20"/>
              </w:rPr>
            </w:pPr>
          </w:p>
        </w:tc>
        <w:tc>
          <w:tcPr>
            <w:tcW w:w="0" w:type="auto"/>
            <w:vAlign w:val="center"/>
            <w:hideMark/>
          </w:tcPr>
          <w:p w14:paraId="4010223C" w14:textId="77777777" w:rsidR="00000000" w:rsidRDefault="00A173A8">
            <w:pPr>
              <w:spacing w:after="100"/>
              <w:rPr>
                <w:rFonts w:eastAsia="Times New Roman"/>
                <w:sz w:val="20"/>
                <w:szCs w:val="20"/>
              </w:rPr>
            </w:pPr>
          </w:p>
        </w:tc>
        <w:tc>
          <w:tcPr>
            <w:tcW w:w="0" w:type="auto"/>
            <w:vAlign w:val="center"/>
            <w:hideMark/>
          </w:tcPr>
          <w:p w14:paraId="45FE40B2" w14:textId="77777777" w:rsidR="00000000" w:rsidRDefault="00A173A8">
            <w:pPr>
              <w:spacing w:after="100"/>
              <w:rPr>
                <w:rFonts w:eastAsia="Times New Roman"/>
                <w:sz w:val="20"/>
                <w:szCs w:val="20"/>
              </w:rPr>
            </w:pPr>
          </w:p>
        </w:tc>
        <w:tc>
          <w:tcPr>
            <w:tcW w:w="0" w:type="auto"/>
            <w:vAlign w:val="center"/>
            <w:hideMark/>
          </w:tcPr>
          <w:p w14:paraId="4604D1E4" w14:textId="77777777" w:rsidR="00000000" w:rsidRDefault="00A173A8">
            <w:pPr>
              <w:spacing w:after="100"/>
              <w:rPr>
                <w:rFonts w:eastAsia="Times New Roman"/>
                <w:sz w:val="20"/>
                <w:szCs w:val="20"/>
              </w:rPr>
            </w:pPr>
          </w:p>
        </w:tc>
        <w:tc>
          <w:tcPr>
            <w:tcW w:w="0" w:type="auto"/>
            <w:vAlign w:val="center"/>
            <w:hideMark/>
          </w:tcPr>
          <w:p w14:paraId="41F500E1" w14:textId="77777777" w:rsidR="00000000" w:rsidRDefault="00A173A8">
            <w:pPr>
              <w:spacing w:after="100"/>
              <w:rPr>
                <w:rFonts w:eastAsia="Times New Roman"/>
                <w:sz w:val="20"/>
                <w:szCs w:val="20"/>
              </w:rPr>
            </w:pPr>
          </w:p>
        </w:tc>
        <w:tc>
          <w:tcPr>
            <w:tcW w:w="0" w:type="auto"/>
            <w:vAlign w:val="center"/>
            <w:hideMark/>
          </w:tcPr>
          <w:p w14:paraId="6F2F848A" w14:textId="77777777" w:rsidR="00000000" w:rsidRDefault="00A173A8">
            <w:pPr>
              <w:spacing w:after="100"/>
              <w:rPr>
                <w:rFonts w:eastAsia="Times New Roman"/>
                <w:sz w:val="20"/>
                <w:szCs w:val="20"/>
              </w:rPr>
            </w:pPr>
          </w:p>
        </w:tc>
        <w:tc>
          <w:tcPr>
            <w:tcW w:w="0" w:type="auto"/>
            <w:vAlign w:val="center"/>
            <w:hideMark/>
          </w:tcPr>
          <w:p w14:paraId="0CFC82F2" w14:textId="77777777" w:rsidR="00000000" w:rsidRDefault="00A173A8">
            <w:pPr>
              <w:spacing w:after="100"/>
              <w:rPr>
                <w:rFonts w:eastAsia="Times New Roman"/>
                <w:sz w:val="20"/>
                <w:szCs w:val="20"/>
              </w:rPr>
            </w:pPr>
          </w:p>
        </w:tc>
        <w:tc>
          <w:tcPr>
            <w:tcW w:w="0" w:type="auto"/>
            <w:vAlign w:val="center"/>
            <w:hideMark/>
          </w:tcPr>
          <w:p w14:paraId="4E38251A" w14:textId="77777777" w:rsidR="00000000" w:rsidRDefault="00A173A8">
            <w:pPr>
              <w:spacing w:after="100"/>
              <w:rPr>
                <w:rFonts w:eastAsia="Times New Roman"/>
                <w:sz w:val="20"/>
                <w:szCs w:val="20"/>
              </w:rPr>
            </w:pPr>
          </w:p>
        </w:tc>
        <w:tc>
          <w:tcPr>
            <w:tcW w:w="0" w:type="auto"/>
            <w:vAlign w:val="center"/>
            <w:hideMark/>
          </w:tcPr>
          <w:p w14:paraId="5AF43035" w14:textId="77777777" w:rsidR="00000000" w:rsidRDefault="00A173A8">
            <w:pPr>
              <w:spacing w:after="100"/>
              <w:rPr>
                <w:rFonts w:eastAsia="Times New Roman"/>
                <w:sz w:val="20"/>
                <w:szCs w:val="20"/>
              </w:rPr>
            </w:pPr>
          </w:p>
        </w:tc>
        <w:tc>
          <w:tcPr>
            <w:tcW w:w="0" w:type="auto"/>
            <w:vAlign w:val="center"/>
            <w:hideMark/>
          </w:tcPr>
          <w:p w14:paraId="64EA5252" w14:textId="77777777" w:rsidR="00000000" w:rsidRDefault="00A173A8">
            <w:pPr>
              <w:spacing w:after="100"/>
              <w:rPr>
                <w:rFonts w:eastAsia="Times New Roman"/>
                <w:sz w:val="20"/>
                <w:szCs w:val="20"/>
              </w:rPr>
            </w:pPr>
          </w:p>
        </w:tc>
        <w:tc>
          <w:tcPr>
            <w:tcW w:w="0" w:type="auto"/>
            <w:vAlign w:val="center"/>
            <w:hideMark/>
          </w:tcPr>
          <w:p w14:paraId="0C64F14E" w14:textId="77777777" w:rsidR="00000000" w:rsidRDefault="00A173A8">
            <w:pPr>
              <w:spacing w:after="100"/>
              <w:rPr>
                <w:rFonts w:eastAsia="Times New Roman"/>
                <w:sz w:val="20"/>
                <w:szCs w:val="20"/>
              </w:rPr>
            </w:pPr>
          </w:p>
        </w:tc>
        <w:tc>
          <w:tcPr>
            <w:tcW w:w="0" w:type="auto"/>
            <w:vAlign w:val="center"/>
            <w:hideMark/>
          </w:tcPr>
          <w:p w14:paraId="1789E4D3" w14:textId="77777777" w:rsidR="00000000" w:rsidRDefault="00A173A8">
            <w:pPr>
              <w:spacing w:after="100"/>
              <w:rPr>
                <w:rFonts w:eastAsia="Times New Roman"/>
                <w:sz w:val="20"/>
                <w:szCs w:val="20"/>
              </w:rPr>
            </w:pPr>
          </w:p>
        </w:tc>
        <w:tc>
          <w:tcPr>
            <w:tcW w:w="0" w:type="auto"/>
            <w:vAlign w:val="center"/>
            <w:hideMark/>
          </w:tcPr>
          <w:p w14:paraId="201C41EE" w14:textId="77777777" w:rsidR="00000000" w:rsidRDefault="00A173A8">
            <w:pPr>
              <w:spacing w:after="100"/>
              <w:rPr>
                <w:rFonts w:eastAsia="Times New Roman"/>
                <w:sz w:val="20"/>
                <w:szCs w:val="20"/>
              </w:rPr>
            </w:pPr>
          </w:p>
        </w:tc>
        <w:tc>
          <w:tcPr>
            <w:tcW w:w="0" w:type="auto"/>
            <w:vAlign w:val="center"/>
            <w:hideMark/>
          </w:tcPr>
          <w:p w14:paraId="771A01AD" w14:textId="77777777" w:rsidR="00000000" w:rsidRDefault="00A173A8">
            <w:pPr>
              <w:spacing w:after="100"/>
              <w:rPr>
                <w:rFonts w:eastAsia="Times New Roman"/>
                <w:sz w:val="20"/>
                <w:szCs w:val="20"/>
              </w:rPr>
            </w:pPr>
          </w:p>
        </w:tc>
        <w:tc>
          <w:tcPr>
            <w:tcW w:w="0" w:type="auto"/>
            <w:vAlign w:val="center"/>
            <w:hideMark/>
          </w:tcPr>
          <w:p w14:paraId="3BBF4F38" w14:textId="77777777" w:rsidR="00000000" w:rsidRDefault="00A173A8">
            <w:pPr>
              <w:spacing w:after="100"/>
              <w:rPr>
                <w:rFonts w:eastAsia="Times New Roman"/>
                <w:sz w:val="20"/>
                <w:szCs w:val="20"/>
              </w:rPr>
            </w:pPr>
          </w:p>
        </w:tc>
        <w:tc>
          <w:tcPr>
            <w:tcW w:w="0" w:type="auto"/>
            <w:vAlign w:val="center"/>
            <w:hideMark/>
          </w:tcPr>
          <w:p w14:paraId="354EFD79" w14:textId="77777777" w:rsidR="00000000" w:rsidRDefault="00A173A8">
            <w:pPr>
              <w:spacing w:after="100"/>
              <w:rPr>
                <w:rFonts w:eastAsia="Times New Roman"/>
                <w:sz w:val="20"/>
                <w:szCs w:val="20"/>
              </w:rPr>
            </w:pPr>
          </w:p>
        </w:tc>
        <w:tc>
          <w:tcPr>
            <w:tcW w:w="0" w:type="auto"/>
            <w:vAlign w:val="center"/>
            <w:hideMark/>
          </w:tcPr>
          <w:p w14:paraId="325ED48A" w14:textId="77777777" w:rsidR="00000000" w:rsidRDefault="00A173A8">
            <w:pPr>
              <w:spacing w:after="100"/>
              <w:rPr>
                <w:rFonts w:eastAsia="Times New Roman"/>
                <w:sz w:val="20"/>
                <w:szCs w:val="20"/>
              </w:rPr>
            </w:pPr>
          </w:p>
        </w:tc>
        <w:tc>
          <w:tcPr>
            <w:tcW w:w="0" w:type="auto"/>
            <w:vAlign w:val="center"/>
            <w:hideMark/>
          </w:tcPr>
          <w:p w14:paraId="7B0C73D7" w14:textId="77777777" w:rsidR="00000000" w:rsidRDefault="00A173A8">
            <w:pPr>
              <w:spacing w:after="100"/>
              <w:rPr>
                <w:rFonts w:eastAsia="Times New Roman"/>
                <w:sz w:val="20"/>
                <w:szCs w:val="20"/>
              </w:rPr>
            </w:pPr>
          </w:p>
        </w:tc>
        <w:tc>
          <w:tcPr>
            <w:tcW w:w="0" w:type="auto"/>
            <w:vAlign w:val="center"/>
            <w:hideMark/>
          </w:tcPr>
          <w:p w14:paraId="27C50AC6" w14:textId="77777777" w:rsidR="00000000" w:rsidRDefault="00A173A8">
            <w:pPr>
              <w:spacing w:after="100"/>
              <w:rPr>
                <w:rFonts w:eastAsia="Times New Roman"/>
                <w:sz w:val="20"/>
                <w:szCs w:val="20"/>
              </w:rPr>
            </w:pPr>
          </w:p>
        </w:tc>
        <w:tc>
          <w:tcPr>
            <w:tcW w:w="0" w:type="auto"/>
            <w:vAlign w:val="center"/>
            <w:hideMark/>
          </w:tcPr>
          <w:p w14:paraId="4D3B1795" w14:textId="77777777" w:rsidR="00000000" w:rsidRDefault="00A173A8">
            <w:pPr>
              <w:spacing w:after="100"/>
              <w:rPr>
                <w:rFonts w:eastAsia="Times New Roman"/>
                <w:sz w:val="20"/>
                <w:szCs w:val="20"/>
              </w:rPr>
            </w:pPr>
          </w:p>
        </w:tc>
        <w:tc>
          <w:tcPr>
            <w:tcW w:w="0" w:type="auto"/>
            <w:vAlign w:val="center"/>
            <w:hideMark/>
          </w:tcPr>
          <w:p w14:paraId="6F049E2C" w14:textId="77777777" w:rsidR="00000000" w:rsidRDefault="00A173A8">
            <w:pPr>
              <w:spacing w:after="100"/>
              <w:rPr>
                <w:rFonts w:eastAsia="Times New Roman"/>
                <w:sz w:val="20"/>
                <w:szCs w:val="20"/>
              </w:rPr>
            </w:pPr>
          </w:p>
        </w:tc>
        <w:tc>
          <w:tcPr>
            <w:tcW w:w="0" w:type="auto"/>
            <w:vAlign w:val="center"/>
            <w:hideMark/>
          </w:tcPr>
          <w:p w14:paraId="1F34DF2B" w14:textId="77777777" w:rsidR="00000000" w:rsidRDefault="00A173A8">
            <w:pPr>
              <w:spacing w:after="100"/>
              <w:rPr>
                <w:rFonts w:eastAsia="Times New Roman"/>
                <w:sz w:val="20"/>
                <w:szCs w:val="20"/>
              </w:rPr>
            </w:pPr>
          </w:p>
        </w:tc>
        <w:tc>
          <w:tcPr>
            <w:tcW w:w="0" w:type="auto"/>
            <w:vAlign w:val="center"/>
            <w:hideMark/>
          </w:tcPr>
          <w:p w14:paraId="4A623EBA" w14:textId="77777777" w:rsidR="00000000" w:rsidRDefault="00A173A8">
            <w:pPr>
              <w:spacing w:after="100"/>
              <w:rPr>
                <w:rFonts w:eastAsia="Times New Roman"/>
                <w:sz w:val="20"/>
                <w:szCs w:val="20"/>
              </w:rPr>
            </w:pPr>
          </w:p>
        </w:tc>
        <w:tc>
          <w:tcPr>
            <w:tcW w:w="0" w:type="auto"/>
            <w:vAlign w:val="center"/>
            <w:hideMark/>
          </w:tcPr>
          <w:p w14:paraId="360D31B3" w14:textId="77777777" w:rsidR="00000000" w:rsidRDefault="00A173A8">
            <w:pPr>
              <w:spacing w:after="100"/>
              <w:rPr>
                <w:rFonts w:eastAsia="Times New Roman"/>
                <w:sz w:val="20"/>
                <w:szCs w:val="20"/>
              </w:rPr>
            </w:pPr>
          </w:p>
        </w:tc>
        <w:tc>
          <w:tcPr>
            <w:tcW w:w="0" w:type="auto"/>
            <w:vAlign w:val="center"/>
            <w:hideMark/>
          </w:tcPr>
          <w:p w14:paraId="3338687C" w14:textId="77777777" w:rsidR="00000000" w:rsidRDefault="00A173A8">
            <w:pPr>
              <w:spacing w:after="100"/>
              <w:rPr>
                <w:rFonts w:eastAsia="Times New Roman"/>
                <w:sz w:val="20"/>
                <w:szCs w:val="20"/>
              </w:rPr>
            </w:pPr>
          </w:p>
        </w:tc>
      </w:tr>
      <w:tr w:rsidR="00000000" w14:paraId="387ABA09" w14:textId="77777777">
        <w:trPr>
          <w:divId w:val="521090368"/>
        </w:trPr>
        <w:tc>
          <w:tcPr>
            <w:tcW w:w="0" w:type="auto"/>
            <w:gridSpan w:val="3"/>
            <w:vAlign w:val="center"/>
            <w:hideMark/>
          </w:tcPr>
          <w:p w14:paraId="11F72B8C" w14:textId="77777777" w:rsidR="00000000" w:rsidRDefault="00A173A8">
            <w:pPr>
              <w:spacing w:after="100"/>
              <w:rPr>
                <w:rFonts w:eastAsia="Times New Roman"/>
                <w:sz w:val="20"/>
                <w:szCs w:val="20"/>
              </w:rPr>
            </w:pPr>
          </w:p>
        </w:tc>
        <w:tc>
          <w:tcPr>
            <w:tcW w:w="0" w:type="auto"/>
            <w:gridSpan w:val="3"/>
            <w:vAlign w:val="center"/>
            <w:hideMark/>
          </w:tcPr>
          <w:p w14:paraId="524E5DE5" w14:textId="77777777" w:rsidR="00000000" w:rsidRDefault="00A173A8">
            <w:pPr>
              <w:spacing w:after="100"/>
              <w:rPr>
                <w:rFonts w:eastAsia="Times New Roman"/>
                <w:sz w:val="20"/>
                <w:szCs w:val="20"/>
              </w:rPr>
            </w:pPr>
          </w:p>
        </w:tc>
        <w:tc>
          <w:tcPr>
            <w:tcW w:w="0" w:type="auto"/>
            <w:gridSpan w:val="3"/>
            <w:vAlign w:val="center"/>
            <w:hideMark/>
          </w:tcPr>
          <w:p w14:paraId="2374F156" w14:textId="77777777" w:rsidR="00000000" w:rsidRDefault="00A173A8">
            <w:pPr>
              <w:spacing w:after="100"/>
              <w:rPr>
                <w:rFonts w:eastAsia="Times New Roman"/>
                <w:sz w:val="20"/>
                <w:szCs w:val="20"/>
              </w:rPr>
            </w:pPr>
          </w:p>
        </w:tc>
        <w:tc>
          <w:tcPr>
            <w:tcW w:w="0" w:type="auto"/>
            <w:gridSpan w:val="3"/>
            <w:vAlign w:val="center"/>
            <w:hideMark/>
          </w:tcPr>
          <w:p w14:paraId="585B2D3C" w14:textId="77777777" w:rsidR="00000000" w:rsidRDefault="00A173A8">
            <w:pPr>
              <w:spacing w:after="100"/>
              <w:rPr>
                <w:rFonts w:eastAsia="Times New Roman"/>
                <w:sz w:val="20"/>
                <w:szCs w:val="20"/>
              </w:rPr>
            </w:pPr>
          </w:p>
        </w:tc>
        <w:tc>
          <w:tcPr>
            <w:tcW w:w="0" w:type="auto"/>
            <w:gridSpan w:val="3"/>
            <w:vAlign w:val="center"/>
            <w:hideMark/>
          </w:tcPr>
          <w:p w14:paraId="3CE32B17" w14:textId="77777777" w:rsidR="00000000" w:rsidRDefault="00A173A8">
            <w:pPr>
              <w:spacing w:after="100"/>
              <w:rPr>
                <w:rFonts w:eastAsia="Times New Roman"/>
                <w:sz w:val="20"/>
                <w:szCs w:val="20"/>
              </w:rPr>
            </w:pPr>
          </w:p>
        </w:tc>
        <w:tc>
          <w:tcPr>
            <w:tcW w:w="0" w:type="auto"/>
            <w:gridSpan w:val="3"/>
            <w:vAlign w:val="center"/>
            <w:hideMark/>
          </w:tcPr>
          <w:p w14:paraId="71F8F874" w14:textId="77777777" w:rsidR="00000000" w:rsidRDefault="00A173A8">
            <w:pPr>
              <w:spacing w:after="100"/>
              <w:rPr>
                <w:rFonts w:eastAsia="Times New Roman"/>
                <w:sz w:val="20"/>
                <w:szCs w:val="20"/>
              </w:rPr>
            </w:pPr>
          </w:p>
        </w:tc>
        <w:tc>
          <w:tcPr>
            <w:tcW w:w="0" w:type="auto"/>
            <w:gridSpan w:val="3"/>
            <w:vAlign w:val="center"/>
            <w:hideMark/>
          </w:tcPr>
          <w:p w14:paraId="776077F1" w14:textId="77777777" w:rsidR="00000000" w:rsidRDefault="00A173A8">
            <w:pPr>
              <w:spacing w:after="100"/>
              <w:rPr>
                <w:rFonts w:eastAsia="Times New Roman"/>
                <w:sz w:val="20"/>
                <w:szCs w:val="20"/>
              </w:rPr>
            </w:pPr>
          </w:p>
        </w:tc>
        <w:tc>
          <w:tcPr>
            <w:tcW w:w="0" w:type="auto"/>
            <w:gridSpan w:val="3"/>
            <w:vAlign w:val="center"/>
            <w:hideMark/>
          </w:tcPr>
          <w:p w14:paraId="4AE657DB" w14:textId="77777777" w:rsidR="00000000" w:rsidRDefault="00A173A8">
            <w:pPr>
              <w:spacing w:after="100"/>
              <w:rPr>
                <w:rFonts w:eastAsia="Times New Roman"/>
                <w:sz w:val="20"/>
                <w:szCs w:val="20"/>
              </w:rPr>
            </w:pPr>
          </w:p>
        </w:tc>
        <w:tc>
          <w:tcPr>
            <w:tcW w:w="0" w:type="auto"/>
            <w:gridSpan w:val="3"/>
            <w:vAlign w:val="center"/>
            <w:hideMark/>
          </w:tcPr>
          <w:p w14:paraId="01C5376B" w14:textId="77777777" w:rsidR="00000000" w:rsidRDefault="00A173A8">
            <w:pPr>
              <w:spacing w:after="100"/>
              <w:rPr>
                <w:rFonts w:eastAsia="Times New Roman"/>
                <w:sz w:val="20"/>
                <w:szCs w:val="20"/>
              </w:rPr>
            </w:pPr>
          </w:p>
        </w:tc>
        <w:tc>
          <w:tcPr>
            <w:tcW w:w="0" w:type="auto"/>
            <w:gridSpan w:val="3"/>
            <w:vAlign w:val="center"/>
            <w:hideMark/>
          </w:tcPr>
          <w:p w14:paraId="05EBA298" w14:textId="77777777" w:rsidR="00000000" w:rsidRDefault="00A173A8">
            <w:pPr>
              <w:spacing w:after="100"/>
              <w:rPr>
                <w:rFonts w:eastAsia="Times New Roman"/>
                <w:sz w:val="20"/>
                <w:szCs w:val="20"/>
              </w:rPr>
            </w:pPr>
          </w:p>
        </w:tc>
        <w:tc>
          <w:tcPr>
            <w:tcW w:w="0" w:type="auto"/>
            <w:gridSpan w:val="3"/>
            <w:vAlign w:val="center"/>
            <w:hideMark/>
          </w:tcPr>
          <w:p w14:paraId="3BC966D4" w14:textId="77777777" w:rsidR="00000000" w:rsidRDefault="00A173A8">
            <w:pPr>
              <w:spacing w:after="100"/>
              <w:rPr>
                <w:rFonts w:eastAsia="Times New Roman"/>
                <w:sz w:val="20"/>
                <w:szCs w:val="20"/>
              </w:rPr>
            </w:pPr>
          </w:p>
        </w:tc>
      </w:tr>
      <w:tr w:rsidR="00000000" w14:paraId="327A1F88" w14:textId="77777777">
        <w:trPr>
          <w:divId w:val="521090368"/>
        </w:trPr>
        <w:tc>
          <w:tcPr>
            <w:tcW w:w="0" w:type="auto"/>
            <w:gridSpan w:val="3"/>
            <w:vAlign w:val="center"/>
            <w:hideMark/>
          </w:tcPr>
          <w:p w14:paraId="573FAC75" w14:textId="77777777" w:rsidR="00000000" w:rsidRDefault="00A173A8">
            <w:pPr>
              <w:spacing w:after="100"/>
              <w:rPr>
                <w:rFonts w:eastAsia="Times New Roman"/>
                <w:sz w:val="20"/>
                <w:szCs w:val="20"/>
              </w:rPr>
            </w:pPr>
          </w:p>
        </w:tc>
        <w:tc>
          <w:tcPr>
            <w:tcW w:w="0" w:type="auto"/>
            <w:gridSpan w:val="3"/>
            <w:vAlign w:val="center"/>
            <w:hideMark/>
          </w:tcPr>
          <w:p w14:paraId="40C7DF64" w14:textId="77777777" w:rsidR="00000000" w:rsidRDefault="00A173A8">
            <w:pPr>
              <w:spacing w:after="100"/>
              <w:rPr>
                <w:rFonts w:eastAsia="Times New Roman"/>
                <w:sz w:val="20"/>
                <w:szCs w:val="20"/>
              </w:rPr>
            </w:pPr>
          </w:p>
        </w:tc>
        <w:tc>
          <w:tcPr>
            <w:tcW w:w="0" w:type="auto"/>
            <w:gridSpan w:val="3"/>
            <w:vAlign w:val="center"/>
            <w:hideMark/>
          </w:tcPr>
          <w:p w14:paraId="4ED1E5D4" w14:textId="77777777" w:rsidR="00000000" w:rsidRDefault="00A173A8">
            <w:pPr>
              <w:spacing w:after="100"/>
              <w:rPr>
                <w:rFonts w:eastAsia="Times New Roman"/>
                <w:sz w:val="20"/>
                <w:szCs w:val="20"/>
              </w:rPr>
            </w:pPr>
          </w:p>
        </w:tc>
        <w:tc>
          <w:tcPr>
            <w:tcW w:w="0" w:type="auto"/>
            <w:gridSpan w:val="3"/>
            <w:vAlign w:val="center"/>
            <w:hideMark/>
          </w:tcPr>
          <w:p w14:paraId="656AE26F" w14:textId="77777777" w:rsidR="00000000" w:rsidRDefault="00A173A8">
            <w:pPr>
              <w:spacing w:after="100"/>
              <w:rPr>
                <w:rFonts w:eastAsia="Times New Roman"/>
                <w:sz w:val="20"/>
                <w:szCs w:val="20"/>
              </w:rPr>
            </w:pPr>
          </w:p>
        </w:tc>
        <w:tc>
          <w:tcPr>
            <w:tcW w:w="0" w:type="auto"/>
            <w:gridSpan w:val="3"/>
            <w:vAlign w:val="center"/>
            <w:hideMark/>
          </w:tcPr>
          <w:p w14:paraId="507DB628" w14:textId="77777777" w:rsidR="00000000" w:rsidRDefault="00A173A8">
            <w:pPr>
              <w:spacing w:after="100"/>
              <w:rPr>
                <w:rFonts w:eastAsia="Times New Roman"/>
                <w:sz w:val="20"/>
                <w:szCs w:val="20"/>
              </w:rPr>
            </w:pPr>
          </w:p>
        </w:tc>
        <w:tc>
          <w:tcPr>
            <w:tcW w:w="0" w:type="auto"/>
            <w:gridSpan w:val="3"/>
            <w:vAlign w:val="center"/>
            <w:hideMark/>
          </w:tcPr>
          <w:p w14:paraId="01C203B6" w14:textId="77777777" w:rsidR="00000000" w:rsidRDefault="00A173A8">
            <w:pPr>
              <w:spacing w:after="100"/>
              <w:rPr>
                <w:rFonts w:eastAsia="Times New Roman"/>
                <w:sz w:val="20"/>
                <w:szCs w:val="20"/>
              </w:rPr>
            </w:pPr>
          </w:p>
        </w:tc>
        <w:tc>
          <w:tcPr>
            <w:tcW w:w="0" w:type="auto"/>
            <w:gridSpan w:val="3"/>
            <w:vAlign w:val="center"/>
            <w:hideMark/>
          </w:tcPr>
          <w:p w14:paraId="0B15152B" w14:textId="77777777" w:rsidR="00000000" w:rsidRDefault="00A173A8">
            <w:pPr>
              <w:spacing w:after="100"/>
              <w:rPr>
                <w:rFonts w:eastAsia="Times New Roman"/>
                <w:sz w:val="20"/>
                <w:szCs w:val="20"/>
              </w:rPr>
            </w:pPr>
          </w:p>
        </w:tc>
        <w:tc>
          <w:tcPr>
            <w:tcW w:w="0" w:type="auto"/>
            <w:gridSpan w:val="3"/>
            <w:vAlign w:val="center"/>
            <w:hideMark/>
          </w:tcPr>
          <w:p w14:paraId="42D9C101" w14:textId="77777777" w:rsidR="00000000" w:rsidRDefault="00A173A8">
            <w:pPr>
              <w:spacing w:after="100"/>
              <w:rPr>
                <w:rFonts w:eastAsia="Times New Roman"/>
                <w:sz w:val="20"/>
                <w:szCs w:val="20"/>
              </w:rPr>
            </w:pPr>
          </w:p>
        </w:tc>
        <w:tc>
          <w:tcPr>
            <w:tcW w:w="0" w:type="auto"/>
            <w:gridSpan w:val="3"/>
            <w:vAlign w:val="center"/>
            <w:hideMark/>
          </w:tcPr>
          <w:p w14:paraId="36CE1E8B" w14:textId="77777777" w:rsidR="00000000" w:rsidRDefault="00A173A8">
            <w:pPr>
              <w:spacing w:after="100"/>
              <w:rPr>
                <w:rFonts w:eastAsia="Times New Roman"/>
                <w:sz w:val="20"/>
                <w:szCs w:val="20"/>
              </w:rPr>
            </w:pPr>
          </w:p>
        </w:tc>
        <w:tc>
          <w:tcPr>
            <w:tcW w:w="0" w:type="auto"/>
            <w:gridSpan w:val="3"/>
            <w:vAlign w:val="center"/>
            <w:hideMark/>
          </w:tcPr>
          <w:p w14:paraId="1C76873A" w14:textId="77777777" w:rsidR="00000000" w:rsidRDefault="00A173A8">
            <w:pPr>
              <w:spacing w:after="100"/>
              <w:rPr>
                <w:rFonts w:eastAsia="Times New Roman"/>
                <w:sz w:val="20"/>
                <w:szCs w:val="20"/>
              </w:rPr>
            </w:pPr>
          </w:p>
        </w:tc>
        <w:tc>
          <w:tcPr>
            <w:tcW w:w="0" w:type="auto"/>
            <w:gridSpan w:val="3"/>
            <w:vAlign w:val="center"/>
            <w:hideMark/>
          </w:tcPr>
          <w:p w14:paraId="0A2E6F8D" w14:textId="77777777" w:rsidR="00000000" w:rsidRDefault="00A173A8">
            <w:pPr>
              <w:spacing w:after="100"/>
              <w:rPr>
                <w:rFonts w:eastAsia="Times New Roman"/>
                <w:sz w:val="20"/>
                <w:szCs w:val="20"/>
              </w:rPr>
            </w:pPr>
          </w:p>
        </w:tc>
      </w:tr>
      <w:tr w:rsidR="00000000" w14:paraId="31418137" w14:textId="77777777">
        <w:trPr>
          <w:divId w:val="521090368"/>
        </w:trPr>
        <w:tc>
          <w:tcPr>
            <w:tcW w:w="0" w:type="auto"/>
            <w:gridSpan w:val="3"/>
            <w:vAlign w:val="center"/>
            <w:hideMark/>
          </w:tcPr>
          <w:p w14:paraId="12187DCD" w14:textId="77777777" w:rsidR="00000000" w:rsidRDefault="00A173A8">
            <w:pPr>
              <w:spacing w:after="100"/>
              <w:rPr>
                <w:rFonts w:eastAsia="Times New Roman"/>
                <w:sz w:val="20"/>
                <w:szCs w:val="20"/>
              </w:rPr>
            </w:pPr>
          </w:p>
        </w:tc>
        <w:tc>
          <w:tcPr>
            <w:tcW w:w="0" w:type="auto"/>
            <w:gridSpan w:val="3"/>
            <w:vAlign w:val="center"/>
            <w:hideMark/>
          </w:tcPr>
          <w:p w14:paraId="509EC955" w14:textId="77777777" w:rsidR="00000000" w:rsidRDefault="00A173A8">
            <w:pPr>
              <w:spacing w:after="100"/>
              <w:rPr>
                <w:rFonts w:eastAsia="Times New Roman"/>
                <w:sz w:val="20"/>
                <w:szCs w:val="20"/>
              </w:rPr>
            </w:pPr>
          </w:p>
        </w:tc>
        <w:tc>
          <w:tcPr>
            <w:tcW w:w="0" w:type="auto"/>
            <w:gridSpan w:val="3"/>
            <w:vAlign w:val="center"/>
            <w:hideMark/>
          </w:tcPr>
          <w:p w14:paraId="769EB3FE" w14:textId="77777777" w:rsidR="00000000" w:rsidRDefault="00A173A8">
            <w:pPr>
              <w:spacing w:after="100"/>
              <w:rPr>
                <w:rFonts w:eastAsia="Times New Roman"/>
                <w:sz w:val="20"/>
                <w:szCs w:val="20"/>
              </w:rPr>
            </w:pPr>
          </w:p>
        </w:tc>
        <w:tc>
          <w:tcPr>
            <w:tcW w:w="0" w:type="auto"/>
            <w:gridSpan w:val="3"/>
            <w:vAlign w:val="center"/>
            <w:hideMark/>
          </w:tcPr>
          <w:p w14:paraId="416C099D" w14:textId="77777777" w:rsidR="00000000" w:rsidRDefault="00A173A8">
            <w:pPr>
              <w:spacing w:after="100"/>
              <w:rPr>
                <w:rFonts w:eastAsia="Times New Roman"/>
                <w:sz w:val="20"/>
                <w:szCs w:val="20"/>
              </w:rPr>
            </w:pPr>
          </w:p>
        </w:tc>
        <w:tc>
          <w:tcPr>
            <w:tcW w:w="0" w:type="auto"/>
            <w:gridSpan w:val="3"/>
            <w:vAlign w:val="center"/>
            <w:hideMark/>
          </w:tcPr>
          <w:p w14:paraId="68B9AD11" w14:textId="77777777" w:rsidR="00000000" w:rsidRDefault="00A173A8">
            <w:pPr>
              <w:spacing w:after="100"/>
              <w:rPr>
                <w:rFonts w:eastAsia="Times New Roman"/>
                <w:sz w:val="20"/>
                <w:szCs w:val="20"/>
              </w:rPr>
            </w:pPr>
          </w:p>
        </w:tc>
        <w:tc>
          <w:tcPr>
            <w:tcW w:w="0" w:type="auto"/>
            <w:gridSpan w:val="3"/>
            <w:vAlign w:val="center"/>
            <w:hideMark/>
          </w:tcPr>
          <w:p w14:paraId="363147A2" w14:textId="77777777" w:rsidR="00000000" w:rsidRDefault="00A173A8">
            <w:pPr>
              <w:spacing w:after="100"/>
              <w:rPr>
                <w:rFonts w:eastAsia="Times New Roman"/>
                <w:sz w:val="20"/>
                <w:szCs w:val="20"/>
              </w:rPr>
            </w:pPr>
          </w:p>
        </w:tc>
        <w:tc>
          <w:tcPr>
            <w:tcW w:w="0" w:type="auto"/>
            <w:gridSpan w:val="3"/>
            <w:vAlign w:val="center"/>
            <w:hideMark/>
          </w:tcPr>
          <w:p w14:paraId="1B95DF41" w14:textId="77777777" w:rsidR="00000000" w:rsidRDefault="00A173A8">
            <w:pPr>
              <w:spacing w:after="100"/>
              <w:rPr>
                <w:rFonts w:eastAsia="Times New Roman"/>
                <w:sz w:val="20"/>
                <w:szCs w:val="20"/>
              </w:rPr>
            </w:pPr>
          </w:p>
        </w:tc>
        <w:tc>
          <w:tcPr>
            <w:tcW w:w="0" w:type="auto"/>
            <w:gridSpan w:val="3"/>
            <w:vAlign w:val="center"/>
            <w:hideMark/>
          </w:tcPr>
          <w:p w14:paraId="5FA28C70" w14:textId="77777777" w:rsidR="00000000" w:rsidRDefault="00A173A8">
            <w:pPr>
              <w:spacing w:after="100"/>
              <w:rPr>
                <w:rFonts w:eastAsia="Times New Roman"/>
                <w:sz w:val="20"/>
                <w:szCs w:val="20"/>
              </w:rPr>
            </w:pPr>
          </w:p>
        </w:tc>
        <w:tc>
          <w:tcPr>
            <w:tcW w:w="0" w:type="auto"/>
            <w:gridSpan w:val="3"/>
            <w:vAlign w:val="center"/>
            <w:hideMark/>
          </w:tcPr>
          <w:p w14:paraId="79F29DFE" w14:textId="77777777" w:rsidR="00000000" w:rsidRDefault="00A173A8">
            <w:pPr>
              <w:spacing w:after="100"/>
              <w:rPr>
                <w:rFonts w:eastAsia="Times New Roman"/>
                <w:sz w:val="20"/>
                <w:szCs w:val="20"/>
              </w:rPr>
            </w:pPr>
          </w:p>
        </w:tc>
        <w:tc>
          <w:tcPr>
            <w:tcW w:w="0" w:type="auto"/>
            <w:gridSpan w:val="3"/>
            <w:vAlign w:val="center"/>
            <w:hideMark/>
          </w:tcPr>
          <w:p w14:paraId="6BA41C65" w14:textId="77777777" w:rsidR="00000000" w:rsidRDefault="00A173A8">
            <w:pPr>
              <w:spacing w:after="100"/>
              <w:rPr>
                <w:rFonts w:eastAsia="Times New Roman"/>
                <w:sz w:val="20"/>
                <w:szCs w:val="20"/>
              </w:rPr>
            </w:pPr>
          </w:p>
        </w:tc>
        <w:tc>
          <w:tcPr>
            <w:tcW w:w="0" w:type="auto"/>
            <w:gridSpan w:val="3"/>
            <w:vAlign w:val="center"/>
            <w:hideMark/>
          </w:tcPr>
          <w:p w14:paraId="11E24A1A" w14:textId="77777777" w:rsidR="00000000" w:rsidRDefault="00A173A8">
            <w:pPr>
              <w:spacing w:after="100"/>
              <w:rPr>
                <w:rFonts w:eastAsia="Times New Roman"/>
                <w:sz w:val="20"/>
                <w:szCs w:val="20"/>
              </w:rPr>
            </w:pPr>
          </w:p>
        </w:tc>
      </w:tr>
      <w:tr w:rsidR="00000000" w14:paraId="01D97419" w14:textId="77777777">
        <w:trPr>
          <w:divId w:val="521090368"/>
        </w:trPr>
        <w:tc>
          <w:tcPr>
            <w:tcW w:w="0" w:type="auto"/>
            <w:gridSpan w:val="3"/>
            <w:vAlign w:val="center"/>
            <w:hideMark/>
          </w:tcPr>
          <w:p w14:paraId="3906F68B" w14:textId="77777777" w:rsidR="00000000" w:rsidRDefault="00A173A8">
            <w:pPr>
              <w:spacing w:after="100"/>
              <w:rPr>
                <w:rFonts w:eastAsia="Times New Roman"/>
                <w:sz w:val="20"/>
                <w:szCs w:val="20"/>
              </w:rPr>
            </w:pPr>
          </w:p>
        </w:tc>
        <w:tc>
          <w:tcPr>
            <w:tcW w:w="0" w:type="auto"/>
            <w:gridSpan w:val="3"/>
            <w:vAlign w:val="center"/>
            <w:hideMark/>
          </w:tcPr>
          <w:p w14:paraId="5B2D0AFC" w14:textId="77777777" w:rsidR="00000000" w:rsidRDefault="00A173A8">
            <w:pPr>
              <w:spacing w:after="100"/>
              <w:rPr>
                <w:rFonts w:eastAsia="Times New Roman"/>
                <w:sz w:val="20"/>
                <w:szCs w:val="20"/>
              </w:rPr>
            </w:pPr>
          </w:p>
        </w:tc>
        <w:tc>
          <w:tcPr>
            <w:tcW w:w="0" w:type="auto"/>
            <w:gridSpan w:val="3"/>
            <w:vAlign w:val="center"/>
            <w:hideMark/>
          </w:tcPr>
          <w:p w14:paraId="6A0B533D" w14:textId="77777777" w:rsidR="00000000" w:rsidRDefault="00A173A8">
            <w:pPr>
              <w:spacing w:after="100"/>
              <w:rPr>
                <w:rFonts w:eastAsia="Times New Roman"/>
                <w:sz w:val="20"/>
                <w:szCs w:val="20"/>
              </w:rPr>
            </w:pPr>
          </w:p>
        </w:tc>
        <w:tc>
          <w:tcPr>
            <w:tcW w:w="0" w:type="auto"/>
            <w:gridSpan w:val="3"/>
            <w:vAlign w:val="center"/>
            <w:hideMark/>
          </w:tcPr>
          <w:p w14:paraId="4F85485D" w14:textId="77777777" w:rsidR="00000000" w:rsidRDefault="00A173A8">
            <w:pPr>
              <w:spacing w:after="100"/>
              <w:rPr>
                <w:rFonts w:eastAsia="Times New Roman"/>
                <w:sz w:val="20"/>
                <w:szCs w:val="20"/>
              </w:rPr>
            </w:pPr>
          </w:p>
        </w:tc>
        <w:tc>
          <w:tcPr>
            <w:tcW w:w="0" w:type="auto"/>
            <w:gridSpan w:val="3"/>
            <w:vAlign w:val="center"/>
            <w:hideMark/>
          </w:tcPr>
          <w:p w14:paraId="473605A1" w14:textId="77777777" w:rsidR="00000000" w:rsidRDefault="00A173A8">
            <w:pPr>
              <w:spacing w:after="100"/>
              <w:rPr>
                <w:rFonts w:eastAsia="Times New Roman"/>
                <w:sz w:val="20"/>
                <w:szCs w:val="20"/>
              </w:rPr>
            </w:pPr>
          </w:p>
        </w:tc>
        <w:tc>
          <w:tcPr>
            <w:tcW w:w="0" w:type="auto"/>
            <w:gridSpan w:val="3"/>
            <w:vAlign w:val="center"/>
            <w:hideMark/>
          </w:tcPr>
          <w:p w14:paraId="7E82D643" w14:textId="77777777" w:rsidR="00000000" w:rsidRDefault="00A173A8">
            <w:pPr>
              <w:spacing w:after="100"/>
              <w:rPr>
                <w:rFonts w:eastAsia="Times New Roman"/>
                <w:sz w:val="20"/>
                <w:szCs w:val="20"/>
              </w:rPr>
            </w:pPr>
          </w:p>
        </w:tc>
        <w:tc>
          <w:tcPr>
            <w:tcW w:w="0" w:type="auto"/>
            <w:gridSpan w:val="3"/>
            <w:vAlign w:val="center"/>
            <w:hideMark/>
          </w:tcPr>
          <w:p w14:paraId="7C62D44D" w14:textId="77777777" w:rsidR="00000000" w:rsidRDefault="00A173A8">
            <w:pPr>
              <w:spacing w:after="100"/>
              <w:rPr>
                <w:rFonts w:eastAsia="Times New Roman"/>
                <w:sz w:val="20"/>
                <w:szCs w:val="20"/>
              </w:rPr>
            </w:pPr>
          </w:p>
        </w:tc>
        <w:tc>
          <w:tcPr>
            <w:tcW w:w="0" w:type="auto"/>
            <w:gridSpan w:val="3"/>
            <w:vAlign w:val="center"/>
            <w:hideMark/>
          </w:tcPr>
          <w:p w14:paraId="767799DC" w14:textId="77777777" w:rsidR="00000000" w:rsidRDefault="00A173A8">
            <w:pPr>
              <w:spacing w:after="100"/>
              <w:rPr>
                <w:rFonts w:eastAsia="Times New Roman"/>
                <w:sz w:val="20"/>
                <w:szCs w:val="20"/>
              </w:rPr>
            </w:pPr>
          </w:p>
        </w:tc>
        <w:tc>
          <w:tcPr>
            <w:tcW w:w="0" w:type="auto"/>
            <w:gridSpan w:val="3"/>
            <w:vAlign w:val="center"/>
            <w:hideMark/>
          </w:tcPr>
          <w:p w14:paraId="655691EB" w14:textId="77777777" w:rsidR="00000000" w:rsidRDefault="00A173A8">
            <w:pPr>
              <w:spacing w:after="100"/>
              <w:rPr>
                <w:rFonts w:eastAsia="Times New Roman"/>
                <w:sz w:val="20"/>
                <w:szCs w:val="20"/>
              </w:rPr>
            </w:pPr>
          </w:p>
        </w:tc>
        <w:tc>
          <w:tcPr>
            <w:tcW w:w="0" w:type="auto"/>
            <w:gridSpan w:val="3"/>
            <w:vAlign w:val="center"/>
            <w:hideMark/>
          </w:tcPr>
          <w:p w14:paraId="4528CE18" w14:textId="77777777" w:rsidR="00000000" w:rsidRDefault="00A173A8">
            <w:pPr>
              <w:spacing w:after="100"/>
              <w:rPr>
                <w:rFonts w:eastAsia="Times New Roman"/>
                <w:sz w:val="20"/>
                <w:szCs w:val="20"/>
              </w:rPr>
            </w:pPr>
          </w:p>
        </w:tc>
        <w:tc>
          <w:tcPr>
            <w:tcW w:w="0" w:type="auto"/>
            <w:gridSpan w:val="3"/>
            <w:vAlign w:val="center"/>
            <w:hideMark/>
          </w:tcPr>
          <w:p w14:paraId="497753DF" w14:textId="77777777" w:rsidR="00000000" w:rsidRDefault="00A173A8">
            <w:pPr>
              <w:spacing w:after="100"/>
              <w:rPr>
                <w:rFonts w:eastAsia="Times New Roman"/>
                <w:sz w:val="20"/>
                <w:szCs w:val="20"/>
              </w:rPr>
            </w:pPr>
          </w:p>
        </w:tc>
      </w:tr>
      <w:tr w:rsidR="00000000" w14:paraId="659CEC36" w14:textId="77777777">
        <w:trPr>
          <w:divId w:val="521090368"/>
        </w:trPr>
        <w:tc>
          <w:tcPr>
            <w:tcW w:w="0" w:type="auto"/>
            <w:gridSpan w:val="3"/>
            <w:vAlign w:val="center"/>
            <w:hideMark/>
          </w:tcPr>
          <w:p w14:paraId="0E478DA5" w14:textId="77777777" w:rsidR="00000000" w:rsidRDefault="00A173A8">
            <w:pPr>
              <w:spacing w:after="100"/>
              <w:rPr>
                <w:rFonts w:eastAsia="Times New Roman"/>
                <w:sz w:val="20"/>
                <w:szCs w:val="20"/>
              </w:rPr>
            </w:pPr>
          </w:p>
        </w:tc>
        <w:tc>
          <w:tcPr>
            <w:tcW w:w="0" w:type="auto"/>
            <w:gridSpan w:val="3"/>
            <w:vAlign w:val="center"/>
            <w:hideMark/>
          </w:tcPr>
          <w:p w14:paraId="6A11AD03" w14:textId="77777777" w:rsidR="00000000" w:rsidRDefault="00A173A8">
            <w:pPr>
              <w:spacing w:after="100"/>
              <w:rPr>
                <w:rFonts w:eastAsia="Times New Roman"/>
                <w:sz w:val="20"/>
                <w:szCs w:val="20"/>
              </w:rPr>
            </w:pPr>
          </w:p>
        </w:tc>
        <w:tc>
          <w:tcPr>
            <w:tcW w:w="0" w:type="auto"/>
            <w:gridSpan w:val="3"/>
            <w:vAlign w:val="center"/>
            <w:hideMark/>
          </w:tcPr>
          <w:p w14:paraId="4327342A" w14:textId="77777777" w:rsidR="00000000" w:rsidRDefault="00A173A8">
            <w:pPr>
              <w:spacing w:after="100"/>
              <w:rPr>
                <w:rFonts w:eastAsia="Times New Roman"/>
                <w:sz w:val="20"/>
                <w:szCs w:val="20"/>
              </w:rPr>
            </w:pPr>
          </w:p>
        </w:tc>
        <w:tc>
          <w:tcPr>
            <w:tcW w:w="0" w:type="auto"/>
            <w:gridSpan w:val="3"/>
            <w:vAlign w:val="center"/>
            <w:hideMark/>
          </w:tcPr>
          <w:p w14:paraId="5209148F" w14:textId="77777777" w:rsidR="00000000" w:rsidRDefault="00A173A8">
            <w:pPr>
              <w:spacing w:after="100"/>
              <w:rPr>
                <w:rFonts w:eastAsia="Times New Roman"/>
                <w:sz w:val="20"/>
                <w:szCs w:val="20"/>
              </w:rPr>
            </w:pPr>
          </w:p>
        </w:tc>
        <w:tc>
          <w:tcPr>
            <w:tcW w:w="0" w:type="auto"/>
            <w:gridSpan w:val="3"/>
            <w:vAlign w:val="center"/>
            <w:hideMark/>
          </w:tcPr>
          <w:p w14:paraId="4166A1F8" w14:textId="77777777" w:rsidR="00000000" w:rsidRDefault="00A173A8">
            <w:pPr>
              <w:spacing w:after="100"/>
              <w:rPr>
                <w:rFonts w:eastAsia="Times New Roman"/>
                <w:sz w:val="20"/>
                <w:szCs w:val="20"/>
              </w:rPr>
            </w:pPr>
          </w:p>
        </w:tc>
        <w:tc>
          <w:tcPr>
            <w:tcW w:w="0" w:type="auto"/>
            <w:gridSpan w:val="3"/>
            <w:vAlign w:val="center"/>
            <w:hideMark/>
          </w:tcPr>
          <w:p w14:paraId="19606FC7" w14:textId="77777777" w:rsidR="00000000" w:rsidRDefault="00A173A8">
            <w:pPr>
              <w:spacing w:after="100"/>
              <w:rPr>
                <w:rFonts w:eastAsia="Times New Roman"/>
                <w:sz w:val="20"/>
                <w:szCs w:val="20"/>
              </w:rPr>
            </w:pPr>
          </w:p>
        </w:tc>
        <w:tc>
          <w:tcPr>
            <w:tcW w:w="0" w:type="auto"/>
            <w:gridSpan w:val="3"/>
            <w:vAlign w:val="center"/>
            <w:hideMark/>
          </w:tcPr>
          <w:p w14:paraId="23ACE01D" w14:textId="77777777" w:rsidR="00000000" w:rsidRDefault="00A173A8">
            <w:pPr>
              <w:spacing w:after="100"/>
              <w:rPr>
                <w:rFonts w:eastAsia="Times New Roman"/>
                <w:sz w:val="20"/>
                <w:szCs w:val="20"/>
              </w:rPr>
            </w:pPr>
          </w:p>
        </w:tc>
        <w:tc>
          <w:tcPr>
            <w:tcW w:w="0" w:type="auto"/>
            <w:gridSpan w:val="3"/>
            <w:vAlign w:val="center"/>
            <w:hideMark/>
          </w:tcPr>
          <w:p w14:paraId="3A1E8291" w14:textId="77777777" w:rsidR="00000000" w:rsidRDefault="00A173A8">
            <w:pPr>
              <w:spacing w:after="100"/>
              <w:rPr>
                <w:rFonts w:eastAsia="Times New Roman"/>
                <w:sz w:val="20"/>
                <w:szCs w:val="20"/>
              </w:rPr>
            </w:pPr>
          </w:p>
        </w:tc>
        <w:tc>
          <w:tcPr>
            <w:tcW w:w="0" w:type="auto"/>
            <w:gridSpan w:val="3"/>
            <w:vAlign w:val="center"/>
            <w:hideMark/>
          </w:tcPr>
          <w:p w14:paraId="3F83B9D6" w14:textId="77777777" w:rsidR="00000000" w:rsidRDefault="00A173A8">
            <w:pPr>
              <w:spacing w:after="100"/>
              <w:rPr>
                <w:rFonts w:eastAsia="Times New Roman"/>
                <w:sz w:val="20"/>
                <w:szCs w:val="20"/>
              </w:rPr>
            </w:pPr>
          </w:p>
        </w:tc>
        <w:tc>
          <w:tcPr>
            <w:tcW w:w="0" w:type="auto"/>
            <w:gridSpan w:val="3"/>
            <w:vAlign w:val="center"/>
            <w:hideMark/>
          </w:tcPr>
          <w:p w14:paraId="3B7D1352" w14:textId="77777777" w:rsidR="00000000" w:rsidRDefault="00A173A8">
            <w:pPr>
              <w:spacing w:after="100"/>
              <w:rPr>
                <w:rFonts w:eastAsia="Times New Roman"/>
                <w:sz w:val="20"/>
                <w:szCs w:val="20"/>
              </w:rPr>
            </w:pPr>
          </w:p>
        </w:tc>
        <w:tc>
          <w:tcPr>
            <w:tcW w:w="0" w:type="auto"/>
            <w:gridSpan w:val="3"/>
            <w:vAlign w:val="center"/>
            <w:hideMark/>
          </w:tcPr>
          <w:p w14:paraId="485AFCB1" w14:textId="77777777" w:rsidR="00000000" w:rsidRDefault="00A173A8">
            <w:pPr>
              <w:spacing w:after="100"/>
              <w:rPr>
                <w:rFonts w:eastAsia="Times New Roman"/>
                <w:sz w:val="20"/>
                <w:szCs w:val="20"/>
              </w:rPr>
            </w:pPr>
          </w:p>
        </w:tc>
      </w:tr>
      <w:tr w:rsidR="00000000" w14:paraId="1D36A8FF" w14:textId="77777777">
        <w:trPr>
          <w:divId w:val="521090368"/>
        </w:trPr>
        <w:tc>
          <w:tcPr>
            <w:tcW w:w="0" w:type="auto"/>
            <w:gridSpan w:val="3"/>
            <w:vAlign w:val="center"/>
            <w:hideMark/>
          </w:tcPr>
          <w:p w14:paraId="501ED29F" w14:textId="77777777" w:rsidR="00000000" w:rsidRDefault="00A173A8">
            <w:pPr>
              <w:spacing w:after="100"/>
              <w:rPr>
                <w:rFonts w:eastAsia="Times New Roman"/>
                <w:sz w:val="20"/>
                <w:szCs w:val="20"/>
              </w:rPr>
            </w:pPr>
          </w:p>
        </w:tc>
        <w:tc>
          <w:tcPr>
            <w:tcW w:w="0" w:type="auto"/>
            <w:gridSpan w:val="3"/>
            <w:vAlign w:val="center"/>
            <w:hideMark/>
          </w:tcPr>
          <w:p w14:paraId="4982F308" w14:textId="77777777" w:rsidR="00000000" w:rsidRDefault="00A173A8">
            <w:pPr>
              <w:spacing w:after="100"/>
              <w:rPr>
                <w:rFonts w:eastAsia="Times New Roman"/>
                <w:sz w:val="20"/>
                <w:szCs w:val="20"/>
              </w:rPr>
            </w:pPr>
          </w:p>
        </w:tc>
        <w:tc>
          <w:tcPr>
            <w:tcW w:w="0" w:type="auto"/>
            <w:gridSpan w:val="3"/>
            <w:vAlign w:val="center"/>
            <w:hideMark/>
          </w:tcPr>
          <w:p w14:paraId="3FB24882" w14:textId="77777777" w:rsidR="00000000" w:rsidRDefault="00A173A8">
            <w:pPr>
              <w:spacing w:after="100"/>
              <w:rPr>
                <w:rFonts w:eastAsia="Times New Roman"/>
                <w:sz w:val="20"/>
                <w:szCs w:val="20"/>
              </w:rPr>
            </w:pPr>
          </w:p>
        </w:tc>
        <w:tc>
          <w:tcPr>
            <w:tcW w:w="0" w:type="auto"/>
            <w:gridSpan w:val="3"/>
            <w:vAlign w:val="center"/>
            <w:hideMark/>
          </w:tcPr>
          <w:p w14:paraId="35946B75" w14:textId="77777777" w:rsidR="00000000" w:rsidRDefault="00A173A8">
            <w:pPr>
              <w:spacing w:after="100"/>
              <w:rPr>
                <w:rFonts w:eastAsia="Times New Roman"/>
                <w:sz w:val="20"/>
                <w:szCs w:val="20"/>
              </w:rPr>
            </w:pPr>
          </w:p>
        </w:tc>
        <w:tc>
          <w:tcPr>
            <w:tcW w:w="0" w:type="auto"/>
            <w:gridSpan w:val="3"/>
            <w:vAlign w:val="center"/>
            <w:hideMark/>
          </w:tcPr>
          <w:p w14:paraId="19EB453E" w14:textId="77777777" w:rsidR="00000000" w:rsidRDefault="00A173A8">
            <w:pPr>
              <w:spacing w:after="100"/>
              <w:rPr>
                <w:rFonts w:eastAsia="Times New Roman"/>
                <w:sz w:val="20"/>
                <w:szCs w:val="20"/>
              </w:rPr>
            </w:pPr>
          </w:p>
        </w:tc>
        <w:tc>
          <w:tcPr>
            <w:tcW w:w="0" w:type="auto"/>
            <w:gridSpan w:val="3"/>
            <w:vAlign w:val="center"/>
            <w:hideMark/>
          </w:tcPr>
          <w:p w14:paraId="71CC17EA" w14:textId="77777777" w:rsidR="00000000" w:rsidRDefault="00A173A8">
            <w:pPr>
              <w:spacing w:after="100"/>
              <w:rPr>
                <w:rFonts w:eastAsia="Times New Roman"/>
                <w:sz w:val="20"/>
                <w:szCs w:val="20"/>
              </w:rPr>
            </w:pPr>
          </w:p>
        </w:tc>
        <w:tc>
          <w:tcPr>
            <w:tcW w:w="0" w:type="auto"/>
            <w:gridSpan w:val="3"/>
            <w:vAlign w:val="center"/>
            <w:hideMark/>
          </w:tcPr>
          <w:p w14:paraId="3DBE5548" w14:textId="77777777" w:rsidR="00000000" w:rsidRDefault="00A173A8">
            <w:pPr>
              <w:spacing w:after="100"/>
              <w:rPr>
                <w:rFonts w:eastAsia="Times New Roman"/>
                <w:sz w:val="20"/>
                <w:szCs w:val="20"/>
              </w:rPr>
            </w:pPr>
          </w:p>
        </w:tc>
        <w:tc>
          <w:tcPr>
            <w:tcW w:w="0" w:type="auto"/>
            <w:gridSpan w:val="3"/>
            <w:vAlign w:val="center"/>
            <w:hideMark/>
          </w:tcPr>
          <w:p w14:paraId="49DA8CF0" w14:textId="77777777" w:rsidR="00000000" w:rsidRDefault="00A173A8">
            <w:pPr>
              <w:spacing w:after="100"/>
              <w:rPr>
                <w:rFonts w:eastAsia="Times New Roman"/>
                <w:sz w:val="20"/>
                <w:szCs w:val="20"/>
              </w:rPr>
            </w:pPr>
          </w:p>
        </w:tc>
        <w:tc>
          <w:tcPr>
            <w:tcW w:w="0" w:type="auto"/>
            <w:gridSpan w:val="3"/>
            <w:vAlign w:val="center"/>
            <w:hideMark/>
          </w:tcPr>
          <w:p w14:paraId="605DAE99" w14:textId="77777777" w:rsidR="00000000" w:rsidRDefault="00A173A8">
            <w:pPr>
              <w:spacing w:after="100"/>
              <w:rPr>
                <w:rFonts w:eastAsia="Times New Roman"/>
                <w:sz w:val="20"/>
                <w:szCs w:val="20"/>
              </w:rPr>
            </w:pPr>
          </w:p>
        </w:tc>
        <w:tc>
          <w:tcPr>
            <w:tcW w:w="0" w:type="auto"/>
            <w:gridSpan w:val="3"/>
            <w:vAlign w:val="center"/>
            <w:hideMark/>
          </w:tcPr>
          <w:p w14:paraId="05001481" w14:textId="77777777" w:rsidR="00000000" w:rsidRDefault="00A173A8">
            <w:pPr>
              <w:spacing w:after="100"/>
              <w:rPr>
                <w:rFonts w:eastAsia="Times New Roman"/>
                <w:sz w:val="20"/>
                <w:szCs w:val="20"/>
              </w:rPr>
            </w:pPr>
          </w:p>
        </w:tc>
        <w:tc>
          <w:tcPr>
            <w:tcW w:w="0" w:type="auto"/>
            <w:gridSpan w:val="3"/>
            <w:vAlign w:val="center"/>
            <w:hideMark/>
          </w:tcPr>
          <w:p w14:paraId="6F1F4212" w14:textId="77777777" w:rsidR="00000000" w:rsidRDefault="00A173A8">
            <w:pPr>
              <w:spacing w:after="100"/>
              <w:rPr>
                <w:rFonts w:eastAsia="Times New Roman"/>
                <w:sz w:val="20"/>
                <w:szCs w:val="20"/>
              </w:rPr>
            </w:pPr>
          </w:p>
        </w:tc>
      </w:tr>
    </w:tbl>
    <w:p w14:paraId="54FE0D3C" w14:textId="77777777" w:rsidR="00000000" w:rsidRDefault="00A173A8">
      <w:pPr>
        <w:divId w:val="1830829218"/>
        <w:rPr>
          <w:rFonts w:eastAsia="Times New Roman"/>
        </w:rPr>
      </w:pPr>
      <w:r>
        <w:rPr>
          <w:rFonts w:eastAsia="Times New Roman"/>
          <w:color w:val="000000"/>
          <w:sz w:val="20"/>
          <w:szCs w:val="20"/>
        </w:rPr>
        <w:t>__________</w:t>
      </w:r>
    </w:p>
    <w:p w14:paraId="314EA564" w14:textId="77777777" w:rsidR="00000000" w:rsidRDefault="00A173A8">
      <w:pPr>
        <w:ind w:hanging="360"/>
        <w:jc w:val="both"/>
        <w:divId w:val="79837857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June 30, 2022, the weighted-average expected maturities of RMBS and Agency CMBS were 6.7 years and 5.4 years, respectively.</w:t>
      </w:r>
    </w:p>
    <w:p w14:paraId="312BCB11" w14:textId="77777777" w:rsidR="00000000" w:rsidRDefault="00A173A8">
      <w:pPr>
        <w:divId w:val="666713438"/>
        <w:rPr>
          <w:rFonts w:eastAsia="Times New Roman"/>
        </w:rPr>
      </w:pPr>
      <w:r>
        <w:rPr>
          <w:rFonts w:eastAsia="Times New Roman"/>
          <w:b/>
          <w:bCs/>
          <w:color w:val="000000"/>
          <w:sz w:val="20"/>
          <w:szCs w:val="20"/>
        </w:rPr>
        <w:t>Net Securities Gains or Losses and Proceeds from Sales</w:t>
      </w:r>
    </w:p>
    <w:p w14:paraId="781A0791" w14:textId="77777777" w:rsidR="00000000" w:rsidRDefault="00A173A8">
      <w:pPr>
        <w:jc w:val="both"/>
        <w:divId w:val="1570113680"/>
        <w:rPr>
          <w:rFonts w:eastAsia="Times New Roman"/>
        </w:rPr>
      </w:pPr>
      <w:r>
        <w:rPr>
          <w:rFonts w:eastAsia="Times New Roman"/>
          <w:color w:val="000000"/>
          <w:sz w:val="20"/>
          <w:szCs w:val="20"/>
        </w:rPr>
        <w:t>For the three and six months ended June 30, 2022, total proceeds from sales of our securities were $1.8 billion and $2.2 billion</w:t>
      </w:r>
      <w:r>
        <w:rPr>
          <w:rFonts w:eastAsia="Times New Roman"/>
          <w:color w:val="000000"/>
          <w:sz w:val="20"/>
          <w:szCs w:val="20"/>
          <w:shd w:val="clear" w:color="auto" w:fill="FFFFFF"/>
        </w:rPr>
        <w:t xml:space="preserve">, </w:t>
      </w:r>
      <w:r>
        <w:rPr>
          <w:rFonts w:eastAsia="Times New Roman"/>
          <w:color w:val="000000"/>
          <w:sz w:val="20"/>
          <w:szCs w:val="20"/>
        </w:rPr>
        <w:t>respectively, with losses of $6 </w:t>
      </w:r>
      <w:r>
        <w:rPr>
          <w:rFonts w:eastAsia="Times New Roman"/>
          <w:color w:val="000000"/>
          <w:sz w:val="20"/>
          <w:szCs w:val="20"/>
        </w:rPr>
        <w:t>million for both periods, respectively. Total proceeds from sales of our securities were $595 million, with gains of $4 million for the six months ended June 30, 2021. We had no sales of securities for the three months ended June 30, 2021.</w:t>
      </w:r>
    </w:p>
    <w:p w14:paraId="19A12EF4" w14:textId="77777777" w:rsidR="00000000" w:rsidRDefault="00A173A8">
      <w:pPr>
        <w:divId w:val="253246708"/>
        <w:rPr>
          <w:rFonts w:eastAsia="Times New Roman"/>
        </w:rPr>
      </w:pPr>
      <w:r>
        <w:rPr>
          <w:rFonts w:eastAsia="Times New Roman"/>
          <w:b/>
          <w:bCs/>
          <w:color w:val="000000"/>
          <w:sz w:val="20"/>
          <w:szCs w:val="20"/>
        </w:rPr>
        <w:t>Securities Pledg</w:t>
      </w:r>
      <w:r>
        <w:rPr>
          <w:rFonts w:eastAsia="Times New Roman"/>
          <w:b/>
          <w:bCs/>
          <w:color w:val="000000"/>
          <w:sz w:val="20"/>
          <w:szCs w:val="20"/>
        </w:rPr>
        <w:t>ed and Received</w:t>
      </w:r>
    </w:p>
    <w:p w14:paraId="5793020F" w14:textId="77777777" w:rsidR="00000000" w:rsidRDefault="00A173A8">
      <w:pPr>
        <w:divId w:val="1877346446"/>
        <w:rPr>
          <w:rFonts w:eastAsia="Times New Roman"/>
        </w:rPr>
      </w:pPr>
      <w:r>
        <w:rPr>
          <w:rFonts w:eastAsia="Times New Roman"/>
          <w:color w:val="000000"/>
          <w:sz w:val="20"/>
          <w:szCs w:val="20"/>
        </w:rPr>
        <w:t>We pledged investment securities totaling $20.0 billion and $20.8 billion as of June 30, 2022 and December 31, 2021, respectively. These securities are primarily pledged to secure Public Funds deposits and Federal Home Loan Banks (“FHLB”) a</w:t>
      </w:r>
      <w:r>
        <w:rPr>
          <w:rFonts w:eastAsia="Times New Roman"/>
          <w:color w:val="000000"/>
          <w:sz w:val="20"/>
          <w:szCs w:val="20"/>
        </w:rPr>
        <w:t>dvances, as well as for other purposes as required or permitted by law. We accepted pledges of securities with a fair value of approximately $28 million and $1 million as of June 30, 2022 and December 31, 2021, respectively, related to our derivative trans</w:t>
      </w:r>
      <w:r>
        <w:rPr>
          <w:rFonts w:eastAsia="Times New Roman"/>
          <w:color w:val="000000"/>
          <w:sz w:val="20"/>
          <w:szCs w:val="20"/>
        </w:rPr>
        <w:t>actions.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3DF064D" w14:textId="77777777">
        <w:trPr>
          <w:divId w:val="1087923876"/>
          <w:jc w:val="center"/>
        </w:trPr>
        <w:tc>
          <w:tcPr>
            <w:tcW w:w="50" w:type="pct"/>
            <w:vAlign w:val="center"/>
            <w:hideMark/>
          </w:tcPr>
          <w:p w14:paraId="3DC2D4DD" w14:textId="77777777" w:rsidR="00000000" w:rsidRDefault="00A173A8">
            <w:pPr>
              <w:rPr>
                <w:rFonts w:eastAsia="Times New Roman"/>
              </w:rPr>
            </w:pPr>
          </w:p>
        </w:tc>
        <w:tc>
          <w:tcPr>
            <w:tcW w:w="1606" w:type="pct"/>
            <w:vAlign w:val="center"/>
            <w:hideMark/>
          </w:tcPr>
          <w:p w14:paraId="766CECD6" w14:textId="77777777" w:rsidR="00000000" w:rsidRDefault="00A173A8">
            <w:pPr>
              <w:spacing w:after="100"/>
              <w:rPr>
                <w:rFonts w:eastAsia="Times New Roman"/>
                <w:sz w:val="20"/>
                <w:szCs w:val="20"/>
              </w:rPr>
            </w:pPr>
          </w:p>
        </w:tc>
        <w:tc>
          <w:tcPr>
            <w:tcW w:w="5" w:type="pct"/>
            <w:vAlign w:val="center"/>
            <w:hideMark/>
          </w:tcPr>
          <w:p w14:paraId="4BC6C3AE" w14:textId="77777777" w:rsidR="00000000" w:rsidRDefault="00A173A8">
            <w:pPr>
              <w:spacing w:after="100"/>
              <w:rPr>
                <w:rFonts w:eastAsia="Times New Roman"/>
                <w:sz w:val="20"/>
                <w:szCs w:val="20"/>
              </w:rPr>
            </w:pPr>
          </w:p>
        </w:tc>
        <w:tc>
          <w:tcPr>
            <w:tcW w:w="50" w:type="pct"/>
            <w:vAlign w:val="center"/>
            <w:hideMark/>
          </w:tcPr>
          <w:p w14:paraId="234DC075" w14:textId="77777777" w:rsidR="00000000" w:rsidRDefault="00A173A8">
            <w:pPr>
              <w:spacing w:after="100"/>
              <w:rPr>
                <w:rFonts w:eastAsia="Times New Roman"/>
                <w:sz w:val="20"/>
                <w:szCs w:val="20"/>
              </w:rPr>
            </w:pPr>
          </w:p>
        </w:tc>
        <w:tc>
          <w:tcPr>
            <w:tcW w:w="1614" w:type="pct"/>
            <w:vAlign w:val="center"/>
            <w:hideMark/>
          </w:tcPr>
          <w:p w14:paraId="78DCFE99" w14:textId="77777777" w:rsidR="00000000" w:rsidRDefault="00A173A8">
            <w:pPr>
              <w:spacing w:after="100"/>
              <w:rPr>
                <w:rFonts w:eastAsia="Times New Roman"/>
                <w:sz w:val="20"/>
                <w:szCs w:val="20"/>
              </w:rPr>
            </w:pPr>
          </w:p>
        </w:tc>
        <w:tc>
          <w:tcPr>
            <w:tcW w:w="5" w:type="pct"/>
            <w:vAlign w:val="center"/>
            <w:hideMark/>
          </w:tcPr>
          <w:p w14:paraId="51203954" w14:textId="77777777" w:rsidR="00000000" w:rsidRDefault="00A173A8">
            <w:pPr>
              <w:spacing w:after="100"/>
              <w:rPr>
                <w:rFonts w:eastAsia="Times New Roman"/>
                <w:sz w:val="20"/>
                <w:szCs w:val="20"/>
              </w:rPr>
            </w:pPr>
          </w:p>
        </w:tc>
        <w:tc>
          <w:tcPr>
            <w:tcW w:w="50" w:type="pct"/>
            <w:vAlign w:val="center"/>
            <w:hideMark/>
          </w:tcPr>
          <w:p w14:paraId="5C442E32" w14:textId="77777777" w:rsidR="00000000" w:rsidRDefault="00A173A8">
            <w:pPr>
              <w:spacing w:after="100"/>
              <w:rPr>
                <w:rFonts w:eastAsia="Times New Roman"/>
                <w:sz w:val="20"/>
                <w:szCs w:val="20"/>
              </w:rPr>
            </w:pPr>
          </w:p>
        </w:tc>
        <w:tc>
          <w:tcPr>
            <w:tcW w:w="1614" w:type="pct"/>
            <w:vAlign w:val="center"/>
            <w:hideMark/>
          </w:tcPr>
          <w:p w14:paraId="3EAD1678" w14:textId="77777777" w:rsidR="00000000" w:rsidRDefault="00A173A8">
            <w:pPr>
              <w:spacing w:after="100"/>
              <w:rPr>
                <w:rFonts w:eastAsia="Times New Roman"/>
                <w:sz w:val="20"/>
                <w:szCs w:val="20"/>
              </w:rPr>
            </w:pPr>
          </w:p>
        </w:tc>
        <w:tc>
          <w:tcPr>
            <w:tcW w:w="5" w:type="pct"/>
            <w:vAlign w:val="center"/>
            <w:hideMark/>
          </w:tcPr>
          <w:p w14:paraId="1143DF6D" w14:textId="77777777" w:rsidR="00000000" w:rsidRDefault="00A173A8">
            <w:pPr>
              <w:spacing w:after="100"/>
              <w:rPr>
                <w:rFonts w:eastAsia="Times New Roman"/>
                <w:sz w:val="20"/>
                <w:szCs w:val="20"/>
              </w:rPr>
            </w:pPr>
          </w:p>
        </w:tc>
      </w:tr>
      <w:tr w:rsidR="00000000" w14:paraId="31DE3549" w14:textId="77777777">
        <w:trPr>
          <w:divId w:val="1087923876"/>
          <w:trHeight w:val="300"/>
          <w:jc w:val="center"/>
        </w:trPr>
        <w:tc>
          <w:tcPr>
            <w:tcW w:w="0" w:type="auto"/>
            <w:gridSpan w:val="9"/>
            <w:tcMar>
              <w:top w:w="0" w:type="dxa"/>
              <w:left w:w="20" w:type="dxa"/>
              <w:bottom w:w="0" w:type="dxa"/>
              <w:right w:w="20" w:type="dxa"/>
            </w:tcMar>
            <w:vAlign w:val="center"/>
            <w:hideMark/>
          </w:tcPr>
          <w:p w14:paraId="4E01B088" w14:textId="77777777" w:rsidR="00000000" w:rsidRDefault="00A173A8">
            <w:pPr>
              <w:spacing w:after="100"/>
              <w:rPr>
                <w:rFonts w:eastAsia="Times New Roman"/>
                <w:sz w:val="20"/>
                <w:szCs w:val="20"/>
              </w:rPr>
            </w:pPr>
          </w:p>
        </w:tc>
      </w:tr>
      <w:tr w:rsidR="00000000" w14:paraId="21ACB194" w14:textId="77777777">
        <w:trPr>
          <w:divId w:val="1087923876"/>
          <w:jc w:val="center"/>
        </w:trPr>
        <w:tc>
          <w:tcPr>
            <w:tcW w:w="0" w:type="auto"/>
            <w:gridSpan w:val="3"/>
            <w:tcMar>
              <w:top w:w="0" w:type="dxa"/>
              <w:left w:w="20" w:type="dxa"/>
              <w:bottom w:w="0" w:type="dxa"/>
              <w:right w:w="20" w:type="dxa"/>
            </w:tcMar>
            <w:vAlign w:val="center"/>
            <w:hideMark/>
          </w:tcPr>
          <w:p w14:paraId="34AF103B"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B0E71B0" w14:textId="77777777" w:rsidR="00000000" w:rsidRDefault="00A173A8">
            <w:pPr>
              <w:spacing w:after="100"/>
              <w:jc w:val="center"/>
              <w:rPr>
                <w:rFonts w:eastAsia="Times New Roman"/>
              </w:rPr>
            </w:pPr>
            <w:r>
              <w:rPr>
                <w:rFonts w:eastAsia="Times New Roman"/>
                <w:color w:val="000000"/>
                <w:sz w:val="16"/>
                <w:szCs w:val="16"/>
              </w:rPr>
              <w:t>74</w:t>
            </w:r>
          </w:p>
        </w:tc>
        <w:tc>
          <w:tcPr>
            <w:tcW w:w="0" w:type="auto"/>
            <w:gridSpan w:val="3"/>
            <w:tcMar>
              <w:top w:w="30" w:type="dxa"/>
              <w:left w:w="20" w:type="dxa"/>
              <w:bottom w:w="30" w:type="dxa"/>
              <w:right w:w="20" w:type="dxa"/>
            </w:tcMar>
            <w:vAlign w:val="bottom"/>
            <w:hideMark/>
          </w:tcPr>
          <w:p w14:paraId="342C4701"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92547CA" w14:textId="77777777" w:rsidR="00000000" w:rsidRDefault="00A173A8">
      <w:pPr>
        <w:rPr>
          <w:rFonts w:eastAsia="Times New Roman"/>
        </w:rPr>
      </w:pPr>
      <w:r>
        <w:rPr>
          <w:rFonts w:eastAsia="Times New Roman"/>
        </w:rPr>
        <w:pict w14:anchorId="3C168CFC">
          <v:rect id="_x0000_i1099" style="width:0;height:1.5pt" o:hralign="center" o:hrstd="t" o:hr="t" fillcolor="#a0a0a0" stroked="f"/>
        </w:pict>
      </w:r>
    </w:p>
    <w:p w14:paraId="26400619" w14:textId="77777777" w:rsidR="00000000" w:rsidRDefault="00A173A8">
      <w:pPr>
        <w:jc w:val="both"/>
        <w:divId w:val="1788229708"/>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264C733" w14:textId="77777777">
        <w:trPr>
          <w:divId w:val="1450273330"/>
        </w:trPr>
        <w:tc>
          <w:tcPr>
            <w:tcW w:w="50" w:type="pct"/>
            <w:vAlign w:val="center"/>
            <w:hideMark/>
          </w:tcPr>
          <w:p w14:paraId="0136AE59" w14:textId="77777777" w:rsidR="00000000" w:rsidRDefault="00A173A8">
            <w:pPr>
              <w:jc w:val="both"/>
              <w:rPr>
                <w:rFonts w:eastAsia="Times New Roman"/>
              </w:rPr>
            </w:pPr>
          </w:p>
        </w:tc>
        <w:tc>
          <w:tcPr>
            <w:tcW w:w="4945" w:type="pct"/>
            <w:vAlign w:val="center"/>
            <w:hideMark/>
          </w:tcPr>
          <w:p w14:paraId="29CB47D4" w14:textId="77777777" w:rsidR="00000000" w:rsidRDefault="00A173A8">
            <w:pPr>
              <w:spacing w:after="100"/>
              <w:rPr>
                <w:rFonts w:eastAsia="Times New Roman"/>
                <w:sz w:val="20"/>
                <w:szCs w:val="20"/>
              </w:rPr>
            </w:pPr>
          </w:p>
        </w:tc>
        <w:tc>
          <w:tcPr>
            <w:tcW w:w="5" w:type="pct"/>
            <w:vAlign w:val="center"/>
            <w:hideMark/>
          </w:tcPr>
          <w:p w14:paraId="768F4C08" w14:textId="77777777" w:rsidR="00000000" w:rsidRDefault="00A173A8">
            <w:pPr>
              <w:spacing w:after="100"/>
              <w:rPr>
                <w:rFonts w:eastAsia="Times New Roman"/>
                <w:sz w:val="20"/>
                <w:szCs w:val="20"/>
              </w:rPr>
            </w:pPr>
          </w:p>
        </w:tc>
      </w:tr>
      <w:tr w:rsidR="00000000" w14:paraId="33C3A268" w14:textId="77777777">
        <w:trPr>
          <w:divId w:val="145027333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1F3AF487" w14:textId="77777777" w:rsidR="00000000" w:rsidRDefault="00A173A8">
            <w:pPr>
              <w:spacing w:after="100"/>
              <w:rPr>
                <w:rFonts w:eastAsia="Times New Roman"/>
              </w:rPr>
            </w:pPr>
            <w:r>
              <w:rPr>
                <w:rFonts w:eastAsia="Times New Roman"/>
                <w:b/>
                <w:bCs/>
                <w:color w:val="000000"/>
                <w:sz w:val="20"/>
                <w:szCs w:val="20"/>
              </w:rPr>
              <w:t>NOTE 3—LOANS</w:t>
            </w:r>
          </w:p>
        </w:tc>
      </w:tr>
    </w:tbl>
    <w:p w14:paraId="733A2E92" w14:textId="77777777" w:rsidR="00000000" w:rsidRDefault="00A173A8">
      <w:pPr>
        <w:jc w:val="both"/>
        <w:divId w:val="486670565"/>
        <w:rPr>
          <w:rFonts w:eastAsia="Times New Roman"/>
        </w:rPr>
      </w:pPr>
      <w:r>
        <w:rPr>
          <w:rFonts w:eastAsia="Times New Roman"/>
          <w:color w:val="000000"/>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eastAsia="Times New Roman"/>
          <w:color w:val="000000"/>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eastAsia="Times New Roman"/>
          <w:color w:val="000000"/>
          <w:sz w:val="20"/>
          <w:szCs w:val="20"/>
        </w:rPr>
        <w:t xml:space="preserve">rial loans. The information presented in this section excludes loans held for sale, which are carried at either fair value (if we elect the fair value option) or at the lower of cost or fair value. </w:t>
      </w:r>
    </w:p>
    <w:p w14:paraId="1A19791F" w14:textId="77777777" w:rsidR="00000000" w:rsidRDefault="00A173A8">
      <w:pPr>
        <w:jc w:val="both"/>
        <w:divId w:val="1272779941"/>
        <w:rPr>
          <w:rFonts w:eastAsia="Times New Roman"/>
        </w:rPr>
      </w:pPr>
      <w:r>
        <w:rPr>
          <w:rFonts w:eastAsia="Times New Roman"/>
          <w:color w:val="000000"/>
          <w:sz w:val="20"/>
          <w:szCs w:val="20"/>
        </w:rPr>
        <w:t>Accrued interest receivable of $1.4 billion and $1.2 bill</w:t>
      </w:r>
      <w:r>
        <w:rPr>
          <w:rFonts w:eastAsia="Times New Roman"/>
          <w:color w:val="000000"/>
          <w:sz w:val="20"/>
          <w:szCs w:val="20"/>
        </w:rPr>
        <w:t>ion as of June 30, 2022 and December 31, 2021, respectively, is not included in the tables in this note. The table below presents the composition and aging analysis of our loans held for investment portfolio as of June 30, 2022 and December 31, 2021. The d</w:t>
      </w:r>
      <w:r>
        <w:rPr>
          <w:rFonts w:eastAsia="Times New Roman"/>
          <w:color w:val="000000"/>
          <w:sz w:val="20"/>
          <w:szCs w:val="20"/>
        </w:rPr>
        <w:t xml:space="preserve">elinquency aging includes all past due loans, both performing and nonperforming. </w:t>
      </w:r>
    </w:p>
    <w:p w14:paraId="5E486B42" w14:textId="77777777" w:rsidR="00000000" w:rsidRDefault="00A173A8">
      <w:pPr>
        <w:divId w:val="1268349584"/>
        <w:rPr>
          <w:rFonts w:eastAsia="Times New Roman"/>
        </w:rPr>
      </w:pPr>
      <w:r>
        <w:rPr>
          <w:rFonts w:eastAsia="Times New Roman"/>
          <w:b/>
          <w:bCs/>
          <w:color w:val="000000"/>
          <w:sz w:val="18"/>
          <w:szCs w:val="18"/>
        </w:rPr>
        <w:t>Table 3.1: Loan Portfolio Composition and Aging Analysis</w:t>
      </w:r>
    </w:p>
    <w:tbl>
      <w:tblPr>
        <w:tblW w:w="5000" w:type="pct"/>
        <w:tblCellMar>
          <w:top w:w="15" w:type="dxa"/>
          <w:left w:w="15" w:type="dxa"/>
          <w:bottom w:w="15" w:type="dxa"/>
          <w:right w:w="15" w:type="dxa"/>
        </w:tblCellMar>
        <w:tblLook w:val="04A0" w:firstRow="1" w:lastRow="0" w:firstColumn="1" w:lastColumn="0" w:noHBand="0" w:noVBand="1"/>
      </w:tblPr>
      <w:tblGrid>
        <w:gridCol w:w="40"/>
        <w:gridCol w:w="2321"/>
        <w:gridCol w:w="38"/>
        <w:gridCol w:w="36"/>
        <w:gridCol w:w="36"/>
        <w:gridCol w:w="36"/>
        <w:gridCol w:w="110"/>
        <w:gridCol w:w="630"/>
        <w:gridCol w:w="200"/>
        <w:gridCol w:w="36"/>
        <w:gridCol w:w="36"/>
        <w:gridCol w:w="36"/>
        <w:gridCol w:w="110"/>
        <w:gridCol w:w="466"/>
        <w:gridCol w:w="200"/>
        <w:gridCol w:w="36"/>
        <w:gridCol w:w="36"/>
        <w:gridCol w:w="36"/>
        <w:gridCol w:w="110"/>
        <w:gridCol w:w="475"/>
        <w:gridCol w:w="200"/>
        <w:gridCol w:w="36"/>
        <w:gridCol w:w="36"/>
        <w:gridCol w:w="36"/>
        <w:gridCol w:w="110"/>
        <w:gridCol w:w="476"/>
        <w:gridCol w:w="200"/>
        <w:gridCol w:w="36"/>
        <w:gridCol w:w="36"/>
        <w:gridCol w:w="36"/>
        <w:gridCol w:w="111"/>
        <w:gridCol w:w="721"/>
        <w:gridCol w:w="200"/>
        <w:gridCol w:w="36"/>
        <w:gridCol w:w="36"/>
        <w:gridCol w:w="36"/>
        <w:gridCol w:w="110"/>
        <w:gridCol w:w="630"/>
        <w:gridCol w:w="200"/>
      </w:tblGrid>
      <w:tr w:rsidR="00000000" w14:paraId="243B9DE8" w14:textId="77777777">
        <w:trPr>
          <w:divId w:val="1268349584"/>
        </w:trPr>
        <w:tc>
          <w:tcPr>
            <w:tcW w:w="50" w:type="pct"/>
            <w:vAlign w:val="center"/>
            <w:hideMark/>
          </w:tcPr>
          <w:p w14:paraId="1B47AA61" w14:textId="77777777" w:rsidR="00000000" w:rsidRDefault="00A173A8">
            <w:pPr>
              <w:rPr>
                <w:rFonts w:eastAsia="Times New Roman"/>
              </w:rPr>
            </w:pPr>
          </w:p>
        </w:tc>
        <w:tc>
          <w:tcPr>
            <w:tcW w:w="1523" w:type="pct"/>
            <w:vAlign w:val="center"/>
            <w:hideMark/>
          </w:tcPr>
          <w:p w14:paraId="27601831" w14:textId="77777777" w:rsidR="00000000" w:rsidRDefault="00A173A8">
            <w:pPr>
              <w:spacing w:after="100"/>
              <w:rPr>
                <w:rFonts w:eastAsia="Times New Roman"/>
                <w:sz w:val="20"/>
                <w:szCs w:val="20"/>
              </w:rPr>
            </w:pPr>
          </w:p>
        </w:tc>
        <w:tc>
          <w:tcPr>
            <w:tcW w:w="5" w:type="pct"/>
            <w:vAlign w:val="center"/>
            <w:hideMark/>
          </w:tcPr>
          <w:p w14:paraId="2C8CD82F" w14:textId="77777777" w:rsidR="00000000" w:rsidRDefault="00A173A8">
            <w:pPr>
              <w:spacing w:after="100"/>
              <w:rPr>
                <w:rFonts w:eastAsia="Times New Roman"/>
                <w:sz w:val="20"/>
                <w:szCs w:val="20"/>
              </w:rPr>
            </w:pPr>
          </w:p>
        </w:tc>
        <w:tc>
          <w:tcPr>
            <w:tcW w:w="5" w:type="pct"/>
            <w:vAlign w:val="center"/>
            <w:hideMark/>
          </w:tcPr>
          <w:p w14:paraId="324E4862" w14:textId="77777777" w:rsidR="00000000" w:rsidRDefault="00A173A8">
            <w:pPr>
              <w:spacing w:after="100"/>
              <w:rPr>
                <w:rFonts w:eastAsia="Times New Roman"/>
                <w:sz w:val="20"/>
                <w:szCs w:val="20"/>
              </w:rPr>
            </w:pPr>
          </w:p>
        </w:tc>
        <w:tc>
          <w:tcPr>
            <w:tcW w:w="26" w:type="pct"/>
            <w:vAlign w:val="center"/>
            <w:hideMark/>
          </w:tcPr>
          <w:p w14:paraId="003BB21F" w14:textId="77777777" w:rsidR="00000000" w:rsidRDefault="00A173A8">
            <w:pPr>
              <w:spacing w:after="100"/>
              <w:rPr>
                <w:rFonts w:eastAsia="Times New Roman"/>
                <w:sz w:val="20"/>
                <w:szCs w:val="20"/>
              </w:rPr>
            </w:pPr>
          </w:p>
        </w:tc>
        <w:tc>
          <w:tcPr>
            <w:tcW w:w="5" w:type="pct"/>
            <w:vAlign w:val="center"/>
            <w:hideMark/>
          </w:tcPr>
          <w:p w14:paraId="0D2CEC90" w14:textId="77777777" w:rsidR="00000000" w:rsidRDefault="00A173A8">
            <w:pPr>
              <w:spacing w:after="100"/>
              <w:rPr>
                <w:rFonts w:eastAsia="Times New Roman"/>
                <w:sz w:val="20"/>
                <w:szCs w:val="20"/>
              </w:rPr>
            </w:pPr>
          </w:p>
        </w:tc>
        <w:tc>
          <w:tcPr>
            <w:tcW w:w="50" w:type="pct"/>
            <w:vAlign w:val="center"/>
            <w:hideMark/>
          </w:tcPr>
          <w:p w14:paraId="0F7C049E" w14:textId="77777777" w:rsidR="00000000" w:rsidRDefault="00A173A8">
            <w:pPr>
              <w:spacing w:after="100"/>
              <w:rPr>
                <w:rFonts w:eastAsia="Times New Roman"/>
                <w:sz w:val="20"/>
                <w:szCs w:val="20"/>
              </w:rPr>
            </w:pPr>
          </w:p>
        </w:tc>
        <w:tc>
          <w:tcPr>
            <w:tcW w:w="522" w:type="pct"/>
            <w:vAlign w:val="center"/>
            <w:hideMark/>
          </w:tcPr>
          <w:p w14:paraId="23C9DB03" w14:textId="77777777" w:rsidR="00000000" w:rsidRDefault="00A173A8">
            <w:pPr>
              <w:spacing w:after="100"/>
              <w:rPr>
                <w:rFonts w:eastAsia="Times New Roman"/>
                <w:sz w:val="20"/>
                <w:szCs w:val="20"/>
              </w:rPr>
            </w:pPr>
          </w:p>
        </w:tc>
        <w:tc>
          <w:tcPr>
            <w:tcW w:w="5" w:type="pct"/>
            <w:vAlign w:val="center"/>
            <w:hideMark/>
          </w:tcPr>
          <w:p w14:paraId="11E3C079" w14:textId="77777777" w:rsidR="00000000" w:rsidRDefault="00A173A8">
            <w:pPr>
              <w:spacing w:after="100"/>
              <w:rPr>
                <w:rFonts w:eastAsia="Times New Roman"/>
                <w:sz w:val="20"/>
                <w:szCs w:val="20"/>
              </w:rPr>
            </w:pPr>
          </w:p>
        </w:tc>
        <w:tc>
          <w:tcPr>
            <w:tcW w:w="5" w:type="pct"/>
            <w:vAlign w:val="center"/>
            <w:hideMark/>
          </w:tcPr>
          <w:p w14:paraId="695B8A87" w14:textId="77777777" w:rsidR="00000000" w:rsidRDefault="00A173A8">
            <w:pPr>
              <w:spacing w:after="100"/>
              <w:rPr>
                <w:rFonts w:eastAsia="Times New Roman"/>
                <w:sz w:val="20"/>
                <w:szCs w:val="20"/>
              </w:rPr>
            </w:pPr>
          </w:p>
        </w:tc>
        <w:tc>
          <w:tcPr>
            <w:tcW w:w="26" w:type="pct"/>
            <w:vAlign w:val="center"/>
            <w:hideMark/>
          </w:tcPr>
          <w:p w14:paraId="77DE57CF" w14:textId="77777777" w:rsidR="00000000" w:rsidRDefault="00A173A8">
            <w:pPr>
              <w:spacing w:after="100"/>
              <w:rPr>
                <w:rFonts w:eastAsia="Times New Roman"/>
                <w:sz w:val="20"/>
                <w:szCs w:val="20"/>
              </w:rPr>
            </w:pPr>
          </w:p>
        </w:tc>
        <w:tc>
          <w:tcPr>
            <w:tcW w:w="5" w:type="pct"/>
            <w:vAlign w:val="center"/>
            <w:hideMark/>
          </w:tcPr>
          <w:p w14:paraId="27DBA4F9" w14:textId="77777777" w:rsidR="00000000" w:rsidRDefault="00A173A8">
            <w:pPr>
              <w:spacing w:after="100"/>
              <w:rPr>
                <w:rFonts w:eastAsia="Times New Roman"/>
                <w:sz w:val="20"/>
                <w:szCs w:val="20"/>
              </w:rPr>
            </w:pPr>
          </w:p>
        </w:tc>
        <w:tc>
          <w:tcPr>
            <w:tcW w:w="50" w:type="pct"/>
            <w:vAlign w:val="center"/>
            <w:hideMark/>
          </w:tcPr>
          <w:p w14:paraId="3054B934" w14:textId="77777777" w:rsidR="00000000" w:rsidRDefault="00A173A8">
            <w:pPr>
              <w:spacing w:after="100"/>
              <w:rPr>
                <w:rFonts w:eastAsia="Times New Roman"/>
                <w:sz w:val="20"/>
                <w:szCs w:val="20"/>
              </w:rPr>
            </w:pPr>
          </w:p>
        </w:tc>
        <w:tc>
          <w:tcPr>
            <w:tcW w:w="434" w:type="pct"/>
            <w:vAlign w:val="center"/>
            <w:hideMark/>
          </w:tcPr>
          <w:p w14:paraId="3D51C413" w14:textId="77777777" w:rsidR="00000000" w:rsidRDefault="00A173A8">
            <w:pPr>
              <w:spacing w:after="100"/>
              <w:rPr>
                <w:rFonts w:eastAsia="Times New Roman"/>
                <w:sz w:val="20"/>
                <w:szCs w:val="20"/>
              </w:rPr>
            </w:pPr>
          </w:p>
        </w:tc>
        <w:tc>
          <w:tcPr>
            <w:tcW w:w="5" w:type="pct"/>
            <w:vAlign w:val="center"/>
            <w:hideMark/>
          </w:tcPr>
          <w:p w14:paraId="04DBF1FC" w14:textId="77777777" w:rsidR="00000000" w:rsidRDefault="00A173A8">
            <w:pPr>
              <w:spacing w:after="100"/>
              <w:rPr>
                <w:rFonts w:eastAsia="Times New Roman"/>
                <w:sz w:val="20"/>
                <w:szCs w:val="20"/>
              </w:rPr>
            </w:pPr>
          </w:p>
        </w:tc>
        <w:tc>
          <w:tcPr>
            <w:tcW w:w="5" w:type="pct"/>
            <w:vAlign w:val="center"/>
            <w:hideMark/>
          </w:tcPr>
          <w:p w14:paraId="04DF054D" w14:textId="77777777" w:rsidR="00000000" w:rsidRDefault="00A173A8">
            <w:pPr>
              <w:spacing w:after="100"/>
              <w:rPr>
                <w:rFonts w:eastAsia="Times New Roman"/>
                <w:sz w:val="20"/>
                <w:szCs w:val="20"/>
              </w:rPr>
            </w:pPr>
          </w:p>
        </w:tc>
        <w:tc>
          <w:tcPr>
            <w:tcW w:w="26" w:type="pct"/>
            <w:vAlign w:val="center"/>
            <w:hideMark/>
          </w:tcPr>
          <w:p w14:paraId="7ADB09A6" w14:textId="77777777" w:rsidR="00000000" w:rsidRDefault="00A173A8">
            <w:pPr>
              <w:spacing w:after="100"/>
              <w:rPr>
                <w:rFonts w:eastAsia="Times New Roman"/>
                <w:sz w:val="20"/>
                <w:szCs w:val="20"/>
              </w:rPr>
            </w:pPr>
          </w:p>
        </w:tc>
        <w:tc>
          <w:tcPr>
            <w:tcW w:w="5" w:type="pct"/>
            <w:vAlign w:val="center"/>
            <w:hideMark/>
          </w:tcPr>
          <w:p w14:paraId="400E2BBA" w14:textId="77777777" w:rsidR="00000000" w:rsidRDefault="00A173A8">
            <w:pPr>
              <w:spacing w:after="100"/>
              <w:rPr>
                <w:rFonts w:eastAsia="Times New Roman"/>
                <w:sz w:val="20"/>
                <w:szCs w:val="20"/>
              </w:rPr>
            </w:pPr>
          </w:p>
        </w:tc>
        <w:tc>
          <w:tcPr>
            <w:tcW w:w="50" w:type="pct"/>
            <w:vAlign w:val="center"/>
            <w:hideMark/>
          </w:tcPr>
          <w:p w14:paraId="7AB05350" w14:textId="77777777" w:rsidR="00000000" w:rsidRDefault="00A173A8">
            <w:pPr>
              <w:spacing w:after="100"/>
              <w:rPr>
                <w:rFonts w:eastAsia="Times New Roman"/>
                <w:sz w:val="20"/>
                <w:szCs w:val="20"/>
              </w:rPr>
            </w:pPr>
          </w:p>
        </w:tc>
        <w:tc>
          <w:tcPr>
            <w:tcW w:w="434" w:type="pct"/>
            <w:vAlign w:val="center"/>
            <w:hideMark/>
          </w:tcPr>
          <w:p w14:paraId="59790E9C" w14:textId="77777777" w:rsidR="00000000" w:rsidRDefault="00A173A8">
            <w:pPr>
              <w:spacing w:after="100"/>
              <w:rPr>
                <w:rFonts w:eastAsia="Times New Roman"/>
                <w:sz w:val="20"/>
                <w:szCs w:val="20"/>
              </w:rPr>
            </w:pPr>
          </w:p>
        </w:tc>
        <w:tc>
          <w:tcPr>
            <w:tcW w:w="5" w:type="pct"/>
            <w:vAlign w:val="center"/>
            <w:hideMark/>
          </w:tcPr>
          <w:p w14:paraId="14325BE7" w14:textId="77777777" w:rsidR="00000000" w:rsidRDefault="00A173A8">
            <w:pPr>
              <w:spacing w:after="100"/>
              <w:rPr>
                <w:rFonts w:eastAsia="Times New Roman"/>
                <w:sz w:val="20"/>
                <w:szCs w:val="20"/>
              </w:rPr>
            </w:pPr>
          </w:p>
        </w:tc>
        <w:tc>
          <w:tcPr>
            <w:tcW w:w="5" w:type="pct"/>
            <w:vAlign w:val="center"/>
            <w:hideMark/>
          </w:tcPr>
          <w:p w14:paraId="6AFC6F9A" w14:textId="77777777" w:rsidR="00000000" w:rsidRDefault="00A173A8">
            <w:pPr>
              <w:spacing w:after="100"/>
              <w:rPr>
                <w:rFonts w:eastAsia="Times New Roman"/>
                <w:sz w:val="20"/>
                <w:szCs w:val="20"/>
              </w:rPr>
            </w:pPr>
          </w:p>
        </w:tc>
        <w:tc>
          <w:tcPr>
            <w:tcW w:w="26" w:type="pct"/>
            <w:vAlign w:val="center"/>
            <w:hideMark/>
          </w:tcPr>
          <w:p w14:paraId="71525A1B" w14:textId="77777777" w:rsidR="00000000" w:rsidRDefault="00A173A8">
            <w:pPr>
              <w:spacing w:after="100"/>
              <w:rPr>
                <w:rFonts w:eastAsia="Times New Roman"/>
                <w:sz w:val="20"/>
                <w:szCs w:val="20"/>
              </w:rPr>
            </w:pPr>
          </w:p>
        </w:tc>
        <w:tc>
          <w:tcPr>
            <w:tcW w:w="5" w:type="pct"/>
            <w:vAlign w:val="center"/>
            <w:hideMark/>
          </w:tcPr>
          <w:p w14:paraId="7F57C50D" w14:textId="77777777" w:rsidR="00000000" w:rsidRDefault="00A173A8">
            <w:pPr>
              <w:spacing w:after="100"/>
              <w:rPr>
                <w:rFonts w:eastAsia="Times New Roman"/>
                <w:sz w:val="20"/>
                <w:szCs w:val="20"/>
              </w:rPr>
            </w:pPr>
          </w:p>
        </w:tc>
        <w:tc>
          <w:tcPr>
            <w:tcW w:w="50" w:type="pct"/>
            <w:vAlign w:val="center"/>
            <w:hideMark/>
          </w:tcPr>
          <w:p w14:paraId="652F7EAE" w14:textId="77777777" w:rsidR="00000000" w:rsidRDefault="00A173A8">
            <w:pPr>
              <w:spacing w:after="100"/>
              <w:rPr>
                <w:rFonts w:eastAsia="Times New Roman"/>
                <w:sz w:val="20"/>
                <w:szCs w:val="20"/>
              </w:rPr>
            </w:pPr>
          </w:p>
        </w:tc>
        <w:tc>
          <w:tcPr>
            <w:tcW w:w="434" w:type="pct"/>
            <w:vAlign w:val="center"/>
            <w:hideMark/>
          </w:tcPr>
          <w:p w14:paraId="6A1BB5E5" w14:textId="77777777" w:rsidR="00000000" w:rsidRDefault="00A173A8">
            <w:pPr>
              <w:spacing w:after="100"/>
              <w:rPr>
                <w:rFonts w:eastAsia="Times New Roman"/>
                <w:sz w:val="20"/>
                <w:szCs w:val="20"/>
              </w:rPr>
            </w:pPr>
          </w:p>
        </w:tc>
        <w:tc>
          <w:tcPr>
            <w:tcW w:w="5" w:type="pct"/>
            <w:vAlign w:val="center"/>
            <w:hideMark/>
          </w:tcPr>
          <w:p w14:paraId="441E067B" w14:textId="77777777" w:rsidR="00000000" w:rsidRDefault="00A173A8">
            <w:pPr>
              <w:spacing w:after="100"/>
              <w:rPr>
                <w:rFonts w:eastAsia="Times New Roman"/>
                <w:sz w:val="20"/>
                <w:szCs w:val="20"/>
              </w:rPr>
            </w:pPr>
          </w:p>
        </w:tc>
        <w:tc>
          <w:tcPr>
            <w:tcW w:w="5" w:type="pct"/>
            <w:vAlign w:val="center"/>
            <w:hideMark/>
          </w:tcPr>
          <w:p w14:paraId="4EEB72ED" w14:textId="77777777" w:rsidR="00000000" w:rsidRDefault="00A173A8">
            <w:pPr>
              <w:spacing w:after="100"/>
              <w:rPr>
                <w:rFonts w:eastAsia="Times New Roman"/>
                <w:sz w:val="20"/>
                <w:szCs w:val="20"/>
              </w:rPr>
            </w:pPr>
          </w:p>
        </w:tc>
        <w:tc>
          <w:tcPr>
            <w:tcW w:w="26" w:type="pct"/>
            <w:vAlign w:val="center"/>
            <w:hideMark/>
          </w:tcPr>
          <w:p w14:paraId="39A4CA8F" w14:textId="77777777" w:rsidR="00000000" w:rsidRDefault="00A173A8">
            <w:pPr>
              <w:spacing w:after="100"/>
              <w:rPr>
                <w:rFonts w:eastAsia="Times New Roman"/>
                <w:sz w:val="20"/>
                <w:szCs w:val="20"/>
              </w:rPr>
            </w:pPr>
          </w:p>
        </w:tc>
        <w:tc>
          <w:tcPr>
            <w:tcW w:w="5" w:type="pct"/>
            <w:vAlign w:val="center"/>
            <w:hideMark/>
          </w:tcPr>
          <w:p w14:paraId="01FBAF56" w14:textId="77777777" w:rsidR="00000000" w:rsidRDefault="00A173A8">
            <w:pPr>
              <w:spacing w:after="100"/>
              <w:rPr>
                <w:rFonts w:eastAsia="Times New Roman"/>
                <w:sz w:val="20"/>
                <w:szCs w:val="20"/>
              </w:rPr>
            </w:pPr>
          </w:p>
        </w:tc>
        <w:tc>
          <w:tcPr>
            <w:tcW w:w="50" w:type="pct"/>
            <w:vAlign w:val="center"/>
            <w:hideMark/>
          </w:tcPr>
          <w:p w14:paraId="2F82327C" w14:textId="77777777" w:rsidR="00000000" w:rsidRDefault="00A173A8">
            <w:pPr>
              <w:spacing w:after="100"/>
              <w:rPr>
                <w:rFonts w:eastAsia="Times New Roman"/>
                <w:sz w:val="20"/>
                <w:szCs w:val="20"/>
              </w:rPr>
            </w:pPr>
          </w:p>
        </w:tc>
        <w:tc>
          <w:tcPr>
            <w:tcW w:w="522" w:type="pct"/>
            <w:vAlign w:val="center"/>
            <w:hideMark/>
          </w:tcPr>
          <w:p w14:paraId="30D79A63" w14:textId="77777777" w:rsidR="00000000" w:rsidRDefault="00A173A8">
            <w:pPr>
              <w:spacing w:after="100"/>
              <w:rPr>
                <w:rFonts w:eastAsia="Times New Roman"/>
                <w:sz w:val="20"/>
                <w:szCs w:val="20"/>
              </w:rPr>
            </w:pPr>
          </w:p>
        </w:tc>
        <w:tc>
          <w:tcPr>
            <w:tcW w:w="5" w:type="pct"/>
            <w:vAlign w:val="center"/>
            <w:hideMark/>
          </w:tcPr>
          <w:p w14:paraId="5A4AA28D" w14:textId="77777777" w:rsidR="00000000" w:rsidRDefault="00A173A8">
            <w:pPr>
              <w:spacing w:after="100"/>
              <w:rPr>
                <w:rFonts w:eastAsia="Times New Roman"/>
                <w:sz w:val="20"/>
                <w:szCs w:val="20"/>
              </w:rPr>
            </w:pPr>
          </w:p>
        </w:tc>
        <w:tc>
          <w:tcPr>
            <w:tcW w:w="5" w:type="pct"/>
            <w:vAlign w:val="center"/>
            <w:hideMark/>
          </w:tcPr>
          <w:p w14:paraId="7C4AEC36" w14:textId="77777777" w:rsidR="00000000" w:rsidRDefault="00A173A8">
            <w:pPr>
              <w:spacing w:after="100"/>
              <w:rPr>
                <w:rFonts w:eastAsia="Times New Roman"/>
                <w:sz w:val="20"/>
                <w:szCs w:val="20"/>
              </w:rPr>
            </w:pPr>
          </w:p>
        </w:tc>
        <w:tc>
          <w:tcPr>
            <w:tcW w:w="26" w:type="pct"/>
            <w:vAlign w:val="center"/>
            <w:hideMark/>
          </w:tcPr>
          <w:p w14:paraId="6154D085" w14:textId="77777777" w:rsidR="00000000" w:rsidRDefault="00A173A8">
            <w:pPr>
              <w:spacing w:after="100"/>
              <w:rPr>
                <w:rFonts w:eastAsia="Times New Roman"/>
                <w:sz w:val="20"/>
                <w:szCs w:val="20"/>
              </w:rPr>
            </w:pPr>
          </w:p>
        </w:tc>
        <w:tc>
          <w:tcPr>
            <w:tcW w:w="5" w:type="pct"/>
            <w:vAlign w:val="center"/>
            <w:hideMark/>
          </w:tcPr>
          <w:p w14:paraId="0DD076BB" w14:textId="77777777" w:rsidR="00000000" w:rsidRDefault="00A173A8">
            <w:pPr>
              <w:spacing w:after="100"/>
              <w:rPr>
                <w:rFonts w:eastAsia="Times New Roman"/>
                <w:sz w:val="20"/>
                <w:szCs w:val="20"/>
              </w:rPr>
            </w:pPr>
          </w:p>
        </w:tc>
        <w:tc>
          <w:tcPr>
            <w:tcW w:w="50" w:type="pct"/>
            <w:vAlign w:val="center"/>
            <w:hideMark/>
          </w:tcPr>
          <w:p w14:paraId="11679371" w14:textId="77777777" w:rsidR="00000000" w:rsidRDefault="00A173A8">
            <w:pPr>
              <w:spacing w:after="100"/>
              <w:rPr>
                <w:rFonts w:eastAsia="Times New Roman"/>
                <w:sz w:val="20"/>
                <w:szCs w:val="20"/>
              </w:rPr>
            </w:pPr>
          </w:p>
        </w:tc>
        <w:tc>
          <w:tcPr>
            <w:tcW w:w="522" w:type="pct"/>
            <w:vAlign w:val="center"/>
            <w:hideMark/>
          </w:tcPr>
          <w:p w14:paraId="4D900FAC" w14:textId="77777777" w:rsidR="00000000" w:rsidRDefault="00A173A8">
            <w:pPr>
              <w:spacing w:after="100"/>
              <w:rPr>
                <w:rFonts w:eastAsia="Times New Roman"/>
                <w:sz w:val="20"/>
                <w:szCs w:val="20"/>
              </w:rPr>
            </w:pPr>
          </w:p>
        </w:tc>
        <w:tc>
          <w:tcPr>
            <w:tcW w:w="5" w:type="pct"/>
            <w:vAlign w:val="center"/>
            <w:hideMark/>
          </w:tcPr>
          <w:p w14:paraId="2AB6071D" w14:textId="77777777" w:rsidR="00000000" w:rsidRDefault="00A173A8">
            <w:pPr>
              <w:spacing w:after="100"/>
              <w:rPr>
                <w:rFonts w:eastAsia="Times New Roman"/>
                <w:sz w:val="20"/>
                <w:szCs w:val="20"/>
              </w:rPr>
            </w:pPr>
          </w:p>
        </w:tc>
      </w:tr>
      <w:tr w:rsidR="00000000" w14:paraId="3A6A3318" w14:textId="77777777">
        <w:trPr>
          <w:divId w:val="1268349584"/>
        </w:trPr>
        <w:tc>
          <w:tcPr>
            <w:tcW w:w="0" w:type="auto"/>
            <w:gridSpan w:val="3"/>
            <w:tcMar>
              <w:top w:w="30" w:type="dxa"/>
              <w:left w:w="155" w:type="dxa"/>
              <w:bottom w:w="30" w:type="dxa"/>
              <w:right w:w="20" w:type="dxa"/>
            </w:tcMar>
            <w:vAlign w:val="bottom"/>
            <w:hideMark/>
          </w:tcPr>
          <w:p w14:paraId="1E2593DE"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2A6632C" w14:textId="77777777" w:rsidR="00000000" w:rsidRDefault="00A173A8">
            <w:pPr>
              <w:spacing w:after="100"/>
              <w:rPr>
                <w:rFonts w:eastAsia="Times New Roman"/>
              </w:rPr>
            </w:pPr>
          </w:p>
        </w:tc>
        <w:tc>
          <w:tcPr>
            <w:tcW w:w="0" w:type="auto"/>
            <w:gridSpan w:val="33"/>
            <w:tcMar>
              <w:top w:w="30" w:type="dxa"/>
              <w:left w:w="20" w:type="dxa"/>
              <w:bottom w:w="30" w:type="dxa"/>
              <w:right w:w="20" w:type="dxa"/>
            </w:tcMar>
            <w:vAlign w:val="bottom"/>
            <w:hideMark/>
          </w:tcPr>
          <w:p w14:paraId="64375950" w14:textId="77777777" w:rsidR="00000000" w:rsidRDefault="00A173A8">
            <w:pPr>
              <w:spacing w:after="100"/>
              <w:jc w:val="center"/>
              <w:rPr>
                <w:rFonts w:eastAsia="Times New Roman"/>
              </w:rPr>
            </w:pPr>
            <w:r>
              <w:rPr>
                <w:rFonts w:eastAsia="Times New Roman"/>
                <w:b/>
                <w:bCs/>
                <w:color w:val="000000"/>
                <w:sz w:val="16"/>
                <w:szCs w:val="16"/>
              </w:rPr>
              <w:t>June 30, 2022</w:t>
            </w:r>
          </w:p>
        </w:tc>
      </w:tr>
      <w:tr w:rsidR="00000000" w14:paraId="1F00754C" w14:textId="77777777">
        <w:trPr>
          <w:divId w:val="1268349584"/>
        </w:trPr>
        <w:tc>
          <w:tcPr>
            <w:tcW w:w="0" w:type="auto"/>
            <w:gridSpan w:val="3"/>
            <w:tcMar>
              <w:top w:w="0" w:type="dxa"/>
              <w:left w:w="20" w:type="dxa"/>
              <w:bottom w:w="0" w:type="dxa"/>
              <w:right w:w="20" w:type="dxa"/>
            </w:tcMar>
            <w:vAlign w:val="center"/>
            <w:hideMark/>
          </w:tcPr>
          <w:p w14:paraId="1737022D"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45B45C0"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8FA294"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5CDAB7" w14:textId="77777777" w:rsidR="00000000" w:rsidRDefault="00A173A8">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14:paraId="0E3F54E2" w14:textId="77777777" w:rsidR="00000000" w:rsidRDefault="00A173A8">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14:paraId="2EA810A2"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0092E8FA" w14:textId="77777777" w:rsidR="00000000" w:rsidRDefault="00A173A8">
            <w:pPr>
              <w:spacing w:after="100"/>
              <w:rPr>
                <w:rFonts w:eastAsia="Times New Roman"/>
                <w:sz w:val="20"/>
                <w:szCs w:val="20"/>
              </w:rPr>
            </w:pPr>
          </w:p>
        </w:tc>
      </w:tr>
      <w:tr w:rsidR="00000000" w14:paraId="193C67CA" w14:textId="77777777">
        <w:trPr>
          <w:divId w:val="1268349584"/>
        </w:trPr>
        <w:tc>
          <w:tcPr>
            <w:tcW w:w="0" w:type="auto"/>
            <w:gridSpan w:val="3"/>
            <w:tcBorders>
              <w:bottom w:val="single" w:sz="8" w:space="0" w:color="000000"/>
            </w:tcBorders>
            <w:tcMar>
              <w:top w:w="30" w:type="dxa"/>
              <w:left w:w="20" w:type="dxa"/>
              <w:bottom w:w="30" w:type="dxa"/>
              <w:right w:w="20" w:type="dxa"/>
            </w:tcMar>
            <w:vAlign w:val="bottom"/>
            <w:hideMark/>
          </w:tcPr>
          <w:p w14:paraId="6FA09A1B"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F44FDAC" w14:textId="77777777" w:rsidR="00000000" w:rsidRDefault="00A173A8">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4C49B76" w14:textId="77777777" w:rsidR="00000000" w:rsidRDefault="00A173A8">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14:paraId="558CA79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0069F75" w14:textId="77777777" w:rsidR="00000000" w:rsidRDefault="00A173A8">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691FFD2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B40B7F6" w14:textId="77777777" w:rsidR="00000000" w:rsidRDefault="00A173A8">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4CDE2192"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0BAC9A4" w14:textId="77777777" w:rsidR="00000000" w:rsidRDefault="00A173A8">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14:paraId="18D645C3" w14:textId="77777777" w:rsidR="00000000" w:rsidRDefault="00A173A8">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14:paraId="6F3F119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93E68D" w14:textId="77777777" w:rsidR="00000000" w:rsidRDefault="00A173A8">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14:paraId="0200931B"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B182B27" w14:textId="77777777" w:rsidR="00000000" w:rsidRDefault="00A173A8">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14:paraId="77EDCD8D" w14:textId="77777777">
        <w:trPr>
          <w:divId w:val="12683495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D667B16" w14:textId="77777777" w:rsidR="00000000" w:rsidRDefault="00A173A8">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1F8CD881"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5A9AB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EE2DC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5E25D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DEBC6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EF0C6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BB490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ED25D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D1D84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635C4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D8285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90B148" w14:textId="77777777" w:rsidR="00000000" w:rsidRDefault="00A173A8">
            <w:pPr>
              <w:spacing w:after="100"/>
              <w:rPr>
                <w:rFonts w:eastAsia="Times New Roman"/>
                <w:sz w:val="20"/>
                <w:szCs w:val="20"/>
              </w:rPr>
            </w:pPr>
          </w:p>
        </w:tc>
      </w:tr>
      <w:tr w:rsidR="00000000" w14:paraId="7CB74779" w14:textId="77777777">
        <w:trPr>
          <w:divId w:val="1268349584"/>
        </w:trPr>
        <w:tc>
          <w:tcPr>
            <w:tcW w:w="0" w:type="auto"/>
            <w:gridSpan w:val="3"/>
            <w:shd w:val="clear" w:color="auto" w:fill="FFFFFF"/>
            <w:tcMar>
              <w:top w:w="30" w:type="dxa"/>
              <w:left w:w="245" w:type="dxa"/>
              <w:bottom w:w="30" w:type="dxa"/>
              <w:right w:w="20" w:type="dxa"/>
            </w:tcMar>
            <w:vAlign w:val="center"/>
            <w:hideMark/>
          </w:tcPr>
          <w:p w14:paraId="78F3957A" w14:textId="77777777" w:rsidR="00000000" w:rsidRDefault="00A173A8">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33BA61E2"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049D89F"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C08041B" w14:textId="77777777" w:rsidR="00000000" w:rsidRDefault="00A173A8">
            <w:pPr>
              <w:spacing w:after="100"/>
              <w:jc w:val="right"/>
              <w:rPr>
                <w:rFonts w:eastAsia="Times New Roman"/>
              </w:rPr>
            </w:pPr>
            <w:r>
              <w:rPr>
                <w:rFonts w:eastAsia="Times New Roman"/>
                <w:b/>
                <w:bCs/>
                <w:color w:val="000000"/>
                <w:sz w:val="18"/>
                <w:szCs w:val="18"/>
              </w:rPr>
              <w:t>112,297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92706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EFDFB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3671CD8"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5CA535F" w14:textId="77777777" w:rsidR="00000000" w:rsidRDefault="00A173A8">
            <w:pPr>
              <w:spacing w:after="100"/>
              <w:jc w:val="right"/>
              <w:rPr>
                <w:rFonts w:eastAsia="Times New Roman"/>
              </w:rPr>
            </w:pPr>
            <w:r>
              <w:rPr>
                <w:rFonts w:eastAsia="Times New Roman"/>
                <w:b/>
                <w:bCs/>
                <w:color w:val="000000"/>
                <w:sz w:val="18"/>
                <w:szCs w:val="18"/>
              </w:rPr>
              <w:t>896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DED59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3269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93D1B6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850BAAB" w14:textId="77777777" w:rsidR="00000000" w:rsidRDefault="00A173A8">
            <w:pPr>
              <w:spacing w:after="100"/>
              <w:jc w:val="right"/>
              <w:rPr>
                <w:rFonts w:eastAsia="Times New Roman"/>
              </w:rPr>
            </w:pPr>
            <w:r>
              <w:rPr>
                <w:rFonts w:eastAsia="Times New Roman"/>
                <w:b/>
                <w:bCs/>
                <w:color w:val="000000"/>
                <w:sz w:val="18"/>
                <w:szCs w:val="18"/>
              </w:rPr>
              <w:t>615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C162F2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1CB15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9CBD782"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C175098" w14:textId="77777777" w:rsidR="00000000" w:rsidRDefault="00A173A8">
            <w:pPr>
              <w:spacing w:after="100"/>
              <w:jc w:val="right"/>
              <w:rPr>
                <w:rFonts w:eastAsia="Times New Roman"/>
              </w:rPr>
            </w:pPr>
            <w:r>
              <w:rPr>
                <w:rFonts w:eastAsia="Times New Roman"/>
                <w:b/>
                <w:bCs/>
                <w:color w:val="000000"/>
                <w:sz w:val="18"/>
                <w:szCs w:val="18"/>
              </w:rPr>
              <w:t>1,196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57BC42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15D4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304DE8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CD92061" w14:textId="77777777" w:rsidR="00000000" w:rsidRDefault="00A173A8">
            <w:pPr>
              <w:spacing w:after="100"/>
              <w:jc w:val="right"/>
              <w:rPr>
                <w:rFonts w:eastAsia="Times New Roman"/>
              </w:rPr>
            </w:pPr>
            <w:r>
              <w:rPr>
                <w:rFonts w:eastAsia="Times New Roman"/>
                <w:b/>
                <w:bCs/>
                <w:color w:val="000000"/>
                <w:sz w:val="18"/>
                <w:szCs w:val="18"/>
              </w:rPr>
              <w:t>2,707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0BC0C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64ED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37BC81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EB77AA9" w14:textId="77777777" w:rsidR="00000000" w:rsidRDefault="00A173A8">
            <w:pPr>
              <w:spacing w:after="100"/>
              <w:jc w:val="right"/>
              <w:rPr>
                <w:rFonts w:eastAsia="Times New Roman"/>
              </w:rPr>
            </w:pPr>
            <w:r>
              <w:rPr>
                <w:rFonts w:eastAsia="Times New Roman"/>
                <w:b/>
                <w:bCs/>
                <w:color w:val="000000"/>
                <w:sz w:val="18"/>
                <w:szCs w:val="18"/>
              </w:rPr>
              <w:t>115,004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E9859A" w14:textId="77777777" w:rsidR="00000000" w:rsidRDefault="00A173A8">
            <w:pPr>
              <w:spacing w:after="100"/>
              <w:jc w:val="right"/>
              <w:rPr>
                <w:rFonts w:eastAsia="Times New Roman"/>
              </w:rPr>
            </w:pPr>
          </w:p>
        </w:tc>
      </w:tr>
      <w:tr w:rsidR="00000000" w14:paraId="7912D432" w14:textId="77777777">
        <w:trPr>
          <w:divId w:val="1268349584"/>
        </w:trPr>
        <w:tc>
          <w:tcPr>
            <w:tcW w:w="0" w:type="auto"/>
            <w:gridSpan w:val="3"/>
            <w:shd w:val="clear" w:color="auto" w:fill="CCEEFF"/>
            <w:tcMar>
              <w:top w:w="30" w:type="dxa"/>
              <w:left w:w="245" w:type="dxa"/>
              <w:bottom w:w="30" w:type="dxa"/>
              <w:right w:w="20" w:type="dxa"/>
            </w:tcMar>
            <w:vAlign w:val="center"/>
            <w:hideMark/>
          </w:tcPr>
          <w:p w14:paraId="1E3DE7B1" w14:textId="77777777" w:rsidR="00000000" w:rsidRDefault="00A173A8">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47EE392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91394CA" w14:textId="77777777" w:rsidR="00000000" w:rsidRDefault="00A173A8">
            <w:pPr>
              <w:spacing w:after="100"/>
              <w:jc w:val="right"/>
              <w:rPr>
                <w:rFonts w:eastAsia="Times New Roman"/>
              </w:rPr>
            </w:pPr>
            <w:r>
              <w:rPr>
                <w:rFonts w:eastAsia="Times New Roman"/>
                <w:b/>
                <w:bCs/>
                <w:color w:val="000000"/>
                <w:sz w:val="18"/>
                <w:szCs w:val="18"/>
              </w:rPr>
              <w:t>5,655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F3FDA6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9A2A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13A87" w14:textId="77777777" w:rsidR="00000000" w:rsidRDefault="00A173A8">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ABF3BD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8599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40BFB5" w14:textId="77777777" w:rsidR="00000000" w:rsidRDefault="00A173A8">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0746C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338A8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561A08" w14:textId="77777777" w:rsidR="00000000" w:rsidRDefault="00A173A8">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319F9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C33E7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411FD2" w14:textId="77777777" w:rsidR="00000000" w:rsidRDefault="00A173A8">
            <w:pPr>
              <w:spacing w:after="100"/>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A6E900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86D7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ABE05F" w14:textId="77777777" w:rsidR="00000000" w:rsidRDefault="00A173A8">
            <w:pPr>
              <w:spacing w:after="100"/>
              <w:jc w:val="right"/>
              <w:rPr>
                <w:rFonts w:eastAsia="Times New Roman"/>
              </w:rPr>
            </w:pPr>
            <w:r>
              <w:rPr>
                <w:rFonts w:eastAsia="Times New Roman"/>
                <w:b/>
                <w:bCs/>
                <w:color w:val="000000"/>
                <w:sz w:val="18"/>
                <w:szCs w:val="18"/>
              </w:rPr>
              <w:t>5,876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4CB5F46" w14:textId="77777777" w:rsidR="00000000" w:rsidRDefault="00A173A8">
            <w:pPr>
              <w:spacing w:after="100"/>
              <w:jc w:val="right"/>
              <w:rPr>
                <w:rFonts w:eastAsia="Times New Roman"/>
              </w:rPr>
            </w:pPr>
          </w:p>
        </w:tc>
      </w:tr>
      <w:tr w:rsidR="00000000" w14:paraId="2D3F3C97" w14:textId="77777777">
        <w:trPr>
          <w:divId w:val="1268349584"/>
        </w:trPr>
        <w:tc>
          <w:tcPr>
            <w:tcW w:w="0" w:type="auto"/>
            <w:gridSpan w:val="3"/>
            <w:shd w:val="clear" w:color="auto" w:fill="FFFFFF"/>
            <w:tcMar>
              <w:top w:w="30" w:type="dxa"/>
              <w:left w:w="20" w:type="dxa"/>
              <w:bottom w:w="30" w:type="dxa"/>
              <w:right w:w="20" w:type="dxa"/>
            </w:tcMar>
            <w:vAlign w:val="center"/>
            <w:hideMark/>
          </w:tcPr>
          <w:p w14:paraId="62638536" w14:textId="77777777" w:rsidR="00000000" w:rsidRDefault="00A173A8">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1EFA5CFC"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5CDE666" w14:textId="77777777" w:rsidR="00000000" w:rsidRDefault="00A173A8">
            <w:pPr>
              <w:spacing w:after="100"/>
              <w:jc w:val="right"/>
              <w:rPr>
                <w:rFonts w:eastAsia="Times New Roman"/>
              </w:rPr>
            </w:pPr>
            <w:r>
              <w:rPr>
                <w:rFonts w:eastAsia="Times New Roman"/>
                <w:b/>
                <w:bCs/>
                <w:color w:val="000000"/>
                <w:sz w:val="18"/>
                <w:szCs w:val="18"/>
              </w:rPr>
              <w:t>117,952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0C890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1D7A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6EB73D7" w14:textId="77777777" w:rsidR="00000000" w:rsidRDefault="00A173A8">
            <w:pPr>
              <w:spacing w:after="100"/>
              <w:jc w:val="right"/>
              <w:rPr>
                <w:rFonts w:eastAsia="Times New Roman"/>
              </w:rPr>
            </w:pPr>
            <w:r>
              <w:rPr>
                <w:rFonts w:eastAsia="Times New Roman"/>
                <w:b/>
                <w:bCs/>
                <w:color w:val="000000"/>
                <w:sz w:val="18"/>
                <w:szCs w:val="18"/>
              </w:rPr>
              <w:t>978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1C7EC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D4C5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226DAC8" w14:textId="77777777" w:rsidR="00000000" w:rsidRDefault="00A173A8">
            <w:pPr>
              <w:spacing w:after="100"/>
              <w:jc w:val="right"/>
              <w:rPr>
                <w:rFonts w:eastAsia="Times New Roman"/>
              </w:rPr>
            </w:pPr>
            <w:r>
              <w:rPr>
                <w:rFonts w:eastAsia="Times New Roman"/>
                <w:b/>
                <w:bCs/>
                <w:color w:val="000000"/>
                <w:sz w:val="18"/>
                <w:szCs w:val="18"/>
              </w:rPr>
              <w:t>663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7A40C9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3BFD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6383C8" w14:textId="77777777" w:rsidR="00000000" w:rsidRDefault="00A173A8">
            <w:pPr>
              <w:spacing w:after="100"/>
              <w:jc w:val="right"/>
              <w:rPr>
                <w:rFonts w:eastAsia="Times New Roman"/>
              </w:rPr>
            </w:pPr>
            <w:r>
              <w:rPr>
                <w:rFonts w:eastAsia="Times New Roman"/>
                <w:b/>
                <w:bCs/>
                <w:color w:val="000000"/>
                <w:sz w:val="18"/>
                <w:szCs w:val="18"/>
              </w:rPr>
              <w:t>1,287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C35F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5EF3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BF79C7A" w14:textId="77777777" w:rsidR="00000000" w:rsidRDefault="00A173A8">
            <w:pPr>
              <w:spacing w:after="100"/>
              <w:jc w:val="right"/>
              <w:rPr>
                <w:rFonts w:eastAsia="Times New Roman"/>
              </w:rPr>
            </w:pPr>
            <w:r>
              <w:rPr>
                <w:rFonts w:eastAsia="Times New Roman"/>
                <w:b/>
                <w:bCs/>
                <w:color w:val="000000"/>
                <w:sz w:val="18"/>
                <w:szCs w:val="18"/>
              </w:rPr>
              <w:t>2,928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3AB9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4B08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54B276" w14:textId="77777777" w:rsidR="00000000" w:rsidRDefault="00A173A8">
            <w:pPr>
              <w:spacing w:after="100"/>
              <w:jc w:val="right"/>
              <w:rPr>
                <w:rFonts w:eastAsia="Times New Roman"/>
              </w:rPr>
            </w:pPr>
            <w:r>
              <w:rPr>
                <w:rFonts w:eastAsia="Times New Roman"/>
                <w:b/>
                <w:bCs/>
                <w:color w:val="000000"/>
                <w:sz w:val="18"/>
                <w:szCs w:val="18"/>
              </w:rPr>
              <w:t>120,880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44F3208" w14:textId="77777777" w:rsidR="00000000" w:rsidRDefault="00A173A8">
            <w:pPr>
              <w:spacing w:after="100"/>
              <w:jc w:val="right"/>
              <w:rPr>
                <w:rFonts w:eastAsia="Times New Roman"/>
              </w:rPr>
            </w:pPr>
          </w:p>
        </w:tc>
      </w:tr>
      <w:tr w:rsidR="00000000" w14:paraId="5CEFD0FC" w14:textId="77777777">
        <w:trPr>
          <w:divId w:val="1268349584"/>
        </w:trPr>
        <w:tc>
          <w:tcPr>
            <w:tcW w:w="0" w:type="auto"/>
            <w:gridSpan w:val="3"/>
            <w:shd w:val="clear" w:color="auto" w:fill="CCEEFF"/>
            <w:tcMar>
              <w:top w:w="30" w:type="dxa"/>
              <w:left w:w="20" w:type="dxa"/>
              <w:bottom w:w="30" w:type="dxa"/>
              <w:right w:w="20" w:type="dxa"/>
            </w:tcMar>
            <w:vAlign w:val="center"/>
            <w:hideMark/>
          </w:tcPr>
          <w:p w14:paraId="6E0444F8" w14:textId="77777777" w:rsidR="00000000" w:rsidRDefault="00A173A8">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34D6CF50"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DBF53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5B584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56B46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546D2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EC237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18A1A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FF855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AA975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7BFA4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3D7FA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5758A1" w14:textId="77777777" w:rsidR="00000000" w:rsidRDefault="00A173A8">
            <w:pPr>
              <w:spacing w:after="100"/>
              <w:rPr>
                <w:rFonts w:eastAsia="Times New Roman"/>
                <w:sz w:val="20"/>
                <w:szCs w:val="20"/>
              </w:rPr>
            </w:pPr>
          </w:p>
        </w:tc>
      </w:tr>
      <w:tr w:rsidR="00000000" w14:paraId="67D1B21B" w14:textId="77777777">
        <w:trPr>
          <w:divId w:val="1268349584"/>
        </w:trPr>
        <w:tc>
          <w:tcPr>
            <w:tcW w:w="0" w:type="auto"/>
            <w:gridSpan w:val="3"/>
            <w:shd w:val="clear" w:color="auto" w:fill="FFFFFF"/>
            <w:tcMar>
              <w:top w:w="30" w:type="dxa"/>
              <w:left w:w="245" w:type="dxa"/>
              <w:bottom w:w="30" w:type="dxa"/>
              <w:right w:w="20" w:type="dxa"/>
            </w:tcMar>
            <w:vAlign w:val="center"/>
            <w:hideMark/>
          </w:tcPr>
          <w:p w14:paraId="77312BBC" w14:textId="77777777" w:rsidR="00000000" w:rsidRDefault="00A173A8">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3467C37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BC32D03" w14:textId="77777777" w:rsidR="00000000" w:rsidRDefault="00A173A8">
            <w:pPr>
              <w:spacing w:after="100"/>
              <w:jc w:val="right"/>
              <w:rPr>
                <w:rFonts w:eastAsia="Times New Roman"/>
              </w:rPr>
            </w:pPr>
            <w:r>
              <w:rPr>
                <w:rFonts w:eastAsia="Times New Roman"/>
                <w:b/>
                <w:bCs/>
                <w:color w:val="000000"/>
                <w:sz w:val="18"/>
                <w:szCs w:val="18"/>
              </w:rPr>
              <w:t>76,030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A292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AAF6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B7EDB8" w14:textId="77777777" w:rsidR="00000000" w:rsidRDefault="00A173A8">
            <w:pPr>
              <w:spacing w:after="100"/>
              <w:jc w:val="right"/>
              <w:rPr>
                <w:rFonts w:eastAsia="Times New Roman"/>
              </w:rPr>
            </w:pPr>
            <w:r>
              <w:rPr>
                <w:rFonts w:eastAsia="Times New Roman"/>
                <w:b/>
                <w:bCs/>
                <w:color w:val="000000"/>
                <w:sz w:val="18"/>
                <w:szCs w:val="18"/>
              </w:rPr>
              <w:t>2,566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927638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1973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B31823" w14:textId="77777777" w:rsidR="00000000" w:rsidRDefault="00A173A8">
            <w:pPr>
              <w:spacing w:after="100"/>
              <w:jc w:val="right"/>
              <w:rPr>
                <w:rFonts w:eastAsia="Times New Roman"/>
              </w:rPr>
            </w:pPr>
            <w:r>
              <w:rPr>
                <w:rFonts w:eastAsia="Times New Roman"/>
                <w:b/>
                <w:bCs/>
                <w:color w:val="000000"/>
                <w:sz w:val="18"/>
                <w:szCs w:val="18"/>
              </w:rPr>
              <w:t>1,084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7B1B38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23B4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EA0EAE" w14:textId="77777777" w:rsidR="00000000" w:rsidRDefault="00A173A8">
            <w:pPr>
              <w:spacing w:after="100"/>
              <w:jc w:val="right"/>
              <w:rPr>
                <w:rFonts w:eastAsia="Times New Roman"/>
              </w:rPr>
            </w:pPr>
            <w:r>
              <w:rPr>
                <w:rFonts w:eastAsia="Times New Roman"/>
                <w:b/>
                <w:bCs/>
                <w:color w:val="000000"/>
                <w:sz w:val="18"/>
                <w:szCs w:val="18"/>
              </w:rPr>
              <w:t>246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841FFE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320D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0F2BAC" w14:textId="77777777" w:rsidR="00000000" w:rsidRDefault="00A173A8">
            <w:pPr>
              <w:spacing w:after="100"/>
              <w:jc w:val="right"/>
              <w:rPr>
                <w:rFonts w:eastAsia="Times New Roman"/>
              </w:rPr>
            </w:pPr>
            <w:r>
              <w:rPr>
                <w:rFonts w:eastAsia="Times New Roman"/>
                <w:b/>
                <w:bCs/>
                <w:color w:val="000000"/>
                <w:sz w:val="18"/>
                <w:szCs w:val="18"/>
              </w:rPr>
              <w:t>3,896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70B4A5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FB1F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CB19B6" w14:textId="77777777" w:rsidR="00000000" w:rsidRDefault="00A173A8">
            <w:pPr>
              <w:spacing w:after="100"/>
              <w:jc w:val="right"/>
              <w:rPr>
                <w:rFonts w:eastAsia="Times New Roman"/>
              </w:rPr>
            </w:pPr>
            <w:r>
              <w:rPr>
                <w:rFonts w:eastAsia="Times New Roman"/>
                <w:b/>
                <w:bCs/>
                <w:color w:val="000000"/>
                <w:sz w:val="18"/>
                <w:szCs w:val="18"/>
              </w:rPr>
              <w:t>79,926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9A631D0" w14:textId="77777777" w:rsidR="00000000" w:rsidRDefault="00A173A8">
            <w:pPr>
              <w:spacing w:after="100"/>
              <w:jc w:val="right"/>
              <w:rPr>
                <w:rFonts w:eastAsia="Times New Roman"/>
              </w:rPr>
            </w:pPr>
          </w:p>
        </w:tc>
      </w:tr>
      <w:tr w:rsidR="00000000" w14:paraId="23A1777E" w14:textId="77777777">
        <w:trPr>
          <w:divId w:val="1268349584"/>
        </w:trPr>
        <w:tc>
          <w:tcPr>
            <w:tcW w:w="0" w:type="auto"/>
            <w:gridSpan w:val="3"/>
            <w:shd w:val="clear" w:color="auto" w:fill="CCEEFF"/>
            <w:tcMar>
              <w:top w:w="30" w:type="dxa"/>
              <w:left w:w="245" w:type="dxa"/>
              <w:bottom w:w="30" w:type="dxa"/>
              <w:right w:w="20" w:type="dxa"/>
            </w:tcMar>
            <w:vAlign w:val="center"/>
            <w:hideMark/>
          </w:tcPr>
          <w:p w14:paraId="72AAA2D4" w14:textId="77777777" w:rsidR="00000000" w:rsidRDefault="00A173A8">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173583D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B10C85E" w14:textId="77777777" w:rsidR="00000000" w:rsidRDefault="00A173A8">
            <w:pPr>
              <w:spacing w:after="100"/>
              <w:jc w:val="right"/>
              <w:rPr>
                <w:rFonts w:eastAsia="Times New Roman"/>
              </w:rPr>
            </w:pPr>
            <w:r>
              <w:rPr>
                <w:rFonts w:eastAsia="Times New Roman"/>
                <w:b/>
                <w:bCs/>
                <w:color w:val="000000"/>
                <w:sz w:val="18"/>
                <w:szCs w:val="18"/>
              </w:rPr>
              <w:t>1,576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DE3AD7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3919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C7621E0" w14:textId="77777777" w:rsidR="00000000" w:rsidRDefault="00A173A8">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AFE998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442A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8D06FC"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51CBF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0B659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45A3BA" w14:textId="77777777" w:rsidR="00000000" w:rsidRDefault="00A173A8">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FA70E2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6EA7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EE0AE9" w14:textId="77777777" w:rsidR="00000000" w:rsidRDefault="00A173A8">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25562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6D0E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696411" w14:textId="77777777" w:rsidR="00000000" w:rsidRDefault="00A173A8">
            <w:pPr>
              <w:spacing w:after="100"/>
              <w:jc w:val="right"/>
              <w:rPr>
                <w:rFonts w:eastAsia="Times New Roman"/>
              </w:rPr>
            </w:pPr>
            <w:r>
              <w:rPr>
                <w:rFonts w:eastAsia="Times New Roman"/>
                <w:b/>
                <w:bCs/>
                <w:color w:val="000000"/>
                <w:sz w:val="18"/>
                <w:szCs w:val="18"/>
              </w:rPr>
              <w:t>1,605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830CFD2" w14:textId="77777777" w:rsidR="00000000" w:rsidRDefault="00A173A8">
            <w:pPr>
              <w:spacing w:after="100"/>
              <w:jc w:val="right"/>
              <w:rPr>
                <w:rFonts w:eastAsia="Times New Roman"/>
              </w:rPr>
            </w:pPr>
          </w:p>
        </w:tc>
      </w:tr>
      <w:tr w:rsidR="00000000" w14:paraId="7B54850A" w14:textId="77777777">
        <w:trPr>
          <w:divId w:val="1268349584"/>
        </w:trPr>
        <w:tc>
          <w:tcPr>
            <w:tcW w:w="0" w:type="auto"/>
            <w:gridSpan w:val="3"/>
            <w:shd w:val="clear" w:color="auto" w:fill="FFFFFF"/>
            <w:tcMar>
              <w:top w:w="30" w:type="dxa"/>
              <w:left w:w="20" w:type="dxa"/>
              <w:bottom w:w="30" w:type="dxa"/>
              <w:right w:w="20" w:type="dxa"/>
            </w:tcMar>
            <w:vAlign w:val="center"/>
            <w:hideMark/>
          </w:tcPr>
          <w:p w14:paraId="0471EC34" w14:textId="77777777" w:rsidR="00000000" w:rsidRDefault="00A173A8">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217F28AF"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6489858" w14:textId="77777777" w:rsidR="00000000" w:rsidRDefault="00A173A8">
            <w:pPr>
              <w:spacing w:after="100"/>
              <w:jc w:val="right"/>
              <w:rPr>
                <w:rFonts w:eastAsia="Times New Roman"/>
              </w:rPr>
            </w:pPr>
            <w:r>
              <w:rPr>
                <w:rFonts w:eastAsia="Times New Roman"/>
                <w:b/>
                <w:bCs/>
                <w:color w:val="000000"/>
                <w:sz w:val="18"/>
                <w:szCs w:val="18"/>
              </w:rPr>
              <w:t>77,606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A09287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2DF9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283C5B" w14:textId="77777777" w:rsidR="00000000" w:rsidRDefault="00A173A8">
            <w:pPr>
              <w:spacing w:after="100"/>
              <w:jc w:val="right"/>
              <w:rPr>
                <w:rFonts w:eastAsia="Times New Roman"/>
              </w:rPr>
            </w:pPr>
            <w:r>
              <w:rPr>
                <w:rFonts w:eastAsia="Times New Roman"/>
                <w:b/>
                <w:bCs/>
                <w:color w:val="000000"/>
                <w:sz w:val="18"/>
                <w:szCs w:val="18"/>
              </w:rPr>
              <w:t>2,576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A0581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60F6F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6EF8F43" w14:textId="77777777" w:rsidR="00000000" w:rsidRDefault="00A173A8">
            <w:pPr>
              <w:spacing w:after="100"/>
              <w:jc w:val="right"/>
              <w:rPr>
                <w:rFonts w:eastAsia="Times New Roman"/>
              </w:rPr>
            </w:pPr>
            <w:r>
              <w:rPr>
                <w:rFonts w:eastAsia="Times New Roman"/>
                <w:b/>
                <w:bCs/>
                <w:color w:val="000000"/>
                <w:sz w:val="18"/>
                <w:szCs w:val="18"/>
              </w:rPr>
              <w:t>1,085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F57F1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F246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B367F2" w14:textId="77777777" w:rsidR="00000000" w:rsidRDefault="00A173A8">
            <w:pPr>
              <w:spacing w:after="100"/>
              <w:jc w:val="right"/>
              <w:rPr>
                <w:rFonts w:eastAsia="Times New Roman"/>
              </w:rPr>
            </w:pPr>
            <w:r>
              <w:rPr>
                <w:rFonts w:eastAsia="Times New Roman"/>
                <w:b/>
                <w:bCs/>
                <w:color w:val="000000"/>
                <w:sz w:val="18"/>
                <w:szCs w:val="18"/>
              </w:rPr>
              <w:t>264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1A766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0341A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FAE608" w14:textId="77777777" w:rsidR="00000000" w:rsidRDefault="00A173A8">
            <w:pPr>
              <w:spacing w:after="100"/>
              <w:jc w:val="right"/>
              <w:rPr>
                <w:rFonts w:eastAsia="Times New Roman"/>
              </w:rPr>
            </w:pPr>
            <w:r>
              <w:rPr>
                <w:rFonts w:eastAsia="Times New Roman"/>
                <w:b/>
                <w:bCs/>
                <w:color w:val="000000"/>
                <w:sz w:val="18"/>
                <w:szCs w:val="18"/>
              </w:rPr>
              <w:t>3,925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D57A17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B177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12129DF" w14:textId="77777777" w:rsidR="00000000" w:rsidRDefault="00A173A8">
            <w:pPr>
              <w:spacing w:after="100"/>
              <w:jc w:val="right"/>
              <w:rPr>
                <w:rFonts w:eastAsia="Times New Roman"/>
              </w:rPr>
            </w:pPr>
            <w:r>
              <w:rPr>
                <w:rFonts w:eastAsia="Times New Roman"/>
                <w:b/>
                <w:bCs/>
                <w:color w:val="000000"/>
                <w:sz w:val="18"/>
                <w:szCs w:val="18"/>
              </w:rPr>
              <w:t>81,531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0501578" w14:textId="77777777" w:rsidR="00000000" w:rsidRDefault="00A173A8">
            <w:pPr>
              <w:spacing w:after="100"/>
              <w:jc w:val="right"/>
              <w:rPr>
                <w:rFonts w:eastAsia="Times New Roman"/>
              </w:rPr>
            </w:pPr>
          </w:p>
        </w:tc>
      </w:tr>
      <w:tr w:rsidR="00000000" w14:paraId="5491E716" w14:textId="77777777">
        <w:trPr>
          <w:divId w:val="1268349584"/>
        </w:trPr>
        <w:tc>
          <w:tcPr>
            <w:tcW w:w="0" w:type="auto"/>
            <w:gridSpan w:val="3"/>
            <w:shd w:val="clear" w:color="auto" w:fill="CCEEFF"/>
            <w:tcMar>
              <w:top w:w="30" w:type="dxa"/>
              <w:left w:w="20" w:type="dxa"/>
              <w:bottom w:w="30" w:type="dxa"/>
              <w:right w:w="20" w:type="dxa"/>
            </w:tcMar>
            <w:vAlign w:val="center"/>
            <w:hideMark/>
          </w:tcPr>
          <w:p w14:paraId="7480D8C6" w14:textId="77777777" w:rsidR="00000000" w:rsidRDefault="00A173A8">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0E0925C9"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FB3B4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1CFF0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70CE9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34EC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E1F7C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EBF5D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443EA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24B14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B219D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95D1D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9F7680" w14:textId="77777777" w:rsidR="00000000" w:rsidRDefault="00A173A8">
            <w:pPr>
              <w:spacing w:after="100"/>
              <w:rPr>
                <w:rFonts w:eastAsia="Times New Roman"/>
                <w:sz w:val="20"/>
                <w:szCs w:val="20"/>
              </w:rPr>
            </w:pPr>
          </w:p>
        </w:tc>
      </w:tr>
      <w:tr w:rsidR="00000000" w14:paraId="34151178" w14:textId="77777777">
        <w:trPr>
          <w:divId w:val="1268349584"/>
        </w:trPr>
        <w:tc>
          <w:tcPr>
            <w:tcW w:w="0" w:type="auto"/>
            <w:gridSpan w:val="3"/>
            <w:shd w:val="clear" w:color="auto" w:fill="FFFFFF"/>
            <w:tcMar>
              <w:top w:w="30" w:type="dxa"/>
              <w:left w:w="245" w:type="dxa"/>
              <w:bottom w:w="30" w:type="dxa"/>
              <w:right w:w="20" w:type="dxa"/>
            </w:tcMar>
            <w:vAlign w:val="center"/>
            <w:hideMark/>
          </w:tcPr>
          <w:p w14:paraId="7C5B27FB" w14:textId="77777777" w:rsidR="00000000" w:rsidRDefault="00A173A8">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5019C51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AAD568" w14:textId="77777777" w:rsidR="00000000" w:rsidRDefault="00A173A8">
            <w:pPr>
              <w:spacing w:after="100"/>
              <w:jc w:val="right"/>
              <w:rPr>
                <w:rFonts w:eastAsia="Times New Roman"/>
              </w:rPr>
            </w:pPr>
            <w:r>
              <w:rPr>
                <w:rFonts w:eastAsia="Times New Roman"/>
                <w:b/>
                <w:bCs/>
                <w:color w:val="000000"/>
                <w:sz w:val="18"/>
                <w:szCs w:val="18"/>
              </w:rPr>
              <w:t>37,507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C9A64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D1E8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88087D" w14:textId="77777777" w:rsidR="00000000" w:rsidRDefault="00A173A8">
            <w:pPr>
              <w:spacing w:after="100"/>
              <w:jc w:val="right"/>
              <w:rPr>
                <w:rFonts w:eastAsia="Times New Roman"/>
              </w:rPr>
            </w:pPr>
            <w:r>
              <w:rPr>
                <w:rFonts w:eastAsia="Times New Roman"/>
                <w:b/>
                <w:bCs/>
                <w:color w:val="000000"/>
                <w:sz w:val="18"/>
                <w:szCs w:val="18"/>
              </w:rPr>
              <w:t>212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FBA842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6C460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C73212" w14:textId="77777777" w:rsidR="00000000" w:rsidRDefault="00A173A8">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D8808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C6B5E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3D0BA6" w14:textId="77777777" w:rsidR="00000000" w:rsidRDefault="00A173A8">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BF4CA1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F934E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6EB736" w14:textId="77777777" w:rsidR="00000000" w:rsidRDefault="00A173A8">
            <w:pPr>
              <w:spacing w:after="100"/>
              <w:jc w:val="right"/>
              <w:rPr>
                <w:rFonts w:eastAsia="Times New Roman"/>
              </w:rPr>
            </w:pPr>
            <w:r>
              <w:rPr>
                <w:rFonts w:eastAsia="Times New Roman"/>
                <w:b/>
                <w:bCs/>
                <w:color w:val="000000"/>
                <w:sz w:val="18"/>
                <w:szCs w:val="18"/>
              </w:rPr>
              <w:t>338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778F2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B7A7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5558DB" w14:textId="77777777" w:rsidR="00000000" w:rsidRDefault="00A173A8">
            <w:pPr>
              <w:spacing w:after="100"/>
              <w:jc w:val="right"/>
              <w:rPr>
                <w:rFonts w:eastAsia="Times New Roman"/>
              </w:rPr>
            </w:pPr>
            <w:r>
              <w:rPr>
                <w:rFonts w:eastAsia="Times New Roman"/>
                <w:b/>
                <w:bCs/>
                <w:color w:val="000000"/>
                <w:sz w:val="18"/>
                <w:szCs w:val="18"/>
              </w:rPr>
              <w:t>37,845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E3EA38D" w14:textId="77777777" w:rsidR="00000000" w:rsidRDefault="00A173A8">
            <w:pPr>
              <w:spacing w:after="100"/>
              <w:jc w:val="right"/>
              <w:rPr>
                <w:rFonts w:eastAsia="Times New Roman"/>
              </w:rPr>
            </w:pPr>
          </w:p>
        </w:tc>
      </w:tr>
      <w:tr w:rsidR="00000000" w14:paraId="6D7E44C4" w14:textId="77777777">
        <w:trPr>
          <w:divId w:val="1268349584"/>
        </w:trPr>
        <w:tc>
          <w:tcPr>
            <w:tcW w:w="0" w:type="auto"/>
            <w:gridSpan w:val="3"/>
            <w:shd w:val="clear" w:color="auto" w:fill="CCEEFF"/>
            <w:tcMar>
              <w:top w:w="30" w:type="dxa"/>
              <w:left w:w="245" w:type="dxa"/>
              <w:bottom w:w="30" w:type="dxa"/>
              <w:right w:w="20" w:type="dxa"/>
            </w:tcMar>
            <w:vAlign w:val="center"/>
            <w:hideMark/>
          </w:tcPr>
          <w:p w14:paraId="274BF9BE" w14:textId="77777777" w:rsidR="00000000" w:rsidRDefault="00A173A8">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28B8BD0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2376DB5" w14:textId="77777777" w:rsidR="00000000" w:rsidRDefault="00A173A8">
            <w:pPr>
              <w:spacing w:after="100"/>
              <w:jc w:val="right"/>
              <w:rPr>
                <w:rFonts w:eastAsia="Times New Roman"/>
              </w:rPr>
            </w:pPr>
            <w:r>
              <w:rPr>
                <w:rFonts w:eastAsia="Times New Roman"/>
                <w:b/>
                <w:bCs/>
                <w:color w:val="000000"/>
                <w:sz w:val="18"/>
                <w:szCs w:val="18"/>
              </w:rPr>
              <w:t>55,780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378A8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B5D8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9F689F" w14:textId="77777777" w:rsidR="00000000" w:rsidRDefault="00A173A8">
            <w:pPr>
              <w:spacing w:after="100"/>
              <w:jc w:val="right"/>
              <w:rPr>
                <w:rFonts w:eastAsia="Times New Roman"/>
              </w:rPr>
            </w:pPr>
            <w:r>
              <w:rPr>
                <w:rFonts w:eastAsia="Times New Roman"/>
                <w:b/>
                <w:bCs/>
                <w:color w:val="000000"/>
                <w:sz w:val="18"/>
                <w:szCs w:val="18"/>
              </w:rPr>
              <w:t>225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67D632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52466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64D3B0" w14:textId="77777777" w:rsidR="00000000" w:rsidRDefault="00A173A8">
            <w:pPr>
              <w:spacing w:after="100"/>
              <w:jc w:val="right"/>
              <w:rPr>
                <w:rFonts w:eastAsia="Times New Roman"/>
              </w:rPr>
            </w:pPr>
            <w:r>
              <w:rPr>
                <w:rFonts w:eastAsia="Times New Roman"/>
                <w:b/>
                <w:bCs/>
                <w:color w:val="000000"/>
                <w:sz w:val="18"/>
                <w:szCs w:val="18"/>
              </w:rPr>
              <w:t>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519C5B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369A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B8BDE0" w14:textId="77777777" w:rsidR="00000000" w:rsidRDefault="00A173A8">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959198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356A9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482509" w14:textId="77777777" w:rsidR="00000000" w:rsidRDefault="00A173A8">
            <w:pPr>
              <w:spacing w:after="100"/>
              <w:jc w:val="right"/>
              <w:rPr>
                <w:rFonts w:eastAsia="Times New Roman"/>
              </w:rPr>
            </w:pPr>
            <w:r>
              <w:rPr>
                <w:rFonts w:eastAsia="Times New Roman"/>
                <w:b/>
                <w:bCs/>
                <w:color w:val="000000"/>
                <w:sz w:val="18"/>
                <w:szCs w:val="18"/>
              </w:rPr>
              <w:t>348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0C1AAD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C44C3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AC4D04" w14:textId="77777777" w:rsidR="00000000" w:rsidRDefault="00A173A8">
            <w:pPr>
              <w:spacing w:after="100"/>
              <w:jc w:val="right"/>
              <w:rPr>
                <w:rFonts w:eastAsia="Times New Roman"/>
              </w:rPr>
            </w:pPr>
            <w:r>
              <w:rPr>
                <w:rFonts w:eastAsia="Times New Roman"/>
                <w:b/>
                <w:bCs/>
                <w:color w:val="000000"/>
                <w:sz w:val="18"/>
                <w:szCs w:val="18"/>
              </w:rPr>
              <w:t>56,128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138266" w14:textId="77777777" w:rsidR="00000000" w:rsidRDefault="00A173A8">
            <w:pPr>
              <w:spacing w:after="100"/>
              <w:jc w:val="right"/>
              <w:rPr>
                <w:rFonts w:eastAsia="Times New Roman"/>
              </w:rPr>
            </w:pPr>
          </w:p>
        </w:tc>
      </w:tr>
      <w:tr w:rsidR="00000000" w14:paraId="45AA67E7" w14:textId="77777777">
        <w:trPr>
          <w:divId w:val="1268349584"/>
        </w:trPr>
        <w:tc>
          <w:tcPr>
            <w:tcW w:w="0" w:type="auto"/>
            <w:gridSpan w:val="3"/>
            <w:shd w:val="clear" w:color="auto" w:fill="FFFFFF"/>
            <w:tcMar>
              <w:top w:w="30" w:type="dxa"/>
              <w:left w:w="20" w:type="dxa"/>
              <w:bottom w:w="30" w:type="dxa"/>
              <w:right w:w="20" w:type="dxa"/>
            </w:tcMar>
            <w:vAlign w:val="center"/>
            <w:hideMark/>
          </w:tcPr>
          <w:p w14:paraId="2020F882" w14:textId="77777777" w:rsidR="00000000" w:rsidRDefault="00A173A8">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2BEA5CE2"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FA12C8" w14:textId="77777777" w:rsidR="00000000" w:rsidRDefault="00A173A8">
            <w:pPr>
              <w:spacing w:after="100"/>
              <w:jc w:val="right"/>
              <w:rPr>
                <w:rFonts w:eastAsia="Times New Roman"/>
              </w:rPr>
            </w:pPr>
            <w:r>
              <w:rPr>
                <w:rFonts w:eastAsia="Times New Roman"/>
                <w:b/>
                <w:bCs/>
                <w:color w:val="000000"/>
                <w:sz w:val="18"/>
                <w:szCs w:val="18"/>
              </w:rPr>
              <w:t>93,287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CAF63D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5F92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8378DF" w14:textId="77777777" w:rsidR="00000000" w:rsidRDefault="00A173A8">
            <w:pPr>
              <w:spacing w:after="100"/>
              <w:jc w:val="right"/>
              <w:rPr>
                <w:rFonts w:eastAsia="Times New Roman"/>
              </w:rPr>
            </w:pPr>
            <w:r>
              <w:rPr>
                <w:rFonts w:eastAsia="Times New Roman"/>
                <w:b/>
                <w:bCs/>
                <w:color w:val="000000"/>
                <w:sz w:val="18"/>
                <w:szCs w:val="18"/>
              </w:rPr>
              <w:t>437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9C0F5F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85DB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81F3727" w14:textId="77777777" w:rsidR="00000000" w:rsidRDefault="00A173A8">
            <w:pPr>
              <w:spacing w:after="100"/>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93A3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F6C7B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57BF38" w14:textId="77777777" w:rsidR="00000000" w:rsidRDefault="00A173A8">
            <w:pPr>
              <w:spacing w:after="100"/>
              <w:jc w:val="right"/>
              <w:rPr>
                <w:rFonts w:eastAsia="Times New Roman"/>
              </w:rPr>
            </w:pPr>
            <w:r>
              <w:rPr>
                <w:rFonts w:eastAsia="Times New Roman"/>
                <w:b/>
                <w:bCs/>
                <w:color w:val="000000"/>
                <w:sz w:val="18"/>
                <w:szCs w:val="18"/>
              </w:rPr>
              <w:t>135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94FB31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65AD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027A9A4" w14:textId="77777777" w:rsidR="00000000" w:rsidRDefault="00A173A8">
            <w:pPr>
              <w:spacing w:after="100"/>
              <w:jc w:val="right"/>
              <w:rPr>
                <w:rFonts w:eastAsia="Times New Roman"/>
              </w:rPr>
            </w:pPr>
            <w:r>
              <w:rPr>
                <w:rFonts w:eastAsia="Times New Roman"/>
                <w:b/>
                <w:bCs/>
                <w:color w:val="000000"/>
                <w:sz w:val="18"/>
                <w:szCs w:val="18"/>
              </w:rPr>
              <w:t>686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A3F9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9E05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AE00806" w14:textId="77777777" w:rsidR="00000000" w:rsidRDefault="00A173A8">
            <w:pPr>
              <w:spacing w:after="100"/>
              <w:jc w:val="right"/>
              <w:rPr>
                <w:rFonts w:eastAsia="Times New Roman"/>
              </w:rPr>
            </w:pPr>
            <w:r>
              <w:rPr>
                <w:rFonts w:eastAsia="Times New Roman"/>
                <w:b/>
                <w:bCs/>
                <w:color w:val="000000"/>
                <w:sz w:val="18"/>
                <w:szCs w:val="18"/>
              </w:rPr>
              <w:t>93,973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A0C4CB" w14:textId="77777777" w:rsidR="00000000" w:rsidRDefault="00A173A8">
            <w:pPr>
              <w:spacing w:after="100"/>
              <w:jc w:val="right"/>
              <w:rPr>
                <w:rFonts w:eastAsia="Times New Roman"/>
              </w:rPr>
            </w:pPr>
          </w:p>
        </w:tc>
      </w:tr>
      <w:tr w:rsidR="00000000" w14:paraId="72A5FBAD" w14:textId="77777777">
        <w:trPr>
          <w:divId w:val="1268349584"/>
        </w:trPr>
        <w:tc>
          <w:tcPr>
            <w:tcW w:w="0" w:type="auto"/>
            <w:gridSpan w:val="3"/>
            <w:shd w:val="clear" w:color="auto" w:fill="CCEEFF"/>
            <w:tcMar>
              <w:top w:w="30" w:type="dxa"/>
              <w:left w:w="20" w:type="dxa"/>
              <w:bottom w:w="30" w:type="dxa"/>
              <w:right w:w="20" w:type="dxa"/>
            </w:tcMar>
            <w:vAlign w:val="center"/>
            <w:hideMark/>
          </w:tcPr>
          <w:p w14:paraId="3560DFB0" w14:textId="77777777" w:rsidR="00000000" w:rsidRDefault="00A173A8">
            <w:pPr>
              <w:spacing w:after="100"/>
              <w:divId w:val="10301231"/>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0722373"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5C6DBAE"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8E66114" w14:textId="77777777" w:rsidR="00000000" w:rsidRDefault="00A173A8">
            <w:pPr>
              <w:spacing w:after="100"/>
              <w:jc w:val="right"/>
              <w:rPr>
                <w:rFonts w:eastAsia="Times New Roman"/>
              </w:rPr>
            </w:pPr>
            <w:r>
              <w:rPr>
                <w:rFonts w:eastAsia="Times New Roman"/>
                <w:b/>
                <w:bCs/>
                <w:color w:val="000000"/>
                <w:sz w:val="18"/>
                <w:szCs w:val="18"/>
              </w:rPr>
              <w:t>288,845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26FE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FA37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AFE06DC"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E59F37A" w14:textId="77777777" w:rsidR="00000000" w:rsidRDefault="00A173A8">
            <w:pPr>
              <w:spacing w:after="100"/>
              <w:jc w:val="right"/>
              <w:rPr>
                <w:rFonts w:eastAsia="Times New Roman"/>
              </w:rPr>
            </w:pPr>
            <w:r>
              <w:rPr>
                <w:rFonts w:eastAsia="Times New Roman"/>
                <w:b/>
                <w:bCs/>
                <w:color w:val="000000"/>
                <w:sz w:val="18"/>
                <w:szCs w:val="18"/>
              </w:rPr>
              <w:t>3,991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DE42B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B27DEA"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295312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08B9961" w14:textId="77777777" w:rsidR="00000000" w:rsidRDefault="00A173A8">
            <w:pPr>
              <w:spacing w:after="100"/>
              <w:jc w:val="right"/>
              <w:rPr>
                <w:rFonts w:eastAsia="Times New Roman"/>
              </w:rPr>
            </w:pPr>
            <w:r>
              <w:rPr>
                <w:rFonts w:eastAsia="Times New Roman"/>
                <w:b/>
                <w:bCs/>
                <w:color w:val="000000"/>
                <w:sz w:val="18"/>
                <w:szCs w:val="18"/>
              </w:rPr>
              <w:t>1,862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8813E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F591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3BA4DC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D45C300" w14:textId="77777777" w:rsidR="00000000" w:rsidRDefault="00A173A8">
            <w:pPr>
              <w:spacing w:after="100"/>
              <w:jc w:val="right"/>
              <w:rPr>
                <w:rFonts w:eastAsia="Times New Roman"/>
              </w:rPr>
            </w:pPr>
            <w:r>
              <w:rPr>
                <w:rFonts w:eastAsia="Times New Roman"/>
                <w:b/>
                <w:bCs/>
                <w:color w:val="000000"/>
                <w:sz w:val="18"/>
                <w:szCs w:val="18"/>
              </w:rPr>
              <w:t>1,686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56A1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7F48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AED815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486CDD4" w14:textId="77777777" w:rsidR="00000000" w:rsidRDefault="00A173A8">
            <w:pPr>
              <w:spacing w:after="100"/>
              <w:jc w:val="right"/>
              <w:rPr>
                <w:rFonts w:eastAsia="Times New Roman"/>
              </w:rPr>
            </w:pPr>
            <w:r>
              <w:rPr>
                <w:rFonts w:eastAsia="Times New Roman"/>
                <w:b/>
                <w:bCs/>
                <w:color w:val="000000"/>
                <w:sz w:val="18"/>
                <w:szCs w:val="18"/>
              </w:rPr>
              <w:t>7,539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9309D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D766A"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9E49D4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2724BF6" w14:textId="77777777" w:rsidR="00000000" w:rsidRDefault="00A173A8">
            <w:pPr>
              <w:spacing w:after="100"/>
              <w:jc w:val="right"/>
              <w:rPr>
                <w:rFonts w:eastAsia="Times New Roman"/>
              </w:rPr>
            </w:pPr>
            <w:r>
              <w:rPr>
                <w:rFonts w:eastAsia="Times New Roman"/>
                <w:b/>
                <w:bCs/>
                <w:color w:val="000000"/>
                <w:sz w:val="18"/>
                <w:szCs w:val="18"/>
              </w:rPr>
              <w:t>296,384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5D90BCA" w14:textId="77777777" w:rsidR="00000000" w:rsidRDefault="00A173A8">
            <w:pPr>
              <w:spacing w:after="100"/>
              <w:jc w:val="right"/>
              <w:rPr>
                <w:rFonts w:eastAsia="Times New Roman"/>
              </w:rPr>
            </w:pPr>
          </w:p>
        </w:tc>
      </w:tr>
      <w:tr w:rsidR="00000000" w14:paraId="316783A8" w14:textId="77777777">
        <w:trPr>
          <w:divId w:val="1268349584"/>
        </w:trPr>
        <w:tc>
          <w:tcPr>
            <w:tcW w:w="0" w:type="auto"/>
            <w:gridSpan w:val="3"/>
            <w:shd w:val="clear" w:color="auto" w:fill="FFFFFF"/>
            <w:tcMar>
              <w:top w:w="30" w:type="dxa"/>
              <w:left w:w="20" w:type="dxa"/>
              <w:bottom w:w="30" w:type="dxa"/>
              <w:right w:w="20" w:type="dxa"/>
            </w:tcMar>
            <w:vAlign w:val="center"/>
            <w:hideMark/>
          </w:tcPr>
          <w:p w14:paraId="64B51DFF" w14:textId="77777777" w:rsidR="00000000" w:rsidRDefault="00A173A8">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14:paraId="134CAD1C" w14:textId="77777777" w:rsidR="00000000" w:rsidRDefault="00A173A8">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F99CD1B" w14:textId="77777777" w:rsidR="00000000" w:rsidRDefault="00A173A8">
            <w:pPr>
              <w:spacing w:after="100"/>
              <w:jc w:val="right"/>
              <w:rPr>
                <w:rFonts w:eastAsia="Times New Roman"/>
              </w:rPr>
            </w:pPr>
            <w:r>
              <w:rPr>
                <w:rFonts w:eastAsia="Times New Roman"/>
                <w:b/>
                <w:bCs/>
                <w:color w:val="000000"/>
                <w:sz w:val="18"/>
                <w:szCs w:val="18"/>
              </w:rPr>
              <w:t>97.46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4A5E7F04"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63BA02F"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587CFBD9" w14:textId="77777777" w:rsidR="00000000" w:rsidRDefault="00A173A8">
            <w:pPr>
              <w:spacing w:after="100"/>
              <w:jc w:val="right"/>
              <w:rPr>
                <w:rFonts w:eastAsia="Times New Roman"/>
              </w:rPr>
            </w:pPr>
            <w:r>
              <w:rPr>
                <w:rFonts w:eastAsia="Times New Roman"/>
                <w:b/>
                <w:bCs/>
                <w:color w:val="000000"/>
                <w:sz w:val="18"/>
                <w:szCs w:val="18"/>
              </w:rPr>
              <w:t>1.34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4DD68654"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9EC1DD5"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32413BA3" w14:textId="77777777" w:rsidR="00000000" w:rsidRDefault="00A173A8">
            <w:pPr>
              <w:spacing w:after="100"/>
              <w:jc w:val="right"/>
              <w:rPr>
                <w:rFonts w:eastAsia="Times New Roman"/>
              </w:rPr>
            </w:pPr>
            <w:r>
              <w:rPr>
                <w:rFonts w:eastAsia="Times New Roman"/>
                <w:b/>
                <w:bCs/>
                <w:color w:val="000000"/>
                <w:sz w:val="18"/>
                <w:szCs w:val="18"/>
              </w:rPr>
              <w:t>0.63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0B99AC18"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16BB9F6"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3CC9D069" w14:textId="77777777" w:rsidR="00000000" w:rsidRDefault="00A173A8">
            <w:pPr>
              <w:spacing w:after="100"/>
              <w:jc w:val="right"/>
              <w:rPr>
                <w:rFonts w:eastAsia="Times New Roman"/>
              </w:rPr>
            </w:pPr>
            <w:r>
              <w:rPr>
                <w:rFonts w:eastAsia="Times New Roman"/>
                <w:b/>
                <w:bCs/>
                <w:color w:val="000000"/>
                <w:sz w:val="18"/>
                <w:szCs w:val="18"/>
              </w:rPr>
              <w:t>0.57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254D0EE8"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841AE0E"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2ABF0569" w14:textId="77777777" w:rsidR="00000000" w:rsidRDefault="00A173A8">
            <w:pPr>
              <w:spacing w:after="100"/>
              <w:jc w:val="right"/>
              <w:rPr>
                <w:rFonts w:eastAsia="Times New Roman"/>
              </w:rPr>
            </w:pPr>
            <w:r>
              <w:rPr>
                <w:rFonts w:eastAsia="Times New Roman"/>
                <w:b/>
                <w:bCs/>
                <w:color w:val="000000"/>
                <w:sz w:val="18"/>
                <w:szCs w:val="18"/>
              </w:rPr>
              <w:t>2.54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7D3F5B11"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29597C9"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3FECB031" w14:textId="77777777" w:rsidR="00000000" w:rsidRDefault="00A173A8">
            <w:pPr>
              <w:spacing w:after="100"/>
              <w:jc w:val="right"/>
              <w:rPr>
                <w:rFonts w:eastAsia="Times New Roman"/>
              </w:rPr>
            </w:pPr>
            <w:r>
              <w:rPr>
                <w:rFonts w:eastAsia="Times New Roman"/>
                <w:b/>
                <w:bCs/>
                <w:color w:val="000000"/>
                <w:sz w:val="18"/>
                <w:szCs w:val="18"/>
              </w:rPr>
              <w:t>100.00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76302E27" w14:textId="77777777" w:rsidR="00000000" w:rsidRDefault="00A173A8">
            <w:pPr>
              <w:spacing w:after="100"/>
              <w:jc w:val="right"/>
              <w:rPr>
                <w:rFonts w:eastAsia="Times New Roman"/>
              </w:rPr>
            </w:pPr>
            <w:r>
              <w:rPr>
                <w:rFonts w:eastAsia="Times New Roman"/>
                <w:b/>
                <w:bCs/>
                <w:color w:val="000000"/>
                <w:sz w:val="18"/>
                <w:szCs w:val="18"/>
              </w:rPr>
              <w:t>%</w:t>
            </w:r>
          </w:p>
        </w:tc>
      </w:tr>
    </w:tbl>
    <w:p w14:paraId="6B3296AD" w14:textId="77777777" w:rsidR="00000000" w:rsidRDefault="00A173A8">
      <w:pPr>
        <w:divId w:val="126834958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477"/>
        <w:gridCol w:w="38"/>
        <w:gridCol w:w="36"/>
        <w:gridCol w:w="36"/>
        <w:gridCol w:w="36"/>
        <w:gridCol w:w="110"/>
        <w:gridCol w:w="776"/>
        <w:gridCol w:w="36"/>
        <w:gridCol w:w="36"/>
        <w:gridCol w:w="36"/>
        <w:gridCol w:w="36"/>
        <w:gridCol w:w="111"/>
        <w:gridCol w:w="630"/>
        <w:gridCol w:w="36"/>
        <w:gridCol w:w="36"/>
        <w:gridCol w:w="36"/>
        <w:gridCol w:w="36"/>
        <w:gridCol w:w="110"/>
        <w:gridCol w:w="632"/>
        <w:gridCol w:w="36"/>
        <w:gridCol w:w="36"/>
        <w:gridCol w:w="36"/>
        <w:gridCol w:w="36"/>
        <w:gridCol w:w="110"/>
        <w:gridCol w:w="632"/>
        <w:gridCol w:w="36"/>
        <w:gridCol w:w="36"/>
        <w:gridCol w:w="36"/>
        <w:gridCol w:w="36"/>
        <w:gridCol w:w="111"/>
        <w:gridCol w:w="778"/>
        <w:gridCol w:w="36"/>
        <w:gridCol w:w="36"/>
        <w:gridCol w:w="36"/>
        <w:gridCol w:w="36"/>
        <w:gridCol w:w="110"/>
        <w:gridCol w:w="778"/>
        <w:gridCol w:w="36"/>
      </w:tblGrid>
      <w:tr w:rsidR="00000000" w14:paraId="27C093B2" w14:textId="77777777">
        <w:trPr>
          <w:divId w:val="1268349584"/>
        </w:trPr>
        <w:tc>
          <w:tcPr>
            <w:tcW w:w="50" w:type="pct"/>
            <w:vAlign w:val="center"/>
            <w:hideMark/>
          </w:tcPr>
          <w:p w14:paraId="0ECB521A" w14:textId="77777777" w:rsidR="00000000" w:rsidRDefault="00A173A8">
            <w:pPr>
              <w:rPr>
                <w:rFonts w:eastAsia="Times New Roman"/>
              </w:rPr>
            </w:pPr>
          </w:p>
        </w:tc>
        <w:tc>
          <w:tcPr>
            <w:tcW w:w="1523" w:type="pct"/>
            <w:vAlign w:val="center"/>
            <w:hideMark/>
          </w:tcPr>
          <w:p w14:paraId="29196E9D" w14:textId="77777777" w:rsidR="00000000" w:rsidRDefault="00A173A8">
            <w:pPr>
              <w:spacing w:after="100"/>
              <w:rPr>
                <w:rFonts w:eastAsia="Times New Roman"/>
                <w:sz w:val="20"/>
                <w:szCs w:val="20"/>
              </w:rPr>
            </w:pPr>
          </w:p>
        </w:tc>
        <w:tc>
          <w:tcPr>
            <w:tcW w:w="5" w:type="pct"/>
            <w:vAlign w:val="center"/>
            <w:hideMark/>
          </w:tcPr>
          <w:p w14:paraId="4FB5353B" w14:textId="77777777" w:rsidR="00000000" w:rsidRDefault="00A173A8">
            <w:pPr>
              <w:spacing w:after="100"/>
              <w:rPr>
                <w:rFonts w:eastAsia="Times New Roman"/>
                <w:sz w:val="20"/>
                <w:szCs w:val="20"/>
              </w:rPr>
            </w:pPr>
          </w:p>
        </w:tc>
        <w:tc>
          <w:tcPr>
            <w:tcW w:w="5" w:type="pct"/>
            <w:vAlign w:val="center"/>
            <w:hideMark/>
          </w:tcPr>
          <w:p w14:paraId="75C7FB1C" w14:textId="77777777" w:rsidR="00000000" w:rsidRDefault="00A173A8">
            <w:pPr>
              <w:spacing w:after="100"/>
              <w:rPr>
                <w:rFonts w:eastAsia="Times New Roman"/>
                <w:sz w:val="20"/>
                <w:szCs w:val="20"/>
              </w:rPr>
            </w:pPr>
          </w:p>
        </w:tc>
        <w:tc>
          <w:tcPr>
            <w:tcW w:w="26" w:type="pct"/>
            <w:vAlign w:val="center"/>
            <w:hideMark/>
          </w:tcPr>
          <w:p w14:paraId="13F969D8" w14:textId="77777777" w:rsidR="00000000" w:rsidRDefault="00A173A8">
            <w:pPr>
              <w:spacing w:after="100"/>
              <w:rPr>
                <w:rFonts w:eastAsia="Times New Roman"/>
                <w:sz w:val="20"/>
                <w:szCs w:val="20"/>
              </w:rPr>
            </w:pPr>
          </w:p>
        </w:tc>
        <w:tc>
          <w:tcPr>
            <w:tcW w:w="5" w:type="pct"/>
            <w:vAlign w:val="center"/>
            <w:hideMark/>
          </w:tcPr>
          <w:p w14:paraId="625E42EE" w14:textId="77777777" w:rsidR="00000000" w:rsidRDefault="00A173A8">
            <w:pPr>
              <w:spacing w:after="100"/>
              <w:rPr>
                <w:rFonts w:eastAsia="Times New Roman"/>
                <w:sz w:val="20"/>
                <w:szCs w:val="20"/>
              </w:rPr>
            </w:pPr>
          </w:p>
        </w:tc>
        <w:tc>
          <w:tcPr>
            <w:tcW w:w="50" w:type="pct"/>
            <w:vAlign w:val="center"/>
            <w:hideMark/>
          </w:tcPr>
          <w:p w14:paraId="553A9EE5" w14:textId="77777777" w:rsidR="00000000" w:rsidRDefault="00A173A8">
            <w:pPr>
              <w:spacing w:after="100"/>
              <w:rPr>
                <w:rFonts w:eastAsia="Times New Roman"/>
                <w:sz w:val="20"/>
                <w:szCs w:val="20"/>
              </w:rPr>
            </w:pPr>
          </w:p>
        </w:tc>
        <w:tc>
          <w:tcPr>
            <w:tcW w:w="522" w:type="pct"/>
            <w:vAlign w:val="center"/>
            <w:hideMark/>
          </w:tcPr>
          <w:p w14:paraId="44EE8963" w14:textId="77777777" w:rsidR="00000000" w:rsidRDefault="00A173A8">
            <w:pPr>
              <w:spacing w:after="100"/>
              <w:rPr>
                <w:rFonts w:eastAsia="Times New Roman"/>
                <w:sz w:val="20"/>
                <w:szCs w:val="20"/>
              </w:rPr>
            </w:pPr>
          </w:p>
        </w:tc>
        <w:tc>
          <w:tcPr>
            <w:tcW w:w="5" w:type="pct"/>
            <w:vAlign w:val="center"/>
            <w:hideMark/>
          </w:tcPr>
          <w:p w14:paraId="0E197EC6" w14:textId="77777777" w:rsidR="00000000" w:rsidRDefault="00A173A8">
            <w:pPr>
              <w:spacing w:after="100"/>
              <w:rPr>
                <w:rFonts w:eastAsia="Times New Roman"/>
                <w:sz w:val="20"/>
                <w:szCs w:val="20"/>
              </w:rPr>
            </w:pPr>
          </w:p>
        </w:tc>
        <w:tc>
          <w:tcPr>
            <w:tcW w:w="5" w:type="pct"/>
            <w:vAlign w:val="center"/>
            <w:hideMark/>
          </w:tcPr>
          <w:p w14:paraId="03212350" w14:textId="77777777" w:rsidR="00000000" w:rsidRDefault="00A173A8">
            <w:pPr>
              <w:spacing w:after="100"/>
              <w:rPr>
                <w:rFonts w:eastAsia="Times New Roman"/>
                <w:sz w:val="20"/>
                <w:szCs w:val="20"/>
              </w:rPr>
            </w:pPr>
          </w:p>
        </w:tc>
        <w:tc>
          <w:tcPr>
            <w:tcW w:w="26" w:type="pct"/>
            <w:vAlign w:val="center"/>
            <w:hideMark/>
          </w:tcPr>
          <w:p w14:paraId="29545C13" w14:textId="77777777" w:rsidR="00000000" w:rsidRDefault="00A173A8">
            <w:pPr>
              <w:spacing w:after="100"/>
              <w:rPr>
                <w:rFonts w:eastAsia="Times New Roman"/>
                <w:sz w:val="20"/>
                <w:szCs w:val="20"/>
              </w:rPr>
            </w:pPr>
          </w:p>
        </w:tc>
        <w:tc>
          <w:tcPr>
            <w:tcW w:w="5" w:type="pct"/>
            <w:vAlign w:val="center"/>
            <w:hideMark/>
          </w:tcPr>
          <w:p w14:paraId="245D1E99" w14:textId="77777777" w:rsidR="00000000" w:rsidRDefault="00A173A8">
            <w:pPr>
              <w:spacing w:after="100"/>
              <w:rPr>
                <w:rFonts w:eastAsia="Times New Roman"/>
                <w:sz w:val="20"/>
                <w:szCs w:val="20"/>
              </w:rPr>
            </w:pPr>
          </w:p>
        </w:tc>
        <w:tc>
          <w:tcPr>
            <w:tcW w:w="50" w:type="pct"/>
            <w:vAlign w:val="center"/>
            <w:hideMark/>
          </w:tcPr>
          <w:p w14:paraId="236B87F5" w14:textId="77777777" w:rsidR="00000000" w:rsidRDefault="00A173A8">
            <w:pPr>
              <w:spacing w:after="100"/>
              <w:rPr>
                <w:rFonts w:eastAsia="Times New Roman"/>
                <w:sz w:val="20"/>
                <w:szCs w:val="20"/>
              </w:rPr>
            </w:pPr>
          </w:p>
        </w:tc>
        <w:tc>
          <w:tcPr>
            <w:tcW w:w="434" w:type="pct"/>
            <w:vAlign w:val="center"/>
            <w:hideMark/>
          </w:tcPr>
          <w:p w14:paraId="6F4B9A91" w14:textId="77777777" w:rsidR="00000000" w:rsidRDefault="00A173A8">
            <w:pPr>
              <w:spacing w:after="100"/>
              <w:rPr>
                <w:rFonts w:eastAsia="Times New Roman"/>
                <w:sz w:val="20"/>
                <w:szCs w:val="20"/>
              </w:rPr>
            </w:pPr>
          </w:p>
        </w:tc>
        <w:tc>
          <w:tcPr>
            <w:tcW w:w="5" w:type="pct"/>
            <w:vAlign w:val="center"/>
            <w:hideMark/>
          </w:tcPr>
          <w:p w14:paraId="4275A157" w14:textId="77777777" w:rsidR="00000000" w:rsidRDefault="00A173A8">
            <w:pPr>
              <w:spacing w:after="100"/>
              <w:rPr>
                <w:rFonts w:eastAsia="Times New Roman"/>
                <w:sz w:val="20"/>
                <w:szCs w:val="20"/>
              </w:rPr>
            </w:pPr>
          </w:p>
        </w:tc>
        <w:tc>
          <w:tcPr>
            <w:tcW w:w="5" w:type="pct"/>
            <w:vAlign w:val="center"/>
            <w:hideMark/>
          </w:tcPr>
          <w:p w14:paraId="35BB5967" w14:textId="77777777" w:rsidR="00000000" w:rsidRDefault="00A173A8">
            <w:pPr>
              <w:spacing w:after="100"/>
              <w:rPr>
                <w:rFonts w:eastAsia="Times New Roman"/>
                <w:sz w:val="20"/>
                <w:szCs w:val="20"/>
              </w:rPr>
            </w:pPr>
          </w:p>
        </w:tc>
        <w:tc>
          <w:tcPr>
            <w:tcW w:w="26" w:type="pct"/>
            <w:vAlign w:val="center"/>
            <w:hideMark/>
          </w:tcPr>
          <w:p w14:paraId="6F61933D" w14:textId="77777777" w:rsidR="00000000" w:rsidRDefault="00A173A8">
            <w:pPr>
              <w:spacing w:after="100"/>
              <w:rPr>
                <w:rFonts w:eastAsia="Times New Roman"/>
                <w:sz w:val="20"/>
                <w:szCs w:val="20"/>
              </w:rPr>
            </w:pPr>
          </w:p>
        </w:tc>
        <w:tc>
          <w:tcPr>
            <w:tcW w:w="5" w:type="pct"/>
            <w:vAlign w:val="center"/>
            <w:hideMark/>
          </w:tcPr>
          <w:p w14:paraId="0D5A8EAA" w14:textId="77777777" w:rsidR="00000000" w:rsidRDefault="00A173A8">
            <w:pPr>
              <w:spacing w:after="100"/>
              <w:rPr>
                <w:rFonts w:eastAsia="Times New Roman"/>
                <w:sz w:val="20"/>
                <w:szCs w:val="20"/>
              </w:rPr>
            </w:pPr>
          </w:p>
        </w:tc>
        <w:tc>
          <w:tcPr>
            <w:tcW w:w="50" w:type="pct"/>
            <w:vAlign w:val="center"/>
            <w:hideMark/>
          </w:tcPr>
          <w:p w14:paraId="661FBAD7" w14:textId="77777777" w:rsidR="00000000" w:rsidRDefault="00A173A8">
            <w:pPr>
              <w:spacing w:after="100"/>
              <w:rPr>
                <w:rFonts w:eastAsia="Times New Roman"/>
                <w:sz w:val="20"/>
                <w:szCs w:val="20"/>
              </w:rPr>
            </w:pPr>
          </w:p>
        </w:tc>
        <w:tc>
          <w:tcPr>
            <w:tcW w:w="434" w:type="pct"/>
            <w:vAlign w:val="center"/>
            <w:hideMark/>
          </w:tcPr>
          <w:p w14:paraId="6A4FB4F3" w14:textId="77777777" w:rsidR="00000000" w:rsidRDefault="00A173A8">
            <w:pPr>
              <w:spacing w:after="100"/>
              <w:rPr>
                <w:rFonts w:eastAsia="Times New Roman"/>
                <w:sz w:val="20"/>
                <w:szCs w:val="20"/>
              </w:rPr>
            </w:pPr>
          </w:p>
        </w:tc>
        <w:tc>
          <w:tcPr>
            <w:tcW w:w="5" w:type="pct"/>
            <w:vAlign w:val="center"/>
            <w:hideMark/>
          </w:tcPr>
          <w:p w14:paraId="0EDDCF3B" w14:textId="77777777" w:rsidR="00000000" w:rsidRDefault="00A173A8">
            <w:pPr>
              <w:spacing w:after="100"/>
              <w:rPr>
                <w:rFonts w:eastAsia="Times New Roman"/>
                <w:sz w:val="20"/>
                <w:szCs w:val="20"/>
              </w:rPr>
            </w:pPr>
          </w:p>
        </w:tc>
        <w:tc>
          <w:tcPr>
            <w:tcW w:w="5" w:type="pct"/>
            <w:vAlign w:val="center"/>
            <w:hideMark/>
          </w:tcPr>
          <w:p w14:paraId="6E63D50F" w14:textId="77777777" w:rsidR="00000000" w:rsidRDefault="00A173A8">
            <w:pPr>
              <w:spacing w:after="100"/>
              <w:rPr>
                <w:rFonts w:eastAsia="Times New Roman"/>
                <w:sz w:val="20"/>
                <w:szCs w:val="20"/>
              </w:rPr>
            </w:pPr>
          </w:p>
        </w:tc>
        <w:tc>
          <w:tcPr>
            <w:tcW w:w="26" w:type="pct"/>
            <w:vAlign w:val="center"/>
            <w:hideMark/>
          </w:tcPr>
          <w:p w14:paraId="06F19D5C" w14:textId="77777777" w:rsidR="00000000" w:rsidRDefault="00A173A8">
            <w:pPr>
              <w:spacing w:after="100"/>
              <w:rPr>
                <w:rFonts w:eastAsia="Times New Roman"/>
                <w:sz w:val="20"/>
                <w:szCs w:val="20"/>
              </w:rPr>
            </w:pPr>
          </w:p>
        </w:tc>
        <w:tc>
          <w:tcPr>
            <w:tcW w:w="5" w:type="pct"/>
            <w:vAlign w:val="center"/>
            <w:hideMark/>
          </w:tcPr>
          <w:p w14:paraId="7E2E7E1A" w14:textId="77777777" w:rsidR="00000000" w:rsidRDefault="00A173A8">
            <w:pPr>
              <w:spacing w:after="100"/>
              <w:rPr>
                <w:rFonts w:eastAsia="Times New Roman"/>
                <w:sz w:val="20"/>
                <w:szCs w:val="20"/>
              </w:rPr>
            </w:pPr>
          </w:p>
        </w:tc>
        <w:tc>
          <w:tcPr>
            <w:tcW w:w="50" w:type="pct"/>
            <w:vAlign w:val="center"/>
            <w:hideMark/>
          </w:tcPr>
          <w:p w14:paraId="58A8A7AD" w14:textId="77777777" w:rsidR="00000000" w:rsidRDefault="00A173A8">
            <w:pPr>
              <w:spacing w:after="100"/>
              <w:rPr>
                <w:rFonts w:eastAsia="Times New Roman"/>
                <w:sz w:val="20"/>
                <w:szCs w:val="20"/>
              </w:rPr>
            </w:pPr>
          </w:p>
        </w:tc>
        <w:tc>
          <w:tcPr>
            <w:tcW w:w="434" w:type="pct"/>
            <w:vAlign w:val="center"/>
            <w:hideMark/>
          </w:tcPr>
          <w:p w14:paraId="593577FB" w14:textId="77777777" w:rsidR="00000000" w:rsidRDefault="00A173A8">
            <w:pPr>
              <w:spacing w:after="100"/>
              <w:rPr>
                <w:rFonts w:eastAsia="Times New Roman"/>
                <w:sz w:val="20"/>
                <w:szCs w:val="20"/>
              </w:rPr>
            </w:pPr>
          </w:p>
        </w:tc>
        <w:tc>
          <w:tcPr>
            <w:tcW w:w="5" w:type="pct"/>
            <w:vAlign w:val="center"/>
            <w:hideMark/>
          </w:tcPr>
          <w:p w14:paraId="7348B3BE" w14:textId="77777777" w:rsidR="00000000" w:rsidRDefault="00A173A8">
            <w:pPr>
              <w:spacing w:after="100"/>
              <w:rPr>
                <w:rFonts w:eastAsia="Times New Roman"/>
                <w:sz w:val="20"/>
                <w:szCs w:val="20"/>
              </w:rPr>
            </w:pPr>
          </w:p>
        </w:tc>
        <w:tc>
          <w:tcPr>
            <w:tcW w:w="5" w:type="pct"/>
            <w:vAlign w:val="center"/>
            <w:hideMark/>
          </w:tcPr>
          <w:p w14:paraId="47247EE0" w14:textId="77777777" w:rsidR="00000000" w:rsidRDefault="00A173A8">
            <w:pPr>
              <w:spacing w:after="100"/>
              <w:rPr>
                <w:rFonts w:eastAsia="Times New Roman"/>
                <w:sz w:val="20"/>
                <w:szCs w:val="20"/>
              </w:rPr>
            </w:pPr>
          </w:p>
        </w:tc>
        <w:tc>
          <w:tcPr>
            <w:tcW w:w="26" w:type="pct"/>
            <w:vAlign w:val="center"/>
            <w:hideMark/>
          </w:tcPr>
          <w:p w14:paraId="5E244525" w14:textId="77777777" w:rsidR="00000000" w:rsidRDefault="00A173A8">
            <w:pPr>
              <w:spacing w:after="100"/>
              <w:rPr>
                <w:rFonts w:eastAsia="Times New Roman"/>
                <w:sz w:val="20"/>
                <w:szCs w:val="20"/>
              </w:rPr>
            </w:pPr>
          </w:p>
        </w:tc>
        <w:tc>
          <w:tcPr>
            <w:tcW w:w="5" w:type="pct"/>
            <w:vAlign w:val="center"/>
            <w:hideMark/>
          </w:tcPr>
          <w:p w14:paraId="307D7A41" w14:textId="77777777" w:rsidR="00000000" w:rsidRDefault="00A173A8">
            <w:pPr>
              <w:spacing w:after="100"/>
              <w:rPr>
                <w:rFonts w:eastAsia="Times New Roman"/>
                <w:sz w:val="20"/>
                <w:szCs w:val="20"/>
              </w:rPr>
            </w:pPr>
          </w:p>
        </w:tc>
        <w:tc>
          <w:tcPr>
            <w:tcW w:w="50" w:type="pct"/>
            <w:vAlign w:val="center"/>
            <w:hideMark/>
          </w:tcPr>
          <w:p w14:paraId="58C7D2F9" w14:textId="77777777" w:rsidR="00000000" w:rsidRDefault="00A173A8">
            <w:pPr>
              <w:spacing w:after="100"/>
              <w:rPr>
                <w:rFonts w:eastAsia="Times New Roman"/>
                <w:sz w:val="20"/>
                <w:szCs w:val="20"/>
              </w:rPr>
            </w:pPr>
          </w:p>
        </w:tc>
        <w:tc>
          <w:tcPr>
            <w:tcW w:w="522" w:type="pct"/>
            <w:vAlign w:val="center"/>
            <w:hideMark/>
          </w:tcPr>
          <w:p w14:paraId="04F57F9D" w14:textId="77777777" w:rsidR="00000000" w:rsidRDefault="00A173A8">
            <w:pPr>
              <w:spacing w:after="100"/>
              <w:rPr>
                <w:rFonts w:eastAsia="Times New Roman"/>
                <w:sz w:val="20"/>
                <w:szCs w:val="20"/>
              </w:rPr>
            </w:pPr>
          </w:p>
        </w:tc>
        <w:tc>
          <w:tcPr>
            <w:tcW w:w="5" w:type="pct"/>
            <w:vAlign w:val="center"/>
            <w:hideMark/>
          </w:tcPr>
          <w:p w14:paraId="592D65C0" w14:textId="77777777" w:rsidR="00000000" w:rsidRDefault="00A173A8">
            <w:pPr>
              <w:spacing w:after="100"/>
              <w:rPr>
                <w:rFonts w:eastAsia="Times New Roman"/>
                <w:sz w:val="20"/>
                <w:szCs w:val="20"/>
              </w:rPr>
            </w:pPr>
          </w:p>
        </w:tc>
        <w:tc>
          <w:tcPr>
            <w:tcW w:w="5" w:type="pct"/>
            <w:vAlign w:val="center"/>
            <w:hideMark/>
          </w:tcPr>
          <w:p w14:paraId="3DA56E09" w14:textId="77777777" w:rsidR="00000000" w:rsidRDefault="00A173A8">
            <w:pPr>
              <w:spacing w:after="100"/>
              <w:rPr>
                <w:rFonts w:eastAsia="Times New Roman"/>
                <w:sz w:val="20"/>
                <w:szCs w:val="20"/>
              </w:rPr>
            </w:pPr>
          </w:p>
        </w:tc>
        <w:tc>
          <w:tcPr>
            <w:tcW w:w="26" w:type="pct"/>
            <w:vAlign w:val="center"/>
            <w:hideMark/>
          </w:tcPr>
          <w:p w14:paraId="0E7B2FB5" w14:textId="77777777" w:rsidR="00000000" w:rsidRDefault="00A173A8">
            <w:pPr>
              <w:spacing w:after="100"/>
              <w:rPr>
                <w:rFonts w:eastAsia="Times New Roman"/>
                <w:sz w:val="20"/>
                <w:szCs w:val="20"/>
              </w:rPr>
            </w:pPr>
          </w:p>
        </w:tc>
        <w:tc>
          <w:tcPr>
            <w:tcW w:w="5" w:type="pct"/>
            <w:vAlign w:val="center"/>
            <w:hideMark/>
          </w:tcPr>
          <w:p w14:paraId="26E1DD77" w14:textId="77777777" w:rsidR="00000000" w:rsidRDefault="00A173A8">
            <w:pPr>
              <w:spacing w:after="100"/>
              <w:rPr>
                <w:rFonts w:eastAsia="Times New Roman"/>
                <w:sz w:val="20"/>
                <w:szCs w:val="20"/>
              </w:rPr>
            </w:pPr>
          </w:p>
        </w:tc>
        <w:tc>
          <w:tcPr>
            <w:tcW w:w="50" w:type="pct"/>
            <w:vAlign w:val="center"/>
            <w:hideMark/>
          </w:tcPr>
          <w:p w14:paraId="41F9E63D" w14:textId="77777777" w:rsidR="00000000" w:rsidRDefault="00A173A8">
            <w:pPr>
              <w:spacing w:after="100"/>
              <w:rPr>
                <w:rFonts w:eastAsia="Times New Roman"/>
                <w:sz w:val="20"/>
                <w:szCs w:val="20"/>
              </w:rPr>
            </w:pPr>
          </w:p>
        </w:tc>
        <w:tc>
          <w:tcPr>
            <w:tcW w:w="522" w:type="pct"/>
            <w:vAlign w:val="center"/>
            <w:hideMark/>
          </w:tcPr>
          <w:p w14:paraId="2B027AFE" w14:textId="77777777" w:rsidR="00000000" w:rsidRDefault="00A173A8">
            <w:pPr>
              <w:spacing w:after="100"/>
              <w:rPr>
                <w:rFonts w:eastAsia="Times New Roman"/>
                <w:sz w:val="20"/>
                <w:szCs w:val="20"/>
              </w:rPr>
            </w:pPr>
          </w:p>
        </w:tc>
        <w:tc>
          <w:tcPr>
            <w:tcW w:w="5" w:type="pct"/>
            <w:vAlign w:val="center"/>
            <w:hideMark/>
          </w:tcPr>
          <w:p w14:paraId="19352B08" w14:textId="77777777" w:rsidR="00000000" w:rsidRDefault="00A173A8">
            <w:pPr>
              <w:spacing w:after="100"/>
              <w:rPr>
                <w:rFonts w:eastAsia="Times New Roman"/>
                <w:sz w:val="20"/>
                <w:szCs w:val="20"/>
              </w:rPr>
            </w:pPr>
          </w:p>
        </w:tc>
      </w:tr>
      <w:tr w:rsidR="00000000" w14:paraId="096C5130" w14:textId="77777777">
        <w:trPr>
          <w:divId w:val="1268349584"/>
        </w:trPr>
        <w:tc>
          <w:tcPr>
            <w:tcW w:w="0" w:type="auto"/>
            <w:gridSpan w:val="3"/>
            <w:tcMar>
              <w:top w:w="0" w:type="dxa"/>
              <w:left w:w="20" w:type="dxa"/>
              <w:bottom w:w="0" w:type="dxa"/>
              <w:right w:w="20" w:type="dxa"/>
            </w:tcMar>
            <w:vAlign w:val="center"/>
            <w:hideMark/>
          </w:tcPr>
          <w:p w14:paraId="21EED993"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1DA1EF" w14:textId="77777777" w:rsidR="00000000" w:rsidRDefault="00A173A8">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02DA3D3F"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54E14FD7" w14:textId="77777777">
        <w:trPr>
          <w:divId w:val="1268349584"/>
        </w:trPr>
        <w:tc>
          <w:tcPr>
            <w:tcW w:w="0" w:type="auto"/>
            <w:gridSpan w:val="3"/>
            <w:tcMar>
              <w:top w:w="0" w:type="dxa"/>
              <w:left w:w="20" w:type="dxa"/>
              <w:bottom w:w="0" w:type="dxa"/>
              <w:right w:w="20" w:type="dxa"/>
            </w:tcMar>
            <w:vAlign w:val="center"/>
            <w:hideMark/>
          </w:tcPr>
          <w:p w14:paraId="1B7353DE"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2652350"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087D14"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B3559F" w14:textId="77777777" w:rsidR="00000000" w:rsidRDefault="00A173A8">
            <w:pPr>
              <w:spacing w:after="100"/>
              <w:rPr>
                <w:rFonts w:eastAsia="Times New Roman"/>
                <w:sz w:val="20"/>
                <w:szCs w:val="20"/>
              </w:rPr>
            </w:pPr>
          </w:p>
        </w:tc>
        <w:tc>
          <w:tcPr>
            <w:tcW w:w="0" w:type="auto"/>
            <w:gridSpan w:val="24"/>
            <w:tcBorders>
              <w:top w:val="single" w:sz="8" w:space="0" w:color="000000"/>
            </w:tcBorders>
            <w:shd w:val="clear" w:color="auto" w:fill="FFFFFF"/>
            <w:tcMar>
              <w:top w:w="30" w:type="dxa"/>
              <w:left w:w="20" w:type="dxa"/>
              <w:bottom w:w="30" w:type="dxa"/>
              <w:right w:w="20" w:type="dxa"/>
            </w:tcMar>
            <w:vAlign w:val="bottom"/>
            <w:hideMark/>
          </w:tcPr>
          <w:p w14:paraId="6FE8A5D3" w14:textId="77777777" w:rsidR="00000000" w:rsidRDefault="00A173A8">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14:paraId="4B2E939A" w14:textId="77777777" w:rsidR="00000000" w:rsidRDefault="00A173A8">
            <w:pPr>
              <w:spacing w:after="100"/>
              <w:jc w:val="center"/>
              <w:rPr>
                <w:rFonts w:eastAsia="Times New Roman"/>
              </w:rPr>
            </w:pPr>
          </w:p>
        </w:tc>
      </w:tr>
      <w:tr w:rsidR="00000000" w14:paraId="4C75FBCD" w14:textId="77777777">
        <w:trPr>
          <w:divId w:val="1268349584"/>
        </w:trPr>
        <w:tc>
          <w:tcPr>
            <w:tcW w:w="0" w:type="auto"/>
            <w:gridSpan w:val="3"/>
            <w:tcBorders>
              <w:bottom w:val="single" w:sz="8" w:space="0" w:color="000000"/>
            </w:tcBorders>
            <w:tcMar>
              <w:top w:w="30" w:type="dxa"/>
              <w:left w:w="20" w:type="dxa"/>
              <w:bottom w:w="30" w:type="dxa"/>
              <w:right w:w="20" w:type="dxa"/>
            </w:tcMar>
            <w:vAlign w:val="bottom"/>
            <w:hideMark/>
          </w:tcPr>
          <w:p w14:paraId="62C0BD3A"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72836E9" w14:textId="77777777" w:rsidR="00000000" w:rsidRDefault="00A173A8">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CCF3E24" w14:textId="77777777" w:rsidR="00000000" w:rsidRDefault="00A173A8">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14:paraId="358FDF7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7BCF56" w14:textId="77777777" w:rsidR="00000000" w:rsidRDefault="00A173A8">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07CDF58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51FDDD" w14:textId="77777777" w:rsidR="00000000" w:rsidRDefault="00A173A8">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7B84C06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ED532D1" w14:textId="77777777" w:rsidR="00000000" w:rsidRDefault="00A173A8">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14:paraId="440B43C8" w14:textId="77777777" w:rsidR="00000000" w:rsidRDefault="00A173A8">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14:paraId="7F3430E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0455202" w14:textId="77777777" w:rsidR="00000000" w:rsidRDefault="00A173A8">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14:paraId="4E67D7D7"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0D02708" w14:textId="77777777" w:rsidR="00000000" w:rsidRDefault="00A173A8">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14:paraId="1105C429" w14:textId="77777777">
        <w:trPr>
          <w:divId w:val="12683495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549D385" w14:textId="77777777" w:rsidR="00000000" w:rsidRDefault="00A173A8">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5C4477C5"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B3B45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9ECB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9AAEB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2CE5C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784B4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ECB4E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E551D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81A75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FD35E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08D5F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04A39F" w14:textId="77777777" w:rsidR="00000000" w:rsidRDefault="00A173A8">
            <w:pPr>
              <w:spacing w:after="100"/>
              <w:rPr>
                <w:rFonts w:eastAsia="Times New Roman"/>
                <w:sz w:val="20"/>
                <w:szCs w:val="20"/>
              </w:rPr>
            </w:pPr>
          </w:p>
        </w:tc>
      </w:tr>
      <w:tr w:rsidR="00000000" w14:paraId="157F44E0" w14:textId="77777777">
        <w:trPr>
          <w:divId w:val="1268349584"/>
        </w:trPr>
        <w:tc>
          <w:tcPr>
            <w:tcW w:w="0" w:type="auto"/>
            <w:gridSpan w:val="3"/>
            <w:shd w:val="clear" w:color="auto" w:fill="FFFFFF"/>
            <w:tcMar>
              <w:top w:w="30" w:type="dxa"/>
              <w:left w:w="245" w:type="dxa"/>
              <w:bottom w:w="30" w:type="dxa"/>
              <w:right w:w="20" w:type="dxa"/>
            </w:tcMar>
            <w:vAlign w:val="center"/>
            <w:hideMark/>
          </w:tcPr>
          <w:p w14:paraId="2543119E" w14:textId="77777777" w:rsidR="00000000" w:rsidRDefault="00A173A8">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1907A122"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4BD5AC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F519FA5" w14:textId="77777777" w:rsidR="00000000" w:rsidRDefault="00A173A8">
            <w:pPr>
              <w:spacing w:after="100"/>
              <w:jc w:val="right"/>
              <w:rPr>
                <w:rFonts w:eastAsia="Times New Roman"/>
              </w:rPr>
            </w:pPr>
            <w:r>
              <w:rPr>
                <w:rFonts w:eastAsia="Times New Roman"/>
                <w:color w:val="000000"/>
                <w:sz w:val="18"/>
                <w:szCs w:val="18"/>
              </w:rPr>
              <w:t>106,312 </w:t>
            </w:r>
          </w:p>
        </w:tc>
        <w:tc>
          <w:tcPr>
            <w:tcW w:w="0" w:type="auto"/>
            <w:shd w:val="clear" w:color="auto" w:fill="FFFFFF"/>
            <w:tcMar>
              <w:top w:w="30" w:type="dxa"/>
              <w:left w:w="0" w:type="dxa"/>
              <w:bottom w:w="30" w:type="dxa"/>
              <w:right w:w="20" w:type="dxa"/>
            </w:tcMar>
            <w:vAlign w:val="center"/>
            <w:hideMark/>
          </w:tcPr>
          <w:p w14:paraId="796685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C787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276D84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45414A6" w14:textId="77777777" w:rsidR="00000000" w:rsidRDefault="00A173A8">
            <w:pPr>
              <w:spacing w:after="100"/>
              <w:jc w:val="right"/>
              <w:rPr>
                <w:rFonts w:eastAsia="Times New Roman"/>
              </w:rPr>
            </w:pPr>
            <w:r>
              <w:rPr>
                <w:rFonts w:eastAsia="Times New Roman"/>
                <w:color w:val="000000"/>
                <w:sz w:val="18"/>
                <w:szCs w:val="18"/>
              </w:rPr>
              <w:t>773 </w:t>
            </w:r>
          </w:p>
        </w:tc>
        <w:tc>
          <w:tcPr>
            <w:tcW w:w="0" w:type="auto"/>
            <w:shd w:val="clear" w:color="auto" w:fill="FFFFFF"/>
            <w:tcMar>
              <w:top w:w="30" w:type="dxa"/>
              <w:left w:w="0" w:type="dxa"/>
              <w:bottom w:w="30" w:type="dxa"/>
              <w:right w:w="20" w:type="dxa"/>
            </w:tcMar>
            <w:vAlign w:val="center"/>
            <w:hideMark/>
          </w:tcPr>
          <w:p w14:paraId="58A923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D641C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5A74BB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E1050DF" w14:textId="77777777" w:rsidR="00000000" w:rsidRDefault="00A173A8">
            <w:pPr>
              <w:spacing w:after="100"/>
              <w:jc w:val="right"/>
              <w:rPr>
                <w:rFonts w:eastAsia="Times New Roman"/>
              </w:rPr>
            </w:pPr>
            <w:r>
              <w:rPr>
                <w:rFonts w:eastAsia="Times New Roman"/>
                <w:color w:val="000000"/>
                <w:sz w:val="18"/>
                <w:szCs w:val="18"/>
              </w:rPr>
              <w:t>528 </w:t>
            </w:r>
          </w:p>
        </w:tc>
        <w:tc>
          <w:tcPr>
            <w:tcW w:w="0" w:type="auto"/>
            <w:shd w:val="clear" w:color="auto" w:fill="FFFFFF"/>
            <w:tcMar>
              <w:top w:w="30" w:type="dxa"/>
              <w:left w:w="0" w:type="dxa"/>
              <w:bottom w:w="30" w:type="dxa"/>
              <w:right w:w="20" w:type="dxa"/>
            </w:tcMar>
            <w:vAlign w:val="center"/>
            <w:hideMark/>
          </w:tcPr>
          <w:p w14:paraId="62FB46F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F38C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A929843"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4E83E58" w14:textId="77777777" w:rsidR="00000000" w:rsidRDefault="00A173A8">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center"/>
            <w:hideMark/>
          </w:tcPr>
          <w:p w14:paraId="3CACA7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2210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4D8FEDA"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3B5C2B8" w14:textId="77777777" w:rsidR="00000000" w:rsidRDefault="00A173A8">
            <w:pPr>
              <w:spacing w:after="100"/>
              <w:jc w:val="right"/>
              <w:rPr>
                <w:rFonts w:eastAsia="Times New Roman"/>
              </w:rPr>
            </w:pPr>
            <w:r>
              <w:rPr>
                <w:rFonts w:eastAsia="Times New Roman"/>
                <w:color w:val="000000"/>
                <w:sz w:val="18"/>
                <w:szCs w:val="18"/>
              </w:rPr>
              <w:t>2,411 </w:t>
            </w:r>
          </w:p>
        </w:tc>
        <w:tc>
          <w:tcPr>
            <w:tcW w:w="0" w:type="auto"/>
            <w:shd w:val="clear" w:color="auto" w:fill="FFFFFF"/>
            <w:tcMar>
              <w:top w:w="30" w:type="dxa"/>
              <w:left w:w="0" w:type="dxa"/>
              <w:bottom w:w="30" w:type="dxa"/>
              <w:right w:w="20" w:type="dxa"/>
            </w:tcMar>
            <w:vAlign w:val="center"/>
            <w:hideMark/>
          </w:tcPr>
          <w:p w14:paraId="0EFBD84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A5B21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5AD7444"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A524E29" w14:textId="77777777" w:rsidR="00000000" w:rsidRDefault="00A173A8">
            <w:pPr>
              <w:spacing w:after="100"/>
              <w:jc w:val="right"/>
              <w:rPr>
                <w:rFonts w:eastAsia="Times New Roman"/>
              </w:rPr>
            </w:pPr>
            <w:r>
              <w:rPr>
                <w:rFonts w:eastAsia="Times New Roman"/>
                <w:color w:val="000000"/>
                <w:sz w:val="18"/>
                <w:szCs w:val="18"/>
              </w:rPr>
              <w:t>108,723 </w:t>
            </w:r>
          </w:p>
        </w:tc>
        <w:tc>
          <w:tcPr>
            <w:tcW w:w="0" w:type="auto"/>
            <w:shd w:val="clear" w:color="auto" w:fill="FFFFFF"/>
            <w:tcMar>
              <w:top w:w="30" w:type="dxa"/>
              <w:left w:w="0" w:type="dxa"/>
              <w:bottom w:w="30" w:type="dxa"/>
              <w:right w:w="20" w:type="dxa"/>
            </w:tcMar>
            <w:vAlign w:val="center"/>
            <w:hideMark/>
          </w:tcPr>
          <w:p w14:paraId="528D6597" w14:textId="77777777" w:rsidR="00000000" w:rsidRDefault="00A173A8">
            <w:pPr>
              <w:spacing w:after="100"/>
              <w:jc w:val="right"/>
              <w:rPr>
                <w:rFonts w:eastAsia="Times New Roman"/>
              </w:rPr>
            </w:pPr>
          </w:p>
        </w:tc>
      </w:tr>
      <w:tr w:rsidR="00000000" w14:paraId="7A68570A" w14:textId="77777777">
        <w:trPr>
          <w:divId w:val="1268349584"/>
        </w:trPr>
        <w:tc>
          <w:tcPr>
            <w:tcW w:w="0" w:type="auto"/>
            <w:gridSpan w:val="3"/>
            <w:shd w:val="clear" w:color="auto" w:fill="CCEEFF"/>
            <w:tcMar>
              <w:top w:w="30" w:type="dxa"/>
              <w:left w:w="245" w:type="dxa"/>
              <w:bottom w:w="30" w:type="dxa"/>
              <w:right w:w="20" w:type="dxa"/>
            </w:tcMar>
            <w:vAlign w:val="center"/>
            <w:hideMark/>
          </w:tcPr>
          <w:p w14:paraId="4E81F1E2" w14:textId="77777777" w:rsidR="00000000" w:rsidRDefault="00A173A8">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6A2940E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AB6A35" w14:textId="77777777" w:rsidR="00000000" w:rsidRDefault="00A173A8">
            <w:pPr>
              <w:spacing w:after="100"/>
              <w:jc w:val="right"/>
              <w:rPr>
                <w:rFonts w:eastAsia="Times New Roman"/>
              </w:rPr>
            </w:pPr>
            <w:r>
              <w:rPr>
                <w:rFonts w:eastAsia="Times New Roman"/>
                <w:color w:val="000000"/>
                <w:sz w:val="18"/>
                <w:szCs w:val="18"/>
              </w:rPr>
              <w:t>5,836 </w:t>
            </w:r>
          </w:p>
        </w:tc>
        <w:tc>
          <w:tcPr>
            <w:tcW w:w="0" w:type="auto"/>
            <w:shd w:val="clear" w:color="auto" w:fill="CCEEFF"/>
            <w:tcMar>
              <w:top w:w="30" w:type="dxa"/>
              <w:left w:w="0" w:type="dxa"/>
              <w:bottom w:w="30" w:type="dxa"/>
              <w:right w:w="20" w:type="dxa"/>
            </w:tcMar>
            <w:vAlign w:val="bottom"/>
            <w:hideMark/>
          </w:tcPr>
          <w:p w14:paraId="0A1645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61F15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752087" w14:textId="77777777" w:rsidR="00000000" w:rsidRDefault="00A173A8">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14:paraId="3B6DA72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B30B7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CABA55" w14:textId="77777777" w:rsidR="00000000" w:rsidRDefault="00A173A8">
            <w:pPr>
              <w:spacing w:after="100"/>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14:paraId="075AFF1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F7B46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D16222" w14:textId="77777777" w:rsidR="00000000" w:rsidRDefault="00A173A8">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14:paraId="38AE967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ED3C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9E775E" w14:textId="77777777" w:rsidR="00000000" w:rsidRDefault="00A173A8">
            <w:pPr>
              <w:spacing w:after="100"/>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14:paraId="6B562C5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FBB4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EF888C" w14:textId="77777777" w:rsidR="00000000" w:rsidRDefault="00A173A8">
            <w:pPr>
              <w:spacing w:after="100"/>
              <w:jc w:val="right"/>
              <w:rPr>
                <w:rFonts w:eastAsia="Times New Roman"/>
              </w:rPr>
            </w:pPr>
            <w:r>
              <w:rPr>
                <w:rFonts w:eastAsia="Times New Roman"/>
                <w:color w:val="000000"/>
                <w:sz w:val="18"/>
                <w:szCs w:val="18"/>
              </w:rPr>
              <w:t>6,049 </w:t>
            </w:r>
          </w:p>
        </w:tc>
        <w:tc>
          <w:tcPr>
            <w:tcW w:w="0" w:type="auto"/>
            <w:shd w:val="clear" w:color="auto" w:fill="CCEEFF"/>
            <w:tcMar>
              <w:top w:w="30" w:type="dxa"/>
              <w:left w:w="0" w:type="dxa"/>
              <w:bottom w:w="30" w:type="dxa"/>
              <w:right w:w="20" w:type="dxa"/>
            </w:tcMar>
            <w:vAlign w:val="bottom"/>
            <w:hideMark/>
          </w:tcPr>
          <w:p w14:paraId="46565E31" w14:textId="77777777" w:rsidR="00000000" w:rsidRDefault="00A173A8">
            <w:pPr>
              <w:spacing w:after="100"/>
              <w:jc w:val="right"/>
              <w:rPr>
                <w:rFonts w:eastAsia="Times New Roman"/>
              </w:rPr>
            </w:pPr>
          </w:p>
        </w:tc>
      </w:tr>
      <w:tr w:rsidR="00000000" w14:paraId="0DBA9F6E" w14:textId="77777777">
        <w:trPr>
          <w:divId w:val="1268349584"/>
        </w:trPr>
        <w:tc>
          <w:tcPr>
            <w:tcW w:w="0" w:type="auto"/>
            <w:gridSpan w:val="3"/>
            <w:shd w:val="clear" w:color="auto" w:fill="FFFFFF"/>
            <w:tcMar>
              <w:top w:w="30" w:type="dxa"/>
              <w:left w:w="20" w:type="dxa"/>
              <w:bottom w:w="30" w:type="dxa"/>
              <w:right w:w="20" w:type="dxa"/>
            </w:tcMar>
            <w:vAlign w:val="center"/>
            <w:hideMark/>
          </w:tcPr>
          <w:p w14:paraId="0FE0014A" w14:textId="77777777" w:rsidR="00000000" w:rsidRDefault="00A173A8">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1F9E21AB"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07E4FED" w14:textId="77777777" w:rsidR="00000000" w:rsidRDefault="00A173A8">
            <w:pPr>
              <w:spacing w:after="100"/>
              <w:jc w:val="right"/>
              <w:rPr>
                <w:rFonts w:eastAsia="Times New Roman"/>
              </w:rPr>
            </w:pPr>
            <w:r>
              <w:rPr>
                <w:rFonts w:eastAsia="Times New Roman"/>
                <w:color w:val="000000"/>
                <w:sz w:val="18"/>
                <w:szCs w:val="18"/>
              </w:rPr>
              <w:t>112,148 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CCF06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3010F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40884C3" w14:textId="77777777" w:rsidR="00000000" w:rsidRDefault="00A173A8">
            <w:pPr>
              <w:spacing w:after="100"/>
              <w:jc w:val="right"/>
              <w:rPr>
                <w:rFonts w:eastAsia="Times New Roman"/>
              </w:rPr>
            </w:pPr>
            <w:r>
              <w:rPr>
                <w:rFonts w:eastAsia="Times New Roman"/>
                <w:color w:val="000000"/>
                <w:sz w:val="18"/>
                <w:szCs w:val="18"/>
              </w:rPr>
              <w:t>850 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DA184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2947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16775CC" w14:textId="77777777" w:rsidR="00000000" w:rsidRDefault="00A173A8">
            <w:pPr>
              <w:spacing w:after="100"/>
              <w:jc w:val="right"/>
              <w:rPr>
                <w:rFonts w:eastAsia="Times New Roman"/>
              </w:rPr>
            </w:pPr>
            <w:r>
              <w:rPr>
                <w:rFonts w:eastAsia="Times New Roman"/>
                <w:color w:val="000000"/>
                <w:sz w:val="18"/>
                <w:szCs w:val="18"/>
              </w:rPr>
              <w:t>578 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91EEC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9787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33F571A" w14:textId="77777777" w:rsidR="00000000" w:rsidRDefault="00A173A8">
            <w:pPr>
              <w:spacing w:after="100"/>
              <w:jc w:val="right"/>
              <w:rPr>
                <w:rFonts w:eastAsia="Times New Roman"/>
              </w:rPr>
            </w:pPr>
            <w:r>
              <w:rPr>
                <w:rFonts w:eastAsia="Times New Roman"/>
                <w:color w:val="000000"/>
                <w:sz w:val="18"/>
                <w:szCs w:val="18"/>
              </w:rPr>
              <w:t>1,196 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FFD738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46289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390BA58" w14:textId="77777777" w:rsidR="00000000" w:rsidRDefault="00A173A8">
            <w:pPr>
              <w:spacing w:after="100"/>
              <w:jc w:val="right"/>
              <w:rPr>
                <w:rFonts w:eastAsia="Times New Roman"/>
              </w:rPr>
            </w:pPr>
            <w:r>
              <w:rPr>
                <w:rFonts w:eastAsia="Times New Roman"/>
                <w:color w:val="000000"/>
                <w:sz w:val="18"/>
                <w:szCs w:val="18"/>
              </w:rPr>
              <w:t>2,624 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2499B5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D9E6A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723A0E" w14:textId="77777777" w:rsidR="00000000" w:rsidRDefault="00A173A8">
            <w:pPr>
              <w:spacing w:after="100"/>
              <w:jc w:val="right"/>
              <w:rPr>
                <w:rFonts w:eastAsia="Times New Roman"/>
              </w:rPr>
            </w:pPr>
            <w:r>
              <w:rPr>
                <w:rFonts w:eastAsia="Times New Roman"/>
                <w:color w:val="000000"/>
                <w:sz w:val="18"/>
                <w:szCs w:val="18"/>
              </w:rPr>
              <w:t>114,772 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F2A1D7F" w14:textId="77777777" w:rsidR="00000000" w:rsidRDefault="00A173A8">
            <w:pPr>
              <w:spacing w:after="100"/>
              <w:jc w:val="right"/>
              <w:rPr>
                <w:rFonts w:eastAsia="Times New Roman"/>
              </w:rPr>
            </w:pPr>
          </w:p>
        </w:tc>
      </w:tr>
      <w:tr w:rsidR="00000000" w14:paraId="7D1F44BF" w14:textId="77777777">
        <w:trPr>
          <w:divId w:val="1268349584"/>
        </w:trPr>
        <w:tc>
          <w:tcPr>
            <w:tcW w:w="0" w:type="auto"/>
            <w:gridSpan w:val="3"/>
            <w:shd w:val="clear" w:color="auto" w:fill="CCEEFF"/>
            <w:tcMar>
              <w:top w:w="30" w:type="dxa"/>
              <w:left w:w="20" w:type="dxa"/>
              <w:bottom w:w="30" w:type="dxa"/>
              <w:right w:w="20" w:type="dxa"/>
            </w:tcMar>
            <w:vAlign w:val="center"/>
            <w:hideMark/>
          </w:tcPr>
          <w:p w14:paraId="4B82F00A" w14:textId="77777777" w:rsidR="00000000" w:rsidRDefault="00A173A8">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793F887F"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645A5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E9716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AF403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3EB39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7C007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29DA6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AD463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6C664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9D979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CCC92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4CD1F3" w14:textId="77777777" w:rsidR="00000000" w:rsidRDefault="00A173A8">
            <w:pPr>
              <w:spacing w:after="100"/>
              <w:rPr>
                <w:rFonts w:eastAsia="Times New Roman"/>
                <w:sz w:val="20"/>
                <w:szCs w:val="20"/>
              </w:rPr>
            </w:pPr>
          </w:p>
        </w:tc>
      </w:tr>
      <w:tr w:rsidR="00000000" w14:paraId="4ED00B22" w14:textId="77777777">
        <w:trPr>
          <w:divId w:val="1268349584"/>
        </w:trPr>
        <w:tc>
          <w:tcPr>
            <w:tcW w:w="0" w:type="auto"/>
            <w:gridSpan w:val="3"/>
            <w:shd w:val="clear" w:color="auto" w:fill="FFFFFF"/>
            <w:tcMar>
              <w:top w:w="30" w:type="dxa"/>
              <w:left w:w="245" w:type="dxa"/>
              <w:bottom w:w="30" w:type="dxa"/>
              <w:right w:w="20" w:type="dxa"/>
            </w:tcMar>
            <w:vAlign w:val="center"/>
            <w:hideMark/>
          </w:tcPr>
          <w:p w14:paraId="339D3BC3" w14:textId="77777777" w:rsidR="00000000" w:rsidRDefault="00A173A8">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320A82B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8460012" w14:textId="77777777" w:rsidR="00000000" w:rsidRDefault="00A173A8">
            <w:pPr>
              <w:spacing w:after="100"/>
              <w:jc w:val="right"/>
              <w:rPr>
                <w:rFonts w:eastAsia="Times New Roman"/>
              </w:rPr>
            </w:pPr>
            <w:r>
              <w:rPr>
                <w:rFonts w:eastAsia="Times New Roman"/>
                <w:color w:val="000000"/>
                <w:sz w:val="18"/>
                <w:szCs w:val="18"/>
              </w:rPr>
              <w:t>72,221 </w:t>
            </w:r>
          </w:p>
        </w:tc>
        <w:tc>
          <w:tcPr>
            <w:tcW w:w="0" w:type="auto"/>
            <w:shd w:val="clear" w:color="auto" w:fill="FFFFFF"/>
            <w:tcMar>
              <w:top w:w="30" w:type="dxa"/>
              <w:left w:w="0" w:type="dxa"/>
              <w:bottom w:w="30" w:type="dxa"/>
              <w:right w:w="20" w:type="dxa"/>
            </w:tcMar>
            <w:vAlign w:val="center"/>
            <w:hideMark/>
          </w:tcPr>
          <w:p w14:paraId="107D9EF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816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A0F6EA" w14:textId="77777777" w:rsidR="00000000" w:rsidRDefault="00A173A8">
            <w:pPr>
              <w:spacing w:after="100"/>
              <w:jc w:val="right"/>
              <w:rPr>
                <w:rFonts w:eastAsia="Times New Roman"/>
              </w:rPr>
            </w:pPr>
            <w:r>
              <w:rPr>
                <w:rFonts w:eastAsia="Times New Roman"/>
                <w:color w:val="000000"/>
                <w:sz w:val="18"/>
                <w:szCs w:val="18"/>
              </w:rPr>
              <w:t>2,385 </w:t>
            </w:r>
          </w:p>
        </w:tc>
        <w:tc>
          <w:tcPr>
            <w:tcW w:w="0" w:type="auto"/>
            <w:shd w:val="clear" w:color="auto" w:fill="FFFFFF"/>
            <w:tcMar>
              <w:top w:w="30" w:type="dxa"/>
              <w:left w:w="0" w:type="dxa"/>
              <w:bottom w:w="30" w:type="dxa"/>
              <w:right w:w="20" w:type="dxa"/>
            </w:tcMar>
            <w:vAlign w:val="center"/>
            <w:hideMark/>
          </w:tcPr>
          <w:p w14:paraId="302D73C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F946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ACF79B" w14:textId="77777777" w:rsidR="00000000" w:rsidRDefault="00A173A8">
            <w:pPr>
              <w:spacing w:after="100"/>
              <w:jc w:val="right"/>
              <w:rPr>
                <w:rFonts w:eastAsia="Times New Roman"/>
              </w:rPr>
            </w:pPr>
            <w:r>
              <w:rPr>
                <w:rFonts w:eastAsia="Times New Roman"/>
                <w:color w:val="000000"/>
                <w:sz w:val="18"/>
                <w:szCs w:val="18"/>
              </w:rPr>
              <w:t>933 </w:t>
            </w:r>
          </w:p>
        </w:tc>
        <w:tc>
          <w:tcPr>
            <w:tcW w:w="0" w:type="auto"/>
            <w:shd w:val="clear" w:color="auto" w:fill="FFFFFF"/>
            <w:tcMar>
              <w:top w:w="30" w:type="dxa"/>
              <w:left w:w="0" w:type="dxa"/>
              <w:bottom w:w="30" w:type="dxa"/>
              <w:right w:w="20" w:type="dxa"/>
            </w:tcMar>
            <w:vAlign w:val="center"/>
            <w:hideMark/>
          </w:tcPr>
          <w:p w14:paraId="40A3B40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3E254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299A4A" w14:textId="77777777" w:rsidR="00000000" w:rsidRDefault="00A173A8">
            <w:pPr>
              <w:spacing w:after="100"/>
              <w:jc w:val="right"/>
              <w:rPr>
                <w:rFonts w:eastAsia="Times New Roman"/>
              </w:rPr>
            </w:pPr>
            <w:r>
              <w:rPr>
                <w:rFonts w:eastAsia="Times New Roman"/>
                <w:color w:val="000000"/>
                <w:sz w:val="18"/>
                <w:szCs w:val="18"/>
              </w:rPr>
              <w:t>240 </w:t>
            </w:r>
          </w:p>
        </w:tc>
        <w:tc>
          <w:tcPr>
            <w:tcW w:w="0" w:type="auto"/>
            <w:shd w:val="clear" w:color="auto" w:fill="FFFFFF"/>
            <w:tcMar>
              <w:top w:w="30" w:type="dxa"/>
              <w:left w:w="0" w:type="dxa"/>
              <w:bottom w:w="30" w:type="dxa"/>
              <w:right w:w="20" w:type="dxa"/>
            </w:tcMar>
            <w:vAlign w:val="center"/>
            <w:hideMark/>
          </w:tcPr>
          <w:p w14:paraId="711106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29279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E0354E" w14:textId="77777777" w:rsidR="00000000" w:rsidRDefault="00A173A8">
            <w:pPr>
              <w:spacing w:after="100"/>
              <w:jc w:val="right"/>
              <w:rPr>
                <w:rFonts w:eastAsia="Times New Roman"/>
              </w:rPr>
            </w:pPr>
            <w:r>
              <w:rPr>
                <w:rFonts w:eastAsia="Times New Roman"/>
                <w:color w:val="000000"/>
                <w:sz w:val="18"/>
                <w:szCs w:val="18"/>
              </w:rPr>
              <w:t>3,558 </w:t>
            </w:r>
          </w:p>
        </w:tc>
        <w:tc>
          <w:tcPr>
            <w:tcW w:w="0" w:type="auto"/>
            <w:shd w:val="clear" w:color="auto" w:fill="FFFFFF"/>
            <w:tcMar>
              <w:top w:w="30" w:type="dxa"/>
              <w:left w:w="0" w:type="dxa"/>
              <w:bottom w:w="30" w:type="dxa"/>
              <w:right w:w="20" w:type="dxa"/>
            </w:tcMar>
            <w:vAlign w:val="center"/>
            <w:hideMark/>
          </w:tcPr>
          <w:p w14:paraId="6269B15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C49BA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9397EE" w14:textId="77777777" w:rsidR="00000000" w:rsidRDefault="00A173A8">
            <w:pPr>
              <w:spacing w:after="100"/>
              <w:jc w:val="right"/>
              <w:rPr>
                <w:rFonts w:eastAsia="Times New Roman"/>
              </w:rPr>
            </w:pPr>
            <w:r>
              <w:rPr>
                <w:rFonts w:eastAsia="Times New Roman"/>
                <w:color w:val="000000"/>
                <w:sz w:val="18"/>
                <w:szCs w:val="18"/>
              </w:rPr>
              <w:t>75,779 </w:t>
            </w:r>
          </w:p>
        </w:tc>
        <w:tc>
          <w:tcPr>
            <w:tcW w:w="0" w:type="auto"/>
            <w:shd w:val="clear" w:color="auto" w:fill="FFFFFF"/>
            <w:tcMar>
              <w:top w:w="30" w:type="dxa"/>
              <w:left w:w="0" w:type="dxa"/>
              <w:bottom w:w="30" w:type="dxa"/>
              <w:right w:w="20" w:type="dxa"/>
            </w:tcMar>
            <w:vAlign w:val="center"/>
            <w:hideMark/>
          </w:tcPr>
          <w:p w14:paraId="09384587" w14:textId="77777777" w:rsidR="00000000" w:rsidRDefault="00A173A8">
            <w:pPr>
              <w:spacing w:after="100"/>
              <w:jc w:val="right"/>
              <w:rPr>
                <w:rFonts w:eastAsia="Times New Roman"/>
              </w:rPr>
            </w:pPr>
          </w:p>
        </w:tc>
      </w:tr>
      <w:tr w:rsidR="00000000" w14:paraId="64C19F4C" w14:textId="77777777">
        <w:trPr>
          <w:divId w:val="1268349584"/>
        </w:trPr>
        <w:tc>
          <w:tcPr>
            <w:tcW w:w="0" w:type="auto"/>
            <w:gridSpan w:val="3"/>
            <w:shd w:val="clear" w:color="auto" w:fill="CCEEFF"/>
            <w:tcMar>
              <w:top w:w="30" w:type="dxa"/>
              <w:left w:w="245" w:type="dxa"/>
              <w:bottom w:w="30" w:type="dxa"/>
              <w:right w:w="20" w:type="dxa"/>
            </w:tcMar>
            <w:vAlign w:val="center"/>
            <w:hideMark/>
          </w:tcPr>
          <w:p w14:paraId="1E47EEF2" w14:textId="77777777" w:rsidR="00000000" w:rsidRDefault="00A173A8">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48A67A5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5B0B0A1" w14:textId="77777777" w:rsidR="00000000" w:rsidRDefault="00A173A8">
            <w:pPr>
              <w:spacing w:after="100"/>
              <w:jc w:val="right"/>
              <w:rPr>
                <w:rFonts w:eastAsia="Times New Roman"/>
              </w:rPr>
            </w:pPr>
            <w:r>
              <w:rPr>
                <w:rFonts w:eastAsia="Times New Roman"/>
                <w:color w:val="000000"/>
                <w:sz w:val="18"/>
                <w:szCs w:val="18"/>
              </w:rPr>
              <w:t>1,807 </w:t>
            </w:r>
          </w:p>
        </w:tc>
        <w:tc>
          <w:tcPr>
            <w:tcW w:w="0" w:type="auto"/>
            <w:shd w:val="clear" w:color="auto" w:fill="CCEEFF"/>
            <w:tcMar>
              <w:top w:w="30" w:type="dxa"/>
              <w:left w:w="0" w:type="dxa"/>
              <w:bottom w:w="30" w:type="dxa"/>
              <w:right w:w="20" w:type="dxa"/>
            </w:tcMar>
            <w:vAlign w:val="center"/>
            <w:hideMark/>
          </w:tcPr>
          <w:p w14:paraId="5674D37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1B1A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68642D" w14:textId="77777777" w:rsidR="00000000" w:rsidRDefault="00A173A8">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center"/>
            <w:hideMark/>
          </w:tcPr>
          <w:p w14:paraId="02D7E16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ED1B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F0DE50" w14:textId="77777777" w:rsidR="00000000" w:rsidRDefault="00A173A8">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258D525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CC50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403759" w14:textId="77777777" w:rsidR="00000000" w:rsidRDefault="00A173A8">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14:paraId="109830F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9A5EB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2FC800" w14:textId="77777777" w:rsidR="00000000" w:rsidRDefault="00A173A8">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14:paraId="2E18931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F091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9D3C68" w14:textId="77777777" w:rsidR="00000000" w:rsidRDefault="00A173A8">
            <w:pPr>
              <w:spacing w:after="100"/>
              <w:jc w:val="right"/>
              <w:rPr>
                <w:rFonts w:eastAsia="Times New Roman"/>
              </w:rPr>
            </w:pPr>
            <w:r>
              <w:rPr>
                <w:rFonts w:eastAsia="Times New Roman"/>
                <w:color w:val="000000"/>
                <w:sz w:val="18"/>
                <w:szCs w:val="18"/>
              </w:rPr>
              <w:t>1,867 </w:t>
            </w:r>
          </w:p>
        </w:tc>
        <w:tc>
          <w:tcPr>
            <w:tcW w:w="0" w:type="auto"/>
            <w:shd w:val="clear" w:color="auto" w:fill="CCEEFF"/>
            <w:tcMar>
              <w:top w:w="30" w:type="dxa"/>
              <w:left w:w="0" w:type="dxa"/>
              <w:bottom w:w="30" w:type="dxa"/>
              <w:right w:w="20" w:type="dxa"/>
            </w:tcMar>
            <w:vAlign w:val="center"/>
            <w:hideMark/>
          </w:tcPr>
          <w:p w14:paraId="5F233553" w14:textId="77777777" w:rsidR="00000000" w:rsidRDefault="00A173A8">
            <w:pPr>
              <w:spacing w:after="100"/>
              <w:jc w:val="right"/>
              <w:rPr>
                <w:rFonts w:eastAsia="Times New Roman"/>
              </w:rPr>
            </w:pPr>
          </w:p>
        </w:tc>
      </w:tr>
      <w:tr w:rsidR="00000000" w14:paraId="668A3D5D" w14:textId="77777777">
        <w:trPr>
          <w:divId w:val="1268349584"/>
        </w:trPr>
        <w:tc>
          <w:tcPr>
            <w:tcW w:w="0" w:type="auto"/>
            <w:gridSpan w:val="3"/>
            <w:shd w:val="clear" w:color="auto" w:fill="FFFFFF"/>
            <w:tcMar>
              <w:top w:w="30" w:type="dxa"/>
              <w:left w:w="20" w:type="dxa"/>
              <w:bottom w:w="30" w:type="dxa"/>
              <w:right w:w="20" w:type="dxa"/>
            </w:tcMar>
            <w:vAlign w:val="center"/>
            <w:hideMark/>
          </w:tcPr>
          <w:p w14:paraId="730900E5" w14:textId="77777777" w:rsidR="00000000" w:rsidRDefault="00A173A8">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3B744CAD" w14:textId="77777777" w:rsidR="00000000" w:rsidRDefault="00A173A8">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77AE4982" w14:textId="77777777" w:rsidR="00000000" w:rsidRDefault="00A173A8">
            <w:pPr>
              <w:spacing w:after="100"/>
              <w:jc w:val="right"/>
              <w:rPr>
                <w:rFonts w:eastAsia="Times New Roman"/>
              </w:rPr>
            </w:pPr>
            <w:r>
              <w:rPr>
                <w:rFonts w:eastAsia="Times New Roman"/>
                <w:color w:val="000000"/>
                <w:sz w:val="18"/>
                <w:szCs w:val="18"/>
              </w:rPr>
              <w:t>74,028 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7446F70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0FDF2"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2C9B24BA" w14:textId="77777777" w:rsidR="00000000" w:rsidRDefault="00A173A8">
            <w:pPr>
              <w:spacing w:after="100"/>
              <w:jc w:val="right"/>
              <w:rPr>
                <w:rFonts w:eastAsia="Times New Roman"/>
              </w:rPr>
            </w:pPr>
            <w:r>
              <w:rPr>
                <w:rFonts w:eastAsia="Times New Roman"/>
                <w:color w:val="000000"/>
                <w:sz w:val="18"/>
                <w:szCs w:val="18"/>
              </w:rPr>
              <w:t>2,420 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56DCB80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DCBAC"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16CB767B" w14:textId="77777777" w:rsidR="00000000" w:rsidRDefault="00A173A8">
            <w:pPr>
              <w:spacing w:after="100"/>
              <w:jc w:val="right"/>
              <w:rPr>
                <w:rFonts w:eastAsia="Times New Roman"/>
              </w:rPr>
            </w:pPr>
            <w:r>
              <w:rPr>
                <w:rFonts w:eastAsia="Times New Roman"/>
                <w:color w:val="000000"/>
                <w:sz w:val="18"/>
                <w:szCs w:val="18"/>
              </w:rPr>
              <w:t>940 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168CFCD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D7C42"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1B24BEE1" w14:textId="77777777" w:rsidR="00000000" w:rsidRDefault="00A173A8">
            <w:pPr>
              <w:spacing w:after="100"/>
              <w:jc w:val="right"/>
              <w:rPr>
                <w:rFonts w:eastAsia="Times New Roman"/>
              </w:rPr>
            </w:pPr>
            <w:r>
              <w:rPr>
                <w:rFonts w:eastAsia="Times New Roman"/>
                <w:color w:val="000000"/>
                <w:sz w:val="18"/>
                <w:szCs w:val="18"/>
              </w:rPr>
              <w:t>258 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6BBB7B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CEAF0"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5D4DB727" w14:textId="77777777" w:rsidR="00000000" w:rsidRDefault="00A173A8">
            <w:pPr>
              <w:spacing w:after="100"/>
              <w:jc w:val="right"/>
              <w:rPr>
                <w:rFonts w:eastAsia="Times New Roman"/>
              </w:rPr>
            </w:pPr>
            <w:r>
              <w:rPr>
                <w:rFonts w:eastAsia="Times New Roman"/>
                <w:color w:val="000000"/>
                <w:sz w:val="18"/>
                <w:szCs w:val="18"/>
              </w:rPr>
              <w:t>3,618 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0978355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2890B"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6D70474E" w14:textId="77777777" w:rsidR="00000000" w:rsidRDefault="00A173A8">
            <w:pPr>
              <w:spacing w:after="100"/>
              <w:jc w:val="right"/>
              <w:rPr>
                <w:rFonts w:eastAsia="Times New Roman"/>
              </w:rPr>
            </w:pPr>
            <w:r>
              <w:rPr>
                <w:rFonts w:eastAsia="Times New Roman"/>
                <w:color w:val="000000"/>
                <w:sz w:val="18"/>
                <w:szCs w:val="18"/>
              </w:rPr>
              <w:t>77,646 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076C7326" w14:textId="77777777" w:rsidR="00000000" w:rsidRDefault="00A173A8">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FD5F1A4" w14:textId="77777777">
        <w:trPr>
          <w:jc w:val="center"/>
        </w:trPr>
        <w:tc>
          <w:tcPr>
            <w:tcW w:w="50" w:type="pct"/>
            <w:vAlign w:val="center"/>
            <w:hideMark/>
          </w:tcPr>
          <w:p w14:paraId="6060FA57" w14:textId="77777777" w:rsidR="00000000" w:rsidRDefault="00A173A8">
            <w:pPr>
              <w:rPr>
                <w:rFonts w:eastAsia="Times New Roman"/>
              </w:rPr>
            </w:pPr>
          </w:p>
        </w:tc>
        <w:tc>
          <w:tcPr>
            <w:tcW w:w="1606" w:type="pct"/>
            <w:vAlign w:val="center"/>
            <w:hideMark/>
          </w:tcPr>
          <w:p w14:paraId="0370C87B" w14:textId="77777777" w:rsidR="00000000" w:rsidRDefault="00A173A8">
            <w:pPr>
              <w:spacing w:after="100"/>
              <w:rPr>
                <w:rFonts w:eastAsia="Times New Roman"/>
                <w:sz w:val="20"/>
                <w:szCs w:val="20"/>
              </w:rPr>
            </w:pPr>
          </w:p>
        </w:tc>
        <w:tc>
          <w:tcPr>
            <w:tcW w:w="5" w:type="pct"/>
            <w:vAlign w:val="center"/>
            <w:hideMark/>
          </w:tcPr>
          <w:p w14:paraId="18C7C73D" w14:textId="77777777" w:rsidR="00000000" w:rsidRDefault="00A173A8">
            <w:pPr>
              <w:spacing w:after="100"/>
              <w:rPr>
                <w:rFonts w:eastAsia="Times New Roman"/>
                <w:sz w:val="20"/>
                <w:szCs w:val="20"/>
              </w:rPr>
            </w:pPr>
          </w:p>
        </w:tc>
        <w:tc>
          <w:tcPr>
            <w:tcW w:w="50" w:type="pct"/>
            <w:vAlign w:val="center"/>
            <w:hideMark/>
          </w:tcPr>
          <w:p w14:paraId="43333D9C" w14:textId="77777777" w:rsidR="00000000" w:rsidRDefault="00A173A8">
            <w:pPr>
              <w:spacing w:after="100"/>
              <w:rPr>
                <w:rFonts w:eastAsia="Times New Roman"/>
                <w:sz w:val="20"/>
                <w:szCs w:val="20"/>
              </w:rPr>
            </w:pPr>
          </w:p>
        </w:tc>
        <w:tc>
          <w:tcPr>
            <w:tcW w:w="1614" w:type="pct"/>
            <w:vAlign w:val="center"/>
            <w:hideMark/>
          </w:tcPr>
          <w:p w14:paraId="1FCF6A55" w14:textId="77777777" w:rsidR="00000000" w:rsidRDefault="00A173A8">
            <w:pPr>
              <w:spacing w:after="100"/>
              <w:rPr>
                <w:rFonts w:eastAsia="Times New Roman"/>
                <w:sz w:val="20"/>
                <w:szCs w:val="20"/>
              </w:rPr>
            </w:pPr>
          </w:p>
        </w:tc>
        <w:tc>
          <w:tcPr>
            <w:tcW w:w="5" w:type="pct"/>
            <w:vAlign w:val="center"/>
            <w:hideMark/>
          </w:tcPr>
          <w:p w14:paraId="732EFE7D" w14:textId="77777777" w:rsidR="00000000" w:rsidRDefault="00A173A8">
            <w:pPr>
              <w:spacing w:after="100"/>
              <w:rPr>
                <w:rFonts w:eastAsia="Times New Roman"/>
                <w:sz w:val="20"/>
                <w:szCs w:val="20"/>
              </w:rPr>
            </w:pPr>
          </w:p>
        </w:tc>
        <w:tc>
          <w:tcPr>
            <w:tcW w:w="50" w:type="pct"/>
            <w:vAlign w:val="center"/>
            <w:hideMark/>
          </w:tcPr>
          <w:p w14:paraId="6CE609C7" w14:textId="77777777" w:rsidR="00000000" w:rsidRDefault="00A173A8">
            <w:pPr>
              <w:spacing w:after="100"/>
              <w:rPr>
                <w:rFonts w:eastAsia="Times New Roman"/>
                <w:sz w:val="20"/>
                <w:szCs w:val="20"/>
              </w:rPr>
            </w:pPr>
          </w:p>
        </w:tc>
        <w:tc>
          <w:tcPr>
            <w:tcW w:w="1614" w:type="pct"/>
            <w:vAlign w:val="center"/>
            <w:hideMark/>
          </w:tcPr>
          <w:p w14:paraId="5012079C" w14:textId="77777777" w:rsidR="00000000" w:rsidRDefault="00A173A8">
            <w:pPr>
              <w:spacing w:after="100"/>
              <w:rPr>
                <w:rFonts w:eastAsia="Times New Roman"/>
                <w:sz w:val="20"/>
                <w:szCs w:val="20"/>
              </w:rPr>
            </w:pPr>
          </w:p>
        </w:tc>
        <w:tc>
          <w:tcPr>
            <w:tcW w:w="5" w:type="pct"/>
            <w:vAlign w:val="center"/>
            <w:hideMark/>
          </w:tcPr>
          <w:p w14:paraId="5EBAD04D" w14:textId="77777777" w:rsidR="00000000" w:rsidRDefault="00A173A8">
            <w:pPr>
              <w:spacing w:after="100"/>
              <w:rPr>
                <w:rFonts w:eastAsia="Times New Roman"/>
                <w:sz w:val="20"/>
                <w:szCs w:val="20"/>
              </w:rPr>
            </w:pPr>
          </w:p>
        </w:tc>
      </w:tr>
      <w:tr w:rsidR="00000000" w14:paraId="64078C5B" w14:textId="77777777">
        <w:trPr>
          <w:trHeight w:val="300"/>
          <w:jc w:val="center"/>
        </w:trPr>
        <w:tc>
          <w:tcPr>
            <w:tcW w:w="0" w:type="auto"/>
            <w:gridSpan w:val="9"/>
            <w:tcMar>
              <w:top w:w="0" w:type="dxa"/>
              <w:left w:w="20" w:type="dxa"/>
              <w:bottom w:w="0" w:type="dxa"/>
              <w:right w:w="20" w:type="dxa"/>
            </w:tcMar>
            <w:vAlign w:val="center"/>
            <w:hideMark/>
          </w:tcPr>
          <w:p w14:paraId="0DA3E7FD" w14:textId="77777777" w:rsidR="00000000" w:rsidRDefault="00A173A8">
            <w:pPr>
              <w:spacing w:after="100"/>
              <w:rPr>
                <w:rFonts w:eastAsia="Times New Roman"/>
                <w:sz w:val="20"/>
                <w:szCs w:val="20"/>
              </w:rPr>
            </w:pPr>
          </w:p>
        </w:tc>
      </w:tr>
      <w:tr w:rsidR="00000000" w14:paraId="37871328" w14:textId="77777777">
        <w:trPr>
          <w:jc w:val="center"/>
        </w:trPr>
        <w:tc>
          <w:tcPr>
            <w:tcW w:w="0" w:type="auto"/>
            <w:gridSpan w:val="3"/>
            <w:tcMar>
              <w:top w:w="0" w:type="dxa"/>
              <w:left w:w="20" w:type="dxa"/>
              <w:bottom w:w="0" w:type="dxa"/>
              <w:right w:w="20" w:type="dxa"/>
            </w:tcMar>
            <w:vAlign w:val="center"/>
            <w:hideMark/>
          </w:tcPr>
          <w:p w14:paraId="10A068C9"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4E0A5CE" w14:textId="77777777" w:rsidR="00000000" w:rsidRDefault="00A173A8">
            <w:pPr>
              <w:spacing w:after="100"/>
              <w:jc w:val="center"/>
              <w:rPr>
                <w:rFonts w:eastAsia="Times New Roman"/>
              </w:rPr>
            </w:pPr>
            <w:r>
              <w:rPr>
                <w:rFonts w:eastAsia="Times New Roman"/>
                <w:color w:val="000000"/>
                <w:sz w:val="16"/>
                <w:szCs w:val="16"/>
              </w:rPr>
              <w:t>75</w:t>
            </w:r>
          </w:p>
        </w:tc>
        <w:tc>
          <w:tcPr>
            <w:tcW w:w="0" w:type="auto"/>
            <w:gridSpan w:val="3"/>
            <w:tcMar>
              <w:top w:w="30" w:type="dxa"/>
              <w:left w:w="20" w:type="dxa"/>
              <w:bottom w:w="30" w:type="dxa"/>
              <w:right w:w="20" w:type="dxa"/>
            </w:tcMar>
            <w:vAlign w:val="bottom"/>
            <w:hideMark/>
          </w:tcPr>
          <w:p w14:paraId="6945D847"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3F6A691" w14:textId="77777777" w:rsidR="00000000" w:rsidRDefault="00A173A8">
      <w:pPr>
        <w:rPr>
          <w:rFonts w:eastAsia="Times New Roman"/>
        </w:rPr>
      </w:pPr>
      <w:r>
        <w:rPr>
          <w:rFonts w:eastAsia="Times New Roman"/>
        </w:rPr>
        <w:pict w14:anchorId="482B6874">
          <v:rect id="_x0000_i1100" style="width:0;height:1.5pt" o:hralign="center" o:hrstd="t" o:hr="t" fillcolor="#a0a0a0" stroked="f"/>
        </w:pict>
      </w:r>
    </w:p>
    <w:p w14:paraId="3860FBFE" w14:textId="77777777" w:rsidR="00000000" w:rsidRDefault="00A173A8">
      <w:pPr>
        <w:jc w:val="both"/>
        <w:divId w:val="527064769"/>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2358"/>
        <w:gridCol w:w="38"/>
        <w:gridCol w:w="36"/>
        <w:gridCol w:w="36"/>
        <w:gridCol w:w="36"/>
        <w:gridCol w:w="110"/>
        <w:gridCol w:w="657"/>
        <w:gridCol w:w="170"/>
        <w:gridCol w:w="36"/>
        <w:gridCol w:w="36"/>
        <w:gridCol w:w="36"/>
        <w:gridCol w:w="110"/>
        <w:gridCol w:w="511"/>
        <w:gridCol w:w="170"/>
        <w:gridCol w:w="36"/>
        <w:gridCol w:w="36"/>
        <w:gridCol w:w="36"/>
        <w:gridCol w:w="110"/>
        <w:gridCol w:w="511"/>
        <w:gridCol w:w="170"/>
        <w:gridCol w:w="36"/>
        <w:gridCol w:w="36"/>
        <w:gridCol w:w="36"/>
        <w:gridCol w:w="110"/>
        <w:gridCol w:w="512"/>
        <w:gridCol w:w="170"/>
        <w:gridCol w:w="36"/>
        <w:gridCol w:w="36"/>
        <w:gridCol w:w="36"/>
        <w:gridCol w:w="111"/>
        <w:gridCol w:w="721"/>
        <w:gridCol w:w="170"/>
        <w:gridCol w:w="36"/>
        <w:gridCol w:w="36"/>
        <w:gridCol w:w="36"/>
        <w:gridCol w:w="110"/>
        <w:gridCol w:w="630"/>
        <w:gridCol w:w="170"/>
      </w:tblGrid>
      <w:tr w:rsidR="00000000" w14:paraId="151F4AAE" w14:textId="77777777">
        <w:trPr>
          <w:divId w:val="1311516271"/>
        </w:trPr>
        <w:tc>
          <w:tcPr>
            <w:tcW w:w="50" w:type="pct"/>
            <w:vAlign w:val="center"/>
            <w:hideMark/>
          </w:tcPr>
          <w:p w14:paraId="7BB007A7" w14:textId="77777777" w:rsidR="00000000" w:rsidRDefault="00A173A8">
            <w:pPr>
              <w:jc w:val="both"/>
              <w:rPr>
                <w:rFonts w:eastAsia="Times New Roman"/>
              </w:rPr>
            </w:pPr>
          </w:p>
        </w:tc>
        <w:tc>
          <w:tcPr>
            <w:tcW w:w="1523" w:type="pct"/>
            <w:vAlign w:val="center"/>
            <w:hideMark/>
          </w:tcPr>
          <w:p w14:paraId="2B227D57" w14:textId="77777777" w:rsidR="00000000" w:rsidRDefault="00A173A8">
            <w:pPr>
              <w:spacing w:after="100"/>
              <w:rPr>
                <w:rFonts w:eastAsia="Times New Roman"/>
                <w:sz w:val="20"/>
                <w:szCs w:val="20"/>
              </w:rPr>
            </w:pPr>
          </w:p>
        </w:tc>
        <w:tc>
          <w:tcPr>
            <w:tcW w:w="5" w:type="pct"/>
            <w:vAlign w:val="center"/>
            <w:hideMark/>
          </w:tcPr>
          <w:p w14:paraId="652F4D31" w14:textId="77777777" w:rsidR="00000000" w:rsidRDefault="00A173A8">
            <w:pPr>
              <w:spacing w:after="100"/>
              <w:rPr>
                <w:rFonts w:eastAsia="Times New Roman"/>
                <w:sz w:val="20"/>
                <w:szCs w:val="20"/>
              </w:rPr>
            </w:pPr>
          </w:p>
        </w:tc>
        <w:tc>
          <w:tcPr>
            <w:tcW w:w="5" w:type="pct"/>
            <w:vAlign w:val="center"/>
            <w:hideMark/>
          </w:tcPr>
          <w:p w14:paraId="62B141CA" w14:textId="77777777" w:rsidR="00000000" w:rsidRDefault="00A173A8">
            <w:pPr>
              <w:spacing w:after="100"/>
              <w:rPr>
                <w:rFonts w:eastAsia="Times New Roman"/>
                <w:sz w:val="20"/>
                <w:szCs w:val="20"/>
              </w:rPr>
            </w:pPr>
          </w:p>
        </w:tc>
        <w:tc>
          <w:tcPr>
            <w:tcW w:w="26" w:type="pct"/>
            <w:vAlign w:val="center"/>
            <w:hideMark/>
          </w:tcPr>
          <w:p w14:paraId="4535DF4A" w14:textId="77777777" w:rsidR="00000000" w:rsidRDefault="00A173A8">
            <w:pPr>
              <w:spacing w:after="100"/>
              <w:rPr>
                <w:rFonts w:eastAsia="Times New Roman"/>
                <w:sz w:val="20"/>
                <w:szCs w:val="20"/>
              </w:rPr>
            </w:pPr>
          </w:p>
        </w:tc>
        <w:tc>
          <w:tcPr>
            <w:tcW w:w="5" w:type="pct"/>
            <w:vAlign w:val="center"/>
            <w:hideMark/>
          </w:tcPr>
          <w:p w14:paraId="3EC3EBDB" w14:textId="77777777" w:rsidR="00000000" w:rsidRDefault="00A173A8">
            <w:pPr>
              <w:spacing w:after="100"/>
              <w:rPr>
                <w:rFonts w:eastAsia="Times New Roman"/>
                <w:sz w:val="20"/>
                <w:szCs w:val="20"/>
              </w:rPr>
            </w:pPr>
          </w:p>
        </w:tc>
        <w:tc>
          <w:tcPr>
            <w:tcW w:w="50" w:type="pct"/>
            <w:vAlign w:val="center"/>
            <w:hideMark/>
          </w:tcPr>
          <w:p w14:paraId="7D3BFF74" w14:textId="77777777" w:rsidR="00000000" w:rsidRDefault="00A173A8">
            <w:pPr>
              <w:spacing w:after="100"/>
              <w:rPr>
                <w:rFonts w:eastAsia="Times New Roman"/>
                <w:sz w:val="20"/>
                <w:szCs w:val="20"/>
              </w:rPr>
            </w:pPr>
          </w:p>
        </w:tc>
        <w:tc>
          <w:tcPr>
            <w:tcW w:w="522" w:type="pct"/>
            <w:vAlign w:val="center"/>
            <w:hideMark/>
          </w:tcPr>
          <w:p w14:paraId="01C40F9D" w14:textId="77777777" w:rsidR="00000000" w:rsidRDefault="00A173A8">
            <w:pPr>
              <w:spacing w:after="100"/>
              <w:rPr>
                <w:rFonts w:eastAsia="Times New Roman"/>
                <w:sz w:val="20"/>
                <w:szCs w:val="20"/>
              </w:rPr>
            </w:pPr>
          </w:p>
        </w:tc>
        <w:tc>
          <w:tcPr>
            <w:tcW w:w="5" w:type="pct"/>
            <w:vAlign w:val="center"/>
            <w:hideMark/>
          </w:tcPr>
          <w:p w14:paraId="5997A0EC" w14:textId="77777777" w:rsidR="00000000" w:rsidRDefault="00A173A8">
            <w:pPr>
              <w:spacing w:after="100"/>
              <w:rPr>
                <w:rFonts w:eastAsia="Times New Roman"/>
                <w:sz w:val="20"/>
                <w:szCs w:val="20"/>
              </w:rPr>
            </w:pPr>
          </w:p>
        </w:tc>
        <w:tc>
          <w:tcPr>
            <w:tcW w:w="5" w:type="pct"/>
            <w:vAlign w:val="center"/>
            <w:hideMark/>
          </w:tcPr>
          <w:p w14:paraId="290561FE" w14:textId="77777777" w:rsidR="00000000" w:rsidRDefault="00A173A8">
            <w:pPr>
              <w:spacing w:after="100"/>
              <w:rPr>
                <w:rFonts w:eastAsia="Times New Roman"/>
                <w:sz w:val="20"/>
                <w:szCs w:val="20"/>
              </w:rPr>
            </w:pPr>
          </w:p>
        </w:tc>
        <w:tc>
          <w:tcPr>
            <w:tcW w:w="26" w:type="pct"/>
            <w:vAlign w:val="center"/>
            <w:hideMark/>
          </w:tcPr>
          <w:p w14:paraId="4E8D191A" w14:textId="77777777" w:rsidR="00000000" w:rsidRDefault="00A173A8">
            <w:pPr>
              <w:spacing w:after="100"/>
              <w:rPr>
                <w:rFonts w:eastAsia="Times New Roman"/>
                <w:sz w:val="20"/>
                <w:szCs w:val="20"/>
              </w:rPr>
            </w:pPr>
          </w:p>
        </w:tc>
        <w:tc>
          <w:tcPr>
            <w:tcW w:w="5" w:type="pct"/>
            <w:vAlign w:val="center"/>
            <w:hideMark/>
          </w:tcPr>
          <w:p w14:paraId="1608CD65" w14:textId="77777777" w:rsidR="00000000" w:rsidRDefault="00A173A8">
            <w:pPr>
              <w:spacing w:after="100"/>
              <w:rPr>
                <w:rFonts w:eastAsia="Times New Roman"/>
                <w:sz w:val="20"/>
                <w:szCs w:val="20"/>
              </w:rPr>
            </w:pPr>
          </w:p>
        </w:tc>
        <w:tc>
          <w:tcPr>
            <w:tcW w:w="50" w:type="pct"/>
            <w:vAlign w:val="center"/>
            <w:hideMark/>
          </w:tcPr>
          <w:p w14:paraId="6ABC5216" w14:textId="77777777" w:rsidR="00000000" w:rsidRDefault="00A173A8">
            <w:pPr>
              <w:spacing w:after="100"/>
              <w:rPr>
                <w:rFonts w:eastAsia="Times New Roman"/>
                <w:sz w:val="20"/>
                <w:szCs w:val="20"/>
              </w:rPr>
            </w:pPr>
          </w:p>
        </w:tc>
        <w:tc>
          <w:tcPr>
            <w:tcW w:w="434" w:type="pct"/>
            <w:vAlign w:val="center"/>
            <w:hideMark/>
          </w:tcPr>
          <w:p w14:paraId="55A61140" w14:textId="77777777" w:rsidR="00000000" w:rsidRDefault="00A173A8">
            <w:pPr>
              <w:spacing w:after="100"/>
              <w:rPr>
                <w:rFonts w:eastAsia="Times New Roman"/>
                <w:sz w:val="20"/>
                <w:szCs w:val="20"/>
              </w:rPr>
            </w:pPr>
          </w:p>
        </w:tc>
        <w:tc>
          <w:tcPr>
            <w:tcW w:w="5" w:type="pct"/>
            <w:vAlign w:val="center"/>
            <w:hideMark/>
          </w:tcPr>
          <w:p w14:paraId="5EF0965F" w14:textId="77777777" w:rsidR="00000000" w:rsidRDefault="00A173A8">
            <w:pPr>
              <w:spacing w:after="100"/>
              <w:rPr>
                <w:rFonts w:eastAsia="Times New Roman"/>
                <w:sz w:val="20"/>
                <w:szCs w:val="20"/>
              </w:rPr>
            </w:pPr>
          </w:p>
        </w:tc>
        <w:tc>
          <w:tcPr>
            <w:tcW w:w="5" w:type="pct"/>
            <w:vAlign w:val="center"/>
            <w:hideMark/>
          </w:tcPr>
          <w:p w14:paraId="4EC59759" w14:textId="77777777" w:rsidR="00000000" w:rsidRDefault="00A173A8">
            <w:pPr>
              <w:spacing w:after="100"/>
              <w:rPr>
                <w:rFonts w:eastAsia="Times New Roman"/>
                <w:sz w:val="20"/>
                <w:szCs w:val="20"/>
              </w:rPr>
            </w:pPr>
          </w:p>
        </w:tc>
        <w:tc>
          <w:tcPr>
            <w:tcW w:w="26" w:type="pct"/>
            <w:vAlign w:val="center"/>
            <w:hideMark/>
          </w:tcPr>
          <w:p w14:paraId="0D4C0D33" w14:textId="77777777" w:rsidR="00000000" w:rsidRDefault="00A173A8">
            <w:pPr>
              <w:spacing w:after="100"/>
              <w:rPr>
                <w:rFonts w:eastAsia="Times New Roman"/>
                <w:sz w:val="20"/>
                <w:szCs w:val="20"/>
              </w:rPr>
            </w:pPr>
          </w:p>
        </w:tc>
        <w:tc>
          <w:tcPr>
            <w:tcW w:w="5" w:type="pct"/>
            <w:vAlign w:val="center"/>
            <w:hideMark/>
          </w:tcPr>
          <w:p w14:paraId="39A3052A" w14:textId="77777777" w:rsidR="00000000" w:rsidRDefault="00A173A8">
            <w:pPr>
              <w:spacing w:after="100"/>
              <w:rPr>
                <w:rFonts w:eastAsia="Times New Roman"/>
                <w:sz w:val="20"/>
                <w:szCs w:val="20"/>
              </w:rPr>
            </w:pPr>
          </w:p>
        </w:tc>
        <w:tc>
          <w:tcPr>
            <w:tcW w:w="50" w:type="pct"/>
            <w:vAlign w:val="center"/>
            <w:hideMark/>
          </w:tcPr>
          <w:p w14:paraId="3E09F978" w14:textId="77777777" w:rsidR="00000000" w:rsidRDefault="00A173A8">
            <w:pPr>
              <w:spacing w:after="100"/>
              <w:rPr>
                <w:rFonts w:eastAsia="Times New Roman"/>
                <w:sz w:val="20"/>
                <w:szCs w:val="20"/>
              </w:rPr>
            </w:pPr>
          </w:p>
        </w:tc>
        <w:tc>
          <w:tcPr>
            <w:tcW w:w="434" w:type="pct"/>
            <w:vAlign w:val="center"/>
            <w:hideMark/>
          </w:tcPr>
          <w:p w14:paraId="1FB448F0" w14:textId="77777777" w:rsidR="00000000" w:rsidRDefault="00A173A8">
            <w:pPr>
              <w:spacing w:after="100"/>
              <w:rPr>
                <w:rFonts w:eastAsia="Times New Roman"/>
                <w:sz w:val="20"/>
                <w:szCs w:val="20"/>
              </w:rPr>
            </w:pPr>
          </w:p>
        </w:tc>
        <w:tc>
          <w:tcPr>
            <w:tcW w:w="5" w:type="pct"/>
            <w:vAlign w:val="center"/>
            <w:hideMark/>
          </w:tcPr>
          <w:p w14:paraId="625ED895" w14:textId="77777777" w:rsidR="00000000" w:rsidRDefault="00A173A8">
            <w:pPr>
              <w:spacing w:after="100"/>
              <w:rPr>
                <w:rFonts w:eastAsia="Times New Roman"/>
                <w:sz w:val="20"/>
                <w:szCs w:val="20"/>
              </w:rPr>
            </w:pPr>
          </w:p>
        </w:tc>
        <w:tc>
          <w:tcPr>
            <w:tcW w:w="5" w:type="pct"/>
            <w:vAlign w:val="center"/>
            <w:hideMark/>
          </w:tcPr>
          <w:p w14:paraId="6BA7AB36" w14:textId="77777777" w:rsidR="00000000" w:rsidRDefault="00A173A8">
            <w:pPr>
              <w:spacing w:after="100"/>
              <w:rPr>
                <w:rFonts w:eastAsia="Times New Roman"/>
                <w:sz w:val="20"/>
                <w:szCs w:val="20"/>
              </w:rPr>
            </w:pPr>
          </w:p>
        </w:tc>
        <w:tc>
          <w:tcPr>
            <w:tcW w:w="26" w:type="pct"/>
            <w:vAlign w:val="center"/>
            <w:hideMark/>
          </w:tcPr>
          <w:p w14:paraId="1A6023B7" w14:textId="77777777" w:rsidR="00000000" w:rsidRDefault="00A173A8">
            <w:pPr>
              <w:spacing w:after="100"/>
              <w:rPr>
                <w:rFonts w:eastAsia="Times New Roman"/>
                <w:sz w:val="20"/>
                <w:szCs w:val="20"/>
              </w:rPr>
            </w:pPr>
          </w:p>
        </w:tc>
        <w:tc>
          <w:tcPr>
            <w:tcW w:w="5" w:type="pct"/>
            <w:vAlign w:val="center"/>
            <w:hideMark/>
          </w:tcPr>
          <w:p w14:paraId="7546E8F0" w14:textId="77777777" w:rsidR="00000000" w:rsidRDefault="00A173A8">
            <w:pPr>
              <w:spacing w:after="100"/>
              <w:rPr>
                <w:rFonts w:eastAsia="Times New Roman"/>
                <w:sz w:val="20"/>
                <w:szCs w:val="20"/>
              </w:rPr>
            </w:pPr>
          </w:p>
        </w:tc>
        <w:tc>
          <w:tcPr>
            <w:tcW w:w="50" w:type="pct"/>
            <w:vAlign w:val="center"/>
            <w:hideMark/>
          </w:tcPr>
          <w:p w14:paraId="3C6327A3" w14:textId="77777777" w:rsidR="00000000" w:rsidRDefault="00A173A8">
            <w:pPr>
              <w:spacing w:after="100"/>
              <w:rPr>
                <w:rFonts w:eastAsia="Times New Roman"/>
                <w:sz w:val="20"/>
                <w:szCs w:val="20"/>
              </w:rPr>
            </w:pPr>
          </w:p>
        </w:tc>
        <w:tc>
          <w:tcPr>
            <w:tcW w:w="434" w:type="pct"/>
            <w:vAlign w:val="center"/>
            <w:hideMark/>
          </w:tcPr>
          <w:p w14:paraId="42F47A25" w14:textId="77777777" w:rsidR="00000000" w:rsidRDefault="00A173A8">
            <w:pPr>
              <w:spacing w:after="100"/>
              <w:rPr>
                <w:rFonts w:eastAsia="Times New Roman"/>
                <w:sz w:val="20"/>
                <w:szCs w:val="20"/>
              </w:rPr>
            </w:pPr>
          </w:p>
        </w:tc>
        <w:tc>
          <w:tcPr>
            <w:tcW w:w="5" w:type="pct"/>
            <w:vAlign w:val="center"/>
            <w:hideMark/>
          </w:tcPr>
          <w:p w14:paraId="37FEC6CB" w14:textId="77777777" w:rsidR="00000000" w:rsidRDefault="00A173A8">
            <w:pPr>
              <w:spacing w:after="100"/>
              <w:rPr>
                <w:rFonts w:eastAsia="Times New Roman"/>
                <w:sz w:val="20"/>
                <w:szCs w:val="20"/>
              </w:rPr>
            </w:pPr>
          </w:p>
        </w:tc>
        <w:tc>
          <w:tcPr>
            <w:tcW w:w="5" w:type="pct"/>
            <w:vAlign w:val="center"/>
            <w:hideMark/>
          </w:tcPr>
          <w:p w14:paraId="441D1C0F" w14:textId="77777777" w:rsidR="00000000" w:rsidRDefault="00A173A8">
            <w:pPr>
              <w:spacing w:after="100"/>
              <w:rPr>
                <w:rFonts w:eastAsia="Times New Roman"/>
                <w:sz w:val="20"/>
                <w:szCs w:val="20"/>
              </w:rPr>
            </w:pPr>
          </w:p>
        </w:tc>
        <w:tc>
          <w:tcPr>
            <w:tcW w:w="26" w:type="pct"/>
            <w:vAlign w:val="center"/>
            <w:hideMark/>
          </w:tcPr>
          <w:p w14:paraId="2BCA3BC6" w14:textId="77777777" w:rsidR="00000000" w:rsidRDefault="00A173A8">
            <w:pPr>
              <w:spacing w:after="100"/>
              <w:rPr>
                <w:rFonts w:eastAsia="Times New Roman"/>
                <w:sz w:val="20"/>
                <w:szCs w:val="20"/>
              </w:rPr>
            </w:pPr>
          </w:p>
        </w:tc>
        <w:tc>
          <w:tcPr>
            <w:tcW w:w="5" w:type="pct"/>
            <w:vAlign w:val="center"/>
            <w:hideMark/>
          </w:tcPr>
          <w:p w14:paraId="0863E9FC" w14:textId="77777777" w:rsidR="00000000" w:rsidRDefault="00A173A8">
            <w:pPr>
              <w:spacing w:after="100"/>
              <w:rPr>
                <w:rFonts w:eastAsia="Times New Roman"/>
                <w:sz w:val="20"/>
                <w:szCs w:val="20"/>
              </w:rPr>
            </w:pPr>
          </w:p>
        </w:tc>
        <w:tc>
          <w:tcPr>
            <w:tcW w:w="50" w:type="pct"/>
            <w:vAlign w:val="center"/>
            <w:hideMark/>
          </w:tcPr>
          <w:p w14:paraId="7C140DDC" w14:textId="77777777" w:rsidR="00000000" w:rsidRDefault="00A173A8">
            <w:pPr>
              <w:spacing w:after="100"/>
              <w:rPr>
                <w:rFonts w:eastAsia="Times New Roman"/>
                <w:sz w:val="20"/>
                <w:szCs w:val="20"/>
              </w:rPr>
            </w:pPr>
          </w:p>
        </w:tc>
        <w:tc>
          <w:tcPr>
            <w:tcW w:w="522" w:type="pct"/>
            <w:vAlign w:val="center"/>
            <w:hideMark/>
          </w:tcPr>
          <w:p w14:paraId="28649C4C" w14:textId="77777777" w:rsidR="00000000" w:rsidRDefault="00A173A8">
            <w:pPr>
              <w:spacing w:after="100"/>
              <w:rPr>
                <w:rFonts w:eastAsia="Times New Roman"/>
                <w:sz w:val="20"/>
                <w:szCs w:val="20"/>
              </w:rPr>
            </w:pPr>
          </w:p>
        </w:tc>
        <w:tc>
          <w:tcPr>
            <w:tcW w:w="5" w:type="pct"/>
            <w:vAlign w:val="center"/>
            <w:hideMark/>
          </w:tcPr>
          <w:p w14:paraId="36CCCE53" w14:textId="77777777" w:rsidR="00000000" w:rsidRDefault="00A173A8">
            <w:pPr>
              <w:spacing w:after="100"/>
              <w:rPr>
                <w:rFonts w:eastAsia="Times New Roman"/>
                <w:sz w:val="20"/>
                <w:szCs w:val="20"/>
              </w:rPr>
            </w:pPr>
          </w:p>
        </w:tc>
        <w:tc>
          <w:tcPr>
            <w:tcW w:w="5" w:type="pct"/>
            <w:vAlign w:val="center"/>
            <w:hideMark/>
          </w:tcPr>
          <w:p w14:paraId="6A142143" w14:textId="77777777" w:rsidR="00000000" w:rsidRDefault="00A173A8">
            <w:pPr>
              <w:spacing w:after="100"/>
              <w:rPr>
                <w:rFonts w:eastAsia="Times New Roman"/>
                <w:sz w:val="20"/>
                <w:szCs w:val="20"/>
              </w:rPr>
            </w:pPr>
          </w:p>
        </w:tc>
        <w:tc>
          <w:tcPr>
            <w:tcW w:w="26" w:type="pct"/>
            <w:vAlign w:val="center"/>
            <w:hideMark/>
          </w:tcPr>
          <w:p w14:paraId="214D02C0" w14:textId="77777777" w:rsidR="00000000" w:rsidRDefault="00A173A8">
            <w:pPr>
              <w:spacing w:after="100"/>
              <w:rPr>
                <w:rFonts w:eastAsia="Times New Roman"/>
                <w:sz w:val="20"/>
                <w:szCs w:val="20"/>
              </w:rPr>
            </w:pPr>
          </w:p>
        </w:tc>
        <w:tc>
          <w:tcPr>
            <w:tcW w:w="5" w:type="pct"/>
            <w:vAlign w:val="center"/>
            <w:hideMark/>
          </w:tcPr>
          <w:p w14:paraId="226F3972" w14:textId="77777777" w:rsidR="00000000" w:rsidRDefault="00A173A8">
            <w:pPr>
              <w:spacing w:after="100"/>
              <w:rPr>
                <w:rFonts w:eastAsia="Times New Roman"/>
                <w:sz w:val="20"/>
                <w:szCs w:val="20"/>
              </w:rPr>
            </w:pPr>
          </w:p>
        </w:tc>
        <w:tc>
          <w:tcPr>
            <w:tcW w:w="50" w:type="pct"/>
            <w:vAlign w:val="center"/>
            <w:hideMark/>
          </w:tcPr>
          <w:p w14:paraId="1FFB9F03" w14:textId="77777777" w:rsidR="00000000" w:rsidRDefault="00A173A8">
            <w:pPr>
              <w:spacing w:after="100"/>
              <w:rPr>
                <w:rFonts w:eastAsia="Times New Roman"/>
                <w:sz w:val="20"/>
                <w:szCs w:val="20"/>
              </w:rPr>
            </w:pPr>
          </w:p>
        </w:tc>
        <w:tc>
          <w:tcPr>
            <w:tcW w:w="522" w:type="pct"/>
            <w:vAlign w:val="center"/>
            <w:hideMark/>
          </w:tcPr>
          <w:p w14:paraId="130FEC57" w14:textId="77777777" w:rsidR="00000000" w:rsidRDefault="00A173A8">
            <w:pPr>
              <w:spacing w:after="100"/>
              <w:rPr>
                <w:rFonts w:eastAsia="Times New Roman"/>
                <w:sz w:val="20"/>
                <w:szCs w:val="20"/>
              </w:rPr>
            </w:pPr>
          </w:p>
        </w:tc>
        <w:tc>
          <w:tcPr>
            <w:tcW w:w="5" w:type="pct"/>
            <w:vAlign w:val="center"/>
            <w:hideMark/>
          </w:tcPr>
          <w:p w14:paraId="64EA8C90" w14:textId="77777777" w:rsidR="00000000" w:rsidRDefault="00A173A8">
            <w:pPr>
              <w:spacing w:after="100"/>
              <w:rPr>
                <w:rFonts w:eastAsia="Times New Roman"/>
                <w:sz w:val="20"/>
                <w:szCs w:val="20"/>
              </w:rPr>
            </w:pPr>
          </w:p>
        </w:tc>
      </w:tr>
      <w:tr w:rsidR="00000000" w14:paraId="247B6D1F" w14:textId="77777777">
        <w:trPr>
          <w:divId w:val="1311516271"/>
        </w:trPr>
        <w:tc>
          <w:tcPr>
            <w:tcW w:w="0" w:type="auto"/>
            <w:gridSpan w:val="3"/>
            <w:tcMar>
              <w:top w:w="0" w:type="dxa"/>
              <w:left w:w="20" w:type="dxa"/>
              <w:bottom w:w="0" w:type="dxa"/>
              <w:right w:w="20" w:type="dxa"/>
            </w:tcMar>
            <w:vAlign w:val="center"/>
            <w:hideMark/>
          </w:tcPr>
          <w:p w14:paraId="6C80AAE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2A75BB" w14:textId="77777777" w:rsidR="00000000" w:rsidRDefault="00A173A8">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14:paraId="3AF357C8"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0E0BF936" w14:textId="77777777">
        <w:trPr>
          <w:divId w:val="1311516271"/>
        </w:trPr>
        <w:tc>
          <w:tcPr>
            <w:tcW w:w="0" w:type="auto"/>
            <w:gridSpan w:val="3"/>
            <w:tcMar>
              <w:top w:w="0" w:type="dxa"/>
              <w:left w:w="20" w:type="dxa"/>
              <w:bottom w:w="0" w:type="dxa"/>
              <w:right w:w="20" w:type="dxa"/>
            </w:tcMar>
            <w:vAlign w:val="center"/>
            <w:hideMark/>
          </w:tcPr>
          <w:p w14:paraId="2E161375"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FF53723"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510612"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629789" w14:textId="77777777" w:rsidR="00000000" w:rsidRDefault="00A173A8">
            <w:pPr>
              <w:spacing w:after="100"/>
              <w:rPr>
                <w:rFonts w:eastAsia="Times New Roman"/>
                <w:sz w:val="20"/>
                <w:szCs w:val="20"/>
              </w:rPr>
            </w:pPr>
          </w:p>
        </w:tc>
        <w:tc>
          <w:tcPr>
            <w:tcW w:w="0" w:type="auto"/>
            <w:gridSpan w:val="24"/>
            <w:tcBorders>
              <w:top w:val="single" w:sz="8" w:space="0" w:color="000000"/>
            </w:tcBorders>
            <w:shd w:val="clear" w:color="auto" w:fill="FFFFFF"/>
            <w:tcMar>
              <w:top w:w="30" w:type="dxa"/>
              <w:left w:w="20" w:type="dxa"/>
              <w:bottom w:w="30" w:type="dxa"/>
              <w:right w:w="20" w:type="dxa"/>
            </w:tcMar>
            <w:vAlign w:val="bottom"/>
            <w:hideMark/>
          </w:tcPr>
          <w:p w14:paraId="095C490D" w14:textId="77777777" w:rsidR="00000000" w:rsidRDefault="00A173A8">
            <w:pPr>
              <w:spacing w:after="100"/>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14:paraId="346B28E0" w14:textId="77777777" w:rsidR="00000000" w:rsidRDefault="00A173A8">
            <w:pPr>
              <w:spacing w:after="100"/>
              <w:jc w:val="center"/>
              <w:rPr>
                <w:rFonts w:eastAsia="Times New Roman"/>
              </w:rPr>
            </w:pPr>
          </w:p>
        </w:tc>
      </w:tr>
      <w:tr w:rsidR="00000000" w14:paraId="438660DC" w14:textId="77777777">
        <w:trPr>
          <w:divId w:val="1311516271"/>
        </w:trPr>
        <w:tc>
          <w:tcPr>
            <w:tcW w:w="0" w:type="auto"/>
            <w:gridSpan w:val="3"/>
            <w:tcBorders>
              <w:bottom w:val="single" w:sz="8" w:space="0" w:color="000000"/>
            </w:tcBorders>
            <w:tcMar>
              <w:top w:w="30" w:type="dxa"/>
              <w:left w:w="20" w:type="dxa"/>
              <w:bottom w:w="30" w:type="dxa"/>
              <w:right w:w="20" w:type="dxa"/>
            </w:tcMar>
            <w:vAlign w:val="bottom"/>
            <w:hideMark/>
          </w:tcPr>
          <w:p w14:paraId="7C644C4E"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ED03550"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049A03F9" w14:textId="77777777" w:rsidR="00000000" w:rsidRDefault="00A173A8">
            <w:pPr>
              <w:spacing w:after="100"/>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14:paraId="23972CFE"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A5D553" w14:textId="77777777" w:rsidR="00000000" w:rsidRDefault="00A173A8">
            <w:pPr>
              <w:spacing w:after="100"/>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69F5D52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FFFB4A" w14:textId="77777777" w:rsidR="00000000" w:rsidRDefault="00A173A8">
            <w:pPr>
              <w:spacing w:after="100"/>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14:paraId="7557F47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4B3880" w14:textId="77777777" w:rsidR="00000000" w:rsidRDefault="00A173A8">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14:paraId="42C35F4A" w14:textId="77777777" w:rsidR="00000000" w:rsidRDefault="00A173A8">
            <w:pPr>
              <w:spacing w:after="100"/>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14:paraId="5C2B7D1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6AA1B7" w14:textId="77777777" w:rsidR="00000000" w:rsidRDefault="00A173A8">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14:paraId="14CAB277"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2D2F8F" w14:textId="77777777" w:rsidR="00000000" w:rsidRDefault="00A173A8">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14:paraId="54FE8D9B" w14:textId="77777777">
        <w:trPr>
          <w:divId w:val="1311516271"/>
        </w:trPr>
        <w:tc>
          <w:tcPr>
            <w:tcW w:w="0" w:type="auto"/>
            <w:gridSpan w:val="3"/>
            <w:shd w:val="clear" w:color="auto" w:fill="CCEEFF"/>
            <w:tcMar>
              <w:top w:w="30" w:type="dxa"/>
              <w:left w:w="20" w:type="dxa"/>
              <w:bottom w:w="30" w:type="dxa"/>
              <w:right w:w="20" w:type="dxa"/>
            </w:tcMar>
            <w:vAlign w:val="center"/>
            <w:hideMark/>
          </w:tcPr>
          <w:p w14:paraId="153E9E95" w14:textId="77777777" w:rsidR="00000000" w:rsidRDefault="00A173A8">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1E56789F"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5E31F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AFD88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11856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38D27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EFACE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C8C2D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E7369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2687E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37F66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F5306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4DB3FC" w14:textId="77777777" w:rsidR="00000000" w:rsidRDefault="00A173A8">
            <w:pPr>
              <w:spacing w:after="100"/>
              <w:rPr>
                <w:rFonts w:eastAsia="Times New Roman"/>
                <w:sz w:val="20"/>
                <w:szCs w:val="20"/>
              </w:rPr>
            </w:pPr>
          </w:p>
        </w:tc>
      </w:tr>
      <w:tr w:rsidR="00000000" w14:paraId="2CFA6999" w14:textId="77777777">
        <w:trPr>
          <w:divId w:val="1311516271"/>
        </w:trPr>
        <w:tc>
          <w:tcPr>
            <w:tcW w:w="0" w:type="auto"/>
            <w:gridSpan w:val="3"/>
            <w:shd w:val="clear" w:color="auto" w:fill="FFFFFF"/>
            <w:tcMar>
              <w:top w:w="30" w:type="dxa"/>
              <w:left w:w="245" w:type="dxa"/>
              <w:bottom w:w="30" w:type="dxa"/>
              <w:right w:w="20" w:type="dxa"/>
            </w:tcMar>
            <w:vAlign w:val="center"/>
            <w:hideMark/>
          </w:tcPr>
          <w:p w14:paraId="448B62F4" w14:textId="77777777" w:rsidR="00000000" w:rsidRDefault="00A173A8">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325FF6D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8D8BE5" w14:textId="77777777" w:rsidR="00000000" w:rsidRDefault="00A173A8">
            <w:pPr>
              <w:spacing w:after="100"/>
              <w:jc w:val="right"/>
              <w:rPr>
                <w:rFonts w:eastAsia="Times New Roman"/>
              </w:rPr>
            </w:pPr>
            <w:r>
              <w:rPr>
                <w:rFonts w:eastAsia="Times New Roman"/>
                <w:color w:val="000000"/>
                <w:sz w:val="18"/>
                <w:szCs w:val="18"/>
              </w:rPr>
              <w:t>35,100 </w:t>
            </w:r>
          </w:p>
        </w:tc>
        <w:tc>
          <w:tcPr>
            <w:tcW w:w="0" w:type="auto"/>
            <w:shd w:val="clear" w:color="auto" w:fill="FFFFFF"/>
            <w:tcMar>
              <w:top w:w="30" w:type="dxa"/>
              <w:left w:w="0" w:type="dxa"/>
              <w:bottom w:w="30" w:type="dxa"/>
              <w:right w:w="20" w:type="dxa"/>
            </w:tcMar>
            <w:vAlign w:val="bottom"/>
            <w:hideMark/>
          </w:tcPr>
          <w:p w14:paraId="1F3C985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D651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0C56F6" w14:textId="77777777" w:rsidR="00000000" w:rsidRDefault="00A173A8">
            <w:pPr>
              <w:spacing w:after="100"/>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bottom"/>
            <w:hideMark/>
          </w:tcPr>
          <w:p w14:paraId="5170DD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00AC0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D405D9" w14:textId="77777777" w:rsidR="00000000" w:rsidRDefault="00A173A8">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14:paraId="46F11A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54ED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ECD1A" w14:textId="77777777" w:rsidR="00000000" w:rsidRDefault="00A173A8">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14:paraId="729F11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23C4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4F4523" w14:textId="77777777" w:rsidR="00000000" w:rsidRDefault="00A173A8">
            <w:pPr>
              <w:spacing w:after="100"/>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bottom"/>
            <w:hideMark/>
          </w:tcPr>
          <w:p w14:paraId="321C254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F25A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E36F99" w14:textId="77777777" w:rsidR="00000000" w:rsidRDefault="00A173A8">
            <w:pPr>
              <w:spacing w:after="100"/>
              <w:jc w:val="right"/>
              <w:rPr>
                <w:rFonts w:eastAsia="Times New Roman"/>
              </w:rPr>
            </w:pPr>
            <w:r>
              <w:rPr>
                <w:rFonts w:eastAsia="Times New Roman"/>
                <w:color w:val="000000"/>
                <w:sz w:val="18"/>
                <w:szCs w:val="18"/>
              </w:rPr>
              <w:t>35,262 </w:t>
            </w:r>
          </w:p>
        </w:tc>
        <w:tc>
          <w:tcPr>
            <w:tcW w:w="0" w:type="auto"/>
            <w:shd w:val="clear" w:color="auto" w:fill="FFFFFF"/>
            <w:tcMar>
              <w:top w:w="30" w:type="dxa"/>
              <w:left w:w="0" w:type="dxa"/>
              <w:bottom w:w="30" w:type="dxa"/>
              <w:right w:w="20" w:type="dxa"/>
            </w:tcMar>
            <w:vAlign w:val="bottom"/>
            <w:hideMark/>
          </w:tcPr>
          <w:p w14:paraId="7D3D1FD0" w14:textId="77777777" w:rsidR="00000000" w:rsidRDefault="00A173A8">
            <w:pPr>
              <w:spacing w:after="100"/>
              <w:jc w:val="right"/>
              <w:rPr>
                <w:rFonts w:eastAsia="Times New Roman"/>
              </w:rPr>
            </w:pPr>
          </w:p>
        </w:tc>
      </w:tr>
      <w:tr w:rsidR="00000000" w14:paraId="0A6CA8AB" w14:textId="77777777">
        <w:trPr>
          <w:divId w:val="1311516271"/>
        </w:trPr>
        <w:tc>
          <w:tcPr>
            <w:tcW w:w="0" w:type="auto"/>
            <w:gridSpan w:val="3"/>
            <w:shd w:val="clear" w:color="auto" w:fill="CCEEFF"/>
            <w:tcMar>
              <w:top w:w="30" w:type="dxa"/>
              <w:left w:w="245" w:type="dxa"/>
              <w:bottom w:w="30" w:type="dxa"/>
              <w:right w:w="20" w:type="dxa"/>
            </w:tcMar>
            <w:vAlign w:val="center"/>
            <w:hideMark/>
          </w:tcPr>
          <w:p w14:paraId="1DB1CFF3" w14:textId="77777777" w:rsidR="00000000" w:rsidRDefault="00A173A8">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49836E0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221BB38" w14:textId="77777777" w:rsidR="00000000" w:rsidRDefault="00A173A8">
            <w:pPr>
              <w:spacing w:after="100"/>
              <w:jc w:val="right"/>
              <w:rPr>
                <w:rFonts w:eastAsia="Times New Roman"/>
              </w:rPr>
            </w:pPr>
            <w:r>
              <w:rPr>
                <w:rFonts w:eastAsia="Times New Roman"/>
                <w:color w:val="000000"/>
                <w:sz w:val="18"/>
                <w:szCs w:val="18"/>
              </w:rPr>
              <w:t>49,379 </w:t>
            </w:r>
          </w:p>
        </w:tc>
        <w:tc>
          <w:tcPr>
            <w:tcW w:w="0" w:type="auto"/>
            <w:shd w:val="clear" w:color="auto" w:fill="CCEEFF"/>
            <w:tcMar>
              <w:top w:w="30" w:type="dxa"/>
              <w:left w:w="0" w:type="dxa"/>
              <w:bottom w:w="30" w:type="dxa"/>
              <w:right w:w="20" w:type="dxa"/>
            </w:tcMar>
            <w:vAlign w:val="center"/>
            <w:hideMark/>
          </w:tcPr>
          <w:p w14:paraId="73182C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616A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4FD49E" w14:textId="77777777" w:rsidR="00000000" w:rsidRDefault="00A173A8">
            <w:pPr>
              <w:spacing w:after="100"/>
              <w:jc w:val="right"/>
              <w:rPr>
                <w:rFonts w:eastAsia="Times New Roman"/>
              </w:rPr>
            </w:pPr>
            <w:r>
              <w:rPr>
                <w:rFonts w:eastAsia="Times New Roman"/>
                <w:color w:val="000000"/>
                <w:sz w:val="18"/>
                <w:szCs w:val="18"/>
              </w:rPr>
              <w:t>139 </w:t>
            </w:r>
          </w:p>
        </w:tc>
        <w:tc>
          <w:tcPr>
            <w:tcW w:w="0" w:type="auto"/>
            <w:shd w:val="clear" w:color="auto" w:fill="CCEEFF"/>
            <w:tcMar>
              <w:top w:w="30" w:type="dxa"/>
              <w:left w:w="0" w:type="dxa"/>
              <w:bottom w:w="30" w:type="dxa"/>
              <w:right w:w="20" w:type="dxa"/>
            </w:tcMar>
            <w:vAlign w:val="center"/>
            <w:hideMark/>
          </w:tcPr>
          <w:p w14:paraId="539C83F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FACE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B18058F" w14:textId="77777777" w:rsidR="00000000" w:rsidRDefault="00A173A8">
            <w:pPr>
              <w:spacing w:after="100"/>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center"/>
            <w:hideMark/>
          </w:tcPr>
          <w:p w14:paraId="439A26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B37C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5799CC" w14:textId="77777777" w:rsidR="00000000" w:rsidRDefault="00A173A8">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center"/>
            <w:hideMark/>
          </w:tcPr>
          <w:p w14:paraId="43B3EC0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3400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6C4B2C" w14:textId="77777777" w:rsidR="00000000" w:rsidRDefault="00A173A8">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14:paraId="5D8CAFC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40222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6A5F13" w14:textId="77777777" w:rsidR="00000000" w:rsidRDefault="00A173A8">
            <w:pPr>
              <w:spacing w:after="100"/>
              <w:jc w:val="right"/>
              <w:rPr>
                <w:rFonts w:eastAsia="Times New Roman"/>
              </w:rPr>
            </w:pPr>
            <w:r>
              <w:rPr>
                <w:rFonts w:eastAsia="Times New Roman"/>
                <w:color w:val="000000"/>
                <w:sz w:val="18"/>
                <w:szCs w:val="18"/>
              </w:rPr>
              <w:t>49,660 </w:t>
            </w:r>
          </w:p>
        </w:tc>
        <w:tc>
          <w:tcPr>
            <w:tcW w:w="0" w:type="auto"/>
            <w:shd w:val="clear" w:color="auto" w:fill="CCEEFF"/>
            <w:tcMar>
              <w:top w:w="30" w:type="dxa"/>
              <w:left w:w="0" w:type="dxa"/>
              <w:bottom w:w="30" w:type="dxa"/>
              <w:right w:w="20" w:type="dxa"/>
            </w:tcMar>
            <w:vAlign w:val="center"/>
            <w:hideMark/>
          </w:tcPr>
          <w:p w14:paraId="07CE24F6" w14:textId="77777777" w:rsidR="00000000" w:rsidRDefault="00A173A8">
            <w:pPr>
              <w:spacing w:after="100"/>
              <w:jc w:val="right"/>
              <w:rPr>
                <w:rFonts w:eastAsia="Times New Roman"/>
              </w:rPr>
            </w:pPr>
          </w:p>
        </w:tc>
      </w:tr>
      <w:tr w:rsidR="00000000" w14:paraId="2B57FA96" w14:textId="77777777">
        <w:trPr>
          <w:divId w:val="1311516271"/>
        </w:trPr>
        <w:tc>
          <w:tcPr>
            <w:tcW w:w="0" w:type="auto"/>
            <w:gridSpan w:val="3"/>
            <w:shd w:val="clear" w:color="auto" w:fill="FFFFFF"/>
            <w:tcMar>
              <w:top w:w="30" w:type="dxa"/>
              <w:left w:w="20" w:type="dxa"/>
              <w:bottom w:w="30" w:type="dxa"/>
              <w:right w:w="20" w:type="dxa"/>
            </w:tcMar>
            <w:vAlign w:val="center"/>
            <w:hideMark/>
          </w:tcPr>
          <w:p w14:paraId="058F5D8D" w14:textId="77777777" w:rsidR="00000000" w:rsidRDefault="00A173A8">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68048AE4"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512E2A" w14:textId="77777777" w:rsidR="00000000" w:rsidRDefault="00A173A8">
            <w:pPr>
              <w:spacing w:after="100"/>
              <w:jc w:val="right"/>
              <w:rPr>
                <w:rFonts w:eastAsia="Times New Roman"/>
              </w:rPr>
            </w:pPr>
            <w:r>
              <w:rPr>
                <w:rFonts w:eastAsia="Times New Roman"/>
                <w:color w:val="000000"/>
                <w:sz w:val="18"/>
                <w:szCs w:val="18"/>
              </w:rPr>
              <w:t>84,479 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264B2D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E853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FB8E94B" w14:textId="77777777" w:rsidR="00000000" w:rsidRDefault="00A173A8">
            <w:pPr>
              <w:spacing w:after="100"/>
              <w:jc w:val="right"/>
              <w:rPr>
                <w:rFonts w:eastAsia="Times New Roman"/>
              </w:rPr>
            </w:pPr>
            <w:r>
              <w:rPr>
                <w:rFonts w:eastAsia="Times New Roman"/>
                <w:color w:val="000000"/>
                <w:sz w:val="18"/>
                <w:szCs w:val="18"/>
              </w:rPr>
              <w:t>231 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3DAAE1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4E1D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E691E98" w14:textId="77777777" w:rsidR="00000000" w:rsidRDefault="00A173A8">
            <w:pPr>
              <w:spacing w:after="100"/>
              <w:jc w:val="right"/>
              <w:rPr>
                <w:rFonts w:eastAsia="Times New Roman"/>
              </w:rPr>
            </w:pPr>
            <w:r>
              <w:rPr>
                <w:rFonts w:eastAsia="Times New Roman"/>
                <w:color w:val="000000"/>
                <w:sz w:val="18"/>
                <w:szCs w:val="18"/>
              </w:rPr>
              <w:t>138 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1C7821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764A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3D5DDF" w14:textId="77777777" w:rsidR="00000000" w:rsidRDefault="00A173A8">
            <w:pPr>
              <w:spacing w:after="100"/>
              <w:jc w:val="right"/>
              <w:rPr>
                <w:rFonts w:eastAsia="Times New Roman"/>
              </w:rPr>
            </w:pPr>
            <w:r>
              <w:rPr>
                <w:rFonts w:eastAsia="Times New Roman"/>
                <w:color w:val="000000"/>
                <w:sz w:val="18"/>
                <w:szCs w:val="18"/>
              </w:rPr>
              <w:t>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C46E98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79149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B17C211" w14:textId="77777777" w:rsidR="00000000" w:rsidRDefault="00A173A8">
            <w:pPr>
              <w:spacing w:after="100"/>
              <w:jc w:val="right"/>
              <w:rPr>
                <w:rFonts w:eastAsia="Times New Roman"/>
              </w:rPr>
            </w:pPr>
            <w:r>
              <w:rPr>
                <w:rFonts w:eastAsia="Times New Roman"/>
                <w:color w:val="000000"/>
                <w:sz w:val="18"/>
                <w:szCs w:val="18"/>
              </w:rPr>
              <w:t>443 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97CDE8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14DB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3BF1E34" w14:textId="77777777" w:rsidR="00000000" w:rsidRDefault="00A173A8">
            <w:pPr>
              <w:spacing w:after="100"/>
              <w:jc w:val="right"/>
              <w:rPr>
                <w:rFonts w:eastAsia="Times New Roman"/>
              </w:rPr>
            </w:pPr>
            <w:r>
              <w:rPr>
                <w:rFonts w:eastAsia="Times New Roman"/>
                <w:color w:val="000000"/>
                <w:sz w:val="18"/>
                <w:szCs w:val="18"/>
              </w:rPr>
              <w:t>84,922 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5F677A0" w14:textId="77777777" w:rsidR="00000000" w:rsidRDefault="00A173A8">
            <w:pPr>
              <w:spacing w:after="100"/>
              <w:jc w:val="right"/>
              <w:rPr>
                <w:rFonts w:eastAsia="Times New Roman"/>
              </w:rPr>
            </w:pPr>
          </w:p>
        </w:tc>
      </w:tr>
      <w:tr w:rsidR="00000000" w14:paraId="6D41397B" w14:textId="77777777">
        <w:trPr>
          <w:divId w:val="1311516271"/>
        </w:trPr>
        <w:tc>
          <w:tcPr>
            <w:tcW w:w="0" w:type="auto"/>
            <w:gridSpan w:val="3"/>
            <w:shd w:val="clear" w:color="auto" w:fill="CCEEFF"/>
            <w:tcMar>
              <w:top w:w="30" w:type="dxa"/>
              <w:left w:w="20" w:type="dxa"/>
              <w:bottom w:w="30" w:type="dxa"/>
              <w:right w:w="20" w:type="dxa"/>
            </w:tcMar>
            <w:vAlign w:val="center"/>
            <w:hideMark/>
          </w:tcPr>
          <w:p w14:paraId="69350E94" w14:textId="77777777" w:rsidR="00000000" w:rsidRDefault="00A173A8">
            <w:pPr>
              <w:spacing w:after="100"/>
              <w:divId w:val="1029718370"/>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37D258C"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316474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8B912FB" w14:textId="77777777" w:rsidR="00000000" w:rsidRDefault="00A173A8">
            <w:pPr>
              <w:spacing w:after="100"/>
              <w:jc w:val="right"/>
              <w:rPr>
                <w:rFonts w:eastAsia="Times New Roman"/>
              </w:rPr>
            </w:pPr>
            <w:r>
              <w:rPr>
                <w:rFonts w:eastAsia="Times New Roman"/>
                <w:color w:val="000000"/>
                <w:sz w:val="18"/>
                <w:szCs w:val="18"/>
              </w:rPr>
              <w:t>270,655 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1A1D2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C045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E9FE59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7376CC1" w14:textId="77777777" w:rsidR="00000000" w:rsidRDefault="00A173A8">
            <w:pPr>
              <w:spacing w:after="100"/>
              <w:jc w:val="right"/>
              <w:rPr>
                <w:rFonts w:eastAsia="Times New Roman"/>
              </w:rPr>
            </w:pPr>
            <w:r>
              <w:rPr>
                <w:rFonts w:eastAsia="Times New Roman"/>
                <w:color w:val="000000"/>
                <w:sz w:val="18"/>
                <w:szCs w:val="18"/>
              </w:rPr>
              <w:t>3,501 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5409F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F517A"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1B57BC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A596B0F" w14:textId="77777777" w:rsidR="00000000" w:rsidRDefault="00A173A8">
            <w:pPr>
              <w:spacing w:after="100"/>
              <w:jc w:val="right"/>
              <w:rPr>
                <w:rFonts w:eastAsia="Times New Roman"/>
              </w:rPr>
            </w:pPr>
            <w:r>
              <w:rPr>
                <w:rFonts w:eastAsia="Times New Roman"/>
                <w:color w:val="000000"/>
                <w:sz w:val="18"/>
                <w:szCs w:val="18"/>
              </w:rPr>
              <w:t>1,656 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6D177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29CAC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D54337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2483978" w14:textId="77777777" w:rsidR="00000000" w:rsidRDefault="00A173A8">
            <w:pPr>
              <w:spacing w:after="100"/>
              <w:jc w:val="right"/>
              <w:rPr>
                <w:rFonts w:eastAsia="Times New Roman"/>
              </w:rPr>
            </w:pPr>
            <w:r>
              <w:rPr>
                <w:rFonts w:eastAsia="Times New Roman"/>
                <w:color w:val="000000"/>
                <w:sz w:val="18"/>
                <w:szCs w:val="18"/>
              </w:rPr>
              <w:t>1,528 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D1A27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534C7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6A9F7E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19938DB" w14:textId="77777777" w:rsidR="00000000" w:rsidRDefault="00A173A8">
            <w:pPr>
              <w:spacing w:after="100"/>
              <w:jc w:val="right"/>
              <w:rPr>
                <w:rFonts w:eastAsia="Times New Roman"/>
              </w:rPr>
            </w:pPr>
            <w:r>
              <w:rPr>
                <w:rFonts w:eastAsia="Times New Roman"/>
                <w:color w:val="000000"/>
                <w:sz w:val="18"/>
                <w:szCs w:val="18"/>
              </w:rPr>
              <w:t>6,685 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2709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AE86B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473AEAB"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5009DD4" w14:textId="77777777" w:rsidR="00000000" w:rsidRDefault="00A173A8">
            <w:pPr>
              <w:spacing w:after="100"/>
              <w:jc w:val="right"/>
              <w:rPr>
                <w:rFonts w:eastAsia="Times New Roman"/>
              </w:rPr>
            </w:pPr>
            <w:r>
              <w:rPr>
                <w:rFonts w:eastAsia="Times New Roman"/>
                <w:color w:val="000000"/>
                <w:sz w:val="18"/>
                <w:szCs w:val="18"/>
              </w:rPr>
              <w:t>277,340 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3B3A157" w14:textId="77777777" w:rsidR="00000000" w:rsidRDefault="00A173A8">
            <w:pPr>
              <w:spacing w:after="100"/>
              <w:jc w:val="right"/>
              <w:rPr>
                <w:rFonts w:eastAsia="Times New Roman"/>
              </w:rPr>
            </w:pPr>
          </w:p>
        </w:tc>
      </w:tr>
      <w:tr w:rsidR="00000000" w14:paraId="1CD5EC1A" w14:textId="77777777">
        <w:trPr>
          <w:divId w:val="1311516271"/>
        </w:trPr>
        <w:tc>
          <w:tcPr>
            <w:tcW w:w="0" w:type="auto"/>
            <w:gridSpan w:val="3"/>
            <w:shd w:val="clear" w:color="auto" w:fill="FFFFFF"/>
            <w:tcMar>
              <w:top w:w="30" w:type="dxa"/>
              <w:left w:w="20" w:type="dxa"/>
              <w:bottom w:w="30" w:type="dxa"/>
              <w:right w:w="20" w:type="dxa"/>
            </w:tcMar>
            <w:vAlign w:val="center"/>
            <w:hideMark/>
          </w:tcPr>
          <w:p w14:paraId="7A470A55" w14:textId="77777777" w:rsidR="00000000" w:rsidRDefault="00A173A8">
            <w:pPr>
              <w:spacing w:after="100"/>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14:paraId="12645964" w14:textId="77777777" w:rsidR="00000000" w:rsidRDefault="00A173A8">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2EC60435" w14:textId="77777777" w:rsidR="00000000" w:rsidRDefault="00A173A8">
            <w:pPr>
              <w:spacing w:after="100"/>
              <w:jc w:val="right"/>
              <w:rPr>
                <w:rFonts w:eastAsia="Times New Roman"/>
              </w:rPr>
            </w:pPr>
            <w:r>
              <w:rPr>
                <w:rFonts w:eastAsia="Times New Roman"/>
                <w:color w:val="000000"/>
                <w:sz w:val="18"/>
                <w:szCs w:val="18"/>
              </w:rPr>
              <w:t>97.59 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7D9C258A"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A59197D"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733C213" w14:textId="77777777" w:rsidR="00000000" w:rsidRDefault="00A173A8">
            <w:pPr>
              <w:spacing w:after="100"/>
              <w:jc w:val="right"/>
              <w:rPr>
                <w:rFonts w:eastAsia="Times New Roman"/>
              </w:rPr>
            </w:pPr>
            <w:r>
              <w:rPr>
                <w:rFonts w:eastAsia="Times New Roman"/>
                <w:color w:val="000000"/>
                <w:sz w:val="18"/>
                <w:szCs w:val="18"/>
              </w:rPr>
              <w:t>1.26 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17A941CD"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34E025B"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2BD2F54" w14:textId="77777777" w:rsidR="00000000" w:rsidRDefault="00A173A8">
            <w:pPr>
              <w:spacing w:after="100"/>
              <w:jc w:val="right"/>
              <w:rPr>
                <w:rFonts w:eastAsia="Times New Roman"/>
              </w:rPr>
            </w:pPr>
            <w:r>
              <w:rPr>
                <w:rFonts w:eastAsia="Times New Roman"/>
                <w:color w:val="000000"/>
                <w:sz w:val="18"/>
                <w:szCs w:val="18"/>
              </w:rPr>
              <w:t>0.60 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5ECD9449"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FBEAE95"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213C397C" w14:textId="77777777" w:rsidR="00000000" w:rsidRDefault="00A173A8">
            <w:pPr>
              <w:spacing w:after="100"/>
              <w:jc w:val="right"/>
              <w:rPr>
                <w:rFonts w:eastAsia="Times New Roman"/>
              </w:rPr>
            </w:pPr>
            <w:r>
              <w:rPr>
                <w:rFonts w:eastAsia="Times New Roman"/>
                <w:color w:val="000000"/>
                <w:sz w:val="18"/>
                <w:szCs w:val="18"/>
              </w:rPr>
              <w:t>0.55 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1E761C19"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34209A96"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61D74C79" w14:textId="77777777" w:rsidR="00000000" w:rsidRDefault="00A173A8">
            <w:pPr>
              <w:spacing w:after="100"/>
              <w:jc w:val="right"/>
              <w:rPr>
                <w:rFonts w:eastAsia="Times New Roman"/>
              </w:rPr>
            </w:pPr>
            <w:r>
              <w:rPr>
                <w:rFonts w:eastAsia="Times New Roman"/>
                <w:color w:val="000000"/>
                <w:sz w:val="18"/>
                <w:szCs w:val="18"/>
              </w:rPr>
              <w:t>2.41 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1B9DB1F3"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BC071A6"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14:paraId="70D4B3E2" w14:textId="77777777" w:rsidR="00000000" w:rsidRDefault="00A173A8">
            <w:pPr>
              <w:spacing w:after="100"/>
              <w:jc w:val="right"/>
              <w:rPr>
                <w:rFonts w:eastAsia="Times New Roman"/>
              </w:rPr>
            </w:pPr>
            <w:r>
              <w:rPr>
                <w:rFonts w:eastAsia="Times New Roman"/>
                <w:color w:val="000000"/>
                <w:sz w:val="18"/>
                <w:szCs w:val="18"/>
              </w:rPr>
              <w:t>100.00 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14:paraId="2B05E95A" w14:textId="77777777" w:rsidR="00000000" w:rsidRDefault="00A173A8">
            <w:pPr>
              <w:spacing w:after="100"/>
              <w:jc w:val="right"/>
              <w:rPr>
                <w:rFonts w:eastAsia="Times New Roman"/>
              </w:rPr>
            </w:pPr>
            <w:r>
              <w:rPr>
                <w:rFonts w:eastAsia="Times New Roman"/>
                <w:color w:val="000000"/>
                <w:sz w:val="18"/>
                <w:szCs w:val="18"/>
              </w:rPr>
              <w:t>%</w:t>
            </w:r>
          </w:p>
        </w:tc>
      </w:tr>
    </w:tbl>
    <w:p w14:paraId="55CF6315" w14:textId="77777777" w:rsidR="00000000" w:rsidRDefault="00A173A8">
      <w:pPr>
        <w:divId w:val="1311516271"/>
        <w:rPr>
          <w:rFonts w:eastAsia="Times New Roman"/>
        </w:rPr>
      </w:pPr>
      <w:r>
        <w:rPr>
          <w:rFonts w:eastAsia="Times New Roman"/>
          <w:color w:val="000000"/>
          <w:sz w:val="20"/>
          <w:szCs w:val="20"/>
        </w:rPr>
        <w:t>__________</w:t>
      </w:r>
    </w:p>
    <w:p w14:paraId="1018FAF8" w14:textId="77777777" w:rsidR="00000000" w:rsidRDefault="00A173A8">
      <w:pPr>
        <w:ind w:hanging="360"/>
        <w:jc w:val="both"/>
        <w:divId w:val="8500611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Loans include unamortized premiums and discounts, and unamortized deferred fees and costs totaling $1.4 billion as of both June 30, 2022 and December 31, 2021.</w:t>
      </w:r>
    </w:p>
    <w:p w14:paraId="2960A382" w14:textId="77777777" w:rsidR="00000000" w:rsidRDefault="00A173A8">
      <w:pPr>
        <w:jc w:val="both"/>
        <w:divId w:val="1579946142"/>
        <w:rPr>
          <w:rFonts w:eastAsia="Times New Roman"/>
        </w:rPr>
      </w:pPr>
      <w:r>
        <w:rPr>
          <w:rFonts w:eastAsia="Times New Roman"/>
          <w:color w:val="000000"/>
          <w:sz w:val="20"/>
          <w:szCs w:val="20"/>
        </w:rPr>
        <w:t>The following table presents our loans held for investment that are 90 days or m</w:t>
      </w:r>
      <w:r>
        <w:rPr>
          <w:rFonts w:eastAsia="Times New Roman"/>
          <w:color w:val="000000"/>
          <w:sz w:val="20"/>
          <w:szCs w:val="20"/>
        </w:rPr>
        <w:t>ore past due that continue to accrue interest, loans that are classified as nonperforming and loans that are classified as nonperforming without an allowance as of June 30, 2022 and December 31, 2021. Nonperforming loans generally include loans that have b</w:t>
      </w:r>
      <w:r>
        <w:rPr>
          <w:rFonts w:eastAsia="Times New Roman"/>
          <w:color w:val="000000"/>
          <w:sz w:val="20"/>
          <w:szCs w:val="20"/>
        </w:rPr>
        <w:t>een placed on nonaccrual status.</w:t>
      </w:r>
    </w:p>
    <w:p w14:paraId="7B6D7A87" w14:textId="77777777" w:rsidR="00000000" w:rsidRDefault="00A173A8">
      <w:pPr>
        <w:divId w:val="208685061"/>
        <w:rPr>
          <w:rFonts w:eastAsia="Times New Roman"/>
        </w:rPr>
      </w:pPr>
      <w:r>
        <w:rPr>
          <w:rFonts w:eastAsia="Times New Roman"/>
          <w:b/>
          <w:bCs/>
          <w:color w:val="000000"/>
          <w:sz w:val="18"/>
          <w:szCs w:val="18"/>
        </w:rPr>
        <w:t>Table 3.2: 90+ Day Delinquent Loans Accruing Interest and Nonperforming Loans</w:t>
      </w:r>
    </w:p>
    <w:tbl>
      <w:tblPr>
        <w:tblW w:w="5000" w:type="pct"/>
        <w:tblCellMar>
          <w:top w:w="15" w:type="dxa"/>
          <w:left w:w="15" w:type="dxa"/>
          <w:bottom w:w="15" w:type="dxa"/>
          <w:right w:w="15" w:type="dxa"/>
        </w:tblCellMar>
        <w:tblLook w:val="04A0" w:firstRow="1" w:lastRow="0" w:firstColumn="1" w:lastColumn="0" w:noHBand="0" w:noVBand="1"/>
      </w:tblPr>
      <w:tblGrid>
        <w:gridCol w:w="45"/>
        <w:gridCol w:w="1137"/>
        <w:gridCol w:w="38"/>
        <w:gridCol w:w="36"/>
        <w:gridCol w:w="36"/>
        <w:gridCol w:w="36"/>
        <w:gridCol w:w="110"/>
        <w:gridCol w:w="450"/>
        <w:gridCol w:w="200"/>
        <w:gridCol w:w="36"/>
        <w:gridCol w:w="36"/>
        <w:gridCol w:w="36"/>
        <w:gridCol w:w="111"/>
        <w:gridCol w:w="1002"/>
        <w:gridCol w:w="200"/>
        <w:gridCol w:w="36"/>
        <w:gridCol w:w="36"/>
        <w:gridCol w:w="36"/>
        <w:gridCol w:w="111"/>
        <w:gridCol w:w="1004"/>
        <w:gridCol w:w="200"/>
        <w:gridCol w:w="36"/>
        <w:gridCol w:w="36"/>
        <w:gridCol w:w="36"/>
        <w:gridCol w:w="110"/>
        <w:gridCol w:w="450"/>
        <w:gridCol w:w="170"/>
        <w:gridCol w:w="36"/>
        <w:gridCol w:w="36"/>
        <w:gridCol w:w="36"/>
        <w:gridCol w:w="111"/>
        <w:gridCol w:w="1002"/>
        <w:gridCol w:w="170"/>
        <w:gridCol w:w="36"/>
        <w:gridCol w:w="36"/>
        <w:gridCol w:w="36"/>
        <w:gridCol w:w="111"/>
        <w:gridCol w:w="1004"/>
        <w:gridCol w:w="170"/>
      </w:tblGrid>
      <w:tr w:rsidR="00000000" w14:paraId="13FF059A" w14:textId="77777777">
        <w:trPr>
          <w:divId w:val="290406530"/>
        </w:trPr>
        <w:tc>
          <w:tcPr>
            <w:tcW w:w="50" w:type="pct"/>
            <w:vAlign w:val="center"/>
            <w:hideMark/>
          </w:tcPr>
          <w:p w14:paraId="3202981C" w14:textId="77777777" w:rsidR="00000000" w:rsidRDefault="00A173A8">
            <w:pPr>
              <w:rPr>
                <w:rFonts w:eastAsia="Times New Roman"/>
              </w:rPr>
            </w:pPr>
          </w:p>
        </w:tc>
        <w:tc>
          <w:tcPr>
            <w:tcW w:w="1290" w:type="pct"/>
            <w:vAlign w:val="center"/>
            <w:hideMark/>
          </w:tcPr>
          <w:p w14:paraId="289248CF" w14:textId="77777777" w:rsidR="00000000" w:rsidRDefault="00A173A8">
            <w:pPr>
              <w:spacing w:after="100"/>
              <w:rPr>
                <w:rFonts w:eastAsia="Times New Roman"/>
                <w:sz w:val="20"/>
                <w:szCs w:val="20"/>
              </w:rPr>
            </w:pPr>
          </w:p>
        </w:tc>
        <w:tc>
          <w:tcPr>
            <w:tcW w:w="5" w:type="pct"/>
            <w:vAlign w:val="center"/>
            <w:hideMark/>
          </w:tcPr>
          <w:p w14:paraId="0EFFF07D" w14:textId="77777777" w:rsidR="00000000" w:rsidRDefault="00A173A8">
            <w:pPr>
              <w:spacing w:after="100"/>
              <w:rPr>
                <w:rFonts w:eastAsia="Times New Roman"/>
                <w:sz w:val="20"/>
                <w:szCs w:val="20"/>
              </w:rPr>
            </w:pPr>
          </w:p>
        </w:tc>
        <w:tc>
          <w:tcPr>
            <w:tcW w:w="5" w:type="pct"/>
            <w:vAlign w:val="center"/>
            <w:hideMark/>
          </w:tcPr>
          <w:p w14:paraId="0BB9A33C" w14:textId="77777777" w:rsidR="00000000" w:rsidRDefault="00A173A8">
            <w:pPr>
              <w:spacing w:after="100"/>
              <w:rPr>
                <w:rFonts w:eastAsia="Times New Roman"/>
                <w:sz w:val="20"/>
                <w:szCs w:val="20"/>
              </w:rPr>
            </w:pPr>
          </w:p>
        </w:tc>
        <w:tc>
          <w:tcPr>
            <w:tcW w:w="26" w:type="pct"/>
            <w:vAlign w:val="center"/>
            <w:hideMark/>
          </w:tcPr>
          <w:p w14:paraId="6BB7F4A2" w14:textId="77777777" w:rsidR="00000000" w:rsidRDefault="00A173A8">
            <w:pPr>
              <w:spacing w:after="100"/>
              <w:rPr>
                <w:rFonts w:eastAsia="Times New Roman"/>
                <w:sz w:val="20"/>
                <w:szCs w:val="20"/>
              </w:rPr>
            </w:pPr>
          </w:p>
        </w:tc>
        <w:tc>
          <w:tcPr>
            <w:tcW w:w="5" w:type="pct"/>
            <w:vAlign w:val="center"/>
            <w:hideMark/>
          </w:tcPr>
          <w:p w14:paraId="0B30E1C4" w14:textId="77777777" w:rsidR="00000000" w:rsidRDefault="00A173A8">
            <w:pPr>
              <w:spacing w:after="100"/>
              <w:rPr>
                <w:rFonts w:eastAsia="Times New Roman"/>
                <w:sz w:val="20"/>
                <w:szCs w:val="20"/>
              </w:rPr>
            </w:pPr>
          </w:p>
        </w:tc>
        <w:tc>
          <w:tcPr>
            <w:tcW w:w="50" w:type="pct"/>
            <w:vAlign w:val="center"/>
            <w:hideMark/>
          </w:tcPr>
          <w:p w14:paraId="6D51D9DE" w14:textId="77777777" w:rsidR="00000000" w:rsidRDefault="00A173A8">
            <w:pPr>
              <w:spacing w:after="100"/>
              <w:rPr>
                <w:rFonts w:eastAsia="Times New Roman"/>
                <w:sz w:val="20"/>
                <w:szCs w:val="20"/>
              </w:rPr>
            </w:pPr>
          </w:p>
        </w:tc>
        <w:tc>
          <w:tcPr>
            <w:tcW w:w="493" w:type="pct"/>
            <w:vAlign w:val="center"/>
            <w:hideMark/>
          </w:tcPr>
          <w:p w14:paraId="7820064B" w14:textId="77777777" w:rsidR="00000000" w:rsidRDefault="00A173A8">
            <w:pPr>
              <w:spacing w:after="100"/>
              <w:rPr>
                <w:rFonts w:eastAsia="Times New Roman"/>
                <w:sz w:val="20"/>
                <w:szCs w:val="20"/>
              </w:rPr>
            </w:pPr>
          </w:p>
        </w:tc>
        <w:tc>
          <w:tcPr>
            <w:tcW w:w="5" w:type="pct"/>
            <w:vAlign w:val="center"/>
            <w:hideMark/>
          </w:tcPr>
          <w:p w14:paraId="7F9E53C4" w14:textId="77777777" w:rsidR="00000000" w:rsidRDefault="00A173A8">
            <w:pPr>
              <w:spacing w:after="100"/>
              <w:rPr>
                <w:rFonts w:eastAsia="Times New Roman"/>
                <w:sz w:val="20"/>
                <w:szCs w:val="20"/>
              </w:rPr>
            </w:pPr>
          </w:p>
        </w:tc>
        <w:tc>
          <w:tcPr>
            <w:tcW w:w="5" w:type="pct"/>
            <w:vAlign w:val="center"/>
            <w:hideMark/>
          </w:tcPr>
          <w:p w14:paraId="78009563" w14:textId="77777777" w:rsidR="00000000" w:rsidRDefault="00A173A8">
            <w:pPr>
              <w:spacing w:after="100"/>
              <w:rPr>
                <w:rFonts w:eastAsia="Times New Roman"/>
                <w:sz w:val="20"/>
                <w:szCs w:val="20"/>
              </w:rPr>
            </w:pPr>
          </w:p>
        </w:tc>
        <w:tc>
          <w:tcPr>
            <w:tcW w:w="26" w:type="pct"/>
            <w:vAlign w:val="center"/>
            <w:hideMark/>
          </w:tcPr>
          <w:p w14:paraId="496FFBAA" w14:textId="77777777" w:rsidR="00000000" w:rsidRDefault="00A173A8">
            <w:pPr>
              <w:spacing w:after="100"/>
              <w:rPr>
                <w:rFonts w:eastAsia="Times New Roman"/>
                <w:sz w:val="20"/>
                <w:szCs w:val="20"/>
              </w:rPr>
            </w:pPr>
          </w:p>
        </w:tc>
        <w:tc>
          <w:tcPr>
            <w:tcW w:w="5" w:type="pct"/>
            <w:vAlign w:val="center"/>
            <w:hideMark/>
          </w:tcPr>
          <w:p w14:paraId="6816769B" w14:textId="77777777" w:rsidR="00000000" w:rsidRDefault="00A173A8">
            <w:pPr>
              <w:spacing w:after="100"/>
              <w:rPr>
                <w:rFonts w:eastAsia="Times New Roman"/>
                <w:sz w:val="20"/>
                <w:szCs w:val="20"/>
              </w:rPr>
            </w:pPr>
          </w:p>
        </w:tc>
        <w:tc>
          <w:tcPr>
            <w:tcW w:w="50" w:type="pct"/>
            <w:vAlign w:val="center"/>
            <w:hideMark/>
          </w:tcPr>
          <w:p w14:paraId="40D10DF2" w14:textId="77777777" w:rsidR="00000000" w:rsidRDefault="00A173A8">
            <w:pPr>
              <w:spacing w:after="100"/>
              <w:rPr>
                <w:rFonts w:eastAsia="Times New Roman"/>
                <w:sz w:val="20"/>
                <w:szCs w:val="20"/>
              </w:rPr>
            </w:pPr>
          </w:p>
        </w:tc>
        <w:tc>
          <w:tcPr>
            <w:tcW w:w="522" w:type="pct"/>
            <w:vAlign w:val="center"/>
            <w:hideMark/>
          </w:tcPr>
          <w:p w14:paraId="2F10DD7F" w14:textId="77777777" w:rsidR="00000000" w:rsidRDefault="00A173A8">
            <w:pPr>
              <w:spacing w:after="100"/>
              <w:rPr>
                <w:rFonts w:eastAsia="Times New Roman"/>
                <w:sz w:val="20"/>
                <w:szCs w:val="20"/>
              </w:rPr>
            </w:pPr>
          </w:p>
        </w:tc>
        <w:tc>
          <w:tcPr>
            <w:tcW w:w="5" w:type="pct"/>
            <w:vAlign w:val="center"/>
            <w:hideMark/>
          </w:tcPr>
          <w:p w14:paraId="350E3026" w14:textId="77777777" w:rsidR="00000000" w:rsidRDefault="00A173A8">
            <w:pPr>
              <w:spacing w:after="100"/>
              <w:rPr>
                <w:rFonts w:eastAsia="Times New Roman"/>
                <w:sz w:val="20"/>
                <w:szCs w:val="20"/>
              </w:rPr>
            </w:pPr>
          </w:p>
        </w:tc>
        <w:tc>
          <w:tcPr>
            <w:tcW w:w="5" w:type="pct"/>
            <w:vAlign w:val="center"/>
            <w:hideMark/>
          </w:tcPr>
          <w:p w14:paraId="7C59E191" w14:textId="77777777" w:rsidR="00000000" w:rsidRDefault="00A173A8">
            <w:pPr>
              <w:spacing w:after="100"/>
              <w:rPr>
                <w:rFonts w:eastAsia="Times New Roman"/>
                <w:sz w:val="20"/>
                <w:szCs w:val="20"/>
              </w:rPr>
            </w:pPr>
          </w:p>
        </w:tc>
        <w:tc>
          <w:tcPr>
            <w:tcW w:w="26" w:type="pct"/>
            <w:vAlign w:val="center"/>
            <w:hideMark/>
          </w:tcPr>
          <w:p w14:paraId="1F2F679F" w14:textId="77777777" w:rsidR="00000000" w:rsidRDefault="00A173A8">
            <w:pPr>
              <w:spacing w:after="100"/>
              <w:rPr>
                <w:rFonts w:eastAsia="Times New Roman"/>
                <w:sz w:val="20"/>
                <w:szCs w:val="20"/>
              </w:rPr>
            </w:pPr>
          </w:p>
        </w:tc>
        <w:tc>
          <w:tcPr>
            <w:tcW w:w="5" w:type="pct"/>
            <w:vAlign w:val="center"/>
            <w:hideMark/>
          </w:tcPr>
          <w:p w14:paraId="78A7009F" w14:textId="77777777" w:rsidR="00000000" w:rsidRDefault="00A173A8">
            <w:pPr>
              <w:spacing w:after="100"/>
              <w:rPr>
                <w:rFonts w:eastAsia="Times New Roman"/>
                <w:sz w:val="20"/>
                <w:szCs w:val="20"/>
              </w:rPr>
            </w:pPr>
          </w:p>
        </w:tc>
        <w:tc>
          <w:tcPr>
            <w:tcW w:w="50" w:type="pct"/>
            <w:vAlign w:val="center"/>
            <w:hideMark/>
          </w:tcPr>
          <w:p w14:paraId="39CFC701" w14:textId="77777777" w:rsidR="00000000" w:rsidRDefault="00A173A8">
            <w:pPr>
              <w:spacing w:after="100"/>
              <w:rPr>
                <w:rFonts w:eastAsia="Times New Roman"/>
                <w:sz w:val="20"/>
                <w:szCs w:val="20"/>
              </w:rPr>
            </w:pPr>
          </w:p>
        </w:tc>
        <w:tc>
          <w:tcPr>
            <w:tcW w:w="537" w:type="pct"/>
            <w:vAlign w:val="center"/>
            <w:hideMark/>
          </w:tcPr>
          <w:p w14:paraId="731232EC" w14:textId="77777777" w:rsidR="00000000" w:rsidRDefault="00A173A8">
            <w:pPr>
              <w:spacing w:after="100"/>
              <w:rPr>
                <w:rFonts w:eastAsia="Times New Roman"/>
                <w:sz w:val="20"/>
                <w:szCs w:val="20"/>
              </w:rPr>
            </w:pPr>
          </w:p>
        </w:tc>
        <w:tc>
          <w:tcPr>
            <w:tcW w:w="5" w:type="pct"/>
            <w:vAlign w:val="center"/>
            <w:hideMark/>
          </w:tcPr>
          <w:p w14:paraId="1C388577" w14:textId="77777777" w:rsidR="00000000" w:rsidRDefault="00A173A8">
            <w:pPr>
              <w:spacing w:after="100"/>
              <w:rPr>
                <w:rFonts w:eastAsia="Times New Roman"/>
                <w:sz w:val="20"/>
                <w:szCs w:val="20"/>
              </w:rPr>
            </w:pPr>
          </w:p>
        </w:tc>
        <w:tc>
          <w:tcPr>
            <w:tcW w:w="5" w:type="pct"/>
            <w:vAlign w:val="center"/>
            <w:hideMark/>
          </w:tcPr>
          <w:p w14:paraId="3F64F847" w14:textId="77777777" w:rsidR="00000000" w:rsidRDefault="00A173A8">
            <w:pPr>
              <w:spacing w:after="100"/>
              <w:rPr>
                <w:rFonts w:eastAsia="Times New Roman"/>
                <w:sz w:val="20"/>
                <w:szCs w:val="20"/>
              </w:rPr>
            </w:pPr>
          </w:p>
        </w:tc>
        <w:tc>
          <w:tcPr>
            <w:tcW w:w="26" w:type="pct"/>
            <w:vAlign w:val="center"/>
            <w:hideMark/>
          </w:tcPr>
          <w:p w14:paraId="1F9591AA" w14:textId="77777777" w:rsidR="00000000" w:rsidRDefault="00A173A8">
            <w:pPr>
              <w:spacing w:after="100"/>
              <w:rPr>
                <w:rFonts w:eastAsia="Times New Roman"/>
                <w:sz w:val="20"/>
                <w:szCs w:val="20"/>
              </w:rPr>
            </w:pPr>
          </w:p>
        </w:tc>
        <w:tc>
          <w:tcPr>
            <w:tcW w:w="5" w:type="pct"/>
            <w:vAlign w:val="center"/>
            <w:hideMark/>
          </w:tcPr>
          <w:p w14:paraId="4801E061" w14:textId="77777777" w:rsidR="00000000" w:rsidRDefault="00A173A8">
            <w:pPr>
              <w:spacing w:after="100"/>
              <w:rPr>
                <w:rFonts w:eastAsia="Times New Roman"/>
                <w:sz w:val="20"/>
                <w:szCs w:val="20"/>
              </w:rPr>
            </w:pPr>
          </w:p>
        </w:tc>
        <w:tc>
          <w:tcPr>
            <w:tcW w:w="50" w:type="pct"/>
            <w:vAlign w:val="center"/>
            <w:hideMark/>
          </w:tcPr>
          <w:p w14:paraId="0B09B6DE" w14:textId="77777777" w:rsidR="00000000" w:rsidRDefault="00A173A8">
            <w:pPr>
              <w:spacing w:after="100"/>
              <w:rPr>
                <w:rFonts w:eastAsia="Times New Roman"/>
                <w:sz w:val="20"/>
                <w:szCs w:val="20"/>
              </w:rPr>
            </w:pPr>
          </w:p>
        </w:tc>
        <w:tc>
          <w:tcPr>
            <w:tcW w:w="493" w:type="pct"/>
            <w:vAlign w:val="center"/>
            <w:hideMark/>
          </w:tcPr>
          <w:p w14:paraId="0EB91D05" w14:textId="77777777" w:rsidR="00000000" w:rsidRDefault="00A173A8">
            <w:pPr>
              <w:spacing w:after="100"/>
              <w:rPr>
                <w:rFonts w:eastAsia="Times New Roman"/>
                <w:sz w:val="20"/>
                <w:szCs w:val="20"/>
              </w:rPr>
            </w:pPr>
          </w:p>
        </w:tc>
        <w:tc>
          <w:tcPr>
            <w:tcW w:w="5" w:type="pct"/>
            <w:vAlign w:val="center"/>
            <w:hideMark/>
          </w:tcPr>
          <w:p w14:paraId="6E9B0F65" w14:textId="77777777" w:rsidR="00000000" w:rsidRDefault="00A173A8">
            <w:pPr>
              <w:spacing w:after="100"/>
              <w:rPr>
                <w:rFonts w:eastAsia="Times New Roman"/>
                <w:sz w:val="20"/>
                <w:szCs w:val="20"/>
              </w:rPr>
            </w:pPr>
          </w:p>
        </w:tc>
        <w:tc>
          <w:tcPr>
            <w:tcW w:w="5" w:type="pct"/>
            <w:vAlign w:val="center"/>
            <w:hideMark/>
          </w:tcPr>
          <w:p w14:paraId="4DAA99F0" w14:textId="77777777" w:rsidR="00000000" w:rsidRDefault="00A173A8">
            <w:pPr>
              <w:spacing w:after="100"/>
              <w:rPr>
                <w:rFonts w:eastAsia="Times New Roman"/>
                <w:sz w:val="20"/>
                <w:szCs w:val="20"/>
              </w:rPr>
            </w:pPr>
          </w:p>
        </w:tc>
        <w:tc>
          <w:tcPr>
            <w:tcW w:w="26" w:type="pct"/>
            <w:vAlign w:val="center"/>
            <w:hideMark/>
          </w:tcPr>
          <w:p w14:paraId="24E07CF5" w14:textId="77777777" w:rsidR="00000000" w:rsidRDefault="00A173A8">
            <w:pPr>
              <w:spacing w:after="100"/>
              <w:rPr>
                <w:rFonts w:eastAsia="Times New Roman"/>
                <w:sz w:val="20"/>
                <w:szCs w:val="20"/>
              </w:rPr>
            </w:pPr>
          </w:p>
        </w:tc>
        <w:tc>
          <w:tcPr>
            <w:tcW w:w="5" w:type="pct"/>
            <w:vAlign w:val="center"/>
            <w:hideMark/>
          </w:tcPr>
          <w:p w14:paraId="532684A4" w14:textId="77777777" w:rsidR="00000000" w:rsidRDefault="00A173A8">
            <w:pPr>
              <w:spacing w:after="100"/>
              <w:rPr>
                <w:rFonts w:eastAsia="Times New Roman"/>
                <w:sz w:val="20"/>
                <w:szCs w:val="20"/>
              </w:rPr>
            </w:pPr>
          </w:p>
        </w:tc>
        <w:tc>
          <w:tcPr>
            <w:tcW w:w="50" w:type="pct"/>
            <w:vAlign w:val="center"/>
            <w:hideMark/>
          </w:tcPr>
          <w:p w14:paraId="07BB65EB" w14:textId="77777777" w:rsidR="00000000" w:rsidRDefault="00A173A8">
            <w:pPr>
              <w:spacing w:after="100"/>
              <w:rPr>
                <w:rFonts w:eastAsia="Times New Roman"/>
                <w:sz w:val="20"/>
                <w:szCs w:val="20"/>
              </w:rPr>
            </w:pPr>
          </w:p>
        </w:tc>
        <w:tc>
          <w:tcPr>
            <w:tcW w:w="522" w:type="pct"/>
            <w:vAlign w:val="center"/>
            <w:hideMark/>
          </w:tcPr>
          <w:p w14:paraId="3B418FC9" w14:textId="77777777" w:rsidR="00000000" w:rsidRDefault="00A173A8">
            <w:pPr>
              <w:spacing w:after="100"/>
              <w:rPr>
                <w:rFonts w:eastAsia="Times New Roman"/>
                <w:sz w:val="20"/>
                <w:szCs w:val="20"/>
              </w:rPr>
            </w:pPr>
          </w:p>
        </w:tc>
        <w:tc>
          <w:tcPr>
            <w:tcW w:w="5" w:type="pct"/>
            <w:vAlign w:val="center"/>
            <w:hideMark/>
          </w:tcPr>
          <w:p w14:paraId="5D35DA53" w14:textId="77777777" w:rsidR="00000000" w:rsidRDefault="00A173A8">
            <w:pPr>
              <w:spacing w:after="100"/>
              <w:rPr>
                <w:rFonts w:eastAsia="Times New Roman"/>
                <w:sz w:val="20"/>
                <w:szCs w:val="20"/>
              </w:rPr>
            </w:pPr>
          </w:p>
        </w:tc>
        <w:tc>
          <w:tcPr>
            <w:tcW w:w="5" w:type="pct"/>
            <w:vAlign w:val="center"/>
            <w:hideMark/>
          </w:tcPr>
          <w:p w14:paraId="760586DA" w14:textId="77777777" w:rsidR="00000000" w:rsidRDefault="00A173A8">
            <w:pPr>
              <w:spacing w:after="100"/>
              <w:rPr>
                <w:rFonts w:eastAsia="Times New Roman"/>
                <w:sz w:val="20"/>
                <w:szCs w:val="20"/>
              </w:rPr>
            </w:pPr>
          </w:p>
        </w:tc>
        <w:tc>
          <w:tcPr>
            <w:tcW w:w="26" w:type="pct"/>
            <w:vAlign w:val="center"/>
            <w:hideMark/>
          </w:tcPr>
          <w:p w14:paraId="4D135E31" w14:textId="77777777" w:rsidR="00000000" w:rsidRDefault="00A173A8">
            <w:pPr>
              <w:spacing w:after="100"/>
              <w:rPr>
                <w:rFonts w:eastAsia="Times New Roman"/>
                <w:sz w:val="20"/>
                <w:szCs w:val="20"/>
              </w:rPr>
            </w:pPr>
          </w:p>
        </w:tc>
        <w:tc>
          <w:tcPr>
            <w:tcW w:w="5" w:type="pct"/>
            <w:vAlign w:val="center"/>
            <w:hideMark/>
          </w:tcPr>
          <w:p w14:paraId="7B116785" w14:textId="77777777" w:rsidR="00000000" w:rsidRDefault="00A173A8">
            <w:pPr>
              <w:spacing w:after="100"/>
              <w:rPr>
                <w:rFonts w:eastAsia="Times New Roman"/>
                <w:sz w:val="20"/>
                <w:szCs w:val="20"/>
              </w:rPr>
            </w:pPr>
          </w:p>
        </w:tc>
        <w:tc>
          <w:tcPr>
            <w:tcW w:w="50" w:type="pct"/>
            <w:vAlign w:val="center"/>
            <w:hideMark/>
          </w:tcPr>
          <w:p w14:paraId="65BD64D5" w14:textId="77777777" w:rsidR="00000000" w:rsidRDefault="00A173A8">
            <w:pPr>
              <w:spacing w:after="100"/>
              <w:rPr>
                <w:rFonts w:eastAsia="Times New Roman"/>
                <w:sz w:val="20"/>
                <w:szCs w:val="20"/>
              </w:rPr>
            </w:pPr>
          </w:p>
        </w:tc>
        <w:tc>
          <w:tcPr>
            <w:tcW w:w="537" w:type="pct"/>
            <w:vAlign w:val="center"/>
            <w:hideMark/>
          </w:tcPr>
          <w:p w14:paraId="2DD2219D" w14:textId="77777777" w:rsidR="00000000" w:rsidRDefault="00A173A8">
            <w:pPr>
              <w:spacing w:after="100"/>
              <w:rPr>
                <w:rFonts w:eastAsia="Times New Roman"/>
                <w:sz w:val="20"/>
                <w:szCs w:val="20"/>
              </w:rPr>
            </w:pPr>
          </w:p>
        </w:tc>
        <w:tc>
          <w:tcPr>
            <w:tcW w:w="5" w:type="pct"/>
            <w:vAlign w:val="center"/>
            <w:hideMark/>
          </w:tcPr>
          <w:p w14:paraId="71603C87" w14:textId="77777777" w:rsidR="00000000" w:rsidRDefault="00A173A8">
            <w:pPr>
              <w:spacing w:after="100"/>
              <w:rPr>
                <w:rFonts w:eastAsia="Times New Roman"/>
                <w:sz w:val="20"/>
                <w:szCs w:val="20"/>
              </w:rPr>
            </w:pPr>
          </w:p>
        </w:tc>
      </w:tr>
      <w:tr w:rsidR="00000000" w14:paraId="703D16F2" w14:textId="77777777">
        <w:trPr>
          <w:divId w:val="290406530"/>
        </w:trPr>
        <w:tc>
          <w:tcPr>
            <w:tcW w:w="0" w:type="auto"/>
            <w:gridSpan w:val="3"/>
            <w:tcMar>
              <w:top w:w="0" w:type="dxa"/>
              <w:left w:w="20" w:type="dxa"/>
              <w:bottom w:w="0" w:type="dxa"/>
              <w:right w:w="20" w:type="dxa"/>
            </w:tcMar>
            <w:vAlign w:val="center"/>
            <w:hideMark/>
          </w:tcPr>
          <w:p w14:paraId="3986907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61869D"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A761D44"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704D604A" w14:textId="77777777" w:rsidR="00000000" w:rsidRDefault="00A173A8">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6373E5A0"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426D873A" w14:textId="77777777">
        <w:trPr>
          <w:divId w:val="290406530"/>
        </w:trPr>
        <w:tc>
          <w:tcPr>
            <w:tcW w:w="0" w:type="auto"/>
            <w:gridSpan w:val="3"/>
            <w:tcBorders>
              <w:bottom w:val="single" w:sz="8" w:space="0" w:color="000000"/>
            </w:tcBorders>
            <w:tcMar>
              <w:top w:w="30" w:type="dxa"/>
              <w:left w:w="20" w:type="dxa"/>
              <w:bottom w:w="30" w:type="dxa"/>
              <w:right w:w="20" w:type="dxa"/>
            </w:tcMar>
            <w:vAlign w:val="bottom"/>
            <w:hideMark/>
          </w:tcPr>
          <w:p w14:paraId="72A62A5D"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BB413B7"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653CE7" w14:textId="77777777" w:rsidR="00000000" w:rsidRDefault="00A173A8">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14:paraId="24DE59A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219577" w14:textId="77777777" w:rsidR="00000000" w:rsidRDefault="00A173A8">
            <w:pPr>
              <w:spacing w:after="100"/>
              <w:jc w:val="center"/>
              <w:rPr>
                <w:rFonts w:eastAsia="Times New Roman"/>
              </w:rPr>
            </w:pPr>
            <w:r>
              <w:rPr>
                <w:rFonts w:eastAsia="Times New Roman"/>
                <w:b/>
                <w:bCs/>
                <w:color w:val="000000"/>
                <w:sz w:val="16"/>
                <w:szCs w:val="16"/>
              </w:rPr>
              <w:t xml:space="preserve">Nonperforming </w:t>
            </w:r>
          </w:p>
          <w:p w14:paraId="006FA225" w14:textId="77777777" w:rsidR="00000000" w:rsidRDefault="00A173A8">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5AC037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0EB188" w14:textId="77777777" w:rsidR="00000000" w:rsidRDefault="00A173A8">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c>
          <w:tcPr>
            <w:tcW w:w="0" w:type="auto"/>
            <w:gridSpan w:val="3"/>
            <w:tcMar>
              <w:top w:w="0" w:type="dxa"/>
              <w:left w:w="20" w:type="dxa"/>
              <w:bottom w:w="0" w:type="dxa"/>
              <w:right w:w="20" w:type="dxa"/>
            </w:tcMar>
            <w:vAlign w:val="center"/>
            <w:hideMark/>
          </w:tcPr>
          <w:p w14:paraId="25BD74D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382C0D" w14:textId="77777777" w:rsidR="00000000" w:rsidRDefault="00A173A8">
            <w:pPr>
              <w:spacing w:after="100"/>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14:paraId="35FEE7A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09F878" w14:textId="77777777" w:rsidR="00000000" w:rsidRDefault="00A173A8">
            <w:pPr>
              <w:spacing w:after="100"/>
              <w:jc w:val="center"/>
              <w:rPr>
                <w:rFonts w:eastAsia="Times New Roman"/>
              </w:rPr>
            </w:pPr>
            <w:r>
              <w:rPr>
                <w:rFonts w:eastAsia="Times New Roman"/>
                <w:b/>
                <w:bCs/>
                <w:color w:val="000000"/>
                <w:sz w:val="16"/>
                <w:szCs w:val="16"/>
              </w:rPr>
              <w:t xml:space="preserve">Nonperforming </w:t>
            </w:r>
          </w:p>
          <w:p w14:paraId="0C8DBE4E" w14:textId="77777777" w:rsidR="00000000" w:rsidRDefault="00A173A8">
            <w:pPr>
              <w:spacing w:after="100"/>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4CA7E5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75DBECC" w14:textId="77777777" w:rsidR="00000000" w:rsidRDefault="00A173A8">
            <w:pPr>
              <w:spacing w:after="100"/>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t> Loans Without an Allowance</w:t>
            </w:r>
          </w:p>
        </w:tc>
      </w:tr>
      <w:tr w:rsidR="00000000" w14:paraId="11D136AA" w14:textId="77777777">
        <w:trPr>
          <w:divId w:val="29040653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EE9A438" w14:textId="77777777" w:rsidR="00000000" w:rsidRDefault="00A173A8">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644DE49D"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48470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D8E7C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3F8A4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A9150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9930D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4A7D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D6B75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45851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0E909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CD487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62011A" w14:textId="77777777" w:rsidR="00000000" w:rsidRDefault="00A173A8">
            <w:pPr>
              <w:spacing w:after="100"/>
              <w:rPr>
                <w:rFonts w:eastAsia="Times New Roman"/>
                <w:sz w:val="20"/>
                <w:szCs w:val="20"/>
              </w:rPr>
            </w:pPr>
          </w:p>
        </w:tc>
      </w:tr>
      <w:tr w:rsidR="00000000" w14:paraId="17011FB2" w14:textId="77777777">
        <w:trPr>
          <w:divId w:val="290406530"/>
        </w:trPr>
        <w:tc>
          <w:tcPr>
            <w:tcW w:w="0" w:type="auto"/>
            <w:gridSpan w:val="3"/>
            <w:shd w:val="clear" w:color="auto" w:fill="FFFFFF"/>
            <w:tcMar>
              <w:top w:w="30" w:type="dxa"/>
              <w:left w:w="245" w:type="dxa"/>
              <w:bottom w:w="30" w:type="dxa"/>
              <w:right w:w="20" w:type="dxa"/>
            </w:tcMar>
            <w:vAlign w:val="center"/>
            <w:hideMark/>
          </w:tcPr>
          <w:p w14:paraId="222AC0BF" w14:textId="77777777" w:rsidR="00000000" w:rsidRDefault="00A173A8">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5D312093"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0BB824A"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4823762" w14:textId="77777777" w:rsidR="00000000" w:rsidRDefault="00A173A8">
            <w:pPr>
              <w:spacing w:after="100"/>
              <w:jc w:val="right"/>
              <w:rPr>
                <w:rFonts w:eastAsia="Times New Roman"/>
              </w:rPr>
            </w:pPr>
            <w:r>
              <w:rPr>
                <w:rFonts w:eastAsia="Times New Roman"/>
                <w:b/>
                <w:bCs/>
                <w:color w:val="000000"/>
                <w:sz w:val="18"/>
                <w:szCs w:val="18"/>
              </w:rPr>
              <w:t>1,196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293970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1594BA"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5DF76B5A"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77DE35FB"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2C9D9AB"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4B035C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70C30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D2EC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3E7B24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AAF138D" w14:textId="77777777" w:rsidR="00000000" w:rsidRDefault="00A173A8">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bottom"/>
            <w:hideMark/>
          </w:tcPr>
          <w:p w14:paraId="398DE62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C46A60"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14:paraId="71319B6C"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17246111"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9AC932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C953D8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466CE32" w14:textId="77777777" w:rsidR="00000000" w:rsidRDefault="00A173A8">
            <w:pPr>
              <w:spacing w:after="100"/>
              <w:jc w:val="right"/>
              <w:rPr>
                <w:rFonts w:eastAsia="Times New Roman"/>
              </w:rPr>
            </w:pPr>
          </w:p>
        </w:tc>
      </w:tr>
      <w:tr w:rsidR="00000000" w14:paraId="29FAD5BC" w14:textId="77777777">
        <w:trPr>
          <w:divId w:val="290406530"/>
        </w:trPr>
        <w:tc>
          <w:tcPr>
            <w:tcW w:w="0" w:type="auto"/>
            <w:gridSpan w:val="3"/>
            <w:shd w:val="clear" w:color="auto" w:fill="CCEEFF"/>
            <w:tcMar>
              <w:top w:w="30" w:type="dxa"/>
              <w:left w:w="245" w:type="dxa"/>
              <w:bottom w:w="30" w:type="dxa"/>
              <w:right w:w="20" w:type="dxa"/>
            </w:tcMar>
            <w:vAlign w:val="center"/>
            <w:hideMark/>
          </w:tcPr>
          <w:p w14:paraId="2129A6BD" w14:textId="77777777" w:rsidR="00000000" w:rsidRDefault="00A173A8">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55EE678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0712E4" w14:textId="77777777" w:rsidR="00000000" w:rsidRDefault="00A173A8">
            <w:pPr>
              <w:spacing w:after="100"/>
              <w:jc w:val="right"/>
              <w:rPr>
                <w:rFonts w:eastAsia="Times New Roman"/>
              </w:rPr>
            </w:pPr>
            <w:r>
              <w:rPr>
                <w:rFonts w:eastAsia="Times New Roman"/>
                <w:b/>
                <w:bCs/>
                <w:color w:val="000000"/>
                <w:sz w:val="18"/>
                <w:szCs w:val="18"/>
              </w:rPr>
              <w:t>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6C950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E5CCE"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5AF8D8"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43093E2D" w14:textId="77777777" w:rsidR="00000000" w:rsidRDefault="00A173A8">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4A317A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CFD45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12B41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F9310E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C12C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696A96" w14:textId="77777777" w:rsidR="00000000" w:rsidRDefault="00A173A8">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14:paraId="132AAD9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192E7"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7D921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F5A64F4" w14:textId="77777777" w:rsidR="00000000" w:rsidRDefault="00A173A8">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59DFD45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E2A09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37B28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AC88748" w14:textId="77777777" w:rsidR="00000000" w:rsidRDefault="00A173A8">
            <w:pPr>
              <w:spacing w:after="100"/>
              <w:jc w:val="right"/>
              <w:rPr>
                <w:rFonts w:eastAsia="Times New Roman"/>
              </w:rPr>
            </w:pPr>
          </w:p>
        </w:tc>
      </w:tr>
      <w:tr w:rsidR="00000000" w14:paraId="7F0B8FA7" w14:textId="77777777">
        <w:trPr>
          <w:divId w:val="290406530"/>
        </w:trPr>
        <w:tc>
          <w:tcPr>
            <w:tcW w:w="0" w:type="auto"/>
            <w:gridSpan w:val="3"/>
            <w:shd w:val="clear" w:color="auto" w:fill="FFFFFF"/>
            <w:tcMar>
              <w:top w:w="30" w:type="dxa"/>
              <w:left w:w="20" w:type="dxa"/>
              <w:bottom w:w="30" w:type="dxa"/>
              <w:right w:w="20" w:type="dxa"/>
            </w:tcMar>
            <w:vAlign w:val="center"/>
            <w:hideMark/>
          </w:tcPr>
          <w:p w14:paraId="16E65B73" w14:textId="77777777" w:rsidR="00000000" w:rsidRDefault="00A173A8">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1E4F0F90"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14D769" w14:textId="77777777" w:rsidR="00000000" w:rsidRDefault="00A173A8">
            <w:pPr>
              <w:spacing w:after="100"/>
              <w:jc w:val="right"/>
              <w:rPr>
                <w:rFonts w:eastAsia="Times New Roman"/>
              </w:rPr>
            </w:pPr>
            <w:r>
              <w:rPr>
                <w:rFonts w:eastAsia="Times New Roman"/>
                <w:b/>
                <w:bCs/>
                <w:color w:val="000000"/>
                <w:sz w:val="18"/>
                <w:szCs w:val="18"/>
              </w:rPr>
              <w:t>1,284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98B7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A59B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E05F14" w14:textId="77777777" w:rsidR="00000000" w:rsidRDefault="00A173A8">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AC527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E37A2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D2712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4CB5F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EDD73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6636F2" w14:textId="77777777" w:rsidR="00000000" w:rsidRDefault="00A173A8">
            <w:pPr>
              <w:spacing w:after="100"/>
              <w:jc w:val="right"/>
              <w:rPr>
                <w:rFonts w:eastAsia="Times New Roman"/>
              </w:rPr>
            </w:pPr>
            <w:r>
              <w:rPr>
                <w:rFonts w:eastAsia="Times New Roman"/>
                <w:color w:val="000000"/>
                <w:sz w:val="18"/>
                <w:szCs w:val="18"/>
              </w:rPr>
              <w:t>1,192 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568C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663DB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5B84DB" w14:textId="77777777" w:rsidR="00000000" w:rsidRDefault="00A173A8">
            <w:pPr>
              <w:spacing w:after="100"/>
              <w:jc w:val="right"/>
              <w:rPr>
                <w:rFonts w:eastAsia="Times New Roman"/>
              </w:rPr>
            </w:pPr>
            <w:r>
              <w:rPr>
                <w:rFonts w:eastAsia="Times New Roman"/>
                <w:color w:val="000000"/>
                <w:sz w:val="18"/>
                <w:szCs w:val="18"/>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04A67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72119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18E3B0"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E37BA7" w14:textId="77777777" w:rsidR="00000000" w:rsidRDefault="00A173A8">
            <w:pPr>
              <w:spacing w:after="100"/>
              <w:jc w:val="right"/>
              <w:rPr>
                <w:rFonts w:eastAsia="Times New Roman"/>
              </w:rPr>
            </w:pPr>
          </w:p>
        </w:tc>
      </w:tr>
      <w:tr w:rsidR="00000000" w14:paraId="55BE19C9" w14:textId="77777777">
        <w:trPr>
          <w:divId w:val="290406530"/>
        </w:trPr>
        <w:tc>
          <w:tcPr>
            <w:tcW w:w="0" w:type="auto"/>
            <w:gridSpan w:val="3"/>
            <w:shd w:val="clear" w:color="auto" w:fill="CCEEFF"/>
            <w:tcMar>
              <w:top w:w="30" w:type="dxa"/>
              <w:left w:w="20" w:type="dxa"/>
              <w:bottom w:w="30" w:type="dxa"/>
              <w:right w:w="20" w:type="dxa"/>
            </w:tcMar>
            <w:vAlign w:val="center"/>
            <w:hideMark/>
          </w:tcPr>
          <w:p w14:paraId="7992FFA3" w14:textId="77777777" w:rsidR="00000000" w:rsidRDefault="00A173A8">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176607BA"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43399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06547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E2381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8D7C8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EF222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FE2D9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2740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E0C37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B7627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49CFA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AFA0F0" w14:textId="77777777" w:rsidR="00000000" w:rsidRDefault="00A173A8">
            <w:pPr>
              <w:spacing w:after="100"/>
              <w:rPr>
                <w:rFonts w:eastAsia="Times New Roman"/>
                <w:sz w:val="20"/>
                <w:szCs w:val="20"/>
              </w:rPr>
            </w:pPr>
          </w:p>
        </w:tc>
      </w:tr>
      <w:tr w:rsidR="00000000" w14:paraId="2C87C354" w14:textId="77777777">
        <w:trPr>
          <w:divId w:val="290406530"/>
        </w:trPr>
        <w:tc>
          <w:tcPr>
            <w:tcW w:w="0" w:type="auto"/>
            <w:gridSpan w:val="3"/>
            <w:shd w:val="clear" w:color="auto" w:fill="FFFFFF"/>
            <w:tcMar>
              <w:top w:w="30" w:type="dxa"/>
              <w:left w:w="245" w:type="dxa"/>
              <w:bottom w:w="30" w:type="dxa"/>
              <w:right w:w="20" w:type="dxa"/>
            </w:tcMar>
            <w:vAlign w:val="center"/>
            <w:hideMark/>
          </w:tcPr>
          <w:p w14:paraId="78F024EF" w14:textId="77777777" w:rsidR="00000000" w:rsidRDefault="00A173A8">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2FC5DAC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66411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1DB9F1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7314B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EF7958" w14:textId="77777777" w:rsidR="00000000" w:rsidRDefault="00A173A8">
            <w:pPr>
              <w:spacing w:after="100"/>
              <w:jc w:val="right"/>
              <w:rPr>
                <w:rFonts w:eastAsia="Times New Roman"/>
              </w:rPr>
            </w:pPr>
            <w:r>
              <w:rPr>
                <w:rFonts w:eastAsia="Times New Roman"/>
                <w:b/>
                <w:bCs/>
                <w:color w:val="000000"/>
                <w:sz w:val="18"/>
                <w:szCs w:val="18"/>
              </w:rPr>
              <w:t>398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0EE0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D7307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6B660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35EC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C7F27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AD96F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8859CE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150F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AED2A" w14:textId="77777777" w:rsidR="00000000" w:rsidRDefault="00A173A8">
            <w:pPr>
              <w:spacing w:after="100"/>
              <w:jc w:val="right"/>
              <w:rPr>
                <w:rFonts w:eastAsia="Times New Roman"/>
              </w:rPr>
            </w:pPr>
            <w:r>
              <w:rPr>
                <w:rFonts w:eastAsia="Times New Roman"/>
                <w:color w:val="000000"/>
                <w:sz w:val="18"/>
                <w:szCs w:val="18"/>
              </w:rPr>
              <w:t>344 </w:t>
            </w:r>
          </w:p>
        </w:tc>
        <w:tc>
          <w:tcPr>
            <w:tcW w:w="0" w:type="auto"/>
            <w:shd w:val="clear" w:color="auto" w:fill="FFFFFF"/>
            <w:tcMar>
              <w:top w:w="30" w:type="dxa"/>
              <w:left w:w="0" w:type="dxa"/>
              <w:bottom w:w="30" w:type="dxa"/>
              <w:right w:w="20" w:type="dxa"/>
            </w:tcMar>
            <w:vAlign w:val="bottom"/>
            <w:hideMark/>
          </w:tcPr>
          <w:p w14:paraId="5D9946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968A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A0D99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4C82031" w14:textId="77777777" w:rsidR="00000000" w:rsidRDefault="00A173A8">
            <w:pPr>
              <w:spacing w:after="100"/>
              <w:jc w:val="right"/>
              <w:rPr>
                <w:rFonts w:eastAsia="Times New Roman"/>
              </w:rPr>
            </w:pPr>
          </w:p>
        </w:tc>
      </w:tr>
      <w:tr w:rsidR="00000000" w14:paraId="48C405DE" w14:textId="77777777">
        <w:trPr>
          <w:divId w:val="290406530"/>
        </w:trPr>
        <w:tc>
          <w:tcPr>
            <w:tcW w:w="0" w:type="auto"/>
            <w:gridSpan w:val="3"/>
            <w:shd w:val="clear" w:color="auto" w:fill="CCEEFF"/>
            <w:tcMar>
              <w:top w:w="30" w:type="dxa"/>
              <w:left w:w="245" w:type="dxa"/>
              <w:bottom w:w="30" w:type="dxa"/>
              <w:right w:w="20" w:type="dxa"/>
            </w:tcMar>
            <w:vAlign w:val="center"/>
            <w:hideMark/>
          </w:tcPr>
          <w:p w14:paraId="6F5D4AF3" w14:textId="77777777" w:rsidR="00000000" w:rsidRDefault="00A173A8">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6911398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D89D3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1481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C6627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D042B" w14:textId="77777777" w:rsidR="00000000" w:rsidRDefault="00A173A8">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D55A6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90EF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210343" w14:textId="77777777" w:rsidR="00000000" w:rsidRDefault="00A173A8">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886E4C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36C0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550CA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9D466E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B55E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9C2192" w14:textId="77777777" w:rsidR="00000000" w:rsidRDefault="00A173A8">
            <w:pPr>
              <w:spacing w:after="100"/>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14:paraId="22C081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37022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B26CE"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56EC77FD" w14:textId="77777777" w:rsidR="00000000" w:rsidRDefault="00A173A8">
            <w:pPr>
              <w:spacing w:after="100"/>
              <w:jc w:val="right"/>
              <w:rPr>
                <w:rFonts w:eastAsia="Times New Roman"/>
              </w:rPr>
            </w:pPr>
          </w:p>
        </w:tc>
      </w:tr>
      <w:tr w:rsidR="00000000" w14:paraId="63B1A8F3" w14:textId="77777777">
        <w:trPr>
          <w:divId w:val="290406530"/>
        </w:trPr>
        <w:tc>
          <w:tcPr>
            <w:tcW w:w="0" w:type="auto"/>
            <w:gridSpan w:val="3"/>
            <w:shd w:val="clear" w:color="auto" w:fill="FFFFFF"/>
            <w:tcMar>
              <w:top w:w="30" w:type="dxa"/>
              <w:left w:w="20" w:type="dxa"/>
              <w:bottom w:w="30" w:type="dxa"/>
              <w:right w:w="20" w:type="dxa"/>
            </w:tcMar>
            <w:vAlign w:val="center"/>
            <w:hideMark/>
          </w:tcPr>
          <w:p w14:paraId="2321F123" w14:textId="77777777" w:rsidR="00000000" w:rsidRDefault="00A173A8">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682C9D3C"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98F89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86758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56A0D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6637AC" w14:textId="77777777" w:rsidR="00000000" w:rsidRDefault="00A173A8">
            <w:pPr>
              <w:spacing w:after="100"/>
              <w:jc w:val="right"/>
              <w:rPr>
                <w:rFonts w:eastAsia="Times New Roman"/>
              </w:rPr>
            </w:pPr>
            <w:r>
              <w:rPr>
                <w:rFonts w:eastAsia="Times New Roman"/>
                <w:b/>
                <w:bCs/>
                <w:color w:val="000000"/>
                <w:sz w:val="18"/>
                <w:szCs w:val="18"/>
              </w:rPr>
              <w:t>440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727E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941F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E49997" w14:textId="77777777" w:rsidR="00000000" w:rsidRDefault="00A173A8">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E50F3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6B21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6BCE4A"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D5B8D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1B0C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88A35B" w14:textId="77777777" w:rsidR="00000000" w:rsidRDefault="00A173A8">
            <w:pPr>
              <w:spacing w:after="100"/>
              <w:jc w:val="right"/>
              <w:rPr>
                <w:rFonts w:eastAsia="Times New Roman"/>
              </w:rPr>
            </w:pPr>
            <w:r>
              <w:rPr>
                <w:rFonts w:eastAsia="Times New Roman"/>
                <w:color w:val="000000"/>
                <w:sz w:val="18"/>
                <w:szCs w:val="18"/>
              </w:rPr>
              <w:t>391 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EFAFB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34577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0C7096" w14:textId="77777777" w:rsidR="00000000" w:rsidRDefault="00A173A8">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47EF3B" w14:textId="77777777" w:rsidR="00000000" w:rsidRDefault="00A173A8">
            <w:pPr>
              <w:spacing w:after="100"/>
              <w:jc w:val="right"/>
              <w:rPr>
                <w:rFonts w:eastAsia="Times New Roman"/>
              </w:rPr>
            </w:pPr>
          </w:p>
        </w:tc>
      </w:tr>
      <w:tr w:rsidR="00000000" w14:paraId="4F969349" w14:textId="77777777">
        <w:trPr>
          <w:divId w:val="290406530"/>
        </w:trPr>
        <w:tc>
          <w:tcPr>
            <w:tcW w:w="0" w:type="auto"/>
            <w:gridSpan w:val="3"/>
            <w:shd w:val="clear" w:color="auto" w:fill="CCEEFF"/>
            <w:tcMar>
              <w:top w:w="30" w:type="dxa"/>
              <w:left w:w="20" w:type="dxa"/>
              <w:bottom w:w="30" w:type="dxa"/>
              <w:right w:w="20" w:type="dxa"/>
            </w:tcMar>
            <w:vAlign w:val="center"/>
            <w:hideMark/>
          </w:tcPr>
          <w:p w14:paraId="31AB53E9" w14:textId="77777777" w:rsidR="00000000" w:rsidRDefault="00A173A8">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14BEDF20"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827B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7BD4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E5039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C6A30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69E73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8EDD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2A4E4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0960C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D225C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0036A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3EA6ED" w14:textId="77777777" w:rsidR="00000000" w:rsidRDefault="00A173A8">
            <w:pPr>
              <w:spacing w:after="100"/>
              <w:rPr>
                <w:rFonts w:eastAsia="Times New Roman"/>
                <w:sz w:val="20"/>
                <w:szCs w:val="20"/>
              </w:rPr>
            </w:pPr>
          </w:p>
        </w:tc>
      </w:tr>
      <w:tr w:rsidR="00000000" w14:paraId="01B3AF4D" w14:textId="77777777">
        <w:trPr>
          <w:divId w:val="290406530"/>
        </w:trPr>
        <w:tc>
          <w:tcPr>
            <w:tcW w:w="0" w:type="auto"/>
            <w:gridSpan w:val="3"/>
            <w:shd w:val="clear" w:color="auto" w:fill="FFFFFF"/>
            <w:tcMar>
              <w:top w:w="30" w:type="dxa"/>
              <w:left w:w="245" w:type="dxa"/>
              <w:bottom w:w="30" w:type="dxa"/>
              <w:right w:w="20" w:type="dxa"/>
            </w:tcMar>
            <w:vAlign w:val="center"/>
            <w:hideMark/>
          </w:tcPr>
          <w:p w14:paraId="5E9D3268" w14:textId="77777777" w:rsidR="00000000" w:rsidRDefault="00A173A8">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4FA3A64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2F0494" w14:textId="77777777" w:rsidR="00000000" w:rsidRDefault="00A173A8">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ACF753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165F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41DFDE" w14:textId="77777777" w:rsidR="00000000" w:rsidRDefault="00A173A8">
            <w:pPr>
              <w:spacing w:after="100"/>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361C6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C12E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9D0074" w14:textId="77777777" w:rsidR="00000000" w:rsidRDefault="00A173A8">
            <w:pPr>
              <w:spacing w:after="100"/>
              <w:jc w:val="right"/>
              <w:rPr>
                <w:rFonts w:eastAsia="Times New Roman"/>
              </w:rPr>
            </w:pPr>
            <w:r>
              <w:rPr>
                <w:rFonts w:eastAsia="Times New Roman"/>
                <w:b/>
                <w:bCs/>
                <w:color w:val="000000"/>
                <w:sz w:val="18"/>
                <w:szCs w:val="18"/>
              </w:rPr>
              <w:t>266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273D4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65BBA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CFC18" w14:textId="77777777" w:rsidR="00000000" w:rsidRDefault="00A173A8">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65BFD2F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C90E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1F41C8" w14:textId="77777777" w:rsidR="00000000" w:rsidRDefault="00A173A8">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bottom"/>
            <w:hideMark/>
          </w:tcPr>
          <w:p w14:paraId="562B96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509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C74795" w14:textId="77777777" w:rsidR="00000000" w:rsidRDefault="00A173A8">
            <w:pPr>
              <w:spacing w:after="100"/>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bottom"/>
            <w:hideMark/>
          </w:tcPr>
          <w:p w14:paraId="5A120E19" w14:textId="77777777" w:rsidR="00000000" w:rsidRDefault="00A173A8">
            <w:pPr>
              <w:spacing w:after="100"/>
              <w:jc w:val="right"/>
              <w:rPr>
                <w:rFonts w:eastAsia="Times New Roman"/>
              </w:rPr>
            </w:pPr>
          </w:p>
        </w:tc>
      </w:tr>
      <w:tr w:rsidR="00000000" w14:paraId="3C5E55FD" w14:textId="77777777">
        <w:trPr>
          <w:divId w:val="290406530"/>
        </w:trPr>
        <w:tc>
          <w:tcPr>
            <w:tcW w:w="0" w:type="auto"/>
            <w:gridSpan w:val="3"/>
            <w:shd w:val="clear" w:color="auto" w:fill="CCEEFF"/>
            <w:tcMar>
              <w:top w:w="30" w:type="dxa"/>
              <w:left w:w="245" w:type="dxa"/>
              <w:bottom w:w="30" w:type="dxa"/>
              <w:right w:w="20" w:type="dxa"/>
            </w:tcMar>
            <w:vAlign w:val="center"/>
            <w:hideMark/>
          </w:tcPr>
          <w:p w14:paraId="6558C4C2" w14:textId="77777777" w:rsidR="00000000" w:rsidRDefault="00A173A8">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198131A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59AE3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77DBE8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02807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06CC51" w14:textId="77777777" w:rsidR="00000000" w:rsidRDefault="00A173A8">
            <w:pPr>
              <w:spacing w:after="100"/>
              <w:jc w:val="right"/>
              <w:rPr>
                <w:rFonts w:eastAsia="Times New Roman"/>
              </w:rPr>
            </w:pPr>
            <w:r>
              <w:rPr>
                <w:rFonts w:eastAsia="Times New Roman"/>
                <w:b/>
                <w:bCs/>
                <w:color w:val="000000"/>
                <w:sz w:val="18"/>
                <w:szCs w:val="18"/>
              </w:rPr>
              <w:t>361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D901A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1A01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084BB5" w14:textId="77777777" w:rsidR="00000000" w:rsidRDefault="00A173A8">
            <w:pPr>
              <w:spacing w:after="100"/>
              <w:jc w:val="right"/>
              <w:rPr>
                <w:rFonts w:eastAsia="Times New Roman"/>
              </w:rPr>
            </w:pPr>
            <w:r>
              <w:rPr>
                <w:rFonts w:eastAsia="Times New Roman"/>
                <w:b/>
                <w:bCs/>
                <w:color w:val="000000"/>
                <w:sz w:val="18"/>
                <w:szCs w:val="18"/>
              </w:rPr>
              <w:t>214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64D2A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349F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49F56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F594F3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1753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3A45E0" w14:textId="77777777" w:rsidR="00000000" w:rsidRDefault="00A173A8">
            <w:pPr>
              <w:spacing w:after="100"/>
              <w:jc w:val="right"/>
              <w:rPr>
                <w:rFonts w:eastAsia="Times New Roman"/>
              </w:rPr>
            </w:pPr>
            <w:r>
              <w:rPr>
                <w:rFonts w:eastAsia="Times New Roman"/>
                <w:color w:val="000000"/>
                <w:sz w:val="18"/>
                <w:szCs w:val="18"/>
              </w:rPr>
              <w:t>316 </w:t>
            </w:r>
          </w:p>
        </w:tc>
        <w:tc>
          <w:tcPr>
            <w:tcW w:w="0" w:type="auto"/>
            <w:shd w:val="clear" w:color="auto" w:fill="CCEEFF"/>
            <w:tcMar>
              <w:top w:w="30" w:type="dxa"/>
              <w:left w:w="0" w:type="dxa"/>
              <w:bottom w:w="30" w:type="dxa"/>
              <w:right w:w="20" w:type="dxa"/>
            </w:tcMar>
            <w:vAlign w:val="bottom"/>
            <w:hideMark/>
          </w:tcPr>
          <w:p w14:paraId="3897712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BAEC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CD773E" w14:textId="77777777" w:rsidR="00000000" w:rsidRDefault="00A173A8">
            <w:pPr>
              <w:spacing w:after="100"/>
              <w:jc w:val="right"/>
              <w:rPr>
                <w:rFonts w:eastAsia="Times New Roman"/>
              </w:rPr>
            </w:pPr>
            <w:r>
              <w:rPr>
                <w:rFonts w:eastAsia="Times New Roman"/>
                <w:color w:val="000000"/>
                <w:sz w:val="18"/>
                <w:szCs w:val="18"/>
              </w:rPr>
              <w:t>257 </w:t>
            </w:r>
          </w:p>
        </w:tc>
        <w:tc>
          <w:tcPr>
            <w:tcW w:w="0" w:type="auto"/>
            <w:shd w:val="clear" w:color="auto" w:fill="CCEEFF"/>
            <w:tcMar>
              <w:top w:w="30" w:type="dxa"/>
              <w:left w:w="0" w:type="dxa"/>
              <w:bottom w:w="30" w:type="dxa"/>
              <w:right w:w="20" w:type="dxa"/>
            </w:tcMar>
            <w:vAlign w:val="bottom"/>
            <w:hideMark/>
          </w:tcPr>
          <w:p w14:paraId="576442AA" w14:textId="77777777" w:rsidR="00000000" w:rsidRDefault="00A173A8">
            <w:pPr>
              <w:spacing w:after="100"/>
              <w:jc w:val="right"/>
              <w:rPr>
                <w:rFonts w:eastAsia="Times New Roman"/>
              </w:rPr>
            </w:pPr>
          </w:p>
        </w:tc>
      </w:tr>
      <w:tr w:rsidR="00000000" w14:paraId="11B7DAAF" w14:textId="77777777">
        <w:trPr>
          <w:divId w:val="290406530"/>
        </w:trPr>
        <w:tc>
          <w:tcPr>
            <w:tcW w:w="0" w:type="auto"/>
            <w:gridSpan w:val="3"/>
            <w:shd w:val="clear" w:color="auto" w:fill="FFFFFF"/>
            <w:tcMar>
              <w:top w:w="30" w:type="dxa"/>
              <w:left w:w="20" w:type="dxa"/>
              <w:bottom w:w="30" w:type="dxa"/>
              <w:right w:w="20" w:type="dxa"/>
            </w:tcMar>
            <w:vAlign w:val="center"/>
            <w:hideMark/>
          </w:tcPr>
          <w:p w14:paraId="0A15A9C6" w14:textId="77777777" w:rsidR="00000000" w:rsidRDefault="00A173A8">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7C1EC2C1"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225E4C" w14:textId="77777777" w:rsidR="00000000" w:rsidRDefault="00A173A8">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8870F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16D2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A5FD7C" w14:textId="77777777" w:rsidR="00000000" w:rsidRDefault="00A173A8">
            <w:pPr>
              <w:spacing w:after="100"/>
              <w:jc w:val="right"/>
              <w:rPr>
                <w:rFonts w:eastAsia="Times New Roman"/>
              </w:rPr>
            </w:pPr>
            <w:r>
              <w:rPr>
                <w:rFonts w:eastAsia="Times New Roman"/>
                <w:b/>
                <w:bCs/>
                <w:color w:val="000000"/>
                <w:sz w:val="18"/>
                <w:szCs w:val="18"/>
              </w:rPr>
              <w:t>655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FA69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A8330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B985A0" w14:textId="77777777" w:rsidR="00000000" w:rsidRDefault="00A173A8">
            <w:pPr>
              <w:spacing w:after="100"/>
              <w:jc w:val="right"/>
              <w:rPr>
                <w:rFonts w:eastAsia="Times New Roman"/>
              </w:rPr>
            </w:pPr>
            <w:r>
              <w:rPr>
                <w:rFonts w:eastAsia="Times New Roman"/>
                <w:b/>
                <w:bCs/>
                <w:color w:val="000000"/>
                <w:sz w:val="18"/>
                <w:szCs w:val="18"/>
              </w:rPr>
              <w:t>480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484A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6691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09CB3B" w14:textId="77777777" w:rsidR="00000000" w:rsidRDefault="00A173A8">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C65B4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A9235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BC9072" w14:textId="77777777" w:rsidR="00000000" w:rsidRDefault="00A173A8">
            <w:pPr>
              <w:spacing w:after="100"/>
              <w:jc w:val="right"/>
              <w:rPr>
                <w:rFonts w:eastAsia="Times New Roman"/>
              </w:rPr>
            </w:pPr>
            <w:r>
              <w:rPr>
                <w:rFonts w:eastAsia="Times New Roman"/>
                <w:color w:val="000000"/>
                <w:sz w:val="18"/>
                <w:szCs w:val="18"/>
              </w:rPr>
              <w:t>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FE643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56928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402002" w14:textId="77777777" w:rsidR="00000000" w:rsidRDefault="00A173A8">
            <w:pPr>
              <w:spacing w:after="100"/>
              <w:jc w:val="right"/>
              <w:rPr>
                <w:rFonts w:eastAsia="Times New Roman"/>
              </w:rPr>
            </w:pPr>
            <w:r>
              <w:rPr>
                <w:rFonts w:eastAsia="Times New Roman"/>
                <w:color w:val="000000"/>
                <w:sz w:val="18"/>
                <w:szCs w:val="18"/>
              </w:rPr>
              <w:t>525 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18B3D6" w14:textId="77777777" w:rsidR="00000000" w:rsidRDefault="00A173A8">
            <w:pPr>
              <w:spacing w:after="100"/>
              <w:jc w:val="right"/>
              <w:rPr>
                <w:rFonts w:eastAsia="Times New Roman"/>
              </w:rPr>
            </w:pPr>
          </w:p>
        </w:tc>
      </w:tr>
      <w:tr w:rsidR="00000000" w14:paraId="103314AF" w14:textId="77777777">
        <w:trPr>
          <w:divId w:val="290406530"/>
        </w:trPr>
        <w:tc>
          <w:tcPr>
            <w:tcW w:w="0" w:type="auto"/>
            <w:gridSpan w:val="3"/>
            <w:shd w:val="clear" w:color="auto" w:fill="CCEEFF"/>
            <w:tcMar>
              <w:top w:w="30" w:type="dxa"/>
              <w:left w:w="20" w:type="dxa"/>
              <w:bottom w:w="30" w:type="dxa"/>
              <w:right w:w="20" w:type="dxa"/>
            </w:tcMar>
            <w:vAlign w:val="center"/>
            <w:hideMark/>
          </w:tcPr>
          <w:p w14:paraId="554D190E" w14:textId="77777777" w:rsidR="00000000" w:rsidRDefault="00A173A8">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09C711BF"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006FD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CEEEA1" w14:textId="77777777" w:rsidR="00000000" w:rsidRDefault="00A173A8">
            <w:pPr>
              <w:spacing w:after="100"/>
              <w:jc w:val="right"/>
              <w:rPr>
                <w:rFonts w:eastAsia="Times New Roman"/>
              </w:rPr>
            </w:pPr>
            <w:r>
              <w:rPr>
                <w:rFonts w:eastAsia="Times New Roman"/>
                <w:b/>
                <w:bCs/>
                <w:color w:val="000000"/>
                <w:sz w:val="18"/>
                <w:szCs w:val="18"/>
              </w:rPr>
              <w:t>1,304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A595C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0579A"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DD740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B91C84" w14:textId="77777777" w:rsidR="00000000" w:rsidRDefault="00A173A8">
            <w:pPr>
              <w:spacing w:after="100"/>
              <w:jc w:val="right"/>
              <w:rPr>
                <w:rFonts w:eastAsia="Times New Roman"/>
              </w:rPr>
            </w:pPr>
            <w:r>
              <w:rPr>
                <w:rFonts w:eastAsia="Times New Roman"/>
                <w:b/>
                <w:bCs/>
                <w:color w:val="000000"/>
                <w:sz w:val="18"/>
                <w:szCs w:val="18"/>
              </w:rPr>
              <w:t>1,103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87C3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76275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D0D09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DECE26" w14:textId="77777777" w:rsidR="00000000" w:rsidRDefault="00A173A8">
            <w:pPr>
              <w:spacing w:after="100"/>
              <w:jc w:val="right"/>
              <w:rPr>
                <w:rFonts w:eastAsia="Times New Roman"/>
              </w:rPr>
            </w:pPr>
            <w:r>
              <w:rPr>
                <w:rFonts w:eastAsia="Times New Roman"/>
                <w:b/>
                <w:bCs/>
                <w:color w:val="000000"/>
                <w:sz w:val="18"/>
                <w:szCs w:val="18"/>
              </w:rPr>
              <w:t>488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9788D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9251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C21D0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E19998" w14:textId="77777777" w:rsidR="00000000" w:rsidRDefault="00A173A8">
            <w:pPr>
              <w:spacing w:after="100"/>
              <w:jc w:val="right"/>
              <w:rPr>
                <w:rFonts w:eastAsia="Times New Roman"/>
              </w:rPr>
            </w:pPr>
            <w:r>
              <w:rPr>
                <w:rFonts w:eastAsia="Times New Roman"/>
                <w:color w:val="000000"/>
                <w:sz w:val="18"/>
                <w:szCs w:val="18"/>
              </w:rPr>
              <w:t>1,195 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CE51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B9FA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C8DF8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33FC4E" w14:textId="77777777" w:rsidR="00000000" w:rsidRDefault="00A173A8">
            <w:pPr>
              <w:spacing w:after="100"/>
              <w:jc w:val="right"/>
              <w:rPr>
                <w:rFonts w:eastAsia="Times New Roman"/>
              </w:rPr>
            </w:pPr>
            <w:r>
              <w:rPr>
                <w:rFonts w:eastAsia="Times New Roman"/>
                <w:color w:val="000000"/>
                <w:sz w:val="18"/>
                <w:szCs w:val="18"/>
              </w:rPr>
              <w:t>1,100 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633A5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C2EF8E"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6CF87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85044A" w14:textId="77777777" w:rsidR="00000000" w:rsidRDefault="00A173A8">
            <w:pPr>
              <w:spacing w:after="100"/>
              <w:jc w:val="right"/>
              <w:rPr>
                <w:rFonts w:eastAsia="Times New Roman"/>
              </w:rPr>
            </w:pPr>
            <w:r>
              <w:rPr>
                <w:rFonts w:eastAsia="Times New Roman"/>
                <w:color w:val="000000"/>
                <w:sz w:val="18"/>
                <w:szCs w:val="18"/>
              </w:rPr>
              <w:t>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02458D" w14:textId="77777777" w:rsidR="00000000" w:rsidRDefault="00A173A8">
            <w:pPr>
              <w:spacing w:after="100"/>
              <w:jc w:val="right"/>
              <w:rPr>
                <w:rFonts w:eastAsia="Times New Roman"/>
              </w:rPr>
            </w:pPr>
          </w:p>
        </w:tc>
      </w:tr>
      <w:tr w:rsidR="00000000" w14:paraId="55E86DDC" w14:textId="77777777">
        <w:trPr>
          <w:divId w:val="290406530"/>
        </w:trPr>
        <w:tc>
          <w:tcPr>
            <w:tcW w:w="0" w:type="auto"/>
            <w:gridSpan w:val="3"/>
            <w:shd w:val="clear" w:color="auto" w:fill="FFFFFF"/>
            <w:tcMar>
              <w:top w:w="30" w:type="dxa"/>
              <w:left w:w="20" w:type="dxa"/>
              <w:bottom w:w="30" w:type="dxa"/>
              <w:right w:w="20" w:type="dxa"/>
            </w:tcMar>
            <w:vAlign w:val="center"/>
            <w:hideMark/>
          </w:tcPr>
          <w:p w14:paraId="12AD249D" w14:textId="77777777" w:rsidR="00000000" w:rsidRDefault="00A173A8">
            <w:pPr>
              <w:spacing w:after="100"/>
              <w:rPr>
                <w:rFonts w:eastAsia="Times New Roman"/>
              </w:rPr>
            </w:pPr>
            <w:r>
              <w:rPr>
                <w:rFonts w:eastAsia="Times New Roman"/>
                <w:color w:val="000000"/>
                <w:sz w:val="18"/>
                <w:szCs w:val="18"/>
              </w:rPr>
              <w:t>% of Total loans held for investment</w:t>
            </w:r>
          </w:p>
        </w:tc>
        <w:tc>
          <w:tcPr>
            <w:tcW w:w="0" w:type="auto"/>
            <w:gridSpan w:val="3"/>
            <w:shd w:val="clear" w:color="auto" w:fill="FFFFFF"/>
            <w:tcMar>
              <w:top w:w="0" w:type="dxa"/>
              <w:left w:w="20" w:type="dxa"/>
              <w:bottom w:w="0" w:type="dxa"/>
              <w:right w:w="20" w:type="dxa"/>
            </w:tcMar>
            <w:vAlign w:val="center"/>
            <w:hideMark/>
          </w:tcPr>
          <w:p w14:paraId="176266DE" w14:textId="77777777" w:rsidR="00000000" w:rsidRDefault="00A173A8">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510FF3B" w14:textId="77777777" w:rsidR="00000000" w:rsidRDefault="00A173A8">
            <w:pPr>
              <w:spacing w:after="100"/>
              <w:jc w:val="right"/>
              <w:rPr>
                <w:rFonts w:eastAsia="Times New Roman"/>
              </w:rPr>
            </w:pPr>
            <w:r>
              <w:rPr>
                <w:rFonts w:eastAsia="Times New Roman"/>
                <w:b/>
                <w:bCs/>
                <w:color w:val="000000"/>
                <w:sz w:val="18"/>
                <w:szCs w:val="18"/>
              </w:rPr>
              <w:t>0.44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81C5731"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249EE0F"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93E8793" w14:textId="77777777" w:rsidR="00000000" w:rsidRDefault="00A173A8">
            <w:pPr>
              <w:spacing w:after="100"/>
              <w:jc w:val="right"/>
              <w:rPr>
                <w:rFonts w:eastAsia="Times New Roman"/>
              </w:rPr>
            </w:pPr>
            <w:r>
              <w:rPr>
                <w:rFonts w:eastAsia="Times New Roman"/>
                <w:b/>
                <w:bCs/>
                <w:color w:val="000000"/>
                <w:sz w:val="18"/>
                <w:szCs w:val="18"/>
              </w:rPr>
              <w:t>0.37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EE3C8E0"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39E153D"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2A1932A" w14:textId="77777777" w:rsidR="00000000" w:rsidRDefault="00A173A8">
            <w:pPr>
              <w:spacing w:after="100"/>
              <w:jc w:val="right"/>
              <w:rPr>
                <w:rFonts w:eastAsia="Times New Roman"/>
              </w:rPr>
            </w:pPr>
            <w:r>
              <w:rPr>
                <w:rFonts w:eastAsia="Times New Roman"/>
                <w:b/>
                <w:bCs/>
                <w:color w:val="000000"/>
                <w:sz w:val="18"/>
                <w:szCs w:val="18"/>
              </w:rPr>
              <w:t>0.16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B97691B"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AA80926"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B73D690" w14:textId="77777777" w:rsidR="00000000" w:rsidRDefault="00A173A8">
            <w:pPr>
              <w:spacing w:after="100"/>
              <w:jc w:val="right"/>
              <w:rPr>
                <w:rFonts w:eastAsia="Times New Roman"/>
              </w:rPr>
            </w:pPr>
            <w:r>
              <w:rPr>
                <w:rFonts w:eastAsia="Times New Roman"/>
                <w:color w:val="000000"/>
                <w:sz w:val="18"/>
                <w:szCs w:val="18"/>
              </w:rPr>
              <w:t>0.43 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5FB3166"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0A2DCCB"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2FCF6D8" w14:textId="77777777" w:rsidR="00000000" w:rsidRDefault="00A173A8">
            <w:pPr>
              <w:spacing w:after="100"/>
              <w:jc w:val="right"/>
              <w:rPr>
                <w:rFonts w:eastAsia="Times New Roman"/>
              </w:rPr>
            </w:pPr>
            <w:r>
              <w:rPr>
                <w:rFonts w:eastAsia="Times New Roman"/>
                <w:color w:val="000000"/>
                <w:sz w:val="18"/>
                <w:szCs w:val="18"/>
              </w:rPr>
              <w:t>0.40 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D967E8F"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181FADE" w14:textId="77777777" w:rsidR="00000000" w:rsidRDefault="00A173A8">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281E9BF" w14:textId="77777777" w:rsidR="00000000" w:rsidRDefault="00A173A8">
            <w:pPr>
              <w:spacing w:after="100"/>
              <w:jc w:val="right"/>
              <w:rPr>
                <w:rFonts w:eastAsia="Times New Roman"/>
              </w:rPr>
            </w:pPr>
            <w:r>
              <w:rPr>
                <w:rFonts w:eastAsia="Times New Roman"/>
                <w:color w:val="000000"/>
                <w:sz w:val="18"/>
                <w:szCs w:val="18"/>
              </w:rPr>
              <w:t>0.19 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CF108B9" w14:textId="77777777" w:rsidR="00000000" w:rsidRDefault="00A173A8">
            <w:pPr>
              <w:spacing w:after="100"/>
              <w:jc w:val="right"/>
              <w:rPr>
                <w:rFonts w:eastAsia="Times New Roman"/>
              </w:rPr>
            </w:pPr>
            <w:r>
              <w:rPr>
                <w:rFonts w:eastAsia="Times New Roman"/>
                <w:color w:val="000000"/>
                <w:sz w:val="18"/>
                <w:szCs w:val="18"/>
              </w:rPr>
              <w:t>%</w:t>
            </w:r>
          </w:p>
        </w:tc>
      </w:tr>
    </w:tbl>
    <w:p w14:paraId="50CB7ACB" w14:textId="77777777" w:rsidR="00000000" w:rsidRDefault="00A173A8">
      <w:pPr>
        <w:divId w:val="290406530"/>
        <w:rPr>
          <w:rFonts w:eastAsia="Times New Roman"/>
        </w:rPr>
      </w:pPr>
      <w:r>
        <w:rPr>
          <w:rFonts w:eastAsia="Times New Roman"/>
          <w:color w:val="000000"/>
          <w:sz w:val="20"/>
          <w:szCs w:val="20"/>
        </w:rPr>
        <w:t>____</w:t>
      </w:r>
      <w:r>
        <w:rPr>
          <w:rFonts w:eastAsia="Times New Roman"/>
          <w:color w:val="000000"/>
          <w:sz w:val="20"/>
          <w:szCs w:val="20"/>
        </w:rPr>
        <w:t>______</w:t>
      </w:r>
    </w:p>
    <w:p w14:paraId="2932B0D6" w14:textId="77777777" w:rsidR="00000000" w:rsidRDefault="00A173A8">
      <w:pPr>
        <w:ind w:hanging="360"/>
        <w:jc w:val="both"/>
        <w:divId w:val="139442318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$1 million and $11 million for the three and six months ended June 30, 2022, respectively, and $3 million and $8 million for the three and six months ended June 30, 2021, resp</w:t>
      </w:r>
      <w:r>
        <w:rPr>
          <w:rFonts w:eastAsia="Times New Roman"/>
          <w:color w:val="000000"/>
          <w:sz w:val="16"/>
          <w:szCs w:val="16"/>
        </w:rPr>
        <w:t>ectively.</w:t>
      </w:r>
    </w:p>
    <w:p w14:paraId="18B6DB95" w14:textId="77777777" w:rsidR="00000000" w:rsidRDefault="00A173A8">
      <w:pPr>
        <w:divId w:val="215972094"/>
        <w:rPr>
          <w:rFonts w:eastAsia="Times New Roman"/>
        </w:rPr>
      </w:pPr>
      <w:r>
        <w:rPr>
          <w:rFonts w:eastAsia="Times New Roman"/>
          <w:b/>
          <w:bCs/>
          <w:color w:val="000000"/>
          <w:sz w:val="20"/>
          <w:szCs w:val="20"/>
        </w:rPr>
        <w:t>Credit Quality Indicators</w:t>
      </w:r>
    </w:p>
    <w:p w14:paraId="3A12B4CD" w14:textId="77777777" w:rsidR="00000000" w:rsidRDefault="00A173A8">
      <w:pPr>
        <w:jc w:val="both"/>
        <w:divId w:val="1276135450"/>
        <w:rPr>
          <w:rFonts w:eastAsia="Times New Roman"/>
        </w:rPr>
      </w:pPr>
      <w:r>
        <w:rPr>
          <w:rFonts w:eastAsia="Times New Roman"/>
          <w:color w:val="000000"/>
          <w:sz w:val="20"/>
          <w:szCs w:val="20"/>
        </w:rPr>
        <w:t>We closely monitor economic conditions and loan performance trends to assess and manage our exposure to credit risk. We discuss these risks and our credit quality indicator for each portfolio segment below.</w:t>
      </w:r>
    </w:p>
    <w:p w14:paraId="7AAEF5DC" w14:textId="77777777" w:rsidR="00000000" w:rsidRDefault="00A173A8">
      <w:pPr>
        <w:jc w:val="both"/>
        <w:divId w:val="513113134"/>
        <w:rPr>
          <w:rFonts w:eastAsia="Times New Roman"/>
        </w:rPr>
      </w:pPr>
      <w:r>
        <w:rPr>
          <w:rFonts w:eastAsia="Times New Roman"/>
          <w:b/>
          <w:bCs/>
          <w:i/>
          <w:iCs/>
          <w:color w:val="000000"/>
          <w:sz w:val="20"/>
          <w:szCs w:val="20"/>
        </w:rPr>
        <w:t>Credit Card</w:t>
      </w:r>
    </w:p>
    <w:p w14:paraId="251AED83" w14:textId="77777777" w:rsidR="00000000" w:rsidRDefault="00A173A8">
      <w:pPr>
        <w:jc w:val="both"/>
        <w:divId w:val="235482557"/>
        <w:rPr>
          <w:rFonts w:eastAsia="Times New Roman"/>
        </w:rPr>
      </w:pPr>
      <w:r>
        <w:rPr>
          <w:rFonts w:eastAsia="Times New Roman"/>
          <w:color w:val="000000"/>
          <w:sz w:val="20"/>
          <w:szCs w:val="20"/>
        </w:rPr>
        <w:t>O</w:t>
      </w:r>
      <w:r>
        <w:rPr>
          <w:rFonts w:eastAsia="Times New Roman"/>
          <w:color w:val="000000"/>
          <w:sz w:val="20"/>
          <w:szCs w:val="20"/>
        </w:rPr>
        <w:t>ur credit card loan portfolio is highly diversified across millions of accounts and numerous geographies without significant individual exposure. We therefore generally manage credit risk based on portfolios with common risk characteristics. The risk in ou</w:t>
      </w:r>
      <w:r>
        <w:rPr>
          <w:rFonts w:eastAsia="Times New Roman"/>
          <w:color w:val="000000"/>
          <w:sz w:val="20"/>
          <w:szCs w:val="20"/>
        </w:rPr>
        <w:t xml:space="preserve">r credit card loan portfolio correlates to broad economic trends, such as unemployment rates and the U.S. Real Gross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4B9AC40" w14:textId="77777777">
        <w:trPr>
          <w:divId w:val="706875729"/>
          <w:jc w:val="center"/>
        </w:trPr>
        <w:tc>
          <w:tcPr>
            <w:tcW w:w="50" w:type="pct"/>
            <w:vAlign w:val="center"/>
            <w:hideMark/>
          </w:tcPr>
          <w:p w14:paraId="15168658" w14:textId="77777777" w:rsidR="00000000" w:rsidRDefault="00A173A8">
            <w:pPr>
              <w:jc w:val="both"/>
              <w:rPr>
                <w:rFonts w:eastAsia="Times New Roman"/>
              </w:rPr>
            </w:pPr>
          </w:p>
        </w:tc>
        <w:tc>
          <w:tcPr>
            <w:tcW w:w="1606" w:type="pct"/>
            <w:vAlign w:val="center"/>
            <w:hideMark/>
          </w:tcPr>
          <w:p w14:paraId="1C2CA9F3" w14:textId="77777777" w:rsidR="00000000" w:rsidRDefault="00A173A8">
            <w:pPr>
              <w:spacing w:after="100"/>
              <w:rPr>
                <w:rFonts w:eastAsia="Times New Roman"/>
                <w:sz w:val="20"/>
                <w:szCs w:val="20"/>
              </w:rPr>
            </w:pPr>
          </w:p>
        </w:tc>
        <w:tc>
          <w:tcPr>
            <w:tcW w:w="5" w:type="pct"/>
            <w:vAlign w:val="center"/>
            <w:hideMark/>
          </w:tcPr>
          <w:p w14:paraId="788089CB" w14:textId="77777777" w:rsidR="00000000" w:rsidRDefault="00A173A8">
            <w:pPr>
              <w:spacing w:after="100"/>
              <w:rPr>
                <w:rFonts w:eastAsia="Times New Roman"/>
                <w:sz w:val="20"/>
                <w:szCs w:val="20"/>
              </w:rPr>
            </w:pPr>
          </w:p>
        </w:tc>
        <w:tc>
          <w:tcPr>
            <w:tcW w:w="50" w:type="pct"/>
            <w:vAlign w:val="center"/>
            <w:hideMark/>
          </w:tcPr>
          <w:p w14:paraId="76332BA0" w14:textId="77777777" w:rsidR="00000000" w:rsidRDefault="00A173A8">
            <w:pPr>
              <w:spacing w:after="100"/>
              <w:rPr>
                <w:rFonts w:eastAsia="Times New Roman"/>
                <w:sz w:val="20"/>
                <w:szCs w:val="20"/>
              </w:rPr>
            </w:pPr>
          </w:p>
        </w:tc>
        <w:tc>
          <w:tcPr>
            <w:tcW w:w="1614" w:type="pct"/>
            <w:vAlign w:val="center"/>
            <w:hideMark/>
          </w:tcPr>
          <w:p w14:paraId="241D9522" w14:textId="77777777" w:rsidR="00000000" w:rsidRDefault="00A173A8">
            <w:pPr>
              <w:spacing w:after="100"/>
              <w:rPr>
                <w:rFonts w:eastAsia="Times New Roman"/>
                <w:sz w:val="20"/>
                <w:szCs w:val="20"/>
              </w:rPr>
            </w:pPr>
          </w:p>
        </w:tc>
        <w:tc>
          <w:tcPr>
            <w:tcW w:w="5" w:type="pct"/>
            <w:vAlign w:val="center"/>
            <w:hideMark/>
          </w:tcPr>
          <w:p w14:paraId="1DEF0482" w14:textId="77777777" w:rsidR="00000000" w:rsidRDefault="00A173A8">
            <w:pPr>
              <w:spacing w:after="100"/>
              <w:rPr>
                <w:rFonts w:eastAsia="Times New Roman"/>
                <w:sz w:val="20"/>
                <w:szCs w:val="20"/>
              </w:rPr>
            </w:pPr>
          </w:p>
        </w:tc>
        <w:tc>
          <w:tcPr>
            <w:tcW w:w="50" w:type="pct"/>
            <w:vAlign w:val="center"/>
            <w:hideMark/>
          </w:tcPr>
          <w:p w14:paraId="758CA9D1" w14:textId="77777777" w:rsidR="00000000" w:rsidRDefault="00A173A8">
            <w:pPr>
              <w:spacing w:after="100"/>
              <w:rPr>
                <w:rFonts w:eastAsia="Times New Roman"/>
                <w:sz w:val="20"/>
                <w:szCs w:val="20"/>
              </w:rPr>
            </w:pPr>
          </w:p>
        </w:tc>
        <w:tc>
          <w:tcPr>
            <w:tcW w:w="1614" w:type="pct"/>
            <w:vAlign w:val="center"/>
            <w:hideMark/>
          </w:tcPr>
          <w:p w14:paraId="305BB8C7" w14:textId="77777777" w:rsidR="00000000" w:rsidRDefault="00A173A8">
            <w:pPr>
              <w:spacing w:after="100"/>
              <w:rPr>
                <w:rFonts w:eastAsia="Times New Roman"/>
                <w:sz w:val="20"/>
                <w:szCs w:val="20"/>
              </w:rPr>
            </w:pPr>
          </w:p>
        </w:tc>
        <w:tc>
          <w:tcPr>
            <w:tcW w:w="5" w:type="pct"/>
            <w:vAlign w:val="center"/>
            <w:hideMark/>
          </w:tcPr>
          <w:p w14:paraId="49CC7BE4" w14:textId="77777777" w:rsidR="00000000" w:rsidRDefault="00A173A8">
            <w:pPr>
              <w:spacing w:after="100"/>
              <w:rPr>
                <w:rFonts w:eastAsia="Times New Roman"/>
                <w:sz w:val="20"/>
                <w:szCs w:val="20"/>
              </w:rPr>
            </w:pPr>
          </w:p>
        </w:tc>
      </w:tr>
      <w:tr w:rsidR="00000000" w14:paraId="23A1E9F6" w14:textId="77777777">
        <w:trPr>
          <w:divId w:val="706875729"/>
          <w:trHeight w:val="300"/>
          <w:jc w:val="center"/>
        </w:trPr>
        <w:tc>
          <w:tcPr>
            <w:tcW w:w="0" w:type="auto"/>
            <w:gridSpan w:val="9"/>
            <w:tcMar>
              <w:top w:w="0" w:type="dxa"/>
              <w:left w:w="20" w:type="dxa"/>
              <w:bottom w:w="0" w:type="dxa"/>
              <w:right w:w="20" w:type="dxa"/>
            </w:tcMar>
            <w:vAlign w:val="center"/>
            <w:hideMark/>
          </w:tcPr>
          <w:p w14:paraId="2211E599" w14:textId="77777777" w:rsidR="00000000" w:rsidRDefault="00A173A8">
            <w:pPr>
              <w:spacing w:after="100"/>
              <w:rPr>
                <w:rFonts w:eastAsia="Times New Roman"/>
                <w:sz w:val="20"/>
                <w:szCs w:val="20"/>
              </w:rPr>
            </w:pPr>
          </w:p>
        </w:tc>
      </w:tr>
      <w:tr w:rsidR="00000000" w14:paraId="46C134A7" w14:textId="77777777">
        <w:trPr>
          <w:divId w:val="706875729"/>
          <w:jc w:val="center"/>
        </w:trPr>
        <w:tc>
          <w:tcPr>
            <w:tcW w:w="0" w:type="auto"/>
            <w:gridSpan w:val="3"/>
            <w:tcMar>
              <w:top w:w="0" w:type="dxa"/>
              <w:left w:w="20" w:type="dxa"/>
              <w:bottom w:w="0" w:type="dxa"/>
              <w:right w:w="20" w:type="dxa"/>
            </w:tcMar>
            <w:vAlign w:val="center"/>
            <w:hideMark/>
          </w:tcPr>
          <w:p w14:paraId="159951D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E680C6" w14:textId="77777777" w:rsidR="00000000" w:rsidRDefault="00A173A8">
            <w:pPr>
              <w:spacing w:after="100"/>
              <w:jc w:val="center"/>
              <w:rPr>
                <w:rFonts w:eastAsia="Times New Roman"/>
              </w:rPr>
            </w:pPr>
            <w:r>
              <w:rPr>
                <w:rFonts w:eastAsia="Times New Roman"/>
                <w:color w:val="000000"/>
                <w:sz w:val="16"/>
                <w:szCs w:val="16"/>
              </w:rPr>
              <w:t>76</w:t>
            </w:r>
          </w:p>
        </w:tc>
        <w:tc>
          <w:tcPr>
            <w:tcW w:w="0" w:type="auto"/>
            <w:gridSpan w:val="3"/>
            <w:tcMar>
              <w:top w:w="30" w:type="dxa"/>
              <w:left w:w="20" w:type="dxa"/>
              <w:bottom w:w="30" w:type="dxa"/>
              <w:right w:w="20" w:type="dxa"/>
            </w:tcMar>
            <w:vAlign w:val="bottom"/>
            <w:hideMark/>
          </w:tcPr>
          <w:p w14:paraId="66E6FE93"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D0DD00B" w14:textId="77777777" w:rsidR="00000000" w:rsidRDefault="00A173A8">
      <w:pPr>
        <w:rPr>
          <w:rFonts w:eastAsia="Times New Roman"/>
        </w:rPr>
      </w:pPr>
      <w:r>
        <w:rPr>
          <w:rFonts w:eastAsia="Times New Roman"/>
        </w:rPr>
        <w:pict w14:anchorId="4452F9DD">
          <v:rect id="_x0000_i1101" style="width:0;height:1.5pt" o:hralign="center" o:hrstd="t" o:hr="t" fillcolor="#a0a0a0" stroked="f"/>
        </w:pict>
      </w:r>
    </w:p>
    <w:p w14:paraId="15F32CFC" w14:textId="77777777" w:rsidR="00000000" w:rsidRDefault="00A173A8">
      <w:pPr>
        <w:jc w:val="both"/>
        <w:divId w:val="1503157562"/>
        <w:rPr>
          <w:rFonts w:eastAsia="Times New Roman"/>
        </w:rPr>
      </w:pPr>
      <w:hyperlink w:anchor="i7ffd5d61af6f4722b1b1b07530d51c06_13" w:history="1">
        <w:r>
          <w:rPr>
            <w:rStyle w:val="a3"/>
            <w:rFonts w:eastAsia="Times New Roman"/>
            <w:sz w:val="16"/>
            <w:szCs w:val="16"/>
          </w:rPr>
          <w:t>Table of Contents</w:t>
        </w:r>
      </w:hyperlink>
    </w:p>
    <w:p w14:paraId="2D11841C" w14:textId="77777777" w:rsidR="00000000" w:rsidRDefault="00A173A8">
      <w:pPr>
        <w:jc w:val="both"/>
        <w:divId w:val="522524210"/>
        <w:rPr>
          <w:rFonts w:eastAsia="Times New Roman"/>
        </w:rPr>
      </w:pPr>
      <w:r>
        <w:rPr>
          <w:rFonts w:eastAsia="Times New Roman"/>
          <w:color w:val="000000"/>
          <w:sz w:val="20"/>
          <w:szCs w:val="20"/>
        </w:rPr>
        <w:t>Domestic Product (“GDP”) Rate, as well as consumers’ financial condition, all of which can have a material effect on credit performance. The ke</w:t>
      </w:r>
      <w:r>
        <w:rPr>
          <w:rFonts w:eastAsia="Times New Roman"/>
          <w:color w:val="000000"/>
          <w:sz w:val="20"/>
          <w:szCs w:val="20"/>
        </w:rPr>
        <w:t xml:space="preserve">y indicator we assess in monitoring the credit quality and risk of our credit card loan portfolio is delinquency trends, including an analysis of loan migration between delinquency categories over time. </w:t>
      </w:r>
    </w:p>
    <w:p w14:paraId="1405E15E" w14:textId="77777777" w:rsidR="00000000" w:rsidRDefault="00A173A8">
      <w:pPr>
        <w:jc w:val="both"/>
        <w:divId w:val="275335398"/>
        <w:rPr>
          <w:rFonts w:eastAsia="Times New Roman"/>
        </w:rPr>
      </w:pPr>
      <w:r>
        <w:rPr>
          <w:rFonts w:eastAsia="Times New Roman"/>
          <w:color w:val="000000"/>
          <w:sz w:val="20"/>
          <w:szCs w:val="20"/>
        </w:rPr>
        <w:t>The table below presents our credit card portfolio b</w:t>
      </w:r>
      <w:r>
        <w:rPr>
          <w:rFonts w:eastAsia="Times New Roman"/>
          <w:color w:val="000000"/>
          <w:sz w:val="20"/>
          <w:szCs w:val="20"/>
        </w:rPr>
        <w:t>y delinquency status as of June 30, 2022 and December 31, 2021.</w:t>
      </w:r>
    </w:p>
    <w:p w14:paraId="40A399A8" w14:textId="77777777" w:rsidR="00000000" w:rsidRDefault="00A173A8">
      <w:pPr>
        <w:divId w:val="761419338"/>
        <w:rPr>
          <w:rFonts w:eastAsia="Times New Roman"/>
        </w:rPr>
      </w:pPr>
      <w:r>
        <w:rPr>
          <w:rFonts w:eastAsia="Times New Roman"/>
          <w:b/>
          <w:bCs/>
          <w:color w:val="000000"/>
          <w:sz w:val="18"/>
          <w:szCs w:val="18"/>
        </w:rPr>
        <w:t>Table 3.3: Credit Card Delinquency Status</w:t>
      </w:r>
    </w:p>
    <w:tbl>
      <w:tblPr>
        <w:tblW w:w="5000" w:type="pct"/>
        <w:tblCellMar>
          <w:top w:w="15" w:type="dxa"/>
          <w:left w:w="15" w:type="dxa"/>
          <w:bottom w:w="15" w:type="dxa"/>
          <w:right w:w="15" w:type="dxa"/>
        </w:tblCellMar>
        <w:tblLook w:val="04A0" w:firstRow="1" w:lastRow="0" w:firstColumn="1" w:lastColumn="0" w:noHBand="0" w:noVBand="1"/>
      </w:tblPr>
      <w:tblGrid>
        <w:gridCol w:w="41"/>
        <w:gridCol w:w="2460"/>
        <w:gridCol w:w="40"/>
        <w:gridCol w:w="36"/>
        <w:gridCol w:w="36"/>
        <w:gridCol w:w="36"/>
        <w:gridCol w:w="36"/>
        <w:gridCol w:w="36"/>
        <w:gridCol w:w="110"/>
        <w:gridCol w:w="722"/>
        <w:gridCol w:w="36"/>
        <w:gridCol w:w="36"/>
        <w:gridCol w:w="36"/>
        <w:gridCol w:w="36"/>
        <w:gridCol w:w="111"/>
        <w:gridCol w:w="722"/>
        <w:gridCol w:w="36"/>
        <w:gridCol w:w="36"/>
        <w:gridCol w:w="36"/>
        <w:gridCol w:w="36"/>
        <w:gridCol w:w="110"/>
        <w:gridCol w:w="666"/>
        <w:gridCol w:w="36"/>
        <w:gridCol w:w="36"/>
        <w:gridCol w:w="36"/>
        <w:gridCol w:w="36"/>
        <w:gridCol w:w="110"/>
        <w:gridCol w:w="723"/>
        <w:gridCol w:w="36"/>
        <w:gridCol w:w="36"/>
        <w:gridCol w:w="36"/>
        <w:gridCol w:w="36"/>
        <w:gridCol w:w="111"/>
        <w:gridCol w:w="681"/>
        <w:gridCol w:w="36"/>
        <w:gridCol w:w="36"/>
        <w:gridCol w:w="36"/>
        <w:gridCol w:w="36"/>
        <w:gridCol w:w="110"/>
        <w:gridCol w:w="653"/>
        <w:gridCol w:w="36"/>
      </w:tblGrid>
      <w:tr w:rsidR="00000000" w14:paraId="4E806D1C" w14:textId="77777777">
        <w:trPr>
          <w:divId w:val="664434004"/>
        </w:trPr>
        <w:tc>
          <w:tcPr>
            <w:tcW w:w="50" w:type="pct"/>
            <w:vAlign w:val="center"/>
            <w:hideMark/>
          </w:tcPr>
          <w:p w14:paraId="5F4A98F2" w14:textId="77777777" w:rsidR="00000000" w:rsidRDefault="00A173A8">
            <w:pPr>
              <w:rPr>
                <w:rFonts w:eastAsia="Times New Roman"/>
              </w:rPr>
            </w:pPr>
          </w:p>
        </w:tc>
        <w:tc>
          <w:tcPr>
            <w:tcW w:w="1545" w:type="pct"/>
            <w:vAlign w:val="center"/>
            <w:hideMark/>
          </w:tcPr>
          <w:p w14:paraId="4BDA70BA" w14:textId="77777777" w:rsidR="00000000" w:rsidRDefault="00A173A8">
            <w:pPr>
              <w:spacing w:after="100"/>
              <w:rPr>
                <w:rFonts w:eastAsia="Times New Roman"/>
                <w:sz w:val="20"/>
                <w:szCs w:val="20"/>
              </w:rPr>
            </w:pPr>
          </w:p>
        </w:tc>
        <w:tc>
          <w:tcPr>
            <w:tcW w:w="5" w:type="pct"/>
            <w:vAlign w:val="center"/>
            <w:hideMark/>
          </w:tcPr>
          <w:p w14:paraId="1623703B" w14:textId="77777777" w:rsidR="00000000" w:rsidRDefault="00A173A8">
            <w:pPr>
              <w:spacing w:after="100"/>
              <w:rPr>
                <w:rFonts w:eastAsia="Times New Roman"/>
                <w:sz w:val="20"/>
                <w:szCs w:val="20"/>
              </w:rPr>
            </w:pPr>
          </w:p>
        </w:tc>
        <w:tc>
          <w:tcPr>
            <w:tcW w:w="5" w:type="pct"/>
            <w:vAlign w:val="center"/>
            <w:hideMark/>
          </w:tcPr>
          <w:p w14:paraId="6895470C" w14:textId="77777777" w:rsidR="00000000" w:rsidRDefault="00A173A8">
            <w:pPr>
              <w:spacing w:after="100"/>
              <w:rPr>
                <w:rFonts w:eastAsia="Times New Roman"/>
                <w:sz w:val="20"/>
                <w:szCs w:val="20"/>
              </w:rPr>
            </w:pPr>
          </w:p>
        </w:tc>
        <w:tc>
          <w:tcPr>
            <w:tcW w:w="19" w:type="pct"/>
            <w:vAlign w:val="center"/>
            <w:hideMark/>
          </w:tcPr>
          <w:p w14:paraId="41D3795E" w14:textId="77777777" w:rsidR="00000000" w:rsidRDefault="00A173A8">
            <w:pPr>
              <w:spacing w:after="100"/>
              <w:rPr>
                <w:rFonts w:eastAsia="Times New Roman"/>
                <w:sz w:val="20"/>
                <w:szCs w:val="20"/>
              </w:rPr>
            </w:pPr>
          </w:p>
        </w:tc>
        <w:tc>
          <w:tcPr>
            <w:tcW w:w="5" w:type="pct"/>
            <w:vAlign w:val="center"/>
            <w:hideMark/>
          </w:tcPr>
          <w:p w14:paraId="68E3D51A" w14:textId="77777777" w:rsidR="00000000" w:rsidRDefault="00A173A8">
            <w:pPr>
              <w:spacing w:after="100"/>
              <w:rPr>
                <w:rFonts w:eastAsia="Times New Roman"/>
                <w:sz w:val="20"/>
                <w:szCs w:val="20"/>
              </w:rPr>
            </w:pPr>
          </w:p>
        </w:tc>
        <w:tc>
          <w:tcPr>
            <w:tcW w:w="0" w:type="auto"/>
            <w:vAlign w:val="center"/>
            <w:hideMark/>
          </w:tcPr>
          <w:p w14:paraId="07732B01" w14:textId="77777777" w:rsidR="00000000" w:rsidRDefault="00A173A8">
            <w:pPr>
              <w:spacing w:after="100"/>
              <w:rPr>
                <w:rFonts w:eastAsia="Times New Roman"/>
                <w:sz w:val="20"/>
                <w:szCs w:val="20"/>
              </w:rPr>
            </w:pPr>
          </w:p>
        </w:tc>
        <w:tc>
          <w:tcPr>
            <w:tcW w:w="0" w:type="auto"/>
            <w:vAlign w:val="center"/>
            <w:hideMark/>
          </w:tcPr>
          <w:p w14:paraId="68456FB2" w14:textId="77777777" w:rsidR="00000000" w:rsidRDefault="00A173A8">
            <w:pPr>
              <w:spacing w:after="100"/>
              <w:rPr>
                <w:rFonts w:eastAsia="Times New Roman"/>
                <w:sz w:val="20"/>
                <w:szCs w:val="20"/>
              </w:rPr>
            </w:pPr>
          </w:p>
        </w:tc>
        <w:tc>
          <w:tcPr>
            <w:tcW w:w="50" w:type="pct"/>
            <w:vAlign w:val="center"/>
            <w:hideMark/>
          </w:tcPr>
          <w:p w14:paraId="4ADAF18E" w14:textId="77777777" w:rsidR="00000000" w:rsidRDefault="00A173A8">
            <w:pPr>
              <w:spacing w:after="100"/>
              <w:rPr>
                <w:rFonts w:eastAsia="Times New Roman"/>
                <w:sz w:val="20"/>
                <w:szCs w:val="20"/>
              </w:rPr>
            </w:pPr>
          </w:p>
        </w:tc>
        <w:tc>
          <w:tcPr>
            <w:tcW w:w="478" w:type="pct"/>
            <w:vAlign w:val="center"/>
            <w:hideMark/>
          </w:tcPr>
          <w:p w14:paraId="4C71B205" w14:textId="77777777" w:rsidR="00000000" w:rsidRDefault="00A173A8">
            <w:pPr>
              <w:spacing w:after="100"/>
              <w:rPr>
                <w:rFonts w:eastAsia="Times New Roman"/>
                <w:sz w:val="20"/>
                <w:szCs w:val="20"/>
              </w:rPr>
            </w:pPr>
          </w:p>
        </w:tc>
        <w:tc>
          <w:tcPr>
            <w:tcW w:w="5" w:type="pct"/>
            <w:vAlign w:val="center"/>
            <w:hideMark/>
          </w:tcPr>
          <w:p w14:paraId="40C75710" w14:textId="77777777" w:rsidR="00000000" w:rsidRDefault="00A173A8">
            <w:pPr>
              <w:spacing w:after="100"/>
              <w:rPr>
                <w:rFonts w:eastAsia="Times New Roman"/>
                <w:sz w:val="20"/>
                <w:szCs w:val="20"/>
              </w:rPr>
            </w:pPr>
          </w:p>
        </w:tc>
        <w:tc>
          <w:tcPr>
            <w:tcW w:w="5" w:type="pct"/>
            <w:vAlign w:val="center"/>
            <w:hideMark/>
          </w:tcPr>
          <w:p w14:paraId="3A63D435" w14:textId="77777777" w:rsidR="00000000" w:rsidRDefault="00A173A8">
            <w:pPr>
              <w:spacing w:after="100"/>
              <w:rPr>
                <w:rFonts w:eastAsia="Times New Roman"/>
                <w:sz w:val="20"/>
                <w:szCs w:val="20"/>
              </w:rPr>
            </w:pPr>
          </w:p>
        </w:tc>
        <w:tc>
          <w:tcPr>
            <w:tcW w:w="19" w:type="pct"/>
            <w:vAlign w:val="center"/>
            <w:hideMark/>
          </w:tcPr>
          <w:p w14:paraId="22D0D577" w14:textId="77777777" w:rsidR="00000000" w:rsidRDefault="00A173A8">
            <w:pPr>
              <w:spacing w:after="100"/>
              <w:rPr>
                <w:rFonts w:eastAsia="Times New Roman"/>
                <w:sz w:val="20"/>
                <w:szCs w:val="20"/>
              </w:rPr>
            </w:pPr>
          </w:p>
        </w:tc>
        <w:tc>
          <w:tcPr>
            <w:tcW w:w="5" w:type="pct"/>
            <w:vAlign w:val="center"/>
            <w:hideMark/>
          </w:tcPr>
          <w:p w14:paraId="4099F266" w14:textId="77777777" w:rsidR="00000000" w:rsidRDefault="00A173A8">
            <w:pPr>
              <w:spacing w:after="100"/>
              <w:rPr>
                <w:rFonts w:eastAsia="Times New Roman"/>
                <w:sz w:val="20"/>
                <w:szCs w:val="20"/>
              </w:rPr>
            </w:pPr>
          </w:p>
        </w:tc>
        <w:tc>
          <w:tcPr>
            <w:tcW w:w="50" w:type="pct"/>
            <w:vAlign w:val="center"/>
            <w:hideMark/>
          </w:tcPr>
          <w:p w14:paraId="6CF5076C" w14:textId="77777777" w:rsidR="00000000" w:rsidRDefault="00A173A8">
            <w:pPr>
              <w:spacing w:after="100"/>
              <w:rPr>
                <w:rFonts w:eastAsia="Times New Roman"/>
                <w:sz w:val="20"/>
                <w:szCs w:val="20"/>
              </w:rPr>
            </w:pPr>
          </w:p>
        </w:tc>
        <w:tc>
          <w:tcPr>
            <w:tcW w:w="478" w:type="pct"/>
            <w:vAlign w:val="center"/>
            <w:hideMark/>
          </w:tcPr>
          <w:p w14:paraId="0F2AA84F" w14:textId="77777777" w:rsidR="00000000" w:rsidRDefault="00A173A8">
            <w:pPr>
              <w:spacing w:after="100"/>
              <w:rPr>
                <w:rFonts w:eastAsia="Times New Roman"/>
                <w:sz w:val="20"/>
                <w:szCs w:val="20"/>
              </w:rPr>
            </w:pPr>
          </w:p>
        </w:tc>
        <w:tc>
          <w:tcPr>
            <w:tcW w:w="5" w:type="pct"/>
            <w:vAlign w:val="center"/>
            <w:hideMark/>
          </w:tcPr>
          <w:p w14:paraId="72878BBA" w14:textId="77777777" w:rsidR="00000000" w:rsidRDefault="00A173A8">
            <w:pPr>
              <w:spacing w:after="100"/>
              <w:rPr>
                <w:rFonts w:eastAsia="Times New Roman"/>
                <w:sz w:val="20"/>
                <w:szCs w:val="20"/>
              </w:rPr>
            </w:pPr>
          </w:p>
        </w:tc>
        <w:tc>
          <w:tcPr>
            <w:tcW w:w="5" w:type="pct"/>
            <w:vAlign w:val="center"/>
            <w:hideMark/>
          </w:tcPr>
          <w:p w14:paraId="55086524" w14:textId="77777777" w:rsidR="00000000" w:rsidRDefault="00A173A8">
            <w:pPr>
              <w:spacing w:after="100"/>
              <w:rPr>
                <w:rFonts w:eastAsia="Times New Roman"/>
                <w:sz w:val="20"/>
                <w:szCs w:val="20"/>
              </w:rPr>
            </w:pPr>
          </w:p>
        </w:tc>
        <w:tc>
          <w:tcPr>
            <w:tcW w:w="26" w:type="pct"/>
            <w:vAlign w:val="center"/>
            <w:hideMark/>
          </w:tcPr>
          <w:p w14:paraId="3E1CF89C" w14:textId="77777777" w:rsidR="00000000" w:rsidRDefault="00A173A8">
            <w:pPr>
              <w:spacing w:after="100"/>
              <w:rPr>
                <w:rFonts w:eastAsia="Times New Roman"/>
                <w:sz w:val="20"/>
                <w:szCs w:val="20"/>
              </w:rPr>
            </w:pPr>
          </w:p>
        </w:tc>
        <w:tc>
          <w:tcPr>
            <w:tcW w:w="5" w:type="pct"/>
            <w:vAlign w:val="center"/>
            <w:hideMark/>
          </w:tcPr>
          <w:p w14:paraId="787A4D0A" w14:textId="77777777" w:rsidR="00000000" w:rsidRDefault="00A173A8">
            <w:pPr>
              <w:spacing w:after="100"/>
              <w:rPr>
                <w:rFonts w:eastAsia="Times New Roman"/>
                <w:sz w:val="20"/>
                <w:szCs w:val="20"/>
              </w:rPr>
            </w:pPr>
          </w:p>
        </w:tc>
        <w:tc>
          <w:tcPr>
            <w:tcW w:w="50" w:type="pct"/>
            <w:vAlign w:val="center"/>
            <w:hideMark/>
          </w:tcPr>
          <w:p w14:paraId="06EA66B5" w14:textId="77777777" w:rsidR="00000000" w:rsidRDefault="00A173A8">
            <w:pPr>
              <w:spacing w:after="100"/>
              <w:rPr>
                <w:rFonts w:eastAsia="Times New Roman"/>
                <w:sz w:val="20"/>
                <w:szCs w:val="20"/>
              </w:rPr>
            </w:pPr>
          </w:p>
        </w:tc>
        <w:tc>
          <w:tcPr>
            <w:tcW w:w="478" w:type="pct"/>
            <w:vAlign w:val="center"/>
            <w:hideMark/>
          </w:tcPr>
          <w:p w14:paraId="6972DAC9" w14:textId="77777777" w:rsidR="00000000" w:rsidRDefault="00A173A8">
            <w:pPr>
              <w:spacing w:after="100"/>
              <w:rPr>
                <w:rFonts w:eastAsia="Times New Roman"/>
                <w:sz w:val="20"/>
                <w:szCs w:val="20"/>
              </w:rPr>
            </w:pPr>
          </w:p>
        </w:tc>
        <w:tc>
          <w:tcPr>
            <w:tcW w:w="5" w:type="pct"/>
            <w:vAlign w:val="center"/>
            <w:hideMark/>
          </w:tcPr>
          <w:p w14:paraId="76403139" w14:textId="77777777" w:rsidR="00000000" w:rsidRDefault="00A173A8">
            <w:pPr>
              <w:spacing w:after="100"/>
              <w:rPr>
                <w:rFonts w:eastAsia="Times New Roman"/>
                <w:sz w:val="20"/>
                <w:szCs w:val="20"/>
              </w:rPr>
            </w:pPr>
          </w:p>
        </w:tc>
        <w:tc>
          <w:tcPr>
            <w:tcW w:w="5" w:type="pct"/>
            <w:vAlign w:val="center"/>
            <w:hideMark/>
          </w:tcPr>
          <w:p w14:paraId="17AD609B" w14:textId="77777777" w:rsidR="00000000" w:rsidRDefault="00A173A8">
            <w:pPr>
              <w:spacing w:after="100"/>
              <w:rPr>
                <w:rFonts w:eastAsia="Times New Roman"/>
                <w:sz w:val="20"/>
                <w:szCs w:val="20"/>
              </w:rPr>
            </w:pPr>
          </w:p>
        </w:tc>
        <w:tc>
          <w:tcPr>
            <w:tcW w:w="19" w:type="pct"/>
            <w:vAlign w:val="center"/>
            <w:hideMark/>
          </w:tcPr>
          <w:p w14:paraId="715FC863" w14:textId="77777777" w:rsidR="00000000" w:rsidRDefault="00A173A8">
            <w:pPr>
              <w:spacing w:after="100"/>
              <w:rPr>
                <w:rFonts w:eastAsia="Times New Roman"/>
                <w:sz w:val="20"/>
                <w:szCs w:val="20"/>
              </w:rPr>
            </w:pPr>
          </w:p>
        </w:tc>
        <w:tc>
          <w:tcPr>
            <w:tcW w:w="5" w:type="pct"/>
            <w:vAlign w:val="center"/>
            <w:hideMark/>
          </w:tcPr>
          <w:p w14:paraId="02977302" w14:textId="77777777" w:rsidR="00000000" w:rsidRDefault="00A173A8">
            <w:pPr>
              <w:spacing w:after="100"/>
              <w:rPr>
                <w:rFonts w:eastAsia="Times New Roman"/>
                <w:sz w:val="20"/>
                <w:szCs w:val="20"/>
              </w:rPr>
            </w:pPr>
          </w:p>
        </w:tc>
        <w:tc>
          <w:tcPr>
            <w:tcW w:w="50" w:type="pct"/>
            <w:vAlign w:val="center"/>
            <w:hideMark/>
          </w:tcPr>
          <w:p w14:paraId="0723BCB7" w14:textId="77777777" w:rsidR="00000000" w:rsidRDefault="00A173A8">
            <w:pPr>
              <w:spacing w:after="100"/>
              <w:rPr>
                <w:rFonts w:eastAsia="Times New Roman"/>
                <w:sz w:val="20"/>
                <w:szCs w:val="20"/>
              </w:rPr>
            </w:pPr>
          </w:p>
        </w:tc>
        <w:tc>
          <w:tcPr>
            <w:tcW w:w="478" w:type="pct"/>
            <w:vAlign w:val="center"/>
            <w:hideMark/>
          </w:tcPr>
          <w:p w14:paraId="010B79AD" w14:textId="77777777" w:rsidR="00000000" w:rsidRDefault="00A173A8">
            <w:pPr>
              <w:spacing w:after="100"/>
              <w:rPr>
                <w:rFonts w:eastAsia="Times New Roman"/>
                <w:sz w:val="20"/>
                <w:szCs w:val="20"/>
              </w:rPr>
            </w:pPr>
          </w:p>
        </w:tc>
        <w:tc>
          <w:tcPr>
            <w:tcW w:w="5" w:type="pct"/>
            <w:vAlign w:val="center"/>
            <w:hideMark/>
          </w:tcPr>
          <w:p w14:paraId="30478701" w14:textId="77777777" w:rsidR="00000000" w:rsidRDefault="00A173A8">
            <w:pPr>
              <w:spacing w:after="100"/>
              <w:rPr>
                <w:rFonts w:eastAsia="Times New Roman"/>
                <w:sz w:val="20"/>
                <w:szCs w:val="20"/>
              </w:rPr>
            </w:pPr>
          </w:p>
        </w:tc>
        <w:tc>
          <w:tcPr>
            <w:tcW w:w="5" w:type="pct"/>
            <w:vAlign w:val="center"/>
            <w:hideMark/>
          </w:tcPr>
          <w:p w14:paraId="4312FF8B" w14:textId="77777777" w:rsidR="00000000" w:rsidRDefault="00A173A8">
            <w:pPr>
              <w:spacing w:after="100"/>
              <w:rPr>
                <w:rFonts w:eastAsia="Times New Roman"/>
                <w:sz w:val="20"/>
                <w:szCs w:val="20"/>
              </w:rPr>
            </w:pPr>
          </w:p>
        </w:tc>
        <w:tc>
          <w:tcPr>
            <w:tcW w:w="26" w:type="pct"/>
            <w:vAlign w:val="center"/>
            <w:hideMark/>
          </w:tcPr>
          <w:p w14:paraId="4AE24F33" w14:textId="77777777" w:rsidR="00000000" w:rsidRDefault="00A173A8">
            <w:pPr>
              <w:spacing w:after="100"/>
              <w:rPr>
                <w:rFonts w:eastAsia="Times New Roman"/>
                <w:sz w:val="20"/>
                <w:szCs w:val="20"/>
              </w:rPr>
            </w:pPr>
          </w:p>
        </w:tc>
        <w:tc>
          <w:tcPr>
            <w:tcW w:w="5" w:type="pct"/>
            <w:vAlign w:val="center"/>
            <w:hideMark/>
          </w:tcPr>
          <w:p w14:paraId="670535A3" w14:textId="77777777" w:rsidR="00000000" w:rsidRDefault="00A173A8">
            <w:pPr>
              <w:spacing w:after="100"/>
              <w:rPr>
                <w:rFonts w:eastAsia="Times New Roman"/>
                <w:sz w:val="20"/>
                <w:szCs w:val="20"/>
              </w:rPr>
            </w:pPr>
          </w:p>
        </w:tc>
        <w:tc>
          <w:tcPr>
            <w:tcW w:w="50" w:type="pct"/>
            <w:vAlign w:val="center"/>
            <w:hideMark/>
          </w:tcPr>
          <w:p w14:paraId="4DE78D73" w14:textId="77777777" w:rsidR="00000000" w:rsidRDefault="00A173A8">
            <w:pPr>
              <w:spacing w:after="100"/>
              <w:rPr>
                <w:rFonts w:eastAsia="Times New Roman"/>
                <w:sz w:val="20"/>
                <w:szCs w:val="20"/>
              </w:rPr>
            </w:pPr>
          </w:p>
        </w:tc>
        <w:tc>
          <w:tcPr>
            <w:tcW w:w="478" w:type="pct"/>
            <w:vAlign w:val="center"/>
            <w:hideMark/>
          </w:tcPr>
          <w:p w14:paraId="472A4972" w14:textId="77777777" w:rsidR="00000000" w:rsidRDefault="00A173A8">
            <w:pPr>
              <w:spacing w:after="100"/>
              <w:rPr>
                <w:rFonts w:eastAsia="Times New Roman"/>
                <w:sz w:val="20"/>
                <w:szCs w:val="20"/>
              </w:rPr>
            </w:pPr>
          </w:p>
        </w:tc>
        <w:tc>
          <w:tcPr>
            <w:tcW w:w="5" w:type="pct"/>
            <w:vAlign w:val="center"/>
            <w:hideMark/>
          </w:tcPr>
          <w:p w14:paraId="3C507DFF" w14:textId="77777777" w:rsidR="00000000" w:rsidRDefault="00A173A8">
            <w:pPr>
              <w:spacing w:after="100"/>
              <w:rPr>
                <w:rFonts w:eastAsia="Times New Roman"/>
                <w:sz w:val="20"/>
                <w:szCs w:val="20"/>
              </w:rPr>
            </w:pPr>
          </w:p>
        </w:tc>
        <w:tc>
          <w:tcPr>
            <w:tcW w:w="5" w:type="pct"/>
            <w:vAlign w:val="center"/>
            <w:hideMark/>
          </w:tcPr>
          <w:p w14:paraId="76FE6278" w14:textId="77777777" w:rsidR="00000000" w:rsidRDefault="00A173A8">
            <w:pPr>
              <w:spacing w:after="100"/>
              <w:rPr>
                <w:rFonts w:eastAsia="Times New Roman"/>
                <w:sz w:val="20"/>
                <w:szCs w:val="20"/>
              </w:rPr>
            </w:pPr>
          </w:p>
        </w:tc>
        <w:tc>
          <w:tcPr>
            <w:tcW w:w="26" w:type="pct"/>
            <w:vAlign w:val="center"/>
            <w:hideMark/>
          </w:tcPr>
          <w:p w14:paraId="181496B3" w14:textId="77777777" w:rsidR="00000000" w:rsidRDefault="00A173A8">
            <w:pPr>
              <w:spacing w:after="100"/>
              <w:rPr>
                <w:rFonts w:eastAsia="Times New Roman"/>
                <w:sz w:val="20"/>
                <w:szCs w:val="20"/>
              </w:rPr>
            </w:pPr>
          </w:p>
        </w:tc>
        <w:tc>
          <w:tcPr>
            <w:tcW w:w="5" w:type="pct"/>
            <w:vAlign w:val="center"/>
            <w:hideMark/>
          </w:tcPr>
          <w:p w14:paraId="68E6034D" w14:textId="77777777" w:rsidR="00000000" w:rsidRDefault="00A173A8">
            <w:pPr>
              <w:spacing w:after="100"/>
              <w:rPr>
                <w:rFonts w:eastAsia="Times New Roman"/>
                <w:sz w:val="20"/>
                <w:szCs w:val="20"/>
              </w:rPr>
            </w:pPr>
          </w:p>
        </w:tc>
        <w:tc>
          <w:tcPr>
            <w:tcW w:w="50" w:type="pct"/>
            <w:vAlign w:val="center"/>
            <w:hideMark/>
          </w:tcPr>
          <w:p w14:paraId="5B199C9A" w14:textId="77777777" w:rsidR="00000000" w:rsidRDefault="00A173A8">
            <w:pPr>
              <w:spacing w:after="100"/>
              <w:rPr>
                <w:rFonts w:eastAsia="Times New Roman"/>
                <w:sz w:val="20"/>
                <w:szCs w:val="20"/>
              </w:rPr>
            </w:pPr>
          </w:p>
        </w:tc>
        <w:tc>
          <w:tcPr>
            <w:tcW w:w="479" w:type="pct"/>
            <w:vAlign w:val="center"/>
            <w:hideMark/>
          </w:tcPr>
          <w:p w14:paraId="0099B4EA" w14:textId="77777777" w:rsidR="00000000" w:rsidRDefault="00A173A8">
            <w:pPr>
              <w:spacing w:after="100"/>
              <w:rPr>
                <w:rFonts w:eastAsia="Times New Roman"/>
                <w:sz w:val="20"/>
                <w:szCs w:val="20"/>
              </w:rPr>
            </w:pPr>
          </w:p>
        </w:tc>
        <w:tc>
          <w:tcPr>
            <w:tcW w:w="5" w:type="pct"/>
            <w:vAlign w:val="center"/>
            <w:hideMark/>
          </w:tcPr>
          <w:p w14:paraId="23BE16E1" w14:textId="77777777" w:rsidR="00000000" w:rsidRDefault="00A173A8">
            <w:pPr>
              <w:spacing w:after="100"/>
              <w:rPr>
                <w:rFonts w:eastAsia="Times New Roman"/>
                <w:sz w:val="20"/>
                <w:szCs w:val="20"/>
              </w:rPr>
            </w:pPr>
          </w:p>
        </w:tc>
      </w:tr>
      <w:tr w:rsidR="00000000" w14:paraId="59ECD51E" w14:textId="77777777">
        <w:trPr>
          <w:divId w:val="664434004"/>
        </w:trPr>
        <w:tc>
          <w:tcPr>
            <w:tcW w:w="0" w:type="auto"/>
            <w:gridSpan w:val="3"/>
            <w:tcMar>
              <w:top w:w="0" w:type="dxa"/>
              <w:left w:w="20" w:type="dxa"/>
              <w:bottom w:w="0" w:type="dxa"/>
              <w:right w:w="20" w:type="dxa"/>
            </w:tcMar>
            <w:vAlign w:val="center"/>
            <w:hideMark/>
          </w:tcPr>
          <w:p w14:paraId="2FE6B96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64827C" w14:textId="77777777" w:rsidR="00000000" w:rsidRDefault="00A173A8">
            <w:pPr>
              <w:spacing w:after="100"/>
              <w:rPr>
                <w:rFonts w:eastAsia="Times New Roman"/>
                <w:sz w:val="20"/>
                <w:szCs w:val="20"/>
              </w:rPr>
            </w:pPr>
          </w:p>
        </w:tc>
        <w:tc>
          <w:tcPr>
            <w:tcW w:w="0" w:type="auto"/>
            <w:vAlign w:val="center"/>
            <w:hideMark/>
          </w:tcPr>
          <w:p w14:paraId="47EE9A80" w14:textId="77777777" w:rsidR="00000000" w:rsidRDefault="00A173A8">
            <w:pPr>
              <w:spacing w:after="100"/>
              <w:rPr>
                <w:rFonts w:eastAsia="Times New Roman"/>
                <w:sz w:val="20"/>
                <w:szCs w:val="20"/>
              </w:rPr>
            </w:pPr>
          </w:p>
        </w:tc>
        <w:tc>
          <w:tcPr>
            <w:tcW w:w="0" w:type="auto"/>
            <w:vAlign w:val="center"/>
            <w:hideMark/>
          </w:tcPr>
          <w:p w14:paraId="27A9F6F8"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E745319"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0FA4B91B" w14:textId="77777777" w:rsidR="00000000" w:rsidRDefault="00A173A8">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3D5DFE2D"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4FB989B4" w14:textId="77777777">
        <w:trPr>
          <w:divId w:val="664434004"/>
        </w:trPr>
        <w:tc>
          <w:tcPr>
            <w:tcW w:w="0" w:type="auto"/>
            <w:gridSpan w:val="3"/>
            <w:tcBorders>
              <w:bottom w:val="single" w:sz="8" w:space="0" w:color="000000"/>
            </w:tcBorders>
            <w:tcMar>
              <w:top w:w="30" w:type="dxa"/>
              <w:left w:w="20" w:type="dxa"/>
              <w:bottom w:w="30" w:type="dxa"/>
              <w:right w:w="20" w:type="dxa"/>
            </w:tcMar>
            <w:vAlign w:val="bottom"/>
            <w:hideMark/>
          </w:tcPr>
          <w:p w14:paraId="6DB8D8C1"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76063CA" w14:textId="77777777" w:rsidR="00000000" w:rsidRDefault="00A173A8">
            <w:pPr>
              <w:spacing w:after="100"/>
              <w:rPr>
                <w:rFonts w:eastAsia="Times New Roman"/>
              </w:rPr>
            </w:pPr>
          </w:p>
        </w:tc>
        <w:tc>
          <w:tcPr>
            <w:tcW w:w="0" w:type="auto"/>
            <w:vAlign w:val="center"/>
            <w:hideMark/>
          </w:tcPr>
          <w:p w14:paraId="77E12A00" w14:textId="77777777" w:rsidR="00000000" w:rsidRDefault="00A173A8">
            <w:pPr>
              <w:spacing w:after="100"/>
              <w:rPr>
                <w:rFonts w:eastAsia="Times New Roman"/>
                <w:sz w:val="20"/>
                <w:szCs w:val="20"/>
              </w:rPr>
            </w:pPr>
          </w:p>
        </w:tc>
        <w:tc>
          <w:tcPr>
            <w:tcW w:w="0" w:type="auto"/>
            <w:vAlign w:val="center"/>
            <w:hideMark/>
          </w:tcPr>
          <w:p w14:paraId="1415383D"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D1B47EB" w14:textId="77777777" w:rsidR="00000000" w:rsidRDefault="00A173A8">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14:paraId="6AA2A7F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134F6D" w14:textId="77777777" w:rsidR="00000000" w:rsidRDefault="00A173A8">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14:paraId="68DB037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5215B54" w14:textId="77777777" w:rsidR="00000000" w:rsidRDefault="00A173A8">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14:paraId="5BB9709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4215134" w14:textId="77777777" w:rsidR="00000000" w:rsidRDefault="00A173A8">
            <w:pPr>
              <w:spacing w:after="100"/>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14:paraId="3D353DD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E93186F" w14:textId="77777777" w:rsidR="00000000" w:rsidRDefault="00A173A8">
            <w:pPr>
              <w:spacing w:after="100"/>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14:paraId="2C1D294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5C633AE"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479655F9" w14:textId="77777777">
        <w:trPr>
          <w:divId w:val="6644340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BE4A306" w14:textId="77777777" w:rsidR="00000000" w:rsidRDefault="00A173A8">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2D4ECE7C" w14:textId="77777777" w:rsidR="00000000" w:rsidRDefault="00A173A8">
            <w:pPr>
              <w:spacing w:after="100"/>
              <w:rPr>
                <w:rFonts w:eastAsia="Times New Roman"/>
              </w:rPr>
            </w:pPr>
          </w:p>
        </w:tc>
        <w:tc>
          <w:tcPr>
            <w:tcW w:w="0" w:type="auto"/>
            <w:vAlign w:val="center"/>
            <w:hideMark/>
          </w:tcPr>
          <w:p w14:paraId="43543274" w14:textId="77777777" w:rsidR="00000000" w:rsidRDefault="00A173A8">
            <w:pPr>
              <w:spacing w:after="100"/>
              <w:rPr>
                <w:rFonts w:eastAsia="Times New Roman"/>
                <w:sz w:val="20"/>
                <w:szCs w:val="20"/>
              </w:rPr>
            </w:pPr>
          </w:p>
        </w:tc>
        <w:tc>
          <w:tcPr>
            <w:tcW w:w="0" w:type="auto"/>
            <w:vAlign w:val="center"/>
            <w:hideMark/>
          </w:tcPr>
          <w:p w14:paraId="102069F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8D790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67DA2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28EC3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FC242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048C6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8BB60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D2ACC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3BAC7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53CDA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4A47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26DA6D" w14:textId="77777777" w:rsidR="00000000" w:rsidRDefault="00A173A8">
            <w:pPr>
              <w:spacing w:after="100"/>
              <w:rPr>
                <w:rFonts w:eastAsia="Times New Roman"/>
                <w:sz w:val="20"/>
                <w:szCs w:val="20"/>
              </w:rPr>
            </w:pPr>
          </w:p>
        </w:tc>
      </w:tr>
      <w:tr w:rsidR="00000000" w14:paraId="50FC980C" w14:textId="77777777">
        <w:trPr>
          <w:divId w:val="664434004"/>
        </w:trPr>
        <w:tc>
          <w:tcPr>
            <w:tcW w:w="0" w:type="auto"/>
            <w:gridSpan w:val="3"/>
            <w:shd w:val="clear" w:color="auto" w:fill="FFFFFF"/>
            <w:tcMar>
              <w:top w:w="30" w:type="dxa"/>
              <w:left w:w="20" w:type="dxa"/>
              <w:bottom w:w="30" w:type="dxa"/>
              <w:right w:w="20" w:type="dxa"/>
            </w:tcMar>
            <w:vAlign w:val="center"/>
            <w:hideMark/>
          </w:tcPr>
          <w:p w14:paraId="6D6D0B25" w14:textId="77777777" w:rsidR="00000000" w:rsidRDefault="00A173A8">
            <w:pPr>
              <w:spacing w:after="100"/>
              <w:rPr>
                <w:rFonts w:eastAsia="Times New Roman"/>
              </w:rPr>
            </w:pPr>
            <w:r>
              <w:rPr>
                <w:rFonts w:eastAsia="Times New Roman"/>
                <w:b/>
                <w:bCs/>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0B51748B" w14:textId="77777777" w:rsidR="00000000" w:rsidRDefault="00A173A8">
            <w:pPr>
              <w:spacing w:after="100"/>
              <w:rPr>
                <w:rFonts w:eastAsia="Times New Roman"/>
              </w:rPr>
            </w:pPr>
          </w:p>
        </w:tc>
        <w:tc>
          <w:tcPr>
            <w:tcW w:w="0" w:type="auto"/>
            <w:vAlign w:val="center"/>
            <w:hideMark/>
          </w:tcPr>
          <w:p w14:paraId="4EF0B3C4" w14:textId="77777777" w:rsidR="00000000" w:rsidRDefault="00A173A8">
            <w:pPr>
              <w:spacing w:after="100"/>
              <w:rPr>
                <w:rFonts w:eastAsia="Times New Roman"/>
                <w:sz w:val="20"/>
                <w:szCs w:val="20"/>
              </w:rPr>
            </w:pPr>
          </w:p>
        </w:tc>
        <w:tc>
          <w:tcPr>
            <w:tcW w:w="0" w:type="auto"/>
            <w:vAlign w:val="center"/>
            <w:hideMark/>
          </w:tcPr>
          <w:p w14:paraId="032D33A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246D0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76B48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F9796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B48CF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909A1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749E0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DF506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1D565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8715C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5B9E5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D6D6D5" w14:textId="77777777" w:rsidR="00000000" w:rsidRDefault="00A173A8">
            <w:pPr>
              <w:spacing w:after="100"/>
              <w:rPr>
                <w:rFonts w:eastAsia="Times New Roman"/>
                <w:sz w:val="20"/>
                <w:szCs w:val="20"/>
              </w:rPr>
            </w:pPr>
          </w:p>
        </w:tc>
      </w:tr>
      <w:tr w:rsidR="00000000" w14:paraId="4A0805ED" w14:textId="77777777">
        <w:trPr>
          <w:divId w:val="664434004"/>
        </w:trPr>
        <w:tc>
          <w:tcPr>
            <w:tcW w:w="0" w:type="auto"/>
            <w:gridSpan w:val="3"/>
            <w:shd w:val="clear" w:color="auto" w:fill="CCEEFF"/>
            <w:tcMar>
              <w:top w:w="30" w:type="dxa"/>
              <w:left w:w="20" w:type="dxa"/>
              <w:bottom w:w="30" w:type="dxa"/>
              <w:right w:w="20" w:type="dxa"/>
            </w:tcMar>
            <w:vAlign w:val="center"/>
            <w:hideMark/>
          </w:tcPr>
          <w:p w14:paraId="0561E911" w14:textId="77777777" w:rsidR="00000000" w:rsidRDefault="00A173A8">
            <w:pPr>
              <w:spacing w:after="100"/>
              <w:divId w:val="22484206"/>
              <w:rPr>
                <w:rFonts w:eastAsia="Times New Roman"/>
              </w:rPr>
            </w:pPr>
            <w:r>
              <w:rPr>
                <w:rFonts w:eastAsia="Times New Roman"/>
                <w:color w:val="000000"/>
                <w:sz w:val="18"/>
                <w:szCs w:val="18"/>
              </w:rPr>
              <w:t>Current</w:t>
            </w:r>
          </w:p>
        </w:tc>
        <w:tc>
          <w:tcPr>
            <w:tcW w:w="0" w:type="auto"/>
            <w:gridSpan w:val="3"/>
            <w:shd w:val="clear" w:color="auto" w:fill="CCEEFF"/>
            <w:tcMar>
              <w:top w:w="0" w:type="dxa"/>
              <w:left w:w="20" w:type="dxa"/>
              <w:bottom w:w="0" w:type="dxa"/>
              <w:right w:w="20" w:type="dxa"/>
            </w:tcMar>
            <w:vAlign w:val="center"/>
            <w:hideMark/>
          </w:tcPr>
          <w:p w14:paraId="1836E973" w14:textId="77777777" w:rsidR="00000000" w:rsidRDefault="00A173A8">
            <w:pPr>
              <w:spacing w:after="100"/>
              <w:rPr>
                <w:rFonts w:eastAsia="Times New Roman"/>
              </w:rPr>
            </w:pPr>
          </w:p>
        </w:tc>
        <w:tc>
          <w:tcPr>
            <w:tcW w:w="0" w:type="auto"/>
            <w:vAlign w:val="center"/>
            <w:hideMark/>
          </w:tcPr>
          <w:p w14:paraId="0DA6A411" w14:textId="77777777" w:rsidR="00000000" w:rsidRDefault="00A173A8">
            <w:pPr>
              <w:spacing w:after="100"/>
              <w:rPr>
                <w:rFonts w:eastAsia="Times New Roman"/>
                <w:sz w:val="20"/>
                <w:szCs w:val="20"/>
              </w:rPr>
            </w:pPr>
          </w:p>
        </w:tc>
        <w:tc>
          <w:tcPr>
            <w:tcW w:w="0" w:type="auto"/>
            <w:vAlign w:val="center"/>
            <w:hideMark/>
          </w:tcPr>
          <w:p w14:paraId="4CF0D7FF" w14:textId="77777777" w:rsidR="00000000" w:rsidRDefault="00A173A8">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9B37D7"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33BA03A8" w14:textId="77777777" w:rsidR="00000000" w:rsidRDefault="00A173A8">
            <w:pPr>
              <w:spacing w:after="100"/>
              <w:jc w:val="right"/>
              <w:rPr>
                <w:rFonts w:eastAsia="Times New Roman"/>
              </w:rPr>
            </w:pPr>
            <w:r>
              <w:rPr>
                <w:rFonts w:eastAsia="Times New Roman"/>
                <w:b/>
                <w:bCs/>
                <w:color w:val="000000"/>
                <w:sz w:val="18"/>
                <w:szCs w:val="18"/>
              </w:rPr>
              <w:t>112,027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2B01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A1670"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D6BB330"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47C60384" w14:textId="77777777" w:rsidR="00000000" w:rsidRDefault="00A173A8">
            <w:pPr>
              <w:spacing w:after="100"/>
              <w:jc w:val="right"/>
              <w:rPr>
                <w:rFonts w:eastAsia="Times New Roman"/>
              </w:rPr>
            </w:pPr>
            <w:r>
              <w:rPr>
                <w:rFonts w:eastAsia="Times New Roman"/>
                <w:b/>
                <w:bCs/>
                <w:color w:val="000000"/>
                <w:sz w:val="18"/>
                <w:szCs w:val="18"/>
              </w:rPr>
              <w:t>270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281B8F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A0D52A"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1E570A"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4FE0FF8" w14:textId="77777777" w:rsidR="00000000" w:rsidRDefault="00A173A8">
            <w:pPr>
              <w:spacing w:after="100"/>
              <w:jc w:val="right"/>
              <w:rPr>
                <w:rFonts w:eastAsia="Times New Roman"/>
              </w:rPr>
            </w:pPr>
            <w:r>
              <w:rPr>
                <w:rFonts w:eastAsia="Times New Roman"/>
                <w:b/>
                <w:bCs/>
                <w:color w:val="000000"/>
                <w:sz w:val="18"/>
                <w:szCs w:val="18"/>
              </w:rPr>
              <w:t>112,297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1B7882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FA2BF"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438462"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53A6BE8" w14:textId="77777777" w:rsidR="00000000" w:rsidRDefault="00A173A8">
            <w:pPr>
              <w:spacing w:after="100"/>
              <w:jc w:val="right"/>
              <w:rPr>
                <w:rFonts w:eastAsia="Times New Roman"/>
              </w:rPr>
            </w:pPr>
            <w:r>
              <w:rPr>
                <w:rFonts w:eastAsia="Times New Roman"/>
                <w:color w:val="000000"/>
                <w:sz w:val="18"/>
                <w:szCs w:val="18"/>
              </w:rPr>
              <w:t>105,985 </w:t>
            </w:r>
          </w:p>
        </w:tc>
        <w:tc>
          <w:tcPr>
            <w:tcW w:w="0" w:type="auto"/>
            <w:shd w:val="clear" w:color="auto" w:fill="CCEEFF"/>
            <w:tcMar>
              <w:top w:w="30" w:type="dxa"/>
              <w:left w:w="0" w:type="dxa"/>
              <w:bottom w:w="30" w:type="dxa"/>
              <w:right w:w="20" w:type="dxa"/>
            </w:tcMar>
            <w:vAlign w:val="bottom"/>
            <w:hideMark/>
          </w:tcPr>
          <w:p w14:paraId="0D4A87F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4FAD2E"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B3A75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D2852C2" w14:textId="77777777" w:rsidR="00000000" w:rsidRDefault="00A173A8">
            <w:pPr>
              <w:spacing w:after="100"/>
              <w:jc w:val="right"/>
              <w:rPr>
                <w:rFonts w:eastAsia="Times New Roman"/>
              </w:rPr>
            </w:pPr>
            <w:r>
              <w:rPr>
                <w:rFonts w:eastAsia="Times New Roman"/>
                <w:color w:val="000000"/>
                <w:sz w:val="18"/>
                <w:szCs w:val="18"/>
              </w:rPr>
              <w:t>327 </w:t>
            </w:r>
          </w:p>
        </w:tc>
        <w:tc>
          <w:tcPr>
            <w:tcW w:w="0" w:type="auto"/>
            <w:shd w:val="clear" w:color="auto" w:fill="CCEEFF"/>
            <w:tcMar>
              <w:top w:w="30" w:type="dxa"/>
              <w:left w:w="0" w:type="dxa"/>
              <w:bottom w:w="30" w:type="dxa"/>
              <w:right w:w="20" w:type="dxa"/>
            </w:tcMar>
            <w:vAlign w:val="bottom"/>
            <w:hideMark/>
          </w:tcPr>
          <w:p w14:paraId="4EFBAA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F47EC"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036E712"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54BA28A" w14:textId="77777777" w:rsidR="00000000" w:rsidRDefault="00A173A8">
            <w:pPr>
              <w:spacing w:after="100"/>
              <w:jc w:val="right"/>
              <w:rPr>
                <w:rFonts w:eastAsia="Times New Roman"/>
              </w:rPr>
            </w:pPr>
            <w:r>
              <w:rPr>
                <w:rFonts w:eastAsia="Times New Roman"/>
                <w:color w:val="000000"/>
                <w:sz w:val="18"/>
                <w:szCs w:val="18"/>
              </w:rPr>
              <w:t>106,312 </w:t>
            </w:r>
          </w:p>
        </w:tc>
        <w:tc>
          <w:tcPr>
            <w:tcW w:w="0" w:type="auto"/>
            <w:shd w:val="clear" w:color="auto" w:fill="CCEEFF"/>
            <w:tcMar>
              <w:top w:w="30" w:type="dxa"/>
              <w:left w:w="0" w:type="dxa"/>
              <w:bottom w:w="30" w:type="dxa"/>
              <w:right w:w="20" w:type="dxa"/>
            </w:tcMar>
            <w:vAlign w:val="bottom"/>
            <w:hideMark/>
          </w:tcPr>
          <w:p w14:paraId="41A74B7E" w14:textId="77777777" w:rsidR="00000000" w:rsidRDefault="00A173A8">
            <w:pPr>
              <w:spacing w:after="100"/>
              <w:jc w:val="right"/>
              <w:rPr>
                <w:rFonts w:eastAsia="Times New Roman"/>
              </w:rPr>
            </w:pPr>
          </w:p>
        </w:tc>
      </w:tr>
      <w:tr w:rsidR="00000000" w14:paraId="1AE1D0E9" w14:textId="77777777">
        <w:trPr>
          <w:divId w:val="664434004"/>
        </w:trPr>
        <w:tc>
          <w:tcPr>
            <w:tcW w:w="0" w:type="auto"/>
            <w:gridSpan w:val="3"/>
            <w:shd w:val="clear" w:color="auto" w:fill="FFFFFF"/>
            <w:tcMar>
              <w:top w:w="30" w:type="dxa"/>
              <w:left w:w="20" w:type="dxa"/>
              <w:bottom w:w="30" w:type="dxa"/>
              <w:right w:w="20" w:type="dxa"/>
            </w:tcMar>
            <w:vAlign w:val="center"/>
            <w:hideMark/>
          </w:tcPr>
          <w:p w14:paraId="30D8372E" w14:textId="77777777" w:rsidR="00000000" w:rsidRDefault="00A173A8">
            <w:pPr>
              <w:spacing w:after="100"/>
              <w:divId w:val="214631805"/>
              <w:rPr>
                <w:rFonts w:eastAsia="Times New Roman"/>
              </w:rPr>
            </w:pPr>
            <w:r>
              <w:rPr>
                <w:rFonts w:eastAsia="Times New Roman"/>
                <w:color w:val="000000"/>
                <w:sz w:val="18"/>
                <w:szCs w:val="18"/>
              </w:rPr>
              <w:t>30-59 days</w:t>
            </w:r>
          </w:p>
        </w:tc>
        <w:tc>
          <w:tcPr>
            <w:tcW w:w="0" w:type="auto"/>
            <w:gridSpan w:val="3"/>
            <w:shd w:val="clear" w:color="auto" w:fill="FFFFFF"/>
            <w:tcMar>
              <w:top w:w="0" w:type="dxa"/>
              <w:left w:w="20" w:type="dxa"/>
              <w:bottom w:w="0" w:type="dxa"/>
              <w:right w:w="20" w:type="dxa"/>
            </w:tcMar>
            <w:vAlign w:val="center"/>
            <w:hideMark/>
          </w:tcPr>
          <w:p w14:paraId="71C9B0A1" w14:textId="77777777" w:rsidR="00000000" w:rsidRDefault="00A173A8">
            <w:pPr>
              <w:spacing w:after="100"/>
              <w:rPr>
                <w:rFonts w:eastAsia="Times New Roman"/>
              </w:rPr>
            </w:pPr>
          </w:p>
        </w:tc>
        <w:tc>
          <w:tcPr>
            <w:tcW w:w="0" w:type="auto"/>
            <w:vAlign w:val="center"/>
            <w:hideMark/>
          </w:tcPr>
          <w:p w14:paraId="618A1748" w14:textId="77777777" w:rsidR="00000000" w:rsidRDefault="00A173A8">
            <w:pPr>
              <w:spacing w:after="100"/>
              <w:rPr>
                <w:rFonts w:eastAsia="Times New Roman"/>
                <w:sz w:val="20"/>
                <w:szCs w:val="20"/>
              </w:rPr>
            </w:pPr>
          </w:p>
        </w:tc>
        <w:tc>
          <w:tcPr>
            <w:tcW w:w="0" w:type="auto"/>
            <w:vAlign w:val="center"/>
            <w:hideMark/>
          </w:tcPr>
          <w:p w14:paraId="09AC1CAC"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D49B19" w14:textId="77777777" w:rsidR="00000000" w:rsidRDefault="00A173A8">
            <w:pPr>
              <w:spacing w:after="100"/>
              <w:jc w:val="right"/>
              <w:rPr>
                <w:rFonts w:eastAsia="Times New Roman"/>
              </w:rPr>
            </w:pPr>
            <w:r>
              <w:rPr>
                <w:rFonts w:eastAsia="Times New Roman"/>
                <w:b/>
                <w:bCs/>
                <w:color w:val="000000"/>
                <w:sz w:val="18"/>
                <w:szCs w:val="18"/>
              </w:rPr>
              <w:t>884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4ED2C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97EE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853C01" w14:textId="77777777" w:rsidR="00000000" w:rsidRDefault="00A173A8">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5BCA0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625C4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7C46E0" w14:textId="77777777" w:rsidR="00000000" w:rsidRDefault="00A173A8">
            <w:pPr>
              <w:spacing w:after="100"/>
              <w:jc w:val="right"/>
              <w:rPr>
                <w:rFonts w:eastAsia="Times New Roman"/>
              </w:rPr>
            </w:pPr>
            <w:r>
              <w:rPr>
                <w:rFonts w:eastAsia="Times New Roman"/>
                <w:b/>
                <w:bCs/>
                <w:color w:val="000000"/>
                <w:sz w:val="18"/>
                <w:szCs w:val="18"/>
              </w:rPr>
              <w:t>896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B7C2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68B7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109CDB" w14:textId="77777777" w:rsidR="00000000" w:rsidRDefault="00A173A8">
            <w:pPr>
              <w:spacing w:after="100"/>
              <w:jc w:val="right"/>
              <w:rPr>
                <w:rFonts w:eastAsia="Times New Roman"/>
              </w:rPr>
            </w:pPr>
            <w:r>
              <w:rPr>
                <w:rFonts w:eastAsia="Times New Roman"/>
                <w:color w:val="000000"/>
                <w:sz w:val="18"/>
                <w:szCs w:val="18"/>
              </w:rPr>
              <w:t>760 </w:t>
            </w:r>
          </w:p>
        </w:tc>
        <w:tc>
          <w:tcPr>
            <w:tcW w:w="0" w:type="auto"/>
            <w:shd w:val="clear" w:color="auto" w:fill="FFFFFF"/>
            <w:tcMar>
              <w:top w:w="30" w:type="dxa"/>
              <w:left w:w="0" w:type="dxa"/>
              <w:bottom w:w="30" w:type="dxa"/>
              <w:right w:w="20" w:type="dxa"/>
            </w:tcMar>
            <w:vAlign w:val="bottom"/>
            <w:hideMark/>
          </w:tcPr>
          <w:p w14:paraId="775E74E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842D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E952D4" w14:textId="77777777" w:rsidR="00000000" w:rsidRDefault="00A173A8">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bottom"/>
            <w:hideMark/>
          </w:tcPr>
          <w:p w14:paraId="321B5A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4C45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CC5108" w14:textId="77777777" w:rsidR="00000000" w:rsidRDefault="00A173A8">
            <w:pPr>
              <w:spacing w:after="100"/>
              <w:jc w:val="right"/>
              <w:rPr>
                <w:rFonts w:eastAsia="Times New Roman"/>
              </w:rPr>
            </w:pPr>
            <w:r>
              <w:rPr>
                <w:rFonts w:eastAsia="Times New Roman"/>
                <w:color w:val="000000"/>
                <w:sz w:val="18"/>
                <w:szCs w:val="18"/>
              </w:rPr>
              <w:t>773 </w:t>
            </w:r>
          </w:p>
        </w:tc>
        <w:tc>
          <w:tcPr>
            <w:tcW w:w="0" w:type="auto"/>
            <w:shd w:val="clear" w:color="auto" w:fill="FFFFFF"/>
            <w:tcMar>
              <w:top w:w="30" w:type="dxa"/>
              <w:left w:w="0" w:type="dxa"/>
              <w:bottom w:w="30" w:type="dxa"/>
              <w:right w:w="20" w:type="dxa"/>
            </w:tcMar>
            <w:vAlign w:val="bottom"/>
            <w:hideMark/>
          </w:tcPr>
          <w:p w14:paraId="6B4D988A" w14:textId="77777777" w:rsidR="00000000" w:rsidRDefault="00A173A8">
            <w:pPr>
              <w:spacing w:after="100"/>
              <w:jc w:val="right"/>
              <w:rPr>
                <w:rFonts w:eastAsia="Times New Roman"/>
              </w:rPr>
            </w:pPr>
          </w:p>
        </w:tc>
      </w:tr>
      <w:tr w:rsidR="00000000" w14:paraId="493855E4" w14:textId="77777777">
        <w:trPr>
          <w:divId w:val="664434004"/>
        </w:trPr>
        <w:tc>
          <w:tcPr>
            <w:tcW w:w="0" w:type="auto"/>
            <w:gridSpan w:val="3"/>
            <w:shd w:val="clear" w:color="auto" w:fill="CCEEFF"/>
            <w:tcMar>
              <w:top w:w="30" w:type="dxa"/>
              <w:left w:w="20" w:type="dxa"/>
              <w:bottom w:w="30" w:type="dxa"/>
              <w:right w:w="20" w:type="dxa"/>
            </w:tcMar>
            <w:vAlign w:val="center"/>
            <w:hideMark/>
          </w:tcPr>
          <w:p w14:paraId="641827F9" w14:textId="77777777" w:rsidR="00000000" w:rsidRDefault="00A173A8">
            <w:pPr>
              <w:spacing w:after="100"/>
              <w:divId w:val="266890255"/>
              <w:rPr>
                <w:rFonts w:eastAsia="Times New Roman"/>
              </w:rPr>
            </w:pPr>
            <w:r>
              <w:rPr>
                <w:rFonts w:eastAsia="Times New Roman"/>
                <w:color w:val="000000"/>
                <w:sz w:val="18"/>
                <w:szCs w:val="18"/>
              </w:rPr>
              <w:t>60-89 days</w:t>
            </w:r>
          </w:p>
        </w:tc>
        <w:tc>
          <w:tcPr>
            <w:tcW w:w="0" w:type="auto"/>
            <w:gridSpan w:val="3"/>
            <w:shd w:val="clear" w:color="auto" w:fill="CCEEFF"/>
            <w:tcMar>
              <w:top w:w="0" w:type="dxa"/>
              <w:left w:w="20" w:type="dxa"/>
              <w:bottom w:w="0" w:type="dxa"/>
              <w:right w:w="20" w:type="dxa"/>
            </w:tcMar>
            <w:vAlign w:val="center"/>
            <w:hideMark/>
          </w:tcPr>
          <w:p w14:paraId="0DC2778B" w14:textId="77777777" w:rsidR="00000000" w:rsidRDefault="00A173A8">
            <w:pPr>
              <w:spacing w:after="100"/>
              <w:rPr>
                <w:rFonts w:eastAsia="Times New Roman"/>
              </w:rPr>
            </w:pPr>
          </w:p>
        </w:tc>
        <w:tc>
          <w:tcPr>
            <w:tcW w:w="0" w:type="auto"/>
            <w:vAlign w:val="center"/>
            <w:hideMark/>
          </w:tcPr>
          <w:p w14:paraId="7870BB2D" w14:textId="77777777" w:rsidR="00000000" w:rsidRDefault="00A173A8">
            <w:pPr>
              <w:spacing w:after="100"/>
              <w:rPr>
                <w:rFonts w:eastAsia="Times New Roman"/>
                <w:sz w:val="20"/>
                <w:szCs w:val="20"/>
              </w:rPr>
            </w:pPr>
          </w:p>
        </w:tc>
        <w:tc>
          <w:tcPr>
            <w:tcW w:w="0" w:type="auto"/>
            <w:vAlign w:val="center"/>
            <w:hideMark/>
          </w:tcPr>
          <w:p w14:paraId="17C9A995"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7B72E6" w14:textId="77777777" w:rsidR="00000000" w:rsidRDefault="00A173A8">
            <w:pPr>
              <w:spacing w:after="100"/>
              <w:jc w:val="right"/>
              <w:rPr>
                <w:rFonts w:eastAsia="Times New Roman"/>
              </w:rPr>
            </w:pPr>
            <w:r>
              <w:rPr>
                <w:rFonts w:eastAsia="Times New Roman"/>
                <w:b/>
                <w:bCs/>
                <w:color w:val="000000"/>
                <w:sz w:val="18"/>
                <w:szCs w:val="18"/>
              </w:rPr>
              <w:t>607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F3BD1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B006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3AC3AA" w14:textId="77777777" w:rsidR="00000000" w:rsidRDefault="00A173A8">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171013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4948A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74A05B" w14:textId="77777777" w:rsidR="00000000" w:rsidRDefault="00A173A8">
            <w:pPr>
              <w:spacing w:after="100"/>
              <w:jc w:val="right"/>
              <w:rPr>
                <w:rFonts w:eastAsia="Times New Roman"/>
              </w:rPr>
            </w:pPr>
            <w:r>
              <w:rPr>
                <w:rFonts w:eastAsia="Times New Roman"/>
                <w:b/>
                <w:bCs/>
                <w:color w:val="000000"/>
                <w:sz w:val="18"/>
                <w:szCs w:val="18"/>
              </w:rPr>
              <w:t>615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38A8B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E20C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2CE62F" w14:textId="77777777" w:rsidR="00000000" w:rsidRDefault="00A173A8">
            <w:pPr>
              <w:spacing w:after="100"/>
              <w:jc w:val="right"/>
              <w:rPr>
                <w:rFonts w:eastAsia="Times New Roman"/>
              </w:rPr>
            </w:pPr>
            <w:r>
              <w:rPr>
                <w:rFonts w:eastAsia="Times New Roman"/>
                <w:color w:val="000000"/>
                <w:sz w:val="18"/>
                <w:szCs w:val="18"/>
              </w:rPr>
              <w:t>519 </w:t>
            </w:r>
          </w:p>
        </w:tc>
        <w:tc>
          <w:tcPr>
            <w:tcW w:w="0" w:type="auto"/>
            <w:shd w:val="clear" w:color="auto" w:fill="CCEEFF"/>
            <w:tcMar>
              <w:top w:w="30" w:type="dxa"/>
              <w:left w:w="0" w:type="dxa"/>
              <w:bottom w:w="30" w:type="dxa"/>
              <w:right w:w="20" w:type="dxa"/>
            </w:tcMar>
            <w:vAlign w:val="bottom"/>
            <w:hideMark/>
          </w:tcPr>
          <w:p w14:paraId="3E87932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24552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E34574" w14:textId="77777777" w:rsidR="00000000" w:rsidRDefault="00A173A8">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07EC6B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B56B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9948A5" w14:textId="77777777" w:rsidR="00000000" w:rsidRDefault="00A173A8">
            <w:pPr>
              <w:spacing w:after="100"/>
              <w:jc w:val="right"/>
              <w:rPr>
                <w:rFonts w:eastAsia="Times New Roman"/>
              </w:rPr>
            </w:pPr>
            <w:r>
              <w:rPr>
                <w:rFonts w:eastAsia="Times New Roman"/>
                <w:color w:val="000000"/>
                <w:sz w:val="18"/>
                <w:szCs w:val="18"/>
              </w:rPr>
              <w:t>528 </w:t>
            </w:r>
          </w:p>
        </w:tc>
        <w:tc>
          <w:tcPr>
            <w:tcW w:w="0" w:type="auto"/>
            <w:shd w:val="clear" w:color="auto" w:fill="CCEEFF"/>
            <w:tcMar>
              <w:top w:w="30" w:type="dxa"/>
              <w:left w:w="0" w:type="dxa"/>
              <w:bottom w:w="30" w:type="dxa"/>
              <w:right w:w="20" w:type="dxa"/>
            </w:tcMar>
            <w:vAlign w:val="bottom"/>
            <w:hideMark/>
          </w:tcPr>
          <w:p w14:paraId="7384D04F" w14:textId="77777777" w:rsidR="00000000" w:rsidRDefault="00A173A8">
            <w:pPr>
              <w:spacing w:after="100"/>
              <w:jc w:val="right"/>
              <w:rPr>
                <w:rFonts w:eastAsia="Times New Roman"/>
              </w:rPr>
            </w:pPr>
          </w:p>
        </w:tc>
      </w:tr>
      <w:tr w:rsidR="00000000" w14:paraId="18FA60F5" w14:textId="77777777">
        <w:trPr>
          <w:divId w:val="664434004"/>
        </w:trPr>
        <w:tc>
          <w:tcPr>
            <w:tcW w:w="0" w:type="auto"/>
            <w:gridSpan w:val="3"/>
            <w:shd w:val="clear" w:color="auto" w:fill="FFFFFF"/>
            <w:tcMar>
              <w:top w:w="30" w:type="dxa"/>
              <w:left w:w="20" w:type="dxa"/>
              <w:bottom w:w="30" w:type="dxa"/>
              <w:right w:w="20" w:type="dxa"/>
            </w:tcMar>
            <w:vAlign w:val="center"/>
            <w:hideMark/>
          </w:tcPr>
          <w:p w14:paraId="1143FAF3" w14:textId="77777777" w:rsidR="00000000" w:rsidRDefault="00A173A8">
            <w:pPr>
              <w:spacing w:after="100"/>
              <w:divId w:val="470561017"/>
              <w:rPr>
                <w:rFonts w:eastAsia="Times New Roman"/>
              </w:rPr>
            </w:pPr>
            <w:r>
              <w:rPr>
                <w:rFonts w:eastAsia="Times New Roman"/>
                <w:color w:val="000000"/>
                <w:sz w:val="18"/>
                <w:szCs w:val="18"/>
              </w:rPr>
              <w:t>Greater than 90 days</w:t>
            </w:r>
          </w:p>
        </w:tc>
        <w:tc>
          <w:tcPr>
            <w:tcW w:w="0" w:type="auto"/>
            <w:gridSpan w:val="3"/>
            <w:shd w:val="clear" w:color="auto" w:fill="FFFFFF"/>
            <w:tcMar>
              <w:top w:w="0" w:type="dxa"/>
              <w:left w:w="20" w:type="dxa"/>
              <w:bottom w:w="0" w:type="dxa"/>
              <w:right w:w="20" w:type="dxa"/>
            </w:tcMar>
            <w:vAlign w:val="center"/>
            <w:hideMark/>
          </w:tcPr>
          <w:p w14:paraId="77FEFE10" w14:textId="77777777" w:rsidR="00000000" w:rsidRDefault="00A173A8">
            <w:pPr>
              <w:spacing w:after="100"/>
              <w:rPr>
                <w:rFonts w:eastAsia="Times New Roman"/>
              </w:rPr>
            </w:pPr>
          </w:p>
        </w:tc>
        <w:tc>
          <w:tcPr>
            <w:tcW w:w="0" w:type="auto"/>
            <w:vAlign w:val="center"/>
            <w:hideMark/>
          </w:tcPr>
          <w:p w14:paraId="0C659816" w14:textId="77777777" w:rsidR="00000000" w:rsidRDefault="00A173A8">
            <w:pPr>
              <w:spacing w:after="100"/>
              <w:rPr>
                <w:rFonts w:eastAsia="Times New Roman"/>
                <w:sz w:val="20"/>
                <w:szCs w:val="20"/>
              </w:rPr>
            </w:pPr>
          </w:p>
        </w:tc>
        <w:tc>
          <w:tcPr>
            <w:tcW w:w="0" w:type="auto"/>
            <w:vAlign w:val="center"/>
            <w:hideMark/>
          </w:tcPr>
          <w:p w14:paraId="3088499A"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7C68F7" w14:textId="77777777" w:rsidR="00000000" w:rsidRDefault="00A173A8">
            <w:pPr>
              <w:spacing w:after="100"/>
              <w:jc w:val="right"/>
              <w:rPr>
                <w:rFonts w:eastAsia="Times New Roman"/>
              </w:rPr>
            </w:pPr>
            <w:r>
              <w:rPr>
                <w:rFonts w:eastAsia="Times New Roman"/>
                <w:b/>
                <w:bCs/>
                <w:color w:val="000000"/>
                <w:sz w:val="18"/>
                <w:szCs w:val="18"/>
              </w:rPr>
              <w:t>1,186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AD3CBA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7E21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956E9" w14:textId="77777777" w:rsidR="00000000" w:rsidRDefault="00A173A8">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B7F83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A526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F96136" w14:textId="77777777" w:rsidR="00000000" w:rsidRDefault="00A173A8">
            <w:pPr>
              <w:spacing w:after="100"/>
              <w:jc w:val="right"/>
              <w:rPr>
                <w:rFonts w:eastAsia="Times New Roman"/>
              </w:rPr>
            </w:pPr>
            <w:r>
              <w:rPr>
                <w:rFonts w:eastAsia="Times New Roman"/>
                <w:b/>
                <w:bCs/>
                <w:color w:val="000000"/>
                <w:sz w:val="18"/>
                <w:szCs w:val="18"/>
              </w:rPr>
              <w:t>1,196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A133C3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AF86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17839F" w14:textId="77777777" w:rsidR="00000000" w:rsidRDefault="00A173A8">
            <w:pPr>
              <w:spacing w:after="100"/>
              <w:jc w:val="right"/>
              <w:rPr>
                <w:rFonts w:eastAsia="Times New Roman"/>
              </w:rPr>
            </w:pPr>
            <w:r>
              <w:rPr>
                <w:rFonts w:eastAsia="Times New Roman"/>
                <w:color w:val="000000"/>
                <w:sz w:val="18"/>
                <w:szCs w:val="18"/>
              </w:rPr>
              <w:t>1,100 </w:t>
            </w:r>
          </w:p>
        </w:tc>
        <w:tc>
          <w:tcPr>
            <w:tcW w:w="0" w:type="auto"/>
            <w:shd w:val="clear" w:color="auto" w:fill="FFFFFF"/>
            <w:tcMar>
              <w:top w:w="30" w:type="dxa"/>
              <w:left w:w="0" w:type="dxa"/>
              <w:bottom w:w="30" w:type="dxa"/>
              <w:right w:w="20" w:type="dxa"/>
            </w:tcMar>
            <w:vAlign w:val="bottom"/>
            <w:hideMark/>
          </w:tcPr>
          <w:p w14:paraId="2A21313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91B1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41FA1C" w14:textId="77777777" w:rsidR="00000000" w:rsidRDefault="00A173A8">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14:paraId="1324BE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D61D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BFDECF" w14:textId="77777777" w:rsidR="00000000" w:rsidRDefault="00A173A8">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bottom"/>
            <w:hideMark/>
          </w:tcPr>
          <w:p w14:paraId="26D37348" w14:textId="77777777" w:rsidR="00000000" w:rsidRDefault="00A173A8">
            <w:pPr>
              <w:spacing w:after="100"/>
              <w:jc w:val="right"/>
              <w:rPr>
                <w:rFonts w:eastAsia="Times New Roman"/>
              </w:rPr>
            </w:pPr>
          </w:p>
        </w:tc>
      </w:tr>
      <w:tr w:rsidR="00000000" w14:paraId="2C3E3421" w14:textId="77777777">
        <w:trPr>
          <w:divId w:val="664434004"/>
        </w:trPr>
        <w:tc>
          <w:tcPr>
            <w:tcW w:w="0" w:type="auto"/>
            <w:gridSpan w:val="3"/>
            <w:shd w:val="clear" w:color="auto" w:fill="CCEEFF"/>
            <w:tcMar>
              <w:top w:w="30" w:type="dxa"/>
              <w:left w:w="245" w:type="dxa"/>
              <w:bottom w:w="30" w:type="dxa"/>
              <w:right w:w="20" w:type="dxa"/>
            </w:tcMar>
            <w:vAlign w:val="center"/>
            <w:hideMark/>
          </w:tcPr>
          <w:p w14:paraId="58665BA3" w14:textId="77777777" w:rsidR="00000000" w:rsidRDefault="00A173A8">
            <w:pPr>
              <w:spacing w:after="100"/>
              <w:rPr>
                <w:rFonts w:eastAsia="Times New Roman"/>
              </w:rPr>
            </w:pPr>
            <w:r>
              <w:rPr>
                <w:rFonts w:eastAsia="Times New Roman"/>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14:paraId="69D664BD" w14:textId="77777777" w:rsidR="00000000" w:rsidRDefault="00A173A8">
            <w:pPr>
              <w:spacing w:after="100"/>
              <w:rPr>
                <w:rFonts w:eastAsia="Times New Roman"/>
              </w:rPr>
            </w:pPr>
          </w:p>
        </w:tc>
        <w:tc>
          <w:tcPr>
            <w:tcW w:w="0" w:type="auto"/>
            <w:vAlign w:val="center"/>
            <w:hideMark/>
          </w:tcPr>
          <w:p w14:paraId="60E38F69" w14:textId="77777777" w:rsidR="00000000" w:rsidRDefault="00A173A8">
            <w:pPr>
              <w:spacing w:after="100"/>
              <w:rPr>
                <w:rFonts w:eastAsia="Times New Roman"/>
                <w:sz w:val="20"/>
                <w:szCs w:val="20"/>
              </w:rPr>
            </w:pPr>
          </w:p>
        </w:tc>
        <w:tc>
          <w:tcPr>
            <w:tcW w:w="0" w:type="auto"/>
            <w:vAlign w:val="center"/>
            <w:hideMark/>
          </w:tcPr>
          <w:p w14:paraId="15018670"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8F419D" w14:textId="77777777" w:rsidR="00000000" w:rsidRDefault="00A173A8">
            <w:pPr>
              <w:spacing w:after="100"/>
              <w:jc w:val="right"/>
              <w:rPr>
                <w:rFonts w:eastAsia="Times New Roman"/>
              </w:rPr>
            </w:pPr>
            <w:r>
              <w:rPr>
                <w:rFonts w:eastAsia="Times New Roman"/>
                <w:b/>
                <w:bCs/>
                <w:color w:val="000000"/>
                <w:sz w:val="18"/>
                <w:szCs w:val="18"/>
              </w:rPr>
              <w:t>114,704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D516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CB21B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D8CDD5" w14:textId="77777777" w:rsidR="00000000" w:rsidRDefault="00A173A8">
            <w:pPr>
              <w:spacing w:after="100"/>
              <w:jc w:val="right"/>
              <w:rPr>
                <w:rFonts w:eastAsia="Times New Roman"/>
              </w:rPr>
            </w:pPr>
            <w:r>
              <w:rPr>
                <w:rFonts w:eastAsia="Times New Roman"/>
                <w:b/>
                <w:bCs/>
                <w:color w:val="000000"/>
                <w:sz w:val="18"/>
                <w:szCs w:val="18"/>
              </w:rPr>
              <w:t>300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5D3D3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035DB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2E5E43" w14:textId="77777777" w:rsidR="00000000" w:rsidRDefault="00A173A8">
            <w:pPr>
              <w:spacing w:after="100"/>
              <w:jc w:val="right"/>
              <w:rPr>
                <w:rFonts w:eastAsia="Times New Roman"/>
              </w:rPr>
            </w:pPr>
            <w:r>
              <w:rPr>
                <w:rFonts w:eastAsia="Times New Roman"/>
                <w:b/>
                <w:bCs/>
                <w:color w:val="000000"/>
                <w:sz w:val="18"/>
                <w:szCs w:val="18"/>
              </w:rPr>
              <w:t>115,004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E3200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51B2B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4128EF" w14:textId="77777777" w:rsidR="00000000" w:rsidRDefault="00A173A8">
            <w:pPr>
              <w:spacing w:after="100"/>
              <w:jc w:val="right"/>
              <w:rPr>
                <w:rFonts w:eastAsia="Times New Roman"/>
              </w:rPr>
            </w:pPr>
            <w:r>
              <w:rPr>
                <w:rFonts w:eastAsia="Times New Roman"/>
                <w:color w:val="000000"/>
                <w:sz w:val="18"/>
                <w:szCs w:val="18"/>
              </w:rPr>
              <w:t>108,364 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CC439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4A184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923182" w14:textId="77777777" w:rsidR="00000000" w:rsidRDefault="00A173A8">
            <w:pPr>
              <w:spacing w:after="100"/>
              <w:jc w:val="right"/>
              <w:rPr>
                <w:rFonts w:eastAsia="Times New Roman"/>
              </w:rPr>
            </w:pPr>
            <w:r>
              <w:rPr>
                <w:rFonts w:eastAsia="Times New Roman"/>
                <w:color w:val="000000"/>
                <w:sz w:val="18"/>
                <w:szCs w:val="18"/>
              </w:rPr>
              <w:t>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8240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6831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A0F9C9E" w14:textId="77777777" w:rsidR="00000000" w:rsidRDefault="00A173A8">
            <w:pPr>
              <w:spacing w:after="100"/>
              <w:jc w:val="right"/>
              <w:rPr>
                <w:rFonts w:eastAsia="Times New Roman"/>
              </w:rPr>
            </w:pPr>
            <w:r>
              <w:rPr>
                <w:rFonts w:eastAsia="Times New Roman"/>
                <w:color w:val="000000"/>
                <w:sz w:val="18"/>
                <w:szCs w:val="18"/>
              </w:rPr>
              <w:t>108,723 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F800AA" w14:textId="77777777" w:rsidR="00000000" w:rsidRDefault="00A173A8">
            <w:pPr>
              <w:spacing w:after="100"/>
              <w:jc w:val="right"/>
              <w:rPr>
                <w:rFonts w:eastAsia="Times New Roman"/>
              </w:rPr>
            </w:pPr>
          </w:p>
        </w:tc>
      </w:tr>
      <w:tr w:rsidR="00000000" w14:paraId="3BED37C2" w14:textId="77777777">
        <w:trPr>
          <w:divId w:val="664434004"/>
          <w:trHeight w:val="240"/>
        </w:trPr>
        <w:tc>
          <w:tcPr>
            <w:tcW w:w="0" w:type="auto"/>
            <w:gridSpan w:val="3"/>
            <w:shd w:val="clear" w:color="auto" w:fill="FFFFFF"/>
            <w:tcMar>
              <w:top w:w="0" w:type="dxa"/>
              <w:left w:w="20" w:type="dxa"/>
              <w:bottom w:w="0" w:type="dxa"/>
              <w:right w:w="20" w:type="dxa"/>
            </w:tcMar>
            <w:vAlign w:val="center"/>
            <w:hideMark/>
          </w:tcPr>
          <w:p w14:paraId="69629C92"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1D6AEE" w14:textId="77777777" w:rsidR="00000000" w:rsidRDefault="00A173A8">
            <w:pPr>
              <w:spacing w:after="100"/>
              <w:rPr>
                <w:rFonts w:eastAsia="Times New Roman"/>
                <w:sz w:val="20"/>
                <w:szCs w:val="20"/>
              </w:rPr>
            </w:pPr>
          </w:p>
        </w:tc>
        <w:tc>
          <w:tcPr>
            <w:tcW w:w="0" w:type="auto"/>
            <w:vAlign w:val="center"/>
            <w:hideMark/>
          </w:tcPr>
          <w:p w14:paraId="0E9BD06E" w14:textId="77777777" w:rsidR="00000000" w:rsidRDefault="00A173A8">
            <w:pPr>
              <w:spacing w:after="100"/>
              <w:rPr>
                <w:rFonts w:eastAsia="Times New Roman"/>
                <w:sz w:val="20"/>
                <w:szCs w:val="20"/>
              </w:rPr>
            </w:pPr>
          </w:p>
        </w:tc>
        <w:tc>
          <w:tcPr>
            <w:tcW w:w="0" w:type="auto"/>
            <w:vAlign w:val="center"/>
            <w:hideMark/>
          </w:tcPr>
          <w:p w14:paraId="0A97C6A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ABF0F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47415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A18C5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914C6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2DF09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74194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FB017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73834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7F0C5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0A04A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6175B3" w14:textId="77777777" w:rsidR="00000000" w:rsidRDefault="00A173A8">
            <w:pPr>
              <w:spacing w:after="100"/>
              <w:rPr>
                <w:rFonts w:eastAsia="Times New Roman"/>
                <w:sz w:val="20"/>
                <w:szCs w:val="20"/>
              </w:rPr>
            </w:pPr>
          </w:p>
        </w:tc>
      </w:tr>
      <w:tr w:rsidR="00000000" w14:paraId="376D2D49" w14:textId="77777777">
        <w:trPr>
          <w:divId w:val="664434004"/>
        </w:trPr>
        <w:tc>
          <w:tcPr>
            <w:tcW w:w="0" w:type="auto"/>
            <w:gridSpan w:val="3"/>
            <w:shd w:val="clear" w:color="auto" w:fill="CCEEFF"/>
            <w:tcMar>
              <w:top w:w="30" w:type="dxa"/>
              <w:left w:w="20" w:type="dxa"/>
              <w:bottom w:w="30" w:type="dxa"/>
              <w:right w:w="20" w:type="dxa"/>
            </w:tcMar>
            <w:vAlign w:val="center"/>
            <w:hideMark/>
          </w:tcPr>
          <w:p w14:paraId="1680DE41" w14:textId="77777777" w:rsidR="00000000" w:rsidRDefault="00A173A8">
            <w:pPr>
              <w:spacing w:after="100"/>
              <w:rPr>
                <w:rFonts w:eastAsia="Times New Roman"/>
              </w:rPr>
            </w:pPr>
            <w:r>
              <w:rPr>
                <w:rFonts w:eastAsia="Times New Roman"/>
                <w:b/>
                <w:bCs/>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68DB0FBE" w14:textId="77777777" w:rsidR="00000000" w:rsidRDefault="00A173A8">
            <w:pPr>
              <w:spacing w:after="100"/>
              <w:rPr>
                <w:rFonts w:eastAsia="Times New Roman"/>
              </w:rPr>
            </w:pPr>
          </w:p>
        </w:tc>
        <w:tc>
          <w:tcPr>
            <w:tcW w:w="0" w:type="auto"/>
            <w:vAlign w:val="center"/>
            <w:hideMark/>
          </w:tcPr>
          <w:p w14:paraId="36F7EBB4" w14:textId="77777777" w:rsidR="00000000" w:rsidRDefault="00A173A8">
            <w:pPr>
              <w:spacing w:after="100"/>
              <w:rPr>
                <w:rFonts w:eastAsia="Times New Roman"/>
                <w:sz w:val="20"/>
                <w:szCs w:val="20"/>
              </w:rPr>
            </w:pPr>
          </w:p>
        </w:tc>
        <w:tc>
          <w:tcPr>
            <w:tcW w:w="0" w:type="auto"/>
            <w:vAlign w:val="center"/>
            <w:hideMark/>
          </w:tcPr>
          <w:p w14:paraId="601A1FA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3CF32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49F75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A19C7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FC6A5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88F8D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BEB9B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E6FC5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6A85A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96CD9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59ACA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41BFF0" w14:textId="77777777" w:rsidR="00000000" w:rsidRDefault="00A173A8">
            <w:pPr>
              <w:spacing w:after="100"/>
              <w:rPr>
                <w:rFonts w:eastAsia="Times New Roman"/>
                <w:sz w:val="20"/>
                <w:szCs w:val="20"/>
              </w:rPr>
            </w:pPr>
          </w:p>
        </w:tc>
      </w:tr>
      <w:tr w:rsidR="00000000" w14:paraId="23A42DCD" w14:textId="77777777">
        <w:trPr>
          <w:divId w:val="664434004"/>
        </w:trPr>
        <w:tc>
          <w:tcPr>
            <w:tcW w:w="0" w:type="auto"/>
            <w:gridSpan w:val="3"/>
            <w:shd w:val="clear" w:color="auto" w:fill="FFFFFF"/>
            <w:tcMar>
              <w:top w:w="30" w:type="dxa"/>
              <w:left w:w="20" w:type="dxa"/>
              <w:bottom w:w="30" w:type="dxa"/>
              <w:right w:w="20" w:type="dxa"/>
            </w:tcMar>
            <w:vAlign w:val="center"/>
            <w:hideMark/>
          </w:tcPr>
          <w:p w14:paraId="726F0DDA" w14:textId="77777777" w:rsidR="00000000" w:rsidRDefault="00A173A8">
            <w:pPr>
              <w:spacing w:after="100"/>
              <w:divId w:val="1250164803"/>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14:paraId="29735736" w14:textId="77777777" w:rsidR="00000000" w:rsidRDefault="00A173A8">
            <w:pPr>
              <w:spacing w:after="100"/>
              <w:rPr>
                <w:rFonts w:eastAsia="Times New Roman"/>
              </w:rPr>
            </w:pPr>
          </w:p>
        </w:tc>
        <w:tc>
          <w:tcPr>
            <w:tcW w:w="0" w:type="auto"/>
            <w:vAlign w:val="center"/>
            <w:hideMark/>
          </w:tcPr>
          <w:p w14:paraId="48E58590" w14:textId="77777777" w:rsidR="00000000" w:rsidRDefault="00A173A8">
            <w:pPr>
              <w:spacing w:after="100"/>
              <w:rPr>
                <w:rFonts w:eastAsia="Times New Roman"/>
                <w:sz w:val="20"/>
                <w:szCs w:val="20"/>
              </w:rPr>
            </w:pPr>
          </w:p>
        </w:tc>
        <w:tc>
          <w:tcPr>
            <w:tcW w:w="0" w:type="auto"/>
            <w:vAlign w:val="center"/>
            <w:hideMark/>
          </w:tcPr>
          <w:p w14:paraId="2841C213"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BF27CB" w14:textId="77777777" w:rsidR="00000000" w:rsidRDefault="00A173A8">
            <w:pPr>
              <w:spacing w:after="100"/>
              <w:jc w:val="right"/>
              <w:rPr>
                <w:rFonts w:eastAsia="Times New Roman"/>
              </w:rPr>
            </w:pPr>
            <w:r>
              <w:rPr>
                <w:rFonts w:eastAsia="Times New Roman"/>
                <w:b/>
                <w:bCs/>
                <w:color w:val="000000"/>
                <w:sz w:val="18"/>
                <w:szCs w:val="18"/>
              </w:rPr>
              <w:t>5,621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668F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1A74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CADDEE" w14:textId="77777777" w:rsidR="00000000" w:rsidRDefault="00A173A8">
            <w:pPr>
              <w:spacing w:after="100"/>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B0C1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AA91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353C9B" w14:textId="77777777" w:rsidR="00000000" w:rsidRDefault="00A173A8">
            <w:pPr>
              <w:spacing w:after="100"/>
              <w:jc w:val="right"/>
              <w:rPr>
                <w:rFonts w:eastAsia="Times New Roman"/>
              </w:rPr>
            </w:pPr>
            <w:r>
              <w:rPr>
                <w:rFonts w:eastAsia="Times New Roman"/>
                <w:b/>
                <w:bCs/>
                <w:color w:val="000000"/>
                <w:sz w:val="18"/>
                <w:szCs w:val="18"/>
              </w:rPr>
              <w:t>5,655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C62E6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0F94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074613" w14:textId="77777777" w:rsidR="00000000" w:rsidRDefault="00A173A8">
            <w:pPr>
              <w:spacing w:after="100"/>
              <w:jc w:val="right"/>
              <w:rPr>
                <w:rFonts w:eastAsia="Times New Roman"/>
              </w:rPr>
            </w:pPr>
            <w:r>
              <w:rPr>
                <w:rFonts w:eastAsia="Times New Roman"/>
                <w:color w:val="000000"/>
                <w:sz w:val="18"/>
                <w:szCs w:val="18"/>
              </w:rPr>
              <w:t>5,795 </w:t>
            </w:r>
          </w:p>
        </w:tc>
        <w:tc>
          <w:tcPr>
            <w:tcW w:w="0" w:type="auto"/>
            <w:shd w:val="clear" w:color="auto" w:fill="FFFFFF"/>
            <w:tcMar>
              <w:top w:w="30" w:type="dxa"/>
              <w:left w:w="0" w:type="dxa"/>
              <w:bottom w:w="30" w:type="dxa"/>
              <w:right w:w="20" w:type="dxa"/>
            </w:tcMar>
            <w:vAlign w:val="bottom"/>
            <w:hideMark/>
          </w:tcPr>
          <w:p w14:paraId="2F180C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F0DD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E405CC" w14:textId="77777777" w:rsidR="00000000" w:rsidRDefault="00A173A8">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bottom"/>
            <w:hideMark/>
          </w:tcPr>
          <w:p w14:paraId="7EBF182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EA77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3AB66D" w14:textId="77777777" w:rsidR="00000000" w:rsidRDefault="00A173A8">
            <w:pPr>
              <w:spacing w:after="100"/>
              <w:jc w:val="right"/>
              <w:rPr>
                <w:rFonts w:eastAsia="Times New Roman"/>
              </w:rPr>
            </w:pPr>
            <w:r>
              <w:rPr>
                <w:rFonts w:eastAsia="Times New Roman"/>
                <w:color w:val="000000"/>
                <w:sz w:val="18"/>
                <w:szCs w:val="18"/>
              </w:rPr>
              <w:t>5,836 </w:t>
            </w:r>
          </w:p>
        </w:tc>
        <w:tc>
          <w:tcPr>
            <w:tcW w:w="0" w:type="auto"/>
            <w:shd w:val="clear" w:color="auto" w:fill="FFFFFF"/>
            <w:tcMar>
              <w:top w:w="30" w:type="dxa"/>
              <w:left w:w="0" w:type="dxa"/>
              <w:bottom w:w="30" w:type="dxa"/>
              <w:right w:w="20" w:type="dxa"/>
            </w:tcMar>
            <w:vAlign w:val="bottom"/>
            <w:hideMark/>
          </w:tcPr>
          <w:p w14:paraId="047550AA" w14:textId="77777777" w:rsidR="00000000" w:rsidRDefault="00A173A8">
            <w:pPr>
              <w:spacing w:after="100"/>
              <w:jc w:val="right"/>
              <w:rPr>
                <w:rFonts w:eastAsia="Times New Roman"/>
              </w:rPr>
            </w:pPr>
          </w:p>
        </w:tc>
      </w:tr>
      <w:tr w:rsidR="00000000" w14:paraId="613DCBF5" w14:textId="77777777">
        <w:trPr>
          <w:divId w:val="664434004"/>
        </w:trPr>
        <w:tc>
          <w:tcPr>
            <w:tcW w:w="0" w:type="auto"/>
            <w:gridSpan w:val="3"/>
            <w:shd w:val="clear" w:color="auto" w:fill="CCEEFF"/>
            <w:tcMar>
              <w:top w:w="30" w:type="dxa"/>
              <w:left w:w="20" w:type="dxa"/>
              <w:bottom w:w="30" w:type="dxa"/>
              <w:right w:w="20" w:type="dxa"/>
            </w:tcMar>
            <w:vAlign w:val="center"/>
            <w:hideMark/>
          </w:tcPr>
          <w:p w14:paraId="6C7DD31C" w14:textId="77777777" w:rsidR="00000000" w:rsidRDefault="00A173A8">
            <w:pPr>
              <w:spacing w:after="100"/>
              <w:divId w:val="81226927"/>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14:paraId="3218B782" w14:textId="77777777" w:rsidR="00000000" w:rsidRDefault="00A173A8">
            <w:pPr>
              <w:spacing w:after="100"/>
              <w:rPr>
                <w:rFonts w:eastAsia="Times New Roman"/>
              </w:rPr>
            </w:pPr>
          </w:p>
        </w:tc>
        <w:tc>
          <w:tcPr>
            <w:tcW w:w="0" w:type="auto"/>
            <w:vAlign w:val="center"/>
            <w:hideMark/>
          </w:tcPr>
          <w:p w14:paraId="7944C413" w14:textId="77777777" w:rsidR="00000000" w:rsidRDefault="00A173A8">
            <w:pPr>
              <w:spacing w:after="100"/>
              <w:rPr>
                <w:rFonts w:eastAsia="Times New Roman"/>
                <w:sz w:val="20"/>
                <w:szCs w:val="20"/>
              </w:rPr>
            </w:pPr>
          </w:p>
        </w:tc>
        <w:tc>
          <w:tcPr>
            <w:tcW w:w="0" w:type="auto"/>
            <w:vAlign w:val="center"/>
            <w:hideMark/>
          </w:tcPr>
          <w:p w14:paraId="5E23028A"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2548DF" w14:textId="77777777" w:rsidR="00000000" w:rsidRDefault="00A173A8">
            <w:pPr>
              <w:spacing w:after="100"/>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69333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DF3C5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19EE81" w14:textId="77777777" w:rsidR="00000000" w:rsidRDefault="00A173A8">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DFA7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A5AE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1EFEB4" w14:textId="77777777" w:rsidR="00000000" w:rsidRDefault="00A173A8">
            <w:pPr>
              <w:spacing w:after="100"/>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C1E199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C91D7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7BFCA7" w14:textId="77777777" w:rsidR="00000000" w:rsidRDefault="00A173A8">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14:paraId="569862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11D9B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D9F328"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76522FC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FFD4D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95E797" w14:textId="77777777" w:rsidR="00000000" w:rsidRDefault="00A173A8">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14:paraId="6FE28CBB" w14:textId="77777777" w:rsidR="00000000" w:rsidRDefault="00A173A8">
            <w:pPr>
              <w:spacing w:after="100"/>
              <w:jc w:val="right"/>
              <w:rPr>
                <w:rFonts w:eastAsia="Times New Roman"/>
              </w:rPr>
            </w:pPr>
          </w:p>
        </w:tc>
      </w:tr>
      <w:tr w:rsidR="00000000" w14:paraId="684D25DF" w14:textId="77777777">
        <w:trPr>
          <w:divId w:val="664434004"/>
        </w:trPr>
        <w:tc>
          <w:tcPr>
            <w:tcW w:w="0" w:type="auto"/>
            <w:gridSpan w:val="3"/>
            <w:shd w:val="clear" w:color="auto" w:fill="FFFFFF"/>
            <w:tcMar>
              <w:top w:w="30" w:type="dxa"/>
              <w:left w:w="20" w:type="dxa"/>
              <w:bottom w:w="30" w:type="dxa"/>
              <w:right w:w="20" w:type="dxa"/>
            </w:tcMar>
            <w:vAlign w:val="center"/>
            <w:hideMark/>
          </w:tcPr>
          <w:p w14:paraId="1AC650BF" w14:textId="77777777" w:rsidR="00000000" w:rsidRDefault="00A173A8">
            <w:pPr>
              <w:spacing w:after="100"/>
              <w:divId w:val="612521448"/>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14:paraId="45146197" w14:textId="77777777" w:rsidR="00000000" w:rsidRDefault="00A173A8">
            <w:pPr>
              <w:spacing w:after="100"/>
              <w:rPr>
                <w:rFonts w:eastAsia="Times New Roman"/>
              </w:rPr>
            </w:pPr>
          </w:p>
        </w:tc>
        <w:tc>
          <w:tcPr>
            <w:tcW w:w="0" w:type="auto"/>
            <w:vAlign w:val="center"/>
            <w:hideMark/>
          </w:tcPr>
          <w:p w14:paraId="39F0AC28" w14:textId="77777777" w:rsidR="00000000" w:rsidRDefault="00A173A8">
            <w:pPr>
              <w:spacing w:after="100"/>
              <w:rPr>
                <w:rFonts w:eastAsia="Times New Roman"/>
                <w:sz w:val="20"/>
                <w:szCs w:val="20"/>
              </w:rPr>
            </w:pPr>
          </w:p>
        </w:tc>
        <w:tc>
          <w:tcPr>
            <w:tcW w:w="0" w:type="auto"/>
            <w:vAlign w:val="center"/>
            <w:hideMark/>
          </w:tcPr>
          <w:p w14:paraId="61094D40"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57E78" w14:textId="77777777" w:rsidR="00000000" w:rsidRDefault="00A173A8">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B31A2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41563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947D34" w14:textId="77777777" w:rsidR="00000000" w:rsidRDefault="00A173A8">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69400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126D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6C3E81" w14:textId="77777777" w:rsidR="00000000" w:rsidRDefault="00A173A8">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A6B56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90DE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E70B37" w14:textId="77777777" w:rsidR="00000000" w:rsidRDefault="00A173A8">
            <w:pPr>
              <w:spacing w:after="100"/>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14:paraId="2FA634F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49D40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58A9AD" w14:textId="77777777" w:rsidR="00000000" w:rsidRDefault="00A173A8">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14:paraId="4972191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9F0A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D3352C" w14:textId="77777777" w:rsidR="00000000" w:rsidRDefault="00A173A8">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14:paraId="07ABE3C1" w14:textId="77777777" w:rsidR="00000000" w:rsidRDefault="00A173A8">
            <w:pPr>
              <w:spacing w:after="100"/>
              <w:jc w:val="right"/>
              <w:rPr>
                <w:rFonts w:eastAsia="Times New Roman"/>
              </w:rPr>
            </w:pPr>
          </w:p>
        </w:tc>
      </w:tr>
      <w:tr w:rsidR="00000000" w14:paraId="00835D43" w14:textId="77777777">
        <w:trPr>
          <w:divId w:val="664434004"/>
        </w:trPr>
        <w:tc>
          <w:tcPr>
            <w:tcW w:w="0" w:type="auto"/>
            <w:gridSpan w:val="3"/>
            <w:shd w:val="clear" w:color="auto" w:fill="CCEEFF"/>
            <w:tcMar>
              <w:top w:w="30" w:type="dxa"/>
              <w:left w:w="20" w:type="dxa"/>
              <w:bottom w:w="30" w:type="dxa"/>
              <w:right w:w="20" w:type="dxa"/>
            </w:tcMar>
            <w:vAlign w:val="center"/>
            <w:hideMark/>
          </w:tcPr>
          <w:p w14:paraId="72B2D624" w14:textId="77777777" w:rsidR="00000000" w:rsidRDefault="00A173A8">
            <w:pPr>
              <w:spacing w:after="100"/>
              <w:divId w:val="1349674669"/>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14:paraId="51CE2620" w14:textId="77777777" w:rsidR="00000000" w:rsidRDefault="00A173A8">
            <w:pPr>
              <w:spacing w:after="100"/>
              <w:rPr>
                <w:rFonts w:eastAsia="Times New Roman"/>
              </w:rPr>
            </w:pPr>
          </w:p>
        </w:tc>
        <w:tc>
          <w:tcPr>
            <w:tcW w:w="0" w:type="auto"/>
            <w:vAlign w:val="center"/>
            <w:hideMark/>
          </w:tcPr>
          <w:p w14:paraId="6C998DFC" w14:textId="77777777" w:rsidR="00000000" w:rsidRDefault="00A173A8">
            <w:pPr>
              <w:spacing w:after="100"/>
              <w:rPr>
                <w:rFonts w:eastAsia="Times New Roman"/>
                <w:sz w:val="20"/>
                <w:szCs w:val="20"/>
              </w:rPr>
            </w:pPr>
          </w:p>
        </w:tc>
        <w:tc>
          <w:tcPr>
            <w:tcW w:w="0" w:type="auto"/>
            <w:vAlign w:val="center"/>
            <w:hideMark/>
          </w:tcPr>
          <w:p w14:paraId="59E9001F"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B67D9A" w14:textId="77777777" w:rsidR="00000000" w:rsidRDefault="00A173A8">
            <w:pPr>
              <w:spacing w:after="100"/>
              <w:jc w:val="right"/>
              <w:rPr>
                <w:rFonts w:eastAsia="Times New Roman"/>
              </w:rPr>
            </w:pPr>
            <w:r>
              <w:rPr>
                <w:rFonts w:eastAsia="Times New Roman"/>
                <w:b/>
                <w:bCs/>
                <w:color w:val="000000"/>
                <w:sz w:val="18"/>
                <w:szCs w:val="18"/>
              </w:rPr>
              <w:t>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FD5C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A447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81C30D" w14:textId="77777777" w:rsidR="00000000" w:rsidRDefault="00A173A8">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24B5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57DF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CD8ED8" w14:textId="77777777" w:rsidR="00000000" w:rsidRDefault="00A173A8">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EDDDD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383C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C23B16" w14:textId="77777777" w:rsidR="00000000" w:rsidRDefault="00A173A8">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14:paraId="336188C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8B5D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F610B8"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27EC1B1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9113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751642" w14:textId="77777777" w:rsidR="00000000" w:rsidRDefault="00A173A8">
            <w:pPr>
              <w:spacing w:after="100"/>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bottom"/>
            <w:hideMark/>
          </w:tcPr>
          <w:p w14:paraId="1FE3C82E" w14:textId="77777777" w:rsidR="00000000" w:rsidRDefault="00A173A8">
            <w:pPr>
              <w:spacing w:after="100"/>
              <w:jc w:val="right"/>
              <w:rPr>
                <w:rFonts w:eastAsia="Times New Roman"/>
              </w:rPr>
            </w:pPr>
          </w:p>
        </w:tc>
      </w:tr>
      <w:tr w:rsidR="00000000" w14:paraId="710251BC" w14:textId="77777777">
        <w:trPr>
          <w:divId w:val="664434004"/>
        </w:trPr>
        <w:tc>
          <w:tcPr>
            <w:tcW w:w="0" w:type="auto"/>
            <w:gridSpan w:val="3"/>
            <w:shd w:val="clear" w:color="auto" w:fill="FFFFFF"/>
            <w:tcMar>
              <w:top w:w="30" w:type="dxa"/>
              <w:left w:w="245" w:type="dxa"/>
              <w:bottom w:w="30" w:type="dxa"/>
              <w:right w:w="20" w:type="dxa"/>
            </w:tcMar>
            <w:vAlign w:val="center"/>
            <w:hideMark/>
          </w:tcPr>
          <w:p w14:paraId="4A9D90EE" w14:textId="77777777" w:rsidR="00000000" w:rsidRDefault="00A173A8">
            <w:pPr>
              <w:spacing w:after="100"/>
              <w:rPr>
                <w:rFonts w:eastAsia="Times New Roman"/>
              </w:rPr>
            </w:pPr>
            <w:r>
              <w:rPr>
                <w:rFonts w:eastAsia="Times New Roman"/>
                <w:color w:val="000000"/>
                <w:sz w:val="18"/>
                <w:szCs w:val="18"/>
              </w:rPr>
              <w:t>Total international card businesses</w:t>
            </w:r>
          </w:p>
        </w:tc>
        <w:tc>
          <w:tcPr>
            <w:tcW w:w="0" w:type="auto"/>
            <w:gridSpan w:val="3"/>
            <w:shd w:val="clear" w:color="auto" w:fill="FFFFFF"/>
            <w:tcMar>
              <w:top w:w="0" w:type="dxa"/>
              <w:left w:w="20" w:type="dxa"/>
              <w:bottom w:w="0" w:type="dxa"/>
              <w:right w:w="20" w:type="dxa"/>
            </w:tcMar>
            <w:vAlign w:val="center"/>
            <w:hideMark/>
          </w:tcPr>
          <w:p w14:paraId="19CDE024" w14:textId="77777777" w:rsidR="00000000" w:rsidRDefault="00A173A8">
            <w:pPr>
              <w:spacing w:after="100"/>
              <w:rPr>
                <w:rFonts w:eastAsia="Times New Roman"/>
              </w:rPr>
            </w:pPr>
          </w:p>
        </w:tc>
        <w:tc>
          <w:tcPr>
            <w:tcW w:w="0" w:type="auto"/>
            <w:vAlign w:val="center"/>
            <w:hideMark/>
          </w:tcPr>
          <w:p w14:paraId="0A1C96AE" w14:textId="77777777" w:rsidR="00000000" w:rsidRDefault="00A173A8">
            <w:pPr>
              <w:spacing w:after="100"/>
              <w:rPr>
                <w:rFonts w:eastAsia="Times New Roman"/>
                <w:sz w:val="20"/>
                <w:szCs w:val="20"/>
              </w:rPr>
            </w:pPr>
          </w:p>
        </w:tc>
        <w:tc>
          <w:tcPr>
            <w:tcW w:w="0" w:type="auto"/>
            <w:vAlign w:val="center"/>
            <w:hideMark/>
          </w:tcPr>
          <w:p w14:paraId="05CD3D46"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B4526A" w14:textId="77777777" w:rsidR="00000000" w:rsidRDefault="00A173A8">
            <w:pPr>
              <w:spacing w:after="100"/>
              <w:jc w:val="right"/>
              <w:rPr>
                <w:rFonts w:eastAsia="Times New Roman"/>
              </w:rPr>
            </w:pPr>
            <w:r>
              <w:rPr>
                <w:rFonts w:eastAsia="Times New Roman"/>
                <w:b/>
                <w:bCs/>
                <w:color w:val="000000"/>
                <w:sz w:val="18"/>
                <w:szCs w:val="18"/>
              </w:rPr>
              <w:t>5,833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CA77E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660EF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58E8EE" w14:textId="77777777" w:rsidR="00000000" w:rsidRDefault="00A173A8">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ECCC1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5DD80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3590A9" w14:textId="77777777" w:rsidR="00000000" w:rsidRDefault="00A173A8">
            <w:pPr>
              <w:spacing w:after="100"/>
              <w:jc w:val="right"/>
              <w:rPr>
                <w:rFonts w:eastAsia="Times New Roman"/>
              </w:rPr>
            </w:pPr>
            <w:r>
              <w:rPr>
                <w:rFonts w:eastAsia="Times New Roman"/>
                <w:b/>
                <w:bCs/>
                <w:color w:val="000000"/>
                <w:sz w:val="18"/>
                <w:szCs w:val="18"/>
              </w:rPr>
              <w:t>5,876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FB708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178E7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C0DB93" w14:textId="77777777" w:rsidR="00000000" w:rsidRDefault="00A173A8">
            <w:pPr>
              <w:spacing w:after="100"/>
              <w:jc w:val="right"/>
              <w:rPr>
                <w:rFonts w:eastAsia="Times New Roman"/>
              </w:rPr>
            </w:pPr>
            <w:r>
              <w:rPr>
                <w:rFonts w:eastAsia="Times New Roman"/>
                <w:color w:val="000000"/>
                <w:sz w:val="18"/>
                <w:szCs w:val="18"/>
              </w:rPr>
              <w:t>5,997 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B44B6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C8BD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4CFCD8" w14:textId="77777777" w:rsidR="00000000" w:rsidRDefault="00A173A8">
            <w:pPr>
              <w:spacing w:after="100"/>
              <w:jc w:val="right"/>
              <w:rPr>
                <w:rFonts w:eastAsia="Times New Roman"/>
              </w:rPr>
            </w:pPr>
            <w:r>
              <w:rPr>
                <w:rFonts w:eastAsia="Times New Roman"/>
                <w:color w:val="000000"/>
                <w:sz w:val="18"/>
                <w:szCs w:val="18"/>
              </w:rPr>
              <w:t>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8CDE3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366F9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652013" w14:textId="77777777" w:rsidR="00000000" w:rsidRDefault="00A173A8">
            <w:pPr>
              <w:spacing w:after="100"/>
              <w:jc w:val="right"/>
              <w:rPr>
                <w:rFonts w:eastAsia="Times New Roman"/>
              </w:rPr>
            </w:pPr>
            <w:r>
              <w:rPr>
                <w:rFonts w:eastAsia="Times New Roman"/>
                <w:color w:val="000000"/>
                <w:sz w:val="18"/>
                <w:szCs w:val="18"/>
              </w:rPr>
              <w:t>6,049 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8C2F60" w14:textId="77777777" w:rsidR="00000000" w:rsidRDefault="00A173A8">
            <w:pPr>
              <w:spacing w:after="100"/>
              <w:jc w:val="right"/>
              <w:rPr>
                <w:rFonts w:eastAsia="Times New Roman"/>
              </w:rPr>
            </w:pPr>
          </w:p>
        </w:tc>
      </w:tr>
      <w:tr w:rsidR="00000000" w14:paraId="7F84C8A4" w14:textId="77777777">
        <w:trPr>
          <w:divId w:val="664434004"/>
        </w:trPr>
        <w:tc>
          <w:tcPr>
            <w:tcW w:w="0" w:type="auto"/>
            <w:gridSpan w:val="3"/>
            <w:shd w:val="clear" w:color="auto" w:fill="CCEEFF"/>
            <w:tcMar>
              <w:top w:w="30" w:type="dxa"/>
              <w:left w:w="20" w:type="dxa"/>
              <w:bottom w:w="30" w:type="dxa"/>
              <w:right w:w="20" w:type="dxa"/>
            </w:tcMar>
            <w:vAlign w:val="center"/>
            <w:hideMark/>
          </w:tcPr>
          <w:p w14:paraId="01068DAA" w14:textId="77777777" w:rsidR="00000000" w:rsidRDefault="00A173A8">
            <w:pPr>
              <w:spacing w:after="100"/>
              <w:rPr>
                <w:rFonts w:eastAsia="Times New Roman"/>
              </w:rPr>
            </w:pPr>
            <w:r>
              <w:rPr>
                <w:rFonts w:eastAsia="Times New Roman"/>
                <w:color w:val="000000"/>
                <w:sz w:val="18"/>
                <w:szCs w:val="18"/>
              </w:rPr>
              <w:t>Total credit card</w:t>
            </w:r>
          </w:p>
        </w:tc>
        <w:tc>
          <w:tcPr>
            <w:tcW w:w="0" w:type="auto"/>
            <w:gridSpan w:val="3"/>
            <w:shd w:val="clear" w:color="auto" w:fill="CCEEFF"/>
            <w:tcMar>
              <w:top w:w="0" w:type="dxa"/>
              <w:left w:w="20" w:type="dxa"/>
              <w:bottom w:w="0" w:type="dxa"/>
              <w:right w:w="20" w:type="dxa"/>
            </w:tcMar>
            <w:vAlign w:val="center"/>
            <w:hideMark/>
          </w:tcPr>
          <w:p w14:paraId="737569AD" w14:textId="77777777" w:rsidR="00000000" w:rsidRDefault="00A173A8">
            <w:pPr>
              <w:spacing w:after="100"/>
              <w:rPr>
                <w:rFonts w:eastAsia="Times New Roman"/>
              </w:rPr>
            </w:pPr>
          </w:p>
        </w:tc>
        <w:tc>
          <w:tcPr>
            <w:tcW w:w="0" w:type="auto"/>
            <w:vAlign w:val="center"/>
            <w:hideMark/>
          </w:tcPr>
          <w:p w14:paraId="7A641785" w14:textId="77777777" w:rsidR="00000000" w:rsidRDefault="00A173A8">
            <w:pPr>
              <w:spacing w:after="100"/>
              <w:rPr>
                <w:rFonts w:eastAsia="Times New Roman"/>
                <w:sz w:val="20"/>
                <w:szCs w:val="20"/>
              </w:rPr>
            </w:pPr>
          </w:p>
        </w:tc>
        <w:tc>
          <w:tcPr>
            <w:tcW w:w="0" w:type="auto"/>
            <w:vAlign w:val="center"/>
            <w:hideMark/>
          </w:tcPr>
          <w:p w14:paraId="6CE7307E" w14:textId="77777777" w:rsidR="00000000" w:rsidRDefault="00A173A8">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3C304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142FC4" w14:textId="77777777" w:rsidR="00000000" w:rsidRDefault="00A173A8">
            <w:pPr>
              <w:spacing w:after="100"/>
              <w:jc w:val="right"/>
              <w:rPr>
                <w:rFonts w:eastAsia="Times New Roman"/>
              </w:rPr>
            </w:pPr>
            <w:r>
              <w:rPr>
                <w:rFonts w:eastAsia="Times New Roman"/>
                <w:b/>
                <w:bCs/>
                <w:color w:val="000000"/>
                <w:sz w:val="18"/>
                <w:szCs w:val="18"/>
              </w:rPr>
              <w:t>120,537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79395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8740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A6F7D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7EFD20" w14:textId="77777777" w:rsidR="00000000" w:rsidRDefault="00A173A8">
            <w:pPr>
              <w:spacing w:after="100"/>
              <w:jc w:val="right"/>
              <w:rPr>
                <w:rFonts w:eastAsia="Times New Roman"/>
              </w:rPr>
            </w:pPr>
            <w:r>
              <w:rPr>
                <w:rFonts w:eastAsia="Times New Roman"/>
                <w:b/>
                <w:bCs/>
                <w:color w:val="000000"/>
                <w:sz w:val="18"/>
                <w:szCs w:val="18"/>
              </w:rPr>
              <w:t>343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C17E6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1C189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E7BEB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8BF089" w14:textId="77777777" w:rsidR="00000000" w:rsidRDefault="00A173A8">
            <w:pPr>
              <w:spacing w:after="100"/>
              <w:jc w:val="right"/>
              <w:rPr>
                <w:rFonts w:eastAsia="Times New Roman"/>
              </w:rPr>
            </w:pPr>
            <w:r>
              <w:rPr>
                <w:rFonts w:eastAsia="Times New Roman"/>
                <w:b/>
                <w:bCs/>
                <w:color w:val="000000"/>
                <w:sz w:val="18"/>
                <w:szCs w:val="18"/>
              </w:rPr>
              <w:t>120,880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97816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4B8B5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2D7EF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6DAFCF" w14:textId="77777777" w:rsidR="00000000" w:rsidRDefault="00A173A8">
            <w:pPr>
              <w:spacing w:after="100"/>
              <w:jc w:val="right"/>
              <w:rPr>
                <w:rFonts w:eastAsia="Times New Roman"/>
              </w:rPr>
            </w:pPr>
            <w:r>
              <w:rPr>
                <w:rFonts w:eastAsia="Times New Roman"/>
                <w:color w:val="000000"/>
                <w:sz w:val="18"/>
                <w:szCs w:val="18"/>
              </w:rPr>
              <w:t>114,361 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FE9AC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5750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E75D3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EEFDDE" w14:textId="77777777" w:rsidR="00000000" w:rsidRDefault="00A173A8">
            <w:pPr>
              <w:spacing w:after="100"/>
              <w:jc w:val="right"/>
              <w:rPr>
                <w:rFonts w:eastAsia="Times New Roman"/>
              </w:rPr>
            </w:pPr>
            <w:r>
              <w:rPr>
                <w:rFonts w:eastAsia="Times New Roman"/>
                <w:color w:val="000000"/>
                <w:sz w:val="18"/>
                <w:szCs w:val="18"/>
              </w:rPr>
              <w:t>411 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8DD1B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234F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AA5B98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CB1775" w14:textId="77777777" w:rsidR="00000000" w:rsidRDefault="00A173A8">
            <w:pPr>
              <w:spacing w:after="100"/>
              <w:jc w:val="right"/>
              <w:rPr>
                <w:rFonts w:eastAsia="Times New Roman"/>
              </w:rPr>
            </w:pPr>
            <w:r>
              <w:rPr>
                <w:rFonts w:eastAsia="Times New Roman"/>
                <w:color w:val="000000"/>
                <w:sz w:val="18"/>
                <w:szCs w:val="18"/>
              </w:rPr>
              <w:t>114,772 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4FABF7" w14:textId="77777777" w:rsidR="00000000" w:rsidRDefault="00A173A8">
            <w:pPr>
              <w:spacing w:after="100"/>
              <w:jc w:val="right"/>
              <w:rPr>
                <w:rFonts w:eastAsia="Times New Roman"/>
              </w:rPr>
            </w:pPr>
          </w:p>
        </w:tc>
      </w:tr>
    </w:tbl>
    <w:p w14:paraId="24123856" w14:textId="77777777" w:rsidR="00000000" w:rsidRDefault="00A173A8">
      <w:pPr>
        <w:divId w:val="848523475"/>
        <w:rPr>
          <w:rFonts w:eastAsia="Times New Roman"/>
        </w:rPr>
      </w:pPr>
      <w:r>
        <w:rPr>
          <w:rFonts w:eastAsia="Times New Roman"/>
          <w:b/>
          <w:bCs/>
          <w:i/>
          <w:iCs/>
          <w:color w:val="000000"/>
          <w:sz w:val="20"/>
          <w:szCs w:val="20"/>
        </w:rPr>
        <w:t>Consumer Banking</w:t>
      </w:r>
    </w:p>
    <w:p w14:paraId="6A07FF5A" w14:textId="77777777" w:rsidR="00000000" w:rsidRDefault="00A173A8">
      <w:pPr>
        <w:jc w:val="both"/>
        <w:divId w:val="124543016"/>
        <w:rPr>
          <w:rFonts w:eastAsia="Times New Roman"/>
        </w:rPr>
      </w:pPr>
      <w:r>
        <w:rPr>
          <w:rFonts w:eastAsia="Times New Roman"/>
          <w:color w:val="000000"/>
          <w:sz w:val="20"/>
          <w:szCs w:val="20"/>
        </w:rPr>
        <w:t>Our consumer banking loan portfolio consists of auto and retail banking loans. Similar to our cr</w:t>
      </w:r>
      <w:r>
        <w:rPr>
          <w:rFonts w:eastAsia="Times New Roman"/>
          <w:color w:val="000000"/>
          <w:sz w:val="20"/>
          <w:szCs w:val="20"/>
        </w:rPr>
        <w:t>edit card loan portfolio, the risk in our consumer banking loan portfolio correlates to broad economic trends as well as consumers’ financial condition, all of which can have a material effect on credit performance. The key indicator we monitor when assess</w:t>
      </w:r>
      <w:r>
        <w:rPr>
          <w:rFonts w:eastAsia="Times New Roman"/>
          <w:color w:val="000000"/>
          <w:sz w:val="20"/>
          <w:szCs w:val="20"/>
        </w:rPr>
        <w:t xml:space="preserve">ing the credit quality and risk of our auto loan portfolio is borrower credit scores as they measure the creditworthiness of borrowers. Delinquency trends are the key indicator we assess in monitoring the credit quality and risk of our retail banking loan </w:t>
      </w:r>
      <w:r>
        <w:rPr>
          <w:rFonts w:eastAsia="Times New Roman"/>
          <w:color w:val="000000"/>
          <w:sz w:val="20"/>
          <w:szCs w:val="20"/>
        </w:rPr>
        <w:t>portfolio.</w:t>
      </w:r>
    </w:p>
    <w:p w14:paraId="4FDBFDCE" w14:textId="77777777" w:rsidR="00000000" w:rsidRDefault="00A173A8">
      <w:pPr>
        <w:jc w:val="both"/>
        <w:divId w:val="2121100868"/>
        <w:rPr>
          <w:rFonts w:eastAsia="Times New Roman"/>
        </w:rPr>
      </w:pPr>
      <w:r>
        <w:rPr>
          <w:rFonts w:eastAsia="Times New Roman"/>
          <w:color w:val="000000"/>
          <w:sz w:val="20"/>
          <w:szCs w:val="20"/>
        </w:rPr>
        <w:t>The table below presents our consumer banking portfolio of loans held for investment by credit quality indicator as of June 30, 2022 and December 31, 2021. We present our auto loan portfolio by FICO scores at origination and our retail banking loan portfol</w:t>
      </w:r>
      <w:r>
        <w:rPr>
          <w:rFonts w:eastAsia="Times New Roman"/>
          <w:color w:val="000000"/>
          <w:sz w:val="20"/>
          <w:szCs w:val="20"/>
        </w:rPr>
        <w:t>io by delinquency status, which includes all past due loans, both performing and nonperforming.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CC6EA45" w14:textId="77777777">
        <w:trPr>
          <w:divId w:val="1197739651"/>
          <w:jc w:val="center"/>
        </w:trPr>
        <w:tc>
          <w:tcPr>
            <w:tcW w:w="50" w:type="pct"/>
            <w:vAlign w:val="center"/>
            <w:hideMark/>
          </w:tcPr>
          <w:p w14:paraId="45A4A712" w14:textId="77777777" w:rsidR="00000000" w:rsidRDefault="00A173A8">
            <w:pPr>
              <w:jc w:val="both"/>
              <w:rPr>
                <w:rFonts w:eastAsia="Times New Roman"/>
              </w:rPr>
            </w:pPr>
          </w:p>
        </w:tc>
        <w:tc>
          <w:tcPr>
            <w:tcW w:w="1606" w:type="pct"/>
            <w:vAlign w:val="center"/>
            <w:hideMark/>
          </w:tcPr>
          <w:p w14:paraId="58AA3235" w14:textId="77777777" w:rsidR="00000000" w:rsidRDefault="00A173A8">
            <w:pPr>
              <w:spacing w:after="100"/>
              <w:rPr>
                <w:rFonts w:eastAsia="Times New Roman"/>
                <w:sz w:val="20"/>
                <w:szCs w:val="20"/>
              </w:rPr>
            </w:pPr>
          </w:p>
        </w:tc>
        <w:tc>
          <w:tcPr>
            <w:tcW w:w="5" w:type="pct"/>
            <w:vAlign w:val="center"/>
            <w:hideMark/>
          </w:tcPr>
          <w:p w14:paraId="1454FED6" w14:textId="77777777" w:rsidR="00000000" w:rsidRDefault="00A173A8">
            <w:pPr>
              <w:spacing w:after="100"/>
              <w:rPr>
                <w:rFonts w:eastAsia="Times New Roman"/>
                <w:sz w:val="20"/>
                <w:szCs w:val="20"/>
              </w:rPr>
            </w:pPr>
          </w:p>
        </w:tc>
        <w:tc>
          <w:tcPr>
            <w:tcW w:w="50" w:type="pct"/>
            <w:vAlign w:val="center"/>
            <w:hideMark/>
          </w:tcPr>
          <w:p w14:paraId="1BC11A95" w14:textId="77777777" w:rsidR="00000000" w:rsidRDefault="00A173A8">
            <w:pPr>
              <w:spacing w:after="100"/>
              <w:rPr>
                <w:rFonts w:eastAsia="Times New Roman"/>
                <w:sz w:val="20"/>
                <w:szCs w:val="20"/>
              </w:rPr>
            </w:pPr>
          </w:p>
        </w:tc>
        <w:tc>
          <w:tcPr>
            <w:tcW w:w="1614" w:type="pct"/>
            <w:vAlign w:val="center"/>
            <w:hideMark/>
          </w:tcPr>
          <w:p w14:paraId="5A257A81" w14:textId="77777777" w:rsidR="00000000" w:rsidRDefault="00A173A8">
            <w:pPr>
              <w:spacing w:after="100"/>
              <w:rPr>
                <w:rFonts w:eastAsia="Times New Roman"/>
                <w:sz w:val="20"/>
                <w:szCs w:val="20"/>
              </w:rPr>
            </w:pPr>
          </w:p>
        </w:tc>
        <w:tc>
          <w:tcPr>
            <w:tcW w:w="5" w:type="pct"/>
            <w:vAlign w:val="center"/>
            <w:hideMark/>
          </w:tcPr>
          <w:p w14:paraId="6AD97F6D" w14:textId="77777777" w:rsidR="00000000" w:rsidRDefault="00A173A8">
            <w:pPr>
              <w:spacing w:after="100"/>
              <w:rPr>
                <w:rFonts w:eastAsia="Times New Roman"/>
                <w:sz w:val="20"/>
                <w:szCs w:val="20"/>
              </w:rPr>
            </w:pPr>
          </w:p>
        </w:tc>
        <w:tc>
          <w:tcPr>
            <w:tcW w:w="50" w:type="pct"/>
            <w:vAlign w:val="center"/>
            <w:hideMark/>
          </w:tcPr>
          <w:p w14:paraId="34FA6D43" w14:textId="77777777" w:rsidR="00000000" w:rsidRDefault="00A173A8">
            <w:pPr>
              <w:spacing w:after="100"/>
              <w:rPr>
                <w:rFonts w:eastAsia="Times New Roman"/>
                <w:sz w:val="20"/>
                <w:szCs w:val="20"/>
              </w:rPr>
            </w:pPr>
          </w:p>
        </w:tc>
        <w:tc>
          <w:tcPr>
            <w:tcW w:w="1614" w:type="pct"/>
            <w:vAlign w:val="center"/>
            <w:hideMark/>
          </w:tcPr>
          <w:p w14:paraId="063E7624" w14:textId="77777777" w:rsidR="00000000" w:rsidRDefault="00A173A8">
            <w:pPr>
              <w:spacing w:after="100"/>
              <w:rPr>
                <w:rFonts w:eastAsia="Times New Roman"/>
                <w:sz w:val="20"/>
                <w:szCs w:val="20"/>
              </w:rPr>
            </w:pPr>
          </w:p>
        </w:tc>
        <w:tc>
          <w:tcPr>
            <w:tcW w:w="5" w:type="pct"/>
            <w:vAlign w:val="center"/>
            <w:hideMark/>
          </w:tcPr>
          <w:p w14:paraId="2546EB8B" w14:textId="77777777" w:rsidR="00000000" w:rsidRDefault="00A173A8">
            <w:pPr>
              <w:spacing w:after="100"/>
              <w:rPr>
                <w:rFonts w:eastAsia="Times New Roman"/>
                <w:sz w:val="20"/>
                <w:szCs w:val="20"/>
              </w:rPr>
            </w:pPr>
          </w:p>
        </w:tc>
      </w:tr>
      <w:tr w:rsidR="00000000" w14:paraId="7B66EE90" w14:textId="77777777">
        <w:trPr>
          <w:divId w:val="1197739651"/>
          <w:trHeight w:val="300"/>
          <w:jc w:val="center"/>
        </w:trPr>
        <w:tc>
          <w:tcPr>
            <w:tcW w:w="0" w:type="auto"/>
            <w:gridSpan w:val="9"/>
            <w:tcMar>
              <w:top w:w="0" w:type="dxa"/>
              <w:left w:w="20" w:type="dxa"/>
              <w:bottom w:w="0" w:type="dxa"/>
              <w:right w:w="20" w:type="dxa"/>
            </w:tcMar>
            <w:vAlign w:val="center"/>
            <w:hideMark/>
          </w:tcPr>
          <w:p w14:paraId="66162A70" w14:textId="77777777" w:rsidR="00000000" w:rsidRDefault="00A173A8">
            <w:pPr>
              <w:spacing w:after="100"/>
              <w:rPr>
                <w:rFonts w:eastAsia="Times New Roman"/>
                <w:sz w:val="20"/>
                <w:szCs w:val="20"/>
              </w:rPr>
            </w:pPr>
          </w:p>
        </w:tc>
      </w:tr>
      <w:tr w:rsidR="00000000" w14:paraId="39D7ED5C" w14:textId="77777777">
        <w:trPr>
          <w:divId w:val="1197739651"/>
          <w:jc w:val="center"/>
        </w:trPr>
        <w:tc>
          <w:tcPr>
            <w:tcW w:w="0" w:type="auto"/>
            <w:gridSpan w:val="3"/>
            <w:tcMar>
              <w:top w:w="0" w:type="dxa"/>
              <w:left w:w="20" w:type="dxa"/>
              <w:bottom w:w="0" w:type="dxa"/>
              <w:right w:w="20" w:type="dxa"/>
            </w:tcMar>
            <w:vAlign w:val="center"/>
            <w:hideMark/>
          </w:tcPr>
          <w:p w14:paraId="36DB0F63"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CEA1339" w14:textId="77777777" w:rsidR="00000000" w:rsidRDefault="00A173A8">
            <w:pPr>
              <w:spacing w:after="100"/>
              <w:jc w:val="center"/>
              <w:rPr>
                <w:rFonts w:eastAsia="Times New Roman"/>
              </w:rPr>
            </w:pPr>
            <w:r>
              <w:rPr>
                <w:rFonts w:eastAsia="Times New Roman"/>
                <w:color w:val="000000"/>
                <w:sz w:val="16"/>
                <w:szCs w:val="16"/>
              </w:rPr>
              <w:t>77</w:t>
            </w:r>
          </w:p>
        </w:tc>
        <w:tc>
          <w:tcPr>
            <w:tcW w:w="0" w:type="auto"/>
            <w:gridSpan w:val="3"/>
            <w:tcMar>
              <w:top w:w="30" w:type="dxa"/>
              <w:left w:w="20" w:type="dxa"/>
              <w:bottom w:w="30" w:type="dxa"/>
              <w:right w:w="20" w:type="dxa"/>
            </w:tcMar>
            <w:vAlign w:val="bottom"/>
            <w:hideMark/>
          </w:tcPr>
          <w:p w14:paraId="0AF0256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BB9AF73" w14:textId="77777777" w:rsidR="00000000" w:rsidRDefault="00A173A8">
      <w:pPr>
        <w:rPr>
          <w:rFonts w:eastAsia="Times New Roman"/>
        </w:rPr>
      </w:pPr>
      <w:r>
        <w:rPr>
          <w:rFonts w:eastAsia="Times New Roman"/>
        </w:rPr>
        <w:pict w14:anchorId="3E487751">
          <v:rect id="_x0000_i1102" style="width:0;height:1.5pt" o:hralign="center" o:hrstd="t" o:hr="t" fillcolor="#a0a0a0" stroked="f"/>
        </w:pict>
      </w:r>
    </w:p>
    <w:p w14:paraId="0D8C9E21" w14:textId="77777777" w:rsidR="00000000" w:rsidRDefault="00A173A8">
      <w:pPr>
        <w:jc w:val="both"/>
        <w:divId w:val="518935898"/>
        <w:rPr>
          <w:rFonts w:eastAsia="Times New Roman"/>
        </w:rPr>
      </w:pPr>
      <w:hyperlink w:anchor="i7ffd5d61af6f4722b1b1b07530d51c06_13" w:history="1">
        <w:r>
          <w:rPr>
            <w:rStyle w:val="a3"/>
            <w:rFonts w:eastAsia="Times New Roman"/>
            <w:sz w:val="16"/>
            <w:szCs w:val="16"/>
          </w:rPr>
          <w:t>Table of Contents</w:t>
        </w:r>
      </w:hyperlink>
    </w:p>
    <w:p w14:paraId="669B192D" w14:textId="77777777" w:rsidR="00000000" w:rsidRDefault="00A173A8">
      <w:pPr>
        <w:divId w:val="88936301"/>
        <w:rPr>
          <w:rFonts w:eastAsia="Times New Roman"/>
        </w:rPr>
      </w:pPr>
      <w:r>
        <w:rPr>
          <w:rFonts w:eastAsia="Times New Roman"/>
          <w:b/>
          <w:bCs/>
          <w:color w:val="000000"/>
          <w:sz w:val="18"/>
          <w:szCs w:val="18"/>
        </w:rPr>
        <w:t>Table 3.4: Consumer Banking Portfolio by Credit Quality Indicator</w:t>
      </w:r>
    </w:p>
    <w:tbl>
      <w:tblPr>
        <w:tblW w:w="5000" w:type="pct"/>
        <w:tblCellMar>
          <w:top w:w="15" w:type="dxa"/>
          <w:left w:w="15" w:type="dxa"/>
          <w:bottom w:w="15" w:type="dxa"/>
          <w:right w:w="15" w:type="dxa"/>
        </w:tblCellMar>
        <w:tblLook w:val="04A0" w:firstRow="1" w:lastRow="0" w:firstColumn="1" w:lastColumn="0" w:noHBand="0" w:noVBand="1"/>
      </w:tblPr>
      <w:tblGrid>
        <w:gridCol w:w="49"/>
        <w:gridCol w:w="95"/>
        <w:gridCol w:w="853"/>
        <w:gridCol w:w="39"/>
        <w:gridCol w:w="36"/>
        <w:gridCol w:w="36"/>
        <w:gridCol w:w="36"/>
        <w:gridCol w:w="110"/>
        <w:gridCol w:w="449"/>
        <w:gridCol w:w="91"/>
        <w:gridCol w:w="36"/>
        <w:gridCol w:w="17"/>
        <w:gridCol w:w="19"/>
        <w:gridCol w:w="36"/>
        <w:gridCol w:w="36"/>
        <w:gridCol w:w="53"/>
        <w:gridCol w:w="57"/>
        <w:gridCol w:w="87"/>
        <w:gridCol w:w="144"/>
        <w:gridCol w:w="144"/>
        <w:gridCol w:w="165"/>
        <w:gridCol w:w="36"/>
        <w:gridCol w:w="36"/>
        <w:gridCol w:w="36"/>
        <w:gridCol w:w="36"/>
        <w:gridCol w:w="110"/>
        <w:gridCol w:w="71"/>
        <w:gridCol w:w="144"/>
        <w:gridCol w:w="144"/>
        <w:gridCol w:w="144"/>
        <w:gridCol w:w="37"/>
        <w:gridCol w:w="36"/>
        <w:gridCol w:w="36"/>
        <w:gridCol w:w="35"/>
        <w:gridCol w:w="1"/>
        <w:gridCol w:w="36"/>
        <w:gridCol w:w="107"/>
        <w:gridCol w:w="3"/>
        <w:gridCol w:w="450"/>
        <w:gridCol w:w="36"/>
        <w:gridCol w:w="1"/>
        <w:gridCol w:w="35"/>
        <w:gridCol w:w="36"/>
        <w:gridCol w:w="36"/>
        <w:gridCol w:w="37"/>
        <w:gridCol w:w="73"/>
        <w:gridCol w:w="71"/>
        <w:gridCol w:w="144"/>
        <w:gridCol w:w="144"/>
        <w:gridCol w:w="91"/>
        <w:gridCol w:w="36"/>
        <w:gridCol w:w="17"/>
        <w:gridCol w:w="19"/>
        <w:gridCol w:w="36"/>
        <w:gridCol w:w="36"/>
        <w:gridCol w:w="110"/>
        <w:gridCol w:w="289"/>
        <w:gridCol w:w="144"/>
        <w:gridCol w:w="17"/>
        <w:gridCol w:w="36"/>
        <w:gridCol w:w="36"/>
        <w:gridCol w:w="36"/>
        <w:gridCol w:w="19"/>
        <w:gridCol w:w="17"/>
        <w:gridCol w:w="110"/>
        <w:gridCol w:w="17"/>
        <w:gridCol w:w="144"/>
        <w:gridCol w:w="144"/>
        <w:gridCol w:w="235"/>
        <w:gridCol w:w="36"/>
        <w:gridCol w:w="36"/>
        <w:gridCol w:w="36"/>
        <w:gridCol w:w="36"/>
        <w:gridCol w:w="111"/>
        <w:gridCol w:w="144"/>
        <w:gridCol w:w="144"/>
        <w:gridCol w:w="144"/>
        <w:gridCol w:w="144"/>
        <w:gridCol w:w="5"/>
        <w:gridCol w:w="36"/>
        <w:gridCol w:w="36"/>
        <w:gridCol w:w="36"/>
        <w:gridCol w:w="31"/>
        <w:gridCol w:w="5"/>
        <w:gridCol w:w="111"/>
        <w:gridCol w:w="374"/>
        <w:gridCol w:w="144"/>
        <w:gridCol w:w="112"/>
        <w:gridCol w:w="32"/>
        <w:gridCol w:w="4"/>
        <w:gridCol w:w="36"/>
        <w:gridCol w:w="36"/>
        <w:gridCol w:w="36"/>
        <w:gridCol w:w="32"/>
        <w:gridCol w:w="78"/>
        <w:gridCol w:w="66"/>
        <w:gridCol w:w="144"/>
        <w:gridCol w:w="330"/>
        <w:gridCol w:w="36"/>
        <w:gridCol w:w="124"/>
        <w:gridCol w:w="144"/>
        <w:gridCol w:w="144"/>
        <w:gridCol w:w="144"/>
        <w:gridCol w:w="144"/>
        <w:gridCol w:w="144"/>
        <w:gridCol w:w="490"/>
        <w:gridCol w:w="144"/>
        <w:gridCol w:w="144"/>
        <w:gridCol w:w="144"/>
        <w:gridCol w:w="144"/>
        <w:gridCol w:w="144"/>
        <w:gridCol w:w="526"/>
        <w:gridCol w:w="144"/>
        <w:gridCol w:w="144"/>
        <w:gridCol w:w="144"/>
        <w:gridCol w:w="144"/>
        <w:gridCol w:w="144"/>
        <w:gridCol w:w="672"/>
        <w:gridCol w:w="144"/>
        <w:gridCol w:w="144"/>
        <w:gridCol w:w="144"/>
        <w:gridCol w:w="144"/>
        <w:gridCol w:w="144"/>
        <w:gridCol w:w="491"/>
        <w:gridCol w:w="144"/>
      </w:tblGrid>
      <w:tr w:rsidR="00000000" w14:paraId="2E6D19A8" w14:textId="77777777">
        <w:trPr>
          <w:gridAfter w:val="26"/>
          <w:divId w:val="459569904"/>
        </w:trPr>
        <w:tc>
          <w:tcPr>
            <w:tcW w:w="50" w:type="pct"/>
            <w:vAlign w:val="center"/>
            <w:hideMark/>
          </w:tcPr>
          <w:p w14:paraId="6721AE3C" w14:textId="77777777" w:rsidR="00000000" w:rsidRDefault="00A173A8">
            <w:pPr>
              <w:rPr>
                <w:rFonts w:eastAsia="Times New Roman"/>
              </w:rPr>
            </w:pPr>
          </w:p>
        </w:tc>
        <w:tc>
          <w:tcPr>
            <w:tcW w:w="968" w:type="pct"/>
            <w:gridSpan w:val="2"/>
            <w:vAlign w:val="center"/>
            <w:hideMark/>
          </w:tcPr>
          <w:p w14:paraId="12261A4D" w14:textId="77777777" w:rsidR="00000000" w:rsidRDefault="00A173A8">
            <w:pPr>
              <w:spacing w:after="100"/>
              <w:rPr>
                <w:rFonts w:eastAsia="Times New Roman"/>
                <w:sz w:val="20"/>
                <w:szCs w:val="20"/>
              </w:rPr>
            </w:pPr>
          </w:p>
        </w:tc>
        <w:tc>
          <w:tcPr>
            <w:tcW w:w="5" w:type="pct"/>
            <w:vAlign w:val="center"/>
            <w:hideMark/>
          </w:tcPr>
          <w:p w14:paraId="5ACBC208" w14:textId="77777777" w:rsidR="00000000" w:rsidRDefault="00A173A8">
            <w:pPr>
              <w:spacing w:after="100"/>
              <w:rPr>
                <w:rFonts w:eastAsia="Times New Roman"/>
                <w:sz w:val="20"/>
                <w:szCs w:val="20"/>
              </w:rPr>
            </w:pPr>
          </w:p>
        </w:tc>
        <w:tc>
          <w:tcPr>
            <w:tcW w:w="5" w:type="pct"/>
            <w:vAlign w:val="center"/>
            <w:hideMark/>
          </w:tcPr>
          <w:p w14:paraId="55DF8060" w14:textId="77777777" w:rsidR="00000000" w:rsidRDefault="00A173A8">
            <w:pPr>
              <w:spacing w:after="100"/>
              <w:rPr>
                <w:rFonts w:eastAsia="Times New Roman"/>
                <w:sz w:val="20"/>
                <w:szCs w:val="20"/>
              </w:rPr>
            </w:pPr>
          </w:p>
        </w:tc>
        <w:tc>
          <w:tcPr>
            <w:tcW w:w="26" w:type="pct"/>
            <w:vAlign w:val="center"/>
            <w:hideMark/>
          </w:tcPr>
          <w:p w14:paraId="7A4CCA0C" w14:textId="77777777" w:rsidR="00000000" w:rsidRDefault="00A173A8">
            <w:pPr>
              <w:spacing w:after="100"/>
              <w:rPr>
                <w:rFonts w:eastAsia="Times New Roman"/>
                <w:sz w:val="20"/>
                <w:szCs w:val="20"/>
              </w:rPr>
            </w:pPr>
          </w:p>
        </w:tc>
        <w:tc>
          <w:tcPr>
            <w:tcW w:w="5" w:type="pct"/>
            <w:vAlign w:val="center"/>
            <w:hideMark/>
          </w:tcPr>
          <w:p w14:paraId="6EF03321" w14:textId="77777777" w:rsidR="00000000" w:rsidRDefault="00A173A8">
            <w:pPr>
              <w:spacing w:after="100"/>
              <w:rPr>
                <w:rFonts w:eastAsia="Times New Roman"/>
                <w:sz w:val="20"/>
                <w:szCs w:val="20"/>
              </w:rPr>
            </w:pPr>
          </w:p>
        </w:tc>
        <w:tc>
          <w:tcPr>
            <w:tcW w:w="50" w:type="pct"/>
            <w:vAlign w:val="center"/>
            <w:hideMark/>
          </w:tcPr>
          <w:p w14:paraId="0FE67419" w14:textId="77777777" w:rsidR="00000000" w:rsidRDefault="00A173A8">
            <w:pPr>
              <w:spacing w:after="100"/>
              <w:rPr>
                <w:rFonts w:eastAsia="Times New Roman"/>
                <w:sz w:val="20"/>
                <w:szCs w:val="20"/>
              </w:rPr>
            </w:pPr>
          </w:p>
        </w:tc>
        <w:tc>
          <w:tcPr>
            <w:tcW w:w="295" w:type="pct"/>
            <w:gridSpan w:val="2"/>
            <w:vAlign w:val="center"/>
            <w:hideMark/>
          </w:tcPr>
          <w:p w14:paraId="1700A758" w14:textId="77777777" w:rsidR="00000000" w:rsidRDefault="00A173A8">
            <w:pPr>
              <w:spacing w:after="100"/>
              <w:rPr>
                <w:rFonts w:eastAsia="Times New Roman"/>
                <w:sz w:val="20"/>
                <w:szCs w:val="20"/>
              </w:rPr>
            </w:pPr>
          </w:p>
        </w:tc>
        <w:tc>
          <w:tcPr>
            <w:tcW w:w="5" w:type="pct"/>
            <w:vAlign w:val="center"/>
            <w:hideMark/>
          </w:tcPr>
          <w:p w14:paraId="0F20A0A8" w14:textId="77777777" w:rsidR="00000000" w:rsidRDefault="00A173A8">
            <w:pPr>
              <w:spacing w:after="100"/>
              <w:rPr>
                <w:rFonts w:eastAsia="Times New Roman"/>
                <w:sz w:val="20"/>
                <w:szCs w:val="20"/>
              </w:rPr>
            </w:pPr>
          </w:p>
        </w:tc>
        <w:tc>
          <w:tcPr>
            <w:tcW w:w="5" w:type="pct"/>
            <w:gridSpan w:val="2"/>
            <w:vAlign w:val="center"/>
            <w:hideMark/>
          </w:tcPr>
          <w:p w14:paraId="71BFFDA8" w14:textId="77777777" w:rsidR="00000000" w:rsidRDefault="00A173A8">
            <w:pPr>
              <w:spacing w:after="100"/>
              <w:rPr>
                <w:rFonts w:eastAsia="Times New Roman"/>
                <w:sz w:val="20"/>
                <w:szCs w:val="20"/>
              </w:rPr>
            </w:pPr>
          </w:p>
        </w:tc>
        <w:tc>
          <w:tcPr>
            <w:tcW w:w="26" w:type="pct"/>
            <w:vAlign w:val="center"/>
            <w:hideMark/>
          </w:tcPr>
          <w:p w14:paraId="6D7311CF" w14:textId="77777777" w:rsidR="00000000" w:rsidRDefault="00A173A8">
            <w:pPr>
              <w:spacing w:after="100"/>
              <w:rPr>
                <w:rFonts w:eastAsia="Times New Roman"/>
                <w:sz w:val="20"/>
                <w:szCs w:val="20"/>
              </w:rPr>
            </w:pPr>
          </w:p>
        </w:tc>
        <w:tc>
          <w:tcPr>
            <w:tcW w:w="5" w:type="pct"/>
            <w:vAlign w:val="center"/>
            <w:hideMark/>
          </w:tcPr>
          <w:p w14:paraId="727F3519" w14:textId="77777777" w:rsidR="00000000" w:rsidRDefault="00A173A8">
            <w:pPr>
              <w:spacing w:after="100"/>
              <w:rPr>
                <w:rFonts w:eastAsia="Times New Roman"/>
                <w:sz w:val="20"/>
                <w:szCs w:val="20"/>
              </w:rPr>
            </w:pPr>
          </w:p>
        </w:tc>
        <w:tc>
          <w:tcPr>
            <w:tcW w:w="50" w:type="pct"/>
            <w:gridSpan w:val="2"/>
            <w:vAlign w:val="center"/>
            <w:hideMark/>
          </w:tcPr>
          <w:p w14:paraId="1524E683" w14:textId="77777777" w:rsidR="00000000" w:rsidRDefault="00A173A8">
            <w:pPr>
              <w:spacing w:after="100"/>
              <w:rPr>
                <w:rFonts w:eastAsia="Times New Roman"/>
                <w:sz w:val="20"/>
                <w:szCs w:val="20"/>
              </w:rPr>
            </w:pPr>
          </w:p>
        </w:tc>
        <w:tc>
          <w:tcPr>
            <w:tcW w:w="295" w:type="pct"/>
            <w:gridSpan w:val="4"/>
            <w:vAlign w:val="center"/>
            <w:hideMark/>
          </w:tcPr>
          <w:p w14:paraId="43ABEEC1" w14:textId="77777777" w:rsidR="00000000" w:rsidRDefault="00A173A8">
            <w:pPr>
              <w:spacing w:after="100"/>
              <w:rPr>
                <w:rFonts w:eastAsia="Times New Roman"/>
                <w:sz w:val="20"/>
                <w:szCs w:val="20"/>
              </w:rPr>
            </w:pPr>
          </w:p>
        </w:tc>
        <w:tc>
          <w:tcPr>
            <w:tcW w:w="5" w:type="pct"/>
            <w:vAlign w:val="center"/>
            <w:hideMark/>
          </w:tcPr>
          <w:p w14:paraId="35F340AC" w14:textId="77777777" w:rsidR="00000000" w:rsidRDefault="00A173A8">
            <w:pPr>
              <w:spacing w:after="100"/>
              <w:rPr>
                <w:rFonts w:eastAsia="Times New Roman"/>
                <w:sz w:val="20"/>
                <w:szCs w:val="20"/>
              </w:rPr>
            </w:pPr>
          </w:p>
        </w:tc>
        <w:tc>
          <w:tcPr>
            <w:tcW w:w="5" w:type="pct"/>
            <w:vAlign w:val="center"/>
            <w:hideMark/>
          </w:tcPr>
          <w:p w14:paraId="5004E92A" w14:textId="77777777" w:rsidR="00000000" w:rsidRDefault="00A173A8">
            <w:pPr>
              <w:spacing w:after="100"/>
              <w:rPr>
                <w:rFonts w:eastAsia="Times New Roman"/>
                <w:sz w:val="20"/>
                <w:szCs w:val="20"/>
              </w:rPr>
            </w:pPr>
          </w:p>
        </w:tc>
        <w:tc>
          <w:tcPr>
            <w:tcW w:w="26" w:type="pct"/>
            <w:vAlign w:val="center"/>
            <w:hideMark/>
          </w:tcPr>
          <w:p w14:paraId="6771D290" w14:textId="77777777" w:rsidR="00000000" w:rsidRDefault="00A173A8">
            <w:pPr>
              <w:spacing w:after="100"/>
              <w:rPr>
                <w:rFonts w:eastAsia="Times New Roman"/>
                <w:sz w:val="20"/>
                <w:szCs w:val="20"/>
              </w:rPr>
            </w:pPr>
          </w:p>
        </w:tc>
        <w:tc>
          <w:tcPr>
            <w:tcW w:w="5" w:type="pct"/>
            <w:vAlign w:val="center"/>
            <w:hideMark/>
          </w:tcPr>
          <w:p w14:paraId="14A7C425" w14:textId="77777777" w:rsidR="00000000" w:rsidRDefault="00A173A8">
            <w:pPr>
              <w:spacing w:after="100"/>
              <w:rPr>
                <w:rFonts w:eastAsia="Times New Roman"/>
                <w:sz w:val="20"/>
                <w:szCs w:val="20"/>
              </w:rPr>
            </w:pPr>
          </w:p>
        </w:tc>
        <w:tc>
          <w:tcPr>
            <w:tcW w:w="50" w:type="pct"/>
            <w:vAlign w:val="center"/>
            <w:hideMark/>
          </w:tcPr>
          <w:p w14:paraId="031C6D27" w14:textId="77777777" w:rsidR="00000000" w:rsidRDefault="00A173A8">
            <w:pPr>
              <w:spacing w:after="100"/>
              <w:rPr>
                <w:rFonts w:eastAsia="Times New Roman"/>
                <w:sz w:val="20"/>
                <w:szCs w:val="20"/>
              </w:rPr>
            </w:pPr>
          </w:p>
        </w:tc>
        <w:tc>
          <w:tcPr>
            <w:tcW w:w="295" w:type="pct"/>
            <w:gridSpan w:val="5"/>
            <w:vAlign w:val="center"/>
            <w:hideMark/>
          </w:tcPr>
          <w:p w14:paraId="74941D00" w14:textId="77777777" w:rsidR="00000000" w:rsidRDefault="00A173A8">
            <w:pPr>
              <w:spacing w:after="100"/>
              <w:rPr>
                <w:rFonts w:eastAsia="Times New Roman"/>
                <w:sz w:val="20"/>
                <w:szCs w:val="20"/>
              </w:rPr>
            </w:pPr>
          </w:p>
        </w:tc>
        <w:tc>
          <w:tcPr>
            <w:tcW w:w="5" w:type="pct"/>
            <w:vAlign w:val="center"/>
            <w:hideMark/>
          </w:tcPr>
          <w:p w14:paraId="71296CCE" w14:textId="77777777" w:rsidR="00000000" w:rsidRDefault="00A173A8">
            <w:pPr>
              <w:spacing w:after="100"/>
              <w:rPr>
                <w:rFonts w:eastAsia="Times New Roman"/>
                <w:sz w:val="20"/>
                <w:szCs w:val="20"/>
              </w:rPr>
            </w:pPr>
          </w:p>
        </w:tc>
        <w:tc>
          <w:tcPr>
            <w:tcW w:w="5" w:type="pct"/>
            <w:vAlign w:val="center"/>
            <w:hideMark/>
          </w:tcPr>
          <w:p w14:paraId="5D4009A7" w14:textId="77777777" w:rsidR="00000000" w:rsidRDefault="00A173A8">
            <w:pPr>
              <w:spacing w:after="100"/>
              <w:rPr>
                <w:rFonts w:eastAsia="Times New Roman"/>
                <w:sz w:val="20"/>
                <w:szCs w:val="20"/>
              </w:rPr>
            </w:pPr>
          </w:p>
        </w:tc>
        <w:tc>
          <w:tcPr>
            <w:tcW w:w="26" w:type="pct"/>
            <w:gridSpan w:val="2"/>
            <w:vAlign w:val="center"/>
            <w:hideMark/>
          </w:tcPr>
          <w:p w14:paraId="7CBF3E61" w14:textId="77777777" w:rsidR="00000000" w:rsidRDefault="00A173A8">
            <w:pPr>
              <w:spacing w:after="100"/>
              <w:rPr>
                <w:rFonts w:eastAsia="Times New Roman"/>
                <w:sz w:val="20"/>
                <w:szCs w:val="20"/>
              </w:rPr>
            </w:pPr>
          </w:p>
        </w:tc>
        <w:tc>
          <w:tcPr>
            <w:tcW w:w="5" w:type="pct"/>
            <w:vAlign w:val="center"/>
            <w:hideMark/>
          </w:tcPr>
          <w:p w14:paraId="4FC912F6" w14:textId="77777777" w:rsidR="00000000" w:rsidRDefault="00A173A8">
            <w:pPr>
              <w:spacing w:after="100"/>
              <w:rPr>
                <w:rFonts w:eastAsia="Times New Roman"/>
                <w:sz w:val="20"/>
                <w:szCs w:val="20"/>
              </w:rPr>
            </w:pPr>
          </w:p>
        </w:tc>
        <w:tc>
          <w:tcPr>
            <w:tcW w:w="50" w:type="pct"/>
            <w:gridSpan w:val="2"/>
            <w:vAlign w:val="center"/>
            <w:hideMark/>
          </w:tcPr>
          <w:p w14:paraId="6FE94DCB" w14:textId="77777777" w:rsidR="00000000" w:rsidRDefault="00A173A8">
            <w:pPr>
              <w:spacing w:after="100"/>
              <w:rPr>
                <w:rFonts w:eastAsia="Times New Roman"/>
                <w:sz w:val="20"/>
                <w:szCs w:val="20"/>
              </w:rPr>
            </w:pPr>
          </w:p>
        </w:tc>
        <w:tc>
          <w:tcPr>
            <w:tcW w:w="295" w:type="pct"/>
            <w:vAlign w:val="center"/>
            <w:hideMark/>
          </w:tcPr>
          <w:p w14:paraId="645A4A32" w14:textId="77777777" w:rsidR="00000000" w:rsidRDefault="00A173A8">
            <w:pPr>
              <w:spacing w:after="100"/>
              <w:rPr>
                <w:rFonts w:eastAsia="Times New Roman"/>
                <w:sz w:val="20"/>
                <w:szCs w:val="20"/>
              </w:rPr>
            </w:pPr>
          </w:p>
        </w:tc>
        <w:tc>
          <w:tcPr>
            <w:tcW w:w="5" w:type="pct"/>
            <w:vAlign w:val="center"/>
            <w:hideMark/>
          </w:tcPr>
          <w:p w14:paraId="76DD5E44" w14:textId="77777777" w:rsidR="00000000" w:rsidRDefault="00A173A8">
            <w:pPr>
              <w:spacing w:after="100"/>
              <w:rPr>
                <w:rFonts w:eastAsia="Times New Roman"/>
                <w:sz w:val="20"/>
                <w:szCs w:val="20"/>
              </w:rPr>
            </w:pPr>
          </w:p>
        </w:tc>
        <w:tc>
          <w:tcPr>
            <w:tcW w:w="5" w:type="pct"/>
            <w:gridSpan w:val="2"/>
            <w:vAlign w:val="center"/>
            <w:hideMark/>
          </w:tcPr>
          <w:p w14:paraId="25764B72" w14:textId="77777777" w:rsidR="00000000" w:rsidRDefault="00A173A8">
            <w:pPr>
              <w:spacing w:after="100"/>
              <w:rPr>
                <w:rFonts w:eastAsia="Times New Roman"/>
                <w:sz w:val="20"/>
                <w:szCs w:val="20"/>
              </w:rPr>
            </w:pPr>
          </w:p>
        </w:tc>
        <w:tc>
          <w:tcPr>
            <w:tcW w:w="26" w:type="pct"/>
            <w:vAlign w:val="center"/>
            <w:hideMark/>
          </w:tcPr>
          <w:p w14:paraId="463907E4" w14:textId="77777777" w:rsidR="00000000" w:rsidRDefault="00A173A8">
            <w:pPr>
              <w:spacing w:after="100"/>
              <w:rPr>
                <w:rFonts w:eastAsia="Times New Roman"/>
                <w:sz w:val="20"/>
                <w:szCs w:val="20"/>
              </w:rPr>
            </w:pPr>
          </w:p>
        </w:tc>
        <w:tc>
          <w:tcPr>
            <w:tcW w:w="5" w:type="pct"/>
            <w:vAlign w:val="center"/>
            <w:hideMark/>
          </w:tcPr>
          <w:p w14:paraId="14F08781" w14:textId="77777777" w:rsidR="00000000" w:rsidRDefault="00A173A8">
            <w:pPr>
              <w:spacing w:after="100"/>
              <w:rPr>
                <w:rFonts w:eastAsia="Times New Roman"/>
                <w:sz w:val="20"/>
                <w:szCs w:val="20"/>
              </w:rPr>
            </w:pPr>
          </w:p>
        </w:tc>
        <w:tc>
          <w:tcPr>
            <w:tcW w:w="50" w:type="pct"/>
            <w:gridSpan w:val="2"/>
            <w:vAlign w:val="center"/>
            <w:hideMark/>
          </w:tcPr>
          <w:p w14:paraId="6A8B12E3" w14:textId="77777777" w:rsidR="00000000" w:rsidRDefault="00A173A8">
            <w:pPr>
              <w:spacing w:after="100"/>
              <w:rPr>
                <w:rFonts w:eastAsia="Times New Roman"/>
                <w:sz w:val="20"/>
                <w:szCs w:val="20"/>
              </w:rPr>
            </w:pPr>
          </w:p>
        </w:tc>
        <w:tc>
          <w:tcPr>
            <w:tcW w:w="295" w:type="pct"/>
            <w:gridSpan w:val="4"/>
            <w:vAlign w:val="center"/>
            <w:hideMark/>
          </w:tcPr>
          <w:p w14:paraId="7460830D" w14:textId="77777777" w:rsidR="00000000" w:rsidRDefault="00A173A8">
            <w:pPr>
              <w:spacing w:after="100"/>
              <w:rPr>
                <w:rFonts w:eastAsia="Times New Roman"/>
                <w:sz w:val="20"/>
                <w:szCs w:val="20"/>
              </w:rPr>
            </w:pPr>
          </w:p>
        </w:tc>
        <w:tc>
          <w:tcPr>
            <w:tcW w:w="5" w:type="pct"/>
            <w:vAlign w:val="center"/>
            <w:hideMark/>
          </w:tcPr>
          <w:p w14:paraId="35907BD7" w14:textId="77777777" w:rsidR="00000000" w:rsidRDefault="00A173A8">
            <w:pPr>
              <w:spacing w:after="100"/>
              <w:rPr>
                <w:rFonts w:eastAsia="Times New Roman"/>
                <w:sz w:val="20"/>
                <w:szCs w:val="20"/>
              </w:rPr>
            </w:pPr>
          </w:p>
        </w:tc>
        <w:tc>
          <w:tcPr>
            <w:tcW w:w="5" w:type="pct"/>
            <w:gridSpan w:val="2"/>
            <w:vAlign w:val="center"/>
            <w:hideMark/>
          </w:tcPr>
          <w:p w14:paraId="02EBB329" w14:textId="77777777" w:rsidR="00000000" w:rsidRDefault="00A173A8">
            <w:pPr>
              <w:spacing w:after="100"/>
              <w:rPr>
                <w:rFonts w:eastAsia="Times New Roman"/>
                <w:sz w:val="20"/>
                <w:szCs w:val="20"/>
              </w:rPr>
            </w:pPr>
          </w:p>
        </w:tc>
        <w:tc>
          <w:tcPr>
            <w:tcW w:w="26" w:type="pct"/>
            <w:vAlign w:val="center"/>
            <w:hideMark/>
          </w:tcPr>
          <w:p w14:paraId="2744ED62" w14:textId="77777777" w:rsidR="00000000" w:rsidRDefault="00A173A8">
            <w:pPr>
              <w:spacing w:after="100"/>
              <w:rPr>
                <w:rFonts w:eastAsia="Times New Roman"/>
                <w:sz w:val="20"/>
                <w:szCs w:val="20"/>
              </w:rPr>
            </w:pPr>
          </w:p>
        </w:tc>
        <w:tc>
          <w:tcPr>
            <w:tcW w:w="5" w:type="pct"/>
            <w:vAlign w:val="center"/>
            <w:hideMark/>
          </w:tcPr>
          <w:p w14:paraId="1A539901" w14:textId="77777777" w:rsidR="00000000" w:rsidRDefault="00A173A8">
            <w:pPr>
              <w:spacing w:after="100"/>
              <w:rPr>
                <w:rFonts w:eastAsia="Times New Roman"/>
                <w:sz w:val="20"/>
                <w:szCs w:val="20"/>
              </w:rPr>
            </w:pPr>
          </w:p>
        </w:tc>
        <w:tc>
          <w:tcPr>
            <w:tcW w:w="50" w:type="pct"/>
            <w:vAlign w:val="center"/>
            <w:hideMark/>
          </w:tcPr>
          <w:p w14:paraId="14218206" w14:textId="77777777" w:rsidR="00000000" w:rsidRDefault="00A173A8">
            <w:pPr>
              <w:spacing w:after="100"/>
              <w:rPr>
                <w:rFonts w:eastAsia="Times New Roman"/>
                <w:sz w:val="20"/>
                <w:szCs w:val="20"/>
              </w:rPr>
            </w:pPr>
          </w:p>
        </w:tc>
        <w:tc>
          <w:tcPr>
            <w:tcW w:w="266" w:type="pct"/>
            <w:gridSpan w:val="3"/>
            <w:vAlign w:val="center"/>
            <w:hideMark/>
          </w:tcPr>
          <w:p w14:paraId="6485DEAB" w14:textId="77777777" w:rsidR="00000000" w:rsidRDefault="00A173A8">
            <w:pPr>
              <w:spacing w:after="100"/>
              <w:rPr>
                <w:rFonts w:eastAsia="Times New Roman"/>
                <w:sz w:val="20"/>
                <w:szCs w:val="20"/>
              </w:rPr>
            </w:pPr>
          </w:p>
        </w:tc>
        <w:tc>
          <w:tcPr>
            <w:tcW w:w="5" w:type="pct"/>
            <w:vAlign w:val="center"/>
            <w:hideMark/>
          </w:tcPr>
          <w:p w14:paraId="7EBC32B0" w14:textId="77777777" w:rsidR="00000000" w:rsidRDefault="00A173A8">
            <w:pPr>
              <w:spacing w:after="100"/>
              <w:rPr>
                <w:rFonts w:eastAsia="Times New Roman"/>
                <w:sz w:val="20"/>
                <w:szCs w:val="20"/>
              </w:rPr>
            </w:pPr>
          </w:p>
        </w:tc>
        <w:tc>
          <w:tcPr>
            <w:tcW w:w="5" w:type="pct"/>
            <w:vAlign w:val="center"/>
            <w:hideMark/>
          </w:tcPr>
          <w:p w14:paraId="14F191B6" w14:textId="77777777" w:rsidR="00000000" w:rsidRDefault="00A173A8">
            <w:pPr>
              <w:spacing w:after="100"/>
              <w:rPr>
                <w:rFonts w:eastAsia="Times New Roman"/>
                <w:sz w:val="20"/>
                <w:szCs w:val="20"/>
              </w:rPr>
            </w:pPr>
          </w:p>
        </w:tc>
        <w:tc>
          <w:tcPr>
            <w:tcW w:w="26" w:type="pct"/>
            <w:vAlign w:val="center"/>
            <w:hideMark/>
          </w:tcPr>
          <w:p w14:paraId="126FABB1" w14:textId="77777777" w:rsidR="00000000" w:rsidRDefault="00A173A8">
            <w:pPr>
              <w:spacing w:after="100"/>
              <w:rPr>
                <w:rFonts w:eastAsia="Times New Roman"/>
                <w:sz w:val="20"/>
                <w:szCs w:val="20"/>
              </w:rPr>
            </w:pPr>
          </w:p>
        </w:tc>
        <w:tc>
          <w:tcPr>
            <w:tcW w:w="5" w:type="pct"/>
            <w:gridSpan w:val="2"/>
            <w:vAlign w:val="center"/>
            <w:hideMark/>
          </w:tcPr>
          <w:p w14:paraId="611A5E18" w14:textId="77777777" w:rsidR="00000000" w:rsidRDefault="00A173A8">
            <w:pPr>
              <w:spacing w:after="100"/>
              <w:rPr>
                <w:rFonts w:eastAsia="Times New Roman"/>
                <w:sz w:val="20"/>
                <w:szCs w:val="20"/>
              </w:rPr>
            </w:pPr>
          </w:p>
        </w:tc>
        <w:tc>
          <w:tcPr>
            <w:tcW w:w="50" w:type="pct"/>
            <w:vAlign w:val="center"/>
            <w:hideMark/>
          </w:tcPr>
          <w:p w14:paraId="4B98B2C8" w14:textId="77777777" w:rsidR="00000000" w:rsidRDefault="00A173A8">
            <w:pPr>
              <w:spacing w:after="100"/>
              <w:rPr>
                <w:rFonts w:eastAsia="Times New Roman"/>
                <w:sz w:val="20"/>
                <w:szCs w:val="20"/>
              </w:rPr>
            </w:pPr>
          </w:p>
        </w:tc>
        <w:tc>
          <w:tcPr>
            <w:tcW w:w="295" w:type="pct"/>
            <w:gridSpan w:val="4"/>
            <w:vAlign w:val="center"/>
            <w:hideMark/>
          </w:tcPr>
          <w:p w14:paraId="3C0F8A5C" w14:textId="77777777" w:rsidR="00000000" w:rsidRDefault="00A173A8">
            <w:pPr>
              <w:spacing w:after="100"/>
              <w:rPr>
                <w:rFonts w:eastAsia="Times New Roman"/>
                <w:sz w:val="20"/>
                <w:szCs w:val="20"/>
              </w:rPr>
            </w:pPr>
          </w:p>
        </w:tc>
        <w:tc>
          <w:tcPr>
            <w:tcW w:w="5" w:type="pct"/>
            <w:vAlign w:val="center"/>
            <w:hideMark/>
          </w:tcPr>
          <w:p w14:paraId="3B3BADE2" w14:textId="77777777" w:rsidR="00000000" w:rsidRDefault="00A173A8">
            <w:pPr>
              <w:spacing w:after="100"/>
              <w:rPr>
                <w:rFonts w:eastAsia="Times New Roman"/>
                <w:sz w:val="20"/>
                <w:szCs w:val="20"/>
              </w:rPr>
            </w:pPr>
          </w:p>
        </w:tc>
        <w:tc>
          <w:tcPr>
            <w:tcW w:w="5" w:type="pct"/>
            <w:vAlign w:val="center"/>
            <w:hideMark/>
          </w:tcPr>
          <w:p w14:paraId="7B8A955C" w14:textId="77777777" w:rsidR="00000000" w:rsidRDefault="00A173A8">
            <w:pPr>
              <w:spacing w:after="100"/>
              <w:rPr>
                <w:rFonts w:eastAsia="Times New Roman"/>
                <w:sz w:val="20"/>
                <w:szCs w:val="20"/>
              </w:rPr>
            </w:pPr>
          </w:p>
        </w:tc>
        <w:tc>
          <w:tcPr>
            <w:tcW w:w="26" w:type="pct"/>
            <w:vAlign w:val="center"/>
            <w:hideMark/>
          </w:tcPr>
          <w:p w14:paraId="0E90D799" w14:textId="77777777" w:rsidR="00000000" w:rsidRDefault="00A173A8">
            <w:pPr>
              <w:spacing w:after="100"/>
              <w:rPr>
                <w:rFonts w:eastAsia="Times New Roman"/>
                <w:sz w:val="20"/>
                <w:szCs w:val="20"/>
              </w:rPr>
            </w:pPr>
          </w:p>
        </w:tc>
        <w:tc>
          <w:tcPr>
            <w:tcW w:w="5" w:type="pct"/>
            <w:vAlign w:val="center"/>
            <w:hideMark/>
          </w:tcPr>
          <w:p w14:paraId="65ABAEB8" w14:textId="77777777" w:rsidR="00000000" w:rsidRDefault="00A173A8">
            <w:pPr>
              <w:spacing w:after="100"/>
              <w:rPr>
                <w:rFonts w:eastAsia="Times New Roman"/>
                <w:sz w:val="20"/>
                <w:szCs w:val="20"/>
              </w:rPr>
            </w:pPr>
          </w:p>
        </w:tc>
        <w:tc>
          <w:tcPr>
            <w:tcW w:w="50" w:type="pct"/>
            <w:vAlign w:val="center"/>
            <w:hideMark/>
          </w:tcPr>
          <w:p w14:paraId="065AB425" w14:textId="77777777" w:rsidR="00000000" w:rsidRDefault="00A173A8">
            <w:pPr>
              <w:spacing w:after="100"/>
              <w:rPr>
                <w:rFonts w:eastAsia="Times New Roman"/>
                <w:sz w:val="20"/>
                <w:szCs w:val="20"/>
              </w:rPr>
            </w:pPr>
          </w:p>
        </w:tc>
        <w:tc>
          <w:tcPr>
            <w:tcW w:w="317" w:type="pct"/>
            <w:gridSpan w:val="5"/>
            <w:vAlign w:val="center"/>
            <w:hideMark/>
          </w:tcPr>
          <w:p w14:paraId="60BDA71D" w14:textId="77777777" w:rsidR="00000000" w:rsidRDefault="00A173A8">
            <w:pPr>
              <w:spacing w:after="100"/>
              <w:rPr>
                <w:rFonts w:eastAsia="Times New Roman"/>
                <w:sz w:val="20"/>
                <w:szCs w:val="20"/>
              </w:rPr>
            </w:pPr>
          </w:p>
        </w:tc>
        <w:tc>
          <w:tcPr>
            <w:tcW w:w="5" w:type="pct"/>
            <w:vAlign w:val="center"/>
            <w:hideMark/>
          </w:tcPr>
          <w:p w14:paraId="66C0DBCC" w14:textId="77777777" w:rsidR="00000000" w:rsidRDefault="00A173A8">
            <w:pPr>
              <w:spacing w:after="100"/>
              <w:rPr>
                <w:rFonts w:eastAsia="Times New Roman"/>
                <w:sz w:val="20"/>
                <w:szCs w:val="20"/>
              </w:rPr>
            </w:pPr>
          </w:p>
        </w:tc>
        <w:tc>
          <w:tcPr>
            <w:tcW w:w="5" w:type="pct"/>
            <w:vAlign w:val="center"/>
            <w:hideMark/>
          </w:tcPr>
          <w:p w14:paraId="0FBD2044" w14:textId="77777777" w:rsidR="00000000" w:rsidRDefault="00A173A8">
            <w:pPr>
              <w:spacing w:after="100"/>
              <w:rPr>
                <w:rFonts w:eastAsia="Times New Roman"/>
                <w:sz w:val="20"/>
                <w:szCs w:val="20"/>
              </w:rPr>
            </w:pPr>
          </w:p>
        </w:tc>
        <w:tc>
          <w:tcPr>
            <w:tcW w:w="26" w:type="pct"/>
            <w:vAlign w:val="center"/>
            <w:hideMark/>
          </w:tcPr>
          <w:p w14:paraId="658B8D8B" w14:textId="77777777" w:rsidR="00000000" w:rsidRDefault="00A173A8">
            <w:pPr>
              <w:spacing w:after="100"/>
              <w:rPr>
                <w:rFonts w:eastAsia="Times New Roman"/>
                <w:sz w:val="20"/>
                <w:szCs w:val="20"/>
              </w:rPr>
            </w:pPr>
          </w:p>
        </w:tc>
        <w:tc>
          <w:tcPr>
            <w:tcW w:w="5" w:type="pct"/>
            <w:gridSpan w:val="2"/>
            <w:vAlign w:val="center"/>
            <w:hideMark/>
          </w:tcPr>
          <w:p w14:paraId="35C1FA38" w14:textId="77777777" w:rsidR="00000000" w:rsidRDefault="00A173A8">
            <w:pPr>
              <w:spacing w:after="100"/>
              <w:rPr>
                <w:rFonts w:eastAsia="Times New Roman"/>
                <w:sz w:val="20"/>
                <w:szCs w:val="20"/>
              </w:rPr>
            </w:pPr>
          </w:p>
        </w:tc>
        <w:tc>
          <w:tcPr>
            <w:tcW w:w="50" w:type="pct"/>
            <w:vAlign w:val="center"/>
            <w:hideMark/>
          </w:tcPr>
          <w:p w14:paraId="6DA8FF52" w14:textId="77777777" w:rsidR="00000000" w:rsidRDefault="00A173A8">
            <w:pPr>
              <w:spacing w:after="100"/>
              <w:rPr>
                <w:rFonts w:eastAsia="Times New Roman"/>
                <w:sz w:val="20"/>
                <w:szCs w:val="20"/>
              </w:rPr>
            </w:pPr>
          </w:p>
        </w:tc>
        <w:tc>
          <w:tcPr>
            <w:tcW w:w="405" w:type="pct"/>
            <w:gridSpan w:val="3"/>
            <w:vAlign w:val="center"/>
            <w:hideMark/>
          </w:tcPr>
          <w:p w14:paraId="0757E9D9" w14:textId="77777777" w:rsidR="00000000" w:rsidRDefault="00A173A8">
            <w:pPr>
              <w:spacing w:after="100"/>
              <w:rPr>
                <w:rFonts w:eastAsia="Times New Roman"/>
                <w:sz w:val="20"/>
                <w:szCs w:val="20"/>
              </w:rPr>
            </w:pPr>
          </w:p>
        </w:tc>
        <w:tc>
          <w:tcPr>
            <w:tcW w:w="5" w:type="pct"/>
            <w:gridSpan w:val="2"/>
            <w:vAlign w:val="center"/>
            <w:hideMark/>
          </w:tcPr>
          <w:p w14:paraId="52B2E373" w14:textId="77777777" w:rsidR="00000000" w:rsidRDefault="00A173A8">
            <w:pPr>
              <w:spacing w:after="100"/>
              <w:rPr>
                <w:rFonts w:eastAsia="Times New Roman"/>
                <w:sz w:val="20"/>
                <w:szCs w:val="20"/>
              </w:rPr>
            </w:pPr>
          </w:p>
        </w:tc>
        <w:tc>
          <w:tcPr>
            <w:tcW w:w="5" w:type="pct"/>
            <w:vAlign w:val="center"/>
            <w:hideMark/>
          </w:tcPr>
          <w:p w14:paraId="33CCA6C4" w14:textId="77777777" w:rsidR="00000000" w:rsidRDefault="00A173A8">
            <w:pPr>
              <w:spacing w:after="100"/>
              <w:rPr>
                <w:rFonts w:eastAsia="Times New Roman"/>
                <w:sz w:val="20"/>
                <w:szCs w:val="20"/>
              </w:rPr>
            </w:pPr>
          </w:p>
        </w:tc>
        <w:tc>
          <w:tcPr>
            <w:tcW w:w="26" w:type="pct"/>
            <w:vAlign w:val="center"/>
            <w:hideMark/>
          </w:tcPr>
          <w:p w14:paraId="4D268DEF" w14:textId="77777777" w:rsidR="00000000" w:rsidRDefault="00A173A8">
            <w:pPr>
              <w:spacing w:after="100"/>
              <w:rPr>
                <w:rFonts w:eastAsia="Times New Roman"/>
                <w:sz w:val="20"/>
                <w:szCs w:val="20"/>
              </w:rPr>
            </w:pPr>
          </w:p>
        </w:tc>
        <w:tc>
          <w:tcPr>
            <w:tcW w:w="5" w:type="pct"/>
            <w:vAlign w:val="center"/>
            <w:hideMark/>
          </w:tcPr>
          <w:p w14:paraId="5B1FF6C5" w14:textId="77777777" w:rsidR="00000000" w:rsidRDefault="00A173A8">
            <w:pPr>
              <w:spacing w:after="100"/>
              <w:rPr>
                <w:rFonts w:eastAsia="Times New Roman"/>
                <w:sz w:val="20"/>
                <w:szCs w:val="20"/>
              </w:rPr>
            </w:pPr>
          </w:p>
        </w:tc>
        <w:tc>
          <w:tcPr>
            <w:tcW w:w="50" w:type="pct"/>
            <w:gridSpan w:val="2"/>
            <w:vAlign w:val="center"/>
            <w:hideMark/>
          </w:tcPr>
          <w:p w14:paraId="744AC173" w14:textId="77777777" w:rsidR="00000000" w:rsidRDefault="00A173A8">
            <w:pPr>
              <w:spacing w:after="100"/>
              <w:rPr>
                <w:rFonts w:eastAsia="Times New Roman"/>
                <w:sz w:val="20"/>
                <w:szCs w:val="20"/>
              </w:rPr>
            </w:pPr>
          </w:p>
        </w:tc>
        <w:tc>
          <w:tcPr>
            <w:tcW w:w="296" w:type="pct"/>
            <w:gridSpan w:val="3"/>
            <w:vAlign w:val="center"/>
            <w:hideMark/>
          </w:tcPr>
          <w:p w14:paraId="72EC4977" w14:textId="77777777" w:rsidR="00000000" w:rsidRDefault="00A173A8">
            <w:pPr>
              <w:spacing w:after="100"/>
              <w:rPr>
                <w:rFonts w:eastAsia="Times New Roman"/>
                <w:sz w:val="20"/>
                <w:szCs w:val="20"/>
              </w:rPr>
            </w:pPr>
          </w:p>
        </w:tc>
        <w:tc>
          <w:tcPr>
            <w:tcW w:w="5" w:type="pct"/>
            <w:vAlign w:val="center"/>
            <w:hideMark/>
          </w:tcPr>
          <w:p w14:paraId="6DCB61A0" w14:textId="77777777" w:rsidR="00000000" w:rsidRDefault="00A173A8">
            <w:pPr>
              <w:spacing w:after="100"/>
              <w:rPr>
                <w:rFonts w:eastAsia="Times New Roman"/>
                <w:sz w:val="20"/>
                <w:szCs w:val="20"/>
              </w:rPr>
            </w:pPr>
          </w:p>
        </w:tc>
      </w:tr>
      <w:tr w:rsidR="00000000" w14:paraId="04A33631" w14:textId="77777777">
        <w:trPr>
          <w:gridAfter w:val="26"/>
          <w:divId w:val="459569904"/>
        </w:trPr>
        <w:tc>
          <w:tcPr>
            <w:tcW w:w="0" w:type="auto"/>
            <w:gridSpan w:val="4"/>
            <w:tcMar>
              <w:top w:w="0" w:type="dxa"/>
              <w:left w:w="20" w:type="dxa"/>
              <w:bottom w:w="0" w:type="dxa"/>
              <w:right w:w="20" w:type="dxa"/>
            </w:tcMar>
            <w:vAlign w:val="center"/>
            <w:hideMark/>
          </w:tcPr>
          <w:p w14:paraId="2A7E167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3114FF" w14:textId="77777777" w:rsidR="00000000" w:rsidRDefault="00A173A8">
            <w:pPr>
              <w:spacing w:after="100"/>
              <w:rPr>
                <w:rFonts w:eastAsia="Times New Roman"/>
                <w:sz w:val="20"/>
                <w:szCs w:val="20"/>
              </w:rPr>
            </w:pPr>
          </w:p>
        </w:tc>
        <w:tc>
          <w:tcPr>
            <w:tcW w:w="0" w:type="auto"/>
            <w:gridSpan w:val="91"/>
            <w:tcMar>
              <w:top w:w="30" w:type="dxa"/>
              <w:left w:w="20" w:type="dxa"/>
              <w:bottom w:w="30" w:type="dxa"/>
              <w:right w:w="20" w:type="dxa"/>
            </w:tcMar>
            <w:vAlign w:val="bottom"/>
            <w:hideMark/>
          </w:tcPr>
          <w:p w14:paraId="6FFF49D5" w14:textId="77777777" w:rsidR="00000000" w:rsidRDefault="00A173A8">
            <w:pPr>
              <w:spacing w:after="100"/>
              <w:jc w:val="center"/>
              <w:rPr>
                <w:rFonts w:eastAsia="Times New Roman"/>
              </w:rPr>
            </w:pPr>
            <w:r>
              <w:rPr>
                <w:rFonts w:eastAsia="Times New Roman"/>
                <w:b/>
                <w:bCs/>
                <w:color w:val="000000"/>
                <w:sz w:val="15"/>
                <w:szCs w:val="15"/>
              </w:rPr>
              <w:t>June 30, 2022</w:t>
            </w:r>
          </w:p>
        </w:tc>
        <w:tc>
          <w:tcPr>
            <w:tcW w:w="0" w:type="auto"/>
            <w:vAlign w:val="center"/>
            <w:hideMark/>
          </w:tcPr>
          <w:p w14:paraId="2FC0705C" w14:textId="77777777" w:rsidR="00000000" w:rsidRDefault="00A173A8">
            <w:pPr>
              <w:spacing w:after="100"/>
              <w:jc w:val="center"/>
              <w:rPr>
                <w:rFonts w:eastAsia="Times New Roman"/>
              </w:rPr>
            </w:pPr>
          </w:p>
        </w:tc>
      </w:tr>
      <w:tr w:rsidR="00000000" w14:paraId="75C28D94" w14:textId="77777777">
        <w:trPr>
          <w:gridAfter w:val="26"/>
          <w:divId w:val="459569904"/>
        </w:trPr>
        <w:tc>
          <w:tcPr>
            <w:tcW w:w="0" w:type="auto"/>
            <w:gridSpan w:val="4"/>
            <w:tcMar>
              <w:top w:w="0" w:type="dxa"/>
              <w:left w:w="20" w:type="dxa"/>
              <w:bottom w:w="0" w:type="dxa"/>
              <w:right w:w="20" w:type="dxa"/>
            </w:tcMar>
            <w:vAlign w:val="center"/>
            <w:hideMark/>
          </w:tcPr>
          <w:p w14:paraId="0462B532"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CDE5E7" w14:textId="77777777" w:rsidR="00000000" w:rsidRDefault="00A173A8">
            <w:pPr>
              <w:spacing w:after="100"/>
              <w:rPr>
                <w:rFonts w:eastAsia="Times New Roman"/>
                <w:sz w:val="20"/>
                <w:szCs w:val="20"/>
              </w:rPr>
            </w:pPr>
          </w:p>
        </w:tc>
        <w:tc>
          <w:tcPr>
            <w:tcW w:w="0" w:type="auto"/>
            <w:gridSpan w:val="63"/>
            <w:tcBorders>
              <w:top w:val="single" w:sz="8" w:space="0" w:color="000000"/>
            </w:tcBorders>
            <w:tcMar>
              <w:top w:w="30" w:type="dxa"/>
              <w:left w:w="20" w:type="dxa"/>
              <w:bottom w:w="30" w:type="dxa"/>
              <w:right w:w="20" w:type="dxa"/>
            </w:tcMar>
            <w:vAlign w:val="bottom"/>
            <w:hideMark/>
          </w:tcPr>
          <w:p w14:paraId="4AF9A53C" w14:textId="77777777" w:rsidR="00000000" w:rsidRDefault="00A173A8">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6644D23A" w14:textId="77777777" w:rsidR="00000000" w:rsidRDefault="00A173A8">
            <w:pPr>
              <w:spacing w:after="100"/>
              <w:jc w:val="center"/>
              <w:rPr>
                <w:rFonts w:eastAsia="Times New Roman"/>
              </w:rPr>
            </w:pPr>
          </w:p>
        </w:tc>
        <w:tc>
          <w:tcPr>
            <w:tcW w:w="0" w:type="auto"/>
            <w:gridSpan w:val="7"/>
            <w:tcBorders>
              <w:top w:val="single" w:sz="8" w:space="0" w:color="000000"/>
            </w:tcBorders>
            <w:tcMar>
              <w:top w:w="0" w:type="dxa"/>
              <w:left w:w="20" w:type="dxa"/>
              <w:bottom w:w="0" w:type="dxa"/>
              <w:right w:w="20" w:type="dxa"/>
            </w:tcMar>
            <w:vAlign w:val="center"/>
            <w:hideMark/>
          </w:tcPr>
          <w:p w14:paraId="7941D654" w14:textId="77777777" w:rsidR="00000000" w:rsidRDefault="00A173A8">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6DC85DDB" w14:textId="77777777" w:rsidR="00000000" w:rsidRDefault="00A173A8">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3AC598D0"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843FF3" w14:textId="77777777" w:rsidR="00000000" w:rsidRDefault="00A173A8">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719625B1" w14:textId="77777777" w:rsidR="00000000" w:rsidRDefault="00A173A8">
            <w:pPr>
              <w:spacing w:after="100"/>
              <w:rPr>
                <w:rFonts w:eastAsia="Times New Roman"/>
                <w:sz w:val="20"/>
                <w:szCs w:val="20"/>
              </w:rPr>
            </w:pPr>
          </w:p>
        </w:tc>
        <w:tc>
          <w:tcPr>
            <w:tcW w:w="0" w:type="auto"/>
            <w:vAlign w:val="center"/>
            <w:hideMark/>
          </w:tcPr>
          <w:p w14:paraId="2830DE07" w14:textId="77777777" w:rsidR="00000000" w:rsidRDefault="00A173A8">
            <w:pPr>
              <w:spacing w:after="100"/>
              <w:rPr>
                <w:rFonts w:eastAsia="Times New Roman"/>
                <w:sz w:val="20"/>
                <w:szCs w:val="20"/>
              </w:rPr>
            </w:pPr>
          </w:p>
        </w:tc>
      </w:tr>
      <w:tr w:rsidR="00000000" w14:paraId="605B41FD" w14:textId="77777777">
        <w:trPr>
          <w:gridAfter w:val="26"/>
          <w:divId w:val="459569904"/>
        </w:trPr>
        <w:tc>
          <w:tcPr>
            <w:tcW w:w="0" w:type="auto"/>
            <w:gridSpan w:val="4"/>
            <w:tcMar>
              <w:top w:w="30" w:type="dxa"/>
              <w:left w:w="20" w:type="dxa"/>
              <w:bottom w:w="30" w:type="dxa"/>
              <w:right w:w="20" w:type="dxa"/>
            </w:tcMar>
            <w:vAlign w:val="bottom"/>
            <w:hideMark/>
          </w:tcPr>
          <w:p w14:paraId="43BE5B34" w14:textId="77777777" w:rsidR="00000000" w:rsidRDefault="00A173A8">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14:paraId="78BDBE37" w14:textId="77777777" w:rsidR="00000000" w:rsidRDefault="00A173A8">
            <w:pPr>
              <w:spacing w:after="100"/>
              <w:rPr>
                <w:rFonts w:eastAsia="Times New Roman"/>
              </w:rPr>
            </w:pPr>
          </w:p>
        </w:tc>
        <w:tc>
          <w:tcPr>
            <w:tcW w:w="0" w:type="auto"/>
            <w:gridSpan w:val="4"/>
            <w:tcBorders>
              <w:top w:val="single" w:sz="4" w:space="0" w:color="000000"/>
            </w:tcBorders>
            <w:tcMar>
              <w:top w:w="30" w:type="dxa"/>
              <w:left w:w="20" w:type="dxa"/>
              <w:bottom w:w="30" w:type="dxa"/>
              <w:right w:w="20" w:type="dxa"/>
            </w:tcMar>
            <w:vAlign w:val="bottom"/>
            <w:hideMark/>
          </w:tcPr>
          <w:p w14:paraId="22374C81" w14:textId="77777777" w:rsidR="00000000" w:rsidRDefault="00A173A8">
            <w:pPr>
              <w:spacing w:after="100"/>
              <w:jc w:val="center"/>
              <w:rPr>
                <w:rFonts w:eastAsia="Times New Roman"/>
              </w:rPr>
            </w:pPr>
            <w:r>
              <w:rPr>
                <w:rFonts w:eastAsia="Times New Roman"/>
                <w:b/>
                <w:bCs/>
                <w:color w:val="000000"/>
                <w:sz w:val="15"/>
                <w:szCs w:val="15"/>
              </w:rPr>
              <w:t>2022</w:t>
            </w:r>
          </w:p>
        </w:tc>
        <w:tc>
          <w:tcPr>
            <w:tcW w:w="0" w:type="auto"/>
            <w:gridSpan w:val="4"/>
            <w:tcBorders>
              <w:top w:val="single" w:sz="4" w:space="0" w:color="000000"/>
            </w:tcBorders>
            <w:tcMar>
              <w:top w:w="0" w:type="dxa"/>
              <w:left w:w="20" w:type="dxa"/>
              <w:bottom w:w="0" w:type="dxa"/>
              <w:right w:w="20" w:type="dxa"/>
            </w:tcMar>
            <w:vAlign w:val="center"/>
            <w:hideMark/>
          </w:tcPr>
          <w:p w14:paraId="3E7EA28B" w14:textId="77777777" w:rsidR="00000000" w:rsidRDefault="00A173A8">
            <w:pPr>
              <w:spacing w:after="100"/>
              <w:jc w:val="center"/>
              <w:rPr>
                <w:rFonts w:eastAsia="Times New Roman"/>
              </w:rPr>
            </w:pPr>
          </w:p>
        </w:tc>
        <w:tc>
          <w:tcPr>
            <w:tcW w:w="0" w:type="auto"/>
            <w:gridSpan w:val="7"/>
            <w:tcBorders>
              <w:top w:val="single" w:sz="4" w:space="0" w:color="000000"/>
            </w:tcBorders>
            <w:tcMar>
              <w:top w:w="30" w:type="dxa"/>
              <w:left w:w="20" w:type="dxa"/>
              <w:bottom w:w="30" w:type="dxa"/>
              <w:right w:w="20" w:type="dxa"/>
            </w:tcMar>
            <w:vAlign w:val="bottom"/>
            <w:hideMark/>
          </w:tcPr>
          <w:p w14:paraId="1B2E7262" w14:textId="77777777" w:rsidR="00000000" w:rsidRDefault="00A173A8">
            <w:pPr>
              <w:spacing w:after="100"/>
              <w:jc w:val="center"/>
              <w:rPr>
                <w:rFonts w:eastAsia="Times New Roman"/>
              </w:rPr>
            </w:pPr>
            <w:r>
              <w:rPr>
                <w:rFonts w:eastAsia="Times New Roman"/>
                <w:b/>
                <w:bCs/>
                <w:color w:val="000000"/>
                <w:sz w:val="15"/>
                <w:szCs w:val="15"/>
              </w:rPr>
              <w:t>2021</w:t>
            </w:r>
          </w:p>
        </w:tc>
        <w:tc>
          <w:tcPr>
            <w:tcW w:w="0" w:type="auto"/>
            <w:gridSpan w:val="3"/>
            <w:tcBorders>
              <w:top w:val="single" w:sz="4" w:space="0" w:color="000000"/>
            </w:tcBorders>
            <w:tcMar>
              <w:top w:w="0" w:type="dxa"/>
              <w:left w:w="20" w:type="dxa"/>
              <w:bottom w:w="0" w:type="dxa"/>
              <w:right w:w="20" w:type="dxa"/>
            </w:tcMar>
            <w:vAlign w:val="center"/>
            <w:hideMark/>
          </w:tcPr>
          <w:p w14:paraId="5FE6E2CE" w14:textId="77777777" w:rsidR="00000000" w:rsidRDefault="00A173A8">
            <w:pPr>
              <w:spacing w:after="100"/>
              <w:jc w:val="center"/>
              <w:rPr>
                <w:rFonts w:eastAsia="Times New Roman"/>
              </w:rPr>
            </w:pPr>
          </w:p>
        </w:tc>
        <w:tc>
          <w:tcPr>
            <w:tcW w:w="0" w:type="auto"/>
            <w:gridSpan w:val="7"/>
            <w:tcBorders>
              <w:top w:val="single" w:sz="4" w:space="0" w:color="000000"/>
            </w:tcBorders>
            <w:tcMar>
              <w:top w:w="30" w:type="dxa"/>
              <w:left w:w="20" w:type="dxa"/>
              <w:bottom w:w="30" w:type="dxa"/>
              <w:right w:w="20" w:type="dxa"/>
            </w:tcMar>
            <w:vAlign w:val="bottom"/>
            <w:hideMark/>
          </w:tcPr>
          <w:p w14:paraId="3797E46F" w14:textId="77777777" w:rsidR="00000000" w:rsidRDefault="00A173A8">
            <w:pPr>
              <w:spacing w:after="100"/>
              <w:jc w:val="center"/>
              <w:rPr>
                <w:rFonts w:eastAsia="Times New Roman"/>
              </w:rPr>
            </w:pPr>
            <w:r>
              <w:rPr>
                <w:rFonts w:eastAsia="Times New Roman"/>
                <w:b/>
                <w:bCs/>
                <w:color w:val="000000"/>
                <w:sz w:val="15"/>
                <w:szCs w:val="15"/>
              </w:rPr>
              <w:t>2020</w:t>
            </w:r>
          </w:p>
        </w:tc>
        <w:tc>
          <w:tcPr>
            <w:tcW w:w="0" w:type="auto"/>
            <w:gridSpan w:val="4"/>
            <w:tcBorders>
              <w:top w:val="single" w:sz="4" w:space="0" w:color="000000"/>
            </w:tcBorders>
            <w:tcMar>
              <w:top w:w="0" w:type="dxa"/>
              <w:left w:w="20" w:type="dxa"/>
              <w:bottom w:w="0" w:type="dxa"/>
              <w:right w:w="20" w:type="dxa"/>
            </w:tcMar>
            <w:vAlign w:val="center"/>
            <w:hideMark/>
          </w:tcPr>
          <w:p w14:paraId="592349DE" w14:textId="77777777" w:rsidR="00000000" w:rsidRDefault="00A173A8">
            <w:pPr>
              <w:spacing w:after="100"/>
              <w:jc w:val="center"/>
              <w:rPr>
                <w:rFonts w:eastAsia="Times New Roman"/>
              </w:rPr>
            </w:pPr>
          </w:p>
        </w:tc>
        <w:tc>
          <w:tcPr>
            <w:tcW w:w="0" w:type="auto"/>
            <w:gridSpan w:val="4"/>
            <w:tcBorders>
              <w:top w:val="single" w:sz="4" w:space="0" w:color="000000"/>
            </w:tcBorders>
            <w:tcMar>
              <w:top w:w="30" w:type="dxa"/>
              <w:left w:w="20" w:type="dxa"/>
              <w:bottom w:w="30" w:type="dxa"/>
              <w:right w:w="20" w:type="dxa"/>
            </w:tcMar>
            <w:vAlign w:val="bottom"/>
            <w:hideMark/>
          </w:tcPr>
          <w:p w14:paraId="39D5B7CB" w14:textId="77777777" w:rsidR="00000000" w:rsidRDefault="00A173A8">
            <w:pPr>
              <w:spacing w:after="100"/>
              <w:jc w:val="center"/>
              <w:rPr>
                <w:rFonts w:eastAsia="Times New Roman"/>
              </w:rPr>
            </w:pPr>
            <w:r>
              <w:rPr>
                <w:rFonts w:eastAsia="Times New Roman"/>
                <w:b/>
                <w:bCs/>
                <w:color w:val="000000"/>
                <w:sz w:val="15"/>
                <w:szCs w:val="15"/>
              </w:rPr>
              <w:t>2019</w:t>
            </w:r>
          </w:p>
        </w:tc>
        <w:tc>
          <w:tcPr>
            <w:tcW w:w="0" w:type="auto"/>
            <w:gridSpan w:val="4"/>
            <w:tcBorders>
              <w:top w:val="single" w:sz="4" w:space="0" w:color="000000"/>
            </w:tcBorders>
            <w:tcMar>
              <w:top w:w="0" w:type="dxa"/>
              <w:left w:w="20" w:type="dxa"/>
              <w:bottom w:w="0" w:type="dxa"/>
              <w:right w:w="20" w:type="dxa"/>
            </w:tcMar>
            <w:vAlign w:val="center"/>
            <w:hideMark/>
          </w:tcPr>
          <w:p w14:paraId="56F8C109" w14:textId="77777777" w:rsidR="00000000" w:rsidRDefault="00A173A8">
            <w:pPr>
              <w:spacing w:after="100"/>
              <w:jc w:val="center"/>
              <w:rPr>
                <w:rFonts w:eastAsia="Times New Roman"/>
              </w:rPr>
            </w:pPr>
          </w:p>
        </w:tc>
        <w:tc>
          <w:tcPr>
            <w:tcW w:w="0" w:type="auto"/>
            <w:gridSpan w:val="7"/>
            <w:tcBorders>
              <w:top w:val="single" w:sz="4" w:space="0" w:color="000000"/>
            </w:tcBorders>
            <w:tcMar>
              <w:top w:w="30" w:type="dxa"/>
              <w:left w:w="20" w:type="dxa"/>
              <w:bottom w:w="30" w:type="dxa"/>
              <w:right w:w="20" w:type="dxa"/>
            </w:tcMar>
            <w:vAlign w:val="bottom"/>
            <w:hideMark/>
          </w:tcPr>
          <w:p w14:paraId="20124B64" w14:textId="77777777" w:rsidR="00000000" w:rsidRDefault="00A173A8">
            <w:pPr>
              <w:spacing w:after="100"/>
              <w:jc w:val="center"/>
              <w:rPr>
                <w:rFonts w:eastAsia="Times New Roman"/>
              </w:rPr>
            </w:pPr>
            <w:r>
              <w:rPr>
                <w:rFonts w:eastAsia="Times New Roman"/>
                <w:b/>
                <w:bCs/>
                <w:color w:val="000000"/>
                <w:sz w:val="15"/>
                <w:szCs w:val="15"/>
              </w:rPr>
              <w:t>2018</w:t>
            </w:r>
          </w:p>
        </w:tc>
        <w:tc>
          <w:tcPr>
            <w:tcW w:w="0" w:type="auto"/>
            <w:gridSpan w:val="4"/>
            <w:tcBorders>
              <w:top w:val="single" w:sz="4" w:space="0" w:color="000000"/>
            </w:tcBorders>
            <w:tcMar>
              <w:top w:w="0" w:type="dxa"/>
              <w:left w:w="20" w:type="dxa"/>
              <w:bottom w:w="0" w:type="dxa"/>
              <w:right w:w="20" w:type="dxa"/>
            </w:tcMar>
            <w:vAlign w:val="center"/>
            <w:hideMark/>
          </w:tcPr>
          <w:p w14:paraId="78E2FBFD" w14:textId="77777777" w:rsidR="00000000" w:rsidRDefault="00A173A8">
            <w:pPr>
              <w:spacing w:after="100"/>
              <w:jc w:val="center"/>
              <w:rPr>
                <w:rFonts w:eastAsia="Times New Roman"/>
              </w:rPr>
            </w:pPr>
          </w:p>
        </w:tc>
        <w:tc>
          <w:tcPr>
            <w:tcW w:w="0" w:type="auto"/>
            <w:gridSpan w:val="5"/>
            <w:tcBorders>
              <w:top w:val="single" w:sz="4" w:space="0" w:color="000000"/>
            </w:tcBorders>
            <w:tcMar>
              <w:top w:w="30" w:type="dxa"/>
              <w:left w:w="20" w:type="dxa"/>
              <w:bottom w:w="30" w:type="dxa"/>
              <w:right w:w="20" w:type="dxa"/>
            </w:tcMar>
            <w:vAlign w:val="bottom"/>
            <w:hideMark/>
          </w:tcPr>
          <w:p w14:paraId="36EA0FBF" w14:textId="77777777" w:rsidR="00000000" w:rsidRDefault="00A173A8">
            <w:pPr>
              <w:spacing w:after="100"/>
              <w:jc w:val="center"/>
              <w:rPr>
                <w:rFonts w:eastAsia="Times New Roman"/>
              </w:rPr>
            </w:pPr>
            <w:r>
              <w:rPr>
                <w:rFonts w:eastAsia="Times New Roman"/>
                <w:b/>
                <w:bCs/>
                <w:color w:val="000000"/>
                <w:sz w:val="15"/>
                <w:szCs w:val="15"/>
              </w:rPr>
              <w:t>Prior</w:t>
            </w:r>
          </w:p>
        </w:tc>
        <w:tc>
          <w:tcPr>
            <w:tcW w:w="0" w:type="auto"/>
            <w:gridSpan w:val="4"/>
            <w:tcBorders>
              <w:top w:val="single" w:sz="4" w:space="0" w:color="000000"/>
            </w:tcBorders>
            <w:tcMar>
              <w:top w:w="0" w:type="dxa"/>
              <w:left w:w="20" w:type="dxa"/>
              <w:bottom w:w="0" w:type="dxa"/>
              <w:right w:w="20" w:type="dxa"/>
            </w:tcMar>
            <w:vAlign w:val="center"/>
            <w:hideMark/>
          </w:tcPr>
          <w:p w14:paraId="4C6AEF86" w14:textId="77777777" w:rsidR="00000000" w:rsidRDefault="00A173A8">
            <w:pPr>
              <w:spacing w:after="100"/>
              <w:jc w:val="center"/>
              <w:rPr>
                <w:rFonts w:eastAsia="Times New Roman"/>
              </w:rPr>
            </w:pPr>
          </w:p>
        </w:tc>
        <w:tc>
          <w:tcPr>
            <w:tcW w:w="0" w:type="auto"/>
            <w:gridSpan w:val="6"/>
            <w:tcBorders>
              <w:top w:val="single" w:sz="4" w:space="0" w:color="000000"/>
            </w:tcBorders>
            <w:tcMar>
              <w:top w:w="30" w:type="dxa"/>
              <w:left w:w="20" w:type="dxa"/>
              <w:bottom w:w="30" w:type="dxa"/>
              <w:right w:w="20" w:type="dxa"/>
            </w:tcMar>
            <w:vAlign w:val="bottom"/>
            <w:hideMark/>
          </w:tcPr>
          <w:p w14:paraId="3D73B90D" w14:textId="77777777" w:rsidR="00000000" w:rsidRDefault="00A173A8">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1B8F0B9B" w14:textId="77777777" w:rsidR="00000000" w:rsidRDefault="00A173A8">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59BCF1A7" w14:textId="77777777" w:rsidR="00000000" w:rsidRDefault="00A173A8">
            <w:pPr>
              <w:spacing w:after="100"/>
              <w:jc w:val="center"/>
              <w:rPr>
                <w:rFonts w:eastAsia="Times New Roman"/>
              </w:rPr>
            </w:pPr>
            <w:r>
              <w:rPr>
                <w:rFonts w:eastAsia="Times New Roman"/>
                <w:b/>
                <w:bCs/>
                <w:color w:val="000000"/>
                <w:sz w:val="15"/>
                <w:szCs w:val="15"/>
              </w:rPr>
              <w:t>Revolving Loans</w:t>
            </w:r>
          </w:p>
        </w:tc>
        <w:tc>
          <w:tcPr>
            <w:tcW w:w="0" w:type="auto"/>
            <w:gridSpan w:val="4"/>
            <w:tcMar>
              <w:top w:w="0" w:type="dxa"/>
              <w:left w:w="20" w:type="dxa"/>
              <w:bottom w:w="0" w:type="dxa"/>
              <w:right w:w="20" w:type="dxa"/>
            </w:tcMar>
            <w:vAlign w:val="center"/>
            <w:hideMark/>
          </w:tcPr>
          <w:p w14:paraId="408F8449" w14:textId="77777777" w:rsidR="00000000" w:rsidRDefault="00A173A8">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5CD2BE95" w14:textId="77777777" w:rsidR="00000000" w:rsidRDefault="00A173A8">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1BE640B5" w14:textId="77777777" w:rsidR="00000000" w:rsidRDefault="00A173A8">
            <w:pPr>
              <w:spacing w:after="100"/>
              <w:jc w:val="center"/>
              <w:rPr>
                <w:rFonts w:eastAsia="Times New Roman"/>
              </w:rPr>
            </w:pPr>
          </w:p>
        </w:tc>
        <w:tc>
          <w:tcPr>
            <w:tcW w:w="0" w:type="auto"/>
            <w:gridSpan w:val="5"/>
            <w:tcMar>
              <w:top w:w="30" w:type="dxa"/>
              <w:left w:w="20" w:type="dxa"/>
              <w:bottom w:w="30" w:type="dxa"/>
              <w:right w:w="20" w:type="dxa"/>
            </w:tcMar>
            <w:vAlign w:val="bottom"/>
            <w:hideMark/>
          </w:tcPr>
          <w:p w14:paraId="6B4D2CC7" w14:textId="77777777" w:rsidR="00000000" w:rsidRDefault="00A173A8">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0ABBC402" w14:textId="77777777" w:rsidR="00000000" w:rsidRDefault="00A173A8">
            <w:pPr>
              <w:spacing w:after="100"/>
              <w:jc w:val="center"/>
              <w:rPr>
                <w:rFonts w:eastAsia="Times New Roman"/>
              </w:rPr>
            </w:pPr>
          </w:p>
        </w:tc>
      </w:tr>
      <w:tr w:rsidR="00000000" w14:paraId="66DFBB7F" w14:textId="77777777">
        <w:trPr>
          <w:gridAfter w:val="26"/>
          <w:divId w:val="459569904"/>
        </w:trPr>
        <w:tc>
          <w:tcPr>
            <w:tcW w:w="0" w:type="auto"/>
            <w:gridSpan w:val="4"/>
            <w:vAlign w:val="center"/>
            <w:hideMark/>
          </w:tcPr>
          <w:p w14:paraId="27FF68C5" w14:textId="77777777" w:rsidR="00000000" w:rsidRDefault="00A173A8">
            <w:pPr>
              <w:spacing w:after="100"/>
              <w:rPr>
                <w:rFonts w:eastAsia="Times New Roman"/>
                <w:sz w:val="20"/>
                <w:szCs w:val="20"/>
              </w:rPr>
            </w:pPr>
          </w:p>
        </w:tc>
        <w:tc>
          <w:tcPr>
            <w:tcW w:w="0" w:type="auto"/>
            <w:gridSpan w:val="3"/>
            <w:vAlign w:val="center"/>
            <w:hideMark/>
          </w:tcPr>
          <w:p w14:paraId="0C630996" w14:textId="77777777" w:rsidR="00000000" w:rsidRDefault="00A173A8">
            <w:pPr>
              <w:spacing w:after="100"/>
              <w:rPr>
                <w:rFonts w:eastAsia="Times New Roman"/>
                <w:sz w:val="20"/>
                <w:szCs w:val="20"/>
              </w:rPr>
            </w:pPr>
          </w:p>
        </w:tc>
        <w:tc>
          <w:tcPr>
            <w:tcW w:w="0" w:type="auto"/>
            <w:gridSpan w:val="4"/>
            <w:vAlign w:val="center"/>
            <w:hideMark/>
          </w:tcPr>
          <w:p w14:paraId="4E7385ED" w14:textId="77777777" w:rsidR="00000000" w:rsidRDefault="00A173A8">
            <w:pPr>
              <w:spacing w:after="100"/>
              <w:rPr>
                <w:rFonts w:eastAsia="Times New Roman"/>
                <w:sz w:val="20"/>
                <w:szCs w:val="20"/>
              </w:rPr>
            </w:pPr>
          </w:p>
        </w:tc>
        <w:tc>
          <w:tcPr>
            <w:tcW w:w="0" w:type="auto"/>
            <w:gridSpan w:val="4"/>
            <w:vAlign w:val="center"/>
            <w:hideMark/>
          </w:tcPr>
          <w:p w14:paraId="40E5A50C" w14:textId="77777777" w:rsidR="00000000" w:rsidRDefault="00A173A8">
            <w:pPr>
              <w:spacing w:after="100"/>
              <w:rPr>
                <w:rFonts w:eastAsia="Times New Roman"/>
                <w:sz w:val="20"/>
                <w:szCs w:val="20"/>
              </w:rPr>
            </w:pPr>
          </w:p>
        </w:tc>
        <w:tc>
          <w:tcPr>
            <w:tcW w:w="0" w:type="auto"/>
            <w:gridSpan w:val="7"/>
            <w:vAlign w:val="center"/>
            <w:hideMark/>
          </w:tcPr>
          <w:p w14:paraId="44F98FEE" w14:textId="77777777" w:rsidR="00000000" w:rsidRDefault="00A173A8">
            <w:pPr>
              <w:spacing w:after="100"/>
              <w:rPr>
                <w:rFonts w:eastAsia="Times New Roman"/>
                <w:sz w:val="20"/>
                <w:szCs w:val="20"/>
              </w:rPr>
            </w:pPr>
          </w:p>
        </w:tc>
        <w:tc>
          <w:tcPr>
            <w:tcW w:w="0" w:type="auto"/>
            <w:gridSpan w:val="3"/>
            <w:vAlign w:val="center"/>
            <w:hideMark/>
          </w:tcPr>
          <w:p w14:paraId="35137DBF" w14:textId="77777777" w:rsidR="00000000" w:rsidRDefault="00A173A8">
            <w:pPr>
              <w:spacing w:after="100"/>
              <w:rPr>
                <w:rFonts w:eastAsia="Times New Roman"/>
                <w:sz w:val="20"/>
                <w:szCs w:val="20"/>
              </w:rPr>
            </w:pPr>
          </w:p>
        </w:tc>
        <w:tc>
          <w:tcPr>
            <w:tcW w:w="0" w:type="auto"/>
            <w:gridSpan w:val="7"/>
            <w:vAlign w:val="center"/>
            <w:hideMark/>
          </w:tcPr>
          <w:p w14:paraId="47CBCB86" w14:textId="77777777" w:rsidR="00000000" w:rsidRDefault="00A173A8">
            <w:pPr>
              <w:spacing w:after="100"/>
              <w:rPr>
                <w:rFonts w:eastAsia="Times New Roman"/>
                <w:sz w:val="20"/>
                <w:szCs w:val="20"/>
              </w:rPr>
            </w:pPr>
          </w:p>
        </w:tc>
        <w:tc>
          <w:tcPr>
            <w:tcW w:w="0" w:type="auto"/>
            <w:gridSpan w:val="4"/>
            <w:vAlign w:val="center"/>
            <w:hideMark/>
          </w:tcPr>
          <w:p w14:paraId="704BA3ED" w14:textId="77777777" w:rsidR="00000000" w:rsidRDefault="00A173A8">
            <w:pPr>
              <w:spacing w:after="100"/>
              <w:rPr>
                <w:rFonts w:eastAsia="Times New Roman"/>
                <w:sz w:val="20"/>
                <w:szCs w:val="20"/>
              </w:rPr>
            </w:pPr>
          </w:p>
        </w:tc>
        <w:tc>
          <w:tcPr>
            <w:tcW w:w="0" w:type="auto"/>
            <w:gridSpan w:val="4"/>
            <w:vAlign w:val="center"/>
            <w:hideMark/>
          </w:tcPr>
          <w:p w14:paraId="20DCA98B" w14:textId="77777777" w:rsidR="00000000" w:rsidRDefault="00A173A8">
            <w:pPr>
              <w:spacing w:after="100"/>
              <w:rPr>
                <w:rFonts w:eastAsia="Times New Roman"/>
                <w:sz w:val="20"/>
                <w:szCs w:val="20"/>
              </w:rPr>
            </w:pPr>
          </w:p>
        </w:tc>
        <w:tc>
          <w:tcPr>
            <w:tcW w:w="0" w:type="auto"/>
            <w:gridSpan w:val="4"/>
            <w:vAlign w:val="center"/>
            <w:hideMark/>
          </w:tcPr>
          <w:p w14:paraId="4C610972" w14:textId="77777777" w:rsidR="00000000" w:rsidRDefault="00A173A8">
            <w:pPr>
              <w:spacing w:after="100"/>
              <w:rPr>
                <w:rFonts w:eastAsia="Times New Roman"/>
                <w:sz w:val="20"/>
                <w:szCs w:val="20"/>
              </w:rPr>
            </w:pPr>
          </w:p>
        </w:tc>
        <w:tc>
          <w:tcPr>
            <w:tcW w:w="0" w:type="auto"/>
            <w:gridSpan w:val="7"/>
            <w:vAlign w:val="center"/>
            <w:hideMark/>
          </w:tcPr>
          <w:p w14:paraId="41B42CFC" w14:textId="77777777" w:rsidR="00000000" w:rsidRDefault="00A173A8">
            <w:pPr>
              <w:spacing w:after="100"/>
              <w:rPr>
                <w:rFonts w:eastAsia="Times New Roman"/>
                <w:sz w:val="20"/>
                <w:szCs w:val="20"/>
              </w:rPr>
            </w:pPr>
          </w:p>
        </w:tc>
        <w:tc>
          <w:tcPr>
            <w:tcW w:w="0" w:type="auto"/>
            <w:gridSpan w:val="4"/>
            <w:vAlign w:val="center"/>
            <w:hideMark/>
          </w:tcPr>
          <w:p w14:paraId="382E9FD5" w14:textId="77777777" w:rsidR="00000000" w:rsidRDefault="00A173A8">
            <w:pPr>
              <w:spacing w:after="100"/>
              <w:rPr>
                <w:rFonts w:eastAsia="Times New Roman"/>
                <w:sz w:val="20"/>
                <w:szCs w:val="20"/>
              </w:rPr>
            </w:pPr>
          </w:p>
        </w:tc>
        <w:tc>
          <w:tcPr>
            <w:tcW w:w="0" w:type="auto"/>
            <w:gridSpan w:val="5"/>
            <w:vAlign w:val="center"/>
            <w:hideMark/>
          </w:tcPr>
          <w:p w14:paraId="6FB67183" w14:textId="77777777" w:rsidR="00000000" w:rsidRDefault="00A173A8">
            <w:pPr>
              <w:spacing w:after="100"/>
              <w:rPr>
                <w:rFonts w:eastAsia="Times New Roman"/>
                <w:sz w:val="20"/>
                <w:szCs w:val="20"/>
              </w:rPr>
            </w:pPr>
          </w:p>
        </w:tc>
        <w:tc>
          <w:tcPr>
            <w:tcW w:w="0" w:type="auto"/>
            <w:gridSpan w:val="4"/>
            <w:vAlign w:val="center"/>
            <w:hideMark/>
          </w:tcPr>
          <w:p w14:paraId="452DA534" w14:textId="77777777" w:rsidR="00000000" w:rsidRDefault="00A173A8">
            <w:pPr>
              <w:spacing w:after="100"/>
              <w:rPr>
                <w:rFonts w:eastAsia="Times New Roman"/>
                <w:sz w:val="20"/>
                <w:szCs w:val="20"/>
              </w:rPr>
            </w:pPr>
          </w:p>
        </w:tc>
        <w:tc>
          <w:tcPr>
            <w:tcW w:w="0" w:type="auto"/>
            <w:gridSpan w:val="6"/>
            <w:vAlign w:val="center"/>
            <w:hideMark/>
          </w:tcPr>
          <w:p w14:paraId="0327840D" w14:textId="77777777" w:rsidR="00000000" w:rsidRDefault="00A173A8">
            <w:pPr>
              <w:spacing w:after="100"/>
              <w:rPr>
                <w:rFonts w:eastAsia="Times New Roman"/>
                <w:sz w:val="20"/>
                <w:szCs w:val="20"/>
              </w:rPr>
            </w:pPr>
          </w:p>
        </w:tc>
        <w:tc>
          <w:tcPr>
            <w:tcW w:w="0" w:type="auto"/>
            <w:gridSpan w:val="3"/>
            <w:vAlign w:val="center"/>
            <w:hideMark/>
          </w:tcPr>
          <w:p w14:paraId="1E019721" w14:textId="77777777" w:rsidR="00000000" w:rsidRDefault="00A173A8">
            <w:pPr>
              <w:spacing w:after="100"/>
              <w:rPr>
                <w:rFonts w:eastAsia="Times New Roman"/>
                <w:sz w:val="20"/>
                <w:szCs w:val="20"/>
              </w:rPr>
            </w:pPr>
          </w:p>
        </w:tc>
        <w:tc>
          <w:tcPr>
            <w:tcW w:w="0" w:type="auto"/>
            <w:gridSpan w:val="7"/>
            <w:vAlign w:val="center"/>
            <w:hideMark/>
          </w:tcPr>
          <w:p w14:paraId="3E0F8D81" w14:textId="77777777" w:rsidR="00000000" w:rsidRDefault="00A173A8">
            <w:pPr>
              <w:spacing w:after="100"/>
              <w:rPr>
                <w:rFonts w:eastAsia="Times New Roman"/>
                <w:sz w:val="20"/>
                <w:szCs w:val="20"/>
              </w:rPr>
            </w:pPr>
          </w:p>
        </w:tc>
        <w:tc>
          <w:tcPr>
            <w:tcW w:w="0" w:type="auto"/>
            <w:gridSpan w:val="4"/>
            <w:vAlign w:val="center"/>
            <w:hideMark/>
          </w:tcPr>
          <w:p w14:paraId="75B46766" w14:textId="77777777" w:rsidR="00000000" w:rsidRDefault="00A173A8">
            <w:pPr>
              <w:spacing w:after="100"/>
              <w:rPr>
                <w:rFonts w:eastAsia="Times New Roman"/>
                <w:sz w:val="20"/>
                <w:szCs w:val="20"/>
              </w:rPr>
            </w:pPr>
          </w:p>
        </w:tc>
        <w:tc>
          <w:tcPr>
            <w:tcW w:w="0" w:type="auto"/>
            <w:gridSpan w:val="6"/>
            <w:vAlign w:val="center"/>
            <w:hideMark/>
          </w:tcPr>
          <w:p w14:paraId="24EFB695" w14:textId="77777777" w:rsidR="00000000" w:rsidRDefault="00A173A8">
            <w:pPr>
              <w:spacing w:after="100"/>
              <w:rPr>
                <w:rFonts w:eastAsia="Times New Roman"/>
                <w:sz w:val="20"/>
                <w:szCs w:val="20"/>
              </w:rPr>
            </w:pPr>
          </w:p>
        </w:tc>
        <w:tc>
          <w:tcPr>
            <w:tcW w:w="0" w:type="auto"/>
            <w:gridSpan w:val="3"/>
            <w:vAlign w:val="center"/>
            <w:hideMark/>
          </w:tcPr>
          <w:p w14:paraId="1B3C35CB" w14:textId="77777777" w:rsidR="00000000" w:rsidRDefault="00A173A8">
            <w:pPr>
              <w:spacing w:after="100"/>
              <w:rPr>
                <w:rFonts w:eastAsia="Times New Roman"/>
                <w:sz w:val="20"/>
                <w:szCs w:val="20"/>
              </w:rPr>
            </w:pPr>
          </w:p>
        </w:tc>
        <w:tc>
          <w:tcPr>
            <w:tcW w:w="0" w:type="auto"/>
            <w:gridSpan w:val="5"/>
            <w:vAlign w:val="center"/>
            <w:hideMark/>
          </w:tcPr>
          <w:p w14:paraId="6FE8610B" w14:textId="77777777" w:rsidR="00000000" w:rsidRDefault="00A173A8">
            <w:pPr>
              <w:spacing w:after="100"/>
              <w:rPr>
                <w:rFonts w:eastAsia="Times New Roman"/>
                <w:sz w:val="20"/>
                <w:szCs w:val="20"/>
              </w:rPr>
            </w:pPr>
          </w:p>
        </w:tc>
        <w:tc>
          <w:tcPr>
            <w:tcW w:w="0" w:type="auto"/>
            <w:vAlign w:val="center"/>
            <w:hideMark/>
          </w:tcPr>
          <w:p w14:paraId="40DFDAF5" w14:textId="77777777" w:rsidR="00000000" w:rsidRDefault="00A173A8">
            <w:pPr>
              <w:spacing w:after="100"/>
              <w:rPr>
                <w:rFonts w:eastAsia="Times New Roman"/>
                <w:sz w:val="20"/>
                <w:szCs w:val="20"/>
              </w:rPr>
            </w:pPr>
          </w:p>
        </w:tc>
      </w:tr>
      <w:tr w:rsidR="00000000" w14:paraId="5C25ADED" w14:textId="77777777">
        <w:trPr>
          <w:gridAfter w:val="26"/>
          <w:divId w:val="459569904"/>
        </w:trPr>
        <w:tc>
          <w:tcPr>
            <w:tcW w:w="0" w:type="auto"/>
            <w:gridSpan w:val="4"/>
            <w:tcBorders>
              <w:top w:val="single" w:sz="4" w:space="0" w:color="000000"/>
            </w:tcBorders>
            <w:shd w:val="clear" w:color="auto" w:fill="CCEEFF"/>
            <w:tcMar>
              <w:top w:w="30" w:type="dxa"/>
              <w:left w:w="20" w:type="dxa"/>
              <w:bottom w:w="30" w:type="dxa"/>
              <w:right w:w="20" w:type="dxa"/>
            </w:tcMar>
            <w:vAlign w:val="center"/>
            <w:hideMark/>
          </w:tcPr>
          <w:p w14:paraId="3028F6D1" w14:textId="77777777" w:rsidR="00000000" w:rsidRDefault="00A173A8">
            <w:pPr>
              <w:spacing w:after="100"/>
              <w:divId w:val="1347513986"/>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E91772F" w14:textId="77777777" w:rsidR="00000000" w:rsidRDefault="00A173A8">
            <w:pPr>
              <w:spacing w:after="100"/>
              <w:rPr>
                <w:rFonts w:eastAsia="Times New Roman"/>
              </w:rPr>
            </w:pPr>
          </w:p>
        </w:tc>
        <w:tc>
          <w:tcPr>
            <w:tcW w:w="0" w:type="auto"/>
            <w:gridSpan w:val="4"/>
            <w:tcBorders>
              <w:top w:val="single" w:sz="4" w:space="0" w:color="000000"/>
            </w:tcBorders>
            <w:shd w:val="clear" w:color="auto" w:fill="CCEEFF"/>
            <w:tcMar>
              <w:top w:w="0" w:type="dxa"/>
              <w:left w:w="20" w:type="dxa"/>
              <w:bottom w:w="0" w:type="dxa"/>
              <w:right w:w="20" w:type="dxa"/>
            </w:tcMar>
            <w:vAlign w:val="center"/>
            <w:hideMark/>
          </w:tcPr>
          <w:p w14:paraId="1D9615F3"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1D4D6E2" w14:textId="77777777" w:rsidR="00000000" w:rsidRDefault="00A173A8">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14:paraId="7D445A2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430034" w14:textId="77777777" w:rsidR="00000000" w:rsidRDefault="00A173A8">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14:paraId="1F6B9EBD"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EB575F3" w14:textId="77777777" w:rsidR="00000000" w:rsidRDefault="00A173A8">
            <w:pPr>
              <w:spacing w:after="100"/>
              <w:rPr>
                <w:rFonts w:eastAsia="Times New Roman"/>
                <w:sz w:val="20"/>
                <w:szCs w:val="20"/>
              </w:rPr>
            </w:pPr>
          </w:p>
        </w:tc>
        <w:tc>
          <w:tcPr>
            <w:tcW w:w="0" w:type="auto"/>
            <w:gridSpan w:val="4"/>
            <w:tcBorders>
              <w:top w:val="single" w:sz="4" w:space="0" w:color="000000"/>
            </w:tcBorders>
            <w:shd w:val="clear" w:color="auto" w:fill="CCEEFF"/>
            <w:tcMar>
              <w:top w:w="0" w:type="dxa"/>
              <w:left w:w="20" w:type="dxa"/>
              <w:bottom w:w="0" w:type="dxa"/>
              <w:right w:w="20" w:type="dxa"/>
            </w:tcMar>
            <w:vAlign w:val="center"/>
            <w:hideMark/>
          </w:tcPr>
          <w:p w14:paraId="127ADB73"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E417B1C" w14:textId="77777777" w:rsidR="00000000" w:rsidRDefault="00A173A8">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14:paraId="011C9AB9"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1684B80" w14:textId="77777777" w:rsidR="00000000" w:rsidRDefault="00A173A8">
            <w:pPr>
              <w:spacing w:after="100"/>
              <w:rPr>
                <w:rFonts w:eastAsia="Times New Roman"/>
                <w:sz w:val="20"/>
                <w:szCs w:val="20"/>
              </w:rPr>
            </w:pPr>
          </w:p>
        </w:tc>
        <w:tc>
          <w:tcPr>
            <w:tcW w:w="0" w:type="auto"/>
            <w:gridSpan w:val="5"/>
            <w:tcBorders>
              <w:top w:val="single" w:sz="4" w:space="0" w:color="000000"/>
            </w:tcBorders>
            <w:shd w:val="clear" w:color="auto" w:fill="CCEEFF"/>
            <w:tcMar>
              <w:top w:w="0" w:type="dxa"/>
              <w:left w:w="20" w:type="dxa"/>
              <w:bottom w:w="0" w:type="dxa"/>
              <w:right w:w="20" w:type="dxa"/>
            </w:tcMar>
            <w:vAlign w:val="center"/>
            <w:hideMark/>
          </w:tcPr>
          <w:p w14:paraId="5925525A"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7D53EBC" w14:textId="77777777" w:rsidR="00000000" w:rsidRDefault="00A173A8">
            <w:pPr>
              <w:spacing w:after="100"/>
              <w:rPr>
                <w:rFonts w:eastAsia="Times New Roman"/>
                <w:sz w:val="20"/>
                <w:szCs w:val="20"/>
              </w:rPr>
            </w:pPr>
          </w:p>
        </w:tc>
        <w:tc>
          <w:tcPr>
            <w:tcW w:w="0" w:type="auto"/>
            <w:gridSpan w:val="6"/>
            <w:tcBorders>
              <w:top w:val="single" w:sz="4" w:space="0" w:color="000000"/>
            </w:tcBorders>
            <w:shd w:val="clear" w:color="auto" w:fill="CCEEFF"/>
            <w:tcMar>
              <w:top w:w="0" w:type="dxa"/>
              <w:left w:w="20" w:type="dxa"/>
              <w:bottom w:w="0" w:type="dxa"/>
              <w:right w:w="20" w:type="dxa"/>
            </w:tcMar>
            <w:vAlign w:val="center"/>
            <w:hideMark/>
          </w:tcPr>
          <w:p w14:paraId="1AD4655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3FEF60" w14:textId="77777777" w:rsidR="00000000" w:rsidRDefault="00A173A8">
            <w:pPr>
              <w:spacing w:after="100"/>
              <w:rPr>
                <w:rFonts w:eastAsia="Times New Roman"/>
                <w:sz w:val="20"/>
                <w:szCs w:val="20"/>
              </w:rPr>
            </w:pPr>
          </w:p>
        </w:tc>
        <w:tc>
          <w:tcPr>
            <w:tcW w:w="0" w:type="auto"/>
            <w:gridSpan w:val="7"/>
            <w:tcBorders>
              <w:top w:val="single" w:sz="4" w:space="0" w:color="000000"/>
            </w:tcBorders>
            <w:shd w:val="clear" w:color="auto" w:fill="CCEEFF"/>
            <w:tcMar>
              <w:top w:w="0" w:type="dxa"/>
              <w:left w:w="20" w:type="dxa"/>
              <w:bottom w:w="0" w:type="dxa"/>
              <w:right w:w="20" w:type="dxa"/>
            </w:tcMar>
            <w:vAlign w:val="center"/>
            <w:hideMark/>
          </w:tcPr>
          <w:p w14:paraId="6CCF27FD"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23E0740" w14:textId="77777777" w:rsidR="00000000" w:rsidRDefault="00A173A8">
            <w:pPr>
              <w:spacing w:after="100"/>
              <w:rPr>
                <w:rFonts w:eastAsia="Times New Roman"/>
                <w:sz w:val="20"/>
                <w:szCs w:val="20"/>
              </w:rPr>
            </w:pPr>
          </w:p>
        </w:tc>
        <w:tc>
          <w:tcPr>
            <w:tcW w:w="0" w:type="auto"/>
            <w:gridSpan w:val="6"/>
            <w:tcBorders>
              <w:top w:val="single" w:sz="4" w:space="0" w:color="000000"/>
            </w:tcBorders>
            <w:shd w:val="clear" w:color="auto" w:fill="CCEEFF"/>
            <w:tcMar>
              <w:top w:w="0" w:type="dxa"/>
              <w:left w:w="20" w:type="dxa"/>
              <w:bottom w:w="0" w:type="dxa"/>
              <w:right w:w="20" w:type="dxa"/>
            </w:tcMar>
            <w:vAlign w:val="center"/>
            <w:hideMark/>
          </w:tcPr>
          <w:p w14:paraId="00A9034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EFC39C" w14:textId="77777777" w:rsidR="00000000" w:rsidRDefault="00A173A8">
            <w:pPr>
              <w:spacing w:after="100"/>
              <w:rPr>
                <w:rFonts w:eastAsia="Times New Roman"/>
                <w:sz w:val="20"/>
                <w:szCs w:val="20"/>
              </w:rPr>
            </w:pPr>
          </w:p>
        </w:tc>
        <w:tc>
          <w:tcPr>
            <w:tcW w:w="0" w:type="auto"/>
            <w:gridSpan w:val="5"/>
            <w:tcBorders>
              <w:top w:val="single" w:sz="4" w:space="0" w:color="000000"/>
            </w:tcBorders>
            <w:shd w:val="clear" w:color="auto" w:fill="CCEEFF"/>
            <w:tcMar>
              <w:top w:w="0" w:type="dxa"/>
              <w:left w:w="20" w:type="dxa"/>
              <w:bottom w:w="0" w:type="dxa"/>
              <w:right w:w="20" w:type="dxa"/>
            </w:tcMar>
            <w:vAlign w:val="center"/>
            <w:hideMark/>
          </w:tcPr>
          <w:p w14:paraId="7F302B6F" w14:textId="77777777" w:rsidR="00000000" w:rsidRDefault="00A173A8">
            <w:pPr>
              <w:spacing w:after="100"/>
              <w:rPr>
                <w:rFonts w:eastAsia="Times New Roman"/>
                <w:sz w:val="20"/>
                <w:szCs w:val="20"/>
              </w:rPr>
            </w:pPr>
          </w:p>
        </w:tc>
        <w:tc>
          <w:tcPr>
            <w:tcW w:w="0" w:type="auto"/>
            <w:vAlign w:val="center"/>
            <w:hideMark/>
          </w:tcPr>
          <w:p w14:paraId="75FF3F20" w14:textId="77777777" w:rsidR="00000000" w:rsidRDefault="00A173A8">
            <w:pPr>
              <w:spacing w:after="100"/>
              <w:rPr>
                <w:rFonts w:eastAsia="Times New Roman"/>
                <w:sz w:val="20"/>
                <w:szCs w:val="20"/>
              </w:rPr>
            </w:pPr>
          </w:p>
        </w:tc>
      </w:tr>
      <w:tr w:rsidR="00A173A8" w14:paraId="64CF096C" w14:textId="77777777">
        <w:trPr>
          <w:gridAfter w:val="26"/>
          <w:divId w:val="459569904"/>
        </w:trPr>
        <w:tc>
          <w:tcPr>
            <w:tcW w:w="0" w:type="auto"/>
            <w:gridSpan w:val="4"/>
            <w:shd w:val="clear" w:color="auto" w:fill="FFFFFF"/>
            <w:tcMar>
              <w:top w:w="30" w:type="dxa"/>
              <w:left w:w="380" w:type="dxa"/>
              <w:bottom w:w="30" w:type="dxa"/>
              <w:right w:w="20" w:type="dxa"/>
            </w:tcMar>
            <w:vAlign w:val="center"/>
            <w:hideMark/>
          </w:tcPr>
          <w:p w14:paraId="2C8E4E51" w14:textId="77777777" w:rsidR="00000000" w:rsidRDefault="00A173A8">
            <w:pPr>
              <w:spacing w:after="100"/>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14:paraId="6A5F3E82"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62EDED32"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5CB18D8D" w14:textId="77777777" w:rsidR="00000000" w:rsidRDefault="00A173A8">
            <w:pPr>
              <w:spacing w:after="100"/>
              <w:jc w:val="right"/>
              <w:rPr>
                <w:rFonts w:eastAsia="Times New Roman"/>
              </w:rPr>
            </w:pPr>
            <w:r>
              <w:rPr>
                <w:rFonts w:eastAsia="Times New Roman"/>
                <w:b/>
                <w:bCs/>
                <w:color w:val="000000"/>
                <w:sz w:val="18"/>
                <w:szCs w:val="18"/>
              </w:rPr>
              <w:t>12,004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9033C4"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11E9C0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5395DF"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47A97F1A" w14:textId="77777777" w:rsidR="00000000" w:rsidRDefault="00A173A8">
            <w:pPr>
              <w:spacing w:after="100"/>
              <w:jc w:val="right"/>
              <w:rPr>
                <w:rFonts w:eastAsia="Times New Roman"/>
              </w:rPr>
            </w:pPr>
            <w:r>
              <w:rPr>
                <w:rFonts w:eastAsia="Times New Roman"/>
                <w:b/>
                <w:bCs/>
                <w:color w:val="000000"/>
                <w:sz w:val="18"/>
                <w:szCs w:val="18"/>
              </w:rPr>
              <w:t>17,114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7DE24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5EDC3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321D31"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5"/>
            <w:shd w:val="clear" w:color="auto" w:fill="FFFFFF"/>
            <w:tcMar>
              <w:top w:w="30" w:type="dxa"/>
              <w:left w:w="0" w:type="dxa"/>
              <w:bottom w:w="30" w:type="dxa"/>
              <w:right w:w="0" w:type="dxa"/>
            </w:tcMar>
            <w:vAlign w:val="bottom"/>
            <w:hideMark/>
          </w:tcPr>
          <w:p w14:paraId="1B96AF07" w14:textId="77777777" w:rsidR="00000000" w:rsidRDefault="00A173A8">
            <w:pPr>
              <w:spacing w:after="100"/>
              <w:jc w:val="right"/>
              <w:rPr>
                <w:rFonts w:eastAsia="Times New Roman"/>
              </w:rPr>
            </w:pPr>
            <w:r>
              <w:rPr>
                <w:rFonts w:eastAsia="Times New Roman"/>
                <w:b/>
                <w:bCs/>
                <w:color w:val="000000"/>
                <w:sz w:val="18"/>
                <w:szCs w:val="18"/>
              </w:rPr>
              <w:t>6,768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EC56B4B"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6B20E9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E67187"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E9E0436" w14:textId="77777777" w:rsidR="00000000" w:rsidRDefault="00A173A8">
            <w:pPr>
              <w:spacing w:after="100"/>
              <w:jc w:val="right"/>
              <w:rPr>
                <w:rFonts w:eastAsia="Times New Roman"/>
              </w:rPr>
            </w:pPr>
            <w:r>
              <w:rPr>
                <w:rFonts w:eastAsia="Times New Roman"/>
                <w:b/>
                <w:bCs/>
                <w:color w:val="000000"/>
                <w:sz w:val="18"/>
                <w:szCs w:val="18"/>
              </w:rPr>
              <w:t>3,519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145FFD"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BB3349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F664B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0B82C016" w14:textId="77777777" w:rsidR="00000000" w:rsidRDefault="00A173A8">
            <w:pPr>
              <w:spacing w:after="100"/>
              <w:jc w:val="right"/>
              <w:rPr>
                <w:rFonts w:eastAsia="Times New Roman"/>
              </w:rPr>
            </w:pPr>
            <w:r>
              <w:rPr>
                <w:rFonts w:eastAsia="Times New Roman"/>
                <w:b/>
                <w:bCs/>
                <w:color w:val="000000"/>
                <w:sz w:val="18"/>
                <w:szCs w:val="18"/>
              </w:rPr>
              <w:t>1,615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0FCC48"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31CBA27"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1E3566"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41F34B9E" w14:textId="77777777" w:rsidR="00000000" w:rsidRDefault="00A173A8">
            <w:pPr>
              <w:spacing w:after="100"/>
              <w:jc w:val="right"/>
              <w:rPr>
                <w:rFonts w:eastAsia="Times New Roman"/>
              </w:rPr>
            </w:pPr>
            <w:r>
              <w:rPr>
                <w:rFonts w:eastAsia="Times New Roman"/>
                <w:b/>
                <w:bCs/>
                <w:color w:val="000000"/>
                <w:sz w:val="18"/>
                <w:szCs w:val="18"/>
              </w:rPr>
              <w:t>740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DA8C3C4"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E6B081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B229561"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68C96C19" w14:textId="77777777" w:rsidR="00000000" w:rsidRDefault="00A173A8">
            <w:pPr>
              <w:spacing w:after="100"/>
              <w:jc w:val="right"/>
              <w:rPr>
                <w:rFonts w:eastAsia="Times New Roman"/>
              </w:rPr>
            </w:pPr>
            <w:r>
              <w:rPr>
                <w:rFonts w:eastAsia="Times New Roman"/>
                <w:b/>
                <w:bCs/>
                <w:color w:val="000000"/>
                <w:sz w:val="18"/>
                <w:szCs w:val="18"/>
              </w:rPr>
              <w:t>41,760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44EE5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7A79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E642F1A"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5"/>
            <w:shd w:val="clear" w:color="auto" w:fill="FFFFFF"/>
            <w:tcMar>
              <w:top w:w="30" w:type="dxa"/>
              <w:left w:w="0" w:type="dxa"/>
              <w:bottom w:w="30" w:type="dxa"/>
              <w:right w:w="0" w:type="dxa"/>
            </w:tcMar>
            <w:vAlign w:val="bottom"/>
            <w:hideMark/>
          </w:tcPr>
          <w:p w14:paraId="646FF8F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AE4989"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747DCA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AE8718A"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4258C5E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62ACF1A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073F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E40DF"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4A7B78F0" w14:textId="77777777" w:rsidR="00000000" w:rsidRDefault="00A173A8">
            <w:pPr>
              <w:spacing w:after="100"/>
              <w:jc w:val="right"/>
              <w:rPr>
                <w:rFonts w:eastAsia="Times New Roman"/>
              </w:rPr>
            </w:pPr>
            <w:r>
              <w:rPr>
                <w:rFonts w:eastAsia="Times New Roman"/>
                <w:b/>
                <w:bCs/>
                <w:color w:val="000000"/>
                <w:sz w:val="18"/>
                <w:szCs w:val="18"/>
              </w:rPr>
              <w:t>41,760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DB656D" w14:textId="77777777" w:rsidR="00000000" w:rsidRDefault="00A173A8">
            <w:pPr>
              <w:spacing w:after="100"/>
              <w:jc w:val="right"/>
              <w:rPr>
                <w:rFonts w:eastAsia="Times New Roman"/>
              </w:rPr>
            </w:pPr>
          </w:p>
        </w:tc>
      </w:tr>
      <w:tr w:rsidR="00A173A8" w14:paraId="3758E7FC" w14:textId="77777777">
        <w:trPr>
          <w:gridAfter w:val="26"/>
          <w:divId w:val="459569904"/>
        </w:trPr>
        <w:tc>
          <w:tcPr>
            <w:tcW w:w="0" w:type="auto"/>
            <w:gridSpan w:val="4"/>
            <w:shd w:val="clear" w:color="auto" w:fill="CCEEFF"/>
            <w:tcMar>
              <w:top w:w="30" w:type="dxa"/>
              <w:left w:w="380" w:type="dxa"/>
              <w:bottom w:w="30" w:type="dxa"/>
              <w:right w:w="20" w:type="dxa"/>
            </w:tcMar>
            <w:vAlign w:val="center"/>
            <w:hideMark/>
          </w:tcPr>
          <w:p w14:paraId="75A953C4" w14:textId="77777777" w:rsidR="00000000" w:rsidRDefault="00A173A8">
            <w:pPr>
              <w:spacing w:after="100"/>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14:paraId="7BFF76BE"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0" w:type="dxa"/>
            </w:tcMar>
            <w:vAlign w:val="center"/>
            <w:hideMark/>
          </w:tcPr>
          <w:p w14:paraId="127B50A3" w14:textId="77777777" w:rsidR="00000000" w:rsidRDefault="00A173A8">
            <w:pPr>
              <w:spacing w:after="100"/>
              <w:jc w:val="right"/>
              <w:rPr>
                <w:rFonts w:eastAsia="Times New Roman"/>
              </w:rPr>
            </w:pPr>
            <w:r>
              <w:rPr>
                <w:rFonts w:eastAsia="Times New Roman"/>
                <w:b/>
                <w:bCs/>
                <w:color w:val="000000"/>
                <w:sz w:val="18"/>
                <w:szCs w:val="18"/>
              </w:rPr>
              <w:t>3,982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FD12933"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62654E8"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779417C7" w14:textId="77777777" w:rsidR="00000000" w:rsidRDefault="00A173A8">
            <w:pPr>
              <w:spacing w:after="100"/>
              <w:jc w:val="right"/>
              <w:rPr>
                <w:rFonts w:eastAsia="Times New Roman"/>
              </w:rPr>
            </w:pPr>
            <w:r>
              <w:rPr>
                <w:rFonts w:eastAsia="Times New Roman"/>
                <w:b/>
                <w:bCs/>
                <w:color w:val="000000"/>
                <w:sz w:val="18"/>
                <w:szCs w:val="18"/>
              </w:rPr>
              <w:t>6,134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76122C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0254E"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3323E23A" w14:textId="77777777" w:rsidR="00000000" w:rsidRDefault="00A173A8">
            <w:pPr>
              <w:spacing w:after="100"/>
              <w:jc w:val="right"/>
              <w:rPr>
                <w:rFonts w:eastAsia="Times New Roman"/>
              </w:rPr>
            </w:pPr>
            <w:r>
              <w:rPr>
                <w:rFonts w:eastAsia="Times New Roman"/>
                <w:b/>
                <w:bCs/>
                <w:color w:val="000000"/>
                <w:sz w:val="18"/>
                <w:szCs w:val="18"/>
              </w:rPr>
              <w:t>2,874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2AA8A17"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3803E9D"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49EEF7F6" w14:textId="77777777" w:rsidR="00000000" w:rsidRDefault="00A173A8">
            <w:pPr>
              <w:spacing w:after="100"/>
              <w:jc w:val="right"/>
              <w:rPr>
                <w:rFonts w:eastAsia="Times New Roman"/>
              </w:rPr>
            </w:pPr>
            <w:r>
              <w:rPr>
                <w:rFonts w:eastAsia="Times New Roman"/>
                <w:b/>
                <w:bCs/>
                <w:color w:val="000000"/>
                <w:sz w:val="18"/>
                <w:szCs w:val="18"/>
              </w:rPr>
              <w:t>1,566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FAB6A90"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E23FA1F"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653F28A3" w14:textId="77777777" w:rsidR="00000000" w:rsidRDefault="00A173A8">
            <w:pPr>
              <w:spacing w:after="100"/>
              <w:jc w:val="right"/>
              <w:rPr>
                <w:rFonts w:eastAsia="Times New Roman"/>
              </w:rPr>
            </w:pPr>
            <w:r>
              <w:rPr>
                <w:rFonts w:eastAsia="Times New Roman"/>
                <w:b/>
                <w:bCs/>
                <w:color w:val="000000"/>
                <w:sz w:val="18"/>
                <w:szCs w:val="18"/>
              </w:rPr>
              <w:t>757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06E9F4"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B4A0F54"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633AF39D" w14:textId="77777777" w:rsidR="00000000" w:rsidRDefault="00A173A8">
            <w:pPr>
              <w:spacing w:after="100"/>
              <w:jc w:val="right"/>
              <w:rPr>
                <w:rFonts w:eastAsia="Times New Roman"/>
              </w:rPr>
            </w:pPr>
            <w:r>
              <w:rPr>
                <w:rFonts w:eastAsia="Times New Roman"/>
                <w:b/>
                <w:bCs/>
                <w:color w:val="000000"/>
                <w:sz w:val="18"/>
                <w:szCs w:val="18"/>
              </w:rPr>
              <w:t>381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7A0AFAA"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A800099"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3BA3C061" w14:textId="77777777" w:rsidR="00000000" w:rsidRDefault="00A173A8">
            <w:pPr>
              <w:spacing w:after="100"/>
              <w:jc w:val="right"/>
              <w:rPr>
                <w:rFonts w:eastAsia="Times New Roman"/>
              </w:rPr>
            </w:pPr>
            <w:r>
              <w:rPr>
                <w:rFonts w:eastAsia="Times New Roman"/>
                <w:b/>
                <w:bCs/>
                <w:color w:val="000000"/>
                <w:sz w:val="18"/>
                <w:szCs w:val="18"/>
              </w:rPr>
              <w:t>15,694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418181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FFAF2"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2C2B0DA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AB77D56"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C501287"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66E3870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41C0FEE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F9D17"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203A4589" w14:textId="77777777" w:rsidR="00000000" w:rsidRDefault="00A173A8">
            <w:pPr>
              <w:spacing w:after="100"/>
              <w:jc w:val="right"/>
              <w:rPr>
                <w:rFonts w:eastAsia="Times New Roman"/>
              </w:rPr>
            </w:pPr>
            <w:r>
              <w:rPr>
                <w:rFonts w:eastAsia="Times New Roman"/>
                <w:b/>
                <w:bCs/>
                <w:color w:val="000000"/>
                <w:sz w:val="18"/>
                <w:szCs w:val="18"/>
              </w:rPr>
              <w:t>15,694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8A6BDD" w14:textId="77777777" w:rsidR="00000000" w:rsidRDefault="00A173A8">
            <w:pPr>
              <w:spacing w:after="100"/>
              <w:jc w:val="right"/>
              <w:rPr>
                <w:rFonts w:eastAsia="Times New Roman"/>
              </w:rPr>
            </w:pPr>
          </w:p>
        </w:tc>
      </w:tr>
      <w:tr w:rsidR="00A173A8" w14:paraId="28B6268E" w14:textId="77777777">
        <w:trPr>
          <w:gridAfter w:val="26"/>
          <w:divId w:val="459569904"/>
        </w:trPr>
        <w:tc>
          <w:tcPr>
            <w:tcW w:w="0" w:type="auto"/>
            <w:gridSpan w:val="4"/>
            <w:shd w:val="clear" w:color="auto" w:fill="FFFFFF"/>
            <w:tcMar>
              <w:top w:w="30" w:type="dxa"/>
              <w:left w:w="380" w:type="dxa"/>
              <w:bottom w:w="30" w:type="dxa"/>
              <w:right w:w="20" w:type="dxa"/>
            </w:tcMar>
            <w:vAlign w:val="center"/>
            <w:hideMark/>
          </w:tcPr>
          <w:p w14:paraId="68C87B32" w14:textId="77777777" w:rsidR="00000000" w:rsidRDefault="00A173A8">
            <w:pPr>
              <w:spacing w:after="100"/>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14:paraId="6E2B2665"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0" w:type="dxa"/>
            </w:tcMar>
            <w:vAlign w:val="center"/>
            <w:hideMark/>
          </w:tcPr>
          <w:p w14:paraId="086CECDA" w14:textId="77777777" w:rsidR="00000000" w:rsidRDefault="00A173A8">
            <w:pPr>
              <w:spacing w:after="100"/>
              <w:jc w:val="right"/>
              <w:rPr>
                <w:rFonts w:eastAsia="Times New Roman"/>
              </w:rPr>
            </w:pPr>
            <w:r>
              <w:rPr>
                <w:rFonts w:eastAsia="Times New Roman"/>
                <w:b/>
                <w:bCs/>
                <w:color w:val="000000"/>
                <w:sz w:val="18"/>
                <w:szCs w:val="18"/>
              </w:rPr>
              <w:t>4,799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5C719EC"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23A4B73"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216D5704" w14:textId="77777777" w:rsidR="00000000" w:rsidRDefault="00A173A8">
            <w:pPr>
              <w:spacing w:after="100"/>
              <w:jc w:val="right"/>
              <w:rPr>
                <w:rFonts w:eastAsia="Times New Roman"/>
              </w:rPr>
            </w:pPr>
            <w:r>
              <w:rPr>
                <w:rFonts w:eastAsia="Times New Roman"/>
                <w:b/>
                <w:bCs/>
                <w:color w:val="000000"/>
                <w:sz w:val="18"/>
                <w:szCs w:val="18"/>
              </w:rPr>
              <w:t>7,877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AAFFEE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D3DF6E"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772F593F" w14:textId="77777777" w:rsidR="00000000" w:rsidRDefault="00A173A8">
            <w:pPr>
              <w:spacing w:after="100"/>
              <w:jc w:val="right"/>
              <w:rPr>
                <w:rFonts w:eastAsia="Times New Roman"/>
              </w:rPr>
            </w:pPr>
            <w:r>
              <w:rPr>
                <w:rFonts w:eastAsia="Times New Roman"/>
                <w:b/>
                <w:bCs/>
                <w:color w:val="000000"/>
                <w:sz w:val="18"/>
                <w:szCs w:val="18"/>
              </w:rPr>
              <w:t>4,927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E7FC15E"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62A1A2D"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083B00E6" w14:textId="77777777" w:rsidR="00000000" w:rsidRDefault="00A173A8">
            <w:pPr>
              <w:spacing w:after="100"/>
              <w:jc w:val="right"/>
              <w:rPr>
                <w:rFonts w:eastAsia="Times New Roman"/>
              </w:rPr>
            </w:pPr>
            <w:r>
              <w:rPr>
                <w:rFonts w:eastAsia="Times New Roman"/>
                <w:b/>
                <w:bCs/>
                <w:color w:val="000000"/>
                <w:sz w:val="18"/>
                <w:szCs w:val="18"/>
              </w:rPr>
              <w:t>2,831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9E3525"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269B220"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2BE31565" w14:textId="77777777" w:rsidR="00000000" w:rsidRDefault="00A173A8">
            <w:pPr>
              <w:spacing w:after="100"/>
              <w:jc w:val="right"/>
              <w:rPr>
                <w:rFonts w:eastAsia="Times New Roman"/>
              </w:rPr>
            </w:pPr>
            <w:r>
              <w:rPr>
                <w:rFonts w:eastAsia="Times New Roman"/>
                <w:b/>
                <w:bCs/>
                <w:color w:val="000000"/>
                <w:sz w:val="18"/>
                <w:szCs w:val="18"/>
              </w:rPr>
              <w:t>1,312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B89E22"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297520B"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62336C13" w14:textId="77777777" w:rsidR="00000000" w:rsidRDefault="00A173A8">
            <w:pPr>
              <w:spacing w:after="100"/>
              <w:jc w:val="right"/>
              <w:rPr>
                <w:rFonts w:eastAsia="Times New Roman"/>
              </w:rPr>
            </w:pPr>
            <w:r>
              <w:rPr>
                <w:rFonts w:eastAsia="Times New Roman"/>
                <w:b/>
                <w:bCs/>
                <w:color w:val="000000"/>
                <w:sz w:val="18"/>
                <w:szCs w:val="18"/>
              </w:rPr>
              <w:t>726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9C60D4F"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DF98BEE"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197A0972" w14:textId="77777777" w:rsidR="00000000" w:rsidRDefault="00A173A8">
            <w:pPr>
              <w:spacing w:after="100"/>
              <w:jc w:val="right"/>
              <w:rPr>
                <w:rFonts w:eastAsia="Times New Roman"/>
              </w:rPr>
            </w:pPr>
            <w:r>
              <w:rPr>
                <w:rFonts w:eastAsia="Times New Roman"/>
                <w:b/>
                <w:bCs/>
                <w:color w:val="000000"/>
                <w:sz w:val="18"/>
                <w:szCs w:val="18"/>
              </w:rPr>
              <w:t>22,472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9C9281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4C83D"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79528E9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364805"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075D524"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137E7A2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76210D3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5227D"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79090D11" w14:textId="77777777" w:rsidR="00000000" w:rsidRDefault="00A173A8">
            <w:pPr>
              <w:spacing w:after="100"/>
              <w:jc w:val="right"/>
              <w:rPr>
                <w:rFonts w:eastAsia="Times New Roman"/>
              </w:rPr>
            </w:pPr>
            <w:r>
              <w:rPr>
                <w:rFonts w:eastAsia="Times New Roman"/>
                <w:b/>
                <w:bCs/>
                <w:color w:val="000000"/>
                <w:sz w:val="18"/>
                <w:szCs w:val="18"/>
              </w:rPr>
              <w:t>22,472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B474886" w14:textId="77777777" w:rsidR="00000000" w:rsidRDefault="00A173A8">
            <w:pPr>
              <w:spacing w:after="100"/>
              <w:jc w:val="right"/>
              <w:rPr>
                <w:rFonts w:eastAsia="Times New Roman"/>
              </w:rPr>
            </w:pPr>
          </w:p>
        </w:tc>
      </w:tr>
      <w:tr w:rsidR="00A173A8" w14:paraId="1459373F" w14:textId="77777777">
        <w:trPr>
          <w:gridAfter w:val="26"/>
          <w:divId w:val="459569904"/>
        </w:trPr>
        <w:tc>
          <w:tcPr>
            <w:tcW w:w="0" w:type="auto"/>
            <w:gridSpan w:val="4"/>
            <w:shd w:val="clear" w:color="auto" w:fill="CCEEFF"/>
            <w:tcMar>
              <w:top w:w="30" w:type="dxa"/>
              <w:left w:w="20" w:type="dxa"/>
              <w:bottom w:w="30" w:type="dxa"/>
              <w:right w:w="20" w:type="dxa"/>
            </w:tcMar>
            <w:vAlign w:val="center"/>
            <w:hideMark/>
          </w:tcPr>
          <w:p w14:paraId="6EF1E263" w14:textId="77777777" w:rsidR="00000000" w:rsidRDefault="00A173A8">
            <w:pPr>
              <w:spacing w:after="100"/>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14:paraId="5086D0C6"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5F04097B" w14:textId="77777777" w:rsidR="00000000" w:rsidRDefault="00A173A8">
            <w:pPr>
              <w:spacing w:after="100"/>
              <w:jc w:val="right"/>
              <w:rPr>
                <w:rFonts w:eastAsia="Times New Roman"/>
              </w:rPr>
            </w:pPr>
            <w:r>
              <w:rPr>
                <w:rFonts w:eastAsia="Times New Roman"/>
                <w:b/>
                <w:bCs/>
                <w:color w:val="000000"/>
                <w:sz w:val="18"/>
                <w:szCs w:val="18"/>
              </w:rPr>
              <w:t>20,785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EC8D73"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5FB3F7B" w14:textId="77777777" w:rsidR="00000000" w:rsidRDefault="00A173A8">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center"/>
            <w:hideMark/>
          </w:tcPr>
          <w:p w14:paraId="72BF2F31" w14:textId="77777777" w:rsidR="00000000" w:rsidRDefault="00A173A8">
            <w:pPr>
              <w:spacing w:after="100"/>
              <w:jc w:val="right"/>
              <w:rPr>
                <w:rFonts w:eastAsia="Times New Roman"/>
              </w:rPr>
            </w:pPr>
            <w:r>
              <w:rPr>
                <w:rFonts w:eastAsia="Times New Roman"/>
                <w:b/>
                <w:bCs/>
                <w:color w:val="000000"/>
                <w:sz w:val="18"/>
                <w:szCs w:val="18"/>
              </w:rPr>
              <w:t>31,125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825F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3EBCD" w14:textId="77777777" w:rsidR="00000000" w:rsidRDefault="00A173A8">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center"/>
            <w:hideMark/>
          </w:tcPr>
          <w:p w14:paraId="36F9FF06" w14:textId="77777777" w:rsidR="00000000" w:rsidRDefault="00A173A8">
            <w:pPr>
              <w:spacing w:after="100"/>
              <w:jc w:val="right"/>
              <w:rPr>
                <w:rFonts w:eastAsia="Times New Roman"/>
              </w:rPr>
            </w:pPr>
            <w:r>
              <w:rPr>
                <w:rFonts w:eastAsia="Times New Roman"/>
                <w:b/>
                <w:bCs/>
                <w:color w:val="000000"/>
                <w:sz w:val="18"/>
                <w:szCs w:val="18"/>
              </w:rPr>
              <w:t>14,569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B96412"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640C6AD"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center"/>
            <w:hideMark/>
          </w:tcPr>
          <w:p w14:paraId="2E12C745" w14:textId="77777777" w:rsidR="00000000" w:rsidRDefault="00A173A8">
            <w:pPr>
              <w:spacing w:after="100"/>
              <w:jc w:val="right"/>
              <w:rPr>
                <w:rFonts w:eastAsia="Times New Roman"/>
              </w:rPr>
            </w:pPr>
            <w:r>
              <w:rPr>
                <w:rFonts w:eastAsia="Times New Roman"/>
                <w:b/>
                <w:bCs/>
                <w:color w:val="000000"/>
                <w:sz w:val="18"/>
                <w:szCs w:val="18"/>
              </w:rPr>
              <w:t>7,916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73759D"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573CFD1" w14:textId="77777777" w:rsidR="00000000" w:rsidRDefault="00A173A8">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center"/>
            <w:hideMark/>
          </w:tcPr>
          <w:p w14:paraId="26F85F37" w14:textId="77777777" w:rsidR="00000000" w:rsidRDefault="00A173A8">
            <w:pPr>
              <w:spacing w:after="100"/>
              <w:jc w:val="right"/>
              <w:rPr>
                <w:rFonts w:eastAsia="Times New Roman"/>
              </w:rPr>
            </w:pPr>
            <w:r>
              <w:rPr>
                <w:rFonts w:eastAsia="Times New Roman"/>
                <w:b/>
                <w:bCs/>
                <w:color w:val="000000"/>
                <w:sz w:val="18"/>
                <w:szCs w:val="18"/>
              </w:rPr>
              <w:t>3,684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69961A"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AB0241B"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026616A6" w14:textId="77777777" w:rsidR="00000000" w:rsidRDefault="00A173A8">
            <w:pPr>
              <w:spacing w:after="100"/>
              <w:jc w:val="right"/>
              <w:rPr>
                <w:rFonts w:eastAsia="Times New Roman"/>
              </w:rPr>
            </w:pPr>
            <w:r>
              <w:rPr>
                <w:rFonts w:eastAsia="Times New Roman"/>
                <w:b/>
                <w:bCs/>
                <w:color w:val="000000"/>
                <w:sz w:val="18"/>
                <w:szCs w:val="18"/>
              </w:rPr>
              <w:t>1,847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7F94EE"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68131E6" w14:textId="77777777" w:rsidR="00000000" w:rsidRDefault="00A173A8">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14:paraId="15642152" w14:textId="77777777" w:rsidR="00000000" w:rsidRDefault="00A173A8">
            <w:pPr>
              <w:spacing w:after="100"/>
              <w:jc w:val="right"/>
              <w:rPr>
                <w:rFonts w:eastAsia="Times New Roman"/>
              </w:rPr>
            </w:pPr>
            <w:r>
              <w:rPr>
                <w:rFonts w:eastAsia="Times New Roman"/>
                <w:b/>
                <w:bCs/>
                <w:color w:val="000000"/>
                <w:sz w:val="18"/>
                <w:szCs w:val="18"/>
              </w:rPr>
              <w:t>79,926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5EF55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F61CE8" w14:textId="77777777" w:rsidR="00000000" w:rsidRDefault="00A173A8">
            <w:pPr>
              <w:spacing w:after="100"/>
              <w:jc w:val="right"/>
              <w:rPr>
                <w:rFonts w:eastAsia="Times New Roman"/>
                <w:sz w:val="20"/>
                <w:szCs w:val="20"/>
              </w:rPr>
            </w:pPr>
          </w:p>
        </w:tc>
        <w:tc>
          <w:tcPr>
            <w:tcW w:w="0" w:type="auto"/>
            <w:gridSpan w:val="6"/>
            <w:tcBorders>
              <w:top w:val="single" w:sz="8" w:space="0" w:color="000000"/>
            </w:tcBorders>
            <w:shd w:val="clear" w:color="auto" w:fill="CCEEFF"/>
            <w:tcMar>
              <w:top w:w="30" w:type="dxa"/>
              <w:left w:w="20" w:type="dxa"/>
              <w:bottom w:w="30" w:type="dxa"/>
              <w:right w:w="0" w:type="dxa"/>
            </w:tcMar>
            <w:vAlign w:val="center"/>
            <w:hideMark/>
          </w:tcPr>
          <w:p w14:paraId="42BFF37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EC919F"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69B55BC"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1034C00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center"/>
            <w:hideMark/>
          </w:tcPr>
          <w:p w14:paraId="52B77EE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8BF36D" w14:textId="77777777" w:rsidR="00000000" w:rsidRDefault="00A173A8">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center"/>
            <w:hideMark/>
          </w:tcPr>
          <w:p w14:paraId="68068D70" w14:textId="77777777" w:rsidR="00000000" w:rsidRDefault="00A173A8">
            <w:pPr>
              <w:spacing w:after="100"/>
              <w:jc w:val="right"/>
              <w:rPr>
                <w:rFonts w:eastAsia="Times New Roman"/>
              </w:rPr>
            </w:pPr>
            <w:r>
              <w:rPr>
                <w:rFonts w:eastAsia="Times New Roman"/>
                <w:b/>
                <w:bCs/>
                <w:color w:val="000000"/>
                <w:sz w:val="18"/>
                <w:szCs w:val="18"/>
              </w:rPr>
              <w:t>79,926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6CF0A8" w14:textId="77777777" w:rsidR="00000000" w:rsidRDefault="00A173A8">
            <w:pPr>
              <w:spacing w:after="100"/>
              <w:jc w:val="right"/>
              <w:rPr>
                <w:rFonts w:eastAsia="Times New Roman"/>
              </w:rPr>
            </w:pPr>
          </w:p>
        </w:tc>
      </w:tr>
      <w:tr w:rsidR="00000000" w14:paraId="24758EBA" w14:textId="77777777">
        <w:trPr>
          <w:gridAfter w:val="26"/>
          <w:divId w:val="459569904"/>
          <w:trHeight w:val="280"/>
        </w:trPr>
        <w:tc>
          <w:tcPr>
            <w:tcW w:w="0" w:type="auto"/>
            <w:gridSpan w:val="4"/>
            <w:shd w:val="clear" w:color="auto" w:fill="FFFFFF"/>
            <w:tcMar>
              <w:top w:w="0" w:type="dxa"/>
              <w:left w:w="20" w:type="dxa"/>
              <w:bottom w:w="0" w:type="dxa"/>
              <w:right w:w="20" w:type="dxa"/>
            </w:tcMar>
            <w:vAlign w:val="center"/>
            <w:hideMark/>
          </w:tcPr>
          <w:p w14:paraId="3DA93A0A"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24566B"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14:paraId="2D1416F9"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6C20899" w14:textId="77777777" w:rsidR="00000000" w:rsidRDefault="00A173A8">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14:paraId="0CD0D3F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6154DF" w14:textId="77777777" w:rsidR="00000000" w:rsidRDefault="00A173A8">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14:paraId="2B01BF30"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D10558C"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FFFFFF"/>
            <w:tcMar>
              <w:top w:w="0" w:type="dxa"/>
              <w:left w:w="20" w:type="dxa"/>
              <w:bottom w:w="0" w:type="dxa"/>
              <w:right w:w="20" w:type="dxa"/>
            </w:tcMar>
            <w:vAlign w:val="center"/>
            <w:hideMark/>
          </w:tcPr>
          <w:p w14:paraId="76AED624"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2C5A0DB4" w14:textId="77777777" w:rsidR="00000000" w:rsidRDefault="00A173A8">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14:paraId="15CC7827"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602A27C3" w14:textId="77777777" w:rsidR="00000000" w:rsidRDefault="00A173A8">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14:paraId="4C445B80"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5771A68" w14:textId="77777777" w:rsidR="00000000" w:rsidRDefault="00A173A8">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14:paraId="753D10F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C110C6" w14:textId="77777777" w:rsidR="00000000" w:rsidRDefault="00A173A8">
            <w:pPr>
              <w:spacing w:after="100"/>
              <w:rPr>
                <w:rFonts w:eastAsia="Times New Roman"/>
                <w:sz w:val="20"/>
                <w:szCs w:val="20"/>
              </w:rPr>
            </w:pPr>
          </w:p>
        </w:tc>
        <w:tc>
          <w:tcPr>
            <w:tcW w:w="0" w:type="auto"/>
            <w:gridSpan w:val="7"/>
            <w:tcBorders>
              <w:top w:val="single" w:sz="8" w:space="0" w:color="000000"/>
            </w:tcBorders>
            <w:shd w:val="clear" w:color="auto" w:fill="FFFFFF"/>
            <w:tcMar>
              <w:top w:w="0" w:type="dxa"/>
              <w:left w:w="20" w:type="dxa"/>
              <w:bottom w:w="0" w:type="dxa"/>
              <w:right w:w="20" w:type="dxa"/>
            </w:tcMar>
            <w:vAlign w:val="center"/>
            <w:hideMark/>
          </w:tcPr>
          <w:p w14:paraId="03AD6090"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2D5E259E" w14:textId="77777777" w:rsidR="00000000" w:rsidRDefault="00A173A8">
            <w:pPr>
              <w:spacing w:after="100"/>
              <w:rPr>
                <w:rFonts w:eastAsia="Times New Roman"/>
                <w:sz w:val="20"/>
                <w:szCs w:val="20"/>
              </w:rPr>
            </w:pPr>
          </w:p>
        </w:tc>
        <w:tc>
          <w:tcPr>
            <w:tcW w:w="0" w:type="auto"/>
            <w:gridSpan w:val="6"/>
            <w:tcBorders>
              <w:top w:val="single" w:sz="8" w:space="0" w:color="000000"/>
            </w:tcBorders>
            <w:shd w:val="clear" w:color="auto" w:fill="FFFFFF"/>
            <w:tcMar>
              <w:top w:w="0" w:type="dxa"/>
              <w:left w:w="20" w:type="dxa"/>
              <w:bottom w:w="0" w:type="dxa"/>
              <w:right w:w="20" w:type="dxa"/>
            </w:tcMar>
            <w:vAlign w:val="center"/>
            <w:hideMark/>
          </w:tcPr>
          <w:p w14:paraId="0FD5E5C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DDEDA6" w14:textId="77777777" w:rsidR="00000000" w:rsidRDefault="00A173A8">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14:paraId="2BF2BCAB" w14:textId="77777777" w:rsidR="00000000" w:rsidRDefault="00A173A8">
            <w:pPr>
              <w:spacing w:after="100"/>
              <w:rPr>
                <w:rFonts w:eastAsia="Times New Roman"/>
                <w:sz w:val="20"/>
                <w:szCs w:val="20"/>
              </w:rPr>
            </w:pPr>
          </w:p>
        </w:tc>
        <w:tc>
          <w:tcPr>
            <w:tcW w:w="0" w:type="auto"/>
            <w:vAlign w:val="center"/>
            <w:hideMark/>
          </w:tcPr>
          <w:p w14:paraId="1A3CAAEA" w14:textId="77777777" w:rsidR="00000000" w:rsidRDefault="00A173A8">
            <w:pPr>
              <w:spacing w:after="100"/>
              <w:rPr>
                <w:rFonts w:eastAsia="Times New Roman"/>
                <w:sz w:val="20"/>
                <w:szCs w:val="20"/>
              </w:rPr>
            </w:pPr>
          </w:p>
        </w:tc>
      </w:tr>
      <w:tr w:rsidR="00000000" w14:paraId="4280B077" w14:textId="77777777">
        <w:trPr>
          <w:gridAfter w:val="26"/>
          <w:divId w:val="459569904"/>
        </w:trPr>
        <w:tc>
          <w:tcPr>
            <w:tcW w:w="0" w:type="auto"/>
            <w:gridSpan w:val="4"/>
            <w:shd w:val="clear" w:color="auto" w:fill="CCEEFF"/>
            <w:tcMar>
              <w:top w:w="30" w:type="dxa"/>
              <w:left w:w="20" w:type="dxa"/>
              <w:bottom w:w="30" w:type="dxa"/>
              <w:right w:w="20" w:type="dxa"/>
            </w:tcMar>
            <w:vAlign w:val="center"/>
            <w:hideMark/>
          </w:tcPr>
          <w:p w14:paraId="4CF1467E" w14:textId="77777777" w:rsidR="00000000" w:rsidRDefault="00A173A8">
            <w:pPr>
              <w:spacing w:after="100"/>
              <w:rPr>
                <w:rFonts w:eastAsia="Times New Roman"/>
              </w:rPr>
            </w:pPr>
            <w:r>
              <w:rPr>
                <w:rFonts w:eastAsia="Times New Roman"/>
                <w:b/>
                <w:bCs/>
                <w:color w:val="000000"/>
                <w:sz w:val="18"/>
                <w:szCs w:val="18"/>
              </w:rPr>
              <w:t>Retail banking—Delinquency status:</w:t>
            </w:r>
          </w:p>
        </w:tc>
        <w:tc>
          <w:tcPr>
            <w:tcW w:w="0" w:type="auto"/>
            <w:gridSpan w:val="3"/>
            <w:shd w:val="clear" w:color="auto" w:fill="CCEEFF"/>
            <w:tcMar>
              <w:top w:w="0" w:type="dxa"/>
              <w:left w:w="20" w:type="dxa"/>
              <w:bottom w:w="0" w:type="dxa"/>
              <w:right w:w="20" w:type="dxa"/>
            </w:tcMar>
            <w:vAlign w:val="center"/>
            <w:hideMark/>
          </w:tcPr>
          <w:p w14:paraId="5F2A3034" w14:textId="77777777" w:rsidR="00000000" w:rsidRDefault="00A173A8">
            <w:pPr>
              <w:spacing w:after="100"/>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0883253"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3FF8886" w14:textId="77777777" w:rsidR="00000000" w:rsidRDefault="00A173A8">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6D25459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EB5B37" w14:textId="77777777" w:rsidR="00000000" w:rsidRDefault="00A173A8">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65173102"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5C0065F"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2C152E2"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D95A946" w14:textId="77777777" w:rsidR="00000000" w:rsidRDefault="00A173A8">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718BE853"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F5CA8C6" w14:textId="77777777" w:rsidR="00000000" w:rsidRDefault="00A173A8">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40C367B5"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36E51F0" w14:textId="77777777" w:rsidR="00000000" w:rsidRDefault="00A173A8">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5A4A2D1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B0C171" w14:textId="77777777" w:rsidR="00000000" w:rsidRDefault="00A173A8">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19F9F015"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247C1BEA" w14:textId="77777777" w:rsidR="00000000" w:rsidRDefault="00A173A8">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4847A20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1F74A0" w14:textId="77777777" w:rsidR="00000000" w:rsidRDefault="00A173A8">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74CA2405" w14:textId="77777777" w:rsidR="00000000" w:rsidRDefault="00A173A8">
            <w:pPr>
              <w:spacing w:after="100"/>
              <w:rPr>
                <w:rFonts w:eastAsia="Times New Roman"/>
                <w:sz w:val="20"/>
                <w:szCs w:val="20"/>
              </w:rPr>
            </w:pPr>
          </w:p>
        </w:tc>
        <w:tc>
          <w:tcPr>
            <w:tcW w:w="0" w:type="auto"/>
            <w:vAlign w:val="center"/>
            <w:hideMark/>
          </w:tcPr>
          <w:p w14:paraId="09D4C470" w14:textId="77777777" w:rsidR="00000000" w:rsidRDefault="00A173A8">
            <w:pPr>
              <w:spacing w:after="100"/>
              <w:rPr>
                <w:rFonts w:eastAsia="Times New Roman"/>
                <w:sz w:val="20"/>
                <w:szCs w:val="20"/>
              </w:rPr>
            </w:pPr>
          </w:p>
        </w:tc>
      </w:tr>
      <w:tr w:rsidR="00A173A8" w14:paraId="31992058" w14:textId="77777777">
        <w:trPr>
          <w:gridAfter w:val="26"/>
          <w:divId w:val="459569904"/>
        </w:trPr>
        <w:tc>
          <w:tcPr>
            <w:tcW w:w="0" w:type="auto"/>
            <w:gridSpan w:val="4"/>
            <w:shd w:val="clear" w:color="auto" w:fill="FFFFFF"/>
            <w:tcMar>
              <w:top w:w="30" w:type="dxa"/>
              <w:left w:w="380" w:type="dxa"/>
              <w:bottom w:w="30" w:type="dxa"/>
              <w:right w:w="20" w:type="dxa"/>
            </w:tcMar>
            <w:vAlign w:val="center"/>
            <w:hideMark/>
          </w:tcPr>
          <w:p w14:paraId="5DFE8C69" w14:textId="77777777" w:rsidR="00000000" w:rsidRDefault="00A173A8">
            <w:pPr>
              <w:spacing w:after="100"/>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14:paraId="095D876B"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0" w:type="dxa"/>
            </w:tcMar>
            <w:vAlign w:val="center"/>
            <w:hideMark/>
          </w:tcPr>
          <w:p w14:paraId="6420BD3B" w14:textId="77777777" w:rsidR="00000000" w:rsidRDefault="00A173A8">
            <w:pPr>
              <w:spacing w:after="100"/>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7086476"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7802EF83"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23AB5CF8" w14:textId="77777777" w:rsidR="00000000" w:rsidRDefault="00A173A8">
            <w:pPr>
              <w:spacing w:after="100"/>
              <w:jc w:val="right"/>
              <w:rPr>
                <w:rFonts w:eastAsia="Times New Roman"/>
              </w:rPr>
            </w:pPr>
            <w:r>
              <w:rPr>
                <w:rFonts w:eastAsia="Times New Roman"/>
                <w:b/>
                <w:bCs/>
                <w:color w:val="000000"/>
                <w:sz w:val="18"/>
                <w:szCs w:val="18"/>
              </w:rPr>
              <w:t>173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1A4A9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D75E7"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1890E4FB" w14:textId="77777777" w:rsidR="00000000" w:rsidRDefault="00A173A8">
            <w:pPr>
              <w:spacing w:after="100"/>
              <w:jc w:val="right"/>
              <w:rPr>
                <w:rFonts w:eastAsia="Times New Roman"/>
              </w:rPr>
            </w:pPr>
            <w:r>
              <w:rPr>
                <w:rFonts w:eastAsia="Times New Roman"/>
                <w:b/>
                <w:bCs/>
                <w:color w:val="000000"/>
                <w:sz w:val="18"/>
                <w:szCs w:val="18"/>
              </w:rPr>
              <w:t>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AD2CAC"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3976F41"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7393EB9C" w14:textId="77777777" w:rsidR="00000000" w:rsidRDefault="00A173A8">
            <w:pPr>
              <w:spacing w:after="100"/>
              <w:jc w:val="right"/>
              <w:rPr>
                <w:rFonts w:eastAsia="Times New Roman"/>
              </w:rPr>
            </w:pPr>
            <w:r>
              <w:rPr>
                <w:rFonts w:eastAsia="Times New Roman"/>
                <w:b/>
                <w:bCs/>
                <w:color w:val="000000"/>
                <w:sz w:val="18"/>
                <w:szCs w:val="18"/>
              </w:rPr>
              <w:t>150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C2C3D9"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6E01F32"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7F197FF3" w14:textId="77777777" w:rsidR="00000000" w:rsidRDefault="00A173A8">
            <w:pPr>
              <w:spacing w:after="100"/>
              <w:jc w:val="right"/>
              <w:rPr>
                <w:rFonts w:eastAsia="Times New Roman"/>
              </w:rPr>
            </w:pPr>
            <w:r>
              <w:rPr>
                <w:rFonts w:eastAsia="Times New Roman"/>
                <w:b/>
                <w:bCs/>
                <w:color w:val="000000"/>
                <w:sz w:val="18"/>
                <w:szCs w:val="18"/>
              </w:rPr>
              <w:t>141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04E95BA"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1D2AB35"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79FED14A" w14:textId="77777777" w:rsidR="00000000" w:rsidRDefault="00A173A8">
            <w:pPr>
              <w:spacing w:after="100"/>
              <w:jc w:val="right"/>
              <w:rPr>
                <w:rFonts w:eastAsia="Times New Roman"/>
              </w:rPr>
            </w:pPr>
            <w:r>
              <w:rPr>
                <w:rFonts w:eastAsia="Times New Roman"/>
                <w:b/>
                <w:bCs/>
                <w:color w:val="000000"/>
                <w:sz w:val="18"/>
                <w:szCs w:val="18"/>
              </w:rPr>
              <w:t>555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FAFF733"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CAB27FB"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2D29BAD3" w14:textId="77777777" w:rsidR="00000000" w:rsidRDefault="00A173A8">
            <w:pPr>
              <w:spacing w:after="100"/>
              <w:jc w:val="right"/>
              <w:rPr>
                <w:rFonts w:eastAsia="Times New Roman"/>
              </w:rPr>
            </w:pPr>
            <w:r>
              <w:rPr>
                <w:rFonts w:eastAsia="Times New Roman"/>
                <w:b/>
                <w:bCs/>
                <w:color w:val="000000"/>
                <w:sz w:val="18"/>
                <w:szCs w:val="18"/>
              </w:rPr>
              <w:t>1,244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F1070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81B66"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552FC8D5" w14:textId="77777777" w:rsidR="00000000" w:rsidRDefault="00A173A8">
            <w:pPr>
              <w:spacing w:after="100"/>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53876BC"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22FDE98"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017B2DF6" w14:textId="77777777" w:rsidR="00000000" w:rsidRDefault="00A173A8">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6D9EE7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1F048"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250BA1CC" w14:textId="77777777" w:rsidR="00000000" w:rsidRDefault="00A173A8">
            <w:pPr>
              <w:spacing w:after="100"/>
              <w:jc w:val="right"/>
              <w:rPr>
                <w:rFonts w:eastAsia="Times New Roman"/>
              </w:rPr>
            </w:pPr>
            <w:r>
              <w:rPr>
                <w:rFonts w:eastAsia="Times New Roman"/>
                <w:b/>
                <w:bCs/>
                <w:color w:val="000000"/>
                <w:sz w:val="18"/>
                <w:szCs w:val="18"/>
              </w:rPr>
              <w:t>1,576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A4AC5F5" w14:textId="77777777" w:rsidR="00000000" w:rsidRDefault="00A173A8">
            <w:pPr>
              <w:spacing w:after="100"/>
              <w:jc w:val="right"/>
              <w:rPr>
                <w:rFonts w:eastAsia="Times New Roman"/>
              </w:rPr>
            </w:pPr>
          </w:p>
        </w:tc>
      </w:tr>
      <w:tr w:rsidR="00A173A8" w14:paraId="7724F892" w14:textId="77777777">
        <w:trPr>
          <w:gridAfter w:val="26"/>
          <w:divId w:val="459569904"/>
        </w:trPr>
        <w:tc>
          <w:tcPr>
            <w:tcW w:w="0" w:type="auto"/>
            <w:gridSpan w:val="4"/>
            <w:shd w:val="clear" w:color="auto" w:fill="CCEEFF"/>
            <w:tcMar>
              <w:top w:w="30" w:type="dxa"/>
              <w:left w:w="380" w:type="dxa"/>
              <w:bottom w:w="30" w:type="dxa"/>
              <w:right w:w="20" w:type="dxa"/>
            </w:tcMar>
            <w:vAlign w:val="center"/>
            <w:hideMark/>
          </w:tcPr>
          <w:p w14:paraId="5A7AAFBA" w14:textId="77777777" w:rsidR="00000000" w:rsidRDefault="00A173A8">
            <w:pPr>
              <w:spacing w:after="100"/>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14:paraId="2FB451A8"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0" w:type="dxa"/>
            </w:tcMar>
            <w:vAlign w:val="center"/>
            <w:hideMark/>
          </w:tcPr>
          <w:p w14:paraId="33AD60C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D6604AA"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DCDAFD8"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06DFD34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3B819B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0392E"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615E8B8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31B9084"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383BC98"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7FE6E63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1BACE4"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8C4950C"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6896CE9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C815464"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88F8E19"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064AFBAD"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5A5BDDE"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271B2F5"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1EEB3B85"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15720F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98F17C"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center"/>
            <w:hideMark/>
          </w:tcPr>
          <w:p w14:paraId="7474F3A4" w14:textId="77777777" w:rsidR="00000000" w:rsidRDefault="00A173A8">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5B3D35D"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EC06922"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568E08B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21F1BD6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D1A73"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center"/>
            <w:hideMark/>
          </w:tcPr>
          <w:p w14:paraId="75EC806C" w14:textId="77777777" w:rsidR="00000000" w:rsidRDefault="00A173A8">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D07967D" w14:textId="77777777" w:rsidR="00000000" w:rsidRDefault="00A173A8">
            <w:pPr>
              <w:spacing w:after="100"/>
              <w:jc w:val="right"/>
              <w:rPr>
                <w:rFonts w:eastAsia="Times New Roman"/>
              </w:rPr>
            </w:pPr>
          </w:p>
        </w:tc>
      </w:tr>
      <w:tr w:rsidR="00A173A8" w14:paraId="56633DEA" w14:textId="77777777">
        <w:trPr>
          <w:gridAfter w:val="26"/>
          <w:divId w:val="459569904"/>
        </w:trPr>
        <w:tc>
          <w:tcPr>
            <w:tcW w:w="0" w:type="auto"/>
            <w:gridSpan w:val="4"/>
            <w:shd w:val="clear" w:color="auto" w:fill="FFFFFF"/>
            <w:tcMar>
              <w:top w:w="30" w:type="dxa"/>
              <w:left w:w="380" w:type="dxa"/>
              <w:bottom w:w="30" w:type="dxa"/>
              <w:right w:w="20" w:type="dxa"/>
            </w:tcMar>
            <w:vAlign w:val="center"/>
            <w:hideMark/>
          </w:tcPr>
          <w:p w14:paraId="6060FDF6" w14:textId="77777777" w:rsidR="00000000" w:rsidRDefault="00A173A8">
            <w:pPr>
              <w:spacing w:after="100"/>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14:paraId="03FBA934"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0" w:type="dxa"/>
            </w:tcMar>
            <w:vAlign w:val="center"/>
            <w:hideMark/>
          </w:tcPr>
          <w:p w14:paraId="6896D36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D391A5D"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2B55CF8"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52BC613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FEB8ED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3CFF5"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1ADDBB8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6FF57F"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D29DF9B"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3A74085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06FB816"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8F5E15C"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7BD3573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C4EBA8"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E918BC9"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50AC6C5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C45884"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4846172"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459B33AC"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E1A357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82B461"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center"/>
            <w:hideMark/>
          </w:tcPr>
          <w:p w14:paraId="774EE173"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82BEE7E"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8691909"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32F2502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14F8BE0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9E1929"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center"/>
            <w:hideMark/>
          </w:tcPr>
          <w:p w14:paraId="3D3809D8"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9DE760B" w14:textId="77777777" w:rsidR="00000000" w:rsidRDefault="00A173A8">
            <w:pPr>
              <w:spacing w:after="100"/>
              <w:jc w:val="right"/>
              <w:rPr>
                <w:rFonts w:eastAsia="Times New Roman"/>
              </w:rPr>
            </w:pPr>
          </w:p>
        </w:tc>
      </w:tr>
      <w:tr w:rsidR="00A173A8" w14:paraId="7CB56203" w14:textId="77777777">
        <w:trPr>
          <w:gridAfter w:val="26"/>
          <w:divId w:val="459569904"/>
        </w:trPr>
        <w:tc>
          <w:tcPr>
            <w:tcW w:w="0" w:type="auto"/>
            <w:gridSpan w:val="4"/>
            <w:shd w:val="clear" w:color="auto" w:fill="CCEEFF"/>
            <w:tcMar>
              <w:top w:w="30" w:type="dxa"/>
              <w:left w:w="380" w:type="dxa"/>
              <w:bottom w:w="30" w:type="dxa"/>
              <w:right w:w="20" w:type="dxa"/>
            </w:tcMar>
            <w:vAlign w:val="center"/>
            <w:hideMark/>
          </w:tcPr>
          <w:p w14:paraId="384B2382" w14:textId="77777777" w:rsidR="00000000" w:rsidRDefault="00A173A8">
            <w:pPr>
              <w:spacing w:after="100"/>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14:paraId="359E027A"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0" w:type="dxa"/>
            </w:tcMar>
            <w:vAlign w:val="bottom"/>
            <w:hideMark/>
          </w:tcPr>
          <w:p w14:paraId="09D1CA6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4EA137"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38BA5FA"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4F6B505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2F628C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7D202"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2D905D89"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6611D33"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6A9EB7F"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5FBC22E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94DC5A"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CD64502"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63222F2C" w14:textId="77777777" w:rsidR="00000000" w:rsidRDefault="00A173A8">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7895D5"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A18E6F7"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286182B9" w14:textId="77777777" w:rsidR="00000000" w:rsidRDefault="00A173A8">
            <w:pPr>
              <w:spacing w:after="100"/>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E0C9C0"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DA89CB9"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891341B" w14:textId="77777777" w:rsidR="00000000" w:rsidRDefault="00A173A8">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588D3E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368542"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0FA3193C"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F0BC79E"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1F5FAC7"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54A259DE"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735E6E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6937F"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4515186C" w14:textId="77777777" w:rsidR="00000000" w:rsidRDefault="00A173A8">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56C44B" w14:textId="77777777" w:rsidR="00000000" w:rsidRDefault="00A173A8">
            <w:pPr>
              <w:spacing w:after="100"/>
              <w:jc w:val="right"/>
              <w:rPr>
                <w:rFonts w:eastAsia="Times New Roman"/>
              </w:rPr>
            </w:pPr>
          </w:p>
        </w:tc>
      </w:tr>
      <w:tr w:rsidR="00A173A8" w14:paraId="231D7E4B" w14:textId="77777777">
        <w:trPr>
          <w:gridAfter w:val="26"/>
          <w:divId w:val="459569904"/>
        </w:trPr>
        <w:tc>
          <w:tcPr>
            <w:tcW w:w="0" w:type="auto"/>
            <w:gridSpan w:val="4"/>
            <w:shd w:val="clear" w:color="auto" w:fill="FFFFFF"/>
            <w:tcMar>
              <w:top w:w="30" w:type="dxa"/>
              <w:left w:w="20" w:type="dxa"/>
              <w:bottom w:w="30" w:type="dxa"/>
              <w:right w:w="20" w:type="dxa"/>
            </w:tcMar>
            <w:vAlign w:val="center"/>
            <w:hideMark/>
          </w:tcPr>
          <w:p w14:paraId="557DF517" w14:textId="77777777" w:rsidR="00000000" w:rsidRDefault="00A173A8">
            <w:pPr>
              <w:spacing w:after="100"/>
              <w:divId w:val="365326974"/>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C3051B0"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44BAC114" w14:textId="77777777" w:rsidR="00000000" w:rsidRDefault="00A173A8">
            <w:pPr>
              <w:spacing w:after="100"/>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8DE492"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D8699BF" w14:textId="77777777" w:rsidR="00000000" w:rsidRDefault="00A173A8">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4FC4ECA8" w14:textId="77777777" w:rsidR="00000000" w:rsidRDefault="00A173A8">
            <w:pPr>
              <w:spacing w:after="100"/>
              <w:jc w:val="right"/>
              <w:rPr>
                <w:rFonts w:eastAsia="Times New Roman"/>
              </w:rPr>
            </w:pPr>
            <w:r>
              <w:rPr>
                <w:rFonts w:eastAsia="Times New Roman"/>
                <w:b/>
                <w:bCs/>
                <w:color w:val="000000"/>
                <w:sz w:val="18"/>
                <w:szCs w:val="18"/>
              </w:rPr>
              <w:t>173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B7D2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A3B66" w14:textId="77777777" w:rsidR="00000000" w:rsidRDefault="00A173A8">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046577E6" w14:textId="77777777" w:rsidR="00000000" w:rsidRDefault="00A173A8">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B55CBD"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FB3A29E"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497246B6" w14:textId="77777777" w:rsidR="00000000" w:rsidRDefault="00A173A8">
            <w:pPr>
              <w:spacing w:after="100"/>
              <w:jc w:val="right"/>
              <w:rPr>
                <w:rFonts w:eastAsia="Times New Roman"/>
              </w:rPr>
            </w:pPr>
            <w:r>
              <w:rPr>
                <w:rFonts w:eastAsia="Times New Roman"/>
                <w:b/>
                <w:bCs/>
                <w:color w:val="000000"/>
                <w:sz w:val="18"/>
                <w:szCs w:val="18"/>
              </w:rPr>
              <w:t>150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0FA09D"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291817A" w14:textId="77777777" w:rsidR="00000000" w:rsidRDefault="00A173A8">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1320E204" w14:textId="77777777" w:rsidR="00000000" w:rsidRDefault="00A173A8">
            <w:pPr>
              <w:spacing w:after="100"/>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8B6BDF"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2B64199"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34FF6087" w14:textId="77777777" w:rsidR="00000000" w:rsidRDefault="00A173A8">
            <w:pPr>
              <w:spacing w:after="100"/>
              <w:jc w:val="right"/>
              <w:rPr>
                <w:rFonts w:eastAsia="Times New Roman"/>
              </w:rPr>
            </w:pPr>
            <w:r>
              <w:rPr>
                <w:rFonts w:eastAsia="Times New Roman"/>
                <w:b/>
                <w:bCs/>
                <w:color w:val="000000"/>
                <w:sz w:val="18"/>
                <w:szCs w:val="18"/>
              </w:rPr>
              <w:t>565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26DBA2"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1C49F5C" w14:textId="77777777" w:rsidR="00000000" w:rsidRDefault="00A173A8">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0F22472B" w14:textId="77777777" w:rsidR="00000000" w:rsidRDefault="00A173A8">
            <w:pPr>
              <w:spacing w:after="100"/>
              <w:jc w:val="right"/>
              <w:rPr>
                <w:rFonts w:eastAsia="Times New Roman"/>
              </w:rPr>
            </w:pPr>
            <w:r>
              <w:rPr>
                <w:rFonts w:eastAsia="Times New Roman"/>
                <w:b/>
                <w:bCs/>
                <w:color w:val="000000"/>
                <w:sz w:val="18"/>
                <w:szCs w:val="18"/>
              </w:rPr>
              <w:t>1,258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10FFA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DA5DA" w14:textId="77777777" w:rsidR="00000000" w:rsidRDefault="00A173A8">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14:paraId="16408EC3" w14:textId="77777777" w:rsidR="00000000" w:rsidRDefault="00A173A8">
            <w:pPr>
              <w:spacing w:after="100"/>
              <w:jc w:val="right"/>
              <w:rPr>
                <w:rFonts w:eastAsia="Times New Roman"/>
              </w:rPr>
            </w:pPr>
            <w:r>
              <w:rPr>
                <w:rFonts w:eastAsia="Times New Roman"/>
                <w:b/>
                <w:bCs/>
                <w:color w:val="000000"/>
                <w:sz w:val="18"/>
                <w:szCs w:val="18"/>
              </w:rPr>
              <w:t>340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B19E57"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A143EBB"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05B75E95" w14:textId="77777777" w:rsidR="00000000" w:rsidRDefault="00A173A8">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66B43B0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8EDD5" w14:textId="77777777" w:rsidR="00000000" w:rsidRDefault="00A173A8">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14:paraId="27D8D501" w14:textId="77777777" w:rsidR="00000000" w:rsidRDefault="00A173A8">
            <w:pPr>
              <w:spacing w:after="100"/>
              <w:jc w:val="right"/>
              <w:rPr>
                <w:rFonts w:eastAsia="Times New Roman"/>
              </w:rPr>
            </w:pPr>
            <w:r>
              <w:rPr>
                <w:rFonts w:eastAsia="Times New Roman"/>
                <w:b/>
                <w:bCs/>
                <w:color w:val="000000"/>
                <w:sz w:val="18"/>
                <w:szCs w:val="18"/>
              </w:rPr>
              <w:t>1,605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704BEC" w14:textId="77777777" w:rsidR="00000000" w:rsidRDefault="00A173A8">
            <w:pPr>
              <w:spacing w:after="100"/>
              <w:jc w:val="right"/>
              <w:rPr>
                <w:rFonts w:eastAsia="Times New Roman"/>
              </w:rPr>
            </w:pPr>
          </w:p>
        </w:tc>
      </w:tr>
      <w:tr w:rsidR="00A173A8" w14:paraId="6AD7299B" w14:textId="77777777">
        <w:trPr>
          <w:gridAfter w:val="26"/>
          <w:divId w:val="459569904"/>
        </w:trPr>
        <w:tc>
          <w:tcPr>
            <w:tcW w:w="0" w:type="auto"/>
            <w:gridSpan w:val="4"/>
            <w:shd w:val="clear" w:color="auto" w:fill="CCEEFF"/>
            <w:tcMar>
              <w:top w:w="30" w:type="dxa"/>
              <w:left w:w="20" w:type="dxa"/>
              <w:bottom w:w="30" w:type="dxa"/>
              <w:right w:w="20" w:type="dxa"/>
            </w:tcMar>
            <w:vAlign w:val="center"/>
            <w:hideMark/>
          </w:tcPr>
          <w:p w14:paraId="3D82C9C1" w14:textId="77777777" w:rsidR="00000000" w:rsidRDefault="00A173A8">
            <w:pPr>
              <w:spacing w:after="100"/>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14:paraId="5D82C807"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40A95A"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4ADE8B8" w14:textId="77777777" w:rsidR="00000000" w:rsidRDefault="00A173A8">
            <w:pPr>
              <w:spacing w:after="100"/>
              <w:jc w:val="right"/>
              <w:rPr>
                <w:rFonts w:eastAsia="Times New Roman"/>
              </w:rPr>
            </w:pPr>
            <w:r>
              <w:rPr>
                <w:rFonts w:eastAsia="Times New Roman"/>
                <w:b/>
                <w:bCs/>
                <w:color w:val="000000"/>
                <w:sz w:val="18"/>
                <w:szCs w:val="18"/>
              </w:rPr>
              <w:t>20,911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C59A9C"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DC91C40"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4DAB54"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B27475" w14:textId="77777777" w:rsidR="00000000" w:rsidRDefault="00A173A8">
            <w:pPr>
              <w:spacing w:after="100"/>
              <w:jc w:val="right"/>
              <w:rPr>
                <w:rFonts w:eastAsia="Times New Roman"/>
              </w:rPr>
            </w:pPr>
            <w:r>
              <w:rPr>
                <w:rFonts w:eastAsia="Times New Roman"/>
                <w:b/>
                <w:bCs/>
                <w:color w:val="000000"/>
                <w:sz w:val="18"/>
                <w:szCs w:val="18"/>
              </w:rPr>
              <w:t>31,298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2A762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3CB9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A5A796"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1AEF85" w14:textId="77777777" w:rsidR="00000000" w:rsidRDefault="00A173A8">
            <w:pPr>
              <w:spacing w:after="100"/>
              <w:jc w:val="right"/>
              <w:rPr>
                <w:rFonts w:eastAsia="Times New Roman"/>
              </w:rPr>
            </w:pPr>
            <w:r>
              <w:rPr>
                <w:rFonts w:eastAsia="Times New Roman"/>
                <w:b/>
                <w:bCs/>
                <w:color w:val="000000"/>
                <w:sz w:val="18"/>
                <w:szCs w:val="18"/>
              </w:rPr>
              <w:t>14,669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C63ACD6"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6EA80AF"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5785A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AE32FB" w14:textId="77777777" w:rsidR="00000000" w:rsidRDefault="00A173A8">
            <w:pPr>
              <w:spacing w:after="100"/>
              <w:jc w:val="right"/>
              <w:rPr>
                <w:rFonts w:eastAsia="Times New Roman"/>
              </w:rPr>
            </w:pPr>
            <w:r>
              <w:rPr>
                <w:rFonts w:eastAsia="Times New Roman"/>
                <w:b/>
                <w:bCs/>
                <w:color w:val="000000"/>
                <w:sz w:val="18"/>
                <w:szCs w:val="18"/>
              </w:rPr>
              <w:t>8,066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E67137"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D92475D"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C8825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3D2F5A" w14:textId="77777777" w:rsidR="00000000" w:rsidRDefault="00A173A8">
            <w:pPr>
              <w:spacing w:after="100"/>
              <w:jc w:val="right"/>
              <w:rPr>
                <w:rFonts w:eastAsia="Times New Roman"/>
              </w:rPr>
            </w:pPr>
            <w:r>
              <w:rPr>
                <w:rFonts w:eastAsia="Times New Roman"/>
                <w:b/>
                <w:bCs/>
                <w:color w:val="000000"/>
                <w:sz w:val="18"/>
                <w:szCs w:val="18"/>
              </w:rPr>
              <w:t>3,828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4E712D"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5458B14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94BF49"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7B47F6" w14:textId="77777777" w:rsidR="00000000" w:rsidRDefault="00A173A8">
            <w:pPr>
              <w:spacing w:after="100"/>
              <w:jc w:val="right"/>
              <w:rPr>
                <w:rFonts w:eastAsia="Times New Roman"/>
              </w:rPr>
            </w:pPr>
            <w:r>
              <w:rPr>
                <w:rFonts w:eastAsia="Times New Roman"/>
                <w:b/>
                <w:bCs/>
                <w:color w:val="000000"/>
                <w:sz w:val="18"/>
                <w:szCs w:val="18"/>
              </w:rPr>
              <w:t>2,412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84662F"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050ED4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AC3662"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AF02CC" w14:textId="77777777" w:rsidR="00000000" w:rsidRDefault="00A173A8">
            <w:pPr>
              <w:spacing w:after="100"/>
              <w:jc w:val="right"/>
              <w:rPr>
                <w:rFonts w:eastAsia="Times New Roman"/>
              </w:rPr>
            </w:pPr>
            <w:r>
              <w:rPr>
                <w:rFonts w:eastAsia="Times New Roman"/>
                <w:b/>
                <w:bCs/>
                <w:color w:val="000000"/>
                <w:sz w:val="18"/>
                <w:szCs w:val="18"/>
              </w:rPr>
              <w:t>81,184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0B4AF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7AD1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C715A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969584" w14:textId="77777777" w:rsidR="00000000" w:rsidRDefault="00A173A8">
            <w:pPr>
              <w:spacing w:after="100"/>
              <w:jc w:val="right"/>
              <w:rPr>
                <w:rFonts w:eastAsia="Times New Roman"/>
              </w:rPr>
            </w:pPr>
            <w:r>
              <w:rPr>
                <w:rFonts w:eastAsia="Times New Roman"/>
                <w:b/>
                <w:bCs/>
                <w:color w:val="000000"/>
                <w:sz w:val="18"/>
                <w:szCs w:val="18"/>
              </w:rPr>
              <w:t>340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F2A75F"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40BA6C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08F946"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4FF75A" w14:textId="77777777" w:rsidR="00000000" w:rsidRDefault="00A173A8">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D11A8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376EC"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261953"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A6339C" w14:textId="77777777" w:rsidR="00000000" w:rsidRDefault="00A173A8">
            <w:pPr>
              <w:spacing w:after="100"/>
              <w:jc w:val="right"/>
              <w:rPr>
                <w:rFonts w:eastAsia="Times New Roman"/>
              </w:rPr>
            </w:pPr>
            <w:r>
              <w:rPr>
                <w:rFonts w:eastAsia="Times New Roman"/>
                <w:b/>
                <w:bCs/>
                <w:color w:val="000000"/>
                <w:sz w:val="18"/>
                <w:szCs w:val="18"/>
              </w:rPr>
              <w:t>81,531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16B2D2" w14:textId="77777777" w:rsidR="00000000" w:rsidRDefault="00A173A8">
            <w:pPr>
              <w:spacing w:after="100"/>
              <w:jc w:val="right"/>
              <w:rPr>
                <w:rFonts w:eastAsia="Times New Roman"/>
              </w:rPr>
            </w:pPr>
          </w:p>
        </w:tc>
      </w:tr>
      <w:tr w:rsidR="00000000" w14:paraId="3B0A643B" w14:textId="77777777">
        <w:tc>
          <w:tcPr>
            <w:tcW w:w="50" w:type="pct"/>
            <w:gridSpan w:val="2"/>
            <w:vAlign w:val="center"/>
            <w:hideMark/>
          </w:tcPr>
          <w:p w14:paraId="5B64214F" w14:textId="77777777" w:rsidR="00000000" w:rsidRDefault="00A173A8">
            <w:pPr>
              <w:rPr>
                <w:rFonts w:eastAsia="Times New Roman"/>
              </w:rPr>
            </w:pPr>
          </w:p>
        </w:tc>
        <w:tc>
          <w:tcPr>
            <w:tcW w:w="939" w:type="pct"/>
            <w:gridSpan w:val="7"/>
            <w:vAlign w:val="center"/>
            <w:hideMark/>
          </w:tcPr>
          <w:p w14:paraId="2B5EB33C" w14:textId="77777777" w:rsidR="00000000" w:rsidRDefault="00A173A8">
            <w:pPr>
              <w:spacing w:after="100"/>
              <w:rPr>
                <w:rFonts w:eastAsia="Times New Roman"/>
                <w:sz w:val="20"/>
                <w:szCs w:val="20"/>
              </w:rPr>
            </w:pPr>
          </w:p>
        </w:tc>
        <w:tc>
          <w:tcPr>
            <w:tcW w:w="5" w:type="pct"/>
            <w:gridSpan w:val="3"/>
            <w:vAlign w:val="center"/>
            <w:hideMark/>
          </w:tcPr>
          <w:p w14:paraId="6B0ECEF9" w14:textId="77777777" w:rsidR="00000000" w:rsidRDefault="00A173A8">
            <w:pPr>
              <w:spacing w:after="100"/>
              <w:rPr>
                <w:rFonts w:eastAsia="Times New Roman"/>
                <w:sz w:val="20"/>
                <w:szCs w:val="20"/>
              </w:rPr>
            </w:pPr>
          </w:p>
        </w:tc>
        <w:tc>
          <w:tcPr>
            <w:tcW w:w="5" w:type="pct"/>
            <w:gridSpan w:val="4"/>
            <w:vAlign w:val="center"/>
            <w:hideMark/>
          </w:tcPr>
          <w:p w14:paraId="32271FEB" w14:textId="77777777" w:rsidR="00000000" w:rsidRDefault="00A173A8">
            <w:pPr>
              <w:spacing w:after="100"/>
              <w:rPr>
                <w:rFonts w:eastAsia="Times New Roman"/>
                <w:sz w:val="20"/>
                <w:szCs w:val="20"/>
              </w:rPr>
            </w:pPr>
          </w:p>
        </w:tc>
        <w:tc>
          <w:tcPr>
            <w:tcW w:w="26" w:type="pct"/>
            <w:gridSpan w:val="2"/>
            <w:vAlign w:val="center"/>
            <w:hideMark/>
          </w:tcPr>
          <w:p w14:paraId="22003EC8" w14:textId="77777777" w:rsidR="00000000" w:rsidRDefault="00A173A8">
            <w:pPr>
              <w:spacing w:after="100"/>
              <w:rPr>
                <w:rFonts w:eastAsia="Times New Roman"/>
                <w:sz w:val="20"/>
                <w:szCs w:val="20"/>
              </w:rPr>
            </w:pPr>
          </w:p>
        </w:tc>
        <w:tc>
          <w:tcPr>
            <w:tcW w:w="5" w:type="pct"/>
            <w:vAlign w:val="center"/>
            <w:hideMark/>
          </w:tcPr>
          <w:p w14:paraId="7E755246" w14:textId="77777777" w:rsidR="00000000" w:rsidRDefault="00A173A8">
            <w:pPr>
              <w:spacing w:after="100"/>
              <w:rPr>
                <w:rFonts w:eastAsia="Times New Roman"/>
                <w:sz w:val="20"/>
                <w:szCs w:val="20"/>
              </w:rPr>
            </w:pPr>
          </w:p>
        </w:tc>
        <w:tc>
          <w:tcPr>
            <w:tcW w:w="50" w:type="pct"/>
            <w:vAlign w:val="center"/>
            <w:hideMark/>
          </w:tcPr>
          <w:p w14:paraId="75E23C8A" w14:textId="77777777" w:rsidR="00000000" w:rsidRDefault="00A173A8">
            <w:pPr>
              <w:spacing w:after="100"/>
              <w:rPr>
                <w:rFonts w:eastAsia="Times New Roman"/>
                <w:sz w:val="20"/>
                <w:szCs w:val="20"/>
              </w:rPr>
            </w:pPr>
          </w:p>
        </w:tc>
        <w:tc>
          <w:tcPr>
            <w:tcW w:w="295" w:type="pct"/>
            <w:gridSpan w:val="7"/>
            <w:vAlign w:val="center"/>
            <w:hideMark/>
          </w:tcPr>
          <w:p w14:paraId="033976BE" w14:textId="77777777" w:rsidR="00000000" w:rsidRDefault="00A173A8">
            <w:pPr>
              <w:spacing w:after="100"/>
              <w:rPr>
                <w:rFonts w:eastAsia="Times New Roman"/>
                <w:sz w:val="20"/>
                <w:szCs w:val="20"/>
              </w:rPr>
            </w:pPr>
          </w:p>
        </w:tc>
        <w:tc>
          <w:tcPr>
            <w:tcW w:w="5" w:type="pct"/>
            <w:vAlign w:val="center"/>
            <w:hideMark/>
          </w:tcPr>
          <w:p w14:paraId="4E8D0D32" w14:textId="77777777" w:rsidR="00000000" w:rsidRDefault="00A173A8">
            <w:pPr>
              <w:spacing w:after="100"/>
              <w:rPr>
                <w:rFonts w:eastAsia="Times New Roman"/>
                <w:sz w:val="20"/>
                <w:szCs w:val="20"/>
              </w:rPr>
            </w:pPr>
          </w:p>
        </w:tc>
        <w:tc>
          <w:tcPr>
            <w:tcW w:w="5" w:type="pct"/>
            <w:vAlign w:val="center"/>
            <w:hideMark/>
          </w:tcPr>
          <w:p w14:paraId="14401D85" w14:textId="77777777" w:rsidR="00000000" w:rsidRDefault="00A173A8">
            <w:pPr>
              <w:spacing w:after="100"/>
              <w:rPr>
                <w:rFonts w:eastAsia="Times New Roman"/>
                <w:sz w:val="20"/>
                <w:szCs w:val="20"/>
              </w:rPr>
            </w:pPr>
          </w:p>
        </w:tc>
        <w:tc>
          <w:tcPr>
            <w:tcW w:w="26" w:type="pct"/>
            <w:vAlign w:val="center"/>
            <w:hideMark/>
          </w:tcPr>
          <w:p w14:paraId="7AB94670" w14:textId="77777777" w:rsidR="00000000" w:rsidRDefault="00A173A8">
            <w:pPr>
              <w:spacing w:after="100"/>
              <w:rPr>
                <w:rFonts w:eastAsia="Times New Roman"/>
                <w:sz w:val="20"/>
                <w:szCs w:val="20"/>
              </w:rPr>
            </w:pPr>
          </w:p>
        </w:tc>
        <w:tc>
          <w:tcPr>
            <w:tcW w:w="5" w:type="pct"/>
            <w:gridSpan w:val="4"/>
            <w:vAlign w:val="center"/>
            <w:hideMark/>
          </w:tcPr>
          <w:p w14:paraId="30D02FB3" w14:textId="77777777" w:rsidR="00000000" w:rsidRDefault="00A173A8">
            <w:pPr>
              <w:spacing w:after="100"/>
              <w:rPr>
                <w:rFonts w:eastAsia="Times New Roman"/>
                <w:sz w:val="20"/>
                <w:szCs w:val="20"/>
              </w:rPr>
            </w:pPr>
          </w:p>
        </w:tc>
        <w:tc>
          <w:tcPr>
            <w:tcW w:w="50" w:type="pct"/>
            <w:gridSpan w:val="3"/>
            <w:vAlign w:val="center"/>
            <w:hideMark/>
          </w:tcPr>
          <w:p w14:paraId="3DC2A6FE" w14:textId="77777777" w:rsidR="00000000" w:rsidRDefault="00A173A8">
            <w:pPr>
              <w:spacing w:after="100"/>
              <w:rPr>
                <w:rFonts w:eastAsia="Times New Roman"/>
                <w:sz w:val="20"/>
                <w:szCs w:val="20"/>
              </w:rPr>
            </w:pPr>
          </w:p>
        </w:tc>
        <w:tc>
          <w:tcPr>
            <w:tcW w:w="295" w:type="pct"/>
            <w:gridSpan w:val="4"/>
            <w:vAlign w:val="center"/>
            <w:hideMark/>
          </w:tcPr>
          <w:p w14:paraId="6F8D2441" w14:textId="77777777" w:rsidR="00000000" w:rsidRDefault="00A173A8">
            <w:pPr>
              <w:spacing w:after="100"/>
              <w:rPr>
                <w:rFonts w:eastAsia="Times New Roman"/>
                <w:sz w:val="20"/>
                <w:szCs w:val="20"/>
              </w:rPr>
            </w:pPr>
          </w:p>
        </w:tc>
        <w:tc>
          <w:tcPr>
            <w:tcW w:w="5" w:type="pct"/>
            <w:gridSpan w:val="4"/>
            <w:vAlign w:val="center"/>
            <w:hideMark/>
          </w:tcPr>
          <w:p w14:paraId="14B4C47B" w14:textId="77777777" w:rsidR="00000000" w:rsidRDefault="00A173A8">
            <w:pPr>
              <w:spacing w:after="100"/>
              <w:rPr>
                <w:rFonts w:eastAsia="Times New Roman"/>
                <w:sz w:val="20"/>
                <w:szCs w:val="20"/>
              </w:rPr>
            </w:pPr>
          </w:p>
        </w:tc>
        <w:tc>
          <w:tcPr>
            <w:tcW w:w="5" w:type="pct"/>
            <w:gridSpan w:val="2"/>
            <w:vAlign w:val="center"/>
            <w:hideMark/>
          </w:tcPr>
          <w:p w14:paraId="75E267B1" w14:textId="77777777" w:rsidR="00000000" w:rsidRDefault="00A173A8">
            <w:pPr>
              <w:spacing w:after="100"/>
              <w:rPr>
                <w:rFonts w:eastAsia="Times New Roman"/>
                <w:sz w:val="20"/>
                <w:szCs w:val="20"/>
              </w:rPr>
            </w:pPr>
          </w:p>
        </w:tc>
        <w:tc>
          <w:tcPr>
            <w:tcW w:w="26" w:type="pct"/>
            <w:vAlign w:val="center"/>
            <w:hideMark/>
          </w:tcPr>
          <w:p w14:paraId="09B0D64F" w14:textId="77777777" w:rsidR="00000000" w:rsidRDefault="00A173A8">
            <w:pPr>
              <w:spacing w:after="100"/>
              <w:rPr>
                <w:rFonts w:eastAsia="Times New Roman"/>
                <w:sz w:val="20"/>
                <w:szCs w:val="20"/>
              </w:rPr>
            </w:pPr>
          </w:p>
        </w:tc>
        <w:tc>
          <w:tcPr>
            <w:tcW w:w="5" w:type="pct"/>
            <w:vAlign w:val="center"/>
            <w:hideMark/>
          </w:tcPr>
          <w:p w14:paraId="601A427B" w14:textId="77777777" w:rsidR="00000000" w:rsidRDefault="00A173A8">
            <w:pPr>
              <w:spacing w:after="100"/>
              <w:rPr>
                <w:rFonts w:eastAsia="Times New Roman"/>
                <w:sz w:val="20"/>
                <w:szCs w:val="20"/>
              </w:rPr>
            </w:pPr>
          </w:p>
        </w:tc>
        <w:tc>
          <w:tcPr>
            <w:tcW w:w="50" w:type="pct"/>
            <w:gridSpan w:val="3"/>
            <w:vAlign w:val="center"/>
            <w:hideMark/>
          </w:tcPr>
          <w:p w14:paraId="6A7541D9" w14:textId="77777777" w:rsidR="00000000" w:rsidRDefault="00A173A8">
            <w:pPr>
              <w:spacing w:after="100"/>
              <w:rPr>
                <w:rFonts w:eastAsia="Times New Roman"/>
                <w:sz w:val="20"/>
                <w:szCs w:val="20"/>
              </w:rPr>
            </w:pPr>
          </w:p>
        </w:tc>
        <w:tc>
          <w:tcPr>
            <w:tcW w:w="295" w:type="pct"/>
            <w:gridSpan w:val="5"/>
            <w:vAlign w:val="center"/>
            <w:hideMark/>
          </w:tcPr>
          <w:p w14:paraId="2F6C0184" w14:textId="77777777" w:rsidR="00000000" w:rsidRDefault="00A173A8">
            <w:pPr>
              <w:spacing w:after="100"/>
              <w:rPr>
                <w:rFonts w:eastAsia="Times New Roman"/>
                <w:sz w:val="20"/>
                <w:szCs w:val="20"/>
              </w:rPr>
            </w:pPr>
          </w:p>
        </w:tc>
        <w:tc>
          <w:tcPr>
            <w:tcW w:w="5" w:type="pct"/>
            <w:vAlign w:val="center"/>
            <w:hideMark/>
          </w:tcPr>
          <w:p w14:paraId="5D82FD11" w14:textId="77777777" w:rsidR="00000000" w:rsidRDefault="00A173A8">
            <w:pPr>
              <w:spacing w:after="100"/>
              <w:rPr>
                <w:rFonts w:eastAsia="Times New Roman"/>
                <w:sz w:val="20"/>
                <w:szCs w:val="20"/>
              </w:rPr>
            </w:pPr>
          </w:p>
        </w:tc>
        <w:tc>
          <w:tcPr>
            <w:tcW w:w="5" w:type="pct"/>
            <w:gridSpan w:val="5"/>
            <w:vAlign w:val="center"/>
            <w:hideMark/>
          </w:tcPr>
          <w:p w14:paraId="05336665" w14:textId="77777777" w:rsidR="00000000" w:rsidRDefault="00A173A8">
            <w:pPr>
              <w:spacing w:after="100"/>
              <w:rPr>
                <w:rFonts w:eastAsia="Times New Roman"/>
                <w:sz w:val="20"/>
                <w:szCs w:val="20"/>
              </w:rPr>
            </w:pPr>
          </w:p>
        </w:tc>
        <w:tc>
          <w:tcPr>
            <w:tcW w:w="26" w:type="pct"/>
            <w:gridSpan w:val="3"/>
            <w:vAlign w:val="center"/>
            <w:hideMark/>
          </w:tcPr>
          <w:p w14:paraId="1FEBF5C7" w14:textId="77777777" w:rsidR="00000000" w:rsidRDefault="00A173A8">
            <w:pPr>
              <w:spacing w:after="100"/>
              <w:rPr>
                <w:rFonts w:eastAsia="Times New Roman"/>
                <w:sz w:val="20"/>
                <w:szCs w:val="20"/>
              </w:rPr>
            </w:pPr>
          </w:p>
        </w:tc>
        <w:tc>
          <w:tcPr>
            <w:tcW w:w="5" w:type="pct"/>
            <w:vAlign w:val="center"/>
            <w:hideMark/>
          </w:tcPr>
          <w:p w14:paraId="3A4098E7" w14:textId="77777777" w:rsidR="00000000" w:rsidRDefault="00A173A8">
            <w:pPr>
              <w:spacing w:after="100"/>
              <w:rPr>
                <w:rFonts w:eastAsia="Times New Roman"/>
                <w:sz w:val="20"/>
                <w:szCs w:val="20"/>
              </w:rPr>
            </w:pPr>
          </w:p>
        </w:tc>
        <w:tc>
          <w:tcPr>
            <w:tcW w:w="50" w:type="pct"/>
            <w:vAlign w:val="center"/>
            <w:hideMark/>
          </w:tcPr>
          <w:p w14:paraId="5B36A5F1" w14:textId="77777777" w:rsidR="00000000" w:rsidRDefault="00A173A8">
            <w:pPr>
              <w:spacing w:after="100"/>
              <w:rPr>
                <w:rFonts w:eastAsia="Times New Roman"/>
                <w:sz w:val="20"/>
                <w:szCs w:val="20"/>
              </w:rPr>
            </w:pPr>
          </w:p>
        </w:tc>
        <w:tc>
          <w:tcPr>
            <w:tcW w:w="295" w:type="pct"/>
            <w:gridSpan w:val="6"/>
            <w:vAlign w:val="center"/>
            <w:hideMark/>
          </w:tcPr>
          <w:p w14:paraId="5A88E817" w14:textId="77777777" w:rsidR="00000000" w:rsidRDefault="00A173A8">
            <w:pPr>
              <w:spacing w:after="100"/>
              <w:rPr>
                <w:rFonts w:eastAsia="Times New Roman"/>
                <w:sz w:val="20"/>
                <w:szCs w:val="20"/>
              </w:rPr>
            </w:pPr>
          </w:p>
        </w:tc>
        <w:tc>
          <w:tcPr>
            <w:tcW w:w="5" w:type="pct"/>
            <w:vAlign w:val="center"/>
            <w:hideMark/>
          </w:tcPr>
          <w:p w14:paraId="513C9684" w14:textId="77777777" w:rsidR="00000000" w:rsidRDefault="00A173A8">
            <w:pPr>
              <w:spacing w:after="100"/>
              <w:rPr>
                <w:rFonts w:eastAsia="Times New Roman"/>
                <w:sz w:val="20"/>
                <w:szCs w:val="20"/>
              </w:rPr>
            </w:pPr>
          </w:p>
        </w:tc>
        <w:tc>
          <w:tcPr>
            <w:tcW w:w="5" w:type="pct"/>
            <w:vAlign w:val="center"/>
            <w:hideMark/>
          </w:tcPr>
          <w:p w14:paraId="1C672FD4" w14:textId="77777777" w:rsidR="00000000" w:rsidRDefault="00A173A8">
            <w:pPr>
              <w:spacing w:after="100"/>
              <w:rPr>
                <w:rFonts w:eastAsia="Times New Roman"/>
                <w:sz w:val="20"/>
                <w:szCs w:val="20"/>
              </w:rPr>
            </w:pPr>
          </w:p>
        </w:tc>
        <w:tc>
          <w:tcPr>
            <w:tcW w:w="26" w:type="pct"/>
            <w:vAlign w:val="center"/>
            <w:hideMark/>
          </w:tcPr>
          <w:p w14:paraId="3DA2A4BE" w14:textId="77777777" w:rsidR="00000000" w:rsidRDefault="00A173A8">
            <w:pPr>
              <w:spacing w:after="100"/>
              <w:rPr>
                <w:rFonts w:eastAsia="Times New Roman"/>
                <w:sz w:val="20"/>
                <w:szCs w:val="20"/>
              </w:rPr>
            </w:pPr>
          </w:p>
        </w:tc>
        <w:tc>
          <w:tcPr>
            <w:tcW w:w="5" w:type="pct"/>
            <w:vAlign w:val="center"/>
            <w:hideMark/>
          </w:tcPr>
          <w:p w14:paraId="2396E6DD" w14:textId="77777777" w:rsidR="00000000" w:rsidRDefault="00A173A8">
            <w:pPr>
              <w:spacing w:after="100"/>
              <w:rPr>
                <w:rFonts w:eastAsia="Times New Roman"/>
                <w:sz w:val="20"/>
                <w:szCs w:val="20"/>
              </w:rPr>
            </w:pPr>
          </w:p>
        </w:tc>
        <w:tc>
          <w:tcPr>
            <w:tcW w:w="50" w:type="pct"/>
            <w:gridSpan w:val="5"/>
            <w:vAlign w:val="center"/>
            <w:hideMark/>
          </w:tcPr>
          <w:p w14:paraId="6F237DF4" w14:textId="77777777" w:rsidR="00000000" w:rsidRDefault="00A173A8">
            <w:pPr>
              <w:spacing w:after="100"/>
              <w:rPr>
                <w:rFonts w:eastAsia="Times New Roman"/>
                <w:sz w:val="20"/>
                <w:szCs w:val="20"/>
              </w:rPr>
            </w:pPr>
          </w:p>
        </w:tc>
        <w:tc>
          <w:tcPr>
            <w:tcW w:w="295" w:type="pct"/>
            <w:gridSpan w:val="3"/>
            <w:vAlign w:val="center"/>
            <w:hideMark/>
          </w:tcPr>
          <w:p w14:paraId="3FA3F965" w14:textId="77777777" w:rsidR="00000000" w:rsidRDefault="00A173A8">
            <w:pPr>
              <w:spacing w:after="100"/>
              <w:rPr>
                <w:rFonts w:eastAsia="Times New Roman"/>
                <w:sz w:val="20"/>
                <w:szCs w:val="20"/>
              </w:rPr>
            </w:pPr>
          </w:p>
        </w:tc>
        <w:tc>
          <w:tcPr>
            <w:tcW w:w="5" w:type="pct"/>
            <w:vAlign w:val="center"/>
            <w:hideMark/>
          </w:tcPr>
          <w:p w14:paraId="10A365FF" w14:textId="77777777" w:rsidR="00000000" w:rsidRDefault="00A173A8">
            <w:pPr>
              <w:spacing w:after="100"/>
              <w:rPr>
                <w:rFonts w:eastAsia="Times New Roman"/>
                <w:sz w:val="20"/>
                <w:szCs w:val="20"/>
              </w:rPr>
            </w:pPr>
          </w:p>
        </w:tc>
        <w:tc>
          <w:tcPr>
            <w:tcW w:w="5" w:type="pct"/>
            <w:gridSpan w:val="2"/>
            <w:vAlign w:val="center"/>
            <w:hideMark/>
          </w:tcPr>
          <w:p w14:paraId="678C93FE" w14:textId="77777777" w:rsidR="00000000" w:rsidRDefault="00A173A8">
            <w:pPr>
              <w:spacing w:after="100"/>
              <w:rPr>
                <w:rFonts w:eastAsia="Times New Roman"/>
                <w:sz w:val="20"/>
                <w:szCs w:val="20"/>
              </w:rPr>
            </w:pPr>
          </w:p>
        </w:tc>
        <w:tc>
          <w:tcPr>
            <w:tcW w:w="26" w:type="pct"/>
            <w:gridSpan w:val="5"/>
            <w:vAlign w:val="center"/>
            <w:hideMark/>
          </w:tcPr>
          <w:p w14:paraId="1716657F" w14:textId="77777777" w:rsidR="00000000" w:rsidRDefault="00A173A8">
            <w:pPr>
              <w:spacing w:after="100"/>
              <w:rPr>
                <w:rFonts w:eastAsia="Times New Roman"/>
                <w:sz w:val="20"/>
                <w:szCs w:val="20"/>
              </w:rPr>
            </w:pPr>
          </w:p>
        </w:tc>
        <w:tc>
          <w:tcPr>
            <w:tcW w:w="5" w:type="pct"/>
            <w:gridSpan w:val="2"/>
            <w:vAlign w:val="center"/>
            <w:hideMark/>
          </w:tcPr>
          <w:p w14:paraId="51407408" w14:textId="77777777" w:rsidR="00000000" w:rsidRDefault="00A173A8">
            <w:pPr>
              <w:spacing w:after="100"/>
              <w:rPr>
                <w:rFonts w:eastAsia="Times New Roman"/>
                <w:sz w:val="20"/>
                <w:szCs w:val="20"/>
              </w:rPr>
            </w:pPr>
          </w:p>
        </w:tc>
        <w:tc>
          <w:tcPr>
            <w:tcW w:w="50" w:type="pct"/>
            <w:vAlign w:val="center"/>
            <w:hideMark/>
          </w:tcPr>
          <w:p w14:paraId="30B027E8" w14:textId="77777777" w:rsidR="00000000" w:rsidRDefault="00A173A8">
            <w:pPr>
              <w:spacing w:after="100"/>
              <w:rPr>
                <w:rFonts w:eastAsia="Times New Roman"/>
                <w:sz w:val="20"/>
                <w:szCs w:val="20"/>
              </w:rPr>
            </w:pPr>
          </w:p>
        </w:tc>
        <w:tc>
          <w:tcPr>
            <w:tcW w:w="295" w:type="pct"/>
            <w:gridSpan w:val="3"/>
            <w:vAlign w:val="center"/>
            <w:hideMark/>
          </w:tcPr>
          <w:p w14:paraId="70F7B051" w14:textId="77777777" w:rsidR="00000000" w:rsidRDefault="00A173A8">
            <w:pPr>
              <w:spacing w:after="100"/>
              <w:rPr>
                <w:rFonts w:eastAsia="Times New Roman"/>
                <w:sz w:val="20"/>
                <w:szCs w:val="20"/>
              </w:rPr>
            </w:pPr>
          </w:p>
        </w:tc>
        <w:tc>
          <w:tcPr>
            <w:tcW w:w="5" w:type="pct"/>
            <w:vAlign w:val="center"/>
            <w:hideMark/>
          </w:tcPr>
          <w:p w14:paraId="693406BD" w14:textId="77777777" w:rsidR="00000000" w:rsidRDefault="00A173A8">
            <w:pPr>
              <w:spacing w:after="100"/>
              <w:rPr>
                <w:rFonts w:eastAsia="Times New Roman"/>
                <w:sz w:val="20"/>
                <w:szCs w:val="20"/>
              </w:rPr>
            </w:pPr>
          </w:p>
        </w:tc>
        <w:tc>
          <w:tcPr>
            <w:tcW w:w="5" w:type="pct"/>
            <w:vAlign w:val="center"/>
            <w:hideMark/>
          </w:tcPr>
          <w:p w14:paraId="0BF36F7C" w14:textId="77777777" w:rsidR="00000000" w:rsidRDefault="00A173A8">
            <w:pPr>
              <w:spacing w:after="100"/>
              <w:rPr>
                <w:rFonts w:eastAsia="Times New Roman"/>
                <w:sz w:val="20"/>
                <w:szCs w:val="20"/>
              </w:rPr>
            </w:pPr>
          </w:p>
        </w:tc>
        <w:tc>
          <w:tcPr>
            <w:tcW w:w="26" w:type="pct"/>
            <w:vAlign w:val="center"/>
            <w:hideMark/>
          </w:tcPr>
          <w:p w14:paraId="15088DF7" w14:textId="77777777" w:rsidR="00000000" w:rsidRDefault="00A173A8">
            <w:pPr>
              <w:spacing w:after="100"/>
              <w:rPr>
                <w:rFonts w:eastAsia="Times New Roman"/>
                <w:sz w:val="20"/>
                <w:szCs w:val="20"/>
              </w:rPr>
            </w:pPr>
          </w:p>
        </w:tc>
        <w:tc>
          <w:tcPr>
            <w:tcW w:w="5" w:type="pct"/>
            <w:vAlign w:val="center"/>
            <w:hideMark/>
          </w:tcPr>
          <w:p w14:paraId="043AECC3" w14:textId="77777777" w:rsidR="00000000" w:rsidRDefault="00A173A8">
            <w:pPr>
              <w:spacing w:after="100"/>
              <w:rPr>
                <w:rFonts w:eastAsia="Times New Roman"/>
                <w:sz w:val="20"/>
                <w:szCs w:val="20"/>
              </w:rPr>
            </w:pPr>
          </w:p>
        </w:tc>
        <w:tc>
          <w:tcPr>
            <w:tcW w:w="50" w:type="pct"/>
            <w:vAlign w:val="center"/>
            <w:hideMark/>
          </w:tcPr>
          <w:p w14:paraId="6399B8DF" w14:textId="77777777" w:rsidR="00000000" w:rsidRDefault="00A173A8">
            <w:pPr>
              <w:spacing w:after="100"/>
              <w:rPr>
                <w:rFonts w:eastAsia="Times New Roman"/>
                <w:sz w:val="20"/>
                <w:szCs w:val="20"/>
              </w:rPr>
            </w:pPr>
          </w:p>
        </w:tc>
        <w:tc>
          <w:tcPr>
            <w:tcW w:w="295" w:type="pct"/>
            <w:vAlign w:val="center"/>
            <w:hideMark/>
          </w:tcPr>
          <w:p w14:paraId="1B564085" w14:textId="77777777" w:rsidR="00000000" w:rsidRDefault="00A173A8">
            <w:pPr>
              <w:spacing w:after="100"/>
              <w:rPr>
                <w:rFonts w:eastAsia="Times New Roman"/>
                <w:sz w:val="20"/>
                <w:szCs w:val="20"/>
              </w:rPr>
            </w:pPr>
          </w:p>
        </w:tc>
        <w:tc>
          <w:tcPr>
            <w:tcW w:w="5" w:type="pct"/>
            <w:vAlign w:val="center"/>
            <w:hideMark/>
          </w:tcPr>
          <w:p w14:paraId="56F5EB4F" w14:textId="77777777" w:rsidR="00000000" w:rsidRDefault="00A173A8">
            <w:pPr>
              <w:spacing w:after="100"/>
              <w:rPr>
                <w:rFonts w:eastAsia="Times New Roman"/>
                <w:sz w:val="20"/>
                <w:szCs w:val="20"/>
              </w:rPr>
            </w:pPr>
          </w:p>
        </w:tc>
        <w:tc>
          <w:tcPr>
            <w:tcW w:w="5" w:type="pct"/>
            <w:vAlign w:val="center"/>
            <w:hideMark/>
          </w:tcPr>
          <w:p w14:paraId="335109FF" w14:textId="77777777" w:rsidR="00000000" w:rsidRDefault="00A173A8">
            <w:pPr>
              <w:spacing w:after="100"/>
              <w:rPr>
                <w:rFonts w:eastAsia="Times New Roman"/>
                <w:sz w:val="20"/>
                <w:szCs w:val="20"/>
              </w:rPr>
            </w:pPr>
          </w:p>
        </w:tc>
        <w:tc>
          <w:tcPr>
            <w:tcW w:w="26" w:type="pct"/>
            <w:vAlign w:val="center"/>
            <w:hideMark/>
          </w:tcPr>
          <w:p w14:paraId="46F93C60" w14:textId="77777777" w:rsidR="00000000" w:rsidRDefault="00A173A8">
            <w:pPr>
              <w:spacing w:after="100"/>
              <w:rPr>
                <w:rFonts w:eastAsia="Times New Roman"/>
                <w:sz w:val="20"/>
                <w:szCs w:val="20"/>
              </w:rPr>
            </w:pPr>
          </w:p>
        </w:tc>
        <w:tc>
          <w:tcPr>
            <w:tcW w:w="5" w:type="pct"/>
            <w:vAlign w:val="center"/>
            <w:hideMark/>
          </w:tcPr>
          <w:p w14:paraId="628E0651" w14:textId="77777777" w:rsidR="00000000" w:rsidRDefault="00A173A8">
            <w:pPr>
              <w:spacing w:after="100"/>
              <w:rPr>
                <w:rFonts w:eastAsia="Times New Roman"/>
                <w:sz w:val="20"/>
                <w:szCs w:val="20"/>
              </w:rPr>
            </w:pPr>
          </w:p>
        </w:tc>
        <w:tc>
          <w:tcPr>
            <w:tcW w:w="50" w:type="pct"/>
            <w:vAlign w:val="center"/>
            <w:hideMark/>
          </w:tcPr>
          <w:p w14:paraId="7D952A4A" w14:textId="77777777" w:rsidR="00000000" w:rsidRDefault="00A173A8">
            <w:pPr>
              <w:spacing w:after="100"/>
              <w:rPr>
                <w:rFonts w:eastAsia="Times New Roman"/>
                <w:sz w:val="20"/>
                <w:szCs w:val="20"/>
              </w:rPr>
            </w:pPr>
          </w:p>
        </w:tc>
        <w:tc>
          <w:tcPr>
            <w:tcW w:w="317" w:type="pct"/>
            <w:vAlign w:val="center"/>
            <w:hideMark/>
          </w:tcPr>
          <w:p w14:paraId="5E84430E" w14:textId="77777777" w:rsidR="00000000" w:rsidRDefault="00A173A8">
            <w:pPr>
              <w:spacing w:after="100"/>
              <w:rPr>
                <w:rFonts w:eastAsia="Times New Roman"/>
                <w:sz w:val="20"/>
                <w:szCs w:val="20"/>
              </w:rPr>
            </w:pPr>
          </w:p>
        </w:tc>
        <w:tc>
          <w:tcPr>
            <w:tcW w:w="5" w:type="pct"/>
            <w:vAlign w:val="center"/>
            <w:hideMark/>
          </w:tcPr>
          <w:p w14:paraId="130D58C4" w14:textId="77777777" w:rsidR="00000000" w:rsidRDefault="00A173A8">
            <w:pPr>
              <w:spacing w:after="100"/>
              <w:rPr>
                <w:rFonts w:eastAsia="Times New Roman"/>
                <w:sz w:val="20"/>
                <w:szCs w:val="20"/>
              </w:rPr>
            </w:pPr>
          </w:p>
        </w:tc>
        <w:tc>
          <w:tcPr>
            <w:tcW w:w="5" w:type="pct"/>
            <w:vAlign w:val="center"/>
            <w:hideMark/>
          </w:tcPr>
          <w:p w14:paraId="0213012B" w14:textId="77777777" w:rsidR="00000000" w:rsidRDefault="00A173A8">
            <w:pPr>
              <w:spacing w:after="100"/>
              <w:rPr>
                <w:rFonts w:eastAsia="Times New Roman"/>
                <w:sz w:val="20"/>
                <w:szCs w:val="20"/>
              </w:rPr>
            </w:pPr>
          </w:p>
        </w:tc>
        <w:tc>
          <w:tcPr>
            <w:tcW w:w="26" w:type="pct"/>
            <w:vAlign w:val="center"/>
            <w:hideMark/>
          </w:tcPr>
          <w:p w14:paraId="2E20774F" w14:textId="77777777" w:rsidR="00000000" w:rsidRDefault="00A173A8">
            <w:pPr>
              <w:spacing w:after="100"/>
              <w:rPr>
                <w:rFonts w:eastAsia="Times New Roman"/>
                <w:sz w:val="20"/>
                <w:szCs w:val="20"/>
              </w:rPr>
            </w:pPr>
          </w:p>
        </w:tc>
        <w:tc>
          <w:tcPr>
            <w:tcW w:w="5" w:type="pct"/>
            <w:vAlign w:val="center"/>
            <w:hideMark/>
          </w:tcPr>
          <w:p w14:paraId="2E8DDD61" w14:textId="77777777" w:rsidR="00000000" w:rsidRDefault="00A173A8">
            <w:pPr>
              <w:spacing w:after="100"/>
              <w:rPr>
                <w:rFonts w:eastAsia="Times New Roman"/>
                <w:sz w:val="20"/>
                <w:szCs w:val="20"/>
              </w:rPr>
            </w:pPr>
          </w:p>
        </w:tc>
        <w:tc>
          <w:tcPr>
            <w:tcW w:w="50" w:type="pct"/>
            <w:vAlign w:val="center"/>
            <w:hideMark/>
          </w:tcPr>
          <w:p w14:paraId="1372AE41" w14:textId="77777777" w:rsidR="00000000" w:rsidRDefault="00A173A8">
            <w:pPr>
              <w:spacing w:after="100"/>
              <w:rPr>
                <w:rFonts w:eastAsia="Times New Roman"/>
                <w:sz w:val="20"/>
                <w:szCs w:val="20"/>
              </w:rPr>
            </w:pPr>
          </w:p>
        </w:tc>
        <w:tc>
          <w:tcPr>
            <w:tcW w:w="405" w:type="pct"/>
            <w:vAlign w:val="center"/>
            <w:hideMark/>
          </w:tcPr>
          <w:p w14:paraId="3193A930" w14:textId="77777777" w:rsidR="00000000" w:rsidRDefault="00A173A8">
            <w:pPr>
              <w:spacing w:after="100"/>
              <w:rPr>
                <w:rFonts w:eastAsia="Times New Roman"/>
                <w:sz w:val="20"/>
                <w:szCs w:val="20"/>
              </w:rPr>
            </w:pPr>
          </w:p>
        </w:tc>
        <w:tc>
          <w:tcPr>
            <w:tcW w:w="5" w:type="pct"/>
            <w:vAlign w:val="center"/>
            <w:hideMark/>
          </w:tcPr>
          <w:p w14:paraId="08CE6B69" w14:textId="77777777" w:rsidR="00000000" w:rsidRDefault="00A173A8">
            <w:pPr>
              <w:spacing w:after="100"/>
              <w:rPr>
                <w:rFonts w:eastAsia="Times New Roman"/>
                <w:sz w:val="20"/>
                <w:szCs w:val="20"/>
              </w:rPr>
            </w:pPr>
          </w:p>
        </w:tc>
        <w:tc>
          <w:tcPr>
            <w:tcW w:w="5" w:type="pct"/>
            <w:vAlign w:val="center"/>
            <w:hideMark/>
          </w:tcPr>
          <w:p w14:paraId="71FB4DDE" w14:textId="77777777" w:rsidR="00000000" w:rsidRDefault="00A173A8">
            <w:pPr>
              <w:spacing w:after="100"/>
              <w:rPr>
                <w:rFonts w:eastAsia="Times New Roman"/>
                <w:sz w:val="20"/>
                <w:szCs w:val="20"/>
              </w:rPr>
            </w:pPr>
          </w:p>
        </w:tc>
        <w:tc>
          <w:tcPr>
            <w:tcW w:w="26" w:type="pct"/>
            <w:vAlign w:val="center"/>
            <w:hideMark/>
          </w:tcPr>
          <w:p w14:paraId="50E73CBA" w14:textId="77777777" w:rsidR="00000000" w:rsidRDefault="00A173A8">
            <w:pPr>
              <w:spacing w:after="100"/>
              <w:rPr>
                <w:rFonts w:eastAsia="Times New Roman"/>
                <w:sz w:val="20"/>
                <w:szCs w:val="20"/>
              </w:rPr>
            </w:pPr>
          </w:p>
        </w:tc>
        <w:tc>
          <w:tcPr>
            <w:tcW w:w="5" w:type="pct"/>
            <w:vAlign w:val="center"/>
            <w:hideMark/>
          </w:tcPr>
          <w:p w14:paraId="521187CE" w14:textId="77777777" w:rsidR="00000000" w:rsidRDefault="00A173A8">
            <w:pPr>
              <w:spacing w:after="100"/>
              <w:rPr>
                <w:rFonts w:eastAsia="Times New Roman"/>
                <w:sz w:val="20"/>
                <w:szCs w:val="20"/>
              </w:rPr>
            </w:pPr>
          </w:p>
        </w:tc>
        <w:tc>
          <w:tcPr>
            <w:tcW w:w="50" w:type="pct"/>
            <w:vAlign w:val="center"/>
            <w:hideMark/>
          </w:tcPr>
          <w:p w14:paraId="0593DAAF" w14:textId="77777777" w:rsidR="00000000" w:rsidRDefault="00A173A8">
            <w:pPr>
              <w:spacing w:after="100"/>
              <w:rPr>
                <w:rFonts w:eastAsia="Times New Roman"/>
                <w:sz w:val="20"/>
                <w:szCs w:val="20"/>
              </w:rPr>
            </w:pPr>
          </w:p>
        </w:tc>
        <w:tc>
          <w:tcPr>
            <w:tcW w:w="296" w:type="pct"/>
            <w:vAlign w:val="center"/>
            <w:hideMark/>
          </w:tcPr>
          <w:p w14:paraId="14390DD2" w14:textId="77777777" w:rsidR="00000000" w:rsidRDefault="00A173A8">
            <w:pPr>
              <w:spacing w:after="100"/>
              <w:rPr>
                <w:rFonts w:eastAsia="Times New Roman"/>
                <w:sz w:val="20"/>
                <w:szCs w:val="20"/>
              </w:rPr>
            </w:pPr>
          </w:p>
        </w:tc>
        <w:tc>
          <w:tcPr>
            <w:tcW w:w="5" w:type="pct"/>
            <w:vAlign w:val="center"/>
            <w:hideMark/>
          </w:tcPr>
          <w:p w14:paraId="6BD3E523" w14:textId="77777777" w:rsidR="00000000" w:rsidRDefault="00A173A8">
            <w:pPr>
              <w:spacing w:after="100"/>
              <w:rPr>
                <w:rFonts w:eastAsia="Times New Roman"/>
                <w:sz w:val="20"/>
                <w:szCs w:val="20"/>
              </w:rPr>
            </w:pPr>
          </w:p>
        </w:tc>
      </w:tr>
      <w:tr w:rsidR="00000000" w14:paraId="55403787" w14:textId="77777777">
        <w:tc>
          <w:tcPr>
            <w:tcW w:w="0" w:type="auto"/>
            <w:gridSpan w:val="12"/>
            <w:tcMar>
              <w:top w:w="0" w:type="dxa"/>
              <w:left w:w="20" w:type="dxa"/>
              <w:bottom w:w="0" w:type="dxa"/>
              <w:right w:w="20" w:type="dxa"/>
            </w:tcMar>
            <w:vAlign w:val="center"/>
            <w:hideMark/>
          </w:tcPr>
          <w:p w14:paraId="18B3F04C" w14:textId="77777777" w:rsidR="00000000" w:rsidRDefault="00A173A8">
            <w:pPr>
              <w:spacing w:after="100"/>
              <w:rPr>
                <w:rFonts w:eastAsia="Times New Roman"/>
                <w:sz w:val="20"/>
                <w:szCs w:val="20"/>
              </w:rPr>
            </w:pPr>
          </w:p>
        </w:tc>
        <w:tc>
          <w:tcPr>
            <w:tcW w:w="0" w:type="auto"/>
            <w:gridSpan w:val="7"/>
            <w:tcMar>
              <w:top w:w="0" w:type="dxa"/>
              <w:left w:w="20" w:type="dxa"/>
              <w:bottom w:w="0" w:type="dxa"/>
              <w:right w:w="20" w:type="dxa"/>
            </w:tcMar>
            <w:vAlign w:val="center"/>
            <w:hideMark/>
          </w:tcPr>
          <w:p w14:paraId="4A164450" w14:textId="77777777" w:rsidR="00000000" w:rsidRDefault="00A173A8">
            <w:pPr>
              <w:spacing w:after="100"/>
              <w:rPr>
                <w:rFonts w:eastAsia="Times New Roman"/>
                <w:sz w:val="20"/>
                <w:szCs w:val="20"/>
              </w:rPr>
            </w:pPr>
          </w:p>
        </w:tc>
        <w:tc>
          <w:tcPr>
            <w:tcW w:w="0" w:type="auto"/>
            <w:gridSpan w:val="105"/>
            <w:tcMar>
              <w:top w:w="30" w:type="dxa"/>
              <w:left w:w="20" w:type="dxa"/>
              <w:bottom w:w="30" w:type="dxa"/>
              <w:right w:w="20" w:type="dxa"/>
            </w:tcMar>
            <w:vAlign w:val="bottom"/>
            <w:hideMark/>
          </w:tcPr>
          <w:p w14:paraId="53478D73" w14:textId="77777777" w:rsidR="00000000" w:rsidRDefault="00A173A8">
            <w:pPr>
              <w:spacing w:after="100"/>
              <w:jc w:val="center"/>
              <w:rPr>
                <w:rFonts w:eastAsia="Times New Roman"/>
              </w:rPr>
            </w:pPr>
            <w:r>
              <w:rPr>
                <w:rFonts w:eastAsia="Times New Roman"/>
                <w:b/>
                <w:bCs/>
                <w:color w:val="000000"/>
                <w:sz w:val="15"/>
                <w:szCs w:val="15"/>
              </w:rPr>
              <w:t>December 31, 2021</w:t>
            </w:r>
          </w:p>
        </w:tc>
        <w:tc>
          <w:tcPr>
            <w:tcW w:w="0" w:type="auto"/>
            <w:vAlign w:val="center"/>
            <w:hideMark/>
          </w:tcPr>
          <w:p w14:paraId="7B0A4D30" w14:textId="77777777" w:rsidR="00000000" w:rsidRDefault="00A173A8">
            <w:pPr>
              <w:spacing w:after="100"/>
              <w:rPr>
                <w:rFonts w:eastAsia="Times New Roman"/>
                <w:sz w:val="20"/>
                <w:szCs w:val="20"/>
              </w:rPr>
            </w:pPr>
          </w:p>
        </w:tc>
      </w:tr>
      <w:tr w:rsidR="00000000" w14:paraId="1FA634E9" w14:textId="77777777">
        <w:tc>
          <w:tcPr>
            <w:tcW w:w="0" w:type="auto"/>
            <w:gridSpan w:val="12"/>
            <w:tcMar>
              <w:top w:w="0" w:type="dxa"/>
              <w:left w:w="20" w:type="dxa"/>
              <w:bottom w:w="0" w:type="dxa"/>
              <w:right w:w="20" w:type="dxa"/>
            </w:tcMar>
            <w:vAlign w:val="center"/>
            <w:hideMark/>
          </w:tcPr>
          <w:p w14:paraId="1B9F1115" w14:textId="77777777" w:rsidR="00000000" w:rsidRDefault="00A173A8">
            <w:pPr>
              <w:spacing w:after="100"/>
              <w:jc w:val="center"/>
              <w:rPr>
                <w:rFonts w:eastAsia="Times New Roman"/>
              </w:rPr>
            </w:pPr>
          </w:p>
        </w:tc>
        <w:tc>
          <w:tcPr>
            <w:tcW w:w="0" w:type="auto"/>
            <w:gridSpan w:val="7"/>
            <w:tcMar>
              <w:top w:w="0" w:type="dxa"/>
              <w:left w:w="20" w:type="dxa"/>
              <w:bottom w:w="0" w:type="dxa"/>
              <w:right w:w="20" w:type="dxa"/>
            </w:tcMar>
            <w:vAlign w:val="center"/>
            <w:hideMark/>
          </w:tcPr>
          <w:p w14:paraId="405F20B4" w14:textId="77777777" w:rsidR="00000000" w:rsidRDefault="00A173A8">
            <w:pPr>
              <w:spacing w:after="100"/>
              <w:rPr>
                <w:rFonts w:eastAsia="Times New Roman"/>
                <w:sz w:val="20"/>
                <w:szCs w:val="20"/>
              </w:rPr>
            </w:pPr>
          </w:p>
        </w:tc>
        <w:tc>
          <w:tcPr>
            <w:tcW w:w="0" w:type="auto"/>
            <w:gridSpan w:val="88"/>
            <w:tcBorders>
              <w:top w:val="single" w:sz="8" w:space="0" w:color="000000"/>
            </w:tcBorders>
            <w:tcMar>
              <w:top w:w="30" w:type="dxa"/>
              <w:left w:w="20" w:type="dxa"/>
              <w:bottom w:w="30" w:type="dxa"/>
              <w:right w:w="20" w:type="dxa"/>
            </w:tcMar>
            <w:vAlign w:val="bottom"/>
            <w:hideMark/>
          </w:tcPr>
          <w:p w14:paraId="1C767D92" w14:textId="77777777" w:rsidR="00000000" w:rsidRDefault="00A173A8">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08BC1E43"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3E1AA1C"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47CFB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F937CA"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DE07CB" w14:textId="77777777" w:rsidR="00000000" w:rsidRDefault="00A173A8">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6BDDAE31" w14:textId="77777777" w:rsidR="00000000" w:rsidRDefault="00A173A8">
            <w:pPr>
              <w:spacing w:after="100"/>
              <w:rPr>
                <w:rFonts w:eastAsia="Times New Roman"/>
                <w:sz w:val="20"/>
                <w:szCs w:val="20"/>
              </w:rPr>
            </w:pPr>
          </w:p>
        </w:tc>
        <w:tc>
          <w:tcPr>
            <w:tcW w:w="0" w:type="auto"/>
            <w:vAlign w:val="center"/>
            <w:hideMark/>
          </w:tcPr>
          <w:p w14:paraId="32707787" w14:textId="77777777" w:rsidR="00000000" w:rsidRDefault="00A173A8">
            <w:pPr>
              <w:spacing w:after="100"/>
              <w:rPr>
                <w:rFonts w:eastAsia="Times New Roman"/>
                <w:sz w:val="20"/>
                <w:szCs w:val="20"/>
              </w:rPr>
            </w:pPr>
          </w:p>
        </w:tc>
      </w:tr>
      <w:tr w:rsidR="00000000" w14:paraId="31D60188" w14:textId="77777777">
        <w:tc>
          <w:tcPr>
            <w:tcW w:w="0" w:type="auto"/>
            <w:gridSpan w:val="12"/>
            <w:tcMar>
              <w:top w:w="30" w:type="dxa"/>
              <w:left w:w="20" w:type="dxa"/>
              <w:bottom w:w="30" w:type="dxa"/>
              <w:right w:w="20" w:type="dxa"/>
            </w:tcMar>
            <w:vAlign w:val="bottom"/>
            <w:hideMark/>
          </w:tcPr>
          <w:p w14:paraId="46489155" w14:textId="77777777" w:rsidR="00000000" w:rsidRDefault="00A173A8">
            <w:pPr>
              <w:spacing w:after="100"/>
              <w:rPr>
                <w:rFonts w:eastAsia="Times New Roman"/>
              </w:rPr>
            </w:pPr>
            <w:r>
              <w:rPr>
                <w:rFonts w:eastAsia="Times New Roman"/>
                <w:i/>
                <w:iCs/>
                <w:color w:val="000000"/>
                <w:sz w:val="15"/>
                <w:szCs w:val="15"/>
              </w:rPr>
              <w:t>(Dollars in millions)</w:t>
            </w:r>
          </w:p>
        </w:tc>
        <w:tc>
          <w:tcPr>
            <w:tcW w:w="0" w:type="auto"/>
            <w:gridSpan w:val="7"/>
            <w:tcMar>
              <w:top w:w="0" w:type="dxa"/>
              <w:left w:w="20" w:type="dxa"/>
              <w:bottom w:w="0" w:type="dxa"/>
              <w:right w:w="20" w:type="dxa"/>
            </w:tcMar>
            <w:vAlign w:val="center"/>
            <w:hideMark/>
          </w:tcPr>
          <w:p w14:paraId="68FC36AE" w14:textId="77777777" w:rsidR="00000000" w:rsidRDefault="00A173A8">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ECA9205" w14:textId="77777777" w:rsidR="00000000" w:rsidRDefault="00A173A8">
            <w:pPr>
              <w:spacing w:after="100"/>
              <w:jc w:val="center"/>
              <w:rPr>
                <w:rFonts w:eastAsia="Times New Roman"/>
              </w:rPr>
            </w:pPr>
            <w:r>
              <w:rPr>
                <w:rFonts w:eastAsia="Times New Roman"/>
                <w:b/>
                <w:bCs/>
                <w:color w:val="000000"/>
                <w:sz w:val="15"/>
                <w:szCs w:val="15"/>
              </w:rPr>
              <w:t>2021</w:t>
            </w:r>
          </w:p>
        </w:tc>
        <w:tc>
          <w:tcPr>
            <w:tcW w:w="0" w:type="auto"/>
            <w:gridSpan w:val="6"/>
            <w:tcBorders>
              <w:top w:val="single" w:sz="8" w:space="0" w:color="000000"/>
            </w:tcBorders>
            <w:tcMar>
              <w:top w:w="0" w:type="dxa"/>
              <w:left w:w="20" w:type="dxa"/>
              <w:bottom w:w="0" w:type="dxa"/>
              <w:right w:w="20" w:type="dxa"/>
            </w:tcMar>
            <w:vAlign w:val="center"/>
            <w:hideMark/>
          </w:tcPr>
          <w:p w14:paraId="2C50975E" w14:textId="77777777" w:rsidR="00000000" w:rsidRDefault="00A173A8">
            <w:pPr>
              <w:spacing w:after="100"/>
              <w:jc w:val="center"/>
              <w:rPr>
                <w:rFonts w:eastAsia="Times New Roman"/>
              </w:rPr>
            </w:pPr>
          </w:p>
        </w:tc>
        <w:tc>
          <w:tcPr>
            <w:tcW w:w="0" w:type="auto"/>
            <w:gridSpan w:val="11"/>
            <w:tcBorders>
              <w:top w:val="single" w:sz="8" w:space="0" w:color="000000"/>
            </w:tcBorders>
            <w:tcMar>
              <w:top w:w="30" w:type="dxa"/>
              <w:left w:w="20" w:type="dxa"/>
              <w:bottom w:w="30" w:type="dxa"/>
              <w:right w:w="20" w:type="dxa"/>
            </w:tcMar>
            <w:vAlign w:val="bottom"/>
            <w:hideMark/>
          </w:tcPr>
          <w:p w14:paraId="2ACBCAEA" w14:textId="77777777" w:rsidR="00000000" w:rsidRDefault="00A173A8">
            <w:pPr>
              <w:spacing w:after="100"/>
              <w:jc w:val="center"/>
              <w:rPr>
                <w:rFonts w:eastAsia="Times New Roman"/>
              </w:rPr>
            </w:pPr>
            <w:r>
              <w:rPr>
                <w:rFonts w:eastAsia="Times New Roman"/>
                <w:b/>
                <w:bCs/>
                <w:color w:val="000000"/>
                <w:sz w:val="15"/>
                <w:szCs w:val="15"/>
              </w:rPr>
              <w:t>2020</w:t>
            </w:r>
          </w:p>
        </w:tc>
        <w:tc>
          <w:tcPr>
            <w:tcW w:w="0" w:type="auto"/>
            <w:gridSpan w:val="4"/>
            <w:tcBorders>
              <w:top w:val="single" w:sz="8" w:space="0" w:color="000000"/>
            </w:tcBorders>
            <w:tcMar>
              <w:top w:w="0" w:type="dxa"/>
              <w:left w:w="20" w:type="dxa"/>
              <w:bottom w:w="0" w:type="dxa"/>
              <w:right w:w="20" w:type="dxa"/>
            </w:tcMar>
            <w:vAlign w:val="center"/>
            <w:hideMark/>
          </w:tcPr>
          <w:p w14:paraId="67343DB6"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A304CA0" w14:textId="77777777" w:rsidR="00000000" w:rsidRDefault="00A173A8">
            <w:pPr>
              <w:spacing w:after="100"/>
              <w:jc w:val="center"/>
              <w:rPr>
                <w:rFonts w:eastAsia="Times New Roman"/>
              </w:rPr>
            </w:pPr>
            <w:r>
              <w:rPr>
                <w:rFonts w:eastAsia="Times New Roman"/>
                <w:b/>
                <w:bCs/>
                <w:color w:val="000000"/>
                <w:sz w:val="15"/>
                <w:szCs w:val="15"/>
              </w:rPr>
              <w:t>2019</w:t>
            </w:r>
          </w:p>
        </w:tc>
        <w:tc>
          <w:tcPr>
            <w:tcW w:w="0" w:type="auto"/>
            <w:gridSpan w:val="9"/>
            <w:tcBorders>
              <w:top w:val="single" w:sz="8" w:space="0" w:color="000000"/>
            </w:tcBorders>
            <w:tcMar>
              <w:top w:w="0" w:type="dxa"/>
              <w:left w:w="20" w:type="dxa"/>
              <w:bottom w:w="0" w:type="dxa"/>
              <w:right w:w="20" w:type="dxa"/>
            </w:tcMar>
            <w:vAlign w:val="center"/>
            <w:hideMark/>
          </w:tcPr>
          <w:p w14:paraId="09F88A58" w14:textId="77777777" w:rsidR="00000000" w:rsidRDefault="00A173A8">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14:paraId="1EDFFAE2" w14:textId="77777777" w:rsidR="00000000" w:rsidRDefault="00A173A8">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14:paraId="11A86A53"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503AACD" w14:textId="77777777" w:rsidR="00000000" w:rsidRDefault="00A173A8">
            <w:pPr>
              <w:spacing w:after="100"/>
              <w:jc w:val="center"/>
              <w:rPr>
                <w:rFonts w:eastAsia="Times New Roman"/>
              </w:rPr>
            </w:pPr>
            <w:r>
              <w:rPr>
                <w:rFonts w:eastAsia="Times New Roman"/>
                <w:b/>
                <w:bCs/>
                <w:color w:val="000000"/>
                <w:sz w:val="15"/>
                <w:szCs w:val="15"/>
              </w:rPr>
              <w:t>2017</w:t>
            </w:r>
          </w:p>
        </w:tc>
        <w:tc>
          <w:tcPr>
            <w:tcW w:w="0" w:type="auto"/>
            <w:gridSpan w:val="9"/>
            <w:tcBorders>
              <w:top w:val="single" w:sz="8" w:space="0" w:color="000000"/>
            </w:tcBorders>
            <w:tcMar>
              <w:top w:w="0" w:type="dxa"/>
              <w:left w:w="20" w:type="dxa"/>
              <w:bottom w:w="0" w:type="dxa"/>
              <w:right w:w="20" w:type="dxa"/>
            </w:tcMar>
            <w:vAlign w:val="center"/>
            <w:hideMark/>
          </w:tcPr>
          <w:p w14:paraId="78BC3A3C" w14:textId="77777777" w:rsidR="00000000" w:rsidRDefault="00A173A8">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6812FFBD" w14:textId="77777777" w:rsidR="00000000" w:rsidRDefault="00A173A8">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14:paraId="3BE9DDE3"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F21A58" w14:textId="77777777" w:rsidR="00000000" w:rsidRDefault="00A173A8">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03E96363"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967008" w14:textId="77777777" w:rsidR="00000000" w:rsidRDefault="00A173A8">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14:paraId="4554BD0C"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E53C8A" w14:textId="77777777" w:rsidR="00000000" w:rsidRDefault="00A173A8">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1B506967" w14:textId="77777777" w:rsidR="00000000" w:rsidRDefault="00A173A8">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76E86423" w14:textId="77777777" w:rsidR="00000000" w:rsidRDefault="00A173A8">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4C569D1B" w14:textId="77777777" w:rsidR="00000000" w:rsidRDefault="00A173A8">
            <w:pPr>
              <w:spacing w:after="100"/>
              <w:rPr>
                <w:rFonts w:eastAsia="Times New Roman"/>
                <w:sz w:val="20"/>
                <w:szCs w:val="20"/>
              </w:rPr>
            </w:pPr>
          </w:p>
        </w:tc>
      </w:tr>
      <w:tr w:rsidR="00000000" w14:paraId="6D2EFA9C" w14:textId="77777777">
        <w:tc>
          <w:tcPr>
            <w:tcW w:w="0" w:type="auto"/>
            <w:gridSpan w:val="12"/>
            <w:vAlign w:val="center"/>
            <w:hideMark/>
          </w:tcPr>
          <w:p w14:paraId="7A058762" w14:textId="77777777" w:rsidR="00000000" w:rsidRDefault="00A173A8">
            <w:pPr>
              <w:spacing w:after="100"/>
              <w:jc w:val="center"/>
              <w:rPr>
                <w:rFonts w:eastAsia="Times New Roman"/>
              </w:rPr>
            </w:pPr>
          </w:p>
        </w:tc>
        <w:tc>
          <w:tcPr>
            <w:tcW w:w="0" w:type="auto"/>
            <w:gridSpan w:val="7"/>
            <w:vAlign w:val="center"/>
            <w:hideMark/>
          </w:tcPr>
          <w:p w14:paraId="4127B7A8" w14:textId="77777777" w:rsidR="00000000" w:rsidRDefault="00A173A8">
            <w:pPr>
              <w:spacing w:after="100"/>
              <w:rPr>
                <w:rFonts w:eastAsia="Times New Roman"/>
                <w:sz w:val="20"/>
                <w:szCs w:val="20"/>
              </w:rPr>
            </w:pPr>
          </w:p>
        </w:tc>
        <w:tc>
          <w:tcPr>
            <w:tcW w:w="0" w:type="auto"/>
            <w:gridSpan w:val="9"/>
            <w:vAlign w:val="center"/>
            <w:hideMark/>
          </w:tcPr>
          <w:p w14:paraId="2BBD8804" w14:textId="77777777" w:rsidR="00000000" w:rsidRDefault="00A173A8">
            <w:pPr>
              <w:spacing w:after="100"/>
              <w:rPr>
                <w:rFonts w:eastAsia="Times New Roman"/>
                <w:sz w:val="20"/>
                <w:szCs w:val="20"/>
              </w:rPr>
            </w:pPr>
          </w:p>
        </w:tc>
        <w:tc>
          <w:tcPr>
            <w:tcW w:w="0" w:type="auto"/>
            <w:gridSpan w:val="6"/>
            <w:vAlign w:val="center"/>
            <w:hideMark/>
          </w:tcPr>
          <w:p w14:paraId="2117CF15" w14:textId="77777777" w:rsidR="00000000" w:rsidRDefault="00A173A8">
            <w:pPr>
              <w:spacing w:after="100"/>
              <w:rPr>
                <w:rFonts w:eastAsia="Times New Roman"/>
                <w:sz w:val="20"/>
                <w:szCs w:val="20"/>
              </w:rPr>
            </w:pPr>
          </w:p>
        </w:tc>
        <w:tc>
          <w:tcPr>
            <w:tcW w:w="0" w:type="auto"/>
            <w:gridSpan w:val="11"/>
            <w:vAlign w:val="center"/>
            <w:hideMark/>
          </w:tcPr>
          <w:p w14:paraId="29701300" w14:textId="77777777" w:rsidR="00000000" w:rsidRDefault="00A173A8">
            <w:pPr>
              <w:spacing w:after="100"/>
              <w:rPr>
                <w:rFonts w:eastAsia="Times New Roman"/>
                <w:sz w:val="20"/>
                <w:szCs w:val="20"/>
              </w:rPr>
            </w:pPr>
          </w:p>
        </w:tc>
        <w:tc>
          <w:tcPr>
            <w:tcW w:w="0" w:type="auto"/>
            <w:gridSpan w:val="4"/>
            <w:vAlign w:val="center"/>
            <w:hideMark/>
          </w:tcPr>
          <w:p w14:paraId="4B95AD95" w14:textId="77777777" w:rsidR="00000000" w:rsidRDefault="00A173A8">
            <w:pPr>
              <w:spacing w:after="100"/>
              <w:rPr>
                <w:rFonts w:eastAsia="Times New Roman"/>
                <w:sz w:val="20"/>
                <w:szCs w:val="20"/>
              </w:rPr>
            </w:pPr>
          </w:p>
        </w:tc>
        <w:tc>
          <w:tcPr>
            <w:tcW w:w="0" w:type="auto"/>
            <w:gridSpan w:val="9"/>
            <w:vAlign w:val="center"/>
            <w:hideMark/>
          </w:tcPr>
          <w:p w14:paraId="48310B04" w14:textId="77777777" w:rsidR="00000000" w:rsidRDefault="00A173A8">
            <w:pPr>
              <w:spacing w:after="100"/>
              <w:rPr>
                <w:rFonts w:eastAsia="Times New Roman"/>
                <w:sz w:val="20"/>
                <w:szCs w:val="20"/>
              </w:rPr>
            </w:pPr>
          </w:p>
        </w:tc>
        <w:tc>
          <w:tcPr>
            <w:tcW w:w="0" w:type="auto"/>
            <w:gridSpan w:val="9"/>
            <w:vAlign w:val="center"/>
            <w:hideMark/>
          </w:tcPr>
          <w:p w14:paraId="1C8062C9" w14:textId="77777777" w:rsidR="00000000" w:rsidRDefault="00A173A8">
            <w:pPr>
              <w:spacing w:after="100"/>
              <w:rPr>
                <w:rFonts w:eastAsia="Times New Roman"/>
                <w:sz w:val="20"/>
                <w:szCs w:val="20"/>
              </w:rPr>
            </w:pPr>
          </w:p>
        </w:tc>
        <w:tc>
          <w:tcPr>
            <w:tcW w:w="0" w:type="auto"/>
            <w:gridSpan w:val="8"/>
            <w:vAlign w:val="center"/>
            <w:hideMark/>
          </w:tcPr>
          <w:p w14:paraId="045A73B1" w14:textId="77777777" w:rsidR="00000000" w:rsidRDefault="00A173A8">
            <w:pPr>
              <w:spacing w:after="100"/>
              <w:rPr>
                <w:rFonts w:eastAsia="Times New Roman"/>
                <w:sz w:val="20"/>
                <w:szCs w:val="20"/>
              </w:rPr>
            </w:pPr>
          </w:p>
        </w:tc>
        <w:tc>
          <w:tcPr>
            <w:tcW w:w="0" w:type="auto"/>
            <w:gridSpan w:val="3"/>
            <w:vAlign w:val="center"/>
            <w:hideMark/>
          </w:tcPr>
          <w:p w14:paraId="1D150965" w14:textId="77777777" w:rsidR="00000000" w:rsidRDefault="00A173A8">
            <w:pPr>
              <w:spacing w:after="100"/>
              <w:rPr>
                <w:rFonts w:eastAsia="Times New Roman"/>
                <w:sz w:val="20"/>
                <w:szCs w:val="20"/>
              </w:rPr>
            </w:pPr>
          </w:p>
        </w:tc>
        <w:tc>
          <w:tcPr>
            <w:tcW w:w="0" w:type="auto"/>
            <w:gridSpan w:val="9"/>
            <w:vAlign w:val="center"/>
            <w:hideMark/>
          </w:tcPr>
          <w:p w14:paraId="4B163518" w14:textId="77777777" w:rsidR="00000000" w:rsidRDefault="00A173A8">
            <w:pPr>
              <w:spacing w:after="100"/>
              <w:rPr>
                <w:rFonts w:eastAsia="Times New Roman"/>
                <w:sz w:val="20"/>
                <w:szCs w:val="20"/>
              </w:rPr>
            </w:pPr>
          </w:p>
        </w:tc>
        <w:tc>
          <w:tcPr>
            <w:tcW w:w="0" w:type="auto"/>
            <w:gridSpan w:val="9"/>
            <w:vAlign w:val="center"/>
            <w:hideMark/>
          </w:tcPr>
          <w:p w14:paraId="2DFFA58C" w14:textId="77777777" w:rsidR="00000000" w:rsidRDefault="00A173A8">
            <w:pPr>
              <w:spacing w:after="100"/>
              <w:rPr>
                <w:rFonts w:eastAsia="Times New Roman"/>
                <w:sz w:val="20"/>
                <w:szCs w:val="20"/>
              </w:rPr>
            </w:pPr>
          </w:p>
        </w:tc>
        <w:tc>
          <w:tcPr>
            <w:tcW w:w="0" w:type="auto"/>
            <w:gridSpan w:val="5"/>
            <w:vAlign w:val="center"/>
            <w:hideMark/>
          </w:tcPr>
          <w:p w14:paraId="437EBECE" w14:textId="77777777" w:rsidR="00000000" w:rsidRDefault="00A173A8">
            <w:pPr>
              <w:spacing w:after="100"/>
              <w:rPr>
                <w:rFonts w:eastAsia="Times New Roman"/>
                <w:sz w:val="20"/>
                <w:szCs w:val="20"/>
              </w:rPr>
            </w:pPr>
          </w:p>
        </w:tc>
        <w:tc>
          <w:tcPr>
            <w:tcW w:w="0" w:type="auto"/>
            <w:gridSpan w:val="3"/>
            <w:vAlign w:val="center"/>
            <w:hideMark/>
          </w:tcPr>
          <w:p w14:paraId="706AC198" w14:textId="77777777" w:rsidR="00000000" w:rsidRDefault="00A173A8">
            <w:pPr>
              <w:spacing w:after="100"/>
              <w:rPr>
                <w:rFonts w:eastAsia="Times New Roman"/>
                <w:sz w:val="20"/>
                <w:szCs w:val="20"/>
              </w:rPr>
            </w:pPr>
          </w:p>
        </w:tc>
        <w:tc>
          <w:tcPr>
            <w:tcW w:w="0" w:type="auto"/>
            <w:gridSpan w:val="3"/>
            <w:vAlign w:val="center"/>
            <w:hideMark/>
          </w:tcPr>
          <w:p w14:paraId="4A91DF7A" w14:textId="77777777" w:rsidR="00000000" w:rsidRDefault="00A173A8">
            <w:pPr>
              <w:spacing w:after="100"/>
              <w:rPr>
                <w:rFonts w:eastAsia="Times New Roman"/>
                <w:sz w:val="20"/>
                <w:szCs w:val="20"/>
              </w:rPr>
            </w:pPr>
          </w:p>
        </w:tc>
        <w:tc>
          <w:tcPr>
            <w:tcW w:w="0" w:type="auto"/>
            <w:gridSpan w:val="3"/>
            <w:vAlign w:val="center"/>
            <w:hideMark/>
          </w:tcPr>
          <w:p w14:paraId="59371D84" w14:textId="77777777" w:rsidR="00000000" w:rsidRDefault="00A173A8">
            <w:pPr>
              <w:spacing w:after="100"/>
              <w:rPr>
                <w:rFonts w:eastAsia="Times New Roman"/>
                <w:sz w:val="20"/>
                <w:szCs w:val="20"/>
              </w:rPr>
            </w:pPr>
          </w:p>
        </w:tc>
        <w:tc>
          <w:tcPr>
            <w:tcW w:w="0" w:type="auto"/>
            <w:gridSpan w:val="3"/>
            <w:vAlign w:val="center"/>
            <w:hideMark/>
          </w:tcPr>
          <w:p w14:paraId="327434C2" w14:textId="77777777" w:rsidR="00000000" w:rsidRDefault="00A173A8">
            <w:pPr>
              <w:spacing w:after="100"/>
              <w:rPr>
                <w:rFonts w:eastAsia="Times New Roman"/>
                <w:sz w:val="20"/>
                <w:szCs w:val="20"/>
              </w:rPr>
            </w:pPr>
          </w:p>
        </w:tc>
        <w:tc>
          <w:tcPr>
            <w:tcW w:w="0" w:type="auto"/>
            <w:gridSpan w:val="3"/>
            <w:vAlign w:val="center"/>
            <w:hideMark/>
          </w:tcPr>
          <w:p w14:paraId="2F18CE38" w14:textId="77777777" w:rsidR="00000000" w:rsidRDefault="00A173A8">
            <w:pPr>
              <w:spacing w:after="100"/>
              <w:rPr>
                <w:rFonts w:eastAsia="Times New Roman"/>
                <w:sz w:val="20"/>
                <w:szCs w:val="20"/>
              </w:rPr>
            </w:pPr>
          </w:p>
        </w:tc>
        <w:tc>
          <w:tcPr>
            <w:tcW w:w="0" w:type="auto"/>
            <w:gridSpan w:val="3"/>
            <w:vAlign w:val="center"/>
            <w:hideMark/>
          </w:tcPr>
          <w:p w14:paraId="65AC08B7" w14:textId="77777777" w:rsidR="00000000" w:rsidRDefault="00A173A8">
            <w:pPr>
              <w:spacing w:after="100"/>
              <w:rPr>
                <w:rFonts w:eastAsia="Times New Roman"/>
                <w:sz w:val="20"/>
                <w:szCs w:val="20"/>
              </w:rPr>
            </w:pPr>
          </w:p>
        </w:tc>
        <w:tc>
          <w:tcPr>
            <w:tcW w:w="0" w:type="auto"/>
            <w:gridSpan w:val="3"/>
            <w:vAlign w:val="center"/>
            <w:hideMark/>
          </w:tcPr>
          <w:p w14:paraId="13D75489" w14:textId="77777777" w:rsidR="00000000" w:rsidRDefault="00A173A8">
            <w:pPr>
              <w:spacing w:after="100"/>
              <w:rPr>
                <w:rFonts w:eastAsia="Times New Roman"/>
                <w:sz w:val="20"/>
                <w:szCs w:val="20"/>
              </w:rPr>
            </w:pPr>
          </w:p>
        </w:tc>
        <w:tc>
          <w:tcPr>
            <w:tcW w:w="0" w:type="auto"/>
            <w:gridSpan w:val="2"/>
            <w:vAlign w:val="center"/>
            <w:hideMark/>
          </w:tcPr>
          <w:p w14:paraId="46D2CF81" w14:textId="77777777" w:rsidR="00000000" w:rsidRDefault="00A173A8">
            <w:pPr>
              <w:spacing w:after="100"/>
              <w:rPr>
                <w:rFonts w:eastAsia="Times New Roman"/>
                <w:sz w:val="20"/>
                <w:szCs w:val="20"/>
              </w:rPr>
            </w:pPr>
          </w:p>
        </w:tc>
        <w:tc>
          <w:tcPr>
            <w:tcW w:w="0" w:type="auto"/>
            <w:vAlign w:val="center"/>
            <w:hideMark/>
          </w:tcPr>
          <w:p w14:paraId="206F697F" w14:textId="77777777" w:rsidR="00000000" w:rsidRDefault="00A173A8">
            <w:pPr>
              <w:spacing w:after="100"/>
              <w:rPr>
                <w:rFonts w:eastAsia="Times New Roman"/>
                <w:sz w:val="20"/>
                <w:szCs w:val="20"/>
              </w:rPr>
            </w:pPr>
          </w:p>
        </w:tc>
      </w:tr>
      <w:tr w:rsidR="00000000" w14:paraId="6C68E0D4" w14:textId="77777777">
        <w:tc>
          <w:tcPr>
            <w:tcW w:w="0" w:type="auto"/>
            <w:gridSpan w:val="12"/>
            <w:tcBorders>
              <w:top w:val="single" w:sz="8" w:space="0" w:color="000000"/>
            </w:tcBorders>
            <w:shd w:val="clear" w:color="auto" w:fill="CCEEFF"/>
            <w:tcMar>
              <w:top w:w="30" w:type="dxa"/>
              <w:left w:w="20" w:type="dxa"/>
              <w:bottom w:w="30" w:type="dxa"/>
              <w:right w:w="20" w:type="dxa"/>
            </w:tcMar>
            <w:vAlign w:val="center"/>
            <w:hideMark/>
          </w:tcPr>
          <w:p w14:paraId="3E512BD5" w14:textId="77777777" w:rsidR="00000000" w:rsidRDefault="00A173A8">
            <w:pPr>
              <w:spacing w:after="100"/>
              <w:divId w:val="1865098745"/>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7"/>
            <w:shd w:val="clear" w:color="auto" w:fill="CCEEFF"/>
            <w:tcMar>
              <w:top w:w="0" w:type="dxa"/>
              <w:left w:w="20" w:type="dxa"/>
              <w:bottom w:w="0" w:type="dxa"/>
              <w:right w:w="20" w:type="dxa"/>
            </w:tcMar>
            <w:vAlign w:val="center"/>
            <w:hideMark/>
          </w:tcPr>
          <w:p w14:paraId="4B0B5947" w14:textId="77777777" w:rsidR="00000000" w:rsidRDefault="00A173A8">
            <w:pPr>
              <w:spacing w:after="100"/>
              <w:rPr>
                <w:rFonts w:eastAsia="Times New Roman"/>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0D6CDCE7" w14:textId="77777777" w:rsidR="00000000" w:rsidRDefault="00A173A8">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246330CF" w14:textId="77777777" w:rsidR="00000000" w:rsidRDefault="00A173A8">
            <w:pPr>
              <w:spacing w:after="100"/>
              <w:rPr>
                <w:rFonts w:eastAsia="Times New Roman"/>
                <w:sz w:val="20"/>
                <w:szCs w:val="20"/>
              </w:rPr>
            </w:pPr>
          </w:p>
        </w:tc>
        <w:tc>
          <w:tcPr>
            <w:tcW w:w="0" w:type="auto"/>
            <w:gridSpan w:val="11"/>
            <w:tcBorders>
              <w:top w:val="single" w:sz="8" w:space="0" w:color="000000"/>
            </w:tcBorders>
            <w:shd w:val="clear" w:color="auto" w:fill="CCEEFF"/>
            <w:tcMar>
              <w:top w:w="0" w:type="dxa"/>
              <w:left w:w="20" w:type="dxa"/>
              <w:bottom w:w="0" w:type="dxa"/>
              <w:right w:w="20" w:type="dxa"/>
            </w:tcMar>
            <w:vAlign w:val="center"/>
            <w:hideMark/>
          </w:tcPr>
          <w:p w14:paraId="0C543318"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538D48C" w14:textId="77777777" w:rsidR="00000000" w:rsidRDefault="00A173A8">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403EB482"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409FBB2A" w14:textId="77777777" w:rsidR="00000000" w:rsidRDefault="00A173A8">
            <w:pPr>
              <w:spacing w:after="100"/>
              <w:rPr>
                <w:rFonts w:eastAsia="Times New Roman"/>
                <w:sz w:val="20"/>
                <w:szCs w:val="20"/>
              </w:rPr>
            </w:pPr>
          </w:p>
        </w:tc>
        <w:tc>
          <w:tcPr>
            <w:tcW w:w="0" w:type="auto"/>
            <w:gridSpan w:val="8"/>
            <w:tcBorders>
              <w:top w:val="single" w:sz="8" w:space="0" w:color="000000"/>
            </w:tcBorders>
            <w:shd w:val="clear" w:color="auto" w:fill="CCEEFF"/>
            <w:tcMar>
              <w:top w:w="0" w:type="dxa"/>
              <w:left w:w="20" w:type="dxa"/>
              <w:bottom w:w="0" w:type="dxa"/>
              <w:right w:w="20" w:type="dxa"/>
            </w:tcMar>
            <w:vAlign w:val="center"/>
            <w:hideMark/>
          </w:tcPr>
          <w:p w14:paraId="4ADC0F3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40FD28" w14:textId="77777777" w:rsidR="00000000" w:rsidRDefault="00A173A8">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133CE69D"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2267CAE9" w14:textId="77777777" w:rsidR="00000000" w:rsidRDefault="00A173A8">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02E0172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E3EF3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5D84A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B6B97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F59F9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F80E6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4DD8F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8866A0"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12D5D022" w14:textId="77777777" w:rsidR="00000000" w:rsidRDefault="00A173A8">
            <w:pPr>
              <w:spacing w:after="100"/>
              <w:rPr>
                <w:rFonts w:eastAsia="Times New Roman"/>
                <w:sz w:val="20"/>
                <w:szCs w:val="20"/>
              </w:rPr>
            </w:pPr>
          </w:p>
        </w:tc>
        <w:tc>
          <w:tcPr>
            <w:tcW w:w="0" w:type="auto"/>
            <w:vAlign w:val="center"/>
            <w:hideMark/>
          </w:tcPr>
          <w:p w14:paraId="2F9E712F" w14:textId="77777777" w:rsidR="00000000" w:rsidRDefault="00A173A8">
            <w:pPr>
              <w:spacing w:after="100"/>
              <w:rPr>
                <w:rFonts w:eastAsia="Times New Roman"/>
                <w:sz w:val="20"/>
                <w:szCs w:val="20"/>
              </w:rPr>
            </w:pPr>
          </w:p>
        </w:tc>
      </w:tr>
      <w:tr w:rsidR="00A173A8" w14:paraId="4E4B32AD" w14:textId="77777777">
        <w:tc>
          <w:tcPr>
            <w:tcW w:w="0" w:type="auto"/>
            <w:gridSpan w:val="12"/>
            <w:shd w:val="clear" w:color="auto" w:fill="FFFFFF"/>
            <w:tcMar>
              <w:top w:w="30" w:type="dxa"/>
              <w:left w:w="380" w:type="dxa"/>
              <w:bottom w:w="30" w:type="dxa"/>
              <w:right w:w="20" w:type="dxa"/>
            </w:tcMar>
            <w:vAlign w:val="center"/>
            <w:hideMark/>
          </w:tcPr>
          <w:p w14:paraId="0E860D2B" w14:textId="77777777" w:rsidR="00000000" w:rsidRDefault="00A173A8">
            <w:pPr>
              <w:spacing w:after="100"/>
              <w:rPr>
                <w:rFonts w:eastAsia="Times New Roman"/>
              </w:rPr>
            </w:pPr>
            <w:r>
              <w:rPr>
                <w:rFonts w:eastAsia="Times New Roman"/>
                <w:color w:val="000000"/>
                <w:sz w:val="18"/>
                <w:szCs w:val="18"/>
              </w:rPr>
              <w:t>Greater than 660</w:t>
            </w:r>
          </w:p>
        </w:tc>
        <w:tc>
          <w:tcPr>
            <w:tcW w:w="0" w:type="auto"/>
            <w:gridSpan w:val="7"/>
            <w:shd w:val="clear" w:color="auto" w:fill="FFFFFF"/>
            <w:tcMar>
              <w:top w:w="0" w:type="dxa"/>
              <w:left w:w="20" w:type="dxa"/>
              <w:bottom w:w="0" w:type="dxa"/>
              <w:right w:w="20" w:type="dxa"/>
            </w:tcMar>
            <w:vAlign w:val="center"/>
            <w:hideMark/>
          </w:tcPr>
          <w:p w14:paraId="47B3F0AE"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D2516AE" w14:textId="77777777" w:rsidR="00000000" w:rsidRDefault="00A173A8">
            <w:pPr>
              <w:spacing w:after="100"/>
              <w:rPr>
                <w:rFonts w:eastAsia="Times New Roman"/>
              </w:rPr>
            </w:pPr>
            <w:r>
              <w:rPr>
                <w:rFonts w:eastAsia="Times New Roman"/>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72E3F862" w14:textId="77777777" w:rsidR="00000000" w:rsidRDefault="00A173A8">
            <w:pPr>
              <w:spacing w:after="100"/>
              <w:jc w:val="right"/>
              <w:rPr>
                <w:rFonts w:eastAsia="Times New Roman"/>
              </w:rPr>
            </w:pPr>
            <w:r>
              <w:rPr>
                <w:rFonts w:eastAsia="Times New Roman"/>
                <w:color w:val="000000"/>
                <w:sz w:val="18"/>
                <w:szCs w:val="18"/>
              </w:rPr>
              <w:t>20,758 </w:t>
            </w:r>
          </w:p>
        </w:tc>
        <w:tc>
          <w:tcPr>
            <w:tcW w:w="0" w:type="auto"/>
            <w:shd w:val="clear" w:color="auto" w:fill="FFFFFF"/>
            <w:tcMar>
              <w:top w:w="30" w:type="dxa"/>
              <w:left w:w="0" w:type="dxa"/>
              <w:bottom w:w="30" w:type="dxa"/>
              <w:right w:w="20" w:type="dxa"/>
            </w:tcMar>
            <w:vAlign w:val="bottom"/>
            <w:hideMark/>
          </w:tcPr>
          <w:p w14:paraId="2EBCCC60" w14:textId="77777777" w:rsidR="00000000" w:rsidRDefault="00A173A8">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1BF9539F"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4709BEF2" w14:textId="77777777" w:rsidR="00000000" w:rsidRDefault="00A173A8">
            <w:pPr>
              <w:spacing w:after="100"/>
              <w:rPr>
                <w:rFonts w:eastAsia="Times New Roman"/>
              </w:rPr>
            </w:pPr>
            <w:r>
              <w:rPr>
                <w:rFonts w:eastAsia="Times New Roman"/>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5BEF2EFE" w14:textId="77777777" w:rsidR="00000000" w:rsidRDefault="00A173A8">
            <w:pPr>
              <w:spacing w:after="100"/>
              <w:jc w:val="right"/>
              <w:rPr>
                <w:rFonts w:eastAsia="Times New Roman"/>
              </w:rPr>
            </w:pPr>
            <w:r>
              <w:rPr>
                <w:rFonts w:eastAsia="Times New Roman"/>
                <w:color w:val="000000"/>
                <w:sz w:val="18"/>
                <w:szCs w:val="18"/>
              </w:rPr>
              <w:t>8,630 </w:t>
            </w:r>
          </w:p>
        </w:tc>
        <w:tc>
          <w:tcPr>
            <w:tcW w:w="0" w:type="auto"/>
            <w:gridSpan w:val="4"/>
            <w:shd w:val="clear" w:color="auto" w:fill="FFFFFF"/>
            <w:tcMar>
              <w:top w:w="30" w:type="dxa"/>
              <w:left w:w="0" w:type="dxa"/>
              <w:bottom w:w="30" w:type="dxa"/>
              <w:right w:w="20" w:type="dxa"/>
            </w:tcMar>
            <w:vAlign w:val="bottom"/>
            <w:hideMark/>
          </w:tcPr>
          <w:p w14:paraId="01EAA164"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13E2803"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6891B4C9" w14:textId="77777777" w:rsidR="00000000" w:rsidRDefault="00A173A8">
            <w:pPr>
              <w:spacing w:after="100"/>
              <w:rPr>
                <w:rFonts w:eastAsia="Times New Roman"/>
              </w:rPr>
            </w:pPr>
            <w:r>
              <w:rPr>
                <w:rFonts w:eastAsia="Times New Roman"/>
                <w:color w:val="000000"/>
                <w:sz w:val="18"/>
                <w:szCs w:val="18"/>
              </w:rPr>
              <w:t>$</w:t>
            </w:r>
          </w:p>
        </w:tc>
        <w:tc>
          <w:tcPr>
            <w:tcW w:w="0" w:type="auto"/>
            <w:gridSpan w:val="5"/>
            <w:shd w:val="clear" w:color="auto" w:fill="FFFFFF"/>
            <w:tcMar>
              <w:top w:w="30" w:type="dxa"/>
              <w:left w:w="0" w:type="dxa"/>
              <w:bottom w:w="30" w:type="dxa"/>
              <w:right w:w="0" w:type="dxa"/>
            </w:tcMar>
            <w:vAlign w:val="bottom"/>
            <w:hideMark/>
          </w:tcPr>
          <w:p w14:paraId="38D16E9E" w14:textId="77777777" w:rsidR="00000000" w:rsidRDefault="00A173A8">
            <w:pPr>
              <w:spacing w:after="100"/>
              <w:jc w:val="right"/>
              <w:rPr>
                <w:rFonts w:eastAsia="Times New Roman"/>
              </w:rPr>
            </w:pPr>
            <w:r>
              <w:rPr>
                <w:rFonts w:eastAsia="Times New Roman"/>
                <w:color w:val="000000"/>
                <w:sz w:val="18"/>
                <w:szCs w:val="18"/>
              </w:rPr>
              <w:t>4,739 </w:t>
            </w:r>
          </w:p>
        </w:tc>
        <w:tc>
          <w:tcPr>
            <w:tcW w:w="0" w:type="auto"/>
            <w:shd w:val="clear" w:color="auto" w:fill="FFFFFF"/>
            <w:tcMar>
              <w:top w:w="30" w:type="dxa"/>
              <w:left w:w="0" w:type="dxa"/>
              <w:bottom w:w="30" w:type="dxa"/>
              <w:right w:w="20" w:type="dxa"/>
            </w:tcMar>
            <w:vAlign w:val="bottom"/>
            <w:hideMark/>
          </w:tcPr>
          <w:p w14:paraId="558D76F1"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F18E9B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CA2BF3" w14:textId="77777777" w:rsidR="00000000" w:rsidRDefault="00A173A8">
            <w:pPr>
              <w:spacing w:after="100"/>
              <w:rPr>
                <w:rFonts w:eastAsia="Times New Roman"/>
              </w:rPr>
            </w:pPr>
            <w:r>
              <w:rPr>
                <w:rFonts w:eastAsia="Times New Roman"/>
                <w:color w:val="000000"/>
                <w:sz w:val="18"/>
                <w:szCs w:val="18"/>
              </w:rPr>
              <w:t>$</w:t>
            </w:r>
          </w:p>
        </w:tc>
        <w:tc>
          <w:tcPr>
            <w:tcW w:w="0" w:type="auto"/>
            <w:gridSpan w:val="6"/>
            <w:shd w:val="clear" w:color="auto" w:fill="FFFFFF"/>
            <w:tcMar>
              <w:top w:w="30" w:type="dxa"/>
              <w:left w:w="0" w:type="dxa"/>
              <w:bottom w:w="30" w:type="dxa"/>
              <w:right w:w="0" w:type="dxa"/>
            </w:tcMar>
            <w:vAlign w:val="bottom"/>
            <w:hideMark/>
          </w:tcPr>
          <w:p w14:paraId="0C0504C3" w14:textId="77777777" w:rsidR="00000000" w:rsidRDefault="00A173A8">
            <w:pPr>
              <w:spacing w:after="100"/>
              <w:jc w:val="right"/>
              <w:rPr>
                <w:rFonts w:eastAsia="Times New Roman"/>
              </w:rPr>
            </w:pPr>
            <w:r>
              <w:rPr>
                <w:rFonts w:eastAsia="Times New Roman"/>
                <w:color w:val="000000"/>
                <w:sz w:val="18"/>
                <w:szCs w:val="18"/>
              </w:rPr>
              <w:t>2,394 </w:t>
            </w:r>
          </w:p>
        </w:tc>
        <w:tc>
          <w:tcPr>
            <w:tcW w:w="0" w:type="auto"/>
            <w:shd w:val="clear" w:color="auto" w:fill="FFFFFF"/>
            <w:tcMar>
              <w:top w:w="30" w:type="dxa"/>
              <w:left w:w="0" w:type="dxa"/>
              <w:bottom w:w="30" w:type="dxa"/>
              <w:right w:w="20" w:type="dxa"/>
            </w:tcMar>
            <w:vAlign w:val="bottom"/>
            <w:hideMark/>
          </w:tcPr>
          <w:p w14:paraId="37946D8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39BE56"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4647C63A" w14:textId="77777777" w:rsidR="00000000" w:rsidRDefault="00A173A8">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4A8C88DE" w14:textId="77777777" w:rsidR="00000000" w:rsidRDefault="00A173A8">
            <w:pPr>
              <w:spacing w:after="100"/>
              <w:jc w:val="right"/>
              <w:rPr>
                <w:rFonts w:eastAsia="Times New Roman"/>
              </w:rPr>
            </w:pPr>
            <w:r>
              <w:rPr>
                <w:rFonts w:eastAsia="Times New Roman"/>
                <w:color w:val="000000"/>
                <w:sz w:val="18"/>
                <w:szCs w:val="18"/>
              </w:rPr>
              <w:t>1,153 </w:t>
            </w:r>
          </w:p>
        </w:tc>
        <w:tc>
          <w:tcPr>
            <w:tcW w:w="0" w:type="auto"/>
            <w:shd w:val="clear" w:color="auto" w:fill="FFFFFF"/>
            <w:tcMar>
              <w:top w:w="30" w:type="dxa"/>
              <w:left w:w="0" w:type="dxa"/>
              <w:bottom w:w="30" w:type="dxa"/>
              <w:right w:w="20" w:type="dxa"/>
            </w:tcMar>
            <w:vAlign w:val="bottom"/>
            <w:hideMark/>
          </w:tcPr>
          <w:p w14:paraId="0C6B98C6"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16D09B8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EB5B57" w14:textId="77777777" w:rsidR="00000000" w:rsidRDefault="00A173A8">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6F1BF584" w14:textId="77777777" w:rsidR="00000000" w:rsidRDefault="00A173A8">
            <w:pPr>
              <w:spacing w:after="100"/>
              <w:jc w:val="right"/>
              <w:rPr>
                <w:rFonts w:eastAsia="Times New Roman"/>
              </w:rPr>
            </w:pPr>
            <w:r>
              <w:rPr>
                <w:rFonts w:eastAsia="Times New Roman"/>
                <w:color w:val="000000"/>
                <w:sz w:val="18"/>
                <w:szCs w:val="18"/>
              </w:rPr>
              <w:t>301 </w:t>
            </w:r>
          </w:p>
        </w:tc>
        <w:tc>
          <w:tcPr>
            <w:tcW w:w="0" w:type="auto"/>
            <w:shd w:val="clear" w:color="auto" w:fill="FFFFFF"/>
            <w:tcMar>
              <w:top w:w="30" w:type="dxa"/>
              <w:left w:w="0" w:type="dxa"/>
              <w:bottom w:w="30" w:type="dxa"/>
              <w:right w:w="20" w:type="dxa"/>
            </w:tcMar>
            <w:vAlign w:val="bottom"/>
            <w:hideMark/>
          </w:tcPr>
          <w:p w14:paraId="1EA6AB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907F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53C004"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9FA03F0" w14:textId="77777777" w:rsidR="00000000" w:rsidRDefault="00A173A8">
            <w:pPr>
              <w:spacing w:after="100"/>
              <w:jc w:val="right"/>
              <w:rPr>
                <w:rFonts w:eastAsia="Times New Roman"/>
              </w:rPr>
            </w:pPr>
            <w:r>
              <w:rPr>
                <w:rFonts w:eastAsia="Times New Roman"/>
                <w:color w:val="000000"/>
                <w:sz w:val="18"/>
                <w:szCs w:val="18"/>
              </w:rPr>
              <w:t>37,975 </w:t>
            </w:r>
          </w:p>
        </w:tc>
        <w:tc>
          <w:tcPr>
            <w:tcW w:w="0" w:type="auto"/>
            <w:shd w:val="clear" w:color="auto" w:fill="FFFFFF"/>
            <w:tcMar>
              <w:top w:w="30" w:type="dxa"/>
              <w:left w:w="0" w:type="dxa"/>
              <w:bottom w:w="30" w:type="dxa"/>
              <w:right w:w="20" w:type="dxa"/>
            </w:tcMar>
            <w:vAlign w:val="bottom"/>
            <w:hideMark/>
          </w:tcPr>
          <w:p w14:paraId="1775E7A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4C6D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68DD3EA"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A07AAB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432D58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B98F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B17A02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467FE5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4961B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9A99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ABC79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713EB0E" w14:textId="77777777" w:rsidR="00000000" w:rsidRDefault="00A173A8">
            <w:pPr>
              <w:spacing w:after="100"/>
              <w:jc w:val="right"/>
              <w:rPr>
                <w:rFonts w:eastAsia="Times New Roman"/>
              </w:rPr>
            </w:pPr>
            <w:r>
              <w:rPr>
                <w:rFonts w:eastAsia="Times New Roman"/>
                <w:color w:val="000000"/>
                <w:sz w:val="18"/>
                <w:szCs w:val="18"/>
              </w:rPr>
              <w:t>37,975 </w:t>
            </w:r>
          </w:p>
        </w:tc>
        <w:tc>
          <w:tcPr>
            <w:tcW w:w="0" w:type="auto"/>
            <w:shd w:val="clear" w:color="auto" w:fill="FFFFFF"/>
            <w:tcMar>
              <w:top w:w="30" w:type="dxa"/>
              <w:left w:w="0" w:type="dxa"/>
              <w:bottom w:w="30" w:type="dxa"/>
              <w:right w:w="20" w:type="dxa"/>
            </w:tcMar>
            <w:vAlign w:val="bottom"/>
            <w:hideMark/>
          </w:tcPr>
          <w:p w14:paraId="722D48B5" w14:textId="77777777" w:rsidR="00000000" w:rsidRDefault="00A173A8">
            <w:pPr>
              <w:spacing w:after="100"/>
              <w:jc w:val="right"/>
              <w:rPr>
                <w:rFonts w:eastAsia="Times New Roman"/>
              </w:rPr>
            </w:pPr>
          </w:p>
        </w:tc>
      </w:tr>
      <w:tr w:rsidR="00000000" w14:paraId="630F0134" w14:textId="77777777">
        <w:tc>
          <w:tcPr>
            <w:tcW w:w="0" w:type="auto"/>
            <w:gridSpan w:val="12"/>
            <w:shd w:val="clear" w:color="auto" w:fill="CCEEFF"/>
            <w:tcMar>
              <w:top w:w="30" w:type="dxa"/>
              <w:left w:w="380" w:type="dxa"/>
              <w:bottom w:w="30" w:type="dxa"/>
              <w:right w:w="20" w:type="dxa"/>
            </w:tcMar>
            <w:vAlign w:val="center"/>
            <w:hideMark/>
          </w:tcPr>
          <w:p w14:paraId="35E3F87B" w14:textId="77777777" w:rsidR="00000000" w:rsidRDefault="00A173A8">
            <w:pPr>
              <w:spacing w:after="100"/>
              <w:rPr>
                <w:rFonts w:eastAsia="Times New Roman"/>
              </w:rPr>
            </w:pPr>
            <w:r>
              <w:rPr>
                <w:rFonts w:eastAsia="Times New Roman"/>
                <w:color w:val="000000"/>
                <w:sz w:val="18"/>
                <w:szCs w:val="18"/>
              </w:rPr>
              <w:t>621-660</w:t>
            </w:r>
          </w:p>
        </w:tc>
        <w:tc>
          <w:tcPr>
            <w:tcW w:w="0" w:type="auto"/>
            <w:gridSpan w:val="7"/>
            <w:shd w:val="clear" w:color="auto" w:fill="CCEEFF"/>
            <w:tcMar>
              <w:top w:w="0" w:type="dxa"/>
              <w:left w:w="20" w:type="dxa"/>
              <w:bottom w:w="0" w:type="dxa"/>
              <w:right w:w="20" w:type="dxa"/>
            </w:tcMar>
            <w:vAlign w:val="center"/>
            <w:hideMark/>
          </w:tcPr>
          <w:p w14:paraId="05C0542A" w14:textId="77777777" w:rsidR="00000000" w:rsidRDefault="00A173A8">
            <w:pPr>
              <w:spacing w:after="100"/>
              <w:rPr>
                <w:rFonts w:eastAsia="Times New Roman"/>
              </w:rPr>
            </w:pPr>
          </w:p>
        </w:tc>
        <w:tc>
          <w:tcPr>
            <w:tcW w:w="0" w:type="auto"/>
            <w:gridSpan w:val="8"/>
            <w:shd w:val="clear" w:color="auto" w:fill="CCEEFF"/>
            <w:tcMar>
              <w:top w:w="30" w:type="dxa"/>
              <w:left w:w="20" w:type="dxa"/>
              <w:bottom w:w="30" w:type="dxa"/>
              <w:right w:w="0" w:type="dxa"/>
            </w:tcMar>
            <w:vAlign w:val="center"/>
            <w:hideMark/>
          </w:tcPr>
          <w:p w14:paraId="3E697BB1" w14:textId="77777777" w:rsidR="00000000" w:rsidRDefault="00A173A8">
            <w:pPr>
              <w:spacing w:after="100"/>
              <w:jc w:val="right"/>
              <w:rPr>
                <w:rFonts w:eastAsia="Times New Roman"/>
              </w:rPr>
            </w:pPr>
            <w:r>
              <w:rPr>
                <w:rFonts w:eastAsia="Times New Roman"/>
                <w:color w:val="000000"/>
                <w:sz w:val="18"/>
                <w:szCs w:val="18"/>
              </w:rPr>
              <w:t>7,456 </w:t>
            </w:r>
          </w:p>
        </w:tc>
        <w:tc>
          <w:tcPr>
            <w:tcW w:w="0" w:type="auto"/>
            <w:shd w:val="clear" w:color="auto" w:fill="CCEEFF"/>
            <w:tcMar>
              <w:top w:w="30" w:type="dxa"/>
              <w:left w:w="0" w:type="dxa"/>
              <w:bottom w:w="30" w:type="dxa"/>
              <w:right w:w="20" w:type="dxa"/>
            </w:tcMar>
            <w:vAlign w:val="center"/>
            <w:hideMark/>
          </w:tcPr>
          <w:p w14:paraId="6FBB041F" w14:textId="77777777" w:rsidR="00000000" w:rsidRDefault="00A173A8">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749A1CC2" w14:textId="77777777" w:rsidR="00000000" w:rsidRDefault="00A173A8">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14:paraId="574E3649" w14:textId="77777777" w:rsidR="00000000" w:rsidRDefault="00A173A8">
            <w:pPr>
              <w:spacing w:after="100"/>
              <w:jc w:val="right"/>
              <w:rPr>
                <w:rFonts w:eastAsia="Times New Roman"/>
              </w:rPr>
            </w:pPr>
            <w:r>
              <w:rPr>
                <w:rFonts w:eastAsia="Times New Roman"/>
                <w:color w:val="000000"/>
                <w:sz w:val="18"/>
                <w:szCs w:val="18"/>
              </w:rPr>
              <w:t>3,721 </w:t>
            </w:r>
          </w:p>
        </w:tc>
        <w:tc>
          <w:tcPr>
            <w:tcW w:w="0" w:type="auto"/>
            <w:gridSpan w:val="4"/>
            <w:shd w:val="clear" w:color="auto" w:fill="CCEEFF"/>
            <w:tcMar>
              <w:top w:w="30" w:type="dxa"/>
              <w:left w:w="0" w:type="dxa"/>
              <w:bottom w:w="30" w:type="dxa"/>
              <w:right w:w="20" w:type="dxa"/>
            </w:tcMar>
            <w:vAlign w:val="center"/>
            <w:hideMark/>
          </w:tcPr>
          <w:p w14:paraId="6E857971"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190C59C"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14:paraId="79F9B853" w14:textId="77777777" w:rsidR="00000000" w:rsidRDefault="00A173A8">
            <w:pPr>
              <w:spacing w:after="100"/>
              <w:jc w:val="right"/>
              <w:rPr>
                <w:rFonts w:eastAsia="Times New Roman"/>
              </w:rPr>
            </w:pPr>
            <w:r>
              <w:rPr>
                <w:rFonts w:eastAsia="Times New Roman"/>
                <w:color w:val="000000"/>
                <w:sz w:val="18"/>
                <w:szCs w:val="18"/>
              </w:rPr>
              <w:t>2,109 </w:t>
            </w:r>
          </w:p>
        </w:tc>
        <w:tc>
          <w:tcPr>
            <w:tcW w:w="0" w:type="auto"/>
            <w:shd w:val="clear" w:color="auto" w:fill="CCEEFF"/>
            <w:tcMar>
              <w:top w:w="30" w:type="dxa"/>
              <w:left w:w="0" w:type="dxa"/>
              <w:bottom w:w="30" w:type="dxa"/>
              <w:right w:w="20" w:type="dxa"/>
            </w:tcMar>
            <w:vAlign w:val="center"/>
            <w:hideMark/>
          </w:tcPr>
          <w:p w14:paraId="7C21535E"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258829DF" w14:textId="77777777" w:rsidR="00000000" w:rsidRDefault="00A173A8">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14:paraId="73BB1910" w14:textId="77777777" w:rsidR="00000000" w:rsidRDefault="00A173A8">
            <w:pPr>
              <w:spacing w:after="100"/>
              <w:jc w:val="right"/>
              <w:rPr>
                <w:rFonts w:eastAsia="Times New Roman"/>
              </w:rPr>
            </w:pPr>
            <w:r>
              <w:rPr>
                <w:rFonts w:eastAsia="Times New Roman"/>
                <w:color w:val="000000"/>
                <w:sz w:val="18"/>
                <w:szCs w:val="18"/>
              </w:rPr>
              <w:t>1,084 </w:t>
            </w:r>
          </w:p>
        </w:tc>
        <w:tc>
          <w:tcPr>
            <w:tcW w:w="0" w:type="auto"/>
            <w:shd w:val="clear" w:color="auto" w:fill="CCEEFF"/>
            <w:tcMar>
              <w:top w:w="30" w:type="dxa"/>
              <w:left w:w="0" w:type="dxa"/>
              <w:bottom w:w="30" w:type="dxa"/>
              <w:right w:w="20" w:type="dxa"/>
            </w:tcMar>
            <w:vAlign w:val="center"/>
            <w:hideMark/>
          </w:tcPr>
          <w:p w14:paraId="6BBD7ED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7B3AD"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14:paraId="2574EF42" w14:textId="77777777" w:rsidR="00000000" w:rsidRDefault="00A173A8">
            <w:pPr>
              <w:spacing w:after="100"/>
              <w:jc w:val="right"/>
              <w:rPr>
                <w:rFonts w:eastAsia="Times New Roman"/>
              </w:rPr>
            </w:pPr>
            <w:r>
              <w:rPr>
                <w:rFonts w:eastAsia="Times New Roman"/>
                <w:color w:val="000000"/>
                <w:sz w:val="18"/>
                <w:szCs w:val="18"/>
              </w:rPr>
              <w:t>537 </w:t>
            </w:r>
          </w:p>
        </w:tc>
        <w:tc>
          <w:tcPr>
            <w:tcW w:w="0" w:type="auto"/>
            <w:shd w:val="clear" w:color="auto" w:fill="CCEEFF"/>
            <w:tcMar>
              <w:top w:w="30" w:type="dxa"/>
              <w:left w:w="0" w:type="dxa"/>
              <w:bottom w:w="30" w:type="dxa"/>
              <w:right w:w="20" w:type="dxa"/>
            </w:tcMar>
            <w:vAlign w:val="center"/>
            <w:hideMark/>
          </w:tcPr>
          <w:p w14:paraId="120B70AD"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5BEE4B14"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5FC31AE0" w14:textId="77777777" w:rsidR="00000000" w:rsidRDefault="00A173A8">
            <w:pPr>
              <w:spacing w:after="100"/>
              <w:jc w:val="right"/>
              <w:rPr>
                <w:rFonts w:eastAsia="Times New Roman"/>
              </w:rPr>
            </w:pPr>
            <w:r>
              <w:rPr>
                <w:rFonts w:eastAsia="Times New Roman"/>
                <w:color w:val="000000"/>
                <w:sz w:val="18"/>
                <w:szCs w:val="18"/>
              </w:rPr>
              <w:t>157 </w:t>
            </w:r>
          </w:p>
        </w:tc>
        <w:tc>
          <w:tcPr>
            <w:tcW w:w="0" w:type="auto"/>
            <w:shd w:val="clear" w:color="auto" w:fill="CCEEFF"/>
            <w:tcMar>
              <w:top w:w="30" w:type="dxa"/>
              <w:left w:w="0" w:type="dxa"/>
              <w:bottom w:w="30" w:type="dxa"/>
              <w:right w:w="20" w:type="dxa"/>
            </w:tcMar>
            <w:vAlign w:val="center"/>
            <w:hideMark/>
          </w:tcPr>
          <w:p w14:paraId="5AEAF0B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0B70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1A63A1" w14:textId="77777777" w:rsidR="00000000" w:rsidRDefault="00A173A8">
            <w:pPr>
              <w:spacing w:after="100"/>
              <w:jc w:val="right"/>
              <w:rPr>
                <w:rFonts w:eastAsia="Times New Roman"/>
              </w:rPr>
            </w:pPr>
            <w:r>
              <w:rPr>
                <w:rFonts w:eastAsia="Times New Roman"/>
                <w:color w:val="000000"/>
                <w:sz w:val="18"/>
                <w:szCs w:val="18"/>
              </w:rPr>
              <w:t>15,064 </w:t>
            </w:r>
          </w:p>
        </w:tc>
        <w:tc>
          <w:tcPr>
            <w:tcW w:w="0" w:type="auto"/>
            <w:shd w:val="clear" w:color="auto" w:fill="CCEEFF"/>
            <w:tcMar>
              <w:top w:w="30" w:type="dxa"/>
              <w:left w:w="0" w:type="dxa"/>
              <w:bottom w:w="30" w:type="dxa"/>
              <w:right w:w="20" w:type="dxa"/>
            </w:tcMar>
            <w:vAlign w:val="center"/>
            <w:hideMark/>
          </w:tcPr>
          <w:p w14:paraId="5B6CFA6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CEDC8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EF90E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196774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AFA0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075F9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0EC38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44E7E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8269E8" w14:textId="77777777" w:rsidR="00000000" w:rsidRDefault="00A173A8">
            <w:pPr>
              <w:spacing w:after="100"/>
              <w:jc w:val="right"/>
              <w:rPr>
                <w:rFonts w:eastAsia="Times New Roman"/>
              </w:rPr>
            </w:pPr>
            <w:r>
              <w:rPr>
                <w:rFonts w:eastAsia="Times New Roman"/>
                <w:color w:val="000000"/>
                <w:sz w:val="18"/>
                <w:szCs w:val="18"/>
              </w:rPr>
              <w:t>15,064 </w:t>
            </w:r>
          </w:p>
        </w:tc>
        <w:tc>
          <w:tcPr>
            <w:tcW w:w="0" w:type="auto"/>
            <w:shd w:val="clear" w:color="auto" w:fill="CCEEFF"/>
            <w:tcMar>
              <w:top w:w="30" w:type="dxa"/>
              <w:left w:w="0" w:type="dxa"/>
              <w:bottom w:w="30" w:type="dxa"/>
              <w:right w:w="20" w:type="dxa"/>
            </w:tcMar>
            <w:vAlign w:val="center"/>
            <w:hideMark/>
          </w:tcPr>
          <w:p w14:paraId="1525B7F5" w14:textId="77777777" w:rsidR="00000000" w:rsidRDefault="00A173A8">
            <w:pPr>
              <w:spacing w:after="100"/>
              <w:jc w:val="right"/>
              <w:rPr>
                <w:rFonts w:eastAsia="Times New Roman"/>
              </w:rPr>
            </w:pPr>
          </w:p>
        </w:tc>
      </w:tr>
      <w:tr w:rsidR="00000000" w14:paraId="354BB37D" w14:textId="77777777">
        <w:tc>
          <w:tcPr>
            <w:tcW w:w="0" w:type="auto"/>
            <w:gridSpan w:val="12"/>
            <w:shd w:val="clear" w:color="auto" w:fill="FFFFFF"/>
            <w:tcMar>
              <w:top w:w="30" w:type="dxa"/>
              <w:left w:w="380" w:type="dxa"/>
              <w:bottom w:w="30" w:type="dxa"/>
              <w:right w:w="20" w:type="dxa"/>
            </w:tcMar>
            <w:vAlign w:val="center"/>
            <w:hideMark/>
          </w:tcPr>
          <w:p w14:paraId="51AE0181" w14:textId="77777777" w:rsidR="00000000" w:rsidRDefault="00A173A8">
            <w:pPr>
              <w:spacing w:after="100"/>
              <w:rPr>
                <w:rFonts w:eastAsia="Times New Roman"/>
              </w:rPr>
            </w:pPr>
            <w:r>
              <w:rPr>
                <w:rFonts w:eastAsia="Times New Roman"/>
                <w:color w:val="000000"/>
                <w:sz w:val="18"/>
                <w:szCs w:val="18"/>
              </w:rPr>
              <w:t>620 or below</w:t>
            </w:r>
          </w:p>
        </w:tc>
        <w:tc>
          <w:tcPr>
            <w:tcW w:w="0" w:type="auto"/>
            <w:gridSpan w:val="7"/>
            <w:shd w:val="clear" w:color="auto" w:fill="FFFFFF"/>
            <w:tcMar>
              <w:top w:w="0" w:type="dxa"/>
              <w:left w:w="20" w:type="dxa"/>
              <w:bottom w:w="0" w:type="dxa"/>
              <w:right w:w="20" w:type="dxa"/>
            </w:tcMar>
            <w:vAlign w:val="center"/>
            <w:hideMark/>
          </w:tcPr>
          <w:p w14:paraId="1B7C94FF" w14:textId="77777777" w:rsidR="00000000" w:rsidRDefault="00A173A8">
            <w:pPr>
              <w:spacing w:after="100"/>
              <w:rPr>
                <w:rFonts w:eastAsia="Times New Roman"/>
              </w:rPr>
            </w:pPr>
          </w:p>
        </w:tc>
        <w:tc>
          <w:tcPr>
            <w:tcW w:w="0" w:type="auto"/>
            <w:gridSpan w:val="8"/>
            <w:shd w:val="clear" w:color="auto" w:fill="FFFFFF"/>
            <w:tcMar>
              <w:top w:w="30" w:type="dxa"/>
              <w:left w:w="20" w:type="dxa"/>
              <w:bottom w:w="30" w:type="dxa"/>
              <w:right w:w="0" w:type="dxa"/>
            </w:tcMar>
            <w:vAlign w:val="center"/>
            <w:hideMark/>
          </w:tcPr>
          <w:p w14:paraId="156CBA07" w14:textId="77777777" w:rsidR="00000000" w:rsidRDefault="00A173A8">
            <w:pPr>
              <w:spacing w:after="100"/>
              <w:jc w:val="right"/>
              <w:rPr>
                <w:rFonts w:eastAsia="Times New Roman"/>
              </w:rPr>
            </w:pPr>
            <w:r>
              <w:rPr>
                <w:rFonts w:eastAsia="Times New Roman"/>
                <w:color w:val="000000"/>
                <w:sz w:val="18"/>
                <w:szCs w:val="18"/>
              </w:rPr>
              <w:t>9,522 </w:t>
            </w:r>
          </w:p>
        </w:tc>
        <w:tc>
          <w:tcPr>
            <w:tcW w:w="0" w:type="auto"/>
            <w:shd w:val="clear" w:color="auto" w:fill="FFFFFF"/>
            <w:tcMar>
              <w:top w:w="30" w:type="dxa"/>
              <w:left w:w="0" w:type="dxa"/>
              <w:bottom w:w="30" w:type="dxa"/>
              <w:right w:w="20" w:type="dxa"/>
            </w:tcMar>
            <w:vAlign w:val="center"/>
            <w:hideMark/>
          </w:tcPr>
          <w:p w14:paraId="07296BA6" w14:textId="77777777" w:rsidR="00000000" w:rsidRDefault="00A173A8">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5B136F42" w14:textId="77777777" w:rsidR="00000000" w:rsidRDefault="00A173A8">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14:paraId="13A01A69" w14:textId="77777777" w:rsidR="00000000" w:rsidRDefault="00A173A8">
            <w:pPr>
              <w:spacing w:after="100"/>
              <w:jc w:val="right"/>
              <w:rPr>
                <w:rFonts w:eastAsia="Times New Roman"/>
              </w:rPr>
            </w:pPr>
            <w:r>
              <w:rPr>
                <w:rFonts w:eastAsia="Times New Roman"/>
                <w:color w:val="000000"/>
                <w:sz w:val="18"/>
                <w:szCs w:val="18"/>
              </w:rPr>
              <w:t>6,336 </w:t>
            </w:r>
          </w:p>
        </w:tc>
        <w:tc>
          <w:tcPr>
            <w:tcW w:w="0" w:type="auto"/>
            <w:gridSpan w:val="4"/>
            <w:shd w:val="clear" w:color="auto" w:fill="FFFFFF"/>
            <w:tcMar>
              <w:top w:w="30" w:type="dxa"/>
              <w:left w:w="0" w:type="dxa"/>
              <w:bottom w:w="30" w:type="dxa"/>
              <w:right w:w="20" w:type="dxa"/>
            </w:tcMar>
            <w:vAlign w:val="center"/>
            <w:hideMark/>
          </w:tcPr>
          <w:p w14:paraId="0021E30C"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F0FFFFA"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13DBF1A4" w14:textId="77777777" w:rsidR="00000000" w:rsidRDefault="00A173A8">
            <w:pPr>
              <w:spacing w:after="100"/>
              <w:jc w:val="right"/>
              <w:rPr>
                <w:rFonts w:eastAsia="Times New Roman"/>
              </w:rPr>
            </w:pPr>
            <w:r>
              <w:rPr>
                <w:rFonts w:eastAsia="Times New Roman"/>
                <w:color w:val="000000"/>
                <w:sz w:val="18"/>
                <w:szCs w:val="18"/>
              </w:rPr>
              <w:t>3,767 </w:t>
            </w:r>
          </w:p>
        </w:tc>
        <w:tc>
          <w:tcPr>
            <w:tcW w:w="0" w:type="auto"/>
            <w:shd w:val="clear" w:color="auto" w:fill="FFFFFF"/>
            <w:tcMar>
              <w:top w:w="30" w:type="dxa"/>
              <w:left w:w="0" w:type="dxa"/>
              <w:bottom w:w="30" w:type="dxa"/>
              <w:right w:w="20" w:type="dxa"/>
            </w:tcMar>
            <w:vAlign w:val="center"/>
            <w:hideMark/>
          </w:tcPr>
          <w:p w14:paraId="77D1DDF1"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493C5DB0" w14:textId="77777777" w:rsidR="00000000" w:rsidRDefault="00A173A8">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14:paraId="2BE2FB96" w14:textId="77777777" w:rsidR="00000000" w:rsidRDefault="00A173A8">
            <w:pPr>
              <w:spacing w:after="100"/>
              <w:jc w:val="right"/>
              <w:rPr>
                <w:rFonts w:eastAsia="Times New Roman"/>
              </w:rPr>
            </w:pPr>
            <w:r>
              <w:rPr>
                <w:rFonts w:eastAsia="Times New Roman"/>
                <w:color w:val="000000"/>
                <w:sz w:val="18"/>
                <w:szCs w:val="18"/>
              </w:rPr>
              <w:t>1,840 </w:t>
            </w:r>
          </w:p>
        </w:tc>
        <w:tc>
          <w:tcPr>
            <w:tcW w:w="0" w:type="auto"/>
            <w:shd w:val="clear" w:color="auto" w:fill="FFFFFF"/>
            <w:tcMar>
              <w:top w:w="30" w:type="dxa"/>
              <w:left w:w="0" w:type="dxa"/>
              <w:bottom w:w="30" w:type="dxa"/>
              <w:right w:w="20" w:type="dxa"/>
            </w:tcMar>
            <w:vAlign w:val="center"/>
            <w:hideMark/>
          </w:tcPr>
          <w:p w14:paraId="3DDA6A6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FF09D"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6D2EAE05" w14:textId="77777777" w:rsidR="00000000" w:rsidRDefault="00A173A8">
            <w:pPr>
              <w:spacing w:after="100"/>
              <w:jc w:val="right"/>
              <w:rPr>
                <w:rFonts w:eastAsia="Times New Roman"/>
              </w:rPr>
            </w:pPr>
            <w:r>
              <w:rPr>
                <w:rFonts w:eastAsia="Times New Roman"/>
                <w:color w:val="000000"/>
                <w:sz w:val="18"/>
                <w:szCs w:val="18"/>
              </w:rPr>
              <w:t>949 </w:t>
            </w:r>
          </w:p>
        </w:tc>
        <w:tc>
          <w:tcPr>
            <w:tcW w:w="0" w:type="auto"/>
            <w:shd w:val="clear" w:color="auto" w:fill="FFFFFF"/>
            <w:tcMar>
              <w:top w:w="30" w:type="dxa"/>
              <w:left w:w="0" w:type="dxa"/>
              <w:bottom w:w="30" w:type="dxa"/>
              <w:right w:w="20" w:type="dxa"/>
            </w:tcMar>
            <w:vAlign w:val="center"/>
            <w:hideMark/>
          </w:tcPr>
          <w:p w14:paraId="32D6E0BD"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878944A"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44DDCEB9" w14:textId="77777777" w:rsidR="00000000" w:rsidRDefault="00A173A8">
            <w:pPr>
              <w:spacing w:after="100"/>
              <w:jc w:val="right"/>
              <w:rPr>
                <w:rFonts w:eastAsia="Times New Roman"/>
              </w:rPr>
            </w:pPr>
            <w:r>
              <w:rPr>
                <w:rFonts w:eastAsia="Times New Roman"/>
                <w:color w:val="000000"/>
                <w:sz w:val="18"/>
                <w:szCs w:val="18"/>
              </w:rPr>
              <w:t>326 </w:t>
            </w:r>
          </w:p>
        </w:tc>
        <w:tc>
          <w:tcPr>
            <w:tcW w:w="0" w:type="auto"/>
            <w:shd w:val="clear" w:color="auto" w:fill="FFFFFF"/>
            <w:tcMar>
              <w:top w:w="30" w:type="dxa"/>
              <w:left w:w="0" w:type="dxa"/>
              <w:bottom w:w="30" w:type="dxa"/>
              <w:right w:w="20" w:type="dxa"/>
            </w:tcMar>
            <w:vAlign w:val="center"/>
            <w:hideMark/>
          </w:tcPr>
          <w:p w14:paraId="0C50622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D24EE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2AD55A" w14:textId="77777777" w:rsidR="00000000" w:rsidRDefault="00A173A8">
            <w:pPr>
              <w:spacing w:after="100"/>
              <w:jc w:val="right"/>
              <w:rPr>
                <w:rFonts w:eastAsia="Times New Roman"/>
              </w:rPr>
            </w:pPr>
            <w:r>
              <w:rPr>
                <w:rFonts w:eastAsia="Times New Roman"/>
                <w:color w:val="000000"/>
                <w:sz w:val="18"/>
                <w:szCs w:val="18"/>
              </w:rPr>
              <w:t>22,740 </w:t>
            </w:r>
          </w:p>
        </w:tc>
        <w:tc>
          <w:tcPr>
            <w:tcW w:w="0" w:type="auto"/>
            <w:shd w:val="clear" w:color="auto" w:fill="FFFFFF"/>
            <w:tcMar>
              <w:top w:w="30" w:type="dxa"/>
              <w:left w:w="0" w:type="dxa"/>
              <w:bottom w:w="30" w:type="dxa"/>
              <w:right w:w="20" w:type="dxa"/>
            </w:tcMar>
            <w:vAlign w:val="center"/>
            <w:hideMark/>
          </w:tcPr>
          <w:p w14:paraId="5B47D62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0968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CC720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B3EF8B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8689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310FB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B35D0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40EF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3F8F31" w14:textId="77777777" w:rsidR="00000000" w:rsidRDefault="00A173A8">
            <w:pPr>
              <w:spacing w:after="100"/>
              <w:jc w:val="right"/>
              <w:rPr>
                <w:rFonts w:eastAsia="Times New Roman"/>
              </w:rPr>
            </w:pPr>
            <w:r>
              <w:rPr>
                <w:rFonts w:eastAsia="Times New Roman"/>
                <w:color w:val="000000"/>
                <w:sz w:val="18"/>
                <w:szCs w:val="18"/>
              </w:rPr>
              <w:t>22,740 </w:t>
            </w:r>
          </w:p>
        </w:tc>
        <w:tc>
          <w:tcPr>
            <w:tcW w:w="0" w:type="auto"/>
            <w:shd w:val="clear" w:color="auto" w:fill="FFFFFF"/>
            <w:tcMar>
              <w:top w:w="30" w:type="dxa"/>
              <w:left w:w="0" w:type="dxa"/>
              <w:bottom w:w="30" w:type="dxa"/>
              <w:right w:w="20" w:type="dxa"/>
            </w:tcMar>
            <w:vAlign w:val="center"/>
            <w:hideMark/>
          </w:tcPr>
          <w:p w14:paraId="5C654D1A" w14:textId="77777777" w:rsidR="00000000" w:rsidRDefault="00A173A8">
            <w:pPr>
              <w:spacing w:after="100"/>
              <w:jc w:val="right"/>
              <w:rPr>
                <w:rFonts w:eastAsia="Times New Roman"/>
              </w:rPr>
            </w:pPr>
          </w:p>
        </w:tc>
      </w:tr>
      <w:tr w:rsidR="00000000" w14:paraId="753138B9" w14:textId="77777777">
        <w:tc>
          <w:tcPr>
            <w:tcW w:w="0" w:type="auto"/>
            <w:gridSpan w:val="12"/>
            <w:shd w:val="clear" w:color="auto" w:fill="CCEEFF"/>
            <w:tcMar>
              <w:top w:w="30" w:type="dxa"/>
              <w:left w:w="20" w:type="dxa"/>
              <w:bottom w:w="30" w:type="dxa"/>
              <w:right w:w="20" w:type="dxa"/>
            </w:tcMar>
            <w:vAlign w:val="center"/>
            <w:hideMark/>
          </w:tcPr>
          <w:p w14:paraId="3431A278" w14:textId="77777777" w:rsidR="00000000" w:rsidRDefault="00A173A8">
            <w:pPr>
              <w:spacing w:after="100"/>
              <w:rPr>
                <w:rFonts w:eastAsia="Times New Roman"/>
              </w:rPr>
            </w:pPr>
            <w:r>
              <w:rPr>
                <w:rFonts w:eastAsia="Times New Roman"/>
                <w:b/>
                <w:bCs/>
                <w:color w:val="000000"/>
                <w:sz w:val="18"/>
                <w:szCs w:val="18"/>
              </w:rPr>
              <w:t>Total auto</w:t>
            </w:r>
          </w:p>
        </w:tc>
        <w:tc>
          <w:tcPr>
            <w:tcW w:w="0" w:type="auto"/>
            <w:gridSpan w:val="7"/>
            <w:shd w:val="clear" w:color="auto" w:fill="CCEEFF"/>
            <w:tcMar>
              <w:top w:w="0" w:type="dxa"/>
              <w:left w:w="20" w:type="dxa"/>
              <w:bottom w:w="0" w:type="dxa"/>
              <w:right w:w="20" w:type="dxa"/>
            </w:tcMar>
            <w:vAlign w:val="center"/>
            <w:hideMark/>
          </w:tcPr>
          <w:p w14:paraId="6F32AA2F" w14:textId="77777777" w:rsidR="00000000" w:rsidRDefault="00A173A8">
            <w:pPr>
              <w:spacing w:after="100"/>
              <w:rPr>
                <w:rFonts w:eastAsia="Times New Roman"/>
              </w:rPr>
            </w:pPr>
          </w:p>
        </w:tc>
        <w:tc>
          <w:tcPr>
            <w:tcW w:w="0" w:type="auto"/>
            <w:gridSpan w:val="8"/>
            <w:tcBorders>
              <w:top w:val="single" w:sz="8" w:space="0" w:color="000000"/>
            </w:tcBorders>
            <w:shd w:val="clear" w:color="auto" w:fill="CCEEFF"/>
            <w:tcMar>
              <w:top w:w="30" w:type="dxa"/>
              <w:left w:w="20" w:type="dxa"/>
              <w:bottom w:w="30" w:type="dxa"/>
              <w:right w:w="0" w:type="dxa"/>
            </w:tcMar>
            <w:vAlign w:val="center"/>
            <w:hideMark/>
          </w:tcPr>
          <w:p w14:paraId="05B7D00E" w14:textId="77777777" w:rsidR="00000000" w:rsidRDefault="00A173A8">
            <w:pPr>
              <w:spacing w:after="100"/>
              <w:jc w:val="right"/>
              <w:rPr>
                <w:rFonts w:eastAsia="Times New Roman"/>
              </w:rPr>
            </w:pPr>
            <w:r>
              <w:rPr>
                <w:rFonts w:eastAsia="Times New Roman"/>
                <w:color w:val="000000"/>
                <w:sz w:val="18"/>
                <w:szCs w:val="18"/>
              </w:rPr>
              <w:t>37,736 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B549AD" w14:textId="77777777" w:rsidR="00000000" w:rsidRDefault="00A173A8">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00D87294" w14:textId="77777777" w:rsidR="00000000" w:rsidRDefault="00A173A8">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center"/>
            <w:hideMark/>
          </w:tcPr>
          <w:p w14:paraId="0AB04DA5" w14:textId="77777777" w:rsidR="00000000" w:rsidRDefault="00A173A8">
            <w:pPr>
              <w:spacing w:after="100"/>
              <w:jc w:val="right"/>
              <w:rPr>
                <w:rFonts w:eastAsia="Times New Roman"/>
              </w:rPr>
            </w:pPr>
            <w:r>
              <w:rPr>
                <w:rFonts w:eastAsia="Times New Roman"/>
                <w:color w:val="000000"/>
                <w:sz w:val="18"/>
                <w:szCs w:val="18"/>
              </w:rPr>
              <w:t>18,687 </w:t>
            </w:r>
          </w:p>
        </w:tc>
        <w:tc>
          <w:tcPr>
            <w:tcW w:w="0" w:type="auto"/>
            <w:gridSpan w:val="4"/>
            <w:tcBorders>
              <w:top w:val="single" w:sz="8" w:space="0" w:color="000000"/>
            </w:tcBorders>
            <w:shd w:val="clear" w:color="auto" w:fill="CCEEFF"/>
            <w:tcMar>
              <w:top w:w="30" w:type="dxa"/>
              <w:left w:w="0" w:type="dxa"/>
              <w:bottom w:w="30" w:type="dxa"/>
              <w:right w:w="20" w:type="dxa"/>
            </w:tcMar>
            <w:vAlign w:val="center"/>
            <w:hideMark/>
          </w:tcPr>
          <w:p w14:paraId="289F570F"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3DBAE8F" w14:textId="77777777" w:rsidR="00000000" w:rsidRDefault="00A173A8">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center"/>
            <w:hideMark/>
          </w:tcPr>
          <w:p w14:paraId="1DC46673" w14:textId="77777777" w:rsidR="00000000" w:rsidRDefault="00A173A8">
            <w:pPr>
              <w:spacing w:after="100"/>
              <w:jc w:val="right"/>
              <w:rPr>
                <w:rFonts w:eastAsia="Times New Roman"/>
              </w:rPr>
            </w:pPr>
            <w:r>
              <w:rPr>
                <w:rFonts w:eastAsia="Times New Roman"/>
                <w:color w:val="000000"/>
                <w:sz w:val="18"/>
                <w:szCs w:val="18"/>
              </w:rPr>
              <w:t>10,615 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9B1858"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63019988" w14:textId="77777777" w:rsidR="00000000" w:rsidRDefault="00A173A8">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center"/>
            <w:hideMark/>
          </w:tcPr>
          <w:p w14:paraId="4F6BE962" w14:textId="77777777" w:rsidR="00000000" w:rsidRDefault="00A173A8">
            <w:pPr>
              <w:spacing w:after="100"/>
              <w:jc w:val="right"/>
              <w:rPr>
                <w:rFonts w:eastAsia="Times New Roman"/>
              </w:rPr>
            </w:pPr>
            <w:r>
              <w:rPr>
                <w:rFonts w:eastAsia="Times New Roman"/>
                <w:color w:val="000000"/>
                <w:sz w:val="18"/>
                <w:szCs w:val="18"/>
              </w:rPr>
              <w:t>5,318 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E5373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83C797" w14:textId="77777777" w:rsidR="00000000" w:rsidRDefault="00A173A8">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center"/>
            <w:hideMark/>
          </w:tcPr>
          <w:p w14:paraId="7F8CD5E0" w14:textId="77777777" w:rsidR="00000000" w:rsidRDefault="00A173A8">
            <w:pPr>
              <w:spacing w:after="100"/>
              <w:jc w:val="right"/>
              <w:rPr>
                <w:rFonts w:eastAsia="Times New Roman"/>
              </w:rPr>
            </w:pPr>
            <w:r>
              <w:rPr>
                <w:rFonts w:eastAsia="Times New Roman"/>
                <w:color w:val="000000"/>
                <w:sz w:val="18"/>
                <w:szCs w:val="18"/>
              </w:rPr>
              <w:t>2,639 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F5F366"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6E87882A"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center"/>
            <w:hideMark/>
          </w:tcPr>
          <w:p w14:paraId="607F939D" w14:textId="77777777" w:rsidR="00000000" w:rsidRDefault="00A173A8">
            <w:pPr>
              <w:spacing w:after="100"/>
              <w:jc w:val="right"/>
              <w:rPr>
                <w:rFonts w:eastAsia="Times New Roman"/>
              </w:rPr>
            </w:pPr>
            <w:r>
              <w:rPr>
                <w:rFonts w:eastAsia="Times New Roman"/>
                <w:color w:val="000000"/>
                <w:sz w:val="18"/>
                <w:szCs w:val="18"/>
              </w:rPr>
              <w:t>784 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4EDE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C086B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1FD9A82" w14:textId="77777777" w:rsidR="00000000" w:rsidRDefault="00A173A8">
            <w:pPr>
              <w:spacing w:after="100"/>
              <w:jc w:val="right"/>
              <w:rPr>
                <w:rFonts w:eastAsia="Times New Roman"/>
              </w:rPr>
            </w:pPr>
            <w:r>
              <w:rPr>
                <w:rFonts w:eastAsia="Times New Roman"/>
                <w:color w:val="000000"/>
                <w:sz w:val="18"/>
                <w:szCs w:val="18"/>
              </w:rPr>
              <w:t>75,779 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1D609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073C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D356B3C"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5FB88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3639A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4EA11F"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87F9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906F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DE4692" w14:textId="77777777" w:rsidR="00000000" w:rsidRDefault="00A173A8">
            <w:pPr>
              <w:spacing w:after="100"/>
              <w:jc w:val="right"/>
              <w:rPr>
                <w:rFonts w:eastAsia="Times New Roman"/>
              </w:rPr>
            </w:pPr>
            <w:r>
              <w:rPr>
                <w:rFonts w:eastAsia="Times New Roman"/>
                <w:color w:val="000000"/>
                <w:sz w:val="18"/>
                <w:szCs w:val="18"/>
              </w:rPr>
              <w:t>75,779 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46121A" w14:textId="77777777" w:rsidR="00000000" w:rsidRDefault="00A173A8">
            <w:pPr>
              <w:spacing w:after="100"/>
              <w:jc w:val="right"/>
              <w:rPr>
                <w:rFonts w:eastAsia="Times New Roman"/>
              </w:rPr>
            </w:pPr>
          </w:p>
        </w:tc>
      </w:tr>
      <w:tr w:rsidR="00000000" w14:paraId="0D45258D" w14:textId="77777777">
        <w:trPr>
          <w:trHeight w:val="280"/>
        </w:trPr>
        <w:tc>
          <w:tcPr>
            <w:tcW w:w="0" w:type="auto"/>
            <w:gridSpan w:val="12"/>
            <w:shd w:val="clear" w:color="auto" w:fill="FFFFFF"/>
            <w:tcMar>
              <w:top w:w="0" w:type="dxa"/>
              <w:left w:w="20" w:type="dxa"/>
              <w:bottom w:w="0" w:type="dxa"/>
              <w:right w:w="20" w:type="dxa"/>
            </w:tcMar>
            <w:vAlign w:val="center"/>
            <w:hideMark/>
          </w:tcPr>
          <w:p w14:paraId="7C5A03C5" w14:textId="77777777" w:rsidR="00000000" w:rsidRDefault="00A173A8">
            <w:pPr>
              <w:spacing w:after="100"/>
              <w:jc w:val="right"/>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244F926E" w14:textId="77777777" w:rsidR="00000000" w:rsidRDefault="00A173A8">
            <w:pPr>
              <w:spacing w:after="100"/>
              <w:rPr>
                <w:rFonts w:eastAsia="Times New Roman"/>
                <w:sz w:val="20"/>
                <w:szCs w:val="20"/>
              </w:rPr>
            </w:pPr>
          </w:p>
        </w:tc>
        <w:tc>
          <w:tcPr>
            <w:tcW w:w="0" w:type="auto"/>
            <w:gridSpan w:val="9"/>
            <w:tcBorders>
              <w:top w:val="single" w:sz="8" w:space="0" w:color="000000"/>
            </w:tcBorders>
            <w:shd w:val="clear" w:color="auto" w:fill="FFFFFF"/>
            <w:tcMar>
              <w:top w:w="0" w:type="dxa"/>
              <w:left w:w="20" w:type="dxa"/>
              <w:bottom w:w="0" w:type="dxa"/>
              <w:right w:w="20" w:type="dxa"/>
            </w:tcMar>
            <w:vAlign w:val="center"/>
            <w:hideMark/>
          </w:tcPr>
          <w:p w14:paraId="1BB1552A" w14:textId="77777777" w:rsidR="00000000" w:rsidRDefault="00A173A8">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7D1CDF81" w14:textId="77777777" w:rsidR="00000000" w:rsidRDefault="00A173A8">
            <w:pPr>
              <w:spacing w:after="100"/>
              <w:rPr>
                <w:rFonts w:eastAsia="Times New Roman"/>
                <w:sz w:val="20"/>
                <w:szCs w:val="20"/>
              </w:rPr>
            </w:pPr>
          </w:p>
        </w:tc>
        <w:tc>
          <w:tcPr>
            <w:tcW w:w="0" w:type="auto"/>
            <w:gridSpan w:val="11"/>
            <w:tcBorders>
              <w:top w:val="single" w:sz="8" w:space="0" w:color="000000"/>
            </w:tcBorders>
            <w:shd w:val="clear" w:color="auto" w:fill="FFFFFF"/>
            <w:tcMar>
              <w:top w:w="0" w:type="dxa"/>
              <w:left w:w="20" w:type="dxa"/>
              <w:bottom w:w="0" w:type="dxa"/>
              <w:right w:w="20" w:type="dxa"/>
            </w:tcMar>
            <w:vAlign w:val="center"/>
            <w:hideMark/>
          </w:tcPr>
          <w:p w14:paraId="57B7615B"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311EC5E3" w14:textId="77777777" w:rsidR="00000000" w:rsidRDefault="00A173A8">
            <w:pPr>
              <w:spacing w:after="100"/>
              <w:rPr>
                <w:rFonts w:eastAsia="Times New Roman"/>
                <w:sz w:val="20"/>
                <w:szCs w:val="20"/>
              </w:rPr>
            </w:pPr>
          </w:p>
        </w:tc>
        <w:tc>
          <w:tcPr>
            <w:tcW w:w="0" w:type="auto"/>
            <w:gridSpan w:val="9"/>
            <w:tcBorders>
              <w:top w:val="single" w:sz="8" w:space="0" w:color="000000"/>
            </w:tcBorders>
            <w:shd w:val="clear" w:color="auto" w:fill="FFFFFF"/>
            <w:tcMar>
              <w:top w:w="0" w:type="dxa"/>
              <w:left w:w="20" w:type="dxa"/>
              <w:bottom w:w="0" w:type="dxa"/>
              <w:right w:w="20" w:type="dxa"/>
            </w:tcMar>
            <w:vAlign w:val="center"/>
            <w:hideMark/>
          </w:tcPr>
          <w:p w14:paraId="049A698A" w14:textId="77777777" w:rsidR="00000000" w:rsidRDefault="00A173A8">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32CF7EF8" w14:textId="77777777" w:rsidR="00000000" w:rsidRDefault="00A173A8">
            <w:pPr>
              <w:spacing w:after="100"/>
              <w:rPr>
                <w:rFonts w:eastAsia="Times New Roman"/>
                <w:sz w:val="20"/>
                <w:szCs w:val="20"/>
              </w:rPr>
            </w:pPr>
          </w:p>
        </w:tc>
        <w:tc>
          <w:tcPr>
            <w:tcW w:w="0" w:type="auto"/>
            <w:gridSpan w:val="8"/>
            <w:tcBorders>
              <w:top w:val="single" w:sz="8" w:space="0" w:color="000000"/>
            </w:tcBorders>
            <w:shd w:val="clear" w:color="auto" w:fill="FFFFFF"/>
            <w:tcMar>
              <w:top w:w="0" w:type="dxa"/>
              <w:left w:w="20" w:type="dxa"/>
              <w:bottom w:w="0" w:type="dxa"/>
              <w:right w:w="20" w:type="dxa"/>
            </w:tcMar>
            <w:vAlign w:val="center"/>
            <w:hideMark/>
          </w:tcPr>
          <w:p w14:paraId="5D46AD8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7C3882" w14:textId="77777777" w:rsidR="00000000" w:rsidRDefault="00A173A8">
            <w:pPr>
              <w:spacing w:after="100"/>
              <w:rPr>
                <w:rFonts w:eastAsia="Times New Roman"/>
                <w:sz w:val="20"/>
                <w:szCs w:val="20"/>
              </w:rPr>
            </w:pPr>
          </w:p>
        </w:tc>
        <w:tc>
          <w:tcPr>
            <w:tcW w:w="0" w:type="auto"/>
            <w:gridSpan w:val="9"/>
            <w:tcBorders>
              <w:top w:val="single" w:sz="8" w:space="0" w:color="000000"/>
            </w:tcBorders>
            <w:shd w:val="clear" w:color="auto" w:fill="FFFFFF"/>
            <w:tcMar>
              <w:top w:w="0" w:type="dxa"/>
              <w:left w:w="20" w:type="dxa"/>
              <w:bottom w:w="0" w:type="dxa"/>
              <w:right w:w="20" w:type="dxa"/>
            </w:tcMar>
            <w:vAlign w:val="center"/>
            <w:hideMark/>
          </w:tcPr>
          <w:p w14:paraId="6790C7F6" w14:textId="77777777" w:rsidR="00000000" w:rsidRDefault="00A173A8">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38542892" w14:textId="77777777" w:rsidR="00000000" w:rsidRDefault="00A173A8">
            <w:pPr>
              <w:spacing w:after="100"/>
              <w:rPr>
                <w:rFonts w:eastAsia="Times New Roman"/>
                <w:sz w:val="20"/>
                <w:szCs w:val="20"/>
              </w:rPr>
            </w:pPr>
          </w:p>
        </w:tc>
        <w:tc>
          <w:tcPr>
            <w:tcW w:w="0" w:type="auto"/>
            <w:gridSpan w:val="5"/>
            <w:tcBorders>
              <w:top w:val="single" w:sz="8" w:space="0" w:color="000000"/>
            </w:tcBorders>
            <w:shd w:val="clear" w:color="auto" w:fill="FFFFFF"/>
            <w:tcMar>
              <w:top w:w="0" w:type="dxa"/>
              <w:left w:w="20" w:type="dxa"/>
              <w:bottom w:w="0" w:type="dxa"/>
              <w:right w:w="20" w:type="dxa"/>
            </w:tcMar>
            <w:vAlign w:val="center"/>
            <w:hideMark/>
          </w:tcPr>
          <w:p w14:paraId="0FA53AB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CA318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DA167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9C2BE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4CBC3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DE7E5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A2F96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478844"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14:paraId="38435EFD" w14:textId="77777777" w:rsidR="00000000" w:rsidRDefault="00A173A8">
            <w:pPr>
              <w:spacing w:after="100"/>
              <w:rPr>
                <w:rFonts w:eastAsia="Times New Roman"/>
                <w:sz w:val="20"/>
                <w:szCs w:val="20"/>
              </w:rPr>
            </w:pPr>
          </w:p>
        </w:tc>
        <w:tc>
          <w:tcPr>
            <w:tcW w:w="0" w:type="auto"/>
            <w:vAlign w:val="center"/>
            <w:hideMark/>
          </w:tcPr>
          <w:p w14:paraId="0B9FD1ED" w14:textId="77777777" w:rsidR="00000000" w:rsidRDefault="00A173A8">
            <w:pPr>
              <w:spacing w:after="100"/>
              <w:rPr>
                <w:rFonts w:eastAsia="Times New Roman"/>
                <w:sz w:val="20"/>
                <w:szCs w:val="20"/>
              </w:rPr>
            </w:pPr>
          </w:p>
        </w:tc>
      </w:tr>
      <w:tr w:rsidR="00000000" w14:paraId="3C5A0CE5" w14:textId="77777777">
        <w:tc>
          <w:tcPr>
            <w:tcW w:w="0" w:type="auto"/>
            <w:gridSpan w:val="12"/>
            <w:shd w:val="clear" w:color="auto" w:fill="CCEEFF"/>
            <w:tcMar>
              <w:top w:w="30" w:type="dxa"/>
              <w:left w:w="20" w:type="dxa"/>
              <w:bottom w:w="30" w:type="dxa"/>
              <w:right w:w="20" w:type="dxa"/>
            </w:tcMar>
            <w:vAlign w:val="center"/>
            <w:hideMark/>
          </w:tcPr>
          <w:p w14:paraId="30BE4B65" w14:textId="77777777" w:rsidR="00000000" w:rsidRDefault="00A173A8">
            <w:pPr>
              <w:spacing w:after="100"/>
              <w:rPr>
                <w:rFonts w:eastAsia="Times New Roman"/>
              </w:rPr>
            </w:pPr>
            <w:r>
              <w:rPr>
                <w:rFonts w:eastAsia="Times New Roman"/>
                <w:b/>
                <w:bCs/>
                <w:color w:val="000000"/>
                <w:sz w:val="18"/>
                <w:szCs w:val="18"/>
              </w:rPr>
              <w:t>Retail banking—Delinquency status:</w:t>
            </w:r>
          </w:p>
        </w:tc>
        <w:tc>
          <w:tcPr>
            <w:tcW w:w="0" w:type="auto"/>
            <w:gridSpan w:val="7"/>
            <w:shd w:val="clear" w:color="auto" w:fill="CCEEFF"/>
            <w:tcMar>
              <w:top w:w="0" w:type="dxa"/>
              <w:left w:w="20" w:type="dxa"/>
              <w:bottom w:w="0" w:type="dxa"/>
              <w:right w:w="20" w:type="dxa"/>
            </w:tcMar>
            <w:vAlign w:val="center"/>
            <w:hideMark/>
          </w:tcPr>
          <w:p w14:paraId="0F5F2BE0" w14:textId="77777777" w:rsidR="00000000" w:rsidRDefault="00A173A8">
            <w:pPr>
              <w:spacing w:after="100"/>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5122DD1B" w14:textId="77777777" w:rsidR="00000000" w:rsidRDefault="00A173A8">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41893F82" w14:textId="77777777" w:rsidR="00000000" w:rsidRDefault="00A173A8">
            <w:pPr>
              <w:spacing w:after="100"/>
              <w:rPr>
                <w:rFonts w:eastAsia="Times New Roman"/>
                <w:sz w:val="20"/>
                <w:szCs w:val="20"/>
              </w:rPr>
            </w:pPr>
          </w:p>
        </w:tc>
        <w:tc>
          <w:tcPr>
            <w:tcW w:w="0" w:type="auto"/>
            <w:gridSpan w:val="11"/>
            <w:shd w:val="clear" w:color="auto" w:fill="CCEEFF"/>
            <w:tcMar>
              <w:top w:w="0" w:type="dxa"/>
              <w:left w:w="20" w:type="dxa"/>
              <w:bottom w:w="0" w:type="dxa"/>
              <w:right w:w="20" w:type="dxa"/>
            </w:tcMar>
            <w:vAlign w:val="center"/>
            <w:hideMark/>
          </w:tcPr>
          <w:p w14:paraId="49562AE1"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9B7CC9D"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6B315276"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5E35783E" w14:textId="77777777" w:rsidR="00000000" w:rsidRDefault="00A173A8">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4452DAA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9A5936"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715D36B8"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20092356" w14:textId="77777777" w:rsidR="00000000" w:rsidRDefault="00A173A8">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199D62B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E0394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033BB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1738F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1593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F9362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9F4A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F877F7" w14:textId="77777777" w:rsidR="00000000" w:rsidRDefault="00A173A8">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14:paraId="361F3C89" w14:textId="77777777" w:rsidR="00000000" w:rsidRDefault="00A173A8">
            <w:pPr>
              <w:spacing w:after="100"/>
              <w:rPr>
                <w:rFonts w:eastAsia="Times New Roman"/>
                <w:sz w:val="20"/>
                <w:szCs w:val="20"/>
              </w:rPr>
            </w:pPr>
          </w:p>
        </w:tc>
        <w:tc>
          <w:tcPr>
            <w:tcW w:w="0" w:type="auto"/>
            <w:vAlign w:val="center"/>
            <w:hideMark/>
          </w:tcPr>
          <w:p w14:paraId="67622CB5" w14:textId="77777777" w:rsidR="00000000" w:rsidRDefault="00A173A8">
            <w:pPr>
              <w:spacing w:after="100"/>
              <w:rPr>
                <w:rFonts w:eastAsia="Times New Roman"/>
                <w:sz w:val="20"/>
                <w:szCs w:val="20"/>
              </w:rPr>
            </w:pPr>
          </w:p>
        </w:tc>
      </w:tr>
      <w:tr w:rsidR="00000000" w14:paraId="2866223D" w14:textId="77777777">
        <w:tc>
          <w:tcPr>
            <w:tcW w:w="0" w:type="auto"/>
            <w:gridSpan w:val="12"/>
            <w:shd w:val="clear" w:color="auto" w:fill="FFFFFF"/>
            <w:tcMar>
              <w:top w:w="30" w:type="dxa"/>
              <w:left w:w="380" w:type="dxa"/>
              <w:bottom w:w="30" w:type="dxa"/>
              <w:right w:w="20" w:type="dxa"/>
            </w:tcMar>
            <w:vAlign w:val="center"/>
            <w:hideMark/>
          </w:tcPr>
          <w:p w14:paraId="65AD91AB" w14:textId="77777777" w:rsidR="00000000" w:rsidRDefault="00A173A8">
            <w:pPr>
              <w:spacing w:after="100"/>
              <w:rPr>
                <w:rFonts w:eastAsia="Times New Roman"/>
              </w:rPr>
            </w:pPr>
            <w:r>
              <w:rPr>
                <w:rFonts w:eastAsia="Times New Roman"/>
                <w:color w:val="000000"/>
                <w:sz w:val="18"/>
                <w:szCs w:val="18"/>
              </w:rPr>
              <w:t>Current</w:t>
            </w:r>
          </w:p>
        </w:tc>
        <w:tc>
          <w:tcPr>
            <w:tcW w:w="0" w:type="auto"/>
            <w:gridSpan w:val="7"/>
            <w:shd w:val="clear" w:color="auto" w:fill="FFFFFF"/>
            <w:tcMar>
              <w:top w:w="0" w:type="dxa"/>
              <w:left w:w="20" w:type="dxa"/>
              <w:bottom w:w="0" w:type="dxa"/>
              <w:right w:w="20" w:type="dxa"/>
            </w:tcMar>
            <w:vAlign w:val="center"/>
            <w:hideMark/>
          </w:tcPr>
          <w:p w14:paraId="4EBA3D37" w14:textId="77777777" w:rsidR="00000000" w:rsidRDefault="00A173A8">
            <w:pPr>
              <w:spacing w:after="100"/>
              <w:rPr>
                <w:rFonts w:eastAsia="Times New Roman"/>
              </w:rPr>
            </w:pPr>
          </w:p>
        </w:tc>
        <w:tc>
          <w:tcPr>
            <w:tcW w:w="0" w:type="auto"/>
            <w:gridSpan w:val="8"/>
            <w:shd w:val="clear" w:color="auto" w:fill="FFFFFF"/>
            <w:tcMar>
              <w:top w:w="30" w:type="dxa"/>
              <w:left w:w="20" w:type="dxa"/>
              <w:bottom w:w="30" w:type="dxa"/>
              <w:right w:w="0" w:type="dxa"/>
            </w:tcMar>
            <w:vAlign w:val="center"/>
            <w:hideMark/>
          </w:tcPr>
          <w:p w14:paraId="59CB36A1" w14:textId="77777777" w:rsidR="00000000" w:rsidRDefault="00A173A8">
            <w:pPr>
              <w:spacing w:after="100"/>
              <w:jc w:val="right"/>
              <w:rPr>
                <w:rFonts w:eastAsia="Times New Roman"/>
              </w:rPr>
            </w:pPr>
            <w:r>
              <w:rPr>
                <w:rFonts w:eastAsia="Times New Roman"/>
                <w:color w:val="000000"/>
                <w:sz w:val="18"/>
                <w:szCs w:val="18"/>
              </w:rPr>
              <w:t>285 </w:t>
            </w:r>
          </w:p>
        </w:tc>
        <w:tc>
          <w:tcPr>
            <w:tcW w:w="0" w:type="auto"/>
            <w:shd w:val="clear" w:color="auto" w:fill="FFFFFF"/>
            <w:tcMar>
              <w:top w:w="30" w:type="dxa"/>
              <w:left w:w="0" w:type="dxa"/>
              <w:bottom w:w="30" w:type="dxa"/>
              <w:right w:w="20" w:type="dxa"/>
            </w:tcMar>
            <w:vAlign w:val="center"/>
            <w:hideMark/>
          </w:tcPr>
          <w:p w14:paraId="63FB9B8C" w14:textId="77777777" w:rsidR="00000000" w:rsidRDefault="00A173A8">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468B3AA0" w14:textId="77777777" w:rsidR="00000000" w:rsidRDefault="00A173A8">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14:paraId="6654F420" w14:textId="77777777" w:rsidR="00000000" w:rsidRDefault="00A173A8">
            <w:pPr>
              <w:spacing w:after="100"/>
              <w:jc w:val="right"/>
              <w:rPr>
                <w:rFonts w:eastAsia="Times New Roman"/>
              </w:rPr>
            </w:pPr>
            <w:r>
              <w:rPr>
                <w:rFonts w:eastAsia="Times New Roman"/>
                <w:color w:val="000000"/>
                <w:sz w:val="18"/>
                <w:szCs w:val="18"/>
              </w:rPr>
              <w:t>171 </w:t>
            </w:r>
          </w:p>
        </w:tc>
        <w:tc>
          <w:tcPr>
            <w:tcW w:w="0" w:type="auto"/>
            <w:gridSpan w:val="4"/>
            <w:shd w:val="clear" w:color="auto" w:fill="FFFFFF"/>
            <w:tcMar>
              <w:top w:w="30" w:type="dxa"/>
              <w:left w:w="0" w:type="dxa"/>
              <w:bottom w:w="30" w:type="dxa"/>
              <w:right w:w="20" w:type="dxa"/>
            </w:tcMar>
            <w:vAlign w:val="center"/>
            <w:hideMark/>
          </w:tcPr>
          <w:p w14:paraId="64264DF5"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C89A425"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376AE7C0" w14:textId="77777777" w:rsidR="00000000" w:rsidRDefault="00A173A8">
            <w:pPr>
              <w:spacing w:after="100"/>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center"/>
            <w:hideMark/>
          </w:tcPr>
          <w:p w14:paraId="1B496F18"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B37A3FD" w14:textId="77777777" w:rsidR="00000000" w:rsidRDefault="00A173A8">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14:paraId="509B0A8F" w14:textId="77777777" w:rsidR="00000000" w:rsidRDefault="00A173A8">
            <w:pPr>
              <w:spacing w:after="100"/>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14:paraId="66F0EE4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2344C"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3DCD0FEA" w14:textId="77777777" w:rsidR="00000000" w:rsidRDefault="00A173A8">
            <w:pPr>
              <w:spacing w:after="100"/>
              <w:jc w:val="right"/>
              <w:rPr>
                <w:rFonts w:eastAsia="Times New Roman"/>
              </w:rPr>
            </w:pPr>
            <w:r>
              <w:rPr>
                <w:rFonts w:eastAsia="Times New Roman"/>
                <w:color w:val="000000"/>
                <w:sz w:val="18"/>
                <w:szCs w:val="18"/>
              </w:rPr>
              <w:t>176 </w:t>
            </w:r>
          </w:p>
        </w:tc>
        <w:tc>
          <w:tcPr>
            <w:tcW w:w="0" w:type="auto"/>
            <w:shd w:val="clear" w:color="auto" w:fill="FFFFFF"/>
            <w:tcMar>
              <w:top w:w="30" w:type="dxa"/>
              <w:left w:w="0" w:type="dxa"/>
              <w:bottom w:w="30" w:type="dxa"/>
              <w:right w:w="20" w:type="dxa"/>
            </w:tcMar>
            <w:vAlign w:val="center"/>
            <w:hideMark/>
          </w:tcPr>
          <w:p w14:paraId="7EE868B5"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3505ECC1"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3F586B79" w14:textId="77777777" w:rsidR="00000000" w:rsidRDefault="00A173A8">
            <w:pPr>
              <w:spacing w:after="100"/>
              <w:jc w:val="right"/>
              <w:rPr>
                <w:rFonts w:eastAsia="Times New Roman"/>
              </w:rPr>
            </w:pPr>
            <w:r>
              <w:rPr>
                <w:rFonts w:eastAsia="Times New Roman"/>
                <w:color w:val="000000"/>
                <w:sz w:val="18"/>
                <w:szCs w:val="18"/>
              </w:rPr>
              <w:t>491 </w:t>
            </w:r>
          </w:p>
        </w:tc>
        <w:tc>
          <w:tcPr>
            <w:tcW w:w="0" w:type="auto"/>
            <w:shd w:val="clear" w:color="auto" w:fill="FFFFFF"/>
            <w:tcMar>
              <w:top w:w="30" w:type="dxa"/>
              <w:left w:w="0" w:type="dxa"/>
              <w:bottom w:w="30" w:type="dxa"/>
              <w:right w:w="20" w:type="dxa"/>
            </w:tcMar>
            <w:vAlign w:val="center"/>
            <w:hideMark/>
          </w:tcPr>
          <w:p w14:paraId="3E1FE61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CBA24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1C6889" w14:textId="77777777" w:rsidR="00000000" w:rsidRDefault="00A173A8">
            <w:pPr>
              <w:spacing w:after="100"/>
              <w:jc w:val="right"/>
              <w:rPr>
                <w:rFonts w:eastAsia="Times New Roman"/>
              </w:rPr>
            </w:pPr>
            <w:r>
              <w:rPr>
                <w:rFonts w:eastAsia="Times New Roman"/>
                <w:color w:val="000000"/>
                <w:sz w:val="18"/>
                <w:szCs w:val="18"/>
              </w:rPr>
              <w:t>1,456 </w:t>
            </w:r>
          </w:p>
        </w:tc>
        <w:tc>
          <w:tcPr>
            <w:tcW w:w="0" w:type="auto"/>
            <w:shd w:val="clear" w:color="auto" w:fill="FFFFFF"/>
            <w:tcMar>
              <w:top w:w="30" w:type="dxa"/>
              <w:left w:w="0" w:type="dxa"/>
              <w:bottom w:w="30" w:type="dxa"/>
              <w:right w:w="20" w:type="dxa"/>
            </w:tcMar>
            <w:vAlign w:val="center"/>
            <w:hideMark/>
          </w:tcPr>
          <w:p w14:paraId="47E330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D0BF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80CABC" w14:textId="77777777" w:rsidR="00000000" w:rsidRDefault="00A173A8">
            <w:pPr>
              <w:spacing w:after="100"/>
              <w:jc w:val="right"/>
              <w:rPr>
                <w:rFonts w:eastAsia="Times New Roman"/>
              </w:rPr>
            </w:pPr>
            <w:r>
              <w:rPr>
                <w:rFonts w:eastAsia="Times New Roman"/>
                <w:color w:val="000000"/>
                <w:sz w:val="18"/>
                <w:szCs w:val="18"/>
              </w:rPr>
              <w:t>345 </w:t>
            </w:r>
          </w:p>
        </w:tc>
        <w:tc>
          <w:tcPr>
            <w:tcW w:w="0" w:type="auto"/>
            <w:shd w:val="clear" w:color="auto" w:fill="FFFFFF"/>
            <w:tcMar>
              <w:top w:w="30" w:type="dxa"/>
              <w:left w:w="0" w:type="dxa"/>
              <w:bottom w:w="30" w:type="dxa"/>
              <w:right w:w="20" w:type="dxa"/>
            </w:tcMar>
            <w:vAlign w:val="center"/>
            <w:hideMark/>
          </w:tcPr>
          <w:p w14:paraId="73EE7D9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3F37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B05407" w14:textId="77777777" w:rsidR="00000000" w:rsidRDefault="00A173A8">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14:paraId="7194800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0BDE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81F84B" w14:textId="77777777" w:rsidR="00000000" w:rsidRDefault="00A173A8">
            <w:pPr>
              <w:spacing w:after="100"/>
              <w:jc w:val="right"/>
              <w:rPr>
                <w:rFonts w:eastAsia="Times New Roman"/>
              </w:rPr>
            </w:pPr>
            <w:r>
              <w:rPr>
                <w:rFonts w:eastAsia="Times New Roman"/>
                <w:color w:val="000000"/>
                <w:sz w:val="18"/>
                <w:szCs w:val="18"/>
              </w:rPr>
              <w:t>1,807 </w:t>
            </w:r>
          </w:p>
        </w:tc>
        <w:tc>
          <w:tcPr>
            <w:tcW w:w="0" w:type="auto"/>
            <w:shd w:val="clear" w:color="auto" w:fill="FFFFFF"/>
            <w:tcMar>
              <w:top w:w="30" w:type="dxa"/>
              <w:left w:w="0" w:type="dxa"/>
              <w:bottom w:w="30" w:type="dxa"/>
              <w:right w:w="20" w:type="dxa"/>
            </w:tcMar>
            <w:vAlign w:val="center"/>
            <w:hideMark/>
          </w:tcPr>
          <w:p w14:paraId="011F49FD" w14:textId="77777777" w:rsidR="00000000" w:rsidRDefault="00A173A8">
            <w:pPr>
              <w:spacing w:after="100"/>
              <w:jc w:val="right"/>
              <w:rPr>
                <w:rFonts w:eastAsia="Times New Roman"/>
              </w:rPr>
            </w:pPr>
          </w:p>
        </w:tc>
      </w:tr>
      <w:tr w:rsidR="00000000" w14:paraId="55A061CF" w14:textId="77777777">
        <w:tc>
          <w:tcPr>
            <w:tcW w:w="0" w:type="auto"/>
            <w:gridSpan w:val="12"/>
            <w:shd w:val="clear" w:color="auto" w:fill="CCEEFF"/>
            <w:tcMar>
              <w:top w:w="30" w:type="dxa"/>
              <w:left w:w="380" w:type="dxa"/>
              <w:bottom w:w="30" w:type="dxa"/>
              <w:right w:w="20" w:type="dxa"/>
            </w:tcMar>
            <w:vAlign w:val="center"/>
            <w:hideMark/>
          </w:tcPr>
          <w:p w14:paraId="713C41E5" w14:textId="77777777" w:rsidR="00000000" w:rsidRDefault="00A173A8">
            <w:pPr>
              <w:spacing w:after="100"/>
              <w:rPr>
                <w:rFonts w:eastAsia="Times New Roman"/>
              </w:rPr>
            </w:pPr>
            <w:r>
              <w:rPr>
                <w:rFonts w:eastAsia="Times New Roman"/>
                <w:color w:val="000000"/>
                <w:sz w:val="18"/>
                <w:szCs w:val="18"/>
              </w:rPr>
              <w:t>30-59 days</w:t>
            </w:r>
          </w:p>
        </w:tc>
        <w:tc>
          <w:tcPr>
            <w:tcW w:w="0" w:type="auto"/>
            <w:gridSpan w:val="7"/>
            <w:shd w:val="clear" w:color="auto" w:fill="CCEEFF"/>
            <w:tcMar>
              <w:top w:w="0" w:type="dxa"/>
              <w:left w:w="20" w:type="dxa"/>
              <w:bottom w:w="0" w:type="dxa"/>
              <w:right w:w="20" w:type="dxa"/>
            </w:tcMar>
            <w:vAlign w:val="center"/>
            <w:hideMark/>
          </w:tcPr>
          <w:p w14:paraId="2FB8DB53" w14:textId="77777777" w:rsidR="00000000" w:rsidRDefault="00A173A8">
            <w:pPr>
              <w:spacing w:after="100"/>
              <w:rPr>
                <w:rFonts w:eastAsia="Times New Roman"/>
              </w:rPr>
            </w:pPr>
          </w:p>
        </w:tc>
        <w:tc>
          <w:tcPr>
            <w:tcW w:w="0" w:type="auto"/>
            <w:gridSpan w:val="8"/>
            <w:shd w:val="clear" w:color="auto" w:fill="CCEEFF"/>
            <w:tcMar>
              <w:top w:w="30" w:type="dxa"/>
              <w:left w:w="20" w:type="dxa"/>
              <w:bottom w:w="30" w:type="dxa"/>
              <w:right w:w="0" w:type="dxa"/>
            </w:tcMar>
            <w:vAlign w:val="center"/>
            <w:hideMark/>
          </w:tcPr>
          <w:p w14:paraId="61C2DB63"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B6755CF" w14:textId="77777777" w:rsidR="00000000" w:rsidRDefault="00A173A8">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1653AECF" w14:textId="77777777" w:rsidR="00000000" w:rsidRDefault="00A173A8">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14:paraId="2365EF0D" w14:textId="77777777" w:rsidR="00000000" w:rsidRDefault="00A173A8">
            <w:pPr>
              <w:spacing w:after="100"/>
              <w:jc w:val="right"/>
              <w:rPr>
                <w:rFonts w:eastAsia="Times New Roman"/>
              </w:rPr>
            </w:pPr>
            <w:r>
              <w:rPr>
                <w:rFonts w:eastAsia="Times New Roman"/>
                <w:color w:val="000000"/>
                <w:sz w:val="18"/>
                <w:szCs w:val="18"/>
              </w:rPr>
              <w:t>2 </w:t>
            </w:r>
          </w:p>
        </w:tc>
        <w:tc>
          <w:tcPr>
            <w:tcW w:w="0" w:type="auto"/>
            <w:gridSpan w:val="4"/>
            <w:shd w:val="clear" w:color="auto" w:fill="CCEEFF"/>
            <w:tcMar>
              <w:top w:w="30" w:type="dxa"/>
              <w:left w:w="0" w:type="dxa"/>
              <w:bottom w:w="30" w:type="dxa"/>
              <w:right w:w="20" w:type="dxa"/>
            </w:tcMar>
            <w:vAlign w:val="center"/>
            <w:hideMark/>
          </w:tcPr>
          <w:p w14:paraId="189093E0"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D85BD28"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14:paraId="0EB69DFF" w14:textId="77777777" w:rsidR="00000000" w:rsidRDefault="00A173A8">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14:paraId="0ED7F9DC"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0E992592" w14:textId="77777777" w:rsidR="00000000" w:rsidRDefault="00A173A8">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center"/>
            <w:hideMark/>
          </w:tcPr>
          <w:p w14:paraId="244311CE" w14:textId="77777777" w:rsidR="00000000" w:rsidRDefault="00A173A8">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3C0ED56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E2B96"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center"/>
            <w:hideMark/>
          </w:tcPr>
          <w:p w14:paraId="407AD86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3CDE3FB"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4CAFDCDD"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11B8EB78"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7E2E249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FD34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99642B" w14:textId="77777777" w:rsidR="00000000" w:rsidRDefault="00A173A8">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14:paraId="19A4BE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AAD5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192EB6" w14:textId="77777777" w:rsidR="00000000" w:rsidRDefault="00A173A8">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14:paraId="4F21CDD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E377A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71BF0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1BAFB7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4EB2D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30BAEE" w14:textId="77777777" w:rsidR="00000000" w:rsidRDefault="00A173A8">
            <w:pPr>
              <w:spacing w:after="100"/>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center"/>
            <w:hideMark/>
          </w:tcPr>
          <w:p w14:paraId="5B7FEC7D" w14:textId="77777777" w:rsidR="00000000" w:rsidRDefault="00A173A8">
            <w:pPr>
              <w:spacing w:after="100"/>
              <w:jc w:val="right"/>
              <w:rPr>
                <w:rFonts w:eastAsia="Times New Roman"/>
              </w:rPr>
            </w:pPr>
          </w:p>
        </w:tc>
      </w:tr>
      <w:tr w:rsidR="00000000" w14:paraId="5352FEF6" w14:textId="77777777">
        <w:tc>
          <w:tcPr>
            <w:tcW w:w="0" w:type="auto"/>
            <w:gridSpan w:val="12"/>
            <w:shd w:val="clear" w:color="auto" w:fill="FFFFFF"/>
            <w:tcMar>
              <w:top w:w="30" w:type="dxa"/>
              <w:left w:w="380" w:type="dxa"/>
              <w:bottom w:w="30" w:type="dxa"/>
              <w:right w:w="20" w:type="dxa"/>
            </w:tcMar>
            <w:vAlign w:val="center"/>
            <w:hideMark/>
          </w:tcPr>
          <w:p w14:paraId="04D51958" w14:textId="77777777" w:rsidR="00000000" w:rsidRDefault="00A173A8">
            <w:pPr>
              <w:spacing w:after="100"/>
              <w:rPr>
                <w:rFonts w:eastAsia="Times New Roman"/>
              </w:rPr>
            </w:pPr>
            <w:r>
              <w:rPr>
                <w:rFonts w:eastAsia="Times New Roman"/>
                <w:color w:val="000000"/>
                <w:sz w:val="18"/>
                <w:szCs w:val="18"/>
              </w:rPr>
              <w:t>60-89 days</w:t>
            </w:r>
          </w:p>
        </w:tc>
        <w:tc>
          <w:tcPr>
            <w:tcW w:w="0" w:type="auto"/>
            <w:gridSpan w:val="7"/>
            <w:shd w:val="clear" w:color="auto" w:fill="FFFFFF"/>
            <w:tcMar>
              <w:top w:w="0" w:type="dxa"/>
              <w:left w:w="20" w:type="dxa"/>
              <w:bottom w:w="0" w:type="dxa"/>
              <w:right w:w="20" w:type="dxa"/>
            </w:tcMar>
            <w:vAlign w:val="center"/>
            <w:hideMark/>
          </w:tcPr>
          <w:p w14:paraId="7E3A01F5" w14:textId="77777777" w:rsidR="00000000" w:rsidRDefault="00A173A8">
            <w:pPr>
              <w:spacing w:after="100"/>
              <w:rPr>
                <w:rFonts w:eastAsia="Times New Roman"/>
              </w:rPr>
            </w:pPr>
          </w:p>
        </w:tc>
        <w:tc>
          <w:tcPr>
            <w:tcW w:w="0" w:type="auto"/>
            <w:gridSpan w:val="8"/>
            <w:shd w:val="clear" w:color="auto" w:fill="FFFFFF"/>
            <w:tcMar>
              <w:top w:w="30" w:type="dxa"/>
              <w:left w:w="20" w:type="dxa"/>
              <w:bottom w:w="30" w:type="dxa"/>
              <w:right w:w="0" w:type="dxa"/>
            </w:tcMar>
            <w:vAlign w:val="center"/>
            <w:hideMark/>
          </w:tcPr>
          <w:p w14:paraId="126A0EAA"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9C15093" w14:textId="77777777" w:rsidR="00000000" w:rsidRDefault="00A173A8">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583CCF73" w14:textId="77777777" w:rsidR="00000000" w:rsidRDefault="00A173A8">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14:paraId="2FEF4386" w14:textId="77777777" w:rsidR="00000000" w:rsidRDefault="00A173A8">
            <w:pPr>
              <w:spacing w:after="100"/>
              <w:jc w:val="right"/>
              <w:rPr>
                <w:rFonts w:eastAsia="Times New Roman"/>
              </w:rPr>
            </w:pPr>
            <w:r>
              <w:rPr>
                <w:rFonts w:eastAsia="Times New Roman"/>
                <w:color w:val="000000"/>
                <w:sz w:val="18"/>
                <w:szCs w:val="18"/>
              </w:rPr>
              <w:t>4 </w:t>
            </w:r>
          </w:p>
        </w:tc>
        <w:tc>
          <w:tcPr>
            <w:tcW w:w="0" w:type="auto"/>
            <w:gridSpan w:val="4"/>
            <w:shd w:val="clear" w:color="auto" w:fill="FFFFFF"/>
            <w:tcMar>
              <w:top w:w="30" w:type="dxa"/>
              <w:left w:w="0" w:type="dxa"/>
              <w:bottom w:w="30" w:type="dxa"/>
              <w:right w:w="20" w:type="dxa"/>
            </w:tcMar>
            <w:vAlign w:val="center"/>
            <w:hideMark/>
          </w:tcPr>
          <w:p w14:paraId="08FE2FDE"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A7F165E"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1889C8E7"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8ECF498"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357071A4" w14:textId="77777777" w:rsidR="00000000" w:rsidRDefault="00A173A8">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center"/>
            <w:hideMark/>
          </w:tcPr>
          <w:p w14:paraId="35C47553"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CD5B55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A8952"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center"/>
            <w:hideMark/>
          </w:tcPr>
          <w:p w14:paraId="6C92E9E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B2417F6"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12B81881"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3B90C210" w14:textId="77777777" w:rsidR="00000000" w:rsidRDefault="00A173A8">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3B71B84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84FA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D529F6" w14:textId="77777777" w:rsidR="00000000" w:rsidRDefault="00A173A8">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14:paraId="75B7B03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FEC8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52841C"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1DA30A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3D2C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4A450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3471F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9D767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D57FC8" w14:textId="77777777" w:rsidR="00000000" w:rsidRDefault="00A173A8">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14:paraId="3A93CE02" w14:textId="77777777" w:rsidR="00000000" w:rsidRDefault="00A173A8">
            <w:pPr>
              <w:spacing w:after="100"/>
              <w:jc w:val="right"/>
              <w:rPr>
                <w:rFonts w:eastAsia="Times New Roman"/>
              </w:rPr>
            </w:pPr>
          </w:p>
        </w:tc>
      </w:tr>
      <w:tr w:rsidR="00000000" w14:paraId="2DF6ED83" w14:textId="77777777">
        <w:tc>
          <w:tcPr>
            <w:tcW w:w="0" w:type="auto"/>
            <w:gridSpan w:val="12"/>
            <w:shd w:val="clear" w:color="auto" w:fill="CCEEFF"/>
            <w:tcMar>
              <w:top w:w="30" w:type="dxa"/>
              <w:left w:w="380" w:type="dxa"/>
              <w:bottom w:w="30" w:type="dxa"/>
              <w:right w:w="20" w:type="dxa"/>
            </w:tcMar>
            <w:vAlign w:val="center"/>
            <w:hideMark/>
          </w:tcPr>
          <w:p w14:paraId="320C1436" w14:textId="77777777" w:rsidR="00000000" w:rsidRDefault="00A173A8">
            <w:pPr>
              <w:spacing w:after="100"/>
              <w:rPr>
                <w:rFonts w:eastAsia="Times New Roman"/>
              </w:rPr>
            </w:pPr>
            <w:r>
              <w:rPr>
                <w:rFonts w:eastAsia="Times New Roman"/>
                <w:color w:val="000000"/>
                <w:sz w:val="18"/>
                <w:szCs w:val="18"/>
              </w:rPr>
              <w:t>Greater than 90 days</w:t>
            </w:r>
          </w:p>
        </w:tc>
        <w:tc>
          <w:tcPr>
            <w:tcW w:w="0" w:type="auto"/>
            <w:gridSpan w:val="7"/>
            <w:shd w:val="clear" w:color="auto" w:fill="CCEEFF"/>
            <w:tcMar>
              <w:top w:w="0" w:type="dxa"/>
              <w:left w:w="20" w:type="dxa"/>
              <w:bottom w:w="0" w:type="dxa"/>
              <w:right w:w="20" w:type="dxa"/>
            </w:tcMar>
            <w:vAlign w:val="center"/>
            <w:hideMark/>
          </w:tcPr>
          <w:p w14:paraId="1470243A" w14:textId="77777777" w:rsidR="00000000" w:rsidRDefault="00A173A8">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2D2A78E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16DC3E2" w14:textId="77777777" w:rsidR="00000000" w:rsidRDefault="00A173A8">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7B00A03F" w14:textId="77777777" w:rsidR="00000000" w:rsidRDefault="00A173A8">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62108759" w14:textId="77777777" w:rsidR="00000000" w:rsidRDefault="00A173A8">
            <w:pPr>
              <w:spacing w:after="100"/>
              <w:jc w:val="right"/>
              <w:rPr>
                <w:rFonts w:eastAsia="Times New Roman"/>
              </w:rPr>
            </w:pPr>
            <w:r>
              <w:rPr>
                <w:rFonts w:eastAsia="Times New Roman"/>
                <w:color w:val="000000"/>
                <w:sz w:val="18"/>
                <w:szCs w:val="18"/>
              </w:rPr>
              <w:t>1 </w:t>
            </w:r>
          </w:p>
        </w:tc>
        <w:tc>
          <w:tcPr>
            <w:tcW w:w="0" w:type="auto"/>
            <w:gridSpan w:val="4"/>
            <w:shd w:val="clear" w:color="auto" w:fill="CCEEFF"/>
            <w:tcMar>
              <w:top w:w="30" w:type="dxa"/>
              <w:left w:w="0" w:type="dxa"/>
              <w:bottom w:w="30" w:type="dxa"/>
              <w:right w:w="20" w:type="dxa"/>
            </w:tcMar>
            <w:vAlign w:val="bottom"/>
            <w:hideMark/>
          </w:tcPr>
          <w:p w14:paraId="2F2541EA"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35E8D04"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D54B89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639F5B5"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089408D5" w14:textId="77777777" w:rsidR="00000000" w:rsidRDefault="00A173A8">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32239252"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9B11D7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36718"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556E4E6"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21983BF3"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68409E6F"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120AFB44" w14:textId="77777777" w:rsidR="00000000" w:rsidRDefault="00A173A8">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4A562B9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3B33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8F6A58" w14:textId="77777777" w:rsidR="00000000" w:rsidRDefault="00A173A8">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14:paraId="32EFAD9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3BB8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9EB217"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14:paraId="3922FA1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E1271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A64673" w14:textId="77777777" w:rsidR="00000000" w:rsidRDefault="00A173A8">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14:paraId="32E9651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92AB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48306E" w14:textId="77777777" w:rsidR="00000000" w:rsidRDefault="00A173A8">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bottom"/>
            <w:hideMark/>
          </w:tcPr>
          <w:p w14:paraId="6876BB28" w14:textId="77777777" w:rsidR="00000000" w:rsidRDefault="00A173A8">
            <w:pPr>
              <w:spacing w:after="100"/>
              <w:jc w:val="right"/>
              <w:rPr>
                <w:rFonts w:eastAsia="Times New Roman"/>
              </w:rPr>
            </w:pPr>
          </w:p>
        </w:tc>
      </w:tr>
      <w:tr w:rsidR="00000000" w14:paraId="47F3CF2B" w14:textId="77777777">
        <w:tc>
          <w:tcPr>
            <w:tcW w:w="0" w:type="auto"/>
            <w:gridSpan w:val="12"/>
            <w:shd w:val="clear" w:color="auto" w:fill="FFFFFF"/>
            <w:tcMar>
              <w:top w:w="30" w:type="dxa"/>
              <w:left w:w="20" w:type="dxa"/>
              <w:bottom w:w="30" w:type="dxa"/>
              <w:right w:w="20" w:type="dxa"/>
            </w:tcMar>
            <w:vAlign w:val="center"/>
            <w:hideMark/>
          </w:tcPr>
          <w:p w14:paraId="7502775B" w14:textId="77777777" w:rsidR="00000000" w:rsidRDefault="00A173A8">
            <w:pPr>
              <w:spacing w:after="100"/>
              <w:divId w:val="1465349054"/>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7"/>
            <w:shd w:val="clear" w:color="auto" w:fill="FFFFFF"/>
            <w:tcMar>
              <w:top w:w="0" w:type="dxa"/>
              <w:left w:w="20" w:type="dxa"/>
              <w:bottom w:w="0" w:type="dxa"/>
              <w:right w:w="20" w:type="dxa"/>
            </w:tcMar>
            <w:vAlign w:val="center"/>
            <w:hideMark/>
          </w:tcPr>
          <w:p w14:paraId="7AA9C3CF" w14:textId="77777777" w:rsidR="00000000" w:rsidRDefault="00A173A8">
            <w:pPr>
              <w:spacing w:after="100"/>
              <w:rPr>
                <w:rFonts w:eastAsia="Times New Roman"/>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5DC9CFD0" w14:textId="77777777" w:rsidR="00000000" w:rsidRDefault="00A173A8">
            <w:pPr>
              <w:spacing w:after="100"/>
              <w:jc w:val="right"/>
              <w:rPr>
                <w:rFonts w:eastAsia="Times New Roman"/>
              </w:rPr>
            </w:pPr>
            <w:r>
              <w:rPr>
                <w:rFonts w:eastAsia="Times New Roman"/>
                <w:color w:val="000000"/>
                <w:sz w:val="18"/>
                <w:szCs w:val="18"/>
              </w:rPr>
              <w:t>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3642E5" w14:textId="77777777" w:rsidR="00000000" w:rsidRDefault="00A173A8">
            <w:pPr>
              <w:spacing w:after="100"/>
              <w:jc w:val="right"/>
              <w:rPr>
                <w:rFonts w:eastAsia="Times New Roman"/>
              </w:rPr>
            </w:pPr>
          </w:p>
        </w:tc>
        <w:tc>
          <w:tcPr>
            <w:tcW w:w="0" w:type="auto"/>
            <w:gridSpan w:val="6"/>
            <w:shd w:val="clear" w:color="auto" w:fill="FFFFFF"/>
            <w:tcMar>
              <w:top w:w="0" w:type="dxa"/>
              <w:left w:w="20" w:type="dxa"/>
              <w:bottom w:w="0" w:type="dxa"/>
              <w:right w:w="20" w:type="dxa"/>
            </w:tcMar>
            <w:vAlign w:val="center"/>
            <w:hideMark/>
          </w:tcPr>
          <w:p w14:paraId="16B106FD" w14:textId="77777777" w:rsidR="00000000" w:rsidRDefault="00A173A8">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14:paraId="2065C971" w14:textId="77777777" w:rsidR="00000000" w:rsidRDefault="00A173A8">
            <w:pPr>
              <w:spacing w:after="100"/>
              <w:jc w:val="right"/>
              <w:rPr>
                <w:rFonts w:eastAsia="Times New Roman"/>
              </w:rPr>
            </w:pPr>
            <w:r>
              <w:rPr>
                <w:rFonts w:eastAsia="Times New Roman"/>
                <w:color w:val="000000"/>
                <w:sz w:val="18"/>
                <w:szCs w:val="18"/>
              </w:rPr>
              <w:t>178 </w:t>
            </w:r>
          </w:p>
        </w:tc>
        <w:tc>
          <w:tcPr>
            <w:tcW w:w="0" w:type="auto"/>
            <w:gridSpan w:val="4"/>
            <w:tcBorders>
              <w:top w:val="single" w:sz="8" w:space="0" w:color="000000"/>
            </w:tcBorders>
            <w:shd w:val="clear" w:color="auto" w:fill="FFFFFF"/>
            <w:tcMar>
              <w:top w:w="30" w:type="dxa"/>
              <w:left w:w="0" w:type="dxa"/>
              <w:bottom w:w="30" w:type="dxa"/>
              <w:right w:w="20" w:type="dxa"/>
            </w:tcMar>
            <w:vAlign w:val="bottom"/>
            <w:hideMark/>
          </w:tcPr>
          <w:p w14:paraId="7BEDA9FF"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79F9372" w14:textId="77777777" w:rsidR="00000000" w:rsidRDefault="00A173A8">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6FE86756" w14:textId="77777777" w:rsidR="00000000" w:rsidRDefault="00A173A8">
            <w:pPr>
              <w:spacing w:after="100"/>
              <w:jc w:val="right"/>
              <w:rPr>
                <w:rFonts w:eastAsia="Times New Roman"/>
              </w:rPr>
            </w:pPr>
            <w:r>
              <w:rPr>
                <w:rFonts w:eastAsia="Times New Roman"/>
                <w:color w:val="000000"/>
                <w:sz w:val="18"/>
                <w:szCs w:val="18"/>
              </w:rPr>
              <w:t>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D12FCD"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11239222" w14:textId="77777777" w:rsidR="00000000" w:rsidRDefault="00A173A8">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14:paraId="1CA9E0D8" w14:textId="77777777" w:rsidR="00000000" w:rsidRDefault="00A173A8">
            <w:pPr>
              <w:spacing w:after="100"/>
              <w:jc w:val="right"/>
              <w:rPr>
                <w:rFonts w:eastAsia="Times New Roman"/>
              </w:rPr>
            </w:pPr>
            <w:r>
              <w:rPr>
                <w:rFonts w:eastAsia="Times New Roman"/>
                <w:color w:val="000000"/>
                <w:sz w:val="18"/>
                <w:szCs w:val="18"/>
              </w:rPr>
              <w:t>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2384A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5C241" w14:textId="77777777" w:rsidR="00000000" w:rsidRDefault="00A173A8">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271A168D" w14:textId="77777777" w:rsidR="00000000" w:rsidRDefault="00A173A8">
            <w:pPr>
              <w:spacing w:after="100"/>
              <w:jc w:val="right"/>
              <w:rPr>
                <w:rFonts w:eastAsia="Times New Roman"/>
              </w:rPr>
            </w:pPr>
            <w:r>
              <w:rPr>
                <w:rFonts w:eastAsia="Times New Roman"/>
                <w:color w:val="000000"/>
                <w:sz w:val="18"/>
                <w:szCs w:val="18"/>
              </w:rPr>
              <w:t>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DFD805"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5C6F0584"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2A3380A8" w14:textId="77777777" w:rsidR="00000000" w:rsidRDefault="00A173A8">
            <w:pPr>
              <w:spacing w:after="100"/>
              <w:jc w:val="right"/>
              <w:rPr>
                <w:rFonts w:eastAsia="Times New Roman"/>
              </w:rPr>
            </w:pPr>
            <w:r>
              <w:rPr>
                <w:rFonts w:eastAsia="Times New Roman"/>
                <w:color w:val="000000"/>
                <w:sz w:val="18"/>
                <w:szCs w:val="18"/>
              </w:rPr>
              <w:t>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DB6F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1130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540713" w14:textId="77777777" w:rsidR="00000000" w:rsidRDefault="00A173A8">
            <w:pPr>
              <w:spacing w:after="100"/>
              <w:jc w:val="right"/>
              <w:rPr>
                <w:rFonts w:eastAsia="Times New Roman"/>
              </w:rPr>
            </w:pPr>
            <w:r>
              <w:rPr>
                <w:rFonts w:eastAsia="Times New Roman"/>
                <w:color w:val="000000"/>
                <w:sz w:val="18"/>
                <w:szCs w:val="18"/>
              </w:rPr>
              <w:t>1,486 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A056B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2AA8A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940AA4" w14:textId="77777777" w:rsidR="00000000" w:rsidRDefault="00A173A8">
            <w:pPr>
              <w:spacing w:after="100"/>
              <w:jc w:val="right"/>
              <w:rPr>
                <w:rFonts w:eastAsia="Times New Roman"/>
              </w:rPr>
            </w:pPr>
            <w:r>
              <w:rPr>
                <w:rFonts w:eastAsia="Times New Roman"/>
                <w:color w:val="000000"/>
                <w:sz w:val="18"/>
                <w:szCs w:val="18"/>
              </w:rPr>
              <w:t>373 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6933D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F64EC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388D9E" w14:textId="77777777" w:rsidR="00000000" w:rsidRDefault="00A173A8">
            <w:pPr>
              <w:spacing w:after="100"/>
              <w:jc w:val="right"/>
              <w:rPr>
                <w:rFonts w:eastAsia="Times New Roman"/>
              </w:rPr>
            </w:pPr>
            <w:r>
              <w:rPr>
                <w:rFonts w:eastAsia="Times New Roman"/>
                <w:color w:val="000000"/>
                <w:sz w:val="18"/>
                <w:szCs w:val="18"/>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9DCD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31FA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728AD6" w14:textId="77777777" w:rsidR="00000000" w:rsidRDefault="00A173A8">
            <w:pPr>
              <w:spacing w:after="100"/>
              <w:jc w:val="right"/>
              <w:rPr>
                <w:rFonts w:eastAsia="Times New Roman"/>
              </w:rPr>
            </w:pPr>
            <w:r>
              <w:rPr>
                <w:rFonts w:eastAsia="Times New Roman"/>
                <w:color w:val="000000"/>
                <w:sz w:val="18"/>
                <w:szCs w:val="18"/>
              </w:rPr>
              <w:t>1,867 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44F18F" w14:textId="77777777" w:rsidR="00000000" w:rsidRDefault="00A173A8">
            <w:pPr>
              <w:spacing w:after="100"/>
              <w:jc w:val="right"/>
              <w:rPr>
                <w:rFonts w:eastAsia="Times New Roman"/>
              </w:rPr>
            </w:pPr>
          </w:p>
        </w:tc>
      </w:tr>
      <w:tr w:rsidR="00A173A8" w14:paraId="3021F41A" w14:textId="77777777">
        <w:tc>
          <w:tcPr>
            <w:tcW w:w="0" w:type="auto"/>
            <w:gridSpan w:val="12"/>
            <w:shd w:val="clear" w:color="auto" w:fill="CCEEFF"/>
            <w:tcMar>
              <w:top w:w="30" w:type="dxa"/>
              <w:left w:w="20" w:type="dxa"/>
              <w:bottom w:w="30" w:type="dxa"/>
              <w:right w:w="20" w:type="dxa"/>
            </w:tcMar>
            <w:vAlign w:val="center"/>
            <w:hideMark/>
          </w:tcPr>
          <w:p w14:paraId="6F5F84C0" w14:textId="77777777" w:rsidR="00000000" w:rsidRDefault="00A173A8">
            <w:pPr>
              <w:spacing w:after="100"/>
              <w:rPr>
                <w:rFonts w:eastAsia="Times New Roman"/>
              </w:rPr>
            </w:pPr>
            <w:r>
              <w:rPr>
                <w:rFonts w:eastAsia="Times New Roman"/>
                <w:b/>
                <w:bCs/>
                <w:color w:val="000000"/>
                <w:sz w:val="18"/>
                <w:szCs w:val="18"/>
              </w:rPr>
              <w:t>Total consumer banking</w:t>
            </w:r>
          </w:p>
        </w:tc>
        <w:tc>
          <w:tcPr>
            <w:tcW w:w="0" w:type="auto"/>
            <w:gridSpan w:val="7"/>
            <w:shd w:val="clear" w:color="auto" w:fill="CCEEFF"/>
            <w:tcMar>
              <w:top w:w="0" w:type="dxa"/>
              <w:left w:w="20" w:type="dxa"/>
              <w:bottom w:w="0" w:type="dxa"/>
              <w:right w:w="20" w:type="dxa"/>
            </w:tcMar>
            <w:vAlign w:val="center"/>
            <w:hideMark/>
          </w:tcPr>
          <w:p w14:paraId="3E74BBAD"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50B47D" w14:textId="77777777" w:rsidR="00000000" w:rsidRDefault="00A173A8">
            <w:pPr>
              <w:spacing w:after="100"/>
              <w:rPr>
                <w:rFonts w:eastAsia="Times New Roman"/>
              </w:rPr>
            </w:pPr>
            <w:r>
              <w:rPr>
                <w:rFonts w:eastAsia="Times New Roman"/>
                <w:color w:val="000000"/>
                <w:sz w:val="18"/>
                <w:szCs w:val="18"/>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28F4AD" w14:textId="77777777" w:rsidR="00000000" w:rsidRDefault="00A173A8">
            <w:pPr>
              <w:spacing w:after="100"/>
              <w:jc w:val="right"/>
              <w:rPr>
                <w:rFonts w:eastAsia="Times New Roman"/>
              </w:rPr>
            </w:pPr>
            <w:r>
              <w:rPr>
                <w:rFonts w:eastAsia="Times New Roman"/>
                <w:color w:val="000000"/>
                <w:sz w:val="18"/>
                <w:szCs w:val="18"/>
              </w:rPr>
              <w:t>38,021 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3F85D0" w14:textId="77777777" w:rsidR="00000000" w:rsidRDefault="00A173A8">
            <w:pPr>
              <w:spacing w:after="100"/>
              <w:jc w:val="right"/>
              <w:rPr>
                <w:rFonts w:eastAsia="Times New Roman"/>
              </w:rPr>
            </w:pPr>
          </w:p>
        </w:tc>
        <w:tc>
          <w:tcPr>
            <w:tcW w:w="0" w:type="auto"/>
            <w:gridSpan w:val="6"/>
            <w:shd w:val="clear" w:color="auto" w:fill="CCEEFF"/>
            <w:tcMar>
              <w:top w:w="0" w:type="dxa"/>
              <w:left w:w="20" w:type="dxa"/>
              <w:bottom w:w="0" w:type="dxa"/>
              <w:right w:w="20" w:type="dxa"/>
            </w:tcMar>
            <w:vAlign w:val="center"/>
            <w:hideMark/>
          </w:tcPr>
          <w:p w14:paraId="4BFD44DE" w14:textId="77777777" w:rsidR="00000000" w:rsidRDefault="00A173A8">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47DD5A" w14:textId="77777777" w:rsidR="00000000" w:rsidRDefault="00A173A8">
            <w:pPr>
              <w:spacing w:after="100"/>
              <w:rPr>
                <w:rFonts w:eastAsia="Times New Roman"/>
              </w:rPr>
            </w:pPr>
            <w:r>
              <w:rPr>
                <w:rFonts w:eastAsia="Times New Roman"/>
                <w:color w:val="000000"/>
                <w:sz w:val="18"/>
                <w:szCs w:val="18"/>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603A455" w14:textId="77777777" w:rsidR="00000000" w:rsidRDefault="00A173A8">
            <w:pPr>
              <w:spacing w:after="100"/>
              <w:jc w:val="right"/>
              <w:rPr>
                <w:rFonts w:eastAsia="Times New Roman"/>
              </w:rPr>
            </w:pPr>
            <w:r>
              <w:rPr>
                <w:rFonts w:eastAsia="Times New Roman"/>
                <w:color w:val="000000"/>
                <w:sz w:val="18"/>
                <w:szCs w:val="18"/>
              </w:rPr>
              <w:t>18,865 </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C4142A"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31466D72" w14:textId="77777777" w:rsidR="00000000" w:rsidRDefault="00A173A8">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E16E40" w14:textId="77777777" w:rsidR="00000000" w:rsidRDefault="00A173A8">
            <w:pPr>
              <w:spacing w:after="100"/>
              <w:rPr>
                <w:rFonts w:eastAsia="Times New Roman"/>
              </w:rPr>
            </w:pPr>
            <w:r>
              <w:rPr>
                <w:rFonts w:eastAsia="Times New Roman"/>
                <w:color w:val="000000"/>
                <w:sz w:val="18"/>
                <w:szCs w:val="18"/>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4F8429" w14:textId="77777777" w:rsidR="00000000" w:rsidRDefault="00A173A8">
            <w:pPr>
              <w:spacing w:after="100"/>
              <w:jc w:val="right"/>
              <w:rPr>
                <w:rFonts w:eastAsia="Times New Roman"/>
              </w:rPr>
            </w:pPr>
            <w:r>
              <w:rPr>
                <w:rFonts w:eastAsia="Times New Roman"/>
                <w:color w:val="000000"/>
                <w:sz w:val="18"/>
                <w:szCs w:val="18"/>
              </w:rPr>
              <w:t>10,789 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8DFCEC"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372CD66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292F9D" w14:textId="77777777" w:rsidR="00000000" w:rsidRDefault="00A173A8">
            <w:pPr>
              <w:spacing w:after="100"/>
              <w:rPr>
                <w:rFonts w:eastAsia="Times New Roman"/>
              </w:rPr>
            </w:pPr>
            <w:r>
              <w:rPr>
                <w:rFonts w:eastAsia="Times New Roman"/>
                <w:color w:val="000000"/>
                <w:sz w:val="18"/>
                <w:szCs w:val="18"/>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D1474DA" w14:textId="77777777" w:rsidR="00000000" w:rsidRDefault="00A173A8">
            <w:pPr>
              <w:spacing w:after="100"/>
              <w:jc w:val="right"/>
              <w:rPr>
                <w:rFonts w:eastAsia="Times New Roman"/>
              </w:rPr>
            </w:pPr>
            <w:r>
              <w:rPr>
                <w:rFonts w:eastAsia="Times New Roman"/>
                <w:color w:val="000000"/>
                <w:sz w:val="18"/>
                <w:szCs w:val="18"/>
              </w:rPr>
              <w:t>5,487 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D3885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34854" w14:textId="77777777" w:rsidR="00000000" w:rsidRDefault="00A173A8">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9A919D" w14:textId="77777777" w:rsidR="00000000" w:rsidRDefault="00A173A8">
            <w:pPr>
              <w:spacing w:after="100"/>
              <w:rPr>
                <w:rFonts w:eastAsia="Times New Roman"/>
              </w:rPr>
            </w:pPr>
            <w:r>
              <w:rPr>
                <w:rFonts w:eastAsia="Times New Roman"/>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D0F85E" w14:textId="77777777" w:rsidR="00000000" w:rsidRDefault="00A173A8">
            <w:pPr>
              <w:spacing w:after="100"/>
              <w:jc w:val="right"/>
              <w:rPr>
                <w:rFonts w:eastAsia="Times New Roman"/>
              </w:rPr>
            </w:pPr>
            <w:r>
              <w:rPr>
                <w:rFonts w:eastAsia="Times New Roman"/>
                <w:color w:val="000000"/>
                <w:sz w:val="18"/>
                <w:szCs w:val="18"/>
              </w:rPr>
              <w:t>2,816 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D5212A"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4661B2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C2B96C8" w14:textId="77777777" w:rsidR="00000000" w:rsidRDefault="00A173A8">
            <w:pPr>
              <w:spacing w:after="100"/>
              <w:rPr>
                <w:rFonts w:eastAsia="Times New Roman"/>
              </w:rPr>
            </w:pPr>
            <w:r>
              <w:rPr>
                <w:rFonts w:eastAsia="Times New Roman"/>
                <w:color w:val="000000"/>
                <w:sz w:val="18"/>
                <w:szCs w:val="18"/>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444FAC" w14:textId="77777777" w:rsidR="00000000" w:rsidRDefault="00A173A8">
            <w:pPr>
              <w:spacing w:after="100"/>
              <w:jc w:val="right"/>
              <w:rPr>
                <w:rFonts w:eastAsia="Times New Roman"/>
              </w:rPr>
            </w:pPr>
            <w:r>
              <w:rPr>
                <w:rFonts w:eastAsia="Times New Roman"/>
                <w:color w:val="000000"/>
                <w:sz w:val="18"/>
                <w:szCs w:val="18"/>
              </w:rPr>
              <w:t>1,287 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B14B3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9FF6C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CB93D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F3DE53" w14:textId="77777777" w:rsidR="00000000" w:rsidRDefault="00A173A8">
            <w:pPr>
              <w:spacing w:after="100"/>
              <w:jc w:val="right"/>
              <w:rPr>
                <w:rFonts w:eastAsia="Times New Roman"/>
              </w:rPr>
            </w:pPr>
            <w:r>
              <w:rPr>
                <w:rFonts w:eastAsia="Times New Roman"/>
                <w:color w:val="000000"/>
                <w:sz w:val="18"/>
                <w:szCs w:val="18"/>
              </w:rPr>
              <w:t>77,265 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A4DE9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CD2F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358AAB"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15AC99" w14:textId="77777777" w:rsidR="00000000" w:rsidRDefault="00A173A8">
            <w:pPr>
              <w:spacing w:after="100"/>
              <w:jc w:val="right"/>
              <w:rPr>
                <w:rFonts w:eastAsia="Times New Roman"/>
              </w:rPr>
            </w:pPr>
            <w:r>
              <w:rPr>
                <w:rFonts w:eastAsia="Times New Roman"/>
                <w:color w:val="000000"/>
                <w:sz w:val="18"/>
                <w:szCs w:val="18"/>
              </w:rPr>
              <w:t>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38B215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A72C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961046B"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F36073" w14:textId="77777777" w:rsidR="00000000" w:rsidRDefault="00A173A8">
            <w:pPr>
              <w:spacing w:after="100"/>
              <w:jc w:val="right"/>
              <w:rPr>
                <w:rFonts w:eastAsia="Times New Roman"/>
              </w:rPr>
            </w:pPr>
            <w:r>
              <w:rPr>
                <w:rFonts w:eastAsia="Times New Roman"/>
                <w:color w:val="000000"/>
                <w:sz w:val="18"/>
                <w:szCs w:val="18"/>
              </w:rPr>
              <w:t>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C804F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3C58F"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6ED78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74EB142" w14:textId="77777777" w:rsidR="00000000" w:rsidRDefault="00A173A8">
            <w:pPr>
              <w:spacing w:after="100"/>
              <w:jc w:val="right"/>
              <w:rPr>
                <w:rFonts w:eastAsia="Times New Roman"/>
              </w:rPr>
            </w:pPr>
            <w:r>
              <w:rPr>
                <w:rFonts w:eastAsia="Times New Roman"/>
                <w:color w:val="000000"/>
                <w:sz w:val="18"/>
                <w:szCs w:val="18"/>
              </w:rPr>
              <w:t>77,646 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F2DD55" w14:textId="77777777" w:rsidR="00000000" w:rsidRDefault="00A173A8">
            <w:pPr>
              <w:spacing w:after="100"/>
              <w:jc w:val="right"/>
              <w:rPr>
                <w:rFonts w:eastAsia="Times New Roman"/>
              </w:rPr>
            </w:pPr>
          </w:p>
        </w:tc>
      </w:tr>
    </w:tbl>
    <w:p w14:paraId="219E446B" w14:textId="77777777" w:rsidR="00000000" w:rsidRDefault="00A173A8">
      <w:pPr>
        <w:jc w:val="both"/>
        <w:rPr>
          <w:rFonts w:eastAsia="Times New Roman"/>
        </w:rPr>
      </w:pPr>
      <w:r>
        <w:rPr>
          <w:rFonts w:eastAsia="Times New Roman"/>
          <w:color w:val="000000"/>
          <w:sz w:val="20"/>
          <w:szCs w:val="20"/>
        </w:rPr>
        <w:t>__________</w:t>
      </w:r>
    </w:p>
    <w:p w14:paraId="4FB36E79" w14:textId="77777777" w:rsidR="00000000" w:rsidRDefault="00A173A8">
      <w:pPr>
        <w:ind w:hanging="360"/>
        <w:jc w:val="both"/>
        <w:divId w:val="14184740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Amounts represent period-end loans held for investment in each credit score category. Auto credit scores gener</w:t>
      </w:r>
      <w:r>
        <w:rPr>
          <w:rFonts w:eastAsia="Times New Roman"/>
          <w:color w:val="000000"/>
          <w:sz w:val="16"/>
          <w:szCs w:val="16"/>
        </w:rPr>
        <w:t>ally represent average FICO scores obtained from three credit bureaus at the time of application and are not refreshed thereafter. Balances for which no credit score is available or the credit score is invalid are included in the 620 or below category.</w:t>
      </w:r>
    </w:p>
    <w:p w14:paraId="31A1FB3D" w14:textId="77777777" w:rsidR="00000000" w:rsidRDefault="00A173A8">
      <w:pPr>
        <w:ind w:hanging="360"/>
        <w:jc w:val="both"/>
        <w:divId w:val="66620544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Paycheck Protection Program (“PPP”) loans of $73 million and $232 million as of June 30, 2022 and December 31,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0F9EA49" w14:textId="77777777">
        <w:trPr>
          <w:divId w:val="2056348317"/>
          <w:jc w:val="center"/>
        </w:trPr>
        <w:tc>
          <w:tcPr>
            <w:tcW w:w="50" w:type="pct"/>
            <w:vAlign w:val="center"/>
            <w:hideMark/>
          </w:tcPr>
          <w:p w14:paraId="2E30207D" w14:textId="77777777" w:rsidR="00000000" w:rsidRDefault="00A173A8">
            <w:pPr>
              <w:ind w:hanging="360"/>
              <w:jc w:val="both"/>
              <w:rPr>
                <w:rFonts w:eastAsia="Times New Roman"/>
              </w:rPr>
            </w:pPr>
          </w:p>
        </w:tc>
        <w:tc>
          <w:tcPr>
            <w:tcW w:w="1606" w:type="pct"/>
            <w:vAlign w:val="center"/>
            <w:hideMark/>
          </w:tcPr>
          <w:p w14:paraId="075B2046" w14:textId="77777777" w:rsidR="00000000" w:rsidRDefault="00A173A8">
            <w:pPr>
              <w:spacing w:after="100"/>
              <w:rPr>
                <w:rFonts w:eastAsia="Times New Roman"/>
                <w:sz w:val="20"/>
                <w:szCs w:val="20"/>
              </w:rPr>
            </w:pPr>
          </w:p>
        </w:tc>
        <w:tc>
          <w:tcPr>
            <w:tcW w:w="5" w:type="pct"/>
            <w:vAlign w:val="center"/>
            <w:hideMark/>
          </w:tcPr>
          <w:p w14:paraId="4DF1CE22" w14:textId="77777777" w:rsidR="00000000" w:rsidRDefault="00A173A8">
            <w:pPr>
              <w:spacing w:after="100"/>
              <w:rPr>
                <w:rFonts w:eastAsia="Times New Roman"/>
                <w:sz w:val="20"/>
                <w:szCs w:val="20"/>
              </w:rPr>
            </w:pPr>
          </w:p>
        </w:tc>
        <w:tc>
          <w:tcPr>
            <w:tcW w:w="50" w:type="pct"/>
            <w:vAlign w:val="center"/>
            <w:hideMark/>
          </w:tcPr>
          <w:p w14:paraId="507DCABD" w14:textId="77777777" w:rsidR="00000000" w:rsidRDefault="00A173A8">
            <w:pPr>
              <w:spacing w:after="100"/>
              <w:rPr>
                <w:rFonts w:eastAsia="Times New Roman"/>
                <w:sz w:val="20"/>
                <w:szCs w:val="20"/>
              </w:rPr>
            </w:pPr>
          </w:p>
        </w:tc>
        <w:tc>
          <w:tcPr>
            <w:tcW w:w="1614" w:type="pct"/>
            <w:vAlign w:val="center"/>
            <w:hideMark/>
          </w:tcPr>
          <w:p w14:paraId="04D78D14" w14:textId="77777777" w:rsidR="00000000" w:rsidRDefault="00A173A8">
            <w:pPr>
              <w:spacing w:after="100"/>
              <w:rPr>
                <w:rFonts w:eastAsia="Times New Roman"/>
                <w:sz w:val="20"/>
                <w:szCs w:val="20"/>
              </w:rPr>
            </w:pPr>
          </w:p>
        </w:tc>
        <w:tc>
          <w:tcPr>
            <w:tcW w:w="5" w:type="pct"/>
            <w:vAlign w:val="center"/>
            <w:hideMark/>
          </w:tcPr>
          <w:p w14:paraId="5C4BF8A1" w14:textId="77777777" w:rsidR="00000000" w:rsidRDefault="00A173A8">
            <w:pPr>
              <w:spacing w:after="100"/>
              <w:rPr>
                <w:rFonts w:eastAsia="Times New Roman"/>
                <w:sz w:val="20"/>
                <w:szCs w:val="20"/>
              </w:rPr>
            </w:pPr>
          </w:p>
        </w:tc>
        <w:tc>
          <w:tcPr>
            <w:tcW w:w="50" w:type="pct"/>
            <w:vAlign w:val="center"/>
            <w:hideMark/>
          </w:tcPr>
          <w:p w14:paraId="698E1373" w14:textId="77777777" w:rsidR="00000000" w:rsidRDefault="00A173A8">
            <w:pPr>
              <w:spacing w:after="100"/>
              <w:rPr>
                <w:rFonts w:eastAsia="Times New Roman"/>
                <w:sz w:val="20"/>
                <w:szCs w:val="20"/>
              </w:rPr>
            </w:pPr>
          </w:p>
        </w:tc>
        <w:tc>
          <w:tcPr>
            <w:tcW w:w="1614" w:type="pct"/>
            <w:vAlign w:val="center"/>
            <w:hideMark/>
          </w:tcPr>
          <w:p w14:paraId="0A8D1040" w14:textId="77777777" w:rsidR="00000000" w:rsidRDefault="00A173A8">
            <w:pPr>
              <w:spacing w:after="100"/>
              <w:rPr>
                <w:rFonts w:eastAsia="Times New Roman"/>
                <w:sz w:val="20"/>
                <w:szCs w:val="20"/>
              </w:rPr>
            </w:pPr>
          </w:p>
        </w:tc>
        <w:tc>
          <w:tcPr>
            <w:tcW w:w="5" w:type="pct"/>
            <w:vAlign w:val="center"/>
            <w:hideMark/>
          </w:tcPr>
          <w:p w14:paraId="60B5292F" w14:textId="77777777" w:rsidR="00000000" w:rsidRDefault="00A173A8">
            <w:pPr>
              <w:spacing w:after="100"/>
              <w:rPr>
                <w:rFonts w:eastAsia="Times New Roman"/>
                <w:sz w:val="20"/>
                <w:szCs w:val="20"/>
              </w:rPr>
            </w:pPr>
          </w:p>
        </w:tc>
      </w:tr>
      <w:tr w:rsidR="00000000" w14:paraId="726E885D" w14:textId="77777777">
        <w:trPr>
          <w:divId w:val="2056348317"/>
          <w:trHeight w:val="300"/>
          <w:jc w:val="center"/>
        </w:trPr>
        <w:tc>
          <w:tcPr>
            <w:tcW w:w="0" w:type="auto"/>
            <w:gridSpan w:val="9"/>
            <w:tcMar>
              <w:top w:w="0" w:type="dxa"/>
              <w:left w:w="20" w:type="dxa"/>
              <w:bottom w:w="0" w:type="dxa"/>
              <w:right w:w="20" w:type="dxa"/>
            </w:tcMar>
            <w:vAlign w:val="center"/>
            <w:hideMark/>
          </w:tcPr>
          <w:p w14:paraId="2E9DAFD0" w14:textId="77777777" w:rsidR="00000000" w:rsidRDefault="00A173A8">
            <w:pPr>
              <w:spacing w:after="100"/>
              <w:rPr>
                <w:rFonts w:eastAsia="Times New Roman"/>
                <w:sz w:val="20"/>
                <w:szCs w:val="20"/>
              </w:rPr>
            </w:pPr>
          </w:p>
        </w:tc>
      </w:tr>
      <w:tr w:rsidR="00000000" w14:paraId="69DC22D2" w14:textId="77777777">
        <w:trPr>
          <w:divId w:val="2056348317"/>
          <w:jc w:val="center"/>
        </w:trPr>
        <w:tc>
          <w:tcPr>
            <w:tcW w:w="0" w:type="auto"/>
            <w:gridSpan w:val="3"/>
            <w:tcMar>
              <w:top w:w="0" w:type="dxa"/>
              <w:left w:w="20" w:type="dxa"/>
              <w:bottom w:w="0" w:type="dxa"/>
              <w:right w:w="20" w:type="dxa"/>
            </w:tcMar>
            <w:vAlign w:val="center"/>
            <w:hideMark/>
          </w:tcPr>
          <w:p w14:paraId="157254C5"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E2ABC24" w14:textId="77777777" w:rsidR="00000000" w:rsidRDefault="00A173A8">
            <w:pPr>
              <w:spacing w:after="100"/>
              <w:jc w:val="center"/>
              <w:rPr>
                <w:rFonts w:eastAsia="Times New Roman"/>
              </w:rPr>
            </w:pPr>
            <w:r>
              <w:rPr>
                <w:rFonts w:eastAsia="Times New Roman"/>
                <w:color w:val="000000"/>
                <w:sz w:val="16"/>
                <w:szCs w:val="16"/>
              </w:rPr>
              <w:t>78</w:t>
            </w:r>
          </w:p>
        </w:tc>
        <w:tc>
          <w:tcPr>
            <w:tcW w:w="0" w:type="auto"/>
            <w:gridSpan w:val="3"/>
            <w:tcMar>
              <w:top w:w="30" w:type="dxa"/>
              <w:left w:w="20" w:type="dxa"/>
              <w:bottom w:w="30" w:type="dxa"/>
              <w:right w:w="20" w:type="dxa"/>
            </w:tcMar>
            <w:vAlign w:val="bottom"/>
            <w:hideMark/>
          </w:tcPr>
          <w:p w14:paraId="2880A23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D30C262" w14:textId="77777777" w:rsidR="00000000" w:rsidRDefault="00A173A8">
      <w:pPr>
        <w:rPr>
          <w:rFonts w:eastAsia="Times New Roman"/>
        </w:rPr>
      </w:pPr>
      <w:r>
        <w:rPr>
          <w:rFonts w:eastAsia="Times New Roman"/>
        </w:rPr>
        <w:pict w14:anchorId="7D1624B5">
          <v:rect id="_x0000_i1103" style="width:0;height:1.5pt" o:hralign="center" o:hrstd="t" o:hr="t" fillcolor="#a0a0a0" stroked="f"/>
        </w:pict>
      </w:r>
    </w:p>
    <w:p w14:paraId="129DF941" w14:textId="77777777" w:rsidR="00000000" w:rsidRDefault="00A173A8">
      <w:pPr>
        <w:jc w:val="both"/>
        <w:divId w:val="512573089"/>
        <w:rPr>
          <w:rFonts w:eastAsia="Times New Roman"/>
        </w:rPr>
      </w:pPr>
      <w:hyperlink w:anchor="i7ffd5d61af6f4722b1b1b07530d51c06_13" w:history="1">
        <w:r>
          <w:rPr>
            <w:rStyle w:val="a3"/>
            <w:rFonts w:eastAsia="Times New Roman"/>
            <w:sz w:val="16"/>
            <w:szCs w:val="16"/>
          </w:rPr>
          <w:t>Table of Contents</w:t>
        </w:r>
      </w:hyperlink>
    </w:p>
    <w:p w14:paraId="516FE94F" w14:textId="77777777" w:rsidR="00000000" w:rsidRDefault="00A173A8">
      <w:pPr>
        <w:jc w:val="both"/>
        <w:divId w:val="1085691615"/>
        <w:rPr>
          <w:rFonts w:eastAsia="Times New Roman"/>
        </w:rPr>
      </w:pPr>
      <w:r>
        <w:rPr>
          <w:rFonts w:eastAsia="Times New Roman"/>
          <w:b/>
          <w:bCs/>
          <w:i/>
          <w:iCs/>
          <w:color w:val="000000"/>
          <w:sz w:val="20"/>
          <w:szCs w:val="20"/>
        </w:rPr>
        <w:t>Commercial Banking</w:t>
      </w:r>
    </w:p>
    <w:p w14:paraId="4D566C77" w14:textId="77777777" w:rsidR="00000000" w:rsidRDefault="00A173A8">
      <w:pPr>
        <w:jc w:val="both"/>
        <w:divId w:val="1452479022"/>
        <w:rPr>
          <w:rFonts w:eastAsia="Times New Roman"/>
        </w:rPr>
      </w:pPr>
      <w:r>
        <w:rPr>
          <w:rFonts w:eastAsia="Times New Roman"/>
          <w:color w:val="000000"/>
          <w:sz w:val="20"/>
          <w:szCs w:val="20"/>
        </w:rPr>
        <w:t>The key credit quality indicator for our commercial loan portfolios is our internal risk ratings. We assign internal risk ra</w:t>
      </w:r>
      <w:r>
        <w:rPr>
          <w:rFonts w:eastAsia="Times New Roman"/>
          <w:color w:val="000000"/>
          <w:sz w:val="20"/>
          <w:szCs w:val="20"/>
        </w:rPr>
        <w:t>tings to loans based on relevant information about the ability of the borrowers to repay their debt. In determining the risk rating of a particular loan, some of the factors considered are the borrower’s current financial condition, historical and projecte</w:t>
      </w:r>
      <w:r>
        <w:rPr>
          <w:rFonts w:eastAsia="Times New Roman"/>
          <w:color w:val="000000"/>
          <w:sz w:val="20"/>
          <w:szCs w:val="20"/>
        </w:rPr>
        <w:t>d future credit performance, prospects for support from financially responsible guarantors, the estimated realizable value of any collateral and current economic trends. The scale based on our internal risk rating system is as follows:</w:t>
      </w:r>
    </w:p>
    <w:p w14:paraId="078BF93C" w14:textId="77777777" w:rsidR="00000000" w:rsidRDefault="00A173A8">
      <w:pPr>
        <w:ind w:hanging="360"/>
        <w:jc w:val="both"/>
        <w:divId w:val="169418677"/>
        <w:rPr>
          <w:rFonts w:eastAsia="Times New Roman"/>
        </w:rPr>
      </w:pPr>
      <w:r>
        <w:rPr>
          <w:rFonts w:eastAsia="Times New Roman"/>
          <w:color w:val="000000"/>
          <w:sz w:val="20"/>
          <w:szCs w:val="20"/>
        </w:rPr>
        <w:t>•</w:t>
      </w:r>
      <w:r>
        <w:rPr>
          <w:rFonts w:eastAsia="Times New Roman"/>
          <w:i/>
          <w:iCs/>
          <w:color w:val="000000"/>
          <w:sz w:val="20"/>
          <w:szCs w:val="20"/>
        </w:rPr>
        <w:t>Noncriticized:</w:t>
      </w:r>
      <w:r>
        <w:rPr>
          <w:rFonts w:eastAsia="Times New Roman"/>
          <w:color w:val="000000"/>
          <w:sz w:val="20"/>
          <w:szCs w:val="20"/>
        </w:rPr>
        <w:t xml:space="preserve"> Loan</w:t>
      </w:r>
      <w:r>
        <w:rPr>
          <w:rFonts w:eastAsia="Times New Roman"/>
          <w:color w:val="000000"/>
          <w:sz w:val="20"/>
          <w:szCs w:val="20"/>
        </w:rPr>
        <w:t>s that have not been designated as criticized, frequently referred to as “pass” loans.</w:t>
      </w:r>
    </w:p>
    <w:p w14:paraId="1FE52AC5" w14:textId="77777777" w:rsidR="00000000" w:rsidRDefault="00A173A8">
      <w:pPr>
        <w:ind w:hanging="360"/>
        <w:jc w:val="both"/>
        <w:divId w:val="1757819459"/>
        <w:rPr>
          <w:rFonts w:eastAsia="Times New Roman"/>
        </w:rPr>
      </w:pPr>
      <w:r>
        <w:rPr>
          <w:rFonts w:eastAsia="Times New Roman"/>
          <w:color w:val="000000"/>
          <w:sz w:val="20"/>
          <w:szCs w:val="20"/>
        </w:rPr>
        <w:t>•</w:t>
      </w:r>
      <w:r>
        <w:rPr>
          <w:rFonts w:eastAsia="Times New Roman"/>
          <w:i/>
          <w:iCs/>
          <w:color w:val="000000"/>
          <w:sz w:val="20"/>
          <w:szCs w:val="20"/>
        </w:rPr>
        <w:t>Criticized performing:</w:t>
      </w:r>
      <w:r>
        <w:rPr>
          <w:rFonts w:eastAsia="Times New Roman"/>
          <w:color w:val="000000"/>
          <w:sz w:val="20"/>
          <w:szCs w:val="20"/>
        </w:rPr>
        <w:t xml:space="preserve"> Loans in which the financial condition of the obligor is stressed, affecting earnings, cash flows or collateral values. The borrower currently ha</w:t>
      </w:r>
      <w:r>
        <w:rPr>
          <w:rFonts w:eastAsia="Times New Roman"/>
          <w:color w:val="000000"/>
          <w:sz w:val="20"/>
          <w:szCs w:val="20"/>
        </w:rPr>
        <w:t>s adequate capacity to meet near-term obligations; however, the stress, left unabated, may result in deterioration of the repayment prospects at some future date.</w:t>
      </w:r>
    </w:p>
    <w:p w14:paraId="35A69558" w14:textId="77777777" w:rsidR="00000000" w:rsidRDefault="00A173A8">
      <w:pPr>
        <w:ind w:hanging="360"/>
        <w:jc w:val="both"/>
        <w:divId w:val="951789244"/>
        <w:rPr>
          <w:rFonts w:eastAsia="Times New Roman"/>
        </w:rPr>
      </w:pPr>
      <w:r>
        <w:rPr>
          <w:rFonts w:eastAsia="Times New Roman"/>
          <w:color w:val="000000"/>
          <w:sz w:val="20"/>
          <w:szCs w:val="20"/>
        </w:rPr>
        <w:t>•</w:t>
      </w:r>
      <w:r>
        <w:rPr>
          <w:rFonts w:eastAsia="Times New Roman"/>
          <w:i/>
          <w:iCs/>
          <w:color w:val="000000"/>
          <w:sz w:val="20"/>
          <w:szCs w:val="20"/>
        </w:rPr>
        <w:t>Criticized nonperforming:</w:t>
      </w:r>
      <w:r>
        <w:rPr>
          <w:rFonts w:eastAsia="Times New Roman"/>
          <w:color w:val="000000"/>
          <w:sz w:val="20"/>
          <w:szCs w:val="20"/>
        </w:rPr>
        <w:t xml:space="preserve"> Loans that are not adequately protected by the current net worth a</w:t>
      </w:r>
      <w:r>
        <w:rPr>
          <w:rFonts w:eastAsia="Times New Roman"/>
          <w:color w:val="000000"/>
          <w:sz w:val="20"/>
          <w:szCs w:val="20"/>
        </w:rPr>
        <w:t>nd paying capacity of the obligor or the collateral pledged, if any. Loans classified as criticized nonperforming have a well-defined weakness, or weaknesses, which jeopardize the full repayment of the debt. These loans are characterized by the distinct po</w:t>
      </w:r>
      <w:r>
        <w:rPr>
          <w:rFonts w:eastAsia="Times New Roman"/>
          <w:color w:val="000000"/>
          <w:sz w:val="20"/>
          <w:szCs w:val="20"/>
        </w:rPr>
        <w:t>ssibility that we will sustain a credit loss if the deficiencies are not corrected and are generally placed on nonaccrual status.</w:t>
      </w:r>
    </w:p>
    <w:p w14:paraId="52BC1946" w14:textId="77777777" w:rsidR="00000000" w:rsidRDefault="00A173A8">
      <w:pPr>
        <w:jc w:val="both"/>
        <w:divId w:val="2137749139"/>
        <w:rPr>
          <w:rFonts w:eastAsia="Times New Roman"/>
        </w:rPr>
      </w:pPr>
      <w:r>
        <w:rPr>
          <w:rFonts w:eastAsia="Times New Roman"/>
          <w:color w:val="000000"/>
          <w:sz w:val="20"/>
          <w:szCs w:val="20"/>
        </w:rPr>
        <w:t>We use our internal risk rating system for regulatory reporting, determining the frequency of credit exposure reviews, and eva</w:t>
      </w:r>
      <w:r>
        <w:rPr>
          <w:rFonts w:eastAsia="Times New Roman"/>
          <w:color w:val="000000"/>
          <w:sz w:val="20"/>
          <w:szCs w:val="20"/>
        </w:rPr>
        <w:t>luating and determining the allowance for credit losses for commercial loans. Generally, loans that are designated as criticized performing and criticized nonperforming are reviewed quarterly by management to determine if they are appropriately classified/</w:t>
      </w:r>
      <w:r>
        <w:rPr>
          <w:rFonts w:eastAsia="Times New Roman"/>
          <w:color w:val="000000"/>
          <w:sz w:val="20"/>
          <w:szCs w:val="20"/>
        </w:rPr>
        <w:t>rated and whether any impairment exists. Noncriticized loans are also generally reviewed, at least annually, to determine the appropriate risk rating. In addition, we evaluate the risk rating during the renewal process of any loan or if a loan becomes past</w:t>
      </w:r>
      <w:r>
        <w:rPr>
          <w:rFonts w:eastAsia="Times New Roman"/>
          <w:color w:val="000000"/>
          <w:sz w:val="20"/>
          <w:szCs w:val="20"/>
        </w:rPr>
        <w:t xml:space="preserve"> due.</w:t>
      </w:r>
    </w:p>
    <w:p w14:paraId="15227723" w14:textId="77777777" w:rsidR="00000000" w:rsidRDefault="00A173A8">
      <w:pPr>
        <w:jc w:val="both"/>
        <w:divId w:val="220990864"/>
        <w:rPr>
          <w:rFonts w:eastAsia="Times New Roman"/>
        </w:rPr>
      </w:pPr>
      <w:r>
        <w:rPr>
          <w:rFonts w:eastAsia="Times New Roman"/>
          <w:color w:val="000000"/>
          <w:sz w:val="20"/>
          <w:szCs w:val="20"/>
        </w:rPr>
        <w:t>The following table presents our commercial banking portfolio of loans held for investment by internal risk ratings as of June 30, 2022 and December 31, 2021. The internal risk rating status includes all past due loans, both performing and nonperform</w:t>
      </w:r>
      <w:r>
        <w:rPr>
          <w:rFonts w:eastAsia="Times New Roman"/>
          <w:color w:val="000000"/>
          <w:sz w:val="20"/>
          <w:szCs w:val="20"/>
        </w:rPr>
        <w:t>ing.</w:t>
      </w:r>
    </w:p>
    <w:p w14:paraId="664131FC" w14:textId="77777777" w:rsidR="00000000" w:rsidRDefault="00A173A8">
      <w:pPr>
        <w:divId w:val="1759867501"/>
        <w:rPr>
          <w:rFonts w:eastAsia="Times New Roman"/>
        </w:rPr>
      </w:pPr>
      <w:r>
        <w:rPr>
          <w:rFonts w:eastAsia="Times New Roman"/>
          <w:b/>
          <w:bCs/>
          <w:color w:val="000000"/>
          <w:sz w:val="18"/>
          <w:szCs w:val="18"/>
        </w:rPr>
        <w:t>Table 3.5: Commercial Banking Portfolio by Internal Risk Ratings</w:t>
      </w:r>
    </w:p>
    <w:tbl>
      <w:tblPr>
        <w:tblW w:w="5000" w:type="pct"/>
        <w:tblCellMar>
          <w:top w:w="15" w:type="dxa"/>
          <w:left w:w="15" w:type="dxa"/>
          <w:bottom w:w="15" w:type="dxa"/>
          <w:right w:w="15" w:type="dxa"/>
        </w:tblCellMar>
        <w:tblLook w:val="04A0" w:firstRow="1" w:lastRow="0" w:firstColumn="1" w:lastColumn="0" w:noHBand="0" w:noVBand="1"/>
      </w:tblPr>
      <w:tblGrid>
        <w:gridCol w:w="65"/>
        <w:gridCol w:w="79"/>
        <w:gridCol w:w="1330"/>
        <w:gridCol w:w="40"/>
        <w:gridCol w:w="36"/>
        <w:gridCol w:w="36"/>
        <w:gridCol w:w="36"/>
        <w:gridCol w:w="110"/>
        <w:gridCol w:w="540"/>
        <w:gridCol w:w="36"/>
        <w:gridCol w:w="36"/>
        <w:gridCol w:w="36"/>
        <w:gridCol w:w="36"/>
        <w:gridCol w:w="110"/>
        <w:gridCol w:w="281"/>
        <w:gridCol w:w="144"/>
        <w:gridCol w:w="115"/>
        <w:gridCol w:w="29"/>
        <w:gridCol w:w="7"/>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339"/>
        <w:gridCol w:w="111"/>
        <w:gridCol w:w="33"/>
        <w:gridCol w:w="3"/>
        <w:gridCol w:w="36"/>
        <w:gridCol w:w="36"/>
        <w:gridCol w:w="36"/>
        <w:gridCol w:w="33"/>
        <w:gridCol w:w="77"/>
        <w:gridCol w:w="540"/>
        <w:gridCol w:w="36"/>
        <w:gridCol w:w="36"/>
        <w:gridCol w:w="36"/>
        <w:gridCol w:w="36"/>
        <w:gridCol w:w="110"/>
        <w:gridCol w:w="540"/>
        <w:gridCol w:w="36"/>
        <w:gridCol w:w="36"/>
        <w:gridCol w:w="36"/>
        <w:gridCol w:w="36"/>
        <w:gridCol w:w="111"/>
        <w:gridCol w:w="618"/>
        <w:gridCol w:w="36"/>
        <w:gridCol w:w="36"/>
        <w:gridCol w:w="36"/>
        <w:gridCol w:w="36"/>
        <w:gridCol w:w="110"/>
        <w:gridCol w:w="138"/>
        <w:gridCol w:w="144"/>
        <w:gridCol w:w="258"/>
        <w:gridCol w:w="36"/>
      </w:tblGrid>
      <w:tr w:rsidR="00000000" w14:paraId="48B14007" w14:textId="77777777">
        <w:trPr>
          <w:divId w:val="1147085233"/>
        </w:trPr>
        <w:tc>
          <w:tcPr>
            <w:tcW w:w="50" w:type="pct"/>
            <w:vAlign w:val="center"/>
            <w:hideMark/>
          </w:tcPr>
          <w:p w14:paraId="6E277A31" w14:textId="77777777" w:rsidR="00000000" w:rsidRDefault="00A173A8">
            <w:pPr>
              <w:rPr>
                <w:rFonts w:eastAsia="Times New Roman"/>
              </w:rPr>
            </w:pPr>
          </w:p>
        </w:tc>
        <w:tc>
          <w:tcPr>
            <w:tcW w:w="1085" w:type="pct"/>
            <w:gridSpan w:val="2"/>
            <w:vAlign w:val="center"/>
            <w:hideMark/>
          </w:tcPr>
          <w:p w14:paraId="7B87AE58" w14:textId="77777777" w:rsidR="00000000" w:rsidRDefault="00A173A8">
            <w:pPr>
              <w:spacing w:after="100"/>
              <w:rPr>
                <w:rFonts w:eastAsia="Times New Roman"/>
                <w:sz w:val="20"/>
                <w:szCs w:val="20"/>
              </w:rPr>
            </w:pPr>
          </w:p>
        </w:tc>
        <w:tc>
          <w:tcPr>
            <w:tcW w:w="5" w:type="pct"/>
            <w:vAlign w:val="center"/>
            <w:hideMark/>
          </w:tcPr>
          <w:p w14:paraId="1F38729D" w14:textId="77777777" w:rsidR="00000000" w:rsidRDefault="00A173A8">
            <w:pPr>
              <w:spacing w:after="100"/>
              <w:rPr>
                <w:rFonts w:eastAsia="Times New Roman"/>
                <w:sz w:val="20"/>
                <w:szCs w:val="20"/>
              </w:rPr>
            </w:pPr>
          </w:p>
        </w:tc>
        <w:tc>
          <w:tcPr>
            <w:tcW w:w="5" w:type="pct"/>
            <w:vAlign w:val="center"/>
            <w:hideMark/>
          </w:tcPr>
          <w:p w14:paraId="5391A243" w14:textId="77777777" w:rsidR="00000000" w:rsidRDefault="00A173A8">
            <w:pPr>
              <w:spacing w:after="100"/>
              <w:rPr>
                <w:rFonts w:eastAsia="Times New Roman"/>
                <w:sz w:val="20"/>
                <w:szCs w:val="20"/>
              </w:rPr>
            </w:pPr>
          </w:p>
        </w:tc>
        <w:tc>
          <w:tcPr>
            <w:tcW w:w="26" w:type="pct"/>
            <w:vAlign w:val="center"/>
            <w:hideMark/>
          </w:tcPr>
          <w:p w14:paraId="150ACB25" w14:textId="77777777" w:rsidR="00000000" w:rsidRDefault="00A173A8">
            <w:pPr>
              <w:spacing w:after="100"/>
              <w:rPr>
                <w:rFonts w:eastAsia="Times New Roman"/>
                <w:sz w:val="20"/>
                <w:szCs w:val="20"/>
              </w:rPr>
            </w:pPr>
          </w:p>
        </w:tc>
        <w:tc>
          <w:tcPr>
            <w:tcW w:w="5" w:type="pct"/>
            <w:vAlign w:val="center"/>
            <w:hideMark/>
          </w:tcPr>
          <w:p w14:paraId="5A200602" w14:textId="77777777" w:rsidR="00000000" w:rsidRDefault="00A173A8">
            <w:pPr>
              <w:spacing w:after="100"/>
              <w:rPr>
                <w:rFonts w:eastAsia="Times New Roman"/>
                <w:sz w:val="20"/>
                <w:szCs w:val="20"/>
              </w:rPr>
            </w:pPr>
          </w:p>
        </w:tc>
        <w:tc>
          <w:tcPr>
            <w:tcW w:w="50" w:type="pct"/>
            <w:vAlign w:val="center"/>
            <w:hideMark/>
          </w:tcPr>
          <w:p w14:paraId="19936414" w14:textId="77777777" w:rsidR="00000000" w:rsidRDefault="00A173A8">
            <w:pPr>
              <w:spacing w:after="100"/>
              <w:rPr>
                <w:rFonts w:eastAsia="Times New Roman"/>
                <w:sz w:val="20"/>
                <w:szCs w:val="20"/>
              </w:rPr>
            </w:pPr>
          </w:p>
        </w:tc>
        <w:tc>
          <w:tcPr>
            <w:tcW w:w="295" w:type="pct"/>
            <w:vAlign w:val="center"/>
            <w:hideMark/>
          </w:tcPr>
          <w:p w14:paraId="46731594" w14:textId="77777777" w:rsidR="00000000" w:rsidRDefault="00A173A8">
            <w:pPr>
              <w:spacing w:after="100"/>
              <w:rPr>
                <w:rFonts w:eastAsia="Times New Roman"/>
                <w:sz w:val="20"/>
                <w:szCs w:val="20"/>
              </w:rPr>
            </w:pPr>
          </w:p>
        </w:tc>
        <w:tc>
          <w:tcPr>
            <w:tcW w:w="5" w:type="pct"/>
            <w:vAlign w:val="center"/>
            <w:hideMark/>
          </w:tcPr>
          <w:p w14:paraId="480F9F17" w14:textId="77777777" w:rsidR="00000000" w:rsidRDefault="00A173A8">
            <w:pPr>
              <w:spacing w:after="100"/>
              <w:rPr>
                <w:rFonts w:eastAsia="Times New Roman"/>
                <w:sz w:val="20"/>
                <w:szCs w:val="20"/>
              </w:rPr>
            </w:pPr>
          </w:p>
        </w:tc>
        <w:tc>
          <w:tcPr>
            <w:tcW w:w="5" w:type="pct"/>
            <w:vAlign w:val="center"/>
            <w:hideMark/>
          </w:tcPr>
          <w:p w14:paraId="1A570468" w14:textId="77777777" w:rsidR="00000000" w:rsidRDefault="00A173A8">
            <w:pPr>
              <w:spacing w:after="100"/>
              <w:rPr>
                <w:rFonts w:eastAsia="Times New Roman"/>
                <w:sz w:val="20"/>
                <w:szCs w:val="20"/>
              </w:rPr>
            </w:pPr>
          </w:p>
        </w:tc>
        <w:tc>
          <w:tcPr>
            <w:tcW w:w="26" w:type="pct"/>
            <w:vAlign w:val="center"/>
            <w:hideMark/>
          </w:tcPr>
          <w:p w14:paraId="1750D576" w14:textId="77777777" w:rsidR="00000000" w:rsidRDefault="00A173A8">
            <w:pPr>
              <w:spacing w:after="100"/>
              <w:rPr>
                <w:rFonts w:eastAsia="Times New Roman"/>
                <w:sz w:val="20"/>
                <w:szCs w:val="20"/>
              </w:rPr>
            </w:pPr>
          </w:p>
        </w:tc>
        <w:tc>
          <w:tcPr>
            <w:tcW w:w="5" w:type="pct"/>
            <w:vAlign w:val="center"/>
            <w:hideMark/>
          </w:tcPr>
          <w:p w14:paraId="1319D4E1" w14:textId="77777777" w:rsidR="00000000" w:rsidRDefault="00A173A8">
            <w:pPr>
              <w:spacing w:after="100"/>
              <w:rPr>
                <w:rFonts w:eastAsia="Times New Roman"/>
                <w:sz w:val="20"/>
                <w:szCs w:val="20"/>
              </w:rPr>
            </w:pPr>
          </w:p>
        </w:tc>
        <w:tc>
          <w:tcPr>
            <w:tcW w:w="50" w:type="pct"/>
            <w:vAlign w:val="center"/>
            <w:hideMark/>
          </w:tcPr>
          <w:p w14:paraId="61087A60" w14:textId="77777777" w:rsidR="00000000" w:rsidRDefault="00A173A8">
            <w:pPr>
              <w:spacing w:after="100"/>
              <w:rPr>
                <w:rFonts w:eastAsia="Times New Roman"/>
                <w:sz w:val="20"/>
                <w:szCs w:val="20"/>
              </w:rPr>
            </w:pPr>
          </w:p>
        </w:tc>
        <w:tc>
          <w:tcPr>
            <w:tcW w:w="288" w:type="pct"/>
            <w:gridSpan w:val="3"/>
            <w:vAlign w:val="center"/>
            <w:hideMark/>
          </w:tcPr>
          <w:p w14:paraId="1D4BAF63" w14:textId="77777777" w:rsidR="00000000" w:rsidRDefault="00A173A8">
            <w:pPr>
              <w:spacing w:after="100"/>
              <w:rPr>
                <w:rFonts w:eastAsia="Times New Roman"/>
                <w:sz w:val="20"/>
                <w:szCs w:val="20"/>
              </w:rPr>
            </w:pPr>
          </w:p>
        </w:tc>
        <w:tc>
          <w:tcPr>
            <w:tcW w:w="5" w:type="pct"/>
            <w:gridSpan w:val="2"/>
            <w:vAlign w:val="center"/>
            <w:hideMark/>
          </w:tcPr>
          <w:p w14:paraId="7B941BC3" w14:textId="77777777" w:rsidR="00000000" w:rsidRDefault="00A173A8">
            <w:pPr>
              <w:spacing w:after="100"/>
              <w:rPr>
                <w:rFonts w:eastAsia="Times New Roman"/>
                <w:sz w:val="20"/>
                <w:szCs w:val="20"/>
              </w:rPr>
            </w:pPr>
          </w:p>
        </w:tc>
        <w:tc>
          <w:tcPr>
            <w:tcW w:w="5" w:type="pct"/>
            <w:vAlign w:val="center"/>
            <w:hideMark/>
          </w:tcPr>
          <w:p w14:paraId="7BFA0DE2" w14:textId="77777777" w:rsidR="00000000" w:rsidRDefault="00A173A8">
            <w:pPr>
              <w:spacing w:after="100"/>
              <w:rPr>
                <w:rFonts w:eastAsia="Times New Roman"/>
                <w:sz w:val="20"/>
                <w:szCs w:val="20"/>
              </w:rPr>
            </w:pPr>
          </w:p>
        </w:tc>
        <w:tc>
          <w:tcPr>
            <w:tcW w:w="26" w:type="pct"/>
            <w:vAlign w:val="center"/>
            <w:hideMark/>
          </w:tcPr>
          <w:p w14:paraId="42F395A8" w14:textId="77777777" w:rsidR="00000000" w:rsidRDefault="00A173A8">
            <w:pPr>
              <w:spacing w:after="100"/>
              <w:rPr>
                <w:rFonts w:eastAsia="Times New Roman"/>
                <w:sz w:val="20"/>
                <w:szCs w:val="20"/>
              </w:rPr>
            </w:pPr>
          </w:p>
        </w:tc>
        <w:tc>
          <w:tcPr>
            <w:tcW w:w="5" w:type="pct"/>
            <w:vAlign w:val="center"/>
            <w:hideMark/>
          </w:tcPr>
          <w:p w14:paraId="15C11FEE" w14:textId="77777777" w:rsidR="00000000" w:rsidRDefault="00A173A8">
            <w:pPr>
              <w:spacing w:after="100"/>
              <w:rPr>
                <w:rFonts w:eastAsia="Times New Roman"/>
                <w:sz w:val="20"/>
                <w:szCs w:val="20"/>
              </w:rPr>
            </w:pPr>
          </w:p>
        </w:tc>
        <w:tc>
          <w:tcPr>
            <w:tcW w:w="50" w:type="pct"/>
            <w:vAlign w:val="center"/>
            <w:hideMark/>
          </w:tcPr>
          <w:p w14:paraId="2CF2B565" w14:textId="77777777" w:rsidR="00000000" w:rsidRDefault="00A173A8">
            <w:pPr>
              <w:spacing w:after="100"/>
              <w:rPr>
                <w:rFonts w:eastAsia="Times New Roman"/>
                <w:sz w:val="20"/>
                <w:szCs w:val="20"/>
              </w:rPr>
            </w:pPr>
          </w:p>
        </w:tc>
        <w:tc>
          <w:tcPr>
            <w:tcW w:w="288" w:type="pct"/>
            <w:vAlign w:val="center"/>
            <w:hideMark/>
          </w:tcPr>
          <w:p w14:paraId="7625A58D" w14:textId="77777777" w:rsidR="00000000" w:rsidRDefault="00A173A8">
            <w:pPr>
              <w:spacing w:after="100"/>
              <w:rPr>
                <w:rFonts w:eastAsia="Times New Roman"/>
                <w:sz w:val="20"/>
                <w:szCs w:val="20"/>
              </w:rPr>
            </w:pPr>
          </w:p>
        </w:tc>
        <w:tc>
          <w:tcPr>
            <w:tcW w:w="5" w:type="pct"/>
            <w:vAlign w:val="center"/>
            <w:hideMark/>
          </w:tcPr>
          <w:p w14:paraId="1D4D0577" w14:textId="77777777" w:rsidR="00000000" w:rsidRDefault="00A173A8">
            <w:pPr>
              <w:spacing w:after="100"/>
              <w:rPr>
                <w:rFonts w:eastAsia="Times New Roman"/>
                <w:sz w:val="20"/>
                <w:szCs w:val="20"/>
              </w:rPr>
            </w:pPr>
          </w:p>
        </w:tc>
        <w:tc>
          <w:tcPr>
            <w:tcW w:w="5" w:type="pct"/>
            <w:vAlign w:val="center"/>
            <w:hideMark/>
          </w:tcPr>
          <w:p w14:paraId="2ED767CB" w14:textId="77777777" w:rsidR="00000000" w:rsidRDefault="00A173A8">
            <w:pPr>
              <w:spacing w:after="100"/>
              <w:rPr>
                <w:rFonts w:eastAsia="Times New Roman"/>
                <w:sz w:val="20"/>
                <w:szCs w:val="20"/>
              </w:rPr>
            </w:pPr>
          </w:p>
        </w:tc>
        <w:tc>
          <w:tcPr>
            <w:tcW w:w="26" w:type="pct"/>
            <w:vAlign w:val="center"/>
            <w:hideMark/>
          </w:tcPr>
          <w:p w14:paraId="18B5AE1D" w14:textId="77777777" w:rsidR="00000000" w:rsidRDefault="00A173A8">
            <w:pPr>
              <w:spacing w:after="100"/>
              <w:rPr>
                <w:rFonts w:eastAsia="Times New Roman"/>
                <w:sz w:val="20"/>
                <w:szCs w:val="20"/>
              </w:rPr>
            </w:pPr>
          </w:p>
        </w:tc>
        <w:tc>
          <w:tcPr>
            <w:tcW w:w="5" w:type="pct"/>
            <w:vAlign w:val="center"/>
            <w:hideMark/>
          </w:tcPr>
          <w:p w14:paraId="0CE5606F" w14:textId="77777777" w:rsidR="00000000" w:rsidRDefault="00A173A8">
            <w:pPr>
              <w:spacing w:after="100"/>
              <w:rPr>
                <w:rFonts w:eastAsia="Times New Roman"/>
                <w:sz w:val="20"/>
                <w:szCs w:val="20"/>
              </w:rPr>
            </w:pPr>
          </w:p>
        </w:tc>
        <w:tc>
          <w:tcPr>
            <w:tcW w:w="50" w:type="pct"/>
            <w:vAlign w:val="center"/>
            <w:hideMark/>
          </w:tcPr>
          <w:p w14:paraId="56B14A41" w14:textId="77777777" w:rsidR="00000000" w:rsidRDefault="00A173A8">
            <w:pPr>
              <w:spacing w:after="100"/>
              <w:rPr>
                <w:rFonts w:eastAsia="Times New Roman"/>
                <w:sz w:val="20"/>
                <w:szCs w:val="20"/>
              </w:rPr>
            </w:pPr>
          </w:p>
        </w:tc>
        <w:tc>
          <w:tcPr>
            <w:tcW w:w="273" w:type="pct"/>
            <w:vAlign w:val="center"/>
            <w:hideMark/>
          </w:tcPr>
          <w:p w14:paraId="6A7A87D6" w14:textId="77777777" w:rsidR="00000000" w:rsidRDefault="00A173A8">
            <w:pPr>
              <w:spacing w:after="100"/>
              <w:rPr>
                <w:rFonts w:eastAsia="Times New Roman"/>
                <w:sz w:val="20"/>
                <w:szCs w:val="20"/>
              </w:rPr>
            </w:pPr>
          </w:p>
        </w:tc>
        <w:tc>
          <w:tcPr>
            <w:tcW w:w="5" w:type="pct"/>
            <w:vAlign w:val="center"/>
            <w:hideMark/>
          </w:tcPr>
          <w:p w14:paraId="79BA0FFB" w14:textId="77777777" w:rsidR="00000000" w:rsidRDefault="00A173A8">
            <w:pPr>
              <w:spacing w:after="100"/>
              <w:rPr>
                <w:rFonts w:eastAsia="Times New Roman"/>
                <w:sz w:val="20"/>
                <w:szCs w:val="20"/>
              </w:rPr>
            </w:pPr>
          </w:p>
        </w:tc>
        <w:tc>
          <w:tcPr>
            <w:tcW w:w="5" w:type="pct"/>
            <w:vAlign w:val="center"/>
            <w:hideMark/>
          </w:tcPr>
          <w:p w14:paraId="7203F7F5" w14:textId="77777777" w:rsidR="00000000" w:rsidRDefault="00A173A8">
            <w:pPr>
              <w:spacing w:after="100"/>
              <w:rPr>
                <w:rFonts w:eastAsia="Times New Roman"/>
                <w:sz w:val="20"/>
                <w:szCs w:val="20"/>
              </w:rPr>
            </w:pPr>
          </w:p>
        </w:tc>
        <w:tc>
          <w:tcPr>
            <w:tcW w:w="26" w:type="pct"/>
            <w:vAlign w:val="center"/>
            <w:hideMark/>
          </w:tcPr>
          <w:p w14:paraId="1D4C61E0" w14:textId="77777777" w:rsidR="00000000" w:rsidRDefault="00A173A8">
            <w:pPr>
              <w:spacing w:after="100"/>
              <w:rPr>
                <w:rFonts w:eastAsia="Times New Roman"/>
                <w:sz w:val="20"/>
                <w:szCs w:val="20"/>
              </w:rPr>
            </w:pPr>
          </w:p>
        </w:tc>
        <w:tc>
          <w:tcPr>
            <w:tcW w:w="5" w:type="pct"/>
            <w:vAlign w:val="center"/>
            <w:hideMark/>
          </w:tcPr>
          <w:p w14:paraId="16538932" w14:textId="77777777" w:rsidR="00000000" w:rsidRDefault="00A173A8">
            <w:pPr>
              <w:spacing w:after="100"/>
              <w:rPr>
                <w:rFonts w:eastAsia="Times New Roman"/>
                <w:sz w:val="20"/>
                <w:szCs w:val="20"/>
              </w:rPr>
            </w:pPr>
          </w:p>
        </w:tc>
        <w:tc>
          <w:tcPr>
            <w:tcW w:w="50" w:type="pct"/>
            <w:vAlign w:val="center"/>
            <w:hideMark/>
          </w:tcPr>
          <w:p w14:paraId="1DC30D32" w14:textId="77777777" w:rsidR="00000000" w:rsidRDefault="00A173A8">
            <w:pPr>
              <w:spacing w:after="100"/>
              <w:rPr>
                <w:rFonts w:eastAsia="Times New Roman"/>
                <w:sz w:val="20"/>
                <w:szCs w:val="20"/>
              </w:rPr>
            </w:pPr>
          </w:p>
        </w:tc>
        <w:tc>
          <w:tcPr>
            <w:tcW w:w="273" w:type="pct"/>
            <w:vAlign w:val="center"/>
            <w:hideMark/>
          </w:tcPr>
          <w:p w14:paraId="5EDDFC52" w14:textId="77777777" w:rsidR="00000000" w:rsidRDefault="00A173A8">
            <w:pPr>
              <w:spacing w:after="100"/>
              <w:rPr>
                <w:rFonts w:eastAsia="Times New Roman"/>
                <w:sz w:val="20"/>
                <w:szCs w:val="20"/>
              </w:rPr>
            </w:pPr>
          </w:p>
        </w:tc>
        <w:tc>
          <w:tcPr>
            <w:tcW w:w="5" w:type="pct"/>
            <w:vAlign w:val="center"/>
            <w:hideMark/>
          </w:tcPr>
          <w:p w14:paraId="0525C8BC" w14:textId="77777777" w:rsidR="00000000" w:rsidRDefault="00A173A8">
            <w:pPr>
              <w:spacing w:after="100"/>
              <w:rPr>
                <w:rFonts w:eastAsia="Times New Roman"/>
                <w:sz w:val="20"/>
                <w:szCs w:val="20"/>
              </w:rPr>
            </w:pPr>
          </w:p>
        </w:tc>
        <w:tc>
          <w:tcPr>
            <w:tcW w:w="5" w:type="pct"/>
            <w:vAlign w:val="center"/>
            <w:hideMark/>
          </w:tcPr>
          <w:p w14:paraId="159279D7" w14:textId="77777777" w:rsidR="00000000" w:rsidRDefault="00A173A8">
            <w:pPr>
              <w:spacing w:after="100"/>
              <w:rPr>
                <w:rFonts w:eastAsia="Times New Roman"/>
                <w:sz w:val="20"/>
                <w:szCs w:val="20"/>
              </w:rPr>
            </w:pPr>
          </w:p>
        </w:tc>
        <w:tc>
          <w:tcPr>
            <w:tcW w:w="26" w:type="pct"/>
            <w:vAlign w:val="center"/>
            <w:hideMark/>
          </w:tcPr>
          <w:p w14:paraId="2F58E0A8" w14:textId="77777777" w:rsidR="00000000" w:rsidRDefault="00A173A8">
            <w:pPr>
              <w:spacing w:after="100"/>
              <w:rPr>
                <w:rFonts w:eastAsia="Times New Roman"/>
                <w:sz w:val="20"/>
                <w:szCs w:val="20"/>
              </w:rPr>
            </w:pPr>
          </w:p>
        </w:tc>
        <w:tc>
          <w:tcPr>
            <w:tcW w:w="5" w:type="pct"/>
            <w:vAlign w:val="center"/>
            <w:hideMark/>
          </w:tcPr>
          <w:p w14:paraId="7FAF65AB" w14:textId="77777777" w:rsidR="00000000" w:rsidRDefault="00A173A8">
            <w:pPr>
              <w:spacing w:after="100"/>
              <w:rPr>
                <w:rFonts w:eastAsia="Times New Roman"/>
                <w:sz w:val="20"/>
                <w:szCs w:val="20"/>
              </w:rPr>
            </w:pPr>
          </w:p>
        </w:tc>
        <w:tc>
          <w:tcPr>
            <w:tcW w:w="50" w:type="pct"/>
            <w:vAlign w:val="center"/>
            <w:hideMark/>
          </w:tcPr>
          <w:p w14:paraId="06DC4CC2" w14:textId="77777777" w:rsidR="00000000" w:rsidRDefault="00A173A8">
            <w:pPr>
              <w:spacing w:after="100"/>
              <w:rPr>
                <w:rFonts w:eastAsia="Times New Roman"/>
                <w:sz w:val="20"/>
                <w:szCs w:val="20"/>
              </w:rPr>
            </w:pPr>
          </w:p>
        </w:tc>
        <w:tc>
          <w:tcPr>
            <w:tcW w:w="273" w:type="pct"/>
            <w:gridSpan w:val="2"/>
            <w:vAlign w:val="center"/>
            <w:hideMark/>
          </w:tcPr>
          <w:p w14:paraId="4C7956DD" w14:textId="77777777" w:rsidR="00000000" w:rsidRDefault="00A173A8">
            <w:pPr>
              <w:spacing w:after="100"/>
              <w:rPr>
                <w:rFonts w:eastAsia="Times New Roman"/>
                <w:sz w:val="20"/>
                <w:szCs w:val="20"/>
              </w:rPr>
            </w:pPr>
          </w:p>
        </w:tc>
        <w:tc>
          <w:tcPr>
            <w:tcW w:w="5" w:type="pct"/>
            <w:gridSpan w:val="2"/>
            <w:vAlign w:val="center"/>
            <w:hideMark/>
          </w:tcPr>
          <w:p w14:paraId="66063273" w14:textId="77777777" w:rsidR="00000000" w:rsidRDefault="00A173A8">
            <w:pPr>
              <w:spacing w:after="100"/>
              <w:rPr>
                <w:rFonts w:eastAsia="Times New Roman"/>
                <w:sz w:val="20"/>
                <w:szCs w:val="20"/>
              </w:rPr>
            </w:pPr>
          </w:p>
        </w:tc>
        <w:tc>
          <w:tcPr>
            <w:tcW w:w="5" w:type="pct"/>
            <w:vAlign w:val="center"/>
            <w:hideMark/>
          </w:tcPr>
          <w:p w14:paraId="16CA61A3" w14:textId="77777777" w:rsidR="00000000" w:rsidRDefault="00A173A8">
            <w:pPr>
              <w:spacing w:after="100"/>
              <w:rPr>
                <w:rFonts w:eastAsia="Times New Roman"/>
                <w:sz w:val="20"/>
                <w:szCs w:val="20"/>
              </w:rPr>
            </w:pPr>
          </w:p>
        </w:tc>
        <w:tc>
          <w:tcPr>
            <w:tcW w:w="26" w:type="pct"/>
            <w:vAlign w:val="center"/>
            <w:hideMark/>
          </w:tcPr>
          <w:p w14:paraId="6D10675B" w14:textId="77777777" w:rsidR="00000000" w:rsidRDefault="00A173A8">
            <w:pPr>
              <w:spacing w:after="100"/>
              <w:rPr>
                <w:rFonts w:eastAsia="Times New Roman"/>
                <w:sz w:val="20"/>
                <w:szCs w:val="20"/>
              </w:rPr>
            </w:pPr>
          </w:p>
        </w:tc>
        <w:tc>
          <w:tcPr>
            <w:tcW w:w="5" w:type="pct"/>
            <w:vAlign w:val="center"/>
            <w:hideMark/>
          </w:tcPr>
          <w:p w14:paraId="2959F04B" w14:textId="77777777" w:rsidR="00000000" w:rsidRDefault="00A173A8">
            <w:pPr>
              <w:spacing w:after="100"/>
              <w:rPr>
                <w:rFonts w:eastAsia="Times New Roman"/>
                <w:sz w:val="20"/>
                <w:szCs w:val="20"/>
              </w:rPr>
            </w:pPr>
          </w:p>
        </w:tc>
        <w:tc>
          <w:tcPr>
            <w:tcW w:w="50" w:type="pct"/>
            <w:gridSpan w:val="2"/>
            <w:vAlign w:val="center"/>
            <w:hideMark/>
          </w:tcPr>
          <w:p w14:paraId="7A6425D0" w14:textId="77777777" w:rsidR="00000000" w:rsidRDefault="00A173A8">
            <w:pPr>
              <w:spacing w:after="100"/>
              <w:rPr>
                <w:rFonts w:eastAsia="Times New Roman"/>
                <w:sz w:val="20"/>
                <w:szCs w:val="20"/>
              </w:rPr>
            </w:pPr>
          </w:p>
        </w:tc>
        <w:tc>
          <w:tcPr>
            <w:tcW w:w="288" w:type="pct"/>
            <w:vAlign w:val="center"/>
            <w:hideMark/>
          </w:tcPr>
          <w:p w14:paraId="6F0BA215" w14:textId="77777777" w:rsidR="00000000" w:rsidRDefault="00A173A8">
            <w:pPr>
              <w:spacing w:after="100"/>
              <w:rPr>
                <w:rFonts w:eastAsia="Times New Roman"/>
                <w:sz w:val="20"/>
                <w:szCs w:val="20"/>
              </w:rPr>
            </w:pPr>
          </w:p>
        </w:tc>
        <w:tc>
          <w:tcPr>
            <w:tcW w:w="5" w:type="pct"/>
            <w:vAlign w:val="center"/>
            <w:hideMark/>
          </w:tcPr>
          <w:p w14:paraId="2C55F3D8" w14:textId="77777777" w:rsidR="00000000" w:rsidRDefault="00A173A8">
            <w:pPr>
              <w:spacing w:after="100"/>
              <w:rPr>
                <w:rFonts w:eastAsia="Times New Roman"/>
                <w:sz w:val="20"/>
                <w:szCs w:val="20"/>
              </w:rPr>
            </w:pPr>
          </w:p>
        </w:tc>
        <w:tc>
          <w:tcPr>
            <w:tcW w:w="5" w:type="pct"/>
            <w:vAlign w:val="center"/>
            <w:hideMark/>
          </w:tcPr>
          <w:p w14:paraId="787874D1" w14:textId="77777777" w:rsidR="00000000" w:rsidRDefault="00A173A8">
            <w:pPr>
              <w:spacing w:after="100"/>
              <w:rPr>
                <w:rFonts w:eastAsia="Times New Roman"/>
                <w:sz w:val="20"/>
                <w:szCs w:val="20"/>
              </w:rPr>
            </w:pPr>
          </w:p>
        </w:tc>
        <w:tc>
          <w:tcPr>
            <w:tcW w:w="26" w:type="pct"/>
            <w:vAlign w:val="center"/>
            <w:hideMark/>
          </w:tcPr>
          <w:p w14:paraId="40265D7A" w14:textId="77777777" w:rsidR="00000000" w:rsidRDefault="00A173A8">
            <w:pPr>
              <w:spacing w:after="100"/>
              <w:rPr>
                <w:rFonts w:eastAsia="Times New Roman"/>
                <w:sz w:val="20"/>
                <w:szCs w:val="20"/>
              </w:rPr>
            </w:pPr>
          </w:p>
        </w:tc>
        <w:tc>
          <w:tcPr>
            <w:tcW w:w="5" w:type="pct"/>
            <w:vAlign w:val="center"/>
            <w:hideMark/>
          </w:tcPr>
          <w:p w14:paraId="1ADCEC5C" w14:textId="77777777" w:rsidR="00000000" w:rsidRDefault="00A173A8">
            <w:pPr>
              <w:spacing w:after="100"/>
              <w:rPr>
                <w:rFonts w:eastAsia="Times New Roman"/>
                <w:sz w:val="20"/>
                <w:szCs w:val="20"/>
              </w:rPr>
            </w:pPr>
          </w:p>
        </w:tc>
        <w:tc>
          <w:tcPr>
            <w:tcW w:w="50" w:type="pct"/>
            <w:vAlign w:val="center"/>
            <w:hideMark/>
          </w:tcPr>
          <w:p w14:paraId="28645380" w14:textId="77777777" w:rsidR="00000000" w:rsidRDefault="00A173A8">
            <w:pPr>
              <w:spacing w:after="100"/>
              <w:rPr>
                <w:rFonts w:eastAsia="Times New Roman"/>
                <w:sz w:val="20"/>
                <w:szCs w:val="20"/>
              </w:rPr>
            </w:pPr>
          </w:p>
        </w:tc>
        <w:tc>
          <w:tcPr>
            <w:tcW w:w="317" w:type="pct"/>
            <w:vAlign w:val="center"/>
            <w:hideMark/>
          </w:tcPr>
          <w:p w14:paraId="2BE41351" w14:textId="77777777" w:rsidR="00000000" w:rsidRDefault="00A173A8">
            <w:pPr>
              <w:spacing w:after="100"/>
              <w:rPr>
                <w:rFonts w:eastAsia="Times New Roman"/>
                <w:sz w:val="20"/>
                <w:szCs w:val="20"/>
              </w:rPr>
            </w:pPr>
          </w:p>
        </w:tc>
        <w:tc>
          <w:tcPr>
            <w:tcW w:w="5" w:type="pct"/>
            <w:vAlign w:val="center"/>
            <w:hideMark/>
          </w:tcPr>
          <w:p w14:paraId="67C5DEA5" w14:textId="77777777" w:rsidR="00000000" w:rsidRDefault="00A173A8">
            <w:pPr>
              <w:spacing w:after="100"/>
              <w:rPr>
                <w:rFonts w:eastAsia="Times New Roman"/>
                <w:sz w:val="20"/>
                <w:szCs w:val="20"/>
              </w:rPr>
            </w:pPr>
          </w:p>
        </w:tc>
        <w:tc>
          <w:tcPr>
            <w:tcW w:w="5" w:type="pct"/>
            <w:vAlign w:val="center"/>
            <w:hideMark/>
          </w:tcPr>
          <w:p w14:paraId="2CFB4013" w14:textId="77777777" w:rsidR="00000000" w:rsidRDefault="00A173A8">
            <w:pPr>
              <w:spacing w:after="100"/>
              <w:rPr>
                <w:rFonts w:eastAsia="Times New Roman"/>
                <w:sz w:val="20"/>
                <w:szCs w:val="20"/>
              </w:rPr>
            </w:pPr>
          </w:p>
        </w:tc>
        <w:tc>
          <w:tcPr>
            <w:tcW w:w="26" w:type="pct"/>
            <w:vAlign w:val="center"/>
            <w:hideMark/>
          </w:tcPr>
          <w:p w14:paraId="3DD5F477" w14:textId="77777777" w:rsidR="00000000" w:rsidRDefault="00A173A8">
            <w:pPr>
              <w:spacing w:after="100"/>
              <w:rPr>
                <w:rFonts w:eastAsia="Times New Roman"/>
                <w:sz w:val="20"/>
                <w:szCs w:val="20"/>
              </w:rPr>
            </w:pPr>
          </w:p>
        </w:tc>
        <w:tc>
          <w:tcPr>
            <w:tcW w:w="5" w:type="pct"/>
            <w:vAlign w:val="center"/>
            <w:hideMark/>
          </w:tcPr>
          <w:p w14:paraId="541051B8" w14:textId="77777777" w:rsidR="00000000" w:rsidRDefault="00A173A8">
            <w:pPr>
              <w:spacing w:after="100"/>
              <w:rPr>
                <w:rFonts w:eastAsia="Times New Roman"/>
                <w:sz w:val="20"/>
                <w:szCs w:val="20"/>
              </w:rPr>
            </w:pPr>
          </w:p>
        </w:tc>
        <w:tc>
          <w:tcPr>
            <w:tcW w:w="50" w:type="pct"/>
            <w:vAlign w:val="center"/>
            <w:hideMark/>
          </w:tcPr>
          <w:p w14:paraId="111BED8B" w14:textId="77777777" w:rsidR="00000000" w:rsidRDefault="00A173A8">
            <w:pPr>
              <w:spacing w:after="100"/>
              <w:rPr>
                <w:rFonts w:eastAsia="Times New Roman"/>
                <w:sz w:val="20"/>
                <w:szCs w:val="20"/>
              </w:rPr>
            </w:pPr>
          </w:p>
        </w:tc>
        <w:tc>
          <w:tcPr>
            <w:tcW w:w="347" w:type="pct"/>
            <w:vAlign w:val="center"/>
            <w:hideMark/>
          </w:tcPr>
          <w:p w14:paraId="77749DF9" w14:textId="77777777" w:rsidR="00000000" w:rsidRDefault="00A173A8">
            <w:pPr>
              <w:spacing w:after="100"/>
              <w:rPr>
                <w:rFonts w:eastAsia="Times New Roman"/>
                <w:sz w:val="20"/>
                <w:szCs w:val="20"/>
              </w:rPr>
            </w:pPr>
          </w:p>
        </w:tc>
        <w:tc>
          <w:tcPr>
            <w:tcW w:w="5" w:type="pct"/>
            <w:vAlign w:val="center"/>
            <w:hideMark/>
          </w:tcPr>
          <w:p w14:paraId="4FDD474D" w14:textId="77777777" w:rsidR="00000000" w:rsidRDefault="00A173A8">
            <w:pPr>
              <w:spacing w:after="100"/>
              <w:rPr>
                <w:rFonts w:eastAsia="Times New Roman"/>
                <w:sz w:val="20"/>
                <w:szCs w:val="20"/>
              </w:rPr>
            </w:pPr>
          </w:p>
        </w:tc>
        <w:tc>
          <w:tcPr>
            <w:tcW w:w="5" w:type="pct"/>
            <w:vAlign w:val="center"/>
            <w:hideMark/>
          </w:tcPr>
          <w:p w14:paraId="770539E6" w14:textId="77777777" w:rsidR="00000000" w:rsidRDefault="00A173A8">
            <w:pPr>
              <w:spacing w:after="100"/>
              <w:rPr>
                <w:rFonts w:eastAsia="Times New Roman"/>
                <w:sz w:val="20"/>
                <w:szCs w:val="20"/>
              </w:rPr>
            </w:pPr>
          </w:p>
        </w:tc>
        <w:tc>
          <w:tcPr>
            <w:tcW w:w="26" w:type="pct"/>
            <w:vAlign w:val="center"/>
            <w:hideMark/>
          </w:tcPr>
          <w:p w14:paraId="1E8B2019" w14:textId="77777777" w:rsidR="00000000" w:rsidRDefault="00A173A8">
            <w:pPr>
              <w:spacing w:after="100"/>
              <w:rPr>
                <w:rFonts w:eastAsia="Times New Roman"/>
                <w:sz w:val="20"/>
                <w:szCs w:val="20"/>
              </w:rPr>
            </w:pPr>
          </w:p>
        </w:tc>
        <w:tc>
          <w:tcPr>
            <w:tcW w:w="5" w:type="pct"/>
            <w:vAlign w:val="center"/>
            <w:hideMark/>
          </w:tcPr>
          <w:p w14:paraId="5A5B1627" w14:textId="77777777" w:rsidR="00000000" w:rsidRDefault="00A173A8">
            <w:pPr>
              <w:spacing w:after="100"/>
              <w:rPr>
                <w:rFonts w:eastAsia="Times New Roman"/>
                <w:sz w:val="20"/>
                <w:szCs w:val="20"/>
              </w:rPr>
            </w:pPr>
          </w:p>
        </w:tc>
        <w:tc>
          <w:tcPr>
            <w:tcW w:w="50" w:type="pct"/>
            <w:vAlign w:val="center"/>
            <w:hideMark/>
          </w:tcPr>
          <w:p w14:paraId="736DC369" w14:textId="77777777" w:rsidR="00000000" w:rsidRDefault="00A173A8">
            <w:pPr>
              <w:spacing w:after="100"/>
              <w:rPr>
                <w:rFonts w:eastAsia="Times New Roman"/>
                <w:sz w:val="20"/>
                <w:szCs w:val="20"/>
              </w:rPr>
            </w:pPr>
          </w:p>
        </w:tc>
        <w:tc>
          <w:tcPr>
            <w:tcW w:w="296" w:type="pct"/>
            <w:gridSpan w:val="3"/>
            <w:vAlign w:val="center"/>
            <w:hideMark/>
          </w:tcPr>
          <w:p w14:paraId="54EE8CE7" w14:textId="77777777" w:rsidR="00000000" w:rsidRDefault="00A173A8">
            <w:pPr>
              <w:spacing w:after="100"/>
              <w:rPr>
                <w:rFonts w:eastAsia="Times New Roman"/>
                <w:sz w:val="20"/>
                <w:szCs w:val="20"/>
              </w:rPr>
            </w:pPr>
          </w:p>
        </w:tc>
        <w:tc>
          <w:tcPr>
            <w:tcW w:w="5" w:type="pct"/>
            <w:vAlign w:val="center"/>
            <w:hideMark/>
          </w:tcPr>
          <w:p w14:paraId="5EA05A33" w14:textId="77777777" w:rsidR="00000000" w:rsidRDefault="00A173A8">
            <w:pPr>
              <w:spacing w:after="100"/>
              <w:rPr>
                <w:rFonts w:eastAsia="Times New Roman"/>
                <w:sz w:val="20"/>
                <w:szCs w:val="20"/>
              </w:rPr>
            </w:pPr>
          </w:p>
        </w:tc>
      </w:tr>
      <w:tr w:rsidR="00000000" w14:paraId="224B637A" w14:textId="77777777">
        <w:trPr>
          <w:divId w:val="1147085233"/>
        </w:trPr>
        <w:tc>
          <w:tcPr>
            <w:tcW w:w="0" w:type="auto"/>
            <w:gridSpan w:val="4"/>
            <w:tcMar>
              <w:top w:w="0" w:type="dxa"/>
              <w:left w:w="20" w:type="dxa"/>
              <w:bottom w:w="0" w:type="dxa"/>
              <w:right w:w="20" w:type="dxa"/>
            </w:tcMar>
            <w:vAlign w:val="center"/>
            <w:hideMark/>
          </w:tcPr>
          <w:p w14:paraId="52F21CC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475FD4" w14:textId="77777777" w:rsidR="00000000" w:rsidRDefault="00A173A8">
            <w:pPr>
              <w:spacing w:after="100"/>
              <w:rPr>
                <w:rFonts w:eastAsia="Times New Roman"/>
                <w:sz w:val="20"/>
                <w:szCs w:val="20"/>
              </w:rPr>
            </w:pPr>
          </w:p>
        </w:tc>
        <w:tc>
          <w:tcPr>
            <w:tcW w:w="0" w:type="auto"/>
            <w:gridSpan w:val="64"/>
            <w:tcMar>
              <w:top w:w="30" w:type="dxa"/>
              <w:left w:w="20" w:type="dxa"/>
              <w:bottom w:w="30" w:type="dxa"/>
              <w:right w:w="20" w:type="dxa"/>
            </w:tcMar>
            <w:vAlign w:val="bottom"/>
            <w:hideMark/>
          </w:tcPr>
          <w:p w14:paraId="263417D1" w14:textId="77777777" w:rsidR="00000000" w:rsidRDefault="00A173A8">
            <w:pPr>
              <w:spacing w:after="100"/>
              <w:jc w:val="center"/>
              <w:rPr>
                <w:rFonts w:eastAsia="Times New Roman"/>
              </w:rPr>
            </w:pPr>
            <w:r>
              <w:rPr>
                <w:rFonts w:eastAsia="Times New Roman"/>
                <w:b/>
                <w:bCs/>
                <w:color w:val="000000"/>
                <w:sz w:val="15"/>
                <w:szCs w:val="15"/>
              </w:rPr>
              <w:t>June 30, 2022</w:t>
            </w:r>
          </w:p>
        </w:tc>
        <w:tc>
          <w:tcPr>
            <w:tcW w:w="0" w:type="auto"/>
            <w:vAlign w:val="center"/>
            <w:hideMark/>
          </w:tcPr>
          <w:p w14:paraId="37827190" w14:textId="77777777" w:rsidR="00000000" w:rsidRDefault="00A173A8">
            <w:pPr>
              <w:spacing w:after="100"/>
              <w:rPr>
                <w:rFonts w:eastAsia="Times New Roman"/>
                <w:sz w:val="20"/>
                <w:szCs w:val="20"/>
              </w:rPr>
            </w:pPr>
          </w:p>
        </w:tc>
      </w:tr>
      <w:tr w:rsidR="00000000" w14:paraId="42BC670E" w14:textId="77777777">
        <w:trPr>
          <w:divId w:val="1147085233"/>
        </w:trPr>
        <w:tc>
          <w:tcPr>
            <w:tcW w:w="0" w:type="auto"/>
            <w:gridSpan w:val="4"/>
            <w:tcMar>
              <w:top w:w="0" w:type="dxa"/>
              <w:left w:w="20" w:type="dxa"/>
              <w:bottom w:w="0" w:type="dxa"/>
              <w:right w:w="20" w:type="dxa"/>
            </w:tcMar>
            <w:vAlign w:val="center"/>
            <w:hideMark/>
          </w:tcPr>
          <w:p w14:paraId="413401B5"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332540D" w14:textId="77777777" w:rsidR="00000000" w:rsidRDefault="00A173A8">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14:paraId="3CCF1B4A" w14:textId="77777777" w:rsidR="00000000" w:rsidRDefault="00A173A8">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7056B1EF"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8F51CAD"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5A069D"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BCB935"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91A0FFB" w14:textId="77777777" w:rsidR="00000000" w:rsidRDefault="00A173A8">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47E3CEF9" w14:textId="77777777" w:rsidR="00000000" w:rsidRDefault="00A173A8">
            <w:pPr>
              <w:spacing w:after="100"/>
              <w:rPr>
                <w:rFonts w:eastAsia="Times New Roman"/>
                <w:sz w:val="20"/>
                <w:szCs w:val="20"/>
              </w:rPr>
            </w:pPr>
          </w:p>
        </w:tc>
        <w:tc>
          <w:tcPr>
            <w:tcW w:w="0" w:type="auto"/>
            <w:vAlign w:val="center"/>
            <w:hideMark/>
          </w:tcPr>
          <w:p w14:paraId="0988088B" w14:textId="77777777" w:rsidR="00000000" w:rsidRDefault="00A173A8">
            <w:pPr>
              <w:spacing w:after="100"/>
              <w:rPr>
                <w:rFonts w:eastAsia="Times New Roman"/>
                <w:sz w:val="20"/>
                <w:szCs w:val="20"/>
              </w:rPr>
            </w:pPr>
          </w:p>
        </w:tc>
      </w:tr>
      <w:tr w:rsidR="00000000" w14:paraId="740686A4" w14:textId="77777777">
        <w:trPr>
          <w:divId w:val="1147085233"/>
        </w:trPr>
        <w:tc>
          <w:tcPr>
            <w:tcW w:w="0" w:type="auto"/>
            <w:gridSpan w:val="4"/>
            <w:tcBorders>
              <w:bottom w:val="single" w:sz="8" w:space="0" w:color="000000"/>
            </w:tcBorders>
            <w:tcMar>
              <w:top w:w="30" w:type="dxa"/>
              <w:left w:w="20" w:type="dxa"/>
              <w:bottom w:w="30" w:type="dxa"/>
              <w:right w:w="20" w:type="dxa"/>
            </w:tcMar>
            <w:vAlign w:val="bottom"/>
            <w:hideMark/>
          </w:tcPr>
          <w:p w14:paraId="50CA6485" w14:textId="77777777" w:rsidR="00000000" w:rsidRDefault="00A173A8">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14:paraId="7F7F1363"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917AB56" w14:textId="77777777" w:rsidR="00000000" w:rsidRDefault="00A173A8">
            <w:pPr>
              <w:spacing w:after="100"/>
              <w:jc w:val="center"/>
              <w:rPr>
                <w:rFonts w:eastAsia="Times New Roman"/>
              </w:rPr>
            </w:pPr>
            <w:r>
              <w:rPr>
                <w:rFonts w:eastAsia="Times New Roman"/>
                <w:b/>
                <w:bCs/>
                <w:color w:val="000000"/>
                <w:sz w:val="15"/>
                <w:szCs w:val="15"/>
              </w:rPr>
              <w:t>2022</w:t>
            </w:r>
          </w:p>
        </w:tc>
        <w:tc>
          <w:tcPr>
            <w:tcW w:w="0" w:type="auto"/>
            <w:gridSpan w:val="3"/>
            <w:tcBorders>
              <w:top w:val="single" w:sz="8" w:space="0" w:color="000000"/>
            </w:tcBorders>
            <w:tcMar>
              <w:top w:w="0" w:type="dxa"/>
              <w:left w:w="20" w:type="dxa"/>
              <w:bottom w:w="0" w:type="dxa"/>
              <w:right w:w="20" w:type="dxa"/>
            </w:tcMar>
            <w:vAlign w:val="center"/>
            <w:hideMark/>
          </w:tcPr>
          <w:p w14:paraId="2C14CB26" w14:textId="77777777" w:rsidR="00000000" w:rsidRDefault="00A173A8">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14:paraId="34C24088" w14:textId="77777777" w:rsidR="00000000" w:rsidRDefault="00A173A8">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14:paraId="1B325F1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76222F" w14:textId="77777777" w:rsidR="00000000" w:rsidRDefault="00A173A8">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14:paraId="2D0A4D7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F4A0FA9" w14:textId="77777777" w:rsidR="00000000" w:rsidRDefault="00A173A8">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14:paraId="5747D342"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9807765" w14:textId="77777777" w:rsidR="00000000" w:rsidRDefault="00A173A8">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14:paraId="50715786" w14:textId="77777777" w:rsidR="00000000" w:rsidRDefault="00A173A8">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14:paraId="27379702" w14:textId="77777777" w:rsidR="00000000" w:rsidRDefault="00A173A8">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14:paraId="1AA8EDB6" w14:textId="77777777" w:rsidR="00000000" w:rsidRDefault="00A173A8">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14:paraId="5DB42B9E" w14:textId="77777777" w:rsidR="00000000" w:rsidRDefault="00A173A8">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63FA37B2"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13785B4" w14:textId="77777777" w:rsidR="00000000" w:rsidRDefault="00A173A8">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14:paraId="1A10FC4C"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8ABA20A" w14:textId="77777777" w:rsidR="00000000" w:rsidRDefault="00A173A8">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0B74167A" w14:textId="77777777" w:rsidR="00000000" w:rsidRDefault="00A173A8">
            <w:pPr>
              <w:spacing w:after="100"/>
              <w:jc w:val="center"/>
              <w:rPr>
                <w:rFonts w:eastAsia="Times New Roman"/>
              </w:rPr>
            </w:pPr>
          </w:p>
        </w:tc>
        <w:tc>
          <w:tcPr>
            <w:tcW w:w="0" w:type="auto"/>
            <w:gridSpan w:val="4"/>
            <w:tcBorders>
              <w:bottom w:val="single" w:sz="8" w:space="0" w:color="000000"/>
            </w:tcBorders>
            <w:tcMar>
              <w:top w:w="30" w:type="dxa"/>
              <w:left w:w="20" w:type="dxa"/>
              <w:bottom w:w="30" w:type="dxa"/>
              <w:right w:w="20" w:type="dxa"/>
            </w:tcMar>
            <w:vAlign w:val="bottom"/>
            <w:hideMark/>
          </w:tcPr>
          <w:p w14:paraId="7F8F0CAD" w14:textId="77777777" w:rsidR="00000000" w:rsidRDefault="00A173A8">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2DE63831" w14:textId="77777777" w:rsidR="00000000" w:rsidRDefault="00A173A8">
            <w:pPr>
              <w:spacing w:after="100"/>
              <w:rPr>
                <w:rFonts w:eastAsia="Times New Roman"/>
                <w:sz w:val="20"/>
                <w:szCs w:val="20"/>
              </w:rPr>
            </w:pPr>
          </w:p>
        </w:tc>
      </w:tr>
      <w:tr w:rsidR="00000000" w14:paraId="3495D198" w14:textId="77777777">
        <w:trPr>
          <w:divId w:val="1147085233"/>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39682F6C" w14:textId="77777777" w:rsidR="00000000" w:rsidRDefault="00A173A8">
            <w:pPr>
              <w:spacing w:after="100"/>
              <w:divId w:val="1491679739"/>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CF02729"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1B436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F6D6C3" w14:textId="77777777" w:rsidR="00000000" w:rsidRDefault="00A173A8">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7C99BDB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10359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E5353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37DB9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EF404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821EF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EAB98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DC5B0A" w14:textId="77777777" w:rsidR="00000000" w:rsidRDefault="00A173A8">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189D772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F12247"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1CBCFB7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0735C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A70CA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9E2C9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20FA8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3852A2"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21C6C3CE" w14:textId="77777777" w:rsidR="00000000" w:rsidRDefault="00A173A8">
            <w:pPr>
              <w:spacing w:after="100"/>
              <w:rPr>
                <w:rFonts w:eastAsia="Times New Roman"/>
                <w:sz w:val="20"/>
                <w:szCs w:val="20"/>
              </w:rPr>
            </w:pPr>
          </w:p>
        </w:tc>
        <w:tc>
          <w:tcPr>
            <w:tcW w:w="0" w:type="auto"/>
            <w:vAlign w:val="center"/>
            <w:hideMark/>
          </w:tcPr>
          <w:p w14:paraId="61527D17" w14:textId="77777777" w:rsidR="00000000" w:rsidRDefault="00A173A8">
            <w:pPr>
              <w:spacing w:after="100"/>
              <w:rPr>
                <w:rFonts w:eastAsia="Times New Roman"/>
                <w:sz w:val="20"/>
                <w:szCs w:val="20"/>
              </w:rPr>
            </w:pPr>
          </w:p>
        </w:tc>
      </w:tr>
      <w:tr w:rsidR="00000000" w14:paraId="77A3307F" w14:textId="77777777">
        <w:trPr>
          <w:divId w:val="1147085233"/>
        </w:trPr>
        <w:tc>
          <w:tcPr>
            <w:tcW w:w="0" w:type="auto"/>
            <w:gridSpan w:val="4"/>
            <w:shd w:val="clear" w:color="auto" w:fill="FFFFFF"/>
            <w:tcMar>
              <w:top w:w="30" w:type="dxa"/>
              <w:left w:w="155" w:type="dxa"/>
              <w:bottom w:w="30" w:type="dxa"/>
              <w:right w:w="20" w:type="dxa"/>
            </w:tcMar>
            <w:vAlign w:val="center"/>
            <w:hideMark/>
          </w:tcPr>
          <w:p w14:paraId="72967FD2" w14:textId="77777777" w:rsidR="00000000" w:rsidRDefault="00A173A8">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12B27FB2"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9926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D3335F" w14:textId="77777777" w:rsidR="00000000" w:rsidRDefault="00A173A8">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066679D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5CD4A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577A5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FE1E3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DB364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BDD7B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0A9CB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2A1822" w14:textId="77777777" w:rsidR="00000000" w:rsidRDefault="00A173A8">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0AEC7E1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ACD7A6"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5AD9B8B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914F2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95735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7790A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F41BD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DE1A5E"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DA6789D" w14:textId="77777777" w:rsidR="00000000" w:rsidRDefault="00A173A8">
            <w:pPr>
              <w:spacing w:after="100"/>
              <w:rPr>
                <w:rFonts w:eastAsia="Times New Roman"/>
                <w:sz w:val="20"/>
                <w:szCs w:val="20"/>
              </w:rPr>
            </w:pPr>
          </w:p>
        </w:tc>
        <w:tc>
          <w:tcPr>
            <w:tcW w:w="0" w:type="auto"/>
            <w:vAlign w:val="center"/>
            <w:hideMark/>
          </w:tcPr>
          <w:p w14:paraId="766E1186" w14:textId="77777777" w:rsidR="00000000" w:rsidRDefault="00A173A8">
            <w:pPr>
              <w:spacing w:after="100"/>
              <w:rPr>
                <w:rFonts w:eastAsia="Times New Roman"/>
                <w:sz w:val="20"/>
                <w:szCs w:val="20"/>
              </w:rPr>
            </w:pPr>
          </w:p>
        </w:tc>
      </w:tr>
      <w:tr w:rsidR="00A173A8" w14:paraId="6A1B14DD" w14:textId="77777777">
        <w:trPr>
          <w:divId w:val="1147085233"/>
        </w:trPr>
        <w:tc>
          <w:tcPr>
            <w:tcW w:w="0" w:type="auto"/>
            <w:gridSpan w:val="4"/>
            <w:shd w:val="clear" w:color="auto" w:fill="CCEEFF"/>
            <w:tcMar>
              <w:top w:w="30" w:type="dxa"/>
              <w:left w:w="380" w:type="dxa"/>
              <w:bottom w:w="30" w:type="dxa"/>
              <w:right w:w="20" w:type="dxa"/>
            </w:tcMar>
            <w:vAlign w:val="center"/>
            <w:hideMark/>
          </w:tcPr>
          <w:p w14:paraId="4A886ADA" w14:textId="77777777" w:rsidR="00000000" w:rsidRDefault="00A173A8">
            <w:pPr>
              <w:spacing w:after="100"/>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14:paraId="6E780AA1"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0E3CAFBD"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492E92D7" w14:textId="77777777" w:rsidR="00000000" w:rsidRDefault="00A173A8">
            <w:pPr>
              <w:spacing w:after="100"/>
              <w:jc w:val="right"/>
              <w:rPr>
                <w:rFonts w:eastAsia="Times New Roman"/>
              </w:rPr>
            </w:pPr>
            <w:r>
              <w:rPr>
                <w:rFonts w:eastAsia="Times New Roman"/>
                <w:b/>
                <w:bCs/>
                <w:color w:val="000000"/>
                <w:sz w:val="18"/>
                <w:szCs w:val="18"/>
              </w:rPr>
              <w:t>5,997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C430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BE189"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2884040"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14:paraId="7015BE46" w14:textId="77777777" w:rsidR="00000000" w:rsidRDefault="00A173A8">
            <w:pPr>
              <w:spacing w:after="100"/>
              <w:jc w:val="right"/>
              <w:rPr>
                <w:rFonts w:eastAsia="Times New Roman"/>
              </w:rPr>
            </w:pPr>
            <w:r>
              <w:rPr>
                <w:rFonts w:eastAsia="Times New Roman"/>
                <w:b/>
                <w:bCs/>
                <w:color w:val="000000"/>
                <w:sz w:val="18"/>
                <w:szCs w:val="18"/>
              </w:rPr>
              <w:t>4,866</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0D317A5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2F3FA3"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5A91680"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2D0EE83" w14:textId="77777777" w:rsidR="00000000" w:rsidRDefault="00A173A8">
            <w:pPr>
              <w:spacing w:after="100"/>
              <w:jc w:val="right"/>
              <w:rPr>
                <w:rFonts w:eastAsia="Times New Roman"/>
              </w:rPr>
            </w:pPr>
            <w:r>
              <w:rPr>
                <w:rFonts w:eastAsia="Times New Roman"/>
                <w:b/>
                <w:bCs/>
                <w:color w:val="000000"/>
                <w:sz w:val="18"/>
                <w:szCs w:val="18"/>
              </w:rPr>
              <w:t>1,769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45AF2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238F5"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61FB2D2"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191BF563" w14:textId="77777777" w:rsidR="00000000" w:rsidRDefault="00A173A8">
            <w:pPr>
              <w:spacing w:after="100"/>
              <w:jc w:val="right"/>
              <w:rPr>
                <w:rFonts w:eastAsia="Times New Roman"/>
              </w:rPr>
            </w:pPr>
            <w:r>
              <w:rPr>
                <w:rFonts w:eastAsia="Times New Roman"/>
                <w:b/>
                <w:bCs/>
                <w:color w:val="000000"/>
                <w:sz w:val="18"/>
                <w:szCs w:val="18"/>
              </w:rPr>
              <w:t>2,602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0A1A8E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DACE17"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9210619"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12F3BA56" w14:textId="77777777" w:rsidR="00000000" w:rsidRDefault="00A173A8">
            <w:pPr>
              <w:spacing w:after="100"/>
              <w:jc w:val="right"/>
              <w:rPr>
                <w:rFonts w:eastAsia="Times New Roman"/>
              </w:rPr>
            </w:pPr>
            <w:r>
              <w:rPr>
                <w:rFonts w:eastAsia="Times New Roman"/>
                <w:b/>
                <w:bCs/>
                <w:color w:val="000000"/>
                <w:sz w:val="18"/>
                <w:szCs w:val="18"/>
              </w:rPr>
              <w:t>1,825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B40332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67A8A"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2C7DC26"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center"/>
            <w:hideMark/>
          </w:tcPr>
          <w:p w14:paraId="48555361" w14:textId="77777777" w:rsidR="00000000" w:rsidRDefault="00A173A8">
            <w:pPr>
              <w:spacing w:after="100"/>
              <w:jc w:val="right"/>
              <w:rPr>
                <w:rFonts w:eastAsia="Times New Roman"/>
              </w:rPr>
            </w:pPr>
            <w:r>
              <w:rPr>
                <w:rFonts w:eastAsia="Times New Roman"/>
                <w:b/>
                <w:bCs/>
                <w:color w:val="000000"/>
                <w:sz w:val="18"/>
                <w:szCs w:val="18"/>
              </w:rPr>
              <w:t>3,443</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0C6C85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F325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7B4FFC"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6B82D40" w14:textId="77777777" w:rsidR="00000000" w:rsidRDefault="00A173A8">
            <w:pPr>
              <w:spacing w:after="100"/>
              <w:jc w:val="right"/>
              <w:rPr>
                <w:rFonts w:eastAsia="Times New Roman"/>
              </w:rPr>
            </w:pPr>
            <w:r>
              <w:rPr>
                <w:rFonts w:eastAsia="Times New Roman"/>
                <w:b/>
                <w:bCs/>
                <w:color w:val="000000"/>
                <w:sz w:val="18"/>
                <w:szCs w:val="18"/>
              </w:rPr>
              <w:t>20,502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2AC94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C1C2E3"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15E3670"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65B3477" w14:textId="77777777" w:rsidR="00000000" w:rsidRDefault="00A173A8">
            <w:pPr>
              <w:spacing w:after="100"/>
              <w:jc w:val="right"/>
              <w:rPr>
                <w:rFonts w:eastAsia="Times New Roman"/>
              </w:rPr>
            </w:pPr>
            <w:r>
              <w:rPr>
                <w:rFonts w:eastAsia="Times New Roman"/>
                <w:b/>
                <w:bCs/>
                <w:color w:val="000000"/>
                <w:sz w:val="18"/>
                <w:szCs w:val="18"/>
              </w:rPr>
              <w:t>14,144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3F8818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8E4979"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0A58597"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902DB80" w14:textId="77777777" w:rsidR="00000000" w:rsidRDefault="00A173A8">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DABC20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02CA3"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5FD40CE"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center"/>
            <w:hideMark/>
          </w:tcPr>
          <w:p w14:paraId="6FAC05A3" w14:textId="77777777" w:rsidR="00000000" w:rsidRDefault="00A173A8">
            <w:pPr>
              <w:spacing w:after="100"/>
              <w:jc w:val="right"/>
              <w:rPr>
                <w:rFonts w:eastAsia="Times New Roman"/>
              </w:rPr>
            </w:pPr>
            <w:r>
              <w:rPr>
                <w:rFonts w:eastAsia="Times New Roman"/>
                <w:b/>
                <w:bCs/>
                <w:color w:val="000000"/>
                <w:sz w:val="18"/>
                <w:szCs w:val="18"/>
              </w:rPr>
              <w:t>34,671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5612026" w14:textId="77777777" w:rsidR="00000000" w:rsidRDefault="00A173A8">
            <w:pPr>
              <w:spacing w:after="100"/>
              <w:jc w:val="right"/>
              <w:rPr>
                <w:rFonts w:eastAsia="Times New Roman"/>
              </w:rPr>
            </w:pPr>
          </w:p>
        </w:tc>
      </w:tr>
      <w:tr w:rsidR="00A173A8" w14:paraId="44418EE4" w14:textId="77777777">
        <w:trPr>
          <w:divId w:val="1147085233"/>
        </w:trPr>
        <w:tc>
          <w:tcPr>
            <w:tcW w:w="0" w:type="auto"/>
            <w:gridSpan w:val="4"/>
            <w:shd w:val="clear" w:color="auto" w:fill="FFFFFF"/>
            <w:tcMar>
              <w:top w:w="30" w:type="dxa"/>
              <w:left w:w="380" w:type="dxa"/>
              <w:bottom w:w="30" w:type="dxa"/>
              <w:right w:w="20" w:type="dxa"/>
            </w:tcMar>
            <w:vAlign w:val="center"/>
            <w:hideMark/>
          </w:tcPr>
          <w:p w14:paraId="2BFC51EE" w14:textId="77777777" w:rsidR="00000000" w:rsidRDefault="00A173A8">
            <w:pPr>
              <w:spacing w:after="100"/>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14:paraId="09DFE3A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2DC02E" w14:textId="77777777" w:rsidR="00000000" w:rsidRDefault="00A173A8">
            <w:pPr>
              <w:spacing w:after="100"/>
              <w:jc w:val="right"/>
              <w:rPr>
                <w:rFonts w:eastAsia="Times New Roman"/>
              </w:rPr>
            </w:pPr>
            <w:r>
              <w:rPr>
                <w:rFonts w:eastAsia="Times New Roman"/>
                <w:b/>
                <w:bCs/>
                <w:color w:val="000000"/>
                <w:sz w:val="18"/>
                <w:szCs w:val="18"/>
              </w:rPr>
              <w:t>289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3293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71547"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1C080C47" w14:textId="77777777" w:rsidR="00000000" w:rsidRDefault="00A173A8">
            <w:pPr>
              <w:spacing w:after="100"/>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7BCBBE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CDCD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C1A316" w14:textId="77777777" w:rsidR="00000000" w:rsidRDefault="00A173A8">
            <w:pPr>
              <w:spacing w:after="100"/>
              <w:jc w:val="right"/>
              <w:rPr>
                <w:rFonts w:eastAsia="Times New Roman"/>
              </w:rPr>
            </w:pPr>
            <w:r>
              <w:rPr>
                <w:rFonts w:eastAsia="Times New Roman"/>
                <w:b/>
                <w:bCs/>
                <w:color w:val="000000"/>
                <w:sz w:val="18"/>
                <w:szCs w:val="18"/>
              </w:rPr>
              <w:t>271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49A61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D40E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CFC03A" w14:textId="77777777" w:rsidR="00000000" w:rsidRDefault="00A173A8">
            <w:pPr>
              <w:spacing w:after="100"/>
              <w:jc w:val="right"/>
              <w:rPr>
                <w:rFonts w:eastAsia="Times New Roman"/>
              </w:rPr>
            </w:pPr>
            <w:r>
              <w:rPr>
                <w:rFonts w:eastAsia="Times New Roman"/>
                <w:b/>
                <w:bCs/>
                <w:color w:val="000000"/>
                <w:sz w:val="18"/>
                <w:szCs w:val="18"/>
              </w:rPr>
              <w:t>385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0E308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8CB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60C94D" w14:textId="77777777" w:rsidR="00000000" w:rsidRDefault="00A173A8">
            <w:pPr>
              <w:spacing w:after="100"/>
              <w:jc w:val="right"/>
              <w:rPr>
                <w:rFonts w:eastAsia="Times New Roman"/>
              </w:rPr>
            </w:pPr>
            <w:r>
              <w:rPr>
                <w:rFonts w:eastAsia="Times New Roman"/>
                <w:b/>
                <w:bCs/>
                <w:color w:val="000000"/>
                <w:sz w:val="18"/>
                <w:szCs w:val="18"/>
              </w:rPr>
              <w:t>269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1772C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B1409"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615C6BA5" w14:textId="77777777" w:rsidR="00000000" w:rsidRDefault="00A173A8">
            <w:pPr>
              <w:spacing w:after="100"/>
              <w:jc w:val="right"/>
              <w:rPr>
                <w:rFonts w:eastAsia="Times New Roman"/>
              </w:rPr>
            </w:pPr>
            <w:r>
              <w:rPr>
                <w:rFonts w:eastAsia="Times New Roman"/>
                <w:b/>
                <w:bCs/>
                <w:color w:val="000000"/>
                <w:sz w:val="18"/>
                <w:szCs w:val="18"/>
              </w:rPr>
              <w:t>1,374</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319A72A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C7497"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7D81801F" w14:textId="77777777" w:rsidR="00000000" w:rsidRDefault="00A173A8">
            <w:pPr>
              <w:spacing w:after="100"/>
              <w:jc w:val="right"/>
              <w:rPr>
                <w:rFonts w:eastAsia="Times New Roman"/>
              </w:rPr>
            </w:pPr>
            <w:r>
              <w:rPr>
                <w:rFonts w:eastAsia="Times New Roman"/>
                <w:b/>
                <w:bCs/>
                <w:color w:val="000000"/>
                <w:sz w:val="18"/>
                <w:szCs w:val="18"/>
              </w:rPr>
              <w:t>2,829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1D19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8CD6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CC5229" w14:textId="77777777" w:rsidR="00000000" w:rsidRDefault="00A173A8">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978F11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C7006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67A74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389B85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1E88D"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5DF3483B" w14:textId="77777777" w:rsidR="00000000" w:rsidRDefault="00A173A8">
            <w:pPr>
              <w:spacing w:after="100"/>
              <w:jc w:val="right"/>
              <w:rPr>
                <w:rFonts w:eastAsia="Times New Roman"/>
              </w:rPr>
            </w:pPr>
            <w:r>
              <w:rPr>
                <w:rFonts w:eastAsia="Times New Roman"/>
                <w:b/>
                <w:bCs/>
                <w:color w:val="000000"/>
                <w:sz w:val="18"/>
                <w:szCs w:val="18"/>
              </w:rPr>
              <w:t>2,880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926E58F" w14:textId="77777777" w:rsidR="00000000" w:rsidRDefault="00A173A8">
            <w:pPr>
              <w:spacing w:after="100"/>
              <w:jc w:val="right"/>
              <w:rPr>
                <w:rFonts w:eastAsia="Times New Roman"/>
              </w:rPr>
            </w:pPr>
          </w:p>
        </w:tc>
      </w:tr>
      <w:tr w:rsidR="00A173A8" w14:paraId="2DD84CC4" w14:textId="77777777">
        <w:trPr>
          <w:divId w:val="1147085233"/>
        </w:trPr>
        <w:tc>
          <w:tcPr>
            <w:tcW w:w="0" w:type="auto"/>
            <w:gridSpan w:val="4"/>
            <w:shd w:val="clear" w:color="auto" w:fill="CCEEFF"/>
            <w:tcMar>
              <w:top w:w="30" w:type="dxa"/>
              <w:left w:w="380" w:type="dxa"/>
              <w:bottom w:w="30" w:type="dxa"/>
              <w:right w:w="20" w:type="dxa"/>
            </w:tcMar>
            <w:vAlign w:val="center"/>
            <w:hideMark/>
          </w:tcPr>
          <w:p w14:paraId="2213A8E8" w14:textId="77777777" w:rsidR="00000000" w:rsidRDefault="00A173A8">
            <w:pPr>
              <w:spacing w:after="100"/>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14:paraId="67438B3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40D35D" w14:textId="77777777" w:rsidR="00000000" w:rsidRDefault="00A173A8">
            <w:pPr>
              <w:spacing w:after="100"/>
              <w:jc w:val="right"/>
              <w:rPr>
                <w:rFonts w:eastAsia="Times New Roman"/>
              </w:rPr>
            </w:pPr>
            <w:r>
              <w:rPr>
                <w:rFonts w:eastAsia="Times New Roman"/>
                <w:b/>
                <w:bCs/>
                <w:color w:val="000000"/>
                <w:sz w:val="18"/>
                <w:szCs w:val="18"/>
              </w:rPr>
              <w:t>103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F95F7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03969"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1637618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65A5B0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8F9D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44DF8D" w14:textId="77777777" w:rsidR="00000000" w:rsidRDefault="00A173A8">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41248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21B2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780959" w14:textId="77777777" w:rsidR="00000000" w:rsidRDefault="00A173A8">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0B69E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BBE0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E6FCD3" w14:textId="77777777" w:rsidR="00000000" w:rsidRDefault="00A173A8">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67DE70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57A46"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2E008AC6" w14:textId="77777777" w:rsidR="00000000" w:rsidRDefault="00A173A8">
            <w:pPr>
              <w:spacing w:after="100"/>
              <w:jc w:val="right"/>
              <w:rPr>
                <w:rFonts w:eastAsia="Times New Roman"/>
              </w:rPr>
            </w:pPr>
            <w:r>
              <w:rPr>
                <w:rFonts w:eastAsia="Times New Roman"/>
                <w:b/>
                <w:bCs/>
                <w:color w:val="000000"/>
                <w:sz w:val="18"/>
                <w:szCs w:val="18"/>
              </w:rPr>
              <w:t>160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65D8A25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A0B8D"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41F9EF6C" w14:textId="77777777" w:rsidR="00000000" w:rsidRDefault="00A173A8">
            <w:pPr>
              <w:spacing w:after="100"/>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C62DBD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8F6F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47211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DCE6F5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3192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39BDC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311F8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36166"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4F0C5A59" w14:textId="77777777" w:rsidR="00000000" w:rsidRDefault="00A173A8">
            <w:pPr>
              <w:spacing w:after="100"/>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7F2EF6F" w14:textId="77777777" w:rsidR="00000000" w:rsidRDefault="00A173A8">
            <w:pPr>
              <w:spacing w:after="100"/>
              <w:jc w:val="right"/>
              <w:rPr>
                <w:rFonts w:eastAsia="Times New Roman"/>
              </w:rPr>
            </w:pPr>
          </w:p>
        </w:tc>
      </w:tr>
      <w:tr w:rsidR="00A173A8" w14:paraId="05FA621C" w14:textId="77777777">
        <w:trPr>
          <w:divId w:val="1147085233"/>
        </w:trPr>
        <w:tc>
          <w:tcPr>
            <w:tcW w:w="0" w:type="auto"/>
            <w:gridSpan w:val="4"/>
            <w:shd w:val="clear" w:color="auto" w:fill="FFFFFF"/>
            <w:tcMar>
              <w:top w:w="30" w:type="dxa"/>
              <w:left w:w="245" w:type="dxa"/>
              <w:bottom w:w="30" w:type="dxa"/>
              <w:right w:w="20" w:type="dxa"/>
            </w:tcMar>
            <w:vAlign w:val="center"/>
            <w:hideMark/>
          </w:tcPr>
          <w:p w14:paraId="5E05D411" w14:textId="77777777" w:rsidR="00000000" w:rsidRDefault="00A173A8">
            <w:pPr>
              <w:spacing w:after="100"/>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14:paraId="20A57A5A"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5390F0" w14:textId="77777777" w:rsidR="00000000" w:rsidRDefault="00A173A8">
            <w:pPr>
              <w:spacing w:after="100"/>
              <w:jc w:val="right"/>
              <w:rPr>
                <w:rFonts w:eastAsia="Times New Roman"/>
              </w:rPr>
            </w:pPr>
            <w:r>
              <w:rPr>
                <w:rFonts w:eastAsia="Times New Roman"/>
                <w:b/>
                <w:bCs/>
                <w:color w:val="000000"/>
                <w:sz w:val="18"/>
                <w:szCs w:val="18"/>
              </w:rPr>
              <w:t>6,389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EBEA2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3B9E2"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1C7EDE68" w14:textId="77777777" w:rsidR="00000000" w:rsidRDefault="00A173A8">
            <w:pPr>
              <w:spacing w:after="100"/>
              <w:jc w:val="right"/>
              <w:rPr>
                <w:rFonts w:eastAsia="Times New Roman"/>
              </w:rPr>
            </w:pPr>
            <w:r>
              <w:rPr>
                <w:rFonts w:eastAsia="Times New Roman"/>
                <w:b/>
                <w:bCs/>
                <w:color w:val="000000"/>
                <w:sz w:val="18"/>
                <w:szCs w:val="18"/>
              </w:rPr>
              <w:t>5,107</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4A27045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DD444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925CF9" w14:textId="77777777" w:rsidR="00000000" w:rsidRDefault="00A173A8">
            <w:pPr>
              <w:spacing w:after="100"/>
              <w:jc w:val="right"/>
              <w:rPr>
                <w:rFonts w:eastAsia="Times New Roman"/>
              </w:rPr>
            </w:pPr>
            <w:r>
              <w:rPr>
                <w:rFonts w:eastAsia="Times New Roman"/>
                <w:b/>
                <w:bCs/>
                <w:color w:val="000000"/>
                <w:sz w:val="18"/>
                <w:szCs w:val="18"/>
              </w:rPr>
              <w:t>2,045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0580D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2D984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375DD0" w14:textId="77777777" w:rsidR="00000000" w:rsidRDefault="00A173A8">
            <w:pPr>
              <w:spacing w:after="100"/>
              <w:jc w:val="right"/>
              <w:rPr>
                <w:rFonts w:eastAsia="Times New Roman"/>
              </w:rPr>
            </w:pPr>
            <w:r>
              <w:rPr>
                <w:rFonts w:eastAsia="Times New Roman"/>
                <w:b/>
                <w:bCs/>
                <w:color w:val="000000"/>
                <w:sz w:val="18"/>
                <w:szCs w:val="18"/>
              </w:rPr>
              <w:t>2,994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16F1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BFB5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56E9DD" w14:textId="77777777" w:rsidR="00000000" w:rsidRDefault="00A173A8">
            <w:pPr>
              <w:spacing w:after="100"/>
              <w:jc w:val="right"/>
              <w:rPr>
                <w:rFonts w:eastAsia="Times New Roman"/>
              </w:rPr>
            </w:pPr>
            <w:r>
              <w:rPr>
                <w:rFonts w:eastAsia="Times New Roman"/>
                <w:b/>
                <w:bCs/>
                <w:color w:val="000000"/>
                <w:sz w:val="18"/>
                <w:szCs w:val="18"/>
              </w:rPr>
              <w:t>2,113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5569D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DC660B"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50435EC8" w14:textId="77777777" w:rsidR="00000000" w:rsidRDefault="00A173A8">
            <w:pPr>
              <w:spacing w:after="100"/>
              <w:jc w:val="right"/>
              <w:rPr>
                <w:rFonts w:eastAsia="Times New Roman"/>
              </w:rPr>
            </w:pPr>
            <w:r>
              <w:rPr>
                <w:rFonts w:eastAsia="Times New Roman"/>
                <w:b/>
                <w:bCs/>
                <w:color w:val="000000"/>
                <w:sz w:val="18"/>
                <w:szCs w:val="18"/>
              </w:rPr>
              <w:t>4,977</w:t>
            </w:r>
            <w:r>
              <w:rPr>
                <w:rFonts w:eastAsia="Times New Roman"/>
                <w:color w:val="000000"/>
                <w:sz w:val="18"/>
                <w:szCs w:val="18"/>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4397EDA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842490"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067B7172" w14:textId="77777777" w:rsidR="00000000" w:rsidRDefault="00A173A8">
            <w:pPr>
              <w:spacing w:after="100"/>
              <w:jc w:val="right"/>
              <w:rPr>
                <w:rFonts w:eastAsia="Times New Roman"/>
              </w:rPr>
            </w:pPr>
            <w:r>
              <w:rPr>
                <w:rFonts w:eastAsia="Times New Roman"/>
                <w:b/>
                <w:bCs/>
                <w:color w:val="000000"/>
                <w:sz w:val="18"/>
                <w:szCs w:val="18"/>
              </w:rPr>
              <w:t>23,625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BBE0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A74AE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F06125" w14:textId="77777777" w:rsidR="00000000" w:rsidRDefault="00A173A8">
            <w:pPr>
              <w:spacing w:after="100"/>
              <w:jc w:val="right"/>
              <w:rPr>
                <w:rFonts w:eastAsia="Times New Roman"/>
              </w:rPr>
            </w:pPr>
            <w:r>
              <w:rPr>
                <w:rFonts w:eastAsia="Times New Roman"/>
                <w:b/>
                <w:bCs/>
                <w:color w:val="000000"/>
                <w:sz w:val="18"/>
                <w:szCs w:val="18"/>
              </w:rPr>
              <w:t>14,195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CBA6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5CEF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D20B9D" w14:textId="77777777" w:rsidR="00000000" w:rsidRDefault="00A173A8">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1441C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B5A08"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5529EBB4" w14:textId="77777777" w:rsidR="00000000" w:rsidRDefault="00A173A8">
            <w:pPr>
              <w:spacing w:after="100"/>
              <w:jc w:val="right"/>
              <w:rPr>
                <w:rFonts w:eastAsia="Times New Roman"/>
              </w:rPr>
            </w:pPr>
            <w:r>
              <w:rPr>
                <w:rFonts w:eastAsia="Times New Roman"/>
                <w:b/>
                <w:bCs/>
                <w:color w:val="000000"/>
                <w:sz w:val="18"/>
                <w:szCs w:val="18"/>
              </w:rPr>
              <w:t>37,845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44298A" w14:textId="77777777" w:rsidR="00000000" w:rsidRDefault="00A173A8">
            <w:pPr>
              <w:spacing w:after="100"/>
              <w:jc w:val="right"/>
              <w:rPr>
                <w:rFonts w:eastAsia="Times New Roman"/>
              </w:rPr>
            </w:pPr>
          </w:p>
        </w:tc>
      </w:tr>
      <w:tr w:rsidR="00000000" w14:paraId="635AAD75" w14:textId="77777777">
        <w:trPr>
          <w:divId w:val="1147085233"/>
        </w:trPr>
        <w:tc>
          <w:tcPr>
            <w:tcW w:w="0" w:type="auto"/>
            <w:gridSpan w:val="4"/>
            <w:shd w:val="clear" w:color="auto" w:fill="CCEEFF"/>
            <w:tcMar>
              <w:top w:w="30" w:type="dxa"/>
              <w:left w:w="155" w:type="dxa"/>
              <w:bottom w:w="30" w:type="dxa"/>
              <w:right w:w="20" w:type="dxa"/>
            </w:tcMar>
            <w:vAlign w:val="center"/>
            <w:hideMark/>
          </w:tcPr>
          <w:p w14:paraId="719290E1" w14:textId="77777777" w:rsidR="00000000" w:rsidRDefault="00A173A8">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1ECCF73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35771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25787A" w14:textId="77777777" w:rsidR="00000000" w:rsidRDefault="00A173A8">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168BCE1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6E263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BDE2D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B4A63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59E19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30A55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42DC2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03D7AB" w14:textId="77777777" w:rsidR="00000000" w:rsidRDefault="00A173A8">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5275BAB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8931F0"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6F4D78C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1FA47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F637C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C6F4D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AB6EE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CAD131"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5BC7F188" w14:textId="77777777" w:rsidR="00000000" w:rsidRDefault="00A173A8">
            <w:pPr>
              <w:spacing w:after="100"/>
              <w:rPr>
                <w:rFonts w:eastAsia="Times New Roman"/>
                <w:sz w:val="20"/>
                <w:szCs w:val="20"/>
              </w:rPr>
            </w:pPr>
          </w:p>
        </w:tc>
        <w:tc>
          <w:tcPr>
            <w:tcW w:w="0" w:type="auto"/>
            <w:vAlign w:val="center"/>
            <w:hideMark/>
          </w:tcPr>
          <w:p w14:paraId="2089D91B" w14:textId="77777777" w:rsidR="00000000" w:rsidRDefault="00A173A8">
            <w:pPr>
              <w:spacing w:after="100"/>
              <w:rPr>
                <w:rFonts w:eastAsia="Times New Roman"/>
                <w:sz w:val="20"/>
                <w:szCs w:val="20"/>
              </w:rPr>
            </w:pPr>
          </w:p>
        </w:tc>
      </w:tr>
      <w:tr w:rsidR="00A173A8" w14:paraId="7A2A77A6" w14:textId="77777777">
        <w:trPr>
          <w:divId w:val="1147085233"/>
        </w:trPr>
        <w:tc>
          <w:tcPr>
            <w:tcW w:w="0" w:type="auto"/>
            <w:gridSpan w:val="4"/>
            <w:shd w:val="clear" w:color="auto" w:fill="FFFFFF"/>
            <w:tcMar>
              <w:top w:w="30" w:type="dxa"/>
              <w:left w:w="380" w:type="dxa"/>
              <w:bottom w:w="30" w:type="dxa"/>
              <w:right w:w="20" w:type="dxa"/>
            </w:tcMar>
            <w:vAlign w:val="center"/>
            <w:hideMark/>
          </w:tcPr>
          <w:p w14:paraId="28BD5ABD" w14:textId="77777777" w:rsidR="00000000" w:rsidRDefault="00A173A8">
            <w:pPr>
              <w:spacing w:after="100"/>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14:paraId="034EDA7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31F6D29" w14:textId="77777777" w:rsidR="00000000" w:rsidRDefault="00A173A8">
            <w:pPr>
              <w:spacing w:after="100"/>
              <w:jc w:val="right"/>
              <w:rPr>
                <w:rFonts w:eastAsia="Times New Roman"/>
              </w:rPr>
            </w:pPr>
            <w:r>
              <w:rPr>
                <w:rFonts w:eastAsia="Times New Roman"/>
                <w:b/>
                <w:bCs/>
                <w:color w:val="000000"/>
                <w:sz w:val="18"/>
                <w:szCs w:val="18"/>
              </w:rPr>
              <w:t>11,980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AB69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F2C026"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3CC25190" w14:textId="77777777" w:rsidR="00000000" w:rsidRDefault="00A173A8">
            <w:pPr>
              <w:spacing w:after="100"/>
              <w:jc w:val="right"/>
              <w:rPr>
                <w:rFonts w:eastAsia="Times New Roman"/>
              </w:rPr>
            </w:pPr>
            <w:r>
              <w:rPr>
                <w:rFonts w:eastAsia="Times New Roman"/>
                <w:b/>
                <w:bCs/>
                <w:color w:val="000000"/>
                <w:sz w:val="18"/>
                <w:szCs w:val="18"/>
              </w:rPr>
              <w:t>8,692</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05BFE06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106FC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9D5DD7" w14:textId="77777777" w:rsidR="00000000" w:rsidRDefault="00A173A8">
            <w:pPr>
              <w:spacing w:after="100"/>
              <w:jc w:val="right"/>
              <w:rPr>
                <w:rFonts w:eastAsia="Times New Roman"/>
              </w:rPr>
            </w:pPr>
            <w:r>
              <w:rPr>
                <w:rFonts w:eastAsia="Times New Roman"/>
                <w:b/>
                <w:bCs/>
                <w:color w:val="000000"/>
                <w:sz w:val="18"/>
                <w:szCs w:val="18"/>
              </w:rPr>
              <w:t>5,339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225E98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DCE5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C62C790" w14:textId="77777777" w:rsidR="00000000" w:rsidRDefault="00A173A8">
            <w:pPr>
              <w:spacing w:after="100"/>
              <w:jc w:val="right"/>
              <w:rPr>
                <w:rFonts w:eastAsia="Times New Roman"/>
              </w:rPr>
            </w:pPr>
            <w:r>
              <w:rPr>
                <w:rFonts w:eastAsia="Times New Roman"/>
                <w:b/>
                <w:bCs/>
                <w:color w:val="000000"/>
                <w:sz w:val="18"/>
                <w:szCs w:val="18"/>
              </w:rPr>
              <w:t>4,115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8EA9D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7793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9255CC" w14:textId="77777777" w:rsidR="00000000" w:rsidRDefault="00A173A8">
            <w:pPr>
              <w:spacing w:after="100"/>
              <w:jc w:val="right"/>
              <w:rPr>
                <w:rFonts w:eastAsia="Times New Roman"/>
              </w:rPr>
            </w:pPr>
            <w:r>
              <w:rPr>
                <w:rFonts w:eastAsia="Times New Roman"/>
                <w:b/>
                <w:bCs/>
                <w:color w:val="000000"/>
                <w:sz w:val="18"/>
                <w:szCs w:val="18"/>
              </w:rPr>
              <w:t>2,244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BF2680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8C8944"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637AB132" w14:textId="77777777" w:rsidR="00000000" w:rsidRDefault="00A173A8">
            <w:pPr>
              <w:spacing w:after="100"/>
              <w:jc w:val="right"/>
              <w:rPr>
                <w:rFonts w:eastAsia="Times New Roman"/>
              </w:rPr>
            </w:pPr>
            <w:r>
              <w:rPr>
                <w:rFonts w:eastAsia="Times New Roman"/>
                <w:b/>
                <w:bCs/>
                <w:color w:val="000000"/>
                <w:sz w:val="18"/>
                <w:szCs w:val="18"/>
              </w:rPr>
              <w:t>4,046</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74ECAD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A9A4B"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158DFF33" w14:textId="77777777" w:rsidR="00000000" w:rsidRDefault="00A173A8">
            <w:pPr>
              <w:spacing w:after="100"/>
              <w:jc w:val="right"/>
              <w:rPr>
                <w:rFonts w:eastAsia="Times New Roman"/>
              </w:rPr>
            </w:pPr>
            <w:r>
              <w:rPr>
                <w:rFonts w:eastAsia="Times New Roman"/>
                <w:b/>
                <w:bCs/>
                <w:color w:val="000000"/>
                <w:sz w:val="18"/>
                <w:szCs w:val="18"/>
              </w:rPr>
              <w:t>36,416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83F3B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A539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D53E45" w14:textId="77777777" w:rsidR="00000000" w:rsidRDefault="00A173A8">
            <w:pPr>
              <w:spacing w:after="100"/>
              <w:jc w:val="right"/>
              <w:rPr>
                <w:rFonts w:eastAsia="Times New Roman"/>
              </w:rPr>
            </w:pPr>
            <w:r>
              <w:rPr>
                <w:rFonts w:eastAsia="Times New Roman"/>
                <w:b/>
                <w:bCs/>
                <w:color w:val="000000"/>
                <w:sz w:val="18"/>
                <w:szCs w:val="18"/>
              </w:rPr>
              <w:t>17,229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1C286F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006B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CEB701" w14:textId="77777777" w:rsidR="00000000" w:rsidRDefault="00A173A8">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4F8C5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88DF3"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26FA65AA" w14:textId="77777777" w:rsidR="00000000" w:rsidRDefault="00A173A8">
            <w:pPr>
              <w:spacing w:after="100"/>
              <w:jc w:val="right"/>
              <w:rPr>
                <w:rFonts w:eastAsia="Times New Roman"/>
              </w:rPr>
            </w:pPr>
            <w:r>
              <w:rPr>
                <w:rFonts w:eastAsia="Times New Roman"/>
                <w:b/>
                <w:bCs/>
                <w:color w:val="000000"/>
                <w:sz w:val="18"/>
                <w:szCs w:val="18"/>
              </w:rPr>
              <w:t>53,678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1B020C" w14:textId="77777777" w:rsidR="00000000" w:rsidRDefault="00A173A8">
            <w:pPr>
              <w:spacing w:after="100"/>
              <w:jc w:val="right"/>
              <w:rPr>
                <w:rFonts w:eastAsia="Times New Roman"/>
              </w:rPr>
            </w:pPr>
          </w:p>
        </w:tc>
      </w:tr>
      <w:tr w:rsidR="00A173A8" w14:paraId="1A0824CA" w14:textId="77777777">
        <w:trPr>
          <w:divId w:val="1147085233"/>
        </w:trPr>
        <w:tc>
          <w:tcPr>
            <w:tcW w:w="0" w:type="auto"/>
            <w:gridSpan w:val="4"/>
            <w:shd w:val="clear" w:color="auto" w:fill="CCEEFF"/>
            <w:tcMar>
              <w:top w:w="30" w:type="dxa"/>
              <w:left w:w="380" w:type="dxa"/>
              <w:bottom w:w="30" w:type="dxa"/>
              <w:right w:w="20" w:type="dxa"/>
            </w:tcMar>
            <w:vAlign w:val="center"/>
            <w:hideMark/>
          </w:tcPr>
          <w:p w14:paraId="4A3D0DB8" w14:textId="77777777" w:rsidR="00000000" w:rsidRDefault="00A173A8">
            <w:pPr>
              <w:spacing w:after="100"/>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14:paraId="234433C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A82E3F0" w14:textId="77777777" w:rsidR="00000000" w:rsidRDefault="00A173A8">
            <w:pPr>
              <w:spacing w:after="100"/>
              <w:jc w:val="right"/>
              <w:rPr>
                <w:rFonts w:eastAsia="Times New Roman"/>
              </w:rPr>
            </w:pPr>
            <w:r>
              <w:rPr>
                <w:rFonts w:eastAsia="Times New Roman"/>
                <w:b/>
                <w:bCs/>
                <w:color w:val="000000"/>
                <w:sz w:val="18"/>
                <w:szCs w:val="18"/>
              </w:rPr>
              <w:t>518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A6F19B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3A9623"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299EA4F1" w14:textId="77777777" w:rsidR="00000000" w:rsidRDefault="00A173A8">
            <w:pPr>
              <w:spacing w:after="100"/>
              <w:jc w:val="right"/>
              <w:rPr>
                <w:rFonts w:eastAsia="Times New Roman"/>
              </w:rPr>
            </w:pPr>
            <w:r>
              <w:rPr>
                <w:rFonts w:eastAsia="Times New Roman"/>
                <w:b/>
                <w:bCs/>
                <w:color w:val="000000"/>
                <w:sz w:val="18"/>
                <w:szCs w:val="18"/>
              </w:rPr>
              <w:t>227</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462A7E8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43E33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271AD32" w14:textId="77777777" w:rsidR="00000000" w:rsidRDefault="00A173A8">
            <w:pPr>
              <w:spacing w:after="100"/>
              <w:jc w:val="right"/>
              <w:rPr>
                <w:rFonts w:eastAsia="Times New Roman"/>
              </w:rPr>
            </w:pPr>
            <w:r>
              <w:rPr>
                <w:rFonts w:eastAsia="Times New Roman"/>
                <w:b/>
                <w:bCs/>
                <w:color w:val="000000"/>
                <w:sz w:val="18"/>
                <w:szCs w:val="18"/>
              </w:rPr>
              <w:t>276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E0E31A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94A3E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E5F7CAE" w14:textId="77777777" w:rsidR="00000000" w:rsidRDefault="00A173A8">
            <w:pPr>
              <w:spacing w:after="100"/>
              <w:jc w:val="right"/>
              <w:rPr>
                <w:rFonts w:eastAsia="Times New Roman"/>
              </w:rPr>
            </w:pPr>
            <w:r>
              <w:rPr>
                <w:rFonts w:eastAsia="Times New Roman"/>
                <w:b/>
                <w:bCs/>
                <w:color w:val="000000"/>
                <w:sz w:val="18"/>
                <w:szCs w:val="18"/>
              </w:rPr>
              <w:t>381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03ECA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949D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C26917" w14:textId="77777777" w:rsidR="00000000" w:rsidRDefault="00A173A8">
            <w:pPr>
              <w:spacing w:after="100"/>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84671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6DF2FB"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220F8B5C" w14:textId="77777777" w:rsidR="00000000" w:rsidRDefault="00A173A8">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center"/>
            <w:hideMark/>
          </w:tcPr>
          <w:p w14:paraId="49620BC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ADCCF"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center"/>
            <w:hideMark/>
          </w:tcPr>
          <w:p w14:paraId="0BA5D349" w14:textId="77777777" w:rsidR="00000000" w:rsidRDefault="00A173A8">
            <w:pPr>
              <w:spacing w:after="100"/>
              <w:jc w:val="right"/>
              <w:rPr>
                <w:rFonts w:eastAsia="Times New Roman"/>
              </w:rPr>
            </w:pPr>
            <w:r>
              <w:rPr>
                <w:rFonts w:eastAsia="Times New Roman"/>
                <w:b/>
                <w:bCs/>
                <w:color w:val="000000"/>
                <w:sz w:val="18"/>
                <w:szCs w:val="18"/>
              </w:rPr>
              <w:t>1,671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3A7421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ED9B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12792D" w14:textId="77777777" w:rsidR="00000000" w:rsidRDefault="00A173A8">
            <w:pPr>
              <w:spacing w:after="100"/>
              <w:jc w:val="right"/>
              <w:rPr>
                <w:rFonts w:eastAsia="Times New Roman"/>
              </w:rPr>
            </w:pPr>
            <w:r>
              <w:rPr>
                <w:rFonts w:eastAsia="Times New Roman"/>
                <w:b/>
                <w:bCs/>
                <w:color w:val="000000"/>
                <w:sz w:val="18"/>
                <w:szCs w:val="18"/>
              </w:rPr>
              <w:t>418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6BF826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A4EB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CAB474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1DB606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E9D9F"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center"/>
            <w:hideMark/>
          </w:tcPr>
          <w:p w14:paraId="23C1B1CF" w14:textId="77777777" w:rsidR="00000000" w:rsidRDefault="00A173A8">
            <w:pPr>
              <w:spacing w:after="100"/>
              <w:jc w:val="right"/>
              <w:rPr>
                <w:rFonts w:eastAsia="Times New Roman"/>
              </w:rPr>
            </w:pPr>
            <w:r>
              <w:rPr>
                <w:rFonts w:eastAsia="Times New Roman"/>
                <w:b/>
                <w:bCs/>
                <w:color w:val="000000"/>
                <w:sz w:val="18"/>
                <w:szCs w:val="18"/>
              </w:rPr>
              <w:t>2,089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CF0BE5" w14:textId="77777777" w:rsidR="00000000" w:rsidRDefault="00A173A8">
            <w:pPr>
              <w:spacing w:after="100"/>
              <w:jc w:val="right"/>
              <w:rPr>
                <w:rFonts w:eastAsia="Times New Roman"/>
              </w:rPr>
            </w:pPr>
          </w:p>
        </w:tc>
      </w:tr>
      <w:tr w:rsidR="00A173A8" w14:paraId="21F00E9F" w14:textId="77777777">
        <w:trPr>
          <w:divId w:val="1147085233"/>
        </w:trPr>
        <w:tc>
          <w:tcPr>
            <w:tcW w:w="0" w:type="auto"/>
            <w:gridSpan w:val="4"/>
            <w:shd w:val="clear" w:color="auto" w:fill="FFFFFF"/>
            <w:tcMar>
              <w:top w:w="30" w:type="dxa"/>
              <w:left w:w="380" w:type="dxa"/>
              <w:bottom w:w="30" w:type="dxa"/>
              <w:right w:w="20" w:type="dxa"/>
            </w:tcMar>
            <w:vAlign w:val="center"/>
            <w:hideMark/>
          </w:tcPr>
          <w:p w14:paraId="45780FA2" w14:textId="77777777" w:rsidR="00000000" w:rsidRDefault="00A173A8">
            <w:pPr>
              <w:spacing w:after="100"/>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14:paraId="29FC80C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6E65F90" w14:textId="77777777" w:rsidR="00000000" w:rsidRDefault="00A173A8">
            <w:pPr>
              <w:spacing w:after="100"/>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EECF36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4272F6"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67411836" w14:textId="77777777" w:rsidR="00000000" w:rsidRDefault="00A173A8">
            <w:pPr>
              <w:spacing w:after="100"/>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474ACF7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051D9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4DB14F" w14:textId="77777777" w:rsidR="00000000" w:rsidRDefault="00A173A8">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E97C9B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21424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F943E2" w14:textId="77777777" w:rsidR="00000000" w:rsidRDefault="00A173A8">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3AE32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6A70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A22A82" w14:textId="77777777" w:rsidR="00000000" w:rsidRDefault="00A173A8">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457FD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620F0"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096A7C1F" w14:textId="77777777" w:rsidR="00000000" w:rsidRDefault="00A173A8">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center"/>
            <w:hideMark/>
          </w:tcPr>
          <w:p w14:paraId="5528581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7AE31"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center"/>
            <w:hideMark/>
          </w:tcPr>
          <w:p w14:paraId="127246C0" w14:textId="77777777" w:rsidR="00000000" w:rsidRDefault="00A173A8">
            <w:pPr>
              <w:spacing w:after="100"/>
              <w:jc w:val="right"/>
              <w:rPr>
                <w:rFonts w:eastAsia="Times New Roman"/>
              </w:rPr>
            </w:pPr>
            <w:r>
              <w:rPr>
                <w:rFonts w:eastAsia="Times New Roman"/>
                <w:b/>
                <w:bCs/>
                <w:color w:val="000000"/>
                <w:sz w:val="18"/>
                <w:szCs w:val="18"/>
              </w:rPr>
              <w:t>308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510E90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C86AA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AFD8CB" w14:textId="77777777" w:rsidR="00000000" w:rsidRDefault="00A173A8">
            <w:pPr>
              <w:spacing w:after="100"/>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1C949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7D9BE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D2E37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6CCF0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4E287D"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center"/>
            <w:hideMark/>
          </w:tcPr>
          <w:p w14:paraId="0774160F" w14:textId="77777777" w:rsidR="00000000" w:rsidRDefault="00A173A8">
            <w:pPr>
              <w:spacing w:after="100"/>
              <w:jc w:val="right"/>
              <w:rPr>
                <w:rFonts w:eastAsia="Times New Roman"/>
              </w:rPr>
            </w:pPr>
            <w:r>
              <w:rPr>
                <w:rFonts w:eastAsia="Times New Roman"/>
                <w:b/>
                <w:bCs/>
                <w:color w:val="000000"/>
                <w:sz w:val="18"/>
                <w:szCs w:val="18"/>
              </w:rPr>
              <w:t>361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7EFE57" w14:textId="77777777" w:rsidR="00000000" w:rsidRDefault="00A173A8">
            <w:pPr>
              <w:spacing w:after="100"/>
              <w:jc w:val="right"/>
              <w:rPr>
                <w:rFonts w:eastAsia="Times New Roman"/>
              </w:rPr>
            </w:pPr>
          </w:p>
        </w:tc>
      </w:tr>
      <w:tr w:rsidR="00A173A8" w14:paraId="67C4E3A7" w14:textId="77777777">
        <w:trPr>
          <w:divId w:val="1147085233"/>
        </w:trPr>
        <w:tc>
          <w:tcPr>
            <w:tcW w:w="0" w:type="auto"/>
            <w:gridSpan w:val="4"/>
            <w:shd w:val="clear" w:color="auto" w:fill="CCEEFF"/>
            <w:tcMar>
              <w:top w:w="30" w:type="dxa"/>
              <w:left w:w="245" w:type="dxa"/>
              <w:bottom w:w="30" w:type="dxa"/>
              <w:right w:w="20" w:type="dxa"/>
            </w:tcMar>
            <w:vAlign w:val="center"/>
            <w:hideMark/>
          </w:tcPr>
          <w:p w14:paraId="116DBA63" w14:textId="77777777" w:rsidR="00000000" w:rsidRDefault="00A173A8">
            <w:pPr>
              <w:spacing w:after="100"/>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14:paraId="39942C86"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7CF23E" w14:textId="77777777" w:rsidR="00000000" w:rsidRDefault="00A173A8">
            <w:pPr>
              <w:spacing w:after="100"/>
              <w:jc w:val="right"/>
              <w:rPr>
                <w:rFonts w:eastAsia="Times New Roman"/>
              </w:rPr>
            </w:pPr>
            <w:r>
              <w:rPr>
                <w:rFonts w:eastAsia="Times New Roman"/>
                <w:b/>
                <w:bCs/>
                <w:color w:val="000000"/>
                <w:sz w:val="18"/>
                <w:szCs w:val="18"/>
              </w:rPr>
              <w:t>12,593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65D4A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9C7B0B"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5F28FD15" w14:textId="77777777" w:rsidR="00000000" w:rsidRDefault="00A173A8">
            <w:pPr>
              <w:spacing w:after="100"/>
              <w:jc w:val="right"/>
              <w:rPr>
                <w:rFonts w:eastAsia="Times New Roman"/>
              </w:rPr>
            </w:pPr>
            <w:r>
              <w:rPr>
                <w:rFonts w:eastAsia="Times New Roman"/>
                <w:b/>
                <w:bCs/>
                <w:color w:val="000000"/>
                <w:sz w:val="18"/>
                <w:szCs w:val="18"/>
              </w:rPr>
              <w:t>8,959</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4281EF4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5A98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044F24" w14:textId="77777777" w:rsidR="00000000" w:rsidRDefault="00A173A8">
            <w:pPr>
              <w:spacing w:after="100"/>
              <w:jc w:val="right"/>
              <w:rPr>
                <w:rFonts w:eastAsia="Times New Roman"/>
              </w:rPr>
            </w:pPr>
            <w:r>
              <w:rPr>
                <w:rFonts w:eastAsia="Times New Roman"/>
                <w:b/>
                <w:bCs/>
                <w:color w:val="000000"/>
                <w:sz w:val="18"/>
                <w:szCs w:val="18"/>
              </w:rPr>
              <w:t>5,635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5D086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17EF5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44F475" w14:textId="77777777" w:rsidR="00000000" w:rsidRDefault="00A173A8">
            <w:pPr>
              <w:spacing w:after="100"/>
              <w:jc w:val="right"/>
              <w:rPr>
                <w:rFonts w:eastAsia="Times New Roman"/>
              </w:rPr>
            </w:pPr>
            <w:r>
              <w:rPr>
                <w:rFonts w:eastAsia="Times New Roman"/>
                <w:b/>
                <w:bCs/>
                <w:color w:val="000000"/>
                <w:sz w:val="18"/>
                <w:szCs w:val="18"/>
              </w:rPr>
              <w:t>4,589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62F3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40F7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41BEDD" w14:textId="77777777" w:rsidR="00000000" w:rsidRDefault="00A173A8">
            <w:pPr>
              <w:spacing w:after="100"/>
              <w:jc w:val="right"/>
              <w:rPr>
                <w:rFonts w:eastAsia="Times New Roman"/>
              </w:rPr>
            </w:pPr>
            <w:r>
              <w:rPr>
                <w:rFonts w:eastAsia="Times New Roman"/>
                <w:b/>
                <w:bCs/>
                <w:color w:val="000000"/>
                <w:sz w:val="18"/>
                <w:szCs w:val="18"/>
              </w:rPr>
              <w:t>2,458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44097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2AEFC5"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633D297D" w14:textId="77777777" w:rsidR="00000000" w:rsidRDefault="00A173A8">
            <w:pPr>
              <w:spacing w:after="100"/>
              <w:jc w:val="right"/>
              <w:rPr>
                <w:rFonts w:eastAsia="Times New Roman"/>
              </w:rPr>
            </w:pPr>
            <w:r>
              <w:rPr>
                <w:rFonts w:eastAsia="Times New Roman"/>
                <w:b/>
                <w:bCs/>
                <w:color w:val="000000"/>
                <w:sz w:val="18"/>
                <w:szCs w:val="18"/>
              </w:rPr>
              <w:t>4,161</w:t>
            </w:r>
            <w:r>
              <w:rPr>
                <w:rFonts w:eastAsia="Times New Roman"/>
                <w:color w:val="000000"/>
                <w:sz w:val="18"/>
                <w:szCs w:val="18"/>
              </w:rPr>
              <w:t>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14:paraId="3C6D80D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4AF8A"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78FF2F80" w14:textId="77777777" w:rsidR="00000000" w:rsidRDefault="00A173A8">
            <w:pPr>
              <w:spacing w:after="100"/>
              <w:jc w:val="right"/>
              <w:rPr>
                <w:rFonts w:eastAsia="Times New Roman"/>
              </w:rPr>
            </w:pPr>
            <w:r>
              <w:rPr>
                <w:rFonts w:eastAsia="Times New Roman"/>
                <w:b/>
                <w:bCs/>
                <w:color w:val="000000"/>
                <w:sz w:val="18"/>
                <w:szCs w:val="18"/>
              </w:rPr>
              <w:t>38,395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CE30B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2EE56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242218" w14:textId="77777777" w:rsidR="00000000" w:rsidRDefault="00A173A8">
            <w:pPr>
              <w:spacing w:after="100"/>
              <w:jc w:val="right"/>
              <w:rPr>
                <w:rFonts w:eastAsia="Times New Roman"/>
              </w:rPr>
            </w:pPr>
            <w:r>
              <w:rPr>
                <w:rFonts w:eastAsia="Times New Roman"/>
                <w:b/>
                <w:bCs/>
                <w:color w:val="000000"/>
                <w:sz w:val="18"/>
                <w:szCs w:val="18"/>
              </w:rPr>
              <w:t>17,700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3CE5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ECFE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8BB4D3" w14:textId="77777777" w:rsidR="00000000" w:rsidRDefault="00A173A8">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A4FAE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3AAB04"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78BF8148" w14:textId="77777777" w:rsidR="00000000" w:rsidRDefault="00A173A8">
            <w:pPr>
              <w:spacing w:after="100"/>
              <w:jc w:val="right"/>
              <w:rPr>
                <w:rFonts w:eastAsia="Times New Roman"/>
              </w:rPr>
            </w:pPr>
            <w:r>
              <w:rPr>
                <w:rFonts w:eastAsia="Times New Roman"/>
                <w:b/>
                <w:bCs/>
                <w:color w:val="000000"/>
                <w:sz w:val="18"/>
                <w:szCs w:val="18"/>
              </w:rPr>
              <w:t>56,128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CF9646" w14:textId="77777777" w:rsidR="00000000" w:rsidRDefault="00A173A8">
            <w:pPr>
              <w:spacing w:after="100"/>
              <w:jc w:val="right"/>
              <w:rPr>
                <w:rFonts w:eastAsia="Times New Roman"/>
              </w:rPr>
            </w:pPr>
          </w:p>
        </w:tc>
      </w:tr>
      <w:tr w:rsidR="00A173A8" w14:paraId="230FA11E" w14:textId="77777777">
        <w:trPr>
          <w:divId w:val="1147085233"/>
        </w:trPr>
        <w:tc>
          <w:tcPr>
            <w:tcW w:w="0" w:type="auto"/>
            <w:gridSpan w:val="4"/>
            <w:shd w:val="clear" w:color="auto" w:fill="FFFFFF"/>
            <w:tcMar>
              <w:top w:w="30" w:type="dxa"/>
              <w:left w:w="20" w:type="dxa"/>
              <w:bottom w:w="30" w:type="dxa"/>
              <w:right w:w="20" w:type="dxa"/>
            </w:tcMar>
            <w:vAlign w:val="center"/>
            <w:hideMark/>
          </w:tcPr>
          <w:p w14:paraId="075E70E9" w14:textId="77777777" w:rsidR="00000000" w:rsidRDefault="00A173A8">
            <w:pPr>
              <w:spacing w:after="100"/>
              <w:divId w:val="1571385868"/>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D1E5C0E"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0BE74E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596B5E1" w14:textId="77777777" w:rsidR="00000000" w:rsidRDefault="00A173A8">
            <w:pPr>
              <w:spacing w:after="100"/>
              <w:jc w:val="right"/>
              <w:rPr>
                <w:rFonts w:eastAsia="Times New Roman"/>
              </w:rPr>
            </w:pPr>
            <w:r>
              <w:rPr>
                <w:rFonts w:eastAsia="Times New Roman"/>
                <w:b/>
                <w:bCs/>
                <w:color w:val="000000"/>
                <w:sz w:val="18"/>
                <w:szCs w:val="18"/>
              </w:rPr>
              <w:t>18,982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1CC3FE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D09A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627A84E"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A707601" w14:textId="77777777" w:rsidR="00000000" w:rsidRDefault="00A173A8">
            <w:pPr>
              <w:spacing w:after="100"/>
              <w:jc w:val="right"/>
              <w:rPr>
                <w:rFonts w:eastAsia="Times New Roman"/>
              </w:rPr>
            </w:pPr>
            <w:r>
              <w:rPr>
                <w:rFonts w:eastAsia="Times New Roman"/>
                <w:b/>
                <w:bCs/>
                <w:color w:val="000000"/>
                <w:sz w:val="18"/>
                <w:szCs w:val="18"/>
              </w:rPr>
              <w:t>14,066</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76BCA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4A045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B94723D"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8EF6DB2" w14:textId="77777777" w:rsidR="00000000" w:rsidRDefault="00A173A8">
            <w:pPr>
              <w:spacing w:after="100"/>
              <w:jc w:val="right"/>
              <w:rPr>
                <w:rFonts w:eastAsia="Times New Roman"/>
              </w:rPr>
            </w:pPr>
            <w:r>
              <w:rPr>
                <w:rFonts w:eastAsia="Times New Roman"/>
                <w:b/>
                <w:bCs/>
                <w:color w:val="000000"/>
                <w:sz w:val="18"/>
                <w:szCs w:val="18"/>
              </w:rPr>
              <w:t>7,680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4500F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7CA49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EC2130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66026BD" w14:textId="77777777" w:rsidR="00000000" w:rsidRDefault="00A173A8">
            <w:pPr>
              <w:spacing w:after="100"/>
              <w:jc w:val="right"/>
              <w:rPr>
                <w:rFonts w:eastAsia="Times New Roman"/>
              </w:rPr>
            </w:pPr>
            <w:r>
              <w:rPr>
                <w:rFonts w:eastAsia="Times New Roman"/>
                <w:b/>
                <w:bCs/>
                <w:color w:val="000000"/>
                <w:sz w:val="18"/>
                <w:szCs w:val="18"/>
              </w:rPr>
              <w:t>7,583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1BB19F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01BE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D9C555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1821F28" w14:textId="77777777" w:rsidR="00000000" w:rsidRDefault="00A173A8">
            <w:pPr>
              <w:spacing w:after="100"/>
              <w:jc w:val="right"/>
              <w:rPr>
                <w:rFonts w:eastAsia="Times New Roman"/>
              </w:rPr>
            </w:pPr>
            <w:r>
              <w:rPr>
                <w:rFonts w:eastAsia="Times New Roman"/>
                <w:b/>
                <w:bCs/>
                <w:color w:val="000000"/>
                <w:sz w:val="18"/>
                <w:szCs w:val="18"/>
              </w:rPr>
              <w:t>4,571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7F1F8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5597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BD56C6A"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5ACFDF7" w14:textId="77777777" w:rsidR="00000000" w:rsidRDefault="00A173A8">
            <w:pPr>
              <w:spacing w:after="100"/>
              <w:jc w:val="right"/>
              <w:rPr>
                <w:rFonts w:eastAsia="Times New Roman"/>
              </w:rPr>
            </w:pPr>
            <w:r>
              <w:rPr>
                <w:rFonts w:eastAsia="Times New Roman"/>
                <w:b/>
                <w:bCs/>
                <w:color w:val="000000"/>
                <w:sz w:val="18"/>
                <w:szCs w:val="18"/>
              </w:rPr>
              <w:t>9,138</w:t>
            </w:r>
            <w:r>
              <w:rPr>
                <w:rFonts w:eastAsia="Times New Roman"/>
                <w:color w:val="000000"/>
                <w:sz w:val="18"/>
                <w:szCs w:val="18"/>
              </w:rPr>
              <w:t>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897D6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B055E"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5D9D03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0150154" w14:textId="77777777" w:rsidR="00000000" w:rsidRDefault="00A173A8">
            <w:pPr>
              <w:spacing w:after="100"/>
              <w:jc w:val="right"/>
              <w:rPr>
                <w:rFonts w:eastAsia="Times New Roman"/>
              </w:rPr>
            </w:pPr>
            <w:r>
              <w:rPr>
                <w:rFonts w:eastAsia="Times New Roman"/>
                <w:b/>
                <w:bCs/>
                <w:color w:val="000000"/>
                <w:sz w:val="18"/>
                <w:szCs w:val="18"/>
              </w:rPr>
              <w:t>62,020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0E0D4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1219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9B1DA0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706D4E7" w14:textId="77777777" w:rsidR="00000000" w:rsidRDefault="00A173A8">
            <w:pPr>
              <w:spacing w:after="100"/>
              <w:jc w:val="right"/>
              <w:rPr>
                <w:rFonts w:eastAsia="Times New Roman"/>
              </w:rPr>
            </w:pPr>
            <w:r>
              <w:rPr>
                <w:rFonts w:eastAsia="Times New Roman"/>
                <w:b/>
                <w:bCs/>
                <w:color w:val="000000"/>
                <w:sz w:val="18"/>
                <w:szCs w:val="18"/>
              </w:rPr>
              <w:t>31,895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C2273F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C7A09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568ED9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56EA161" w14:textId="77777777" w:rsidR="00000000" w:rsidRDefault="00A173A8">
            <w:pPr>
              <w:spacing w:after="100"/>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031C79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C23B3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666FE54"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837C9B0" w14:textId="77777777" w:rsidR="00000000" w:rsidRDefault="00A173A8">
            <w:pPr>
              <w:spacing w:after="100"/>
              <w:jc w:val="right"/>
              <w:rPr>
                <w:rFonts w:eastAsia="Times New Roman"/>
              </w:rPr>
            </w:pPr>
            <w:r>
              <w:rPr>
                <w:rFonts w:eastAsia="Times New Roman"/>
                <w:b/>
                <w:bCs/>
                <w:color w:val="000000"/>
                <w:sz w:val="18"/>
                <w:szCs w:val="18"/>
              </w:rPr>
              <w:t>93,973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F41315E" w14:textId="77777777" w:rsidR="00000000" w:rsidRDefault="00A173A8">
            <w:pPr>
              <w:spacing w:after="100"/>
              <w:jc w:val="right"/>
              <w:rPr>
                <w:rFonts w:eastAsia="Times New Roman"/>
              </w:rPr>
            </w:pPr>
          </w:p>
        </w:tc>
      </w:tr>
      <w:tr w:rsidR="00000000" w14:paraId="49169F52" w14:textId="77777777">
        <w:tblPrEx>
          <w:tblW w:w="4992" w:type="pct"/>
          <w:jc w:val="center"/>
        </w:tblPrEx>
        <w:trPr>
          <w:gridAfter w:val="2"/>
          <w:jc w:val="center"/>
        </w:trPr>
        <w:tc>
          <w:tcPr>
            <w:tcW w:w="50" w:type="pct"/>
            <w:gridSpan w:val="2"/>
            <w:vAlign w:val="center"/>
            <w:hideMark/>
          </w:tcPr>
          <w:p w14:paraId="29A4B7B1" w14:textId="77777777" w:rsidR="00000000" w:rsidRDefault="00A173A8">
            <w:pPr>
              <w:rPr>
                <w:rFonts w:eastAsia="Times New Roman"/>
              </w:rPr>
            </w:pPr>
          </w:p>
        </w:tc>
        <w:tc>
          <w:tcPr>
            <w:tcW w:w="1606" w:type="pct"/>
            <w:gridSpan w:val="13"/>
            <w:vAlign w:val="center"/>
            <w:hideMark/>
          </w:tcPr>
          <w:p w14:paraId="2F27D931" w14:textId="77777777" w:rsidR="00000000" w:rsidRDefault="00A173A8">
            <w:pPr>
              <w:spacing w:after="100"/>
              <w:rPr>
                <w:rFonts w:eastAsia="Times New Roman"/>
                <w:sz w:val="20"/>
                <w:szCs w:val="20"/>
              </w:rPr>
            </w:pPr>
          </w:p>
        </w:tc>
        <w:tc>
          <w:tcPr>
            <w:tcW w:w="5" w:type="pct"/>
            <w:vAlign w:val="center"/>
            <w:hideMark/>
          </w:tcPr>
          <w:p w14:paraId="26C4091D" w14:textId="77777777" w:rsidR="00000000" w:rsidRDefault="00A173A8">
            <w:pPr>
              <w:spacing w:after="100"/>
              <w:rPr>
                <w:rFonts w:eastAsia="Times New Roman"/>
                <w:sz w:val="20"/>
                <w:szCs w:val="20"/>
              </w:rPr>
            </w:pPr>
          </w:p>
        </w:tc>
        <w:tc>
          <w:tcPr>
            <w:tcW w:w="50" w:type="pct"/>
            <w:gridSpan w:val="2"/>
            <w:vAlign w:val="center"/>
            <w:hideMark/>
          </w:tcPr>
          <w:p w14:paraId="499E6EFB" w14:textId="77777777" w:rsidR="00000000" w:rsidRDefault="00A173A8">
            <w:pPr>
              <w:spacing w:after="100"/>
              <w:rPr>
                <w:rFonts w:eastAsia="Times New Roman"/>
                <w:sz w:val="20"/>
                <w:szCs w:val="20"/>
              </w:rPr>
            </w:pPr>
          </w:p>
        </w:tc>
        <w:tc>
          <w:tcPr>
            <w:tcW w:w="1614" w:type="pct"/>
            <w:gridSpan w:val="24"/>
            <w:vAlign w:val="center"/>
            <w:hideMark/>
          </w:tcPr>
          <w:p w14:paraId="5E147E08" w14:textId="77777777" w:rsidR="00000000" w:rsidRDefault="00A173A8">
            <w:pPr>
              <w:spacing w:after="100"/>
              <w:rPr>
                <w:rFonts w:eastAsia="Times New Roman"/>
                <w:sz w:val="20"/>
                <w:szCs w:val="20"/>
              </w:rPr>
            </w:pPr>
          </w:p>
        </w:tc>
        <w:tc>
          <w:tcPr>
            <w:tcW w:w="5" w:type="pct"/>
            <w:gridSpan w:val="2"/>
            <w:vAlign w:val="center"/>
            <w:hideMark/>
          </w:tcPr>
          <w:p w14:paraId="5333D37E" w14:textId="77777777" w:rsidR="00000000" w:rsidRDefault="00A173A8">
            <w:pPr>
              <w:spacing w:after="100"/>
              <w:rPr>
                <w:rFonts w:eastAsia="Times New Roman"/>
                <w:sz w:val="20"/>
                <w:szCs w:val="20"/>
              </w:rPr>
            </w:pPr>
          </w:p>
        </w:tc>
        <w:tc>
          <w:tcPr>
            <w:tcW w:w="50" w:type="pct"/>
            <w:gridSpan w:val="5"/>
            <w:vAlign w:val="center"/>
            <w:hideMark/>
          </w:tcPr>
          <w:p w14:paraId="064579C5" w14:textId="77777777" w:rsidR="00000000" w:rsidRDefault="00A173A8">
            <w:pPr>
              <w:spacing w:after="100"/>
              <w:rPr>
                <w:rFonts w:eastAsia="Times New Roman"/>
                <w:sz w:val="20"/>
                <w:szCs w:val="20"/>
              </w:rPr>
            </w:pPr>
          </w:p>
        </w:tc>
        <w:tc>
          <w:tcPr>
            <w:tcW w:w="1614" w:type="pct"/>
            <w:gridSpan w:val="20"/>
            <w:vAlign w:val="center"/>
            <w:hideMark/>
          </w:tcPr>
          <w:p w14:paraId="325D2ABF" w14:textId="77777777" w:rsidR="00000000" w:rsidRDefault="00A173A8">
            <w:pPr>
              <w:spacing w:after="100"/>
              <w:rPr>
                <w:rFonts w:eastAsia="Times New Roman"/>
                <w:sz w:val="20"/>
                <w:szCs w:val="20"/>
              </w:rPr>
            </w:pPr>
          </w:p>
        </w:tc>
        <w:tc>
          <w:tcPr>
            <w:tcW w:w="5" w:type="pct"/>
            <w:vAlign w:val="center"/>
            <w:hideMark/>
          </w:tcPr>
          <w:p w14:paraId="3B3DB35C" w14:textId="77777777" w:rsidR="00000000" w:rsidRDefault="00A173A8">
            <w:pPr>
              <w:spacing w:after="100"/>
              <w:rPr>
                <w:rFonts w:eastAsia="Times New Roman"/>
                <w:sz w:val="20"/>
                <w:szCs w:val="20"/>
              </w:rPr>
            </w:pPr>
          </w:p>
        </w:tc>
      </w:tr>
      <w:tr w:rsidR="00000000" w14:paraId="67284E71" w14:textId="77777777">
        <w:tblPrEx>
          <w:tblW w:w="4992" w:type="pct"/>
          <w:jc w:val="center"/>
        </w:tblPrEx>
        <w:trPr>
          <w:gridAfter w:val="2"/>
          <w:trHeight w:val="300"/>
          <w:jc w:val="center"/>
        </w:trPr>
        <w:tc>
          <w:tcPr>
            <w:tcW w:w="0" w:type="auto"/>
            <w:gridSpan w:val="70"/>
            <w:tcMar>
              <w:top w:w="0" w:type="dxa"/>
              <w:left w:w="20" w:type="dxa"/>
              <w:bottom w:w="0" w:type="dxa"/>
              <w:right w:w="20" w:type="dxa"/>
            </w:tcMar>
            <w:vAlign w:val="center"/>
            <w:hideMark/>
          </w:tcPr>
          <w:p w14:paraId="03EAF0E6" w14:textId="77777777" w:rsidR="00000000" w:rsidRDefault="00A173A8">
            <w:pPr>
              <w:spacing w:after="100"/>
              <w:rPr>
                <w:rFonts w:eastAsia="Times New Roman"/>
                <w:sz w:val="20"/>
                <w:szCs w:val="20"/>
              </w:rPr>
            </w:pPr>
          </w:p>
        </w:tc>
      </w:tr>
      <w:tr w:rsidR="00000000" w14:paraId="6059823C" w14:textId="77777777">
        <w:tblPrEx>
          <w:tblW w:w="4992" w:type="pct"/>
          <w:jc w:val="center"/>
        </w:tblPrEx>
        <w:trPr>
          <w:gridAfter w:val="2"/>
          <w:jc w:val="center"/>
        </w:trPr>
        <w:tc>
          <w:tcPr>
            <w:tcW w:w="0" w:type="auto"/>
            <w:gridSpan w:val="16"/>
            <w:tcMar>
              <w:top w:w="0" w:type="dxa"/>
              <w:left w:w="20" w:type="dxa"/>
              <w:bottom w:w="0" w:type="dxa"/>
              <w:right w:w="20" w:type="dxa"/>
            </w:tcMar>
            <w:vAlign w:val="center"/>
            <w:hideMark/>
          </w:tcPr>
          <w:p w14:paraId="1056294F" w14:textId="77777777" w:rsidR="00000000" w:rsidRDefault="00A173A8">
            <w:pPr>
              <w:spacing w:after="100"/>
              <w:rPr>
                <w:rFonts w:eastAsia="Times New Roman"/>
                <w:sz w:val="20"/>
                <w:szCs w:val="20"/>
              </w:rPr>
            </w:pPr>
          </w:p>
        </w:tc>
        <w:tc>
          <w:tcPr>
            <w:tcW w:w="0" w:type="auto"/>
            <w:gridSpan w:val="28"/>
            <w:tcMar>
              <w:top w:w="30" w:type="dxa"/>
              <w:left w:w="20" w:type="dxa"/>
              <w:bottom w:w="30" w:type="dxa"/>
              <w:right w:w="20" w:type="dxa"/>
            </w:tcMar>
            <w:vAlign w:val="bottom"/>
            <w:hideMark/>
          </w:tcPr>
          <w:p w14:paraId="547B7086" w14:textId="77777777" w:rsidR="00000000" w:rsidRDefault="00A173A8">
            <w:pPr>
              <w:spacing w:after="100"/>
              <w:jc w:val="center"/>
              <w:rPr>
                <w:rFonts w:eastAsia="Times New Roman"/>
              </w:rPr>
            </w:pPr>
            <w:r>
              <w:rPr>
                <w:rFonts w:eastAsia="Times New Roman"/>
                <w:color w:val="000000"/>
                <w:sz w:val="16"/>
                <w:szCs w:val="16"/>
              </w:rPr>
              <w:t>79</w:t>
            </w:r>
          </w:p>
        </w:tc>
        <w:tc>
          <w:tcPr>
            <w:tcW w:w="0" w:type="auto"/>
            <w:gridSpan w:val="26"/>
            <w:tcMar>
              <w:top w:w="30" w:type="dxa"/>
              <w:left w:w="20" w:type="dxa"/>
              <w:bottom w:w="30" w:type="dxa"/>
              <w:right w:w="20" w:type="dxa"/>
            </w:tcMar>
            <w:vAlign w:val="bottom"/>
            <w:hideMark/>
          </w:tcPr>
          <w:p w14:paraId="1E98A0B2"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4E63320" w14:textId="77777777" w:rsidR="00000000" w:rsidRDefault="00A173A8">
      <w:pPr>
        <w:rPr>
          <w:rFonts w:eastAsia="Times New Roman"/>
        </w:rPr>
      </w:pPr>
      <w:r>
        <w:rPr>
          <w:rFonts w:eastAsia="Times New Roman"/>
        </w:rPr>
        <w:pict w14:anchorId="558B1C21">
          <v:rect id="_x0000_i1104" style="width:0;height:1.5pt" o:hralign="center" o:hrstd="t" o:hr="t" fillcolor="#a0a0a0" stroked="f"/>
        </w:pict>
      </w:r>
    </w:p>
    <w:p w14:paraId="6E445213" w14:textId="77777777" w:rsidR="00000000" w:rsidRDefault="00A173A8">
      <w:pPr>
        <w:jc w:val="both"/>
        <w:divId w:val="1687511569"/>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6"/>
        <w:gridCol w:w="1409"/>
        <w:gridCol w:w="40"/>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0"/>
        <w:gridCol w:w="540"/>
        <w:gridCol w:w="36"/>
        <w:gridCol w:w="36"/>
        <w:gridCol w:w="36"/>
        <w:gridCol w:w="36"/>
        <w:gridCol w:w="111"/>
        <w:gridCol w:w="618"/>
        <w:gridCol w:w="36"/>
        <w:gridCol w:w="36"/>
        <w:gridCol w:w="36"/>
        <w:gridCol w:w="36"/>
        <w:gridCol w:w="110"/>
        <w:gridCol w:w="540"/>
        <w:gridCol w:w="36"/>
      </w:tblGrid>
      <w:tr w:rsidR="00000000" w14:paraId="166A73C9" w14:textId="77777777">
        <w:trPr>
          <w:divId w:val="1993635184"/>
        </w:trPr>
        <w:tc>
          <w:tcPr>
            <w:tcW w:w="50" w:type="pct"/>
            <w:vAlign w:val="center"/>
            <w:hideMark/>
          </w:tcPr>
          <w:p w14:paraId="4E0DA1FB" w14:textId="77777777" w:rsidR="00000000" w:rsidRDefault="00A173A8">
            <w:pPr>
              <w:jc w:val="both"/>
              <w:rPr>
                <w:rFonts w:eastAsia="Times New Roman"/>
              </w:rPr>
            </w:pPr>
          </w:p>
        </w:tc>
        <w:tc>
          <w:tcPr>
            <w:tcW w:w="1078" w:type="pct"/>
            <w:vAlign w:val="center"/>
            <w:hideMark/>
          </w:tcPr>
          <w:p w14:paraId="7C0BF66B" w14:textId="77777777" w:rsidR="00000000" w:rsidRDefault="00A173A8">
            <w:pPr>
              <w:spacing w:after="100"/>
              <w:rPr>
                <w:rFonts w:eastAsia="Times New Roman"/>
                <w:sz w:val="20"/>
                <w:szCs w:val="20"/>
              </w:rPr>
            </w:pPr>
          </w:p>
        </w:tc>
        <w:tc>
          <w:tcPr>
            <w:tcW w:w="5" w:type="pct"/>
            <w:vAlign w:val="center"/>
            <w:hideMark/>
          </w:tcPr>
          <w:p w14:paraId="71F957B6" w14:textId="77777777" w:rsidR="00000000" w:rsidRDefault="00A173A8">
            <w:pPr>
              <w:spacing w:after="100"/>
              <w:rPr>
                <w:rFonts w:eastAsia="Times New Roman"/>
                <w:sz w:val="20"/>
                <w:szCs w:val="20"/>
              </w:rPr>
            </w:pPr>
          </w:p>
        </w:tc>
        <w:tc>
          <w:tcPr>
            <w:tcW w:w="5" w:type="pct"/>
            <w:vAlign w:val="center"/>
            <w:hideMark/>
          </w:tcPr>
          <w:p w14:paraId="05A6D03D" w14:textId="77777777" w:rsidR="00000000" w:rsidRDefault="00A173A8">
            <w:pPr>
              <w:spacing w:after="100"/>
              <w:rPr>
                <w:rFonts w:eastAsia="Times New Roman"/>
                <w:sz w:val="20"/>
                <w:szCs w:val="20"/>
              </w:rPr>
            </w:pPr>
          </w:p>
        </w:tc>
        <w:tc>
          <w:tcPr>
            <w:tcW w:w="26" w:type="pct"/>
            <w:vAlign w:val="center"/>
            <w:hideMark/>
          </w:tcPr>
          <w:p w14:paraId="6B8F7605" w14:textId="77777777" w:rsidR="00000000" w:rsidRDefault="00A173A8">
            <w:pPr>
              <w:spacing w:after="100"/>
              <w:rPr>
                <w:rFonts w:eastAsia="Times New Roman"/>
                <w:sz w:val="20"/>
                <w:szCs w:val="20"/>
              </w:rPr>
            </w:pPr>
          </w:p>
        </w:tc>
        <w:tc>
          <w:tcPr>
            <w:tcW w:w="5" w:type="pct"/>
            <w:vAlign w:val="center"/>
            <w:hideMark/>
          </w:tcPr>
          <w:p w14:paraId="79AF910E" w14:textId="77777777" w:rsidR="00000000" w:rsidRDefault="00A173A8">
            <w:pPr>
              <w:spacing w:after="100"/>
              <w:rPr>
                <w:rFonts w:eastAsia="Times New Roman"/>
                <w:sz w:val="20"/>
                <w:szCs w:val="20"/>
              </w:rPr>
            </w:pPr>
          </w:p>
        </w:tc>
        <w:tc>
          <w:tcPr>
            <w:tcW w:w="50" w:type="pct"/>
            <w:vAlign w:val="center"/>
            <w:hideMark/>
          </w:tcPr>
          <w:p w14:paraId="5F5CAE03" w14:textId="77777777" w:rsidR="00000000" w:rsidRDefault="00A173A8">
            <w:pPr>
              <w:spacing w:after="100"/>
              <w:rPr>
                <w:rFonts w:eastAsia="Times New Roman"/>
                <w:sz w:val="20"/>
                <w:szCs w:val="20"/>
              </w:rPr>
            </w:pPr>
          </w:p>
        </w:tc>
        <w:tc>
          <w:tcPr>
            <w:tcW w:w="303" w:type="pct"/>
            <w:vAlign w:val="center"/>
            <w:hideMark/>
          </w:tcPr>
          <w:p w14:paraId="018C8089" w14:textId="77777777" w:rsidR="00000000" w:rsidRDefault="00A173A8">
            <w:pPr>
              <w:spacing w:after="100"/>
              <w:rPr>
                <w:rFonts w:eastAsia="Times New Roman"/>
                <w:sz w:val="20"/>
                <w:szCs w:val="20"/>
              </w:rPr>
            </w:pPr>
          </w:p>
        </w:tc>
        <w:tc>
          <w:tcPr>
            <w:tcW w:w="5" w:type="pct"/>
            <w:vAlign w:val="center"/>
            <w:hideMark/>
          </w:tcPr>
          <w:p w14:paraId="062BBA46" w14:textId="77777777" w:rsidR="00000000" w:rsidRDefault="00A173A8">
            <w:pPr>
              <w:spacing w:after="100"/>
              <w:rPr>
                <w:rFonts w:eastAsia="Times New Roman"/>
                <w:sz w:val="20"/>
                <w:szCs w:val="20"/>
              </w:rPr>
            </w:pPr>
          </w:p>
        </w:tc>
        <w:tc>
          <w:tcPr>
            <w:tcW w:w="5" w:type="pct"/>
            <w:vAlign w:val="center"/>
            <w:hideMark/>
          </w:tcPr>
          <w:p w14:paraId="5695D33D" w14:textId="77777777" w:rsidR="00000000" w:rsidRDefault="00A173A8">
            <w:pPr>
              <w:spacing w:after="100"/>
              <w:rPr>
                <w:rFonts w:eastAsia="Times New Roman"/>
                <w:sz w:val="20"/>
                <w:szCs w:val="20"/>
              </w:rPr>
            </w:pPr>
          </w:p>
        </w:tc>
        <w:tc>
          <w:tcPr>
            <w:tcW w:w="26" w:type="pct"/>
            <w:vAlign w:val="center"/>
            <w:hideMark/>
          </w:tcPr>
          <w:p w14:paraId="4CD5BF42" w14:textId="77777777" w:rsidR="00000000" w:rsidRDefault="00A173A8">
            <w:pPr>
              <w:spacing w:after="100"/>
              <w:rPr>
                <w:rFonts w:eastAsia="Times New Roman"/>
                <w:sz w:val="20"/>
                <w:szCs w:val="20"/>
              </w:rPr>
            </w:pPr>
          </w:p>
        </w:tc>
        <w:tc>
          <w:tcPr>
            <w:tcW w:w="5" w:type="pct"/>
            <w:vAlign w:val="center"/>
            <w:hideMark/>
          </w:tcPr>
          <w:p w14:paraId="3F171760" w14:textId="77777777" w:rsidR="00000000" w:rsidRDefault="00A173A8">
            <w:pPr>
              <w:spacing w:after="100"/>
              <w:rPr>
                <w:rFonts w:eastAsia="Times New Roman"/>
                <w:sz w:val="20"/>
                <w:szCs w:val="20"/>
              </w:rPr>
            </w:pPr>
          </w:p>
        </w:tc>
        <w:tc>
          <w:tcPr>
            <w:tcW w:w="50" w:type="pct"/>
            <w:vAlign w:val="center"/>
            <w:hideMark/>
          </w:tcPr>
          <w:p w14:paraId="73E893E4" w14:textId="77777777" w:rsidR="00000000" w:rsidRDefault="00A173A8">
            <w:pPr>
              <w:spacing w:after="100"/>
              <w:rPr>
                <w:rFonts w:eastAsia="Times New Roman"/>
                <w:sz w:val="20"/>
                <w:szCs w:val="20"/>
              </w:rPr>
            </w:pPr>
          </w:p>
        </w:tc>
        <w:tc>
          <w:tcPr>
            <w:tcW w:w="288" w:type="pct"/>
            <w:vAlign w:val="center"/>
            <w:hideMark/>
          </w:tcPr>
          <w:p w14:paraId="3C7E7FC0" w14:textId="77777777" w:rsidR="00000000" w:rsidRDefault="00A173A8">
            <w:pPr>
              <w:spacing w:after="100"/>
              <w:rPr>
                <w:rFonts w:eastAsia="Times New Roman"/>
                <w:sz w:val="20"/>
                <w:szCs w:val="20"/>
              </w:rPr>
            </w:pPr>
          </w:p>
        </w:tc>
        <w:tc>
          <w:tcPr>
            <w:tcW w:w="5" w:type="pct"/>
            <w:vAlign w:val="center"/>
            <w:hideMark/>
          </w:tcPr>
          <w:p w14:paraId="5BF7AE35" w14:textId="77777777" w:rsidR="00000000" w:rsidRDefault="00A173A8">
            <w:pPr>
              <w:spacing w:after="100"/>
              <w:rPr>
                <w:rFonts w:eastAsia="Times New Roman"/>
                <w:sz w:val="20"/>
                <w:szCs w:val="20"/>
              </w:rPr>
            </w:pPr>
          </w:p>
        </w:tc>
        <w:tc>
          <w:tcPr>
            <w:tcW w:w="5" w:type="pct"/>
            <w:vAlign w:val="center"/>
            <w:hideMark/>
          </w:tcPr>
          <w:p w14:paraId="47E30FB4" w14:textId="77777777" w:rsidR="00000000" w:rsidRDefault="00A173A8">
            <w:pPr>
              <w:spacing w:after="100"/>
              <w:rPr>
                <w:rFonts w:eastAsia="Times New Roman"/>
                <w:sz w:val="20"/>
                <w:szCs w:val="20"/>
              </w:rPr>
            </w:pPr>
          </w:p>
        </w:tc>
        <w:tc>
          <w:tcPr>
            <w:tcW w:w="26" w:type="pct"/>
            <w:vAlign w:val="center"/>
            <w:hideMark/>
          </w:tcPr>
          <w:p w14:paraId="6CDE4E2B" w14:textId="77777777" w:rsidR="00000000" w:rsidRDefault="00A173A8">
            <w:pPr>
              <w:spacing w:after="100"/>
              <w:rPr>
                <w:rFonts w:eastAsia="Times New Roman"/>
                <w:sz w:val="20"/>
                <w:szCs w:val="20"/>
              </w:rPr>
            </w:pPr>
          </w:p>
        </w:tc>
        <w:tc>
          <w:tcPr>
            <w:tcW w:w="5" w:type="pct"/>
            <w:vAlign w:val="center"/>
            <w:hideMark/>
          </w:tcPr>
          <w:p w14:paraId="2769C966" w14:textId="77777777" w:rsidR="00000000" w:rsidRDefault="00A173A8">
            <w:pPr>
              <w:spacing w:after="100"/>
              <w:rPr>
                <w:rFonts w:eastAsia="Times New Roman"/>
                <w:sz w:val="20"/>
                <w:szCs w:val="20"/>
              </w:rPr>
            </w:pPr>
          </w:p>
        </w:tc>
        <w:tc>
          <w:tcPr>
            <w:tcW w:w="50" w:type="pct"/>
            <w:vAlign w:val="center"/>
            <w:hideMark/>
          </w:tcPr>
          <w:p w14:paraId="2060189C" w14:textId="77777777" w:rsidR="00000000" w:rsidRDefault="00A173A8">
            <w:pPr>
              <w:spacing w:after="100"/>
              <w:rPr>
                <w:rFonts w:eastAsia="Times New Roman"/>
                <w:sz w:val="20"/>
                <w:szCs w:val="20"/>
              </w:rPr>
            </w:pPr>
          </w:p>
        </w:tc>
        <w:tc>
          <w:tcPr>
            <w:tcW w:w="288" w:type="pct"/>
            <w:vAlign w:val="center"/>
            <w:hideMark/>
          </w:tcPr>
          <w:p w14:paraId="219CE83F" w14:textId="77777777" w:rsidR="00000000" w:rsidRDefault="00A173A8">
            <w:pPr>
              <w:spacing w:after="100"/>
              <w:rPr>
                <w:rFonts w:eastAsia="Times New Roman"/>
                <w:sz w:val="20"/>
                <w:szCs w:val="20"/>
              </w:rPr>
            </w:pPr>
          </w:p>
        </w:tc>
        <w:tc>
          <w:tcPr>
            <w:tcW w:w="5" w:type="pct"/>
            <w:vAlign w:val="center"/>
            <w:hideMark/>
          </w:tcPr>
          <w:p w14:paraId="1B868EFB" w14:textId="77777777" w:rsidR="00000000" w:rsidRDefault="00A173A8">
            <w:pPr>
              <w:spacing w:after="100"/>
              <w:rPr>
                <w:rFonts w:eastAsia="Times New Roman"/>
                <w:sz w:val="20"/>
                <w:szCs w:val="20"/>
              </w:rPr>
            </w:pPr>
          </w:p>
        </w:tc>
        <w:tc>
          <w:tcPr>
            <w:tcW w:w="5" w:type="pct"/>
            <w:vAlign w:val="center"/>
            <w:hideMark/>
          </w:tcPr>
          <w:p w14:paraId="142801B6" w14:textId="77777777" w:rsidR="00000000" w:rsidRDefault="00A173A8">
            <w:pPr>
              <w:spacing w:after="100"/>
              <w:rPr>
                <w:rFonts w:eastAsia="Times New Roman"/>
                <w:sz w:val="20"/>
                <w:szCs w:val="20"/>
              </w:rPr>
            </w:pPr>
          </w:p>
        </w:tc>
        <w:tc>
          <w:tcPr>
            <w:tcW w:w="26" w:type="pct"/>
            <w:vAlign w:val="center"/>
            <w:hideMark/>
          </w:tcPr>
          <w:p w14:paraId="5DD66461" w14:textId="77777777" w:rsidR="00000000" w:rsidRDefault="00A173A8">
            <w:pPr>
              <w:spacing w:after="100"/>
              <w:rPr>
                <w:rFonts w:eastAsia="Times New Roman"/>
                <w:sz w:val="20"/>
                <w:szCs w:val="20"/>
              </w:rPr>
            </w:pPr>
          </w:p>
        </w:tc>
        <w:tc>
          <w:tcPr>
            <w:tcW w:w="5" w:type="pct"/>
            <w:vAlign w:val="center"/>
            <w:hideMark/>
          </w:tcPr>
          <w:p w14:paraId="04D5BF19" w14:textId="77777777" w:rsidR="00000000" w:rsidRDefault="00A173A8">
            <w:pPr>
              <w:spacing w:after="100"/>
              <w:rPr>
                <w:rFonts w:eastAsia="Times New Roman"/>
                <w:sz w:val="20"/>
                <w:szCs w:val="20"/>
              </w:rPr>
            </w:pPr>
          </w:p>
        </w:tc>
        <w:tc>
          <w:tcPr>
            <w:tcW w:w="50" w:type="pct"/>
            <w:vAlign w:val="center"/>
            <w:hideMark/>
          </w:tcPr>
          <w:p w14:paraId="1710DE1A" w14:textId="77777777" w:rsidR="00000000" w:rsidRDefault="00A173A8">
            <w:pPr>
              <w:spacing w:after="100"/>
              <w:rPr>
                <w:rFonts w:eastAsia="Times New Roman"/>
                <w:sz w:val="20"/>
                <w:szCs w:val="20"/>
              </w:rPr>
            </w:pPr>
          </w:p>
        </w:tc>
        <w:tc>
          <w:tcPr>
            <w:tcW w:w="273" w:type="pct"/>
            <w:vAlign w:val="center"/>
            <w:hideMark/>
          </w:tcPr>
          <w:p w14:paraId="7D2551E0" w14:textId="77777777" w:rsidR="00000000" w:rsidRDefault="00A173A8">
            <w:pPr>
              <w:spacing w:after="100"/>
              <w:rPr>
                <w:rFonts w:eastAsia="Times New Roman"/>
                <w:sz w:val="20"/>
                <w:szCs w:val="20"/>
              </w:rPr>
            </w:pPr>
          </w:p>
        </w:tc>
        <w:tc>
          <w:tcPr>
            <w:tcW w:w="5" w:type="pct"/>
            <w:vAlign w:val="center"/>
            <w:hideMark/>
          </w:tcPr>
          <w:p w14:paraId="1BC2F4B0" w14:textId="77777777" w:rsidR="00000000" w:rsidRDefault="00A173A8">
            <w:pPr>
              <w:spacing w:after="100"/>
              <w:rPr>
                <w:rFonts w:eastAsia="Times New Roman"/>
                <w:sz w:val="20"/>
                <w:szCs w:val="20"/>
              </w:rPr>
            </w:pPr>
          </w:p>
        </w:tc>
        <w:tc>
          <w:tcPr>
            <w:tcW w:w="5" w:type="pct"/>
            <w:vAlign w:val="center"/>
            <w:hideMark/>
          </w:tcPr>
          <w:p w14:paraId="2131D696" w14:textId="77777777" w:rsidR="00000000" w:rsidRDefault="00A173A8">
            <w:pPr>
              <w:spacing w:after="100"/>
              <w:rPr>
                <w:rFonts w:eastAsia="Times New Roman"/>
                <w:sz w:val="20"/>
                <w:szCs w:val="20"/>
              </w:rPr>
            </w:pPr>
          </w:p>
        </w:tc>
        <w:tc>
          <w:tcPr>
            <w:tcW w:w="26" w:type="pct"/>
            <w:vAlign w:val="center"/>
            <w:hideMark/>
          </w:tcPr>
          <w:p w14:paraId="1001F962" w14:textId="77777777" w:rsidR="00000000" w:rsidRDefault="00A173A8">
            <w:pPr>
              <w:spacing w:after="100"/>
              <w:rPr>
                <w:rFonts w:eastAsia="Times New Roman"/>
                <w:sz w:val="20"/>
                <w:szCs w:val="20"/>
              </w:rPr>
            </w:pPr>
          </w:p>
        </w:tc>
        <w:tc>
          <w:tcPr>
            <w:tcW w:w="5" w:type="pct"/>
            <w:vAlign w:val="center"/>
            <w:hideMark/>
          </w:tcPr>
          <w:p w14:paraId="36C8E39E" w14:textId="77777777" w:rsidR="00000000" w:rsidRDefault="00A173A8">
            <w:pPr>
              <w:spacing w:after="100"/>
              <w:rPr>
                <w:rFonts w:eastAsia="Times New Roman"/>
                <w:sz w:val="20"/>
                <w:szCs w:val="20"/>
              </w:rPr>
            </w:pPr>
          </w:p>
        </w:tc>
        <w:tc>
          <w:tcPr>
            <w:tcW w:w="50" w:type="pct"/>
            <w:vAlign w:val="center"/>
            <w:hideMark/>
          </w:tcPr>
          <w:p w14:paraId="53D0F505" w14:textId="77777777" w:rsidR="00000000" w:rsidRDefault="00A173A8">
            <w:pPr>
              <w:spacing w:after="100"/>
              <w:rPr>
                <w:rFonts w:eastAsia="Times New Roman"/>
                <w:sz w:val="20"/>
                <w:szCs w:val="20"/>
              </w:rPr>
            </w:pPr>
          </w:p>
        </w:tc>
        <w:tc>
          <w:tcPr>
            <w:tcW w:w="273" w:type="pct"/>
            <w:vAlign w:val="center"/>
            <w:hideMark/>
          </w:tcPr>
          <w:p w14:paraId="1254ABBE" w14:textId="77777777" w:rsidR="00000000" w:rsidRDefault="00A173A8">
            <w:pPr>
              <w:spacing w:after="100"/>
              <w:rPr>
                <w:rFonts w:eastAsia="Times New Roman"/>
                <w:sz w:val="20"/>
                <w:szCs w:val="20"/>
              </w:rPr>
            </w:pPr>
          </w:p>
        </w:tc>
        <w:tc>
          <w:tcPr>
            <w:tcW w:w="5" w:type="pct"/>
            <w:vAlign w:val="center"/>
            <w:hideMark/>
          </w:tcPr>
          <w:p w14:paraId="554D5337" w14:textId="77777777" w:rsidR="00000000" w:rsidRDefault="00A173A8">
            <w:pPr>
              <w:spacing w:after="100"/>
              <w:rPr>
                <w:rFonts w:eastAsia="Times New Roman"/>
                <w:sz w:val="20"/>
                <w:szCs w:val="20"/>
              </w:rPr>
            </w:pPr>
          </w:p>
        </w:tc>
        <w:tc>
          <w:tcPr>
            <w:tcW w:w="5" w:type="pct"/>
            <w:vAlign w:val="center"/>
            <w:hideMark/>
          </w:tcPr>
          <w:p w14:paraId="127E51DB" w14:textId="77777777" w:rsidR="00000000" w:rsidRDefault="00A173A8">
            <w:pPr>
              <w:spacing w:after="100"/>
              <w:rPr>
                <w:rFonts w:eastAsia="Times New Roman"/>
                <w:sz w:val="20"/>
                <w:szCs w:val="20"/>
              </w:rPr>
            </w:pPr>
          </w:p>
        </w:tc>
        <w:tc>
          <w:tcPr>
            <w:tcW w:w="26" w:type="pct"/>
            <w:vAlign w:val="center"/>
            <w:hideMark/>
          </w:tcPr>
          <w:p w14:paraId="1316EF1D" w14:textId="77777777" w:rsidR="00000000" w:rsidRDefault="00A173A8">
            <w:pPr>
              <w:spacing w:after="100"/>
              <w:rPr>
                <w:rFonts w:eastAsia="Times New Roman"/>
                <w:sz w:val="20"/>
                <w:szCs w:val="20"/>
              </w:rPr>
            </w:pPr>
          </w:p>
        </w:tc>
        <w:tc>
          <w:tcPr>
            <w:tcW w:w="5" w:type="pct"/>
            <w:vAlign w:val="center"/>
            <w:hideMark/>
          </w:tcPr>
          <w:p w14:paraId="71DFF9FB" w14:textId="77777777" w:rsidR="00000000" w:rsidRDefault="00A173A8">
            <w:pPr>
              <w:spacing w:after="100"/>
              <w:rPr>
                <w:rFonts w:eastAsia="Times New Roman"/>
                <w:sz w:val="20"/>
                <w:szCs w:val="20"/>
              </w:rPr>
            </w:pPr>
          </w:p>
        </w:tc>
        <w:tc>
          <w:tcPr>
            <w:tcW w:w="50" w:type="pct"/>
            <w:vAlign w:val="center"/>
            <w:hideMark/>
          </w:tcPr>
          <w:p w14:paraId="38861935" w14:textId="77777777" w:rsidR="00000000" w:rsidRDefault="00A173A8">
            <w:pPr>
              <w:spacing w:after="100"/>
              <w:rPr>
                <w:rFonts w:eastAsia="Times New Roman"/>
                <w:sz w:val="20"/>
                <w:szCs w:val="20"/>
              </w:rPr>
            </w:pPr>
          </w:p>
        </w:tc>
        <w:tc>
          <w:tcPr>
            <w:tcW w:w="273" w:type="pct"/>
            <w:vAlign w:val="center"/>
            <w:hideMark/>
          </w:tcPr>
          <w:p w14:paraId="0B81C605" w14:textId="77777777" w:rsidR="00000000" w:rsidRDefault="00A173A8">
            <w:pPr>
              <w:spacing w:after="100"/>
              <w:rPr>
                <w:rFonts w:eastAsia="Times New Roman"/>
                <w:sz w:val="20"/>
                <w:szCs w:val="20"/>
              </w:rPr>
            </w:pPr>
          </w:p>
        </w:tc>
        <w:tc>
          <w:tcPr>
            <w:tcW w:w="5" w:type="pct"/>
            <w:vAlign w:val="center"/>
            <w:hideMark/>
          </w:tcPr>
          <w:p w14:paraId="0C967766" w14:textId="77777777" w:rsidR="00000000" w:rsidRDefault="00A173A8">
            <w:pPr>
              <w:spacing w:after="100"/>
              <w:rPr>
                <w:rFonts w:eastAsia="Times New Roman"/>
                <w:sz w:val="20"/>
                <w:szCs w:val="20"/>
              </w:rPr>
            </w:pPr>
          </w:p>
        </w:tc>
        <w:tc>
          <w:tcPr>
            <w:tcW w:w="5" w:type="pct"/>
            <w:vAlign w:val="center"/>
            <w:hideMark/>
          </w:tcPr>
          <w:p w14:paraId="036F45C5" w14:textId="77777777" w:rsidR="00000000" w:rsidRDefault="00A173A8">
            <w:pPr>
              <w:spacing w:after="100"/>
              <w:rPr>
                <w:rFonts w:eastAsia="Times New Roman"/>
                <w:sz w:val="20"/>
                <w:szCs w:val="20"/>
              </w:rPr>
            </w:pPr>
          </w:p>
        </w:tc>
        <w:tc>
          <w:tcPr>
            <w:tcW w:w="26" w:type="pct"/>
            <w:vAlign w:val="center"/>
            <w:hideMark/>
          </w:tcPr>
          <w:p w14:paraId="5ED45581" w14:textId="77777777" w:rsidR="00000000" w:rsidRDefault="00A173A8">
            <w:pPr>
              <w:spacing w:after="100"/>
              <w:rPr>
                <w:rFonts w:eastAsia="Times New Roman"/>
                <w:sz w:val="20"/>
                <w:szCs w:val="20"/>
              </w:rPr>
            </w:pPr>
          </w:p>
        </w:tc>
        <w:tc>
          <w:tcPr>
            <w:tcW w:w="5" w:type="pct"/>
            <w:vAlign w:val="center"/>
            <w:hideMark/>
          </w:tcPr>
          <w:p w14:paraId="12E125E2" w14:textId="77777777" w:rsidR="00000000" w:rsidRDefault="00A173A8">
            <w:pPr>
              <w:spacing w:after="100"/>
              <w:rPr>
                <w:rFonts w:eastAsia="Times New Roman"/>
                <w:sz w:val="20"/>
                <w:szCs w:val="20"/>
              </w:rPr>
            </w:pPr>
          </w:p>
        </w:tc>
        <w:tc>
          <w:tcPr>
            <w:tcW w:w="50" w:type="pct"/>
            <w:vAlign w:val="center"/>
            <w:hideMark/>
          </w:tcPr>
          <w:p w14:paraId="627717C8" w14:textId="77777777" w:rsidR="00000000" w:rsidRDefault="00A173A8">
            <w:pPr>
              <w:spacing w:after="100"/>
              <w:rPr>
                <w:rFonts w:eastAsia="Times New Roman"/>
                <w:sz w:val="20"/>
                <w:szCs w:val="20"/>
              </w:rPr>
            </w:pPr>
          </w:p>
        </w:tc>
        <w:tc>
          <w:tcPr>
            <w:tcW w:w="288" w:type="pct"/>
            <w:vAlign w:val="center"/>
            <w:hideMark/>
          </w:tcPr>
          <w:p w14:paraId="0DD834D7" w14:textId="77777777" w:rsidR="00000000" w:rsidRDefault="00A173A8">
            <w:pPr>
              <w:spacing w:after="100"/>
              <w:rPr>
                <w:rFonts w:eastAsia="Times New Roman"/>
                <w:sz w:val="20"/>
                <w:szCs w:val="20"/>
              </w:rPr>
            </w:pPr>
          </w:p>
        </w:tc>
        <w:tc>
          <w:tcPr>
            <w:tcW w:w="5" w:type="pct"/>
            <w:vAlign w:val="center"/>
            <w:hideMark/>
          </w:tcPr>
          <w:p w14:paraId="3A6FE623" w14:textId="77777777" w:rsidR="00000000" w:rsidRDefault="00A173A8">
            <w:pPr>
              <w:spacing w:after="100"/>
              <w:rPr>
                <w:rFonts w:eastAsia="Times New Roman"/>
                <w:sz w:val="20"/>
                <w:szCs w:val="20"/>
              </w:rPr>
            </w:pPr>
          </w:p>
        </w:tc>
        <w:tc>
          <w:tcPr>
            <w:tcW w:w="5" w:type="pct"/>
            <w:vAlign w:val="center"/>
            <w:hideMark/>
          </w:tcPr>
          <w:p w14:paraId="71DC91DF" w14:textId="77777777" w:rsidR="00000000" w:rsidRDefault="00A173A8">
            <w:pPr>
              <w:spacing w:after="100"/>
              <w:rPr>
                <w:rFonts w:eastAsia="Times New Roman"/>
                <w:sz w:val="20"/>
                <w:szCs w:val="20"/>
              </w:rPr>
            </w:pPr>
          </w:p>
        </w:tc>
        <w:tc>
          <w:tcPr>
            <w:tcW w:w="26" w:type="pct"/>
            <w:vAlign w:val="center"/>
            <w:hideMark/>
          </w:tcPr>
          <w:p w14:paraId="35D50AF4" w14:textId="77777777" w:rsidR="00000000" w:rsidRDefault="00A173A8">
            <w:pPr>
              <w:spacing w:after="100"/>
              <w:rPr>
                <w:rFonts w:eastAsia="Times New Roman"/>
                <w:sz w:val="20"/>
                <w:szCs w:val="20"/>
              </w:rPr>
            </w:pPr>
          </w:p>
        </w:tc>
        <w:tc>
          <w:tcPr>
            <w:tcW w:w="5" w:type="pct"/>
            <w:vAlign w:val="center"/>
            <w:hideMark/>
          </w:tcPr>
          <w:p w14:paraId="4911FEB1" w14:textId="77777777" w:rsidR="00000000" w:rsidRDefault="00A173A8">
            <w:pPr>
              <w:spacing w:after="100"/>
              <w:rPr>
                <w:rFonts w:eastAsia="Times New Roman"/>
                <w:sz w:val="20"/>
                <w:szCs w:val="20"/>
              </w:rPr>
            </w:pPr>
          </w:p>
        </w:tc>
        <w:tc>
          <w:tcPr>
            <w:tcW w:w="50" w:type="pct"/>
            <w:vAlign w:val="center"/>
            <w:hideMark/>
          </w:tcPr>
          <w:p w14:paraId="5264B427" w14:textId="77777777" w:rsidR="00000000" w:rsidRDefault="00A173A8">
            <w:pPr>
              <w:spacing w:after="100"/>
              <w:rPr>
                <w:rFonts w:eastAsia="Times New Roman"/>
                <w:sz w:val="20"/>
                <w:szCs w:val="20"/>
              </w:rPr>
            </w:pPr>
          </w:p>
        </w:tc>
        <w:tc>
          <w:tcPr>
            <w:tcW w:w="317" w:type="pct"/>
            <w:vAlign w:val="center"/>
            <w:hideMark/>
          </w:tcPr>
          <w:p w14:paraId="7C600C90" w14:textId="77777777" w:rsidR="00000000" w:rsidRDefault="00A173A8">
            <w:pPr>
              <w:spacing w:after="100"/>
              <w:rPr>
                <w:rFonts w:eastAsia="Times New Roman"/>
                <w:sz w:val="20"/>
                <w:szCs w:val="20"/>
              </w:rPr>
            </w:pPr>
          </w:p>
        </w:tc>
        <w:tc>
          <w:tcPr>
            <w:tcW w:w="5" w:type="pct"/>
            <w:vAlign w:val="center"/>
            <w:hideMark/>
          </w:tcPr>
          <w:p w14:paraId="0BCEECB2" w14:textId="77777777" w:rsidR="00000000" w:rsidRDefault="00A173A8">
            <w:pPr>
              <w:spacing w:after="100"/>
              <w:rPr>
                <w:rFonts w:eastAsia="Times New Roman"/>
                <w:sz w:val="20"/>
                <w:szCs w:val="20"/>
              </w:rPr>
            </w:pPr>
          </w:p>
        </w:tc>
        <w:tc>
          <w:tcPr>
            <w:tcW w:w="5" w:type="pct"/>
            <w:vAlign w:val="center"/>
            <w:hideMark/>
          </w:tcPr>
          <w:p w14:paraId="1C5B3039" w14:textId="77777777" w:rsidR="00000000" w:rsidRDefault="00A173A8">
            <w:pPr>
              <w:spacing w:after="100"/>
              <w:rPr>
                <w:rFonts w:eastAsia="Times New Roman"/>
                <w:sz w:val="20"/>
                <w:szCs w:val="20"/>
              </w:rPr>
            </w:pPr>
          </w:p>
        </w:tc>
        <w:tc>
          <w:tcPr>
            <w:tcW w:w="26" w:type="pct"/>
            <w:vAlign w:val="center"/>
            <w:hideMark/>
          </w:tcPr>
          <w:p w14:paraId="7155C017" w14:textId="77777777" w:rsidR="00000000" w:rsidRDefault="00A173A8">
            <w:pPr>
              <w:spacing w:after="100"/>
              <w:rPr>
                <w:rFonts w:eastAsia="Times New Roman"/>
                <w:sz w:val="20"/>
                <w:szCs w:val="20"/>
              </w:rPr>
            </w:pPr>
          </w:p>
        </w:tc>
        <w:tc>
          <w:tcPr>
            <w:tcW w:w="5" w:type="pct"/>
            <w:vAlign w:val="center"/>
            <w:hideMark/>
          </w:tcPr>
          <w:p w14:paraId="01B713D7" w14:textId="77777777" w:rsidR="00000000" w:rsidRDefault="00A173A8">
            <w:pPr>
              <w:spacing w:after="100"/>
              <w:rPr>
                <w:rFonts w:eastAsia="Times New Roman"/>
                <w:sz w:val="20"/>
                <w:szCs w:val="20"/>
              </w:rPr>
            </w:pPr>
          </w:p>
        </w:tc>
        <w:tc>
          <w:tcPr>
            <w:tcW w:w="50" w:type="pct"/>
            <w:vAlign w:val="center"/>
            <w:hideMark/>
          </w:tcPr>
          <w:p w14:paraId="6780DEB8" w14:textId="77777777" w:rsidR="00000000" w:rsidRDefault="00A173A8">
            <w:pPr>
              <w:spacing w:after="100"/>
              <w:rPr>
                <w:rFonts w:eastAsia="Times New Roman"/>
                <w:sz w:val="20"/>
                <w:szCs w:val="20"/>
              </w:rPr>
            </w:pPr>
          </w:p>
        </w:tc>
        <w:tc>
          <w:tcPr>
            <w:tcW w:w="347" w:type="pct"/>
            <w:vAlign w:val="center"/>
            <w:hideMark/>
          </w:tcPr>
          <w:p w14:paraId="55ED1ADA" w14:textId="77777777" w:rsidR="00000000" w:rsidRDefault="00A173A8">
            <w:pPr>
              <w:spacing w:after="100"/>
              <w:rPr>
                <w:rFonts w:eastAsia="Times New Roman"/>
                <w:sz w:val="20"/>
                <w:szCs w:val="20"/>
              </w:rPr>
            </w:pPr>
          </w:p>
        </w:tc>
        <w:tc>
          <w:tcPr>
            <w:tcW w:w="5" w:type="pct"/>
            <w:vAlign w:val="center"/>
            <w:hideMark/>
          </w:tcPr>
          <w:p w14:paraId="042BFE28" w14:textId="77777777" w:rsidR="00000000" w:rsidRDefault="00A173A8">
            <w:pPr>
              <w:spacing w:after="100"/>
              <w:rPr>
                <w:rFonts w:eastAsia="Times New Roman"/>
                <w:sz w:val="20"/>
                <w:szCs w:val="20"/>
              </w:rPr>
            </w:pPr>
          </w:p>
        </w:tc>
        <w:tc>
          <w:tcPr>
            <w:tcW w:w="5" w:type="pct"/>
            <w:vAlign w:val="center"/>
            <w:hideMark/>
          </w:tcPr>
          <w:p w14:paraId="26C1F9A8" w14:textId="77777777" w:rsidR="00000000" w:rsidRDefault="00A173A8">
            <w:pPr>
              <w:spacing w:after="100"/>
              <w:rPr>
                <w:rFonts w:eastAsia="Times New Roman"/>
                <w:sz w:val="20"/>
                <w:szCs w:val="20"/>
              </w:rPr>
            </w:pPr>
          </w:p>
        </w:tc>
        <w:tc>
          <w:tcPr>
            <w:tcW w:w="26" w:type="pct"/>
            <w:vAlign w:val="center"/>
            <w:hideMark/>
          </w:tcPr>
          <w:p w14:paraId="7A93738D" w14:textId="77777777" w:rsidR="00000000" w:rsidRDefault="00A173A8">
            <w:pPr>
              <w:spacing w:after="100"/>
              <w:rPr>
                <w:rFonts w:eastAsia="Times New Roman"/>
                <w:sz w:val="20"/>
                <w:szCs w:val="20"/>
              </w:rPr>
            </w:pPr>
          </w:p>
        </w:tc>
        <w:tc>
          <w:tcPr>
            <w:tcW w:w="5" w:type="pct"/>
            <w:vAlign w:val="center"/>
            <w:hideMark/>
          </w:tcPr>
          <w:p w14:paraId="05C4DA0B" w14:textId="77777777" w:rsidR="00000000" w:rsidRDefault="00A173A8">
            <w:pPr>
              <w:spacing w:after="100"/>
              <w:rPr>
                <w:rFonts w:eastAsia="Times New Roman"/>
                <w:sz w:val="20"/>
                <w:szCs w:val="20"/>
              </w:rPr>
            </w:pPr>
          </w:p>
        </w:tc>
        <w:tc>
          <w:tcPr>
            <w:tcW w:w="50" w:type="pct"/>
            <w:vAlign w:val="center"/>
            <w:hideMark/>
          </w:tcPr>
          <w:p w14:paraId="6BED882C" w14:textId="77777777" w:rsidR="00000000" w:rsidRDefault="00A173A8">
            <w:pPr>
              <w:spacing w:after="100"/>
              <w:rPr>
                <w:rFonts w:eastAsia="Times New Roman"/>
                <w:sz w:val="20"/>
                <w:szCs w:val="20"/>
              </w:rPr>
            </w:pPr>
          </w:p>
        </w:tc>
        <w:tc>
          <w:tcPr>
            <w:tcW w:w="296" w:type="pct"/>
            <w:vAlign w:val="center"/>
            <w:hideMark/>
          </w:tcPr>
          <w:p w14:paraId="128DF853" w14:textId="77777777" w:rsidR="00000000" w:rsidRDefault="00A173A8">
            <w:pPr>
              <w:spacing w:after="100"/>
              <w:rPr>
                <w:rFonts w:eastAsia="Times New Roman"/>
                <w:sz w:val="20"/>
                <w:szCs w:val="20"/>
              </w:rPr>
            </w:pPr>
          </w:p>
        </w:tc>
        <w:tc>
          <w:tcPr>
            <w:tcW w:w="5" w:type="pct"/>
            <w:vAlign w:val="center"/>
            <w:hideMark/>
          </w:tcPr>
          <w:p w14:paraId="6B7C30D6" w14:textId="77777777" w:rsidR="00000000" w:rsidRDefault="00A173A8">
            <w:pPr>
              <w:spacing w:after="100"/>
              <w:rPr>
                <w:rFonts w:eastAsia="Times New Roman"/>
                <w:sz w:val="20"/>
                <w:szCs w:val="20"/>
              </w:rPr>
            </w:pPr>
          </w:p>
        </w:tc>
      </w:tr>
      <w:tr w:rsidR="00000000" w14:paraId="33A24377" w14:textId="77777777">
        <w:trPr>
          <w:divId w:val="1993635184"/>
        </w:trPr>
        <w:tc>
          <w:tcPr>
            <w:tcW w:w="0" w:type="auto"/>
            <w:gridSpan w:val="3"/>
            <w:tcMar>
              <w:top w:w="0" w:type="dxa"/>
              <w:left w:w="20" w:type="dxa"/>
              <w:bottom w:w="0" w:type="dxa"/>
              <w:right w:w="20" w:type="dxa"/>
            </w:tcMar>
            <w:vAlign w:val="center"/>
            <w:hideMark/>
          </w:tcPr>
          <w:p w14:paraId="0CE8AB2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FBD049" w14:textId="77777777" w:rsidR="00000000" w:rsidRDefault="00A173A8">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14:paraId="5B7272C9" w14:textId="77777777" w:rsidR="00000000" w:rsidRDefault="00A173A8">
            <w:pPr>
              <w:spacing w:after="100"/>
              <w:jc w:val="center"/>
              <w:rPr>
                <w:rFonts w:eastAsia="Times New Roman"/>
              </w:rPr>
            </w:pPr>
            <w:r>
              <w:rPr>
                <w:rFonts w:eastAsia="Times New Roman"/>
                <w:b/>
                <w:bCs/>
                <w:color w:val="000000"/>
                <w:sz w:val="15"/>
                <w:szCs w:val="15"/>
              </w:rPr>
              <w:t>December 31, 2021</w:t>
            </w:r>
          </w:p>
        </w:tc>
        <w:tc>
          <w:tcPr>
            <w:tcW w:w="0" w:type="auto"/>
            <w:vAlign w:val="center"/>
            <w:hideMark/>
          </w:tcPr>
          <w:p w14:paraId="50AA62EF" w14:textId="77777777" w:rsidR="00000000" w:rsidRDefault="00A173A8">
            <w:pPr>
              <w:spacing w:after="100"/>
              <w:rPr>
                <w:rFonts w:eastAsia="Times New Roman"/>
                <w:sz w:val="20"/>
                <w:szCs w:val="20"/>
              </w:rPr>
            </w:pPr>
          </w:p>
        </w:tc>
      </w:tr>
      <w:tr w:rsidR="00000000" w14:paraId="1AE5B1C0" w14:textId="77777777">
        <w:trPr>
          <w:divId w:val="1993635184"/>
        </w:trPr>
        <w:tc>
          <w:tcPr>
            <w:tcW w:w="0" w:type="auto"/>
            <w:gridSpan w:val="3"/>
            <w:tcMar>
              <w:top w:w="0" w:type="dxa"/>
              <w:left w:w="20" w:type="dxa"/>
              <w:bottom w:w="0" w:type="dxa"/>
              <w:right w:w="20" w:type="dxa"/>
            </w:tcMar>
            <w:vAlign w:val="center"/>
            <w:hideMark/>
          </w:tcPr>
          <w:p w14:paraId="7303017F"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55D5A19" w14:textId="77777777" w:rsidR="00000000" w:rsidRDefault="00A173A8">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14:paraId="79565FBF" w14:textId="77777777" w:rsidR="00000000" w:rsidRDefault="00A173A8">
            <w:pPr>
              <w:spacing w:after="100"/>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14:paraId="01A42D75"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27099C7"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C82A95"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165975"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7285A2" w14:textId="77777777" w:rsidR="00000000" w:rsidRDefault="00A173A8">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667D4272" w14:textId="77777777" w:rsidR="00000000" w:rsidRDefault="00A173A8">
            <w:pPr>
              <w:spacing w:after="100"/>
              <w:rPr>
                <w:rFonts w:eastAsia="Times New Roman"/>
                <w:sz w:val="20"/>
                <w:szCs w:val="20"/>
              </w:rPr>
            </w:pPr>
          </w:p>
        </w:tc>
        <w:tc>
          <w:tcPr>
            <w:tcW w:w="0" w:type="auto"/>
            <w:vAlign w:val="center"/>
            <w:hideMark/>
          </w:tcPr>
          <w:p w14:paraId="6E6B0683" w14:textId="77777777" w:rsidR="00000000" w:rsidRDefault="00A173A8">
            <w:pPr>
              <w:spacing w:after="100"/>
              <w:rPr>
                <w:rFonts w:eastAsia="Times New Roman"/>
                <w:sz w:val="20"/>
                <w:szCs w:val="20"/>
              </w:rPr>
            </w:pPr>
          </w:p>
        </w:tc>
      </w:tr>
      <w:tr w:rsidR="00000000" w14:paraId="73827697" w14:textId="77777777">
        <w:trPr>
          <w:divId w:val="1993635184"/>
        </w:trPr>
        <w:tc>
          <w:tcPr>
            <w:tcW w:w="0" w:type="auto"/>
            <w:gridSpan w:val="3"/>
            <w:tcBorders>
              <w:bottom w:val="single" w:sz="8" w:space="0" w:color="000000"/>
            </w:tcBorders>
            <w:tcMar>
              <w:top w:w="30" w:type="dxa"/>
              <w:left w:w="20" w:type="dxa"/>
              <w:bottom w:w="30" w:type="dxa"/>
              <w:right w:w="20" w:type="dxa"/>
            </w:tcMar>
            <w:vAlign w:val="bottom"/>
            <w:hideMark/>
          </w:tcPr>
          <w:p w14:paraId="78E0C46D" w14:textId="77777777" w:rsidR="00000000" w:rsidRDefault="00A173A8">
            <w:pPr>
              <w:spacing w:after="100"/>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14:paraId="61DC73D8"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55152F" w14:textId="77777777" w:rsidR="00000000" w:rsidRDefault="00A173A8">
            <w:pPr>
              <w:spacing w:after="100"/>
              <w:jc w:val="center"/>
              <w:rPr>
                <w:rFonts w:eastAsia="Times New Roman"/>
              </w:rPr>
            </w:pPr>
            <w:r>
              <w:rPr>
                <w:rFonts w:eastAsia="Times New Roman"/>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14:paraId="181AA59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1501CF9" w14:textId="77777777" w:rsidR="00000000" w:rsidRDefault="00A173A8">
            <w:pPr>
              <w:spacing w:after="100"/>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14:paraId="09746B5B"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2472EF1" w14:textId="77777777" w:rsidR="00000000" w:rsidRDefault="00A173A8">
            <w:pPr>
              <w:spacing w:after="100"/>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14:paraId="0FE0A5D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8465410" w14:textId="77777777" w:rsidR="00000000" w:rsidRDefault="00A173A8">
            <w:pPr>
              <w:spacing w:after="100"/>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14:paraId="7D13BD6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9571A12" w14:textId="77777777" w:rsidR="00000000" w:rsidRDefault="00A173A8">
            <w:pPr>
              <w:spacing w:after="100"/>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14:paraId="1D902126"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D5464FA" w14:textId="77777777" w:rsidR="00000000" w:rsidRDefault="00A173A8">
            <w:pPr>
              <w:spacing w:after="100"/>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14:paraId="69B2B12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743C379" w14:textId="77777777" w:rsidR="00000000" w:rsidRDefault="00A173A8">
            <w:pPr>
              <w:spacing w:after="100"/>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14:paraId="4DAEAE4E"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161CCC3" w14:textId="77777777" w:rsidR="00000000" w:rsidRDefault="00A173A8">
            <w:pPr>
              <w:spacing w:after="100"/>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14:paraId="5FF93A4B"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73E26D6" w14:textId="77777777" w:rsidR="00000000" w:rsidRDefault="00A173A8">
            <w:pPr>
              <w:spacing w:after="100"/>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14:paraId="2664C68C" w14:textId="77777777" w:rsidR="00000000" w:rsidRDefault="00A173A8">
            <w:pPr>
              <w:spacing w:after="100"/>
              <w:jc w:val="center"/>
              <w:rPr>
                <w:rFonts w:eastAsia="Times New Roman"/>
              </w:rPr>
            </w:pPr>
          </w:p>
        </w:tc>
        <w:tc>
          <w:tcPr>
            <w:tcW w:w="0" w:type="auto"/>
            <w:gridSpan w:val="2"/>
            <w:tcBorders>
              <w:bottom w:val="single" w:sz="8" w:space="0" w:color="000000"/>
            </w:tcBorders>
            <w:tcMar>
              <w:top w:w="30" w:type="dxa"/>
              <w:left w:w="20" w:type="dxa"/>
              <w:bottom w:w="30" w:type="dxa"/>
              <w:right w:w="20" w:type="dxa"/>
            </w:tcMar>
            <w:vAlign w:val="bottom"/>
            <w:hideMark/>
          </w:tcPr>
          <w:p w14:paraId="0321A46E" w14:textId="77777777" w:rsidR="00000000" w:rsidRDefault="00A173A8">
            <w:pPr>
              <w:spacing w:after="100"/>
              <w:jc w:val="center"/>
              <w:rPr>
                <w:rFonts w:eastAsia="Times New Roman"/>
              </w:rPr>
            </w:pPr>
            <w:r>
              <w:rPr>
                <w:rFonts w:eastAsia="Times New Roman"/>
                <w:b/>
                <w:bCs/>
                <w:color w:val="000000"/>
                <w:sz w:val="15"/>
                <w:szCs w:val="15"/>
              </w:rPr>
              <w:t>Total</w:t>
            </w:r>
          </w:p>
        </w:tc>
        <w:tc>
          <w:tcPr>
            <w:tcW w:w="0" w:type="auto"/>
            <w:vAlign w:val="center"/>
            <w:hideMark/>
          </w:tcPr>
          <w:p w14:paraId="3CADD2F3" w14:textId="77777777" w:rsidR="00000000" w:rsidRDefault="00A173A8">
            <w:pPr>
              <w:spacing w:after="100"/>
              <w:rPr>
                <w:rFonts w:eastAsia="Times New Roman"/>
                <w:sz w:val="20"/>
                <w:szCs w:val="20"/>
              </w:rPr>
            </w:pPr>
          </w:p>
        </w:tc>
      </w:tr>
      <w:tr w:rsidR="00000000" w14:paraId="643E4B6F" w14:textId="77777777">
        <w:trPr>
          <w:divId w:val="19936351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F0C662E" w14:textId="77777777" w:rsidR="00000000" w:rsidRDefault="00A173A8">
            <w:pPr>
              <w:spacing w:after="100"/>
              <w:divId w:val="1482237905"/>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9B8DF22"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54EEE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5DB55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027E8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BCFC8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3087B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D2FB3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FCBD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EDABE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E7E93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EB0DA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782A6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0027C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03067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1CB34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16FB9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BFBF2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15247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23E4D6"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110E9ADF" w14:textId="77777777" w:rsidR="00000000" w:rsidRDefault="00A173A8">
            <w:pPr>
              <w:spacing w:after="100"/>
              <w:rPr>
                <w:rFonts w:eastAsia="Times New Roman"/>
                <w:sz w:val="20"/>
                <w:szCs w:val="20"/>
              </w:rPr>
            </w:pPr>
          </w:p>
        </w:tc>
        <w:tc>
          <w:tcPr>
            <w:tcW w:w="0" w:type="auto"/>
            <w:vAlign w:val="center"/>
            <w:hideMark/>
          </w:tcPr>
          <w:p w14:paraId="7858082B" w14:textId="77777777" w:rsidR="00000000" w:rsidRDefault="00A173A8">
            <w:pPr>
              <w:spacing w:after="100"/>
              <w:rPr>
                <w:rFonts w:eastAsia="Times New Roman"/>
                <w:sz w:val="20"/>
                <w:szCs w:val="20"/>
              </w:rPr>
            </w:pPr>
          </w:p>
        </w:tc>
      </w:tr>
      <w:tr w:rsidR="00000000" w14:paraId="7C1AD583" w14:textId="77777777">
        <w:trPr>
          <w:divId w:val="1993635184"/>
        </w:trPr>
        <w:tc>
          <w:tcPr>
            <w:tcW w:w="0" w:type="auto"/>
            <w:gridSpan w:val="3"/>
            <w:shd w:val="clear" w:color="auto" w:fill="FFFFFF"/>
            <w:tcMar>
              <w:top w:w="30" w:type="dxa"/>
              <w:left w:w="155" w:type="dxa"/>
              <w:bottom w:w="30" w:type="dxa"/>
              <w:right w:w="20" w:type="dxa"/>
            </w:tcMar>
            <w:vAlign w:val="center"/>
            <w:hideMark/>
          </w:tcPr>
          <w:p w14:paraId="44E0DE3B" w14:textId="77777777" w:rsidR="00000000" w:rsidRDefault="00A173A8">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01BA4F69"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517A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EA525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64D1A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CCDB6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09B41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4DCC1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9C499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BF92D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707D3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81C1F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FADFA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63932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1094C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27B7A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BD986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8D52C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ACA90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DE49FD" w14:textId="77777777" w:rsidR="00000000" w:rsidRDefault="00A173A8">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14:paraId="38C948D3" w14:textId="77777777" w:rsidR="00000000" w:rsidRDefault="00A173A8">
            <w:pPr>
              <w:spacing w:after="100"/>
              <w:rPr>
                <w:rFonts w:eastAsia="Times New Roman"/>
                <w:sz w:val="20"/>
                <w:szCs w:val="20"/>
              </w:rPr>
            </w:pPr>
          </w:p>
        </w:tc>
        <w:tc>
          <w:tcPr>
            <w:tcW w:w="0" w:type="auto"/>
            <w:vAlign w:val="center"/>
            <w:hideMark/>
          </w:tcPr>
          <w:p w14:paraId="1CFB9F4C" w14:textId="77777777" w:rsidR="00000000" w:rsidRDefault="00A173A8">
            <w:pPr>
              <w:spacing w:after="100"/>
              <w:rPr>
                <w:rFonts w:eastAsia="Times New Roman"/>
                <w:sz w:val="20"/>
                <w:szCs w:val="20"/>
              </w:rPr>
            </w:pPr>
          </w:p>
        </w:tc>
      </w:tr>
      <w:tr w:rsidR="00A173A8" w14:paraId="3687CD37" w14:textId="77777777">
        <w:trPr>
          <w:divId w:val="1993635184"/>
        </w:trPr>
        <w:tc>
          <w:tcPr>
            <w:tcW w:w="0" w:type="auto"/>
            <w:gridSpan w:val="3"/>
            <w:shd w:val="clear" w:color="auto" w:fill="CCEEFF"/>
            <w:tcMar>
              <w:top w:w="30" w:type="dxa"/>
              <w:left w:w="380" w:type="dxa"/>
              <w:bottom w:w="30" w:type="dxa"/>
              <w:right w:w="20" w:type="dxa"/>
            </w:tcMar>
            <w:vAlign w:val="center"/>
            <w:hideMark/>
          </w:tcPr>
          <w:p w14:paraId="2C7DF78E" w14:textId="77777777" w:rsidR="00000000" w:rsidRDefault="00A173A8">
            <w:pPr>
              <w:spacing w:after="100"/>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14:paraId="778ECAE4"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C0A718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7B24D0A" w14:textId="77777777" w:rsidR="00000000" w:rsidRDefault="00A173A8">
            <w:pPr>
              <w:spacing w:after="100"/>
              <w:jc w:val="right"/>
              <w:rPr>
                <w:rFonts w:eastAsia="Times New Roman"/>
              </w:rPr>
            </w:pPr>
            <w:r>
              <w:rPr>
                <w:rFonts w:eastAsia="Times New Roman"/>
                <w:color w:val="000000"/>
                <w:sz w:val="18"/>
                <w:szCs w:val="18"/>
              </w:rPr>
              <w:t>6,590 </w:t>
            </w:r>
          </w:p>
        </w:tc>
        <w:tc>
          <w:tcPr>
            <w:tcW w:w="0" w:type="auto"/>
            <w:shd w:val="clear" w:color="auto" w:fill="CCEEFF"/>
            <w:tcMar>
              <w:top w:w="30" w:type="dxa"/>
              <w:left w:w="0" w:type="dxa"/>
              <w:bottom w:w="30" w:type="dxa"/>
              <w:right w:w="20" w:type="dxa"/>
            </w:tcMar>
            <w:vAlign w:val="center"/>
            <w:hideMark/>
          </w:tcPr>
          <w:p w14:paraId="0E42624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C1427E"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820A98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8154E88" w14:textId="77777777" w:rsidR="00000000" w:rsidRDefault="00A173A8">
            <w:pPr>
              <w:spacing w:after="100"/>
              <w:jc w:val="right"/>
              <w:rPr>
                <w:rFonts w:eastAsia="Times New Roman"/>
              </w:rPr>
            </w:pPr>
            <w:r>
              <w:rPr>
                <w:rFonts w:eastAsia="Times New Roman"/>
                <w:color w:val="000000"/>
                <w:sz w:val="18"/>
                <w:szCs w:val="18"/>
              </w:rPr>
              <w:t>2,924 </w:t>
            </w:r>
          </w:p>
        </w:tc>
        <w:tc>
          <w:tcPr>
            <w:tcW w:w="0" w:type="auto"/>
            <w:shd w:val="clear" w:color="auto" w:fill="CCEEFF"/>
            <w:tcMar>
              <w:top w:w="30" w:type="dxa"/>
              <w:left w:w="0" w:type="dxa"/>
              <w:bottom w:w="30" w:type="dxa"/>
              <w:right w:w="20" w:type="dxa"/>
            </w:tcMar>
            <w:vAlign w:val="center"/>
            <w:hideMark/>
          </w:tcPr>
          <w:p w14:paraId="547275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BFF05"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B134C7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E694F6A" w14:textId="77777777" w:rsidR="00000000" w:rsidRDefault="00A173A8">
            <w:pPr>
              <w:spacing w:after="100"/>
              <w:jc w:val="right"/>
              <w:rPr>
                <w:rFonts w:eastAsia="Times New Roman"/>
              </w:rPr>
            </w:pPr>
            <w:r>
              <w:rPr>
                <w:rFonts w:eastAsia="Times New Roman"/>
                <w:color w:val="000000"/>
                <w:sz w:val="18"/>
                <w:szCs w:val="18"/>
              </w:rPr>
              <w:t>3,393 </w:t>
            </w:r>
          </w:p>
        </w:tc>
        <w:tc>
          <w:tcPr>
            <w:tcW w:w="0" w:type="auto"/>
            <w:shd w:val="clear" w:color="auto" w:fill="CCEEFF"/>
            <w:tcMar>
              <w:top w:w="30" w:type="dxa"/>
              <w:left w:w="0" w:type="dxa"/>
              <w:bottom w:w="30" w:type="dxa"/>
              <w:right w:w="20" w:type="dxa"/>
            </w:tcMar>
            <w:vAlign w:val="center"/>
            <w:hideMark/>
          </w:tcPr>
          <w:p w14:paraId="59187B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EC5AB"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801EEB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D2FA1CC" w14:textId="77777777" w:rsidR="00000000" w:rsidRDefault="00A173A8">
            <w:pPr>
              <w:spacing w:after="100"/>
              <w:jc w:val="right"/>
              <w:rPr>
                <w:rFonts w:eastAsia="Times New Roman"/>
              </w:rPr>
            </w:pPr>
            <w:r>
              <w:rPr>
                <w:rFonts w:eastAsia="Times New Roman"/>
                <w:color w:val="000000"/>
                <w:sz w:val="18"/>
                <w:szCs w:val="18"/>
              </w:rPr>
              <w:t>2,401 </w:t>
            </w:r>
          </w:p>
        </w:tc>
        <w:tc>
          <w:tcPr>
            <w:tcW w:w="0" w:type="auto"/>
            <w:shd w:val="clear" w:color="auto" w:fill="CCEEFF"/>
            <w:tcMar>
              <w:top w:w="30" w:type="dxa"/>
              <w:left w:w="0" w:type="dxa"/>
              <w:bottom w:w="30" w:type="dxa"/>
              <w:right w:w="20" w:type="dxa"/>
            </w:tcMar>
            <w:vAlign w:val="center"/>
            <w:hideMark/>
          </w:tcPr>
          <w:p w14:paraId="675ED53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785F6"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34B116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1E83B06" w14:textId="77777777" w:rsidR="00000000" w:rsidRDefault="00A173A8">
            <w:pPr>
              <w:spacing w:after="100"/>
              <w:jc w:val="right"/>
              <w:rPr>
                <w:rFonts w:eastAsia="Times New Roman"/>
              </w:rPr>
            </w:pPr>
            <w:r>
              <w:rPr>
                <w:rFonts w:eastAsia="Times New Roman"/>
                <w:color w:val="000000"/>
                <w:sz w:val="18"/>
                <w:szCs w:val="18"/>
              </w:rPr>
              <w:t>793 </w:t>
            </w:r>
          </w:p>
        </w:tc>
        <w:tc>
          <w:tcPr>
            <w:tcW w:w="0" w:type="auto"/>
            <w:shd w:val="clear" w:color="auto" w:fill="CCEEFF"/>
            <w:tcMar>
              <w:top w:w="30" w:type="dxa"/>
              <w:left w:w="0" w:type="dxa"/>
              <w:bottom w:w="30" w:type="dxa"/>
              <w:right w:w="20" w:type="dxa"/>
            </w:tcMar>
            <w:vAlign w:val="center"/>
            <w:hideMark/>
          </w:tcPr>
          <w:p w14:paraId="452D000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75593"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94AE65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97417DC" w14:textId="77777777" w:rsidR="00000000" w:rsidRDefault="00A173A8">
            <w:pPr>
              <w:spacing w:after="100"/>
              <w:jc w:val="right"/>
              <w:rPr>
                <w:rFonts w:eastAsia="Times New Roman"/>
              </w:rPr>
            </w:pPr>
            <w:r>
              <w:rPr>
                <w:rFonts w:eastAsia="Times New Roman"/>
                <w:color w:val="000000"/>
                <w:sz w:val="18"/>
                <w:szCs w:val="18"/>
              </w:rPr>
              <w:t>3,538 </w:t>
            </w:r>
          </w:p>
        </w:tc>
        <w:tc>
          <w:tcPr>
            <w:tcW w:w="0" w:type="auto"/>
            <w:shd w:val="clear" w:color="auto" w:fill="CCEEFF"/>
            <w:tcMar>
              <w:top w:w="30" w:type="dxa"/>
              <w:left w:w="0" w:type="dxa"/>
              <w:bottom w:w="30" w:type="dxa"/>
              <w:right w:w="20" w:type="dxa"/>
            </w:tcMar>
            <w:vAlign w:val="center"/>
            <w:hideMark/>
          </w:tcPr>
          <w:p w14:paraId="25C434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C788B"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C19552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2E54962" w14:textId="77777777" w:rsidR="00000000" w:rsidRDefault="00A173A8">
            <w:pPr>
              <w:spacing w:after="100"/>
              <w:jc w:val="right"/>
              <w:rPr>
                <w:rFonts w:eastAsia="Times New Roman"/>
              </w:rPr>
            </w:pPr>
            <w:r>
              <w:rPr>
                <w:rFonts w:eastAsia="Times New Roman"/>
                <w:color w:val="000000"/>
                <w:sz w:val="18"/>
                <w:szCs w:val="18"/>
              </w:rPr>
              <w:t>19,639 </w:t>
            </w:r>
          </w:p>
        </w:tc>
        <w:tc>
          <w:tcPr>
            <w:tcW w:w="0" w:type="auto"/>
            <w:shd w:val="clear" w:color="auto" w:fill="CCEEFF"/>
            <w:tcMar>
              <w:top w:w="30" w:type="dxa"/>
              <w:left w:w="0" w:type="dxa"/>
              <w:bottom w:w="30" w:type="dxa"/>
              <w:right w:w="20" w:type="dxa"/>
            </w:tcMar>
            <w:vAlign w:val="center"/>
            <w:hideMark/>
          </w:tcPr>
          <w:p w14:paraId="713D0A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D3D51"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5B6383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A98B156" w14:textId="77777777" w:rsidR="00000000" w:rsidRDefault="00A173A8">
            <w:pPr>
              <w:spacing w:after="100"/>
              <w:jc w:val="right"/>
              <w:rPr>
                <w:rFonts w:eastAsia="Times New Roman"/>
              </w:rPr>
            </w:pPr>
            <w:r>
              <w:rPr>
                <w:rFonts w:eastAsia="Times New Roman"/>
                <w:color w:val="000000"/>
                <w:sz w:val="18"/>
                <w:szCs w:val="18"/>
              </w:rPr>
              <w:t>12,286 </w:t>
            </w:r>
          </w:p>
        </w:tc>
        <w:tc>
          <w:tcPr>
            <w:tcW w:w="0" w:type="auto"/>
            <w:shd w:val="clear" w:color="auto" w:fill="CCEEFF"/>
            <w:tcMar>
              <w:top w:w="30" w:type="dxa"/>
              <w:left w:w="0" w:type="dxa"/>
              <w:bottom w:w="30" w:type="dxa"/>
              <w:right w:w="20" w:type="dxa"/>
            </w:tcMar>
            <w:vAlign w:val="center"/>
            <w:hideMark/>
          </w:tcPr>
          <w:p w14:paraId="5ED8120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84B98"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4B8D0C5"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12E0B81"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E7C29F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626A87"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69DA4AB"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8C3160D" w14:textId="77777777" w:rsidR="00000000" w:rsidRDefault="00A173A8">
            <w:pPr>
              <w:spacing w:after="100"/>
              <w:jc w:val="right"/>
              <w:rPr>
                <w:rFonts w:eastAsia="Times New Roman"/>
              </w:rPr>
            </w:pPr>
            <w:r>
              <w:rPr>
                <w:rFonts w:eastAsia="Times New Roman"/>
                <w:color w:val="000000"/>
                <w:sz w:val="18"/>
                <w:szCs w:val="18"/>
              </w:rPr>
              <w:t>31,925 </w:t>
            </w:r>
          </w:p>
        </w:tc>
        <w:tc>
          <w:tcPr>
            <w:tcW w:w="0" w:type="auto"/>
            <w:shd w:val="clear" w:color="auto" w:fill="CCEEFF"/>
            <w:tcMar>
              <w:top w:w="30" w:type="dxa"/>
              <w:left w:w="0" w:type="dxa"/>
              <w:bottom w:w="30" w:type="dxa"/>
              <w:right w:w="20" w:type="dxa"/>
            </w:tcMar>
            <w:vAlign w:val="center"/>
            <w:hideMark/>
          </w:tcPr>
          <w:p w14:paraId="7F31DA11" w14:textId="77777777" w:rsidR="00000000" w:rsidRDefault="00A173A8">
            <w:pPr>
              <w:spacing w:after="100"/>
              <w:jc w:val="right"/>
              <w:rPr>
                <w:rFonts w:eastAsia="Times New Roman"/>
              </w:rPr>
            </w:pPr>
          </w:p>
        </w:tc>
      </w:tr>
      <w:tr w:rsidR="00A173A8" w14:paraId="6BC6ADBB" w14:textId="77777777">
        <w:trPr>
          <w:divId w:val="1993635184"/>
        </w:trPr>
        <w:tc>
          <w:tcPr>
            <w:tcW w:w="0" w:type="auto"/>
            <w:gridSpan w:val="3"/>
            <w:shd w:val="clear" w:color="auto" w:fill="FFFFFF"/>
            <w:tcMar>
              <w:top w:w="30" w:type="dxa"/>
              <w:left w:w="380" w:type="dxa"/>
              <w:bottom w:w="30" w:type="dxa"/>
              <w:right w:w="20" w:type="dxa"/>
            </w:tcMar>
            <w:vAlign w:val="center"/>
            <w:hideMark/>
          </w:tcPr>
          <w:p w14:paraId="12D88762" w14:textId="77777777" w:rsidR="00000000" w:rsidRDefault="00A173A8">
            <w:pPr>
              <w:spacing w:after="100"/>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14:paraId="17CE6A4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4CF2D88" w14:textId="77777777" w:rsidR="00000000" w:rsidRDefault="00A173A8">
            <w:pPr>
              <w:spacing w:after="100"/>
              <w:jc w:val="right"/>
              <w:rPr>
                <w:rFonts w:eastAsia="Times New Roman"/>
              </w:rPr>
            </w:pPr>
            <w:r>
              <w:rPr>
                <w:rFonts w:eastAsia="Times New Roman"/>
                <w:color w:val="000000"/>
                <w:sz w:val="18"/>
                <w:szCs w:val="18"/>
              </w:rPr>
              <w:t>248 </w:t>
            </w:r>
          </w:p>
        </w:tc>
        <w:tc>
          <w:tcPr>
            <w:tcW w:w="0" w:type="auto"/>
            <w:shd w:val="clear" w:color="auto" w:fill="FFFFFF"/>
            <w:tcMar>
              <w:top w:w="30" w:type="dxa"/>
              <w:left w:w="0" w:type="dxa"/>
              <w:bottom w:w="30" w:type="dxa"/>
              <w:right w:w="20" w:type="dxa"/>
            </w:tcMar>
            <w:vAlign w:val="center"/>
            <w:hideMark/>
          </w:tcPr>
          <w:p w14:paraId="7B12A62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D07A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9B5147" w14:textId="77777777" w:rsidR="00000000" w:rsidRDefault="00A173A8">
            <w:pPr>
              <w:spacing w:after="100"/>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center"/>
            <w:hideMark/>
          </w:tcPr>
          <w:p w14:paraId="798A192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F42A3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043E3F" w14:textId="77777777" w:rsidR="00000000" w:rsidRDefault="00A173A8">
            <w:pPr>
              <w:spacing w:after="100"/>
              <w:jc w:val="right"/>
              <w:rPr>
                <w:rFonts w:eastAsia="Times New Roman"/>
              </w:rPr>
            </w:pPr>
            <w:r>
              <w:rPr>
                <w:rFonts w:eastAsia="Times New Roman"/>
                <w:color w:val="000000"/>
                <w:sz w:val="18"/>
                <w:szCs w:val="18"/>
              </w:rPr>
              <w:t>329 </w:t>
            </w:r>
          </w:p>
        </w:tc>
        <w:tc>
          <w:tcPr>
            <w:tcW w:w="0" w:type="auto"/>
            <w:shd w:val="clear" w:color="auto" w:fill="FFFFFF"/>
            <w:tcMar>
              <w:top w:w="30" w:type="dxa"/>
              <w:left w:w="0" w:type="dxa"/>
              <w:bottom w:w="30" w:type="dxa"/>
              <w:right w:w="20" w:type="dxa"/>
            </w:tcMar>
            <w:vAlign w:val="center"/>
            <w:hideMark/>
          </w:tcPr>
          <w:p w14:paraId="70D4CE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04E4F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D1C228" w14:textId="77777777" w:rsidR="00000000" w:rsidRDefault="00A173A8">
            <w:pPr>
              <w:spacing w:after="100"/>
              <w:jc w:val="right"/>
              <w:rPr>
                <w:rFonts w:eastAsia="Times New Roman"/>
              </w:rPr>
            </w:pPr>
            <w:r>
              <w:rPr>
                <w:rFonts w:eastAsia="Times New Roman"/>
                <w:color w:val="000000"/>
                <w:sz w:val="18"/>
                <w:szCs w:val="18"/>
              </w:rPr>
              <w:t>317 </w:t>
            </w:r>
          </w:p>
        </w:tc>
        <w:tc>
          <w:tcPr>
            <w:tcW w:w="0" w:type="auto"/>
            <w:shd w:val="clear" w:color="auto" w:fill="FFFFFF"/>
            <w:tcMar>
              <w:top w:w="30" w:type="dxa"/>
              <w:left w:w="0" w:type="dxa"/>
              <w:bottom w:w="30" w:type="dxa"/>
              <w:right w:w="20" w:type="dxa"/>
            </w:tcMar>
            <w:vAlign w:val="center"/>
            <w:hideMark/>
          </w:tcPr>
          <w:p w14:paraId="2F12693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B90B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CC851F" w14:textId="77777777" w:rsidR="00000000" w:rsidRDefault="00A173A8">
            <w:pPr>
              <w:spacing w:after="100"/>
              <w:jc w:val="right"/>
              <w:rPr>
                <w:rFonts w:eastAsia="Times New Roman"/>
              </w:rPr>
            </w:pPr>
            <w:r>
              <w:rPr>
                <w:rFonts w:eastAsia="Times New Roman"/>
                <w:color w:val="000000"/>
                <w:sz w:val="18"/>
                <w:szCs w:val="18"/>
              </w:rPr>
              <w:t>261 </w:t>
            </w:r>
          </w:p>
        </w:tc>
        <w:tc>
          <w:tcPr>
            <w:tcW w:w="0" w:type="auto"/>
            <w:shd w:val="clear" w:color="auto" w:fill="FFFFFF"/>
            <w:tcMar>
              <w:top w:w="30" w:type="dxa"/>
              <w:left w:w="0" w:type="dxa"/>
              <w:bottom w:w="30" w:type="dxa"/>
              <w:right w:w="20" w:type="dxa"/>
            </w:tcMar>
            <w:vAlign w:val="center"/>
            <w:hideMark/>
          </w:tcPr>
          <w:p w14:paraId="581B9D7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41E8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C48534" w14:textId="77777777" w:rsidR="00000000" w:rsidRDefault="00A173A8">
            <w:pPr>
              <w:spacing w:after="100"/>
              <w:jc w:val="right"/>
              <w:rPr>
                <w:rFonts w:eastAsia="Times New Roman"/>
              </w:rPr>
            </w:pPr>
            <w:r>
              <w:rPr>
                <w:rFonts w:eastAsia="Times New Roman"/>
                <w:color w:val="000000"/>
                <w:sz w:val="18"/>
                <w:szCs w:val="18"/>
              </w:rPr>
              <w:t>1,478 </w:t>
            </w:r>
          </w:p>
        </w:tc>
        <w:tc>
          <w:tcPr>
            <w:tcW w:w="0" w:type="auto"/>
            <w:shd w:val="clear" w:color="auto" w:fill="FFFFFF"/>
            <w:tcMar>
              <w:top w:w="30" w:type="dxa"/>
              <w:left w:w="0" w:type="dxa"/>
              <w:bottom w:w="30" w:type="dxa"/>
              <w:right w:w="20" w:type="dxa"/>
            </w:tcMar>
            <w:vAlign w:val="center"/>
            <w:hideMark/>
          </w:tcPr>
          <w:p w14:paraId="5136D3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4AF47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920852" w14:textId="77777777" w:rsidR="00000000" w:rsidRDefault="00A173A8">
            <w:pPr>
              <w:spacing w:after="100"/>
              <w:jc w:val="right"/>
              <w:rPr>
                <w:rFonts w:eastAsia="Times New Roman"/>
              </w:rPr>
            </w:pPr>
            <w:r>
              <w:rPr>
                <w:rFonts w:eastAsia="Times New Roman"/>
                <w:color w:val="000000"/>
                <w:sz w:val="18"/>
                <w:szCs w:val="18"/>
              </w:rPr>
              <w:t>2,828 </w:t>
            </w:r>
          </w:p>
        </w:tc>
        <w:tc>
          <w:tcPr>
            <w:tcW w:w="0" w:type="auto"/>
            <w:shd w:val="clear" w:color="auto" w:fill="FFFFFF"/>
            <w:tcMar>
              <w:top w:w="30" w:type="dxa"/>
              <w:left w:w="0" w:type="dxa"/>
              <w:bottom w:w="30" w:type="dxa"/>
              <w:right w:w="20" w:type="dxa"/>
            </w:tcMar>
            <w:vAlign w:val="center"/>
            <w:hideMark/>
          </w:tcPr>
          <w:p w14:paraId="325612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BA58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D9C571" w14:textId="77777777" w:rsidR="00000000" w:rsidRDefault="00A173A8">
            <w:pPr>
              <w:spacing w:after="100"/>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center"/>
            <w:hideMark/>
          </w:tcPr>
          <w:p w14:paraId="55786F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6D4B8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F63A60" w14:textId="77777777" w:rsidR="00000000" w:rsidRDefault="00A173A8">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14:paraId="782A5C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13C1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DB6538" w14:textId="77777777" w:rsidR="00000000" w:rsidRDefault="00A173A8">
            <w:pPr>
              <w:spacing w:after="100"/>
              <w:jc w:val="right"/>
              <w:rPr>
                <w:rFonts w:eastAsia="Times New Roman"/>
              </w:rPr>
            </w:pPr>
            <w:r>
              <w:rPr>
                <w:rFonts w:eastAsia="Times New Roman"/>
                <w:color w:val="000000"/>
                <w:sz w:val="18"/>
                <w:szCs w:val="18"/>
              </w:rPr>
              <w:t>2,954 </w:t>
            </w:r>
          </w:p>
        </w:tc>
        <w:tc>
          <w:tcPr>
            <w:tcW w:w="0" w:type="auto"/>
            <w:shd w:val="clear" w:color="auto" w:fill="FFFFFF"/>
            <w:tcMar>
              <w:top w:w="30" w:type="dxa"/>
              <w:left w:w="0" w:type="dxa"/>
              <w:bottom w:w="30" w:type="dxa"/>
              <w:right w:w="20" w:type="dxa"/>
            </w:tcMar>
            <w:vAlign w:val="center"/>
            <w:hideMark/>
          </w:tcPr>
          <w:p w14:paraId="16C702E4" w14:textId="77777777" w:rsidR="00000000" w:rsidRDefault="00A173A8">
            <w:pPr>
              <w:spacing w:after="100"/>
              <w:jc w:val="right"/>
              <w:rPr>
                <w:rFonts w:eastAsia="Times New Roman"/>
              </w:rPr>
            </w:pPr>
          </w:p>
        </w:tc>
      </w:tr>
      <w:tr w:rsidR="00A173A8" w14:paraId="35C30CC3" w14:textId="77777777">
        <w:trPr>
          <w:divId w:val="1993635184"/>
        </w:trPr>
        <w:tc>
          <w:tcPr>
            <w:tcW w:w="0" w:type="auto"/>
            <w:gridSpan w:val="3"/>
            <w:shd w:val="clear" w:color="auto" w:fill="CCEEFF"/>
            <w:tcMar>
              <w:top w:w="30" w:type="dxa"/>
              <w:left w:w="380" w:type="dxa"/>
              <w:bottom w:w="30" w:type="dxa"/>
              <w:right w:w="20" w:type="dxa"/>
            </w:tcMar>
            <w:vAlign w:val="center"/>
            <w:hideMark/>
          </w:tcPr>
          <w:p w14:paraId="4003D505" w14:textId="77777777" w:rsidR="00000000" w:rsidRDefault="00A173A8">
            <w:pPr>
              <w:spacing w:after="100"/>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14:paraId="6E1004D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796BF1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D2EA40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8BC4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3BA7C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F9FD7F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2D807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A72031" w14:textId="77777777" w:rsidR="00000000" w:rsidRDefault="00A173A8">
            <w:pPr>
              <w:spacing w:after="100"/>
              <w:jc w:val="right"/>
              <w:rPr>
                <w:rFonts w:eastAsia="Times New Roman"/>
              </w:rPr>
            </w:pPr>
            <w:r>
              <w:rPr>
                <w:rFonts w:eastAsia="Times New Roman"/>
                <w:color w:val="000000"/>
                <w:sz w:val="18"/>
                <w:szCs w:val="18"/>
              </w:rPr>
              <w:t>88 </w:t>
            </w:r>
          </w:p>
        </w:tc>
        <w:tc>
          <w:tcPr>
            <w:tcW w:w="0" w:type="auto"/>
            <w:shd w:val="clear" w:color="auto" w:fill="CCEEFF"/>
            <w:tcMar>
              <w:top w:w="30" w:type="dxa"/>
              <w:left w:w="0" w:type="dxa"/>
              <w:bottom w:w="30" w:type="dxa"/>
              <w:right w:w="20" w:type="dxa"/>
            </w:tcMar>
            <w:vAlign w:val="center"/>
            <w:hideMark/>
          </w:tcPr>
          <w:p w14:paraId="548AB70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CE02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506374" w14:textId="77777777" w:rsidR="00000000" w:rsidRDefault="00A173A8">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14:paraId="58043B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7C99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7DB20C" w14:textId="77777777" w:rsidR="00000000" w:rsidRDefault="00A173A8">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14:paraId="24244A6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8302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6C5256" w14:textId="77777777" w:rsidR="00000000" w:rsidRDefault="00A173A8">
            <w:pPr>
              <w:spacing w:after="100"/>
              <w:jc w:val="right"/>
              <w:rPr>
                <w:rFonts w:eastAsia="Times New Roman"/>
              </w:rPr>
            </w:pPr>
            <w:r>
              <w:rPr>
                <w:rFonts w:eastAsia="Times New Roman"/>
                <w:color w:val="000000"/>
                <w:sz w:val="18"/>
                <w:szCs w:val="18"/>
              </w:rPr>
              <w:t>266 </w:t>
            </w:r>
          </w:p>
        </w:tc>
        <w:tc>
          <w:tcPr>
            <w:tcW w:w="0" w:type="auto"/>
            <w:shd w:val="clear" w:color="auto" w:fill="CCEEFF"/>
            <w:tcMar>
              <w:top w:w="30" w:type="dxa"/>
              <w:left w:w="0" w:type="dxa"/>
              <w:bottom w:w="30" w:type="dxa"/>
              <w:right w:w="20" w:type="dxa"/>
            </w:tcMar>
            <w:vAlign w:val="center"/>
            <w:hideMark/>
          </w:tcPr>
          <w:p w14:paraId="699F84F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D85E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CC7886D" w14:textId="77777777" w:rsidR="00000000" w:rsidRDefault="00A173A8">
            <w:pPr>
              <w:spacing w:after="100"/>
              <w:jc w:val="right"/>
              <w:rPr>
                <w:rFonts w:eastAsia="Times New Roman"/>
              </w:rPr>
            </w:pPr>
            <w:r>
              <w:rPr>
                <w:rFonts w:eastAsia="Times New Roman"/>
                <w:color w:val="000000"/>
                <w:sz w:val="18"/>
                <w:szCs w:val="18"/>
              </w:rPr>
              <w:t>383 </w:t>
            </w:r>
          </w:p>
        </w:tc>
        <w:tc>
          <w:tcPr>
            <w:tcW w:w="0" w:type="auto"/>
            <w:shd w:val="clear" w:color="auto" w:fill="CCEEFF"/>
            <w:tcMar>
              <w:top w:w="30" w:type="dxa"/>
              <w:left w:w="0" w:type="dxa"/>
              <w:bottom w:w="30" w:type="dxa"/>
              <w:right w:w="20" w:type="dxa"/>
            </w:tcMar>
            <w:vAlign w:val="center"/>
            <w:hideMark/>
          </w:tcPr>
          <w:p w14:paraId="7DC981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37B8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561E2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DCF24D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C53D2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C89E7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E753BF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B282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9173A8" w14:textId="77777777" w:rsidR="00000000" w:rsidRDefault="00A173A8">
            <w:pPr>
              <w:spacing w:after="100"/>
              <w:jc w:val="right"/>
              <w:rPr>
                <w:rFonts w:eastAsia="Times New Roman"/>
              </w:rPr>
            </w:pPr>
            <w:r>
              <w:rPr>
                <w:rFonts w:eastAsia="Times New Roman"/>
                <w:color w:val="000000"/>
                <w:sz w:val="18"/>
                <w:szCs w:val="18"/>
              </w:rPr>
              <w:t>383 </w:t>
            </w:r>
          </w:p>
        </w:tc>
        <w:tc>
          <w:tcPr>
            <w:tcW w:w="0" w:type="auto"/>
            <w:shd w:val="clear" w:color="auto" w:fill="CCEEFF"/>
            <w:tcMar>
              <w:top w:w="30" w:type="dxa"/>
              <w:left w:w="0" w:type="dxa"/>
              <w:bottom w:w="30" w:type="dxa"/>
              <w:right w:w="20" w:type="dxa"/>
            </w:tcMar>
            <w:vAlign w:val="center"/>
            <w:hideMark/>
          </w:tcPr>
          <w:p w14:paraId="4A0ED30A" w14:textId="77777777" w:rsidR="00000000" w:rsidRDefault="00A173A8">
            <w:pPr>
              <w:spacing w:after="100"/>
              <w:jc w:val="right"/>
              <w:rPr>
                <w:rFonts w:eastAsia="Times New Roman"/>
              </w:rPr>
            </w:pPr>
          </w:p>
        </w:tc>
      </w:tr>
      <w:tr w:rsidR="00A173A8" w14:paraId="3696C016" w14:textId="77777777">
        <w:trPr>
          <w:divId w:val="1993635184"/>
        </w:trPr>
        <w:tc>
          <w:tcPr>
            <w:tcW w:w="0" w:type="auto"/>
            <w:gridSpan w:val="3"/>
            <w:shd w:val="clear" w:color="auto" w:fill="FFFFFF"/>
            <w:tcMar>
              <w:top w:w="30" w:type="dxa"/>
              <w:left w:w="245" w:type="dxa"/>
              <w:bottom w:w="30" w:type="dxa"/>
              <w:right w:w="20" w:type="dxa"/>
            </w:tcMar>
            <w:vAlign w:val="center"/>
            <w:hideMark/>
          </w:tcPr>
          <w:p w14:paraId="16CD5E6C" w14:textId="77777777" w:rsidR="00000000" w:rsidRDefault="00A173A8">
            <w:pPr>
              <w:spacing w:after="100"/>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14:paraId="5FAC16F2"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F92737" w14:textId="77777777" w:rsidR="00000000" w:rsidRDefault="00A173A8">
            <w:pPr>
              <w:spacing w:after="100"/>
              <w:jc w:val="right"/>
              <w:rPr>
                <w:rFonts w:eastAsia="Times New Roman"/>
              </w:rPr>
            </w:pPr>
            <w:r>
              <w:rPr>
                <w:rFonts w:eastAsia="Times New Roman"/>
                <w:color w:val="000000"/>
                <w:sz w:val="18"/>
                <w:szCs w:val="18"/>
              </w:rPr>
              <w:t>6,838 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6258F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FD1DA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687D64" w14:textId="77777777" w:rsidR="00000000" w:rsidRDefault="00A173A8">
            <w:pPr>
              <w:spacing w:after="100"/>
              <w:jc w:val="right"/>
              <w:rPr>
                <w:rFonts w:eastAsia="Times New Roman"/>
              </w:rPr>
            </w:pPr>
            <w:r>
              <w:rPr>
                <w:rFonts w:eastAsia="Times New Roman"/>
                <w:color w:val="000000"/>
                <w:sz w:val="18"/>
                <w:szCs w:val="18"/>
              </w:rPr>
              <w:t>3,119 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9F55B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85F5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5F65BB" w14:textId="77777777" w:rsidR="00000000" w:rsidRDefault="00A173A8">
            <w:pPr>
              <w:spacing w:after="100"/>
              <w:jc w:val="right"/>
              <w:rPr>
                <w:rFonts w:eastAsia="Times New Roman"/>
              </w:rPr>
            </w:pPr>
            <w:r>
              <w:rPr>
                <w:rFonts w:eastAsia="Times New Roman"/>
                <w:color w:val="000000"/>
                <w:sz w:val="18"/>
                <w:szCs w:val="18"/>
              </w:rPr>
              <w:t>3,810 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CE5C7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E67E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A3BD0A" w14:textId="77777777" w:rsidR="00000000" w:rsidRDefault="00A173A8">
            <w:pPr>
              <w:spacing w:after="100"/>
              <w:jc w:val="right"/>
              <w:rPr>
                <w:rFonts w:eastAsia="Times New Roman"/>
              </w:rPr>
            </w:pPr>
            <w:r>
              <w:rPr>
                <w:rFonts w:eastAsia="Times New Roman"/>
                <w:color w:val="000000"/>
                <w:sz w:val="18"/>
                <w:szCs w:val="18"/>
              </w:rPr>
              <w:t>2,738 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97F91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C5DC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BE71E8B" w14:textId="77777777" w:rsidR="00000000" w:rsidRDefault="00A173A8">
            <w:pPr>
              <w:spacing w:after="100"/>
              <w:jc w:val="right"/>
              <w:rPr>
                <w:rFonts w:eastAsia="Times New Roman"/>
              </w:rPr>
            </w:pPr>
            <w:r>
              <w:rPr>
                <w:rFonts w:eastAsia="Times New Roman"/>
                <w:color w:val="000000"/>
                <w:sz w:val="18"/>
                <w:szCs w:val="18"/>
              </w:rPr>
              <w:t>1,063 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8BA69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3D96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394FAB" w14:textId="77777777" w:rsidR="00000000" w:rsidRDefault="00A173A8">
            <w:pPr>
              <w:spacing w:after="100"/>
              <w:jc w:val="right"/>
              <w:rPr>
                <w:rFonts w:eastAsia="Times New Roman"/>
              </w:rPr>
            </w:pPr>
            <w:r>
              <w:rPr>
                <w:rFonts w:eastAsia="Times New Roman"/>
                <w:color w:val="000000"/>
                <w:sz w:val="18"/>
                <w:szCs w:val="18"/>
              </w:rPr>
              <w:t>5,282 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B20C8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97030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5C5D5E" w14:textId="77777777" w:rsidR="00000000" w:rsidRDefault="00A173A8">
            <w:pPr>
              <w:spacing w:after="100"/>
              <w:jc w:val="right"/>
              <w:rPr>
                <w:rFonts w:eastAsia="Times New Roman"/>
              </w:rPr>
            </w:pPr>
            <w:r>
              <w:rPr>
                <w:rFonts w:eastAsia="Times New Roman"/>
                <w:color w:val="000000"/>
                <w:sz w:val="18"/>
                <w:szCs w:val="18"/>
              </w:rPr>
              <w:t>22,850 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76A49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5B6C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911241" w14:textId="77777777" w:rsidR="00000000" w:rsidRDefault="00A173A8">
            <w:pPr>
              <w:spacing w:after="100"/>
              <w:jc w:val="right"/>
              <w:rPr>
                <w:rFonts w:eastAsia="Times New Roman"/>
              </w:rPr>
            </w:pPr>
            <w:r>
              <w:rPr>
                <w:rFonts w:eastAsia="Times New Roman"/>
                <w:color w:val="000000"/>
                <w:sz w:val="18"/>
                <w:szCs w:val="18"/>
              </w:rPr>
              <w:t>12,387 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76496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A4BE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6DECAE" w14:textId="77777777" w:rsidR="00000000" w:rsidRDefault="00A173A8">
            <w:pPr>
              <w:spacing w:after="100"/>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1D7EF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9BB21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0B6A86" w14:textId="77777777" w:rsidR="00000000" w:rsidRDefault="00A173A8">
            <w:pPr>
              <w:spacing w:after="100"/>
              <w:jc w:val="right"/>
              <w:rPr>
                <w:rFonts w:eastAsia="Times New Roman"/>
              </w:rPr>
            </w:pPr>
            <w:r>
              <w:rPr>
                <w:rFonts w:eastAsia="Times New Roman"/>
                <w:color w:val="000000"/>
                <w:sz w:val="18"/>
                <w:szCs w:val="18"/>
              </w:rPr>
              <w:t>35,262 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029EE7" w14:textId="77777777" w:rsidR="00000000" w:rsidRDefault="00A173A8">
            <w:pPr>
              <w:spacing w:after="100"/>
              <w:jc w:val="right"/>
              <w:rPr>
                <w:rFonts w:eastAsia="Times New Roman"/>
              </w:rPr>
            </w:pPr>
          </w:p>
        </w:tc>
      </w:tr>
      <w:tr w:rsidR="00000000" w14:paraId="5CA0E83A" w14:textId="77777777">
        <w:trPr>
          <w:divId w:val="1993635184"/>
        </w:trPr>
        <w:tc>
          <w:tcPr>
            <w:tcW w:w="0" w:type="auto"/>
            <w:gridSpan w:val="3"/>
            <w:shd w:val="clear" w:color="auto" w:fill="CCEEFF"/>
            <w:tcMar>
              <w:top w:w="30" w:type="dxa"/>
              <w:left w:w="155" w:type="dxa"/>
              <w:bottom w:w="30" w:type="dxa"/>
              <w:right w:w="20" w:type="dxa"/>
            </w:tcMar>
            <w:vAlign w:val="center"/>
            <w:hideMark/>
          </w:tcPr>
          <w:p w14:paraId="5053E05C" w14:textId="77777777" w:rsidR="00000000" w:rsidRDefault="00A173A8">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3CD3177E"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39101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2B41F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8E3AA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D132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857E8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53476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E7E04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94397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6E82F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A3600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A7B0A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30D4C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5FB58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C3D0B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2AB9D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288AA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5D0EA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08D80A"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2954E5B4" w14:textId="77777777" w:rsidR="00000000" w:rsidRDefault="00A173A8">
            <w:pPr>
              <w:spacing w:after="100"/>
              <w:rPr>
                <w:rFonts w:eastAsia="Times New Roman"/>
                <w:sz w:val="20"/>
                <w:szCs w:val="20"/>
              </w:rPr>
            </w:pPr>
          </w:p>
        </w:tc>
        <w:tc>
          <w:tcPr>
            <w:tcW w:w="0" w:type="auto"/>
            <w:vAlign w:val="center"/>
            <w:hideMark/>
          </w:tcPr>
          <w:p w14:paraId="38FCFDC9" w14:textId="77777777" w:rsidR="00000000" w:rsidRDefault="00A173A8">
            <w:pPr>
              <w:spacing w:after="100"/>
              <w:rPr>
                <w:rFonts w:eastAsia="Times New Roman"/>
                <w:sz w:val="20"/>
                <w:szCs w:val="20"/>
              </w:rPr>
            </w:pPr>
          </w:p>
        </w:tc>
      </w:tr>
      <w:tr w:rsidR="00A173A8" w14:paraId="0ABE5EBA" w14:textId="77777777">
        <w:trPr>
          <w:divId w:val="1993635184"/>
        </w:trPr>
        <w:tc>
          <w:tcPr>
            <w:tcW w:w="0" w:type="auto"/>
            <w:gridSpan w:val="3"/>
            <w:shd w:val="clear" w:color="auto" w:fill="FFFFFF"/>
            <w:tcMar>
              <w:top w:w="30" w:type="dxa"/>
              <w:left w:w="380" w:type="dxa"/>
              <w:bottom w:w="30" w:type="dxa"/>
              <w:right w:w="20" w:type="dxa"/>
            </w:tcMar>
            <w:vAlign w:val="center"/>
            <w:hideMark/>
          </w:tcPr>
          <w:p w14:paraId="23F9DB9A" w14:textId="77777777" w:rsidR="00000000" w:rsidRDefault="00A173A8">
            <w:pPr>
              <w:spacing w:after="100"/>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14:paraId="436A775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6702621" w14:textId="77777777" w:rsidR="00000000" w:rsidRDefault="00A173A8">
            <w:pPr>
              <w:spacing w:after="100"/>
              <w:jc w:val="right"/>
              <w:rPr>
                <w:rFonts w:eastAsia="Times New Roman"/>
              </w:rPr>
            </w:pPr>
            <w:r>
              <w:rPr>
                <w:rFonts w:eastAsia="Times New Roman"/>
                <w:color w:val="000000"/>
                <w:sz w:val="18"/>
                <w:szCs w:val="18"/>
              </w:rPr>
              <w:t>12,662 </w:t>
            </w:r>
          </w:p>
        </w:tc>
        <w:tc>
          <w:tcPr>
            <w:tcW w:w="0" w:type="auto"/>
            <w:shd w:val="clear" w:color="auto" w:fill="FFFFFF"/>
            <w:tcMar>
              <w:top w:w="30" w:type="dxa"/>
              <w:left w:w="0" w:type="dxa"/>
              <w:bottom w:w="30" w:type="dxa"/>
              <w:right w:w="20" w:type="dxa"/>
            </w:tcMar>
            <w:vAlign w:val="center"/>
            <w:hideMark/>
          </w:tcPr>
          <w:p w14:paraId="7773B9A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6D4B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3BA3EE" w14:textId="77777777" w:rsidR="00000000" w:rsidRDefault="00A173A8">
            <w:pPr>
              <w:spacing w:after="100"/>
              <w:jc w:val="right"/>
              <w:rPr>
                <w:rFonts w:eastAsia="Times New Roman"/>
              </w:rPr>
            </w:pPr>
            <w:r>
              <w:rPr>
                <w:rFonts w:eastAsia="Times New Roman"/>
                <w:color w:val="000000"/>
                <w:sz w:val="18"/>
                <w:szCs w:val="18"/>
              </w:rPr>
              <w:t>7,039 </w:t>
            </w:r>
          </w:p>
        </w:tc>
        <w:tc>
          <w:tcPr>
            <w:tcW w:w="0" w:type="auto"/>
            <w:shd w:val="clear" w:color="auto" w:fill="FFFFFF"/>
            <w:tcMar>
              <w:top w:w="30" w:type="dxa"/>
              <w:left w:w="0" w:type="dxa"/>
              <w:bottom w:w="30" w:type="dxa"/>
              <w:right w:w="20" w:type="dxa"/>
            </w:tcMar>
            <w:vAlign w:val="center"/>
            <w:hideMark/>
          </w:tcPr>
          <w:p w14:paraId="2F0CE2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526A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883173" w14:textId="77777777" w:rsidR="00000000" w:rsidRDefault="00A173A8">
            <w:pPr>
              <w:spacing w:after="100"/>
              <w:jc w:val="right"/>
              <w:rPr>
                <w:rFonts w:eastAsia="Times New Roman"/>
              </w:rPr>
            </w:pPr>
            <w:r>
              <w:rPr>
                <w:rFonts w:eastAsia="Times New Roman"/>
                <w:color w:val="000000"/>
                <w:sz w:val="18"/>
                <w:szCs w:val="18"/>
              </w:rPr>
              <w:t>5,506 </w:t>
            </w:r>
          </w:p>
        </w:tc>
        <w:tc>
          <w:tcPr>
            <w:tcW w:w="0" w:type="auto"/>
            <w:shd w:val="clear" w:color="auto" w:fill="FFFFFF"/>
            <w:tcMar>
              <w:top w:w="30" w:type="dxa"/>
              <w:left w:w="0" w:type="dxa"/>
              <w:bottom w:w="30" w:type="dxa"/>
              <w:right w:w="20" w:type="dxa"/>
            </w:tcMar>
            <w:vAlign w:val="center"/>
            <w:hideMark/>
          </w:tcPr>
          <w:p w14:paraId="56DDFAB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92F8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D03198" w14:textId="77777777" w:rsidR="00000000" w:rsidRDefault="00A173A8">
            <w:pPr>
              <w:spacing w:after="100"/>
              <w:jc w:val="right"/>
              <w:rPr>
                <w:rFonts w:eastAsia="Times New Roman"/>
              </w:rPr>
            </w:pPr>
            <w:r>
              <w:rPr>
                <w:rFonts w:eastAsia="Times New Roman"/>
                <w:color w:val="000000"/>
                <w:sz w:val="18"/>
                <w:szCs w:val="18"/>
              </w:rPr>
              <w:t>2,750 </w:t>
            </w:r>
          </w:p>
        </w:tc>
        <w:tc>
          <w:tcPr>
            <w:tcW w:w="0" w:type="auto"/>
            <w:shd w:val="clear" w:color="auto" w:fill="FFFFFF"/>
            <w:tcMar>
              <w:top w:w="30" w:type="dxa"/>
              <w:left w:w="0" w:type="dxa"/>
              <w:bottom w:w="30" w:type="dxa"/>
              <w:right w:w="20" w:type="dxa"/>
            </w:tcMar>
            <w:vAlign w:val="center"/>
            <w:hideMark/>
          </w:tcPr>
          <w:p w14:paraId="260B63D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318B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D7C885" w14:textId="77777777" w:rsidR="00000000" w:rsidRDefault="00A173A8">
            <w:pPr>
              <w:spacing w:after="100"/>
              <w:jc w:val="right"/>
              <w:rPr>
                <w:rFonts w:eastAsia="Times New Roman"/>
              </w:rPr>
            </w:pPr>
            <w:r>
              <w:rPr>
                <w:rFonts w:eastAsia="Times New Roman"/>
                <w:color w:val="000000"/>
                <w:sz w:val="18"/>
                <w:szCs w:val="18"/>
              </w:rPr>
              <w:t>1,730 </w:t>
            </w:r>
          </w:p>
        </w:tc>
        <w:tc>
          <w:tcPr>
            <w:tcW w:w="0" w:type="auto"/>
            <w:shd w:val="clear" w:color="auto" w:fill="FFFFFF"/>
            <w:tcMar>
              <w:top w:w="30" w:type="dxa"/>
              <w:left w:w="0" w:type="dxa"/>
              <w:bottom w:w="30" w:type="dxa"/>
              <w:right w:w="20" w:type="dxa"/>
            </w:tcMar>
            <w:vAlign w:val="center"/>
            <w:hideMark/>
          </w:tcPr>
          <w:p w14:paraId="2C347E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DEC7C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A2519E" w14:textId="77777777" w:rsidR="00000000" w:rsidRDefault="00A173A8">
            <w:pPr>
              <w:spacing w:after="100"/>
              <w:jc w:val="right"/>
              <w:rPr>
                <w:rFonts w:eastAsia="Times New Roman"/>
              </w:rPr>
            </w:pPr>
            <w:r>
              <w:rPr>
                <w:rFonts w:eastAsia="Times New Roman"/>
                <w:color w:val="000000"/>
                <w:sz w:val="18"/>
                <w:szCs w:val="18"/>
              </w:rPr>
              <w:t>3,033 </w:t>
            </w:r>
          </w:p>
        </w:tc>
        <w:tc>
          <w:tcPr>
            <w:tcW w:w="0" w:type="auto"/>
            <w:shd w:val="clear" w:color="auto" w:fill="FFFFFF"/>
            <w:tcMar>
              <w:top w:w="30" w:type="dxa"/>
              <w:left w:w="0" w:type="dxa"/>
              <w:bottom w:w="30" w:type="dxa"/>
              <w:right w:w="20" w:type="dxa"/>
            </w:tcMar>
            <w:vAlign w:val="center"/>
            <w:hideMark/>
          </w:tcPr>
          <w:p w14:paraId="6B21E2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8B7D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816348" w14:textId="77777777" w:rsidR="00000000" w:rsidRDefault="00A173A8">
            <w:pPr>
              <w:spacing w:after="100"/>
              <w:jc w:val="right"/>
              <w:rPr>
                <w:rFonts w:eastAsia="Times New Roman"/>
              </w:rPr>
            </w:pPr>
            <w:r>
              <w:rPr>
                <w:rFonts w:eastAsia="Times New Roman"/>
                <w:color w:val="000000"/>
                <w:sz w:val="18"/>
                <w:szCs w:val="18"/>
              </w:rPr>
              <w:t>32,720 </w:t>
            </w:r>
          </w:p>
        </w:tc>
        <w:tc>
          <w:tcPr>
            <w:tcW w:w="0" w:type="auto"/>
            <w:shd w:val="clear" w:color="auto" w:fill="FFFFFF"/>
            <w:tcMar>
              <w:top w:w="30" w:type="dxa"/>
              <w:left w:w="0" w:type="dxa"/>
              <w:bottom w:w="30" w:type="dxa"/>
              <w:right w:w="20" w:type="dxa"/>
            </w:tcMar>
            <w:vAlign w:val="center"/>
            <w:hideMark/>
          </w:tcPr>
          <w:p w14:paraId="21CAB9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AE5D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8F9B54" w14:textId="77777777" w:rsidR="00000000" w:rsidRDefault="00A173A8">
            <w:pPr>
              <w:spacing w:after="100"/>
              <w:jc w:val="right"/>
              <w:rPr>
                <w:rFonts w:eastAsia="Times New Roman"/>
              </w:rPr>
            </w:pPr>
            <w:r>
              <w:rPr>
                <w:rFonts w:eastAsia="Times New Roman"/>
                <w:color w:val="000000"/>
                <w:sz w:val="18"/>
                <w:szCs w:val="18"/>
              </w:rPr>
              <w:t>14,310 </w:t>
            </w:r>
          </w:p>
        </w:tc>
        <w:tc>
          <w:tcPr>
            <w:tcW w:w="0" w:type="auto"/>
            <w:shd w:val="clear" w:color="auto" w:fill="FFFFFF"/>
            <w:tcMar>
              <w:top w:w="30" w:type="dxa"/>
              <w:left w:w="0" w:type="dxa"/>
              <w:bottom w:w="30" w:type="dxa"/>
              <w:right w:w="20" w:type="dxa"/>
            </w:tcMar>
            <w:vAlign w:val="center"/>
            <w:hideMark/>
          </w:tcPr>
          <w:p w14:paraId="1746D1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CE393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759886" w14:textId="77777777" w:rsidR="00000000" w:rsidRDefault="00A173A8">
            <w:pPr>
              <w:spacing w:after="100"/>
              <w:jc w:val="right"/>
              <w:rPr>
                <w:rFonts w:eastAsia="Times New Roman"/>
              </w:rPr>
            </w:pPr>
            <w:r>
              <w:rPr>
                <w:rFonts w:eastAsia="Times New Roman"/>
                <w:color w:val="000000"/>
                <w:sz w:val="18"/>
                <w:szCs w:val="18"/>
              </w:rPr>
              <w:t>59 </w:t>
            </w:r>
          </w:p>
        </w:tc>
        <w:tc>
          <w:tcPr>
            <w:tcW w:w="0" w:type="auto"/>
            <w:shd w:val="clear" w:color="auto" w:fill="FFFFFF"/>
            <w:tcMar>
              <w:top w:w="30" w:type="dxa"/>
              <w:left w:w="0" w:type="dxa"/>
              <w:bottom w:w="30" w:type="dxa"/>
              <w:right w:w="20" w:type="dxa"/>
            </w:tcMar>
            <w:vAlign w:val="center"/>
            <w:hideMark/>
          </w:tcPr>
          <w:p w14:paraId="166900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3AB01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819E2C" w14:textId="77777777" w:rsidR="00000000" w:rsidRDefault="00A173A8">
            <w:pPr>
              <w:spacing w:after="100"/>
              <w:jc w:val="right"/>
              <w:rPr>
                <w:rFonts w:eastAsia="Times New Roman"/>
              </w:rPr>
            </w:pPr>
            <w:r>
              <w:rPr>
                <w:rFonts w:eastAsia="Times New Roman"/>
                <w:color w:val="000000"/>
                <w:sz w:val="18"/>
                <w:szCs w:val="18"/>
              </w:rPr>
              <w:t>47,089 </w:t>
            </w:r>
          </w:p>
        </w:tc>
        <w:tc>
          <w:tcPr>
            <w:tcW w:w="0" w:type="auto"/>
            <w:shd w:val="clear" w:color="auto" w:fill="FFFFFF"/>
            <w:tcMar>
              <w:top w:w="30" w:type="dxa"/>
              <w:left w:w="0" w:type="dxa"/>
              <w:bottom w:w="30" w:type="dxa"/>
              <w:right w:w="20" w:type="dxa"/>
            </w:tcMar>
            <w:vAlign w:val="center"/>
            <w:hideMark/>
          </w:tcPr>
          <w:p w14:paraId="529DCC95" w14:textId="77777777" w:rsidR="00000000" w:rsidRDefault="00A173A8">
            <w:pPr>
              <w:spacing w:after="100"/>
              <w:jc w:val="right"/>
              <w:rPr>
                <w:rFonts w:eastAsia="Times New Roman"/>
              </w:rPr>
            </w:pPr>
          </w:p>
        </w:tc>
      </w:tr>
      <w:tr w:rsidR="00A173A8" w14:paraId="60DAD702" w14:textId="77777777">
        <w:trPr>
          <w:divId w:val="1993635184"/>
        </w:trPr>
        <w:tc>
          <w:tcPr>
            <w:tcW w:w="0" w:type="auto"/>
            <w:gridSpan w:val="3"/>
            <w:shd w:val="clear" w:color="auto" w:fill="CCEEFF"/>
            <w:tcMar>
              <w:top w:w="30" w:type="dxa"/>
              <w:left w:w="380" w:type="dxa"/>
              <w:bottom w:w="30" w:type="dxa"/>
              <w:right w:w="20" w:type="dxa"/>
            </w:tcMar>
            <w:vAlign w:val="center"/>
            <w:hideMark/>
          </w:tcPr>
          <w:p w14:paraId="4444BCF1" w14:textId="77777777" w:rsidR="00000000" w:rsidRDefault="00A173A8">
            <w:pPr>
              <w:spacing w:after="100"/>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14:paraId="1C114C4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EA9359C" w14:textId="77777777" w:rsidR="00000000" w:rsidRDefault="00A173A8">
            <w:pPr>
              <w:spacing w:after="100"/>
              <w:jc w:val="right"/>
              <w:rPr>
                <w:rFonts w:eastAsia="Times New Roman"/>
              </w:rPr>
            </w:pPr>
            <w:r>
              <w:rPr>
                <w:rFonts w:eastAsia="Times New Roman"/>
                <w:color w:val="000000"/>
                <w:sz w:val="18"/>
                <w:szCs w:val="18"/>
              </w:rPr>
              <w:t>279 </w:t>
            </w:r>
          </w:p>
        </w:tc>
        <w:tc>
          <w:tcPr>
            <w:tcW w:w="0" w:type="auto"/>
            <w:shd w:val="clear" w:color="auto" w:fill="CCEEFF"/>
            <w:tcMar>
              <w:top w:w="30" w:type="dxa"/>
              <w:left w:w="0" w:type="dxa"/>
              <w:bottom w:w="30" w:type="dxa"/>
              <w:right w:w="20" w:type="dxa"/>
            </w:tcMar>
            <w:vAlign w:val="center"/>
            <w:hideMark/>
          </w:tcPr>
          <w:p w14:paraId="1C7A836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EF4A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CDAC41" w14:textId="77777777" w:rsidR="00000000" w:rsidRDefault="00A173A8">
            <w:pPr>
              <w:spacing w:after="100"/>
              <w:jc w:val="right"/>
              <w:rPr>
                <w:rFonts w:eastAsia="Times New Roman"/>
              </w:rPr>
            </w:pPr>
            <w:r>
              <w:rPr>
                <w:rFonts w:eastAsia="Times New Roman"/>
                <w:color w:val="000000"/>
                <w:sz w:val="18"/>
                <w:szCs w:val="18"/>
              </w:rPr>
              <w:t>188 </w:t>
            </w:r>
          </w:p>
        </w:tc>
        <w:tc>
          <w:tcPr>
            <w:tcW w:w="0" w:type="auto"/>
            <w:shd w:val="clear" w:color="auto" w:fill="CCEEFF"/>
            <w:tcMar>
              <w:top w:w="30" w:type="dxa"/>
              <w:left w:w="0" w:type="dxa"/>
              <w:bottom w:w="30" w:type="dxa"/>
              <w:right w:w="20" w:type="dxa"/>
            </w:tcMar>
            <w:vAlign w:val="center"/>
            <w:hideMark/>
          </w:tcPr>
          <w:p w14:paraId="6055E2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DD2F6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6FF276" w14:textId="77777777" w:rsidR="00000000" w:rsidRDefault="00A173A8">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center"/>
            <w:hideMark/>
          </w:tcPr>
          <w:p w14:paraId="02B5584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7A91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EE3A95" w14:textId="77777777" w:rsidR="00000000" w:rsidRDefault="00A173A8">
            <w:pPr>
              <w:spacing w:after="100"/>
              <w:jc w:val="right"/>
              <w:rPr>
                <w:rFonts w:eastAsia="Times New Roman"/>
              </w:rPr>
            </w:pPr>
            <w:r>
              <w:rPr>
                <w:rFonts w:eastAsia="Times New Roman"/>
                <w:color w:val="000000"/>
                <w:sz w:val="18"/>
                <w:szCs w:val="18"/>
              </w:rPr>
              <w:t>207 </w:t>
            </w:r>
          </w:p>
        </w:tc>
        <w:tc>
          <w:tcPr>
            <w:tcW w:w="0" w:type="auto"/>
            <w:shd w:val="clear" w:color="auto" w:fill="CCEEFF"/>
            <w:tcMar>
              <w:top w:w="30" w:type="dxa"/>
              <w:left w:w="0" w:type="dxa"/>
              <w:bottom w:w="30" w:type="dxa"/>
              <w:right w:w="20" w:type="dxa"/>
            </w:tcMar>
            <w:vAlign w:val="center"/>
            <w:hideMark/>
          </w:tcPr>
          <w:p w14:paraId="204A60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718A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E299C2D" w14:textId="77777777" w:rsidR="00000000" w:rsidRDefault="00A173A8">
            <w:pPr>
              <w:spacing w:after="100"/>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center"/>
            <w:hideMark/>
          </w:tcPr>
          <w:p w14:paraId="4D595E9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D89A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E6FFF1" w14:textId="77777777" w:rsidR="00000000" w:rsidRDefault="00A173A8">
            <w:pPr>
              <w:spacing w:after="100"/>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center"/>
            <w:hideMark/>
          </w:tcPr>
          <w:p w14:paraId="00F5C1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1E7BB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7CFFA8" w14:textId="77777777" w:rsidR="00000000" w:rsidRDefault="00A173A8">
            <w:pPr>
              <w:spacing w:after="100"/>
              <w:jc w:val="right"/>
              <w:rPr>
                <w:rFonts w:eastAsia="Times New Roman"/>
              </w:rPr>
            </w:pPr>
            <w:r>
              <w:rPr>
                <w:rFonts w:eastAsia="Times New Roman"/>
                <w:color w:val="000000"/>
                <w:sz w:val="18"/>
                <w:szCs w:val="18"/>
              </w:rPr>
              <w:t>1,799 </w:t>
            </w:r>
          </w:p>
        </w:tc>
        <w:tc>
          <w:tcPr>
            <w:tcW w:w="0" w:type="auto"/>
            <w:shd w:val="clear" w:color="auto" w:fill="CCEEFF"/>
            <w:tcMar>
              <w:top w:w="30" w:type="dxa"/>
              <w:left w:w="0" w:type="dxa"/>
              <w:bottom w:w="30" w:type="dxa"/>
              <w:right w:w="20" w:type="dxa"/>
            </w:tcMar>
            <w:vAlign w:val="center"/>
            <w:hideMark/>
          </w:tcPr>
          <w:p w14:paraId="7968D63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F553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A44F2F" w14:textId="77777777" w:rsidR="00000000" w:rsidRDefault="00A173A8">
            <w:pPr>
              <w:spacing w:after="100"/>
              <w:jc w:val="right"/>
              <w:rPr>
                <w:rFonts w:eastAsia="Times New Roman"/>
              </w:rPr>
            </w:pPr>
            <w:r>
              <w:rPr>
                <w:rFonts w:eastAsia="Times New Roman"/>
                <w:color w:val="000000"/>
                <w:sz w:val="18"/>
                <w:szCs w:val="18"/>
              </w:rPr>
              <w:t>456 </w:t>
            </w:r>
          </w:p>
        </w:tc>
        <w:tc>
          <w:tcPr>
            <w:tcW w:w="0" w:type="auto"/>
            <w:shd w:val="clear" w:color="auto" w:fill="CCEEFF"/>
            <w:tcMar>
              <w:top w:w="30" w:type="dxa"/>
              <w:left w:w="0" w:type="dxa"/>
              <w:bottom w:w="30" w:type="dxa"/>
              <w:right w:w="20" w:type="dxa"/>
            </w:tcMar>
            <w:vAlign w:val="center"/>
            <w:hideMark/>
          </w:tcPr>
          <w:p w14:paraId="7F7E86C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047B4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FADCB7"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4F2249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733D2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FCE757" w14:textId="77777777" w:rsidR="00000000" w:rsidRDefault="00A173A8">
            <w:pPr>
              <w:spacing w:after="100"/>
              <w:jc w:val="right"/>
              <w:rPr>
                <w:rFonts w:eastAsia="Times New Roman"/>
              </w:rPr>
            </w:pPr>
            <w:r>
              <w:rPr>
                <w:rFonts w:eastAsia="Times New Roman"/>
                <w:color w:val="000000"/>
                <w:sz w:val="18"/>
                <w:szCs w:val="18"/>
              </w:rPr>
              <w:t>2,255 </w:t>
            </w:r>
          </w:p>
        </w:tc>
        <w:tc>
          <w:tcPr>
            <w:tcW w:w="0" w:type="auto"/>
            <w:shd w:val="clear" w:color="auto" w:fill="CCEEFF"/>
            <w:tcMar>
              <w:top w:w="30" w:type="dxa"/>
              <w:left w:w="0" w:type="dxa"/>
              <w:bottom w:w="30" w:type="dxa"/>
              <w:right w:w="20" w:type="dxa"/>
            </w:tcMar>
            <w:vAlign w:val="center"/>
            <w:hideMark/>
          </w:tcPr>
          <w:p w14:paraId="4C43D1F7" w14:textId="77777777" w:rsidR="00000000" w:rsidRDefault="00A173A8">
            <w:pPr>
              <w:spacing w:after="100"/>
              <w:jc w:val="right"/>
              <w:rPr>
                <w:rFonts w:eastAsia="Times New Roman"/>
              </w:rPr>
            </w:pPr>
          </w:p>
        </w:tc>
      </w:tr>
      <w:tr w:rsidR="00A173A8" w14:paraId="0D5C422A" w14:textId="77777777">
        <w:trPr>
          <w:divId w:val="1993635184"/>
        </w:trPr>
        <w:tc>
          <w:tcPr>
            <w:tcW w:w="0" w:type="auto"/>
            <w:gridSpan w:val="3"/>
            <w:shd w:val="clear" w:color="auto" w:fill="FFFFFF"/>
            <w:tcMar>
              <w:top w:w="30" w:type="dxa"/>
              <w:left w:w="380" w:type="dxa"/>
              <w:bottom w:w="30" w:type="dxa"/>
              <w:right w:w="20" w:type="dxa"/>
            </w:tcMar>
            <w:vAlign w:val="center"/>
            <w:hideMark/>
          </w:tcPr>
          <w:p w14:paraId="46773F3E" w14:textId="77777777" w:rsidR="00000000" w:rsidRDefault="00A173A8">
            <w:pPr>
              <w:spacing w:after="100"/>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14:paraId="67C20D5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A87421D" w14:textId="77777777" w:rsidR="00000000" w:rsidRDefault="00A173A8">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14:paraId="5200152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818A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160A25" w14:textId="77777777" w:rsidR="00000000" w:rsidRDefault="00A173A8">
            <w:pPr>
              <w:spacing w:after="100"/>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center"/>
            <w:hideMark/>
          </w:tcPr>
          <w:p w14:paraId="278FFA9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E5CA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8684E2" w14:textId="77777777" w:rsidR="00000000" w:rsidRDefault="00A173A8">
            <w:pPr>
              <w:spacing w:after="100"/>
              <w:jc w:val="right"/>
              <w:rPr>
                <w:rFonts w:eastAsia="Times New Roman"/>
              </w:rPr>
            </w:pPr>
            <w:r>
              <w:rPr>
                <w:rFonts w:eastAsia="Times New Roman"/>
                <w:color w:val="000000"/>
                <w:sz w:val="18"/>
                <w:szCs w:val="18"/>
              </w:rPr>
              <w:t>85 </w:t>
            </w:r>
          </w:p>
        </w:tc>
        <w:tc>
          <w:tcPr>
            <w:tcW w:w="0" w:type="auto"/>
            <w:shd w:val="clear" w:color="auto" w:fill="FFFFFF"/>
            <w:tcMar>
              <w:top w:w="30" w:type="dxa"/>
              <w:left w:w="0" w:type="dxa"/>
              <w:bottom w:w="30" w:type="dxa"/>
              <w:right w:w="20" w:type="dxa"/>
            </w:tcMar>
            <w:vAlign w:val="center"/>
            <w:hideMark/>
          </w:tcPr>
          <w:p w14:paraId="54A4ADB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A0B1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796779" w14:textId="77777777" w:rsidR="00000000" w:rsidRDefault="00A173A8">
            <w:pPr>
              <w:spacing w:after="100"/>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14:paraId="7683642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6D64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07864F4" w14:textId="77777777" w:rsidR="00000000" w:rsidRDefault="00A173A8">
            <w:pPr>
              <w:spacing w:after="100"/>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14:paraId="25C5865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C0473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7925D7" w14:textId="77777777" w:rsidR="00000000" w:rsidRDefault="00A173A8">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14:paraId="2EADA04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AACF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FB6703" w14:textId="77777777" w:rsidR="00000000" w:rsidRDefault="00A173A8">
            <w:pPr>
              <w:spacing w:after="100"/>
              <w:jc w:val="right"/>
              <w:rPr>
                <w:rFonts w:eastAsia="Times New Roman"/>
              </w:rPr>
            </w:pPr>
            <w:r>
              <w:rPr>
                <w:rFonts w:eastAsia="Times New Roman"/>
                <w:color w:val="000000"/>
                <w:sz w:val="18"/>
                <w:szCs w:val="18"/>
              </w:rPr>
              <w:t>278 </w:t>
            </w:r>
          </w:p>
        </w:tc>
        <w:tc>
          <w:tcPr>
            <w:tcW w:w="0" w:type="auto"/>
            <w:shd w:val="clear" w:color="auto" w:fill="FFFFFF"/>
            <w:tcMar>
              <w:top w:w="30" w:type="dxa"/>
              <w:left w:w="0" w:type="dxa"/>
              <w:bottom w:w="30" w:type="dxa"/>
              <w:right w:w="20" w:type="dxa"/>
            </w:tcMar>
            <w:vAlign w:val="center"/>
            <w:hideMark/>
          </w:tcPr>
          <w:p w14:paraId="15ABB6A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8B19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57A49A" w14:textId="77777777" w:rsidR="00000000" w:rsidRDefault="00A173A8">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14:paraId="73526FC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97ECB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61931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9545B9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B0E0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659EF3" w14:textId="77777777" w:rsidR="00000000" w:rsidRDefault="00A173A8">
            <w:pPr>
              <w:spacing w:after="100"/>
              <w:jc w:val="right"/>
              <w:rPr>
                <w:rFonts w:eastAsia="Times New Roman"/>
              </w:rPr>
            </w:pPr>
            <w:r>
              <w:rPr>
                <w:rFonts w:eastAsia="Times New Roman"/>
                <w:color w:val="000000"/>
                <w:sz w:val="18"/>
                <w:szCs w:val="18"/>
              </w:rPr>
              <w:t>316 </w:t>
            </w:r>
          </w:p>
        </w:tc>
        <w:tc>
          <w:tcPr>
            <w:tcW w:w="0" w:type="auto"/>
            <w:shd w:val="clear" w:color="auto" w:fill="FFFFFF"/>
            <w:tcMar>
              <w:top w:w="30" w:type="dxa"/>
              <w:left w:w="0" w:type="dxa"/>
              <w:bottom w:w="30" w:type="dxa"/>
              <w:right w:w="20" w:type="dxa"/>
            </w:tcMar>
            <w:vAlign w:val="center"/>
            <w:hideMark/>
          </w:tcPr>
          <w:p w14:paraId="3B8F8E8B" w14:textId="77777777" w:rsidR="00000000" w:rsidRDefault="00A173A8">
            <w:pPr>
              <w:spacing w:after="100"/>
              <w:jc w:val="right"/>
              <w:rPr>
                <w:rFonts w:eastAsia="Times New Roman"/>
              </w:rPr>
            </w:pPr>
          </w:p>
        </w:tc>
      </w:tr>
      <w:tr w:rsidR="00A173A8" w14:paraId="5724DF5C" w14:textId="77777777">
        <w:trPr>
          <w:divId w:val="1993635184"/>
        </w:trPr>
        <w:tc>
          <w:tcPr>
            <w:tcW w:w="0" w:type="auto"/>
            <w:gridSpan w:val="3"/>
            <w:shd w:val="clear" w:color="auto" w:fill="CCEEFF"/>
            <w:tcMar>
              <w:top w:w="30" w:type="dxa"/>
              <w:left w:w="245" w:type="dxa"/>
              <w:bottom w:w="30" w:type="dxa"/>
              <w:right w:w="20" w:type="dxa"/>
            </w:tcMar>
            <w:vAlign w:val="center"/>
            <w:hideMark/>
          </w:tcPr>
          <w:p w14:paraId="27630CAB" w14:textId="77777777" w:rsidR="00000000" w:rsidRDefault="00A173A8">
            <w:pPr>
              <w:spacing w:after="100"/>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14:paraId="1DE9B392"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9AAB67" w14:textId="77777777" w:rsidR="00000000" w:rsidRDefault="00A173A8">
            <w:pPr>
              <w:spacing w:after="100"/>
              <w:jc w:val="right"/>
              <w:rPr>
                <w:rFonts w:eastAsia="Times New Roman"/>
              </w:rPr>
            </w:pPr>
            <w:r>
              <w:rPr>
                <w:rFonts w:eastAsia="Times New Roman"/>
                <w:color w:val="000000"/>
                <w:sz w:val="18"/>
                <w:szCs w:val="18"/>
              </w:rPr>
              <w:t>12,973 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AE4D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D4CC5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AFD02B" w14:textId="77777777" w:rsidR="00000000" w:rsidRDefault="00A173A8">
            <w:pPr>
              <w:spacing w:after="100"/>
              <w:jc w:val="right"/>
              <w:rPr>
                <w:rFonts w:eastAsia="Times New Roman"/>
              </w:rPr>
            </w:pPr>
            <w:r>
              <w:rPr>
                <w:rFonts w:eastAsia="Times New Roman"/>
                <w:color w:val="000000"/>
                <w:sz w:val="18"/>
                <w:szCs w:val="18"/>
              </w:rPr>
              <w:t>7,279 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D1BBB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1A466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0A98E2" w14:textId="77777777" w:rsidR="00000000" w:rsidRDefault="00A173A8">
            <w:pPr>
              <w:spacing w:after="100"/>
              <w:jc w:val="right"/>
              <w:rPr>
                <w:rFonts w:eastAsia="Times New Roman"/>
              </w:rPr>
            </w:pPr>
            <w:r>
              <w:rPr>
                <w:rFonts w:eastAsia="Times New Roman"/>
                <w:color w:val="000000"/>
                <w:sz w:val="18"/>
                <w:szCs w:val="18"/>
              </w:rPr>
              <w:t>6,429 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97DEF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503F9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A3F8EB" w14:textId="77777777" w:rsidR="00000000" w:rsidRDefault="00A173A8">
            <w:pPr>
              <w:spacing w:after="100"/>
              <w:jc w:val="right"/>
              <w:rPr>
                <w:rFonts w:eastAsia="Times New Roman"/>
              </w:rPr>
            </w:pPr>
            <w:r>
              <w:rPr>
                <w:rFonts w:eastAsia="Times New Roman"/>
                <w:color w:val="000000"/>
                <w:sz w:val="18"/>
                <w:szCs w:val="18"/>
              </w:rPr>
              <w:t>3,050 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9115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EA30B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5ABF5A" w14:textId="77777777" w:rsidR="00000000" w:rsidRDefault="00A173A8">
            <w:pPr>
              <w:spacing w:after="100"/>
              <w:jc w:val="right"/>
              <w:rPr>
                <w:rFonts w:eastAsia="Times New Roman"/>
              </w:rPr>
            </w:pPr>
            <w:r>
              <w:rPr>
                <w:rFonts w:eastAsia="Times New Roman"/>
                <w:color w:val="000000"/>
                <w:sz w:val="18"/>
                <w:szCs w:val="18"/>
              </w:rPr>
              <w:t>1,856 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6BE3C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0EC59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BE88A4" w14:textId="77777777" w:rsidR="00000000" w:rsidRDefault="00A173A8">
            <w:pPr>
              <w:spacing w:after="100"/>
              <w:jc w:val="right"/>
              <w:rPr>
                <w:rFonts w:eastAsia="Times New Roman"/>
              </w:rPr>
            </w:pPr>
            <w:r>
              <w:rPr>
                <w:rFonts w:eastAsia="Times New Roman"/>
                <w:color w:val="000000"/>
                <w:sz w:val="18"/>
                <w:szCs w:val="18"/>
              </w:rPr>
              <w:t>3,210 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8CFF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972A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F14717" w14:textId="77777777" w:rsidR="00000000" w:rsidRDefault="00A173A8">
            <w:pPr>
              <w:spacing w:after="100"/>
              <w:jc w:val="right"/>
              <w:rPr>
                <w:rFonts w:eastAsia="Times New Roman"/>
              </w:rPr>
            </w:pPr>
            <w:r>
              <w:rPr>
                <w:rFonts w:eastAsia="Times New Roman"/>
                <w:color w:val="000000"/>
                <w:sz w:val="18"/>
                <w:szCs w:val="18"/>
              </w:rPr>
              <w:t>34,797 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411AF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3645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1E5BAB" w14:textId="77777777" w:rsidR="00000000" w:rsidRDefault="00A173A8">
            <w:pPr>
              <w:spacing w:after="100"/>
              <w:jc w:val="right"/>
              <w:rPr>
                <w:rFonts w:eastAsia="Times New Roman"/>
              </w:rPr>
            </w:pPr>
            <w:r>
              <w:rPr>
                <w:rFonts w:eastAsia="Times New Roman"/>
                <w:color w:val="000000"/>
                <w:sz w:val="18"/>
                <w:szCs w:val="18"/>
              </w:rPr>
              <w:t>14,804 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AF69B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76CF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9C4E9F" w14:textId="77777777" w:rsidR="00000000" w:rsidRDefault="00A173A8">
            <w:pPr>
              <w:spacing w:after="100"/>
              <w:jc w:val="right"/>
              <w:rPr>
                <w:rFonts w:eastAsia="Times New Roman"/>
              </w:rPr>
            </w:pPr>
            <w:r>
              <w:rPr>
                <w:rFonts w:eastAsia="Times New Roman"/>
                <w:color w:val="000000"/>
                <w:sz w:val="18"/>
                <w:szCs w:val="18"/>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80EC2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0451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97B203" w14:textId="77777777" w:rsidR="00000000" w:rsidRDefault="00A173A8">
            <w:pPr>
              <w:spacing w:after="100"/>
              <w:jc w:val="right"/>
              <w:rPr>
                <w:rFonts w:eastAsia="Times New Roman"/>
              </w:rPr>
            </w:pPr>
            <w:r>
              <w:rPr>
                <w:rFonts w:eastAsia="Times New Roman"/>
                <w:color w:val="000000"/>
                <w:sz w:val="18"/>
                <w:szCs w:val="18"/>
              </w:rPr>
              <w:t>49,660 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950671" w14:textId="77777777" w:rsidR="00000000" w:rsidRDefault="00A173A8">
            <w:pPr>
              <w:spacing w:after="100"/>
              <w:jc w:val="right"/>
              <w:rPr>
                <w:rFonts w:eastAsia="Times New Roman"/>
              </w:rPr>
            </w:pPr>
          </w:p>
        </w:tc>
      </w:tr>
      <w:tr w:rsidR="00A173A8" w14:paraId="4A1B1A5C" w14:textId="77777777">
        <w:trPr>
          <w:divId w:val="1993635184"/>
        </w:trPr>
        <w:tc>
          <w:tcPr>
            <w:tcW w:w="0" w:type="auto"/>
            <w:gridSpan w:val="3"/>
            <w:shd w:val="clear" w:color="auto" w:fill="FFFFFF"/>
            <w:tcMar>
              <w:top w:w="30" w:type="dxa"/>
              <w:left w:w="20" w:type="dxa"/>
              <w:bottom w:w="30" w:type="dxa"/>
              <w:right w:w="20" w:type="dxa"/>
            </w:tcMar>
            <w:vAlign w:val="center"/>
            <w:hideMark/>
          </w:tcPr>
          <w:p w14:paraId="3C99C31C" w14:textId="77777777" w:rsidR="00000000" w:rsidRDefault="00A173A8">
            <w:pPr>
              <w:spacing w:after="100"/>
              <w:divId w:val="249509506"/>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1DED838"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D19CE6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20F7120" w14:textId="77777777" w:rsidR="00000000" w:rsidRDefault="00A173A8">
            <w:pPr>
              <w:spacing w:after="100"/>
              <w:jc w:val="right"/>
              <w:rPr>
                <w:rFonts w:eastAsia="Times New Roman"/>
              </w:rPr>
            </w:pPr>
            <w:r>
              <w:rPr>
                <w:rFonts w:eastAsia="Times New Roman"/>
                <w:color w:val="000000"/>
                <w:sz w:val="18"/>
                <w:szCs w:val="18"/>
              </w:rPr>
              <w:t>19,811 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573A5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587C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38750A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92E3C0A" w14:textId="77777777" w:rsidR="00000000" w:rsidRDefault="00A173A8">
            <w:pPr>
              <w:spacing w:after="100"/>
              <w:jc w:val="right"/>
              <w:rPr>
                <w:rFonts w:eastAsia="Times New Roman"/>
              </w:rPr>
            </w:pPr>
            <w:r>
              <w:rPr>
                <w:rFonts w:eastAsia="Times New Roman"/>
                <w:color w:val="000000"/>
                <w:sz w:val="18"/>
                <w:szCs w:val="18"/>
              </w:rPr>
              <w:t>10,398 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DC1FA8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54EB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79A4A87"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529FAC7" w14:textId="77777777" w:rsidR="00000000" w:rsidRDefault="00A173A8">
            <w:pPr>
              <w:spacing w:after="100"/>
              <w:jc w:val="right"/>
              <w:rPr>
                <w:rFonts w:eastAsia="Times New Roman"/>
              </w:rPr>
            </w:pPr>
            <w:r>
              <w:rPr>
                <w:rFonts w:eastAsia="Times New Roman"/>
                <w:color w:val="000000"/>
                <w:sz w:val="18"/>
                <w:szCs w:val="18"/>
              </w:rPr>
              <w:t>10,239 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686870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F7C0A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8A5E88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FD78A65" w14:textId="77777777" w:rsidR="00000000" w:rsidRDefault="00A173A8">
            <w:pPr>
              <w:spacing w:after="100"/>
              <w:jc w:val="right"/>
              <w:rPr>
                <w:rFonts w:eastAsia="Times New Roman"/>
              </w:rPr>
            </w:pPr>
            <w:r>
              <w:rPr>
                <w:rFonts w:eastAsia="Times New Roman"/>
                <w:color w:val="000000"/>
                <w:sz w:val="18"/>
                <w:szCs w:val="18"/>
              </w:rPr>
              <w:t>5,788 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AE5135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4CC5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BC04BF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B2E660B" w14:textId="77777777" w:rsidR="00000000" w:rsidRDefault="00A173A8">
            <w:pPr>
              <w:spacing w:after="100"/>
              <w:jc w:val="right"/>
              <w:rPr>
                <w:rFonts w:eastAsia="Times New Roman"/>
              </w:rPr>
            </w:pPr>
            <w:r>
              <w:rPr>
                <w:rFonts w:eastAsia="Times New Roman"/>
                <w:color w:val="000000"/>
                <w:sz w:val="18"/>
                <w:szCs w:val="18"/>
              </w:rPr>
              <w:t>2,919 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E0D99B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D0280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E9B6C5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B97B4AB" w14:textId="77777777" w:rsidR="00000000" w:rsidRDefault="00A173A8">
            <w:pPr>
              <w:spacing w:after="100"/>
              <w:jc w:val="right"/>
              <w:rPr>
                <w:rFonts w:eastAsia="Times New Roman"/>
              </w:rPr>
            </w:pPr>
            <w:r>
              <w:rPr>
                <w:rFonts w:eastAsia="Times New Roman"/>
                <w:color w:val="000000"/>
                <w:sz w:val="18"/>
                <w:szCs w:val="18"/>
              </w:rPr>
              <w:t>8,492 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5FB026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6F94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FE557C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C646DD8" w14:textId="77777777" w:rsidR="00000000" w:rsidRDefault="00A173A8">
            <w:pPr>
              <w:spacing w:after="100"/>
              <w:jc w:val="right"/>
              <w:rPr>
                <w:rFonts w:eastAsia="Times New Roman"/>
              </w:rPr>
            </w:pPr>
            <w:r>
              <w:rPr>
                <w:rFonts w:eastAsia="Times New Roman"/>
                <w:color w:val="000000"/>
                <w:sz w:val="18"/>
                <w:szCs w:val="18"/>
              </w:rPr>
              <w:t>57,647 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3D6AC1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93F5A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043A33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DDA555F" w14:textId="77777777" w:rsidR="00000000" w:rsidRDefault="00A173A8">
            <w:pPr>
              <w:spacing w:after="100"/>
              <w:jc w:val="right"/>
              <w:rPr>
                <w:rFonts w:eastAsia="Times New Roman"/>
              </w:rPr>
            </w:pPr>
            <w:r>
              <w:rPr>
                <w:rFonts w:eastAsia="Times New Roman"/>
                <w:color w:val="000000"/>
                <w:sz w:val="18"/>
                <w:szCs w:val="18"/>
              </w:rPr>
              <w:t>27,191 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C09DA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BDAA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49F9C3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A38031C" w14:textId="77777777" w:rsidR="00000000" w:rsidRDefault="00A173A8">
            <w:pPr>
              <w:spacing w:after="100"/>
              <w:jc w:val="right"/>
              <w:rPr>
                <w:rFonts w:eastAsia="Times New Roman"/>
              </w:rPr>
            </w:pPr>
            <w:r>
              <w:rPr>
                <w:rFonts w:eastAsia="Times New Roman"/>
                <w:color w:val="000000"/>
                <w:sz w:val="18"/>
                <w:szCs w:val="18"/>
              </w:rPr>
              <w:t>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1DBED9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677F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DA5552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AC1E216" w14:textId="77777777" w:rsidR="00000000" w:rsidRDefault="00A173A8">
            <w:pPr>
              <w:spacing w:after="100"/>
              <w:jc w:val="right"/>
              <w:rPr>
                <w:rFonts w:eastAsia="Times New Roman"/>
              </w:rPr>
            </w:pPr>
            <w:r>
              <w:rPr>
                <w:rFonts w:eastAsia="Times New Roman"/>
                <w:color w:val="000000"/>
                <w:sz w:val="18"/>
                <w:szCs w:val="18"/>
              </w:rPr>
              <w:t>84,922 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B0B4322" w14:textId="77777777" w:rsidR="00000000" w:rsidRDefault="00A173A8">
            <w:pPr>
              <w:spacing w:after="100"/>
              <w:jc w:val="right"/>
              <w:rPr>
                <w:rFonts w:eastAsia="Times New Roman"/>
              </w:rPr>
            </w:pPr>
          </w:p>
        </w:tc>
      </w:tr>
    </w:tbl>
    <w:p w14:paraId="0CCF1F4E" w14:textId="77777777" w:rsidR="00000000" w:rsidRDefault="00A173A8">
      <w:pPr>
        <w:jc w:val="both"/>
        <w:divId w:val="1993635184"/>
        <w:rPr>
          <w:rFonts w:eastAsia="Times New Roman"/>
        </w:rPr>
      </w:pPr>
      <w:r>
        <w:rPr>
          <w:rFonts w:eastAsia="Times New Roman"/>
          <w:color w:val="000000"/>
          <w:sz w:val="20"/>
          <w:szCs w:val="20"/>
        </w:rPr>
        <w:t>__________</w:t>
      </w:r>
    </w:p>
    <w:p w14:paraId="00F0ABB0" w14:textId="77777777" w:rsidR="00000000" w:rsidRDefault="00A173A8">
      <w:pPr>
        <w:ind w:hanging="360"/>
        <w:jc w:val="both"/>
        <w:divId w:val="7039483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Criticized exposures correspond to the “Special Mention,” “Substandard” and “Doubtful” asset categories defined by bank regulatory authorities.</w:t>
      </w:r>
    </w:p>
    <w:p w14:paraId="2BF722D4" w14:textId="77777777" w:rsidR="00000000" w:rsidRDefault="00A173A8">
      <w:pPr>
        <w:ind w:hanging="360"/>
        <w:jc w:val="both"/>
        <w:divId w:val="124264076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$37 million and $102 mill</w:t>
      </w:r>
      <w:r>
        <w:rPr>
          <w:rFonts w:eastAsia="Times New Roman"/>
          <w:color w:val="000000"/>
          <w:sz w:val="16"/>
          <w:szCs w:val="16"/>
        </w:rPr>
        <w:t>ion as of June 30, 2022 and December 31, 2021, respectively.</w:t>
      </w:r>
    </w:p>
    <w:p w14:paraId="42FFF915" w14:textId="77777777" w:rsidR="00000000" w:rsidRDefault="00A173A8">
      <w:pPr>
        <w:jc w:val="both"/>
        <w:divId w:val="1453934837"/>
        <w:rPr>
          <w:rFonts w:eastAsia="Times New Roman"/>
        </w:rPr>
      </w:pPr>
      <w:r>
        <w:rPr>
          <w:rFonts w:eastAsia="Times New Roman"/>
          <w:b/>
          <w:bCs/>
          <w:color w:val="000000"/>
          <w:sz w:val="20"/>
          <w:szCs w:val="20"/>
        </w:rPr>
        <w:t>Troubled Debt Restructurings</w:t>
      </w:r>
    </w:p>
    <w:p w14:paraId="71036657" w14:textId="77777777" w:rsidR="00000000" w:rsidRDefault="00A173A8">
      <w:pPr>
        <w:jc w:val="both"/>
        <w:divId w:val="1992053821"/>
        <w:rPr>
          <w:rFonts w:eastAsia="Times New Roman"/>
        </w:rPr>
      </w:pPr>
      <w:r>
        <w:rPr>
          <w:rFonts w:eastAsia="Times New Roman"/>
          <w:color w:val="000000"/>
          <w:sz w:val="20"/>
          <w:szCs w:val="20"/>
        </w:rPr>
        <w:t>As part of our loss mitigation efforts, we may provide short-term (one to twelve months) or long-term (greater than twelve months) modifications to a borrower experiencing financial difficulty to improve long-term collectability of the loan and to avoid th</w:t>
      </w:r>
      <w:r>
        <w:rPr>
          <w:rFonts w:eastAsia="Times New Roman"/>
          <w:color w:val="000000"/>
          <w:sz w:val="20"/>
          <w:szCs w:val="20"/>
        </w:rPr>
        <w:t xml:space="preserve">e need for repossession or foreclosure of collateral. </w:t>
      </w:r>
    </w:p>
    <w:p w14:paraId="2A7A19AF" w14:textId="77777777" w:rsidR="00000000" w:rsidRDefault="00A173A8">
      <w:pPr>
        <w:jc w:val="both"/>
        <w:rPr>
          <w:rFonts w:eastAsia="Times New Roman"/>
        </w:rPr>
      </w:pPr>
      <w:r>
        <w:rPr>
          <w:rFonts w:eastAsia="Times New Roman"/>
          <w:color w:val="000000"/>
          <w:sz w:val="20"/>
          <w:szCs w:val="20"/>
        </w:rPr>
        <w:t>We consider the impact of all loan modifications, whether or not that modification is classified as a troubled debt restructuring (“TDR”), when estimating the credit quality of our loan portfolio and e</w:t>
      </w:r>
      <w:r>
        <w:rPr>
          <w:rFonts w:eastAsia="Times New Roman"/>
          <w:color w:val="000000"/>
          <w:sz w:val="20"/>
          <w:szCs w:val="20"/>
        </w:rPr>
        <w:t>stablishing allowance levels. For our Commercial Banking customers, loan modifications are also considered in the assignment of an internal risk rating.</w:t>
      </w:r>
    </w:p>
    <w:p w14:paraId="29380EA4" w14:textId="77777777" w:rsidR="00000000" w:rsidRDefault="00A173A8">
      <w:pPr>
        <w:jc w:val="both"/>
        <w:rPr>
          <w:rFonts w:eastAsia="Times New Roman"/>
        </w:rPr>
      </w:pPr>
    </w:p>
    <w:p w14:paraId="669668AA" w14:textId="77777777" w:rsidR="00000000" w:rsidRDefault="00A173A8">
      <w:pPr>
        <w:jc w:val="both"/>
        <w:rPr>
          <w:rFonts w:eastAsia="Times New Roman"/>
        </w:rPr>
      </w:pPr>
      <w:r>
        <w:rPr>
          <w:rFonts w:eastAsia="Times New Roman"/>
          <w:color w:val="000000"/>
          <w:sz w:val="20"/>
          <w:szCs w:val="20"/>
        </w:rPr>
        <w:t>Additional guidance issued by the Federal Banking Agencies and contained in the Coronavirus Aid, Reli</w:t>
      </w:r>
      <w:r>
        <w:rPr>
          <w:rFonts w:eastAsia="Times New Roman"/>
          <w:color w:val="000000"/>
          <w:sz w:val="20"/>
          <w:szCs w:val="20"/>
        </w:rPr>
        <w:t xml:space="preserve">ef, and Economic Security Act (the “CARES Act”) provided banking organizations with TDR relief for loan modifications to certain qualifying borrowers impacted by the COVID-19 pandemic. The guidance in the CARES Act expired on January 1, 2022 at which time </w:t>
      </w:r>
      <w:r>
        <w:rPr>
          <w:rFonts w:eastAsia="Times New Roman"/>
          <w:color w:val="000000"/>
          <w:sz w:val="20"/>
          <w:szCs w:val="20"/>
        </w:rPr>
        <w:t>we also concurrently ceased applying the additional guidance issued by the Federal Banking Agencies.</w:t>
      </w:r>
    </w:p>
    <w:p w14:paraId="333A3FB7" w14:textId="77777777" w:rsidR="00000000" w:rsidRDefault="00A173A8">
      <w:pPr>
        <w:jc w:val="both"/>
        <w:divId w:val="950160575"/>
        <w:rPr>
          <w:rFonts w:eastAsia="Times New Roman"/>
        </w:rPr>
      </w:pPr>
      <w:r>
        <w:rPr>
          <w:rFonts w:eastAsia="Times New Roman"/>
          <w:color w:val="000000"/>
          <w:sz w:val="20"/>
          <w:szCs w:val="20"/>
        </w:rPr>
        <w:t>Total recorded TDRs were $2.2 billion and $1.6 billion as of June 30, 2022 and December 31, 2021, respectively. TDRs classified as performing in our credit</w:t>
      </w:r>
      <w:r>
        <w:rPr>
          <w:rFonts w:eastAsia="Times New Roman"/>
          <w:color w:val="000000"/>
          <w:sz w:val="20"/>
          <w:szCs w:val="20"/>
        </w:rPr>
        <w:t xml:space="preserve"> card and consumer banking loan portfolios totaled $1.3 billion and $1.1 billion as of June 30, 2022 and December 31, 2021, respectively. TDRs classified as performing in our commercial banking loan portfolio totaled $333 million and $192 million as of Jun</w:t>
      </w:r>
      <w:r>
        <w:rPr>
          <w:rFonts w:eastAsia="Times New Roman"/>
          <w:color w:val="000000"/>
          <w:sz w:val="20"/>
          <w:szCs w:val="20"/>
        </w:rPr>
        <w:t>e 30, 2022 and December 31, 2021, respectively. Commitments to lend additional funds on loans modified in a TDR totaled $166 million and $168 million as of June 30, 2022 and December 31, 2021,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8306C8E" w14:textId="77777777">
        <w:trPr>
          <w:divId w:val="1592931970"/>
          <w:jc w:val="center"/>
        </w:trPr>
        <w:tc>
          <w:tcPr>
            <w:tcW w:w="50" w:type="pct"/>
            <w:vAlign w:val="center"/>
            <w:hideMark/>
          </w:tcPr>
          <w:p w14:paraId="5CAB0FEB" w14:textId="77777777" w:rsidR="00000000" w:rsidRDefault="00A173A8">
            <w:pPr>
              <w:jc w:val="both"/>
              <w:rPr>
                <w:rFonts w:eastAsia="Times New Roman"/>
              </w:rPr>
            </w:pPr>
          </w:p>
        </w:tc>
        <w:tc>
          <w:tcPr>
            <w:tcW w:w="1606" w:type="pct"/>
            <w:vAlign w:val="center"/>
            <w:hideMark/>
          </w:tcPr>
          <w:p w14:paraId="298E8C4E" w14:textId="77777777" w:rsidR="00000000" w:rsidRDefault="00A173A8">
            <w:pPr>
              <w:spacing w:after="100"/>
              <w:rPr>
                <w:rFonts w:eastAsia="Times New Roman"/>
                <w:sz w:val="20"/>
                <w:szCs w:val="20"/>
              </w:rPr>
            </w:pPr>
          </w:p>
        </w:tc>
        <w:tc>
          <w:tcPr>
            <w:tcW w:w="5" w:type="pct"/>
            <w:vAlign w:val="center"/>
            <w:hideMark/>
          </w:tcPr>
          <w:p w14:paraId="5CA94F52" w14:textId="77777777" w:rsidR="00000000" w:rsidRDefault="00A173A8">
            <w:pPr>
              <w:spacing w:after="100"/>
              <w:rPr>
                <w:rFonts w:eastAsia="Times New Roman"/>
                <w:sz w:val="20"/>
                <w:szCs w:val="20"/>
              </w:rPr>
            </w:pPr>
          </w:p>
        </w:tc>
        <w:tc>
          <w:tcPr>
            <w:tcW w:w="50" w:type="pct"/>
            <w:vAlign w:val="center"/>
            <w:hideMark/>
          </w:tcPr>
          <w:p w14:paraId="6654E576" w14:textId="77777777" w:rsidR="00000000" w:rsidRDefault="00A173A8">
            <w:pPr>
              <w:spacing w:after="100"/>
              <w:rPr>
                <w:rFonts w:eastAsia="Times New Roman"/>
                <w:sz w:val="20"/>
                <w:szCs w:val="20"/>
              </w:rPr>
            </w:pPr>
          </w:p>
        </w:tc>
        <w:tc>
          <w:tcPr>
            <w:tcW w:w="1614" w:type="pct"/>
            <w:vAlign w:val="center"/>
            <w:hideMark/>
          </w:tcPr>
          <w:p w14:paraId="61F3D68D" w14:textId="77777777" w:rsidR="00000000" w:rsidRDefault="00A173A8">
            <w:pPr>
              <w:spacing w:after="100"/>
              <w:rPr>
                <w:rFonts w:eastAsia="Times New Roman"/>
                <w:sz w:val="20"/>
                <w:szCs w:val="20"/>
              </w:rPr>
            </w:pPr>
          </w:p>
        </w:tc>
        <w:tc>
          <w:tcPr>
            <w:tcW w:w="5" w:type="pct"/>
            <w:vAlign w:val="center"/>
            <w:hideMark/>
          </w:tcPr>
          <w:p w14:paraId="627AD4A2" w14:textId="77777777" w:rsidR="00000000" w:rsidRDefault="00A173A8">
            <w:pPr>
              <w:spacing w:after="100"/>
              <w:rPr>
                <w:rFonts w:eastAsia="Times New Roman"/>
                <w:sz w:val="20"/>
                <w:szCs w:val="20"/>
              </w:rPr>
            </w:pPr>
          </w:p>
        </w:tc>
        <w:tc>
          <w:tcPr>
            <w:tcW w:w="50" w:type="pct"/>
            <w:vAlign w:val="center"/>
            <w:hideMark/>
          </w:tcPr>
          <w:p w14:paraId="1D3C3CE5" w14:textId="77777777" w:rsidR="00000000" w:rsidRDefault="00A173A8">
            <w:pPr>
              <w:spacing w:after="100"/>
              <w:rPr>
                <w:rFonts w:eastAsia="Times New Roman"/>
                <w:sz w:val="20"/>
                <w:szCs w:val="20"/>
              </w:rPr>
            </w:pPr>
          </w:p>
        </w:tc>
        <w:tc>
          <w:tcPr>
            <w:tcW w:w="1614" w:type="pct"/>
            <w:vAlign w:val="center"/>
            <w:hideMark/>
          </w:tcPr>
          <w:p w14:paraId="2AF8E234" w14:textId="77777777" w:rsidR="00000000" w:rsidRDefault="00A173A8">
            <w:pPr>
              <w:spacing w:after="100"/>
              <w:rPr>
                <w:rFonts w:eastAsia="Times New Roman"/>
                <w:sz w:val="20"/>
                <w:szCs w:val="20"/>
              </w:rPr>
            </w:pPr>
          </w:p>
        </w:tc>
        <w:tc>
          <w:tcPr>
            <w:tcW w:w="5" w:type="pct"/>
            <w:vAlign w:val="center"/>
            <w:hideMark/>
          </w:tcPr>
          <w:p w14:paraId="290AA388" w14:textId="77777777" w:rsidR="00000000" w:rsidRDefault="00A173A8">
            <w:pPr>
              <w:spacing w:after="100"/>
              <w:rPr>
                <w:rFonts w:eastAsia="Times New Roman"/>
                <w:sz w:val="20"/>
                <w:szCs w:val="20"/>
              </w:rPr>
            </w:pPr>
          </w:p>
        </w:tc>
      </w:tr>
      <w:tr w:rsidR="00000000" w14:paraId="535053A6" w14:textId="77777777">
        <w:trPr>
          <w:divId w:val="1592931970"/>
          <w:trHeight w:val="300"/>
          <w:jc w:val="center"/>
        </w:trPr>
        <w:tc>
          <w:tcPr>
            <w:tcW w:w="0" w:type="auto"/>
            <w:gridSpan w:val="9"/>
            <w:tcMar>
              <w:top w:w="0" w:type="dxa"/>
              <w:left w:w="20" w:type="dxa"/>
              <w:bottom w:w="0" w:type="dxa"/>
              <w:right w:w="20" w:type="dxa"/>
            </w:tcMar>
            <w:vAlign w:val="center"/>
            <w:hideMark/>
          </w:tcPr>
          <w:p w14:paraId="14C13664" w14:textId="77777777" w:rsidR="00000000" w:rsidRDefault="00A173A8">
            <w:pPr>
              <w:spacing w:after="100"/>
              <w:rPr>
                <w:rFonts w:eastAsia="Times New Roman"/>
                <w:sz w:val="20"/>
                <w:szCs w:val="20"/>
              </w:rPr>
            </w:pPr>
          </w:p>
        </w:tc>
      </w:tr>
      <w:tr w:rsidR="00000000" w14:paraId="69F354A8" w14:textId="77777777">
        <w:trPr>
          <w:divId w:val="1592931970"/>
          <w:jc w:val="center"/>
        </w:trPr>
        <w:tc>
          <w:tcPr>
            <w:tcW w:w="0" w:type="auto"/>
            <w:gridSpan w:val="3"/>
            <w:tcMar>
              <w:top w:w="0" w:type="dxa"/>
              <w:left w:w="20" w:type="dxa"/>
              <w:bottom w:w="0" w:type="dxa"/>
              <w:right w:w="20" w:type="dxa"/>
            </w:tcMar>
            <w:vAlign w:val="center"/>
            <w:hideMark/>
          </w:tcPr>
          <w:p w14:paraId="4BA5DF6C"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78FD17" w14:textId="77777777" w:rsidR="00000000" w:rsidRDefault="00A173A8">
            <w:pPr>
              <w:spacing w:after="100"/>
              <w:jc w:val="center"/>
              <w:rPr>
                <w:rFonts w:eastAsia="Times New Roman"/>
              </w:rPr>
            </w:pPr>
            <w:r>
              <w:rPr>
                <w:rFonts w:eastAsia="Times New Roman"/>
                <w:color w:val="000000"/>
                <w:sz w:val="16"/>
                <w:szCs w:val="16"/>
              </w:rPr>
              <w:t>80</w:t>
            </w:r>
          </w:p>
        </w:tc>
        <w:tc>
          <w:tcPr>
            <w:tcW w:w="0" w:type="auto"/>
            <w:gridSpan w:val="3"/>
            <w:tcMar>
              <w:top w:w="30" w:type="dxa"/>
              <w:left w:w="20" w:type="dxa"/>
              <w:bottom w:w="30" w:type="dxa"/>
              <w:right w:w="20" w:type="dxa"/>
            </w:tcMar>
            <w:vAlign w:val="bottom"/>
            <w:hideMark/>
          </w:tcPr>
          <w:p w14:paraId="7D922070"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703A77E" w14:textId="77777777" w:rsidR="00000000" w:rsidRDefault="00A173A8">
      <w:pPr>
        <w:rPr>
          <w:rFonts w:eastAsia="Times New Roman"/>
        </w:rPr>
      </w:pPr>
      <w:r>
        <w:rPr>
          <w:rFonts w:eastAsia="Times New Roman"/>
        </w:rPr>
        <w:pict w14:anchorId="54C2F8E0">
          <v:rect id="_x0000_i1105" style="width:0;height:1.5pt" o:hralign="center" o:hrstd="t" o:hr="t" fillcolor="#a0a0a0" stroked="f"/>
        </w:pict>
      </w:r>
    </w:p>
    <w:p w14:paraId="223D6D49" w14:textId="77777777" w:rsidR="00000000" w:rsidRDefault="00A173A8">
      <w:pPr>
        <w:jc w:val="both"/>
        <w:divId w:val="1605458956"/>
        <w:rPr>
          <w:rFonts w:eastAsia="Times New Roman"/>
        </w:rPr>
      </w:pPr>
      <w:hyperlink w:anchor="i7ffd5d61af6f4722b1b1b07530d51c06_13" w:history="1">
        <w:r>
          <w:rPr>
            <w:rStyle w:val="a3"/>
            <w:rFonts w:eastAsia="Times New Roman"/>
            <w:sz w:val="16"/>
            <w:szCs w:val="16"/>
          </w:rPr>
          <w:t>Table of Contents</w:t>
        </w:r>
      </w:hyperlink>
    </w:p>
    <w:p w14:paraId="29963B33" w14:textId="77777777" w:rsidR="00000000" w:rsidRDefault="00A173A8">
      <w:pPr>
        <w:divId w:val="1521967498"/>
        <w:rPr>
          <w:rFonts w:eastAsia="Times New Roman"/>
        </w:rPr>
      </w:pPr>
      <w:r>
        <w:rPr>
          <w:rFonts w:eastAsia="Times New Roman"/>
          <w:color w:val="000000"/>
          <w:sz w:val="20"/>
          <w:szCs w:val="20"/>
        </w:rPr>
        <w:t>The following tables present the major modification types, amortized cost amounts and financial effects of loans modified in a TDR during the t</w:t>
      </w:r>
      <w:r>
        <w:rPr>
          <w:rFonts w:eastAsia="Times New Roman"/>
          <w:color w:val="000000"/>
          <w:sz w:val="20"/>
          <w:szCs w:val="20"/>
        </w:rPr>
        <w:t>hree and six months ended June 30, 2022 and 2021.</w:t>
      </w:r>
    </w:p>
    <w:p w14:paraId="0369D76B" w14:textId="77777777" w:rsidR="00000000" w:rsidRDefault="00A173A8">
      <w:pPr>
        <w:divId w:val="2139637379"/>
        <w:rPr>
          <w:rFonts w:eastAsia="Times New Roman"/>
        </w:rPr>
      </w:pPr>
      <w:r>
        <w:rPr>
          <w:rFonts w:eastAsia="Times New Roman"/>
          <w:b/>
          <w:bCs/>
          <w:color w:val="000000"/>
          <w:sz w:val="18"/>
          <w:szCs w:val="18"/>
        </w:rPr>
        <w:t>Table 3.6: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782"/>
        <w:gridCol w:w="38"/>
        <w:gridCol w:w="36"/>
        <w:gridCol w:w="36"/>
        <w:gridCol w:w="36"/>
        <w:gridCol w:w="111"/>
        <w:gridCol w:w="679"/>
        <w:gridCol w:w="36"/>
        <w:gridCol w:w="36"/>
        <w:gridCol w:w="36"/>
        <w:gridCol w:w="36"/>
        <w:gridCol w:w="82"/>
        <w:gridCol w:w="609"/>
        <w:gridCol w:w="200"/>
        <w:gridCol w:w="40"/>
        <w:gridCol w:w="207"/>
        <w:gridCol w:w="39"/>
        <w:gridCol w:w="87"/>
        <w:gridCol w:w="648"/>
        <w:gridCol w:w="200"/>
        <w:gridCol w:w="36"/>
        <w:gridCol w:w="36"/>
        <w:gridCol w:w="36"/>
        <w:gridCol w:w="81"/>
        <w:gridCol w:w="609"/>
        <w:gridCol w:w="20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14:paraId="12E5A332" w14:textId="77777777">
        <w:trPr>
          <w:divId w:val="2005549506"/>
        </w:trPr>
        <w:tc>
          <w:tcPr>
            <w:tcW w:w="50" w:type="pct"/>
            <w:vAlign w:val="center"/>
            <w:hideMark/>
          </w:tcPr>
          <w:p w14:paraId="0E79C6B7" w14:textId="77777777" w:rsidR="00000000" w:rsidRDefault="00A173A8">
            <w:pPr>
              <w:rPr>
                <w:rFonts w:eastAsia="Times New Roman"/>
              </w:rPr>
            </w:pPr>
          </w:p>
        </w:tc>
        <w:tc>
          <w:tcPr>
            <w:tcW w:w="2605" w:type="pct"/>
            <w:vAlign w:val="center"/>
            <w:hideMark/>
          </w:tcPr>
          <w:p w14:paraId="70C91FB6" w14:textId="77777777" w:rsidR="00000000" w:rsidRDefault="00A173A8">
            <w:pPr>
              <w:spacing w:after="100"/>
              <w:rPr>
                <w:rFonts w:eastAsia="Times New Roman"/>
                <w:sz w:val="20"/>
                <w:szCs w:val="20"/>
              </w:rPr>
            </w:pPr>
          </w:p>
        </w:tc>
        <w:tc>
          <w:tcPr>
            <w:tcW w:w="5" w:type="pct"/>
            <w:vAlign w:val="center"/>
            <w:hideMark/>
          </w:tcPr>
          <w:p w14:paraId="6ED28306" w14:textId="77777777" w:rsidR="00000000" w:rsidRDefault="00A173A8">
            <w:pPr>
              <w:spacing w:after="100"/>
              <w:rPr>
                <w:rFonts w:eastAsia="Times New Roman"/>
                <w:sz w:val="20"/>
                <w:szCs w:val="20"/>
              </w:rPr>
            </w:pPr>
          </w:p>
        </w:tc>
        <w:tc>
          <w:tcPr>
            <w:tcW w:w="5" w:type="pct"/>
            <w:vAlign w:val="center"/>
            <w:hideMark/>
          </w:tcPr>
          <w:p w14:paraId="1CF96B67" w14:textId="77777777" w:rsidR="00000000" w:rsidRDefault="00A173A8">
            <w:pPr>
              <w:spacing w:after="100"/>
              <w:rPr>
                <w:rFonts w:eastAsia="Times New Roman"/>
                <w:sz w:val="20"/>
                <w:szCs w:val="20"/>
              </w:rPr>
            </w:pPr>
          </w:p>
        </w:tc>
        <w:tc>
          <w:tcPr>
            <w:tcW w:w="26" w:type="pct"/>
            <w:vAlign w:val="center"/>
            <w:hideMark/>
          </w:tcPr>
          <w:p w14:paraId="279A0963" w14:textId="77777777" w:rsidR="00000000" w:rsidRDefault="00A173A8">
            <w:pPr>
              <w:spacing w:after="100"/>
              <w:rPr>
                <w:rFonts w:eastAsia="Times New Roman"/>
                <w:sz w:val="20"/>
                <w:szCs w:val="20"/>
              </w:rPr>
            </w:pPr>
          </w:p>
        </w:tc>
        <w:tc>
          <w:tcPr>
            <w:tcW w:w="5" w:type="pct"/>
            <w:vAlign w:val="center"/>
            <w:hideMark/>
          </w:tcPr>
          <w:p w14:paraId="5B66F2EE" w14:textId="77777777" w:rsidR="00000000" w:rsidRDefault="00A173A8">
            <w:pPr>
              <w:spacing w:after="100"/>
              <w:rPr>
                <w:rFonts w:eastAsia="Times New Roman"/>
                <w:sz w:val="20"/>
                <w:szCs w:val="20"/>
              </w:rPr>
            </w:pPr>
          </w:p>
        </w:tc>
        <w:tc>
          <w:tcPr>
            <w:tcW w:w="50" w:type="pct"/>
            <w:vAlign w:val="center"/>
            <w:hideMark/>
          </w:tcPr>
          <w:p w14:paraId="178277BE" w14:textId="77777777" w:rsidR="00000000" w:rsidRDefault="00A173A8">
            <w:pPr>
              <w:spacing w:after="100"/>
              <w:rPr>
                <w:rFonts w:eastAsia="Times New Roman"/>
                <w:sz w:val="20"/>
                <w:szCs w:val="20"/>
              </w:rPr>
            </w:pPr>
          </w:p>
        </w:tc>
        <w:tc>
          <w:tcPr>
            <w:tcW w:w="376" w:type="pct"/>
            <w:vAlign w:val="center"/>
            <w:hideMark/>
          </w:tcPr>
          <w:p w14:paraId="0338815A" w14:textId="77777777" w:rsidR="00000000" w:rsidRDefault="00A173A8">
            <w:pPr>
              <w:spacing w:after="100"/>
              <w:rPr>
                <w:rFonts w:eastAsia="Times New Roman"/>
                <w:sz w:val="20"/>
                <w:szCs w:val="20"/>
              </w:rPr>
            </w:pPr>
          </w:p>
        </w:tc>
        <w:tc>
          <w:tcPr>
            <w:tcW w:w="5" w:type="pct"/>
            <w:vAlign w:val="center"/>
            <w:hideMark/>
          </w:tcPr>
          <w:p w14:paraId="29C71E8E" w14:textId="77777777" w:rsidR="00000000" w:rsidRDefault="00A173A8">
            <w:pPr>
              <w:spacing w:after="100"/>
              <w:rPr>
                <w:rFonts w:eastAsia="Times New Roman"/>
                <w:sz w:val="20"/>
                <w:szCs w:val="20"/>
              </w:rPr>
            </w:pPr>
          </w:p>
        </w:tc>
        <w:tc>
          <w:tcPr>
            <w:tcW w:w="5" w:type="pct"/>
            <w:vAlign w:val="center"/>
            <w:hideMark/>
          </w:tcPr>
          <w:p w14:paraId="56EC04A7" w14:textId="77777777" w:rsidR="00000000" w:rsidRDefault="00A173A8">
            <w:pPr>
              <w:spacing w:after="100"/>
              <w:rPr>
                <w:rFonts w:eastAsia="Times New Roman"/>
                <w:sz w:val="20"/>
                <w:szCs w:val="20"/>
              </w:rPr>
            </w:pPr>
          </w:p>
        </w:tc>
        <w:tc>
          <w:tcPr>
            <w:tcW w:w="26" w:type="pct"/>
            <w:vAlign w:val="center"/>
            <w:hideMark/>
          </w:tcPr>
          <w:p w14:paraId="377B6E0F" w14:textId="77777777" w:rsidR="00000000" w:rsidRDefault="00A173A8">
            <w:pPr>
              <w:spacing w:after="100"/>
              <w:rPr>
                <w:rFonts w:eastAsia="Times New Roman"/>
                <w:sz w:val="20"/>
                <w:szCs w:val="20"/>
              </w:rPr>
            </w:pPr>
          </w:p>
        </w:tc>
        <w:tc>
          <w:tcPr>
            <w:tcW w:w="5" w:type="pct"/>
            <w:vAlign w:val="center"/>
            <w:hideMark/>
          </w:tcPr>
          <w:p w14:paraId="153A04CD" w14:textId="77777777" w:rsidR="00000000" w:rsidRDefault="00A173A8">
            <w:pPr>
              <w:spacing w:after="100"/>
              <w:rPr>
                <w:rFonts w:eastAsia="Times New Roman"/>
                <w:sz w:val="20"/>
                <w:szCs w:val="20"/>
              </w:rPr>
            </w:pPr>
          </w:p>
        </w:tc>
        <w:tc>
          <w:tcPr>
            <w:tcW w:w="50" w:type="pct"/>
            <w:vAlign w:val="center"/>
            <w:hideMark/>
          </w:tcPr>
          <w:p w14:paraId="6DD6EDA8" w14:textId="77777777" w:rsidR="00000000" w:rsidRDefault="00A173A8">
            <w:pPr>
              <w:spacing w:after="100"/>
              <w:rPr>
                <w:rFonts w:eastAsia="Times New Roman"/>
                <w:sz w:val="20"/>
                <w:szCs w:val="20"/>
              </w:rPr>
            </w:pPr>
          </w:p>
        </w:tc>
        <w:tc>
          <w:tcPr>
            <w:tcW w:w="376" w:type="pct"/>
            <w:vAlign w:val="center"/>
            <w:hideMark/>
          </w:tcPr>
          <w:p w14:paraId="69684748" w14:textId="77777777" w:rsidR="00000000" w:rsidRDefault="00A173A8">
            <w:pPr>
              <w:spacing w:after="100"/>
              <w:rPr>
                <w:rFonts w:eastAsia="Times New Roman"/>
                <w:sz w:val="20"/>
                <w:szCs w:val="20"/>
              </w:rPr>
            </w:pPr>
          </w:p>
        </w:tc>
        <w:tc>
          <w:tcPr>
            <w:tcW w:w="5" w:type="pct"/>
            <w:vAlign w:val="center"/>
            <w:hideMark/>
          </w:tcPr>
          <w:p w14:paraId="60837BBB" w14:textId="77777777" w:rsidR="00000000" w:rsidRDefault="00A173A8">
            <w:pPr>
              <w:spacing w:after="100"/>
              <w:rPr>
                <w:rFonts w:eastAsia="Times New Roman"/>
                <w:sz w:val="20"/>
                <w:szCs w:val="20"/>
              </w:rPr>
            </w:pPr>
          </w:p>
        </w:tc>
        <w:tc>
          <w:tcPr>
            <w:tcW w:w="5" w:type="pct"/>
            <w:vAlign w:val="center"/>
            <w:hideMark/>
          </w:tcPr>
          <w:p w14:paraId="2F2EA853" w14:textId="77777777" w:rsidR="00000000" w:rsidRDefault="00A173A8">
            <w:pPr>
              <w:spacing w:after="100"/>
              <w:rPr>
                <w:rFonts w:eastAsia="Times New Roman"/>
                <w:sz w:val="20"/>
                <w:szCs w:val="20"/>
              </w:rPr>
            </w:pPr>
          </w:p>
        </w:tc>
        <w:tc>
          <w:tcPr>
            <w:tcW w:w="26" w:type="pct"/>
            <w:vAlign w:val="center"/>
            <w:hideMark/>
          </w:tcPr>
          <w:p w14:paraId="2BFC4781" w14:textId="77777777" w:rsidR="00000000" w:rsidRDefault="00A173A8">
            <w:pPr>
              <w:spacing w:after="100"/>
              <w:rPr>
                <w:rFonts w:eastAsia="Times New Roman"/>
                <w:sz w:val="20"/>
                <w:szCs w:val="20"/>
              </w:rPr>
            </w:pPr>
          </w:p>
        </w:tc>
        <w:tc>
          <w:tcPr>
            <w:tcW w:w="5" w:type="pct"/>
            <w:vAlign w:val="center"/>
            <w:hideMark/>
          </w:tcPr>
          <w:p w14:paraId="084FE10E" w14:textId="77777777" w:rsidR="00000000" w:rsidRDefault="00A173A8">
            <w:pPr>
              <w:spacing w:after="100"/>
              <w:rPr>
                <w:rFonts w:eastAsia="Times New Roman"/>
                <w:sz w:val="20"/>
                <w:szCs w:val="20"/>
              </w:rPr>
            </w:pPr>
          </w:p>
        </w:tc>
        <w:tc>
          <w:tcPr>
            <w:tcW w:w="50" w:type="pct"/>
            <w:vAlign w:val="center"/>
            <w:hideMark/>
          </w:tcPr>
          <w:p w14:paraId="7B798A9B" w14:textId="77777777" w:rsidR="00000000" w:rsidRDefault="00A173A8">
            <w:pPr>
              <w:spacing w:after="100"/>
              <w:rPr>
                <w:rFonts w:eastAsia="Times New Roman"/>
                <w:sz w:val="20"/>
                <w:szCs w:val="20"/>
              </w:rPr>
            </w:pPr>
          </w:p>
        </w:tc>
        <w:tc>
          <w:tcPr>
            <w:tcW w:w="376" w:type="pct"/>
            <w:vAlign w:val="center"/>
            <w:hideMark/>
          </w:tcPr>
          <w:p w14:paraId="00C7692E" w14:textId="77777777" w:rsidR="00000000" w:rsidRDefault="00A173A8">
            <w:pPr>
              <w:spacing w:after="100"/>
              <w:rPr>
                <w:rFonts w:eastAsia="Times New Roman"/>
                <w:sz w:val="20"/>
                <w:szCs w:val="20"/>
              </w:rPr>
            </w:pPr>
          </w:p>
        </w:tc>
        <w:tc>
          <w:tcPr>
            <w:tcW w:w="5" w:type="pct"/>
            <w:vAlign w:val="center"/>
            <w:hideMark/>
          </w:tcPr>
          <w:p w14:paraId="7D1AA967" w14:textId="77777777" w:rsidR="00000000" w:rsidRDefault="00A173A8">
            <w:pPr>
              <w:spacing w:after="100"/>
              <w:rPr>
                <w:rFonts w:eastAsia="Times New Roman"/>
                <w:sz w:val="20"/>
                <w:szCs w:val="20"/>
              </w:rPr>
            </w:pPr>
          </w:p>
        </w:tc>
        <w:tc>
          <w:tcPr>
            <w:tcW w:w="5" w:type="pct"/>
            <w:vAlign w:val="center"/>
            <w:hideMark/>
          </w:tcPr>
          <w:p w14:paraId="02E1CE42" w14:textId="77777777" w:rsidR="00000000" w:rsidRDefault="00A173A8">
            <w:pPr>
              <w:spacing w:after="100"/>
              <w:rPr>
                <w:rFonts w:eastAsia="Times New Roman"/>
                <w:sz w:val="20"/>
                <w:szCs w:val="20"/>
              </w:rPr>
            </w:pPr>
          </w:p>
        </w:tc>
        <w:tc>
          <w:tcPr>
            <w:tcW w:w="26" w:type="pct"/>
            <w:vAlign w:val="center"/>
            <w:hideMark/>
          </w:tcPr>
          <w:p w14:paraId="2BB25FF7" w14:textId="77777777" w:rsidR="00000000" w:rsidRDefault="00A173A8">
            <w:pPr>
              <w:spacing w:after="100"/>
              <w:rPr>
                <w:rFonts w:eastAsia="Times New Roman"/>
                <w:sz w:val="20"/>
                <w:szCs w:val="20"/>
              </w:rPr>
            </w:pPr>
          </w:p>
        </w:tc>
        <w:tc>
          <w:tcPr>
            <w:tcW w:w="5" w:type="pct"/>
            <w:vAlign w:val="center"/>
            <w:hideMark/>
          </w:tcPr>
          <w:p w14:paraId="75186417" w14:textId="77777777" w:rsidR="00000000" w:rsidRDefault="00A173A8">
            <w:pPr>
              <w:spacing w:after="100"/>
              <w:rPr>
                <w:rFonts w:eastAsia="Times New Roman"/>
                <w:sz w:val="20"/>
                <w:szCs w:val="20"/>
              </w:rPr>
            </w:pPr>
          </w:p>
        </w:tc>
        <w:tc>
          <w:tcPr>
            <w:tcW w:w="50" w:type="pct"/>
            <w:vAlign w:val="center"/>
            <w:hideMark/>
          </w:tcPr>
          <w:p w14:paraId="43C4C3A3" w14:textId="77777777" w:rsidR="00000000" w:rsidRDefault="00A173A8">
            <w:pPr>
              <w:spacing w:after="100"/>
              <w:rPr>
                <w:rFonts w:eastAsia="Times New Roman"/>
                <w:sz w:val="20"/>
                <w:szCs w:val="20"/>
              </w:rPr>
            </w:pPr>
          </w:p>
        </w:tc>
        <w:tc>
          <w:tcPr>
            <w:tcW w:w="376" w:type="pct"/>
            <w:vAlign w:val="center"/>
            <w:hideMark/>
          </w:tcPr>
          <w:p w14:paraId="6E9212AA" w14:textId="77777777" w:rsidR="00000000" w:rsidRDefault="00A173A8">
            <w:pPr>
              <w:spacing w:after="100"/>
              <w:rPr>
                <w:rFonts w:eastAsia="Times New Roman"/>
                <w:sz w:val="20"/>
                <w:szCs w:val="20"/>
              </w:rPr>
            </w:pPr>
          </w:p>
        </w:tc>
        <w:tc>
          <w:tcPr>
            <w:tcW w:w="5" w:type="pct"/>
            <w:vAlign w:val="center"/>
            <w:hideMark/>
          </w:tcPr>
          <w:p w14:paraId="74E2E46A" w14:textId="77777777" w:rsidR="00000000" w:rsidRDefault="00A173A8">
            <w:pPr>
              <w:spacing w:after="100"/>
              <w:rPr>
                <w:rFonts w:eastAsia="Times New Roman"/>
                <w:sz w:val="20"/>
                <w:szCs w:val="20"/>
              </w:rPr>
            </w:pPr>
          </w:p>
        </w:tc>
        <w:tc>
          <w:tcPr>
            <w:tcW w:w="5" w:type="pct"/>
            <w:vAlign w:val="center"/>
            <w:hideMark/>
          </w:tcPr>
          <w:p w14:paraId="3F619CA3" w14:textId="77777777" w:rsidR="00000000" w:rsidRDefault="00A173A8">
            <w:pPr>
              <w:spacing w:after="100"/>
              <w:rPr>
                <w:rFonts w:eastAsia="Times New Roman"/>
                <w:sz w:val="20"/>
                <w:szCs w:val="20"/>
              </w:rPr>
            </w:pPr>
          </w:p>
        </w:tc>
        <w:tc>
          <w:tcPr>
            <w:tcW w:w="26" w:type="pct"/>
            <w:vAlign w:val="center"/>
            <w:hideMark/>
          </w:tcPr>
          <w:p w14:paraId="1EC2E2DF" w14:textId="77777777" w:rsidR="00000000" w:rsidRDefault="00A173A8">
            <w:pPr>
              <w:spacing w:after="100"/>
              <w:rPr>
                <w:rFonts w:eastAsia="Times New Roman"/>
                <w:sz w:val="20"/>
                <w:szCs w:val="20"/>
              </w:rPr>
            </w:pPr>
          </w:p>
        </w:tc>
        <w:tc>
          <w:tcPr>
            <w:tcW w:w="5" w:type="pct"/>
            <w:vAlign w:val="center"/>
            <w:hideMark/>
          </w:tcPr>
          <w:p w14:paraId="35864DB1" w14:textId="77777777" w:rsidR="00000000" w:rsidRDefault="00A173A8">
            <w:pPr>
              <w:spacing w:after="100"/>
              <w:rPr>
                <w:rFonts w:eastAsia="Times New Roman"/>
                <w:sz w:val="20"/>
                <w:szCs w:val="20"/>
              </w:rPr>
            </w:pPr>
          </w:p>
        </w:tc>
        <w:tc>
          <w:tcPr>
            <w:tcW w:w="50" w:type="pct"/>
            <w:vAlign w:val="center"/>
            <w:hideMark/>
          </w:tcPr>
          <w:p w14:paraId="7C5F607B" w14:textId="77777777" w:rsidR="00000000" w:rsidRDefault="00A173A8">
            <w:pPr>
              <w:spacing w:after="100"/>
              <w:rPr>
                <w:rFonts w:eastAsia="Times New Roman"/>
                <w:sz w:val="20"/>
                <w:szCs w:val="20"/>
              </w:rPr>
            </w:pPr>
          </w:p>
        </w:tc>
        <w:tc>
          <w:tcPr>
            <w:tcW w:w="376" w:type="pct"/>
            <w:vAlign w:val="center"/>
            <w:hideMark/>
          </w:tcPr>
          <w:p w14:paraId="72053F13" w14:textId="77777777" w:rsidR="00000000" w:rsidRDefault="00A173A8">
            <w:pPr>
              <w:spacing w:after="100"/>
              <w:rPr>
                <w:rFonts w:eastAsia="Times New Roman"/>
                <w:sz w:val="20"/>
                <w:szCs w:val="20"/>
              </w:rPr>
            </w:pPr>
          </w:p>
        </w:tc>
        <w:tc>
          <w:tcPr>
            <w:tcW w:w="5" w:type="pct"/>
            <w:vAlign w:val="center"/>
            <w:hideMark/>
          </w:tcPr>
          <w:p w14:paraId="4E51A76D" w14:textId="77777777" w:rsidR="00000000" w:rsidRDefault="00A173A8">
            <w:pPr>
              <w:spacing w:after="100"/>
              <w:rPr>
                <w:rFonts w:eastAsia="Times New Roman"/>
                <w:sz w:val="20"/>
                <w:szCs w:val="20"/>
              </w:rPr>
            </w:pPr>
          </w:p>
        </w:tc>
        <w:tc>
          <w:tcPr>
            <w:tcW w:w="0" w:type="auto"/>
            <w:gridSpan w:val="3"/>
            <w:vAlign w:val="center"/>
            <w:hideMark/>
          </w:tcPr>
          <w:p w14:paraId="2D90CD40" w14:textId="77777777" w:rsidR="00000000" w:rsidRDefault="00A173A8">
            <w:pPr>
              <w:spacing w:after="100"/>
              <w:rPr>
                <w:rFonts w:eastAsia="Times New Roman"/>
                <w:sz w:val="20"/>
                <w:szCs w:val="20"/>
              </w:rPr>
            </w:pPr>
          </w:p>
        </w:tc>
        <w:tc>
          <w:tcPr>
            <w:tcW w:w="0" w:type="auto"/>
            <w:gridSpan w:val="3"/>
            <w:vAlign w:val="center"/>
            <w:hideMark/>
          </w:tcPr>
          <w:p w14:paraId="271EE31F" w14:textId="77777777" w:rsidR="00000000" w:rsidRDefault="00A173A8">
            <w:pPr>
              <w:spacing w:after="100"/>
              <w:rPr>
                <w:rFonts w:eastAsia="Times New Roman"/>
                <w:sz w:val="20"/>
                <w:szCs w:val="20"/>
              </w:rPr>
            </w:pPr>
          </w:p>
        </w:tc>
        <w:tc>
          <w:tcPr>
            <w:tcW w:w="0" w:type="auto"/>
            <w:gridSpan w:val="3"/>
            <w:vAlign w:val="center"/>
            <w:hideMark/>
          </w:tcPr>
          <w:p w14:paraId="66FBF20D" w14:textId="77777777" w:rsidR="00000000" w:rsidRDefault="00A173A8">
            <w:pPr>
              <w:spacing w:after="100"/>
              <w:rPr>
                <w:rFonts w:eastAsia="Times New Roman"/>
                <w:sz w:val="20"/>
                <w:szCs w:val="20"/>
              </w:rPr>
            </w:pPr>
          </w:p>
        </w:tc>
        <w:tc>
          <w:tcPr>
            <w:tcW w:w="0" w:type="auto"/>
            <w:gridSpan w:val="3"/>
            <w:vAlign w:val="center"/>
            <w:hideMark/>
          </w:tcPr>
          <w:p w14:paraId="6A81DC19" w14:textId="77777777" w:rsidR="00000000" w:rsidRDefault="00A173A8">
            <w:pPr>
              <w:spacing w:after="100"/>
              <w:rPr>
                <w:rFonts w:eastAsia="Times New Roman"/>
                <w:sz w:val="20"/>
                <w:szCs w:val="20"/>
              </w:rPr>
            </w:pPr>
          </w:p>
        </w:tc>
      </w:tr>
      <w:tr w:rsidR="00000000" w14:paraId="1FAD9D0D" w14:textId="77777777">
        <w:trPr>
          <w:divId w:val="2005549506"/>
        </w:trPr>
        <w:tc>
          <w:tcPr>
            <w:tcW w:w="0" w:type="auto"/>
            <w:gridSpan w:val="3"/>
            <w:tcMar>
              <w:top w:w="0" w:type="dxa"/>
              <w:left w:w="20" w:type="dxa"/>
              <w:bottom w:w="0" w:type="dxa"/>
              <w:right w:w="20" w:type="dxa"/>
            </w:tcMar>
            <w:vAlign w:val="center"/>
            <w:hideMark/>
          </w:tcPr>
          <w:p w14:paraId="0EB26F2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5F41F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73C62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84A872" w14:textId="77777777" w:rsidR="00000000" w:rsidRDefault="00A173A8">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6F3EE9B0" w14:textId="77777777" w:rsidR="00000000" w:rsidRDefault="00A173A8">
            <w:pPr>
              <w:spacing w:after="100"/>
              <w:jc w:val="center"/>
              <w:rPr>
                <w:rFonts w:eastAsia="Times New Roman"/>
              </w:rPr>
            </w:pPr>
            <w:r>
              <w:rPr>
                <w:rFonts w:eastAsia="Times New Roman"/>
                <w:b/>
                <w:bCs/>
                <w:color w:val="000000"/>
                <w:sz w:val="16"/>
                <w:szCs w:val="16"/>
              </w:rPr>
              <w:t>Three Months Ended June 30, 2022</w:t>
            </w:r>
          </w:p>
        </w:tc>
        <w:tc>
          <w:tcPr>
            <w:tcW w:w="0" w:type="auto"/>
            <w:vAlign w:val="center"/>
            <w:hideMark/>
          </w:tcPr>
          <w:p w14:paraId="5B9801B1" w14:textId="77777777" w:rsidR="00000000" w:rsidRDefault="00A173A8">
            <w:pPr>
              <w:spacing w:after="100"/>
              <w:rPr>
                <w:rFonts w:eastAsia="Times New Roman"/>
                <w:sz w:val="20"/>
                <w:szCs w:val="20"/>
              </w:rPr>
            </w:pPr>
          </w:p>
        </w:tc>
        <w:tc>
          <w:tcPr>
            <w:tcW w:w="0" w:type="auto"/>
            <w:vAlign w:val="center"/>
            <w:hideMark/>
          </w:tcPr>
          <w:p w14:paraId="7185CDC5" w14:textId="77777777" w:rsidR="00000000" w:rsidRDefault="00A173A8">
            <w:pPr>
              <w:spacing w:after="100"/>
              <w:rPr>
                <w:rFonts w:eastAsia="Times New Roman"/>
                <w:sz w:val="20"/>
                <w:szCs w:val="20"/>
              </w:rPr>
            </w:pPr>
          </w:p>
        </w:tc>
        <w:tc>
          <w:tcPr>
            <w:tcW w:w="0" w:type="auto"/>
            <w:vAlign w:val="center"/>
            <w:hideMark/>
          </w:tcPr>
          <w:p w14:paraId="3534030A" w14:textId="77777777" w:rsidR="00000000" w:rsidRDefault="00A173A8">
            <w:pPr>
              <w:spacing w:after="100"/>
              <w:rPr>
                <w:rFonts w:eastAsia="Times New Roman"/>
                <w:sz w:val="20"/>
                <w:szCs w:val="20"/>
              </w:rPr>
            </w:pPr>
          </w:p>
        </w:tc>
        <w:tc>
          <w:tcPr>
            <w:tcW w:w="0" w:type="auto"/>
            <w:vAlign w:val="center"/>
            <w:hideMark/>
          </w:tcPr>
          <w:p w14:paraId="276575DE" w14:textId="77777777" w:rsidR="00000000" w:rsidRDefault="00A173A8">
            <w:pPr>
              <w:spacing w:after="100"/>
              <w:rPr>
                <w:rFonts w:eastAsia="Times New Roman"/>
                <w:sz w:val="20"/>
                <w:szCs w:val="20"/>
              </w:rPr>
            </w:pPr>
          </w:p>
        </w:tc>
        <w:tc>
          <w:tcPr>
            <w:tcW w:w="0" w:type="auto"/>
            <w:vAlign w:val="center"/>
            <w:hideMark/>
          </w:tcPr>
          <w:p w14:paraId="7A679A50" w14:textId="77777777" w:rsidR="00000000" w:rsidRDefault="00A173A8">
            <w:pPr>
              <w:spacing w:after="100"/>
              <w:rPr>
                <w:rFonts w:eastAsia="Times New Roman"/>
                <w:sz w:val="20"/>
                <w:szCs w:val="20"/>
              </w:rPr>
            </w:pPr>
          </w:p>
        </w:tc>
        <w:tc>
          <w:tcPr>
            <w:tcW w:w="0" w:type="auto"/>
            <w:vAlign w:val="center"/>
            <w:hideMark/>
          </w:tcPr>
          <w:p w14:paraId="7397F901" w14:textId="77777777" w:rsidR="00000000" w:rsidRDefault="00A173A8">
            <w:pPr>
              <w:spacing w:after="100"/>
              <w:rPr>
                <w:rFonts w:eastAsia="Times New Roman"/>
                <w:sz w:val="20"/>
                <w:szCs w:val="20"/>
              </w:rPr>
            </w:pPr>
          </w:p>
        </w:tc>
        <w:tc>
          <w:tcPr>
            <w:tcW w:w="0" w:type="auto"/>
            <w:vAlign w:val="center"/>
            <w:hideMark/>
          </w:tcPr>
          <w:p w14:paraId="283884A4" w14:textId="77777777" w:rsidR="00000000" w:rsidRDefault="00A173A8">
            <w:pPr>
              <w:spacing w:after="100"/>
              <w:rPr>
                <w:rFonts w:eastAsia="Times New Roman"/>
                <w:sz w:val="20"/>
                <w:szCs w:val="20"/>
              </w:rPr>
            </w:pPr>
          </w:p>
        </w:tc>
        <w:tc>
          <w:tcPr>
            <w:tcW w:w="0" w:type="auto"/>
            <w:vAlign w:val="center"/>
            <w:hideMark/>
          </w:tcPr>
          <w:p w14:paraId="1B454300" w14:textId="77777777" w:rsidR="00000000" w:rsidRDefault="00A173A8">
            <w:pPr>
              <w:spacing w:after="100"/>
              <w:rPr>
                <w:rFonts w:eastAsia="Times New Roman"/>
                <w:sz w:val="20"/>
                <w:szCs w:val="20"/>
              </w:rPr>
            </w:pPr>
          </w:p>
        </w:tc>
        <w:tc>
          <w:tcPr>
            <w:tcW w:w="0" w:type="auto"/>
            <w:vAlign w:val="center"/>
            <w:hideMark/>
          </w:tcPr>
          <w:p w14:paraId="4B280C0D" w14:textId="77777777" w:rsidR="00000000" w:rsidRDefault="00A173A8">
            <w:pPr>
              <w:spacing w:after="100"/>
              <w:rPr>
                <w:rFonts w:eastAsia="Times New Roman"/>
                <w:sz w:val="20"/>
                <w:szCs w:val="20"/>
              </w:rPr>
            </w:pPr>
          </w:p>
        </w:tc>
        <w:tc>
          <w:tcPr>
            <w:tcW w:w="0" w:type="auto"/>
            <w:vAlign w:val="center"/>
            <w:hideMark/>
          </w:tcPr>
          <w:p w14:paraId="5A631946" w14:textId="77777777" w:rsidR="00000000" w:rsidRDefault="00A173A8">
            <w:pPr>
              <w:spacing w:after="100"/>
              <w:rPr>
                <w:rFonts w:eastAsia="Times New Roman"/>
                <w:sz w:val="20"/>
                <w:szCs w:val="20"/>
              </w:rPr>
            </w:pPr>
          </w:p>
        </w:tc>
        <w:tc>
          <w:tcPr>
            <w:tcW w:w="0" w:type="auto"/>
            <w:vAlign w:val="center"/>
            <w:hideMark/>
          </w:tcPr>
          <w:p w14:paraId="26CD885E" w14:textId="77777777" w:rsidR="00000000" w:rsidRDefault="00A173A8">
            <w:pPr>
              <w:spacing w:after="100"/>
              <w:rPr>
                <w:rFonts w:eastAsia="Times New Roman"/>
                <w:sz w:val="20"/>
                <w:szCs w:val="20"/>
              </w:rPr>
            </w:pPr>
          </w:p>
        </w:tc>
        <w:tc>
          <w:tcPr>
            <w:tcW w:w="0" w:type="auto"/>
            <w:vAlign w:val="center"/>
            <w:hideMark/>
          </w:tcPr>
          <w:p w14:paraId="35F5543E" w14:textId="77777777" w:rsidR="00000000" w:rsidRDefault="00A173A8">
            <w:pPr>
              <w:spacing w:after="100"/>
              <w:rPr>
                <w:rFonts w:eastAsia="Times New Roman"/>
                <w:sz w:val="20"/>
                <w:szCs w:val="20"/>
              </w:rPr>
            </w:pPr>
          </w:p>
        </w:tc>
      </w:tr>
      <w:tr w:rsidR="00000000" w14:paraId="366700F4" w14:textId="77777777">
        <w:trPr>
          <w:divId w:val="2005549506"/>
        </w:trPr>
        <w:tc>
          <w:tcPr>
            <w:tcW w:w="0" w:type="auto"/>
            <w:gridSpan w:val="3"/>
            <w:tcMar>
              <w:top w:w="0" w:type="dxa"/>
              <w:left w:w="20" w:type="dxa"/>
              <w:bottom w:w="0" w:type="dxa"/>
              <w:right w:w="20" w:type="dxa"/>
            </w:tcMar>
            <w:vAlign w:val="center"/>
            <w:hideMark/>
          </w:tcPr>
          <w:p w14:paraId="626EBCFC"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D54F16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BDDEC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1924E7"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0A9A83C" w14:textId="77777777" w:rsidR="00000000" w:rsidRDefault="00A173A8">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57A7B201"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764B0A5" w14:textId="77777777" w:rsidR="00000000" w:rsidRDefault="00A173A8">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14:paraId="4CD99371" w14:textId="77777777" w:rsidR="00000000" w:rsidRDefault="00A173A8">
            <w:pPr>
              <w:spacing w:after="100"/>
              <w:jc w:val="center"/>
              <w:rPr>
                <w:rFonts w:eastAsia="Times New Roman"/>
              </w:rPr>
            </w:pPr>
          </w:p>
        </w:tc>
        <w:tc>
          <w:tcPr>
            <w:tcW w:w="0" w:type="auto"/>
            <w:gridSpan w:val="3"/>
            <w:vAlign w:val="center"/>
            <w:hideMark/>
          </w:tcPr>
          <w:p w14:paraId="51FA264C" w14:textId="77777777" w:rsidR="00000000" w:rsidRDefault="00A173A8">
            <w:pPr>
              <w:spacing w:after="100"/>
              <w:rPr>
                <w:rFonts w:eastAsia="Times New Roman"/>
                <w:sz w:val="20"/>
                <w:szCs w:val="20"/>
              </w:rPr>
            </w:pPr>
          </w:p>
        </w:tc>
        <w:tc>
          <w:tcPr>
            <w:tcW w:w="0" w:type="auto"/>
            <w:vAlign w:val="center"/>
            <w:hideMark/>
          </w:tcPr>
          <w:p w14:paraId="049C200F" w14:textId="77777777" w:rsidR="00000000" w:rsidRDefault="00A173A8">
            <w:pPr>
              <w:spacing w:after="100"/>
              <w:rPr>
                <w:rFonts w:eastAsia="Times New Roman"/>
                <w:sz w:val="20"/>
                <w:szCs w:val="20"/>
              </w:rPr>
            </w:pPr>
          </w:p>
        </w:tc>
        <w:tc>
          <w:tcPr>
            <w:tcW w:w="0" w:type="auto"/>
            <w:vAlign w:val="center"/>
            <w:hideMark/>
          </w:tcPr>
          <w:p w14:paraId="748688E2" w14:textId="77777777" w:rsidR="00000000" w:rsidRDefault="00A173A8">
            <w:pPr>
              <w:spacing w:after="100"/>
              <w:rPr>
                <w:rFonts w:eastAsia="Times New Roman"/>
                <w:sz w:val="20"/>
                <w:szCs w:val="20"/>
              </w:rPr>
            </w:pPr>
          </w:p>
        </w:tc>
        <w:tc>
          <w:tcPr>
            <w:tcW w:w="0" w:type="auto"/>
            <w:vAlign w:val="center"/>
            <w:hideMark/>
          </w:tcPr>
          <w:p w14:paraId="683E3119" w14:textId="77777777" w:rsidR="00000000" w:rsidRDefault="00A173A8">
            <w:pPr>
              <w:spacing w:after="100"/>
              <w:rPr>
                <w:rFonts w:eastAsia="Times New Roman"/>
                <w:sz w:val="20"/>
                <w:szCs w:val="20"/>
              </w:rPr>
            </w:pPr>
          </w:p>
        </w:tc>
        <w:tc>
          <w:tcPr>
            <w:tcW w:w="0" w:type="auto"/>
            <w:vAlign w:val="center"/>
            <w:hideMark/>
          </w:tcPr>
          <w:p w14:paraId="34EE749C" w14:textId="77777777" w:rsidR="00000000" w:rsidRDefault="00A173A8">
            <w:pPr>
              <w:spacing w:after="100"/>
              <w:rPr>
                <w:rFonts w:eastAsia="Times New Roman"/>
                <w:sz w:val="20"/>
                <w:szCs w:val="20"/>
              </w:rPr>
            </w:pPr>
          </w:p>
        </w:tc>
        <w:tc>
          <w:tcPr>
            <w:tcW w:w="0" w:type="auto"/>
            <w:vAlign w:val="center"/>
            <w:hideMark/>
          </w:tcPr>
          <w:p w14:paraId="3AFC470F" w14:textId="77777777" w:rsidR="00000000" w:rsidRDefault="00A173A8">
            <w:pPr>
              <w:spacing w:after="100"/>
              <w:rPr>
                <w:rFonts w:eastAsia="Times New Roman"/>
                <w:sz w:val="20"/>
                <w:szCs w:val="20"/>
              </w:rPr>
            </w:pPr>
          </w:p>
        </w:tc>
        <w:tc>
          <w:tcPr>
            <w:tcW w:w="0" w:type="auto"/>
            <w:vAlign w:val="center"/>
            <w:hideMark/>
          </w:tcPr>
          <w:p w14:paraId="7B3EE1BD" w14:textId="77777777" w:rsidR="00000000" w:rsidRDefault="00A173A8">
            <w:pPr>
              <w:spacing w:after="100"/>
              <w:rPr>
                <w:rFonts w:eastAsia="Times New Roman"/>
                <w:sz w:val="20"/>
                <w:szCs w:val="20"/>
              </w:rPr>
            </w:pPr>
          </w:p>
        </w:tc>
      </w:tr>
      <w:tr w:rsidR="00000000" w14:paraId="6635C341" w14:textId="77777777">
        <w:trPr>
          <w:divId w:val="2005549506"/>
        </w:trPr>
        <w:tc>
          <w:tcPr>
            <w:tcW w:w="0" w:type="auto"/>
            <w:gridSpan w:val="3"/>
            <w:tcBorders>
              <w:bottom w:val="single" w:sz="8" w:space="0" w:color="000000"/>
            </w:tcBorders>
            <w:tcMar>
              <w:top w:w="30" w:type="dxa"/>
              <w:left w:w="20" w:type="dxa"/>
              <w:bottom w:w="30" w:type="dxa"/>
              <w:right w:w="20" w:type="dxa"/>
            </w:tcMar>
            <w:vAlign w:val="bottom"/>
            <w:hideMark/>
          </w:tcPr>
          <w:p w14:paraId="289C5CB2"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119CDA28" w14:textId="77777777" w:rsidR="00000000" w:rsidRDefault="00A173A8">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969DA91" w14:textId="77777777" w:rsidR="00000000" w:rsidRDefault="00A173A8">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7CF2C2B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823EE39" w14:textId="77777777" w:rsidR="00000000" w:rsidRDefault="00A173A8">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576C62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89D21B6" w14:textId="77777777" w:rsidR="00000000" w:rsidRDefault="00A173A8">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5F22FE8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C8BA92E" w14:textId="77777777" w:rsidR="00000000" w:rsidRDefault="00A173A8">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4E63AA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640210" w14:textId="77777777" w:rsidR="00000000" w:rsidRDefault="00A173A8">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14:paraId="7AAFF60D" w14:textId="77777777" w:rsidR="00000000" w:rsidRDefault="00A173A8">
            <w:pPr>
              <w:spacing w:after="100"/>
              <w:jc w:val="center"/>
              <w:rPr>
                <w:rFonts w:eastAsia="Times New Roman"/>
              </w:rPr>
            </w:pPr>
          </w:p>
        </w:tc>
        <w:tc>
          <w:tcPr>
            <w:tcW w:w="0" w:type="auto"/>
            <w:gridSpan w:val="3"/>
            <w:vAlign w:val="center"/>
            <w:hideMark/>
          </w:tcPr>
          <w:p w14:paraId="4B7F538C" w14:textId="77777777" w:rsidR="00000000" w:rsidRDefault="00A173A8">
            <w:pPr>
              <w:spacing w:after="100"/>
              <w:rPr>
                <w:rFonts w:eastAsia="Times New Roman"/>
                <w:sz w:val="20"/>
                <w:szCs w:val="20"/>
              </w:rPr>
            </w:pPr>
          </w:p>
        </w:tc>
        <w:tc>
          <w:tcPr>
            <w:tcW w:w="0" w:type="auto"/>
            <w:gridSpan w:val="3"/>
            <w:vAlign w:val="center"/>
            <w:hideMark/>
          </w:tcPr>
          <w:p w14:paraId="6EB50164" w14:textId="77777777" w:rsidR="00000000" w:rsidRDefault="00A173A8">
            <w:pPr>
              <w:spacing w:after="100"/>
              <w:rPr>
                <w:rFonts w:eastAsia="Times New Roman"/>
                <w:sz w:val="20"/>
                <w:szCs w:val="20"/>
              </w:rPr>
            </w:pPr>
          </w:p>
        </w:tc>
        <w:tc>
          <w:tcPr>
            <w:tcW w:w="0" w:type="auto"/>
            <w:gridSpan w:val="3"/>
            <w:vAlign w:val="center"/>
            <w:hideMark/>
          </w:tcPr>
          <w:p w14:paraId="310349DF" w14:textId="77777777" w:rsidR="00000000" w:rsidRDefault="00A173A8">
            <w:pPr>
              <w:spacing w:after="100"/>
              <w:rPr>
                <w:rFonts w:eastAsia="Times New Roman"/>
                <w:sz w:val="20"/>
                <w:szCs w:val="20"/>
              </w:rPr>
            </w:pPr>
          </w:p>
        </w:tc>
      </w:tr>
      <w:tr w:rsidR="00000000" w14:paraId="3314B9B4" w14:textId="77777777">
        <w:trPr>
          <w:divId w:val="20055495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7908D40" w14:textId="77777777" w:rsidR="00000000" w:rsidRDefault="00A173A8">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3F8794A9"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5EEB0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6AC73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68EC0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34D0F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4091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09A85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8B0A4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166AB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0899F1" w14:textId="77777777" w:rsidR="00000000" w:rsidRDefault="00A173A8">
            <w:pPr>
              <w:spacing w:after="100"/>
              <w:rPr>
                <w:rFonts w:eastAsia="Times New Roman"/>
                <w:sz w:val="20"/>
                <w:szCs w:val="20"/>
              </w:rPr>
            </w:pPr>
          </w:p>
        </w:tc>
        <w:tc>
          <w:tcPr>
            <w:tcW w:w="0" w:type="auto"/>
            <w:gridSpan w:val="3"/>
            <w:vAlign w:val="center"/>
            <w:hideMark/>
          </w:tcPr>
          <w:p w14:paraId="55067383" w14:textId="77777777" w:rsidR="00000000" w:rsidRDefault="00A173A8">
            <w:pPr>
              <w:spacing w:after="100"/>
              <w:rPr>
                <w:rFonts w:eastAsia="Times New Roman"/>
                <w:sz w:val="20"/>
                <w:szCs w:val="20"/>
              </w:rPr>
            </w:pPr>
          </w:p>
        </w:tc>
        <w:tc>
          <w:tcPr>
            <w:tcW w:w="0" w:type="auto"/>
            <w:gridSpan w:val="3"/>
            <w:vAlign w:val="center"/>
            <w:hideMark/>
          </w:tcPr>
          <w:p w14:paraId="738A54EF" w14:textId="77777777" w:rsidR="00000000" w:rsidRDefault="00A173A8">
            <w:pPr>
              <w:spacing w:after="100"/>
              <w:rPr>
                <w:rFonts w:eastAsia="Times New Roman"/>
                <w:sz w:val="20"/>
                <w:szCs w:val="20"/>
              </w:rPr>
            </w:pPr>
          </w:p>
        </w:tc>
        <w:tc>
          <w:tcPr>
            <w:tcW w:w="0" w:type="auto"/>
            <w:gridSpan w:val="3"/>
            <w:vAlign w:val="center"/>
            <w:hideMark/>
          </w:tcPr>
          <w:p w14:paraId="1CE947B1" w14:textId="77777777" w:rsidR="00000000" w:rsidRDefault="00A173A8">
            <w:pPr>
              <w:spacing w:after="100"/>
              <w:rPr>
                <w:rFonts w:eastAsia="Times New Roman"/>
                <w:sz w:val="20"/>
                <w:szCs w:val="20"/>
              </w:rPr>
            </w:pPr>
          </w:p>
        </w:tc>
        <w:tc>
          <w:tcPr>
            <w:tcW w:w="0" w:type="auto"/>
            <w:gridSpan w:val="3"/>
            <w:vAlign w:val="center"/>
            <w:hideMark/>
          </w:tcPr>
          <w:p w14:paraId="3C70164F" w14:textId="77777777" w:rsidR="00000000" w:rsidRDefault="00A173A8">
            <w:pPr>
              <w:spacing w:after="100"/>
              <w:rPr>
                <w:rFonts w:eastAsia="Times New Roman"/>
                <w:sz w:val="20"/>
                <w:szCs w:val="20"/>
              </w:rPr>
            </w:pPr>
          </w:p>
        </w:tc>
      </w:tr>
      <w:tr w:rsidR="00000000" w14:paraId="1A809D3B" w14:textId="77777777">
        <w:trPr>
          <w:divId w:val="2005549506"/>
        </w:trPr>
        <w:tc>
          <w:tcPr>
            <w:tcW w:w="0" w:type="auto"/>
            <w:gridSpan w:val="3"/>
            <w:shd w:val="clear" w:color="auto" w:fill="FFFFFF"/>
            <w:tcMar>
              <w:top w:w="30" w:type="dxa"/>
              <w:left w:w="245" w:type="dxa"/>
              <w:bottom w:w="30" w:type="dxa"/>
              <w:right w:w="20" w:type="dxa"/>
            </w:tcMar>
            <w:vAlign w:val="center"/>
            <w:hideMark/>
          </w:tcPr>
          <w:p w14:paraId="3D250289" w14:textId="77777777" w:rsidR="00000000" w:rsidRDefault="00A173A8">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4FDF1AEF"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D192282"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084DAD59" w14:textId="77777777" w:rsidR="00000000" w:rsidRDefault="00A173A8">
            <w:pPr>
              <w:spacing w:after="100"/>
              <w:jc w:val="right"/>
              <w:rPr>
                <w:rFonts w:eastAsia="Times New Roman"/>
              </w:rPr>
            </w:pPr>
            <w:r>
              <w:rPr>
                <w:rFonts w:eastAsia="Times New Roman"/>
                <w:b/>
                <w:bCs/>
                <w:color w:val="000000"/>
                <w:sz w:val="18"/>
                <w:szCs w:val="18"/>
              </w:rPr>
              <w:t>57</w:t>
            </w:r>
          </w:p>
        </w:tc>
        <w:tc>
          <w:tcPr>
            <w:tcW w:w="0" w:type="auto"/>
            <w:gridSpan w:val="3"/>
            <w:shd w:val="clear" w:color="auto" w:fill="FFFFFF"/>
            <w:tcMar>
              <w:top w:w="0" w:type="dxa"/>
              <w:left w:w="20" w:type="dxa"/>
              <w:bottom w:w="0" w:type="dxa"/>
              <w:right w:w="20" w:type="dxa"/>
            </w:tcMar>
            <w:vAlign w:val="center"/>
            <w:hideMark/>
          </w:tcPr>
          <w:p w14:paraId="26FFD3D3"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F6E0ABD" w14:textId="77777777" w:rsidR="00000000" w:rsidRDefault="00A173A8">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9EBA44"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35CB918"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73580E5" w14:textId="77777777" w:rsidR="00000000" w:rsidRDefault="00A173A8">
            <w:pPr>
              <w:spacing w:after="100"/>
              <w:jc w:val="right"/>
              <w:rPr>
                <w:rFonts w:eastAsia="Times New Roman"/>
              </w:rPr>
            </w:pPr>
            <w:r>
              <w:rPr>
                <w:rFonts w:eastAsia="Times New Roman"/>
                <w:b/>
                <w:bCs/>
                <w:color w:val="000000"/>
                <w:sz w:val="18"/>
                <w:szCs w:val="18"/>
              </w:rPr>
              <w:t>15.56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A9EAD5B"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046D3F93"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6E2C90C3"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3EBA890B"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5283CBF"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43AF2562" w14:textId="77777777" w:rsidR="00000000" w:rsidRDefault="00A173A8">
            <w:pPr>
              <w:spacing w:after="100"/>
              <w:jc w:val="right"/>
              <w:rPr>
                <w:rFonts w:eastAsia="Times New Roman"/>
              </w:rPr>
            </w:pPr>
          </w:p>
        </w:tc>
        <w:tc>
          <w:tcPr>
            <w:tcW w:w="0" w:type="auto"/>
            <w:gridSpan w:val="3"/>
            <w:vAlign w:val="center"/>
            <w:hideMark/>
          </w:tcPr>
          <w:p w14:paraId="3139EAB5" w14:textId="77777777" w:rsidR="00000000" w:rsidRDefault="00A173A8">
            <w:pPr>
              <w:spacing w:after="100"/>
              <w:rPr>
                <w:rFonts w:eastAsia="Times New Roman"/>
                <w:sz w:val="20"/>
                <w:szCs w:val="20"/>
              </w:rPr>
            </w:pPr>
          </w:p>
        </w:tc>
        <w:tc>
          <w:tcPr>
            <w:tcW w:w="0" w:type="auto"/>
            <w:gridSpan w:val="3"/>
            <w:vAlign w:val="center"/>
            <w:hideMark/>
          </w:tcPr>
          <w:p w14:paraId="15EDEDE2" w14:textId="77777777" w:rsidR="00000000" w:rsidRDefault="00A173A8">
            <w:pPr>
              <w:spacing w:after="100"/>
              <w:rPr>
                <w:rFonts w:eastAsia="Times New Roman"/>
                <w:sz w:val="20"/>
                <w:szCs w:val="20"/>
              </w:rPr>
            </w:pPr>
          </w:p>
        </w:tc>
        <w:tc>
          <w:tcPr>
            <w:tcW w:w="0" w:type="auto"/>
            <w:gridSpan w:val="3"/>
            <w:vAlign w:val="center"/>
            <w:hideMark/>
          </w:tcPr>
          <w:p w14:paraId="63CBBF8E" w14:textId="77777777" w:rsidR="00000000" w:rsidRDefault="00A173A8">
            <w:pPr>
              <w:spacing w:after="100"/>
              <w:rPr>
                <w:rFonts w:eastAsia="Times New Roman"/>
                <w:sz w:val="20"/>
                <w:szCs w:val="20"/>
              </w:rPr>
            </w:pPr>
          </w:p>
        </w:tc>
      </w:tr>
      <w:tr w:rsidR="00000000" w14:paraId="479329F3" w14:textId="77777777">
        <w:trPr>
          <w:divId w:val="2005549506"/>
        </w:trPr>
        <w:tc>
          <w:tcPr>
            <w:tcW w:w="0" w:type="auto"/>
            <w:gridSpan w:val="3"/>
            <w:shd w:val="clear" w:color="auto" w:fill="CCEEFF"/>
            <w:tcMar>
              <w:top w:w="30" w:type="dxa"/>
              <w:left w:w="245" w:type="dxa"/>
              <w:bottom w:w="30" w:type="dxa"/>
              <w:right w:w="20" w:type="dxa"/>
            </w:tcMar>
            <w:vAlign w:val="center"/>
            <w:hideMark/>
          </w:tcPr>
          <w:p w14:paraId="531C9076" w14:textId="77777777" w:rsidR="00000000" w:rsidRDefault="00A173A8">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09DEE945"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47A7ACD8" w14:textId="77777777" w:rsidR="00000000" w:rsidRDefault="00A173A8">
            <w:pPr>
              <w:spacing w:after="100"/>
              <w:jc w:val="right"/>
              <w:rPr>
                <w:rFonts w:eastAsia="Times New Roman"/>
              </w:rPr>
            </w:pPr>
            <w:r>
              <w:rPr>
                <w:rFonts w:eastAsia="Times New Roman"/>
                <w:b/>
                <w:bCs/>
                <w:color w:val="000000"/>
                <w:sz w:val="18"/>
                <w:szCs w:val="18"/>
              </w:rPr>
              <w:t>30</w:t>
            </w:r>
          </w:p>
        </w:tc>
        <w:tc>
          <w:tcPr>
            <w:tcW w:w="0" w:type="auto"/>
            <w:gridSpan w:val="3"/>
            <w:shd w:val="clear" w:color="auto" w:fill="CCEEFF"/>
            <w:tcMar>
              <w:top w:w="0" w:type="dxa"/>
              <w:left w:w="20" w:type="dxa"/>
              <w:bottom w:w="0" w:type="dxa"/>
              <w:right w:w="20" w:type="dxa"/>
            </w:tcMar>
            <w:vAlign w:val="center"/>
            <w:hideMark/>
          </w:tcPr>
          <w:p w14:paraId="069EBDD4"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2E51BF3" w14:textId="77777777" w:rsidR="00000000" w:rsidRDefault="00A173A8">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A6DFA0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1D42E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9C2422" w14:textId="77777777" w:rsidR="00000000" w:rsidRDefault="00A173A8">
            <w:pPr>
              <w:spacing w:after="100"/>
              <w:jc w:val="right"/>
              <w:rPr>
                <w:rFonts w:eastAsia="Times New Roman"/>
              </w:rPr>
            </w:pPr>
            <w:r>
              <w:rPr>
                <w:rFonts w:eastAsia="Times New Roman"/>
                <w:b/>
                <w:bCs/>
                <w:color w:val="000000"/>
                <w:sz w:val="18"/>
                <w:szCs w:val="18"/>
              </w:rPr>
              <w:t>27.65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22F72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F9177"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14:paraId="6D2C7252"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5D2AA9CD"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8C0FA9C"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2E5B040C" w14:textId="77777777" w:rsidR="00000000" w:rsidRDefault="00A173A8">
            <w:pPr>
              <w:spacing w:after="100"/>
              <w:jc w:val="right"/>
              <w:rPr>
                <w:rFonts w:eastAsia="Times New Roman"/>
              </w:rPr>
            </w:pPr>
          </w:p>
        </w:tc>
        <w:tc>
          <w:tcPr>
            <w:tcW w:w="0" w:type="auto"/>
            <w:gridSpan w:val="3"/>
            <w:vAlign w:val="center"/>
            <w:hideMark/>
          </w:tcPr>
          <w:p w14:paraId="74B6FDDF" w14:textId="77777777" w:rsidR="00000000" w:rsidRDefault="00A173A8">
            <w:pPr>
              <w:spacing w:after="100"/>
              <w:rPr>
                <w:rFonts w:eastAsia="Times New Roman"/>
                <w:sz w:val="20"/>
                <w:szCs w:val="20"/>
              </w:rPr>
            </w:pPr>
          </w:p>
        </w:tc>
        <w:tc>
          <w:tcPr>
            <w:tcW w:w="0" w:type="auto"/>
            <w:gridSpan w:val="3"/>
            <w:vAlign w:val="center"/>
            <w:hideMark/>
          </w:tcPr>
          <w:p w14:paraId="2B365916" w14:textId="77777777" w:rsidR="00000000" w:rsidRDefault="00A173A8">
            <w:pPr>
              <w:spacing w:after="100"/>
              <w:rPr>
                <w:rFonts w:eastAsia="Times New Roman"/>
                <w:sz w:val="20"/>
                <w:szCs w:val="20"/>
              </w:rPr>
            </w:pPr>
          </w:p>
        </w:tc>
        <w:tc>
          <w:tcPr>
            <w:tcW w:w="0" w:type="auto"/>
            <w:gridSpan w:val="3"/>
            <w:vAlign w:val="center"/>
            <w:hideMark/>
          </w:tcPr>
          <w:p w14:paraId="5F046B3F" w14:textId="77777777" w:rsidR="00000000" w:rsidRDefault="00A173A8">
            <w:pPr>
              <w:spacing w:after="100"/>
              <w:rPr>
                <w:rFonts w:eastAsia="Times New Roman"/>
                <w:sz w:val="20"/>
                <w:szCs w:val="20"/>
              </w:rPr>
            </w:pPr>
          </w:p>
        </w:tc>
      </w:tr>
      <w:tr w:rsidR="00000000" w14:paraId="3293F943" w14:textId="77777777">
        <w:trPr>
          <w:divId w:val="2005549506"/>
        </w:trPr>
        <w:tc>
          <w:tcPr>
            <w:tcW w:w="0" w:type="auto"/>
            <w:gridSpan w:val="3"/>
            <w:shd w:val="clear" w:color="auto" w:fill="FFFFFF"/>
            <w:tcMar>
              <w:top w:w="30" w:type="dxa"/>
              <w:left w:w="20" w:type="dxa"/>
              <w:bottom w:w="30" w:type="dxa"/>
              <w:right w:w="20" w:type="dxa"/>
            </w:tcMar>
            <w:vAlign w:val="center"/>
            <w:hideMark/>
          </w:tcPr>
          <w:p w14:paraId="73BD35DA" w14:textId="77777777" w:rsidR="00000000" w:rsidRDefault="00A173A8">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3CC7DF96"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5AD94CD7" w14:textId="77777777" w:rsidR="00000000" w:rsidRDefault="00A173A8">
            <w:pPr>
              <w:spacing w:after="100"/>
              <w:jc w:val="right"/>
              <w:rPr>
                <w:rFonts w:eastAsia="Times New Roman"/>
              </w:rPr>
            </w:pPr>
            <w:r>
              <w:rPr>
                <w:rFonts w:eastAsia="Times New Roman"/>
                <w:b/>
                <w:bCs/>
                <w:color w:val="000000"/>
                <w:sz w:val="18"/>
                <w:szCs w:val="18"/>
              </w:rPr>
              <w:t>87</w:t>
            </w:r>
          </w:p>
        </w:tc>
        <w:tc>
          <w:tcPr>
            <w:tcW w:w="0" w:type="auto"/>
            <w:gridSpan w:val="3"/>
            <w:shd w:val="clear" w:color="auto" w:fill="FFFFFF"/>
            <w:tcMar>
              <w:top w:w="0" w:type="dxa"/>
              <w:left w:w="20" w:type="dxa"/>
              <w:bottom w:w="0" w:type="dxa"/>
              <w:right w:w="20" w:type="dxa"/>
            </w:tcMar>
            <w:vAlign w:val="center"/>
            <w:hideMark/>
          </w:tcPr>
          <w:p w14:paraId="5D65BBA8"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2DCF6EC" w14:textId="77777777" w:rsidR="00000000" w:rsidRDefault="00A173A8">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F97BE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2066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8DA3CB" w14:textId="77777777" w:rsidR="00000000" w:rsidRDefault="00A173A8">
            <w:pPr>
              <w:spacing w:after="100"/>
              <w:jc w:val="right"/>
              <w:rPr>
                <w:rFonts w:eastAsia="Times New Roman"/>
              </w:rPr>
            </w:pPr>
            <w:r>
              <w:rPr>
                <w:rFonts w:eastAsia="Times New Roman"/>
                <w:b/>
                <w:bCs/>
                <w:color w:val="000000"/>
                <w:sz w:val="18"/>
                <w:szCs w:val="18"/>
              </w:rPr>
              <w:t>19.70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DD189E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A50139"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14:paraId="472C9D21"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1594E863"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CA3D8F0"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04C620CB" w14:textId="77777777" w:rsidR="00000000" w:rsidRDefault="00A173A8">
            <w:pPr>
              <w:spacing w:after="100"/>
              <w:jc w:val="right"/>
              <w:rPr>
                <w:rFonts w:eastAsia="Times New Roman"/>
              </w:rPr>
            </w:pPr>
          </w:p>
        </w:tc>
        <w:tc>
          <w:tcPr>
            <w:tcW w:w="0" w:type="auto"/>
            <w:gridSpan w:val="3"/>
            <w:vAlign w:val="center"/>
            <w:hideMark/>
          </w:tcPr>
          <w:p w14:paraId="3FE4C8AA" w14:textId="77777777" w:rsidR="00000000" w:rsidRDefault="00A173A8">
            <w:pPr>
              <w:spacing w:after="100"/>
              <w:rPr>
                <w:rFonts w:eastAsia="Times New Roman"/>
                <w:sz w:val="20"/>
                <w:szCs w:val="20"/>
              </w:rPr>
            </w:pPr>
          </w:p>
        </w:tc>
        <w:tc>
          <w:tcPr>
            <w:tcW w:w="0" w:type="auto"/>
            <w:gridSpan w:val="3"/>
            <w:vAlign w:val="center"/>
            <w:hideMark/>
          </w:tcPr>
          <w:p w14:paraId="46F2EF15" w14:textId="77777777" w:rsidR="00000000" w:rsidRDefault="00A173A8">
            <w:pPr>
              <w:spacing w:after="100"/>
              <w:rPr>
                <w:rFonts w:eastAsia="Times New Roman"/>
                <w:sz w:val="20"/>
                <w:szCs w:val="20"/>
              </w:rPr>
            </w:pPr>
          </w:p>
        </w:tc>
        <w:tc>
          <w:tcPr>
            <w:tcW w:w="0" w:type="auto"/>
            <w:gridSpan w:val="3"/>
            <w:vAlign w:val="center"/>
            <w:hideMark/>
          </w:tcPr>
          <w:p w14:paraId="70CAE3D9" w14:textId="77777777" w:rsidR="00000000" w:rsidRDefault="00A173A8">
            <w:pPr>
              <w:spacing w:after="100"/>
              <w:rPr>
                <w:rFonts w:eastAsia="Times New Roman"/>
                <w:sz w:val="20"/>
                <w:szCs w:val="20"/>
              </w:rPr>
            </w:pPr>
          </w:p>
        </w:tc>
      </w:tr>
      <w:tr w:rsidR="00000000" w14:paraId="2CF9B337" w14:textId="77777777">
        <w:trPr>
          <w:divId w:val="2005549506"/>
        </w:trPr>
        <w:tc>
          <w:tcPr>
            <w:tcW w:w="0" w:type="auto"/>
            <w:gridSpan w:val="3"/>
            <w:shd w:val="clear" w:color="auto" w:fill="CCEEFF"/>
            <w:tcMar>
              <w:top w:w="30" w:type="dxa"/>
              <w:left w:w="20" w:type="dxa"/>
              <w:bottom w:w="30" w:type="dxa"/>
              <w:right w:w="20" w:type="dxa"/>
            </w:tcMar>
            <w:vAlign w:val="center"/>
            <w:hideMark/>
          </w:tcPr>
          <w:p w14:paraId="71CE5BE0" w14:textId="77777777" w:rsidR="00000000" w:rsidRDefault="00A173A8">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14A786BB"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14:paraId="79E86C3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8BF08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97BC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26155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0EA5D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FC27A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892A2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21D0F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685B38B3" w14:textId="77777777" w:rsidR="00000000" w:rsidRDefault="00A173A8">
            <w:pPr>
              <w:spacing w:after="100"/>
              <w:rPr>
                <w:rFonts w:eastAsia="Times New Roman"/>
                <w:sz w:val="20"/>
                <w:szCs w:val="20"/>
              </w:rPr>
            </w:pPr>
          </w:p>
        </w:tc>
        <w:tc>
          <w:tcPr>
            <w:tcW w:w="0" w:type="auto"/>
            <w:gridSpan w:val="3"/>
            <w:vAlign w:val="center"/>
            <w:hideMark/>
          </w:tcPr>
          <w:p w14:paraId="0E9B0D43" w14:textId="77777777" w:rsidR="00000000" w:rsidRDefault="00A173A8">
            <w:pPr>
              <w:spacing w:after="100"/>
              <w:rPr>
                <w:rFonts w:eastAsia="Times New Roman"/>
                <w:sz w:val="20"/>
                <w:szCs w:val="20"/>
              </w:rPr>
            </w:pPr>
          </w:p>
        </w:tc>
        <w:tc>
          <w:tcPr>
            <w:tcW w:w="0" w:type="auto"/>
            <w:gridSpan w:val="3"/>
            <w:vAlign w:val="center"/>
            <w:hideMark/>
          </w:tcPr>
          <w:p w14:paraId="6D587BD5" w14:textId="77777777" w:rsidR="00000000" w:rsidRDefault="00A173A8">
            <w:pPr>
              <w:spacing w:after="100"/>
              <w:rPr>
                <w:rFonts w:eastAsia="Times New Roman"/>
                <w:sz w:val="20"/>
                <w:szCs w:val="20"/>
              </w:rPr>
            </w:pPr>
          </w:p>
        </w:tc>
        <w:tc>
          <w:tcPr>
            <w:tcW w:w="0" w:type="auto"/>
            <w:gridSpan w:val="3"/>
            <w:vAlign w:val="center"/>
            <w:hideMark/>
          </w:tcPr>
          <w:p w14:paraId="769398EE" w14:textId="77777777" w:rsidR="00000000" w:rsidRDefault="00A173A8">
            <w:pPr>
              <w:spacing w:after="100"/>
              <w:rPr>
                <w:rFonts w:eastAsia="Times New Roman"/>
                <w:sz w:val="20"/>
                <w:szCs w:val="20"/>
              </w:rPr>
            </w:pPr>
          </w:p>
        </w:tc>
        <w:tc>
          <w:tcPr>
            <w:tcW w:w="0" w:type="auto"/>
            <w:gridSpan w:val="3"/>
            <w:vAlign w:val="center"/>
            <w:hideMark/>
          </w:tcPr>
          <w:p w14:paraId="175EDAB9" w14:textId="77777777" w:rsidR="00000000" w:rsidRDefault="00A173A8">
            <w:pPr>
              <w:spacing w:after="100"/>
              <w:rPr>
                <w:rFonts w:eastAsia="Times New Roman"/>
                <w:sz w:val="20"/>
                <w:szCs w:val="20"/>
              </w:rPr>
            </w:pPr>
          </w:p>
        </w:tc>
      </w:tr>
      <w:tr w:rsidR="00000000" w14:paraId="72AEEBE6" w14:textId="77777777">
        <w:trPr>
          <w:divId w:val="2005549506"/>
        </w:trPr>
        <w:tc>
          <w:tcPr>
            <w:tcW w:w="0" w:type="auto"/>
            <w:gridSpan w:val="3"/>
            <w:shd w:val="clear" w:color="auto" w:fill="FFFFFF"/>
            <w:tcMar>
              <w:top w:w="30" w:type="dxa"/>
              <w:left w:w="245" w:type="dxa"/>
              <w:bottom w:w="30" w:type="dxa"/>
              <w:right w:w="20" w:type="dxa"/>
            </w:tcMar>
            <w:vAlign w:val="center"/>
            <w:hideMark/>
          </w:tcPr>
          <w:p w14:paraId="025D0DD1" w14:textId="77777777" w:rsidR="00000000" w:rsidRDefault="00A173A8">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46E7AD51"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40F0E494" w14:textId="77777777" w:rsidR="00000000" w:rsidRDefault="00A173A8">
            <w:pPr>
              <w:spacing w:after="100"/>
              <w:jc w:val="right"/>
              <w:rPr>
                <w:rFonts w:eastAsia="Times New Roman"/>
              </w:rPr>
            </w:pPr>
            <w:r>
              <w:rPr>
                <w:rFonts w:eastAsia="Times New Roman"/>
                <w:b/>
                <w:bCs/>
                <w:color w:val="000000"/>
                <w:sz w:val="18"/>
                <w:szCs w:val="18"/>
              </w:rPr>
              <w:t>280</w:t>
            </w:r>
          </w:p>
        </w:tc>
        <w:tc>
          <w:tcPr>
            <w:tcW w:w="0" w:type="auto"/>
            <w:gridSpan w:val="3"/>
            <w:shd w:val="clear" w:color="auto" w:fill="FFFFFF"/>
            <w:tcMar>
              <w:top w:w="0" w:type="dxa"/>
              <w:left w:w="20" w:type="dxa"/>
              <w:bottom w:w="0" w:type="dxa"/>
              <w:right w:w="20" w:type="dxa"/>
            </w:tcMar>
            <w:vAlign w:val="center"/>
            <w:hideMark/>
          </w:tcPr>
          <w:p w14:paraId="747DDEAD"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BD475AE" w14:textId="77777777" w:rsidR="00000000" w:rsidRDefault="00A173A8">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B35E2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055D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58DD43" w14:textId="77777777" w:rsidR="00000000" w:rsidRDefault="00A173A8">
            <w:pPr>
              <w:spacing w:after="100"/>
              <w:jc w:val="right"/>
              <w:rPr>
                <w:rFonts w:eastAsia="Times New Roman"/>
              </w:rPr>
            </w:pPr>
            <w:r>
              <w:rPr>
                <w:rFonts w:eastAsia="Times New Roman"/>
                <w:b/>
                <w:bCs/>
                <w:color w:val="000000"/>
                <w:sz w:val="18"/>
                <w:szCs w:val="18"/>
              </w:rPr>
              <w:t>8.56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D2D1ED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6081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70FAE0" w14:textId="77777777" w:rsidR="00000000" w:rsidRDefault="00A173A8">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5536C5"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A2303C5"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2C54A576" w14:textId="77777777" w:rsidR="00000000" w:rsidRDefault="00A173A8">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14:paraId="465C7450" w14:textId="77777777" w:rsidR="00000000" w:rsidRDefault="00A173A8">
            <w:pPr>
              <w:spacing w:after="100"/>
              <w:jc w:val="right"/>
              <w:rPr>
                <w:rFonts w:eastAsia="Times New Roman"/>
              </w:rPr>
            </w:pPr>
          </w:p>
        </w:tc>
        <w:tc>
          <w:tcPr>
            <w:tcW w:w="0" w:type="auto"/>
            <w:gridSpan w:val="3"/>
            <w:vAlign w:val="center"/>
            <w:hideMark/>
          </w:tcPr>
          <w:p w14:paraId="63E6EFBC" w14:textId="77777777" w:rsidR="00000000" w:rsidRDefault="00A173A8">
            <w:pPr>
              <w:spacing w:after="100"/>
              <w:rPr>
                <w:rFonts w:eastAsia="Times New Roman"/>
                <w:sz w:val="20"/>
                <w:szCs w:val="20"/>
              </w:rPr>
            </w:pPr>
          </w:p>
        </w:tc>
        <w:tc>
          <w:tcPr>
            <w:tcW w:w="0" w:type="auto"/>
            <w:gridSpan w:val="3"/>
            <w:vAlign w:val="center"/>
            <w:hideMark/>
          </w:tcPr>
          <w:p w14:paraId="2D87F4DC" w14:textId="77777777" w:rsidR="00000000" w:rsidRDefault="00A173A8">
            <w:pPr>
              <w:spacing w:after="100"/>
              <w:rPr>
                <w:rFonts w:eastAsia="Times New Roman"/>
                <w:sz w:val="20"/>
                <w:szCs w:val="20"/>
              </w:rPr>
            </w:pPr>
          </w:p>
        </w:tc>
        <w:tc>
          <w:tcPr>
            <w:tcW w:w="0" w:type="auto"/>
            <w:gridSpan w:val="3"/>
            <w:vAlign w:val="center"/>
            <w:hideMark/>
          </w:tcPr>
          <w:p w14:paraId="53C97589" w14:textId="77777777" w:rsidR="00000000" w:rsidRDefault="00A173A8">
            <w:pPr>
              <w:spacing w:after="100"/>
              <w:rPr>
                <w:rFonts w:eastAsia="Times New Roman"/>
                <w:sz w:val="20"/>
                <w:szCs w:val="20"/>
              </w:rPr>
            </w:pPr>
          </w:p>
        </w:tc>
      </w:tr>
      <w:tr w:rsidR="00000000" w14:paraId="5A3393A4" w14:textId="77777777">
        <w:trPr>
          <w:divId w:val="2005549506"/>
        </w:trPr>
        <w:tc>
          <w:tcPr>
            <w:tcW w:w="0" w:type="auto"/>
            <w:gridSpan w:val="3"/>
            <w:vAlign w:val="center"/>
            <w:hideMark/>
          </w:tcPr>
          <w:p w14:paraId="3B9CBC4F" w14:textId="77777777" w:rsidR="00000000" w:rsidRDefault="00A173A8">
            <w:pPr>
              <w:spacing w:after="100"/>
              <w:rPr>
                <w:rFonts w:eastAsia="Times New Roman"/>
                <w:sz w:val="20"/>
                <w:szCs w:val="20"/>
              </w:rPr>
            </w:pPr>
          </w:p>
        </w:tc>
        <w:tc>
          <w:tcPr>
            <w:tcW w:w="0" w:type="auto"/>
            <w:gridSpan w:val="3"/>
            <w:vAlign w:val="center"/>
            <w:hideMark/>
          </w:tcPr>
          <w:p w14:paraId="06F0EFF4" w14:textId="77777777" w:rsidR="00000000" w:rsidRDefault="00A173A8">
            <w:pPr>
              <w:spacing w:after="100"/>
              <w:rPr>
                <w:rFonts w:eastAsia="Times New Roman"/>
                <w:sz w:val="20"/>
                <w:szCs w:val="20"/>
              </w:rPr>
            </w:pPr>
          </w:p>
        </w:tc>
        <w:tc>
          <w:tcPr>
            <w:tcW w:w="0" w:type="auto"/>
            <w:gridSpan w:val="3"/>
            <w:vAlign w:val="center"/>
            <w:hideMark/>
          </w:tcPr>
          <w:p w14:paraId="64322188" w14:textId="77777777" w:rsidR="00000000" w:rsidRDefault="00A173A8">
            <w:pPr>
              <w:spacing w:after="100"/>
              <w:rPr>
                <w:rFonts w:eastAsia="Times New Roman"/>
                <w:sz w:val="20"/>
                <w:szCs w:val="20"/>
              </w:rPr>
            </w:pPr>
          </w:p>
        </w:tc>
        <w:tc>
          <w:tcPr>
            <w:tcW w:w="0" w:type="auto"/>
            <w:gridSpan w:val="3"/>
            <w:vAlign w:val="center"/>
            <w:hideMark/>
          </w:tcPr>
          <w:p w14:paraId="723D3997" w14:textId="77777777" w:rsidR="00000000" w:rsidRDefault="00A173A8">
            <w:pPr>
              <w:spacing w:after="100"/>
              <w:rPr>
                <w:rFonts w:eastAsia="Times New Roman"/>
                <w:sz w:val="20"/>
                <w:szCs w:val="20"/>
              </w:rPr>
            </w:pPr>
          </w:p>
        </w:tc>
        <w:tc>
          <w:tcPr>
            <w:tcW w:w="0" w:type="auto"/>
            <w:gridSpan w:val="3"/>
            <w:vAlign w:val="center"/>
            <w:hideMark/>
          </w:tcPr>
          <w:p w14:paraId="31D7583B" w14:textId="77777777" w:rsidR="00000000" w:rsidRDefault="00A173A8">
            <w:pPr>
              <w:spacing w:after="100"/>
              <w:rPr>
                <w:rFonts w:eastAsia="Times New Roman"/>
                <w:sz w:val="20"/>
                <w:szCs w:val="20"/>
              </w:rPr>
            </w:pPr>
          </w:p>
        </w:tc>
        <w:tc>
          <w:tcPr>
            <w:tcW w:w="0" w:type="auto"/>
            <w:gridSpan w:val="3"/>
            <w:vAlign w:val="center"/>
            <w:hideMark/>
          </w:tcPr>
          <w:p w14:paraId="2D60AB5F" w14:textId="77777777" w:rsidR="00000000" w:rsidRDefault="00A173A8">
            <w:pPr>
              <w:spacing w:after="100"/>
              <w:rPr>
                <w:rFonts w:eastAsia="Times New Roman"/>
                <w:sz w:val="20"/>
                <w:szCs w:val="20"/>
              </w:rPr>
            </w:pPr>
          </w:p>
        </w:tc>
        <w:tc>
          <w:tcPr>
            <w:tcW w:w="0" w:type="auto"/>
            <w:gridSpan w:val="3"/>
            <w:vAlign w:val="center"/>
            <w:hideMark/>
          </w:tcPr>
          <w:p w14:paraId="709B307A" w14:textId="77777777" w:rsidR="00000000" w:rsidRDefault="00A173A8">
            <w:pPr>
              <w:spacing w:after="100"/>
              <w:rPr>
                <w:rFonts w:eastAsia="Times New Roman"/>
                <w:sz w:val="20"/>
                <w:szCs w:val="20"/>
              </w:rPr>
            </w:pPr>
          </w:p>
        </w:tc>
        <w:tc>
          <w:tcPr>
            <w:tcW w:w="0" w:type="auto"/>
            <w:gridSpan w:val="3"/>
            <w:vAlign w:val="center"/>
            <w:hideMark/>
          </w:tcPr>
          <w:p w14:paraId="0C9FB7C7" w14:textId="77777777" w:rsidR="00000000" w:rsidRDefault="00A173A8">
            <w:pPr>
              <w:spacing w:after="100"/>
              <w:rPr>
                <w:rFonts w:eastAsia="Times New Roman"/>
                <w:sz w:val="20"/>
                <w:szCs w:val="20"/>
              </w:rPr>
            </w:pPr>
          </w:p>
        </w:tc>
        <w:tc>
          <w:tcPr>
            <w:tcW w:w="0" w:type="auto"/>
            <w:gridSpan w:val="3"/>
            <w:vAlign w:val="center"/>
            <w:hideMark/>
          </w:tcPr>
          <w:p w14:paraId="6659FFB8" w14:textId="77777777" w:rsidR="00000000" w:rsidRDefault="00A173A8">
            <w:pPr>
              <w:spacing w:after="100"/>
              <w:rPr>
                <w:rFonts w:eastAsia="Times New Roman"/>
                <w:sz w:val="20"/>
                <w:szCs w:val="20"/>
              </w:rPr>
            </w:pPr>
          </w:p>
        </w:tc>
        <w:tc>
          <w:tcPr>
            <w:tcW w:w="0" w:type="auto"/>
            <w:gridSpan w:val="3"/>
            <w:vAlign w:val="center"/>
            <w:hideMark/>
          </w:tcPr>
          <w:p w14:paraId="25B4190D" w14:textId="77777777" w:rsidR="00000000" w:rsidRDefault="00A173A8">
            <w:pPr>
              <w:spacing w:after="100"/>
              <w:rPr>
                <w:rFonts w:eastAsia="Times New Roman"/>
                <w:sz w:val="20"/>
                <w:szCs w:val="20"/>
              </w:rPr>
            </w:pPr>
          </w:p>
        </w:tc>
        <w:tc>
          <w:tcPr>
            <w:tcW w:w="0" w:type="auto"/>
            <w:gridSpan w:val="3"/>
            <w:vAlign w:val="center"/>
            <w:hideMark/>
          </w:tcPr>
          <w:p w14:paraId="0931CE16" w14:textId="77777777" w:rsidR="00000000" w:rsidRDefault="00A173A8">
            <w:pPr>
              <w:spacing w:after="100"/>
              <w:rPr>
                <w:rFonts w:eastAsia="Times New Roman"/>
                <w:sz w:val="20"/>
                <w:szCs w:val="20"/>
              </w:rPr>
            </w:pPr>
          </w:p>
        </w:tc>
        <w:tc>
          <w:tcPr>
            <w:tcW w:w="0" w:type="auto"/>
            <w:gridSpan w:val="3"/>
            <w:vAlign w:val="center"/>
            <w:hideMark/>
          </w:tcPr>
          <w:p w14:paraId="56BBC49C" w14:textId="77777777" w:rsidR="00000000" w:rsidRDefault="00A173A8">
            <w:pPr>
              <w:spacing w:after="100"/>
              <w:rPr>
                <w:rFonts w:eastAsia="Times New Roman"/>
                <w:sz w:val="20"/>
                <w:szCs w:val="20"/>
              </w:rPr>
            </w:pPr>
          </w:p>
        </w:tc>
        <w:tc>
          <w:tcPr>
            <w:tcW w:w="0" w:type="auto"/>
            <w:gridSpan w:val="3"/>
            <w:vAlign w:val="center"/>
            <w:hideMark/>
          </w:tcPr>
          <w:p w14:paraId="7C726B5C" w14:textId="77777777" w:rsidR="00000000" w:rsidRDefault="00A173A8">
            <w:pPr>
              <w:spacing w:after="100"/>
              <w:rPr>
                <w:rFonts w:eastAsia="Times New Roman"/>
                <w:sz w:val="20"/>
                <w:szCs w:val="20"/>
              </w:rPr>
            </w:pPr>
          </w:p>
        </w:tc>
        <w:tc>
          <w:tcPr>
            <w:tcW w:w="0" w:type="auto"/>
            <w:gridSpan w:val="3"/>
            <w:vAlign w:val="center"/>
            <w:hideMark/>
          </w:tcPr>
          <w:p w14:paraId="4C8DAEB1" w14:textId="77777777" w:rsidR="00000000" w:rsidRDefault="00A173A8">
            <w:pPr>
              <w:spacing w:after="100"/>
              <w:rPr>
                <w:rFonts w:eastAsia="Times New Roman"/>
                <w:sz w:val="20"/>
                <w:szCs w:val="20"/>
              </w:rPr>
            </w:pPr>
          </w:p>
        </w:tc>
        <w:tc>
          <w:tcPr>
            <w:tcW w:w="0" w:type="auto"/>
            <w:gridSpan w:val="3"/>
            <w:vAlign w:val="center"/>
            <w:hideMark/>
          </w:tcPr>
          <w:p w14:paraId="7273A952" w14:textId="77777777" w:rsidR="00000000" w:rsidRDefault="00A173A8">
            <w:pPr>
              <w:spacing w:after="100"/>
              <w:rPr>
                <w:rFonts w:eastAsia="Times New Roman"/>
                <w:sz w:val="20"/>
                <w:szCs w:val="20"/>
              </w:rPr>
            </w:pPr>
          </w:p>
        </w:tc>
      </w:tr>
      <w:tr w:rsidR="00000000" w14:paraId="5B7B3B1E" w14:textId="77777777">
        <w:trPr>
          <w:divId w:val="2005549506"/>
        </w:trPr>
        <w:tc>
          <w:tcPr>
            <w:tcW w:w="0" w:type="auto"/>
            <w:gridSpan w:val="3"/>
            <w:shd w:val="clear" w:color="auto" w:fill="CCEEFF"/>
            <w:tcMar>
              <w:top w:w="30" w:type="dxa"/>
              <w:left w:w="20" w:type="dxa"/>
              <w:bottom w:w="30" w:type="dxa"/>
              <w:right w:w="20" w:type="dxa"/>
            </w:tcMar>
            <w:vAlign w:val="center"/>
            <w:hideMark/>
          </w:tcPr>
          <w:p w14:paraId="07B3E74E" w14:textId="77777777" w:rsidR="00000000" w:rsidRDefault="00A173A8">
            <w:pPr>
              <w:spacing w:after="100"/>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14:paraId="1BBD3DF5"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14:paraId="45FE9055" w14:textId="77777777" w:rsidR="00000000" w:rsidRDefault="00A173A8">
            <w:pPr>
              <w:spacing w:after="100"/>
              <w:jc w:val="right"/>
              <w:rPr>
                <w:rFonts w:eastAsia="Times New Roman"/>
              </w:rPr>
            </w:pPr>
            <w:r>
              <w:rPr>
                <w:rFonts w:eastAsia="Times New Roman"/>
                <w:b/>
                <w:bCs/>
                <w:color w:val="000000"/>
                <w:sz w:val="18"/>
                <w:szCs w:val="18"/>
              </w:rPr>
              <w:t>280</w:t>
            </w:r>
          </w:p>
        </w:tc>
        <w:tc>
          <w:tcPr>
            <w:tcW w:w="0" w:type="auto"/>
            <w:gridSpan w:val="3"/>
            <w:shd w:val="clear" w:color="auto" w:fill="CCEEFF"/>
            <w:tcMar>
              <w:top w:w="0" w:type="dxa"/>
              <w:left w:w="20" w:type="dxa"/>
              <w:bottom w:w="0" w:type="dxa"/>
              <w:right w:w="20" w:type="dxa"/>
            </w:tcMar>
            <w:vAlign w:val="center"/>
            <w:hideMark/>
          </w:tcPr>
          <w:p w14:paraId="51F3ECC9"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5CFC80B" w14:textId="77777777" w:rsidR="00000000" w:rsidRDefault="00A173A8">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F3A0C7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DDD9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2BD7CE" w14:textId="77777777" w:rsidR="00000000" w:rsidRDefault="00A173A8">
            <w:pPr>
              <w:spacing w:after="100"/>
              <w:jc w:val="right"/>
              <w:rPr>
                <w:rFonts w:eastAsia="Times New Roman"/>
              </w:rPr>
            </w:pPr>
            <w:r>
              <w:rPr>
                <w:rFonts w:eastAsia="Times New Roman"/>
                <w:b/>
                <w:bCs/>
                <w:color w:val="000000"/>
                <w:sz w:val="18"/>
                <w:szCs w:val="18"/>
              </w:rPr>
              <w:t>8.56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02D8C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42DCB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1A9945" w14:textId="77777777" w:rsidR="00000000" w:rsidRDefault="00A173A8">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76D3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A6EF07"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6A2CBDE0" w14:textId="77777777" w:rsidR="00000000" w:rsidRDefault="00A173A8">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14:paraId="517D2E83" w14:textId="77777777" w:rsidR="00000000" w:rsidRDefault="00A173A8">
            <w:pPr>
              <w:spacing w:after="100"/>
              <w:jc w:val="right"/>
              <w:rPr>
                <w:rFonts w:eastAsia="Times New Roman"/>
              </w:rPr>
            </w:pPr>
          </w:p>
        </w:tc>
        <w:tc>
          <w:tcPr>
            <w:tcW w:w="0" w:type="auto"/>
            <w:gridSpan w:val="3"/>
            <w:vAlign w:val="center"/>
            <w:hideMark/>
          </w:tcPr>
          <w:p w14:paraId="4A6E4642" w14:textId="77777777" w:rsidR="00000000" w:rsidRDefault="00A173A8">
            <w:pPr>
              <w:spacing w:after="100"/>
              <w:rPr>
                <w:rFonts w:eastAsia="Times New Roman"/>
                <w:sz w:val="20"/>
                <w:szCs w:val="20"/>
              </w:rPr>
            </w:pPr>
          </w:p>
        </w:tc>
        <w:tc>
          <w:tcPr>
            <w:tcW w:w="0" w:type="auto"/>
            <w:gridSpan w:val="3"/>
            <w:vAlign w:val="center"/>
            <w:hideMark/>
          </w:tcPr>
          <w:p w14:paraId="038A36AF" w14:textId="77777777" w:rsidR="00000000" w:rsidRDefault="00A173A8">
            <w:pPr>
              <w:spacing w:after="100"/>
              <w:rPr>
                <w:rFonts w:eastAsia="Times New Roman"/>
                <w:sz w:val="20"/>
                <w:szCs w:val="20"/>
              </w:rPr>
            </w:pPr>
          </w:p>
        </w:tc>
        <w:tc>
          <w:tcPr>
            <w:tcW w:w="0" w:type="auto"/>
            <w:gridSpan w:val="3"/>
            <w:vAlign w:val="center"/>
            <w:hideMark/>
          </w:tcPr>
          <w:p w14:paraId="68608FD8" w14:textId="77777777" w:rsidR="00000000" w:rsidRDefault="00A173A8">
            <w:pPr>
              <w:spacing w:after="100"/>
              <w:rPr>
                <w:rFonts w:eastAsia="Times New Roman"/>
                <w:sz w:val="20"/>
                <w:szCs w:val="20"/>
              </w:rPr>
            </w:pPr>
          </w:p>
        </w:tc>
      </w:tr>
      <w:tr w:rsidR="00000000" w14:paraId="7C3DE6D0" w14:textId="77777777">
        <w:trPr>
          <w:divId w:val="2005549506"/>
        </w:trPr>
        <w:tc>
          <w:tcPr>
            <w:tcW w:w="0" w:type="auto"/>
            <w:gridSpan w:val="3"/>
            <w:shd w:val="clear" w:color="auto" w:fill="FFFFFF"/>
            <w:tcMar>
              <w:top w:w="30" w:type="dxa"/>
              <w:left w:w="20" w:type="dxa"/>
              <w:bottom w:w="30" w:type="dxa"/>
              <w:right w:w="20" w:type="dxa"/>
            </w:tcMar>
            <w:vAlign w:val="center"/>
            <w:hideMark/>
          </w:tcPr>
          <w:p w14:paraId="2197CC16" w14:textId="77777777" w:rsidR="00000000" w:rsidRDefault="00A173A8">
            <w:pPr>
              <w:spacing w:after="100"/>
              <w:rPr>
                <w:rFonts w:eastAsia="Times New Roman"/>
              </w:rPr>
            </w:pPr>
            <w:r>
              <w:rPr>
                <w:rFonts w:eastAsia="Times New Roman"/>
                <w:b/>
                <w:bCs/>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14:paraId="577D27D4"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6DE6E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40F60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2C368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35934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60767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ACB0D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09994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4AED5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14:paraId="41804905" w14:textId="77777777" w:rsidR="00000000" w:rsidRDefault="00A173A8">
            <w:pPr>
              <w:spacing w:after="100"/>
              <w:rPr>
                <w:rFonts w:eastAsia="Times New Roman"/>
                <w:sz w:val="20"/>
                <w:szCs w:val="20"/>
              </w:rPr>
            </w:pPr>
          </w:p>
        </w:tc>
        <w:tc>
          <w:tcPr>
            <w:tcW w:w="0" w:type="auto"/>
            <w:gridSpan w:val="3"/>
            <w:vAlign w:val="center"/>
            <w:hideMark/>
          </w:tcPr>
          <w:p w14:paraId="717E2EEA" w14:textId="77777777" w:rsidR="00000000" w:rsidRDefault="00A173A8">
            <w:pPr>
              <w:spacing w:after="100"/>
              <w:rPr>
                <w:rFonts w:eastAsia="Times New Roman"/>
                <w:sz w:val="20"/>
                <w:szCs w:val="20"/>
              </w:rPr>
            </w:pPr>
          </w:p>
        </w:tc>
        <w:tc>
          <w:tcPr>
            <w:tcW w:w="0" w:type="auto"/>
            <w:gridSpan w:val="3"/>
            <w:vAlign w:val="center"/>
            <w:hideMark/>
          </w:tcPr>
          <w:p w14:paraId="10DAA8A5" w14:textId="77777777" w:rsidR="00000000" w:rsidRDefault="00A173A8">
            <w:pPr>
              <w:spacing w:after="100"/>
              <w:rPr>
                <w:rFonts w:eastAsia="Times New Roman"/>
                <w:sz w:val="20"/>
                <w:szCs w:val="20"/>
              </w:rPr>
            </w:pPr>
          </w:p>
        </w:tc>
        <w:tc>
          <w:tcPr>
            <w:tcW w:w="0" w:type="auto"/>
            <w:gridSpan w:val="3"/>
            <w:vAlign w:val="center"/>
            <w:hideMark/>
          </w:tcPr>
          <w:p w14:paraId="2F846921" w14:textId="77777777" w:rsidR="00000000" w:rsidRDefault="00A173A8">
            <w:pPr>
              <w:spacing w:after="100"/>
              <w:rPr>
                <w:rFonts w:eastAsia="Times New Roman"/>
                <w:sz w:val="20"/>
                <w:szCs w:val="20"/>
              </w:rPr>
            </w:pPr>
          </w:p>
        </w:tc>
        <w:tc>
          <w:tcPr>
            <w:tcW w:w="0" w:type="auto"/>
            <w:gridSpan w:val="3"/>
            <w:vAlign w:val="center"/>
            <w:hideMark/>
          </w:tcPr>
          <w:p w14:paraId="05C1F0C2" w14:textId="77777777" w:rsidR="00000000" w:rsidRDefault="00A173A8">
            <w:pPr>
              <w:spacing w:after="100"/>
              <w:rPr>
                <w:rFonts w:eastAsia="Times New Roman"/>
                <w:sz w:val="20"/>
                <w:szCs w:val="20"/>
              </w:rPr>
            </w:pPr>
          </w:p>
        </w:tc>
      </w:tr>
      <w:tr w:rsidR="00000000" w14:paraId="7E389136" w14:textId="77777777">
        <w:trPr>
          <w:divId w:val="2005549506"/>
        </w:trPr>
        <w:tc>
          <w:tcPr>
            <w:tcW w:w="0" w:type="auto"/>
            <w:gridSpan w:val="3"/>
            <w:shd w:val="clear" w:color="auto" w:fill="CCEEFF"/>
            <w:tcMar>
              <w:top w:w="30" w:type="dxa"/>
              <w:left w:w="245" w:type="dxa"/>
              <w:bottom w:w="30" w:type="dxa"/>
              <w:right w:w="20" w:type="dxa"/>
            </w:tcMar>
            <w:vAlign w:val="center"/>
            <w:hideMark/>
          </w:tcPr>
          <w:p w14:paraId="6DCCBD6F" w14:textId="77777777" w:rsidR="00000000" w:rsidRDefault="00A173A8">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14:paraId="628C3F89"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396E607C" w14:textId="77777777" w:rsidR="00000000" w:rsidRDefault="00A173A8">
            <w:pPr>
              <w:spacing w:after="100"/>
              <w:jc w:val="right"/>
              <w:rPr>
                <w:rFonts w:eastAsia="Times New Roman"/>
              </w:rPr>
            </w:pPr>
            <w:r>
              <w:rPr>
                <w:rFonts w:eastAsia="Times New Roman"/>
                <w:b/>
                <w:bCs/>
                <w:color w:val="000000"/>
                <w:sz w:val="18"/>
                <w:szCs w:val="18"/>
              </w:rPr>
              <w:t>133</w:t>
            </w:r>
          </w:p>
        </w:tc>
        <w:tc>
          <w:tcPr>
            <w:tcW w:w="0" w:type="auto"/>
            <w:gridSpan w:val="3"/>
            <w:shd w:val="clear" w:color="auto" w:fill="CCEEFF"/>
            <w:tcMar>
              <w:top w:w="0" w:type="dxa"/>
              <w:left w:w="20" w:type="dxa"/>
              <w:bottom w:w="0" w:type="dxa"/>
              <w:right w:w="20" w:type="dxa"/>
            </w:tcMar>
            <w:vAlign w:val="center"/>
            <w:hideMark/>
          </w:tcPr>
          <w:p w14:paraId="5A78363C"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50C576AF"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60" w:type="dxa"/>
            </w:tcMar>
            <w:vAlign w:val="center"/>
            <w:hideMark/>
          </w:tcPr>
          <w:p w14:paraId="4266FE14"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042E0B54"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7575429F"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E89B4F0" w14:textId="77777777" w:rsidR="00000000" w:rsidRDefault="00A173A8">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3EF39A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845732"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5F11FF97" w14:textId="77777777" w:rsidR="00000000" w:rsidRDefault="00A173A8">
            <w:pPr>
              <w:spacing w:after="100"/>
              <w:jc w:val="right"/>
              <w:rPr>
                <w:rFonts w:eastAsia="Times New Roman"/>
              </w:rPr>
            </w:pPr>
            <w:r>
              <w:rPr>
                <w:rFonts w:eastAsia="Times New Roman"/>
                <w:b/>
                <w:bCs/>
                <w:color w:val="000000"/>
                <w:sz w:val="18"/>
                <w:szCs w:val="18"/>
              </w:rPr>
              <w:t>14</w:t>
            </w:r>
          </w:p>
        </w:tc>
        <w:tc>
          <w:tcPr>
            <w:tcW w:w="0" w:type="auto"/>
            <w:gridSpan w:val="3"/>
            <w:vAlign w:val="center"/>
            <w:hideMark/>
          </w:tcPr>
          <w:p w14:paraId="5087294F" w14:textId="77777777" w:rsidR="00000000" w:rsidRDefault="00A173A8">
            <w:pPr>
              <w:spacing w:after="100"/>
              <w:jc w:val="right"/>
              <w:rPr>
                <w:rFonts w:eastAsia="Times New Roman"/>
              </w:rPr>
            </w:pPr>
          </w:p>
        </w:tc>
        <w:tc>
          <w:tcPr>
            <w:tcW w:w="0" w:type="auto"/>
            <w:gridSpan w:val="3"/>
            <w:vAlign w:val="center"/>
            <w:hideMark/>
          </w:tcPr>
          <w:p w14:paraId="6C48934A" w14:textId="77777777" w:rsidR="00000000" w:rsidRDefault="00A173A8">
            <w:pPr>
              <w:spacing w:after="100"/>
              <w:rPr>
                <w:rFonts w:eastAsia="Times New Roman"/>
                <w:sz w:val="20"/>
                <w:szCs w:val="20"/>
              </w:rPr>
            </w:pPr>
          </w:p>
        </w:tc>
        <w:tc>
          <w:tcPr>
            <w:tcW w:w="0" w:type="auto"/>
            <w:gridSpan w:val="3"/>
            <w:vAlign w:val="center"/>
            <w:hideMark/>
          </w:tcPr>
          <w:p w14:paraId="374764AF" w14:textId="77777777" w:rsidR="00000000" w:rsidRDefault="00A173A8">
            <w:pPr>
              <w:spacing w:after="100"/>
              <w:rPr>
                <w:rFonts w:eastAsia="Times New Roman"/>
                <w:sz w:val="20"/>
                <w:szCs w:val="20"/>
              </w:rPr>
            </w:pPr>
          </w:p>
        </w:tc>
        <w:tc>
          <w:tcPr>
            <w:tcW w:w="0" w:type="auto"/>
            <w:gridSpan w:val="3"/>
            <w:vAlign w:val="center"/>
            <w:hideMark/>
          </w:tcPr>
          <w:p w14:paraId="48EE6F81" w14:textId="77777777" w:rsidR="00000000" w:rsidRDefault="00A173A8">
            <w:pPr>
              <w:spacing w:after="100"/>
              <w:rPr>
                <w:rFonts w:eastAsia="Times New Roman"/>
                <w:sz w:val="20"/>
                <w:szCs w:val="20"/>
              </w:rPr>
            </w:pPr>
          </w:p>
        </w:tc>
      </w:tr>
      <w:tr w:rsidR="00000000" w14:paraId="526921F9" w14:textId="77777777">
        <w:trPr>
          <w:divId w:val="2005549506"/>
        </w:trPr>
        <w:tc>
          <w:tcPr>
            <w:tcW w:w="0" w:type="auto"/>
            <w:gridSpan w:val="3"/>
            <w:shd w:val="clear" w:color="auto" w:fill="FFFFFF"/>
            <w:tcMar>
              <w:top w:w="30" w:type="dxa"/>
              <w:left w:w="245" w:type="dxa"/>
              <w:bottom w:w="30" w:type="dxa"/>
              <w:right w:w="20" w:type="dxa"/>
            </w:tcMar>
            <w:vAlign w:val="center"/>
            <w:hideMark/>
          </w:tcPr>
          <w:p w14:paraId="5B27AD4A" w14:textId="77777777" w:rsidR="00000000" w:rsidRDefault="00A173A8">
            <w:pPr>
              <w:spacing w:after="100"/>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14:paraId="1C2FE6A6"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74B01DF5" w14:textId="77777777" w:rsidR="00000000" w:rsidRDefault="00A173A8">
            <w:pPr>
              <w:spacing w:after="100"/>
              <w:jc w:val="right"/>
              <w:rPr>
                <w:rFonts w:eastAsia="Times New Roman"/>
              </w:rPr>
            </w:pPr>
            <w:r>
              <w:rPr>
                <w:rFonts w:eastAsia="Times New Roman"/>
                <w:b/>
                <w:bCs/>
                <w:color w:val="000000"/>
                <w:sz w:val="18"/>
                <w:szCs w:val="18"/>
              </w:rPr>
              <w:t>129</w:t>
            </w:r>
          </w:p>
        </w:tc>
        <w:tc>
          <w:tcPr>
            <w:tcW w:w="0" w:type="auto"/>
            <w:gridSpan w:val="3"/>
            <w:shd w:val="clear" w:color="auto" w:fill="FFFFFF"/>
            <w:tcMar>
              <w:top w:w="0" w:type="dxa"/>
              <w:left w:w="20" w:type="dxa"/>
              <w:bottom w:w="0" w:type="dxa"/>
              <w:right w:w="20" w:type="dxa"/>
            </w:tcMar>
            <w:vAlign w:val="center"/>
            <w:hideMark/>
          </w:tcPr>
          <w:p w14:paraId="237A2DED"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2140A28F"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60" w:type="dxa"/>
            </w:tcMar>
            <w:vAlign w:val="center"/>
            <w:hideMark/>
          </w:tcPr>
          <w:p w14:paraId="47A90A09"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3AF2DD0D"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12171723"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ADF6445" w14:textId="77777777" w:rsidR="00000000" w:rsidRDefault="00A173A8">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7167AA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BBBAD"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340B8403" w14:textId="77777777" w:rsidR="00000000" w:rsidRDefault="00A173A8">
            <w:pPr>
              <w:spacing w:after="100"/>
              <w:jc w:val="right"/>
              <w:rPr>
                <w:rFonts w:eastAsia="Times New Roman"/>
              </w:rPr>
            </w:pPr>
            <w:r>
              <w:rPr>
                <w:rFonts w:eastAsia="Times New Roman"/>
                <w:b/>
                <w:bCs/>
                <w:color w:val="000000"/>
                <w:sz w:val="18"/>
                <w:szCs w:val="18"/>
              </w:rPr>
              <w:t>13</w:t>
            </w:r>
          </w:p>
        </w:tc>
        <w:tc>
          <w:tcPr>
            <w:tcW w:w="0" w:type="auto"/>
            <w:gridSpan w:val="3"/>
            <w:vAlign w:val="center"/>
            <w:hideMark/>
          </w:tcPr>
          <w:p w14:paraId="38D4285A" w14:textId="77777777" w:rsidR="00000000" w:rsidRDefault="00A173A8">
            <w:pPr>
              <w:spacing w:after="100"/>
              <w:jc w:val="right"/>
              <w:rPr>
                <w:rFonts w:eastAsia="Times New Roman"/>
              </w:rPr>
            </w:pPr>
          </w:p>
        </w:tc>
        <w:tc>
          <w:tcPr>
            <w:tcW w:w="0" w:type="auto"/>
            <w:gridSpan w:val="3"/>
            <w:vAlign w:val="center"/>
            <w:hideMark/>
          </w:tcPr>
          <w:p w14:paraId="3E1CE68D" w14:textId="77777777" w:rsidR="00000000" w:rsidRDefault="00A173A8">
            <w:pPr>
              <w:spacing w:after="100"/>
              <w:rPr>
                <w:rFonts w:eastAsia="Times New Roman"/>
                <w:sz w:val="20"/>
                <w:szCs w:val="20"/>
              </w:rPr>
            </w:pPr>
          </w:p>
        </w:tc>
        <w:tc>
          <w:tcPr>
            <w:tcW w:w="0" w:type="auto"/>
            <w:gridSpan w:val="3"/>
            <w:vAlign w:val="center"/>
            <w:hideMark/>
          </w:tcPr>
          <w:p w14:paraId="75C5919A" w14:textId="77777777" w:rsidR="00000000" w:rsidRDefault="00A173A8">
            <w:pPr>
              <w:spacing w:after="100"/>
              <w:rPr>
                <w:rFonts w:eastAsia="Times New Roman"/>
                <w:sz w:val="20"/>
                <w:szCs w:val="20"/>
              </w:rPr>
            </w:pPr>
          </w:p>
        </w:tc>
        <w:tc>
          <w:tcPr>
            <w:tcW w:w="0" w:type="auto"/>
            <w:gridSpan w:val="3"/>
            <w:vAlign w:val="center"/>
            <w:hideMark/>
          </w:tcPr>
          <w:p w14:paraId="376FADBE" w14:textId="77777777" w:rsidR="00000000" w:rsidRDefault="00A173A8">
            <w:pPr>
              <w:spacing w:after="100"/>
              <w:rPr>
                <w:rFonts w:eastAsia="Times New Roman"/>
                <w:sz w:val="20"/>
                <w:szCs w:val="20"/>
              </w:rPr>
            </w:pPr>
          </w:p>
        </w:tc>
      </w:tr>
      <w:tr w:rsidR="00000000" w14:paraId="1A26F6D5" w14:textId="77777777">
        <w:trPr>
          <w:divId w:val="2005549506"/>
        </w:trPr>
        <w:tc>
          <w:tcPr>
            <w:tcW w:w="0" w:type="auto"/>
            <w:gridSpan w:val="3"/>
            <w:shd w:val="clear" w:color="auto" w:fill="CCEEFF"/>
            <w:tcMar>
              <w:top w:w="30" w:type="dxa"/>
              <w:left w:w="20" w:type="dxa"/>
              <w:bottom w:w="30" w:type="dxa"/>
              <w:right w:w="20" w:type="dxa"/>
            </w:tcMar>
            <w:vAlign w:val="center"/>
            <w:hideMark/>
          </w:tcPr>
          <w:p w14:paraId="26492008" w14:textId="77777777" w:rsidR="00000000" w:rsidRDefault="00A173A8">
            <w:pPr>
              <w:spacing w:after="100"/>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14:paraId="5E5E8CD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14:paraId="6C4D6426" w14:textId="77777777" w:rsidR="00000000" w:rsidRDefault="00A173A8">
            <w:pPr>
              <w:spacing w:after="100"/>
              <w:jc w:val="right"/>
              <w:rPr>
                <w:rFonts w:eastAsia="Times New Roman"/>
              </w:rPr>
            </w:pPr>
            <w:r>
              <w:rPr>
                <w:rFonts w:eastAsia="Times New Roman"/>
                <w:b/>
                <w:bCs/>
                <w:color w:val="000000"/>
                <w:sz w:val="18"/>
                <w:szCs w:val="18"/>
              </w:rPr>
              <w:t>262</w:t>
            </w:r>
          </w:p>
        </w:tc>
        <w:tc>
          <w:tcPr>
            <w:tcW w:w="0" w:type="auto"/>
            <w:gridSpan w:val="3"/>
            <w:shd w:val="clear" w:color="auto" w:fill="CCEEFF"/>
            <w:tcMar>
              <w:top w:w="0" w:type="dxa"/>
              <w:left w:w="20" w:type="dxa"/>
              <w:bottom w:w="0" w:type="dxa"/>
              <w:right w:w="20" w:type="dxa"/>
            </w:tcMar>
            <w:vAlign w:val="center"/>
            <w:hideMark/>
          </w:tcPr>
          <w:p w14:paraId="7007FC6A"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7D6B5D06"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60" w:type="dxa"/>
            </w:tcMar>
            <w:vAlign w:val="center"/>
            <w:hideMark/>
          </w:tcPr>
          <w:p w14:paraId="1ADCAC63"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1ECE1986"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63B5EF10"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5A11A4B" w14:textId="77777777" w:rsidR="00000000" w:rsidRDefault="00A173A8">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07A952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B8ADD8"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5CF2058B" w14:textId="77777777" w:rsidR="00000000" w:rsidRDefault="00A173A8">
            <w:pPr>
              <w:spacing w:after="100"/>
              <w:jc w:val="right"/>
              <w:rPr>
                <w:rFonts w:eastAsia="Times New Roman"/>
              </w:rPr>
            </w:pPr>
            <w:r>
              <w:rPr>
                <w:rFonts w:eastAsia="Times New Roman"/>
                <w:b/>
                <w:bCs/>
                <w:color w:val="000000"/>
                <w:sz w:val="18"/>
                <w:szCs w:val="18"/>
              </w:rPr>
              <w:t>14</w:t>
            </w:r>
          </w:p>
        </w:tc>
        <w:tc>
          <w:tcPr>
            <w:tcW w:w="0" w:type="auto"/>
            <w:gridSpan w:val="3"/>
            <w:vAlign w:val="center"/>
            <w:hideMark/>
          </w:tcPr>
          <w:p w14:paraId="4BCB89AD" w14:textId="77777777" w:rsidR="00000000" w:rsidRDefault="00A173A8">
            <w:pPr>
              <w:spacing w:after="100"/>
              <w:jc w:val="right"/>
              <w:rPr>
                <w:rFonts w:eastAsia="Times New Roman"/>
              </w:rPr>
            </w:pPr>
          </w:p>
        </w:tc>
        <w:tc>
          <w:tcPr>
            <w:tcW w:w="0" w:type="auto"/>
            <w:gridSpan w:val="3"/>
            <w:vAlign w:val="center"/>
            <w:hideMark/>
          </w:tcPr>
          <w:p w14:paraId="5A6D8611" w14:textId="77777777" w:rsidR="00000000" w:rsidRDefault="00A173A8">
            <w:pPr>
              <w:spacing w:after="100"/>
              <w:rPr>
                <w:rFonts w:eastAsia="Times New Roman"/>
                <w:sz w:val="20"/>
                <w:szCs w:val="20"/>
              </w:rPr>
            </w:pPr>
          </w:p>
        </w:tc>
        <w:tc>
          <w:tcPr>
            <w:tcW w:w="0" w:type="auto"/>
            <w:gridSpan w:val="3"/>
            <w:vAlign w:val="center"/>
            <w:hideMark/>
          </w:tcPr>
          <w:p w14:paraId="36BD1A4F" w14:textId="77777777" w:rsidR="00000000" w:rsidRDefault="00A173A8">
            <w:pPr>
              <w:spacing w:after="100"/>
              <w:rPr>
                <w:rFonts w:eastAsia="Times New Roman"/>
                <w:sz w:val="20"/>
                <w:szCs w:val="20"/>
              </w:rPr>
            </w:pPr>
          </w:p>
        </w:tc>
        <w:tc>
          <w:tcPr>
            <w:tcW w:w="0" w:type="auto"/>
            <w:gridSpan w:val="3"/>
            <w:vAlign w:val="center"/>
            <w:hideMark/>
          </w:tcPr>
          <w:p w14:paraId="0FA72444" w14:textId="77777777" w:rsidR="00000000" w:rsidRDefault="00A173A8">
            <w:pPr>
              <w:spacing w:after="100"/>
              <w:rPr>
                <w:rFonts w:eastAsia="Times New Roman"/>
                <w:sz w:val="20"/>
                <w:szCs w:val="20"/>
              </w:rPr>
            </w:pPr>
          </w:p>
        </w:tc>
      </w:tr>
      <w:tr w:rsidR="00000000" w14:paraId="2FA3459B" w14:textId="77777777">
        <w:trPr>
          <w:divId w:val="2005549506"/>
        </w:trPr>
        <w:tc>
          <w:tcPr>
            <w:tcW w:w="0" w:type="auto"/>
            <w:gridSpan w:val="3"/>
            <w:shd w:val="clear" w:color="auto" w:fill="FFFFFF"/>
            <w:tcMar>
              <w:top w:w="30" w:type="dxa"/>
              <w:left w:w="20" w:type="dxa"/>
              <w:bottom w:w="30" w:type="dxa"/>
              <w:right w:w="20" w:type="dxa"/>
            </w:tcMar>
            <w:vAlign w:val="center"/>
            <w:hideMark/>
          </w:tcPr>
          <w:p w14:paraId="63D810B5" w14:textId="77777777" w:rsidR="00000000" w:rsidRDefault="00A173A8">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7305ECF5"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56060D9"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140" w:type="dxa"/>
            </w:tcMar>
            <w:vAlign w:val="center"/>
            <w:hideMark/>
          </w:tcPr>
          <w:p w14:paraId="1D7049C3" w14:textId="77777777" w:rsidR="00000000" w:rsidRDefault="00A173A8">
            <w:pPr>
              <w:spacing w:after="100"/>
              <w:jc w:val="right"/>
              <w:rPr>
                <w:rFonts w:eastAsia="Times New Roman"/>
              </w:rPr>
            </w:pPr>
            <w:r>
              <w:rPr>
                <w:rFonts w:eastAsia="Times New Roman"/>
                <w:b/>
                <w:bCs/>
                <w:color w:val="000000"/>
                <w:sz w:val="18"/>
                <w:szCs w:val="18"/>
              </w:rPr>
              <w:t>629</w:t>
            </w:r>
          </w:p>
        </w:tc>
        <w:tc>
          <w:tcPr>
            <w:tcW w:w="0" w:type="auto"/>
            <w:gridSpan w:val="3"/>
            <w:shd w:val="clear" w:color="auto" w:fill="FFFFFF"/>
            <w:tcMar>
              <w:top w:w="0" w:type="dxa"/>
              <w:left w:w="20" w:type="dxa"/>
              <w:bottom w:w="0" w:type="dxa"/>
              <w:right w:w="20" w:type="dxa"/>
            </w:tcMar>
            <w:vAlign w:val="center"/>
            <w:hideMark/>
          </w:tcPr>
          <w:p w14:paraId="77CA8B0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3F5B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37330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AE0F9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99624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5C4E2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30156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B0D57A" w14:textId="77777777" w:rsidR="00000000" w:rsidRDefault="00A173A8">
            <w:pPr>
              <w:spacing w:after="100"/>
              <w:rPr>
                <w:rFonts w:eastAsia="Times New Roman"/>
                <w:sz w:val="20"/>
                <w:szCs w:val="20"/>
              </w:rPr>
            </w:pPr>
          </w:p>
        </w:tc>
        <w:tc>
          <w:tcPr>
            <w:tcW w:w="0" w:type="auto"/>
            <w:gridSpan w:val="3"/>
            <w:vAlign w:val="center"/>
            <w:hideMark/>
          </w:tcPr>
          <w:p w14:paraId="6AFA5560" w14:textId="77777777" w:rsidR="00000000" w:rsidRDefault="00A173A8">
            <w:pPr>
              <w:spacing w:after="100"/>
              <w:rPr>
                <w:rFonts w:eastAsia="Times New Roman"/>
                <w:sz w:val="20"/>
                <w:szCs w:val="20"/>
              </w:rPr>
            </w:pPr>
          </w:p>
        </w:tc>
        <w:tc>
          <w:tcPr>
            <w:tcW w:w="0" w:type="auto"/>
            <w:gridSpan w:val="3"/>
            <w:vAlign w:val="center"/>
            <w:hideMark/>
          </w:tcPr>
          <w:p w14:paraId="20AA3C96" w14:textId="77777777" w:rsidR="00000000" w:rsidRDefault="00A173A8">
            <w:pPr>
              <w:spacing w:after="100"/>
              <w:rPr>
                <w:rFonts w:eastAsia="Times New Roman"/>
                <w:sz w:val="20"/>
                <w:szCs w:val="20"/>
              </w:rPr>
            </w:pPr>
          </w:p>
        </w:tc>
        <w:tc>
          <w:tcPr>
            <w:tcW w:w="0" w:type="auto"/>
            <w:gridSpan w:val="3"/>
            <w:vAlign w:val="center"/>
            <w:hideMark/>
          </w:tcPr>
          <w:p w14:paraId="3DE311F2" w14:textId="77777777" w:rsidR="00000000" w:rsidRDefault="00A173A8">
            <w:pPr>
              <w:spacing w:after="100"/>
              <w:rPr>
                <w:rFonts w:eastAsia="Times New Roman"/>
                <w:sz w:val="20"/>
                <w:szCs w:val="20"/>
              </w:rPr>
            </w:pPr>
          </w:p>
        </w:tc>
        <w:tc>
          <w:tcPr>
            <w:tcW w:w="0" w:type="auto"/>
            <w:gridSpan w:val="3"/>
            <w:vAlign w:val="center"/>
            <w:hideMark/>
          </w:tcPr>
          <w:p w14:paraId="4B344762" w14:textId="77777777" w:rsidR="00000000" w:rsidRDefault="00A173A8">
            <w:pPr>
              <w:spacing w:after="100"/>
              <w:rPr>
                <w:rFonts w:eastAsia="Times New Roman"/>
                <w:sz w:val="20"/>
                <w:szCs w:val="20"/>
              </w:rPr>
            </w:pPr>
          </w:p>
        </w:tc>
      </w:tr>
    </w:tbl>
    <w:p w14:paraId="25B21E55" w14:textId="77777777" w:rsidR="00000000" w:rsidRDefault="00A173A8">
      <w:pPr>
        <w:divId w:val="200554950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885"/>
        <w:gridCol w:w="38"/>
        <w:gridCol w:w="36"/>
        <w:gridCol w:w="36"/>
        <w:gridCol w:w="36"/>
        <w:gridCol w:w="111"/>
        <w:gridCol w:w="679"/>
        <w:gridCol w:w="36"/>
        <w:gridCol w:w="36"/>
        <w:gridCol w:w="36"/>
        <w:gridCol w:w="36"/>
        <w:gridCol w:w="88"/>
        <w:gridCol w:w="657"/>
        <w:gridCol w:w="201"/>
        <w:gridCol w:w="37"/>
        <w:gridCol w:w="46"/>
        <w:gridCol w:w="37"/>
        <w:gridCol w:w="87"/>
        <w:gridCol w:w="656"/>
        <w:gridCol w:w="200"/>
        <w:gridCol w:w="36"/>
        <w:gridCol w:w="36"/>
        <w:gridCol w:w="36"/>
        <w:gridCol w:w="81"/>
        <w:gridCol w:w="609"/>
        <w:gridCol w:w="20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14:paraId="07A3118D" w14:textId="77777777">
        <w:trPr>
          <w:divId w:val="2005549506"/>
        </w:trPr>
        <w:tc>
          <w:tcPr>
            <w:tcW w:w="50" w:type="pct"/>
            <w:vAlign w:val="center"/>
            <w:hideMark/>
          </w:tcPr>
          <w:p w14:paraId="3D42603F" w14:textId="77777777" w:rsidR="00000000" w:rsidRDefault="00A173A8">
            <w:pPr>
              <w:rPr>
                <w:rFonts w:eastAsia="Times New Roman"/>
              </w:rPr>
            </w:pPr>
          </w:p>
        </w:tc>
        <w:tc>
          <w:tcPr>
            <w:tcW w:w="2605" w:type="pct"/>
            <w:vAlign w:val="center"/>
            <w:hideMark/>
          </w:tcPr>
          <w:p w14:paraId="367321A9" w14:textId="77777777" w:rsidR="00000000" w:rsidRDefault="00A173A8">
            <w:pPr>
              <w:spacing w:after="100"/>
              <w:rPr>
                <w:rFonts w:eastAsia="Times New Roman"/>
                <w:sz w:val="20"/>
                <w:szCs w:val="20"/>
              </w:rPr>
            </w:pPr>
          </w:p>
        </w:tc>
        <w:tc>
          <w:tcPr>
            <w:tcW w:w="5" w:type="pct"/>
            <w:vAlign w:val="center"/>
            <w:hideMark/>
          </w:tcPr>
          <w:p w14:paraId="79DF22E3" w14:textId="77777777" w:rsidR="00000000" w:rsidRDefault="00A173A8">
            <w:pPr>
              <w:spacing w:after="100"/>
              <w:rPr>
                <w:rFonts w:eastAsia="Times New Roman"/>
                <w:sz w:val="20"/>
                <w:szCs w:val="20"/>
              </w:rPr>
            </w:pPr>
          </w:p>
        </w:tc>
        <w:tc>
          <w:tcPr>
            <w:tcW w:w="5" w:type="pct"/>
            <w:vAlign w:val="center"/>
            <w:hideMark/>
          </w:tcPr>
          <w:p w14:paraId="004A5E26" w14:textId="77777777" w:rsidR="00000000" w:rsidRDefault="00A173A8">
            <w:pPr>
              <w:spacing w:after="100"/>
              <w:rPr>
                <w:rFonts w:eastAsia="Times New Roman"/>
                <w:sz w:val="20"/>
                <w:szCs w:val="20"/>
              </w:rPr>
            </w:pPr>
          </w:p>
        </w:tc>
        <w:tc>
          <w:tcPr>
            <w:tcW w:w="26" w:type="pct"/>
            <w:vAlign w:val="center"/>
            <w:hideMark/>
          </w:tcPr>
          <w:p w14:paraId="400A78B3" w14:textId="77777777" w:rsidR="00000000" w:rsidRDefault="00A173A8">
            <w:pPr>
              <w:spacing w:after="100"/>
              <w:rPr>
                <w:rFonts w:eastAsia="Times New Roman"/>
                <w:sz w:val="20"/>
                <w:szCs w:val="20"/>
              </w:rPr>
            </w:pPr>
          </w:p>
        </w:tc>
        <w:tc>
          <w:tcPr>
            <w:tcW w:w="5" w:type="pct"/>
            <w:vAlign w:val="center"/>
            <w:hideMark/>
          </w:tcPr>
          <w:p w14:paraId="6CC53AE6" w14:textId="77777777" w:rsidR="00000000" w:rsidRDefault="00A173A8">
            <w:pPr>
              <w:spacing w:after="100"/>
              <w:rPr>
                <w:rFonts w:eastAsia="Times New Roman"/>
                <w:sz w:val="20"/>
                <w:szCs w:val="20"/>
              </w:rPr>
            </w:pPr>
          </w:p>
        </w:tc>
        <w:tc>
          <w:tcPr>
            <w:tcW w:w="50" w:type="pct"/>
            <w:vAlign w:val="center"/>
            <w:hideMark/>
          </w:tcPr>
          <w:p w14:paraId="657189E8" w14:textId="77777777" w:rsidR="00000000" w:rsidRDefault="00A173A8">
            <w:pPr>
              <w:spacing w:after="100"/>
              <w:rPr>
                <w:rFonts w:eastAsia="Times New Roman"/>
                <w:sz w:val="20"/>
                <w:szCs w:val="20"/>
              </w:rPr>
            </w:pPr>
          </w:p>
        </w:tc>
        <w:tc>
          <w:tcPr>
            <w:tcW w:w="376" w:type="pct"/>
            <w:vAlign w:val="center"/>
            <w:hideMark/>
          </w:tcPr>
          <w:p w14:paraId="4FC468F7" w14:textId="77777777" w:rsidR="00000000" w:rsidRDefault="00A173A8">
            <w:pPr>
              <w:spacing w:after="100"/>
              <w:rPr>
                <w:rFonts w:eastAsia="Times New Roman"/>
                <w:sz w:val="20"/>
                <w:szCs w:val="20"/>
              </w:rPr>
            </w:pPr>
          </w:p>
        </w:tc>
        <w:tc>
          <w:tcPr>
            <w:tcW w:w="5" w:type="pct"/>
            <w:vAlign w:val="center"/>
            <w:hideMark/>
          </w:tcPr>
          <w:p w14:paraId="3CFBA3D9" w14:textId="77777777" w:rsidR="00000000" w:rsidRDefault="00A173A8">
            <w:pPr>
              <w:spacing w:after="100"/>
              <w:rPr>
                <w:rFonts w:eastAsia="Times New Roman"/>
                <w:sz w:val="20"/>
                <w:szCs w:val="20"/>
              </w:rPr>
            </w:pPr>
          </w:p>
        </w:tc>
        <w:tc>
          <w:tcPr>
            <w:tcW w:w="5" w:type="pct"/>
            <w:vAlign w:val="center"/>
            <w:hideMark/>
          </w:tcPr>
          <w:p w14:paraId="1CC986B0" w14:textId="77777777" w:rsidR="00000000" w:rsidRDefault="00A173A8">
            <w:pPr>
              <w:spacing w:after="100"/>
              <w:rPr>
                <w:rFonts w:eastAsia="Times New Roman"/>
                <w:sz w:val="20"/>
                <w:szCs w:val="20"/>
              </w:rPr>
            </w:pPr>
          </w:p>
        </w:tc>
        <w:tc>
          <w:tcPr>
            <w:tcW w:w="26" w:type="pct"/>
            <w:vAlign w:val="center"/>
            <w:hideMark/>
          </w:tcPr>
          <w:p w14:paraId="7A40D305" w14:textId="77777777" w:rsidR="00000000" w:rsidRDefault="00A173A8">
            <w:pPr>
              <w:spacing w:after="100"/>
              <w:rPr>
                <w:rFonts w:eastAsia="Times New Roman"/>
                <w:sz w:val="20"/>
                <w:szCs w:val="20"/>
              </w:rPr>
            </w:pPr>
          </w:p>
        </w:tc>
        <w:tc>
          <w:tcPr>
            <w:tcW w:w="5" w:type="pct"/>
            <w:vAlign w:val="center"/>
            <w:hideMark/>
          </w:tcPr>
          <w:p w14:paraId="23EC52CA" w14:textId="77777777" w:rsidR="00000000" w:rsidRDefault="00A173A8">
            <w:pPr>
              <w:spacing w:after="100"/>
              <w:rPr>
                <w:rFonts w:eastAsia="Times New Roman"/>
                <w:sz w:val="20"/>
                <w:szCs w:val="20"/>
              </w:rPr>
            </w:pPr>
          </w:p>
        </w:tc>
        <w:tc>
          <w:tcPr>
            <w:tcW w:w="50" w:type="pct"/>
            <w:vAlign w:val="center"/>
            <w:hideMark/>
          </w:tcPr>
          <w:p w14:paraId="3C30DF7B" w14:textId="77777777" w:rsidR="00000000" w:rsidRDefault="00A173A8">
            <w:pPr>
              <w:spacing w:after="100"/>
              <w:rPr>
                <w:rFonts w:eastAsia="Times New Roman"/>
                <w:sz w:val="20"/>
                <w:szCs w:val="20"/>
              </w:rPr>
            </w:pPr>
          </w:p>
        </w:tc>
        <w:tc>
          <w:tcPr>
            <w:tcW w:w="376" w:type="pct"/>
            <w:vAlign w:val="center"/>
            <w:hideMark/>
          </w:tcPr>
          <w:p w14:paraId="39FA5231" w14:textId="77777777" w:rsidR="00000000" w:rsidRDefault="00A173A8">
            <w:pPr>
              <w:spacing w:after="100"/>
              <w:rPr>
                <w:rFonts w:eastAsia="Times New Roman"/>
                <w:sz w:val="20"/>
                <w:szCs w:val="20"/>
              </w:rPr>
            </w:pPr>
          </w:p>
        </w:tc>
        <w:tc>
          <w:tcPr>
            <w:tcW w:w="5" w:type="pct"/>
            <w:vAlign w:val="center"/>
            <w:hideMark/>
          </w:tcPr>
          <w:p w14:paraId="532FF9D7" w14:textId="77777777" w:rsidR="00000000" w:rsidRDefault="00A173A8">
            <w:pPr>
              <w:spacing w:after="100"/>
              <w:rPr>
                <w:rFonts w:eastAsia="Times New Roman"/>
                <w:sz w:val="20"/>
                <w:szCs w:val="20"/>
              </w:rPr>
            </w:pPr>
          </w:p>
        </w:tc>
        <w:tc>
          <w:tcPr>
            <w:tcW w:w="5" w:type="pct"/>
            <w:vAlign w:val="center"/>
            <w:hideMark/>
          </w:tcPr>
          <w:p w14:paraId="7290975A" w14:textId="77777777" w:rsidR="00000000" w:rsidRDefault="00A173A8">
            <w:pPr>
              <w:spacing w:after="100"/>
              <w:rPr>
                <w:rFonts w:eastAsia="Times New Roman"/>
                <w:sz w:val="20"/>
                <w:szCs w:val="20"/>
              </w:rPr>
            </w:pPr>
          </w:p>
        </w:tc>
        <w:tc>
          <w:tcPr>
            <w:tcW w:w="26" w:type="pct"/>
            <w:vAlign w:val="center"/>
            <w:hideMark/>
          </w:tcPr>
          <w:p w14:paraId="300B4744" w14:textId="77777777" w:rsidR="00000000" w:rsidRDefault="00A173A8">
            <w:pPr>
              <w:spacing w:after="100"/>
              <w:rPr>
                <w:rFonts w:eastAsia="Times New Roman"/>
                <w:sz w:val="20"/>
                <w:szCs w:val="20"/>
              </w:rPr>
            </w:pPr>
          </w:p>
        </w:tc>
        <w:tc>
          <w:tcPr>
            <w:tcW w:w="5" w:type="pct"/>
            <w:vAlign w:val="center"/>
            <w:hideMark/>
          </w:tcPr>
          <w:p w14:paraId="3BB9C103" w14:textId="77777777" w:rsidR="00000000" w:rsidRDefault="00A173A8">
            <w:pPr>
              <w:spacing w:after="100"/>
              <w:rPr>
                <w:rFonts w:eastAsia="Times New Roman"/>
                <w:sz w:val="20"/>
                <w:szCs w:val="20"/>
              </w:rPr>
            </w:pPr>
          </w:p>
        </w:tc>
        <w:tc>
          <w:tcPr>
            <w:tcW w:w="50" w:type="pct"/>
            <w:vAlign w:val="center"/>
            <w:hideMark/>
          </w:tcPr>
          <w:p w14:paraId="602E6A9A" w14:textId="77777777" w:rsidR="00000000" w:rsidRDefault="00A173A8">
            <w:pPr>
              <w:spacing w:after="100"/>
              <w:rPr>
                <w:rFonts w:eastAsia="Times New Roman"/>
                <w:sz w:val="20"/>
                <w:szCs w:val="20"/>
              </w:rPr>
            </w:pPr>
          </w:p>
        </w:tc>
        <w:tc>
          <w:tcPr>
            <w:tcW w:w="376" w:type="pct"/>
            <w:vAlign w:val="center"/>
            <w:hideMark/>
          </w:tcPr>
          <w:p w14:paraId="6FBC7FF7" w14:textId="77777777" w:rsidR="00000000" w:rsidRDefault="00A173A8">
            <w:pPr>
              <w:spacing w:after="100"/>
              <w:rPr>
                <w:rFonts w:eastAsia="Times New Roman"/>
                <w:sz w:val="20"/>
                <w:szCs w:val="20"/>
              </w:rPr>
            </w:pPr>
          </w:p>
        </w:tc>
        <w:tc>
          <w:tcPr>
            <w:tcW w:w="5" w:type="pct"/>
            <w:vAlign w:val="center"/>
            <w:hideMark/>
          </w:tcPr>
          <w:p w14:paraId="2D8627C2" w14:textId="77777777" w:rsidR="00000000" w:rsidRDefault="00A173A8">
            <w:pPr>
              <w:spacing w:after="100"/>
              <w:rPr>
                <w:rFonts w:eastAsia="Times New Roman"/>
                <w:sz w:val="20"/>
                <w:szCs w:val="20"/>
              </w:rPr>
            </w:pPr>
          </w:p>
        </w:tc>
        <w:tc>
          <w:tcPr>
            <w:tcW w:w="5" w:type="pct"/>
            <w:vAlign w:val="center"/>
            <w:hideMark/>
          </w:tcPr>
          <w:p w14:paraId="0EB00F3A" w14:textId="77777777" w:rsidR="00000000" w:rsidRDefault="00A173A8">
            <w:pPr>
              <w:spacing w:after="100"/>
              <w:rPr>
                <w:rFonts w:eastAsia="Times New Roman"/>
                <w:sz w:val="20"/>
                <w:szCs w:val="20"/>
              </w:rPr>
            </w:pPr>
          </w:p>
        </w:tc>
        <w:tc>
          <w:tcPr>
            <w:tcW w:w="26" w:type="pct"/>
            <w:vAlign w:val="center"/>
            <w:hideMark/>
          </w:tcPr>
          <w:p w14:paraId="1344DE11" w14:textId="77777777" w:rsidR="00000000" w:rsidRDefault="00A173A8">
            <w:pPr>
              <w:spacing w:after="100"/>
              <w:rPr>
                <w:rFonts w:eastAsia="Times New Roman"/>
                <w:sz w:val="20"/>
                <w:szCs w:val="20"/>
              </w:rPr>
            </w:pPr>
          </w:p>
        </w:tc>
        <w:tc>
          <w:tcPr>
            <w:tcW w:w="5" w:type="pct"/>
            <w:vAlign w:val="center"/>
            <w:hideMark/>
          </w:tcPr>
          <w:p w14:paraId="5407FC47" w14:textId="77777777" w:rsidR="00000000" w:rsidRDefault="00A173A8">
            <w:pPr>
              <w:spacing w:after="100"/>
              <w:rPr>
                <w:rFonts w:eastAsia="Times New Roman"/>
                <w:sz w:val="20"/>
                <w:szCs w:val="20"/>
              </w:rPr>
            </w:pPr>
          </w:p>
        </w:tc>
        <w:tc>
          <w:tcPr>
            <w:tcW w:w="50" w:type="pct"/>
            <w:vAlign w:val="center"/>
            <w:hideMark/>
          </w:tcPr>
          <w:p w14:paraId="51662248" w14:textId="77777777" w:rsidR="00000000" w:rsidRDefault="00A173A8">
            <w:pPr>
              <w:spacing w:after="100"/>
              <w:rPr>
                <w:rFonts w:eastAsia="Times New Roman"/>
                <w:sz w:val="20"/>
                <w:szCs w:val="20"/>
              </w:rPr>
            </w:pPr>
          </w:p>
        </w:tc>
        <w:tc>
          <w:tcPr>
            <w:tcW w:w="376" w:type="pct"/>
            <w:vAlign w:val="center"/>
            <w:hideMark/>
          </w:tcPr>
          <w:p w14:paraId="563E12F9" w14:textId="77777777" w:rsidR="00000000" w:rsidRDefault="00A173A8">
            <w:pPr>
              <w:spacing w:after="100"/>
              <w:rPr>
                <w:rFonts w:eastAsia="Times New Roman"/>
                <w:sz w:val="20"/>
                <w:szCs w:val="20"/>
              </w:rPr>
            </w:pPr>
          </w:p>
        </w:tc>
        <w:tc>
          <w:tcPr>
            <w:tcW w:w="5" w:type="pct"/>
            <w:vAlign w:val="center"/>
            <w:hideMark/>
          </w:tcPr>
          <w:p w14:paraId="266ACD19" w14:textId="77777777" w:rsidR="00000000" w:rsidRDefault="00A173A8">
            <w:pPr>
              <w:spacing w:after="100"/>
              <w:rPr>
                <w:rFonts w:eastAsia="Times New Roman"/>
                <w:sz w:val="20"/>
                <w:szCs w:val="20"/>
              </w:rPr>
            </w:pPr>
          </w:p>
        </w:tc>
        <w:tc>
          <w:tcPr>
            <w:tcW w:w="5" w:type="pct"/>
            <w:vAlign w:val="center"/>
            <w:hideMark/>
          </w:tcPr>
          <w:p w14:paraId="6A4B0E79" w14:textId="77777777" w:rsidR="00000000" w:rsidRDefault="00A173A8">
            <w:pPr>
              <w:spacing w:after="100"/>
              <w:rPr>
                <w:rFonts w:eastAsia="Times New Roman"/>
                <w:sz w:val="20"/>
                <w:szCs w:val="20"/>
              </w:rPr>
            </w:pPr>
          </w:p>
        </w:tc>
        <w:tc>
          <w:tcPr>
            <w:tcW w:w="26" w:type="pct"/>
            <w:vAlign w:val="center"/>
            <w:hideMark/>
          </w:tcPr>
          <w:p w14:paraId="5C77225B" w14:textId="77777777" w:rsidR="00000000" w:rsidRDefault="00A173A8">
            <w:pPr>
              <w:spacing w:after="100"/>
              <w:rPr>
                <w:rFonts w:eastAsia="Times New Roman"/>
                <w:sz w:val="20"/>
                <w:szCs w:val="20"/>
              </w:rPr>
            </w:pPr>
          </w:p>
        </w:tc>
        <w:tc>
          <w:tcPr>
            <w:tcW w:w="5" w:type="pct"/>
            <w:vAlign w:val="center"/>
            <w:hideMark/>
          </w:tcPr>
          <w:p w14:paraId="616DD433" w14:textId="77777777" w:rsidR="00000000" w:rsidRDefault="00A173A8">
            <w:pPr>
              <w:spacing w:after="100"/>
              <w:rPr>
                <w:rFonts w:eastAsia="Times New Roman"/>
                <w:sz w:val="20"/>
                <w:szCs w:val="20"/>
              </w:rPr>
            </w:pPr>
          </w:p>
        </w:tc>
        <w:tc>
          <w:tcPr>
            <w:tcW w:w="50" w:type="pct"/>
            <w:vAlign w:val="center"/>
            <w:hideMark/>
          </w:tcPr>
          <w:p w14:paraId="4D728BE2" w14:textId="77777777" w:rsidR="00000000" w:rsidRDefault="00A173A8">
            <w:pPr>
              <w:spacing w:after="100"/>
              <w:rPr>
                <w:rFonts w:eastAsia="Times New Roman"/>
                <w:sz w:val="20"/>
                <w:szCs w:val="20"/>
              </w:rPr>
            </w:pPr>
          </w:p>
        </w:tc>
        <w:tc>
          <w:tcPr>
            <w:tcW w:w="376" w:type="pct"/>
            <w:vAlign w:val="center"/>
            <w:hideMark/>
          </w:tcPr>
          <w:p w14:paraId="3E6D3165" w14:textId="77777777" w:rsidR="00000000" w:rsidRDefault="00A173A8">
            <w:pPr>
              <w:spacing w:after="100"/>
              <w:rPr>
                <w:rFonts w:eastAsia="Times New Roman"/>
                <w:sz w:val="20"/>
                <w:szCs w:val="20"/>
              </w:rPr>
            </w:pPr>
          </w:p>
        </w:tc>
        <w:tc>
          <w:tcPr>
            <w:tcW w:w="5" w:type="pct"/>
            <w:vAlign w:val="center"/>
            <w:hideMark/>
          </w:tcPr>
          <w:p w14:paraId="7E0CD6CA" w14:textId="77777777" w:rsidR="00000000" w:rsidRDefault="00A173A8">
            <w:pPr>
              <w:spacing w:after="100"/>
              <w:rPr>
                <w:rFonts w:eastAsia="Times New Roman"/>
                <w:sz w:val="20"/>
                <w:szCs w:val="20"/>
              </w:rPr>
            </w:pPr>
          </w:p>
        </w:tc>
        <w:tc>
          <w:tcPr>
            <w:tcW w:w="0" w:type="auto"/>
            <w:gridSpan w:val="3"/>
            <w:vAlign w:val="center"/>
            <w:hideMark/>
          </w:tcPr>
          <w:p w14:paraId="4D990130" w14:textId="77777777" w:rsidR="00000000" w:rsidRDefault="00A173A8">
            <w:pPr>
              <w:spacing w:after="100"/>
              <w:rPr>
                <w:rFonts w:eastAsia="Times New Roman"/>
                <w:sz w:val="20"/>
                <w:szCs w:val="20"/>
              </w:rPr>
            </w:pPr>
          </w:p>
        </w:tc>
        <w:tc>
          <w:tcPr>
            <w:tcW w:w="0" w:type="auto"/>
            <w:gridSpan w:val="3"/>
            <w:vAlign w:val="center"/>
            <w:hideMark/>
          </w:tcPr>
          <w:p w14:paraId="01CF6762" w14:textId="77777777" w:rsidR="00000000" w:rsidRDefault="00A173A8">
            <w:pPr>
              <w:spacing w:after="100"/>
              <w:rPr>
                <w:rFonts w:eastAsia="Times New Roman"/>
                <w:sz w:val="20"/>
                <w:szCs w:val="20"/>
              </w:rPr>
            </w:pPr>
          </w:p>
        </w:tc>
        <w:tc>
          <w:tcPr>
            <w:tcW w:w="0" w:type="auto"/>
            <w:gridSpan w:val="3"/>
            <w:vAlign w:val="center"/>
            <w:hideMark/>
          </w:tcPr>
          <w:p w14:paraId="0CBDBF05" w14:textId="77777777" w:rsidR="00000000" w:rsidRDefault="00A173A8">
            <w:pPr>
              <w:spacing w:after="100"/>
              <w:rPr>
                <w:rFonts w:eastAsia="Times New Roman"/>
                <w:sz w:val="20"/>
                <w:szCs w:val="20"/>
              </w:rPr>
            </w:pPr>
          </w:p>
        </w:tc>
        <w:tc>
          <w:tcPr>
            <w:tcW w:w="0" w:type="auto"/>
            <w:gridSpan w:val="3"/>
            <w:vAlign w:val="center"/>
            <w:hideMark/>
          </w:tcPr>
          <w:p w14:paraId="6655E0EF" w14:textId="77777777" w:rsidR="00000000" w:rsidRDefault="00A173A8">
            <w:pPr>
              <w:spacing w:after="100"/>
              <w:rPr>
                <w:rFonts w:eastAsia="Times New Roman"/>
                <w:sz w:val="20"/>
                <w:szCs w:val="20"/>
              </w:rPr>
            </w:pPr>
          </w:p>
        </w:tc>
      </w:tr>
      <w:tr w:rsidR="00000000" w14:paraId="7F6BE52D" w14:textId="77777777">
        <w:trPr>
          <w:divId w:val="2005549506"/>
        </w:trPr>
        <w:tc>
          <w:tcPr>
            <w:tcW w:w="0" w:type="auto"/>
            <w:gridSpan w:val="3"/>
            <w:tcMar>
              <w:top w:w="0" w:type="dxa"/>
              <w:left w:w="20" w:type="dxa"/>
              <w:bottom w:w="0" w:type="dxa"/>
              <w:right w:w="20" w:type="dxa"/>
            </w:tcMar>
            <w:vAlign w:val="center"/>
            <w:hideMark/>
          </w:tcPr>
          <w:p w14:paraId="15E50586"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119B1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7821D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B71671" w14:textId="77777777" w:rsidR="00000000" w:rsidRDefault="00A173A8">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4DE49EA7" w14:textId="77777777" w:rsidR="00000000" w:rsidRDefault="00A173A8">
            <w:pPr>
              <w:spacing w:after="100"/>
              <w:jc w:val="center"/>
              <w:rPr>
                <w:rFonts w:eastAsia="Times New Roman"/>
              </w:rPr>
            </w:pPr>
            <w:r>
              <w:rPr>
                <w:rFonts w:eastAsia="Times New Roman"/>
                <w:b/>
                <w:bCs/>
                <w:color w:val="000000"/>
                <w:sz w:val="16"/>
                <w:szCs w:val="16"/>
              </w:rPr>
              <w:t>Six Months Ended June 30, 2022</w:t>
            </w:r>
          </w:p>
        </w:tc>
        <w:tc>
          <w:tcPr>
            <w:tcW w:w="0" w:type="auto"/>
            <w:vAlign w:val="center"/>
            <w:hideMark/>
          </w:tcPr>
          <w:p w14:paraId="56A74FF2" w14:textId="77777777" w:rsidR="00000000" w:rsidRDefault="00A173A8">
            <w:pPr>
              <w:spacing w:after="100"/>
              <w:rPr>
                <w:rFonts w:eastAsia="Times New Roman"/>
                <w:sz w:val="20"/>
                <w:szCs w:val="20"/>
              </w:rPr>
            </w:pPr>
          </w:p>
        </w:tc>
        <w:tc>
          <w:tcPr>
            <w:tcW w:w="0" w:type="auto"/>
            <w:vAlign w:val="center"/>
            <w:hideMark/>
          </w:tcPr>
          <w:p w14:paraId="6BB2EA9A" w14:textId="77777777" w:rsidR="00000000" w:rsidRDefault="00A173A8">
            <w:pPr>
              <w:spacing w:after="100"/>
              <w:rPr>
                <w:rFonts w:eastAsia="Times New Roman"/>
                <w:sz w:val="20"/>
                <w:szCs w:val="20"/>
              </w:rPr>
            </w:pPr>
          </w:p>
        </w:tc>
        <w:tc>
          <w:tcPr>
            <w:tcW w:w="0" w:type="auto"/>
            <w:vAlign w:val="center"/>
            <w:hideMark/>
          </w:tcPr>
          <w:p w14:paraId="49DF012B" w14:textId="77777777" w:rsidR="00000000" w:rsidRDefault="00A173A8">
            <w:pPr>
              <w:spacing w:after="100"/>
              <w:rPr>
                <w:rFonts w:eastAsia="Times New Roman"/>
                <w:sz w:val="20"/>
                <w:szCs w:val="20"/>
              </w:rPr>
            </w:pPr>
          </w:p>
        </w:tc>
        <w:tc>
          <w:tcPr>
            <w:tcW w:w="0" w:type="auto"/>
            <w:vAlign w:val="center"/>
            <w:hideMark/>
          </w:tcPr>
          <w:p w14:paraId="0B3CA5C4" w14:textId="77777777" w:rsidR="00000000" w:rsidRDefault="00A173A8">
            <w:pPr>
              <w:spacing w:after="100"/>
              <w:rPr>
                <w:rFonts w:eastAsia="Times New Roman"/>
                <w:sz w:val="20"/>
                <w:szCs w:val="20"/>
              </w:rPr>
            </w:pPr>
          </w:p>
        </w:tc>
        <w:tc>
          <w:tcPr>
            <w:tcW w:w="0" w:type="auto"/>
            <w:vAlign w:val="center"/>
            <w:hideMark/>
          </w:tcPr>
          <w:p w14:paraId="30B00D32" w14:textId="77777777" w:rsidR="00000000" w:rsidRDefault="00A173A8">
            <w:pPr>
              <w:spacing w:after="100"/>
              <w:rPr>
                <w:rFonts w:eastAsia="Times New Roman"/>
                <w:sz w:val="20"/>
                <w:szCs w:val="20"/>
              </w:rPr>
            </w:pPr>
          </w:p>
        </w:tc>
        <w:tc>
          <w:tcPr>
            <w:tcW w:w="0" w:type="auto"/>
            <w:vAlign w:val="center"/>
            <w:hideMark/>
          </w:tcPr>
          <w:p w14:paraId="6CF70B75" w14:textId="77777777" w:rsidR="00000000" w:rsidRDefault="00A173A8">
            <w:pPr>
              <w:spacing w:after="100"/>
              <w:rPr>
                <w:rFonts w:eastAsia="Times New Roman"/>
                <w:sz w:val="20"/>
                <w:szCs w:val="20"/>
              </w:rPr>
            </w:pPr>
          </w:p>
        </w:tc>
        <w:tc>
          <w:tcPr>
            <w:tcW w:w="0" w:type="auto"/>
            <w:vAlign w:val="center"/>
            <w:hideMark/>
          </w:tcPr>
          <w:p w14:paraId="5C7F6E9B" w14:textId="77777777" w:rsidR="00000000" w:rsidRDefault="00A173A8">
            <w:pPr>
              <w:spacing w:after="100"/>
              <w:rPr>
                <w:rFonts w:eastAsia="Times New Roman"/>
                <w:sz w:val="20"/>
                <w:szCs w:val="20"/>
              </w:rPr>
            </w:pPr>
          </w:p>
        </w:tc>
        <w:tc>
          <w:tcPr>
            <w:tcW w:w="0" w:type="auto"/>
            <w:vAlign w:val="center"/>
            <w:hideMark/>
          </w:tcPr>
          <w:p w14:paraId="1FC307C1" w14:textId="77777777" w:rsidR="00000000" w:rsidRDefault="00A173A8">
            <w:pPr>
              <w:spacing w:after="100"/>
              <w:rPr>
                <w:rFonts w:eastAsia="Times New Roman"/>
                <w:sz w:val="20"/>
                <w:szCs w:val="20"/>
              </w:rPr>
            </w:pPr>
          </w:p>
        </w:tc>
        <w:tc>
          <w:tcPr>
            <w:tcW w:w="0" w:type="auto"/>
            <w:vAlign w:val="center"/>
            <w:hideMark/>
          </w:tcPr>
          <w:p w14:paraId="180D299E" w14:textId="77777777" w:rsidR="00000000" w:rsidRDefault="00A173A8">
            <w:pPr>
              <w:spacing w:after="100"/>
              <w:rPr>
                <w:rFonts w:eastAsia="Times New Roman"/>
                <w:sz w:val="20"/>
                <w:szCs w:val="20"/>
              </w:rPr>
            </w:pPr>
          </w:p>
        </w:tc>
        <w:tc>
          <w:tcPr>
            <w:tcW w:w="0" w:type="auto"/>
            <w:vAlign w:val="center"/>
            <w:hideMark/>
          </w:tcPr>
          <w:p w14:paraId="4C025635" w14:textId="77777777" w:rsidR="00000000" w:rsidRDefault="00A173A8">
            <w:pPr>
              <w:spacing w:after="100"/>
              <w:rPr>
                <w:rFonts w:eastAsia="Times New Roman"/>
                <w:sz w:val="20"/>
                <w:szCs w:val="20"/>
              </w:rPr>
            </w:pPr>
          </w:p>
        </w:tc>
        <w:tc>
          <w:tcPr>
            <w:tcW w:w="0" w:type="auto"/>
            <w:vAlign w:val="center"/>
            <w:hideMark/>
          </w:tcPr>
          <w:p w14:paraId="10B217DB" w14:textId="77777777" w:rsidR="00000000" w:rsidRDefault="00A173A8">
            <w:pPr>
              <w:spacing w:after="100"/>
              <w:rPr>
                <w:rFonts w:eastAsia="Times New Roman"/>
                <w:sz w:val="20"/>
                <w:szCs w:val="20"/>
              </w:rPr>
            </w:pPr>
          </w:p>
        </w:tc>
        <w:tc>
          <w:tcPr>
            <w:tcW w:w="0" w:type="auto"/>
            <w:vAlign w:val="center"/>
            <w:hideMark/>
          </w:tcPr>
          <w:p w14:paraId="1B49F5EA" w14:textId="77777777" w:rsidR="00000000" w:rsidRDefault="00A173A8">
            <w:pPr>
              <w:spacing w:after="100"/>
              <w:rPr>
                <w:rFonts w:eastAsia="Times New Roman"/>
                <w:sz w:val="20"/>
                <w:szCs w:val="20"/>
              </w:rPr>
            </w:pPr>
          </w:p>
        </w:tc>
      </w:tr>
      <w:tr w:rsidR="00000000" w14:paraId="188FD6DF" w14:textId="77777777">
        <w:trPr>
          <w:divId w:val="2005549506"/>
        </w:trPr>
        <w:tc>
          <w:tcPr>
            <w:tcW w:w="0" w:type="auto"/>
            <w:gridSpan w:val="3"/>
            <w:tcMar>
              <w:top w:w="0" w:type="dxa"/>
              <w:left w:w="20" w:type="dxa"/>
              <w:bottom w:w="0" w:type="dxa"/>
              <w:right w:w="20" w:type="dxa"/>
            </w:tcMar>
            <w:vAlign w:val="center"/>
            <w:hideMark/>
          </w:tcPr>
          <w:p w14:paraId="6943E103"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C1C1F0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E05CA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4FB3E8"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3B5B66E" w14:textId="77777777" w:rsidR="00000000" w:rsidRDefault="00A173A8">
            <w:pPr>
              <w:spacing w:after="100"/>
              <w:jc w:val="center"/>
              <w:rPr>
                <w:rFonts w:eastAsia="Times New Roman"/>
              </w:rPr>
            </w:pPr>
            <w:r>
              <w:rPr>
                <w:rFonts w:eastAsia="Times New Roman"/>
                <w:b/>
                <w:bCs/>
                <w:color w:val="000000"/>
                <w:sz w:val="16"/>
                <w:szCs w:val="16"/>
              </w:rPr>
              <w:t>Reduced </w:t>
            </w:r>
            <w:r>
              <w:rPr>
                <w:rFonts w:eastAsia="Times New Roman"/>
                <w:b/>
                <w:bCs/>
                <w:color w:val="000000"/>
                <w:sz w:val="16"/>
                <w:szCs w:val="16"/>
              </w:rPr>
              <w:t>Interest Rate</w:t>
            </w:r>
          </w:p>
        </w:tc>
        <w:tc>
          <w:tcPr>
            <w:tcW w:w="0" w:type="auto"/>
            <w:gridSpan w:val="3"/>
            <w:tcBorders>
              <w:top w:val="single" w:sz="8" w:space="0" w:color="000000"/>
            </w:tcBorders>
            <w:tcMar>
              <w:top w:w="0" w:type="dxa"/>
              <w:left w:w="20" w:type="dxa"/>
              <w:bottom w:w="0" w:type="dxa"/>
              <w:right w:w="20" w:type="dxa"/>
            </w:tcMar>
            <w:vAlign w:val="center"/>
            <w:hideMark/>
          </w:tcPr>
          <w:p w14:paraId="7D246A35"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90B61B2" w14:textId="77777777" w:rsidR="00000000" w:rsidRDefault="00A173A8">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14:paraId="44AFDFFA" w14:textId="77777777" w:rsidR="00000000" w:rsidRDefault="00A173A8">
            <w:pPr>
              <w:spacing w:after="100"/>
              <w:jc w:val="center"/>
              <w:rPr>
                <w:rFonts w:eastAsia="Times New Roman"/>
              </w:rPr>
            </w:pPr>
          </w:p>
        </w:tc>
        <w:tc>
          <w:tcPr>
            <w:tcW w:w="0" w:type="auto"/>
            <w:gridSpan w:val="3"/>
            <w:vAlign w:val="center"/>
            <w:hideMark/>
          </w:tcPr>
          <w:p w14:paraId="2A304C78" w14:textId="77777777" w:rsidR="00000000" w:rsidRDefault="00A173A8">
            <w:pPr>
              <w:spacing w:after="100"/>
              <w:rPr>
                <w:rFonts w:eastAsia="Times New Roman"/>
                <w:sz w:val="20"/>
                <w:szCs w:val="20"/>
              </w:rPr>
            </w:pPr>
          </w:p>
        </w:tc>
        <w:tc>
          <w:tcPr>
            <w:tcW w:w="0" w:type="auto"/>
            <w:vAlign w:val="center"/>
            <w:hideMark/>
          </w:tcPr>
          <w:p w14:paraId="19F2587C" w14:textId="77777777" w:rsidR="00000000" w:rsidRDefault="00A173A8">
            <w:pPr>
              <w:spacing w:after="100"/>
              <w:rPr>
                <w:rFonts w:eastAsia="Times New Roman"/>
                <w:sz w:val="20"/>
                <w:szCs w:val="20"/>
              </w:rPr>
            </w:pPr>
          </w:p>
        </w:tc>
        <w:tc>
          <w:tcPr>
            <w:tcW w:w="0" w:type="auto"/>
            <w:vAlign w:val="center"/>
            <w:hideMark/>
          </w:tcPr>
          <w:p w14:paraId="01394C11" w14:textId="77777777" w:rsidR="00000000" w:rsidRDefault="00A173A8">
            <w:pPr>
              <w:spacing w:after="100"/>
              <w:rPr>
                <w:rFonts w:eastAsia="Times New Roman"/>
                <w:sz w:val="20"/>
                <w:szCs w:val="20"/>
              </w:rPr>
            </w:pPr>
          </w:p>
        </w:tc>
        <w:tc>
          <w:tcPr>
            <w:tcW w:w="0" w:type="auto"/>
            <w:vAlign w:val="center"/>
            <w:hideMark/>
          </w:tcPr>
          <w:p w14:paraId="0E27D270" w14:textId="77777777" w:rsidR="00000000" w:rsidRDefault="00A173A8">
            <w:pPr>
              <w:spacing w:after="100"/>
              <w:rPr>
                <w:rFonts w:eastAsia="Times New Roman"/>
                <w:sz w:val="20"/>
                <w:szCs w:val="20"/>
              </w:rPr>
            </w:pPr>
          </w:p>
        </w:tc>
        <w:tc>
          <w:tcPr>
            <w:tcW w:w="0" w:type="auto"/>
            <w:vAlign w:val="center"/>
            <w:hideMark/>
          </w:tcPr>
          <w:p w14:paraId="28C0D740" w14:textId="77777777" w:rsidR="00000000" w:rsidRDefault="00A173A8">
            <w:pPr>
              <w:spacing w:after="100"/>
              <w:rPr>
                <w:rFonts w:eastAsia="Times New Roman"/>
                <w:sz w:val="20"/>
                <w:szCs w:val="20"/>
              </w:rPr>
            </w:pPr>
          </w:p>
        </w:tc>
        <w:tc>
          <w:tcPr>
            <w:tcW w:w="0" w:type="auto"/>
            <w:vAlign w:val="center"/>
            <w:hideMark/>
          </w:tcPr>
          <w:p w14:paraId="090E78F3" w14:textId="77777777" w:rsidR="00000000" w:rsidRDefault="00A173A8">
            <w:pPr>
              <w:spacing w:after="100"/>
              <w:rPr>
                <w:rFonts w:eastAsia="Times New Roman"/>
                <w:sz w:val="20"/>
                <w:szCs w:val="20"/>
              </w:rPr>
            </w:pPr>
          </w:p>
        </w:tc>
        <w:tc>
          <w:tcPr>
            <w:tcW w:w="0" w:type="auto"/>
            <w:vAlign w:val="center"/>
            <w:hideMark/>
          </w:tcPr>
          <w:p w14:paraId="0B42B113" w14:textId="77777777" w:rsidR="00000000" w:rsidRDefault="00A173A8">
            <w:pPr>
              <w:spacing w:after="100"/>
              <w:rPr>
                <w:rFonts w:eastAsia="Times New Roman"/>
                <w:sz w:val="20"/>
                <w:szCs w:val="20"/>
              </w:rPr>
            </w:pPr>
          </w:p>
        </w:tc>
      </w:tr>
      <w:tr w:rsidR="00000000" w14:paraId="4C74366A" w14:textId="77777777">
        <w:trPr>
          <w:divId w:val="2005549506"/>
        </w:trPr>
        <w:tc>
          <w:tcPr>
            <w:tcW w:w="0" w:type="auto"/>
            <w:gridSpan w:val="3"/>
            <w:tcBorders>
              <w:bottom w:val="single" w:sz="8" w:space="0" w:color="000000"/>
            </w:tcBorders>
            <w:tcMar>
              <w:top w:w="30" w:type="dxa"/>
              <w:left w:w="20" w:type="dxa"/>
              <w:bottom w:w="30" w:type="dxa"/>
              <w:right w:w="20" w:type="dxa"/>
            </w:tcMar>
            <w:vAlign w:val="bottom"/>
            <w:hideMark/>
          </w:tcPr>
          <w:p w14:paraId="6132E43E"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86AFBB2" w14:textId="77777777" w:rsidR="00000000" w:rsidRDefault="00A173A8">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B46C3AA" w14:textId="77777777" w:rsidR="00000000" w:rsidRDefault="00A173A8">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24CD2F1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94797E" w14:textId="77777777" w:rsidR="00000000" w:rsidRDefault="00A173A8">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105C57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7464D4" w14:textId="77777777" w:rsidR="00000000" w:rsidRDefault="00A173A8">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3D4CFE9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D0D8ED" w14:textId="77777777" w:rsidR="00000000" w:rsidRDefault="00A173A8">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01EDAA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AB741B7" w14:textId="77777777" w:rsidR="00000000" w:rsidRDefault="00A173A8">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14:paraId="0360C56D" w14:textId="77777777" w:rsidR="00000000" w:rsidRDefault="00A173A8">
            <w:pPr>
              <w:spacing w:after="100"/>
              <w:jc w:val="center"/>
              <w:rPr>
                <w:rFonts w:eastAsia="Times New Roman"/>
              </w:rPr>
            </w:pPr>
          </w:p>
        </w:tc>
        <w:tc>
          <w:tcPr>
            <w:tcW w:w="0" w:type="auto"/>
            <w:gridSpan w:val="3"/>
            <w:vAlign w:val="center"/>
            <w:hideMark/>
          </w:tcPr>
          <w:p w14:paraId="3282A610" w14:textId="77777777" w:rsidR="00000000" w:rsidRDefault="00A173A8">
            <w:pPr>
              <w:spacing w:after="100"/>
              <w:rPr>
                <w:rFonts w:eastAsia="Times New Roman"/>
                <w:sz w:val="20"/>
                <w:szCs w:val="20"/>
              </w:rPr>
            </w:pPr>
          </w:p>
        </w:tc>
        <w:tc>
          <w:tcPr>
            <w:tcW w:w="0" w:type="auto"/>
            <w:gridSpan w:val="3"/>
            <w:vAlign w:val="center"/>
            <w:hideMark/>
          </w:tcPr>
          <w:p w14:paraId="592987E1" w14:textId="77777777" w:rsidR="00000000" w:rsidRDefault="00A173A8">
            <w:pPr>
              <w:spacing w:after="100"/>
              <w:rPr>
                <w:rFonts w:eastAsia="Times New Roman"/>
                <w:sz w:val="20"/>
                <w:szCs w:val="20"/>
              </w:rPr>
            </w:pPr>
          </w:p>
        </w:tc>
        <w:tc>
          <w:tcPr>
            <w:tcW w:w="0" w:type="auto"/>
            <w:gridSpan w:val="3"/>
            <w:vAlign w:val="center"/>
            <w:hideMark/>
          </w:tcPr>
          <w:p w14:paraId="294EBB4D" w14:textId="77777777" w:rsidR="00000000" w:rsidRDefault="00A173A8">
            <w:pPr>
              <w:spacing w:after="100"/>
              <w:rPr>
                <w:rFonts w:eastAsia="Times New Roman"/>
                <w:sz w:val="20"/>
                <w:szCs w:val="20"/>
              </w:rPr>
            </w:pPr>
          </w:p>
        </w:tc>
      </w:tr>
      <w:tr w:rsidR="00000000" w14:paraId="7FFC0B8A" w14:textId="77777777">
        <w:trPr>
          <w:divId w:val="20055495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1585840" w14:textId="77777777" w:rsidR="00000000" w:rsidRDefault="00A173A8">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553E5DA0"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9A9CD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7EC1A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D8520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CFA40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D426C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DFE39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2B5FD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088D3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1EC6E7" w14:textId="77777777" w:rsidR="00000000" w:rsidRDefault="00A173A8">
            <w:pPr>
              <w:spacing w:after="100"/>
              <w:rPr>
                <w:rFonts w:eastAsia="Times New Roman"/>
                <w:sz w:val="20"/>
                <w:szCs w:val="20"/>
              </w:rPr>
            </w:pPr>
          </w:p>
        </w:tc>
        <w:tc>
          <w:tcPr>
            <w:tcW w:w="0" w:type="auto"/>
            <w:gridSpan w:val="3"/>
            <w:vAlign w:val="center"/>
            <w:hideMark/>
          </w:tcPr>
          <w:p w14:paraId="0AC18E39" w14:textId="77777777" w:rsidR="00000000" w:rsidRDefault="00A173A8">
            <w:pPr>
              <w:spacing w:after="100"/>
              <w:rPr>
                <w:rFonts w:eastAsia="Times New Roman"/>
                <w:sz w:val="20"/>
                <w:szCs w:val="20"/>
              </w:rPr>
            </w:pPr>
          </w:p>
        </w:tc>
        <w:tc>
          <w:tcPr>
            <w:tcW w:w="0" w:type="auto"/>
            <w:gridSpan w:val="3"/>
            <w:vAlign w:val="center"/>
            <w:hideMark/>
          </w:tcPr>
          <w:p w14:paraId="3E79CF63" w14:textId="77777777" w:rsidR="00000000" w:rsidRDefault="00A173A8">
            <w:pPr>
              <w:spacing w:after="100"/>
              <w:rPr>
                <w:rFonts w:eastAsia="Times New Roman"/>
                <w:sz w:val="20"/>
                <w:szCs w:val="20"/>
              </w:rPr>
            </w:pPr>
          </w:p>
        </w:tc>
        <w:tc>
          <w:tcPr>
            <w:tcW w:w="0" w:type="auto"/>
            <w:gridSpan w:val="3"/>
            <w:vAlign w:val="center"/>
            <w:hideMark/>
          </w:tcPr>
          <w:p w14:paraId="6215E905" w14:textId="77777777" w:rsidR="00000000" w:rsidRDefault="00A173A8">
            <w:pPr>
              <w:spacing w:after="100"/>
              <w:rPr>
                <w:rFonts w:eastAsia="Times New Roman"/>
                <w:sz w:val="20"/>
                <w:szCs w:val="20"/>
              </w:rPr>
            </w:pPr>
          </w:p>
        </w:tc>
        <w:tc>
          <w:tcPr>
            <w:tcW w:w="0" w:type="auto"/>
            <w:gridSpan w:val="3"/>
            <w:vAlign w:val="center"/>
            <w:hideMark/>
          </w:tcPr>
          <w:p w14:paraId="7D995FC5" w14:textId="77777777" w:rsidR="00000000" w:rsidRDefault="00A173A8">
            <w:pPr>
              <w:spacing w:after="100"/>
              <w:rPr>
                <w:rFonts w:eastAsia="Times New Roman"/>
                <w:sz w:val="20"/>
                <w:szCs w:val="20"/>
              </w:rPr>
            </w:pPr>
          </w:p>
        </w:tc>
      </w:tr>
      <w:tr w:rsidR="00000000" w14:paraId="579B1E44" w14:textId="77777777">
        <w:trPr>
          <w:divId w:val="2005549506"/>
        </w:trPr>
        <w:tc>
          <w:tcPr>
            <w:tcW w:w="0" w:type="auto"/>
            <w:gridSpan w:val="3"/>
            <w:shd w:val="clear" w:color="auto" w:fill="FFFFFF"/>
            <w:tcMar>
              <w:top w:w="30" w:type="dxa"/>
              <w:left w:w="245" w:type="dxa"/>
              <w:bottom w:w="30" w:type="dxa"/>
              <w:right w:w="20" w:type="dxa"/>
            </w:tcMar>
            <w:vAlign w:val="center"/>
            <w:hideMark/>
          </w:tcPr>
          <w:p w14:paraId="03539A75" w14:textId="77777777" w:rsidR="00000000" w:rsidRDefault="00A173A8">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39592E94"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D5CC6D3"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5B445C13" w14:textId="77777777" w:rsidR="00000000" w:rsidRDefault="00A173A8">
            <w:pPr>
              <w:spacing w:after="100"/>
              <w:jc w:val="right"/>
              <w:rPr>
                <w:rFonts w:eastAsia="Times New Roman"/>
              </w:rPr>
            </w:pPr>
            <w:r>
              <w:rPr>
                <w:rFonts w:eastAsia="Times New Roman"/>
                <w:b/>
                <w:bCs/>
                <w:color w:val="000000"/>
                <w:sz w:val="18"/>
                <w:szCs w:val="18"/>
              </w:rPr>
              <w:t>119</w:t>
            </w:r>
          </w:p>
        </w:tc>
        <w:tc>
          <w:tcPr>
            <w:tcW w:w="0" w:type="auto"/>
            <w:gridSpan w:val="3"/>
            <w:shd w:val="clear" w:color="auto" w:fill="FFFFFF"/>
            <w:tcMar>
              <w:top w:w="0" w:type="dxa"/>
              <w:left w:w="20" w:type="dxa"/>
              <w:bottom w:w="0" w:type="dxa"/>
              <w:right w:w="20" w:type="dxa"/>
            </w:tcMar>
            <w:vAlign w:val="center"/>
            <w:hideMark/>
          </w:tcPr>
          <w:p w14:paraId="688D336B"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BFA8D01" w14:textId="77777777" w:rsidR="00000000" w:rsidRDefault="00A173A8">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6001FE1"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6DD3BD46"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F110BA8" w14:textId="77777777" w:rsidR="00000000" w:rsidRDefault="00A173A8">
            <w:pPr>
              <w:spacing w:after="100"/>
              <w:jc w:val="right"/>
              <w:rPr>
                <w:rFonts w:eastAsia="Times New Roman"/>
              </w:rPr>
            </w:pPr>
            <w:r>
              <w:rPr>
                <w:rFonts w:eastAsia="Times New Roman"/>
                <w:b/>
                <w:bCs/>
                <w:color w:val="000000"/>
                <w:sz w:val="18"/>
                <w:szCs w:val="18"/>
              </w:rPr>
              <w:t>15.09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F91527"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DAD7361"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22300D9B"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2886C415"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551D2C20"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5B32A0F0" w14:textId="77777777" w:rsidR="00000000" w:rsidRDefault="00A173A8">
            <w:pPr>
              <w:spacing w:after="100"/>
              <w:jc w:val="right"/>
              <w:rPr>
                <w:rFonts w:eastAsia="Times New Roman"/>
              </w:rPr>
            </w:pPr>
          </w:p>
        </w:tc>
        <w:tc>
          <w:tcPr>
            <w:tcW w:w="0" w:type="auto"/>
            <w:gridSpan w:val="3"/>
            <w:vAlign w:val="center"/>
            <w:hideMark/>
          </w:tcPr>
          <w:p w14:paraId="405504CF" w14:textId="77777777" w:rsidR="00000000" w:rsidRDefault="00A173A8">
            <w:pPr>
              <w:spacing w:after="100"/>
              <w:rPr>
                <w:rFonts w:eastAsia="Times New Roman"/>
                <w:sz w:val="20"/>
                <w:szCs w:val="20"/>
              </w:rPr>
            </w:pPr>
          </w:p>
        </w:tc>
        <w:tc>
          <w:tcPr>
            <w:tcW w:w="0" w:type="auto"/>
            <w:gridSpan w:val="3"/>
            <w:vAlign w:val="center"/>
            <w:hideMark/>
          </w:tcPr>
          <w:p w14:paraId="18A64913" w14:textId="77777777" w:rsidR="00000000" w:rsidRDefault="00A173A8">
            <w:pPr>
              <w:spacing w:after="100"/>
              <w:rPr>
                <w:rFonts w:eastAsia="Times New Roman"/>
                <w:sz w:val="20"/>
                <w:szCs w:val="20"/>
              </w:rPr>
            </w:pPr>
          </w:p>
        </w:tc>
        <w:tc>
          <w:tcPr>
            <w:tcW w:w="0" w:type="auto"/>
            <w:gridSpan w:val="3"/>
            <w:vAlign w:val="center"/>
            <w:hideMark/>
          </w:tcPr>
          <w:p w14:paraId="3E4E2981" w14:textId="77777777" w:rsidR="00000000" w:rsidRDefault="00A173A8">
            <w:pPr>
              <w:spacing w:after="100"/>
              <w:rPr>
                <w:rFonts w:eastAsia="Times New Roman"/>
                <w:sz w:val="20"/>
                <w:szCs w:val="20"/>
              </w:rPr>
            </w:pPr>
          </w:p>
        </w:tc>
      </w:tr>
      <w:tr w:rsidR="00000000" w14:paraId="0042D913" w14:textId="77777777">
        <w:trPr>
          <w:divId w:val="2005549506"/>
        </w:trPr>
        <w:tc>
          <w:tcPr>
            <w:tcW w:w="0" w:type="auto"/>
            <w:gridSpan w:val="3"/>
            <w:shd w:val="clear" w:color="auto" w:fill="CCEEFF"/>
            <w:tcMar>
              <w:top w:w="30" w:type="dxa"/>
              <w:left w:w="245" w:type="dxa"/>
              <w:bottom w:w="30" w:type="dxa"/>
              <w:right w:w="20" w:type="dxa"/>
            </w:tcMar>
            <w:vAlign w:val="center"/>
            <w:hideMark/>
          </w:tcPr>
          <w:p w14:paraId="74E4FFD3" w14:textId="77777777" w:rsidR="00000000" w:rsidRDefault="00A173A8">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10373BCA"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31FD6ADB" w14:textId="77777777" w:rsidR="00000000" w:rsidRDefault="00A173A8">
            <w:pPr>
              <w:spacing w:after="100"/>
              <w:jc w:val="right"/>
              <w:rPr>
                <w:rFonts w:eastAsia="Times New Roman"/>
              </w:rPr>
            </w:pPr>
            <w:r>
              <w:rPr>
                <w:rFonts w:eastAsia="Times New Roman"/>
                <w:b/>
                <w:bCs/>
                <w:color w:val="000000"/>
                <w:sz w:val="18"/>
                <w:szCs w:val="18"/>
              </w:rPr>
              <w:t>64</w:t>
            </w:r>
          </w:p>
        </w:tc>
        <w:tc>
          <w:tcPr>
            <w:tcW w:w="0" w:type="auto"/>
            <w:gridSpan w:val="3"/>
            <w:shd w:val="clear" w:color="auto" w:fill="CCEEFF"/>
            <w:tcMar>
              <w:top w:w="0" w:type="dxa"/>
              <w:left w:w="20" w:type="dxa"/>
              <w:bottom w:w="0" w:type="dxa"/>
              <w:right w:w="20" w:type="dxa"/>
            </w:tcMar>
            <w:vAlign w:val="center"/>
            <w:hideMark/>
          </w:tcPr>
          <w:p w14:paraId="61F92F6B"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F9D103C" w14:textId="77777777" w:rsidR="00000000" w:rsidRDefault="00A173A8">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784AB0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1441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BD1FF0" w14:textId="77777777" w:rsidR="00000000" w:rsidRDefault="00A173A8">
            <w:pPr>
              <w:spacing w:after="100"/>
              <w:jc w:val="right"/>
              <w:rPr>
                <w:rFonts w:eastAsia="Times New Roman"/>
              </w:rPr>
            </w:pPr>
            <w:r>
              <w:rPr>
                <w:rFonts w:eastAsia="Times New Roman"/>
                <w:b/>
                <w:bCs/>
                <w:color w:val="000000"/>
                <w:sz w:val="18"/>
                <w:szCs w:val="18"/>
              </w:rPr>
              <w:t>27.83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27EF3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F5B1F"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14:paraId="18977D05"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06A3EA9B"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596C0237"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1F9DE3E1" w14:textId="77777777" w:rsidR="00000000" w:rsidRDefault="00A173A8">
            <w:pPr>
              <w:spacing w:after="100"/>
              <w:jc w:val="right"/>
              <w:rPr>
                <w:rFonts w:eastAsia="Times New Roman"/>
              </w:rPr>
            </w:pPr>
          </w:p>
        </w:tc>
        <w:tc>
          <w:tcPr>
            <w:tcW w:w="0" w:type="auto"/>
            <w:gridSpan w:val="3"/>
            <w:vAlign w:val="center"/>
            <w:hideMark/>
          </w:tcPr>
          <w:p w14:paraId="073BF7CC" w14:textId="77777777" w:rsidR="00000000" w:rsidRDefault="00A173A8">
            <w:pPr>
              <w:spacing w:after="100"/>
              <w:rPr>
                <w:rFonts w:eastAsia="Times New Roman"/>
                <w:sz w:val="20"/>
                <w:szCs w:val="20"/>
              </w:rPr>
            </w:pPr>
          </w:p>
        </w:tc>
        <w:tc>
          <w:tcPr>
            <w:tcW w:w="0" w:type="auto"/>
            <w:gridSpan w:val="3"/>
            <w:vAlign w:val="center"/>
            <w:hideMark/>
          </w:tcPr>
          <w:p w14:paraId="229E0469" w14:textId="77777777" w:rsidR="00000000" w:rsidRDefault="00A173A8">
            <w:pPr>
              <w:spacing w:after="100"/>
              <w:rPr>
                <w:rFonts w:eastAsia="Times New Roman"/>
                <w:sz w:val="20"/>
                <w:szCs w:val="20"/>
              </w:rPr>
            </w:pPr>
          </w:p>
        </w:tc>
        <w:tc>
          <w:tcPr>
            <w:tcW w:w="0" w:type="auto"/>
            <w:gridSpan w:val="3"/>
            <w:vAlign w:val="center"/>
            <w:hideMark/>
          </w:tcPr>
          <w:p w14:paraId="231BE592" w14:textId="77777777" w:rsidR="00000000" w:rsidRDefault="00A173A8">
            <w:pPr>
              <w:spacing w:after="100"/>
              <w:rPr>
                <w:rFonts w:eastAsia="Times New Roman"/>
                <w:sz w:val="20"/>
                <w:szCs w:val="20"/>
              </w:rPr>
            </w:pPr>
          </w:p>
        </w:tc>
      </w:tr>
      <w:tr w:rsidR="00000000" w14:paraId="4AA09E52" w14:textId="77777777">
        <w:trPr>
          <w:divId w:val="2005549506"/>
        </w:trPr>
        <w:tc>
          <w:tcPr>
            <w:tcW w:w="0" w:type="auto"/>
            <w:gridSpan w:val="3"/>
            <w:shd w:val="clear" w:color="auto" w:fill="FFFFFF"/>
            <w:tcMar>
              <w:top w:w="30" w:type="dxa"/>
              <w:left w:w="20" w:type="dxa"/>
              <w:bottom w:w="30" w:type="dxa"/>
              <w:right w:w="20" w:type="dxa"/>
            </w:tcMar>
            <w:vAlign w:val="center"/>
            <w:hideMark/>
          </w:tcPr>
          <w:p w14:paraId="1F8E68E0" w14:textId="77777777" w:rsidR="00000000" w:rsidRDefault="00A173A8">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355A0AFB"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5A640A7C" w14:textId="77777777" w:rsidR="00000000" w:rsidRDefault="00A173A8">
            <w:pPr>
              <w:spacing w:after="100"/>
              <w:jc w:val="right"/>
              <w:rPr>
                <w:rFonts w:eastAsia="Times New Roman"/>
              </w:rPr>
            </w:pPr>
            <w:r>
              <w:rPr>
                <w:rFonts w:eastAsia="Times New Roman"/>
                <w:b/>
                <w:bCs/>
                <w:color w:val="000000"/>
                <w:sz w:val="18"/>
                <w:szCs w:val="18"/>
              </w:rPr>
              <w:t>183</w:t>
            </w:r>
          </w:p>
        </w:tc>
        <w:tc>
          <w:tcPr>
            <w:tcW w:w="0" w:type="auto"/>
            <w:gridSpan w:val="3"/>
            <w:shd w:val="clear" w:color="auto" w:fill="FFFFFF"/>
            <w:tcMar>
              <w:top w:w="0" w:type="dxa"/>
              <w:left w:w="20" w:type="dxa"/>
              <w:bottom w:w="0" w:type="dxa"/>
              <w:right w:w="20" w:type="dxa"/>
            </w:tcMar>
            <w:vAlign w:val="center"/>
            <w:hideMark/>
          </w:tcPr>
          <w:p w14:paraId="4AF325F1"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0361CB" w14:textId="77777777" w:rsidR="00000000" w:rsidRDefault="00A173A8">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5CBA1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AF12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029374" w14:textId="77777777" w:rsidR="00000000" w:rsidRDefault="00A173A8">
            <w:pPr>
              <w:spacing w:after="100"/>
              <w:jc w:val="right"/>
              <w:rPr>
                <w:rFonts w:eastAsia="Times New Roman"/>
              </w:rPr>
            </w:pPr>
            <w:r>
              <w:rPr>
                <w:rFonts w:eastAsia="Times New Roman"/>
                <w:b/>
                <w:bCs/>
                <w:color w:val="000000"/>
                <w:sz w:val="18"/>
                <w:szCs w:val="18"/>
              </w:rPr>
              <w:t>19.54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2DF8F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6AA39"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14:paraId="400D1B28"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51D7AE30"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5A424D6A"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vAlign w:val="center"/>
            <w:hideMark/>
          </w:tcPr>
          <w:p w14:paraId="3CA0BD84" w14:textId="77777777" w:rsidR="00000000" w:rsidRDefault="00A173A8">
            <w:pPr>
              <w:spacing w:after="100"/>
              <w:jc w:val="right"/>
              <w:rPr>
                <w:rFonts w:eastAsia="Times New Roman"/>
              </w:rPr>
            </w:pPr>
          </w:p>
        </w:tc>
        <w:tc>
          <w:tcPr>
            <w:tcW w:w="0" w:type="auto"/>
            <w:gridSpan w:val="3"/>
            <w:vAlign w:val="center"/>
            <w:hideMark/>
          </w:tcPr>
          <w:p w14:paraId="7D933AE7" w14:textId="77777777" w:rsidR="00000000" w:rsidRDefault="00A173A8">
            <w:pPr>
              <w:spacing w:after="100"/>
              <w:rPr>
                <w:rFonts w:eastAsia="Times New Roman"/>
                <w:sz w:val="20"/>
                <w:szCs w:val="20"/>
              </w:rPr>
            </w:pPr>
          </w:p>
        </w:tc>
        <w:tc>
          <w:tcPr>
            <w:tcW w:w="0" w:type="auto"/>
            <w:gridSpan w:val="3"/>
            <w:vAlign w:val="center"/>
            <w:hideMark/>
          </w:tcPr>
          <w:p w14:paraId="1447BAD7" w14:textId="77777777" w:rsidR="00000000" w:rsidRDefault="00A173A8">
            <w:pPr>
              <w:spacing w:after="100"/>
              <w:rPr>
                <w:rFonts w:eastAsia="Times New Roman"/>
                <w:sz w:val="20"/>
                <w:szCs w:val="20"/>
              </w:rPr>
            </w:pPr>
          </w:p>
        </w:tc>
        <w:tc>
          <w:tcPr>
            <w:tcW w:w="0" w:type="auto"/>
            <w:gridSpan w:val="3"/>
            <w:vAlign w:val="center"/>
            <w:hideMark/>
          </w:tcPr>
          <w:p w14:paraId="1ED77498" w14:textId="77777777" w:rsidR="00000000" w:rsidRDefault="00A173A8">
            <w:pPr>
              <w:spacing w:after="100"/>
              <w:rPr>
                <w:rFonts w:eastAsia="Times New Roman"/>
                <w:sz w:val="20"/>
                <w:szCs w:val="20"/>
              </w:rPr>
            </w:pPr>
          </w:p>
        </w:tc>
      </w:tr>
      <w:tr w:rsidR="00000000" w14:paraId="3F8D5771" w14:textId="77777777">
        <w:trPr>
          <w:divId w:val="2005549506"/>
        </w:trPr>
        <w:tc>
          <w:tcPr>
            <w:tcW w:w="0" w:type="auto"/>
            <w:gridSpan w:val="3"/>
            <w:shd w:val="clear" w:color="auto" w:fill="CCEEFF"/>
            <w:tcMar>
              <w:top w:w="30" w:type="dxa"/>
              <w:left w:w="20" w:type="dxa"/>
              <w:bottom w:w="30" w:type="dxa"/>
              <w:right w:w="20" w:type="dxa"/>
            </w:tcMar>
            <w:vAlign w:val="center"/>
            <w:hideMark/>
          </w:tcPr>
          <w:p w14:paraId="0EE684FC" w14:textId="77777777" w:rsidR="00000000" w:rsidRDefault="00A173A8">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3C887F2E"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83D41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6B472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96494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8566E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CA9F4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4CAF4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ECD37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7A52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AAAF49" w14:textId="77777777" w:rsidR="00000000" w:rsidRDefault="00A173A8">
            <w:pPr>
              <w:spacing w:after="100"/>
              <w:rPr>
                <w:rFonts w:eastAsia="Times New Roman"/>
                <w:sz w:val="20"/>
                <w:szCs w:val="20"/>
              </w:rPr>
            </w:pPr>
          </w:p>
        </w:tc>
        <w:tc>
          <w:tcPr>
            <w:tcW w:w="0" w:type="auto"/>
            <w:gridSpan w:val="3"/>
            <w:vAlign w:val="center"/>
            <w:hideMark/>
          </w:tcPr>
          <w:p w14:paraId="3313794F" w14:textId="77777777" w:rsidR="00000000" w:rsidRDefault="00A173A8">
            <w:pPr>
              <w:spacing w:after="100"/>
              <w:rPr>
                <w:rFonts w:eastAsia="Times New Roman"/>
                <w:sz w:val="20"/>
                <w:szCs w:val="20"/>
              </w:rPr>
            </w:pPr>
          </w:p>
        </w:tc>
        <w:tc>
          <w:tcPr>
            <w:tcW w:w="0" w:type="auto"/>
            <w:gridSpan w:val="3"/>
            <w:vAlign w:val="center"/>
            <w:hideMark/>
          </w:tcPr>
          <w:p w14:paraId="0D2193DC" w14:textId="77777777" w:rsidR="00000000" w:rsidRDefault="00A173A8">
            <w:pPr>
              <w:spacing w:after="100"/>
              <w:rPr>
                <w:rFonts w:eastAsia="Times New Roman"/>
                <w:sz w:val="20"/>
                <w:szCs w:val="20"/>
              </w:rPr>
            </w:pPr>
          </w:p>
        </w:tc>
        <w:tc>
          <w:tcPr>
            <w:tcW w:w="0" w:type="auto"/>
            <w:gridSpan w:val="3"/>
            <w:vAlign w:val="center"/>
            <w:hideMark/>
          </w:tcPr>
          <w:p w14:paraId="5C320F53" w14:textId="77777777" w:rsidR="00000000" w:rsidRDefault="00A173A8">
            <w:pPr>
              <w:spacing w:after="100"/>
              <w:rPr>
                <w:rFonts w:eastAsia="Times New Roman"/>
                <w:sz w:val="20"/>
                <w:szCs w:val="20"/>
              </w:rPr>
            </w:pPr>
          </w:p>
        </w:tc>
        <w:tc>
          <w:tcPr>
            <w:tcW w:w="0" w:type="auto"/>
            <w:gridSpan w:val="3"/>
            <w:vAlign w:val="center"/>
            <w:hideMark/>
          </w:tcPr>
          <w:p w14:paraId="0782CA08" w14:textId="77777777" w:rsidR="00000000" w:rsidRDefault="00A173A8">
            <w:pPr>
              <w:spacing w:after="100"/>
              <w:rPr>
                <w:rFonts w:eastAsia="Times New Roman"/>
                <w:sz w:val="20"/>
                <w:szCs w:val="20"/>
              </w:rPr>
            </w:pPr>
          </w:p>
        </w:tc>
      </w:tr>
      <w:tr w:rsidR="00000000" w14:paraId="18E9F816" w14:textId="77777777">
        <w:trPr>
          <w:divId w:val="2005549506"/>
        </w:trPr>
        <w:tc>
          <w:tcPr>
            <w:tcW w:w="0" w:type="auto"/>
            <w:gridSpan w:val="3"/>
            <w:shd w:val="clear" w:color="auto" w:fill="FFFFFF"/>
            <w:tcMar>
              <w:top w:w="30" w:type="dxa"/>
              <w:left w:w="245" w:type="dxa"/>
              <w:bottom w:w="30" w:type="dxa"/>
              <w:right w:w="20" w:type="dxa"/>
            </w:tcMar>
            <w:vAlign w:val="center"/>
            <w:hideMark/>
          </w:tcPr>
          <w:p w14:paraId="2C606F48" w14:textId="77777777" w:rsidR="00000000" w:rsidRDefault="00A173A8">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0A99DFD9"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4C2D2E45" w14:textId="77777777" w:rsidR="00000000" w:rsidRDefault="00A173A8">
            <w:pPr>
              <w:spacing w:after="100"/>
              <w:jc w:val="right"/>
              <w:rPr>
                <w:rFonts w:eastAsia="Times New Roman"/>
              </w:rPr>
            </w:pPr>
            <w:r>
              <w:rPr>
                <w:rFonts w:eastAsia="Times New Roman"/>
                <w:b/>
                <w:bCs/>
                <w:color w:val="000000"/>
                <w:sz w:val="18"/>
                <w:szCs w:val="18"/>
              </w:rPr>
              <w:t>519</w:t>
            </w:r>
          </w:p>
        </w:tc>
        <w:tc>
          <w:tcPr>
            <w:tcW w:w="0" w:type="auto"/>
            <w:gridSpan w:val="3"/>
            <w:shd w:val="clear" w:color="auto" w:fill="FFFFFF"/>
            <w:tcMar>
              <w:top w:w="0" w:type="dxa"/>
              <w:left w:w="20" w:type="dxa"/>
              <w:bottom w:w="0" w:type="dxa"/>
              <w:right w:w="20" w:type="dxa"/>
            </w:tcMar>
            <w:vAlign w:val="center"/>
            <w:hideMark/>
          </w:tcPr>
          <w:p w14:paraId="7C54EDDF"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3677ED" w14:textId="77777777" w:rsidR="00000000" w:rsidRDefault="00A173A8">
            <w:pPr>
              <w:spacing w:after="100"/>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A398F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F00D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240D150" w14:textId="77777777" w:rsidR="00000000" w:rsidRDefault="00A173A8">
            <w:pPr>
              <w:spacing w:after="100"/>
              <w:jc w:val="right"/>
              <w:rPr>
                <w:rFonts w:eastAsia="Times New Roman"/>
              </w:rPr>
            </w:pPr>
            <w:r>
              <w:rPr>
                <w:rFonts w:eastAsia="Times New Roman"/>
                <w:b/>
                <w:bCs/>
                <w:color w:val="000000"/>
                <w:sz w:val="18"/>
                <w:szCs w:val="18"/>
              </w:rPr>
              <w:t>8.68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AAC3E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A469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E2E865" w14:textId="77777777" w:rsidR="00000000" w:rsidRDefault="00A173A8">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4FA46DA" w14:textId="77777777" w:rsidR="00000000" w:rsidRDefault="00A173A8">
            <w:pPr>
              <w:spacing w:after="100"/>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07D0312"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16EB9658" w14:textId="77777777" w:rsidR="00000000" w:rsidRDefault="00A173A8">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14:paraId="66F36869" w14:textId="77777777" w:rsidR="00000000" w:rsidRDefault="00A173A8">
            <w:pPr>
              <w:spacing w:after="100"/>
              <w:jc w:val="right"/>
              <w:rPr>
                <w:rFonts w:eastAsia="Times New Roman"/>
              </w:rPr>
            </w:pPr>
          </w:p>
        </w:tc>
        <w:tc>
          <w:tcPr>
            <w:tcW w:w="0" w:type="auto"/>
            <w:gridSpan w:val="3"/>
            <w:vAlign w:val="center"/>
            <w:hideMark/>
          </w:tcPr>
          <w:p w14:paraId="22F97810" w14:textId="77777777" w:rsidR="00000000" w:rsidRDefault="00A173A8">
            <w:pPr>
              <w:spacing w:after="100"/>
              <w:rPr>
                <w:rFonts w:eastAsia="Times New Roman"/>
                <w:sz w:val="20"/>
                <w:szCs w:val="20"/>
              </w:rPr>
            </w:pPr>
          </w:p>
        </w:tc>
        <w:tc>
          <w:tcPr>
            <w:tcW w:w="0" w:type="auto"/>
            <w:gridSpan w:val="3"/>
            <w:vAlign w:val="center"/>
            <w:hideMark/>
          </w:tcPr>
          <w:p w14:paraId="577FB136" w14:textId="77777777" w:rsidR="00000000" w:rsidRDefault="00A173A8">
            <w:pPr>
              <w:spacing w:after="100"/>
              <w:rPr>
                <w:rFonts w:eastAsia="Times New Roman"/>
                <w:sz w:val="20"/>
                <w:szCs w:val="20"/>
              </w:rPr>
            </w:pPr>
          </w:p>
        </w:tc>
        <w:tc>
          <w:tcPr>
            <w:tcW w:w="0" w:type="auto"/>
            <w:gridSpan w:val="3"/>
            <w:vAlign w:val="center"/>
            <w:hideMark/>
          </w:tcPr>
          <w:p w14:paraId="58BE55AF" w14:textId="77777777" w:rsidR="00000000" w:rsidRDefault="00A173A8">
            <w:pPr>
              <w:spacing w:after="100"/>
              <w:rPr>
                <w:rFonts w:eastAsia="Times New Roman"/>
                <w:sz w:val="20"/>
                <w:szCs w:val="20"/>
              </w:rPr>
            </w:pPr>
          </w:p>
        </w:tc>
      </w:tr>
      <w:tr w:rsidR="00000000" w14:paraId="79417EEB" w14:textId="77777777">
        <w:trPr>
          <w:divId w:val="2005549506"/>
        </w:trPr>
        <w:tc>
          <w:tcPr>
            <w:tcW w:w="0" w:type="auto"/>
            <w:gridSpan w:val="3"/>
            <w:shd w:val="clear" w:color="auto" w:fill="CCEEFF"/>
            <w:tcMar>
              <w:top w:w="30" w:type="dxa"/>
              <w:left w:w="245" w:type="dxa"/>
              <w:bottom w:w="30" w:type="dxa"/>
              <w:right w:w="20" w:type="dxa"/>
            </w:tcMar>
            <w:vAlign w:val="center"/>
            <w:hideMark/>
          </w:tcPr>
          <w:p w14:paraId="62DF31D7" w14:textId="77777777" w:rsidR="00000000" w:rsidRDefault="00A173A8">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2787FABF"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26AB2B9C"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0FB4B85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230FE18E"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334CCE2B"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248E0956"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7808E72E"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899BFBC" w14:textId="77777777" w:rsidR="00000000" w:rsidRDefault="00A173A8">
            <w:pPr>
              <w:spacing w:after="100"/>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D5D31B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81516"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275DD944" w14:textId="77777777" w:rsidR="00000000" w:rsidRDefault="00A173A8">
            <w:pPr>
              <w:spacing w:after="100"/>
              <w:jc w:val="right"/>
              <w:rPr>
                <w:rFonts w:eastAsia="Times New Roman"/>
              </w:rPr>
            </w:pPr>
            <w:r>
              <w:rPr>
                <w:rFonts w:eastAsia="Times New Roman"/>
                <w:b/>
                <w:bCs/>
                <w:color w:val="000000"/>
                <w:sz w:val="18"/>
                <w:szCs w:val="18"/>
              </w:rPr>
              <w:t>12</w:t>
            </w:r>
          </w:p>
        </w:tc>
        <w:tc>
          <w:tcPr>
            <w:tcW w:w="0" w:type="auto"/>
            <w:gridSpan w:val="3"/>
            <w:vAlign w:val="center"/>
            <w:hideMark/>
          </w:tcPr>
          <w:p w14:paraId="5664CB3C" w14:textId="77777777" w:rsidR="00000000" w:rsidRDefault="00A173A8">
            <w:pPr>
              <w:spacing w:after="100"/>
              <w:jc w:val="right"/>
              <w:rPr>
                <w:rFonts w:eastAsia="Times New Roman"/>
              </w:rPr>
            </w:pPr>
          </w:p>
        </w:tc>
        <w:tc>
          <w:tcPr>
            <w:tcW w:w="0" w:type="auto"/>
            <w:gridSpan w:val="3"/>
            <w:vAlign w:val="center"/>
            <w:hideMark/>
          </w:tcPr>
          <w:p w14:paraId="73D5AC36" w14:textId="77777777" w:rsidR="00000000" w:rsidRDefault="00A173A8">
            <w:pPr>
              <w:spacing w:after="100"/>
              <w:rPr>
                <w:rFonts w:eastAsia="Times New Roman"/>
                <w:sz w:val="20"/>
                <w:szCs w:val="20"/>
              </w:rPr>
            </w:pPr>
          </w:p>
        </w:tc>
        <w:tc>
          <w:tcPr>
            <w:tcW w:w="0" w:type="auto"/>
            <w:gridSpan w:val="3"/>
            <w:vAlign w:val="center"/>
            <w:hideMark/>
          </w:tcPr>
          <w:p w14:paraId="673C97A4" w14:textId="77777777" w:rsidR="00000000" w:rsidRDefault="00A173A8">
            <w:pPr>
              <w:spacing w:after="100"/>
              <w:rPr>
                <w:rFonts w:eastAsia="Times New Roman"/>
                <w:sz w:val="20"/>
                <w:szCs w:val="20"/>
              </w:rPr>
            </w:pPr>
          </w:p>
        </w:tc>
        <w:tc>
          <w:tcPr>
            <w:tcW w:w="0" w:type="auto"/>
            <w:gridSpan w:val="3"/>
            <w:vAlign w:val="center"/>
            <w:hideMark/>
          </w:tcPr>
          <w:p w14:paraId="1A924A85" w14:textId="77777777" w:rsidR="00000000" w:rsidRDefault="00A173A8">
            <w:pPr>
              <w:spacing w:after="100"/>
              <w:rPr>
                <w:rFonts w:eastAsia="Times New Roman"/>
                <w:sz w:val="20"/>
                <w:szCs w:val="20"/>
              </w:rPr>
            </w:pPr>
          </w:p>
        </w:tc>
      </w:tr>
      <w:tr w:rsidR="00000000" w14:paraId="632ACB7F" w14:textId="77777777">
        <w:trPr>
          <w:divId w:val="2005549506"/>
        </w:trPr>
        <w:tc>
          <w:tcPr>
            <w:tcW w:w="0" w:type="auto"/>
            <w:gridSpan w:val="3"/>
            <w:shd w:val="clear" w:color="auto" w:fill="FFFFFF"/>
            <w:tcMar>
              <w:top w:w="30" w:type="dxa"/>
              <w:left w:w="20" w:type="dxa"/>
              <w:bottom w:w="30" w:type="dxa"/>
              <w:right w:w="20" w:type="dxa"/>
            </w:tcMar>
            <w:vAlign w:val="center"/>
            <w:hideMark/>
          </w:tcPr>
          <w:p w14:paraId="60AEFCD3" w14:textId="77777777" w:rsidR="00000000" w:rsidRDefault="00A173A8">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34260372"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315EE942" w14:textId="77777777" w:rsidR="00000000" w:rsidRDefault="00A173A8">
            <w:pPr>
              <w:spacing w:after="100"/>
              <w:jc w:val="right"/>
              <w:rPr>
                <w:rFonts w:eastAsia="Times New Roman"/>
              </w:rPr>
            </w:pPr>
            <w:r>
              <w:rPr>
                <w:rFonts w:eastAsia="Times New Roman"/>
                <w:b/>
                <w:bCs/>
                <w:color w:val="000000"/>
                <w:sz w:val="18"/>
                <w:szCs w:val="18"/>
              </w:rPr>
              <w:t>520</w:t>
            </w:r>
          </w:p>
        </w:tc>
        <w:tc>
          <w:tcPr>
            <w:tcW w:w="0" w:type="auto"/>
            <w:gridSpan w:val="3"/>
            <w:shd w:val="clear" w:color="auto" w:fill="FFFFFF"/>
            <w:tcMar>
              <w:top w:w="0" w:type="dxa"/>
              <w:left w:w="20" w:type="dxa"/>
              <w:bottom w:w="0" w:type="dxa"/>
              <w:right w:w="20" w:type="dxa"/>
            </w:tcMar>
            <w:vAlign w:val="center"/>
            <w:hideMark/>
          </w:tcPr>
          <w:p w14:paraId="21274F56"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C1B5F38" w14:textId="77777777" w:rsidR="00000000" w:rsidRDefault="00A173A8">
            <w:pPr>
              <w:spacing w:after="100"/>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20E46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E6FD0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863643" w14:textId="77777777" w:rsidR="00000000" w:rsidRDefault="00A173A8">
            <w:pPr>
              <w:spacing w:after="100"/>
              <w:jc w:val="right"/>
              <w:rPr>
                <w:rFonts w:eastAsia="Times New Roman"/>
              </w:rPr>
            </w:pPr>
            <w:r>
              <w:rPr>
                <w:rFonts w:eastAsia="Times New Roman"/>
                <w:b/>
                <w:bCs/>
                <w:color w:val="000000"/>
                <w:sz w:val="18"/>
                <w:szCs w:val="18"/>
              </w:rPr>
              <w:t>8.68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DC62B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3A6B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DEFEE9" w14:textId="77777777" w:rsidR="00000000" w:rsidRDefault="00A173A8">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6E6215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99C146"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66987CE2" w14:textId="77777777" w:rsidR="00000000" w:rsidRDefault="00A173A8">
            <w:pPr>
              <w:spacing w:after="100"/>
              <w:jc w:val="right"/>
              <w:rPr>
                <w:rFonts w:eastAsia="Times New Roman"/>
              </w:rPr>
            </w:pPr>
            <w:r>
              <w:rPr>
                <w:rFonts w:eastAsia="Times New Roman"/>
                <w:b/>
                <w:bCs/>
                <w:color w:val="000000"/>
                <w:sz w:val="18"/>
                <w:szCs w:val="18"/>
              </w:rPr>
              <w:t>4</w:t>
            </w:r>
          </w:p>
        </w:tc>
        <w:tc>
          <w:tcPr>
            <w:tcW w:w="0" w:type="auto"/>
            <w:gridSpan w:val="3"/>
            <w:vAlign w:val="center"/>
            <w:hideMark/>
          </w:tcPr>
          <w:p w14:paraId="02FBDDDF" w14:textId="77777777" w:rsidR="00000000" w:rsidRDefault="00A173A8">
            <w:pPr>
              <w:spacing w:after="100"/>
              <w:jc w:val="right"/>
              <w:rPr>
                <w:rFonts w:eastAsia="Times New Roman"/>
              </w:rPr>
            </w:pPr>
          </w:p>
        </w:tc>
        <w:tc>
          <w:tcPr>
            <w:tcW w:w="0" w:type="auto"/>
            <w:gridSpan w:val="3"/>
            <w:vAlign w:val="center"/>
            <w:hideMark/>
          </w:tcPr>
          <w:p w14:paraId="137B597B" w14:textId="77777777" w:rsidR="00000000" w:rsidRDefault="00A173A8">
            <w:pPr>
              <w:spacing w:after="100"/>
              <w:rPr>
                <w:rFonts w:eastAsia="Times New Roman"/>
                <w:sz w:val="20"/>
                <w:szCs w:val="20"/>
              </w:rPr>
            </w:pPr>
          </w:p>
        </w:tc>
        <w:tc>
          <w:tcPr>
            <w:tcW w:w="0" w:type="auto"/>
            <w:gridSpan w:val="3"/>
            <w:vAlign w:val="center"/>
            <w:hideMark/>
          </w:tcPr>
          <w:p w14:paraId="7E247044" w14:textId="77777777" w:rsidR="00000000" w:rsidRDefault="00A173A8">
            <w:pPr>
              <w:spacing w:after="100"/>
              <w:rPr>
                <w:rFonts w:eastAsia="Times New Roman"/>
                <w:sz w:val="20"/>
                <w:szCs w:val="20"/>
              </w:rPr>
            </w:pPr>
          </w:p>
        </w:tc>
        <w:tc>
          <w:tcPr>
            <w:tcW w:w="0" w:type="auto"/>
            <w:gridSpan w:val="3"/>
            <w:vAlign w:val="center"/>
            <w:hideMark/>
          </w:tcPr>
          <w:p w14:paraId="56F3D477" w14:textId="77777777" w:rsidR="00000000" w:rsidRDefault="00A173A8">
            <w:pPr>
              <w:spacing w:after="100"/>
              <w:rPr>
                <w:rFonts w:eastAsia="Times New Roman"/>
                <w:sz w:val="20"/>
                <w:szCs w:val="20"/>
              </w:rPr>
            </w:pPr>
          </w:p>
        </w:tc>
      </w:tr>
      <w:tr w:rsidR="00000000" w14:paraId="1040AAE9" w14:textId="77777777">
        <w:trPr>
          <w:divId w:val="2005549506"/>
        </w:trPr>
        <w:tc>
          <w:tcPr>
            <w:tcW w:w="0" w:type="auto"/>
            <w:gridSpan w:val="3"/>
            <w:shd w:val="clear" w:color="auto" w:fill="CCEEFF"/>
            <w:tcMar>
              <w:top w:w="30" w:type="dxa"/>
              <w:left w:w="20" w:type="dxa"/>
              <w:bottom w:w="30" w:type="dxa"/>
              <w:right w:w="20" w:type="dxa"/>
            </w:tcMar>
            <w:vAlign w:val="center"/>
            <w:hideMark/>
          </w:tcPr>
          <w:p w14:paraId="7BCDA10C" w14:textId="77777777" w:rsidR="00000000" w:rsidRDefault="00A173A8">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1AA8485E"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ECED2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51E08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2092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90279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4A782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F177B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8B979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43D82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C7DE2E" w14:textId="77777777" w:rsidR="00000000" w:rsidRDefault="00A173A8">
            <w:pPr>
              <w:spacing w:after="100"/>
              <w:rPr>
                <w:rFonts w:eastAsia="Times New Roman"/>
                <w:sz w:val="20"/>
                <w:szCs w:val="20"/>
              </w:rPr>
            </w:pPr>
          </w:p>
        </w:tc>
        <w:tc>
          <w:tcPr>
            <w:tcW w:w="0" w:type="auto"/>
            <w:gridSpan w:val="3"/>
            <w:vAlign w:val="center"/>
            <w:hideMark/>
          </w:tcPr>
          <w:p w14:paraId="57A3635A" w14:textId="77777777" w:rsidR="00000000" w:rsidRDefault="00A173A8">
            <w:pPr>
              <w:spacing w:after="100"/>
              <w:rPr>
                <w:rFonts w:eastAsia="Times New Roman"/>
                <w:sz w:val="20"/>
                <w:szCs w:val="20"/>
              </w:rPr>
            </w:pPr>
          </w:p>
        </w:tc>
        <w:tc>
          <w:tcPr>
            <w:tcW w:w="0" w:type="auto"/>
            <w:gridSpan w:val="3"/>
            <w:vAlign w:val="center"/>
            <w:hideMark/>
          </w:tcPr>
          <w:p w14:paraId="322748F7" w14:textId="77777777" w:rsidR="00000000" w:rsidRDefault="00A173A8">
            <w:pPr>
              <w:spacing w:after="100"/>
              <w:rPr>
                <w:rFonts w:eastAsia="Times New Roman"/>
                <w:sz w:val="20"/>
                <w:szCs w:val="20"/>
              </w:rPr>
            </w:pPr>
          </w:p>
        </w:tc>
        <w:tc>
          <w:tcPr>
            <w:tcW w:w="0" w:type="auto"/>
            <w:gridSpan w:val="3"/>
            <w:vAlign w:val="center"/>
            <w:hideMark/>
          </w:tcPr>
          <w:p w14:paraId="2826FA55" w14:textId="77777777" w:rsidR="00000000" w:rsidRDefault="00A173A8">
            <w:pPr>
              <w:spacing w:after="100"/>
              <w:rPr>
                <w:rFonts w:eastAsia="Times New Roman"/>
                <w:sz w:val="20"/>
                <w:szCs w:val="20"/>
              </w:rPr>
            </w:pPr>
          </w:p>
        </w:tc>
        <w:tc>
          <w:tcPr>
            <w:tcW w:w="0" w:type="auto"/>
            <w:gridSpan w:val="3"/>
            <w:vAlign w:val="center"/>
            <w:hideMark/>
          </w:tcPr>
          <w:p w14:paraId="7A5E571B" w14:textId="77777777" w:rsidR="00000000" w:rsidRDefault="00A173A8">
            <w:pPr>
              <w:spacing w:after="100"/>
              <w:rPr>
                <w:rFonts w:eastAsia="Times New Roman"/>
                <w:sz w:val="20"/>
                <w:szCs w:val="20"/>
              </w:rPr>
            </w:pPr>
          </w:p>
        </w:tc>
      </w:tr>
      <w:tr w:rsidR="00000000" w14:paraId="2163567F" w14:textId="77777777">
        <w:trPr>
          <w:divId w:val="2005549506"/>
        </w:trPr>
        <w:tc>
          <w:tcPr>
            <w:tcW w:w="0" w:type="auto"/>
            <w:gridSpan w:val="3"/>
            <w:shd w:val="clear" w:color="auto" w:fill="FFFFFF"/>
            <w:tcMar>
              <w:top w:w="30" w:type="dxa"/>
              <w:left w:w="245" w:type="dxa"/>
              <w:bottom w:w="30" w:type="dxa"/>
              <w:right w:w="20" w:type="dxa"/>
            </w:tcMar>
            <w:vAlign w:val="center"/>
            <w:hideMark/>
          </w:tcPr>
          <w:p w14:paraId="1BE9691D" w14:textId="77777777" w:rsidR="00000000" w:rsidRDefault="00A173A8">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6472476A"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0F2A8B19" w14:textId="77777777" w:rsidR="00000000" w:rsidRDefault="00A173A8">
            <w:pPr>
              <w:spacing w:after="100"/>
              <w:jc w:val="right"/>
              <w:rPr>
                <w:rFonts w:eastAsia="Times New Roman"/>
              </w:rPr>
            </w:pPr>
            <w:r>
              <w:rPr>
                <w:rFonts w:eastAsia="Times New Roman"/>
                <w:b/>
                <w:bCs/>
                <w:color w:val="000000"/>
                <w:sz w:val="18"/>
                <w:szCs w:val="18"/>
              </w:rPr>
              <w:t>264</w:t>
            </w:r>
          </w:p>
        </w:tc>
        <w:tc>
          <w:tcPr>
            <w:tcW w:w="0" w:type="auto"/>
            <w:gridSpan w:val="3"/>
            <w:shd w:val="clear" w:color="auto" w:fill="FFFFFF"/>
            <w:tcMar>
              <w:top w:w="0" w:type="dxa"/>
              <w:left w:w="20" w:type="dxa"/>
              <w:bottom w:w="0" w:type="dxa"/>
              <w:right w:w="20" w:type="dxa"/>
            </w:tcMar>
            <w:vAlign w:val="center"/>
            <w:hideMark/>
          </w:tcPr>
          <w:p w14:paraId="6E26EC89"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64D3549"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0212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E8DA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DE199D" w14:textId="77777777" w:rsidR="00000000" w:rsidRDefault="00A173A8">
            <w:pPr>
              <w:spacing w:after="100"/>
              <w:jc w:val="right"/>
              <w:rPr>
                <w:rFonts w:eastAsia="Times New Roman"/>
              </w:rPr>
            </w:pPr>
            <w:r>
              <w:rPr>
                <w:rFonts w:eastAsia="Times New Roman"/>
                <w:b/>
                <w:bCs/>
                <w:color w:val="000000"/>
                <w:sz w:val="18"/>
                <w:szCs w:val="18"/>
              </w:rPr>
              <w:t>0.29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8967D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625C3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792045" w14:textId="77777777" w:rsidR="00000000" w:rsidRDefault="00A173A8">
            <w:pPr>
              <w:spacing w:after="100"/>
              <w:jc w:val="right"/>
              <w:rPr>
                <w:rFonts w:eastAsia="Times New Roman"/>
              </w:rPr>
            </w:pPr>
            <w:r>
              <w:rPr>
                <w:rFonts w:eastAsia="Times New Roman"/>
                <w:b/>
                <w:bCs/>
                <w:color w:val="000000"/>
                <w:sz w:val="18"/>
                <w:szCs w:val="18"/>
              </w:rPr>
              <w:t>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6D7D2E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3C276"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01080628" w14:textId="77777777" w:rsidR="00000000" w:rsidRDefault="00A173A8">
            <w:pPr>
              <w:spacing w:after="100"/>
              <w:jc w:val="right"/>
              <w:rPr>
                <w:rFonts w:eastAsia="Times New Roman"/>
              </w:rPr>
            </w:pPr>
            <w:r>
              <w:rPr>
                <w:rFonts w:eastAsia="Times New Roman"/>
                <w:b/>
                <w:bCs/>
                <w:color w:val="000000"/>
                <w:sz w:val="18"/>
                <w:szCs w:val="18"/>
              </w:rPr>
              <w:t>13</w:t>
            </w:r>
          </w:p>
        </w:tc>
        <w:tc>
          <w:tcPr>
            <w:tcW w:w="0" w:type="auto"/>
            <w:gridSpan w:val="3"/>
            <w:vAlign w:val="center"/>
            <w:hideMark/>
          </w:tcPr>
          <w:p w14:paraId="2BE0E57A" w14:textId="77777777" w:rsidR="00000000" w:rsidRDefault="00A173A8">
            <w:pPr>
              <w:spacing w:after="100"/>
              <w:jc w:val="right"/>
              <w:rPr>
                <w:rFonts w:eastAsia="Times New Roman"/>
              </w:rPr>
            </w:pPr>
          </w:p>
        </w:tc>
        <w:tc>
          <w:tcPr>
            <w:tcW w:w="0" w:type="auto"/>
            <w:gridSpan w:val="3"/>
            <w:vAlign w:val="center"/>
            <w:hideMark/>
          </w:tcPr>
          <w:p w14:paraId="6DD054F5" w14:textId="77777777" w:rsidR="00000000" w:rsidRDefault="00A173A8">
            <w:pPr>
              <w:spacing w:after="100"/>
              <w:rPr>
                <w:rFonts w:eastAsia="Times New Roman"/>
                <w:sz w:val="20"/>
                <w:szCs w:val="20"/>
              </w:rPr>
            </w:pPr>
          </w:p>
        </w:tc>
        <w:tc>
          <w:tcPr>
            <w:tcW w:w="0" w:type="auto"/>
            <w:gridSpan w:val="3"/>
            <w:vAlign w:val="center"/>
            <w:hideMark/>
          </w:tcPr>
          <w:p w14:paraId="6C5825F6" w14:textId="77777777" w:rsidR="00000000" w:rsidRDefault="00A173A8">
            <w:pPr>
              <w:spacing w:after="100"/>
              <w:rPr>
                <w:rFonts w:eastAsia="Times New Roman"/>
                <w:sz w:val="20"/>
                <w:szCs w:val="20"/>
              </w:rPr>
            </w:pPr>
          </w:p>
        </w:tc>
        <w:tc>
          <w:tcPr>
            <w:tcW w:w="0" w:type="auto"/>
            <w:gridSpan w:val="3"/>
            <w:vAlign w:val="center"/>
            <w:hideMark/>
          </w:tcPr>
          <w:p w14:paraId="0CB546A1" w14:textId="77777777" w:rsidR="00000000" w:rsidRDefault="00A173A8">
            <w:pPr>
              <w:spacing w:after="100"/>
              <w:rPr>
                <w:rFonts w:eastAsia="Times New Roman"/>
                <w:sz w:val="20"/>
                <w:szCs w:val="20"/>
              </w:rPr>
            </w:pPr>
          </w:p>
        </w:tc>
      </w:tr>
      <w:tr w:rsidR="00000000" w14:paraId="5B1D76C1" w14:textId="77777777">
        <w:trPr>
          <w:divId w:val="2005549506"/>
        </w:trPr>
        <w:tc>
          <w:tcPr>
            <w:tcW w:w="0" w:type="auto"/>
            <w:gridSpan w:val="3"/>
            <w:shd w:val="clear" w:color="auto" w:fill="CCEEFF"/>
            <w:tcMar>
              <w:top w:w="30" w:type="dxa"/>
              <w:left w:w="245" w:type="dxa"/>
              <w:bottom w:w="30" w:type="dxa"/>
              <w:right w:w="20" w:type="dxa"/>
            </w:tcMar>
            <w:vAlign w:val="center"/>
            <w:hideMark/>
          </w:tcPr>
          <w:p w14:paraId="7AFA0EF7" w14:textId="77777777" w:rsidR="00000000" w:rsidRDefault="00A173A8">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661D08D9"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02E95510" w14:textId="77777777" w:rsidR="00000000" w:rsidRDefault="00A173A8">
            <w:pPr>
              <w:spacing w:after="100"/>
              <w:jc w:val="right"/>
              <w:rPr>
                <w:rFonts w:eastAsia="Times New Roman"/>
              </w:rPr>
            </w:pPr>
            <w:r>
              <w:rPr>
                <w:rFonts w:eastAsia="Times New Roman"/>
                <w:b/>
                <w:bCs/>
                <w:color w:val="000000"/>
                <w:sz w:val="18"/>
                <w:szCs w:val="18"/>
              </w:rPr>
              <w:t>167</w:t>
            </w:r>
          </w:p>
        </w:tc>
        <w:tc>
          <w:tcPr>
            <w:tcW w:w="0" w:type="auto"/>
            <w:gridSpan w:val="3"/>
            <w:shd w:val="clear" w:color="auto" w:fill="CCEEFF"/>
            <w:tcMar>
              <w:top w:w="0" w:type="dxa"/>
              <w:left w:w="20" w:type="dxa"/>
              <w:bottom w:w="0" w:type="dxa"/>
              <w:right w:w="20" w:type="dxa"/>
            </w:tcMar>
            <w:vAlign w:val="center"/>
            <w:hideMark/>
          </w:tcPr>
          <w:p w14:paraId="4C70ED53"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234D70EF"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6CF23AE4"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23CA3444"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1F43DCDD"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97CBAB1" w14:textId="77777777" w:rsidR="00000000" w:rsidRDefault="00A173A8">
            <w:pPr>
              <w:spacing w:after="100"/>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112D8D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148C77"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7E5D7018" w14:textId="77777777" w:rsidR="00000000" w:rsidRDefault="00A173A8">
            <w:pPr>
              <w:spacing w:after="100"/>
              <w:jc w:val="right"/>
              <w:rPr>
                <w:rFonts w:eastAsia="Times New Roman"/>
              </w:rPr>
            </w:pPr>
            <w:r>
              <w:rPr>
                <w:rFonts w:eastAsia="Times New Roman"/>
                <w:b/>
                <w:bCs/>
                <w:color w:val="000000"/>
                <w:sz w:val="18"/>
                <w:szCs w:val="18"/>
              </w:rPr>
              <w:t>12</w:t>
            </w:r>
          </w:p>
        </w:tc>
        <w:tc>
          <w:tcPr>
            <w:tcW w:w="0" w:type="auto"/>
            <w:gridSpan w:val="3"/>
            <w:vAlign w:val="center"/>
            <w:hideMark/>
          </w:tcPr>
          <w:p w14:paraId="61A231C4" w14:textId="77777777" w:rsidR="00000000" w:rsidRDefault="00A173A8">
            <w:pPr>
              <w:spacing w:after="100"/>
              <w:jc w:val="right"/>
              <w:rPr>
                <w:rFonts w:eastAsia="Times New Roman"/>
              </w:rPr>
            </w:pPr>
          </w:p>
        </w:tc>
        <w:tc>
          <w:tcPr>
            <w:tcW w:w="0" w:type="auto"/>
            <w:gridSpan w:val="3"/>
            <w:vAlign w:val="center"/>
            <w:hideMark/>
          </w:tcPr>
          <w:p w14:paraId="265C1F85" w14:textId="77777777" w:rsidR="00000000" w:rsidRDefault="00A173A8">
            <w:pPr>
              <w:spacing w:after="100"/>
              <w:rPr>
                <w:rFonts w:eastAsia="Times New Roman"/>
                <w:sz w:val="20"/>
                <w:szCs w:val="20"/>
              </w:rPr>
            </w:pPr>
          </w:p>
        </w:tc>
        <w:tc>
          <w:tcPr>
            <w:tcW w:w="0" w:type="auto"/>
            <w:gridSpan w:val="3"/>
            <w:vAlign w:val="center"/>
            <w:hideMark/>
          </w:tcPr>
          <w:p w14:paraId="3731F9B3" w14:textId="77777777" w:rsidR="00000000" w:rsidRDefault="00A173A8">
            <w:pPr>
              <w:spacing w:after="100"/>
              <w:rPr>
                <w:rFonts w:eastAsia="Times New Roman"/>
                <w:sz w:val="20"/>
                <w:szCs w:val="20"/>
              </w:rPr>
            </w:pPr>
          </w:p>
        </w:tc>
        <w:tc>
          <w:tcPr>
            <w:tcW w:w="0" w:type="auto"/>
            <w:gridSpan w:val="3"/>
            <w:vAlign w:val="center"/>
            <w:hideMark/>
          </w:tcPr>
          <w:p w14:paraId="13450D57" w14:textId="77777777" w:rsidR="00000000" w:rsidRDefault="00A173A8">
            <w:pPr>
              <w:spacing w:after="100"/>
              <w:rPr>
                <w:rFonts w:eastAsia="Times New Roman"/>
                <w:sz w:val="20"/>
                <w:szCs w:val="20"/>
              </w:rPr>
            </w:pPr>
          </w:p>
        </w:tc>
      </w:tr>
      <w:tr w:rsidR="00000000" w14:paraId="799F8047" w14:textId="77777777">
        <w:trPr>
          <w:divId w:val="2005549506"/>
        </w:trPr>
        <w:tc>
          <w:tcPr>
            <w:tcW w:w="0" w:type="auto"/>
            <w:gridSpan w:val="3"/>
            <w:shd w:val="clear" w:color="auto" w:fill="FFFFFF"/>
            <w:tcMar>
              <w:top w:w="30" w:type="dxa"/>
              <w:left w:w="20" w:type="dxa"/>
              <w:bottom w:w="30" w:type="dxa"/>
              <w:right w:w="20" w:type="dxa"/>
            </w:tcMar>
            <w:vAlign w:val="center"/>
            <w:hideMark/>
          </w:tcPr>
          <w:p w14:paraId="1461B424" w14:textId="77777777" w:rsidR="00000000" w:rsidRDefault="00A173A8">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03487D62"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0EFEC3D7" w14:textId="77777777" w:rsidR="00000000" w:rsidRDefault="00A173A8">
            <w:pPr>
              <w:spacing w:after="100"/>
              <w:jc w:val="right"/>
              <w:rPr>
                <w:rFonts w:eastAsia="Times New Roman"/>
              </w:rPr>
            </w:pPr>
            <w:r>
              <w:rPr>
                <w:rFonts w:eastAsia="Times New Roman"/>
                <w:b/>
                <w:bCs/>
                <w:color w:val="000000"/>
                <w:sz w:val="18"/>
                <w:szCs w:val="18"/>
              </w:rPr>
              <w:t>431</w:t>
            </w:r>
          </w:p>
        </w:tc>
        <w:tc>
          <w:tcPr>
            <w:tcW w:w="0" w:type="auto"/>
            <w:gridSpan w:val="3"/>
            <w:shd w:val="clear" w:color="auto" w:fill="FFFFFF"/>
            <w:tcMar>
              <w:top w:w="0" w:type="dxa"/>
              <w:left w:w="20" w:type="dxa"/>
              <w:bottom w:w="0" w:type="dxa"/>
              <w:right w:w="20" w:type="dxa"/>
            </w:tcMar>
            <w:vAlign w:val="center"/>
            <w:hideMark/>
          </w:tcPr>
          <w:p w14:paraId="5EABBB2A"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D38239B" w14:textId="77777777" w:rsidR="00000000" w:rsidRDefault="00A173A8">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DBAD9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968F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4BE201" w14:textId="77777777" w:rsidR="00000000" w:rsidRDefault="00A173A8">
            <w:pPr>
              <w:spacing w:after="100"/>
              <w:jc w:val="right"/>
              <w:rPr>
                <w:rFonts w:eastAsia="Times New Roman"/>
              </w:rPr>
            </w:pPr>
            <w:r>
              <w:rPr>
                <w:rFonts w:eastAsia="Times New Roman"/>
                <w:b/>
                <w:bCs/>
                <w:color w:val="000000"/>
                <w:sz w:val="18"/>
                <w:szCs w:val="18"/>
              </w:rPr>
              <w:t>0.29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2A354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9BFD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52D63B" w14:textId="77777777" w:rsidR="00000000" w:rsidRDefault="00A173A8">
            <w:pPr>
              <w:spacing w:after="100"/>
              <w:jc w:val="right"/>
              <w:rPr>
                <w:rFonts w:eastAsia="Times New Roman"/>
              </w:rPr>
            </w:pPr>
            <w:r>
              <w:rPr>
                <w:rFonts w:eastAsia="Times New Roman"/>
                <w:b/>
                <w:bCs/>
                <w:color w:val="000000"/>
                <w:sz w:val="18"/>
                <w:szCs w:val="18"/>
              </w:rPr>
              <w:t>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BF177F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41319"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40AD944D" w14:textId="77777777" w:rsidR="00000000" w:rsidRDefault="00A173A8">
            <w:pPr>
              <w:spacing w:after="100"/>
              <w:jc w:val="right"/>
              <w:rPr>
                <w:rFonts w:eastAsia="Times New Roman"/>
              </w:rPr>
            </w:pPr>
            <w:r>
              <w:rPr>
                <w:rFonts w:eastAsia="Times New Roman"/>
                <w:b/>
                <w:bCs/>
                <w:color w:val="000000"/>
                <w:sz w:val="18"/>
                <w:szCs w:val="18"/>
              </w:rPr>
              <w:t>13</w:t>
            </w:r>
          </w:p>
        </w:tc>
        <w:tc>
          <w:tcPr>
            <w:tcW w:w="0" w:type="auto"/>
            <w:gridSpan w:val="3"/>
            <w:vAlign w:val="center"/>
            <w:hideMark/>
          </w:tcPr>
          <w:p w14:paraId="5E1F2F4E" w14:textId="77777777" w:rsidR="00000000" w:rsidRDefault="00A173A8">
            <w:pPr>
              <w:spacing w:after="100"/>
              <w:jc w:val="right"/>
              <w:rPr>
                <w:rFonts w:eastAsia="Times New Roman"/>
              </w:rPr>
            </w:pPr>
          </w:p>
        </w:tc>
        <w:tc>
          <w:tcPr>
            <w:tcW w:w="0" w:type="auto"/>
            <w:gridSpan w:val="3"/>
            <w:vAlign w:val="center"/>
            <w:hideMark/>
          </w:tcPr>
          <w:p w14:paraId="6D669B4D" w14:textId="77777777" w:rsidR="00000000" w:rsidRDefault="00A173A8">
            <w:pPr>
              <w:spacing w:after="100"/>
              <w:rPr>
                <w:rFonts w:eastAsia="Times New Roman"/>
                <w:sz w:val="20"/>
                <w:szCs w:val="20"/>
              </w:rPr>
            </w:pPr>
          </w:p>
        </w:tc>
        <w:tc>
          <w:tcPr>
            <w:tcW w:w="0" w:type="auto"/>
            <w:gridSpan w:val="3"/>
            <w:vAlign w:val="center"/>
            <w:hideMark/>
          </w:tcPr>
          <w:p w14:paraId="1460BC41" w14:textId="77777777" w:rsidR="00000000" w:rsidRDefault="00A173A8">
            <w:pPr>
              <w:spacing w:after="100"/>
              <w:rPr>
                <w:rFonts w:eastAsia="Times New Roman"/>
                <w:sz w:val="20"/>
                <w:szCs w:val="20"/>
              </w:rPr>
            </w:pPr>
          </w:p>
        </w:tc>
        <w:tc>
          <w:tcPr>
            <w:tcW w:w="0" w:type="auto"/>
            <w:gridSpan w:val="3"/>
            <w:vAlign w:val="center"/>
            <w:hideMark/>
          </w:tcPr>
          <w:p w14:paraId="5E22D703" w14:textId="77777777" w:rsidR="00000000" w:rsidRDefault="00A173A8">
            <w:pPr>
              <w:spacing w:after="100"/>
              <w:rPr>
                <w:rFonts w:eastAsia="Times New Roman"/>
                <w:sz w:val="20"/>
                <w:szCs w:val="20"/>
              </w:rPr>
            </w:pPr>
          </w:p>
        </w:tc>
      </w:tr>
      <w:tr w:rsidR="00000000" w14:paraId="2E25EE95" w14:textId="77777777">
        <w:trPr>
          <w:divId w:val="2005549506"/>
        </w:trPr>
        <w:tc>
          <w:tcPr>
            <w:tcW w:w="0" w:type="auto"/>
            <w:gridSpan w:val="3"/>
            <w:shd w:val="clear" w:color="auto" w:fill="CCEEFF"/>
            <w:tcMar>
              <w:top w:w="30" w:type="dxa"/>
              <w:left w:w="20" w:type="dxa"/>
              <w:bottom w:w="30" w:type="dxa"/>
              <w:right w:w="20" w:type="dxa"/>
            </w:tcMar>
            <w:vAlign w:val="center"/>
            <w:hideMark/>
          </w:tcPr>
          <w:p w14:paraId="77091D19" w14:textId="77777777" w:rsidR="00000000" w:rsidRDefault="00A173A8">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33AE4B48"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08AE51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center"/>
            <w:hideMark/>
          </w:tcPr>
          <w:p w14:paraId="2B839EB0" w14:textId="77777777" w:rsidR="00000000" w:rsidRDefault="00A173A8">
            <w:pPr>
              <w:spacing w:after="100"/>
              <w:jc w:val="right"/>
              <w:rPr>
                <w:rFonts w:eastAsia="Times New Roman"/>
              </w:rPr>
            </w:pPr>
            <w:r>
              <w:rPr>
                <w:rFonts w:eastAsia="Times New Roman"/>
                <w:b/>
                <w:bCs/>
                <w:color w:val="000000"/>
                <w:sz w:val="18"/>
                <w:szCs w:val="18"/>
              </w:rPr>
              <w:t>1,134</w:t>
            </w:r>
          </w:p>
        </w:tc>
        <w:tc>
          <w:tcPr>
            <w:tcW w:w="0" w:type="auto"/>
            <w:gridSpan w:val="3"/>
            <w:shd w:val="clear" w:color="auto" w:fill="CCEEFF"/>
            <w:tcMar>
              <w:top w:w="0" w:type="dxa"/>
              <w:left w:w="20" w:type="dxa"/>
              <w:bottom w:w="0" w:type="dxa"/>
              <w:right w:w="20" w:type="dxa"/>
            </w:tcMar>
            <w:vAlign w:val="center"/>
            <w:hideMark/>
          </w:tcPr>
          <w:p w14:paraId="736B9F0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0A84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03C83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24B0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927E7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0ADF7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2BCD9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7A1EBF" w14:textId="77777777" w:rsidR="00000000" w:rsidRDefault="00A173A8">
            <w:pPr>
              <w:spacing w:after="100"/>
              <w:rPr>
                <w:rFonts w:eastAsia="Times New Roman"/>
                <w:sz w:val="20"/>
                <w:szCs w:val="20"/>
              </w:rPr>
            </w:pPr>
          </w:p>
        </w:tc>
        <w:tc>
          <w:tcPr>
            <w:tcW w:w="0" w:type="auto"/>
            <w:gridSpan w:val="3"/>
            <w:vAlign w:val="center"/>
            <w:hideMark/>
          </w:tcPr>
          <w:p w14:paraId="77FA74E0" w14:textId="77777777" w:rsidR="00000000" w:rsidRDefault="00A173A8">
            <w:pPr>
              <w:spacing w:after="100"/>
              <w:rPr>
                <w:rFonts w:eastAsia="Times New Roman"/>
                <w:sz w:val="20"/>
                <w:szCs w:val="20"/>
              </w:rPr>
            </w:pPr>
          </w:p>
        </w:tc>
        <w:tc>
          <w:tcPr>
            <w:tcW w:w="0" w:type="auto"/>
            <w:gridSpan w:val="3"/>
            <w:vAlign w:val="center"/>
            <w:hideMark/>
          </w:tcPr>
          <w:p w14:paraId="5E62C05E" w14:textId="77777777" w:rsidR="00000000" w:rsidRDefault="00A173A8">
            <w:pPr>
              <w:spacing w:after="100"/>
              <w:rPr>
                <w:rFonts w:eastAsia="Times New Roman"/>
                <w:sz w:val="20"/>
                <w:szCs w:val="20"/>
              </w:rPr>
            </w:pPr>
          </w:p>
        </w:tc>
        <w:tc>
          <w:tcPr>
            <w:tcW w:w="0" w:type="auto"/>
            <w:gridSpan w:val="3"/>
            <w:vAlign w:val="center"/>
            <w:hideMark/>
          </w:tcPr>
          <w:p w14:paraId="0D7AADE5" w14:textId="77777777" w:rsidR="00000000" w:rsidRDefault="00A173A8">
            <w:pPr>
              <w:spacing w:after="100"/>
              <w:rPr>
                <w:rFonts w:eastAsia="Times New Roman"/>
                <w:sz w:val="20"/>
                <w:szCs w:val="20"/>
              </w:rPr>
            </w:pPr>
          </w:p>
        </w:tc>
        <w:tc>
          <w:tcPr>
            <w:tcW w:w="0" w:type="auto"/>
            <w:gridSpan w:val="3"/>
            <w:vAlign w:val="center"/>
            <w:hideMark/>
          </w:tcPr>
          <w:p w14:paraId="366DD234"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8FF222E" w14:textId="77777777">
        <w:trPr>
          <w:jc w:val="center"/>
        </w:trPr>
        <w:tc>
          <w:tcPr>
            <w:tcW w:w="50" w:type="pct"/>
            <w:vAlign w:val="center"/>
            <w:hideMark/>
          </w:tcPr>
          <w:p w14:paraId="003E8DDE" w14:textId="77777777" w:rsidR="00000000" w:rsidRDefault="00A173A8">
            <w:pPr>
              <w:rPr>
                <w:rFonts w:eastAsia="Times New Roman"/>
              </w:rPr>
            </w:pPr>
          </w:p>
        </w:tc>
        <w:tc>
          <w:tcPr>
            <w:tcW w:w="1606" w:type="pct"/>
            <w:vAlign w:val="center"/>
            <w:hideMark/>
          </w:tcPr>
          <w:p w14:paraId="7AD538EA" w14:textId="77777777" w:rsidR="00000000" w:rsidRDefault="00A173A8">
            <w:pPr>
              <w:spacing w:after="100"/>
              <w:rPr>
                <w:rFonts w:eastAsia="Times New Roman"/>
                <w:sz w:val="20"/>
                <w:szCs w:val="20"/>
              </w:rPr>
            </w:pPr>
          </w:p>
        </w:tc>
        <w:tc>
          <w:tcPr>
            <w:tcW w:w="5" w:type="pct"/>
            <w:vAlign w:val="center"/>
            <w:hideMark/>
          </w:tcPr>
          <w:p w14:paraId="60F55CD9" w14:textId="77777777" w:rsidR="00000000" w:rsidRDefault="00A173A8">
            <w:pPr>
              <w:spacing w:after="100"/>
              <w:rPr>
                <w:rFonts w:eastAsia="Times New Roman"/>
                <w:sz w:val="20"/>
                <w:szCs w:val="20"/>
              </w:rPr>
            </w:pPr>
          </w:p>
        </w:tc>
        <w:tc>
          <w:tcPr>
            <w:tcW w:w="50" w:type="pct"/>
            <w:vAlign w:val="center"/>
            <w:hideMark/>
          </w:tcPr>
          <w:p w14:paraId="3FF7D204" w14:textId="77777777" w:rsidR="00000000" w:rsidRDefault="00A173A8">
            <w:pPr>
              <w:spacing w:after="100"/>
              <w:rPr>
                <w:rFonts w:eastAsia="Times New Roman"/>
                <w:sz w:val="20"/>
                <w:szCs w:val="20"/>
              </w:rPr>
            </w:pPr>
          </w:p>
        </w:tc>
        <w:tc>
          <w:tcPr>
            <w:tcW w:w="1614" w:type="pct"/>
            <w:vAlign w:val="center"/>
            <w:hideMark/>
          </w:tcPr>
          <w:p w14:paraId="2140AD7C" w14:textId="77777777" w:rsidR="00000000" w:rsidRDefault="00A173A8">
            <w:pPr>
              <w:spacing w:after="100"/>
              <w:rPr>
                <w:rFonts w:eastAsia="Times New Roman"/>
                <w:sz w:val="20"/>
                <w:szCs w:val="20"/>
              </w:rPr>
            </w:pPr>
          </w:p>
        </w:tc>
        <w:tc>
          <w:tcPr>
            <w:tcW w:w="5" w:type="pct"/>
            <w:vAlign w:val="center"/>
            <w:hideMark/>
          </w:tcPr>
          <w:p w14:paraId="494C3335" w14:textId="77777777" w:rsidR="00000000" w:rsidRDefault="00A173A8">
            <w:pPr>
              <w:spacing w:after="100"/>
              <w:rPr>
                <w:rFonts w:eastAsia="Times New Roman"/>
                <w:sz w:val="20"/>
                <w:szCs w:val="20"/>
              </w:rPr>
            </w:pPr>
          </w:p>
        </w:tc>
        <w:tc>
          <w:tcPr>
            <w:tcW w:w="50" w:type="pct"/>
            <w:vAlign w:val="center"/>
            <w:hideMark/>
          </w:tcPr>
          <w:p w14:paraId="0B5544D6" w14:textId="77777777" w:rsidR="00000000" w:rsidRDefault="00A173A8">
            <w:pPr>
              <w:spacing w:after="100"/>
              <w:rPr>
                <w:rFonts w:eastAsia="Times New Roman"/>
                <w:sz w:val="20"/>
                <w:szCs w:val="20"/>
              </w:rPr>
            </w:pPr>
          </w:p>
        </w:tc>
        <w:tc>
          <w:tcPr>
            <w:tcW w:w="1614" w:type="pct"/>
            <w:vAlign w:val="center"/>
            <w:hideMark/>
          </w:tcPr>
          <w:p w14:paraId="613E6B48" w14:textId="77777777" w:rsidR="00000000" w:rsidRDefault="00A173A8">
            <w:pPr>
              <w:spacing w:after="100"/>
              <w:rPr>
                <w:rFonts w:eastAsia="Times New Roman"/>
                <w:sz w:val="20"/>
                <w:szCs w:val="20"/>
              </w:rPr>
            </w:pPr>
          </w:p>
        </w:tc>
        <w:tc>
          <w:tcPr>
            <w:tcW w:w="5" w:type="pct"/>
            <w:vAlign w:val="center"/>
            <w:hideMark/>
          </w:tcPr>
          <w:p w14:paraId="32A68312" w14:textId="77777777" w:rsidR="00000000" w:rsidRDefault="00A173A8">
            <w:pPr>
              <w:spacing w:after="100"/>
              <w:rPr>
                <w:rFonts w:eastAsia="Times New Roman"/>
                <w:sz w:val="20"/>
                <w:szCs w:val="20"/>
              </w:rPr>
            </w:pPr>
          </w:p>
        </w:tc>
      </w:tr>
      <w:tr w:rsidR="00000000" w14:paraId="593E52C8" w14:textId="77777777">
        <w:trPr>
          <w:trHeight w:val="300"/>
          <w:jc w:val="center"/>
        </w:trPr>
        <w:tc>
          <w:tcPr>
            <w:tcW w:w="0" w:type="auto"/>
            <w:gridSpan w:val="9"/>
            <w:tcMar>
              <w:top w:w="0" w:type="dxa"/>
              <w:left w:w="20" w:type="dxa"/>
              <w:bottom w:w="0" w:type="dxa"/>
              <w:right w:w="20" w:type="dxa"/>
            </w:tcMar>
            <w:vAlign w:val="center"/>
            <w:hideMark/>
          </w:tcPr>
          <w:p w14:paraId="2ECF13FB" w14:textId="77777777" w:rsidR="00000000" w:rsidRDefault="00A173A8">
            <w:pPr>
              <w:spacing w:after="100"/>
              <w:rPr>
                <w:rFonts w:eastAsia="Times New Roman"/>
                <w:sz w:val="20"/>
                <w:szCs w:val="20"/>
              </w:rPr>
            </w:pPr>
          </w:p>
        </w:tc>
      </w:tr>
      <w:tr w:rsidR="00000000" w14:paraId="05954A40" w14:textId="77777777">
        <w:trPr>
          <w:jc w:val="center"/>
        </w:trPr>
        <w:tc>
          <w:tcPr>
            <w:tcW w:w="0" w:type="auto"/>
            <w:gridSpan w:val="3"/>
            <w:tcMar>
              <w:top w:w="0" w:type="dxa"/>
              <w:left w:w="20" w:type="dxa"/>
              <w:bottom w:w="0" w:type="dxa"/>
              <w:right w:w="20" w:type="dxa"/>
            </w:tcMar>
            <w:vAlign w:val="center"/>
            <w:hideMark/>
          </w:tcPr>
          <w:p w14:paraId="46FAB14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A6EC1FD" w14:textId="77777777" w:rsidR="00000000" w:rsidRDefault="00A173A8">
            <w:pPr>
              <w:spacing w:after="100"/>
              <w:jc w:val="center"/>
              <w:rPr>
                <w:rFonts w:eastAsia="Times New Roman"/>
              </w:rPr>
            </w:pPr>
            <w:r>
              <w:rPr>
                <w:rFonts w:eastAsia="Times New Roman"/>
                <w:color w:val="000000"/>
                <w:sz w:val="16"/>
                <w:szCs w:val="16"/>
              </w:rPr>
              <w:t>81</w:t>
            </w:r>
          </w:p>
        </w:tc>
        <w:tc>
          <w:tcPr>
            <w:tcW w:w="0" w:type="auto"/>
            <w:gridSpan w:val="3"/>
            <w:tcMar>
              <w:top w:w="30" w:type="dxa"/>
              <w:left w:w="20" w:type="dxa"/>
              <w:bottom w:w="30" w:type="dxa"/>
              <w:right w:w="20" w:type="dxa"/>
            </w:tcMar>
            <w:vAlign w:val="bottom"/>
            <w:hideMark/>
          </w:tcPr>
          <w:p w14:paraId="2614C34E"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B4E3498" w14:textId="77777777" w:rsidR="00000000" w:rsidRDefault="00A173A8">
      <w:pPr>
        <w:rPr>
          <w:rFonts w:eastAsia="Times New Roman"/>
        </w:rPr>
      </w:pPr>
      <w:r>
        <w:rPr>
          <w:rFonts w:eastAsia="Times New Roman"/>
        </w:rPr>
        <w:pict w14:anchorId="56D28FE0">
          <v:rect id="_x0000_i1106" style="width:0;height:1.5pt" o:hralign="center" o:hrstd="t" o:hr="t" fillcolor="#a0a0a0" stroked="f"/>
        </w:pict>
      </w:r>
    </w:p>
    <w:p w14:paraId="12447FAB" w14:textId="77777777" w:rsidR="00000000" w:rsidRDefault="00A173A8">
      <w:pPr>
        <w:jc w:val="both"/>
        <w:divId w:val="1790975946"/>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045"/>
        <w:gridCol w:w="38"/>
        <w:gridCol w:w="36"/>
        <w:gridCol w:w="36"/>
        <w:gridCol w:w="36"/>
        <w:gridCol w:w="111"/>
        <w:gridCol w:w="679"/>
        <w:gridCol w:w="36"/>
        <w:gridCol w:w="36"/>
        <w:gridCol w:w="36"/>
        <w:gridCol w:w="36"/>
        <w:gridCol w:w="81"/>
        <w:gridCol w:w="609"/>
        <w:gridCol w:w="172"/>
        <w:gridCol w:w="37"/>
        <w:gridCol w:w="37"/>
        <w:gridCol w:w="37"/>
        <w:gridCol w:w="87"/>
        <w:gridCol w:w="648"/>
        <w:gridCol w:w="171"/>
        <w:gridCol w:w="36"/>
        <w:gridCol w:w="36"/>
        <w:gridCol w:w="36"/>
        <w:gridCol w:w="81"/>
        <w:gridCol w:w="609"/>
        <w:gridCol w:w="17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14:paraId="70EFD119" w14:textId="77777777">
        <w:trPr>
          <w:divId w:val="604574635"/>
        </w:trPr>
        <w:tc>
          <w:tcPr>
            <w:tcW w:w="50" w:type="pct"/>
            <w:vAlign w:val="center"/>
            <w:hideMark/>
          </w:tcPr>
          <w:p w14:paraId="68E26B6E" w14:textId="77777777" w:rsidR="00000000" w:rsidRDefault="00A173A8">
            <w:pPr>
              <w:jc w:val="both"/>
              <w:rPr>
                <w:rFonts w:eastAsia="Times New Roman"/>
              </w:rPr>
            </w:pPr>
          </w:p>
        </w:tc>
        <w:tc>
          <w:tcPr>
            <w:tcW w:w="2605" w:type="pct"/>
            <w:vAlign w:val="center"/>
            <w:hideMark/>
          </w:tcPr>
          <w:p w14:paraId="51405086" w14:textId="77777777" w:rsidR="00000000" w:rsidRDefault="00A173A8">
            <w:pPr>
              <w:spacing w:after="100"/>
              <w:rPr>
                <w:rFonts w:eastAsia="Times New Roman"/>
                <w:sz w:val="20"/>
                <w:szCs w:val="20"/>
              </w:rPr>
            </w:pPr>
          </w:p>
        </w:tc>
        <w:tc>
          <w:tcPr>
            <w:tcW w:w="5" w:type="pct"/>
            <w:vAlign w:val="center"/>
            <w:hideMark/>
          </w:tcPr>
          <w:p w14:paraId="2B5DFE4C" w14:textId="77777777" w:rsidR="00000000" w:rsidRDefault="00A173A8">
            <w:pPr>
              <w:spacing w:after="100"/>
              <w:rPr>
                <w:rFonts w:eastAsia="Times New Roman"/>
                <w:sz w:val="20"/>
                <w:szCs w:val="20"/>
              </w:rPr>
            </w:pPr>
          </w:p>
        </w:tc>
        <w:tc>
          <w:tcPr>
            <w:tcW w:w="5" w:type="pct"/>
            <w:vAlign w:val="center"/>
            <w:hideMark/>
          </w:tcPr>
          <w:p w14:paraId="4FF16660" w14:textId="77777777" w:rsidR="00000000" w:rsidRDefault="00A173A8">
            <w:pPr>
              <w:spacing w:after="100"/>
              <w:rPr>
                <w:rFonts w:eastAsia="Times New Roman"/>
                <w:sz w:val="20"/>
                <w:szCs w:val="20"/>
              </w:rPr>
            </w:pPr>
          </w:p>
        </w:tc>
        <w:tc>
          <w:tcPr>
            <w:tcW w:w="26" w:type="pct"/>
            <w:vAlign w:val="center"/>
            <w:hideMark/>
          </w:tcPr>
          <w:p w14:paraId="7AF156A0" w14:textId="77777777" w:rsidR="00000000" w:rsidRDefault="00A173A8">
            <w:pPr>
              <w:spacing w:after="100"/>
              <w:rPr>
                <w:rFonts w:eastAsia="Times New Roman"/>
                <w:sz w:val="20"/>
                <w:szCs w:val="20"/>
              </w:rPr>
            </w:pPr>
          </w:p>
        </w:tc>
        <w:tc>
          <w:tcPr>
            <w:tcW w:w="5" w:type="pct"/>
            <w:vAlign w:val="center"/>
            <w:hideMark/>
          </w:tcPr>
          <w:p w14:paraId="17952B98" w14:textId="77777777" w:rsidR="00000000" w:rsidRDefault="00A173A8">
            <w:pPr>
              <w:spacing w:after="100"/>
              <w:rPr>
                <w:rFonts w:eastAsia="Times New Roman"/>
                <w:sz w:val="20"/>
                <w:szCs w:val="20"/>
              </w:rPr>
            </w:pPr>
          </w:p>
        </w:tc>
        <w:tc>
          <w:tcPr>
            <w:tcW w:w="50" w:type="pct"/>
            <w:vAlign w:val="center"/>
            <w:hideMark/>
          </w:tcPr>
          <w:p w14:paraId="50B6163F" w14:textId="77777777" w:rsidR="00000000" w:rsidRDefault="00A173A8">
            <w:pPr>
              <w:spacing w:after="100"/>
              <w:rPr>
                <w:rFonts w:eastAsia="Times New Roman"/>
                <w:sz w:val="20"/>
                <w:szCs w:val="20"/>
              </w:rPr>
            </w:pPr>
          </w:p>
        </w:tc>
        <w:tc>
          <w:tcPr>
            <w:tcW w:w="376" w:type="pct"/>
            <w:vAlign w:val="center"/>
            <w:hideMark/>
          </w:tcPr>
          <w:p w14:paraId="74805948" w14:textId="77777777" w:rsidR="00000000" w:rsidRDefault="00A173A8">
            <w:pPr>
              <w:spacing w:after="100"/>
              <w:rPr>
                <w:rFonts w:eastAsia="Times New Roman"/>
                <w:sz w:val="20"/>
                <w:szCs w:val="20"/>
              </w:rPr>
            </w:pPr>
          </w:p>
        </w:tc>
        <w:tc>
          <w:tcPr>
            <w:tcW w:w="5" w:type="pct"/>
            <w:vAlign w:val="center"/>
            <w:hideMark/>
          </w:tcPr>
          <w:p w14:paraId="7AEE1CA8" w14:textId="77777777" w:rsidR="00000000" w:rsidRDefault="00A173A8">
            <w:pPr>
              <w:spacing w:after="100"/>
              <w:rPr>
                <w:rFonts w:eastAsia="Times New Roman"/>
                <w:sz w:val="20"/>
                <w:szCs w:val="20"/>
              </w:rPr>
            </w:pPr>
          </w:p>
        </w:tc>
        <w:tc>
          <w:tcPr>
            <w:tcW w:w="5" w:type="pct"/>
            <w:vAlign w:val="center"/>
            <w:hideMark/>
          </w:tcPr>
          <w:p w14:paraId="1BCE62D4" w14:textId="77777777" w:rsidR="00000000" w:rsidRDefault="00A173A8">
            <w:pPr>
              <w:spacing w:after="100"/>
              <w:rPr>
                <w:rFonts w:eastAsia="Times New Roman"/>
                <w:sz w:val="20"/>
                <w:szCs w:val="20"/>
              </w:rPr>
            </w:pPr>
          </w:p>
        </w:tc>
        <w:tc>
          <w:tcPr>
            <w:tcW w:w="26" w:type="pct"/>
            <w:vAlign w:val="center"/>
            <w:hideMark/>
          </w:tcPr>
          <w:p w14:paraId="57B213FD" w14:textId="77777777" w:rsidR="00000000" w:rsidRDefault="00A173A8">
            <w:pPr>
              <w:spacing w:after="100"/>
              <w:rPr>
                <w:rFonts w:eastAsia="Times New Roman"/>
                <w:sz w:val="20"/>
                <w:szCs w:val="20"/>
              </w:rPr>
            </w:pPr>
          </w:p>
        </w:tc>
        <w:tc>
          <w:tcPr>
            <w:tcW w:w="5" w:type="pct"/>
            <w:vAlign w:val="center"/>
            <w:hideMark/>
          </w:tcPr>
          <w:p w14:paraId="65B5BADB" w14:textId="77777777" w:rsidR="00000000" w:rsidRDefault="00A173A8">
            <w:pPr>
              <w:spacing w:after="100"/>
              <w:rPr>
                <w:rFonts w:eastAsia="Times New Roman"/>
                <w:sz w:val="20"/>
                <w:szCs w:val="20"/>
              </w:rPr>
            </w:pPr>
          </w:p>
        </w:tc>
        <w:tc>
          <w:tcPr>
            <w:tcW w:w="50" w:type="pct"/>
            <w:vAlign w:val="center"/>
            <w:hideMark/>
          </w:tcPr>
          <w:p w14:paraId="07CE5D9F" w14:textId="77777777" w:rsidR="00000000" w:rsidRDefault="00A173A8">
            <w:pPr>
              <w:spacing w:after="100"/>
              <w:rPr>
                <w:rFonts w:eastAsia="Times New Roman"/>
                <w:sz w:val="20"/>
                <w:szCs w:val="20"/>
              </w:rPr>
            </w:pPr>
          </w:p>
        </w:tc>
        <w:tc>
          <w:tcPr>
            <w:tcW w:w="376" w:type="pct"/>
            <w:vAlign w:val="center"/>
            <w:hideMark/>
          </w:tcPr>
          <w:p w14:paraId="12EA4C1F" w14:textId="77777777" w:rsidR="00000000" w:rsidRDefault="00A173A8">
            <w:pPr>
              <w:spacing w:after="100"/>
              <w:rPr>
                <w:rFonts w:eastAsia="Times New Roman"/>
                <w:sz w:val="20"/>
                <w:szCs w:val="20"/>
              </w:rPr>
            </w:pPr>
          </w:p>
        </w:tc>
        <w:tc>
          <w:tcPr>
            <w:tcW w:w="5" w:type="pct"/>
            <w:vAlign w:val="center"/>
            <w:hideMark/>
          </w:tcPr>
          <w:p w14:paraId="4176ECF2" w14:textId="77777777" w:rsidR="00000000" w:rsidRDefault="00A173A8">
            <w:pPr>
              <w:spacing w:after="100"/>
              <w:rPr>
                <w:rFonts w:eastAsia="Times New Roman"/>
                <w:sz w:val="20"/>
                <w:szCs w:val="20"/>
              </w:rPr>
            </w:pPr>
          </w:p>
        </w:tc>
        <w:tc>
          <w:tcPr>
            <w:tcW w:w="5" w:type="pct"/>
            <w:vAlign w:val="center"/>
            <w:hideMark/>
          </w:tcPr>
          <w:p w14:paraId="0A6CD5C9" w14:textId="77777777" w:rsidR="00000000" w:rsidRDefault="00A173A8">
            <w:pPr>
              <w:spacing w:after="100"/>
              <w:rPr>
                <w:rFonts w:eastAsia="Times New Roman"/>
                <w:sz w:val="20"/>
                <w:szCs w:val="20"/>
              </w:rPr>
            </w:pPr>
          </w:p>
        </w:tc>
        <w:tc>
          <w:tcPr>
            <w:tcW w:w="26" w:type="pct"/>
            <w:vAlign w:val="center"/>
            <w:hideMark/>
          </w:tcPr>
          <w:p w14:paraId="0C5239A5" w14:textId="77777777" w:rsidR="00000000" w:rsidRDefault="00A173A8">
            <w:pPr>
              <w:spacing w:after="100"/>
              <w:rPr>
                <w:rFonts w:eastAsia="Times New Roman"/>
                <w:sz w:val="20"/>
                <w:szCs w:val="20"/>
              </w:rPr>
            </w:pPr>
          </w:p>
        </w:tc>
        <w:tc>
          <w:tcPr>
            <w:tcW w:w="5" w:type="pct"/>
            <w:vAlign w:val="center"/>
            <w:hideMark/>
          </w:tcPr>
          <w:p w14:paraId="497A1634" w14:textId="77777777" w:rsidR="00000000" w:rsidRDefault="00A173A8">
            <w:pPr>
              <w:spacing w:after="100"/>
              <w:rPr>
                <w:rFonts w:eastAsia="Times New Roman"/>
                <w:sz w:val="20"/>
                <w:szCs w:val="20"/>
              </w:rPr>
            </w:pPr>
          </w:p>
        </w:tc>
        <w:tc>
          <w:tcPr>
            <w:tcW w:w="50" w:type="pct"/>
            <w:vAlign w:val="center"/>
            <w:hideMark/>
          </w:tcPr>
          <w:p w14:paraId="6BB2A99F" w14:textId="77777777" w:rsidR="00000000" w:rsidRDefault="00A173A8">
            <w:pPr>
              <w:spacing w:after="100"/>
              <w:rPr>
                <w:rFonts w:eastAsia="Times New Roman"/>
                <w:sz w:val="20"/>
                <w:szCs w:val="20"/>
              </w:rPr>
            </w:pPr>
          </w:p>
        </w:tc>
        <w:tc>
          <w:tcPr>
            <w:tcW w:w="376" w:type="pct"/>
            <w:vAlign w:val="center"/>
            <w:hideMark/>
          </w:tcPr>
          <w:p w14:paraId="402225B5" w14:textId="77777777" w:rsidR="00000000" w:rsidRDefault="00A173A8">
            <w:pPr>
              <w:spacing w:after="100"/>
              <w:rPr>
                <w:rFonts w:eastAsia="Times New Roman"/>
                <w:sz w:val="20"/>
                <w:szCs w:val="20"/>
              </w:rPr>
            </w:pPr>
          </w:p>
        </w:tc>
        <w:tc>
          <w:tcPr>
            <w:tcW w:w="5" w:type="pct"/>
            <w:vAlign w:val="center"/>
            <w:hideMark/>
          </w:tcPr>
          <w:p w14:paraId="790D6EC9" w14:textId="77777777" w:rsidR="00000000" w:rsidRDefault="00A173A8">
            <w:pPr>
              <w:spacing w:after="100"/>
              <w:rPr>
                <w:rFonts w:eastAsia="Times New Roman"/>
                <w:sz w:val="20"/>
                <w:szCs w:val="20"/>
              </w:rPr>
            </w:pPr>
          </w:p>
        </w:tc>
        <w:tc>
          <w:tcPr>
            <w:tcW w:w="5" w:type="pct"/>
            <w:vAlign w:val="center"/>
            <w:hideMark/>
          </w:tcPr>
          <w:p w14:paraId="136013A7" w14:textId="77777777" w:rsidR="00000000" w:rsidRDefault="00A173A8">
            <w:pPr>
              <w:spacing w:after="100"/>
              <w:rPr>
                <w:rFonts w:eastAsia="Times New Roman"/>
                <w:sz w:val="20"/>
                <w:szCs w:val="20"/>
              </w:rPr>
            </w:pPr>
          </w:p>
        </w:tc>
        <w:tc>
          <w:tcPr>
            <w:tcW w:w="26" w:type="pct"/>
            <w:vAlign w:val="center"/>
            <w:hideMark/>
          </w:tcPr>
          <w:p w14:paraId="67DEA03E" w14:textId="77777777" w:rsidR="00000000" w:rsidRDefault="00A173A8">
            <w:pPr>
              <w:spacing w:after="100"/>
              <w:rPr>
                <w:rFonts w:eastAsia="Times New Roman"/>
                <w:sz w:val="20"/>
                <w:szCs w:val="20"/>
              </w:rPr>
            </w:pPr>
          </w:p>
        </w:tc>
        <w:tc>
          <w:tcPr>
            <w:tcW w:w="5" w:type="pct"/>
            <w:vAlign w:val="center"/>
            <w:hideMark/>
          </w:tcPr>
          <w:p w14:paraId="62B65BAA" w14:textId="77777777" w:rsidR="00000000" w:rsidRDefault="00A173A8">
            <w:pPr>
              <w:spacing w:after="100"/>
              <w:rPr>
                <w:rFonts w:eastAsia="Times New Roman"/>
                <w:sz w:val="20"/>
                <w:szCs w:val="20"/>
              </w:rPr>
            </w:pPr>
          </w:p>
        </w:tc>
        <w:tc>
          <w:tcPr>
            <w:tcW w:w="50" w:type="pct"/>
            <w:vAlign w:val="center"/>
            <w:hideMark/>
          </w:tcPr>
          <w:p w14:paraId="08E76D3E" w14:textId="77777777" w:rsidR="00000000" w:rsidRDefault="00A173A8">
            <w:pPr>
              <w:spacing w:after="100"/>
              <w:rPr>
                <w:rFonts w:eastAsia="Times New Roman"/>
                <w:sz w:val="20"/>
                <w:szCs w:val="20"/>
              </w:rPr>
            </w:pPr>
          </w:p>
        </w:tc>
        <w:tc>
          <w:tcPr>
            <w:tcW w:w="376" w:type="pct"/>
            <w:vAlign w:val="center"/>
            <w:hideMark/>
          </w:tcPr>
          <w:p w14:paraId="315686E4" w14:textId="77777777" w:rsidR="00000000" w:rsidRDefault="00A173A8">
            <w:pPr>
              <w:spacing w:after="100"/>
              <w:rPr>
                <w:rFonts w:eastAsia="Times New Roman"/>
                <w:sz w:val="20"/>
                <w:szCs w:val="20"/>
              </w:rPr>
            </w:pPr>
          </w:p>
        </w:tc>
        <w:tc>
          <w:tcPr>
            <w:tcW w:w="5" w:type="pct"/>
            <w:vAlign w:val="center"/>
            <w:hideMark/>
          </w:tcPr>
          <w:p w14:paraId="5F81A87A" w14:textId="77777777" w:rsidR="00000000" w:rsidRDefault="00A173A8">
            <w:pPr>
              <w:spacing w:after="100"/>
              <w:rPr>
                <w:rFonts w:eastAsia="Times New Roman"/>
                <w:sz w:val="20"/>
                <w:szCs w:val="20"/>
              </w:rPr>
            </w:pPr>
          </w:p>
        </w:tc>
        <w:tc>
          <w:tcPr>
            <w:tcW w:w="5" w:type="pct"/>
            <w:vAlign w:val="center"/>
            <w:hideMark/>
          </w:tcPr>
          <w:p w14:paraId="0C292D62" w14:textId="77777777" w:rsidR="00000000" w:rsidRDefault="00A173A8">
            <w:pPr>
              <w:spacing w:after="100"/>
              <w:rPr>
                <w:rFonts w:eastAsia="Times New Roman"/>
                <w:sz w:val="20"/>
                <w:szCs w:val="20"/>
              </w:rPr>
            </w:pPr>
          </w:p>
        </w:tc>
        <w:tc>
          <w:tcPr>
            <w:tcW w:w="26" w:type="pct"/>
            <w:vAlign w:val="center"/>
            <w:hideMark/>
          </w:tcPr>
          <w:p w14:paraId="22BED302" w14:textId="77777777" w:rsidR="00000000" w:rsidRDefault="00A173A8">
            <w:pPr>
              <w:spacing w:after="100"/>
              <w:rPr>
                <w:rFonts w:eastAsia="Times New Roman"/>
                <w:sz w:val="20"/>
                <w:szCs w:val="20"/>
              </w:rPr>
            </w:pPr>
          </w:p>
        </w:tc>
        <w:tc>
          <w:tcPr>
            <w:tcW w:w="5" w:type="pct"/>
            <w:vAlign w:val="center"/>
            <w:hideMark/>
          </w:tcPr>
          <w:p w14:paraId="0DB1B55E" w14:textId="77777777" w:rsidR="00000000" w:rsidRDefault="00A173A8">
            <w:pPr>
              <w:spacing w:after="100"/>
              <w:rPr>
                <w:rFonts w:eastAsia="Times New Roman"/>
                <w:sz w:val="20"/>
                <w:szCs w:val="20"/>
              </w:rPr>
            </w:pPr>
          </w:p>
        </w:tc>
        <w:tc>
          <w:tcPr>
            <w:tcW w:w="50" w:type="pct"/>
            <w:vAlign w:val="center"/>
            <w:hideMark/>
          </w:tcPr>
          <w:p w14:paraId="75878F1E" w14:textId="77777777" w:rsidR="00000000" w:rsidRDefault="00A173A8">
            <w:pPr>
              <w:spacing w:after="100"/>
              <w:rPr>
                <w:rFonts w:eastAsia="Times New Roman"/>
                <w:sz w:val="20"/>
                <w:szCs w:val="20"/>
              </w:rPr>
            </w:pPr>
          </w:p>
        </w:tc>
        <w:tc>
          <w:tcPr>
            <w:tcW w:w="376" w:type="pct"/>
            <w:vAlign w:val="center"/>
            <w:hideMark/>
          </w:tcPr>
          <w:p w14:paraId="6C8A6609" w14:textId="77777777" w:rsidR="00000000" w:rsidRDefault="00A173A8">
            <w:pPr>
              <w:spacing w:after="100"/>
              <w:rPr>
                <w:rFonts w:eastAsia="Times New Roman"/>
                <w:sz w:val="20"/>
                <w:szCs w:val="20"/>
              </w:rPr>
            </w:pPr>
          </w:p>
        </w:tc>
        <w:tc>
          <w:tcPr>
            <w:tcW w:w="5" w:type="pct"/>
            <w:vAlign w:val="center"/>
            <w:hideMark/>
          </w:tcPr>
          <w:p w14:paraId="14795617" w14:textId="77777777" w:rsidR="00000000" w:rsidRDefault="00A173A8">
            <w:pPr>
              <w:spacing w:after="100"/>
              <w:rPr>
                <w:rFonts w:eastAsia="Times New Roman"/>
                <w:sz w:val="20"/>
                <w:szCs w:val="20"/>
              </w:rPr>
            </w:pPr>
          </w:p>
        </w:tc>
        <w:tc>
          <w:tcPr>
            <w:tcW w:w="0" w:type="auto"/>
            <w:gridSpan w:val="3"/>
            <w:vAlign w:val="center"/>
            <w:hideMark/>
          </w:tcPr>
          <w:p w14:paraId="0DE87CB6" w14:textId="77777777" w:rsidR="00000000" w:rsidRDefault="00A173A8">
            <w:pPr>
              <w:spacing w:after="100"/>
              <w:rPr>
                <w:rFonts w:eastAsia="Times New Roman"/>
                <w:sz w:val="20"/>
                <w:szCs w:val="20"/>
              </w:rPr>
            </w:pPr>
          </w:p>
        </w:tc>
        <w:tc>
          <w:tcPr>
            <w:tcW w:w="0" w:type="auto"/>
            <w:gridSpan w:val="3"/>
            <w:vAlign w:val="center"/>
            <w:hideMark/>
          </w:tcPr>
          <w:p w14:paraId="2B05091E" w14:textId="77777777" w:rsidR="00000000" w:rsidRDefault="00A173A8">
            <w:pPr>
              <w:spacing w:after="100"/>
              <w:rPr>
                <w:rFonts w:eastAsia="Times New Roman"/>
                <w:sz w:val="20"/>
                <w:szCs w:val="20"/>
              </w:rPr>
            </w:pPr>
          </w:p>
        </w:tc>
        <w:tc>
          <w:tcPr>
            <w:tcW w:w="0" w:type="auto"/>
            <w:gridSpan w:val="3"/>
            <w:vAlign w:val="center"/>
            <w:hideMark/>
          </w:tcPr>
          <w:p w14:paraId="7B3B83CF" w14:textId="77777777" w:rsidR="00000000" w:rsidRDefault="00A173A8">
            <w:pPr>
              <w:spacing w:after="100"/>
              <w:rPr>
                <w:rFonts w:eastAsia="Times New Roman"/>
                <w:sz w:val="20"/>
                <w:szCs w:val="20"/>
              </w:rPr>
            </w:pPr>
          </w:p>
        </w:tc>
        <w:tc>
          <w:tcPr>
            <w:tcW w:w="0" w:type="auto"/>
            <w:gridSpan w:val="3"/>
            <w:vAlign w:val="center"/>
            <w:hideMark/>
          </w:tcPr>
          <w:p w14:paraId="353C9A14" w14:textId="77777777" w:rsidR="00000000" w:rsidRDefault="00A173A8">
            <w:pPr>
              <w:spacing w:after="100"/>
              <w:rPr>
                <w:rFonts w:eastAsia="Times New Roman"/>
                <w:sz w:val="20"/>
                <w:szCs w:val="20"/>
              </w:rPr>
            </w:pPr>
          </w:p>
        </w:tc>
      </w:tr>
      <w:tr w:rsidR="00000000" w14:paraId="52E62270" w14:textId="77777777">
        <w:trPr>
          <w:divId w:val="604574635"/>
        </w:trPr>
        <w:tc>
          <w:tcPr>
            <w:tcW w:w="0" w:type="auto"/>
            <w:gridSpan w:val="3"/>
            <w:tcMar>
              <w:top w:w="0" w:type="dxa"/>
              <w:left w:w="20" w:type="dxa"/>
              <w:bottom w:w="0" w:type="dxa"/>
              <w:right w:w="20" w:type="dxa"/>
            </w:tcMar>
            <w:vAlign w:val="center"/>
            <w:hideMark/>
          </w:tcPr>
          <w:p w14:paraId="3B359223"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340B7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A91B18"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811E0B" w14:textId="77777777" w:rsidR="00000000" w:rsidRDefault="00A173A8">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126A59ED" w14:textId="77777777" w:rsidR="00000000" w:rsidRDefault="00A173A8">
            <w:pPr>
              <w:spacing w:after="100"/>
              <w:jc w:val="center"/>
              <w:rPr>
                <w:rFonts w:eastAsia="Times New Roman"/>
              </w:rPr>
            </w:pPr>
            <w:r>
              <w:rPr>
                <w:rFonts w:eastAsia="Times New Roman"/>
                <w:b/>
                <w:bCs/>
                <w:color w:val="000000"/>
                <w:sz w:val="16"/>
                <w:szCs w:val="16"/>
              </w:rPr>
              <w:t>Three Months Ended June 30, 2021</w:t>
            </w:r>
          </w:p>
        </w:tc>
        <w:tc>
          <w:tcPr>
            <w:tcW w:w="0" w:type="auto"/>
            <w:vAlign w:val="center"/>
            <w:hideMark/>
          </w:tcPr>
          <w:p w14:paraId="150888FB" w14:textId="77777777" w:rsidR="00000000" w:rsidRDefault="00A173A8">
            <w:pPr>
              <w:spacing w:after="100"/>
              <w:rPr>
                <w:rFonts w:eastAsia="Times New Roman"/>
                <w:sz w:val="20"/>
                <w:szCs w:val="20"/>
              </w:rPr>
            </w:pPr>
          </w:p>
        </w:tc>
        <w:tc>
          <w:tcPr>
            <w:tcW w:w="0" w:type="auto"/>
            <w:vAlign w:val="center"/>
            <w:hideMark/>
          </w:tcPr>
          <w:p w14:paraId="037BBB49" w14:textId="77777777" w:rsidR="00000000" w:rsidRDefault="00A173A8">
            <w:pPr>
              <w:spacing w:after="100"/>
              <w:rPr>
                <w:rFonts w:eastAsia="Times New Roman"/>
                <w:sz w:val="20"/>
                <w:szCs w:val="20"/>
              </w:rPr>
            </w:pPr>
          </w:p>
        </w:tc>
        <w:tc>
          <w:tcPr>
            <w:tcW w:w="0" w:type="auto"/>
            <w:vAlign w:val="center"/>
            <w:hideMark/>
          </w:tcPr>
          <w:p w14:paraId="3CCC988A" w14:textId="77777777" w:rsidR="00000000" w:rsidRDefault="00A173A8">
            <w:pPr>
              <w:spacing w:after="100"/>
              <w:rPr>
                <w:rFonts w:eastAsia="Times New Roman"/>
                <w:sz w:val="20"/>
                <w:szCs w:val="20"/>
              </w:rPr>
            </w:pPr>
          </w:p>
        </w:tc>
        <w:tc>
          <w:tcPr>
            <w:tcW w:w="0" w:type="auto"/>
            <w:vAlign w:val="center"/>
            <w:hideMark/>
          </w:tcPr>
          <w:p w14:paraId="1004C8BE" w14:textId="77777777" w:rsidR="00000000" w:rsidRDefault="00A173A8">
            <w:pPr>
              <w:spacing w:after="100"/>
              <w:rPr>
                <w:rFonts w:eastAsia="Times New Roman"/>
                <w:sz w:val="20"/>
                <w:szCs w:val="20"/>
              </w:rPr>
            </w:pPr>
          </w:p>
        </w:tc>
        <w:tc>
          <w:tcPr>
            <w:tcW w:w="0" w:type="auto"/>
            <w:vAlign w:val="center"/>
            <w:hideMark/>
          </w:tcPr>
          <w:p w14:paraId="2295D600" w14:textId="77777777" w:rsidR="00000000" w:rsidRDefault="00A173A8">
            <w:pPr>
              <w:spacing w:after="100"/>
              <w:rPr>
                <w:rFonts w:eastAsia="Times New Roman"/>
                <w:sz w:val="20"/>
                <w:szCs w:val="20"/>
              </w:rPr>
            </w:pPr>
          </w:p>
        </w:tc>
        <w:tc>
          <w:tcPr>
            <w:tcW w:w="0" w:type="auto"/>
            <w:vAlign w:val="center"/>
            <w:hideMark/>
          </w:tcPr>
          <w:p w14:paraId="693F8195" w14:textId="77777777" w:rsidR="00000000" w:rsidRDefault="00A173A8">
            <w:pPr>
              <w:spacing w:after="100"/>
              <w:rPr>
                <w:rFonts w:eastAsia="Times New Roman"/>
                <w:sz w:val="20"/>
                <w:szCs w:val="20"/>
              </w:rPr>
            </w:pPr>
          </w:p>
        </w:tc>
        <w:tc>
          <w:tcPr>
            <w:tcW w:w="0" w:type="auto"/>
            <w:vAlign w:val="center"/>
            <w:hideMark/>
          </w:tcPr>
          <w:p w14:paraId="445B2B30" w14:textId="77777777" w:rsidR="00000000" w:rsidRDefault="00A173A8">
            <w:pPr>
              <w:spacing w:after="100"/>
              <w:rPr>
                <w:rFonts w:eastAsia="Times New Roman"/>
                <w:sz w:val="20"/>
                <w:szCs w:val="20"/>
              </w:rPr>
            </w:pPr>
          </w:p>
        </w:tc>
        <w:tc>
          <w:tcPr>
            <w:tcW w:w="0" w:type="auto"/>
            <w:vAlign w:val="center"/>
            <w:hideMark/>
          </w:tcPr>
          <w:p w14:paraId="7894A627" w14:textId="77777777" w:rsidR="00000000" w:rsidRDefault="00A173A8">
            <w:pPr>
              <w:spacing w:after="100"/>
              <w:rPr>
                <w:rFonts w:eastAsia="Times New Roman"/>
                <w:sz w:val="20"/>
                <w:szCs w:val="20"/>
              </w:rPr>
            </w:pPr>
          </w:p>
        </w:tc>
        <w:tc>
          <w:tcPr>
            <w:tcW w:w="0" w:type="auto"/>
            <w:vAlign w:val="center"/>
            <w:hideMark/>
          </w:tcPr>
          <w:p w14:paraId="79B71E93" w14:textId="77777777" w:rsidR="00000000" w:rsidRDefault="00A173A8">
            <w:pPr>
              <w:spacing w:after="100"/>
              <w:rPr>
                <w:rFonts w:eastAsia="Times New Roman"/>
                <w:sz w:val="20"/>
                <w:szCs w:val="20"/>
              </w:rPr>
            </w:pPr>
          </w:p>
        </w:tc>
        <w:tc>
          <w:tcPr>
            <w:tcW w:w="0" w:type="auto"/>
            <w:vAlign w:val="center"/>
            <w:hideMark/>
          </w:tcPr>
          <w:p w14:paraId="011CE9B6" w14:textId="77777777" w:rsidR="00000000" w:rsidRDefault="00A173A8">
            <w:pPr>
              <w:spacing w:after="100"/>
              <w:rPr>
                <w:rFonts w:eastAsia="Times New Roman"/>
                <w:sz w:val="20"/>
                <w:szCs w:val="20"/>
              </w:rPr>
            </w:pPr>
          </w:p>
        </w:tc>
        <w:tc>
          <w:tcPr>
            <w:tcW w:w="0" w:type="auto"/>
            <w:vAlign w:val="center"/>
            <w:hideMark/>
          </w:tcPr>
          <w:p w14:paraId="4D3EABC8" w14:textId="77777777" w:rsidR="00000000" w:rsidRDefault="00A173A8">
            <w:pPr>
              <w:spacing w:after="100"/>
              <w:rPr>
                <w:rFonts w:eastAsia="Times New Roman"/>
                <w:sz w:val="20"/>
                <w:szCs w:val="20"/>
              </w:rPr>
            </w:pPr>
          </w:p>
        </w:tc>
        <w:tc>
          <w:tcPr>
            <w:tcW w:w="0" w:type="auto"/>
            <w:vAlign w:val="center"/>
            <w:hideMark/>
          </w:tcPr>
          <w:p w14:paraId="7850E821" w14:textId="77777777" w:rsidR="00000000" w:rsidRDefault="00A173A8">
            <w:pPr>
              <w:spacing w:after="100"/>
              <w:rPr>
                <w:rFonts w:eastAsia="Times New Roman"/>
                <w:sz w:val="20"/>
                <w:szCs w:val="20"/>
              </w:rPr>
            </w:pPr>
          </w:p>
        </w:tc>
      </w:tr>
      <w:tr w:rsidR="00000000" w14:paraId="7218B98A" w14:textId="77777777">
        <w:trPr>
          <w:divId w:val="604574635"/>
        </w:trPr>
        <w:tc>
          <w:tcPr>
            <w:tcW w:w="0" w:type="auto"/>
            <w:gridSpan w:val="3"/>
            <w:tcMar>
              <w:top w:w="0" w:type="dxa"/>
              <w:left w:w="20" w:type="dxa"/>
              <w:bottom w:w="0" w:type="dxa"/>
              <w:right w:w="20" w:type="dxa"/>
            </w:tcMar>
            <w:vAlign w:val="center"/>
            <w:hideMark/>
          </w:tcPr>
          <w:p w14:paraId="61C4049E"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7F20AC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932A0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C17823"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42AA5C4" w14:textId="77777777" w:rsidR="00000000" w:rsidRDefault="00A173A8">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43261BE1"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808721D" w14:textId="77777777" w:rsidR="00000000" w:rsidRDefault="00A173A8">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14:paraId="670E812C" w14:textId="77777777" w:rsidR="00000000" w:rsidRDefault="00A173A8">
            <w:pPr>
              <w:spacing w:after="100"/>
              <w:jc w:val="center"/>
              <w:rPr>
                <w:rFonts w:eastAsia="Times New Roman"/>
              </w:rPr>
            </w:pPr>
          </w:p>
        </w:tc>
        <w:tc>
          <w:tcPr>
            <w:tcW w:w="0" w:type="auto"/>
            <w:gridSpan w:val="3"/>
            <w:vAlign w:val="center"/>
            <w:hideMark/>
          </w:tcPr>
          <w:p w14:paraId="327E6F7E" w14:textId="77777777" w:rsidR="00000000" w:rsidRDefault="00A173A8">
            <w:pPr>
              <w:spacing w:after="100"/>
              <w:rPr>
                <w:rFonts w:eastAsia="Times New Roman"/>
                <w:sz w:val="20"/>
                <w:szCs w:val="20"/>
              </w:rPr>
            </w:pPr>
          </w:p>
        </w:tc>
        <w:tc>
          <w:tcPr>
            <w:tcW w:w="0" w:type="auto"/>
            <w:vAlign w:val="center"/>
            <w:hideMark/>
          </w:tcPr>
          <w:p w14:paraId="37880DF0" w14:textId="77777777" w:rsidR="00000000" w:rsidRDefault="00A173A8">
            <w:pPr>
              <w:spacing w:after="100"/>
              <w:rPr>
                <w:rFonts w:eastAsia="Times New Roman"/>
                <w:sz w:val="20"/>
                <w:szCs w:val="20"/>
              </w:rPr>
            </w:pPr>
          </w:p>
        </w:tc>
        <w:tc>
          <w:tcPr>
            <w:tcW w:w="0" w:type="auto"/>
            <w:vAlign w:val="center"/>
            <w:hideMark/>
          </w:tcPr>
          <w:p w14:paraId="798B8FDE" w14:textId="77777777" w:rsidR="00000000" w:rsidRDefault="00A173A8">
            <w:pPr>
              <w:spacing w:after="100"/>
              <w:rPr>
                <w:rFonts w:eastAsia="Times New Roman"/>
                <w:sz w:val="20"/>
                <w:szCs w:val="20"/>
              </w:rPr>
            </w:pPr>
          </w:p>
        </w:tc>
        <w:tc>
          <w:tcPr>
            <w:tcW w:w="0" w:type="auto"/>
            <w:vAlign w:val="center"/>
            <w:hideMark/>
          </w:tcPr>
          <w:p w14:paraId="7A1B3620" w14:textId="77777777" w:rsidR="00000000" w:rsidRDefault="00A173A8">
            <w:pPr>
              <w:spacing w:after="100"/>
              <w:rPr>
                <w:rFonts w:eastAsia="Times New Roman"/>
                <w:sz w:val="20"/>
                <w:szCs w:val="20"/>
              </w:rPr>
            </w:pPr>
          </w:p>
        </w:tc>
        <w:tc>
          <w:tcPr>
            <w:tcW w:w="0" w:type="auto"/>
            <w:vAlign w:val="center"/>
            <w:hideMark/>
          </w:tcPr>
          <w:p w14:paraId="00F85AD9" w14:textId="77777777" w:rsidR="00000000" w:rsidRDefault="00A173A8">
            <w:pPr>
              <w:spacing w:after="100"/>
              <w:rPr>
                <w:rFonts w:eastAsia="Times New Roman"/>
                <w:sz w:val="20"/>
                <w:szCs w:val="20"/>
              </w:rPr>
            </w:pPr>
          </w:p>
        </w:tc>
        <w:tc>
          <w:tcPr>
            <w:tcW w:w="0" w:type="auto"/>
            <w:vAlign w:val="center"/>
            <w:hideMark/>
          </w:tcPr>
          <w:p w14:paraId="52C1D5A0" w14:textId="77777777" w:rsidR="00000000" w:rsidRDefault="00A173A8">
            <w:pPr>
              <w:spacing w:after="100"/>
              <w:rPr>
                <w:rFonts w:eastAsia="Times New Roman"/>
                <w:sz w:val="20"/>
                <w:szCs w:val="20"/>
              </w:rPr>
            </w:pPr>
          </w:p>
        </w:tc>
        <w:tc>
          <w:tcPr>
            <w:tcW w:w="0" w:type="auto"/>
            <w:vAlign w:val="center"/>
            <w:hideMark/>
          </w:tcPr>
          <w:p w14:paraId="712D4E10" w14:textId="77777777" w:rsidR="00000000" w:rsidRDefault="00A173A8">
            <w:pPr>
              <w:spacing w:after="100"/>
              <w:rPr>
                <w:rFonts w:eastAsia="Times New Roman"/>
                <w:sz w:val="20"/>
                <w:szCs w:val="20"/>
              </w:rPr>
            </w:pPr>
          </w:p>
        </w:tc>
      </w:tr>
      <w:tr w:rsidR="00000000" w14:paraId="4E8375C2" w14:textId="77777777">
        <w:trPr>
          <w:divId w:val="604574635"/>
        </w:trPr>
        <w:tc>
          <w:tcPr>
            <w:tcW w:w="0" w:type="auto"/>
            <w:gridSpan w:val="3"/>
            <w:tcBorders>
              <w:bottom w:val="single" w:sz="8" w:space="0" w:color="000000"/>
            </w:tcBorders>
            <w:tcMar>
              <w:top w:w="30" w:type="dxa"/>
              <w:left w:w="20" w:type="dxa"/>
              <w:bottom w:w="30" w:type="dxa"/>
              <w:right w:w="20" w:type="dxa"/>
            </w:tcMar>
            <w:vAlign w:val="bottom"/>
            <w:hideMark/>
          </w:tcPr>
          <w:p w14:paraId="3992DB8B"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1FD3970" w14:textId="77777777" w:rsidR="00000000" w:rsidRDefault="00A173A8">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A9164A3" w14:textId="77777777" w:rsidR="00000000" w:rsidRDefault="00A173A8">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36CEB11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26C53D0" w14:textId="77777777" w:rsidR="00000000" w:rsidRDefault="00A173A8">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0D81C9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CDB860" w14:textId="77777777" w:rsidR="00000000" w:rsidRDefault="00A173A8">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58272DD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15825D" w14:textId="77777777" w:rsidR="00000000" w:rsidRDefault="00A173A8">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E37290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2D4269" w14:textId="77777777" w:rsidR="00000000" w:rsidRDefault="00A173A8">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14:paraId="1459ACAF" w14:textId="77777777" w:rsidR="00000000" w:rsidRDefault="00A173A8">
            <w:pPr>
              <w:spacing w:after="100"/>
              <w:jc w:val="center"/>
              <w:rPr>
                <w:rFonts w:eastAsia="Times New Roman"/>
              </w:rPr>
            </w:pPr>
          </w:p>
        </w:tc>
        <w:tc>
          <w:tcPr>
            <w:tcW w:w="0" w:type="auto"/>
            <w:gridSpan w:val="3"/>
            <w:vAlign w:val="center"/>
            <w:hideMark/>
          </w:tcPr>
          <w:p w14:paraId="4F4276B0" w14:textId="77777777" w:rsidR="00000000" w:rsidRDefault="00A173A8">
            <w:pPr>
              <w:spacing w:after="100"/>
              <w:rPr>
                <w:rFonts w:eastAsia="Times New Roman"/>
                <w:sz w:val="20"/>
                <w:szCs w:val="20"/>
              </w:rPr>
            </w:pPr>
          </w:p>
        </w:tc>
        <w:tc>
          <w:tcPr>
            <w:tcW w:w="0" w:type="auto"/>
            <w:gridSpan w:val="3"/>
            <w:vAlign w:val="center"/>
            <w:hideMark/>
          </w:tcPr>
          <w:p w14:paraId="43D011DB" w14:textId="77777777" w:rsidR="00000000" w:rsidRDefault="00A173A8">
            <w:pPr>
              <w:spacing w:after="100"/>
              <w:rPr>
                <w:rFonts w:eastAsia="Times New Roman"/>
                <w:sz w:val="20"/>
                <w:szCs w:val="20"/>
              </w:rPr>
            </w:pPr>
          </w:p>
        </w:tc>
        <w:tc>
          <w:tcPr>
            <w:tcW w:w="0" w:type="auto"/>
            <w:gridSpan w:val="3"/>
            <w:vAlign w:val="center"/>
            <w:hideMark/>
          </w:tcPr>
          <w:p w14:paraId="2049E92F" w14:textId="77777777" w:rsidR="00000000" w:rsidRDefault="00A173A8">
            <w:pPr>
              <w:spacing w:after="100"/>
              <w:rPr>
                <w:rFonts w:eastAsia="Times New Roman"/>
                <w:sz w:val="20"/>
                <w:szCs w:val="20"/>
              </w:rPr>
            </w:pPr>
          </w:p>
        </w:tc>
      </w:tr>
      <w:tr w:rsidR="00000000" w14:paraId="4AF11442" w14:textId="77777777">
        <w:trPr>
          <w:divId w:val="6045746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4496A78" w14:textId="77777777" w:rsidR="00000000" w:rsidRDefault="00A173A8">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2F86530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2B76A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72BE7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022CC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7DB68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D0FF4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DE78F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D3CB9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361F5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5C60DC" w14:textId="77777777" w:rsidR="00000000" w:rsidRDefault="00A173A8">
            <w:pPr>
              <w:spacing w:after="100"/>
              <w:rPr>
                <w:rFonts w:eastAsia="Times New Roman"/>
                <w:sz w:val="20"/>
                <w:szCs w:val="20"/>
              </w:rPr>
            </w:pPr>
          </w:p>
        </w:tc>
        <w:tc>
          <w:tcPr>
            <w:tcW w:w="0" w:type="auto"/>
            <w:gridSpan w:val="3"/>
            <w:vAlign w:val="center"/>
            <w:hideMark/>
          </w:tcPr>
          <w:p w14:paraId="03FCAA1F" w14:textId="77777777" w:rsidR="00000000" w:rsidRDefault="00A173A8">
            <w:pPr>
              <w:spacing w:after="100"/>
              <w:rPr>
                <w:rFonts w:eastAsia="Times New Roman"/>
                <w:sz w:val="20"/>
                <w:szCs w:val="20"/>
              </w:rPr>
            </w:pPr>
          </w:p>
        </w:tc>
        <w:tc>
          <w:tcPr>
            <w:tcW w:w="0" w:type="auto"/>
            <w:gridSpan w:val="3"/>
            <w:vAlign w:val="center"/>
            <w:hideMark/>
          </w:tcPr>
          <w:p w14:paraId="0F1724B5" w14:textId="77777777" w:rsidR="00000000" w:rsidRDefault="00A173A8">
            <w:pPr>
              <w:spacing w:after="100"/>
              <w:rPr>
                <w:rFonts w:eastAsia="Times New Roman"/>
                <w:sz w:val="20"/>
                <w:szCs w:val="20"/>
              </w:rPr>
            </w:pPr>
          </w:p>
        </w:tc>
        <w:tc>
          <w:tcPr>
            <w:tcW w:w="0" w:type="auto"/>
            <w:gridSpan w:val="3"/>
            <w:vAlign w:val="center"/>
            <w:hideMark/>
          </w:tcPr>
          <w:p w14:paraId="05E7E523" w14:textId="77777777" w:rsidR="00000000" w:rsidRDefault="00A173A8">
            <w:pPr>
              <w:spacing w:after="100"/>
              <w:rPr>
                <w:rFonts w:eastAsia="Times New Roman"/>
                <w:sz w:val="20"/>
                <w:szCs w:val="20"/>
              </w:rPr>
            </w:pPr>
          </w:p>
        </w:tc>
        <w:tc>
          <w:tcPr>
            <w:tcW w:w="0" w:type="auto"/>
            <w:gridSpan w:val="3"/>
            <w:vAlign w:val="center"/>
            <w:hideMark/>
          </w:tcPr>
          <w:p w14:paraId="2C4E17BA" w14:textId="77777777" w:rsidR="00000000" w:rsidRDefault="00A173A8">
            <w:pPr>
              <w:spacing w:after="100"/>
              <w:rPr>
                <w:rFonts w:eastAsia="Times New Roman"/>
                <w:sz w:val="20"/>
                <w:szCs w:val="20"/>
              </w:rPr>
            </w:pPr>
          </w:p>
        </w:tc>
      </w:tr>
      <w:tr w:rsidR="00000000" w14:paraId="66B2A1CA" w14:textId="77777777">
        <w:trPr>
          <w:divId w:val="604574635"/>
        </w:trPr>
        <w:tc>
          <w:tcPr>
            <w:tcW w:w="0" w:type="auto"/>
            <w:gridSpan w:val="3"/>
            <w:shd w:val="clear" w:color="auto" w:fill="FFFFFF"/>
            <w:tcMar>
              <w:top w:w="30" w:type="dxa"/>
              <w:left w:w="245" w:type="dxa"/>
              <w:bottom w:w="30" w:type="dxa"/>
              <w:right w:w="20" w:type="dxa"/>
            </w:tcMar>
            <w:vAlign w:val="center"/>
            <w:hideMark/>
          </w:tcPr>
          <w:p w14:paraId="1DA31214" w14:textId="77777777" w:rsidR="00000000" w:rsidRDefault="00A173A8">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13F94489"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CC7093E" w14:textId="77777777" w:rsidR="00000000" w:rsidRDefault="00A173A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5ABA88AE" w14:textId="77777777" w:rsidR="00000000" w:rsidRDefault="00A173A8">
            <w:pPr>
              <w:spacing w:after="100"/>
              <w:jc w:val="right"/>
              <w:rPr>
                <w:rFonts w:eastAsia="Times New Roman"/>
              </w:rPr>
            </w:pPr>
            <w:r>
              <w:rPr>
                <w:rFonts w:eastAsia="Times New Roman"/>
                <w:color w:val="000000"/>
                <w:sz w:val="18"/>
                <w:szCs w:val="18"/>
              </w:rPr>
              <w:t>33</w:t>
            </w:r>
          </w:p>
        </w:tc>
        <w:tc>
          <w:tcPr>
            <w:tcW w:w="0" w:type="auto"/>
            <w:gridSpan w:val="3"/>
            <w:shd w:val="clear" w:color="auto" w:fill="FFFFFF"/>
            <w:tcMar>
              <w:top w:w="0" w:type="dxa"/>
              <w:left w:w="20" w:type="dxa"/>
              <w:bottom w:w="0" w:type="dxa"/>
              <w:right w:w="20" w:type="dxa"/>
            </w:tcMar>
            <w:vAlign w:val="center"/>
            <w:hideMark/>
          </w:tcPr>
          <w:p w14:paraId="411A7066"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E56D631" w14:textId="77777777" w:rsidR="00000000" w:rsidRDefault="00A173A8">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5463E72C"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7A866DE"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27F0AFF" w14:textId="77777777" w:rsidR="00000000" w:rsidRDefault="00A173A8">
            <w:pPr>
              <w:spacing w:after="100"/>
              <w:jc w:val="right"/>
              <w:rPr>
                <w:rFonts w:eastAsia="Times New Roman"/>
              </w:rPr>
            </w:pPr>
            <w:r>
              <w:rPr>
                <w:rFonts w:eastAsia="Times New Roman"/>
                <w:color w:val="000000"/>
                <w:sz w:val="18"/>
                <w:szCs w:val="18"/>
              </w:rPr>
              <w:t>16.07 </w:t>
            </w:r>
          </w:p>
        </w:tc>
        <w:tc>
          <w:tcPr>
            <w:tcW w:w="0" w:type="auto"/>
            <w:shd w:val="clear" w:color="auto" w:fill="FFFFFF"/>
            <w:tcMar>
              <w:top w:w="30" w:type="dxa"/>
              <w:left w:w="0" w:type="dxa"/>
              <w:bottom w:w="30" w:type="dxa"/>
              <w:right w:w="20" w:type="dxa"/>
            </w:tcMar>
            <w:vAlign w:val="center"/>
            <w:hideMark/>
          </w:tcPr>
          <w:p w14:paraId="4ED5A2E4"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74D6DEE4"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7231B767"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7855DDE1"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112DFD7F"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vAlign w:val="center"/>
            <w:hideMark/>
          </w:tcPr>
          <w:p w14:paraId="2C62B540" w14:textId="77777777" w:rsidR="00000000" w:rsidRDefault="00A173A8">
            <w:pPr>
              <w:spacing w:after="100"/>
              <w:jc w:val="right"/>
              <w:rPr>
                <w:rFonts w:eastAsia="Times New Roman"/>
              </w:rPr>
            </w:pPr>
          </w:p>
        </w:tc>
        <w:tc>
          <w:tcPr>
            <w:tcW w:w="0" w:type="auto"/>
            <w:gridSpan w:val="3"/>
            <w:vAlign w:val="center"/>
            <w:hideMark/>
          </w:tcPr>
          <w:p w14:paraId="61D00FFF" w14:textId="77777777" w:rsidR="00000000" w:rsidRDefault="00A173A8">
            <w:pPr>
              <w:spacing w:after="100"/>
              <w:rPr>
                <w:rFonts w:eastAsia="Times New Roman"/>
                <w:sz w:val="20"/>
                <w:szCs w:val="20"/>
              </w:rPr>
            </w:pPr>
          </w:p>
        </w:tc>
        <w:tc>
          <w:tcPr>
            <w:tcW w:w="0" w:type="auto"/>
            <w:gridSpan w:val="3"/>
            <w:vAlign w:val="center"/>
            <w:hideMark/>
          </w:tcPr>
          <w:p w14:paraId="060288E0" w14:textId="77777777" w:rsidR="00000000" w:rsidRDefault="00A173A8">
            <w:pPr>
              <w:spacing w:after="100"/>
              <w:rPr>
                <w:rFonts w:eastAsia="Times New Roman"/>
                <w:sz w:val="20"/>
                <w:szCs w:val="20"/>
              </w:rPr>
            </w:pPr>
          </w:p>
        </w:tc>
        <w:tc>
          <w:tcPr>
            <w:tcW w:w="0" w:type="auto"/>
            <w:gridSpan w:val="3"/>
            <w:vAlign w:val="center"/>
            <w:hideMark/>
          </w:tcPr>
          <w:p w14:paraId="2A49A7AF" w14:textId="77777777" w:rsidR="00000000" w:rsidRDefault="00A173A8">
            <w:pPr>
              <w:spacing w:after="100"/>
              <w:rPr>
                <w:rFonts w:eastAsia="Times New Roman"/>
                <w:sz w:val="20"/>
                <w:szCs w:val="20"/>
              </w:rPr>
            </w:pPr>
          </w:p>
        </w:tc>
      </w:tr>
      <w:tr w:rsidR="00000000" w14:paraId="63028154" w14:textId="77777777">
        <w:trPr>
          <w:divId w:val="604574635"/>
        </w:trPr>
        <w:tc>
          <w:tcPr>
            <w:tcW w:w="0" w:type="auto"/>
            <w:gridSpan w:val="3"/>
            <w:shd w:val="clear" w:color="auto" w:fill="CCEEFF"/>
            <w:tcMar>
              <w:top w:w="30" w:type="dxa"/>
              <w:left w:w="245" w:type="dxa"/>
              <w:bottom w:w="30" w:type="dxa"/>
              <w:right w:w="20" w:type="dxa"/>
            </w:tcMar>
            <w:vAlign w:val="center"/>
            <w:hideMark/>
          </w:tcPr>
          <w:p w14:paraId="6DF5AB94" w14:textId="77777777" w:rsidR="00000000" w:rsidRDefault="00A173A8">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04C44DDF"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79EC1649" w14:textId="77777777" w:rsidR="00000000" w:rsidRDefault="00A173A8">
            <w:pPr>
              <w:spacing w:after="100"/>
              <w:jc w:val="right"/>
              <w:rPr>
                <w:rFonts w:eastAsia="Times New Roman"/>
              </w:rPr>
            </w:pPr>
            <w:r>
              <w:rPr>
                <w:rFonts w:eastAsia="Times New Roman"/>
                <w:color w:val="000000"/>
                <w:sz w:val="18"/>
                <w:szCs w:val="18"/>
              </w:rPr>
              <w:t>27</w:t>
            </w:r>
          </w:p>
        </w:tc>
        <w:tc>
          <w:tcPr>
            <w:tcW w:w="0" w:type="auto"/>
            <w:gridSpan w:val="3"/>
            <w:shd w:val="clear" w:color="auto" w:fill="CCEEFF"/>
            <w:tcMar>
              <w:top w:w="0" w:type="dxa"/>
              <w:left w:w="20" w:type="dxa"/>
              <w:bottom w:w="0" w:type="dxa"/>
              <w:right w:w="20" w:type="dxa"/>
            </w:tcMar>
            <w:vAlign w:val="center"/>
            <w:hideMark/>
          </w:tcPr>
          <w:p w14:paraId="711FEA26"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066A8EA" w14:textId="77777777" w:rsidR="00000000" w:rsidRDefault="00A173A8">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2D6B159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9049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A13B64" w14:textId="77777777" w:rsidR="00000000" w:rsidRDefault="00A173A8">
            <w:pPr>
              <w:spacing w:after="100"/>
              <w:jc w:val="right"/>
              <w:rPr>
                <w:rFonts w:eastAsia="Times New Roman"/>
              </w:rPr>
            </w:pPr>
            <w:r>
              <w:rPr>
                <w:rFonts w:eastAsia="Times New Roman"/>
                <w:color w:val="000000"/>
                <w:sz w:val="18"/>
                <w:szCs w:val="18"/>
              </w:rPr>
              <w:t>27.45 </w:t>
            </w:r>
          </w:p>
        </w:tc>
        <w:tc>
          <w:tcPr>
            <w:tcW w:w="0" w:type="auto"/>
            <w:shd w:val="clear" w:color="auto" w:fill="CCEEFF"/>
            <w:tcMar>
              <w:top w:w="30" w:type="dxa"/>
              <w:left w:w="0" w:type="dxa"/>
              <w:bottom w:w="30" w:type="dxa"/>
              <w:right w:w="20" w:type="dxa"/>
            </w:tcMar>
            <w:vAlign w:val="center"/>
            <w:hideMark/>
          </w:tcPr>
          <w:p w14:paraId="047049D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CC9AA9"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5E562706"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2A240505"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42E1639D"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vAlign w:val="center"/>
            <w:hideMark/>
          </w:tcPr>
          <w:p w14:paraId="5BB74CDC" w14:textId="77777777" w:rsidR="00000000" w:rsidRDefault="00A173A8">
            <w:pPr>
              <w:spacing w:after="100"/>
              <w:jc w:val="right"/>
              <w:rPr>
                <w:rFonts w:eastAsia="Times New Roman"/>
              </w:rPr>
            </w:pPr>
          </w:p>
        </w:tc>
        <w:tc>
          <w:tcPr>
            <w:tcW w:w="0" w:type="auto"/>
            <w:gridSpan w:val="3"/>
            <w:vAlign w:val="center"/>
            <w:hideMark/>
          </w:tcPr>
          <w:p w14:paraId="220C710F" w14:textId="77777777" w:rsidR="00000000" w:rsidRDefault="00A173A8">
            <w:pPr>
              <w:spacing w:after="100"/>
              <w:rPr>
                <w:rFonts w:eastAsia="Times New Roman"/>
                <w:sz w:val="20"/>
                <w:szCs w:val="20"/>
              </w:rPr>
            </w:pPr>
          </w:p>
        </w:tc>
        <w:tc>
          <w:tcPr>
            <w:tcW w:w="0" w:type="auto"/>
            <w:gridSpan w:val="3"/>
            <w:vAlign w:val="center"/>
            <w:hideMark/>
          </w:tcPr>
          <w:p w14:paraId="525A1DD2" w14:textId="77777777" w:rsidR="00000000" w:rsidRDefault="00A173A8">
            <w:pPr>
              <w:spacing w:after="100"/>
              <w:rPr>
                <w:rFonts w:eastAsia="Times New Roman"/>
                <w:sz w:val="20"/>
                <w:szCs w:val="20"/>
              </w:rPr>
            </w:pPr>
          </w:p>
        </w:tc>
        <w:tc>
          <w:tcPr>
            <w:tcW w:w="0" w:type="auto"/>
            <w:gridSpan w:val="3"/>
            <w:vAlign w:val="center"/>
            <w:hideMark/>
          </w:tcPr>
          <w:p w14:paraId="6636E52B" w14:textId="77777777" w:rsidR="00000000" w:rsidRDefault="00A173A8">
            <w:pPr>
              <w:spacing w:after="100"/>
              <w:rPr>
                <w:rFonts w:eastAsia="Times New Roman"/>
                <w:sz w:val="20"/>
                <w:szCs w:val="20"/>
              </w:rPr>
            </w:pPr>
          </w:p>
        </w:tc>
      </w:tr>
      <w:tr w:rsidR="00000000" w14:paraId="201F7119" w14:textId="77777777">
        <w:trPr>
          <w:divId w:val="604574635"/>
        </w:trPr>
        <w:tc>
          <w:tcPr>
            <w:tcW w:w="0" w:type="auto"/>
            <w:gridSpan w:val="3"/>
            <w:shd w:val="clear" w:color="auto" w:fill="FFFFFF"/>
            <w:tcMar>
              <w:top w:w="30" w:type="dxa"/>
              <w:left w:w="20" w:type="dxa"/>
              <w:bottom w:w="30" w:type="dxa"/>
              <w:right w:w="20" w:type="dxa"/>
            </w:tcMar>
            <w:vAlign w:val="center"/>
            <w:hideMark/>
          </w:tcPr>
          <w:p w14:paraId="72286421" w14:textId="77777777" w:rsidR="00000000" w:rsidRDefault="00A173A8">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1296466B"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2A18373C" w14:textId="77777777" w:rsidR="00000000" w:rsidRDefault="00A173A8">
            <w:pPr>
              <w:spacing w:after="100"/>
              <w:jc w:val="right"/>
              <w:rPr>
                <w:rFonts w:eastAsia="Times New Roman"/>
              </w:rPr>
            </w:pPr>
            <w:r>
              <w:rPr>
                <w:rFonts w:eastAsia="Times New Roman"/>
                <w:color w:val="000000"/>
                <w:sz w:val="18"/>
                <w:szCs w:val="18"/>
              </w:rPr>
              <w:t>60</w:t>
            </w:r>
          </w:p>
        </w:tc>
        <w:tc>
          <w:tcPr>
            <w:tcW w:w="0" w:type="auto"/>
            <w:gridSpan w:val="3"/>
            <w:shd w:val="clear" w:color="auto" w:fill="FFFFFF"/>
            <w:tcMar>
              <w:top w:w="0" w:type="dxa"/>
              <w:left w:w="20" w:type="dxa"/>
              <w:bottom w:w="0" w:type="dxa"/>
              <w:right w:w="20" w:type="dxa"/>
            </w:tcMar>
            <w:vAlign w:val="center"/>
            <w:hideMark/>
          </w:tcPr>
          <w:p w14:paraId="7E0BD3C2"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6C7A6F3" w14:textId="77777777" w:rsidR="00000000" w:rsidRDefault="00A173A8">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545C7A4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C43B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94DE334" w14:textId="77777777" w:rsidR="00000000" w:rsidRDefault="00A173A8">
            <w:pPr>
              <w:spacing w:after="100"/>
              <w:jc w:val="right"/>
              <w:rPr>
                <w:rFonts w:eastAsia="Times New Roman"/>
              </w:rPr>
            </w:pPr>
            <w:r>
              <w:rPr>
                <w:rFonts w:eastAsia="Times New Roman"/>
                <w:color w:val="000000"/>
                <w:sz w:val="18"/>
                <w:szCs w:val="18"/>
              </w:rPr>
              <w:t>21.22 </w:t>
            </w:r>
          </w:p>
        </w:tc>
        <w:tc>
          <w:tcPr>
            <w:tcW w:w="0" w:type="auto"/>
            <w:shd w:val="clear" w:color="auto" w:fill="FFFFFF"/>
            <w:tcMar>
              <w:top w:w="30" w:type="dxa"/>
              <w:left w:w="0" w:type="dxa"/>
              <w:bottom w:w="30" w:type="dxa"/>
              <w:right w:w="20" w:type="dxa"/>
            </w:tcMar>
            <w:vAlign w:val="center"/>
            <w:hideMark/>
          </w:tcPr>
          <w:p w14:paraId="0C11E5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A903B9"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6000906B"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10B14C44"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7CC775AF"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vAlign w:val="center"/>
            <w:hideMark/>
          </w:tcPr>
          <w:p w14:paraId="0AFAC87E" w14:textId="77777777" w:rsidR="00000000" w:rsidRDefault="00A173A8">
            <w:pPr>
              <w:spacing w:after="100"/>
              <w:jc w:val="right"/>
              <w:rPr>
                <w:rFonts w:eastAsia="Times New Roman"/>
              </w:rPr>
            </w:pPr>
          </w:p>
        </w:tc>
        <w:tc>
          <w:tcPr>
            <w:tcW w:w="0" w:type="auto"/>
            <w:gridSpan w:val="3"/>
            <w:vAlign w:val="center"/>
            <w:hideMark/>
          </w:tcPr>
          <w:p w14:paraId="51EA3E72" w14:textId="77777777" w:rsidR="00000000" w:rsidRDefault="00A173A8">
            <w:pPr>
              <w:spacing w:after="100"/>
              <w:rPr>
                <w:rFonts w:eastAsia="Times New Roman"/>
                <w:sz w:val="20"/>
                <w:szCs w:val="20"/>
              </w:rPr>
            </w:pPr>
          </w:p>
        </w:tc>
        <w:tc>
          <w:tcPr>
            <w:tcW w:w="0" w:type="auto"/>
            <w:gridSpan w:val="3"/>
            <w:vAlign w:val="center"/>
            <w:hideMark/>
          </w:tcPr>
          <w:p w14:paraId="226A8FDB" w14:textId="77777777" w:rsidR="00000000" w:rsidRDefault="00A173A8">
            <w:pPr>
              <w:spacing w:after="100"/>
              <w:rPr>
                <w:rFonts w:eastAsia="Times New Roman"/>
                <w:sz w:val="20"/>
                <w:szCs w:val="20"/>
              </w:rPr>
            </w:pPr>
          </w:p>
        </w:tc>
        <w:tc>
          <w:tcPr>
            <w:tcW w:w="0" w:type="auto"/>
            <w:gridSpan w:val="3"/>
            <w:vAlign w:val="center"/>
            <w:hideMark/>
          </w:tcPr>
          <w:p w14:paraId="6D1D825F" w14:textId="77777777" w:rsidR="00000000" w:rsidRDefault="00A173A8">
            <w:pPr>
              <w:spacing w:after="100"/>
              <w:rPr>
                <w:rFonts w:eastAsia="Times New Roman"/>
                <w:sz w:val="20"/>
                <w:szCs w:val="20"/>
              </w:rPr>
            </w:pPr>
          </w:p>
        </w:tc>
      </w:tr>
      <w:tr w:rsidR="00000000" w14:paraId="6131EAB0" w14:textId="77777777">
        <w:trPr>
          <w:divId w:val="604574635"/>
        </w:trPr>
        <w:tc>
          <w:tcPr>
            <w:tcW w:w="0" w:type="auto"/>
            <w:gridSpan w:val="3"/>
            <w:shd w:val="clear" w:color="auto" w:fill="CCEEFF"/>
            <w:tcMar>
              <w:top w:w="30" w:type="dxa"/>
              <w:left w:w="20" w:type="dxa"/>
              <w:bottom w:w="30" w:type="dxa"/>
              <w:right w:w="20" w:type="dxa"/>
            </w:tcMar>
            <w:vAlign w:val="center"/>
            <w:hideMark/>
          </w:tcPr>
          <w:p w14:paraId="714285D9" w14:textId="77777777" w:rsidR="00000000" w:rsidRDefault="00A173A8">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2015D7C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03061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E822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03A47A3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F1B08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0EF4E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D5258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620E1C3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5C3D5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37AA45FE" w14:textId="77777777" w:rsidR="00000000" w:rsidRDefault="00A173A8">
            <w:pPr>
              <w:spacing w:after="100"/>
              <w:rPr>
                <w:rFonts w:eastAsia="Times New Roman"/>
                <w:sz w:val="20"/>
                <w:szCs w:val="20"/>
              </w:rPr>
            </w:pPr>
          </w:p>
        </w:tc>
        <w:tc>
          <w:tcPr>
            <w:tcW w:w="0" w:type="auto"/>
            <w:gridSpan w:val="3"/>
            <w:vAlign w:val="center"/>
            <w:hideMark/>
          </w:tcPr>
          <w:p w14:paraId="1A4BDFC4" w14:textId="77777777" w:rsidR="00000000" w:rsidRDefault="00A173A8">
            <w:pPr>
              <w:spacing w:after="100"/>
              <w:rPr>
                <w:rFonts w:eastAsia="Times New Roman"/>
                <w:sz w:val="20"/>
                <w:szCs w:val="20"/>
              </w:rPr>
            </w:pPr>
          </w:p>
        </w:tc>
        <w:tc>
          <w:tcPr>
            <w:tcW w:w="0" w:type="auto"/>
            <w:gridSpan w:val="3"/>
            <w:vAlign w:val="center"/>
            <w:hideMark/>
          </w:tcPr>
          <w:p w14:paraId="6BD42869" w14:textId="77777777" w:rsidR="00000000" w:rsidRDefault="00A173A8">
            <w:pPr>
              <w:spacing w:after="100"/>
              <w:rPr>
                <w:rFonts w:eastAsia="Times New Roman"/>
                <w:sz w:val="20"/>
                <w:szCs w:val="20"/>
              </w:rPr>
            </w:pPr>
          </w:p>
        </w:tc>
        <w:tc>
          <w:tcPr>
            <w:tcW w:w="0" w:type="auto"/>
            <w:gridSpan w:val="3"/>
            <w:vAlign w:val="center"/>
            <w:hideMark/>
          </w:tcPr>
          <w:p w14:paraId="451F258D" w14:textId="77777777" w:rsidR="00000000" w:rsidRDefault="00A173A8">
            <w:pPr>
              <w:spacing w:after="100"/>
              <w:rPr>
                <w:rFonts w:eastAsia="Times New Roman"/>
                <w:sz w:val="20"/>
                <w:szCs w:val="20"/>
              </w:rPr>
            </w:pPr>
          </w:p>
        </w:tc>
        <w:tc>
          <w:tcPr>
            <w:tcW w:w="0" w:type="auto"/>
            <w:gridSpan w:val="3"/>
            <w:vAlign w:val="center"/>
            <w:hideMark/>
          </w:tcPr>
          <w:p w14:paraId="56F07128" w14:textId="77777777" w:rsidR="00000000" w:rsidRDefault="00A173A8">
            <w:pPr>
              <w:spacing w:after="100"/>
              <w:rPr>
                <w:rFonts w:eastAsia="Times New Roman"/>
                <w:sz w:val="20"/>
                <w:szCs w:val="20"/>
              </w:rPr>
            </w:pPr>
          </w:p>
        </w:tc>
      </w:tr>
      <w:tr w:rsidR="00000000" w14:paraId="4B2B7A14" w14:textId="77777777">
        <w:trPr>
          <w:divId w:val="604574635"/>
        </w:trPr>
        <w:tc>
          <w:tcPr>
            <w:tcW w:w="0" w:type="auto"/>
            <w:gridSpan w:val="3"/>
            <w:shd w:val="clear" w:color="auto" w:fill="FFFFFF"/>
            <w:tcMar>
              <w:top w:w="30" w:type="dxa"/>
              <w:left w:w="245" w:type="dxa"/>
              <w:bottom w:w="30" w:type="dxa"/>
              <w:right w:w="20" w:type="dxa"/>
            </w:tcMar>
            <w:vAlign w:val="center"/>
            <w:hideMark/>
          </w:tcPr>
          <w:p w14:paraId="53055600" w14:textId="77777777" w:rsidR="00000000" w:rsidRDefault="00A173A8">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0EC125B4"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22D02CDB" w14:textId="77777777" w:rsidR="00000000" w:rsidRDefault="00A173A8">
            <w:pPr>
              <w:spacing w:after="100"/>
              <w:jc w:val="right"/>
              <w:rPr>
                <w:rFonts w:eastAsia="Times New Roman"/>
              </w:rPr>
            </w:pPr>
            <w:r>
              <w:rPr>
                <w:rFonts w:eastAsia="Times New Roman"/>
                <w:color w:val="000000"/>
                <w:sz w:val="18"/>
                <w:szCs w:val="18"/>
              </w:rPr>
              <w:t>65</w:t>
            </w:r>
          </w:p>
        </w:tc>
        <w:tc>
          <w:tcPr>
            <w:tcW w:w="0" w:type="auto"/>
            <w:gridSpan w:val="3"/>
            <w:shd w:val="clear" w:color="auto" w:fill="FFFFFF"/>
            <w:tcMar>
              <w:top w:w="0" w:type="dxa"/>
              <w:left w:w="20" w:type="dxa"/>
              <w:bottom w:w="0" w:type="dxa"/>
              <w:right w:w="20" w:type="dxa"/>
            </w:tcMar>
            <w:vAlign w:val="center"/>
            <w:hideMark/>
          </w:tcPr>
          <w:p w14:paraId="27558575"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6EDA050" w14:textId="77777777" w:rsidR="00000000" w:rsidRDefault="00A173A8">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14:paraId="352BE9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944B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BEE8D1" w14:textId="77777777" w:rsidR="00000000" w:rsidRDefault="00A173A8">
            <w:pPr>
              <w:spacing w:after="100"/>
              <w:jc w:val="right"/>
              <w:rPr>
                <w:rFonts w:eastAsia="Times New Roman"/>
              </w:rPr>
            </w:pPr>
            <w:r>
              <w:rPr>
                <w:rFonts w:eastAsia="Times New Roman"/>
                <w:color w:val="000000"/>
                <w:sz w:val="18"/>
                <w:szCs w:val="18"/>
              </w:rPr>
              <w:t>8.62 </w:t>
            </w:r>
          </w:p>
        </w:tc>
        <w:tc>
          <w:tcPr>
            <w:tcW w:w="0" w:type="auto"/>
            <w:shd w:val="clear" w:color="auto" w:fill="FFFFFF"/>
            <w:tcMar>
              <w:top w:w="30" w:type="dxa"/>
              <w:left w:w="0" w:type="dxa"/>
              <w:bottom w:w="30" w:type="dxa"/>
              <w:right w:w="20" w:type="dxa"/>
            </w:tcMar>
            <w:vAlign w:val="center"/>
            <w:hideMark/>
          </w:tcPr>
          <w:p w14:paraId="3EF671F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EFAF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6F3864" w14:textId="77777777" w:rsidR="00000000" w:rsidRDefault="00A173A8">
            <w:pPr>
              <w:spacing w:after="100"/>
              <w:jc w:val="right"/>
              <w:rPr>
                <w:rFonts w:eastAsia="Times New Roman"/>
              </w:rPr>
            </w:pPr>
            <w:r>
              <w:rPr>
                <w:rFonts w:eastAsia="Times New Roman"/>
                <w:color w:val="000000"/>
                <w:sz w:val="18"/>
                <w:szCs w:val="18"/>
              </w:rPr>
              <w:t>91 </w:t>
            </w:r>
          </w:p>
        </w:tc>
        <w:tc>
          <w:tcPr>
            <w:tcW w:w="0" w:type="auto"/>
            <w:shd w:val="clear" w:color="auto" w:fill="FFFFFF"/>
            <w:tcMar>
              <w:top w:w="30" w:type="dxa"/>
              <w:left w:w="0" w:type="dxa"/>
              <w:bottom w:w="30" w:type="dxa"/>
              <w:right w:w="20" w:type="dxa"/>
            </w:tcMar>
            <w:vAlign w:val="center"/>
            <w:hideMark/>
          </w:tcPr>
          <w:p w14:paraId="66D3198F"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4B887CDB"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4E2ACBB4" w14:textId="77777777" w:rsidR="00000000" w:rsidRDefault="00A173A8">
            <w:pPr>
              <w:spacing w:after="100"/>
              <w:jc w:val="right"/>
              <w:rPr>
                <w:rFonts w:eastAsia="Times New Roman"/>
              </w:rPr>
            </w:pPr>
            <w:r>
              <w:rPr>
                <w:rFonts w:eastAsia="Times New Roman"/>
                <w:color w:val="000000"/>
                <w:sz w:val="18"/>
                <w:szCs w:val="18"/>
              </w:rPr>
              <w:t>4</w:t>
            </w:r>
          </w:p>
        </w:tc>
        <w:tc>
          <w:tcPr>
            <w:tcW w:w="0" w:type="auto"/>
            <w:gridSpan w:val="3"/>
            <w:vAlign w:val="center"/>
            <w:hideMark/>
          </w:tcPr>
          <w:p w14:paraId="5AD592AE" w14:textId="77777777" w:rsidR="00000000" w:rsidRDefault="00A173A8">
            <w:pPr>
              <w:spacing w:after="100"/>
              <w:jc w:val="right"/>
              <w:rPr>
                <w:rFonts w:eastAsia="Times New Roman"/>
              </w:rPr>
            </w:pPr>
          </w:p>
        </w:tc>
        <w:tc>
          <w:tcPr>
            <w:tcW w:w="0" w:type="auto"/>
            <w:gridSpan w:val="3"/>
            <w:vAlign w:val="center"/>
            <w:hideMark/>
          </w:tcPr>
          <w:p w14:paraId="4E68F254" w14:textId="77777777" w:rsidR="00000000" w:rsidRDefault="00A173A8">
            <w:pPr>
              <w:spacing w:after="100"/>
              <w:rPr>
                <w:rFonts w:eastAsia="Times New Roman"/>
                <w:sz w:val="20"/>
                <w:szCs w:val="20"/>
              </w:rPr>
            </w:pPr>
          </w:p>
        </w:tc>
        <w:tc>
          <w:tcPr>
            <w:tcW w:w="0" w:type="auto"/>
            <w:gridSpan w:val="3"/>
            <w:vAlign w:val="center"/>
            <w:hideMark/>
          </w:tcPr>
          <w:p w14:paraId="2B25678B" w14:textId="77777777" w:rsidR="00000000" w:rsidRDefault="00A173A8">
            <w:pPr>
              <w:spacing w:after="100"/>
              <w:rPr>
                <w:rFonts w:eastAsia="Times New Roman"/>
                <w:sz w:val="20"/>
                <w:szCs w:val="20"/>
              </w:rPr>
            </w:pPr>
          </w:p>
        </w:tc>
        <w:tc>
          <w:tcPr>
            <w:tcW w:w="0" w:type="auto"/>
            <w:gridSpan w:val="3"/>
            <w:vAlign w:val="center"/>
            <w:hideMark/>
          </w:tcPr>
          <w:p w14:paraId="55020FF8" w14:textId="77777777" w:rsidR="00000000" w:rsidRDefault="00A173A8">
            <w:pPr>
              <w:spacing w:after="100"/>
              <w:rPr>
                <w:rFonts w:eastAsia="Times New Roman"/>
                <w:sz w:val="20"/>
                <w:szCs w:val="20"/>
              </w:rPr>
            </w:pPr>
          </w:p>
        </w:tc>
      </w:tr>
      <w:tr w:rsidR="00000000" w14:paraId="24420A52" w14:textId="77777777">
        <w:trPr>
          <w:divId w:val="604574635"/>
        </w:trPr>
        <w:tc>
          <w:tcPr>
            <w:tcW w:w="0" w:type="auto"/>
            <w:gridSpan w:val="3"/>
            <w:shd w:val="clear" w:color="auto" w:fill="CCEEFF"/>
            <w:tcMar>
              <w:top w:w="30" w:type="dxa"/>
              <w:left w:w="245" w:type="dxa"/>
              <w:bottom w:w="30" w:type="dxa"/>
              <w:right w:w="20" w:type="dxa"/>
            </w:tcMar>
            <w:vAlign w:val="center"/>
            <w:hideMark/>
          </w:tcPr>
          <w:p w14:paraId="5DF73B10" w14:textId="77777777" w:rsidR="00000000" w:rsidRDefault="00A173A8">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70A1C0EE"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08736ECA" w14:textId="77777777" w:rsidR="00000000" w:rsidRDefault="00A173A8">
            <w:pPr>
              <w:spacing w:after="100"/>
              <w:jc w:val="right"/>
              <w:rPr>
                <w:rFonts w:eastAsia="Times New Roman"/>
              </w:rPr>
            </w:pPr>
            <w:r>
              <w:rPr>
                <w:rFonts w:eastAsia="Times New Roman"/>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4F6DE677"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462F4E14"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1FD32FDB"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03DFAF31"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37509AFB"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A566128" w14:textId="77777777" w:rsidR="00000000" w:rsidRDefault="00A173A8">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4EDA0A6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F0211"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298F136E" w14:textId="77777777" w:rsidR="00000000" w:rsidRDefault="00A173A8">
            <w:pPr>
              <w:spacing w:after="100"/>
              <w:jc w:val="right"/>
              <w:rPr>
                <w:rFonts w:eastAsia="Times New Roman"/>
              </w:rPr>
            </w:pPr>
            <w:r>
              <w:rPr>
                <w:rFonts w:eastAsia="Times New Roman"/>
                <w:color w:val="000000"/>
                <w:sz w:val="18"/>
                <w:szCs w:val="18"/>
              </w:rPr>
              <w:t>41</w:t>
            </w:r>
          </w:p>
        </w:tc>
        <w:tc>
          <w:tcPr>
            <w:tcW w:w="0" w:type="auto"/>
            <w:gridSpan w:val="3"/>
            <w:vAlign w:val="center"/>
            <w:hideMark/>
          </w:tcPr>
          <w:p w14:paraId="70E920D9" w14:textId="77777777" w:rsidR="00000000" w:rsidRDefault="00A173A8">
            <w:pPr>
              <w:spacing w:after="100"/>
              <w:jc w:val="right"/>
              <w:rPr>
                <w:rFonts w:eastAsia="Times New Roman"/>
              </w:rPr>
            </w:pPr>
          </w:p>
        </w:tc>
        <w:tc>
          <w:tcPr>
            <w:tcW w:w="0" w:type="auto"/>
            <w:gridSpan w:val="3"/>
            <w:vAlign w:val="center"/>
            <w:hideMark/>
          </w:tcPr>
          <w:p w14:paraId="3A9E2662" w14:textId="77777777" w:rsidR="00000000" w:rsidRDefault="00A173A8">
            <w:pPr>
              <w:spacing w:after="100"/>
              <w:rPr>
                <w:rFonts w:eastAsia="Times New Roman"/>
                <w:sz w:val="20"/>
                <w:szCs w:val="20"/>
              </w:rPr>
            </w:pPr>
          </w:p>
        </w:tc>
        <w:tc>
          <w:tcPr>
            <w:tcW w:w="0" w:type="auto"/>
            <w:gridSpan w:val="3"/>
            <w:vAlign w:val="center"/>
            <w:hideMark/>
          </w:tcPr>
          <w:p w14:paraId="603359B0" w14:textId="77777777" w:rsidR="00000000" w:rsidRDefault="00A173A8">
            <w:pPr>
              <w:spacing w:after="100"/>
              <w:rPr>
                <w:rFonts w:eastAsia="Times New Roman"/>
                <w:sz w:val="20"/>
                <w:szCs w:val="20"/>
              </w:rPr>
            </w:pPr>
          </w:p>
        </w:tc>
        <w:tc>
          <w:tcPr>
            <w:tcW w:w="0" w:type="auto"/>
            <w:gridSpan w:val="3"/>
            <w:vAlign w:val="center"/>
            <w:hideMark/>
          </w:tcPr>
          <w:p w14:paraId="2D0497D8" w14:textId="77777777" w:rsidR="00000000" w:rsidRDefault="00A173A8">
            <w:pPr>
              <w:spacing w:after="100"/>
              <w:rPr>
                <w:rFonts w:eastAsia="Times New Roman"/>
                <w:sz w:val="20"/>
                <w:szCs w:val="20"/>
              </w:rPr>
            </w:pPr>
          </w:p>
        </w:tc>
      </w:tr>
      <w:tr w:rsidR="00000000" w14:paraId="5AD6E99B" w14:textId="77777777">
        <w:trPr>
          <w:divId w:val="604574635"/>
        </w:trPr>
        <w:tc>
          <w:tcPr>
            <w:tcW w:w="0" w:type="auto"/>
            <w:gridSpan w:val="3"/>
            <w:shd w:val="clear" w:color="auto" w:fill="FFFFFF"/>
            <w:tcMar>
              <w:top w:w="30" w:type="dxa"/>
              <w:left w:w="20" w:type="dxa"/>
              <w:bottom w:w="30" w:type="dxa"/>
              <w:right w:w="20" w:type="dxa"/>
            </w:tcMar>
            <w:vAlign w:val="center"/>
            <w:hideMark/>
          </w:tcPr>
          <w:p w14:paraId="14929EE5" w14:textId="77777777" w:rsidR="00000000" w:rsidRDefault="00A173A8">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57E66605"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3CE4BBD0" w14:textId="77777777" w:rsidR="00000000" w:rsidRDefault="00A173A8">
            <w:pPr>
              <w:spacing w:after="100"/>
              <w:jc w:val="right"/>
              <w:rPr>
                <w:rFonts w:eastAsia="Times New Roman"/>
              </w:rPr>
            </w:pPr>
            <w:r>
              <w:rPr>
                <w:rFonts w:eastAsia="Times New Roman"/>
                <w:color w:val="000000"/>
                <w:sz w:val="18"/>
                <w:szCs w:val="18"/>
              </w:rPr>
              <w:t>66</w:t>
            </w:r>
          </w:p>
        </w:tc>
        <w:tc>
          <w:tcPr>
            <w:tcW w:w="0" w:type="auto"/>
            <w:gridSpan w:val="3"/>
            <w:shd w:val="clear" w:color="auto" w:fill="FFFFFF"/>
            <w:tcMar>
              <w:top w:w="0" w:type="dxa"/>
              <w:left w:w="20" w:type="dxa"/>
              <w:bottom w:w="0" w:type="dxa"/>
              <w:right w:w="20" w:type="dxa"/>
            </w:tcMar>
            <w:vAlign w:val="center"/>
            <w:hideMark/>
          </w:tcPr>
          <w:p w14:paraId="2E05E6EA"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3787C5F" w14:textId="77777777" w:rsidR="00000000" w:rsidRDefault="00A173A8">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14:paraId="3048086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78151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CED95E" w14:textId="77777777" w:rsidR="00000000" w:rsidRDefault="00A173A8">
            <w:pPr>
              <w:spacing w:after="100"/>
              <w:jc w:val="right"/>
              <w:rPr>
                <w:rFonts w:eastAsia="Times New Roman"/>
              </w:rPr>
            </w:pPr>
            <w:r>
              <w:rPr>
                <w:rFonts w:eastAsia="Times New Roman"/>
                <w:color w:val="000000"/>
                <w:sz w:val="18"/>
                <w:szCs w:val="18"/>
              </w:rPr>
              <w:t>8.62 </w:t>
            </w:r>
          </w:p>
        </w:tc>
        <w:tc>
          <w:tcPr>
            <w:tcW w:w="0" w:type="auto"/>
            <w:shd w:val="clear" w:color="auto" w:fill="FFFFFF"/>
            <w:tcMar>
              <w:top w:w="30" w:type="dxa"/>
              <w:left w:w="0" w:type="dxa"/>
              <w:bottom w:w="30" w:type="dxa"/>
              <w:right w:w="20" w:type="dxa"/>
            </w:tcMar>
            <w:vAlign w:val="center"/>
            <w:hideMark/>
          </w:tcPr>
          <w:p w14:paraId="3575D1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77A8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536CB2" w14:textId="77777777" w:rsidR="00000000" w:rsidRDefault="00A173A8">
            <w:pPr>
              <w:spacing w:after="100"/>
              <w:jc w:val="right"/>
              <w:rPr>
                <w:rFonts w:eastAsia="Times New Roman"/>
              </w:rPr>
            </w:pPr>
            <w:r>
              <w:rPr>
                <w:rFonts w:eastAsia="Times New Roman"/>
                <w:color w:val="000000"/>
                <w:sz w:val="18"/>
                <w:szCs w:val="18"/>
              </w:rPr>
              <w:t>91 </w:t>
            </w:r>
          </w:p>
        </w:tc>
        <w:tc>
          <w:tcPr>
            <w:tcW w:w="0" w:type="auto"/>
            <w:shd w:val="clear" w:color="auto" w:fill="FFFFFF"/>
            <w:tcMar>
              <w:top w:w="30" w:type="dxa"/>
              <w:left w:w="0" w:type="dxa"/>
              <w:bottom w:w="30" w:type="dxa"/>
              <w:right w:w="20" w:type="dxa"/>
            </w:tcMar>
            <w:vAlign w:val="center"/>
            <w:hideMark/>
          </w:tcPr>
          <w:p w14:paraId="357DCD9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450D65"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121FB8FB" w14:textId="77777777" w:rsidR="00000000" w:rsidRDefault="00A173A8">
            <w:pPr>
              <w:spacing w:after="100"/>
              <w:jc w:val="right"/>
              <w:rPr>
                <w:rFonts w:eastAsia="Times New Roman"/>
              </w:rPr>
            </w:pPr>
            <w:r>
              <w:rPr>
                <w:rFonts w:eastAsia="Times New Roman"/>
                <w:color w:val="000000"/>
                <w:sz w:val="18"/>
                <w:szCs w:val="18"/>
              </w:rPr>
              <w:t>4</w:t>
            </w:r>
          </w:p>
        </w:tc>
        <w:tc>
          <w:tcPr>
            <w:tcW w:w="0" w:type="auto"/>
            <w:gridSpan w:val="3"/>
            <w:vAlign w:val="center"/>
            <w:hideMark/>
          </w:tcPr>
          <w:p w14:paraId="66082E21" w14:textId="77777777" w:rsidR="00000000" w:rsidRDefault="00A173A8">
            <w:pPr>
              <w:spacing w:after="100"/>
              <w:jc w:val="right"/>
              <w:rPr>
                <w:rFonts w:eastAsia="Times New Roman"/>
              </w:rPr>
            </w:pPr>
          </w:p>
        </w:tc>
        <w:tc>
          <w:tcPr>
            <w:tcW w:w="0" w:type="auto"/>
            <w:gridSpan w:val="3"/>
            <w:vAlign w:val="center"/>
            <w:hideMark/>
          </w:tcPr>
          <w:p w14:paraId="62DE83A0" w14:textId="77777777" w:rsidR="00000000" w:rsidRDefault="00A173A8">
            <w:pPr>
              <w:spacing w:after="100"/>
              <w:rPr>
                <w:rFonts w:eastAsia="Times New Roman"/>
                <w:sz w:val="20"/>
                <w:szCs w:val="20"/>
              </w:rPr>
            </w:pPr>
          </w:p>
        </w:tc>
        <w:tc>
          <w:tcPr>
            <w:tcW w:w="0" w:type="auto"/>
            <w:gridSpan w:val="3"/>
            <w:vAlign w:val="center"/>
            <w:hideMark/>
          </w:tcPr>
          <w:p w14:paraId="0D6C7096" w14:textId="77777777" w:rsidR="00000000" w:rsidRDefault="00A173A8">
            <w:pPr>
              <w:spacing w:after="100"/>
              <w:rPr>
                <w:rFonts w:eastAsia="Times New Roman"/>
                <w:sz w:val="20"/>
                <w:szCs w:val="20"/>
              </w:rPr>
            </w:pPr>
          </w:p>
        </w:tc>
        <w:tc>
          <w:tcPr>
            <w:tcW w:w="0" w:type="auto"/>
            <w:gridSpan w:val="3"/>
            <w:vAlign w:val="center"/>
            <w:hideMark/>
          </w:tcPr>
          <w:p w14:paraId="1427EDB5" w14:textId="77777777" w:rsidR="00000000" w:rsidRDefault="00A173A8">
            <w:pPr>
              <w:spacing w:after="100"/>
              <w:rPr>
                <w:rFonts w:eastAsia="Times New Roman"/>
                <w:sz w:val="20"/>
                <w:szCs w:val="20"/>
              </w:rPr>
            </w:pPr>
          </w:p>
        </w:tc>
      </w:tr>
      <w:tr w:rsidR="00000000" w14:paraId="0AB13E19" w14:textId="77777777">
        <w:trPr>
          <w:divId w:val="604574635"/>
        </w:trPr>
        <w:tc>
          <w:tcPr>
            <w:tcW w:w="0" w:type="auto"/>
            <w:gridSpan w:val="3"/>
            <w:shd w:val="clear" w:color="auto" w:fill="CCEEFF"/>
            <w:tcMar>
              <w:top w:w="30" w:type="dxa"/>
              <w:left w:w="20" w:type="dxa"/>
              <w:bottom w:w="30" w:type="dxa"/>
              <w:right w:w="20" w:type="dxa"/>
            </w:tcMar>
            <w:vAlign w:val="center"/>
            <w:hideMark/>
          </w:tcPr>
          <w:p w14:paraId="01CCC9A3" w14:textId="77777777" w:rsidR="00000000" w:rsidRDefault="00A173A8">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28601C07"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1FF9A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B98CF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614E3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1C10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62574D4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3BD8C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F7670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37C47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407801AF" w14:textId="77777777" w:rsidR="00000000" w:rsidRDefault="00A173A8">
            <w:pPr>
              <w:spacing w:after="100"/>
              <w:rPr>
                <w:rFonts w:eastAsia="Times New Roman"/>
                <w:sz w:val="20"/>
                <w:szCs w:val="20"/>
              </w:rPr>
            </w:pPr>
          </w:p>
        </w:tc>
        <w:tc>
          <w:tcPr>
            <w:tcW w:w="0" w:type="auto"/>
            <w:gridSpan w:val="3"/>
            <w:vAlign w:val="center"/>
            <w:hideMark/>
          </w:tcPr>
          <w:p w14:paraId="56E58039" w14:textId="77777777" w:rsidR="00000000" w:rsidRDefault="00A173A8">
            <w:pPr>
              <w:spacing w:after="100"/>
              <w:rPr>
                <w:rFonts w:eastAsia="Times New Roman"/>
                <w:sz w:val="20"/>
                <w:szCs w:val="20"/>
              </w:rPr>
            </w:pPr>
          </w:p>
        </w:tc>
        <w:tc>
          <w:tcPr>
            <w:tcW w:w="0" w:type="auto"/>
            <w:gridSpan w:val="3"/>
            <w:vAlign w:val="center"/>
            <w:hideMark/>
          </w:tcPr>
          <w:p w14:paraId="3D74E8E4" w14:textId="77777777" w:rsidR="00000000" w:rsidRDefault="00A173A8">
            <w:pPr>
              <w:spacing w:after="100"/>
              <w:rPr>
                <w:rFonts w:eastAsia="Times New Roman"/>
                <w:sz w:val="20"/>
                <w:szCs w:val="20"/>
              </w:rPr>
            </w:pPr>
          </w:p>
        </w:tc>
        <w:tc>
          <w:tcPr>
            <w:tcW w:w="0" w:type="auto"/>
            <w:gridSpan w:val="3"/>
            <w:vAlign w:val="center"/>
            <w:hideMark/>
          </w:tcPr>
          <w:p w14:paraId="49175908" w14:textId="77777777" w:rsidR="00000000" w:rsidRDefault="00A173A8">
            <w:pPr>
              <w:spacing w:after="100"/>
              <w:rPr>
                <w:rFonts w:eastAsia="Times New Roman"/>
                <w:sz w:val="20"/>
                <w:szCs w:val="20"/>
              </w:rPr>
            </w:pPr>
          </w:p>
        </w:tc>
        <w:tc>
          <w:tcPr>
            <w:tcW w:w="0" w:type="auto"/>
            <w:gridSpan w:val="3"/>
            <w:vAlign w:val="center"/>
            <w:hideMark/>
          </w:tcPr>
          <w:p w14:paraId="1FBF5875" w14:textId="77777777" w:rsidR="00000000" w:rsidRDefault="00A173A8">
            <w:pPr>
              <w:spacing w:after="100"/>
              <w:rPr>
                <w:rFonts w:eastAsia="Times New Roman"/>
                <w:sz w:val="20"/>
                <w:szCs w:val="20"/>
              </w:rPr>
            </w:pPr>
          </w:p>
        </w:tc>
      </w:tr>
      <w:tr w:rsidR="00000000" w14:paraId="77614612" w14:textId="77777777">
        <w:trPr>
          <w:divId w:val="604574635"/>
        </w:trPr>
        <w:tc>
          <w:tcPr>
            <w:tcW w:w="0" w:type="auto"/>
            <w:gridSpan w:val="3"/>
            <w:vAlign w:val="center"/>
            <w:hideMark/>
          </w:tcPr>
          <w:p w14:paraId="4CA80465" w14:textId="77777777" w:rsidR="00000000" w:rsidRDefault="00A173A8">
            <w:pPr>
              <w:spacing w:after="100"/>
              <w:rPr>
                <w:rFonts w:eastAsia="Times New Roman"/>
                <w:sz w:val="20"/>
                <w:szCs w:val="20"/>
              </w:rPr>
            </w:pPr>
          </w:p>
        </w:tc>
        <w:tc>
          <w:tcPr>
            <w:tcW w:w="0" w:type="auto"/>
            <w:gridSpan w:val="3"/>
            <w:vAlign w:val="center"/>
            <w:hideMark/>
          </w:tcPr>
          <w:p w14:paraId="64BD8330" w14:textId="77777777" w:rsidR="00000000" w:rsidRDefault="00A173A8">
            <w:pPr>
              <w:spacing w:after="100"/>
              <w:rPr>
                <w:rFonts w:eastAsia="Times New Roman"/>
                <w:sz w:val="20"/>
                <w:szCs w:val="20"/>
              </w:rPr>
            </w:pPr>
          </w:p>
        </w:tc>
        <w:tc>
          <w:tcPr>
            <w:tcW w:w="0" w:type="auto"/>
            <w:gridSpan w:val="3"/>
            <w:vAlign w:val="center"/>
            <w:hideMark/>
          </w:tcPr>
          <w:p w14:paraId="555EA2E0" w14:textId="77777777" w:rsidR="00000000" w:rsidRDefault="00A173A8">
            <w:pPr>
              <w:spacing w:after="100"/>
              <w:rPr>
                <w:rFonts w:eastAsia="Times New Roman"/>
                <w:sz w:val="20"/>
                <w:szCs w:val="20"/>
              </w:rPr>
            </w:pPr>
          </w:p>
        </w:tc>
        <w:tc>
          <w:tcPr>
            <w:tcW w:w="0" w:type="auto"/>
            <w:gridSpan w:val="3"/>
            <w:vAlign w:val="center"/>
            <w:hideMark/>
          </w:tcPr>
          <w:p w14:paraId="2A9B4E6F" w14:textId="77777777" w:rsidR="00000000" w:rsidRDefault="00A173A8">
            <w:pPr>
              <w:spacing w:after="100"/>
              <w:rPr>
                <w:rFonts w:eastAsia="Times New Roman"/>
                <w:sz w:val="20"/>
                <w:szCs w:val="20"/>
              </w:rPr>
            </w:pPr>
          </w:p>
        </w:tc>
        <w:tc>
          <w:tcPr>
            <w:tcW w:w="0" w:type="auto"/>
            <w:gridSpan w:val="3"/>
            <w:vAlign w:val="center"/>
            <w:hideMark/>
          </w:tcPr>
          <w:p w14:paraId="231CB0BF" w14:textId="77777777" w:rsidR="00000000" w:rsidRDefault="00A173A8">
            <w:pPr>
              <w:spacing w:after="100"/>
              <w:rPr>
                <w:rFonts w:eastAsia="Times New Roman"/>
                <w:sz w:val="20"/>
                <w:szCs w:val="20"/>
              </w:rPr>
            </w:pPr>
          </w:p>
        </w:tc>
        <w:tc>
          <w:tcPr>
            <w:tcW w:w="0" w:type="auto"/>
            <w:gridSpan w:val="3"/>
            <w:vAlign w:val="center"/>
            <w:hideMark/>
          </w:tcPr>
          <w:p w14:paraId="1EB5609D" w14:textId="77777777" w:rsidR="00000000" w:rsidRDefault="00A173A8">
            <w:pPr>
              <w:spacing w:after="100"/>
              <w:rPr>
                <w:rFonts w:eastAsia="Times New Roman"/>
                <w:sz w:val="20"/>
                <w:szCs w:val="20"/>
              </w:rPr>
            </w:pPr>
          </w:p>
        </w:tc>
        <w:tc>
          <w:tcPr>
            <w:tcW w:w="0" w:type="auto"/>
            <w:gridSpan w:val="3"/>
            <w:vAlign w:val="center"/>
            <w:hideMark/>
          </w:tcPr>
          <w:p w14:paraId="2F48169E" w14:textId="77777777" w:rsidR="00000000" w:rsidRDefault="00A173A8">
            <w:pPr>
              <w:spacing w:after="100"/>
              <w:rPr>
                <w:rFonts w:eastAsia="Times New Roman"/>
                <w:sz w:val="20"/>
                <w:szCs w:val="20"/>
              </w:rPr>
            </w:pPr>
          </w:p>
        </w:tc>
        <w:tc>
          <w:tcPr>
            <w:tcW w:w="0" w:type="auto"/>
            <w:gridSpan w:val="3"/>
            <w:vAlign w:val="center"/>
            <w:hideMark/>
          </w:tcPr>
          <w:p w14:paraId="7B986BFC" w14:textId="77777777" w:rsidR="00000000" w:rsidRDefault="00A173A8">
            <w:pPr>
              <w:spacing w:after="100"/>
              <w:rPr>
                <w:rFonts w:eastAsia="Times New Roman"/>
                <w:sz w:val="20"/>
                <w:szCs w:val="20"/>
              </w:rPr>
            </w:pPr>
          </w:p>
        </w:tc>
        <w:tc>
          <w:tcPr>
            <w:tcW w:w="0" w:type="auto"/>
            <w:gridSpan w:val="3"/>
            <w:vAlign w:val="center"/>
            <w:hideMark/>
          </w:tcPr>
          <w:p w14:paraId="2173926B" w14:textId="77777777" w:rsidR="00000000" w:rsidRDefault="00A173A8">
            <w:pPr>
              <w:spacing w:after="100"/>
              <w:rPr>
                <w:rFonts w:eastAsia="Times New Roman"/>
                <w:sz w:val="20"/>
                <w:szCs w:val="20"/>
              </w:rPr>
            </w:pPr>
          </w:p>
        </w:tc>
        <w:tc>
          <w:tcPr>
            <w:tcW w:w="0" w:type="auto"/>
            <w:gridSpan w:val="3"/>
            <w:vAlign w:val="center"/>
            <w:hideMark/>
          </w:tcPr>
          <w:p w14:paraId="69C4CDB0" w14:textId="77777777" w:rsidR="00000000" w:rsidRDefault="00A173A8">
            <w:pPr>
              <w:spacing w:after="100"/>
              <w:rPr>
                <w:rFonts w:eastAsia="Times New Roman"/>
                <w:sz w:val="20"/>
                <w:szCs w:val="20"/>
              </w:rPr>
            </w:pPr>
          </w:p>
        </w:tc>
        <w:tc>
          <w:tcPr>
            <w:tcW w:w="0" w:type="auto"/>
            <w:gridSpan w:val="3"/>
            <w:vAlign w:val="center"/>
            <w:hideMark/>
          </w:tcPr>
          <w:p w14:paraId="3E13C955" w14:textId="77777777" w:rsidR="00000000" w:rsidRDefault="00A173A8">
            <w:pPr>
              <w:spacing w:after="100"/>
              <w:rPr>
                <w:rFonts w:eastAsia="Times New Roman"/>
                <w:sz w:val="20"/>
                <w:szCs w:val="20"/>
              </w:rPr>
            </w:pPr>
          </w:p>
        </w:tc>
        <w:tc>
          <w:tcPr>
            <w:tcW w:w="0" w:type="auto"/>
            <w:gridSpan w:val="3"/>
            <w:vAlign w:val="center"/>
            <w:hideMark/>
          </w:tcPr>
          <w:p w14:paraId="181F870A" w14:textId="77777777" w:rsidR="00000000" w:rsidRDefault="00A173A8">
            <w:pPr>
              <w:spacing w:after="100"/>
              <w:rPr>
                <w:rFonts w:eastAsia="Times New Roman"/>
                <w:sz w:val="20"/>
                <w:szCs w:val="20"/>
              </w:rPr>
            </w:pPr>
          </w:p>
        </w:tc>
        <w:tc>
          <w:tcPr>
            <w:tcW w:w="0" w:type="auto"/>
            <w:gridSpan w:val="3"/>
            <w:vAlign w:val="center"/>
            <w:hideMark/>
          </w:tcPr>
          <w:p w14:paraId="0C8C5737" w14:textId="77777777" w:rsidR="00000000" w:rsidRDefault="00A173A8">
            <w:pPr>
              <w:spacing w:after="100"/>
              <w:rPr>
                <w:rFonts w:eastAsia="Times New Roman"/>
                <w:sz w:val="20"/>
                <w:szCs w:val="20"/>
              </w:rPr>
            </w:pPr>
          </w:p>
        </w:tc>
        <w:tc>
          <w:tcPr>
            <w:tcW w:w="0" w:type="auto"/>
            <w:gridSpan w:val="3"/>
            <w:vAlign w:val="center"/>
            <w:hideMark/>
          </w:tcPr>
          <w:p w14:paraId="7EFA7E84" w14:textId="77777777" w:rsidR="00000000" w:rsidRDefault="00A173A8">
            <w:pPr>
              <w:spacing w:after="100"/>
              <w:rPr>
                <w:rFonts w:eastAsia="Times New Roman"/>
                <w:sz w:val="20"/>
                <w:szCs w:val="20"/>
              </w:rPr>
            </w:pPr>
          </w:p>
        </w:tc>
        <w:tc>
          <w:tcPr>
            <w:tcW w:w="0" w:type="auto"/>
            <w:gridSpan w:val="3"/>
            <w:vAlign w:val="center"/>
            <w:hideMark/>
          </w:tcPr>
          <w:p w14:paraId="6AD48E3A" w14:textId="77777777" w:rsidR="00000000" w:rsidRDefault="00A173A8">
            <w:pPr>
              <w:spacing w:after="100"/>
              <w:rPr>
                <w:rFonts w:eastAsia="Times New Roman"/>
                <w:sz w:val="20"/>
                <w:szCs w:val="20"/>
              </w:rPr>
            </w:pPr>
          </w:p>
        </w:tc>
      </w:tr>
      <w:tr w:rsidR="00000000" w14:paraId="3AF3971C" w14:textId="77777777">
        <w:trPr>
          <w:divId w:val="604574635"/>
        </w:trPr>
        <w:tc>
          <w:tcPr>
            <w:tcW w:w="0" w:type="auto"/>
            <w:gridSpan w:val="3"/>
            <w:shd w:val="clear" w:color="auto" w:fill="FFFFFF"/>
            <w:tcMar>
              <w:top w:w="30" w:type="dxa"/>
              <w:left w:w="245" w:type="dxa"/>
              <w:bottom w:w="30" w:type="dxa"/>
              <w:right w:w="20" w:type="dxa"/>
            </w:tcMar>
            <w:vAlign w:val="center"/>
            <w:hideMark/>
          </w:tcPr>
          <w:p w14:paraId="69CA1C3E" w14:textId="77777777" w:rsidR="00000000" w:rsidRDefault="00A173A8">
            <w:pPr>
              <w:spacing w:after="100"/>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14:paraId="09AA7289"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6AF8967B" w14:textId="77777777" w:rsidR="00000000" w:rsidRDefault="00A173A8">
            <w:pPr>
              <w:spacing w:after="100"/>
              <w:jc w:val="right"/>
              <w:rPr>
                <w:rFonts w:eastAsia="Times New Roman"/>
              </w:rPr>
            </w:pPr>
            <w:r>
              <w:rPr>
                <w:rFonts w:eastAsia="Times New Roman"/>
                <w:color w:val="000000"/>
                <w:sz w:val="18"/>
                <w:szCs w:val="18"/>
              </w:rPr>
              <w:t>34</w:t>
            </w:r>
          </w:p>
        </w:tc>
        <w:tc>
          <w:tcPr>
            <w:tcW w:w="0" w:type="auto"/>
            <w:gridSpan w:val="3"/>
            <w:shd w:val="clear" w:color="auto" w:fill="FFFFFF"/>
            <w:tcMar>
              <w:top w:w="0" w:type="dxa"/>
              <w:left w:w="20" w:type="dxa"/>
              <w:bottom w:w="0" w:type="dxa"/>
              <w:right w:w="20" w:type="dxa"/>
            </w:tcMar>
            <w:vAlign w:val="center"/>
            <w:hideMark/>
          </w:tcPr>
          <w:p w14:paraId="5DB1ED09"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0DDF51F5"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4B57D5C2"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03B03E55"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1B5407F7"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1C25458" w14:textId="77777777" w:rsidR="00000000" w:rsidRDefault="00A173A8">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14:paraId="172A5DA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6C308"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4E84D6B5" w14:textId="77777777" w:rsidR="00000000" w:rsidRDefault="00A173A8">
            <w:pPr>
              <w:spacing w:after="100"/>
              <w:jc w:val="right"/>
              <w:rPr>
                <w:rFonts w:eastAsia="Times New Roman"/>
              </w:rPr>
            </w:pPr>
            <w:r>
              <w:rPr>
                <w:rFonts w:eastAsia="Times New Roman"/>
                <w:color w:val="000000"/>
                <w:sz w:val="18"/>
                <w:szCs w:val="18"/>
              </w:rPr>
              <w:t>17</w:t>
            </w:r>
          </w:p>
        </w:tc>
        <w:tc>
          <w:tcPr>
            <w:tcW w:w="0" w:type="auto"/>
            <w:gridSpan w:val="3"/>
            <w:vAlign w:val="center"/>
            <w:hideMark/>
          </w:tcPr>
          <w:p w14:paraId="592DBE8F" w14:textId="77777777" w:rsidR="00000000" w:rsidRDefault="00A173A8">
            <w:pPr>
              <w:spacing w:after="100"/>
              <w:jc w:val="right"/>
              <w:rPr>
                <w:rFonts w:eastAsia="Times New Roman"/>
              </w:rPr>
            </w:pPr>
          </w:p>
        </w:tc>
        <w:tc>
          <w:tcPr>
            <w:tcW w:w="0" w:type="auto"/>
            <w:gridSpan w:val="3"/>
            <w:vAlign w:val="center"/>
            <w:hideMark/>
          </w:tcPr>
          <w:p w14:paraId="4AF467DD" w14:textId="77777777" w:rsidR="00000000" w:rsidRDefault="00A173A8">
            <w:pPr>
              <w:spacing w:after="100"/>
              <w:rPr>
                <w:rFonts w:eastAsia="Times New Roman"/>
                <w:sz w:val="20"/>
                <w:szCs w:val="20"/>
              </w:rPr>
            </w:pPr>
          </w:p>
        </w:tc>
        <w:tc>
          <w:tcPr>
            <w:tcW w:w="0" w:type="auto"/>
            <w:gridSpan w:val="3"/>
            <w:vAlign w:val="center"/>
            <w:hideMark/>
          </w:tcPr>
          <w:p w14:paraId="1D41630D" w14:textId="77777777" w:rsidR="00000000" w:rsidRDefault="00A173A8">
            <w:pPr>
              <w:spacing w:after="100"/>
              <w:rPr>
                <w:rFonts w:eastAsia="Times New Roman"/>
                <w:sz w:val="20"/>
                <w:szCs w:val="20"/>
              </w:rPr>
            </w:pPr>
          </w:p>
        </w:tc>
        <w:tc>
          <w:tcPr>
            <w:tcW w:w="0" w:type="auto"/>
            <w:gridSpan w:val="3"/>
            <w:vAlign w:val="center"/>
            <w:hideMark/>
          </w:tcPr>
          <w:p w14:paraId="7081B46C" w14:textId="77777777" w:rsidR="00000000" w:rsidRDefault="00A173A8">
            <w:pPr>
              <w:spacing w:after="100"/>
              <w:rPr>
                <w:rFonts w:eastAsia="Times New Roman"/>
                <w:sz w:val="20"/>
                <w:szCs w:val="20"/>
              </w:rPr>
            </w:pPr>
          </w:p>
        </w:tc>
      </w:tr>
      <w:tr w:rsidR="00000000" w14:paraId="4DD3A492" w14:textId="77777777">
        <w:trPr>
          <w:divId w:val="604574635"/>
        </w:trPr>
        <w:tc>
          <w:tcPr>
            <w:tcW w:w="0" w:type="auto"/>
            <w:gridSpan w:val="3"/>
            <w:shd w:val="clear" w:color="auto" w:fill="CCEEFF"/>
            <w:tcMar>
              <w:top w:w="30" w:type="dxa"/>
              <w:left w:w="20" w:type="dxa"/>
              <w:bottom w:w="30" w:type="dxa"/>
              <w:right w:w="20" w:type="dxa"/>
            </w:tcMar>
            <w:vAlign w:val="center"/>
            <w:hideMark/>
          </w:tcPr>
          <w:p w14:paraId="2DF8DB06" w14:textId="77777777" w:rsidR="00000000" w:rsidRDefault="00A173A8">
            <w:pPr>
              <w:spacing w:after="100"/>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14:paraId="3EF74474"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14:paraId="2F09F6B9" w14:textId="77777777" w:rsidR="00000000" w:rsidRDefault="00A173A8">
            <w:pPr>
              <w:spacing w:after="100"/>
              <w:jc w:val="right"/>
              <w:rPr>
                <w:rFonts w:eastAsia="Times New Roman"/>
              </w:rPr>
            </w:pPr>
            <w:r>
              <w:rPr>
                <w:rFonts w:eastAsia="Times New Roman"/>
                <w:color w:val="000000"/>
                <w:sz w:val="18"/>
                <w:szCs w:val="18"/>
              </w:rPr>
              <w:t>34</w:t>
            </w:r>
          </w:p>
        </w:tc>
        <w:tc>
          <w:tcPr>
            <w:tcW w:w="0" w:type="auto"/>
            <w:gridSpan w:val="3"/>
            <w:shd w:val="clear" w:color="auto" w:fill="CCEEFF"/>
            <w:tcMar>
              <w:top w:w="0" w:type="dxa"/>
              <w:left w:w="20" w:type="dxa"/>
              <w:bottom w:w="0" w:type="dxa"/>
              <w:right w:w="20" w:type="dxa"/>
            </w:tcMar>
            <w:vAlign w:val="center"/>
            <w:hideMark/>
          </w:tcPr>
          <w:p w14:paraId="2C4AF638"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52D4821B"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3D9035C0"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606AEED3"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0158F9F6"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D79F5A8" w14:textId="77777777" w:rsidR="00000000" w:rsidRDefault="00A173A8">
            <w:pPr>
              <w:spacing w:after="100"/>
              <w:jc w:val="right"/>
              <w:rPr>
                <w:rFonts w:eastAsia="Times New Roman"/>
              </w:rPr>
            </w:pPr>
            <w:r>
              <w:rPr>
                <w:rFonts w:eastAsia="Times New Roman"/>
                <w:color w:val="000000"/>
                <w:sz w:val="18"/>
                <w:szCs w:val="18"/>
              </w:rPr>
              <w:t>56 </w:t>
            </w:r>
          </w:p>
        </w:tc>
        <w:tc>
          <w:tcPr>
            <w:tcW w:w="0" w:type="auto"/>
            <w:shd w:val="clear" w:color="auto" w:fill="CCEEFF"/>
            <w:tcMar>
              <w:top w:w="30" w:type="dxa"/>
              <w:left w:w="0" w:type="dxa"/>
              <w:bottom w:w="30" w:type="dxa"/>
              <w:right w:w="20" w:type="dxa"/>
            </w:tcMar>
            <w:vAlign w:val="center"/>
            <w:hideMark/>
          </w:tcPr>
          <w:p w14:paraId="5AD21D1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24E8C"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587C393C" w14:textId="77777777" w:rsidR="00000000" w:rsidRDefault="00A173A8">
            <w:pPr>
              <w:spacing w:after="100"/>
              <w:jc w:val="right"/>
              <w:rPr>
                <w:rFonts w:eastAsia="Times New Roman"/>
              </w:rPr>
            </w:pPr>
            <w:r>
              <w:rPr>
                <w:rFonts w:eastAsia="Times New Roman"/>
                <w:color w:val="000000"/>
                <w:sz w:val="18"/>
                <w:szCs w:val="18"/>
              </w:rPr>
              <w:t>17</w:t>
            </w:r>
          </w:p>
        </w:tc>
        <w:tc>
          <w:tcPr>
            <w:tcW w:w="0" w:type="auto"/>
            <w:gridSpan w:val="3"/>
            <w:vAlign w:val="center"/>
            <w:hideMark/>
          </w:tcPr>
          <w:p w14:paraId="30AC8D9C" w14:textId="77777777" w:rsidR="00000000" w:rsidRDefault="00A173A8">
            <w:pPr>
              <w:spacing w:after="100"/>
              <w:jc w:val="right"/>
              <w:rPr>
                <w:rFonts w:eastAsia="Times New Roman"/>
              </w:rPr>
            </w:pPr>
          </w:p>
        </w:tc>
        <w:tc>
          <w:tcPr>
            <w:tcW w:w="0" w:type="auto"/>
            <w:gridSpan w:val="3"/>
            <w:vAlign w:val="center"/>
            <w:hideMark/>
          </w:tcPr>
          <w:p w14:paraId="66C17934" w14:textId="77777777" w:rsidR="00000000" w:rsidRDefault="00A173A8">
            <w:pPr>
              <w:spacing w:after="100"/>
              <w:rPr>
                <w:rFonts w:eastAsia="Times New Roman"/>
                <w:sz w:val="20"/>
                <w:szCs w:val="20"/>
              </w:rPr>
            </w:pPr>
          </w:p>
        </w:tc>
        <w:tc>
          <w:tcPr>
            <w:tcW w:w="0" w:type="auto"/>
            <w:gridSpan w:val="3"/>
            <w:vAlign w:val="center"/>
            <w:hideMark/>
          </w:tcPr>
          <w:p w14:paraId="2753B06F" w14:textId="77777777" w:rsidR="00000000" w:rsidRDefault="00A173A8">
            <w:pPr>
              <w:spacing w:after="100"/>
              <w:rPr>
                <w:rFonts w:eastAsia="Times New Roman"/>
                <w:sz w:val="20"/>
                <w:szCs w:val="20"/>
              </w:rPr>
            </w:pPr>
          </w:p>
        </w:tc>
        <w:tc>
          <w:tcPr>
            <w:tcW w:w="0" w:type="auto"/>
            <w:gridSpan w:val="3"/>
            <w:vAlign w:val="center"/>
            <w:hideMark/>
          </w:tcPr>
          <w:p w14:paraId="50A4656B" w14:textId="77777777" w:rsidR="00000000" w:rsidRDefault="00A173A8">
            <w:pPr>
              <w:spacing w:after="100"/>
              <w:rPr>
                <w:rFonts w:eastAsia="Times New Roman"/>
                <w:sz w:val="20"/>
                <w:szCs w:val="20"/>
              </w:rPr>
            </w:pPr>
          </w:p>
        </w:tc>
      </w:tr>
      <w:tr w:rsidR="00000000" w14:paraId="17CDF898" w14:textId="77777777">
        <w:trPr>
          <w:divId w:val="604574635"/>
        </w:trPr>
        <w:tc>
          <w:tcPr>
            <w:tcW w:w="0" w:type="auto"/>
            <w:gridSpan w:val="3"/>
            <w:shd w:val="clear" w:color="auto" w:fill="FFFFFF"/>
            <w:tcMar>
              <w:top w:w="30" w:type="dxa"/>
              <w:left w:w="20" w:type="dxa"/>
              <w:bottom w:w="30" w:type="dxa"/>
              <w:right w:w="20" w:type="dxa"/>
            </w:tcMar>
            <w:vAlign w:val="center"/>
            <w:hideMark/>
          </w:tcPr>
          <w:p w14:paraId="4B5D41B1" w14:textId="77777777" w:rsidR="00000000" w:rsidRDefault="00A173A8">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53ADF62C"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3C9CBC7" w14:textId="77777777" w:rsidR="00000000" w:rsidRDefault="00A173A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140" w:type="dxa"/>
            </w:tcMar>
            <w:vAlign w:val="center"/>
            <w:hideMark/>
          </w:tcPr>
          <w:p w14:paraId="7F9B6A4E" w14:textId="77777777" w:rsidR="00000000" w:rsidRDefault="00A173A8">
            <w:pPr>
              <w:spacing w:after="100"/>
              <w:jc w:val="right"/>
              <w:rPr>
                <w:rFonts w:eastAsia="Times New Roman"/>
              </w:rPr>
            </w:pPr>
            <w:r>
              <w:rPr>
                <w:rFonts w:eastAsia="Times New Roman"/>
                <w:color w:val="000000"/>
                <w:sz w:val="18"/>
                <w:szCs w:val="18"/>
              </w:rPr>
              <w:t>160</w:t>
            </w:r>
          </w:p>
        </w:tc>
        <w:tc>
          <w:tcPr>
            <w:tcW w:w="0" w:type="auto"/>
            <w:gridSpan w:val="3"/>
            <w:shd w:val="clear" w:color="auto" w:fill="FFFFFF"/>
            <w:tcMar>
              <w:top w:w="0" w:type="dxa"/>
              <w:left w:w="20" w:type="dxa"/>
              <w:bottom w:w="0" w:type="dxa"/>
              <w:right w:w="20" w:type="dxa"/>
            </w:tcMar>
            <w:vAlign w:val="center"/>
            <w:hideMark/>
          </w:tcPr>
          <w:p w14:paraId="084A2A7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4B37D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AA50E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EE9C4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EE8BB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72BFB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32863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538335" w14:textId="77777777" w:rsidR="00000000" w:rsidRDefault="00A173A8">
            <w:pPr>
              <w:spacing w:after="100"/>
              <w:rPr>
                <w:rFonts w:eastAsia="Times New Roman"/>
                <w:sz w:val="20"/>
                <w:szCs w:val="20"/>
              </w:rPr>
            </w:pPr>
          </w:p>
        </w:tc>
        <w:tc>
          <w:tcPr>
            <w:tcW w:w="0" w:type="auto"/>
            <w:gridSpan w:val="3"/>
            <w:vAlign w:val="center"/>
            <w:hideMark/>
          </w:tcPr>
          <w:p w14:paraId="6ADD6DEE" w14:textId="77777777" w:rsidR="00000000" w:rsidRDefault="00A173A8">
            <w:pPr>
              <w:spacing w:after="100"/>
              <w:rPr>
                <w:rFonts w:eastAsia="Times New Roman"/>
                <w:sz w:val="20"/>
                <w:szCs w:val="20"/>
              </w:rPr>
            </w:pPr>
          </w:p>
        </w:tc>
        <w:tc>
          <w:tcPr>
            <w:tcW w:w="0" w:type="auto"/>
            <w:gridSpan w:val="3"/>
            <w:vAlign w:val="center"/>
            <w:hideMark/>
          </w:tcPr>
          <w:p w14:paraId="4BCF2FF5" w14:textId="77777777" w:rsidR="00000000" w:rsidRDefault="00A173A8">
            <w:pPr>
              <w:spacing w:after="100"/>
              <w:rPr>
                <w:rFonts w:eastAsia="Times New Roman"/>
                <w:sz w:val="20"/>
                <w:szCs w:val="20"/>
              </w:rPr>
            </w:pPr>
          </w:p>
        </w:tc>
        <w:tc>
          <w:tcPr>
            <w:tcW w:w="0" w:type="auto"/>
            <w:gridSpan w:val="3"/>
            <w:vAlign w:val="center"/>
            <w:hideMark/>
          </w:tcPr>
          <w:p w14:paraId="666FA471" w14:textId="77777777" w:rsidR="00000000" w:rsidRDefault="00A173A8">
            <w:pPr>
              <w:spacing w:after="100"/>
              <w:rPr>
                <w:rFonts w:eastAsia="Times New Roman"/>
                <w:sz w:val="20"/>
                <w:szCs w:val="20"/>
              </w:rPr>
            </w:pPr>
          </w:p>
        </w:tc>
        <w:tc>
          <w:tcPr>
            <w:tcW w:w="0" w:type="auto"/>
            <w:gridSpan w:val="3"/>
            <w:vAlign w:val="center"/>
            <w:hideMark/>
          </w:tcPr>
          <w:p w14:paraId="6404661B" w14:textId="77777777" w:rsidR="00000000" w:rsidRDefault="00A173A8">
            <w:pPr>
              <w:spacing w:after="100"/>
              <w:rPr>
                <w:rFonts w:eastAsia="Times New Roman"/>
                <w:sz w:val="20"/>
                <w:szCs w:val="20"/>
              </w:rPr>
            </w:pPr>
          </w:p>
        </w:tc>
      </w:tr>
    </w:tbl>
    <w:p w14:paraId="53C6B071" w14:textId="77777777" w:rsidR="00000000" w:rsidRDefault="00A173A8">
      <w:pPr>
        <w:divId w:val="6045746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975"/>
        <w:gridCol w:w="38"/>
        <w:gridCol w:w="36"/>
        <w:gridCol w:w="36"/>
        <w:gridCol w:w="36"/>
        <w:gridCol w:w="111"/>
        <w:gridCol w:w="679"/>
        <w:gridCol w:w="36"/>
        <w:gridCol w:w="36"/>
        <w:gridCol w:w="36"/>
        <w:gridCol w:w="36"/>
        <w:gridCol w:w="88"/>
        <w:gridCol w:w="657"/>
        <w:gridCol w:w="171"/>
        <w:gridCol w:w="37"/>
        <w:gridCol w:w="46"/>
        <w:gridCol w:w="37"/>
        <w:gridCol w:w="87"/>
        <w:gridCol w:w="656"/>
        <w:gridCol w:w="170"/>
        <w:gridCol w:w="36"/>
        <w:gridCol w:w="36"/>
        <w:gridCol w:w="36"/>
        <w:gridCol w:w="81"/>
        <w:gridCol w:w="609"/>
        <w:gridCol w:w="173"/>
        <w:gridCol w:w="38"/>
        <w:gridCol w:w="38"/>
        <w:gridCol w:w="38"/>
        <w:gridCol w:w="84"/>
        <w:gridCol w:w="624"/>
        <w:gridCol w:w="38"/>
        <w:gridCol w:w="36"/>
        <w:gridCol w:w="36"/>
        <w:gridCol w:w="36"/>
        <w:gridCol w:w="36"/>
        <w:gridCol w:w="36"/>
        <w:gridCol w:w="36"/>
        <w:gridCol w:w="36"/>
        <w:gridCol w:w="36"/>
        <w:gridCol w:w="36"/>
        <w:gridCol w:w="36"/>
        <w:gridCol w:w="36"/>
        <w:gridCol w:w="36"/>
      </w:tblGrid>
      <w:tr w:rsidR="00000000" w14:paraId="7A6AA9DE" w14:textId="77777777">
        <w:trPr>
          <w:divId w:val="604574635"/>
        </w:trPr>
        <w:tc>
          <w:tcPr>
            <w:tcW w:w="50" w:type="pct"/>
            <w:vAlign w:val="center"/>
            <w:hideMark/>
          </w:tcPr>
          <w:p w14:paraId="086BB4FF" w14:textId="77777777" w:rsidR="00000000" w:rsidRDefault="00A173A8">
            <w:pPr>
              <w:rPr>
                <w:rFonts w:eastAsia="Times New Roman"/>
              </w:rPr>
            </w:pPr>
          </w:p>
        </w:tc>
        <w:tc>
          <w:tcPr>
            <w:tcW w:w="2605" w:type="pct"/>
            <w:vAlign w:val="center"/>
            <w:hideMark/>
          </w:tcPr>
          <w:p w14:paraId="270B5B3A" w14:textId="77777777" w:rsidR="00000000" w:rsidRDefault="00A173A8">
            <w:pPr>
              <w:spacing w:after="100"/>
              <w:rPr>
                <w:rFonts w:eastAsia="Times New Roman"/>
                <w:sz w:val="20"/>
                <w:szCs w:val="20"/>
              </w:rPr>
            </w:pPr>
          </w:p>
        </w:tc>
        <w:tc>
          <w:tcPr>
            <w:tcW w:w="5" w:type="pct"/>
            <w:vAlign w:val="center"/>
            <w:hideMark/>
          </w:tcPr>
          <w:p w14:paraId="79B78992" w14:textId="77777777" w:rsidR="00000000" w:rsidRDefault="00A173A8">
            <w:pPr>
              <w:spacing w:after="100"/>
              <w:rPr>
                <w:rFonts w:eastAsia="Times New Roman"/>
                <w:sz w:val="20"/>
                <w:szCs w:val="20"/>
              </w:rPr>
            </w:pPr>
          </w:p>
        </w:tc>
        <w:tc>
          <w:tcPr>
            <w:tcW w:w="5" w:type="pct"/>
            <w:vAlign w:val="center"/>
            <w:hideMark/>
          </w:tcPr>
          <w:p w14:paraId="1125AD83" w14:textId="77777777" w:rsidR="00000000" w:rsidRDefault="00A173A8">
            <w:pPr>
              <w:spacing w:after="100"/>
              <w:rPr>
                <w:rFonts w:eastAsia="Times New Roman"/>
                <w:sz w:val="20"/>
                <w:szCs w:val="20"/>
              </w:rPr>
            </w:pPr>
          </w:p>
        </w:tc>
        <w:tc>
          <w:tcPr>
            <w:tcW w:w="26" w:type="pct"/>
            <w:vAlign w:val="center"/>
            <w:hideMark/>
          </w:tcPr>
          <w:p w14:paraId="6D7E3DA6" w14:textId="77777777" w:rsidR="00000000" w:rsidRDefault="00A173A8">
            <w:pPr>
              <w:spacing w:after="100"/>
              <w:rPr>
                <w:rFonts w:eastAsia="Times New Roman"/>
                <w:sz w:val="20"/>
                <w:szCs w:val="20"/>
              </w:rPr>
            </w:pPr>
          </w:p>
        </w:tc>
        <w:tc>
          <w:tcPr>
            <w:tcW w:w="5" w:type="pct"/>
            <w:vAlign w:val="center"/>
            <w:hideMark/>
          </w:tcPr>
          <w:p w14:paraId="1F0FF8F3" w14:textId="77777777" w:rsidR="00000000" w:rsidRDefault="00A173A8">
            <w:pPr>
              <w:spacing w:after="100"/>
              <w:rPr>
                <w:rFonts w:eastAsia="Times New Roman"/>
                <w:sz w:val="20"/>
                <w:szCs w:val="20"/>
              </w:rPr>
            </w:pPr>
          </w:p>
        </w:tc>
        <w:tc>
          <w:tcPr>
            <w:tcW w:w="50" w:type="pct"/>
            <w:vAlign w:val="center"/>
            <w:hideMark/>
          </w:tcPr>
          <w:p w14:paraId="42CE4EA1" w14:textId="77777777" w:rsidR="00000000" w:rsidRDefault="00A173A8">
            <w:pPr>
              <w:spacing w:after="100"/>
              <w:rPr>
                <w:rFonts w:eastAsia="Times New Roman"/>
                <w:sz w:val="20"/>
                <w:szCs w:val="20"/>
              </w:rPr>
            </w:pPr>
          </w:p>
        </w:tc>
        <w:tc>
          <w:tcPr>
            <w:tcW w:w="376" w:type="pct"/>
            <w:vAlign w:val="center"/>
            <w:hideMark/>
          </w:tcPr>
          <w:p w14:paraId="7FAB53D8" w14:textId="77777777" w:rsidR="00000000" w:rsidRDefault="00A173A8">
            <w:pPr>
              <w:spacing w:after="100"/>
              <w:rPr>
                <w:rFonts w:eastAsia="Times New Roman"/>
                <w:sz w:val="20"/>
                <w:szCs w:val="20"/>
              </w:rPr>
            </w:pPr>
          </w:p>
        </w:tc>
        <w:tc>
          <w:tcPr>
            <w:tcW w:w="5" w:type="pct"/>
            <w:vAlign w:val="center"/>
            <w:hideMark/>
          </w:tcPr>
          <w:p w14:paraId="6ABC921B" w14:textId="77777777" w:rsidR="00000000" w:rsidRDefault="00A173A8">
            <w:pPr>
              <w:spacing w:after="100"/>
              <w:rPr>
                <w:rFonts w:eastAsia="Times New Roman"/>
                <w:sz w:val="20"/>
                <w:szCs w:val="20"/>
              </w:rPr>
            </w:pPr>
          </w:p>
        </w:tc>
        <w:tc>
          <w:tcPr>
            <w:tcW w:w="5" w:type="pct"/>
            <w:vAlign w:val="center"/>
            <w:hideMark/>
          </w:tcPr>
          <w:p w14:paraId="5F3E13C3" w14:textId="77777777" w:rsidR="00000000" w:rsidRDefault="00A173A8">
            <w:pPr>
              <w:spacing w:after="100"/>
              <w:rPr>
                <w:rFonts w:eastAsia="Times New Roman"/>
                <w:sz w:val="20"/>
                <w:szCs w:val="20"/>
              </w:rPr>
            </w:pPr>
          </w:p>
        </w:tc>
        <w:tc>
          <w:tcPr>
            <w:tcW w:w="26" w:type="pct"/>
            <w:vAlign w:val="center"/>
            <w:hideMark/>
          </w:tcPr>
          <w:p w14:paraId="6B8906A4" w14:textId="77777777" w:rsidR="00000000" w:rsidRDefault="00A173A8">
            <w:pPr>
              <w:spacing w:after="100"/>
              <w:rPr>
                <w:rFonts w:eastAsia="Times New Roman"/>
                <w:sz w:val="20"/>
                <w:szCs w:val="20"/>
              </w:rPr>
            </w:pPr>
          </w:p>
        </w:tc>
        <w:tc>
          <w:tcPr>
            <w:tcW w:w="5" w:type="pct"/>
            <w:vAlign w:val="center"/>
            <w:hideMark/>
          </w:tcPr>
          <w:p w14:paraId="02D0A383" w14:textId="77777777" w:rsidR="00000000" w:rsidRDefault="00A173A8">
            <w:pPr>
              <w:spacing w:after="100"/>
              <w:rPr>
                <w:rFonts w:eastAsia="Times New Roman"/>
                <w:sz w:val="20"/>
                <w:szCs w:val="20"/>
              </w:rPr>
            </w:pPr>
          </w:p>
        </w:tc>
        <w:tc>
          <w:tcPr>
            <w:tcW w:w="50" w:type="pct"/>
            <w:vAlign w:val="center"/>
            <w:hideMark/>
          </w:tcPr>
          <w:p w14:paraId="191D9BA7" w14:textId="77777777" w:rsidR="00000000" w:rsidRDefault="00A173A8">
            <w:pPr>
              <w:spacing w:after="100"/>
              <w:rPr>
                <w:rFonts w:eastAsia="Times New Roman"/>
                <w:sz w:val="20"/>
                <w:szCs w:val="20"/>
              </w:rPr>
            </w:pPr>
          </w:p>
        </w:tc>
        <w:tc>
          <w:tcPr>
            <w:tcW w:w="376" w:type="pct"/>
            <w:vAlign w:val="center"/>
            <w:hideMark/>
          </w:tcPr>
          <w:p w14:paraId="1FE91EF4" w14:textId="77777777" w:rsidR="00000000" w:rsidRDefault="00A173A8">
            <w:pPr>
              <w:spacing w:after="100"/>
              <w:rPr>
                <w:rFonts w:eastAsia="Times New Roman"/>
                <w:sz w:val="20"/>
                <w:szCs w:val="20"/>
              </w:rPr>
            </w:pPr>
          </w:p>
        </w:tc>
        <w:tc>
          <w:tcPr>
            <w:tcW w:w="5" w:type="pct"/>
            <w:vAlign w:val="center"/>
            <w:hideMark/>
          </w:tcPr>
          <w:p w14:paraId="4D55337B" w14:textId="77777777" w:rsidR="00000000" w:rsidRDefault="00A173A8">
            <w:pPr>
              <w:spacing w:after="100"/>
              <w:rPr>
                <w:rFonts w:eastAsia="Times New Roman"/>
                <w:sz w:val="20"/>
                <w:szCs w:val="20"/>
              </w:rPr>
            </w:pPr>
          </w:p>
        </w:tc>
        <w:tc>
          <w:tcPr>
            <w:tcW w:w="5" w:type="pct"/>
            <w:vAlign w:val="center"/>
            <w:hideMark/>
          </w:tcPr>
          <w:p w14:paraId="58A4E267" w14:textId="77777777" w:rsidR="00000000" w:rsidRDefault="00A173A8">
            <w:pPr>
              <w:spacing w:after="100"/>
              <w:rPr>
                <w:rFonts w:eastAsia="Times New Roman"/>
                <w:sz w:val="20"/>
                <w:szCs w:val="20"/>
              </w:rPr>
            </w:pPr>
          </w:p>
        </w:tc>
        <w:tc>
          <w:tcPr>
            <w:tcW w:w="26" w:type="pct"/>
            <w:vAlign w:val="center"/>
            <w:hideMark/>
          </w:tcPr>
          <w:p w14:paraId="488E78C3" w14:textId="77777777" w:rsidR="00000000" w:rsidRDefault="00A173A8">
            <w:pPr>
              <w:spacing w:after="100"/>
              <w:rPr>
                <w:rFonts w:eastAsia="Times New Roman"/>
                <w:sz w:val="20"/>
                <w:szCs w:val="20"/>
              </w:rPr>
            </w:pPr>
          </w:p>
        </w:tc>
        <w:tc>
          <w:tcPr>
            <w:tcW w:w="5" w:type="pct"/>
            <w:vAlign w:val="center"/>
            <w:hideMark/>
          </w:tcPr>
          <w:p w14:paraId="1CBBA789" w14:textId="77777777" w:rsidR="00000000" w:rsidRDefault="00A173A8">
            <w:pPr>
              <w:spacing w:after="100"/>
              <w:rPr>
                <w:rFonts w:eastAsia="Times New Roman"/>
                <w:sz w:val="20"/>
                <w:szCs w:val="20"/>
              </w:rPr>
            </w:pPr>
          </w:p>
        </w:tc>
        <w:tc>
          <w:tcPr>
            <w:tcW w:w="50" w:type="pct"/>
            <w:vAlign w:val="center"/>
            <w:hideMark/>
          </w:tcPr>
          <w:p w14:paraId="6616EC50" w14:textId="77777777" w:rsidR="00000000" w:rsidRDefault="00A173A8">
            <w:pPr>
              <w:spacing w:after="100"/>
              <w:rPr>
                <w:rFonts w:eastAsia="Times New Roman"/>
                <w:sz w:val="20"/>
                <w:szCs w:val="20"/>
              </w:rPr>
            </w:pPr>
          </w:p>
        </w:tc>
        <w:tc>
          <w:tcPr>
            <w:tcW w:w="376" w:type="pct"/>
            <w:vAlign w:val="center"/>
            <w:hideMark/>
          </w:tcPr>
          <w:p w14:paraId="1874A616" w14:textId="77777777" w:rsidR="00000000" w:rsidRDefault="00A173A8">
            <w:pPr>
              <w:spacing w:after="100"/>
              <w:rPr>
                <w:rFonts w:eastAsia="Times New Roman"/>
                <w:sz w:val="20"/>
                <w:szCs w:val="20"/>
              </w:rPr>
            </w:pPr>
          </w:p>
        </w:tc>
        <w:tc>
          <w:tcPr>
            <w:tcW w:w="5" w:type="pct"/>
            <w:vAlign w:val="center"/>
            <w:hideMark/>
          </w:tcPr>
          <w:p w14:paraId="4E14587B" w14:textId="77777777" w:rsidR="00000000" w:rsidRDefault="00A173A8">
            <w:pPr>
              <w:spacing w:after="100"/>
              <w:rPr>
                <w:rFonts w:eastAsia="Times New Roman"/>
                <w:sz w:val="20"/>
                <w:szCs w:val="20"/>
              </w:rPr>
            </w:pPr>
          </w:p>
        </w:tc>
        <w:tc>
          <w:tcPr>
            <w:tcW w:w="5" w:type="pct"/>
            <w:vAlign w:val="center"/>
            <w:hideMark/>
          </w:tcPr>
          <w:p w14:paraId="7D935340" w14:textId="77777777" w:rsidR="00000000" w:rsidRDefault="00A173A8">
            <w:pPr>
              <w:spacing w:after="100"/>
              <w:rPr>
                <w:rFonts w:eastAsia="Times New Roman"/>
                <w:sz w:val="20"/>
                <w:szCs w:val="20"/>
              </w:rPr>
            </w:pPr>
          </w:p>
        </w:tc>
        <w:tc>
          <w:tcPr>
            <w:tcW w:w="26" w:type="pct"/>
            <w:vAlign w:val="center"/>
            <w:hideMark/>
          </w:tcPr>
          <w:p w14:paraId="17EDC606" w14:textId="77777777" w:rsidR="00000000" w:rsidRDefault="00A173A8">
            <w:pPr>
              <w:spacing w:after="100"/>
              <w:rPr>
                <w:rFonts w:eastAsia="Times New Roman"/>
                <w:sz w:val="20"/>
                <w:szCs w:val="20"/>
              </w:rPr>
            </w:pPr>
          </w:p>
        </w:tc>
        <w:tc>
          <w:tcPr>
            <w:tcW w:w="5" w:type="pct"/>
            <w:vAlign w:val="center"/>
            <w:hideMark/>
          </w:tcPr>
          <w:p w14:paraId="17D28CC1" w14:textId="77777777" w:rsidR="00000000" w:rsidRDefault="00A173A8">
            <w:pPr>
              <w:spacing w:after="100"/>
              <w:rPr>
                <w:rFonts w:eastAsia="Times New Roman"/>
                <w:sz w:val="20"/>
                <w:szCs w:val="20"/>
              </w:rPr>
            </w:pPr>
          </w:p>
        </w:tc>
        <w:tc>
          <w:tcPr>
            <w:tcW w:w="50" w:type="pct"/>
            <w:vAlign w:val="center"/>
            <w:hideMark/>
          </w:tcPr>
          <w:p w14:paraId="036E80EA" w14:textId="77777777" w:rsidR="00000000" w:rsidRDefault="00A173A8">
            <w:pPr>
              <w:spacing w:after="100"/>
              <w:rPr>
                <w:rFonts w:eastAsia="Times New Roman"/>
                <w:sz w:val="20"/>
                <w:szCs w:val="20"/>
              </w:rPr>
            </w:pPr>
          </w:p>
        </w:tc>
        <w:tc>
          <w:tcPr>
            <w:tcW w:w="376" w:type="pct"/>
            <w:vAlign w:val="center"/>
            <w:hideMark/>
          </w:tcPr>
          <w:p w14:paraId="41543858" w14:textId="77777777" w:rsidR="00000000" w:rsidRDefault="00A173A8">
            <w:pPr>
              <w:spacing w:after="100"/>
              <w:rPr>
                <w:rFonts w:eastAsia="Times New Roman"/>
                <w:sz w:val="20"/>
                <w:szCs w:val="20"/>
              </w:rPr>
            </w:pPr>
          </w:p>
        </w:tc>
        <w:tc>
          <w:tcPr>
            <w:tcW w:w="5" w:type="pct"/>
            <w:vAlign w:val="center"/>
            <w:hideMark/>
          </w:tcPr>
          <w:p w14:paraId="57026FAB" w14:textId="77777777" w:rsidR="00000000" w:rsidRDefault="00A173A8">
            <w:pPr>
              <w:spacing w:after="100"/>
              <w:rPr>
                <w:rFonts w:eastAsia="Times New Roman"/>
                <w:sz w:val="20"/>
                <w:szCs w:val="20"/>
              </w:rPr>
            </w:pPr>
          </w:p>
        </w:tc>
        <w:tc>
          <w:tcPr>
            <w:tcW w:w="5" w:type="pct"/>
            <w:vAlign w:val="center"/>
            <w:hideMark/>
          </w:tcPr>
          <w:p w14:paraId="1382DBF3" w14:textId="77777777" w:rsidR="00000000" w:rsidRDefault="00A173A8">
            <w:pPr>
              <w:spacing w:after="100"/>
              <w:rPr>
                <w:rFonts w:eastAsia="Times New Roman"/>
                <w:sz w:val="20"/>
                <w:szCs w:val="20"/>
              </w:rPr>
            </w:pPr>
          </w:p>
        </w:tc>
        <w:tc>
          <w:tcPr>
            <w:tcW w:w="26" w:type="pct"/>
            <w:vAlign w:val="center"/>
            <w:hideMark/>
          </w:tcPr>
          <w:p w14:paraId="1E3CB12D" w14:textId="77777777" w:rsidR="00000000" w:rsidRDefault="00A173A8">
            <w:pPr>
              <w:spacing w:after="100"/>
              <w:rPr>
                <w:rFonts w:eastAsia="Times New Roman"/>
                <w:sz w:val="20"/>
                <w:szCs w:val="20"/>
              </w:rPr>
            </w:pPr>
          </w:p>
        </w:tc>
        <w:tc>
          <w:tcPr>
            <w:tcW w:w="5" w:type="pct"/>
            <w:vAlign w:val="center"/>
            <w:hideMark/>
          </w:tcPr>
          <w:p w14:paraId="1965D228" w14:textId="77777777" w:rsidR="00000000" w:rsidRDefault="00A173A8">
            <w:pPr>
              <w:spacing w:after="100"/>
              <w:rPr>
                <w:rFonts w:eastAsia="Times New Roman"/>
                <w:sz w:val="20"/>
                <w:szCs w:val="20"/>
              </w:rPr>
            </w:pPr>
          </w:p>
        </w:tc>
        <w:tc>
          <w:tcPr>
            <w:tcW w:w="50" w:type="pct"/>
            <w:vAlign w:val="center"/>
            <w:hideMark/>
          </w:tcPr>
          <w:p w14:paraId="723C14F5" w14:textId="77777777" w:rsidR="00000000" w:rsidRDefault="00A173A8">
            <w:pPr>
              <w:spacing w:after="100"/>
              <w:rPr>
                <w:rFonts w:eastAsia="Times New Roman"/>
                <w:sz w:val="20"/>
                <w:szCs w:val="20"/>
              </w:rPr>
            </w:pPr>
          </w:p>
        </w:tc>
        <w:tc>
          <w:tcPr>
            <w:tcW w:w="376" w:type="pct"/>
            <w:vAlign w:val="center"/>
            <w:hideMark/>
          </w:tcPr>
          <w:p w14:paraId="05FCDF56" w14:textId="77777777" w:rsidR="00000000" w:rsidRDefault="00A173A8">
            <w:pPr>
              <w:spacing w:after="100"/>
              <w:rPr>
                <w:rFonts w:eastAsia="Times New Roman"/>
                <w:sz w:val="20"/>
                <w:szCs w:val="20"/>
              </w:rPr>
            </w:pPr>
          </w:p>
        </w:tc>
        <w:tc>
          <w:tcPr>
            <w:tcW w:w="5" w:type="pct"/>
            <w:vAlign w:val="center"/>
            <w:hideMark/>
          </w:tcPr>
          <w:p w14:paraId="5110A21C" w14:textId="77777777" w:rsidR="00000000" w:rsidRDefault="00A173A8">
            <w:pPr>
              <w:spacing w:after="100"/>
              <w:rPr>
                <w:rFonts w:eastAsia="Times New Roman"/>
                <w:sz w:val="20"/>
                <w:szCs w:val="20"/>
              </w:rPr>
            </w:pPr>
          </w:p>
        </w:tc>
        <w:tc>
          <w:tcPr>
            <w:tcW w:w="0" w:type="auto"/>
            <w:gridSpan w:val="3"/>
            <w:vAlign w:val="center"/>
            <w:hideMark/>
          </w:tcPr>
          <w:p w14:paraId="0627EB09" w14:textId="77777777" w:rsidR="00000000" w:rsidRDefault="00A173A8">
            <w:pPr>
              <w:spacing w:after="100"/>
              <w:rPr>
                <w:rFonts w:eastAsia="Times New Roman"/>
                <w:sz w:val="20"/>
                <w:szCs w:val="20"/>
              </w:rPr>
            </w:pPr>
          </w:p>
        </w:tc>
        <w:tc>
          <w:tcPr>
            <w:tcW w:w="0" w:type="auto"/>
            <w:gridSpan w:val="3"/>
            <w:vAlign w:val="center"/>
            <w:hideMark/>
          </w:tcPr>
          <w:p w14:paraId="44706A19" w14:textId="77777777" w:rsidR="00000000" w:rsidRDefault="00A173A8">
            <w:pPr>
              <w:spacing w:after="100"/>
              <w:rPr>
                <w:rFonts w:eastAsia="Times New Roman"/>
                <w:sz w:val="20"/>
                <w:szCs w:val="20"/>
              </w:rPr>
            </w:pPr>
          </w:p>
        </w:tc>
        <w:tc>
          <w:tcPr>
            <w:tcW w:w="0" w:type="auto"/>
            <w:gridSpan w:val="3"/>
            <w:vAlign w:val="center"/>
            <w:hideMark/>
          </w:tcPr>
          <w:p w14:paraId="27A312E8" w14:textId="77777777" w:rsidR="00000000" w:rsidRDefault="00A173A8">
            <w:pPr>
              <w:spacing w:after="100"/>
              <w:rPr>
                <w:rFonts w:eastAsia="Times New Roman"/>
                <w:sz w:val="20"/>
                <w:szCs w:val="20"/>
              </w:rPr>
            </w:pPr>
          </w:p>
        </w:tc>
        <w:tc>
          <w:tcPr>
            <w:tcW w:w="0" w:type="auto"/>
            <w:gridSpan w:val="3"/>
            <w:vAlign w:val="center"/>
            <w:hideMark/>
          </w:tcPr>
          <w:p w14:paraId="36190F3F" w14:textId="77777777" w:rsidR="00000000" w:rsidRDefault="00A173A8">
            <w:pPr>
              <w:spacing w:after="100"/>
              <w:rPr>
                <w:rFonts w:eastAsia="Times New Roman"/>
                <w:sz w:val="20"/>
                <w:szCs w:val="20"/>
              </w:rPr>
            </w:pPr>
          </w:p>
        </w:tc>
      </w:tr>
      <w:tr w:rsidR="00000000" w14:paraId="512907D2" w14:textId="77777777">
        <w:trPr>
          <w:divId w:val="604574635"/>
        </w:trPr>
        <w:tc>
          <w:tcPr>
            <w:tcW w:w="0" w:type="auto"/>
            <w:gridSpan w:val="3"/>
            <w:tcMar>
              <w:top w:w="0" w:type="dxa"/>
              <w:left w:w="20" w:type="dxa"/>
              <w:bottom w:w="0" w:type="dxa"/>
              <w:right w:w="20" w:type="dxa"/>
            </w:tcMar>
            <w:vAlign w:val="center"/>
            <w:hideMark/>
          </w:tcPr>
          <w:p w14:paraId="69039C83"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9838F6"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CE1A5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D682A9" w14:textId="77777777" w:rsidR="00000000" w:rsidRDefault="00A173A8">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555F4032" w14:textId="77777777" w:rsidR="00000000" w:rsidRDefault="00A173A8">
            <w:pPr>
              <w:spacing w:after="100"/>
              <w:jc w:val="center"/>
              <w:rPr>
                <w:rFonts w:eastAsia="Times New Roman"/>
              </w:rPr>
            </w:pPr>
            <w:r>
              <w:rPr>
                <w:rFonts w:eastAsia="Times New Roman"/>
                <w:b/>
                <w:bCs/>
                <w:color w:val="000000"/>
                <w:sz w:val="16"/>
                <w:szCs w:val="16"/>
              </w:rPr>
              <w:t>Six Months Ended June 30, 2021</w:t>
            </w:r>
          </w:p>
        </w:tc>
        <w:tc>
          <w:tcPr>
            <w:tcW w:w="0" w:type="auto"/>
            <w:vAlign w:val="center"/>
            <w:hideMark/>
          </w:tcPr>
          <w:p w14:paraId="422E9DD9" w14:textId="77777777" w:rsidR="00000000" w:rsidRDefault="00A173A8">
            <w:pPr>
              <w:spacing w:after="100"/>
              <w:rPr>
                <w:rFonts w:eastAsia="Times New Roman"/>
                <w:sz w:val="20"/>
                <w:szCs w:val="20"/>
              </w:rPr>
            </w:pPr>
          </w:p>
        </w:tc>
        <w:tc>
          <w:tcPr>
            <w:tcW w:w="0" w:type="auto"/>
            <w:vAlign w:val="center"/>
            <w:hideMark/>
          </w:tcPr>
          <w:p w14:paraId="116A65F3" w14:textId="77777777" w:rsidR="00000000" w:rsidRDefault="00A173A8">
            <w:pPr>
              <w:spacing w:after="100"/>
              <w:rPr>
                <w:rFonts w:eastAsia="Times New Roman"/>
                <w:sz w:val="20"/>
                <w:szCs w:val="20"/>
              </w:rPr>
            </w:pPr>
          </w:p>
        </w:tc>
        <w:tc>
          <w:tcPr>
            <w:tcW w:w="0" w:type="auto"/>
            <w:vAlign w:val="center"/>
            <w:hideMark/>
          </w:tcPr>
          <w:p w14:paraId="39D5E622" w14:textId="77777777" w:rsidR="00000000" w:rsidRDefault="00A173A8">
            <w:pPr>
              <w:spacing w:after="100"/>
              <w:rPr>
                <w:rFonts w:eastAsia="Times New Roman"/>
                <w:sz w:val="20"/>
                <w:szCs w:val="20"/>
              </w:rPr>
            </w:pPr>
          </w:p>
        </w:tc>
        <w:tc>
          <w:tcPr>
            <w:tcW w:w="0" w:type="auto"/>
            <w:vAlign w:val="center"/>
            <w:hideMark/>
          </w:tcPr>
          <w:p w14:paraId="5DEA6B6F" w14:textId="77777777" w:rsidR="00000000" w:rsidRDefault="00A173A8">
            <w:pPr>
              <w:spacing w:after="100"/>
              <w:rPr>
                <w:rFonts w:eastAsia="Times New Roman"/>
                <w:sz w:val="20"/>
                <w:szCs w:val="20"/>
              </w:rPr>
            </w:pPr>
          </w:p>
        </w:tc>
        <w:tc>
          <w:tcPr>
            <w:tcW w:w="0" w:type="auto"/>
            <w:vAlign w:val="center"/>
            <w:hideMark/>
          </w:tcPr>
          <w:p w14:paraId="05286D4D" w14:textId="77777777" w:rsidR="00000000" w:rsidRDefault="00A173A8">
            <w:pPr>
              <w:spacing w:after="100"/>
              <w:rPr>
                <w:rFonts w:eastAsia="Times New Roman"/>
                <w:sz w:val="20"/>
                <w:szCs w:val="20"/>
              </w:rPr>
            </w:pPr>
          </w:p>
        </w:tc>
        <w:tc>
          <w:tcPr>
            <w:tcW w:w="0" w:type="auto"/>
            <w:vAlign w:val="center"/>
            <w:hideMark/>
          </w:tcPr>
          <w:p w14:paraId="7AF5CCA1" w14:textId="77777777" w:rsidR="00000000" w:rsidRDefault="00A173A8">
            <w:pPr>
              <w:spacing w:after="100"/>
              <w:rPr>
                <w:rFonts w:eastAsia="Times New Roman"/>
                <w:sz w:val="20"/>
                <w:szCs w:val="20"/>
              </w:rPr>
            </w:pPr>
          </w:p>
        </w:tc>
        <w:tc>
          <w:tcPr>
            <w:tcW w:w="0" w:type="auto"/>
            <w:vAlign w:val="center"/>
            <w:hideMark/>
          </w:tcPr>
          <w:p w14:paraId="42B83C64" w14:textId="77777777" w:rsidR="00000000" w:rsidRDefault="00A173A8">
            <w:pPr>
              <w:spacing w:after="100"/>
              <w:rPr>
                <w:rFonts w:eastAsia="Times New Roman"/>
                <w:sz w:val="20"/>
                <w:szCs w:val="20"/>
              </w:rPr>
            </w:pPr>
          </w:p>
        </w:tc>
        <w:tc>
          <w:tcPr>
            <w:tcW w:w="0" w:type="auto"/>
            <w:vAlign w:val="center"/>
            <w:hideMark/>
          </w:tcPr>
          <w:p w14:paraId="30F1A491" w14:textId="77777777" w:rsidR="00000000" w:rsidRDefault="00A173A8">
            <w:pPr>
              <w:spacing w:after="100"/>
              <w:rPr>
                <w:rFonts w:eastAsia="Times New Roman"/>
                <w:sz w:val="20"/>
                <w:szCs w:val="20"/>
              </w:rPr>
            </w:pPr>
          </w:p>
        </w:tc>
        <w:tc>
          <w:tcPr>
            <w:tcW w:w="0" w:type="auto"/>
            <w:vAlign w:val="center"/>
            <w:hideMark/>
          </w:tcPr>
          <w:p w14:paraId="41431928" w14:textId="77777777" w:rsidR="00000000" w:rsidRDefault="00A173A8">
            <w:pPr>
              <w:spacing w:after="100"/>
              <w:rPr>
                <w:rFonts w:eastAsia="Times New Roman"/>
                <w:sz w:val="20"/>
                <w:szCs w:val="20"/>
              </w:rPr>
            </w:pPr>
          </w:p>
        </w:tc>
        <w:tc>
          <w:tcPr>
            <w:tcW w:w="0" w:type="auto"/>
            <w:vAlign w:val="center"/>
            <w:hideMark/>
          </w:tcPr>
          <w:p w14:paraId="4628DC23" w14:textId="77777777" w:rsidR="00000000" w:rsidRDefault="00A173A8">
            <w:pPr>
              <w:spacing w:after="100"/>
              <w:rPr>
                <w:rFonts w:eastAsia="Times New Roman"/>
                <w:sz w:val="20"/>
                <w:szCs w:val="20"/>
              </w:rPr>
            </w:pPr>
          </w:p>
        </w:tc>
        <w:tc>
          <w:tcPr>
            <w:tcW w:w="0" w:type="auto"/>
            <w:vAlign w:val="center"/>
            <w:hideMark/>
          </w:tcPr>
          <w:p w14:paraId="289204EE" w14:textId="77777777" w:rsidR="00000000" w:rsidRDefault="00A173A8">
            <w:pPr>
              <w:spacing w:after="100"/>
              <w:rPr>
                <w:rFonts w:eastAsia="Times New Roman"/>
                <w:sz w:val="20"/>
                <w:szCs w:val="20"/>
              </w:rPr>
            </w:pPr>
          </w:p>
        </w:tc>
        <w:tc>
          <w:tcPr>
            <w:tcW w:w="0" w:type="auto"/>
            <w:vAlign w:val="center"/>
            <w:hideMark/>
          </w:tcPr>
          <w:p w14:paraId="04D3EC9D" w14:textId="77777777" w:rsidR="00000000" w:rsidRDefault="00A173A8">
            <w:pPr>
              <w:spacing w:after="100"/>
              <w:rPr>
                <w:rFonts w:eastAsia="Times New Roman"/>
                <w:sz w:val="20"/>
                <w:szCs w:val="20"/>
              </w:rPr>
            </w:pPr>
          </w:p>
        </w:tc>
      </w:tr>
      <w:tr w:rsidR="00000000" w14:paraId="1841D431" w14:textId="77777777">
        <w:trPr>
          <w:divId w:val="604574635"/>
        </w:trPr>
        <w:tc>
          <w:tcPr>
            <w:tcW w:w="0" w:type="auto"/>
            <w:gridSpan w:val="3"/>
            <w:tcMar>
              <w:top w:w="0" w:type="dxa"/>
              <w:left w:w="20" w:type="dxa"/>
              <w:bottom w:w="0" w:type="dxa"/>
              <w:right w:w="20" w:type="dxa"/>
            </w:tcMar>
            <w:vAlign w:val="center"/>
            <w:hideMark/>
          </w:tcPr>
          <w:p w14:paraId="2E1DD364"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9435D7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65C30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F69AE3"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39A0BFAC" w14:textId="77777777" w:rsidR="00000000" w:rsidRDefault="00A173A8">
            <w:pPr>
              <w:spacing w:after="100"/>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14:paraId="66E5EEB7"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E03DC64" w14:textId="77777777" w:rsidR="00000000" w:rsidRDefault="00A173A8">
            <w:pPr>
              <w:spacing w:after="100"/>
              <w:jc w:val="center"/>
              <w:rPr>
                <w:rFonts w:eastAsia="Times New Roman"/>
              </w:rPr>
            </w:pPr>
            <w:r>
              <w:rPr>
                <w:rFonts w:eastAsia="Times New Roman"/>
                <w:b/>
                <w:bCs/>
                <w:color w:val="000000"/>
                <w:sz w:val="16"/>
                <w:szCs w:val="16"/>
              </w:rPr>
              <w:t>Term Extension</w:t>
            </w:r>
          </w:p>
        </w:tc>
        <w:tc>
          <w:tcPr>
            <w:tcW w:w="0" w:type="auto"/>
            <w:gridSpan w:val="3"/>
            <w:vAlign w:val="center"/>
            <w:hideMark/>
          </w:tcPr>
          <w:p w14:paraId="152AB01D" w14:textId="77777777" w:rsidR="00000000" w:rsidRDefault="00A173A8">
            <w:pPr>
              <w:spacing w:after="100"/>
              <w:jc w:val="center"/>
              <w:rPr>
                <w:rFonts w:eastAsia="Times New Roman"/>
              </w:rPr>
            </w:pPr>
          </w:p>
        </w:tc>
        <w:tc>
          <w:tcPr>
            <w:tcW w:w="0" w:type="auto"/>
            <w:gridSpan w:val="3"/>
            <w:vAlign w:val="center"/>
            <w:hideMark/>
          </w:tcPr>
          <w:p w14:paraId="21B2FC76" w14:textId="77777777" w:rsidR="00000000" w:rsidRDefault="00A173A8">
            <w:pPr>
              <w:spacing w:after="100"/>
              <w:rPr>
                <w:rFonts w:eastAsia="Times New Roman"/>
                <w:sz w:val="20"/>
                <w:szCs w:val="20"/>
              </w:rPr>
            </w:pPr>
          </w:p>
        </w:tc>
        <w:tc>
          <w:tcPr>
            <w:tcW w:w="0" w:type="auto"/>
            <w:vAlign w:val="center"/>
            <w:hideMark/>
          </w:tcPr>
          <w:p w14:paraId="6A8C0FFC" w14:textId="77777777" w:rsidR="00000000" w:rsidRDefault="00A173A8">
            <w:pPr>
              <w:spacing w:after="100"/>
              <w:rPr>
                <w:rFonts w:eastAsia="Times New Roman"/>
                <w:sz w:val="20"/>
                <w:szCs w:val="20"/>
              </w:rPr>
            </w:pPr>
          </w:p>
        </w:tc>
        <w:tc>
          <w:tcPr>
            <w:tcW w:w="0" w:type="auto"/>
            <w:vAlign w:val="center"/>
            <w:hideMark/>
          </w:tcPr>
          <w:p w14:paraId="1A4E1D93" w14:textId="77777777" w:rsidR="00000000" w:rsidRDefault="00A173A8">
            <w:pPr>
              <w:spacing w:after="100"/>
              <w:rPr>
                <w:rFonts w:eastAsia="Times New Roman"/>
                <w:sz w:val="20"/>
                <w:szCs w:val="20"/>
              </w:rPr>
            </w:pPr>
          </w:p>
        </w:tc>
        <w:tc>
          <w:tcPr>
            <w:tcW w:w="0" w:type="auto"/>
            <w:vAlign w:val="center"/>
            <w:hideMark/>
          </w:tcPr>
          <w:p w14:paraId="41D160E0" w14:textId="77777777" w:rsidR="00000000" w:rsidRDefault="00A173A8">
            <w:pPr>
              <w:spacing w:after="100"/>
              <w:rPr>
                <w:rFonts w:eastAsia="Times New Roman"/>
                <w:sz w:val="20"/>
                <w:szCs w:val="20"/>
              </w:rPr>
            </w:pPr>
          </w:p>
        </w:tc>
        <w:tc>
          <w:tcPr>
            <w:tcW w:w="0" w:type="auto"/>
            <w:vAlign w:val="center"/>
            <w:hideMark/>
          </w:tcPr>
          <w:p w14:paraId="187E4E5D" w14:textId="77777777" w:rsidR="00000000" w:rsidRDefault="00A173A8">
            <w:pPr>
              <w:spacing w:after="100"/>
              <w:rPr>
                <w:rFonts w:eastAsia="Times New Roman"/>
                <w:sz w:val="20"/>
                <w:szCs w:val="20"/>
              </w:rPr>
            </w:pPr>
          </w:p>
        </w:tc>
        <w:tc>
          <w:tcPr>
            <w:tcW w:w="0" w:type="auto"/>
            <w:vAlign w:val="center"/>
            <w:hideMark/>
          </w:tcPr>
          <w:p w14:paraId="40910939" w14:textId="77777777" w:rsidR="00000000" w:rsidRDefault="00A173A8">
            <w:pPr>
              <w:spacing w:after="100"/>
              <w:rPr>
                <w:rFonts w:eastAsia="Times New Roman"/>
                <w:sz w:val="20"/>
                <w:szCs w:val="20"/>
              </w:rPr>
            </w:pPr>
          </w:p>
        </w:tc>
        <w:tc>
          <w:tcPr>
            <w:tcW w:w="0" w:type="auto"/>
            <w:vAlign w:val="center"/>
            <w:hideMark/>
          </w:tcPr>
          <w:p w14:paraId="171B9578" w14:textId="77777777" w:rsidR="00000000" w:rsidRDefault="00A173A8">
            <w:pPr>
              <w:spacing w:after="100"/>
              <w:rPr>
                <w:rFonts w:eastAsia="Times New Roman"/>
                <w:sz w:val="20"/>
                <w:szCs w:val="20"/>
              </w:rPr>
            </w:pPr>
          </w:p>
        </w:tc>
      </w:tr>
      <w:tr w:rsidR="00000000" w14:paraId="3F8E6284" w14:textId="77777777">
        <w:trPr>
          <w:divId w:val="604574635"/>
        </w:trPr>
        <w:tc>
          <w:tcPr>
            <w:tcW w:w="0" w:type="auto"/>
            <w:gridSpan w:val="3"/>
            <w:tcBorders>
              <w:bottom w:val="single" w:sz="8" w:space="0" w:color="000000"/>
            </w:tcBorders>
            <w:tcMar>
              <w:top w:w="30" w:type="dxa"/>
              <w:left w:w="20" w:type="dxa"/>
              <w:bottom w:w="30" w:type="dxa"/>
              <w:right w:w="20" w:type="dxa"/>
            </w:tcMar>
            <w:vAlign w:val="bottom"/>
            <w:hideMark/>
          </w:tcPr>
          <w:p w14:paraId="30762D19"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0ACF4FE" w14:textId="77777777" w:rsidR="00000000" w:rsidRDefault="00A173A8">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463F971B" w14:textId="77777777" w:rsidR="00000000" w:rsidRDefault="00A173A8">
            <w:pPr>
              <w:spacing w:after="100"/>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1094B0B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34B2D86" w14:textId="77777777" w:rsidR="00000000" w:rsidRDefault="00A173A8">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61E427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E9F3A7" w14:textId="77777777" w:rsidR="00000000" w:rsidRDefault="00A173A8">
            <w:pPr>
              <w:spacing w:after="100"/>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14:paraId="77352E9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E4A8B9D" w14:textId="77777777" w:rsidR="00000000" w:rsidRDefault="00A173A8">
            <w:pPr>
              <w:spacing w:after="100"/>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CDAD7A2"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28F3447" w14:textId="77777777" w:rsidR="00000000" w:rsidRDefault="00A173A8">
            <w:pPr>
              <w:spacing w:after="100"/>
              <w:jc w:val="center"/>
              <w:rPr>
                <w:rFonts w:eastAsia="Times New Roman"/>
              </w:rPr>
            </w:pPr>
            <w:r>
              <w:rPr>
                <w:rFonts w:eastAsia="Times New Roman"/>
                <w:b/>
                <w:bCs/>
                <w:color w:val="000000"/>
                <w:sz w:val="16"/>
                <w:szCs w:val="16"/>
              </w:rPr>
              <w:t>Average Term Extension (Months)</w:t>
            </w:r>
          </w:p>
        </w:tc>
        <w:tc>
          <w:tcPr>
            <w:tcW w:w="0" w:type="auto"/>
            <w:gridSpan w:val="3"/>
            <w:vAlign w:val="center"/>
            <w:hideMark/>
          </w:tcPr>
          <w:p w14:paraId="1AD533C7" w14:textId="77777777" w:rsidR="00000000" w:rsidRDefault="00A173A8">
            <w:pPr>
              <w:spacing w:after="100"/>
              <w:jc w:val="center"/>
              <w:rPr>
                <w:rFonts w:eastAsia="Times New Roman"/>
              </w:rPr>
            </w:pPr>
          </w:p>
        </w:tc>
        <w:tc>
          <w:tcPr>
            <w:tcW w:w="0" w:type="auto"/>
            <w:gridSpan w:val="3"/>
            <w:vAlign w:val="center"/>
            <w:hideMark/>
          </w:tcPr>
          <w:p w14:paraId="003024AD" w14:textId="77777777" w:rsidR="00000000" w:rsidRDefault="00A173A8">
            <w:pPr>
              <w:spacing w:after="100"/>
              <w:rPr>
                <w:rFonts w:eastAsia="Times New Roman"/>
                <w:sz w:val="20"/>
                <w:szCs w:val="20"/>
              </w:rPr>
            </w:pPr>
          </w:p>
        </w:tc>
        <w:tc>
          <w:tcPr>
            <w:tcW w:w="0" w:type="auto"/>
            <w:gridSpan w:val="3"/>
            <w:vAlign w:val="center"/>
            <w:hideMark/>
          </w:tcPr>
          <w:p w14:paraId="51FBA9FC" w14:textId="77777777" w:rsidR="00000000" w:rsidRDefault="00A173A8">
            <w:pPr>
              <w:spacing w:after="100"/>
              <w:rPr>
                <w:rFonts w:eastAsia="Times New Roman"/>
                <w:sz w:val="20"/>
                <w:szCs w:val="20"/>
              </w:rPr>
            </w:pPr>
          </w:p>
        </w:tc>
        <w:tc>
          <w:tcPr>
            <w:tcW w:w="0" w:type="auto"/>
            <w:gridSpan w:val="3"/>
            <w:vAlign w:val="center"/>
            <w:hideMark/>
          </w:tcPr>
          <w:p w14:paraId="3EB4F7AC" w14:textId="77777777" w:rsidR="00000000" w:rsidRDefault="00A173A8">
            <w:pPr>
              <w:spacing w:after="100"/>
              <w:rPr>
                <w:rFonts w:eastAsia="Times New Roman"/>
                <w:sz w:val="20"/>
                <w:szCs w:val="20"/>
              </w:rPr>
            </w:pPr>
          </w:p>
        </w:tc>
      </w:tr>
      <w:tr w:rsidR="00000000" w14:paraId="5EC814DD" w14:textId="77777777">
        <w:trPr>
          <w:divId w:val="6045746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4664468" w14:textId="77777777" w:rsidR="00000000" w:rsidRDefault="00A173A8">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725B3D8B"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54EFB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7C05E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FA8BD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D4722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2D20D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51683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17E1D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3FE99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F23D8C" w14:textId="77777777" w:rsidR="00000000" w:rsidRDefault="00A173A8">
            <w:pPr>
              <w:spacing w:after="100"/>
              <w:rPr>
                <w:rFonts w:eastAsia="Times New Roman"/>
                <w:sz w:val="20"/>
                <w:szCs w:val="20"/>
              </w:rPr>
            </w:pPr>
          </w:p>
        </w:tc>
        <w:tc>
          <w:tcPr>
            <w:tcW w:w="0" w:type="auto"/>
            <w:gridSpan w:val="3"/>
            <w:vAlign w:val="center"/>
            <w:hideMark/>
          </w:tcPr>
          <w:p w14:paraId="6E2FF3F5" w14:textId="77777777" w:rsidR="00000000" w:rsidRDefault="00A173A8">
            <w:pPr>
              <w:spacing w:after="100"/>
              <w:rPr>
                <w:rFonts w:eastAsia="Times New Roman"/>
                <w:sz w:val="20"/>
                <w:szCs w:val="20"/>
              </w:rPr>
            </w:pPr>
          </w:p>
        </w:tc>
        <w:tc>
          <w:tcPr>
            <w:tcW w:w="0" w:type="auto"/>
            <w:gridSpan w:val="3"/>
            <w:vAlign w:val="center"/>
            <w:hideMark/>
          </w:tcPr>
          <w:p w14:paraId="40AEDE83" w14:textId="77777777" w:rsidR="00000000" w:rsidRDefault="00A173A8">
            <w:pPr>
              <w:spacing w:after="100"/>
              <w:rPr>
                <w:rFonts w:eastAsia="Times New Roman"/>
                <w:sz w:val="20"/>
                <w:szCs w:val="20"/>
              </w:rPr>
            </w:pPr>
          </w:p>
        </w:tc>
        <w:tc>
          <w:tcPr>
            <w:tcW w:w="0" w:type="auto"/>
            <w:gridSpan w:val="3"/>
            <w:vAlign w:val="center"/>
            <w:hideMark/>
          </w:tcPr>
          <w:p w14:paraId="0F9B1FA2" w14:textId="77777777" w:rsidR="00000000" w:rsidRDefault="00A173A8">
            <w:pPr>
              <w:spacing w:after="100"/>
              <w:rPr>
                <w:rFonts w:eastAsia="Times New Roman"/>
                <w:sz w:val="20"/>
                <w:szCs w:val="20"/>
              </w:rPr>
            </w:pPr>
          </w:p>
        </w:tc>
        <w:tc>
          <w:tcPr>
            <w:tcW w:w="0" w:type="auto"/>
            <w:gridSpan w:val="3"/>
            <w:vAlign w:val="center"/>
            <w:hideMark/>
          </w:tcPr>
          <w:p w14:paraId="4D194DBC" w14:textId="77777777" w:rsidR="00000000" w:rsidRDefault="00A173A8">
            <w:pPr>
              <w:spacing w:after="100"/>
              <w:rPr>
                <w:rFonts w:eastAsia="Times New Roman"/>
                <w:sz w:val="20"/>
                <w:szCs w:val="20"/>
              </w:rPr>
            </w:pPr>
          </w:p>
        </w:tc>
      </w:tr>
      <w:tr w:rsidR="00000000" w14:paraId="424F7BD3" w14:textId="77777777">
        <w:trPr>
          <w:divId w:val="604574635"/>
        </w:trPr>
        <w:tc>
          <w:tcPr>
            <w:tcW w:w="0" w:type="auto"/>
            <w:gridSpan w:val="3"/>
            <w:shd w:val="clear" w:color="auto" w:fill="FFFFFF"/>
            <w:tcMar>
              <w:top w:w="30" w:type="dxa"/>
              <w:left w:w="245" w:type="dxa"/>
              <w:bottom w:w="30" w:type="dxa"/>
              <w:right w:w="20" w:type="dxa"/>
            </w:tcMar>
            <w:vAlign w:val="center"/>
            <w:hideMark/>
          </w:tcPr>
          <w:p w14:paraId="3CD54DE2" w14:textId="77777777" w:rsidR="00000000" w:rsidRDefault="00A173A8">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5E19AAA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9B46A17" w14:textId="77777777" w:rsidR="00000000" w:rsidRDefault="00A173A8">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14:paraId="3956A848" w14:textId="77777777" w:rsidR="00000000" w:rsidRDefault="00A173A8">
            <w:pPr>
              <w:spacing w:after="100"/>
              <w:jc w:val="right"/>
              <w:rPr>
                <w:rFonts w:eastAsia="Times New Roman"/>
              </w:rPr>
            </w:pPr>
            <w:r>
              <w:rPr>
                <w:rFonts w:eastAsia="Times New Roman"/>
                <w:color w:val="000000"/>
                <w:sz w:val="18"/>
                <w:szCs w:val="18"/>
              </w:rPr>
              <w:t>77</w:t>
            </w:r>
          </w:p>
        </w:tc>
        <w:tc>
          <w:tcPr>
            <w:tcW w:w="0" w:type="auto"/>
            <w:gridSpan w:val="3"/>
            <w:shd w:val="clear" w:color="auto" w:fill="FFFFFF"/>
            <w:tcMar>
              <w:top w:w="0" w:type="dxa"/>
              <w:left w:w="20" w:type="dxa"/>
              <w:bottom w:w="0" w:type="dxa"/>
              <w:right w:w="20" w:type="dxa"/>
            </w:tcMar>
            <w:vAlign w:val="center"/>
            <w:hideMark/>
          </w:tcPr>
          <w:p w14:paraId="4C82A746"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580F75" w14:textId="77777777" w:rsidR="00000000" w:rsidRDefault="00A173A8">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0C55CBFB"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27F12CE"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00152A2" w14:textId="77777777" w:rsidR="00000000" w:rsidRDefault="00A173A8">
            <w:pPr>
              <w:spacing w:after="100"/>
              <w:jc w:val="right"/>
              <w:rPr>
                <w:rFonts w:eastAsia="Times New Roman"/>
              </w:rPr>
            </w:pPr>
            <w:r>
              <w:rPr>
                <w:rFonts w:eastAsia="Times New Roman"/>
                <w:color w:val="000000"/>
                <w:sz w:val="18"/>
                <w:szCs w:val="18"/>
              </w:rPr>
              <w:t>16.10 </w:t>
            </w:r>
          </w:p>
        </w:tc>
        <w:tc>
          <w:tcPr>
            <w:tcW w:w="0" w:type="auto"/>
            <w:shd w:val="clear" w:color="auto" w:fill="FFFFFF"/>
            <w:tcMar>
              <w:top w:w="30" w:type="dxa"/>
              <w:left w:w="0" w:type="dxa"/>
              <w:bottom w:w="30" w:type="dxa"/>
              <w:right w:w="20" w:type="dxa"/>
            </w:tcMar>
            <w:vAlign w:val="center"/>
            <w:hideMark/>
          </w:tcPr>
          <w:p w14:paraId="7DCBFCF8"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5B4BA7F"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51634C1D"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696BD44B"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68BC2054"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vAlign w:val="center"/>
            <w:hideMark/>
          </w:tcPr>
          <w:p w14:paraId="1431239D" w14:textId="77777777" w:rsidR="00000000" w:rsidRDefault="00A173A8">
            <w:pPr>
              <w:spacing w:after="100"/>
              <w:jc w:val="right"/>
              <w:rPr>
                <w:rFonts w:eastAsia="Times New Roman"/>
              </w:rPr>
            </w:pPr>
          </w:p>
        </w:tc>
        <w:tc>
          <w:tcPr>
            <w:tcW w:w="0" w:type="auto"/>
            <w:gridSpan w:val="3"/>
            <w:vAlign w:val="center"/>
            <w:hideMark/>
          </w:tcPr>
          <w:p w14:paraId="3C30037F" w14:textId="77777777" w:rsidR="00000000" w:rsidRDefault="00A173A8">
            <w:pPr>
              <w:spacing w:after="100"/>
              <w:rPr>
                <w:rFonts w:eastAsia="Times New Roman"/>
                <w:sz w:val="20"/>
                <w:szCs w:val="20"/>
              </w:rPr>
            </w:pPr>
          </w:p>
        </w:tc>
        <w:tc>
          <w:tcPr>
            <w:tcW w:w="0" w:type="auto"/>
            <w:gridSpan w:val="3"/>
            <w:vAlign w:val="center"/>
            <w:hideMark/>
          </w:tcPr>
          <w:p w14:paraId="1902E13A" w14:textId="77777777" w:rsidR="00000000" w:rsidRDefault="00A173A8">
            <w:pPr>
              <w:spacing w:after="100"/>
              <w:rPr>
                <w:rFonts w:eastAsia="Times New Roman"/>
                <w:sz w:val="20"/>
                <w:szCs w:val="20"/>
              </w:rPr>
            </w:pPr>
          </w:p>
        </w:tc>
        <w:tc>
          <w:tcPr>
            <w:tcW w:w="0" w:type="auto"/>
            <w:gridSpan w:val="3"/>
            <w:vAlign w:val="center"/>
            <w:hideMark/>
          </w:tcPr>
          <w:p w14:paraId="1E87297E" w14:textId="77777777" w:rsidR="00000000" w:rsidRDefault="00A173A8">
            <w:pPr>
              <w:spacing w:after="100"/>
              <w:rPr>
                <w:rFonts w:eastAsia="Times New Roman"/>
                <w:sz w:val="20"/>
                <w:szCs w:val="20"/>
              </w:rPr>
            </w:pPr>
          </w:p>
        </w:tc>
      </w:tr>
      <w:tr w:rsidR="00000000" w14:paraId="7EF5A47E" w14:textId="77777777">
        <w:trPr>
          <w:divId w:val="604574635"/>
        </w:trPr>
        <w:tc>
          <w:tcPr>
            <w:tcW w:w="0" w:type="auto"/>
            <w:gridSpan w:val="3"/>
            <w:shd w:val="clear" w:color="auto" w:fill="CCEEFF"/>
            <w:tcMar>
              <w:top w:w="30" w:type="dxa"/>
              <w:left w:w="245" w:type="dxa"/>
              <w:bottom w:w="30" w:type="dxa"/>
              <w:right w:w="20" w:type="dxa"/>
            </w:tcMar>
            <w:vAlign w:val="center"/>
            <w:hideMark/>
          </w:tcPr>
          <w:p w14:paraId="7E4E1834" w14:textId="77777777" w:rsidR="00000000" w:rsidRDefault="00A173A8">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150378D5"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413F3342" w14:textId="77777777" w:rsidR="00000000" w:rsidRDefault="00A173A8">
            <w:pPr>
              <w:spacing w:after="100"/>
              <w:jc w:val="right"/>
              <w:rPr>
                <w:rFonts w:eastAsia="Times New Roman"/>
              </w:rPr>
            </w:pPr>
            <w:r>
              <w:rPr>
                <w:rFonts w:eastAsia="Times New Roman"/>
                <w:color w:val="000000"/>
                <w:sz w:val="18"/>
                <w:szCs w:val="18"/>
              </w:rPr>
              <w:t>66</w:t>
            </w:r>
          </w:p>
        </w:tc>
        <w:tc>
          <w:tcPr>
            <w:tcW w:w="0" w:type="auto"/>
            <w:gridSpan w:val="3"/>
            <w:shd w:val="clear" w:color="auto" w:fill="CCEEFF"/>
            <w:tcMar>
              <w:top w:w="0" w:type="dxa"/>
              <w:left w:w="20" w:type="dxa"/>
              <w:bottom w:w="0" w:type="dxa"/>
              <w:right w:w="20" w:type="dxa"/>
            </w:tcMar>
            <w:vAlign w:val="center"/>
            <w:hideMark/>
          </w:tcPr>
          <w:p w14:paraId="309E4770"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3277312" w14:textId="77777777" w:rsidR="00000000" w:rsidRDefault="00A173A8">
            <w:pPr>
              <w:spacing w:after="100"/>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14:paraId="5B765C2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9D2C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D8063F" w14:textId="77777777" w:rsidR="00000000" w:rsidRDefault="00A173A8">
            <w:pPr>
              <w:spacing w:after="100"/>
              <w:jc w:val="right"/>
              <w:rPr>
                <w:rFonts w:eastAsia="Times New Roman"/>
              </w:rPr>
            </w:pPr>
            <w:r>
              <w:rPr>
                <w:rFonts w:eastAsia="Times New Roman"/>
                <w:color w:val="000000"/>
                <w:sz w:val="18"/>
                <w:szCs w:val="18"/>
              </w:rPr>
              <w:t>27.62 </w:t>
            </w:r>
          </w:p>
        </w:tc>
        <w:tc>
          <w:tcPr>
            <w:tcW w:w="0" w:type="auto"/>
            <w:shd w:val="clear" w:color="auto" w:fill="CCEEFF"/>
            <w:tcMar>
              <w:top w:w="30" w:type="dxa"/>
              <w:left w:w="0" w:type="dxa"/>
              <w:bottom w:w="30" w:type="dxa"/>
              <w:right w:w="20" w:type="dxa"/>
            </w:tcMar>
            <w:vAlign w:val="center"/>
            <w:hideMark/>
          </w:tcPr>
          <w:p w14:paraId="57744C3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CD611"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52CD0CDC"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1F734717"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247AF7CD"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vAlign w:val="center"/>
            <w:hideMark/>
          </w:tcPr>
          <w:p w14:paraId="1C814107" w14:textId="77777777" w:rsidR="00000000" w:rsidRDefault="00A173A8">
            <w:pPr>
              <w:spacing w:after="100"/>
              <w:jc w:val="right"/>
              <w:rPr>
                <w:rFonts w:eastAsia="Times New Roman"/>
              </w:rPr>
            </w:pPr>
          </w:p>
        </w:tc>
        <w:tc>
          <w:tcPr>
            <w:tcW w:w="0" w:type="auto"/>
            <w:gridSpan w:val="3"/>
            <w:vAlign w:val="center"/>
            <w:hideMark/>
          </w:tcPr>
          <w:p w14:paraId="25A85CF2" w14:textId="77777777" w:rsidR="00000000" w:rsidRDefault="00A173A8">
            <w:pPr>
              <w:spacing w:after="100"/>
              <w:rPr>
                <w:rFonts w:eastAsia="Times New Roman"/>
                <w:sz w:val="20"/>
                <w:szCs w:val="20"/>
              </w:rPr>
            </w:pPr>
          </w:p>
        </w:tc>
        <w:tc>
          <w:tcPr>
            <w:tcW w:w="0" w:type="auto"/>
            <w:gridSpan w:val="3"/>
            <w:vAlign w:val="center"/>
            <w:hideMark/>
          </w:tcPr>
          <w:p w14:paraId="47027A9E" w14:textId="77777777" w:rsidR="00000000" w:rsidRDefault="00A173A8">
            <w:pPr>
              <w:spacing w:after="100"/>
              <w:rPr>
                <w:rFonts w:eastAsia="Times New Roman"/>
                <w:sz w:val="20"/>
                <w:szCs w:val="20"/>
              </w:rPr>
            </w:pPr>
          </w:p>
        </w:tc>
        <w:tc>
          <w:tcPr>
            <w:tcW w:w="0" w:type="auto"/>
            <w:gridSpan w:val="3"/>
            <w:vAlign w:val="center"/>
            <w:hideMark/>
          </w:tcPr>
          <w:p w14:paraId="4526DCE9" w14:textId="77777777" w:rsidR="00000000" w:rsidRDefault="00A173A8">
            <w:pPr>
              <w:spacing w:after="100"/>
              <w:rPr>
                <w:rFonts w:eastAsia="Times New Roman"/>
                <w:sz w:val="20"/>
                <w:szCs w:val="20"/>
              </w:rPr>
            </w:pPr>
          </w:p>
        </w:tc>
      </w:tr>
      <w:tr w:rsidR="00000000" w14:paraId="72B6C399" w14:textId="77777777">
        <w:trPr>
          <w:divId w:val="604574635"/>
        </w:trPr>
        <w:tc>
          <w:tcPr>
            <w:tcW w:w="0" w:type="auto"/>
            <w:gridSpan w:val="3"/>
            <w:shd w:val="clear" w:color="auto" w:fill="FFFFFF"/>
            <w:tcMar>
              <w:top w:w="30" w:type="dxa"/>
              <w:left w:w="20" w:type="dxa"/>
              <w:bottom w:w="30" w:type="dxa"/>
              <w:right w:w="20" w:type="dxa"/>
            </w:tcMar>
            <w:vAlign w:val="center"/>
            <w:hideMark/>
          </w:tcPr>
          <w:p w14:paraId="30B46B6A" w14:textId="77777777" w:rsidR="00000000" w:rsidRDefault="00A173A8">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14897BE1"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79622D51" w14:textId="77777777" w:rsidR="00000000" w:rsidRDefault="00A173A8">
            <w:pPr>
              <w:spacing w:after="100"/>
              <w:jc w:val="right"/>
              <w:rPr>
                <w:rFonts w:eastAsia="Times New Roman"/>
              </w:rPr>
            </w:pPr>
            <w:r>
              <w:rPr>
                <w:rFonts w:eastAsia="Times New Roman"/>
                <w:color w:val="000000"/>
                <w:sz w:val="18"/>
                <w:szCs w:val="18"/>
              </w:rPr>
              <w:t>143</w:t>
            </w:r>
          </w:p>
        </w:tc>
        <w:tc>
          <w:tcPr>
            <w:tcW w:w="0" w:type="auto"/>
            <w:gridSpan w:val="3"/>
            <w:shd w:val="clear" w:color="auto" w:fill="FFFFFF"/>
            <w:tcMar>
              <w:top w:w="0" w:type="dxa"/>
              <w:left w:w="20" w:type="dxa"/>
              <w:bottom w:w="0" w:type="dxa"/>
              <w:right w:w="20" w:type="dxa"/>
            </w:tcMar>
            <w:vAlign w:val="center"/>
            <w:hideMark/>
          </w:tcPr>
          <w:p w14:paraId="467180AD"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B623741" w14:textId="77777777" w:rsidR="00000000" w:rsidRDefault="00A173A8">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51EE7A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4C79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F99345" w14:textId="77777777" w:rsidR="00000000" w:rsidRDefault="00A173A8">
            <w:pPr>
              <w:spacing w:after="100"/>
              <w:jc w:val="right"/>
              <w:rPr>
                <w:rFonts w:eastAsia="Times New Roman"/>
              </w:rPr>
            </w:pPr>
            <w:r>
              <w:rPr>
                <w:rFonts w:eastAsia="Times New Roman"/>
                <w:color w:val="000000"/>
                <w:sz w:val="18"/>
                <w:szCs w:val="18"/>
              </w:rPr>
              <w:t>21.43 </w:t>
            </w:r>
          </w:p>
        </w:tc>
        <w:tc>
          <w:tcPr>
            <w:tcW w:w="0" w:type="auto"/>
            <w:shd w:val="clear" w:color="auto" w:fill="FFFFFF"/>
            <w:tcMar>
              <w:top w:w="30" w:type="dxa"/>
              <w:left w:w="0" w:type="dxa"/>
              <w:bottom w:w="30" w:type="dxa"/>
              <w:right w:w="20" w:type="dxa"/>
            </w:tcMar>
            <w:vAlign w:val="center"/>
            <w:hideMark/>
          </w:tcPr>
          <w:p w14:paraId="4E9386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6CF38"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10984F9E"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3E3323AF"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4AECCEC2"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vAlign w:val="center"/>
            <w:hideMark/>
          </w:tcPr>
          <w:p w14:paraId="79C4CEAD" w14:textId="77777777" w:rsidR="00000000" w:rsidRDefault="00A173A8">
            <w:pPr>
              <w:spacing w:after="100"/>
              <w:jc w:val="right"/>
              <w:rPr>
                <w:rFonts w:eastAsia="Times New Roman"/>
              </w:rPr>
            </w:pPr>
          </w:p>
        </w:tc>
        <w:tc>
          <w:tcPr>
            <w:tcW w:w="0" w:type="auto"/>
            <w:gridSpan w:val="3"/>
            <w:vAlign w:val="center"/>
            <w:hideMark/>
          </w:tcPr>
          <w:p w14:paraId="0E39B9C3" w14:textId="77777777" w:rsidR="00000000" w:rsidRDefault="00A173A8">
            <w:pPr>
              <w:spacing w:after="100"/>
              <w:rPr>
                <w:rFonts w:eastAsia="Times New Roman"/>
                <w:sz w:val="20"/>
                <w:szCs w:val="20"/>
              </w:rPr>
            </w:pPr>
          </w:p>
        </w:tc>
        <w:tc>
          <w:tcPr>
            <w:tcW w:w="0" w:type="auto"/>
            <w:gridSpan w:val="3"/>
            <w:vAlign w:val="center"/>
            <w:hideMark/>
          </w:tcPr>
          <w:p w14:paraId="57982B81" w14:textId="77777777" w:rsidR="00000000" w:rsidRDefault="00A173A8">
            <w:pPr>
              <w:spacing w:after="100"/>
              <w:rPr>
                <w:rFonts w:eastAsia="Times New Roman"/>
                <w:sz w:val="20"/>
                <w:szCs w:val="20"/>
              </w:rPr>
            </w:pPr>
          </w:p>
        </w:tc>
        <w:tc>
          <w:tcPr>
            <w:tcW w:w="0" w:type="auto"/>
            <w:gridSpan w:val="3"/>
            <w:vAlign w:val="center"/>
            <w:hideMark/>
          </w:tcPr>
          <w:p w14:paraId="03C9E083" w14:textId="77777777" w:rsidR="00000000" w:rsidRDefault="00A173A8">
            <w:pPr>
              <w:spacing w:after="100"/>
              <w:rPr>
                <w:rFonts w:eastAsia="Times New Roman"/>
                <w:sz w:val="20"/>
                <w:szCs w:val="20"/>
              </w:rPr>
            </w:pPr>
          </w:p>
        </w:tc>
      </w:tr>
      <w:tr w:rsidR="00000000" w14:paraId="7BA81545" w14:textId="77777777">
        <w:trPr>
          <w:divId w:val="604574635"/>
        </w:trPr>
        <w:tc>
          <w:tcPr>
            <w:tcW w:w="0" w:type="auto"/>
            <w:gridSpan w:val="3"/>
            <w:shd w:val="clear" w:color="auto" w:fill="CCEEFF"/>
            <w:tcMar>
              <w:top w:w="30" w:type="dxa"/>
              <w:left w:w="20" w:type="dxa"/>
              <w:bottom w:w="30" w:type="dxa"/>
              <w:right w:w="20" w:type="dxa"/>
            </w:tcMar>
            <w:vAlign w:val="center"/>
            <w:hideMark/>
          </w:tcPr>
          <w:p w14:paraId="687AC5C2" w14:textId="77777777" w:rsidR="00000000" w:rsidRDefault="00A173A8">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4901830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14:paraId="5A0BD44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DB2E2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86C59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5724D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2E51F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0B00C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2529341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C0753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4A5D28BA" w14:textId="77777777" w:rsidR="00000000" w:rsidRDefault="00A173A8">
            <w:pPr>
              <w:spacing w:after="100"/>
              <w:rPr>
                <w:rFonts w:eastAsia="Times New Roman"/>
                <w:sz w:val="20"/>
                <w:szCs w:val="20"/>
              </w:rPr>
            </w:pPr>
          </w:p>
        </w:tc>
        <w:tc>
          <w:tcPr>
            <w:tcW w:w="0" w:type="auto"/>
            <w:gridSpan w:val="3"/>
            <w:vAlign w:val="center"/>
            <w:hideMark/>
          </w:tcPr>
          <w:p w14:paraId="72F0436E" w14:textId="77777777" w:rsidR="00000000" w:rsidRDefault="00A173A8">
            <w:pPr>
              <w:spacing w:after="100"/>
              <w:rPr>
                <w:rFonts w:eastAsia="Times New Roman"/>
                <w:sz w:val="20"/>
                <w:szCs w:val="20"/>
              </w:rPr>
            </w:pPr>
          </w:p>
        </w:tc>
        <w:tc>
          <w:tcPr>
            <w:tcW w:w="0" w:type="auto"/>
            <w:gridSpan w:val="3"/>
            <w:vAlign w:val="center"/>
            <w:hideMark/>
          </w:tcPr>
          <w:p w14:paraId="0657C754" w14:textId="77777777" w:rsidR="00000000" w:rsidRDefault="00A173A8">
            <w:pPr>
              <w:spacing w:after="100"/>
              <w:rPr>
                <w:rFonts w:eastAsia="Times New Roman"/>
                <w:sz w:val="20"/>
                <w:szCs w:val="20"/>
              </w:rPr>
            </w:pPr>
          </w:p>
        </w:tc>
        <w:tc>
          <w:tcPr>
            <w:tcW w:w="0" w:type="auto"/>
            <w:gridSpan w:val="3"/>
            <w:vAlign w:val="center"/>
            <w:hideMark/>
          </w:tcPr>
          <w:p w14:paraId="7086986F" w14:textId="77777777" w:rsidR="00000000" w:rsidRDefault="00A173A8">
            <w:pPr>
              <w:spacing w:after="100"/>
              <w:rPr>
                <w:rFonts w:eastAsia="Times New Roman"/>
                <w:sz w:val="20"/>
                <w:szCs w:val="20"/>
              </w:rPr>
            </w:pPr>
          </w:p>
        </w:tc>
        <w:tc>
          <w:tcPr>
            <w:tcW w:w="0" w:type="auto"/>
            <w:gridSpan w:val="3"/>
            <w:vAlign w:val="center"/>
            <w:hideMark/>
          </w:tcPr>
          <w:p w14:paraId="7692DFFE" w14:textId="77777777" w:rsidR="00000000" w:rsidRDefault="00A173A8">
            <w:pPr>
              <w:spacing w:after="100"/>
              <w:rPr>
                <w:rFonts w:eastAsia="Times New Roman"/>
                <w:sz w:val="20"/>
                <w:szCs w:val="20"/>
              </w:rPr>
            </w:pPr>
          </w:p>
        </w:tc>
      </w:tr>
      <w:tr w:rsidR="00000000" w14:paraId="10607BD7" w14:textId="77777777">
        <w:trPr>
          <w:divId w:val="604574635"/>
        </w:trPr>
        <w:tc>
          <w:tcPr>
            <w:tcW w:w="0" w:type="auto"/>
            <w:gridSpan w:val="3"/>
            <w:shd w:val="clear" w:color="auto" w:fill="FFFFFF"/>
            <w:tcMar>
              <w:top w:w="30" w:type="dxa"/>
              <w:left w:w="245" w:type="dxa"/>
              <w:bottom w:w="30" w:type="dxa"/>
              <w:right w:w="20" w:type="dxa"/>
            </w:tcMar>
            <w:vAlign w:val="center"/>
            <w:hideMark/>
          </w:tcPr>
          <w:p w14:paraId="7A44FDF6" w14:textId="77777777" w:rsidR="00000000" w:rsidRDefault="00A173A8">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43CFB6FC"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12ABBBB0" w14:textId="77777777" w:rsidR="00000000" w:rsidRDefault="00A173A8">
            <w:pPr>
              <w:spacing w:after="100"/>
              <w:jc w:val="right"/>
              <w:rPr>
                <w:rFonts w:eastAsia="Times New Roman"/>
              </w:rPr>
            </w:pPr>
            <w:r>
              <w:rPr>
                <w:rFonts w:eastAsia="Times New Roman"/>
                <w:color w:val="000000"/>
                <w:sz w:val="18"/>
                <w:szCs w:val="18"/>
              </w:rPr>
              <w:t>180</w:t>
            </w:r>
          </w:p>
        </w:tc>
        <w:tc>
          <w:tcPr>
            <w:tcW w:w="0" w:type="auto"/>
            <w:gridSpan w:val="3"/>
            <w:shd w:val="clear" w:color="auto" w:fill="FFFFFF"/>
            <w:tcMar>
              <w:top w:w="0" w:type="dxa"/>
              <w:left w:w="20" w:type="dxa"/>
              <w:bottom w:w="0" w:type="dxa"/>
              <w:right w:w="20" w:type="dxa"/>
            </w:tcMar>
            <w:vAlign w:val="center"/>
            <w:hideMark/>
          </w:tcPr>
          <w:p w14:paraId="614C161E"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EF96C2B" w14:textId="77777777" w:rsidR="00000000" w:rsidRDefault="00A173A8">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center"/>
            <w:hideMark/>
          </w:tcPr>
          <w:p w14:paraId="01B77D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07CF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D82F48" w14:textId="77777777" w:rsidR="00000000" w:rsidRDefault="00A173A8">
            <w:pPr>
              <w:spacing w:after="100"/>
              <w:jc w:val="right"/>
              <w:rPr>
                <w:rFonts w:eastAsia="Times New Roman"/>
              </w:rPr>
            </w:pPr>
            <w:r>
              <w:rPr>
                <w:rFonts w:eastAsia="Times New Roman"/>
                <w:color w:val="000000"/>
                <w:sz w:val="18"/>
                <w:szCs w:val="18"/>
              </w:rPr>
              <w:t>8.87 </w:t>
            </w:r>
          </w:p>
        </w:tc>
        <w:tc>
          <w:tcPr>
            <w:tcW w:w="0" w:type="auto"/>
            <w:shd w:val="clear" w:color="auto" w:fill="FFFFFF"/>
            <w:tcMar>
              <w:top w:w="30" w:type="dxa"/>
              <w:left w:w="0" w:type="dxa"/>
              <w:bottom w:w="30" w:type="dxa"/>
              <w:right w:w="20" w:type="dxa"/>
            </w:tcMar>
            <w:vAlign w:val="center"/>
            <w:hideMark/>
          </w:tcPr>
          <w:p w14:paraId="319ADC9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E256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BD2334" w14:textId="77777777" w:rsidR="00000000" w:rsidRDefault="00A173A8">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center"/>
            <w:hideMark/>
          </w:tcPr>
          <w:p w14:paraId="6CFC4C5E" w14:textId="77777777" w:rsidR="00000000" w:rsidRDefault="00A173A8">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260AA11F"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00D3D631" w14:textId="77777777" w:rsidR="00000000" w:rsidRDefault="00A173A8">
            <w:pPr>
              <w:spacing w:after="100"/>
              <w:jc w:val="right"/>
              <w:rPr>
                <w:rFonts w:eastAsia="Times New Roman"/>
              </w:rPr>
            </w:pPr>
            <w:r>
              <w:rPr>
                <w:rFonts w:eastAsia="Times New Roman"/>
                <w:color w:val="000000"/>
                <w:sz w:val="18"/>
                <w:szCs w:val="18"/>
              </w:rPr>
              <w:t>3</w:t>
            </w:r>
          </w:p>
        </w:tc>
        <w:tc>
          <w:tcPr>
            <w:tcW w:w="0" w:type="auto"/>
            <w:gridSpan w:val="3"/>
            <w:vAlign w:val="center"/>
            <w:hideMark/>
          </w:tcPr>
          <w:p w14:paraId="59CCC48E" w14:textId="77777777" w:rsidR="00000000" w:rsidRDefault="00A173A8">
            <w:pPr>
              <w:spacing w:after="100"/>
              <w:jc w:val="right"/>
              <w:rPr>
                <w:rFonts w:eastAsia="Times New Roman"/>
              </w:rPr>
            </w:pPr>
          </w:p>
        </w:tc>
        <w:tc>
          <w:tcPr>
            <w:tcW w:w="0" w:type="auto"/>
            <w:gridSpan w:val="3"/>
            <w:vAlign w:val="center"/>
            <w:hideMark/>
          </w:tcPr>
          <w:p w14:paraId="1F9D629E" w14:textId="77777777" w:rsidR="00000000" w:rsidRDefault="00A173A8">
            <w:pPr>
              <w:spacing w:after="100"/>
              <w:rPr>
                <w:rFonts w:eastAsia="Times New Roman"/>
                <w:sz w:val="20"/>
                <w:szCs w:val="20"/>
              </w:rPr>
            </w:pPr>
          </w:p>
        </w:tc>
        <w:tc>
          <w:tcPr>
            <w:tcW w:w="0" w:type="auto"/>
            <w:gridSpan w:val="3"/>
            <w:vAlign w:val="center"/>
            <w:hideMark/>
          </w:tcPr>
          <w:p w14:paraId="73DCFCF8" w14:textId="77777777" w:rsidR="00000000" w:rsidRDefault="00A173A8">
            <w:pPr>
              <w:spacing w:after="100"/>
              <w:rPr>
                <w:rFonts w:eastAsia="Times New Roman"/>
                <w:sz w:val="20"/>
                <w:szCs w:val="20"/>
              </w:rPr>
            </w:pPr>
          </w:p>
        </w:tc>
        <w:tc>
          <w:tcPr>
            <w:tcW w:w="0" w:type="auto"/>
            <w:gridSpan w:val="3"/>
            <w:vAlign w:val="center"/>
            <w:hideMark/>
          </w:tcPr>
          <w:p w14:paraId="7FE1B16C" w14:textId="77777777" w:rsidR="00000000" w:rsidRDefault="00A173A8">
            <w:pPr>
              <w:spacing w:after="100"/>
              <w:rPr>
                <w:rFonts w:eastAsia="Times New Roman"/>
                <w:sz w:val="20"/>
                <w:szCs w:val="20"/>
              </w:rPr>
            </w:pPr>
          </w:p>
        </w:tc>
      </w:tr>
      <w:tr w:rsidR="00000000" w14:paraId="23AB95A1" w14:textId="77777777">
        <w:trPr>
          <w:divId w:val="604574635"/>
        </w:trPr>
        <w:tc>
          <w:tcPr>
            <w:tcW w:w="0" w:type="auto"/>
            <w:gridSpan w:val="3"/>
            <w:shd w:val="clear" w:color="auto" w:fill="CCEEFF"/>
            <w:tcMar>
              <w:top w:w="30" w:type="dxa"/>
              <w:left w:w="245" w:type="dxa"/>
              <w:bottom w:w="30" w:type="dxa"/>
              <w:right w:w="20" w:type="dxa"/>
            </w:tcMar>
            <w:vAlign w:val="center"/>
            <w:hideMark/>
          </w:tcPr>
          <w:p w14:paraId="607BA778" w14:textId="77777777" w:rsidR="00000000" w:rsidRDefault="00A173A8">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02D48190"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2D7B120F" w14:textId="77777777" w:rsidR="00000000" w:rsidRDefault="00A173A8">
            <w:pPr>
              <w:spacing w:after="100"/>
              <w:jc w:val="right"/>
              <w:rPr>
                <w:rFonts w:eastAsia="Times New Roman"/>
              </w:rPr>
            </w:pPr>
            <w:r>
              <w:rPr>
                <w:rFonts w:eastAsia="Times New Roman"/>
                <w:color w:val="000000"/>
                <w:sz w:val="18"/>
                <w:szCs w:val="18"/>
              </w:rPr>
              <w:t>1</w:t>
            </w:r>
          </w:p>
        </w:tc>
        <w:tc>
          <w:tcPr>
            <w:tcW w:w="0" w:type="auto"/>
            <w:gridSpan w:val="3"/>
            <w:shd w:val="clear" w:color="auto" w:fill="CCEEFF"/>
            <w:tcMar>
              <w:top w:w="0" w:type="dxa"/>
              <w:left w:w="20" w:type="dxa"/>
              <w:bottom w:w="0" w:type="dxa"/>
              <w:right w:w="20" w:type="dxa"/>
            </w:tcMar>
            <w:vAlign w:val="center"/>
            <w:hideMark/>
          </w:tcPr>
          <w:p w14:paraId="65708B63"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9A03FD0" w14:textId="77777777" w:rsidR="00000000" w:rsidRDefault="00A173A8">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14:paraId="03BCE92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947C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5433A6" w14:textId="77777777" w:rsidR="00000000" w:rsidRDefault="00A173A8">
            <w:pPr>
              <w:spacing w:after="100"/>
              <w:jc w:val="right"/>
              <w:rPr>
                <w:rFonts w:eastAsia="Times New Roman"/>
              </w:rPr>
            </w:pPr>
            <w:r>
              <w:rPr>
                <w:rFonts w:eastAsia="Times New Roman"/>
                <w:color w:val="000000"/>
                <w:sz w:val="18"/>
                <w:szCs w:val="18"/>
              </w:rPr>
              <w:t>3.77 </w:t>
            </w:r>
          </w:p>
        </w:tc>
        <w:tc>
          <w:tcPr>
            <w:tcW w:w="0" w:type="auto"/>
            <w:shd w:val="clear" w:color="auto" w:fill="CCEEFF"/>
            <w:tcMar>
              <w:top w:w="30" w:type="dxa"/>
              <w:left w:w="0" w:type="dxa"/>
              <w:bottom w:w="30" w:type="dxa"/>
              <w:right w:w="20" w:type="dxa"/>
            </w:tcMar>
            <w:vAlign w:val="center"/>
            <w:hideMark/>
          </w:tcPr>
          <w:p w14:paraId="004E5FA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7F10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A60984" w14:textId="77777777" w:rsidR="00000000" w:rsidRDefault="00A173A8">
            <w:pPr>
              <w:spacing w:after="100"/>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center"/>
            <w:hideMark/>
          </w:tcPr>
          <w:p w14:paraId="7CC7AD6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53EE7C"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15F0D48E" w14:textId="77777777" w:rsidR="00000000" w:rsidRDefault="00A173A8">
            <w:pPr>
              <w:spacing w:after="100"/>
              <w:jc w:val="right"/>
              <w:rPr>
                <w:rFonts w:eastAsia="Times New Roman"/>
              </w:rPr>
            </w:pPr>
            <w:r>
              <w:rPr>
                <w:rFonts w:eastAsia="Times New Roman"/>
                <w:color w:val="000000"/>
                <w:sz w:val="18"/>
                <w:szCs w:val="18"/>
              </w:rPr>
              <w:t>28</w:t>
            </w:r>
          </w:p>
        </w:tc>
        <w:tc>
          <w:tcPr>
            <w:tcW w:w="0" w:type="auto"/>
            <w:gridSpan w:val="3"/>
            <w:vAlign w:val="center"/>
            <w:hideMark/>
          </w:tcPr>
          <w:p w14:paraId="53170654" w14:textId="77777777" w:rsidR="00000000" w:rsidRDefault="00A173A8">
            <w:pPr>
              <w:spacing w:after="100"/>
              <w:jc w:val="right"/>
              <w:rPr>
                <w:rFonts w:eastAsia="Times New Roman"/>
              </w:rPr>
            </w:pPr>
          </w:p>
        </w:tc>
        <w:tc>
          <w:tcPr>
            <w:tcW w:w="0" w:type="auto"/>
            <w:gridSpan w:val="3"/>
            <w:vAlign w:val="center"/>
            <w:hideMark/>
          </w:tcPr>
          <w:p w14:paraId="355AADF1" w14:textId="77777777" w:rsidR="00000000" w:rsidRDefault="00A173A8">
            <w:pPr>
              <w:spacing w:after="100"/>
              <w:rPr>
                <w:rFonts w:eastAsia="Times New Roman"/>
                <w:sz w:val="20"/>
                <w:szCs w:val="20"/>
              </w:rPr>
            </w:pPr>
          </w:p>
        </w:tc>
        <w:tc>
          <w:tcPr>
            <w:tcW w:w="0" w:type="auto"/>
            <w:gridSpan w:val="3"/>
            <w:vAlign w:val="center"/>
            <w:hideMark/>
          </w:tcPr>
          <w:p w14:paraId="72CFBFD4" w14:textId="77777777" w:rsidR="00000000" w:rsidRDefault="00A173A8">
            <w:pPr>
              <w:spacing w:after="100"/>
              <w:rPr>
                <w:rFonts w:eastAsia="Times New Roman"/>
                <w:sz w:val="20"/>
                <w:szCs w:val="20"/>
              </w:rPr>
            </w:pPr>
          </w:p>
        </w:tc>
        <w:tc>
          <w:tcPr>
            <w:tcW w:w="0" w:type="auto"/>
            <w:gridSpan w:val="3"/>
            <w:vAlign w:val="center"/>
            <w:hideMark/>
          </w:tcPr>
          <w:p w14:paraId="26FF1A95" w14:textId="77777777" w:rsidR="00000000" w:rsidRDefault="00A173A8">
            <w:pPr>
              <w:spacing w:after="100"/>
              <w:rPr>
                <w:rFonts w:eastAsia="Times New Roman"/>
                <w:sz w:val="20"/>
                <w:szCs w:val="20"/>
              </w:rPr>
            </w:pPr>
          </w:p>
        </w:tc>
      </w:tr>
      <w:tr w:rsidR="00000000" w14:paraId="12462C44" w14:textId="77777777">
        <w:trPr>
          <w:divId w:val="604574635"/>
        </w:trPr>
        <w:tc>
          <w:tcPr>
            <w:tcW w:w="0" w:type="auto"/>
            <w:gridSpan w:val="3"/>
            <w:shd w:val="clear" w:color="auto" w:fill="FFFFFF"/>
            <w:tcMar>
              <w:top w:w="30" w:type="dxa"/>
              <w:left w:w="20" w:type="dxa"/>
              <w:bottom w:w="30" w:type="dxa"/>
              <w:right w:w="20" w:type="dxa"/>
            </w:tcMar>
            <w:vAlign w:val="center"/>
            <w:hideMark/>
          </w:tcPr>
          <w:p w14:paraId="0898109E" w14:textId="77777777" w:rsidR="00000000" w:rsidRDefault="00A173A8">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4CC229AE"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4FC5DF76" w14:textId="77777777" w:rsidR="00000000" w:rsidRDefault="00A173A8">
            <w:pPr>
              <w:spacing w:after="100"/>
              <w:jc w:val="right"/>
              <w:rPr>
                <w:rFonts w:eastAsia="Times New Roman"/>
              </w:rPr>
            </w:pPr>
            <w:r>
              <w:rPr>
                <w:rFonts w:eastAsia="Times New Roman"/>
                <w:color w:val="000000"/>
                <w:sz w:val="18"/>
                <w:szCs w:val="18"/>
              </w:rPr>
              <w:t>181</w:t>
            </w:r>
          </w:p>
        </w:tc>
        <w:tc>
          <w:tcPr>
            <w:tcW w:w="0" w:type="auto"/>
            <w:gridSpan w:val="3"/>
            <w:shd w:val="clear" w:color="auto" w:fill="FFFFFF"/>
            <w:tcMar>
              <w:top w:w="0" w:type="dxa"/>
              <w:left w:w="20" w:type="dxa"/>
              <w:bottom w:w="0" w:type="dxa"/>
              <w:right w:w="20" w:type="dxa"/>
            </w:tcMar>
            <w:vAlign w:val="center"/>
            <w:hideMark/>
          </w:tcPr>
          <w:p w14:paraId="751A973E"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8291C83" w14:textId="77777777" w:rsidR="00000000" w:rsidRDefault="00A173A8">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center"/>
            <w:hideMark/>
          </w:tcPr>
          <w:p w14:paraId="7C37922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E9D5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17BF72" w14:textId="77777777" w:rsidR="00000000" w:rsidRDefault="00A173A8">
            <w:pPr>
              <w:spacing w:after="100"/>
              <w:jc w:val="right"/>
              <w:rPr>
                <w:rFonts w:eastAsia="Times New Roman"/>
              </w:rPr>
            </w:pPr>
            <w:r>
              <w:rPr>
                <w:rFonts w:eastAsia="Times New Roman"/>
                <w:color w:val="000000"/>
                <w:sz w:val="18"/>
                <w:szCs w:val="18"/>
              </w:rPr>
              <w:t>8.85 </w:t>
            </w:r>
          </w:p>
        </w:tc>
        <w:tc>
          <w:tcPr>
            <w:tcW w:w="0" w:type="auto"/>
            <w:shd w:val="clear" w:color="auto" w:fill="FFFFFF"/>
            <w:tcMar>
              <w:top w:w="30" w:type="dxa"/>
              <w:left w:w="0" w:type="dxa"/>
              <w:bottom w:w="30" w:type="dxa"/>
              <w:right w:w="20" w:type="dxa"/>
            </w:tcMar>
            <w:vAlign w:val="center"/>
            <w:hideMark/>
          </w:tcPr>
          <w:p w14:paraId="3D1836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02085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A078EB6" w14:textId="77777777" w:rsidR="00000000" w:rsidRDefault="00A173A8">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center"/>
            <w:hideMark/>
          </w:tcPr>
          <w:p w14:paraId="2EFA95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356273"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410EB53C" w14:textId="77777777" w:rsidR="00000000" w:rsidRDefault="00A173A8">
            <w:pPr>
              <w:spacing w:after="100"/>
              <w:jc w:val="right"/>
              <w:rPr>
                <w:rFonts w:eastAsia="Times New Roman"/>
              </w:rPr>
            </w:pPr>
            <w:r>
              <w:rPr>
                <w:rFonts w:eastAsia="Times New Roman"/>
                <w:color w:val="000000"/>
                <w:sz w:val="18"/>
                <w:szCs w:val="18"/>
              </w:rPr>
              <w:t>3</w:t>
            </w:r>
          </w:p>
        </w:tc>
        <w:tc>
          <w:tcPr>
            <w:tcW w:w="0" w:type="auto"/>
            <w:gridSpan w:val="3"/>
            <w:vAlign w:val="center"/>
            <w:hideMark/>
          </w:tcPr>
          <w:p w14:paraId="6C4BA85E" w14:textId="77777777" w:rsidR="00000000" w:rsidRDefault="00A173A8">
            <w:pPr>
              <w:spacing w:after="100"/>
              <w:jc w:val="right"/>
              <w:rPr>
                <w:rFonts w:eastAsia="Times New Roman"/>
              </w:rPr>
            </w:pPr>
          </w:p>
        </w:tc>
        <w:tc>
          <w:tcPr>
            <w:tcW w:w="0" w:type="auto"/>
            <w:gridSpan w:val="3"/>
            <w:vAlign w:val="center"/>
            <w:hideMark/>
          </w:tcPr>
          <w:p w14:paraId="2D871BBB" w14:textId="77777777" w:rsidR="00000000" w:rsidRDefault="00A173A8">
            <w:pPr>
              <w:spacing w:after="100"/>
              <w:rPr>
                <w:rFonts w:eastAsia="Times New Roman"/>
                <w:sz w:val="20"/>
                <w:szCs w:val="20"/>
              </w:rPr>
            </w:pPr>
          </w:p>
        </w:tc>
        <w:tc>
          <w:tcPr>
            <w:tcW w:w="0" w:type="auto"/>
            <w:gridSpan w:val="3"/>
            <w:vAlign w:val="center"/>
            <w:hideMark/>
          </w:tcPr>
          <w:p w14:paraId="333F98E5" w14:textId="77777777" w:rsidR="00000000" w:rsidRDefault="00A173A8">
            <w:pPr>
              <w:spacing w:after="100"/>
              <w:rPr>
                <w:rFonts w:eastAsia="Times New Roman"/>
                <w:sz w:val="20"/>
                <w:szCs w:val="20"/>
              </w:rPr>
            </w:pPr>
          </w:p>
        </w:tc>
        <w:tc>
          <w:tcPr>
            <w:tcW w:w="0" w:type="auto"/>
            <w:gridSpan w:val="3"/>
            <w:vAlign w:val="center"/>
            <w:hideMark/>
          </w:tcPr>
          <w:p w14:paraId="29D9595E" w14:textId="77777777" w:rsidR="00000000" w:rsidRDefault="00A173A8">
            <w:pPr>
              <w:spacing w:after="100"/>
              <w:rPr>
                <w:rFonts w:eastAsia="Times New Roman"/>
                <w:sz w:val="20"/>
                <w:szCs w:val="20"/>
              </w:rPr>
            </w:pPr>
          </w:p>
        </w:tc>
      </w:tr>
      <w:tr w:rsidR="00000000" w14:paraId="7FC56EFF" w14:textId="77777777">
        <w:trPr>
          <w:divId w:val="604574635"/>
        </w:trPr>
        <w:tc>
          <w:tcPr>
            <w:tcW w:w="0" w:type="auto"/>
            <w:gridSpan w:val="3"/>
            <w:shd w:val="clear" w:color="auto" w:fill="CCEEFF"/>
            <w:tcMar>
              <w:top w:w="30" w:type="dxa"/>
              <w:left w:w="20" w:type="dxa"/>
              <w:bottom w:w="30" w:type="dxa"/>
              <w:right w:w="20" w:type="dxa"/>
            </w:tcMar>
            <w:vAlign w:val="center"/>
            <w:hideMark/>
          </w:tcPr>
          <w:p w14:paraId="291CDA43" w14:textId="77777777" w:rsidR="00000000" w:rsidRDefault="00A173A8">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52EE0099"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14:paraId="0F99D9A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3ECC7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3037601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6EA1F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4A49008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A6664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23ADA75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F9019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140" w:type="dxa"/>
            </w:tcMar>
            <w:vAlign w:val="center"/>
            <w:hideMark/>
          </w:tcPr>
          <w:p w14:paraId="06BE7039" w14:textId="77777777" w:rsidR="00000000" w:rsidRDefault="00A173A8">
            <w:pPr>
              <w:spacing w:after="100"/>
              <w:rPr>
                <w:rFonts w:eastAsia="Times New Roman"/>
                <w:sz w:val="20"/>
                <w:szCs w:val="20"/>
              </w:rPr>
            </w:pPr>
          </w:p>
        </w:tc>
        <w:tc>
          <w:tcPr>
            <w:tcW w:w="0" w:type="auto"/>
            <w:gridSpan w:val="3"/>
            <w:vAlign w:val="center"/>
            <w:hideMark/>
          </w:tcPr>
          <w:p w14:paraId="52E3EBEF" w14:textId="77777777" w:rsidR="00000000" w:rsidRDefault="00A173A8">
            <w:pPr>
              <w:spacing w:after="100"/>
              <w:rPr>
                <w:rFonts w:eastAsia="Times New Roman"/>
                <w:sz w:val="20"/>
                <w:szCs w:val="20"/>
              </w:rPr>
            </w:pPr>
          </w:p>
        </w:tc>
        <w:tc>
          <w:tcPr>
            <w:tcW w:w="0" w:type="auto"/>
            <w:gridSpan w:val="3"/>
            <w:vAlign w:val="center"/>
            <w:hideMark/>
          </w:tcPr>
          <w:p w14:paraId="0CDF16A1" w14:textId="77777777" w:rsidR="00000000" w:rsidRDefault="00A173A8">
            <w:pPr>
              <w:spacing w:after="100"/>
              <w:rPr>
                <w:rFonts w:eastAsia="Times New Roman"/>
                <w:sz w:val="20"/>
                <w:szCs w:val="20"/>
              </w:rPr>
            </w:pPr>
          </w:p>
        </w:tc>
        <w:tc>
          <w:tcPr>
            <w:tcW w:w="0" w:type="auto"/>
            <w:gridSpan w:val="3"/>
            <w:vAlign w:val="center"/>
            <w:hideMark/>
          </w:tcPr>
          <w:p w14:paraId="6573DA0E" w14:textId="77777777" w:rsidR="00000000" w:rsidRDefault="00A173A8">
            <w:pPr>
              <w:spacing w:after="100"/>
              <w:rPr>
                <w:rFonts w:eastAsia="Times New Roman"/>
                <w:sz w:val="20"/>
                <w:szCs w:val="20"/>
              </w:rPr>
            </w:pPr>
          </w:p>
        </w:tc>
        <w:tc>
          <w:tcPr>
            <w:tcW w:w="0" w:type="auto"/>
            <w:gridSpan w:val="3"/>
            <w:vAlign w:val="center"/>
            <w:hideMark/>
          </w:tcPr>
          <w:p w14:paraId="28813470" w14:textId="77777777" w:rsidR="00000000" w:rsidRDefault="00A173A8">
            <w:pPr>
              <w:spacing w:after="100"/>
              <w:rPr>
                <w:rFonts w:eastAsia="Times New Roman"/>
                <w:sz w:val="20"/>
                <w:szCs w:val="20"/>
              </w:rPr>
            </w:pPr>
          </w:p>
        </w:tc>
      </w:tr>
      <w:tr w:rsidR="00000000" w14:paraId="034E965E" w14:textId="77777777">
        <w:trPr>
          <w:divId w:val="604574635"/>
        </w:trPr>
        <w:tc>
          <w:tcPr>
            <w:tcW w:w="0" w:type="auto"/>
            <w:gridSpan w:val="3"/>
            <w:shd w:val="clear" w:color="auto" w:fill="FFFFFF"/>
            <w:tcMar>
              <w:top w:w="30" w:type="dxa"/>
              <w:left w:w="245" w:type="dxa"/>
              <w:bottom w:w="30" w:type="dxa"/>
              <w:right w:w="20" w:type="dxa"/>
            </w:tcMar>
            <w:vAlign w:val="center"/>
            <w:hideMark/>
          </w:tcPr>
          <w:p w14:paraId="54402352" w14:textId="77777777" w:rsidR="00000000" w:rsidRDefault="00A173A8">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3B97F634"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4FCCF491" w14:textId="77777777" w:rsidR="00000000" w:rsidRDefault="00A173A8">
            <w:pPr>
              <w:spacing w:after="100"/>
              <w:jc w:val="right"/>
              <w:rPr>
                <w:rFonts w:eastAsia="Times New Roman"/>
              </w:rPr>
            </w:pPr>
            <w:r>
              <w:rPr>
                <w:rFonts w:eastAsia="Times New Roman"/>
                <w:color w:val="000000"/>
                <w:sz w:val="18"/>
                <w:szCs w:val="18"/>
              </w:rPr>
              <w:t>20</w:t>
            </w:r>
          </w:p>
        </w:tc>
        <w:tc>
          <w:tcPr>
            <w:tcW w:w="0" w:type="auto"/>
            <w:gridSpan w:val="3"/>
            <w:shd w:val="clear" w:color="auto" w:fill="FFFFFF"/>
            <w:tcMar>
              <w:top w:w="0" w:type="dxa"/>
              <w:left w:w="20" w:type="dxa"/>
              <w:bottom w:w="0" w:type="dxa"/>
              <w:right w:w="20" w:type="dxa"/>
            </w:tcMar>
            <w:vAlign w:val="center"/>
            <w:hideMark/>
          </w:tcPr>
          <w:p w14:paraId="04CF4A0D"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1F58935D"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241A2AEF"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1AEDC5A1"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2EC36ACF"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9E55F51" w14:textId="77777777" w:rsidR="00000000" w:rsidRDefault="00A173A8">
            <w:pPr>
              <w:spacing w:after="100"/>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14:paraId="0F86714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49C3E"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32DABC22" w14:textId="77777777" w:rsidR="00000000" w:rsidRDefault="00A173A8">
            <w:pPr>
              <w:spacing w:after="100"/>
              <w:jc w:val="right"/>
              <w:rPr>
                <w:rFonts w:eastAsia="Times New Roman"/>
              </w:rPr>
            </w:pPr>
            <w:r>
              <w:rPr>
                <w:rFonts w:eastAsia="Times New Roman"/>
                <w:color w:val="000000"/>
                <w:sz w:val="18"/>
                <w:szCs w:val="18"/>
              </w:rPr>
              <w:t>14</w:t>
            </w:r>
          </w:p>
        </w:tc>
        <w:tc>
          <w:tcPr>
            <w:tcW w:w="0" w:type="auto"/>
            <w:gridSpan w:val="3"/>
            <w:vAlign w:val="center"/>
            <w:hideMark/>
          </w:tcPr>
          <w:p w14:paraId="0C703461" w14:textId="77777777" w:rsidR="00000000" w:rsidRDefault="00A173A8">
            <w:pPr>
              <w:spacing w:after="100"/>
              <w:jc w:val="right"/>
              <w:rPr>
                <w:rFonts w:eastAsia="Times New Roman"/>
              </w:rPr>
            </w:pPr>
          </w:p>
        </w:tc>
        <w:tc>
          <w:tcPr>
            <w:tcW w:w="0" w:type="auto"/>
            <w:gridSpan w:val="3"/>
            <w:vAlign w:val="center"/>
            <w:hideMark/>
          </w:tcPr>
          <w:p w14:paraId="4796206A" w14:textId="77777777" w:rsidR="00000000" w:rsidRDefault="00A173A8">
            <w:pPr>
              <w:spacing w:after="100"/>
              <w:rPr>
                <w:rFonts w:eastAsia="Times New Roman"/>
                <w:sz w:val="20"/>
                <w:szCs w:val="20"/>
              </w:rPr>
            </w:pPr>
          </w:p>
        </w:tc>
        <w:tc>
          <w:tcPr>
            <w:tcW w:w="0" w:type="auto"/>
            <w:gridSpan w:val="3"/>
            <w:vAlign w:val="center"/>
            <w:hideMark/>
          </w:tcPr>
          <w:p w14:paraId="65665EAB" w14:textId="77777777" w:rsidR="00000000" w:rsidRDefault="00A173A8">
            <w:pPr>
              <w:spacing w:after="100"/>
              <w:rPr>
                <w:rFonts w:eastAsia="Times New Roman"/>
                <w:sz w:val="20"/>
                <w:szCs w:val="20"/>
              </w:rPr>
            </w:pPr>
          </w:p>
        </w:tc>
        <w:tc>
          <w:tcPr>
            <w:tcW w:w="0" w:type="auto"/>
            <w:gridSpan w:val="3"/>
            <w:vAlign w:val="center"/>
            <w:hideMark/>
          </w:tcPr>
          <w:p w14:paraId="234AAFFF" w14:textId="77777777" w:rsidR="00000000" w:rsidRDefault="00A173A8">
            <w:pPr>
              <w:spacing w:after="100"/>
              <w:rPr>
                <w:rFonts w:eastAsia="Times New Roman"/>
                <w:sz w:val="20"/>
                <w:szCs w:val="20"/>
              </w:rPr>
            </w:pPr>
          </w:p>
        </w:tc>
      </w:tr>
      <w:tr w:rsidR="00000000" w14:paraId="6952D62F" w14:textId="77777777">
        <w:trPr>
          <w:divId w:val="604574635"/>
        </w:trPr>
        <w:tc>
          <w:tcPr>
            <w:tcW w:w="0" w:type="auto"/>
            <w:gridSpan w:val="3"/>
            <w:shd w:val="clear" w:color="auto" w:fill="CCEEFF"/>
            <w:tcMar>
              <w:top w:w="30" w:type="dxa"/>
              <w:left w:w="245" w:type="dxa"/>
              <w:bottom w:w="30" w:type="dxa"/>
              <w:right w:w="20" w:type="dxa"/>
            </w:tcMar>
            <w:vAlign w:val="center"/>
            <w:hideMark/>
          </w:tcPr>
          <w:p w14:paraId="78EB479F" w14:textId="77777777" w:rsidR="00000000" w:rsidRDefault="00A173A8">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752796CC"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0AD10095" w14:textId="77777777" w:rsidR="00000000" w:rsidRDefault="00A173A8">
            <w:pPr>
              <w:spacing w:after="100"/>
              <w:jc w:val="right"/>
              <w:rPr>
                <w:rFonts w:eastAsia="Times New Roman"/>
              </w:rPr>
            </w:pPr>
            <w:r>
              <w:rPr>
                <w:rFonts w:eastAsia="Times New Roman"/>
                <w:color w:val="000000"/>
                <w:sz w:val="18"/>
                <w:szCs w:val="18"/>
              </w:rPr>
              <w:t>78</w:t>
            </w:r>
          </w:p>
        </w:tc>
        <w:tc>
          <w:tcPr>
            <w:tcW w:w="0" w:type="auto"/>
            <w:gridSpan w:val="3"/>
            <w:shd w:val="clear" w:color="auto" w:fill="CCEEFF"/>
            <w:tcMar>
              <w:top w:w="0" w:type="dxa"/>
              <w:left w:w="20" w:type="dxa"/>
              <w:bottom w:w="0" w:type="dxa"/>
              <w:right w:w="20" w:type="dxa"/>
            </w:tcMar>
            <w:vAlign w:val="center"/>
            <w:hideMark/>
          </w:tcPr>
          <w:p w14:paraId="0F0FF9F9"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72F56E84"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4C9DAC79"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14:paraId="57EE74CC"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7203A3F4"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0B5AC6C" w14:textId="77777777" w:rsidR="00000000" w:rsidRDefault="00A173A8">
            <w:pPr>
              <w:spacing w:after="100"/>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center"/>
            <w:hideMark/>
          </w:tcPr>
          <w:p w14:paraId="24A46A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8695B"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14:paraId="3C0EA27F" w14:textId="77777777" w:rsidR="00000000" w:rsidRDefault="00A173A8">
            <w:pPr>
              <w:spacing w:after="100"/>
              <w:jc w:val="right"/>
              <w:rPr>
                <w:rFonts w:eastAsia="Times New Roman"/>
              </w:rPr>
            </w:pPr>
            <w:r>
              <w:rPr>
                <w:rFonts w:eastAsia="Times New Roman"/>
                <w:color w:val="000000"/>
                <w:sz w:val="18"/>
                <w:szCs w:val="18"/>
              </w:rPr>
              <w:t>8</w:t>
            </w:r>
          </w:p>
        </w:tc>
        <w:tc>
          <w:tcPr>
            <w:tcW w:w="0" w:type="auto"/>
            <w:gridSpan w:val="3"/>
            <w:vAlign w:val="center"/>
            <w:hideMark/>
          </w:tcPr>
          <w:p w14:paraId="187CC532" w14:textId="77777777" w:rsidR="00000000" w:rsidRDefault="00A173A8">
            <w:pPr>
              <w:spacing w:after="100"/>
              <w:jc w:val="right"/>
              <w:rPr>
                <w:rFonts w:eastAsia="Times New Roman"/>
              </w:rPr>
            </w:pPr>
          </w:p>
        </w:tc>
        <w:tc>
          <w:tcPr>
            <w:tcW w:w="0" w:type="auto"/>
            <w:gridSpan w:val="3"/>
            <w:vAlign w:val="center"/>
            <w:hideMark/>
          </w:tcPr>
          <w:p w14:paraId="05A5C797" w14:textId="77777777" w:rsidR="00000000" w:rsidRDefault="00A173A8">
            <w:pPr>
              <w:spacing w:after="100"/>
              <w:rPr>
                <w:rFonts w:eastAsia="Times New Roman"/>
                <w:sz w:val="20"/>
                <w:szCs w:val="20"/>
              </w:rPr>
            </w:pPr>
          </w:p>
        </w:tc>
        <w:tc>
          <w:tcPr>
            <w:tcW w:w="0" w:type="auto"/>
            <w:gridSpan w:val="3"/>
            <w:vAlign w:val="center"/>
            <w:hideMark/>
          </w:tcPr>
          <w:p w14:paraId="43E696B7" w14:textId="77777777" w:rsidR="00000000" w:rsidRDefault="00A173A8">
            <w:pPr>
              <w:spacing w:after="100"/>
              <w:rPr>
                <w:rFonts w:eastAsia="Times New Roman"/>
                <w:sz w:val="20"/>
                <w:szCs w:val="20"/>
              </w:rPr>
            </w:pPr>
          </w:p>
        </w:tc>
        <w:tc>
          <w:tcPr>
            <w:tcW w:w="0" w:type="auto"/>
            <w:gridSpan w:val="3"/>
            <w:vAlign w:val="center"/>
            <w:hideMark/>
          </w:tcPr>
          <w:p w14:paraId="0030C06D" w14:textId="77777777" w:rsidR="00000000" w:rsidRDefault="00A173A8">
            <w:pPr>
              <w:spacing w:after="100"/>
              <w:rPr>
                <w:rFonts w:eastAsia="Times New Roman"/>
                <w:sz w:val="20"/>
                <w:szCs w:val="20"/>
              </w:rPr>
            </w:pPr>
          </w:p>
        </w:tc>
      </w:tr>
      <w:tr w:rsidR="00000000" w14:paraId="02E9BF51" w14:textId="77777777">
        <w:trPr>
          <w:divId w:val="604574635"/>
        </w:trPr>
        <w:tc>
          <w:tcPr>
            <w:tcW w:w="0" w:type="auto"/>
            <w:gridSpan w:val="3"/>
            <w:shd w:val="clear" w:color="auto" w:fill="FFFFFF"/>
            <w:tcMar>
              <w:top w:w="30" w:type="dxa"/>
              <w:left w:w="20" w:type="dxa"/>
              <w:bottom w:w="30" w:type="dxa"/>
              <w:right w:w="20" w:type="dxa"/>
            </w:tcMar>
            <w:vAlign w:val="center"/>
            <w:hideMark/>
          </w:tcPr>
          <w:p w14:paraId="29EFB8F2" w14:textId="77777777" w:rsidR="00000000" w:rsidRDefault="00A173A8">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6C96E50B"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14:paraId="73DDBB9F" w14:textId="77777777" w:rsidR="00000000" w:rsidRDefault="00A173A8">
            <w:pPr>
              <w:spacing w:after="100"/>
              <w:jc w:val="right"/>
              <w:rPr>
                <w:rFonts w:eastAsia="Times New Roman"/>
              </w:rPr>
            </w:pPr>
            <w:r>
              <w:rPr>
                <w:rFonts w:eastAsia="Times New Roman"/>
                <w:color w:val="000000"/>
                <w:sz w:val="18"/>
                <w:szCs w:val="18"/>
              </w:rPr>
              <w:t>98</w:t>
            </w:r>
          </w:p>
        </w:tc>
        <w:tc>
          <w:tcPr>
            <w:tcW w:w="0" w:type="auto"/>
            <w:gridSpan w:val="3"/>
            <w:shd w:val="clear" w:color="auto" w:fill="FFFFFF"/>
            <w:tcMar>
              <w:top w:w="0" w:type="dxa"/>
              <w:left w:w="20" w:type="dxa"/>
              <w:bottom w:w="0" w:type="dxa"/>
              <w:right w:w="20" w:type="dxa"/>
            </w:tcMar>
            <w:vAlign w:val="center"/>
            <w:hideMark/>
          </w:tcPr>
          <w:p w14:paraId="1C73C0DE"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1FBAD31A"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5D4146BD"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2C43A6A4"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14:paraId="3A5C9D39"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E085DAA" w14:textId="77777777" w:rsidR="00000000" w:rsidRDefault="00A173A8">
            <w:pPr>
              <w:spacing w:after="100"/>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center"/>
            <w:hideMark/>
          </w:tcPr>
          <w:p w14:paraId="71FE00F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73AFA"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14:paraId="511E546C" w14:textId="77777777" w:rsidR="00000000" w:rsidRDefault="00A173A8">
            <w:pPr>
              <w:spacing w:after="100"/>
              <w:jc w:val="right"/>
              <w:rPr>
                <w:rFonts w:eastAsia="Times New Roman"/>
              </w:rPr>
            </w:pPr>
            <w:r>
              <w:rPr>
                <w:rFonts w:eastAsia="Times New Roman"/>
                <w:color w:val="000000"/>
                <w:sz w:val="18"/>
                <w:szCs w:val="18"/>
              </w:rPr>
              <w:t>11</w:t>
            </w:r>
          </w:p>
        </w:tc>
        <w:tc>
          <w:tcPr>
            <w:tcW w:w="0" w:type="auto"/>
            <w:gridSpan w:val="3"/>
            <w:vAlign w:val="center"/>
            <w:hideMark/>
          </w:tcPr>
          <w:p w14:paraId="139997A4" w14:textId="77777777" w:rsidR="00000000" w:rsidRDefault="00A173A8">
            <w:pPr>
              <w:spacing w:after="100"/>
              <w:jc w:val="right"/>
              <w:rPr>
                <w:rFonts w:eastAsia="Times New Roman"/>
              </w:rPr>
            </w:pPr>
          </w:p>
        </w:tc>
        <w:tc>
          <w:tcPr>
            <w:tcW w:w="0" w:type="auto"/>
            <w:gridSpan w:val="3"/>
            <w:vAlign w:val="center"/>
            <w:hideMark/>
          </w:tcPr>
          <w:p w14:paraId="065B3158" w14:textId="77777777" w:rsidR="00000000" w:rsidRDefault="00A173A8">
            <w:pPr>
              <w:spacing w:after="100"/>
              <w:rPr>
                <w:rFonts w:eastAsia="Times New Roman"/>
                <w:sz w:val="20"/>
                <w:szCs w:val="20"/>
              </w:rPr>
            </w:pPr>
          </w:p>
        </w:tc>
        <w:tc>
          <w:tcPr>
            <w:tcW w:w="0" w:type="auto"/>
            <w:gridSpan w:val="3"/>
            <w:vAlign w:val="center"/>
            <w:hideMark/>
          </w:tcPr>
          <w:p w14:paraId="7380AA5F" w14:textId="77777777" w:rsidR="00000000" w:rsidRDefault="00A173A8">
            <w:pPr>
              <w:spacing w:after="100"/>
              <w:rPr>
                <w:rFonts w:eastAsia="Times New Roman"/>
                <w:sz w:val="20"/>
                <w:szCs w:val="20"/>
              </w:rPr>
            </w:pPr>
          </w:p>
        </w:tc>
        <w:tc>
          <w:tcPr>
            <w:tcW w:w="0" w:type="auto"/>
            <w:gridSpan w:val="3"/>
            <w:vAlign w:val="center"/>
            <w:hideMark/>
          </w:tcPr>
          <w:p w14:paraId="2A150190" w14:textId="77777777" w:rsidR="00000000" w:rsidRDefault="00A173A8">
            <w:pPr>
              <w:spacing w:after="100"/>
              <w:rPr>
                <w:rFonts w:eastAsia="Times New Roman"/>
                <w:sz w:val="20"/>
                <w:szCs w:val="20"/>
              </w:rPr>
            </w:pPr>
          </w:p>
        </w:tc>
      </w:tr>
      <w:tr w:rsidR="00000000" w14:paraId="4925B457" w14:textId="77777777">
        <w:trPr>
          <w:divId w:val="604574635"/>
        </w:trPr>
        <w:tc>
          <w:tcPr>
            <w:tcW w:w="0" w:type="auto"/>
            <w:gridSpan w:val="3"/>
            <w:shd w:val="clear" w:color="auto" w:fill="CCEEFF"/>
            <w:tcMar>
              <w:top w:w="30" w:type="dxa"/>
              <w:left w:w="20" w:type="dxa"/>
              <w:bottom w:w="30" w:type="dxa"/>
              <w:right w:w="20" w:type="dxa"/>
            </w:tcMar>
            <w:vAlign w:val="center"/>
            <w:hideMark/>
          </w:tcPr>
          <w:p w14:paraId="5C5D3D46" w14:textId="77777777" w:rsidR="00000000" w:rsidRDefault="00A173A8">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00047EC7"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7804254" w14:textId="77777777" w:rsidR="00000000" w:rsidRDefault="00A173A8">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center"/>
            <w:hideMark/>
          </w:tcPr>
          <w:p w14:paraId="1E7D6689" w14:textId="77777777" w:rsidR="00000000" w:rsidRDefault="00A173A8">
            <w:pPr>
              <w:spacing w:after="100"/>
              <w:jc w:val="right"/>
              <w:rPr>
                <w:rFonts w:eastAsia="Times New Roman"/>
              </w:rPr>
            </w:pPr>
            <w:r>
              <w:rPr>
                <w:rFonts w:eastAsia="Times New Roman"/>
                <w:color w:val="000000"/>
                <w:sz w:val="18"/>
                <w:szCs w:val="18"/>
              </w:rPr>
              <w:t>422</w:t>
            </w:r>
          </w:p>
        </w:tc>
        <w:tc>
          <w:tcPr>
            <w:tcW w:w="0" w:type="auto"/>
            <w:gridSpan w:val="3"/>
            <w:shd w:val="clear" w:color="auto" w:fill="CCEEFF"/>
            <w:tcMar>
              <w:top w:w="0" w:type="dxa"/>
              <w:left w:w="20" w:type="dxa"/>
              <w:bottom w:w="0" w:type="dxa"/>
              <w:right w:w="20" w:type="dxa"/>
            </w:tcMar>
            <w:vAlign w:val="center"/>
            <w:hideMark/>
          </w:tcPr>
          <w:p w14:paraId="4BD36B3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3ECF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66F2C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7DCDB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488E4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876CF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6B657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1F7E9C" w14:textId="77777777" w:rsidR="00000000" w:rsidRDefault="00A173A8">
            <w:pPr>
              <w:spacing w:after="100"/>
              <w:rPr>
                <w:rFonts w:eastAsia="Times New Roman"/>
                <w:sz w:val="20"/>
                <w:szCs w:val="20"/>
              </w:rPr>
            </w:pPr>
          </w:p>
        </w:tc>
        <w:tc>
          <w:tcPr>
            <w:tcW w:w="0" w:type="auto"/>
            <w:gridSpan w:val="3"/>
            <w:vAlign w:val="center"/>
            <w:hideMark/>
          </w:tcPr>
          <w:p w14:paraId="0649095B" w14:textId="77777777" w:rsidR="00000000" w:rsidRDefault="00A173A8">
            <w:pPr>
              <w:spacing w:after="100"/>
              <w:rPr>
                <w:rFonts w:eastAsia="Times New Roman"/>
                <w:sz w:val="20"/>
                <w:szCs w:val="20"/>
              </w:rPr>
            </w:pPr>
          </w:p>
        </w:tc>
        <w:tc>
          <w:tcPr>
            <w:tcW w:w="0" w:type="auto"/>
            <w:gridSpan w:val="3"/>
            <w:vAlign w:val="center"/>
            <w:hideMark/>
          </w:tcPr>
          <w:p w14:paraId="3AF8A400" w14:textId="77777777" w:rsidR="00000000" w:rsidRDefault="00A173A8">
            <w:pPr>
              <w:spacing w:after="100"/>
              <w:rPr>
                <w:rFonts w:eastAsia="Times New Roman"/>
                <w:sz w:val="20"/>
                <w:szCs w:val="20"/>
              </w:rPr>
            </w:pPr>
          </w:p>
        </w:tc>
        <w:tc>
          <w:tcPr>
            <w:tcW w:w="0" w:type="auto"/>
            <w:gridSpan w:val="3"/>
            <w:vAlign w:val="center"/>
            <w:hideMark/>
          </w:tcPr>
          <w:p w14:paraId="6FB879D3" w14:textId="77777777" w:rsidR="00000000" w:rsidRDefault="00A173A8">
            <w:pPr>
              <w:spacing w:after="100"/>
              <w:rPr>
                <w:rFonts w:eastAsia="Times New Roman"/>
                <w:sz w:val="20"/>
                <w:szCs w:val="20"/>
              </w:rPr>
            </w:pPr>
          </w:p>
        </w:tc>
        <w:tc>
          <w:tcPr>
            <w:tcW w:w="0" w:type="auto"/>
            <w:gridSpan w:val="3"/>
            <w:vAlign w:val="center"/>
            <w:hideMark/>
          </w:tcPr>
          <w:p w14:paraId="13268E17" w14:textId="77777777" w:rsidR="00000000" w:rsidRDefault="00A173A8">
            <w:pPr>
              <w:spacing w:after="100"/>
              <w:rPr>
                <w:rFonts w:eastAsia="Times New Roman"/>
                <w:sz w:val="20"/>
                <w:szCs w:val="20"/>
              </w:rPr>
            </w:pPr>
          </w:p>
        </w:tc>
      </w:tr>
    </w:tbl>
    <w:p w14:paraId="468438FC" w14:textId="77777777" w:rsidR="00000000" w:rsidRDefault="00A173A8">
      <w:pPr>
        <w:divId w:val="604574635"/>
        <w:rPr>
          <w:rFonts w:eastAsia="Times New Roman"/>
        </w:rPr>
      </w:pPr>
      <w:r>
        <w:rPr>
          <w:rFonts w:eastAsia="Times New Roman"/>
          <w:color w:val="000000"/>
          <w:sz w:val="20"/>
          <w:szCs w:val="20"/>
        </w:rPr>
        <w:t>__________</w:t>
      </w:r>
    </w:p>
    <w:p w14:paraId="598AEB0B" w14:textId="77777777" w:rsidR="00000000" w:rsidRDefault="00A173A8">
      <w:pPr>
        <w:ind w:hanging="360"/>
        <w:jc w:val="both"/>
        <w:divId w:val="48879471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the amortized cost of total loans modified in TDR at the end of the period in which they were modified. As not every modification type is included in the table above, the total percentage of TDR activity may not add up to 100%. Some loans may re</w:t>
      </w:r>
      <w:r>
        <w:rPr>
          <w:rFonts w:eastAsia="Times New Roman"/>
          <w:color w:val="000000"/>
          <w:sz w:val="16"/>
          <w:szCs w:val="16"/>
        </w:rPr>
        <w:t>ceive more than one type of modification.</w:t>
      </w:r>
    </w:p>
    <w:p w14:paraId="4167FA7C" w14:textId="77777777" w:rsidR="00000000" w:rsidRDefault="00A173A8">
      <w:pPr>
        <w:ind w:hanging="360"/>
        <w:jc w:val="both"/>
        <w:divId w:val="209184933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Due to multiple modification types granted to some troubled borrowers, percentages may total more than 100% for certain loan types.</w:t>
      </w:r>
    </w:p>
    <w:p w14:paraId="4D0139B1" w14:textId="77777777" w:rsidR="00000000" w:rsidRDefault="00A173A8">
      <w:pPr>
        <w:divId w:val="2127652551"/>
        <w:rPr>
          <w:rFonts w:eastAsia="Times New Roman"/>
        </w:rPr>
      </w:pPr>
      <w:r>
        <w:rPr>
          <w:rFonts w:eastAsia="Times New Roman"/>
          <w:b/>
          <w:bCs/>
          <w:i/>
          <w:iCs/>
          <w:color w:val="000000"/>
          <w:sz w:val="20"/>
          <w:szCs w:val="20"/>
        </w:rPr>
        <w:t>Subsequent Defaults of Completed TDR Modifications</w:t>
      </w:r>
    </w:p>
    <w:p w14:paraId="430F228D" w14:textId="77777777" w:rsidR="00000000" w:rsidRDefault="00A173A8">
      <w:pPr>
        <w:jc w:val="both"/>
        <w:divId w:val="14621637"/>
        <w:rPr>
          <w:rFonts w:eastAsia="Times New Roman"/>
        </w:rPr>
      </w:pPr>
      <w:r>
        <w:rPr>
          <w:rFonts w:eastAsia="Times New Roman"/>
          <w:color w:val="000000"/>
          <w:sz w:val="20"/>
          <w:szCs w:val="20"/>
        </w:rPr>
        <w:t>The following table presents the type, number and amortized cost of loans modified in a TDR that experienced a default during the period and had completed a modification event in the twelve months prior to</w:t>
      </w:r>
      <w:r>
        <w:rPr>
          <w:rFonts w:eastAsia="Times New Roman"/>
          <w:color w:val="000000"/>
          <w:sz w:val="20"/>
          <w:szCs w:val="20"/>
        </w:rPr>
        <w:t xml:space="preserve"> the default. A default occurs if the loan is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12B5EB3" w14:textId="77777777">
        <w:trPr>
          <w:divId w:val="56363949"/>
          <w:jc w:val="center"/>
        </w:trPr>
        <w:tc>
          <w:tcPr>
            <w:tcW w:w="50" w:type="pct"/>
            <w:vAlign w:val="center"/>
            <w:hideMark/>
          </w:tcPr>
          <w:p w14:paraId="36AD609A" w14:textId="77777777" w:rsidR="00000000" w:rsidRDefault="00A173A8">
            <w:pPr>
              <w:jc w:val="both"/>
              <w:rPr>
                <w:rFonts w:eastAsia="Times New Roman"/>
              </w:rPr>
            </w:pPr>
          </w:p>
        </w:tc>
        <w:tc>
          <w:tcPr>
            <w:tcW w:w="1606" w:type="pct"/>
            <w:vAlign w:val="center"/>
            <w:hideMark/>
          </w:tcPr>
          <w:p w14:paraId="345FC492" w14:textId="77777777" w:rsidR="00000000" w:rsidRDefault="00A173A8">
            <w:pPr>
              <w:spacing w:after="100"/>
              <w:rPr>
                <w:rFonts w:eastAsia="Times New Roman"/>
                <w:sz w:val="20"/>
                <w:szCs w:val="20"/>
              </w:rPr>
            </w:pPr>
          </w:p>
        </w:tc>
        <w:tc>
          <w:tcPr>
            <w:tcW w:w="5" w:type="pct"/>
            <w:vAlign w:val="center"/>
            <w:hideMark/>
          </w:tcPr>
          <w:p w14:paraId="5904D999" w14:textId="77777777" w:rsidR="00000000" w:rsidRDefault="00A173A8">
            <w:pPr>
              <w:spacing w:after="100"/>
              <w:rPr>
                <w:rFonts w:eastAsia="Times New Roman"/>
                <w:sz w:val="20"/>
                <w:szCs w:val="20"/>
              </w:rPr>
            </w:pPr>
          </w:p>
        </w:tc>
        <w:tc>
          <w:tcPr>
            <w:tcW w:w="50" w:type="pct"/>
            <w:vAlign w:val="center"/>
            <w:hideMark/>
          </w:tcPr>
          <w:p w14:paraId="2A1CA424" w14:textId="77777777" w:rsidR="00000000" w:rsidRDefault="00A173A8">
            <w:pPr>
              <w:spacing w:after="100"/>
              <w:rPr>
                <w:rFonts w:eastAsia="Times New Roman"/>
                <w:sz w:val="20"/>
                <w:szCs w:val="20"/>
              </w:rPr>
            </w:pPr>
          </w:p>
        </w:tc>
        <w:tc>
          <w:tcPr>
            <w:tcW w:w="1614" w:type="pct"/>
            <w:vAlign w:val="center"/>
            <w:hideMark/>
          </w:tcPr>
          <w:p w14:paraId="27D1BF96" w14:textId="77777777" w:rsidR="00000000" w:rsidRDefault="00A173A8">
            <w:pPr>
              <w:spacing w:after="100"/>
              <w:rPr>
                <w:rFonts w:eastAsia="Times New Roman"/>
                <w:sz w:val="20"/>
                <w:szCs w:val="20"/>
              </w:rPr>
            </w:pPr>
          </w:p>
        </w:tc>
        <w:tc>
          <w:tcPr>
            <w:tcW w:w="5" w:type="pct"/>
            <w:vAlign w:val="center"/>
            <w:hideMark/>
          </w:tcPr>
          <w:p w14:paraId="34AFB469" w14:textId="77777777" w:rsidR="00000000" w:rsidRDefault="00A173A8">
            <w:pPr>
              <w:spacing w:after="100"/>
              <w:rPr>
                <w:rFonts w:eastAsia="Times New Roman"/>
                <w:sz w:val="20"/>
                <w:szCs w:val="20"/>
              </w:rPr>
            </w:pPr>
          </w:p>
        </w:tc>
        <w:tc>
          <w:tcPr>
            <w:tcW w:w="50" w:type="pct"/>
            <w:vAlign w:val="center"/>
            <w:hideMark/>
          </w:tcPr>
          <w:p w14:paraId="53A8EE98" w14:textId="77777777" w:rsidR="00000000" w:rsidRDefault="00A173A8">
            <w:pPr>
              <w:spacing w:after="100"/>
              <w:rPr>
                <w:rFonts w:eastAsia="Times New Roman"/>
                <w:sz w:val="20"/>
                <w:szCs w:val="20"/>
              </w:rPr>
            </w:pPr>
          </w:p>
        </w:tc>
        <w:tc>
          <w:tcPr>
            <w:tcW w:w="1614" w:type="pct"/>
            <w:vAlign w:val="center"/>
            <w:hideMark/>
          </w:tcPr>
          <w:p w14:paraId="12D61DE1" w14:textId="77777777" w:rsidR="00000000" w:rsidRDefault="00A173A8">
            <w:pPr>
              <w:spacing w:after="100"/>
              <w:rPr>
                <w:rFonts w:eastAsia="Times New Roman"/>
                <w:sz w:val="20"/>
                <w:szCs w:val="20"/>
              </w:rPr>
            </w:pPr>
          </w:p>
        </w:tc>
        <w:tc>
          <w:tcPr>
            <w:tcW w:w="5" w:type="pct"/>
            <w:vAlign w:val="center"/>
            <w:hideMark/>
          </w:tcPr>
          <w:p w14:paraId="3B45005A" w14:textId="77777777" w:rsidR="00000000" w:rsidRDefault="00A173A8">
            <w:pPr>
              <w:spacing w:after="100"/>
              <w:rPr>
                <w:rFonts w:eastAsia="Times New Roman"/>
                <w:sz w:val="20"/>
                <w:szCs w:val="20"/>
              </w:rPr>
            </w:pPr>
          </w:p>
        </w:tc>
      </w:tr>
      <w:tr w:rsidR="00000000" w14:paraId="50F0B986" w14:textId="77777777">
        <w:trPr>
          <w:divId w:val="56363949"/>
          <w:trHeight w:val="300"/>
          <w:jc w:val="center"/>
        </w:trPr>
        <w:tc>
          <w:tcPr>
            <w:tcW w:w="0" w:type="auto"/>
            <w:gridSpan w:val="9"/>
            <w:tcMar>
              <w:top w:w="0" w:type="dxa"/>
              <w:left w:w="20" w:type="dxa"/>
              <w:bottom w:w="0" w:type="dxa"/>
              <w:right w:w="20" w:type="dxa"/>
            </w:tcMar>
            <w:vAlign w:val="center"/>
            <w:hideMark/>
          </w:tcPr>
          <w:p w14:paraId="57DCE958" w14:textId="77777777" w:rsidR="00000000" w:rsidRDefault="00A173A8">
            <w:pPr>
              <w:spacing w:after="100"/>
              <w:rPr>
                <w:rFonts w:eastAsia="Times New Roman"/>
                <w:sz w:val="20"/>
                <w:szCs w:val="20"/>
              </w:rPr>
            </w:pPr>
          </w:p>
        </w:tc>
      </w:tr>
      <w:tr w:rsidR="00000000" w14:paraId="68609C75" w14:textId="77777777">
        <w:trPr>
          <w:divId w:val="56363949"/>
          <w:jc w:val="center"/>
        </w:trPr>
        <w:tc>
          <w:tcPr>
            <w:tcW w:w="0" w:type="auto"/>
            <w:gridSpan w:val="3"/>
            <w:tcMar>
              <w:top w:w="0" w:type="dxa"/>
              <w:left w:w="20" w:type="dxa"/>
              <w:bottom w:w="0" w:type="dxa"/>
              <w:right w:w="20" w:type="dxa"/>
            </w:tcMar>
            <w:vAlign w:val="center"/>
            <w:hideMark/>
          </w:tcPr>
          <w:p w14:paraId="3E0A1A61"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A2C6C5" w14:textId="77777777" w:rsidR="00000000" w:rsidRDefault="00A173A8">
            <w:pPr>
              <w:spacing w:after="100"/>
              <w:jc w:val="center"/>
              <w:rPr>
                <w:rFonts w:eastAsia="Times New Roman"/>
              </w:rPr>
            </w:pPr>
            <w:r>
              <w:rPr>
                <w:rFonts w:eastAsia="Times New Roman"/>
                <w:color w:val="000000"/>
                <w:sz w:val="16"/>
                <w:szCs w:val="16"/>
              </w:rPr>
              <w:t>82</w:t>
            </w:r>
          </w:p>
        </w:tc>
        <w:tc>
          <w:tcPr>
            <w:tcW w:w="0" w:type="auto"/>
            <w:gridSpan w:val="3"/>
            <w:tcMar>
              <w:top w:w="30" w:type="dxa"/>
              <w:left w:w="20" w:type="dxa"/>
              <w:bottom w:w="30" w:type="dxa"/>
              <w:right w:w="20" w:type="dxa"/>
            </w:tcMar>
            <w:vAlign w:val="bottom"/>
            <w:hideMark/>
          </w:tcPr>
          <w:p w14:paraId="13B02AA4"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D5F2E43" w14:textId="77777777" w:rsidR="00000000" w:rsidRDefault="00A173A8">
      <w:pPr>
        <w:rPr>
          <w:rFonts w:eastAsia="Times New Roman"/>
        </w:rPr>
      </w:pPr>
      <w:r>
        <w:rPr>
          <w:rFonts w:eastAsia="Times New Roman"/>
        </w:rPr>
        <w:pict w14:anchorId="66E670CB">
          <v:rect id="_x0000_i1107" style="width:0;height:1.5pt" o:hralign="center" o:hrstd="t" o:hr="t" fillcolor="#a0a0a0" stroked="f"/>
        </w:pict>
      </w:r>
    </w:p>
    <w:p w14:paraId="277EA08D" w14:textId="77777777" w:rsidR="00000000" w:rsidRDefault="00A173A8">
      <w:pPr>
        <w:jc w:val="both"/>
        <w:divId w:val="1756314990"/>
        <w:rPr>
          <w:rFonts w:eastAsia="Times New Roman"/>
        </w:rPr>
      </w:pPr>
      <w:hyperlink w:anchor="i7ffd5d61af6f4722b1b1b07530d51c06_13" w:history="1">
        <w:r>
          <w:rPr>
            <w:rStyle w:val="a3"/>
            <w:rFonts w:eastAsia="Times New Roman"/>
            <w:sz w:val="16"/>
            <w:szCs w:val="16"/>
          </w:rPr>
          <w:t>Table of Contents</w:t>
        </w:r>
      </w:hyperlink>
    </w:p>
    <w:p w14:paraId="3FE1FD64" w14:textId="77777777" w:rsidR="00000000" w:rsidRDefault="00A173A8">
      <w:pPr>
        <w:jc w:val="both"/>
        <w:divId w:val="846870055"/>
        <w:rPr>
          <w:rFonts w:eastAsia="Times New Roman"/>
        </w:rPr>
      </w:pPr>
      <w:r>
        <w:rPr>
          <w:rFonts w:eastAsia="Times New Roman"/>
          <w:color w:val="000000"/>
          <w:sz w:val="20"/>
          <w:szCs w:val="20"/>
        </w:rPr>
        <w:t>either 90 days or more delinquent, has been charged off as of the end of the period presented or has been reclassified from accrual to nonaccru</w:t>
      </w:r>
      <w:r>
        <w:rPr>
          <w:rFonts w:eastAsia="Times New Roman"/>
          <w:color w:val="000000"/>
          <w:sz w:val="20"/>
          <w:szCs w:val="20"/>
        </w:rPr>
        <w:t>al status.</w:t>
      </w:r>
    </w:p>
    <w:p w14:paraId="5BC2B9B2" w14:textId="77777777" w:rsidR="00000000" w:rsidRDefault="00A173A8">
      <w:pPr>
        <w:divId w:val="113133947"/>
        <w:rPr>
          <w:rFonts w:eastAsia="Times New Roman"/>
        </w:rPr>
      </w:pPr>
      <w:r>
        <w:rPr>
          <w:rFonts w:eastAsia="Times New Roman"/>
          <w:b/>
          <w:bCs/>
          <w:color w:val="000000"/>
          <w:sz w:val="18"/>
          <w:szCs w:val="18"/>
        </w:rPr>
        <w:t>Table 3.7: TDR—Subsequent Defaults</w:t>
      </w:r>
    </w:p>
    <w:tbl>
      <w:tblPr>
        <w:tblW w:w="5000" w:type="pct"/>
        <w:tblCellMar>
          <w:top w:w="15" w:type="dxa"/>
          <w:left w:w="15" w:type="dxa"/>
          <w:bottom w:w="15" w:type="dxa"/>
          <w:right w:w="15" w:type="dxa"/>
        </w:tblCellMar>
        <w:tblLook w:val="04A0" w:firstRow="1" w:lastRow="0" w:firstColumn="1" w:lastColumn="0" w:noHBand="0" w:noVBand="1"/>
      </w:tblPr>
      <w:tblGrid>
        <w:gridCol w:w="52"/>
        <w:gridCol w:w="1129"/>
        <w:gridCol w:w="38"/>
        <w:gridCol w:w="36"/>
        <w:gridCol w:w="36"/>
        <w:gridCol w:w="3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6"/>
        <w:gridCol w:w="37"/>
        <w:gridCol w:w="36"/>
        <w:gridCol w:w="36"/>
        <w:gridCol w:w="36"/>
        <w:gridCol w:w="36"/>
        <w:gridCol w:w="36"/>
        <w:gridCol w:w="36"/>
        <w:gridCol w:w="36"/>
        <w:gridCol w:w="36"/>
        <w:gridCol w:w="36"/>
        <w:gridCol w:w="36"/>
        <w:gridCol w:w="36"/>
      </w:tblGrid>
      <w:tr w:rsidR="00000000" w14:paraId="32CDB68A" w14:textId="77777777">
        <w:trPr>
          <w:divId w:val="91827376"/>
        </w:trPr>
        <w:tc>
          <w:tcPr>
            <w:tcW w:w="50" w:type="pct"/>
            <w:vAlign w:val="center"/>
            <w:hideMark/>
          </w:tcPr>
          <w:p w14:paraId="585ACFBC" w14:textId="77777777" w:rsidR="00000000" w:rsidRDefault="00A173A8">
            <w:pPr>
              <w:rPr>
                <w:rFonts w:eastAsia="Times New Roman"/>
              </w:rPr>
            </w:pPr>
          </w:p>
        </w:tc>
        <w:tc>
          <w:tcPr>
            <w:tcW w:w="1092" w:type="pct"/>
            <w:vAlign w:val="center"/>
            <w:hideMark/>
          </w:tcPr>
          <w:p w14:paraId="2EE0329E" w14:textId="77777777" w:rsidR="00000000" w:rsidRDefault="00A173A8">
            <w:pPr>
              <w:spacing w:after="100"/>
              <w:rPr>
                <w:rFonts w:eastAsia="Times New Roman"/>
                <w:sz w:val="20"/>
                <w:szCs w:val="20"/>
              </w:rPr>
            </w:pPr>
          </w:p>
        </w:tc>
        <w:tc>
          <w:tcPr>
            <w:tcW w:w="5" w:type="pct"/>
            <w:vAlign w:val="center"/>
            <w:hideMark/>
          </w:tcPr>
          <w:p w14:paraId="6A02B0A3" w14:textId="77777777" w:rsidR="00000000" w:rsidRDefault="00A173A8">
            <w:pPr>
              <w:spacing w:after="100"/>
              <w:rPr>
                <w:rFonts w:eastAsia="Times New Roman"/>
                <w:sz w:val="20"/>
                <w:szCs w:val="20"/>
              </w:rPr>
            </w:pPr>
          </w:p>
        </w:tc>
        <w:tc>
          <w:tcPr>
            <w:tcW w:w="5" w:type="pct"/>
            <w:vAlign w:val="center"/>
            <w:hideMark/>
          </w:tcPr>
          <w:p w14:paraId="043F43DF" w14:textId="77777777" w:rsidR="00000000" w:rsidRDefault="00A173A8">
            <w:pPr>
              <w:spacing w:after="100"/>
              <w:rPr>
                <w:rFonts w:eastAsia="Times New Roman"/>
                <w:sz w:val="20"/>
                <w:szCs w:val="20"/>
              </w:rPr>
            </w:pPr>
          </w:p>
        </w:tc>
        <w:tc>
          <w:tcPr>
            <w:tcW w:w="19" w:type="pct"/>
            <w:vAlign w:val="center"/>
            <w:hideMark/>
          </w:tcPr>
          <w:p w14:paraId="0A1B6FA6" w14:textId="77777777" w:rsidR="00000000" w:rsidRDefault="00A173A8">
            <w:pPr>
              <w:spacing w:after="100"/>
              <w:rPr>
                <w:rFonts w:eastAsia="Times New Roman"/>
                <w:sz w:val="20"/>
                <w:szCs w:val="20"/>
              </w:rPr>
            </w:pPr>
          </w:p>
        </w:tc>
        <w:tc>
          <w:tcPr>
            <w:tcW w:w="5" w:type="pct"/>
            <w:vAlign w:val="center"/>
            <w:hideMark/>
          </w:tcPr>
          <w:p w14:paraId="5996D82B" w14:textId="77777777" w:rsidR="00000000" w:rsidRDefault="00A173A8">
            <w:pPr>
              <w:spacing w:after="100"/>
              <w:rPr>
                <w:rFonts w:eastAsia="Times New Roman"/>
                <w:sz w:val="20"/>
                <w:szCs w:val="20"/>
              </w:rPr>
            </w:pPr>
          </w:p>
        </w:tc>
        <w:tc>
          <w:tcPr>
            <w:tcW w:w="50" w:type="pct"/>
            <w:vAlign w:val="center"/>
            <w:hideMark/>
          </w:tcPr>
          <w:p w14:paraId="0AEFD18D" w14:textId="77777777" w:rsidR="00000000" w:rsidRDefault="00A173A8">
            <w:pPr>
              <w:spacing w:after="100"/>
              <w:rPr>
                <w:rFonts w:eastAsia="Times New Roman"/>
                <w:sz w:val="20"/>
                <w:szCs w:val="20"/>
              </w:rPr>
            </w:pPr>
          </w:p>
        </w:tc>
        <w:tc>
          <w:tcPr>
            <w:tcW w:w="390" w:type="pct"/>
            <w:vAlign w:val="center"/>
            <w:hideMark/>
          </w:tcPr>
          <w:p w14:paraId="2D46BF3A" w14:textId="77777777" w:rsidR="00000000" w:rsidRDefault="00A173A8">
            <w:pPr>
              <w:spacing w:after="100"/>
              <w:rPr>
                <w:rFonts w:eastAsia="Times New Roman"/>
                <w:sz w:val="20"/>
                <w:szCs w:val="20"/>
              </w:rPr>
            </w:pPr>
          </w:p>
        </w:tc>
        <w:tc>
          <w:tcPr>
            <w:tcW w:w="5" w:type="pct"/>
            <w:vAlign w:val="center"/>
            <w:hideMark/>
          </w:tcPr>
          <w:p w14:paraId="0E22E5F8" w14:textId="77777777" w:rsidR="00000000" w:rsidRDefault="00A173A8">
            <w:pPr>
              <w:spacing w:after="100"/>
              <w:rPr>
                <w:rFonts w:eastAsia="Times New Roman"/>
                <w:sz w:val="20"/>
                <w:szCs w:val="20"/>
              </w:rPr>
            </w:pPr>
          </w:p>
        </w:tc>
        <w:tc>
          <w:tcPr>
            <w:tcW w:w="5" w:type="pct"/>
            <w:vAlign w:val="center"/>
            <w:hideMark/>
          </w:tcPr>
          <w:p w14:paraId="6BDD2306" w14:textId="77777777" w:rsidR="00000000" w:rsidRDefault="00A173A8">
            <w:pPr>
              <w:spacing w:after="100"/>
              <w:rPr>
                <w:rFonts w:eastAsia="Times New Roman"/>
                <w:sz w:val="20"/>
                <w:szCs w:val="20"/>
              </w:rPr>
            </w:pPr>
          </w:p>
        </w:tc>
        <w:tc>
          <w:tcPr>
            <w:tcW w:w="26" w:type="pct"/>
            <w:vAlign w:val="center"/>
            <w:hideMark/>
          </w:tcPr>
          <w:p w14:paraId="1D958568" w14:textId="77777777" w:rsidR="00000000" w:rsidRDefault="00A173A8">
            <w:pPr>
              <w:spacing w:after="100"/>
              <w:rPr>
                <w:rFonts w:eastAsia="Times New Roman"/>
                <w:sz w:val="20"/>
                <w:szCs w:val="20"/>
              </w:rPr>
            </w:pPr>
          </w:p>
        </w:tc>
        <w:tc>
          <w:tcPr>
            <w:tcW w:w="5" w:type="pct"/>
            <w:vAlign w:val="center"/>
            <w:hideMark/>
          </w:tcPr>
          <w:p w14:paraId="0C2BB3BC" w14:textId="77777777" w:rsidR="00000000" w:rsidRDefault="00A173A8">
            <w:pPr>
              <w:spacing w:after="100"/>
              <w:rPr>
                <w:rFonts w:eastAsia="Times New Roman"/>
                <w:sz w:val="20"/>
                <w:szCs w:val="20"/>
              </w:rPr>
            </w:pPr>
          </w:p>
        </w:tc>
        <w:tc>
          <w:tcPr>
            <w:tcW w:w="50" w:type="pct"/>
            <w:vAlign w:val="center"/>
            <w:hideMark/>
          </w:tcPr>
          <w:p w14:paraId="039AFBAE" w14:textId="77777777" w:rsidR="00000000" w:rsidRDefault="00A173A8">
            <w:pPr>
              <w:spacing w:after="100"/>
              <w:rPr>
                <w:rFonts w:eastAsia="Times New Roman"/>
                <w:sz w:val="20"/>
                <w:szCs w:val="20"/>
              </w:rPr>
            </w:pPr>
          </w:p>
        </w:tc>
        <w:tc>
          <w:tcPr>
            <w:tcW w:w="390" w:type="pct"/>
            <w:vAlign w:val="center"/>
            <w:hideMark/>
          </w:tcPr>
          <w:p w14:paraId="6BB60784" w14:textId="77777777" w:rsidR="00000000" w:rsidRDefault="00A173A8">
            <w:pPr>
              <w:spacing w:after="100"/>
              <w:rPr>
                <w:rFonts w:eastAsia="Times New Roman"/>
                <w:sz w:val="20"/>
                <w:szCs w:val="20"/>
              </w:rPr>
            </w:pPr>
          </w:p>
        </w:tc>
        <w:tc>
          <w:tcPr>
            <w:tcW w:w="5" w:type="pct"/>
            <w:vAlign w:val="center"/>
            <w:hideMark/>
          </w:tcPr>
          <w:p w14:paraId="414B53D4" w14:textId="77777777" w:rsidR="00000000" w:rsidRDefault="00A173A8">
            <w:pPr>
              <w:spacing w:after="100"/>
              <w:rPr>
                <w:rFonts w:eastAsia="Times New Roman"/>
                <w:sz w:val="20"/>
                <w:szCs w:val="20"/>
              </w:rPr>
            </w:pPr>
          </w:p>
        </w:tc>
        <w:tc>
          <w:tcPr>
            <w:tcW w:w="5" w:type="pct"/>
            <w:vAlign w:val="center"/>
            <w:hideMark/>
          </w:tcPr>
          <w:p w14:paraId="01DBD60B" w14:textId="77777777" w:rsidR="00000000" w:rsidRDefault="00A173A8">
            <w:pPr>
              <w:spacing w:after="100"/>
              <w:rPr>
                <w:rFonts w:eastAsia="Times New Roman"/>
                <w:sz w:val="20"/>
                <w:szCs w:val="20"/>
              </w:rPr>
            </w:pPr>
          </w:p>
        </w:tc>
        <w:tc>
          <w:tcPr>
            <w:tcW w:w="26" w:type="pct"/>
            <w:vAlign w:val="center"/>
            <w:hideMark/>
          </w:tcPr>
          <w:p w14:paraId="69AF184B" w14:textId="77777777" w:rsidR="00000000" w:rsidRDefault="00A173A8">
            <w:pPr>
              <w:spacing w:after="100"/>
              <w:rPr>
                <w:rFonts w:eastAsia="Times New Roman"/>
                <w:sz w:val="20"/>
                <w:szCs w:val="20"/>
              </w:rPr>
            </w:pPr>
          </w:p>
        </w:tc>
        <w:tc>
          <w:tcPr>
            <w:tcW w:w="5" w:type="pct"/>
            <w:vAlign w:val="center"/>
            <w:hideMark/>
          </w:tcPr>
          <w:p w14:paraId="7D43ED35" w14:textId="77777777" w:rsidR="00000000" w:rsidRDefault="00A173A8">
            <w:pPr>
              <w:spacing w:after="100"/>
              <w:rPr>
                <w:rFonts w:eastAsia="Times New Roman"/>
                <w:sz w:val="20"/>
                <w:szCs w:val="20"/>
              </w:rPr>
            </w:pPr>
          </w:p>
        </w:tc>
        <w:tc>
          <w:tcPr>
            <w:tcW w:w="50" w:type="pct"/>
            <w:vAlign w:val="center"/>
            <w:hideMark/>
          </w:tcPr>
          <w:p w14:paraId="31EFF3AE" w14:textId="77777777" w:rsidR="00000000" w:rsidRDefault="00A173A8">
            <w:pPr>
              <w:spacing w:after="100"/>
              <w:rPr>
                <w:rFonts w:eastAsia="Times New Roman"/>
                <w:sz w:val="20"/>
                <w:szCs w:val="20"/>
              </w:rPr>
            </w:pPr>
          </w:p>
        </w:tc>
        <w:tc>
          <w:tcPr>
            <w:tcW w:w="390" w:type="pct"/>
            <w:vAlign w:val="center"/>
            <w:hideMark/>
          </w:tcPr>
          <w:p w14:paraId="5D642390" w14:textId="77777777" w:rsidR="00000000" w:rsidRDefault="00A173A8">
            <w:pPr>
              <w:spacing w:after="100"/>
              <w:rPr>
                <w:rFonts w:eastAsia="Times New Roman"/>
                <w:sz w:val="20"/>
                <w:szCs w:val="20"/>
              </w:rPr>
            </w:pPr>
          </w:p>
        </w:tc>
        <w:tc>
          <w:tcPr>
            <w:tcW w:w="5" w:type="pct"/>
            <w:vAlign w:val="center"/>
            <w:hideMark/>
          </w:tcPr>
          <w:p w14:paraId="65B544D8" w14:textId="77777777" w:rsidR="00000000" w:rsidRDefault="00A173A8">
            <w:pPr>
              <w:spacing w:after="100"/>
              <w:rPr>
                <w:rFonts w:eastAsia="Times New Roman"/>
                <w:sz w:val="20"/>
                <w:szCs w:val="20"/>
              </w:rPr>
            </w:pPr>
          </w:p>
        </w:tc>
        <w:tc>
          <w:tcPr>
            <w:tcW w:w="5" w:type="pct"/>
            <w:vAlign w:val="center"/>
            <w:hideMark/>
          </w:tcPr>
          <w:p w14:paraId="761F0422" w14:textId="77777777" w:rsidR="00000000" w:rsidRDefault="00A173A8">
            <w:pPr>
              <w:spacing w:after="100"/>
              <w:rPr>
                <w:rFonts w:eastAsia="Times New Roman"/>
                <w:sz w:val="20"/>
                <w:szCs w:val="20"/>
              </w:rPr>
            </w:pPr>
          </w:p>
        </w:tc>
        <w:tc>
          <w:tcPr>
            <w:tcW w:w="26" w:type="pct"/>
            <w:vAlign w:val="center"/>
            <w:hideMark/>
          </w:tcPr>
          <w:p w14:paraId="1EEE7B3F" w14:textId="77777777" w:rsidR="00000000" w:rsidRDefault="00A173A8">
            <w:pPr>
              <w:spacing w:after="100"/>
              <w:rPr>
                <w:rFonts w:eastAsia="Times New Roman"/>
                <w:sz w:val="20"/>
                <w:szCs w:val="20"/>
              </w:rPr>
            </w:pPr>
          </w:p>
        </w:tc>
        <w:tc>
          <w:tcPr>
            <w:tcW w:w="5" w:type="pct"/>
            <w:vAlign w:val="center"/>
            <w:hideMark/>
          </w:tcPr>
          <w:p w14:paraId="3DFAF322" w14:textId="77777777" w:rsidR="00000000" w:rsidRDefault="00A173A8">
            <w:pPr>
              <w:spacing w:after="100"/>
              <w:rPr>
                <w:rFonts w:eastAsia="Times New Roman"/>
                <w:sz w:val="20"/>
                <w:szCs w:val="20"/>
              </w:rPr>
            </w:pPr>
          </w:p>
        </w:tc>
        <w:tc>
          <w:tcPr>
            <w:tcW w:w="50" w:type="pct"/>
            <w:vAlign w:val="center"/>
            <w:hideMark/>
          </w:tcPr>
          <w:p w14:paraId="5F4E319F" w14:textId="77777777" w:rsidR="00000000" w:rsidRDefault="00A173A8">
            <w:pPr>
              <w:spacing w:after="100"/>
              <w:rPr>
                <w:rFonts w:eastAsia="Times New Roman"/>
                <w:sz w:val="20"/>
                <w:szCs w:val="20"/>
              </w:rPr>
            </w:pPr>
          </w:p>
        </w:tc>
        <w:tc>
          <w:tcPr>
            <w:tcW w:w="390" w:type="pct"/>
            <w:vAlign w:val="center"/>
            <w:hideMark/>
          </w:tcPr>
          <w:p w14:paraId="55D28B89" w14:textId="77777777" w:rsidR="00000000" w:rsidRDefault="00A173A8">
            <w:pPr>
              <w:spacing w:after="100"/>
              <w:rPr>
                <w:rFonts w:eastAsia="Times New Roman"/>
                <w:sz w:val="20"/>
                <w:szCs w:val="20"/>
              </w:rPr>
            </w:pPr>
          </w:p>
        </w:tc>
        <w:tc>
          <w:tcPr>
            <w:tcW w:w="5" w:type="pct"/>
            <w:vAlign w:val="center"/>
            <w:hideMark/>
          </w:tcPr>
          <w:p w14:paraId="093FDA65" w14:textId="77777777" w:rsidR="00000000" w:rsidRDefault="00A173A8">
            <w:pPr>
              <w:spacing w:after="100"/>
              <w:rPr>
                <w:rFonts w:eastAsia="Times New Roman"/>
                <w:sz w:val="20"/>
                <w:szCs w:val="20"/>
              </w:rPr>
            </w:pPr>
          </w:p>
        </w:tc>
        <w:tc>
          <w:tcPr>
            <w:tcW w:w="5" w:type="pct"/>
            <w:vAlign w:val="center"/>
            <w:hideMark/>
          </w:tcPr>
          <w:p w14:paraId="71A9FD13" w14:textId="77777777" w:rsidR="00000000" w:rsidRDefault="00A173A8">
            <w:pPr>
              <w:spacing w:after="100"/>
              <w:rPr>
                <w:rFonts w:eastAsia="Times New Roman"/>
                <w:sz w:val="20"/>
                <w:szCs w:val="20"/>
              </w:rPr>
            </w:pPr>
          </w:p>
        </w:tc>
        <w:tc>
          <w:tcPr>
            <w:tcW w:w="26" w:type="pct"/>
            <w:vAlign w:val="center"/>
            <w:hideMark/>
          </w:tcPr>
          <w:p w14:paraId="215EBE6F" w14:textId="77777777" w:rsidR="00000000" w:rsidRDefault="00A173A8">
            <w:pPr>
              <w:spacing w:after="100"/>
              <w:rPr>
                <w:rFonts w:eastAsia="Times New Roman"/>
                <w:sz w:val="20"/>
                <w:szCs w:val="20"/>
              </w:rPr>
            </w:pPr>
          </w:p>
        </w:tc>
        <w:tc>
          <w:tcPr>
            <w:tcW w:w="5" w:type="pct"/>
            <w:vAlign w:val="center"/>
            <w:hideMark/>
          </w:tcPr>
          <w:p w14:paraId="4ABC7DF8" w14:textId="77777777" w:rsidR="00000000" w:rsidRDefault="00A173A8">
            <w:pPr>
              <w:spacing w:after="100"/>
              <w:rPr>
                <w:rFonts w:eastAsia="Times New Roman"/>
                <w:sz w:val="20"/>
                <w:szCs w:val="20"/>
              </w:rPr>
            </w:pPr>
          </w:p>
        </w:tc>
        <w:tc>
          <w:tcPr>
            <w:tcW w:w="50" w:type="pct"/>
            <w:vAlign w:val="center"/>
            <w:hideMark/>
          </w:tcPr>
          <w:p w14:paraId="3C395E2C" w14:textId="77777777" w:rsidR="00000000" w:rsidRDefault="00A173A8">
            <w:pPr>
              <w:spacing w:after="100"/>
              <w:rPr>
                <w:rFonts w:eastAsia="Times New Roman"/>
                <w:sz w:val="20"/>
                <w:szCs w:val="20"/>
              </w:rPr>
            </w:pPr>
          </w:p>
        </w:tc>
        <w:tc>
          <w:tcPr>
            <w:tcW w:w="390" w:type="pct"/>
            <w:vAlign w:val="center"/>
            <w:hideMark/>
          </w:tcPr>
          <w:p w14:paraId="7FDE97F8" w14:textId="77777777" w:rsidR="00000000" w:rsidRDefault="00A173A8">
            <w:pPr>
              <w:spacing w:after="100"/>
              <w:rPr>
                <w:rFonts w:eastAsia="Times New Roman"/>
                <w:sz w:val="20"/>
                <w:szCs w:val="20"/>
              </w:rPr>
            </w:pPr>
          </w:p>
        </w:tc>
        <w:tc>
          <w:tcPr>
            <w:tcW w:w="5" w:type="pct"/>
            <w:vAlign w:val="center"/>
            <w:hideMark/>
          </w:tcPr>
          <w:p w14:paraId="19790B11" w14:textId="77777777" w:rsidR="00000000" w:rsidRDefault="00A173A8">
            <w:pPr>
              <w:spacing w:after="100"/>
              <w:rPr>
                <w:rFonts w:eastAsia="Times New Roman"/>
                <w:sz w:val="20"/>
                <w:szCs w:val="20"/>
              </w:rPr>
            </w:pPr>
          </w:p>
        </w:tc>
        <w:tc>
          <w:tcPr>
            <w:tcW w:w="5" w:type="pct"/>
            <w:vAlign w:val="center"/>
            <w:hideMark/>
          </w:tcPr>
          <w:p w14:paraId="53AA5C52" w14:textId="77777777" w:rsidR="00000000" w:rsidRDefault="00A173A8">
            <w:pPr>
              <w:spacing w:after="100"/>
              <w:rPr>
                <w:rFonts w:eastAsia="Times New Roman"/>
                <w:sz w:val="20"/>
                <w:szCs w:val="20"/>
              </w:rPr>
            </w:pPr>
          </w:p>
        </w:tc>
        <w:tc>
          <w:tcPr>
            <w:tcW w:w="26" w:type="pct"/>
            <w:vAlign w:val="center"/>
            <w:hideMark/>
          </w:tcPr>
          <w:p w14:paraId="49A4AB20" w14:textId="77777777" w:rsidR="00000000" w:rsidRDefault="00A173A8">
            <w:pPr>
              <w:spacing w:after="100"/>
              <w:rPr>
                <w:rFonts w:eastAsia="Times New Roman"/>
                <w:sz w:val="20"/>
                <w:szCs w:val="20"/>
              </w:rPr>
            </w:pPr>
          </w:p>
        </w:tc>
        <w:tc>
          <w:tcPr>
            <w:tcW w:w="5" w:type="pct"/>
            <w:vAlign w:val="center"/>
            <w:hideMark/>
          </w:tcPr>
          <w:p w14:paraId="4D45D5B2" w14:textId="77777777" w:rsidR="00000000" w:rsidRDefault="00A173A8">
            <w:pPr>
              <w:spacing w:after="100"/>
              <w:rPr>
                <w:rFonts w:eastAsia="Times New Roman"/>
                <w:sz w:val="20"/>
                <w:szCs w:val="20"/>
              </w:rPr>
            </w:pPr>
          </w:p>
        </w:tc>
        <w:tc>
          <w:tcPr>
            <w:tcW w:w="50" w:type="pct"/>
            <w:vAlign w:val="center"/>
            <w:hideMark/>
          </w:tcPr>
          <w:p w14:paraId="0B23FD29" w14:textId="77777777" w:rsidR="00000000" w:rsidRDefault="00A173A8">
            <w:pPr>
              <w:spacing w:after="100"/>
              <w:rPr>
                <w:rFonts w:eastAsia="Times New Roman"/>
                <w:sz w:val="20"/>
                <w:szCs w:val="20"/>
              </w:rPr>
            </w:pPr>
          </w:p>
        </w:tc>
        <w:tc>
          <w:tcPr>
            <w:tcW w:w="390" w:type="pct"/>
            <w:vAlign w:val="center"/>
            <w:hideMark/>
          </w:tcPr>
          <w:p w14:paraId="7EB3CC28" w14:textId="77777777" w:rsidR="00000000" w:rsidRDefault="00A173A8">
            <w:pPr>
              <w:spacing w:after="100"/>
              <w:rPr>
                <w:rFonts w:eastAsia="Times New Roman"/>
                <w:sz w:val="20"/>
                <w:szCs w:val="20"/>
              </w:rPr>
            </w:pPr>
          </w:p>
        </w:tc>
        <w:tc>
          <w:tcPr>
            <w:tcW w:w="5" w:type="pct"/>
            <w:vAlign w:val="center"/>
            <w:hideMark/>
          </w:tcPr>
          <w:p w14:paraId="52AC188F" w14:textId="77777777" w:rsidR="00000000" w:rsidRDefault="00A173A8">
            <w:pPr>
              <w:spacing w:after="100"/>
              <w:rPr>
                <w:rFonts w:eastAsia="Times New Roman"/>
                <w:sz w:val="20"/>
                <w:szCs w:val="20"/>
              </w:rPr>
            </w:pPr>
          </w:p>
        </w:tc>
        <w:tc>
          <w:tcPr>
            <w:tcW w:w="5" w:type="pct"/>
            <w:vAlign w:val="center"/>
            <w:hideMark/>
          </w:tcPr>
          <w:p w14:paraId="2F3713DF" w14:textId="77777777" w:rsidR="00000000" w:rsidRDefault="00A173A8">
            <w:pPr>
              <w:spacing w:after="100"/>
              <w:rPr>
                <w:rFonts w:eastAsia="Times New Roman"/>
                <w:sz w:val="20"/>
                <w:szCs w:val="20"/>
              </w:rPr>
            </w:pPr>
          </w:p>
        </w:tc>
        <w:tc>
          <w:tcPr>
            <w:tcW w:w="26" w:type="pct"/>
            <w:vAlign w:val="center"/>
            <w:hideMark/>
          </w:tcPr>
          <w:p w14:paraId="6F021765" w14:textId="77777777" w:rsidR="00000000" w:rsidRDefault="00A173A8">
            <w:pPr>
              <w:spacing w:after="100"/>
              <w:rPr>
                <w:rFonts w:eastAsia="Times New Roman"/>
                <w:sz w:val="20"/>
                <w:szCs w:val="20"/>
              </w:rPr>
            </w:pPr>
          </w:p>
        </w:tc>
        <w:tc>
          <w:tcPr>
            <w:tcW w:w="5" w:type="pct"/>
            <w:vAlign w:val="center"/>
            <w:hideMark/>
          </w:tcPr>
          <w:p w14:paraId="3E485F2C" w14:textId="77777777" w:rsidR="00000000" w:rsidRDefault="00A173A8">
            <w:pPr>
              <w:spacing w:after="100"/>
              <w:rPr>
                <w:rFonts w:eastAsia="Times New Roman"/>
                <w:sz w:val="20"/>
                <w:szCs w:val="20"/>
              </w:rPr>
            </w:pPr>
          </w:p>
        </w:tc>
        <w:tc>
          <w:tcPr>
            <w:tcW w:w="50" w:type="pct"/>
            <w:vAlign w:val="center"/>
            <w:hideMark/>
          </w:tcPr>
          <w:p w14:paraId="797800F5" w14:textId="77777777" w:rsidR="00000000" w:rsidRDefault="00A173A8">
            <w:pPr>
              <w:spacing w:after="100"/>
              <w:rPr>
                <w:rFonts w:eastAsia="Times New Roman"/>
                <w:sz w:val="20"/>
                <w:szCs w:val="20"/>
              </w:rPr>
            </w:pPr>
          </w:p>
        </w:tc>
        <w:tc>
          <w:tcPr>
            <w:tcW w:w="390" w:type="pct"/>
            <w:vAlign w:val="center"/>
            <w:hideMark/>
          </w:tcPr>
          <w:p w14:paraId="0BC9BF60" w14:textId="77777777" w:rsidR="00000000" w:rsidRDefault="00A173A8">
            <w:pPr>
              <w:spacing w:after="100"/>
              <w:rPr>
                <w:rFonts w:eastAsia="Times New Roman"/>
                <w:sz w:val="20"/>
                <w:szCs w:val="20"/>
              </w:rPr>
            </w:pPr>
          </w:p>
        </w:tc>
        <w:tc>
          <w:tcPr>
            <w:tcW w:w="5" w:type="pct"/>
            <w:vAlign w:val="center"/>
            <w:hideMark/>
          </w:tcPr>
          <w:p w14:paraId="55BF8FD4" w14:textId="77777777" w:rsidR="00000000" w:rsidRDefault="00A173A8">
            <w:pPr>
              <w:spacing w:after="100"/>
              <w:rPr>
                <w:rFonts w:eastAsia="Times New Roman"/>
                <w:sz w:val="20"/>
                <w:szCs w:val="20"/>
              </w:rPr>
            </w:pPr>
          </w:p>
        </w:tc>
        <w:tc>
          <w:tcPr>
            <w:tcW w:w="5" w:type="pct"/>
            <w:vAlign w:val="center"/>
            <w:hideMark/>
          </w:tcPr>
          <w:p w14:paraId="30FD9C92" w14:textId="77777777" w:rsidR="00000000" w:rsidRDefault="00A173A8">
            <w:pPr>
              <w:spacing w:after="100"/>
              <w:rPr>
                <w:rFonts w:eastAsia="Times New Roman"/>
                <w:sz w:val="20"/>
                <w:szCs w:val="20"/>
              </w:rPr>
            </w:pPr>
          </w:p>
        </w:tc>
        <w:tc>
          <w:tcPr>
            <w:tcW w:w="26" w:type="pct"/>
            <w:vAlign w:val="center"/>
            <w:hideMark/>
          </w:tcPr>
          <w:p w14:paraId="0C6C5DBE" w14:textId="77777777" w:rsidR="00000000" w:rsidRDefault="00A173A8">
            <w:pPr>
              <w:spacing w:after="100"/>
              <w:rPr>
                <w:rFonts w:eastAsia="Times New Roman"/>
                <w:sz w:val="20"/>
                <w:szCs w:val="20"/>
              </w:rPr>
            </w:pPr>
          </w:p>
        </w:tc>
        <w:tc>
          <w:tcPr>
            <w:tcW w:w="5" w:type="pct"/>
            <w:vAlign w:val="center"/>
            <w:hideMark/>
          </w:tcPr>
          <w:p w14:paraId="3454E730" w14:textId="77777777" w:rsidR="00000000" w:rsidRDefault="00A173A8">
            <w:pPr>
              <w:spacing w:after="100"/>
              <w:rPr>
                <w:rFonts w:eastAsia="Times New Roman"/>
                <w:sz w:val="20"/>
                <w:szCs w:val="20"/>
              </w:rPr>
            </w:pPr>
          </w:p>
        </w:tc>
        <w:tc>
          <w:tcPr>
            <w:tcW w:w="50" w:type="pct"/>
            <w:vAlign w:val="center"/>
            <w:hideMark/>
          </w:tcPr>
          <w:p w14:paraId="3835F9E0" w14:textId="77777777" w:rsidR="00000000" w:rsidRDefault="00A173A8">
            <w:pPr>
              <w:spacing w:after="100"/>
              <w:rPr>
                <w:rFonts w:eastAsia="Times New Roman"/>
                <w:sz w:val="20"/>
                <w:szCs w:val="20"/>
              </w:rPr>
            </w:pPr>
          </w:p>
        </w:tc>
        <w:tc>
          <w:tcPr>
            <w:tcW w:w="391" w:type="pct"/>
            <w:vAlign w:val="center"/>
            <w:hideMark/>
          </w:tcPr>
          <w:p w14:paraId="09BFCD43" w14:textId="77777777" w:rsidR="00000000" w:rsidRDefault="00A173A8">
            <w:pPr>
              <w:spacing w:after="100"/>
              <w:rPr>
                <w:rFonts w:eastAsia="Times New Roman"/>
                <w:sz w:val="20"/>
                <w:szCs w:val="20"/>
              </w:rPr>
            </w:pPr>
          </w:p>
        </w:tc>
        <w:tc>
          <w:tcPr>
            <w:tcW w:w="5" w:type="pct"/>
            <w:vAlign w:val="center"/>
            <w:hideMark/>
          </w:tcPr>
          <w:p w14:paraId="1E323060" w14:textId="77777777" w:rsidR="00000000" w:rsidRDefault="00A173A8">
            <w:pPr>
              <w:spacing w:after="100"/>
              <w:rPr>
                <w:rFonts w:eastAsia="Times New Roman"/>
                <w:sz w:val="20"/>
                <w:szCs w:val="20"/>
              </w:rPr>
            </w:pPr>
          </w:p>
        </w:tc>
        <w:tc>
          <w:tcPr>
            <w:tcW w:w="0" w:type="auto"/>
            <w:gridSpan w:val="3"/>
            <w:vAlign w:val="center"/>
            <w:hideMark/>
          </w:tcPr>
          <w:p w14:paraId="06768CB9" w14:textId="77777777" w:rsidR="00000000" w:rsidRDefault="00A173A8">
            <w:pPr>
              <w:spacing w:after="100"/>
              <w:rPr>
                <w:rFonts w:eastAsia="Times New Roman"/>
                <w:sz w:val="20"/>
                <w:szCs w:val="20"/>
              </w:rPr>
            </w:pPr>
          </w:p>
        </w:tc>
        <w:tc>
          <w:tcPr>
            <w:tcW w:w="0" w:type="auto"/>
            <w:gridSpan w:val="3"/>
            <w:vAlign w:val="center"/>
            <w:hideMark/>
          </w:tcPr>
          <w:p w14:paraId="0D015161" w14:textId="77777777" w:rsidR="00000000" w:rsidRDefault="00A173A8">
            <w:pPr>
              <w:spacing w:after="100"/>
              <w:rPr>
                <w:rFonts w:eastAsia="Times New Roman"/>
                <w:sz w:val="20"/>
                <w:szCs w:val="20"/>
              </w:rPr>
            </w:pPr>
          </w:p>
        </w:tc>
        <w:tc>
          <w:tcPr>
            <w:tcW w:w="0" w:type="auto"/>
            <w:gridSpan w:val="3"/>
            <w:vAlign w:val="center"/>
            <w:hideMark/>
          </w:tcPr>
          <w:p w14:paraId="069BA440" w14:textId="77777777" w:rsidR="00000000" w:rsidRDefault="00A173A8">
            <w:pPr>
              <w:spacing w:after="100"/>
              <w:rPr>
                <w:rFonts w:eastAsia="Times New Roman"/>
                <w:sz w:val="20"/>
                <w:szCs w:val="20"/>
              </w:rPr>
            </w:pPr>
          </w:p>
        </w:tc>
        <w:tc>
          <w:tcPr>
            <w:tcW w:w="0" w:type="auto"/>
            <w:gridSpan w:val="2"/>
            <w:vAlign w:val="center"/>
            <w:hideMark/>
          </w:tcPr>
          <w:p w14:paraId="1BF8CC98" w14:textId="77777777" w:rsidR="00000000" w:rsidRDefault="00A173A8">
            <w:pPr>
              <w:spacing w:after="100"/>
              <w:rPr>
                <w:rFonts w:eastAsia="Times New Roman"/>
                <w:sz w:val="20"/>
                <w:szCs w:val="20"/>
              </w:rPr>
            </w:pPr>
          </w:p>
        </w:tc>
      </w:tr>
      <w:tr w:rsidR="00000000" w14:paraId="26CA4F5E" w14:textId="77777777">
        <w:trPr>
          <w:divId w:val="91827376"/>
        </w:trPr>
        <w:tc>
          <w:tcPr>
            <w:tcW w:w="0" w:type="auto"/>
            <w:gridSpan w:val="3"/>
            <w:tcMar>
              <w:top w:w="0" w:type="dxa"/>
              <w:left w:w="20" w:type="dxa"/>
              <w:bottom w:w="0" w:type="dxa"/>
              <w:right w:w="20" w:type="dxa"/>
            </w:tcMar>
            <w:vAlign w:val="center"/>
            <w:hideMark/>
          </w:tcPr>
          <w:p w14:paraId="18E0A56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351429" w14:textId="77777777" w:rsidR="00000000" w:rsidRDefault="00A173A8">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14:paraId="78536340" w14:textId="77777777" w:rsidR="00000000" w:rsidRDefault="00A173A8">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32137FEB" w14:textId="77777777" w:rsidR="00000000" w:rsidRDefault="00A173A8">
            <w:pPr>
              <w:spacing w:after="100"/>
              <w:jc w:val="center"/>
              <w:rPr>
                <w:rFonts w:eastAsia="Times New Roman"/>
              </w:rPr>
            </w:pPr>
          </w:p>
        </w:tc>
        <w:tc>
          <w:tcPr>
            <w:tcW w:w="0" w:type="auto"/>
            <w:gridSpan w:val="21"/>
            <w:tcBorders>
              <w:bottom w:val="single" w:sz="4" w:space="0" w:color="000000"/>
            </w:tcBorders>
            <w:tcMar>
              <w:top w:w="30" w:type="dxa"/>
              <w:left w:w="20" w:type="dxa"/>
              <w:bottom w:w="30" w:type="dxa"/>
              <w:right w:w="20" w:type="dxa"/>
            </w:tcMar>
            <w:vAlign w:val="bottom"/>
            <w:hideMark/>
          </w:tcPr>
          <w:p w14:paraId="311F22FA"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128DAB09" w14:textId="77777777" w:rsidR="00000000" w:rsidRDefault="00A173A8">
            <w:pPr>
              <w:spacing w:after="100"/>
              <w:rPr>
                <w:rFonts w:eastAsia="Times New Roman"/>
                <w:sz w:val="20"/>
                <w:szCs w:val="20"/>
              </w:rPr>
            </w:pPr>
          </w:p>
        </w:tc>
        <w:tc>
          <w:tcPr>
            <w:tcW w:w="0" w:type="auto"/>
            <w:vAlign w:val="center"/>
            <w:hideMark/>
          </w:tcPr>
          <w:p w14:paraId="5FE7466B" w14:textId="77777777" w:rsidR="00000000" w:rsidRDefault="00A173A8">
            <w:pPr>
              <w:spacing w:after="100"/>
              <w:rPr>
                <w:rFonts w:eastAsia="Times New Roman"/>
                <w:sz w:val="20"/>
                <w:szCs w:val="20"/>
              </w:rPr>
            </w:pPr>
          </w:p>
        </w:tc>
        <w:tc>
          <w:tcPr>
            <w:tcW w:w="0" w:type="auto"/>
            <w:vAlign w:val="center"/>
            <w:hideMark/>
          </w:tcPr>
          <w:p w14:paraId="46856205" w14:textId="77777777" w:rsidR="00000000" w:rsidRDefault="00A173A8">
            <w:pPr>
              <w:spacing w:after="100"/>
              <w:rPr>
                <w:rFonts w:eastAsia="Times New Roman"/>
                <w:sz w:val="20"/>
                <w:szCs w:val="20"/>
              </w:rPr>
            </w:pPr>
          </w:p>
        </w:tc>
        <w:tc>
          <w:tcPr>
            <w:tcW w:w="0" w:type="auto"/>
            <w:vAlign w:val="center"/>
            <w:hideMark/>
          </w:tcPr>
          <w:p w14:paraId="060E29EB" w14:textId="77777777" w:rsidR="00000000" w:rsidRDefault="00A173A8">
            <w:pPr>
              <w:spacing w:after="100"/>
              <w:rPr>
                <w:rFonts w:eastAsia="Times New Roman"/>
                <w:sz w:val="20"/>
                <w:szCs w:val="20"/>
              </w:rPr>
            </w:pPr>
          </w:p>
        </w:tc>
        <w:tc>
          <w:tcPr>
            <w:tcW w:w="0" w:type="auto"/>
            <w:vAlign w:val="center"/>
            <w:hideMark/>
          </w:tcPr>
          <w:p w14:paraId="686AD683" w14:textId="77777777" w:rsidR="00000000" w:rsidRDefault="00A173A8">
            <w:pPr>
              <w:spacing w:after="100"/>
              <w:rPr>
                <w:rFonts w:eastAsia="Times New Roman"/>
                <w:sz w:val="20"/>
                <w:szCs w:val="20"/>
              </w:rPr>
            </w:pPr>
          </w:p>
        </w:tc>
        <w:tc>
          <w:tcPr>
            <w:tcW w:w="0" w:type="auto"/>
            <w:vAlign w:val="center"/>
            <w:hideMark/>
          </w:tcPr>
          <w:p w14:paraId="65B45DFE" w14:textId="77777777" w:rsidR="00000000" w:rsidRDefault="00A173A8">
            <w:pPr>
              <w:spacing w:after="100"/>
              <w:rPr>
                <w:rFonts w:eastAsia="Times New Roman"/>
                <w:sz w:val="20"/>
                <w:szCs w:val="20"/>
              </w:rPr>
            </w:pPr>
          </w:p>
        </w:tc>
        <w:tc>
          <w:tcPr>
            <w:tcW w:w="0" w:type="auto"/>
            <w:vAlign w:val="center"/>
            <w:hideMark/>
          </w:tcPr>
          <w:p w14:paraId="5386C385" w14:textId="77777777" w:rsidR="00000000" w:rsidRDefault="00A173A8">
            <w:pPr>
              <w:spacing w:after="100"/>
              <w:rPr>
                <w:rFonts w:eastAsia="Times New Roman"/>
                <w:sz w:val="20"/>
                <w:szCs w:val="20"/>
              </w:rPr>
            </w:pPr>
          </w:p>
        </w:tc>
        <w:tc>
          <w:tcPr>
            <w:tcW w:w="0" w:type="auto"/>
            <w:vAlign w:val="center"/>
            <w:hideMark/>
          </w:tcPr>
          <w:p w14:paraId="7407B4E2" w14:textId="77777777" w:rsidR="00000000" w:rsidRDefault="00A173A8">
            <w:pPr>
              <w:spacing w:after="100"/>
              <w:rPr>
                <w:rFonts w:eastAsia="Times New Roman"/>
                <w:sz w:val="20"/>
                <w:szCs w:val="20"/>
              </w:rPr>
            </w:pPr>
          </w:p>
        </w:tc>
        <w:tc>
          <w:tcPr>
            <w:tcW w:w="0" w:type="auto"/>
            <w:vAlign w:val="center"/>
            <w:hideMark/>
          </w:tcPr>
          <w:p w14:paraId="66B32DB2" w14:textId="77777777" w:rsidR="00000000" w:rsidRDefault="00A173A8">
            <w:pPr>
              <w:spacing w:after="100"/>
              <w:rPr>
                <w:rFonts w:eastAsia="Times New Roman"/>
                <w:sz w:val="20"/>
                <w:szCs w:val="20"/>
              </w:rPr>
            </w:pPr>
          </w:p>
        </w:tc>
        <w:tc>
          <w:tcPr>
            <w:tcW w:w="0" w:type="auto"/>
            <w:vAlign w:val="center"/>
            <w:hideMark/>
          </w:tcPr>
          <w:p w14:paraId="02ECFF94" w14:textId="77777777" w:rsidR="00000000" w:rsidRDefault="00A173A8">
            <w:pPr>
              <w:spacing w:after="100"/>
              <w:rPr>
                <w:rFonts w:eastAsia="Times New Roman"/>
                <w:sz w:val="20"/>
                <w:szCs w:val="20"/>
              </w:rPr>
            </w:pPr>
          </w:p>
        </w:tc>
        <w:tc>
          <w:tcPr>
            <w:tcW w:w="0" w:type="auto"/>
            <w:vAlign w:val="center"/>
            <w:hideMark/>
          </w:tcPr>
          <w:p w14:paraId="5915722F" w14:textId="77777777" w:rsidR="00000000" w:rsidRDefault="00A173A8">
            <w:pPr>
              <w:spacing w:after="100"/>
              <w:rPr>
                <w:rFonts w:eastAsia="Times New Roman"/>
                <w:sz w:val="20"/>
                <w:szCs w:val="20"/>
              </w:rPr>
            </w:pPr>
          </w:p>
        </w:tc>
      </w:tr>
      <w:tr w:rsidR="00000000" w14:paraId="7A1DD1CA" w14:textId="77777777">
        <w:trPr>
          <w:divId w:val="91827376"/>
        </w:trPr>
        <w:tc>
          <w:tcPr>
            <w:tcW w:w="0" w:type="auto"/>
            <w:gridSpan w:val="3"/>
            <w:tcMar>
              <w:top w:w="30" w:type="dxa"/>
              <w:left w:w="20" w:type="dxa"/>
              <w:bottom w:w="30" w:type="dxa"/>
              <w:right w:w="20" w:type="dxa"/>
            </w:tcMar>
            <w:vAlign w:val="bottom"/>
            <w:hideMark/>
          </w:tcPr>
          <w:p w14:paraId="3A538EE8"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29E383E" w14:textId="77777777" w:rsidR="00000000" w:rsidRDefault="00A173A8">
            <w:pPr>
              <w:spacing w:after="100"/>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14:paraId="7AE073D1"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0FC81C34" w14:textId="77777777" w:rsidR="00000000" w:rsidRDefault="00A173A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14:paraId="0AEEB35C"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2639A4E" w14:textId="77777777" w:rsidR="00000000" w:rsidRDefault="00A173A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14:paraId="4223598F"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14:paraId="612F97C5" w14:textId="77777777" w:rsidR="00000000" w:rsidRDefault="00A173A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14:paraId="79DE42B8"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5EB28B19" w14:textId="77777777" w:rsidR="00000000" w:rsidRDefault="00A173A8">
            <w:pPr>
              <w:spacing w:after="100"/>
              <w:jc w:val="center"/>
              <w:rPr>
                <w:rFonts w:eastAsia="Times New Roman"/>
              </w:rPr>
            </w:pPr>
          </w:p>
        </w:tc>
        <w:tc>
          <w:tcPr>
            <w:tcW w:w="0" w:type="auto"/>
            <w:gridSpan w:val="3"/>
            <w:vAlign w:val="center"/>
            <w:hideMark/>
          </w:tcPr>
          <w:p w14:paraId="028F1A79" w14:textId="77777777" w:rsidR="00000000" w:rsidRDefault="00A173A8">
            <w:pPr>
              <w:spacing w:after="100"/>
              <w:rPr>
                <w:rFonts w:eastAsia="Times New Roman"/>
                <w:sz w:val="20"/>
                <w:szCs w:val="20"/>
              </w:rPr>
            </w:pPr>
          </w:p>
        </w:tc>
        <w:tc>
          <w:tcPr>
            <w:tcW w:w="0" w:type="auto"/>
            <w:vAlign w:val="center"/>
            <w:hideMark/>
          </w:tcPr>
          <w:p w14:paraId="46F74602" w14:textId="77777777" w:rsidR="00000000" w:rsidRDefault="00A173A8">
            <w:pPr>
              <w:spacing w:after="100"/>
              <w:rPr>
                <w:rFonts w:eastAsia="Times New Roman"/>
                <w:sz w:val="20"/>
                <w:szCs w:val="20"/>
              </w:rPr>
            </w:pPr>
          </w:p>
        </w:tc>
        <w:tc>
          <w:tcPr>
            <w:tcW w:w="0" w:type="auto"/>
            <w:vAlign w:val="center"/>
            <w:hideMark/>
          </w:tcPr>
          <w:p w14:paraId="1745A175" w14:textId="77777777" w:rsidR="00000000" w:rsidRDefault="00A173A8">
            <w:pPr>
              <w:spacing w:after="100"/>
              <w:rPr>
                <w:rFonts w:eastAsia="Times New Roman"/>
                <w:sz w:val="20"/>
                <w:szCs w:val="20"/>
              </w:rPr>
            </w:pPr>
          </w:p>
        </w:tc>
        <w:tc>
          <w:tcPr>
            <w:tcW w:w="0" w:type="auto"/>
            <w:vAlign w:val="center"/>
            <w:hideMark/>
          </w:tcPr>
          <w:p w14:paraId="654FD11B" w14:textId="77777777" w:rsidR="00000000" w:rsidRDefault="00A173A8">
            <w:pPr>
              <w:spacing w:after="100"/>
              <w:rPr>
                <w:rFonts w:eastAsia="Times New Roman"/>
                <w:sz w:val="20"/>
                <w:szCs w:val="20"/>
              </w:rPr>
            </w:pPr>
          </w:p>
        </w:tc>
        <w:tc>
          <w:tcPr>
            <w:tcW w:w="0" w:type="auto"/>
            <w:vAlign w:val="center"/>
            <w:hideMark/>
          </w:tcPr>
          <w:p w14:paraId="4215DD36" w14:textId="77777777" w:rsidR="00000000" w:rsidRDefault="00A173A8">
            <w:pPr>
              <w:spacing w:after="100"/>
              <w:rPr>
                <w:rFonts w:eastAsia="Times New Roman"/>
                <w:sz w:val="20"/>
                <w:szCs w:val="20"/>
              </w:rPr>
            </w:pPr>
          </w:p>
        </w:tc>
        <w:tc>
          <w:tcPr>
            <w:tcW w:w="0" w:type="auto"/>
            <w:vAlign w:val="center"/>
            <w:hideMark/>
          </w:tcPr>
          <w:p w14:paraId="5BD449BD" w14:textId="77777777" w:rsidR="00000000" w:rsidRDefault="00A173A8">
            <w:pPr>
              <w:spacing w:after="100"/>
              <w:rPr>
                <w:rFonts w:eastAsia="Times New Roman"/>
                <w:sz w:val="20"/>
                <w:szCs w:val="20"/>
              </w:rPr>
            </w:pPr>
          </w:p>
        </w:tc>
      </w:tr>
      <w:tr w:rsidR="00000000" w14:paraId="0BA29F40" w14:textId="77777777">
        <w:trPr>
          <w:divId w:val="91827376"/>
        </w:trPr>
        <w:tc>
          <w:tcPr>
            <w:tcW w:w="0" w:type="auto"/>
            <w:gridSpan w:val="3"/>
            <w:tcBorders>
              <w:bottom w:val="single" w:sz="8" w:space="0" w:color="000000"/>
            </w:tcBorders>
            <w:tcMar>
              <w:top w:w="30" w:type="dxa"/>
              <w:left w:w="20" w:type="dxa"/>
              <w:bottom w:w="30" w:type="dxa"/>
              <w:right w:w="20" w:type="dxa"/>
            </w:tcMar>
            <w:vAlign w:val="bottom"/>
            <w:hideMark/>
          </w:tcPr>
          <w:p w14:paraId="6506356E"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A3CB153" w14:textId="77777777" w:rsidR="00000000" w:rsidRDefault="00A173A8">
            <w:pPr>
              <w:spacing w:after="100"/>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456B9A5D" w14:textId="77777777" w:rsidR="00000000" w:rsidRDefault="00A173A8">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4" w:space="0" w:color="000000"/>
            </w:tcBorders>
            <w:tcMar>
              <w:top w:w="0" w:type="dxa"/>
              <w:left w:w="20" w:type="dxa"/>
              <w:bottom w:w="0" w:type="dxa"/>
              <w:right w:w="20" w:type="dxa"/>
            </w:tcMar>
            <w:vAlign w:val="center"/>
            <w:hideMark/>
          </w:tcPr>
          <w:p w14:paraId="4C0DBA20" w14:textId="77777777" w:rsidR="00000000" w:rsidRDefault="00A173A8">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45AA3D62" w14:textId="77777777" w:rsidR="00000000" w:rsidRDefault="00A173A8">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2F01B7B0" w14:textId="77777777" w:rsidR="00000000" w:rsidRDefault="00A173A8">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6FF0A1AB" w14:textId="77777777" w:rsidR="00000000" w:rsidRDefault="00A173A8">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4" w:space="0" w:color="000000"/>
            </w:tcBorders>
            <w:tcMar>
              <w:top w:w="0" w:type="dxa"/>
              <w:left w:w="20" w:type="dxa"/>
              <w:bottom w:w="0" w:type="dxa"/>
              <w:right w:w="20" w:type="dxa"/>
            </w:tcMar>
            <w:vAlign w:val="center"/>
            <w:hideMark/>
          </w:tcPr>
          <w:p w14:paraId="7D7708F1" w14:textId="77777777" w:rsidR="00000000" w:rsidRDefault="00A173A8">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14:paraId="5A9EEE13" w14:textId="77777777" w:rsidR="00000000" w:rsidRDefault="00A173A8">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1E2037BB" w14:textId="77777777" w:rsidR="00000000" w:rsidRDefault="00A173A8">
            <w:pPr>
              <w:spacing w:after="100"/>
              <w:jc w:val="center"/>
              <w:rPr>
                <w:rFonts w:eastAsia="Times New Roman"/>
              </w:rPr>
            </w:pPr>
          </w:p>
        </w:tc>
        <w:tc>
          <w:tcPr>
            <w:tcW w:w="0" w:type="auto"/>
            <w:gridSpan w:val="3"/>
            <w:tcBorders>
              <w:top w:val="single" w:sz="4" w:space="0" w:color="000000"/>
              <w:bottom w:val="single" w:sz="12" w:space="0" w:color="000000"/>
            </w:tcBorders>
            <w:tcMar>
              <w:top w:w="30" w:type="dxa"/>
              <w:left w:w="20" w:type="dxa"/>
              <w:bottom w:w="30" w:type="dxa"/>
              <w:right w:w="20" w:type="dxa"/>
            </w:tcMar>
            <w:vAlign w:val="bottom"/>
            <w:hideMark/>
          </w:tcPr>
          <w:p w14:paraId="5506B8D4" w14:textId="77777777" w:rsidR="00000000" w:rsidRDefault="00A173A8">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4" w:space="0" w:color="000000"/>
            </w:tcBorders>
            <w:tcMar>
              <w:top w:w="0" w:type="dxa"/>
              <w:left w:w="20" w:type="dxa"/>
              <w:bottom w:w="0" w:type="dxa"/>
              <w:right w:w="20" w:type="dxa"/>
            </w:tcMar>
            <w:vAlign w:val="center"/>
            <w:hideMark/>
          </w:tcPr>
          <w:p w14:paraId="7DED8A2F" w14:textId="77777777" w:rsidR="00000000" w:rsidRDefault="00A173A8">
            <w:pPr>
              <w:spacing w:after="100"/>
              <w:jc w:val="center"/>
              <w:rPr>
                <w:rFonts w:eastAsia="Times New Roman"/>
              </w:rPr>
            </w:pPr>
          </w:p>
        </w:tc>
        <w:tc>
          <w:tcPr>
            <w:tcW w:w="0" w:type="auto"/>
            <w:gridSpan w:val="3"/>
            <w:tcBorders>
              <w:top w:val="single" w:sz="4" w:space="0" w:color="000000"/>
              <w:bottom w:val="single" w:sz="12" w:space="0" w:color="000000"/>
            </w:tcBorders>
            <w:tcMar>
              <w:top w:w="30" w:type="dxa"/>
              <w:left w:w="20" w:type="dxa"/>
              <w:bottom w:w="30" w:type="dxa"/>
              <w:right w:w="20" w:type="dxa"/>
            </w:tcMar>
            <w:vAlign w:val="bottom"/>
            <w:hideMark/>
          </w:tcPr>
          <w:p w14:paraId="1CDB1FDE" w14:textId="77777777" w:rsidR="00000000" w:rsidRDefault="00A173A8">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1D62459E" w14:textId="77777777" w:rsidR="00000000" w:rsidRDefault="00A173A8">
            <w:pPr>
              <w:spacing w:after="100"/>
              <w:jc w:val="center"/>
              <w:rPr>
                <w:rFonts w:eastAsia="Times New Roman"/>
              </w:rPr>
            </w:pPr>
          </w:p>
        </w:tc>
        <w:tc>
          <w:tcPr>
            <w:tcW w:w="0" w:type="auto"/>
            <w:gridSpan w:val="3"/>
            <w:tcBorders>
              <w:top w:val="single" w:sz="4" w:space="0" w:color="000000"/>
              <w:bottom w:val="single" w:sz="12" w:space="0" w:color="000000"/>
            </w:tcBorders>
            <w:tcMar>
              <w:top w:w="30" w:type="dxa"/>
              <w:left w:w="20" w:type="dxa"/>
              <w:bottom w:w="30" w:type="dxa"/>
              <w:right w:w="20" w:type="dxa"/>
            </w:tcMar>
            <w:vAlign w:val="bottom"/>
            <w:hideMark/>
          </w:tcPr>
          <w:p w14:paraId="5E157A31" w14:textId="77777777" w:rsidR="00000000" w:rsidRDefault="00A173A8">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4" w:space="0" w:color="000000"/>
            </w:tcBorders>
            <w:tcMar>
              <w:top w:w="0" w:type="dxa"/>
              <w:left w:w="20" w:type="dxa"/>
              <w:bottom w:w="0" w:type="dxa"/>
              <w:right w:w="20" w:type="dxa"/>
            </w:tcMar>
            <w:vAlign w:val="center"/>
            <w:hideMark/>
          </w:tcPr>
          <w:p w14:paraId="78FD81B0" w14:textId="77777777" w:rsidR="00000000" w:rsidRDefault="00A173A8">
            <w:pPr>
              <w:spacing w:after="100"/>
              <w:jc w:val="center"/>
              <w:rPr>
                <w:rFonts w:eastAsia="Times New Roman"/>
              </w:rPr>
            </w:pPr>
          </w:p>
        </w:tc>
        <w:tc>
          <w:tcPr>
            <w:tcW w:w="0" w:type="auto"/>
            <w:gridSpan w:val="3"/>
            <w:tcBorders>
              <w:top w:val="single" w:sz="4" w:space="0" w:color="000000"/>
              <w:bottom w:val="single" w:sz="12" w:space="0" w:color="000000"/>
            </w:tcBorders>
            <w:tcMar>
              <w:top w:w="30" w:type="dxa"/>
              <w:left w:w="20" w:type="dxa"/>
              <w:bottom w:w="30" w:type="dxa"/>
              <w:right w:w="20" w:type="dxa"/>
            </w:tcMar>
            <w:vAlign w:val="bottom"/>
            <w:hideMark/>
          </w:tcPr>
          <w:p w14:paraId="30653F9D" w14:textId="77777777" w:rsidR="00000000" w:rsidRDefault="00A173A8">
            <w:pPr>
              <w:spacing w:after="100"/>
              <w:jc w:val="center"/>
              <w:rPr>
                <w:rFonts w:eastAsia="Times New Roman"/>
              </w:rPr>
            </w:pPr>
            <w:r>
              <w:rPr>
                <w:rFonts w:eastAsia="Times New Roman"/>
                <w:b/>
                <w:bCs/>
                <w:color w:val="000000"/>
                <w:sz w:val="16"/>
                <w:szCs w:val="16"/>
              </w:rPr>
              <w:t>Amount</w:t>
            </w:r>
          </w:p>
        </w:tc>
        <w:tc>
          <w:tcPr>
            <w:tcW w:w="0" w:type="auto"/>
            <w:gridSpan w:val="3"/>
            <w:vAlign w:val="center"/>
            <w:hideMark/>
          </w:tcPr>
          <w:p w14:paraId="37463B7C" w14:textId="77777777" w:rsidR="00000000" w:rsidRDefault="00A173A8">
            <w:pPr>
              <w:spacing w:after="100"/>
              <w:jc w:val="center"/>
              <w:rPr>
                <w:rFonts w:eastAsia="Times New Roman"/>
              </w:rPr>
            </w:pPr>
          </w:p>
        </w:tc>
        <w:tc>
          <w:tcPr>
            <w:tcW w:w="0" w:type="auto"/>
            <w:gridSpan w:val="3"/>
            <w:vAlign w:val="center"/>
            <w:hideMark/>
          </w:tcPr>
          <w:p w14:paraId="1C64C889" w14:textId="77777777" w:rsidR="00000000" w:rsidRDefault="00A173A8">
            <w:pPr>
              <w:spacing w:after="100"/>
              <w:rPr>
                <w:rFonts w:eastAsia="Times New Roman"/>
                <w:sz w:val="20"/>
                <w:szCs w:val="20"/>
              </w:rPr>
            </w:pPr>
          </w:p>
        </w:tc>
        <w:tc>
          <w:tcPr>
            <w:tcW w:w="0" w:type="auto"/>
            <w:gridSpan w:val="3"/>
            <w:vAlign w:val="center"/>
            <w:hideMark/>
          </w:tcPr>
          <w:p w14:paraId="616DE3FE" w14:textId="77777777" w:rsidR="00000000" w:rsidRDefault="00A173A8">
            <w:pPr>
              <w:spacing w:after="100"/>
              <w:rPr>
                <w:rFonts w:eastAsia="Times New Roman"/>
                <w:sz w:val="20"/>
                <w:szCs w:val="20"/>
              </w:rPr>
            </w:pPr>
          </w:p>
        </w:tc>
        <w:tc>
          <w:tcPr>
            <w:tcW w:w="0" w:type="auto"/>
            <w:gridSpan w:val="2"/>
            <w:vAlign w:val="center"/>
            <w:hideMark/>
          </w:tcPr>
          <w:p w14:paraId="4FD07844" w14:textId="77777777" w:rsidR="00000000" w:rsidRDefault="00A173A8">
            <w:pPr>
              <w:spacing w:after="100"/>
              <w:rPr>
                <w:rFonts w:eastAsia="Times New Roman"/>
                <w:sz w:val="20"/>
                <w:szCs w:val="20"/>
              </w:rPr>
            </w:pPr>
          </w:p>
        </w:tc>
      </w:tr>
      <w:tr w:rsidR="00000000" w14:paraId="19801D90" w14:textId="77777777">
        <w:trPr>
          <w:divId w:val="9182737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8C405DB" w14:textId="77777777" w:rsidR="00000000" w:rsidRDefault="00A173A8">
            <w:pPr>
              <w:spacing w:after="100"/>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14:paraId="132197D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CA377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BECAD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776DB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B8213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DF869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3A09A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90D5C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664780" w14:textId="77777777" w:rsidR="00000000" w:rsidRDefault="00A173A8">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1ED1DE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492F78" w14:textId="77777777" w:rsidR="00000000" w:rsidRDefault="00A173A8">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36AEFB1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E37BCB" w14:textId="77777777" w:rsidR="00000000" w:rsidRDefault="00A173A8">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3F10FDC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E58069" w14:textId="77777777" w:rsidR="00000000" w:rsidRDefault="00A173A8">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447BF4F1" w14:textId="77777777" w:rsidR="00000000" w:rsidRDefault="00A173A8">
            <w:pPr>
              <w:spacing w:after="100"/>
              <w:rPr>
                <w:rFonts w:eastAsia="Times New Roman"/>
                <w:sz w:val="20"/>
                <w:szCs w:val="20"/>
              </w:rPr>
            </w:pPr>
          </w:p>
        </w:tc>
        <w:tc>
          <w:tcPr>
            <w:tcW w:w="0" w:type="auto"/>
            <w:gridSpan w:val="3"/>
            <w:vAlign w:val="center"/>
            <w:hideMark/>
          </w:tcPr>
          <w:p w14:paraId="62708F40" w14:textId="77777777" w:rsidR="00000000" w:rsidRDefault="00A173A8">
            <w:pPr>
              <w:spacing w:after="100"/>
              <w:rPr>
                <w:rFonts w:eastAsia="Times New Roman"/>
                <w:sz w:val="20"/>
                <w:szCs w:val="20"/>
              </w:rPr>
            </w:pPr>
          </w:p>
        </w:tc>
        <w:tc>
          <w:tcPr>
            <w:tcW w:w="0" w:type="auto"/>
            <w:gridSpan w:val="3"/>
            <w:vAlign w:val="center"/>
            <w:hideMark/>
          </w:tcPr>
          <w:p w14:paraId="133471F4" w14:textId="77777777" w:rsidR="00000000" w:rsidRDefault="00A173A8">
            <w:pPr>
              <w:spacing w:after="100"/>
              <w:rPr>
                <w:rFonts w:eastAsia="Times New Roman"/>
                <w:sz w:val="20"/>
                <w:szCs w:val="20"/>
              </w:rPr>
            </w:pPr>
          </w:p>
        </w:tc>
        <w:tc>
          <w:tcPr>
            <w:tcW w:w="0" w:type="auto"/>
            <w:gridSpan w:val="3"/>
            <w:vAlign w:val="center"/>
            <w:hideMark/>
          </w:tcPr>
          <w:p w14:paraId="5E04601A" w14:textId="77777777" w:rsidR="00000000" w:rsidRDefault="00A173A8">
            <w:pPr>
              <w:spacing w:after="100"/>
              <w:rPr>
                <w:rFonts w:eastAsia="Times New Roman"/>
                <w:sz w:val="20"/>
                <w:szCs w:val="20"/>
              </w:rPr>
            </w:pPr>
          </w:p>
        </w:tc>
        <w:tc>
          <w:tcPr>
            <w:tcW w:w="0" w:type="auto"/>
            <w:gridSpan w:val="2"/>
            <w:vAlign w:val="center"/>
            <w:hideMark/>
          </w:tcPr>
          <w:p w14:paraId="68E7A3B4" w14:textId="77777777" w:rsidR="00000000" w:rsidRDefault="00A173A8">
            <w:pPr>
              <w:spacing w:after="100"/>
              <w:rPr>
                <w:rFonts w:eastAsia="Times New Roman"/>
                <w:sz w:val="20"/>
                <w:szCs w:val="20"/>
              </w:rPr>
            </w:pPr>
          </w:p>
        </w:tc>
      </w:tr>
      <w:tr w:rsidR="00A173A8" w14:paraId="2E6300C9" w14:textId="77777777">
        <w:trPr>
          <w:divId w:val="91827376"/>
        </w:trPr>
        <w:tc>
          <w:tcPr>
            <w:tcW w:w="0" w:type="auto"/>
            <w:gridSpan w:val="3"/>
            <w:shd w:val="clear" w:color="auto" w:fill="FFFFFF"/>
            <w:tcMar>
              <w:top w:w="30" w:type="dxa"/>
              <w:left w:w="245" w:type="dxa"/>
              <w:bottom w:w="30" w:type="dxa"/>
              <w:right w:w="20" w:type="dxa"/>
            </w:tcMar>
            <w:vAlign w:val="center"/>
            <w:hideMark/>
          </w:tcPr>
          <w:p w14:paraId="62FAE9BD" w14:textId="77777777" w:rsidR="00000000" w:rsidRDefault="00A173A8">
            <w:pPr>
              <w:spacing w:after="100"/>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14:paraId="4EE5DBF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3355B10" w14:textId="77777777" w:rsidR="00000000" w:rsidRDefault="00A173A8">
            <w:pPr>
              <w:spacing w:after="100"/>
              <w:jc w:val="right"/>
              <w:rPr>
                <w:rFonts w:eastAsia="Times New Roman"/>
              </w:rPr>
            </w:pPr>
            <w:r>
              <w:rPr>
                <w:rFonts w:eastAsia="Times New Roman"/>
                <w:b/>
                <w:bCs/>
                <w:color w:val="000000"/>
                <w:sz w:val="18"/>
                <w:szCs w:val="18"/>
              </w:rPr>
              <w:t>8,012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0F373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922F7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1349FDC"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AE57F68" w14:textId="77777777" w:rsidR="00000000" w:rsidRDefault="00A173A8">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5593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036E2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A5319F" w14:textId="77777777" w:rsidR="00000000" w:rsidRDefault="00A173A8">
            <w:pPr>
              <w:spacing w:after="100"/>
              <w:jc w:val="right"/>
              <w:rPr>
                <w:rFonts w:eastAsia="Times New Roman"/>
              </w:rPr>
            </w:pPr>
            <w:r>
              <w:rPr>
                <w:rFonts w:eastAsia="Times New Roman"/>
                <w:color w:val="000000"/>
                <w:sz w:val="18"/>
                <w:szCs w:val="18"/>
              </w:rPr>
              <w:t>4,226 </w:t>
            </w:r>
          </w:p>
        </w:tc>
        <w:tc>
          <w:tcPr>
            <w:tcW w:w="0" w:type="auto"/>
            <w:shd w:val="clear" w:color="auto" w:fill="FFFFFF"/>
            <w:tcMar>
              <w:top w:w="30" w:type="dxa"/>
              <w:left w:w="0" w:type="dxa"/>
              <w:bottom w:w="30" w:type="dxa"/>
              <w:right w:w="20" w:type="dxa"/>
            </w:tcMar>
            <w:vAlign w:val="center"/>
            <w:hideMark/>
          </w:tcPr>
          <w:p w14:paraId="656D72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D7653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C52134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3BA0B51" w14:textId="77777777" w:rsidR="00000000" w:rsidRDefault="00A173A8">
            <w:pPr>
              <w:spacing w:after="100"/>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14:paraId="535106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A1C6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A05110" w14:textId="77777777" w:rsidR="00000000" w:rsidRDefault="00A173A8">
            <w:pPr>
              <w:spacing w:after="100"/>
              <w:jc w:val="right"/>
              <w:rPr>
                <w:rFonts w:eastAsia="Times New Roman"/>
              </w:rPr>
            </w:pPr>
            <w:r>
              <w:rPr>
                <w:rFonts w:eastAsia="Times New Roman"/>
                <w:b/>
                <w:bCs/>
                <w:color w:val="2C2C2C"/>
                <w:sz w:val="18"/>
                <w:szCs w:val="18"/>
              </w:rPr>
              <w:t>14,024</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2252D51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68E9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258A3D4" w14:textId="77777777" w:rsidR="00000000" w:rsidRDefault="00A173A8">
            <w:pPr>
              <w:spacing w:after="100"/>
              <w:rPr>
                <w:rFonts w:eastAsia="Times New Roman"/>
              </w:rPr>
            </w:pPr>
            <w:r>
              <w:rPr>
                <w:rFonts w:eastAsia="Times New Roman"/>
                <w:b/>
                <w:bCs/>
                <w:color w:val="2C2C2C"/>
                <w:sz w:val="18"/>
                <w:szCs w:val="18"/>
              </w:rPr>
              <w:t>$</w:t>
            </w:r>
          </w:p>
        </w:tc>
        <w:tc>
          <w:tcPr>
            <w:tcW w:w="0" w:type="auto"/>
            <w:shd w:val="clear" w:color="auto" w:fill="FFFFFF"/>
            <w:tcMar>
              <w:top w:w="30" w:type="dxa"/>
              <w:left w:w="0" w:type="dxa"/>
              <w:bottom w:w="30" w:type="dxa"/>
              <w:right w:w="0" w:type="dxa"/>
            </w:tcMar>
            <w:vAlign w:val="center"/>
            <w:hideMark/>
          </w:tcPr>
          <w:p w14:paraId="1D91AA40" w14:textId="77777777" w:rsidR="00000000" w:rsidRDefault="00A173A8">
            <w:pPr>
              <w:spacing w:after="100"/>
              <w:jc w:val="right"/>
              <w:rPr>
                <w:rFonts w:eastAsia="Times New Roman"/>
              </w:rPr>
            </w:pPr>
            <w:r>
              <w:rPr>
                <w:rFonts w:eastAsia="Times New Roman"/>
                <w:b/>
                <w:bCs/>
                <w:color w:val="2C2C2C"/>
                <w:sz w:val="18"/>
                <w:szCs w:val="18"/>
              </w:rPr>
              <w:t>28</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783D0F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87F7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8EA350" w14:textId="77777777" w:rsidR="00000000" w:rsidRDefault="00A173A8">
            <w:pPr>
              <w:spacing w:after="100"/>
              <w:jc w:val="right"/>
              <w:rPr>
                <w:rFonts w:eastAsia="Times New Roman"/>
              </w:rPr>
            </w:pPr>
            <w:r>
              <w:rPr>
                <w:rFonts w:eastAsia="Times New Roman"/>
                <w:color w:val="000000"/>
                <w:sz w:val="18"/>
                <w:szCs w:val="18"/>
              </w:rPr>
              <w:t>9,360 </w:t>
            </w:r>
          </w:p>
        </w:tc>
        <w:tc>
          <w:tcPr>
            <w:tcW w:w="0" w:type="auto"/>
            <w:shd w:val="clear" w:color="auto" w:fill="FFFFFF"/>
            <w:tcMar>
              <w:top w:w="30" w:type="dxa"/>
              <w:left w:w="0" w:type="dxa"/>
              <w:bottom w:w="30" w:type="dxa"/>
              <w:right w:w="20" w:type="dxa"/>
            </w:tcMar>
            <w:vAlign w:val="center"/>
            <w:hideMark/>
          </w:tcPr>
          <w:p w14:paraId="4F1C1EE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DAAB3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3E7E76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2A61725" w14:textId="77777777" w:rsidR="00000000" w:rsidRDefault="00A173A8">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center"/>
            <w:hideMark/>
          </w:tcPr>
          <w:p w14:paraId="38D2920D" w14:textId="77777777" w:rsidR="00000000" w:rsidRDefault="00A173A8">
            <w:pPr>
              <w:spacing w:after="100"/>
              <w:jc w:val="right"/>
              <w:rPr>
                <w:rFonts w:eastAsia="Times New Roman"/>
              </w:rPr>
            </w:pPr>
          </w:p>
        </w:tc>
        <w:tc>
          <w:tcPr>
            <w:tcW w:w="0" w:type="auto"/>
            <w:gridSpan w:val="3"/>
            <w:vAlign w:val="center"/>
            <w:hideMark/>
          </w:tcPr>
          <w:p w14:paraId="0139CBA1" w14:textId="77777777" w:rsidR="00000000" w:rsidRDefault="00A173A8">
            <w:pPr>
              <w:spacing w:after="100"/>
              <w:jc w:val="right"/>
              <w:rPr>
                <w:rFonts w:eastAsia="Times New Roman"/>
                <w:sz w:val="20"/>
                <w:szCs w:val="20"/>
              </w:rPr>
            </w:pPr>
          </w:p>
        </w:tc>
        <w:tc>
          <w:tcPr>
            <w:tcW w:w="0" w:type="auto"/>
            <w:gridSpan w:val="3"/>
            <w:vAlign w:val="center"/>
            <w:hideMark/>
          </w:tcPr>
          <w:p w14:paraId="21458DDF" w14:textId="77777777" w:rsidR="00000000" w:rsidRDefault="00A173A8">
            <w:pPr>
              <w:spacing w:after="100"/>
              <w:rPr>
                <w:rFonts w:eastAsia="Times New Roman"/>
                <w:sz w:val="20"/>
                <w:szCs w:val="20"/>
              </w:rPr>
            </w:pPr>
          </w:p>
        </w:tc>
        <w:tc>
          <w:tcPr>
            <w:tcW w:w="0" w:type="auto"/>
            <w:gridSpan w:val="3"/>
            <w:vAlign w:val="center"/>
            <w:hideMark/>
          </w:tcPr>
          <w:p w14:paraId="04606834" w14:textId="77777777" w:rsidR="00000000" w:rsidRDefault="00A173A8">
            <w:pPr>
              <w:spacing w:after="100"/>
              <w:rPr>
                <w:rFonts w:eastAsia="Times New Roman"/>
                <w:sz w:val="20"/>
                <w:szCs w:val="20"/>
              </w:rPr>
            </w:pPr>
          </w:p>
        </w:tc>
        <w:tc>
          <w:tcPr>
            <w:tcW w:w="0" w:type="auto"/>
            <w:gridSpan w:val="2"/>
            <w:vAlign w:val="center"/>
            <w:hideMark/>
          </w:tcPr>
          <w:p w14:paraId="018A36BF" w14:textId="77777777" w:rsidR="00000000" w:rsidRDefault="00A173A8">
            <w:pPr>
              <w:spacing w:after="100"/>
              <w:rPr>
                <w:rFonts w:eastAsia="Times New Roman"/>
                <w:sz w:val="20"/>
                <w:szCs w:val="20"/>
              </w:rPr>
            </w:pPr>
          </w:p>
        </w:tc>
      </w:tr>
      <w:tr w:rsidR="00A173A8" w14:paraId="33F0EBBE" w14:textId="77777777">
        <w:trPr>
          <w:divId w:val="91827376"/>
        </w:trPr>
        <w:tc>
          <w:tcPr>
            <w:tcW w:w="0" w:type="auto"/>
            <w:gridSpan w:val="3"/>
            <w:shd w:val="clear" w:color="auto" w:fill="CCEEFF"/>
            <w:tcMar>
              <w:top w:w="30" w:type="dxa"/>
              <w:left w:w="245" w:type="dxa"/>
              <w:bottom w:w="30" w:type="dxa"/>
              <w:right w:w="20" w:type="dxa"/>
            </w:tcMar>
            <w:vAlign w:val="center"/>
            <w:hideMark/>
          </w:tcPr>
          <w:p w14:paraId="2721F47A" w14:textId="77777777" w:rsidR="00000000" w:rsidRDefault="00A173A8">
            <w:pPr>
              <w:spacing w:after="100"/>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14:paraId="5CACC4A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B016727" w14:textId="77777777" w:rsidR="00000000" w:rsidRDefault="00A173A8">
            <w:pPr>
              <w:spacing w:after="100"/>
              <w:jc w:val="right"/>
              <w:rPr>
                <w:rFonts w:eastAsia="Times New Roman"/>
              </w:rPr>
            </w:pPr>
            <w:r>
              <w:rPr>
                <w:rFonts w:eastAsia="Times New Roman"/>
                <w:b/>
                <w:bCs/>
                <w:color w:val="000000"/>
                <w:sz w:val="18"/>
                <w:szCs w:val="18"/>
              </w:rPr>
              <w:t>19,611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FDF22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1DE6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2EA1A8" w14:textId="77777777" w:rsidR="00000000" w:rsidRDefault="00A173A8">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9FCB4B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DFF7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2D4A8D" w14:textId="77777777" w:rsidR="00000000" w:rsidRDefault="00A173A8">
            <w:pPr>
              <w:spacing w:after="100"/>
              <w:jc w:val="right"/>
              <w:rPr>
                <w:rFonts w:eastAsia="Times New Roman"/>
              </w:rPr>
            </w:pPr>
            <w:r>
              <w:rPr>
                <w:rFonts w:eastAsia="Times New Roman"/>
                <w:color w:val="000000"/>
                <w:sz w:val="18"/>
                <w:szCs w:val="18"/>
              </w:rPr>
              <w:t>14,827 </w:t>
            </w:r>
          </w:p>
        </w:tc>
        <w:tc>
          <w:tcPr>
            <w:tcW w:w="0" w:type="auto"/>
            <w:shd w:val="clear" w:color="auto" w:fill="CCEEFF"/>
            <w:tcMar>
              <w:top w:w="30" w:type="dxa"/>
              <w:left w:w="0" w:type="dxa"/>
              <w:bottom w:w="30" w:type="dxa"/>
              <w:right w:w="20" w:type="dxa"/>
            </w:tcMar>
            <w:vAlign w:val="center"/>
            <w:hideMark/>
          </w:tcPr>
          <w:p w14:paraId="2891B50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B858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9F0CD3" w14:textId="77777777" w:rsidR="00000000" w:rsidRDefault="00A173A8">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14:paraId="28BBC0B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DCD99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9436AB" w14:textId="77777777" w:rsidR="00000000" w:rsidRDefault="00A173A8">
            <w:pPr>
              <w:spacing w:after="100"/>
              <w:jc w:val="right"/>
              <w:rPr>
                <w:rFonts w:eastAsia="Times New Roman"/>
              </w:rPr>
            </w:pPr>
            <w:r>
              <w:rPr>
                <w:rFonts w:eastAsia="Times New Roman"/>
                <w:b/>
                <w:bCs/>
                <w:color w:val="2C2C2C"/>
                <w:sz w:val="18"/>
                <w:szCs w:val="18"/>
              </w:rPr>
              <w:t>36,118</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05021C8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0D622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7B365A" w14:textId="77777777" w:rsidR="00000000" w:rsidRDefault="00A173A8">
            <w:pPr>
              <w:spacing w:after="100"/>
              <w:jc w:val="right"/>
              <w:rPr>
                <w:rFonts w:eastAsia="Times New Roman"/>
              </w:rPr>
            </w:pPr>
            <w:r>
              <w:rPr>
                <w:rFonts w:eastAsia="Times New Roman"/>
                <w:b/>
                <w:bCs/>
                <w:color w:val="2C2C2C"/>
                <w:sz w:val="18"/>
                <w:szCs w:val="18"/>
              </w:rPr>
              <w:t>39</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22E0FFC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12A0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76BD0B" w14:textId="77777777" w:rsidR="00000000" w:rsidRDefault="00A173A8">
            <w:pPr>
              <w:spacing w:after="100"/>
              <w:jc w:val="right"/>
              <w:rPr>
                <w:rFonts w:eastAsia="Times New Roman"/>
              </w:rPr>
            </w:pPr>
            <w:r>
              <w:rPr>
                <w:rFonts w:eastAsia="Times New Roman"/>
                <w:color w:val="000000"/>
                <w:sz w:val="18"/>
                <w:szCs w:val="18"/>
              </w:rPr>
              <w:t>32,029 </w:t>
            </w:r>
          </w:p>
        </w:tc>
        <w:tc>
          <w:tcPr>
            <w:tcW w:w="0" w:type="auto"/>
            <w:shd w:val="clear" w:color="auto" w:fill="CCEEFF"/>
            <w:tcMar>
              <w:top w:w="30" w:type="dxa"/>
              <w:left w:w="0" w:type="dxa"/>
              <w:bottom w:w="30" w:type="dxa"/>
              <w:right w:w="20" w:type="dxa"/>
            </w:tcMar>
            <w:vAlign w:val="center"/>
            <w:hideMark/>
          </w:tcPr>
          <w:p w14:paraId="2B3F08B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D42E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3C27CE" w14:textId="77777777" w:rsidR="00000000" w:rsidRDefault="00A173A8">
            <w:pPr>
              <w:spacing w:after="100"/>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14:paraId="2FCFD0CB" w14:textId="77777777" w:rsidR="00000000" w:rsidRDefault="00A173A8">
            <w:pPr>
              <w:spacing w:after="100"/>
              <w:jc w:val="right"/>
              <w:rPr>
                <w:rFonts w:eastAsia="Times New Roman"/>
              </w:rPr>
            </w:pPr>
          </w:p>
        </w:tc>
        <w:tc>
          <w:tcPr>
            <w:tcW w:w="0" w:type="auto"/>
            <w:gridSpan w:val="3"/>
            <w:vAlign w:val="center"/>
            <w:hideMark/>
          </w:tcPr>
          <w:p w14:paraId="5289D61C" w14:textId="77777777" w:rsidR="00000000" w:rsidRDefault="00A173A8">
            <w:pPr>
              <w:spacing w:after="100"/>
              <w:jc w:val="right"/>
              <w:rPr>
                <w:rFonts w:eastAsia="Times New Roman"/>
                <w:sz w:val="20"/>
                <w:szCs w:val="20"/>
              </w:rPr>
            </w:pPr>
          </w:p>
        </w:tc>
        <w:tc>
          <w:tcPr>
            <w:tcW w:w="0" w:type="auto"/>
            <w:gridSpan w:val="3"/>
            <w:vAlign w:val="center"/>
            <w:hideMark/>
          </w:tcPr>
          <w:p w14:paraId="0CE7CC43" w14:textId="77777777" w:rsidR="00000000" w:rsidRDefault="00A173A8">
            <w:pPr>
              <w:spacing w:after="100"/>
              <w:rPr>
                <w:rFonts w:eastAsia="Times New Roman"/>
                <w:sz w:val="20"/>
                <w:szCs w:val="20"/>
              </w:rPr>
            </w:pPr>
          </w:p>
        </w:tc>
        <w:tc>
          <w:tcPr>
            <w:tcW w:w="0" w:type="auto"/>
            <w:gridSpan w:val="3"/>
            <w:vAlign w:val="center"/>
            <w:hideMark/>
          </w:tcPr>
          <w:p w14:paraId="3393E2E2" w14:textId="77777777" w:rsidR="00000000" w:rsidRDefault="00A173A8">
            <w:pPr>
              <w:spacing w:after="100"/>
              <w:rPr>
                <w:rFonts w:eastAsia="Times New Roman"/>
                <w:sz w:val="20"/>
                <w:szCs w:val="20"/>
              </w:rPr>
            </w:pPr>
          </w:p>
        </w:tc>
        <w:tc>
          <w:tcPr>
            <w:tcW w:w="0" w:type="auto"/>
            <w:gridSpan w:val="2"/>
            <w:vAlign w:val="center"/>
            <w:hideMark/>
          </w:tcPr>
          <w:p w14:paraId="4B73C8F3" w14:textId="77777777" w:rsidR="00000000" w:rsidRDefault="00A173A8">
            <w:pPr>
              <w:spacing w:after="100"/>
              <w:rPr>
                <w:rFonts w:eastAsia="Times New Roman"/>
                <w:sz w:val="20"/>
                <w:szCs w:val="20"/>
              </w:rPr>
            </w:pPr>
          </w:p>
        </w:tc>
      </w:tr>
      <w:tr w:rsidR="00A173A8" w14:paraId="44FAC1A5" w14:textId="77777777">
        <w:trPr>
          <w:divId w:val="91827376"/>
        </w:trPr>
        <w:tc>
          <w:tcPr>
            <w:tcW w:w="0" w:type="auto"/>
            <w:gridSpan w:val="3"/>
            <w:shd w:val="clear" w:color="auto" w:fill="FFFFFF"/>
            <w:tcMar>
              <w:top w:w="30" w:type="dxa"/>
              <w:left w:w="20" w:type="dxa"/>
              <w:bottom w:w="30" w:type="dxa"/>
              <w:right w:w="20" w:type="dxa"/>
            </w:tcMar>
            <w:vAlign w:val="center"/>
            <w:hideMark/>
          </w:tcPr>
          <w:p w14:paraId="3C90AD38" w14:textId="77777777" w:rsidR="00000000" w:rsidRDefault="00A173A8">
            <w:pPr>
              <w:spacing w:after="100"/>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14:paraId="155204FA"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695B72D" w14:textId="77777777" w:rsidR="00000000" w:rsidRDefault="00A173A8">
            <w:pPr>
              <w:spacing w:after="100"/>
              <w:jc w:val="right"/>
              <w:rPr>
                <w:rFonts w:eastAsia="Times New Roman"/>
              </w:rPr>
            </w:pPr>
            <w:r>
              <w:rPr>
                <w:rFonts w:eastAsia="Times New Roman"/>
                <w:b/>
                <w:bCs/>
                <w:color w:val="000000"/>
                <w:sz w:val="18"/>
                <w:szCs w:val="18"/>
              </w:rPr>
              <w:t>27,623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8A0F0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31464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A60B668" w14:textId="77777777" w:rsidR="00000000" w:rsidRDefault="00A173A8">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426D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66164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D7270F2" w14:textId="77777777" w:rsidR="00000000" w:rsidRDefault="00A173A8">
            <w:pPr>
              <w:spacing w:after="100"/>
              <w:jc w:val="right"/>
              <w:rPr>
                <w:rFonts w:eastAsia="Times New Roman"/>
              </w:rPr>
            </w:pPr>
            <w:r>
              <w:rPr>
                <w:rFonts w:eastAsia="Times New Roman"/>
                <w:color w:val="000000"/>
                <w:sz w:val="18"/>
                <w:szCs w:val="18"/>
              </w:rPr>
              <w:t>19,053 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A63E01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9771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7AED9F" w14:textId="77777777" w:rsidR="00000000" w:rsidRDefault="00A173A8">
            <w:pPr>
              <w:spacing w:after="100"/>
              <w:jc w:val="right"/>
              <w:rPr>
                <w:rFonts w:eastAsia="Times New Roman"/>
              </w:rPr>
            </w:pPr>
            <w:r>
              <w:rPr>
                <w:rFonts w:eastAsia="Times New Roman"/>
                <w:color w:val="000000"/>
                <w:sz w:val="18"/>
                <w:szCs w:val="18"/>
              </w:rPr>
              <w:t>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FACA0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60DA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AE734C2" w14:textId="77777777" w:rsidR="00000000" w:rsidRDefault="00A173A8">
            <w:pPr>
              <w:spacing w:after="100"/>
              <w:jc w:val="right"/>
              <w:rPr>
                <w:rFonts w:eastAsia="Times New Roman"/>
              </w:rPr>
            </w:pPr>
            <w:r>
              <w:rPr>
                <w:rFonts w:eastAsia="Times New Roman"/>
                <w:b/>
                <w:bCs/>
                <w:color w:val="2C2C2C"/>
                <w:sz w:val="18"/>
                <w:szCs w:val="18"/>
              </w:rPr>
              <w:t>50,142</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2DFD60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21FB4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2B15951" w14:textId="77777777" w:rsidR="00000000" w:rsidRDefault="00A173A8">
            <w:pPr>
              <w:spacing w:after="100"/>
              <w:jc w:val="right"/>
              <w:rPr>
                <w:rFonts w:eastAsia="Times New Roman"/>
              </w:rPr>
            </w:pPr>
            <w:r>
              <w:rPr>
                <w:rFonts w:eastAsia="Times New Roman"/>
                <w:b/>
                <w:bCs/>
                <w:color w:val="2C2C2C"/>
                <w:sz w:val="18"/>
                <w:szCs w:val="18"/>
              </w:rPr>
              <w:t>67</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BC24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ABBA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8DE04B" w14:textId="77777777" w:rsidR="00000000" w:rsidRDefault="00A173A8">
            <w:pPr>
              <w:spacing w:after="100"/>
              <w:jc w:val="right"/>
              <w:rPr>
                <w:rFonts w:eastAsia="Times New Roman"/>
              </w:rPr>
            </w:pPr>
            <w:r>
              <w:rPr>
                <w:rFonts w:eastAsia="Times New Roman"/>
                <w:color w:val="000000"/>
                <w:sz w:val="18"/>
                <w:szCs w:val="18"/>
              </w:rPr>
              <w:t>41,389 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E262E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FA1B7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5FC068F" w14:textId="77777777" w:rsidR="00000000" w:rsidRDefault="00A173A8">
            <w:pPr>
              <w:spacing w:after="100"/>
              <w:jc w:val="right"/>
              <w:rPr>
                <w:rFonts w:eastAsia="Times New Roman"/>
              </w:rPr>
            </w:pPr>
            <w:r>
              <w:rPr>
                <w:rFonts w:eastAsia="Times New Roman"/>
                <w:color w:val="000000"/>
                <w:sz w:val="18"/>
                <w:szCs w:val="18"/>
              </w:rPr>
              <w:t>69 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94787D" w14:textId="77777777" w:rsidR="00000000" w:rsidRDefault="00A173A8">
            <w:pPr>
              <w:spacing w:after="100"/>
              <w:jc w:val="right"/>
              <w:rPr>
                <w:rFonts w:eastAsia="Times New Roman"/>
              </w:rPr>
            </w:pPr>
          </w:p>
        </w:tc>
        <w:tc>
          <w:tcPr>
            <w:tcW w:w="0" w:type="auto"/>
            <w:gridSpan w:val="3"/>
            <w:vAlign w:val="center"/>
            <w:hideMark/>
          </w:tcPr>
          <w:p w14:paraId="2ADF1367" w14:textId="77777777" w:rsidR="00000000" w:rsidRDefault="00A173A8">
            <w:pPr>
              <w:spacing w:after="100"/>
              <w:jc w:val="right"/>
              <w:rPr>
                <w:rFonts w:eastAsia="Times New Roman"/>
                <w:sz w:val="20"/>
                <w:szCs w:val="20"/>
              </w:rPr>
            </w:pPr>
          </w:p>
        </w:tc>
        <w:tc>
          <w:tcPr>
            <w:tcW w:w="0" w:type="auto"/>
            <w:gridSpan w:val="3"/>
            <w:vAlign w:val="center"/>
            <w:hideMark/>
          </w:tcPr>
          <w:p w14:paraId="4AF80E8A" w14:textId="77777777" w:rsidR="00000000" w:rsidRDefault="00A173A8">
            <w:pPr>
              <w:spacing w:after="100"/>
              <w:rPr>
                <w:rFonts w:eastAsia="Times New Roman"/>
                <w:sz w:val="20"/>
                <w:szCs w:val="20"/>
              </w:rPr>
            </w:pPr>
          </w:p>
        </w:tc>
        <w:tc>
          <w:tcPr>
            <w:tcW w:w="0" w:type="auto"/>
            <w:gridSpan w:val="3"/>
            <w:vAlign w:val="center"/>
            <w:hideMark/>
          </w:tcPr>
          <w:p w14:paraId="29529FD9" w14:textId="77777777" w:rsidR="00000000" w:rsidRDefault="00A173A8">
            <w:pPr>
              <w:spacing w:after="100"/>
              <w:rPr>
                <w:rFonts w:eastAsia="Times New Roman"/>
                <w:sz w:val="20"/>
                <w:szCs w:val="20"/>
              </w:rPr>
            </w:pPr>
          </w:p>
        </w:tc>
        <w:tc>
          <w:tcPr>
            <w:tcW w:w="0" w:type="auto"/>
            <w:gridSpan w:val="2"/>
            <w:vAlign w:val="center"/>
            <w:hideMark/>
          </w:tcPr>
          <w:p w14:paraId="61CB07E5" w14:textId="77777777" w:rsidR="00000000" w:rsidRDefault="00A173A8">
            <w:pPr>
              <w:spacing w:after="100"/>
              <w:rPr>
                <w:rFonts w:eastAsia="Times New Roman"/>
                <w:sz w:val="20"/>
                <w:szCs w:val="20"/>
              </w:rPr>
            </w:pPr>
          </w:p>
        </w:tc>
      </w:tr>
      <w:tr w:rsidR="00000000" w14:paraId="388671B2" w14:textId="77777777">
        <w:trPr>
          <w:divId w:val="91827376"/>
        </w:trPr>
        <w:tc>
          <w:tcPr>
            <w:tcW w:w="0" w:type="auto"/>
            <w:gridSpan w:val="3"/>
            <w:shd w:val="clear" w:color="auto" w:fill="CCEEFF"/>
            <w:tcMar>
              <w:top w:w="30" w:type="dxa"/>
              <w:left w:w="20" w:type="dxa"/>
              <w:bottom w:w="30" w:type="dxa"/>
              <w:right w:w="20" w:type="dxa"/>
            </w:tcMar>
            <w:vAlign w:val="center"/>
            <w:hideMark/>
          </w:tcPr>
          <w:p w14:paraId="62E3AE88" w14:textId="77777777" w:rsidR="00000000" w:rsidRDefault="00A173A8">
            <w:pPr>
              <w:spacing w:after="100"/>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14:paraId="53AB7E35"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15992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A2896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7EDD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F366B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B81B1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F3824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D946F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83560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8839A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18F08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D0F0C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B17B1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CC5D8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2BD52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9D61AE" w14:textId="77777777" w:rsidR="00000000" w:rsidRDefault="00A173A8">
            <w:pPr>
              <w:spacing w:after="100"/>
              <w:rPr>
                <w:rFonts w:eastAsia="Times New Roman"/>
                <w:sz w:val="20"/>
                <w:szCs w:val="20"/>
              </w:rPr>
            </w:pPr>
          </w:p>
        </w:tc>
        <w:tc>
          <w:tcPr>
            <w:tcW w:w="0" w:type="auto"/>
            <w:gridSpan w:val="3"/>
            <w:vAlign w:val="center"/>
            <w:hideMark/>
          </w:tcPr>
          <w:p w14:paraId="0FB93D9C" w14:textId="77777777" w:rsidR="00000000" w:rsidRDefault="00A173A8">
            <w:pPr>
              <w:spacing w:after="100"/>
              <w:rPr>
                <w:rFonts w:eastAsia="Times New Roman"/>
                <w:sz w:val="20"/>
                <w:szCs w:val="20"/>
              </w:rPr>
            </w:pPr>
          </w:p>
        </w:tc>
        <w:tc>
          <w:tcPr>
            <w:tcW w:w="0" w:type="auto"/>
            <w:gridSpan w:val="3"/>
            <w:vAlign w:val="center"/>
            <w:hideMark/>
          </w:tcPr>
          <w:p w14:paraId="507D44A4" w14:textId="77777777" w:rsidR="00000000" w:rsidRDefault="00A173A8">
            <w:pPr>
              <w:spacing w:after="100"/>
              <w:rPr>
                <w:rFonts w:eastAsia="Times New Roman"/>
                <w:sz w:val="20"/>
                <w:szCs w:val="20"/>
              </w:rPr>
            </w:pPr>
          </w:p>
        </w:tc>
        <w:tc>
          <w:tcPr>
            <w:tcW w:w="0" w:type="auto"/>
            <w:gridSpan w:val="3"/>
            <w:vAlign w:val="center"/>
            <w:hideMark/>
          </w:tcPr>
          <w:p w14:paraId="70BF1F8B" w14:textId="77777777" w:rsidR="00000000" w:rsidRDefault="00A173A8">
            <w:pPr>
              <w:spacing w:after="100"/>
              <w:rPr>
                <w:rFonts w:eastAsia="Times New Roman"/>
                <w:sz w:val="20"/>
                <w:szCs w:val="20"/>
              </w:rPr>
            </w:pPr>
          </w:p>
        </w:tc>
        <w:tc>
          <w:tcPr>
            <w:tcW w:w="0" w:type="auto"/>
            <w:gridSpan w:val="2"/>
            <w:vAlign w:val="center"/>
            <w:hideMark/>
          </w:tcPr>
          <w:p w14:paraId="6F29FAC6" w14:textId="77777777" w:rsidR="00000000" w:rsidRDefault="00A173A8">
            <w:pPr>
              <w:spacing w:after="100"/>
              <w:rPr>
                <w:rFonts w:eastAsia="Times New Roman"/>
                <w:sz w:val="20"/>
                <w:szCs w:val="20"/>
              </w:rPr>
            </w:pPr>
          </w:p>
        </w:tc>
      </w:tr>
      <w:tr w:rsidR="00A173A8" w14:paraId="5A23F5D3" w14:textId="77777777">
        <w:trPr>
          <w:divId w:val="91827376"/>
        </w:trPr>
        <w:tc>
          <w:tcPr>
            <w:tcW w:w="0" w:type="auto"/>
            <w:gridSpan w:val="3"/>
            <w:shd w:val="clear" w:color="auto" w:fill="FFFFFF"/>
            <w:tcMar>
              <w:top w:w="30" w:type="dxa"/>
              <w:left w:w="245" w:type="dxa"/>
              <w:bottom w:w="30" w:type="dxa"/>
              <w:right w:w="20" w:type="dxa"/>
            </w:tcMar>
            <w:vAlign w:val="center"/>
            <w:hideMark/>
          </w:tcPr>
          <w:p w14:paraId="18C48592" w14:textId="77777777" w:rsidR="00000000" w:rsidRDefault="00A173A8">
            <w:pPr>
              <w:spacing w:after="100"/>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14:paraId="4644E59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C28AA7F" w14:textId="77777777" w:rsidR="00000000" w:rsidRDefault="00A173A8">
            <w:pPr>
              <w:spacing w:after="100"/>
              <w:jc w:val="right"/>
              <w:rPr>
                <w:rFonts w:eastAsia="Times New Roman"/>
              </w:rPr>
            </w:pPr>
            <w:r>
              <w:rPr>
                <w:rFonts w:eastAsia="Times New Roman"/>
                <w:b/>
                <w:bCs/>
                <w:color w:val="000000"/>
                <w:sz w:val="18"/>
                <w:szCs w:val="18"/>
              </w:rPr>
              <w:t>3,539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F219F6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ED276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0CA2D6" w14:textId="77777777" w:rsidR="00000000" w:rsidRDefault="00A173A8">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CFA31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1724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7A6A29" w14:textId="77777777" w:rsidR="00000000" w:rsidRDefault="00A173A8">
            <w:pPr>
              <w:spacing w:after="100"/>
              <w:jc w:val="right"/>
              <w:rPr>
                <w:rFonts w:eastAsia="Times New Roman"/>
              </w:rPr>
            </w:pPr>
            <w:r>
              <w:rPr>
                <w:rFonts w:eastAsia="Times New Roman"/>
                <w:color w:val="000000"/>
                <w:sz w:val="18"/>
                <w:szCs w:val="18"/>
              </w:rPr>
              <w:t>2,271 </w:t>
            </w:r>
          </w:p>
        </w:tc>
        <w:tc>
          <w:tcPr>
            <w:tcW w:w="0" w:type="auto"/>
            <w:shd w:val="clear" w:color="auto" w:fill="FFFFFF"/>
            <w:tcMar>
              <w:top w:w="30" w:type="dxa"/>
              <w:left w:w="0" w:type="dxa"/>
              <w:bottom w:w="30" w:type="dxa"/>
              <w:right w:w="20" w:type="dxa"/>
            </w:tcMar>
            <w:vAlign w:val="center"/>
            <w:hideMark/>
          </w:tcPr>
          <w:p w14:paraId="2047625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3727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9B7CE0" w14:textId="77777777" w:rsidR="00000000" w:rsidRDefault="00A173A8">
            <w:pPr>
              <w:spacing w:after="100"/>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center"/>
            <w:hideMark/>
          </w:tcPr>
          <w:p w14:paraId="04126D0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D5C3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F880EE" w14:textId="77777777" w:rsidR="00000000" w:rsidRDefault="00A173A8">
            <w:pPr>
              <w:spacing w:after="100"/>
              <w:jc w:val="right"/>
              <w:rPr>
                <w:rFonts w:eastAsia="Times New Roman"/>
              </w:rPr>
            </w:pPr>
            <w:r>
              <w:rPr>
                <w:rFonts w:eastAsia="Times New Roman"/>
                <w:b/>
                <w:bCs/>
                <w:color w:val="2C2C2C"/>
                <w:sz w:val="18"/>
                <w:szCs w:val="18"/>
              </w:rPr>
              <w:t>5,510</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6D76EC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C596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A0F2BB9" w14:textId="77777777" w:rsidR="00000000" w:rsidRDefault="00A173A8">
            <w:pPr>
              <w:spacing w:after="100"/>
              <w:jc w:val="right"/>
              <w:rPr>
                <w:rFonts w:eastAsia="Times New Roman"/>
              </w:rPr>
            </w:pPr>
            <w:r>
              <w:rPr>
                <w:rFonts w:eastAsia="Times New Roman"/>
                <w:b/>
                <w:bCs/>
                <w:color w:val="2C2C2C"/>
                <w:sz w:val="18"/>
                <w:szCs w:val="18"/>
              </w:rPr>
              <w:t>96</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14:paraId="730D27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07A4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4F61CA" w14:textId="77777777" w:rsidR="00000000" w:rsidRDefault="00A173A8">
            <w:pPr>
              <w:spacing w:after="100"/>
              <w:jc w:val="right"/>
              <w:rPr>
                <w:rFonts w:eastAsia="Times New Roman"/>
              </w:rPr>
            </w:pPr>
            <w:r>
              <w:rPr>
                <w:rFonts w:eastAsia="Times New Roman"/>
                <w:color w:val="000000"/>
                <w:sz w:val="18"/>
                <w:szCs w:val="18"/>
              </w:rPr>
              <w:t>4,302 </w:t>
            </w:r>
          </w:p>
        </w:tc>
        <w:tc>
          <w:tcPr>
            <w:tcW w:w="0" w:type="auto"/>
            <w:shd w:val="clear" w:color="auto" w:fill="FFFFFF"/>
            <w:tcMar>
              <w:top w:w="30" w:type="dxa"/>
              <w:left w:w="0" w:type="dxa"/>
              <w:bottom w:w="30" w:type="dxa"/>
              <w:right w:w="20" w:type="dxa"/>
            </w:tcMar>
            <w:vAlign w:val="center"/>
            <w:hideMark/>
          </w:tcPr>
          <w:p w14:paraId="6367491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6CC95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759082" w14:textId="77777777" w:rsidR="00000000" w:rsidRDefault="00A173A8">
            <w:pPr>
              <w:spacing w:after="100"/>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center"/>
            <w:hideMark/>
          </w:tcPr>
          <w:p w14:paraId="6D35AD01" w14:textId="77777777" w:rsidR="00000000" w:rsidRDefault="00A173A8">
            <w:pPr>
              <w:spacing w:after="100"/>
              <w:jc w:val="right"/>
              <w:rPr>
                <w:rFonts w:eastAsia="Times New Roman"/>
              </w:rPr>
            </w:pPr>
          </w:p>
        </w:tc>
        <w:tc>
          <w:tcPr>
            <w:tcW w:w="0" w:type="auto"/>
            <w:gridSpan w:val="3"/>
            <w:vAlign w:val="center"/>
            <w:hideMark/>
          </w:tcPr>
          <w:p w14:paraId="3F3B0124" w14:textId="77777777" w:rsidR="00000000" w:rsidRDefault="00A173A8">
            <w:pPr>
              <w:spacing w:after="100"/>
              <w:jc w:val="right"/>
              <w:rPr>
                <w:rFonts w:eastAsia="Times New Roman"/>
                <w:sz w:val="20"/>
                <w:szCs w:val="20"/>
              </w:rPr>
            </w:pPr>
          </w:p>
        </w:tc>
        <w:tc>
          <w:tcPr>
            <w:tcW w:w="0" w:type="auto"/>
            <w:gridSpan w:val="3"/>
            <w:vAlign w:val="center"/>
            <w:hideMark/>
          </w:tcPr>
          <w:p w14:paraId="55A78CA1" w14:textId="77777777" w:rsidR="00000000" w:rsidRDefault="00A173A8">
            <w:pPr>
              <w:spacing w:after="100"/>
              <w:rPr>
                <w:rFonts w:eastAsia="Times New Roman"/>
                <w:sz w:val="20"/>
                <w:szCs w:val="20"/>
              </w:rPr>
            </w:pPr>
          </w:p>
        </w:tc>
        <w:tc>
          <w:tcPr>
            <w:tcW w:w="0" w:type="auto"/>
            <w:gridSpan w:val="3"/>
            <w:vAlign w:val="center"/>
            <w:hideMark/>
          </w:tcPr>
          <w:p w14:paraId="17CAF26E" w14:textId="77777777" w:rsidR="00000000" w:rsidRDefault="00A173A8">
            <w:pPr>
              <w:spacing w:after="100"/>
              <w:rPr>
                <w:rFonts w:eastAsia="Times New Roman"/>
                <w:sz w:val="20"/>
                <w:szCs w:val="20"/>
              </w:rPr>
            </w:pPr>
          </w:p>
        </w:tc>
        <w:tc>
          <w:tcPr>
            <w:tcW w:w="0" w:type="auto"/>
            <w:gridSpan w:val="2"/>
            <w:vAlign w:val="center"/>
            <w:hideMark/>
          </w:tcPr>
          <w:p w14:paraId="5FC315B0" w14:textId="77777777" w:rsidR="00000000" w:rsidRDefault="00A173A8">
            <w:pPr>
              <w:spacing w:after="100"/>
              <w:rPr>
                <w:rFonts w:eastAsia="Times New Roman"/>
                <w:sz w:val="20"/>
                <w:szCs w:val="20"/>
              </w:rPr>
            </w:pPr>
          </w:p>
        </w:tc>
      </w:tr>
      <w:tr w:rsidR="00A173A8" w14:paraId="20538E2B" w14:textId="77777777">
        <w:trPr>
          <w:divId w:val="91827376"/>
        </w:trPr>
        <w:tc>
          <w:tcPr>
            <w:tcW w:w="0" w:type="auto"/>
            <w:gridSpan w:val="3"/>
            <w:shd w:val="clear" w:color="auto" w:fill="CCEEFF"/>
            <w:tcMar>
              <w:top w:w="30" w:type="dxa"/>
              <w:left w:w="245" w:type="dxa"/>
              <w:bottom w:w="30" w:type="dxa"/>
              <w:right w:w="20" w:type="dxa"/>
            </w:tcMar>
            <w:vAlign w:val="center"/>
            <w:hideMark/>
          </w:tcPr>
          <w:p w14:paraId="309A8748" w14:textId="77777777" w:rsidR="00000000" w:rsidRDefault="00A173A8">
            <w:pPr>
              <w:spacing w:after="100"/>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14:paraId="334490A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6E12A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1CFB05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DFC7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BB0D7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AFF621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4105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D37B66" w14:textId="77777777" w:rsidR="00000000" w:rsidRDefault="00A173A8">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14:paraId="5331CE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D8352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7C752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6A764C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D14F8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E4BAD9" w14:textId="77777777" w:rsidR="00000000" w:rsidRDefault="00A173A8">
            <w:pPr>
              <w:spacing w:after="100"/>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17E0D1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C95E5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352FBC" w14:textId="77777777" w:rsidR="00000000" w:rsidRDefault="00A173A8">
            <w:pPr>
              <w:spacing w:after="100"/>
              <w:jc w:val="right"/>
              <w:rPr>
                <w:rFonts w:eastAsia="Times New Roman"/>
              </w:rPr>
            </w:pPr>
            <w:r>
              <w:rPr>
                <w:rFonts w:eastAsia="Times New Roman"/>
                <w:b/>
                <w:bCs/>
                <w:color w:val="2C2C2C"/>
                <w:sz w:val="18"/>
                <w:szCs w:val="18"/>
              </w:rPr>
              <w:t>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11750A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D7F8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E19270" w14:textId="77777777" w:rsidR="00000000" w:rsidRDefault="00A173A8">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14:paraId="6ABBC85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0F8E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58E30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60B213F" w14:textId="77777777" w:rsidR="00000000" w:rsidRDefault="00A173A8">
            <w:pPr>
              <w:spacing w:after="100"/>
              <w:jc w:val="right"/>
              <w:rPr>
                <w:rFonts w:eastAsia="Times New Roman"/>
              </w:rPr>
            </w:pPr>
          </w:p>
        </w:tc>
        <w:tc>
          <w:tcPr>
            <w:tcW w:w="0" w:type="auto"/>
            <w:gridSpan w:val="3"/>
            <w:vAlign w:val="center"/>
            <w:hideMark/>
          </w:tcPr>
          <w:p w14:paraId="64073837" w14:textId="77777777" w:rsidR="00000000" w:rsidRDefault="00A173A8">
            <w:pPr>
              <w:spacing w:after="100"/>
              <w:jc w:val="right"/>
              <w:rPr>
                <w:rFonts w:eastAsia="Times New Roman"/>
                <w:sz w:val="20"/>
                <w:szCs w:val="20"/>
              </w:rPr>
            </w:pPr>
          </w:p>
        </w:tc>
        <w:tc>
          <w:tcPr>
            <w:tcW w:w="0" w:type="auto"/>
            <w:gridSpan w:val="3"/>
            <w:vAlign w:val="center"/>
            <w:hideMark/>
          </w:tcPr>
          <w:p w14:paraId="04047704" w14:textId="77777777" w:rsidR="00000000" w:rsidRDefault="00A173A8">
            <w:pPr>
              <w:spacing w:after="100"/>
              <w:rPr>
                <w:rFonts w:eastAsia="Times New Roman"/>
                <w:sz w:val="20"/>
                <w:szCs w:val="20"/>
              </w:rPr>
            </w:pPr>
          </w:p>
        </w:tc>
        <w:tc>
          <w:tcPr>
            <w:tcW w:w="0" w:type="auto"/>
            <w:gridSpan w:val="3"/>
            <w:vAlign w:val="center"/>
            <w:hideMark/>
          </w:tcPr>
          <w:p w14:paraId="3A56908C" w14:textId="77777777" w:rsidR="00000000" w:rsidRDefault="00A173A8">
            <w:pPr>
              <w:spacing w:after="100"/>
              <w:rPr>
                <w:rFonts w:eastAsia="Times New Roman"/>
                <w:sz w:val="20"/>
                <w:szCs w:val="20"/>
              </w:rPr>
            </w:pPr>
          </w:p>
        </w:tc>
        <w:tc>
          <w:tcPr>
            <w:tcW w:w="0" w:type="auto"/>
            <w:gridSpan w:val="2"/>
            <w:vAlign w:val="center"/>
            <w:hideMark/>
          </w:tcPr>
          <w:p w14:paraId="25F41843" w14:textId="77777777" w:rsidR="00000000" w:rsidRDefault="00A173A8">
            <w:pPr>
              <w:spacing w:after="100"/>
              <w:rPr>
                <w:rFonts w:eastAsia="Times New Roman"/>
                <w:sz w:val="20"/>
                <w:szCs w:val="20"/>
              </w:rPr>
            </w:pPr>
          </w:p>
        </w:tc>
      </w:tr>
      <w:tr w:rsidR="00A173A8" w14:paraId="23627FCD" w14:textId="77777777">
        <w:trPr>
          <w:divId w:val="91827376"/>
        </w:trPr>
        <w:tc>
          <w:tcPr>
            <w:tcW w:w="0" w:type="auto"/>
            <w:gridSpan w:val="3"/>
            <w:shd w:val="clear" w:color="auto" w:fill="FFFFFF"/>
            <w:tcMar>
              <w:top w:w="30" w:type="dxa"/>
              <w:left w:w="20" w:type="dxa"/>
              <w:bottom w:w="30" w:type="dxa"/>
              <w:right w:w="20" w:type="dxa"/>
            </w:tcMar>
            <w:vAlign w:val="center"/>
            <w:hideMark/>
          </w:tcPr>
          <w:p w14:paraId="4081DA91" w14:textId="77777777" w:rsidR="00000000" w:rsidRDefault="00A173A8">
            <w:pPr>
              <w:spacing w:after="100"/>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14:paraId="50AAC970"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FEA295" w14:textId="77777777" w:rsidR="00000000" w:rsidRDefault="00A173A8">
            <w:pPr>
              <w:spacing w:after="100"/>
              <w:jc w:val="right"/>
              <w:rPr>
                <w:rFonts w:eastAsia="Times New Roman"/>
              </w:rPr>
            </w:pPr>
            <w:r>
              <w:rPr>
                <w:rFonts w:eastAsia="Times New Roman"/>
                <w:b/>
                <w:bCs/>
                <w:color w:val="000000"/>
                <w:sz w:val="18"/>
                <w:szCs w:val="18"/>
              </w:rPr>
              <w:t>3,539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DB000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06741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6A04BDB" w14:textId="77777777" w:rsidR="00000000" w:rsidRDefault="00A173A8">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E8ADE8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88F12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0988A3D" w14:textId="77777777" w:rsidR="00000000" w:rsidRDefault="00A173A8">
            <w:pPr>
              <w:spacing w:after="100"/>
              <w:jc w:val="right"/>
              <w:rPr>
                <w:rFonts w:eastAsia="Times New Roman"/>
              </w:rPr>
            </w:pPr>
            <w:r>
              <w:rPr>
                <w:rFonts w:eastAsia="Times New Roman"/>
                <w:color w:val="000000"/>
                <w:sz w:val="18"/>
                <w:szCs w:val="18"/>
              </w:rPr>
              <w:t>2,274 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6FBFF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87C9A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0509DD5" w14:textId="77777777" w:rsidR="00000000" w:rsidRDefault="00A173A8">
            <w:pPr>
              <w:spacing w:after="100"/>
              <w:jc w:val="right"/>
              <w:rPr>
                <w:rFonts w:eastAsia="Times New Roman"/>
              </w:rPr>
            </w:pPr>
            <w:r>
              <w:rPr>
                <w:rFonts w:eastAsia="Times New Roman"/>
                <w:color w:val="000000"/>
                <w:sz w:val="18"/>
                <w:szCs w:val="18"/>
              </w:rPr>
              <w:t>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FC3BFC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044F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682FA04" w14:textId="77777777" w:rsidR="00000000" w:rsidRDefault="00A173A8">
            <w:pPr>
              <w:spacing w:after="100"/>
              <w:jc w:val="right"/>
              <w:rPr>
                <w:rFonts w:eastAsia="Times New Roman"/>
              </w:rPr>
            </w:pPr>
            <w:r>
              <w:rPr>
                <w:rFonts w:eastAsia="Times New Roman"/>
                <w:b/>
                <w:bCs/>
                <w:color w:val="2C2C2C"/>
                <w:sz w:val="18"/>
                <w:szCs w:val="18"/>
              </w:rPr>
              <w:t>5,510</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9BE6B6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C3E1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156DE1B" w14:textId="77777777" w:rsidR="00000000" w:rsidRDefault="00A173A8">
            <w:pPr>
              <w:spacing w:after="100"/>
              <w:jc w:val="right"/>
              <w:rPr>
                <w:rFonts w:eastAsia="Times New Roman"/>
              </w:rPr>
            </w:pPr>
            <w:r>
              <w:rPr>
                <w:rFonts w:eastAsia="Times New Roman"/>
                <w:b/>
                <w:bCs/>
                <w:color w:val="2C2C2C"/>
                <w:sz w:val="18"/>
                <w:szCs w:val="18"/>
              </w:rPr>
              <w:t>96</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93A54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3844D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4B516B1" w14:textId="77777777" w:rsidR="00000000" w:rsidRDefault="00A173A8">
            <w:pPr>
              <w:spacing w:after="100"/>
              <w:jc w:val="right"/>
              <w:rPr>
                <w:rFonts w:eastAsia="Times New Roman"/>
              </w:rPr>
            </w:pPr>
            <w:r>
              <w:rPr>
                <w:rFonts w:eastAsia="Times New Roman"/>
                <w:color w:val="000000"/>
                <w:sz w:val="18"/>
                <w:szCs w:val="18"/>
              </w:rPr>
              <w:t>4,310 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23435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523A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C945F0E" w14:textId="77777777" w:rsidR="00000000" w:rsidRDefault="00A173A8">
            <w:pPr>
              <w:spacing w:after="100"/>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30F832F" w14:textId="77777777" w:rsidR="00000000" w:rsidRDefault="00A173A8">
            <w:pPr>
              <w:spacing w:after="100"/>
              <w:jc w:val="right"/>
              <w:rPr>
                <w:rFonts w:eastAsia="Times New Roman"/>
              </w:rPr>
            </w:pPr>
          </w:p>
        </w:tc>
        <w:tc>
          <w:tcPr>
            <w:tcW w:w="0" w:type="auto"/>
            <w:gridSpan w:val="3"/>
            <w:vAlign w:val="center"/>
            <w:hideMark/>
          </w:tcPr>
          <w:p w14:paraId="35289FE1" w14:textId="77777777" w:rsidR="00000000" w:rsidRDefault="00A173A8">
            <w:pPr>
              <w:spacing w:after="100"/>
              <w:jc w:val="right"/>
              <w:rPr>
                <w:rFonts w:eastAsia="Times New Roman"/>
                <w:sz w:val="20"/>
                <w:szCs w:val="20"/>
              </w:rPr>
            </w:pPr>
          </w:p>
        </w:tc>
        <w:tc>
          <w:tcPr>
            <w:tcW w:w="0" w:type="auto"/>
            <w:gridSpan w:val="3"/>
            <w:vAlign w:val="center"/>
            <w:hideMark/>
          </w:tcPr>
          <w:p w14:paraId="728A53AD" w14:textId="77777777" w:rsidR="00000000" w:rsidRDefault="00A173A8">
            <w:pPr>
              <w:spacing w:after="100"/>
              <w:rPr>
                <w:rFonts w:eastAsia="Times New Roman"/>
                <w:sz w:val="20"/>
                <w:szCs w:val="20"/>
              </w:rPr>
            </w:pPr>
          </w:p>
        </w:tc>
        <w:tc>
          <w:tcPr>
            <w:tcW w:w="0" w:type="auto"/>
            <w:gridSpan w:val="3"/>
            <w:vAlign w:val="center"/>
            <w:hideMark/>
          </w:tcPr>
          <w:p w14:paraId="3FB904FD" w14:textId="77777777" w:rsidR="00000000" w:rsidRDefault="00A173A8">
            <w:pPr>
              <w:spacing w:after="100"/>
              <w:rPr>
                <w:rFonts w:eastAsia="Times New Roman"/>
                <w:sz w:val="20"/>
                <w:szCs w:val="20"/>
              </w:rPr>
            </w:pPr>
          </w:p>
        </w:tc>
        <w:tc>
          <w:tcPr>
            <w:tcW w:w="0" w:type="auto"/>
            <w:gridSpan w:val="2"/>
            <w:vAlign w:val="center"/>
            <w:hideMark/>
          </w:tcPr>
          <w:p w14:paraId="3801428A" w14:textId="77777777" w:rsidR="00000000" w:rsidRDefault="00A173A8">
            <w:pPr>
              <w:spacing w:after="100"/>
              <w:rPr>
                <w:rFonts w:eastAsia="Times New Roman"/>
                <w:sz w:val="20"/>
                <w:szCs w:val="20"/>
              </w:rPr>
            </w:pPr>
          </w:p>
        </w:tc>
      </w:tr>
      <w:tr w:rsidR="00000000" w14:paraId="5917886E" w14:textId="77777777">
        <w:trPr>
          <w:divId w:val="91827376"/>
        </w:trPr>
        <w:tc>
          <w:tcPr>
            <w:tcW w:w="0" w:type="auto"/>
            <w:gridSpan w:val="3"/>
            <w:shd w:val="clear" w:color="auto" w:fill="CCEEFF"/>
            <w:tcMar>
              <w:top w:w="30" w:type="dxa"/>
              <w:left w:w="20" w:type="dxa"/>
              <w:bottom w:w="30" w:type="dxa"/>
              <w:right w:w="20" w:type="dxa"/>
            </w:tcMar>
            <w:vAlign w:val="center"/>
            <w:hideMark/>
          </w:tcPr>
          <w:p w14:paraId="14CDA2E2" w14:textId="77777777" w:rsidR="00000000" w:rsidRDefault="00A173A8">
            <w:pPr>
              <w:spacing w:after="100"/>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14:paraId="2FEE6F8D"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3A379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73344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A9903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0F452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DCF6F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9FBC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3CC9A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11B72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AC540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21140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09DE7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A8E64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972A9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49591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EC9635" w14:textId="77777777" w:rsidR="00000000" w:rsidRDefault="00A173A8">
            <w:pPr>
              <w:spacing w:after="100"/>
              <w:rPr>
                <w:rFonts w:eastAsia="Times New Roman"/>
                <w:sz w:val="20"/>
                <w:szCs w:val="20"/>
              </w:rPr>
            </w:pPr>
          </w:p>
        </w:tc>
        <w:tc>
          <w:tcPr>
            <w:tcW w:w="0" w:type="auto"/>
            <w:gridSpan w:val="3"/>
            <w:vAlign w:val="center"/>
            <w:hideMark/>
          </w:tcPr>
          <w:p w14:paraId="2A4B65F1" w14:textId="77777777" w:rsidR="00000000" w:rsidRDefault="00A173A8">
            <w:pPr>
              <w:spacing w:after="100"/>
              <w:rPr>
                <w:rFonts w:eastAsia="Times New Roman"/>
                <w:sz w:val="20"/>
                <w:szCs w:val="20"/>
              </w:rPr>
            </w:pPr>
          </w:p>
        </w:tc>
        <w:tc>
          <w:tcPr>
            <w:tcW w:w="0" w:type="auto"/>
            <w:gridSpan w:val="3"/>
            <w:vAlign w:val="center"/>
            <w:hideMark/>
          </w:tcPr>
          <w:p w14:paraId="29929D9A" w14:textId="77777777" w:rsidR="00000000" w:rsidRDefault="00A173A8">
            <w:pPr>
              <w:spacing w:after="100"/>
              <w:rPr>
                <w:rFonts w:eastAsia="Times New Roman"/>
                <w:sz w:val="20"/>
                <w:szCs w:val="20"/>
              </w:rPr>
            </w:pPr>
          </w:p>
        </w:tc>
        <w:tc>
          <w:tcPr>
            <w:tcW w:w="0" w:type="auto"/>
            <w:gridSpan w:val="3"/>
            <w:vAlign w:val="center"/>
            <w:hideMark/>
          </w:tcPr>
          <w:p w14:paraId="78B4E89F" w14:textId="77777777" w:rsidR="00000000" w:rsidRDefault="00A173A8">
            <w:pPr>
              <w:spacing w:after="100"/>
              <w:rPr>
                <w:rFonts w:eastAsia="Times New Roman"/>
                <w:sz w:val="20"/>
                <w:szCs w:val="20"/>
              </w:rPr>
            </w:pPr>
          </w:p>
        </w:tc>
        <w:tc>
          <w:tcPr>
            <w:tcW w:w="0" w:type="auto"/>
            <w:gridSpan w:val="2"/>
            <w:vAlign w:val="center"/>
            <w:hideMark/>
          </w:tcPr>
          <w:p w14:paraId="4F4D0722" w14:textId="77777777" w:rsidR="00000000" w:rsidRDefault="00A173A8">
            <w:pPr>
              <w:spacing w:after="100"/>
              <w:rPr>
                <w:rFonts w:eastAsia="Times New Roman"/>
                <w:sz w:val="20"/>
                <w:szCs w:val="20"/>
              </w:rPr>
            </w:pPr>
          </w:p>
        </w:tc>
      </w:tr>
      <w:tr w:rsidR="00A173A8" w14:paraId="4B54D092" w14:textId="77777777">
        <w:trPr>
          <w:divId w:val="91827376"/>
        </w:trPr>
        <w:tc>
          <w:tcPr>
            <w:tcW w:w="0" w:type="auto"/>
            <w:gridSpan w:val="3"/>
            <w:shd w:val="clear" w:color="auto" w:fill="FFFFFF"/>
            <w:tcMar>
              <w:top w:w="30" w:type="dxa"/>
              <w:left w:w="245" w:type="dxa"/>
              <w:bottom w:w="30" w:type="dxa"/>
              <w:right w:w="20" w:type="dxa"/>
            </w:tcMar>
            <w:vAlign w:val="center"/>
            <w:hideMark/>
          </w:tcPr>
          <w:p w14:paraId="76D9BF12" w14:textId="77777777" w:rsidR="00000000" w:rsidRDefault="00A173A8">
            <w:pPr>
              <w:spacing w:after="100"/>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14:paraId="1A8410F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78AF40C"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8C14BE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A753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BFF96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BCFBB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FC0D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A51D11"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5258FA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9989D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491BDA" w14:textId="77777777" w:rsidR="00000000" w:rsidRDefault="00A173A8">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14:paraId="22BE368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E21E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A7340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18377F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DF18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47CE1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BA207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7C8CC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32CCA5"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15E1C1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D8FE1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993250" w14:textId="77777777" w:rsidR="00000000" w:rsidRDefault="00A173A8">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14:paraId="632C2577" w14:textId="77777777" w:rsidR="00000000" w:rsidRDefault="00A173A8">
            <w:pPr>
              <w:spacing w:after="100"/>
              <w:jc w:val="right"/>
              <w:rPr>
                <w:rFonts w:eastAsia="Times New Roman"/>
              </w:rPr>
            </w:pPr>
          </w:p>
        </w:tc>
        <w:tc>
          <w:tcPr>
            <w:tcW w:w="0" w:type="auto"/>
            <w:gridSpan w:val="3"/>
            <w:vAlign w:val="center"/>
            <w:hideMark/>
          </w:tcPr>
          <w:p w14:paraId="2FA6308E" w14:textId="77777777" w:rsidR="00000000" w:rsidRDefault="00A173A8">
            <w:pPr>
              <w:spacing w:after="100"/>
              <w:jc w:val="right"/>
              <w:rPr>
                <w:rFonts w:eastAsia="Times New Roman"/>
                <w:sz w:val="20"/>
                <w:szCs w:val="20"/>
              </w:rPr>
            </w:pPr>
          </w:p>
        </w:tc>
        <w:tc>
          <w:tcPr>
            <w:tcW w:w="0" w:type="auto"/>
            <w:gridSpan w:val="3"/>
            <w:vAlign w:val="center"/>
            <w:hideMark/>
          </w:tcPr>
          <w:p w14:paraId="15A187C3" w14:textId="77777777" w:rsidR="00000000" w:rsidRDefault="00A173A8">
            <w:pPr>
              <w:spacing w:after="100"/>
              <w:rPr>
                <w:rFonts w:eastAsia="Times New Roman"/>
                <w:sz w:val="20"/>
                <w:szCs w:val="20"/>
              </w:rPr>
            </w:pPr>
          </w:p>
        </w:tc>
        <w:tc>
          <w:tcPr>
            <w:tcW w:w="0" w:type="auto"/>
            <w:gridSpan w:val="3"/>
            <w:vAlign w:val="center"/>
            <w:hideMark/>
          </w:tcPr>
          <w:p w14:paraId="70E204F3" w14:textId="77777777" w:rsidR="00000000" w:rsidRDefault="00A173A8">
            <w:pPr>
              <w:spacing w:after="100"/>
              <w:rPr>
                <w:rFonts w:eastAsia="Times New Roman"/>
                <w:sz w:val="20"/>
                <w:szCs w:val="20"/>
              </w:rPr>
            </w:pPr>
          </w:p>
        </w:tc>
        <w:tc>
          <w:tcPr>
            <w:tcW w:w="0" w:type="auto"/>
            <w:gridSpan w:val="2"/>
            <w:vAlign w:val="center"/>
            <w:hideMark/>
          </w:tcPr>
          <w:p w14:paraId="29E4D890" w14:textId="77777777" w:rsidR="00000000" w:rsidRDefault="00A173A8">
            <w:pPr>
              <w:spacing w:after="100"/>
              <w:rPr>
                <w:rFonts w:eastAsia="Times New Roman"/>
                <w:sz w:val="20"/>
                <w:szCs w:val="20"/>
              </w:rPr>
            </w:pPr>
          </w:p>
        </w:tc>
      </w:tr>
      <w:tr w:rsidR="00A173A8" w14:paraId="49BE6AE5" w14:textId="77777777">
        <w:trPr>
          <w:divId w:val="91827376"/>
        </w:trPr>
        <w:tc>
          <w:tcPr>
            <w:tcW w:w="0" w:type="auto"/>
            <w:gridSpan w:val="3"/>
            <w:shd w:val="clear" w:color="auto" w:fill="CCEEFF"/>
            <w:tcMar>
              <w:top w:w="30" w:type="dxa"/>
              <w:left w:w="245" w:type="dxa"/>
              <w:bottom w:w="30" w:type="dxa"/>
              <w:right w:w="20" w:type="dxa"/>
            </w:tcMar>
            <w:vAlign w:val="center"/>
            <w:hideMark/>
          </w:tcPr>
          <w:p w14:paraId="0FD25D17" w14:textId="77777777" w:rsidR="00000000" w:rsidRDefault="00A173A8">
            <w:pPr>
              <w:spacing w:after="100"/>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14:paraId="1449EBF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EEF7F6" w14:textId="77777777" w:rsidR="00000000" w:rsidRDefault="00A173A8">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4AB9B4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70662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0AE571"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A10F7A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9356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81AC2C" w14:textId="77777777" w:rsidR="00000000" w:rsidRDefault="00A173A8">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14:paraId="0FB6D6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1D0C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92E5E3" w14:textId="77777777" w:rsidR="00000000" w:rsidRDefault="00A173A8">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center"/>
            <w:hideMark/>
          </w:tcPr>
          <w:p w14:paraId="098A2AE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BC56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F15EE2" w14:textId="77777777" w:rsidR="00000000" w:rsidRDefault="00A173A8">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D1C2B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8C72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6D95C9" w14:textId="77777777" w:rsidR="00000000" w:rsidRDefault="00A173A8">
            <w:pPr>
              <w:spacing w:after="100"/>
              <w:jc w:val="right"/>
              <w:rPr>
                <w:rFonts w:eastAsia="Times New Roman"/>
              </w:rPr>
            </w:pPr>
            <w:r>
              <w:rPr>
                <w:rFonts w:eastAsia="Times New Roman"/>
                <w:b/>
                <w:bCs/>
                <w:color w:val="2C2C2C"/>
                <w:sz w:val="18"/>
                <w:szCs w:val="18"/>
              </w:rPr>
              <w:t>35</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14:paraId="50181FB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5148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4708A15" w14:textId="77777777" w:rsidR="00000000" w:rsidRDefault="00A173A8">
            <w:pPr>
              <w:spacing w:after="100"/>
              <w:jc w:val="right"/>
              <w:rPr>
                <w:rFonts w:eastAsia="Times New Roman"/>
              </w:rPr>
            </w:pPr>
            <w:r>
              <w:rPr>
                <w:rFonts w:eastAsia="Times New Roman"/>
                <w:color w:val="2C2C2C"/>
                <w:sz w:val="18"/>
                <w:szCs w:val="18"/>
              </w:rPr>
              <w:t>6 </w:t>
            </w:r>
          </w:p>
        </w:tc>
        <w:tc>
          <w:tcPr>
            <w:tcW w:w="0" w:type="auto"/>
            <w:shd w:val="clear" w:color="auto" w:fill="CCEEFF"/>
            <w:tcMar>
              <w:top w:w="30" w:type="dxa"/>
              <w:left w:w="0" w:type="dxa"/>
              <w:bottom w:w="30" w:type="dxa"/>
              <w:right w:w="20" w:type="dxa"/>
            </w:tcMar>
            <w:vAlign w:val="center"/>
            <w:hideMark/>
          </w:tcPr>
          <w:p w14:paraId="5C6E0CB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A8E1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59D861" w14:textId="77777777" w:rsidR="00000000" w:rsidRDefault="00A173A8">
            <w:pPr>
              <w:spacing w:after="100"/>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center"/>
            <w:hideMark/>
          </w:tcPr>
          <w:p w14:paraId="52CEDAC7" w14:textId="77777777" w:rsidR="00000000" w:rsidRDefault="00A173A8">
            <w:pPr>
              <w:spacing w:after="100"/>
              <w:jc w:val="right"/>
              <w:rPr>
                <w:rFonts w:eastAsia="Times New Roman"/>
              </w:rPr>
            </w:pPr>
          </w:p>
        </w:tc>
        <w:tc>
          <w:tcPr>
            <w:tcW w:w="0" w:type="auto"/>
            <w:gridSpan w:val="3"/>
            <w:vAlign w:val="center"/>
            <w:hideMark/>
          </w:tcPr>
          <w:p w14:paraId="64ABE074" w14:textId="77777777" w:rsidR="00000000" w:rsidRDefault="00A173A8">
            <w:pPr>
              <w:spacing w:after="100"/>
              <w:jc w:val="right"/>
              <w:rPr>
                <w:rFonts w:eastAsia="Times New Roman"/>
                <w:sz w:val="20"/>
                <w:szCs w:val="20"/>
              </w:rPr>
            </w:pPr>
          </w:p>
        </w:tc>
        <w:tc>
          <w:tcPr>
            <w:tcW w:w="0" w:type="auto"/>
            <w:gridSpan w:val="3"/>
            <w:vAlign w:val="center"/>
            <w:hideMark/>
          </w:tcPr>
          <w:p w14:paraId="30CEAC04" w14:textId="77777777" w:rsidR="00000000" w:rsidRDefault="00A173A8">
            <w:pPr>
              <w:spacing w:after="100"/>
              <w:rPr>
                <w:rFonts w:eastAsia="Times New Roman"/>
                <w:sz w:val="20"/>
                <w:szCs w:val="20"/>
              </w:rPr>
            </w:pPr>
          </w:p>
        </w:tc>
        <w:tc>
          <w:tcPr>
            <w:tcW w:w="0" w:type="auto"/>
            <w:gridSpan w:val="3"/>
            <w:vAlign w:val="center"/>
            <w:hideMark/>
          </w:tcPr>
          <w:p w14:paraId="03A9E22F" w14:textId="77777777" w:rsidR="00000000" w:rsidRDefault="00A173A8">
            <w:pPr>
              <w:spacing w:after="100"/>
              <w:rPr>
                <w:rFonts w:eastAsia="Times New Roman"/>
                <w:sz w:val="20"/>
                <w:szCs w:val="20"/>
              </w:rPr>
            </w:pPr>
          </w:p>
        </w:tc>
        <w:tc>
          <w:tcPr>
            <w:tcW w:w="0" w:type="auto"/>
            <w:gridSpan w:val="2"/>
            <w:vAlign w:val="center"/>
            <w:hideMark/>
          </w:tcPr>
          <w:p w14:paraId="2756D88D" w14:textId="77777777" w:rsidR="00000000" w:rsidRDefault="00A173A8">
            <w:pPr>
              <w:spacing w:after="100"/>
              <w:rPr>
                <w:rFonts w:eastAsia="Times New Roman"/>
                <w:sz w:val="20"/>
                <w:szCs w:val="20"/>
              </w:rPr>
            </w:pPr>
          </w:p>
        </w:tc>
      </w:tr>
      <w:tr w:rsidR="00A173A8" w14:paraId="587BCCB6" w14:textId="77777777">
        <w:trPr>
          <w:divId w:val="91827376"/>
        </w:trPr>
        <w:tc>
          <w:tcPr>
            <w:tcW w:w="0" w:type="auto"/>
            <w:gridSpan w:val="3"/>
            <w:shd w:val="clear" w:color="auto" w:fill="FFFFFF"/>
            <w:tcMar>
              <w:top w:w="30" w:type="dxa"/>
              <w:left w:w="20" w:type="dxa"/>
              <w:bottom w:w="30" w:type="dxa"/>
              <w:right w:w="20" w:type="dxa"/>
            </w:tcMar>
            <w:vAlign w:val="center"/>
            <w:hideMark/>
          </w:tcPr>
          <w:p w14:paraId="2917AC95" w14:textId="77777777" w:rsidR="00000000" w:rsidRDefault="00A173A8">
            <w:pPr>
              <w:spacing w:after="100"/>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14:paraId="0C449E5C"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F7BD4D0" w14:textId="77777777" w:rsidR="00000000" w:rsidRDefault="00A173A8">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C9FFB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1BE0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C6373F9"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E64ED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E8C98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D87F3AB" w14:textId="77777777" w:rsidR="00000000" w:rsidRDefault="00A173A8">
            <w:pPr>
              <w:spacing w:after="100"/>
              <w:jc w:val="right"/>
              <w:rPr>
                <w:rFonts w:eastAsia="Times New Roman"/>
              </w:rPr>
            </w:pPr>
            <w:r>
              <w:rPr>
                <w:rFonts w:eastAsia="Times New Roman"/>
                <w:color w:val="000000"/>
                <w:sz w:val="18"/>
                <w:szCs w:val="18"/>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39BC6B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3C51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94C85AF" w14:textId="77777777" w:rsidR="00000000" w:rsidRDefault="00A173A8">
            <w:pPr>
              <w:spacing w:after="100"/>
              <w:jc w:val="right"/>
              <w:rPr>
                <w:rFonts w:eastAsia="Times New Roman"/>
              </w:rPr>
            </w:pPr>
            <w:r>
              <w:rPr>
                <w:rFonts w:eastAsia="Times New Roman"/>
                <w:color w:val="000000"/>
                <w:sz w:val="18"/>
                <w:szCs w:val="18"/>
              </w:rPr>
              <w:t>132 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B12FE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8702D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D84B0BF" w14:textId="77777777" w:rsidR="00000000" w:rsidRDefault="00A173A8">
            <w:pPr>
              <w:spacing w:after="100"/>
              <w:jc w:val="right"/>
              <w:rPr>
                <w:rFonts w:eastAsia="Times New Roman"/>
              </w:rPr>
            </w:pPr>
            <w:r>
              <w:rPr>
                <w:rFonts w:eastAsia="Times New Roman"/>
                <w:b/>
                <w:bCs/>
                <w:color w:val="2C2C2C"/>
                <w:sz w:val="18"/>
                <w:szCs w:val="18"/>
              </w:rPr>
              <w:t>3</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67D638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0319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C5A8DB9" w14:textId="77777777" w:rsidR="00000000" w:rsidRDefault="00A173A8">
            <w:pPr>
              <w:spacing w:after="100"/>
              <w:jc w:val="right"/>
              <w:rPr>
                <w:rFonts w:eastAsia="Times New Roman"/>
              </w:rPr>
            </w:pPr>
            <w:r>
              <w:rPr>
                <w:rFonts w:eastAsia="Times New Roman"/>
                <w:b/>
                <w:bCs/>
                <w:color w:val="2C2C2C"/>
                <w:sz w:val="18"/>
                <w:szCs w:val="18"/>
              </w:rPr>
              <w:t>35</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FBCA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D9D0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9CD1AE3" w14:textId="77777777" w:rsidR="00000000" w:rsidRDefault="00A173A8">
            <w:pPr>
              <w:spacing w:after="100"/>
              <w:jc w:val="right"/>
              <w:rPr>
                <w:rFonts w:eastAsia="Times New Roman"/>
              </w:rPr>
            </w:pPr>
            <w:r>
              <w:rPr>
                <w:rFonts w:eastAsia="Times New Roman"/>
                <w:color w:val="2C2C2C"/>
                <w:sz w:val="18"/>
                <w:szCs w:val="18"/>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C8D431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4A8C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4DB635B" w14:textId="77777777" w:rsidR="00000000" w:rsidRDefault="00A173A8">
            <w:pPr>
              <w:spacing w:after="100"/>
              <w:jc w:val="right"/>
              <w:rPr>
                <w:rFonts w:eastAsia="Times New Roman"/>
              </w:rPr>
            </w:pPr>
            <w:r>
              <w:rPr>
                <w:rFonts w:eastAsia="Times New Roman"/>
                <w:color w:val="2C2C2C"/>
                <w:sz w:val="18"/>
                <w:szCs w:val="18"/>
              </w:rPr>
              <w:t>132 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7F9970" w14:textId="77777777" w:rsidR="00000000" w:rsidRDefault="00A173A8">
            <w:pPr>
              <w:spacing w:after="100"/>
              <w:jc w:val="right"/>
              <w:rPr>
                <w:rFonts w:eastAsia="Times New Roman"/>
              </w:rPr>
            </w:pPr>
          </w:p>
        </w:tc>
        <w:tc>
          <w:tcPr>
            <w:tcW w:w="0" w:type="auto"/>
            <w:gridSpan w:val="3"/>
            <w:vAlign w:val="center"/>
            <w:hideMark/>
          </w:tcPr>
          <w:p w14:paraId="7D2E2F6E" w14:textId="77777777" w:rsidR="00000000" w:rsidRDefault="00A173A8">
            <w:pPr>
              <w:spacing w:after="100"/>
              <w:jc w:val="right"/>
              <w:rPr>
                <w:rFonts w:eastAsia="Times New Roman"/>
                <w:sz w:val="20"/>
                <w:szCs w:val="20"/>
              </w:rPr>
            </w:pPr>
          </w:p>
        </w:tc>
        <w:tc>
          <w:tcPr>
            <w:tcW w:w="0" w:type="auto"/>
            <w:gridSpan w:val="3"/>
            <w:vAlign w:val="center"/>
            <w:hideMark/>
          </w:tcPr>
          <w:p w14:paraId="6FDE95AE" w14:textId="77777777" w:rsidR="00000000" w:rsidRDefault="00A173A8">
            <w:pPr>
              <w:spacing w:after="100"/>
              <w:rPr>
                <w:rFonts w:eastAsia="Times New Roman"/>
                <w:sz w:val="20"/>
                <w:szCs w:val="20"/>
              </w:rPr>
            </w:pPr>
          </w:p>
        </w:tc>
        <w:tc>
          <w:tcPr>
            <w:tcW w:w="0" w:type="auto"/>
            <w:gridSpan w:val="3"/>
            <w:vAlign w:val="center"/>
            <w:hideMark/>
          </w:tcPr>
          <w:p w14:paraId="492124D4" w14:textId="77777777" w:rsidR="00000000" w:rsidRDefault="00A173A8">
            <w:pPr>
              <w:spacing w:after="100"/>
              <w:rPr>
                <w:rFonts w:eastAsia="Times New Roman"/>
                <w:sz w:val="20"/>
                <w:szCs w:val="20"/>
              </w:rPr>
            </w:pPr>
          </w:p>
        </w:tc>
        <w:tc>
          <w:tcPr>
            <w:tcW w:w="0" w:type="auto"/>
            <w:gridSpan w:val="2"/>
            <w:vAlign w:val="center"/>
            <w:hideMark/>
          </w:tcPr>
          <w:p w14:paraId="178EB328" w14:textId="77777777" w:rsidR="00000000" w:rsidRDefault="00A173A8">
            <w:pPr>
              <w:spacing w:after="100"/>
              <w:rPr>
                <w:rFonts w:eastAsia="Times New Roman"/>
                <w:sz w:val="20"/>
                <w:szCs w:val="20"/>
              </w:rPr>
            </w:pPr>
          </w:p>
        </w:tc>
      </w:tr>
      <w:tr w:rsidR="00A173A8" w14:paraId="64CE61FC" w14:textId="77777777">
        <w:trPr>
          <w:divId w:val="91827376"/>
        </w:trPr>
        <w:tc>
          <w:tcPr>
            <w:tcW w:w="0" w:type="auto"/>
            <w:gridSpan w:val="3"/>
            <w:shd w:val="clear" w:color="auto" w:fill="CCEEFF"/>
            <w:tcMar>
              <w:top w:w="30" w:type="dxa"/>
              <w:left w:w="20" w:type="dxa"/>
              <w:bottom w:w="30" w:type="dxa"/>
              <w:right w:w="20" w:type="dxa"/>
            </w:tcMar>
            <w:vAlign w:val="center"/>
            <w:hideMark/>
          </w:tcPr>
          <w:p w14:paraId="20695163" w14:textId="77777777" w:rsidR="00000000" w:rsidRDefault="00A173A8">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036412B1" w14:textId="77777777" w:rsidR="00000000" w:rsidRDefault="00A173A8">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12DCDF8" w14:textId="77777777" w:rsidR="00000000" w:rsidRDefault="00A173A8">
            <w:pPr>
              <w:spacing w:after="100"/>
              <w:jc w:val="right"/>
              <w:rPr>
                <w:rFonts w:eastAsia="Times New Roman"/>
              </w:rPr>
            </w:pPr>
            <w:r>
              <w:rPr>
                <w:rFonts w:eastAsia="Times New Roman"/>
                <w:b/>
                <w:bCs/>
                <w:color w:val="000000"/>
                <w:sz w:val="18"/>
                <w:szCs w:val="18"/>
              </w:rPr>
              <w:t>31,164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543696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E704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E95220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A489F59" w14:textId="77777777" w:rsidR="00000000" w:rsidRDefault="00A173A8">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F15E39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C8CB8E"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335ED2A" w14:textId="77777777" w:rsidR="00000000" w:rsidRDefault="00A173A8">
            <w:pPr>
              <w:spacing w:after="100"/>
              <w:jc w:val="right"/>
              <w:rPr>
                <w:rFonts w:eastAsia="Times New Roman"/>
              </w:rPr>
            </w:pPr>
            <w:r>
              <w:rPr>
                <w:rFonts w:eastAsia="Times New Roman"/>
                <w:color w:val="000000"/>
                <w:sz w:val="18"/>
                <w:szCs w:val="18"/>
              </w:rPr>
              <w:t>21,334 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6D8314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78CD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414083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F8B6790" w14:textId="77777777" w:rsidR="00000000" w:rsidRDefault="00A173A8">
            <w:pPr>
              <w:spacing w:after="100"/>
              <w:jc w:val="right"/>
              <w:rPr>
                <w:rFonts w:eastAsia="Times New Roman"/>
              </w:rPr>
            </w:pPr>
            <w:r>
              <w:rPr>
                <w:rFonts w:eastAsia="Times New Roman"/>
                <w:color w:val="000000"/>
                <w:sz w:val="18"/>
                <w:szCs w:val="18"/>
              </w:rPr>
              <w:t>198 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210F3C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63F0ED"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81EAEAF" w14:textId="77777777" w:rsidR="00000000" w:rsidRDefault="00A173A8">
            <w:pPr>
              <w:spacing w:after="100"/>
              <w:jc w:val="right"/>
              <w:rPr>
                <w:rFonts w:eastAsia="Times New Roman"/>
              </w:rPr>
            </w:pPr>
            <w:r>
              <w:rPr>
                <w:rFonts w:eastAsia="Times New Roman"/>
                <w:b/>
                <w:bCs/>
                <w:color w:val="2C2C2C"/>
                <w:sz w:val="18"/>
                <w:szCs w:val="18"/>
              </w:rPr>
              <w:t>55,655</w:t>
            </w:r>
            <w:r>
              <w:rPr>
                <w:rFonts w:eastAsia="Times New Roman"/>
                <w:color w:val="2C2C2C"/>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C20405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168D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A2F6668" w14:textId="77777777" w:rsidR="00000000" w:rsidRDefault="00A173A8">
            <w:pPr>
              <w:spacing w:after="100"/>
              <w:rPr>
                <w:rFonts w:eastAsia="Times New Roman"/>
              </w:rPr>
            </w:pPr>
            <w:r>
              <w:rPr>
                <w:rFonts w:eastAsia="Times New Roman"/>
                <w:b/>
                <w:bCs/>
                <w:color w:val="2C2C2C"/>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7787202" w14:textId="77777777" w:rsidR="00000000" w:rsidRDefault="00A173A8">
            <w:pPr>
              <w:spacing w:after="100"/>
              <w:jc w:val="right"/>
              <w:rPr>
                <w:rFonts w:eastAsia="Times New Roman"/>
              </w:rPr>
            </w:pPr>
            <w:r>
              <w:rPr>
                <w:rFonts w:eastAsia="Times New Roman"/>
                <w:b/>
                <w:bCs/>
                <w:color w:val="2C2C2C"/>
                <w:sz w:val="18"/>
                <w:szCs w:val="18"/>
              </w:rPr>
              <w:t>198</w:t>
            </w:r>
            <w:r>
              <w:rPr>
                <w:rFonts w:eastAsia="Times New Roman"/>
                <w:color w:val="2C2C2C"/>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2BA827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C74A9"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C845847" w14:textId="77777777" w:rsidR="00000000" w:rsidRDefault="00A173A8">
            <w:pPr>
              <w:spacing w:after="100"/>
              <w:jc w:val="right"/>
              <w:rPr>
                <w:rFonts w:eastAsia="Times New Roman"/>
              </w:rPr>
            </w:pPr>
            <w:r>
              <w:rPr>
                <w:rFonts w:eastAsia="Times New Roman"/>
                <w:color w:val="2C2C2C"/>
                <w:sz w:val="18"/>
                <w:szCs w:val="18"/>
              </w:rPr>
              <w:t>45,706 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C3B875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2FB1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D270124" w14:textId="77777777" w:rsidR="00000000" w:rsidRDefault="00A173A8">
            <w:pPr>
              <w:spacing w:after="100"/>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C637183" w14:textId="77777777" w:rsidR="00000000" w:rsidRDefault="00A173A8">
            <w:pPr>
              <w:spacing w:after="100"/>
              <w:jc w:val="right"/>
              <w:rPr>
                <w:rFonts w:eastAsia="Times New Roman"/>
              </w:rPr>
            </w:pPr>
            <w:r>
              <w:rPr>
                <w:rFonts w:eastAsia="Times New Roman"/>
                <w:color w:val="2C2C2C"/>
                <w:sz w:val="18"/>
                <w:szCs w:val="18"/>
              </w:rPr>
              <w:t>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E06783B" w14:textId="77777777" w:rsidR="00000000" w:rsidRDefault="00A173A8">
            <w:pPr>
              <w:spacing w:after="100"/>
              <w:jc w:val="right"/>
              <w:rPr>
                <w:rFonts w:eastAsia="Times New Roman"/>
              </w:rPr>
            </w:pPr>
          </w:p>
        </w:tc>
        <w:tc>
          <w:tcPr>
            <w:tcW w:w="0" w:type="auto"/>
            <w:gridSpan w:val="3"/>
            <w:vAlign w:val="center"/>
            <w:hideMark/>
          </w:tcPr>
          <w:p w14:paraId="593F7597" w14:textId="77777777" w:rsidR="00000000" w:rsidRDefault="00A173A8">
            <w:pPr>
              <w:spacing w:after="100"/>
              <w:jc w:val="right"/>
              <w:rPr>
                <w:rFonts w:eastAsia="Times New Roman"/>
                <w:sz w:val="20"/>
                <w:szCs w:val="20"/>
              </w:rPr>
            </w:pPr>
          </w:p>
        </w:tc>
        <w:tc>
          <w:tcPr>
            <w:tcW w:w="0" w:type="auto"/>
            <w:gridSpan w:val="3"/>
            <w:vAlign w:val="center"/>
            <w:hideMark/>
          </w:tcPr>
          <w:p w14:paraId="728F17B7" w14:textId="77777777" w:rsidR="00000000" w:rsidRDefault="00A173A8">
            <w:pPr>
              <w:spacing w:after="100"/>
              <w:rPr>
                <w:rFonts w:eastAsia="Times New Roman"/>
                <w:sz w:val="20"/>
                <w:szCs w:val="20"/>
              </w:rPr>
            </w:pPr>
          </w:p>
        </w:tc>
        <w:tc>
          <w:tcPr>
            <w:tcW w:w="0" w:type="auto"/>
            <w:gridSpan w:val="3"/>
            <w:vAlign w:val="center"/>
            <w:hideMark/>
          </w:tcPr>
          <w:p w14:paraId="768DBCF7" w14:textId="77777777" w:rsidR="00000000" w:rsidRDefault="00A173A8">
            <w:pPr>
              <w:spacing w:after="100"/>
              <w:rPr>
                <w:rFonts w:eastAsia="Times New Roman"/>
                <w:sz w:val="20"/>
                <w:szCs w:val="20"/>
              </w:rPr>
            </w:pPr>
          </w:p>
        </w:tc>
        <w:tc>
          <w:tcPr>
            <w:tcW w:w="0" w:type="auto"/>
            <w:gridSpan w:val="2"/>
            <w:vAlign w:val="center"/>
            <w:hideMark/>
          </w:tcPr>
          <w:p w14:paraId="369748BE" w14:textId="77777777" w:rsidR="00000000" w:rsidRDefault="00A173A8">
            <w:pPr>
              <w:spacing w:after="100"/>
              <w:rPr>
                <w:rFonts w:eastAsia="Times New Roman"/>
                <w:sz w:val="20"/>
                <w:szCs w:val="20"/>
              </w:rPr>
            </w:pPr>
          </w:p>
        </w:tc>
      </w:tr>
    </w:tbl>
    <w:p w14:paraId="5C91ECE4" w14:textId="77777777" w:rsidR="00000000" w:rsidRDefault="00A173A8">
      <w:pPr>
        <w:jc w:val="both"/>
        <w:divId w:val="16547350"/>
        <w:rPr>
          <w:rFonts w:eastAsia="Times New Roman"/>
        </w:rPr>
      </w:pPr>
      <w:r>
        <w:rPr>
          <w:rFonts w:eastAsia="Times New Roman"/>
          <w:b/>
          <w:bCs/>
          <w:color w:val="000000"/>
          <w:sz w:val="20"/>
          <w:szCs w:val="20"/>
        </w:rPr>
        <w:t>Loans Pledged</w:t>
      </w:r>
    </w:p>
    <w:p w14:paraId="6539D9B1" w14:textId="77777777" w:rsidR="00000000" w:rsidRDefault="00A173A8">
      <w:pPr>
        <w:jc w:val="both"/>
        <w:divId w:val="835607306"/>
        <w:rPr>
          <w:rFonts w:eastAsia="Times New Roman"/>
        </w:rPr>
      </w:pPr>
      <w:r>
        <w:rPr>
          <w:rFonts w:eastAsia="Times New Roman"/>
          <w:color w:val="000000"/>
          <w:sz w:val="20"/>
          <w:szCs w:val="20"/>
        </w:rPr>
        <w:t>We pledged loan collateral of $10.2 billion and $10.3 billion to secure</w:t>
      </w:r>
      <w:r>
        <w:rPr>
          <w:rFonts w:eastAsia="Times New Roman"/>
          <w:color w:val="000000"/>
          <w:sz w:val="20"/>
          <w:szCs w:val="20"/>
        </w:rPr>
        <w:t xml:space="preserve"> a portion of of our FHLB borrowing capacity of $18.7 billion and $19.7 billion as of June 30, 2022 and December 31, 2021, respectively. We also pledged loan collateral of $34.5 billion and $26.5 billion to secure our Federal Reserve Discount Window borrow</w:t>
      </w:r>
      <w:r>
        <w:rPr>
          <w:rFonts w:eastAsia="Times New Roman"/>
          <w:color w:val="000000"/>
          <w:sz w:val="20"/>
          <w:szCs w:val="20"/>
        </w:rPr>
        <w:t>ing capacity of $22.1 billion and $19.6 billion as of June 30, 2022 and December 31, 2021, respectively. In addition to loans pledged, we have securitized a portion of our credit card and auto loan portfolios. See “Note 5—Variable Interest Entities and Sec</w:t>
      </w:r>
      <w:r>
        <w:rPr>
          <w:rFonts w:eastAsia="Times New Roman"/>
          <w:color w:val="000000"/>
          <w:sz w:val="20"/>
          <w:szCs w:val="20"/>
        </w:rPr>
        <w:t>uritizations” for additional information.</w:t>
      </w:r>
    </w:p>
    <w:p w14:paraId="77614698" w14:textId="77777777" w:rsidR="00000000" w:rsidRDefault="00A173A8">
      <w:pPr>
        <w:divId w:val="868756951"/>
        <w:rPr>
          <w:rFonts w:eastAsia="Times New Roman"/>
        </w:rPr>
      </w:pPr>
      <w:r>
        <w:rPr>
          <w:rFonts w:eastAsia="Times New Roman"/>
          <w:b/>
          <w:bCs/>
          <w:color w:val="000000"/>
          <w:sz w:val="20"/>
          <w:szCs w:val="20"/>
        </w:rPr>
        <w:t>Revolving Loans Converted to Term Loans</w:t>
      </w:r>
    </w:p>
    <w:p w14:paraId="69DE399D" w14:textId="77777777" w:rsidR="00000000" w:rsidRDefault="00A173A8">
      <w:pPr>
        <w:jc w:val="both"/>
        <w:divId w:val="373434886"/>
        <w:rPr>
          <w:rFonts w:eastAsia="Times New Roman"/>
        </w:rPr>
      </w:pPr>
      <w:r>
        <w:rPr>
          <w:rFonts w:eastAsia="Times New Roman"/>
          <w:color w:val="000000"/>
          <w:sz w:val="20"/>
          <w:szCs w:val="20"/>
        </w:rPr>
        <w:t>For the three and six months ended June 30, 2022, we converted $41 million and $332 million of revolving loans to term loans, respectively, primarily in our domestic credit c</w:t>
      </w:r>
      <w:r>
        <w:rPr>
          <w:rFonts w:eastAsia="Times New Roman"/>
          <w:color w:val="000000"/>
          <w:sz w:val="20"/>
          <w:szCs w:val="20"/>
        </w:rPr>
        <w:t>ard and commercial banking loan portfolios. For the three and six months ended June 30, 2021, we converted $38 million and $135 million of revolving loans to term loans, respectively, primarily in our domestic credit card and commercial banking loan portfo</w:t>
      </w:r>
      <w:r>
        <w:rPr>
          <w:rFonts w:eastAsia="Times New Roman"/>
          <w:color w:val="000000"/>
          <w:sz w:val="20"/>
          <w:szCs w:val="20"/>
        </w:rPr>
        <w:t>lios.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F54D452" w14:textId="77777777">
        <w:trPr>
          <w:divId w:val="1847013698"/>
          <w:jc w:val="center"/>
        </w:trPr>
        <w:tc>
          <w:tcPr>
            <w:tcW w:w="50" w:type="pct"/>
            <w:vAlign w:val="center"/>
            <w:hideMark/>
          </w:tcPr>
          <w:p w14:paraId="0D553ABE" w14:textId="77777777" w:rsidR="00000000" w:rsidRDefault="00A173A8">
            <w:pPr>
              <w:jc w:val="both"/>
              <w:rPr>
                <w:rFonts w:eastAsia="Times New Roman"/>
              </w:rPr>
            </w:pPr>
          </w:p>
        </w:tc>
        <w:tc>
          <w:tcPr>
            <w:tcW w:w="1606" w:type="pct"/>
            <w:vAlign w:val="center"/>
            <w:hideMark/>
          </w:tcPr>
          <w:p w14:paraId="19BB446C" w14:textId="77777777" w:rsidR="00000000" w:rsidRDefault="00A173A8">
            <w:pPr>
              <w:spacing w:after="100"/>
              <w:rPr>
                <w:rFonts w:eastAsia="Times New Roman"/>
                <w:sz w:val="20"/>
                <w:szCs w:val="20"/>
              </w:rPr>
            </w:pPr>
          </w:p>
        </w:tc>
        <w:tc>
          <w:tcPr>
            <w:tcW w:w="5" w:type="pct"/>
            <w:vAlign w:val="center"/>
            <w:hideMark/>
          </w:tcPr>
          <w:p w14:paraId="403C9BF5" w14:textId="77777777" w:rsidR="00000000" w:rsidRDefault="00A173A8">
            <w:pPr>
              <w:spacing w:after="100"/>
              <w:rPr>
                <w:rFonts w:eastAsia="Times New Roman"/>
                <w:sz w:val="20"/>
                <w:szCs w:val="20"/>
              </w:rPr>
            </w:pPr>
          </w:p>
        </w:tc>
        <w:tc>
          <w:tcPr>
            <w:tcW w:w="50" w:type="pct"/>
            <w:vAlign w:val="center"/>
            <w:hideMark/>
          </w:tcPr>
          <w:p w14:paraId="7037CCBC" w14:textId="77777777" w:rsidR="00000000" w:rsidRDefault="00A173A8">
            <w:pPr>
              <w:spacing w:after="100"/>
              <w:rPr>
                <w:rFonts w:eastAsia="Times New Roman"/>
                <w:sz w:val="20"/>
                <w:szCs w:val="20"/>
              </w:rPr>
            </w:pPr>
          </w:p>
        </w:tc>
        <w:tc>
          <w:tcPr>
            <w:tcW w:w="1614" w:type="pct"/>
            <w:vAlign w:val="center"/>
            <w:hideMark/>
          </w:tcPr>
          <w:p w14:paraId="27B6341F" w14:textId="77777777" w:rsidR="00000000" w:rsidRDefault="00A173A8">
            <w:pPr>
              <w:spacing w:after="100"/>
              <w:rPr>
                <w:rFonts w:eastAsia="Times New Roman"/>
                <w:sz w:val="20"/>
                <w:szCs w:val="20"/>
              </w:rPr>
            </w:pPr>
          </w:p>
        </w:tc>
        <w:tc>
          <w:tcPr>
            <w:tcW w:w="5" w:type="pct"/>
            <w:vAlign w:val="center"/>
            <w:hideMark/>
          </w:tcPr>
          <w:p w14:paraId="13FA4B6D" w14:textId="77777777" w:rsidR="00000000" w:rsidRDefault="00A173A8">
            <w:pPr>
              <w:spacing w:after="100"/>
              <w:rPr>
                <w:rFonts w:eastAsia="Times New Roman"/>
                <w:sz w:val="20"/>
                <w:szCs w:val="20"/>
              </w:rPr>
            </w:pPr>
          </w:p>
        </w:tc>
        <w:tc>
          <w:tcPr>
            <w:tcW w:w="50" w:type="pct"/>
            <w:vAlign w:val="center"/>
            <w:hideMark/>
          </w:tcPr>
          <w:p w14:paraId="042C56FD" w14:textId="77777777" w:rsidR="00000000" w:rsidRDefault="00A173A8">
            <w:pPr>
              <w:spacing w:after="100"/>
              <w:rPr>
                <w:rFonts w:eastAsia="Times New Roman"/>
                <w:sz w:val="20"/>
                <w:szCs w:val="20"/>
              </w:rPr>
            </w:pPr>
          </w:p>
        </w:tc>
        <w:tc>
          <w:tcPr>
            <w:tcW w:w="1614" w:type="pct"/>
            <w:vAlign w:val="center"/>
            <w:hideMark/>
          </w:tcPr>
          <w:p w14:paraId="3411D8D7" w14:textId="77777777" w:rsidR="00000000" w:rsidRDefault="00A173A8">
            <w:pPr>
              <w:spacing w:after="100"/>
              <w:rPr>
                <w:rFonts w:eastAsia="Times New Roman"/>
                <w:sz w:val="20"/>
                <w:szCs w:val="20"/>
              </w:rPr>
            </w:pPr>
          </w:p>
        </w:tc>
        <w:tc>
          <w:tcPr>
            <w:tcW w:w="5" w:type="pct"/>
            <w:vAlign w:val="center"/>
            <w:hideMark/>
          </w:tcPr>
          <w:p w14:paraId="2BB87B09" w14:textId="77777777" w:rsidR="00000000" w:rsidRDefault="00A173A8">
            <w:pPr>
              <w:spacing w:after="100"/>
              <w:rPr>
                <w:rFonts w:eastAsia="Times New Roman"/>
                <w:sz w:val="20"/>
                <w:szCs w:val="20"/>
              </w:rPr>
            </w:pPr>
          </w:p>
        </w:tc>
      </w:tr>
      <w:tr w:rsidR="00000000" w14:paraId="56B0A4FA" w14:textId="77777777">
        <w:trPr>
          <w:divId w:val="1847013698"/>
          <w:trHeight w:val="300"/>
          <w:jc w:val="center"/>
        </w:trPr>
        <w:tc>
          <w:tcPr>
            <w:tcW w:w="0" w:type="auto"/>
            <w:gridSpan w:val="9"/>
            <w:tcMar>
              <w:top w:w="0" w:type="dxa"/>
              <w:left w:w="20" w:type="dxa"/>
              <w:bottom w:w="0" w:type="dxa"/>
              <w:right w:w="20" w:type="dxa"/>
            </w:tcMar>
            <w:vAlign w:val="center"/>
            <w:hideMark/>
          </w:tcPr>
          <w:p w14:paraId="546235A4" w14:textId="77777777" w:rsidR="00000000" w:rsidRDefault="00A173A8">
            <w:pPr>
              <w:spacing w:after="100"/>
              <w:rPr>
                <w:rFonts w:eastAsia="Times New Roman"/>
                <w:sz w:val="20"/>
                <w:szCs w:val="20"/>
              </w:rPr>
            </w:pPr>
          </w:p>
        </w:tc>
      </w:tr>
      <w:tr w:rsidR="00000000" w14:paraId="4475C08F" w14:textId="77777777">
        <w:trPr>
          <w:divId w:val="1847013698"/>
          <w:jc w:val="center"/>
        </w:trPr>
        <w:tc>
          <w:tcPr>
            <w:tcW w:w="0" w:type="auto"/>
            <w:gridSpan w:val="3"/>
            <w:tcMar>
              <w:top w:w="0" w:type="dxa"/>
              <w:left w:w="20" w:type="dxa"/>
              <w:bottom w:w="0" w:type="dxa"/>
              <w:right w:w="20" w:type="dxa"/>
            </w:tcMar>
            <w:vAlign w:val="center"/>
            <w:hideMark/>
          </w:tcPr>
          <w:p w14:paraId="51B5E0D6"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97F5FA9" w14:textId="77777777" w:rsidR="00000000" w:rsidRDefault="00A173A8">
            <w:pPr>
              <w:spacing w:after="100"/>
              <w:jc w:val="center"/>
              <w:rPr>
                <w:rFonts w:eastAsia="Times New Roman"/>
              </w:rPr>
            </w:pPr>
            <w:r>
              <w:rPr>
                <w:rFonts w:eastAsia="Times New Roman"/>
                <w:color w:val="000000"/>
                <w:sz w:val="16"/>
                <w:szCs w:val="16"/>
              </w:rPr>
              <w:t>83</w:t>
            </w:r>
          </w:p>
        </w:tc>
        <w:tc>
          <w:tcPr>
            <w:tcW w:w="0" w:type="auto"/>
            <w:gridSpan w:val="3"/>
            <w:tcMar>
              <w:top w:w="30" w:type="dxa"/>
              <w:left w:w="20" w:type="dxa"/>
              <w:bottom w:w="30" w:type="dxa"/>
              <w:right w:w="20" w:type="dxa"/>
            </w:tcMar>
            <w:vAlign w:val="bottom"/>
            <w:hideMark/>
          </w:tcPr>
          <w:p w14:paraId="3685C224"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46913D9" w14:textId="77777777" w:rsidR="00000000" w:rsidRDefault="00A173A8">
      <w:pPr>
        <w:rPr>
          <w:rFonts w:eastAsia="Times New Roman"/>
        </w:rPr>
      </w:pPr>
      <w:r>
        <w:rPr>
          <w:rFonts w:eastAsia="Times New Roman"/>
        </w:rPr>
        <w:pict w14:anchorId="31821595">
          <v:rect id="_x0000_i1108" style="width:0;height:1.5pt" o:hralign="center" o:hrstd="t" o:hr="t" fillcolor="#a0a0a0" stroked="f"/>
        </w:pict>
      </w:r>
    </w:p>
    <w:p w14:paraId="7E2B6D3B" w14:textId="77777777" w:rsidR="00000000" w:rsidRDefault="00A173A8">
      <w:pPr>
        <w:jc w:val="both"/>
        <w:divId w:val="723871507"/>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537F510B" w14:textId="77777777">
        <w:trPr>
          <w:divId w:val="219831193"/>
        </w:trPr>
        <w:tc>
          <w:tcPr>
            <w:tcW w:w="50" w:type="pct"/>
            <w:vAlign w:val="center"/>
            <w:hideMark/>
          </w:tcPr>
          <w:p w14:paraId="630A64F2" w14:textId="77777777" w:rsidR="00000000" w:rsidRDefault="00A173A8">
            <w:pPr>
              <w:jc w:val="both"/>
              <w:rPr>
                <w:rFonts w:eastAsia="Times New Roman"/>
              </w:rPr>
            </w:pPr>
          </w:p>
        </w:tc>
        <w:tc>
          <w:tcPr>
            <w:tcW w:w="4945" w:type="pct"/>
            <w:vAlign w:val="center"/>
            <w:hideMark/>
          </w:tcPr>
          <w:p w14:paraId="20CF8324" w14:textId="77777777" w:rsidR="00000000" w:rsidRDefault="00A173A8">
            <w:pPr>
              <w:spacing w:after="100"/>
              <w:rPr>
                <w:rFonts w:eastAsia="Times New Roman"/>
                <w:sz w:val="20"/>
                <w:szCs w:val="20"/>
              </w:rPr>
            </w:pPr>
          </w:p>
        </w:tc>
        <w:tc>
          <w:tcPr>
            <w:tcW w:w="5" w:type="pct"/>
            <w:vAlign w:val="center"/>
            <w:hideMark/>
          </w:tcPr>
          <w:p w14:paraId="53E6ACC8" w14:textId="77777777" w:rsidR="00000000" w:rsidRDefault="00A173A8">
            <w:pPr>
              <w:spacing w:after="100"/>
              <w:rPr>
                <w:rFonts w:eastAsia="Times New Roman"/>
                <w:sz w:val="20"/>
                <w:szCs w:val="20"/>
              </w:rPr>
            </w:pPr>
          </w:p>
        </w:tc>
      </w:tr>
      <w:tr w:rsidR="00000000" w14:paraId="12D801E0" w14:textId="77777777">
        <w:trPr>
          <w:divId w:val="21983119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5654EB69" w14:textId="77777777" w:rsidR="00000000" w:rsidRDefault="00A173A8">
            <w:pPr>
              <w:spacing w:after="100"/>
              <w:rPr>
                <w:rFonts w:eastAsia="Times New Roman"/>
              </w:rPr>
            </w:pPr>
            <w:r>
              <w:rPr>
                <w:rFonts w:eastAsia="Times New Roman"/>
                <w:b/>
                <w:bCs/>
                <w:color w:val="000000"/>
                <w:sz w:val="20"/>
                <w:szCs w:val="20"/>
              </w:rPr>
              <w:t>NOTE 4—</w:t>
            </w:r>
            <w:r>
              <w:rPr>
                <w:rFonts w:eastAsia="Times New Roman"/>
                <w:b/>
                <w:bCs/>
                <w:color w:val="000000"/>
                <w:sz w:val="20"/>
                <w:szCs w:val="20"/>
              </w:rPr>
              <w:t>ALLOWANCE FOR CREDIT LOSSES AND RESERVE FOR UNFUNDED LENDING COMMITMENTS</w:t>
            </w:r>
          </w:p>
        </w:tc>
      </w:tr>
    </w:tbl>
    <w:p w14:paraId="03CCA2FB" w14:textId="77777777" w:rsidR="00000000" w:rsidRDefault="00A173A8">
      <w:pPr>
        <w:jc w:val="both"/>
        <w:divId w:val="265115113"/>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w:t>
      </w:r>
      <w:r>
        <w:rPr>
          <w:rFonts w:eastAsia="Times New Roman"/>
          <w:color w:val="000000"/>
          <w:sz w:val="20"/>
          <w:szCs w:val="20"/>
        </w:rPr>
        <w:t xml:space="preserve">heet date. Expected recoveries of amounts previously charged off or expected to be charged off are recognized within the allowance. Significant judgment is applied in our estimation of lifetime credit losses. When developing an estimate of expected credit </w:t>
      </w:r>
      <w:r>
        <w:rPr>
          <w:rFonts w:eastAsia="Times New Roman"/>
          <w:color w:val="000000"/>
          <w:sz w:val="20"/>
          <w:szCs w:val="20"/>
        </w:rPr>
        <w:t>losses, we use both quantitative and qualitative methods in considering all available information relevant to assessing collectability. This may include internal information, external information or a combination of both relating to past events, current co</w:t>
      </w:r>
      <w:r>
        <w:rPr>
          <w:rFonts w:eastAsia="Times New Roman"/>
          <w:color w:val="000000"/>
          <w:sz w:val="20"/>
          <w:szCs w:val="20"/>
        </w:rPr>
        <w:t>nditions, and reasonable and supportable forecasts. Management will consider and may qualitatively adjust for conditions, changes and trends in loan portfolios that may not be captured in modeled results. These adjustments are referred to as qualitative fa</w:t>
      </w:r>
      <w:r>
        <w:rPr>
          <w:rFonts w:eastAsia="Times New Roman"/>
          <w:color w:val="000000"/>
          <w:sz w:val="20"/>
          <w:szCs w:val="20"/>
        </w:rPr>
        <w:t xml:space="preserve">ctors and represent management’s judgment of the imprecision and risks inherent in the processes and assumptions used in establishing the allowance for credit losses. </w:t>
      </w:r>
    </w:p>
    <w:p w14:paraId="5C9517ED" w14:textId="77777777" w:rsidR="00000000" w:rsidRDefault="00A173A8">
      <w:pPr>
        <w:jc w:val="both"/>
        <w:divId w:val="1749419453"/>
        <w:rPr>
          <w:rFonts w:eastAsia="Times New Roman"/>
        </w:rPr>
      </w:pPr>
      <w:r>
        <w:rPr>
          <w:rFonts w:eastAsia="Times New Roman"/>
          <w:color w:val="000000"/>
          <w:sz w:val="20"/>
          <w:szCs w:val="20"/>
        </w:rPr>
        <w:t>We have unfunded lending commitments in our Commercial Banking business that are not unc</w:t>
      </w:r>
      <w:r>
        <w:rPr>
          <w:rFonts w:eastAsia="Times New Roman"/>
          <w:color w:val="000000"/>
          <w:sz w:val="20"/>
          <w:szCs w:val="20"/>
        </w:rPr>
        <w:t>onditionally cancellable by us and for which we estimate expected credit losses in establishing a reserve. This reserve is measured using the same measurement objectives as the allowance for loans held for investment. We build or release the reserve for un</w:t>
      </w:r>
      <w:r>
        <w:rPr>
          <w:rFonts w:eastAsia="Times New Roman"/>
          <w:color w:val="000000"/>
          <w:sz w:val="20"/>
          <w:szCs w:val="20"/>
        </w:rPr>
        <w:t xml:space="preserve">funded lending commitments through the provision for credit losses in our consolidated statements of income, and the related reserve for unfunded lending commitments is included in other liabilities on our consolidated balance sheets. </w:t>
      </w:r>
    </w:p>
    <w:p w14:paraId="5EC3C765" w14:textId="77777777" w:rsidR="00000000" w:rsidRDefault="00A173A8">
      <w:pPr>
        <w:jc w:val="both"/>
        <w:divId w:val="977763513"/>
        <w:rPr>
          <w:rFonts w:eastAsia="Times New Roman"/>
        </w:rPr>
      </w:pPr>
      <w:r>
        <w:rPr>
          <w:rFonts w:eastAsia="Times New Roman"/>
          <w:color w:val="000000"/>
          <w:sz w:val="20"/>
          <w:szCs w:val="20"/>
        </w:rPr>
        <w:t xml:space="preserve">See “Note 1—Summary </w:t>
      </w:r>
      <w:r>
        <w:rPr>
          <w:rFonts w:eastAsia="Times New Roman"/>
          <w:color w:val="000000"/>
          <w:sz w:val="20"/>
          <w:szCs w:val="20"/>
        </w:rPr>
        <w:t>of Significant Accounting Policies” in our 2021 Form 10-K for further discussion of the methodology and policy for determining our allowance for credit losses for each of our loan portfolio segments, as well as information on our reserve for unfunded lendi</w:t>
      </w:r>
      <w:r>
        <w:rPr>
          <w:rFonts w:eastAsia="Times New Roman"/>
          <w:color w:val="000000"/>
          <w:sz w:val="20"/>
          <w:szCs w:val="20"/>
        </w:rPr>
        <w:t>ng commitments.</w:t>
      </w:r>
    </w:p>
    <w:p w14:paraId="17C567E7" w14:textId="77777777" w:rsidR="00000000" w:rsidRDefault="00A173A8">
      <w:pPr>
        <w:divId w:val="2028940055"/>
        <w:rPr>
          <w:rFonts w:eastAsia="Times New Roman"/>
        </w:rPr>
      </w:pPr>
      <w:r>
        <w:rPr>
          <w:rFonts w:eastAsia="Times New Roman"/>
          <w:b/>
          <w:bCs/>
          <w:color w:val="000000"/>
          <w:sz w:val="20"/>
          <w:szCs w:val="20"/>
        </w:rPr>
        <w:t>Allowance for Credit Losses and Reserve for Unfunded Lending Commitments Activity</w:t>
      </w:r>
    </w:p>
    <w:p w14:paraId="0B2FC636" w14:textId="77777777" w:rsidR="00000000" w:rsidRDefault="00A173A8">
      <w:pPr>
        <w:jc w:val="both"/>
        <w:divId w:val="414516560"/>
        <w:rPr>
          <w:rFonts w:eastAsia="Times New Roman"/>
        </w:rPr>
      </w:pPr>
      <w:r>
        <w:rPr>
          <w:rFonts w:eastAsia="Times New Roman"/>
          <w:color w:val="000000"/>
          <w:sz w:val="20"/>
          <w:szCs w:val="20"/>
        </w:rPr>
        <w:t xml:space="preserve">The table below summarizes changes in the allowance for credit losses and reserve for unfunded lending commitments by portfolio segment for the three and six </w:t>
      </w:r>
      <w:r>
        <w:rPr>
          <w:rFonts w:eastAsia="Times New Roman"/>
          <w:color w:val="000000"/>
          <w:sz w:val="20"/>
          <w:szCs w:val="20"/>
        </w:rPr>
        <w:t>months ended June 30, 2022 and 2021. Our allowance for credit losses increased by $61 million to $11.5 billion as of June 30, 2022 from December 31, 2021.</w:t>
      </w:r>
    </w:p>
    <w:p w14:paraId="42D3CF6C" w14:textId="77777777" w:rsidR="00000000" w:rsidRDefault="00A173A8">
      <w:pPr>
        <w:divId w:val="1586189994"/>
        <w:rPr>
          <w:rFonts w:eastAsia="Times New Roman"/>
        </w:rPr>
      </w:pPr>
      <w:r>
        <w:rPr>
          <w:rFonts w:eastAsia="Times New Roman"/>
          <w:b/>
          <w:bCs/>
          <w:color w:val="000000"/>
          <w:sz w:val="18"/>
          <w:szCs w:val="18"/>
        </w:rPr>
        <w:t>Table 4.1: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14:paraId="0BF60670" w14:textId="77777777">
        <w:trPr>
          <w:divId w:val="1247809577"/>
        </w:trPr>
        <w:tc>
          <w:tcPr>
            <w:tcW w:w="50" w:type="pct"/>
            <w:vAlign w:val="center"/>
            <w:hideMark/>
          </w:tcPr>
          <w:p w14:paraId="52C938DA" w14:textId="77777777" w:rsidR="00000000" w:rsidRDefault="00A173A8">
            <w:pPr>
              <w:rPr>
                <w:rFonts w:eastAsia="Times New Roman"/>
              </w:rPr>
            </w:pPr>
          </w:p>
        </w:tc>
        <w:tc>
          <w:tcPr>
            <w:tcW w:w="2839" w:type="pct"/>
            <w:vAlign w:val="center"/>
            <w:hideMark/>
          </w:tcPr>
          <w:p w14:paraId="0C96DC23" w14:textId="77777777" w:rsidR="00000000" w:rsidRDefault="00A173A8">
            <w:pPr>
              <w:spacing w:after="100"/>
              <w:rPr>
                <w:rFonts w:eastAsia="Times New Roman"/>
                <w:sz w:val="20"/>
                <w:szCs w:val="20"/>
              </w:rPr>
            </w:pPr>
          </w:p>
        </w:tc>
        <w:tc>
          <w:tcPr>
            <w:tcW w:w="5" w:type="pct"/>
            <w:vAlign w:val="center"/>
            <w:hideMark/>
          </w:tcPr>
          <w:p w14:paraId="1287F57F" w14:textId="77777777" w:rsidR="00000000" w:rsidRDefault="00A173A8">
            <w:pPr>
              <w:spacing w:after="100"/>
              <w:rPr>
                <w:rFonts w:eastAsia="Times New Roman"/>
                <w:sz w:val="20"/>
                <w:szCs w:val="20"/>
              </w:rPr>
            </w:pPr>
          </w:p>
        </w:tc>
        <w:tc>
          <w:tcPr>
            <w:tcW w:w="5" w:type="pct"/>
            <w:vAlign w:val="center"/>
            <w:hideMark/>
          </w:tcPr>
          <w:p w14:paraId="04E1C742" w14:textId="77777777" w:rsidR="00000000" w:rsidRDefault="00A173A8">
            <w:pPr>
              <w:spacing w:after="100"/>
              <w:rPr>
                <w:rFonts w:eastAsia="Times New Roman"/>
                <w:sz w:val="20"/>
                <w:szCs w:val="20"/>
              </w:rPr>
            </w:pPr>
          </w:p>
        </w:tc>
        <w:tc>
          <w:tcPr>
            <w:tcW w:w="26" w:type="pct"/>
            <w:vAlign w:val="center"/>
            <w:hideMark/>
          </w:tcPr>
          <w:p w14:paraId="64A5D257" w14:textId="77777777" w:rsidR="00000000" w:rsidRDefault="00A173A8">
            <w:pPr>
              <w:spacing w:after="100"/>
              <w:rPr>
                <w:rFonts w:eastAsia="Times New Roman"/>
                <w:sz w:val="20"/>
                <w:szCs w:val="20"/>
              </w:rPr>
            </w:pPr>
          </w:p>
        </w:tc>
        <w:tc>
          <w:tcPr>
            <w:tcW w:w="5" w:type="pct"/>
            <w:vAlign w:val="center"/>
            <w:hideMark/>
          </w:tcPr>
          <w:p w14:paraId="4883499E" w14:textId="77777777" w:rsidR="00000000" w:rsidRDefault="00A173A8">
            <w:pPr>
              <w:spacing w:after="100"/>
              <w:rPr>
                <w:rFonts w:eastAsia="Times New Roman"/>
                <w:sz w:val="20"/>
                <w:szCs w:val="20"/>
              </w:rPr>
            </w:pPr>
          </w:p>
        </w:tc>
        <w:tc>
          <w:tcPr>
            <w:tcW w:w="50" w:type="pct"/>
            <w:vAlign w:val="center"/>
            <w:hideMark/>
          </w:tcPr>
          <w:p w14:paraId="6FAC0F75" w14:textId="77777777" w:rsidR="00000000" w:rsidRDefault="00A173A8">
            <w:pPr>
              <w:spacing w:after="100"/>
              <w:rPr>
                <w:rFonts w:eastAsia="Times New Roman"/>
                <w:sz w:val="20"/>
                <w:szCs w:val="20"/>
              </w:rPr>
            </w:pPr>
          </w:p>
        </w:tc>
        <w:tc>
          <w:tcPr>
            <w:tcW w:w="434" w:type="pct"/>
            <w:vAlign w:val="center"/>
            <w:hideMark/>
          </w:tcPr>
          <w:p w14:paraId="36D9EC46" w14:textId="77777777" w:rsidR="00000000" w:rsidRDefault="00A173A8">
            <w:pPr>
              <w:spacing w:after="100"/>
              <w:rPr>
                <w:rFonts w:eastAsia="Times New Roman"/>
                <w:sz w:val="20"/>
                <w:szCs w:val="20"/>
              </w:rPr>
            </w:pPr>
          </w:p>
        </w:tc>
        <w:tc>
          <w:tcPr>
            <w:tcW w:w="5" w:type="pct"/>
            <w:vAlign w:val="center"/>
            <w:hideMark/>
          </w:tcPr>
          <w:p w14:paraId="6149FB24" w14:textId="77777777" w:rsidR="00000000" w:rsidRDefault="00A173A8">
            <w:pPr>
              <w:spacing w:after="100"/>
              <w:rPr>
                <w:rFonts w:eastAsia="Times New Roman"/>
                <w:sz w:val="20"/>
                <w:szCs w:val="20"/>
              </w:rPr>
            </w:pPr>
          </w:p>
        </w:tc>
        <w:tc>
          <w:tcPr>
            <w:tcW w:w="5" w:type="pct"/>
            <w:vAlign w:val="center"/>
            <w:hideMark/>
          </w:tcPr>
          <w:p w14:paraId="6E347961" w14:textId="77777777" w:rsidR="00000000" w:rsidRDefault="00A173A8">
            <w:pPr>
              <w:spacing w:after="100"/>
              <w:rPr>
                <w:rFonts w:eastAsia="Times New Roman"/>
                <w:sz w:val="20"/>
                <w:szCs w:val="20"/>
              </w:rPr>
            </w:pPr>
          </w:p>
        </w:tc>
        <w:tc>
          <w:tcPr>
            <w:tcW w:w="26" w:type="pct"/>
            <w:vAlign w:val="center"/>
            <w:hideMark/>
          </w:tcPr>
          <w:p w14:paraId="6E216E41" w14:textId="77777777" w:rsidR="00000000" w:rsidRDefault="00A173A8">
            <w:pPr>
              <w:spacing w:after="100"/>
              <w:rPr>
                <w:rFonts w:eastAsia="Times New Roman"/>
                <w:sz w:val="20"/>
                <w:szCs w:val="20"/>
              </w:rPr>
            </w:pPr>
          </w:p>
        </w:tc>
        <w:tc>
          <w:tcPr>
            <w:tcW w:w="5" w:type="pct"/>
            <w:vAlign w:val="center"/>
            <w:hideMark/>
          </w:tcPr>
          <w:p w14:paraId="138FA2BC" w14:textId="77777777" w:rsidR="00000000" w:rsidRDefault="00A173A8">
            <w:pPr>
              <w:spacing w:after="100"/>
              <w:rPr>
                <w:rFonts w:eastAsia="Times New Roman"/>
                <w:sz w:val="20"/>
                <w:szCs w:val="20"/>
              </w:rPr>
            </w:pPr>
          </w:p>
        </w:tc>
        <w:tc>
          <w:tcPr>
            <w:tcW w:w="50" w:type="pct"/>
            <w:vAlign w:val="center"/>
            <w:hideMark/>
          </w:tcPr>
          <w:p w14:paraId="0862C82A" w14:textId="77777777" w:rsidR="00000000" w:rsidRDefault="00A173A8">
            <w:pPr>
              <w:spacing w:after="100"/>
              <w:rPr>
                <w:rFonts w:eastAsia="Times New Roman"/>
                <w:sz w:val="20"/>
                <w:szCs w:val="20"/>
              </w:rPr>
            </w:pPr>
          </w:p>
        </w:tc>
        <w:tc>
          <w:tcPr>
            <w:tcW w:w="434" w:type="pct"/>
            <w:vAlign w:val="center"/>
            <w:hideMark/>
          </w:tcPr>
          <w:p w14:paraId="50A599C5" w14:textId="77777777" w:rsidR="00000000" w:rsidRDefault="00A173A8">
            <w:pPr>
              <w:spacing w:after="100"/>
              <w:rPr>
                <w:rFonts w:eastAsia="Times New Roman"/>
                <w:sz w:val="20"/>
                <w:szCs w:val="20"/>
              </w:rPr>
            </w:pPr>
          </w:p>
        </w:tc>
        <w:tc>
          <w:tcPr>
            <w:tcW w:w="5" w:type="pct"/>
            <w:vAlign w:val="center"/>
            <w:hideMark/>
          </w:tcPr>
          <w:p w14:paraId="7C090257" w14:textId="77777777" w:rsidR="00000000" w:rsidRDefault="00A173A8">
            <w:pPr>
              <w:spacing w:after="100"/>
              <w:rPr>
                <w:rFonts w:eastAsia="Times New Roman"/>
                <w:sz w:val="20"/>
                <w:szCs w:val="20"/>
              </w:rPr>
            </w:pPr>
          </w:p>
        </w:tc>
        <w:tc>
          <w:tcPr>
            <w:tcW w:w="5" w:type="pct"/>
            <w:vAlign w:val="center"/>
            <w:hideMark/>
          </w:tcPr>
          <w:p w14:paraId="00ABB367" w14:textId="77777777" w:rsidR="00000000" w:rsidRDefault="00A173A8">
            <w:pPr>
              <w:spacing w:after="100"/>
              <w:rPr>
                <w:rFonts w:eastAsia="Times New Roman"/>
                <w:sz w:val="20"/>
                <w:szCs w:val="20"/>
              </w:rPr>
            </w:pPr>
          </w:p>
        </w:tc>
        <w:tc>
          <w:tcPr>
            <w:tcW w:w="26" w:type="pct"/>
            <w:vAlign w:val="center"/>
            <w:hideMark/>
          </w:tcPr>
          <w:p w14:paraId="560E2A31" w14:textId="77777777" w:rsidR="00000000" w:rsidRDefault="00A173A8">
            <w:pPr>
              <w:spacing w:after="100"/>
              <w:rPr>
                <w:rFonts w:eastAsia="Times New Roman"/>
                <w:sz w:val="20"/>
                <w:szCs w:val="20"/>
              </w:rPr>
            </w:pPr>
          </w:p>
        </w:tc>
        <w:tc>
          <w:tcPr>
            <w:tcW w:w="5" w:type="pct"/>
            <w:vAlign w:val="center"/>
            <w:hideMark/>
          </w:tcPr>
          <w:p w14:paraId="78758758" w14:textId="77777777" w:rsidR="00000000" w:rsidRDefault="00A173A8">
            <w:pPr>
              <w:spacing w:after="100"/>
              <w:rPr>
                <w:rFonts w:eastAsia="Times New Roman"/>
                <w:sz w:val="20"/>
                <w:szCs w:val="20"/>
              </w:rPr>
            </w:pPr>
          </w:p>
        </w:tc>
        <w:tc>
          <w:tcPr>
            <w:tcW w:w="50" w:type="pct"/>
            <w:vAlign w:val="center"/>
            <w:hideMark/>
          </w:tcPr>
          <w:p w14:paraId="4FD635B3" w14:textId="77777777" w:rsidR="00000000" w:rsidRDefault="00A173A8">
            <w:pPr>
              <w:spacing w:after="100"/>
              <w:rPr>
                <w:rFonts w:eastAsia="Times New Roman"/>
                <w:sz w:val="20"/>
                <w:szCs w:val="20"/>
              </w:rPr>
            </w:pPr>
          </w:p>
        </w:tc>
        <w:tc>
          <w:tcPr>
            <w:tcW w:w="434" w:type="pct"/>
            <w:vAlign w:val="center"/>
            <w:hideMark/>
          </w:tcPr>
          <w:p w14:paraId="67D7023F" w14:textId="77777777" w:rsidR="00000000" w:rsidRDefault="00A173A8">
            <w:pPr>
              <w:spacing w:after="100"/>
              <w:rPr>
                <w:rFonts w:eastAsia="Times New Roman"/>
                <w:sz w:val="20"/>
                <w:szCs w:val="20"/>
              </w:rPr>
            </w:pPr>
          </w:p>
        </w:tc>
        <w:tc>
          <w:tcPr>
            <w:tcW w:w="5" w:type="pct"/>
            <w:vAlign w:val="center"/>
            <w:hideMark/>
          </w:tcPr>
          <w:p w14:paraId="3E7E0C25" w14:textId="77777777" w:rsidR="00000000" w:rsidRDefault="00A173A8">
            <w:pPr>
              <w:spacing w:after="100"/>
              <w:rPr>
                <w:rFonts w:eastAsia="Times New Roman"/>
                <w:sz w:val="20"/>
                <w:szCs w:val="20"/>
              </w:rPr>
            </w:pPr>
          </w:p>
        </w:tc>
        <w:tc>
          <w:tcPr>
            <w:tcW w:w="5" w:type="pct"/>
            <w:vAlign w:val="center"/>
            <w:hideMark/>
          </w:tcPr>
          <w:p w14:paraId="04A4B871" w14:textId="77777777" w:rsidR="00000000" w:rsidRDefault="00A173A8">
            <w:pPr>
              <w:spacing w:after="100"/>
              <w:rPr>
                <w:rFonts w:eastAsia="Times New Roman"/>
                <w:sz w:val="20"/>
                <w:szCs w:val="20"/>
              </w:rPr>
            </w:pPr>
          </w:p>
        </w:tc>
        <w:tc>
          <w:tcPr>
            <w:tcW w:w="26" w:type="pct"/>
            <w:vAlign w:val="center"/>
            <w:hideMark/>
          </w:tcPr>
          <w:p w14:paraId="3E448817" w14:textId="77777777" w:rsidR="00000000" w:rsidRDefault="00A173A8">
            <w:pPr>
              <w:spacing w:after="100"/>
              <w:rPr>
                <w:rFonts w:eastAsia="Times New Roman"/>
                <w:sz w:val="20"/>
                <w:szCs w:val="20"/>
              </w:rPr>
            </w:pPr>
          </w:p>
        </w:tc>
        <w:tc>
          <w:tcPr>
            <w:tcW w:w="5" w:type="pct"/>
            <w:vAlign w:val="center"/>
            <w:hideMark/>
          </w:tcPr>
          <w:p w14:paraId="6625A74E" w14:textId="77777777" w:rsidR="00000000" w:rsidRDefault="00A173A8">
            <w:pPr>
              <w:spacing w:after="100"/>
              <w:rPr>
                <w:rFonts w:eastAsia="Times New Roman"/>
                <w:sz w:val="20"/>
                <w:szCs w:val="20"/>
              </w:rPr>
            </w:pPr>
          </w:p>
        </w:tc>
        <w:tc>
          <w:tcPr>
            <w:tcW w:w="0" w:type="auto"/>
            <w:vAlign w:val="center"/>
            <w:hideMark/>
          </w:tcPr>
          <w:p w14:paraId="4D904A14" w14:textId="77777777" w:rsidR="00000000" w:rsidRDefault="00A173A8">
            <w:pPr>
              <w:spacing w:after="100"/>
              <w:rPr>
                <w:rFonts w:eastAsia="Times New Roman"/>
                <w:sz w:val="20"/>
                <w:szCs w:val="20"/>
              </w:rPr>
            </w:pPr>
          </w:p>
        </w:tc>
        <w:tc>
          <w:tcPr>
            <w:tcW w:w="0" w:type="auto"/>
            <w:gridSpan w:val="3"/>
            <w:vAlign w:val="center"/>
            <w:hideMark/>
          </w:tcPr>
          <w:p w14:paraId="3376CCF0" w14:textId="77777777" w:rsidR="00000000" w:rsidRDefault="00A173A8">
            <w:pPr>
              <w:spacing w:after="100"/>
              <w:rPr>
                <w:rFonts w:eastAsia="Times New Roman"/>
                <w:sz w:val="20"/>
                <w:szCs w:val="20"/>
              </w:rPr>
            </w:pPr>
          </w:p>
        </w:tc>
        <w:tc>
          <w:tcPr>
            <w:tcW w:w="50" w:type="pct"/>
            <w:vAlign w:val="center"/>
            <w:hideMark/>
          </w:tcPr>
          <w:p w14:paraId="6FA0EDB3" w14:textId="77777777" w:rsidR="00000000" w:rsidRDefault="00A173A8">
            <w:pPr>
              <w:spacing w:after="100"/>
              <w:rPr>
                <w:rFonts w:eastAsia="Times New Roman"/>
                <w:sz w:val="20"/>
                <w:szCs w:val="20"/>
              </w:rPr>
            </w:pPr>
          </w:p>
        </w:tc>
        <w:tc>
          <w:tcPr>
            <w:tcW w:w="435" w:type="pct"/>
            <w:vAlign w:val="center"/>
            <w:hideMark/>
          </w:tcPr>
          <w:p w14:paraId="0BCBD60E" w14:textId="77777777" w:rsidR="00000000" w:rsidRDefault="00A173A8">
            <w:pPr>
              <w:spacing w:after="100"/>
              <w:rPr>
                <w:rFonts w:eastAsia="Times New Roman"/>
                <w:sz w:val="20"/>
                <w:szCs w:val="20"/>
              </w:rPr>
            </w:pPr>
          </w:p>
        </w:tc>
        <w:tc>
          <w:tcPr>
            <w:tcW w:w="5" w:type="pct"/>
            <w:vAlign w:val="center"/>
            <w:hideMark/>
          </w:tcPr>
          <w:p w14:paraId="25DF8B76" w14:textId="77777777" w:rsidR="00000000" w:rsidRDefault="00A173A8">
            <w:pPr>
              <w:spacing w:after="100"/>
              <w:rPr>
                <w:rFonts w:eastAsia="Times New Roman"/>
                <w:sz w:val="20"/>
                <w:szCs w:val="20"/>
              </w:rPr>
            </w:pPr>
          </w:p>
        </w:tc>
      </w:tr>
      <w:tr w:rsidR="00000000" w14:paraId="1201A33F" w14:textId="77777777">
        <w:trPr>
          <w:divId w:val="1247809577"/>
        </w:trPr>
        <w:tc>
          <w:tcPr>
            <w:tcW w:w="0" w:type="auto"/>
            <w:gridSpan w:val="3"/>
            <w:tcMar>
              <w:top w:w="0" w:type="dxa"/>
              <w:left w:w="20" w:type="dxa"/>
              <w:bottom w:w="0" w:type="dxa"/>
              <w:right w:w="20" w:type="dxa"/>
            </w:tcMar>
            <w:vAlign w:val="center"/>
            <w:hideMark/>
          </w:tcPr>
          <w:p w14:paraId="78619E9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0F32D8" w14:textId="77777777" w:rsidR="00000000" w:rsidRDefault="00A173A8">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661E76B0" w14:textId="77777777" w:rsidR="00000000" w:rsidRDefault="00A173A8">
            <w:pPr>
              <w:spacing w:after="100"/>
              <w:jc w:val="center"/>
              <w:rPr>
                <w:rFonts w:eastAsia="Times New Roman"/>
              </w:rPr>
            </w:pPr>
            <w:r>
              <w:rPr>
                <w:rFonts w:eastAsia="Times New Roman"/>
                <w:b/>
                <w:bCs/>
                <w:color w:val="000000"/>
                <w:sz w:val="16"/>
                <w:szCs w:val="16"/>
              </w:rPr>
              <w:t>Three Months Ended June 30, 2022</w:t>
            </w:r>
          </w:p>
        </w:tc>
        <w:tc>
          <w:tcPr>
            <w:tcW w:w="0" w:type="auto"/>
            <w:vAlign w:val="center"/>
            <w:hideMark/>
          </w:tcPr>
          <w:p w14:paraId="39BC1F32" w14:textId="77777777" w:rsidR="00000000" w:rsidRDefault="00A173A8">
            <w:pPr>
              <w:spacing w:after="100"/>
              <w:rPr>
                <w:rFonts w:eastAsia="Times New Roman"/>
                <w:sz w:val="20"/>
                <w:szCs w:val="20"/>
              </w:rPr>
            </w:pPr>
          </w:p>
        </w:tc>
        <w:tc>
          <w:tcPr>
            <w:tcW w:w="0" w:type="auto"/>
            <w:vAlign w:val="center"/>
            <w:hideMark/>
          </w:tcPr>
          <w:p w14:paraId="0105922A" w14:textId="77777777" w:rsidR="00000000" w:rsidRDefault="00A173A8">
            <w:pPr>
              <w:spacing w:after="100"/>
              <w:rPr>
                <w:rFonts w:eastAsia="Times New Roman"/>
                <w:sz w:val="20"/>
                <w:szCs w:val="20"/>
              </w:rPr>
            </w:pPr>
          </w:p>
        </w:tc>
        <w:tc>
          <w:tcPr>
            <w:tcW w:w="0" w:type="auto"/>
            <w:vAlign w:val="center"/>
            <w:hideMark/>
          </w:tcPr>
          <w:p w14:paraId="4DC5164C" w14:textId="77777777" w:rsidR="00000000" w:rsidRDefault="00A173A8">
            <w:pPr>
              <w:spacing w:after="100"/>
              <w:rPr>
                <w:rFonts w:eastAsia="Times New Roman"/>
                <w:sz w:val="20"/>
                <w:szCs w:val="20"/>
              </w:rPr>
            </w:pPr>
          </w:p>
        </w:tc>
        <w:tc>
          <w:tcPr>
            <w:tcW w:w="0" w:type="auto"/>
            <w:vAlign w:val="center"/>
            <w:hideMark/>
          </w:tcPr>
          <w:p w14:paraId="1CF52E90" w14:textId="77777777" w:rsidR="00000000" w:rsidRDefault="00A173A8">
            <w:pPr>
              <w:spacing w:after="100"/>
              <w:rPr>
                <w:rFonts w:eastAsia="Times New Roman"/>
                <w:sz w:val="20"/>
                <w:szCs w:val="20"/>
              </w:rPr>
            </w:pPr>
          </w:p>
        </w:tc>
        <w:tc>
          <w:tcPr>
            <w:tcW w:w="0" w:type="auto"/>
            <w:vAlign w:val="center"/>
            <w:hideMark/>
          </w:tcPr>
          <w:p w14:paraId="05081E29" w14:textId="77777777" w:rsidR="00000000" w:rsidRDefault="00A173A8">
            <w:pPr>
              <w:spacing w:after="100"/>
              <w:rPr>
                <w:rFonts w:eastAsia="Times New Roman"/>
                <w:sz w:val="20"/>
                <w:szCs w:val="20"/>
              </w:rPr>
            </w:pPr>
          </w:p>
        </w:tc>
        <w:tc>
          <w:tcPr>
            <w:tcW w:w="0" w:type="auto"/>
            <w:vAlign w:val="center"/>
            <w:hideMark/>
          </w:tcPr>
          <w:p w14:paraId="2379C830" w14:textId="77777777" w:rsidR="00000000" w:rsidRDefault="00A173A8">
            <w:pPr>
              <w:spacing w:after="100"/>
              <w:rPr>
                <w:rFonts w:eastAsia="Times New Roman"/>
                <w:sz w:val="20"/>
                <w:szCs w:val="20"/>
              </w:rPr>
            </w:pPr>
          </w:p>
        </w:tc>
      </w:tr>
      <w:tr w:rsidR="00000000" w14:paraId="0B6F9606" w14:textId="77777777">
        <w:trPr>
          <w:divId w:val="1247809577"/>
        </w:trPr>
        <w:tc>
          <w:tcPr>
            <w:tcW w:w="0" w:type="auto"/>
            <w:gridSpan w:val="3"/>
            <w:tcBorders>
              <w:bottom w:val="single" w:sz="8" w:space="0" w:color="000000"/>
            </w:tcBorders>
            <w:tcMar>
              <w:top w:w="30" w:type="dxa"/>
              <w:left w:w="20" w:type="dxa"/>
              <w:bottom w:w="30" w:type="dxa"/>
              <w:right w:w="20" w:type="dxa"/>
            </w:tcMar>
            <w:vAlign w:val="bottom"/>
            <w:hideMark/>
          </w:tcPr>
          <w:p w14:paraId="63E05824"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0A23605"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9FF2898"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2CC533B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45D23C2"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2431992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DCC3DB0" w14:textId="77777777" w:rsidR="00000000" w:rsidRDefault="00A173A8">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3F675357" w14:textId="77777777" w:rsidR="00000000" w:rsidRDefault="00A173A8">
            <w:pPr>
              <w:spacing w:after="100"/>
              <w:jc w:val="center"/>
              <w:rPr>
                <w:rFonts w:eastAsia="Times New Roman"/>
              </w:rPr>
            </w:pPr>
          </w:p>
        </w:tc>
        <w:tc>
          <w:tcPr>
            <w:tcW w:w="0" w:type="auto"/>
            <w:vAlign w:val="center"/>
            <w:hideMark/>
          </w:tcPr>
          <w:p w14:paraId="79F5189A" w14:textId="77777777" w:rsidR="00000000" w:rsidRDefault="00A173A8">
            <w:pPr>
              <w:spacing w:after="100"/>
              <w:rPr>
                <w:rFonts w:eastAsia="Times New Roman"/>
                <w:sz w:val="20"/>
                <w:szCs w:val="20"/>
              </w:rPr>
            </w:pPr>
          </w:p>
        </w:tc>
        <w:tc>
          <w:tcPr>
            <w:tcW w:w="0" w:type="auto"/>
            <w:gridSpan w:val="3"/>
            <w:vAlign w:val="center"/>
            <w:hideMark/>
          </w:tcPr>
          <w:p w14:paraId="4ABDD0A5"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FA17CA"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3B22D9B6" w14:textId="77777777">
        <w:trPr>
          <w:divId w:val="12478095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2DB1E8C" w14:textId="77777777" w:rsidR="00000000" w:rsidRDefault="00A173A8">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3B2FCDCE"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F735B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D4C48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849CC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8046E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2DE5D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D81B1C" w14:textId="77777777" w:rsidR="00000000" w:rsidRDefault="00A173A8">
            <w:pPr>
              <w:spacing w:after="100"/>
              <w:rPr>
                <w:rFonts w:eastAsia="Times New Roman"/>
                <w:sz w:val="20"/>
                <w:szCs w:val="20"/>
              </w:rPr>
            </w:pPr>
          </w:p>
        </w:tc>
        <w:tc>
          <w:tcPr>
            <w:tcW w:w="0" w:type="auto"/>
            <w:vAlign w:val="center"/>
            <w:hideMark/>
          </w:tcPr>
          <w:p w14:paraId="3894FA7B" w14:textId="77777777" w:rsidR="00000000" w:rsidRDefault="00A173A8">
            <w:pPr>
              <w:spacing w:after="100"/>
              <w:rPr>
                <w:rFonts w:eastAsia="Times New Roman"/>
                <w:sz w:val="20"/>
                <w:szCs w:val="20"/>
              </w:rPr>
            </w:pPr>
          </w:p>
        </w:tc>
        <w:tc>
          <w:tcPr>
            <w:tcW w:w="0" w:type="auto"/>
            <w:gridSpan w:val="3"/>
            <w:vAlign w:val="center"/>
            <w:hideMark/>
          </w:tcPr>
          <w:p w14:paraId="465A1D8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2B532F" w14:textId="77777777" w:rsidR="00000000" w:rsidRDefault="00A173A8">
            <w:pPr>
              <w:spacing w:after="100"/>
              <w:rPr>
                <w:rFonts w:eastAsia="Times New Roman"/>
                <w:sz w:val="20"/>
                <w:szCs w:val="20"/>
              </w:rPr>
            </w:pPr>
          </w:p>
        </w:tc>
      </w:tr>
      <w:tr w:rsidR="00000000" w14:paraId="2BD07C7A" w14:textId="77777777">
        <w:trPr>
          <w:divId w:val="1247809577"/>
        </w:trPr>
        <w:tc>
          <w:tcPr>
            <w:tcW w:w="0" w:type="auto"/>
            <w:gridSpan w:val="3"/>
            <w:shd w:val="clear" w:color="auto" w:fill="FFFFFF"/>
            <w:tcMar>
              <w:top w:w="30" w:type="dxa"/>
              <w:left w:w="20" w:type="dxa"/>
              <w:bottom w:w="30" w:type="dxa"/>
              <w:right w:w="20" w:type="dxa"/>
            </w:tcMar>
            <w:vAlign w:val="bottom"/>
            <w:hideMark/>
          </w:tcPr>
          <w:p w14:paraId="4306F854" w14:textId="77777777" w:rsidR="00000000" w:rsidRDefault="00A173A8">
            <w:pPr>
              <w:spacing w:after="100"/>
              <w:rPr>
                <w:rFonts w:eastAsia="Times New Roman"/>
              </w:rPr>
            </w:pPr>
            <w:r>
              <w:rPr>
                <w:rFonts w:eastAsia="Times New Roman"/>
                <w:color w:val="000000"/>
                <w:sz w:val="18"/>
                <w:szCs w:val="18"/>
              </w:rPr>
              <w:t>Balance as of March 31, 2022</w:t>
            </w:r>
          </w:p>
        </w:tc>
        <w:tc>
          <w:tcPr>
            <w:tcW w:w="0" w:type="auto"/>
            <w:gridSpan w:val="3"/>
            <w:shd w:val="clear" w:color="auto" w:fill="FFFFFF"/>
            <w:tcMar>
              <w:top w:w="0" w:type="dxa"/>
              <w:left w:w="20" w:type="dxa"/>
              <w:bottom w:w="0" w:type="dxa"/>
              <w:right w:w="20" w:type="dxa"/>
            </w:tcMar>
            <w:vAlign w:val="center"/>
            <w:hideMark/>
          </w:tcPr>
          <w:p w14:paraId="7D7186DA"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74F5F52"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B0885AA" w14:textId="77777777" w:rsidR="00000000" w:rsidRDefault="00A173A8">
            <w:pPr>
              <w:spacing w:after="100"/>
              <w:jc w:val="right"/>
              <w:rPr>
                <w:rFonts w:eastAsia="Times New Roman"/>
              </w:rPr>
            </w:pPr>
            <w:r>
              <w:rPr>
                <w:rFonts w:eastAsia="Times New Roman"/>
                <w:color w:val="000000"/>
                <w:sz w:val="18"/>
                <w:szCs w:val="18"/>
              </w:rPr>
              <w:t>8,280 </w:t>
            </w:r>
          </w:p>
        </w:tc>
        <w:tc>
          <w:tcPr>
            <w:tcW w:w="0" w:type="auto"/>
            <w:shd w:val="clear" w:color="auto" w:fill="FFFFFF"/>
            <w:tcMar>
              <w:top w:w="30" w:type="dxa"/>
              <w:left w:w="0" w:type="dxa"/>
              <w:bottom w:w="30" w:type="dxa"/>
              <w:right w:w="20" w:type="dxa"/>
            </w:tcMar>
            <w:vAlign w:val="center"/>
            <w:hideMark/>
          </w:tcPr>
          <w:p w14:paraId="60FC79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BD3E6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70F6B8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59CF4C7" w14:textId="77777777" w:rsidR="00000000" w:rsidRDefault="00A173A8">
            <w:pPr>
              <w:spacing w:after="100"/>
              <w:jc w:val="right"/>
              <w:rPr>
                <w:rFonts w:eastAsia="Times New Roman"/>
              </w:rPr>
            </w:pPr>
            <w:r>
              <w:rPr>
                <w:rFonts w:eastAsia="Times New Roman"/>
                <w:color w:val="000000"/>
                <w:sz w:val="18"/>
                <w:szCs w:val="18"/>
              </w:rPr>
              <w:t>1,902 </w:t>
            </w:r>
          </w:p>
        </w:tc>
        <w:tc>
          <w:tcPr>
            <w:tcW w:w="0" w:type="auto"/>
            <w:shd w:val="clear" w:color="auto" w:fill="FFFFFF"/>
            <w:tcMar>
              <w:top w:w="30" w:type="dxa"/>
              <w:left w:w="0" w:type="dxa"/>
              <w:bottom w:w="30" w:type="dxa"/>
              <w:right w:w="20" w:type="dxa"/>
            </w:tcMar>
            <w:vAlign w:val="center"/>
            <w:hideMark/>
          </w:tcPr>
          <w:p w14:paraId="2167753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08DA2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3A6113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4EE446B" w14:textId="77777777" w:rsidR="00000000" w:rsidRDefault="00A173A8">
            <w:pPr>
              <w:spacing w:after="100"/>
              <w:jc w:val="right"/>
              <w:rPr>
                <w:rFonts w:eastAsia="Times New Roman"/>
              </w:rPr>
            </w:pPr>
            <w:r>
              <w:rPr>
                <w:rFonts w:eastAsia="Times New Roman"/>
                <w:color w:val="000000"/>
                <w:sz w:val="18"/>
                <w:szCs w:val="18"/>
              </w:rPr>
              <w:t>1,126 </w:t>
            </w:r>
          </w:p>
        </w:tc>
        <w:tc>
          <w:tcPr>
            <w:tcW w:w="0" w:type="auto"/>
            <w:shd w:val="clear" w:color="auto" w:fill="FFFFFF"/>
            <w:tcMar>
              <w:top w:w="30" w:type="dxa"/>
              <w:left w:w="0" w:type="dxa"/>
              <w:bottom w:w="30" w:type="dxa"/>
              <w:right w:w="20" w:type="dxa"/>
            </w:tcMar>
            <w:vAlign w:val="center"/>
            <w:hideMark/>
          </w:tcPr>
          <w:p w14:paraId="13C3788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329E8" w14:textId="77777777" w:rsidR="00000000" w:rsidRDefault="00A173A8">
            <w:pPr>
              <w:spacing w:after="100"/>
              <w:jc w:val="right"/>
              <w:rPr>
                <w:rFonts w:eastAsia="Times New Roman"/>
                <w:sz w:val="20"/>
                <w:szCs w:val="20"/>
              </w:rPr>
            </w:pPr>
          </w:p>
        </w:tc>
        <w:tc>
          <w:tcPr>
            <w:tcW w:w="0" w:type="auto"/>
            <w:vAlign w:val="center"/>
            <w:hideMark/>
          </w:tcPr>
          <w:p w14:paraId="279B8DD6" w14:textId="77777777" w:rsidR="00000000" w:rsidRDefault="00A173A8">
            <w:pPr>
              <w:spacing w:after="100"/>
              <w:rPr>
                <w:rFonts w:eastAsia="Times New Roman"/>
                <w:sz w:val="20"/>
                <w:szCs w:val="20"/>
              </w:rPr>
            </w:pPr>
          </w:p>
        </w:tc>
        <w:tc>
          <w:tcPr>
            <w:tcW w:w="0" w:type="auto"/>
            <w:gridSpan w:val="3"/>
            <w:vAlign w:val="center"/>
            <w:hideMark/>
          </w:tcPr>
          <w:p w14:paraId="159D1B71" w14:textId="77777777" w:rsidR="00000000" w:rsidRDefault="00A173A8">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7328994"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8D4D033" w14:textId="77777777" w:rsidR="00000000" w:rsidRDefault="00A173A8">
            <w:pPr>
              <w:spacing w:after="100"/>
              <w:jc w:val="right"/>
              <w:rPr>
                <w:rFonts w:eastAsia="Times New Roman"/>
              </w:rPr>
            </w:pPr>
            <w:r>
              <w:rPr>
                <w:rFonts w:eastAsia="Times New Roman"/>
                <w:color w:val="000000"/>
                <w:sz w:val="18"/>
                <w:szCs w:val="18"/>
              </w:rPr>
              <w:t>11,308 </w:t>
            </w:r>
          </w:p>
        </w:tc>
        <w:tc>
          <w:tcPr>
            <w:tcW w:w="0" w:type="auto"/>
            <w:shd w:val="clear" w:color="auto" w:fill="FFFFFF"/>
            <w:tcMar>
              <w:top w:w="30" w:type="dxa"/>
              <w:left w:w="0" w:type="dxa"/>
              <w:bottom w:w="30" w:type="dxa"/>
              <w:right w:w="20" w:type="dxa"/>
            </w:tcMar>
            <w:vAlign w:val="center"/>
            <w:hideMark/>
          </w:tcPr>
          <w:p w14:paraId="174421C7" w14:textId="77777777" w:rsidR="00000000" w:rsidRDefault="00A173A8">
            <w:pPr>
              <w:spacing w:after="100"/>
              <w:jc w:val="right"/>
              <w:rPr>
                <w:rFonts w:eastAsia="Times New Roman"/>
              </w:rPr>
            </w:pPr>
          </w:p>
        </w:tc>
      </w:tr>
      <w:tr w:rsidR="00000000" w14:paraId="0FA5DE0B" w14:textId="77777777">
        <w:trPr>
          <w:divId w:val="1247809577"/>
        </w:trPr>
        <w:tc>
          <w:tcPr>
            <w:tcW w:w="0" w:type="auto"/>
            <w:gridSpan w:val="3"/>
            <w:shd w:val="clear" w:color="auto" w:fill="CCEEFF"/>
            <w:tcMar>
              <w:top w:w="30" w:type="dxa"/>
              <w:left w:w="20" w:type="dxa"/>
              <w:bottom w:w="30" w:type="dxa"/>
              <w:right w:w="20" w:type="dxa"/>
            </w:tcMar>
            <w:vAlign w:val="center"/>
            <w:hideMark/>
          </w:tcPr>
          <w:p w14:paraId="78441C19" w14:textId="77777777" w:rsidR="00000000" w:rsidRDefault="00A173A8">
            <w:pPr>
              <w:spacing w:after="100"/>
              <w:divId w:val="1213269958"/>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67F6EBB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6BE607F" w14:textId="77777777" w:rsidR="00000000" w:rsidRDefault="00A173A8">
            <w:pPr>
              <w:spacing w:after="100"/>
              <w:jc w:val="right"/>
              <w:rPr>
                <w:rFonts w:eastAsia="Times New Roman"/>
              </w:rPr>
            </w:pPr>
            <w:r>
              <w:rPr>
                <w:rFonts w:eastAsia="Times New Roman"/>
                <w:b/>
                <w:bCs/>
                <w:color w:val="000000"/>
                <w:sz w:val="18"/>
                <w:szCs w:val="18"/>
              </w:rPr>
              <w:t>(1,009)</w:t>
            </w:r>
          </w:p>
        </w:tc>
        <w:tc>
          <w:tcPr>
            <w:tcW w:w="0" w:type="auto"/>
            <w:shd w:val="clear" w:color="auto" w:fill="CCEEFF"/>
            <w:tcMar>
              <w:top w:w="30" w:type="dxa"/>
              <w:left w:w="0" w:type="dxa"/>
              <w:bottom w:w="30" w:type="dxa"/>
              <w:right w:w="20" w:type="dxa"/>
            </w:tcMar>
            <w:vAlign w:val="center"/>
            <w:hideMark/>
          </w:tcPr>
          <w:p w14:paraId="5088896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C272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4620B6" w14:textId="77777777" w:rsidR="00000000" w:rsidRDefault="00A173A8">
            <w:pPr>
              <w:spacing w:after="100"/>
              <w:jc w:val="right"/>
              <w:rPr>
                <w:rFonts w:eastAsia="Times New Roman"/>
              </w:rPr>
            </w:pPr>
            <w:r>
              <w:rPr>
                <w:rFonts w:eastAsia="Times New Roman"/>
                <w:b/>
                <w:bCs/>
                <w:color w:val="000000"/>
                <w:sz w:val="18"/>
                <w:szCs w:val="18"/>
              </w:rPr>
              <w:t>(331)</w:t>
            </w:r>
          </w:p>
        </w:tc>
        <w:tc>
          <w:tcPr>
            <w:tcW w:w="0" w:type="auto"/>
            <w:shd w:val="clear" w:color="auto" w:fill="CCEEFF"/>
            <w:tcMar>
              <w:top w:w="30" w:type="dxa"/>
              <w:left w:w="0" w:type="dxa"/>
              <w:bottom w:w="30" w:type="dxa"/>
              <w:right w:w="20" w:type="dxa"/>
            </w:tcMar>
            <w:vAlign w:val="center"/>
            <w:hideMark/>
          </w:tcPr>
          <w:p w14:paraId="1F61CC6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B163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BFCF17" w14:textId="77777777" w:rsidR="00000000" w:rsidRDefault="00A173A8">
            <w:pPr>
              <w:spacing w:after="100"/>
              <w:jc w:val="right"/>
              <w:rPr>
                <w:rFonts w:eastAsia="Times New Roman"/>
              </w:rPr>
            </w:pPr>
            <w:r>
              <w:rPr>
                <w:rFonts w:eastAsia="Times New Roman"/>
                <w:b/>
                <w:bCs/>
                <w:color w:val="000000"/>
                <w:sz w:val="18"/>
                <w:szCs w:val="18"/>
              </w:rPr>
              <w:t>(43)</w:t>
            </w:r>
          </w:p>
        </w:tc>
        <w:tc>
          <w:tcPr>
            <w:tcW w:w="0" w:type="auto"/>
            <w:shd w:val="clear" w:color="auto" w:fill="CCEEFF"/>
            <w:tcMar>
              <w:top w:w="30" w:type="dxa"/>
              <w:left w:w="0" w:type="dxa"/>
              <w:bottom w:w="30" w:type="dxa"/>
              <w:right w:w="20" w:type="dxa"/>
            </w:tcMar>
            <w:vAlign w:val="center"/>
            <w:hideMark/>
          </w:tcPr>
          <w:p w14:paraId="2778650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C93FF8" w14:textId="77777777" w:rsidR="00000000" w:rsidRDefault="00A173A8">
            <w:pPr>
              <w:spacing w:after="100"/>
              <w:jc w:val="right"/>
              <w:rPr>
                <w:rFonts w:eastAsia="Times New Roman"/>
                <w:sz w:val="20"/>
                <w:szCs w:val="20"/>
              </w:rPr>
            </w:pPr>
          </w:p>
        </w:tc>
        <w:tc>
          <w:tcPr>
            <w:tcW w:w="0" w:type="auto"/>
            <w:vAlign w:val="center"/>
            <w:hideMark/>
          </w:tcPr>
          <w:p w14:paraId="53A7F94A" w14:textId="77777777" w:rsidR="00000000" w:rsidRDefault="00A173A8">
            <w:pPr>
              <w:spacing w:after="100"/>
              <w:rPr>
                <w:rFonts w:eastAsia="Times New Roman"/>
                <w:sz w:val="20"/>
                <w:szCs w:val="20"/>
              </w:rPr>
            </w:pPr>
          </w:p>
        </w:tc>
        <w:tc>
          <w:tcPr>
            <w:tcW w:w="0" w:type="auto"/>
            <w:gridSpan w:val="3"/>
            <w:vAlign w:val="center"/>
            <w:hideMark/>
          </w:tcPr>
          <w:p w14:paraId="6E1370CF"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DBA8BC" w14:textId="77777777" w:rsidR="00000000" w:rsidRDefault="00A173A8">
            <w:pPr>
              <w:spacing w:after="100"/>
              <w:jc w:val="right"/>
              <w:rPr>
                <w:rFonts w:eastAsia="Times New Roman"/>
              </w:rPr>
            </w:pPr>
            <w:r>
              <w:rPr>
                <w:rFonts w:eastAsia="Times New Roman"/>
                <w:b/>
                <w:bCs/>
                <w:color w:val="000000"/>
                <w:sz w:val="18"/>
                <w:szCs w:val="18"/>
              </w:rPr>
              <w:t>(1,383)</w:t>
            </w:r>
          </w:p>
        </w:tc>
        <w:tc>
          <w:tcPr>
            <w:tcW w:w="0" w:type="auto"/>
            <w:shd w:val="clear" w:color="auto" w:fill="CCEEFF"/>
            <w:tcMar>
              <w:top w:w="30" w:type="dxa"/>
              <w:left w:w="0" w:type="dxa"/>
              <w:bottom w:w="30" w:type="dxa"/>
              <w:right w:w="20" w:type="dxa"/>
            </w:tcMar>
            <w:vAlign w:val="center"/>
            <w:hideMark/>
          </w:tcPr>
          <w:p w14:paraId="57E53818" w14:textId="77777777" w:rsidR="00000000" w:rsidRDefault="00A173A8">
            <w:pPr>
              <w:spacing w:after="100"/>
              <w:jc w:val="right"/>
              <w:rPr>
                <w:rFonts w:eastAsia="Times New Roman"/>
              </w:rPr>
            </w:pPr>
          </w:p>
        </w:tc>
      </w:tr>
      <w:tr w:rsidR="00000000" w14:paraId="5E46FF18" w14:textId="77777777">
        <w:trPr>
          <w:divId w:val="1247809577"/>
        </w:trPr>
        <w:tc>
          <w:tcPr>
            <w:tcW w:w="0" w:type="auto"/>
            <w:gridSpan w:val="3"/>
            <w:shd w:val="clear" w:color="auto" w:fill="FFFFFF"/>
            <w:tcMar>
              <w:top w:w="30" w:type="dxa"/>
              <w:left w:w="20" w:type="dxa"/>
              <w:bottom w:w="30" w:type="dxa"/>
              <w:right w:w="20" w:type="dxa"/>
            </w:tcMar>
            <w:vAlign w:val="center"/>
            <w:hideMark/>
          </w:tcPr>
          <w:p w14:paraId="6943FFFE" w14:textId="77777777" w:rsidR="00000000" w:rsidRDefault="00A173A8">
            <w:pPr>
              <w:spacing w:after="100"/>
              <w:divId w:val="981695263"/>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0C0B5B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C085D1D" w14:textId="77777777" w:rsidR="00000000" w:rsidRDefault="00A173A8">
            <w:pPr>
              <w:spacing w:after="100"/>
              <w:jc w:val="right"/>
              <w:rPr>
                <w:rFonts w:eastAsia="Times New Roman"/>
              </w:rPr>
            </w:pPr>
            <w:r>
              <w:rPr>
                <w:rFonts w:eastAsia="Times New Roman"/>
                <w:b/>
                <w:bCs/>
                <w:color w:val="000000"/>
                <w:sz w:val="18"/>
                <w:szCs w:val="18"/>
              </w:rPr>
              <w:t>331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7E8F2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7731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F6285F" w14:textId="77777777" w:rsidR="00000000" w:rsidRDefault="00A173A8">
            <w:pPr>
              <w:spacing w:after="100"/>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6778C2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4833C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F7D01C" w14:textId="77777777" w:rsidR="00000000" w:rsidRDefault="00A173A8">
            <w:pPr>
              <w:spacing w:after="100"/>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4F782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65D82" w14:textId="77777777" w:rsidR="00000000" w:rsidRDefault="00A173A8">
            <w:pPr>
              <w:spacing w:after="100"/>
              <w:jc w:val="right"/>
              <w:rPr>
                <w:rFonts w:eastAsia="Times New Roman"/>
                <w:sz w:val="20"/>
                <w:szCs w:val="20"/>
              </w:rPr>
            </w:pPr>
          </w:p>
        </w:tc>
        <w:tc>
          <w:tcPr>
            <w:tcW w:w="0" w:type="auto"/>
            <w:vAlign w:val="center"/>
            <w:hideMark/>
          </w:tcPr>
          <w:p w14:paraId="647E240F" w14:textId="77777777" w:rsidR="00000000" w:rsidRDefault="00A173A8">
            <w:pPr>
              <w:spacing w:after="100"/>
              <w:rPr>
                <w:rFonts w:eastAsia="Times New Roman"/>
                <w:sz w:val="20"/>
                <w:szCs w:val="20"/>
              </w:rPr>
            </w:pPr>
          </w:p>
        </w:tc>
        <w:tc>
          <w:tcPr>
            <w:tcW w:w="0" w:type="auto"/>
            <w:gridSpan w:val="3"/>
            <w:vAlign w:val="center"/>
            <w:hideMark/>
          </w:tcPr>
          <w:p w14:paraId="563A3980"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BCCC7A" w14:textId="77777777" w:rsidR="00000000" w:rsidRDefault="00A173A8">
            <w:pPr>
              <w:spacing w:after="100"/>
              <w:jc w:val="right"/>
              <w:rPr>
                <w:rFonts w:eastAsia="Times New Roman"/>
              </w:rPr>
            </w:pPr>
            <w:r>
              <w:rPr>
                <w:rFonts w:eastAsia="Times New Roman"/>
                <w:b/>
                <w:bCs/>
                <w:color w:val="000000"/>
                <w:sz w:val="18"/>
                <w:szCs w:val="18"/>
              </w:rPr>
              <w:t>538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FFD2A27" w14:textId="77777777" w:rsidR="00000000" w:rsidRDefault="00A173A8">
            <w:pPr>
              <w:spacing w:after="100"/>
              <w:jc w:val="right"/>
              <w:rPr>
                <w:rFonts w:eastAsia="Times New Roman"/>
              </w:rPr>
            </w:pPr>
          </w:p>
        </w:tc>
      </w:tr>
      <w:tr w:rsidR="00000000" w14:paraId="341E8B7C" w14:textId="77777777">
        <w:trPr>
          <w:divId w:val="1247809577"/>
        </w:trPr>
        <w:tc>
          <w:tcPr>
            <w:tcW w:w="0" w:type="auto"/>
            <w:gridSpan w:val="3"/>
            <w:shd w:val="clear" w:color="auto" w:fill="CCEEFF"/>
            <w:tcMar>
              <w:top w:w="30" w:type="dxa"/>
              <w:left w:w="20" w:type="dxa"/>
              <w:bottom w:w="30" w:type="dxa"/>
              <w:right w:w="20" w:type="dxa"/>
            </w:tcMar>
            <w:vAlign w:val="center"/>
            <w:hideMark/>
          </w:tcPr>
          <w:p w14:paraId="64B52F55" w14:textId="77777777" w:rsidR="00000000" w:rsidRDefault="00A173A8">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14:paraId="15E5B423"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3C578B" w14:textId="77777777" w:rsidR="00000000" w:rsidRDefault="00A173A8">
            <w:pPr>
              <w:spacing w:after="100"/>
              <w:jc w:val="right"/>
              <w:rPr>
                <w:rFonts w:eastAsia="Times New Roman"/>
              </w:rPr>
            </w:pPr>
            <w:r>
              <w:rPr>
                <w:rFonts w:eastAsia="Times New Roman"/>
                <w:b/>
                <w:bCs/>
                <w:color w:val="000000"/>
                <w:sz w:val="18"/>
                <w:szCs w:val="18"/>
              </w:rPr>
              <w:t>(678)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DF7252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8D86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471D635" w14:textId="77777777" w:rsidR="00000000" w:rsidRDefault="00A173A8">
            <w:pPr>
              <w:spacing w:after="100"/>
              <w:jc w:val="right"/>
              <w:rPr>
                <w:rFonts w:eastAsia="Times New Roman"/>
              </w:rPr>
            </w:pPr>
            <w:r>
              <w:rPr>
                <w:rFonts w:eastAsia="Times New Roman"/>
                <w:b/>
                <w:bCs/>
                <w:color w:val="000000"/>
                <w:sz w:val="18"/>
                <w:szCs w:val="18"/>
              </w:rPr>
              <w:t>(136)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E33887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08306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369997" w14:textId="77777777" w:rsidR="00000000" w:rsidRDefault="00A173A8">
            <w:pPr>
              <w:spacing w:after="100"/>
              <w:jc w:val="right"/>
              <w:rPr>
                <w:rFonts w:eastAsia="Times New Roman"/>
              </w:rPr>
            </w:pPr>
            <w:r>
              <w:rPr>
                <w:rFonts w:eastAsia="Times New Roman"/>
                <w:b/>
                <w:bCs/>
                <w:color w:val="000000"/>
                <w:sz w:val="18"/>
                <w:szCs w:val="18"/>
              </w:rPr>
              <w:t>(31)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AF27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92857" w14:textId="77777777" w:rsidR="00000000" w:rsidRDefault="00A173A8">
            <w:pPr>
              <w:spacing w:after="100"/>
              <w:jc w:val="right"/>
              <w:rPr>
                <w:rFonts w:eastAsia="Times New Roman"/>
                <w:sz w:val="20"/>
                <w:szCs w:val="20"/>
              </w:rPr>
            </w:pPr>
          </w:p>
        </w:tc>
        <w:tc>
          <w:tcPr>
            <w:tcW w:w="0" w:type="auto"/>
            <w:vAlign w:val="center"/>
            <w:hideMark/>
          </w:tcPr>
          <w:p w14:paraId="7EDD68F8" w14:textId="77777777" w:rsidR="00000000" w:rsidRDefault="00A173A8">
            <w:pPr>
              <w:spacing w:after="100"/>
              <w:rPr>
                <w:rFonts w:eastAsia="Times New Roman"/>
                <w:sz w:val="20"/>
                <w:szCs w:val="20"/>
              </w:rPr>
            </w:pPr>
          </w:p>
        </w:tc>
        <w:tc>
          <w:tcPr>
            <w:tcW w:w="0" w:type="auto"/>
            <w:gridSpan w:val="3"/>
            <w:vAlign w:val="center"/>
            <w:hideMark/>
          </w:tcPr>
          <w:p w14:paraId="0F10EA5B"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6FB6D11" w14:textId="77777777" w:rsidR="00000000" w:rsidRDefault="00A173A8">
            <w:pPr>
              <w:spacing w:after="100"/>
              <w:jc w:val="right"/>
              <w:rPr>
                <w:rFonts w:eastAsia="Times New Roman"/>
              </w:rPr>
            </w:pPr>
            <w:r>
              <w:rPr>
                <w:rFonts w:eastAsia="Times New Roman"/>
                <w:b/>
                <w:bCs/>
                <w:color w:val="000000"/>
                <w:sz w:val="18"/>
                <w:szCs w:val="18"/>
              </w:rPr>
              <w:t>(845)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93EE02" w14:textId="77777777" w:rsidR="00000000" w:rsidRDefault="00A173A8">
            <w:pPr>
              <w:spacing w:after="100"/>
              <w:jc w:val="right"/>
              <w:rPr>
                <w:rFonts w:eastAsia="Times New Roman"/>
              </w:rPr>
            </w:pPr>
          </w:p>
        </w:tc>
      </w:tr>
      <w:tr w:rsidR="00000000" w14:paraId="55EB0D6D" w14:textId="77777777">
        <w:trPr>
          <w:divId w:val="1247809577"/>
        </w:trPr>
        <w:tc>
          <w:tcPr>
            <w:tcW w:w="0" w:type="auto"/>
            <w:gridSpan w:val="3"/>
            <w:shd w:val="clear" w:color="auto" w:fill="FFFFFF"/>
            <w:tcMar>
              <w:top w:w="30" w:type="dxa"/>
              <w:left w:w="20" w:type="dxa"/>
              <w:bottom w:w="30" w:type="dxa"/>
              <w:right w:w="20" w:type="dxa"/>
            </w:tcMar>
            <w:vAlign w:val="center"/>
            <w:hideMark/>
          </w:tcPr>
          <w:p w14:paraId="12D9D5D6" w14:textId="77777777" w:rsidR="00000000" w:rsidRDefault="00A173A8">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49ED38A6"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CA32434" w14:textId="77777777" w:rsidR="00000000" w:rsidRDefault="00A173A8">
            <w:pPr>
              <w:spacing w:after="100"/>
              <w:jc w:val="right"/>
              <w:rPr>
                <w:rFonts w:eastAsia="Times New Roman"/>
              </w:rPr>
            </w:pPr>
            <w:r>
              <w:rPr>
                <w:rFonts w:eastAsia="Times New Roman"/>
                <w:b/>
                <w:bCs/>
                <w:color w:val="000000"/>
                <w:sz w:val="18"/>
                <w:szCs w:val="18"/>
              </w:rPr>
              <w:t>581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B0A7F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7CC9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DFFF30" w14:textId="77777777" w:rsidR="00000000" w:rsidRDefault="00A173A8">
            <w:pPr>
              <w:spacing w:after="100"/>
              <w:jc w:val="right"/>
              <w:rPr>
                <w:rFonts w:eastAsia="Times New Roman"/>
              </w:rPr>
            </w:pPr>
            <w:r>
              <w:rPr>
                <w:rFonts w:eastAsia="Times New Roman"/>
                <w:b/>
                <w:bCs/>
                <w:color w:val="000000"/>
                <w:sz w:val="18"/>
                <w:szCs w:val="18"/>
              </w:rPr>
              <w:t>281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A4DC1D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1E9B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3FC315" w14:textId="77777777" w:rsidR="00000000" w:rsidRDefault="00A173A8">
            <w:pPr>
              <w:spacing w:after="100"/>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2BDFE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39BAF8" w14:textId="77777777" w:rsidR="00000000" w:rsidRDefault="00A173A8">
            <w:pPr>
              <w:spacing w:after="100"/>
              <w:jc w:val="right"/>
              <w:rPr>
                <w:rFonts w:eastAsia="Times New Roman"/>
                <w:sz w:val="20"/>
                <w:szCs w:val="20"/>
              </w:rPr>
            </w:pPr>
          </w:p>
        </w:tc>
        <w:tc>
          <w:tcPr>
            <w:tcW w:w="0" w:type="auto"/>
            <w:vAlign w:val="center"/>
            <w:hideMark/>
          </w:tcPr>
          <w:p w14:paraId="2EC6A751" w14:textId="77777777" w:rsidR="00000000" w:rsidRDefault="00A173A8">
            <w:pPr>
              <w:spacing w:after="100"/>
              <w:rPr>
                <w:rFonts w:eastAsia="Times New Roman"/>
                <w:sz w:val="20"/>
                <w:szCs w:val="20"/>
              </w:rPr>
            </w:pPr>
          </w:p>
        </w:tc>
        <w:tc>
          <w:tcPr>
            <w:tcW w:w="0" w:type="auto"/>
            <w:gridSpan w:val="3"/>
            <w:vAlign w:val="center"/>
            <w:hideMark/>
          </w:tcPr>
          <w:p w14:paraId="160DA57F"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92AF29" w14:textId="77777777" w:rsidR="00000000" w:rsidRDefault="00A173A8">
            <w:pPr>
              <w:spacing w:after="100"/>
              <w:jc w:val="right"/>
              <w:rPr>
                <w:rFonts w:eastAsia="Times New Roman"/>
              </w:rPr>
            </w:pPr>
            <w:r>
              <w:rPr>
                <w:rFonts w:eastAsia="Times New Roman"/>
                <w:b/>
                <w:bCs/>
                <w:color w:val="000000"/>
                <w:sz w:val="18"/>
                <w:szCs w:val="18"/>
              </w:rPr>
              <w:t>1,045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569050" w14:textId="77777777" w:rsidR="00000000" w:rsidRDefault="00A173A8">
            <w:pPr>
              <w:spacing w:after="100"/>
              <w:jc w:val="right"/>
              <w:rPr>
                <w:rFonts w:eastAsia="Times New Roman"/>
              </w:rPr>
            </w:pPr>
          </w:p>
        </w:tc>
      </w:tr>
      <w:tr w:rsidR="00000000" w14:paraId="29E83E83" w14:textId="77777777">
        <w:trPr>
          <w:divId w:val="1247809577"/>
        </w:trPr>
        <w:tc>
          <w:tcPr>
            <w:tcW w:w="0" w:type="auto"/>
            <w:gridSpan w:val="3"/>
            <w:shd w:val="clear" w:color="auto" w:fill="CCEEFF"/>
            <w:tcMar>
              <w:top w:w="30" w:type="dxa"/>
              <w:left w:w="20" w:type="dxa"/>
              <w:bottom w:w="30" w:type="dxa"/>
              <w:right w:w="20" w:type="dxa"/>
            </w:tcMar>
            <w:vAlign w:val="center"/>
            <w:hideMark/>
          </w:tcPr>
          <w:p w14:paraId="356EE990" w14:textId="77777777" w:rsidR="00000000" w:rsidRDefault="00A173A8">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7B03006B"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33F12C" w14:textId="77777777" w:rsidR="00000000" w:rsidRDefault="00A173A8">
            <w:pPr>
              <w:spacing w:after="100"/>
              <w:jc w:val="right"/>
              <w:rPr>
                <w:rFonts w:eastAsia="Times New Roman"/>
              </w:rPr>
            </w:pPr>
            <w:r>
              <w:rPr>
                <w:rFonts w:eastAsia="Times New Roman"/>
                <w:b/>
                <w:bCs/>
                <w:color w:val="000000"/>
                <w:sz w:val="18"/>
                <w:szCs w:val="18"/>
              </w:rPr>
              <w:t>(97)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CB7F8D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1C0A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D95049" w14:textId="77777777" w:rsidR="00000000" w:rsidRDefault="00A173A8">
            <w:pPr>
              <w:spacing w:after="100"/>
              <w:jc w:val="right"/>
              <w:rPr>
                <w:rFonts w:eastAsia="Times New Roman"/>
              </w:rPr>
            </w:pPr>
            <w:r>
              <w:rPr>
                <w:rFonts w:eastAsia="Times New Roman"/>
                <w:b/>
                <w:bCs/>
                <w:color w:val="000000"/>
                <w:sz w:val="18"/>
                <w:szCs w:val="18"/>
              </w:rPr>
              <w:t>145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8E9FD8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EF07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4AE9D4" w14:textId="77777777" w:rsidR="00000000" w:rsidRDefault="00A173A8">
            <w:pPr>
              <w:spacing w:after="100"/>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F94E7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527DD" w14:textId="77777777" w:rsidR="00000000" w:rsidRDefault="00A173A8">
            <w:pPr>
              <w:spacing w:after="100"/>
              <w:jc w:val="right"/>
              <w:rPr>
                <w:rFonts w:eastAsia="Times New Roman"/>
                <w:sz w:val="20"/>
                <w:szCs w:val="20"/>
              </w:rPr>
            </w:pPr>
          </w:p>
        </w:tc>
        <w:tc>
          <w:tcPr>
            <w:tcW w:w="0" w:type="auto"/>
            <w:vAlign w:val="center"/>
            <w:hideMark/>
          </w:tcPr>
          <w:p w14:paraId="34173F4C" w14:textId="77777777" w:rsidR="00000000" w:rsidRDefault="00A173A8">
            <w:pPr>
              <w:spacing w:after="100"/>
              <w:rPr>
                <w:rFonts w:eastAsia="Times New Roman"/>
                <w:sz w:val="20"/>
                <w:szCs w:val="20"/>
              </w:rPr>
            </w:pPr>
          </w:p>
        </w:tc>
        <w:tc>
          <w:tcPr>
            <w:tcW w:w="0" w:type="auto"/>
            <w:gridSpan w:val="3"/>
            <w:vAlign w:val="center"/>
            <w:hideMark/>
          </w:tcPr>
          <w:p w14:paraId="7AE423BE"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D3C27C3" w14:textId="77777777" w:rsidR="00000000" w:rsidRDefault="00A173A8">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7CE2182" w14:textId="77777777" w:rsidR="00000000" w:rsidRDefault="00A173A8">
            <w:pPr>
              <w:spacing w:after="100"/>
              <w:jc w:val="right"/>
              <w:rPr>
                <w:rFonts w:eastAsia="Times New Roman"/>
              </w:rPr>
            </w:pPr>
          </w:p>
        </w:tc>
      </w:tr>
      <w:tr w:rsidR="00000000" w14:paraId="577FFFE4" w14:textId="77777777">
        <w:trPr>
          <w:divId w:val="1247809577"/>
        </w:trPr>
        <w:tc>
          <w:tcPr>
            <w:tcW w:w="0" w:type="auto"/>
            <w:gridSpan w:val="3"/>
            <w:shd w:val="clear" w:color="auto" w:fill="FFFFFF"/>
            <w:tcMar>
              <w:top w:w="30" w:type="dxa"/>
              <w:left w:w="20" w:type="dxa"/>
              <w:bottom w:w="30" w:type="dxa"/>
              <w:right w:w="20" w:type="dxa"/>
            </w:tcMar>
            <w:vAlign w:val="center"/>
            <w:hideMark/>
          </w:tcPr>
          <w:p w14:paraId="4DB2E99A" w14:textId="77777777" w:rsidR="00000000" w:rsidRDefault="00A173A8">
            <w:pPr>
              <w:spacing w:after="100"/>
              <w:divId w:val="2119372964"/>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3B893C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B095903" w14:textId="77777777" w:rsidR="00000000" w:rsidRDefault="00A173A8">
            <w:pPr>
              <w:spacing w:after="100"/>
              <w:jc w:val="right"/>
              <w:rPr>
                <w:rFonts w:eastAsia="Times New Roman"/>
              </w:rPr>
            </w:pPr>
            <w:r>
              <w:rPr>
                <w:rFonts w:eastAsia="Times New Roman"/>
                <w:b/>
                <w:bCs/>
                <w:color w:val="000000"/>
                <w:sz w:val="18"/>
                <w:szCs w:val="18"/>
              </w:rPr>
              <w:t>(17)</w:t>
            </w:r>
          </w:p>
        </w:tc>
        <w:tc>
          <w:tcPr>
            <w:tcW w:w="0" w:type="auto"/>
            <w:shd w:val="clear" w:color="auto" w:fill="FFFFFF"/>
            <w:tcMar>
              <w:top w:w="30" w:type="dxa"/>
              <w:left w:w="0" w:type="dxa"/>
              <w:bottom w:w="30" w:type="dxa"/>
              <w:right w:w="20" w:type="dxa"/>
            </w:tcMar>
            <w:vAlign w:val="center"/>
            <w:hideMark/>
          </w:tcPr>
          <w:p w14:paraId="70A8924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00342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DDF3A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5D9BAB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DD9C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F8571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322F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5DBDA6" w14:textId="77777777" w:rsidR="00000000" w:rsidRDefault="00A173A8">
            <w:pPr>
              <w:spacing w:after="100"/>
              <w:jc w:val="right"/>
              <w:rPr>
                <w:rFonts w:eastAsia="Times New Roman"/>
                <w:sz w:val="20"/>
                <w:szCs w:val="20"/>
              </w:rPr>
            </w:pPr>
          </w:p>
        </w:tc>
        <w:tc>
          <w:tcPr>
            <w:tcW w:w="0" w:type="auto"/>
            <w:vAlign w:val="center"/>
            <w:hideMark/>
          </w:tcPr>
          <w:p w14:paraId="2241634C" w14:textId="77777777" w:rsidR="00000000" w:rsidRDefault="00A173A8">
            <w:pPr>
              <w:spacing w:after="100"/>
              <w:rPr>
                <w:rFonts w:eastAsia="Times New Roman"/>
                <w:sz w:val="20"/>
                <w:szCs w:val="20"/>
              </w:rPr>
            </w:pPr>
          </w:p>
        </w:tc>
        <w:tc>
          <w:tcPr>
            <w:tcW w:w="0" w:type="auto"/>
            <w:gridSpan w:val="3"/>
            <w:vAlign w:val="center"/>
            <w:hideMark/>
          </w:tcPr>
          <w:p w14:paraId="418B2ADC"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F80202" w14:textId="77777777" w:rsidR="00000000" w:rsidRDefault="00A173A8">
            <w:pPr>
              <w:spacing w:after="100"/>
              <w:jc w:val="right"/>
              <w:rPr>
                <w:rFonts w:eastAsia="Times New Roman"/>
              </w:rPr>
            </w:pPr>
            <w:r>
              <w:rPr>
                <w:rFonts w:eastAsia="Times New Roman"/>
                <w:b/>
                <w:bCs/>
                <w:color w:val="000000"/>
                <w:sz w:val="18"/>
                <w:szCs w:val="18"/>
              </w:rPr>
              <w:t>(17)</w:t>
            </w:r>
          </w:p>
        </w:tc>
        <w:tc>
          <w:tcPr>
            <w:tcW w:w="0" w:type="auto"/>
            <w:shd w:val="clear" w:color="auto" w:fill="FFFFFF"/>
            <w:tcMar>
              <w:top w:w="30" w:type="dxa"/>
              <w:left w:w="0" w:type="dxa"/>
              <w:bottom w:w="30" w:type="dxa"/>
              <w:right w:w="20" w:type="dxa"/>
            </w:tcMar>
            <w:vAlign w:val="center"/>
            <w:hideMark/>
          </w:tcPr>
          <w:p w14:paraId="4F71B029" w14:textId="77777777" w:rsidR="00000000" w:rsidRDefault="00A173A8">
            <w:pPr>
              <w:spacing w:after="100"/>
              <w:jc w:val="right"/>
              <w:rPr>
                <w:rFonts w:eastAsia="Times New Roman"/>
              </w:rPr>
            </w:pPr>
          </w:p>
        </w:tc>
      </w:tr>
      <w:tr w:rsidR="00000000" w14:paraId="7CAD372F" w14:textId="77777777">
        <w:trPr>
          <w:divId w:val="1247809577"/>
        </w:trPr>
        <w:tc>
          <w:tcPr>
            <w:tcW w:w="0" w:type="auto"/>
            <w:gridSpan w:val="3"/>
            <w:shd w:val="clear" w:color="auto" w:fill="CCEEFF"/>
            <w:tcMar>
              <w:top w:w="30" w:type="dxa"/>
              <w:left w:w="20" w:type="dxa"/>
              <w:bottom w:w="30" w:type="dxa"/>
              <w:right w:w="20" w:type="dxa"/>
            </w:tcMar>
            <w:vAlign w:val="center"/>
            <w:hideMark/>
          </w:tcPr>
          <w:p w14:paraId="6488B65A" w14:textId="77777777" w:rsidR="00000000" w:rsidRDefault="00A173A8">
            <w:pPr>
              <w:spacing w:after="100"/>
              <w:rPr>
                <w:rFonts w:eastAsia="Times New Roman"/>
              </w:rPr>
            </w:pPr>
            <w:r>
              <w:rPr>
                <w:rFonts w:eastAsia="Times New Roman"/>
                <w:color w:val="000000"/>
                <w:sz w:val="18"/>
                <w:szCs w:val="18"/>
              </w:rPr>
              <w:t>Balance as of June 30, 2022</w:t>
            </w:r>
          </w:p>
        </w:tc>
        <w:tc>
          <w:tcPr>
            <w:tcW w:w="0" w:type="auto"/>
            <w:gridSpan w:val="3"/>
            <w:shd w:val="clear" w:color="auto" w:fill="CCEEFF"/>
            <w:tcMar>
              <w:top w:w="0" w:type="dxa"/>
              <w:left w:w="20" w:type="dxa"/>
              <w:bottom w:w="0" w:type="dxa"/>
              <w:right w:w="20" w:type="dxa"/>
            </w:tcMar>
            <w:vAlign w:val="center"/>
            <w:hideMark/>
          </w:tcPr>
          <w:p w14:paraId="6BC88371"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66783B6" w14:textId="77777777" w:rsidR="00000000" w:rsidRDefault="00A173A8">
            <w:pPr>
              <w:spacing w:after="100"/>
              <w:jc w:val="right"/>
              <w:rPr>
                <w:rFonts w:eastAsia="Times New Roman"/>
              </w:rPr>
            </w:pPr>
            <w:r>
              <w:rPr>
                <w:rFonts w:eastAsia="Times New Roman"/>
                <w:b/>
                <w:bCs/>
                <w:color w:val="000000"/>
                <w:sz w:val="18"/>
                <w:szCs w:val="18"/>
              </w:rPr>
              <w:t>8,166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3481C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2C28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8CC65DF" w14:textId="77777777" w:rsidR="00000000" w:rsidRDefault="00A173A8">
            <w:pPr>
              <w:spacing w:after="100"/>
              <w:jc w:val="right"/>
              <w:rPr>
                <w:rFonts w:eastAsia="Times New Roman"/>
              </w:rPr>
            </w:pPr>
            <w:r>
              <w:rPr>
                <w:rFonts w:eastAsia="Times New Roman"/>
                <w:b/>
                <w:bCs/>
                <w:color w:val="000000"/>
                <w:sz w:val="18"/>
                <w:szCs w:val="18"/>
              </w:rPr>
              <w:t>2,047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6CC66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4EFB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6DB23F" w14:textId="77777777" w:rsidR="00000000" w:rsidRDefault="00A173A8">
            <w:pPr>
              <w:spacing w:after="100"/>
              <w:jc w:val="right"/>
              <w:rPr>
                <w:rFonts w:eastAsia="Times New Roman"/>
              </w:rPr>
            </w:pPr>
            <w:r>
              <w:rPr>
                <w:rFonts w:eastAsia="Times New Roman"/>
                <w:b/>
                <w:bCs/>
                <w:color w:val="000000"/>
                <w:sz w:val="18"/>
                <w:szCs w:val="18"/>
              </w:rPr>
              <w:t>1,278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5C088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F3319" w14:textId="77777777" w:rsidR="00000000" w:rsidRDefault="00A173A8">
            <w:pPr>
              <w:spacing w:after="100"/>
              <w:jc w:val="right"/>
              <w:rPr>
                <w:rFonts w:eastAsia="Times New Roman"/>
                <w:sz w:val="20"/>
                <w:szCs w:val="20"/>
              </w:rPr>
            </w:pPr>
          </w:p>
        </w:tc>
        <w:tc>
          <w:tcPr>
            <w:tcW w:w="0" w:type="auto"/>
            <w:vAlign w:val="center"/>
            <w:hideMark/>
          </w:tcPr>
          <w:p w14:paraId="0A18380D" w14:textId="77777777" w:rsidR="00000000" w:rsidRDefault="00A173A8">
            <w:pPr>
              <w:spacing w:after="100"/>
              <w:rPr>
                <w:rFonts w:eastAsia="Times New Roman"/>
                <w:sz w:val="20"/>
                <w:szCs w:val="20"/>
              </w:rPr>
            </w:pPr>
          </w:p>
        </w:tc>
        <w:tc>
          <w:tcPr>
            <w:tcW w:w="0" w:type="auto"/>
            <w:gridSpan w:val="3"/>
            <w:vAlign w:val="center"/>
            <w:hideMark/>
          </w:tcPr>
          <w:p w14:paraId="5E2B08C3"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FC09F7" w14:textId="77777777" w:rsidR="00000000" w:rsidRDefault="00A173A8">
            <w:pPr>
              <w:spacing w:after="100"/>
              <w:jc w:val="right"/>
              <w:rPr>
                <w:rFonts w:eastAsia="Times New Roman"/>
              </w:rPr>
            </w:pPr>
            <w:r>
              <w:rPr>
                <w:rFonts w:eastAsia="Times New Roman"/>
                <w:b/>
                <w:bCs/>
                <w:color w:val="000000"/>
                <w:sz w:val="18"/>
                <w:szCs w:val="18"/>
              </w:rPr>
              <w:t>11,491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171C80" w14:textId="77777777" w:rsidR="00000000" w:rsidRDefault="00A173A8">
            <w:pPr>
              <w:spacing w:after="100"/>
              <w:jc w:val="right"/>
              <w:rPr>
                <w:rFonts w:eastAsia="Times New Roman"/>
              </w:rPr>
            </w:pPr>
          </w:p>
        </w:tc>
      </w:tr>
      <w:tr w:rsidR="00000000" w14:paraId="0C864F52" w14:textId="77777777">
        <w:trPr>
          <w:divId w:val="1247809577"/>
        </w:trPr>
        <w:tc>
          <w:tcPr>
            <w:tcW w:w="0" w:type="auto"/>
            <w:gridSpan w:val="3"/>
            <w:shd w:val="clear" w:color="auto" w:fill="FFFFFF"/>
            <w:tcMar>
              <w:top w:w="30" w:type="dxa"/>
              <w:left w:w="20" w:type="dxa"/>
              <w:bottom w:w="30" w:type="dxa"/>
              <w:right w:w="20" w:type="dxa"/>
            </w:tcMar>
            <w:vAlign w:val="center"/>
            <w:hideMark/>
          </w:tcPr>
          <w:p w14:paraId="1C2AFA5E" w14:textId="77777777" w:rsidR="00000000" w:rsidRDefault="00A173A8">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37D39807"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7C210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0B02B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753BF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8B5A9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61FFC9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2B3375" w14:textId="77777777" w:rsidR="00000000" w:rsidRDefault="00A173A8">
            <w:pPr>
              <w:spacing w:after="100"/>
              <w:rPr>
                <w:rFonts w:eastAsia="Times New Roman"/>
                <w:sz w:val="20"/>
                <w:szCs w:val="20"/>
              </w:rPr>
            </w:pPr>
          </w:p>
        </w:tc>
        <w:tc>
          <w:tcPr>
            <w:tcW w:w="0" w:type="auto"/>
            <w:vAlign w:val="center"/>
            <w:hideMark/>
          </w:tcPr>
          <w:p w14:paraId="1861E53A" w14:textId="77777777" w:rsidR="00000000" w:rsidRDefault="00A173A8">
            <w:pPr>
              <w:spacing w:after="100"/>
              <w:rPr>
                <w:rFonts w:eastAsia="Times New Roman"/>
                <w:sz w:val="20"/>
                <w:szCs w:val="20"/>
              </w:rPr>
            </w:pPr>
          </w:p>
        </w:tc>
        <w:tc>
          <w:tcPr>
            <w:tcW w:w="0" w:type="auto"/>
            <w:gridSpan w:val="3"/>
            <w:vAlign w:val="center"/>
            <w:hideMark/>
          </w:tcPr>
          <w:p w14:paraId="7EA38DC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81FAFB" w14:textId="77777777" w:rsidR="00000000" w:rsidRDefault="00A173A8">
            <w:pPr>
              <w:spacing w:after="100"/>
              <w:rPr>
                <w:rFonts w:eastAsia="Times New Roman"/>
                <w:sz w:val="20"/>
                <w:szCs w:val="20"/>
              </w:rPr>
            </w:pPr>
          </w:p>
        </w:tc>
      </w:tr>
      <w:tr w:rsidR="00000000" w14:paraId="59CFCF72" w14:textId="77777777">
        <w:trPr>
          <w:divId w:val="1247809577"/>
        </w:trPr>
        <w:tc>
          <w:tcPr>
            <w:tcW w:w="0" w:type="auto"/>
            <w:gridSpan w:val="3"/>
            <w:shd w:val="clear" w:color="auto" w:fill="CCEEFF"/>
            <w:tcMar>
              <w:top w:w="30" w:type="dxa"/>
              <w:left w:w="20" w:type="dxa"/>
              <w:bottom w:w="30" w:type="dxa"/>
              <w:right w:w="20" w:type="dxa"/>
            </w:tcMar>
            <w:vAlign w:val="center"/>
            <w:hideMark/>
          </w:tcPr>
          <w:p w14:paraId="179DB1FE" w14:textId="77777777" w:rsidR="00000000" w:rsidRDefault="00A173A8">
            <w:pPr>
              <w:spacing w:after="100"/>
              <w:rPr>
                <w:rFonts w:eastAsia="Times New Roman"/>
              </w:rPr>
            </w:pPr>
            <w:r>
              <w:rPr>
                <w:rFonts w:eastAsia="Times New Roman"/>
                <w:color w:val="000000"/>
                <w:sz w:val="18"/>
                <w:szCs w:val="18"/>
              </w:rPr>
              <w:t>Balance as of March 31, 2022</w:t>
            </w:r>
          </w:p>
        </w:tc>
        <w:tc>
          <w:tcPr>
            <w:tcW w:w="0" w:type="auto"/>
            <w:gridSpan w:val="3"/>
            <w:shd w:val="clear" w:color="auto" w:fill="CCEEFF"/>
            <w:tcMar>
              <w:top w:w="0" w:type="dxa"/>
              <w:left w:w="20" w:type="dxa"/>
              <w:bottom w:w="0" w:type="dxa"/>
              <w:right w:w="20" w:type="dxa"/>
            </w:tcMar>
            <w:vAlign w:val="center"/>
            <w:hideMark/>
          </w:tcPr>
          <w:p w14:paraId="17C20F6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AD5A9C1"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1DE019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FEBB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3216C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BA1C28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0081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330E6D" w14:textId="77777777" w:rsidR="00000000" w:rsidRDefault="00A173A8">
            <w:pPr>
              <w:spacing w:after="100"/>
              <w:jc w:val="right"/>
              <w:rPr>
                <w:rFonts w:eastAsia="Times New Roman"/>
              </w:rPr>
            </w:pPr>
            <w:r>
              <w:rPr>
                <w:rFonts w:eastAsia="Times New Roman"/>
                <w:color w:val="000000"/>
                <w:sz w:val="18"/>
                <w:szCs w:val="18"/>
              </w:rPr>
              <w:t>200 </w:t>
            </w:r>
          </w:p>
        </w:tc>
        <w:tc>
          <w:tcPr>
            <w:tcW w:w="0" w:type="auto"/>
            <w:shd w:val="clear" w:color="auto" w:fill="CCEEFF"/>
            <w:tcMar>
              <w:top w:w="30" w:type="dxa"/>
              <w:left w:w="0" w:type="dxa"/>
              <w:bottom w:w="30" w:type="dxa"/>
              <w:right w:w="20" w:type="dxa"/>
            </w:tcMar>
            <w:vAlign w:val="center"/>
            <w:hideMark/>
          </w:tcPr>
          <w:p w14:paraId="7CBD750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EF964" w14:textId="77777777" w:rsidR="00000000" w:rsidRDefault="00A173A8">
            <w:pPr>
              <w:spacing w:after="100"/>
              <w:jc w:val="right"/>
              <w:rPr>
                <w:rFonts w:eastAsia="Times New Roman"/>
                <w:sz w:val="20"/>
                <w:szCs w:val="20"/>
              </w:rPr>
            </w:pPr>
          </w:p>
        </w:tc>
        <w:tc>
          <w:tcPr>
            <w:tcW w:w="0" w:type="auto"/>
            <w:vAlign w:val="center"/>
            <w:hideMark/>
          </w:tcPr>
          <w:p w14:paraId="09F22A34" w14:textId="77777777" w:rsidR="00000000" w:rsidRDefault="00A173A8">
            <w:pPr>
              <w:spacing w:after="100"/>
              <w:rPr>
                <w:rFonts w:eastAsia="Times New Roman"/>
                <w:sz w:val="20"/>
                <w:szCs w:val="20"/>
              </w:rPr>
            </w:pPr>
          </w:p>
        </w:tc>
        <w:tc>
          <w:tcPr>
            <w:tcW w:w="0" w:type="auto"/>
            <w:gridSpan w:val="3"/>
            <w:vAlign w:val="center"/>
            <w:hideMark/>
          </w:tcPr>
          <w:p w14:paraId="2A49BB33"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9F50BE" w14:textId="77777777" w:rsidR="00000000" w:rsidRDefault="00A173A8">
            <w:pPr>
              <w:spacing w:after="100"/>
              <w:jc w:val="right"/>
              <w:rPr>
                <w:rFonts w:eastAsia="Times New Roman"/>
              </w:rPr>
            </w:pPr>
            <w:r>
              <w:rPr>
                <w:rFonts w:eastAsia="Times New Roman"/>
                <w:color w:val="000000"/>
                <w:sz w:val="18"/>
                <w:szCs w:val="18"/>
              </w:rPr>
              <w:t>200 </w:t>
            </w:r>
          </w:p>
        </w:tc>
        <w:tc>
          <w:tcPr>
            <w:tcW w:w="0" w:type="auto"/>
            <w:shd w:val="clear" w:color="auto" w:fill="CCEEFF"/>
            <w:tcMar>
              <w:top w:w="30" w:type="dxa"/>
              <w:left w:w="0" w:type="dxa"/>
              <w:bottom w:w="30" w:type="dxa"/>
              <w:right w:w="20" w:type="dxa"/>
            </w:tcMar>
            <w:vAlign w:val="center"/>
            <w:hideMark/>
          </w:tcPr>
          <w:p w14:paraId="1FE9723A" w14:textId="77777777" w:rsidR="00000000" w:rsidRDefault="00A173A8">
            <w:pPr>
              <w:spacing w:after="100"/>
              <w:jc w:val="right"/>
              <w:rPr>
                <w:rFonts w:eastAsia="Times New Roman"/>
              </w:rPr>
            </w:pPr>
          </w:p>
        </w:tc>
      </w:tr>
      <w:tr w:rsidR="00000000" w14:paraId="6BCB860D" w14:textId="77777777">
        <w:trPr>
          <w:divId w:val="1247809577"/>
        </w:trPr>
        <w:tc>
          <w:tcPr>
            <w:tcW w:w="0" w:type="auto"/>
            <w:gridSpan w:val="3"/>
            <w:shd w:val="clear" w:color="auto" w:fill="FFFFFF"/>
            <w:tcMar>
              <w:top w:w="30" w:type="dxa"/>
              <w:left w:w="20" w:type="dxa"/>
              <w:bottom w:w="30" w:type="dxa"/>
              <w:right w:w="20" w:type="dxa"/>
            </w:tcMar>
            <w:vAlign w:val="center"/>
            <w:hideMark/>
          </w:tcPr>
          <w:p w14:paraId="145620FB" w14:textId="77777777" w:rsidR="00000000" w:rsidRDefault="00A173A8">
            <w:pPr>
              <w:spacing w:after="100"/>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473C0B7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59166C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6205B6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01F7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A4F5C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756E0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0B6FF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D42E80" w14:textId="77777777" w:rsidR="00000000" w:rsidRDefault="00A173A8">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308CC6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7490A" w14:textId="77777777" w:rsidR="00000000" w:rsidRDefault="00A173A8">
            <w:pPr>
              <w:spacing w:after="100"/>
              <w:jc w:val="right"/>
              <w:rPr>
                <w:rFonts w:eastAsia="Times New Roman"/>
                <w:sz w:val="20"/>
                <w:szCs w:val="20"/>
              </w:rPr>
            </w:pPr>
          </w:p>
        </w:tc>
        <w:tc>
          <w:tcPr>
            <w:tcW w:w="0" w:type="auto"/>
            <w:vAlign w:val="center"/>
            <w:hideMark/>
          </w:tcPr>
          <w:p w14:paraId="4DD9DD92" w14:textId="77777777" w:rsidR="00000000" w:rsidRDefault="00A173A8">
            <w:pPr>
              <w:spacing w:after="100"/>
              <w:rPr>
                <w:rFonts w:eastAsia="Times New Roman"/>
                <w:sz w:val="20"/>
                <w:szCs w:val="20"/>
              </w:rPr>
            </w:pPr>
          </w:p>
        </w:tc>
        <w:tc>
          <w:tcPr>
            <w:tcW w:w="0" w:type="auto"/>
            <w:gridSpan w:val="3"/>
            <w:vAlign w:val="center"/>
            <w:hideMark/>
          </w:tcPr>
          <w:p w14:paraId="3A161B2E"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1D9830" w14:textId="77777777" w:rsidR="00000000" w:rsidRDefault="00A173A8">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3645987" w14:textId="77777777" w:rsidR="00000000" w:rsidRDefault="00A173A8">
            <w:pPr>
              <w:spacing w:after="100"/>
              <w:jc w:val="right"/>
              <w:rPr>
                <w:rFonts w:eastAsia="Times New Roman"/>
              </w:rPr>
            </w:pPr>
          </w:p>
        </w:tc>
      </w:tr>
      <w:tr w:rsidR="00000000" w14:paraId="42C7C824" w14:textId="77777777">
        <w:trPr>
          <w:divId w:val="1247809577"/>
        </w:trPr>
        <w:tc>
          <w:tcPr>
            <w:tcW w:w="0" w:type="auto"/>
            <w:gridSpan w:val="3"/>
            <w:shd w:val="clear" w:color="auto" w:fill="CCEEFF"/>
            <w:tcMar>
              <w:top w:w="30" w:type="dxa"/>
              <w:left w:w="20" w:type="dxa"/>
              <w:bottom w:w="30" w:type="dxa"/>
              <w:right w:w="20" w:type="dxa"/>
            </w:tcMar>
            <w:vAlign w:val="center"/>
            <w:hideMark/>
          </w:tcPr>
          <w:p w14:paraId="79E2A438" w14:textId="77777777" w:rsidR="00000000" w:rsidRDefault="00A173A8">
            <w:pPr>
              <w:spacing w:after="100"/>
              <w:rPr>
                <w:rFonts w:eastAsia="Times New Roman"/>
              </w:rPr>
            </w:pPr>
            <w:r>
              <w:rPr>
                <w:rFonts w:eastAsia="Times New Roman"/>
                <w:color w:val="000000"/>
                <w:sz w:val="18"/>
                <w:szCs w:val="18"/>
              </w:rPr>
              <w:t>Balance as of June 30, 2022</w:t>
            </w:r>
          </w:p>
        </w:tc>
        <w:tc>
          <w:tcPr>
            <w:tcW w:w="0" w:type="auto"/>
            <w:gridSpan w:val="3"/>
            <w:shd w:val="clear" w:color="auto" w:fill="CCEEFF"/>
            <w:tcMar>
              <w:top w:w="0" w:type="dxa"/>
              <w:left w:w="20" w:type="dxa"/>
              <w:bottom w:w="0" w:type="dxa"/>
              <w:right w:w="20" w:type="dxa"/>
            </w:tcMar>
            <w:vAlign w:val="center"/>
            <w:hideMark/>
          </w:tcPr>
          <w:p w14:paraId="06C2F028"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F83F31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119AE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0C9A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BF5639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FB443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75DFE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1C8C64" w14:textId="77777777" w:rsidR="00000000" w:rsidRDefault="00A173A8">
            <w:pPr>
              <w:spacing w:after="100"/>
              <w:jc w:val="right"/>
              <w:rPr>
                <w:rFonts w:eastAsia="Times New Roman"/>
              </w:rPr>
            </w:pPr>
            <w:r>
              <w:rPr>
                <w:rFonts w:eastAsia="Times New Roman"/>
                <w:b/>
                <w:bCs/>
                <w:color w:val="000000"/>
                <w:sz w:val="18"/>
                <w:szCs w:val="18"/>
              </w:rPr>
              <w:t>239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42DDD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5C20B" w14:textId="77777777" w:rsidR="00000000" w:rsidRDefault="00A173A8">
            <w:pPr>
              <w:spacing w:after="100"/>
              <w:jc w:val="right"/>
              <w:rPr>
                <w:rFonts w:eastAsia="Times New Roman"/>
                <w:sz w:val="20"/>
                <w:szCs w:val="20"/>
              </w:rPr>
            </w:pPr>
          </w:p>
        </w:tc>
        <w:tc>
          <w:tcPr>
            <w:tcW w:w="0" w:type="auto"/>
            <w:vAlign w:val="center"/>
            <w:hideMark/>
          </w:tcPr>
          <w:p w14:paraId="6F3215A2" w14:textId="77777777" w:rsidR="00000000" w:rsidRDefault="00A173A8">
            <w:pPr>
              <w:spacing w:after="100"/>
              <w:rPr>
                <w:rFonts w:eastAsia="Times New Roman"/>
                <w:sz w:val="20"/>
                <w:szCs w:val="20"/>
              </w:rPr>
            </w:pPr>
          </w:p>
        </w:tc>
        <w:tc>
          <w:tcPr>
            <w:tcW w:w="0" w:type="auto"/>
            <w:gridSpan w:val="3"/>
            <w:vAlign w:val="center"/>
            <w:hideMark/>
          </w:tcPr>
          <w:p w14:paraId="6F74C86E"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3A2968" w14:textId="77777777" w:rsidR="00000000" w:rsidRDefault="00A173A8">
            <w:pPr>
              <w:spacing w:after="100"/>
              <w:jc w:val="right"/>
              <w:rPr>
                <w:rFonts w:eastAsia="Times New Roman"/>
              </w:rPr>
            </w:pPr>
            <w:r>
              <w:rPr>
                <w:rFonts w:eastAsia="Times New Roman"/>
                <w:b/>
                <w:bCs/>
                <w:color w:val="000000"/>
                <w:sz w:val="18"/>
                <w:szCs w:val="18"/>
              </w:rPr>
              <w:t>239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85367F4" w14:textId="77777777" w:rsidR="00000000" w:rsidRDefault="00A173A8">
            <w:pPr>
              <w:spacing w:after="100"/>
              <w:jc w:val="right"/>
              <w:rPr>
                <w:rFonts w:eastAsia="Times New Roman"/>
              </w:rPr>
            </w:pPr>
          </w:p>
        </w:tc>
      </w:tr>
      <w:tr w:rsidR="00000000" w14:paraId="6CAF2B1A" w14:textId="77777777">
        <w:trPr>
          <w:divId w:val="1247809577"/>
        </w:trPr>
        <w:tc>
          <w:tcPr>
            <w:tcW w:w="0" w:type="auto"/>
            <w:gridSpan w:val="3"/>
            <w:shd w:val="clear" w:color="auto" w:fill="FFFFFF"/>
            <w:tcMar>
              <w:top w:w="30" w:type="dxa"/>
              <w:left w:w="20" w:type="dxa"/>
              <w:bottom w:w="30" w:type="dxa"/>
              <w:right w:w="20" w:type="dxa"/>
            </w:tcMar>
            <w:vAlign w:val="center"/>
            <w:hideMark/>
          </w:tcPr>
          <w:p w14:paraId="0555F861" w14:textId="77777777" w:rsidR="00000000" w:rsidRDefault="00A173A8">
            <w:pPr>
              <w:spacing w:after="100"/>
              <w:rPr>
                <w:rFonts w:eastAsia="Times New Roman"/>
              </w:rPr>
            </w:pPr>
            <w:r>
              <w:rPr>
                <w:rFonts w:eastAsia="Times New Roman"/>
                <w:b/>
                <w:bCs/>
                <w:color w:val="000000"/>
                <w:sz w:val="18"/>
                <w:szCs w:val="18"/>
              </w:rPr>
              <w:t>Combined allowance and reserve as of June 30, 2022</w:t>
            </w:r>
          </w:p>
        </w:tc>
        <w:tc>
          <w:tcPr>
            <w:tcW w:w="0" w:type="auto"/>
            <w:gridSpan w:val="3"/>
            <w:shd w:val="clear" w:color="auto" w:fill="FFFFFF"/>
            <w:tcMar>
              <w:top w:w="0" w:type="dxa"/>
              <w:left w:w="20" w:type="dxa"/>
              <w:bottom w:w="0" w:type="dxa"/>
              <w:right w:w="20" w:type="dxa"/>
            </w:tcMar>
            <w:vAlign w:val="center"/>
            <w:hideMark/>
          </w:tcPr>
          <w:p w14:paraId="4E2658E9"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2DBAE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568556F" w14:textId="77777777" w:rsidR="00000000" w:rsidRDefault="00A173A8">
            <w:pPr>
              <w:spacing w:after="100"/>
              <w:jc w:val="right"/>
              <w:rPr>
                <w:rFonts w:eastAsia="Times New Roman"/>
              </w:rPr>
            </w:pPr>
            <w:r>
              <w:rPr>
                <w:rFonts w:eastAsia="Times New Roman"/>
                <w:b/>
                <w:bCs/>
                <w:color w:val="000000"/>
                <w:sz w:val="18"/>
                <w:szCs w:val="18"/>
              </w:rPr>
              <w:t>8,166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EA2668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435C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ECF694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605E6A3" w14:textId="77777777" w:rsidR="00000000" w:rsidRDefault="00A173A8">
            <w:pPr>
              <w:spacing w:after="100"/>
              <w:jc w:val="right"/>
              <w:rPr>
                <w:rFonts w:eastAsia="Times New Roman"/>
              </w:rPr>
            </w:pPr>
            <w:r>
              <w:rPr>
                <w:rFonts w:eastAsia="Times New Roman"/>
                <w:b/>
                <w:bCs/>
                <w:color w:val="000000"/>
                <w:sz w:val="18"/>
                <w:szCs w:val="18"/>
              </w:rPr>
              <w:t>2,047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B6DD70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DE086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3F4EC0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60F7A25" w14:textId="77777777" w:rsidR="00000000" w:rsidRDefault="00A173A8">
            <w:pPr>
              <w:spacing w:after="100"/>
              <w:jc w:val="right"/>
              <w:rPr>
                <w:rFonts w:eastAsia="Times New Roman"/>
              </w:rPr>
            </w:pPr>
            <w:r>
              <w:rPr>
                <w:rFonts w:eastAsia="Times New Roman"/>
                <w:b/>
                <w:bCs/>
                <w:color w:val="000000"/>
                <w:sz w:val="18"/>
                <w:szCs w:val="18"/>
              </w:rPr>
              <w:t>1,517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ACDC0B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674689" w14:textId="77777777" w:rsidR="00000000" w:rsidRDefault="00A173A8">
            <w:pPr>
              <w:spacing w:after="100"/>
              <w:jc w:val="right"/>
              <w:rPr>
                <w:rFonts w:eastAsia="Times New Roman"/>
                <w:sz w:val="20"/>
                <w:szCs w:val="20"/>
              </w:rPr>
            </w:pPr>
          </w:p>
        </w:tc>
        <w:tc>
          <w:tcPr>
            <w:tcW w:w="0" w:type="auto"/>
            <w:vAlign w:val="center"/>
            <w:hideMark/>
          </w:tcPr>
          <w:p w14:paraId="6F09BAA0" w14:textId="77777777" w:rsidR="00000000" w:rsidRDefault="00A173A8">
            <w:pPr>
              <w:spacing w:after="100"/>
              <w:rPr>
                <w:rFonts w:eastAsia="Times New Roman"/>
                <w:sz w:val="20"/>
                <w:szCs w:val="20"/>
              </w:rPr>
            </w:pPr>
          </w:p>
        </w:tc>
        <w:tc>
          <w:tcPr>
            <w:tcW w:w="0" w:type="auto"/>
            <w:gridSpan w:val="3"/>
            <w:vAlign w:val="center"/>
            <w:hideMark/>
          </w:tcPr>
          <w:p w14:paraId="6349898E" w14:textId="77777777" w:rsidR="00000000" w:rsidRDefault="00A173A8">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72EE92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DB2309C" w14:textId="77777777" w:rsidR="00000000" w:rsidRDefault="00A173A8">
            <w:pPr>
              <w:spacing w:after="100"/>
              <w:jc w:val="right"/>
              <w:rPr>
                <w:rFonts w:eastAsia="Times New Roman"/>
              </w:rPr>
            </w:pPr>
            <w:r>
              <w:rPr>
                <w:rFonts w:eastAsia="Times New Roman"/>
                <w:b/>
                <w:bCs/>
                <w:color w:val="000000"/>
                <w:sz w:val="18"/>
                <w:szCs w:val="18"/>
              </w:rPr>
              <w:t>11,730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7FFD585" w14:textId="77777777" w:rsidR="00000000" w:rsidRDefault="00A173A8">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068A48AF" w14:textId="77777777">
        <w:trPr>
          <w:jc w:val="center"/>
        </w:trPr>
        <w:tc>
          <w:tcPr>
            <w:tcW w:w="50" w:type="pct"/>
            <w:vAlign w:val="center"/>
            <w:hideMark/>
          </w:tcPr>
          <w:p w14:paraId="171571D8" w14:textId="77777777" w:rsidR="00000000" w:rsidRDefault="00A173A8">
            <w:pPr>
              <w:jc w:val="both"/>
              <w:rPr>
                <w:rFonts w:eastAsia="Times New Roman"/>
              </w:rPr>
            </w:pPr>
          </w:p>
        </w:tc>
        <w:tc>
          <w:tcPr>
            <w:tcW w:w="1606" w:type="pct"/>
            <w:vAlign w:val="center"/>
            <w:hideMark/>
          </w:tcPr>
          <w:p w14:paraId="2CBD2670" w14:textId="77777777" w:rsidR="00000000" w:rsidRDefault="00A173A8">
            <w:pPr>
              <w:spacing w:after="100"/>
              <w:rPr>
                <w:rFonts w:eastAsia="Times New Roman"/>
                <w:sz w:val="20"/>
                <w:szCs w:val="20"/>
              </w:rPr>
            </w:pPr>
          </w:p>
        </w:tc>
        <w:tc>
          <w:tcPr>
            <w:tcW w:w="5" w:type="pct"/>
            <w:vAlign w:val="center"/>
            <w:hideMark/>
          </w:tcPr>
          <w:p w14:paraId="6F786EA7" w14:textId="77777777" w:rsidR="00000000" w:rsidRDefault="00A173A8">
            <w:pPr>
              <w:spacing w:after="100"/>
              <w:rPr>
                <w:rFonts w:eastAsia="Times New Roman"/>
                <w:sz w:val="20"/>
                <w:szCs w:val="20"/>
              </w:rPr>
            </w:pPr>
          </w:p>
        </w:tc>
        <w:tc>
          <w:tcPr>
            <w:tcW w:w="50" w:type="pct"/>
            <w:vAlign w:val="center"/>
            <w:hideMark/>
          </w:tcPr>
          <w:p w14:paraId="7A39DFF2" w14:textId="77777777" w:rsidR="00000000" w:rsidRDefault="00A173A8">
            <w:pPr>
              <w:spacing w:after="100"/>
              <w:rPr>
                <w:rFonts w:eastAsia="Times New Roman"/>
                <w:sz w:val="20"/>
                <w:szCs w:val="20"/>
              </w:rPr>
            </w:pPr>
          </w:p>
        </w:tc>
        <w:tc>
          <w:tcPr>
            <w:tcW w:w="1614" w:type="pct"/>
            <w:vAlign w:val="center"/>
            <w:hideMark/>
          </w:tcPr>
          <w:p w14:paraId="19513AAE" w14:textId="77777777" w:rsidR="00000000" w:rsidRDefault="00A173A8">
            <w:pPr>
              <w:spacing w:after="100"/>
              <w:rPr>
                <w:rFonts w:eastAsia="Times New Roman"/>
                <w:sz w:val="20"/>
                <w:szCs w:val="20"/>
              </w:rPr>
            </w:pPr>
          </w:p>
        </w:tc>
        <w:tc>
          <w:tcPr>
            <w:tcW w:w="5" w:type="pct"/>
            <w:vAlign w:val="center"/>
            <w:hideMark/>
          </w:tcPr>
          <w:p w14:paraId="5C44F11D" w14:textId="77777777" w:rsidR="00000000" w:rsidRDefault="00A173A8">
            <w:pPr>
              <w:spacing w:after="100"/>
              <w:rPr>
                <w:rFonts w:eastAsia="Times New Roman"/>
                <w:sz w:val="20"/>
                <w:szCs w:val="20"/>
              </w:rPr>
            </w:pPr>
          </w:p>
        </w:tc>
        <w:tc>
          <w:tcPr>
            <w:tcW w:w="50" w:type="pct"/>
            <w:vAlign w:val="center"/>
            <w:hideMark/>
          </w:tcPr>
          <w:p w14:paraId="5BE2BF73" w14:textId="77777777" w:rsidR="00000000" w:rsidRDefault="00A173A8">
            <w:pPr>
              <w:spacing w:after="100"/>
              <w:rPr>
                <w:rFonts w:eastAsia="Times New Roman"/>
                <w:sz w:val="20"/>
                <w:szCs w:val="20"/>
              </w:rPr>
            </w:pPr>
          </w:p>
        </w:tc>
        <w:tc>
          <w:tcPr>
            <w:tcW w:w="1614" w:type="pct"/>
            <w:vAlign w:val="center"/>
            <w:hideMark/>
          </w:tcPr>
          <w:p w14:paraId="24D7776B" w14:textId="77777777" w:rsidR="00000000" w:rsidRDefault="00A173A8">
            <w:pPr>
              <w:spacing w:after="100"/>
              <w:rPr>
                <w:rFonts w:eastAsia="Times New Roman"/>
                <w:sz w:val="20"/>
                <w:szCs w:val="20"/>
              </w:rPr>
            </w:pPr>
          </w:p>
        </w:tc>
        <w:tc>
          <w:tcPr>
            <w:tcW w:w="5" w:type="pct"/>
            <w:vAlign w:val="center"/>
            <w:hideMark/>
          </w:tcPr>
          <w:p w14:paraId="790D1923" w14:textId="77777777" w:rsidR="00000000" w:rsidRDefault="00A173A8">
            <w:pPr>
              <w:spacing w:after="100"/>
              <w:rPr>
                <w:rFonts w:eastAsia="Times New Roman"/>
                <w:sz w:val="20"/>
                <w:szCs w:val="20"/>
              </w:rPr>
            </w:pPr>
          </w:p>
        </w:tc>
      </w:tr>
      <w:tr w:rsidR="00000000" w14:paraId="2E7AC3A8" w14:textId="77777777">
        <w:trPr>
          <w:trHeight w:val="300"/>
          <w:jc w:val="center"/>
        </w:trPr>
        <w:tc>
          <w:tcPr>
            <w:tcW w:w="0" w:type="auto"/>
            <w:gridSpan w:val="9"/>
            <w:tcMar>
              <w:top w:w="0" w:type="dxa"/>
              <w:left w:w="20" w:type="dxa"/>
              <w:bottom w:w="0" w:type="dxa"/>
              <w:right w:w="20" w:type="dxa"/>
            </w:tcMar>
            <w:vAlign w:val="center"/>
            <w:hideMark/>
          </w:tcPr>
          <w:p w14:paraId="02130385" w14:textId="77777777" w:rsidR="00000000" w:rsidRDefault="00A173A8">
            <w:pPr>
              <w:spacing w:after="100"/>
              <w:rPr>
                <w:rFonts w:eastAsia="Times New Roman"/>
                <w:sz w:val="20"/>
                <w:szCs w:val="20"/>
              </w:rPr>
            </w:pPr>
          </w:p>
        </w:tc>
      </w:tr>
      <w:tr w:rsidR="00000000" w14:paraId="7949D25D" w14:textId="77777777">
        <w:trPr>
          <w:jc w:val="center"/>
        </w:trPr>
        <w:tc>
          <w:tcPr>
            <w:tcW w:w="0" w:type="auto"/>
            <w:gridSpan w:val="3"/>
            <w:tcMar>
              <w:top w:w="0" w:type="dxa"/>
              <w:left w:w="20" w:type="dxa"/>
              <w:bottom w:w="0" w:type="dxa"/>
              <w:right w:w="20" w:type="dxa"/>
            </w:tcMar>
            <w:vAlign w:val="center"/>
            <w:hideMark/>
          </w:tcPr>
          <w:p w14:paraId="36B0E2AB"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AF49469" w14:textId="77777777" w:rsidR="00000000" w:rsidRDefault="00A173A8">
            <w:pPr>
              <w:spacing w:after="100"/>
              <w:jc w:val="center"/>
              <w:rPr>
                <w:rFonts w:eastAsia="Times New Roman"/>
              </w:rPr>
            </w:pPr>
            <w:r>
              <w:rPr>
                <w:rFonts w:eastAsia="Times New Roman"/>
                <w:color w:val="000000"/>
                <w:sz w:val="16"/>
                <w:szCs w:val="16"/>
              </w:rPr>
              <w:t>84</w:t>
            </w:r>
          </w:p>
        </w:tc>
        <w:tc>
          <w:tcPr>
            <w:tcW w:w="0" w:type="auto"/>
            <w:gridSpan w:val="3"/>
            <w:tcMar>
              <w:top w:w="30" w:type="dxa"/>
              <w:left w:w="20" w:type="dxa"/>
              <w:bottom w:w="30" w:type="dxa"/>
              <w:right w:w="20" w:type="dxa"/>
            </w:tcMar>
            <w:vAlign w:val="bottom"/>
            <w:hideMark/>
          </w:tcPr>
          <w:p w14:paraId="53EE5543"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01830A0" w14:textId="77777777" w:rsidR="00000000" w:rsidRDefault="00A173A8">
      <w:pPr>
        <w:rPr>
          <w:rFonts w:eastAsia="Times New Roman"/>
        </w:rPr>
      </w:pPr>
      <w:r>
        <w:rPr>
          <w:rFonts w:eastAsia="Times New Roman"/>
        </w:rPr>
        <w:pict w14:anchorId="6682B5F1">
          <v:rect id="_x0000_i1109" style="width:0;height:1.5pt" o:hralign="center" o:hrstd="t" o:hr="t" fillcolor="#a0a0a0" stroked="f"/>
        </w:pict>
      </w:r>
    </w:p>
    <w:p w14:paraId="5B0E20E5" w14:textId="77777777" w:rsidR="00000000" w:rsidRDefault="00A173A8">
      <w:pPr>
        <w:jc w:val="both"/>
        <w:divId w:val="771165470"/>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14:paraId="501B8B0D" w14:textId="77777777">
        <w:trPr>
          <w:divId w:val="1862670321"/>
        </w:trPr>
        <w:tc>
          <w:tcPr>
            <w:tcW w:w="50" w:type="pct"/>
            <w:vAlign w:val="center"/>
            <w:hideMark/>
          </w:tcPr>
          <w:p w14:paraId="4810E8ED" w14:textId="77777777" w:rsidR="00000000" w:rsidRDefault="00A173A8">
            <w:pPr>
              <w:jc w:val="both"/>
              <w:rPr>
                <w:rFonts w:eastAsia="Times New Roman"/>
              </w:rPr>
            </w:pPr>
          </w:p>
        </w:tc>
        <w:tc>
          <w:tcPr>
            <w:tcW w:w="2839" w:type="pct"/>
            <w:vAlign w:val="center"/>
            <w:hideMark/>
          </w:tcPr>
          <w:p w14:paraId="4BC4AFFA" w14:textId="77777777" w:rsidR="00000000" w:rsidRDefault="00A173A8">
            <w:pPr>
              <w:spacing w:after="100"/>
              <w:rPr>
                <w:rFonts w:eastAsia="Times New Roman"/>
                <w:sz w:val="20"/>
                <w:szCs w:val="20"/>
              </w:rPr>
            </w:pPr>
          </w:p>
        </w:tc>
        <w:tc>
          <w:tcPr>
            <w:tcW w:w="5" w:type="pct"/>
            <w:vAlign w:val="center"/>
            <w:hideMark/>
          </w:tcPr>
          <w:p w14:paraId="539FE887" w14:textId="77777777" w:rsidR="00000000" w:rsidRDefault="00A173A8">
            <w:pPr>
              <w:spacing w:after="100"/>
              <w:rPr>
                <w:rFonts w:eastAsia="Times New Roman"/>
                <w:sz w:val="20"/>
                <w:szCs w:val="20"/>
              </w:rPr>
            </w:pPr>
          </w:p>
        </w:tc>
        <w:tc>
          <w:tcPr>
            <w:tcW w:w="5" w:type="pct"/>
            <w:vAlign w:val="center"/>
            <w:hideMark/>
          </w:tcPr>
          <w:p w14:paraId="38A873A9" w14:textId="77777777" w:rsidR="00000000" w:rsidRDefault="00A173A8">
            <w:pPr>
              <w:spacing w:after="100"/>
              <w:rPr>
                <w:rFonts w:eastAsia="Times New Roman"/>
                <w:sz w:val="20"/>
                <w:szCs w:val="20"/>
              </w:rPr>
            </w:pPr>
          </w:p>
        </w:tc>
        <w:tc>
          <w:tcPr>
            <w:tcW w:w="26" w:type="pct"/>
            <w:vAlign w:val="center"/>
            <w:hideMark/>
          </w:tcPr>
          <w:p w14:paraId="3169F476" w14:textId="77777777" w:rsidR="00000000" w:rsidRDefault="00A173A8">
            <w:pPr>
              <w:spacing w:after="100"/>
              <w:rPr>
                <w:rFonts w:eastAsia="Times New Roman"/>
                <w:sz w:val="20"/>
                <w:szCs w:val="20"/>
              </w:rPr>
            </w:pPr>
          </w:p>
        </w:tc>
        <w:tc>
          <w:tcPr>
            <w:tcW w:w="5" w:type="pct"/>
            <w:vAlign w:val="center"/>
            <w:hideMark/>
          </w:tcPr>
          <w:p w14:paraId="48D41315" w14:textId="77777777" w:rsidR="00000000" w:rsidRDefault="00A173A8">
            <w:pPr>
              <w:spacing w:after="100"/>
              <w:rPr>
                <w:rFonts w:eastAsia="Times New Roman"/>
                <w:sz w:val="20"/>
                <w:szCs w:val="20"/>
              </w:rPr>
            </w:pPr>
          </w:p>
        </w:tc>
        <w:tc>
          <w:tcPr>
            <w:tcW w:w="50" w:type="pct"/>
            <w:vAlign w:val="center"/>
            <w:hideMark/>
          </w:tcPr>
          <w:p w14:paraId="0AECD9A9" w14:textId="77777777" w:rsidR="00000000" w:rsidRDefault="00A173A8">
            <w:pPr>
              <w:spacing w:after="100"/>
              <w:rPr>
                <w:rFonts w:eastAsia="Times New Roman"/>
                <w:sz w:val="20"/>
                <w:szCs w:val="20"/>
              </w:rPr>
            </w:pPr>
          </w:p>
        </w:tc>
        <w:tc>
          <w:tcPr>
            <w:tcW w:w="434" w:type="pct"/>
            <w:vAlign w:val="center"/>
            <w:hideMark/>
          </w:tcPr>
          <w:p w14:paraId="3B66D162" w14:textId="77777777" w:rsidR="00000000" w:rsidRDefault="00A173A8">
            <w:pPr>
              <w:spacing w:after="100"/>
              <w:rPr>
                <w:rFonts w:eastAsia="Times New Roman"/>
                <w:sz w:val="20"/>
                <w:szCs w:val="20"/>
              </w:rPr>
            </w:pPr>
          </w:p>
        </w:tc>
        <w:tc>
          <w:tcPr>
            <w:tcW w:w="5" w:type="pct"/>
            <w:vAlign w:val="center"/>
            <w:hideMark/>
          </w:tcPr>
          <w:p w14:paraId="727B5DC9" w14:textId="77777777" w:rsidR="00000000" w:rsidRDefault="00A173A8">
            <w:pPr>
              <w:spacing w:after="100"/>
              <w:rPr>
                <w:rFonts w:eastAsia="Times New Roman"/>
                <w:sz w:val="20"/>
                <w:szCs w:val="20"/>
              </w:rPr>
            </w:pPr>
          </w:p>
        </w:tc>
        <w:tc>
          <w:tcPr>
            <w:tcW w:w="5" w:type="pct"/>
            <w:vAlign w:val="center"/>
            <w:hideMark/>
          </w:tcPr>
          <w:p w14:paraId="01C9E946" w14:textId="77777777" w:rsidR="00000000" w:rsidRDefault="00A173A8">
            <w:pPr>
              <w:spacing w:after="100"/>
              <w:rPr>
                <w:rFonts w:eastAsia="Times New Roman"/>
                <w:sz w:val="20"/>
                <w:szCs w:val="20"/>
              </w:rPr>
            </w:pPr>
          </w:p>
        </w:tc>
        <w:tc>
          <w:tcPr>
            <w:tcW w:w="26" w:type="pct"/>
            <w:vAlign w:val="center"/>
            <w:hideMark/>
          </w:tcPr>
          <w:p w14:paraId="3A06E2A5" w14:textId="77777777" w:rsidR="00000000" w:rsidRDefault="00A173A8">
            <w:pPr>
              <w:spacing w:after="100"/>
              <w:rPr>
                <w:rFonts w:eastAsia="Times New Roman"/>
                <w:sz w:val="20"/>
                <w:szCs w:val="20"/>
              </w:rPr>
            </w:pPr>
          </w:p>
        </w:tc>
        <w:tc>
          <w:tcPr>
            <w:tcW w:w="5" w:type="pct"/>
            <w:vAlign w:val="center"/>
            <w:hideMark/>
          </w:tcPr>
          <w:p w14:paraId="3531A0F9" w14:textId="77777777" w:rsidR="00000000" w:rsidRDefault="00A173A8">
            <w:pPr>
              <w:spacing w:after="100"/>
              <w:rPr>
                <w:rFonts w:eastAsia="Times New Roman"/>
                <w:sz w:val="20"/>
                <w:szCs w:val="20"/>
              </w:rPr>
            </w:pPr>
          </w:p>
        </w:tc>
        <w:tc>
          <w:tcPr>
            <w:tcW w:w="50" w:type="pct"/>
            <w:vAlign w:val="center"/>
            <w:hideMark/>
          </w:tcPr>
          <w:p w14:paraId="4BF93072" w14:textId="77777777" w:rsidR="00000000" w:rsidRDefault="00A173A8">
            <w:pPr>
              <w:spacing w:after="100"/>
              <w:rPr>
                <w:rFonts w:eastAsia="Times New Roman"/>
                <w:sz w:val="20"/>
                <w:szCs w:val="20"/>
              </w:rPr>
            </w:pPr>
          </w:p>
        </w:tc>
        <w:tc>
          <w:tcPr>
            <w:tcW w:w="434" w:type="pct"/>
            <w:vAlign w:val="center"/>
            <w:hideMark/>
          </w:tcPr>
          <w:p w14:paraId="31C463E6" w14:textId="77777777" w:rsidR="00000000" w:rsidRDefault="00A173A8">
            <w:pPr>
              <w:spacing w:after="100"/>
              <w:rPr>
                <w:rFonts w:eastAsia="Times New Roman"/>
                <w:sz w:val="20"/>
                <w:szCs w:val="20"/>
              </w:rPr>
            </w:pPr>
          </w:p>
        </w:tc>
        <w:tc>
          <w:tcPr>
            <w:tcW w:w="5" w:type="pct"/>
            <w:vAlign w:val="center"/>
            <w:hideMark/>
          </w:tcPr>
          <w:p w14:paraId="56394A44" w14:textId="77777777" w:rsidR="00000000" w:rsidRDefault="00A173A8">
            <w:pPr>
              <w:spacing w:after="100"/>
              <w:rPr>
                <w:rFonts w:eastAsia="Times New Roman"/>
                <w:sz w:val="20"/>
                <w:szCs w:val="20"/>
              </w:rPr>
            </w:pPr>
          </w:p>
        </w:tc>
        <w:tc>
          <w:tcPr>
            <w:tcW w:w="5" w:type="pct"/>
            <w:vAlign w:val="center"/>
            <w:hideMark/>
          </w:tcPr>
          <w:p w14:paraId="6EE2F921" w14:textId="77777777" w:rsidR="00000000" w:rsidRDefault="00A173A8">
            <w:pPr>
              <w:spacing w:after="100"/>
              <w:rPr>
                <w:rFonts w:eastAsia="Times New Roman"/>
                <w:sz w:val="20"/>
                <w:szCs w:val="20"/>
              </w:rPr>
            </w:pPr>
          </w:p>
        </w:tc>
        <w:tc>
          <w:tcPr>
            <w:tcW w:w="26" w:type="pct"/>
            <w:vAlign w:val="center"/>
            <w:hideMark/>
          </w:tcPr>
          <w:p w14:paraId="147C4C72" w14:textId="77777777" w:rsidR="00000000" w:rsidRDefault="00A173A8">
            <w:pPr>
              <w:spacing w:after="100"/>
              <w:rPr>
                <w:rFonts w:eastAsia="Times New Roman"/>
                <w:sz w:val="20"/>
                <w:szCs w:val="20"/>
              </w:rPr>
            </w:pPr>
          </w:p>
        </w:tc>
        <w:tc>
          <w:tcPr>
            <w:tcW w:w="5" w:type="pct"/>
            <w:vAlign w:val="center"/>
            <w:hideMark/>
          </w:tcPr>
          <w:p w14:paraId="7F8D62CA" w14:textId="77777777" w:rsidR="00000000" w:rsidRDefault="00A173A8">
            <w:pPr>
              <w:spacing w:after="100"/>
              <w:rPr>
                <w:rFonts w:eastAsia="Times New Roman"/>
                <w:sz w:val="20"/>
                <w:szCs w:val="20"/>
              </w:rPr>
            </w:pPr>
          </w:p>
        </w:tc>
        <w:tc>
          <w:tcPr>
            <w:tcW w:w="50" w:type="pct"/>
            <w:vAlign w:val="center"/>
            <w:hideMark/>
          </w:tcPr>
          <w:p w14:paraId="6E13D41E" w14:textId="77777777" w:rsidR="00000000" w:rsidRDefault="00A173A8">
            <w:pPr>
              <w:spacing w:after="100"/>
              <w:rPr>
                <w:rFonts w:eastAsia="Times New Roman"/>
                <w:sz w:val="20"/>
                <w:szCs w:val="20"/>
              </w:rPr>
            </w:pPr>
          </w:p>
        </w:tc>
        <w:tc>
          <w:tcPr>
            <w:tcW w:w="434" w:type="pct"/>
            <w:vAlign w:val="center"/>
            <w:hideMark/>
          </w:tcPr>
          <w:p w14:paraId="09BD831B" w14:textId="77777777" w:rsidR="00000000" w:rsidRDefault="00A173A8">
            <w:pPr>
              <w:spacing w:after="100"/>
              <w:rPr>
                <w:rFonts w:eastAsia="Times New Roman"/>
                <w:sz w:val="20"/>
                <w:szCs w:val="20"/>
              </w:rPr>
            </w:pPr>
          </w:p>
        </w:tc>
        <w:tc>
          <w:tcPr>
            <w:tcW w:w="5" w:type="pct"/>
            <w:vAlign w:val="center"/>
            <w:hideMark/>
          </w:tcPr>
          <w:p w14:paraId="465B4E31" w14:textId="77777777" w:rsidR="00000000" w:rsidRDefault="00A173A8">
            <w:pPr>
              <w:spacing w:after="100"/>
              <w:rPr>
                <w:rFonts w:eastAsia="Times New Roman"/>
                <w:sz w:val="20"/>
                <w:szCs w:val="20"/>
              </w:rPr>
            </w:pPr>
          </w:p>
        </w:tc>
        <w:tc>
          <w:tcPr>
            <w:tcW w:w="5" w:type="pct"/>
            <w:vAlign w:val="center"/>
            <w:hideMark/>
          </w:tcPr>
          <w:p w14:paraId="37D38E29" w14:textId="77777777" w:rsidR="00000000" w:rsidRDefault="00A173A8">
            <w:pPr>
              <w:spacing w:after="100"/>
              <w:rPr>
                <w:rFonts w:eastAsia="Times New Roman"/>
                <w:sz w:val="20"/>
                <w:szCs w:val="20"/>
              </w:rPr>
            </w:pPr>
          </w:p>
        </w:tc>
        <w:tc>
          <w:tcPr>
            <w:tcW w:w="26" w:type="pct"/>
            <w:vAlign w:val="center"/>
            <w:hideMark/>
          </w:tcPr>
          <w:p w14:paraId="4A018500" w14:textId="77777777" w:rsidR="00000000" w:rsidRDefault="00A173A8">
            <w:pPr>
              <w:spacing w:after="100"/>
              <w:rPr>
                <w:rFonts w:eastAsia="Times New Roman"/>
                <w:sz w:val="20"/>
                <w:szCs w:val="20"/>
              </w:rPr>
            </w:pPr>
          </w:p>
        </w:tc>
        <w:tc>
          <w:tcPr>
            <w:tcW w:w="5" w:type="pct"/>
            <w:vAlign w:val="center"/>
            <w:hideMark/>
          </w:tcPr>
          <w:p w14:paraId="37581D21" w14:textId="77777777" w:rsidR="00000000" w:rsidRDefault="00A173A8">
            <w:pPr>
              <w:spacing w:after="100"/>
              <w:rPr>
                <w:rFonts w:eastAsia="Times New Roman"/>
                <w:sz w:val="20"/>
                <w:szCs w:val="20"/>
              </w:rPr>
            </w:pPr>
          </w:p>
        </w:tc>
        <w:tc>
          <w:tcPr>
            <w:tcW w:w="0" w:type="auto"/>
            <w:vAlign w:val="center"/>
            <w:hideMark/>
          </w:tcPr>
          <w:p w14:paraId="4A624372" w14:textId="77777777" w:rsidR="00000000" w:rsidRDefault="00A173A8">
            <w:pPr>
              <w:spacing w:after="100"/>
              <w:rPr>
                <w:rFonts w:eastAsia="Times New Roman"/>
                <w:sz w:val="20"/>
                <w:szCs w:val="20"/>
              </w:rPr>
            </w:pPr>
          </w:p>
        </w:tc>
        <w:tc>
          <w:tcPr>
            <w:tcW w:w="0" w:type="auto"/>
            <w:gridSpan w:val="3"/>
            <w:vAlign w:val="center"/>
            <w:hideMark/>
          </w:tcPr>
          <w:p w14:paraId="36C238B1" w14:textId="77777777" w:rsidR="00000000" w:rsidRDefault="00A173A8">
            <w:pPr>
              <w:spacing w:after="100"/>
              <w:rPr>
                <w:rFonts w:eastAsia="Times New Roman"/>
                <w:sz w:val="20"/>
                <w:szCs w:val="20"/>
              </w:rPr>
            </w:pPr>
          </w:p>
        </w:tc>
        <w:tc>
          <w:tcPr>
            <w:tcW w:w="50" w:type="pct"/>
            <w:vAlign w:val="center"/>
            <w:hideMark/>
          </w:tcPr>
          <w:p w14:paraId="5405B4B1" w14:textId="77777777" w:rsidR="00000000" w:rsidRDefault="00A173A8">
            <w:pPr>
              <w:spacing w:after="100"/>
              <w:rPr>
                <w:rFonts w:eastAsia="Times New Roman"/>
                <w:sz w:val="20"/>
                <w:szCs w:val="20"/>
              </w:rPr>
            </w:pPr>
          </w:p>
        </w:tc>
        <w:tc>
          <w:tcPr>
            <w:tcW w:w="435" w:type="pct"/>
            <w:vAlign w:val="center"/>
            <w:hideMark/>
          </w:tcPr>
          <w:p w14:paraId="79F1D4B2" w14:textId="77777777" w:rsidR="00000000" w:rsidRDefault="00A173A8">
            <w:pPr>
              <w:spacing w:after="100"/>
              <w:rPr>
                <w:rFonts w:eastAsia="Times New Roman"/>
                <w:sz w:val="20"/>
                <w:szCs w:val="20"/>
              </w:rPr>
            </w:pPr>
          </w:p>
        </w:tc>
        <w:tc>
          <w:tcPr>
            <w:tcW w:w="5" w:type="pct"/>
            <w:vAlign w:val="center"/>
            <w:hideMark/>
          </w:tcPr>
          <w:p w14:paraId="4D79AE2B" w14:textId="77777777" w:rsidR="00000000" w:rsidRDefault="00A173A8">
            <w:pPr>
              <w:spacing w:after="100"/>
              <w:rPr>
                <w:rFonts w:eastAsia="Times New Roman"/>
                <w:sz w:val="20"/>
                <w:szCs w:val="20"/>
              </w:rPr>
            </w:pPr>
          </w:p>
        </w:tc>
      </w:tr>
      <w:tr w:rsidR="00000000" w14:paraId="258AE72C" w14:textId="77777777">
        <w:trPr>
          <w:divId w:val="1862670321"/>
        </w:trPr>
        <w:tc>
          <w:tcPr>
            <w:tcW w:w="0" w:type="auto"/>
            <w:gridSpan w:val="3"/>
            <w:tcMar>
              <w:top w:w="0" w:type="dxa"/>
              <w:left w:w="20" w:type="dxa"/>
              <w:bottom w:w="0" w:type="dxa"/>
              <w:right w:w="20" w:type="dxa"/>
            </w:tcMar>
            <w:vAlign w:val="center"/>
            <w:hideMark/>
          </w:tcPr>
          <w:p w14:paraId="4BB24CF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404288" w14:textId="77777777" w:rsidR="00000000" w:rsidRDefault="00A173A8">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46450CDC" w14:textId="77777777" w:rsidR="00000000" w:rsidRDefault="00A173A8">
            <w:pPr>
              <w:spacing w:after="100"/>
              <w:jc w:val="center"/>
              <w:rPr>
                <w:rFonts w:eastAsia="Times New Roman"/>
              </w:rPr>
            </w:pPr>
            <w:r>
              <w:rPr>
                <w:rFonts w:eastAsia="Times New Roman"/>
                <w:b/>
                <w:bCs/>
                <w:color w:val="000000"/>
                <w:sz w:val="16"/>
                <w:szCs w:val="16"/>
              </w:rPr>
              <w:t>Six Months Ended June 30, 2022</w:t>
            </w:r>
          </w:p>
        </w:tc>
        <w:tc>
          <w:tcPr>
            <w:tcW w:w="0" w:type="auto"/>
            <w:vAlign w:val="center"/>
            <w:hideMark/>
          </w:tcPr>
          <w:p w14:paraId="620B2943" w14:textId="77777777" w:rsidR="00000000" w:rsidRDefault="00A173A8">
            <w:pPr>
              <w:spacing w:after="100"/>
              <w:rPr>
                <w:rFonts w:eastAsia="Times New Roman"/>
                <w:sz w:val="20"/>
                <w:szCs w:val="20"/>
              </w:rPr>
            </w:pPr>
          </w:p>
        </w:tc>
        <w:tc>
          <w:tcPr>
            <w:tcW w:w="0" w:type="auto"/>
            <w:vAlign w:val="center"/>
            <w:hideMark/>
          </w:tcPr>
          <w:p w14:paraId="613AEB45" w14:textId="77777777" w:rsidR="00000000" w:rsidRDefault="00A173A8">
            <w:pPr>
              <w:spacing w:after="100"/>
              <w:rPr>
                <w:rFonts w:eastAsia="Times New Roman"/>
                <w:sz w:val="20"/>
                <w:szCs w:val="20"/>
              </w:rPr>
            </w:pPr>
          </w:p>
        </w:tc>
        <w:tc>
          <w:tcPr>
            <w:tcW w:w="0" w:type="auto"/>
            <w:vAlign w:val="center"/>
            <w:hideMark/>
          </w:tcPr>
          <w:p w14:paraId="2C60A08B" w14:textId="77777777" w:rsidR="00000000" w:rsidRDefault="00A173A8">
            <w:pPr>
              <w:spacing w:after="100"/>
              <w:rPr>
                <w:rFonts w:eastAsia="Times New Roman"/>
                <w:sz w:val="20"/>
                <w:szCs w:val="20"/>
              </w:rPr>
            </w:pPr>
          </w:p>
        </w:tc>
        <w:tc>
          <w:tcPr>
            <w:tcW w:w="0" w:type="auto"/>
            <w:vAlign w:val="center"/>
            <w:hideMark/>
          </w:tcPr>
          <w:p w14:paraId="11FBAC3F" w14:textId="77777777" w:rsidR="00000000" w:rsidRDefault="00A173A8">
            <w:pPr>
              <w:spacing w:after="100"/>
              <w:rPr>
                <w:rFonts w:eastAsia="Times New Roman"/>
                <w:sz w:val="20"/>
                <w:szCs w:val="20"/>
              </w:rPr>
            </w:pPr>
          </w:p>
        </w:tc>
        <w:tc>
          <w:tcPr>
            <w:tcW w:w="0" w:type="auto"/>
            <w:vAlign w:val="center"/>
            <w:hideMark/>
          </w:tcPr>
          <w:p w14:paraId="7F0BA5C1" w14:textId="77777777" w:rsidR="00000000" w:rsidRDefault="00A173A8">
            <w:pPr>
              <w:spacing w:after="100"/>
              <w:rPr>
                <w:rFonts w:eastAsia="Times New Roman"/>
                <w:sz w:val="20"/>
                <w:szCs w:val="20"/>
              </w:rPr>
            </w:pPr>
          </w:p>
        </w:tc>
        <w:tc>
          <w:tcPr>
            <w:tcW w:w="0" w:type="auto"/>
            <w:vAlign w:val="center"/>
            <w:hideMark/>
          </w:tcPr>
          <w:p w14:paraId="7CE2D824" w14:textId="77777777" w:rsidR="00000000" w:rsidRDefault="00A173A8">
            <w:pPr>
              <w:spacing w:after="100"/>
              <w:rPr>
                <w:rFonts w:eastAsia="Times New Roman"/>
                <w:sz w:val="20"/>
                <w:szCs w:val="20"/>
              </w:rPr>
            </w:pPr>
          </w:p>
        </w:tc>
      </w:tr>
      <w:tr w:rsidR="00000000" w14:paraId="78F798C5" w14:textId="77777777">
        <w:trPr>
          <w:divId w:val="1862670321"/>
        </w:trPr>
        <w:tc>
          <w:tcPr>
            <w:tcW w:w="0" w:type="auto"/>
            <w:gridSpan w:val="3"/>
            <w:tcBorders>
              <w:bottom w:val="single" w:sz="8" w:space="0" w:color="000000"/>
            </w:tcBorders>
            <w:tcMar>
              <w:top w:w="30" w:type="dxa"/>
              <w:left w:w="20" w:type="dxa"/>
              <w:bottom w:w="30" w:type="dxa"/>
              <w:right w:w="20" w:type="dxa"/>
            </w:tcMar>
            <w:vAlign w:val="bottom"/>
            <w:hideMark/>
          </w:tcPr>
          <w:p w14:paraId="5CD353D5"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243EBD8"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BB92A9"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20F64B6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B707AF"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FAE7B92"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C77651" w14:textId="77777777" w:rsidR="00000000" w:rsidRDefault="00A173A8">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3612D8F1" w14:textId="77777777" w:rsidR="00000000" w:rsidRDefault="00A173A8">
            <w:pPr>
              <w:spacing w:after="100"/>
              <w:jc w:val="center"/>
              <w:rPr>
                <w:rFonts w:eastAsia="Times New Roman"/>
              </w:rPr>
            </w:pPr>
          </w:p>
        </w:tc>
        <w:tc>
          <w:tcPr>
            <w:tcW w:w="0" w:type="auto"/>
            <w:vAlign w:val="center"/>
            <w:hideMark/>
          </w:tcPr>
          <w:p w14:paraId="0C197563" w14:textId="77777777" w:rsidR="00000000" w:rsidRDefault="00A173A8">
            <w:pPr>
              <w:spacing w:after="100"/>
              <w:rPr>
                <w:rFonts w:eastAsia="Times New Roman"/>
                <w:sz w:val="20"/>
                <w:szCs w:val="20"/>
              </w:rPr>
            </w:pPr>
          </w:p>
        </w:tc>
        <w:tc>
          <w:tcPr>
            <w:tcW w:w="0" w:type="auto"/>
            <w:gridSpan w:val="3"/>
            <w:vAlign w:val="center"/>
            <w:hideMark/>
          </w:tcPr>
          <w:p w14:paraId="47B916A7"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2A6EDA5"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0110FA4B" w14:textId="77777777">
        <w:trPr>
          <w:divId w:val="186267032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DACC8DC" w14:textId="77777777" w:rsidR="00000000" w:rsidRDefault="00A173A8">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78A26D2B"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43153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92A07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24121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D6A9A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389AB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94D0F2" w14:textId="77777777" w:rsidR="00000000" w:rsidRDefault="00A173A8">
            <w:pPr>
              <w:spacing w:after="100"/>
              <w:rPr>
                <w:rFonts w:eastAsia="Times New Roman"/>
                <w:sz w:val="20"/>
                <w:szCs w:val="20"/>
              </w:rPr>
            </w:pPr>
          </w:p>
        </w:tc>
        <w:tc>
          <w:tcPr>
            <w:tcW w:w="0" w:type="auto"/>
            <w:vAlign w:val="center"/>
            <w:hideMark/>
          </w:tcPr>
          <w:p w14:paraId="3C20CC06" w14:textId="77777777" w:rsidR="00000000" w:rsidRDefault="00A173A8">
            <w:pPr>
              <w:spacing w:after="100"/>
              <w:rPr>
                <w:rFonts w:eastAsia="Times New Roman"/>
                <w:sz w:val="20"/>
                <w:szCs w:val="20"/>
              </w:rPr>
            </w:pPr>
          </w:p>
        </w:tc>
        <w:tc>
          <w:tcPr>
            <w:tcW w:w="0" w:type="auto"/>
            <w:gridSpan w:val="3"/>
            <w:vAlign w:val="center"/>
            <w:hideMark/>
          </w:tcPr>
          <w:p w14:paraId="513FE28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E2923D" w14:textId="77777777" w:rsidR="00000000" w:rsidRDefault="00A173A8">
            <w:pPr>
              <w:spacing w:after="100"/>
              <w:rPr>
                <w:rFonts w:eastAsia="Times New Roman"/>
                <w:sz w:val="20"/>
                <w:szCs w:val="20"/>
              </w:rPr>
            </w:pPr>
          </w:p>
        </w:tc>
      </w:tr>
      <w:tr w:rsidR="00000000" w14:paraId="66A7CDA1" w14:textId="77777777">
        <w:trPr>
          <w:divId w:val="1862670321"/>
        </w:trPr>
        <w:tc>
          <w:tcPr>
            <w:tcW w:w="0" w:type="auto"/>
            <w:gridSpan w:val="3"/>
            <w:shd w:val="clear" w:color="auto" w:fill="FFFFFF"/>
            <w:tcMar>
              <w:top w:w="30" w:type="dxa"/>
              <w:left w:w="20" w:type="dxa"/>
              <w:bottom w:w="30" w:type="dxa"/>
              <w:right w:w="20" w:type="dxa"/>
            </w:tcMar>
            <w:vAlign w:val="center"/>
            <w:hideMark/>
          </w:tcPr>
          <w:p w14:paraId="035EB158" w14:textId="77777777" w:rsidR="00000000" w:rsidRDefault="00A173A8">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FFFFFF"/>
            <w:tcMar>
              <w:top w:w="0" w:type="dxa"/>
              <w:left w:w="20" w:type="dxa"/>
              <w:bottom w:w="0" w:type="dxa"/>
              <w:right w:w="20" w:type="dxa"/>
            </w:tcMar>
            <w:vAlign w:val="center"/>
            <w:hideMark/>
          </w:tcPr>
          <w:p w14:paraId="62C622E2"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663519F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E32F05B" w14:textId="77777777" w:rsidR="00000000" w:rsidRDefault="00A173A8">
            <w:pPr>
              <w:spacing w:after="100"/>
              <w:jc w:val="right"/>
              <w:rPr>
                <w:rFonts w:eastAsia="Times New Roman"/>
              </w:rPr>
            </w:pPr>
            <w:r>
              <w:rPr>
                <w:rFonts w:eastAsia="Times New Roman"/>
                <w:color w:val="000000"/>
                <w:sz w:val="18"/>
                <w:szCs w:val="18"/>
              </w:rPr>
              <w:t>8,345 </w:t>
            </w:r>
          </w:p>
        </w:tc>
        <w:tc>
          <w:tcPr>
            <w:tcW w:w="0" w:type="auto"/>
            <w:shd w:val="clear" w:color="auto" w:fill="FFFFFF"/>
            <w:tcMar>
              <w:top w:w="30" w:type="dxa"/>
              <w:left w:w="0" w:type="dxa"/>
              <w:bottom w:w="30" w:type="dxa"/>
              <w:right w:w="20" w:type="dxa"/>
            </w:tcMar>
            <w:vAlign w:val="center"/>
            <w:hideMark/>
          </w:tcPr>
          <w:p w14:paraId="233B86B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AC72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BA8273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CF584AE" w14:textId="77777777" w:rsidR="00000000" w:rsidRDefault="00A173A8">
            <w:pPr>
              <w:spacing w:after="100"/>
              <w:jc w:val="right"/>
              <w:rPr>
                <w:rFonts w:eastAsia="Times New Roman"/>
              </w:rPr>
            </w:pPr>
            <w:r>
              <w:rPr>
                <w:rFonts w:eastAsia="Times New Roman"/>
                <w:color w:val="000000"/>
                <w:sz w:val="18"/>
                <w:szCs w:val="18"/>
              </w:rPr>
              <w:t>1,918 </w:t>
            </w:r>
          </w:p>
        </w:tc>
        <w:tc>
          <w:tcPr>
            <w:tcW w:w="0" w:type="auto"/>
            <w:shd w:val="clear" w:color="auto" w:fill="FFFFFF"/>
            <w:tcMar>
              <w:top w:w="30" w:type="dxa"/>
              <w:left w:w="0" w:type="dxa"/>
              <w:bottom w:w="30" w:type="dxa"/>
              <w:right w:w="20" w:type="dxa"/>
            </w:tcMar>
            <w:vAlign w:val="center"/>
            <w:hideMark/>
          </w:tcPr>
          <w:p w14:paraId="51EFF24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2EA3A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148FBF0"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7F5D790" w14:textId="77777777" w:rsidR="00000000" w:rsidRDefault="00A173A8">
            <w:pPr>
              <w:spacing w:after="100"/>
              <w:jc w:val="right"/>
              <w:rPr>
                <w:rFonts w:eastAsia="Times New Roman"/>
              </w:rPr>
            </w:pPr>
            <w:r>
              <w:rPr>
                <w:rFonts w:eastAsia="Times New Roman"/>
                <w:color w:val="000000"/>
                <w:sz w:val="18"/>
                <w:szCs w:val="18"/>
              </w:rPr>
              <w:t>1,167 </w:t>
            </w:r>
          </w:p>
        </w:tc>
        <w:tc>
          <w:tcPr>
            <w:tcW w:w="0" w:type="auto"/>
            <w:shd w:val="clear" w:color="auto" w:fill="FFFFFF"/>
            <w:tcMar>
              <w:top w:w="30" w:type="dxa"/>
              <w:left w:w="0" w:type="dxa"/>
              <w:bottom w:w="30" w:type="dxa"/>
              <w:right w:w="20" w:type="dxa"/>
            </w:tcMar>
            <w:vAlign w:val="center"/>
            <w:hideMark/>
          </w:tcPr>
          <w:p w14:paraId="5D5BA40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16BE1" w14:textId="77777777" w:rsidR="00000000" w:rsidRDefault="00A173A8">
            <w:pPr>
              <w:spacing w:after="100"/>
              <w:jc w:val="right"/>
              <w:rPr>
                <w:rFonts w:eastAsia="Times New Roman"/>
                <w:sz w:val="20"/>
                <w:szCs w:val="20"/>
              </w:rPr>
            </w:pPr>
          </w:p>
        </w:tc>
        <w:tc>
          <w:tcPr>
            <w:tcW w:w="0" w:type="auto"/>
            <w:vAlign w:val="center"/>
            <w:hideMark/>
          </w:tcPr>
          <w:p w14:paraId="74845274" w14:textId="77777777" w:rsidR="00000000" w:rsidRDefault="00A173A8">
            <w:pPr>
              <w:spacing w:after="100"/>
              <w:rPr>
                <w:rFonts w:eastAsia="Times New Roman"/>
                <w:sz w:val="20"/>
                <w:szCs w:val="20"/>
              </w:rPr>
            </w:pPr>
          </w:p>
        </w:tc>
        <w:tc>
          <w:tcPr>
            <w:tcW w:w="0" w:type="auto"/>
            <w:gridSpan w:val="3"/>
            <w:vAlign w:val="center"/>
            <w:hideMark/>
          </w:tcPr>
          <w:p w14:paraId="135C236E" w14:textId="77777777" w:rsidR="00000000" w:rsidRDefault="00A173A8">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0C7ED0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0DD1CFB" w14:textId="77777777" w:rsidR="00000000" w:rsidRDefault="00A173A8">
            <w:pPr>
              <w:spacing w:after="100"/>
              <w:jc w:val="right"/>
              <w:rPr>
                <w:rFonts w:eastAsia="Times New Roman"/>
              </w:rPr>
            </w:pPr>
            <w:r>
              <w:rPr>
                <w:rFonts w:eastAsia="Times New Roman"/>
                <w:color w:val="000000"/>
                <w:sz w:val="18"/>
                <w:szCs w:val="18"/>
              </w:rPr>
              <w:t>11,430 </w:t>
            </w:r>
          </w:p>
        </w:tc>
        <w:tc>
          <w:tcPr>
            <w:tcW w:w="0" w:type="auto"/>
            <w:shd w:val="clear" w:color="auto" w:fill="FFFFFF"/>
            <w:tcMar>
              <w:top w:w="30" w:type="dxa"/>
              <w:left w:w="0" w:type="dxa"/>
              <w:bottom w:w="30" w:type="dxa"/>
              <w:right w:w="20" w:type="dxa"/>
            </w:tcMar>
            <w:vAlign w:val="center"/>
            <w:hideMark/>
          </w:tcPr>
          <w:p w14:paraId="5DAD9130" w14:textId="77777777" w:rsidR="00000000" w:rsidRDefault="00A173A8">
            <w:pPr>
              <w:spacing w:after="100"/>
              <w:jc w:val="right"/>
              <w:rPr>
                <w:rFonts w:eastAsia="Times New Roman"/>
              </w:rPr>
            </w:pPr>
          </w:p>
        </w:tc>
      </w:tr>
      <w:tr w:rsidR="00000000" w14:paraId="39F2B813" w14:textId="77777777">
        <w:trPr>
          <w:divId w:val="1862670321"/>
        </w:trPr>
        <w:tc>
          <w:tcPr>
            <w:tcW w:w="0" w:type="auto"/>
            <w:gridSpan w:val="3"/>
            <w:shd w:val="clear" w:color="auto" w:fill="CCEEFF"/>
            <w:tcMar>
              <w:top w:w="30" w:type="dxa"/>
              <w:left w:w="20" w:type="dxa"/>
              <w:bottom w:w="30" w:type="dxa"/>
              <w:right w:w="20" w:type="dxa"/>
            </w:tcMar>
            <w:vAlign w:val="center"/>
            <w:hideMark/>
          </w:tcPr>
          <w:p w14:paraId="4E88889B" w14:textId="77777777" w:rsidR="00000000" w:rsidRDefault="00A173A8">
            <w:pPr>
              <w:spacing w:after="100"/>
              <w:divId w:val="1034188468"/>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66ED8A7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E596C7" w14:textId="77777777" w:rsidR="00000000" w:rsidRDefault="00A173A8">
            <w:pPr>
              <w:spacing w:after="100"/>
              <w:jc w:val="right"/>
              <w:rPr>
                <w:rFonts w:eastAsia="Times New Roman"/>
              </w:rPr>
            </w:pPr>
            <w:r>
              <w:rPr>
                <w:rFonts w:eastAsia="Times New Roman"/>
                <w:b/>
                <w:bCs/>
                <w:color w:val="000000"/>
                <w:sz w:val="18"/>
                <w:szCs w:val="18"/>
              </w:rPr>
              <w:t>(</w:t>
            </w:r>
            <w:r>
              <w:rPr>
                <w:rFonts w:eastAsia="Times New Roman"/>
                <w:b/>
                <w:bCs/>
                <w:color w:val="000000"/>
                <w:sz w:val="18"/>
                <w:szCs w:val="18"/>
              </w:rPr>
              <w:t>1,964)</w:t>
            </w:r>
          </w:p>
        </w:tc>
        <w:tc>
          <w:tcPr>
            <w:tcW w:w="0" w:type="auto"/>
            <w:shd w:val="clear" w:color="auto" w:fill="CCEEFF"/>
            <w:tcMar>
              <w:top w:w="30" w:type="dxa"/>
              <w:left w:w="0" w:type="dxa"/>
              <w:bottom w:w="30" w:type="dxa"/>
              <w:right w:w="20" w:type="dxa"/>
            </w:tcMar>
            <w:vAlign w:val="center"/>
            <w:hideMark/>
          </w:tcPr>
          <w:p w14:paraId="1FD615D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02F1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EAA333" w14:textId="77777777" w:rsidR="00000000" w:rsidRDefault="00A173A8">
            <w:pPr>
              <w:spacing w:after="100"/>
              <w:jc w:val="right"/>
              <w:rPr>
                <w:rFonts w:eastAsia="Times New Roman"/>
              </w:rPr>
            </w:pPr>
            <w:r>
              <w:rPr>
                <w:rFonts w:eastAsia="Times New Roman"/>
                <w:b/>
                <w:bCs/>
                <w:color w:val="000000"/>
                <w:sz w:val="18"/>
                <w:szCs w:val="18"/>
              </w:rPr>
              <w:t>(680)</w:t>
            </w:r>
          </w:p>
        </w:tc>
        <w:tc>
          <w:tcPr>
            <w:tcW w:w="0" w:type="auto"/>
            <w:shd w:val="clear" w:color="auto" w:fill="CCEEFF"/>
            <w:tcMar>
              <w:top w:w="30" w:type="dxa"/>
              <w:left w:w="0" w:type="dxa"/>
              <w:bottom w:w="30" w:type="dxa"/>
              <w:right w:w="20" w:type="dxa"/>
            </w:tcMar>
            <w:vAlign w:val="center"/>
            <w:hideMark/>
          </w:tcPr>
          <w:p w14:paraId="1A83B77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2253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F9EE9F" w14:textId="77777777" w:rsidR="00000000" w:rsidRDefault="00A173A8">
            <w:pPr>
              <w:spacing w:after="100"/>
              <w:jc w:val="right"/>
              <w:rPr>
                <w:rFonts w:eastAsia="Times New Roman"/>
              </w:rPr>
            </w:pPr>
            <w:r>
              <w:rPr>
                <w:rFonts w:eastAsia="Times New Roman"/>
                <w:b/>
                <w:bCs/>
                <w:color w:val="000000"/>
                <w:sz w:val="18"/>
                <w:szCs w:val="18"/>
              </w:rPr>
              <w:t>(60)</w:t>
            </w:r>
          </w:p>
        </w:tc>
        <w:tc>
          <w:tcPr>
            <w:tcW w:w="0" w:type="auto"/>
            <w:shd w:val="clear" w:color="auto" w:fill="CCEEFF"/>
            <w:tcMar>
              <w:top w:w="30" w:type="dxa"/>
              <w:left w:w="0" w:type="dxa"/>
              <w:bottom w:w="30" w:type="dxa"/>
              <w:right w:w="20" w:type="dxa"/>
            </w:tcMar>
            <w:vAlign w:val="center"/>
            <w:hideMark/>
          </w:tcPr>
          <w:p w14:paraId="0143FC1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2BC0C6" w14:textId="77777777" w:rsidR="00000000" w:rsidRDefault="00A173A8">
            <w:pPr>
              <w:spacing w:after="100"/>
              <w:jc w:val="right"/>
              <w:rPr>
                <w:rFonts w:eastAsia="Times New Roman"/>
                <w:sz w:val="20"/>
                <w:szCs w:val="20"/>
              </w:rPr>
            </w:pPr>
          </w:p>
        </w:tc>
        <w:tc>
          <w:tcPr>
            <w:tcW w:w="0" w:type="auto"/>
            <w:vAlign w:val="center"/>
            <w:hideMark/>
          </w:tcPr>
          <w:p w14:paraId="318F3669" w14:textId="77777777" w:rsidR="00000000" w:rsidRDefault="00A173A8">
            <w:pPr>
              <w:spacing w:after="100"/>
              <w:rPr>
                <w:rFonts w:eastAsia="Times New Roman"/>
                <w:sz w:val="20"/>
                <w:szCs w:val="20"/>
              </w:rPr>
            </w:pPr>
          </w:p>
        </w:tc>
        <w:tc>
          <w:tcPr>
            <w:tcW w:w="0" w:type="auto"/>
            <w:gridSpan w:val="3"/>
            <w:vAlign w:val="center"/>
            <w:hideMark/>
          </w:tcPr>
          <w:p w14:paraId="5E272E40"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26361D" w14:textId="77777777" w:rsidR="00000000" w:rsidRDefault="00A173A8">
            <w:pPr>
              <w:spacing w:after="100"/>
              <w:jc w:val="right"/>
              <w:rPr>
                <w:rFonts w:eastAsia="Times New Roman"/>
              </w:rPr>
            </w:pPr>
            <w:r>
              <w:rPr>
                <w:rFonts w:eastAsia="Times New Roman"/>
                <w:b/>
                <w:bCs/>
                <w:color w:val="000000"/>
                <w:sz w:val="18"/>
                <w:szCs w:val="18"/>
              </w:rPr>
              <w:t>(2,704)</w:t>
            </w:r>
          </w:p>
        </w:tc>
        <w:tc>
          <w:tcPr>
            <w:tcW w:w="0" w:type="auto"/>
            <w:shd w:val="clear" w:color="auto" w:fill="CCEEFF"/>
            <w:tcMar>
              <w:top w:w="30" w:type="dxa"/>
              <w:left w:w="0" w:type="dxa"/>
              <w:bottom w:w="30" w:type="dxa"/>
              <w:right w:w="20" w:type="dxa"/>
            </w:tcMar>
            <w:vAlign w:val="center"/>
            <w:hideMark/>
          </w:tcPr>
          <w:p w14:paraId="74F6C50F" w14:textId="77777777" w:rsidR="00000000" w:rsidRDefault="00A173A8">
            <w:pPr>
              <w:spacing w:after="100"/>
              <w:jc w:val="right"/>
              <w:rPr>
                <w:rFonts w:eastAsia="Times New Roman"/>
              </w:rPr>
            </w:pPr>
          </w:p>
        </w:tc>
      </w:tr>
      <w:tr w:rsidR="00000000" w14:paraId="623270A8" w14:textId="77777777">
        <w:trPr>
          <w:divId w:val="1862670321"/>
        </w:trPr>
        <w:tc>
          <w:tcPr>
            <w:tcW w:w="0" w:type="auto"/>
            <w:gridSpan w:val="3"/>
            <w:shd w:val="clear" w:color="auto" w:fill="FFFFFF"/>
            <w:tcMar>
              <w:top w:w="30" w:type="dxa"/>
              <w:left w:w="20" w:type="dxa"/>
              <w:bottom w:w="30" w:type="dxa"/>
              <w:right w:w="20" w:type="dxa"/>
            </w:tcMar>
            <w:vAlign w:val="center"/>
            <w:hideMark/>
          </w:tcPr>
          <w:p w14:paraId="2F8C92D6" w14:textId="77777777" w:rsidR="00000000" w:rsidRDefault="00A173A8">
            <w:pPr>
              <w:spacing w:after="100"/>
              <w:divId w:val="2093233525"/>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EE9DEB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D126E3F" w14:textId="77777777" w:rsidR="00000000" w:rsidRDefault="00A173A8">
            <w:pPr>
              <w:spacing w:after="100"/>
              <w:jc w:val="right"/>
              <w:rPr>
                <w:rFonts w:eastAsia="Times New Roman"/>
              </w:rPr>
            </w:pPr>
            <w:r>
              <w:rPr>
                <w:rFonts w:eastAsia="Times New Roman"/>
                <w:b/>
                <w:bCs/>
                <w:color w:val="000000"/>
                <w:sz w:val="18"/>
                <w:szCs w:val="18"/>
              </w:rPr>
              <w:t>679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1C373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7EE1A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A428CD" w14:textId="77777777" w:rsidR="00000000" w:rsidRDefault="00A173A8">
            <w:pPr>
              <w:spacing w:after="100"/>
              <w:jc w:val="right"/>
              <w:rPr>
                <w:rFonts w:eastAsia="Times New Roman"/>
              </w:rPr>
            </w:pPr>
            <w:r>
              <w:rPr>
                <w:rFonts w:eastAsia="Times New Roman"/>
                <w:b/>
                <w:bCs/>
                <w:color w:val="000000"/>
                <w:sz w:val="18"/>
                <w:szCs w:val="18"/>
              </w:rPr>
              <w:t>398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ABE057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E524B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FBD4814" w14:textId="77777777" w:rsidR="00000000" w:rsidRDefault="00A173A8">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8326C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41995" w14:textId="77777777" w:rsidR="00000000" w:rsidRDefault="00A173A8">
            <w:pPr>
              <w:spacing w:after="100"/>
              <w:jc w:val="right"/>
              <w:rPr>
                <w:rFonts w:eastAsia="Times New Roman"/>
                <w:sz w:val="20"/>
                <w:szCs w:val="20"/>
              </w:rPr>
            </w:pPr>
          </w:p>
        </w:tc>
        <w:tc>
          <w:tcPr>
            <w:tcW w:w="0" w:type="auto"/>
            <w:vAlign w:val="center"/>
            <w:hideMark/>
          </w:tcPr>
          <w:p w14:paraId="5E0628D1" w14:textId="77777777" w:rsidR="00000000" w:rsidRDefault="00A173A8">
            <w:pPr>
              <w:spacing w:after="100"/>
              <w:rPr>
                <w:rFonts w:eastAsia="Times New Roman"/>
                <w:sz w:val="20"/>
                <w:szCs w:val="20"/>
              </w:rPr>
            </w:pPr>
          </w:p>
        </w:tc>
        <w:tc>
          <w:tcPr>
            <w:tcW w:w="0" w:type="auto"/>
            <w:gridSpan w:val="3"/>
            <w:vAlign w:val="center"/>
            <w:hideMark/>
          </w:tcPr>
          <w:p w14:paraId="2D58C2E7"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39E937" w14:textId="77777777" w:rsidR="00000000" w:rsidRDefault="00A173A8">
            <w:pPr>
              <w:spacing w:after="100"/>
              <w:jc w:val="right"/>
              <w:rPr>
                <w:rFonts w:eastAsia="Times New Roman"/>
              </w:rPr>
            </w:pPr>
            <w:r>
              <w:rPr>
                <w:rFonts w:eastAsia="Times New Roman"/>
                <w:b/>
                <w:bCs/>
                <w:color w:val="000000"/>
                <w:sz w:val="18"/>
                <w:szCs w:val="18"/>
              </w:rPr>
              <w:t>1,092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B4BFE4" w14:textId="77777777" w:rsidR="00000000" w:rsidRDefault="00A173A8">
            <w:pPr>
              <w:spacing w:after="100"/>
              <w:jc w:val="right"/>
              <w:rPr>
                <w:rFonts w:eastAsia="Times New Roman"/>
              </w:rPr>
            </w:pPr>
          </w:p>
        </w:tc>
      </w:tr>
      <w:tr w:rsidR="00000000" w14:paraId="7B2DD0C5" w14:textId="77777777">
        <w:trPr>
          <w:divId w:val="1862670321"/>
        </w:trPr>
        <w:tc>
          <w:tcPr>
            <w:tcW w:w="0" w:type="auto"/>
            <w:gridSpan w:val="3"/>
            <w:shd w:val="clear" w:color="auto" w:fill="CCEEFF"/>
            <w:tcMar>
              <w:top w:w="30" w:type="dxa"/>
              <w:left w:w="20" w:type="dxa"/>
              <w:bottom w:w="30" w:type="dxa"/>
              <w:right w:w="20" w:type="dxa"/>
            </w:tcMar>
            <w:vAlign w:val="center"/>
            <w:hideMark/>
          </w:tcPr>
          <w:p w14:paraId="4418CD46" w14:textId="77777777" w:rsidR="00000000" w:rsidRDefault="00A173A8">
            <w:pPr>
              <w:spacing w:after="100"/>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14:paraId="0687D405"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DD7246" w14:textId="77777777" w:rsidR="00000000" w:rsidRDefault="00A173A8">
            <w:pPr>
              <w:spacing w:after="100"/>
              <w:jc w:val="right"/>
              <w:rPr>
                <w:rFonts w:eastAsia="Times New Roman"/>
              </w:rPr>
            </w:pPr>
            <w:r>
              <w:rPr>
                <w:rFonts w:eastAsia="Times New Roman"/>
                <w:b/>
                <w:bCs/>
                <w:color w:val="000000"/>
                <w:sz w:val="18"/>
                <w:szCs w:val="18"/>
              </w:rPr>
              <w:t>(1,285)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75B29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50DF1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88B2A7C" w14:textId="77777777" w:rsidR="00000000" w:rsidRDefault="00A173A8">
            <w:pPr>
              <w:spacing w:after="100"/>
              <w:jc w:val="right"/>
              <w:rPr>
                <w:rFonts w:eastAsia="Times New Roman"/>
              </w:rPr>
            </w:pPr>
            <w:r>
              <w:rPr>
                <w:rFonts w:eastAsia="Times New Roman"/>
                <w:b/>
                <w:bCs/>
                <w:color w:val="000000"/>
                <w:sz w:val="18"/>
                <w:szCs w:val="18"/>
              </w:rPr>
              <w:t>(282)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E98D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E32D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21D27A" w14:textId="77777777" w:rsidR="00000000" w:rsidRDefault="00A173A8">
            <w:pPr>
              <w:spacing w:after="100"/>
              <w:jc w:val="right"/>
              <w:rPr>
                <w:rFonts w:eastAsia="Times New Roman"/>
              </w:rPr>
            </w:pPr>
            <w:r>
              <w:rPr>
                <w:rFonts w:eastAsia="Times New Roman"/>
                <w:b/>
                <w:bCs/>
                <w:color w:val="000000"/>
                <w:sz w:val="18"/>
                <w:szCs w:val="18"/>
              </w:rPr>
              <w:t>(45)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9460C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1463A" w14:textId="77777777" w:rsidR="00000000" w:rsidRDefault="00A173A8">
            <w:pPr>
              <w:spacing w:after="100"/>
              <w:jc w:val="right"/>
              <w:rPr>
                <w:rFonts w:eastAsia="Times New Roman"/>
                <w:sz w:val="20"/>
                <w:szCs w:val="20"/>
              </w:rPr>
            </w:pPr>
          </w:p>
        </w:tc>
        <w:tc>
          <w:tcPr>
            <w:tcW w:w="0" w:type="auto"/>
            <w:vAlign w:val="center"/>
            <w:hideMark/>
          </w:tcPr>
          <w:p w14:paraId="43FFDEAF" w14:textId="77777777" w:rsidR="00000000" w:rsidRDefault="00A173A8">
            <w:pPr>
              <w:spacing w:after="100"/>
              <w:rPr>
                <w:rFonts w:eastAsia="Times New Roman"/>
                <w:sz w:val="20"/>
                <w:szCs w:val="20"/>
              </w:rPr>
            </w:pPr>
          </w:p>
        </w:tc>
        <w:tc>
          <w:tcPr>
            <w:tcW w:w="0" w:type="auto"/>
            <w:gridSpan w:val="3"/>
            <w:vAlign w:val="center"/>
            <w:hideMark/>
          </w:tcPr>
          <w:p w14:paraId="4A0EC195"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3253B16" w14:textId="77777777" w:rsidR="00000000" w:rsidRDefault="00A173A8">
            <w:pPr>
              <w:spacing w:after="100"/>
              <w:jc w:val="right"/>
              <w:rPr>
                <w:rFonts w:eastAsia="Times New Roman"/>
              </w:rPr>
            </w:pPr>
            <w:r>
              <w:rPr>
                <w:rFonts w:eastAsia="Times New Roman"/>
                <w:b/>
                <w:bCs/>
                <w:color w:val="000000"/>
                <w:sz w:val="18"/>
                <w:szCs w:val="18"/>
              </w:rPr>
              <w:t>(1,612)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658792F" w14:textId="77777777" w:rsidR="00000000" w:rsidRDefault="00A173A8">
            <w:pPr>
              <w:spacing w:after="100"/>
              <w:jc w:val="right"/>
              <w:rPr>
                <w:rFonts w:eastAsia="Times New Roman"/>
              </w:rPr>
            </w:pPr>
          </w:p>
        </w:tc>
      </w:tr>
      <w:tr w:rsidR="00000000" w14:paraId="00C1C20A" w14:textId="77777777">
        <w:trPr>
          <w:divId w:val="1862670321"/>
        </w:trPr>
        <w:tc>
          <w:tcPr>
            <w:tcW w:w="0" w:type="auto"/>
            <w:gridSpan w:val="3"/>
            <w:shd w:val="clear" w:color="auto" w:fill="FFFFFF"/>
            <w:tcMar>
              <w:top w:w="30" w:type="dxa"/>
              <w:left w:w="20" w:type="dxa"/>
              <w:bottom w:w="30" w:type="dxa"/>
              <w:right w:w="20" w:type="dxa"/>
            </w:tcMar>
            <w:vAlign w:val="center"/>
            <w:hideMark/>
          </w:tcPr>
          <w:p w14:paraId="27AF0776" w14:textId="77777777" w:rsidR="00000000" w:rsidRDefault="00A173A8">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00BDF0F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D11470" w14:textId="77777777" w:rsidR="00000000" w:rsidRDefault="00A173A8">
            <w:pPr>
              <w:spacing w:after="100"/>
              <w:jc w:val="right"/>
              <w:rPr>
                <w:rFonts w:eastAsia="Times New Roman"/>
              </w:rPr>
            </w:pPr>
            <w:r>
              <w:rPr>
                <w:rFonts w:eastAsia="Times New Roman"/>
                <w:b/>
                <w:bCs/>
                <w:color w:val="000000"/>
                <w:sz w:val="18"/>
                <w:szCs w:val="18"/>
              </w:rPr>
              <w:t>1,126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09B9B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26B38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C31966" w14:textId="77777777" w:rsidR="00000000" w:rsidRDefault="00A173A8">
            <w:pPr>
              <w:spacing w:after="100"/>
              <w:jc w:val="right"/>
              <w:rPr>
                <w:rFonts w:eastAsia="Times New Roman"/>
              </w:rPr>
            </w:pPr>
            <w:r>
              <w:rPr>
                <w:rFonts w:eastAsia="Times New Roman"/>
                <w:b/>
                <w:bCs/>
                <w:color w:val="000000"/>
                <w:sz w:val="18"/>
                <w:szCs w:val="18"/>
              </w:rPr>
              <w:t>411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3B259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4D46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25CD02" w14:textId="77777777" w:rsidR="00000000" w:rsidRDefault="00A173A8">
            <w:pPr>
              <w:spacing w:after="100"/>
              <w:jc w:val="right"/>
              <w:rPr>
                <w:rFonts w:eastAsia="Times New Roman"/>
              </w:rPr>
            </w:pPr>
            <w:r>
              <w:rPr>
                <w:rFonts w:eastAsia="Times New Roman"/>
                <w:b/>
                <w:bCs/>
                <w:color w:val="000000"/>
                <w:sz w:val="18"/>
                <w:szCs w:val="18"/>
              </w:rPr>
              <w:t>156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336B22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D2F46" w14:textId="77777777" w:rsidR="00000000" w:rsidRDefault="00A173A8">
            <w:pPr>
              <w:spacing w:after="100"/>
              <w:jc w:val="right"/>
              <w:rPr>
                <w:rFonts w:eastAsia="Times New Roman"/>
                <w:sz w:val="20"/>
                <w:szCs w:val="20"/>
              </w:rPr>
            </w:pPr>
          </w:p>
        </w:tc>
        <w:tc>
          <w:tcPr>
            <w:tcW w:w="0" w:type="auto"/>
            <w:vAlign w:val="center"/>
            <w:hideMark/>
          </w:tcPr>
          <w:p w14:paraId="65EB779B" w14:textId="77777777" w:rsidR="00000000" w:rsidRDefault="00A173A8">
            <w:pPr>
              <w:spacing w:after="100"/>
              <w:rPr>
                <w:rFonts w:eastAsia="Times New Roman"/>
                <w:sz w:val="20"/>
                <w:szCs w:val="20"/>
              </w:rPr>
            </w:pPr>
          </w:p>
        </w:tc>
        <w:tc>
          <w:tcPr>
            <w:tcW w:w="0" w:type="auto"/>
            <w:gridSpan w:val="3"/>
            <w:vAlign w:val="center"/>
            <w:hideMark/>
          </w:tcPr>
          <w:p w14:paraId="15586AB9"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0306E2" w14:textId="77777777" w:rsidR="00000000" w:rsidRDefault="00A173A8">
            <w:pPr>
              <w:spacing w:after="100"/>
              <w:jc w:val="right"/>
              <w:rPr>
                <w:rFonts w:eastAsia="Times New Roman"/>
              </w:rPr>
            </w:pPr>
            <w:r>
              <w:rPr>
                <w:rFonts w:eastAsia="Times New Roman"/>
                <w:b/>
                <w:bCs/>
                <w:color w:val="000000"/>
                <w:sz w:val="18"/>
                <w:szCs w:val="18"/>
              </w:rPr>
              <w:t>1,693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B2BF77A" w14:textId="77777777" w:rsidR="00000000" w:rsidRDefault="00A173A8">
            <w:pPr>
              <w:spacing w:after="100"/>
              <w:jc w:val="right"/>
              <w:rPr>
                <w:rFonts w:eastAsia="Times New Roman"/>
              </w:rPr>
            </w:pPr>
          </w:p>
        </w:tc>
      </w:tr>
      <w:tr w:rsidR="00000000" w14:paraId="6D785389" w14:textId="77777777">
        <w:trPr>
          <w:divId w:val="1862670321"/>
        </w:trPr>
        <w:tc>
          <w:tcPr>
            <w:tcW w:w="0" w:type="auto"/>
            <w:gridSpan w:val="3"/>
            <w:shd w:val="clear" w:color="auto" w:fill="CCEEFF"/>
            <w:tcMar>
              <w:top w:w="30" w:type="dxa"/>
              <w:left w:w="20" w:type="dxa"/>
              <w:bottom w:w="30" w:type="dxa"/>
              <w:right w:w="20" w:type="dxa"/>
            </w:tcMar>
            <w:vAlign w:val="center"/>
            <w:hideMark/>
          </w:tcPr>
          <w:p w14:paraId="243DAE62" w14:textId="77777777" w:rsidR="00000000" w:rsidRDefault="00A173A8">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6D57BAA5"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A03780" w14:textId="77777777" w:rsidR="00000000" w:rsidRDefault="00A173A8">
            <w:pPr>
              <w:spacing w:after="100"/>
              <w:jc w:val="right"/>
              <w:rPr>
                <w:rFonts w:eastAsia="Times New Roman"/>
              </w:rPr>
            </w:pPr>
            <w:r>
              <w:rPr>
                <w:rFonts w:eastAsia="Times New Roman"/>
                <w:b/>
                <w:bCs/>
                <w:color w:val="000000"/>
                <w:sz w:val="18"/>
                <w:szCs w:val="18"/>
              </w:rPr>
              <w:t>(159)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7E0CC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D21F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ACD8568" w14:textId="77777777" w:rsidR="00000000" w:rsidRDefault="00A173A8">
            <w:pPr>
              <w:spacing w:after="100"/>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83BDD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170A3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EFDED5" w14:textId="77777777" w:rsidR="00000000" w:rsidRDefault="00A173A8">
            <w:pPr>
              <w:spacing w:after="100"/>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447F1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BD2BF" w14:textId="77777777" w:rsidR="00000000" w:rsidRDefault="00A173A8">
            <w:pPr>
              <w:spacing w:after="100"/>
              <w:jc w:val="right"/>
              <w:rPr>
                <w:rFonts w:eastAsia="Times New Roman"/>
                <w:sz w:val="20"/>
                <w:szCs w:val="20"/>
              </w:rPr>
            </w:pPr>
          </w:p>
        </w:tc>
        <w:tc>
          <w:tcPr>
            <w:tcW w:w="0" w:type="auto"/>
            <w:vAlign w:val="center"/>
            <w:hideMark/>
          </w:tcPr>
          <w:p w14:paraId="7560B0DE" w14:textId="77777777" w:rsidR="00000000" w:rsidRDefault="00A173A8">
            <w:pPr>
              <w:spacing w:after="100"/>
              <w:rPr>
                <w:rFonts w:eastAsia="Times New Roman"/>
                <w:sz w:val="20"/>
                <w:szCs w:val="20"/>
              </w:rPr>
            </w:pPr>
          </w:p>
        </w:tc>
        <w:tc>
          <w:tcPr>
            <w:tcW w:w="0" w:type="auto"/>
            <w:gridSpan w:val="3"/>
            <w:vAlign w:val="center"/>
            <w:hideMark/>
          </w:tcPr>
          <w:p w14:paraId="196E196E"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D25047" w14:textId="77777777" w:rsidR="00000000" w:rsidRDefault="00A173A8">
            <w:pPr>
              <w:spacing w:after="100"/>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5E79ED" w14:textId="77777777" w:rsidR="00000000" w:rsidRDefault="00A173A8">
            <w:pPr>
              <w:spacing w:after="100"/>
              <w:jc w:val="right"/>
              <w:rPr>
                <w:rFonts w:eastAsia="Times New Roman"/>
              </w:rPr>
            </w:pPr>
          </w:p>
        </w:tc>
      </w:tr>
      <w:tr w:rsidR="00000000" w14:paraId="55353384" w14:textId="77777777">
        <w:trPr>
          <w:divId w:val="1862670321"/>
        </w:trPr>
        <w:tc>
          <w:tcPr>
            <w:tcW w:w="0" w:type="auto"/>
            <w:gridSpan w:val="3"/>
            <w:shd w:val="clear" w:color="auto" w:fill="FFFFFF"/>
            <w:tcMar>
              <w:top w:w="30" w:type="dxa"/>
              <w:left w:w="20" w:type="dxa"/>
              <w:bottom w:w="30" w:type="dxa"/>
              <w:right w:w="20" w:type="dxa"/>
            </w:tcMar>
            <w:vAlign w:val="center"/>
            <w:hideMark/>
          </w:tcPr>
          <w:p w14:paraId="3C2991D3" w14:textId="77777777" w:rsidR="00000000" w:rsidRDefault="00A173A8">
            <w:pPr>
              <w:spacing w:after="100"/>
              <w:divId w:val="1805271679"/>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1CC2A9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08A9BA7" w14:textId="77777777" w:rsidR="00000000" w:rsidRDefault="00A173A8">
            <w:pPr>
              <w:spacing w:after="100"/>
              <w:jc w:val="right"/>
              <w:rPr>
                <w:rFonts w:eastAsia="Times New Roman"/>
              </w:rPr>
            </w:pPr>
            <w:r>
              <w:rPr>
                <w:rFonts w:eastAsia="Times New Roman"/>
                <w:b/>
                <w:bCs/>
                <w:color w:val="000000"/>
                <w:sz w:val="18"/>
                <w:szCs w:val="18"/>
              </w:rPr>
              <w:t>(20)</w:t>
            </w:r>
          </w:p>
        </w:tc>
        <w:tc>
          <w:tcPr>
            <w:tcW w:w="0" w:type="auto"/>
            <w:shd w:val="clear" w:color="auto" w:fill="FFFFFF"/>
            <w:tcMar>
              <w:top w:w="30" w:type="dxa"/>
              <w:left w:w="0" w:type="dxa"/>
              <w:bottom w:w="30" w:type="dxa"/>
              <w:right w:w="20" w:type="dxa"/>
            </w:tcMar>
            <w:vAlign w:val="center"/>
            <w:hideMark/>
          </w:tcPr>
          <w:p w14:paraId="5082235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3B4D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C8DD1A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B0F84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21C0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6B118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28BB2E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5BC39A" w14:textId="77777777" w:rsidR="00000000" w:rsidRDefault="00A173A8">
            <w:pPr>
              <w:spacing w:after="100"/>
              <w:jc w:val="right"/>
              <w:rPr>
                <w:rFonts w:eastAsia="Times New Roman"/>
                <w:sz w:val="20"/>
                <w:szCs w:val="20"/>
              </w:rPr>
            </w:pPr>
          </w:p>
        </w:tc>
        <w:tc>
          <w:tcPr>
            <w:tcW w:w="0" w:type="auto"/>
            <w:vAlign w:val="center"/>
            <w:hideMark/>
          </w:tcPr>
          <w:p w14:paraId="3F6BC9CE" w14:textId="77777777" w:rsidR="00000000" w:rsidRDefault="00A173A8">
            <w:pPr>
              <w:spacing w:after="100"/>
              <w:rPr>
                <w:rFonts w:eastAsia="Times New Roman"/>
                <w:sz w:val="20"/>
                <w:szCs w:val="20"/>
              </w:rPr>
            </w:pPr>
          </w:p>
        </w:tc>
        <w:tc>
          <w:tcPr>
            <w:tcW w:w="0" w:type="auto"/>
            <w:gridSpan w:val="3"/>
            <w:vAlign w:val="center"/>
            <w:hideMark/>
          </w:tcPr>
          <w:p w14:paraId="2529BC07"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1F2A5D" w14:textId="77777777" w:rsidR="00000000" w:rsidRDefault="00A173A8">
            <w:pPr>
              <w:spacing w:after="100"/>
              <w:jc w:val="right"/>
              <w:rPr>
                <w:rFonts w:eastAsia="Times New Roman"/>
              </w:rPr>
            </w:pPr>
            <w:r>
              <w:rPr>
                <w:rFonts w:eastAsia="Times New Roman"/>
                <w:b/>
                <w:bCs/>
                <w:color w:val="000000"/>
                <w:sz w:val="18"/>
                <w:szCs w:val="18"/>
              </w:rPr>
              <w:t>(20)</w:t>
            </w:r>
          </w:p>
        </w:tc>
        <w:tc>
          <w:tcPr>
            <w:tcW w:w="0" w:type="auto"/>
            <w:shd w:val="clear" w:color="auto" w:fill="FFFFFF"/>
            <w:tcMar>
              <w:top w:w="30" w:type="dxa"/>
              <w:left w:w="0" w:type="dxa"/>
              <w:bottom w:w="30" w:type="dxa"/>
              <w:right w:w="20" w:type="dxa"/>
            </w:tcMar>
            <w:vAlign w:val="center"/>
            <w:hideMark/>
          </w:tcPr>
          <w:p w14:paraId="3FA9191D" w14:textId="77777777" w:rsidR="00000000" w:rsidRDefault="00A173A8">
            <w:pPr>
              <w:spacing w:after="100"/>
              <w:jc w:val="right"/>
              <w:rPr>
                <w:rFonts w:eastAsia="Times New Roman"/>
              </w:rPr>
            </w:pPr>
          </w:p>
        </w:tc>
      </w:tr>
      <w:tr w:rsidR="00000000" w14:paraId="5A734F72" w14:textId="77777777">
        <w:trPr>
          <w:divId w:val="1862670321"/>
        </w:trPr>
        <w:tc>
          <w:tcPr>
            <w:tcW w:w="0" w:type="auto"/>
            <w:gridSpan w:val="3"/>
            <w:shd w:val="clear" w:color="auto" w:fill="CCEEFF"/>
            <w:tcMar>
              <w:top w:w="30" w:type="dxa"/>
              <w:left w:w="20" w:type="dxa"/>
              <w:bottom w:w="30" w:type="dxa"/>
              <w:right w:w="20" w:type="dxa"/>
            </w:tcMar>
            <w:vAlign w:val="center"/>
            <w:hideMark/>
          </w:tcPr>
          <w:p w14:paraId="750641D1" w14:textId="77777777" w:rsidR="00000000" w:rsidRDefault="00A173A8">
            <w:pPr>
              <w:spacing w:after="100"/>
              <w:rPr>
                <w:rFonts w:eastAsia="Times New Roman"/>
              </w:rPr>
            </w:pPr>
            <w:r>
              <w:rPr>
                <w:rFonts w:eastAsia="Times New Roman"/>
                <w:color w:val="000000"/>
                <w:sz w:val="18"/>
                <w:szCs w:val="18"/>
              </w:rPr>
              <w:t>Balance as of June 30, 2022</w:t>
            </w:r>
          </w:p>
        </w:tc>
        <w:tc>
          <w:tcPr>
            <w:tcW w:w="0" w:type="auto"/>
            <w:gridSpan w:val="3"/>
            <w:shd w:val="clear" w:color="auto" w:fill="CCEEFF"/>
            <w:tcMar>
              <w:top w:w="0" w:type="dxa"/>
              <w:left w:w="20" w:type="dxa"/>
              <w:bottom w:w="0" w:type="dxa"/>
              <w:right w:w="20" w:type="dxa"/>
            </w:tcMar>
            <w:vAlign w:val="center"/>
            <w:hideMark/>
          </w:tcPr>
          <w:p w14:paraId="0C17DA3A"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A1B9ABF" w14:textId="77777777" w:rsidR="00000000" w:rsidRDefault="00A173A8">
            <w:pPr>
              <w:spacing w:after="100"/>
              <w:jc w:val="right"/>
              <w:rPr>
                <w:rFonts w:eastAsia="Times New Roman"/>
              </w:rPr>
            </w:pPr>
            <w:r>
              <w:rPr>
                <w:rFonts w:eastAsia="Times New Roman"/>
                <w:b/>
                <w:bCs/>
                <w:color w:val="000000"/>
                <w:sz w:val="18"/>
                <w:szCs w:val="18"/>
              </w:rPr>
              <w:t>8,166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0C43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E46A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6A17B0" w14:textId="77777777" w:rsidR="00000000" w:rsidRDefault="00A173A8">
            <w:pPr>
              <w:spacing w:after="100"/>
              <w:jc w:val="right"/>
              <w:rPr>
                <w:rFonts w:eastAsia="Times New Roman"/>
              </w:rPr>
            </w:pPr>
            <w:r>
              <w:rPr>
                <w:rFonts w:eastAsia="Times New Roman"/>
                <w:b/>
                <w:bCs/>
                <w:color w:val="000000"/>
                <w:sz w:val="18"/>
                <w:szCs w:val="18"/>
              </w:rPr>
              <w:t>2,047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1BA7A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FBC77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61F6470" w14:textId="77777777" w:rsidR="00000000" w:rsidRDefault="00A173A8">
            <w:pPr>
              <w:spacing w:after="100"/>
              <w:jc w:val="right"/>
              <w:rPr>
                <w:rFonts w:eastAsia="Times New Roman"/>
              </w:rPr>
            </w:pPr>
            <w:r>
              <w:rPr>
                <w:rFonts w:eastAsia="Times New Roman"/>
                <w:b/>
                <w:bCs/>
                <w:color w:val="000000"/>
                <w:sz w:val="18"/>
                <w:szCs w:val="18"/>
              </w:rPr>
              <w:t>1,278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5CF87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5275A" w14:textId="77777777" w:rsidR="00000000" w:rsidRDefault="00A173A8">
            <w:pPr>
              <w:spacing w:after="100"/>
              <w:jc w:val="right"/>
              <w:rPr>
                <w:rFonts w:eastAsia="Times New Roman"/>
                <w:sz w:val="20"/>
                <w:szCs w:val="20"/>
              </w:rPr>
            </w:pPr>
          </w:p>
        </w:tc>
        <w:tc>
          <w:tcPr>
            <w:tcW w:w="0" w:type="auto"/>
            <w:vAlign w:val="center"/>
            <w:hideMark/>
          </w:tcPr>
          <w:p w14:paraId="6AB38906" w14:textId="77777777" w:rsidR="00000000" w:rsidRDefault="00A173A8">
            <w:pPr>
              <w:spacing w:after="100"/>
              <w:rPr>
                <w:rFonts w:eastAsia="Times New Roman"/>
                <w:sz w:val="20"/>
                <w:szCs w:val="20"/>
              </w:rPr>
            </w:pPr>
          </w:p>
        </w:tc>
        <w:tc>
          <w:tcPr>
            <w:tcW w:w="0" w:type="auto"/>
            <w:gridSpan w:val="3"/>
            <w:vAlign w:val="center"/>
            <w:hideMark/>
          </w:tcPr>
          <w:p w14:paraId="049CA983"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1FC383" w14:textId="77777777" w:rsidR="00000000" w:rsidRDefault="00A173A8">
            <w:pPr>
              <w:spacing w:after="100"/>
              <w:jc w:val="right"/>
              <w:rPr>
                <w:rFonts w:eastAsia="Times New Roman"/>
              </w:rPr>
            </w:pPr>
            <w:r>
              <w:rPr>
                <w:rFonts w:eastAsia="Times New Roman"/>
                <w:b/>
                <w:bCs/>
                <w:color w:val="000000"/>
                <w:sz w:val="18"/>
                <w:szCs w:val="18"/>
              </w:rPr>
              <w:t>11,491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9C1F8E" w14:textId="77777777" w:rsidR="00000000" w:rsidRDefault="00A173A8">
            <w:pPr>
              <w:spacing w:after="100"/>
              <w:jc w:val="right"/>
              <w:rPr>
                <w:rFonts w:eastAsia="Times New Roman"/>
              </w:rPr>
            </w:pPr>
          </w:p>
        </w:tc>
      </w:tr>
      <w:tr w:rsidR="00000000" w14:paraId="7FF85935" w14:textId="77777777">
        <w:trPr>
          <w:divId w:val="1862670321"/>
        </w:trPr>
        <w:tc>
          <w:tcPr>
            <w:tcW w:w="0" w:type="auto"/>
            <w:gridSpan w:val="3"/>
            <w:shd w:val="clear" w:color="auto" w:fill="FFFFFF"/>
            <w:tcMar>
              <w:top w:w="30" w:type="dxa"/>
              <w:left w:w="20" w:type="dxa"/>
              <w:bottom w:w="30" w:type="dxa"/>
              <w:right w:w="20" w:type="dxa"/>
            </w:tcMar>
            <w:vAlign w:val="center"/>
            <w:hideMark/>
          </w:tcPr>
          <w:p w14:paraId="14BB9F7C" w14:textId="77777777" w:rsidR="00000000" w:rsidRDefault="00A173A8">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7CE20E11"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742A0F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25975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72CCC1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9F3BA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BFEAE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A28D96" w14:textId="77777777" w:rsidR="00000000" w:rsidRDefault="00A173A8">
            <w:pPr>
              <w:spacing w:after="100"/>
              <w:rPr>
                <w:rFonts w:eastAsia="Times New Roman"/>
                <w:sz w:val="20"/>
                <w:szCs w:val="20"/>
              </w:rPr>
            </w:pPr>
          </w:p>
        </w:tc>
        <w:tc>
          <w:tcPr>
            <w:tcW w:w="0" w:type="auto"/>
            <w:vAlign w:val="center"/>
            <w:hideMark/>
          </w:tcPr>
          <w:p w14:paraId="0B1E70DD" w14:textId="77777777" w:rsidR="00000000" w:rsidRDefault="00A173A8">
            <w:pPr>
              <w:spacing w:after="100"/>
              <w:rPr>
                <w:rFonts w:eastAsia="Times New Roman"/>
                <w:sz w:val="20"/>
                <w:szCs w:val="20"/>
              </w:rPr>
            </w:pPr>
          </w:p>
        </w:tc>
        <w:tc>
          <w:tcPr>
            <w:tcW w:w="0" w:type="auto"/>
            <w:gridSpan w:val="3"/>
            <w:vAlign w:val="center"/>
            <w:hideMark/>
          </w:tcPr>
          <w:p w14:paraId="29DC78B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0F172A" w14:textId="77777777" w:rsidR="00000000" w:rsidRDefault="00A173A8">
            <w:pPr>
              <w:spacing w:after="100"/>
              <w:rPr>
                <w:rFonts w:eastAsia="Times New Roman"/>
                <w:sz w:val="20"/>
                <w:szCs w:val="20"/>
              </w:rPr>
            </w:pPr>
          </w:p>
        </w:tc>
      </w:tr>
      <w:tr w:rsidR="00000000" w14:paraId="3E1E271E" w14:textId="77777777">
        <w:trPr>
          <w:divId w:val="1862670321"/>
        </w:trPr>
        <w:tc>
          <w:tcPr>
            <w:tcW w:w="0" w:type="auto"/>
            <w:gridSpan w:val="3"/>
            <w:shd w:val="clear" w:color="auto" w:fill="CCEEFF"/>
            <w:tcMar>
              <w:top w:w="30" w:type="dxa"/>
              <w:left w:w="20" w:type="dxa"/>
              <w:bottom w:w="30" w:type="dxa"/>
              <w:right w:w="20" w:type="dxa"/>
            </w:tcMar>
            <w:vAlign w:val="center"/>
            <w:hideMark/>
          </w:tcPr>
          <w:p w14:paraId="758333DF" w14:textId="77777777" w:rsidR="00000000" w:rsidRDefault="00A173A8">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14:paraId="4569E85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B028AC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B939B5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BFDC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04722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89CCD8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4F80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2BEB6C" w14:textId="77777777" w:rsidR="00000000" w:rsidRDefault="00A173A8">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14:paraId="19F3882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ABB4D" w14:textId="77777777" w:rsidR="00000000" w:rsidRDefault="00A173A8">
            <w:pPr>
              <w:spacing w:after="100"/>
              <w:jc w:val="right"/>
              <w:rPr>
                <w:rFonts w:eastAsia="Times New Roman"/>
                <w:sz w:val="20"/>
                <w:szCs w:val="20"/>
              </w:rPr>
            </w:pPr>
          </w:p>
        </w:tc>
        <w:tc>
          <w:tcPr>
            <w:tcW w:w="0" w:type="auto"/>
            <w:vAlign w:val="center"/>
            <w:hideMark/>
          </w:tcPr>
          <w:p w14:paraId="4CB033DE" w14:textId="77777777" w:rsidR="00000000" w:rsidRDefault="00A173A8">
            <w:pPr>
              <w:spacing w:after="100"/>
              <w:rPr>
                <w:rFonts w:eastAsia="Times New Roman"/>
                <w:sz w:val="20"/>
                <w:szCs w:val="20"/>
              </w:rPr>
            </w:pPr>
          </w:p>
        </w:tc>
        <w:tc>
          <w:tcPr>
            <w:tcW w:w="0" w:type="auto"/>
            <w:gridSpan w:val="3"/>
            <w:vAlign w:val="center"/>
            <w:hideMark/>
          </w:tcPr>
          <w:p w14:paraId="1EC29CA6"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004D58" w14:textId="77777777" w:rsidR="00000000" w:rsidRDefault="00A173A8">
            <w:pPr>
              <w:spacing w:after="100"/>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14:paraId="45A3F5EC" w14:textId="77777777" w:rsidR="00000000" w:rsidRDefault="00A173A8">
            <w:pPr>
              <w:spacing w:after="100"/>
              <w:jc w:val="right"/>
              <w:rPr>
                <w:rFonts w:eastAsia="Times New Roman"/>
              </w:rPr>
            </w:pPr>
          </w:p>
        </w:tc>
      </w:tr>
      <w:tr w:rsidR="00000000" w14:paraId="7BAD6C95" w14:textId="77777777">
        <w:trPr>
          <w:divId w:val="1862670321"/>
        </w:trPr>
        <w:tc>
          <w:tcPr>
            <w:tcW w:w="0" w:type="auto"/>
            <w:gridSpan w:val="3"/>
            <w:shd w:val="clear" w:color="auto" w:fill="FFFFFF"/>
            <w:tcMar>
              <w:top w:w="30" w:type="dxa"/>
              <w:left w:w="20" w:type="dxa"/>
              <w:bottom w:w="30" w:type="dxa"/>
              <w:right w:w="20" w:type="dxa"/>
            </w:tcMar>
            <w:vAlign w:val="center"/>
            <w:hideMark/>
          </w:tcPr>
          <w:p w14:paraId="25CF6F36" w14:textId="77777777" w:rsidR="00000000" w:rsidRDefault="00A173A8">
            <w:pPr>
              <w:spacing w:after="100"/>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21EA1EC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DAB2F3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B3F9E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963E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3A1A9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1BCB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639F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8FB21AE" w14:textId="77777777" w:rsidR="00000000" w:rsidRDefault="00A173A8">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54805B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F76AD" w14:textId="77777777" w:rsidR="00000000" w:rsidRDefault="00A173A8">
            <w:pPr>
              <w:spacing w:after="100"/>
              <w:jc w:val="right"/>
              <w:rPr>
                <w:rFonts w:eastAsia="Times New Roman"/>
                <w:sz w:val="20"/>
                <w:szCs w:val="20"/>
              </w:rPr>
            </w:pPr>
          </w:p>
        </w:tc>
        <w:tc>
          <w:tcPr>
            <w:tcW w:w="0" w:type="auto"/>
            <w:vAlign w:val="center"/>
            <w:hideMark/>
          </w:tcPr>
          <w:p w14:paraId="67488BBC" w14:textId="77777777" w:rsidR="00000000" w:rsidRDefault="00A173A8">
            <w:pPr>
              <w:spacing w:after="100"/>
              <w:rPr>
                <w:rFonts w:eastAsia="Times New Roman"/>
                <w:sz w:val="20"/>
                <w:szCs w:val="20"/>
              </w:rPr>
            </w:pPr>
          </w:p>
        </w:tc>
        <w:tc>
          <w:tcPr>
            <w:tcW w:w="0" w:type="auto"/>
            <w:gridSpan w:val="3"/>
            <w:vAlign w:val="center"/>
            <w:hideMark/>
          </w:tcPr>
          <w:p w14:paraId="652590AC"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2C0D78" w14:textId="77777777" w:rsidR="00000000" w:rsidRDefault="00A173A8">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E0D9F84" w14:textId="77777777" w:rsidR="00000000" w:rsidRDefault="00A173A8">
            <w:pPr>
              <w:spacing w:after="100"/>
              <w:jc w:val="right"/>
              <w:rPr>
                <w:rFonts w:eastAsia="Times New Roman"/>
              </w:rPr>
            </w:pPr>
          </w:p>
        </w:tc>
      </w:tr>
      <w:tr w:rsidR="00000000" w14:paraId="49EBE315" w14:textId="77777777">
        <w:trPr>
          <w:divId w:val="1862670321"/>
        </w:trPr>
        <w:tc>
          <w:tcPr>
            <w:tcW w:w="0" w:type="auto"/>
            <w:gridSpan w:val="3"/>
            <w:shd w:val="clear" w:color="auto" w:fill="CCEEFF"/>
            <w:tcMar>
              <w:top w:w="30" w:type="dxa"/>
              <w:left w:w="20" w:type="dxa"/>
              <w:bottom w:w="30" w:type="dxa"/>
              <w:right w:w="20" w:type="dxa"/>
            </w:tcMar>
            <w:vAlign w:val="center"/>
            <w:hideMark/>
          </w:tcPr>
          <w:p w14:paraId="472B83F8" w14:textId="77777777" w:rsidR="00000000" w:rsidRDefault="00A173A8">
            <w:pPr>
              <w:spacing w:after="100"/>
              <w:rPr>
                <w:rFonts w:eastAsia="Times New Roman"/>
              </w:rPr>
            </w:pPr>
            <w:r>
              <w:rPr>
                <w:rFonts w:eastAsia="Times New Roman"/>
                <w:color w:val="000000"/>
                <w:sz w:val="18"/>
                <w:szCs w:val="18"/>
              </w:rPr>
              <w:t>Balance as of June 30, 2022</w:t>
            </w:r>
          </w:p>
        </w:tc>
        <w:tc>
          <w:tcPr>
            <w:tcW w:w="0" w:type="auto"/>
            <w:gridSpan w:val="3"/>
            <w:shd w:val="clear" w:color="auto" w:fill="CCEEFF"/>
            <w:tcMar>
              <w:top w:w="0" w:type="dxa"/>
              <w:left w:w="20" w:type="dxa"/>
              <w:bottom w:w="0" w:type="dxa"/>
              <w:right w:w="20" w:type="dxa"/>
            </w:tcMar>
            <w:vAlign w:val="center"/>
            <w:hideMark/>
          </w:tcPr>
          <w:p w14:paraId="6B729409"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A6206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3597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0AE75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5A62C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8D3D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ACDE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469A561" w14:textId="77777777" w:rsidR="00000000" w:rsidRDefault="00A173A8">
            <w:pPr>
              <w:spacing w:after="100"/>
              <w:jc w:val="right"/>
              <w:rPr>
                <w:rFonts w:eastAsia="Times New Roman"/>
              </w:rPr>
            </w:pPr>
            <w:r>
              <w:rPr>
                <w:rFonts w:eastAsia="Times New Roman"/>
                <w:b/>
                <w:bCs/>
                <w:color w:val="000000"/>
                <w:sz w:val="18"/>
                <w:szCs w:val="18"/>
              </w:rPr>
              <w:t>239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3FA56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CBB12F" w14:textId="77777777" w:rsidR="00000000" w:rsidRDefault="00A173A8">
            <w:pPr>
              <w:spacing w:after="100"/>
              <w:jc w:val="right"/>
              <w:rPr>
                <w:rFonts w:eastAsia="Times New Roman"/>
                <w:sz w:val="20"/>
                <w:szCs w:val="20"/>
              </w:rPr>
            </w:pPr>
          </w:p>
        </w:tc>
        <w:tc>
          <w:tcPr>
            <w:tcW w:w="0" w:type="auto"/>
            <w:vAlign w:val="center"/>
            <w:hideMark/>
          </w:tcPr>
          <w:p w14:paraId="22595369" w14:textId="77777777" w:rsidR="00000000" w:rsidRDefault="00A173A8">
            <w:pPr>
              <w:spacing w:after="100"/>
              <w:rPr>
                <w:rFonts w:eastAsia="Times New Roman"/>
                <w:sz w:val="20"/>
                <w:szCs w:val="20"/>
              </w:rPr>
            </w:pPr>
          </w:p>
        </w:tc>
        <w:tc>
          <w:tcPr>
            <w:tcW w:w="0" w:type="auto"/>
            <w:gridSpan w:val="3"/>
            <w:vAlign w:val="center"/>
            <w:hideMark/>
          </w:tcPr>
          <w:p w14:paraId="57E19605"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452479" w14:textId="77777777" w:rsidR="00000000" w:rsidRDefault="00A173A8">
            <w:pPr>
              <w:spacing w:after="100"/>
              <w:jc w:val="right"/>
              <w:rPr>
                <w:rFonts w:eastAsia="Times New Roman"/>
              </w:rPr>
            </w:pPr>
            <w:r>
              <w:rPr>
                <w:rFonts w:eastAsia="Times New Roman"/>
                <w:b/>
                <w:bCs/>
                <w:color w:val="000000"/>
                <w:sz w:val="18"/>
                <w:szCs w:val="18"/>
              </w:rPr>
              <w:t>239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94E396" w14:textId="77777777" w:rsidR="00000000" w:rsidRDefault="00A173A8">
            <w:pPr>
              <w:spacing w:after="100"/>
              <w:jc w:val="right"/>
              <w:rPr>
                <w:rFonts w:eastAsia="Times New Roman"/>
              </w:rPr>
            </w:pPr>
          </w:p>
        </w:tc>
      </w:tr>
      <w:tr w:rsidR="00000000" w14:paraId="3940285A" w14:textId="77777777">
        <w:trPr>
          <w:divId w:val="1862670321"/>
        </w:trPr>
        <w:tc>
          <w:tcPr>
            <w:tcW w:w="0" w:type="auto"/>
            <w:gridSpan w:val="3"/>
            <w:shd w:val="clear" w:color="auto" w:fill="FFFFFF"/>
            <w:tcMar>
              <w:top w:w="30" w:type="dxa"/>
              <w:left w:w="20" w:type="dxa"/>
              <w:bottom w:w="30" w:type="dxa"/>
              <w:right w:w="20" w:type="dxa"/>
            </w:tcMar>
            <w:vAlign w:val="center"/>
            <w:hideMark/>
          </w:tcPr>
          <w:p w14:paraId="7973848D" w14:textId="77777777" w:rsidR="00000000" w:rsidRDefault="00A173A8">
            <w:pPr>
              <w:spacing w:after="100"/>
              <w:rPr>
                <w:rFonts w:eastAsia="Times New Roman"/>
              </w:rPr>
            </w:pPr>
            <w:r>
              <w:rPr>
                <w:rFonts w:eastAsia="Times New Roman"/>
                <w:b/>
                <w:bCs/>
                <w:color w:val="000000"/>
                <w:sz w:val="18"/>
                <w:szCs w:val="18"/>
              </w:rPr>
              <w:t>Combined allowance and reserve as of June 30, 2022</w:t>
            </w:r>
          </w:p>
        </w:tc>
        <w:tc>
          <w:tcPr>
            <w:tcW w:w="0" w:type="auto"/>
            <w:gridSpan w:val="3"/>
            <w:shd w:val="clear" w:color="auto" w:fill="FFFFFF"/>
            <w:tcMar>
              <w:top w:w="0" w:type="dxa"/>
              <w:left w:w="20" w:type="dxa"/>
              <w:bottom w:w="0" w:type="dxa"/>
              <w:right w:w="20" w:type="dxa"/>
            </w:tcMar>
            <w:vAlign w:val="center"/>
            <w:hideMark/>
          </w:tcPr>
          <w:p w14:paraId="5FB112F3"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730ECB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AF4F1CF" w14:textId="77777777" w:rsidR="00000000" w:rsidRDefault="00A173A8">
            <w:pPr>
              <w:spacing w:after="100"/>
              <w:jc w:val="right"/>
              <w:rPr>
                <w:rFonts w:eastAsia="Times New Roman"/>
              </w:rPr>
            </w:pPr>
            <w:r>
              <w:rPr>
                <w:rFonts w:eastAsia="Times New Roman"/>
                <w:b/>
                <w:bCs/>
                <w:color w:val="000000"/>
                <w:sz w:val="18"/>
                <w:szCs w:val="18"/>
              </w:rPr>
              <w:t>8,166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1ED4B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284EA"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531E5BD"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647709C" w14:textId="77777777" w:rsidR="00000000" w:rsidRDefault="00A173A8">
            <w:pPr>
              <w:spacing w:after="100"/>
              <w:jc w:val="right"/>
              <w:rPr>
                <w:rFonts w:eastAsia="Times New Roman"/>
              </w:rPr>
            </w:pPr>
            <w:r>
              <w:rPr>
                <w:rFonts w:eastAsia="Times New Roman"/>
                <w:b/>
                <w:bCs/>
                <w:color w:val="000000"/>
                <w:sz w:val="18"/>
                <w:szCs w:val="18"/>
              </w:rPr>
              <w:t>2,047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DB7C85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8DB03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CAEC696"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8054BB3" w14:textId="77777777" w:rsidR="00000000" w:rsidRDefault="00A173A8">
            <w:pPr>
              <w:spacing w:after="100"/>
              <w:jc w:val="right"/>
              <w:rPr>
                <w:rFonts w:eastAsia="Times New Roman"/>
              </w:rPr>
            </w:pPr>
            <w:r>
              <w:rPr>
                <w:rFonts w:eastAsia="Times New Roman"/>
                <w:b/>
                <w:bCs/>
                <w:color w:val="000000"/>
                <w:sz w:val="18"/>
                <w:szCs w:val="18"/>
              </w:rPr>
              <w:t>1,517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E35D86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B16F3" w14:textId="77777777" w:rsidR="00000000" w:rsidRDefault="00A173A8">
            <w:pPr>
              <w:spacing w:after="100"/>
              <w:jc w:val="right"/>
              <w:rPr>
                <w:rFonts w:eastAsia="Times New Roman"/>
                <w:sz w:val="20"/>
                <w:szCs w:val="20"/>
              </w:rPr>
            </w:pPr>
          </w:p>
        </w:tc>
        <w:tc>
          <w:tcPr>
            <w:tcW w:w="0" w:type="auto"/>
            <w:vAlign w:val="center"/>
            <w:hideMark/>
          </w:tcPr>
          <w:p w14:paraId="2E6C189C" w14:textId="77777777" w:rsidR="00000000" w:rsidRDefault="00A173A8">
            <w:pPr>
              <w:spacing w:after="100"/>
              <w:rPr>
                <w:rFonts w:eastAsia="Times New Roman"/>
                <w:sz w:val="20"/>
                <w:szCs w:val="20"/>
              </w:rPr>
            </w:pPr>
          </w:p>
        </w:tc>
        <w:tc>
          <w:tcPr>
            <w:tcW w:w="0" w:type="auto"/>
            <w:gridSpan w:val="3"/>
            <w:vAlign w:val="center"/>
            <w:hideMark/>
          </w:tcPr>
          <w:p w14:paraId="03F8D239" w14:textId="77777777" w:rsidR="00000000" w:rsidRDefault="00A173A8">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BA574F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58665DB" w14:textId="77777777" w:rsidR="00000000" w:rsidRDefault="00A173A8">
            <w:pPr>
              <w:spacing w:after="100"/>
              <w:jc w:val="right"/>
              <w:rPr>
                <w:rFonts w:eastAsia="Times New Roman"/>
              </w:rPr>
            </w:pPr>
            <w:r>
              <w:rPr>
                <w:rFonts w:eastAsia="Times New Roman"/>
                <w:b/>
                <w:bCs/>
                <w:color w:val="000000"/>
                <w:sz w:val="18"/>
                <w:szCs w:val="18"/>
              </w:rPr>
              <w:t>11,730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FFE48EA" w14:textId="77777777" w:rsidR="00000000" w:rsidRDefault="00A173A8">
            <w:pPr>
              <w:spacing w:after="100"/>
              <w:jc w:val="right"/>
              <w:rPr>
                <w:rFonts w:eastAsia="Times New Roman"/>
              </w:rPr>
            </w:pPr>
          </w:p>
        </w:tc>
      </w:tr>
    </w:tbl>
    <w:p w14:paraId="6D58DB63" w14:textId="77777777" w:rsidR="00000000" w:rsidRDefault="00A173A8">
      <w:pPr>
        <w:jc w:val="both"/>
        <w:divId w:val="18626703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17"/>
        <w:gridCol w:w="39"/>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14:paraId="5EDC0024" w14:textId="77777777">
        <w:trPr>
          <w:divId w:val="1862670321"/>
        </w:trPr>
        <w:tc>
          <w:tcPr>
            <w:tcW w:w="50" w:type="pct"/>
            <w:vAlign w:val="center"/>
            <w:hideMark/>
          </w:tcPr>
          <w:p w14:paraId="04E544E1" w14:textId="77777777" w:rsidR="00000000" w:rsidRDefault="00A173A8">
            <w:pPr>
              <w:jc w:val="both"/>
              <w:rPr>
                <w:rFonts w:eastAsia="Times New Roman"/>
              </w:rPr>
            </w:pPr>
          </w:p>
        </w:tc>
        <w:tc>
          <w:tcPr>
            <w:tcW w:w="2839" w:type="pct"/>
            <w:vAlign w:val="center"/>
            <w:hideMark/>
          </w:tcPr>
          <w:p w14:paraId="6A900C08" w14:textId="77777777" w:rsidR="00000000" w:rsidRDefault="00A173A8">
            <w:pPr>
              <w:spacing w:after="100"/>
              <w:rPr>
                <w:rFonts w:eastAsia="Times New Roman"/>
                <w:sz w:val="20"/>
                <w:szCs w:val="20"/>
              </w:rPr>
            </w:pPr>
          </w:p>
        </w:tc>
        <w:tc>
          <w:tcPr>
            <w:tcW w:w="5" w:type="pct"/>
            <w:vAlign w:val="center"/>
            <w:hideMark/>
          </w:tcPr>
          <w:p w14:paraId="332A73C3" w14:textId="77777777" w:rsidR="00000000" w:rsidRDefault="00A173A8">
            <w:pPr>
              <w:spacing w:after="100"/>
              <w:rPr>
                <w:rFonts w:eastAsia="Times New Roman"/>
                <w:sz w:val="20"/>
                <w:szCs w:val="20"/>
              </w:rPr>
            </w:pPr>
          </w:p>
        </w:tc>
        <w:tc>
          <w:tcPr>
            <w:tcW w:w="5" w:type="pct"/>
            <w:vAlign w:val="center"/>
            <w:hideMark/>
          </w:tcPr>
          <w:p w14:paraId="7EA7C60B" w14:textId="77777777" w:rsidR="00000000" w:rsidRDefault="00A173A8">
            <w:pPr>
              <w:spacing w:after="100"/>
              <w:rPr>
                <w:rFonts w:eastAsia="Times New Roman"/>
                <w:sz w:val="20"/>
                <w:szCs w:val="20"/>
              </w:rPr>
            </w:pPr>
          </w:p>
        </w:tc>
        <w:tc>
          <w:tcPr>
            <w:tcW w:w="26" w:type="pct"/>
            <w:vAlign w:val="center"/>
            <w:hideMark/>
          </w:tcPr>
          <w:p w14:paraId="05659BC5" w14:textId="77777777" w:rsidR="00000000" w:rsidRDefault="00A173A8">
            <w:pPr>
              <w:spacing w:after="100"/>
              <w:rPr>
                <w:rFonts w:eastAsia="Times New Roman"/>
                <w:sz w:val="20"/>
                <w:szCs w:val="20"/>
              </w:rPr>
            </w:pPr>
          </w:p>
        </w:tc>
        <w:tc>
          <w:tcPr>
            <w:tcW w:w="5" w:type="pct"/>
            <w:vAlign w:val="center"/>
            <w:hideMark/>
          </w:tcPr>
          <w:p w14:paraId="26158D24" w14:textId="77777777" w:rsidR="00000000" w:rsidRDefault="00A173A8">
            <w:pPr>
              <w:spacing w:after="100"/>
              <w:rPr>
                <w:rFonts w:eastAsia="Times New Roman"/>
                <w:sz w:val="20"/>
                <w:szCs w:val="20"/>
              </w:rPr>
            </w:pPr>
          </w:p>
        </w:tc>
        <w:tc>
          <w:tcPr>
            <w:tcW w:w="50" w:type="pct"/>
            <w:vAlign w:val="center"/>
            <w:hideMark/>
          </w:tcPr>
          <w:p w14:paraId="23D456E0" w14:textId="77777777" w:rsidR="00000000" w:rsidRDefault="00A173A8">
            <w:pPr>
              <w:spacing w:after="100"/>
              <w:rPr>
                <w:rFonts w:eastAsia="Times New Roman"/>
                <w:sz w:val="20"/>
                <w:szCs w:val="20"/>
              </w:rPr>
            </w:pPr>
          </w:p>
        </w:tc>
        <w:tc>
          <w:tcPr>
            <w:tcW w:w="434" w:type="pct"/>
            <w:vAlign w:val="center"/>
            <w:hideMark/>
          </w:tcPr>
          <w:p w14:paraId="24159D14" w14:textId="77777777" w:rsidR="00000000" w:rsidRDefault="00A173A8">
            <w:pPr>
              <w:spacing w:after="100"/>
              <w:rPr>
                <w:rFonts w:eastAsia="Times New Roman"/>
                <w:sz w:val="20"/>
                <w:szCs w:val="20"/>
              </w:rPr>
            </w:pPr>
          </w:p>
        </w:tc>
        <w:tc>
          <w:tcPr>
            <w:tcW w:w="5" w:type="pct"/>
            <w:vAlign w:val="center"/>
            <w:hideMark/>
          </w:tcPr>
          <w:p w14:paraId="6C37C99A" w14:textId="77777777" w:rsidR="00000000" w:rsidRDefault="00A173A8">
            <w:pPr>
              <w:spacing w:after="100"/>
              <w:rPr>
                <w:rFonts w:eastAsia="Times New Roman"/>
                <w:sz w:val="20"/>
                <w:szCs w:val="20"/>
              </w:rPr>
            </w:pPr>
          </w:p>
        </w:tc>
        <w:tc>
          <w:tcPr>
            <w:tcW w:w="5" w:type="pct"/>
            <w:vAlign w:val="center"/>
            <w:hideMark/>
          </w:tcPr>
          <w:p w14:paraId="333E01C5" w14:textId="77777777" w:rsidR="00000000" w:rsidRDefault="00A173A8">
            <w:pPr>
              <w:spacing w:after="100"/>
              <w:rPr>
                <w:rFonts w:eastAsia="Times New Roman"/>
                <w:sz w:val="20"/>
                <w:szCs w:val="20"/>
              </w:rPr>
            </w:pPr>
          </w:p>
        </w:tc>
        <w:tc>
          <w:tcPr>
            <w:tcW w:w="26" w:type="pct"/>
            <w:vAlign w:val="center"/>
            <w:hideMark/>
          </w:tcPr>
          <w:p w14:paraId="6CD6C0E6" w14:textId="77777777" w:rsidR="00000000" w:rsidRDefault="00A173A8">
            <w:pPr>
              <w:spacing w:after="100"/>
              <w:rPr>
                <w:rFonts w:eastAsia="Times New Roman"/>
                <w:sz w:val="20"/>
                <w:szCs w:val="20"/>
              </w:rPr>
            </w:pPr>
          </w:p>
        </w:tc>
        <w:tc>
          <w:tcPr>
            <w:tcW w:w="5" w:type="pct"/>
            <w:vAlign w:val="center"/>
            <w:hideMark/>
          </w:tcPr>
          <w:p w14:paraId="05B32BB3" w14:textId="77777777" w:rsidR="00000000" w:rsidRDefault="00A173A8">
            <w:pPr>
              <w:spacing w:after="100"/>
              <w:rPr>
                <w:rFonts w:eastAsia="Times New Roman"/>
                <w:sz w:val="20"/>
                <w:szCs w:val="20"/>
              </w:rPr>
            </w:pPr>
          </w:p>
        </w:tc>
        <w:tc>
          <w:tcPr>
            <w:tcW w:w="50" w:type="pct"/>
            <w:vAlign w:val="center"/>
            <w:hideMark/>
          </w:tcPr>
          <w:p w14:paraId="45A0141F" w14:textId="77777777" w:rsidR="00000000" w:rsidRDefault="00A173A8">
            <w:pPr>
              <w:spacing w:after="100"/>
              <w:rPr>
                <w:rFonts w:eastAsia="Times New Roman"/>
                <w:sz w:val="20"/>
                <w:szCs w:val="20"/>
              </w:rPr>
            </w:pPr>
          </w:p>
        </w:tc>
        <w:tc>
          <w:tcPr>
            <w:tcW w:w="434" w:type="pct"/>
            <w:vAlign w:val="center"/>
            <w:hideMark/>
          </w:tcPr>
          <w:p w14:paraId="2930B58A" w14:textId="77777777" w:rsidR="00000000" w:rsidRDefault="00A173A8">
            <w:pPr>
              <w:spacing w:after="100"/>
              <w:rPr>
                <w:rFonts w:eastAsia="Times New Roman"/>
                <w:sz w:val="20"/>
                <w:szCs w:val="20"/>
              </w:rPr>
            </w:pPr>
          </w:p>
        </w:tc>
        <w:tc>
          <w:tcPr>
            <w:tcW w:w="5" w:type="pct"/>
            <w:vAlign w:val="center"/>
            <w:hideMark/>
          </w:tcPr>
          <w:p w14:paraId="4CB14586" w14:textId="77777777" w:rsidR="00000000" w:rsidRDefault="00A173A8">
            <w:pPr>
              <w:spacing w:after="100"/>
              <w:rPr>
                <w:rFonts w:eastAsia="Times New Roman"/>
                <w:sz w:val="20"/>
                <w:szCs w:val="20"/>
              </w:rPr>
            </w:pPr>
          </w:p>
        </w:tc>
        <w:tc>
          <w:tcPr>
            <w:tcW w:w="5" w:type="pct"/>
            <w:vAlign w:val="center"/>
            <w:hideMark/>
          </w:tcPr>
          <w:p w14:paraId="47C51014" w14:textId="77777777" w:rsidR="00000000" w:rsidRDefault="00A173A8">
            <w:pPr>
              <w:spacing w:after="100"/>
              <w:rPr>
                <w:rFonts w:eastAsia="Times New Roman"/>
                <w:sz w:val="20"/>
                <w:szCs w:val="20"/>
              </w:rPr>
            </w:pPr>
          </w:p>
        </w:tc>
        <w:tc>
          <w:tcPr>
            <w:tcW w:w="26" w:type="pct"/>
            <w:vAlign w:val="center"/>
            <w:hideMark/>
          </w:tcPr>
          <w:p w14:paraId="6E06A668" w14:textId="77777777" w:rsidR="00000000" w:rsidRDefault="00A173A8">
            <w:pPr>
              <w:spacing w:after="100"/>
              <w:rPr>
                <w:rFonts w:eastAsia="Times New Roman"/>
                <w:sz w:val="20"/>
                <w:szCs w:val="20"/>
              </w:rPr>
            </w:pPr>
          </w:p>
        </w:tc>
        <w:tc>
          <w:tcPr>
            <w:tcW w:w="5" w:type="pct"/>
            <w:vAlign w:val="center"/>
            <w:hideMark/>
          </w:tcPr>
          <w:p w14:paraId="102AC724" w14:textId="77777777" w:rsidR="00000000" w:rsidRDefault="00A173A8">
            <w:pPr>
              <w:spacing w:after="100"/>
              <w:rPr>
                <w:rFonts w:eastAsia="Times New Roman"/>
                <w:sz w:val="20"/>
                <w:szCs w:val="20"/>
              </w:rPr>
            </w:pPr>
          </w:p>
        </w:tc>
        <w:tc>
          <w:tcPr>
            <w:tcW w:w="50" w:type="pct"/>
            <w:vAlign w:val="center"/>
            <w:hideMark/>
          </w:tcPr>
          <w:p w14:paraId="54265E28" w14:textId="77777777" w:rsidR="00000000" w:rsidRDefault="00A173A8">
            <w:pPr>
              <w:spacing w:after="100"/>
              <w:rPr>
                <w:rFonts w:eastAsia="Times New Roman"/>
                <w:sz w:val="20"/>
                <w:szCs w:val="20"/>
              </w:rPr>
            </w:pPr>
          </w:p>
        </w:tc>
        <w:tc>
          <w:tcPr>
            <w:tcW w:w="434" w:type="pct"/>
            <w:vAlign w:val="center"/>
            <w:hideMark/>
          </w:tcPr>
          <w:p w14:paraId="5EF71991" w14:textId="77777777" w:rsidR="00000000" w:rsidRDefault="00A173A8">
            <w:pPr>
              <w:spacing w:after="100"/>
              <w:rPr>
                <w:rFonts w:eastAsia="Times New Roman"/>
                <w:sz w:val="20"/>
                <w:szCs w:val="20"/>
              </w:rPr>
            </w:pPr>
          </w:p>
        </w:tc>
        <w:tc>
          <w:tcPr>
            <w:tcW w:w="5" w:type="pct"/>
            <w:vAlign w:val="center"/>
            <w:hideMark/>
          </w:tcPr>
          <w:p w14:paraId="489CC53D" w14:textId="77777777" w:rsidR="00000000" w:rsidRDefault="00A173A8">
            <w:pPr>
              <w:spacing w:after="100"/>
              <w:rPr>
                <w:rFonts w:eastAsia="Times New Roman"/>
                <w:sz w:val="20"/>
                <w:szCs w:val="20"/>
              </w:rPr>
            </w:pPr>
          </w:p>
        </w:tc>
        <w:tc>
          <w:tcPr>
            <w:tcW w:w="5" w:type="pct"/>
            <w:vAlign w:val="center"/>
            <w:hideMark/>
          </w:tcPr>
          <w:p w14:paraId="41478EC6" w14:textId="77777777" w:rsidR="00000000" w:rsidRDefault="00A173A8">
            <w:pPr>
              <w:spacing w:after="100"/>
              <w:rPr>
                <w:rFonts w:eastAsia="Times New Roman"/>
                <w:sz w:val="20"/>
                <w:szCs w:val="20"/>
              </w:rPr>
            </w:pPr>
          </w:p>
        </w:tc>
        <w:tc>
          <w:tcPr>
            <w:tcW w:w="26" w:type="pct"/>
            <w:vAlign w:val="center"/>
            <w:hideMark/>
          </w:tcPr>
          <w:p w14:paraId="713D250F" w14:textId="77777777" w:rsidR="00000000" w:rsidRDefault="00A173A8">
            <w:pPr>
              <w:spacing w:after="100"/>
              <w:rPr>
                <w:rFonts w:eastAsia="Times New Roman"/>
                <w:sz w:val="20"/>
                <w:szCs w:val="20"/>
              </w:rPr>
            </w:pPr>
          </w:p>
        </w:tc>
        <w:tc>
          <w:tcPr>
            <w:tcW w:w="5" w:type="pct"/>
            <w:vAlign w:val="center"/>
            <w:hideMark/>
          </w:tcPr>
          <w:p w14:paraId="51C39633" w14:textId="77777777" w:rsidR="00000000" w:rsidRDefault="00A173A8">
            <w:pPr>
              <w:spacing w:after="100"/>
              <w:rPr>
                <w:rFonts w:eastAsia="Times New Roman"/>
                <w:sz w:val="20"/>
                <w:szCs w:val="20"/>
              </w:rPr>
            </w:pPr>
          </w:p>
        </w:tc>
        <w:tc>
          <w:tcPr>
            <w:tcW w:w="0" w:type="auto"/>
            <w:vAlign w:val="center"/>
            <w:hideMark/>
          </w:tcPr>
          <w:p w14:paraId="57661624" w14:textId="77777777" w:rsidR="00000000" w:rsidRDefault="00A173A8">
            <w:pPr>
              <w:spacing w:after="100"/>
              <w:rPr>
                <w:rFonts w:eastAsia="Times New Roman"/>
                <w:sz w:val="20"/>
                <w:szCs w:val="20"/>
              </w:rPr>
            </w:pPr>
          </w:p>
        </w:tc>
        <w:tc>
          <w:tcPr>
            <w:tcW w:w="0" w:type="auto"/>
            <w:gridSpan w:val="3"/>
            <w:vAlign w:val="center"/>
            <w:hideMark/>
          </w:tcPr>
          <w:p w14:paraId="026C4756" w14:textId="77777777" w:rsidR="00000000" w:rsidRDefault="00A173A8">
            <w:pPr>
              <w:spacing w:after="100"/>
              <w:rPr>
                <w:rFonts w:eastAsia="Times New Roman"/>
                <w:sz w:val="20"/>
                <w:szCs w:val="20"/>
              </w:rPr>
            </w:pPr>
          </w:p>
        </w:tc>
        <w:tc>
          <w:tcPr>
            <w:tcW w:w="50" w:type="pct"/>
            <w:vAlign w:val="center"/>
            <w:hideMark/>
          </w:tcPr>
          <w:p w14:paraId="0EF96312" w14:textId="77777777" w:rsidR="00000000" w:rsidRDefault="00A173A8">
            <w:pPr>
              <w:spacing w:after="100"/>
              <w:rPr>
                <w:rFonts w:eastAsia="Times New Roman"/>
                <w:sz w:val="20"/>
                <w:szCs w:val="20"/>
              </w:rPr>
            </w:pPr>
          </w:p>
        </w:tc>
        <w:tc>
          <w:tcPr>
            <w:tcW w:w="435" w:type="pct"/>
            <w:vAlign w:val="center"/>
            <w:hideMark/>
          </w:tcPr>
          <w:p w14:paraId="105A5F31" w14:textId="77777777" w:rsidR="00000000" w:rsidRDefault="00A173A8">
            <w:pPr>
              <w:spacing w:after="100"/>
              <w:rPr>
                <w:rFonts w:eastAsia="Times New Roman"/>
                <w:sz w:val="20"/>
                <w:szCs w:val="20"/>
              </w:rPr>
            </w:pPr>
          </w:p>
        </w:tc>
        <w:tc>
          <w:tcPr>
            <w:tcW w:w="5" w:type="pct"/>
            <w:vAlign w:val="center"/>
            <w:hideMark/>
          </w:tcPr>
          <w:p w14:paraId="7602A760" w14:textId="77777777" w:rsidR="00000000" w:rsidRDefault="00A173A8">
            <w:pPr>
              <w:spacing w:after="100"/>
              <w:rPr>
                <w:rFonts w:eastAsia="Times New Roman"/>
                <w:sz w:val="20"/>
                <w:szCs w:val="20"/>
              </w:rPr>
            </w:pPr>
          </w:p>
        </w:tc>
      </w:tr>
      <w:tr w:rsidR="00000000" w14:paraId="7D5005BD" w14:textId="77777777">
        <w:trPr>
          <w:divId w:val="1862670321"/>
        </w:trPr>
        <w:tc>
          <w:tcPr>
            <w:tcW w:w="0" w:type="auto"/>
            <w:gridSpan w:val="3"/>
            <w:tcMar>
              <w:top w:w="0" w:type="dxa"/>
              <w:left w:w="20" w:type="dxa"/>
              <w:bottom w:w="0" w:type="dxa"/>
              <w:right w:w="20" w:type="dxa"/>
            </w:tcMar>
            <w:vAlign w:val="center"/>
            <w:hideMark/>
          </w:tcPr>
          <w:p w14:paraId="38FE3F11"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C64ECA" w14:textId="77777777" w:rsidR="00000000" w:rsidRDefault="00A173A8">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2EC9462B" w14:textId="77777777" w:rsidR="00000000" w:rsidRDefault="00A173A8">
            <w:pPr>
              <w:spacing w:after="100"/>
              <w:jc w:val="center"/>
              <w:rPr>
                <w:rFonts w:eastAsia="Times New Roman"/>
              </w:rPr>
            </w:pPr>
            <w:r>
              <w:rPr>
                <w:rFonts w:eastAsia="Times New Roman"/>
                <w:b/>
                <w:bCs/>
                <w:color w:val="000000"/>
                <w:sz w:val="16"/>
                <w:szCs w:val="16"/>
              </w:rPr>
              <w:t>Three Months Ended June 30, 2021</w:t>
            </w:r>
          </w:p>
        </w:tc>
        <w:tc>
          <w:tcPr>
            <w:tcW w:w="0" w:type="auto"/>
            <w:vAlign w:val="center"/>
            <w:hideMark/>
          </w:tcPr>
          <w:p w14:paraId="7A95AE98" w14:textId="77777777" w:rsidR="00000000" w:rsidRDefault="00A173A8">
            <w:pPr>
              <w:spacing w:after="100"/>
              <w:rPr>
                <w:rFonts w:eastAsia="Times New Roman"/>
                <w:sz w:val="20"/>
                <w:szCs w:val="20"/>
              </w:rPr>
            </w:pPr>
          </w:p>
        </w:tc>
        <w:tc>
          <w:tcPr>
            <w:tcW w:w="0" w:type="auto"/>
            <w:vAlign w:val="center"/>
            <w:hideMark/>
          </w:tcPr>
          <w:p w14:paraId="5B57E84A" w14:textId="77777777" w:rsidR="00000000" w:rsidRDefault="00A173A8">
            <w:pPr>
              <w:spacing w:after="100"/>
              <w:rPr>
                <w:rFonts w:eastAsia="Times New Roman"/>
                <w:sz w:val="20"/>
                <w:szCs w:val="20"/>
              </w:rPr>
            </w:pPr>
          </w:p>
        </w:tc>
        <w:tc>
          <w:tcPr>
            <w:tcW w:w="0" w:type="auto"/>
            <w:vAlign w:val="center"/>
            <w:hideMark/>
          </w:tcPr>
          <w:p w14:paraId="56774E73" w14:textId="77777777" w:rsidR="00000000" w:rsidRDefault="00A173A8">
            <w:pPr>
              <w:spacing w:after="100"/>
              <w:rPr>
                <w:rFonts w:eastAsia="Times New Roman"/>
                <w:sz w:val="20"/>
                <w:szCs w:val="20"/>
              </w:rPr>
            </w:pPr>
          </w:p>
        </w:tc>
        <w:tc>
          <w:tcPr>
            <w:tcW w:w="0" w:type="auto"/>
            <w:vAlign w:val="center"/>
            <w:hideMark/>
          </w:tcPr>
          <w:p w14:paraId="3A097D60" w14:textId="77777777" w:rsidR="00000000" w:rsidRDefault="00A173A8">
            <w:pPr>
              <w:spacing w:after="100"/>
              <w:rPr>
                <w:rFonts w:eastAsia="Times New Roman"/>
                <w:sz w:val="20"/>
                <w:szCs w:val="20"/>
              </w:rPr>
            </w:pPr>
          </w:p>
        </w:tc>
        <w:tc>
          <w:tcPr>
            <w:tcW w:w="0" w:type="auto"/>
            <w:vAlign w:val="center"/>
            <w:hideMark/>
          </w:tcPr>
          <w:p w14:paraId="191B9F6C" w14:textId="77777777" w:rsidR="00000000" w:rsidRDefault="00A173A8">
            <w:pPr>
              <w:spacing w:after="100"/>
              <w:rPr>
                <w:rFonts w:eastAsia="Times New Roman"/>
                <w:sz w:val="20"/>
                <w:szCs w:val="20"/>
              </w:rPr>
            </w:pPr>
          </w:p>
        </w:tc>
        <w:tc>
          <w:tcPr>
            <w:tcW w:w="0" w:type="auto"/>
            <w:vAlign w:val="center"/>
            <w:hideMark/>
          </w:tcPr>
          <w:p w14:paraId="53BFBA04" w14:textId="77777777" w:rsidR="00000000" w:rsidRDefault="00A173A8">
            <w:pPr>
              <w:spacing w:after="100"/>
              <w:rPr>
                <w:rFonts w:eastAsia="Times New Roman"/>
                <w:sz w:val="20"/>
                <w:szCs w:val="20"/>
              </w:rPr>
            </w:pPr>
          </w:p>
        </w:tc>
      </w:tr>
      <w:tr w:rsidR="00000000" w14:paraId="1F3FF00E" w14:textId="77777777">
        <w:trPr>
          <w:divId w:val="1862670321"/>
        </w:trPr>
        <w:tc>
          <w:tcPr>
            <w:tcW w:w="0" w:type="auto"/>
            <w:gridSpan w:val="3"/>
            <w:tcMar>
              <w:top w:w="30" w:type="dxa"/>
              <w:left w:w="20" w:type="dxa"/>
              <w:bottom w:w="30" w:type="dxa"/>
              <w:right w:w="20" w:type="dxa"/>
            </w:tcMar>
            <w:vAlign w:val="bottom"/>
            <w:hideMark/>
          </w:tcPr>
          <w:p w14:paraId="01F91F25" w14:textId="77777777" w:rsidR="00000000" w:rsidRDefault="00A173A8">
            <w:pPr>
              <w:spacing w:after="100"/>
              <w:rPr>
                <w:rFonts w:eastAsia="Times New Roman"/>
              </w:rPr>
            </w:pPr>
            <w:r>
              <w:rPr>
                <w:rFonts w:eastAsia="Times New Roman"/>
                <w:i/>
                <w:iCs/>
                <w:color w:val="000000"/>
                <w:sz w:val="16"/>
                <w:szCs w:val="16"/>
              </w:rPr>
              <w:t>(Dollars </w:t>
            </w:r>
            <w:r>
              <w:rPr>
                <w:rFonts w:eastAsia="Times New Roman"/>
                <w:i/>
                <w:iCs/>
                <w:color w:val="000000"/>
                <w:sz w:val="16"/>
                <w:szCs w:val="16"/>
              </w:rPr>
              <w:t>in millions)</w:t>
            </w:r>
          </w:p>
        </w:tc>
        <w:tc>
          <w:tcPr>
            <w:tcW w:w="0" w:type="auto"/>
            <w:gridSpan w:val="3"/>
            <w:tcMar>
              <w:top w:w="0" w:type="dxa"/>
              <w:left w:w="20" w:type="dxa"/>
              <w:bottom w:w="0" w:type="dxa"/>
              <w:right w:w="20" w:type="dxa"/>
            </w:tcMar>
            <w:vAlign w:val="center"/>
            <w:hideMark/>
          </w:tcPr>
          <w:p w14:paraId="4D2C8F1B"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7ACF49"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1F6EF12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25F92C"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11D4F9EF"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84FD7F" w14:textId="77777777" w:rsidR="00000000" w:rsidRDefault="00A173A8">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32FDC967" w14:textId="77777777" w:rsidR="00000000" w:rsidRDefault="00A173A8">
            <w:pPr>
              <w:spacing w:after="100"/>
              <w:jc w:val="center"/>
              <w:rPr>
                <w:rFonts w:eastAsia="Times New Roman"/>
              </w:rPr>
            </w:pPr>
          </w:p>
        </w:tc>
        <w:tc>
          <w:tcPr>
            <w:tcW w:w="0" w:type="auto"/>
            <w:vAlign w:val="center"/>
            <w:hideMark/>
          </w:tcPr>
          <w:p w14:paraId="4D244D35" w14:textId="77777777" w:rsidR="00000000" w:rsidRDefault="00A173A8">
            <w:pPr>
              <w:spacing w:after="100"/>
              <w:rPr>
                <w:rFonts w:eastAsia="Times New Roman"/>
                <w:sz w:val="20"/>
                <w:szCs w:val="20"/>
              </w:rPr>
            </w:pPr>
          </w:p>
        </w:tc>
        <w:tc>
          <w:tcPr>
            <w:tcW w:w="0" w:type="auto"/>
            <w:gridSpan w:val="3"/>
            <w:vAlign w:val="center"/>
            <w:hideMark/>
          </w:tcPr>
          <w:p w14:paraId="04B2CD77"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A80EE39"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73687641" w14:textId="77777777">
        <w:trPr>
          <w:divId w:val="186267032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2E8F969" w14:textId="77777777" w:rsidR="00000000" w:rsidRDefault="00A173A8">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6EB5376A"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1BCA8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3581F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C7FAA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E6F64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833BD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9B8179" w14:textId="77777777" w:rsidR="00000000" w:rsidRDefault="00A173A8">
            <w:pPr>
              <w:spacing w:after="100"/>
              <w:rPr>
                <w:rFonts w:eastAsia="Times New Roman"/>
                <w:sz w:val="20"/>
                <w:szCs w:val="20"/>
              </w:rPr>
            </w:pPr>
          </w:p>
        </w:tc>
        <w:tc>
          <w:tcPr>
            <w:tcW w:w="0" w:type="auto"/>
            <w:vAlign w:val="center"/>
            <w:hideMark/>
          </w:tcPr>
          <w:p w14:paraId="43C2B4D5" w14:textId="77777777" w:rsidR="00000000" w:rsidRDefault="00A173A8">
            <w:pPr>
              <w:spacing w:after="100"/>
              <w:rPr>
                <w:rFonts w:eastAsia="Times New Roman"/>
                <w:sz w:val="20"/>
                <w:szCs w:val="20"/>
              </w:rPr>
            </w:pPr>
          </w:p>
        </w:tc>
        <w:tc>
          <w:tcPr>
            <w:tcW w:w="0" w:type="auto"/>
            <w:gridSpan w:val="3"/>
            <w:vAlign w:val="center"/>
            <w:hideMark/>
          </w:tcPr>
          <w:p w14:paraId="1FA019D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0CD587" w14:textId="77777777" w:rsidR="00000000" w:rsidRDefault="00A173A8">
            <w:pPr>
              <w:spacing w:after="100"/>
              <w:rPr>
                <w:rFonts w:eastAsia="Times New Roman"/>
                <w:sz w:val="20"/>
                <w:szCs w:val="20"/>
              </w:rPr>
            </w:pPr>
          </w:p>
        </w:tc>
      </w:tr>
      <w:tr w:rsidR="00000000" w14:paraId="524475FE" w14:textId="77777777">
        <w:trPr>
          <w:divId w:val="1862670321"/>
        </w:trPr>
        <w:tc>
          <w:tcPr>
            <w:tcW w:w="0" w:type="auto"/>
            <w:gridSpan w:val="3"/>
            <w:shd w:val="clear" w:color="auto" w:fill="FFFFFF"/>
            <w:tcMar>
              <w:top w:w="30" w:type="dxa"/>
              <w:left w:w="20" w:type="dxa"/>
              <w:bottom w:w="30" w:type="dxa"/>
              <w:right w:w="20" w:type="dxa"/>
            </w:tcMar>
            <w:vAlign w:val="center"/>
            <w:hideMark/>
          </w:tcPr>
          <w:p w14:paraId="098D9021" w14:textId="77777777" w:rsidR="00000000" w:rsidRDefault="00A173A8">
            <w:pPr>
              <w:spacing w:after="100"/>
              <w:rPr>
                <w:rFonts w:eastAsia="Times New Roman"/>
              </w:rPr>
            </w:pPr>
            <w:r>
              <w:rPr>
                <w:rFonts w:eastAsia="Times New Roman"/>
                <w:color w:val="000000"/>
                <w:sz w:val="18"/>
                <w:szCs w:val="18"/>
              </w:rPr>
              <w:t>Balance as of March 31, 2021</w:t>
            </w:r>
          </w:p>
        </w:tc>
        <w:tc>
          <w:tcPr>
            <w:tcW w:w="0" w:type="auto"/>
            <w:gridSpan w:val="3"/>
            <w:shd w:val="clear" w:color="auto" w:fill="FFFFFF"/>
            <w:tcMar>
              <w:top w:w="0" w:type="dxa"/>
              <w:left w:w="20" w:type="dxa"/>
              <w:bottom w:w="0" w:type="dxa"/>
              <w:right w:w="20" w:type="dxa"/>
            </w:tcMar>
            <w:vAlign w:val="center"/>
            <w:hideMark/>
          </w:tcPr>
          <w:p w14:paraId="16DF06DA"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51689E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CB518F1" w14:textId="77777777" w:rsidR="00000000" w:rsidRDefault="00A173A8">
            <w:pPr>
              <w:spacing w:after="100"/>
              <w:jc w:val="right"/>
              <w:rPr>
                <w:rFonts w:eastAsia="Times New Roman"/>
              </w:rPr>
            </w:pPr>
            <w:r>
              <w:rPr>
                <w:rFonts w:eastAsia="Times New Roman"/>
                <w:color w:val="000000"/>
                <w:sz w:val="18"/>
                <w:szCs w:val="18"/>
              </w:rPr>
              <w:t>10,072 </w:t>
            </w:r>
          </w:p>
        </w:tc>
        <w:tc>
          <w:tcPr>
            <w:tcW w:w="0" w:type="auto"/>
            <w:shd w:val="clear" w:color="auto" w:fill="FFFFFF"/>
            <w:tcMar>
              <w:top w:w="30" w:type="dxa"/>
              <w:left w:w="0" w:type="dxa"/>
              <w:bottom w:w="30" w:type="dxa"/>
              <w:right w:w="20" w:type="dxa"/>
            </w:tcMar>
            <w:vAlign w:val="center"/>
            <w:hideMark/>
          </w:tcPr>
          <w:p w14:paraId="5A8AADF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40C37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0973A7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4AAD4B3" w14:textId="77777777" w:rsidR="00000000" w:rsidRDefault="00A173A8">
            <w:pPr>
              <w:spacing w:after="100"/>
              <w:jc w:val="right"/>
              <w:rPr>
                <w:rFonts w:eastAsia="Times New Roman"/>
              </w:rPr>
            </w:pPr>
            <w:r>
              <w:rPr>
                <w:rFonts w:eastAsia="Times New Roman"/>
                <w:color w:val="000000"/>
                <w:sz w:val="18"/>
                <w:szCs w:val="18"/>
              </w:rPr>
              <w:t>2,498 </w:t>
            </w:r>
          </w:p>
        </w:tc>
        <w:tc>
          <w:tcPr>
            <w:tcW w:w="0" w:type="auto"/>
            <w:shd w:val="clear" w:color="auto" w:fill="FFFFFF"/>
            <w:tcMar>
              <w:top w:w="30" w:type="dxa"/>
              <w:left w:w="0" w:type="dxa"/>
              <w:bottom w:w="30" w:type="dxa"/>
              <w:right w:w="20" w:type="dxa"/>
            </w:tcMar>
            <w:vAlign w:val="center"/>
            <w:hideMark/>
          </w:tcPr>
          <w:p w14:paraId="58AEBF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F1AD4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C926FD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8D9512A" w14:textId="77777777" w:rsidR="00000000" w:rsidRDefault="00A173A8">
            <w:pPr>
              <w:spacing w:after="100"/>
              <w:jc w:val="right"/>
              <w:rPr>
                <w:rFonts w:eastAsia="Times New Roman"/>
              </w:rPr>
            </w:pPr>
            <w:r>
              <w:rPr>
                <w:rFonts w:eastAsia="Times New Roman"/>
                <w:color w:val="000000"/>
                <w:sz w:val="18"/>
                <w:szCs w:val="18"/>
              </w:rPr>
              <w:t>1,447 </w:t>
            </w:r>
          </w:p>
        </w:tc>
        <w:tc>
          <w:tcPr>
            <w:tcW w:w="0" w:type="auto"/>
            <w:shd w:val="clear" w:color="auto" w:fill="FFFFFF"/>
            <w:tcMar>
              <w:top w:w="30" w:type="dxa"/>
              <w:left w:w="0" w:type="dxa"/>
              <w:bottom w:w="30" w:type="dxa"/>
              <w:right w:w="20" w:type="dxa"/>
            </w:tcMar>
            <w:vAlign w:val="center"/>
            <w:hideMark/>
          </w:tcPr>
          <w:p w14:paraId="340B8B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FC45BF" w14:textId="77777777" w:rsidR="00000000" w:rsidRDefault="00A173A8">
            <w:pPr>
              <w:spacing w:after="100"/>
              <w:jc w:val="right"/>
              <w:rPr>
                <w:rFonts w:eastAsia="Times New Roman"/>
                <w:sz w:val="20"/>
                <w:szCs w:val="20"/>
              </w:rPr>
            </w:pPr>
          </w:p>
        </w:tc>
        <w:tc>
          <w:tcPr>
            <w:tcW w:w="0" w:type="auto"/>
            <w:vAlign w:val="center"/>
            <w:hideMark/>
          </w:tcPr>
          <w:p w14:paraId="1E0C8ECC" w14:textId="77777777" w:rsidR="00000000" w:rsidRDefault="00A173A8">
            <w:pPr>
              <w:spacing w:after="100"/>
              <w:rPr>
                <w:rFonts w:eastAsia="Times New Roman"/>
                <w:sz w:val="20"/>
                <w:szCs w:val="20"/>
              </w:rPr>
            </w:pPr>
          </w:p>
        </w:tc>
        <w:tc>
          <w:tcPr>
            <w:tcW w:w="0" w:type="auto"/>
            <w:gridSpan w:val="3"/>
            <w:vAlign w:val="center"/>
            <w:hideMark/>
          </w:tcPr>
          <w:p w14:paraId="62CEFCDA" w14:textId="77777777" w:rsidR="00000000" w:rsidRDefault="00A173A8">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9C721BE"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7665B1B" w14:textId="77777777" w:rsidR="00000000" w:rsidRDefault="00A173A8">
            <w:pPr>
              <w:spacing w:after="100"/>
              <w:jc w:val="right"/>
              <w:rPr>
                <w:rFonts w:eastAsia="Times New Roman"/>
              </w:rPr>
            </w:pPr>
            <w:r>
              <w:rPr>
                <w:rFonts w:eastAsia="Times New Roman"/>
                <w:color w:val="000000"/>
                <w:sz w:val="18"/>
                <w:szCs w:val="18"/>
              </w:rPr>
              <w:t>14,017 </w:t>
            </w:r>
          </w:p>
        </w:tc>
        <w:tc>
          <w:tcPr>
            <w:tcW w:w="0" w:type="auto"/>
            <w:shd w:val="clear" w:color="auto" w:fill="FFFFFF"/>
            <w:tcMar>
              <w:top w:w="30" w:type="dxa"/>
              <w:left w:w="0" w:type="dxa"/>
              <w:bottom w:w="30" w:type="dxa"/>
              <w:right w:w="20" w:type="dxa"/>
            </w:tcMar>
            <w:vAlign w:val="center"/>
            <w:hideMark/>
          </w:tcPr>
          <w:p w14:paraId="1CC1CF90" w14:textId="77777777" w:rsidR="00000000" w:rsidRDefault="00A173A8">
            <w:pPr>
              <w:spacing w:after="100"/>
              <w:jc w:val="right"/>
              <w:rPr>
                <w:rFonts w:eastAsia="Times New Roman"/>
              </w:rPr>
            </w:pPr>
          </w:p>
        </w:tc>
      </w:tr>
      <w:tr w:rsidR="00000000" w14:paraId="3D9D43BD" w14:textId="77777777">
        <w:trPr>
          <w:divId w:val="1862670321"/>
        </w:trPr>
        <w:tc>
          <w:tcPr>
            <w:tcW w:w="0" w:type="auto"/>
            <w:gridSpan w:val="3"/>
            <w:shd w:val="clear" w:color="auto" w:fill="CCEEFF"/>
            <w:tcMar>
              <w:top w:w="30" w:type="dxa"/>
              <w:left w:w="20" w:type="dxa"/>
              <w:bottom w:w="30" w:type="dxa"/>
              <w:right w:w="20" w:type="dxa"/>
            </w:tcMar>
            <w:vAlign w:val="center"/>
            <w:hideMark/>
          </w:tcPr>
          <w:p w14:paraId="276F7155" w14:textId="77777777" w:rsidR="00000000" w:rsidRDefault="00A173A8">
            <w:pPr>
              <w:spacing w:after="100"/>
              <w:divId w:val="830172233"/>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795B9E7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ADB6491" w14:textId="77777777" w:rsidR="00000000" w:rsidRDefault="00A173A8">
            <w:pPr>
              <w:spacing w:after="100"/>
              <w:jc w:val="right"/>
              <w:rPr>
                <w:rFonts w:eastAsia="Times New Roman"/>
              </w:rPr>
            </w:pPr>
            <w:r>
              <w:rPr>
                <w:rFonts w:eastAsia="Times New Roman"/>
                <w:color w:val="000000"/>
                <w:sz w:val="18"/>
                <w:szCs w:val="18"/>
              </w:rPr>
              <w:t>(967)</w:t>
            </w:r>
          </w:p>
        </w:tc>
        <w:tc>
          <w:tcPr>
            <w:tcW w:w="0" w:type="auto"/>
            <w:shd w:val="clear" w:color="auto" w:fill="CCEEFF"/>
            <w:tcMar>
              <w:top w:w="30" w:type="dxa"/>
              <w:left w:w="0" w:type="dxa"/>
              <w:bottom w:w="30" w:type="dxa"/>
              <w:right w:w="20" w:type="dxa"/>
            </w:tcMar>
            <w:vAlign w:val="center"/>
            <w:hideMark/>
          </w:tcPr>
          <w:p w14:paraId="5DADFB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93FF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091C16" w14:textId="77777777" w:rsidR="00000000" w:rsidRDefault="00A173A8">
            <w:pPr>
              <w:spacing w:after="100"/>
              <w:jc w:val="right"/>
              <w:rPr>
                <w:rFonts w:eastAsia="Times New Roman"/>
              </w:rPr>
            </w:pPr>
            <w:r>
              <w:rPr>
                <w:rFonts w:eastAsia="Times New Roman"/>
                <w:color w:val="000000"/>
                <w:sz w:val="18"/>
                <w:szCs w:val="18"/>
              </w:rPr>
              <w:t>(260)</w:t>
            </w:r>
          </w:p>
        </w:tc>
        <w:tc>
          <w:tcPr>
            <w:tcW w:w="0" w:type="auto"/>
            <w:shd w:val="clear" w:color="auto" w:fill="CCEEFF"/>
            <w:tcMar>
              <w:top w:w="30" w:type="dxa"/>
              <w:left w:w="0" w:type="dxa"/>
              <w:bottom w:w="30" w:type="dxa"/>
              <w:right w:w="20" w:type="dxa"/>
            </w:tcMar>
            <w:vAlign w:val="center"/>
            <w:hideMark/>
          </w:tcPr>
          <w:p w14:paraId="36875A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9DA4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F784C6" w14:textId="77777777" w:rsidR="00000000" w:rsidRDefault="00A173A8">
            <w:pPr>
              <w:spacing w:after="100"/>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center"/>
            <w:hideMark/>
          </w:tcPr>
          <w:p w14:paraId="1FAD758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18A9D" w14:textId="77777777" w:rsidR="00000000" w:rsidRDefault="00A173A8">
            <w:pPr>
              <w:spacing w:after="100"/>
              <w:jc w:val="right"/>
              <w:rPr>
                <w:rFonts w:eastAsia="Times New Roman"/>
                <w:sz w:val="20"/>
                <w:szCs w:val="20"/>
              </w:rPr>
            </w:pPr>
          </w:p>
        </w:tc>
        <w:tc>
          <w:tcPr>
            <w:tcW w:w="0" w:type="auto"/>
            <w:vAlign w:val="center"/>
            <w:hideMark/>
          </w:tcPr>
          <w:p w14:paraId="70AF7E13" w14:textId="77777777" w:rsidR="00000000" w:rsidRDefault="00A173A8">
            <w:pPr>
              <w:spacing w:after="100"/>
              <w:rPr>
                <w:rFonts w:eastAsia="Times New Roman"/>
                <w:sz w:val="20"/>
                <w:szCs w:val="20"/>
              </w:rPr>
            </w:pPr>
          </w:p>
        </w:tc>
        <w:tc>
          <w:tcPr>
            <w:tcW w:w="0" w:type="auto"/>
            <w:gridSpan w:val="3"/>
            <w:vAlign w:val="center"/>
            <w:hideMark/>
          </w:tcPr>
          <w:p w14:paraId="1784A554"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C735E5" w14:textId="77777777" w:rsidR="00000000" w:rsidRDefault="00A173A8">
            <w:pPr>
              <w:spacing w:after="100"/>
              <w:jc w:val="right"/>
              <w:rPr>
                <w:rFonts w:eastAsia="Times New Roman"/>
              </w:rPr>
            </w:pPr>
            <w:r>
              <w:rPr>
                <w:rFonts w:eastAsia="Times New Roman"/>
                <w:color w:val="000000"/>
                <w:sz w:val="18"/>
                <w:szCs w:val="18"/>
              </w:rPr>
              <w:t>(1,235)</w:t>
            </w:r>
          </w:p>
        </w:tc>
        <w:tc>
          <w:tcPr>
            <w:tcW w:w="0" w:type="auto"/>
            <w:shd w:val="clear" w:color="auto" w:fill="CCEEFF"/>
            <w:tcMar>
              <w:top w:w="30" w:type="dxa"/>
              <w:left w:w="0" w:type="dxa"/>
              <w:bottom w:w="30" w:type="dxa"/>
              <w:right w:w="20" w:type="dxa"/>
            </w:tcMar>
            <w:vAlign w:val="center"/>
            <w:hideMark/>
          </w:tcPr>
          <w:p w14:paraId="336B7CBE" w14:textId="77777777" w:rsidR="00000000" w:rsidRDefault="00A173A8">
            <w:pPr>
              <w:spacing w:after="100"/>
              <w:jc w:val="right"/>
              <w:rPr>
                <w:rFonts w:eastAsia="Times New Roman"/>
              </w:rPr>
            </w:pPr>
          </w:p>
        </w:tc>
      </w:tr>
      <w:tr w:rsidR="00000000" w14:paraId="243EAE46" w14:textId="77777777">
        <w:trPr>
          <w:divId w:val="1862670321"/>
        </w:trPr>
        <w:tc>
          <w:tcPr>
            <w:tcW w:w="0" w:type="auto"/>
            <w:gridSpan w:val="3"/>
            <w:shd w:val="clear" w:color="auto" w:fill="FFFFFF"/>
            <w:tcMar>
              <w:top w:w="30" w:type="dxa"/>
              <w:left w:w="20" w:type="dxa"/>
              <w:bottom w:w="30" w:type="dxa"/>
              <w:right w:w="20" w:type="dxa"/>
            </w:tcMar>
            <w:vAlign w:val="center"/>
            <w:hideMark/>
          </w:tcPr>
          <w:p w14:paraId="553C84C6" w14:textId="77777777" w:rsidR="00000000" w:rsidRDefault="00A173A8">
            <w:pPr>
              <w:spacing w:after="100"/>
              <w:divId w:val="1292712101"/>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DBE74F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E9A5483" w14:textId="77777777" w:rsidR="00000000" w:rsidRDefault="00A173A8">
            <w:pPr>
              <w:spacing w:after="100"/>
              <w:jc w:val="right"/>
              <w:rPr>
                <w:rFonts w:eastAsia="Times New Roman"/>
              </w:rPr>
            </w:pPr>
            <w:r>
              <w:rPr>
                <w:rFonts w:eastAsia="Times New Roman"/>
                <w:color w:val="000000"/>
                <w:sz w:val="18"/>
                <w:szCs w:val="18"/>
              </w:rPr>
              <w:t>396 </w:t>
            </w:r>
          </w:p>
        </w:tc>
        <w:tc>
          <w:tcPr>
            <w:tcW w:w="0" w:type="auto"/>
            <w:shd w:val="clear" w:color="auto" w:fill="FFFFFF"/>
            <w:tcMar>
              <w:top w:w="30" w:type="dxa"/>
              <w:left w:w="0" w:type="dxa"/>
              <w:bottom w:w="30" w:type="dxa"/>
              <w:right w:w="20" w:type="dxa"/>
            </w:tcMar>
            <w:vAlign w:val="center"/>
            <w:hideMark/>
          </w:tcPr>
          <w:p w14:paraId="61A9208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52777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6BE23E9" w14:textId="77777777" w:rsidR="00000000" w:rsidRDefault="00A173A8">
            <w:pPr>
              <w:spacing w:after="100"/>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center"/>
            <w:hideMark/>
          </w:tcPr>
          <w:p w14:paraId="2774A26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85F29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B8BA7C" w14:textId="77777777" w:rsidR="00000000" w:rsidRDefault="00A173A8">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14:paraId="62D71E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B0A383" w14:textId="77777777" w:rsidR="00000000" w:rsidRDefault="00A173A8">
            <w:pPr>
              <w:spacing w:after="100"/>
              <w:jc w:val="right"/>
              <w:rPr>
                <w:rFonts w:eastAsia="Times New Roman"/>
                <w:sz w:val="20"/>
                <w:szCs w:val="20"/>
              </w:rPr>
            </w:pPr>
          </w:p>
        </w:tc>
        <w:tc>
          <w:tcPr>
            <w:tcW w:w="0" w:type="auto"/>
            <w:vAlign w:val="center"/>
            <w:hideMark/>
          </w:tcPr>
          <w:p w14:paraId="207DDB1E" w14:textId="77777777" w:rsidR="00000000" w:rsidRDefault="00A173A8">
            <w:pPr>
              <w:spacing w:after="100"/>
              <w:rPr>
                <w:rFonts w:eastAsia="Times New Roman"/>
                <w:sz w:val="20"/>
                <w:szCs w:val="20"/>
              </w:rPr>
            </w:pPr>
          </w:p>
        </w:tc>
        <w:tc>
          <w:tcPr>
            <w:tcW w:w="0" w:type="auto"/>
            <w:gridSpan w:val="3"/>
            <w:vAlign w:val="center"/>
            <w:hideMark/>
          </w:tcPr>
          <w:p w14:paraId="174BD190"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B3359D" w14:textId="77777777" w:rsidR="00000000" w:rsidRDefault="00A173A8">
            <w:pPr>
              <w:spacing w:after="100"/>
              <w:jc w:val="right"/>
              <w:rPr>
                <w:rFonts w:eastAsia="Times New Roman"/>
              </w:rPr>
            </w:pPr>
            <w:r>
              <w:rPr>
                <w:rFonts w:eastAsia="Times New Roman"/>
                <w:color w:val="000000"/>
                <w:sz w:val="18"/>
                <w:szCs w:val="18"/>
              </w:rPr>
              <w:t>694 </w:t>
            </w:r>
          </w:p>
        </w:tc>
        <w:tc>
          <w:tcPr>
            <w:tcW w:w="0" w:type="auto"/>
            <w:shd w:val="clear" w:color="auto" w:fill="FFFFFF"/>
            <w:tcMar>
              <w:top w:w="30" w:type="dxa"/>
              <w:left w:w="0" w:type="dxa"/>
              <w:bottom w:w="30" w:type="dxa"/>
              <w:right w:w="20" w:type="dxa"/>
            </w:tcMar>
            <w:vAlign w:val="center"/>
            <w:hideMark/>
          </w:tcPr>
          <w:p w14:paraId="401C99A2" w14:textId="77777777" w:rsidR="00000000" w:rsidRDefault="00A173A8">
            <w:pPr>
              <w:spacing w:after="100"/>
              <w:jc w:val="right"/>
              <w:rPr>
                <w:rFonts w:eastAsia="Times New Roman"/>
              </w:rPr>
            </w:pPr>
          </w:p>
        </w:tc>
      </w:tr>
      <w:tr w:rsidR="00000000" w14:paraId="41D0EB97" w14:textId="77777777">
        <w:trPr>
          <w:divId w:val="1862670321"/>
        </w:trPr>
        <w:tc>
          <w:tcPr>
            <w:tcW w:w="0" w:type="auto"/>
            <w:gridSpan w:val="3"/>
            <w:shd w:val="clear" w:color="auto" w:fill="CCEEFF"/>
            <w:tcMar>
              <w:top w:w="30" w:type="dxa"/>
              <w:left w:w="20" w:type="dxa"/>
              <w:bottom w:w="30" w:type="dxa"/>
              <w:right w:w="20" w:type="dxa"/>
            </w:tcMar>
            <w:vAlign w:val="center"/>
            <w:hideMark/>
          </w:tcPr>
          <w:p w14:paraId="13B085C7" w14:textId="77777777" w:rsidR="00000000" w:rsidRDefault="00A173A8">
            <w:pPr>
              <w:spacing w:after="100"/>
              <w:rPr>
                <w:rFonts w:eastAsia="Times New Roman"/>
              </w:rPr>
            </w:pPr>
            <w:r>
              <w:rPr>
                <w:rFonts w:eastAsia="Times New Roman"/>
                <w:color w:val="000000"/>
                <w:sz w:val="18"/>
                <w:szCs w:val="18"/>
              </w:rPr>
              <w:t>Net recoveries (charge-offs)</w:t>
            </w:r>
          </w:p>
        </w:tc>
        <w:tc>
          <w:tcPr>
            <w:tcW w:w="0" w:type="auto"/>
            <w:gridSpan w:val="3"/>
            <w:shd w:val="clear" w:color="auto" w:fill="CCEEFF"/>
            <w:tcMar>
              <w:top w:w="0" w:type="dxa"/>
              <w:left w:w="20" w:type="dxa"/>
              <w:bottom w:w="0" w:type="dxa"/>
              <w:right w:w="20" w:type="dxa"/>
            </w:tcMar>
            <w:vAlign w:val="center"/>
            <w:hideMark/>
          </w:tcPr>
          <w:p w14:paraId="7608EEAB"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B90BFC" w14:textId="77777777" w:rsidR="00000000" w:rsidRDefault="00A173A8">
            <w:pPr>
              <w:spacing w:after="100"/>
              <w:jc w:val="right"/>
              <w:rPr>
                <w:rFonts w:eastAsia="Times New Roman"/>
              </w:rPr>
            </w:pPr>
            <w:r>
              <w:rPr>
                <w:rFonts w:eastAsia="Times New Roman"/>
                <w:color w:val="000000"/>
                <w:sz w:val="18"/>
                <w:szCs w:val="18"/>
              </w:rPr>
              <w:t>(571)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0D91C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D260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FC7B121" w14:textId="77777777" w:rsidR="00000000" w:rsidRDefault="00A173A8">
            <w:pPr>
              <w:spacing w:after="100"/>
              <w:jc w:val="right"/>
              <w:rPr>
                <w:rFonts w:eastAsia="Times New Roman"/>
              </w:rPr>
            </w:pPr>
            <w:r>
              <w:rPr>
                <w:rFonts w:eastAsia="Times New Roman"/>
                <w:color w:val="000000"/>
                <w:sz w:val="18"/>
                <w:szCs w:val="18"/>
              </w:rPr>
              <w:t>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E324B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055A4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36513B0" w14:textId="77777777" w:rsidR="00000000" w:rsidRDefault="00A173A8">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7B0FBC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B743DA" w14:textId="77777777" w:rsidR="00000000" w:rsidRDefault="00A173A8">
            <w:pPr>
              <w:spacing w:after="100"/>
              <w:jc w:val="right"/>
              <w:rPr>
                <w:rFonts w:eastAsia="Times New Roman"/>
                <w:sz w:val="20"/>
                <w:szCs w:val="20"/>
              </w:rPr>
            </w:pPr>
          </w:p>
        </w:tc>
        <w:tc>
          <w:tcPr>
            <w:tcW w:w="0" w:type="auto"/>
            <w:vAlign w:val="center"/>
            <w:hideMark/>
          </w:tcPr>
          <w:p w14:paraId="00B2DE23" w14:textId="77777777" w:rsidR="00000000" w:rsidRDefault="00A173A8">
            <w:pPr>
              <w:spacing w:after="100"/>
              <w:rPr>
                <w:rFonts w:eastAsia="Times New Roman"/>
                <w:sz w:val="20"/>
                <w:szCs w:val="20"/>
              </w:rPr>
            </w:pPr>
          </w:p>
        </w:tc>
        <w:tc>
          <w:tcPr>
            <w:tcW w:w="0" w:type="auto"/>
            <w:gridSpan w:val="3"/>
            <w:vAlign w:val="center"/>
            <w:hideMark/>
          </w:tcPr>
          <w:p w14:paraId="69009351"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2089E1" w14:textId="77777777" w:rsidR="00000000" w:rsidRDefault="00A173A8">
            <w:pPr>
              <w:spacing w:after="100"/>
              <w:jc w:val="right"/>
              <w:rPr>
                <w:rFonts w:eastAsia="Times New Roman"/>
              </w:rPr>
            </w:pPr>
            <w:r>
              <w:rPr>
                <w:rFonts w:eastAsia="Times New Roman"/>
                <w:color w:val="000000"/>
                <w:sz w:val="18"/>
                <w:szCs w:val="18"/>
              </w:rPr>
              <w:t>(541)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5660EB" w14:textId="77777777" w:rsidR="00000000" w:rsidRDefault="00A173A8">
            <w:pPr>
              <w:spacing w:after="100"/>
              <w:jc w:val="right"/>
              <w:rPr>
                <w:rFonts w:eastAsia="Times New Roman"/>
              </w:rPr>
            </w:pPr>
          </w:p>
        </w:tc>
      </w:tr>
      <w:tr w:rsidR="00000000" w14:paraId="62838903" w14:textId="77777777">
        <w:trPr>
          <w:divId w:val="1862670321"/>
        </w:trPr>
        <w:tc>
          <w:tcPr>
            <w:tcW w:w="0" w:type="auto"/>
            <w:gridSpan w:val="3"/>
            <w:shd w:val="clear" w:color="auto" w:fill="FFFFFF"/>
            <w:tcMar>
              <w:top w:w="30" w:type="dxa"/>
              <w:left w:w="20" w:type="dxa"/>
              <w:bottom w:w="30" w:type="dxa"/>
              <w:right w:w="20" w:type="dxa"/>
            </w:tcMar>
            <w:vAlign w:val="center"/>
            <w:hideMark/>
          </w:tcPr>
          <w:p w14:paraId="06EADFFE" w14:textId="77777777" w:rsidR="00000000" w:rsidRDefault="00A173A8">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7B9FC87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BDAA273" w14:textId="77777777" w:rsidR="00000000" w:rsidRDefault="00A173A8">
            <w:pPr>
              <w:spacing w:after="100"/>
              <w:jc w:val="right"/>
              <w:rPr>
                <w:rFonts w:eastAsia="Times New Roman"/>
              </w:rPr>
            </w:pPr>
            <w:r>
              <w:rPr>
                <w:rFonts w:eastAsia="Times New Roman"/>
                <w:color w:val="000000"/>
                <w:sz w:val="18"/>
                <w:szCs w:val="18"/>
              </w:rPr>
              <w:t>(635)</w:t>
            </w:r>
          </w:p>
        </w:tc>
        <w:tc>
          <w:tcPr>
            <w:tcW w:w="0" w:type="auto"/>
            <w:shd w:val="clear" w:color="auto" w:fill="FFFFFF"/>
            <w:tcMar>
              <w:top w:w="30" w:type="dxa"/>
              <w:left w:w="0" w:type="dxa"/>
              <w:bottom w:w="30" w:type="dxa"/>
              <w:right w:w="20" w:type="dxa"/>
            </w:tcMar>
            <w:vAlign w:val="center"/>
            <w:hideMark/>
          </w:tcPr>
          <w:p w14:paraId="4D96DD2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B031E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7694D4" w14:textId="77777777" w:rsidR="00000000" w:rsidRDefault="00A173A8">
            <w:pPr>
              <w:spacing w:after="100"/>
              <w:jc w:val="right"/>
              <w:rPr>
                <w:rFonts w:eastAsia="Times New Roman"/>
              </w:rPr>
            </w:pPr>
            <w:r>
              <w:rPr>
                <w:rFonts w:eastAsia="Times New Roman"/>
                <w:color w:val="000000"/>
                <w:sz w:val="18"/>
                <w:szCs w:val="18"/>
              </w:rPr>
              <w:t>(306)</w:t>
            </w:r>
          </w:p>
        </w:tc>
        <w:tc>
          <w:tcPr>
            <w:tcW w:w="0" w:type="auto"/>
            <w:shd w:val="clear" w:color="auto" w:fill="FFFFFF"/>
            <w:tcMar>
              <w:top w:w="30" w:type="dxa"/>
              <w:left w:w="0" w:type="dxa"/>
              <w:bottom w:w="30" w:type="dxa"/>
              <w:right w:w="20" w:type="dxa"/>
            </w:tcMar>
            <w:vAlign w:val="center"/>
            <w:hideMark/>
          </w:tcPr>
          <w:p w14:paraId="013847C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278BE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32F874B" w14:textId="77777777" w:rsidR="00000000" w:rsidRDefault="00A173A8">
            <w:pPr>
              <w:spacing w:after="100"/>
              <w:jc w:val="right"/>
              <w:rPr>
                <w:rFonts w:eastAsia="Times New Roman"/>
              </w:rPr>
            </w:pPr>
            <w:r>
              <w:rPr>
                <w:rFonts w:eastAsia="Times New Roman"/>
                <w:color w:val="000000"/>
                <w:sz w:val="18"/>
                <w:szCs w:val="18"/>
              </w:rPr>
              <w:t>(196)</w:t>
            </w:r>
          </w:p>
        </w:tc>
        <w:tc>
          <w:tcPr>
            <w:tcW w:w="0" w:type="auto"/>
            <w:shd w:val="clear" w:color="auto" w:fill="FFFFFF"/>
            <w:tcMar>
              <w:top w:w="30" w:type="dxa"/>
              <w:left w:w="0" w:type="dxa"/>
              <w:bottom w:w="30" w:type="dxa"/>
              <w:right w:w="20" w:type="dxa"/>
            </w:tcMar>
            <w:vAlign w:val="center"/>
            <w:hideMark/>
          </w:tcPr>
          <w:p w14:paraId="0166342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EB387F" w14:textId="77777777" w:rsidR="00000000" w:rsidRDefault="00A173A8">
            <w:pPr>
              <w:spacing w:after="100"/>
              <w:jc w:val="right"/>
              <w:rPr>
                <w:rFonts w:eastAsia="Times New Roman"/>
                <w:sz w:val="20"/>
                <w:szCs w:val="20"/>
              </w:rPr>
            </w:pPr>
          </w:p>
        </w:tc>
        <w:tc>
          <w:tcPr>
            <w:tcW w:w="0" w:type="auto"/>
            <w:vAlign w:val="center"/>
            <w:hideMark/>
          </w:tcPr>
          <w:p w14:paraId="02E33DCD" w14:textId="77777777" w:rsidR="00000000" w:rsidRDefault="00A173A8">
            <w:pPr>
              <w:spacing w:after="100"/>
              <w:rPr>
                <w:rFonts w:eastAsia="Times New Roman"/>
                <w:sz w:val="20"/>
                <w:szCs w:val="20"/>
              </w:rPr>
            </w:pPr>
          </w:p>
        </w:tc>
        <w:tc>
          <w:tcPr>
            <w:tcW w:w="0" w:type="auto"/>
            <w:gridSpan w:val="3"/>
            <w:vAlign w:val="center"/>
            <w:hideMark/>
          </w:tcPr>
          <w:p w14:paraId="62C6A25C"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94F88CD" w14:textId="77777777" w:rsidR="00000000" w:rsidRDefault="00A173A8">
            <w:pPr>
              <w:spacing w:after="100"/>
              <w:jc w:val="right"/>
              <w:rPr>
                <w:rFonts w:eastAsia="Times New Roman"/>
              </w:rPr>
            </w:pPr>
            <w:r>
              <w:rPr>
                <w:rFonts w:eastAsia="Times New Roman"/>
                <w:color w:val="000000"/>
                <w:sz w:val="18"/>
                <w:szCs w:val="18"/>
              </w:rPr>
              <w:t>(1,137)</w:t>
            </w:r>
          </w:p>
        </w:tc>
        <w:tc>
          <w:tcPr>
            <w:tcW w:w="0" w:type="auto"/>
            <w:shd w:val="clear" w:color="auto" w:fill="FFFFFF"/>
            <w:tcMar>
              <w:top w:w="30" w:type="dxa"/>
              <w:left w:w="0" w:type="dxa"/>
              <w:bottom w:w="30" w:type="dxa"/>
              <w:right w:w="20" w:type="dxa"/>
            </w:tcMar>
            <w:vAlign w:val="center"/>
            <w:hideMark/>
          </w:tcPr>
          <w:p w14:paraId="7B400818" w14:textId="77777777" w:rsidR="00000000" w:rsidRDefault="00A173A8">
            <w:pPr>
              <w:spacing w:after="100"/>
              <w:jc w:val="right"/>
              <w:rPr>
                <w:rFonts w:eastAsia="Times New Roman"/>
              </w:rPr>
            </w:pPr>
          </w:p>
        </w:tc>
      </w:tr>
      <w:tr w:rsidR="00000000" w14:paraId="0DEABA90" w14:textId="77777777">
        <w:trPr>
          <w:divId w:val="1862670321"/>
        </w:trPr>
        <w:tc>
          <w:tcPr>
            <w:tcW w:w="0" w:type="auto"/>
            <w:gridSpan w:val="3"/>
            <w:shd w:val="clear" w:color="auto" w:fill="CCEEFF"/>
            <w:tcMar>
              <w:top w:w="30" w:type="dxa"/>
              <w:left w:w="20" w:type="dxa"/>
              <w:bottom w:w="30" w:type="dxa"/>
              <w:right w:w="20" w:type="dxa"/>
            </w:tcMar>
            <w:vAlign w:val="center"/>
            <w:hideMark/>
          </w:tcPr>
          <w:p w14:paraId="6B2C2183" w14:textId="77777777" w:rsidR="00000000" w:rsidRDefault="00A173A8">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170E8E3C"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736027" w14:textId="77777777" w:rsidR="00000000" w:rsidRDefault="00A173A8">
            <w:pPr>
              <w:spacing w:after="100"/>
              <w:jc w:val="right"/>
              <w:rPr>
                <w:rFonts w:eastAsia="Times New Roman"/>
              </w:rPr>
            </w:pPr>
            <w:r>
              <w:rPr>
                <w:rFonts w:eastAsia="Times New Roman"/>
                <w:color w:val="000000"/>
                <w:sz w:val="18"/>
                <w:szCs w:val="18"/>
              </w:rPr>
              <w:t>(1,206)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3C6F2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81848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C6535C" w14:textId="77777777" w:rsidR="00000000" w:rsidRDefault="00A173A8">
            <w:pPr>
              <w:spacing w:after="100"/>
              <w:jc w:val="right"/>
              <w:rPr>
                <w:rFonts w:eastAsia="Times New Roman"/>
              </w:rPr>
            </w:pPr>
            <w:r>
              <w:rPr>
                <w:rFonts w:eastAsia="Times New Roman"/>
                <w:color w:val="000000"/>
                <w:sz w:val="18"/>
                <w:szCs w:val="18"/>
              </w:rPr>
              <w:t>(295)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78D73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587A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9161A3" w14:textId="77777777" w:rsidR="00000000" w:rsidRDefault="00A173A8">
            <w:pPr>
              <w:spacing w:after="100"/>
              <w:jc w:val="right"/>
              <w:rPr>
                <w:rFonts w:eastAsia="Times New Roman"/>
              </w:rPr>
            </w:pPr>
            <w:r>
              <w:rPr>
                <w:rFonts w:eastAsia="Times New Roman"/>
                <w:color w:val="000000"/>
                <w:sz w:val="18"/>
                <w:szCs w:val="18"/>
              </w:rPr>
              <w:t>(177)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25B99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A5920" w14:textId="77777777" w:rsidR="00000000" w:rsidRDefault="00A173A8">
            <w:pPr>
              <w:spacing w:after="100"/>
              <w:jc w:val="right"/>
              <w:rPr>
                <w:rFonts w:eastAsia="Times New Roman"/>
                <w:sz w:val="20"/>
                <w:szCs w:val="20"/>
              </w:rPr>
            </w:pPr>
          </w:p>
        </w:tc>
        <w:tc>
          <w:tcPr>
            <w:tcW w:w="0" w:type="auto"/>
            <w:vAlign w:val="center"/>
            <w:hideMark/>
          </w:tcPr>
          <w:p w14:paraId="06A9F00E" w14:textId="77777777" w:rsidR="00000000" w:rsidRDefault="00A173A8">
            <w:pPr>
              <w:spacing w:after="100"/>
              <w:rPr>
                <w:rFonts w:eastAsia="Times New Roman"/>
                <w:sz w:val="20"/>
                <w:szCs w:val="20"/>
              </w:rPr>
            </w:pPr>
          </w:p>
        </w:tc>
        <w:tc>
          <w:tcPr>
            <w:tcW w:w="0" w:type="auto"/>
            <w:gridSpan w:val="3"/>
            <w:vAlign w:val="center"/>
            <w:hideMark/>
          </w:tcPr>
          <w:p w14:paraId="406AEAE1"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0C19081" w14:textId="77777777" w:rsidR="00000000" w:rsidRDefault="00A173A8">
            <w:pPr>
              <w:spacing w:after="100"/>
              <w:jc w:val="right"/>
              <w:rPr>
                <w:rFonts w:eastAsia="Times New Roman"/>
              </w:rPr>
            </w:pPr>
            <w:r>
              <w:rPr>
                <w:rFonts w:eastAsia="Times New Roman"/>
                <w:color w:val="000000"/>
                <w:sz w:val="18"/>
                <w:szCs w:val="18"/>
              </w:rPr>
              <w:t>(1,678)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CD18BBD" w14:textId="77777777" w:rsidR="00000000" w:rsidRDefault="00A173A8">
            <w:pPr>
              <w:spacing w:after="100"/>
              <w:jc w:val="right"/>
              <w:rPr>
                <w:rFonts w:eastAsia="Times New Roman"/>
              </w:rPr>
            </w:pPr>
          </w:p>
        </w:tc>
      </w:tr>
      <w:tr w:rsidR="00000000" w14:paraId="044EA075" w14:textId="77777777">
        <w:trPr>
          <w:divId w:val="1862670321"/>
        </w:trPr>
        <w:tc>
          <w:tcPr>
            <w:tcW w:w="0" w:type="auto"/>
            <w:gridSpan w:val="3"/>
            <w:shd w:val="clear" w:color="auto" w:fill="FFFFFF"/>
            <w:tcMar>
              <w:top w:w="30" w:type="dxa"/>
              <w:left w:w="20" w:type="dxa"/>
              <w:bottom w:w="30" w:type="dxa"/>
              <w:right w:w="20" w:type="dxa"/>
            </w:tcMar>
            <w:vAlign w:val="center"/>
            <w:hideMark/>
          </w:tcPr>
          <w:p w14:paraId="0103E52E" w14:textId="77777777" w:rsidR="00000000" w:rsidRDefault="00A173A8">
            <w:pPr>
              <w:spacing w:after="100"/>
              <w:divId w:val="544215785"/>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D7BD86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3298DDB" w14:textId="77777777" w:rsidR="00000000" w:rsidRDefault="00A173A8">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14:paraId="4C33F6D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927ED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17B51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B8A66A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013D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D558C5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5F5990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D1C68" w14:textId="77777777" w:rsidR="00000000" w:rsidRDefault="00A173A8">
            <w:pPr>
              <w:spacing w:after="100"/>
              <w:jc w:val="right"/>
              <w:rPr>
                <w:rFonts w:eastAsia="Times New Roman"/>
                <w:sz w:val="20"/>
                <w:szCs w:val="20"/>
              </w:rPr>
            </w:pPr>
          </w:p>
        </w:tc>
        <w:tc>
          <w:tcPr>
            <w:tcW w:w="0" w:type="auto"/>
            <w:vAlign w:val="center"/>
            <w:hideMark/>
          </w:tcPr>
          <w:p w14:paraId="6E377A5A" w14:textId="77777777" w:rsidR="00000000" w:rsidRDefault="00A173A8">
            <w:pPr>
              <w:spacing w:after="100"/>
              <w:rPr>
                <w:rFonts w:eastAsia="Times New Roman"/>
                <w:sz w:val="20"/>
                <w:szCs w:val="20"/>
              </w:rPr>
            </w:pPr>
          </w:p>
        </w:tc>
        <w:tc>
          <w:tcPr>
            <w:tcW w:w="0" w:type="auto"/>
            <w:gridSpan w:val="3"/>
            <w:vAlign w:val="center"/>
            <w:hideMark/>
          </w:tcPr>
          <w:p w14:paraId="615DADDA"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E37868" w14:textId="77777777" w:rsidR="00000000" w:rsidRDefault="00A173A8">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14:paraId="6E8F236B" w14:textId="77777777" w:rsidR="00000000" w:rsidRDefault="00A173A8">
            <w:pPr>
              <w:spacing w:after="100"/>
              <w:jc w:val="right"/>
              <w:rPr>
                <w:rFonts w:eastAsia="Times New Roman"/>
              </w:rPr>
            </w:pPr>
          </w:p>
        </w:tc>
      </w:tr>
      <w:tr w:rsidR="00000000" w14:paraId="3B64AFA0" w14:textId="77777777">
        <w:trPr>
          <w:divId w:val="1862670321"/>
        </w:trPr>
        <w:tc>
          <w:tcPr>
            <w:tcW w:w="0" w:type="auto"/>
            <w:gridSpan w:val="3"/>
            <w:shd w:val="clear" w:color="auto" w:fill="CCEEFF"/>
            <w:tcMar>
              <w:top w:w="30" w:type="dxa"/>
              <w:left w:w="20" w:type="dxa"/>
              <w:bottom w:w="30" w:type="dxa"/>
              <w:right w:w="20" w:type="dxa"/>
            </w:tcMar>
            <w:vAlign w:val="center"/>
            <w:hideMark/>
          </w:tcPr>
          <w:p w14:paraId="576E6139" w14:textId="77777777" w:rsidR="00000000" w:rsidRDefault="00A173A8">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14:paraId="4094B4CE"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3E9084C" w14:textId="77777777" w:rsidR="00000000" w:rsidRDefault="00A173A8">
            <w:pPr>
              <w:spacing w:after="100"/>
              <w:jc w:val="right"/>
              <w:rPr>
                <w:rFonts w:eastAsia="Times New Roman"/>
              </w:rPr>
            </w:pPr>
            <w:r>
              <w:rPr>
                <w:rFonts w:eastAsia="Times New Roman"/>
                <w:color w:val="000000"/>
                <w:sz w:val="18"/>
                <w:szCs w:val="18"/>
              </w:rPr>
              <w:t>8,873 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F00DB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4A477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A3BBD3" w14:textId="77777777" w:rsidR="00000000" w:rsidRDefault="00A173A8">
            <w:pPr>
              <w:spacing w:after="100"/>
              <w:jc w:val="right"/>
              <w:rPr>
                <w:rFonts w:eastAsia="Times New Roman"/>
              </w:rPr>
            </w:pPr>
            <w:r>
              <w:rPr>
                <w:rFonts w:eastAsia="Times New Roman"/>
                <w:color w:val="000000"/>
                <w:sz w:val="18"/>
                <w:szCs w:val="18"/>
              </w:rPr>
              <w:t>2,203 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5697E9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9769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B83B22" w14:textId="77777777" w:rsidR="00000000" w:rsidRDefault="00A173A8">
            <w:pPr>
              <w:spacing w:after="100"/>
              <w:jc w:val="right"/>
              <w:rPr>
                <w:rFonts w:eastAsia="Times New Roman"/>
              </w:rPr>
            </w:pPr>
            <w:r>
              <w:rPr>
                <w:rFonts w:eastAsia="Times New Roman"/>
                <w:color w:val="000000"/>
                <w:sz w:val="18"/>
                <w:szCs w:val="18"/>
              </w:rPr>
              <w:t>1,270 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6C12F8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489C37" w14:textId="77777777" w:rsidR="00000000" w:rsidRDefault="00A173A8">
            <w:pPr>
              <w:spacing w:after="100"/>
              <w:jc w:val="right"/>
              <w:rPr>
                <w:rFonts w:eastAsia="Times New Roman"/>
                <w:sz w:val="20"/>
                <w:szCs w:val="20"/>
              </w:rPr>
            </w:pPr>
          </w:p>
        </w:tc>
        <w:tc>
          <w:tcPr>
            <w:tcW w:w="0" w:type="auto"/>
            <w:vAlign w:val="center"/>
            <w:hideMark/>
          </w:tcPr>
          <w:p w14:paraId="489DCBD6" w14:textId="77777777" w:rsidR="00000000" w:rsidRDefault="00A173A8">
            <w:pPr>
              <w:spacing w:after="100"/>
              <w:rPr>
                <w:rFonts w:eastAsia="Times New Roman"/>
                <w:sz w:val="20"/>
                <w:szCs w:val="20"/>
              </w:rPr>
            </w:pPr>
          </w:p>
        </w:tc>
        <w:tc>
          <w:tcPr>
            <w:tcW w:w="0" w:type="auto"/>
            <w:gridSpan w:val="3"/>
            <w:vAlign w:val="center"/>
            <w:hideMark/>
          </w:tcPr>
          <w:p w14:paraId="68A1B31F"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E61990F" w14:textId="77777777" w:rsidR="00000000" w:rsidRDefault="00A173A8">
            <w:pPr>
              <w:spacing w:after="100"/>
              <w:jc w:val="right"/>
              <w:rPr>
                <w:rFonts w:eastAsia="Times New Roman"/>
              </w:rPr>
            </w:pPr>
            <w:r>
              <w:rPr>
                <w:rFonts w:eastAsia="Times New Roman"/>
                <w:color w:val="000000"/>
                <w:sz w:val="18"/>
                <w:szCs w:val="18"/>
              </w:rPr>
              <w:t>12,346 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39A466" w14:textId="77777777" w:rsidR="00000000" w:rsidRDefault="00A173A8">
            <w:pPr>
              <w:spacing w:after="100"/>
              <w:jc w:val="right"/>
              <w:rPr>
                <w:rFonts w:eastAsia="Times New Roman"/>
              </w:rPr>
            </w:pPr>
          </w:p>
        </w:tc>
      </w:tr>
      <w:tr w:rsidR="00000000" w14:paraId="204EA156" w14:textId="77777777">
        <w:trPr>
          <w:divId w:val="1862670321"/>
        </w:trPr>
        <w:tc>
          <w:tcPr>
            <w:tcW w:w="0" w:type="auto"/>
            <w:gridSpan w:val="3"/>
            <w:shd w:val="clear" w:color="auto" w:fill="FFFFFF"/>
            <w:tcMar>
              <w:top w:w="30" w:type="dxa"/>
              <w:left w:w="20" w:type="dxa"/>
              <w:bottom w:w="30" w:type="dxa"/>
              <w:right w:w="20" w:type="dxa"/>
            </w:tcMar>
            <w:vAlign w:val="center"/>
            <w:hideMark/>
          </w:tcPr>
          <w:p w14:paraId="20B26D69" w14:textId="77777777" w:rsidR="00000000" w:rsidRDefault="00A173A8">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781C1847"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DC526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5227E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D2F8F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A58F8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7FA3D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BDC76C" w14:textId="77777777" w:rsidR="00000000" w:rsidRDefault="00A173A8">
            <w:pPr>
              <w:spacing w:after="100"/>
              <w:rPr>
                <w:rFonts w:eastAsia="Times New Roman"/>
                <w:sz w:val="20"/>
                <w:szCs w:val="20"/>
              </w:rPr>
            </w:pPr>
          </w:p>
        </w:tc>
        <w:tc>
          <w:tcPr>
            <w:tcW w:w="0" w:type="auto"/>
            <w:vAlign w:val="center"/>
            <w:hideMark/>
          </w:tcPr>
          <w:p w14:paraId="3198635C" w14:textId="77777777" w:rsidR="00000000" w:rsidRDefault="00A173A8">
            <w:pPr>
              <w:spacing w:after="100"/>
              <w:rPr>
                <w:rFonts w:eastAsia="Times New Roman"/>
                <w:sz w:val="20"/>
                <w:szCs w:val="20"/>
              </w:rPr>
            </w:pPr>
          </w:p>
        </w:tc>
        <w:tc>
          <w:tcPr>
            <w:tcW w:w="0" w:type="auto"/>
            <w:gridSpan w:val="3"/>
            <w:vAlign w:val="center"/>
            <w:hideMark/>
          </w:tcPr>
          <w:p w14:paraId="3E28943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C9F87D" w14:textId="77777777" w:rsidR="00000000" w:rsidRDefault="00A173A8">
            <w:pPr>
              <w:spacing w:after="100"/>
              <w:rPr>
                <w:rFonts w:eastAsia="Times New Roman"/>
                <w:sz w:val="20"/>
                <w:szCs w:val="20"/>
              </w:rPr>
            </w:pPr>
          </w:p>
        </w:tc>
      </w:tr>
      <w:tr w:rsidR="00000000" w14:paraId="1A29F844" w14:textId="77777777">
        <w:trPr>
          <w:divId w:val="1862670321"/>
        </w:trPr>
        <w:tc>
          <w:tcPr>
            <w:tcW w:w="0" w:type="auto"/>
            <w:gridSpan w:val="3"/>
            <w:shd w:val="clear" w:color="auto" w:fill="CCEEFF"/>
            <w:tcMar>
              <w:top w:w="30" w:type="dxa"/>
              <w:left w:w="20" w:type="dxa"/>
              <w:bottom w:w="30" w:type="dxa"/>
              <w:right w:w="20" w:type="dxa"/>
            </w:tcMar>
            <w:vAlign w:val="center"/>
            <w:hideMark/>
          </w:tcPr>
          <w:p w14:paraId="0390367D" w14:textId="77777777" w:rsidR="00000000" w:rsidRDefault="00A173A8">
            <w:pPr>
              <w:spacing w:after="100"/>
              <w:rPr>
                <w:rFonts w:eastAsia="Times New Roman"/>
              </w:rPr>
            </w:pPr>
            <w:r>
              <w:rPr>
                <w:rFonts w:eastAsia="Times New Roman"/>
                <w:color w:val="000000"/>
                <w:sz w:val="18"/>
                <w:szCs w:val="18"/>
              </w:rPr>
              <w:t>Balance as of March 31, 2021</w:t>
            </w:r>
          </w:p>
        </w:tc>
        <w:tc>
          <w:tcPr>
            <w:tcW w:w="0" w:type="auto"/>
            <w:gridSpan w:val="3"/>
            <w:shd w:val="clear" w:color="auto" w:fill="CCEEFF"/>
            <w:tcMar>
              <w:top w:w="0" w:type="dxa"/>
              <w:left w:w="20" w:type="dxa"/>
              <w:bottom w:w="0" w:type="dxa"/>
              <w:right w:w="20" w:type="dxa"/>
            </w:tcMar>
            <w:vAlign w:val="center"/>
            <w:hideMark/>
          </w:tcPr>
          <w:p w14:paraId="4E870F8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E6ACD9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25EBC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69CB2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0A29AF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91EBCE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40FFD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A2ED57" w14:textId="77777777" w:rsidR="00000000" w:rsidRDefault="00A173A8">
            <w:pPr>
              <w:spacing w:after="100"/>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center"/>
            <w:hideMark/>
          </w:tcPr>
          <w:p w14:paraId="1077D23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73C06" w14:textId="77777777" w:rsidR="00000000" w:rsidRDefault="00A173A8">
            <w:pPr>
              <w:spacing w:after="100"/>
              <w:jc w:val="right"/>
              <w:rPr>
                <w:rFonts w:eastAsia="Times New Roman"/>
                <w:sz w:val="20"/>
                <w:szCs w:val="20"/>
              </w:rPr>
            </w:pPr>
          </w:p>
        </w:tc>
        <w:tc>
          <w:tcPr>
            <w:tcW w:w="0" w:type="auto"/>
            <w:vAlign w:val="center"/>
            <w:hideMark/>
          </w:tcPr>
          <w:p w14:paraId="7956A20B" w14:textId="77777777" w:rsidR="00000000" w:rsidRDefault="00A173A8">
            <w:pPr>
              <w:spacing w:after="100"/>
              <w:rPr>
                <w:rFonts w:eastAsia="Times New Roman"/>
                <w:sz w:val="20"/>
                <w:szCs w:val="20"/>
              </w:rPr>
            </w:pPr>
          </w:p>
        </w:tc>
        <w:tc>
          <w:tcPr>
            <w:tcW w:w="0" w:type="auto"/>
            <w:gridSpan w:val="3"/>
            <w:vAlign w:val="center"/>
            <w:hideMark/>
          </w:tcPr>
          <w:p w14:paraId="0B938778"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C0C9A8" w14:textId="77777777" w:rsidR="00000000" w:rsidRDefault="00A173A8">
            <w:pPr>
              <w:spacing w:after="100"/>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center"/>
            <w:hideMark/>
          </w:tcPr>
          <w:p w14:paraId="4004FB50" w14:textId="77777777" w:rsidR="00000000" w:rsidRDefault="00A173A8">
            <w:pPr>
              <w:spacing w:after="100"/>
              <w:jc w:val="right"/>
              <w:rPr>
                <w:rFonts w:eastAsia="Times New Roman"/>
              </w:rPr>
            </w:pPr>
          </w:p>
        </w:tc>
      </w:tr>
      <w:tr w:rsidR="00000000" w14:paraId="4D0893D3" w14:textId="77777777">
        <w:trPr>
          <w:divId w:val="1862670321"/>
        </w:trPr>
        <w:tc>
          <w:tcPr>
            <w:tcW w:w="0" w:type="auto"/>
            <w:gridSpan w:val="3"/>
            <w:shd w:val="clear" w:color="auto" w:fill="FFFFFF"/>
            <w:tcMar>
              <w:top w:w="30" w:type="dxa"/>
              <w:left w:w="20" w:type="dxa"/>
              <w:bottom w:w="30" w:type="dxa"/>
              <w:right w:w="20" w:type="dxa"/>
            </w:tcMar>
            <w:vAlign w:val="center"/>
            <w:hideMark/>
          </w:tcPr>
          <w:p w14:paraId="57261820" w14:textId="77777777" w:rsidR="00000000" w:rsidRDefault="00A173A8">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6B787224"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6BFCC3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709F44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D3EA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88837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328A2C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8B23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DA85C2" w14:textId="77777777" w:rsidR="00000000" w:rsidRDefault="00A173A8">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14:paraId="354A34C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D76CD6" w14:textId="77777777" w:rsidR="00000000" w:rsidRDefault="00A173A8">
            <w:pPr>
              <w:spacing w:after="100"/>
              <w:jc w:val="right"/>
              <w:rPr>
                <w:rFonts w:eastAsia="Times New Roman"/>
                <w:sz w:val="20"/>
                <w:szCs w:val="20"/>
              </w:rPr>
            </w:pPr>
          </w:p>
        </w:tc>
        <w:tc>
          <w:tcPr>
            <w:tcW w:w="0" w:type="auto"/>
            <w:vAlign w:val="center"/>
            <w:hideMark/>
          </w:tcPr>
          <w:p w14:paraId="357756F0" w14:textId="77777777" w:rsidR="00000000" w:rsidRDefault="00A173A8">
            <w:pPr>
              <w:spacing w:after="100"/>
              <w:rPr>
                <w:rFonts w:eastAsia="Times New Roman"/>
                <w:sz w:val="20"/>
                <w:szCs w:val="20"/>
              </w:rPr>
            </w:pPr>
          </w:p>
        </w:tc>
        <w:tc>
          <w:tcPr>
            <w:tcW w:w="0" w:type="auto"/>
            <w:gridSpan w:val="3"/>
            <w:vAlign w:val="center"/>
            <w:hideMark/>
          </w:tcPr>
          <w:p w14:paraId="3E4EFF24"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9EECA1" w14:textId="77777777" w:rsidR="00000000" w:rsidRDefault="00A173A8">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14:paraId="26E8D38D" w14:textId="77777777" w:rsidR="00000000" w:rsidRDefault="00A173A8">
            <w:pPr>
              <w:spacing w:after="100"/>
              <w:jc w:val="right"/>
              <w:rPr>
                <w:rFonts w:eastAsia="Times New Roman"/>
              </w:rPr>
            </w:pPr>
          </w:p>
        </w:tc>
      </w:tr>
      <w:tr w:rsidR="00000000" w14:paraId="21ECDA32" w14:textId="77777777">
        <w:trPr>
          <w:divId w:val="1862670321"/>
        </w:trPr>
        <w:tc>
          <w:tcPr>
            <w:tcW w:w="0" w:type="auto"/>
            <w:gridSpan w:val="3"/>
            <w:shd w:val="clear" w:color="auto" w:fill="CCEEFF"/>
            <w:tcMar>
              <w:top w:w="30" w:type="dxa"/>
              <w:left w:w="20" w:type="dxa"/>
              <w:bottom w:w="30" w:type="dxa"/>
              <w:right w:w="20" w:type="dxa"/>
            </w:tcMar>
            <w:vAlign w:val="center"/>
            <w:hideMark/>
          </w:tcPr>
          <w:p w14:paraId="5D1BEA0E" w14:textId="77777777" w:rsidR="00000000" w:rsidRDefault="00A173A8">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14:paraId="12EF0437"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815F62"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3535A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5815A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E441E55"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64C7B3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20017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E5F2B2" w14:textId="77777777" w:rsidR="00000000" w:rsidRDefault="00A173A8">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9C922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F7C78" w14:textId="77777777" w:rsidR="00000000" w:rsidRDefault="00A173A8">
            <w:pPr>
              <w:spacing w:after="100"/>
              <w:jc w:val="right"/>
              <w:rPr>
                <w:rFonts w:eastAsia="Times New Roman"/>
                <w:sz w:val="20"/>
                <w:szCs w:val="20"/>
              </w:rPr>
            </w:pPr>
          </w:p>
        </w:tc>
        <w:tc>
          <w:tcPr>
            <w:tcW w:w="0" w:type="auto"/>
            <w:vAlign w:val="center"/>
            <w:hideMark/>
          </w:tcPr>
          <w:p w14:paraId="4B76D811" w14:textId="77777777" w:rsidR="00000000" w:rsidRDefault="00A173A8">
            <w:pPr>
              <w:spacing w:after="100"/>
              <w:rPr>
                <w:rFonts w:eastAsia="Times New Roman"/>
                <w:sz w:val="20"/>
                <w:szCs w:val="20"/>
              </w:rPr>
            </w:pPr>
          </w:p>
        </w:tc>
        <w:tc>
          <w:tcPr>
            <w:tcW w:w="0" w:type="auto"/>
            <w:gridSpan w:val="3"/>
            <w:vAlign w:val="center"/>
            <w:hideMark/>
          </w:tcPr>
          <w:p w14:paraId="294BE12A"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F09CBB1" w14:textId="77777777" w:rsidR="00000000" w:rsidRDefault="00A173A8">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D8316D" w14:textId="77777777" w:rsidR="00000000" w:rsidRDefault="00A173A8">
            <w:pPr>
              <w:spacing w:after="100"/>
              <w:jc w:val="right"/>
              <w:rPr>
                <w:rFonts w:eastAsia="Times New Roman"/>
              </w:rPr>
            </w:pPr>
          </w:p>
        </w:tc>
      </w:tr>
      <w:tr w:rsidR="00000000" w14:paraId="60E42FBB" w14:textId="77777777">
        <w:trPr>
          <w:divId w:val="1862670321"/>
        </w:trPr>
        <w:tc>
          <w:tcPr>
            <w:tcW w:w="0" w:type="auto"/>
            <w:gridSpan w:val="3"/>
            <w:shd w:val="clear" w:color="auto" w:fill="FFFFFF"/>
            <w:tcMar>
              <w:top w:w="30" w:type="dxa"/>
              <w:left w:w="20" w:type="dxa"/>
              <w:bottom w:w="30" w:type="dxa"/>
              <w:right w:w="20" w:type="dxa"/>
            </w:tcMar>
            <w:vAlign w:val="center"/>
            <w:hideMark/>
          </w:tcPr>
          <w:p w14:paraId="167B8177" w14:textId="77777777" w:rsidR="00000000" w:rsidRDefault="00A173A8">
            <w:pPr>
              <w:spacing w:after="100"/>
              <w:rPr>
                <w:rFonts w:eastAsia="Times New Roman"/>
              </w:rPr>
            </w:pPr>
            <w:r>
              <w:rPr>
                <w:rFonts w:eastAsia="Times New Roman"/>
                <w:b/>
                <w:bCs/>
                <w:color w:val="000000"/>
                <w:sz w:val="18"/>
                <w:szCs w:val="18"/>
              </w:rPr>
              <w:t>Combined allowance and reserve as of June 30, 2021</w:t>
            </w:r>
          </w:p>
        </w:tc>
        <w:tc>
          <w:tcPr>
            <w:tcW w:w="0" w:type="auto"/>
            <w:gridSpan w:val="3"/>
            <w:shd w:val="clear" w:color="auto" w:fill="FFFFFF"/>
            <w:tcMar>
              <w:top w:w="0" w:type="dxa"/>
              <w:left w:w="20" w:type="dxa"/>
              <w:bottom w:w="0" w:type="dxa"/>
              <w:right w:w="20" w:type="dxa"/>
            </w:tcMar>
            <w:vAlign w:val="center"/>
            <w:hideMark/>
          </w:tcPr>
          <w:p w14:paraId="1B2268C8"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21A7D2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D3EFE82" w14:textId="77777777" w:rsidR="00000000" w:rsidRDefault="00A173A8">
            <w:pPr>
              <w:spacing w:after="100"/>
              <w:jc w:val="right"/>
              <w:rPr>
                <w:rFonts w:eastAsia="Times New Roman"/>
              </w:rPr>
            </w:pPr>
            <w:r>
              <w:rPr>
                <w:rFonts w:eastAsia="Times New Roman"/>
                <w:color w:val="000000"/>
                <w:sz w:val="18"/>
                <w:szCs w:val="18"/>
              </w:rPr>
              <w:t>8,873 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4B6787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37A89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D4BC0BC"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E2DCD42" w14:textId="77777777" w:rsidR="00000000" w:rsidRDefault="00A173A8">
            <w:pPr>
              <w:spacing w:after="100"/>
              <w:jc w:val="right"/>
              <w:rPr>
                <w:rFonts w:eastAsia="Times New Roman"/>
              </w:rPr>
            </w:pPr>
            <w:r>
              <w:rPr>
                <w:rFonts w:eastAsia="Times New Roman"/>
                <w:color w:val="000000"/>
                <w:sz w:val="18"/>
                <w:szCs w:val="18"/>
              </w:rPr>
              <w:t>2,203 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E28124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100B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895095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893B2BC" w14:textId="77777777" w:rsidR="00000000" w:rsidRDefault="00A173A8">
            <w:pPr>
              <w:spacing w:after="100"/>
              <w:jc w:val="right"/>
              <w:rPr>
                <w:rFonts w:eastAsia="Times New Roman"/>
              </w:rPr>
            </w:pPr>
            <w:r>
              <w:rPr>
                <w:rFonts w:eastAsia="Times New Roman"/>
                <w:color w:val="000000"/>
                <w:sz w:val="18"/>
                <w:szCs w:val="18"/>
              </w:rPr>
              <w:t>1,434 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53C9A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6A626" w14:textId="77777777" w:rsidR="00000000" w:rsidRDefault="00A173A8">
            <w:pPr>
              <w:spacing w:after="100"/>
              <w:jc w:val="right"/>
              <w:rPr>
                <w:rFonts w:eastAsia="Times New Roman"/>
                <w:sz w:val="20"/>
                <w:szCs w:val="20"/>
              </w:rPr>
            </w:pPr>
          </w:p>
        </w:tc>
        <w:tc>
          <w:tcPr>
            <w:tcW w:w="0" w:type="auto"/>
            <w:vAlign w:val="center"/>
            <w:hideMark/>
          </w:tcPr>
          <w:p w14:paraId="2150E748" w14:textId="77777777" w:rsidR="00000000" w:rsidRDefault="00A173A8">
            <w:pPr>
              <w:spacing w:after="100"/>
              <w:rPr>
                <w:rFonts w:eastAsia="Times New Roman"/>
                <w:sz w:val="20"/>
                <w:szCs w:val="20"/>
              </w:rPr>
            </w:pPr>
          </w:p>
        </w:tc>
        <w:tc>
          <w:tcPr>
            <w:tcW w:w="0" w:type="auto"/>
            <w:gridSpan w:val="3"/>
            <w:vAlign w:val="center"/>
            <w:hideMark/>
          </w:tcPr>
          <w:p w14:paraId="37C58914" w14:textId="77777777" w:rsidR="00000000" w:rsidRDefault="00A173A8">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288887"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E0A68BB" w14:textId="77777777" w:rsidR="00000000" w:rsidRDefault="00A173A8">
            <w:pPr>
              <w:spacing w:after="100"/>
              <w:jc w:val="right"/>
              <w:rPr>
                <w:rFonts w:eastAsia="Times New Roman"/>
              </w:rPr>
            </w:pPr>
            <w:r>
              <w:rPr>
                <w:rFonts w:eastAsia="Times New Roman"/>
                <w:color w:val="000000"/>
                <w:sz w:val="18"/>
                <w:szCs w:val="18"/>
              </w:rPr>
              <w:t>12,510 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0607E91" w14:textId="77777777" w:rsidR="00000000" w:rsidRDefault="00A173A8">
            <w:pPr>
              <w:spacing w:after="100"/>
              <w:jc w:val="right"/>
              <w:rPr>
                <w:rFonts w:eastAsia="Times New Roman"/>
              </w:rPr>
            </w:pPr>
          </w:p>
        </w:tc>
      </w:tr>
      <w:tr w:rsidR="00000000" w14:paraId="5A4DAB63" w14:textId="77777777">
        <w:trPr>
          <w:divId w:val="1862670321"/>
        </w:trPr>
        <w:tc>
          <w:tcPr>
            <w:tcW w:w="0" w:type="auto"/>
            <w:gridSpan w:val="3"/>
            <w:vAlign w:val="center"/>
            <w:hideMark/>
          </w:tcPr>
          <w:p w14:paraId="2D07F579" w14:textId="77777777" w:rsidR="00000000" w:rsidRDefault="00A173A8">
            <w:pPr>
              <w:spacing w:after="100"/>
              <w:jc w:val="right"/>
              <w:rPr>
                <w:rFonts w:eastAsia="Times New Roman"/>
                <w:sz w:val="20"/>
                <w:szCs w:val="20"/>
              </w:rPr>
            </w:pPr>
          </w:p>
        </w:tc>
        <w:tc>
          <w:tcPr>
            <w:tcW w:w="0" w:type="auto"/>
            <w:gridSpan w:val="3"/>
            <w:vAlign w:val="center"/>
            <w:hideMark/>
          </w:tcPr>
          <w:p w14:paraId="2560E2F3" w14:textId="77777777" w:rsidR="00000000" w:rsidRDefault="00A173A8">
            <w:pPr>
              <w:spacing w:after="100"/>
              <w:rPr>
                <w:rFonts w:eastAsia="Times New Roman"/>
                <w:sz w:val="20"/>
                <w:szCs w:val="20"/>
              </w:rPr>
            </w:pPr>
          </w:p>
        </w:tc>
        <w:tc>
          <w:tcPr>
            <w:tcW w:w="0" w:type="auto"/>
            <w:gridSpan w:val="3"/>
            <w:vAlign w:val="center"/>
            <w:hideMark/>
          </w:tcPr>
          <w:p w14:paraId="10EF3C67" w14:textId="77777777" w:rsidR="00000000" w:rsidRDefault="00A173A8">
            <w:pPr>
              <w:spacing w:after="100"/>
              <w:rPr>
                <w:rFonts w:eastAsia="Times New Roman"/>
                <w:sz w:val="20"/>
                <w:szCs w:val="20"/>
              </w:rPr>
            </w:pPr>
          </w:p>
        </w:tc>
        <w:tc>
          <w:tcPr>
            <w:tcW w:w="0" w:type="auto"/>
            <w:gridSpan w:val="3"/>
            <w:vAlign w:val="center"/>
            <w:hideMark/>
          </w:tcPr>
          <w:p w14:paraId="44ECF0C4" w14:textId="77777777" w:rsidR="00000000" w:rsidRDefault="00A173A8">
            <w:pPr>
              <w:spacing w:after="100"/>
              <w:rPr>
                <w:rFonts w:eastAsia="Times New Roman"/>
                <w:sz w:val="20"/>
                <w:szCs w:val="20"/>
              </w:rPr>
            </w:pPr>
          </w:p>
        </w:tc>
        <w:tc>
          <w:tcPr>
            <w:tcW w:w="0" w:type="auto"/>
            <w:gridSpan w:val="3"/>
            <w:vAlign w:val="center"/>
            <w:hideMark/>
          </w:tcPr>
          <w:p w14:paraId="50DD75A1" w14:textId="77777777" w:rsidR="00000000" w:rsidRDefault="00A173A8">
            <w:pPr>
              <w:spacing w:after="100"/>
              <w:rPr>
                <w:rFonts w:eastAsia="Times New Roman"/>
                <w:sz w:val="20"/>
                <w:szCs w:val="20"/>
              </w:rPr>
            </w:pPr>
          </w:p>
        </w:tc>
        <w:tc>
          <w:tcPr>
            <w:tcW w:w="0" w:type="auto"/>
            <w:gridSpan w:val="3"/>
            <w:vAlign w:val="center"/>
            <w:hideMark/>
          </w:tcPr>
          <w:p w14:paraId="5AF686F1" w14:textId="77777777" w:rsidR="00000000" w:rsidRDefault="00A173A8">
            <w:pPr>
              <w:spacing w:after="100"/>
              <w:rPr>
                <w:rFonts w:eastAsia="Times New Roman"/>
                <w:sz w:val="20"/>
                <w:szCs w:val="20"/>
              </w:rPr>
            </w:pPr>
          </w:p>
        </w:tc>
        <w:tc>
          <w:tcPr>
            <w:tcW w:w="0" w:type="auto"/>
            <w:gridSpan w:val="3"/>
            <w:vAlign w:val="center"/>
            <w:hideMark/>
          </w:tcPr>
          <w:p w14:paraId="3EA3A324" w14:textId="77777777" w:rsidR="00000000" w:rsidRDefault="00A173A8">
            <w:pPr>
              <w:spacing w:after="100"/>
              <w:rPr>
                <w:rFonts w:eastAsia="Times New Roman"/>
                <w:sz w:val="20"/>
                <w:szCs w:val="20"/>
              </w:rPr>
            </w:pPr>
          </w:p>
        </w:tc>
        <w:tc>
          <w:tcPr>
            <w:tcW w:w="0" w:type="auto"/>
            <w:gridSpan w:val="3"/>
            <w:vAlign w:val="center"/>
            <w:hideMark/>
          </w:tcPr>
          <w:p w14:paraId="26B682E2" w14:textId="77777777" w:rsidR="00000000" w:rsidRDefault="00A173A8">
            <w:pPr>
              <w:spacing w:after="100"/>
              <w:rPr>
                <w:rFonts w:eastAsia="Times New Roman"/>
                <w:sz w:val="20"/>
                <w:szCs w:val="20"/>
              </w:rPr>
            </w:pPr>
          </w:p>
        </w:tc>
        <w:tc>
          <w:tcPr>
            <w:tcW w:w="0" w:type="auto"/>
            <w:vAlign w:val="center"/>
            <w:hideMark/>
          </w:tcPr>
          <w:p w14:paraId="42C7D3AB" w14:textId="77777777" w:rsidR="00000000" w:rsidRDefault="00A173A8">
            <w:pPr>
              <w:spacing w:after="100"/>
              <w:rPr>
                <w:rFonts w:eastAsia="Times New Roman"/>
                <w:sz w:val="20"/>
                <w:szCs w:val="20"/>
              </w:rPr>
            </w:pPr>
          </w:p>
        </w:tc>
        <w:tc>
          <w:tcPr>
            <w:tcW w:w="0" w:type="auto"/>
            <w:gridSpan w:val="3"/>
            <w:vAlign w:val="center"/>
            <w:hideMark/>
          </w:tcPr>
          <w:p w14:paraId="07103079" w14:textId="77777777" w:rsidR="00000000" w:rsidRDefault="00A173A8">
            <w:pPr>
              <w:spacing w:after="100"/>
              <w:rPr>
                <w:rFonts w:eastAsia="Times New Roman"/>
                <w:sz w:val="20"/>
                <w:szCs w:val="20"/>
              </w:rPr>
            </w:pPr>
          </w:p>
        </w:tc>
        <w:tc>
          <w:tcPr>
            <w:tcW w:w="0" w:type="auto"/>
            <w:gridSpan w:val="3"/>
            <w:vAlign w:val="center"/>
            <w:hideMark/>
          </w:tcPr>
          <w:p w14:paraId="13205446" w14:textId="77777777" w:rsidR="00000000" w:rsidRDefault="00A173A8">
            <w:pPr>
              <w:spacing w:after="100"/>
              <w:rPr>
                <w:rFonts w:eastAsia="Times New Roman"/>
                <w:sz w:val="20"/>
                <w:szCs w:val="20"/>
              </w:rPr>
            </w:pPr>
          </w:p>
        </w:tc>
      </w:tr>
      <w:tr w:rsidR="00000000" w14:paraId="141E7634" w14:textId="77777777">
        <w:trPr>
          <w:divId w:val="1862670321"/>
        </w:trPr>
        <w:tc>
          <w:tcPr>
            <w:tcW w:w="0" w:type="auto"/>
            <w:gridSpan w:val="3"/>
            <w:vAlign w:val="center"/>
            <w:hideMark/>
          </w:tcPr>
          <w:p w14:paraId="70B4EA60" w14:textId="77777777" w:rsidR="00000000" w:rsidRDefault="00A173A8">
            <w:pPr>
              <w:spacing w:after="100"/>
              <w:rPr>
                <w:rFonts w:eastAsia="Times New Roman"/>
                <w:sz w:val="20"/>
                <w:szCs w:val="20"/>
              </w:rPr>
            </w:pPr>
          </w:p>
        </w:tc>
        <w:tc>
          <w:tcPr>
            <w:tcW w:w="0" w:type="auto"/>
            <w:gridSpan w:val="3"/>
            <w:vAlign w:val="center"/>
            <w:hideMark/>
          </w:tcPr>
          <w:p w14:paraId="679056EA" w14:textId="77777777" w:rsidR="00000000" w:rsidRDefault="00A173A8">
            <w:pPr>
              <w:spacing w:after="100"/>
              <w:rPr>
                <w:rFonts w:eastAsia="Times New Roman"/>
                <w:sz w:val="20"/>
                <w:szCs w:val="20"/>
              </w:rPr>
            </w:pPr>
          </w:p>
        </w:tc>
        <w:tc>
          <w:tcPr>
            <w:tcW w:w="0" w:type="auto"/>
            <w:gridSpan w:val="3"/>
            <w:vAlign w:val="center"/>
            <w:hideMark/>
          </w:tcPr>
          <w:p w14:paraId="27633A88" w14:textId="77777777" w:rsidR="00000000" w:rsidRDefault="00A173A8">
            <w:pPr>
              <w:spacing w:after="100"/>
              <w:rPr>
                <w:rFonts w:eastAsia="Times New Roman"/>
                <w:sz w:val="20"/>
                <w:szCs w:val="20"/>
              </w:rPr>
            </w:pPr>
          </w:p>
        </w:tc>
        <w:tc>
          <w:tcPr>
            <w:tcW w:w="0" w:type="auto"/>
            <w:gridSpan w:val="3"/>
            <w:vAlign w:val="center"/>
            <w:hideMark/>
          </w:tcPr>
          <w:p w14:paraId="24C93FFC" w14:textId="77777777" w:rsidR="00000000" w:rsidRDefault="00A173A8">
            <w:pPr>
              <w:spacing w:after="100"/>
              <w:rPr>
                <w:rFonts w:eastAsia="Times New Roman"/>
                <w:sz w:val="20"/>
                <w:szCs w:val="20"/>
              </w:rPr>
            </w:pPr>
          </w:p>
        </w:tc>
        <w:tc>
          <w:tcPr>
            <w:tcW w:w="0" w:type="auto"/>
            <w:gridSpan w:val="3"/>
            <w:vAlign w:val="center"/>
            <w:hideMark/>
          </w:tcPr>
          <w:p w14:paraId="57A87273" w14:textId="77777777" w:rsidR="00000000" w:rsidRDefault="00A173A8">
            <w:pPr>
              <w:spacing w:after="100"/>
              <w:rPr>
                <w:rFonts w:eastAsia="Times New Roman"/>
                <w:sz w:val="20"/>
                <w:szCs w:val="20"/>
              </w:rPr>
            </w:pPr>
          </w:p>
        </w:tc>
        <w:tc>
          <w:tcPr>
            <w:tcW w:w="0" w:type="auto"/>
            <w:gridSpan w:val="3"/>
            <w:vAlign w:val="center"/>
            <w:hideMark/>
          </w:tcPr>
          <w:p w14:paraId="743B7FB0" w14:textId="77777777" w:rsidR="00000000" w:rsidRDefault="00A173A8">
            <w:pPr>
              <w:spacing w:after="100"/>
              <w:rPr>
                <w:rFonts w:eastAsia="Times New Roman"/>
                <w:sz w:val="20"/>
                <w:szCs w:val="20"/>
              </w:rPr>
            </w:pPr>
          </w:p>
        </w:tc>
        <w:tc>
          <w:tcPr>
            <w:tcW w:w="0" w:type="auto"/>
            <w:gridSpan w:val="3"/>
            <w:vAlign w:val="center"/>
            <w:hideMark/>
          </w:tcPr>
          <w:p w14:paraId="299E81F1" w14:textId="77777777" w:rsidR="00000000" w:rsidRDefault="00A173A8">
            <w:pPr>
              <w:spacing w:after="100"/>
              <w:rPr>
                <w:rFonts w:eastAsia="Times New Roman"/>
                <w:sz w:val="20"/>
                <w:szCs w:val="20"/>
              </w:rPr>
            </w:pPr>
          </w:p>
        </w:tc>
        <w:tc>
          <w:tcPr>
            <w:tcW w:w="0" w:type="auto"/>
            <w:gridSpan w:val="3"/>
            <w:vAlign w:val="center"/>
            <w:hideMark/>
          </w:tcPr>
          <w:p w14:paraId="40EBCFE5" w14:textId="77777777" w:rsidR="00000000" w:rsidRDefault="00A173A8">
            <w:pPr>
              <w:spacing w:after="100"/>
              <w:rPr>
                <w:rFonts w:eastAsia="Times New Roman"/>
                <w:sz w:val="20"/>
                <w:szCs w:val="20"/>
              </w:rPr>
            </w:pPr>
          </w:p>
        </w:tc>
        <w:tc>
          <w:tcPr>
            <w:tcW w:w="0" w:type="auto"/>
            <w:vAlign w:val="center"/>
            <w:hideMark/>
          </w:tcPr>
          <w:p w14:paraId="319359C3" w14:textId="77777777" w:rsidR="00000000" w:rsidRDefault="00A173A8">
            <w:pPr>
              <w:spacing w:after="100"/>
              <w:rPr>
                <w:rFonts w:eastAsia="Times New Roman"/>
                <w:sz w:val="20"/>
                <w:szCs w:val="20"/>
              </w:rPr>
            </w:pPr>
          </w:p>
        </w:tc>
        <w:tc>
          <w:tcPr>
            <w:tcW w:w="0" w:type="auto"/>
            <w:gridSpan w:val="3"/>
            <w:vAlign w:val="center"/>
            <w:hideMark/>
          </w:tcPr>
          <w:p w14:paraId="7CE751F2" w14:textId="77777777" w:rsidR="00000000" w:rsidRDefault="00A173A8">
            <w:pPr>
              <w:spacing w:after="100"/>
              <w:rPr>
                <w:rFonts w:eastAsia="Times New Roman"/>
                <w:sz w:val="20"/>
                <w:szCs w:val="20"/>
              </w:rPr>
            </w:pPr>
          </w:p>
        </w:tc>
        <w:tc>
          <w:tcPr>
            <w:tcW w:w="0" w:type="auto"/>
            <w:gridSpan w:val="3"/>
            <w:vAlign w:val="center"/>
            <w:hideMark/>
          </w:tcPr>
          <w:p w14:paraId="513FB563" w14:textId="77777777" w:rsidR="00000000" w:rsidRDefault="00A173A8">
            <w:pPr>
              <w:spacing w:after="100"/>
              <w:rPr>
                <w:rFonts w:eastAsia="Times New Roman"/>
                <w:sz w:val="20"/>
                <w:szCs w:val="20"/>
              </w:rPr>
            </w:pPr>
          </w:p>
        </w:tc>
      </w:tr>
      <w:tr w:rsidR="00000000" w14:paraId="553442A3" w14:textId="77777777">
        <w:trPr>
          <w:divId w:val="1862670321"/>
        </w:trPr>
        <w:tc>
          <w:tcPr>
            <w:tcW w:w="0" w:type="auto"/>
            <w:gridSpan w:val="3"/>
            <w:vAlign w:val="center"/>
            <w:hideMark/>
          </w:tcPr>
          <w:p w14:paraId="6FA95732" w14:textId="77777777" w:rsidR="00000000" w:rsidRDefault="00A173A8">
            <w:pPr>
              <w:spacing w:after="100"/>
              <w:rPr>
                <w:rFonts w:eastAsia="Times New Roman"/>
                <w:sz w:val="20"/>
                <w:szCs w:val="20"/>
              </w:rPr>
            </w:pPr>
          </w:p>
        </w:tc>
        <w:tc>
          <w:tcPr>
            <w:tcW w:w="0" w:type="auto"/>
            <w:gridSpan w:val="3"/>
            <w:vAlign w:val="center"/>
            <w:hideMark/>
          </w:tcPr>
          <w:p w14:paraId="4E82FCBE" w14:textId="77777777" w:rsidR="00000000" w:rsidRDefault="00A173A8">
            <w:pPr>
              <w:spacing w:after="100"/>
              <w:rPr>
                <w:rFonts w:eastAsia="Times New Roman"/>
                <w:sz w:val="20"/>
                <w:szCs w:val="20"/>
              </w:rPr>
            </w:pPr>
          </w:p>
        </w:tc>
        <w:tc>
          <w:tcPr>
            <w:tcW w:w="0" w:type="auto"/>
            <w:gridSpan w:val="3"/>
            <w:vAlign w:val="center"/>
            <w:hideMark/>
          </w:tcPr>
          <w:p w14:paraId="1226EE4D" w14:textId="77777777" w:rsidR="00000000" w:rsidRDefault="00A173A8">
            <w:pPr>
              <w:spacing w:after="100"/>
              <w:rPr>
                <w:rFonts w:eastAsia="Times New Roman"/>
                <w:sz w:val="20"/>
                <w:szCs w:val="20"/>
              </w:rPr>
            </w:pPr>
          </w:p>
        </w:tc>
        <w:tc>
          <w:tcPr>
            <w:tcW w:w="0" w:type="auto"/>
            <w:gridSpan w:val="3"/>
            <w:vAlign w:val="center"/>
            <w:hideMark/>
          </w:tcPr>
          <w:p w14:paraId="7A90BB50" w14:textId="77777777" w:rsidR="00000000" w:rsidRDefault="00A173A8">
            <w:pPr>
              <w:spacing w:after="100"/>
              <w:rPr>
                <w:rFonts w:eastAsia="Times New Roman"/>
                <w:sz w:val="20"/>
                <w:szCs w:val="20"/>
              </w:rPr>
            </w:pPr>
          </w:p>
        </w:tc>
        <w:tc>
          <w:tcPr>
            <w:tcW w:w="0" w:type="auto"/>
            <w:gridSpan w:val="3"/>
            <w:vAlign w:val="center"/>
            <w:hideMark/>
          </w:tcPr>
          <w:p w14:paraId="1D6EE6DF" w14:textId="77777777" w:rsidR="00000000" w:rsidRDefault="00A173A8">
            <w:pPr>
              <w:spacing w:after="100"/>
              <w:rPr>
                <w:rFonts w:eastAsia="Times New Roman"/>
                <w:sz w:val="20"/>
                <w:szCs w:val="20"/>
              </w:rPr>
            </w:pPr>
          </w:p>
        </w:tc>
        <w:tc>
          <w:tcPr>
            <w:tcW w:w="0" w:type="auto"/>
            <w:gridSpan w:val="3"/>
            <w:vAlign w:val="center"/>
            <w:hideMark/>
          </w:tcPr>
          <w:p w14:paraId="429BC7C3" w14:textId="77777777" w:rsidR="00000000" w:rsidRDefault="00A173A8">
            <w:pPr>
              <w:spacing w:after="100"/>
              <w:rPr>
                <w:rFonts w:eastAsia="Times New Roman"/>
                <w:sz w:val="20"/>
                <w:szCs w:val="20"/>
              </w:rPr>
            </w:pPr>
          </w:p>
        </w:tc>
        <w:tc>
          <w:tcPr>
            <w:tcW w:w="0" w:type="auto"/>
            <w:gridSpan w:val="3"/>
            <w:vAlign w:val="center"/>
            <w:hideMark/>
          </w:tcPr>
          <w:p w14:paraId="6D4B5A01" w14:textId="77777777" w:rsidR="00000000" w:rsidRDefault="00A173A8">
            <w:pPr>
              <w:spacing w:after="100"/>
              <w:rPr>
                <w:rFonts w:eastAsia="Times New Roman"/>
                <w:sz w:val="20"/>
                <w:szCs w:val="20"/>
              </w:rPr>
            </w:pPr>
          </w:p>
        </w:tc>
        <w:tc>
          <w:tcPr>
            <w:tcW w:w="0" w:type="auto"/>
            <w:gridSpan w:val="3"/>
            <w:vAlign w:val="center"/>
            <w:hideMark/>
          </w:tcPr>
          <w:p w14:paraId="7EC8D437" w14:textId="77777777" w:rsidR="00000000" w:rsidRDefault="00A173A8">
            <w:pPr>
              <w:spacing w:after="100"/>
              <w:rPr>
                <w:rFonts w:eastAsia="Times New Roman"/>
                <w:sz w:val="20"/>
                <w:szCs w:val="20"/>
              </w:rPr>
            </w:pPr>
          </w:p>
        </w:tc>
        <w:tc>
          <w:tcPr>
            <w:tcW w:w="0" w:type="auto"/>
            <w:vAlign w:val="center"/>
            <w:hideMark/>
          </w:tcPr>
          <w:p w14:paraId="79824BEC" w14:textId="77777777" w:rsidR="00000000" w:rsidRDefault="00A173A8">
            <w:pPr>
              <w:spacing w:after="100"/>
              <w:rPr>
                <w:rFonts w:eastAsia="Times New Roman"/>
                <w:sz w:val="20"/>
                <w:szCs w:val="20"/>
              </w:rPr>
            </w:pPr>
          </w:p>
        </w:tc>
        <w:tc>
          <w:tcPr>
            <w:tcW w:w="0" w:type="auto"/>
            <w:gridSpan w:val="3"/>
            <w:vAlign w:val="center"/>
            <w:hideMark/>
          </w:tcPr>
          <w:p w14:paraId="16A78603" w14:textId="77777777" w:rsidR="00000000" w:rsidRDefault="00A173A8">
            <w:pPr>
              <w:spacing w:after="100"/>
              <w:rPr>
                <w:rFonts w:eastAsia="Times New Roman"/>
                <w:sz w:val="20"/>
                <w:szCs w:val="20"/>
              </w:rPr>
            </w:pPr>
          </w:p>
        </w:tc>
        <w:tc>
          <w:tcPr>
            <w:tcW w:w="0" w:type="auto"/>
            <w:gridSpan w:val="3"/>
            <w:vAlign w:val="center"/>
            <w:hideMark/>
          </w:tcPr>
          <w:p w14:paraId="33CCDC82" w14:textId="77777777" w:rsidR="00000000" w:rsidRDefault="00A173A8">
            <w:pPr>
              <w:spacing w:after="100"/>
              <w:rPr>
                <w:rFonts w:eastAsia="Times New Roman"/>
                <w:sz w:val="20"/>
                <w:szCs w:val="20"/>
              </w:rPr>
            </w:pPr>
          </w:p>
        </w:tc>
      </w:tr>
      <w:tr w:rsidR="00000000" w14:paraId="03D73A19" w14:textId="77777777">
        <w:trPr>
          <w:divId w:val="1862670321"/>
        </w:trPr>
        <w:tc>
          <w:tcPr>
            <w:tcW w:w="0" w:type="auto"/>
            <w:gridSpan w:val="3"/>
            <w:vAlign w:val="center"/>
            <w:hideMark/>
          </w:tcPr>
          <w:p w14:paraId="50ED5822" w14:textId="77777777" w:rsidR="00000000" w:rsidRDefault="00A173A8">
            <w:pPr>
              <w:spacing w:after="100"/>
              <w:rPr>
                <w:rFonts w:eastAsia="Times New Roman"/>
                <w:sz w:val="20"/>
                <w:szCs w:val="20"/>
              </w:rPr>
            </w:pPr>
          </w:p>
        </w:tc>
        <w:tc>
          <w:tcPr>
            <w:tcW w:w="0" w:type="auto"/>
            <w:gridSpan w:val="3"/>
            <w:vAlign w:val="center"/>
            <w:hideMark/>
          </w:tcPr>
          <w:p w14:paraId="3C5ADFED" w14:textId="77777777" w:rsidR="00000000" w:rsidRDefault="00A173A8">
            <w:pPr>
              <w:spacing w:after="100"/>
              <w:rPr>
                <w:rFonts w:eastAsia="Times New Roman"/>
                <w:sz w:val="20"/>
                <w:szCs w:val="20"/>
              </w:rPr>
            </w:pPr>
          </w:p>
        </w:tc>
        <w:tc>
          <w:tcPr>
            <w:tcW w:w="0" w:type="auto"/>
            <w:gridSpan w:val="3"/>
            <w:vAlign w:val="center"/>
            <w:hideMark/>
          </w:tcPr>
          <w:p w14:paraId="054D5D32" w14:textId="77777777" w:rsidR="00000000" w:rsidRDefault="00A173A8">
            <w:pPr>
              <w:spacing w:after="100"/>
              <w:rPr>
                <w:rFonts w:eastAsia="Times New Roman"/>
                <w:sz w:val="20"/>
                <w:szCs w:val="20"/>
              </w:rPr>
            </w:pPr>
          </w:p>
        </w:tc>
        <w:tc>
          <w:tcPr>
            <w:tcW w:w="0" w:type="auto"/>
            <w:gridSpan w:val="3"/>
            <w:vAlign w:val="center"/>
            <w:hideMark/>
          </w:tcPr>
          <w:p w14:paraId="03FCEF54" w14:textId="77777777" w:rsidR="00000000" w:rsidRDefault="00A173A8">
            <w:pPr>
              <w:spacing w:after="100"/>
              <w:rPr>
                <w:rFonts w:eastAsia="Times New Roman"/>
                <w:sz w:val="20"/>
                <w:szCs w:val="20"/>
              </w:rPr>
            </w:pPr>
          </w:p>
        </w:tc>
        <w:tc>
          <w:tcPr>
            <w:tcW w:w="0" w:type="auto"/>
            <w:gridSpan w:val="3"/>
            <w:vAlign w:val="center"/>
            <w:hideMark/>
          </w:tcPr>
          <w:p w14:paraId="19762AC8" w14:textId="77777777" w:rsidR="00000000" w:rsidRDefault="00A173A8">
            <w:pPr>
              <w:spacing w:after="100"/>
              <w:rPr>
                <w:rFonts w:eastAsia="Times New Roman"/>
                <w:sz w:val="20"/>
                <w:szCs w:val="20"/>
              </w:rPr>
            </w:pPr>
          </w:p>
        </w:tc>
        <w:tc>
          <w:tcPr>
            <w:tcW w:w="0" w:type="auto"/>
            <w:gridSpan w:val="3"/>
            <w:vAlign w:val="center"/>
            <w:hideMark/>
          </w:tcPr>
          <w:p w14:paraId="6553F626" w14:textId="77777777" w:rsidR="00000000" w:rsidRDefault="00A173A8">
            <w:pPr>
              <w:spacing w:after="100"/>
              <w:rPr>
                <w:rFonts w:eastAsia="Times New Roman"/>
                <w:sz w:val="20"/>
                <w:szCs w:val="20"/>
              </w:rPr>
            </w:pPr>
          </w:p>
        </w:tc>
        <w:tc>
          <w:tcPr>
            <w:tcW w:w="0" w:type="auto"/>
            <w:gridSpan w:val="3"/>
            <w:vAlign w:val="center"/>
            <w:hideMark/>
          </w:tcPr>
          <w:p w14:paraId="6116F22F" w14:textId="77777777" w:rsidR="00000000" w:rsidRDefault="00A173A8">
            <w:pPr>
              <w:spacing w:after="100"/>
              <w:rPr>
                <w:rFonts w:eastAsia="Times New Roman"/>
                <w:sz w:val="20"/>
                <w:szCs w:val="20"/>
              </w:rPr>
            </w:pPr>
          </w:p>
        </w:tc>
        <w:tc>
          <w:tcPr>
            <w:tcW w:w="0" w:type="auto"/>
            <w:gridSpan w:val="3"/>
            <w:vAlign w:val="center"/>
            <w:hideMark/>
          </w:tcPr>
          <w:p w14:paraId="4855E1DF" w14:textId="77777777" w:rsidR="00000000" w:rsidRDefault="00A173A8">
            <w:pPr>
              <w:spacing w:after="100"/>
              <w:rPr>
                <w:rFonts w:eastAsia="Times New Roman"/>
                <w:sz w:val="20"/>
                <w:szCs w:val="20"/>
              </w:rPr>
            </w:pPr>
          </w:p>
        </w:tc>
        <w:tc>
          <w:tcPr>
            <w:tcW w:w="0" w:type="auto"/>
            <w:vAlign w:val="center"/>
            <w:hideMark/>
          </w:tcPr>
          <w:p w14:paraId="21C6F7F6" w14:textId="77777777" w:rsidR="00000000" w:rsidRDefault="00A173A8">
            <w:pPr>
              <w:spacing w:after="100"/>
              <w:rPr>
                <w:rFonts w:eastAsia="Times New Roman"/>
                <w:sz w:val="20"/>
                <w:szCs w:val="20"/>
              </w:rPr>
            </w:pPr>
          </w:p>
        </w:tc>
        <w:tc>
          <w:tcPr>
            <w:tcW w:w="0" w:type="auto"/>
            <w:gridSpan w:val="3"/>
            <w:vAlign w:val="center"/>
            <w:hideMark/>
          </w:tcPr>
          <w:p w14:paraId="69236AF0" w14:textId="77777777" w:rsidR="00000000" w:rsidRDefault="00A173A8">
            <w:pPr>
              <w:spacing w:after="100"/>
              <w:rPr>
                <w:rFonts w:eastAsia="Times New Roman"/>
                <w:sz w:val="20"/>
                <w:szCs w:val="20"/>
              </w:rPr>
            </w:pPr>
          </w:p>
        </w:tc>
        <w:tc>
          <w:tcPr>
            <w:tcW w:w="0" w:type="auto"/>
            <w:gridSpan w:val="3"/>
            <w:vAlign w:val="center"/>
            <w:hideMark/>
          </w:tcPr>
          <w:p w14:paraId="0ECA5979" w14:textId="77777777" w:rsidR="00000000" w:rsidRDefault="00A173A8">
            <w:pPr>
              <w:spacing w:after="100"/>
              <w:rPr>
                <w:rFonts w:eastAsia="Times New Roman"/>
                <w:sz w:val="20"/>
                <w:szCs w:val="20"/>
              </w:rPr>
            </w:pPr>
          </w:p>
        </w:tc>
      </w:tr>
      <w:tr w:rsidR="00000000" w14:paraId="2D44995C" w14:textId="77777777">
        <w:trPr>
          <w:divId w:val="1862670321"/>
        </w:trPr>
        <w:tc>
          <w:tcPr>
            <w:tcW w:w="0" w:type="auto"/>
            <w:gridSpan w:val="3"/>
            <w:vAlign w:val="center"/>
            <w:hideMark/>
          </w:tcPr>
          <w:p w14:paraId="72DC7AF7" w14:textId="77777777" w:rsidR="00000000" w:rsidRDefault="00A173A8">
            <w:pPr>
              <w:spacing w:after="100"/>
              <w:rPr>
                <w:rFonts w:eastAsia="Times New Roman"/>
                <w:sz w:val="20"/>
                <w:szCs w:val="20"/>
              </w:rPr>
            </w:pPr>
          </w:p>
        </w:tc>
        <w:tc>
          <w:tcPr>
            <w:tcW w:w="0" w:type="auto"/>
            <w:gridSpan w:val="3"/>
            <w:vAlign w:val="center"/>
            <w:hideMark/>
          </w:tcPr>
          <w:p w14:paraId="0F66442E" w14:textId="77777777" w:rsidR="00000000" w:rsidRDefault="00A173A8">
            <w:pPr>
              <w:spacing w:after="100"/>
              <w:rPr>
                <w:rFonts w:eastAsia="Times New Roman"/>
                <w:sz w:val="20"/>
                <w:szCs w:val="20"/>
              </w:rPr>
            </w:pPr>
          </w:p>
        </w:tc>
        <w:tc>
          <w:tcPr>
            <w:tcW w:w="0" w:type="auto"/>
            <w:gridSpan w:val="3"/>
            <w:vAlign w:val="center"/>
            <w:hideMark/>
          </w:tcPr>
          <w:p w14:paraId="6152424B" w14:textId="77777777" w:rsidR="00000000" w:rsidRDefault="00A173A8">
            <w:pPr>
              <w:spacing w:after="100"/>
              <w:rPr>
                <w:rFonts w:eastAsia="Times New Roman"/>
                <w:sz w:val="20"/>
                <w:szCs w:val="20"/>
              </w:rPr>
            </w:pPr>
          </w:p>
        </w:tc>
        <w:tc>
          <w:tcPr>
            <w:tcW w:w="0" w:type="auto"/>
            <w:gridSpan w:val="3"/>
            <w:vAlign w:val="center"/>
            <w:hideMark/>
          </w:tcPr>
          <w:p w14:paraId="2BC6302F" w14:textId="77777777" w:rsidR="00000000" w:rsidRDefault="00A173A8">
            <w:pPr>
              <w:spacing w:after="100"/>
              <w:rPr>
                <w:rFonts w:eastAsia="Times New Roman"/>
                <w:sz w:val="20"/>
                <w:szCs w:val="20"/>
              </w:rPr>
            </w:pPr>
          </w:p>
        </w:tc>
        <w:tc>
          <w:tcPr>
            <w:tcW w:w="0" w:type="auto"/>
            <w:gridSpan w:val="3"/>
            <w:vAlign w:val="center"/>
            <w:hideMark/>
          </w:tcPr>
          <w:p w14:paraId="6D3334FE" w14:textId="77777777" w:rsidR="00000000" w:rsidRDefault="00A173A8">
            <w:pPr>
              <w:spacing w:after="100"/>
              <w:rPr>
                <w:rFonts w:eastAsia="Times New Roman"/>
                <w:sz w:val="20"/>
                <w:szCs w:val="20"/>
              </w:rPr>
            </w:pPr>
          </w:p>
        </w:tc>
        <w:tc>
          <w:tcPr>
            <w:tcW w:w="0" w:type="auto"/>
            <w:gridSpan w:val="3"/>
            <w:vAlign w:val="center"/>
            <w:hideMark/>
          </w:tcPr>
          <w:p w14:paraId="6084DDC5" w14:textId="77777777" w:rsidR="00000000" w:rsidRDefault="00A173A8">
            <w:pPr>
              <w:spacing w:after="100"/>
              <w:rPr>
                <w:rFonts w:eastAsia="Times New Roman"/>
                <w:sz w:val="20"/>
                <w:szCs w:val="20"/>
              </w:rPr>
            </w:pPr>
          </w:p>
        </w:tc>
        <w:tc>
          <w:tcPr>
            <w:tcW w:w="0" w:type="auto"/>
            <w:gridSpan w:val="3"/>
            <w:vAlign w:val="center"/>
            <w:hideMark/>
          </w:tcPr>
          <w:p w14:paraId="643CC52D" w14:textId="77777777" w:rsidR="00000000" w:rsidRDefault="00A173A8">
            <w:pPr>
              <w:spacing w:after="100"/>
              <w:rPr>
                <w:rFonts w:eastAsia="Times New Roman"/>
                <w:sz w:val="20"/>
                <w:szCs w:val="20"/>
              </w:rPr>
            </w:pPr>
          </w:p>
        </w:tc>
        <w:tc>
          <w:tcPr>
            <w:tcW w:w="0" w:type="auto"/>
            <w:gridSpan w:val="3"/>
            <w:vAlign w:val="center"/>
            <w:hideMark/>
          </w:tcPr>
          <w:p w14:paraId="0A653DCC" w14:textId="77777777" w:rsidR="00000000" w:rsidRDefault="00A173A8">
            <w:pPr>
              <w:spacing w:after="100"/>
              <w:rPr>
                <w:rFonts w:eastAsia="Times New Roman"/>
                <w:sz w:val="20"/>
                <w:szCs w:val="20"/>
              </w:rPr>
            </w:pPr>
          </w:p>
        </w:tc>
        <w:tc>
          <w:tcPr>
            <w:tcW w:w="0" w:type="auto"/>
            <w:vAlign w:val="center"/>
            <w:hideMark/>
          </w:tcPr>
          <w:p w14:paraId="6900648B" w14:textId="77777777" w:rsidR="00000000" w:rsidRDefault="00A173A8">
            <w:pPr>
              <w:spacing w:after="100"/>
              <w:rPr>
                <w:rFonts w:eastAsia="Times New Roman"/>
                <w:sz w:val="20"/>
                <w:szCs w:val="20"/>
              </w:rPr>
            </w:pPr>
          </w:p>
        </w:tc>
        <w:tc>
          <w:tcPr>
            <w:tcW w:w="0" w:type="auto"/>
            <w:gridSpan w:val="3"/>
            <w:vAlign w:val="center"/>
            <w:hideMark/>
          </w:tcPr>
          <w:p w14:paraId="4F1E137E" w14:textId="77777777" w:rsidR="00000000" w:rsidRDefault="00A173A8">
            <w:pPr>
              <w:spacing w:after="100"/>
              <w:rPr>
                <w:rFonts w:eastAsia="Times New Roman"/>
                <w:sz w:val="20"/>
                <w:szCs w:val="20"/>
              </w:rPr>
            </w:pPr>
          </w:p>
        </w:tc>
        <w:tc>
          <w:tcPr>
            <w:tcW w:w="0" w:type="auto"/>
            <w:gridSpan w:val="3"/>
            <w:vAlign w:val="center"/>
            <w:hideMark/>
          </w:tcPr>
          <w:p w14:paraId="4FDEB14C" w14:textId="77777777" w:rsidR="00000000" w:rsidRDefault="00A173A8">
            <w:pPr>
              <w:spacing w:after="100"/>
              <w:rPr>
                <w:rFonts w:eastAsia="Times New Roman"/>
                <w:sz w:val="20"/>
                <w:szCs w:val="20"/>
              </w:rPr>
            </w:pPr>
          </w:p>
        </w:tc>
      </w:tr>
      <w:tr w:rsidR="00000000" w14:paraId="5180713F" w14:textId="77777777">
        <w:trPr>
          <w:divId w:val="1862670321"/>
        </w:trPr>
        <w:tc>
          <w:tcPr>
            <w:tcW w:w="0" w:type="auto"/>
            <w:gridSpan w:val="3"/>
            <w:vAlign w:val="center"/>
            <w:hideMark/>
          </w:tcPr>
          <w:p w14:paraId="3BBC35B7" w14:textId="77777777" w:rsidR="00000000" w:rsidRDefault="00A173A8">
            <w:pPr>
              <w:spacing w:after="100"/>
              <w:rPr>
                <w:rFonts w:eastAsia="Times New Roman"/>
                <w:sz w:val="20"/>
                <w:szCs w:val="20"/>
              </w:rPr>
            </w:pPr>
          </w:p>
        </w:tc>
        <w:tc>
          <w:tcPr>
            <w:tcW w:w="0" w:type="auto"/>
            <w:gridSpan w:val="3"/>
            <w:vAlign w:val="center"/>
            <w:hideMark/>
          </w:tcPr>
          <w:p w14:paraId="3E657869" w14:textId="77777777" w:rsidR="00000000" w:rsidRDefault="00A173A8">
            <w:pPr>
              <w:spacing w:after="100"/>
              <w:rPr>
                <w:rFonts w:eastAsia="Times New Roman"/>
                <w:sz w:val="20"/>
                <w:szCs w:val="20"/>
              </w:rPr>
            </w:pPr>
          </w:p>
        </w:tc>
        <w:tc>
          <w:tcPr>
            <w:tcW w:w="0" w:type="auto"/>
            <w:gridSpan w:val="3"/>
            <w:vAlign w:val="center"/>
            <w:hideMark/>
          </w:tcPr>
          <w:p w14:paraId="55C92032" w14:textId="77777777" w:rsidR="00000000" w:rsidRDefault="00A173A8">
            <w:pPr>
              <w:spacing w:after="100"/>
              <w:rPr>
                <w:rFonts w:eastAsia="Times New Roman"/>
                <w:sz w:val="20"/>
                <w:szCs w:val="20"/>
              </w:rPr>
            </w:pPr>
          </w:p>
        </w:tc>
        <w:tc>
          <w:tcPr>
            <w:tcW w:w="0" w:type="auto"/>
            <w:gridSpan w:val="3"/>
            <w:vAlign w:val="center"/>
            <w:hideMark/>
          </w:tcPr>
          <w:p w14:paraId="1FE50604" w14:textId="77777777" w:rsidR="00000000" w:rsidRDefault="00A173A8">
            <w:pPr>
              <w:spacing w:after="100"/>
              <w:rPr>
                <w:rFonts w:eastAsia="Times New Roman"/>
                <w:sz w:val="20"/>
                <w:szCs w:val="20"/>
              </w:rPr>
            </w:pPr>
          </w:p>
        </w:tc>
        <w:tc>
          <w:tcPr>
            <w:tcW w:w="0" w:type="auto"/>
            <w:gridSpan w:val="3"/>
            <w:vAlign w:val="center"/>
            <w:hideMark/>
          </w:tcPr>
          <w:p w14:paraId="302497DA" w14:textId="77777777" w:rsidR="00000000" w:rsidRDefault="00A173A8">
            <w:pPr>
              <w:spacing w:after="100"/>
              <w:rPr>
                <w:rFonts w:eastAsia="Times New Roman"/>
                <w:sz w:val="20"/>
                <w:szCs w:val="20"/>
              </w:rPr>
            </w:pPr>
          </w:p>
        </w:tc>
        <w:tc>
          <w:tcPr>
            <w:tcW w:w="0" w:type="auto"/>
            <w:gridSpan w:val="3"/>
            <w:vAlign w:val="center"/>
            <w:hideMark/>
          </w:tcPr>
          <w:p w14:paraId="06E25C38" w14:textId="77777777" w:rsidR="00000000" w:rsidRDefault="00A173A8">
            <w:pPr>
              <w:spacing w:after="100"/>
              <w:rPr>
                <w:rFonts w:eastAsia="Times New Roman"/>
                <w:sz w:val="20"/>
                <w:szCs w:val="20"/>
              </w:rPr>
            </w:pPr>
          </w:p>
        </w:tc>
        <w:tc>
          <w:tcPr>
            <w:tcW w:w="0" w:type="auto"/>
            <w:gridSpan w:val="3"/>
            <w:vAlign w:val="center"/>
            <w:hideMark/>
          </w:tcPr>
          <w:p w14:paraId="34F8718A" w14:textId="77777777" w:rsidR="00000000" w:rsidRDefault="00A173A8">
            <w:pPr>
              <w:spacing w:after="100"/>
              <w:rPr>
                <w:rFonts w:eastAsia="Times New Roman"/>
                <w:sz w:val="20"/>
                <w:szCs w:val="20"/>
              </w:rPr>
            </w:pPr>
          </w:p>
        </w:tc>
        <w:tc>
          <w:tcPr>
            <w:tcW w:w="0" w:type="auto"/>
            <w:gridSpan w:val="3"/>
            <w:vAlign w:val="center"/>
            <w:hideMark/>
          </w:tcPr>
          <w:p w14:paraId="3A288084" w14:textId="77777777" w:rsidR="00000000" w:rsidRDefault="00A173A8">
            <w:pPr>
              <w:spacing w:after="100"/>
              <w:rPr>
                <w:rFonts w:eastAsia="Times New Roman"/>
                <w:sz w:val="20"/>
                <w:szCs w:val="20"/>
              </w:rPr>
            </w:pPr>
          </w:p>
        </w:tc>
        <w:tc>
          <w:tcPr>
            <w:tcW w:w="0" w:type="auto"/>
            <w:vAlign w:val="center"/>
            <w:hideMark/>
          </w:tcPr>
          <w:p w14:paraId="3ED7296F" w14:textId="77777777" w:rsidR="00000000" w:rsidRDefault="00A173A8">
            <w:pPr>
              <w:spacing w:after="100"/>
              <w:rPr>
                <w:rFonts w:eastAsia="Times New Roman"/>
                <w:sz w:val="20"/>
                <w:szCs w:val="20"/>
              </w:rPr>
            </w:pPr>
          </w:p>
        </w:tc>
        <w:tc>
          <w:tcPr>
            <w:tcW w:w="0" w:type="auto"/>
            <w:gridSpan w:val="3"/>
            <w:vAlign w:val="center"/>
            <w:hideMark/>
          </w:tcPr>
          <w:p w14:paraId="5F5D6D3A" w14:textId="77777777" w:rsidR="00000000" w:rsidRDefault="00A173A8">
            <w:pPr>
              <w:spacing w:after="100"/>
              <w:rPr>
                <w:rFonts w:eastAsia="Times New Roman"/>
                <w:sz w:val="20"/>
                <w:szCs w:val="20"/>
              </w:rPr>
            </w:pPr>
          </w:p>
        </w:tc>
        <w:tc>
          <w:tcPr>
            <w:tcW w:w="0" w:type="auto"/>
            <w:gridSpan w:val="3"/>
            <w:vAlign w:val="center"/>
            <w:hideMark/>
          </w:tcPr>
          <w:p w14:paraId="1E34251C" w14:textId="77777777" w:rsidR="00000000" w:rsidRDefault="00A173A8">
            <w:pPr>
              <w:spacing w:after="100"/>
              <w:rPr>
                <w:rFonts w:eastAsia="Times New Roman"/>
                <w:sz w:val="20"/>
                <w:szCs w:val="20"/>
              </w:rPr>
            </w:pPr>
          </w:p>
        </w:tc>
      </w:tr>
      <w:tr w:rsidR="00000000" w14:paraId="38921C3D" w14:textId="77777777">
        <w:trPr>
          <w:divId w:val="1862670321"/>
        </w:trPr>
        <w:tc>
          <w:tcPr>
            <w:tcW w:w="0" w:type="auto"/>
            <w:gridSpan w:val="3"/>
            <w:vAlign w:val="center"/>
            <w:hideMark/>
          </w:tcPr>
          <w:p w14:paraId="47856211" w14:textId="77777777" w:rsidR="00000000" w:rsidRDefault="00A173A8">
            <w:pPr>
              <w:spacing w:after="100"/>
              <w:rPr>
                <w:rFonts w:eastAsia="Times New Roman"/>
                <w:sz w:val="20"/>
                <w:szCs w:val="20"/>
              </w:rPr>
            </w:pPr>
          </w:p>
        </w:tc>
        <w:tc>
          <w:tcPr>
            <w:tcW w:w="0" w:type="auto"/>
            <w:gridSpan w:val="3"/>
            <w:vAlign w:val="center"/>
            <w:hideMark/>
          </w:tcPr>
          <w:p w14:paraId="630FFA65" w14:textId="77777777" w:rsidR="00000000" w:rsidRDefault="00A173A8">
            <w:pPr>
              <w:spacing w:after="100"/>
              <w:rPr>
                <w:rFonts w:eastAsia="Times New Roman"/>
                <w:sz w:val="20"/>
                <w:szCs w:val="20"/>
              </w:rPr>
            </w:pPr>
          </w:p>
        </w:tc>
        <w:tc>
          <w:tcPr>
            <w:tcW w:w="0" w:type="auto"/>
            <w:gridSpan w:val="3"/>
            <w:vAlign w:val="center"/>
            <w:hideMark/>
          </w:tcPr>
          <w:p w14:paraId="7705D4D2" w14:textId="77777777" w:rsidR="00000000" w:rsidRDefault="00A173A8">
            <w:pPr>
              <w:spacing w:after="100"/>
              <w:rPr>
                <w:rFonts w:eastAsia="Times New Roman"/>
                <w:sz w:val="20"/>
                <w:szCs w:val="20"/>
              </w:rPr>
            </w:pPr>
          </w:p>
        </w:tc>
        <w:tc>
          <w:tcPr>
            <w:tcW w:w="0" w:type="auto"/>
            <w:gridSpan w:val="3"/>
            <w:vAlign w:val="center"/>
            <w:hideMark/>
          </w:tcPr>
          <w:p w14:paraId="35C27E37" w14:textId="77777777" w:rsidR="00000000" w:rsidRDefault="00A173A8">
            <w:pPr>
              <w:spacing w:after="100"/>
              <w:rPr>
                <w:rFonts w:eastAsia="Times New Roman"/>
                <w:sz w:val="20"/>
                <w:szCs w:val="20"/>
              </w:rPr>
            </w:pPr>
          </w:p>
        </w:tc>
        <w:tc>
          <w:tcPr>
            <w:tcW w:w="0" w:type="auto"/>
            <w:gridSpan w:val="3"/>
            <w:vAlign w:val="center"/>
            <w:hideMark/>
          </w:tcPr>
          <w:p w14:paraId="0170DCA0" w14:textId="77777777" w:rsidR="00000000" w:rsidRDefault="00A173A8">
            <w:pPr>
              <w:spacing w:after="100"/>
              <w:rPr>
                <w:rFonts w:eastAsia="Times New Roman"/>
                <w:sz w:val="20"/>
                <w:szCs w:val="20"/>
              </w:rPr>
            </w:pPr>
          </w:p>
        </w:tc>
        <w:tc>
          <w:tcPr>
            <w:tcW w:w="0" w:type="auto"/>
            <w:gridSpan w:val="3"/>
            <w:vAlign w:val="center"/>
            <w:hideMark/>
          </w:tcPr>
          <w:p w14:paraId="61CC9507" w14:textId="77777777" w:rsidR="00000000" w:rsidRDefault="00A173A8">
            <w:pPr>
              <w:spacing w:after="100"/>
              <w:rPr>
                <w:rFonts w:eastAsia="Times New Roman"/>
                <w:sz w:val="20"/>
                <w:szCs w:val="20"/>
              </w:rPr>
            </w:pPr>
          </w:p>
        </w:tc>
        <w:tc>
          <w:tcPr>
            <w:tcW w:w="0" w:type="auto"/>
            <w:gridSpan w:val="3"/>
            <w:vAlign w:val="center"/>
            <w:hideMark/>
          </w:tcPr>
          <w:p w14:paraId="007E2283" w14:textId="77777777" w:rsidR="00000000" w:rsidRDefault="00A173A8">
            <w:pPr>
              <w:spacing w:after="100"/>
              <w:rPr>
                <w:rFonts w:eastAsia="Times New Roman"/>
                <w:sz w:val="20"/>
                <w:szCs w:val="20"/>
              </w:rPr>
            </w:pPr>
          </w:p>
        </w:tc>
        <w:tc>
          <w:tcPr>
            <w:tcW w:w="0" w:type="auto"/>
            <w:gridSpan w:val="3"/>
            <w:vAlign w:val="center"/>
            <w:hideMark/>
          </w:tcPr>
          <w:p w14:paraId="01FEA8ED" w14:textId="77777777" w:rsidR="00000000" w:rsidRDefault="00A173A8">
            <w:pPr>
              <w:spacing w:after="100"/>
              <w:rPr>
                <w:rFonts w:eastAsia="Times New Roman"/>
                <w:sz w:val="20"/>
                <w:szCs w:val="20"/>
              </w:rPr>
            </w:pPr>
          </w:p>
        </w:tc>
        <w:tc>
          <w:tcPr>
            <w:tcW w:w="0" w:type="auto"/>
            <w:vAlign w:val="center"/>
            <w:hideMark/>
          </w:tcPr>
          <w:p w14:paraId="21A33B75" w14:textId="77777777" w:rsidR="00000000" w:rsidRDefault="00A173A8">
            <w:pPr>
              <w:spacing w:after="100"/>
              <w:rPr>
                <w:rFonts w:eastAsia="Times New Roman"/>
                <w:sz w:val="20"/>
                <w:szCs w:val="20"/>
              </w:rPr>
            </w:pPr>
          </w:p>
        </w:tc>
        <w:tc>
          <w:tcPr>
            <w:tcW w:w="0" w:type="auto"/>
            <w:gridSpan w:val="3"/>
            <w:vAlign w:val="center"/>
            <w:hideMark/>
          </w:tcPr>
          <w:p w14:paraId="0E2CAEB1" w14:textId="77777777" w:rsidR="00000000" w:rsidRDefault="00A173A8">
            <w:pPr>
              <w:spacing w:after="100"/>
              <w:rPr>
                <w:rFonts w:eastAsia="Times New Roman"/>
                <w:sz w:val="20"/>
                <w:szCs w:val="20"/>
              </w:rPr>
            </w:pPr>
          </w:p>
        </w:tc>
        <w:tc>
          <w:tcPr>
            <w:tcW w:w="0" w:type="auto"/>
            <w:gridSpan w:val="3"/>
            <w:vAlign w:val="center"/>
            <w:hideMark/>
          </w:tcPr>
          <w:p w14:paraId="63366373" w14:textId="77777777" w:rsidR="00000000" w:rsidRDefault="00A173A8">
            <w:pPr>
              <w:spacing w:after="100"/>
              <w:rPr>
                <w:rFonts w:eastAsia="Times New Roman"/>
                <w:sz w:val="20"/>
                <w:szCs w:val="20"/>
              </w:rPr>
            </w:pPr>
          </w:p>
        </w:tc>
      </w:tr>
      <w:tr w:rsidR="00000000" w14:paraId="5D358EC9" w14:textId="77777777">
        <w:trPr>
          <w:divId w:val="1862670321"/>
        </w:trPr>
        <w:tc>
          <w:tcPr>
            <w:tcW w:w="0" w:type="auto"/>
            <w:gridSpan w:val="3"/>
            <w:vAlign w:val="center"/>
            <w:hideMark/>
          </w:tcPr>
          <w:p w14:paraId="58523011" w14:textId="77777777" w:rsidR="00000000" w:rsidRDefault="00A173A8">
            <w:pPr>
              <w:spacing w:after="100"/>
              <w:rPr>
                <w:rFonts w:eastAsia="Times New Roman"/>
                <w:sz w:val="20"/>
                <w:szCs w:val="20"/>
              </w:rPr>
            </w:pPr>
          </w:p>
        </w:tc>
        <w:tc>
          <w:tcPr>
            <w:tcW w:w="0" w:type="auto"/>
            <w:gridSpan w:val="3"/>
            <w:vAlign w:val="center"/>
            <w:hideMark/>
          </w:tcPr>
          <w:p w14:paraId="640AE932" w14:textId="77777777" w:rsidR="00000000" w:rsidRDefault="00A173A8">
            <w:pPr>
              <w:spacing w:after="100"/>
              <w:rPr>
                <w:rFonts w:eastAsia="Times New Roman"/>
                <w:sz w:val="20"/>
                <w:szCs w:val="20"/>
              </w:rPr>
            </w:pPr>
          </w:p>
        </w:tc>
        <w:tc>
          <w:tcPr>
            <w:tcW w:w="0" w:type="auto"/>
            <w:gridSpan w:val="3"/>
            <w:vAlign w:val="center"/>
            <w:hideMark/>
          </w:tcPr>
          <w:p w14:paraId="11A10805" w14:textId="77777777" w:rsidR="00000000" w:rsidRDefault="00A173A8">
            <w:pPr>
              <w:spacing w:after="100"/>
              <w:rPr>
                <w:rFonts w:eastAsia="Times New Roman"/>
                <w:sz w:val="20"/>
                <w:szCs w:val="20"/>
              </w:rPr>
            </w:pPr>
          </w:p>
        </w:tc>
        <w:tc>
          <w:tcPr>
            <w:tcW w:w="0" w:type="auto"/>
            <w:gridSpan w:val="3"/>
            <w:vAlign w:val="center"/>
            <w:hideMark/>
          </w:tcPr>
          <w:p w14:paraId="69BD6E06" w14:textId="77777777" w:rsidR="00000000" w:rsidRDefault="00A173A8">
            <w:pPr>
              <w:spacing w:after="100"/>
              <w:rPr>
                <w:rFonts w:eastAsia="Times New Roman"/>
                <w:sz w:val="20"/>
                <w:szCs w:val="20"/>
              </w:rPr>
            </w:pPr>
          </w:p>
        </w:tc>
        <w:tc>
          <w:tcPr>
            <w:tcW w:w="0" w:type="auto"/>
            <w:gridSpan w:val="3"/>
            <w:vAlign w:val="center"/>
            <w:hideMark/>
          </w:tcPr>
          <w:p w14:paraId="2332BD97" w14:textId="77777777" w:rsidR="00000000" w:rsidRDefault="00A173A8">
            <w:pPr>
              <w:spacing w:after="100"/>
              <w:rPr>
                <w:rFonts w:eastAsia="Times New Roman"/>
                <w:sz w:val="20"/>
                <w:szCs w:val="20"/>
              </w:rPr>
            </w:pPr>
          </w:p>
        </w:tc>
        <w:tc>
          <w:tcPr>
            <w:tcW w:w="0" w:type="auto"/>
            <w:gridSpan w:val="3"/>
            <w:vAlign w:val="center"/>
            <w:hideMark/>
          </w:tcPr>
          <w:p w14:paraId="6CA0026D" w14:textId="77777777" w:rsidR="00000000" w:rsidRDefault="00A173A8">
            <w:pPr>
              <w:spacing w:after="100"/>
              <w:rPr>
                <w:rFonts w:eastAsia="Times New Roman"/>
                <w:sz w:val="20"/>
                <w:szCs w:val="20"/>
              </w:rPr>
            </w:pPr>
          </w:p>
        </w:tc>
        <w:tc>
          <w:tcPr>
            <w:tcW w:w="0" w:type="auto"/>
            <w:gridSpan w:val="3"/>
            <w:vAlign w:val="center"/>
            <w:hideMark/>
          </w:tcPr>
          <w:p w14:paraId="5189EEC1" w14:textId="77777777" w:rsidR="00000000" w:rsidRDefault="00A173A8">
            <w:pPr>
              <w:spacing w:after="100"/>
              <w:rPr>
                <w:rFonts w:eastAsia="Times New Roman"/>
                <w:sz w:val="20"/>
                <w:szCs w:val="20"/>
              </w:rPr>
            </w:pPr>
          </w:p>
        </w:tc>
        <w:tc>
          <w:tcPr>
            <w:tcW w:w="0" w:type="auto"/>
            <w:gridSpan w:val="3"/>
            <w:vAlign w:val="center"/>
            <w:hideMark/>
          </w:tcPr>
          <w:p w14:paraId="33995654" w14:textId="77777777" w:rsidR="00000000" w:rsidRDefault="00A173A8">
            <w:pPr>
              <w:spacing w:after="100"/>
              <w:rPr>
                <w:rFonts w:eastAsia="Times New Roman"/>
                <w:sz w:val="20"/>
                <w:szCs w:val="20"/>
              </w:rPr>
            </w:pPr>
          </w:p>
        </w:tc>
        <w:tc>
          <w:tcPr>
            <w:tcW w:w="0" w:type="auto"/>
            <w:vAlign w:val="center"/>
            <w:hideMark/>
          </w:tcPr>
          <w:p w14:paraId="1C91A3CB" w14:textId="77777777" w:rsidR="00000000" w:rsidRDefault="00A173A8">
            <w:pPr>
              <w:spacing w:after="100"/>
              <w:rPr>
                <w:rFonts w:eastAsia="Times New Roman"/>
                <w:sz w:val="20"/>
                <w:szCs w:val="20"/>
              </w:rPr>
            </w:pPr>
          </w:p>
        </w:tc>
        <w:tc>
          <w:tcPr>
            <w:tcW w:w="0" w:type="auto"/>
            <w:gridSpan w:val="3"/>
            <w:vAlign w:val="center"/>
            <w:hideMark/>
          </w:tcPr>
          <w:p w14:paraId="1A455CF8" w14:textId="77777777" w:rsidR="00000000" w:rsidRDefault="00A173A8">
            <w:pPr>
              <w:spacing w:after="100"/>
              <w:rPr>
                <w:rFonts w:eastAsia="Times New Roman"/>
                <w:sz w:val="20"/>
                <w:szCs w:val="20"/>
              </w:rPr>
            </w:pPr>
          </w:p>
        </w:tc>
        <w:tc>
          <w:tcPr>
            <w:tcW w:w="0" w:type="auto"/>
            <w:gridSpan w:val="3"/>
            <w:vAlign w:val="center"/>
            <w:hideMark/>
          </w:tcPr>
          <w:p w14:paraId="720C4EBD" w14:textId="77777777" w:rsidR="00000000" w:rsidRDefault="00A173A8">
            <w:pPr>
              <w:spacing w:after="100"/>
              <w:rPr>
                <w:rFonts w:eastAsia="Times New Roman"/>
                <w:sz w:val="20"/>
                <w:szCs w:val="20"/>
              </w:rPr>
            </w:pPr>
          </w:p>
        </w:tc>
      </w:tr>
      <w:tr w:rsidR="00000000" w14:paraId="51897CF3" w14:textId="77777777">
        <w:trPr>
          <w:divId w:val="1862670321"/>
        </w:trPr>
        <w:tc>
          <w:tcPr>
            <w:tcW w:w="0" w:type="auto"/>
            <w:gridSpan w:val="3"/>
            <w:vAlign w:val="center"/>
            <w:hideMark/>
          </w:tcPr>
          <w:p w14:paraId="6AB3A509" w14:textId="77777777" w:rsidR="00000000" w:rsidRDefault="00A173A8">
            <w:pPr>
              <w:spacing w:after="100"/>
              <w:rPr>
                <w:rFonts w:eastAsia="Times New Roman"/>
                <w:sz w:val="20"/>
                <w:szCs w:val="20"/>
              </w:rPr>
            </w:pPr>
          </w:p>
        </w:tc>
        <w:tc>
          <w:tcPr>
            <w:tcW w:w="0" w:type="auto"/>
            <w:gridSpan w:val="3"/>
            <w:vAlign w:val="center"/>
            <w:hideMark/>
          </w:tcPr>
          <w:p w14:paraId="08CF3951" w14:textId="77777777" w:rsidR="00000000" w:rsidRDefault="00A173A8">
            <w:pPr>
              <w:spacing w:after="100"/>
              <w:rPr>
                <w:rFonts w:eastAsia="Times New Roman"/>
                <w:sz w:val="20"/>
                <w:szCs w:val="20"/>
              </w:rPr>
            </w:pPr>
          </w:p>
        </w:tc>
        <w:tc>
          <w:tcPr>
            <w:tcW w:w="0" w:type="auto"/>
            <w:gridSpan w:val="3"/>
            <w:vAlign w:val="center"/>
            <w:hideMark/>
          </w:tcPr>
          <w:p w14:paraId="10D6933F" w14:textId="77777777" w:rsidR="00000000" w:rsidRDefault="00A173A8">
            <w:pPr>
              <w:spacing w:after="100"/>
              <w:rPr>
                <w:rFonts w:eastAsia="Times New Roman"/>
                <w:sz w:val="20"/>
                <w:szCs w:val="20"/>
              </w:rPr>
            </w:pPr>
          </w:p>
        </w:tc>
        <w:tc>
          <w:tcPr>
            <w:tcW w:w="0" w:type="auto"/>
            <w:gridSpan w:val="3"/>
            <w:vAlign w:val="center"/>
            <w:hideMark/>
          </w:tcPr>
          <w:p w14:paraId="12DBA1EB" w14:textId="77777777" w:rsidR="00000000" w:rsidRDefault="00A173A8">
            <w:pPr>
              <w:spacing w:after="100"/>
              <w:rPr>
                <w:rFonts w:eastAsia="Times New Roman"/>
                <w:sz w:val="20"/>
                <w:szCs w:val="20"/>
              </w:rPr>
            </w:pPr>
          </w:p>
        </w:tc>
        <w:tc>
          <w:tcPr>
            <w:tcW w:w="0" w:type="auto"/>
            <w:gridSpan w:val="3"/>
            <w:vAlign w:val="center"/>
            <w:hideMark/>
          </w:tcPr>
          <w:p w14:paraId="0EDF7989" w14:textId="77777777" w:rsidR="00000000" w:rsidRDefault="00A173A8">
            <w:pPr>
              <w:spacing w:after="100"/>
              <w:rPr>
                <w:rFonts w:eastAsia="Times New Roman"/>
                <w:sz w:val="20"/>
                <w:szCs w:val="20"/>
              </w:rPr>
            </w:pPr>
          </w:p>
        </w:tc>
        <w:tc>
          <w:tcPr>
            <w:tcW w:w="0" w:type="auto"/>
            <w:gridSpan w:val="3"/>
            <w:vAlign w:val="center"/>
            <w:hideMark/>
          </w:tcPr>
          <w:p w14:paraId="2E4622FC" w14:textId="77777777" w:rsidR="00000000" w:rsidRDefault="00A173A8">
            <w:pPr>
              <w:spacing w:after="100"/>
              <w:rPr>
                <w:rFonts w:eastAsia="Times New Roman"/>
                <w:sz w:val="20"/>
                <w:szCs w:val="20"/>
              </w:rPr>
            </w:pPr>
          </w:p>
        </w:tc>
        <w:tc>
          <w:tcPr>
            <w:tcW w:w="0" w:type="auto"/>
            <w:gridSpan w:val="3"/>
            <w:vAlign w:val="center"/>
            <w:hideMark/>
          </w:tcPr>
          <w:p w14:paraId="53B8E973" w14:textId="77777777" w:rsidR="00000000" w:rsidRDefault="00A173A8">
            <w:pPr>
              <w:spacing w:after="100"/>
              <w:rPr>
                <w:rFonts w:eastAsia="Times New Roman"/>
                <w:sz w:val="20"/>
                <w:szCs w:val="20"/>
              </w:rPr>
            </w:pPr>
          </w:p>
        </w:tc>
        <w:tc>
          <w:tcPr>
            <w:tcW w:w="0" w:type="auto"/>
            <w:gridSpan w:val="3"/>
            <w:vAlign w:val="center"/>
            <w:hideMark/>
          </w:tcPr>
          <w:p w14:paraId="77E0BAB0" w14:textId="77777777" w:rsidR="00000000" w:rsidRDefault="00A173A8">
            <w:pPr>
              <w:spacing w:after="100"/>
              <w:rPr>
                <w:rFonts w:eastAsia="Times New Roman"/>
                <w:sz w:val="20"/>
                <w:szCs w:val="20"/>
              </w:rPr>
            </w:pPr>
          </w:p>
        </w:tc>
        <w:tc>
          <w:tcPr>
            <w:tcW w:w="0" w:type="auto"/>
            <w:vAlign w:val="center"/>
            <w:hideMark/>
          </w:tcPr>
          <w:p w14:paraId="0366F0F2" w14:textId="77777777" w:rsidR="00000000" w:rsidRDefault="00A173A8">
            <w:pPr>
              <w:spacing w:after="100"/>
              <w:rPr>
                <w:rFonts w:eastAsia="Times New Roman"/>
                <w:sz w:val="20"/>
                <w:szCs w:val="20"/>
              </w:rPr>
            </w:pPr>
          </w:p>
        </w:tc>
        <w:tc>
          <w:tcPr>
            <w:tcW w:w="0" w:type="auto"/>
            <w:gridSpan w:val="3"/>
            <w:vAlign w:val="center"/>
            <w:hideMark/>
          </w:tcPr>
          <w:p w14:paraId="1F3622E5" w14:textId="77777777" w:rsidR="00000000" w:rsidRDefault="00A173A8">
            <w:pPr>
              <w:spacing w:after="100"/>
              <w:rPr>
                <w:rFonts w:eastAsia="Times New Roman"/>
                <w:sz w:val="20"/>
                <w:szCs w:val="20"/>
              </w:rPr>
            </w:pPr>
          </w:p>
        </w:tc>
        <w:tc>
          <w:tcPr>
            <w:tcW w:w="0" w:type="auto"/>
            <w:gridSpan w:val="3"/>
            <w:vAlign w:val="center"/>
            <w:hideMark/>
          </w:tcPr>
          <w:p w14:paraId="7AE580C2" w14:textId="77777777" w:rsidR="00000000" w:rsidRDefault="00A173A8">
            <w:pPr>
              <w:spacing w:after="100"/>
              <w:rPr>
                <w:rFonts w:eastAsia="Times New Roman"/>
                <w:sz w:val="20"/>
                <w:szCs w:val="20"/>
              </w:rPr>
            </w:pPr>
          </w:p>
        </w:tc>
      </w:tr>
      <w:tr w:rsidR="00000000" w14:paraId="529CAE16" w14:textId="77777777">
        <w:trPr>
          <w:divId w:val="1862670321"/>
        </w:trPr>
        <w:tc>
          <w:tcPr>
            <w:tcW w:w="0" w:type="auto"/>
            <w:gridSpan w:val="3"/>
            <w:vAlign w:val="center"/>
            <w:hideMark/>
          </w:tcPr>
          <w:p w14:paraId="228B5477" w14:textId="77777777" w:rsidR="00000000" w:rsidRDefault="00A173A8">
            <w:pPr>
              <w:spacing w:after="100"/>
              <w:rPr>
                <w:rFonts w:eastAsia="Times New Roman"/>
                <w:sz w:val="20"/>
                <w:szCs w:val="20"/>
              </w:rPr>
            </w:pPr>
          </w:p>
        </w:tc>
        <w:tc>
          <w:tcPr>
            <w:tcW w:w="0" w:type="auto"/>
            <w:gridSpan w:val="3"/>
            <w:vAlign w:val="center"/>
            <w:hideMark/>
          </w:tcPr>
          <w:p w14:paraId="56341911" w14:textId="77777777" w:rsidR="00000000" w:rsidRDefault="00A173A8">
            <w:pPr>
              <w:spacing w:after="100"/>
              <w:rPr>
                <w:rFonts w:eastAsia="Times New Roman"/>
                <w:sz w:val="20"/>
                <w:szCs w:val="20"/>
              </w:rPr>
            </w:pPr>
          </w:p>
        </w:tc>
        <w:tc>
          <w:tcPr>
            <w:tcW w:w="0" w:type="auto"/>
            <w:gridSpan w:val="3"/>
            <w:vAlign w:val="center"/>
            <w:hideMark/>
          </w:tcPr>
          <w:p w14:paraId="27B29817" w14:textId="77777777" w:rsidR="00000000" w:rsidRDefault="00A173A8">
            <w:pPr>
              <w:spacing w:after="100"/>
              <w:rPr>
                <w:rFonts w:eastAsia="Times New Roman"/>
                <w:sz w:val="20"/>
                <w:szCs w:val="20"/>
              </w:rPr>
            </w:pPr>
          </w:p>
        </w:tc>
        <w:tc>
          <w:tcPr>
            <w:tcW w:w="0" w:type="auto"/>
            <w:gridSpan w:val="3"/>
            <w:vAlign w:val="center"/>
            <w:hideMark/>
          </w:tcPr>
          <w:p w14:paraId="098167F3" w14:textId="77777777" w:rsidR="00000000" w:rsidRDefault="00A173A8">
            <w:pPr>
              <w:spacing w:after="100"/>
              <w:rPr>
                <w:rFonts w:eastAsia="Times New Roman"/>
                <w:sz w:val="20"/>
                <w:szCs w:val="20"/>
              </w:rPr>
            </w:pPr>
          </w:p>
        </w:tc>
        <w:tc>
          <w:tcPr>
            <w:tcW w:w="0" w:type="auto"/>
            <w:gridSpan w:val="3"/>
            <w:vAlign w:val="center"/>
            <w:hideMark/>
          </w:tcPr>
          <w:p w14:paraId="447D9498" w14:textId="77777777" w:rsidR="00000000" w:rsidRDefault="00A173A8">
            <w:pPr>
              <w:spacing w:after="100"/>
              <w:rPr>
                <w:rFonts w:eastAsia="Times New Roman"/>
                <w:sz w:val="20"/>
                <w:szCs w:val="20"/>
              </w:rPr>
            </w:pPr>
          </w:p>
        </w:tc>
        <w:tc>
          <w:tcPr>
            <w:tcW w:w="0" w:type="auto"/>
            <w:gridSpan w:val="3"/>
            <w:vAlign w:val="center"/>
            <w:hideMark/>
          </w:tcPr>
          <w:p w14:paraId="20BA515B" w14:textId="77777777" w:rsidR="00000000" w:rsidRDefault="00A173A8">
            <w:pPr>
              <w:spacing w:after="100"/>
              <w:rPr>
                <w:rFonts w:eastAsia="Times New Roman"/>
                <w:sz w:val="20"/>
                <w:szCs w:val="20"/>
              </w:rPr>
            </w:pPr>
          </w:p>
        </w:tc>
        <w:tc>
          <w:tcPr>
            <w:tcW w:w="0" w:type="auto"/>
            <w:gridSpan w:val="3"/>
            <w:vAlign w:val="center"/>
            <w:hideMark/>
          </w:tcPr>
          <w:p w14:paraId="26CFC423" w14:textId="77777777" w:rsidR="00000000" w:rsidRDefault="00A173A8">
            <w:pPr>
              <w:spacing w:after="100"/>
              <w:rPr>
                <w:rFonts w:eastAsia="Times New Roman"/>
                <w:sz w:val="20"/>
                <w:szCs w:val="20"/>
              </w:rPr>
            </w:pPr>
          </w:p>
        </w:tc>
        <w:tc>
          <w:tcPr>
            <w:tcW w:w="0" w:type="auto"/>
            <w:gridSpan w:val="3"/>
            <w:vAlign w:val="center"/>
            <w:hideMark/>
          </w:tcPr>
          <w:p w14:paraId="0BA42F69" w14:textId="77777777" w:rsidR="00000000" w:rsidRDefault="00A173A8">
            <w:pPr>
              <w:spacing w:after="100"/>
              <w:rPr>
                <w:rFonts w:eastAsia="Times New Roman"/>
                <w:sz w:val="20"/>
                <w:szCs w:val="20"/>
              </w:rPr>
            </w:pPr>
          </w:p>
        </w:tc>
        <w:tc>
          <w:tcPr>
            <w:tcW w:w="0" w:type="auto"/>
            <w:vAlign w:val="center"/>
            <w:hideMark/>
          </w:tcPr>
          <w:p w14:paraId="34BB8791" w14:textId="77777777" w:rsidR="00000000" w:rsidRDefault="00A173A8">
            <w:pPr>
              <w:spacing w:after="100"/>
              <w:rPr>
                <w:rFonts w:eastAsia="Times New Roman"/>
                <w:sz w:val="20"/>
                <w:szCs w:val="20"/>
              </w:rPr>
            </w:pPr>
          </w:p>
        </w:tc>
        <w:tc>
          <w:tcPr>
            <w:tcW w:w="0" w:type="auto"/>
            <w:gridSpan w:val="3"/>
            <w:vAlign w:val="center"/>
            <w:hideMark/>
          </w:tcPr>
          <w:p w14:paraId="194C96E7" w14:textId="77777777" w:rsidR="00000000" w:rsidRDefault="00A173A8">
            <w:pPr>
              <w:spacing w:after="100"/>
              <w:rPr>
                <w:rFonts w:eastAsia="Times New Roman"/>
                <w:sz w:val="20"/>
                <w:szCs w:val="20"/>
              </w:rPr>
            </w:pPr>
          </w:p>
        </w:tc>
        <w:tc>
          <w:tcPr>
            <w:tcW w:w="0" w:type="auto"/>
            <w:gridSpan w:val="3"/>
            <w:vAlign w:val="center"/>
            <w:hideMark/>
          </w:tcPr>
          <w:p w14:paraId="2A45CB80" w14:textId="77777777" w:rsidR="00000000" w:rsidRDefault="00A173A8">
            <w:pPr>
              <w:spacing w:after="100"/>
              <w:rPr>
                <w:rFonts w:eastAsia="Times New Roman"/>
                <w:sz w:val="20"/>
                <w:szCs w:val="20"/>
              </w:rPr>
            </w:pPr>
          </w:p>
        </w:tc>
      </w:tr>
      <w:tr w:rsidR="00000000" w14:paraId="41D5ACA1" w14:textId="77777777">
        <w:trPr>
          <w:divId w:val="1862670321"/>
        </w:trPr>
        <w:tc>
          <w:tcPr>
            <w:tcW w:w="0" w:type="auto"/>
            <w:gridSpan w:val="3"/>
            <w:vAlign w:val="center"/>
            <w:hideMark/>
          </w:tcPr>
          <w:p w14:paraId="5FCF71DC" w14:textId="77777777" w:rsidR="00000000" w:rsidRDefault="00A173A8">
            <w:pPr>
              <w:spacing w:after="100"/>
              <w:rPr>
                <w:rFonts w:eastAsia="Times New Roman"/>
                <w:sz w:val="20"/>
                <w:szCs w:val="20"/>
              </w:rPr>
            </w:pPr>
          </w:p>
        </w:tc>
        <w:tc>
          <w:tcPr>
            <w:tcW w:w="0" w:type="auto"/>
            <w:gridSpan w:val="3"/>
            <w:vAlign w:val="center"/>
            <w:hideMark/>
          </w:tcPr>
          <w:p w14:paraId="344FE608" w14:textId="77777777" w:rsidR="00000000" w:rsidRDefault="00A173A8">
            <w:pPr>
              <w:spacing w:after="100"/>
              <w:rPr>
                <w:rFonts w:eastAsia="Times New Roman"/>
                <w:sz w:val="20"/>
                <w:szCs w:val="20"/>
              </w:rPr>
            </w:pPr>
          </w:p>
        </w:tc>
        <w:tc>
          <w:tcPr>
            <w:tcW w:w="0" w:type="auto"/>
            <w:gridSpan w:val="3"/>
            <w:vAlign w:val="center"/>
            <w:hideMark/>
          </w:tcPr>
          <w:p w14:paraId="783883F7" w14:textId="77777777" w:rsidR="00000000" w:rsidRDefault="00A173A8">
            <w:pPr>
              <w:spacing w:after="100"/>
              <w:rPr>
                <w:rFonts w:eastAsia="Times New Roman"/>
                <w:sz w:val="20"/>
                <w:szCs w:val="20"/>
              </w:rPr>
            </w:pPr>
          </w:p>
        </w:tc>
        <w:tc>
          <w:tcPr>
            <w:tcW w:w="0" w:type="auto"/>
            <w:gridSpan w:val="3"/>
            <w:vAlign w:val="center"/>
            <w:hideMark/>
          </w:tcPr>
          <w:p w14:paraId="2B2B8A60" w14:textId="77777777" w:rsidR="00000000" w:rsidRDefault="00A173A8">
            <w:pPr>
              <w:spacing w:after="100"/>
              <w:rPr>
                <w:rFonts w:eastAsia="Times New Roman"/>
                <w:sz w:val="20"/>
                <w:szCs w:val="20"/>
              </w:rPr>
            </w:pPr>
          </w:p>
        </w:tc>
        <w:tc>
          <w:tcPr>
            <w:tcW w:w="0" w:type="auto"/>
            <w:gridSpan w:val="3"/>
            <w:vAlign w:val="center"/>
            <w:hideMark/>
          </w:tcPr>
          <w:p w14:paraId="4068513A" w14:textId="77777777" w:rsidR="00000000" w:rsidRDefault="00A173A8">
            <w:pPr>
              <w:spacing w:after="100"/>
              <w:rPr>
                <w:rFonts w:eastAsia="Times New Roman"/>
                <w:sz w:val="20"/>
                <w:szCs w:val="20"/>
              </w:rPr>
            </w:pPr>
          </w:p>
        </w:tc>
        <w:tc>
          <w:tcPr>
            <w:tcW w:w="0" w:type="auto"/>
            <w:gridSpan w:val="3"/>
            <w:vAlign w:val="center"/>
            <w:hideMark/>
          </w:tcPr>
          <w:p w14:paraId="7D00FB6D" w14:textId="77777777" w:rsidR="00000000" w:rsidRDefault="00A173A8">
            <w:pPr>
              <w:spacing w:after="100"/>
              <w:rPr>
                <w:rFonts w:eastAsia="Times New Roman"/>
                <w:sz w:val="20"/>
                <w:szCs w:val="20"/>
              </w:rPr>
            </w:pPr>
          </w:p>
        </w:tc>
        <w:tc>
          <w:tcPr>
            <w:tcW w:w="0" w:type="auto"/>
            <w:gridSpan w:val="3"/>
            <w:vAlign w:val="center"/>
            <w:hideMark/>
          </w:tcPr>
          <w:p w14:paraId="29BA913D" w14:textId="77777777" w:rsidR="00000000" w:rsidRDefault="00A173A8">
            <w:pPr>
              <w:spacing w:after="100"/>
              <w:rPr>
                <w:rFonts w:eastAsia="Times New Roman"/>
                <w:sz w:val="20"/>
                <w:szCs w:val="20"/>
              </w:rPr>
            </w:pPr>
          </w:p>
        </w:tc>
        <w:tc>
          <w:tcPr>
            <w:tcW w:w="0" w:type="auto"/>
            <w:gridSpan w:val="3"/>
            <w:vAlign w:val="center"/>
            <w:hideMark/>
          </w:tcPr>
          <w:p w14:paraId="7562A8C0" w14:textId="77777777" w:rsidR="00000000" w:rsidRDefault="00A173A8">
            <w:pPr>
              <w:spacing w:after="100"/>
              <w:rPr>
                <w:rFonts w:eastAsia="Times New Roman"/>
                <w:sz w:val="20"/>
                <w:szCs w:val="20"/>
              </w:rPr>
            </w:pPr>
          </w:p>
        </w:tc>
        <w:tc>
          <w:tcPr>
            <w:tcW w:w="0" w:type="auto"/>
            <w:vAlign w:val="center"/>
            <w:hideMark/>
          </w:tcPr>
          <w:p w14:paraId="64F0B48D" w14:textId="77777777" w:rsidR="00000000" w:rsidRDefault="00A173A8">
            <w:pPr>
              <w:spacing w:after="100"/>
              <w:rPr>
                <w:rFonts w:eastAsia="Times New Roman"/>
                <w:sz w:val="20"/>
                <w:szCs w:val="20"/>
              </w:rPr>
            </w:pPr>
          </w:p>
        </w:tc>
        <w:tc>
          <w:tcPr>
            <w:tcW w:w="0" w:type="auto"/>
            <w:gridSpan w:val="3"/>
            <w:vAlign w:val="center"/>
            <w:hideMark/>
          </w:tcPr>
          <w:p w14:paraId="014B6728" w14:textId="77777777" w:rsidR="00000000" w:rsidRDefault="00A173A8">
            <w:pPr>
              <w:spacing w:after="100"/>
              <w:rPr>
                <w:rFonts w:eastAsia="Times New Roman"/>
                <w:sz w:val="20"/>
                <w:szCs w:val="20"/>
              </w:rPr>
            </w:pPr>
          </w:p>
        </w:tc>
        <w:tc>
          <w:tcPr>
            <w:tcW w:w="0" w:type="auto"/>
            <w:gridSpan w:val="3"/>
            <w:vAlign w:val="center"/>
            <w:hideMark/>
          </w:tcPr>
          <w:p w14:paraId="44C12C84" w14:textId="77777777" w:rsidR="00000000" w:rsidRDefault="00A173A8">
            <w:pPr>
              <w:spacing w:after="100"/>
              <w:rPr>
                <w:rFonts w:eastAsia="Times New Roman"/>
                <w:sz w:val="20"/>
                <w:szCs w:val="20"/>
              </w:rPr>
            </w:pPr>
          </w:p>
        </w:tc>
      </w:tr>
      <w:tr w:rsidR="00000000" w14:paraId="6DD3ABBD" w14:textId="77777777">
        <w:trPr>
          <w:divId w:val="1862670321"/>
        </w:trPr>
        <w:tc>
          <w:tcPr>
            <w:tcW w:w="0" w:type="auto"/>
            <w:gridSpan w:val="3"/>
            <w:vAlign w:val="center"/>
            <w:hideMark/>
          </w:tcPr>
          <w:p w14:paraId="3D4C7847" w14:textId="77777777" w:rsidR="00000000" w:rsidRDefault="00A173A8">
            <w:pPr>
              <w:spacing w:after="100"/>
              <w:rPr>
                <w:rFonts w:eastAsia="Times New Roman"/>
                <w:sz w:val="20"/>
                <w:szCs w:val="20"/>
              </w:rPr>
            </w:pPr>
          </w:p>
        </w:tc>
        <w:tc>
          <w:tcPr>
            <w:tcW w:w="0" w:type="auto"/>
            <w:gridSpan w:val="3"/>
            <w:vAlign w:val="center"/>
            <w:hideMark/>
          </w:tcPr>
          <w:p w14:paraId="39AF02D3" w14:textId="77777777" w:rsidR="00000000" w:rsidRDefault="00A173A8">
            <w:pPr>
              <w:spacing w:after="100"/>
              <w:rPr>
                <w:rFonts w:eastAsia="Times New Roman"/>
                <w:sz w:val="20"/>
                <w:szCs w:val="20"/>
              </w:rPr>
            </w:pPr>
          </w:p>
        </w:tc>
        <w:tc>
          <w:tcPr>
            <w:tcW w:w="0" w:type="auto"/>
            <w:gridSpan w:val="3"/>
            <w:vAlign w:val="center"/>
            <w:hideMark/>
          </w:tcPr>
          <w:p w14:paraId="0A0C39FD" w14:textId="77777777" w:rsidR="00000000" w:rsidRDefault="00A173A8">
            <w:pPr>
              <w:spacing w:after="100"/>
              <w:rPr>
                <w:rFonts w:eastAsia="Times New Roman"/>
                <w:sz w:val="20"/>
                <w:szCs w:val="20"/>
              </w:rPr>
            </w:pPr>
          </w:p>
        </w:tc>
        <w:tc>
          <w:tcPr>
            <w:tcW w:w="0" w:type="auto"/>
            <w:gridSpan w:val="3"/>
            <w:vAlign w:val="center"/>
            <w:hideMark/>
          </w:tcPr>
          <w:p w14:paraId="12195084" w14:textId="77777777" w:rsidR="00000000" w:rsidRDefault="00A173A8">
            <w:pPr>
              <w:spacing w:after="100"/>
              <w:rPr>
                <w:rFonts w:eastAsia="Times New Roman"/>
                <w:sz w:val="20"/>
                <w:szCs w:val="20"/>
              </w:rPr>
            </w:pPr>
          </w:p>
        </w:tc>
        <w:tc>
          <w:tcPr>
            <w:tcW w:w="0" w:type="auto"/>
            <w:gridSpan w:val="3"/>
            <w:vAlign w:val="center"/>
            <w:hideMark/>
          </w:tcPr>
          <w:p w14:paraId="703294DE" w14:textId="77777777" w:rsidR="00000000" w:rsidRDefault="00A173A8">
            <w:pPr>
              <w:spacing w:after="100"/>
              <w:rPr>
                <w:rFonts w:eastAsia="Times New Roman"/>
                <w:sz w:val="20"/>
                <w:szCs w:val="20"/>
              </w:rPr>
            </w:pPr>
          </w:p>
        </w:tc>
        <w:tc>
          <w:tcPr>
            <w:tcW w:w="0" w:type="auto"/>
            <w:gridSpan w:val="3"/>
            <w:vAlign w:val="center"/>
            <w:hideMark/>
          </w:tcPr>
          <w:p w14:paraId="5F85FC56" w14:textId="77777777" w:rsidR="00000000" w:rsidRDefault="00A173A8">
            <w:pPr>
              <w:spacing w:after="100"/>
              <w:rPr>
                <w:rFonts w:eastAsia="Times New Roman"/>
                <w:sz w:val="20"/>
                <w:szCs w:val="20"/>
              </w:rPr>
            </w:pPr>
          </w:p>
        </w:tc>
        <w:tc>
          <w:tcPr>
            <w:tcW w:w="0" w:type="auto"/>
            <w:gridSpan w:val="3"/>
            <w:vAlign w:val="center"/>
            <w:hideMark/>
          </w:tcPr>
          <w:p w14:paraId="322E5A77" w14:textId="77777777" w:rsidR="00000000" w:rsidRDefault="00A173A8">
            <w:pPr>
              <w:spacing w:after="100"/>
              <w:rPr>
                <w:rFonts w:eastAsia="Times New Roman"/>
                <w:sz w:val="20"/>
                <w:szCs w:val="20"/>
              </w:rPr>
            </w:pPr>
          </w:p>
        </w:tc>
        <w:tc>
          <w:tcPr>
            <w:tcW w:w="0" w:type="auto"/>
            <w:gridSpan w:val="3"/>
            <w:vAlign w:val="center"/>
            <w:hideMark/>
          </w:tcPr>
          <w:p w14:paraId="37515E4C" w14:textId="77777777" w:rsidR="00000000" w:rsidRDefault="00A173A8">
            <w:pPr>
              <w:spacing w:after="100"/>
              <w:rPr>
                <w:rFonts w:eastAsia="Times New Roman"/>
                <w:sz w:val="20"/>
                <w:szCs w:val="20"/>
              </w:rPr>
            </w:pPr>
          </w:p>
        </w:tc>
        <w:tc>
          <w:tcPr>
            <w:tcW w:w="0" w:type="auto"/>
            <w:vAlign w:val="center"/>
            <w:hideMark/>
          </w:tcPr>
          <w:p w14:paraId="479B65FF" w14:textId="77777777" w:rsidR="00000000" w:rsidRDefault="00A173A8">
            <w:pPr>
              <w:spacing w:after="100"/>
              <w:rPr>
                <w:rFonts w:eastAsia="Times New Roman"/>
                <w:sz w:val="20"/>
                <w:szCs w:val="20"/>
              </w:rPr>
            </w:pPr>
          </w:p>
        </w:tc>
        <w:tc>
          <w:tcPr>
            <w:tcW w:w="0" w:type="auto"/>
            <w:gridSpan w:val="3"/>
            <w:vAlign w:val="center"/>
            <w:hideMark/>
          </w:tcPr>
          <w:p w14:paraId="2FA4C00E" w14:textId="77777777" w:rsidR="00000000" w:rsidRDefault="00A173A8">
            <w:pPr>
              <w:spacing w:after="100"/>
              <w:rPr>
                <w:rFonts w:eastAsia="Times New Roman"/>
                <w:sz w:val="20"/>
                <w:szCs w:val="20"/>
              </w:rPr>
            </w:pPr>
          </w:p>
        </w:tc>
        <w:tc>
          <w:tcPr>
            <w:tcW w:w="0" w:type="auto"/>
            <w:gridSpan w:val="3"/>
            <w:vAlign w:val="center"/>
            <w:hideMark/>
          </w:tcPr>
          <w:p w14:paraId="5E689973" w14:textId="77777777" w:rsidR="00000000" w:rsidRDefault="00A173A8">
            <w:pPr>
              <w:spacing w:after="100"/>
              <w:rPr>
                <w:rFonts w:eastAsia="Times New Roman"/>
                <w:sz w:val="20"/>
                <w:szCs w:val="20"/>
              </w:rPr>
            </w:pPr>
          </w:p>
        </w:tc>
      </w:tr>
      <w:tr w:rsidR="00000000" w14:paraId="516A1B75" w14:textId="77777777">
        <w:trPr>
          <w:divId w:val="1862670321"/>
        </w:trPr>
        <w:tc>
          <w:tcPr>
            <w:tcW w:w="0" w:type="auto"/>
            <w:gridSpan w:val="3"/>
            <w:vAlign w:val="center"/>
            <w:hideMark/>
          </w:tcPr>
          <w:p w14:paraId="6C705F21" w14:textId="77777777" w:rsidR="00000000" w:rsidRDefault="00A173A8">
            <w:pPr>
              <w:spacing w:after="100"/>
              <w:rPr>
                <w:rFonts w:eastAsia="Times New Roman"/>
                <w:sz w:val="20"/>
                <w:szCs w:val="20"/>
              </w:rPr>
            </w:pPr>
          </w:p>
        </w:tc>
        <w:tc>
          <w:tcPr>
            <w:tcW w:w="0" w:type="auto"/>
            <w:gridSpan w:val="3"/>
            <w:vAlign w:val="center"/>
            <w:hideMark/>
          </w:tcPr>
          <w:p w14:paraId="2DFE5D5D" w14:textId="77777777" w:rsidR="00000000" w:rsidRDefault="00A173A8">
            <w:pPr>
              <w:spacing w:after="100"/>
              <w:rPr>
                <w:rFonts w:eastAsia="Times New Roman"/>
                <w:sz w:val="20"/>
                <w:szCs w:val="20"/>
              </w:rPr>
            </w:pPr>
          </w:p>
        </w:tc>
        <w:tc>
          <w:tcPr>
            <w:tcW w:w="0" w:type="auto"/>
            <w:gridSpan w:val="3"/>
            <w:vAlign w:val="center"/>
            <w:hideMark/>
          </w:tcPr>
          <w:p w14:paraId="125093AD" w14:textId="77777777" w:rsidR="00000000" w:rsidRDefault="00A173A8">
            <w:pPr>
              <w:spacing w:after="100"/>
              <w:rPr>
                <w:rFonts w:eastAsia="Times New Roman"/>
                <w:sz w:val="20"/>
                <w:szCs w:val="20"/>
              </w:rPr>
            </w:pPr>
          </w:p>
        </w:tc>
        <w:tc>
          <w:tcPr>
            <w:tcW w:w="0" w:type="auto"/>
            <w:gridSpan w:val="3"/>
            <w:vAlign w:val="center"/>
            <w:hideMark/>
          </w:tcPr>
          <w:p w14:paraId="383E13FD" w14:textId="77777777" w:rsidR="00000000" w:rsidRDefault="00A173A8">
            <w:pPr>
              <w:spacing w:after="100"/>
              <w:rPr>
                <w:rFonts w:eastAsia="Times New Roman"/>
                <w:sz w:val="20"/>
                <w:szCs w:val="20"/>
              </w:rPr>
            </w:pPr>
          </w:p>
        </w:tc>
        <w:tc>
          <w:tcPr>
            <w:tcW w:w="0" w:type="auto"/>
            <w:gridSpan w:val="3"/>
            <w:vAlign w:val="center"/>
            <w:hideMark/>
          </w:tcPr>
          <w:p w14:paraId="409196F8" w14:textId="77777777" w:rsidR="00000000" w:rsidRDefault="00A173A8">
            <w:pPr>
              <w:spacing w:after="100"/>
              <w:rPr>
                <w:rFonts w:eastAsia="Times New Roman"/>
                <w:sz w:val="20"/>
                <w:szCs w:val="20"/>
              </w:rPr>
            </w:pPr>
          </w:p>
        </w:tc>
        <w:tc>
          <w:tcPr>
            <w:tcW w:w="0" w:type="auto"/>
            <w:gridSpan w:val="3"/>
            <w:vAlign w:val="center"/>
            <w:hideMark/>
          </w:tcPr>
          <w:p w14:paraId="2C597B91" w14:textId="77777777" w:rsidR="00000000" w:rsidRDefault="00A173A8">
            <w:pPr>
              <w:spacing w:after="100"/>
              <w:rPr>
                <w:rFonts w:eastAsia="Times New Roman"/>
                <w:sz w:val="20"/>
                <w:szCs w:val="20"/>
              </w:rPr>
            </w:pPr>
          </w:p>
        </w:tc>
        <w:tc>
          <w:tcPr>
            <w:tcW w:w="0" w:type="auto"/>
            <w:gridSpan w:val="3"/>
            <w:vAlign w:val="center"/>
            <w:hideMark/>
          </w:tcPr>
          <w:p w14:paraId="7FE62A7C" w14:textId="77777777" w:rsidR="00000000" w:rsidRDefault="00A173A8">
            <w:pPr>
              <w:spacing w:after="100"/>
              <w:rPr>
                <w:rFonts w:eastAsia="Times New Roman"/>
                <w:sz w:val="20"/>
                <w:szCs w:val="20"/>
              </w:rPr>
            </w:pPr>
          </w:p>
        </w:tc>
        <w:tc>
          <w:tcPr>
            <w:tcW w:w="0" w:type="auto"/>
            <w:gridSpan w:val="3"/>
            <w:vAlign w:val="center"/>
            <w:hideMark/>
          </w:tcPr>
          <w:p w14:paraId="3BF8DBD2" w14:textId="77777777" w:rsidR="00000000" w:rsidRDefault="00A173A8">
            <w:pPr>
              <w:spacing w:after="100"/>
              <w:rPr>
                <w:rFonts w:eastAsia="Times New Roman"/>
                <w:sz w:val="20"/>
                <w:szCs w:val="20"/>
              </w:rPr>
            </w:pPr>
          </w:p>
        </w:tc>
        <w:tc>
          <w:tcPr>
            <w:tcW w:w="0" w:type="auto"/>
            <w:vAlign w:val="center"/>
            <w:hideMark/>
          </w:tcPr>
          <w:p w14:paraId="5515DC08" w14:textId="77777777" w:rsidR="00000000" w:rsidRDefault="00A173A8">
            <w:pPr>
              <w:spacing w:after="100"/>
              <w:rPr>
                <w:rFonts w:eastAsia="Times New Roman"/>
                <w:sz w:val="20"/>
                <w:szCs w:val="20"/>
              </w:rPr>
            </w:pPr>
          </w:p>
        </w:tc>
        <w:tc>
          <w:tcPr>
            <w:tcW w:w="0" w:type="auto"/>
            <w:gridSpan w:val="3"/>
            <w:vAlign w:val="center"/>
            <w:hideMark/>
          </w:tcPr>
          <w:p w14:paraId="42A70974" w14:textId="77777777" w:rsidR="00000000" w:rsidRDefault="00A173A8">
            <w:pPr>
              <w:spacing w:after="100"/>
              <w:rPr>
                <w:rFonts w:eastAsia="Times New Roman"/>
                <w:sz w:val="20"/>
                <w:szCs w:val="20"/>
              </w:rPr>
            </w:pPr>
          </w:p>
        </w:tc>
        <w:tc>
          <w:tcPr>
            <w:tcW w:w="0" w:type="auto"/>
            <w:gridSpan w:val="3"/>
            <w:vAlign w:val="center"/>
            <w:hideMark/>
          </w:tcPr>
          <w:p w14:paraId="1D228C39" w14:textId="77777777" w:rsidR="00000000" w:rsidRDefault="00A173A8">
            <w:pPr>
              <w:spacing w:after="100"/>
              <w:rPr>
                <w:rFonts w:eastAsia="Times New Roman"/>
                <w:sz w:val="20"/>
                <w:szCs w:val="20"/>
              </w:rPr>
            </w:pPr>
          </w:p>
        </w:tc>
      </w:tr>
      <w:tr w:rsidR="00000000" w14:paraId="70D65212" w14:textId="77777777">
        <w:trPr>
          <w:divId w:val="1862670321"/>
        </w:trPr>
        <w:tc>
          <w:tcPr>
            <w:tcW w:w="0" w:type="auto"/>
            <w:gridSpan w:val="3"/>
            <w:vAlign w:val="center"/>
            <w:hideMark/>
          </w:tcPr>
          <w:p w14:paraId="6EAC2C8C" w14:textId="77777777" w:rsidR="00000000" w:rsidRDefault="00A173A8">
            <w:pPr>
              <w:spacing w:after="100"/>
              <w:rPr>
                <w:rFonts w:eastAsia="Times New Roman"/>
                <w:sz w:val="20"/>
                <w:szCs w:val="20"/>
              </w:rPr>
            </w:pPr>
          </w:p>
        </w:tc>
        <w:tc>
          <w:tcPr>
            <w:tcW w:w="0" w:type="auto"/>
            <w:gridSpan w:val="3"/>
            <w:vAlign w:val="center"/>
            <w:hideMark/>
          </w:tcPr>
          <w:p w14:paraId="5E35D6EA" w14:textId="77777777" w:rsidR="00000000" w:rsidRDefault="00A173A8">
            <w:pPr>
              <w:spacing w:after="100"/>
              <w:rPr>
                <w:rFonts w:eastAsia="Times New Roman"/>
                <w:sz w:val="20"/>
                <w:szCs w:val="20"/>
              </w:rPr>
            </w:pPr>
          </w:p>
        </w:tc>
        <w:tc>
          <w:tcPr>
            <w:tcW w:w="0" w:type="auto"/>
            <w:gridSpan w:val="3"/>
            <w:vAlign w:val="center"/>
            <w:hideMark/>
          </w:tcPr>
          <w:p w14:paraId="5282CA1D" w14:textId="77777777" w:rsidR="00000000" w:rsidRDefault="00A173A8">
            <w:pPr>
              <w:spacing w:after="100"/>
              <w:rPr>
                <w:rFonts w:eastAsia="Times New Roman"/>
                <w:sz w:val="20"/>
                <w:szCs w:val="20"/>
              </w:rPr>
            </w:pPr>
          </w:p>
        </w:tc>
        <w:tc>
          <w:tcPr>
            <w:tcW w:w="0" w:type="auto"/>
            <w:gridSpan w:val="3"/>
            <w:vAlign w:val="center"/>
            <w:hideMark/>
          </w:tcPr>
          <w:p w14:paraId="7E90A514" w14:textId="77777777" w:rsidR="00000000" w:rsidRDefault="00A173A8">
            <w:pPr>
              <w:spacing w:after="100"/>
              <w:rPr>
                <w:rFonts w:eastAsia="Times New Roman"/>
                <w:sz w:val="20"/>
                <w:szCs w:val="20"/>
              </w:rPr>
            </w:pPr>
          </w:p>
        </w:tc>
        <w:tc>
          <w:tcPr>
            <w:tcW w:w="0" w:type="auto"/>
            <w:gridSpan w:val="3"/>
            <w:vAlign w:val="center"/>
            <w:hideMark/>
          </w:tcPr>
          <w:p w14:paraId="0E19FBB6" w14:textId="77777777" w:rsidR="00000000" w:rsidRDefault="00A173A8">
            <w:pPr>
              <w:spacing w:after="100"/>
              <w:rPr>
                <w:rFonts w:eastAsia="Times New Roman"/>
                <w:sz w:val="20"/>
                <w:szCs w:val="20"/>
              </w:rPr>
            </w:pPr>
          </w:p>
        </w:tc>
        <w:tc>
          <w:tcPr>
            <w:tcW w:w="0" w:type="auto"/>
            <w:gridSpan w:val="3"/>
            <w:vAlign w:val="center"/>
            <w:hideMark/>
          </w:tcPr>
          <w:p w14:paraId="15DA29F2" w14:textId="77777777" w:rsidR="00000000" w:rsidRDefault="00A173A8">
            <w:pPr>
              <w:spacing w:after="100"/>
              <w:rPr>
                <w:rFonts w:eastAsia="Times New Roman"/>
                <w:sz w:val="20"/>
                <w:szCs w:val="20"/>
              </w:rPr>
            </w:pPr>
          </w:p>
        </w:tc>
        <w:tc>
          <w:tcPr>
            <w:tcW w:w="0" w:type="auto"/>
            <w:gridSpan w:val="3"/>
            <w:vAlign w:val="center"/>
            <w:hideMark/>
          </w:tcPr>
          <w:p w14:paraId="6D87DE8F" w14:textId="77777777" w:rsidR="00000000" w:rsidRDefault="00A173A8">
            <w:pPr>
              <w:spacing w:after="100"/>
              <w:rPr>
                <w:rFonts w:eastAsia="Times New Roman"/>
                <w:sz w:val="20"/>
                <w:szCs w:val="20"/>
              </w:rPr>
            </w:pPr>
          </w:p>
        </w:tc>
        <w:tc>
          <w:tcPr>
            <w:tcW w:w="0" w:type="auto"/>
            <w:gridSpan w:val="3"/>
            <w:vAlign w:val="center"/>
            <w:hideMark/>
          </w:tcPr>
          <w:p w14:paraId="10721641" w14:textId="77777777" w:rsidR="00000000" w:rsidRDefault="00A173A8">
            <w:pPr>
              <w:spacing w:after="100"/>
              <w:rPr>
                <w:rFonts w:eastAsia="Times New Roman"/>
                <w:sz w:val="20"/>
                <w:szCs w:val="20"/>
              </w:rPr>
            </w:pPr>
          </w:p>
        </w:tc>
        <w:tc>
          <w:tcPr>
            <w:tcW w:w="0" w:type="auto"/>
            <w:vAlign w:val="center"/>
            <w:hideMark/>
          </w:tcPr>
          <w:p w14:paraId="03CC6A4C" w14:textId="77777777" w:rsidR="00000000" w:rsidRDefault="00A173A8">
            <w:pPr>
              <w:spacing w:after="100"/>
              <w:rPr>
                <w:rFonts w:eastAsia="Times New Roman"/>
                <w:sz w:val="20"/>
                <w:szCs w:val="20"/>
              </w:rPr>
            </w:pPr>
          </w:p>
        </w:tc>
        <w:tc>
          <w:tcPr>
            <w:tcW w:w="0" w:type="auto"/>
            <w:gridSpan w:val="3"/>
            <w:vAlign w:val="center"/>
            <w:hideMark/>
          </w:tcPr>
          <w:p w14:paraId="54169F4E" w14:textId="77777777" w:rsidR="00000000" w:rsidRDefault="00A173A8">
            <w:pPr>
              <w:spacing w:after="100"/>
              <w:rPr>
                <w:rFonts w:eastAsia="Times New Roman"/>
                <w:sz w:val="20"/>
                <w:szCs w:val="20"/>
              </w:rPr>
            </w:pPr>
          </w:p>
        </w:tc>
        <w:tc>
          <w:tcPr>
            <w:tcW w:w="0" w:type="auto"/>
            <w:gridSpan w:val="3"/>
            <w:vAlign w:val="center"/>
            <w:hideMark/>
          </w:tcPr>
          <w:p w14:paraId="02EA47EF" w14:textId="77777777" w:rsidR="00000000" w:rsidRDefault="00A173A8">
            <w:pPr>
              <w:spacing w:after="100"/>
              <w:rPr>
                <w:rFonts w:eastAsia="Times New Roman"/>
                <w:sz w:val="20"/>
                <w:szCs w:val="20"/>
              </w:rPr>
            </w:pPr>
          </w:p>
        </w:tc>
      </w:tr>
    </w:tbl>
    <w:p w14:paraId="691769DC" w14:textId="77777777" w:rsidR="00000000" w:rsidRDefault="00A173A8">
      <w:pPr>
        <w:jc w:val="both"/>
        <w:divId w:val="18626703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519"/>
        <w:gridCol w:w="38"/>
        <w:gridCol w:w="36"/>
        <w:gridCol w:w="36"/>
        <w:gridCol w:w="36"/>
        <w:gridCol w:w="110"/>
        <w:gridCol w:w="555"/>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14:paraId="6D298344" w14:textId="77777777">
        <w:trPr>
          <w:divId w:val="1862670321"/>
        </w:trPr>
        <w:tc>
          <w:tcPr>
            <w:tcW w:w="50" w:type="pct"/>
            <w:vAlign w:val="center"/>
            <w:hideMark/>
          </w:tcPr>
          <w:p w14:paraId="42450E4A" w14:textId="77777777" w:rsidR="00000000" w:rsidRDefault="00A173A8">
            <w:pPr>
              <w:jc w:val="both"/>
              <w:rPr>
                <w:rFonts w:eastAsia="Times New Roman"/>
              </w:rPr>
            </w:pPr>
          </w:p>
        </w:tc>
        <w:tc>
          <w:tcPr>
            <w:tcW w:w="2839" w:type="pct"/>
            <w:vAlign w:val="center"/>
            <w:hideMark/>
          </w:tcPr>
          <w:p w14:paraId="6E41FFE7" w14:textId="77777777" w:rsidR="00000000" w:rsidRDefault="00A173A8">
            <w:pPr>
              <w:spacing w:after="100"/>
              <w:rPr>
                <w:rFonts w:eastAsia="Times New Roman"/>
                <w:sz w:val="20"/>
                <w:szCs w:val="20"/>
              </w:rPr>
            </w:pPr>
          </w:p>
        </w:tc>
        <w:tc>
          <w:tcPr>
            <w:tcW w:w="5" w:type="pct"/>
            <w:vAlign w:val="center"/>
            <w:hideMark/>
          </w:tcPr>
          <w:p w14:paraId="750324A5" w14:textId="77777777" w:rsidR="00000000" w:rsidRDefault="00A173A8">
            <w:pPr>
              <w:spacing w:after="100"/>
              <w:rPr>
                <w:rFonts w:eastAsia="Times New Roman"/>
                <w:sz w:val="20"/>
                <w:szCs w:val="20"/>
              </w:rPr>
            </w:pPr>
          </w:p>
        </w:tc>
        <w:tc>
          <w:tcPr>
            <w:tcW w:w="5" w:type="pct"/>
            <w:vAlign w:val="center"/>
            <w:hideMark/>
          </w:tcPr>
          <w:p w14:paraId="14A1C528" w14:textId="77777777" w:rsidR="00000000" w:rsidRDefault="00A173A8">
            <w:pPr>
              <w:spacing w:after="100"/>
              <w:rPr>
                <w:rFonts w:eastAsia="Times New Roman"/>
                <w:sz w:val="20"/>
                <w:szCs w:val="20"/>
              </w:rPr>
            </w:pPr>
          </w:p>
        </w:tc>
        <w:tc>
          <w:tcPr>
            <w:tcW w:w="26" w:type="pct"/>
            <w:vAlign w:val="center"/>
            <w:hideMark/>
          </w:tcPr>
          <w:p w14:paraId="1D1542B6" w14:textId="77777777" w:rsidR="00000000" w:rsidRDefault="00A173A8">
            <w:pPr>
              <w:spacing w:after="100"/>
              <w:rPr>
                <w:rFonts w:eastAsia="Times New Roman"/>
                <w:sz w:val="20"/>
                <w:szCs w:val="20"/>
              </w:rPr>
            </w:pPr>
          </w:p>
        </w:tc>
        <w:tc>
          <w:tcPr>
            <w:tcW w:w="5" w:type="pct"/>
            <w:vAlign w:val="center"/>
            <w:hideMark/>
          </w:tcPr>
          <w:p w14:paraId="53ACF5EA" w14:textId="77777777" w:rsidR="00000000" w:rsidRDefault="00A173A8">
            <w:pPr>
              <w:spacing w:after="100"/>
              <w:rPr>
                <w:rFonts w:eastAsia="Times New Roman"/>
                <w:sz w:val="20"/>
                <w:szCs w:val="20"/>
              </w:rPr>
            </w:pPr>
          </w:p>
        </w:tc>
        <w:tc>
          <w:tcPr>
            <w:tcW w:w="50" w:type="pct"/>
            <w:vAlign w:val="center"/>
            <w:hideMark/>
          </w:tcPr>
          <w:p w14:paraId="2D62FBE2" w14:textId="77777777" w:rsidR="00000000" w:rsidRDefault="00A173A8">
            <w:pPr>
              <w:spacing w:after="100"/>
              <w:rPr>
                <w:rFonts w:eastAsia="Times New Roman"/>
                <w:sz w:val="20"/>
                <w:szCs w:val="20"/>
              </w:rPr>
            </w:pPr>
          </w:p>
        </w:tc>
        <w:tc>
          <w:tcPr>
            <w:tcW w:w="434" w:type="pct"/>
            <w:vAlign w:val="center"/>
            <w:hideMark/>
          </w:tcPr>
          <w:p w14:paraId="4965D9D4" w14:textId="77777777" w:rsidR="00000000" w:rsidRDefault="00A173A8">
            <w:pPr>
              <w:spacing w:after="100"/>
              <w:rPr>
                <w:rFonts w:eastAsia="Times New Roman"/>
                <w:sz w:val="20"/>
                <w:szCs w:val="20"/>
              </w:rPr>
            </w:pPr>
          </w:p>
        </w:tc>
        <w:tc>
          <w:tcPr>
            <w:tcW w:w="5" w:type="pct"/>
            <w:vAlign w:val="center"/>
            <w:hideMark/>
          </w:tcPr>
          <w:p w14:paraId="636273DA" w14:textId="77777777" w:rsidR="00000000" w:rsidRDefault="00A173A8">
            <w:pPr>
              <w:spacing w:after="100"/>
              <w:rPr>
                <w:rFonts w:eastAsia="Times New Roman"/>
                <w:sz w:val="20"/>
                <w:szCs w:val="20"/>
              </w:rPr>
            </w:pPr>
          </w:p>
        </w:tc>
        <w:tc>
          <w:tcPr>
            <w:tcW w:w="5" w:type="pct"/>
            <w:vAlign w:val="center"/>
            <w:hideMark/>
          </w:tcPr>
          <w:p w14:paraId="53036A3B" w14:textId="77777777" w:rsidR="00000000" w:rsidRDefault="00A173A8">
            <w:pPr>
              <w:spacing w:after="100"/>
              <w:rPr>
                <w:rFonts w:eastAsia="Times New Roman"/>
                <w:sz w:val="20"/>
                <w:szCs w:val="20"/>
              </w:rPr>
            </w:pPr>
          </w:p>
        </w:tc>
        <w:tc>
          <w:tcPr>
            <w:tcW w:w="26" w:type="pct"/>
            <w:vAlign w:val="center"/>
            <w:hideMark/>
          </w:tcPr>
          <w:p w14:paraId="450F32D3" w14:textId="77777777" w:rsidR="00000000" w:rsidRDefault="00A173A8">
            <w:pPr>
              <w:spacing w:after="100"/>
              <w:rPr>
                <w:rFonts w:eastAsia="Times New Roman"/>
                <w:sz w:val="20"/>
                <w:szCs w:val="20"/>
              </w:rPr>
            </w:pPr>
          </w:p>
        </w:tc>
        <w:tc>
          <w:tcPr>
            <w:tcW w:w="5" w:type="pct"/>
            <w:vAlign w:val="center"/>
            <w:hideMark/>
          </w:tcPr>
          <w:p w14:paraId="731D96E0" w14:textId="77777777" w:rsidR="00000000" w:rsidRDefault="00A173A8">
            <w:pPr>
              <w:spacing w:after="100"/>
              <w:rPr>
                <w:rFonts w:eastAsia="Times New Roman"/>
                <w:sz w:val="20"/>
                <w:szCs w:val="20"/>
              </w:rPr>
            </w:pPr>
          </w:p>
        </w:tc>
        <w:tc>
          <w:tcPr>
            <w:tcW w:w="50" w:type="pct"/>
            <w:vAlign w:val="center"/>
            <w:hideMark/>
          </w:tcPr>
          <w:p w14:paraId="5132017D" w14:textId="77777777" w:rsidR="00000000" w:rsidRDefault="00A173A8">
            <w:pPr>
              <w:spacing w:after="100"/>
              <w:rPr>
                <w:rFonts w:eastAsia="Times New Roman"/>
                <w:sz w:val="20"/>
                <w:szCs w:val="20"/>
              </w:rPr>
            </w:pPr>
          </w:p>
        </w:tc>
        <w:tc>
          <w:tcPr>
            <w:tcW w:w="434" w:type="pct"/>
            <w:vAlign w:val="center"/>
            <w:hideMark/>
          </w:tcPr>
          <w:p w14:paraId="06700AD4" w14:textId="77777777" w:rsidR="00000000" w:rsidRDefault="00A173A8">
            <w:pPr>
              <w:spacing w:after="100"/>
              <w:rPr>
                <w:rFonts w:eastAsia="Times New Roman"/>
                <w:sz w:val="20"/>
                <w:szCs w:val="20"/>
              </w:rPr>
            </w:pPr>
          </w:p>
        </w:tc>
        <w:tc>
          <w:tcPr>
            <w:tcW w:w="5" w:type="pct"/>
            <w:vAlign w:val="center"/>
            <w:hideMark/>
          </w:tcPr>
          <w:p w14:paraId="135C2882" w14:textId="77777777" w:rsidR="00000000" w:rsidRDefault="00A173A8">
            <w:pPr>
              <w:spacing w:after="100"/>
              <w:rPr>
                <w:rFonts w:eastAsia="Times New Roman"/>
                <w:sz w:val="20"/>
                <w:szCs w:val="20"/>
              </w:rPr>
            </w:pPr>
          </w:p>
        </w:tc>
        <w:tc>
          <w:tcPr>
            <w:tcW w:w="5" w:type="pct"/>
            <w:vAlign w:val="center"/>
            <w:hideMark/>
          </w:tcPr>
          <w:p w14:paraId="518AAD43" w14:textId="77777777" w:rsidR="00000000" w:rsidRDefault="00A173A8">
            <w:pPr>
              <w:spacing w:after="100"/>
              <w:rPr>
                <w:rFonts w:eastAsia="Times New Roman"/>
                <w:sz w:val="20"/>
                <w:szCs w:val="20"/>
              </w:rPr>
            </w:pPr>
          </w:p>
        </w:tc>
        <w:tc>
          <w:tcPr>
            <w:tcW w:w="26" w:type="pct"/>
            <w:vAlign w:val="center"/>
            <w:hideMark/>
          </w:tcPr>
          <w:p w14:paraId="5025B95B" w14:textId="77777777" w:rsidR="00000000" w:rsidRDefault="00A173A8">
            <w:pPr>
              <w:spacing w:after="100"/>
              <w:rPr>
                <w:rFonts w:eastAsia="Times New Roman"/>
                <w:sz w:val="20"/>
                <w:szCs w:val="20"/>
              </w:rPr>
            </w:pPr>
          </w:p>
        </w:tc>
        <w:tc>
          <w:tcPr>
            <w:tcW w:w="5" w:type="pct"/>
            <w:vAlign w:val="center"/>
            <w:hideMark/>
          </w:tcPr>
          <w:p w14:paraId="5244C5FA" w14:textId="77777777" w:rsidR="00000000" w:rsidRDefault="00A173A8">
            <w:pPr>
              <w:spacing w:after="100"/>
              <w:rPr>
                <w:rFonts w:eastAsia="Times New Roman"/>
                <w:sz w:val="20"/>
                <w:szCs w:val="20"/>
              </w:rPr>
            </w:pPr>
          </w:p>
        </w:tc>
        <w:tc>
          <w:tcPr>
            <w:tcW w:w="50" w:type="pct"/>
            <w:vAlign w:val="center"/>
            <w:hideMark/>
          </w:tcPr>
          <w:p w14:paraId="336BF391" w14:textId="77777777" w:rsidR="00000000" w:rsidRDefault="00A173A8">
            <w:pPr>
              <w:spacing w:after="100"/>
              <w:rPr>
                <w:rFonts w:eastAsia="Times New Roman"/>
                <w:sz w:val="20"/>
                <w:szCs w:val="20"/>
              </w:rPr>
            </w:pPr>
          </w:p>
        </w:tc>
        <w:tc>
          <w:tcPr>
            <w:tcW w:w="434" w:type="pct"/>
            <w:vAlign w:val="center"/>
            <w:hideMark/>
          </w:tcPr>
          <w:p w14:paraId="4F6BE328" w14:textId="77777777" w:rsidR="00000000" w:rsidRDefault="00A173A8">
            <w:pPr>
              <w:spacing w:after="100"/>
              <w:rPr>
                <w:rFonts w:eastAsia="Times New Roman"/>
                <w:sz w:val="20"/>
                <w:szCs w:val="20"/>
              </w:rPr>
            </w:pPr>
          </w:p>
        </w:tc>
        <w:tc>
          <w:tcPr>
            <w:tcW w:w="5" w:type="pct"/>
            <w:vAlign w:val="center"/>
            <w:hideMark/>
          </w:tcPr>
          <w:p w14:paraId="78F65B6E" w14:textId="77777777" w:rsidR="00000000" w:rsidRDefault="00A173A8">
            <w:pPr>
              <w:spacing w:after="100"/>
              <w:rPr>
                <w:rFonts w:eastAsia="Times New Roman"/>
                <w:sz w:val="20"/>
                <w:szCs w:val="20"/>
              </w:rPr>
            </w:pPr>
          </w:p>
        </w:tc>
        <w:tc>
          <w:tcPr>
            <w:tcW w:w="5" w:type="pct"/>
            <w:vAlign w:val="center"/>
            <w:hideMark/>
          </w:tcPr>
          <w:p w14:paraId="1E1E8C5D" w14:textId="77777777" w:rsidR="00000000" w:rsidRDefault="00A173A8">
            <w:pPr>
              <w:spacing w:after="100"/>
              <w:rPr>
                <w:rFonts w:eastAsia="Times New Roman"/>
                <w:sz w:val="20"/>
                <w:szCs w:val="20"/>
              </w:rPr>
            </w:pPr>
          </w:p>
        </w:tc>
        <w:tc>
          <w:tcPr>
            <w:tcW w:w="26" w:type="pct"/>
            <w:vAlign w:val="center"/>
            <w:hideMark/>
          </w:tcPr>
          <w:p w14:paraId="14FB99F0" w14:textId="77777777" w:rsidR="00000000" w:rsidRDefault="00A173A8">
            <w:pPr>
              <w:spacing w:after="100"/>
              <w:rPr>
                <w:rFonts w:eastAsia="Times New Roman"/>
                <w:sz w:val="20"/>
                <w:szCs w:val="20"/>
              </w:rPr>
            </w:pPr>
          </w:p>
        </w:tc>
        <w:tc>
          <w:tcPr>
            <w:tcW w:w="5" w:type="pct"/>
            <w:vAlign w:val="center"/>
            <w:hideMark/>
          </w:tcPr>
          <w:p w14:paraId="134D50FA" w14:textId="77777777" w:rsidR="00000000" w:rsidRDefault="00A173A8">
            <w:pPr>
              <w:spacing w:after="100"/>
              <w:rPr>
                <w:rFonts w:eastAsia="Times New Roman"/>
                <w:sz w:val="20"/>
                <w:szCs w:val="20"/>
              </w:rPr>
            </w:pPr>
          </w:p>
        </w:tc>
        <w:tc>
          <w:tcPr>
            <w:tcW w:w="0" w:type="auto"/>
            <w:vAlign w:val="center"/>
            <w:hideMark/>
          </w:tcPr>
          <w:p w14:paraId="1828308F" w14:textId="77777777" w:rsidR="00000000" w:rsidRDefault="00A173A8">
            <w:pPr>
              <w:spacing w:after="100"/>
              <w:rPr>
                <w:rFonts w:eastAsia="Times New Roman"/>
                <w:sz w:val="20"/>
                <w:szCs w:val="20"/>
              </w:rPr>
            </w:pPr>
          </w:p>
        </w:tc>
        <w:tc>
          <w:tcPr>
            <w:tcW w:w="0" w:type="auto"/>
            <w:gridSpan w:val="3"/>
            <w:vAlign w:val="center"/>
            <w:hideMark/>
          </w:tcPr>
          <w:p w14:paraId="58DB9818" w14:textId="77777777" w:rsidR="00000000" w:rsidRDefault="00A173A8">
            <w:pPr>
              <w:spacing w:after="100"/>
              <w:rPr>
                <w:rFonts w:eastAsia="Times New Roman"/>
                <w:sz w:val="20"/>
                <w:szCs w:val="20"/>
              </w:rPr>
            </w:pPr>
          </w:p>
        </w:tc>
        <w:tc>
          <w:tcPr>
            <w:tcW w:w="50" w:type="pct"/>
            <w:vAlign w:val="center"/>
            <w:hideMark/>
          </w:tcPr>
          <w:p w14:paraId="7B66A8C2" w14:textId="77777777" w:rsidR="00000000" w:rsidRDefault="00A173A8">
            <w:pPr>
              <w:spacing w:after="100"/>
              <w:rPr>
                <w:rFonts w:eastAsia="Times New Roman"/>
                <w:sz w:val="20"/>
                <w:szCs w:val="20"/>
              </w:rPr>
            </w:pPr>
          </w:p>
        </w:tc>
        <w:tc>
          <w:tcPr>
            <w:tcW w:w="435" w:type="pct"/>
            <w:vAlign w:val="center"/>
            <w:hideMark/>
          </w:tcPr>
          <w:p w14:paraId="2C6504BA" w14:textId="77777777" w:rsidR="00000000" w:rsidRDefault="00A173A8">
            <w:pPr>
              <w:spacing w:after="100"/>
              <w:rPr>
                <w:rFonts w:eastAsia="Times New Roman"/>
                <w:sz w:val="20"/>
                <w:szCs w:val="20"/>
              </w:rPr>
            </w:pPr>
          </w:p>
        </w:tc>
        <w:tc>
          <w:tcPr>
            <w:tcW w:w="5" w:type="pct"/>
            <w:vAlign w:val="center"/>
            <w:hideMark/>
          </w:tcPr>
          <w:p w14:paraId="3A731CED" w14:textId="77777777" w:rsidR="00000000" w:rsidRDefault="00A173A8">
            <w:pPr>
              <w:spacing w:after="100"/>
              <w:rPr>
                <w:rFonts w:eastAsia="Times New Roman"/>
                <w:sz w:val="20"/>
                <w:szCs w:val="20"/>
              </w:rPr>
            </w:pPr>
          </w:p>
        </w:tc>
      </w:tr>
      <w:tr w:rsidR="00000000" w14:paraId="44C30F9A" w14:textId="77777777">
        <w:trPr>
          <w:divId w:val="1862670321"/>
        </w:trPr>
        <w:tc>
          <w:tcPr>
            <w:tcW w:w="0" w:type="auto"/>
            <w:gridSpan w:val="3"/>
            <w:tcMar>
              <w:top w:w="0" w:type="dxa"/>
              <w:left w:w="20" w:type="dxa"/>
              <w:bottom w:w="0" w:type="dxa"/>
              <w:right w:w="20" w:type="dxa"/>
            </w:tcMar>
            <w:vAlign w:val="center"/>
            <w:hideMark/>
          </w:tcPr>
          <w:p w14:paraId="6C9DB95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DD3A1D" w14:textId="77777777" w:rsidR="00000000" w:rsidRDefault="00A173A8">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370B6B30" w14:textId="77777777" w:rsidR="00000000" w:rsidRDefault="00A173A8">
            <w:pPr>
              <w:spacing w:after="100"/>
              <w:jc w:val="center"/>
              <w:rPr>
                <w:rFonts w:eastAsia="Times New Roman"/>
              </w:rPr>
            </w:pPr>
            <w:r>
              <w:rPr>
                <w:rFonts w:eastAsia="Times New Roman"/>
                <w:b/>
                <w:bCs/>
                <w:color w:val="000000"/>
                <w:sz w:val="16"/>
                <w:szCs w:val="16"/>
              </w:rPr>
              <w:t>Six Months Ended June 30, 2021</w:t>
            </w:r>
          </w:p>
        </w:tc>
        <w:tc>
          <w:tcPr>
            <w:tcW w:w="0" w:type="auto"/>
            <w:vAlign w:val="center"/>
            <w:hideMark/>
          </w:tcPr>
          <w:p w14:paraId="4C1BE5A1" w14:textId="77777777" w:rsidR="00000000" w:rsidRDefault="00A173A8">
            <w:pPr>
              <w:spacing w:after="100"/>
              <w:rPr>
                <w:rFonts w:eastAsia="Times New Roman"/>
                <w:sz w:val="20"/>
                <w:szCs w:val="20"/>
              </w:rPr>
            </w:pPr>
          </w:p>
        </w:tc>
        <w:tc>
          <w:tcPr>
            <w:tcW w:w="0" w:type="auto"/>
            <w:vAlign w:val="center"/>
            <w:hideMark/>
          </w:tcPr>
          <w:p w14:paraId="65453F7B" w14:textId="77777777" w:rsidR="00000000" w:rsidRDefault="00A173A8">
            <w:pPr>
              <w:spacing w:after="100"/>
              <w:rPr>
                <w:rFonts w:eastAsia="Times New Roman"/>
                <w:sz w:val="20"/>
                <w:szCs w:val="20"/>
              </w:rPr>
            </w:pPr>
          </w:p>
        </w:tc>
        <w:tc>
          <w:tcPr>
            <w:tcW w:w="0" w:type="auto"/>
            <w:vAlign w:val="center"/>
            <w:hideMark/>
          </w:tcPr>
          <w:p w14:paraId="2CA14466" w14:textId="77777777" w:rsidR="00000000" w:rsidRDefault="00A173A8">
            <w:pPr>
              <w:spacing w:after="100"/>
              <w:rPr>
                <w:rFonts w:eastAsia="Times New Roman"/>
                <w:sz w:val="20"/>
                <w:szCs w:val="20"/>
              </w:rPr>
            </w:pPr>
          </w:p>
        </w:tc>
        <w:tc>
          <w:tcPr>
            <w:tcW w:w="0" w:type="auto"/>
            <w:vAlign w:val="center"/>
            <w:hideMark/>
          </w:tcPr>
          <w:p w14:paraId="41C9DA6A" w14:textId="77777777" w:rsidR="00000000" w:rsidRDefault="00A173A8">
            <w:pPr>
              <w:spacing w:after="100"/>
              <w:rPr>
                <w:rFonts w:eastAsia="Times New Roman"/>
                <w:sz w:val="20"/>
                <w:szCs w:val="20"/>
              </w:rPr>
            </w:pPr>
          </w:p>
        </w:tc>
        <w:tc>
          <w:tcPr>
            <w:tcW w:w="0" w:type="auto"/>
            <w:vAlign w:val="center"/>
            <w:hideMark/>
          </w:tcPr>
          <w:p w14:paraId="77CCFAC8" w14:textId="77777777" w:rsidR="00000000" w:rsidRDefault="00A173A8">
            <w:pPr>
              <w:spacing w:after="100"/>
              <w:rPr>
                <w:rFonts w:eastAsia="Times New Roman"/>
                <w:sz w:val="20"/>
                <w:szCs w:val="20"/>
              </w:rPr>
            </w:pPr>
          </w:p>
        </w:tc>
        <w:tc>
          <w:tcPr>
            <w:tcW w:w="0" w:type="auto"/>
            <w:vAlign w:val="center"/>
            <w:hideMark/>
          </w:tcPr>
          <w:p w14:paraId="0DBDC88A" w14:textId="77777777" w:rsidR="00000000" w:rsidRDefault="00A173A8">
            <w:pPr>
              <w:spacing w:after="100"/>
              <w:rPr>
                <w:rFonts w:eastAsia="Times New Roman"/>
                <w:sz w:val="20"/>
                <w:szCs w:val="20"/>
              </w:rPr>
            </w:pPr>
          </w:p>
        </w:tc>
      </w:tr>
      <w:tr w:rsidR="00000000" w14:paraId="139EEC86" w14:textId="77777777">
        <w:trPr>
          <w:divId w:val="1862670321"/>
        </w:trPr>
        <w:tc>
          <w:tcPr>
            <w:tcW w:w="0" w:type="auto"/>
            <w:gridSpan w:val="3"/>
            <w:tcBorders>
              <w:bottom w:val="single" w:sz="8" w:space="0" w:color="000000"/>
            </w:tcBorders>
            <w:tcMar>
              <w:top w:w="30" w:type="dxa"/>
              <w:left w:w="20" w:type="dxa"/>
              <w:bottom w:w="30" w:type="dxa"/>
              <w:right w:w="20" w:type="dxa"/>
            </w:tcMar>
            <w:vAlign w:val="bottom"/>
            <w:hideMark/>
          </w:tcPr>
          <w:p w14:paraId="0A3A6D00"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E745B9C"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0EB5BDE"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7030389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4F752F2"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1F35C4F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CD2E4CA" w14:textId="77777777" w:rsidR="00000000" w:rsidRDefault="00A173A8">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71A01323" w14:textId="77777777" w:rsidR="00000000" w:rsidRDefault="00A173A8">
            <w:pPr>
              <w:spacing w:after="100"/>
              <w:jc w:val="center"/>
              <w:rPr>
                <w:rFonts w:eastAsia="Times New Roman"/>
              </w:rPr>
            </w:pPr>
          </w:p>
        </w:tc>
        <w:tc>
          <w:tcPr>
            <w:tcW w:w="0" w:type="auto"/>
            <w:vAlign w:val="center"/>
            <w:hideMark/>
          </w:tcPr>
          <w:p w14:paraId="250B2C5D" w14:textId="77777777" w:rsidR="00000000" w:rsidRDefault="00A173A8">
            <w:pPr>
              <w:spacing w:after="100"/>
              <w:rPr>
                <w:rFonts w:eastAsia="Times New Roman"/>
                <w:sz w:val="20"/>
                <w:szCs w:val="20"/>
              </w:rPr>
            </w:pPr>
          </w:p>
        </w:tc>
        <w:tc>
          <w:tcPr>
            <w:tcW w:w="0" w:type="auto"/>
            <w:gridSpan w:val="3"/>
            <w:vAlign w:val="center"/>
            <w:hideMark/>
          </w:tcPr>
          <w:p w14:paraId="38B1AEFF"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39343DB"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01E8AF80" w14:textId="77777777">
        <w:trPr>
          <w:divId w:val="186267032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2E47A7D" w14:textId="77777777" w:rsidR="00000000" w:rsidRDefault="00A173A8">
            <w:pPr>
              <w:spacing w:after="100"/>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14:paraId="223BF4E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2E7C6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66A63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03C4D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A2D6F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1E061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DD89E2" w14:textId="77777777" w:rsidR="00000000" w:rsidRDefault="00A173A8">
            <w:pPr>
              <w:spacing w:after="100"/>
              <w:rPr>
                <w:rFonts w:eastAsia="Times New Roman"/>
                <w:sz w:val="20"/>
                <w:szCs w:val="20"/>
              </w:rPr>
            </w:pPr>
          </w:p>
        </w:tc>
        <w:tc>
          <w:tcPr>
            <w:tcW w:w="0" w:type="auto"/>
            <w:vAlign w:val="center"/>
            <w:hideMark/>
          </w:tcPr>
          <w:p w14:paraId="68FF8CE6" w14:textId="77777777" w:rsidR="00000000" w:rsidRDefault="00A173A8">
            <w:pPr>
              <w:spacing w:after="100"/>
              <w:rPr>
                <w:rFonts w:eastAsia="Times New Roman"/>
                <w:sz w:val="20"/>
                <w:szCs w:val="20"/>
              </w:rPr>
            </w:pPr>
          </w:p>
        </w:tc>
        <w:tc>
          <w:tcPr>
            <w:tcW w:w="0" w:type="auto"/>
            <w:gridSpan w:val="3"/>
            <w:vAlign w:val="center"/>
            <w:hideMark/>
          </w:tcPr>
          <w:p w14:paraId="2ECD3FA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10ADD0" w14:textId="77777777" w:rsidR="00000000" w:rsidRDefault="00A173A8">
            <w:pPr>
              <w:spacing w:after="100"/>
              <w:rPr>
                <w:rFonts w:eastAsia="Times New Roman"/>
                <w:sz w:val="20"/>
                <w:szCs w:val="20"/>
              </w:rPr>
            </w:pPr>
          </w:p>
        </w:tc>
      </w:tr>
      <w:tr w:rsidR="00000000" w14:paraId="28568E1D" w14:textId="77777777">
        <w:trPr>
          <w:divId w:val="1862670321"/>
        </w:trPr>
        <w:tc>
          <w:tcPr>
            <w:tcW w:w="0" w:type="auto"/>
            <w:gridSpan w:val="3"/>
            <w:shd w:val="clear" w:color="auto" w:fill="FFFFFF"/>
            <w:tcMar>
              <w:top w:w="30" w:type="dxa"/>
              <w:left w:w="20" w:type="dxa"/>
              <w:bottom w:w="30" w:type="dxa"/>
              <w:right w:w="20" w:type="dxa"/>
            </w:tcMar>
            <w:vAlign w:val="center"/>
            <w:hideMark/>
          </w:tcPr>
          <w:p w14:paraId="56A1780C" w14:textId="77777777" w:rsidR="00000000" w:rsidRDefault="00A173A8">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14:paraId="0B874732"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FC303AE"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7712518" w14:textId="77777777" w:rsidR="00000000" w:rsidRDefault="00A173A8">
            <w:pPr>
              <w:spacing w:after="100"/>
              <w:jc w:val="right"/>
              <w:rPr>
                <w:rFonts w:eastAsia="Times New Roman"/>
              </w:rPr>
            </w:pPr>
            <w:r>
              <w:rPr>
                <w:rFonts w:eastAsia="Times New Roman"/>
                <w:color w:val="000000"/>
                <w:sz w:val="18"/>
                <w:szCs w:val="18"/>
              </w:rPr>
              <w:t>11,191 </w:t>
            </w:r>
          </w:p>
        </w:tc>
        <w:tc>
          <w:tcPr>
            <w:tcW w:w="0" w:type="auto"/>
            <w:shd w:val="clear" w:color="auto" w:fill="FFFFFF"/>
            <w:tcMar>
              <w:top w:w="30" w:type="dxa"/>
              <w:left w:w="0" w:type="dxa"/>
              <w:bottom w:w="30" w:type="dxa"/>
              <w:right w:w="20" w:type="dxa"/>
            </w:tcMar>
            <w:vAlign w:val="center"/>
            <w:hideMark/>
          </w:tcPr>
          <w:p w14:paraId="2AA8DF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8DBDD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7B9A145"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76CDA0A" w14:textId="77777777" w:rsidR="00000000" w:rsidRDefault="00A173A8">
            <w:pPr>
              <w:spacing w:after="100"/>
              <w:jc w:val="right"/>
              <w:rPr>
                <w:rFonts w:eastAsia="Times New Roman"/>
              </w:rPr>
            </w:pPr>
            <w:r>
              <w:rPr>
                <w:rFonts w:eastAsia="Times New Roman"/>
                <w:color w:val="000000"/>
                <w:sz w:val="18"/>
                <w:szCs w:val="18"/>
              </w:rPr>
              <w:t>2,715 </w:t>
            </w:r>
          </w:p>
        </w:tc>
        <w:tc>
          <w:tcPr>
            <w:tcW w:w="0" w:type="auto"/>
            <w:shd w:val="clear" w:color="auto" w:fill="FFFFFF"/>
            <w:tcMar>
              <w:top w:w="30" w:type="dxa"/>
              <w:left w:w="0" w:type="dxa"/>
              <w:bottom w:w="30" w:type="dxa"/>
              <w:right w:w="20" w:type="dxa"/>
            </w:tcMar>
            <w:vAlign w:val="center"/>
            <w:hideMark/>
          </w:tcPr>
          <w:p w14:paraId="15F582C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A701A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FF6688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B162571" w14:textId="77777777" w:rsidR="00000000" w:rsidRDefault="00A173A8">
            <w:pPr>
              <w:spacing w:after="100"/>
              <w:jc w:val="right"/>
              <w:rPr>
                <w:rFonts w:eastAsia="Times New Roman"/>
              </w:rPr>
            </w:pPr>
            <w:r>
              <w:rPr>
                <w:rFonts w:eastAsia="Times New Roman"/>
                <w:color w:val="000000"/>
                <w:sz w:val="18"/>
                <w:szCs w:val="18"/>
              </w:rPr>
              <w:t>1,658 </w:t>
            </w:r>
          </w:p>
        </w:tc>
        <w:tc>
          <w:tcPr>
            <w:tcW w:w="0" w:type="auto"/>
            <w:shd w:val="clear" w:color="auto" w:fill="FFFFFF"/>
            <w:tcMar>
              <w:top w:w="30" w:type="dxa"/>
              <w:left w:w="0" w:type="dxa"/>
              <w:bottom w:w="30" w:type="dxa"/>
              <w:right w:w="20" w:type="dxa"/>
            </w:tcMar>
            <w:vAlign w:val="center"/>
            <w:hideMark/>
          </w:tcPr>
          <w:p w14:paraId="5BA744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29EE1" w14:textId="77777777" w:rsidR="00000000" w:rsidRDefault="00A173A8">
            <w:pPr>
              <w:spacing w:after="100"/>
              <w:jc w:val="right"/>
              <w:rPr>
                <w:rFonts w:eastAsia="Times New Roman"/>
                <w:sz w:val="20"/>
                <w:szCs w:val="20"/>
              </w:rPr>
            </w:pPr>
          </w:p>
        </w:tc>
        <w:tc>
          <w:tcPr>
            <w:tcW w:w="0" w:type="auto"/>
            <w:vAlign w:val="center"/>
            <w:hideMark/>
          </w:tcPr>
          <w:p w14:paraId="6E95E524" w14:textId="77777777" w:rsidR="00000000" w:rsidRDefault="00A173A8">
            <w:pPr>
              <w:spacing w:after="100"/>
              <w:rPr>
                <w:rFonts w:eastAsia="Times New Roman"/>
                <w:sz w:val="20"/>
                <w:szCs w:val="20"/>
              </w:rPr>
            </w:pPr>
          </w:p>
        </w:tc>
        <w:tc>
          <w:tcPr>
            <w:tcW w:w="0" w:type="auto"/>
            <w:gridSpan w:val="3"/>
            <w:vAlign w:val="center"/>
            <w:hideMark/>
          </w:tcPr>
          <w:p w14:paraId="07849A41" w14:textId="77777777" w:rsidR="00000000" w:rsidRDefault="00A173A8">
            <w:pPr>
              <w:spacing w:after="100"/>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51E72FA"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C2D9F9B" w14:textId="77777777" w:rsidR="00000000" w:rsidRDefault="00A173A8">
            <w:pPr>
              <w:spacing w:after="100"/>
              <w:jc w:val="right"/>
              <w:rPr>
                <w:rFonts w:eastAsia="Times New Roman"/>
              </w:rPr>
            </w:pPr>
            <w:r>
              <w:rPr>
                <w:rFonts w:eastAsia="Times New Roman"/>
                <w:color w:val="000000"/>
                <w:sz w:val="18"/>
                <w:szCs w:val="18"/>
              </w:rPr>
              <w:t>15,564 </w:t>
            </w:r>
          </w:p>
        </w:tc>
        <w:tc>
          <w:tcPr>
            <w:tcW w:w="0" w:type="auto"/>
            <w:shd w:val="clear" w:color="auto" w:fill="FFFFFF"/>
            <w:tcMar>
              <w:top w:w="30" w:type="dxa"/>
              <w:left w:w="0" w:type="dxa"/>
              <w:bottom w:w="30" w:type="dxa"/>
              <w:right w:w="20" w:type="dxa"/>
            </w:tcMar>
            <w:vAlign w:val="center"/>
            <w:hideMark/>
          </w:tcPr>
          <w:p w14:paraId="7D5105C0" w14:textId="77777777" w:rsidR="00000000" w:rsidRDefault="00A173A8">
            <w:pPr>
              <w:spacing w:after="100"/>
              <w:jc w:val="right"/>
              <w:rPr>
                <w:rFonts w:eastAsia="Times New Roman"/>
              </w:rPr>
            </w:pPr>
          </w:p>
        </w:tc>
      </w:tr>
      <w:tr w:rsidR="00000000" w14:paraId="626970E9" w14:textId="77777777">
        <w:trPr>
          <w:divId w:val="1862670321"/>
        </w:trPr>
        <w:tc>
          <w:tcPr>
            <w:tcW w:w="0" w:type="auto"/>
            <w:gridSpan w:val="3"/>
            <w:shd w:val="clear" w:color="auto" w:fill="CCEEFF"/>
            <w:tcMar>
              <w:top w:w="30" w:type="dxa"/>
              <w:left w:w="20" w:type="dxa"/>
              <w:bottom w:w="30" w:type="dxa"/>
              <w:right w:w="20" w:type="dxa"/>
            </w:tcMar>
            <w:vAlign w:val="center"/>
            <w:hideMark/>
          </w:tcPr>
          <w:p w14:paraId="1B96AFA7" w14:textId="77777777" w:rsidR="00000000" w:rsidRDefault="00A173A8">
            <w:pPr>
              <w:spacing w:after="100"/>
              <w:divId w:val="237441627"/>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14:paraId="7EDD473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A024055" w14:textId="77777777" w:rsidR="00000000" w:rsidRDefault="00A173A8">
            <w:pPr>
              <w:spacing w:after="100"/>
              <w:jc w:val="right"/>
              <w:rPr>
                <w:rFonts w:eastAsia="Times New Roman"/>
              </w:rPr>
            </w:pPr>
            <w:r>
              <w:rPr>
                <w:rFonts w:eastAsia="Times New Roman"/>
                <w:color w:val="000000"/>
                <w:sz w:val="18"/>
                <w:szCs w:val="18"/>
              </w:rPr>
              <w:t>(1,960)</w:t>
            </w:r>
          </w:p>
        </w:tc>
        <w:tc>
          <w:tcPr>
            <w:tcW w:w="0" w:type="auto"/>
            <w:shd w:val="clear" w:color="auto" w:fill="CCEEFF"/>
            <w:tcMar>
              <w:top w:w="30" w:type="dxa"/>
              <w:left w:w="0" w:type="dxa"/>
              <w:bottom w:w="30" w:type="dxa"/>
              <w:right w:w="20" w:type="dxa"/>
            </w:tcMar>
            <w:vAlign w:val="center"/>
            <w:hideMark/>
          </w:tcPr>
          <w:p w14:paraId="136AC2A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B9C52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CE20A5" w14:textId="77777777" w:rsidR="00000000" w:rsidRDefault="00A173A8">
            <w:pPr>
              <w:spacing w:after="100"/>
              <w:jc w:val="right"/>
              <w:rPr>
                <w:rFonts w:eastAsia="Times New Roman"/>
              </w:rPr>
            </w:pPr>
            <w:r>
              <w:rPr>
                <w:rFonts w:eastAsia="Times New Roman"/>
                <w:color w:val="000000"/>
                <w:sz w:val="18"/>
                <w:szCs w:val="18"/>
              </w:rPr>
              <w:t>(602)</w:t>
            </w:r>
          </w:p>
        </w:tc>
        <w:tc>
          <w:tcPr>
            <w:tcW w:w="0" w:type="auto"/>
            <w:shd w:val="clear" w:color="auto" w:fill="CCEEFF"/>
            <w:tcMar>
              <w:top w:w="30" w:type="dxa"/>
              <w:left w:w="0" w:type="dxa"/>
              <w:bottom w:w="30" w:type="dxa"/>
              <w:right w:w="20" w:type="dxa"/>
            </w:tcMar>
            <w:vAlign w:val="center"/>
            <w:hideMark/>
          </w:tcPr>
          <w:p w14:paraId="54C736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90430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684AB8" w14:textId="77777777" w:rsidR="00000000" w:rsidRDefault="00A173A8">
            <w:pPr>
              <w:spacing w:after="100"/>
              <w:jc w:val="right"/>
              <w:rPr>
                <w:rFonts w:eastAsia="Times New Roman"/>
              </w:rPr>
            </w:pPr>
            <w:r>
              <w:rPr>
                <w:rFonts w:eastAsia="Times New Roman"/>
                <w:color w:val="000000"/>
                <w:sz w:val="18"/>
                <w:szCs w:val="18"/>
              </w:rPr>
              <w:t>(27)</w:t>
            </w:r>
          </w:p>
        </w:tc>
        <w:tc>
          <w:tcPr>
            <w:tcW w:w="0" w:type="auto"/>
            <w:shd w:val="clear" w:color="auto" w:fill="CCEEFF"/>
            <w:tcMar>
              <w:top w:w="30" w:type="dxa"/>
              <w:left w:w="0" w:type="dxa"/>
              <w:bottom w:w="30" w:type="dxa"/>
              <w:right w:w="20" w:type="dxa"/>
            </w:tcMar>
            <w:vAlign w:val="center"/>
            <w:hideMark/>
          </w:tcPr>
          <w:p w14:paraId="7207535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14993B" w14:textId="77777777" w:rsidR="00000000" w:rsidRDefault="00A173A8">
            <w:pPr>
              <w:spacing w:after="100"/>
              <w:jc w:val="right"/>
              <w:rPr>
                <w:rFonts w:eastAsia="Times New Roman"/>
                <w:sz w:val="20"/>
                <w:szCs w:val="20"/>
              </w:rPr>
            </w:pPr>
          </w:p>
        </w:tc>
        <w:tc>
          <w:tcPr>
            <w:tcW w:w="0" w:type="auto"/>
            <w:vAlign w:val="center"/>
            <w:hideMark/>
          </w:tcPr>
          <w:p w14:paraId="17472C80" w14:textId="77777777" w:rsidR="00000000" w:rsidRDefault="00A173A8">
            <w:pPr>
              <w:spacing w:after="100"/>
              <w:rPr>
                <w:rFonts w:eastAsia="Times New Roman"/>
                <w:sz w:val="20"/>
                <w:szCs w:val="20"/>
              </w:rPr>
            </w:pPr>
          </w:p>
        </w:tc>
        <w:tc>
          <w:tcPr>
            <w:tcW w:w="0" w:type="auto"/>
            <w:gridSpan w:val="3"/>
            <w:vAlign w:val="center"/>
            <w:hideMark/>
          </w:tcPr>
          <w:p w14:paraId="2082E998"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481D72" w14:textId="77777777" w:rsidR="00000000" w:rsidRDefault="00A173A8">
            <w:pPr>
              <w:spacing w:after="100"/>
              <w:jc w:val="right"/>
              <w:rPr>
                <w:rFonts w:eastAsia="Times New Roman"/>
              </w:rPr>
            </w:pPr>
            <w:r>
              <w:rPr>
                <w:rFonts w:eastAsia="Times New Roman"/>
                <w:color w:val="000000"/>
                <w:sz w:val="18"/>
                <w:szCs w:val="18"/>
              </w:rPr>
              <w:t>(2,589)</w:t>
            </w:r>
          </w:p>
        </w:tc>
        <w:tc>
          <w:tcPr>
            <w:tcW w:w="0" w:type="auto"/>
            <w:shd w:val="clear" w:color="auto" w:fill="CCEEFF"/>
            <w:tcMar>
              <w:top w:w="30" w:type="dxa"/>
              <w:left w:w="0" w:type="dxa"/>
              <w:bottom w:w="30" w:type="dxa"/>
              <w:right w:w="20" w:type="dxa"/>
            </w:tcMar>
            <w:vAlign w:val="center"/>
            <w:hideMark/>
          </w:tcPr>
          <w:p w14:paraId="3E9E8537" w14:textId="77777777" w:rsidR="00000000" w:rsidRDefault="00A173A8">
            <w:pPr>
              <w:spacing w:after="100"/>
              <w:jc w:val="right"/>
              <w:rPr>
                <w:rFonts w:eastAsia="Times New Roman"/>
              </w:rPr>
            </w:pPr>
          </w:p>
        </w:tc>
      </w:tr>
      <w:tr w:rsidR="00000000" w14:paraId="4550B603" w14:textId="77777777">
        <w:trPr>
          <w:divId w:val="1862670321"/>
        </w:trPr>
        <w:tc>
          <w:tcPr>
            <w:tcW w:w="0" w:type="auto"/>
            <w:gridSpan w:val="3"/>
            <w:shd w:val="clear" w:color="auto" w:fill="FFFFFF"/>
            <w:tcMar>
              <w:top w:w="30" w:type="dxa"/>
              <w:left w:w="20" w:type="dxa"/>
              <w:bottom w:w="30" w:type="dxa"/>
              <w:right w:w="20" w:type="dxa"/>
            </w:tcMar>
            <w:vAlign w:val="center"/>
            <w:hideMark/>
          </w:tcPr>
          <w:p w14:paraId="021D83FF" w14:textId="77777777" w:rsidR="00000000" w:rsidRDefault="00A173A8">
            <w:pPr>
              <w:spacing w:after="100"/>
              <w:divId w:val="972448506"/>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15D8FF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D682D9A" w14:textId="77777777" w:rsidR="00000000" w:rsidRDefault="00A173A8">
            <w:pPr>
              <w:spacing w:after="100"/>
              <w:jc w:val="right"/>
              <w:rPr>
                <w:rFonts w:eastAsia="Times New Roman"/>
              </w:rPr>
            </w:pPr>
            <w:r>
              <w:rPr>
                <w:rFonts w:eastAsia="Times New Roman"/>
                <w:color w:val="000000"/>
                <w:sz w:val="18"/>
                <w:szCs w:val="18"/>
              </w:rPr>
              <w:t>756 </w:t>
            </w:r>
          </w:p>
        </w:tc>
        <w:tc>
          <w:tcPr>
            <w:tcW w:w="0" w:type="auto"/>
            <w:shd w:val="clear" w:color="auto" w:fill="FFFFFF"/>
            <w:tcMar>
              <w:top w:w="30" w:type="dxa"/>
              <w:left w:w="0" w:type="dxa"/>
              <w:bottom w:w="30" w:type="dxa"/>
              <w:right w:w="20" w:type="dxa"/>
            </w:tcMar>
            <w:vAlign w:val="center"/>
            <w:hideMark/>
          </w:tcPr>
          <w:p w14:paraId="60AA52F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3EE99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94F1DE" w14:textId="77777777" w:rsidR="00000000" w:rsidRDefault="00A173A8">
            <w:pPr>
              <w:spacing w:after="100"/>
              <w:jc w:val="right"/>
              <w:rPr>
                <w:rFonts w:eastAsia="Times New Roman"/>
              </w:rPr>
            </w:pPr>
            <w:r>
              <w:rPr>
                <w:rFonts w:eastAsia="Times New Roman"/>
                <w:color w:val="000000"/>
                <w:sz w:val="18"/>
                <w:szCs w:val="18"/>
              </w:rPr>
              <w:t>522 </w:t>
            </w:r>
          </w:p>
        </w:tc>
        <w:tc>
          <w:tcPr>
            <w:tcW w:w="0" w:type="auto"/>
            <w:shd w:val="clear" w:color="auto" w:fill="FFFFFF"/>
            <w:tcMar>
              <w:top w:w="30" w:type="dxa"/>
              <w:left w:w="0" w:type="dxa"/>
              <w:bottom w:w="30" w:type="dxa"/>
              <w:right w:w="20" w:type="dxa"/>
            </w:tcMar>
            <w:vAlign w:val="center"/>
            <w:hideMark/>
          </w:tcPr>
          <w:p w14:paraId="1E0FB69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C246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76D7F0D" w14:textId="77777777" w:rsidR="00000000" w:rsidRDefault="00A173A8">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14:paraId="2EAFE45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70C62" w14:textId="77777777" w:rsidR="00000000" w:rsidRDefault="00A173A8">
            <w:pPr>
              <w:spacing w:after="100"/>
              <w:jc w:val="right"/>
              <w:rPr>
                <w:rFonts w:eastAsia="Times New Roman"/>
                <w:sz w:val="20"/>
                <w:szCs w:val="20"/>
              </w:rPr>
            </w:pPr>
          </w:p>
        </w:tc>
        <w:tc>
          <w:tcPr>
            <w:tcW w:w="0" w:type="auto"/>
            <w:vAlign w:val="center"/>
            <w:hideMark/>
          </w:tcPr>
          <w:p w14:paraId="5102E956" w14:textId="77777777" w:rsidR="00000000" w:rsidRDefault="00A173A8">
            <w:pPr>
              <w:spacing w:after="100"/>
              <w:rPr>
                <w:rFonts w:eastAsia="Times New Roman"/>
                <w:sz w:val="20"/>
                <w:szCs w:val="20"/>
              </w:rPr>
            </w:pPr>
          </w:p>
        </w:tc>
        <w:tc>
          <w:tcPr>
            <w:tcW w:w="0" w:type="auto"/>
            <w:gridSpan w:val="3"/>
            <w:vAlign w:val="center"/>
            <w:hideMark/>
          </w:tcPr>
          <w:p w14:paraId="77BE6AFF"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1BA1E9" w14:textId="77777777" w:rsidR="00000000" w:rsidRDefault="00A173A8">
            <w:pPr>
              <w:spacing w:after="100"/>
              <w:jc w:val="right"/>
              <w:rPr>
                <w:rFonts w:eastAsia="Times New Roman"/>
              </w:rPr>
            </w:pPr>
            <w:r>
              <w:rPr>
                <w:rFonts w:eastAsia="Times New Roman"/>
                <w:color w:val="000000"/>
                <w:sz w:val="18"/>
                <w:szCs w:val="18"/>
              </w:rPr>
              <w:t>1,308 </w:t>
            </w:r>
          </w:p>
        </w:tc>
        <w:tc>
          <w:tcPr>
            <w:tcW w:w="0" w:type="auto"/>
            <w:shd w:val="clear" w:color="auto" w:fill="FFFFFF"/>
            <w:tcMar>
              <w:top w:w="30" w:type="dxa"/>
              <w:left w:w="0" w:type="dxa"/>
              <w:bottom w:w="30" w:type="dxa"/>
              <w:right w:w="20" w:type="dxa"/>
            </w:tcMar>
            <w:vAlign w:val="center"/>
            <w:hideMark/>
          </w:tcPr>
          <w:p w14:paraId="421F496D" w14:textId="77777777" w:rsidR="00000000" w:rsidRDefault="00A173A8">
            <w:pPr>
              <w:spacing w:after="100"/>
              <w:jc w:val="right"/>
              <w:rPr>
                <w:rFonts w:eastAsia="Times New Roman"/>
              </w:rPr>
            </w:pPr>
          </w:p>
        </w:tc>
      </w:tr>
      <w:tr w:rsidR="00000000" w14:paraId="304BBB4D" w14:textId="77777777">
        <w:trPr>
          <w:divId w:val="1862670321"/>
        </w:trPr>
        <w:tc>
          <w:tcPr>
            <w:tcW w:w="0" w:type="auto"/>
            <w:gridSpan w:val="3"/>
            <w:shd w:val="clear" w:color="auto" w:fill="CCEEFF"/>
            <w:tcMar>
              <w:top w:w="30" w:type="dxa"/>
              <w:left w:w="20" w:type="dxa"/>
              <w:bottom w:w="30" w:type="dxa"/>
              <w:right w:w="20" w:type="dxa"/>
            </w:tcMar>
            <w:vAlign w:val="center"/>
            <w:hideMark/>
          </w:tcPr>
          <w:p w14:paraId="44635BA5" w14:textId="77777777" w:rsidR="00000000" w:rsidRDefault="00A173A8">
            <w:pPr>
              <w:spacing w:after="100"/>
              <w:rPr>
                <w:rFonts w:eastAsia="Times New Roman"/>
              </w:rPr>
            </w:pPr>
            <w:r>
              <w:rPr>
                <w:rFonts w:eastAsia="Times New Roman"/>
                <w:color w:val="000000"/>
                <w:sz w:val="18"/>
                <w:szCs w:val="18"/>
              </w:rPr>
              <w:t>Net recoveries (charge-offs)</w:t>
            </w:r>
          </w:p>
        </w:tc>
        <w:tc>
          <w:tcPr>
            <w:tcW w:w="0" w:type="auto"/>
            <w:gridSpan w:val="3"/>
            <w:shd w:val="clear" w:color="auto" w:fill="CCEEFF"/>
            <w:tcMar>
              <w:top w:w="0" w:type="dxa"/>
              <w:left w:w="20" w:type="dxa"/>
              <w:bottom w:w="0" w:type="dxa"/>
              <w:right w:w="20" w:type="dxa"/>
            </w:tcMar>
            <w:vAlign w:val="center"/>
            <w:hideMark/>
          </w:tcPr>
          <w:p w14:paraId="32BF9884"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4AD60B" w14:textId="77777777" w:rsidR="00000000" w:rsidRDefault="00A173A8">
            <w:pPr>
              <w:spacing w:after="100"/>
              <w:jc w:val="right"/>
              <w:rPr>
                <w:rFonts w:eastAsia="Times New Roman"/>
              </w:rPr>
            </w:pPr>
            <w:r>
              <w:rPr>
                <w:rFonts w:eastAsia="Times New Roman"/>
                <w:color w:val="000000"/>
                <w:sz w:val="18"/>
                <w:szCs w:val="18"/>
              </w:rPr>
              <w:t>(1,204)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10258E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18BDB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A336A6E" w14:textId="77777777" w:rsidR="00000000" w:rsidRDefault="00A173A8">
            <w:pPr>
              <w:spacing w:after="100"/>
              <w:jc w:val="right"/>
              <w:rPr>
                <w:rFonts w:eastAsia="Times New Roman"/>
              </w:rPr>
            </w:pPr>
            <w:r>
              <w:rPr>
                <w:rFonts w:eastAsia="Times New Roman"/>
                <w:color w:val="000000"/>
                <w:sz w:val="18"/>
                <w:szCs w:val="18"/>
              </w:rPr>
              <w:t>(80)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86C57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164D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95FE9E" w14:textId="77777777" w:rsidR="00000000" w:rsidRDefault="00A173A8">
            <w:pPr>
              <w:spacing w:after="100"/>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855D8E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FDAA9" w14:textId="77777777" w:rsidR="00000000" w:rsidRDefault="00A173A8">
            <w:pPr>
              <w:spacing w:after="100"/>
              <w:jc w:val="right"/>
              <w:rPr>
                <w:rFonts w:eastAsia="Times New Roman"/>
                <w:sz w:val="20"/>
                <w:szCs w:val="20"/>
              </w:rPr>
            </w:pPr>
          </w:p>
        </w:tc>
        <w:tc>
          <w:tcPr>
            <w:tcW w:w="0" w:type="auto"/>
            <w:vAlign w:val="center"/>
            <w:hideMark/>
          </w:tcPr>
          <w:p w14:paraId="7E2441B5" w14:textId="77777777" w:rsidR="00000000" w:rsidRDefault="00A173A8">
            <w:pPr>
              <w:spacing w:after="100"/>
              <w:rPr>
                <w:rFonts w:eastAsia="Times New Roman"/>
                <w:sz w:val="20"/>
                <w:szCs w:val="20"/>
              </w:rPr>
            </w:pPr>
          </w:p>
        </w:tc>
        <w:tc>
          <w:tcPr>
            <w:tcW w:w="0" w:type="auto"/>
            <w:gridSpan w:val="3"/>
            <w:vAlign w:val="center"/>
            <w:hideMark/>
          </w:tcPr>
          <w:p w14:paraId="4FF9C56C"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17A610" w14:textId="77777777" w:rsidR="00000000" w:rsidRDefault="00A173A8">
            <w:pPr>
              <w:spacing w:after="100"/>
              <w:jc w:val="right"/>
              <w:rPr>
                <w:rFonts w:eastAsia="Times New Roman"/>
              </w:rPr>
            </w:pPr>
            <w:r>
              <w:rPr>
                <w:rFonts w:eastAsia="Times New Roman"/>
                <w:color w:val="000000"/>
                <w:sz w:val="18"/>
                <w:szCs w:val="18"/>
              </w:rPr>
              <w:t>(1,281)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24A87E1" w14:textId="77777777" w:rsidR="00000000" w:rsidRDefault="00A173A8">
            <w:pPr>
              <w:spacing w:after="100"/>
              <w:jc w:val="right"/>
              <w:rPr>
                <w:rFonts w:eastAsia="Times New Roman"/>
              </w:rPr>
            </w:pPr>
          </w:p>
        </w:tc>
      </w:tr>
      <w:tr w:rsidR="00000000" w14:paraId="3C00DA85" w14:textId="77777777">
        <w:trPr>
          <w:divId w:val="1862670321"/>
        </w:trPr>
        <w:tc>
          <w:tcPr>
            <w:tcW w:w="0" w:type="auto"/>
            <w:gridSpan w:val="3"/>
            <w:shd w:val="clear" w:color="auto" w:fill="FFFFFF"/>
            <w:tcMar>
              <w:top w:w="30" w:type="dxa"/>
              <w:left w:w="20" w:type="dxa"/>
              <w:bottom w:w="30" w:type="dxa"/>
              <w:right w:w="20" w:type="dxa"/>
            </w:tcMar>
            <w:vAlign w:val="center"/>
            <w:hideMark/>
          </w:tcPr>
          <w:p w14:paraId="645D367D" w14:textId="77777777" w:rsidR="00000000" w:rsidRDefault="00A173A8">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6700381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E75C785" w14:textId="77777777" w:rsidR="00000000" w:rsidRDefault="00A173A8">
            <w:pPr>
              <w:spacing w:after="100"/>
              <w:jc w:val="right"/>
              <w:rPr>
                <w:rFonts w:eastAsia="Times New Roman"/>
              </w:rPr>
            </w:pPr>
            <w:r>
              <w:rPr>
                <w:rFonts w:eastAsia="Times New Roman"/>
                <w:color w:val="000000"/>
                <w:sz w:val="18"/>
                <w:szCs w:val="18"/>
              </w:rPr>
              <w:t>(1,127)</w:t>
            </w:r>
          </w:p>
        </w:tc>
        <w:tc>
          <w:tcPr>
            <w:tcW w:w="0" w:type="auto"/>
            <w:shd w:val="clear" w:color="auto" w:fill="FFFFFF"/>
            <w:tcMar>
              <w:top w:w="30" w:type="dxa"/>
              <w:left w:w="0" w:type="dxa"/>
              <w:bottom w:w="30" w:type="dxa"/>
              <w:right w:w="20" w:type="dxa"/>
            </w:tcMar>
            <w:vAlign w:val="center"/>
            <w:hideMark/>
          </w:tcPr>
          <w:p w14:paraId="5773ED0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8990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F394F0" w14:textId="77777777" w:rsidR="00000000" w:rsidRDefault="00A173A8">
            <w:pPr>
              <w:spacing w:after="100"/>
              <w:jc w:val="right"/>
              <w:rPr>
                <w:rFonts w:eastAsia="Times New Roman"/>
              </w:rPr>
            </w:pPr>
            <w:r>
              <w:rPr>
                <w:rFonts w:eastAsia="Times New Roman"/>
                <w:color w:val="000000"/>
                <w:sz w:val="18"/>
                <w:szCs w:val="18"/>
              </w:rPr>
              <w:t>(432)</w:t>
            </w:r>
          </w:p>
        </w:tc>
        <w:tc>
          <w:tcPr>
            <w:tcW w:w="0" w:type="auto"/>
            <w:shd w:val="clear" w:color="auto" w:fill="FFFFFF"/>
            <w:tcMar>
              <w:top w:w="30" w:type="dxa"/>
              <w:left w:w="0" w:type="dxa"/>
              <w:bottom w:w="30" w:type="dxa"/>
              <w:right w:w="20" w:type="dxa"/>
            </w:tcMar>
            <w:vAlign w:val="center"/>
            <w:hideMark/>
          </w:tcPr>
          <w:p w14:paraId="55A5642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0D38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C020A9" w14:textId="77777777" w:rsidR="00000000" w:rsidRDefault="00A173A8">
            <w:pPr>
              <w:spacing w:after="100"/>
              <w:jc w:val="right"/>
              <w:rPr>
                <w:rFonts w:eastAsia="Times New Roman"/>
              </w:rPr>
            </w:pPr>
            <w:r>
              <w:rPr>
                <w:rFonts w:eastAsia="Times New Roman"/>
                <w:color w:val="000000"/>
                <w:sz w:val="18"/>
                <w:szCs w:val="18"/>
              </w:rPr>
              <w:t>(391)</w:t>
            </w:r>
          </w:p>
        </w:tc>
        <w:tc>
          <w:tcPr>
            <w:tcW w:w="0" w:type="auto"/>
            <w:shd w:val="clear" w:color="auto" w:fill="FFFFFF"/>
            <w:tcMar>
              <w:top w:w="30" w:type="dxa"/>
              <w:left w:w="0" w:type="dxa"/>
              <w:bottom w:w="30" w:type="dxa"/>
              <w:right w:w="20" w:type="dxa"/>
            </w:tcMar>
            <w:vAlign w:val="center"/>
            <w:hideMark/>
          </w:tcPr>
          <w:p w14:paraId="24B1D0D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A54243" w14:textId="77777777" w:rsidR="00000000" w:rsidRDefault="00A173A8">
            <w:pPr>
              <w:spacing w:after="100"/>
              <w:jc w:val="right"/>
              <w:rPr>
                <w:rFonts w:eastAsia="Times New Roman"/>
                <w:sz w:val="20"/>
                <w:szCs w:val="20"/>
              </w:rPr>
            </w:pPr>
          </w:p>
        </w:tc>
        <w:tc>
          <w:tcPr>
            <w:tcW w:w="0" w:type="auto"/>
            <w:vAlign w:val="center"/>
            <w:hideMark/>
          </w:tcPr>
          <w:p w14:paraId="62EBD7BC" w14:textId="77777777" w:rsidR="00000000" w:rsidRDefault="00A173A8">
            <w:pPr>
              <w:spacing w:after="100"/>
              <w:rPr>
                <w:rFonts w:eastAsia="Times New Roman"/>
                <w:sz w:val="20"/>
                <w:szCs w:val="20"/>
              </w:rPr>
            </w:pPr>
          </w:p>
        </w:tc>
        <w:tc>
          <w:tcPr>
            <w:tcW w:w="0" w:type="auto"/>
            <w:gridSpan w:val="3"/>
            <w:vAlign w:val="center"/>
            <w:hideMark/>
          </w:tcPr>
          <w:p w14:paraId="0CC02782"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B86265" w14:textId="77777777" w:rsidR="00000000" w:rsidRDefault="00A173A8">
            <w:pPr>
              <w:spacing w:after="100"/>
              <w:jc w:val="right"/>
              <w:rPr>
                <w:rFonts w:eastAsia="Times New Roman"/>
              </w:rPr>
            </w:pPr>
            <w:r>
              <w:rPr>
                <w:rFonts w:eastAsia="Times New Roman"/>
                <w:color w:val="000000"/>
                <w:sz w:val="18"/>
                <w:szCs w:val="18"/>
              </w:rPr>
              <w:t>(1,950)</w:t>
            </w:r>
          </w:p>
        </w:tc>
        <w:tc>
          <w:tcPr>
            <w:tcW w:w="0" w:type="auto"/>
            <w:shd w:val="clear" w:color="auto" w:fill="FFFFFF"/>
            <w:tcMar>
              <w:top w:w="30" w:type="dxa"/>
              <w:left w:w="0" w:type="dxa"/>
              <w:bottom w:w="30" w:type="dxa"/>
              <w:right w:w="20" w:type="dxa"/>
            </w:tcMar>
            <w:vAlign w:val="center"/>
            <w:hideMark/>
          </w:tcPr>
          <w:p w14:paraId="36A39110" w14:textId="77777777" w:rsidR="00000000" w:rsidRDefault="00A173A8">
            <w:pPr>
              <w:spacing w:after="100"/>
              <w:jc w:val="right"/>
              <w:rPr>
                <w:rFonts w:eastAsia="Times New Roman"/>
              </w:rPr>
            </w:pPr>
          </w:p>
        </w:tc>
      </w:tr>
      <w:tr w:rsidR="00000000" w14:paraId="4FFB067C" w14:textId="77777777">
        <w:trPr>
          <w:divId w:val="1862670321"/>
        </w:trPr>
        <w:tc>
          <w:tcPr>
            <w:tcW w:w="0" w:type="auto"/>
            <w:gridSpan w:val="3"/>
            <w:shd w:val="clear" w:color="auto" w:fill="CCEEFF"/>
            <w:tcMar>
              <w:top w:w="30" w:type="dxa"/>
              <w:left w:w="20" w:type="dxa"/>
              <w:bottom w:w="30" w:type="dxa"/>
              <w:right w:w="20" w:type="dxa"/>
            </w:tcMar>
            <w:vAlign w:val="center"/>
            <w:hideMark/>
          </w:tcPr>
          <w:p w14:paraId="07CBF3A4" w14:textId="77777777" w:rsidR="00000000" w:rsidRDefault="00A173A8">
            <w:pPr>
              <w:spacing w:after="100"/>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14:paraId="364E8D75"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9581CA" w14:textId="77777777" w:rsidR="00000000" w:rsidRDefault="00A173A8">
            <w:pPr>
              <w:spacing w:after="100"/>
              <w:jc w:val="right"/>
              <w:rPr>
                <w:rFonts w:eastAsia="Times New Roman"/>
              </w:rPr>
            </w:pPr>
            <w:r>
              <w:rPr>
                <w:rFonts w:eastAsia="Times New Roman"/>
                <w:color w:val="000000"/>
                <w:sz w:val="18"/>
                <w:szCs w:val="18"/>
              </w:rPr>
              <w:t>(2,331)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8A11CB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8705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55A0F0B" w14:textId="77777777" w:rsidR="00000000" w:rsidRDefault="00A173A8">
            <w:pPr>
              <w:spacing w:after="100"/>
              <w:jc w:val="right"/>
              <w:rPr>
                <w:rFonts w:eastAsia="Times New Roman"/>
              </w:rPr>
            </w:pPr>
            <w:r>
              <w:rPr>
                <w:rFonts w:eastAsia="Times New Roman"/>
                <w:color w:val="000000"/>
                <w:sz w:val="18"/>
                <w:szCs w:val="18"/>
              </w:rPr>
              <w:t>(512)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00129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D696A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F5E7668" w14:textId="77777777" w:rsidR="00000000" w:rsidRDefault="00A173A8">
            <w:pPr>
              <w:spacing w:after="100"/>
              <w:jc w:val="right"/>
              <w:rPr>
                <w:rFonts w:eastAsia="Times New Roman"/>
              </w:rPr>
            </w:pPr>
            <w:r>
              <w:rPr>
                <w:rFonts w:eastAsia="Times New Roman"/>
                <w:color w:val="000000"/>
                <w:sz w:val="18"/>
                <w:szCs w:val="18"/>
              </w:rPr>
              <w:t>(388)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F169C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46DE1" w14:textId="77777777" w:rsidR="00000000" w:rsidRDefault="00A173A8">
            <w:pPr>
              <w:spacing w:after="100"/>
              <w:jc w:val="right"/>
              <w:rPr>
                <w:rFonts w:eastAsia="Times New Roman"/>
                <w:sz w:val="20"/>
                <w:szCs w:val="20"/>
              </w:rPr>
            </w:pPr>
          </w:p>
        </w:tc>
        <w:tc>
          <w:tcPr>
            <w:tcW w:w="0" w:type="auto"/>
            <w:vAlign w:val="center"/>
            <w:hideMark/>
          </w:tcPr>
          <w:p w14:paraId="02A8487A" w14:textId="77777777" w:rsidR="00000000" w:rsidRDefault="00A173A8">
            <w:pPr>
              <w:spacing w:after="100"/>
              <w:rPr>
                <w:rFonts w:eastAsia="Times New Roman"/>
                <w:sz w:val="20"/>
                <w:szCs w:val="20"/>
              </w:rPr>
            </w:pPr>
          </w:p>
        </w:tc>
        <w:tc>
          <w:tcPr>
            <w:tcW w:w="0" w:type="auto"/>
            <w:gridSpan w:val="3"/>
            <w:vAlign w:val="center"/>
            <w:hideMark/>
          </w:tcPr>
          <w:p w14:paraId="0CF12DFD"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B7E0933" w14:textId="77777777" w:rsidR="00000000" w:rsidRDefault="00A173A8">
            <w:pPr>
              <w:spacing w:after="100"/>
              <w:jc w:val="right"/>
              <w:rPr>
                <w:rFonts w:eastAsia="Times New Roman"/>
              </w:rPr>
            </w:pPr>
            <w:r>
              <w:rPr>
                <w:rFonts w:eastAsia="Times New Roman"/>
                <w:color w:val="000000"/>
                <w:sz w:val="18"/>
                <w:szCs w:val="18"/>
              </w:rPr>
              <w:t>(3,231)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339C2B" w14:textId="77777777" w:rsidR="00000000" w:rsidRDefault="00A173A8">
            <w:pPr>
              <w:spacing w:after="100"/>
              <w:jc w:val="right"/>
              <w:rPr>
                <w:rFonts w:eastAsia="Times New Roman"/>
              </w:rPr>
            </w:pPr>
          </w:p>
        </w:tc>
      </w:tr>
      <w:tr w:rsidR="00000000" w14:paraId="183FF078" w14:textId="77777777">
        <w:trPr>
          <w:divId w:val="1862670321"/>
        </w:trPr>
        <w:tc>
          <w:tcPr>
            <w:tcW w:w="0" w:type="auto"/>
            <w:gridSpan w:val="3"/>
            <w:shd w:val="clear" w:color="auto" w:fill="FFFFFF"/>
            <w:tcMar>
              <w:top w:w="30" w:type="dxa"/>
              <w:left w:w="20" w:type="dxa"/>
              <w:bottom w:w="30" w:type="dxa"/>
              <w:right w:w="20" w:type="dxa"/>
            </w:tcMar>
            <w:vAlign w:val="center"/>
            <w:hideMark/>
          </w:tcPr>
          <w:p w14:paraId="6C349192" w14:textId="77777777" w:rsidR="00000000" w:rsidRDefault="00A173A8">
            <w:pPr>
              <w:spacing w:after="100"/>
              <w:divId w:val="1143472954"/>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7C175A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3CBDCB1" w14:textId="77777777" w:rsidR="00000000" w:rsidRDefault="00A173A8">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14:paraId="0EDE354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F1A3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8CC07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FC14A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25C8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B52BD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860C8A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E82D1" w14:textId="77777777" w:rsidR="00000000" w:rsidRDefault="00A173A8">
            <w:pPr>
              <w:spacing w:after="100"/>
              <w:jc w:val="right"/>
              <w:rPr>
                <w:rFonts w:eastAsia="Times New Roman"/>
                <w:sz w:val="20"/>
                <w:szCs w:val="20"/>
              </w:rPr>
            </w:pPr>
          </w:p>
        </w:tc>
        <w:tc>
          <w:tcPr>
            <w:tcW w:w="0" w:type="auto"/>
            <w:vAlign w:val="center"/>
            <w:hideMark/>
          </w:tcPr>
          <w:p w14:paraId="25ED3EBB" w14:textId="77777777" w:rsidR="00000000" w:rsidRDefault="00A173A8">
            <w:pPr>
              <w:spacing w:after="100"/>
              <w:rPr>
                <w:rFonts w:eastAsia="Times New Roman"/>
                <w:sz w:val="20"/>
                <w:szCs w:val="20"/>
              </w:rPr>
            </w:pPr>
          </w:p>
        </w:tc>
        <w:tc>
          <w:tcPr>
            <w:tcW w:w="0" w:type="auto"/>
            <w:gridSpan w:val="3"/>
            <w:vAlign w:val="center"/>
            <w:hideMark/>
          </w:tcPr>
          <w:p w14:paraId="198C4542"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49A6BB" w14:textId="77777777" w:rsidR="00000000" w:rsidRDefault="00A173A8">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14:paraId="658E1EC9" w14:textId="77777777" w:rsidR="00000000" w:rsidRDefault="00A173A8">
            <w:pPr>
              <w:spacing w:after="100"/>
              <w:jc w:val="right"/>
              <w:rPr>
                <w:rFonts w:eastAsia="Times New Roman"/>
              </w:rPr>
            </w:pPr>
          </w:p>
        </w:tc>
      </w:tr>
      <w:tr w:rsidR="00000000" w14:paraId="3BE1DCED" w14:textId="77777777">
        <w:trPr>
          <w:divId w:val="1862670321"/>
        </w:trPr>
        <w:tc>
          <w:tcPr>
            <w:tcW w:w="0" w:type="auto"/>
            <w:gridSpan w:val="3"/>
            <w:shd w:val="clear" w:color="auto" w:fill="CCEEFF"/>
            <w:tcMar>
              <w:top w:w="30" w:type="dxa"/>
              <w:left w:w="20" w:type="dxa"/>
              <w:bottom w:w="30" w:type="dxa"/>
              <w:right w:w="20" w:type="dxa"/>
            </w:tcMar>
            <w:vAlign w:val="center"/>
            <w:hideMark/>
          </w:tcPr>
          <w:p w14:paraId="67F8F133" w14:textId="77777777" w:rsidR="00000000" w:rsidRDefault="00A173A8">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14:paraId="544A27EA" w14:textId="77777777" w:rsidR="00000000" w:rsidRDefault="00A173A8">
            <w:pPr>
              <w:spacing w:after="100"/>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3BEA158C" w14:textId="77777777" w:rsidR="00000000" w:rsidRDefault="00A173A8">
            <w:pPr>
              <w:spacing w:after="100"/>
              <w:jc w:val="right"/>
              <w:rPr>
                <w:rFonts w:eastAsia="Times New Roman"/>
              </w:rPr>
            </w:pPr>
            <w:r>
              <w:rPr>
                <w:rFonts w:eastAsia="Times New Roman"/>
                <w:color w:val="000000"/>
                <w:sz w:val="18"/>
                <w:szCs w:val="18"/>
              </w:rPr>
              <w:t>8,873 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1E49780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E41B2"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037AF008" w14:textId="77777777" w:rsidR="00000000" w:rsidRDefault="00A173A8">
            <w:pPr>
              <w:spacing w:after="100"/>
              <w:jc w:val="right"/>
              <w:rPr>
                <w:rFonts w:eastAsia="Times New Roman"/>
              </w:rPr>
            </w:pPr>
            <w:r>
              <w:rPr>
                <w:rFonts w:eastAsia="Times New Roman"/>
                <w:color w:val="000000"/>
                <w:sz w:val="18"/>
                <w:szCs w:val="18"/>
              </w:rPr>
              <w:t>2,203 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1E57166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27F47"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10D979D3" w14:textId="77777777" w:rsidR="00000000" w:rsidRDefault="00A173A8">
            <w:pPr>
              <w:spacing w:after="100"/>
              <w:jc w:val="right"/>
              <w:rPr>
                <w:rFonts w:eastAsia="Times New Roman"/>
              </w:rPr>
            </w:pPr>
            <w:r>
              <w:rPr>
                <w:rFonts w:eastAsia="Times New Roman"/>
                <w:color w:val="000000"/>
                <w:sz w:val="18"/>
                <w:szCs w:val="18"/>
              </w:rPr>
              <w:t>1,270 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02233B8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F02B5" w14:textId="77777777" w:rsidR="00000000" w:rsidRDefault="00A173A8">
            <w:pPr>
              <w:spacing w:after="100"/>
              <w:jc w:val="right"/>
              <w:rPr>
                <w:rFonts w:eastAsia="Times New Roman"/>
                <w:sz w:val="20"/>
                <w:szCs w:val="20"/>
              </w:rPr>
            </w:pPr>
          </w:p>
        </w:tc>
        <w:tc>
          <w:tcPr>
            <w:tcW w:w="0" w:type="auto"/>
            <w:vAlign w:val="center"/>
            <w:hideMark/>
          </w:tcPr>
          <w:p w14:paraId="0107A5BD" w14:textId="77777777" w:rsidR="00000000" w:rsidRDefault="00A173A8">
            <w:pPr>
              <w:spacing w:after="100"/>
              <w:rPr>
                <w:rFonts w:eastAsia="Times New Roman"/>
                <w:sz w:val="20"/>
                <w:szCs w:val="20"/>
              </w:rPr>
            </w:pPr>
          </w:p>
        </w:tc>
        <w:tc>
          <w:tcPr>
            <w:tcW w:w="0" w:type="auto"/>
            <w:gridSpan w:val="3"/>
            <w:vAlign w:val="center"/>
            <w:hideMark/>
          </w:tcPr>
          <w:p w14:paraId="1D6DEED2" w14:textId="77777777" w:rsidR="00000000" w:rsidRDefault="00A173A8">
            <w:pPr>
              <w:spacing w:after="100"/>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1D6FB9BF" w14:textId="77777777" w:rsidR="00000000" w:rsidRDefault="00A173A8">
            <w:pPr>
              <w:spacing w:after="100"/>
              <w:jc w:val="right"/>
              <w:rPr>
                <w:rFonts w:eastAsia="Times New Roman"/>
              </w:rPr>
            </w:pPr>
            <w:r>
              <w:rPr>
                <w:rFonts w:eastAsia="Times New Roman"/>
                <w:color w:val="000000"/>
                <w:sz w:val="18"/>
                <w:szCs w:val="18"/>
              </w:rPr>
              <w:t>12,346 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62358FFE" w14:textId="77777777" w:rsidR="00000000" w:rsidRDefault="00A173A8">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DF3712C" w14:textId="77777777">
        <w:trPr>
          <w:jc w:val="center"/>
        </w:trPr>
        <w:tc>
          <w:tcPr>
            <w:tcW w:w="50" w:type="pct"/>
            <w:vAlign w:val="center"/>
            <w:hideMark/>
          </w:tcPr>
          <w:p w14:paraId="62E54391" w14:textId="77777777" w:rsidR="00000000" w:rsidRDefault="00A173A8">
            <w:pPr>
              <w:jc w:val="both"/>
              <w:rPr>
                <w:rFonts w:eastAsia="Times New Roman"/>
              </w:rPr>
            </w:pPr>
          </w:p>
        </w:tc>
        <w:tc>
          <w:tcPr>
            <w:tcW w:w="1606" w:type="pct"/>
            <w:vAlign w:val="center"/>
            <w:hideMark/>
          </w:tcPr>
          <w:p w14:paraId="105DF8DB" w14:textId="77777777" w:rsidR="00000000" w:rsidRDefault="00A173A8">
            <w:pPr>
              <w:spacing w:after="100"/>
              <w:rPr>
                <w:rFonts w:eastAsia="Times New Roman"/>
                <w:sz w:val="20"/>
                <w:szCs w:val="20"/>
              </w:rPr>
            </w:pPr>
          </w:p>
        </w:tc>
        <w:tc>
          <w:tcPr>
            <w:tcW w:w="5" w:type="pct"/>
            <w:vAlign w:val="center"/>
            <w:hideMark/>
          </w:tcPr>
          <w:p w14:paraId="0020A19C" w14:textId="77777777" w:rsidR="00000000" w:rsidRDefault="00A173A8">
            <w:pPr>
              <w:spacing w:after="100"/>
              <w:rPr>
                <w:rFonts w:eastAsia="Times New Roman"/>
                <w:sz w:val="20"/>
                <w:szCs w:val="20"/>
              </w:rPr>
            </w:pPr>
          </w:p>
        </w:tc>
        <w:tc>
          <w:tcPr>
            <w:tcW w:w="50" w:type="pct"/>
            <w:vAlign w:val="center"/>
            <w:hideMark/>
          </w:tcPr>
          <w:p w14:paraId="7EE48C0D" w14:textId="77777777" w:rsidR="00000000" w:rsidRDefault="00A173A8">
            <w:pPr>
              <w:spacing w:after="100"/>
              <w:rPr>
                <w:rFonts w:eastAsia="Times New Roman"/>
                <w:sz w:val="20"/>
                <w:szCs w:val="20"/>
              </w:rPr>
            </w:pPr>
          </w:p>
        </w:tc>
        <w:tc>
          <w:tcPr>
            <w:tcW w:w="1614" w:type="pct"/>
            <w:vAlign w:val="center"/>
            <w:hideMark/>
          </w:tcPr>
          <w:p w14:paraId="20DDB946" w14:textId="77777777" w:rsidR="00000000" w:rsidRDefault="00A173A8">
            <w:pPr>
              <w:spacing w:after="100"/>
              <w:rPr>
                <w:rFonts w:eastAsia="Times New Roman"/>
                <w:sz w:val="20"/>
                <w:szCs w:val="20"/>
              </w:rPr>
            </w:pPr>
          </w:p>
        </w:tc>
        <w:tc>
          <w:tcPr>
            <w:tcW w:w="5" w:type="pct"/>
            <w:vAlign w:val="center"/>
            <w:hideMark/>
          </w:tcPr>
          <w:p w14:paraId="75197F87" w14:textId="77777777" w:rsidR="00000000" w:rsidRDefault="00A173A8">
            <w:pPr>
              <w:spacing w:after="100"/>
              <w:rPr>
                <w:rFonts w:eastAsia="Times New Roman"/>
                <w:sz w:val="20"/>
                <w:szCs w:val="20"/>
              </w:rPr>
            </w:pPr>
          </w:p>
        </w:tc>
        <w:tc>
          <w:tcPr>
            <w:tcW w:w="50" w:type="pct"/>
            <w:vAlign w:val="center"/>
            <w:hideMark/>
          </w:tcPr>
          <w:p w14:paraId="6E3E5AB9" w14:textId="77777777" w:rsidR="00000000" w:rsidRDefault="00A173A8">
            <w:pPr>
              <w:spacing w:after="100"/>
              <w:rPr>
                <w:rFonts w:eastAsia="Times New Roman"/>
                <w:sz w:val="20"/>
                <w:szCs w:val="20"/>
              </w:rPr>
            </w:pPr>
          </w:p>
        </w:tc>
        <w:tc>
          <w:tcPr>
            <w:tcW w:w="1614" w:type="pct"/>
            <w:vAlign w:val="center"/>
            <w:hideMark/>
          </w:tcPr>
          <w:p w14:paraId="692B4EA2" w14:textId="77777777" w:rsidR="00000000" w:rsidRDefault="00A173A8">
            <w:pPr>
              <w:spacing w:after="100"/>
              <w:rPr>
                <w:rFonts w:eastAsia="Times New Roman"/>
                <w:sz w:val="20"/>
                <w:szCs w:val="20"/>
              </w:rPr>
            </w:pPr>
          </w:p>
        </w:tc>
        <w:tc>
          <w:tcPr>
            <w:tcW w:w="5" w:type="pct"/>
            <w:vAlign w:val="center"/>
            <w:hideMark/>
          </w:tcPr>
          <w:p w14:paraId="3D749E8E" w14:textId="77777777" w:rsidR="00000000" w:rsidRDefault="00A173A8">
            <w:pPr>
              <w:spacing w:after="100"/>
              <w:rPr>
                <w:rFonts w:eastAsia="Times New Roman"/>
                <w:sz w:val="20"/>
                <w:szCs w:val="20"/>
              </w:rPr>
            </w:pPr>
          </w:p>
        </w:tc>
      </w:tr>
      <w:tr w:rsidR="00000000" w14:paraId="00A780EF" w14:textId="77777777">
        <w:trPr>
          <w:trHeight w:val="300"/>
          <w:jc w:val="center"/>
        </w:trPr>
        <w:tc>
          <w:tcPr>
            <w:tcW w:w="0" w:type="auto"/>
            <w:gridSpan w:val="9"/>
            <w:tcMar>
              <w:top w:w="0" w:type="dxa"/>
              <w:left w:w="20" w:type="dxa"/>
              <w:bottom w:w="0" w:type="dxa"/>
              <w:right w:w="20" w:type="dxa"/>
            </w:tcMar>
            <w:vAlign w:val="center"/>
            <w:hideMark/>
          </w:tcPr>
          <w:p w14:paraId="3F4978AE" w14:textId="77777777" w:rsidR="00000000" w:rsidRDefault="00A173A8">
            <w:pPr>
              <w:spacing w:after="100"/>
              <w:rPr>
                <w:rFonts w:eastAsia="Times New Roman"/>
                <w:sz w:val="20"/>
                <w:szCs w:val="20"/>
              </w:rPr>
            </w:pPr>
          </w:p>
        </w:tc>
      </w:tr>
      <w:tr w:rsidR="00000000" w14:paraId="04EB2035" w14:textId="77777777">
        <w:trPr>
          <w:jc w:val="center"/>
        </w:trPr>
        <w:tc>
          <w:tcPr>
            <w:tcW w:w="0" w:type="auto"/>
            <w:gridSpan w:val="3"/>
            <w:tcMar>
              <w:top w:w="0" w:type="dxa"/>
              <w:left w:w="20" w:type="dxa"/>
              <w:bottom w:w="0" w:type="dxa"/>
              <w:right w:w="20" w:type="dxa"/>
            </w:tcMar>
            <w:vAlign w:val="center"/>
            <w:hideMark/>
          </w:tcPr>
          <w:p w14:paraId="3509FC82"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B28DD18" w14:textId="77777777" w:rsidR="00000000" w:rsidRDefault="00A173A8">
            <w:pPr>
              <w:spacing w:after="100"/>
              <w:jc w:val="center"/>
              <w:rPr>
                <w:rFonts w:eastAsia="Times New Roman"/>
              </w:rPr>
            </w:pPr>
            <w:r>
              <w:rPr>
                <w:rFonts w:eastAsia="Times New Roman"/>
                <w:color w:val="000000"/>
                <w:sz w:val="16"/>
                <w:szCs w:val="16"/>
              </w:rPr>
              <w:t>85</w:t>
            </w:r>
          </w:p>
        </w:tc>
        <w:tc>
          <w:tcPr>
            <w:tcW w:w="0" w:type="auto"/>
            <w:gridSpan w:val="3"/>
            <w:tcMar>
              <w:top w:w="30" w:type="dxa"/>
              <w:left w:w="20" w:type="dxa"/>
              <w:bottom w:w="30" w:type="dxa"/>
              <w:right w:w="20" w:type="dxa"/>
            </w:tcMar>
            <w:vAlign w:val="bottom"/>
            <w:hideMark/>
          </w:tcPr>
          <w:p w14:paraId="49B6CD34"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B3F3C56" w14:textId="77777777" w:rsidR="00000000" w:rsidRDefault="00A173A8">
      <w:pPr>
        <w:rPr>
          <w:rFonts w:eastAsia="Times New Roman"/>
        </w:rPr>
      </w:pPr>
      <w:r>
        <w:rPr>
          <w:rFonts w:eastAsia="Times New Roman"/>
        </w:rPr>
        <w:pict w14:anchorId="3F8ABCF6">
          <v:rect id="_x0000_i1110" style="width:0;height:1.5pt" o:hralign="center" o:hrstd="t" o:hr="t" fillcolor="#a0a0a0" stroked="f"/>
        </w:pict>
      </w:r>
    </w:p>
    <w:p w14:paraId="53FA9A17" w14:textId="77777777" w:rsidR="00000000" w:rsidRDefault="00A173A8">
      <w:pPr>
        <w:jc w:val="both"/>
        <w:divId w:val="263929399"/>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520"/>
        <w:gridCol w:w="37"/>
        <w:gridCol w:w="36"/>
        <w:gridCol w:w="36"/>
        <w:gridCol w:w="36"/>
        <w:gridCol w:w="110"/>
        <w:gridCol w:w="556"/>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110"/>
        <w:gridCol w:w="540"/>
        <w:gridCol w:w="36"/>
      </w:tblGrid>
      <w:tr w:rsidR="00000000" w14:paraId="11684057" w14:textId="77777777">
        <w:trPr>
          <w:divId w:val="883908867"/>
        </w:trPr>
        <w:tc>
          <w:tcPr>
            <w:tcW w:w="50" w:type="pct"/>
            <w:vAlign w:val="center"/>
            <w:hideMark/>
          </w:tcPr>
          <w:p w14:paraId="4FF63EF1" w14:textId="77777777" w:rsidR="00000000" w:rsidRDefault="00A173A8">
            <w:pPr>
              <w:jc w:val="both"/>
              <w:rPr>
                <w:rFonts w:eastAsia="Times New Roman"/>
              </w:rPr>
            </w:pPr>
          </w:p>
        </w:tc>
        <w:tc>
          <w:tcPr>
            <w:tcW w:w="2839" w:type="pct"/>
            <w:vAlign w:val="center"/>
            <w:hideMark/>
          </w:tcPr>
          <w:p w14:paraId="34D9948B" w14:textId="77777777" w:rsidR="00000000" w:rsidRDefault="00A173A8">
            <w:pPr>
              <w:spacing w:after="100"/>
              <w:rPr>
                <w:rFonts w:eastAsia="Times New Roman"/>
                <w:sz w:val="20"/>
                <w:szCs w:val="20"/>
              </w:rPr>
            </w:pPr>
          </w:p>
        </w:tc>
        <w:tc>
          <w:tcPr>
            <w:tcW w:w="5" w:type="pct"/>
            <w:vAlign w:val="center"/>
            <w:hideMark/>
          </w:tcPr>
          <w:p w14:paraId="1A246F0A" w14:textId="77777777" w:rsidR="00000000" w:rsidRDefault="00A173A8">
            <w:pPr>
              <w:spacing w:after="100"/>
              <w:rPr>
                <w:rFonts w:eastAsia="Times New Roman"/>
                <w:sz w:val="20"/>
                <w:szCs w:val="20"/>
              </w:rPr>
            </w:pPr>
          </w:p>
        </w:tc>
        <w:tc>
          <w:tcPr>
            <w:tcW w:w="5" w:type="pct"/>
            <w:vAlign w:val="center"/>
            <w:hideMark/>
          </w:tcPr>
          <w:p w14:paraId="02C4A49C" w14:textId="77777777" w:rsidR="00000000" w:rsidRDefault="00A173A8">
            <w:pPr>
              <w:spacing w:after="100"/>
              <w:rPr>
                <w:rFonts w:eastAsia="Times New Roman"/>
                <w:sz w:val="20"/>
                <w:szCs w:val="20"/>
              </w:rPr>
            </w:pPr>
          </w:p>
        </w:tc>
        <w:tc>
          <w:tcPr>
            <w:tcW w:w="26" w:type="pct"/>
            <w:vAlign w:val="center"/>
            <w:hideMark/>
          </w:tcPr>
          <w:p w14:paraId="4CEB9D35" w14:textId="77777777" w:rsidR="00000000" w:rsidRDefault="00A173A8">
            <w:pPr>
              <w:spacing w:after="100"/>
              <w:rPr>
                <w:rFonts w:eastAsia="Times New Roman"/>
                <w:sz w:val="20"/>
                <w:szCs w:val="20"/>
              </w:rPr>
            </w:pPr>
          </w:p>
        </w:tc>
        <w:tc>
          <w:tcPr>
            <w:tcW w:w="5" w:type="pct"/>
            <w:vAlign w:val="center"/>
            <w:hideMark/>
          </w:tcPr>
          <w:p w14:paraId="05FADE5D" w14:textId="77777777" w:rsidR="00000000" w:rsidRDefault="00A173A8">
            <w:pPr>
              <w:spacing w:after="100"/>
              <w:rPr>
                <w:rFonts w:eastAsia="Times New Roman"/>
                <w:sz w:val="20"/>
                <w:szCs w:val="20"/>
              </w:rPr>
            </w:pPr>
          </w:p>
        </w:tc>
        <w:tc>
          <w:tcPr>
            <w:tcW w:w="50" w:type="pct"/>
            <w:vAlign w:val="center"/>
            <w:hideMark/>
          </w:tcPr>
          <w:p w14:paraId="043153AE" w14:textId="77777777" w:rsidR="00000000" w:rsidRDefault="00A173A8">
            <w:pPr>
              <w:spacing w:after="100"/>
              <w:rPr>
                <w:rFonts w:eastAsia="Times New Roman"/>
                <w:sz w:val="20"/>
                <w:szCs w:val="20"/>
              </w:rPr>
            </w:pPr>
          </w:p>
        </w:tc>
        <w:tc>
          <w:tcPr>
            <w:tcW w:w="434" w:type="pct"/>
            <w:vAlign w:val="center"/>
            <w:hideMark/>
          </w:tcPr>
          <w:p w14:paraId="7363EF08" w14:textId="77777777" w:rsidR="00000000" w:rsidRDefault="00A173A8">
            <w:pPr>
              <w:spacing w:after="100"/>
              <w:rPr>
                <w:rFonts w:eastAsia="Times New Roman"/>
                <w:sz w:val="20"/>
                <w:szCs w:val="20"/>
              </w:rPr>
            </w:pPr>
          </w:p>
        </w:tc>
        <w:tc>
          <w:tcPr>
            <w:tcW w:w="5" w:type="pct"/>
            <w:vAlign w:val="center"/>
            <w:hideMark/>
          </w:tcPr>
          <w:p w14:paraId="5BD60848" w14:textId="77777777" w:rsidR="00000000" w:rsidRDefault="00A173A8">
            <w:pPr>
              <w:spacing w:after="100"/>
              <w:rPr>
                <w:rFonts w:eastAsia="Times New Roman"/>
                <w:sz w:val="20"/>
                <w:szCs w:val="20"/>
              </w:rPr>
            </w:pPr>
          </w:p>
        </w:tc>
        <w:tc>
          <w:tcPr>
            <w:tcW w:w="5" w:type="pct"/>
            <w:vAlign w:val="center"/>
            <w:hideMark/>
          </w:tcPr>
          <w:p w14:paraId="3D088E18" w14:textId="77777777" w:rsidR="00000000" w:rsidRDefault="00A173A8">
            <w:pPr>
              <w:spacing w:after="100"/>
              <w:rPr>
                <w:rFonts w:eastAsia="Times New Roman"/>
                <w:sz w:val="20"/>
                <w:szCs w:val="20"/>
              </w:rPr>
            </w:pPr>
          </w:p>
        </w:tc>
        <w:tc>
          <w:tcPr>
            <w:tcW w:w="26" w:type="pct"/>
            <w:vAlign w:val="center"/>
            <w:hideMark/>
          </w:tcPr>
          <w:p w14:paraId="0C4003B1" w14:textId="77777777" w:rsidR="00000000" w:rsidRDefault="00A173A8">
            <w:pPr>
              <w:spacing w:after="100"/>
              <w:rPr>
                <w:rFonts w:eastAsia="Times New Roman"/>
                <w:sz w:val="20"/>
                <w:szCs w:val="20"/>
              </w:rPr>
            </w:pPr>
          </w:p>
        </w:tc>
        <w:tc>
          <w:tcPr>
            <w:tcW w:w="5" w:type="pct"/>
            <w:vAlign w:val="center"/>
            <w:hideMark/>
          </w:tcPr>
          <w:p w14:paraId="0EDA5008" w14:textId="77777777" w:rsidR="00000000" w:rsidRDefault="00A173A8">
            <w:pPr>
              <w:spacing w:after="100"/>
              <w:rPr>
                <w:rFonts w:eastAsia="Times New Roman"/>
                <w:sz w:val="20"/>
                <w:szCs w:val="20"/>
              </w:rPr>
            </w:pPr>
          </w:p>
        </w:tc>
        <w:tc>
          <w:tcPr>
            <w:tcW w:w="50" w:type="pct"/>
            <w:vAlign w:val="center"/>
            <w:hideMark/>
          </w:tcPr>
          <w:p w14:paraId="683CF542" w14:textId="77777777" w:rsidR="00000000" w:rsidRDefault="00A173A8">
            <w:pPr>
              <w:spacing w:after="100"/>
              <w:rPr>
                <w:rFonts w:eastAsia="Times New Roman"/>
                <w:sz w:val="20"/>
                <w:szCs w:val="20"/>
              </w:rPr>
            </w:pPr>
          </w:p>
        </w:tc>
        <w:tc>
          <w:tcPr>
            <w:tcW w:w="434" w:type="pct"/>
            <w:vAlign w:val="center"/>
            <w:hideMark/>
          </w:tcPr>
          <w:p w14:paraId="0599C138" w14:textId="77777777" w:rsidR="00000000" w:rsidRDefault="00A173A8">
            <w:pPr>
              <w:spacing w:after="100"/>
              <w:rPr>
                <w:rFonts w:eastAsia="Times New Roman"/>
                <w:sz w:val="20"/>
                <w:szCs w:val="20"/>
              </w:rPr>
            </w:pPr>
          </w:p>
        </w:tc>
        <w:tc>
          <w:tcPr>
            <w:tcW w:w="5" w:type="pct"/>
            <w:vAlign w:val="center"/>
            <w:hideMark/>
          </w:tcPr>
          <w:p w14:paraId="76962575" w14:textId="77777777" w:rsidR="00000000" w:rsidRDefault="00A173A8">
            <w:pPr>
              <w:spacing w:after="100"/>
              <w:rPr>
                <w:rFonts w:eastAsia="Times New Roman"/>
                <w:sz w:val="20"/>
                <w:szCs w:val="20"/>
              </w:rPr>
            </w:pPr>
          </w:p>
        </w:tc>
        <w:tc>
          <w:tcPr>
            <w:tcW w:w="5" w:type="pct"/>
            <w:vAlign w:val="center"/>
            <w:hideMark/>
          </w:tcPr>
          <w:p w14:paraId="7927E878" w14:textId="77777777" w:rsidR="00000000" w:rsidRDefault="00A173A8">
            <w:pPr>
              <w:spacing w:after="100"/>
              <w:rPr>
                <w:rFonts w:eastAsia="Times New Roman"/>
                <w:sz w:val="20"/>
                <w:szCs w:val="20"/>
              </w:rPr>
            </w:pPr>
          </w:p>
        </w:tc>
        <w:tc>
          <w:tcPr>
            <w:tcW w:w="26" w:type="pct"/>
            <w:vAlign w:val="center"/>
            <w:hideMark/>
          </w:tcPr>
          <w:p w14:paraId="0B0E4440" w14:textId="77777777" w:rsidR="00000000" w:rsidRDefault="00A173A8">
            <w:pPr>
              <w:spacing w:after="100"/>
              <w:rPr>
                <w:rFonts w:eastAsia="Times New Roman"/>
                <w:sz w:val="20"/>
                <w:szCs w:val="20"/>
              </w:rPr>
            </w:pPr>
          </w:p>
        </w:tc>
        <w:tc>
          <w:tcPr>
            <w:tcW w:w="5" w:type="pct"/>
            <w:vAlign w:val="center"/>
            <w:hideMark/>
          </w:tcPr>
          <w:p w14:paraId="3D5CFA15" w14:textId="77777777" w:rsidR="00000000" w:rsidRDefault="00A173A8">
            <w:pPr>
              <w:spacing w:after="100"/>
              <w:rPr>
                <w:rFonts w:eastAsia="Times New Roman"/>
                <w:sz w:val="20"/>
                <w:szCs w:val="20"/>
              </w:rPr>
            </w:pPr>
          </w:p>
        </w:tc>
        <w:tc>
          <w:tcPr>
            <w:tcW w:w="50" w:type="pct"/>
            <w:vAlign w:val="center"/>
            <w:hideMark/>
          </w:tcPr>
          <w:p w14:paraId="32F2BF43" w14:textId="77777777" w:rsidR="00000000" w:rsidRDefault="00A173A8">
            <w:pPr>
              <w:spacing w:after="100"/>
              <w:rPr>
                <w:rFonts w:eastAsia="Times New Roman"/>
                <w:sz w:val="20"/>
                <w:szCs w:val="20"/>
              </w:rPr>
            </w:pPr>
          </w:p>
        </w:tc>
        <w:tc>
          <w:tcPr>
            <w:tcW w:w="434" w:type="pct"/>
            <w:vAlign w:val="center"/>
            <w:hideMark/>
          </w:tcPr>
          <w:p w14:paraId="25A039B2" w14:textId="77777777" w:rsidR="00000000" w:rsidRDefault="00A173A8">
            <w:pPr>
              <w:spacing w:after="100"/>
              <w:rPr>
                <w:rFonts w:eastAsia="Times New Roman"/>
                <w:sz w:val="20"/>
                <w:szCs w:val="20"/>
              </w:rPr>
            </w:pPr>
          </w:p>
        </w:tc>
        <w:tc>
          <w:tcPr>
            <w:tcW w:w="5" w:type="pct"/>
            <w:vAlign w:val="center"/>
            <w:hideMark/>
          </w:tcPr>
          <w:p w14:paraId="0ED218AA" w14:textId="77777777" w:rsidR="00000000" w:rsidRDefault="00A173A8">
            <w:pPr>
              <w:spacing w:after="100"/>
              <w:rPr>
                <w:rFonts w:eastAsia="Times New Roman"/>
                <w:sz w:val="20"/>
                <w:szCs w:val="20"/>
              </w:rPr>
            </w:pPr>
          </w:p>
        </w:tc>
        <w:tc>
          <w:tcPr>
            <w:tcW w:w="5" w:type="pct"/>
            <w:vAlign w:val="center"/>
            <w:hideMark/>
          </w:tcPr>
          <w:p w14:paraId="2D08F1AC" w14:textId="77777777" w:rsidR="00000000" w:rsidRDefault="00A173A8">
            <w:pPr>
              <w:spacing w:after="100"/>
              <w:rPr>
                <w:rFonts w:eastAsia="Times New Roman"/>
                <w:sz w:val="20"/>
                <w:szCs w:val="20"/>
              </w:rPr>
            </w:pPr>
          </w:p>
        </w:tc>
        <w:tc>
          <w:tcPr>
            <w:tcW w:w="26" w:type="pct"/>
            <w:vAlign w:val="center"/>
            <w:hideMark/>
          </w:tcPr>
          <w:p w14:paraId="4B2C2B00" w14:textId="77777777" w:rsidR="00000000" w:rsidRDefault="00A173A8">
            <w:pPr>
              <w:spacing w:after="100"/>
              <w:rPr>
                <w:rFonts w:eastAsia="Times New Roman"/>
                <w:sz w:val="20"/>
                <w:szCs w:val="20"/>
              </w:rPr>
            </w:pPr>
          </w:p>
        </w:tc>
        <w:tc>
          <w:tcPr>
            <w:tcW w:w="5" w:type="pct"/>
            <w:vAlign w:val="center"/>
            <w:hideMark/>
          </w:tcPr>
          <w:p w14:paraId="787A7ED5" w14:textId="77777777" w:rsidR="00000000" w:rsidRDefault="00A173A8">
            <w:pPr>
              <w:spacing w:after="100"/>
              <w:rPr>
                <w:rFonts w:eastAsia="Times New Roman"/>
                <w:sz w:val="20"/>
                <w:szCs w:val="20"/>
              </w:rPr>
            </w:pPr>
          </w:p>
        </w:tc>
        <w:tc>
          <w:tcPr>
            <w:tcW w:w="0" w:type="auto"/>
            <w:vAlign w:val="center"/>
            <w:hideMark/>
          </w:tcPr>
          <w:p w14:paraId="0E60976F" w14:textId="77777777" w:rsidR="00000000" w:rsidRDefault="00A173A8">
            <w:pPr>
              <w:spacing w:after="100"/>
              <w:rPr>
                <w:rFonts w:eastAsia="Times New Roman"/>
                <w:sz w:val="20"/>
                <w:szCs w:val="20"/>
              </w:rPr>
            </w:pPr>
          </w:p>
        </w:tc>
        <w:tc>
          <w:tcPr>
            <w:tcW w:w="0" w:type="auto"/>
            <w:gridSpan w:val="3"/>
            <w:vAlign w:val="center"/>
            <w:hideMark/>
          </w:tcPr>
          <w:p w14:paraId="2A9E4016" w14:textId="77777777" w:rsidR="00000000" w:rsidRDefault="00A173A8">
            <w:pPr>
              <w:spacing w:after="100"/>
              <w:rPr>
                <w:rFonts w:eastAsia="Times New Roman"/>
                <w:sz w:val="20"/>
                <w:szCs w:val="20"/>
              </w:rPr>
            </w:pPr>
          </w:p>
        </w:tc>
        <w:tc>
          <w:tcPr>
            <w:tcW w:w="50" w:type="pct"/>
            <w:vAlign w:val="center"/>
            <w:hideMark/>
          </w:tcPr>
          <w:p w14:paraId="140D5FC4" w14:textId="77777777" w:rsidR="00000000" w:rsidRDefault="00A173A8">
            <w:pPr>
              <w:spacing w:after="100"/>
              <w:rPr>
                <w:rFonts w:eastAsia="Times New Roman"/>
                <w:sz w:val="20"/>
                <w:szCs w:val="20"/>
              </w:rPr>
            </w:pPr>
          </w:p>
        </w:tc>
        <w:tc>
          <w:tcPr>
            <w:tcW w:w="435" w:type="pct"/>
            <w:vAlign w:val="center"/>
            <w:hideMark/>
          </w:tcPr>
          <w:p w14:paraId="601F9886" w14:textId="77777777" w:rsidR="00000000" w:rsidRDefault="00A173A8">
            <w:pPr>
              <w:spacing w:after="100"/>
              <w:rPr>
                <w:rFonts w:eastAsia="Times New Roman"/>
                <w:sz w:val="20"/>
                <w:szCs w:val="20"/>
              </w:rPr>
            </w:pPr>
          </w:p>
        </w:tc>
        <w:tc>
          <w:tcPr>
            <w:tcW w:w="5" w:type="pct"/>
            <w:vAlign w:val="center"/>
            <w:hideMark/>
          </w:tcPr>
          <w:p w14:paraId="372B40F8" w14:textId="77777777" w:rsidR="00000000" w:rsidRDefault="00A173A8">
            <w:pPr>
              <w:spacing w:after="100"/>
              <w:rPr>
                <w:rFonts w:eastAsia="Times New Roman"/>
                <w:sz w:val="20"/>
                <w:szCs w:val="20"/>
              </w:rPr>
            </w:pPr>
          </w:p>
        </w:tc>
      </w:tr>
      <w:tr w:rsidR="00000000" w14:paraId="4E2A5492" w14:textId="77777777">
        <w:trPr>
          <w:divId w:val="883908867"/>
        </w:trPr>
        <w:tc>
          <w:tcPr>
            <w:tcW w:w="0" w:type="auto"/>
            <w:gridSpan w:val="3"/>
            <w:tcMar>
              <w:top w:w="0" w:type="dxa"/>
              <w:left w:w="20" w:type="dxa"/>
              <w:bottom w:w="0" w:type="dxa"/>
              <w:right w:w="20" w:type="dxa"/>
            </w:tcMar>
            <w:vAlign w:val="center"/>
            <w:hideMark/>
          </w:tcPr>
          <w:p w14:paraId="6778FFB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F67BC7" w14:textId="77777777" w:rsidR="00000000" w:rsidRDefault="00A173A8">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14:paraId="35F73D89" w14:textId="77777777" w:rsidR="00000000" w:rsidRDefault="00A173A8">
            <w:pPr>
              <w:spacing w:after="100"/>
              <w:jc w:val="center"/>
              <w:rPr>
                <w:rFonts w:eastAsia="Times New Roman"/>
              </w:rPr>
            </w:pPr>
            <w:r>
              <w:rPr>
                <w:rFonts w:eastAsia="Times New Roman"/>
                <w:b/>
                <w:bCs/>
                <w:color w:val="000000"/>
                <w:sz w:val="16"/>
                <w:szCs w:val="16"/>
              </w:rPr>
              <w:t>Six Months Ended June 30, 2021</w:t>
            </w:r>
          </w:p>
        </w:tc>
        <w:tc>
          <w:tcPr>
            <w:tcW w:w="0" w:type="auto"/>
            <w:vAlign w:val="center"/>
            <w:hideMark/>
          </w:tcPr>
          <w:p w14:paraId="69008C1B" w14:textId="77777777" w:rsidR="00000000" w:rsidRDefault="00A173A8">
            <w:pPr>
              <w:spacing w:after="100"/>
              <w:rPr>
                <w:rFonts w:eastAsia="Times New Roman"/>
                <w:sz w:val="20"/>
                <w:szCs w:val="20"/>
              </w:rPr>
            </w:pPr>
          </w:p>
        </w:tc>
        <w:tc>
          <w:tcPr>
            <w:tcW w:w="0" w:type="auto"/>
            <w:vAlign w:val="center"/>
            <w:hideMark/>
          </w:tcPr>
          <w:p w14:paraId="550BD1C2" w14:textId="77777777" w:rsidR="00000000" w:rsidRDefault="00A173A8">
            <w:pPr>
              <w:spacing w:after="100"/>
              <w:rPr>
                <w:rFonts w:eastAsia="Times New Roman"/>
                <w:sz w:val="20"/>
                <w:szCs w:val="20"/>
              </w:rPr>
            </w:pPr>
          </w:p>
        </w:tc>
        <w:tc>
          <w:tcPr>
            <w:tcW w:w="0" w:type="auto"/>
            <w:vAlign w:val="center"/>
            <w:hideMark/>
          </w:tcPr>
          <w:p w14:paraId="417AD32C" w14:textId="77777777" w:rsidR="00000000" w:rsidRDefault="00A173A8">
            <w:pPr>
              <w:spacing w:after="100"/>
              <w:rPr>
                <w:rFonts w:eastAsia="Times New Roman"/>
                <w:sz w:val="20"/>
                <w:szCs w:val="20"/>
              </w:rPr>
            </w:pPr>
          </w:p>
        </w:tc>
        <w:tc>
          <w:tcPr>
            <w:tcW w:w="0" w:type="auto"/>
            <w:vAlign w:val="center"/>
            <w:hideMark/>
          </w:tcPr>
          <w:p w14:paraId="200414B4" w14:textId="77777777" w:rsidR="00000000" w:rsidRDefault="00A173A8">
            <w:pPr>
              <w:spacing w:after="100"/>
              <w:rPr>
                <w:rFonts w:eastAsia="Times New Roman"/>
                <w:sz w:val="20"/>
                <w:szCs w:val="20"/>
              </w:rPr>
            </w:pPr>
          </w:p>
        </w:tc>
        <w:tc>
          <w:tcPr>
            <w:tcW w:w="0" w:type="auto"/>
            <w:vAlign w:val="center"/>
            <w:hideMark/>
          </w:tcPr>
          <w:p w14:paraId="579B0F70" w14:textId="77777777" w:rsidR="00000000" w:rsidRDefault="00A173A8">
            <w:pPr>
              <w:spacing w:after="100"/>
              <w:rPr>
                <w:rFonts w:eastAsia="Times New Roman"/>
                <w:sz w:val="20"/>
                <w:szCs w:val="20"/>
              </w:rPr>
            </w:pPr>
          </w:p>
        </w:tc>
        <w:tc>
          <w:tcPr>
            <w:tcW w:w="0" w:type="auto"/>
            <w:vAlign w:val="center"/>
            <w:hideMark/>
          </w:tcPr>
          <w:p w14:paraId="72AC118D" w14:textId="77777777" w:rsidR="00000000" w:rsidRDefault="00A173A8">
            <w:pPr>
              <w:spacing w:after="100"/>
              <w:rPr>
                <w:rFonts w:eastAsia="Times New Roman"/>
                <w:sz w:val="20"/>
                <w:szCs w:val="20"/>
              </w:rPr>
            </w:pPr>
          </w:p>
        </w:tc>
      </w:tr>
      <w:tr w:rsidR="00000000" w14:paraId="5CD576C6" w14:textId="77777777">
        <w:trPr>
          <w:divId w:val="883908867"/>
        </w:trPr>
        <w:tc>
          <w:tcPr>
            <w:tcW w:w="0" w:type="auto"/>
            <w:gridSpan w:val="3"/>
            <w:tcBorders>
              <w:bottom w:val="single" w:sz="8" w:space="0" w:color="000000"/>
            </w:tcBorders>
            <w:tcMar>
              <w:top w:w="30" w:type="dxa"/>
              <w:left w:w="20" w:type="dxa"/>
              <w:bottom w:w="30" w:type="dxa"/>
              <w:right w:w="20" w:type="dxa"/>
            </w:tcMar>
            <w:vAlign w:val="bottom"/>
            <w:hideMark/>
          </w:tcPr>
          <w:p w14:paraId="48FB32BD"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7D6645C"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D50640"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555D7D2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96E19C"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7D5A107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366333" w14:textId="77777777" w:rsidR="00000000" w:rsidRDefault="00A173A8">
            <w:pPr>
              <w:spacing w:after="100"/>
              <w:jc w:val="center"/>
              <w:rPr>
                <w:rFonts w:eastAsia="Times New Roman"/>
              </w:rPr>
            </w:pPr>
            <w:r>
              <w:rPr>
                <w:rFonts w:eastAsia="Times New Roman"/>
                <w:b/>
                <w:bCs/>
                <w:color w:val="000000"/>
                <w:sz w:val="16"/>
                <w:szCs w:val="16"/>
              </w:rPr>
              <w:t>Commercial Banking</w:t>
            </w:r>
          </w:p>
        </w:tc>
        <w:tc>
          <w:tcPr>
            <w:tcW w:w="0" w:type="auto"/>
            <w:gridSpan w:val="3"/>
            <w:tcBorders>
              <w:top w:val="single" w:sz="8" w:space="0" w:color="000000"/>
            </w:tcBorders>
            <w:tcMar>
              <w:top w:w="0" w:type="dxa"/>
              <w:left w:w="20" w:type="dxa"/>
              <w:bottom w:w="0" w:type="dxa"/>
              <w:right w:w="20" w:type="dxa"/>
            </w:tcMar>
            <w:vAlign w:val="center"/>
            <w:hideMark/>
          </w:tcPr>
          <w:p w14:paraId="58885765" w14:textId="77777777" w:rsidR="00000000" w:rsidRDefault="00A173A8">
            <w:pPr>
              <w:spacing w:after="100"/>
              <w:jc w:val="center"/>
              <w:rPr>
                <w:rFonts w:eastAsia="Times New Roman"/>
              </w:rPr>
            </w:pPr>
          </w:p>
        </w:tc>
        <w:tc>
          <w:tcPr>
            <w:tcW w:w="0" w:type="auto"/>
            <w:vAlign w:val="center"/>
            <w:hideMark/>
          </w:tcPr>
          <w:p w14:paraId="018D9C8F" w14:textId="77777777" w:rsidR="00000000" w:rsidRDefault="00A173A8">
            <w:pPr>
              <w:spacing w:after="100"/>
              <w:rPr>
                <w:rFonts w:eastAsia="Times New Roman"/>
                <w:sz w:val="20"/>
                <w:szCs w:val="20"/>
              </w:rPr>
            </w:pPr>
          </w:p>
        </w:tc>
        <w:tc>
          <w:tcPr>
            <w:tcW w:w="0" w:type="auto"/>
            <w:gridSpan w:val="3"/>
            <w:vAlign w:val="center"/>
            <w:hideMark/>
          </w:tcPr>
          <w:p w14:paraId="30BBBC6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D381DA1"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23C857E7" w14:textId="77777777">
        <w:trPr>
          <w:divId w:val="883908867"/>
        </w:trPr>
        <w:tc>
          <w:tcPr>
            <w:tcW w:w="0" w:type="auto"/>
            <w:gridSpan w:val="3"/>
            <w:shd w:val="clear" w:color="auto" w:fill="FFFFFF"/>
            <w:tcMar>
              <w:top w:w="30" w:type="dxa"/>
              <w:left w:w="20" w:type="dxa"/>
              <w:bottom w:w="30" w:type="dxa"/>
              <w:right w:w="20" w:type="dxa"/>
            </w:tcMar>
            <w:vAlign w:val="center"/>
            <w:hideMark/>
          </w:tcPr>
          <w:p w14:paraId="043A84DB" w14:textId="77777777" w:rsidR="00000000" w:rsidRDefault="00A173A8">
            <w:pPr>
              <w:spacing w:after="100"/>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14:paraId="5407652D"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C1623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E19CE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4D9B0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41CD4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6C5C2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174132" w14:textId="77777777" w:rsidR="00000000" w:rsidRDefault="00A173A8">
            <w:pPr>
              <w:spacing w:after="100"/>
              <w:rPr>
                <w:rFonts w:eastAsia="Times New Roman"/>
                <w:sz w:val="20"/>
                <w:szCs w:val="20"/>
              </w:rPr>
            </w:pPr>
          </w:p>
        </w:tc>
        <w:tc>
          <w:tcPr>
            <w:tcW w:w="0" w:type="auto"/>
            <w:vAlign w:val="center"/>
            <w:hideMark/>
          </w:tcPr>
          <w:p w14:paraId="4F2CE185" w14:textId="77777777" w:rsidR="00000000" w:rsidRDefault="00A173A8">
            <w:pPr>
              <w:spacing w:after="100"/>
              <w:rPr>
                <w:rFonts w:eastAsia="Times New Roman"/>
                <w:sz w:val="20"/>
                <w:szCs w:val="20"/>
              </w:rPr>
            </w:pPr>
          </w:p>
        </w:tc>
        <w:tc>
          <w:tcPr>
            <w:tcW w:w="0" w:type="auto"/>
            <w:gridSpan w:val="3"/>
            <w:vAlign w:val="center"/>
            <w:hideMark/>
          </w:tcPr>
          <w:p w14:paraId="07D49AA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3E1C17" w14:textId="77777777" w:rsidR="00000000" w:rsidRDefault="00A173A8">
            <w:pPr>
              <w:spacing w:after="100"/>
              <w:rPr>
                <w:rFonts w:eastAsia="Times New Roman"/>
                <w:sz w:val="20"/>
                <w:szCs w:val="20"/>
              </w:rPr>
            </w:pPr>
          </w:p>
        </w:tc>
      </w:tr>
      <w:tr w:rsidR="00000000" w14:paraId="2C51B5A8" w14:textId="77777777">
        <w:trPr>
          <w:divId w:val="883908867"/>
        </w:trPr>
        <w:tc>
          <w:tcPr>
            <w:tcW w:w="0" w:type="auto"/>
            <w:gridSpan w:val="3"/>
            <w:shd w:val="clear" w:color="auto" w:fill="CCEEFF"/>
            <w:tcMar>
              <w:top w:w="30" w:type="dxa"/>
              <w:left w:w="20" w:type="dxa"/>
              <w:bottom w:w="30" w:type="dxa"/>
              <w:right w:w="20" w:type="dxa"/>
            </w:tcMar>
            <w:vAlign w:val="center"/>
            <w:hideMark/>
          </w:tcPr>
          <w:p w14:paraId="57E0FF94" w14:textId="77777777" w:rsidR="00000000" w:rsidRDefault="00A173A8">
            <w:pPr>
              <w:spacing w:after="100"/>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14:paraId="6DB9A64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62C157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440F1E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D7CD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FC28D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4B791E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66186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C3D395" w14:textId="77777777" w:rsidR="00000000" w:rsidRDefault="00A173A8">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14:paraId="2798C7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F6240" w14:textId="77777777" w:rsidR="00000000" w:rsidRDefault="00A173A8">
            <w:pPr>
              <w:spacing w:after="100"/>
              <w:jc w:val="right"/>
              <w:rPr>
                <w:rFonts w:eastAsia="Times New Roman"/>
                <w:sz w:val="20"/>
                <w:szCs w:val="20"/>
              </w:rPr>
            </w:pPr>
          </w:p>
        </w:tc>
        <w:tc>
          <w:tcPr>
            <w:tcW w:w="0" w:type="auto"/>
            <w:vAlign w:val="center"/>
            <w:hideMark/>
          </w:tcPr>
          <w:p w14:paraId="53D90744" w14:textId="77777777" w:rsidR="00000000" w:rsidRDefault="00A173A8">
            <w:pPr>
              <w:spacing w:after="100"/>
              <w:rPr>
                <w:rFonts w:eastAsia="Times New Roman"/>
                <w:sz w:val="20"/>
                <w:szCs w:val="20"/>
              </w:rPr>
            </w:pPr>
          </w:p>
        </w:tc>
        <w:tc>
          <w:tcPr>
            <w:tcW w:w="0" w:type="auto"/>
            <w:gridSpan w:val="3"/>
            <w:vAlign w:val="center"/>
            <w:hideMark/>
          </w:tcPr>
          <w:p w14:paraId="47F8A99F"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9902483" w14:textId="77777777" w:rsidR="00000000" w:rsidRDefault="00A173A8">
            <w:pPr>
              <w:spacing w:after="100"/>
              <w:jc w:val="right"/>
              <w:rPr>
                <w:rFonts w:eastAsia="Times New Roman"/>
              </w:rPr>
            </w:pPr>
            <w:r>
              <w:rPr>
                <w:rFonts w:eastAsia="Times New Roman"/>
                <w:color w:val="000000"/>
                <w:sz w:val="18"/>
                <w:szCs w:val="18"/>
              </w:rPr>
              <w:t>195 </w:t>
            </w:r>
          </w:p>
        </w:tc>
        <w:tc>
          <w:tcPr>
            <w:tcW w:w="0" w:type="auto"/>
            <w:shd w:val="clear" w:color="auto" w:fill="CCEEFF"/>
            <w:tcMar>
              <w:top w:w="30" w:type="dxa"/>
              <w:left w:w="0" w:type="dxa"/>
              <w:bottom w:w="30" w:type="dxa"/>
              <w:right w:w="20" w:type="dxa"/>
            </w:tcMar>
            <w:vAlign w:val="center"/>
            <w:hideMark/>
          </w:tcPr>
          <w:p w14:paraId="19D570B6" w14:textId="77777777" w:rsidR="00000000" w:rsidRDefault="00A173A8">
            <w:pPr>
              <w:spacing w:after="100"/>
              <w:jc w:val="right"/>
              <w:rPr>
                <w:rFonts w:eastAsia="Times New Roman"/>
              </w:rPr>
            </w:pPr>
          </w:p>
        </w:tc>
      </w:tr>
      <w:tr w:rsidR="00000000" w14:paraId="73F2F21F" w14:textId="77777777">
        <w:trPr>
          <w:divId w:val="883908867"/>
        </w:trPr>
        <w:tc>
          <w:tcPr>
            <w:tcW w:w="0" w:type="auto"/>
            <w:gridSpan w:val="3"/>
            <w:shd w:val="clear" w:color="auto" w:fill="FFFFFF"/>
            <w:tcMar>
              <w:top w:w="30" w:type="dxa"/>
              <w:left w:w="20" w:type="dxa"/>
              <w:bottom w:w="30" w:type="dxa"/>
              <w:right w:w="20" w:type="dxa"/>
            </w:tcMar>
            <w:vAlign w:val="center"/>
            <w:hideMark/>
          </w:tcPr>
          <w:p w14:paraId="55B2C911" w14:textId="77777777" w:rsidR="00000000" w:rsidRDefault="00A173A8">
            <w:pPr>
              <w:spacing w:after="100"/>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14:paraId="46D8859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B8ABC3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4635E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1AAA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9CF0F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8D4BF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C3328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76DC4F" w14:textId="77777777" w:rsidR="00000000" w:rsidRDefault="00A173A8">
            <w:pPr>
              <w:spacing w:after="100"/>
              <w:jc w:val="right"/>
              <w:rPr>
                <w:rFonts w:eastAsia="Times New Roman"/>
              </w:rPr>
            </w:pPr>
            <w:r>
              <w:rPr>
                <w:rFonts w:eastAsia="Times New Roman"/>
                <w:color w:val="000000"/>
                <w:sz w:val="18"/>
                <w:szCs w:val="18"/>
              </w:rPr>
              <w:t>(31)</w:t>
            </w:r>
          </w:p>
        </w:tc>
        <w:tc>
          <w:tcPr>
            <w:tcW w:w="0" w:type="auto"/>
            <w:shd w:val="clear" w:color="auto" w:fill="FFFFFF"/>
            <w:tcMar>
              <w:top w:w="30" w:type="dxa"/>
              <w:left w:w="0" w:type="dxa"/>
              <w:bottom w:w="30" w:type="dxa"/>
              <w:right w:w="20" w:type="dxa"/>
            </w:tcMar>
            <w:vAlign w:val="center"/>
            <w:hideMark/>
          </w:tcPr>
          <w:p w14:paraId="7DEE860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99D29A" w14:textId="77777777" w:rsidR="00000000" w:rsidRDefault="00A173A8">
            <w:pPr>
              <w:spacing w:after="100"/>
              <w:jc w:val="right"/>
              <w:rPr>
                <w:rFonts w:eastAsia="Times New Roman"/>
                <w:sz w:val="20"/>
                <w:szCs w:val="20"/>
              </w:rPr>
            </w:pPr>
          </w:p>
        </w:tc>
        <w:tc>
          <w:tcPr>
            <w:tcW w:w="0" w:type="auto"/>
            <w:vAlign w:val="center"/>
            <w:hideMark/>
          </w:tcPr>
          <w:p w14:paraId="2231402E" w14:textId="77777777" w:rsidR="00000000" w:rsidRDefault="00A173A8">
            <w:pPr>
              <w:spacing w:after="100"/>
              <w:rPr>
                <w:rFonts w:eastAsia="Times New Roman"/>
                <w:sz w:val="20"/>
                <w:szCs w:val="20"/>
              </w:rPr>
            </w:pPr>
          </w:p>
        </w:tc>
        <w:tc>
          <w:tcPr>
            <w:tcW w:w="0" w:type="auto"/>
            <w:gridSpan w:val="3"/>
            <w:vAlign w:val="center"/>
            <w:hideMark/>
          </w:tcPr>
          <w:p w14:paraId="5677DD35"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6E1272" w14:textId="77777777" w:rsidR="00000000" w:rsidRDefault="00A173A8">
            <w:pPr>
              <w:spacing w:after="100"/>
              <w:jc w:val="right"/>
              <w:rPr>
                <w:rFonts w:eastAsia="Times New Roman"/>
              </w:rPr>
            </w:pPr>
            <w:r>
              <w:rPr>
                <w:rFonts w:eastAsia="Times New Roman"/>
                <w:color w:val="000000"/>
                <w:sz w:val="18"/>
                <w:szCs w:val="18"/>
              </w:rPr>
              <w:t>(31)</w:t>
            </w:r>
          </w:p>
        </w:tc>
        <w:tc>
          <w:tcPr>
            <w:tcW w:w="0" w:type="auto"/>
            <w:shd w:val="clear" w:color="auto" w:fill="FFFFFF"/>
            <w:tcMar>
              <w:top w:w="30" w:type="dxa"/>
              <w:left w:w="0" w:type="dxa"/>
              <w:bottom w:w="30" w:type="dxa"/>
              <w:right w:w="20" w:type="dxa"/>
            </w:tcMar>
            <w:vAlign w:val="center"/>
            <w:hideMark/>
          </w:tcPr>
          <w:p w14:paraId="4CC6713C" w14:textId="77777777" w:rsidR="00000000" w:rsidRDefault="00A173A8">
            <w:pPr>
              <w:spacing w:after="100"/>
              <w:jc w:val="right"/>
              <w:rPr>
                <w:rFonts w:eastAsia="Times New Roman"/>
              </w:rPr>
            </w:pPr>
          </w:p>
        </w:tc>
      </w:tr>
      <w:tr w:rsidR="00000000" w14:paraId="06D0B73D" w14:textId="77777777">
        <w:trPr>
          <w:divId w:val="883908867"/>
        </w:trPr>
        <w:tc>
          <w:tcPr>
            <w:tcW w:w="0" w:type="auto"/>
            <w:gridSpan w:val="3"/>
            <w:shd w:val="clear" w:color="auto" w:fill="CCEEFF"/>
            <w:tcMar>
              <w:top w:w="30" w:type="dxa"/>
              <w:left w:w="20" w:type="dxa"/>
              <w:bottom w:w="30" w:type="dxa"/>
              <w:right w:w="20" w:type="dxa"/>
            </w:tcMar>
            <w:vAlign w:val="center"/>
            <w:hideMark/>
          </w:tcPr>
          <w:p w14:paraId="4A3F7B9C" w14:textId="77777777" w:rsidR="00000000" w:rsidRDefault="00A173A8">
            <w:pPr>
              <w:spacing w:after="100"/>
              <w:rPr>
                <w:rFonts w:eastAsia="Times New Roman"/>
              </w:rPr>
            </w:pPr>
            <w:r>
              <w:rPr>
                <w:rFonts w:eastAsia="Times New Roman"/>
                <w:color w:val="000000"/>
                <w:sz w:val="18"/>
                <w:szCs w:val="18"/>
              </w:rPr>
              <w:t>Balance as of June 30, 2021</w:t>
            </w:r>
          </w:p>
        </w:tc>
        <w:tc>
          <w:tcPr>
            <w:tcW w:w="0" w:type="auto"/>
            <w:gridSpan w:val="3"/>
            <w:shd w:val="clear" w:color="auto" w:fill="CCEEFF"/>
            <w:tcMar>
              <w:top w:w="0" w:type="dxa"/>
              <w:left w:w="20" w:type="dxa"/>
              <w:bottom w:w="0" w:type="dxa"/>
              <w:right w:w="20" w:type="dxa"/>
            </w:tcMar>
            <w:vAlign w:val="center"/>
            <w:hideMark/>
          </w:tcPr>
          <w:p w14:paraId="0075DC54"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922F06"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722CEF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B0AE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E8F62EB"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D2A1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7819E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E85974A" w14:textId="77777777" w:rsidR="00000000" w:rsidRDefault="00A173A8">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09E7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F3963" w14:textId="77777777" w:rsidR="00000000" w:rsidRDefault="00A173A8">
            <w:pPr>
              <w:spacing w:after="100"/>
              <w:jc w:val="right"/>
              <w:rPr>
                <w:rFonts w:eastAsia="Times New Roman"/>
                <w:sz w:val="20"/>
                <w:szCs w:val="20"/>
              </w:rPr>
            </w:pPr>
          </w:p>
        </w:tc>
        <w:tc>
          <w:tcPr>
            <w:tcW w:w="0" w:type="auto"/>
            <w:vAlign w:val="center"/>
            <w:hideMark/>
          </w:tcPr>
          <w:p w14:paraId="34193321" w14:textId="77777777" w:rsidR="00000000" w:rsidRDefault="00A173A8">
            <w:pPr>
              <w:spacing w:after="100"/>
              <w:rPr>
                <w:rFonts w:eastAsia="Times New Roman"/>
                <w:sz w:val="20"/>
                <w:szCs w:val="20"/>
              </w:rPr>
            </w:pPr>
          </w:p>
        </w:tc>
        <w:tc>
          <w:tcPr>
            <w:tcW w:w="0" w:type="auto"/>
            <w:gridSpan w:val="3"/>
            <w:vAlign w:val="center"/>
            <w:hideMark/>
          </w:tcPr>
          <w:p w14:paraId="45CB3A40"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0868B1C" w14:textId="77777777" w:rsidR="00000000" w:rsidRDefault="00A173A8">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936D30" w14:textId="77777777" w:rsidR="00000000" w:rsidRDefault="00A173A8">
            <w:pPr>
              <w:spacing w:after="100"/>
              <w:jc w:val="right"/>
              <w:rPr>
                <w:rFonts w:eastAsia="Times New Roman"/>
              </w:rPr>
            </w:pPr>
          </w:p>
        </w:tc>
      </w:tr>
      <w:tr w:rsidR="00000000" w14:paraId="5E370A6E" w14:textId="77777777">
        <w:trPr>
          <w:divId w:val="883908867"/>
        </w:trPr>
        <w:tc>
          <w:tcPr>
            <w:tcW w:w="0" w:type="auto"/>
            <w:gridSpan w:val="3"/>
            <w:shd w:val="clear" w:color="auto" w:fill="FFFFFF"/>
            <w:tcMar>
              <w:top w:w="30" w:type="dxa"/>
              <w:left w:w="20" w:type="dxa"/>
              <w:bottom w:w="30" w:type="dxa"/>
              <w:right w:w="20" w:type="dxa"/>
            </w:tcMar>
            <w:vAlign w:val="center"/>
            <w:hideMark/>
          </w:tcPr>
          <w:p w14:paraId="101248C0" w14:textId="77777777" w:rsidR="00000000" w:rsidRDefault="00A173A8">
            <w:pPr>
              <w:spacing w:after="100"/>
              <w:rPr>
                <w:rFonts w:eastAsia="Times New Roman"/>
              </w:rPr>
            </w:pPr>
            <w:r>
              <w:rPr>
                <w:rFonts w:eastAsia="Times New Roman"/>
                <w:b/>
                <w:bCs/>
                <w:color w:val="000000"/>
                <w:sz w:val="18"/>
                <w:szCs w:val="18"/>
              </w:rPr>
              <w:t>Combined allowance and reserve as of June 30, 2021</w:t>
            </w:r>
          </w:p>
        </w:tc>
        <w:tc>
          <w:tcPr>
            <w:tcW w:w="0" w:type="auto"/>
            <w:gridSpan w:val="3"/>
            <w:shd w:val="clear" w:color="auto" w:fill="FFFFFF"/>
            <w:tcMar>
              <w:top w:w="0" w:type="dxa"/>
              <w:left w:w="20" w:type="dxa"/>
              <w:bottom w:w="0" w:type="dxa"/>
              <w:right w:w="20" w:type="dxa"/>
            </w:tcMar>
            <w:vAlign w:val="center"/>
            <w:hideMark/>
          </w:tcPr>
          <w:p w14:paraId="287D99F6"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5882C4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17D606" w14:textId="77777777" w:rsidR="00000000" w:rsidRDefault="00A173A8">
            <w:pPr>
              <w:spacing w:after="100"/>
              <w:jc w:val="right"/>
              <w:rPr>
                <w:rFonts w:eastAsia="Times New Roman"/>
              </w:rPr>
            </w:pPr>
            <w:r>
              <w:rPr>
                <w:rFonts w:eastAsia="Times New Roman"/>
                <w:color w:val="000000"/>
                <w:sz w:val="18"/>
                <w:szCs w:val="18"/>
              </w:rPr>
              <w:t>8,873 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17A4E1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11AA4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CBD75C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B5C1801" w14:textId="77777777" w:rsidR="00000000" w:rsidRDefault="00A173A8">
            <w:pPr>
              <w:spacing w:after="100"/>
              <w:jc w:val="right"/>
              <w:rPr>
                <w:rFonts w:eastAsia="Times New Roman"/>
              </w:rPr>
            </w:pPr>
            <w:r>
              <w:rPr>
                <w:rFonts w:eastAsia="Times New Roman"/>
                <w:color w:val="000000"/>
                <w:sz w:val="18"/>
                <w:szCs w:val="18"/>
              </w:rPr>
              <w:t>2,203 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711A7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6514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978BDF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81CE79B" w14:textId="77777777" w:rsidR="00000000" w:rsidRDefault="00A173A8">
            <w:pPr>
              <w:spacing w:after="100"/>
              <w:jc w:val="right"/>
              <w:rPr>
                <w:rFonts w:eastAsia="Times New Roman"/>
              </w:rPr>
            </w:pPr>
            <w:r>
              <w:rPr>
                <w:rFonts w:eastAsia="Times New Roman"/>
                <w:color w:val="000000"/>
                <w:sz w:val="18"/>
                <w:szCs w:val="18"/>
              </w:rPr>
              <w:t>1,434 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7EDD9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B3A7EA" w14:textId="77777777" w:rsidR="00000000" w:rsidRDefault="00A173A8">
            <w:pPr>
              <w:spacing w:after="100"/>
              <w:jc w:val="right"/>
              <w:rPr>
                <w:rFonts w:eastAsia="Times New Roman"/>
                <w:sz w:val="20"/>
                <w:szCs w:val="20"/>
              </w:rPr>
            </w:pPr>
          </w:p>
        </w:tc>
        <w:tc>
          <w:tcPr>
            <w:tcW w:w="0" w:type="auto"/>
            <w:vAlign w:val="center"/>
            <w:hideMark/>
          </w:tcPr>
          <w:p w14:paraId="093DA30A" w14:textId="77777777" w:rsidR="00000000" w:rsidRDefault="00A173A8">
            <w:pPr>
              <w:spacing w:after="100"/>
              <w:rPr>
                <w:rFonts w:eastAsia="Times New Roman"/>
                <w:sz w:val="20"/>
                <w:szCs w:val="20"/>
              </w:rPr>
            </w:pPr>
          </w:p>
        </w:tc>
        <w:tc>
          <w:tcPr>
            <w:tcW w:w="0" w:type="auto"/>
            <w:gridSpan w:val="3"/>
            <w:vAlign w:val="center"/>
            <w:hideMark/>
          </w:tcPr>
          <w:p w14:paraId="1CA460BF" w14:textId="77777777" w:rsidR="00000000" w:rsidRDefault="00A173A8">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920360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3C4D487" w14:textId="77777777" w:rsidR="00000000" w:rsidRDefault="00A173A8">
            <w:pPr>
              <w:spacing w:after="100"/>
              <w:jc w:val="right"/>
              <w:rPr>
                <w:rFonts w:eastAsia="Times New Roman"/>
              </w:rPr>
            </w:pPr>
            <w:r>
              <w:rPr>
                <w:rFonts w:eastAsia="Times New Roman"/>
                <w:color w:val="000000"/>
                <w:sz w:val="18"/>
                <w:szCs w:val="18"/>
              </w:rPr>
              <w:t>12,510 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11A04CE" w14:textId="77777777" w:rsidR="00000000" w:rsidRDefault="00A173A8">
            <w:pPr>
              <w:spacing w:after="100"/>
              <w:jc w:val="right"/>
              <w:rPr>
                <w:rFonts w:eastAsia="Times New Roman"/>
              </w:rPr>
            </w:pPr>
          </w:p>
        </w:tc>
      </w:tr>
      <w:tr w:rsidR="00000000" w14:paraId="3DE6EF27" w14:textId="77777777">
        <w:trPr>
          <w:divId w:val="883908867"/>
        </w:trPr>
        <w:tc>
          <w:tcPr>
            <w:tcW w:w="0" w:type="auto"/>
            <w:gridSpan w:val="3"/>
            <w:vAlign w:val="center"/>
            <w:hideMark/>
          </w:tcPr>
          <w:p w14:paraId="009815A0" w14:textId="77777777" w:rsidR="00000000" w:rsidRDefault="00A173A8">
            <w:pPr>
              <w:spacing w:after="100"/>
              <w:jc w:val="right"/>
              <w:rPr>
                <w:rFonts w:eastAsia="Times New Roman"/>
                <w:sz w:val="20"/>
                <w:szCs w:val="20"/>
              </w:rPr>
            </w:pPr>
          </w:p>
        </w:tc>
        <w:tc>
          <w:tcPr>
            <w:tcW w:w="0" w:type="auto"/>
            <w:gridSpan w:val="3"/>
            <w:vAlign w:val="center"/>
            <w:hideMark/>
          </w:tcPr>
          <w:p w14:paraId="65825D23" w14:textId="77777777" w:rsidR="00000000" w:rsidRDefault="00A173A8">
            <w:pPr>
              <w:spacing w:after="100"/>
              <w:rPr>
                <w:rFonts w:eastAsia="Times New Roman"/>
                <w:sz w:val="20"/>
                <w:szCs w:val="20"/>
              </w:rPr>
            </w:pPr>
          </w:p>
        </w:tc>
        <w:tc>
          <w:tcPr>
            <w:tcW w:w="0" w:type="auto"/>
            <w:gridSpan w:val="3"/>
            <w:vAlign w:val="center"/>
            <w:hideMark/>
          </w:tcPr>
          <w:p w14:paraId="553BE287" w14:textId="77777777" w:rsidR="00000000" w:rsidRDefault="00A173A8">
            <w:pPr>
              <w:spacing w:after="100"/>
              <w:rPr>
                <w:rFonts w:eastAsia="Times New Roman"/>
                <w:sz w:val="20"/>
                <w:szCs w:val="20"/>
              </w:rPr>
            </w:pPr>
          </w:p>
        </w:tc>
        <w:tc>
          <w:tcPr>
            <w:tcW w:w="0" w:type="auto"/>
            <w:gridSpan w:val="3"/>
            <w:vAlign w:val="center"/>
            <w:hideMark/>
          </w:tcPr>
          <w:p w14:paraId="756E400A" w14:textId="77777777" w:rsidR="00000000" w:rsidRDefault="00A173A8">
            <w:pPr>
              <w:spacing w:after="100"/>
              <w:rPr>
                <w:rFonts w:eastAsia="Times New Roman"/>
                <w:sz w:val="20"/>
                <w:szCs w:val="20"/>
              </w:rPr>
            </w:pPr>
          </w:p>
        </w:tc>
        <w:tc>
          <w:tcPr>
            <w:tcW w:w="0" w:type="auto"/>
            <w:gridSpan w:val="3"/>
            <w:vAlign w:val="center"/>
            <w:hideMark/>
          </w:tcPr>
          <w:p w14:paraId="219BA829" w14:textId="77777777" w:rsidR="00000000" w:rsidRDefault="00A173A8">
            <w:pPr>
              <w:spacing w:after="100"/>
              <w:rPr>
                <w:rFonts w:eastAsia="Times New Roman"/>
                <w:sz w:val="20"/>
                <w:szCs w:val="20"/>
              </w:rPr>
            </w:pPr>
          </w:p>
        </w:tc>
        <w:tc>
          <w:tcPr>
            <w:tcW w:w="0" w:type="auto"/>
            <w:gridSpan w:val="3"/>
            <w:vAlign w:val="center"/>
            <w:hideMark/>
          </w:tcPr>
          <w:p w14:paraId="6B8EEF5B" w14:textId="77777777" w:rsidR="00000000" w:rsidRDefault="00A173A8">
            <w:pPr>
              <w:spacing w:after="100"/>
              <w:rPr>
                <w:rFonts w:eastAsia="Times New Roman"/>
                <w:sz w:val="20"/>
                <w:szCs w:val="20"/>
              </w:rPr>
            </w:pPr>
          </w:p>
        </w:tc>
        <w:tc>
          <w:tcPr>
            <w:tcW w:w="0" w:type="auto"/>
            <w:gridSpan w:val="3"/>
            <w:vAlign w:val="center"/>
            <w:hideMark/>
          </w:tcPr>
          <w:p w14:paraId="65815451" w14:textId="77777777" w:rsidR="00000000" w:rsidRDefault="00A173A8">
            <w:pPr>
              <w:spacing w:after="100"/>
              <w:rPr>
                <w:rFonts w:eastAsia="Times New Roman"/>
                <w:sz w:val="20"/>
                <w:szCs w:val="20"/>
              </w:rPr>
            </w:pPr>
          </w:p>
        </w:tc>
        <w:tc>
          <w:tcPr>
            <w:tcW w:w="0" w:type="auto"/>
            <w:gridSpan w:val="3"/>
            <w:vAlign w:val="center"/>
            <w:hideMark/>
          </w:tcPr>
          <w:p w14:paraId="2D8C94BF" w14:textId="77777777" w:rsidR="00000000" w:rsidRDefault="00A173A8">
            <w:pPr>
              <w:spacing w:after="100"/>
              <w:rPr>
                <w:rFonts w:eastAsia="Times New Roman"/>
                <w:sz w:val="20"/>
                <w:szCs w:val="20"/>
              </w:rPr>
            </w:pPr>
          </w:p>
        </w:tc>
        <w:tc>
          <w:tcPr>
            <w:tcW w:w="0" w:type="auto"/>
            <w:vAlign w:val="center"/>
            <w:hideMark/>
          </w:tcPr>
          <w:p w14:paraId="05333DC1" w14:textId="77777777" w:rsidR="00000000" w:rsidRDefault="00A173A8">
            <w:pPr>
              <w:spacing w:after="100"/>
              <w:rPr>
                <w:rFonts w:eastAsia="Times New Roman"/>
                <w:sz w:val="20"/>
                <w:szCs w:val="20"/>
              </w:rPr>
            </w:pPr>
          </w:p>
        </w:tc>
        <w:tc>
          <w:tcPr>
            <w:tcW w:w="0" w:type="auto"/>
            <w:gridSpan w:val="3"/>
            <w:vAlign w:val="center"/>
            <w:hideMark/>
          </w:tcPr>
          <w:p w14:paraId="19D4CAD7" w14:textId="77777777" w:rsidR="00000000" w:rsidRDefault="00A173A8">
            <w:pPr>
              <w:spacing w:after="100"/>
              <w:rPr>
                <w:rFonts w:eastAsia="Times New Roman"/>
                <w:sz w:val="20"/>
                <w:szCs w:val="20"/>
              </w:rPr>
            </w:pPr>
          </w:p>
        </w:tc>
        <w:tc>
          <w:tcPr>
            <w:tcW w:w="0" w:type="auto"/>
            <w:gridSpan w:val="3"/>
            <w:vAlign w:val="center"/>
            <w:hideMark/>
          </w:tcPr>
          <w:p w14:paraId="137656A7" w14:textId="77777777" w:rsidR="00000000" w:rsidRDefault="00A173A8">
            <w:pPr>
              <w:spacing w:after="100"/>
              <w:rPr>
                <w:rFonts w:eastAsia="Times New Roman"/>
                <w:sz w:val="20"/>
                <w:szCs w:val="20"/>
              </w:rPr>
            </w:pPr>
          </w:p>
        </w:tc>
      </w:tr>
      <w:tr w:rsidR="00000000" w14:paraId="16823C0E" w14:textId="77777777">
        <w:trPr>
          <w:divId w:val="883908867"/>
        </w:trPr>
        <w:tc>
          <w:tcPr>
            <w:tcW w:w="0" w:type="auto"/>
            <w:gridSpan w:val="3"/>
            <w:vAlign w:val="center"/>
            <w:hideMark/>
          </w:tcPr>
          <w:p w14:paraId="5F7184A1" w14:textId="77777777" w:rsidR="00000000" w:rsidRDefault="00A173A8">
            <w:pPr>
              <w:spacing w:after="100"/>
              <w:rPr>
                <w:rFonts w:eastAsia="Times New Roman"/>
                <w:sz w:val="20"/>
                <w:szCs w:val="20"/>
              </w:rPr>
            </w:pPr>
          </w:p>
        </w:tc>
        <w:tc>
          <w:tcPr>
            <w:tcW w:w="0" w:type="auto"/>
            <w:gridSpan w:val="3"/>
            <w:vAlign w:val="center"/>
            <w:hideMark/>
          </w:tcPr>
          <w:p w14:paraId="20FA100C" w14:textId="77777777" w:rsidR="00000000" w:rsidRDefault="00A173A8">
            <w:pPr>
              <w:spacing w:after="100"/>
              <w:rPr>
                <w:rFonts w:eastAsia="Times New Roman"/>
                <w:sz w:val="20"/>
                <w:szCs w:val="20"/>
              </w:rPr>
            </w:pPr>
          </w:p>
        </w:tc>
        <w:tc>
          <w:tcPr>
            <w:tcW w:w="0" w:type="auto"/>
            <w:gridSpan w:val="3"/>
            <w:vAlign w:val="center"/>
            <w:hideMark/>
          </w:tcPr>
          <w:p w14:paraId="344663FE" w14:textId="77777777" w:rsidR="00000000" w:rsidRDefault="00A173A8">
            <w:pPr>
              <w:spacing w:after="100"/>
              <w:rPr>
                <w:rFonts w:eastAsia="Times New Roman"/>
                <w:sz w:val="20"/>
                <w:szCs w:val="20"/>
              </w:rPr>
            </w:pPr>
          </w:p>
        </w:tc>
        <w:tc>
          <w:tcPr>
            <w:tcW w:w="0" w:type="auto"/>
            <w:gridSpan w:val="3"/>
            <w:vAlign w:val="center"/>
            <w:hideMark/>
          </w:tcPr>
          <w:p w14:paraId="0B76D3A1" w14:textId="77777777" w:rsidR="00000000" w:rsidRDefault="00A173A8">
            <w:pPr>
              <w:spacing w:after="100"/>
              <w:rPr>
                <w:rFonts w:eastAsia="Times New Roman"/>
                <w:sz w:val="20"/>
                <w:szCs w:val="20"/>
              </w:rPr>
            </w:pPr>
          </w:p>
        </w:tc>
        <w:tc>
          <w:tcPr>
            <w:tcW w:w="0" w:type="auto"/>
            <w:gridSpan w:val="3"/>
            <w:vAlign w:val="center"/>
            <w:hideMark/>
          </w:tcPr>
          <w:p w14:paraId="68A17E7C" w14:textId="77777777" w:rsidR="00000000" w:rsidRDefault="00A173A8">
            <w:pPr>
              <w:spacing w:after="100"/>
              <w:rPr>
                <w:rFonts w:eastAsia="Times New Roman"/>
                <w:sz w:val="20"/>
                <w:szCs w:val="20"/>
              </w:rPr>
            </w:pPr>
          </w:p>
        </w:tc>
        <w:tc>
          <w:tcPr>
            <w:tcW w:w="0" w:type="auto"/>
            <w:gridSpan w:val="3"/>
            <w:vAlign w:val="center"/>
            <w:hideMark/>
          </w:tcPr>
          <w:p w14:paraId="167E4154" w14:textId="77777777" w:rsidR="00000000" w:rsidRDefault="00A173A8">
            <w:pPr>
              <w:spacing w:after="100"/>
              <w:rPr>
                <w:rFonts w:eastAsia="Times New Roman"/>
                <w:sz w:val="20"/>
                <w:szCs w:val="20"/>
              </w:rPr>
            </w:pPr>
          </w:p>
        </w:tc>
        <w:tc>
          <w:tcPr>
            <w:tcW w:w="0" w:type="auto"/>
            <w:gridSpan w:val="3"/>
            <w:vAlign w:val="center"/>
            <w:hideMark/>
          </w:tcPr>
          <w:p w14:paraId="049CE4AC" w14:textId="77777777" w:rsidR="00000000" w:rsidRDefault="00A173A8">
            <w:pPr>
              <w:spacing w:after="100"/>
              <w:rPr>
                <w:rFonts w:eastAsia="Times New Roman"/>
                <w:sz w:val="20"/>
                <w:szCs w:val="20"/>
              </w:rPr>
            </w:pPr>
          </w:p>
        </w:tc>
        <w:tc>
          <w:tcPr>
            <w:tcW w:w="0" w:type="auto"/>
            <w:gridSpan w:val="3"/>
            <w:vAlign w:val="center"/>
            <w:hideMark/>
          </w:tcPr>
          <w:p w14:paraId="11FD53F5" w14:textId="77777777" w:rsidR="00000000" w:rsidRDefault="00A173A8">
            <w:pPr>
              <w:spacing w:after="100"/>
              <w:rPr>
                <w:rFonts w:eastAsia="Times New Roman"/>
                <w:sz w:val="20"/>
                <w:szCs w:val="20"/>
              </w:rPr>
            </w:pPr>
          </w:p>
        </w:tc>
        <w:tc>
          <w:tcPr>
            <w:tcW w:w="0" w:type="auto"/>
            <w:vAlign w:val="center"/>
            <w:hideMark/>
          </w:tcPr>
          <w:p w14:paraId="3E8A9DB2" w14:textId="77777777" w:rsidR="00000000" w:rsidRDefault="00A173A8">
            <w:pPr>
              <w:spacing w:after="100"/>
              <w:rPr>
                <w:rFonts w:eastAsia="Times New Roman"/>
                <w:sz w:val="20"/>
                <w:szCs w:val="20"/>
              </w:rPr>
            </w:pPr>
          </w:p>
        </w:tc>
        <w:tc>
          <w:tcPr>
            <w:tcW w:w="0" w:type="auto"/>
            <w:gridSpan w:val="3"/>
            <w:vAlign w:val="center"/>
            <w:hideMark/>
          </w:tcPr>
          <w:p w14:paraId="66D07846" w14:textId="77777777" w:rsidR="00000000" w:rsidRDefault="00A173A8">
            <w:pPr>
              <w:spacing w:after="100"/>
              <w:rPr>
                <w:rFonts w:eastAsia="Times New Roman"/>
                <w:sz w:val="20"/>
                <w:szCs w:val="20"/>
              </w:rPr>
            </w:pPr>
          </w:p>
        </w:tc>
        <w:tc>
          <w:tcPr>
            <w:tcW w:w="0" w:type="auto"/>
            <w:gridSpan w:val="3"/>
            <w:vAlign w:val="center"/>
            <w:hideMark/>
          </w:tcPr>
          <w:p w14:paraId="66A301A0" w14:textId="77777777" w:rsidR="00000000" w:rsidRDefault="00A173A8">
            <w:pPr>
              <w:spacing w:after="100"/>
              <w:rPr>
                <w:rFonts w:eastAsia="Times New Roman"/>
                <w:sz w:val="20"/>
                <w:szCs w:val="20"/>
              </w:rPr>
            </w:pPr>
          </w:p>
        </w:tc>
      </w:tr>
      <w:tr w:rsidR="00000000" w14:paraId="659FC44B" w14:textId="77777777">
        <w:trPr>
          <w:divId w:val="883908867"/>
        </w:trPr>
        <w:tc>
          <w:tcPr>
            <w:tcW w:w="0" w:type="auto"/>
            <w:gridSpan w:val="3"/>
            <w:vAlign w:val="center"/>
            <w:hideMark/>
          </w:tcPr>
          <w:p w14:paraId="1D46B244" w14:textId="77777777" w:rsidR="00000000" w:rsidRDefault="00A173A8">
            <w:pPr>
              <w:spacing w:after="100"/>
              <w:rPr>
                <w:rFonts w:eastAsia="Times New Roman"/>
                <w:sz w:val="20"/>
                <w:szCs w:val="20"/>
              </w:rPr>
            </w:pPr>
          </w:p>
        </w:tc>
        <w:tc>
          <w:tcPr>
            <w:tcW w:w="0" w:type="auto"/>
            <w:gridSpan w:val="3"/>
            <w:vAlign w:val="center"/>
            <w:hideMark/>
          </w:tcPr>
          <w:p w14:paraId="3C3191A0" w14:textId="77777777" w:rsidR="00000000" w:rsidRDefault="00A173A8">
            <w:pPr>
              <w:spacing w:after="100"/>
              <w:rPr>
                <w:rFonts w:eastAsia="Times New Roman"/>
                <w:sz w:val="20"/>
                <w:szCs w:val="20"/>
              </w:rPr>
            </w:pPr>
          </w:p>
        </w:tc>
        <w:tc>
          <w:tcPr>
            <w:tcW w:w="0" w:type="auto"/>
            <w:gridSpan w:val="3"/>
            <w:vAlign w:val="center"/>
            <w:hideMark/>
          </w:tcPr>
          <w:p w14:paraId="54AC866F" w14:textId="77777777" w:rsidR="00000000" w:rsidRDefault="00A173A8">
            <w:pPr>
              <w:spacing w:after="100"/>
              <w:rPr>
                <w:rFonts w:eastAsia="Times New Roman"/>
                <w:sz w:val="20"/>
                <w:szCs w:val="20"/>
              </w:rPr>
            </w:pPr>
          </w:p>
        </w:tc>
        <w:tc>
          <w:tcPr>
            <w:tcW w:w="0" w:type="auto"/>
            <w:gridSpan w:val="3"/>
            <w:vAlign w:val="center"/>
            <w:hideMark/>
          </w:tcPr>
          <w:p w14:paraId="79AE2BF5" w14:textId="77777777" w:rsidR="00000000" w:rsidRDefault="00A173A8">
            <w:pPr>
              <w:spacing w:after="100"/>
              <w:rPr>
                <w:rFonts w:eastAsia="Times New Roman"/>
                <w:sz w:val="20"/>
                <w:szCs w:val="20"/>
              </w:rPr>
            </w:pPr>
          </w:p>
        </w:tc>
        <w:tc>
          <w:tcPr>
            <w:tcW w:w="0" w:type="auto"/>
            <w:gridSpan w:val="3"/>
            <w:vAlign w:val="center"/>
            <w:hideMark/>
          </w:tcPr>
          <w:p w14:paraId="29D95BD4" w14:textId="77777777" w:rsidR="00000000" w:rsidRDefault="00A173A8">
            <w:pPr>
              <w:spacing w:after="100"/>
              <w:rPr>
                <w:rFonts w:eastAsia="Times New Roman"/>
                <w:sz w:val="20"/>
                <w:szCs w:val="20"/>
              </w:rPr>
            </w:pPr>
          </w:p>
        </w:tc>
        <w:tc>
          <w:tcPr>
            <w:tcW w:w="0" w:type="auto"/>
            <w:gridSpan w:val="3"/>
            <w:vAlign w:val="center"/>
            <w:hideMark/>
          </w:tcPr>
          <w:p w14:paraId="12A49761" w14:textId="77777777" w:rsidR="00000000" w:rsidRDefault="00A173A8">
            <w:pPr>
              <w:spacing w:after="100"/>
              <w:rPr>
                <w:rFonts w:eastAsia="Times New Roman"/>
                <w:sz w:val="20"/>
                <w:szCs w:val="20"/>
              </w:rPr>
            </w:pPr>
          </w:p>
        </w:tc>
        <w:tc>
          <w:tcPr>
            <w:tcW w:w="0" w:type="auto"/>
            <w:gridSpan w:val="3"/>
            <w:vAlign w:val="center"/>
            <w:hideMark/>
          </w:tcPr>
          <w:p w14:paraId="4F502307" w14:textId="77777777" w:rsidR="00000000" w:rsidRDefault="00A173A8">
            <w:pPr>
              <w:spacing w:after="100"/>
              <w:rPr>
                <w:rFonts w:eastAsia="Times New Roman"/>
                <w:sz w:val="20"/>
                <w:szCs w:val="20"/>
              </w:rPr>
            </w:pPr>
          </w:p>
        </w:tc>
        <w:tc>
          <w:tcPr>
            <w:tcW w:w="0" w:type="auto"/>
            <w:gridSpan w:val="3"/>
            <w:vAlign w:val="center"/>
            <w:hideMark/>
          </w:tcPr>
          <w:p w14:paraId="505CA5A0" w14:textId="77777777" w:rsidR="00000000" w:rsidRDefault="00A173A8">
            <w:pPr>
              <w:spacing w:after="100"/>
              <w:rPr>
                <w:rFonts w:eastAsia="Times New Roman"/>
                <w:sz w:val="20"/>
                <w:szCs w:val="20"/>
              </w:rPr>
            </w:pPr>
          </w:p>
        </w:tc>
        <w:tc>
          <w:tcPr>
            <w:tcW w:w="0" w:type="auto"/>
            <w:vAlign w:val="center"/>
            <w:hideMark/>
          </w:tcPr>
          <w:p w14:paraId="0D4ABC0D" w14:textId="77777777" w:rsidR="00000000" w:rsidRDefault="00A173A8">
            <w:pPr>
              <w:spacing w:after="100"/>
              <w:rPr>
                <w:rFonts w:eastAsia="Times New Roman"/>
                <w:sz w:val="20"/>
                <w:szCs w:val="20"/>
              </w:rPr>
            </w:pPr>
          </w:p>
        </w:tc>
        <w:tc>
          <w:tcPr>
            <w:tcW w:w="0" w:type="auto"/>
            <w:gridSpan w:val="3"/>
            <w:vAlign w:val="center"/>
            <w:hideMark/>
          </w:tcPr>
          <w:p w14:paraId="071CF8CC" w14:textId="77777777" w:rsidR="00000000" w:rsidRDefault="00A173A8">
            <w:pPr>
              <w:spacing w:after="100"/>
              <w:rPr>
                <w:rFonts w:eastAsia="Times New Roman"/>
                <w:sz w:val="20"/>
                <w:szCs w:val="20"/>
              </w:rPr>
            </w:pPr>
          </w:p>
        </w:tc>
        <w:tc>
          <w:tcPr>
            <w:tcW w:w="0" w:type="auto"/>
            <w:gridSpan w:val="3"/>
            <w:vAlign w:val="center"/>
            <w:hideMark/>
          </w:tcPr>
          <w:p w14:paraId="7D8154D1" w14:textId="77777777" w:rsidR="00000000" w:rsidRDefault="00A173A8">
            <w:pPr>
              <w:spacing w:after="100"/>
              <w:rPr>
                <w:rFonts w:eastAsia="Times New Roman"/>
                <w:sz w:val="20"/>
                <w:szCs w:val="20"/>
              </w:rPr>
            </w:pPr>
          </w:p>
        </w:tc>
      </w:tr>
      <w:tr w:rsidR="00000000" w14:paraId="409D4845" w14:textId="77777777">
        <w:trPr>
          <w:divId w:val="883908867"/>
        </w:trPr>
        <w:tc>
          <w:tcPr>
            <w:tcW w:w="0" w:type="auto"/>
            <w:gridSpan w:val="3"/>
            <w:vAlign w:val="center"/>
            <w:hideMark/>
          </w:tcPr>
          <w:p w14:paraId="3D3A6084" w14:textId="77777777" w:rsidR="00000000" w:rsidRDefault="00A173A8">
            <w:pPr>
              <w:spacing w:after="100"/>
              <w:rPr>
                <w:rFonts w:eastAsia="Times New Roman"/>
                <w:sz w:val="20"/>
                <w:szCs w:val="20"/>
              </w:rPr>
            </w:pPr>
          </w:p>
        </w:tc>
        <w:tc>
          <w:tcPr>
            <w:tcW w:w="0" w:type="auto"/>
            <w:gridSpan w:val="3"/>
            <w:vAlign w:val="center"/>
            <w:hideMark/>
          </w:tcPr>
          <w:p w14:paraId="039577AE" w14:textId="77777777" w:rsidR="00000000" w:rsidRDefault="00A173A8">
            <w:pPr>
              <w:spacing w:after="100"/>
              <w:rPr>
                <w:rFonts w:eastAsia="Times New Roman"/>
                <w:sz w:val="20"/>
                <w:szCs w:val="20"/>
              </w:rPr>
            </w:pPr>
          </w:p>
        </w:tc>
        <w:tc>
          <w:tcPr>
            <w:tcW w:w="0" w:type="auto"/>
            <w:gridSpan w:val="3"/>
            <w:vAlign w:val="center"/>
            <w:hideMark/>
          </w:tcPr>
          <w:p w14:paraId="181D0BE1" w14:textId="77777777" w:rsidR="00000000" w:rsidRDefault="00A173A8">
            <w:pPr>
              <w:spacing w:after="100"/>
              <w:rPr>
                <w:rFonts w:eastAsia="Times New Roman"/>
                <w:sz w:val="20"/>
                <w:szCs w:val="20"/>
              </w:rPr>
            </w:pPr>
          </w:p>
        </w:tc>
        <w:tc>
          <w:tcPr>
            <w:tcW w:w="0" w:type="auto"/>
            <w:gridSpan w:val="3"/>
            <w:vAlign w:val="center"/>
            <w:hideMark/>
          </w:tcPr>
          <w:p w14:paraId="2D5D7D06" w14:textId="77777777" w:rsidR="00000000" w:rsidRDefault="00A173A8">
            <w:pPr>
              <w:spacing w:after="100"/>
              <w:rPr>
                <w:rFonts w:eastAsia="Times New Roman"/>
                <w:sz w:val="20"/>
                <w:szCs w:val="20"/>
              </w:rPr>
            </w:pPr>
          </w:p>
        </w:tc>
        <w:tc>
          <w:tcPr>
            <w:tcW w:w="0" w:type="auto"/>
            <w:gridSpan w:val="3"/>
            <w:vAlign w:val="center"/>
            <w:hideMark/>
          </w:tcPr>
          <w:p w14:paraId="76921130" w14:textId="77777777" w:rsidR="00000000" w:rsidRDefault="00A173A8">
            <w:pPr>
              <w:spacing w:after="100"/>
              <w:rPr>
                <w:rFonts w:eastAsia="Times New Roman"/>
                <w:sz w:val="20"/>
                <w:szCs w:val="20"/>
              </w:rPr>
            </w:pPr>
          </w:p>
        </w:tc>
        <w:tc>
          <w:tcPr>
            <w:tcW w:w="0" w:type="auto"/>
            <w:gridSpan w:val="3"/>
            <w:vAlign w:val="center"/>
            <w:hideMark/>
          </w:tcPr>
          <w:p w14:paraId="5CAA5F9D" w14:textId="77777777" w:rsidR="00000000" w:rsidRDefault="00A173A8">
            <w:pPr>
              <w:spacing w:after="100"/>
              <w:rPr>
                <w:rFonts w:eastAsia="Times New Roman"/>
                <w:sz w:val="20"/>
                <w:szCs w:val="20"/>
              </w:rPr>
            </w:pPr>
          </w:p>
        </w:tc>
        <w:tc>
          <w:tcPr>
            <w:tcW w:w="0" w:type="auto"/>
            <w:gridSpan w:val="3"/>
            <w:vAlign w:val="center"/>
            <w:hideMark/>
          </w:tcPr>
          <w:p w14:paraId="0F22E992" w14:textId="77777777" w:rsidR="00000000" w:rsidRDefault="00A173A8">
            <w:pPr>
              <w:spacing w:after="100"/>
              <w:rPr>
                <w:rFonts w:eastAsia="Times New Roman"/>
                <w:sz w:val="20"/>
                <w:szCs w:val="20"/>
              </w:rPr>
            </w:pPr>
          </w:p>
        </w:tc>
        <w:tc>
          <w:tcPr>
            <w:tcW w:w="0" w:type="auto"/>
            <w:gridSpan w:val="3"/>
            <w:vAlign w:val="center"/>
            <w:hideMark/>
          </w:tcPr>
          <w:p w14:paraId="49675038" w14:textId="77777777" w:rsidR="00000000" w:rsidRDefault="00A173A8">
            <w:pPr>
              <w:spacing w:after="100"/>
              <w:rPr>
                <w:rFonts w:eastAsia="Times New Roman"/>
                <w:sz w:val="20"/>
                <w:szCs w:val="20"/>
              </w:rPr>
            </w:pPr>
          </w:p>
        </w:tc>
        <w:tc>
          <w:tcPr>
            <w:tcW w:w="0" w:type="auto"/>
            <w:vAlign w:val="center"/>
            <w:hideMark/>
          </w:tcPr>
          <w:p w14:paraId="1B7D4771" w14:textId="77777777" w:rsidR="00000000" w:rsidRDefault="00A173A8">
            <w:pPr>
              <w:spacing w:after="100"/>
              <w:rPr>
                <w:rFonts w:eastAsia="Times New Roman"/>
                <w:sz w:val="20"/>
                <w:szCs w:val="20"/>
              </w:rPr>
            </w:pPr>
          </w:p>
        </w:tc>
        <w:tc>
          <w:tcPr>
            <w:tcW w:w="0" w:type="auto"/>
            <w:gridSpan w:val="3"/>
            <w:vAlign w:val="center"/>
            <w:hideMark/>
          </w:tcPr>
          <w:p w14:paraId="302A7E63" w14:textId="77777777" w:rsidR="00000000" w:rsidRDefault="00A173A8">
            <w:pPr>
              <w:spacing w:after="100"/>
              <w:rPr>
                <w:rFonts w:eastAsia="Times New Roman"/>
                <w:sz w:val="20"/>
                <w:szCs w:val="20"/>
              </w:rPr>
            </w:pPr>
          </w:p>
        </w:tc>
        <w:tc>
          <w:tcPr>
            <w:tcW w:w="0" w:type="auto"/>
            <w:gridSpan w:val="3"/>
            <w:vAlign w:val="center"/>
            <w:hideMark/>
          </w:tcPr>
          <w:p w14:paraId="693F689D" w14:textId="77777777" w:rsidR="00000000" w:rsidRDefault="00A173A8">
            <w:pPr>
              <w:spacing w:after="100"/>
              <w:rPr>
                <w:rFonts w:eastAsia="Times New Roman"/>
                <w:sz w:val="20"/>
                <w:szCs w:val="20"/>
              </w:rPr>
            </w:pPr>
          </w:p>
        </w:tc>
      </w:tr>
      <w:tr w:rsidR="00000000" w14:paraId="4F824D28" w14:textId="77777777">
        <w:trPr>
          <w:divId w:val="883908867"/>
        </w:trPr>
        <w:tc>
          <w:tcPr>
            <w:tcW w:w="0" w:type="auto"/>
            <w:gridSpan w:val="3"/>
            <w:vAlign w:val="center"/>
            <w:hideMark/>
          </w:tcPr>
          <w:p w14:paraId="6CEA54DB" w14:textId="77777777" w:rsidR="00000000" w:rsidRDefault="00A173A8">
            <w:pPr>
              <w:spacing w:after="100"/>
              <w:rPr>
                <w:rFonts w:eastAsia="Times New Roman"/>
                <w:sz w:val="20"/>
                <w:szCs w:val="20"/>
              </w:rPr>
            </w:pPr>
          </w:p>
        </w:tc>
        <w:tc>
          <w:tcPr>
            <w:tcW w:w="0" w:type="auto"/>
            <w:gridSpan w:val="3"/>
            <w:vAlign w:val="center"/>
            <w:hideMark/>
          </w:tcPr>
          <w:p w14:paraId="74C654EF" w14:textId="77777777" w:rsidR="00000000" w:rsidRDefault="00A173A8">
            <w:pPr>
              <w:spacing w:after="100"/>
              <w:rPr>
                <w:rFonts w:eastAsia="Times New Roman"/>
                <w:sz w:val="20"/>
                <w:szCs w:val="20"/>
              </w:rPr>
            </w:pPr>
          </w:p>
        </w:tc>
        <w:tc>
          <w:tcPr>
            <w:tcW w:w="0" w:type="auto"/>
            <w:gridSpan w:val="3"/>
            <w:vAlign w:val="center"/>
            <w:hideMark/>
          </w:tcPr>
          <w:p w14:paraId="77B54CEE" w14:textId="77777777" w:rsidR="00000000" w:rsidRDefault="00A173A8">
            <w:pPr>
              <w:spacing w:after="100"/>
              <w:rPr>
                <w:rFonts w:eastAsia="Times New Roman"/>
                <w:sz w:val="20"/>
                <w:szCs w:val="20"/>
              </w:rPr>
            </w:pPr>
          </w:p>
        </w:tc>
        <w:tc>
          <w:tcPr>
            <w:tcW w:w="0" w:type="auto"/>
            <w:gridSpan w:val="3"/>
            <w:vAlign w:val="center"/>
            <w:hideMark/>
          </w:tcPr>
          <w:p w14:paraId="01554D43" w14:textId="77777777" w:rsidR="00000000" w:rsidRDefault="00A173A8">
            <w:pPr>
              <w:spacing w:after="100"/>
              <w:rPr>
                <w:rFonts w:eastAsia="Times New Roman"/>
                <w:sz w:val="20"/>
                <w:szCs w:val="20"/>
              </w:rPr>
            </w:pPr>
          </w:p>
        </w:tc>
        <w:tc>
          <w:tcPr>
            <w:tcW w:w="0" w:type="auto"/>
            <w:gridSpan w:val="3"/>
            <w:vAlign w:val="center"/>
            <w:hideMark/>
          </w:tcPr>
          <w:p w14:paraId="4081AE20" w14:textId="77777777" w:rsidR="00000000" w:rsidRDefault="00A173A8">
            <w:pPr>
              <w:spacing w:after="100"/>
              <w:rPr>
                <w:rFonts w:eastAsia="Times New Roman"/>
                <w:sz w:val="20"/>
                <w:szCs w:val="20"/>
              </w:rPr>
            </w:pPr>
          </w:p>
        </w:tc>
        <w:tc>
          <w:tcPr>
            <w:tcW w:w="0" w:type="auto"/>
            <w:gridSpan w:val="3"/>
            <w:vAlign w:val="center"/>
            <w:hideMark/>
          </w:tcPr>
          <w:p w14:paraId="4A01D09A" w14:textId="77777777" w:rsidR="00000000" w:rsidRDefault="00A173A8">
            <w:pPr>
              <w:spacing w:after="100"/>
              <w:rPr>
                <w:rFonts w:eastAsia="Times New Roman"/>
                <w:sz w:val="20"/>
                <w:szCs w:val="20"/>
              </w:rPr>
            </w:pPr>
          </w:p>
        </w:tc>
        <w:tc>
          <w:tcPr>
            <w:tcW w:w="0" w:type="auto"/>
            <w:gridSpan w:val="3"/>
            <w:vAlign w:val="center"/>
            <w:hideMark/>
          </w:tcPr>
          <w:p w14:paraId="42AC741E" w14:textId="77777777" w:rsidR="00000000" w:rsidRDefault="00A173A8">
            <w:pPr>
              <w:spacing w:after="100"/>
              <w:rPr>
                <w:rFonts w:eastAsia="Times New Roman"/>
                <w:sz w:val="20"/>
                <w:szCs w:val="20"/>
              </w:rPr>
            </w:pPr>
          </w:p>
        </w:tc>
        <w:tc>
          <w:tcPr>
            <w:tcW w:w="0" w:type="auto"/>
            <w:gridSpan w:val="3"/>
            <w:vAlign w:val="center"/>
            <w:hideMark/>
          </w:tcPr>
          <w:p w14:paraId="6CEF8A5F" w14:textId="77777777" w:rsidR="00000000" w:rsidRDefault="00A173A8">
            <w:pPr>
              <w:spacing w:after="100"/>
              <w:rPr>
                <w:rFonts w:eastAsia="Times New Roman"/>
                <w:sz w:val="20"/>
                <w:szCs w:val="20"/>
              </w:rPr>
            </w:pPr>
          </w:p>
        </w:tc>
        <w:tc>
          <w:tcPr>
            <w:tcW w:w="0" w:type="auto"/>
            <w:vAlign w:val="center"/>
            <w:hideMark/>
          </w:tcPr>
          <w:p w14:paraId="3C9C58CC" w14:textId="77777777" w:rsidR="00000000" w:rsidRDefault="00A173A8">
            <w:pPr>
              <w:spacing w:after="100"/>
              <w:rPr>
                <w:rFonts w:eastAsia="Times New Roman"/>
                <w:sz w:val="20"/>
                <w:szCs w:val="20"/>
              </w:rPr>
            </w:pPr>
          </w:p>
        </w:tc>
        <w:tc>
          <w:tcPr>
            <w:tcW w:w="0" w:type="auto"/>
            <w:gridSpan w:val="3"/>
            <w:vAlign w:val="center"/>
            <w:hideMark/>
          </w:tcPr>
          <w:p w14:paraId="55074E5E" w14:textId="77777777" w:rsidR="00000000" w:rsidRDefault="00A173A8">
            <w:pPr>
              <w:spacing w:after="100"/>
              <w:rPr>
                <w:rFonts w:eastAsia="Times New Roman"/>
                <w:sz w:val="20"/>
                <w:szCs w:val="20"/>
              </w:rPr>
            </w:pPr>
          </w:p>
        </w:tc>
        <w:tc>
          <w:tcPr>
            <w:tcW w:w="0" w:type="auto"/>
            <w:gridSpan w:val="3"/>
            <w:vAlign w:val="center"/>
            <w:hideMark/>
          </w:tcPr>
          <w:p w14:paraId="14565833" w14:textId="77777777" w:rsidR="00000000" w:rsidRDefault="00A173A8">
            <w:pPr>
              <w:spacing w:after="100"/>
              <w:rPr>
                <w:rFonts w:eastAsia="Times New Roman"/>
                <w:sz w:val="20"/>
                <w:szCs w:val="20"/>
              </w:rPr>
            </w:pPr>
          </w:p>
        </w:tc>
      </w:tr>
      <w:tr w:rsidR="00000000" w14:paraId="4DF8B55D" w14:textId="77777777">
        <w:trPr>
          <w:divId w:val="883908867"/>
        </w:trPr>
        <w:tc>
          <w:tcPr>
            <w:tcW w:w="0" w:type="auto"/>
            <w:gridSpan w:val="3"/>
            <w:vAlign w:val="center"/>
            <w:hideMark/>
          </w:tcPr>
          <w:p w14:paraId="54D6CCF3" w14:textId="77777777" w:rsidR="00000000" w:rsidRDefault="00A173A8">
            <w:pPr>
              <w:spacing w:after="100"/>
              <w:rPr>
                <w:rFonts w:eastAsia="Times New Roman"/>
                <w:sz w:val="20"/>
                <w:szCs w:val="20"/>
              </w:rPr>
            </w:pPr>
          </w:p>
        </w:tc>
        <w:tc>
          <w:tcPr>
            <w:tcW w:w="0" w:type="auto"/>
            <w:gridSpan w:val="3"/>
            <w:vAlign w:val="center"/>
            <w:hideMark/>
          </w:tcPr>
          <w:p w14:paraId="4F8162D0" w14:textId="77777777" w:rsidR="00000000" w:rsidRDefault="00A173A8">
            <w:pPr>
              <w:spacing w:after="100"/>
              <w:rPr>
                <w:rFonts w:eastAsia="Times New Roman"/>
                <w:sz w:val="20"/>
                <w:szCs w:val="20"/>
              </w:rPr>
            </w:pPr>
          </w:p>
        </w:tc>
        <w:tc>
          <w:tcPr>
            <w:tcW w:w="0" w:type="auto"/>
            <w:gridSpan w:val="3"/>
            <w:vAlign w:val="center"/>
            <w:hideMark/>
          </w:tcPr>
          <w:p w14:paraId="31B8ABEA" w14:textId="77777777" w:rsidR="00000000" w:rsidRDefault="00A173A8">
            <w:pPr>
              <w:spacing w:after="100"/>
              <w:rPr>
                <w:rFonts w:eastAsia="Times New Roman"/>
                <w:sz w:val="20"/>
                <w:szCs w:val="20"/>
              </w:rPr>
            </w:pPr>
          </w:p>
        </w:tc>
        <w:tc>
          <w:tcPr>
            <w:tcW w:w="0" w:type="auto"/>
            <w:gridSpan w:val="3"/>
            <w:vAlign w:val="center"/>
            <w:hideMark/>
          </w:tcPr>
          <w:p w14:paraId="14A80E7F" w14:textId="77777777" w:rsidR="00000000" w:rsidRDefault="00A173A8">
            <w:pPr>
              <w:spacing w:after="100"/>
              <w:rPr>
                <w:rFonts w:eastAsia="Times New Roman"/>
                <w:sz w:val="20"/>
                <w:szCs w:val="20"/>
              </w:rPr>
            </w:pPr>
          </w:p>
        </w:tc>
        <w:tc>
          <w:tcPr>
            <w:tcW w:w="0" w:type="auto"/>
            <w:gridSpan w:val="3"/>
            <w:vAlign w:val="center"/>
            <w:hideMark/>
          </w:tcPr>
          <w:p w14:paraId="0E40D37D" w14:textId="77777777" w:rsidR="00000000" w:rsidRDefault="00A173A8">
            <w:pPr>
              <w:spacing w:after="100"/>
              <w:rPr>
                <w:rFonts w:eastAsia="Times New Roman"/>
                <w:sz w:val="20"/>
                <w:szCs w:val="20"/>
              </w:rPr>
            </w:pPr>
          </w:p>
        </w:tc>
        <w:tc>
          <w:tcPr>
            <w:tcW w:w="0" w:type="auto"/>
            <w:gridSpan w:val="3"/>
            <w:vAlign w:val="center"/>
            <w:hideMark/>
          </w:tcPr>
          <w:p w14:paraId="67FE2279" w14:textId="77777777" w:rsidR="00000000" w:rsidRDefault="00A173A8">
            <w:pPr>
              <w:spacing w:after="100"/>
              <w:rPr>
                <w:rFonts w:eastAsia="Times New Roman"/>
                <w:sz w:val="20"/>
                <w:szCs w:val="20"/>
              </w:rPr>
            </w:pPr>
          </w:p>
        </w:tc>
        <w:tc>
          <w:tcPr>
            <w:tcW w:w="0" w:type="auto"/>
            <w:gridSpan w:val="3"/>
            <w:vAlign w:val="center"/>
            <w:hideMark/>
          </w:tcPr>
          <w:p w14:paraId="1B7D616A" w14:textId="77777777" w:rsidR="00000000" w:rsidRDefault="00A173A8">
            <w:pPr>
              <w:spacing w:after="100"/>
              <w:rPr>
                <w:rFonts w:eastAsia="Times New Roman"/>
                <w:sz w:val="20"/>
                <w:szCs w:val="20"/>
              </w:rPr>
            </w:pPr>
          </w:p>
        </w:tc>
        <w:tc>
          <w:tcPr>
            <w:tcW w:w="0" w:type="auto"/>
            <w:gridSpan w:val="3"/>
            <w:vAlign w:val="center"/>
            <w:hideMark/>
          </w:tcPr>
          <w:p w14:paraId="340ED0BD" w14:textId="77777777" w:rsidR="00000000" w:rsidRDefault="00A173A8">
            <w:pPr>
              <w:spacing w:after="100"/>
              <w:rPr>
                <w:rFonts w:eastAsia="Times New Roman"/>
                <w:sz w:val="20"/>
                <w:szCs w:val="20"/>
              </w:rPr>
            </w:pPr>
          </w:p>
        </w:tc>
        <w:tc>
          <w:tcPr>
            <w:tcW w:w="0" w:type="auto"/>
            <w:vAlign w:val="center"/>
            <w:hideMark/>
          </w:tcPr>
          <w:p w14:paraId="376AA319" w14:textId="77777777" w:rsidR="00000000" w:rsidRDefault="00A173A8">
            <w:pPr>
              <w:spacing w:after="100"/>
              <w:rPr>
                <w:rFonts w:eastAsia="Times New Roman"/>
                <w:sz w:val="20"/>
                <w:szCs w:val="20"/>
              </w:rPr>
            </w:pPr>
          </w:p>
        </w:tc>
        <w:tc>
          <w:tcPr>
            <w:tcW w:w="0" w:type="auto"/>
            <w:gridSpan w:val="3"/>
            <w:vAlign w:val="center"/>
            <w:hideMark/>
          </w:tcPr>
          <w:p w14:paraId="10FFD804" w14:textId="77777777" w:rsidR="00000000" w:rsidRDefault="00A173A8">
            <w:pPr>
              <w:spacing w:after="100"/>
              <w:rPr>
                <w:rFonts w:eastAsia="Times New Roman"/>
                <w:sz w:val="20"/>
                <w:szCs w:val="20"/>
              </w:rPr>
            </w:pPr>
          </w:p>
        </w:tc>
        <w:tc>
          <w:tcPr>
            <w:tcW w:w="0" w:type="auto"/>
            <w:gridSpan w:val="3"/>
            <w:vAlign w:val="center"/>
            <w:hideMark/>
          </w:tcPr>
          <w:p w14:paraId="420ED470" w14:textId="77777777" w:rsidR="00000000" w:rsidRDefault="00A173A8">
            <w:pPr>
              <w:spacing w:after="100"/>
              <w:rPr>
                <w:rFonts w:eastAsia="Times New Roman"/>
                <w:sz w:val="20"/>
                <w:szCs w:val="20"/>
              </w:rPr>
            </w:pPr>
          </w:p>
        </w:tc>
      </w:tr>
      <w:tr w:rsidR="00000000" w14:paraId="74A9F562" w14:textId="77777777">
        <w:trPr>
          <w:divId w:val="883908867"/>
        </w:trPr>
        <w:tc>
          <w:tcPr>
            <w:tcW w:w="0" w:type="auto"/>
            <w:gridSpan w:val="3"/>
            <w:vAlign w:val="center"/>
            <w:hideMark/>
          </w:tcPr>
          <w:p w14:paraId="5952811B" w14:textId="77777777" w:rsidR="00000000" w:rsidRDefault="00A173A8">
            <w:pPr>
              <w:spacing w:after="100"/>
              <w:rPr>
                <w:rFonts w:eastAsia="Times New Roman"/>
                <w:sz w:val="20"/>
                <w:szCs w:val="20"/>
              </w:rPr>
            </w:pPr>
          </w:p>
        </w:tc>
        <w:tc>
          <w:tcPr>
            <w:tcW w:w="0" w:type="auto"/>
            <w:gridSpan w:val="3"/>
            <w:vAlign w:val="center"/>
            <w:hideMark/>
          </w:tcPr>
          <w:p w14:paraId="4D2FDE39" w14:textId="77777777" w:rsidR="00000000" w:rsidRDefault="00A173A8">
            <w:pPr>
              <w:spacing w:after="100"/>
              <w:rPr>
                <w:rFonts w:eastAsia="Times New Roman"/>
                <w:sz w:val="20"/>
                <w:szCs w:val="20"/>
              </w:rPr>
            </w:pPr>
          </w:p>
        </w:tc>
        <w:tc>
          <w:tcPr>
            <w:tcW w:w="0" w:type="auto"/>
            <w:gridSpan w:val="3"/>
            <w:vAlign w:val="center"/>
            <w:hideMark/>
          </w:tcPr>
          <w:p w14:paraId="406CFC63" w14:textId="77777777" w:rsidR="00000000" w:rsidRDefault="00A173A8">
            <w:pPr>
              <w:spacing w:after="100"/>
              <w:rPr>
                <w:rFonts w:eastAsia="Times New Roman"/>
                <w:sz w:val="20"/>
                <w:szCs w:val="20"/>
              </w:rPr>
            </w:pPr>
          </w:p>
        </w:tc>
        <w:tc>
          <w:tcPr>
            <w:tcW w:w="0" w:type="auto"/>
            <w:gridSpan w:val="3"/>
            <w:vAlign w:val="center"/>
            <w:hideMark/>
          </w:tcPr>
          <w:p w14:paraId="301B26FA" w14:textId="77777777" w:rsidR="00000000" w:rsidRDefault="00A173A8">
            <w:pPr>
              <w:spacing w:after="100"/>
              <w:rPr>
                <w:rFonts w:eastAsia="Times New Roman"/>
                <w:sz w:val="20"/>
                <w:szCs w:val="20"/>
              </w:rPr>
            </w:pPr>
          </w:p>
        </w:tc>
        <w:tc>
          <w:tcPr>
            <w:tcW w:w="0" w:type="auto"/>
            <w:gridSpan w:val="3"/>
            <w:vAlign w:val="center"/>
            <w:hideMark/>
          </w:tcPr>
          <w:p w14:paraId="1CB30376" w14:textId="77777777" w:rsidR="00000000" w:rsidRDefault="00A173A8">
            <w:pPr>
              <w:spacing w:after="100"/>
              <w:rPr>
                <w:rFonts w:eastAsia="Times New Roman"/>
                <w:sz w:val="20"/>
                <w:szCs w:val="20"/>
              </w:rPr>
            </w:pPr>
          </w:p>
        </w:tc>
        <w:tc>
          <w:tcPr>
            <w:tcW w:w="0" w:type="auto"/>
            <w:gridSpan w:val="3"/>
            <w:vAlign w:val="center"/>
            <w:hideMark/>
          </w:tcPr>
          <w:p w14:paraId="1A989A04" w14:textId="77777777" w:rsidR="00000000" w:rsidRDefault="00A173A8">
            <w:pPr>
              <w:spacing w:after="100"/>
              <w:rPr>
                <w:rFonts w:eastAsia="Times New Roman"/>
                <w:sz w:val="20"/>
                <w:szCs w:val="20"/>
              </w:rPr>
            </w:pPr>
          </w:p>
        </w:tc>
        <w:tc>
          <w:tcPr>
            <w:tcW w:w="0" w:type="auto"/>
            <w:gridSpan w:val="3"/>
            <w:vAlign w:val="center"/>
            <w:hideMark/>
          </w:tcPr>
          <w:p w14:paraId="6B593E41" w14:textId="77777777" w:rsidR="00000000" w:rsidRDefault="00A173A8">
            <w:pPr>
              <w:spacing w:after="100"/>
              <w:rPr>
                <w:rFonts w:eastAsia="Times New Roman"/>
                <w:sz w:val="20"/>
                <w:szCs w:val="20"/>
              </w:rPr>
            </w:pPr>
          </w:p>
        </w:tc>
        <w:tc>
          <w:tcPr>
            <w:tcW w:w="0" w:type="auto"/>
            <w:gridSpan w:val="3"/>
            <w:vAlign w:val="center"/>
            <w:hideMark/>
          </w:tcPr>
          <w:p w14:paraId="59B6234C" w14:textId="77777777" w:rsidR="00000000" w:rsidRDefault="00A173A8">
            <w:pPr>
              <w:spacing w:after="100"/>
              <w:rPr>
                <w:rFonts w:eastAsia="Times New Roman"/>
                <w:sz w:val="20"/>
                <w:szCs w:val="20"/>
              </w:rPr>
            </w:pPr>
          </w:p>
        </w:tc>
        <w:tc>
          <w:tcPr>
            <w:tcW w:w="0" w:type="auto"/>
            <w:vAlign w:val="center"/>
            <w:hideMark/>
          </w:tcPr>
          <w:p w14:paraId="3B74F2CD" w14:textId="77777777" w:rsidR="00000000" w:rsidRDefault="00A173A8">
            <w:pPr>
              <w:spacing w:after="100"/>
              <w:rPr>
                <w:rFonts w:eastAsia="Times New Roman"/>
                <w:sz w:val="20"/>
                <w:szCs w:val="20"/>
              </w:rPr>
            </w:pPr>
          </w:p>
        </w:tc>
        <w:tc>
          <w:tcPr>
            <w:tcW w:w="0" w:type="auto"/>
            <w:gridSpan w:val="3"/>
            <w:vAlign w:val="center"/>
            <w:hideMark/>
          </w:tcPr>
          <w:p w14:paraId="1093744C" w14:textId="77777777" w:rsidR="00000000" w:rsidRDefault="00A173A8">
            <w:pPr>
              <w:spacing w:after="100"/>
              <w:rPr>
                <w:rFonts w:eastAsia="Times New Roman"/>
                <w:sz w:val="20"/>
                <w:szCs w:val="20"/>
              </w:rPr>
            </w:pPr>
          </w:p>
        </w:tc>
        <w:tc>
          <w:tcPr>
            <w:tcW w:w="0" w:type="auto"/>
            <w:gridSpan w:val="3"/>
            <w:vAlign w:val="center"/>
            <w:hideMark/>
          </w:tcPr>
          <w:p w14:paraId="03E14894" w14:textId="77777777" w:rsidR="00000000" w:rsidRDefault="00A173A8">
            <w:pPr>
              <w:spacing w:after="100"/>
              <w:rPr>
                <w:rFonts w:eastAsia="Times New Roman"/>
                <w:sz w:val="20"/>
                <w:szCs w:val="20"/>
              </w:rPr>
            </w:pPr>
          </w:p>
        </w:tc>
      </w:tr>
      <w:tr w:rsidR="00000000" w14:paraId="302679EA" w14:textId="77777777">
        <w:trPr>
          <w:divId w:val="883908867"/>
        </w:trPr>
        <w:tc>
          <w:tcPr>
            <w:tcW w:w="0" w:type="auto"/>
            <w:gridSpan w:val="3"/>
            <w:vAlign w:val="center"/>
            <w:hideMark/>
          </w:tcPr>
          <w:p w14:paraId="3737A378" w14:textId="77777777" w:rsidR="00000000" w:rsidRDefault="00A173A8">
            <w:pPr>
              <w:spacing w:after="100"/>
              <w:rPr>
                <w:rFonts w:eastAsia="Times New Roman"/>
                <w:sz w:val="20"/>
                <w:szCs w:val="20"/>
              </w:rPr>
            </w:pPr>
          </w:p>
        </w:tc>
        <w:tc>
          <w:tcPr>
            <w:tcW w:w="0" w:type="auto"/>
            <w:gridSpan w:val="3"/>
            <w:vAlign w:val="center"/>
            <w:hideMark/>
          </w:tcPr>
          <w:p w14:paraId="6C86F79A" w14:textId="77777777" w:rsidR="00000000" w:rsidRDefault="00A173A8">
            <w:pPr>
              <w:spacing w:after="100"/>
              <w:rPr>
                <w:rFonts w:eastAsia="Times New Roman"/>
                <w:sz w:val="20"/>
                <w:szCs w:val="20"/>
              </w:rPr>
            </w:pPr>
          </w:p>
        </w:tc>
        <w:tc>
          <w:tcPr>
            <w:tcW w:w="0" w:type="auto"/>
            <w:gridSpan w:val="3"/>
            <w:vAlign w:val="center"/>
            <w:hideMark/>
          </w:tcPr>
          <w:p w14:paraId="10D5B3F4" w14:textId="77777777" w:rsidR="00000000" w:rsidRDefault="00A173A8">
            <w:pPr>
              <w:spacing w:after="100"/>
              <w:rPr>
                <w:rFonts w:eastAsia="Times New Roman"/>
                <w:sz w:val="20"/>
                <w:szCs w:val="20"/>
              </w:rPr>
            </w:pPr>
          </w:p>
        </w:tc>
        <w:tc>
          <w:tcPr>
            <w:tcW w:w="0" w:type="auto"/>
            <w:gridSpan w:val="3"/>
            <w:vAlign w:val="center"/>
            <w:hideMark/>
          </w:tcPr>
          <w:p w14:paraId="7165456B" w14:textId="77777777" w:rsidR="00000000" w:rsidRDefault="00A173A8">
            <w:pPr>
              <w:spacing w:after="100"/>
              <w:rPr>
                <w:rFonts w:eastAsia="Times New Roman"/>
                <w:sz w:val="20"/>
                <w:szCs w:val="20"/>
              </w:rPr>
            </w:pPr>
          </w:p>
        </w:tc>
        <w:tc>
          <w:tcPr>
            <w:tcW w:w="0" w:type="auto"/>
            <w:gridSpan w:val="3"/>
            <w:vAlign w:val="center"/>
            <w:hideMark/>
          </w:tcPr>
          <w:p w14:paraId="55251966" w14:textId="77777777" w:rsidR="00000000" w:rsidRDefault="00A173A8">
            <w:pPr>
              <w:spacing w:after="100"/>
              <w:rPr>
                <w:rFonts w:eastAsia="Times New Roman"/>
                <w:sz w:val="20"/>
                <w:szCs w:val="20"/>
              </w:rPr>
            </w:pPr>
          </w:p>
        </w:tc>
        <w:tc>
          <w:tcPr>
            <w:tcW w:w="0" w:type="auto"/>
            <w:gridSpan w:val="3"/>
            <w:vAlign w:val="center"/>
            <w:hideMark/>
          </w:tcPr>
          <w:p w14:paraId="0B4C3DE4" w14:textId="77777777" w:rsidR="00000000" w:rsidRDefault="00A173A8">
            <w:pPr>
              <w:spacing w:after="100"/>
              <w:rPr>
                <w:rFonts w:eastAsia="Times New Roman"/>
                <w:sz w:val="20"/>
                <w:szCs w:val="20"/>
              </w:rPr>
            </w:pPr>
          </w:p>
        </w:tc>
        <w:tc>
          <w:tcPr>
            <w:tcW w:w="0" w:type="auto"/>
            <w:gridSpan w:val="3"/>
            <w:vAlign w:val="center"/>
            <w:hideMark/>
          </w:tcPr>
          <w:p w14:paraId="06EF1385" w14:textId="77777777" w:rsidR="00000000" w:rsidRDefault="00A173A8">
            <w:pPr>
              <w:spacing w:after="100"/>
              <w:rPr>
                <w:rFonts w:eastAsia="Times New Roman"/>
                <w:sz w:val="20"/>
                <w:szCs w:val="20"/>
              </w:rPr>
            </w:pPr>
          </w:p>
        </w:tc>
        <w:tc>
          <w:tcPr>
            <w:tcW w:w="0" w:type="auto"/>
            <w:gridSpan w:val="3"/>
            <w:vAlign w:val="center"/>
            <w:hideMark/>
          </w:tcPr>
          <w:p w14:paraId="1CCC97EE" w14:textId="77777777" w:rsidR="00000000" w:rsidRDefault="00A173A8">
            <w:pPr>
              <w:spacing w:after="100"/>
              <w:rPr>
                <w:rFonts w:eastAsia="Times New Roman"/>
                <w:sz w:val="20"/>
                <w:szCs w:val="20"/>
              </w:rPr>
            </w:pPr>
          </w:p>
        </w:tc>
        <w:tc>
          <w:tcPr>
            <w:tcW w:w="0" w:type="auto"/>
            <w:vAlign w:val="center"/>
            <w:hideMark/>
          </w:tcPr>
          <w:p w14:paraId="6FED4B4B" w14:textId="77777777" w:rsidR="00000000" w:rsidRDefault="00A173A8">
            <w:pPr>
              <w:spacing w:after="100"/>
              <w:rPr>
                <w:rFonts w:eastAsia="Times New Roman"/>
                <w:sz w:val="20"/>
                <w:szCs w:val="20"/>
              </w:rPr>
            </w:pPr>
          </w:p>
        </w:tc>
        <w:tc>
          <w:tcPr>
            <w:tcW w:w="0" w:type="auto"/>
            <w:gridSpan w:val="3"/>
            <w:vAlign w:val="center"/>
            <w:hideMark/>
          </w:tcPr>
          <w:p w14:paraId="7D6E612C" w14:textId="77777777" w:rsidR="00000000" w:rsidRDefault="00A173A8">
            <w:pPr>
              <w:spacing w:after="100"/>
              <w:rPr>
                <w:rFonts w:eastAsia="Times New Roman"/>
                <w:sz w:val="20"/>
                <w:szCs w:val="20"/>
              </w:rPr>
            </w:pPr>
          </w:p>
        </w:tc>
        <w:tc>
          <w:tcPr>
            <w:tcW w:w="0" w:type="auto"/>
            <w:gridSpan w:val="3"/>
            <w:vAlign w:val="center"/>
            <w:hideMark/>
          </w:tcPr>
          <w:p w14:paraId="0E92C89A" w14:textId="77777777" w:rsidR="00000000" w:rsidRDefault="00A173A8">
            <w:pPr>
              <w:spacing w:after="100"/>
              <w:rPr>
                <w:rFonts w:eastAsia="Times New Roman"/>
                <w:sz w:val="20"/>
                <w:szCs w:val="20"/>
              </w:rPr>
            </w:pPr>
          </w:p>
        </w:tc>
      </w:tr>
      <w:tr w:rsidR="00000000" w14:paraId="0C6987E9" w14:textId="77777777">
        <w:trPr>
          <w:divId w:val="883908867"/>
        </w:trPr>
        <w:tc>
          <w:tcPr>
            <w:tcW w:w="0" w:type="auto"/>
            <w:gridSpan w:val="3"/>
            <w:vAlign w:val="center"/>
            <w:hideMark/>
          </w:tcPr>
          <w:p w14:paraId="4F1FC1CD" w14:textId="77777777" w:rsidR="00000000" w:rsidRDefault="00A173A8">
            <w:pPr>
              <w:spacing w:after="100"/>
              <w:rPr>
                <w:rFonts w:eastAsia="Times New Roman"/>
                <w:sz w:val="20"/>
                <w:szCs w:val="20"/>
              </w:rPr>
            </w:pPr>
          </w:p>
        </w:tc>
        <w:tc>
          <w:tcPr>
            <w:tcW w:w="0" w:type="auto"/>
            <w:gridSpan w:val="3"/>
            <w:vAlign w:val="center"/>
            <w:hideMark/>
          </w:tcPr>
          <w:p w14:paraId="105AAD5E" w14:textId="77777777" w:rsidR="00000000" w:rsidRDefault="00A173A8">
            <w:pPr>
              <w:spacing w:after="100"/>
              <w:rPr>
                <w:rFonts w:eastAsia="Times New Roman"/>
                <w:sz w:val="20"/>
                <w:szCs w:val="20"/>
              </w:rPr>
            </w:pPr>
          </w:p>
        </w:tc>
        <w:tc>
          <w:tcPr>
            <w:tcW w:w="0" w:type="auto"/>
            <w:gridSpan w:val="3"/>
            <w:vAlign w:val="center"/>
            <w:hideMark/>
          </w:tcPr>
          <w:p w14:paraId="01B9A51A" w14:textId="77777777" w:rsidR="00000000" w:rsidRDefault="00A173A8">
            <w:pPr>
              <w:spacing w:after="100"/>
              <w:rPr>
                <w:rFonts w:eastAsia="Times New Roman"/>
                <w:sz w:val="20"/>
                <w:szCs w:val="20"/>
              </w:rPr>
            </w:pPr>
          </w:p>
        </w:tc>
        <w:tc>
          <w:tcPr>
            <w:tcW w:w="0" w:type="auto"/>
            <w:gridSpan w:val="3"/>
            <w:vAlign w:val="center"/>
            <w:hideMark/>
          </w:tcPr>
          <w:p w14:paraId="49FF8187" w14:textId="77777777" w:rsidR="00000000" w:rsidRDefault="00A173A8">
            <w:pPr>
              <w:spacing w:after="100"/>
              <w:rPr>
                <w:rFonts w:eastAsia="Times New Roman"/>
                <w:sz w:val="20"/>
                <w:szCs w:val="20"/>
              </w:rPr>
            </w:pPr>
          </w:p>
        </w:tc>
        <w:tc>
          <w:tcPr>
            <w:tcW w:w="0" w:type="auto"/>
            <w:gridSpan w:val="3"/>
            <w:vAlign w:val="center"/>
            <w:hideMark/>
          </w:tcPr>
          <w:p w14:paraId="6A1902E4" w14:textId="77777777" w:rsidR="00000000" w:rsidRDefault="00A173A8">
            <w:pPr>
              <w:spacing w:after="100"/>
              <w:rPr>
                <w:rFonts w:eastAsia="Times New Roman"/>
                <w:sz w:val="20"/>
                <w:szCs w:val="20"/>
              </w:rPr>
            </w:pPr>
          </w:p>
        </w:tc>
        <w:tc>
          <w:tcPr>
            <w:tcW w:w="0" w:type="auto"/>
            <w:gridSpan w:val="3"/>
            <w:vAlign w:val="center"/>
            <w:hideMark/>
          </w:tcPr>
          <w:p w14:paraId="5C90D66B" w14:textId="77777777" w:rsidR="00000000" w:rsidRDefault="00A173A8">
            <w:pPr>
              <w:spacing w:after="100"/>
              <w:rPr>
                <w:rFonts w:eastAsia="Times New Roman"/>
                <w:sz w:val="20"/>
                <w:szCs w:val="20"/>
              </w:rPr>
            </w:pPr>
          </w:p>
        </w:tc>
        <w:tc>
          <w:tcPr>
            <w:tcW w:w="0" w:type="auto"/>
            <w:gridSpan w:val="3"/>
            <w:vAlign w:val="center"/>
            <w:hideMark/>
          </w:tcPr>
          <w:p w14:paraId="3B7EAECC" w14:textId="77777777" w:rsidR="00000000" w:rsidRDefault="00A173A8">
            <w:pPr>
              <w:spacing w:after="100"/>
              <w:rPr>
                <w:rFonts w:eastAsia="Times New Roman"/>
                <w:sz w:val="20"/>
                <w:szCs w:val="20"/>
              </w:rPr>
            </w:pPr>
          </w:p>
        </w:tc>
        <w:tc>
          <w:tcPr>
            <w:tcW w:w="0" w:type="auto"/>
            <w:gridSpan w:val="3"/>
            <w:vAlign w:val="center"/>
            <w:hideMark/>
          </w:tcPr>
          <w:p w14:paraId="06049F7B" w14:textId="77777777" w:rsidR="00000000" w:rsidRDefault="00A173A8">
            <w:pPr>
              <w:spacing w:after="100"/>
              <w:rPr>
                <w:rFonts w:eastAsia="Times New Roman"/>
                <w:sz w:val="20"/>
                <w:szCs w:val="20"/>
              </w:rPr>
            </w:pPr>
          </w:p>
        </w:tc>
        <w:tc>
          <w:tcPr>
            <w:tcW w:w="0" w:type="auto"/>
            <w:vAlign w:val="center"/>
            <w:hideMark/>
          </w:tcPr>
          <w:p w14:paraId="7A66DD37" w14:textId="77777777" w:rsidR="00000000" w:rsidRDefault="00A173A8">
            <w:pPr>
              <w:spacing w:after="100"/>
              <w:rPr>
                <w:rFonts w:eastAsia="Times New Roman"/>
                <w:sz w:val="20"/>
                <w:szCs w:val="20"/>
              </w:rPr>
            </w:pPr>
          </w:p>
        </w:tc>
        <w:tc>
          <w:tcPr>
            <w:tcW w:w="0" w:type="auto"/>
            <w:gridSpan w:val="3"/>
            <w:vAlign w:val="center"/>
            <w:hideMark/>
          </w:tcPr>
          <w:p w14:paraId="57417546" w14:textId="77777777" w:rsidR="00000000" w:rsidRDefault="00A173A8">
            <w:pPr>
              <w:spacing w:after="100"/>
              <w:rPr>
                <w:rFonts w:eastAsia="Times New Roman"/>
                <w:sz w:val="20"/>
                <w:szCs w:val="20"/>
              </w:rPr>
            </w:pPr>
          </w:p>
        </w:tc>
        <w:tc>
          <w:tcPr>
            <w:tcW w:w="0" w:type="auto"/>
            <w:gridSpan w:val="3"/>
            <w:vAlign w:val="center"/>
            <w:hideMark/>
          </w:tcPr>
          <w:p w14:paraId="053CE6A9" w14:textId="77777777" w:rsidR="00000000" w:rsidRDefault="00A173A8">
            <w:pPr>
              <w:spacing w:after="100"/>
              <w:rPr>
                <w:rFonts w:eastAsia="Times New Roman"/>
                <w:sz w:val="20"/>
                <w:szCs w:val="20"/>
              </w:rPr>
            </w:pPr>
          </w:p>
        </w:tc>
      </w:tr>
      <w:tr w:rsidR="00000000" w14:paraId="5AD0A0EF" w14:textId="77777777">
        <w:trPr>
          <w:divId w:val="883908867"/>
        </w:trPr>
        <w:tc>
          <w:tcPr>
            <w:tcW w:w="0" w:type="auto"/>
            <w:gridSpan w:val="3"/>
            <w:vAlign w:val="center"/>
            <w:hideMark/>
          </w:tcPr>
          <w:p w14:paraId="478FB70F" w14:textId="77777777" w:rsidR="00000000" w:rsidRDefault="00A173A8">
            <w:pPr>
              <w:spacing w:after="100"/>
              <w:rPr>
                <w:rFonts w:eastAsia="Times New Roman"/>
                <w:sz w:val="20"/>
                <w:szCs w:val="20"/>
              </w:rPr>
            </w:pPr>
          </w:p>
        </w:tc>
        <w:tc>
          <w:tcPr>
            <w:tcW w:w="0" w:type="auto"/>
            <w:gridSpan w:val="3"/>
            <w:vAlign w:val="center"/>
            <w:hideMark/>
          </w:tcPr>
          <w:p w14:paraId="6F6E83E0" w14:textId="77777777" w:rsidR="00000000" w:rsidRDefault="00A173A8">
            <w:pPr>
              <w:spacing w:after="100"/>
              <w:rPr>
                <w:rFonts w:eastAsia="Times New Roman"/>
                <w:sz w:val="20"/>
                <w:szCs w:val="20"/>
              </w:rPr>
            </w:pPr>
          </w:p>
        </w:tc>
        <w:tc>
          <w:tcPr>
            <w:tcW w:w="0" w:type="auto"/>
            <w:gridSpan w:val="3"/>
            <w:vAlign w:val="center"/>
            <w:hideMark/>
          </w:tcPr>
          <w:p w14:paraId="7DC628E0" w14:textId="77777777" w:rsidR="00000000" w:rsidRDefault="00A173A8">
            <w:pPr>
              <w:spacing w:after="100"/>
              <w:rPr>
                <w:rFonts w:eastAsia="Times New Roman"/>
                <w:sz w:val="20"/>
                <w:szCs w:val="20"/>
              </w:rPr>
            </w:pPr>
          </w:p>
        </w:tc>
        <w:tc>
          <w:tcPr>
            <w:tcW w:w="0" w:type="auto"/>
            <w:gridSpan w:val="3"/>
            <w:vAlign w:val="center"/>
            <w:hideMark/>
          </w:tcPr>
          <w:p w14:paraId="361B06FF" w14:textId="77777777" w:rsidR="00000000" w:rsidRDefault="00A173A8">
            <w:pPr>
              <w:spacing w:after="100"/>
              <w:rPr>
                <w:rFonts w:eastAsia="Times New Roman"/>
                <w:sz w:val="20"/>
                <w:szCs w:val="20"/>
              </w:rPr>
            </w:pPr>
          </w:p>
        </w:tc>
        <w:tc>
          <w:tcPr>
            <w:tcW w:w="0" w:type="auto"/>
            <w:gridSpan w:val="3"/>
            <w:vAlign w:val="center"/>
            <w:hideMark/>
          </w:tcPr>
          <w:p w14:paraId="45E83496" w14:textId="77777777" w:rsidR="00000000" w:rsidRDefault="00A173A8">
            <w:pPr>
              <w:spacing w:after="100"/>
              <w:rPr>
                <w:rFonts w:eastAsia="Times New Roman"/>
                <w:sz w:val="20"/>
                <w:szCs w:val="20"/>
              </w:rPr>
            </w:pPr>
          </w:p>
        </w:tc>
        <w:tc>
          <w:tcPr>
            <w:tcW w:w="0" w:type="auto"/>
            <w:gridSpan w:val="3"/>
            <w:vAlign w:val="center"/>
            <w:hideMark/>
          </w:tcPr>
          <w:p w14:paraId="7836310F" w14:textId="77777777" w:rsidR="00000000" w:rsidRDefault="00A173A8">
            <w:pPr>
              <w:spacing w:after="100"/>
              <w:rPr>
                <w:rFonts w:eastAsia="Times New Roman"/>
                <w:sz w:val="20"/>
                <w:szCs w:val="20"/>
              </w:rPr>
            </w:pPr>
          </w:p>
        </w:tc>
        <w:tc>
          <w:tcPr>
            <w:tcW w:w="0" w:type="auto"/>
            <w:gridSpan w:val="3"/>
            <w:vAlign w:val="center"/>
            <w:hideMark/>
          </w:tcPr>
          <w:p w14:paraId="52051318" w14:textId="77777777" w:rsidR="00000000" w:rsidRDefault="00A173A8">
            <w:pPr>
              <w:spacing w:after="100"/>
              <w:rPr>
                <w:rFonts w:eastAsia="Times New Roman"/>
                <w:sz w:val="20"/>
                <w:szCs w:val="20"/>
              </w:rPr>
            </w:pPr>
          </w:p>
        </w:tc>
        <w:tc>
          <w:tcPr>
            <w:tcW w:w="0" w:type="auto"/>
            <w:gridSpan w:val="3"/>
            <w:vAlign w:val="center"/>
            <w:hideMark/>
          </w:tcPr>
          <w:p w14:paraId="27BA694B" w14:textId="77777777" w:rsidR="00000000" w:rsidRDefault="00A173A8">
            <w:pPr>
              <w:spacing w:after="100"/>
              <w:rPr>
                <w:rFonts w:eastAsia="Times New Roman"/>
                <w:sz w:val="20"/>
                <w:szCs w:val="20"/>
              </w:rPr>
            </w:pPr>
          </w:p>
        </w:tc>
        <w:tc>
          <w:tcPr>
            <w:tcW w:w="0" w:type="auto"/>
            <w:vAlign w:val="center"/>
            <w:hideMark/>
          </w:tcPr>
          <w:p w14:paraId="35663977" w14:textId="77777777" w:rsidR="00000000" w:rsidRDefault="00A173A8">
            <w:pPr>
              <w:spacing w:after="100"/>
              <w:rPr>
                <w:rFonts w:eastAsia="Times New Roman"/>
                <w:sz w:val="20"/>
                <w:szCs w:val="20"/>
              </w:rPr>
            </w:pPr>
          </w:p>
        </w:tc>
        <w:tc>
          <w:tcPr>
            <w:tcW w:w="0" w:type="auto"/>
            <w:gridSpan w:val="3"/>
            <w:vAlign w:val="center"/>
            <w:hideMark/>
          </w:tcPr>
          <w:p w14:paraId="2DB74E31" w14:textId="77777777" w:rsidR="00000000" w:rsidRDefault="00A173A8">
            <w:pPr>
              <w:spacing w:after="100"/>
              <w:rPr>
                <w:rFonts w:eastAsia="Times New Roman"/>
                <w:sz w:val="20"/>
                <w:szCs w:val="20"/>
              </w:rPr>
            </w:pPr>
          </w:p>
        </w:tc>
        <w:tc>
          <w:tcPr>
            <w:tcW w:w="0" w:type="auto"/>
            <w:gridSpan w:val="3"/>
            <w:vAlign w:val="center"/>
            <w:hideMark/>
          </w:tcPr>
          <w:p w14:paraId="6C3F7DF9" w14:textId="77777777" w:rsidR="00000000" w:rsidRDefault="00A173A8">
            <w:pPr>
              <w:spacing w:after="100"/>
              <w:rPr>
                <w:rFonts w:eastAsia="Times New Roman"/>
                <w:sz w:val="20"/>
                <w:szCs w:val="20"/>
              </w:rPr>
            </w:pPr>
          </w:p>
        </w:tc>
      </w:tr>
      <w:tr w:rsidR="00000000" w14:paraId="758BD52C" w14:textId="77777777">
        <w:trPr>
          <w:divId w:val="883908867"/>
        </w:trPr>
        <w:tc>
          <w:tcPr>
            <w:tcW w:w="0" w:type="auto"/>
            <w:gridSpan w:val="3"/>
            <w:vAlign w:val="center"/>
            <w:hideMark/>
          </w:tcPr>
          <w:p w14:paraId="10BAC4D2" w14:textId="77777777" w:rsidR="00000000" w:rsidRDefault="00A173A8">
            <w:pPr>
              <w:spacing w:after="100"/>
              <w:rPr>
                <w:rFonts w:eastAsia="Times New Roman"/>
                <w:sz w:val="20"/>
                <w:szCs w:val="20"/>
              </w:rPr>
            </w:pPr>
          </w:p>
        </w:tc>
        <w:tc>
          <w:tcPr>
            <w:tcW w:w="0" w:type="auto"/>
            <w:gridSpan w:val="3"/>
            <w:vAlign w:val="center"/>
            <w:hideMark/>
          </w:tcPr>
          <w:p w14:paraId="681D7784" w14:textId="77777777" w:rsidR="00000000" w:rsidRDefault="00A173A8">
            <w:pPr>
              <w:spacing w:after="100"/>
              <w:rPr>
                <w:rFonts w:eastAsia="Times New Roman"/>
                <w:sz w:val="20"/>
                <w:szCs w:val="20"/>
              </w:rPr>
            </w:pPr>
          </w:p>
        </w:tc>
        <w:tc>
          <w:tcPr>
            <w:tcW w:w="0" w:type="auto"/>
            <w:gridSpan w:val="3"/>
            <w:vAlign w:val="center"/>
            <w:hideMark/>
          </w:tcPr>
          <w:p w14:paraId="4D7EEAE1" w14:textId="77777777" w:rsidR="00000000" w:rsidRDefault="00A173A8">
            <w:pPr>
              <w:spacing w:after="100"/>
              <w:rPr>
                <w:rFonts w:eastAsia="Times New Roman"/>
                <w:sz w:val="20"/>
                <w:szCs w:val="20"/>
              </w:rPr>
            </w:pPr>
          </w:p>
        </w:tc>
        <w:tc>
          <w:tcPr>
            <w:tcW w:w="0" w:type="auto"/>
            <w:gridSpan w:val="3"/>
            <w:vAlign w:val="center"/>
            <w:hideMark/>
          </w:tcPr>
          <w:p w14:paraId="1905911B" w14:textId="77777777" w:rsidR="00000000" w:rsidRDefault="00A173A8">
            <w:pPr>
              <w:spacing w:after="100"/>
              <w:rPr>
                <w:rFonts w:eastAsia="Times New Roman"/>
                <w:sz w:val="20"/>
                <w:szCs w:val="20"/>
              </w:rPr>
            </w:pPr>
          </w:p>
        </w:tc>
        <w:tc>
          <w:tcPr>
            <w:tcW w:w="0" w:type="auto"/>
            <w:gridSpan w:val="3"/>
            <w:vAlign w:val="center"/>
            <w:hideMark/>
          </w:tcPr>
          <w:p w14:paraId="059C8AB6" w14:textId="77777777" w:rsidR="00000000" w:rsidRDefault="00A173A8">
            <w:pPr>
              <w:spacing w:after="100"/>
              <w:rPr>
                <w:rFonts w:eastAsia="Times New Roman"/>
                <w:sz w:val="20"/>
                <w:szCs w:val="20"/>
              </w:rPr>
            </w:pPr>
          </w:p>
        </w:tc>
        <w:tc>
          <w:tcPr>
            <w:tcW w:w="0" w:type="auto"/>
            <w:gridSpan w:val="3"/>
            <w:vAlign w:val="center"/>
            <w:hideMark/>
          </w:tcPr>
          <w:p w14:paraId="618209AF" w14:textId="77777777" w:rsidR="00000000" w:rsidRDefault="00A173A8">
            <w:pPr>
              <w:spacing w:after="100"/>
              <w:rPr>
                <w:rFonts w:eastAsia="Times New Roman"/>
                <w:sz w:val="20"/>
                <w:szCs w:val="20"/>
              </w:rPr>
            </w:pPr>
          </w:p>
        </w:tc>
        <w:tc>
          <w:tcPr>
            <w:tcW w:w="0" w:type="auto"/>
            <w:gridSpan w:val="3"/>
            <w:vAlign w:val="center"/>
            <w:hideMark/>
          </w:tcPr>
          <w:p w14:paraId="54BA66CC" w14:textId="77777777" w:rsidR="00000000" w:rsidRDefault="00A173A8">
            <w:pPr>
              <w:spacing w:after="100"/>
              <w:rPr>
                <w:rFonts w:eastAsia="Times New Roman"/>
                <w:sz w:val="20"/>
                <w:szCs w:val="20"/>
              </w:rPr>
            </w:pPr>
          </w:p>
        </w:tc>
        <w:tc>
          <w:tcPr>
            <w:tcW w:w="0" w:type="auto"/>
            <w:gridSpan w:val="3"/>
            <w:vAlign w:val="center"/>
            <w:hideMark/>
          </w:tcPr>
          <w:p w14:paraId="0E06935A" w14:textId="77777777" w:rsidR="00000000" w:rsidRDefault="00A173A8">
            <w:pPr>
              <w:spacing w:after="100"/>
              <w:rPr>
                <w:rFonts w:eastAsia="Times New Roman"/>
                <w:sz w:val="20"/>
                <w:szCs w:val="20"/>
              </w:rPr>
            </w:pPr>
          </w:p>
        </w:tc>
        <w:tc>
          <w:tcPr>
            <w:tcW w:w="0" w:type="auto"/>
            <w:vAlign w:val="center"/>
            <w:hideMark/>
          </w:tcPr>
          <w:p w14:paraId="2D4FA51C" w14:textId="77777777" w:rsidR="00000000" w:rsidRDefault="00A173A8">
            <w:pPr>
              <w:spacing w:after="100"/>
              <w:rPr>
                <w:rFonts w:eastAsia="Times New Roman"/>
                <w:sz w:val="20"/>
                <w:szCs w:val="20"/>
              </w:rPr>
            </w:pPr>
          </w:p>
        </w:tc>
        <w:tc>
          <w:tcPr>
            <w:tcW w:w="0" w:type="auto"/>
            <w:gridSpan w:val="3"/>
            <w:vAlign w:val="center"/>
            <w:hideMark/>
          </w:tcPr>
          <w:p w14:paraId="637DEC9A" w14:textId="77777777" w:rsidR="00000000" w:rsidRDefault="00A173A8">
            <w:pPr>
              <w:spacing w:after="100"/>
              <w:rPr>
                <w:rFonts w:eastAsia="Times New Roman"/>
                <w:sz w:val="20"/>
                <w:szCs w:val="20"/>
              </w:rPr>
            </w:pPr>
          </w:p>
        </w:tc>
        <w:tc>
          <w:tcPr>
            <w:tcW w:w="0" w:type="auto"/>
            <w:gridSpan w:val="3"/>
            <w:vAlign w:val="center"/>
            <w:hideMark/>
          </w:tcPr>
          <w:p w14:paraId="70EAAA15" w14:textId="77777777" w:rsidR="00000000" w:rsidRDefault="00A173A8">
            <w:pPr>
              <w:spacing w:after="100"/>
              <w:rPr>
                <w:rFonts w:eastAsia="Times New Roman"/>
                <w:sz w:val="20"/>
                <w:szCs w:val="20"/>
              </w:rPr>
            </w:pPr>
          </w:p>
        </w:tc>
      </w:tr>
      <w:tr w:rsidR="00000000" w14:paraId="279C006D" w14:textId="77777777">
        <w:trPr>
          <w:divId w:val="883908867"/>
        </w:trPr>
        <w:tc>
          <w:tcPr>
            <w:tcW w:w="0" w:type="auto"/>
            <w:gridSpan w:val="3"/>
            <w:vAlign w:val="center"/>
            <w:hideMark/>
          </w:tcPr>
          <w:p w14:paraId="107DE868" w14:textId="77777777" w:rsidR="00000000" w:rsidRDefault="00A173A8">
            <w:pPr>
              <w:spacing w:after="100"/>
              <w:rPr>
                <w:rFonts w:eastAsia="Times New Roman"/>
                <w:sz w:val="20"/>
                <w:szCs w:val="20"/>
              </w:rPr>
            </w:pPr>
          </w:p>
        </w:tc>
        <w:tc>
          <w:tcPr>
            <w:tcW w:w="0" w:type="auto"/>
            <w:gridSpan w:val="3"/>
            <w:vAlign w:val="center"/>
            <w:hideMark/>
          </w:tcPr>
          <w:p w14:paraId="49499527" w14:textId="77777777" w:rsidR="00000000" w:rsidRDefault="00A173A8">
            <w:pPr>
              <w:spacing w:after="100"/>
              <w:rPr>
                <w:rFonts w:eastAsia="Times New Roman"/>
                <w:sz w:val="20"/>
                <w:szCs w:val="20"/>
              </w:rPr>
            </w:pPr>
          </w:p>
        </w:tc>
        <w:tc>
          <w:tcPr>
            <w:tcW w:w="0" w:type="auto"/>
            <w:gridSpan w:val="3"/>
            <w:vAlign w:val="center"/>
            <w:hideMark/>
          </w:tcPr>
          <w:p w14:paraId="26EBDBED" w14:textId="77777777" w:rsidR="00000000" w:rsidRDefault="00A173A8">
            <w:pPr>
              <w:spacing w:after="100"/>
              <w:rPr>
                <w:rFonts w:eastAsia="Times New Roman"/>
                <w:sz w:val="20"/>
                <w:szCs w:val="20"/>
              </w:rPr>
            </w:pPr>
          </w:p>
        </w:tc>
        <w:tc>
          <w:tcPr>
            <w:tcW w:w="0" w:type="auto"/>
            <w:gridSpan w:val="3"/>
            <w:vAlign w:val="center"/>
            <w:hideMark/>
          </w:tcPr>
          <w:p w14:paraId="4160D602" w14:textId="77777777" w:rsidR="00000000" w:rsidRDefault="00A173A8">
            <w:pPr>
              <w:spacing w:after="100"/>
              <w:rPr>
                <w:rFonts w:eastAsia="Times New Roman"/>
                <w:sz w:val="20"/>
                <w:szCs w:val="20"/>
              </w:rPr>
            </w:pPr>
          </w:p>
        </w:tc>
        <w:tc>
          <w:tcPr>
            <w:tcW w:w="0" w:type="auto"/>
            <w:gridSpan w:val="3"/>
            <w:vAlign w:val="center"/>
            <w:hideMark/>
          </w:tcPr>
          <w:p w14:paraId="3AFEEC6F" w14:textId="77777777" w:rsidR="00000000" w:rsidRDefault="00A173A8">
            <w:pPr>
              <w:spacing w:after="100"/>
              <w:rPr>
                <w:rFonts w:eastAsia="Times New Roman"/>
                <w:sz w:val="20"/>
                <w:szCs w:val="20"/>
              </w:rPr>
            </w:pPr>
          </w:p>
        </w:tc>
        <w:tc>
          <w:tcPr>
            <w:tcW w:w="0" w:type="auto"/>
            <w:gridSpan w:val="3"/>
            <w:vAlign w:val="center"/>
            <w:hideMark/>
          </w:tcPr>
          <w:p w14:paraId="60C132C4" w14:textId="77777777" w:rsidR="00000000" w:rsidRDefault="00A173A8">
            <w:pPr>
              <w:spacing w:after="100"/>
              <w:rPr>
                <w:rFonts w:eastAsia="Times New Roman"/>
                <w:sz w:val="20"/>
                <w:szCs w:val="20"/>
              </w:rPr>
            </w:pPr>
          </w:p>
        </w:tc>
        <w:tc>
          <w:tcPr>
            <w:tcW w:w="0" w:type="auto"/>
            <w:gridSpan w:val="3"/>
            <w:vAlign w:val="center"/>
            <w:hideMark/>
          </w:tcPr>
          <w:p w14:paraId="6EC57E3D" w14:textId="77777777" w:rsidR="00000000" w:rsidRDefault="00A173A8">
            <w:pPr>
              <w:spacing w:after="100"/>
              <w:rPr>
                <w:rFonts w:eastAsia="Times New Roman"/>
                <w:sz w:val="20"/>
                <w:szCs w:val="20"/>
              </w:rPr>
            </w:pPr>
          </w:p>
        </w:tc>
        <w:tc>
          <w:tcPr>
            <w:tcW w:w="0" w:type="auto"/>
            <w:gridSpan w:val="3"/>
            <w:vAlign w:val="center"/>
            <w:hideMark/>
          </w:tcPr>
          <w:p w14:paraId="2988DFB9" w14:textId="77777777" w:rsidR="00000000" w:rsidRDefault="00A173A8">
            <w:pPr>
              <w:spacing w:after="100"/>
              <w:rPr>
                <w:rFonts w:eastAsia="Times New Roman"/>
                <w:sz w:val="20"/>
                <w:szCs w:val="20"/>
              </w:rPr>
            </w:pPr>
          </w:p>
        </w:tc>
        <w:tc>
          <w:tcPr>
            <w:tcW w:w="0" w:type="auto"/>
            <w:vAlign w:val="center"/>
            <w:hideMark/>
          </w:tcPr>
          <w:p w14:paraId="02FB95E6" w14:textId="77777777" w:rsidR="00000000" w:rsidRDefault="00A173A8">
            <w:pPr>
              <w:spacing w:after="100"/>
              <w:rPr>
                <w:rFonts w:eastAsia="Times New Roman"/>
                <w:sz w:val="20"/>
                <w:szCs w:val="20"/>
              </w:rPr>
            </w:pPr>
          </w:p>
        </w:tc>
        <w:tc>
          <w:tcPr>
            <w:tcW w:w="0" w:type="auto"/>
            <w:gridSpan w:val="3"/>
            <w:vAlign w:val="center"/>
            <w:hideMark/>
          </w:tcPr>
          <w:p w14:paraId="08B25C4B" w14:textId="77777777" w:rsidR="00000000" w:rsidRDefault="00A173A8">
            <w:pPr>
              <w:spacing w:after="100"/>
              <w:rPr>
                <w:rFonts w:eastAsia="Times New Roman"/>
                <w:sz w:val="20"/>
                <w:szCs w:val="20"/>
              </w:rPr>
            </w:pPr>
          </w:p>
        </w:tc>
        <w:tc>
          <w:tcPr>
            <w:tcW w:w="0" w:type="auto"/>
            <w:gridSpan w:val="3"/>
            <w:vAlign w:val="center"/>
            <w:hideMark/>
          </w:tcPr>
          <w:p w14:paraId="3D8B6484" w14:textId="77777777" w:rsidR="00000000" w:rsidRDefault="00A173A8">
            <w:pPr>
              <w:spacing w:after="100"/>
              <w:rPr>
                <w:rFonts w:eastAsia="Times New Roman"/>
                <w:sz w:val="20"/>
                <w:szCs w:val="20"/>
              </w:rPr>
            </w:pPr>
          </w:p>
        </w:tc>
      </w:tr>
      <w:tr w:rsidR="00000000" w14:paraId="135826C1" w14:textId="77777777">
        <w:trPr>
          <w:divId w:val="883908867"/>
        </w:trPr>
        <w:tc>
          <w:tcPr>
            <w:tcW w:w="0" w:type="auto"/>
            <w:gridSpan w:val="3"/>
            <w:vAlign w:val="center"/>
            <w:hideMark/>
          </w:tcPr>
          <w:p w14:paraId="26C9100B" w14:textId="77777777" w:rsidR="00000000" w:rsidRDefault="00A173A8">
            <w:pPr>
              <w:spacing w:after="100"/>
              <w:rPr>
                <w:rFonts w:eastAsia="Times New Roman"/>
                <w:sz w:val="20"/>
                <w:szCs w:val="20"/>
              </w:rPr>
            </w:pPr>
          </w:p>
        </w:tc>
        <w:tc>
          <w:tcPr>
            <w:tcW w:w="0" w:type="auto"/>
            <w:gridSpan w:val="3"/>
            <w:vAlign w:val="center"/>
            <w:hideMark/>
          </w:tcPr>
          <w:p w14:paraId="0A79438D" w14:textId="77777777" w:rsidR="00000000" w:rsidRDefault="00A173A8">
            <w:pPr>
              <w:spacing w:after="100"/>
              <w:rPr>
                <w:rFonts w:eastAsia="Times New Roman"/>
                <w:sz w:val="20"/>
                <w:szCs w:val="20"/>
              </w:rPr>
            </w:pPr>
          </w:p>
        </w:tc>
        <w:tc>
          <w:tcPr>
            <w:tcW w:w="0" w:type="auto"/>
            <w:gridSpan w:val="3"/>
            <w:vAlign w:val="center"/>
            <w:hideMark/>
          </w:tcPr>
          <w:p w14:paraId="69212B9F" w14:textId="77777777" w:rsidR="00000000" w:rsidRDefault="00A173A8">
            <w:pPr>
              <w:spacing w:after="100"/>
              <w:rPr>
                <w:rFonts w:eastAsia="Times New Roman"/>
                <w:sz w:val="20"/>
                <w:szCs w:val="20"/>
              </w:rPr>
            </w:pPr>
          </w:p>
        </w:tc>
        <w:tc>
          <w:tcPr>
            <w:tcW w:w="0" w:type="auto"/>
            <w:gridSpan w:val="3"/>
            <w:vAlign w:val="center"/>
            <w:hideMark/>
          </w:tcPr>
          <w:p w14:paraId="389363D4" w14:textId="77777777" w:rsidR="00000000" w:rsidRDefault="00A173A8">
            <w:pPr>
              <w:spacing w:after="100"/>
              <w:rPr>
                <w:rFonts w:eastAsia="Times New Roman"/>
                <w:sz w:val="20"/>
                <w:szCs w:val="20"/>
              </w:rPr>
            </w:pPr>
          </w:p>
        </w:tc>
        <w:tc>
          <w:tcPr>
            <w:tcW w:w="0" w:type="auto"/>
            <w:gridSpan w:val="3"/>
            <w:vAlign w:val="center"/>
            <w:hideMark/>
          </w:tcPr>
          <w:p w14:paraId="09699988" w14:textId="77777777" w:rsidR="00000000" w:rsidRDefault="00A173A8">
            <w:pPr>
              <w:spacing w:after="100"/>
              <w:rPr>
                <w:rFonts w:eastAsia="Times New Roman"/>
                <w:sz w:val="20"/>
                <w:szCs w:val="20"/>
              </w:rPr>
            </w:pPr>
          </w:p>
        </w:tc>
        <w:tc>
          <w:tcPr>
            <w:tcW w:w="0" w:type="auto"/>
            <w:gridSpan w:val="3"/>
            <w:vAlign w:val="center"/>
            <w:hideMark/>
          </w:tcPr>
          <w:p w14:paraId="33339DE5" w14:textId="77777777" w:rsidR="00000000" w:rsidRDefault="00A173A8">
            <w:pPr>
              <w:spacing w:after="100"/>
              <w:rPr>
                <w:rFonts w:eastAsia="Times New Roman"/>
                <w:sz w:val="20"/>
                <w:szCs w:val="20"/>
              </w:rPr>
            </w:pPr>
          </w:p>
        </w:tc>
        <w:tc>
          <w:tcPr>
            <w:tcW w:w="0" w:type="auto"/>
            <w:gridSpan w:val="3"/>
            <w:vAlign w:val="center"/>
            <w:hideMark/>
          </w:tcPr>
          <w:p w14:paraId="5E3D2977" w14:textId="77777777" w:rsidR="00000000" w:rsidRDefault="00A173A8">
            <w:pPr>
              <w:spacing w:after="100"/>
              <w:rPr>
                <w:rFonts w:eastAsia="Times New Roman"/>
                <w:sz w:val="20"/>
                <w:szCs w:val="20"/>
              </w:rPr>
            </w:pPr>
          </w:p>
        </w:tc>
        <w:tc>
          <w:tcPr>
            <w:tcW w:w="0" w:type="auto"/>
            <w:gridSpan w:val="3"/>
            <w:vAlign w:val="center"/>
            <w:hideMark/>
          </w:tcPr>
          <w:p w14:paraId="6B6C9AD0" w14:textId="77777777" w:rsidR="00000000" w:rsidRDefault="00A173A8">
            <w:pPr>
              <w:spacing w:after="100"/>
              <w:rPr>
                <w:rFonts w:eastAsia="Times New Roman"/>
                <w:sz w:val="20"/>
                <w:szCs w:val="20"/>
              </w:rPr>
            </w:pPr>
          </w:p>
        </w:tc>
        <w:tc>
          <w:tcPr>
            <w:tcW w:w="0" w:type="auto"/>
            <w:vAlign w:val="center"/>
            <w:hideMark/>
          </w:tcPr>
          <w:p w14:paraId="407BFC92" w14:textId="77777777" w:rsidR="00000000" w:rsidRDefault="00A173A8">
            <w:pPr>
              <w:spacing w:after="100"/>
              <w:rPr>
                <w:rFonts w:eastAsia="Times New Roman"/>
                <w:sz w:val="20"/>
                <w:szCs w:val="20"/>
              </w:rPr>
            </w:pPr>
          </w:p>
        </w:tc>
        <w:tc>
          <w:tcPr>
            <w:tcW w:w="0" w:type="auto"/>
            <w:gridSpan w:val="3"/>
            <w:vAlign w:val="center"/>
            <w:hideMark/>
          </w:tcPr>
          <w:p w14:paraId="6F95532A" w14:textId="77777777" w:rsidR="00000000" w:rsidRDefault="00A173A8">
            <w:pPr>
              <w:spacing w:after="100"/>
              <w:rPr>
                <w:rFonts w:eastAsia="Times New Roman"/>
                <w:sz w:val="20"/>
                <w:szCs w:val="20"/>
              </w:rPr>
            </w:pPr>
          </w:p>
        </w:tc>
        <w:tc>
          <w:tcPr>
            <w:tcW w:w="0" w:type="auto"/>
            <w:gridSpan w:val="3"/>
            <w:vAlign w:val="center"/>
            <w:hideMark/>
          </w:tcPr>
          <w:p w14:paraId="4EA46233" w14:textId="77777777" w:rsidR="00000000" w:rsidRDefault="00A173A8">
            <w:pPr>
              <w:spacing w:after="100"/>
              <w:rPr>
                <w:rFonts w:eastAsia="Times New Roman"/>
                <w:sz w:val="20"/>
                <w:szCs w:val="20"/>
              </w:rPr>
            </w:pPr>
          </w:p>
        </w:tc>
      </w:tr>
      <w:tr w:rsidR="00000000" w14:paraId="5F651F66" w14:textId="77777777">
        <w:trPr>
          <w:divId w:val="883908867"/>
        </w:trPr>
        <w:tc>
          <w:tcPr>
            <w:tcW w:w="0" w:type="auto"/>
            <w:gridSpan w:val="3"/>
            <w:vAlign w:val="center"/>
            <w:hideMark/>
          </w:tcPr>
          <w:p w14:paraId="37D386FE" w14:textId="77777777" w:rsidR="00000000" w:rsidRDefault="00A173A8">
            <w:pPr>
              <w:spacing w:after="100"/>
              <w:rPr>
                <w:rFonts w:eastAsia="Times New Roman"/>
                <w:sz w:val="20"/>
                <w:szCs w:val="20"/>
              </w:rPr>
            </w:pPr>
          </w:p>
        </w:tc>
        <w:tc>
          <w:tcPr>
            <w:tcW w:w="0" w:type="auto"/>
            <w:gridSpan w:val="3"/>
            <w:vAlign w:val="center"/>
            <w:hideMark/>
          </w:tcPr>
          <w:p w14:paraId="48EE7FB0" w14:textId="77777777" w:rsidR="00000000" w:rsidRDefault="00A173A8">
            <w:pPr>
              <w:spacing w:after="100"/>
              <w:rPr>
                <w:rFonts w:eastAsia="Times New Roman"/>
                <w:sz w:val="20"/>
                <w:szCs w:val="20"/>
              </w:rPr>
            </w:pPr>
          </w:p>
        </w:tc>
        <w:tc>
          <w:tcPr>
            <w:tcW w:w="0" w:type="auto"/>
            <w:gridSpan w:val="3"/>
            <w:vAlign w:val="center"/>
            <w:hideMark/>
          </w:tcPr>
          <w:p w14:paraId="00A54C5F" w14:textId="77777777" w:rsidR="00000000" w:rsidRDefault="00A173A8">
            <w:pPr>
              <w:spacing w:after="100"/>
              <w:rPr>
                <w:rFonts w:eastAsia="Times New Roman"/>
                <w:sz w:val="20"/>
                <w:szCs w:val="20"/>
              </w:rPr>
            </w:pPr>
          </w:p>
        </w:tc>
        <w:tc>
          <w:tcPr>
            <w:tcW w:w="0" w:type="auto"/>
            <w:gridSpan w:val="3"/>
            <w:vAlign w:val="center"/>
            <w:hideMark/>
          </w:tcPr>
          <w:p w14:paraId="606F8C49" w14:textId="77777777" w:rsidR="00000000" w:rsidRDefault="00A173A8">
            <w:pPr>
              <w:spacing w:after="100"/>
              <w:rPr>
                <w:rFonts w:eastAsia="Times New Roman"/>
                <w:sz w:val="20"/>
                <w:szCs w:val="20"/>
              </w:rPr>
            </w:pPr>
          </w:p>
        </w:tc>
        <w:tc>
          <w:tcPr>
            <w:tcW w:w="0" w:type="auto"/>
            <w:gridSpan w:val="3"/>
            <w:vAlign w:val="center"/>
            <w:hideMark/>
          </w:tcPr>
          <w:p w14:paraId="3265BA11" w14:textId="77777777" w:rsidR="00000000" w:rsidRDefault="00A173A8">
            <w:pPr>
              <w:spacing w:after="100"/>
              <w:rPr>
                <w:rFonts w:eastAsia="Times New Roman"/>
                <w:sz w:val="20"/>
                <w:szCs w:val="20"/>
              </w:rPr>
            </w:pPr>
          </w:p>
        </w:tc>
        <w:tc>
          <w:tcPr>
            <w:tcW w:w="0" w:type="auto"/>
            <w:gridSpan w:val="3"/>
            <w:vAlign w:val="center"/>
            <w:hideMark/>
          </w:tcPr>
          <w:p w14:paraId="039FF28D" w14:textId="77777777" w:rsidR="00000000" w:rsidRDefault="00A173A8">
            <w:pPr>
              <w:spacing w:after="100"/>
              <w:rPr>
                <w:rFonts w:eastAsia="Times New Roman"/>
                <w:sz w:val="20"/>
                <w:szCs w:val="20"/>
              </w:rPr>
            </w:pPr>
          </w:p>
        </w:tc>
        <w:tc>
          <w:tcPr>
            <w:tcW w:w="0" w:type="auto"/>
            <w:gridSpan w:val="3"/>
            <w:vAlign w:val="center"/>
            <w:hideMark/>
          </w:tcPr>
          <w:p w14:paraId="2A28AC91" w14:textId="77777777" w:rsidR="00000000" w:rsidRDefault="00A173A8">
            <w:pPr>
              <w:spacing w:after="100"/>
              <w:rPr>
                <w:rFonts w:eastAsia="Times New Roman"/>
                <w:sz w:val="20"/>
                <w:szCs w:val="20"/>
              </w:rPr>
            </w:pPr>
          </w:p>
        </w:tc>
        <w:tc>
          <w:tcPr>
            <w:tcW w:w="0" w:type="auto"/>
            <w:gridSpan w:val="3"/>
            <w:vAlign w:val="center"/>
            <w:hideMark/>
          </w:tcPr>
          <w:p w14:paraId="757109FE" w14:textId="77777777" w:rsidR="00000000" w:rsidRDefault="00A173A8">
            <w:pPr>
              <w:spacing w:after="100"/>
              <w:rPr>
                <w:rFonts w:eastAsia="Times New Roman"/>
                <w:sz w:val="20"/>
                <w:szCs w:val="20"/>
              </w:rPr>
            </w:pPr>
          </w:p>
        </w:tc>
        <w:tc>
          <w:tcPr>
            <w:tcW w:w="0" w:type="auto"/>
            <w:vAlign w:val="center"/>
            <w:hideMark/>
          </w:tcPr>
          <w:p w14:paraId="0C9954E1" w14:textId="77777777" w:rsidR="00000000" w:rsidRDefault="00A173A8">
            <w:pPr>
              <w:spacing w:after="100"/>
              <w:rPr>
                <w:rFonts w:eastAsia="Times New Roman"/>
                <w:sz w:val="20"/>
                <w:szCs w:val="20"/>
              </w:rPr>
            </w:pPr>
          </w:p>
        </w:tc>
        <w:tc>
          <w:tcPr>
            <w:tcW w:w="0" w:type="auto"/>
            <w:gridSpan w:val="3"/>
            <w:vAlign w:val="center"/>
            <w:hideMark/>
          </w:tcPr>
          <w:p w14:paraId="7159FC19" w14:textId="77777777" w:rsidR="00000000" w:rsidRDefault="00A173A8">
            <w:pPr>
              <w:spacing w:after="100"/>
              <w:rPr>
                <w:rFonts w:eastAsia="Times New Roman"/>
                <w:sz w:val="20"/>
                <w:szCs w:val="20"/>
              </w:rPr>
            </w:pPr>
          </w:p>
        </w:tc>
        <w:tc>
          <w:tcPr>
            <w:tcW w:w="0" w:type="auto"/>
            <w:gridSpan w:val="3"/>
            <w:vAlign w:val="center"/>
            <w:hideMark/>
          </w:tcPr>
          <w:p w14:paraId="24294C69" w14:textId="77777777" w:rsidR="00000000" w:rsidRDefault="00A173A8">
            <w:pPr>
              <w:spacing w:after="100"/>
              <w:rPr>
                <w:rFonts w:eastAsia="Times New Roman"/>
                <w:sz w:val="20"/>
                <w:szCs w:val="20"/>
              </w:rPr>
            </w:pPr>
          </w:p>
        </w:tc>
      </w:tr>
    </w:tbl>
    <w:p w14:paraId="4572824B" w14:textId="77777777" w:rsidR="00000000" w:rsidRDefault="00A173A8">
      <w:pPr>
        <w:jc w:val="both"/>
        <w:divId w:val="883908867"/>
        <w:rPr>
          <w:rFonts w:eastAsia="Times New Roman"/>
        </w:rPr>
      </w:pPr>
      <w:r>
        <w:rPr>
          <w:rFonts w:eastAsia="Times New Roman"/>
          <w:color w:val="000000"/>
          <w:sz w:val="20"/>
          <w:szCs w:val="20"/>
        </w:rPr>
        <w:t>__________</w:t>
      </w:r>
    </w:p>
    <w:p w14:paraId="54FD42D9" w14:textId="77777777" w:rsidR="00000000" w:rsidRDefault="00A173A8">
      <w:pPr>
        <w:ind w:hanging="360"/>
        <w:jc w:val="both"/>
        <w:divId w:val="157057928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customer behavior and risk profile and include direct customer communications, repossession of collateral, the periodic sale of charged off loans as well as a</w:t>
      </w:r>
      <w:r>
        <w:rPr>
          <w:rFonts w:eastAsia="Times New Roman"/>
          <w:color w:val="000000"/>
          <w:sz w:val="16"/>
          <w:szCs w:val="16"/>
        </w:rPr>
        <w:t xml:space="preserve">dditional strategies, such as litigation. </w:t>
      </w:r>
    </w:p>
    <w:p w14:paraId="12FA633D" w14:textId="77777777" w:rsidR="00000000" w:rsidRDefault="00A173A8">
      <w:pPr>
        <w:ind w:hanging="360"/>
        <w:jc w:val="both"/>
        <w:divId w:val="125594448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currency translation adjustments.</w:t>
      </w:r>
    </w:p>
    <w:p w14:paraId="2ABDDDEC" w14:textId="77777777" w:rsidR="00000000" w:rsidRDefault="00A173A8">
      <w:pPr>
        <w:divId w:val="578516880"/>
        <w:rPr>
          <w:rFonts w:eastAsia="Times New Roman"/>
        </w:rPr>
      </w:pPr>
      <w:r>
        <w:rPr>
          <w:rFonts w:eastAsia="Times New Roman"/>
          <w:b/>
          <w:bCs/>
          <w:color w:val="000000"/>
          <w:sz w:val="20"/>
          <w:szCs w:val="20"/>
        </w:rPr>
        <w:t>Credit Card Partnership Loss Sharing Arrangements</w:t>
      </w:r>
    </w:p>
    <w:p w14:paraId="50F77A81" w14:textId="77777777" w:rsidR="00000000" w:rsidRDefault="00A173A8">
      <w:pPr>
        <w:jc w:val="both"/>
        <w:divId w:val="21903571"/>
        <w:rPr>
          <w:rFonts w:eastAsia="Times New Roman"/>
        </w:rPr>
      </w:pPr>
      <w:r>
        <w:rPr>
          <w:rFonts w:eastAsia="Times New Roman"/>
          <w:color w:val="000000"/>
          <w:sz w:val="20"/>
          <w:szCs w:val="20"/>
        </w:rPr>
        <w:t>We have certain credit card partnership agreements that are presented within our consolidated financial sta</w:t>
      </w:r>
      <w:r>
        <w:rPr>
          <w:rFonts w:eastAsia="Times New Roman"/>
          <w:color w:val="000000"/>
          <w:sz w:val="20"/>
          <w:szCs w:val="20"/>
        </w:rPr>
        <w:t>tements on a net basis, in which our partner agrees to share a portion of the credit losses on the underlying loan portfolio. The expected reimbursements from these partners are netted against our allowance for credit losses. Our methodology for estimating</w:t>
      </w:r>
      <w:r>
        <w:rPr>
          <w:rFonts w:eastAsia="Times New Roman"/>
          <w:color w:val="000000"/>
          <w:sz w:val="20"/>
          <w:szCs w:val="20"/>
        </w:rPr>
        <w:t xml:space="preserve"> reimbursements is consistent with the methodology we use to estimate the allowance for credit losses on our credit card loan receivables. These expected reimbursements result in reductions to net charge-offs and the provision for credit losses. See “Note </w:t>
      </w:r>
      <w:r>
        <w:rPr>
          <w:rFonts w:eastAsia="Times New Roman"/>
          <w:color w:val="000000"/>
          <w:sz w:val="20"/>
          <w:szCs w:val="20"/>
        </w:rPr>
        <w:t>1—Summary of Significant Accounting Policies” in our 2021 Form 10-K for further discussion of our credit card partnership agreements.</w:t>
      </w:r>
    </w:p>
    <w:p w14:paraId="4123838D" w14:textId="77777777" w:rsidR="00000000" w:rsidRDefault="00A173A8">
      <w:pPr>
        <w:jc w:val="both"/>
        <w:divId w:val="122236244"/>
        <w:rPr>
          <w:rFonts w:eastAsia="Times New Roman"/>
        </w:rPr>
      </w:pPr>
      <w:r>
        <w:rPr>
          <w:rFonts w:eastAsia="Times New Roman"/>
          <w:color w:val="000000"/>
          <w:sz w:val="20"/>
          <w:szCs w:val="20"/>
        </w:rPr>
        <w:t>The table below summarizes the changes in the estimated reimbursements from these partners for the three and six months en</w:t>
      </w:r>
      <w:r>
        <w:rPr>
          <w:rFonts w:eastAsia="Times New Roman"/>
          <w:color w:val="000000"/>
          <w:sz w:val="20"/>
          <w:szCs w:val="20"/>
        </w:rPr>
        <w:t>ded June 30, 2022 and 2021.</w:t>
      </w:r>
    </w:p>
    <w:p w14:paraId="0A7A8627" w14:textId="77777777" w:rsidR="00000000" w:rsidRDefault="00A173A8">
      <w:pPr>
        <w:divId w:val="1618953005"/>
        <w:rPr>
          <w:rFonts w:eastAsia="Times New Roman"/>
        </w:rPr>
      </w:pPr>
      <w:r>
        <w:rPr>
          <w:rFonts w:eastAsia="Times New Roman"/>
          <w:b/>
          <w:bCs/>
          <w:color w:val="000000"/>
          <w:sz w:val="18"/>
          <w:szCs w:val="18"/>
        </w:rPr>
        <w:t>Table 4.2: Summary of Credit Card Partnership Loss Sharing Arrangements Impacts</w:t>
      </w:r>
    </w:p>
    <w:tbl>
      <w:tblPr>
        <w:tblW w:w="5000" w:type="pct"/>
        <w:tblCellMar>
          <w:top w:w="15" w:type="dxa"/>
          <w:left w:w="15" w:type="dxa"/>
          <w:bottom w:w="15" w:type="dxa"/>
          <w:right w:w="15" w:type="dxa"/>
        </w:tblCellMar>
        <w:tblLook w:val="04A0" w:firstRow="1" w:lastRow="0" w:firstColumn="1" w:lastColumn="0" w:noHBand="0" w:noVBand="1"/>
      </w:tblPr>
      <w:tblGrid>
        <w:gridCol w:w="41"/>
        <w:gridCol w:w="5960"/>
        <w:gridCol w:w="37"/>
        <w:gridCol w:w="36"/>
        <w:gridCol w:w="36"/>
        <w:gridCol w:w="36"/>
        <w:gridCol w:w="110"/>
        <w:gridCol w:w="843"/>
        <w:gridCol w:w="36"/>
        <w:gridCol w:w="36"/>
        <w:gridCol w:w="36"/>
        <w:gridCol w:w="36"/>
        <w:gridCol w:w="110"/>
        <w:gridCol w:w="845"/>
        <w:gridCol w:w="36"/>
        <w:gridCol w:w="36"/>
        <w:gridCol w:w="36"/>
      </w:tblGrid>
      <w:tr w:rsidR="00000000" w14:paraId="03943288" w14:textId="77777777">
        <w:trPr>
          <w:divId w:val="1618953005"/>
        </w:trPr>
        <w:tc>
          <w:tcPr>
            <w:tcW w:w="50" w:type="pct"/>
            <w:vAlign w:val="center"/>
            <w:hideMark/>
          </w:tcPr>
          <w:p w14:paraId="1979360D" w14:textId="77777777" w:rsidR="00000000" w:rsidRDefault="00A173A8">
            <w:pPr>
              <w:rPr>
                <w:rFonts w:eastAsia="Times New Roman"/>
              </w:rPr>
            </w:pPr>
          </w:p>
        </w:tc>
        <w:tc>
          <w:tcPr>
            <w:tcW w:w="3643" w:type="pct"/>
            <w:vAlign w:val="center"/>
            <w:hideMark/>
          </w:tcPr>
          <w:p w14:paraId="5A1B46D2" w14:textId="77777777" w:rsidR="00000000" w:rsidRDefault="00A173A8">
            <w:pPr>
              <w:spacing w:after="100"/>
              <w:rPr>
                <w:rFonts w:eastAsia="Times New Roman"/>
                <w:sz w:val="20"/>
                <w:szCs w:val="20"/>
              </w:rPr>
            </w:pPr>
          </w:p>
        </w:tc>
        <w:tc>
          <w:tcPr>
            <w:tcW w:w="5" w:type="pct"/>
            <w:vAlign w:val="center"/>
            <w:hideMark/>
          </w:tcPr>
          <w:p w14:paraId="6378C5AC" w14:textId="77777777" w:rsidR="00000000" w:rsidRDefault="00A173A8">
            <w:pPr>
              <w:spacing w:after="100"/>
              <w:rPr>
                <w:rFonts w:eastAsia="Times New Roman"/>
                <w:sz w:val="20"/>
                <w:szCs w:val="20"/>
              </w:rPr>
            </w:pPr>
          </w:p>
        </w:tc>
        <w:tc>
          <w:tcPr>
            <w:tcW w:w="5" w:type="pct"/>
            <w:vAlign w:val="center"/>
            <w:hideMark/>
          </w:tcPr>
          <w:p w14:paraId="2B443A17" w14:textId="77777777" w:rsidR="00000000" w:rsidRDefault="00A173A8">
            <w:pPr>
              <w:spacing w:after="100"/>
              <w:rPr>
                <w:rFonts w:eastAsia="Times New Roman"/>
                <w:sz w:val="20"/>
                <w:szCs w:val="20"/>
              </w:rPr>
            </w:pPr>
          </w:p>
        </w:tc>
        <w:tc>
          <w:tcPr>
            <w:tcW w:w="26" w:type="pct"/>
            <w:vAlign w:val="center"/>
            <w:hideMark/>
          </w:tcPr>
          <w:p w14:paraId="73755FB1" w14:textId="77777777" w:rsidR="00000000" w:rsidRDefault="00A173A8">
            <w:pPr>
              <w:spacing w:after="100"/>
              <w:rPr>
                <w:rFonts w:eastAsia="Times New Roman"/>
                <w:sz w:val="20"/>
                <w:szCs w:val="20"/>
              </w:rPr>
            </w:pPr>
          </w:p>
        </w:tc>
        <w:tc>
          <w:tcPr>
            <w:tcW w:w="5" w:type="pct"/>
            <w:vAlign w:val="center"/>
            <w:hideMark/>
          </w:tcPr>
          <w:p w14:paraId="78E4F33F" w14:textId="77777777" w:rsidR="00000000" w:rsidRDefault="00A173A8">
            <w:pPr>
              <w:spacing w:after="100"/>
              <w:rPr>
                <w:rFonts w:eastAsia="Times New Roman"/>
                <w:sz w:val="20"/>
                <w:szCs w:val="20"/>
              </w:rPr>
            </w:pPr>
          </w:p>
        </w:tc>
        <w:tc>
          <w:tcPr>
            <w:tcW w:w="50" w:type="pct"/>
            <w:vAlign w:val="center"/>
            <w:hideMark/>
          </w:tcPr>
          <w:p w14:paraId="0254B219" w14:textId="77777777" w:rsidR="00000000" w:rsidRDefault="00A173A8">
            <w:pPr>
              <w:spacing w:after="100"/>
              <w:rPr>
                <w:rFonts w:eastAsia="Times New Roman"/>
                <w:sz w:val="20"/>
                <w:szCs w:val="20"/>
              </w:rPr>
            </w:pPr>
          </w:p>
        </w:tc>
        <w:tc>
          <w:tcPr>
            <w:tcW w:w="559" w:type="pct"/>
            <w:vAlign w:val="center"/>
            <w:hideMark/>
          </w:tcPr>
          <w:p w14:paraId="06412674" w14:textId="77777777" w:rsidR="00000000" w:rsidRDefault="00A173A8">
            <w:pPr>
              <w:spacing w:after="100"/>
              <w:rPr>
                <w:rFonts w:eastAsia="Times New Roman"/>
                <w:sz w:val="20"/>
                <w:szCs w:val="20"/>
              </w:rPr>
            </w:pPr>
          </w:p>
        </w:tc>
        <w:tc>
          <w:tcPr>
            <w:tcW w:w="5" w:type="pct"/>
            <w:vAlign w:val="center"/>
            <w:hideMark/>
          </w:tcPr>
          <w:p w14:paraId="0C6CDA8E" w14:textId="77777777" w:rsidR="00000000" w:rsidRDefault="00A173A8">
            <w:pPr>
              <w:spacing w:after="100"/>
              <w:rPr>
                <w:rFonts w:eastAsia="Times New Roman"/>
                <w:sz w:val="20"/>
                <w:szCs w:val="20"/>
              </w:rPr>
            </w:pPr>
          </w:p>
        </w:tc>
        <w:tc>
          <w:tcPr>
            <w:tcW w:w="5" w:type="pct"/>
            <w:vAlign w:val="center"/>
            <w:hideMark/>
          </w:tcPr>
          <w:p w14:paraId="47093CB6" w14:textId="77777777" w:rsidR="00000000" w:rsidRDefault="00A173A8">
            <w:pPr>
              <w:spacing w:after="100"/>
              <w:rPr>
                <w:rFonts w:eastAsia="Times New Roman"/>
                <w:sz w:val="20"/>
                <w:szCs w:val="20"/>
              </w:rPr>
            </w:pPr>
          </w:p>
        </w:tc>
        <w:tc>
          <w:tcPr>
            <w:tcW w:w="26" w:type="pct"/>
            <w:vAlign w:val="center"/>
            <w:hideMark/>
          </w:tcPr>
          <w:p w14:paraId="486AF979" w14:textId="77777777" w:rsidR="00000000" w:rsidRDefault="00A173A8">
            <w:pPr>
              <w:spacing w:after="100"/>
              <w:rPr>
                <w:rFonts w:eastAsia="Times New Roman"/>
                <w:sz w:val="20"/>
                <w:szCs w:val="20"/>
              </w:rPr>
            </w:pPr>
          </w:p>
        </w:tc>
        <w:tc>
          <w:tcPr>
            <w:tcW w:w="5" w:type="pct"/>
            <w:vAlign w:val="center"/>
            <w:hideMark/>
          </w:tcPr>
          <w:p w14:paraId="4AF1645C" w14:textId="77777777" w:rsidR="00000000" w:rsidRDefault="00A173A8">
            <w:pPr>
              <w:spacing w:after="100"/>
              <w:rPr>
                <w:rFonts w:eastAsia="Times New Roman"/>
                <w:sz w:val="20"/>
                <w:szCs w:val="20"/>
              </w:rPr>
            </w:pPr>
          </w:p>
        </w:tc>
        <w:tc>
          <w:tcPr>
            <w:tcW w:w="50" w:type="pct"/>
            <w:vAlign w:val="center"/>
            <w:hideMark/>
          </w:tcPr>
          <w:p w14:paraId="29A3E940" w14:textId="77777777" w:rsidR="00000000" w:rsidRDefault="00A173A8">
            <w:pPr>
              <w:spacing w:after="100"/>
              <w:rPr>
                <w:rFonts w:eastAsia="Times New Roman"/>
                <w:sz w:val="20"/>
                <w:szCs w:val="20"/>
              </w:rPr>
            </w:pPr>
          </w:p>
        </w:tc>
        <w:tc>
          <w:tcPr>
            <w:tcW w:w="559" w:type="pct"/>
            <w:vAlign w:val="center"/>
            <w:hideMark/>
          </w:tcPr>
          <w:p w14:paraId="10380F33" w14:textId="77777777" w:rsidR="00000000" w:rsidRDefault="00A173A8">
            <w:pPr>
              <w:spacing w:after="100"/>
              <w:rPr>
                <w:rFonts w:eastAsia="Times New Roman"/>
                <w:sz w:val="20"/>
                <w:szCs w:val="20"/>
              </w:rPr>
            </w:pPr>
          </w:p>
        </w:tc>
        <w:tc>
          <w:tcPr>
            <w:tcW w:w="5" w:type="pct"/>
            <w:vAlign w:val="center"/>
            <w:hideMark/>
          </w:tcPr>
          <w:p w14:paraId="51ABCDED" w14:textId="77777777" w:rsidR="00000000" w:rsidRDefault="00A173A8">
            <w:pPr>
              <w:spacing w:after="100"/>
              <w:rPr>
                <w:rFonts w:eastAsia="Times New Roman"/>
                <w:sz w:val="20"/>
                <w:szCs w:val="20"/>
              </w:rPr>
            </w:pPr>
          </w:p>
        </w:tc>
        <w:tc>
          <w:tcPr>
            <w:tcW w:w="0" w:type="auto"/>
            <w:vAlign w:val="center"/>
            <w:hideMark/>
          </w:tcPr>
          <w:p w14:paraId="4707D1FE" w14:textId="77777777" w:rsidR="00000000" w:rsidRDefault="00A173A8">
            <w:pPr>
              <w:spacing w:after="100"/>
              <w:rPr>
                <w:rFonts w:eastAsia="Times New Roman"/>
                <w:sz w:val="20"/>
                <w:szCs w:val="20"/>
              </w:rPr>
            </w:pPr>
          </w:p>
        </w:tc>
        <w:tc>
          <w:tcPr>
            <w:tcW w:w="0" w:type="auto"/>
            <w:vAlign w:val="center"/>
            <w:hideMark/>
          </w:tcPr>
          <w:p w14:paraId="120FCF66" w14:textId="77777777" w:rsidR="00000000" w:rsidRDefault="00A173A8">
            <w:pPr>
              <w:spacing w:after="100"/>
              <w:rPr>
                <w:rFonts w:eastAsia="Times New Roman"/>
                <w:sz w:val="20"/>
                <w:szCs w:val="20"/>
              </w:rPr>
            </w:pPr>
          </w:p>
        </w:tc>
      </w:tr>
      <w:tr w:rsidR="00000000" w14:paraId="38D032B5" w14:textId="77777777">
        <w:trPr>
          <w:divId w:val="1618953005"/>
        </w:trPr>
        <w:tc>
          <w:tcPr>
            <w:tcW w:w="0" w:type="auto"/>
            <w:gridSpan w:val="3"/>
            <w:tcMar>
              <w:top w:w="0" w:type="dxa"/>
              <w:left w:w="20" w:type="dxa"/>
              <w:bottom w:w="0" w:type="dxa"/>
              <w:right w:w="20" w:type="dxa"/>
            </w:tcMar>
            <w:vAlign w:val="center"/>
            <w:hideMark/>
          </w:tcPr>
          <w:p w14:paraId="676340E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BDD248"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E38F15E" w14:textId="77777777" w:rsidR="00000000" w:rsidRDefault="00A173A8">
            <w:pPr>
              <w:spacing w:after="100"/>
              <w:jc w:val="center"/>
              <w:rPr>
                <w:rFonts w:eastAsia="Times New Roman"/>
              </w:rPr>
            </w:pPr>
            <w:r>
              <w:rPr>
                <w:rFonts w:eastAsia="Times New Roman"/>
                <w:b/>
                <w:bCs/>
                <w:color w:val="000000"/>
                <w:sz w:val="16"/>
                <w:szCs w:val="16"/>
              </w:rPr>
              <w:t>Three Months Ended June 30,</w:t>
            </w:r>
          </w:p>
        </w:tc>
        <w:tc>
          <w:tcPr>
            <w:tcW w:w="0" w:type="auto"/>
            <w:vAlign w:val="center"/>
            <w:hideMark/>
          </w:tcPr>
          <w:p w14:paraId="29907B7E" w14:textId="77777777" w:rsidR="00000000" w:rsidRDefault="00A173A8">
            <w:pPr>
              <w:spacing w:after="100"/>
              <w:jc w:val="center"/>
              <w:rPr>
                <w:rFonts w:eastAsia="Times New Roman"/>
              </w:rPr>
            </w:pPr>
          </w:p>
        </w:tc>
        <w:tc>
          <w:tcPr>
            <w:tcW w:w="0" w:type="auto"/>
            <w:vAlign w:val="center"/>
            <w:hideMark/>
          </w:tcPr>
          <w:p w14:paraId="26DE4A2C" w14:textId="77777777" w:rsidR="00000000" w:rsidRDefault="00A173A8">
            <w:pPr>
              <w:spacing w:after="100"/>
              <w:rPr>
                <w:rFonts w:eastAsia="Times New Roman"/>
                <w:sz w:val="20"/>
                <w:szCs w:val="20"/>
              </w:rPr>
            </w:pPr>
          </w:p>
        </w:tc>
      </w:tr>
      <w:tr w:rsidR="00000000" w14:paraId="0549AF7A" w14:textId="77777777">
        <w:trPr>
          <w:divId w:val="1618953005"/>
        </w:trPr>
        <w:tc>
          <w:tcPr>
            <w:tcW w:w="0" w:type="auto"/>
            <w:gridSpan w:val="3"/>
            <w:tcBorders>
              <w:bottom w:val="single" w:sz="8" w:space="0" w:color="000000"/>
            </w:tcBorders>
            <w:tcMar>
              <w:top w:w="30" w:type="dxa"/>
              <w:left w:w="20" w:type="dxa"/>
              <w:bottom w:w="30" w:type="dxa"/>
              <w:right w:w="20" w:type="dxa"/>
            </w:tcMar>
            <w:vAlign w:val="bottom"/>
            <w:hideMark/>
          </w:tcPr>
          <w:p w14:paraId="2636107D"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32350DF"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CE23D18"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E4EC9D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FA315B2"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vAlign w:val="center"/>
            <w:hideMark/>
          </w:tcPr>
          <w:p w14:paraId="2E845BE1" w14:textId="77777777" w:rsidR="00000000" w:rsidRDefault="00A173A8">
            <w:pPr>
              <w:spacing w:after="100"/>
              <w:jc w:val="center"/>
              <w:rPr>
                <w:rFonts w:eastAsia="Times New Roman"/>
              </w:rPr>
            </w:pPr>
          </w:p>
        </w:tc>
        <w:tc>
          <w:tcPr>
            <w:tcW w:w="0" w:type="auto"/>
            <w:vAlign w:val="center"/>
            <w:hideMark/>
          </w:tcPr>
          <w:p w14:paraId="26C5974A" w14:textId="77777777" w:rsidR="00000000" w:rsidRDefault="00A173A8">
            <w:pPr>
              <w:spacing w:after="100"/>
              <w:rPr>
                <w:rFonts w:eastAsia="Times New Roman"/>
                <w:sz w:val="20"/>
                <w:szCs w:val="20"/>
              </w:rPr>
            </w:pPr>
          </w:p>
        </w:tc>
      </w:tr>
      <w:tr w:rsidR="00000000" w14:paraId="67359E66" w14:textId="77777777">
        <w:trPr>
          <w:divId w:val="16189530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6DD9AA2" w14:textId="77777777" w:rsidR="00000000" w:rsidRDefault="00A173A8">
            <w:pPr>
              <w:spacing w:after="100"/>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14:paraId="2E822559"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1DFA1C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B4DE5A0" w14:textId="77777777" w:rsidR="00000000" w:rsidRDefault="00A173A8">
            <w:pPr>
              <w:spacing w:after="100"/>
              <w:jc w:val="right"/>
              <w:rPr>
                <w:rFonts w:eastAsia="Times New Roman"/>
              </w:rPr>
            </w:pPr>
            <w:r>
              <w:rPr>
                <w:rFonts w:eastAsia="Times New Roman"/>
                <w:color w:val="000000"/>
                <w:sz w:val="18"/>
                <w:szCs w:val="18"/>
              </w:rPr>
              <w:t>1,366 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6EE38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1C431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246529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EDA91FD" w14:textId="77777777" w:rsidR="00000000" w:rsidRDefault="00A173A8">
            <w:pPr>
              <w:spacing w:after="100"/>
              <w:jc w:val="right"/>
              <w:rPr>
                <w:rFonts w:eastAsia="Times New Roman"/>
              </w:rPr>
            </w:pPr>
            <w:r>
              <w:rPr>
                <w:rFonts w:eastAsia="Times New Roman"/>
                <w:color w:val="000000"/>
                <w:sz w:val="18"/>
                <w:szCs w:val="18"/>
              </w:rPr>
              <w:t>2,005 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1F86C9" w14:textId="77777777" w:rsidR="00000000" w:rsidRDefault="00A173A8">
            <w:pPr>
              <w:spacing w:after="100"/>
              <w:jc w:val="right"/>
              <w:rPr>
                <w:rFonts w:eastAsia="Times New Roman"/>
              </w:rPr>
            </w:pPr>
          </w:p>
        </w:tc>
        <w:tc>
          <w:tcPr>
            <w:tcW w:w="0" w:type="auto"/>
            <w:vAlign w:val="center"/>
            <w:hideMark/>
          </w:tcPr>
          <w:p w14:paraId="0E827868" w14:textId="77777777" w:rsidR="00000000" w:rsidRDefault="00A173A8">
            <w:pPr>
              <w:spacing w:after="100"/>
              <w:jc w:val="right"/>
              <w:rPr>
                <w:rFonts w:eastAsia="Times New Roman"/>
                <w:sz w:val="20"/>
                <w:szCs w:val="20"/>
              </w:rPr>
            </w:pPr>
          </w:p>
        </w:tc>
        <w:tc>
          <w:tcPr>
            <w:tcW w:w="0" w:type="auto"/>
            <w:vAlign w:val="center"/>
            <w:hideMark/>
          </w:tcPr>
          <w:p w14:paraId="3E51E7C7" w14:textId="77777777" w:rsidR="00000000" w:rsidRDefault="00A173A8">
            <w:pPr>
              <w:spacing w:after="100"/>
              <w:rPr>
                <w:rFonts w:eastAsia="Times New Roman"/>
                <w:sz w:val="20"/>
                <w:szCs w:val="20"/>
              </w:rPr>
            </w:pPr>
          </w:p>
        </w:tc>
      </w:tr>
      <w:tr w:rsidR="00000000" w14:paraId="74B84773" w14:textId="77777777">
        <w:trPr>
          <w:divId w:val="1618953005"/>
        </w:trPr>
        <w:tc>
          <w:tcPr>
            <w:tcW w:w="0" w:type="auto"/>
            <w:gridSpan w:val="3"/>
            <w:shd w:val="clear" w:color="auto" w:fill="FFFFFF"/>
            <w:tcMar>
              <w:top w:w="30" w:type="dxa"/>
              <w:left w:w="20" w:type="dxa"/>
              <w:bottom w:w="30" w:type="dxa"/>
              <w:right w:w="20" w:type="dxa"/>
            </w:tcMar>
            <w:vAlign w:val="center"/>
            <w:hideMark/>
          </w:tcPr>
          <w:p w14:paraId="0F0A987B" w14:textId="77777777" w:rsidR="00000000" w:rsidRDefault="00A173A8">
            <w:pPr>
              <w:spacing w:after="100"/>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14:paraId="24886FF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13C22EF" w14:textId="77777777" w:rsidR="00000000" w:rsidRDefault="00A173A8">
            <w:pPr>
              <w:spacing w:after="100"/>
              <w:jc w:val="right"/>
              <w:rPr>
                <w:rFonts w:eastAsia="Times New Roman"/>
              </w:rPr>
            </w:pPr>
            <w:r>
              <w:rPr>
                <w:rFonts w:eastAsia="Times New Roman"/>
                <w:b/>
                <w:bCs/>
                <w:color w:val="000000"/>
                <w:sz w:val="18"/>
                <w:szCs w:val="18"/>
              </w:rPr>
              <w:t>(119)</w:t>
            </w:r>
          </w:p>
        </w:tc>
        <w:tc>
          <w:tcPr>
            <w:tcW w:w="0" w:type="auto"/>
            <w:shd w:val="clear" w:color="auto" w:fill="FFFFFF"/>
            <w:tcMar>
              <w:top w:w="30" w:type="dxa"/>
              <w:left w:w="0" w:type="dxa"/>
              <w:bottom w:w="30" w:type="dxa"/>
              <w:right w:w="20" w:type="dxa"/>
            </w:tcMar>
            <w:vAlign w:val="center"/>
            <w:hideMark/>
          </w:tcPr>
          <w:p w14:paraId="1B14FA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D1316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61398D" w14:textId="77777777" w:rsidR="00000000" w:rsidRDefault="00A173A8">
            <w:pPr>
              <w:spacing w:after="100"/>
              <w:jc w:val="right"/>
              <w:rPr>
                <w:rFonts w:eastAsia="Times New Roman"/>
              </w:rPr>
            </w:pPr>
            <w:r>
              <w:rPr>
                <w:rFonts w:eastAsia="Times New Roman"/>
                <w:color w:val="000000"/>
                <w:sz w:val="18"/>
                <w:szCs w:val="18"/>
              </w:rPr>
              <w:t>(128)</w:t>
            </w:r>
          </w:p>
        </w:tc>
        <w:tc>
          <w:tcPr>
            <w:tcW w:w="0" w:type="auto"/>
            <w:shd w:val="clear" w:color="auto" w:fill="FFFFFF"/>
            <w:tcMar>
              <w:top w:w="30" w:type="dxa"/>
              <w:left w:w="0" w:type="dxa"/>
              <w:bottom w:w="30" w:type="dxa"/>
              <w:right w:w="20" w:type="dxa"/>
            </w:tcMar>
            <w:vAlign w:val="center"/>
            <w:hideMark/>
          </w:tcPr>
          <w:p w14:paraId="4EE996BC" w14:textId="77777777" w:rsidR="00000000" w:rsidRDefault="00A173A8">
            <w:pPr>
              <w:spacing w:after="100"/>
              <w:jc w:val="right"/>
              <w:rPr>
                <w:rFonts w:eastAsia="Times New Roman"/>
              </w:rPr>
            </w:pPr>
          </w:p>
        </w:tc>
        <w:tc>
          <w:tcPr>
            <w:tcW w:w="0" w:type="auto"/>
            <w:vAlign w:val="center"/>
            <w:hideMark/>
          </w:tcPr>
          <w:p w14:paraId="72489332" w14:textId="77777777" w:rsidR="00000000" w:rsidRDefault="00A173A8">
            <w:pPr>
              <w:spacing w:after="100"/>
              <w:jc w:val="right"/>
              <w:rPr>
                <w:rFonts w:eastAsia="Times New Roman"/>
                <w:sz w:val="20"/>
                <w:szCs w:val="20"/>
              </w:rPr>
            </w:pPr>
          </w:p>
        </w:tc>
        <w:tc>
          <w:tcPr>
            <w:tcW w:w="0" w:type="auto"/>
            <w:vAlign w:val="center"/>
            <w:hideMark/>
          </w:tcPr>
          <w:p w14:paraId="6543CA64" w14:textId="77777777" w:rsidR="00000000" w:rsidRDefault="00A173A8">
            <w:pPr>
              <w:spacing w:after="100"/>
              <w:rPr>
                <w:rFonts w:eastAsia="Times New Roman"/>
                <w:sz w:val="20"/>
                <w:szCs w:val="20"/>
              </w:rPr>
            </w:pPr>
          </w:p>
        </w:tc>
      </w:tr>
      <w:tr w:rsidR="00000000" w14:paraId="6616213A" w14:textId="77777777">
        <w:trPr>
          <w:divId w:val="1618953005"/>
        </w:trPr>
        <w:tc>
          <w:tcPr>
            <w:tcW w:w="0" w:type="auto"/>
            <w:gridSpan w:val="3"/>
            <w:shd w:val="clear" w:color="auto" w:fill="CCEEFF"/>
            <w:tcMar>
              <w:top w:w="30" w:type="dxa"/>
              <w:left w:w="20" w:type="dxa"/>
              <w:bottom w:w="30" w:type="dxa"/>
              <w:right w:w="20" w:type="dxa"/>
            </w:tcMar>
            <w:vAlign w:val="center"/>
            <w:hideMark/>
          </w:tcPr>
          <w:p w14:paraId="5C9A00E9" w14:textId="77777777" w:rsidR="00000000" w:rsidRDefault="00A173A8">
            <w:pPr>
              <w:spacing w:after="100"/>
              <w:rPr>
                <w:rFonts w:eastAsia="Times New Roman"/>
              </w:rPr>
            </w:pPr>
            <w:r>
              <w:rPr>
                <w:rFonts w:eastAsia="Times New Roman"/>
                <w:color w:val="000000"/>
                <w:sz w:val="18"/>
                <w:szCs w:val="18"/>
              </w:rPr>
              <w:t>Amounts expected to become due from (to) partners which reduced (increased) provision for credit losses</w:t>
            </w:r>
          </w:p>
        </w:tc>
        <w:tc>
          <w:tcPr>
            <w:tcW w:w="0" w:type="auto"/>
            <w:gridSpan w:val="3"/>
            <w:shd w:val="clear" w:color="auto" w:fill="CCEEFF"/>
            <w:tcMar>
              <w:top w:w="0" w:type="dxa"/>
              <w:left w:w="20" w:type="dxa"/>
              <w:bottom w:w="0" w:type="dxa"/>
              <w:right w:w="20" w:type="dxa"/>
            </w:tcMar>
            <w:vAlign w:val="center"/>
            <w:hideMark/>
          </w:tcPr>
          <w:p w14:paraId="1B21C77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EE958B" w14:textId="77777777" w:rsidR="00000000" w:rsidRDefault="00A173A8">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0EBE9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77A3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982290" w14:textId="77777777" w:rsidR="00000000" w:rsidRDefault="00A173A8">
            <w:pPr>
              <w:spacing w:after="100"/>
              <w:jc w:val="right"/>
              <w:rPr>
                <w:rFonts w:eastAsia="Times New Roman"/>
              </w:rPr>
            </w:pPr>
            <w:r>
              <w:rPr>
                <w:rFonts w:eastAsia="Times New Roman"/>
                <w:color w:val="000000"/>
                <w:sz w:val="18"/>
                <w:szCs w:val="18"/>
              </w:rPr>
              <w:t>(166)</w:t>
            </w:r>
          </w:p>
        </w:tc>
        <w:tc>
          <w:tcPr>
            <w:tcW w:w="0" w:type="auto"/>
            <w:shd w:val="clear" w:color="auto" w:fill="CCEEFF"/>
            <w:tcMar>
              <w:top w:w="30" w:type="dxa"/>
              <w:left w:w="0" w:type="dxa"/>
              <w:bottom w:w="30" w:type="dxa"/>
              <w:right w:w="20" w:type="dxa"/>
            </w:tcMar>
            <w:vAlign w:val="bottom"/>
            <w:hideMark/>
          </w:tcPr>
          <w:p w14:paraId="0E72C9F4" w14:textId="77777777" w:rsidR="00000000" w:rsidRDefault="00A173A8">
            <w:pPr>
              <w:spacing w:after="100"/>
              <w:jc w:val="right"/>
              <w:rPr>
                <w:rFonts w:eastAsia="Times New Roman"/>
              </w:rPr>
            </w:pPr>
          </w:p>
        </w:tc>
        <w:tc>
          <w:tcPr>
            <w:tcW w:w="0" w:type="auto"/>
            <w:vAlign w:val="center"/>
            <w:hideMark/>
          </w:tcPr>
          <w:p w14:paraId="64BA4EBC" w14:textId="77777777" w:rsidR="00000000" w:rsidRDefault="00A173A8">
            <w:pPr>
              <w:spacing w:after="100"/>
              <w:jc w:val="right"/>
              <w:rPr>
                <w:rFonts w:eastAsia="Times New Roman"/>
                <w:sz w:val="20"/>
                <w:szCs w:val="20"/>
              </w:rPr>
            </w:pPr>
          </w:p>
        </w:tc>
        <w:tc>
          <w:tcPr>
            <w:tcW w:w="0" w:type="auto"/>
            <w:vAlign w:val="center"/>
            <w:hideMark/>
          </w:tcPr>
          <w:p w14:paraId="5A6B6BDF" w14:textId="77777777" w:rsidR="00000000" w:rsidRDefault="00A173A8">
            <w:pPr>
              <w:spacing w:after="100"/>
              <w:rPr>
                <w:rFonts w:eastAsia="Times New Roman"/>
                <w:sz w:val="20"/>
                <w:szCs w:val="20"/>
              </w:rPr>
            </w:pPr>
          </w:p>
        </w:tc>
      </w:tr>
      <w:tr w:rsidR="00000000" w14:paraId="23677184" w14:textId="77777777">
        <w:trPr>
          <w:divId w:val="1618953005"/>
        </w:trPr>
        <w:tc>
          <w:tcPr>
            <w:tcW w:w="0" w:type="auto"/>
            <w:gridSpan w:val="3"/>
            <w:shd w:val="clear" w:color="auto" w:fill="FFFFFF"/>
            <w:tcMar>
              <w:top w:w="30" w:type="dxa"/>
              <w:left w:w="20" w:type="dxa"/>
              <w:bottom w:w="30" w:type="dxa"/>
              <w:right w:w="20" w:type="dxa"/>
            </w:tcMar>
            <w:vAlign w:val="center"/>
            <w:hideMark/>
          </w:tcPr>
          <w:p w14:paraId="7A059864" w14:textId="77777777" w:rsidR="00000000" w:rsidRDefault="00A173A8">
            <w:pPr>
              <w:spacing w:after="100"/>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14:paraId="43B42ADD"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1DD47E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11C9780" w14:textId="77777777" w:rsidR="00000000" w:rsidRDefault="00A173A8">
            <w:pPr>
              <w:spacing w:after="100"/>
              <w:jc w:val="right"/>
              <w:rPr>
                <w:rFonts w:eastAsia="Times New Roman"/>
              </w:rPr>
            </w:pPr>
            <w:r>
              <w:rPr>
                <w:rFonts w:eastAsia="Times New Roman"/>
                <w:b/>
                <w:bCs/>
                <w:color w:val="000000"/>
                <w:sz w:val="18"/>
                <w:szCs w:val="18"/>
              </w:rPr>
              <w:t>1,302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0ECEC0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7C34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C7B428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FB2FBD1" w14:textId="77777777" w:rsidR="00000000" w:rsidRDefault="00A173A8">
            <w:pPr>
              <w:spacing w:after="100"/>
              <w:jc w:val="right"/>
              <w:rPr>
                <w:rFonts w:eastAsia="Times New Roman"/>
              </w:rPr>
            </w:pPr>
            <w:r>
              <w:rPr>
                <w:rFonts w:eastAsia="Times New Roman"/>
                <w:color w:val="000000"/>
                <w:sz w:val="18"/>
                <w:szCs w:val="18"/>
              </w:rPr>
              <w:t>1,711 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0738087" w14:textId="77777777" w:rsidR="00000000" w:rsidRDefault="00A173A8">
            <w:pPr>
              <w:spacing w:after="100"/>
              <w:jc w:val="right"/>
              <w:rPr>
                <w:rFonts w:eastAsia="Times New Roman"/>
              </w:rPr>
            </w:pPr>
          </w:p>
        </w:tc>
        <w:tc>
          <w:tcPr>
            <w:tcW w:w="0" w:type="auto"/>
            <w:vAlign w:val="center"/>
            <w:hideMark/>
          </w:tcPr>
          <w:p w14:paraId="2A16A1C5" w14:textId="77777777" w:rsidR="00000000" w:rsidRDefault="00A173A8">
            <w:pPr>
              <w:spacing w:after="100"/>
              <w:jc w:val="right"/>
              <w:rPr>
                <w:rFonts w:eastAsia="Times New Roman"/>
                <w:sz w:val="20"/>
                <w:szCs w:val="20"/>
              </w:rPr>
            </w:pPr>
          </w:p>
        </w:tc>
        <w:tc>
          <w:tcPr>
            <w:tcW w:w="0" w:type="auto"/>
            <w:vAlign w:val="center"/>
            <w:hideMark/>
          </w:tcPr>
          <w:p w14:paraId="4148DD88" w14:textId="77777777" w:rsidR="00000000" w:rsidRDefault="00A173A8">
            <w:pPr>
              <w:spacing w:after="100"/>
              <w:rPr>
                <w:rFonts w:eastAsia="Times New Roman"/>
                <w:sz w:val="20"/>
                <w:szCs w:val="20"/>
              </w:rPr>
            </w:pPr>
          </w:p>
        </w:tc>
      </w:tr>
    </w:tbl>
    <w:p w14:paraId="527A96E4" w14:textId="77777777" w:rsidR="00000000" w:rsidRDefault="00A173A8">
      <w:pPr>
        <w:divId w:val="16189530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5960"/>
        <w:gridCol w:w="37"/>
        <w:gridCol w:w="36"/>
        <w:gridCol w:w="36"/>
        <w:gridCol w:w="36"/>
        <w:gridCol w:w="110"/>
        <w:gridCol w:w="843"/>
        <w:gridCol w:w="36"/>
        <w:gridCol w:w="36"/>
        <w:gridCol w:w="36"/>
        <w:gridCol w:w="36"/>
        <w:gridCol w:w="110"/>
        <w:gridCol w:w="845"/>
        <w:gridCol w:w="36"/>
        <w:gridCol w:w="36"/>
        <w:gridCol w:w="36"/>
      </w:tblGrid>
      <w:tr w:rsidR="00000000" w14:paraId="459E1C3C" w14:textId="77777777">
        <w:trPr>
          <w:divId w:val="1618953005"/>
        </w:trPr>
        <w:tc>
          <w:tcPr>
            <w:tcW w:w="50" w:type="pct"/>
            <w:vAlign w:val="center"/>
            <w:hideMark/>
          </w:tcPr>
          <w:p w14:paraId="43FB7CAC" w14:textId="77777777" w:rsidR="00000000" w:rsidRDefault="00A173A8">
            <w:pPr>
              <w:rPr>
                <w:rFonts w:eastAsia="Times New Roman"/>
              </w:rPr>
            </w:pPr>
          </w:p>
        </w:tc>
        <w:tc>
          <w:tcPr>
            <w:tcW w:w="3643" w:type="pct"/>
            <w:vAlign w:val="center"/>
            <w:hideMark/>
          </w:tcPr>
          <w:p w14:paraId="21EAB624" w14:textId="77777777" w:rsidR="00000000" w:rsidRDefault="00A173A8">
            <w:pPr>
              <w:spacing w:after="100"/>
              <w:rPr>
                <w:rFonts w:eastAsia="Times New Roman"/>
                <w:sz w:val="20"/>
                <w:szCs w:val="20"/>
              </w:rPr>
            </w:pPr>
          </w:p>
        </w:tc>
        <w:tc>
          <w:tcPr>
            <w:tcW w:w="5" w:type="pct"/>
            <w:vAlign w:val="center"/>
            <w:hideMark/>
          </w:tcPr>
          <w:p w14:paraId="445A4CE2" w14:textId="77777777" w:rsidR="00000000" w:rsidRDefault="00A173A8">
            <w:pPr>
              <w:spacing w:after="100"/>
              <w:rPr>
                <w:rFonts w:eastAsia="Times New Roman"/>
                <w:sz w:val="20"/>
                <w:szCs w:val="20"/>
              </w:rPr>
            </w:pPr>
          </w:p>
        </w:tc>
        <w:tc>
          <w:tcPr>
            <w:tcW w:w="5" w:type="pct"/>
            <w:vAlign w:val="center"/>
            <w:hideMark/>
          </w:tcPr>
          <w:p w14:paraId="574450B8" w14:textId="77777777" w:rsidR="00000000" w:rsidRDefault="00A173A8">
            <w:pPr>
              <w:spacing w:after="100"/>
              <w:rPr>
                <w:rFonts w:eastAsia="Times New Roman"/>
                <w:sz w:val="20"/>
                <w:szCs w:val="20"/>
              </w:rPr>
            </w:pPr>
          </w:p>
        </w:tc>
        <w:tc>
          <w:tcPr>
            <w:tcW w:w="26" w:type="pct"/>
            <w:vAlign w:val="center"/>
            <w:hideMark/>
          </w:tcPr>
          <w:p w14:paraId="72D97BC8" w14:textId="77777777" w:rsidR="00000000" w:rsidRDefault="00A173A8">
            <w:pPr>
              <w:spacing w:after="100"/>
              <w:rPr>
                <w:rFonts w:eastAsia="Times New Roman"/>
                <w:sz w:val="20"/>
                <w:szCs w:val="20"/>
              </w:rPr>
            </w:pPr>
          </w:p>
        </w:tc>
        <w:tc>
          <w:tcPr>
            <w:tcW w:w="5" w:type="pct"/>
            <w:vAlign w:val="center"/>
            <w:hideMark/>
          </w:tcPr>
          <w:p w14:paraId="1C6E98CD" w14:textId="77777777" w:rsidR="00000000" w:rsidRDefault="00A173A8">
            <w:pPr>
              <w:spacing w:after="100"/>
              <w:rPr>
                <w:rFonts w:eastAsia="Times New Roman"/>
                <w:sz w:val="20"/>
                <w:szCs w:val="20"/>
              </w:rPr>
            </w:pPr>
          </w:p>
        </w:tc>
        <w:tc>
          <w:tcPr>
            <w:tcW w:w="50" w:type="pct"/>
            <w:vAlign w:val="center"/>
            <w:hideMark/>
          </w:tcPr>
          <w:p w14:paraId="59E8AEBD" w14:textId="77777777" w:rsidR="00000000" w:rsidRDefault="00A173A8">
            <w:pPr>
              <w:spacing w:after="100"/>
              <w:rPr>
                <w:rFonts w:eastAsia="Times New Roman"/>
                <w:sz w:val="20"/>
                <w:szCs w:val="20"/>
              </w:rPr>
            </w:pPr>
          </w:p>
        </w:tc>
        <w:tc>
          <w:tcPr>
            <w:tcW w:w="559" w:type="pct"/>
            <w:vAlign w:val="center"/>
            <w:hideMark/>
          </w:tcPr>
          <w:p w14:paraId="4E846053" w14:textId="77777777" w:rsidR="00000000" w:rsidRDefault="00A173A8">
            <w:pPr>
              <w:spacing w:after="100"/>
              <w:rPr>
                <w:rFonts w:eastAsia="Times New Roman"/>
                <w:sz w:val="20"/>
                <w:szCs w:val="20"/>
              </w:rPr>
            </w:pPr>
          </w:p>
        </w:tc>
        <w:tc>
          <w:tcPr>
            <w:tcW w:w="5" w:type="pct"/>
            <w:vAlign w:val="center"/>
            <w:hideMark/>
          </w:tcPr>
          <w:p w14:paraId="47703DEC" w14:textId="77777777" w:rsidR="00000000" w:rsidRDefault="00A173A8">
            <w:pPr>
              <w:spacing w:after="100"/>
              <w:rPr>
                <w:rFonts w:eastAsia="Times New Roman"/>
                <w:sz w:val="20"/>
                <w:szCs w:val="20"/>
              </w:rPr>
            </w:pPr>
          </w:p>
        </w:tc>
        <w:tc>
          <w:tcPr>
            <w:tcW w:w="5" w:type="pct"/>
            <w:vAlign w:val="center"/>
            <w:hideMark/>
          </w:tcPr>
          <w:p w14:paraId="3804648C" w14:textId="77777777" w:rsidR="00000000" w:rsidRDefault="00A173A8">
            <w:pPr>
              <w:spacing w:after="100"/>
              <w:rPr>
                <w:rFonts w:eastAsia="Times New Roman"/>
                <w:sz w:val="20"/>
                <w:szCs w:val="20"/>
              </w:rPr>
            </w:pPr>
          </w:p>
        </w:tc>
        <w:tc>
          <w:tcPr>
            <w:tcW w:w="26" w:type="pct"/>
            <w:vAlign w:val="center"/>
            <w:hideMark/>
          </w:tcPr>
          <w:p w14:paraId="1B921239" w14:textId="77777777" w:rsidR="00000000" w:rsidRDefault="00A173A8">
            <w:pPr>
              <w:spacing w:after="100"/>
              <w:rPr>
                <w:rFonts w:eastAsia="Times New Roman"/>
                <w:sz w:val="20"/>
                <w:szCs w:val="20"/>
              </w:rPr>
            </w:pPr>
          </w:p>
        </w:tc>
        <w:tc>
          <w:tcPr>
            <w:tcW w:w="5" w:type="pct"/>
            <w:vAlign w:val="center"/>
            <w:hideMark/>
          </w:tcPr>
          <w:p w14:paraId="4DD1D37F" w14:textId="77777777" w:rsidR="00000000" w:rsidRDefault="00A173A8">
            <w:pPr>
              <w:spacing w:after="100"/>
              <w:rPr>
                <w:rFonts w:eastAsia="Times New Roman"/>
                <w:sz w:val="20"/>
                <w:szCs w:val="20"/>
              </w:rPr>
            </w:pPr>
          </w:p>
        </w:tc>
        <w:tc>
          <w:tcPr>
            <w:tcW w:w="50" w:type="pct"/>
            <w:vAlign w:val="center"/>
            <w:hideMark/>
          </w:tcPr>
          <w:p w14:paraId="05AB9139" w14:textId="77777777" w:rsidR="00000000" w:rsidRDefault="00A173A8">
            <w:pPr>
              <w:spacing w:after="100"/>
              <w:rPr>
                <w:rFonts w:eastAsia="Times New Roman"/>
                <w:sz w:val="20"/>
                <w:szCs w:val="20"/>
              </w:rPr>
            </w:pPr>
          </w:p>
        </w:tc>
        <w:tc>
          <w:tcPr>
            <w:tcW w:w="559" w:type="pct"/>
            <w:vAlign w:val="center"/>
            <w:hideMark/>
          </w:tcPr>
          <w:p w14:paraId="21EEE245" w14:textId="77777777" w:rsidR="00000000" w:rsidRDefault="00A173A8">
            <w:pPr>
              <w:spacing w:after="100"/>
              <w:rPr>
                <w:rFonts w:eastAsia="Times New Roman"/>
                <w:sz w:val="20"/>
                <w:szCs w:val="20"/>
              </w:rPr>
            </w:pPr>
          </w:p>
        </w:tc>
        <w:tc>
          <w:tcPr>
            <w:tcW w:w="5" w:type="pct"/>
            <w:vAlign w:val="center"/>
            <w:hideMark/>
          </w:tcPr>
          <w:p w14:paraId="646B2B22" w14:textId="77777777" w:rsidR="00000000" w:rsidRDefault="00A173A8">
            <w:pPr>
              <w:spacing w:after="100"/>
              <w:rPr>
                <w:rFonts w:eastAsia="Times New Roman"/>
                <w:sz w:val="20"/>
                <w:szCs w:val="20"/>
              </w:rPr>
            </w:pPr>
          </w:p>
        </w:tc>
        <w:tc>
          <w:tcPr>
            <w:tcW w:w="0" w:type="auto"/>
            <w:vAlign w:val="center"/>
            <w:hideMark/>
          </w:tcPr>
          <w:p w14:paraId="7E62AEC9" w14:textId="77777777" w:rsidR="00000000" w:rsidRDefault="00A173A8">
            <w:pPr>
              <w:spacing w:after="100"/>
              <w:rPr>
                <w:rFonts w:eastAsia="Times New Roman"/>
                <w:sz w:val="20"/>
                <w:szCs w:val="20"/>
              </w:rPr>
            </w:pPr>
          </w:p>
        </w:tc>
        <w:tc>
          <w:tcPr>
            <w:tcW w:w="0" w:type="auto"/>
            <w:vAlign w:val="center"/>
            <w:hideMark/>
          </w:tcPr>
          <w:p w14:paraId="2AD84364" w14:textId="77777777" w:rsidR="00000000" w:rsidRDefault="00A173A8">
            <w:pPr>
              <w:spacing w:after="100"/>
              <w:rPr>
                <w:rFonts w:eastAsia="Times New Roman"/>
                <w:sz w:val="20"/>
                <w:szCs w:val="20"/>
              </w:rPr>
            </w:pPr>
          </w:p>
        </w:tc>
      </w:tr>
      <w:tr w:rsidR="00000000" w14:paraId="6C8A9251" w14:textId="77777777">
        <w:trPr>
          <w:divId w:val="1618953005"/>
        </w:trPr>
        <w:tc>
          <w:tcPr>
            <w:tcW w:w="0" w:type="auto"/>
            <w:gridSpan w:val="3"/>
            <w:tcMar>
              <w:top w:w="0" w:type="dxa"/>
              <w:left w:w="20" w:type="dxa"/>
              <w:bottom w:w="0" w:type="dxa"/>
              <w:right w:w="20" w:type="dxa"/>
            </w:tcMar>
            <w:vAlign w:val="center"/>
            <w:hideMark/>
          </w:tcPr>
          <w:p w14:paraId="5DADF98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4A4758"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A9FE79E"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03855A90" w14:textId="77777777" w:rsidR="00000000" w:rsidRDefault="00A173A8">
            <w:pPr>
              <w:spacing w:after="100"/>
              <w:jc w:val="center"/>
              <w:rPr>
                <w:rFonts w:eastAsia="Times New Roman"/>
              </w:rPr>
            </w:pPr>
          </w:p>
        </w:tc>
        <w:tc>
          <w:tcPr>
            <w:tcW w:w="0" w:type="auto"/>
            <w:vAlign w:val="center"/>
            <w:hideMark/>
          </w:tcPr>
          <w:p w14:paraId="2DF008B3" w14:textId="77777777" w:rsidR="00000000" w:rsidRDefault="00A173A8">
            <w:pPr>
              <w:spacing w:after="100"/>
              <w:rPr>
                <w:rFonts w:eastAsia="Times New Roman"/>
                <w:sz w:val="20"/>
                <w:szCs w:val="20"/>
              </w:rPr>
            </w:pPr>
          </w:p>
        </w:tc>
      </w:tr>
      <w:tr w:rsidR="00000000" w14:paraId="05A52EEB" w14:textId="77777777">
        <w:trPr>
          <w:divId w:val="1618953005"/>
        </w:trPr>
        <w:tc>
          <w:tcPr>
            <w:tcW w:w="0" w:type="auto"/>
            <w:gridSpan w:val="3"/>
            <w:tcBorders>
              <w:bottom w:val="single" w:sz="8" w:space="0" w:color="000000"/>
            </w:tcBorders>
            <w:tcMar>
              <w:top w:w="30" w:type="dxa"/>
              <w:left w:w="20" w:type="dxa"/>
              <w:bottom w:w="30" w:type="dxa"/>
              <w:right w:w="20" w:type="dxa"/>
            </w:tcMar>
            <w:vAlign w:val="bottom"/>
            <w:hideMark/>
          </w:tcPr>
          <w:p w14:paraId="1B1C1EB8"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0D344E6"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406ED0A"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8C08F6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E49EBB6"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vAlign w:val="center"/>
            <w:hideMark/>
          </w:tcPr>
          <w:p w14:paraId="44E46CAC" w14:textId="77777777" w:rsidR="00000000" w:rsidRDefault="00A173A8">
            <w:pPr>
              <w:spacing w:after="100"/>
              <w:jc w:val="center"/>
              <w:rPr>
                <w:rFonts w:eastAsia="Times New Roman"/>
              </w:rPr>
            </w:pPr>
          </w:p>
        </w:tc>
        <w:tc>
          <w:tcPr>
            <w:tcW w:w="0" w:type="auto"/>
            <w:vAlign w:val="center"/>
            <w:hideMark/>
          </w:tcPr>
          <w:p w14:paraId="0A29EE3C" w14:textId="77777777" w:rsidR="00000000" w:rsidRDefault="00A173A8">
            <w:pPr>
              <w:spacing w:after="100"/>
              <w:rPr>
                <w:rFonts w:eastAsia="Times New Roman"/>
                <w:sz w:val="20"/>
                <w:szCs w:val="20"/>
              </w:rPr>
            </w:pPr>
          </w:p>
        </w:tc>
      </w:tr>
      <w:tr w:rsidR="00000000" w14:paraId="0FD8BF14" w14:textId="77777777">
        <w:trPr>
          <w:divId w:val="161895300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D05ACE9" w14:textId="77777777" w:rsidR="00000000" w:rsidRDefault="00A173A8">
            <w:pPr>
              <w:spacing w:after="100"/>
              <w:rPr>
                <w:rFonts w:eastAsia="Times New Roman"/>
              </w:rPr>
            </w:pPr>
            <w:r>
              <w:rPr>
                <w:rFonts w:eastAsia="Times New Roman"/>
                <w:color w:val="000000"/>
                <w:sz w:val="18"/>
                <w:szCs w:val="18"/>
              </w:rPr>
              <w:t>Estimated reimbursements from partners, beginning of period</w:t>
            </w:r>
          </w:p>
        </w:tc>
        <w:tc>
          <w:tcPr>
            <w:tcW w:w="0" w:type="auto"/>
            <w:gridSpan w:val="3"/>
            <w:shd w:val="clear" w:color="auto" w:fill="CCEEFF"/>
            <w:tcMar>
              <w:top w:w="0" w:type="dxa"/>
              <w:left w:w="20" w:type="dxa"/>
              <w:bottom w:w="0" w:type="dxa"/>
              <w:right w:w="20" w:type="dxa"/>
            </w:tcMar>
            <w:vAlign w:val="center"/>
            <w:hideMark/>
          </w:tcPr>
          <w:p w14:paraId="4DC741AF"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02FA4A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ECC587B" w14:textId="77777777" w:rsidR="00000000" w:rsidRDefault="00A173A8">
            <w:pPr>
              <w:spacing w:after="100"/>
              <w:jc w:val="right"/>
              <w:rPr>
                <w:rFonts w:eastAsia="Times New Roman"/>
              </w:rPr>
            </w:pPr>
            <w:r>
              <w:rPr>
                <w:rFonts w:eastAsia="Times New Roman"/>
                <w:color w:val="000000"/>
                <w:sz w:val="18"/>
                <w:szCs w:val="18"/>
              </w:rPr>
              <w:t>1,450 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06B615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22DC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723301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BF7D0EC" w14:textId="77777777" w:rsidR="00000000" w:rsidRDefault="00A173A8">
            <w:pPr>
              <w:spacing w:after="100"/>
              <w:jc w:val="right"/>
              <w:rPr>
                <w:rFonts w:eastAsia="Times New Roman"/>
              </w:rPr>
            </w:pPr>
            <w:r>
              <w:rPr>
                <w:rFonts w:eastAsia="Times New Roman"/>
                <w:color w:val="000000"/>
                <w:sz w:val="18"/>
                <w:szCs w:val="18"/>
              </w:rPr>
              <w:t>2,159 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16B1FF" w14:textId="77777777" w:rsidR="00000000" w:rsidRDefault="00A173A8">
            <w:pPr>
              <w:spacing w:after="100"/>
              <w:jc w:val="right"/>
              <w:rPr>
                <w:rFonts w:eastAsia="Times New Roman"/>
              </w:rPr>
            </w:pPr>
          </w:p>
        </w:tc>
        <w:tc>
          <w:tcPr>
            <w:tcW w:w="0" w:type="auto"/>
            <w:vAlign w:val="center"/>
            <w:hideMark/>
          </w:tcPr>
          <w:p w14:paraId="3AB74952" w14:textId="77777777" w:rsidR="00000000" w:rsidRDefault="00A173A8">
            <w:pPr>
              <w:spacing w:after="100"/>
              <w:jc w:val="right"/>
              <w:rPr>
                <w:rFonts w:eastAsia="Times New Roman"/>
                <w:sz w:val="20"/>
                <w:szCs w:val="20"/>
              </w:rPr>
            </w:pPr>
          </w:p>
        </w:tc>
        <w:tc>
          <w:tcPr>
            <w:tcW w:w="0" w:type="auto"/>
            <w:vAlign w:val="center"/>
            <w:hideMark/>
          </w:tcPr>
          <w:p w14:paraId="2484A5C8" w14:textId="77777777" w:rsidR="00000000" w:rsidRDefault="00A173A8">
            <w:pPr>
              <w:spacing w:after="100"/>
              <w:rPr>
                <w:rFonts w:eastAsia="Times New Roman"/>
                <w:sz w:val="20"/>
                <w:szCs w:val="20"/>
              </w:rPr>
            </w:pPr>
          </w:p>
        </w:tc>
      </w:tr>
      <w:tr w:rsidR="00000000" w14:paraId="71AF8390" w14:textId="77777777">
        <w:trPr>
          <w:divId w:val="1618953005"/>
        </w:trPr>
        <w:tc>
          <w:tcPr>
            <w:tcW w:w="0" w:type="auto"/>
            <w:gridSpan w:val="3"/>
            <w:shd w:val="clear" w:color="auto" w:fill="FFFFFF"/>
            <w:tcMar>
              <w:top w:w="30" w:type="dxa"/>
              <w:left w:w="20" w:type="dxa"/>
              <w:bottom w:w="30" w:type="dxa"/>
              <w:right w:w="20" w:type="dxa"/>
            </w:tcMar>
            <w:vAlign w:val="center"/>
            <w:hideMark/>
          </w:tcPr>
          <w:p w14:paraId="09271871" w14:textId="77777777" w:rsidR="00000000" w:rsidRDefault="00A173A8">
            <w:pPr>
              <w:spacing w:after="100"/>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14:paraId="3BE1670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13AC91E" w14:textId="77777777" w:rsidR="00000000" w:rsidRDefault="00A173A8">
            <w:pPr>
              <w:spacing w:after="100"/>
              <w:jc w:val="right"/>
              <w:rPr>
                <w:rFonts w:eastAsia="Times New Roman"/>
              </w:rPr>
            </w:pPr>
            <w:r>
              <w:rPr>
                <w:rFonts w:eastAsia="Times New Roman"/>
                <w:b/>
                <w:bCs/>
                <w:color w:val="000000"/>
                <w:sz w:val="18"/>
                <w:szCs w:val="18"/>
              </w:rPr>
              <w:t>(226)</w:t>
            </w:r>
          </w:p>
        </w:tc>
        <w:tc>
          <w:tcPr>
            <w:tcW w:w="0" w:type="auto"/>
            <w:shd w:val="clear" w:color="auto" w:fill="FFFFFF"/>
            <w:tcMar>
              <w:top w:w="30" w:type="dxa"/>
              <w:left w:w="0" w:type="dxa"/>
              <w:bottom w:w="30" w:type="dxa"/>
              <w:right w:w="20" w:type="dxa"/>
            </w:tcMar>
            <w:vAlign w:val="center"/>
            <w:hideMark/>
          </w:tcPr>
          <w:p w14:paraId="57425F9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5ACA1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080689" w14:textId="77777777" w:rsidR="00000000" w:rsidRDefault="00A173A8">
            <w:pPr>
              <w:spacing w:after="100"/>
              <w:jc w:val="right"/>
              <w:rPr>
                <w:rFonts w:eastAsia="Times New Roman"/>
              </w:rPr>
            </w:pPr>
            <w:r>
              <w:rPr>
                <w:rFonts w:eastAsia="Times New Roman"/>
                <w:color w:val="000000"/>
                <w:sz w:val="18"/>
                <w:szCs w:val="18"/>
              </w:rPr>
              <w:t>(269)</w:t>
            </w:r>
          </w:p>
        </w:tc>
        <w:tc>
          <w:tcPr>
            <w:tcW w:w="0" w:type="auto"/>
            <w:shd w:val="clear" w:color="auto" w:fill="FFFFFF"/>
            <w:tcMar>
              <w:top w:w="30" w:type="dxa"/>
              <w:left w:w="0" w:type="dxa"/>
              <w:bottom w:w="30" w:type="dxa"/>
              <w:right w:w="20" w:type="dxa"/>
            </w:tcMar>
            <w:vAlign w:val="center"/>
            <w:hideMark/>
          </w:tcPr>
          <w:p w14:paraId="54EF8D5C" w14:textId="77777777" w:rsidR="00000000" w:rsidRDefault="00A173A8">
            <w:pPr>
              <w:spacing w:after="100"/>
              <w:jc w:val="right"/>
              <w:rPr>
                <w:rFonts w:eastAsia="Times New Roman"/>
              </w:rPr>
            </w:pPr>
          </w:p>
        </w:tc>
        <w:tc>
          <w:tcPr>
            <w:tcW w:w="0" w:type="auto"/>
            <w:vAlign w:val="center"/>
            <w:hideMark/>
          </w:tcPr>
          <w:p w14:paraId="050EE93A" w14:textId="77777777" w:rsidR="00000000" w:rsidRDefault="00A173A8">
            <w:pPr>
              <w:spacing w:after="100"/>
              <w:jc w:val="right"/>
              <w:rPr>
                <w:rFonts w:eastAsia="Times New Roman"/>
                <w:sz w:val="20"/>
                <w:szCs w:val="20"/>
              </w:rPr>
            </w:pPr>
          </w:p>
        </w:tc>
        <w:tc>
          <w:tcPr>
            <w:tcW w:w="0" w:type="auto"/>
            <w:vAlign w:val="center"/>
            <w:hideMark/>
          </w:tcPr>
          <w:p w14:paraId="281611A4" w14:textId="77777777" w:rsidR="00000000" w:rsidRDefault="00A173A8">
            <w:pPr>
              <w:spacing w:after="100"/>
              <w:rPr>
                <w:rFonts w:eastAsia="Times New Roman"/>
                <w:sz w:val="20"/>
                <w:szCs w:val="20"/>
              </w:rPr>
            </w:pPr>
          </w:p>
        </w:tc>
      </w:tr>
      <w:tr w:rsidR="00000000" w14:paraId="0904B9A6" w14:textId="77777777">
        <w:trPr>
          <w:divId w:val="1618953005"/>
        </w:trPr>
        <w:tc>
          <w:tcPr>
            <w:tcW w:w="0" w:type="auto"/>
            <w:gridSpan w:val="3"/>
            <w:shd w:val="clear" w:color="auto" w:fill="CCEEFF"/>
            <w:tcMar>
              <w:top w:w="30" w:type="dxa"/>
              <w:left w:w="20" w:type="dxa"/>
              <w:bottom w:w="30" w:type="dxa"/>
              <w:right w:w="20" w:type="dxa"/>
            </w:tcMar>
            <w:vAlign w:val="center"/>
            <w:hideMark/>
          </w:tcPr>
          <w:p w14:paraId="755713FC" w14:textId="77777777" w:rsidR="00000000" w:rsidRDefault="00A173A8">
            <w:pPr>
              <w:spacing w:after="100"/>
              <w:rPr>
                <w:rFonts w:eastAsia="Times New Roman"/>
              </w:rPr>
            </w:pPr>
            <w:r>
              <w:rPr>
                <w:rFonts w:eastAsia="Times New Roman"/>
                <w:color w:val="000000"/>
                <w:sz w:val="18"/>
                <w:szCs w:val="18"/>
              </w:rPr>
              <w:t>Amounts expected to become due from (to) partners which reduced (increased) provision for credit losses</w:t>
            </w:r>
          </w:p>
        </w:tc>
        <w:tc>
          <w:tcPr>
            <w:tcW w:w="0" w:type="auto"/>
            <w:gridSpan w:val="3"/>
            <w:shd w:val="clear" w:color="auto" w:fill="CCEEFF"/>
            <w:tcMar>
              <w:top w:w="0" w:type="dxa"/>
              <w:left w:w="20" w:type="dxa"/>
              <w:bottom w:w="0" w:type="dxa"/>
              <w:right w:w="20" w:type="dxa"/>
            </w:tcMar>
            <w:vAlign w:val="center"/>
            <w:hideMark/>
          </w:tcPr>
          <w:p w14:paraId="28A6A14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8729CB" w14:textId="77777777" w:rsidR="00000000" w:rsidRDefault="00A173A8">
            <w:pPr>
              <w:spacing w:after="100"/>
              <w:jc w:val="right"/>
              <w:rPr>
                <w:rFonts w:eastAsia="Times New Roman"/>
              </w:rPr>
            </w:pPr>
            <w:r>
              <w:rPr>
                <w:rFonts w:eastAsia="Times New Roman"/>
                <w:b/>
                <w:bCs/>
                <w:color w:val="000000"/>
                <w:sz w:val="18"/>
                <w:szCs w:val="18"/>
              </w:rPr>
              <w:t>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5B1F4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B81B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3B4528" w14:textId="77777777" w:rsidR="00000000" w:rsidRDefault="00A173A8">
            <w:pPr>
              <w:spacing w:after="100"/>
              <w:jc w:val="right"/>
              <w:rPr>
                <w:rFonts w:eastAsia="Times New Roman"/>
              </w:rPr>
            </w:pPr>
            <w:r>
              <w:rPr>
                <w:rFonts w:eastAsia="Times New Roman"/>
                <w:color w:val="000000"/>
                <w:sz w:val="18"/>
                <w:szCs w:val="18"/>
              </w:rPr>
              <w:t>(179)</w:t>
            </w:r>
          </w:p>
        </w:tc>
        <w:tc>
          <w:tcPr>
            <w:tcW w:w="0" w:type="auto"/>
            <w:shd w:val="clear" w:color="auto" w:fill="CCEEFF"/>
            <w:tcMar>
              <w:top w:w="30" w:type="dxa"/>
              <w:left w:w="0" w:type="dxa"/>
              <w:bottom w:w="30" w:type="dxa"/>
              <w:right w:w="20" w:type="dxa"/>
            </w:tcMar>
            <w:vAlign w:val="bottom"/>
            <w:hideMark/>
          </w:tcPr>
          <w:p w14:paraId="17D8F1EA" w14:textId="77777777" w:rsidR="00000000" w:rsidRDefault="00A173A8">
            <w:pPr>
              <w:spacing w:after="100"/>
              <w:jc w:val="right"/>
              <w:rPr>
                <w:rFonts w:eastAsia="Times New Roman"/>
              </w:rPr>
            </w:pPr>
          </w:p>
        </w:tc>
        <w:tc>
          <w:tcPr>
            <w:tcW w:w="0" w:type="auto"/>
            <w:vAlign w:val="center"/>
            <w:hideMark/>
          </w:tcPr>
          <w:p w14:paraId="78C56470" w14:textId="77777777" w:rsidR="00000000" w:rsidRDefault="00A173A8">
            <w:pPr>
              <w:spacing w:after="100"/>
              <w:jc w:val="right"/>
              <w:rPr>
                <w:rFonts w:eastAsia="Times New Roman"/>
                <w:sz w:val="20"/>
                <w:szCs w:val="20"/>
              </w:rPr>
            </w:pPr>
          </w:p>
        </w:tc>
        <w:tc>
          <w:tcPr>
            <w:tcW w:w="0" w:type="auto"/>
            <w:vAlign w:val="center"/>
            <w:hideMark/>
          </w:tcPr>
          <w:p w14:paraId="47AB1300" w14:textId="77777777" w:rsidR="00000000" w:rsidRDefault="00A173A8">
            <w:pPr>
              <w:spacing w:after="100"/>
              <w:rPr>
                <w:rFonts w:eastAsia="Times New Roman"/>
                <w:sz w:val="20"/>
                <w:szCs w:val="20"/>
              </w:rPr>
            </w:pPr>
          </w:p>
        </w:tc>
      </w:tr>
      <w:tr w:rsidR="00000000" w14:paraId="60AB3B78" w14:textId="77777777">
        <w:trPr>
          <w:divId w:val="1618953005"/>
        </w:trPr>
        <w:tc>
          <w:tcPr>
            <w:tcW w:w="0" w:type="auto"/>
            <w:gridSpan w:val="3"/>
            <w:shd w:val="clear" w:color="auto" w:fill="FFFFFF"/>
            <w:tcMar>
              <w:top w:w="30" w:type="dxa"/>
              <w:left w:w="20" w:type="dxa"/>
              <w:bottom w:w="30" w:type="dxa"/>
              <w:right w:w="20" w:type="dxa"/>
            </w:tcMar>
            <w:vAlign w:val="center"/>
            <w:hideMark/>
          </w:tcPr>
          <w:p w14:paraId="1552D632" w14:textId="77777777" w:rsidR="00000000" w:rsidRDefault="00A173A8">
            <w:pPr>
              <w:spacing w:after="100"/>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14:paraId="25EFFB2E"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283E456"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8DB7BCE" w14:textId="77777777" w:rsidR="00000000" w:rsidRDefault="00A173A8">
            <w:pPr>
              <w:spacing w:after="100"/>
              <w:jc w:val="right"/>
              <w:rPr>
                <w:rFonts w:eastAsia="Times New Roman"/>
              </w:rPr>
            </w:pPr>
            <w:r>
              <w:rPr>
                <w:rFonts w:eastAsia="Times New Roman"/>
                <w:b/>
                <w:bCs/>
                <w:color w:val="000000"/>
                <w:sz w:val="18"/>
                <w:szCs w:val="18"/>
              </w:rPr>
              <w:t>1,302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729490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E3956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6E7F7B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C17437B" w14:textId="77777777" w:rsidR="00000000" w:rsidRDefault="00A173A8">
            <w:pPr>
              <w:spacing w:after="100"/>
              <w:jc w:val="right"/>
              <w:rPr>
                <w:rFonts w:eastAsia="Times New Roman"/>
              </w:rPr>
            </w:pPr>
            <w:r>
              <w:rPr>
                <w:rFonts w:eastAsia="Times New Roman"/>
                <w:color w:val="000000"/>
                <w:sz w:val="18"/>
                <w:szCs w:val="18"/>
              </w:rPr>
              <w:t>1,711 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384A644" w14:textId="77777777" w:rsidR="00000000" w:rsidRDefault="00A173A8">
            <w:pPr>
              <w:spacing w:after="100"/>
              <w:jc w:val="right"/>
              <w:rPr>
                <w:rFonts w:eastAsia="Times New Roman"/>
              </w:rPr>
            </w:pPr>
          </w:p>
        </w:tc>
        <w:tc>
          <w:tcPr>
            <w:tcW w:w="0" w:type="auto"/>
            <w:vAlign w:val="center"/>
            <w:hideMark/>
          </w:tcPr>
          <w:p w14:paraId="02EB5DB7" w14:textId="77777777" w:rsidR="00000000" w:rsidRDefault="00A173A8">
            <w:pPr>
              <w:spacing w:after="100"/>
              <w:jc w:val="right"/>
              <w:rPr>
                <w:rFonts w:eastAsia="Times New Roman"/>
                <w:sz w:val="20"/>
                <w:szCs w:val="20"/>
              </w:rPr>
            </w:pPr>
          </w:p>
        </w:tc>
        <w:tc>
          <w:tcPr>
            <w:tcW w:w="0" w:type="auto"/>
            <w:vAlign w:val="center"/>
            <w:hideMark/>
          </w:tcPr>
          <w:p w14:paraId="1A76F53F"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5192FC05" w14:textId="77777777">
        <w:trPr>
          <w:jc w:val="center"/>
        </w:trPr>
        <w:tc>
          <w:tcPr>
            <w:tcW w:w="50" w:type="pct"/>
            <w:vAlign w:val="center"/>
            <w:hideMark/>
          </w:tcPr>
          <w:p w14:paraId="24154350" w14:textId="77777777" w:rsidR="00000000" w:rsidRDefault="00A173A8">
            <w:pPr>
              <w:rPr>
                <w:rFonts w:eastAsia="Times New Roman"/>
              </w:rPr>
            </w:pPr>
          </w:p>
        </w:tc>
        <w:tc>
          <w:tcPr>
            <w:tcW w:w="1606" w:type="pct"/>
            <w:vAlign w:val="center"/>
            <w:hideMark/>
          </w:tcPr>
          <w:p w14:paraId="5EC409EF" w14:textId="77777777" w:rsidR="00000000" w:rsidRDefault="00A173A8">
            <w:pPr>
              <w:spacing w:after="100"/>
              <w:rPr>
                <w:rFonts w:eastAsia="Times New Roman"/>
                <w:sz w:val="20"/>
                <w:szCs w:val="20"/>
              </w:rPr>
            </w:pPr>
          </w:p>
        </w:tc>
        <w:tc>
          <w:tcPr>
            <w:tcW w:w="5" w:type="pct"/>
            <w:vAlign w:val="center"/>
            <w:hideMark/>
          </w:tcPr>
          <w:p w14:paraId="21BE06AB" w14:textId="77777777" w:rsidR="00000000" w:rsidRDefault="00A173A8">
            <w:pPr>
              <w:spacing w:after="100"/>
              <w:rPr>
                <w:rFonts w:eastAsia="Times New Roman"/>
                <w:sz w:val="20"/>
                <w:szCs w:val="20"/>
              </w:rPr>
            </w:pPr>
          </w:p>
        </w:tc>
        <w:tc>
          <w:tcPr>
            <w:tcW w:w="50" w:type="pct"/>
            <w:vAlign w:val="center"/>
            <w:hideMark/>
          </w:tcPr>
          <w:p w14:paraId="121296BB" w14:textId="77777777" w:rsidR="00000000" w:rsidRDefault="00A173A8">
            <w:pPr>
              <w:spacing w:after="100"/>
              <w:rPr>
                <w:rFonts w:eastAsia="Times New Roman"/>
                <w:sz w:val="20"/>
                <w:szCs w:val="20"/>
              </w:rPr>
            </w:pPr>
          </w:p>
        </w:tc>
        <w:tc>
          <w:tcPr>
            <w:tcW w:w="1614" w:type="pct"/>
            <w:vAlign w:val="center"/>
            <w:hideMark/>
          </w:tcPr>
          <w:p w14:paraId="6E2D37C8" w14:textId="77777777" w:rsidR="00000000" w:rsidRDefault="00A173A8">
            <w:pPr>
              <w:spacing w:after="100"/>
              <w:rPr>
                <w:rFonts w:eastAsia="Times New Roman"/>
                <w:sz w:val="20"/>
                <w:szCs w:val="20"/>
              </w:rPr>
            </w:pPr>
          </w:p>
        </w:tc>
        <w:tc>
          <w:tcPr>
            <w:tcW w:w="5" w:type="pct"/>
            <w:vAlign w:val="center"/>
            <w:hideMark/>
          </w:tcPr>
          <w:p w14:paraId="57C1E82B" w14:textId="77777777" w:rsidR="00000000" w:rsidRDefault="00A173A8">
            <w:pPr>
              <w:spacing w:after="100"/>
              <w:rPr>
                <w:rFonts w:eastAsia="Times New Roman"/>
                <w:sz w:val="20"/>
                <w:szCs w:val="20"/>
              </w:rPr>
            </w:pPr>
          </w:p>
        </w:tc>
        <w:tc>
          <w:tcPr>
            <w:tcW w:w="50" w:type="pct"/>
            <w:vAlign w:val="center"/>
            <w:hideMark/>
          </w:tcPr>
          <w:p w14:paraId="44F4A4D8" w14:textId="77777777" w:rsidR="00000000" w:rsidRDefault="00A173A8">
            <w:pPr>
              <w:spacing w:after="100"/>
              <w:rPr>
                <w:rFonts w:eastAsia="Times New Roman"/>
                <w:sz w:val="20"/>
                <w:szCs w:val="20"/>
              </w:rPr>
            </w:pPr>
          </w:p>
        </w:tc>
        <w:tc>
          <w:tcPr>
            <w:tcW w:w="1614" w:type="pct"/>
            <w:vAlign w:val="center"/>
            <w:hideMark/>
          </w:tcPr>
          <w:p w14:paraId="7864C988" w14:textId="77777777" w:rsidR="00000000" w:rsidRDefault="00A173A8">
            <w:pPr>
              <w:spacing w:after="100"/>
              <w:rPr>
                <w:rFonts w:eastAsia="Times New Roman"/>
                <w:sz w:val="20"/>
                <w:szCs w:val="20"/>
              </w:rPr>
            </w:pPr>
          </w:p>
        </w:tc>
        <w:tc>
          <w:tcPr>
            <w:tcW w:w="5" w:type="pct"/>
            <w:vAlign w:val="center"/>
            <w:hideMark/>
          </w:tcPr>
          <w:p w14:paraId="4D946928" w14:textId="77777777" w:rsidR="00000000" w:rsidRDefault="00A173A8">
            <w:pPr>
              <w:spacing w:after="100"/>
              <w:rPr>
                <w:rFonts w:eastAsia="Times New Roman"/>
                <w:sz w:val="20"/>
                <w:szCs w:val="20"/>
              </w:rPr>
            </w:pPr>
          </w:p>
        </w:tc>
      </w:tr>
      <w:tr w:rsidR="00000000" w14:paraId="0B3A2D6F" w14:textId="77777777">
        <w:trPr>
          <w:trHeight w:val="300"/>
          <w:jc w:val="center"/>
        </w:trPr>
        <w:tc>
          <w:tcPr>
            <w:tcW w:w="0" w:type="auto"/>
            <w:gridSpan w:val="9"/>
            <w:tcMar>
              <w:top w:w="0" w:type="dxa"/>
              <w:left w:w="20" w:type="dxa"/>
              <w:bottom w:w="0" w:type="dxa"/>
              <w:right w:w="20" w:type="dxa"/>
            </w:tcMar>
            <w:vAlign w:val="center"/>
            <w:hideMark/>
          </w:tcPr>
          <w:p w14:paraId="0EDB3984" w14:textId="77777777" w:rsidR="00000000" w:rsidRDefault="00A173A8">
            <w:pPr>
              <w:spacing w:after="100"/>
              <w:rPr>
                <w:rFonts w:eastAsia="Times New Roman"/>
                <w:sz w:val="20"/>
                <w:szCs w:val="20"/>
              </w:rPr>
            </w:pPr>
          </w:p>
        </w:tc>
      </w:tr>
      <w:tr w:rsidR="00000000" w14:paraId="3FF073BE" w14:textId="77777777">
        <w:trPr>
          <w:jc w:val="center"/>
        </w:trPr>
        <w:tc>
          <w:tcPr>
            <w:tcW w:w="0" w:type="auto"/>
            <w:gridSpan w:val="3"/>
            <w:tcMar>
              <w:top w:w="0" w:type="dxa"/>
              <w:left w:w="20" w:type="dxa"/>
              <w:bottom w:w="0" w:type="dxa"/>
              <w:right w:w="20" w:type="dxa"/>
            </w:tcMar>
            <w:vAlign w:val="center"/>
            <w:hideMark/>
          </w:tcPr>
          <w:p w14:paraId="51EDC2C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9573D9E" w14:textId="77777777" w:rsidR="00000000" w:rsidRDefault="00A173A8">
            <w:pPr>
              <w:spacing w:after="100"/>
              <w:jc w:val="center"/>
              <w:rPr>
                <w:rFonts w:eastAsia="Times New Roman"/>
              </w:rPr>
            </w:pPr>
            <w:r>
              <w:rPr>
                <w:rFonts w:eastAsia="Times New Roman"/>
                <w:color w:val="000000"/>
                <w:sz w:val="16"/>
                <w:szCs w:val="16"/>
              </w:rPr>
              <w:t>86</w:t>
            </w:r>
          </w:p>
        </w:tc>
        <w:tc>
          <w:tcPr>
            <w:tcW w:w="0" w:type="auto"/>
            <w:gridSpan w:val="3"/>
            <w:tcMar>
              <w:top w:w="30" w:type="dxa"/>
              <w:left w:w="20" w:type="dxa"/>
              <w:bottom w:w="30" w:type="dxa"/>
              <w:right w:w="20" w:type="dxa"/>
            </w:tcMar>
            <w:vAlign w:val="bottom"/>
            <w:hideMark/>
          </w:tcPr>
          <w:p w14:paraId="12E395A4"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6951E96" w14:textId="77777777" w:rsidR="00000000" w:rsidRDefault="00A173A8">
      <w:pPr>
        <w:rPr>
          <w:rFonts w:eastAsia="Times New Roman"/>
        </w:rPr>
      </w:pPr>
      <w:r>
        <w:rPr>
          <w:rFonts w:eastAsia="Times New Roman"/>
        </w:rPr>
        <w:pict w14:anchorId="487FFE1C">
          <v:rect id="_x0000_i1111" style="width:0;height:1.5pt" o:hralign="center" o:hrstd="t" o:hr="t" fillcolor="#a0a0a0" stroked="f"/>
        </w:pict>
      </w:r>
    </w:p>
    <w:p w14:paraId="21C31CD0" w14:textId="77777777" w:rsidR="00000000" w:rsidRDefault="00A173A8">
      <w:pPr>
        <w:jc w:val="both"/>
        <w:divId w:val="1821725154"/>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6C3A9DB" w14:textId="77777777">
        <w:trPr>
          <w:divId w:val="1043484994"/>
        </w:trPr>
        <w:tc>
          <w:tcPr>
            <w:tcW w:w="50" w:type="pct"/>
            <w:vAlign w:val="center"/>
            <w:hideMark/>
          </w:tcPr>
          <w:p w14:paraId="55351381" w14:textId="77777777" w:rsidR="00000000" w:rsidRDefault="00A173A8">
            <w:pPr>
              <w:jc w:val="both"/>
              <w:rPr>
                <w:rFonts w:eastAsia="Times New Roman"/>
              </w:rPr>
            </w:pPr>
          </w:p>
        </w:tc>
        <w:tc>
          <w:tcPr>
            <w:tcW w:w="4945" w:type="pct"/>
            <w:vAlign w:val="center"/>
            <w:hideMark/>
          </w:tcPr>
          <w:p w14:paraId="703A21B0" w14:textId="77777777" w:rsidR="00000000" w:rsidRDefault="00A173A8">
            <w:pPr>
              <w:spacing w:after="100"/>
              <w:rPr>
                <w:rFonts w:eastAsia="Times New Roman"/>
                <w:sz w:val="20"/>
                <w:szCs w:val="20"/>
              </w:rPr>
            </w:pPr>
          </w:p>
        </w:tc>
        <w:tc>
          <w:tcPr>
            <w:tcW w:w="5" w:type="pct"/>
            <w:vAlign w:val="center"/>
            <w:hideMark/>
          </w:tcPr>
          <w:p w14:paraId="012B5760" w14:textId="77777777" w:rsidR="00000000" w:rsidRDefault="00A173A8">
            <w:pPr>
              <w:spacing w:after="100"/>
              <w:rPr>
                <w:rFonts w:eastAsia="Times New Roman"/>
                <w:sz w:val="20"/>
                <w:szCs w:val="20"/>
              </w:rPr>
            </w:pPr>
          </w:p>
        </w:tc>
      </w:tr>
      <w:tr w:rsidR="00000000" w14:paraId="100EED04" w14:textId="77777777">
        <w:trPr>
          <w:divId w:val="104348499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B58284D" w14:textId="77777777" w:rsidR="00000000" w:rsidRDefault="00A173A8">
            <w:pPr>
              <w:spacing w:after="100"/>
              <w:rPr>
                <w:rFonts w:eastAsia="Times New Roman"/>
              </w:rPr>
            </w:pPr>
            <w:r>
              <w:rPr>
                <w:rFonts w:eastAsia="Times New Roman"/>
                <w:b/>
                <w:bCs/>
                <w:color w:val="000000"/>
                <w:sz w:val="20"/>
                <w:szCs w:val="20"/>
              </w:rPr>
              <w:t>NOTE 5—VARIABLE INTEREST ENTITIES AND SECURITIZATIONS</w:t>
            </w:r>
          </w:p>
        </w:tc>
      </w:tr>
    </w:tbl>
    <w:p w14:paraId="27A75A2B" w14:textId="77777777" w:rsidR="00000000" w:rsidRDefault="00A173A8">
      <w:pPr>
        <w:jc w:val="both"/>
        <w:divId w:val="1853717865"/>
        <w:rPr>
          <w:rFonts w:eastAsia="Times New Roman"/>
        </w:rPr>
      </w:pPr>
      <w:r>
        <w:rPr>
          <w:rFonts w:eastAsia="Times New Roman"/>
          <w:color w:val="000000"/>
          <w:sz w:val="20"/>
          <w:szCs w:val="20"/>
        </w:rPr>
        <w:t xml:space="preserve">In the normal course of business, we enter into various types of transactions with entities that are considered to be variable interest entities (“VIEs”). Our primary involvement with VIEs is related to our securitization transactions in which we transfer </w:t>
      </w:r>
      <w:r>
        <w:rPr>
          <w:rFonts w:eastAsia="Times New Roman"/>
          <w:color w:val="000000"/>
          <w:sz w:val="20"/>
          <w:szCs w:val="20"/>
        </w:rPr>
        <w:t>assets to securitization trusts. We primarily securitize credit card and auto loans, which has provided a source of funding for us and enabled us to transfer a certain portion of the economic risk of the loans or related debt securities to third parties.</w:t>
      </w:r>
    </w:p>
    <w:p w14:paraId="5A3AE170" w14:textId="77777777" w:rsidR="00000000" w:rsidRDefault="00A173A8">
      <w:pPr>
        <w:jc w:val="both"/>
        <w:divId w:val="1179005517"/>
        <w:rPr>
          <w:rFonts w:eastAsia="Times New Roman"/>
        </w:rPr>
      </w:pPr>
      <w:r>
        <w:rPr>
          <w:rFonts w:eastAsia="Times New Roman"/>
          <w:color w:val="000000"/>
          <w:sz w:val="20"/>
          <w:szCs w:val="20"/>
        </w:rPr>
        <w:t>T</w:t>
      </w:r>
      <w:r>
        <w:rPr>
          <w:rFonts w:eastAsia="Times New Roman"/>
          <w:color w:val="000000"/>
          <w:sz w:val="20"/>
          <w:szCs w:val="20"/>
        </w:rPr>
        <w:t>he entity that has a controlling financial interest in a VIE is referred to as the primary beneficiary and is required to consolidate the VIE. The majority of the VIEs in which we are involved have been consolidated in our financial statements.</w:t>
      </w:r>
    </w:p>
    <w:p w14:paraId="1FE759E9" w14:textId="77777777" w:rsidR="00000000" w:rsidRDefault="00A173A8">
      <w:pPr>
        <w:jc w:val="both"/>
        <w:divId w:val="1160346316"/>
        <w:rPr>
          <w:rFonts w:eastAsia="Times New Roman"/>
        </w:rPr>
      </w:pPr>
      <w:r>
        <w:rPr>
          <w:rFonts w:eastAsia="Times New Roman"/>
          <w:b/>
          <w:bCs/>
          <w:color w:val="000000"/>
          <w:sz w:val="20"/>
          <w:szCs w:val="20"/>
        </w:rPr>
        <w:t xml:space="preserve">Summary of </w:t>
      </w:r>
      <w:r>
        <w:rPr>
          <w:rFonts w:eastAsia="Times New Roman"/>
          <w:b/>
          <w:bCs/>
          <w:color w:val="000000"/>
          <w:sz w:val="20"/>
          <w:szCs w:val="20"/>
        </w:rPr>
        <w:t>Consolidated and Unconsolidated VIEs</w:t>
      </w:r>
    </w:p>
    <w:p w14:paraId="0970F96B" w14:textId="77777777" w:rsidR="00000000" w:rsidRDefault="00A173A8">
      <w:pPr>
        <w:jc w:val="both"/>
        <w:divId w:val="464086130"/>
        <w:rPr>
          <w:rFonts w:eastAsia="Times New Roman"/>
        </w:rPr>
      </w:pPr>
      <w:r>
        <w:rPr>
          <w:rFonts w:eastAsia="Times New Roman"/>
          <w:color w:val="000000"/>
          <w:sz w:val="20"/>
          <w:szCs w:val="20"/>
        </w:rPr>
        <w:t>The assets of our consolidated VIEs primarily consist of cash, loan receivables and the related allowance for credit losses, which we report on our consolidated balance sheets under restricted cash for securitization in</w:t>
      </w:r>
      <w:r>
        <w:rPr>
          <w:rFonts w:eastAsia="Times New Roman"/>
          <w:color w:val="000000"/>
          <w:sz w:val="20"/>
          <w:szCs w:val="20"/>
        </w:rPr>
        <w:t>vestors, loans held in consolidated trusts and allowance for credit losses, respectively. The assets of a particular VIE are the primary source of funds to settle its obligations. Creditors of these VIEs typically do not have recourse to our general credit</w:t>
      </w:r>
      <w:r>
        <w:rPr>
          <w:rFonts w:eastAsia="Times New Roman"/>
          <w:color w:val="000000"/>
          <w:sz w:val="20"/>
          <w:szCs w:val="20"/>
        </w:rPr>
        <w:t>. Liabilities primarily consist of debt securities issued by the VIEs, which we report under securitized debt obligations on our consolidated balance sheets. For unconsolidated VIEs, we present the carrying amount of assets and liabilities reflected on our</w:t>
      </w:r>
      <w:r>
        <w:rPr>
          <w:rFonts w:eastAsia="Times New Roman"/>
          <w:color w:val="000000"/>
          <w:sz w:val="20"/>
          <w:szCs w:val="20"/>
        </w:rPr>
        <w:t xml:space="preserve"> consolidated balance sheets and our maximum exposure to loss. Our maximum exposure to loss is estimated based on the unlikely event that all of the assets in the VIEs become worthless and we are required to meet the maximum amount of any remaining funding</w:t>
      </w:r>
      <w:r>
        <w:rPr>
          <w:rFonts w:eastAsia="Times New Roman"/>
          <w:color w:val="000000"/>
          <w:sz w:val="20"/>
          <w:szCs w:val="20"/>
        </w:rPr>
        <w:t xml:space="preserve"> obligations.</w:t>
      </w:r>
    </w:p>
    <w:p w14:paraId="4E1D3312" w14:textId="77777777" w:rsidR="00000000" w:rsidRDefault="00A173A8">
      <w:pPr>
        <w:jc w:val="both"/>
        <w:divId w:val="475147208"/>
        <w:rPr>
          <w:rFonts w:eastAsia="Times New Roman"/>
        </w:rPr>
      </w:pPr>
      <w:r>
        <w:rPr>
          <w:rFonts w:eastAsia="Times New Roman"/>
          <w:color w:val="000000"/>
          <w:sz w:val="20"/>
          <w:szCs w:val="20"/>
        </w:rPr>
        <w:t xml:space="preserve">The tables below present a summary of VIEs in which we had continuing involvement or held a significant variable interest, aggregated based on VIEs with similar characteristics as of June 30, 2022 and December 31, 2021. We separately present </w:t>
      </w:r>
      <w:r>
        <w:rPr>
          <w:rFonts w:eastAsia="Times New Roman"/>
          <w:color w:val="000000"/>
          <w:sz w:val="20"/>
          <w:szCs w:val="20"/>
        </w:rPr>
        <w:t>information for consolidated and unconsolidated VIEs.</w:t>
      </w:r>
    </w:p>
    <w:p w14:paraId="513D1207" w14:textId="77777777" w:rsidR="00000000" w:rsidRDefault="00A173A8">
      <w:pPr>
        <w:divId w:val="2072120902"/>
        <w:rPr>
          <w:rFonts w:eastAsia="Times New Roman"/>
        </w:rPr>
      </w:pPr>
      <w:r>
        <w:rPr>
          <w:rFonts w:eastAsia="Times New Roman"/>
          <w:b/>
          <w:bCs/>
          <w:color w:val="000000"/>
          <w:sz w:val="18"/>
          <w:szCs w:val="18"/>
        </w:rPr>
        <w:t>Table 5.1: Carrying Amount of Consolidated and Unconsolidated VIEs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14:paraId="64FE68ED" w14:textId="77777777">
        <w:trPr>
          <w:divId w:val="2072120902"/>
        </w:trPr>
        <w:tc>
          <w:tcPr>
            <w:tcW w:w="50" w:type="pct"/>
            <w:vAlign w:val="center"/>
            <w:hideMark/>
          </w:tcPr>
          <w:p w14:paraId="2EE9843D" w14:textId="77777777" w:rsidR="00000000" w:rsidRDefault="00A173A8">
            <w:pPr>
              <w:rPr>
                <w:rFonts w:eastAsia="Times New Roman"/>
              </w:rPr>
            </w:pPr>
          </w:p>
        </w:tc>
        <w:tc>
          <w:tcPr>
            <w:tcW w:w="2459" w:type="pct"/>
            <w:vAlign w:val="center"/>
            <w:hideMark/>
          </w:tcPr>
          <w:p w14:paraId="4F82EF00" w14:textId="77777777" w:rsidR="00000000" w:rsidRDefault="00A173A8">
            <w:pPr>
              <w:spacing w:after="100"/>
              <w:rPr>
                <w:rFonts w:eastAsia="Times New Roman"/>
                <w:sz w:val="20"/>
                <w:szCs w:val="20"/>
              </w:rPr>
            </w:pPr>
          </w:p>
        </w:tc>
        <w:tc>
          <w:tcPr>
            <w:tcW w:w="5" w:type="pct"/>
            <w:vAlign w:val="center"/>
            <w:hideMark/>
          </w:tcPr>
          <w:p w14:paraId="6D17C0D8" w14:textId="77777777" w:rsidR="00000000" w:rsidRDefault="00A173A8">
            <w:pPr>
              <w:spacing w:after="100"/>
              <w:rPr>
                <w:rFonts w:eastAsia="Times New Roman"/>
                <w:sz w:val="20"/>
                <w:szCs w:val="20"/>
              </w:rPr>
            </w:pPr>
          </w:p>
        </w:tc>
        <w:tc>
          <w:tcPr>
            <w:tcW w:w="5" w:type="pct"/>
            <w:vAlign w:val="center"/>
            <w:hideMark/>
          </w:tcPr>
          <w:p w14:paraId="434E033F" w14:textId="77777777" w:rsidR="00000000" w:rsidRDefault="00A173A8">
            <w:pPr>
              <w:spacing w:after="100"/>
              <w:rPr>
                <w:rFonts w:eastAsia="Times New Roman"/>
                <w:sz w:val="20"/>
                <w:szCs w:val="20"/>
              </w:rPr>
            </w:pPr>
          </w:p>
        </w:tc>
        <w:tc>
          <w:tcPr>
            <w:tcW w:w="26" w:type="pct"/>
            <w:vAlign w:val="center"/>
            <w:hideMark/>
          </w:tcPr>
          <w:p w14:paraId="22DF6D91" w14:textId="77777777" w:rsidR="00000000" w:rsidRDefault="00A173A8">
            <w:pPr>
              <w:spacing w:after="100"/>
              <w:rPr>
                <w:rFonts w:eastAsia="Times New Roman"/>
                <w:sz w:val="20"/>
                <w:szCs w:val="20"/>
              </w:rPr>
            </w:pPr>
          </w:p>
        </w:tc>
        <w:tc>
          <w:tcPr>
            <w:tcW w:w="5" w:type="pct"/>
            <w:vAlign w:val="center"/>
            <w:hideMark/>
          </w:tcPr>
          <w:p w14:paraId="707B19CE" w14:textId="77777777" w:rsidR="00000000" w:rsidRDefault="00A173A8">
            <w:pPr>
              <w:spacing w:after="100"/>
              <w:rPr>
                <w:rFonts w:eastAsia="Times New Roman"/>
                <w:sz w:val="20"/>
                <w:szCs w:val="20"/>
              </w:rPr>
            </w:pPr>
          </w:p>
        </w:tc>
        <w:tc>
          <w:tcPr>
            <w:tcW w:w="50" w:type="pct"/>
            <w:vAlign w:val="center"/>
            <w:hideMark/>
          </w:tcPr>
          <w:p w14:paraId="3D99F4A3" w14:textId="77777777" w:rsidR="00000000" w:rsidRDefault="00A173A8">
            <w:pPr>
              <w:spacing w:after="100"/>
              <w:rPr>
                <w:rFonts w:eastAsia="Times New Roman"/>
                <w:sz w:val="20"/>
                <w:szCs w:val="20"/>
              </w:rPr>
            </w:pPr>
          </w:p>
        </w:tc>
        <w:tc>
          <w:tcPr>
            <w:tcW w:w="405" w:type="pct"/>
            <w:vAlign w:val="center"/>
            <w:hideMark/>
          </w:tcPr>
          <w:p w14:paraId="564AF458" w14:textId="77777777" w:rsidR="00000000" w:rsidRDefault="00A173A8">
            <w:pPr>
              <w:spacing w:after="100"/>
              <w:rPr>
                <w:rFonts w:eastAsia="Times New Roman"/>
                <w:sz w:val="20"/>
                <w:szCs w:val="20"/>
              </w:rPr>
            </w:pPr>
          </w:p>
        </w:tc>
        <w:tc>
          <w:tcPr>
            <w:tcW w:w="5" w:type="pct"/>
            <w:vAlign w:val="center"/>
            <w:hideMark/>
          </w:tcPr>
          <w:p w14:paraId="148CB9B9" w14:textId="77777777" w:rsidR="00000000" w:rsidRDefault="00A173A8">
            <w:pPr>
              <w:spacing w:after="100"/>
              <w:rPr>
                <w:rFonts w:eastAsia="Times New Roman"/>
                <w:sz w:val="20"/>
                <w:szCs w:val="20"/>
              </w:rPr>
            </w:pPr>
          </w:p>
        </w:tc>
        <w:tc>
          <w:tcPr>
            <w:tcW w:w="5" w:type="pct"/>
            <w:vAlign w:val="center"/>
            <w:hideMark/>
          </w:tcPr>
          <w:p w14:paraId="75BDBB4E" w14:textId="77777777" w:rsidR="00000000" w:rsidRDefault="00A173A8">
            <w:pPr>
              <w:spacing w:after="100"/>
              <w:rPr>
                <w:rFonts w:eastAsia="Times New Roman"/>
                <w:sz w:val="20"/>
                <w:szCs w:val="20"/>
              </w:rPr>
            </w:pPr>
          </w:p>
        </w:tc>
        <w:tc>
          <w:tcPr>
            <w:tcW w:w="26" w:type="pct"/>
            <w:vAlign w:val="center"/>
            <w:hideMark/>
          </w:tcPr>
          <w:p w14:paraId="0AC79C05" w14:textId="77777777" w:rsidR="00000000" w:rsidRDefault="00A173A8">
            <w:pPr>
              <w:spacing w:after="100"/>
              <w:rPr>
                <w:rFonts w:eastAsia="Times New Roman"/>
                <w:sz w:val="20"/>
                <w:szCs w:val="20"/>
              </w:rPr>
            </w:pPr>
          </w:p>
        </w:tc>
        <w:tc>
          <w:tcPr>
            <w:tcW w:w="5" w:type="pct"/>
            <w:vAlign w:val="center"/>
            <w:hideMark/>
          </w:tcPr>
          <w:p w14:paraId="26B928E3" w14:textId="77777777" w:rsidR="00000000" w:rsidRDefault="00A173A8">
            <w:pPr>
              <w:spacing w:after="100"/>
              <w:rPr>
                <w:rFonts w:eastAsia="Times New Roman"/>
                <w:sz w:val="20"/>
                <w:szCs w:val="20"/>
              </w:rPr>
            </w:pPr>
          </w:p>
        </w:tc>
        <w:tc>
          <w:tcPr>
            <w:tcW w:w="50" w:type="pct"/>
            <w:vAlign w:val="center"/>
            <w:hideMark/>
          </w:tcPr>
          <w:p w14:paraId="2862415E" w14:textId="77777777" w:rsidR="00000000" w:rsidRDefault="00A173A8">
            <w:pPr>
              <w:spacing w:after="100"/>
              <w:rPr>
                <w:rFonts w:eastAsia="Times New Roman"/>
                <w:sz w:val="20"/>
                <w:szCs w:val="20"/>
              </w:rPr>
            </w:pPr>
          </w:p>
        </w:tc>
        <w:tc>
          <w:tcPr>
            <w:tcW w:w="405" w:type="pct"/>
            <w:vAlign w:val="center"/>
            <w:hideMark/>
          </w:tcPr>
          <w:p w14:paraId="5C726FC4" w14:textId="77777777" w:rsidR="00000000" w:rsidRDefault="00A173A8">
            <w:pPr>
              <w:spacing w:after="100"/>
              <w:rPr>
                <w:rFonts w:eastAsia="Times New Roman"/>
                <w:sz w:val="20"/>
                <w:szCs w:val="20"/>
              </w:rPr>
            </w:pPr>
          </w:p>
        </w:tc>
        <w:tc>
          <w:tcPr>
            <w:tcW w:w="5" w:type="pct"/>
            <w:vAlign w:val="center"/>
            <w:hideMark/>
          </w:tcPr>
          <w:p w14:paraId="2D368A05" w14:textId="77777777" w:rsidR="00000000" w:rsidRDefault="00A173A8">
            <w:pPr>
              <w:spacing w:after="100"/>
              <w:rPr>
                <w:rFonts w:eastAsia="Times New Roman"/>
                <w:sz w:val="20"/>
                <w:szCs w:val="20"/>
              </w:rPr>
            </w:pPr>
          </w:p>
        </w:tc>
        <w:tc>
          <w:tcPr>
            <w:tcW w:w="5" w:type="pct"/>
            <w:vAlign w:val="center"/>
            <w:hideMark/>
          </w:tcPr>
          <w:p w14:paraId="2059B729" w14:textId="77777777" w:rsidR="00000000" w:rsidRDefault="00A173A8">
            <w:pPr>
              <w:spacing w:after="100"/>
              <w:rPr>
                <w:rFonts w:eastAsia="Times New Roman"/>
                <w:sz w:val="20"/>
                <w:szCs w:val="20"/>
              </w:rPr>
            </w:pPr>
          </w:p>
        </w:tc>
        <w:tc>
          <w:tcPr>
            <w:tcW w:w="26" w:type="pct"/>
            <w:vAlign w:val="center"/>
            <w:hideMark/>
          </w:tcPr>
          <w:p w14:paraId="2CD47577" w14:textId="77777777" w:rsidR="00000000" w:rsidRDefault="00A173A8">
            <w:pPr>
              <w:spacing w:after="100"/>
              <w:rPr>
                <w:rFonts w:eastAsia="Times New Roman"/>
                <w:sz w:val="20"/>
                <w:szCs w:val="20"/>
              </w:rPr>
            </w:pPr>
          </w:p>
        </w:tc>
        <w:tc>
          <w:tcPr>
            <w:tcW w:w="5" w:type="pct"/>
            <w:vAlign w:val="center"/>
            <w:hideMark/>
          </w:tcPr>
          <w:p w14:paraId="6DAB1A56" w14:textId="77777777" w:rsidR="00000000" w:rsidRDefault="00A173A8">
            <w:pPr>
              <w:spacing w:after="100"/>
              <w:rPr>
                <w:rFonts w:eastAsia="Times New Roman"/>
                <w:sz w:val="20"/>
                <w:szCs w:val="20"/>
              </w:rPr>
            </w:pPr>
          </w:p>
        </w:tc>
        <w:tc>
          <w:tcPr>
            <w:tcW w:w="50" w:type="pct"/>
            <w:vAlign w:val="center"/>
            <w:hideMark/>
          </w:tcPr>
          <w:p w14:paraId="581E59B7" w14:textId="77777777" w:rsidR="00000000" w:rsidRDefault="00A173A8">
            <w:pPr>
              <w:spacing w:after="100"/>
              <w:rPr>
                <w:rFonts w:eastAsia="Times New Roman"/>
                <w:sz w:val="20"/>
                <w:szCs w:val="20"/>
              </w:rPr>
            </w:pPr>
          </w:p>
        </w:tc>
        <w:tc>
          <w:tcPr>
            <w:tcW w:w="405" w:type="pct"/>
            <w:vAlign w:val="center"/>
            <w:hideMark/>
          </w:tcPr>
          <w:p w14:paraId="1F64A0B7" w14:textId="77777777" w:rsidR="00000000" w:rsidRDefault="00A173A8">
            <w:pPr>
              <w:spacing w:after="100"/>
              <w:rPr>
                <w:rFonts w:eastAsia="Times New Roman"/>
                <w:sz w:val="20"/>
                <w:szCs w:val="20"/>
              </w:rPr>
            </w:pPr>
          </w:p>
        </w:tc>
        <w:tc>
          <w:tcPr>
            <w:tcW w:w="5" w:type="pct"/>
            <w:vAlign w:val="center"/>
            <w:hideMark/>
          </w:tcPr>
          <w:p w14:paraId="72766126" w14:textId="77777777" w:rsidR="00000000" w:rsidRDefault="00A173A8">
            <w:pPr>
              <w:spacing w:after="100"/>
              <w:rPr>
                <w:rFonts w:eastAsia="Times New Roman"/>
                <w:sz w:val="20"/>
                <w:szCs w:val="20"/>
              </w:rPr>
            </w:pPr>
          </w:p>
        </w:tc>
        <w:tc>
          <w:tcPr>
            <w:tcW w:w="5" w:type="pct"/>
            <w:vAlign w:val="center"/>
            <w:hideMark/>
          </w:tcPr>
          <w:p w14:paraId="4279D262" w14:textId="77777777" w:rsidR="00000000" w:rsidRDefault="00A173A8">
            <w:pPr>
              <w:spacing w:after="100"/>
              <w:rPr>
                <w:rFonts w:eastAsia="Times New Roman"/>
                <w:sz w:val="20"/>
                <w:szCs w:val="20"/>
              </w:rPr>
            </w:pPr>
          </w:p>
        </w:tc>
        <w:tc>
          <w:tcPr>
            <w:tcW w:w="26" w:type="pct"/>
            <w:vAlign w:val="center"/>
            <w:hideMark/>
          </w:tcPr>
          <w:p w14:paraId="5688E2E0" w14:textId="77777777" w:rsidR="00000000" w:rsidRDefault="00A173A8">
            <w:pPr>
              <w:spacing w:after="100"/>
              <w:rPr>
                <w:rFonts w:eastAsia="Times New Roman"/>
                <w:sz w:val="20"/>
                <w:szCs w:val="20"/>
              </w:rPr>
            </w:pPr>
          </w:p>
        </w:tc>
        <w:tc>
          <w:tcPr>
            <w:tcW w:w="5" w:type="pct"/>
            <w:vAlign w:val="center"/>
            <w:hideMark/>
          </w:tcPr>
          <w:p w14:paraId="5C748D15" w14:textId="77777777" w:rsidR="00000000" w:rsidRDefault="00A173A8">
            <w:pPr>
              <w:spacing w:after="100"/>
              <w:rPr>
                <w:rFonts w:eastAsia="Times New Roman"/>
                <w:sz w:val="20"/>
                <w:szCs w:val="20"/>
              </w:rPr>
            </w:pPr>
          </w:p>
        </w:tc>
        <w:tc>
          <w:tcPr>
            <w:tcW w:w="50" w:type="pct"/>
            <w:vAlign w:val="center"/>
            <w:hideMark/>
          </w:tcPr>
          <w:p w14:paraId="7E553312" w14:textId="77777777" w:rsidR="00000000" w:rsidRDefault="00A173A8">
            <w:pPr>
              <w:spacing w:after="100"/>
              <w:rPr>
                <w:rFonts w:eastAsia="Times New Roman"/>
                <w:sz w:val="20"/>
                <w:szCs w:val="20"/>
              </w:rPr>
            </w:pPr>
          </w:p>
        </w:tc>
        <w:tc>
          <w:tcPr>
            <w:tcW w:w="405" w:type="pct"/>
            <w:vAlign w:val="center"/>
            <w:hideMark/>
          </w:tcPr>
          <w:p w14:paraId="25952E94" w14:textId="77777777" w:rsidR="00000000" w:rsidRDefault="00A173A8">
            <w:pPr>
              <w:spacing w:after="100"/>
              <w:rPr>
                <w:rFonts w:eastAsia="Times New Roman"/>
                <w:sz w:val="20"/>
                <w:szCs w:val="20"/>
              </w:rPr>
            </w:pPr>
          </w:p>
        </w:tc>
        <w:tc>
          <w:tcPr>
            <w:tcW w:w="5" w:type="pct"/>
            <w:vAlign w:val="center"/>
            <w:hideMark/>
          </w:tcPr>
          <w:p w14:paraId="6728B31D" w14:textId="77777777" w:rsidR="00000000" w:rsidRDefault="00A173A8">
            <w:pPr>
              <w:spacing w:after="100"/>
              <w:rPr>
                <w:rFonts w:eastAsia="Times New Roman"/>
                <w:sz w:val="20"/>
                <w:szCs w:val="20"/>
              </w:rPr>
            </w:pPr>
          </w:p>
        </w:tc>
        <w:tc>
          <w:tcPr>
            <w:tcW w:w="5" w:type="pct"/>
            <w:vAlign w:val="center"/>
            <w:hideMark/>
          </w:tcPr>
          <w:p w14:paraId="1F6C4717" w14:textId="77777777" w:rsidR="00000000" w:rsidRDefault="00A173A8">
            <w:pPr>
              <w:spacing w:after="100"/>
              <w:rPr>
                <w:rFonts w:eastAsia="Times New Roman"/>
                <w:sz w:val="20"/>
                <w:szCs w:val="20"/>
              </w:rPr>
            </w:pPr>
          </w:p>
        </w:tc>
        <w:tc>
          <w:tcPr>
            <w:tcW w:w="26" w:type="pct"/>
            <w:vAlign w:val="center"/>
            <w:hideMark/>
          </w:tcPr>
          <w:p w14:paraId="17EFF1E2" w14:textId="77777777" w:rsidR="00000000" w:rsidRDefault="00A173A8">
            <w:pPr>
              <w:spacing w:after="100"/>
              <w:rPr>
                <w:rFonts w:eastAsia="Times New Roman"/>
                <w:sz w:val="20"/>
                <w:szCs w:val="20"/>
              </w:rPr>
            </w:pPr>
          </w:p>
        </w:tc>
        <w:tc>
          <w:tcPr>
            <w:tcW w:w="5" w:type="pct"/>
            <w:vAlign w:val="center"/>
            <w:hideMark/>
          </w:tcPr>
          <w:p w14:paraId="6B1F2B3D" w14:textId="77777777" w:rsidR="00000000" w:rsidRDefault="00A173A8">
            <w:pPr>
              <w:spacing w:after="100"/>
              <w:rPr>
                <w:rFonts w:eastAsia="Times New Roman"/>
                <w:sz w:val="20"/>
                <w:szCs w:val="20"/>
              </w:rPr>
            </w:pPr>
          </w:p>
        </w:tc>
        <w:tc>
          <w:tcPr>
            <w:tcW w:w="50" w:type="pct"/>
            <w:vAlign w:val="center"/>
            <w:hideMark/>
          </w:tcPr>
          <w:p w14:paraId="25CAAF95" w14:textId="77777777" w:rsidR="00000000" w:rsidRDefault="00A173A8">
            <w:pPr>
              <w:spacing w:after="100"/>
              <w:rPr>
                <w:rFonts w:eastAsia="Times New Roman"/>
                <w:sz w:val="20"/>
                <w:szCs w:val="20"/>
              </w:rPr>
            </w:pPr>
          </w:p>
        </w:tc>
        <w:tc>
          <w:tcPr>
            <w:tcW w:w="405" w:type="pct"/>
            <w:vAlign w:val="center"/>
            <w:hideMark/>
          </w:tcPr>
          <w:p w14:paraId="6BBEBAAC" w14:textId="77777777" w:rsidR="00000000" w:rsidRDefault="00A173A8">
            <w:pPr>
              <w:spacing w:after="100"/>
              <w:rPr>
                <w:rFonts w:eastAsia="Times New Roman"/>
                <w:sz w:val="20"/>
                <w:szCs w:val="20"/>
              </w:rPr>
            </w:pPr>
          </w:p>
        </w:tc>
        <w:tc>
          <w:tcPr>
            <w:tcW w:w="5" w:type="pct"/>
            <w:vAlign w:val="center"/>
            <w:hideMark/>
          </w:tcPr>
          <w:p w14:paraId="0F0C46A2" w14:textId="77777777" w:rsidR="00000000" w:rsidRDefault="00A173A8">
            <w:pPr>
              <w:spacing w:after="100"/>
              <w:rPr>
                <w:rFonts w:eastAsia="Times New Roman"/>
                <w:sz w:val="20"/>
                <w:szCs w:val="20"/>
              </w:rPr>
            </w:pPr>
          </w:p>
        </w:tc>
      </w:tr>
      <w:tr w:rsidR="00000000" w14:paraId="3988023B" w14:textId="77777777">
        <w:trPr>
          <w:divId w:val="2072120902"/>
        </w:trPr>
        <w:tc>
          <w:tcPr>
            <w:tcW w:w="0" w:type="auto"/>
            <w:gridSpan w:val="3"/>
            <w:tcMar>
              <w:top w:w="30" w:type="dxa"/>
              <w:left w:w="20" w:type="dxa"/>
              <w:bottom w:w="30" w:type="dxa"/>
              <w:right w:w="20" w:type="dxa"/>
            </w:tcMar>
            <w:vAlign w:val="bottom"/>
            <w:hideMark/>
          </w:tcPr>
          <w:p w14:paraId="0F0C2F28"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179C9F3" w14:textId="77777777" w:rsidR="00000000" w:rsidRDefault="00A173A8">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184566DE" w14:textId="77777777" w:rsidR="00000000" w:rsidRDefault="00A173A8">
            <w:pPr>
              <w:spacing w:after="100"/>
              <w:jc w:val="center"/>
              <w:rPr>
                <w:rFonts w:eastAsia="Times New Roman"/>
              </w:rPr>
            </w:pPr>
            <w:r>
              <w:rPr>
                <w:rFonts w:eastAsia="Times New Roman"/>
                <w:b/>
                <w:bCs/>
                <w:color w:val="000000"/>
                <w:sz w:val="16"/>
                <w:szCs w:val="16"/>
              </w:rPr>
              <w:t>June 30, 2022</w:t>
            </w:r>
          </w:p>
        </w:tc>
      </w:tr>
      <w:tr w:rsidR="00000000" w14:paraId="7D7E9956" w14:textId="77777777">
        <w:trPr>
          <w:divId w:val="2072120902"/>
        </w:trPr>
        <w:tc>
          <w:tcPr>
            <w:tcW w:w="0" w:type="auto"/>
            <w:gridSpan w:val="3"/>
            <w:tcMar>
              <w:top w:w="30" w:type="dxa"/>
              <w:left w:w="20" w:type="dxa"/>
              <w:bottom w:w="30" w:type="dxa"/>
              <w:right w:w="20" w:type="dxa"/>
            </w:tcMar>
            <w:vAlign w:val="bottom"/>
            <w:hideMark/>
          </w:tcPr>
          <w:p w14:paraId="31CA5206"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9B979AF" w14:textId="77777777" w:rsidR="00000000" w:rsidRDefault="00A173A8">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B7E0FAF" w14:textId="77777777" w:rsidR="00000000" w:rsidRDefault="00A173A8">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14:paraId="4E2C6FA2"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19C3897F" w14:textId="77777777" w:rsidR="00000000" w:rsidRDefault="00A173A8">
            <w:pPr>
              <w:spacing w:after="100"/>
              <w:jc w:val="center"/>
              <w:rPr>
                <w:rFonts w:eastAsia="Times New Roman"/>
              </w:rPr>
            </w:pPr>
            <w:r>
              <w:rPr>
                <w:rFonts w:eastAsia="Times New Roman"/>
                <w:b/>
                <w:bCs/>
                <w:color w:val="000000"/>
                <w:sz w:val="16"/>
                <w:szCs w:val="16"/>
              </w:rPr>
              <w:t>Unconsolidated</w:t>
            </w:r>
          </w:p>
        </w:tc>
      </w:tr>
      <w:tr w:rsidR="00000000" w14:paraId="35315FA6" w14:textId="77777777">
        <w:trPr>
          <w:divId w:val="2072120902"/>
        </w:trPr>
        <w:tc>
          <w:tcPr>
            <w:tcW w:w="0" w:type="auto"/>
            <w:gridSpan w:val="3"/>
            <w:tcBorders>
              <w:bottom w:val="single" w:sz="8" w:space="0" w:color="000000"/>
            </w:tcBorders>
            <w:tcMar>
              <w:top w:w="30" w:type="dxa"/>
              <w:left w:w="20" w:type="dxa"/>
              <w:bottom w:w="30" w:type="dxa"/>
              <w:right w:w="20" w:type="dxa"/>
            </w:tcMar>
            <w:vAlign w:val="bottom"/>
            <w:hideMark/>
          </w:tcPr>
          <w:p w14:paraId="7CCD6E07"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002F10F"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E6C9A8" w14:textId="77777777" w:rsidR="00000000" w:rsidRDefault="00A173A8">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1FD2F99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BBDDB3C" w14:textId="77777777" w:rsidR="00000000" w:rsidRDefault="00A173A8">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14:paraId="3D9094A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EA33D8E" w14:textId="77777777" w:rsidR="00000000" w:rsidRDefault="00A173A8">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077D529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DD65B2C" w14:textId="77777777" w:rsidR="00000000" w:rsidRDefault="00A173A8">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14:paraId="53748B8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919FDFB" w14:textId="77777777" w:rsidR="00000000" w:rsidRDefault="00A173A8">
            <w:pPr>
              <w:spacing w:after="100"/>
              <w:jc w:val="center"/>
              <w:rPr>
                <w:rFonts w:eastAsia="Times New Roman"/>
              </w:rPr>
            </w:pPr>
            <w:r>
              <w:rPr>
                <w:rFonts w:eastAsia="Times New Roman"/>
                <w:b/>
                <w:bCs/>
                <w:color w:val="000000"/>
                <w:sz w:val="16"/>
                <w:szCs w:val="16"/>
              </w:rPr>
              <w:t>Maximum Exposure to Loss</w:t>
            </w:r>
          </w:p>
        </w:tc>
      </w:tr>
      <w:tr w:rsidR="00000000" w14:paraId="68AF876E" w14:textId="77777777">
        <w:trPr>
          <w:divId w:val="207212090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22F3880" w14:textId="77777777" w:rsidR="00000000" w:rsidRDefault="00A173A8">
            <w:pPr>
              <w:spacing w:after="100"/>
              <w:divId w:val="768547719"/>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8974E22"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9D3AB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E1E8C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AAF40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60880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5087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62BB3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B4C96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9E620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22C369" w14:textId="77777777" w:rsidR="00000000" w:rsidRDefault="00A173A8">
            <w:pPr>
              <w:spacing w:after="100"/>
              <w:rPr>
                <w:rFonts w:eastAsia="Times New Roman"/>
                <w:sz w:val="20"/>
                <w:szCs w:val="20"/>
              </w:rPr>
            </w:pPr>
          </w:p>
        </w:tc>
      </w:tr>
      <w:tr w:rsidR="00000000" w14:paraId="19355C22" w14:textId="77777777">
        <w:trPr>
          <w:divId w:val="2072120902"/>
        </w:trPr>
        <w:tc>
          <w:tcPr>
            <w:tcW w:w="0" w:type="auto"/>
            <w:gridSpan w:val="3"/>
            <w:shd w:val="clear" w:color="auto" w:fill="FFFFFF"/>
            <w:tcMar>
              <w:top w:w="30" w:type="dxa"/>
              <w:left w:w="20" w:type="dxa"/>
              <w:bottom w:w="30" w:type="dxa"/>
              <w:right w:w="20" w:type="dxa"/>
            </w:tcMar>
            <w:vAlign w:val="center"/>
            <w:hideMark/>
          </w:tcPr>
          <w:p w14:paraId="30EB8391" w14:textId="77777777" w:rsidR="00000000" w:rsidRDefault="00A173A8">
            <w:pPr>
              <w:spacing w:after="100"/>
              <w:divId w:val="200090465"/>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6232E23"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EADD41A"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DAEA5B1" w14:textId="77777777" w:rsidR="00000000" w:rsidRDefault="00A173A8">
            <w:pPr>
              <w:spacing w:after="100"/>
              <w:jc w:val="right"/>
              <w:rPr>
                <w:rFonts w:eastAsia="Times New Roman"/>
              </w:rPr>
            </w:pPr>
            <w:r>
              <w:rPr>
                <w:rFonts w:eastAsia="Times New Roman"/>
                <w:b/>
                <w:bCs/>
                <w:color w:val="000000"/>
                <w:sz w:val="18"/>
                <w:szCs w:val="18"/>
              </w:rPr>
              <w:t>21,065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172C4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0A636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D9353EF"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807DB33" w14:textId="77777777" w:rsidR="00000000" w:rsidRDefault="00A173A8">
            <w:pPr>
              <w:spacing w:after="100"/>
              <w:jc w:val="right"/>
              <w:rPr>
                <w:rFonts w:eastAsia="Times New Roman"/>
              </w:rPr>
            </w:pPr>
            <w:r>
              <w:rPr>
                <w:rFonts w:eastAsia="Times New Roman"/>
                <w:b/>
                <w:bCs/>
                <w:color w:val="000000"/>
                <w:sz w:val="18"/>
                <w:szCs w:val="18"/>
              </w:rPr>
              <w:t>14,851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71000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1AF7D7"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7A2D12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C3E2A5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7EB4AC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FD7C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724FAE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0B9559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146EA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4A69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9D8177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2083E6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14F45CB" w14:textId="77777777" w:rsidR="00000000" w:rsidRDefault="00A173A8">
            <w:pPr>
              <w:spacing w:after="100"/>
              <w:jc w:val="right"/>
              <w:rPr>
                <w:rFonts w:eastAsia="Times New Roman"/>
              </w:rPr>
            </w:pPr>
          </w:p>
        </w:tc>
      </w:tr>
      <w:tr w:rsidR="00000000" w14:paraId="79B1D8B0" w14:textId="77777777">
        <w:trPr>
          <w:divId w:val="2072120902"/>
        </w:trPr>
        <w:tc>
          <w:tcPr>
            <w:tcW w:w="0" w:type="auto"/>
            <w:gridSpan w:val="3"/>
            <w:shd w:val="clear" w:color="auto" w:fill="CCEEFF"/>
            <w:tcMar>
              <w:top w:w="30" w:type="dxa"/>
              <w:left w:w="245" w:type="dxa"/>
              <w:bottom w:w="30" w:type="dxa"/>
              <w:right w:w="20" w:type="dxa"/>
            </w:tcMar>
            <w:vAlign w:val="center"/>
            <w:hideMark/>
          </w:tcPr>
          <w:p w14:paraId="2F1C4098" w14:textId="77777777" w:rsidR="00000000" w:rsidRDefault="00A173A8">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14:paraId="69E6E28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98E4B89" w14:textId="77777777" w:rsidR="00000000" w:rsidRDefault="00A173A8">
            <w:pPr>
              <w:spacing w:after="100"/>
              <w:jc w:val="right"/>
              <w:rPr>
                <w:rFonts w:eastAsia="Times New Roman"/>
              </w:rPr>
            </w:pPr>
            <w:r>
              <w:rPr>
                <w:rFonts w:eastAsia="Times New Roman"/>
                <w:b/>
                <w:bCs/>
                <w:color w:val="000000"/>
                <w:sz w:val="18"/>
                <w:szCs w:val="18"/>
              </w:rPr>
              <w:t>3,878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F49A7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D69CF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4FE854" w14:textId="77777777" w:rsidR="00000000" w:rsidRDefault="00A173A8">
            <w:pPr>
              <w:spacing w:after="100"/>
              <w:jc w:val="right"/>
              <w:rPr>
                <w:rFonts w:eastAsia="Times New Roman"/>
              </w:rPr>
            </w:pPr>
            <w:r>
              <w:rPr>
                <w:rFonts w:eastAsia="Times New Roman"/>
                <w:b/>
                <w:bCs/>
                <w:color w:val="000000"/>
                <w:sz w:val="18"/>
                <w:szCs w:val="18"/>
              </w:rPr>
              <w:t>3,243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908E0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535C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0DC71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C9BEAD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C1A8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E1CB1C"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A39E1D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ABC5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3751E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54D1882" w14:textId="77777777" w:rsidR="00000000" w:rsidRDefault="00A173A8">
            <w:pPr>
              <w:spacing w:after="100"/>
              <w:jc w:val="right"/>
              <w:rPr>
                <w:rFonts w:eastAsia="Times New Roman"/>
              </w:rPr>
            </w:pPr>
          </w:p>
        </w:tc>
      </w:tr>
      <w:tr w:rsidR="00000000" w14:paraId="584CDAEC" w14:textId="77777777">
        <w:trPr>
          <w:divId w:val="2072120902"/>
        </w:trPr>
        <w:tc>
          <w:tcPr>
            <w:tcW w:w="0" w:type="auto"/>
            <w:gridSpan w:val="3"/>
            <w:shd w:val="clear" w:color="auto" w:fill="FFFFFF"/>
            <w:tcMar>
              <w:top w:w="30" w:type="dxa"/>
              <w:left w:w="20" w:type="dxa"/>
              <w:bottom w:w="30" w:type="dxa"/>
              <w:right w:w="20" w:type="dxa"/>
            </w:tcMar>
            <w:vAlign w:val="center"/>
            <w:hideMark/>
          </w:tcPr>
          <w:p w14:paraId="36D2D13F" w14:textId="77777777" w:rsidR="00000000" w:rsidRDefault="00A173A8">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14:paraId="50B23AB9"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83A711" w14:textId="77777777" w:rsidR="00000000" w:rsidRDefault="00A173A8">
            <w:pPr>
              <w:spacing w:after="100"/>
              <w:jc w:val="right"/>
              <w:rPr>
                <w:rFonts w:eastAsia="Times New Roman"/>
              </w:rPr>
            </w:pPr>
            <w:r>
              <w:rPr>
                <w:rFonts w:eastAsia="Times New Roman"/>
                <w:b/>
                <w:bCs/>
                <w:color w:val="000000"/>
                <w:sz w:val="18"/>
                <w:szCs w:val="18"/>
              </w:rPr>
              <w:t>24,943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AD2B8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C2A5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3A14A50" w14:textId="77777777" w:rsidR="00000000" w:rsidRDefault="00A173A8">
            <w:pPr>
              <w:spacing w:after="100"/>
              <w:jc w:val="right"/>
              <w:rPr>
                <w:rFonts w:eastAsia="Times New Roman"/>
              </w:rPr>
            </w:pPr>
            <w:r>
              <w:rPr>
                <w:rFonts w:eastAsia="Times New Roman"/>
                <w:b/>
                <w:bCs/>
                <w:color w:val="000000"/>
                <w:sz w:val="18"/>
                <w:szCs w:val="18"/>
              </w:rPr>
              <w:t>18,094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AC98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19F9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9342A9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152A85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FED8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D179C5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D6C3E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725A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DC473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0A5EB9D" w14:textId="77777777" w:rsidR="00000000" w:rsidRDefault="00A173A8">
            <w:pPr>
              <w:spacing w:after="100"/>
              <w:jc w:val="right"/>
              <w:rPr>
                <w:rFonts w:eastAsia="Times New Roman"/>
              </w:rPr>
            </w:pPr>
          </w:p>
        </w:tc>
      </w:tr>
      <w:tr w:rsidR="00000000" w14:paraId="037600B8" w14:textId="77777777">
        <w:trPr>
          <w:divId w:val="2072120902"/>
        </w:trPr>
        <w:tc>
          <w:tcPr>
            <w:tcW w:w="0" w:type="auto"/>
            <w:gridSpan w:val="3"/>
            <w:shd w:val="clear" w:color="auto" w:fill="CCEEFF"/>
            <w:tcMar>
              <w:top w:w="30" w:type="dxa"/>
              <w:left w:w="20" w:type="dxa"/>
              <w:bottom w:w="30" w:type="dxa"/>
              <w:right w:w="20" w:type="dxa"/>
            </w:tcMar>
            <w:vAlign w:val="center"/>
            <w:hideMark/>
          </w:tcPr>
          <w:p w14:paraId="1777775D" w14:textId="77777777" w:rsidR="00000000" w:rsidRDefault="00A173A8">
            <w:pPr>
              <w:spacing w:after="100"/>
              <w:divId w:val="1267926620"/>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D2AE647"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D1142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FFC8C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C6709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DABCE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8CE40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147D5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185CA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A820E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041A69" w14:textId="77777777" w:rsidR="00000000" w:rsidRDefault="00A173A8">
            <w:pPr>
              <w:spacing w:after="100"/>
              <w:rPr>
                <w:rFonts w:eastAsia="Times New Roman"/>
                <w:sz w:val="20"/>
                <w:szCs w:val="20"/>
              </w:rPr>
            </w:pPr>
          </w:p>
        </w:tc>
      </w:tr>
      <w:tr w:rsidR="00000000" w14:paraId="365965E1" w14:textId="77777777">
        <w:trPr>
          <w:divId w:val="2072120902"/>
        </w:trPr>
        <w:tc>
          <w:tcPr>
            <w:tcW w:w="0" w:type="auto"/>
            <w:gridSpan w:val="3"/>
            <w:shd w:val="clear" w:color="auto" w:fill="FFFFFF"/>
            <w:tcMar>
              <w:top w:w="30" w:type="dxa"/>
              <w:left w:w="245" w:type="dxa"/>
              <w:bottom w:w="30" w:type="dxa"/>
              <w:right w:w="20" w:type="dxa"/>
            </w:tcMar>
            <w:vAlign w:val="center"/>
            <w:hideMark/>
          </w:tcPr>
          <w:p w14:paraId="61064CC3" w14:textId="77777777" w:rsidR="00000000" w:rsidRDefault="00A173A8">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14:paraId="49BBBE5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281DFDB" w14:textId="77777777" w:rsidR="00000000" w:rsidRDefault="00A173A8">
            <w:pPr>
              <w:spacing w:after="100"/>
              <w:jc w:val="right"/>
              <w:rPr>
                <w:rFonts w:eastAsia="Times New Roman"/>
              </w:rPr>
            </w:pPr>
            <w:r>
              <w:rPr>
                <w:rFonts w:eastAsia="Times New Roman"/>
                <w:b/>
                <w:bCs/>
                <w:color w:val="000000"/>
                <w:sz w:val="18"/>
                <w:szCs w:val="18"/>
              </w:rPr>
              <w:t>260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759CA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70F6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E5C0E0" w14:textId="77777777" w:rsidR="00000000" w:rsidRDefault="00A173A8">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825138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6B578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0960C2" w14:textId="77777777" w:rsidR="00000000" w:rsidRDefault="00A173A8">
            <w:pPr>
              <w:spacing w:after="100"/>
              <w:jc w:val="right"/>
              <w:rPr>
                <w:rFonts w:eastAsia="Times New Roman"/>
              </w:rPr>
            </w:pPr>
            <w:r>
              <w:rPr>
                <w:rFonts w:eastAsia="Times New Roman"/>
                <w:b/>
                <w:bCs/>
                <w:color w:val="000000"/>
                <w:sz w:val="18"/>
                <w:szCs w:val="18"/>
              </w:rPr>
              <w:t>4,774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8D1CB5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72B2C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4164E4" w14:textId="77777777" w:rsidR="00000000" w:rsidRDefault="00A173A8">
            <w:pPr>
              <w:spacing w:after="100"/>
              <w:jc w:val="right"/>
              <w:rPr>
                <w:rFonts w:eastAsia="Times New Roman"/>
              </w:rPr>
            </w:pPr>
            <w:r>
              <w:rPr>
                <w:rFonts w:eastAsia="Times New Roman"/>
                <w:b/>
                <w:bCs/>
                <w:color w:val="000000"/>
                <w:sz w:val="18"/>
                <w:szCs w:val="18"/>
              </w:rPr>
              <w:t>1,499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C86E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5C40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C7E3236" w14:textId="77777777" w:rsidR="00000000" w:rsidRDefault="00A173A8">
            <w:pPr>
              <w:spacing w:after="100"/>
              <w:jc w:val="right"/>
              <w:rPr>
                <w:rFonts w:eastAsia="Times New Roman"/>
              </w:rPr>
            </w:pPr>
            <w:r>
              <w:rPr>
                <w:rFonts w:eastAsia="Times New Roman"/>
                <w:b/>
                <w:bCs/>
                <w:color w:val="000000"/>
                <w:sz w:val="18"/>
                <w:szCs w:val="18"/>
              </w:rPr>
              <w:t>4,774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592125" w14:textId="77777777" w:rsidR="00000000" w:rsidRDefault="00A173A8">
            <w:pPr>
              <w:spacing w:after="100"/>
              <w:jc w:val="right"/>
              <w:rPr>
                <w:rFonts w:eastAsia="Times New Roman"/>
              </w:rPr>
            </w:pPr>
          </w:p>
        </w:tc>
      </w:tr>
      <w:tr w:rsidR="00000000" w14:paraId="08C333BE" w14:textId="77777777">
        <w:trPr>
          <w:divId w:val="2072120902"/>
        </w:trPr>
        <w:tc>
          <w:tcPr>
            <w:tcW w:w="0" w:type="auto"/>
            <w:gridSpan w:val="3"/>
            <w:shd w:val="clear" w:color="auto" w:fill="CCEEFF"/>
            <w:tcMar>
              <w:top w:w="30" w:type="dxa"/>
              <w:left w:w="245" w:type="dxa"/>
              <w:bottom w:w="30" w:type="dxa"/>
              <w:right w:w="20" w:type="dxa"/>
            </w:tcMar>
            <w:vAlign w:val="center"/>
            <w:hideMark/>
          </w:tcPr>
          <w:p w14:paraId="1EA62F9F" w14:textId="77777777" w:rsidR="00000000" w:rsidRDefault="00A173A8">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14:paraId="687DBA2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A5B70BD" w14:textId="77777777" w:rsidR="00000000" w:rsidRDefault="00A173A8">
            <w:pPr>
              <w:spacing w:after="100"/>
              <w:jc w:val="right"/>
              <w:rPr>
                <w:rFonts w:eastAsia="Times New Roman"/>
              </w:rPr>
            </w:pPr>
            <w:r>
              <w:rPr>
                <w:rFonts w:eastAsia="Times New Roman"/>
                <w:b/>
                <w:bCs/>
                <w:color w:val="000000"/>
                <w:sz w:val="18"/>
                <w:szCs w:val="18"/>
              </w:rPr>
              <w:t>2,331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100E53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655D2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B428B1" w14:textId="77777777" w:rsidR="00000000" w:rsidRDefault="00A173A8">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389E1B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449D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8B2D28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F43F2F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BD63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E63E4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5EFB6A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0145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D59335C"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2141DAC" w14:textId="77777777" w:rsidR="00000000" w:rsidRDefault="00A173A8">
            <w:pPr>
              <w:spacing w:after="100"/>
              <w:jc w:val="right"/>
              <w:rPr>
                <w:rFonts w:eastAsia="Times New Roman"/>
              </w:rPr>
            </w:pPr>
          </w:p>
        </w:tc>
      </w:tr>
      <w:tr w:rsidR="00000000" w14:paraId="586A84F0" w14:textId="77777777">
        <w:trPr>
          <w:divId w:val="2072120902"/>
        </w:trPr>
        <w:tc>
          <w:tcPr>
            <w:tcW w:w="0" w:type="auto"/>
            <w:gridSpan w:val="3"/>
            <w:shd w:val="clear" w:color="auto" w:fill="FFFFFF"/>
            <w:tcMar>
              <w:top w:w="30" w:type="dxa"/>
              <w:left w:w="245" w:type="dxa"/>
              <w:bottom w:w="30" w:type="dxa"/>
              <w:right w:w="20" w:type="dxa"/>
            </w:tcMar>
            <w:vAlign w:val="center"/>
            <w:hideMark/>
          </w:tcPr>
          <w:p w14:paraId="43A4B4FF" w14:textId="77777777" w:rsidR="00000000" w:rsidRDefault="00A173A8">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20C08496"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4AB423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17012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42D9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A55CA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7DF92D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0E95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D59BE2" w14:textId="77777777" w:rsidR="00000000" w:rsidRDefault="00A173A8">
            <w:pPr>
              <w:spacing w:after="100"/>
              <w:jc w:val="right"/>
              <w:rPr>
                <w:rFonts w:eastAsia="Times New Roman"/>
              </w:rPr>
            </w:pPr>
            <w:r>
              <w:rPr>
                <w:rFonts w:eastAsia="Times New Roman"/>
                <w:b/>
                <w:bCs/>
                <w:color w:val="000000"/>
                <w:sz w:val="18"/>
                <w:szCs w:val="18"/>
              </w:rPr>
              <w:t>355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3C9F3B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965E7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B29F3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39222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36BA9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6A2332A" w14:textId="77777777" w:rsidR="00000000" w:rsidRDefault="00A173A8">
            <w:pPr>
              <w:spacing w:after="100"/>
              <w:jc w:val="right"/>
              <w:rPr>
                <w:rFonts w:eastAsia="Times New Roman"/>
              </w:rPr>
            </w:pPr>
            <w:r>
              <w:rPr>
                <w:rFonts w:eastAsia="Times New Roman"/>
                <w:b/>
                <w:bCs/>
                <w:color w:val="000000"/>
                <w:sz w:val="18"/>
                <w:szCs w:val="18"/>
              </w:rPr>
              <w:t>355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919E15" w14:textId="77777777" w:rsidR="00000000" w:rsidRDefault="00A173A8">
            <w:pPr>
              <w:spacing w:after="100"/>
              <w:jc w:val="right"/>
              <w:rPr>
                <w:rFonts w:eastAsia="Times New Roman"/>
              </w:rPr>
            </w:pPr>
          </w:p>
        </w:tc>
      </w:tr>
      <w:tr w:rsidR="00000000" w14:paraId="01F0943B" w14:textId="77777777">
        <w:trPr>
          <w:divId w:val="2072120902"/>
        </w:trPr>
        <w:tc>
          <w:tcPr>
            <w:tcW w:w="0" w:type="auto"/>
            <w:gridSpan w:val="3"/>
            <w:shd w:val="clear" w:color="auto" w:fill="CCEEFF"/>
            <w:tcMar>
              <w:top w:w="30" w:type="dxa"/>
              <w:left w:w="20" w:type="dxa"/>
              <w:bottom w:w="30" w:type="dxa"/>
              <w:right w:w="20" w:type="dxa"/>
            </w:tcMar>
            <w:vAlign w:val="center"/>
            <w:hideMark/>
          </w:tcPr>
          <w:p w14:paraId="097AC7F4" w14:textId="77777777" w:rsidR="00000000" w:rsidRDefault="00A173A8">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14:paraId="46558A2C"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AA28C1B" w14:textId="77777777" w:rsidR="00000000" w:rsidRDefault="00A173A8">
            <w:pPr>
              <w:spacing w:after="100"/>
              <w:jc w:val="right"/>
              <w:rPr>
                <w:rFonts w:eastAsia="Times New Roman"/>
              </w:rPr>
            </w:pPr>
            <w:r>
              <w:rPr>
                <w:rFonts w:eastAsia="Times New Roman"/>
                <w:b/>
                <w:bCs/>
                <w:color w:val="000000"/>
                <w:sz w:val="18"/>
                <w:szCs w:val="18"/>
              </w:rPr>
              <w:t>2,591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E5C4A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5C9C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60BB1D7" w14:textId="77777777" w:rsidR="00000000" w:rsidRDefault="00A173A8">
            <w:pPr>
              <w:spacing w:after="100"/>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B23B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B2D7F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91497F2" w14:textId="77777777" w:rsidR="00000000" w:rsidRDefault="00A173A8">
            <w:pPr>
              <w:spacing w:after="100"/>
              <w:jc w:val="right"/>
              <w:rPr>
                <w:rFonts w:eastAsia="Times New Roman"/>
              </w:rPr>
            </w:pPr>
            <w:r>
              <w:rPr>
                <w:rFonts w:eastAsia="Times New Roman"/>
                <w:b/>
                <w:bCs/>
                <w:color w:val="000000"/>
                <w:sz w:val="18"/>
                <w:szCs w:val="18"/>
              </w:rPr>
              <w:t>5,129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15D7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E4EF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2785BD" w14:textId="77777777" w:rsidR="00000000" w:rsidRDefault="00A173A8">
            <w:pPr>
              <w:spacing w:after="100"/>
              <w:jc w:val="right"/>
              <w:rPr>
                <w:rFonts w:eastAsia="Times New Roman"/>
              </w:rPr>
            </w:pPr>
            <w:r>
              <w:rPr>
                <w:rFonts w:eastAsia="Times New Roman"/>
                <w:b/>
                <w:bCs/>
                <w:color w:val="000000"/>
                <w:sz w:val="18"/>
                <w:szCs w:val="18"/>
              </w:rPr>
              <w:t>1,499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04265C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6322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5FF7708" w14:textId="77777777" w:rsidR="00000000" w:rsidRDefault="00A173A8">
            <w:pPr>
              <w:spacing w:after="100"/>
              <w:jc w:val="right"/>
              <w:rPr>
                <w:rFonts w:eastAsia="Times New Roman"/>
              </w:rPr>
            </w:pPr>
            <w:r>
              <w:rPr>
                <w:rFonts w:eastAsia="Times New Roman"/>
                <w:b/>
                <w:bCs/>
                <w:color w:val="000000"/>
                <w:sz w:val="18"/>
                <w:szCs w:val="18"/>
              </w:rPr>
              <w:t>5,129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865ED3" w14:textId="77777777" w:rsidR="00000000" w:rsidRDefault="00A173A8">
            <w:pPr>
              <w:spacing w:after="100"/>
              <w:jc w:val="right"/>
              <w:rPr>
                <w:rFonts w:eastAsia="Times New Roman"/>
              </w:rPr>
            </w:pPr>
          </w:p>
        </w:tc>
      </w:tr>
      <w:tr w:rsidR="00000000" w14:paraId="28E0066F" w14:textId="77777777">
        <w:trPr>
          <w:divId w:val="2072120902"/>
        </w:trPr>
        <w:tc>
          <w:tcPr>
            <w:tcW w:w="0" w:type="auto"/>
            <w:gridSpan w:val="3"/>
            <w:shd w:val="clear" w:color="auto" w:fill="FFFFFF"/>
            <w:tcMar>
              <w:top w:w="30" w:type="dxa"/>
              <w:left w:w="20" w:type="dxa"/>
              <w:bottom w:w="30" w:type="dxa"/>
              <w:right w:w="20" w:type="dxa"/>
            </w:tcMar>
            <w:vAlign w:val="center"/>
            <w:hideMark/>
          </w:tcPr>
          <w:p w14:paraId="05734B2B" w14:textId="77777777" w:rsidR="00000000" w:rsidRDefault="00A173A8">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14:paraId="331758C9"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1B5EF4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BA94055" w14:textId="77777777" w:rsidR="00000000" w:rsidRDefault="00A173A8">
            <w:pPr>
              <w:spacing w:after="100"/>
              <w:jc w:val="right"/>
              <w:rPr>
                <w:rFonts w:eastAsia="Times New Roman"/>
              </w:rPr>
            </w:pPr>
            <w:r>
              <w:rPr>
                <w:rFonts w:eastAsia="Times New Roman"/>
                <w:b/>
                <w:bCs/>
                <w:color w:val="000000"/>
                <w:sz w:val="18"/>
                <w:szCs w:val="18"/>
              </w:rPr>
              <w:t>27,534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715F4A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77EE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7ABAA9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FBC8B38" w14:textId="77777777" w:rsidR="00000000" w:rsidRDefault="00A173A8">
            <w:pPr>
              <w:spacing w:after="100"/>
              <w:jc w:val="right"/>
              <w:rPr>
                <w:rFonts w:eastAsia="Times New Roman"/>
              </w:rPr>
            </w:pPr>
            <w:r>
              <w:rPr>
                <w:rFonts w:eastAsia="Times New Roman"/>
                <w:b/>
                <w:bCs/>
                <w:color w:val="000000"/>
                <w:sz w:val="18"/>
                <w:szCs w:val="18"/>
              </w:rPr>
              <w:t>18,124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F35C2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7F1C0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363CF9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71F24BA" w14:textId="77777777" w:rsidR="00000000" w:rsidRDefault="00A173A8">
            <w:pPr>
              <w:spacing w:after="100"/>
              <w:jc w:val="right"/>
              <w:rPr>
                <w:rFonts w:eastAsia="Times New Roman"/>
              </w:rPr>
            </w:pPr>
            <w:r>
              <w:rPr>
                <w:rFonts w:eastAsia="Times New Roman"/>
                <w:b/>
                <w:bCs/>
                <w:color w:val="000000"/>
                <w:sz w:val="18"/>
                <w:szCs w:val="18"/>
              </w:rPr>
              <w:t>5,129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0D0C3B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F2378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E47FD7E"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AD4BC5E" w14:textId="77777777" w:rsidR="00000000" w:rsidRDefault="00A173A8">
            <w:pPr>
              <w:spacing w:after="100"/>
              <w:jc w:val="right"/>
              <w:rPr>
                <w:rFonts w:eastAsia="Times New Roman"/>
              </w:rPr>
            </w:pPr>
            <w:r>
              <w:rPr>
                <w:rFonts w:eastAsia="Times New Roman"/>
                <w:b/>
                <w:bCs/>
                <w:color w:val="000000"/>
                <w:sz w:val="18"/>
                <w:szCs w:val="18"/>
              </w:rPr>
              <w:t>1,499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E4B23B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A5D47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BD56AF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5748DED" w14:textId="77777777" w:rsidR="00000000" w:rsidRDefault="00A173A8">
            <w:pPr>
              <w:spacing w:after="100"/>
              <w:jc w:val="right"/>
              <w:rPr>
                <w:rFonts w:eastAsia="Times New Roman"/>
              </w:rPr>
            </w:pPr>
            <w:r>
              <w:rPr>
                <w:rFonts w:eastAsia="Times New Roman"/>
                <w:b/>
                <w:bCs/>
                <w:color w:val="000000"/>
                <w:sz w:val="18"/>
                <w:szCs w:val="18"/>
              </w:rPr>
              <w:t>5,129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3755F90" w14:textId="77777777" w:rsidR="00000000" w:rsidRDefault="00A173A8">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084"/>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tblGrid>
      <w:tr w:rsidR="00000000" w14:paraId="69033E0E" w14:textId="77777777">
        <w:tc>
          <w:tcPr>
            <w:tcW w:w="50" w:type="pct"/>
            <w:vAlign w:val="center"/>
            <w:hideMark/>
          </w:tcPr>
          <w:p w14:paraId="3563921D" w14:textId="77777777" w:rsidR="00000000" w:rsidRDefault="00A173A8">
            <w:pPr>
              <w:rPr>
                <w:rFonts w:eastAsia="Times New Roman"/>
              </w:rPr>
            </w:pPr>
          </w:p>
        </w:tc>
        <w:tc>
          <w:tcPr>
            <w:tcW w:w="2459" w:type="pct"/>
            <w:vAlign w:val="center"/>
            <w:hideMark/>
          </w:tcPr>
          <w:p w14:paraId="47E92871" w14:textId="77777777" w:rsidR="00000000" w:rsidRDefault="00A173A8">
            <w:pPr>
              <w:spacing w:after="100"/>
              <w:rPr>
                <w:rFonts w:eastAsia="Times New Roman"/>
                <w:sz w:val="20"/>
                <w:szCs w:val="20"/>
              </w:rPr>
            </w:pPr>
          </w:p>
        </w:tc>
        <w:tc>
          <w:tcPr>
            <w:tcW w:w="5" w:type="pct"/>
            <w:vAlign w:val="center"/>
            <w:hideMark/>
          </w:tcPr>
          <w:p w14:paraId="56C162F2" w14:textId="77777777" w:rsidR="00000000" w:rsidRDefault="00A173A8">
            <w:pPr>
              <w:spacing w:after="100"/>
              <w:rPr>
                <w:rFonts w:eastAsia="Times New Roman"/>
                <w:sz w:val="20"/>
                <w:szCs w:val="20"/>
              </w:rPr>
            </w:pPr>
          </w:p>
        </w:tc>
        <w:tc>
          <w:tcPr>
            <w:tcW w:w="5" w:type="pct"/>
            <w:vAlign w:val="center"/>
            <w:hideMark/>
          </w:tcPr>
          <w:p w14:paraId="53FDCD55" w14:textId="77777777" w:rsidR="00000000" w:rsidRDefault="00A173A8">
            <w:pPr>
              <w:spacing w:after="100"/>
              <w:rPr>
                <w:rFonts w:eastAsia="Times New Roman"/>
                <w:sz w:val="20"/>
                <w:szCs w:val="20"/>
              </w:rPr>
            </w:pPr>
          </w:p>
        </w:tc>
        <w:tc>
          <w:tcPr>
            <w:tcW w:w="26" w:type="pct"/>
            <w:vAlign w:val="center"/>
            <w:hideMark/>
          </w:tcPr>
          <w:p w14:paraId="4ABB138A" w14:textId="77777777" w:rsidR="00000000" w:rsidRDefault="00A173A8">
            <w:pPr>
              <w:spacing w:after="100"/>
              <w:rPr>
                <w:rFonts w:eastAsia="Times New Roman"/>
                <w:sz w:val="20"/>
                <w:szCs w:val="20"/>
              </w:rPr>
            </w:pPr>
          </w:p>
        </w:tc>
        <w:tc>
          <w:tcPr>
            <w:tcW w:w="5" w:type="pct"/>
            <w:vAlign w:val="center"/>
            <w:hideMark/>
          </w:tcPr>
          <w:p w14:paraId="05E970ED" w14:textId="77777777" w:rsidR="00000000" w:rsidRDefault="00A173A8">
            <w:pPr>
              <w:spacing w:after="100"/>
              <w:rPr>
                <w:rFonts w:eastAsia="Times New Roman"/>
                <w:sz w:val="20"/>
                <w:szCs w:val="20"/>
              </w:rPr>
            </w:pPr>
          </w:p>
        </w:tc>
        <w:tc>
          <w:tcPr>
            <w:tcW w:w="50" w:type="pct"/>
            <w:vAlign w:val="center"/>
            <w:hideMark/>
          </w:tcPr>
          <w:p w14:paraId="679DD4C4" w14:textId="77777777" w:rsidR="00000000" w:rsidRDefault="00A173A8">
            <w:pPr>
              <w:spacing w:after="100"/>
              <w:rPr>
                <w:rFonts w:eastAsia="Times New Roman"/>
                <w:sz w:val="20"/>
                <w:szCs w:val="20"/>
              </w:rPr>
            </w:pPr>
          </w:p>
        </w:tc>
        <w:tc>
          <w:tcPr>
            <w:tcW w:w="405" w:type="pct"/>
            <w:vAlign w:val="center"/>
            <w:hideMark/>
          </w:tcPr>
          <w:p w14:paraId="2CF84489" w14:textId="77777777" w:rsidR="00000000" w:rsidRDefault="00A173A8">
            <w:pPr>
              <w:spacing w:after="100"/>
              <w:rPr>
                <w:rFonts w:eastAsia="Times New Roman"/>
                <w:sz w:val="20"/>
                <w:szCs w:val="20"/>
              </w:rPr>
            </w:pPr>
          </w:p>
        </w:tc>
        <w:tc>
          <w:tcPr>
            <w:tcW w:w="5" w:type="pct"/>
            <w:vAlign w:val="center"/>
            <w:hideMark/>
          </w:tcPr>
          <w:p w14:paraId="4B6A13BC" w14:textId="77777777" w:rsidR="00000000" w:rsidRDefault="00A173A8">
            <w:pPr>
              <w:spacing w:after="100"/>
              <w:rPr>
                <w:rFonts w:eastAsia="Times New Roman"/>
                <w:sz w:val="20"/>
                <w:szCs w:val="20"/>
              </w:rPr>
            </w:pPr>
          </w:p>
        </w:tc>
        <w:tc>
          <w:tcPr>
            <w:tcW w:w="5" w:type="pct"/>
            <w:vAlign w:val="center"/>
            <w:hideMark/>
          </w:tcPr>
          <w:p w14:paraId="3F83F694" w14:textId="77777777" w:rsidR="00000000" w:rsidRDefault="00A173A8">
            <w:pPr>
              <w:spacing w:after="100"/>
              <w:rPr>
                <w:rFonts w:eastAsia="Times New Roman"/>
                <w:sz w:val="20"/>
                <w:szCs w:val="20"/>
              </w:rPr>
            </w:pPr>
          </w:p>
        </w:tc>
        <w:tc>
          <w:tcPr>
            <w:tcW w:w="26" w:type="pct"/>
            <w:vAlign w:val="center"/>
            <w:hideMark/>
          </w:tcPr>
          <w:p w14:paraId="44975917" w14:textId="77777777" w:rsidR="00000000" w:rsidRDefault="00A173A8">
            <w:pPr>
              <w:spacing w:after="100"/>
              <w:rPr>
                <w:rFonts w:eastAsia="Times New Roman"/>
                <w:sz w:val="20"/>
                <w:szCs w:val="20"/>
              </w:rPr>
            </w:pPr>
          </w:p>
        </w:tc>
        <w:tc>
          <w:tcPr>
            <w:tcW w:w="5" w:type="pct"/>
            <w:vAlign w:val="center"/>
            <w:hideMark/>
          </w:tcPr>
          <w:p w14:paraId="7D41B293" w14:textId="77777777" w:rsidR="00000000" w:rsidRDefault="00A173A8">
            <w:pPr>
              <w:spacing w:after="100"/>
              <w:rPr>
                <w:rFonts w:eastAsia="Times New Roman"/>
                <w:sz w:val="20"/>
                <w:szCs w:val="20"/>
              </w:rPr>
            </w:pPr>
          </w:p>
        </w:tc>
        <w:tc>
          <w:tcPr>
            <w:tcW w:w="50" w:type="pct"/>
            <w:vAlign w:val="center"/>
            <w:hideMark/>
          </w:tcPr>
          <w:p w14:paraId="5C6CAED5" w14:textId="77777777" w:rsidR="00000000" w:rsidRDefault="00A173A8">
            <w:pPr>
              <w:spacing w:after="100"/>
              <w:rPr>
                <w:rFonts w:eastAsia="Times New Roman"/>
                <w:sz w:val="20"/>
                <w:szCs w:val="20"/>
              </w:rPr>
            </w:pPr>
          </w:p>
        </w:tc>
        <w:tc>
          <w:tcPr>
            <w:tcW w:w="405" w:type="pct"/>
            <w:vAlign w:val="center"/>
            <w:hideMark/>
          </w:tcPr>
          <w:p w14:paraId="507BFDEA" w14:textId="77777777" w:rsidR="00000000" w:rsidRDefault="00A173A8">
            <w:pPr>
              <w:spacing w:after="100"/>
              <w:rPr>
                <w:rFonts w:eastAsia="Times New Roman"/>
                <w:sz w:val="20"/>
                <w:szCs w:val="20"/>
              </w:rPr>
            </w:pPr>
          </w:p>
        </w:tc>
        <w:tc>
          <w:tcPr>
            <w:tcW w:w="5" w:type="pct"/>
            <w:vAlign w:val="center"/>
            <w:hideMark/>
          </w:tcPr>
          <w:p w14:paraId="3FC8E05C" w14:textId="77777777" w:rsidR="00000000" w:rsidRDefault="00A173A8">
            <w:pPr>
              <w:spacing w:after="100"/>
              <w:rPr>
                <w:rFonts w:eastAsia="Times New Roman"/>
                <w:sz w:val="20"/>
                <w:szCs w:val="20"/>
              </w:rPr>
            </w:pPr>
          </w:p>
        </w:tc>
        <w:tc>
          <w:tcPr>
            <w:tcW w:w="5" w:type="pct"/>
            <w:vAlign w:val="center"/>
            <w:hideMark/>
          </w:tcPr>
          <w:p w14:paraId="185407E9" w14:textId="77777777" w:rsidR="00000000" w:rsidRDefault="00A173A8">
            <w:pPr>
              <w:spacing w:after="100"/>
              <w:rPr>
                <w:rFonts w:eastAsia="Times New Roman"/>
                <w:sz w:val="20"/>
                <w:szCs w:val="20"/>
              </w:rPr>
            </w:pPr>
          </w:p>
        </w:tc>
        <w:tc>
          <w:tcPr>
            <w:tcW w:w="26" w:type="pct"/>
            <w:vAlign w:val="center"/>
            <w:hideMark/>
          </w:tcPr>
          <w:p w14:paraId="6AC02AFE" w14:textId="77777777" w:rsidR="00000000" w:rsidRDefault="00A173A8">
            <w:pPr>
              <w:spacing w:after="100"/>
              <w:rPr>
                <w:rFonts w:eastAsia="Times New Roman"/>
                <w:sz w:val="20"/>
                <w:szCs w:val="20"/>
              </w:rPr>
            </w:pPr>
          </w:p>
        </w:tc>
        <w:tc>
          <w:tcPr>
            <w:tcW w:w="5" w:type="pct"/>
            <w:vAlign w:val="center"/>
            <w:hideMark/>
          </w:tcPr>
          <w:p w14:paraId="693E38B3" w14:textId="77777777" w:rsidR="00000000" w:rsidRDefault="00A173A8">
            <w:pPr>
              <w:spacing w:after="100"/>
              <w:rPr>
                <w:rFonts w:eastAsia="Times New Roman"/>
                <w:sz w:val="20"/>
                <w:szCs w:val="20"/>
              </w:rPr>
            </w:pPr>
          </w:p>
        </w:tc>
        <w:tc>
          <w:tcPr>
            <w:tcW w:w="50" w:type="pct"/>
            <w:vAlign w:val="center"/>
            <w:hideMark/>
          </w:tcPr>
          <w:p w14:paraId="1312107C" w14:textId="77777777" w:rsidR="00000000" w:rsidRDefault="00A173A8">
            <w:pPr>
              <w:spacing w:after="100"/>
              <w:rPr>
                <w:rFonts w:eastAsia="Times New Roman"/>
                <w:sz w:val="20"/>
                <w:szCs w:val="20"/>
              </w:rPr>
            </w:pPr>
          </w:p>
        </w:tc>
        <w:tc>
          <w:tcPr>
            <w:tcW w:w="405" w:type="pct"/>
            <w:vAlign w:val="center"/>
            <w:hideMark/>
          </w:tcPr>
          <w:p w14:paraId="370F1647" w14:textId="77777777" w:rsidR="00000000" w:rsidRDefault="00A173A8">
            <w:pPr>
              <w:spacing w:after="100"/>
              <w:rPr>
                <w:rFonts w:eastAsia="Times New Roman"/>
                <w:sz w:val="20"/>
                <w:szCs w:val="20"/>
              </w:rPr>
            </w:pPr>
          </w:p>
        </w:tc>
        <w:tc>
          <w:tcPr>
            <w:tcW w:w="5" w:type="pct"/>
            <w:vAlign w:val="center"/>
            <w:hideMark/>
          </w:tcPr>
          <w:p w14:paraId="58D6623B" w14:textId="77777777" w:rsidR="00000000" w:rsidRDefault="00A173A8">
            <w:pPr>
              <w:spacing w:after="100"/>
              <w:rPr>
                <w:rFonts w:eastAsia="Times New Roman"/>
                <w:sz w:val="20"/>
                <w:szCs w:val="20"/>
              </w:rPr>
            </w:pPr>
          </w:p>
        </w:tc>
        <w:tc>
          <w:tcPr>
            <w:tcW w:w="5" w:type="pct"/>
            <w:vAlign w:val="center"/>
            <w:hideMark/>
          </w:tcPr>
          <w:p w14:paraId="3383535E" w14:textId="77777777" w:rsidR="00000000" w:rsidRDefault="00A173A8">
            <w:pPr>
              <w:spacing w:after="100"/>
              <w:rPr>
                <w:rFonts w:eastAsia="Times New Roman"/>
                <w:sz w:val="20"/>
                <w:szCs w:val="20"/>
              </w:rPr>
            </w:pPr>
          </w:p>
        </w:tc>
        <w:tc>
          <w:tcPr>
            <w:tcW w:w="26" w:type="pct"/>
            <w:vAlign w:val="center"/>
            <w:hideMark/>
          </w:tcPr>
          <w:p w14:paraId="50220022" w14:textId="77777777" w:rsidR="00000000" w:rsidRDefault="00A173A8">
            <w:pPr>
              <w:spacing w:after="100"/>
              <w:rPr>
                <w:rFonts w:eastAsia="Times New Roman"/>
                <w:sz w:val="20"/>
                <w:szCs w:val="20"/>
              </w:rPr>
            </w:pPr>
          </w:p>
        </w:tc>
        <w:tc>
          <w:tcPr>
            <w:tcW w:w="5" w:type="pct"/>
            <w:vAlign w:val="center"/>
            <w:hideMark/>
          </w:tcPr>
          <w:p w14:paraId="436C0107" w14:textId="77777777" w:rsidR="00000000" w:rsidRDefault="00A173A8">
            <w:pPr>
              <w:spacing w:after="100"/>
              <w:rPr>
                <w:rFonts w:eastAsia="Times New Roman"/>
                <w:sz w:val="20"/>
                <w:szCs w:val="20"/>
              </w:rPr>
            </w:pPr>
          </w:p>
        </w:tc>
        <w:tc>
          <w:tcPr>
            <w:tcW w:w="50" w:type="pct"/>
            <w:vAlign w:val="center"/>
            <w:hideMark/>
          </w:tcPr>
          <w:p w14:paraId="217039DE" w14:textId="77777777" w:rsidR="00000000" w:rsidRDefault="00A173A8">
            <w:pPr>
              <w:spacing w:after="100"/>
              <w:rPr>
                <w:rFonts w:eastAsia="Times New Roman"/>
                <w:sz w:val="20"/>
                <w:szCs w:val="20"/>
              </w:rPr>
            </w:pPr>
          </w:p>
        </w:tc>
        <w:tc>
          <w:tcPr>
            <w:tcW w:w="405" w:type="pct"/>
            <w:vAlign w:val="center"/>
            <w:hideMark/>
          </w:tcPr>
          <w:p w14:paraId="6968C8B2" w14:textId="77777777" w:rsidR="00000000" w:rsidRDefault="00A173A8">
            <w:pPr>
              <w:spacing w:after="100"/>
              <w:rPr>
                <w:rFonts w:eastAsia="Times New Roman"/>
                <w:sz w:val="20"/>
                <w:szCs w:val="20"/>
              </w:rPr>
            </w:pPr>
          </w:p>
        </w:tc>
        <w:tc>
          <w:tcPr>
            <w:tcW w:w="5" w:type="pct"/>
            <w:vAlign w:val="center"/>
            <w:hideMark/>
          </w:tcPr>
          <w:p w14:paraId="73E846B4" w14:textId="77777777" w:rsidR="00000000" w:rsidRDefault="00A173A8">
            <w:pPr>
              <w:spacing w:after="100"/>
              <w:rPr>
                <w:rFonts w:eastAsia="Times New Roman"/>
                <w:sz w:val="20"/>
                <w:szCs w:val="20"/>
              </w:rPr>
            </w:pPr>
          </w:p>
        </w:tc>
        <w:tc>
          <w:tcPr>
            <w:tcW w:w="5" w:type="pct"/>
            <w:vAlign w:val="center"/>
            <w:hideMark/>
          </w:tcPr>
          <w:p w14:paraId="30ED52C4" w14:textId="77777777" w:rsidR="00000000" w:rsidRDefault="00A173A8">
            <w:pPr>
              <w:spacing w:after="100"/>
              <w:rPr>
                <w:rFonts w:eastAsia="Times New Roman"/>
                <w:sz w:val="20"/>
                <w:szCs w:val="20"/>
              </w:rPr>
            </w:pPr>
          </w:p>
        </w:tc>
        <w:tc>
          <w:tcPr>
            <w:tcW w:w="26" w:type="pct"/>
            <w:vAlign w:val="center"/>
            <w:hideMark/>
          </w:tcPr>
          <w:p w14:paraId="1B8CE7EC" w14:textId="77777777" w:rsidR="00000000" w:rsidRDefault="00A173A8">
            <w:pPr>
              <w:spacing w:after="100"/>
              <w:rPr>
                <w:rFonts w:eastAsia="Times New Roman"/>
                <w:sz w:val="20"/>
                <w:szCs w:val="20"/>
              </w:rPr>
            </w:pPr>
          </w:p>
        </w:tc>
        <w:tc>
          <w:tcPr>
            <w:tcW w:w="5" w:type="pct"/>
            <w:vAlign w:val="center"/>
            <w:hideMark/>
          </w:tcPr>
          <w:p w14:paraId="07A9FD7D" w14:textId="77777777" w:rsidR="00000000" w:rsidRDefault="00A173A8">
            <w:pPr>
              <w:spacing w:after="100"/>
              <w:rPr>
                <w:rFonts w:eastAsia="Times New Roman"/>
                <w:sz w:val="20"/>
                <w:szCs w:val="20"/>
              </w:rPr>
            </w:pPr>
          </w:p>
        </w:tc>
        <w:tc>
          <w:tcPr>
            <w:tcW w:w="50" w:type="pct"/>
            <w:vAlign w:val="center"/>
            <w:hideMark/>
          </w:tcPr>
          <w:p w14:paraId="1F6E5318" w14:textId="77777777" w:rsidR="00000000" w:rsidRDefault="00A173A8">
            <w:pPr>
              <w:spacing w:after="100"/>
              <w:rPr>
                <w:rFonts w:eastAsia="Times New Roman"/>
                <w:sz w:val="20"/>
                <w:szCs w:val="20"/>
              </w:rPr>
            </w:pPr>
          </w:p>
        </w:tc>
        <w:tc>
          <w:tcPr>
            <w:tcW w:w="405" w:type="pct"/>
            <w:vAlign w:val="center"/>
            <w:hideMark/>
          </w:tcPr>
          <w:p w14:paraId="66767969" w14:textId="77777777" w:rsidR="00000000" w:rsidRDefault="00A173A8">
            <w:pPr>
              <w:spacing w:after="100"/>
              <w:rPr>
                <w:rFonts w:eastAsia="Times New Roman"/>
                <w:sz w:val="20"/>
                <w:szCs w:val="20"/>
              </w:rPr>
            </w:pPr>
          </w:p>
        </w:tc>
        <w:tc>
          <w:tcPr>
            <w:tcW w:w="5" w:type="pct"/>
            <w:vAlign w:val="center"/>
            <w:hideMark/>
          </w:tcPr>
          <w:p w14:paraId="6A1CAC1A" w14:textId="77777777" w:rsidR="00000000" w:rsidRDefault="00A173A8">
            <w:pPr>
              <w:spacing w:after="100"/>
              <w:rPr>
                <w:rFonts w:eastAsia="Times New Roman"/>
                <w:sz w:val="20"/>
                <w:szCs w:val="20"/>
              </w:rPr>
            </w:pPr>
          </w:p>
        </w:tc>
      </w:tr>
      <w:tr w:rsidR="00000000" w14:paraId="03B134F4" w14:textId="77777777">
        <w:tc>
          <w:tcPr>
            <w:tcW w:w="0" w:type="auto"/>
            <w:gridSpan w:val="3"/>
            <w:tcMar>
              <w:top w:w="30" w:type="dxa"/>
              <w:left w:w="20" w:type="dxa"/>
              <w:bottom w:w="30" w:type="dxa"/>
              <w:right w:w="20" w:type="dxa"/>
            </w:tcMar>
            <w:vAlign w:val="bottom"/>
            <w:hideMark/>
          </w:tcPr>
          <w:p w14:paraId="3C708C68"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4C74C25" w14:textId="77777777" w:rsidR="00000000" w:rsidRDefault="00A173A8">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2CC10388"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0D00C402" w14:textId="77777777">
        <w:tc>
          <w:tcPr>
            <w:tcW w:w="0" w:type="auto"/>
            <w:gridSpan w:val="3"/>
            <w:tcMar>
              <w:top w:w="30" w:type="dxa"/>
              <w:left w:w="20" w:type="dxa"/>
              <w:bottom w:w="30" w:type="dxa"/>
              <w:right w:w="20" w:type="dxa"/>
            </w:tcMar>
            <w:vAlign w:val="bottom"/>
            <w:hideMark/>
          </w:tcPr>
          <w:p w14:paraId="40491F20"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03BE817" w14:textId="77777777" w:rsidR="00000000" w:rsidRDefault="00A173A8">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25438F8D" w14:textId="77777777" w:rsidR="00000000" w:rsidRDefault="00A173A8">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14:paraId="2BE6DBDB"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28D2CE9" w14:textId="77777777" w:rsidR="00000000" w:rsidRDefault="00A173A8">
            <w:pPr>
              <w:spacing w:after="100"/>
              <w:jc w:val="center"/>
              <w:rPr>
                <w:rFonts w:eastAsia="Times New Roman"/>
              </w:rPr>
            </w:pPr>
            <w:r>
              <w:rPr>
                <w:rFonts w:eastAsia="Times New Roman"/>
                <w:b/>
                <w:bCs/>
                <w:color w:val="000000"/>
                <w:sz w:val="16"/>
                <w:szCs w:val="16"/>
              </w:rPr>
              <w:t>Unconsolidated</w:t>
            </w:r>
          </w:p>
        </w:tc>
      </w:tr>
      <w:tr w:rsidR="00000000" w14:paraId="6B300CE6" w14:textId="77777777">
        <w:tc>
          <w:tcPr>
            <w:tcW w:w="0" w:type="auto"/>
            <w:gridSpan w:val="3"/>
            <w:tcBorders>
              <w:bottom w:val="single" w:sz="8" w:space="0" w:color="000000"/>
            </w:tcBorders>
            <w:tcMar>
              <w:top w:w="30" w:type="dxa"/>
              <w:left w:w="20" w:type="dxa"/>
              <w:bottom w:w="30" w:type="dxa"/>
              <w:right w:w="20" w:type="dxa"/>
            </w:tcMar>
            <w:vAlign w:val="bottom"/>
            <w:hideMark/>
          </w:tcPr>
          <w:p w14:paraId="716C40A3"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0F8AB18"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EC8978D" w14:textId="77777777" w:rsidR="00000000" w:rsidRDefault="00A173A8">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306AE24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778068" w14:textId="77777777" w:rsidR="00000000" w:rsidRDefault="00A173A8">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14:paraId="7685DB9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846FAF8" w14:textId="77777777" w:rsidR="00000000" w:rsidRDefault="00A173A8">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2616A2F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D775B70" w14:textId="77777777" w:rsidR="00000000" w:rsidRDefault="00A173A8">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14:paraId="76FBB2D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10A1763" w14:textId="77777777" w:rsidR="00000000" w:rsidRDefault="00A173A8">
            <w:pPr>
              <w:spacing w:after="100"/>
              <w:jc w:val="center"/>
              <w:rPr>
                <w:rFonts w:eastAsia="Times New Roman"/>
              </w:rPr>
            </w:pPr>
            <w:r>
              <w:rPr>
                <w:rFonts w:eastAsia="Times New Roman"/>
                <w:b/>
                <w:bCs/>
                <w:color w:val="000000"/>
                <w:sz w:val="16"/>
                <w:szCs w:val="16"/>
              </w:rPr>
              <w:t>Maximum Exposure to Loss</w:t>
            </w:r>
          </w:p>
        </w:tc>
      </w:tr>
      <w:tr w:rsidR="00000000" w14:paraId="659E7AEC"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D6BCEE3" w14:textId="77777777" w:rsidR="00000000" w:rsidRDefault="00A173A8">
            <w:pPr>
              <w:spacing w:after="100"/>
              <w:divId w:val="848525252"/>
              <w:rPr>
                <w:rFonts w:eastAsia="Times New Roman"/>
              </w:rPr>
            </w:pPr>
            <w:r>
              <w:rPr>
                <w:rFonts w:eastAsia="Times New Roman"/>
                <w:b/>
                <w:bCs/>
                <w:color w:val="000000"/>
                <w:sz w:val="18"/>
                <w:szCs w:val="18"/>
              </w:rPr>
              <w:t>Securitization-Related VIEs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BECB3B5"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B6E70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CA64F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912F8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D8296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BA120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52E29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CAEC2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D3853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A9729C" w14:textId="77777777" w:rsidR="00000000" w:rsidRDefault="00A173A8">
            <w:pPr>
              <w:spacing w:after="100"/>
              <w:rPr>
                <w:rFonts w:eastAsia="Times New Roman"/>
                <w:sz w:val="20"/>
                <w:szCs w:val="20"/>
              </w:rPr>
            </w:pPr>
          </w:p>
        </w:tc>
      </w:tr>
      <w:tr w:rsidR="00000000" w14:paraId="43FF417D" w14:textId="77777777">
        <w:tc>
          <w:tcPr>
            <w:tcW w:w="0" w:type="auto"/>
            <w:gridSpan w:val="3"/>
            <w:shd w:val="clear" w:color="auto" w:fill="FFFFFF"/>
            <w:tcMar>
              <w:top w:w="30" w:type="dxa"/>
              <w:left w:w="20" w:type="dxa"/>
              <w:bottom w:w="30" w:type="dxa"/>
              <w:right w:w="20" w:type="dxa"/>
            </w:tcMar>
            <w:vAlign w:val="center"/>
            <w:hideMark/>
          </w:tcPr>
          <w:p w14:paraId="0BDEAF0B" w14:textId="77777777" w:rsidR="00000000" w:rsidRDefault="00A173A8">
            <w:pPr>
              <w:spacing w:after="100"/>
              <w:divId w:val="1100031597"/>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8EDDD68"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5853E99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63668EE" w14:textId="77777777" w:rsidR="00000000" w:rsidRDefault="00A173A8">
            <w:pPr>
              <w:spacing w:after="100"/>
              <w:jc w:val="right"/>
              <w:rPr>
                <w:rFonts w:eastAsia="Times New Roman"/>
              </w:rPr>
            </w:pPr>
            <w:r>
              <w:rPr>
                <w:rFonts w:eastAsia="Times New Roman"/>
                <w:color w:val="000000"/>
                <w:sz w:val="18"/>
                <w:szCs w:val="18"/>
              </w:rPr>
              <w:t>21,569 </w:t>
            </w:r>
          </w:p>
        </w:tc>
        <w:tc>
          <w:tcPr>
            <w:tcW w:w="0" w:type="auto"/>
            <w:shd w:val="clear" w:color="auto" w:fill="FFFFFF"/>
            <w:tcMar>
              <w:top w:w="30" w:type="dxa"/>
              <w:left w:w="0" w:type="dxa"/>
              <w:bottom w:w="30" w:type="dxa"/>
              <w:right w:w="20" w:type="dxa"/>
            </w:tcMar>
            <w:vAlign w:val="center"/>
            <w:hideMark/>
          </w:tcPr>
          <w:p w14:paraId="106449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45D3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988850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5646888" w14:textId="77777777" w:rsidR="00000000" w:rsidRDefault="00A173A8">
            <w:pPr>
              <w:spacing w:after="100"/>
              <w:jc w:val="right"/>
              <w:rPr>
                <w:rFonts w:eastAsia="Times New Roman"/>
              </w:rPr>
            </w:pPr>
            <w:r>
              <w:rPr>
                <w:rFonts w:eastAsia="Times New Roman"/>
                <w:color w:val="000000"/>
                <w:sz w:val="18"/>
                <w:szCs w:val="18"/>
              </w:rPr>
              <w:t>13,016 </w:t>
            </w:r>
          </w:p>
        </w:tc>
        <w:tc>
          <w:tcPr>
            <w:tcW w:w="0" w:type="auto"/>
            <w:shd w:val="clear" w:color="auto" w:fill="FFFFFF"/>
            <w:tcMar>
              <w:top w:w="30" w:type="dxa"/>
              <w:left w:w="0" w:type="dxa"/>
              <w:bottom w:w="30" w:type="dxa"/>
              <w:right w:w="20" w:type="dxa"/>
            </w:tcMar>
            <w:vAlign w:val="center"/>
            <w:hideMark/>
          </w:tcPr>
          <w:p w14:paraId="280B277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4BB3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DC0254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F62A98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70F45C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424E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43799D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414A4B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700E13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CDE7A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13CF39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A59E6B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5F49B85" w14:textId="77777777" w:rsidR="00000000" w:rsidRDefault="00A173A8">
            <w:pPr>
              <w:spacing w:after="100"/>
              <w:jc w:val="right"/>
              <w:rPr>
                <w:rFonts w:eastAsia="Times New Roman"/>
              </w:rPr>
            </w:pPr>
          </w:p>
        </w:tc>
      </w:tr>
      <w:tr w:rsidR="00000000" w14:paraId="180EAE28" w14:textId="77777777">
        <w:tc>
          <w:tcPr>
            <w:tcW w:w="0" w:type="auto"/>
            <w:gridSpan w:val="3"/>
            <w:shd w:val="clear" w:color="auto" w:fill="CCEEFF"/>
            <w:tcMar>
              <w:top w:w="30" w:type="dxa"/>
              <w:left w:w="245" w:type="dxa"/>
              <w:bottom w:w="30" w:type="dxa"/>
              <w:right w:w="20" w:type="dxa"/>
            </w:tcMar>
            <w:vAlign w:val="center"/>
            <w:hideMark/>
          </w:tcPr>
          <w:p w14:paraId="32804223" w14:textId="77777777" w:rsidR="00000000" w:rsidRDefault="00A173A8">
            <w:pPr>
              <w:spacing w:after="100"/>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14:paraId="7D75F78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1A4F1F2" w14:textId="77777777" w:rsidR="00000000" w:rsidRDefault="00A173A8">
            <w:pPr>
              <w:spacing w:after="100"/>
              <w:jc w:val="right"/>
              <w:rPr>
                <w:rFonts w:eastAsia="Times New Roman"/>
              </w:rPr>
            </w:pPr>
            <w:r>
              <w:rPr>
                <w:rFonts w:eastAsia="Times New Roman"/>
                <w:color w:val="000000"/>
                <w:sz w:val="18"/>
                <w:szCs w:val="18"/>
              </w:rPr>
              <w:t>2,552 </w:t>
            </w:r>
          </w:p>
        </w:tc>
        <w:tc>
          <w:tcPr>
            <w:tcW w:w="0" w:type="auto"/>
            <w:shd w:val="clear" w:color="auto" w:fill="CCEEFF"/>
            <w:tcMar>
              <w:top w:w="30" w:type="dxa"/>
              <w:left w:w="0" w:type="dxa"/>
              <w:bottom w:w="30" w:type="dxa"/>
              <w:right w:w="20" w:type="dxa"/>
            </w:tcMar>
            <w:vAlign w:val="center"/>
            <w:hideMark/>
          </w:tcPr>
          <w:p w14:paraId="1FE2A1E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6A4F0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674C50" w14:textId="77777777" w:rsidR="00000000" w:rsidRDefault="00A173A8">
            <w:pPr>
              <w:spacing w:after="100"/>
              <w:jc w:val="right"/>
              <w:rPr>
                <w:rFonts w:eastAsia="Times New Roman"/>
              </w:rPr>
            </w:pPr>
            <w:r>
              <w:rPr>
                <w:rFonts w:eastAsia="Times New Roman"/>
                <w:color w:val="000000"/>
                <w:sz w:val="18"/>
                <w:szCs w:val="18"/>
              </w:rPr>
              <w:t>2,187 </w:t>
            </w:r>
          </w:p>
        </w:tc>
        <w:tc>
          <w:tcPr>
            <w:tcW w:w="0" w:type="auto"/>
            <w:shd w:val="clear" w:color="auto" w:fill="CCEEFF"/>
            <w:tcMar>
              <w:top w:w="30" w:type="dxa"/>
              <w:left w:w="0" w:type="dxa"/>
              <w:bottom w:w="30" w:type="dxa"/>
              <w:right w:w="20" w:type="dxa"/>
            </w:tcMar>
            <w:vAlign w:val="center"/>
            <w:hideMark/>
          </w:tcPr>
          <w:p w14:paraId="4EE7617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217B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A4EEB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A66F2D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80095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F213A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2DE90CD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9D804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4EC8C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A7A7CB4" w14:textId="77777777" w:rsidR="00000000" w:rsidRDefault="00A173A8">
            <w:pPr>
              <w:spacing w:after="100"/>
              <w:jc w:val="right"/>
              <w:rPr>
                <w:rFonts w:eastAsia="Times New Roman"/>
              </w:rPr>
            </w:pPr>
          </w:p>
        </w:tc>
      </w:tr>
      <w:tr w:rsidR="00000000" w14:paraId="4C482482" w14:textId="77777777">
        <w:tc>
          <w:tcPr>
            <w:tcW w:w="0" w:type="auto"/>
            <w:gridSpan w:val="3"/>
            <w:shd w:val="clear" w:color="auto" w:fill="FFFFFF"/>
            <w:tcMar>
              <w:top w:w="30" w:type="dxa"/>
              <w:left w:w="20" w:type="dxa"/>
              <w:bottom w:w="30" w:type="dxa"/>
              <w:right w:w="20" w:type="dxa"/>
            </w:tcMar>
            <w:vAlign w:val="center"/>
            <w:hideMark/>
          </w:tcPr>
          <w:p w14:paraId="063BE0D1" w14:textId="77777777" w:rsidR="00000000" w:rsidRDefault="00A173A8">
            <w:pPr>
              <w:spacing w:after="100"/>
              <w:rPr>
                <w:rFonts w:eastAsia="Times New Roman"/>
              </w:rPr>
            </w:pPr>
            <w:r>
              <w:rPr>
                <w:rFonts w:eastAsia="Times New Roman"/>
                <w:color w:val="000000"/>
                <w:sz w:val="18"/>
                <w:szCs w:val="18"/>
              </w:rPr>
              <w:t>Total securitization-related VIEs</w:t>
            </w:r>
          </w:p>
        </w:tc>
        <w:tc>
          <w:tcPr>
            <w:tcW w:w="0" w:type="auto"/>
            <w:gridSpan w:val="3"/>
            <w:shd w:val="clear" w:color="auto" w:fill="FFFFFF"/>
            <w:tcMar>
              <w:top w:w="0" w:type="dxa"/>
              <w:left w:w="20" w:type="dxa"/>
              <w:bottom w:w="0" w:type="dxa"/>
              <w:right w:w="20" w:type="dxa"/>
            </w:tcMar>
            <w:vAlign w:val="center"/>
            <w:hideMark/>
          </w:tcPr>
          <w:p w14:paraId="422C72D0" w14:textId="77777777" w:rsidR="00000000" w:rsidRDefault="00A173A8">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3E3D7AF1" w14:textId="77777777" w:rsidR="00000000" w:rsidRDefault="00A173A8">
            <w:pPr>
              <w:spacing w:after="100"/>
              <w:jc w:val="right"/>
              <w:rPr>
                <w:rFonts w:eastAsia="Times New Roman"/>
              </w:rPr>
            </w:pPr>
            <w:r>
              <w:rPr>
                <w:rFonts w:eastAsia="Times New Roman"/>
                <w:color w:val="000000"/>
                <w:sz w:val="18"/>
                <w:szCs w:val="18"/>
              </w:rPr>
              <w:t>24,121 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57A2402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4C2E9"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2E361FD7" w14:textId="77777777" w:rsidR="00000000" w:rsidRDefault="00A173A8">
            <w:pPr>
              <w:spacing w:after="100"/>
              <w:jc w:val="right"/>
              <w:rPr>
                <w:rFonts w:eastAsia="Times New Roman"/>
              </w:rPr>
            </w:pPr>
            <w:r>
              <w:rPr>
                <w:rFonts w:eastAsia="Times New Roman"/>
                <w:color w:val="000000"/>
                <w:sz w:val="18"/>
                <w:szCs w:val="18"/>
              </w:rPr>
              <w:t>15,203 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6D70419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1FAF5"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29553118"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4449200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5DF911"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6428E32E"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0FA04C0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918D1A"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51DEC8C7"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6AC96C2F" w14:textId="77777777" w:rsidR="00000000" w:rsidRDefault="00A173A8">
            <w:pPr>
              <w:spacing w:after="100"/>
              <w:jc w:val="right"/>
              <w:rPr>
                <w:rFonts w:eastAsia="Times New Roman"/>
              </w:rPr>
            </w:pPr>
          </w:p>
        </w:tc>
      </w:tr>
    </w:tbl>
    <w:p w14:paraId="06AD7C8D" w14:textId="77777777" w:rsidR="00000000" w:rsidRDefault="00A173A8">
      <w:pPr>
        <w:jc w:val="center"/>
        <w:divId w:val="1738894457"/>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DBCEB69" w14:textId="77777777">
        <w:trPr>
          <w:divId w:val="1738894457"/>
          <w:jc w:val="center"/>
        </w:trPr>
        <w:tc>
          <w:tcPr>
            <w:tcW w:w="50" w:type="pct"/>
            <w:vAlign w:val="center"/>
            <w:hideMark/>
          </w:tcPr>
          <w:p w14:paraId="488FE139" w14:textId="77777777" w:rsidR="00000000" w:rsidRDefault="00A173A8">
            <w:pPr>
              <w:jc w:val="both"/>
              <w:rPr>
                <w:rFonts w:eastAsia="Times New Roman"/>
              </w:rPr>
            </w:pPr>
          </w:p>
        </w:tc>
        <w:tc>
          <w:tcPr>
            <w:tcW w:w="1606" w:type="pct"/>
            <w:vAlign w:val="center"/>
            <w:hideMark/>
          </w:tcPr>
          <w:p w14:paraId="52C023CB" w14:textId="77777777" w:rsidR="00000000" w:rsidRDefault="00A173A8">
            <w:pPr>
              <w:spacing w:after="100"/>
              <w:rPr>
                <w:rFonts w:eastAsia="Times New Roman"/>
                <w:sz w:val="20"/>
                <w:szCs w:val="20"/>
              </w:rPr>
            </w:pPr>
          </w:p>
        </w:tc>
        <w:tc>
          <w:tcPr>
            <w:tcW w:w="5" w:type="pct"/>
            <w:vAlign w:val="center"/>
            <w:hideMark/>
          </w:tcPr>
          <w:p w14:paraId="302A05A7" w14:textId="77777777" w:rsidR="00000000" w:rsidRDefault="00A173A8">
            <w:pPr>
              <w:spacing w:after="100"/>
              <w:rPr>
                <w:rFonts w:eastAsia="Times New Roman"/>
                <w:sz w:val="20"/>
                <w:szCs w:val="20"/>
              </w:rPr>
            </w:pPr>
          </w:p>
        </w:tc>
        <w:tc>
          <w:tcPr>
            <w:tcW w:w="50" w:type="pct"/>
            <w:vAlign w:val="center"/>
            <w:hideMark/>
          </w:tcPr>
          <w:p w14:paraId="5727A884" w14:textId="77777777" w:rsidR="00000000" w:rsidRDefault="00A173A8">
            <w:pPr>
              <w:spacing w:after="100"/>
              <w:rPr>
                <w:rFonts w:eastAsia="Times New Roman"/>
                <w:sz w:val="20"/>
                <w:szCs w:val="20"/>
              </w:rPr>
            </w:pPr>
          </w:p>
        </w:tc>
        <w:tc>
          <w:tcPr>
            <w:tcW w:w="1614" w:type="pct"/>
            <w:vAlign w:val="center"/>
            <w:hideMark/>
          </w:tcPr>
          <w:p w14:paraId="2778A96B" w14:textId="77777777" w:rsidR="00000000" w:rsidRDefault="00A173A8">
            <w:pPr>
              <w:spacing w:after="100"/>
              <w:rPr>
                <w:rFonts w:eastAsia="Times New Roman"/>
                <w:sz w:val="20"/>
                <w:szCs w:val="20"/>
              </w:rPr>
            </w:pPr>
          </w:p>
        </w:tc>
        <w:tc>
          <w:tcPr>
            <w:tcW w:w="5" w:type="pct"/>
            <w:vAlign w:val="center"/>
            <w:hideMark/>
          </w:tcPr>
          <w:p w14:paraId="5B084310" w14:textId="77777777" w:rsidR="00000000" w:rsidRDefault="00A173A8">
            <w:pPr>
              <w:spacing w:after="100"/>
              <w:rPr>
                <w:rFonts w:eastAsia="Times New Roman"/>
                <w:sz w:val="20"/>
                <w:szCs w:val="20"/>
              </w:rPr>
            </w:pPr>
          </w:p>
        </w:tc>
        <w:tc>
          <w:tcPr>
            <w:tcW w:w="50" w:type="pct"/>
            <w:vAlign w:val="center"/>
            <w:hideMark/>
          </w:tcPr>
          <w:p w14:paraId="6701AACE" w14:textId="77777777" w:rsidR="00000000" w:rsidRDefault="00A173A8">
            <w:pPr>
              <w:spacing w:after="100"/>
              <w:rPr>
                <w:rFonts w:eastAsia="Times New Roman"/>
                <w:sz w:val="20"/>
                <w:szCs w:val="20"/>
              </w:rPr>
            </w:pPr>
          </w:p>
        </w:tc>
        <w:tc>
          <w:tcPr>
            <w:tcW w:w="1614" w:type="pct"/>
            <w:vAlign w:val="center"/>
            <w:hideMark/>
          </w:tcPr>
          <w:p w14:paraId="4602938D" w14:textId="77777777" w:rsidR="00000000" w:rsidRDefault="00A173A8">
            <w:pPr>
              <w:spacing w:after="100"/>
              <w:rPr>
                <w:rFonts w:eastAsia="Times New Roman"/>
                <w:sz w:val="20"/>
                <w:szCs w:val="20"/>
              </w:rPr>
            </w:pPr>
          </w:p>
        </w:tc>
        <w:tc>
          <w:tcPr>
            <w:tcW w:w="5" w:type="pct"/>
            <w:vAlign w:val="center"/>
            <w:hideMark/>
          </w:tcPr>
          <w:p w14:paraId="6BE36595" w14:textId="77777777" w:rsidR="00000000" w:rsidRDefault="00A173A8">
            <w:pPr>
              <w:spacing w:after="100"/>
              <w:rPr>
                <w:rFonts w:eastAsia="Times New Roman"/>
                <w:sz w:val="20"/>
                <w:szCs w:val="20"/>
              </w:rPr>
            </w:pPr>
          </w:p>
        </w:tc>
      </w:tr>
      <w:tr w:rsidR="00000000" w14:paraId="44703F50" w14:textId="77777777">
        <w:trPr>
          <w:divId w:val="1738894457"/>
          <w:trHeight w:val="300"/>
          <w:jc w:val="center"/>
        </w:trPr>
        <w:tc>
          <w:tcPr>
            <w:tcW w:w="0" w:type="auto"/>
            <w:gridSpan w:val="9"/>
            <w:tcMar>
              <w:top w:w="0" w:type="dxa"/>
              <w:left w:w="20" w:type="dxa"/>
              <w:bottom w:w="0" w:type="dxa"/>
              <w:right w:w="20" w:type="dxa"/>
            </w:tcMar>
            <w:vAlign w:val="center"/>
            <w:hideMark/>
          </w:tcPr>
          <w:p w14:paraId="239FCC60" w14:textId="77777777" w:rsidR="00000000" w:rsidRDefault="00A173A8">
            <w:pPr>
              <w:spacing w:after="100"/>
              <w:rPr>
                <w:rFonts w:eastAsia="Times New Roman"/>
                <w:sz w:val="20"/>
                <w:szCs w:val="20"/>
              </w:rPr>
            </w:pPr>
          </w:p>
        </w:tc>
      </w:tr>
      <w:tr w:rsidR="00000000" w14:paraId="07212B04" w14:textId="77777777">
        <w:trPr>
          <w:divId w:val="1738894457"/>
          <w:jc w:val="center"/>
        </w:trPr>
        <w:tc>
          <w:tcPr>
            <w:tcW w:w="0" w:type="auto"/>
            <w:gridSpan w:val="3"/>
            <w:tcMar>
              <w:top w:w="0" w:type="dxa"/>
              <w:left w:w="20" w:type="dxa"/>
              <w:bottom w:w="0" w:type="dxa"/>
              <w:right w:w="20" w:type="dxa"/>
            </w:tcMar>
            <w:vAlign w:val="center"/>
            <w:hideMark/>
          </w:tcPr>
          <w:p w14:paraId="2139C1FF"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FD4169F" w14:textId="77777777" w:rsidR="00000000" w:rsidRDefault="00A173A8">
            <w:pPr>
              <w:spacing w:after="100"/>
              <w:jc w:val="center"/>
              <w:rPr>
                <w:rFonts w:eastAsia="Times New Roman"/>
              </w:rPr>
            </w:pPr>
            <w:r>
              <w:rPr>
                <w:rFonts w:eastAsia="Times New Roman"/>
                <w:color w:val="000000"/>
                <w:sz w:val="16"/>
                <w:szCs w:val="16"/>
              </w:rPr>
              <w:t>87</w:t>
            </w:r>
          </w:p>
        </w:tc>
        <w:tc>
          <w:tcPr>
            <w:tcW w:w="0" w:type="auto"/>
            <w:gridSpan w:val="3"/>
            <w:tcMar>
              <w:top w:w="30" w:type="dxa"/>
              <w:left w:w="20" w:type="dxa"/>
              <w:bottom w:w="30" w:type="dxa"/>
              <w:right w:w="20" w:type="dxa"/>
            </w:tcMar>
            <w:vAlign w:val="bottom"/>
            <w:hideMark/>
          </w:tcPr>
          <w:p w14:paraId="4674BA70"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E7BE124" w14:textId="77777777" w:rsidR="00000000" w:rsidRDefault="00A173A8">
      <w:pPr>
        <w:rPr>
          <w:rFonts w:eastAsia="Times New Roman"/>
        </w:rPr>
      </w:pPr>
      <w:r>
        <w:rPr>
          <w:rFonts w:eastAsia="Times New Roman"/>
        </w:rPr>
        <w:pict w14:anchorId="714462B8">
          <v:rect id="_x0000_i1112" style="width:0;height:1.5pt" o:hralign="center" o:hrstd="t" o:hr="t" fillcolor="#a0a0a0" stroked="f"/>
        </w:pict>
      </w:r>
    </w:p>
    <w:p w14:paraId="1178EDC2" w14:textId="77777777" w:rsidR="00000000" w:rsidRDefault="00A173A8">
      <w:pPr>
        <w:jc w:val="both"/>
        <w:divId w:val="666246185"/>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14:paraId="2A2A8A49" w14:textId="77777777">
        <w:trPr>
          <w:divId w:val="1010136589"/>
        </w:trPr>
        <w:tc>
          <w:tcPr>
            <w:tcW w:w="50" w:type="pct"/>
            <w:vAlign w:val="center"/>
            <w:hideMark/>
          </w:tcPr>
          <w:p w14:paraId="6745F07C" w14:textId="77777777" w:rsidR="00000000" w:rsidRDefault="00A173A8">
            <w:pPr>
              <w:jc w:val="both"/>
              <w:rPr>
                <w:rFonts w:eastAsia="Times New Roman"/>
              </w:rPr>
            </w:pPr>
          </w:p>
        </w:tc>
        <w:tc>
          <w:tcPr>
            <w:tcW w:w="2459" w:type="pct"/>
            <w:vAlign w:val="center"/>
            <w:hideMark/>
          </w:tcPr>
          <w:p w14:paraId="0127AA0E" w14:textId="77777777" w:rsidR="00000000" w:rsidRDefault="00A173A8">
            <w:pPr>
              <w:spacing w:after="100"/>
              <w:rPr>
                <w:rFonts w:eastAsia="Times New Roman"/>
                <w:sz w:val="20"/>
                <w:szCs w:val="20"/>
              </w:rPr>
            </w:pPr>
          </w:p>
        </w:tc>
        <w:tc>
          <w:tcPr>
            <w:tcW w:w="5" w:type="pct"/>
            <w:vAlign w:val="center"/>
            <w:hideMark/>
          </w:tcPr>
          <w:p w14:paraId="69B388DD" w14:textId="77777777" w:rsidR="00000000" w:rsidRDefault="00A173A8">
            <w:pPr>
              <w:spacing w:after="100"/>
              <w:rPr>
                <w:rFonts w:eastAsia="Times New Roman"/>
                <w:sz w:val="20"/>
                <w:szCs w:val="20"/>
              </w:rPr>
            </w:pPr>
          </w:p>
        </w:tc>
        <w:tc>
          <w:tcPr>
            <w:tcW w:w="5" w:type="pct"/>
            <w:vAlign w:val="center"/>
            <w:hideMark/>
          </w:tcPr>
          <w:p w14:paraId="279685D1" w14:textId="77777777" w:rsidR="00000000" w:rsidRDefault="00A173A8">
            <w:pPr>
              <w:spacing w:after="100"/>
              <w:rPr>
                <w:rFonts w:eastAsia="Times New Roman"/>
                <w:sz w:val="20"/>
                <w:szCs w:val="20"/>
              </w:rPr>
            </w:pPr>
          </w:p>
        </w:tc>
        <w:tc>
          <w:tcPr>
            <w:tcW w:w="26" w:type="pct"/>
            <w:vAlign w:val="center"/>
            <w:hideMark/>
          </w:tcPr>
          <w:p w14:paraId="549867B6" w14:textId="77777777" w:rsidR="00000000" w:rsidRDefault="00A173A8">
            <w:pPr>
              <w:spacing w:after="100"/>
              <w:rPr>
                <w:rFonts w:eastAsia="Times New Roman"/>
                <w:sz w:val="20"/>
                <w:szCs w:val="20"/>
              </w:rPr>
            </w:pPr>
          </w:p>
        </w:tc>
        <w:tc>
          <w:tcPr>
            <w:tcW w:w="5" w:type="pct"/>
            <w:vAlign w:val="center"/>
            <w:hideMark/>
          </w:tcPr>
          <w:p w14:paraId="75CF8136" w14:textId="77777777" w:rsidR="00000000" w:rsidRDefault="00A173A8">
            <w:pPr>
              <w:spacing w:after="100"/>
              <w:rPr>
                <w:rFonts w:eastAsia="Times New Roman"/>
                <w:sz w:val="20"/>
                <w:szCs w:val="20"/>
              </w:rPr>
            </w:pPr>
          </w:p>
        </w:tc>
        <w:tc>
          <w:tcPr>
            <w:tcW w:w="50" w:type="pct"/>
            <w:vAlign w:val="center"/>
            <w:hideMark/>
          </w:tcPr>
          <w:p w14:paraId="349CFB7D" w14:textId="77777777" w:rsidR="00000000" w:rsidRDefault="00A173A8">
            <w:pPr>
              <w:spacing w:after="100"/>
              <w:rPr>
                <w:rFonts w:eastAsia="Times New Roman"/>
                <w:sz w:val="20"/>
                <w:szCs w:val="20"/>
              </w:rPr>
            </w:pPr>
          </w:p>
        </w:tc>
        <w:tc>
          <w:tcPr>
            <w:tcW w:w="405" w:type="pct"/>
            <w:vAlign w:val="center"/>
            <w:hideMark/>
          </w:tcPr>
          <w:p w14:paraId="0568C274" w14:textId="77777777" w:rsidR="00000000" w:rsidRDefault="00A173A8">
            <w:pPr>
              <w:spacing w:after="100"/>
              <w:rPr>
                <w:rFonts w:eastAsia="Times New Roman"/>
                <w:sz w:val="20"/>
                <w:szCs w:val="20"/>
              </w:rPr>
            </w:pPr>
          </w:p>
        </w:tc>
        <w:tc>
          <w:tcPr>
            <w:tcW w:w="5" w:type="pct"/>
            <w:vAlign w:val="center"/>
            <w:hideMark/>
          </w:tcPr>
          <w:p w14:paraId="1EF8A007" w14:textId="77777777" w:rsidR="00000000" w:rsidRDefault="00A173A8">
            <w:pPr>
              <w:spacing w:after="100"/>
              <w:rPr>
                <w:rFonts w:eastAsia="Times New Roman"/>
                <w:sz w:val="20"/>
                <w:szCs w:val="20"/>
              </w:rPr>
            </w:pPr>
          </w:p>
        </w:tc>
        <w:tc>
          <w:tcPr>
            <w:tcW w:w="5" w:type="pct"/>
            <w:vAlign w:val="center"/>
            <w:hideMark/>
          </w:tcPr>
          <w:p w14:paraId="431FF5C0" w14:textId="77777777" w:rsidR="00000000" w:rsidRDefault="00A173A8">
            <w:pPr>
              <w:spacing w:after="100"/>
              <w:rPr>
                <w:rFonts w:eastAsia="Times New Roman"/>
                <w:sz w:val="20"/>
                <w:szCs w:val="20"/>
              </w:rPr>
            </w:pPr>
          </w:p>
        </w:tc>
        <w:tc>
          <w:tcPr>
            <w:tcW w:w="26" w:type="pct"/>
            <w:vAlign w:val="center"/>
            <w:hideMark/>
          </w:tcPr>
          <w:p w14:paraId="3C238BFC" w14:textId="77777777" w:rsidR="00000000" w:rsidRDefault="00A173A8">
            <w:pPr>
              <w:spacing w:after="100"/>
              <w:rPr>
                <w:rFonts w:eastAsia="Times New Roman"/>
                <w:sz w:val="20"/>
                <w:szCs w:val="20"/>
              </w:rPr>
            </w:pPr>
          </w:p>
        </w:tc>
        <w:tc>
          <w:tcPr>
            <w:tcW w:w="5" w:type="pct"/>
            <w:vAlign w:val="center"/>
            <w:hideMark/>
          </w:tcPr>
          <w:p w14:paraId="3ABE1618" w14:textId="77777777" w:rsidR="00000000" w:rsidRDefault="00A173A8">
            <w:pPr>
              <w:spacing w:after="100"/>
              <w:rPr>
                <w:rFonts w:eastAsia="Times New Roman"/>
                <w:sz w:val="20"/>
                <w:szCs w:val="20"/>
              </w:rPr>
            </w:pPr>
          </w:p>
        </w:tc>
        <w:tc>
          <w:tcPr>
            <w:tcW w:w="50" w:type="pct"/>
            <w:vAlign w:val="center"/>
            <w:hideMark/>
          </w:tcPr>
          <w:p w14:paraId="29625E80" w14:textId="77777777" w:rsidR="00000000" w:rsidRDefault="00A173A8">
            <w:pPr>
              <w:spacing w:after="100"/>
              <w:rPr>
                <w:rFonts w:eastAsia="Times New Roman"/>
                <w:sz w:val="20"/>
                <w:szCs w:val="20"/>
              </w:rPr>
            </w:pPr>
          </w:p>
        </w:tc>
        <w:tc>
          <w:tcPr>
            <w:tcW w:w="405" w:type="pct"/>
            <w:vAlign w:val="center"/>
            <w:hideMark/>
          </w:tcPr>
          <w:p w14:paraId="3DD02ECA" w14:textId="77777777" w:rsidR="00000000" w:rsidRDefault="00A173A8">
            <w:pPr>
              <w:spacing w:after="100"/>
              <w:rPr>
                <w:rFonts w:eastAsia="Times New Roman"/>
                <w:sz w:val="20"/>
                <w:szCs w:val="20"/>
              </w:rPr>
            </w:pPr>
          </w:p>
        </w:tc>
        <w:tc>
          <w:tcPr>
            <w:tcW w:w="5" w:type="pct"/>
            <w:vAlign w:val="center"/>
            <w:hideMark/>
          </w:tcPr>
          <w:p w14:paraId="769FD080" w14:textId="77777777" w:rsidR="00000000" w:rsidRDefault="00A173A8">
            <w:pPr>
              <w:spacing w:after="100"/>
              <w:rPr>
                <w:rFonts w:eastAsia="Times New Roman"/>
                <w:sz w:val="20"/>
                <w:szCs w:val="20"/>
              </w:rPr>
            </w:pPr>
          </w:p>
        </w:tc>
        <w:tc>
          <w:tcPr>
            <w:tcW w:w="5" w:type="pct"/>
            <w:vAlign w:val="center"/>
            <w:hideMark/>
          </w:tcPr>
          <w:p w14:paraId="6C0EA586" w14:textId="77777777" w:rsidR="00000000" w:rsidRDefault="00A173A8">
            <w:pPr>
              <w:spacing w:after="100"/>
              <w:rPr>
                <w:rFonts w:eastAsia="Times New Roman"/>
                <w:sz w:val="20"/>
                <w:szCs w:val="20"/>
              </w:rPr>
            </w:pPr>
          </w:p>
        </w:tc>
        <w:tc>
          <w:tcPr>
            <w:tcW w:w="26" w:type="pct"/>
            <w:vAlign w:val="center"/>
            <w:hideMark/>
          </w:tcPr>
          <w:p w14:paraId="08F0FC98" w14:textId="77777777" w:rsidR="00000000" w:rsidRDefault="00A173A8">
            <w:pPr>
              <w:spacing w:after="100"/>
              <w:rPr>
                <w:rFonts w:eastAsia="Times New Roman"/>
                <w:sz w:val="20"/>
                <w:szCs w:val="20"/>
              </w:rPr>
            </w:pPr>
          </w:p>
        </w:tc>
        <w:tc>
          <w:tcPr>
            <w:tcW w:w="5" w:type="pct"/>
            <w:vAlign w:val="center"/>
            <w:hideMark/>
          </w:tcPr>
          <w:p w14:paraId="201710E3" w14:textId="77777777" w:rsidR="00000000" w:rsidRDefault="00A173A8">
            <w:pPr>
              <w:spacing w:after="100"/>
              <w:rPr>
                <w:rFonts w:eastAsia="Times New Roman"/>
                <w:sz w:val="20"/>
                <w:szCs w:val="20"/>
              </w:rPr>
            </w:pPr>
          </w:p>
        </w:tc>
        <w:tc>
          <w:tcPr>
            <w:tcW w:w="50" w:type="pct"/>
            <w:vAlign w:val="center"/>
            <w:hideMark/>
          </w:tcPr>
          <w:p w14:paraId="2FEF9AC0" w14:textId="77777777" w:rsidR="00000000" w:rsidRDefault="00A173A8">
            <w:pPr>
              <w:spacing w:after="100"/>
              <w:rPr>
                <w:rFonts w:eastAsia="Times New Roman"/>
                <w:sz w:val="20"/>
                <w:szCs w:val="20"/>
              </w:rPr>
            </w:pPr>
          </w:p>
        </w:tc>
        <w:tc>
          <w:tcPr>
            <w:tcW w:w="405" w:type="pct"/>
            <w:vAlign w:val="center"/>
            <w:hideMark/>
          </w:tcPr>
          <w:p w14:paraId="161079C4" w14:textId="77777777" w:rsidR="00000000" w:rsidRDefault="00A173A8">
            <w:pPr>
              <w:spacing w:after="100"/>
              <w:rPr>
                <w:rFonts w:eastAsia="Times New Roman"/>
                <w:sz w:val="20"/>
                <w:szCs w:val="20"/>
              </w:rPr>
            </w:pPr>
          </w:p>
        </w:tc>
        <w:tc>
          <w:tcPr>
            <w:tcW w:w="5" w:type="pct"/>
            <w:vAlign w:val="center"/>
            <w:hideMark/>
          </w:tcPr>
          <w:p w14:paraId="111C08A8" w14:textId="77777777" w:rsidR="00000000" w:rsidRDefault="00A173A8">
            <w:pPr>
              <w:spacing w:after="100"/>
              <w:rPr>
                <w:rFonts w:eastAsia="Times New Roman"/>
                <w:sz w:val="20"/>
                <w:szCs w:val="20"/>
              </w:rPr>
            </w:pPr>
          </w:p>
        </w:tc>
        <w:tc>
          <w:tcPr>
            <w:tcW w:w="5" w:type="pct"/>
            <w:vAlign w:val="center"/>
            <w:hideMark/>
          </w:tcPr>
          <w:p w14:paraId="7B84CE33" w14:textId="77777777" w:rsidR="00000000" w:rsidRDefault="00A173A8">
            <w:pPr>
              <w:spacing w:after="100"/>
              <w:rPr>
                <w:rFonts w:eastAsia="Times New Roman"/>
                <w:sz w:val="20"/>
                <w:szCs w:val="20"/>
              </w:rPr>
            </w:pPr>
          </w:p>
        </w:tc>
        <w:tc>
          <w:tcPr>
            <w:tcW w:w="26" w:type="pct"/>
            <w:vAlign w:val="center"/>
            <w:hideMark/>
          </w:tcPr>
          <w:p w14:paraId="30E76B12" w14:textId="77777777" w:rsidR="00000000" w:rsidRDefault="00A173A8">
            <w:pPr>
              <w:spacing w:after="100"/>
              <w:rPr>
                <w:rFonts w:eastAsia="Times New Roman"/>
                <w:sz w:val="20"/>
                <w:szCs w:val="20"/>
              </w:rPr>
            </w:pPr>
          </w:p>
        </w:tc>
        <w:tc>
          <w:tcPr>
            <w:tcW w:w="5" w:type="pct"/>
            <w:vAlign w:val="center"/>
            <w:hideMark/>
          </w:tcPr>
          <w:p w14:paraId="390364C9" w14:textId="77777777" w:rsidR="00000000" w:rsidRDefault="00A173A8">
            <w:pPr>
              <w:spacing w:after="100"/>
              <w:rPr>
                <w:rFonts w:eastAsia="Times New Roman"/>
                <w:sz w:val="20"/>
                <w:szCs w:val="20"/>
              </w:rPr>
            </w:pPr>
          </w:p>
        </w:tc>
        <w:tc>
          <w:tcPr>
            <w:tcW w:w="50" w:type="pct"/>
            <w:vAlign w:val="center"/>
            <w:hideMark/>
          </w:tcPr>
          <w:p w14:paraId="523E454A" w14:textId="77777777" w:rsidR="00000000" w:rsidRDefault="00A173A8">
            <w:pPr>
              <w:spacing w:after="100"/>
              <w:rPr>
                <w:rFonts w:eastAsia="Times New Roman"/>
                <w:sz w:val="20"/>
                <w:szCs w:val="20"/>
              </w:rPr>
            </w:pPr>
          </w:p>
        </w:tc>
        <w:tc>
          <w:tcPr>
            <w:tcW w:w="405" w:type="pct"/>
            <w:vAlign w:val="center"/>
            <w:hideMark/>
          </w:tcPr>
          <w:p w14:paraId="39F512A8" w14:textId="77777777" w:rsidR="00000000" w:rsidRDefault="00A173A8">
            <w:pPr>
              <w:spacing w:after="100"/>
              <w:rPr>
                <w:rFonts w:eastAsia="Times New Roman"/>
                <w:sz w:val="20"/>
                <w:szCs w:val="20"/>
              </w:rPr>
            </w:pPr>
          </w:p>
        </w:tc>
        <w:tc>
          <w:tcPr>
            <w:tcW w:w="5" w:type="pct"/>
            <w:vAlign w:val="center"/>
            <w:hideMark/>
          </w:tcPr>
          <w:p w14:paraId="09D98AA8" w14:textId="77777777" w:rsidR="00000000" w:rsidRDefault="00A173A8">
            <w:pPr>
              <w:spacing w:after="100"/>
              <w:rPr>
                <w:rFonts w:eastAsia="Times New Roman"/>
                <w:sz w:val="20"/>
                <w:szCs w:val="20"/>
              </w:rPr>
            </w:pPr>
          </w:p>
        </w:tc>
        <w:tc>
          <w:tcPr>
            <w:tcW w:w="5" w:type="pct"/>
            <w:vAlign w:val="center"/>
            <w:hideMark/>
          </w:tcPr>
          <w:p w14:paraId="79A8F76A" w14:textId="77777777" w:rsidR="00000000" w:rsidRDefault="00A173A8">
            <w:pPr>
              <w:spacing w:after="100"/>
              <w:rPr>
                <w:rFonts w:eastAsia="Times New Roman"/>
                <w:sz w:val="20"/>
                <w:szCs w:val="20"/>
              </w:rPr>
            </w:pPr>
          </w:p>
        </w:tc>
        <w:tc>
          <w:tcPr>
            <w:tcW w:w="26" w:type="pct"/>
            <w:vAlign w:val="center"/>
            <w:hideMark/>
          </w:tcPr>
          <w:p w14:paraId="62289A09" w14:textId="77777777" w:rsidR="00000000" w:rsidRDefault="00A173A8">
            <w:pPr>
              <w:spacing w:after="100"/>
              <w:rPr>
                <w:rFonts w:eastAsia="Times New Roman"/>
                <w:sz w:val="20"/>
                <w:szCs w:val="20"/>
              </w:rPr>
            </w:pPr>
          </w:p>
        </w:tc>
        <w:tc>
          <w:tcPr>
            <w:tcW w:w="5" w:type="pct"/>
            <w:vAlign w:val="center"/>
            <w:hideMark/>
          </w:tcPr>
          <w:p w14:paraId="4AAA4747" w14:textId="77777777" w:rsidR="00000000" w:rsidRDefault="00A173A8">
            <w:pPr>
              <w:spacing w:after="100"/>
              <w:rPr>
                <w:rFonts w:eastAsia="Times New Roman"/>
                <w:sz w:val="20"/>
                <w:szCs w:val="20"/>
              </w:rPr>
            </w:pPr>
          </w:p>
        </w:tc>
        <w:tc>
          <w:tcPr>
            <w:tcW w:w="50" w:type="pct"/>
            <w:vAlign w:val="center"/>
            <w:hideMark/>
          </w:tcPr>
          <w:p w14:paraId="017D39E0" w14:textId="77777777" w:rsidR="00000000" w:rsidRDefault="00A173A8">
            <w:pPr>
              <w:spacing w:after="100"/>
              <w:rPr>
                <w:rFonts w:eastAsia="Times New Roman"/>
                <w:sz w:val="20"/>
                <w:szCs w:val="20"/>
              </w:rPr>
            </w:pPr>
          </w:p>
        </w:tc>
        <w:tc>
          <w:tcPr>
            <w:tcW w:w="405" w:type="pct"/>
            <w:vAlign w:val="center"/>
            <w:hideMark/>
          </w:tcPr>
          <w:p w14:paraId="3C21FA00" w14:textId="77777777" w:rsidR="00000000" w:rsidRDefault="00A173A8">
            <w:pPr>
              <w:spacing w:after="100"/>
              <w:rPr>
                <w:rFonts w:eastAsia="Times New Roman"/>
                <w:sz w:val="20"/>
                <w:szCs w:val="20"/>
              </w:rPr>
            </w:pPr>
          </w:p>
        </w:tc>
        <w:tc>
          <w:tcPr>
            <w:tcW w:w="5" w:type="pct"/>
            <w:vAlign w:val="center"/>
            <w:hideMark/>
          </w:tcPr>
          <w:p w14:paraId="7E80B19B" w14:textId="77777777" w:rsidR="00000000" w:rsidRDefault="00A173A8">
            <w:pPr>
              <w:spacing w:after="100"/>
              <w:rPr>
                <w:rFonts w:eastAsia="Times New Roman"/>
                <w:sz w:val="20"/>
                <w:szCs w:val="20"/>
              </w:rPr>
            </w:pPr>
          </w:p>
        </w:tc>
      </w:tr>
      <w:tr w:rsidR="00000000" w14:paraId="18B1C661" w14:textId="77777777">
        <w:trPr>
          <w:divId w:val="1010136589"/>
        </w:trPr>
        <w:tc>
          <w:tcPr>
            <w:tcW w:w="0" w:type="auto"/>
            <w:gridSpan w:val="3"/>
            <w:tcMar>
              <w:top w:w="30" w:type="dxa"/>
              <w:left w:w="20" w:type="dxa"/>
              <w:bottom w:w="30" w:type="dxa"/>
              <w:right w:w="20" w:type="dxa"/>
            </w:tcMar>
            <w:vAlign w:val="bottom"/>
            <w:hideMark/>
          </w:tcPr>
          <w:p w14:paraId="3D07D97A"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12EF7AE" w14:textId="77777777" w:rsidR="00000000" w:rsidRDefault="00A173A8">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31E0D0AA"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4A4B2627" w14:textId="77777777">
        <w:trPr>
          <w:divId w:val="1010136589"/>
        </w:trPr>
        <w:tc>
          <w:tcPr>
            <w:tcW w:w="0" w:type="auto"/>
            <w:gridSpan w:val="3"/>
            <w:tcMar>
              <w:top w:w="30" w:type="dxa"/>
              <w:left w:w="20" w:type="dxa"/>
              <w:bottom w:w="30" w:type="dxa"/>
              <w:right w:w="20" w:type="dxa"/>
            </w:tcMar>
            <w:vAlign w:val="bottom"/>
            <w:hideMark/>
          </w:tcPr>
          <w:p w14:paraId="771428B0"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B69E3A5" w14:textId="77777777" w:rsidR="00000000" w:rsidRDefault="00A173A8">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084F0697" w14:textId="77777777" w:rsidR="00000000" w:rsidRDefault="00A173A8">
            <w:pPr>
              <w:spacing w:after="100"/>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14:paraId="5ABC7392"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AAA8208" w14:textId="77777777" w:rsidR="00000000" w:rsidRDefault="00A173A8">
            <w:pPr>
              <w:spacing w:after="100"/>
              <w:jc w:val="center"/>
              <w:rPr>
                <w:rFonts w:eastAsia="Times New Roman"/>
              </w:rPr>
            </w:pPr>
            <w:r>
              <w:rPr>
                <w:rFonts w:eastAsia="Times New Roman"/>
                <w:b/>
                <w:bCs/>
                <w:color w:val="000000"/>
                <w:sz w:val="16"/>
                <w:szCs w:val="16"/>
              </w:rPr>
              <w:t>Unconsolidated</w:t>
            </w:r>
          </w:p>
        </w:tc>
      </w:tr>
      <w:tr w:rsidR="00000000" w14:paraId="353BEDCA" w14:textId="77777777">
        <w:trPr>
          <w:divId w:val="1010136589"/>
        </w:trPr>
        <w:tc>
          <w:tcPr>
            <w:tcW w:w="0" w:type="auto"/>
            <w:gridSpan w:val="3"/>
            <w:tcBorders>
              <w:bottom w:val="single" w:sz="8" w:space="0" w:color="000000"/>
            </w:tcBorders>
            <w:tcMar>
              <w:top w:w="30" w:type="dxa"/>
              <w:left w:w="20" w:type="dxa"/>
              <w:bottom w:w="30" w:type="dxa"/>
              <w:right w:w="20" w:type="dxa"/>
            </w:tcMar>
            <w:vAlign w:val="bottom"/>
            <w:hideMark/>
          </w:tcPr>
          <w:p w14:paraId="40037751"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0052D66"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AB8D21" w14:textId="77777777" w:rsidR="00000000" w:rsidRDefault="00A173A8">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6D51F41E"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0F0786" w14:textId="77777777" w:rsidR="00000000" w:rsidRDefault="00A173A8">
            <w:pPr>
              <w:spacing w:after="100"/>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14:paraId="67A09DC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D1F679" w14:textId="77777777" w:rsidR="00000000" w:rsidRDefault="00A173A8">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6CE93A4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6C8F3A" w14:textId="77777777" w:rsidR="00000000" w:rsidRDefault="00A173A8">
            <w:pPr>
              <w:spacing w:after="100"/>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14:paraId="41BF8627"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8A5717" w14:textId="77777777" w:rsidR="00000000" w:rsidRDefault="00A173A8">
            <w:pPr>
              <w:spacing w:after="100"/>
              <w:jc w:val="center"/>
              <w:rPr>
                <w:rFonts w:eastAsia="Times New Roman"/>
              </w:rPr>
            </w:pPr>
            <w:r>
              <w:rPr>
                <w:rFonts w:eastAsia="Times New Roman"/>
                <w:b/>
                <w:bCs/>
                <w:color w:val="000000"/>
                <w:sz w:val="16"/>
                <w:szCs w:val="16"/>
              </w:rPr>
              <w:t>Maximum Exposure to Loss</w:t>
            </w:r>
          </w:p>
        </w:tc>
      </w:tr>
      <w:tr w:rsidR="00000000" w14:paraId="2ABDC5CA" w14:textId="77777777">
        <w:trPr>
          <w:divId w:val="1010136589"/>
        </w:trPr>
        <w:tc>
          <w:tcPr>
            <w:tcW w:w="0" w:type="auto"/>
            <w:gridSpan w:val="3"/>
            <w:shd w:val="clear" w:color="auto" w:fill="CCEEFF"/>
            <w:tcMar>
              <w:top w:w="30" w:type="dxa"/>
              <w:left w:w="20" w:type="dxa"/>
              <w:bottom w:w="30" w:type="dxa"/>
              <w:right w:w="20" w:type="dxa"/>
            </w:tcMar>
            <w:vAlign w:val="center"/>
            <w:hideMark/>
          </w:tcPr>
          <w:p w14:paraId="571E2F87" w14:textId="77777777" w:rsidR="00000000" w:rsidRDefault="00A173A8">
            <w:pPr>
              <w:spacing w:after="100"/>
              <w:divId w:val="1604680730"/>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C124362"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AFCB5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17853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5D8D6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078CA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AAC3E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2A060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3517B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DBF95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FA2081" w14:textId="77777777" w:rsidR="00000000" w:rsidRDefault="00A173A8">
            <w:pPr>
              <w:spacing w:after="100"/>
              <w:rPr>
                <w:rFonts w:eastAsia="Times New Roman"/>
                <w:sz w:val="20"/>
                <w:szCs w:val="20"/>
              </w:rPr>
            </w:pPr>
          </w:p>
        </w:tc>
      </w:tr>
      <w:tr w:rsidR="00000000" w14:paraId="447C2F55" w14:textId="77777777">
        <w:trPr>
          <w:divId w:val="1010136589"/>
        </w:trPr>
        <w:tc>
          <w:tcPr>
            <w:tcW w:w="0" w:type="auto"/>
            <w:gridSpan w:val="3"/>
            <w:shd w:val="clear" w:color="auto" w:fill="FFFFFF"/>
            <w:tcMar>
              <w:top w:w="30" w:type="dxa"/>
              <w:left w:w="245" w:type="dxa"/>
              <w:bottom w:w="30" w:type="dxa"/>
              <w:right w:w="20" w:type="dxa"/>
            </w:tcMar>
            <w:vAlign w:val="center"/>
            <w:hideMark/>
          </w:tcPr>
          <w:p w14:paraId="4D599074" w14:textId="77777777" w:rsidR="00000000" w:rsidRDefault="00A173A8">
            <w:pPr>
              <w:spacing w:after="100"/>
              <w:rPr>
                <w:rFonts w:eastAsia="Times New Roman"/>
              </w:rPr>
            </w:pPr>
            <w:r>
              <w:rPr>
                <w:rFonts w:eastAsia="Times New Roman"/>
                <w:color w:val="000000"/>
                <w:sz w:val="18"/>
                <w:szCs w:val="18"/>
              </w:rPr>
              <w:t>Affordable housing entities</w:t>
            </w:r>
          </w:p>
        </w:tc>
        <w:tc>
          <w:tcPr>
            <w:tcW w:w="0" w:type="auto"/>
            <w:gridSpan w:val="3"/>
            <w:shd w:val="clear" w:color="auto" w:fill="FFFFFF"/>
            <w:tcMar>
              <w:top w:w="0" w:type="dxa"/>
              <w:left w:w="20" w:type="dxa"/>
              <w:bottom w:w="0" w:type="dxa"/>
              <w:right w:w="20" w:type="dxa"/>
            </w:tcMar>
            <w:vAlign w:val="center"/>
            <w:hideMark/>
          </w:tcPr>
          <w:p w14:paraId="0007833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B419CFD" w14:textId="77777777" w:rsidR="00000000" w:rsidRDefault="00A173A8">
            <w:pPr>
              <w:spacing w:after="100"/>
              <w:jc w:val="right"/>
              <w:rPr>
                <w:rFonts w:eastAsia="Times New Roman"/>
              </w:rPr>
            </w:pPr>
            <w:r>
              <w:rPr>
                <w:rFonts w:eastAsia="Times New Roman"/>
                <w:color w:val="000000"/>
                <w:sz w:val="18"/>
                <w:szCs w:val="18"/>
              </w:rPr>
              <w:t>263 </w:t>
            </w:r>
          </w:p>
        </w:tc>
        <w:tc>
          <w:tcPr>
            <w:tcW w:w="0" w:type="auto"/>
            <w:shd w:val="clear" w:color="auto" w:fill="FFFFFF"/>
            <w:tcMar>
              <w:top w:w="30" w:type="dxa"/>
              <w:left w:w="0" w:type="dxa"/>
              <w:bottom w:w="30" w:type="dxa"/>
              <w:right w:w="20" w:type="dxa"/>
            </w:tcMar>
            <w:vAlign w:val="center"/>
            <w:hideMark/>
          </w:tcPr>
          <w:p w14:paraId="5F305EB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AF756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384DE8" w14:textId="77777777" w:rsidR="00000000" w:rsidRDefault="00A173A8">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center"/>
            <w:hideMark/>
          </w:tcPr>
          <w:p w14:paraId="1E11946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7D69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7703326" w14:textId="77777777" w:rsidR="00000000" w:rsidRDefault="00A173A8">
            <w:pPr>
              <w:spacing w:after="100"/>
              <w:jc w:val="right"/>
              <w:rPr>
                <w:rFonts w:eastAsia="Times New Roman"/>
              </w:rPr>
            </w:pPr>
            <w:r>
              <w:rPr>
                <w:rFonts w:eastAsia="Times New Roman"/>
                <w:color w:val="000000"/>
                <w:sz w:val="18"/>
                <w:szCs w:val="18"/>
              </w:rPr>
              <w:t>4,774 </w:t>
            </w:r>
          </w:p>
        </w:tc>
        <w:tc>
          <w:tcPr>
            <w:tcW w:w="0" w:type="auto"/>
            <w:shd w:val="clear" w:color="auto" w:fill="FFFFFF"/>
            <w:tcMar>
              <w:top w:w="30" w:type="dxa"/>
              <w:left w:w="0" w:type="dxa"/>
              <w:bottom w:w="30" w:type="dxa"/>
              <w:right w:w="20" w:type="dxa"/>
            </w:tcMar>
            <w:vAlign w:val="center"/>
            <w:hideMark/>
          </w:tcPr>
          <w:p w14:paraId="36671FE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FDEB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503813" w14:textId="77777777" w:rsidR="00000000" w:rsidRDefault="00A173A8">
            <w:pPr>
              <w:spacing w:after="100"/>
              <w:jc w:val="right"/>
              <w:rPr>
                <w:rFonts w:eastAsia="Times New Roman"/>
              </w:rPr>
            </w:pPr>
            <w:r>
              <w:rPr>
                <w:rFonts w:eastAsia="Times New Roman"/>
                <w:color w:val="000000"/>
                <w:sz w:val="18"/>
                <w:szCs w:val="18"/>
              </w:rPr>
              <w:t>1,454 </w:t>
            </w:r>
          </w:p>
        </w:tc>
        <w:tc>
          <w:tcPr>
            <w:tcW w:w="0" w:type="auto"/>
            <w:shd w:val="clear" w:color="auto" w:fill="FFFFFF"/>
            <w:tcMar>
              <w:top w:w="30" w:type="dxa"/>
              <w:left w:w="0" w:type="dxa"/>
              <w:bottom w:w="30" w:type="dxa"/>
              <w:right w:w="20" w:type="dxa"/>
            </w:tcMar>
            <w:vAlign w:val="center"/>
            <w:hideMark/>
          </w:tcPr>
          <w:p w14:paraId="4E83F4B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FD2B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53A634" w14:textId="77777777" w:rsidR="00000000" w:rsidRDefault="00A173A8">
            <w:pPr>
              <w:spacing w:after="100"/>
              <w:jc w:val="right"/>
              <w:rPr>
                <w:rFonts w:eastAsia="Times New Roman"/>
              </w:rPr>
            </w:pPr>
            <w:r>
              <w:rPr>
                <w:rFonts w:eastAsia="Times New Roman"/>
                <w:color w:val="000000"/>
                <w:sz w:val="18"/>
                <w:szCs w:val="18"/>
              </w:rPr>
              <w:t>4,774 </w:t>
            </w:r>
          </w:p>
        </w:tc>
        <w:tc>
          <w:tcPr>
            <w:tcW w:w="0" w:type="auto"/>
            <w:shd w:val="clear" w:color="auto" w:fill="FFFFFF"/>
            <w:tcMar>
              <w:top w:w="30" w:type="dxa"/>
              <w:left w:w="0" w:type="dxa"/>
              <w:bottom w:w="30" w:type="dxa"/>
              <w:right w:w="20" w:type="dxa"/>
            </w:tcMar>
            <w:vAlign w:val="center"/>
            <w:hideMark/>
          </w:tcPr>
          <w:p w14:paraId="001BC5B4" w14:textId="77777777" w:rsidR="00000000" w:rsidRDefault="00A173A8">
            <w:pPr>
              <w:spacing w:after="100"/>
              <w:jc w:val="right"/>
              <w:rPr>
                <w:rFonts w:eastAsia="Times New Roman"/>
              </w:rPr>
            </w:pPr>
          </w:p>
        </w:tc>
      </w:tr>
      <w:tr w:rsidR="00000000" w14:paraId="40E3AC36" w14:textId="77777777">
        <w:trPr>
          <w:divId w:val="1010136589"/>
        </w:trPr>
        <w:tc>
          <w:tcPr>
            <w:tcW w:w="0" w:type="auto"/>
            <w:gridSpan w:val="3"/>
            <w:shd w:val="clear" w:color="auto" w:fill="CCEEFF"/>
            <w:tcMar>
              <w:top w:w="30" w:type="dxa"/>
              <w:left w:w="245" w:type="dxa"/>
              <w:bottom w:w="30" w:type="dxa"/>
              <w:right w:w="20" w:type="dxa"/>
            </w:tcMar>
            <w:vAlign w:val="center"/>
            <w:hideMark/>
          </w:tcPr>
          <w:p w14:paraId="6B309869" w14:textId="77777777" w:rsidR="00000000" w:rsidRDefault="00A173A8">
            <w:pPr>
              <w:spacing w:after="100"/>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CCEEFF"/>
            <w:tcMar>
              <w:top w:w="0" w:type="dxa"/>
              <w:left w:w="20" w:type="dxa"/>
              <w:bottom w:w="0" w:type="dxa"/>
              <w:right w:w="20" w:type="dxa"/>
            </w:tcMar>
            <w:vAlign w:val="center"/>
            <w:hideMark/>
          </w:tcPr>
          <w:p w14:paraId="4253D5C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3D00D9" w14:textId="77777777" w:rsidR="00000000" w:rsidRDefault="00A173A8">
            <w:pPr>
              <w:spacing w:after="100"/>
              <w:jc w:val="right"/>
              <w:rPr>
                <w:rFonts w:eastAsia="Times New Roman"/>
              </w:rPr>
            </w:pPr>
            <w:r>
              <w:rPr>
                <w:rFonts w:eastAsia="Times New Roman"/>
                <w:color w:val="000000"/>
                <w:sz w:val="18"/>
                <w:szCs w:val="18"/>
              </w:rPr>
              <w:t>2,074 </w:t>
            </w:r>
          </w:p>
        </w:tc>
        <w:tc>
          <w:tcPr>
            <w:tcW w:w="0" w:type="auto"/>
            <w:shd w:val="clear" w:color="auto" w:fill="CCEEFF"/>
            <w:tcMar>
              <w:top w:w="30" w:type="dxa"/>
              <w:left w:w="0" w:type="dxa"/>
              <w:bottom w:w="30" w:type="dxa"/>
              <w:right w:w="20" w:type="dxa"/>
            </w:tcMar>
            <w:vAlign w:val="center"/>
            <w:hideMark/>
          </w:tcPr>
          <w:p w14:paraId="3056383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B8207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C3AC04" w14:textId="77777777" w:rsidR="00000000" w:rsidRDefault="00A173A8">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14:paraId="3DAABCF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F38D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AD3D73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2BF4F7C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D37FF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E0F05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36FEEE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DC6F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37263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21C2953B" w14:textId="77777777" w:rsidR="00000000" w:rsidRDefault="00A173A8">
            <w:pPr>
              <w:spacing w:after="100"/>
              <w:jc w:val="right"/>
              <w:rPr>
                <w:rFonts w:eastAsia="Times New Roman"/>
              </w:rPr>
            </w:pPr>
          </w:p>
        </w:tc>
      </w:tr>
      <w:tr w:rsidR="00000000" w14:paraId="47F7C9A8" w14:textId="77777777">
        <w:trPr>
          <w:divId w:val="1010136589"/>
        </w:trPr>
        <w:tc>
          <w:tcPr>
            <w:tcW w:w="0" w:type="auto"/>
            <w:gridSpan w:val="3"/>
            <w:shd w:val="clear" w:color="auto" w:fill="FFFFFF"/>
            <w:tcMar>
              <w:top w:w="30" w:type="dxa"/>
              <w:left w:w="245" w:type="dxa"/>
              <w:bottom w:w="30" w:type="dxa"/>
              <w:right w:w="20" w:type="dxa"/>
            </w:tcMar>
            <w:vAlign w:val="center"/>
            <w:hideMark/>
          </w:tcPr>
          <w:p w14:paraId="79525ACC" w14:textId="77777777" w:rsidR="00000000" w:rsidRDefault="00A173A8">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6772336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329E00A"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884A44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EAD3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6872D1"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709B99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21540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A28F80" w14:textId="77777777" w:rsidR="00000000" w:rsidRDefault="00A173A8">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center"/>
            <w:hideMark/>
          </w:tcPr>
          <w:p w14:paraId="1F6809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E71F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A6E2A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85102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98B0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B7F4B8" w14:textId="77777777" w:rsidR="00000000" w:rsidRDefault="00A173A8">
            <w:pPr>
              <w:spacing w:after="100"/>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center"/>
            <w:hideMark/>
          </w:tcPr>
          <w:p w14:paraId="76341ADF" w14:textId="77777777" w:rsidR="00000000" w:rsidRDefault="00A173A8">
            <w:pPr>
              <w:spacing w:after="100"/>
              <w:jc w:val="right"/>
              <w:rPr>
                <w:rFonts w:eastAsia="Times New Roman"/>
              </w:rPr>
            </w:pPr>
          </w:p>
        </w:tc>
      </w:tr>
      <w:tr w:rsidR="00000000" w14:paraId="29763D5B" w14:textId="77777777">
        <w:trPr>
          <w:divId w:val="1010136589"/>
        </w:trPr>
        <w:tc>
          <w:tcPr>
            <w:tcW w:w="0" w:type="auto"/>
            <w:gridSpan w:val="3"/>
            <w:shd w:val="clear" w:color="auto" w:fill="CCEEFF"/>
            <w:tcMar>
              <w:top w:w="30" w:type="dxa"/>
              <w:left w:w="20" w:type="dxa"/>
              <w:bottom w:w="30" w:type="dxa"/>
              <w:right w:w="20" w:type="dxa"/>
            </w:tcMar>
            <w:vAlign w:val="center"/>
            <w:hideMark/>
          </w:tcPr>
          <w:p w14:paraId="08001A8F" w14:textId="77777777" w:rsidR="00000000" w:rsidRDefault="00A173A8">
            <w:pPr>
              <w:spacing w:after="100"/>
              <w:rPr>
                <w:rFonts w:eastAsia="Times New Roman"/>
              </w:rPr>
            </w:pPr>
            <w:r>
              <w:rPr>
                <w:rFonts w:eastAsia="Times New Roman"/>
                <w:color w:val="000000"/>
                <w:sz w:val="18"/>
                <w:szCs w:val="18"/>
              </w:rPr>
              <w:t>Total other VIEs</w:t>
            </w:r>
          </w:p>
        </w:tc>
        <w:tc>
          <w:tcPr>
            <w:tcW w:w="0" w:type="auto"/>
            <w:gridSpan w:val="3"/>
            <w:shd w:val="clear" w:color="auto" w:fill="CCEEFF"/>
            <w:tcMar>
              <w:top w:w="0" w:type="dxa"/>
              <w:left w:w="20" w:type="dxa"/>
              <w:bottom w:w="0" w:type="dxa"/>
              <w:right w:w="20" w:type="dxa"/>
            </w:tcMar>
            <w:vAlign w:val="center"/>
            <w:hideMark/>
          </w:tcPr>
          <w:p w14:paraId="0707A257"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AEB9489" w14:textId="77777777" w:rsidR="00000000" w:rsidRDefault="00A173A8">
            <w:pPr>
              <w:spacing w:after="100"/>
              <w:jc w:val="right"/>
              <w:rPr>
                <w:rFonts w:eastAsia="Times New Roman"/>
              </w:rPr>
            </w:pPr>
            <w:r>
              <w:rPr>
                <w:rFonts w:eastAsia="Times New Roman"/>
                <w:color w:val="000000"/>
                <w:sz w:val="18"/>
                <w:szCs w:val="18"/>
              </w:rPr>
              <w:t>2,337 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AE16B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99D1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FBF01D" w14:textId="77777777" w:rsidR="00000000" w:rsidRDefault="00A173A8">
            <w:pPr>
              <w:spacing w:after="100"/>
              <w:jc w:val="right"/>
              <w:rPr>
                <w:rFonts w:eastAsia="Times New Roman"/>
              </w:rPr>
            </w:pPr>
            <w:r>
              <w:rPr>
                <w:rFonts w:eastAsia="Times New Roman"/>
                <w:color w:val="000000"/>
                <w:sz w:val="18"/>
                <w:szCs w:val="18"/>
              </w:rPr>
              <w:t>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377F4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1B5CB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8C033EA" w14:textId="77777777" w:rsidR="00000000" w:rsidRDefault="00A173A8">
            <w:pPr>
              <w:spacing w:after="100"/>
              <w:jc w:val="right"/>
              <w:rPr>
                <w:rFonts w:eastAsia="Times New Roman"/>
              </w:rPr>
            </w:pPr>
            <w:r>
              <w:rPr>
                <w:rFonts w:eastAsia="Times New Roman"/>
                <w:color w:val="000000"/>
                <w:sz w:val="18"/>
                <w:szCs w:val="18"/>
              </w:rPr>
              <w:t>5,157 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947FA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14BB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2F24122" w14:textId="77777777" w:rsidR="00000000" w:rsidRDefault="00A173A8">
            <w:pPr>
              <w:spacing w:after="100"/>
              <w:jc w:val="right"/>
              <w:rPr>
                <w:rFonts w:eastAsia="Times New Roman"/>
              </w:rPr>
            </w:pPr>
            <w:r>
              <w:rPr>
                <w:rFonts w:eastAsia="Times New Roman"/>
                <w:color w:val="000000"/>
                <w:sz w:val="18"/>
                <w:szCs w:val="18"/>
              </w:rPr>
              <w:t>1,454 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B9A22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E5BC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E62CDB0" w14:textId="77777777" w:rsidR="00000000" w:rsidRDefault="00A173A8">
            <w:pPr>
              <w:spacing w:after="100"/>
              <w:jc w:val="right"/>
              <w:rPr>
                <w:rFonts w:eastAsia="Times New Roman"/>
              </w:rPr>
            </w:pPr>
            <w:r>
              <w:rPr>
                <w:rFonts w:eastAsia="Times New Roman"/>
                <w:color w:val="000000"/>
                <w:sz w:val="18"/>
                <w:szCs w:val="18"/>
              </w:rPr>
              <w:t>5,157 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79A9DC" w14:textId="77777777" w:rsidR="00000000" w:rsidRDefault="00A173A8">
            <w:pPr>
              <w:spacing w:after="100"/>
              <w:jc w:val="right"/>
              <w:rPr>
                <w:rFonts w:eastAsia="Times New Roman"/>
              </w:rPr>
            </w:pPr>
          </w:p>
        </w:tc>
      </w:tr>
      <w:tr w:rsidR="00000000" w14:paraId="3A688B80" w14:textId="77777777">
        <w:trPr>
          <w:divId w:val="1010136589"/>
        </w:trPr>
        <w:tc>
          <w:tcPr>
            <w:tcW w:w="0" w:type="auto"/>
            <w:gridSpan w:val="3"/>
            <w:shd w:val="clear" w:color="auto" w:fill="FFFFFF"/>
            <w:tcMar>
              <w:top w:w="30" w:type="dxa"/>
              <w:left w:w="20" w:type="dxa"/>
              <w:bottom w:w="30" w:type="dxa"/>
              <w:right w:w="20" w:type="dxa"/>
            </w:tcMar>
            <w:vAlign w:val="center"/>
            <w:hideMark/>
          </w:tcPr>
          <w:p w14:paraId="381C9D35" w14:textId="77777777" w:rsidR="00000000" w:rsidRDefault="00A173A8">
            <w:pPr>
              <w:spacing w:after="100"/>
              <w:rPr>
                <w:rFonts w:eastAsia="Times New Roman"/>
              </w:rPr>
            </w:pPr>
            <w:r>
              <w:rPr>
                <w:rFonts w:eastAsia="Times New Roman"/>
                <w:color w:val="000000"/>
                <w:sz w:val="18"/>
                <w:szCs w:val="18"/>
              </w:rPr>
              <w:t>Total VIEs</w:t>
            </w:r>
          </w:p>
        </w:tc>
        <w:tc>
          <w:tcPr>
            <w:tcW w:w="0" w:type="auto"/>
            <w:gridSpan w:val="3"/>
            <w:shd w:val="clear" w:color="auto" w:fill="FFFFFF"/>
            <w:tcMar>
              <w:top w:w="0" w:type="dxa"/>
              <w:left w:w="20" w:type="dxa"/>
              <w:bottom w:w="0" w:type="dxa"/>
              <w:right w:w="20" w:type="dxa"/>
            </w:tcMar>
            <w:vAlign w:val="center"/>
            <w:hideMark/>
          </w:tcPr>
          <w:p w14:paraId="3CC7C93B"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77FA12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655D192" w14:textId="77777777" w:rsidR="00000000" w:rsidRDefault="00A173A8">
            <w:pPr>
              <w:spacing w:after="100"/>
              <w:jc w:val="right"/>
              <w:rPr>
                <w:rFonts w:eastAsia="Times New Roman"/>
              </w:rPr>
            </w:pPr>
            <w:r>
              <w:rPr>
                <w:rFonts w:eastAsia="Times New Roman"/>
                <w:color w:val="000000"/>
                <w:sz w:val="18"/>
                <w:szCs w:val="18"/>
              </w:rPr>
              <w:t>26,458 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555B2A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421CA"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08109CB"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1616832" w14:textId="77777777" w:rsidR="00000000" w:rsidRDefault="00A173A8">
            <w:pPr>
              <w:spacing w:after="100"/>
              <w:jc w:val="right"/>
              <w:rPr>
                <w:rFonts w:eastAsia="Times New Roman"/>
              </w:rPr>
            </w:pPr>
            <w:r>
              <w:rPr>
                <w:rFonts w:eastAsia="Times New Roman"/>
                <w:color w:val="000000"/>
                <w:sz w:val="18"/>
                <w:szCs w:val="18"/>
              </w:rPr>
              <w:t>15,256 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0E7098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653ED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928537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B16A6CA" w14:textId="77777777" w:rsidR="00000000" w:rsidRDefault="00A173A8">
            <w:pPr>
              <w:spacing w:after="100"/>
              <w:jc w:val="right"/>
              <w:rPr>
                <w:rFonts w:eastAsia="Times New Roman"/>
              </w:rPr>
            </w:pPr>
            <w:r>
              <w:rPr>
                <w:rFonts w:eastAsia="Times New Roman"/>
                <w:color w:val="000000"/>
                <w:sz w:val="18"/>
                <w:szCs w:val="18"/>
              </w:rPr>
              <w:t>5,157 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F0973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CE9FF"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C99CA0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2E777A2" w14:textId="77777777" w:rsidR="00000000" w:rsidRDefault="00A173A8">
            <w:pPr>
              <w:spacing w:after="100"/>
              <w:jc w:val="right"/>
              <w:rPr>
                <w:rFonts w:eastAsia="Times New Roman"/>
              </w:rPr>
            </w:pPr>
            <w:r>
              <w:rPr>
                <w:rFonts w:eastAsia="Times New Roman"/>
                <w:color w:val="000000"/>
                <w:sz w:val="18"/>
                <w:szCs w:val="18"/>
              </w:rPr>
              <w:t>1,454 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4E5519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7586F"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988609B"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FEF02B0" w14:textId="77777777" w:rsidR="00000000" w:rsidRDefault="00A173A8">
            <w:pPr>
              <w:spacing w:after="100"/>
              <w:jc w:val="right"/>
              <w:rPr>
                <w:rFonts w:eastAsia="Times New Roman"/>
              </w:rPr>
            </w:pPr>
            <w:r>
              <w:rPr>
                <w:rFonts w:eastAsia="Times New Roman"/>
                <w:color w:val="000000"/>
                <w:sz w:val="18"/>
                <w:szCs w:val="18"/>
              </w:rPr>
              <w:t>5,157 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F46CE63" w14:textId="77777777" w:rsidR="00000000" w:rsidRDefault="00A173A8">
            <w:pPr>
              <w:spacing w:after="100"/>
              <w:jc w:val="right"/>
              <w:rPr>
                <w:rFonts w:eastAsia="Times New Roman"/>
              </w:rPr>
            </w:pPr>
          </w:p>
        </w:tc>
      </w:tr>
    </w:tbl>
    <w:p w14:paraId="57BC77AE" w14:textId="77777777" w:rsidR="00000000" w:rsidRDefault="00A173A8">
      <w:pPr>
        <w:jc w:val="both"/>
        <w:divId w:val="1010136589"/>
        <w:rPr>
          <w:rFonts w:eastAsia="Times New Roman"/>
        </w:rPr>
      </w:pPr>
      <w:r>
        <w:rPr>
          <w:rFonts w:eastAsia="Times New Roman"/>
          <w:color w:val="000000"/>
          <w:sz w:val="20"/>
          <w:szCs w:val="20"/>
        </w:rPr>
        <w:t>__________</w:t>
      </w:r>
    </w:p>
    <w:p w14:paraId="7448214E" w14:textId="77777777" w:rsidR="00000000" w:rsidRDefault="00A173A8">
      <w:pPr>
        <w:ind w:hanging="360"/>
        <w:jc w:val="both"/>
        <w:divId w:val="24288549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Excludes insignificant VIEs from previously exited businesses.</w:t>
      </w:r>
    </w:p>
    <w:p w14:paraId="0E32980A" w14:textId="77777777" w:rsidR="00000000" w:rsidRDefault="00A173A8">
      <w:pPr>
        <w:ind w:hanging="360"/>
        <w:jc w:val="both"/>
        <w:divId w:val="158518938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the carrying amount of assets and liabilities of the VIE, which includes the seller’</w:t>
      </w:r>
      <w:r>
        <w:rPr>
          <w:rFonts w:eastAsia="Times New Roman"/>
          <w:color w:val="000000"/>
          <w:sz w:val="16"/>
          <w:szCs w:val="16"/>
        </w:rPr>
        <w:t>s interest and repurchased notes held by other related parties.</w:t>
      </w:r>
    </w:p>
    <w:p w14:paraId="45FF5DEC" w14:textId="77777777" w:rsidR="00000000" w:rsidRDefault="00A173A8">
      <w:pPr>
        <w:ind w:hanging="360"/>
        <w:jc w:val="both"/>
        <w:divId w:val="1597978803"/>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 certain investment structures, we consolidate a VIE which in turn holds as its primary asset an investment in an unconsolidated VIE. In these instances, we disclose the carrying amount o</w:t>
      </w:r>
      <w:r>
        <w:rPr>
          <w:rFonts w:eastAsia="Times New Roman"/>
          <w:color w:val="000000"/>
          <w:sz w:val="16"/>
          <w:szCs w:val="16"/>
        </w:rPr>
        <w:t>f assets and liabilities on our consolidated balance sheets as unconsolidated VIEs to avoid duplicating our exposure, as the unconsolidated VIEs are generally the operating entities generating the exposure. The carrying amount of assets and liabilities inc</w:t>
      </w:r>
      <w:r>
        <w:rPr>
          <w:rFonts w:eastAsia="Times New Roman"/>
          <w:color w:val="000000"/>
          <w:sz w:val="16"/>
          <w:szCs w:val="16"/>
        </w:rPr>
        <w:t>luded in the unconsolidated VIE columns above related to these investment structures were $2.2 billion of assets and $548 million of liabilities as of June 30, 2022, and $2.2 billion of assets and $568 million of liabilities as of December 31, 2021.</w:t>
      </w:r>
    </w:p>
    <w:p w14:paraId="70C2F99A" w14:textId="77777777" w:rsidR="00000000" w:rsidRDefault="00A173A8">
      <w:pPr>
        <w:jc w:val="both"/>
        <w:divId w:val="1434202094"/>
        <w:rPr>
          <w:rFonts w:eastAsia="Times New Roman"/>
        </w:rPr>
      </w:pPr>
      <w:r>
        <w:rPr>
          <w:rFonts w:eastAsia="Times New Roman"/>
          <w:b/>
          <w:bCs/>
          <w:color w:val="000000"/>
          <w:sz w:val="20"/>
          <w:szCs w:val="20"/>
        </w:rPr>
        <w:t>Securi</w:t>
      </w:r>
      <w:r>
        <w:rPr>
          <w:rFonts w:eastAsia="Times New Roman"/>
          <w:b/>
          <w:bCs/>
          <w:color w:val="000000"/>
          <w:sz w:val="20"/>
          <w:szCs w:val="20"/>
        </w:rPr>
        <w:t>tization-Related VIEs</w:t>
      </w:r>
    </w:p>
    <w:p w14:paraId="02EE851B" w14:textId="77777777" w:rsidR="00000000" w:rsidRDefault="00A173A8">
      <w:pPr>
        <w:jc w:val="both"/>
        <w:divId w:val="1501121798"/>
        <w:rPr>
          <w:rFonts w:eastAsia="Times New Roman"/>
        </w:rPr>
      </w:pPr>
      <w:r>
        <w:rPr>
          <w:rFonts w:eastAsia="Times New Roman"/>
          <w:color w:val="000000"/>
          <w:sz w:val="20"/>
          <w:szCs w:val="20"/>
        </w:rPr>
        <w:t>In a securitization transaction, assets are transferred to a trust, which generally meets the definition of a VIE. We engage in securitization activities as an issuer and an investor. Our primary securitization issuance activity inclu</w:t>
      </w:r>
      <w:r>
        <w:rPr>
          <w:rFonts w:eastAsia="Times New Roman"/>
          <w:color w:val="000000"/>
          <w:sz w:val="20"/>
          <w:szCs w:val="20"/>
        </w:rPr>
        <w:t>des credit card and auto securitizations, conducted through securitization trusts which we consolidate. Our continuing involvement in these securitization transactions mainly consists of acting as the primary servicer and holding certain retained interests</w:t>
      </w:r>
      <w:r>
        <w:rPr>
          <w:rFonts w:eastAsia="Times New Roman"/>
          <w:color w:val="000000"/>
          <w:sz w:val="20"/>
          <w:szCs w:val="20"/>
        </w:rPr>
        <w:t>.</w:t>
      </w:r>
    </w:p>
    <w:p w14:paraId="13750F8A" w14:textId="77777777" w:rsidR="00000000" w:rsidRDefault="00A173A8">
      <w:pPr>
        <w:jc w:val="both"/>
        <w:divId w:val="56250351"/>
        <w:rPr>
          <w:rFonts w:eastAsia="Times New Roman"/>
        </w:rPr>
      </w:pPr>
      <w:r>
        <w:rPr>
          <w:rFonts w:eastAsia="Times New Roman"/>
          <w:color w:val="000000"/>
          <w:sz w:val="20"/>
          <w:szCs w:val="20"/>
        </w:rPr>
        <w:t>In our multifamily agency business, we originate multifamily commercial real estate loans and transfer them to government-sponsored enterprises (“GSEs”) who may, in turn, securitize them. We retain the related mortgage servicing rights (“MSRs”) and servi</w:t>
      </w:r>
      <w:r>
        <w:rPr>
          <w:rFonts w:eastAsia="Times New Roman"/>
          <w:color w:val="000000"/>
          <w:sz w:val="20"/>
          <w:szCs w:val="20"/>
        </w:rPr>
        <w:t>ce the transferred loans pursuant to the guidelines set forth by the GSEs. As an investor, we hold primarily RMBS, CMBS, and ABS in our investment securities portfolio, which represent variable interests in the respective securitization trusts from which t</w:t>
      </w:r>
      <w:r>
        <w:rPr>
          <w:rFonts w:eastAsia="Times New Roman"/>
          <w:color w:val="000000"/>
          <w:sz w:val="20"/>
          <w:szCs w:val="20"/>
        </w:rPr>
        <w:t>hose securities were issued. We do not consolidate the securitization trusts employed in these transactions as we do not have the power to direct the activities that most significantly impact the economic performance of these securitization trusts. We excl</w:t>
      </w:r>
      <w:r>
        <w:rPr>
          <w:rFonts w:eastAsia="Times New Roman"/>
          <w:color w:val="000000"/>
          <w:sz w:val="20"/>
          <w:szCs w:val="20"/>
        </w:rPr>
        <w:t xml:space="preserve">ude these VIEs from the tables within this note because we do not consider our continuing involvement with these VIEs to be significant as we either invest in securities issued by the VIE and were not involved in the design of the VIE or no transfers have </w:t>
      </w:r>
      <w:r>
        <w:rPr>
          <w:rFonts w:eastAsia="Times New Roman"/>
          <w:color w:val="000000"/>
          <w:sz w:val="20"/>
          <w:szCs w:val="20"/>
        </w:rPr>
        <w:t>occurred between the VIE and us. Our maximum exposure to loss as a result of our involvement with these VIEs is the carrying value of the MSRs and investment securities on our consolidated balance sheets as well as our contractual obligations under loss sh</w:t>
      </w:r>
      <w:r>
        <w:rPr>
          <w:rFonts w:eastAsia="Times New Roman"/>
          <w:color w:val="000000"/>
          <w:sz w:val="20"/>
          <w:szCs w:val="20"/>
        </w:rPr>
        <w:t>aring arrangements. See “Note 6—Goodwill and Other Intangible Assets” for information related to our MSRs associated with these securitizations and “Note 2—Investment Securities” for more information on the securities held in our investment securities port</w:t>
      </w:r>
      <w:r>
        <w:rPr>
          <w:rFonts w:eastAsia="Times New Roman"/>
          <w:color w:val="000000"/>
          <w:sz w:val="20"/>
          <w:szCs w:val="20"/>
        </w:rPr>
        <w:t>folio. In addition, where we have certain lending arrangements in the normal course of business with entities that could be VIEs, we have also excluded these VIEs from the tables presented in this note. See “Note 3—Loans” for additional information regardi</w:t>
      </w:r>
      <w:r>
        <w:rPr>
          <w:rFonts w:eastAsia="Times New Roman"/>
          <w:color w:val="000000"/>
          <w:sz w:val="20"/>
          <w:szCs w:val="20"/>
        </w:rPr>
        <w:t>ng our lending arrangements in the normal course of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E20C78A" w14:textId="77777777">
        <w:trPr>
          <w:divId w:val="46149817"/>
          <w:jc w:val="center"/>
        </w:trPr>
        <w:tc>
          <w:tcPr>
            <w:tcW w:w="50" w:type="pct"/>
            <w:vAlign w:val="center"/>
            <w:hideMark/>
          </w:tcPr>
          <w:p w14:paraId="0CE1D37E" w14:textId="77777777" w:rsidR="00000000" w:rsidRDefault="00A173A8">
            <w:pPr>
              <w:jc w:val="both"/>
              <w:rPr>
                <w:rFonts w:eastAsia="Times New Roman"/>
              </w:rPr>
            </w:pPr>
          </w:p>
        </w:tc>
        <w:tc>
          <w:tcPr>
            <w:tcW w:w="1606" w:type="pct"/>
            <w:vAlign w:val="center"/>
            <w:hideMark/>
          </w:tcPr>
          <w:p w14:paraId="4E7B2F49" w14:textId="77777777" w:rsidR="00000000" w:rsidRDefault="00A173A8">
            <w:pPr>
              <w:spacing w:after="100"/>
              <w:rPr>
                <w:rFonts w:eastAsia="Times New Roman"/>
                <w:sz w:val="20"/>
                <w:szCs w:val="20"/>
              </w:rPr>
            </w:pPr>
          </w:p>
        </w:tc>
        <w:tc>
          <w:tcPr>
            <w:tcW w:w="5" w:type="pct"/>
            <w:vAlign w:val="center"/>
            <w:hideMark/>
          </w:tcPr>
          <w:p w14:paraId="66D1EB4B" w14:textId="77777777" w:rsidR="00000000" w:rsidRDefault="00A173A8">
            <w:pPr>
              <w:spacing w:after="100"/>
              <w:rPr>
                <w:rFonts w:eastAsia="Times New Roman"/>
                <w:sz w:val="20"/>
                <w:szCs w:val="20"/>
              </w:rPr>
            </w:pPr>
          </w:p>
        </w:tc>
        <w:tc>
          <w:tcPr>
            <w:tcW w:w="50" w:type="pct"/>
            <w:vAlign w:val="center"/>
            <w:hideMark/>
          </w:tcPr>
          <w:p w14:paraId="1E3C8C0B" w14:textId="77777777" w:rsidR="00000000" w:rsidRDefault="00A173A8">
            <w:pPr>
              <w:spacing w:after="100"/>
              <w:rPr>
                <w:rFonts w:eastAsia="Times New Roman"/>
                <w:sz w:val="20"/>
                <w:szCs w:val="20"/>
              </w:rPr>
            </w:pPr>
          </w:p>
        </w:tc>
        <w:tc>
          <w:tcPr>
            <w:tcW w:w="1614" w:type="pct"/>
            <w:vAlign w:val="center"/>
            <w:hideMark/>
          </w:tcPr>
          <w:p w14:paraId="13D535C6" w14:textId="77777777" w:rsidR="00000000" w:rsidRDefault="00A173A8">
            <w:pPr>
              <w:spacing w:after="100"/>
              <w:rPr>
                <w:rFonts w:eastAsia="Times New Roman"/>
                <w:sz w:val="20"/>
                <w:szCs w:val="20"/>
              </w:rPr>
            </w:pPr>
          </w:p>
        </w:tc>
        <w:tc>
          <w:tcPr>
            <w:tcW w:w="5" w:type="pct"/>
            <w:vAlign w:val="center"/>
            <w:hideMark/>
          </w:tcPr>
          <w:p w14:paraId="757CB41C" w14:textId="77777777" w:rsidR="00000000" w:rsidRDefault="00A173A8">
            <w:pPr>
              <w:spacing w:after="100"/>
              <w:rPr>
                <w:rFonts w:eastAsia="Times New Roman"/>
                <w:sz w:val="20"/>
                <w:szCs w:val="20"/>
              </w:rPr>
            </w:pPr>
          </w:p>
        </w:tc>
        <w:tc>
          <w:tcPr>
            <w:tcW w:w="50" w:type="pct"/>
            <w:vAlign w:val="center"/>
            <w:hideMark/>
          </w:tcPr>
          <w:p w14:paraId="4C168571" w14:textId="77777777" w:rsidR="00000000" w:rsidRDefault="00A173A8">
            <w:pPr>
              <w:spacing w:after="100"/>
              <w:rPr>
                <w:rFonts w:eastAsia="Times New Roman"/>
                <w:sz w:val="20"/>
                <w:szCs w:val="20"/>
              </w:rPr>
            </w:pPr>
          </w:p>
        </w:tc>
        <w:tc>
          <w:tcPr>
            <w:tcW w:w="1614" w:type="pct"/>
            <w:vAlign w:val="center"/>
            <w:hideMark/>
          </w:tcPr>
          <w:p w14:paraId="170A0FDA" w14:textId="77777777" w:rsidR="00000000" w:rsidRDefault="00A173A8">
            <w:pPr>
              <w:spacing w:after="100"/>
              <w:rPr>
                <w:rFonts w:eastAsia="Times New Roman"/>
                <w:sz w:val="20"/>
                <w:szCs w:val="20"/>
              </w:rPr>
            </w:pPr>
          </w:p>
        </w:tc>
        <w:tc>
          <w:tcPr>
            <w:tcW w:w="5" w:type="pct"/>
            <w:vAlign w:val="center"/>
            <w:hideMark/>
          </w:tcPr>
          <w:p w14:paraId="780EE2D4" w14:textId="77777777" w:rsidR="00000000" w:rsidRDefault="00A173A8">
            <w:pPr>
              <w:spacing w:after="100"/>
              <w:rPr>
                <w:rFonts w:eastAsia="Times New Roman"/>
                <w:sz w:val="20"/>
                <w:szCs w:val="20"/>
              </w:rPr>
            </w:pPr>
          </w:p>
        </w:tc>
      </w:tr>
      <w:tr w:rsidR="00000000" w14:paraId="16505257" w14:textId="77777777">
        <w:trPr>
          <w:divId w:val="46149817"/>
          <w:trHeight w:val="300"/>
          <w:jc w:val="center"/>
        </w:trPr>
        <w:tc>
          <w:tcPr>
            <w:tcW w:w="0" w:type="auto"/>
            <w:gridSpan w:val="9"/>
            <w:tcMar>
              <w:top w:w="0" w:type="dxa"/>
              <w:left w:w="20" w:type="dxa"/>
              <w:bottom w:w="0" w:type="dxa"/>
              <w:right w:w="20" w:type="dxa"/>
            </w:tcMar>
            <w:vAlign w:val="center"/>
            <w:hideMark/>
          </w:tcPr>
          <w:p w14:paraId="7A93E1F4" w14:textId="77777777" w:rsidR="00000000" w:rsidRDefault="00A173A8">
            <w:pPr>
              <w:spacing w:after="100"/>
              <w:rPr>
                <w:rFonts w:eastAsia="Times New Roman"/>
                <w:sz w:val="20"/>
                <w:szCs w:val="20"/>
              </w:rPr>
            </w:pPr>
          </w:p>
        </w:tc>
      </w:tr>
      <w:tr w:rsidR="00000000" w14:paraId="1F348E63" w14:textId="77777777">
        <w:trPr>
          <w:divId w:val="46149817"/>
          <w:jc w:val="center"/>
        </w:trPr>
        <w:tc>
          <w:tcPr>
            <w:tcW w:w="0" w:type="auto"/>
            <w:gridSpan w:val="3"/>
            <w:tcMar>
              <w:top w:w="0" w:type="dxa"/>
              <w:left w:w="20" w:type="dxa"/>
              <w:bottom w:w="0" w:type="dxa"/>
              <w:right w:w="20" w:type="dxa"/>
            </w:tcMar>
            <w:vAlign w:val="center"/>
            <w:hideMark/>
          </w:tcPr>
          <w:p w14:paraId="2273A175"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905D4C7" w14:textId="77777777" w:rsidR="00000000" w:rsidRDefault="00A173A8">
            <w:pPr>
              <w:spacing w:after="100"/>
              <w:jc w:val="center"/>
              <w:rPr>
                <w:rFonts w:eastAsia="Times New Roman"/>
              </w:rPr>
            </w:pPr>
            <w:r>
              <w:rPr>
                <w:rFonts w:eastAsia="Times New Roman"/>
                <w:color w:val="000000"/>
                <w:sz w:val="16"/>
                <w:szCs w:val="16"/>
              </w:rPr>
              <w:t>88</w:t>
            </w:r>
          </w:p>
        </w:tc>
        <w:tc>
          <w:tcPr>
            <w:tcW w:w="0" w:type="auto"/>
            <w:gridSpan w:val="3"/>
            <w:tcMar>
              <w:top w:w="30" w:type="dxa"/>
              <w:left w:w="20" w:type="dxa"/>
              <w:bottom w:w="30" w:type="dxa"/>
              <w:right w:w="20" w:type="dxa"/>
            </w:tcMar>
            <w:vAlign w:val="bottom"/>
            <w:hideMark/>
          </w:tcPr>
          <w:p w14:paraId="7FC0B6D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E472BBB" w14:textId="77777777" w:rsidR="00000000" w:rsidRDefault="00A173A8">
      <w:pPr>
        <w:rPr>
          <w:rFonts w:eastAsia="Times New Roman"/>
        </w:rPr>
      </w:pPr>
      <w:r>
        <w:rPr>
          <w:rFonts w:eastAsia="Times New Roman"/>
        </w:rPr>
        <w:pict w14:anchorId="678C11EC">
          <v:rect id="_x0000_i1113" style="width:0;height:1.5pt" o:hralign="center" o:hrstd="t" o:hr="t" fillcolor="#a0a0a0" stroked="f"/>
        </w:pict>
      </w:r>
    </w:p>
    <w:p w14:paraId="4B656E83" w14:textId="77777777" w:rsidR="00000000" w:rsidRDefault="00A173A8">
      <w:pPr>
        <w:jc w:val="both"/>
        <w:divId w:val="1851524115"/>
        <w:rPr>
          <w:rFonts w:eastAsia="Times New Roman"/>
        </w:rPr>
      </w:pPr>
      <w:hyperlink w:anchor="i7ffd5d61af6f4722b1b1b07530d51c06_13" w:history="1">
        <w:r>
          <w:rPr>
            <w:rStyle w:val="a3"/>
            <w:rFonts w:eastAsia="Times New Roman"/>
            <w:sz w:val="16"/>
            <w:szCs w:val="16"/>
          </w:rPr>
          <w:t>Table of Contents</w:t>
        </w:r>
      </w:hyperlink>
    </w:p>
    <w:p w14:paraId="0D4D7FAB" w14:textId="77777777" w:rsidR="00000000" w:rsidRDefault="00A173A8">
      <w:pPr>
        <w:jc w:val="both"/>
        <w:divId w:val="1705713808"/>
        <w:rPr>
          <w:rFonts w:eastAsia="Times New Roman"/>
        </w:rPr>
      </w:pPr>
      <w:r>
        <w:rPr>
          <w:rFonts w:eastAsia="Times New Roman"/>
          <w:color w:val="000000"/>
          <w:sz w:val="20"/>
          <w:szCs w:val="20"/>
        </w:rPr>
        <w:t>The table below presents our continuing involvement in certain securitization-related VIEs as of June 30, 2022 and December 31, 2021.</w:t>
      </w:r>
    </w:p>
    <w:p w14:paraId="7127820F" w14:textId="77777777" w:rsidR="00000000" w:rsidRDefault="00A173A8">
      <w:pPr>
        <w:divId w:val="1307664806"/>
        <w:rPr>
          <w:rFonts w:eastAsia="Times New Roman"/>
        </w:rPr>
      </w:pPr>
      <w:r>
        <w:rPr>
          <w:rFonts w:eastAsia="Times New Roman"/>
          <w:b/>
          <w:bCs/>
          <w:color w:val="000000"/>
          <w:sz w:val="18"/>
          <w:szCs w:val="18"/>
        </w:rPr>
        <w:t>Table 5.2</w:t>
      </w:r>
      <w:r>
        <w:rPr>
          <w:rFonts w:eastAsia="Times New Roman"/>
          <w:b/>
          <w:bCs/>
          <w:color w:val="000000"/>
          <w:sz w:val="18"/>
          <w:szCs w:val="18"/>
        </w:rPr>
        <w:t>: Continuing Involvement in Securitization-Related VIEs</w:t>
      </w:r>
    </w:p>
    <w:tbl>
      <w:tblPr>
        <w:tblW w:w="5000" w:type="pct"/>
        <w:tblCellMar>
          <w:top w:w="15" w:type="dxa"/>
          <w:left w:w="15" w:type="dxa"/>
          <w:bottom w:w="15" w:type="dxa"/>
          <w:right w:w="15" w:type="dxa"/>
        </w:tblCellMar>
        <w:tblLook w:val="04A0" w:firstRow="1" w:lastRow="0" w:firstColumn="1" w:lastColumn="0" w:noHBand="0" w:noVBand="1"/>
      </w:tblPr>
      <w:tblGrid>
        <w:gridCol w:w="41"/>
        <w:gridCol w:w="6281"/>
        <w:gridCol w:w="39"/>
        <w:gridCol w:w="36"/>
        <w:gridCol w:w="36"/>
        <w:gridCol w:w="36"/>
        <w:gridCol w:w="110"/>
        <w:gridCol w:w="718"/>
        <w:gridCol w:w="36"/>
        <w:gridCol w:w="36"/>
        <w:gridCol w:w="36"/>
        <w:gridCol w:w="36"/>
        <w:gridCol w:w="110"/>
        <w:gridCol w:w="719"/>
        <w:gridCol w:w="36"/>
      </w:tblGrid>
      <w:tr w:rsidR="00000000" w14:paraId="1342B698" w14:textId="77777777">
        <w:trPr>
          <w:divId w:val="1074356083"/>
        </w:trPr>
        <w:tc>
          <w:tcPr>
            <w:tcW w:w="50" w:type="pct"/>
            <w:vAlign w:val="center"/>
            <w:hideMark/>
          </w:tcPr>
          <w:p w14:paraId="13B56978" w14:textId="77777777" w:rsidR="00000000" w:rsidRDefault="00A173A8">
            <w:pPr>
              <w:rPr>
                <w:rFonts w:eastAsia="Times New Roman"/>
              </w:rPr>
            </w:pPr>
          </w:p>
        </w:tc>
        <w:tc>
          <w:tcPr>
            <w:tcW w:w="3804" w:type="pct"/>
            <w:vAlign w:val="center"/>
            <w:hideMark/>
          </w:tcPr>
          <w:p w14:paraId="319BE95A" w14:textId="77777777" w:rsidR="00000000" w:rsidRDefault="00A173A8">
            <w:pPr>
              <w:spacing w:after="100"/>
              <w:rPr>
                <w:rFonts w:eastAsia="Times New Roman"/>
                <w:sz w:val="20"/>
                <w:szCs w:val="20"/>
              </w:rPr>
            </w:pPr>
          </w:p>
        </w:tc>
        <w:tc>
          <w:tcPr>
            <w:tcW w:w="5" w:type="pct"/>
            <w:vAlign w:val="center"/>
            <w:hideMark/>
          </w:tcPr>
          <w:p w14:paraId="4553E37B" w14:textId="77777777" w:rsidR="00000000" w:rsidRDefault="00A173A8">
            <w:pPr>
              <w:spacing w:after="100"/>
              <w:rPr>
                <w:rFonts w:eastAsia="Times New Roman"/>
                <w:sz w:val="20"/>
                <w:szCs w:val="20"/>
              </w:rPr>
            </w:pPr>
          </w:p>
        </w:tc>
        <w:tc>
          <w:tcPr>
            <w:tcW w:w="5" w:type="pct"/>
            <w:vAlign w:val="center"/>
            <w:hideMark/>
          </w:tcPr>
          <w:p w14:paraId="3E4AD1F5" w14:textId="77777777" w:rsidR="00000000" w:rsidRDefault="00A173A8">
            <w:pPr>
              <w:spacing w:after="100"/>
              <w:rPr>
                <w:rFonts w:eastAsia="Times New Roman"/>
                <w:sz w:val="20"/>
                <w:szCs w:val="20"/>
              </w:rPr>
            </w:pPr>
          </w:p>
        </w:tc>
        <w:tc>
          <w:tcPr>
            <w:tcW w:w="26" w:type="pct"/>
            <w:vAlign w:val="center"/>
            <w:hideMark/>
          </w:tcPr>
          <w:p w14:paraId="57656989" w14:textId="77777777" w:rsidR="00000000" w:rsidRDefault="00A173A8">
            <w:pPr>
              <w:spacing w:after="100"/>
              <w:rPr>
                <w:rFonts w:eastAsia="Times New Roman"/>
                <w:sz w:val="20"/>
                <w:szCs w:val="20"/>
              </w:rPr>
            </w:pPr>
          </w:p>
        </w:tc>
        <w:tc>
          <w:tcPr>
            <w:tcW w:w="5" w:type="pct"/>
            <w:vAlign w:val="center"/>
            <w:hideMark/>
          </w:tcPr>
          <w:p w14:paraId="688E9C30" w14:textId="77777777" w:rsidR="00000000" w:rsidRDefault="00A173A8">
            <w:pPr>
              <w:spacing w:after="100"/>
              <w:rPr>
                <w:rFonts w:eastAsia="Times New Roman"/>
                <w:sz w:val="20"/>
                <w:szCs w:val="20"/>
              </w:rPr>
            </w:pPr>
          </w:p>
        </w:tc>
        <w:tc>
          <w:tcPr>
            <w:tcW w:w="50" w:type="pct"/>
            <w:vAlign w:val="center"/>
            <w:hideMark/>
          </w:tcPr>
          <w:p w14:paraId="420ABB19" w14:textId="77777777" w:rsidR="00000000" w:rsidRDefault="00A173A8">
            <w:pPr>
              <w:spacing w:after="100"/>
              <w:rPr>
                <w:rFonts w:eastAsia="Times New Roman"/>
                <w:sz w:val="20"/>
                <w:szCs w:val="20"/>
              </w:rPr>
            </w:pPr>
          </w:p>
        </w:tc>
        <w:tc>
          <w:tcPr>
            <w:tcW w:w="478" w:type="pct"/>
            <w:vAlign w:val="center"/>
            <w:hideMark/>
          </w:tcPr>
          <w:p w14:paraId="30B889DF" w14:textId="77777777" w:rsidR="00000000" w:rsidRDefault="00A173A8">
            <w:pPr>
              <w:spacing w:after="100"/>
              <w:rPr>
                <w:rFonts w:eastAsia="Times New Roman"/>
                <w:sz w:val="20"/>
                <w:szCs w:val="20"/>
              </w:rPr>
            </w:pPr>
          </w:p>
        </w:tc>
        <w:tc>
          <w:tcPr>
            <w:tcW w:w="5" w:type="pct"/>
            <w:vAlign w:val="center"/>
            <w:hideMark/>
          </w:tcPr>
          <w:p w14:paraId="328DF70B" w14:textId="77777777" w:rsidR="00000000" w:rsidRDefault="00A173A8">
            <w:pPr>
              <w:spacing w:after="100"/>
              <w:rPr>
                <w:rFonts w:eastAsia="Times New Roman"/>
                <w:sz w:val="20"/>
                <w:szCs w:val="20"/>
              </w:rPr>
            </w:pPr>
          </w:p>
        </w:tc>
        <w:tc>
          <w:tcPr>
            <w:tcW w:w="5" w:type="pct"/>
            <w:vAlign w:val="center"/>
            <w:hideMark/>
          </w:tcPr>
          <w:p w14:paraId="0B4B4255" w14:textId="77777777" w:rsidR="00000000" w:rsidRDefault="00A173A8">
            <w:pPr>
              <w:spacing w:after="100"/>
              <w:rPr>
                <w:rFonts w:eastAsia="Times New Roman"/>
                <w:sz w:val="20"/>
                <w:szCs w:val="20"/>
              </w:rPr>
            </w:pPr>
          </w:p>
        </w:tc>
        <w:tc>
          <w:tcPr>
            <w:tcW w:w="26" w:type="pct"/>
            <w:vAlign w:val="center"/>
            <w:hideMark/>
          </w:tcPr>
          <w:p w14:paraId="613C687B" w14:textId="77777777" w:rsidR="00000000" w:rsidRDefault="00A173A8">
            <w:pPr>
              <w:spacing w:after="100"/>
              <w:rPr>
                <w:rFonts w:eastAsia="Times New Roman"/>
                <w:sz w:val="20"/>
                <w:szCs w:val="20"/>
              </w:rPr>
            </w:pPr>
          </w:p>
        </w:tc>
        <w:tc>
          <w:tcPr>
            <w:tcW w:w="5" w:type="pct"/>
            <w:vAlign w:val="center"/>
            <w:hideMark/>
          </w:tcPr>
          <w:p w14:paraId="658119F6" w14:textId="77777777" w:rsidR="00000000" w:rsidRDefault="00A173A8">
            <w:pPr>
              <w:spacing w:after="100"/>
              <w:rPr>
                <w:rFonts w:eastAsia="Times New Roman"/>
                <w:sz w:val="20"/>
                <w:szCs w:val="20"/>
              </w:rPr>
            </w:pPr>
          </w:p>
        </w:tc>
        <w:tc>
          <w:tcPr>
            <w:tcW w:w="50" w:type="pct"/>
            <w:vAlign w:val="center"/>
            <w:hideMark/>
          </w:tcPr>
          <w:p w14:paraId="24CDE60F" w14:textId="77777777" w:rsidR="00000000" w:rsidRDefault="00A173A8">
            <w:pPr>
              <w:spacing w:after="100"/>
              <w:rPr>
                <w:rFonts w:eastAsia="Times New Roman"/>
                <w:sz w:val="20"/>
                <w:szCs w:val="20"/>
              </w:rPr>
            </w:pPr>
          </w:p>
        </w:tc>
        <w:tc>
          <w:tcPr>
            <w:tcW w:w="478" w:type="pct"/>
            <w:vAlign w:val="center"/>
            <w:hideMark/>
          </w:tcPr>
          <w:p w14:paraId="09FF9250" w14:textId="77777777" w:rsidR="00000000" w:rsidRDefault="00A173A8">
            <w:pPr>
              <w:spacing w:after="100"/>
              <w:rPr>
                <w:rFonts w:eastAsia="Times New Roman"/>
                <w:sz w:val="20"/>
                <w:szCs w:val="20"/>
              </w:rPr>
            </w:pPr>
          </w:p>
        </w:tc>
        <w:tc>
          <w:tcPr>
            <w:tcW w:w="5" w:type="pct"/>
            <w:vAlign w:val="center"/>
            <w:hideMark/>
          </w:tcPr>
          <w:p w14:paraId="2C9CB7C4" w14:textId="77777777" w:rsidR="00000000" w:rsidRDefault="00A173A8">
            <w:pPr>
              <w:spacing w:after="100"/>
              <w:rPr>
                <w:rFonts w:eastAsia="Times New Roman"/>
                <w:sz w:val="20"/>
                <w:szCs w:val="20"/>
              </w:rPr>
            </w:pPr>
          </w:p>
        </w:tc>
      </w:tr>
      <w:tr w:rsidR="00000000" w14:paraId="4E2D5BD8" w14:textId="77777777">
        <w:trPr>
          <w:divId w:val="1074356083"/>
        </w:trPr>
        <w:tc>
          <w:tcPr>
            <w:tcW w:w="0" w:type="auto"/>
            <w:gridSpan w:val="3"/>
            <w:tcBorders>
              <w:bottom w:val="single" w:sz="8" w:space="0" w:color="000000"/>
            </w:tcBorders>
            <w:tcMar>
              <w:top w:w="30" w:type="dxa"/>
              <w:left w:w="20" w:type="dxa"/>
              <w:bottom w:w="30" w:type="dxa"/>
              <w:right w:w="20" w:type="dxa"/>
            </w:tcMar>
            <w:vAlign w:val="bottom"/>
            <w:hideMark/>
          </w:tcPr>
          <w:p w14:paraId="01639746"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4AF18CB" w14:textId="77777777" w:rsidR="00000000" w:rsidRDefault="00A173A8">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C56FEB6"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14:paraId="20765EB1"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81B6638" w14:textId="77777777" w:rsidR="00000000" w:rsidRDefault="00A173A8">
            <w:pPr>
              <w:spacing w:after="100"/>
              <w:jc w:val="center"/>
              <w:rPr>
                <w:rFonts w:eastAsia="Times New Roman"/>
              </w:rPr>
            </w:pPr>
            <w:r>
              <w:rPr>
                <w:rFonts w:eastAsia="Times New Roman"/>
                <w:b/>
                <w:bCs/>
                <w:color w:val="000000"/>
                <w:sz w:val="16"/>
                <w:szCs w:val="16"/>
              </w:rPr>
              <w:t>Auto</w:t>
            </w:r>
          </w:p>
        </w:tc>
      </w:tr>
      <w:tr w:rsidR="00000000" w14:paraId="0ECAD2E2" w14:textId="77777777">
        <w:trPr>
          <w:divId w:val="107435608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D293DB8" w14:textId="77777777" w:rsidR="00000000" w:rsidRDefault="00A173A8">
            <w:pPr>
              <w:spacing w:after="100"/>
              <w:rPr>
                <w:rFonts w:eastAsia="Times New Roman"/>
              </w:rPr>
            </w:pPr>
            <w:r>
              <w:rPr>
                <w:rFonts w:eastAsia="Times New Roman"/>
                <w:b/>
                <w:bCs/>
                <w:color w:val="000000"/>
                <w:sz w:val="18"/>
                <w:szCs w:val="18"/>
              </w:rPr>
              <w:t>June 30, 2022:</w:t>
            </w:r>
          </w:p>
        </w:tc>
        <w:tc>
          <w:tcPr>
            <w:tcW w:w="0" w:type="auto"/>
            <w:gridSpan w:val="3"/>
            <w:shd w:val="clear" w:color="auto" w:fill="CCEEFF"/>
            <w:tcMar>
              <w:top w:w="0" w:type="dxa"/>
              <w:left w:w="20" w:type="dxa"/>
              <w:bottom w:w="0" w:type="dxa"/>
              <w:right w:w="20" w:type="dxa"/>
            </w:tcMar>
            <w:vAlign w:val="center"/>
            <w:hideMark/>
          </w:tcPr>
          <w:p w14:paraId="723183E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9EEAE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A63E4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AF7FE8" w14:textId="77777777" w:rsidR="00000000" w:rsidRDefault="00A173A8">
            <w:pPr>
              <w:spacing w:after="100"/>
              <w:rPr>
                <w:rFonts w:eastAsia="Times New Roman"/>
                <w:sz w:val="20"/>
                <w:szCs w:val="20"/>
              </w:rPr>
            </w:pPr>
          </w:p>
        </w:tc>
      </w:tr>
      <w:tr w:rsidR="00000000" w14:paraId="7C231428" w14:textId="77777777">
        <w:trPr>
          <w:divId w:val="1074356083"/>
        </w:trPr>
        <w:tc>
          <w:tcPr>
            <w:tcW w:w="0" w:type="auto"/>
            <w:gridSpan w:val="3"/>
            <w:shd w:val="clear" w:color="auto" w:fill="FFFFFF"/>
            <w:tcMar>
              <w:top w:w="30" w:type="dxa"/>
              <w:left w:w="20" w:type="dxa"/>
              <w:bottom w:w="30" w:type="dxa"/>
              <w:right w:w="20" w:type="dxa"/>
            </w:tcMar>
            <w:vAlign w:val="center"/>
            <w:hideMark/>
          </w:tcPr>
          <w:p w14:paraId="1608D549" w14:textId="77777777" w:rsidR="00000000" w:rsidRDefault="00A173A8">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14:paraId="6BEB194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5367943"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5D6D48A" w14:textId="77777777" w:rsidR="00000000" w:rsidRDefault="00A173A8">
            <w:pPr>
              <w:spacing w:after="100"/>
              <w:jc w:val="right"/>
              <w:rPr>
                <w:rFonts w:eastAsia="Times New Roman"/>
              </w:rPr>
            </w:pPr>
            <w:r>
              <w:rPr>
                <w:rFonts w:eastAsia="Times New Roman"/>
                <w:b/>
                <w:bCs/>
                <w:color w:val="000000"/>
                <w:sz w:val="18"/>
                <w:szCs w:val="18"/>
              </w:rPr>
              <w:t>14,226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A453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062C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979FCEE"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7E8F660" w14:textId="77777777" w:rsidR="00000000" w:rsidRDefault="00A173A8">
            <w:pPr>
              <w:spacing w:after="100"/>
              <w:jc w:val="right"/>
              <w:rPr>
                <w:rFonts w:eastAsia="Times New Roman"/>
              </w:rPr>
            </w:pPr>
            <w:r>
              <w:rPr>
                <w:rFonts w:eastAsia="Times New Roman"/>
                <w:b/>
                <w:bCs/>
                <w:color w:val="000000"/>
                <w:sz w:val="18"/>
                <w:szCs w:val="18"/>
              </w:rPr>
              <w:t>3,240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F409864" w14:textId="77777777" w:rsidR="00000000" w:rsidRDefault="00A173A8">
            <w:pPr>
              <w:spacing w:after="100"/>
              <w:jc w:val="right"/>
              <w:rPr>
                <w:rFonts w:eastAsia="Times New Roman"/>
              </w:rPr>
            </w:pPr>
          </w:p>
        </w:tc>
      </w:tr>
      <w:tr w:rsidR="00000000" w14:paraId="492F45C1" w14:textId="77777777">
        <w:trPr>
          <w:divId w:val="1074356083"/>
        </w:trPr>
        <w:tc>
          <w:tcPr>
            <w:tcW w:w="0" w:type="auto"/>
            <w:gridSpan w:val="3"/>
            <w:shd w:val="clear" w:color="auto" w:fill="CCEEFF"/>
            <w:tcMar>
              <w:top w:w="30" w:type="dxa"/>
              <w:left w:w="20" w:type="dxa"/>
              <w:bottom w:w="30" w:type="dxa"/>
              <w:right w:w="20" w:type="dxa"/>
            </w:tcMar>
            <w:vAlign w:val="center"/>
            <w:hideMark/>
          </w:tcPr>
          <w:p w14:paraId="68C94EF2" w14:textId="77777777" w:rsidR="00000000" w:rsidRDefault="00A173A8">
            <w:pPr>
              <w:spacing w:after="100"/>
              <w:rPr>
                <w:rFonts w:eastAsia="Times New Roman"/>
              </w:rPr>
            </w:pPr>
            <w:r>
              <w:rPr>
                <w:rFonts w:eastAsia="Times New Roman"/>
                <w:color w:val="000000"/>
                <w:sz w:val="18"/>
                <w:szCs w:val="18"/>
              </w:rPr>
              <w:t>Receivables in the trusts</w:t>
            </w:r>
          </w:p>
        </w:tc>
        <w:tc>
          <w:tcPr>
            <w:tcW w:w="0" w:type="auto"/>
            <w:gridSpan w:val="3"/>
            <w:shd w:val="clear" w:color="auto" w:fill="CCEEFF"/>
            <w:tcMar>
              <w:top w:w="0" w:type="dxa"/>
              <w:left w:w="20" w:type="dxa"/>
              <w:bottom w:w="0" w:type="dxa"/>
              <w:right w:w="20" w:type="dxa"/>
            </w:tcMar>
            <w:vAlign w:val="center"/>
            <w:hideMark/>
          </w:tcPr>
          <w:p w14:paraId="0DE6830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F3DEA67" w14:textId="77777777" w:rsidR="00000000" w:rsidRDefault="00A173A8">
            <w:pPr>
              <w:spacing w:after="100"/>
              <w:jc w:val="right"/>
              <w:rPr>
                <w:rFonts w:eastAsia="Times New Roman"/>
              </w:rPr>
            </w:pPr>
            <w:r>
              <w:rPr>
                <w:rFonts w:eastAsia="Times New Roman"/>
                <w:b/>
                <w:bCs/>
                <w:color w:val="000000"/>
                <w:sz w:val="18"/>
                <w:szCs w:val="18"/>
              </w:rPr>
              <w:t>21,343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5564E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FF2FB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D71589" w14:textId="77777777" w:rsidR="00000000" w:rsidRDefault="00A173A8">
            <w:pPr>
              <w:spacing w:after="100"/>
              <w:jc w:val="right"/>
              <w:rPr>
                <w:rFonts w:eastAsia="Times New Roman"/>
              </w:rPr>
            </w:pPr>
            <w:r>
              <w:rPr>
                <w:rFonts w:eastAsia="Times New Roman"/>
                <w:b/>
                <w:bCs/>
                <w:color w:val="000000"/>
                <w:sz w:val="18"/>
                <w:szCs w:val="18"/>
              </w:rPr>
              <w:t>3,702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622B98" w14:textId="77777777" w:rsidR="00000000" w:rsidRDefault="00A173A8">
            <w:pPr>
              <w:spacing w:after="100"/>
              <w:jc w:val="right"/>
              <w:rPr>
                <w:rFonts w:eastAsia="Times New Roman"/>
              </w:rPr>
            </w:pPr>
          </w:p>
        </w:tc>
      </w:tr>
      <w:tr w:rsidR="00000000" w14:paraId="27B8D0C0" w14:textId="77777777">
        <w:trPr>
          <w:divId w:val="1074356083"/>
        </w:trPr>
        <w:tc>
          <w:tcPr>
            <w:tcW w:w="0" w:type="auto"/>
            <w:gridSpan w:val="3"/>
            <w:shd w:val="clear" w:color="auto" w:fill="FFFFFF"/>
            <w:tcMar>
              <w:top w:w="30" w:type="dxa"/>
              <w:left w:w="20" w:type="dxa"/>
              <w:bottom w:w="30" w:type="dxa"/>
              <w:right w:w="20" w:type="dxa"/>
            </w:tcMar>
            <w:vAlign w:val="center"/>
            <w:hideMark/>
          </w:tcPr>
          <w:p w14:paraId="3593C74B" w14:textId="77777777" w:rsidR="00000000" w:rsidRDefault="00A173A8">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14:paraId="01515B5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92A034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CD93F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B32F4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29C18F" w14:textId="77777777" w:rsidR="00000000" w:rsidRDefault="00A173A8">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5F37413" w14:textId="77777777" w:rsidR="00000000" w:rsidRDefault="00A173A8">
            <w:pPr>
              <w:spacing w:after="100"/>
              <w:jc w:val="right"/>
              <w:rPr>
                <w:rFonts w:eastAsia="Times New Roman"/>
              </w:rPr>
            </w:pPr>
          </w:p>
        </w:tc>
      </w:tr>
      <w:tr w:rsidR="00000000" w14:paraId="2F270E8A" w14:textId="77777777">
        <w:trPr>
          <w:divId w:val="1074356083"/>
        </w:trPr>
        <w:tc>
          <w:tcPr>
            <w:tcW w:w="0" w:type="auto"/>
            <w:gridSpan w:val="3"/>
            <w:shd w:val="clear" w:color="auto" w:fill="CCEEFF"/>
            <w:tcMar>
              <w:top w:w="30" w:type="dxa"/>
              <w:left w:w="20" w:type="dxa"/>
              <w:bottom w:w="30" w:type="dxa"/>
              <w:right w:w="20" w:type="dxa"/>
            </w:tcMar>
            <w:vAlign w:val="center"/>
            <w:hideMark/>
          </w:tcPr>
          <w:p w14:paraId="782D130A" w14:textId="77777777" w:rsidR="00000000" w:rsidRDefault="00A173A8">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14:paraId="744056CC"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34ECD2A" w14:textId="77777777" w:rsidR="00000000" w:rsidRDefault="00A173A8">
            <w:pPr>
              <w:spacing w:after="100"/>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14:paraId="6121A43D"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2A6AC26" w14:textId="77777777" w:rsidR="00000000" w:rsidRDefault="00A173A8">
            <w:pPr>
              <w:spacing w:after="100"/>
              <w:jc w:val="right"/>
              <w:rPr>
                <w:rFonts w:eastAsia="Times New Roman"/>
              </w:rPr>
            </w:pPr>
            <w:r>
              <w:rPr>
                <w:rFonts w:eastAsia="Times New Roman"/>
                <w:b/>
                <w:bCs/>
                <w:color w:val="000000"/>
                <w:sz w:val="18"/>
                <w:szCs w:val="18"/>
              </w:rPr>
              <w:t>Yes</w:t>
            </w:r>
          </w:p>
        </w:tc>
      </w:tr>
      <w:tr w:rsidR="00000000" w14:paraId="2D09C584" w14:textId="77777777">
        <w:trPr>
          <w:divId w:val="1074356083"/>
        </w:trPr>
        <w:tc>
          <w:tcPr>
            <w:tcW w:w="0" w:type="auto"/>
            <w:gridSpan w:val="3"/>
            <w:shd w:val="clear" w:color="auto" w:fill="FFFFFF"/>
            <w:tcMar>
              <w:top w:w="30" w:type="dxa"/>
              <w:left w:w="20" w:type="dxa"/>
              <w:bottom w:w="30" w:type="dxa"/>
              <w:right w:w="20" w:type="dxa"/>
            </w:tcMar>
            <w:vAlign w:val="center"/>
            <w:hideMark/>
          </w:tcPr>
          <w:p w14:paraId="08658AB8" w14:textId="77777777" w:rsidR="00000000" w:rsidRDefault="00A173A8">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14:paraId="3A876C5E"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center"/>
            <w:hideMark/>
          </w:tcPr>
          <w:p w14:paraId="78551C79" w14:textId="77777777" w:rsidR="00000000" w:rsidRDefault="00A173A8">
            <w:pPr>
              <w:spacing w:after="100"/>
              <w:jc w:val="right"/>
              <w:rPr>
                <w:rFonts w:eastAsia="Times New Roman"/>
              </w:rPr>
            </w:pPr>
            <w:r>
              <w:rPr>
                <w:rFonts w:eastAsia="Times New Roman"/>
                <w:b/>
                <w:bCs/>
                <w:color w:val="000000"/>
                <w:sz w:val="18"/>
                <w:szCs w:val="18"/>
              </w:rPr>
              <w:t>Yes</w:t>
            </w:r>
          </w:p>
        </w:tc>
        <w:tc>
          <w:tcPr>
            <w:tcW w:w="0" w:type="auto"/>
            <w:gridSpan w:val="3"/>
            <w:tcMar>
              <w:top w:w="0" w:type="dxa"/>
              <w:left w:w="20" w:type="dxa"/>
              <w:bottom w:w="0" w:type="dxa"/>
              <w:right w:w="20" w:type="dxa"/>
            </w:tcMar>
            <w:vAlign w:val="center"/>
            <w:hideMark/>
          </w:tcPr>
          <w:p w14:paraId="74325559" w14:textId="77777777" w:rsidR="00000000" w:rsidRDefault="00A173A8">
            <w:pPr>
              <w:spacing w:after="100"/>
              <w:jc w:val="right"/>
              <w:rPr>
                <w:rFonts w:eastAsia="Times New Roman"/>
              </w:rPr>
            </w:pPr>
          </w:p>
        </w:tc>
        <w:tc>
          <w:tcPr>
            <w:tcW w:w="0" w:type="auto"/>
            <w:gridSpan w:val="3"/>
            <w:tcMar>
              <w:top w:w="30" w:type="dxa"/>
              <w:left w:w="20" w:type="dxa"/>
              <w:bottom w:w="30" w:type="dxa"/>
              <w:right w:w="20" w:type="dxa"/>
            </w:tcMar>
            <w:vAlign w:val="center"/>
            <w:hideMark/>
          </w:tcPr>
          <w:p w14:paraId="4A01403A" w14:textId="77777777" w:rsidR="00000000" w:rsidRDefault="00A173A8">
            <w:pPr>
              <w:spacing w:after="100"/>
              <w:jc w:val="right"/>
              <w:rPr>
                <w:rFonts w:eastAsia="Times New Roman"/>
              </w:rPr>
            </w:pPr>
            <w:r>
              <w:rPr>
                <w:rFonts w:eastAsia="Times New Roman"/>
                <w:b/>
                <w:bCs/>
                <w:color w:val="000000"/>
                <w:sz w:val="18"/>
                <w:szCs w:val="18"/>
              </w:rPr>
              <w:t>Yes</w:t>
            </w:r>
          </w:p>
        </w:tc>
      </w:tr>
      <w:tr w:rsidR="00000000" w14:paraId="03286E16" w14:textId="77777777">
        <w:trPr>
          <w:divId w:val="1074356083"/>
        </w:trPr>
        <w:tc>
          <w:tcPr>
            <w:tcW w:w="0" w:type="auto"/>
            <w:gridSpan w:val="3"/>
            <w:shd w:val="clear" w:color="auto" w:fill="CCEEFF"/>
            <w:tcMar>
              <w:top w:w="30" w:type="dxa"/>
              <w:left w:w="20" w:type="dxa"/>
              <w:bottom w:w="30" w:type="dxa"/>
              <w:right w:w="20" w:type="dxa"/>
            </w:tcMar>
            <w:vAlign w:val="center"/>
            <w:hideMark/>
          </w:tcPr>
          <w:p w14:paraId="6AEB27A0" w14:textId="77777777" w:rsidR="00000000" w:rsidRDefault="00A173A8">
            <w:pPr>
              <w:spacing w:after="100"/>
              <w:rPr>
                <w:rFonts w:eastAsia="Times New Roman"/>
              </w:rPr>
            </w:pPr>
            <w:r>
              <w:rPr>
                <w:rFonts w:eastAsia="Times New Roman"/>
                <w:b/>
                <w:bCs/>
                <w:color w:val="000000"/>
                <w:sz w:val="18"/>
                <w:szCs w:val="18"/>
              </w:rPr>
              <w:t>December 31, 2021:</w:t>
            </w:r>
          </w:p>
        </w:tc>
        <w:tc>
          <w:tcPr>
            <w:tcW w:w="0" w:type="auto"/>
            <w:gridSpan w:val="3"/>
            <w:shd w:val="clear" w:color="auto" w:fill="CCEEFF"/>
            <w:tcMar>
              <w:top w:w="0" w:type="dxa"/>
              <w:left w:w="20" w:type="dxa"/>
              <w:bottom w:w="0" w:type="dxa"/>
              <w:right w:w="20" w:type="dxa"/>
            </w:tcMar>
            <w:vAlign w:val="center"/>
            <w:hideMark/>
          </w:tcPr>
          <w:p w14:paraId="5A5C1AB0"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8ABA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5D033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518356" w14:textId="77777777" w:rsidR="00000000" w:rsidRDefault="00A173A8">
            <w:pPr>
              <w:spacing w:after="100"/>
              <w:rPr>
                <w:rFonts w:eastAsia="Times New Roman"/>
                <w:sz w:val="20"/>
                <w:szCs w:val="20"/>
              </w:rPr>
            </w:pPr>
          </w:p>
        </w:tc>
      </w:tr>
      <w:tr w:rsidR="00000000" w14:paraId="62688EC1" w14:textId="77777777">
        <w:trPr>
          <w:divId w:val="1074356083"/>
        </w:trPr>
        <w:tc>
          <w:tcPr>
            <w:tcW w:w="0" w:type="auto"/>
            <w:gridSpan w:val="3"/>
            <w:shd w:val="clear" w:color="auto" w:fill="FFFFFF"/>
            <w:tcMar>
              <w:top w:w="30" w:type="dxa"/>
              <w:left w:w="20" w:type="dxa"/>
              <w:bottom w:w="30" w:type="dxa"/>
              <w:right w:w="20" w:type="dxa"/>
            </w:tcMar>
            <w:vAlign w:val="center"/>
            <w:hideMark/>
          </w:tcPr>
          <w:p w14:paraId="4113EE6D" w14:textId="77777777" w:rsidR="00000000" w:rsidRDefault="00A173A8">
            <w:pPr>
              <w:spacing w:after="100"/>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14:paraId="34AE9A6D"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9671560"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2ABCC2E" w14:textId="77777777" w:rsidR="00000000" w:rsidRDefault="00A173A8">
            <w:pPr>
              <w:spacing w:after="100"/>
              <w:jc w:val="right"/>
              <w:rPr>
                <w:rFonts w:eastAsia="Times New Roman"/>
              </w:rPr>
            </w:pPr>
            <w:r>
              <w:rPr>
                <w:rFonts w:eastAsia="Times New Roman"/>
                <w:color w:val="000000"/>
                <w:sz w:val="18"/>
                <w:szCs w:val="18"/>
              </w:rPr>
              <w:t>12,808 </w:t>
            </w:r>
          </w:p>
        </w:tc>
        <w:tc>
          <w:tcPr>
            <w:tcW w:w="0" w:type="auto"/>
            <w:shd w:val="clear" w:color="auto" w:fill="FFFFFF"/>
            <w:tcMar>
              <w:top w:w="30" w:type="dxa"/>
              <w:left w:w="0" w:type="dxa"/>
              <w:bottom w:w="30" w:type="dxa"/>
              <w:right w:w="20" w:type="dxa"/>
            </w:tcMar>
            <w:vAlign w:val="center"/>
            <w:hideMark/>
          </w:tcPr>
          <w:p w14:paraId="43C4E56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A1F22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6D338BB"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03415E9" w14:textId="77777777" w:rsidR="00000000" w:rsidRDefault="00A173A8">
            <w:pPr>
              <w:spacing w:after="100"/>
              <w:jc w:val="right"/>
              <w:rPr>
                <w:rFonts w:eastAsia="Times New Roman"/>
              </w:rPr>
            </w:pPr>
            <w:r>
              <w:rPr>
                <w:rFonts w:eastAsia="Times New Roman"/>
                <w:color w:val="000000"/>
                <w:sz w:val="18"/>
                <w:szCs w:val="18"/>
              </w:rPr>
              <w:t>2,186 </w:t>
            </w:r>
          </w:p>
        </w:tc>
        <w:tc>
          <w:tcPr>
            <w:tcW w:w="0" w:type="auto"/>
            <w:shd w:val="clear" w:color="auto" w:fill="FFFFFF"/>
            <w:tcMar>
              <w:top w:w="30" w:type="dxa"/>
              <w:left w:w="0" w:type="dxa"/>
              <w:bottom w:w="30" w:type="dxa"/>
              <w:right w:w="20" w:type="dxa"/>
            </w:tcMar>
            <w:vAlign w:val="center"/>
            <w:hideMark/>
          </w:tcPr>
          <w:p w14:paraId="3939330F" w14:textId="77777777" w:rsidR="00000000" w:rsidRDefault="00A173A8">
            <w:pPr>
              <w:spacing w:after="100"/>
              <w:jc w:val="right"/>
              <w:rPr>
                <w:rFonts w:eastAsia="Times New Roman"/>
              </w:rPr>
            </w:pPr>
          </w:p>
        </w:tc>
      </w:tr>
      <w:tr w:rsidR="00000000" w14:paraId="03E5F647" w14:textId="77777777">
        <w:trPr>
          <w:divId w:val="1074356083"/>
        </w:trPr>
        <w:tc>
          <w:tcPr>
            <w:tcW w:w="0" w:type="auto"/>
            <w:gridSpan w:val="3"/>
            <w:shd w:val="clear" w:color="auto" w:fill="CCEEFF"/>
            <w:tcMar>
              <w:top w:w="30" w:type="dxa"/>
              <w:left w:w="20" w:type="dxa"/>
              <w:bottom w:w="30" w:type="dxa"/>
              <w:right w:w="20" w:type="dxa"/>
            </w:tcMar>
            <w:vAlign w:val="center"/>
            <w:hideMark/>
          </w:tcPr>
          <w:p w14:paraId="603966D1" w14:textId="77777777" w:rsidR="00000000" w:rsidRDefault="00A173A8">
            <w:pPr>
              <w:spacing w:after="100"/>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14:paraId="152A3E9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0AEDD9A" w14:textId="77777777" w:rsidR="00000000" w:rsidRDefault="00A173A8">
            <w:pPr>
              <w:spacing w:after="100"/>
              <w:jc w:val="right"/>
              <w:rPr>
                <w:rFonts w:eastAsia="Times New Roman"/>
              </w:rPr>
            </w:pPr>
            <w:r>
              <w:rPr>
                <w:rFonts w:eastAsia="Times New Roman"/>
                <w:color w:val="000000"/>
                <w:sz w:val="18"/>
                <w:szCs w:val="18"/>
              </w:rPr>
              <w:t>22,454 </w:t>
            </w:r>
          </w:p>
        </w:tc>
        <w:tc>
          <w:tcPr>
            <w:tcW w:w="0" w:type="auto"/>
            <w:shd w:val="clear" w:color="auto" w:fill="CCEEFF"/>
            <w:tcMar>
              <w:top w:w="30" w:type="dxa"/>
              <w:left w:w="0" w:type="dxa"/>
              <w:bottom w:w="30" w:type="dxa"/>
              <w:right w:w="20" w:type="dxa"/>
            </w:tcMar>
            <w:vAlign w:val="center"/>
            <w:hideMark/>
          </w:tcPr>
          <w:p w14:paraId="1F7814C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1896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C12B55" w14:textId="77777777" w:rsidR="00000000" w:rsidRDefault="00A173A8">
            <w:pPr>
              <w:spacing w:after="100"/>
              <w:jc w:val="right"/>
              <w:rPr>
                <w:rFonts w:eastAsia="Times New Roman"/>
              </w:rPr>
            </w:pPr>
            <w:r>
              <w:rPr>
                <w:rFonts w:eastAsia="Times New Roman"/>
                <w:color w:val="000000"/>
                <w:sz w:val="18"/>
                <w:szCs w:val="18"/>
              </w:rPr>
              <w:t>2,418 </w:t>
            </w:r>
          </w:p>
        </w:tc>
        <w:tc>
          <w:tcPr>
            <w:tcW w:w="0" w:type="auto"/>
            <w:shd w:val="clear" w:color="auto" w:fill="CCEEFF"/>
            <w:tcMar>
              <w:top w:w="30" w:type="dxa"/>
              <w:left w:w="0" w:type="dxa"/>
              <w:bottom w:w="30" w:type="dxa"/>
              <w:right w:w="20" w:type="dxa"/>
            </w:tcMar>
            <w:vAlign w:val="center"/>
            <w:hideMark/>
          </w:tcPr>
          <w:p w14:paraId="18A81979" w14:textId="77777777" w:rsidR="00000000" w:rsidRDefault="00A173A8">
            <w:pPr>
              <w:spacing w:after="100"/>
              <w:jc w:val="right"/>
              <w:rPr>
                <w:rFonts w:eastAsia="Times New Roman"/>
              </w:rPr>
            </w:pPr>
          </w:p>
        </w:tc>
      </w:tr>
      <w:tr w:rsidR="00000000" w14:paraId="5DAA007E" w14:textId="77777777">
        <w:trPr>
          <w:divId w:val="1074356083"/>
        </w:trPr>
        <w:tc>
          <w:tcPr>
            <w:tcW w:w="0" w:type="auto"/>
            <w:gridSpan w:val="3"/>
            <w:shd w:val="clear" w:color="auto" w:fill="FFFFFF"/>
            <w:tcMar>
              <w:top w:w="30" w:type="dxa"/>
              <w:left w:w="20" w:type="dxa"/>
              <w:bottom w:w="30" w:type="dxa"/>
              <w:right w:w="20" w:type="dxa"/>
            </w:tcMar>
            <w:vAlign w:val="center"/>
            <w:hideMark/>
          </w:tcPr>
          <w:p w14:paraId="2825A190" w14:textId="77777777" w:rsidR="00000000" w:rsidRDefault="00A173A8">
            <w:pPr>
              <w:spacing w:after="100"/>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14:paraId="46B3EBC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F6807C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500489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ECD1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3D955D" w14:textId="77777777" w:rsidR="00000000" w:rsidRDefault="00A173A8">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14:paraId="5F97CD40" w14:textId="77777777" w:rsidR="00000000" w:rsidRDefault="00A173A8">
            <w:pPr>
              <w:spacing w:after="100"/>
              <w:jc w:val="right"/>
              <w:rPr>
                <w:rFonts w:eastAsia="Times New Roman"/>
              </w:rPr>
            </w:pPr>
          </w:p>
        </w:tc>
      </w:tr>
      <w:tr w:rsidR="00000000" w14:paraId="12CD02AD" w14:textId="77777777">
        <w:trPr>
          <w:divId w:val="1074356083"/>
        </w:trPr>
        <w:tc>
          <w:tcPr>
            <w:tcW w:w="0" w:type="auto"/>
            <w:gridSpan w:val="3"/>
            <w:shd w:val="clear" w:color="auto" w:fill="CCEEFF"/>
            <w:tcMar>
              <w:top w:w="30" w:type="dxa"/>
              <w:left w:w="20" w:type="dxa"/>
              <w:bottom w:w="30" w:type="dxa"/>
              <w:right w:w="20" w:type="dxa"/>
            </w:tcMar>
            <w:vAlign w:val="center"/>
            <w:hideMark/>
          </w:tcPr>
          <w:p w14:paraId="5DE1BF5B" w14:textId="77777777" w:rsidR="00000000" w:rsidRDefault="00A173A8">
            <w:pPr>
              <w:spacing w:after="100"/>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14:paraId="3877013E"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87772AD" w14:textId="77777777" w:rsidR="00000000" w:rsidRDefault="00A173A8">
            <w:pPr>
              <w:spacing w:after="100"/>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14:paraId="297737CE"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5DA4B552" w14:textId="77777777" w:rsidR="00000000" w:rsidRDefault="00A173A8">
            <w:pPr>
              <w:spacing w:after="100"/>
              <w:jc w:val="right"/>
              <w:rPr>
                <w:rFonts w:eastAsia="Times New Roman"/>
              </w:rPr>
            </w:pPr>
            <w:r>
              <w:rPr>
                <w:rFonts w:eastAsia="Times New Roman"/>
                <w:color w:val="000000"/>
                <w:sz w:val="18"/>
                <w:szCs w:val="18"/>
              </w:rPr>
              <w:t>Yes</w:t>
            </w:r>
          </w:p>
        </w:tc>
      </w:tr>
      <w:tr w:rsidR="00000000" w14:paraId="5ABE29E7" w14:textId="77777777">
        <w:trPr>
          <w:divId w:val="1074356083"/>
        </w:trPr>
        <w:tc>
          <w:tcPr>
            <w:tcW w:w="0" w:type="auto"/>
            <w:gridSpan w:val="3"/>
            <w:shd w:val="clear" w:color="auto" w:fill="FFFFFF"/>
            <w:tcMar>
              <w:top w:w="30" w:type="dxa"/>
              <w:left w:w="20" w:type="dxa"/>
              <w:bottom w:w="30" w:type="dxa"/>
              <w:right w:w="20" w:type="dxa"/>
            </w:tcMar>
            <w:vAlign w:val="center"/>
            <w:hideMark/>
          </w:tcPr>
          <w:p w14:paraId="5DEC724D" w14:textId="77777777" w:rsidR="00000000" w:rsidRDefault="00A173A8">
            <w:pPr>
              <w:spacing w:after="100"/>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14:paraId="52E9CA70"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center"/>
            <w:hideMark/>
          </w:tcPr>
          <w:p w14:paraId="6E081C0D" w14:textId="77777777" w:rsidR="00000000" w:rsidRDefault="00A173A8">
            <w:pPr>
              <w:spacing w:after="100"/>
              <w:jc w:val="right"/>
              <w:rPr>
                <w:rFonts w:eastAsia="Times New Roman"/>
              </w:rPr>
            </w:pPr>
            <w:r>
              <w:rPr>
                <w:rFonts w:eastAsia="Times New Roman"/>
                <w:color w:val="000000"/>
                <w:sz w:val="18"/>
                <w:szCs w:val="18"/>
              </w:rPr>
              <w:t>Yes</w:t>
            </w:r>
          </w:p>
        </w:tc>
        <w:tc>
          <w:tcPr>
            <w:tcW w:w="0" w:type="auto"/>
            <w:gridSpan w:val="3"/>
            <w:tcMar>
              <w:top w:w="0" w:type="dxa"/>
              <w:left w:w="20" w:type="dxa"/>
              <w:bottom w:w="0" w:type="dxa"/>
              <w:right w:w="20" w:type="dxa"/>
            </w:tcMar>
            <w:vAlign w:val="center"/>
            <w:hideMark/>
          </w:tcPr>
          <w:p w14:paraId="4829181B" w14:textId="77777777" w:rsidR="00000000" w:rsidRDefault="00A173A8">
            <w:pPr>
              <w:spacing w:after="100"/>
              <w:jc w:val="right"/>
              <w:rPr>
                <w:rFonts w:eastAsia="Times New Roman"/>
              </w:rPr>
            </w:pPr>
          </w:p>
        </w:tc>
        <w:tc>
          <w:tcPr>
            <w:tcW w:w="0" w:type="auto"/>
            <w:gridSpan w:val="3"/>
            <w:tcMar>
              <w:top w:w="30" w:type="dxa"/>
              <w:left w:w="20" w:type="dxa"/>
              <w:bottom w:w="30" w:type="dxa"/>
              <w:right w:w="20" w:type="dxa"/>
            </w:tcMar>
            <w:vAlign w:val="center"/>
            <w:hideMark/>
          </w:tcPr>
          <w:p w14:paraId="6B8EA789" w14:textId="77777777" w:rsidR="00000000" w:rsidRDefault="00A173A8">
            <w:pPr>
              <w:spacing w:after="100"/>
              <w:jc w:val="right"/>
              <w:rPr>
                <w:rFonts w:eastAsia="Times New Roman"/>
              </w:rPr>
            </w:pPr>
            <w:r>
              <w:rPr>
                <w:rFonts w:eastAsia="Times New Roman"/>
                <w:color w:val="000000"/>
                <w:sz w:val="18"/>
                <w:szCs w:val="18"/>
              </w:rPr>
              <w:t>Yes</w:t>
            </w:r>
          </w:p>
        </w:tc>
      </w:tr>
    </w:tbl>
    <w:p w14:paraId="4C5A7BED" w14:textId="77777777" w:rsidR="00000000" w:rsidRDefault="00A173A8">
      <w:pPr>
        <w:divId w:val="1673023044"/>
        <w:rPr>
          <w:rFonts w:eastAsia="Times New Roman"/>
        </w:rPr>
      </w:pPr>
      <w:r>
        <w:rPr>
          <w:rFonts w:eastAsia="Times New Roman"/>
          <w:b/>
          <w:bCs/>
          <w:i/>
          <w:iCs/>
          <w:color w:val="000000"/>
          <w:sz w:val="20"/>
          <w:szCs w:val="20"/>
        </w:rPr>
        <w:t>Credit Card Securitizations</w:t>
      </w:r>
    </w:p>
    <w:p w14:paraId="46511A59" w14:textId="77777777" w:rsidR="00000000" w:rsidRDefault="00A173A8">
      <w:pPr>
        <w:jc w:val="both"/>
        <w:divId w:val="747381901"/>
        <w:rPr>
          <w:rFonts w:eastAsia="Times New Roman"/>
        </w:rPr>
      </w:pPr>
      <w:r>
        <w:rPr>
          <w:rFonts w:eastAsia="Times New Roman"/>
          <w:color w:val="000000"/>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eastAsia="Times New Roman"/>
          <w:color w:val="000000"/>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eastAsia="Times New Roman"/>
          <w:color w:val="000000"/>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 </w:t>
      </w:r>
    </w:p>
    <w:p w14:paraId="306CADB6" w14:textId="77777777" w:rsidR="00000000" w:rsidRDefault="00A173A8">
      <w:pPr>
        <w:divId w:val="927890568"/>
        <w:rPr>
          <w:rFonts w:eastAsia="Times New Roman"/>
        </w:rPr>
      </w:pPr>
      <w:r>
        <w:rPr>
          <w:rFonts w:eastAsia="Times New Roman"/>
          <w:b/>
          <w:bCs/>
          <w:i/>
          <w:iCs/>
          <w:color w:val="000000"/>
          <w:sz w:val="20"/>
          <w:szCs w:val="20"/>
        </w:rPr>
        <w:t>Auto Securitiza</w:t>
      </w:r>
      <w:r>
        <w:rPr>
          <w:rFonts w:eastAsia="Times New Roman"/>
          <w:b/>
          <w:bCs/>
          <w:i/>
          <w:iCs/>
          <w:color w:val="000000"/>
          <w:sz w:val="20"/>
          <w:szCs w:val="20"/>
        </w:rPr>
        <w:t>tions</w:t>
      </w:r>
    </w:p>
    <w:p w14:paraId="5450EFBD" w14:textId="77777777" w:rsidR="00000000" w:rsidRDefault="00A173A8">
      <w:pPr>
        <w:jc w:val="both"/>
        <w:divId w:val="134760601"/>
        <w:rPr>
          <w:rFonts w:eastAsia="Times New Roman"/>
        </w:rPr>
      </w:pPr>
      <w:r>
        <w:rPr>
          <w:rFonts w:eastAsia="Times New Roman"/>
          <w:color w:val="000000"/>
          <w:sz w:val="20"/>
          <w:szCs w:val="20"/>
        </w:rPr>
        <w:t>Similar to our credit card securitizations, we securitize a portion of our auto loans which provides a source of funding for us. Auto securitizations involve the transfer of auto loans to securitization trusts. These trusts then issue debt securities</w:t>
      </w:r>
      <w:r>
        <w:rPr>
          <w:rFonts w:eastAsia="Times New Roman"/>
          <w:color w:val="000000"/>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eastAsia="Times New Roman"/>
          <w:color w:val="000000"/>
          <w:sz w:val="20"/>
          <w:szCs w:val="20"/>
        </w:rPr>
        <w:t xml:space="preserve"> direct the activities that most significantly impact the economic performance of the trusts, and the right to receive benefits or the obligation to absorb losses that could potentially be significant to the trusts.</w:t>
      </w:r>
    </w:p>
    <w:p w14:paraId="400A1095" w14:textId="77777777" w:rsidR="00000000" w:rsidRDefault="00A173A8">
      <w:pPr>
        <w:jc w:val="both"/>
        <w:divId w:val="756709639"/>
        <w:rPr>
          <w:rFonts w:eastAsia="Times New Roman"/>
        </w:rPr>
      </w:pPr>
      <w:r>
        <w:rPr>
          <w:rFonts w:eastAsia="Times New Roman"/>
          <w:b/>
          <w:bCs/>
          <w:color w:val="000000"/>
          <w:sz w:val="20"/>
          <w:szCs w:val="20"/>
        </w:rPr>
        <w:t>Other VIEs</w:t>
      </w:r>
    </w:p>
    <w:p w14:paraId="5D2B05AF" w14:textId="77777777" w:rsidR="00000000" w:rsidRDefault="00A173A8">
      <w:pPr>
        <w:jc w:val="both"/>
        <w:divId w:val="878081994"/>
        <w:rPr>
          <w:rFonts w:eastAsia="Times New Roman"/>
        </w:rPr>
      </w:pPr>
      <w:r>
        <w:rPr>
          <w:rFonts w:eastAsia="Times New Roman"/>
          <w:b/>
          <w:bCs/>
          <w:i/>
          <w:iCs/>
          <w:color w:val="000000"/>
          <w:sz w:val="20"/>
          <w:szCs w:val="20"/>
        </w:rPr>
        <w:t>Affordable Housing Entities</w:t>
      </w:r>
    </w:p>
    <w:p w14:paraId="5685F772" w14:textId="77777777" w:rsidR="00000000" w:rsidRDefault="00A173A8">
      <w:pPr>
        <w:jc w:val="both"/>
        <w:divId w:val="1053041066"/>
        <w:rPr>
          <w:rFonts w:eastAsia="Times New Roman"/>
        </w:rPr>
      </w:pPr>
      <w:r>
        <w:rPr>
          <w:rFonts w:eastAsia="Times New Roman"/>
          <w:color w:val="000000"/>
          <w:sz w:val="20"/>
          <w:szCs w:val="20"/>
        </w:rPr>
        <w:t>A</w:t>
      </w:r>
      <w:r>
        <w:rPr>
          <w:rFonts w:eastAsia="Times New Roman"/>
          <w:color w:val="000000"/>
          <w:sz w:val="20"/>
          <w:szCs w:val="20"/>
        </w:rPr>
        <w:t>s part of our community reinvestment initiatives, we invest in private investment funds that make equity investments in multifamily affordable housing properties. We receive affordable housing tax credits for these investments. The activities of these enti</w:t>
      </w:r>
      <w:r>
        <w:rPr>
          <w:rFonts w:eastAsia="Times New Roman"/>
          <w:color w:val="000000"/>
          <w:sz w:val="20"/>
          <w:szCs w:val="20"/>
        </w:rPr>
        <w:t>ties are financed with a combination of invested equity capital and debt. We account for certain investments in qualified affordable housing projects using the proportional amortization method if certain criteria are met. The proportional amortization meth</w:t>
      </w:r>
      <w:r>
        <w:rPr>
          <w:rFonts w:eastAsia="Times New Roman"/>
          <w:color w:val="000000"/>
          <w:sz w:val="20"/>
          <w:szCs w:val="20"/>
        </w:rPr>
        <w:t>od amortizes the cost of the investment over the period in which the investor expects to receive tax credits and other tax benefits, and the resulting amortization is recognized as a component of income tax expense attributable to continuing operations. Fo</w:t>
      </w:r>
      <w:r>
        <w:rPr>
          <w:rFonts w:eastAsia="Times New Roman"/>
          <w:color w:val="000000"/>
          <w:sz w:val="20"/>
          <w:szCs w:val="20"/>
        </w:rPr>
        <w:t>r the six months ended June 30, 2022 and June 30, 2021, we recognized amortization of $322 million and $317 million, respectively, and tax credits of $467 million and $423 million, respectively, associated with these investments within income tax provision</w:t>
      </w:r>
      <w:r>
        <w:rPr>
          <w:rFonts w:eastAsia="Times New Roman"/>
          <w:color w:val="000000"/>
          <w:sz w:val="20"/>
          <w:szCs w:val="20"/>
        </w:rPr>
        <w:t>. The carrying value of our equity investments in these qualified affordable housing projects was $4.8 billion and $4.7 billion as of June 30, 2022 and December 31, 2021, respectively. We are periodically required to provide additional financial or other s</w:t>
      </w:r>
      <w:r>
        <w:rPr>
          <w:rFonts w:eastAsia="Times New Roman"/>
          <w:color w:val="000000"/>
          <w:sz w:val="20"/>
          <w:szCs w:val="20"/>
        </w:rPr>
        <w:t xml:space="preserve">upport during the period of the investments. Our liability for these unfunded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656548B" w14:textId="77777777">
        <w:trPr>
          <w:divId w:val="1589079433"/>
          <w:jc w:val="center"/>
        </w:trPr>
        <w:tc>
          <w:tcPr>
            <w:tcW w:w="50" w:type="pct"/>
            <w:vAlign w:val="center"/>
            <w:hideMark/>
          </w:tcPr>
          <w:p w14:paraId="6C72A754" w14:textId="77777777" w:rsidR="00000000" w:rsidRDefault="00A173A8">
            <w:pPr>
              <w:jc w:val="both"/>
              <w:rPr>
                <w:rFonts w:eastAsia="Times New Roman"/>
              </w:rPr>
            </w:pPr>
          </w:p>
        </w:tc>
        <w:tc>
          <w:tcPr>
            <w:tcW w:w="1606" w:type="pct"/>
            <w:vAlign w:val="center"/>
            <w:hideMark/>
          </w:tcPr>
          <w:p w14:paraId="058A3655" w14:textId="77777777" w:rsidR="00000000" w:rsidRDefault="00A173A8">
            <w:pPr>
              <w:spacing w:after="100"/>
              <w:rPr>
                <w:rFonts w:eastAsia="Times New Roman"/>
                <w:sz w:val="20"/>
                <w:szCs w:val="20"/>
              </w:rPr>
            </w:pPr>
          </w:p>
        </w:tc>
        <w:tc>
          <w:tcPr>
            <w:tcW w:w="5" w:type="pct"/>
            <w:vAlign w:val="center"/>
            <w:hideMark/>
          </w:tcPr>
          <w:p w14:paraId="22531540" w14:textId="77777777" w:rsidR="00000000" w:rsidRDefault="00A173A8">
            <w:pPr>
              <w:spacing w:after="100"/>
              <w:rPr>
                <w:rFonts w:eastAsia="Times New Roman"/>
                <w:sz w:val="20"/>
                <w:szCs w:val="20"/>
              </w:rPr>
            </w:pPr>
          </w:p>
        </w:tc>
        <w:tc>
          <w:tcPr>
            <w:tcW w:w="50" w:type="pct"/>
            <w:vAlign w:val="center"/>
            <w:hideMark/>
          </w:tcPr>
          <w:p w14:paraId="6862FED5" w14:textId="77777777" w:rsidR="00000000" w:rsidRDefault="00A173A8">
            <w:pPr>
              <w:spacing w:after="100"/>
              <w:rPr>
                <w:rFonts w:eastAsia="Times New Roman"/>
                <w:sz w:val="20"/>
                <w:szCs w:val="20"/>
              </w:rPr>
            </w:pPr>
          </w:p>
        </w:tc>
        <w:tc>
          <w:tcPr>
            <w:tcW w:w="1614" w:type="pct"/>
            <w:vAlign w:val="center"/>
            <w:hideMark/>
          </w:tcPr>
          <w:p w14:paraId="38D70F44" w14:textId="77777777" w:rsidR="00000000" w:rsidRDefault="00A173A8">
            <w:pPr>
              <w:spacing w:after="100"/>
              <w:rPr>
                <w:rFonts w:eastAsia="Times New Roman"/>
                <w:sz w:val="20"/>
                <w:szCs w:val="20"/>
              </w:rPr>
            </w:pPr>
          </w:p>
        </w:tc>
        <w:tc>
          <w:tcPr>
            <w:tcW w:w="5" w:type="pct"/>
            <w:vAlign w:val="center"/>
            <w:hideMark/>
          </w:tcPr>
          <w:p w14:paraId="2D716E09" w14:textId="77777777" w:rsidR="00000000" w:rsidRDefault="00A173A8">
            <w:pPr>
              <w:spacing w:after="100"/>
              <w:rPr>
                <w:rFonts w:eastAsia="Times New Roman"/>
                <w:sz w:val="20"/>
                <w:szCs w:val="20"/>
              </w:rPr>
            </w:pPr>
          </w:p>
        </w:tc>
        <w:tc>
          <w:tcPr>
            <w:tcW w:w="50" w:type="pct"/>
            <w:vAlign w:val="center"/>
            <w:hideMark/>
          </w:tcPr>
          <w:p w14:paraId="739709F0" w14:textId="77777777" w:rsidR="00000000" w:rsidRDefault="00A173A8">
            <w:pPr>
              <w:spacing w:after="100"/>
              <w:rPr>
                <w:rFonts w:eastAsia="Times New Roman"/>
                <w:sz w:val="20"/>
                <w:szCs w:val="20"/>
              </w:rPr>
            </w:pPr>
          </w:p>
        </w:tc>
        <w:tc>
          <w:tcPr>
            <w:tcW w:w="1614" w:type="pct"/>
            <w:vAlign w:val="center"/>
            <w:hideMark/>
          </w:tcPr>
          <w:p w14:paraId="04651EA6" w14:textId="77777777" w:rsidR="00000000" w:rsidRDefault="00A173A8">
            <w:pPr>
              <w:spacing w:after="100"/>
              <w:rPr>
                <w:rFonts w:eastAsia="Times New Roman"/>
                <w:sz w:val="20"/>
                <w:szCs w:val="20"/>
              </w:rPr>
            </w:pPr>
          </w:p>
        </w:tc>
        <w:tc>
          <w:tcPr>
            <w:tcW w:w="5" w:type="pct"/>
            <w:vAlign w:val="center"/>
            <w:hideMark/>
          </w:tcPr>
          <w:p w14:paraId="36556D7E" w14:textId="77777777" w:rsidR="00000000" w:rsidRDefault="00A173A8">
            <w:pPr>
              <w:spacing w:after="100"/>
              <w:rPr>
                <w:rFonts w:eastAsia="Times New Roman"/>
                <w:sz w:val="20"/>
                <w:szCs w:val="20"/>
              </w:rPr>
            </w:pPr>
          </w:p>
        </w:tc>
      </w:tr>
      <w:tr w:rsidR="00000000" w14:paraId="4FF17B41" w14:textId="77777777">
        <w:trPr>
          <w:divId w:val="1589079433"/>
          <w:trHeight w:val="300"/>
          <w:jc w:val="center"/>
        </w:trPr>
        <w:tc>
          <w:tcPr>
            <w:tcW w:w="0" w:type="auto"/>
            <w:gridSpan w:val="9"/>
            <w:tcMar>
              <w:top w:w="0" w:type="dxa"/>
              <w:left w:w="20" w:type="dxa"/>
              <w:bottom w:w="0" w:type="dxa"/>
              <w:right w:w="20" w:type="dxa"/>
            </w:tcMar>
            <w:vAlign w:val="center"/>
            <w:hideMark/>
          </w:tcPr>
          <w:p w14:paraId="38F5FCD6" w14:textId="77777777" w:rsidR="00000000" w:rsidRDefault="00A173A8">
            <w:pPr>
              <w:spacing w:after="100"/>
              <w:rPr>
                <w:rFonts w:eastAsia="Times New Roman"/>
                <w:sz w:val="20"/>
                <w:szCs w:val="20"/>
              </w:rPr>
            </w:pPr>
          </w:p>
        </w:tc>
      </w:tr>
      <w:tr w:rsidR="00000000" w14:paraId="0582DB2B" w14:textId="77777777">
        <w:trPr>
          <w:divId w:val="1589079433"/>
          <w:jc w:val="center"/>
        </w:trPr>
        <w:tc>
          <w:tcPr>
            <w:tcW w:w="0" w:type="auto"/>
            <w:gridSpan w:val="3"/>
            <w:tcMar>
              <w:top w:w="0" w:type="dxa"/>
              <w:left w:w="20" w:type="dxa"/>
              <w:bottom w:w="0" w:type="dxa"/>
              <w:right w:w="20" w:type="dxa"/>
            </w:tcMar>
            <w:vAlign w:val="center"/>
            <w:hideMark/>
          </w:tcPr>
          <w:p w14:paraId="7E123A76"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C59B682" w14:textId="77777777" w:rsidR="00000000" w:rsidRDefault="00A173A8">
            <w:pPr>
              <w:spacing w:after="100"/>
              <w:jc w:val="center"/>
              <w:rPr>
                <w:rFonts w:eastAsia="Times New Roman"/>
              </w:rPr>
            </w:pPr>
            <w:r>
              <w:rPr>
                <w:rFonts w:eastAsia="Times New Roman"/>
                <w:color w:val="000000"/>
                <w:sz w:val="16"/>
                <w:szCs w:val="16"/>
              </w:rPr>
              <w:t>89</w:t>
            </w:r>
          </w:p>
        </w:tc>
        <w:tc>
          <w:tcPr>
            <w:tcW w:w="0" w:type="auto"/>
            <w:gridSpan w:val="3"/>
            <w:tcMar>
              <w:top w:w="30" w:type="dxa"/>
              <w:left w:w="20" w:type="dxa"/>
              <w:bottom w:w="30" w:type="dxa"/>
              <w:right w:w="20" w:type="dxa"/>
            </w:tcMar>
            <w:vAlign w:val="bottom"/>
            <w:hideMark/>
          </w:tcPr>
          <w:p w14:paraId="38BB539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81EB826" w14:textId="77777777" w:rsidR="00000000" w:rsidRDefault="00A173A8">
      <w:pPr>
        <w:rPr>
          <w:rFonts w:eastAsia="Times New Roman"/>
        </w:rPr>
      </w:pPr>
      <w:r>
        <w:rPr>
          <w:rFonts w:eastAsia="Times New Roman"/>
        </w:rPr>
        <w:pict w14:anchorId="039865ED">
          <v:rect id="_x0000_i1114" style="width:0;height:1.5pt" o:hralign="center" o:hrstd="t" o:hr="t" fillcolor="#a0a0a0" stroked="f"/>
        </w:pict>
      </w:r>
    </w:p>
    <w:p w14:paraId="1D8B2DC6" w14:textId="77777777" w:rsidR="00000000" w:rsidRDefault="00A173A8">
      <w:pPr>
        <w:jc w:val="both"/>
        <w:divId w:val="911545224"/>
        <w:rPr>
          <w:rFonts w:eastAsia="Times New Roman"/>
        </w:rPr>
      </w:pPr>
      <w:hyperlink w:anchor="i7ffd5d61af6f4722b1b1b07530d51c06_13" w:history="1">
        <w:r>
          <w:rPr>
            <w:rStyle w:val="a3"/>
            <w:rFonts w:eastAsia="Times New Roman"/>
            <w:sz w:val="16"/>
            <w:szCs w:val="16"/>
          </w:rPr>
          <w:t>Table of Contents</w:t>
        </w:r>
      </w:hyperlink>
    </w:p>
    <w:p w14:paraId="7F67BF98" w14:textId="77777777" w:rsidR="00000000" w:rsidRDefault="00A173A8">
      <w:pPr>
        <w:jc w:val="both"/>
        <w:divId w:val="1496607279"/>
        <w:rPr>
          <w:rFonts w:eastAsia="Times New Roman"/>
        </w:rPr>
      </w:pPr>
      <w:r>
        <w:rPr>
          <w:rFonts w:eastAsia="Times New Roman"/>
          <w:color w:val="000000"/>
          <w:sz w:val="20"/>
          <w:szCs w:val="20"/>
        </w:rPr>
        <w:t>commitments was $1.7 billion as of both June 30, 2022 and December 31, 2021, and is largely expected to be paid from 2022 to 2024.</w:t>
      </w:r>
    </w:p>
    <w:p w14:paraId="4A2E330A" w14:textId="77777777" w:rsidR="00000000" w:rsidRDefault="00A173A8">
      <w:pPr>
        <w:jc w:val="both"/>
        <w:divId w:val="1059325253"/>
        <w:rPr>
          <w:rFonts w:eastAsia="Times New Roman"/>
        </w:rPr>
      </w:pPr>
      <w:r>
        <w:rPr>
          <w:rFonts w:eastAsia="Times New Roman"/>
          <w:color w:val="000000"/>
          <w:sz w:val="20"/>
          <w:szCs w:val="20"/>
        </w:rPr>
        <w:t>For those investment funds considered to be VIEs, we are not required to consolidate them if we do not have the power to direct the activities that most significantly impact the economic performance of those entities. We record our interests in these uncon</w:t>
      </w:r>
      <w:r>
        <w:rPr>
          <w:rFonts w:eastAsia="Times New Roman"/>
          <w:color w:val="000000"/>
          <w:sz w:val="20"/>
          <w:szCs w:val="20"/>
        </w:rPr>
        <w:t xml:space="preserve">solidated VIEs in loans held for investment, other assets and other liabilities on our consolidated balance sheets. Our maximum exposure to these entities is limited to our variable interests in the entities which consisted of assets of approximately $4.8 </w:t>
      </w:r>
      <w:r>
        <w:rPr>
          <w:rFonts w:eastAsia="Times New Roman"/>
          <w:color w:val="000000"/>
          <w:sz w:val="20"/>
          <w:szCs w:val="20"/>
        </w:rPr>
        <w:t xml:space="preserve">billion as of both June 30, 2022 and December 31, 2021. The creditors of the VIEs have no recourse to our general credit and we do not provide additional financial or other support other than during the period that we are contractually required to provide </w:t>
      </w:r>
      <w:r>
        <w:rPr>
          <w:rFonts w:eastAsia="Times New Roman"/>
          <w:color w:val="000000"/>
          <w:sz w:val="20"/>
          <w:szCs w:val="20"/>
        </w:rPr>
        <w:t>it. The total assets of the unconsolidated VIE investment funds were approximately $12.2 billion and $11.9 billion as of June 30, 2022 and December 31, 2021, respectively.</w:t>
      </w:r>
    </w:p>
    <w:p w14:paraId="6968D42E" w14:textId="77777777" w:rsidR="00000000" w:rsidRDefault="00A173A8">
      <w:pPr>
        <w:jc w:val="both"/>
        <w:divId w:val="892698309"/>
        <w:rPr>
          <w:rFonts w:eastAsia="Times New Roman"/>
        </w:rPr>
      </w:pPr>
      <w:r>
        <w:rPr>
          <w:rFonts w:eastAsia="Times New Roman"/>
          <w:b/>
          <w:bCs/>
          <w:i/>
          <w:iCs/>
          <w:color w:val="000000"/>
          <w:sz w:val="20"/>
          <w:szCs w:val="20"/>
        </w:rPr>
        <w:t xml:space="preserve">Entities that Provide Capital to Low-Income and Rural Communities </w:t>
      </w:r>
    </w:p>
    <w:p w14:paraId="75A0E8D6" w14:textId="77777777" w:rsidR="00000000" w:rsidRDefault="00A173A8">
      <w:pPr>
        <w:jc w:val="both"/>
        <w:divId w:val="2063748383"/>
        <w:rPr>
          <w:rFonts w:eastAsia="Times New Roman"/>
        </w:rPr>
      </w:pPr>
      <w:r>
        <w:rPr>
          <w:rFonts w:eastAsia="Times New Roman"/>
          <w:color w:val="000000"/>
          <w:sz w:val="20"/>
          <w:szCs w:val="20"/>
        </w:rPr>
        <w:t>We hold variable interests in entities (“Investor Entities”) that invest in community development entities (“CDEs”) that provide debt financing to businesses and non-profit entities in low-</w:t>
      </w:r>
      <w:r>
        <w:rPr>
          <w:rFonts w:eastAsia="Times New Roman"/>
          <w:color w:val="000000"/>
          <w:sz w:val="20"/>
          <w:szCs w:val="20"/>
        </w:rPr>
        <w:t>income and rural communities. Variable interests in the CDEs held by the consolidated Investor Entities are also our variable interests. The activities of the Investor Entities are financed with a combination of invested equity capital and debt. The activi</w:t>
      </w:r>
      <w:r>
        <w:rPr>
          <w:rFonts w:eastAsia="Times New Roman"/>
          <w:color w:val="000000"/>
          <w:sz w:val="20"/>
          <w:szCs w:val="20"/>
        </w:rPr>
        <w:t>ties of the CDEs are financed solely with invested equity capital. We receive federal and state tax credits for these investments. We consolidate the VIEs in which we have the power to direct the activities that most significantly impact the VIE’s economic</w:t>
      </w:r>
      <w:r>
        <w:rPr>
          <w:rFonts w:eastAsia="Times New Roman"/>
          <w:color w:val="000000"/>
          <w:sz w:val="20"/>
          <w:szCs w:val="20"/>
        </w:rPr>
        <w:t xml:space="preserve"> performance and where we have the obligation to absorb losses or right to receive benefits that could be potentially significant to the VIE. We consolidate other investments and CDEs that are not considered to be VIEs, but where we hold a controlling fina</w:t>
      </w:r>
      <w:r>
        <w:rPr>
          <w:rFonts w:eastAsia="Times New Roman"/>
          <w:color w:val="000000"/>
          <w:sz w:val="20"/>
          <w:szCs w:val="20"/>
        </w:rPr>
        <w:t>ncial interest. The assets of the VIEs that we consolidated, which totaled approximately $2.3 billion and $2.1 billion as of June 30, 2022 and December 31, 2021, respectively, are reflected on our consolidated balance sheets in cash, loans held for investm</w:t>
      </w:r>
      <w:r>
        <w:rPr>
          <w:rFonts w:eastAsia="Times New Roman"/>
          <w:color w:val="000000"/>
          <w:sz w:val="20"/>
          <w:szCs w:val="20"/>
        </w:rPr>
        <w:t>ent, and other assets. The liabilities are reflected in other liabilities. The creditors of the VIEs have no recourse to our general credit. We have not provided additional financial or other support other than during the period that we are contractually r</w:t>
      </w:r>
      <w:r>
        <w:rPr>
          <w:rFonts w:eastAsia="Times New Roman"/>
          <w:color w:val="000000"/>
          <w:sz w:val="20"/>
          <w:szCs w:val="20"/>
        </w:rPr>
        <w:t>equired to provide it.</w:t>
      </w:r>
    </w:p>
    <w:p w14:paraId="39114ACF" w14:textId="77777777" w:rsidR="00000000" w:rsidRDefault="00A173A8">
      <w:pPr>
        <w:jc w:val="both"/>
        <w:divId w:val="1024553638"/>
        <w:rPr>
          <w:rFonts w:eastAsia="Times New Roman"/>
        </w:rPr>
      </w:pPr>
      <w:r>
        <w:rPr>
          <w:rFonts w:eastAsia="Times New Roman"/>
          <w:b/>
          <w:bCs/>
          <w:i/>
          <w:iCs/>
          <w:color w:val="000000"/>
          <w:sz w:val="20"/>
          <w:szCs w:val="20"/>
        </w:rPr>
        <w:t>Other</w:t>
      </w:r>
    </w:p>
    <w:p w14:paraId="676FC4C8" w14:textId="77777777" w:rsidR="00000000" w:rsidRDefault="00A173A8">
      <w:pPr>
        <w:jc w:val="both"/>
        <w:divId w:val="1946688618"/>
        <w:rPr>
          <w:rFonts w:eastAsia="Times New Roman"/>
        </w:rPr>
      </w:pPr>
      <w:r>
        <w:rPr>
          <w:rFonts w:eastAsia="Times New Roman"/>
          <w:color w:val="000000"/>
          <w:sz w:val="20"/>
          <w:szCs w:val="20"/>
        </w:rPr>
        <w:t>We hold variable interests in other VIEs, including companies that promote renewable energy sources and other equity method investments. We are not required to consolidate these VIEs because we do not have the power to direct t</w:t>
      </w:r>
      <w:r>
        <w:rPr>
          <w:rFonts w:eastAsia="Times New Roman"/>
          <w:color w:val="000000"/>
          <w:sz w:val="20"/>
          <w:szCs w:val="20"/>
        </w:rPr>
        <w:t>he activities that most significantly impact their economic performance. Our maximum exposure to these VIEs is limited to the investments on our consolidated balance sheets of $355 million and $383 million as of June 30, 2022 and December 31, 2021, respect</w:t>
      </w:r>
      <w:r>
        <w:rPr>
          <w:rFonts w:eastAsia="Times New Roman"/>
          <w:color w:val="000000"/>
          <w:sz w:val="20"/>
          <w:szCs w:val="20"/>
        </w:rPr>
        <w:t>ively. The creditors of the other VIEs have no recourse to our general credit. We have not provided additional financial or other support other than during the period that we are contractually required to provide it.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9AD583F" w14:textId="77777777">
        <w:trPr>
          <w:divId w:val="184171194"/>
          <w:jc w:val="center"/>
        </w:trPr>
        <w:tc>
          <w:tcPr>
            <w:tcW w:w="50" w:type="pct"/>
            <w:vAlign w:val="center"/>
            <w:hideMark/>
          </w:tcPr>
          <w:p w14:paraId="45DD27D7" w14:textId="77777777" w:rsidR="00000000" w:rsidRDefault="00A173A8">
            <w:pPr>
              <w:jc w:val="both"/>
              <w:rPr>
                <w:rFonts w:eastAsia="Times New Roman"/>
              </w:rPr>
            </w:pPr>
          </w:p>
        </w:tc>
        <w:tc>
          <w:tcPr>
            <w:tcW w:w="1606" w:type="pct"/>
            <w:vAlign w:val="center"/>
            <w:hideMark/>
          </w:tcPr>
          <w:p w14:paraId="504E2E42" w14:textId="77777777" w:rsidR="00000000" w:rsidRDefault="00A173A8">
            <w:pPr>
              <w:spacing w:after="100"/>
              <w:rPr>
                <w:rFonts w:eastAsia="Times New Roman"/>
                <w:sz w:val="20"/>
                <w:szCs w:val="20"/>
              </w:rPr>
            </w:pPr>
          </w:p>
        </w:tc>
        <w:tc>
          <w:tcPr>
            <w:tcW w:w="5" w:type="pct"/>
            <w:vAlign w:val="center"/>
            <w:hideMark/>
          </w:tcPr>
          <w:p w14:paraId="62517AEF" w14:textId="77777777" w:rsidR="00000000" w:rsidRDefault="00A173A8">
            <w:pPr>
              <w:spacing w:after="100"/>
              <w:rPr>
                <w:rFonts w:eastAsia="Times New Roman"/>
                <w:sz w:val="20"/>
                <w:szCs w:val="20"/>
              </w:rPr>
            </w:pPr>
          </w:p>
        </w:tc>
        <w:tc>
          <w:tcPr>
            <w:tcW w:w="50" w:type="pct"/>
            <w:vAlign w:val="center"/>
            <w:hideMark/>
          </w:tcPr>
          <w:p w14:paraId="6AE5FE4F" w14:textId="77777777" w:rsidR="00000000" w:rsidRDefault="00A173A8">
            <w:pPr>
              <w:spacing w:after="100"/>
              <w:rPr>
                <w:rFonts w:eastAsia="Times New Roman"/>
                <w:sz w:val="20"/>
                <w:szCs w:val="20"/>
              </w:rPr>
            </w:pPr>
          </w:p>
        </w:tc>
        <w:tc>
          <w:tcPr>
            <w:tcW w:w="1614" w:type="pct"/>
            <w:vAlign w:val="center"/>
            <w:hideMark/>
          </w:tcPr>
          <w:p w14:paraId="145A1496" w14:textId="77777777" w:rsidR="00000000" w:rsidRDefault="00A173A8">
            <w:pPr>
              <w:spacing w:after="100"/>
              <w:rPr>
                <w:rFonts w:eastAsia="Times New Roman"/>
                <w:sz w:val="20"/>
                <w:szCs w:val="20"/>
              </w:rPr>
            </w:pPr>
          </w:p>
        </w:tc>
        <w:tc>
          <w:tcPr>
            <w:tcW w:w="5" w:type="pct"/>
            <w:vAlign w:val="center"/>
            <w:hideMark/>
          </w:tcPr>
          <w:p w14:paraId="5ED489F2" w14:textId="77777777" w:rsidR="00000000" w:rsidRDefault="00A173A8">
            <w:pPr>
              <w:spacing w:after="100"/>
              <w:rPr>
                <w:rFonts w:eastAsia="Times New Roman"/>
                <w:sz w:val="20"/>
                <w:szCs w:val="20"/>
              </w:rPr>
            </w:pPr>
          </w:p>
        </w:tc>
        <w:tc>
          <w:tcPr>
            <w:tcW w:w="50" w:type="pct"/>
            <w:vAlign w:val="center"/>
            <w:hideMark/>
          </w:tcPr>
          <w:p w14:paraId="1ABCDF62" w14:textId="77777777" w:rsidR="00000000" w:rsidRDefault="00A173A8">
            <w:pPr>
              <w:spacing w:after="100"/>
              <w:rPr>
                <w:rFonts w:eastAsia="Times New Roman"/>
                <w:sz w:val="20"/>
                <w:szCs w:val="20"/>
              </w:rPr>
            </w:pPr>
          </w:p>
        </w:tc>
        <w:tc>
          <w:tcPr>
            <w:tcW w:w="1614" w:type="pct"/>
            <w:vAlign w:val="center"/>
            <w:hideMark/>
          </w:tcPr>
          <w:p w14:paraId="5AD27D9A" w14:textId="77777777" w:rsidR="00000000" w:rsidRDefault="00A173A8">
            <w:pPr>
              <w:spacing w:after="100"/>
              <w:rPr>
                <w:rFonts w:eastAsia="Times New Roman"/>
                <w:sz w:val="20"/>
                <w:szCs w:val="20"/>
              </w:rPr>
            </w:pPr>
          </w:p>
        </w:tc>
        <w:tc>
          <w:tcPr>
            <w:tcW w:w="5" w:type="pct"/>
            <w:vAlign w:val="center"/>
            <w:hideMark/>
          </w:tcPr>
          <w:p w14:paraId="58297654" w14:textId="77777777" w:rsidR="00000000" w:rsidRDefault="00A173A8">
            <w:pPr>
              <w:spacing w:after="100"/>
              <w:rPr>
                <w:rFonts w:eastAsia="Times New Roman"/>
                <w:sz w:val="20"/>
                <w:szCs w:val="20"/>
              </w:rPr>
            </w:pPr>
          </w:p>
        </w:tc>
      </w:tr>
      <w:tr w:rsidR="00000000" w14:paraId="3AF3DAE4" w14:textId="77777777">
        <w:trPr>
          <w:divId w:val="184171194"/>
          <w:trHeight w:val="300"/>
          <w:jc w:val="center"/>
        </w:trPr>
        <w:tc>
          <w:tcPr>
            <w:tcW w:w="0" w:type="auto"/>
            <w:gridSpan w:val="9"/>
            <w:tcMar>
              <w:top w:w="0" w:type="dxa"/>
              <w:left w:w="20" w:type="dxa"/>
              <w:bottom w:w="0" w:type="dxa"/>
              <w:right w:w="20" w:type="dxa"/>
            </w:tcMar>
            <w:vAlign w:val="center"/>
            <w:hideMark/>
          </w:tcPr>
          <w:p w14:paraId="1A1F39A9" w14:textId="77777777" w:rsidR="00000000" w:rsidRDefault="00A173A8">
            <w:pPr>
              <w:spacing w:after="100"/>
              <w:rPr>
                <w:rFonts w:eastAsia="Times New Roman"/>
                <w:sz w:val="20"/>
                <w:szCs w:val="20"/>
              </w:rPr>
            </w:pPr>
          </w:p>
        </w:tc>
      </w:tr>
      <w:tr w:rsidR="00000000" w14:paraId="5D63B3AB" w14:textId="77777777">
        <w:trPr>
          <w:divId w:val="184171194"/>
          <w:jc w:val="center"/>
        </w:trPr>
        <w:tc>
          <w:tcPr>
            <w:tcW w:w="0" w:type="auto"/>
            <w:gridSpan w:val="3"/>
            <w:tcMar>
              <w:top w:w="0" w:type="dxa"/>
              <w:left w:w="20" w:type="dxa"/>
              <w:bottom w:w="0" w:type="dxa"/>
              <w:right w:w="20" w:type="dxa"/>
            </w:tcMar>
            <w:vAlign w:val="center"/>
            <w:hideMark/>
          </w:tcPr>
          <w:p w14:paraId="38213625"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D26F0B2" w14:textId="77777777" w:rsidR="00000000" w:rsidRDefault="00A173A8">
            <w:pPr>
              <w:spacing w:after="100"/>
              <w:jc w:val="center"/>
              <w:rPr>
                <w:rFonts w:eastAsia="Times New Roman"/>
              </w:rPr>
            </w:pPr>
            <w:r>
              <w:rPr>
                <w:rFonts w:eastAsia="Times New Roman"/>
                <w:color w:val="000000"/>
                <w:sz w:val="16"/>
                <w:szCs w:val="16"/>
              </w:rPr>
              <w:t>90</w:t>
            </w:r>
          </w:p>
        </w:tc>
        <w:tc>
          <w:tcPr>
            <w:tcW w:w="0" w:type="auto"/>
            <w:gridSpan w:val="3"/>
            <w:tcMar>
              <w:top w:w="30" w:type="dxa"/>
              <w:left w:w="20" w:type="dxa"/>
              <w:bottom w:w="30" w:type="dxa"/>
              <w:right w:w="20" w:type="dxa"/>
            </w:tcMar>
            <w:vAlign w:val="bottom"/>
            <w:hideMark/>
          </w:tcPr>
          <w:p w14:paraId="09ECD2E8"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4F09976" w14:textId="77777777" w:rsidR="00000000" w:rsidRDefault="00A173A8">
      <w:pPr>
        <w:rPr>
          <w:rFonts w:eastAsia="Times New Roman"/>
        </w:rPr>
      </w:pPr>
      <w:r>
        <w:rPr>
          <w:rFonts w:eastAsia="Times New Roman"/>
        </w:rPr>
        <w:pict w14:anchorId="088AEAC0">
          <v:rect id="_x0000_i1115" style="width:0;height:1.5pt" o:hralign="center" o:hrstd="t" o:hr="t" fillcolor="#a0a0a0" stroked="f"/>
        </w:pict>
      </w:r>
    </w:p>
    <w:p w14:paraId="2D3C24C0" w14:textId="77777777" w:rsidR="00000000" w:rsidRDefault="00A173A8">
      <w:pPr>
        <w:jc w:val="both"/>
        <w:divId w:val="472605539"/>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68E5719" w14:textId="77777777">
        <w:trPr>
          <w:divId w:val="1538082567"/>
        </w:trPr>
        <w:tc>
          <w:tcPr>
            <w:tcW w:w="50" w:type="pct"/>
            <w:vAlign w:val="center"/>
            <w:hideMark/>
          </w:tcPr>
          <w:p w14:paraId="775AAE44" w14:textId="77777777" w:rsidR="00000000" w:rsidRDefault="00A173A8">
            <w:pPr>
              <w:jc w:val="both"/>
              <w:rPr>
                <w:rFonts w:eastAsia="Times New Roman"/>
              </w:rPr>
            </w:pPr>
          </w:p>
        </w:tc>
        <w:tc>
          <w:tcPr>
            <w:tcW w:w="4945" w:type="pct"/>
            <w:vAlign w:val="center"/>
            <w:hideMark/>
          </w:tcPr>
          <w:p w14:paraId="6CDC62B5" w14:textId="77777777" w:rsidR="00000000" w:rsidRDefault="00A173A8">
            <w:pPr>
              <w:spacing w:after="100"/>
              <w:rPr>
                <w:rFonts w:eastAsia="Times New Roman"/>
                <w:sz w:val="20"/>
                <w:szCs w:val="20"/>
              </w:rPr>
            </w:pPr>
          </w:p>
        </w:tc>
        <w:tc>
          <w:tcPr>
            <w:tcW w:w="5" w:type="pct"/>
            <w:vAlign w:val="center"/>
            <w:hideMark/>
          </w:tcPr>
          <w:p w14:paraId="5DC3AB45" w14:textId="77777777" w:rsidR="00000000" w:rsidRDefault="00A173A8">
            <w:pPr>
              <w:spacing w:after="100"/>
              <w:rPr>
                <w:rFonts w:eastAsia="Times New Roman"/>
                <w:sz w:val="20"/>
                <w:szCs w:val="20"/>
              </w:rPr>
            </w:pPr>
          </w:p>
        </w:tc>
      </w:tr>
      <w:tr w:rsidR="00000000" w14:paraId="3D0F4789" w14:textId="77777777">
        <w:trPr>
          <w:divId w:val="153808256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0DB03C8B" w14:textId="77777777" w:rsidR="00000000" w:rsidRDefault="00A173A8">
            <w:pPr>
              <w:spacing w:after="100"/>
              <w:rPr>
                <w:rFonts w:eastAsia="Times New Roman"/>
              </w:rPr>
            </w:pPr>
            <w:r>
              <w:rPr>
                <w:rFonts w:eastAsia="Times New Roman"/>
                <w:b/>
                <w:bCs/>
                <w:color w:val="000000"/>
                <w:sz w:val="20"/>
                <w:szCs w:val="20"/>
              </w:rPr>
              <w:t>NOTE 6—GOODWILL AND OTHER INTANGIBLE ASSETS</w:t>
            </w:r>
          </w:p>
        </w:tc>
      </w:tr>
    </w:tbl>
    <w:p w14:paraId="0E381E9A" w14:textId="77777777" w:rsidR="00000000" w:rsidRDefault="00A173A8">
      <w:pPr>
        <w:divId w:val="1791897516"/>
        <w:rPr>
          <w:rFonts w:eastAsia="Times New Roman"/>
        </w:rPr>
      </w:pPr>
      <w:r>
        <w:rPr>
          <w:rFonts w:eastAsia="Times New Roman"/>
          <w:color w:val="000000"/>
          <w:sz w:val="20"/>
          <w:szCs w:val="20"/>
        </w:rPr>
        <w:t>The table below presents our goodwill, other intangible assets and MSRs as of June 30, 2022 and December 31, 2021. Goodwill is presented separately, while other intangible assets and MSRs are included in other assets on our consolidated balance sheets.</w:t>
      </w:r>
    </w:p>
    <w:p w14:paraId="19FAA688" w14:textId="77777777" w:rsidR="00000000" w:rsidRDefault="00A173A8">
      <w:pPr>
        <w:divId w:val="1580363302"/>
        <w:rPr>
          <w:rFonts w:eastAsia="Times New Roman"/>
        </w:rPr>
      </w:pPr>
      <w:r>
        <w:rPr>
          <w:rFonts w:eastAsia="Times New Roman"/>
          <w:b/>
          <w:bCs/>
          <w:color w:val="000000"/>
          <w:sz w:val="18"/>
          <w:szCs w:val="18"/>
        </w:rPr>
        <w:t>Tab</w:t>
      </w:r>
      <w:r>
        <w:rPr>
          <w:rFonts w:eastAsia="Times New Roman"/>
          <w:b/>
          <w:bCs/>
          <w:color w:val="000000"/>
          <w:sz w:val="18"/>
          <w:szCs w:val="18"/>
        </w:rPr>
        <w:t>le 6.1: Components of Goodwill, Other Intangible Assets and MSRs</w:t>
      </w:r>
    </w:p>
    <w:tbl>
      <w:tblPr>
        <w:tblW w:w="5000" w:type="pct"/>
        <w:tblCellMar>
          <w:top w:w="15" w:type="dxa"/>
          <w:left w:w="15" w:type="dxa"/>
          <w:bottom w:w="15" w:type="dxa"/>
          <w:right w:w="15" w:type="dxa"/>
        </w:tblCellMar>
        <w:tblLook w:val="04A0" w:firstRow="1" w:lastRow="0" w:firstColumn="1" w:lastColumn="0" w:noHBand="0" w:noVBand="1"/>
      </w:tblPr>
      <w:tblGrid>
        <w:gridCol w:w="39"/>
        <w:gridCol w:w="5167"/>
        <w:gridCol w:w="38"/>
        <w:gridCol w:w="36"/>
        <w:gridCol w:w="36"/>
        <w:gridCol w:w="36"/>
        <w:gridCol w:w="111"/>
        <w:gridCol w:w="690"/>
        <w:gridCol w:w="36"/>
        <w:gridCol w:w="36"/>
        <w:gridCol w:w="36"/>
        <w:gridCol w:w="36"/>
        <w:gridCol w:w="111"/>
        <w:gridCol w:w="852"/>
        <w:gridCol w:w="36"/>
        <w:gridCol w:w="36"/>
        <w:gridCol w:w="36"/>
        <w:gridCol w:w="36"/>
        <w:gridCol w:w="110"/>
        <w:gridCol w:w="540"/>
        <w:gridCol w:w="36"/>
        <w:gridCol w:w="36"/>
        <w:gridCol w:w="36"/>
        <w:gridCol w:w="36"/>
        <w:gridCol w:w="36"/>
        <w:gridCol w:w="36"/>
        <w:gridCol w:w="36"/>
      </w:tblGrid>
      <w:tr w:rsidR="00000000" w14:paraId="608D7FBC" w14:textId="77777777">
        <w:trPr>
          <w:divId w:val="1092317777"/>
        </w:trPr>
        <w:tc>
          <w:tcPr>
            <w:tcW w:w="50" w:type="pct"/>
            <w:vAlign w:val="center"/>
            <w:hideMark/>
          </w:tcPr>
          <w:p w14:paraId="3FD365CE" w14:textId="77777777" w:rsidR="00000000" w:rsidRDefault="00A173A8">
            <w:pPr>
              <w:rPr>
                <w:rFonts w:eastAsia="Times New Roman"/>
              </w:rPr>
            </w:pPr>
          </w:p>
        </w:tc>
        <w:tc>
          <w:tcPr>
            <w:tcW w:w="3322" w:type="pct"/>
            <w:vAlign w:val="center"/>
            <w:hideMark/>
          </w:tcPr>
          <w:p w14:paraId="2BF564BB" w14:textId="77777777" w:rsidR="00000000" w:rsidRDefault="00A173A8">
            <w:pPr>
              <w:spacing w:after="100"/>
              <w:rPr>
                <w:rFonts w:eastAsia="Times New Roman"/>
                <w:sz w:val="20"/>
                <w:szCs w:val="20"/>
              </w:rPr>
            </w:pPr>
          </w:p>
        </w:tc>
        <w:tc>
          <w:tcPr>
            <w:tcW w:w="5" w:type="pct"/>
            <w:vAlign w:val="center"/>
            <w:hideMark/>
          </w:tcPr>
          <w:p w14:paraId="00262C0F" w14:textId="77777777" w:rsidR="00000000" w:rsidRDefault="00A173A8">
            <w:pPr>
              <w:spacing w:after="100"/>
              <w:rPr>
                <w:rFonts w:eastAsia="Times New Roman"/>
                <w:sz w:val="20"/>
                <w:szCs w:val="20"/>
              </w:rPr>
            </w:pPr>
          </w:p>
        </w:tc>
        <w:tc>
          <w:tcPr>
            <w:tcW w:w="5" w:type="pct"/>
            <w:vAlign w:val="center"/>
            <w:hideMark/>
          </w:tcPr>
          <w:p w14:paraId="5374F1EC" w14:textId="77777777" w:rsidR="00000000" w:rsidRDefault="00A173A8">
            <w:pPr>
              <w:spacing w:after="100"/>
              <w:rPr>
                <w:rFonts w:eastAsia="Times New Roman"/>
                <w:sz w:val="20"/>
                <w:szCs w:val="20"/>
              </w:rPr>
            </w:pPr>
          </w:p>
        </w:tc>
        <w:tc>
          <w:tcPr>
            <w:tcW w:w="26" w:type="pct"/>
            <w:vAlign w:val="center"/>
            <w:hideMark/>
          </w:tcPr>
          <w:p w14:paraId="4871C699" w14:textId="77777777" w:rsidR="00000000" w:rsidRDefault="00A173A8">
            <w:pPr>
              <w:spacing w:after="100"/>
              <w:rPr>
                <w:rFonts w:eastAsia="Times New Roman"/>
                <w:sz w:val="20"/>
                <w:szCs w:val="20"/>
              </w:rPr>
            </w:pPr>
          </w:p>
        </w:tc>
        <w:tc>
          <w:tcPr>
            <w:tcW w:w="5" w:type="pct"/>
            <w:vAlign w:val="center"/>
            <w:hideMark/>
          </w:tcPr>
          <w:p w14:paraId="4FDCB7F8" w14:textId="77777777" w:rsidR="00000000" w:rsidRDefault="00A173A8">
            <w:pPr>
              <w:spacing w:after="100"/>
              <w:rPr>
                <w:rFonts w:eastAsia="Times New Roman"/>
                <w:sz w:val="20"/>
                <w:szCs w:val="20"/>
              </w:rPr>
            </w:pPr>
          </w:p>
        </w:tc>
        <w:tc>
          <w:tcPr>
            <w:tcW w:w="50" w:type="pct"/>
            <w:vAlign w:val="center"/>
            <w:hideMark/>
          </w:tcPr>
          <w:p w14:paraId="618A7D82" w14:textId="77777777" w:rsidR="00000000" w:rsidRDefault="00A173A8">
            <w:pPr>
              <w:spacing w:after="100"/>
              <w:rPr>
                <w:rFonts w:eastAsia="Times New Roman"/>
                <w:sz w:val="20"/>
                <w:szCs w:val="20"/>
              </w:rPr>
            </w:pPr>
          </w:p>
        </w:tc>
        <w:tc>
          <w:tcPr>
            <w:tcW w:w="449" w:type="pct"/>
            <w:vAlign w:val="center"/>
            <w:hideMark/>
          </w:tcPr>
          <w:p w14:paraId="18FDCAF5" w14:textId="77777777" w:rsidR="00000000" w:rsidRDefault="00A173A8">
            <w:pPr>
              <w:spacing w:after="100"/>
              <w:rPr>
                <w:rFonts w:eastAsia="Times New Roman"/>
                <w:sz w:val="20"/>
                <w:szCs w:val="20"/>
              </w:rPr>
            </w:pPr>
          </w:p>
        </w:tc>
        <w:tc>
          <w:tcPr>
            <w:tcW w:w="5" w:type="pct"/>
            <w:vAlign w:val="center"/>
            <w:hideMark/>
          </w:tcPr>
          <w:p w14:paraId="5B5FCD9A" w14:textId="77777777" w:rsidR="00000000" w:rsidRDefault="00A173A8">
            <w:pPr>
              <w:spacing w:after="100"/>
              <w:rPr>
                <w:rFonts w:eastAsia="Times New Roman"/>
                <w:sz w:val="20"/>
                <w:szCs w:val="20"/>
              </w:rPr>
            </w:pPr>
          </w:p>
        </w:tc>
        <w:tc>
          <w:tcPr>
            <w:tcW w:w="5" w:type="pct"/>
            <w:vAlign w:val="center"/>
            <w:hideMark/>
          </w:tcPr>
          <w:p w14:paraId="055F7A6B" w14:textId="77777777" w:rsidR="00000000" w:rsidRDefault="00A173A8">
            <w:pPr>
              <w:spacing w:after="100"/>
              <w:rPr>
                <w:rFonts w:eastAsia="Times New Roman"/>
                <w:sz w:val="20"/>
                <w:szCs w:val="20"/>
              </w:rPr>
            </w:pPr>
          </w:p>
        </w:tc>
        <w:tc>
          <w:tcPr>
            <w:tcW w:w="26" w:type="pct"/>
            <w:vAlign w:val="center"/>
            <w:hideMark/>
          </w:tcPr>
          <w:p w14:paraId="3AE81CCF" w14:textId="77777777" w:rsidR="00000000" w:rsidRDefault="00A173A8">
            <w:pPr>
              <w:spacing w:after="100"/>
              <w:rPr>
                <w:rFonts w:eastAsia="Times New Roman"/>
                <w:sz w:val="20"/>
                <w:szCs w:val="20"/>
              </w:rPr>
            </w:pPr>
          </w:p>
        </w:tc>
        <w:tc>
          <w:tcPr>
            <w:tcW w:w="5" w:type="pct"/>
            <w:vAlign w:val="center"/>
            <w:hideMark/>
          </w:tcPr>
          <w:p w14:paraId="75A6050B" w14:textId="77777777" w:rsidR="00000000" w:rsidRDefault="00A173A8">
            <w:pPr>
              <w:spacing w:after="100"/>
              <w:rPr>
                <w:rFonts w:eastAsia="Times New Roman"/>
                <w:sz w:val="20"/>
                <w:szCs w:val="20"/>
              </w:rPr>
            </w:pPr>
          </w:p>
        </w:tc>
        <w:tc>
          <w:tcPr>
            <w:tcW w:w="50" w:type="pct"/>
            <w:vAlign w:val="center"/>
            <w:hideMark/>
          </w:tcPr>
          <w:p w14:paraId="7D1C5AA6" w14:textId="77777777" w:rsidR="00000000" w:rsidRDefault="00A173A8">
            <w:pPr>
              <w:spacing w:after="100"/>
              <w:rPr>
                <w:rFonts w:eastAsia="Times New Roman"/>
                <w:sz w:val="20"/>
                <w:szCs w:val="20"/>
              </w:rPr>
            </w:pPr>
          </w:p>
        </w:tc>
        <w:tc>
          <w:tcPr>
            <w:tcW w:w="449" w:type="pct"/>
            <w:vAlign w:val="center"/>
            <w:hideMark/>
          </w:tcPr>
          <w:p w14:paraId="43CE829F" w14:textId="77777777" w:rsidR="00000000" w:rsidRDefault="00A173A8">
            <w:pPr>
              <w:spacing w:after="100"/>
              <w:rPr>
                <w:rFonts w:eastAsia="Times New Roman"/>
                <w:sz w:val="20"/>
                <w:szCs w:val="20"/>
              </w:rPr>
            </w:pPr>
          </w:p>
        </w:tc>
        <w:tc>
          <w:tcPr>
            <w:tcW w:w="5" w:type="pct"/>
            <w:vAlign w:val="center"/>
            <w:hideMark/>
          </w:tcPr>
          <w:p w14:paraId="6475F263" w14:textId="77777777" w:rsidR="00000000" w:rsidRDefault="00A173A8">
            <w:pPr>
              <w:spacing w:after="100"/>
              <w:rPr>
                <w:rFonts w:eastAsia="Times New Roman"/>
                <w:sz w:val="20"/>
                <w:szCs w:val="20"/>
              </w:rPr>
            </w:pPr>
          </w:p>
        </w:tc>
        <w:tc>
          <w:tcPr>
            <w:tcW w:w="5" w:type="pct"/>
            <w:vAlign w:val="center"/>
            <w:hideMark/>
          </w:tcPr>
          <w:p w14:paraId="1BE0BDFF" w14:textId="77777777" w:rsidR="00000000" w:rsidRDefault="00A173A8">
            <w:pPr>
              <w:spacing w:after="100"/>
              <w:rPr>
                <w:rFonts w:eastAsia="Times New Roman"/>
                <w:sz w:val="20"/>
                <w:szCs w:val="20"/>
              </w:rPr>
            </w:pPr>
          </w:p>
        </w:tc>
        <w:tc>
          <w:tcPr>
            <w:tcW w:w="26" w:type="pct"/>
            <w:vAlign w:val="center"/>
            <w:hideMark/>
          </w:tcPr>
          <w:p w14:paraId="17E5A70C" w14:textId="77777777" w:rsidR="00000000" w:rsidRDefault="00A173A8">
            <w:pPr>
              <w:spacing w:after="100"/>
              <w:rPr>
                <w:rFonts w:eastAsia="Times New Roman"/>
                <w:sz w:val="20"/>
                <w:szCs w:val="20"/>
              </w:rPr>
            </w:pPr>
          </w:p>
        </w:tc>
        <w:tc>
          <w:tcPr>
            <w:tcW w:w="5" w:type="pct"/>
            <w:vAlign w:val="center"/>
            <w:hideMark/>
          </w:tcPr>
          <w:p w14:paraId="60462ECE" w14:textId="77777777" w:rsidR="00000000" w:rsidRDefault="00A173A8">
            <w:pPr>
              <w:spacing w:after="100"/>
              <w:rPr>
                <w:rFonts w:eastAsia="Times New Roman"/>
                <w:sz w:val="20"/>
                <w:szCs w:val="20"/>
              </w:rPr>
            </w:pPr>
          </w:p>
        </w:tc>
        <w:tc>
          <w:tcPr>
            <w:tcW w:w="50" w:type="pct"/>
            <w:vAlign w:val="center"/>
            <w:hideMark/>
          </w:tcPr>
          <w:p w14:paraId="7F7E7E8E" w14:textId="77777777" w:rsidR="00000000" w:rsidRDefault="00A173A8">
            <w:pPr>
              <w:spacing w:after="100"/>
              <w:rPr>
                <w:rFonts w:eastAsia="Times New Roman"/>
                <w:sz w:val="20"/>
                <w:szCs w:val="20"/>
              </w:rPr>
            </w:pPr>
          </w:p>
        </w:tc>
        <w:tc>
          <w:tcPr>
            <w:tcW w:w="449" w:type="pct"/>
            <w:vAlign w:val="center"/>
            <w:hideMark/>
          </w:tcPr>
          <w:p w14:paraId="32CA191B" w14:textId="77777777" w:rsidR="00000000" w:rsidRDefault="00A173A8">
            <w:pPr>
              <w:spacing w:after="100"/>
              <w:rPr>
                <w:rFonts w:eastAsia="Times New Roman"/>
                <w:sz w:val="20"/>
                <w:szCs w:val="20"/>
              </w:rPr>
            </w:pPr>
          </w:p>
        </w:tc>
        <w:tc>
          <w:tcPr>
            <w:tcW w:w="5" w:type="pct"/>
            <w:vAlign w:val="center"/>
            <w:hideMark/>
          </w:tcPr>
          <w:p w14:paraId="0E31DCAE" w14:textId="77777777" w:rsidR="00000000" w:rsidRDefault="00A173A8">
            <w:pPr>
              <w:spacing w:after="100"/>
              <w:rPr>
                <w:rFonts w:eastAsia="Times New Roman"/>
                <w:sz w:val="20"/>
                <w:szCs w:val="20"/>
              </w:rPr>
            </w:pPr>
          </w:p>
        </w:tc>
        <w:tc>
          <w:tcPr>
            <w:tcW w:w="0" w:type="auto"/>
            <w:gridSpan w:val="3"/>
            <w:vAlign w:val="center"/>
            <w:hideMark/>
          </w:tcPr>
          <w:p w14:paraId="29EBB7B5" w14:textId="77777777" w:rsidR="00000000" w:rsidRDefault="00A173A8">
            <w:pPr>
              <w:spacing w:after="100"/>
              <w:rPr>
                <w:rFonts w:eastAsia="Times New Roman"/>
                <w:sz w:val="20"/>
                <w:szCs w:val="20"/>
              </w:rPr>
            </w:pPr>
          </w:p>
        </w:tc>
        <w:tc>
          <w:tcPr>
            <w:tcW w:w="0" w:type="auto"/>
            <w:gridSpan w:val="3"/>
            <w:vAlign w:val="center"/>
            <w:hideMark/>
          </w:tcPr>
          <w:p w14:paraId="52F372F2" w14:textId="77777777" w:rsidR="00000000" w:rsidRDefault="00A173A8">
            <w:pPr>
              <w:spacing w:after="100"/>
              <w:rPr>
                <w:rFonts w:eastAsia="Times New Roman"/>
                <w:sz w:val="20"/>
                <w:szCs w:val="20"/>
              </w:rPr>
            </w:pPr>
          </w:p>
        </w:tc>
      </w:tr>
      <w:tr w:rsidR="00000000" w14:paraId="798AC990" w14:textId="77777777">
        <w:trPr>
          <w:divId w:val="1092317777"/>
        </w:trPr>
        <w:tc>
          <w:tcPr>
            <w:tcW w:w="0" w:type="auto"/>
            <w:gridSpan w:val="3"/>
            <w:tcMar>
              <w:top w:w="0" w:type="dxa"/>
              <w:left w:w="20" w:type="dxa"/>
              <w:bottom w:w="0" w:type="dxa"/>
              <w:right w:w="20" w:type="dxa"/>
            </w:tcMar>
            <w:vAlign w:val="center"/>
            <w:hideMark/>
          </w:tcPr>
          <w:p w14:paraId="2F6A36A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BE5E1C"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A2D24AC"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vAlign w:val="center"/>
            <w:hideMark/>
          </w:tcPr>
          <w:p w14:paraId="10E4C5C9" w14:textId="77777777" w:rsidR="00000000" w:rsidRDefault="00A173A8">
            <w:pPr>
              <w:spacing w:after="100"/>
              <w:jc w:val="center"/>
              <w:rPr>
                <w:rFonts w:eastAsia="Times New Roman"/>
              </w:rPr>
            </w:pPr>
          </w:p>
        </w:tc>
        <w:tc>
          <w:tcPr>
            <w:tcW w:w="0" w:type="auto"/>
            <w:gridSpan w:val="3"/>
            <w:vAlign w:val="center"/>
            <w:hideMark/>
          </w:tcPr>
          <w:p w14:paraId="338467B1" w14:textId="77777777" w:rsidR="00000000" w:rsidRDefault="00A173A8">
            <w:pPr>
              <w:spacing w:after="100"/>
              <w:rPr>
                <w:rFonts w:eastAsia="Times New Roman"/>
                <w:sz w:val="20"/>
                <w:szCs w:val="20"/>
              </w:rPr>
            </w:pPr>
          </w:p>
        </w:tc>
      </w:tr>
      <w:tr w:rsidR="00000000" w14:paraId="5B7E4F54" w14:textId="77777777">
        <w:trPr>
          <w:divId w:val="1092317777"/>
        </w:trPr>
        <w:tc>
          <w:tcPr>
            <w:tcW w:w="0" w:type="auto"/>
            <w:gridSpan w:val="3"/>
            <w:tcMar>
              <w:top w:w="30" w:type="dxa"/>
              <w:left w:w="20" w:type="dxa"/>
              <w:bottom w:w="30" w:type="dxa"/>
              <w:right w:w="20" w:type="dxa"/>
            </w:tcMar>
            <w:vAlign w:val="bottom"/>
            <w:hideMark/>
          </w:tcPr>
          <w:p w14:paraId="5C639877"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3DCF082"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039EEA" w14:textId="77777777" w:rsidR="00000000" w:rsidRDefault="00A173A8">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6BF4623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694894" w14:textId="77777777" w:rsidR="00000000" w:rsidRDefault="00A173A8">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14:paraId="771212D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6950A5" w14:textId="77777777" w:rsidR="00000000" w:rsidRDefault="00A173A8">
            <w:pPr>
              <w:spacing w:after="100"/>
              <w:jc w:val="center"/>
              <w:rPr>
                <w:rFonts w:eastAsia="Times New Roman"/>
              </w:rPr>
            </w:pPr>
            <w:r>
              <w:rPr>
                <w:rFonts w:eastAsia="Times New Roman"/>
                <w:b/>
                <w:bCs/>
                <w:color w:val="000000"/>
                <w:sz w:val="16"/>
                <w:szCs w:val="16"/>
              </w:rPr>
              <w:t>Net Carrying Amount</w:t>
            </w:r>
          </w:p>
        </w:tc>
        <w:tc>
          <w:tcPr>
            <w:tcW w:w="0" w:type="auto"/>
            <w:gridSpan w:val="3"/>
            <w:vAlign w:val="center"/>
            <w:hideMark/>
          </w:tcPr>
          <w:p w14:paraId="624786B5" w14:textId="77777777" w:rsidR="00000000" w:rsidRDefault="00A173A8">
            <w:pPr>
              <w:spacing w:after="100"/>
              <w:jc w:val="center"/>
              <w:rPr>
                <w:rFonts w:eastAsia="Times New Roman"/>
              </w:rPr>
            </w:pPr>
          </w:p>
        </w:tc>
        <w:tc>
          <w:tcPr>
            <w:tcW w:w="0" w:type="auto"/>
            <w:gridSpan w:val="3"/>
            <w:vAlign w:val="center"/>
            <w:hideMark/>
          </w:tcPr>
          <w:p w14:paraId="6D07B381" w14:textId="77777777" w:rsidR="00000000" w:rsidRDefault="00A173A8">
            <w:pPr>
              <w:spacing w:after="100"/>
              <w:rPr>
                <w:rFonts w:eastAsia="Times New Roman"/>
                <w:sz w:val="20"/>
                <w:szCs w:val="20"/>
              </w:rPr>
            </w:pPr>
          </w:p>
        </w:tc>
      </w:tr>
      <w:tr w:rsidR="00000000" w14:paraId="3C87EE8D" w14:textId="77777777">
        <w:trPr>
          <w:divId w:val="10923177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7B61FE9" w14:textId="77777777" w:rsidR="00000000" w:rsidRDefault="00A173A8">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14:paraId="40F2F1AE"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32E775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8A59B0C" w14:textId="77777777" w:rsidR="00000000" w:rsidRDefault="00A173A8">
            <w:pPr>
              <w:spacing w:after="100"/>
              <w:jc w:val="right"/>
              <w:rPr>
                <w:rFonts w:eastAsia="Times New Roman"/>
              </w:rPr>
            </w:pPr>
            <w:r>
              <w:rPr>
                <w:rFonts w:eastAsia="Times New Roman"/>
                <w:b/>
                <w:bCs/>
                <w:color w:val="000000"/>
                <w:sz w:val="18"/>
                <w:szCs w:val="18"/>
              </w:rPr>
              <w:t>14,778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3A160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B7E8E"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DE2E507"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44791668"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45D7DF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1B5E23E" w14:textId="77777777" w:rsidR="00000000" w:rsidRDefault="00A173A8">
            <w:pPr>
              <w:spacing w:after="100"/>
              <w:jc w:val="right"/>
              <w:rPr>
                <w:rFonts w:eastAsia="Times New Roman"/>
              </w:rPr>
            </w:pPr>
            <w:r>
              <w:rPr>
                <w:rFonts w:eastAsia="Times New Roman"/>
                <w:b/>
                <w:bCs/>
                <w:color w:val="000000"/>
                <w:sz w:val="18"/>
                <w:szCs w:val="18"/>
              </w:rPr>
              <w:t>14,778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9B52DE0" w14:textId="77777777" w:rsidR="00000000" w:rsidRDefault="00A173A8">
            <w:pPr>
              <w:spacing w:after="100"/>
              <w:jc w:val="right"/>
              <w:rPr>
                <w:rFonts w:eastAsia="Times New Roman"/>
              </w:rPr>
            </w:pPr>
          </w:p>
        </w:tc>
        <w:tc>
          <w:tcPr>
            <w:tcW w:w="0" w:type="auto"/>
            <w:gridSpan w:val="3"/>
            <w:vAlign w:val="center"/>
            <w:hideMark/>
          </w:tcPr>
          <w:p w14:paraId="36ADE3E9" w14:textId="77777777" w:rsidR="00000000" w:rsidRDefault="00A173A8">
            <w:pPr>
              <w:spacing w:after="100"/>
              <w:jc w:val="right"/>
              <w:rPr>
                <w:rFonts w:eastAsia="Times New Roman"/>
                <w:sz w:val="20"/>
                <w:szCs w:val="20"/>
              </w:rPr>
            </w:pPr>
          </w:p>
        </w:tc>
        <w:tc>
          <w:tcPr>
            <w:tcW w:w="0" w:type="auto"/>
            <w:gridSpan w:val="3"/>
            <w:vAlign w:val="center"/>
            <w:hideMark/>
          </w:tcPr>
          <w:p w14:paraId="480D2D19" w14:textId="77777777" w:rsidR="00000000" w:rsidRDefault="00A173A8">
            <w:pPr>
              <w:spacing w:after="100"/>
              <w:rPr>
                <w:rFonts w:eastAsia="Times New Roman"/>
                <w:sz w:val="20"/>
                <w:szCs w:val="20"/>
              </w:rPr>
            </w:pPr>
          </w:p>
        </w:tc>
      </w:tr>
      <w:tr w:rsidR="00000000" w14:paraId="2A36A383" w14:textId="77777777">
        <w:trPr>
          <w:divId w:val="1092317777"/>
        </w:trPr>
        <w:tc>
          <w:tcPr>
            <w:tcW w:w="0" w:type="auto"/>
            <w:gridSpan w:val="3"/>
            <w:shd w:val="clear" w:color="auto" w:fill="FFFFFF"/>
            <w:tcMar>
              <w:top w:w="30" w:type="dxa"/>
              <w:left w:w="20" w:type="dxa"/>
              <w:bottom w:w="30" w:type="dxa"/>
              <w:right w:w="20" w:type="dxa"/>
            </w:tcMar>
            <w:vAlign w:val="center"/>
            <w:hideMark/>
          </w:tcPr>
          <w:p w14:paraId="45D7623A" w14:textId="77777777" w:rsidR="00000000" w:rsidRDefault="00A173A8">
            <w:pPr>
              <w:spacing w:after="100"/>
              <w:rPr>
                <w:rFonts w:eastAsia="Times New Roman"/>
              </w:rPr>
            </w:pPr>
            <w:r>
              <w:rPr>
                <w:rFonts w:eastAsia="Times New Roman"/>
                <w:color w:val="000000"/>
                <w:sz w:val="18"/>
                <w:szCs w:val="18"/>
              </w:rPr>
              <w:t>Other intangible assets:</w:t>
            </w:r>
          </w:p>
        </w:tc>
        <w:tc>
          <w:tcPr>
            <w:tcW w:w="0" w:type="auto"/>
            <w:gridSpan w:val="3"/>
            <w:shd w:val="clear" w:color="auto" w:fill="FFFFFF"/>
            <w:tcMar>
              <w:top w:w="0" w:type="dxa"/>
              <w:left w:w="20" w:type="dxa"/>
              <w:bottom w:w="0" w:type="dxa"/>
              <w:right w:w="20" w:type="dxa"/>
            </w:tcMar>
            <w:vAlign w:val="center"/>
            <w:hideMark/>
          </w:tcPr>
          <w:p w14:paraId="72E01E17"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F3C1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E0E8D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51599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E60B3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49C46D" w14:textId="77777777" w:rsidR="00000000" w:rsidRDefault="00A173A8">
            <w:pPr>
              <w:spacing w:after="100"/>
              <w:rPr>
                <w:rFonts w:eastAsia="Times New Roman"/>
                <w:sz w:val="20"/>
                <w:szCs w:val="20"/>
              </w:rPr>
            </w:pPr>
          </w:p>
        </w:tc>
        <w:tc>
          <w:tcPr>
            <w:tcW w:w="0" w:type="auto"/>
            <w:gridSpan w:val="3"/>
            <w:vAlign w:val="center"/>
            <w:hideMark/>
          </w:tcPr>
          <w:p w14:paraId="21017C51" w14:textId="77777777" w:rsidR="00000000" w:rsidRDefault="00A173A8">
            <w:pPr>
              <w:spacing w:after="100"/>
              <w:rPr>
                <w:rFonts w:eastAsia="Times New Roman"/>
                <w:sz w:val="20"/>
                <w:szCs w:val="20"/>
              </w:rPr>
            </w:pPr>
          </w:p>
        </w:tc>
        <w:tc>
          <w:tcPr>
            <w:tcW w:w="0" w:type="auto"/>
            <w:gridSpan w:val="3"/>
            <w:vAlign w:val="center"/>
            <w:hideMark/>
          </w:tcPr>
          <w:p w14:paraId="510AE66C" w14:textId="77777777" w:rsidR="00000000" w:rsidRDefault="00A173A8">
            <w:pPr>
              <w:spacing w:after="100"/>
              <w:rPr>
                <w:rFonts w:eastAsia="Times New Roman"/>
                <w:sz w:val="20"/>
                <w:szCs w:val="20"/>
              </w:rPr>
            </w:pPr>
          </w:p>
        </w:tc>
      </w:tr>
      <w:tr w:rsidR="00000000" w14:paraId="044AC375" w14:textId="77777777">
        <w:trPr>
          <w:divId w:val="1092317777"/>
        </w:trPr>
        <w:tc>
          <w:tcPr>
            <w:tcW w:w="0" w:type="auto"/>
            <w:gridSpan w:val="3"/>
            <w:shd w:val="clear" w:color="auto" w:fill="CCEEFF"/>
            <w:tcMar>
              <w:top w:w="30" w:type="dxa"/>
              <w:left w:w="245" w:type="dxa"/>
              <w:bottom w:w="30" w:type="dxa"/>
              <w:right w:w="20" w:type="dxa"/>
            </w:tcMar>
            <w:vAlign w:val="center"/>
            <w:hideMark/>
          </w:tcPr>
          <w:p w14:paraId="0D2BB01C" w14:textId="77777777" w:rsidR="00000000" w:rsidRDefault="00A173A8">
            <w:pPr>
              <w:spacing w:after="100"/>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14:paraId="600FDBA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6A08A1" w14:textId="77777777" w:rsidR="00000000" w:rsidRDefault="00A173A8">
            <w:pPr>
              <w:spacing w:after="100"/>
              <w:jc w:val="right"/>
              <w:rPr>
                <w:rFonts w:eastAsia="Times New Roman"/>
              </w:rPr>
            </w:pPr>
            <w:r>
              <w:rPr>
                <w:rFonts w:eastAsia="Times New Roman"/>
                <w:b/>
                <w:bCs/>
                <w:color w:val="000000"/>
                <w:sz w:val="18"/>
                <w:szCs w:val="18"/>
              </w:rPr>
              <w:t>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DD9F17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1280F"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63AD2BE"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9B39046" w14:textId="77777777" w:rsidR="00000000" w:rsidRDefault="00A173A8">
            <w:pPr>
              <w:spacing w:after="100"/>
              <w:jc w:val="right"/>
              <w:rPr>
                <w:rFonts w:eastAsia="Times New Roman"/>
              </w:rPr>
            </w:pPr>
            <w:r>
              <w:rPr>
                <w:rFonts w:eastAsia="Times New Roman"/>
                <w:b/>
                <w:bCs/>
                <w:color w:val="000000"/>
                <w:sz w:val="18"/>
                <w:szCs w:val="18"/>
              </w:rPr>
              <w:t>(13)</w:t>
            </w:r>
          </w:p>
        </w:tc>
        <w:tc>
          <w:tcPr>
            <w:tcW w:w="0" w:type="auto"/>
            <w:shd w:val="clear" w:color="auto" w:fill="CCEEFF"/>
            <w:tcMar>
              <w:top w:w="30" w:type="dxa"/>
              <w:left w:w="0" w:type="dxa"/>
              <w:bottom w:w="30" w:type="dxa"/>
              <w:right w:w="20" w:type="dxa"/>
            </w:tcMar>
            <w:vAlign w:val="center"/>
            <w:hideMark/>
          </w:tcPr>
          <w:p w14:paraId="28B2B1A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761C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54E51DA" w14:textId="77777777" w:rsidR="00000000" w:rsidRDefault="00A173A8">
            <w:pPr>
              <w:spacing w:after="100"/>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8A6F423" w14:textId="77777777" w:rsidR="00000000" w:rsidRDefault="00A173A8">
            <w:pPr>
              <w:spacing w:after="100"/>
              <w:jc w:val="right"/>
              <w:rPr>
                <w:rFonts w:eastAsia="Times New Roman"/>
              </w:rPr>
            </w:pPr>
          </w:p>
        </w:tc>
        <w:tc>
          <w:tcPr>
            <w:tcW w:w="0" w:type="auto"/>
            <w:gridSpan w:val="3"/>
            <w:vAlign w:val="center"/>
            <w:hideMark/>
          </w:tcPr>
          <w:p w14:paraId="57F09152" w14:textId="77777777" w:rsidR="00000000" w:rsidRDefault="00A173A8">
            <w:pPr>
              <w:spacing w:after="100"/>
              <w:jc w:val="right"/>
              <w:rPr>
                <w:rFonts w:eastAsia="Times New Roman"/>
                <w:sz w:val="20"/>
                <w:szCs w:val="20"/>
              </w:rPr>
            </w:pPr>
          </w:p>
        </w:tc>
        <w:tc>
          <w:tcPr>
            <w:tcW w:w="0" w:type="auto"/>
            <w:gridSpan w:val="3"/>
            <w:vAlign w:val="center"/>
            <w:hideMark/>
          </w:tcPr>
          <w:p w14:paraId="4303CFE1" w14:textId="77777777" w:rsidR="00000000" w:rsidRDefault="00A173A8">
            <w:pPr>
              <w:spacing w:after="100"/>
              <w:rPr>
                <w:rFonts w:eastAsia="Times New Roman"/>
                <w:sz w:val="20"/>
                <w:szCs w:val="20"/>
              </w:rPr>
            </w:pPr>
          </w:p>
        </w:tc>
      </w:tr>
      <w:tr w:rsidR="00000000" w14:paraId="4AD8F09A" w14:textId="77777777">
        <w:trPr>
          <w:divId w:val="1092317777"/>
        </w:trPr>
        <w:tc>
          <w:tcPr>
            <w:tcW w:w="0" w:type="auto"/>
            <w:gridSpan w:val="3"/>
            <w:vAlign w:val="center"/>
            <w:hideMark/>
          </w:tcPr>
          <w:p w14:paraId="43391561" w14:textId="77777777" w:rsidR="00000000" w:rsidRDefault="00A173A8">
            <w:pPr>
              <w:spacing w:after="100"/>
              <w:rPr>
                <w:rFonts w:eastAsia="Times New Roman"/>
                <w:sz w:val="20"/>
                <w:szCs w:val="20"/>
              </w:rPr>
            </w:pPr>
          </w:p>
        </w:tc>
        <w:tc>
          <w:tcPr>
            <w:tcW w:w="0" w:type="auto"/>
            <w:gridSpan w:val="3"/>
            <w:vAlign w:val="center"/>
            <w:hideMark/>
          </w:tcPr>
          <w:p w14:paraId="7FF5F4B7" w14:textId="77777777" w:rsidR="00000000" w:rsidRDefault="00A173A8">
            <w:pPr>
              <w:spacing w:after="100"/>
              <w:rPr>
                <w:rFonts w:eastAsia="Times New Roman"/>
                <w:sz w:val="20"/>
                <w:szCs w:val="20"/>
              </w:rPr>
            </w:pPr>
          </w:p>
        </w:tc>
        <w:tc>
          <w:tcPr>
            <w:tcW w:w="0" w:type="auto"/>
            <w:gridSpan w:val="3"/>
            <w:vAlign w:val="center"/>
            <w:hideMark/>
          </w:tcPr>
          <w:p w14:paraId="19B9FF74" w14:textId="77777777" w:rsidR="00000000" w:rsidRDefault="00A173A8">
            <w:pPr>
              <w:spacing w:after="100"/>
              <w:rPr>
                <w:rFonts w:eastAsia="Times New Roman"/>
                <w:sz w:val="20"/>
                <w:szCs w:val="20"/>
              </w:rPr>
            </w:pPr>
          </w:p>
        </w:tc>
        <w:tc>
          <w:tcPr>
            <w:tcW w:w="0" w:type="auto"/>
            <w:gridSpan w:val="3"/>
            <w:vAlign w:val="center"/>
            <w:hideMark/>
          </w:tcPr>
          <w:p w14:paraId="0F89B912" w14:textId="77777777" w:rsidR="00000000" w:rsidRDefault="00A173A8">
            <w:pPr>
              <w:spacing w:after="100"/>
              <w:rPr>
                <w:rFonts w:eastAsia="Times New Roman"/>
                <w:sz w:val="20"/>
                <w:szCs w:val="20"/>
              </w:rPr>
            </w:pPr>
          </w:p>
        </w:tc>
        <w:tc>
          <w:tcPr>
            <w:tcW w:w="0" w:type="auto"/>
            <w:gridSpan w:val="3"/>
            <w:vAlign w:val="center"/>
            <w:hideMark/>
          </w:tcPr>
          <w:p w14:paraId="318D964C" w14:textId="77777777" w:rsidR="00000000" w:rsidRDefault="00A173A8">
            <w:pPr>
              <w:spacing w:after="100"/>
              <w:rPr>
                <w:rFonts w:eastAsia="Times New Roman"/>
                <w:sz w:val="20"/>
                <w:szCs w:val="20"/>
              </w:rPr>
            </w:pPr>
          </w:p>
        </w:tc>
        <w:tc>
          <w:tcPr>
            <w:tcW w:w="0" w:type="auto"/>
            <w:gridSpan w:val="3"/>
            <w:vAlign w:val="center"/>
            <w:hideMark/>
          </w:tcPr>
          <w:p w14:paraId="1FCBA246" w14:textId="77777777" w:rsidR="00000000" w:rsidRDefault="00A173A8">
            <w:pPr>
              <w:spacing w:after="100"/>
              <w:rPr>
                <w:rFonts w:eastAsia="Times New Roman"/>
                <w:sz w:val="20"/>
                <w:szCs w:val="20"/>
              </w:rPr>
            </w:pPr>
          </w:p>
        </w:tc>
        <w:tc>
          <w:tcPr>
            <w:tcW w:w="0" w:type="auto"/>
            <w:gridSpan w:val="3"/>
            <w:vAlign w:val="center"/>
            <w:hideMark/>
          </w:tcPr>
          <w:p w14:paraId="621D27E7" w14:textId="77777777" w:rsidR="00000000" w:rsidRDefault="00A173A8">
            <w:pPr>
              <w:spacing w:after="100"/>
              <w:rPr>
                <w:rFonts w:eastAsia="Times New Roman"/>
                <w:sz w:val="20"/>
                <w:szCs w:val="20"/>
              </w:rPr>
            </w:pPr>
          </w:p>
        </w:tc>
        <w:tc>
          <w:tcPr>
            <w:tcW w:w="0" w:type="auto"/>
            <w:gridSpan w:val="3"/>
            <w:vAlign w:val="center"/>
            <w:hideMark/>
          </w:tcPr>
          <w:p w14:paraId="1390A5E8" w14:textId="77777777" w:rsidR="00000000" w:rsidRDefault="00A173A8">
            <w:pPr>
              <w:spacing w:after="100"/>
              <w:rPr>
                <w:rFonts w:eastAsia="Times New Roman"/>
                <w:sz w:val="20"/>
                <w:szCs w:val="20"/>
              </w:rPr>
            </w:pPr>
          </w:p>
        </w:tc>
        <w:tc>
          <w:tcPr>
            <w:tcW w:w="0" w:type="auto"/>
            <w:gridSpan w:val="3"/>
            <w:vAlign w:val="center"/>
            <w:hideMark/>
          </w:tcPr>
          <w:p w14:paraId="2F3978B8" w14:textId="77777777" w:rsidR="00000000" w:rsidRDefault="00A173A8">
            <w:pPr>
              <w:spacing w:after="100"/>
              <w:rPr>
                <w:rFonts w:eastAsia="Times New Roman"/>
                <w:sz w:val="20"/>
                <w:szCs w:val="20"/>
              </w:rPr>
            </w:pPr>
          </w:p>
        </w:tc>
      </w:tr>
      <w:tr w:rsidR="00000000" w14:paraId="2C30EB98" w14:textId="77777777">
        <w:trPr>
          <w:divId w:val="1092317777"/>
        </w:trPr>
        <w:tc>
          <w:tcPr>
            <w:tcW w:w="0" w:type="auto"/>
            <w:gridSpan w:val="3"/>
            <w:shd w:val="clear" w:color="auto" w:fill="FFFFFF"/>
            <w:tcMar>
              <w:top w:w="30" w:type="dxa"/>
              <w:left w:w="20" w:type="dxa"/>
              <w:bottom w:w="30" w:type="dxa"/>
              <w:right w:w="20" w:type="dxa"/>
            </w:tcMar>
            <w:vAlign w:val="center"/>
            <w:hideMark/>
          </w:tcPr>
          <w:p w14:paraId="7F9321E7" w14:textId="77777777" w:rsidR="00000000" w:rsidRDefault="00A173A8">
            <w:pPr>
              <w:spacing w:after="100"/>
              <w:divId w:val="1423070350"/>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A889294"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46C14C0" w14:textId="77777777" w:rsidR="00000000" w:rsidRDefault="00A173A8">
            <w:pPr>
              <w:spacing w:after="100"/>
              <w:jc w:val="right"/>
              <w:rPr>
                <w:rFonts w:eastAsia="Times New Roman"/>
              </w:rPr>
            </w:pPr>
            <w:r>
              <w:rPr>
                <w:rFonts w:eastAsia="Times New Roman"/>
                <w:b/>
                <w:bCs/>
                <w:color w:val="000000"/>
                <w:sz w:val="18"/>
                <w:szCs w:val="18"/>
              </w:rPr>
              <w:t>213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164F38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E02DF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50D438" w14:textId="77777777" w:rsidR="00000000" w:rsidRDefault="00A173A8">
            <w:pPr>
              <w:spacing w:after="100"/>
              <w:jc w:val="right"/>
              <w:rPr>
                <w:rFonts w:eastAsia="Times New Roman"/>
              </w:rPr>
            </w:pPr>
            <w:r>
              <w:rPr>
                <w:rFonts w:eastAsia="Times New Roman"/>
                <w:b/>
                <w:bCs/>
                <w:color w:val="000000"/>
                <w:sz w:val="18"/>
                <w:szCs w:val="18"/>
              </w:rPr>
              <w:t>(146)</w:t>
            </w:r>
          </w:p>
        </w:tc>
        <w:tc>
          <w:tcPr>
            <w:tcW w:w="0" w:type="auto"/>
            <w:shd w:val="clear" w:color="auto" w:fill="FFFFFF"/>
            <w:tcMar>
              <w:top w:w="30" w:type="dxa"/>
              <w:left w:w="0" w:type="dxa"/>
              <w:bottom w:w="30" w:type="dxa"/>
              <w:right w:w="20" w:type="dxa"/>
            </w:tcMar>
            <w:vAlign w:val="center"/>
            <w:hideMark/>
          </w:tcPr>
          <w:p w14:paraId="46EA409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D797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E98713" w14:textId="77777777" w:rsidR="00000000" w:rsidRDefault="00A173A8">
            <w:pPr>
              <w:spacing w:after="100"/>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7EFAA43" w14:textId="77777777" w:rsidR="00000000" w:rsidRDefault="00A173A8">
            <w:pPr>
              <w:spacing w:after="100"/>
              <w:jc w:val="right"/>
              <w:rPr>
                <w:rFonts w:eastAsia="Times New Roman"/>
              </w:rPr>
            </w:pPr>
          </w:p>
        </w:tc>
        <w:tc>
          <w:tcPr>
            <w:tcW w:w="0" w:type="auto"/>
            <w:gridSpan w:val="3"/>
            <w:vAlign w:val="center"/>
            <w:hideMark/>
          </w:tcPr>
          <w:p w14:paraId="00639553" w14:textId="77777777" w:rsidR="00000000" w:rsidRDefault="00A173A8">
            <w:pPr>
              <w:spacing w:after="100"/>
              <w:jc w:val="right"/>
              <w:rPr>
                <w:rFonts w:eastAsia="Times New Roman"/>
                <w:sz w:val="20"/>
                <w:szCs w:val="20"/>
              </w:rPr>
            </w:pPr>
          </w:p>
        </w:tc>
        <w:tc>
          <w:tcPr>
            <w:tcW w:w="0" w:type="auto"/>
            <w:gridSpan w:val="3"/>
            <w:vAlign w:val="center"/>
            <w:hideMark/>
          </w:tcPr>
          <w:p w14:paraId="0764417C" w14:textId="77777777" w:rsidR="00000000" w:rsidRDefault="00A173A8">
            <w:pPr>
              <w:spacing w:after="100"/>
              <w:rPr>
                <w:rFonts w:eastAsia="Times New Roman"/>
                <w:sz w:val="20"/>
                <w:szCs w:val="20"/>
              </w:rPr>
            </w:pPr>
          </w:p>
        </w:tc>
      </w:tr>
      <w:tr w:rsidR="00000000" w14:paraId="1E843FCE" w14:textId="77777777">
        <w:trPr>
          <w:divId w:val="1092317777"/>
        </w:trPr>
        <w:tc>
          <w:tcPr>
            <w:tcW w:w="0" w:type="auto"/>
            <w:gridSpan w:val="3"/>
            <w:shd w:val="clear" w:color="auto" w:fill="CCEEFF"/>
            <w:tcMar>
              <w:top w:w="30" w:type="dxa"/>
              <w:left w:w="20" w:type="dxa"/>
              <w:bottom w:w="30" w:type="dxa"/>
              <w:right w:w="20" w:type="dxa"/>
            </w:tcMar>
            <w:vAlign w:val="center"/>
            <w:hideMark/>
          </w:tcPr>
          <w:p w14:paraId="6BCAFB40" w14:textId="77777777" w:rsidR="00000000" w:rsidRDefault="00A173A8">
            <w:pPr>
              <w:spacing w:after="100"/>
              <w:rPr>
                <w:rFonts w:eastAsia="Times New Roman"/>
              </w:rPr>
            </w:pPr>
            <w:r>
              <w:rPr>
                <w:rFonts w:eastAsia="Times New Roman"/>
                <w:color w:val="000000"/>
                <w:sz w:val="18"/>
                <w:szCs w:val="18"/>
              </w:rPr>
              <w:t>Total other intangible assets</w:t>
            </w:r>
          </w:p>
        </w:tc>
        <w:tc>
          <w:tcPr>
            <w:tcW w:w="0" w:type="auto"/>
            <w:gridSpan w:val="3"/>
            <w:shd w:val="clear" w:color="auto" w:fill="CCEEFF"/>
            <w:tcMar>
              <w:top w:w="0" w:type="dxa"/>
              <w:left w:w="20" w:type="dxa"/>
              <w:bottom w:w="0" w:type="dxa"/>
              <w:right w:w="20" w:type="dxa"/>
            </w:tcMar>
            <w:vAlign w:val="center"/>
            <w:hideMark/>
          </w:tcPr>
          <w:p w14:paraId="6515BD6C"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10C183" w14:textId="77777777" w:rsidR="00000000" w:rsidRDefault="00A173A8">
            <w:pPr>
              <w:spacing w:after="100"/>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DC79E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3E9A4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8B117BD" w14:textId="77777777" w:rsidR="00000000" w:rsidRDefault="00A173A8">
            <w:pPr>
              <w:spacing w:after="100"/>
              <w:jc w:val="right"/>
              <w:rPr>
                <w:rFonts w:eastAsia="Times New Roman"/>
              </w:rPr>
            </w:pPr>
            <w:r>
              <w:rPr>
                <w:rFonts w:eastAsia="Times New Roman"/>
                <w:b/>
                <w:bCs/>
                <w:color w:val="000000"/>
                <w:sz w:val="18"/>
                <w:szCs w:val="18"/>
              </w:rPr>
              <w:t>(159)</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CE8A33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A9B6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EB85BCA" w14:textId="77777777" w:rsidR="00000000" w:rsidRDefault="00A173A8">
            <w:pPr>
              <w:spacing w:after="100"/>
              <w:jc w:val="right"/>
              <w:rPr>
                <w:rFonts w:eastAsia="Times New Roman"/>
              </w:rPr>
            </w:pPr>
            <w:r>
              <w:rPr>
                <w:rFonts w:eastAsia="Times New Roman"/>
                <w:b/>
                <w:bCs/>
                <w:color w:val="000000"/>
                <w:sz w:val="18"/>
                <w:szCs w:val="18"/>
              </w:rPr>
              <w:t>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1A63604" w14:textId="77777777" w:rsidR="00000000" w:rsidRDefault="00A173A8">
            <w:pPr>
              <w:spacing w:after="100"/>
              <w:jc w:val="right"/>
              <w:rPr>
                <w:rFonts w:eastAsia="Times New Roman"/>
              </w:rPr>
            </w:pPr>
          </w:p>
        </w:tc>
        <w:tc>
          <w:tcPr>
            <w:tcW w:w="0" w:type="auto"/>
            <w:gridSpan w:val="3"/>
            <w:vAlign w:val="center"/>
            <w:hideMark/>
          </w:tcPr>
          <w:p w14:paraId="307304EE" w14:textId="77777777" w:rsidR="00000000" w:rsidRDefault="00A173A8">
            <w:pPr>
              <w:spacing w:after="100"/>
              <w:jc w:val="right"/>
              <w:rPr>
                <w:rFonts w:eastAsia="Times New Roman"/>
                <w:sz w:val="20"/>
                <w:szCs w:val="20"/>
              </w:rPr>
            </w:pPr>
          </w:p>
        </w:tc>
        <w:tc>
          <w:tcPr>
            <w:tcW w:w="0" w:type="auto"/>
            <w:gridSpan w:val="3"/>
            <w:vAlign w:val="center"/>
            <w:hideMark/>
          </w:tcPr>
          <w:p w14:paraId="4790F142" w14:textId="77777777" w:rsidR="00000000" w:rsidRDefault="00A173A8">
            <w:pPr>
              <w:spacing w:after="100"/>
              <w:rPr>
                <w:rFonts w:eastAsia="Times New Roman"/>
                <w:sz w:val="20"/>
                <w:szCs w:val="20"/>
              </w:rPr>
            </w:pPr>
          </w:p>
        </w:tc>
      </w:tr>
      <w:tr w:rsidR="00000000" w14:paraId="37B21738" w14:textId="77777777">
        <w:trPr>
          <w:divId w:val="1092317777"/>
        </w:trPr>
        <w:tc>
          <w:tcPr>
            <w:tcW w:w="0" w:type="auto"/>
            <w:gridSpan w:val="3"/>
            <w:shd w:val="clear" w:color="auto" w:fill="FFFFFF"/>
            <w:tcMar>
              <w:top w:w="30" w:type="dxa"/>
              <w:left w:w="20" w:type="dxa"/>
              <w:bottom w:w="30" w:type="dxa"/>
              <w:right w:w="20" w:type="dxa"/>
            </w:tcMar>
            <w:vAlign w:val="center"/>
            <w:hideMark/>
          </w:tcPr>
          <w:p w14:paraId="5290789C" w14:textId="77777777" w:rsidR="00000000" w:rsidRDefault="00A173A8">
            <w:pPr>
              <w:spacing w:after="100"/>
              <w:rPr>
                <w:rFonts w:eastAsia="Times New Roman"/>
              </w:rPr>
            </w:pPr>
            <w:r>
              <w:rPr>
                <w:rFonts w:eastAsia="Times New Roman"/>
                <w:color w:val="000000"/>
                <w:sz w:val="18"/>
                <w:szCs w:val="18"/>
              </w:rPr>
              <w:t>Total goodwill and other intangible assets</w:t>
            </w:r>
          </w:p>
        </w:tc>
        <w:tc>
          <w:tcPr>
            <w:tcW w:w="0" w:type="auto"/>
            <w:gridSpan w:val="3"/>
            <w:shd w:val="clear" w:color="auto" w:fill="FFFFFF"/>
            <w:tcMar>
              <w:top w:w="0" w:type="dxa"/>
              <w:left w:w="20" w:type="dxa"/>
              <w:bottom w:w="0" w:type="dxa"/>
              <w:right w:w="20" w:type="dxa"/>
            </w:tcMar>
            <w:vAlign w:val="center"/>
            <w:hideMark/>
          </w:tcPr>
          <w:p w14:paraId="0B6FCA0C"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AA6EBE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0B3CF15" w14:textId="77777777" w:rsidR="00000000" w:rsidRDefault="00A173A8">
            <w:pPr>
              <w:spacing w:after="100"/>
              <w:jc w:val="right"/>
              <w:rPr>
                <w:rFonts w:eastAsia="Times New Roman"/>
              </w:rPr>
            </w:pPr>
            <w:r>
              <w:rPr>
                <w:rFonts w:eastAsia="Times New Roman"/>
                <w:b/>
                <w:bCs/>
                <w:color w:val="000000"/>
                <w:sz w:val="18"/>
                <w:szCs w:val="18"/>
              </w:rPr>
              <w:t>15,020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1C49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32CFF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56083D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2AF3597" w14:textId="77777777" w:rsidR="00000000" w:rsidRDefault="00A173A8">
            <w:pPr>
              <w:spacing w:after="100"/>
              <w:jc w:val="right"/>
              <w:rPr>
                <w:rFonts w:eastAsia="Times New Roman"/>
              </w:rPr>
            </w:pPr>
            <w:r>
              <w:rPr>
                <w:rFonts w:eastAsia="Times New Roman"/>
                <w:b/>
                <w:bCs/>
                <w:color w:val="000000"/>
                <w:sz w:val="18"/>
                <w:szCs w:val="18"/>
              </w:rPr>
              <w:t>(159)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6A78AD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8641A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D91A4E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770B1E0" w14:textId="77777777" w:rsidR="00000000" w:rsidRDefault="00A173A8">
            <w:pPr>
              <w:spacing w:after="100"/>
              <w:jc w:val="right"/>
              <w:rPr>
                <w:rFonts w:eastAsia="Times New Roman"/>
              </w:rPr>
            </w:pPr>
            <w:r>
              <w:rPr>
                <w:rFonts w:eastAsia="Times New Roman"/>
                <w:b/>
                <w:bCs/>
                <w:color w:val="000000"/>
                <w:sz w:val="18"/>
                <w:szCs w:val="18"/>
              </w:rPr>
              <w:t>14,861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964A470" w14:textId="77777777" w:rsidR="00000000" w:rsidRDefault="00A173A8">
            <w:pPr>
              <w:spacing w:after="100"/>
              <w:jc w:val="right"/>
              <w:rPr>
                <w:rFonts w:eastAsia="Times New Roman"/>
              </w:rPr>
            </w:pPr>
          </w:p>
        </w:tc>
        <w:tc>
          <w:tcPr>
            <w:tcW w:w="0" w:type="auto"/>
            <w:gridSpan w:val="3"/>
            <w:vAlign w:val="center"/>
            <w:hideMark/>
          </w:tcPr>
          <w:p w14:paraId="750509CB" w14:textId="77777777" w:rsidR="00000000" w:rsidRDefault="00A173A8">
            <w:pPr>
              <w:spacing w:after="100"/>
              <w:jc w:val="right"/>
              <w:rPr>
                <w:rFonts w:eastAsia="Times New Roman"/>
                <w:sz w:val="20"/>
                <w:szCs w:val="20"/>
              </w:rPr>
            </w:pPr>
          </w:p>
        </w:tc>
        <w:tc>
          <w:tcPr>
            <w:tcW w:w="0" w:type="auto"/>
            <w:gridSpan w:val="3"/>
            <w:vAlign w:val="center"/>
            <w:hideMark/>
          </w:tcPr>
          <w:p w14:paraId="5D5597EC" w14:textId="77777777" w:rsidR="00000000" w:rsidRDefault="00A173A8">
            <w:pPr>
              <w:spacing w:after="100"/>
              <w:rPr>
                <w:rFonts w:eastAsia="Times New Roman"/>
                <w:sz w:val="20"/>
                <w:szCs w:val="20"/>
              </w:rPr>
            </w:pPr>
          </w:p>
        </w:tc>
      </w:tr>
      <w:tr w:rsidR="00000000" w14:paraId="540D4E4F" w14:textId="77777777">
        <w:trPr>
          <w:divId w:val="1092317777"/>
        </w:trPr>
        <w:tc>
          <w:tcPr>
            <w:tcW w:w="0" w:type="auto"/>
            <w:gridSpan w:val="3"/>
            <w:shd w:val="clear" w:color="auto" w:fill="CCEEFF"/>
            <w:tcMar>
              <w:top w:w="30" w:type="dxa"/>
              <w:left w:w="20" w:type="dxa"/>
              <w:bottom w:w="30" w:type="dxa"/>
              <w:right w:w="20" w:type="dxa"/>
            </w:tcMar>
            <w:vAlign w:val="center"/>
            <w:hideMark/>
          </w:tcPr>
          <w:p w14:paraId="46319B0E" w14:textId="77777777" w:rsidR="00000000" w:rsidRDefault="00A173A8">
            <w:pPr>
              <w:spacing w:after="100"/>
              <w:divId w:val="1565292055"/>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8164E83" w14:textId="77777777" w:rsidR="00000000" w:rsidRDefault="00A173A8">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0ACEDD0C"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3D02C6BD" w14:textId="77777777" w:rsidR="00000000" w:rsidRDefault="00A173A8">
            <w:pPr>
              <w:spacing w:after="100"/>
              <w:jc w:val="right"/>
              <w:rPr>
                <w:rFonts w:eastAsia="Times New Roman"/>
              </w:rPr>
            </w:pPr>
            <w:r>
              <w:rPr>
                <w:rFonts w:eastAsia="Times New Roman"/>
                <w:b/>
                <w:bCs/>
                <w:color w:val="000000"/>
                <w:sz w:val="18"/>
                <w:szCs w:val="18"/>
              </w:rPr>
              <w:t>650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2E8F0F0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0A5F5"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682B921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A90D113" w14:textId="77777777" w:rsidR="00000000" w:rsidRDefault="00A173A8">
            <w:pPr>
              <w:spacing w:after="100"/>
              <w:jc w:val="right"/>
              <w:rPr>
                <w:rFonts w:eastAsia="Times New Roman"/>
              </w:rPr>
            </w:pPr>
            <w:r>
              <w:rPr>
                <w:rFonts w:eastAsia="Times New Roman"/>
                <w:b/>
                <w:bCs/>
                <w:color w:val="000000"/>
                <w:sz w:val="18"/>
                <w:szCs w:val="18"/>
              </w:rPr>
              <w:t>(215)</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50B1B9B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F80D2"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26DC71D"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387C80AC" w14:textId="77777777" w:rsidR="00000000" w:rsidRDefault="00A173A8">
            <w:pPr>
              <w:spacing w:after="100"/>
              <w:jc w:val="right"/>
              <w:rPr>
                <w:rFonts w:eastAsia="Times New Roman"/>
              </w:rPr>
            </w:pPr>
            <w:r>
              <w:rPr>
                <w:rFonts w:eastAsia="Times New Roman"/>
                <w:b/>
                <w:bCs/>
                <w:color w:val="000000"/>
                <w:sz w:val="18"/>
                <w:szCs w:val="18"/>
              </w:rPr>
              <w:t>435</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1B6117DC" w14:textId="77777777" w:rsidR="00000000" w:rsidRDefault="00A173A8">
            <w:pPr>
              <w:spacing w:after="100"/>
              <w:jc w:val="right"/>
              <w:rPr>
                <w:rFonts w:eastAsia="Times New Roman"/>
              </w:rPr>
            </w:pPr>
          </w:p>
        </w:tc>
        <w:tc>
          <w:tcPr>
            <w:tcW w:w="0" w:type="auto"/>
            <w:gridSpan w:val="3"/>
            <w:vAlign w:val="center"/>
            <w:hideMark/>
          </w:tcPr>
          <w:p w14:paraId="76DD106F" w14:textId="77777777" w:rsidR="00000000" w:rsidRDefault="00A173A8">
            <w:pPr>
              <w:spacing w:after="100"/>
              <w:jc w:val="right"/>
              <w:rPr>
                <w:rFonts w:eastAsia="Times New Roman"/>
                <w:sz w:val="20"/>
                <w:szCs w:val="20"/>
              </w:rPr>
            </w:pPr>
          </w:p>
        </w:tc>
        <w:tc>
          <w:tcPr>
            <w:tcW w:w="0" w:type="auto"/>
            <w:gridSpan w:val="3"/>
            <w:vAlign w:val="center"/>
            <w:hideMark/>
          </w:tcPr>
          <w:p w14:paraId="19CC7766" w14:textId="77777777" w:rsidR="00000000" w:rsidRDefault="00A173A8">
            <w:pPr>
              <w:spacing w:after="100"/>
              <w:rPr>
                <w:rFonts w:eastAsia="Times New Roman"/>
                <w:sz w:val="20"/>
                <w:szCs w:val="20"/>
              </w:rPr>
            </w:pPr>
          </w:p>
        </w:tc>
      </w:tr>
      <w:tr w:rsidR="00000000" w14:paraId="213800A2" w14:textId="77777777">
        <w:trPr>
          <w:divId w:val="1092317777"/>
          <w:trHeight w:val="280"/>
        </w:trPr>
        <w:tc>
          <w:tcPr>
            <w:tcW w:w="0" w:type="auto"/>
            <w:gridSpan w:val="3"/>
            <w:tcMar>
              <w:top w:w="0" w:type="dxa"/>
              <w:left w:w="20" w:type="dxa"/>
              <w:bottom w:w="0" w:type="dxa"/>
              <w:right w:w="20" w:type="dxa"/>
            </w:tcMar>
            <w:vAlign w:val="center"/>
            <w:hideMark/>
          </w:tcPr>
          <w:p w14:paraId="1D8206C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4A4D6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88CEE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761CE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23FB17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88237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C60C31" w14:textId="77777777" w:rsidR="00000000" w:rsidRDefault="00A173A8">
            <w:pPr>
              <w:spacing w:after="100"/>
              <w:rPr>
                <w:rFonts w:eastAsia="Times New Roman"/>
                <w:sz w:val="20"/>
                <w:szCs w:val="20"/>
              </w:rPr>
            </w:pPr>
          </w:p>
        </w:tc>
        <w:tc>
          <w:tcPr>
            <w:tcW w:w="0" w:type="auto"/>
            <w:gridSpan w:val="3"/>
            <w:vAlign w:val="center"/>
            <w:hideMark/>
          </w:tcPr>
          <w:p w14:paraId="25CE5380" w14:textId="77777777" w:rsidR="00000000" w:rsidRDefault="00A173A8">
            <w:pPr>
              <w:spacing w:after="100"/>
              <w:rPr>
                <w:rFonts w:eastAsia="Times New Roman"/>
                <w:sz w:val="20"/>
                <w:szCs w:val="20"/>
              </w:rPr>
            </w:pPr>
          </w:p>
        </w:tc>
        <w:tc>
          <w:tcPr>
            <w:tcW w:w="0" w:type="auto"/>
            <w:gridSpan w:val="3"/>
            <w:vAlign w:val="center"/>
            <w:hideMark/>
          </w:tcPr>
          <w:p w14:paraId="77660E1A" w14:textId="77777777" w:rsidR="00000000" w:rsidRDefault="00A173A8">
            <w:pPr>
              <w:spacing w:after="100"/>
              <w:rPr>
                <w:rFonts w:eastAsia="Times New Roman"/>
                <w:sz w:val="20"/>
                <w:szCs w:val="20"/>
              </w:rPr>
            </w:pPr>
          </w:p>
        </w:tc>
      </w:tr>
      <w:tr w:rsidR="00000000" w14:paraId="4BEBF2FD" w14:textId="77777777">
        <w:trPr>
          <w:divId w:val="1092317777"/>
        </w:trPr>
        <w:tc>
          <w:tcPr>
            <w:tcW w:w="0" w:type="auto"/>
            <w:gridSpan w:val="3"/>
            <w:tcMar>
              <w:top w:w="0" w:type="dxa"/>
              <w:left w:w="20" w:type="dxa"/>
              <w:bottom w:w="0" w:type="dxa"/>
              <w:right w:w="20" w:type="dxa"/>
            </w:tcMar>
            <w:vAlign w:val="center"/>
            <w:hideMark/>
          </w:tcPr>
          <w:p w14:paraId="7C7D086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B8A1DF"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D26E06C" w14:textId="77777777" w:rsidR="00000000" w:rsidRDefault="00A173A8">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177C651B" w14:textId="77777777" w:rsidR="00000000" w:rsidRDefault="00A173A8">
            <w:pPr>
              <w:spacing w:after="100"/>
              <w:rPr>
                <w:rFonts w:eastAsia="Times New Roman"/>
                <w:sz w:val="20"/>
                <w:szCs w:val="20"/>
              </w:rPr>
            </w:pPr>
          </w:p>
        </w:tc>
        <w:tc>
          <w:tcPr>
            <w:tcW w:w="0" w:type="auto"/>
            <w:vAlign w:val="center"/>
            <w:hideMark/>
          </w:tcPr>
          <w:p w14:paraId="1A3F766E" w14:textId="77777777" w:rsidR="00000000" w:rsidRDefault="00A173A8">
            <w:pPr>
              <w:spacing w:after="100"/>
              <w:rPr>
                <w:rFonts w:eastAsia="Times New Roman"/>
                <w:sz w:val="20"/>
                <w:szCs w:val="20"/>
              </w:rPr>
            </w:pPr>
          </w:p>
        </w:tc>
        <w:tc>
          <w:tcPr>
            <w:tcW w:w="0" w:type="auto"/>
            <w:vAlign w:val="center"/>
            <w:hideMark/>
          </w:tcPr>
          <w:p w14:paraId="0FAF2797" w14:textId="77777777" w:rsidR="00000000" w:rsidRDefault="00A173A8">
            <w:pPr>
              <w:spacing w:after="100"/>
              <w:rPr>
                <w:rFonts w:eastAsia="Times New Roman"/>
                <w:sz w:val="20"/>
                <w:szCs w:val="20"/>
              </w:rPr>
            </w:pPr>
          </w:p>
        </w:tc>
        <w:tc>
          <w:tcPr>
            <w:tcW w:w="0" w:type="auto"/>
            <w:vAlign w:val="center"/>
            <w:hideMark/>
          </w:tcPr>
          <w:p w14:paraId="4D8E8639" w14:textId="77777777" w:rsidR="00000000" w:rsidRDefault="00A173A8">
            <w:pPr>
              <w:spacing w:after="100"/>
              <w:rPr>
                <w:rFonts w:eastAsia="Times New Roman"/>
                <w:sz w:val="20"/>
                <w:szCs w:val="20"/>
              </w:rPr>
            </w:pPr>
          </w:p>
        </w:tc>
        <w:tc>
          <w:tcPr>
            <w:tcW w:w="0" w:type="auto"/>
            <w:vAlign w:val="center"/>
            <w:hideMark/>
          </w:tcPr>
          <w:p w14:paraId="6FC025A6" w14:textId="77777777" w:rsidR="00000000" w:rsidRDefault="00A173A8">
            <w:pPr>
              <w:spacing w:after="100"/>
              <w:rPr>
                <w:rFonts w:eastAsia="Times New Roman"/>
                <w:sz w:val="20"/>
                <w:szCs w:val="20"/>
              </w:rPr>
            </w:pPr>
          </w:p>
        </w:tc>
        <w:tc>
          <w:tcPr>
            <w:tcW w:w="0" w:type="auto"/>
            <w:vAlign w:val="center"/>
            <w:hideMark/>
          </w:tcPr>
          <w:p w14:paraId="3971558E" w14:textId="77777777" w:rsidR="00000000" w:rsidRDefault="00A173A8">
            <w:pPr>
              <w:spacing w:after="100"/>
              <w:rPr>
                <w:rFonts w:eastAsia="Times New Roman"/>
                <w:sz w:val="20"/>
                <w:szCs w:val="20"/>
              </w:rPr>
            </w:pPr>
          </w:p>
        </w:tc>
      </w:tr>
      <w:tr w:rsidR="00000000" w14:paraId="33B0F510" w14:textId="77777777">
        <w:trPr>
          <w:divId w:val="1092317777"/>
        </w:trPr>
        <w:tc>
          <w:tcPr>
            <w:tcW w:w="0" w:type="auto"/>
            <w:gridSpan w:val="3"/>
            <w:tcMar>
              <w:top w:w="30" w:type="dxa"/>
              <w:left w:w="20" w:type="dxa"/>
              <w:bottom w:w="30" w:type="dxa"/>
              <w:right w:w="20" w:type="dxa"/>
            </w:tcMar>
            <w:vAlign w:val="bottom"/>
            <w:hideMark/>
          </w:tcPr>
          <w:p w14:paraId="35D5BBE9"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396B7FA"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1CE5F6" w14:textId="77777777" w:rsidR="00000000" w:rsidRDefault="00A173A8">
            <w:pPr>
              <w:spacing w:after="100"/>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14:paraId="77AED6A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6E6931" w14:textId="77777777" w:rsidR="00000000" w:rsidRDefault="00A173A8">
            <w:pPr>
              <w:spacing w:after="100"/>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14:paraId="6BC6351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EEDD30" w14:textId="77777777" w:rsidR="00000000" w:rsidRDefault="00A173A8">
            <w:pPr>
              <w:spacing w:after="100"/>
              <w:jc w:val="center"/>
              <w:rPr>
                <w:rFonts w:eastAsia="Times New Roman"/>
              </w:rPr>
            </w:pPr>
            <w:r>
              <w:rPr>
                <w:rFonts w:eastAsia="Times New Roman"/>
                <w:b/>
                <w:bCs/>
                <w:color w:val="000000"/>
                <w:sz w:val="16"/>
                <w:szCs w:val="16"/>
              </w:rPr>
              <w:t>Net Carrying Amount</w:t>
            </w:r>
          </w:p>
        </w:tc>
        <w:tc>
          <w:tcPr>
            <w:tcW w:w="0" w:type="auto"/>
            <w:gridSpan w:val="3"/>
            <w:vAlign w:val="center"/>
            <w:hideMark/>
          </w:tcPr>
          <w:p w14:paraId="3FA858C6" w14:textId="77777777" w:rsidR="00000000" w:rsidRDefault="00A173A8">
            <w:pPr>
              <w:spacing w:after="100"/>
              <w:jc w:val="center"/>
              <w:rPr>
                <w:rFonts w:eastAsia="Times New Roman"/>
              </w:rPr>
            </w:pPr>
          </w:p>
        </w:tc>
        <w:tc>
          <w:tcPr>
            <w:tcW w:w="0" w:type="auto"/>
            <w:gridSpan w:val="3"/>
            <w:vAlign w:val="center"/>
            <w:hideMark/>
          </w:tcPr>
          <w:p w14:paraId="386271B5" w14:textId="77777777" w:rsidR="00000000" w:rsidRDefault="00A173A8">
            <w:pPr>
              <w:spacing w:after="100"/>
              <w:rPr>
                <w:rFonts w:eastAsia="Times New Roman"/>
                <w:sz w:val="20"/>
                <w:szCs w:val="20"/>
              </w:rPr>
            </w:pPr>
          </w:p>
        </w:tc>
      </w:tr>
      <w:tr w:rsidR="00000000" w14:paraId="1B77E5DC" w14:textId="77777777">
        <w:trPr>
          <w:divId w:val="10923177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6B62528" w14:textId="77777777" w:rsidR="00000000" w:rsidRDefault="00A173A8">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14:paraId="34BC27CE"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14FCD1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D7CFC72" w14:textId="77777777" w:rsidR="00000000" w:rsidRDefault="00A173A8">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ED87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888F3"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02A8FDE" w14:textId="77777777" w:rsidR="00000000" w:rsidRDefault="00A173A8">
            <w:pPr>
              <w:spacing w:after="100"/>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3BDE1D54" w14:textId="77777777" w:rsidR="00000000" w:rsidRDefault="00A173A8">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317E5A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6D1EBBE" w14:textId="77777777" w:rsidR="00000000" w:rsidRDefault="00A173A8">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4DBB14" w14:textId="77777777" w:rsidR="00000000" w:rsidRDefault="00A173A8">
            <w:pPr>
              <w:spacing w:after="100"/>
              <w:jc w:val="right"/>
              <w:rPr>
                <w:rFonts w:eastAsia="Times New Roman"/>
              </w:rPr>
            </w:pPr>
          </w:p>
        </w:tc>
        <w:tc>
          <w:tcPr>
            <w:tcW w:w="0" w:type="auto"/>
            <w:gridSpan w:val="3"/>
            <w:vAlign w:val="center"/>
            <w:hideMark/>
          </w:tcPr>
          <w:p w14:paraId="170ECD0E" w14:textId="77777777" w:rsidR="00000000" w:rsidRDefault="00A173A8">
            <w:pPr>
              <w:spacing w:after="100"/>
              <w:jc w:val="right"/>
              <w:rPr>
                <w:rFonts w:eastAsia="Times New Roman"/>
                <w:sz w:val="20"/>
                <w:szCs w:val="20"/>
              </w:rPr>
            </w:pPr>
          </w:p>
        </w:tc>
        <w:tc>
          <w:tcPr>
            <w:tcW w:w="0" w:type="auto"/>
            <w:gridSpan w:val="3"/>
            <w:vAlign w:val="center"/>
            <w:hideMark/>
          </w:tcPr>
          <w:p w14:paraId="2DDD3CF2" w14:textId="77777777" w:rsidR="00000000" w:rsidRDefault="00A173A8">
            <w:pPr>
              <w:spacing w:after="100"/>
              <w:rPr>
                <w:rFonts w:eastAsia="Times New Roman"/>
                <w:sz w:val="20"/>
                <w:szCs w:val="20"/>
              </w:rPr>
            </w:pPr>
          </w:p>
        </w:tc>
      </w:tr>
      <w:tr w:rsidR="00000000" w14:paraId="3EDE49AD" w14:textId="77777777">
        <w:trPr>
          <w:divId w:val="1092317777"/>
        </w:trPr>
        <w:tc>
          <w:tcPr>
            <w:tcW w:w="0" w:type="auto"/>
            <w:gridSpan w:val="3"/>
            <w:shd w:val="clear" w:color="auto" w:fill="FFFFFF"/>
            <w:tcMar>
              <w:top w:w="30" w:type="dxa"/>
              <w:left w:w="20" w:type="dxa"/>
              <w:bottom w:w="30" w:type="dxa"/>
              <w:right w:w="20" w:type="dxa"/>
            </w:tcMar>
            <w:vAlign w:val="center"/>
            <w:hideMark/>
          </w:tcPr>
          <w:p w14:paraId="61B9E982" w14:textId="77777777" w:rsidR="00000000" w:rsidRDefault="00A173A8">
            <w:pPr>
              <w:spacing w:after="100"/>
              <w:rPr>
                <w:rFonts w:eastAsia="Times New Roman"/>
              </w:rPr>
            </w:pPr>
            <w:r>
              <w:rPr>
                <w:rFonts w:eastAsia="Times New Roman"/>
                <w:color w:val="000000"/>
                <w:sz w:val="18"/>
                <w:szCs w:val="18"/>
              </w:rPr>
              <w:t>Other intangible assets:</w:t>
            </w:r>
          </w:p>
        </w:tc>
        <w:tc>
          <w:tcPr>
            <w:tcW w:w="0" w:type="auto"/>
            <w:gridSpan w:val="3"/>
            <w:shd w:val="clear" w:color="auto" w:fill="FFFFFF"/>
            <w:tcMar>
              <w:top w:w="0" w:type="dxa"/>
              <w:left w:w="20" w:type="dxa"/>
              <w:bottom w:w="0" w:type="dxa"/>
              <w:right w:w="20" w:type="dxa"/>
            </w:tcMar>
            <w:vAlign w:val="center"/>
            <w:hideMark/>
          </w:tcPr>
          <w:p w14:paraId="34401018"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649D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3B0D1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71818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83A41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39C93D" w14:textId="77777777" w:rsidR="00000000" w:rsidRDefault="00A173A8">
            <w:pPr>
              <w:spacing w:after="100"/>
              <w:rPr>
                <w:rFonts w:eastAsia="Times New Roman"/>
                <w:sz w:val="20"/>
                <w:szCs w:val="20"/>
              </w:rPr>
            </w:pPr>
          </w:p>
        </w:tc>
        <w:tc>
          <w:tcPr>
            <w:tcW w:w="0" w:type="auto"/>
            <w:gridSpan w:val="3"/>
            <w:vAlign w:val="center"/>
            <w:hideMark/>
          </w:tcPr>
          <w:p w14:paraId="11E9F152" w14:textId="77777777" w:rsidR="00000000" w:rsidRDefault="00A173A8">
            <w:pPr>
              <w:spacing w:after="100"/>
              <w:rPr>
                <w:rFonts w:eastAsia="Times New Roman"/>
                <w:sz w:val="20"/>
                <w:szCs w:val="20"/>
              </w:rPr>
            </w:pPr>
          </w:p>
        </w:tc>
        <w:tc>
          <w:tcPr>
            <w:tcW w:w="0" w:type="auto"/>
            <w:gridSpan w:val="3"/>
            <w:vAlign w:val="center"/>
            <w:hideMark/>
          </w:tcPr>
          <w:p w14:paraId="56DB8731" w14:textId="77777777" w:rsidR="00000000" w:rsidRDefault="00A173A8">
            <w:pPr>
              <w:spacing w:after="100"/>
              <w:rPr>
                <w:rFonts w:eastAsia="Times New Roman"/>
                <w:sz w:val="20"/>
                <w:szCs w:val="20"/>
              </w:rPr>
            </w:pPr>
          </w:p>
        </w:tc>
      </w:tr>
      <w:tr w:rsidR="00000000" w14:paraId="5F521672" w14:textId="77777777">
        <w:trPr>
          <w:divId w:val="1092317777"/>
        </w:trPr>
        <w:tc>
          <w:tcPr>
            <w:tcW w:w="0" w:type="auto"/>
            <w:gridSpan w:val="3"/>
            <w:shd w:val="clear" w:color="auto" w:fill="CCEEFF"/>
            <w:tcMar>
              <w:top w:w="30" w:type="dxa"/>
              <w:left w:w="245" w:type="dxa"/>
              <w:bottom w:w="30" w:type="dxa"/>
              <w:right w:w="20" w:type="dxa"/>
            </w:tcMar>
            <w:vAlign w:val="center"/>
            <w:hideMark/>
          </w:tcPr>
          <w:p w14:paraId="70BD5ABF" w14:textId="77777777" w:rsidR="00000000" w:rsidRDefault="00A173A8">
            <w:pPr>
              <w:spacing w:after="100"/>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14:paraId="2B4F369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8EF0E2A" w14:textId="77777777" w:rsidR="00000000" w:rsidRDefault="00A173A8">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14:paraId="25FF0EA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E26C72"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D671F5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82A22D9" w14:textId="77777777" w:rsidR="00000000" w:rsidRDefault="00A173A8">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center"/>
            <w:hideMark/>
          </w:tcPr>
          <w:p w14:paraId="4387BB4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290BA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B00218" w14:textId="77777777" w:rsidR="00000000" w:rsidRDefault="00A173A8">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14:paraId="694D2E0E" w14:textId="77777777" w:rsidR="00000000" w:rsidRDefault="00A173A8">
            <w:pPr>
              <w:spacing w:after="100"/>
              <w:jc w:val="right"/>
              <w:rPr>
                <w:rFonts w:eastAsia="Times New Roman"/>
              </w:rPr>
            </w:pPr>
          </w:p>
        </w:tc>
        <w:tc>
          <w:tcPr>
            <w:tcW w:w="0" w:type="auto"/>
            <w:gridSpan w:val="3"/>
            <w:vAlign w:val="center"/>
            <w:hideMark/>
          </w:tcPr>
          <w:p w14:paraId="50ECB909" w14:textId="77777777" w:rsidR="00000000" w:rsidRDefault="00A173A8">
            <w:pPr>
              <w:spacing w:after="100"/>
              <w:jc w:val="right"/>
              <w:rPr>
                <w:rFonts w:eastAsia="Times New Roman"/>
                <w:sz w:val="20"/>
                <w:szCs w:val="20"/>
              </w:rPr>
            </w:pPr>
          </w:p>
        </w:tc>
        <w:tc>
          <w:tcPr>
            <w:tcW w:w="0" w:type="auto"/>
            <w:gridSpan w:val="3"/>
            <w:vAlign w:val="center"/>
            <w:hideMark/>
          </w:tcPr>
          <w:p w14:paraId="248361F7" w14:textId="77777777" w:rsidR="00000000" w:rsidRDefault="00A173A8">
            <w:pPr>
              <w:spacing w:after="100"/>
              <w:rPr>
                <w:rFonts w:eastAsia="Times New Roman"/>
                <w:sz w:val="20"/>
                <w:szCs w:val="20"/>
              </w:rPr>
            </w:pPr>
          </w:p>
        </w:tc>
      </w:tr>
      <w:tr w:rsidR="00000000" w14:paraId="21966B1F" w14:textId="77777777">
        <w:trPr>
          <w:divId w:val="1092317777"/>
        </w:trPr>
        <w:tc>
          <w:tcPr>
            <w:tcW w:w="0" w:type="auto"/>
            <w:gridSpan w:val="3"/>
            <w:vAlign w:val="center"/>
            <w:hideMark/>
          </w:tcPr>
          <w:p w14:paraId="6B340BD2" w14:textId="77777777" w:rsidR="00000000" w:rsidRDefault="00A173A8">
            <w:pPr>
              <w:spacing w:after="100"/>
              <w:rPr>
                <w:rFonts w:eastAsia="Times New Roman"/>
                <w:sz w:val="20"/>
                <w:szCs w:val="20"/>
              </w:rPr>
            </w:pPr>
          </w:p>
        </w:tc>
        <w:tc>
          <w:tcPr>
            <w:tcW w:w="0" w:type="auto"/>
            <w:gridSpan w:val="3"/>
            <w:vAlign w:val="center"/>
            <w:hideMark/>
          </w:tcPr>
          <w:p w14:paraId="46B67385" w14:textId="77777777" w:rsidR="00000000" w:rsidRDefault="00A173A8">
            <w:pPr>
              <w:spacing w:after="100"/>
              <w:rPr>
                <w:rFonts w:eastAsia="Times New Roman"/>
                <w:sz w:val="20"/>
                <w:szCs w:val="20"/>
              </w:rPr>
            </w:pPr>
          </w:p>
        </w:tc>
        <w:tc>
          <w:tcPr>
            <w:tcW w:w="0" w:type="auto"/>
            <w:gridSpan w:val="3"/>
            <w:vAlign w:val="center"/>
            <w:hideMark/>
          </w:tcPr>
          <w:p w14:paraId="607A9573" w14:textId="77777777" w:rsidR="00000000" w:rsidRDefault="00A173A8">
            <w:pPr>
              <w:spacing w:after="100"/>
              <w:rPr>
                <w:rFonts w:eastAsia="Times New Roman"/>
                <w:sz w:val="20"/>
                <w:szCs w:val="20"/>
              </w:rPr>
            </w:pPr>
          </w:p>
        </w:tc>
        <w:tc>
          <w:tcPr>
            <w:tcW w:w="0" w:type="auto"/>
            <w:gridSpan w:val="3"/>
            <w:vAlign w:val="center"/>
            <w:hideMark/>
          </w:tcPr>
          <w:p w14:paraId="59C43857" w14:textId="77777777" w:rsidR="00000000" w:rsidRDefault="00A173A8">
            <w:pPr>
              <w:spacing w:after="100"/>
              <w:rPr>
                <w:rFonts w:eastAsia="Times New Roman"/>
                <w:sz w:val="20"/>
                <w:szCs w:val="20"/>
              </w:rPr>
            </w:pPr>
          </w:p>
        </w:tc>
        <w:tc>
          <w:tcPr>
            <w:tcW w:w="0" w:type="auto"/>
            <w:gridSpan w:val="3"/>
            <w:vAlign w:val="center"/>
            <w:hideMark/>
          </w:tcPr>
          <w:p w14:paraId="57B23A18" w14:textId="77777777" w:rsidR="00000000" w:rsidRDefault="00A173A8">
            <w:pPr>
              <w:spacing w:after="100"/>
              <w:rPr>
                <w:rFonts w:eastAsia="Times New Roman"/>
                <w:sz w:val="20"/>
                <w:szCs w:val="20"/>
              </w:rPr>
            </w:pPr>
          </w:p>
        </w:tc>
        <w:tc>
          <w:tcPr>
            <w:tcW w:w="0" w:type="auto"/>
            <w:gridSpan w:val="3"/>
            <w:vAlign w:val="center"/>
            <w:hideMark/>
          </w:tcPr>
          <w:p w14:paraId="6B6B9869" w14:textId="77777777" w:rsidR="00000000" w:rsidRDefault="00A173A8">
            <w:pPr>
              <w:spacing w:after="100"/>
              <w:rPr>
                <w:rFonts w:eastAsia="Times New Roman"/>
                <w:sz w:val="20"/>
                <w:szCs w:val="20"/>
              </w:rPr>
            </w:pPr>
          </w:p>
        </w:tc>
        <w:tc>
          <w:tcPr>
            <w:tcW w:w="0" w:type="auto"/>
            <w:gridSpan w:val="3"/>
            <w:vAlign w:val="center"/>
            <w:hideMark/>
          </w:tcPr>
          <w:p w14:paraId="19C2F15A" w14:textId="77777777" w:rsidR="00000000" w:rsidRDefault="00A173A8">
            <w:pPr>
              <w:spacing w:after="100"/>
              <w:rPr>
                <w:rFonts w:eastAsia="Times New Roman"/>
                <w:sz w:val="20"/>
                <w:szCs w:val="20"/>
              </w:rPr>
            </w:pPr>
          </w:p>
        </w:tc>
        <w:tc>
          <w:tcPr>
            <w:tcW w:w="0" w:type="auto"/>
            <w:gridSpan w:val="3"/>
            <w:vAlign w:val="center"/>
            <w:hideMark/>
          </w:tcPr>
          <w:p w14:paraId="66B1D140" w14:textId="77777777" w:rsidR="00000000" w:rsidRDefault="00A173A8">
            <w:pPr>
              <w:spacing w:after="100"/>
              <w:rPr>
                <w:rFonts w:eastAsia="Times New Roman"/>
                <w:sz w:val="20"/>
                <w:szCs w:val="20"/>
              </w:rPr>
            </w:pPr>
          </w:p>
        </w:tc>
        <w:tc>
          <w:tcPr>
            <w:tcW w:w="0" w:type="auto"/>
            <w:gridSpan w:val="3"/>
            <w:vAlign w:val="center"/>
            <w:hideMark/>
          </w:tcPr>
          <w:p w14:paraId="4EB56FFF" w14:textId="77777777" w:rsidR="00000000" w:rsidRDefault="00A173A8">
            <w:pPr>
              <w:spacing w:after="100"/>
              <w:rPr>
                <w:rFonts w:eastAsia="Times New Roman"/>
                <w:sz w:val="20"/>
                <w:szCs w:val="20"/>
              </w:rPr>
            </w:pPr>
          </w:p>
        </w:tc>
      </w:tr>
      <w:tr w:rsidR="00000000" w14:paraId="625EF061" w14:textId="77777777">
        <w:trPr>
          <w:divId w:val="1092317777"/>
        </w:trPr>
        <w:tc>
          <w:tcPr>
            <w:tcW w:w="0" w:type="auto"/>
            <w:gridSpan w:val="3"/>
            <w:shd w:val="clear" w:color="auto" w:fill="FFFFFF"/>
            <w:tcMar>
              <w:top w:w="30" w:type="dxa"/>
              <w:left w:w="20" w:type="dxa"/>
              <w:bottom w:w="30" w:type="dxa"/>
              <w:right w:w="20" w:type="dxa"/>
            </w:tcMar>
            <w:vAlign w:val="center"/>
            <w:hideMark/>
          </w:tcPr>
          <w:p w14:paraId="229843CE" w14:textId="77777777" w:rsidR="00000000" w:rsidRDefault="00A173A8">
            <w:pPr>
              <w:spacing w:after="100"/>
              <w:divId w:val="1965228269"/>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66DEA8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1CA71AB" w14:textId="77777777" w:rsidR="00000000" w:rsidRDefault="00A173A8">
            <w:pPr>
              <w:spacing w:after="100"/>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center"/>
            <w:hideMark/>
          </w:tcPr>
          <w:p w14:paraId="4E776AF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E4D6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FC85EC" w14:textId="77777777" w:rsidR="00000000" w:rsidRDefault="00A173A8">
            <w:pPr>
              <w:spacing w:after="100"/>
              <w:jc w:val="right"/>
              <w:rPr>
                <w:rFonts w:eastAsia="Times New Roman"/>
              </w:rPr>
            </w:pPr>
            <w:r>
              <w:rPr>
                <w:rFonts w:eastAsia="Times New Roman"/>
                <w:color w:val="000000"/>
                <w:sz w:val="18"/>
                <w:szCs w:val="18"/>
              </w:rPr>
              <w:t>(121)</w:t>
            </w:r>
          </w:p>
        </w:tc>
        <w:tc>
          <w:tcPr>
            <w:tcW w:w="0" w:type="auto"/>
            <w:shd w:val="clear" w:color="auto" w:fill="FFFFFF"/>
            <w:tcMar>
              <w:top w:w="30" w:type="dxa"/>
              <w:left w:w="0" w:type="dxa"/>
              <w:bottom w:w="30" w:type="dxa"/>
              <w:right w:w="20" w:type="dxa"/>
            </w:tcMar>
            <w:vAlign w:val="center"/>
            <w:hideMark/>
          </w:tcPr>
          <w:p w14:paraId="36AA5AD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CCFF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72FDFD" w14:textId="77777777" w:rsidR="00000000" w:rsidRDefault="00A173A8">
            <w:pPr>
              <w:spacing w:after="100"/>
              <w:jc w:val="right"/>
              <w:rPr>
                <w:rFonts w:eastAsia="Times New Roman"/>
              </w:rPr>
            </w:pPr>
            <w:r>
              <w:rPr>
                <w:rFonts w:eastAsia="Times New Roman"/>
                <w:color w:val="000000"/>
                <w:sz w:val="18"/>
                <w:szCs w:val="18"/>
              </w:rPr>
              <w:t>92 </w:t>
            </w:r>
          </w:p>
        </w:tc>
        <w:tc>
          <w:tcPr>
            <w:tcW w:w="0" w:type="auto"/>
            <w:shd w:val="clear" w:color="auto" w:fill="FFFFFF"/>
            <w:tcMar>
              <w:top w:w="30" w:type="dxa"/>
              <w:left w:w="0" w:type="dxa"/>
              <w:bottom w:w="30" w:type="dxa"/>
              <w:right w:w="20" w:type="dxa"/>
            </w:tcMar>
            <w:vAlign w:val="center"/>
            <w:hideMark/>
          </w:tcPr>
          <w:p w14:paraId="3B86A2C9" w14:textId="77777777" w:rsidR="00000000" w:rsidRDefault="00A173A8">
            <w:pPr>
              <w:spacing w:after="100"/>
              <w:jc w:val="right"/>
              <w:rPr>
                <w:rFonts w:eastAsia="Times New Roman"/>
              </w:rPr>
            </w:pPr>
          </w:p>
        </w:tc>
        <w:tc>
          <w:tcPr>
            <w:tcW w:w="0" w:type="auto"/>
            <w:gridSpan w:val="3"/>
            <w:vAlign w:val="center"/>
            <w:hideMark/>
          </w:tcPr>
          <w:p w14:paraId="371FC4A0" w14:textId="77777777" w:rsidR="00000000" w:rsidRDefault="00A173A8">
            <w:pPr>
              <w:spacing w:after="100"/>
              <w:jc w:val="right"/>
              <w:rPr>
                <w:rFonts w:eastAsia="Times New Roman"/>
                <w:sz w:val="20"/>
                <w:szCs w:val="20"/>
              </w:rPr>
            </w:pPr>
          </w:p>
        </w:tc>
        <w:tc>
          <w:tcPr>
            <w:tcW w:w="0" w:type="auto"/>
            <w:gridSpan w:val="3"/>
            <w:vAlign w:val="center"/>
            <w:hideMark/>
          </w:tcPr>
          <w:p w14:paraId="58C6EC2A" w14:textId="77777777" w:rsidR="00000000" w:rsidRDefault="00A173A8">
            <w:pPr>
              <w:spacing w:after="100"/>
              <w:rPr>
                <w:rFonts w:eastAsia="Times New Roman"/>
                <w:sz w:val="20"/>
                <w:szCs w:val="20"/>
              </w:rPr>
            </w:pPr>
          </w:p>
        </w:tc>
      </w:tr>
      <w:tr w:rsidR="00000000" w14:paraId="63C240C9" w14:textId="77777777">
        <w:trPr>
          <w:divId w:val="1092317777"/>
        </w:trPr>
        <w:tc>
          <w:tcPr>
            <w:tcW w:w="0" w:type="auto"/>
            <w:gridSpan w:val="3"/>
            <w:shd w:val="clear" w:color="auto" w:fill="CCEEFF"/>
            <w:tcMar>
              <w:top w:w="30" w:type="dxa"/>
              <w:left w:w="20" w:type="dxa"/>
              <w:bottom w:w="30" w:type="dxa"/>
              <w:right w:w="20" w:type="dxa"/>
            </w:tcMar>
            <w:vAlign w:val="center"/>
            <w:hideMark/>
          </w:tcPr>
          <w:p w14:paraId="6F38B35E" w14:textId="77777777" w:rsidR="00000000" w:rsidRDefault="00A173A8">
            <w:pPr>
              <w:spacing w:after="100"/>
              <w:rPr>
                <w:rFonts w:eastAsia="Times New Roman"/>
              </w:rPr>
            </w:pPr>
            <w:r>
              <w:rPr>
                <w:rFonts w:eastAsia="Times New Roman"/>
                <w:color w:val="000000"/>
                <w:sz w:val="18"/>
                <w:szCs w:val="18"/>
              </w:rPr>
              <w:t>Total other intangible assets</w:t>
            </w:r>
          </w:p>
        </w:tc>
        <w:tc>
          <w:tcPr>
            <w:tcW w:w="0" w:type="auto"/>
            <w:gridSpan w:val="3"/>
            <w:shd w:val="clear" w:color="auto" w:fill="CCEEFF"/>
            <w:tcMar>
              <w:top w:w="0" w:type="dxa"/>
              <w:left w:w="20" w:type="dxa"/>
              <w:bottom w:w="0" w:type="dxa"/>
              <w:right w:w="20" w:type="dxa"/>
            </w:tcMar>
            <w:vAlign w:val="center"/>
            <w:hideMark/>
          </w:tcPr>
          <w:p w14:paraId="6D462032"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64E1287" w14:textId="77777777" w:rsidR="00000000" w:rsidRDefault="00A173A8">
            <w:pPr>
              <w:spacing w:after="100"/>
              <w:jc w:val="right"/>
              <w:rPr>
                <w:rFonts w:eastAsia="Times New Roman"/>
              </w:rPr>
            </w:pPr>
            <w:r>
              <w:rPr>
                <w:rFonts w:eastAsia="Times New Roman"/>
                <w:color w:val="000000"/>
                <w:sz w:val="18"/>
                <w:szCs w:val="18"/>
              </w:rPr>
              <w:t>242 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29A2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54FD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142D4A" w14:textId="77777777" w:rsidR="00000000" w:rsidRDefault="00A173A8">
            <w:pPr>
              <w:spacing w:after="100"/>
              <w:jc w:val="right"/>
              <w:rPr>
                <w:rFonts w:eastAsia="Times New Roman"/>
              </w:rPr>
            </w:pPr>
            <w:r>
              <w:rPr>
                <w:rFonts w:eastAsia="Times New Roman"/>
                <w:color w:val="000000"/>
                <w:sz w:val="18"/>
                <w:szCs w:val="18"/>
              </w:rPr>
              <w:t>(131)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1A4F5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62A62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28E09ED" w14:textId="77777777" w:rsidR="00000000" w:rsidRDefault="00A173A8">
            <w:pPr>
              <w:spacing w:after="100"/>
              <w:jc w:val="right"/>
              <w:rPr>
                <w:rFonts w:eastAsia="Times New Roman"/>
              </w:rPr>
            </w:pPr>
            <w:r>
              <w:rPr>
                <w:rFonts w:eastAsia="Times New Roman"/>
                <w:color w:val="000000"/>
                <w:sz w:val="18"/>
                <w:szCs w:val="18"/>
              </w:rPr>
              <w:t>111 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E1FB36C" w14:textId="77777777" w:rsidR="00000000" w:rsidRDefault="00A173A8">
            <w:pPr>
              <w:spacing w:after="100"/>
              <w:jc w:val="right"/>
              <w:rPr>
                <w:rFonts w:eastAsia="Times New Roman"/>
              </w:rPr>
            </w:pPr>
          </w:p>
        </w:tc>
        <w:tc>
          <w:tcPr>
            <w:tcW w:w="0" w:type="auto"/>
            <w:gridSpan w:val="3"/>
            <w:vAlign w:val="center"/>
            <w:hideMark/>
          </w:tcPr>
          <w:p w14:paraId="3133067C" w14:textId="77777777" w:rsidR="00000000" w:rsidRDefault="00A173A8">
            <w:pPr>
              <w:spacing w:after="100"/>
              <w:jc w:val="right"/>
              <w:rPr>
                <w:rFonts w:eastAsia="Times New Roman"/>
                <w:sz w:val="20"/>
                <w:szCs w:val="20"/>
              </w:rPr>
            </w:pPr>
          </w:p>
        </w:tc>
        <w:tc>
          <w:tcPr>
            <w:tcW w:w="0" w:type="auto"/>
            <w:gridSpan w:val="3"/>
            <w:vAlign w:val="center"/>
            <w:hideMark/>
          </w:tcPr>
          <w:p w14:paraId="0D8C8B22" w14:textId="77777777" w:rsidR="00000000" w:rsidRDefault="00A173A8">
            <w:pPr>
              <w:spacing w:after="100"/>
              <w:rPr>
                <w:rFonts w:eastAsia="Times New Roman"/>
                <w:sz w:val="20"/>
                <w:szCs w:val="20"/>
              </w:rPr>
            </w:pPr>
          </w:p>
        </w:tc>
      </w:tr>
      <w:tr w:rsidR="00000000" w14:paraId="55B43695" w14:textId="77777777">
        <w:trPr>
          <w:divId w:val="1092317777"/>
        </w:trPr>
        <w:tc>
          <w:tcPr>
            <w:tcW w:w="0" w:type="auto"/>
            <w:gridSpan w:val="3"/>
            <w:shd w:val="clear" w:color="auto" w:fill="FFFFFF"/>
            <w:tcMar>
              <w:top w:w="30" w:type="dxa"/>
              <w:left w:w="20" w:type="dxa"/>
              <w:bottom w:w="30" w:type="dxa"/>
              <w:right w:w="20" w:type="dxa"/>
            </w:tcMar>
            <w:vAlign w:val="center"/>
            <w:hideMark/>
          </w:tcPr>
          <w:p w14:paraId="2E3C4A05" w14:textId="77777777" w:rsidR="00000000" w:rsidRDefault="00A173A8">
            <w:pPr>
              <w:spacing w:after="100"/>
              <w:rPr>
                <w:rFonts w:eastAsia="Times New Roman"/>
              </w:rPr>
            </w:pPr>
            <w:r>
              <w:rPr>
                <w:rFonts w:eastAsia="Times New Roman"/>
                <w:color w:val="000000"/>
                <w:sz w:val="18"/>
                <w:szCs w:val="18"/>
              </w:rPr>
              <w:t>Total goodwill and other intangible assets</w:t>
            </w:r>
          </w:p>
        </w:tc>
        <w:tc>
          <w:tcPr>
            <w:tcW w:w="0" w:type="auto"/>
            <w:gridSpan w:val="3"/>
            <w:shd w:val="clear" w:color="auto" w:fill="FFFFFF"/>
            <w:tcMar>
              <w:top w:w="0" w:type="dxa"/>
              <w:left w:w="20" w:type="dxa"/>
              <w:bottom w:w="0" w:type="dxa"/>
              <w:right w:w="20" w:type="dxa"/>
            </w:tcMar>
            <w:vAlign w:val="center"/>
            <w:hideMark/>
          </w:tcPr>
          <w:p w14:paraId="59F063FA"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638569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A5DF654" w14:textId="77777777" w:rsidR="00000000" w:rsidRDefault="00A173A8">
            <w:pPr>
              <w:spacing w:after="100"/>
              <w:jc w:val="right"/>
              <w:rPr>
                <w:rFonts w:eastAsia="Times New Roman"/>
              </w:rPr>
            </w:pPr>
            <w:r>
              <w:rPr>
                <w:rFonts w:eastAsia="Times New Roman"/>
                <w:color w:val="000000"/>
                <w:sz w:val="18"/>
                <w:szCs w:val="18"/>
              </w:rPr>
              <w:t>15,024 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1BFE5E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2E22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009A2F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CBEBB0D" w14:textId="77777777" w:rsidR="00000000" w:rsidRDefault="00A173A8">
            <w:pPr>
              <w:spacing w:after="100"/>
              <w:jc w:val="right"/>
              <w:rPr>
                <w:rFonts w:eastAsia="Times New Roman"/>
              </w:rPr>
            </w:pPr>
            <w:r>
              <w:rPr>
                <w:rFonts w:eastAsia="Times New Roman"/>
                <w:color w:val="000000"/>
                <w:sz w:val="18"/>
                <w:szCs w:val="18"/>
              </w:rPr>
              <w:t>(131)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C1A8DD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C0F187"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1FEB01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2B52C5A" w14:textId="77777777" w:rsidR="00000000" w:rsidRDefault="00A173A8">
            <w:pPr>
              <w:spacing w:after="100"/>
              <w:jc w:val="right"/>
              <w:rPr>
                <w:rFonts w:eastAsia="Times New Roman"/>
              </w:rPr>
            </w:pPr>
            <w:r>
              <w:rPr>
                <w:rFonts w:eastAsia="Times New Roman"/>
                <w:color w:val="000000"/>
                <w:sz w:val="18"/>
                <w:szCs w:val="18"/>
              </w:rPr>
              <w:t>14,893 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B737108" w14:textId="77777777" w:rsidR="00000000" w:rsidRDefault="00A173A8">
            <w:pPr>
              <w:spacing w:after="100"/>
              <w:jc w:val="right"/>
              <w:rPr>
                <w:rFonts w:eastAsia="Times New Roman"/>
              </w:rPr>
            </w:pPr>
          </w:p>
        </w:tc>
        <w:tc>
          <w:tcPr>
            <w:tcW w:w="0" w:type="auto"/>
            <w:gridSpan w:val="3"/>
            <w:vAlign w:val="center"/>
            <w:hideMark/>
          </w:tcPr>
          <w:p w14:paraId="06C40EF6" w14:textId="77777777" w:rsidR="00000000" w:rsidRDefault="00A173A8">
            <w:pPr>
              <w:spacing w:after="100"/>
              <w:jc w:val="right"/>
              <w:rPr>
                <w:rFonts w:eastAsia="Times New Roman"/>
                <w:sz w:val="20"/>
                <w:szCs w:val="20"/>
              </w:rPr>
            </w:pPr>
          </w:p>
        </w:tc>
        <w:tc>
          <w:tcPr>
            <w:tcW w:w="0" w:type="auto"/>
            <w:gridSpan w:val="3"/>
            <w:vAlign w:val="center"/>
            <w:hideMark/>
          </w:tcPr>
          <w:p w14:paraId="2A7E98AF" w14:textId="77777777" w:rsidR="00000000" w:rsidRDefault="00A173A8">
            <w:pPr>
              <w:spacing w:after="100"/>
              <w:rPr>
                <w:rFonts w:eastAsia="Times New Roman"/>
                <w:sz w:val="20"/>
                <w:szCs w:val="20"/>
              </w:rPr>
            </w:pPr>
          </w:p>
        </w:tc>
      </w:tr>
      <w:tr w:rsidR="00000000" w14:paraId="55342238" w14:textId="77777777">
        <w:trPr>
          <w:divId w:val="1092317777"/>
        </w:trPr>
        <w:tc>
          <w:tcPr>
            <w:tcW w:w="0" w:type="auto"/>
            <w:gridSpan w:val="3"/>
            <w:shd w:val="clear" w:color="auto" w:fill="CCEEFF"/>
            <w:tcMar>
              <w:top w:w="30" w:type="dxa"/>
              <w:left w:w="20" w:type="dxa"/>
              <w:bottom w:w="30" w:type="dxa"/>
              <w:right w:w="20" w:type="dxa"/>
            </w:tcMar>
            <w:vAlign w:val="center"/>
            <w:hideMark/>
          </w:tcPr>
          <w:p w14:paraId="7D9ED721" w14:textId="77777777" w:rsidR="00000000" w:rsidRDefault="00A173A8">
            <w:pPr>
              <w:spacing w:after="100"/>
              <w:divId w:val="2069764292"/>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1B0077F" w14:textId="77777777" w:rsidR="00000000" w:rsidRDefault="00A173A8">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691C6C6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02768588" w14:textId="77777777" w:rsidR="00000000" w:rsidRDefault="00A173A8">
            <w:pPr>
              <w:spacing w:after="100"/>
              <w:jc w:val="right"/>
              <w:rPr>
                <w:rFonts w:eastAsia="Times New Roman"/>
              </w:rPr>
            </w:pPr>
            <w:r>
              <w:rPr>
                <w:rFonts w:eastAsia="Times New Roman"/>
                <w:color w:val="000000"/>
                <w:sz w:val="18"/>
                <w:szCs w:val="18"/>
              </w:rPr>
              <w:t>622 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17ED600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8A2ADE"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79B38D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58E0D17F" w14:textId="77777777" w:rsidR="00000000" w:rsidRDefault="00A173A8">
            <w:pPr>
              <w:spacing w:after="100"/>
              <w:jc w:val="right"/>
              <w:rPr>
                <w:rFonts w:eastAsia="Times New Roman"/>
              </w:rPr>
            </w:pPr>
            <w:r>
              <w:rPr>
                <w:rFonts w:eastAsia="Times New Roman"/>
                <w:color w:val="000000"/>
                <w:sz w:val="18"/>
                <w:szCs w:val="18"/>
              </w:rPr>
              <w:t>(202)</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3D1C7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D0AC7"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5DC3558C"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29B5D339" w14:textId="77777777" w:rsidR="00000000" w:rsidRDefault="00A173A8">
            <w:pPr>
              <w:spacing w:after="100"/>
              <w:jc w:val="right"/>
              <w:rPr>
                <w:rFonts w:eastAsia="Times New Roman"/>
              </w:rPr>
            </w:pPr>
            <w:r>
              <w:rPr>
                <w:rFonts w:eastAsia="Times New Roman"/>
                <w:color w:val="000000"/>
                <w:sz w:val="18"/>
                <w:szCs w:val="18"/>
              </w:rPr>
              <w:t>420 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3F74F2BF" w14:textId="77777777" w:rsidR="00000000" w:rsidRDefault="00A173A8">
            <w:pPr>
              <w:spacing w:after="100"/>
              <w:jc w:val="right"/>
              <w:rPr>
                <w:rFonts w:eastAsia="Times New Roman"/>
              </w:rPr>
            </w:pPr>
          </w:p>
        </w:tc>
        <w:tc>
          <w:tcPr>
            <w:tcW w:w="0" w:type="auto"/>
            <w:gridSpan w:val="3"/>
            <w:vAlign w:val="center"/>
            <w:hideMark/>
          </w:tcPr>
          <w:p w14:paraId="04915658" w14:textId="77777777" w:rsidR="00000000" w:rsidRDefault="00A173A8">
            <w:pPr>
              <w:spacing w:after="100"/>
              <w:jc w:val="right"/>
              <w:rPr>
                <w:rFonts w:eastAsia="Times New Roman"/>
                <w:sz w:val="20"/>
                <w:szCs w:val="20"/>
              </w:rPr>
            </w:pPr>
          </w:p>
        </w:tc>
        <w:tc>
          <w:tcPr>
            <w:tcW w:w="0" w:type="auto"/>
            <w:gridSpan w:val="3"/>
            <w:vAlign w:val="center"/>
            <w:hideMark/>
          </w:tcPr>
          <w:p w14:paraId="56AA0FFC" w14:textId="77777777" w:rsidR="00000000" w:rsidRDefault="00A173A8">
            <w:pPr>
              <w:spacing w:after="100"/>
              <w:rPr>
                <w:rFonts w:eastAsia="Times New Roman"/>
                <w:sz w:val="20"/>
                <w:szCs w:val="20"/>
              </w:rPr>
            </w:pPr>
          </w:p>
        </w:tc>
      </w:tr>
    </w:tbl>
    <w:p w14:paraId="4C1198DB" w14:textId="77777777" w:rsidR="00000000" w:rsidRDefault="00A173A8">
      <w:pPr>
        <w:divId w:val="1092317777"/>
        <w:rPr>
          <w:rFonts w:eastAsia="Times New Roman"/>
        </w:rPr>
      </w:pPr>
      <w:r>
        <w:rPr>
          <w:rFonts w:eastAsia="Times New Roman"/>
          <w:color w:val="000000"/>
          <w:sz w:val="20"/>
          <w:szCs w:val="20"/>
        </w:rPr>
        <w:t>__________</w:t>
      </w:r>
    </w:p>
    <w:p w14:paraId="5A21F395" w14:textId="77777777" w:rsidR="00000000" w:rsidRDefault="00A173A8">
      <w:pPr>
        <w:ind w:hanging="360"/>
        <w:jc w:val="both"/>
        <w:divId w:val="831408688"/>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Primarily consists of intangibles for sponsorship, customer and merchant relationships, partnership, trade names and other customer contract intangibles.</w:t>
      </w:r>
    </w:p>
    <w:p w14:paraId="638A75CA" w14:textId="77777777" w:rsidR="00000000" w:rsidRDefault="00A173A8">
      <w:pPr>
        <w:ind w:hanging="360"/>
        <w:jc w:val="both"/>
        <w:divId w:val="50982924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Commercial MSRs are accounted for under the amortization method on our consolidated balance sheets. </w:t>
      </w:r>
    </w:p>
    <w:p w14:paraId="51D5BE58" w14:textId="77777777" w:rsidR="00000000" w:rsidRDefault="00A173A8">
      <w:pPr>
        <w:jc w:val="both"/>
        <w:divId w:val="2113427611"/>
        <w:rPr>
          <w:rFonts w:eastAsia="Times New Roman"/>
        </w:rPr>
      </w:pPr>
      <w:r>
        <w:rPr>
          <w:rFonts w:eastAsia="Times New Roman"/>
          <w:color w:val="000000"/>
          <w:sz w:val="20"/>
          <w:szCs w:val="20"/>
        </w:rPr>
        <w:t>Amortization expense for amortizable intangible assets, which is presented separately in our consolidated statements of income, totaled $14 million and $28</w:t>
      </w:r>
      <w:r>
        <w:rPr>
          <w:rFonts w:eastAsia="Times New Roman"/>
          <w:color w:val="000000"/>
          <w:sz w:val="20"/>
          <w:szCs w:val="20"/>
        </w:rPr>
        <w:t> million for the three and six months ended June 30, 2022, respectively, and $5 million and $11 million for the three and six months ended June 30, 2021, respectively.</w:t>
      </w:r>
    </w:p>
    <w:p w14:paraId="0FF40865" w14:textId="77777777" w:rsidR="00000000" w:rsidRDefault="00A173A8">
      <w:pPr>
        <w:divId w:val="1624265586"/>
        <w:rPr>
          <w:rFonts w:eastAsia="Times New Roman"/>
        </w:rPr>
      </w:pPr>
      <w:r>
        <w:rPr>
          <w:rFonts w:eastAsia="Times New Roman"/>
          <w:b/>
          <w:bCs/>
          <w:color w:val="000000"/>
          <w:sz w:val="20"/>
          <w:szCs w:val="20"/>
        </w:rPr>
        <w:t>Goodwill</w:t>
      </w:r>
    </w:p>
    <w:p w14:paraId="1FF2B6AD" w14:textId="77777777" w:rsidR="00000000" w:rsidRDefault="00A173A8">
      <w:pPr>
        <w:jc w:val="both"/>
        <w:divId w:val="1878661649"/>
        <w:rPr>
          <w:rFonts w:eastAsia="Times New Roman"/>
        </w:rPr>
      </w:pPr>
      <w:r>
        <w:rPr>
          <w:rFonts w:eastAsia="Times New Roman"/>
          <w:color w:val="000000"/>
          <w:sz w:val="20"/>
          <w:szCs w:val="20"/>
        </w:rPr>
        <w:t xml:space="preserve">The following table presents changes in carrying amount of goodwill by each of </w:t>
      </w:r>
      <w:r>
        <w:rPr>
          <w:rFonts w:eastAsia="Times New Roman"/>
          <w:color w:val="000000"/>
          <w:sz w:val="20"/>
          <w:szCs w:val="20"/>
        </w:rPr>
        <w:t>our business segments as of June 30, 2022 and December 31, 2021.</w:t>
      </w:r>
    </w:p>
    <w:p w14:paraId="3D56D63A" w14:textId="77777777" w:rsidR="00000000" w:rsidRDefault="00A173A8">
      <w:pPr>
        <w:divId w:val="325986793"/>
        <w:rPr>
          <w:rFonts w:eastAsia="Times New Roman"/>
        </w:rPr>
      </w:pPr>
      <w:r>
        <w:rPr>
          <w:rFonts w:eastAsia="Times New Roman"/>
          <w:b/>
          <w:bCs/>
          <w:color w:val="000000"/>
          <w:sz w:val="18"/>
          <w:szCs w:val="18"/>
        </w:rPr>
        <w:t>Table 6.2: Goodwill by Business Segments</w:t>
      </w:r>
    </w:p>
    <w:tbl>
      <w:tblPr>
        <w:tblW w:w="4978" w:type="pct"/>
        <w:tblCellMar>
          <w:top w:w="15" w:type="dxa"/>
          <w:left w:w="15" w:type="dxa"/>
          <w:bottom w:w="15" w:type="dxa"/>
          <w:right w:w="15" w:type="dxa"/>
        </w:tblCellMar>
        <w:tblLook w:val="04A0" w:firstRow="1" w:lastRow="0" w:firstColumn="1" w:lastColumn="0" w:noHBand="0" w:noVBand="1"/>
      </w:tblPr>
      <w:tblGrid>
        <w:gridCol w:w="39"/>
        <w:gridCol w:w="4652"/>
        <w:gridCol w:w="38"/>
        <w:gridCol w:w="36"/>
        <w:gridCol w:w="36"/>
        <w:gridCol w:w="36"/>
        <w:gridCol w:w="110"/>
        <w:gridCol w:w="533"/>
        <w:gridCol w:w="36"/>
        <w:gridCol w:w="36"/>
        <w:gridCol w:w="36"/>
        <w:gridCol w:w="36"/>
        <w:gridCol w:w="111"/>
        <w:gridCol w:w="666"/>
        <w:gridCol w:w="36"/>
        <w:gridCol w:w="36"/>
        <w:gridCol w:w="36"/>
        <w:gridCol w:w="36"/>
        <w:gridCol w:w="111"/>
        <w:gridCol w:w="783"/>
        <w:gridCol w:w="36"/>
        <w:gridCol w:w="36"/>
        <w:gridCol w:w="36"/>
        <w:gridCol w:w="36"/>
        <w:gridCol w:w="110"/>
        <w:gridCol w:w="540"/>
        <w:gridCol w:w="36"/>
      </w:tblGrid>
      <w:tr w:rsidR="00000000" w14:paraId="7459092E" w14:textId="77777777">
        <w:trPr>
          <w:divId w:val="412776420"/>
        </w:trPr>
        <w:tc>
          <w:tcPr>
            <w:tcW w:w="50" w:type="pct"/>
            <w:vAlign w:val="center"/>
            <w:hideMark/>
          </w:tcPr>
          <w:p w14:paraId="47653E92" w14:textId="77777777" w:rsidR="00000000" w:rsidRDefault="00A173A8">
            <w:pPr>
              <w:rPr>
                <w:rFonts w:eastAsia="Times New Roman"/>
              </w:rPr>
            </w:pPr>
          </w:p>
        </w:tc>
        <w:tc>
          <w:tcPr>
            <w:tcW w:w="2889" w:type="pct"/>
            <w:vAlign w:val="center"/>
            <w:hideMark/>
          </w:tcPr>
          <w:p w14:paraId="121E362B" w14:textId="77777777" w:rsidR="00000000" w:rsidRDefault="00A173A8">
            <w:pPr>
              <w:spacing w:after="100"/>
              <w:rPr>
                <w:rFonts w:eastAsia="Times New Roman"/>
                <w:sz w:val="20"/>
                <w:szCs w:val="20"/>
              </w:rPr>
            </w:pPr>
          </w:p>
        </w:tc>
        <w:tc>
          <w:tcPr>
            <w:tcW w:w="5" w:type="pct"/>
            <w:vAlign w:val="center"/>
            <w:hideMark/>
          </w:tcPr>
          <w:p w14:paraId="2C10BBE8" w14:textId="77777777" w:rsidR="00000000" w:rsidRDefault="00A173A8">
            <w:pPr>
              <w:spacing w:after="100"/>
              <w:rPr>
                <w:rFonts w:eastAsia="Times New Roman"/>
                <w:sz w:val="20"/>
                <w:szCs w:val="20"/>
              </w:rPr>
            </w:pPr>
          </w:p>
        </w:tc>
        <w:tc>
          <w:tcPr>
            <w:tcW w:w="5" w:type="pct"/>
            <w:vAlign w:val="center"/>
            <w:hideMark/>
          </w:tcPr>
          <w:p w14:paraId="1905742C" w14:textId="77777777" w:rsidR="00000000" w:rsidRDefault="00A173A8">
            <w:pPr>
              <w:spacing w:after="100"/>
              <w:rPr>
                <w:rFonts w:eastAsia="Times New Roman"/>
                <w:sz w:val="20"/>
                <w:szCs w:val="20"/>
              </w:rPr>
            </w:pPr>
          </w:p>
        </w:tc>
        <w:tc>
          <w:tcPr>
            <w:tcW w:w="26" w:type="pct"/>
            <w:vAlign w:val="center"/>
            <w:hideMark/>
          </w:tcPr>
          <w:p w14:paraId="01467B01" w14:textId="77777777" w:rsidR="00000000" w:rsidRDefault="00A173A8">
            <w:pPr>
              <w:spacing w:after="100"/>
              <w:rPr>
                <w:rFonts w:eastAsia="Times New Roman"/>
                <w:sz w:val="20"/>
                <w:szCs w:val="20"/>
              </w:rPr>
            </w:pPr>
          </w:p>
        </w:tc>
        <w:tc>
          <w:tcPr>
            <w:tcW w:w="5" w:type="pct"/>
            <w:vAlign w:val="center"/>
            <w:hideMark/>
          </w:tcPr>
          <w:p w14:paraId="07E97FA0" w14:textId="77777777" w:rsidR="00000000" w:rsidRDefault="00A173A8">
            <w:pPr>
              <w:spacing w:after="100"/>
              <w:rPr>
                <w:rFonts w:eastAsia="Times New Roman"/>
                <w:sz w:val="20"/>
                <w:szCs w:val="20"/>
              </w:rPr>
            </w:pPr>
          </w:p>
        </w:tc>
        <w:tc>
          <w:tcPr>
            <w:tcW w:w="50" w:type="pct"/>
            <w:vAlign w:val="center"/>
            <w:hideMark/>
          </w:tcPr>
          <w:p w14:paraId="23D1E1B0" w14:textId="77777777" w:rsidR="00000000" w:rsidRDefault="00A173A8">
            <w:pPr>
              <w:spacing w:after="100"/>
              <w:rPr>
                <w:rFonts w:eastAsia="Times New Roman"/>
                <w:sz w:val="20"/>
                <w:szCs w:val="20"/>
              </w:rPr>
            </w:pPr>
          </w:p>
        </w:tc>
        <w:tc>
          <w:tcPr>
            <w:tcW w:w="422" w:type="pct"/>
            <w:vAlign w:val="center"/>
            <w:hideMark/>
          </w:tcPr>
          <w:p w14:paraId="45CBE3A2" w14:textId="77777777" w:rsidR="00000000" w:rsidRDefault="00A173A8">
            <w:pPr>
              <w:spacing w:after="100"/>
              <w:rPr>
                <w:rFonts w:eastAsia="Times New Roman"/>
                <w:sz w:val="20"/>
                <w:szCs w:val="20"/>
              </w:rPr>
            </w:pPr>
          </w:p>
        </w:tc>
        <w:tc>
          <w:tcPr>
            <w:tcW w:w="5" w:type="pct"/>
            <w:vAlign w:val="center"/>
            <w:hideMark/>
          </w:tcPr>
          <w:p w14:paraId="39E89302" w14:textId="77777777" w:rsidR="00000000" w:rsidRDefault="00A173A8">
            <w:pPr>
              <w:spacing w:after="100"/>
              <w:rPr>
                <w:rFonts w:eastAsia="Times New Roman"/>
                <w:sz w:val="20"/>
                <w:szCs w:val="20"/>
              </w:rPr>
            </w:pPr>
          </w:p>
        </w:tc>
        <w:tc>
          <w:tcPr>
            <w:tcW w:w="5" w:type="pct"/>
            <w:vAlign w:val="center"/>
            <w:hideMark/>
          </w:tcPr>
          <w:p w14:paraId="2A5C8B18" w14:textId="77777777" w:rsidR="00000000" w:rsidRDefault="00A173A8">
            <w:pPr>
              <w:spacing w:after="100"/>
              <w:rPr>
                <w:rFonts w:eastAsia="Times New Roman"/>
                <w:sz w:val="20"/>
                <w:szCs w:val="20"/>
              </w:rPr>
            </w:pPr>
          </w:p>
        </w:tc>
        <w:tc>
          <w:tcPr>
            <w:tcW w:w="26" w:type="pct"/>
            <w:vAlign w:val="center"/>
            <w:hideMark/>
          </w:tcPr>
          <w:p w14:paraId="3B50E99E" w14:textId="77777777" w:rsidR="00000000" w:rsidRDefault="00A173A8">
            <w:pPr>
              <w:spacing w:after="100"/>
              <w:rPr>
                <w:rFonts w:eastAsia="Times New Roman"/>
                <w:sz w:val="20"/>
                <w:szCs w:val="20"/>
              </w:rPr>
            </w:pPr>
          </w:p>
        </w:tc>
        <w:tc>
          <w:tcPr>
            <w:tcW w:w="5" w:type="pct"/>
            <w:vAlign w:val="center"/>
            <w:hideMark/>
          </w:tcPr>
          <w:p w14:paraId="2A1F1A55" w14:textId="77777777" w:rsidR="00000000" w:rsidRDefault="00A173A8">
            <w:pPr>
              <w:spacing w:after="100"/>
              <w:rPr>
                <w:rFonts w:eastAsia="Times New Roman"/>
                <w:sz w:val="20"/>
                <w:szCs w:val="20"/>
              </w:rPr>
            </w:pPr>
          </w:p>
        </w:tc>
        <w:tc>
          <w:tcPr>
            <w:tcW w:w="50" w:type="pct"/>
            <w:vAlign w:val="center"/>
            <w:hideMark/>
          </w:tcPr>
          <w:p w14:paraId="0641F0BF" w14:textId="77777777" w:rsidR="00000000" w:rsidRDefault="00A173A8">
            <w:pPr>
              <w:spacing w:after="100"/>
              <w:rPr>
                <w:rFonts w:eastAsia="Times New Roman"/>
                <w:sz w:val="20"/>
                <w:szCs w:val="20"/>
              </w:rPr>
            </w:pPr>
          </w:p>
        </w:tc>
        <w:tc>
          <w:tcPr>
            <w:tcW w:w="422" w:type="pct"/>
            <w:vAlign w:val="center"/>
            <w:hideMark/>
          </w:tcPr>
          <w:p w14:paraId="2ABD75E7" w14:textId="77777777" w:rsidR="00000000" w:rsidRDefault="00A173A8">
            <w:pPr>
              <w:spacing w:after="100"/>
              <w:rPr>
                <w:rFonts w:eastAsia="Times New Roman"/>
                <w:sz w:val="20"/>
                <w:szCs w:val="20"/>
              </w:rPr>
            </w:pPr>
          </w:p>
        </w:tc>
        <w:tc>
          <w:tcPr>
            <w:tcW w:w="5" w:type="pct"/>
            <w:vAlign w:val="center"/>
            <w:hideMark/>
          </w:tcPr>
          <w:p w14:paraId="4160E055" w14:textId="77777777" w:rsidR="00000000" w:rsidRDefault="00A173A8">
            <w:pPr>
              <w:spacing w:after="100"/>
              <w:rPr>
                <w:rFonts w:eastAsia="Times New Roman"/>
                <w:sz w:val="20"/>
                <w:szCs w:val="20"/>
              </w:rPr>
            </w:pPr>
          </w:p>
        </w:tc>
        <w:tc>
          <w:tcPr>
            <w:tcW w:w="5" w:type="pct"/>
            <w:vAlign w:val="center"/>
            <w:hideMark/>
          </w:tcPr>
          <w:p w14:paraId="3C8AE64F" w14:textId="77777777" w:rsidR="00000000" w:rsidRDefault="00A173A8">
            <w:pPr>
              <w:spacing w:after="100"/>
              <w:rPr>
                <w:rFonts w:eastAsia="Times New Roman"/>
                <w:sz w:val="20"/>
                <w:szCs w:val="20"/>
              </w:rPr>
            </w:pPr>
          </w:p>
        </w:tc>
        <w:tc>
          <w:tcPr>
            <w:tcW w:w="26" w:type="pct"/>
            <w:vAlign w:val="center"/>
            <w:hideMark/>
          </w:tcPr>
          <w:p w14:paraId="37B23ED7" w14:textId="77777777" w:rsidR="00000000" w:rsidRDefault="00A173A8">
            <w:pPr>
              <w:spacing w:after="100"/>
              <w:rPr>
                <w:rFonts w:eastAsia="Times New Roman"/>
                <w:sz w:val="20"/>
                <w:szCs w:val="20"/>
              </w:rPr>
            </w:pPr>
          </w:p>
        </w:tc>
        <w:tc>
          <w:tcPr>
            <w:tcW w:w="5" w:type="pct"/>
            <w:vAlign w:val="center"/>
            <w:hideMark/>
          </w:tcPr>
          <w:p w14:paraId="4C218549" w14:textId="77777777" w:rsidR="00000000" w:rsidRDefault="00A173A8">
            <w:pPr>
              <w:spacing w:after="100"/>
              <w:rPr>
                <w:rFonts w:eastAsia="Times New Roman"/>
                <w:sz w:val="20"/>
                <w:szCs w:val="20"/>
              </w:rPr>
            </w:pPr>
          </w:p>
        </w:tc>
        <w:tc>
          <w:tcPr>
            <w:tcW w:w="50" w:type="pct"/>
            <w:vAlign w:val="center"/>
            <w:hideMark/>
          </w:tcPr>
          <w:p w14:paraId="3D0330CA" w14:textId="77777777" w:rsidR="00000000" w:rsidRDefault="00A173A8">
            <w:pPr>
              <w:spacing w:after="100"/>
              <w:rPr>
                <w:rFonts w:eastAsia="Times New Roman"/>
                <w:sz w:val="20"/>
                <w:szCs w:val="20"/>
              </w:rPr>
            </w:pPr>
          </w:p>
        </w:tc>
        <w:tc>
          <w:tcPr>
            <w:tcW w:w="422" w:type="pct"/>
            <w:vAlign w:val="center"/>
            <w:hideMark/>
          </w:tcPr>
          <w:p w14:paraId="3E73851B" w14:textId="77777777" w:rsidR="00000000" w:rsidRDefault="00A173A8">
            <w:pPr>
              <w:spacing w:after="100"/>
              <w:rPr>
                <w:rFonts w:eastAsia="Times New Roman"/>
                <w:sz w:val="20"/>
                <w:szCs w:val="20"/>
              </w:rPr>
            </w:pPr>
          </w:p>
        </w:tc>
        <w:tc>
          <w:tcPr>
            <w:tcW w:w="5" w:type="pct"/>
            <w:vAlign w:val="center"/>
            <w:hideMark/>
          </w:tcPr>
          <w:p w14:paraId="70C640D6" w14:textId="77777777" w:rsidR="00000000" w:rsidRDefault="00A173A8">
            <w:pPr>
              <w:spacing w:after="100"/>
              <w:rPr>
                <w:rFonts w:eastAsia="Times New Roman"/>
                <w:sz w:val="20"/>
                <w:szCs w:val="20"/>
              </w:rPr>
            </w:pPr>
          </w:p>
        </w:tc>
        <w:tc>
          <w:tcPr>
            <w:tcW w:w="5" w:type="pct"/>
            <w:vAlign w:val="center"/>
            <w:hideMark/>
          </w:tcPr>
          <w:p w14:paraId="00B23E64" w14:textId="77777777" w:rsidR="00000000" w:rsidRDefault="00A173A8">
            <w:pPr>
              <w:spacing w:after="100"/>
              <w:rPr>
                <w:rFonts w:eastAsia="Times New Roman"/>
                <w:sz w:val="20"/>
                <w:szCs w:val="20"/>
              </w:rPr>
            </w:pPr>
          </w:p>
        </w:tc>
        <w:tc>
          <w:tcPr>
            <w:tcW w:w="26" w:type="pct"/>
            <w:vAlign w:val="center"/>
            <w:hideMark/>
          </w:tcPr>
          <w:p w14:paraId="5110447D" w14:textId="77777777" w:rsidR="00000000" w:rsidRDefault="00A173A8">
            <w:pPr>
              <w:spacing w:after="100"/>
              <w:rPr>
                <w:rFonts w:eastAsia="Times New Roman"/>
                <w:sz w:val="20"/>
                <w:szCs w:val="20"/>
              </w:rPr>
            </w:pPr>
          </w:p>
        </w:tc>
        <w:tc>
          <w:tcPr>
            <w:tcW w:w="5" w:type="pct"/>
            <w:vAlign w:val="center"/>
            <w:hideMark/>
          </w:tcPr>
          <w:p w14:paraId="78205828" w14:textId="77777777" w:rsidR="00000000" w:rsidRDefault="00A173A8">
            <w:pPr>
              <w:spacing w:after="100"/>
              <w:rPr>
                <w:rFonts w:eastAsia="Times New Roman"/>
                <w:sz w:val="20"/>
                <w:szCs w:val="20"/>
              </w:rPr>
            </w:pPr>
          </w:p>
        </w:tc>
        <w:tc>
          <w:tcPr>
            <w:tcW w:w="50" w:type="pct"/>
            <w:vAlign w:val="center"/>
            <w:hideMark/>
          </w:tcPr>
          <w:p w14:paraId="0BE2FFA7" w14:textId="77777777" w:rsidR="00000000" w:rsidRDefault="00A173A8">
            <w:pPr>
              <w:spacing w:after="100"/>
              <w:rPr>
                <w:rFonts w:eastAsia="Times New Roman"/>
                <w:sz w:val="20"/>
                <w:szCs w:val="20"/>
              </w:rPr>
            </w:pPr>
          </w:p>
        </w:tc>
        <w:tc>
          <w:tcPr>
            <w:tcW w:w="422" w:type="pct"/>
            <w:vAlign w:val="center"/>
            <w:hideMark/>
          </w:tcPr>
          <w:p w14:paraId="1E766CBB" w14:textId="77777777" w:rsidR="00000000" w:rsidRDefault="00A173A8">
            <w:pPr>
              <w:spacing w:after="100"/>
              <w:rPr>
                <w:rFonts w:eastAsia="Times New Roman"/>
                <w:sz w:val="20"/>
                <w:szCs w:val="20"/>
              </w:rPr>
            </w:pPr>
          </w:p>
        </w:tc>
        <w:tc>
          <w:tcPr>
            <w:tcW w:w="5" w:type="pct"/>
            <w:vAlign w:val="center"/>
            <w:hideMark/>
          </w:tcPr>
          <w:p w14:paraId="40360B37" w14:textId="77777777" w:rsidR="00000000" w:rsidRDefault="00A173A8">
            <w:pPr>
              <w:spacing w:after="100"/>
              <w:rPr>
                <w:rFonts w:eastAsia="Times New Roman"/>
                <w:sz w:val="20"/>
                <w:szCs w:val="20"/>
              </w:rPr>
            </w:pPr>
          </w:p>
        </w:tc>
      </w:tr>
      <w:tr w:rsidR="00000000" w14:paraId="7205B5D9" w14:textId="77777777">
        <w:trPr>
          <w:divId w:val="412776420"/>
        </w:trPr>
        <w:tc>
          <w:tcPr>
            <w:tcW w:w="0" w:type="auto"/>
            <w:gridSpan w:val="3"/>
            <w:tcMar>
              <w:top w:w="30" w:type="dxa"/>
              <w:left w:w="20" w:type="dxa"/>
              <w:bottom w:w="30" w:type="dxa"/>
              <w:right w:w="20" w:type="dxa"/>
            </w:tcMar>
            <w:vAlign w:val="bottom"/>
            <w:hideMark/>
          </w:tcPr>
          <w:p w14:paraId="16C21F80"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03F39A8"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0493B8CD"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14:paraId="322550FD"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A0BC72"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Mar>
              <w:top w:w="0" w:type="dxa"/>
              <w:left w:w="20" w:type="dxa"/>
              <w:bottom w:w="0" w:type="dxa"/>
              <w:right w:w="20" w:type="dxa"/>
            </w:tcMar>
            <w:vAlign w:val="center"/>
            <w:hideMark/>
          </w:tcPr>
          <w:p w14:paraId="1D6A46A5"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24EAA1" w14:textId="77777777" w:rsidR="00000000" w:rsidRDefault="00A173A8">
            <w:pPr>
              <w:spacing w:after="100"/>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14:paraId="5049EF4A"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6DCAB1"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2D7CDE31" w14:textId="77777777">
        <w:trPr>
          <w:divId w:val="412776420"/>
        </w:trPr>
        <w:tc>
          <w:tcPr>
            <w:tcW w:w="0" w:type="auto"/>
            <w:gridSpan w:val="3"/>
            <w:vAlign w:val="center"/>
            <w:hideMark/>
          </w:tcPr>
          <w:p w14:paraId="601E45F5" w14:textId="77777777" w:rsidR="00000000" w:rsidRDefault="00A173A8">
            <w:pPr>
              <w:spacing w:after="100"/>
              <w:jc w:val="center"/>
              <w:rPr>
                <w:rFonts w:eastAsia="Times New Roman"/>
              </w:rPr>
            </w:pPr>
          </w:p>
        </w:tc>
        <w:tc>
          <w:tcPr>
            <w:tcW w:w="0" w:type="auto"/>
            <w:gridSpan w:val="3"/>
            <w:vAlign w:val="center"/>
            <w:hideMark/>
          </w:tcPr>
          <w:p w14:paraId="046EB939" w14:textId="77777777" w:rsidR="00000000" w:rsidRDefault="00A173A8">
            <w:pPr>
              <w:spacing w:after="100"/>
              <w:rPr>
                <w:rFonts w:eastAsia="Times New Roman"/>
                <w:sz w:val="20"/>
                <w:szCs w:val="20"/>
              </w:rPr>
            </w:pPr>
          </w:p>
        </w:tc>
        <w:tc>
          <w:tcPr>
            <w:tcW w:w="0" w:type="auto"/>
            <w:gridSpan w:val="3"/>
            <w:vAlign w:val="center"/>
            <w:hideMark/>
          </w:tcPr>
          <w:p w14:paraId="26C484CB" w14:textId="77777777" w:rsidR="00000000" w:rsidRDefault="00A173A8">
            <w:pPr>
              <w:spacing w:after="100"/>
              <w:rPr>
                <w:rFonts w:eastAsia="Times New Roman"/>
                <w:sz w:val="20"/>
                <w:szCs w:val="20"/>
              </w:rPr>
            </w:pPr>
          </w:p>
        </w:tc>
        <w:tc>
          <w:tcPr>
            <w:tcW w:w="0" w:type="auto"/>
            <w:gridSpan w:val="3"/>
            <w:vAlign w:val="center"/>
            <w:hideMark/>
          </w:tcPr>
          <w:p w14:paraId="5C27255A" w14:textId="77777777" w:rsidR="00000000" w:rsidRDefault="00A173A8">
            <w:pPr>
              <w:spacing w:after="100"/>
              <w:rPr>
                <w:rFonts w:eastAsia="Times New Roman"/>
                <w:sz w:val="20"/>
                <w:szCs w:val="20"/>
              </w:rPr>
            </w:pPr>
          </w:p>
        </w:tc>
        <w:tc>
          <w:tcPr>
            <w:tcW w:w="0" w:type="auto"/>
            <w:gridSpan w:val="3"/>
            <w:vAlign w:val="center"/>
            <w:hideMark/>
          </w:tcPr>
          <w:p w14:paraId="64D0E415" w14:textId="77777777" w:rsidR="00000000" w:rsidRDefault="00A173A8">
            <w:pPr>
              <w:spacing w:after="100"/>
              <w:rPr>
                <w:rFonts w:eastAsia="Times New Roman"/>
                <w:sz w:val="20"/>
                <w:szCs w:val="20"/>
              </w:rPr>
            </w:pPr>
          </w:p>
        </w:tc>
        <w:tc>
          <w:tcPr>
            <w:tcW w:w="0" w:type="auto"/>
            <w:gridSpan w:val="3"/>
            <w:vAlign w:val="center"/>
            <w:hideMark/>
          </w:tcPr>
          <w:p w14:paraId="3CCAD32B" w14:textId="77777777" w:rsidR="00000000" w:rsidRDefault="00A173A8">
            <w:pPr>
              <w:spacing w:after="100"/>
              <w:rPr>
                <w:rFonts w:eastAsia="Times New Roman"/>
                <w:sz w:val="20"/>
                <w:szCs w:val="20"/>
              </w:rPr>
            </w:pPr>
          </w:p>
        </w:tc>
        <w:tc>
          <w:tcPr>
            <w:tcW w:w="0" w:type="auto"/>
            <w:gridSpan w:val="3"/>
            <w:vAlign w:val="center"/>
            <w:hideMark/>
          </w:tcPr>
          <w:p w14:paraId="4C13F4C8" w14:textId="77777777" w:rsidR="00000000" w:rsidRDefault="00A173A8">
            <w:pPr>
              <w:spacing w:after="100"/>
              <w:rPr>
                <w:rFonts w:eastAsia="Times New Roman"/>
                <w:sz w:val="20"/>
                <w:szCs w:val="20"/>
              </w:rPr>
            </w:pPr>
          </w:p>
        </w:tc>
        <w:tc>
          <w:tcPr>
            <w:tcW w:w="0" w:type="auto"/>
            <w:gridSpan w:val="3"/>
            <w:vAlign w:val="center"/>
            <w:hideMark/>
          </w:tcPr>
          <w:p w14:paraId="34A28688" w14:textId="77777777" w:rsidR="00000000" w:rsidRDefault="00A173A8">
            <w:pPr>
              <w:spacing w:after="100"/>
              <w:rPr>
                <w:rFonts w:eastAsia="Times New Roman"/>
                <w:sz w:val="20"/>
                <w:szCs w:val="20"/>
              </w:rPr>
            </w:pPr>
          </w:p>
        </w:tc>
        <w:tc>
          <w:tcPr>
            <w:tcW w:w="0" w:type="auto"/>
            <w:gridSpan w:val="3"/>
            <w:vAlign w:val="center"/>
            <w:hideMark/>
          </w:tcPr>
          <w:p w14:paraId="5A0FDC22" w14:textId="77777777" w:rsidR="00000000" w:rsidRDefault="00A173A8">
            <w:pPr>
              <w:spacing w:after="100"/>
              <w:rPr>
                <w:rFonts w:eastAsia="Times New Roman"/>
                <w:sz w:val="20"/>
                <w:szCs w:val="20"/>
              </w:rPr>
            </w:pPr>
          </w:p>
        </w:tc>
      </w:tr>
      <w:tr w:rsidR="00000000" w14:paraId="0D1C9EAD" w14:textId="77777777">
        <w:trPr>
          <w:divId w:val="412776420"/>
        </w:trPr>
        <w:tc>
          <w:tcPr>
            <w:tcW w:w="0" w:type="auto"/>
            <w:gridSpan w:val="3"/>
            <w:vAlign w:val="center"/>
            <w:hideMark/>
          </w:tcPr>
          <w:p w14:paraId="2A64CF79" w14:textId="77777777" w:rsidR="00000000" w:rsidRDefault="00A173A8">
            <w:pPr>
              <w:spacing w:after="100"/>
              <w:rPr>
                <w:rFonts w:eastAsia="Times New Roman"/>
                <w:sz w:val="20"/>
                <w:szCs w:val="20"/>
              </w:rPr>
            </w:pPr>
          </w:p>
        </w:tc>
        <w:tc>
          <w:tcPr>
            <w:tcW w:w="0" w:type="auto"/>
            <w:gridSpan w:val="3"/>
            <w:vAlign w:val="center"/>
            <w:hideMark/>
          </w:tcPr>
          <w:p w14:paraId="78782E58" w14:textId="77777777" w:rsidR="00000000" w:rsidRDefault="00A173A8">
            <w:pPr>
              <w:spacing w:after="100"/>
              <w:rPr>
                <w:rFonts w:eastAsia="Times New Roman"/>
                <w:sz w:val="20"/>
                <w:szCs w:val="20"/>
              </w:rPr>
            </w:pPr>
          </w:p>
        </w:tc>
        <w:tc>
          <w:tcPr>
            <w:tcW w:w="0" w:type="auto"/>
            <w:gridSpan w:val="3"/>
            <w:vAlign w:val="center"/>
            <w:hideMark/>
          </w:tcPr>
          <w:p w14:paraId="3596DA8F" w14:textId="77777777" w:rsidR="00000000" w:rsidRDefault="00A173A8">
            <w:pPr>
              <w:spacing w:after="100"/>
              <w:rPr>
                <w:rFonts w:eastAsia="Times New Roman"/>
                <w:sz w:val="20"/>
                <w:szCs w:val="20"/>
              </w:rPr>
            </w:pPr>
          </w:p>
        </w:tc>
        <w:tc>
          <w:tcPr>
            <w:tcW w:w="0" w:type="auto"/>
            <w:gridSpan w:val="3"/>
            <w:vAlign w:val="center"/>
            <w:hideMark/>
          </w:tcPr>
          <w:p w14:paraId="774B6BB3" w14:textId="77777777" w:rsidR="00000000" w:rsidRDefault="00A173A8">
            <w:pPr>
              <w:spacing w:after="100"/>
              <w:rPr>
                <w:rFonts w:eastAsia="Times New Roman"/>
                <w:sz w:val="20"/>
                <w:szCs w:val="20"/>
              </w:rPr>
            </w:pPr>
          </w:p>
        </w:tc>
        <w:tc>
          <w:tcPr>
            <w:tcW w:w="0" w:type="auto"/>
            <w:gridSpan w:val="3"/>
            <w:vAlign w:val="center"/>
            <w:hideMark/>
          </w:tcPr>
          <w:p w14:paraId="236FA45F" w14:textId="77777777" w:rsidR="00000000" w:rsidRDefault="00A173A8">
            <w:pPr>
              <w:spacing w:after="100"/>
              <w:rPr>
                <w:rFonts w:eastAsia="Times New Roman"/>
                <w:sz w:val="20"/>
                <w:szCs w:val="20"/>
              </w:rPr>
            </w:pPr>
          </w:p>
        </w:tc>
        <w:tc>
          <w:tcPr>
            <w:tcW w:w="0" w:type="auto"/>
            <w:gridSpan w:val="3"/>
            <w:vAlign w:val="center"/>
            <w:hideMark/>
          </w:tcPr>
          <w:p w14:paraId="0D018B2F" w14:textId="77777777" w:rsidR="00000000" w:rsidRDefault="00A173A8">
            <w:pPr>
              <w:spacing w:after="100"/>
              <w:rPr>
                <w:rFonts w:eastAsia="Times New Roman"/>
                <w:sz w:val="20"/>
                <w:szCs w:val="20"/>
              </w:rPr>
            </w:pPr>
          </w:p>
        </w:tc>
        <w:tc>
          <w:tcPr>
            <w:tcW w:w="0" w:type="auto"/>
            <w:gridSpan w:val="3"/>
            <w:vAlign w:val="center"/>
            <w:hideMark/>
          </w:tcPr>
          <w:p w14:paraId="0F45462C" w14:textId="77777777" w:rsidR="00000000" w:rsidRDefault="00A173A8">
            <w:pPr>
              <w:spacing w:after="100"/>
              <w:rPr>
                <w:rFonts w:eastAsia="Times New Roman"/>
                <w:sz w:val="20"/>
                <w:szCs w:val="20"/>
              </w:rPr>
            </w:pPr>
          </w:p>
        </w:tc>
        <w:tc>
          <w:tcPr>
            <w:tcW w:w="0" w:type="auto"/>
            <w:gridSpan w:val="3"/>
            <w:vAlign w:val="center"/>
            <w:hideMark/>
          </w:tcPr>
          <w:p w14:paraId="6FA1AD05" w14:textId="77777777" w:rsidR="00000000" w:rsidRDefault="00A173A8">
            <w:pPr>
              <w:spacing w:after="100"/>
              <w:rPr>
                <w:rFonts w:eastAsia="Times New Roman"/>
                <w:sz w:val="20"/>
                <w:szCs w:val="20"/>
              </w:rPr>
            </w:pPr>
          </w:p>
        </w:tc>
        <w:tc>
          <w:tcPr>
            <w:tcW w:w="0" w:type="auto"/>
            <w:gridSpan w:val="3"/>
            <w:vAlign w:val="center"/>
            <w:hideMark/>
          </w:tcPr>
          <w:p w14:paraId="28778B02" w14:textId="77777777" w:rsidR="00000000" w:rsidRDefault="00A173A8">
            <w:pPr>
              <w:spacing w:after="100"/>
              <w:rPr>
                <w:rFonts w:eastAsia="Times New Roman"/>
                <w:sz w:val="20"/>
                <w:szCs w:val="20"/>
              </w:rPr>
            </w:pPr>
          </w:p>
        </w:tc>
      </w:tr>
      <w:tr w:rsidR="00000000" w14:paraId="4731B78E" w14:textId="77777777">
        <w:trPr>
          <w:divId w:val="412776420"/>
        </w:trPr>
        <w:tc>
          <w:tcPr>
            <w:tcW w:w="0" w:type="auto"/>
            <w:gridSpan w:val="3"/>
            <w:vAlign w:val="center"/>
            <w:hideMark/>
          </w:tcPr>
          <w:p w14:paraId="1E00093F" w14:textId="77777777" w:rsidR="00000000" w:rsidRDefault="00A173A8">
            <w:pPr>
              <w:spacing w:after="100"/>
              <w:rPr>
                <w:rFonts w:eastAsia="Times New Roman"/>
                <w:sz w:val="20"/>
                <w:szCs w:val="20"/>
              </w:rPr>
            </w:pPr>
          </w:p>
        </w:tc>
        <w:tc>
          <w:tcPr>
            <w:tcW w:w="0" w:type="auto"/>
            <w:gridSpan w:val="3"/>
            <w:vAlign w:val="center"/>
            <w:hideMark/>
          </w:tcPr>
          <w:p w14:paraId="026F8AC9" w14:textId="77777777" w:rsidR="00000000" w:rsidRDefault="00A173A8">
            <w:pPr>
              <w:spacing w:after="100"/>
              <w:rPr>
                <w:rFonts w:eastAsia="Times New Roman"/>
                <w:sz w:val="20"/>
                <w:szCs w:val="20"/>
              </w:rPr>
            </w:pPr>
          </w:p>
        </w:tc>
        <w:tc>
          <w:tcPr>
            <w:tcW w:w="0" w:type="auto"/>
            <w:gridSpan w:val="3"/>
            <w:vAlign w:val="center"/>
            <w:hideMark/>
          </w:tcPr>
          <w:p w14:paraId="0C2BECC8" w14:textId="77777777" w:rsidR="00000000" w:rsidRDefault="00A173A8">
            <w:pPr>
              <w:spacing w:after="100"/>
              <w:rPr>
                <w:rFonts w:eastAsia="Times New Roman"/>
                <w:sz w:val="20"/>
                <w:szCs w:val="20"/>
              </w:rPr>
            </w:pPr>
          </w:p>
        </w:tc>
        <w:tc>
          <w:tcPr>
            <w:tcW w:w="0" w:type="auto"/>
            <w:gridSpan w:val="3"/>
            <w:vAlign w:val="center"/>
            <w:hideMark/>
          </w:tcPr>
          <w:p w14:paraId="0C276B23" w14:textId="77777777" w:rsidR="00000000" w:rsidRDefault="00A173A8">
            <w:pPr>
              <w:spacing w:after="100"/>
              <w:rPr>
                <w:rFonts w:eastAsia="Times New Roman"/>
                <w:sz w:val="20"/>
                <w:szCs w:val="20"/>
              </w:rPr>
            </w:pPr>
          </w:p>
        </w:tc>
        <w:tc>
          <w:tcPr>
            <w:tcW w:w="0" w:type="auto"/>
            <w:gridSpan w:val="3"/>
            <w:vAlign w:val="center"/>
            <w:hideMark/>
          </w:tcPr>
          <w:p w14:paraId="5F45C3D8" w14:textId="77777777" w:rsidR="00000000" w:rsidRDefault="00A173A8">
            <w:pPr>
              <w:spacing w:after="100"/>
              <w:rPr>
                <w:rFonts w:eastAsia="Times New Roman"/>
                <w:sz w:val="20"/>
                <w:szCs w:val="20"/>
              </w:rPr>
            </w:pPr>
          </w:p>
        </w:tc>
        <w:tc>
          <w:tcPr>
            <w:tcW w:w="0" w:type="auto"/>
            <w:gridSpan w:val="3"/>
            <w:vAlign w:val="center"/>
            <w:hideMark/>
          </w:tcPr>
          <w:p w14:paraId="12771183" w14:textId="77777777" w:rsidR="00000000" w:rsidRDefault="00A173A8">
            <w:pPr>
              <w:spacing w:after="100"/>
              <w:rPr>
                <w:rFonts w:eastAsia="Times New Roman"/>
                <w:sz w:val="20"/>
                <w:szCs w:val="20"/>
              </w:rPr>
            </w:pPr>
          </w:p>
        </w:tc>
        <w:tc>
          <w:tcPr>
            <w:tcW w:w="0" w:type="auto"/>
            <w:gridSpan w:val="3"/>
            <w:vAlign w:val="center"/>
            <w:hideMark/>
          </w:tcPr>
          <w:p w14:paraId="7CE78B94" w14:textId="77777777" w:rsidR="00000000" w:rsidRDefault="00A173A8">
            <w:pPr>
              <w:spacing w:after="100"/>
              <w:rPr>
                <w:rFonts w:eastAsia="Times New Roman"/>
                <w:sz w:val="20"/>
                <w:szCs w:val="20"/>
              </w:rPr>
            </w:pPr>
          </w:p>
        </w:tc>
        <w:tc>
          <w:tcPr>
            <w:tcW w:w="0" w:type="auto"/>
            <w:gridSpan w:val="3"/>
            <w:vAlign w:val="center"/>
            <w:hideMark/>
          </w:tcPr>
          <w:p w14:paraId="59E2A76C" w14:textId="77777777" w:rsidR="00000000" w:rsidRDefault="00A173A8">
            <w:pPr>
              <w:spacing w:after="100"/>
              <w:rPr>
                <w:rFonts w:eastAsia="Times New Roman"/>
                <w:sz w:val="20"/>
                <w:szCs w:val="20"/>
              </w:rPr>
            </w:pPr>
          </w:p>
        </w:tc>
        <w:tc>
          <w:tcPr>
            <w:tcW w:w="0" w:type="auto"/>
            <w:gridSpan w:val="3"/>
            <w:vAlign w:val="center"/>
            <w:hideMark/>
          </w:tcPr>
          <w:p w14:paraId="673DC169" w14:textId="77777777" w:rsidR="00000000" w:rsidRDefault="00A173A8">
            <w:pPr>
              <w:spacing w:after="100"/>
              <w:rPr>
                <w:rFonts w:eastAsia="Times New Roman"/>
                <w:sz w:val="20"/>
                <w:szCs w:val="20"/>
              </w:rPr>
            </w:pPr>
          </w:p>
        </w:tc>
      </w:tr>
      <w:tr w:rsidR="00000000" w14:paraId="7DC71D91" w14:textId="77777777">
        <w:trPr>
          <w:divId w:val="412776420"/>
        </w:trPr>
        <w:tc>
          <w:tcPr>
            <w:tcW w:w="0" w:type="auto"/>
            <w:gridSpan w:val="3"/>
            <w:vAlign w:val="center"/>
            <w:hideMark/>
          </w:tcPr>
          <w:p w14:paraId="595B9754" w14:textId="77777777" w:rsidR="00000000" w:rsidRDefault="00A173A8">
            <w:pPr>
              <w:spacing w:after="100"/>
              <w:rPr>
                <w:rFonts w:eastAsia="Times New Roman"/>
                <w:sz w:val="20"/>
                <w:szCs w:val="20"/>
              </w:rPr>
            </w:pPr>
          </w:p>
        </w:tc>
        <w:tc>
          <w:tcPr>
            <w:tcW w:w="0" w:type="auto"/>
            <w:gridSpan w:val="3"/>
            <w:vAlign w:val="center"/>
            <w:hideMark/>
          </w:tcPr>
          <w:p w14:paraId="29C95C11" w14:textId="77777777" w:rsidR="00000000" w:rsidRDefault="00A173A8">
            <w:pPr>
              <w:spacing w:after="100"/>
              <w:rPr>
                <w:rFonts w:eastAsia="Times New Roman"/>
                <w:sz w:val="20"/>
                <w:szCs w:val="20"/>
              </w:rPr>
            </w:pPr>
          </w:p>
        </w:tc>
        <w:tc>
          <w:tcPr>
            <w:tcW w:w="0" w:type="auto"/>
            <w:gridSpan w:val="3"/>
            <w:vAlign w:val="center"/>
            <w:hideMark/>
          </w:tcPr>
          <w:p w14:paraId="2CDDB6E4" w14:textId="77777777" w:rsidR="00000000" w:rsidRDefault="00A173A8">
            <w:pPr>
              <w:spacing w:after="100"/>
              <w:rPr>
                <w:rFonts w:eastAsia="Times New Roman"/>
                <w:sz w:val="20"/>
                <w:szCs w:val="20"/>
              </w:rPr>
            </w:pPr>
          </w:p>
        </w:tc>
        <w:tc>
          <w:tcPr>
            <w:tcW w:w="0" w:type="auto"/>
            <w:gridSpan w:val="3"/>
            <w:vAlign w:val="center"/>
            <w:hideMark/>
          </w:tcPr>
          <w:p w14:paraId="50BE23F1" w14:textId="77777777" w:rsidR="00000000" w:rsidRDefault="00A173A8">
            <w:pPr>
              <w:spacing w:after="100"/>
              <w:rPr>
                <w:rFonts w:eastAsia="Times New Roman"/>
                <w:sz w:val="20"/>
                <w:szCs w:val="20"/>
              </w:rPr>
            </w:pPr>
          </w:p>
        </w:tc>
        <w:tc>
          <w:tcPr>
            <w:tcW w:w="0" w:type="auto"/>
            <w:gridSpan w:val="3"/>
            <w:vAlign w:val="center"/>
            <w:hideMark/>
          </w:tcPr>
          <w:p w14:paraId="2975A999" w14:textId="77777777" w:rsidR="00000000" w:rsidRDefault="00A173A8">
            <w:pPr>
              <w:spacing w:after="100"/>
              <w:rPr>
                <w:rFonts w:eastAsia="Times New Roman"/>
                <w:sz w:val="20"/>
                <w:szCs w:val="20"/>
              </w:rPr>
            </w:pPr>
          </w:p>
        </w:tc>
        <w:tc>
          <w:tcPr>
            <w:tcW w:w="0" w:type="auto"/>
            <w:gridSpan w:val="3"/>
            <w:vAlign w:val="center"/>
            <w:hideMark/>
          </w:tcPr>
          <w:p w14:paraId="21F80C47" w14:textId="77777777" w:rsidR="00000000" w:rsidRDefault="00A173A8">
            <w:pPr>
              <w:spacing w:after="100"/>
              <w:rPr>
                <w:rFonts w:eastAsia="Times New Roman"/>
                <w:sz w:val="20"/>
                <w:szCs w:val="20"/>
              </w:rPr>
            </w:pPr>
          </w:p>
        </w:tc>
        <w:tc>
          <w:tcPr>
            <w:tcW w:w="0" w:type="auto"/>
            <w:gridSpan w:val="3"/>
            <w:vAlign w:val="center"/>
            <w:hideMark/>
          </w:tcPr>
          <w:p w14:paraId="43FBD463" w14:textId="77777777" w:rsidR="00000000" w:rsidRDefault="00A173A8">
            <w:pPr>
              <w:spacing w:after="100"/>
              <w:rPr>
                <w:rFonts w:eastAsia="Times New Roman"/>
                <w:sz w:val="20"/>
                <w:szCs w:val="20"/>
              </w:rPr>
            </w:pPr>
          </w:p>
        </w:tc>
        <w:tc>
          <w:tcPr>
            <w:tcW w:w="0" w:type="auto"/>
            <w:gridSpan w:val="3"/>
            <w:vAlign w:val="center"/>
            <w:hideMark/>
          </w:tcPr>
          <w:p w14:paraId="2F0FB694" w14:textId="77777777" w:rsidR="00000000" w:rsidRDefault="00A173A8">
            <w:pPr>
              <w:spacing w:after="100"/>
              <w:rPr>
                <w:rFonts w:eastAsia="Times New Roman"/>
                <w:sz w:val="20"/>
                <w:szCs w:val="20"/>
              </w:rPr>
            </w:pPr>
          </w:p>
        </w:tc>
        <w:tc>
          <w:tcPr>
            <w:tcW w:w="0" w:type="auto"/>
            <w:gridSpan w:val="3"/>
            <w:vAlign w:val="center"/>
            <w:hideMark/>
          </w:tcPr>
          <w:p w14:paraId="08DC12BA" w14:textId="77777777" w:rsidR="00000000" w:rsidRDefault="00A173A8">
            <w:pPr>
              <w:spacing w:after="100"/>
              <w:rPr>
                <w:rFonts w:eastAsia="Times New Roman"/>
                <w:sz w:val="20"/>
                <w:szCs w:val="20"/>
              </w:rPr>
            </w:pPr>
          </w:p>
        </w:tc>
      </w:tr>
      <w:tr w:rsidR="00000000" w14:paraId="3A2B3082" w14:textId="77777777">
        <w:trPr>
          <w:divId w:val="412776420"/>
        </w:trPr>
        <w:tc>
          <w:tcPr>
            <w:tcW w:w="0" w:type="auto"/>
            <w:gridSpan w:val="3"/>
            <w:vAlign w:val="center"/>
            <w:hideMark/>
          </w:tcPr>
          <w:p w14:paraId="5AC64620" w14:textId="77777777" w:rsidR="00000000" w:rsidRDefault="00A173A8">
            <w:pPr>
              <w:spacing w:after="100"/>
              <w:rPr>
                <w:rFonts w:eastAsia="Times New Roman"/>
                <w:sz w:val="20"/>
                <w:szCs w:val="20"/>
              </w:rPr>
            </w:pPr>
          </w:p>
        </w:tc>
        <w:tc>
          <w:tcPr>
            <w:tcW w:w="0" w:type="auto"/>
            <w:gridSpan w:val="3"/>
            <w:vAlign w:val="center"/>
            <w:hideMark/>
          </w:tcPr>
          <w:p w14:paraId="037D1C9C" w14:textId="77777777" w:rsidR="00000000" w:rsidRDefault="00A173A8">
            <w:pPr>
              <w:spacing w:after="100"/>
              <w:rPr>
                <w:rFonts w:eastAsia="Times New Roman"/>
                <w:sz w:val="20"/>
                <w:szCs w:val="20"/>
              </w:rPr>
            </w:pPr>
          </w:p>
        </w:tc>
        <w:tc>
          <w:tcPr>
            <w:tcW w:w="0" w:type="auto"/>
            <w:gridSpan w:val="3"/>
            <w:vAlign w:val="center"/>
            <w:hideMark/>
          </w:tcPr>
          <w:p w14:paraId="71BF3E1F" w14:textId="77777777" w:rsidR="00000000" w:rsidRDefault="00A173A8">
            <w:pPr>
              <w:spacing w:after="100"/>
              <w:rPr>
                <w:rFonts w:eastAsia="Times New Roman"/>
                <w:sz w:val="20"/>
                <w:szCs w:val="20"/>
              </w:rPr>
            </w:pPr>
          </w:p>
        </w:tc>
        <w:tc>
          <w:tcPr>
            <w:tcW w:w="0" w:type="auto"/>
            <w:gridSpan w:val="3"/>
            <w:vAlign w:val="center"/>
            <w:hideMark/>
          </w:tcPr>
          <w:p w14:paraId="50BF26F8" w14:textId="77777777" w:rsidR="00000000" w:rsidRDefault="00A173A8">
            <w:pPr>
              <w:spacing w:after="100"/>
              <w:rPr>
                <w:rFonts w:eastAsia="Times New Roman"/>
                <w:sz w:val="20"/>
                <w:szCs w:val="20"/>
              </w:rPr>
            </w:pPr>
          </w:p>
        </w:tc>
        <w:tc>
          <w:tcPr>
            <w:tcW w:w="0" w:type="auto"/>
            <w:gridSpan w:val="3"/>
            <w:vAlign w:val="center"/>
            <w:hideMark/>
          </w:tcPr>
          <w:p w14:paraId="5046CDBC" w14:textId="77777777" w:rsidR="00000000" w:rsidRDefault="00A173A8">
            <w:pPr>
              <w:spacing w:after="100"/>
              <w:rPr>
                <w:rFonts w:eastAsia="Times New Roman"/>
                <w:sz w:val="20"/>
                <w:szCs w:val="20"/>
              </w:rPr>
            </w:pPr>
          </w:p>
        </w:tc>
        <w:tc>
          <w:tcPr>
            <w:tcW w:w="0" w:type="auto"/>
            <w:gridSpan w:val="3"/>
            <w:vAlign w:val="center"/>
            <w:hideMark/>
          </w:tcPr>
          <w:p w14:paraId="474F96BD" w14:textId="77777777" w:rsidR="00000000" w:rsidRDefault="00A173A8">
            <w:pPr>
              <w:spacing w:after="100"/>
              <w:rPr>
                <w:rFonts w:eastAsia="Times New Roman"/>
                <w:sz w:val="20"/>
                <w:szCs w:val="20"/>
              </w:rPr>
            </w:pPr>
          </w:p>
        </w:tc>
        <w:tc>
          <w:tcPr>
            <w:tcW w:w="0" w:type="auto"/>
            <w:gridSpan w:val="3"/>
            <w:vAlign w:val="center"/>
            <w:hideMark/>
          </w:tcPr>
          <w:p w14:paraId="5356AAA6" w14:textId="77777777" w:rsidR="00000000" w:rsidRDefault="00A173A8">
            <w:pPr>
              <w:spacing w:after="100"/>
              <w:rPr>
                <w:rFonts w:eastAsia="Times New Roman"/>
                <w:sz w:val="20"/>
                <w:szCs w:val="20"/>
              </w:rPr>
            </w:pPr>
          </w:p>
        </w:tc>
        <w:tc>
          <w:tcPr>
            <w:tcW w:w="0" w:type="auto"/>
            <w:gridSpan w:val="3"/>
            <w:vAlign w:val="center"/>
            <w:hideMark/>
          </w:tcPr>
          <w:p w14:paraId="3EDD81EA" w14:textId="77777777" w:rsidR="00000000" w:rsidRDefault="00A173A8">
            <w:pPr>
              <w:spacing w:after="100"/>
              <w:rPr>
                <w:rFonts w:eastAsia="Times New Roman"/>
                <w:sz w:val="20"/>
                <w:szCs w:val="20"/>
              </w:rPr>
            </w:pPr>
          </w:p>
        </w:tc>
        <w:tc>
          <w:tcPr>
            <w:tcW w:w="0" w:type="auto"/>
            <w:gridSpan w:val="3"/>
            <w:vAlign w:val="center"/>
            <w:hideMark/>
          </w:tcPr>
          <w:p w14:paraId="52CDBF28" w14:textId="77777777" w:rsidR="00000000" w:rsidRDefault="00A173A8">
            <w:pPr>
              <w:spacing w:after="100"/>
              <w:rPr>
                <w:rFonts w:eastAsia="Times New Roman"/>
                <w:sz w:val="20"/>
                <w:szCs w:val="20"/>
              </w:rPr>
            </w:pPr>
          </w:p>
        </w:tc>
      </w:tr>
      <w:tr w:rsidR="00000000" w14:paraId="370C67E9" w14:textId="77777777">
        <w:trPr>
          <w:divId w:val="412776420"/>
        </w:trPr>
        <w:tc>
          <w:tcPr>
            <w:tcW w:w="0" w:type="auto"/>
            <w:gridSpan w:val="3"/>
            <w:vAlign w:val="center"/>
            <w:hideMark/>
          </w:tcPr>
          <w:p w14:paraId="25F0AFF0" w14:textId="77777777" w:rsidR="00000000" w:rsidRDefault="00A173A8">
            <w:pPr>
              <w:spacing w:after="100"/>
              <w:rPr>
                <w:rFonts w:eastAsia="Times New Roman"/>
                <w:sz w:val="20"/>
                <w:szCs w:val="20"/>
              </w:rPr>
            </w:pPr>
          </w:p>
        </w:tc>
        <w:tc>
          <w:tcPr>
            <w:tcW w:w="0" w:type="auto"/>
            <w:gridSpan w:val="3"/>
            <w:vAlign w:val="center"/>
            <w:hideMark/>
          </w:tcPr>
          <w:p w14:paraId="1D9A5352" w14:textId="77777777" w:rsidR="00000000" w:rsidRDefault="00A173A8">
            <w:pPr>
              <w:spacing w:after="100"/>
              <w:rPr>
                <w:rFonts w:eastAsia="Times New Roman"/>
                <w:sz w:val="20"/>
                <w:szCs w:val="20"/>
              </w:rPr>
            </w:pPr>
          </w:p>
        </w:tc>
        <w:tc>
          <w:tcPr>
            <w:tcW w:w="0" w:type="auto"/>
            <w:gridSpan w:val="3"/>
            <w:vAlign w:val="center"/>
            <w:hideMark/>
          </w:tcPr>
          <w:p w14:paraId="447B2F0E" w14:textId="77777777" w:rsidR="00000000" w:rsidRDefault="00A173A8">
            <w:pPr>
              <w:spacing w:after="100"/>
              <w:rPr>
                <w:rFonts w:eastAsia="Times New Roman"/>
                <w:sz w:val="20"/>
                <w:szCs w:val="20"/>
              </w:rPr>
            </w:pPr>
          </w:p>
        </w:tc>
        <w:tc>
          <w:tcPr>
            <w:tcW w:w="0" w:type="auto"/>
            <w:gridSpan w:val="3"/>
            <w:vAlign w:val="center"/>
            <w:hideMark/>
          </w:tcPr>
          <w:p w14:paraId="44C903C1" w14:textId="77777777" w:rsidR="00000000" w:rsidRDefault="00A173A8">
            <w:pPr>
              <w:spacing w:after="100"/>
              <w:rPr>
                <w:rFonts w:eastAsia="Times New Roman"/>
                <w:sz w:val="20"/>
                <w:szCs w:val="20"/>
              </w:rPr>
            </w:pPr>
          </w:p>
        </w:tc>
        <w:tc>
          <w:tcPr>
            <w:tcW w:w="0" w:type="auto"/>
            <w:gridSpan w:val="3"/>
            <w:vAlign w:val="center"/>
            <w:hideMark/>
          </w:tcPr>
          <w:p w14:paraId="6EA1CA84" w14:textId="77777777" w:rsidR="00000000" w:rsidRDefault="00A173A8">
            <w:pPr>
              <w:spacing w:after="100"/>
              <w:rPr>
                <w:rFonts w:eastAsia="Times New Roman"/>
                <w:sz w:val="20"/>
                <w:szCs w:val="20"/>
              </w:rPr>
            </w:pPr>
          </w:p>
        </w:tc>
        <w:tc>
          <w:tcPr>
            <w:tcW w:w="0" w:type="auto"/>
            <w:gridSpan w:val="3"/>
            <w:vAlign w:val="center"/>
            <w:hideMark/>
          </w:tcPr>
          <w:p w14:paraId="4FE32E20" w14:textId="77777777" w:rsidR="00000000" w:rsidRDefault="00A173A8">
            <w:pPr>
              <w:spacing w:after="100"/>
              <w:rPr>
                <w:rFonts w:eastAsia="Times New Roman"/>
                <w:sz w:val="20"/>
                <w:szCs w:val="20"/>
              </w:rPr>
            </w:pPr>
          </w:p>
        </w:tc>
        <w:tc>
          <w:tcPr>
            <w:tcW w:w="0" w:type="auto"/>
            <w:gridSpan w:val="3"/>
            <w:vAlign w:val="center"/>
            <w:hideMark/>
          </w:tcPr>
          <w:p w14:paraId="596D6B59" w14:textId="77777777" w:rsidR="00000000" w:rsidRDefault="00A173A8">
            <w:pPr>
              <w:spacing w:after="100"/>
              <w:rPr>
                <w:rFonts w:eastAsia="Times New Roman"/>
                <w:sz w:val="20"/>
                <w:szCs w:val="20"/>
              </w:rPr>
            </w:pPr>
          </w:p>
        </w:tc>
        <w:tc>
          <w:tcPr>
            <w:tcW w:w="0" w:type="auto"/>
            <w:gridSpan w:val="3"/>
            <w:vAlign w:val="center"/>
            <w:hideMark/>
          </w:tcPr>
          <w:p w14:paraId="55BC1A7C" w14:textId="77777777" w:rsidR="00000000" w:rsidRDefault="00A173A8">
            <w:pPr>
              <w:spacing w:after="100"/>
              <w:rPr>
                <w:rFonts w:eastAsia="Times New Roman"/>
                <w:sz w:val="20"/>
                <w:szCs w:val="20"/>
              </w:rPr>
            </w:pPr>
          </w:p>
        </w:tc>
        <w:tc>
          <w:tcPr>
            <w:tcW w:w="0" w:type="auto"/>
            <w:gridSpan w:val="3"/>
            <w:vAlign w:val="center"/>
            <w:hideMark/>
          </w:tcPr>
          <w:p w14:paraId="2C50E921" w14:textId="77777777" w:rsidR="00000000" w:rsidRDefault="00A173A8">
            <w:pPr>
              <w:spacing w:after="100"/>
              <w:rPr>
                <w:rFonts w:eastAsia="Times New Roman"/>
                <w:sz w:val="20"/>
                <w:szCs w:val="20"/>
              </w:rPr>
            </w:pPr>
          </w:p>
        </w:tc>
      </w:tr>
      <w:tr w:rsidR="00000000" w14:paraId="26F7C7E8" w14:textId="77777777">
        <w:trPr>
          <w:divId w:val="412776420"/>
        </w:trPr>
        <w:tc>
          <w:tcPr>
            <w:tcW w:w="0" w:type="auto"/>
            <w:gridSpan w:val="3"/>
            <w:vAlign w:val="center"/>
            <w:hideMark/>
          </w:tcPr>
          <w:p w14:paraId="71FB3613" w14:textId="77777777" w:rsidR="00000000" w:rsidRDefault="00A173A8">
            <w:pPr>
              <w:spacing w:after="100"/>
              <w:rPr>
                <w:rFonts w:eastAsia="Times New Roman"/>
                <w:sz w:val="20"/>
                <w:szCs w:val="20"/>
              </w:rPr>
            </w:pPr>
          </w:p>
        </w:tc>
        <w:tc>
          <w:tcPr>
            <w:tcW w:w="0" w:type="auto"/>
            <w:gridSpan w:val="3"/>
            <w:vAlign w:val="center"/>
            <w:hideMark/>
          </w:tcPr>
          <w:p w14:paraId="4D566E56" w14:textId="77777777" w:rsidR="00000000" w:rsidRDefault="00A173A8">
            <w:pPr>
              <w:spacing w:after="100"/>
              <w:rPr>
                <w:rFonts w:eastAsia="Times New Roman"/>
                <w:sz w:val="20"/>
                <w:szCs w:val="20"/>
              </w:rPr>
            </w:pPr>
          </w:p>
        </w:tc>
        <w:tc>
          <w:tcPr>
            <w:tcW w:w="0" w:type="auto"/>
            <w:gridSpan w:val="3"/>
            <w:vAlign w:val="center"/>
            <w:hideMark/>
          </w:tcPr>
          <w:p w14:paraId="07D3C7C4" w14:textId="77777777" w:rsidR="00000000" w:rsidRDefault="00A173A8">
            <w:pPr>
              <w:spacing w:after="100"/>
              <w:rPr>
                <w:rFonts w:eastAsia="Times New Roman"/>
                <w:sz w:val="20"/>
                <w:szCs w:val="20"/>
              </w:rPr>
            </w:pPr>
          </w:p>
        </w:tc>
        <w:tc>
          <w:tcPr>
            <w:tcW w:w="0" w:type="auto"/>
            <w:gridSpan w:val="3"/>
            <w:vAlign w:val="center"/>
            <w:hideMark/>
          </w:tcPr>
          <w:p w14:paraId="62A35A9B" w14:textId="77777777" w:rsidR="00000000" w:rsidRDefault="00A173A8">
            <w:pPr>
              <w:spacing w:after="100"/>
              <w:rPr>
                <w:rFonts w:eastAsia="Times New Roman"/>
                <w:sz w:val="20"/>
                <w:szCs w:val="20"/>
              </w:rPr>
            </w:pPr>
          </w:p>
        </w:tc>
        <w:tc>
          <w:tcPr>
            <w:tcW w:w="0" w:type="auto"/>
            <w:gridSpan w:val="3"/>
            <w:vAlign w:val="center"/>
            <w:hideMark/>
          </w:tcPr>
          <w:p w14:paraId="2FD7D330" w14:textId="77777777" w:rsidR="00000000" w:rsidRDefault="00A173A8">
            <w:pPr>
              <w:spacing w:after="100"/>
              <w:rPr>
                <w:rFonts w:eastAsia="Times New Roman"/>
                <w:sz w:val="20"/>
                <w:szCs w:val="20"/>
              </w:rPr>
            </w:pPr>
          </w:p>
        </w:tc>
        <w:tc>
          <w:tcPr>
            <w:tcW w:w="0" w:type="auto"/>
            <w:gridSpan w:val="3"/>
            <w:vAlign w:val="center"/>
            <w:hideMark/>
          </w:tcPr>
          <w:p w14:paraId="05CD9AFA" w14:textId="77777777" w:rsidR="00000000" w:rsidRDefault="00A173A8">
            <w:pPr>
              <w:spacing w:after="100"/>
              <w:rPr>
                <w:rFonts w:eastAsia="Times New Roman"/>
                <w:sz w:val="20"/>
                <w:szCs w:val="20"/>
              </w:rPr>
            </w:pPr>
          </w:p>
        </w:tc>
        <w:tc>
          <w:tcPr>
            <w:tcW w:w="0" w:type="auto"/>
            <w:gridSpan w:val="3"/>
            <w:vAlign w:val="center"/>
            <w:hideMark/>
          </w:tcPr>
          <w:p w14:paraId="3BBF27B0" w14:textId="77777777" w:rsidR="00000000" w:rsidRDefault="00A173A8">
            <w:pPr>
              <w:spacing w:after="100"/>
              <w:rPr>
                <w:rFonts w:eastAsia="Times New Roman"/>
                <w:sz w:val="20"/>
                <w:szCs w:val="20"/>
              </w:rPr>
            </w:pPr>
          </w:p>
        </w:tc>
        <w:tc>
          <w:tcPr>
            <w:tcW w:w="0" w:type="auto"/>
            <w:gridSpan w:val="3"/>
            <w:vAlign w:val="center"/>
            <w:hideMark/>
          </w:tcPr>
          <w:p w14:paraId="2F624DA0" w14:textId="77777777" w:rsidR="00000000" w:rsidRDefault="00A173A8">
            <w:pPr>
              <w:spacing w:after="100"/>
              <w:rPr>
                <w:rFonts w:eastAsia="Times New Roman"/>
                <w:sz w:val="20"/>
                <w:szCs w:val="20"/>
              </w:rPr>
            </w:pPr>
          </w:p>
        </w:tc>
        <w:tc>
          <w:tcPr>
            <w:tcW w:w="0" w:type="auto"/>
            <w:gridSpan w:val="3"/>
            <w:vAlign w:val="center"/>
            <w:hideMark/>
          </w:tcPr>
          <w:p w14:paraId="6948BFED" w14:textId="77777777" w:rsidR="00000000" w:rsidRDefault="00A173A8">
            <w:pPr>
              <w:spacing w:after="100"/>
              <w:rPr>
                <w:rFonts w:eastAsia="Times New Roman"/>
                <w:sz w:val="20"/>
                <w:szCs w:val="20"/>
              </w:rPr>
            </w:pPr>
          </w:p>
        </w:tc>
      </w:tr>
      <w:tr w:rsidR="00000000" w14:paraId="4ED2FCBC" w14:textId="77777777">
        <w:trPr>
          <w:divId w:val="412776420"/>
        </w:trPr>
        <w:tc>
          <w:tcPr>
            <w:tcW w:w="0" w:type="auto"/>
            <w:gridSpan w:val="3"/>
            <w:vAlign w:val="center"/>
            <w:hideMark/>
          </w:tcPr>
          <w:p w14:paraId="0ABCDCD6" w14:textId="77777777" w:rsidR="00000000" w:rsidRDefault="00A173A8">
            <w:pPr>
              <w:spacing w:after="100"/>
              <w:rPr>
                <w:rFonts w:eastAsia="Times New Roman"/>
                <w:sz w:val="20"/>
                <w:szCs w:val="20"/>
              </w:rPr>
            </w:pPr>
          </w:p>
        </w:tc>
        <w:tc>
          <w:tcPr>
            <w:tcW w:w="0" w:type="auto"/>
            <w:gridSpan w:val="3"/>
            <w:vAlign w:val="center"/>
            <w:hideMark/>
          </w:tcPr>
          <w:p w14:paraId="0A70B126" w14:textId="77777777" w:rsidR="00000000" w:rsidRDefault="00A173A8">
            <w:pPr>
              <w:spacing w:after="100"/>
              <w:rPr>
                <w:rFonts w:eastAsia="Times New Roman"/>
                <w:sz w:val="20"/>
                <w:szCs w:val="20"/>
              </w:rPr>
            </w:pPr>
          </w:p>
        </w:tc>
        <w:tc>
          <w:tcPr>
            <w:tcW w:w="0" w:type="auto"/>
            <w:gridSpan w:val="3"/>
            <w:vAlign w:val="center"/>
            <w:hideMark/>
          </w:tcPr>
          <w:p w14:paraId="2048A326" w14:textId="77777777" w:rsidR="00000000" w:rsidRDefault="00A173A8">
            <w:pPr>
              <w:spacing w:after="100"/>
              <w:rPr>
                <w:rFonts w:eastAsia="Times New Roman"/>
                <w:sz w:val="20"/>
                <w:szCs w:val="20"/>
              </w:rPr>
            </w:pPr>
          </w:p>
        </w:tc>
        <w:tc>
          <w:tcPr>
            <w:tcW w:w="0" w:type="auto"/>
            <w:gridSpan w:val="3"/>
            <w:vAlign w:val="center"/>
            <w:hideMark/>
          </w:tcPr>
          <w:p w14:paraId="1DA79FF4" w14:textId="77777777" w:rsidR="00000000" w:rsidRDefault="00A173A8">
            <w:pPr>
              <w:spacing w:after="100"/>
              <w:rPr>
                <w:rFonts w:eastAsia="Times New Roman"/>
                <w:sz w:val="20"/>
                <w:szCs w:val="20"/>
              </w:rPr>
            </w:pPr>
          </w:p>
        </w:tc>
        <w:tc>
          <w:tcPr>
            <w:tcW w:w="0" w:type="auto"/>
            <w:gridSpan w:val="3"/>
            <w:vAlign w:val="center"/>
            <w:hideMark/>
          </w:tcPr>
          <w:p w14:paraId="42B0217E" w14:textId="77777777" w:rsidR="00000000" w:rsidRDefault="00A173A8">
            <w:pPr>
              <w:spacing w:after="100"/>
              <w:rPr>
                <w:rFonts w:eastAsia="Times New Roman"/>
                <w:sz w:val="20"/>
                <w:szCs w:val="20"/>
              </w:rPr>
            </w:pPr>
          </w:p>
        </w:tc>
        <w:tc>
          <w:tcPr>
            <w:tcW w:w="0" w:type="auto"/>
            <w:gridSpan w:val="3"/>
            <w:vAlign w:val="center"/>
            <w:hideMark/>
          </w:tcPr>
          <w:p w14:paraId="7A01AE0B" w14:textId="77777777" w:rsidR="00000000" w:rsidRDefault="00A173A8">
            <w:pPr>
              <w:spacing w:after="100"/>
              <w:rPr>
                <w:rFonts w:eastAsia="Times New Roman"/>
                <w:sz w:val="20"/>
                <w:szCs w:val="20"/>
              </w:rPr>
            </w:pPr>
          </w:p>
        </w:tc>
        <w:tc>
          <w:tcPr>
            <w:tcW w:w="0" w:type="auto"/>
            <w:gridSpan w:val="3"/>
            <w:vAlign w:val="center"/>
            <w:hideMark/>
          </w:tcPr>
          <w:p w14:paraId="2D7EE2F2" w14:textId="77777777" w:rsidR="00000000" w:rsidRDefault="00A173A8">
            <w:pPr>
              <w:spacing w:after="100"/>
              <w:rPr>
                <w:rFonts w:eastAsia="Times New Roman"/>
                <w:sz w:val="20"/>
                <w:szCs w:val="20"/>
              </w:rPr>
            </w:pPr>
          </w:p>
        </w:tc>
        <w:tc>
          <w:tcPr>
            <w:tcW w:w="0" w:type="auto"/>
            <w:gridSpan w:val="3"/>
            <w:vAlign w:val="center"/>
            <w:hideMark/>
          </w:tcPr>
          <w:p w14:paraId="77D516A2" w14:textId="77777777" w:rsidR="00000000" w:rsidRDefault="00A173A8">
            <w:pPr>
              <w:spacing w:after="100"/>
              <w:rPr>
                <w:rFonts w:eastAsia="Times New Roman"/>
                <w:sz w:val="20"/>
                <w:szCs w:val="20"/>
              </w:rPr>
            </w:pPr>
          </w:p>
        </w:tc>
        <w:tc>
          <w:tcPr>
            <w:tcW w:w="0" w:type="auto"/>
            <w:gridSpan w:val="3"/>
            <w:vAlign w:val="center"/>
            <w:hideMark/>
          </w:tcPr>
          <w:p w14:paraId="44D231F2" w14:textId="77777777" w:rsidR="00000000" w:rsidRDefault="00A173A8">
            <w:pPr>
              <w:spacing w:after="100"/>
              <w:rPr>
                <w:rFonts w:eastAsia="Times New Roman"/>
                <w:sz w:val="20"/>
                <w:szCs w:val="20"/>
              </w:rPr>
            </w:pPr>
          </w:p>
        </w:tc>
      </w:tr>
      <w:tr w:rsidR="00000000" w14:paraId="4D2C0E0E" w14:textId="77777777">
        <w:trPr>
          <w:divId w:val="41277642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F36A0C0" w14:textId="77777777" w:rsidR="00000000" w:rsidRDefault="00A173A8">
            <w:pPr>
              <w:spacing w:after="100"/>
              <w:rPr>
                <w:rFonts w:eastAsia="Times New Roman"/>
              </w:rPr>
            </w:pPr>
            <w:r>
              <w:rPr>
                <w:rFonts w:eastAsia="Times New Roman"/>
                <w:color w:val="000000"/>
                <w:sz w:val="18"/>
                <w:szCs w:val="18"/>
              </w:rPr>
              <w:t>Balance as of December 31, 2021</w:t>
            </w:r>
          </w:p>
        </w:tc>
        <w:tc>
          <w:tcPr>
            <w:tcW w:w="0" w:type="auto"/>
            <w:gridSpan w:val="3"/>
            <w:shd w:val="clear" w:color="auto" w:fill="CCEEFF"/>
            <w:tcMar>
              <w:top w:w="0" w:type="dxa"/>
              <w:left w:w="20" w:type="dxa"/>
              <w:bottom w:w="0" w:type="dxa"/>
              <w:right w:w="20" w:type="dxa"/>
            </w:tcMar>
            <w:vAlign w:val="center"/>
            <w:hideMark/>
          </w:tcPr>
          <w:p w14:paraId="3DC1A12B"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850CA0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E6385D2" w14:textId="77777777" w:rsidR="00000000" w:rsidRDefault="00A173A8">
            <w:pPr>
              <w:spacing w:after="100"/>
              <w:jc w:val="right"/>
              <w:rPr>
                <w:rFonts w:eastAsia="Times New Roman"/>
              </w:rPr>
            </w:pPr>
            <w:r>
              <w:rPr>
                <w:rFonts w:eastAsia="Times New Roman"/>
                <w:color w:val="000000"/>
                <w:sz w:val="18"/>
                <w:szCs w:val="18"/>
              </w:rPr>
              <w:t>5,087 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11BF3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1EA2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FE11BC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9F3AF48" w14:textId="77777777" w:rsidR="00000000" w:rsidRDefault="00A173A8">
            <w:pPr>
              <w:spacing w:after="100"/>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983F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B6387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CA1406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1300C47" w14:textId="77777777" w:rsidR="00000000" w:rsidRDefault="00A173A8">
            <w:pPr>
              <w:spacing w:after="100"/>
              <w:jc w:val="right"/>
              <w:rPr>
                <w:rFonts w:eastAsia="Times New Roman"/>
              </w:rPr>
            </w:pPr>
            <w:r>
              <w:rPr>
                <w:rFonts w:eastAsia="Times New Roman"/>
                <w:color w:val="000000"/>
                <w:sz w:val="18"/>
                <w:szCs w:val="18"/>
              </w:rPr>
              <w:t>5,050 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53D25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A1A1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386E7A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972A819" w14:textId="77777777" w:rsidR="00000000" w:rsidRDefault="00A173A8">
            <w:pPr>
              <w:spacing w:after="100"/>
              <w:jc w:val="right"/>
              <w:rPr>
                <w:rFonts w:eastAsia="Times New Roman"/>
              </w:rPr>
            </w:pPr>
            <w:r>
              <w:rPr>
                <w:rFonts w:eastAsia="Times New Roman"/>
                <w:color w:val="000000"/>
                <w:sz w:val="18"/>
                <w:szCs w:val="18"/>
              </w:rPr>
              <w:t>14,782 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EA78F2B" w14:textId="77777777" w:rsidR="00000000" w:rsidRDefault="00A173A8">
            <w:pPr>
              <w:spacing w:after="100"/>
              <w:jc w:val="right"/>
              <w:rPr>
                <w:rFonts w:eastAsia="Times New Roman"/>
              </w:rPr>
            </w:pPr>
          </w:p>
        </w:tc>
      </w:tr>
      <w:tr w:rsidR="00000000" w14:paraId="07905145" w14:textId="77777777">
        <w:trPr>
          <w:divId w:val="412776420"/>
        </w:trPr>
        <w:tc>
          <w:tcPr>
            <w:tcW w:w="0" w:type="auto"/>
            <w:gridSpan w:val="3"/>
            <w:vAlign w:val="center"/>
            <w:hideMark/>
          </w:tcPr>
          <w:p w14:paraId="2E241A16" w14:textId="77777777" w:rsidR="00000000" w:rsidRDefault="00A173A8">
            <w:pPr>
              <w:spacing w:after="100"/>
              <w:jc w:val="right"/>
              <w:rPr>
                <w:rFonts w:eastAsia="Times New Roman"/>
                <w:sz w:val="20"/>
                <w:szCs w:val="20"/>
              </w:rPr>
            </w:pPr>
          </w:p>
        </w:tc>
        <w:tc>
          <w:tcPr>
            <w:tcW w:w="0" w:type="auto"/>
            <w:gridSpan w:val="3"/>
            <w:vAlign w:val="center"/>
            <w:hideMark/>
          </w:tcPr>
          <w:p w14:paraId="3A098028" w14:textId="77777777" w:rsidR="00000000" w:rsidRDefault="00A173A8">
            <w:pPr>
              <w:spacing w:after="100"/>
              <w:rPr>
                <w:rFonts w:eastAsia="Times New Roman"/>
                <w:sz w:val="20"/>
                <w:szCs w:val="20"/>
              </w:rPr>
            </w:pPr>
          </w:p>
        </w:tc>
        <w:tc>
          <w:tcPr>
            <w:tcW w:w="0" w:type="auto"/>
            <w:gridSpan w:val="3"/>
            <w:vAlign w:val="center"/>
            <w:hideMark/>
          </w:tcPr>
          <w:p w14:paraId="198640EC" w14:textId="77777777" w:rsidR="00000000" w:rsidRDefault="00A173A8">
            <w:pPr>
              <w:spacing w:after="100"/>
              <w:rPr>
                <w:rFonts w:eastAsia="Times New Roman"/>
                <w:sz w:val="20"/>
                <w:szCs w:val="20"/>
              </w:rPr>
            </w:pPr>
          </w:p>
        </w:tc>
        <w:tc>
          <w:tcPr>
            <w:tcW w:w="0" w:type="auto"/>
            <w:gridSpan w:val="3"/>
            <w:vAlign w:val="center"/>
            <w:hideMark/>
          </w:tcPr>
          <w:p w14:paraId="4E754EA9" w14:textId="77777777" w:rsidR="00000000" w:rsidRDefault="00A173A8">
            <w:pPr>
              <w:spacing w:after="100"/>
              <w:rPr>
                <w:rFonts w:eastAsia="Times New Roman"/>
                <w:sz w:val="20"/>
                <w:szCs w:val="20"/>
              </w:rPr>
            </w:pPr>
          </w:p>
        </w:tc>
        <w:tc>
          <w:tcPr>
            <w:tcW w:w="0" w:type="auto"/>
            <w:gridSpan w:val="3"/>
            <w:vAlign w:val="center"/>
            <w:hideMark/>
          </w:tcPr>
          <w:p w14:paraId="05579AB1" w14:textId="77777777" w:rsidR="00000000" w:rsidRDefault="00A173A8">
            <w:pPr>
              <w:spacing w:after="100"/>
              <w:rPr>
                <w:rFonts w:eastAsia="Times New Roman"/>
                <w:sz w:val="20"/>
                <w:szCs w:val="20"/>
              </w:rPr>
            </w:pPr>
          </w:p>
        </w:tc>
        <w:tc>
          <w:tcPr>
            <w:tcW w:w="0" w:type="auto"/>
            <w:gridSpan w:val="3"/>
            <w:vAlign w:val="center"/>
            <w:hideMark/>
          </w:tcPr>
          <w:p w14:paraId="0CD61DFE" w14:textId="77777777" w:rsidR="00000000" w:rsidRDefault="00A173A8">
            <w:pPr>
              <w:spacing w:after="100"/>
              <w:rPr>
                <w:rFonts w:eastAsia="Times New Roman"/>
                <w:sz w:val="20"/>
                <w:szCs w:val="20"/>
              </w:rPr>
            </w:pPr>
          </w:p>
        </w:tc>
        <w:tc>
          <w:tcPr>
            <w:tcW w:w="0" w:type="auto"/>
            <w:gridSpan w:val="3"/>
            <w:vAlign w:val="center"/>
            <w:hideMark/>
          </w:tcPr>
          <w:p w14:paraId="0D495AC4" w14:textId="77777777" w:rsidR="00000000" w:rsidRDefault="00A173A8">
            <w:pPr>
              <w:spacing w:after="100"/>
              <w:rPr>
                <w:rFonts w:eastAsia="Times New Roman"/>
                <w:sz w:val="20"/>
                <w:szCs w:val="20"/>
              </w:rPr>
            </w:pPr>
          </w:p>
        </w:tc>
        <w:tc>
          <w:tcPr>
            <w:tcW w:w="0" w:type="auto"/>
            <w:gridSpan w:val="3"/>
            <w:vAlign w:val="center"/>
            <w:hideMark/>
          </w:tcPr>
          <w:p w14:paraId="522BBB3D" w14:textId="77777777" w:rsidR="00000000" w:rsidRDefault="00A173A8">
            <w:pPr>
              <w:spacing w:after="100"/>
              <w:rPr>
                <w:rFonts w:eastAsia="Times New Roman"/>
                <w:sz w:val="20"/>
                <w:szCs w:val="20"/>
              </w:rPr>
            </w:pPr>
          </w:p>
        </w:tc>
        <w:tc>
          <w:tcPr>
            <w:tcW w:w="0" w:type="auto"/>
            <w:gridSpan w:val="3"/>
            <w:vAlign w:val="center"/>
            <w:hideMark/>
          </w:tcPr>
          <w:p w14:paraId="72BAE92D" w14:textId="77777777" w:rsidR="00000000" w:rsidRDefault="00A173A8">
            <w:pPr>
              <w:spacing w:after="100"/>
              <w:rPr>
                <w:rFonts w:eastAsia="Times New Roman"/>
                <w:sz w:val="20"/>
                <w:szCs w:val="20"/>
              </w:rPr>
            </w:pPr>
          </w:p>
        </w:tc>
      </w:tr>
      <w:tr w:rsidR="00000000" w14:paraId="32FDEDA6" w14:textId="77777777">
        <w:trPr>
          <w:divId w:val="412776420"/>
        </w:trPr>
        <w:tc>
          <w:tcPr>
            <w:tcW w:w="0" w:type="auto"/>
            <w:gridSpan w:val="3"/>
            <w:vAlign w:val="center"/>
            <w:hideMark/>
          </w:tcPr>
          <w:p w14:paraId="468A8986" w14:textId="77777777" w:rsidR="00000000" w:rsidRDefault="00A173A8">
            <w:pPr>
              <w:spacing w:after="100"/>
              <w:rPr>
                <w:rFonts w:eastAsia="Times New Roman"/>
                <w:sz w:val="20"/>
                <w:szCs w:val="20"/>
              </w:rPr>
            </w:pPr>
          </w:p>
        </w:tc>
        <w:tc>
          <w:tcPr>
            <w:tcW w:w="0" w:type="auto"/>
            <w:gridSpan w:val="3"/>
            <w:vAlign w:val="center"/>
            <w:hideMark/>
          </w:tcPr>
          <w:p w14:paraId="4BCAC221" w14:textId="77777777" w:rsidR="00000000" w:rsidRDefault="00A173A8">
            <w:pPr>
              <w:spacing w:after="100"/>
              <w:rPr>
                <w:rFonts w:eastAsia="Times New Roman"/>
                <w:sz w:val="20"/>
                <w:szCs w:val="20"/>
              </w:rPr>
            </w:pPr>
          </w:p>
        </w:tc>
        <w:tc>
          <w:tcPr>
            <w:tcW w:w="0" w:type="auto"/>
            <w:gridSpan w:val="3"/>
            <w:vAlign w:val="center"/>
            <w:hideMark/>
          </w:tcPr>
          <w:p w14:paraId="3C864DC5" w14:textId="77777777" w:rsidR="00000000" w:rsidRDefault="00A173A8">
            <w:pPr>
              <w:spacing w:after="100"/>
              <w:rPr>
                <w:rFonts w:eastAsia="Times New Roman"/>
                <w:sz w:val="20"/>
                <w:szCs w:val="20"/>
              </w:rPr>
            </w:pPr>
          </w:p>
        </w:tc>
        <w:tc>
          <w:tcPr>
            <w:tcW w:w="0" w:type="auto"/>
            <w:gridSpan w:val="3"/>
            <w:vAlign w:val="center"/>
            <w:hideMark/>
          </w:tcPr>
          <w:p w14:paraId="076259FC" w14:textId="77777777" w:rsidR="00000000" w:rsidRDefault="00A173A8">
            <w:pPr>
              <w:spacing w:after="100"/>
              <w:rPr>
                <w:rFonts w:eastAsia="Times New Roman"/>
                <w:sz w:val="20"/>
                <w:szCs w:val="20"/>
              </w:rPr>
            </w:pPr>
          </w:p>
        </w:tc>
        <w:tc>
          <w:tcPr>
            <w:tcW w:w="0" w:type="auto"/>
            <w:gridSpan w:val="3"/>
            <w:vAlign w:val="center"/>
            <w:hideMark/>
          </w:tcPr>
          <w:p w14:paraId="6322BCBC" w14:textId="77777777" w:rsidR="00000000" w:rsidRDefault="00A173A8">
            <w:pPr>
              <w:spacing w:after="100"/>
              <w:rPr>
                <w:rFonts w:eastAsia="Times New Roman"/>
                <w:sz w:val="20"/>
                <w:szCs w:val="20"/>
              </w:rPr>
            </w:pPr>
          </w:p>
        </w:tc>
        <w:tc>
          <w:tcPr>
            <w:tcW w:w="0" w:type="auto"/>
            <w:gridSpan w:val="3"/>
            <w:vAlign w:val="center"/>
            <w:hideMark/>
          </w:tcPr>
          <w:p w14:paraId="46AF6E3C" w14:textId="77777777" w:rsidR="00000000" w:rsidRDefault="00A173A8">
            <w:pPr>
              <w:spacing w:after="100"/>
              <w:rPr>
                <w:rFonts w:eastAsia="Times New Roman"/>
                <w:sz w:val="20"/>
                <w:szCs w:val="20"/>
              </w:rPr>
            </w:pPr>
          </w:p>
        </w:tc>
        <w:tc>
          <w:tcPr>
            <w:tcW w:w="0" w:type="auto"/>
            <w:gridSpan w:val="3"/>
            <w:vAlign w:val="center"/>
            <w:hideMark/>
          </w:tcPr>
          <w:p w14:paraId="5324C9E3" w14:textId="77777777" w:rsidR="00000000" w:rsidRDefault="00A173A8">
            <w:pPr>
              <w:spacing w:after="100"/>
              <w:rPr>
                <w:rFonts w:eastAsia="Times New Roman"/>
                <w:sz w:val="20"/>
                <w:szCs w:val="20"/>
              </w:rPr>
            </w:pPr>
          </w:p>
        </w:tc>
        <w:tc>
          <w:tcPr>
            <w:tcW w:w="0" w:type="auto"/>
            <w:gridSpan w:val="3"/>
            <w:vAlign w:val="center"/>
            <w:hideMark/>
          </w:tcPr>
          <w:p w14:paraId="4561FE5A" w14:textId="77777777" w:rsidR="00000000" w:rsidRDefault="00A173A8">
            <w:pPr>
              <w:spacing w:after="100"/>
              <w:rPr>
                <w:rFonts w:eastAsia="Times New Roman"/>
                <w:sz w:val="20"/>
                <w:szCs w:val="20"/>
              </w:rPr>
            </w:pPr>
          </w:p>
        </w:tc>
        <w:tc>
          <w:tcPr>
            <w:tcW w:w="0" w:type="auto"/>
            <w:gridSpan w:val="3"/>
            <w:vAlign w:val="center"/>
            <w:hideMark/>
          </w:tcPr>
          <w:p w14:paraId="5B67AA52" w14:textId="77777777" w:rsidR="00000000" w:rsidRDefault="00A173A8">
            <w:pPr>
              <w:spacing w:after="100"/>
              <w:rPr>
                <w:rFonts w:eastAsia="Times New Roman"/>
                <w:sz w:val="20"/>
                <w:szCs w:val="20"/>
              </w:rPr>
            </w:pPr>
          </w:p>
        </w:tc>
      </w:tr>
      <w:tr w:rsidR="00000000" w14:paraId="0C62BBC9" w14:textId="77777777">
        <w:trPr>
          <w:divId w:val="412776420"/>
        </w:trPr>
        <w:tc>
          <w:tcPr>
            <w:tcW w:w="0" w:type="auto"/>
            <w:gridSpan w:val="3"/>
            <w:shd w:val="clear" w:color="auto" w:fill="FFFFFF"/>
            <w:tcMar>
              <w:top w:w="30" w:type="dxa"/>
              <w:left w:w="20" w:type="dxa"/>
              <w:bottom w:w="30" w:type="dxa"/>
              <w:right w:w="20" w:type="dxa"/>
            </w:tcMar>
            <w:vAlign w:val="center"/>
            <w:hideMark/>
          </w:tcPr>
          <w:p w14:paraId="5292B552" w14:textId="77777777" w:rsidR="00000000" w:rsidRDefault="00A173A8">
            <w:pPr>
              <w:spacing w:after="100"/>
              <w:divId w:val="1799568652"/>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142F79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210570" w14:textId="77777777" w:rsidR="00000000" w:rsidRDefault="00A173A8">
            <w:pPr>
              <w:spacing w:after="100"/>
              <w:jc w:val="right"/>
              <w:rPr>
                <w:rFonts w:eastAsia="Times New Roman"/>
              </w:rPr>
            </w:pPr>
            <w:r>
              <w:rPr>
                <w:rFonts w:eastAsia="Times New Roman"/>
                <w:b/>
                <w:bCs/>
                <w:color w:val="000000"/>
                <w:sz w:val="18"/>
                <w:szCs w:val="18"/>
              </w:rPr>
              <w:t>(8)</w:t>
            </w:r>
          </w:p>
        </w:tc>
        <w:tc>
          <w:tcPr>
            <w:tcW w:w="0" w:type="auto"/>
            <w:shd w:val="clear" w:color="auto" w:fill="FFFFFF"/>
            <w:tcMar>
              <w:top w:w="30" w:type="dxa"/>
              <w:left w:w="0" w:type="dxa"/>
              <w:bottom w:w="30" w:type="dxa"/>
              <w:right w:w="20" w:type="dxa"/>
            </w:tcMar>
            <w:vAlign w:val="center"/>
            <w:hideMark/>
          </w:tcPr>
          <w:p w14:paraId="4ADA929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7BE0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82957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BADF9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5131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FB6307"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712EA6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B7F3C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0FB1CB" w14:textId="77777777" w:rsidR="00000000" w:rsidRDefault="00A173A8">
            <w:pPr>
              <w:spacing w:after="100"/>
              <w:jc w:val="right"/>
              <w:rPr>
                <w:rFonts w:eastAsia="Times New Roman"/>
              </w:rPr>
            </w:pPr>
            <w:r>
              <w:rPr>
                <w:rFonts w:eastAsia="Times New Roman"/>
                <w:b/>
                <w:bCs/>
                <w:color w:val="000000"/>
                <w:sz w:val="18"/>
                <w:szCs w:val="18"/>
              </w:rPr>
              <w:t>(4)</w:t>
            </w:r>
          </w:p>
        </w:tc>
        <w:tc>
          <w:tcPr>
            <w:tcW w:w="0" w:type="auto"/>
            <w:shd w:val="clear" w:color="auto" w:fill="FFFFFF"/>
            <w:tcMar>
              <w:top w:w="30" w:type="dxa"/>
              <w:left w:w="0" w:type="dxa"/>
              <w:bottom w:w="30" w:type="dxa"/>
              <w:right w:w="20" w:type="dxa"/>
            </w:tcMar>
            <w:vAlign w:val="center"/>
            <w:hideMark/>
          </w:tcPr>
          <w:p w14:paraId="0424A1E0" w14:textId="77777777" w:rsidR="00000000" w:rsidRDefault="00A173A8">
            <w:pPr>
              <w:spacing w:after="100"/>
              <w:jc w:val="right"/>
              <w:rPr>
                <w:rFonts w:eastAsia="Times New Roman"/>
              </w:rPr>
            </w:pPr>
          </w:p>
        </w:tc>
      </w:tr>
      <w:tr w:rsidR="00000000" w14:paraId="33D99204" w14:textId="77777777">
        <w:trPr>
          <w:divId w:val="412776420"/>
        </w:trPr>
        <w:tc>
          <w:tcPr>
            <w:tcW w:w="0" w:type="auto"/>
            <w:gridSpan w:val="3"/>
            <w:shd w:val="clear" w:color="auto" w:fill="CCEEFF"/>
            <w:tcMar>
              <w:top w:w="30" w:type="dxa"/>
              <w:left w:w="20" w:type="dxa"/>
              <w:bottom w:w="30" w:type="dxa"/>
              <w:right w:w="20" w:type="dxa"/>
            </w:tcMar>
            <w:vAlign w:val="center"/>
            <w:hideMark/>
          </w:tcPr>
          <w:p w14:paraId="42CAC458" w14:textId="77777777" w:rsidR="00000000" w:rsidRDefault="00A173A8">
            <w:pPr>
              <w:spacing w:after="100"/>
              <w:rPr>
                <w:rFonts w:eastAsia="Times New Roman"/>
              </w:rPr>
            </w:pPr>
            <w:r>
              <w:rPr>
                <w:rFonts w:eastAsia="Times New Roman"/>
                <w:color w:val="000000"/>
                <w:sz w:val="18"/>
                <w:szCs w:val="18"/>
              </w:rPr>
              <w:t>Balance as of June 30, 2022</w:t>
            </w:r>
          </w:p>
        </w:tc>
        <w:tc>
          <w:tcPr>
            <w:tcW w:w="0" w:type="auto"/>
            <w:gridSpan w:val="3"/>
            <w:shd w:val="clear" w:color="auto" w:fill="CCEEFF"/>
            <w:tcMar>
              <w:top w:w="0" w:type="dxa"/>
              <w:left w:w="20" w:type="dxa"/>
              <w:bottom w:w="0" w:type="dxa"/>
              <w:right w:w="20" w:type="dxa"/>
            </w:tcMar>
            <w:vAlign w:val="center"/>
            <w:hideMark/>
          </w:tcPr>
          <w:p w14:paraId="77DB31E4"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F15F46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84F22DC" w14:textId="77777777" w:rsidR="00000000" w:rsidRDefault="00A173A8">
            <w:pPr>
              <w:spacing w:after="100"/>
              <w:jc w:val="right"/>
              <w:rPr>
                <w:rFonts w:eastAsia="Times New Roman"/>
              </w:rPr>
            </w:pPr>
            <w:r>
              <w:rPr>
                <w:rFonts w:eastAsia="Times New Roman"/>
                <w:b/>
                <w:bCs/>
                <w:color w:val="000000"/>
                <w:sz w:val="18"/>
                <w:szCs w:val="18"/>
              </w:rPr>
              <w:t>5,079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EF938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F0B41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238B37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449940E" w14:textId="77777777" w:rsidR="00000000" w:rsidRDefault="00A173A8">
            <w:pPr>
              <w:spacing w:after="100"/>
              <w:jc w:val="right"/>
              <w:rPr>
                <w:rFonts w:eastAsia="Times New Roman"/>
              </w:rPr>
            </w:pPr>
            <w:r>
              <w:rPr>
                <w:rFonts w:eastAsia="Times New Roman"/>
                <w:b/>
                <w:bCs/>
                <w:color w:val="000000"/>
                <w:sz w:val="18"/>
                <w:szCs w:val="18"/>
              </w:rPr>
              <w:t>4,645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5C19D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0E08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FA207C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6119013" w14:textId="77777777" w:rsidR="00000000" w:rsidRDefault="00A173A8">
            <w:pPr>
              <w:spacing w:after="100"/>
              <w:jc w:val="right"/>
              <w:rPr>
                <w:rFonts w:eastAsia="Times New Roman"/>
              </w:rPr>
            </w:pPr>
            <w:r>
              <w:rPr>
                <w:rFonts w:eastAsia="Times New Roman"/>
                <w:b/>
                <w:bCs/>
                <w:color w:val="000000"/>
                <w:sz w:val="18"/>
                <w:szCs w:val="18"/>
              </w:rPr>
              <w:t>5,054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AD0EBA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EDAC8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80093E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935FAAC" w14:textId="77777777" w:rsidR="00000000" w:rsidRDefault="00A173A8">
            <w:pPr>
              <w:spacing w:after="100"/>
              <w:jc w:val="right"/>
              <w:rPr>
                <w:rFonts w:eastAsia="Times New Roman"/>
              </w:rPr>
            </w:pPr>
            <w:r>
              <w:rPr>
                <w:rFonts w:eastAsia="Times New Roman"/>
                <w:b/>
                <w:bCs/>
                <w:color w:val="000000"/>
                <w:sz w:val="18"/>
                <w:szCs w:val="18"/>
              </w:rPr>
              <w:t>14,778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6DE93D1" w14:textId="77777777" w:rsidR="00000000" w:rsidRDefault="00A173A8">
            <w:pPr>
              <w:spacing w:after="100"/>
              <w:jc w:val="right"/>
              <w:rPr>
                <w:rFonts w:eastAsia="Times New Roman"/>
              </w:rPr>
            </w:pPr>
          </w:p>
        </w:tc>
      </w:tr>
    </w:tbl>
    <w:p w14:paraId="3CC37C2B" w14:textId="77777777" w:rsidR="00000000" w:rsidRDefault="00A173A8">
      <w:pPr>
        <w:divId w:val="412776420"/>
        <w:rPr>
          <w:rFonts w:eastAsia="Times New Roman"/>
        </w:rPr>
      </w:pPr>
      <w:r>
        <w:rPr>
          <w:rFonts w:eastAsia="Times New Roman"/>
          <w:color w:val="000000"/>
          <w:sz w:val="20"/>
          <w:szCs w:val="20"/>
        </w:rPr>
        <w:t>__________</w:t>
      </w:r>
    </w:p>
    <w:p w14:paraId="327F59DC" w14:textId="77777777" w:rsidR="00000000" w:rsidRDefault="00A173A8">
      <w:pPr>
        <w:ind w:hanging="360"/>
        <w:jc w:val="both"/>
        <w:divId w:val="578178512"/>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Represents foreign currency translation adjustments and measurement period adjustments on prior period acquisitions.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15E4C6F" w14:textId="77777777">
        <w:trPr>
          <w:divId w:val="2060124961"/>
          <w:jc w:val="center"/>
        </w:trPr>
        <w:tc>
          <w:tcPr>
            <w:tcW w:w="50" w:type="pct"/>
            <w:vAlign w:val="center"/>
            <w:hideMark/>
          </w:tcPr>
          <w:p w14:paraId="5AA71766" w14:textId="77777777" w:rsidR="00000000" w:rsidRDefault="00A173A8">
            <w:pPr>
              <w:ind w:hanging="360"/>
              <w:jc w:val="both"/>
              <w:rPr>
                <w:rFonts w:eastAsia="Times New Roman"/>
              </w:rPr>
            </w:pPr>
          </w:p>
        </w:tc>
        <w:tc>
          <w:tcPr>
            <w:tcW w:w="1606" w:type="pct"/>
            <w:vAlign w:val="center"/>
            <w:hideMark/>
          </w:tcPr>
          <w:p w14:paraId="57399306" w14:textId="77777777" w:rsidR="00000000" w:rsidRDefault="00A173A8">
            <w:pPr>
              <w:spacing w:after="100"/>
              <w:rPr>
                <w:rFonts w:eastAsia="Times New Roman"/>
                <w:sz w:val="20"/>
                <w:szCs w:val="20"/>
              </w:rPr>
            </w:pPr>
          </w:p>
        </w:tc>
        <w:tc>
          <w:tcPr>
            <w:tcW w:w="5" w:type="pct"/>
            <w:vAlign w:val="center"/>
            <w:hideMark/>
          </w:tcPr>
          <w:p w14:paraId="56CA2764" w14:textId="77777777" w:rsidR="00000000" w:rsidRDefault="00A173A8">
            <w:pPr>
              <w:spacing w:after="100"/>
              <w:rPr>
                <w:rFonts w:eastAsia="Times New Roman"/>
                <w:sz w:val="20"/>
                <w:szCs w:val="20"/>
              </w:rPr>
            </w:pPr>
          </w:p>
        </w:tc>
        <w:tc>
          <w:tcPr>
            <w:tcW w:w="50" w:type="pct"/>
            <w:vAlign w:val="center"/>
            <w:hideMark/>
          </w:tcPr>
          <w:p w14:paraId="24561BD8" w14:textId="77777777" w:rsidR="00000000" w:rsidRDefault="00A173A8">
            <w:pPr>
              <w:spacing w:after="100"/>
              <w:rPr>
                <w:rFonts w:eastAsia="Times New Roman"/>
                <w:sz w:val="20"/>
                <w:szCs w:val="20"/>
              </w:rPr>
            </w:pPr>
          </w:p>
        </w:tc>
        <w:tc>
          <w:tcPr>
            <w:tcW w:w="1614" w:type="pct"/>
            <w:vAlign w:val="center"/>
            <w:hideMark/>
          </w:tcPr>
          <w:p w14:paraId="1676F241" w14:textId="77777777" w:rsidR="00000000" w:rsidRDefault="00A173A8">
            <w:pPr>
              <w:spacing w:after="100"/>
              <w:rPr>
                <w:rFonts w:eastAsia="Times New Roman"/>
                <w:sz w:val="20"/>
                <w:szCs w:val="20"/>
              </w:rPr>
            </w:pPr>
          </w:p>
        </w:tc>
        <w:tc>
          <w:tcPr>
            <w:tcW w:w="5" w:type="pct"/>
            <w:vAlign w:val="center"/>
            <w:hideMark/>
          </w:tcPr>
          <w:p w14:paraId="6C3877B6" w14:textId="77777777" w:rsidR="00000000" w:rsidRDefault="00A173A8">
            <w:pPr>
              <w:spacing w:after="100"/>
              <w:rPr>
                <w:rFonts w:eastAsia="Times New Roman"/>
                <w:sz w:val="20"/>
                <w:szCs w:val="20"/>
              </w:rPr>
            </w:pPr>
          </w:p>
        </w:tc>
        <w:tc>
          <w:tcPr>
            <w:tcW w:w="50" w:type="pct"/>
            <w:vAlign w:val="center"/>
            <w:hideMark/>
          </w:tcPr>
          <w:p w14:paraId="4D5561A0" w14:textId="77777777" w:rsidR="00000000" w:rsidRDefault="00A173A8">
            <w:pPr>
              <w:spacing w:after="100"/>
              <w:rPr>
                <w:rFonts w:eastAsia="Times New Roman"/>
                <w:sz w:val="20"/>
                <w:szCs w:val="20"/>
              </w:rPr>
            </w:pPr>
          </w:p>
        </w:tc>
        <w:tc>
          <w:tcPr>
            <w:tcW w:w="1614" w:type="pct"/>
            <w:vAlign w:val="center"/>
            <w:hideMark/>
          </w:tcPr>
          <w:p w14:paraId="5F8F0F2A" w14:textId="77777777" w:rsidR="00000000" w:rsidRDefault="00A173A8">
            <w:pPr>
              <w:spacing w:after="100"/>
              <w:rPr>
                <w:rFonts w:eastAsia="Times New Roman"/>
                <w:sz w:val="20"/>
                <w:szCs w:val="20"/>
              </w:rPr>
            </w:pPr>
          </w:p>
        </w:tc>
        <w:tc>
          <w:tcPr>
            <w:tcW w:w="5" w:type="pct"/>
            <w:vAlign w:val="center"/>
            <w:hideMark/>
          </w:tcPr>
          <w:p w14:paraId="0E45A882" w14:textId="77777777" w:rsidR="00000000" w:rsidRDefault="00A173A8">
            <w:pPr>
              <w:spacing w:after="100"/>
              <w:rPr>
                <w:rFonts w:eastAsia="Times New Roman"/>
                <w:sz w:val="20"/>
                <w:szCs w:val="20"/>
              </w:rPr>
            </w:pPr>
          </w:p>
        </w:tc>
      </w:tr>
      <w:tr w:rsidR="00000000" w14:paraId="5740587E" w14:textId="77777777">
        <w:trPr>
          <w:divId w:val="2060124961"/>
          <w:trHeight w:val="300"/>
          <w:jc w:val="center"/>
        </w:trPr>
        <w:tc>
          <w:tcPr>
            <w:tcW w:w="0" w:type="auto"/>
            <w:gridSpan w:val="9"/>
            <w:tcMar>
              <w:top w:w="0" w:type="dxa"/>
              <w:left w:w="20" w:type="dxa"/>
              <w:bottom w:w="0" w:type="dxa"/>
              <w:right w:w="20" w:type="dxa"/>
            </w:tcMar>
            <w:vAlign w:val="center"/>
            <w:hideMark/>
          </w:tcPr>
          <w:p w14:paraId="39A7038F" w14:textId="77777777" w:rsidR="00000000" w:rsidRDefault="00A173A8">
            <w:pPr>
              <w:spacing w:after="100"/>
              <w:rPr>
                <w:rFonts w:eastAsia="Times New Roman"/>
                <w:sz w:val="20"/>
                <w:szCs w:val="20"/>
              </w:rPr>
            </w:pPr>
          </w:p>
        </w:tc>
      </w:tr>
      <w:tr w:rsidR="00000000" w14:paraId="437E4C9E" w14:textId="77777777">
        <w:trPr>
          <w:divId w:val="2060124961"/>
          <w:jc w:val="center"/>
        </w:trPr>
        <w:tc>
          <w:tcPr>
            <w:tcW w:w="0" w:type="auto"/>
            <w:gridSpan w:val="3"/>
            <w:tcMar>
              <w:top w:w="0" w:type="dxa"/>
              <w:left w:w="20" w:type="dxa"/>
              <w:bottom w:w="0" w:type="dxa"/>
              <w:right w:w="20" w:type="dxa"/>
            </w:tcMar>
            <w:vAlign w:val="center"/>
            <w:hideMark/>
          </w:tcPr>
          <w:p w14:paraId="5A8FC7EB"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8F55CA9" w14:textId="77777777" w:rsidR="00000000" w:rsidRDefault="00A173A8">
            <w:pPr>
              <w:spacing w:after="100"/>
              <w:jc w:val="center"/>
              <w:rPr>
                <w:rFonts w:eastAsia="Times New Roman"/>
              </w:rPr>
            </w:pPr>
            <w:r>
              <w:rPr>
                <w:rFonts w:eastAsia="Times New Roman"/>
                <w:color w:val="000000"/>
                <w:sz w:val="16"/>
                <w:szCs w:val="16"/>
              </w:rPr>
              <w:t>91</w:t>
            </w:r>
          </w:p>
        </w:tc>
        <w:tc>
          <w:tcPr>
            <w:tcW w:w="0" w:type="auto"/>
            <w:gridSpan w:val="3"/>
            <w:tcMar>
              <w:top w:w="30" w:type="dxa"/>
              <w:left w:w="20" w:type="dxa"/>
              <w:bottom w:w="30" w:type="dxa"/>
              <w:right w:w="20" w:type="dxa"/>
            </w:tcMar>
            <w:vAlign w:val="bottom"/>
            <w:hideMark/>
          </w:tcPr>
          <w:p w14:paraId="57F09483"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F4E19DF" w14:textId="77777777" w:rsidR="00000000" w:rsidRDefault="00A173A8">
      <w:pPr>
        <w:rPr>
          <w:rFonts w:eastAsia="Times New Roman"/>
        </w:rPr>
      </w:pPr>
      <w:r>
        <w:rPr>
          <w:rFonts w:eastAsia="Times New Roman"/>
        </w:rPr>
        <w:pict w14:anchorId="545C7D53">
          <v:rect id="_x0000_i1116" style="width:0;height:1.5pt" o:hralign="center" o:hrstd="t" o:hr="t" fillcolor="#a0a0a0" stroked="f"/>
        </w:pict>
      </w:r>
    </w:p>
    <w:p w14:paraId="52435CFF" w14:textId="77777777" w:rsidR="00000000" w:rsidRDefault="00A173A8">
      <w:pPr>
        <w:jc w:val="both"/>
        <w:divId w:val="421418413"/>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11D950C" w14:textId="77777777">
        <w:trPr>
          <w:divId w:val="1577934372"/>
        </w:trPr>
        <w:tc>
          <w:tcPr>
            <w:tcW w:w="50" w:type="pct"/>
            <w:vAlign w:val="center"/>
            <w:hideMark/>
          </w:tcPr>
          <w:p w14:paraId="7D538C6F" w14:textId="77777777" w:rsidR="00000000" w:rsidRDefault="00A173A8">
            <w:pPr>
              <w:jc w:val="both"/>
              <w:rPr>
                <w:rFonts w:eastAsia="Times New Roman"/>
              </w:rPr>
            </w:pPr>
          </w:p>
        </w:tc>
        <w:tc>
          <w:tcPr>
            <w:tcW w:w="4945" w:type="pct"/>
            <w:vAlign w:val="center"/>
            <w:hideMark/>
          </w:tcPr>
          <w:p w14:paraId="093F6A73" w14:textId="77777777" w:rsidR="00000000" w:rsidRDefault="00A173A8">
            <w:pPr>
              <w:spacing w:after="100"/>
              <w:rPr>
                <w:rFonts w:eastAsia="Times New Roman"/>
                <w:sz w:val="20"/>
                <w:szCs w:val="20"/>
              </w:rPr>
            </w:pPr>
          </w:p>
        </w:tc>
        <w:tc>
          <w:tcPr>
            <w:tcW w:w="5" w:type="pct"/>
            <w:vAlign w:val="center"/>
            <w:hideMark/>
          </w:tcPr>
          <w:p w14:paraId="60E37573" w14:textId="77777777" w:rsidR="00000000" w:rsidRDefault="00A173A8">
            <w:pPr>
              <w:spacing w:after="100"/>
              <w:rPr>
                <w:rFonts w:eastAsia="Times New Roman"/>
                <w:sz w:val="20"/>
                <w:szCs w:val="20"/>
              </w:rPr>
            </w:pPr>
          </w:p>
        </w:tc>
      </w:tr>
      <w:tr w:rsidR="00000000" w14:paraId="085DC53A" w14:textId="77777777">
        <w:trPr>
          <w:divId w:val="157793437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36EB9FC9" w14:textId="77777777" w:rsidR="00000000" w:rsidRDefault="00A173A8">
            <w:pPr>
              <w:spacing w:after="100"/>
              <w:rPr>
                <w:rFonts w:eastAsia="Times New Roman"/>
              </w:rPr>
            </w:pPr>
            <w:r>
              <w:rPr>
                <w:rFonts w:eastAsia="Times New Roman"/>
                <w:b/>
                <w:bCs/>
                <w:color w:val="000000"/>
                <w:sz w:val="20"/>
                <w:szCs w:val="20"/>
              </w:rPr>
              <w:t>NOTE 7—DEPOSITS AND BORROWINGS</w:t>
            </w:r>
          </w:p>
        </w:tc>
      </w:tr>
    </w:tbl>
    <w:p w14:paraId="1064086E" w14:textId="77777777" w:rsidR="00000000" w:rsidRDefault="00A173A8">
      <w:pPr>
        <w:jc w:val="both"/>
        <w:divId w:val="748774558"/>
        <w:rPr>
          <w:rFonts w:eastAsia="Times New Roman"/>
        </w:rPr>
      </w:pPr>
      <w:r>
        <w:rPr>
          <w:rFonts w:eastAsia="Times New Roman"/>
          <w:color w:val="000000"/>
          <w:sz w:val="20"/>
          <w:szCs w:val="20"/>
        </w:rPr>
        <w:t>Our deposits represent our largest source of funding for our assets and operations, and include checking accounts, money market deposits, negotiable order of withdrawals, savings deposits and time deposits. We also use a variety of other funding sources in</w:t>
      </w:r>
      <w:r>
        <w:rPr>
          <w:rFonts w:eastAsia="Times New Roman"/>
          <w:color w:val="000000"/>
          <w:sz w:val="20"/>
          <w:szCs w:val="20"/>
        </w:rPr>
        <w:t>cluding short-term borrowings, senior and subordinated notes, securitized debt obligations and other borrowings. Securitized debt obligations are presented separately on our consolidated balance sheets, as they represent obligations of consolidated securit</w:t>
      </w:r>
      <w:r>
        <w:rPr>
          <w:rFonts w:eastAsia="Times New Roman"/>
          <w:color w:val="000000"/>
          <w:sz w:val="20"/>
          <w:szCs w:val="20"/>
        </w:rPr>
        <w:t>ization trusts, while federal funds purchased and securities loaned or sold under agreements to repurchase, senior and subordinated notes and other borrowings, including FHLB advances, are included in other debt on our consolidated balance sheets.</w:t>
      </w:r>
    </w:p>
    <w:p w14:paraId="68A42CF0" w14:textId="77777777" w:rsidR="00000000" w:rsidRDefault="00A173A8">
      <w:pPr>
        <w:jc w:val="both"/>
        <w:divId w:val="576062195"/>
        <w:rPr>
          <w:rFonts w:eastAsia="Times New Roman"/>
        </w:rPr>
      </w:pPr>
      <w:r>
        <w:rPr>
          <w:rFonts w:eastAsia="Times New Roman"/>
          <w:color w:val="000000"/>
          <w:sz w:val="20"/>
          <w:szCs w:val="20"/>
        </w:rPr>
        <w:t>Our tota</w:t>
      </w:r>
      <w:r>
        <w:rPr>
          <w:rFonts w:eastAsia="Times New Roman"/>
          <w:color w:val="000000"/>
          <w:sz w:val="20"/>
          <w:szCs w:val="20"/>
        </w:rPr>
        <w:t>l short-term borrowings generally consist of federal funds purchased and securities loaned or sold under agreements to repurchase. Our long-term debt consists of borrowings with an original contractual maturity of greater than one year. The following table</w:t>
      </w:r>
      <w:r>
        <w:rPr>
          <w:rFonts w:eastAsia="Times New Roman"/>
          <w:color w:val="000000"/>
          <w:sz w:val="20"/>
          <w:szCs w:val="20"/>
        </w:rPr>
        <w:t>s summarize the components of our deposits, short-term borrowings and long-term debt as of June 30, 2022 and December 31, 2021. The carrying value presented below for these borrowings includes unamortized debt premiums and discounts, net of debt issuance c</w:t>
      </w:r>
      <w:r>
        <w:rPr>
          <w:rFonts w:eastAsia="Times New Roman"/>
          <w:color w:val="000000"/>
          <w:sz w:val="20"/>
          <w:szCs w:val="20"/>
        </w:rPr>
        <w:t>osts and fair value hedge accounting adjustments.</w:t>
      </w:r>
    </w:p>
    <w:p w14:paraId="7D5CF03D" w14:textId="77777777" w:rsidR="00000000" w:rsidRDefault="00A173A8">
      <w:pPr>
        <w:divId w:val="1058437677"/>
        <w:rPr>
          <w:rFonts w:eastAsia="Times New Roman"/>
        </w:rPr>
      </w:pPr>
      <w:r>
        <w:rPr>
          <w:rFonts w:eastAsia="Times New Roman"/>
          <w:b/>
          <w:bCs/>
          <w:color w:val="000000"/>
          <w:sz w:val="18"/>
          <w:szCs w:val="18"/>
        </w:rPr>
        <w:t>Table 7.1: Components of Deposits, Short-Term Borrowings and Long-Term Debt</w:t>
      </w:r>
    </w:p>
    <w:tbl>
      <w:tblPr>
        <w:tblW w:w="5000" w:type="pct"/>
        <w:tblCellMar>
          <w:top w:w="15" w:type="dxa"/>
          <w:left w:w="15" w:type="dxa"/>
          <w:bottom w:w="15" w:type="dxa"/>
          <w:right w:w="15" w:type="dxa"/>
        </w:tblCellMar>
        <w:tblLook w:val="04A0" w:firstRow="1" w:lastRow="0" w:firstColumn="1" w:lastColumn="0" w:noHBand="0" w:noVBand="1"/>
      </w:tblPr>
      <w:tblGrid>
        <w:gridCol w:w="41"/>
        <w:gridCol w:w="6232"/>
        <w:gridCol w:w="40"/>
        <w:gridCol w:w="36"/>
        <w:gridCol w:w="36"/>
        <w:gridCol w:w="36"/>
        <w:gridCol w:w="110"/>
        <w:gridCol w:w="742"/>
        <w:gridCol w:w="36"/>
        <w:gridCol w:w="36"/>
        <w:gridCol w:w="36"/>
        <w:gridCol w:w="36"/>
        <w:gridCol w:w="110"/>
        <w:gridCol w:w="743"/>
        <w:gridCol w:w="36"/>
      </w:tblGrid>
      <w:tr w:rsidR="00000000" w14:paraId="76EF265A" w14:textId="77777777">
        <w:trPr>
          <w:divId w:val="1002776197"/>
        </w:trPr>
        <w:tc>
          <w:tcPr>
            <w:tcW w:w="50" w:type="pct"/>
            <w:vAlign w:val="center"/>
            <w:hideMark/>
          </w:tcPr>
          <w:p w14:paraId="71795A6E" w14:textId="77777777" w:rsidR="00000000" w:rsidRDefault="00A173A8">
            <w:pPr>
              <w:rPr>
                <w:rFonts w:eastAsia="Times New Roman"/>
              </w:rPr>
            </w:pPr>
          </w:p>
        </w:tc>
        <w:tc>
          <w:tcPr>
            <w:tcW w:w="3775" w:type="pct"/>
            <w:vAlign w:val="center"/>
            <w:hideMark/>
          </w:tcPr>
          <w:p w14:paraId="578F1AFB" w14:textId="77777777" w:rsidR="00000000" w:rsidRDefault="00A173A8">
            <w:pPr>
              <w:spacing w:after="100"/>
              <w:rPr>
                <w:rFonts w:eastAsia="Times New Roman"/>
                <w:sz w:val="20"/>
                <w:szCs w:val="20"/>
              </w:rPr>
            </w:pPr>
          </w:p>
        </w:tc>
        <w:tc>
          <w:tcPr>
            <w:tcW w:w="5" w:type="pct"/>
            <w:vAlign w:val="center"/>
            <w:hideMark/>
          </w:tcPr>
          <w:p w14:paraId="280AF41D" w14:textId="77777777" w:rsidR="00000000" w:rsidRDefault="00A173A8">
            <w:pPr>
              <w:spacing w:after="100"/>
              <w:rPr>
                <w:rFonts w:eastAsia="Times New Roman"/>
                <w:sz w:val="20"/>
                <w:szCs w:val="20"/>
              </w:rPr>
            </w:pPr>
          </w:p>
        </w:tc>
        <w:tc>
          <w:tcPr>
            <w:tcW w:w="5" w:type="pct"/>
            <w:vAlign w:val="center"/>
            <w:hideMark/>
          </w:tcPr>
          <w:p w14:paraId="4743C9B6" w14:textId="77777777" w:rsidR="00000000" w:rsidRDefault="00A173A8">
            <w:pPr>
              <w:spacing w:after="100"/>
              <w:rPr>
                <w:rFonts w:eastAsia="Times New Roman"/>
                <w:sz w:val="20"/>
                <w:szCs w:val="20"/>
              </w:rPr>
            </w:pPr>
          </w:p>
        </w:tc>
        <w:tc>
          <w:tcPr>
            <w:tcW w:w="26" w:type="pct"/>
            <w:vAlign w:val="center"/>
            <w:hideMark/>
          </w:tcPr>
          <w:p w14:paraId="0E9E2868" w14:textId="77777777" w:rsidR="00000000" w:rsidRDefault="00A173A8">
            <w:pPr>
              <w:spacing w:after="100"/>
              <w:rPr>
                <w:rFonts w:eastAsia="Times New Roman"/>
                <w:sz w:val="20"/>
                <w:szCs w:val="20"/>
              </w:rPr>
            </w:pPr>
          </w:p>
        </w:tc>
        <w:tc>
          <w:tcPr>
            <w:tcW w:w="5" w:type="pct"/>
            <w:vAlign w:val="center"/>
            <w:hideMark/>
          </w:tcPr>
          <w:p w14:paraId="6480D6BA" w14:textId="77777777" w:rsidR="00000000" w:rsidRDefault="00A173A8">
            <w:pPr>
              <w:spacing w:after="100"/>
              <w:rPr>
                <w:rFonts w:eastAsia="Times New Roman"/>
                <w:sz w:val="20"/>
                <w:szCs w:val="20"/>
              </w:rPr>
            </w:pPr>
          </w:p>
        </w:tc>
        <w:tc>
          <w:tcPr>
            <w:tcW w:w="50" w:type="pct"/>
            <w:vAlign w:val="center"/>
            <w:hideMark/>
          </w:tcPr>
          <w:p w14:paraId="3DBA7935" w14:textId="77777777" w:rsidR="00000000" w:rsidRDefault="00A173A8">
            <w:pPr>
              <w:spacing w:after="100"/>
              <w:rPr>
                <w:rFonts w:eastAsia="Times New Roman"/>
                <w:sz w:val="20"/>
                <w:szCs w:val="20"/>
              </w:rPr>
            </w:pPr>
          </w:p>
        </w:tc>
        <w:tc>
          <w:tcPr>
            <w:tcW w:w="493" w:type="pct"/>
            <w:vAlign w:val="center"/>
            <w:hideMark/>
          </w:tcPr>
          <w:p w14:paraId="35C8C5B7" w14:textId="77777777" w:rsidR="00000000" w:rsidRDefault="00A173A8">
            <w:pPr>
              <w:spacing w:after="100"/>
              <w:rPr>
                <w:rFonts w:eastAsia="Times New Roman"/>
                <w:sz w:val="20"/>
                <w:szCs w:val="20"/>
              </w:rPr>
            </w:pPr>
          </w:p>
        </w:tc>
        <w:tc>
          <w:tcPr>
            <w:tcW w:w="5" w:type="pct"/>
            <w:vAlign w:val="center"/>
            <w:hideMark/>
          </w:tcPr>
          <w:p w14:paraId="7255C0B0" w14:textId="77777777" w:rsidR="00000000" w:rsidRDefault="00A173A8">
            <w:pPr>
              <w:spacing w:after="100"/>
              <w:rPr>
                <w:rFonts w:eastAsia="Times New Roman"/>
                <w:sz w:val="20"/>
                <w:szCs w:val="20"/>
              </w:rPr>
            </w:pPr>
          </w:p>
        </w:tc>
        <w:tc>
          <w:tcPr>
            <w:tcW w:w="5" w:type="pct"/>
            <w:vAlign w:val="center"/>
            <w:hideMark/>
          </w:tcPr>
          <w:p w14:paraId="5ECE1D84" w14:textId="77777777" w:rsidR="00000000" w:rsidRDefault="00A173A8">
            <w:pPr>
              <w:spacing w:after="100"/>
              <w:rPr>
                <w:rFonts w:eastAsia="Times New Roman"/>
                <w:sz w:val="20"/>
                <w:szCs w:val="20"/>
              </w:rPr>
            </w:pPr>
          </w:p>
        </w:tc>
        <w:tc>
          <w:tcPr>
            <w:tcW w:w="26" w:type="pct"/>
            <w:vAlign w:val="center"/>
            <w:hideMark/>
          </w:tcPr>
          <w:p w14:paraId="244F3B47" w14:textId="77777777" w:rsidR="00000000" w:rsidRDefault="00A173A8">
            <w:pPr>
              <w:spacing w:after="100"/>
              <w:rPr>
                <w:rFonts w:eastAsia="Times New Roman"/>
                <w:sz w:val="20"/>
                <w:szCs w:val="20"/>
              </w:rPr>
            </w:pPr>
          </w:p>
        </w:tc>
        <w:tc>
          <w:tcPr>
            <w:tcW w:w="5" w:type="pct"/>
            <w:vAlign w:val="center"/>
            <w:hideMark/>
          </w:tcPr>
          <w:p w14:paraId="0EA1E2F8" w14:textId="77777777" w:rsidR="00000000" w:rsidRDefault="00A173A8">
            <w:pPr>
              <w:spacing w:after="100"/>
              <w:rPr>
                <w:rFonts w:eastAsia="Times New Roman"/>
                <w:sz w:val="20"/>
                <w:szCs w:val="20"/>
              </w:rPr>
            </w:pPr>
          </w:p>
        </w:tc>
        <w:tc>
          <w:tcPr>
            <w:tcW w:w="50" w:type="pct"/>
            <w:vAlign w:val="center"/>
            <w:hideMark/>
          </w:tcPr>
          <w:p w14:paraId="738D0534" w14:textId="77777777" w:rsidR="00000000" w:rsidRDefault="00A173A8">
            <w:pPr>
              <w:spacing w:after="100"/>
              <w:rPr>
                <w:rFonts w:eastAsia="Times New Roman"/>
                <w:sz w:val="20"/>
                <w:szCs w:val="20"/>
              </w:rPr>
            </w:pPr>
          </w:p>
        </w:tc>
        <w:tc>
          <w:tcPr>
            <w:tcW w:w="493" w:type="pct"/>
            <w:vAlign w:val="center"/>
            <w:hideMark/>
          </w:tcPr>
          <w:p w14:paraId="040D962D" w14:textId="77777777" w:rsidR="00000000" w:rsidRDefault="00A173A8">
            <w:pPr>
              <w:spacing w:after="100"/>
              <w:rPr>
                <w:rFonts w:eastAsia="Times New Roman"/>
                <w:sz w:val="20"/>
                <w:szCs w:val="20"/>
              </w:rPr>
            </w:pPr>
          </w:p>
        </w:tc>
        <w:tc>
          <w:tcPr>
            <w:tcW w:w="5" w:type="pct"/>
            <w:vAlign w:val="center"/>
            <w:hideMark/>
          </w:tcPr>
          <w:p w14:paraId="1847009C" w14:textId="77777777" w:rsidR="00000000" w:rsidRDefault="00A173A8">
            <w:pPr>
              <w:spacing w:after="100"/>
              <w:rPr>
                <w:rFonts w:eastAsia="Times New Roman"/>
                <w:sz w:val="20"/>
                <w:szCs w:val="20"/>
              </w:rPr>
            </w:pPr>
          </w:p>
        </w:tc>
      </w:tr>
      <w:tr w:rsidR="00000000" w14:paraId="249EFCBB" w14:textId="77777777">
        <w:trPr>
          <w:divId w:val="1002776197"/>
        </w:trPr>
        <w:tc>
          <w:tcPr>
            <w:tcW w:w="0" w:type="auto"/>
            <w:gridSpan w:val="3"/>
            <w:tcMar>
              <w:top w:w="30" w:type="dxa"/>
              <w:left w:w="20" w:type="dxa"/>
              <w:bottom w:w="30" w:type="dxa"/>
              <w:right w:w="20" w:type="dxa"/>
            </w:tcMar>
            <w:vAlign w:val="bottom"/>
            <w:hideMark/>
          </w:tcPr>
          <w:p w14:paraId="4F9F480D"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C9BF038"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755B517B"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4B51E447"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AF56BB"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7F1DD748" w14:textId="77777777">
        <w:trPr>
          <w:divId w:val="100277619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2525FA3" w14:textId="77777777" w:rsidR="00000000" w:rsidRDefault="00A173A8">
            <w:pPr>
              <w:spacing w:after="100"/>
              <w:rPr>
                <w:rFonts w:eastAsia="Times New Roman"/>
              </w:rPr>
            </w:pPr>
            <w:r>
              <w:rPr>
                <w:rFonts w:eastAsia="Times New Roman"/>
                <w:b/>
                <w:bCs/>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14:paraId="2D2BB18E"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4757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E35C9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6523DD" w14:textId="77777777" w:rsidR="00000000" w:rsidRDefault="00A173A8">
            <w:pPr>
              <w:spacing w:after="100"/>
              <w:rPr>
                <w:rFonts w:eastAsia="Times New Roman"/>
                <w:sz w:val="20"/>
                <w:szCs w:val="20"/>
              </w:rPr>
            </w:pPr>
          </w:p>
        </w:tc>
      </w:tr>
      <w:tr w:rsidR="00000000" w14:paraId="57C68C87" w14:textId="77777777">
        <w:trPr>
          <w:divId w:val="1002776197"/>
        </w:trPr>
        <w:tc>
          <w:tcPr>
            <w:tcW w:w="0" w:type="auto"/>
            <w:gridSpan w:val="3"/>
            <w:shd w:val="clear" w:color="auto" w:fill="FFFFFF"/>
            <w:tcMar>
              <w:top w:w="30" w:type="dxa"/>
              <w:left w:w="245" w:type="dxa"/>
              <w:bottom w:w="30" w:type="dxa"/>
              <w:right w:w="20" w:type="dxa"/>
            </w:tcMar>
            <w:vAlign w:val="center"/>
            <w:hideMark/>
          </w:tcPr>
          <w:p w14:paraId="36D8EB0E" w14:textId="77777777" w:rsidR="00000000" w:rsidRDefault="00A173A8">
            <w:pPr>
              <w:spacing w:after="100"/>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14:paraId="3ABE4257"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3003DDAC"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F5BCFB3" w14:textId="77777777" w:rsidR="00000000" w:rsidRDefault="00A173A8">
            <w:pPr>
              <w:spacing w:after="100"/>
              <w:jc w:val="right"/>
              <w:rPr>
                <w:rFonts w:eastAsia="Times New Roman"/>
              </w:rPr>
            </w:pPr>
            <w:r>
              <w:rPr>
                <w:rFonts w:eastAsia="Times New Roman"/>
                <w:b/>
                <w:bCs/>
                <w:color w:val="000000"/>
                <w:sz w:val="18"/>
                <w:szCs w:val="18"/>
              </w:rPr>
              <w:t>37,004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03BD30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C8F7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CB77CE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63E7843" w14:textId="77777777" w:rsidR="00000000" w:rsidRDefault="00A173A8">
            <w:pPr>
              <w:spacing w:after="100"/>
              <w:jc w:val="right"/>
              <w:rPr>
                <w:rFonts w:eastAsia="Times New Roman"/>
              </w:rPr>
            </w:pPr>
            <w:r>
              <w:rPr>
                <w:rFonts w:eastAsia="Times New Roman"/>
                <w:color w:val="000000"/>
                <w:sz w:val="18"/>
                <w:szCs w:val="18"/>
              </w:rPr>
              <w:t>38,043 </w:t>
            </w:r>
          </w:p>
        </w:tc>
        <w:tc>
          <w:tcPr>
            <w:tcW w:w="0" w:type="auto"/>
            <w:shd w:val="clear" w:color="auto" w:fill="FFFFFF"/>
            <w:tcMar>
              <w:top w:w="30" w:type="dxa"/>
              <w:left w:w="0" w:type="dxa"/>
              <w:bottom w:w="30" w:type="dxa"/>
              <w:right w:w="20" w:type="dxa"/>
            </w:tcMar>
            <w:vAlign w:val="center"/>
            <w:hideMark/>
          </w:tcPr>
          <w:p w14:paraId="559888D7" w14:textId="77777777" w:rsidR="00000000" w:rsidRDefault="00A173A8">
            <w:pPr>
              <w:spacing w:after="100"/>
              <w:jc w:val="right"/>
              <w:rPr>
                <w:rFonts w:eastAsia="Times New Roman"/>
              </w:rPr>
            </w:pPr>
          </w:p>
        </w:tc>
      </w:tr>
      <w:tr w:rsidR="00000000" w14:paraId="1C8EF06E" w14:textId="77777777">
        <w:trPr>
          <w:divId w:val="1002776197"/>
        </w:trPr>
        <w:tc>
          <w:tcPr>
            <w:tcW w:w="0" w:type="auto"/>
            <w:gridSpan w:val="3"/>
            <w:shd w:val="clear" w:color="auto" w:fill="CCEEFF"/>
            <w:tcMar>
              <w:top w:w="30" w:type="dxa"/>
              <w:left w:w="20" w:type="dxa"/>
              <w:bottom w:w="30" w:type="dxa"/>
              <w:right w:w="20" w:type="dxa"/>
            </w:tcMar>
            <w:vAlign w:val="center"/>
            <w:hideMark/>
          </w:tcPr>
          <w:p w14:paraId="7709EA83" w14:textId="77777777" w:rsidR="00000000" w:rsidRDefault="00A173A8">
            <w:pPr>
              <w:spacing w:after="100"/>
              <w:divId w:val="1103919454"/>
              <w:rPr>
                <w:rFonts w:eastAsia="Times New Roman"/>
              </w:rPr>
            </w:pPr>
            <w:r>
              <w:rPr>
                <w:rFonts w:eastAsia="Times New Roman"/>
                <w:color w:val="000000"/>
                <w:sz w:val="18"/>
                <w:szCs w:val="18"/>
              </w:rPr>
              <w:t>Interest-bearing deposit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2768AC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8B65FB0" w14:textId="77777777" w:rsidR="00000000" w:rsidRDefault="00A173A8">
            <w:pPr>
              <w:spacing w:after="100"/>
              <w:jc w:val="right"/>
              <w:rPr>
                <w:rFonts w:eastAsia="Times New Roman"/>
              </w:rPr>
            </w:pPr>
            <w:r>
              <w:rPr>
                <w:rFonts w:eastAsia="Times New Roman"/>
                <w:b/>
                <w:bCs/>
                <w:color w:val="000000"/>
                <w:sz w:val="18"/>
                <w:szCs w:val="18"/>
              </w:rPr>
              <w:t>270,881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81BEA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BCCB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6A0775" w14:textId="77777777" w:rsidR="00000000" w:rsidRDefault="00A173A8">
            <w:pPr>
              <w:spacing w:after="100"/>
              <w:jc w:val="right"/>
              <w:rPr>
                <w:rFonts w:eastAsia="Times New Roman"/>
              </w:rPr>
            </w:pPr>
            <w:r>
              <w:rPr>
                <w:rFonts w:eastAsia="Times New Roman"/>
                <w:color w:val="000000"/>
                <w:sz w:val="18"/>
                <w:szCs w:val="18"/>
              </w:rPr>
              <w:t>272,937 </w:t>
            </w:r>
          </w:p>
        </w:tc>
        <w:tc>
          <w:tcPr>
            <w:tcW w:w="0" w:type="auto"/>
            <w:shd w:val="clear" w:color="auto" w:fill="CCEEFF"/>
            <w:tcMar>
              <w:top w:w="30" w:type="dxa"/>
              <w:left w:w="0" w:type="dxa"/>
              <w:bottom w:w="30" w:type="dxa"/>
              <w:right w:w="20" w:type="dxa"/>
            </w:tcMar>
            <w:vAlign w:val="center"/>
            <w:hideMark/>
          </w:tcPr>
          <w:p w14:paraId="45AD186D" w14:textId="77777777" w:rsidR="00000000" w:rsidRDefault="00A173A8">
            <w:pPr>
              <w:spacing w:after="100"/>
              <w:jc w:val="right"/>
              <w:rPr>
                <w:rFonts w:eastAsia="Times New Roman"/>
              </w:rPr>
            </w:pPr>
          </w:p>
        </w:tc>
      </w:tr>
      <w:tr w:rsidR="00000000" w14:paraId="16CD90B7" w14:textId="77777777">
        <w:trPr>
          <w:divId w:val="1002776197"/>
        </w:trPr>
        <w:tc>
          <w:tcPr>
            <w:tcW w:w="0" w:type="auto"/>
            <w:gridSpan w:val="3"/>
            <w:shd w:val="clear" w:color="auto" w:fill="FFFFFF"/>
            <w:tcMar>
              <w:top w:w="30" w:type="dxa"/>
              <w:left w:w="20" w:type="dxa"/>
              <w:bottom w:w="30" w:type="dxa"/>
              <w:right w:w="20" w:type="dxa"/>
            </w:tcMar>
            <w:vAlign w:val="center"/>
            <w:hideMark/>
          </w:tcPr>
          <w:p w14:paraId="32AA75D7" w14:textId="77777777" w:rsidR="00000000" w:rsidRDefault="00A173A8">
            <w:pPr>
              <w:spacing w:after="100"/>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14:paraId="507796B1"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6DCD91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182456A" w14:textId="77777777" w:rsidR="00000000" w:rsidRDefault="00A173A8">
            <w:pPr>
              <w:spacing w:after="100"/>
              <w:jc w:val="right"/>
              <w:rPr>
                <w:rFonts w:eastAsia="Times New Roman"/>
              </w:rPr>
            </w:pPr>
            <w:r>
              <w:rPr>
                <w:rFonts w:eastAsia="Times New Roman"/>
                <w:b/>
                <w:bCs/>
                <w:color w:val="000000"/>
                <w:sz w:val="18"/>
                <w:szCs w:val="18"/>
              </w:rPr>
              <w:t>307,885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ADD4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BCB4B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26DC87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8AF6978" w14:textId="77777777" w:rsidR="00000000" w:rsidRDefault="00A173A8">
            <w:pPr>
              <w:spacing w:after="100"/>
              <w:jc w:val="right"/>
              <w:rPr>
                <w:rFonts w:eastAsia="Times New Roman"/>
              </w:rPr>
            </w:pPr>
            <w:r>
              <w:rPr>
                <w:rFonts w:eastAsia="Times New Roman"/>
                <w:color w:val="000000"/>
                <w:sz w:val="18"/>
                <w:szCs w:val="18"/>
              </w:rPr>
              <w:t>310,980 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6E194E" w14:textId="77777777" w:rsidR="00000000" w:rsidRDefault="00A173A8">
            <w:pPr>
              <w:spacing w:after="100"/>
              <w:jc w:val="right"/>
              <w:rPr>
                <w:rFonts w:eastAsia="Times New Roman"/>
              </w:rPr>
            </w:pPr>
          </w:p>
        </w:tc>
      </w:tr>
      <w:tr w:rsidR="00000000" w14:paraId="3AF845D5" w14:textId="77777777">
        <w:trPr>
          <w:divId w:val="1002776197"/>
        </w:trPr>
        <w:tc>
          <w:tcPr>
            <w:tcW w:w="0" w:type="auto"/>
            <w:gridSpan w:val="3"/>
            <w:shd w:val="clear" w:color="auto" w:fill="CCEEFF"/>
            <w:tcMar>
              <w:top w:w="30" w:type="dxa"/>
              <w:left w:w="20" w:type="dxa"/>
              <w:bottom w:w="30" w:type="dxa"/>
              <w:right w:w="20" w:type="dxa"/>
            </w:tcMar>
            <w:vAlign w:val="center"/>
            <w:hideMark/>
          </w:tcPr>
          <w:p w14:paraId="67358BFA" w14:textId="77777777" w:rsidR="00000000" w:rsidRDefault="00A173A8">
            <w:pPr>
              <w:spacing w:after="100"/>
              <w:rPr>
                <w:rFonts w:eastAsia="Times New Roman"/>
              </w:rPr>
            </w:pPr>
            <w:r>
              <w:rPr>
                <w:rFonts w:eastAsia="Times New Roman"/>
                <w:b/>
                <w:bCs/>
                <w:color w:val="000000"/>
                <w:sz w:val="18"/>
                <w:szCs w:val="18"/>
              </w:rPr>
              <w:t>Short-term borrowings:</w:t>
            </w:r>
          </w:p>
        </w:tc>
        <w:tc>
          <w:tcPr>
            <w:tcW w:w="0" w:type="auto"/>
            <w:gridSpan w:val="3"/>
            <w:shd w:val="clear" w:color="auto" w:fill="CCEEFF"/>
            <w:tcMar>
              <w:top w:w="0" w:type="dxa"/>
              <w:left w:w="20" w:type="dxa"/>
              <w:bottom w:w="0" w:type="dxa"/>
              <w:right w:w="20" w:type="dxa"/>
            </w:tcMar>
            <w:vAlign w:val="center"/>
            <w:hideMark/>
          </w:tcPr>
          <w:p w14:paraId="0C47EB50"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E1B085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1BFF39"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31AECBA" w14:textId="77777777" w:rsidR="00000000" w:rsidRDefault="00A173A8">
            <w:pPr>
              <w:spacing w:after="100"/>
              <w:rPr>
                <w:rFonts w:eastAsia="Times New Roman"/>
                <w:sz w:val="20"/>
                <w:szCs w:val="20"/>
              </w:rPr>
            </w:pPr>
          </w:p>
        </w:tc>
      </w:tr>
      <w:tr w:rsidR="00000000" w14:paraId="245FEAF0" w14:textId="77777777">
        <w:trPr>
          <w:divId w:val="1002776197"/>
        </w:trPr>
        <w:tc>
          <w:tcPr>
            <w:tcW w:w="0" w:type="auto"/>
            <w:gridSpan w:val="3"/>
            <w:shd w:val="clear" w:color="auto" w:fill="FFFFFF"/>
            <w:tcMar>
              <w:top w:w="30" w:type="dxa"/>
              <w:left w:w="245" w:type="dxa"/>
              <w:bottom w:w="30" w:type="dxa"/>
              <w:right w:w="20" w:type="dxa"/>
            </w:tcMar>
            <w:vAlign w:val="center"/>
            <w:hideMark/>
          </w:tcPr>
          <w:p w14:paraId="619BC0F0" w14:textId="77777777" w:rsidR="00000000" w:rsidRDefault="00A173A8">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14:paraId="2F45AFC0" w14:textId="77777777" w:rsidR="00000000" w:rsidRDefault="00A173A8">
            <w:pPr>
              <w:spacing w:after="100"/>
              <w:rPr>
                <w:rFonts w:eastAsia="Times New Roman"/>
              </w:rPr>
            </w:pPr>
          </w:p>
        </w:tc>
        <w:tc>
          <w:tcPr>
            <w:tcW w:w="0" w:type="auto"/>
            <w:tcMar>
              <w:top w:w="30" w:type="dxa"/>
              <w:left w:w="20" w:type="dxa"/>
              <w:bottom w:w="30" w:type="dxa"/>
              <w:right w:w="0" w:type="dxa"/>
            </w:tcMar>
            <w:vAlign w:val="center"/>
            <w:hideMark/>
          </w:tcPr>
          <w:p w14:paraId="1F741632" w14:textId="77777777" w:rsidR="00000000" w:rsidRDefault="00A173A8">
            <w:pPr>
              <w:spacing w:after="100"/>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14:paraId="43842D8B" w14:textId="77777777" w:rsidR="00000000" w:rsidRDefault="00A173A8">
            <w:pPr>
              <w:spacing w:after="100"/>
              <w:jc w:val="right"/>
              <w:rPr>
                <w:rFonts w:eastAsia="Times New Roman"/>
              </w:rPr>
            </w:pPr>
            <w:r>
              <w:rPr>
                <w:rFonts w:eastAsia="Times New Roman"/>
                <w:b/>
                <w:bCs/>
                <w:color w:val="000000"/>
                <w:sz w:val="18"/>
                <w:szCs w:val="18"/>
              </w:rPr>
              <w:t>440</w:t>
            </w:r>
            <w:r>
              <w:rPr>
                <w:rFonts w:eastAsia="Times New Roman"/>
                <w:color w:val="000000"/>
                <w:sz w:val="18"/>
                <w:szCs w:val="18"/>
              </w:rPr>
              <w:t> </w:t>
            </w:r>
          </w:p>
        </w:tc>
        <w:tc>
          <w:tcPr>
            <w:tcW w:w="0" w:type="auto"/>
            <w:tcMar>
              <w:top w:w="30" w:type="dxa"/>
              <w:left w:w="0" w:type="dxa"/>
              <w:bottom w:w="30" w:type="dxa"/>
              <w:right w:w="20" w:type="dxa"/>
            </w:tcMar>
            <w:vAlign w:val="center"/>
            <w:hideMark/>
          </w:tcPr>
          <w:p w14:paraId="40D3FBD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273B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4CD842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B52A141" w14:textId="77777777" w:rsidR="00000000" w:rsidRDefault="00A173A8">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14:paraId="0C012E75" w14:textId="77777777" w:rsidR="00000000" w:rsidRDefault="00A173A8">
            <w:pPr>
              <w:spacing w:after="100"/>
              <w:jc w:val="right"/>
              <w:rPr>
                <w:rFonts w:eastAsia="Times New Roman"/>
              </w:rPr>
            </w:pPr>
          </w:p>
        </w:tc>
      </w:tr>
      <w:tr w:rsidR="00000000" w14:paraId="379616B4" w14:textId="77777777">
        <w:trPr>
          <w:divId w:val="1002776197"/>
        </w:trPr>
        <w:tc>
          <w:tcPr>
            <w:tcW w:w="0" w:type="auto"/>
            <w:gridSpan w:val="3"/>
            <w:vAlign w:val="center"/>
            <w:hideMark/>
          </w:tcPr>
          <w:p w14:paraId="0EC4C804" w14:textId="77777777" w:rsidR="00000000" w:rsidRDefault="00A173A8">
            <w:pPr>
              <w:spacing w:after="100"/>
              <w:jc w:val="right"/>
              <w:rPr>
                <w:rFonts w:eastAsia="Times New Roman"/>
                <w:sz w:val="20"/>
                <w:szCs w:val="20"/>
              </w:rPr>
            </w:pPr>
          </w:p>
        </w:tc>
        <w:tc>
          <w:tcPr>
            <w:tcW w:w="0" w:type="auto"/>
            <w:gridSpan w:val="3"/>
            <w:vAlign w:val="center"/>
            <w:hideMark/>
          </w:tcPr>
          <w:p w14:paraId="2E39F83A" w14:textId="77777777" w:rsidR="00000000" w:rsidRDefault="00A173A8">
            <w:pPr>
              <w:spacing w:after="100"/>
              <w:rPr>
                <w:rFonts w:eastAsia="Times New Roman"/>
                <w:sz w:val="20"/>
                <w:szCs w:val="20"/>
              </w:rPr>
            </w:pPr>
          </w:p>
        </w:tc>
        <w:tc>
          <w:tcPr>
            <w:tcW w:w="0" w:type="auto"/>
            <w:gridSpan w:val="3"/>
            <w:vAlign w:val="center"/>
            <w:hideMark/>
          </w:tcPr>
          <w:p w14:paraId="00F49A72" w14:textId="77777777" w:rsidR="00000000" w:rsidRDefault="00A173A8">
            <w:pPr>
              <w:spacing w:after="100"/>
              <w:rPr>
                <w:rFonts w:eastAsia="Times New Roman"/>
                <w:sz w:val="20"/>
                <w:szCs w:val="20"/>
              </w:rPr>
            </w:pPr>
          </w:p>
        </w:tc>
        <w:tc>
          <w:tcPr>
            <w:tcW w:w="0" w:type="auto"/>
            <w:gridSpan w:val="3"/>
            <w:vAlign w:val="center"/>
            <w:hideMark/>
          </w:tcPr>
          <w:p w14:paraId="42D5C4EE" w14:textId="77777777" w:rsidR="00000000" w:rsidRDefault="00A173A8">
            <w:pPr>
              <w:spacing w:after="100"/>
              <w:rPr>
                <w:rFonts w:eastAsia="Times New Roman"/>
                <w:sz w:val="20"/>
                <w:szCs w:val="20"/>
              </w:rPr>
            </w:pPr>
          </w:p>
        </w:tc>
        <w:tc>
          <w:tcPr>
            <w:tcW w:w="0" w:type="auto"/>
            <w:gridSpan w:val="3"/>
            <w:vAlign w:val="center"/>
            <w:hideMark/>
          </w:tcPr>
          <w:p w14:paraId="1DF0BD2D" w14:textId="77777777" w:rsidR="00000000" w:rsidRDefault="00A173A8">
            <w:pPr>
              <w:spacing w:after="100"/>
              <w:rPr>
                <w:rFonts w:eastAsia="Times New Roman"/>
                <w:sz w:val="20"/>
                <w:szCs w:val="20"/>
              </w:rPr>
            </w:pPr>
          </w:p>
        </w:tc>
      </w:tr>
      <w:tr w:rsidR="00000000" w14:paraId="7AEA750A" w14:textId="77777777">
        <w:trPr>
          <w:divId w:val="1002776197"/>
        </w:trPr>
        <w:tc>
          <w:tcPr>
            <w:tcW w:w="0" w:type="auto"/>
            <w:gridSpan w:val="3"/>
            <w:shd w:val="clear" w:color="auto" w:fill="CCEEFF"/>
            <w:tcMar>
              <w:top w:w="30" w:type="dxa"/>
              <w:left w:w="20" w:type="dxa"/>
              <w:bottom w:w="30" w:type="dxa"/>
              <w:right w:w="20" w:type="dxa"/>
            </w:tcMar>
            <w:vAlign w:val="center"/>
            <w:hideMark/>
          </w:tcPr>
          <w:p w14:paraId="13F1C971" w14:textId="77777777" w:rsidR="00000000" w:rsidRDefault="00A173A8">
            <w:pPr>
              <w:spacing w:after="100"/>
              <w:rPr>
                <w:rFonts w:eastAsia="Times New Roman"/>
              </w:rPr>
            </w:pPr>
            <w:r>
              <w:rPr>
                <w:rFonts w:eastAsia="Times New Roman"/>
                <w:color w:val="000000"/>
                <w:sz w:val="18"/>
                <w:szCs w:val="18"/>
              </w:rPr>
              <w:t>Total short-term borrowings</w:t>
            </w:r>
          </w:p>
        </w:tc>
        <w:tc>
          <w:tcPr>
            <w:tcW w:w="0" w:type="auto"/>
            <w:gridSpan w:val="3"/>
            <w:shd w:val="clear" w:color="auto" w:fill="CCEEFF"/>
            <w:tcMar>
              <w:top w:w="0" w:type="dxa"/>
              <w:left w:w="20" w:type="dxa"/>
              <w:bottom w:w="0" w:type="dxa"/>
              <w:right w:w="20" w:type="dxa"/>
            </w:tcMar>
            <w:vAlign w:val="center"/>
            <w:hideMark/>
          </w:tcPr>
          <w:p w14:paraId="3DC9A38E"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B945E9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5FCD4AB" w14:textId="77777777" w:rsidR="00000000" w:rsidRDefault="00A173A8">
            <w:pPr>
              <w:spacing w:after="100"/>
              <w:jc w:val="right"/>
              <w:rPr>
                <w:rFonts w:eastAsia="Times New Roman"/>
              </w:rPr>
            </w:pPr>
            <w:r>
              <w:rPr>
                <w:rFonts w:eastAsia="Times New Roman"/>
                <w:b/>
                <w:bCs/>
                <w:color w:val="000000"/>
                <w:sz w:val="18"/>
                <w:szCs w:val="18"/>
              </w:rPr>
              <w:t>440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F775E7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0CE5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FA956F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E794C3F" w14:textId="77777777" w:rsidR="00000000" w:rsidRDefault="00A173A8">
            <w:pPr>
              <w:spacing w:after="100"/>
              <w:jc w:val="right"/>
              <w:rPr>
                <w:rFonts w:eastAsia="Times New Roman"/>
              </w:rPr>
            </w:pPr>
            <w:r>
              <w:rPr>
                <w:rFonts w:eastAsia="Times New Roman"/>
                <w:color w:val="000000"/>
                <w:sz w:val="18"/>
                <w:szCs w:val="18"/>
              </w:rPr>
              <w:t>820 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E6EC78D" w14:textId="77777777" w:rsidR="00000000" w:rsidRDefault="00A173A8">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003"/>
        <w:gridCol w:w="144"/>
        <w:gridCol w:w="144"/>
        <w:gridCol w:w="144"/>
        <w:gridCol w:w="144"/>
        <w:gridCol w:w="144"/>
        <w:gridCol w:w="733"/>
        <w:gridCol w:w="144"/>
        <w:gridCol w:w="144"/>
        <w:gridCol w:w="144"/>
        <w:gridCol w:w="144"/>
        <w:gridCol w:w="144"/>
        <w:gridCol w:w="1255"/>
        <w:gridCol w:w="144"/>
        <w:gridCol w:w="144"/>
        <w:gridCol w:w="144"/>
        <w:gridCol w:w="144"/>
        <w:gridCol w:w="144"/>
        <w:gridCol w:w="819"/>
        <w:gridCol w:w="144"/>
        <w:gridCol w:w="144"/>
        <w:gridCol w:w="144"/>
        <w:gridCol w:w="144"/>
        <w:gridCol w:w="144"/>
        <w:gridCol w:w="819"/>
        <w:gridCol w:w="144"/>
        <w:gridCol w:w="144"/>
        <w:gridCol w:w="144"/>
        <w:gridCol w:w="144"/>
        <w:gridCol w:w="144"/>
        <w:gridCol w:w="819"/>
        <w:gridCol w:w="144"/>
      </w:tblGrid>
      <w:tr w:rsidR="00000000" w14:paraId="26A005B0" w14:textId="77777777">
        <w:tc>
          <w:tcPr>
            <w:tcW w:w="50" w:type="pct"/>
            <w:vAlign w:val="center"/>
            <w:hideMark/>
          </w:tcPr>
          <w:p w14:paraId="0F98F48D" w14:textId="77777777" w:rsidR="00000000" w:rsidRDefault="00A173A8">
            <w:pPr>
              <w:rPr>
                <w:rFonts w:eastAsia="Times New Roman"/>
              </w:rPr>
            </w:pPr>
          </w:p>
        </w:tc>
        <w:tc>
          <w:tcPr>
            <w:tcW w:w="1811" w:type="pct"/>
            <w:vAlign w:val="center"/>
            <w:hideMark/>
          </w:tcPr>
          <w:p w14:paraId="79EA78B2" w14:textId="77777777" w:rsidR="00000000" w:rsidRDefault="00A173A8">
            <w:pPr>
              <w:spacing w:after="100"/>
              <w:rPr>
                <w:rFonts w:eastAsia="Times New Roman"/>
                <w:sz w:val="20"/>
                <w:szCs w:val="20"/>
              </w:rPr>
            </w:pPr>
          </w:p>
        </w:tc>
        <w:tc>
          <w:tcPr>
            <w:tcW w:w="5" w:type="pct"/>
            <w:vAlign w:val="center"/>
            <w:hideMark/>
          </w:tcPr>
          <w:p w14:paraId="33253CB3" w14:textId="77777777" w:rsidR="00000000" w:rsidRDefault="00A173A8">
            <w:pPr>
              <w:spacing w:after="100"/>
              <w:rPr>
                <w:rFonts w:eastAsia="Times New Roman"/>
                <w:sz w:val="20"/>
                <w:szCs w:val="20"/>
              </w:rPr>
            </w:pPr>
          </w:p>
        </w:tc>
        <w:tc>
          <w:tcPr>
            <w:tcW w:w="5" w:type="pct"/>
            <w:vAlign w:val="center"/>
            <w:hideMark/>
          </w:tcPr>
          <w:p w14:paraId="36967891" w14:textId="77777777" w:rsidR="00000000" w:rsidRDefault="00A173A8">
            <w:pPr>
              <w:spacing w:after="100"/>
              <w:rPr>
                <w:rFonts w:eastAsia="Times New Roman"/>
                <w:sz w:val="20"/>
                <w:szCs w:val="20"/>
              </w:rPr>
            </w:pPr>
          </w:p>
        </w:tc>
        <w:tc>
          <w:tcPr>
            <w:tcW w:w="26" w:type="pct"/>
            <w:vAlign w:val="center"/>
            <w:hideMark/>
          </w:tcPr>
          <w:p w14:paraId="459C2ED6" w14:textId="77777777" w:rsidR="00000000" w:rsidRDefault="00A173A8">
            <w:pPr>
              <w:spacing w:after="100"/>
              <w:rPr>
                <w:rFonts w:eastAsia="Times New Roman"/>
                <w:sz w:val="20"/>
                <w:szCs w:val="20"/>
              </w:rPr>
            </w:pPr>
          </w:p>
        </w:tc>
        <w:tc>
          <w:tcPr>
            <w:tcW w:w="5" w:type="pct"/>
            <w:vAlign w:val="center"/>
            <w:hideMark/>
          </w:tcPr>
          <w:p w14:paraId="13BDB19E" w14:textId="77777777" w:rsidR="00000000" w:rsidRDefault="00A173A8">
            <w:pPr>
              <w:spacing w:after="100"/>
              <w:rPr>
                <w:rFonts w:eastAsia="Times New Roman"/>
                <w:sz w:val="20"/>
                <w:szCs w:val="20"/>
              </w:rPr>
            </w:pPr>
          </w:p>
        </w:tc>
        <w:tc>
          <w:tcPr>
            <w:tcW w:w="50" w:type="pct"/>
            <w:vAlign w:val="center"/>
            <w:hideMark/>
          </w:tcPr>
          <w:p w14:paraId="6F53C71F" w14:textId="77777777" w:rsidR="00000000" w:rsidRDefault="00A173A8">
            <w:pPr>
              <w:spacing w:after="100"/>
              <w:rPr>
                <w:rFonts w:eastAsia="Times New Roman"/>
                <w:sz w:val="20"/>
                <w:szCs w:val="20"/>
              </w:rPr>
            </w:pPr>
          </w:p>
        </w:tc>
        <w:tc>
          <w:tcPr>
            <w:tcW w:w="442" w:type="pct"/>
            <w:vAlign w:val="center"/>
            <w:hideMark/>
          </w:tcPr>
          <w:p w14:paraId="7C0AF076" w14:textId="77777777" w:rsidR="00000000" w:rsidRDefault="00A173A8">
            <w:pPr>
              <w:spacing w:after="100"/>
              <w:rPr>
                <w:rFonts w:eastAsia="Times New Roman"/>
                <w:sz w:val="20"/>
                <w:szCs w:val="20"/>
              </w:rPr>
            </w:pPr>
          </w:p>
        </w:tc>
        <w:tc>
          <w:tcPr>
            <w:tcW w:w="5" w:type="pct"/>
            <w:vAlign w:val="center"/>
            <w:hideMark/>
          </w:tcPr>
          <w:p w14:paraId="4AB7D6FA" w14:textId="77777777" w:rsidR="00000000" w:rsidRDefault="00A173A8">
            <w:pPr>
              <w:spacing w:after="100"/>
              <w:rPr>
                <w:rFonts w:eastAsia="Times New Roman"/>
                <w:sz w:val="20"/>
                <w:szCs w:val="20"/>
              </w:rPr>
            </w:pPr>
          </w:p>
        </w:tc>
        <w:tc>
          <w:tcPr>
            <w:tcW w:w="5" w:type="pct"/>
            <w:vAlign w:val="center"/>
            <w:hideMark/>
          </w:tcPr>
          <w:p w14:paraId="09BF1542" w14:textId="77777777" w:rsidR="00000000" w:rsidRDefault="00A173A8">
            <w:pPr>
              <w:spacing w:after="100"/>
              <w:rPr>
                <w:rFonts w:eastAsia="Times New Roman"/>
                <w:sz w:val="20"/>
                <w:szCs w:val="20"/>
              </w:rPr>
            </w:pPr>
          </w:p>
        </w:tc>
        <w:tc>
          <w:tcPr>
            <w:tcW w:w="19" w:type="pct"/>
            <w:vAlign w:val="center"/>
            <w:hideMark/>
          </w:tcPr>
          <w:p w14:paraId="029F2FB1" w14:textId="77777777" w:rsidR="00000000" w:rsidRDefault="00A173A8">
            <w:pPr>
              <w:spacing w:after="100"/>
              <w:rPr>
                <w:rFonts w:eastAsia="Times New Roman"/>
                <w:sz w:val="20"/>
                <w:szCs w:val="20"/>
              </w:rPr>
            </w:pPr>
          </w:p>
        </w:tc>
        <w:tc>
          <w:tcPr>
            <w:tcW w:w="5" w:type="pct"/>
            <w:vAlign w:val="center"/>
            <w:hideMark/>
          </w:tcPr>
          <w:p w14:paraId="2FF53AF2" w14:textId="77777777" w:rsidR="00000000" w:rsidRDefault="00A173A8">
            <w:pPr>
              <w:spacing w:after="100"/>
              <w:rPr>
                <w:rFonts w:eastAsia="Times New Roman"/>
                <w:sz w:val="20"/>
                <w:szCs w:val="20"/>
              </w:rPr>
            </w:pPr>
          </w:p>
        </w:tc>
        <w:tc>
          <w:tcPr>
            <w:tcW w:w="50" w:type="pct"/>
            <w:vAlign w:val="center"/>
            <w:hideMark/>
          </w:tcPr>
          <w:p w14:paraId="6DE31EBF" w14:textId="77777777" w:rsidR="00000000" w:rsidRDefault="00A173A8">
            <w:pPr>
              <w:spacing w:after="100"/>
              <w:rPr>
                <w:rFonts w:eastAsia="Times New Roman"/>
                <w:sz w:val="20"/>
                <w:szCs w:val="20"/>
              </w:rPr>
            </w:pPr>
          </w:p>
        </w:tc>
        <w:tc>
          <w:tcPr>
            <w:tcW w:w="757" w:type="pct"/>
            <w:vAlign w:val="center"/>
            <w:hideMark/>
          </w:tcPr>
          <w:p w14:paraId="3D1F6525" w14:textId="77777777" w:rsidR="00000000" w:rsidRDefault="00A173A8">
            <w:pPr>
              <w:spacing w:after="100"/>
              <w:rPr>
                <w:rFonts w:eastAsia="Times New Roman"/>
                <w:sz w:val="20"/>
                <w:szCs w:val="20"/>
              </w:rPr>
            </w:pPr>
          </w:p>
        </w:tc>
        <w:tc>
          <w:tcPr>
            <w:tcW w:w="5" w:type="pct"/>
            <w:vAlign w:val="center"/>
            <w:hideMark/>
          </w:tcPr>
          <w:p w14:paraId="78781BAC" w14:textId="77777777" w:rsidR="00000000" w:rsidRDefault="00A173A8">
            <w:pPr>
              <w:spacing w:after="100"/>
              <w:rPr>
                <w:rFonts w:eastAsia="Times New Roman"/>
                <w:sz w:val="20"/>
                <w:szCs w:val="20"/>
              </w:rPr>
            </w:pPr>
          </w:p>
        </w:tc>
        <w:tc>
          <w:tcPr>
            <w:tcW w:w="5" w:type="pct"/>
            <w:vAlign w:val="center"/>
            <w:hideMark/>
          </w:tcPr>
          <w:p w14:paraId="32CA9085" w14:textId="77777777" w:rsidR="00000000" w:rsidRDefault="00A173A8">
            <w:pPr>
              <w:spacing w:after="100"/>
              <w:rPr>
                <w:rFonts w:eastAsia="Times New Roman"/>
                <w:sz w:val="20"/>
                <w:szCs w:val="20"/>
              </w:rPr>
            </w:pPr>
          </w:p>
        </w:tc>
        <w:tc>
          <w:tcPr>
            <w:tcW w:w="26" w:type="pct"/>
            <w:vAlign w:val="center"/>
            <w:hideMark/>
          </w:tcPr>
          <w:p w14:paraId="2016FBAF" w14:textId="77777777" w:rsidR="00000000" w:rsidRDefault="00A173A8">
            <w:pPr>
              <w:spacing w:after="100"/>
              <w:rPr>
                <w:rFonts w:eastAsia="Times New Roman"/>
                <w:sz w:val="20"/>
                <w:szCs w:val="20"/>
              </w:rPr>
            </w:pPr>
          </w:p>
        </w:tc>
        <w:tc>
          <w:tcPr>
            <w:tcW w:w="5" w:type="pct"/>
            <w:vAlign w:val="center"/>
            <w:hideMark/>
          </w:tcPr>
          <w:p w14:paraId="2CC23959" w14:textId="77777777" w:rsidR="00000000" w:rsidRDefault="00A173A8">
            <w:pPr>
              <w:spacing w:after="100"/>
              <w:rPr>
                <w:rFonts w:eastAsia="Times New Roman"/>
                <w:sz w:val="20"/>
                <w:szCs w:val="20"/>
              </w:rPr>
            </w:pPr>
          </w:p>
        </w:tc>
        <w:tc>
          <w:tcPr>
            <w:tcW w:w="50" w:type="pct"/>
            <w:vAlign w:val="center"/>
            <w:hideMark/>
          </w:tcPr>
          <w:p w14:paraId="321EDDD4" w14:textId="77777777" w:rsidR="00000000" w:rsidRDefault="00A173A8">
            <w:pPr>
              <w:spacing w:after="100"/>
              <w:rPr>
                <w:rFonts w:eastAsia="Times New Roman"/>
                <w:sz w:val="20"/>
                <w:szCs w:val="20"/>
              </w:rPr>
            </w:pPr>
          </w:p>
        </w:tc>
        <w:tc>
          <w:tcPr>
            <w:tcW w:w="494" w:type="pct"/>
            <w:vAlign w:val="center"/>
            <w:hideMark/>
          </w:tcPr>
          <w:p w14:paraId="6530E754" w14:textId="77777777" w:rsidR="00000000" w:rsidRDefault="00A173A8">
            <w:pPr>
              <w:spacing w:after="100"/>
              <w:rPr>
                <w:rFonts w:eastAsia="Times New Roman"/>
                <w:sz w:val="20"/>
                <w:szCs w:val="20"/>
              </w:rPr>
            </w:pPr>
          </w:p>
        </w:tc>
        <w:tc>
          <w:tcPr>
            <w:tcW w:w="5" w:type="pct"/>
            <w:vAlign w:val="center"/>
            <w:hideMark/>
          </w:tcPr>
          <w:p w14:paraId="20276F23" w14:textId="77777777" w:rsidR="00000000" w:rsidRDefault="00A173A8">
            <w:pPr>
              <w:spacing w:after="100"/>
              <w:rPr>
                <w:rFonts w:eastAsia="Times New Roman"/>
                <w:sz w:val="20"/>
                <w:szCs w:val="20"/>
              </w:rPr>
            </w:pPr>
          </w:p>
        </w:tc>
        <w:tc>
          <w:tcPr>
            <w:tcW w:w="5" w:type="pct"/>
            <w:vAlign w:val="center"/>
            <w:hideMark/>
          </w:tcPr>
          <w:p w14:paraId="23DF6197" w14:textId="77777777" w:rsidR="00000000" w:rsidRDefault="00A173A8">
            <w:pPr>
              <w:spacing w:after="100"/>
              <w:rPr>
                <w:rFonts w:eastAsia="Times New Roman"/>
                <w:sz w:val="20"/>
                <w:szCs w:val="20"/>
              </w:rPr>
            </w:pPr>
          </w:p>
        </w:tc>
        <w:tc>
          <w:tcPr>
            <w:tcW w:w="26" w:type="pct"/>
            <w:vAlign w:val="center"/>
            <w:hideMark/>
          </w:tcPr>
          <w:p w14:paraId="4BAFA975" w14:textId="77777777" w:rsidR="00000000" w:rsidRDefault="00A173A8">
            <w:pPr>
              <w:spacing w:after="100"/>
              <w:rPr>
                <w:rFonts w:eastAsia="Times New Roman"/>
                <w:sz w:val="20"/>
                <w:szCs w:val="20"/>
              </w:rPr>
            </w:pPr>
          </w:p>
        </w:tc>
        <w:tc>
          <w:tcPr>
            <w:tcW w:w="5" w:type="pct"/>
            <w:vAlign w:val="center"/>
            <w:hideMark/>
          </w:tcPr>
          <w:p w14:paraId="2D04D1E9" w14:textId="77777777" w:rsidR="00000000" w:rsidRDefault="00A173A8">
            <w:pPr>
              <w:spacing w:after="100"/>
              <w:rPr>
                <w:rFonts w:eastAsia="Times New Roman"/>
                <w:sz w:val="20"/>
                <w:szCs w:val="20"/>
              </w:rPr>
            </w:pPr>
          </w:p>
        </w:tc>
        <w:tc>
          <w:tcPr>
            <w:tcW w:w="50" w:type="pct"/>
            <w:vAlign w:val="center"/>
            <w:hideMark/>
          </w:tcPr>
          <w:p w14:paraId="2CF59A68" w14:textId="77777777" w:rsidR="00000000" w:rsidRDefault="00A173A8">
            <w:pPr>
              <w:spacing w:after="100"/>
              <w:rPr>
                <w:rFonts w:eastAsia="Times New Roman"/>
                <w:sz w:val="20"/>
                <w:szCs w:val="20"/>
              </w:rPr>
            </w:pPr>
          </w:p>
        </w:tc>
        <w:tc>
          <w:tcPr>
            <w:tcW w:w="494" w:type="pct"/>
            <w:vAlign w:val="center"/>
            <w:hideMark/>
          </w:tcPr>
          <w:p w14:paraId="65315B8D" w14:textId="77777777" w:rsidR="00000000" w:rsidRDefault="00A173A8">
            <w:pPr>
              <w:spacing w:after="100"/>
              <w:rPr>
                <w:rFonts w:eastAsia="Times New Roman"/>
                <w:sz w:val="20"/>
                <w:szCs w:val="20"/>
              </w:rPr>
            </w:pPr>
          </w:p>
        </w:tc>
        <w:tc>
          <w:tcPr>
            <w:tcW w:w="5" w:type="pct"/>
            <w:vAlign w:val="center"/>
            <w:hideMark/>
          </w:tcPr>
          <w:p w14:paraId="31920CE9" w14:textId="77777777" w:rsidR="00000000" w:rsidRDefault="00A173A8">
            <w:pPr>
              <w:spacing w:after="100"/>
              <w:rPr>
                <w:rFonts w:eastAsia="Times New Roman"/>
                <w:sz w:val="20"/>
                <w:szCs w:val="20"/>
              </w:rPr>
            </w:pPr>
          </w:p>
        </w:tc>
        <w:tc>
          <w:tcPr>
            <w:tcW w:w="5" w:type="pct"/>
            <w:vAlign w:val="center"/>
            <w:hideMark/>
          </w:tcPr>
          <w:p w14:paraId="4B061492" w14:textId="77777777" w:rsidR="00000000" w:rsidRDefault="00A173A8">
            <w:pPr>
              <w:spacing w:after="100"/>
              <w:rPr>
                <w:rFonts w:eastAsia="Times New Roman"/>
                <w:sz w:val="20"/>
                <w:szCs w:val="20"/>
              </w:rPr>
            </w:pPr>
          </w:p>
        </w:tc>
        <w:tc>
          <w:tcPr>
            <w:tcW w:w="26" w:type="pct"/>
            <w:vAlign w:val="center"/>
            <w:hideMark/>
          </w:tcPr>
          <w:p w14:paraId="434FFB48" w14:textId="77777777" w:rsidR="00000000" w:rsidRDefault="00A173A8">
            <w:pPr>
              <w:spacing w:after="100"/>
              <w:rPr>
                <w:rFonts w:eastAsia="Times New Roman"/>
                <w:sz w:val="20"/>
                <w:szCs w:val="20"/>
              </w:rPr>
            </w:pPr>
          </w:p>
        </w:tc>
        <w:tc>
          <w:tcPr>
            <w:tcW w:w="5" w:type="pct"/>
            <w:vAlign w:val="center"/>
            <w:hideMark/>
          </w:tcPr>
          <w:p w14:paraId="6E67D59E" w14:textId="77777777" w:rsidR="00000000" w:rsidRDefault="00A173A8">
            <w:pPr>
              <w:spacing w:after="100"/>
              <w:rPr>
                <w:rFonts w:eastAsia="Times New Roman"/>
                <w:sz w:val="20"/>
                <w:szCs w:val="20"/>
              </w:rPr>
            </w:pPr>
          </w:p>
        </w:tc>
        <w:tc>
          <w:tcPr>
            <w:tcW w:w="50" w:type="pct"/>
            <w:vAlign w:val="center"/>
            <w:hideMark/>
          </w:tcPr>
          <w:p w14:paraId="207AEDC9" w14:textId="77777777" w:rsidR="00000000" w:rsidRDefault="00A173A8">
            <w:pPr>
              <w:spacing w:after="100"/>
              <w:rPr>
                <w:rFonts w:eastAsia="Times New Roman"/>
                <w:sz w:val="20"/>
                <w:szCs w:val="20"/>
              </w:rPr>
            </w:pPr>
          </w:p>
        </w:tc>
        <w:tc>
          <w:tcPr>
            <w:tcW w:w="494" w:type="pct"/>
            <w:vAlign w:val="center"/>
            <w:hideMark/>
          </w:tcPr>
          <w:p w14:paraId="2700F457" w14:textId="77777777" w:rsidR="00000000" w:rsidRDefault="00A173A8">
            <w:pPr>
              <w:spacing w:after="100"/>
              <w:rPr>
                <w:rFonts w:eastAsia="Times New Roman"/>
                <w:sz w:val="20"/>
                <w:szCs w:val="20"/>
              </w:rPr>
            </w:pPr>
          </w:p>
        </w:tc>
        <w:tc>
          <w:tcPr>
            <w:tcW w:w="5" w:type="pct"/>
            <w:vAlign w:val="center"/>
            <w:hideMark/>
          </w:tcPr>
          <w:p w14:paraId="6AAA698C" w14:textId="77777777" w:rsidR="00000000" w:rsidRDefault="00A173A8">
            <w:pPr>
              <w:spacing w:after="100"/>
              <w:rPr>
                <w:rFonts w:eastAsia="Times New Roman"/>
                <w:sz w:val="20"/>
                <w:szCs w:val="20"/>
              </w:rPr>
            </w:pPr>
          </w:p>
        </w:tc>
      </w:tr>
      <w:tr w:rsidR="00000000" w14:paraId="374AF371" w14:textId="77777777">
        <w:tc>
          <w:tcPr>
            <w:tcW w:w="0" w:type="auto"/>
            <w:gridSpan w:val="3"/>
            <w:tcMar>
              <w:top w:w="30" w:type="dxa"/>
              <w:left w:w="515" w:type="dxa"/>
              <w:bottom w:w="30" w:type="dxa"/>
              <w:right w:w="20" w:type="dxa"/>
            </w:tcMar>
            <w:vAlign w:val="bottom"/>
            <w:hideMark/>
          </w:tcPr>
          <w:p w14:paraId="64070501"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C57EFEB" w14:textId="77777777" w:rsidR="00000000" w:rsidRDefault="00A173A8">
            <w:pPr>
              <w:spacing w:after="100"/>
              <w:rPr>
                <w:rFonts w:eastAsia="Times New Roman"/>
              </w:rPr>
            </w:pPr>
          </w:p>
        </w:tc>
        <w:tc>
          <w:tcPr>
            <w:tcW w:w="0" w:type="auto"/>
            <w:gridSpan w:val="21"/>
            <w:tcMar>
              <w:top w:w="30" w:type="dxa"/>
              <w:left w:w="20" w:type="dxa"/>
              <w:bottom w:w="30" w:type="dxa"/>
              <w:right w:w="20" w:type="dxa"/>
            </w:tcMar>
            <w:vAlign w:val="bottom"/>
            <w:hideMark/>
          </w:tcPr>
          <w:p w14:paraId="549C148A"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02CCC9E1"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6964C1"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1A073A4B" w14:textId="77777777">
        <w:tc>
          <w:tcPr>
            <w:tcW w:w="0" w:type="auto"/>
            <w:gridSpan w:val="3"/>
            <w:tcMar>
              <w:top w:w="30" w:type="dxa"/>
              <w:left w:w="20" w:type="dxa"/>
              <w:bottom w:w="30" w:type="dxa"/>
              <w:right w:w="20" w:type="dxa"/>
            </w:tcMar>
            <w:vAlign w:val="bottom"/>
            <w:hideMark/>
          </w:tcPr>
          <w:p w14:paraId="516A10C7"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D1291EF"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757063" w14:textId="77777777" w:rsidR="00000000" w:rsidRDefault="00A173A8">
            <w:pPr>
              <w:spacing w:after="100"/>
              <w:jc w:val="center"/>
              <w:rPr>
                <w:rFonts w:eastAsia="Times New Roman"/>
              </w:rPr>
            </w:pPr>
            <w:r>
              <w:rPr>
                <w:rFonts w:eastAsia="Times New Roman"/>
                <w:b/>
                <w:bCs/>
                <w:color w:val="000000"/>
                <w:sz w:val="16"/>
                <w:szCs w:val="16"/>
              </w:rPr>
              <w:t>Maturity Dates</w:t>
            </w:r>
          </w:p>
        </w:tc>
        <w:tc>
          <w:tcPr>
            <w:tcW w:w="0" w:type="auto"/>
            <w:gridSpan w:val="3"/>
            <w:tcBorders>
              <w:top w:val="single" w:sz="8" w:space="0" w:color="000000"/>
            </w:tcBorders>
            <w:tcMar>
              <w:top w:w="0" w:type="dxa"/>
              <w:left w:w="20" w:type="dxa"/>
              <w:bottom w:w="0" w:type="dxa"/>
              <w:right w:w="20" w:type="dxa"/>
            </w:tcMar>
            <w:vAlign w:val="center"/>
            <w:hideMark/>
          </w:tcPr>
          <w:p w14:paraId="40657BD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4C4338" w14:textId="77777777" w:rsidR="00000000" w:rsidRDefault="00A173A8">
            <w:pPr>
              <w:spacing w:after="100"/>
              <w:jc w:val="center"/>
              <w:rPr>
                <w:rFonts w:eastAsia="Times New Roman"/>
              </w:rPr>
            </w:pPr>
            <w:r>
              <w:rPr>
                <w:rFonts w:eastAsia="Times New Roman"/>
                <w:b/>
                <w:bCs/>
                <w:color w:val="000000"/>
                <w:sz w:val="16"/>
                <w:szCs w:val="16"/>
              </w:rPr>
              <w:t>Stated Interest Rates</w:t>
            </w:r>
          </w:p>
        </w:tc>
        <w:tc>
          <w:tcPr>
            <w:tcW w:w="0" w:type="auto"/>
            <w:gridSpan w:val="3"/>
            <w:tcBorders>
              <w:top w:val="single" w:sz="8" w:space="0" w:color="000000"/>
            </w:tcBorders>
            <w:tcMar>
              <w:top w:w="0" w:type="dxa"/>
              <w:left w:w="20" w:type="dxa"/>
              <w:bottom w:w="0" w:type="dxa"/>
              <w:right w:w="20" w:type="dxa"/>
            </w:tcMar>
            <w:vAlign w:val="center"/>
            <w:hideMark/>
          </w:tcPr>
          <w:p w14:paraId="58BB6E9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8EA05A" w14:textId="77777777" w:rsidR="00000000" w:rsidRDefault="00A173A8">
            <w:pPr>
              <w:spacing w:after="100"/>
              <w:jc w:val="center"/>
              <w:rPr>
                <w:rFonts w:eastAsia="Times New Roman"/>
              </w:rPr>
            </w:pPr>
            <w:r>
              <w:rPr>
                <w:rFonts w:eastAsia="Times New Roman"/>
                <w:b/>
                <w:bCs/>
                <w:color w:val="000000"/>
                <w:sz w:val="16"/>
                <w:szCs w:val="16"/>
              </w:rPr>
              <w:t>Weighted-Average Interest Rate</w:t>
            </w:r>
          </w:p>
        </w:tc>
        <w:tc>
          <w:tcPr>
            <w:tcW w:w="0" w:type="auto"/>
            <w:gridSpan w:val="3"/>
            <w:tcBorders>
              <w:top w:val="single" w:sz="8" w:space="0" w:color="000000"/>
            </w:tcBorders>
            <w:tcMar>
              <w:top w:w="0" w:type="dxa"/>
              <w:left w:w="20" w:type="dxa"/>
              <w:bottom w:w="0" w:type="dxa"/>
              <w:right w:w="20" w:type="dxa"/>
            </w:tcMar>
            <w:vAlign w:val="center"/>
            <w:hideMark/>
          </w:tcPr>
          <w:p w14:paraId="5FAA5C1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9B8518" w14:textId="77777777" w:rsidR="00000000" w:rsidRDefault="00A173A8">
            <w:pPr>
              <w:spacing w:after="100"/>
              <w:jc w:val="center"/>
              <w:rPr>
                <w:rFonts w:eastAsia="Times New Roman"/>
              </w:rPr>
            </w:pPr>
            <w:r>
              <w:rPr>
                <w:rFonts w:eastAsia="Times New Roman"/>
                <w:b/>
                <w:bCs/>
                <w:color w:val="000000"/>
                <w:sz w:val="16"/>
                <w:szCs w:val="16"/>
              </w:rPr>
              <w:t>Carrying Value</w:t>
            </w:r>
          </w:p>
        </w:tc>
        <w:tc>
          <w:tcPr>
            <w:tcW w:w="0" w:type="auto"/>
            <w:gridSpan w:val="3"/>
            <w:tcMar>
              <w:top w:w="0" w:type="dxa"/>
              <w:left w:w="20" w:type="dxa"/>
              <w:bottom w:w="0" w:type="dxa"/>
              <w:right w:w="20" w:type="dxa"/>
            </w:tcMar>
            <w:vAlign w:val="center"/>
            <w:hideMark/>
          </w:tcPr>
          <w:p w14:paraId="5A4DC009"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CCFCB2" w14:textId="77777777" w:rsidR="00000000" w:rsidRDefault="00A173A8">
            <w:pPr>
              <w:spacing w:after="100"/>
              <w:jc w:val="center"/>
              <w:rPr>
                <w:rFonts w:eastAsia="Times New Roman"/>
              </w:rPr>
            </w:pPr>
            <w:r>
              <w:rPr>
                <w:rFonts w:eastAsia="Times New Roman"/>
                <w:b/>
                <w:bCs/>
                <w:color w:val="000000"/>
                <w:sz w:val="16"/>
                <w:szCs w:val="16"/>
              </w:rPr>
              <w:t>Carrying Value</w:t>
            </w:r>
          </w:p>
        </w:tc>
      </w:tr>
      <w:tr w:rsidR="00000000" w14:paraId="75E23051"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2540C04" w14:textId="77777777" w:rsidR="00000000" w:rsidRDefault="00A173A8">
            <w:pPr>
              <w:spacing w:after="100"/>
              <w:rPr>
                <w:rFonts w:eastAsia="Times New Roman"/>
              </w:rPr>
            </w:pPr>
            <w:r>
              <w:rPr>
                <w:rFonts w:eastAsia="Times New Roman"/>
                <w:b/>
                <w:bCs/>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14:paraId="0D5DB4D9"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EF8F9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63AA5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8B487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68BEA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67AF7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C3400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7CE1B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EB8C0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68005A" w14:textId="77777777" w:rsidR="00000000" w:rsidRDefault="00A173A8">
            <w:pPr>
              <w:spacing w:after="100"/>
              <w:rPr>
                <w:rFonts w:eastAsia="Times New Roman"/>
                <w:sz w:val="20"/>
                <w:szCs w:val="20"/>
              </w:rPr>
            </w:pPr>
          </w:p>
        </w:tc>
      </w:tr>
      <w:tr w:rsidR="00000000" w14:paraId="709837C5" w14:textId="77777777">
        <w:tc>
          <w:tcPr>
            <w:tcW w:w="0" w:type="auto"/>
            <w:gridSpan w:val="3"/>
            <w:shd w:val="clear" w:color="auto" w:fill="FFFFFF"/>
            <w:tcMar>
              <w:top w:w="30" w:type="dxa"/>
              <w:left w:w="245" w:type="dxa"/>
              <w:bottom w:w="30" w:type="dxa"/>
              <w:right w:w="20" w:type="dxa"/>
            </w:tcMar>
            <w:vAlign w:val="center"/>
            <w:hideMark/>
          </w:tcPr>
          <w:p w14:paraId="01649967" w14:textId="77777777" w:rsidR="00000000" w:rsidRDefault="00A173A8">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0B5DAF35"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24172CDE" w14:textId="77777777" w:rsidR="00000000" w:rsidRDefault="00A173A8">
            <w:pPr>
              <w:spacing w:after="100"/>
              <w:jc w:val="right"/>
              <w:rPr>
                <w:rFonts w:eastAsia="Times New Roman"/>
              </w:rPr>
            </w:pPr>
            <w:r>
              <w:rPr>
                <w:rFonts w:eastAsia="Times New Roman"/>
                <w:b/>
                <w:bCs/>
                <w:color w:val="000000"/>
                <w:sz w:val="18"/>
                <w:szCs w:val="18"/>
              </w:rPr>
              <w:t>2022-2028</w:t>
            </w:r>
          </w:p>
        </w:tc>
        <w:tc>
          <w:tcPr>
            <w:tcW w:w="0" w:type="auto"/>
            <w:gridSpan w:val="3"/>
            <w:shd w:val="clear" w:color="auto" w:fill="FFFFFF"/>
            <w:tcMar>
              <w:top w:w="0" w:type="dxa"/>
              <w:left w:w="20" w:type="dxa"/>
              <w:bottom w:w="0" w:type="dxa"/>
              <w:right w:w="20" w:type="dxa"/>
            </w:tcMar>
            <w:vAlign w:val="center"/>
            <w:hideMark/>
          </w:tcPr>
          <w:p w14:paraId="282110DC"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17909FB4" w14:textId="77777777" w:rsidR="00000000" w:rsidRDefault="00A173A8">
            <w:pPr>
              <w:spacing w:after="100"/>
              <w:jc w:val="right"/>
              <w:rPr>
                <w:rFonts w:eastAsia="Times New Roman"/>
              </w:rPr>
            </w:pPr>
            <w:r>
              <w:rPr>
                <w:rFonts w:eastAsia="Times New Roman"/>
                <w:b/>
                <w:bCs/>
                <w:color w:val="000000"/>
                <w:sz w:val="18"/>
                <w:szCs w:val="18"/>
              </w:rPr>
              <w:t>0.32% - 3.49%</w:t>
            </w:r>
          </w:p>
        </w:tc>
        <w:tc>
          <w:tcPr>
            <w:tcW w:w="0" w:type="auto"/>
            <w:gridSpan w:val="3"/>
            <w:shd w:val="clear" w:color="auto" w:fill="FFFFFF"/>
            <w:tcMar>
              <w:top w:w="0" w:type="dxa"/>
              <w:left w:w="20" w:type="dxa"/>
              <w:bottom w:w="0" w:type="dxa"/>
              <w:right w:w="20" w:type="dxa"/>
            </w:tcMar>
            <w:vAlign w:val="center"/>
            <w:hideMark/>
          </w:tcPr>
          <w:p w14:paraId="224B7B12"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14:paraId="44BD25FC" w14:textId="77777777" w:rsidR="00000000" w:rsidRDefault="00A173A8">
            <w:pPr>
              <w:spacing w:after="100"/>
              <w:jc w:val="right"/>
              <w:rPr>
                <w:rFonts w:eastAsia="Times New Roman"/>
              </w:rPr>
            </w:pPr>
            <w:r>
              <w:rPr>
                <w:rFonts w:eastAsia="Times New Roman"/>
                <w:b/>
                <w:bCs/>
                <w:color w:val="000000"/>
                <w:sz w:val="18"/>
                <w:szCs w:val="18"/>
              </w:rPr>
              <w:t>2.02%</w:t>
            </w:r>
          </w:p>
        </w:tc>
        <w:tc>
          <w:tcPr>
            <w:tcW w:w="0" w:type="auto"/>
            <w:gridSpan w:val="3"/>
            <w:shd w:val="clear" w:color="auto" w:fill="FFFFFF"/>
            <w:tcMar>
              <w:top w:w="0" w:type="dxa"/>
              <w:left w:w="20" w:type="dxa"/>
              <w:bottom w:w="0" w:type="dxa"/>
              <w:right w:w="20" w:type="dxa"/>
            </w:tcMar>
            <w:vAlign w:val="center"/>
            <w:hideMark/>
          </w:tcPr>
          <w:p w14:paraId="27671ED6" w14:textId="77777777" w:rsidR="00000000" w:rsidRDefault="00A173A8">
            <w:pPr>
              <w:spacing w:after="100"/>
              <w:jc w:val="right"/>
              <w:rPr>
                <w:rFonts w:eastAsia="Times New Roman"/>
              </w:rPr>
            </w:pPr>
          </w:p>
        </w:tc>
        <w:tc>
          <w:tcPr>
            <w:tcW w:w="0" w:type="auto"/>
            <w:shd w:val="clear" w:color="auto" w:fill="FFFFFF"/>
            <w:tcMar>
              <w:top w:w="30" w:type="dxa"/>
              <w:left w:w="20" w:type="dxa"/>
              <w:bottom w:w="30" w:type="dxa"/>
              <w:right w:w="0" w:type="dxa"/>
            </w:tcMar>
            <w:vAlign w:val="center"/>
            <w:hideMark/>
          </w:tcPr>
          <w:p w14:paraId="3A16B14A"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39C2A8B" w14:textId="77777777" w:rsidR="00000000" w:rsidRDefault="00A173A8">
            <w:pPr>
              <w:spacing w:after="100"/>
              <w:jc w:val="right"/>
              <w:rPr>
                <w:rFonts w:eastAsia="Times New Roman"/>
              </w:rPr>
            </w:pPr>
            <w:r>
              <w:rPr>
                <w:rFonts w:eastAsia="Times New Roman"/>
                <w:b/>
                <w:bCs/>
                <w:color w:val="000000"/>
                <w:sz w:val="18"/>
                <w:szCs w:val="18"/>
              </w:rPr>
              <w:t>17,466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918D4F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FB41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79DC44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A80C345" w14:textId="77777777" w:rsidR="00000000" w:rsidRDefault="00A173A8">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center"/>
            <w:hideMark/>
          </w:tcPr>
          <w:p w14:paraId="48D00D3A" w14:textId="77777777" w:rsidR="00000000" w:rsidRDefault="00A173A8">
            <w:pPr>
              <w:spacing w:after="100"/>
              <w:jc w:val="right"/>
              <w:rPr>
                <w:rFonts w:eastAsia="Times New Roman"/>
              </w:rPr>
            </w:pPr>
          </w:p>
        </w:tc>
      </w:tr>
      <w:tr w:rsidR="00000000" w14:paraId="712C3A59" w14:textId="77777777">
        <w:tc>
          <w:tcPr>
            <w:tcW w:w="0" w:type="auto"/>
            <w:gridSpan w:val="3"/>
            <w:shd w:val="clear" w:color="auto" w:fill="CCEEFF"/>
            <w:tcMar>
              <w:top w:w="30" w:type="dxa"/>
              <w:left w:w="245" w:type="dxa"/>
              <w:bottom w:w="30" w:type="dxa"/>
              <w:right w:w="20" w:type="dxa"/>
            </w:tcMar>
            <w:vAlign w:val="center"/>
            <w:hideMark/>
          </w:tcPr>
          <w:p w14:paraId="1AA06845" w14:textId="77777777" w:rsidR="00000000" w:rsidRDefault="00A173A8">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16CCE188"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F4D64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CE352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D998D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CA60F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F7390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5486A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BEBA3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F9B78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019133" w14:textId="77777777" w:rsidR="00000000" w:rsidRDefault="00A173A8">
            <w:pPr>
              <w:spacing w:after="100"/>
              <w:rPr>
                <w:rFonts w:eastAsia="Times New Roman"/>
                <w:sz w:val="20"/>
                <w:szCs w:val="20"/>
              </w:rPr>
            </w:pPr>
          </w:p>
        </w:tc>
      </w:tr>
      <w:tr w:rsidR="00000000" w14:paraId="7AFE66DC" w14:textId="77777777">
        <w:tc>
          <w:tcPr>
            <w:tcW w:w="0" w:type="auto"/>
            <w:gridSpan w:val="3"/>
            <w:shd w:val="clear" w:color="auto" w:fill="FFFFFF"/>
            <w:tcMar>
              <w:top w:w="30" w:type="dxa"/>
              <w:left w:w="20" w:type="dxa"/>
              <w:bottom w:w="30" w:type="dxa"/>
              <w:right w:w="20" w:type="dxa"/>
            </w:tcMar>
            <w:vAlign w:val="center"/>
            <w:hideMark/>
          </w:tcPr>
          <w:p w14:paraId="48C76CF4" w14:textId="77777777" w:rsidR="00000000" w:rsidRDefault="00A173A8">
            <w:pPr>
              <w:spacing w:after="100"/>
              <w:divId w:val="1425953822"/>
              <w:rPr>
                <w:rFonts w:eastAsia="Times New Roman"/>
              </w:rPr>
            </w:pPr>
            <w:r>
              <w:rPr>
                <w:rFonts w:eastAsia="Times New Roman"/>
                <w:color w:val="000000"/>
                <w:sz w:val="18"/>
                <w:szCs w:val="18"/>
              </w:rPr>
              <w:t>Fixed unsecured senior deb</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5ABB9F7"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4809ECBB" w14:textId="77777777" w:rsidR="00000000" w:rsidRDefault="00A173A8">
            <w:pPr>
              <w:spacing w:after="100"/>
              <w:jc w:val="right"/>
              <w:rPr>
                <w:rFonts w:eastAsia="Times New Roman"/>
              </w:rPr>
            </w:pPr>
            <w:r>
              <w:rPr>
                <w:rFonts w:eastAsia="Times New Roman"/>
                <w:b/>
                <w:bCs/>
                <w:color w:val="000000"/>
                <w:sz w:val="18"/>
                <w:szCs w:val="18"/>
              </w:rPr>
              <w:t>2022-2033</w:t>
            </w:r>
          </w:p>
        </w:tc>
        <w:tc>
          <w:tcPr>
            <w:tcW w:w="0" w:type="auto"/>
            <w:gridSpan w:val="3"/>
            <w:shd w:val="clear" w:color="auto" w:fill="FFFFFF"/>
            <w:tcMar>
              <w:top w:w="0" w:type="dxa"/>
              <w:left w:w="20" w:type="dxa"/>
              <w:bottom w:w="0" w:type="dxa"/>
              <w:right w:w="20" w:type="dxa"/>
            </w:tcMar>
            <w:vAlign w:val="center"/>
            <w:hideMark/>
          </w:tcPr>
          <w:p w14:paraId="3FCB9E05"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017A08BA" w14:textId="77777777" w:rsidR="00000000" w:rsidRDefault="00A173A8">
            <w:pPr>
              <w:spacing w:after="100"/>
              <w:jc w:val="right"/>
              <w:rPr>
                <w:rFonts w:eastAsia="Times New Roman"/>
              </w:rPr>
            </w:pPr>
            <w:r>
              <w:rPr>
                <w:rFonts w:eastAsia="Times New Roman"/>
                <w:b/>
                <w:bCs/>
                <w:color w:val="000000"/>
                <w:sz w:val="18"/>
                <w:szCs w:val="18"/>
              </w:rPr>
              <w:t>0.80 - 5.27</w:t>
            </w:r>
          </w:p>
        </w:tc>
        <w:tc>
          <w:tcPr>
            <w:tcW w:w="0" w:type="auto"/>
            <w:gridSpan w:val="3"/>
            <w:shd w:val="clear" w:color="auto" w:fill="FFFFFF"/>
            <w:tcMar>
              <w:top w:w="0" w:type="dxa"/>
              <w:left w:w="20" w:type="dxa"/>
              <w:bottom w:w="0" w:type="dxa"/>
              <w:right w:w="20" w:type="dxa"/>
            </w:tcMar>
            <w:vAlign w:val="center"/>
            <w:hideMark/>
          </w:tcPr>
          <w:p w14:paraId="41AD720E"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35FD5C8D" w14:textId="77777777" w:rsidR="00000000" w:rsidRDefault="00A173A8">
            <w:pPr>
              <w:spacing w:after="100"/>
              <w:jc w:val="right"/>
              <w:rPr>
                <w:rFonts w:eastAsia="Times New Roman"/>
              </w:rPr>
            </w:pPr>
            <w:r>
              <w:rPr>
                <w:rFonts w:eastAsia="Times New Roman"/>
                <w:b/>
                <w:bCs/>
                <w:color w:val="000000"/>
                <w:sz w:val="18"/>
                <w:szCs w:val="18"/>
              </w:rPr>
              <w:t>3.23</w:t>
            </w:r>
          </w:p>
        </w:tc>
        <w:tc>
          <w:tcPr>
            <w:tcW w:w="0" w:type="auto"/>
            <w:gridSpan w:val="3"/>
            <w:shd w:val="clear" w:color="auto" w:fill="FFFFFF"/>
            <w:tcMar>
              <w:top w:w="0" w:type="dxa"/>
              <w:left w:w="20" w:type="dxa"/>
              <w:bottom w:w="0" w:type="dxa"/>
              <w:right w:w="20" w:type="dxa"/>
            </w:tcMar>
            <w:vAlign w:val="center"/>
            <w:hideMark/>
          </w:tcPr>
          <w:p w14:paraId="53D46DE1"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78836B8" w14:textId="77777777" w:rsidR="00000000" w:rsidRDefault="00A173A8">
            <w:pPr>
              <w:spacing w:after="100"/>
              <w:jc w:val="right"/>
              <w:rPr>
                <w:rFonts w:eastAsia="Times New Roman"/>
              </w:rPr>
            </w:pPr>
            <w:r>
              <w:rPr>
                <w:rFonts w:eastAsia="Times New Roman"/>
                <w:b/>
                <w:bCs/>
                <w:color w:val="000000"/>
                <w:sz w:val="18"/>
                <w:szCs w:val="18"/>
              </w:rPr>
              <w:t>23,444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FA7EC7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8415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607157" w14:textId="77777777" w:rsidR="00000000" w:rsidRDefault="00A173A8">
            <w:pPr>
              <w:spacing w:after="100"/>
              <w:jc w:val="right"/>
              <w:rPr>
                <w:rFonts w:eastAsia="Times New Roman"/>
              </w:rPr>
            </w:pPr>
            <w:r>
              <w:rPr>
                <w:rFonts w:eastAsia="Times New Roman"/>
                <w:color w:val="000000"/>
                <w:sz w:val="18"/>
                <w:szCs w:val="18"/>
              </w:rPr>
              <w:t>19,975 </w:t>
            </w:r>
          </w:p>
        </w:tc>
        <w:tc>
          <w:tcPr>
            <w:tcW w:w="0" w:type="auto"/>
            <w:shd w:val="clear" w:color="auto" w:fill="FFFFFF"/>
            <w:tcMar>
              <w:top w:w="30" w:type="dxa"/>
              <w:left w:w="0" w:type="dxa"/>
              <w:bottom w:w="30" w:type="dxa"/>
              <w:right w:w="20" w:type="dxa"/>
            </w:tcMar>
            <w:vAlign w:val="center"/>
            <w:hideMark/>
          </w:tcPr>
          <w:p w14:paraId="4DE8E74D" w14:textId="77777777" w:rsidR="00000000" w:rsidRDefault="00A173A8">
            <w:pPr>
              <w:spacing w:after="100"/>
              <w:jc w:val="right"/>
              <w:rPr>
                <w:rFonts w:eastAsia="Times New Roman"/>
              </w:rPr>
            </w:pPr>
          </w:p>
        </w:tc>
      </w:tr>
      <w:tr w:rsidR="00000000" w14:paraId="33373CF8" w14:textId="77777777">
        <w:tc>
          <w:tcPr>
            <w:tcW w:w="0" w:type="auto"/>
            <w:gridSpan w:val="3"/>
            <w:shd w:val="clear" w:color="auto" w:fill="CCEEFF"/>
            <w:tcMar>
              <w:top w:w="30" w:type="dxa"/>
              <w:left w:w="515" w:type="dxa"/>
              <w:bottom w:w="30" w:type="dxa"/>
              <w:right w:w="20" w:type="dxa"/>
            </w:tcMar>
            <w:vAlign w:val="center"/>
            <w:hideMark/>
          </w:tcPr>
          <w:p w14:paraId="0CBD09B9" w14:textId="77777777" w:rsidR="00000000" w:rsidRDefault="00A173A8">
            <w:pPr>
              <w:spacing w:after="100"/>
              <w:rPr>
                <w:rFonts w:eastAsia="Times New Roman"/>
              </w:rPr>
            </w:pPr>
            <w:r>
              <w:rPr>
                <w:rFonts w:eastAsia="Times New Roman"/>
                <w:color w:val="000000"/>
                <w:sz w:val="18"/>
                <w:szCs w:val="18"/>
              </w:rPr>
              <w:t>Floating unsecured senior debt</w:t>
            </w:r>
          </w:p>
        </w:tc>
        <w:tc>
          <w:tcPr>
            <w:tcW w:w="0" w:type="auto"/>
            <w:gridSpan w:val="3"/>
            <w:shd w:val="clear" w:color="auto" w:fill="CCEEFF"/>
            <w:tcMar>
              <w:top w:w="0" w:type="dxa"/>
              <w:left w:w="20" w:type="dxa"/>
              <w:bottom w:w="0" w:type="dxa"/>
              <w:right w:w="20" w:type="dxa"/>
            </w:tcMar>
            <w:vAlign w:val="center"/>
            <w:hideMark/>
          </w:tcPr>
          <w:p w14:paraId="4B2AC52A"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2DAB69F" w14:textId="77777777" w:rsidR="00000000" w:rsidRDefault="00A173A8">
            <w:pPr>
              <w:spacing w:after="100"/>
              <w:jc w:val="right"/>
              <w:rPr>
                <w:rFonts w:eastAsia="Times New Roman"/>
              </w:rPr>
            </w:pPr>
            <w:r>
              <w:rPr>
                <w:rFonts w:eastAsia="Times New Roman"/>
                <w:b/>
                <w:bCs/>
                <w:color w:val="000000"/>
                <w:sz w:val="18"/>
                <w:szCs w:val="18"/>
              </w:rPr>
              <w:t>2022-2025</w:t>
            </w:r>
          </w:p>
        </w:tc>
        <w:tc>
          <w:tcPr>
            <w:tcW w:w="0" w:type="auto"/>
            <w:gridSpan w:val="3"/>
            <w:shd w:val="clear" w:color="auto" w:fill="CCEEFF"/>
            <w:tcMar>
              <w:top w:w="0" w:type="dxa"/>
              <w:left w:w="20" w:type="dxa"/>
              <w:bottom w:w="0" w:type="dxa"/>
              <w:right w:w="20" w:type="dxa"/>
            </w:tcMar>
            <w:vAlign w:val="center"/>
            <w:hideMark/>
          </w:tcPr>
          <w:p w14:paraId="5B9CCDD9"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2991E0BD" w14:textId="77777777" w:rsidR="00000000" w:rsidRDefault="00A173A8">
            <w:pPr>
              <w:spacing w:after="100"/>
              <w:jc w:val="right"/>
              <w:rPr>
                <w:rFonts w:eastAsia="Times New Roman"/>
              </w:rPr>
            </w:pPr>
            <w:r>
              <w:rPr>
                <w:rFonts w:eastAsia="Times New Roman"/>
                <w:b/>
                <w:bCs/>
                <w:color w:val="000000"/>
                <w:sz w:val="18"/>
                <w:szCs w:val="18"/>
              </w:rPr>
              <w:t>1.96 - 2.86</w:t>
            </w:r>
          </w:p>
        </w:tc>
        <w:tc>
          <w:tcPr>
            <w:tcW w:w="0" w:type="auto"/>
            <w:gridSpan w:val="3"/>
            <w:shd w:val="clear" w:color="auto" w:fill="CCEEFF"/>
            <w:tcMar>
              <w:top w:w="0" w:type="dxa"/>
              <w:left w:w="20" w:type="dxa"/>
              <w:bottom w:w="0" w:type="dxa"/>
              <w:right w:w="20" w:type="dxa"/>
            </w:tcMar>
            <w:vAlign w:val="center"/>
            <w:hideMark/>
          </w:tcPr>
          <w:p w14:paraId="5C678382"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0A2CEBB2" w14:textId="77777777" w:rsidR="00000000" w:rsidRDefault="00A173A8">
            <w:pPr>
              <w:spacing w:after="100"/>
              <w:jc w:val="right"/>
              <w:rPr>
                <w:rFonts w:eastAsia="Times New Roman"/>
              </w:rPr>
            </w:pPr>
            <w:r>
              <w:rPr>
                <w:rFonts w:eastAsia="Times New Roman"/>
                <w:b/>
                <w:bCs/>
                <w:color w:val="000000"/>
                <w:sz w:val="18"/>
                <w:szCs w:val="18"/>
              </w:rPr>
              <w:t>2.28</w:t>
            </w:r>
          </w:p>
        </w:tc>
        <w:tc>
          <w:tcPr>
            <w:tcW w:w="0" w:type="auto"/>
            <w:gridSpan w:val="3"/>
            <w:shd w:val="clear" w:color="auto" w:fill="CCEEFF"/>
            <w:tcMar>
              <w:top w:w="0" w:type="dxa"/>
              <w:left w:w="20" w:type="dxa"/>
              <w:bottom w:w="0" w:type="dxa"/>
              <w:right w:w="20" w:type="dxa"/>
            </w:tcMar>
            <w:vAlign w:val="center"/>
            <w:hideMark/>
          </w:tcPr>
          <w:p w14:paraId="785ABA7E"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BB161C5" w14:textId="77777777" w:rsidR="00000000" w:rsidRDefault="00A173A8">
            <w:pPr>
              <w:spacing w:after="100"/>
              <w:jc w:val="right"/>
              <w:rPr>
                <w:rFonts w:eastAsia="Times New Roman"/>
              </w:rPr>
            </w:pPr>
            <w:r>
              <w:rPr>
                <w:rFonts w:eastAsia="Times New Roman"/>
                <w:b/>
                <w:bCs/>
                <w:color w:val="000000"/>
                <w:sz w:val="18"/>
                <w:szCs w:val="18"/>
              </w:rPr>
              <w:t>1,835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F008EE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77AAB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DDAE5D" w14:textId="77777777" w:rsidR="00000000" w:rsidRDefault="00A173A8">
            <w:pPr>
              <w:spacing w:after="100"/>
              <w:jc w:val="right"/>
              <w:rPr>
                <w:rFonts w:eastAsia="Times New Roman"/>
              </w:rPr>
            </w:pPr>
            <w:r>
              <w:rPr>
                <w:rFonts w:eastAsia="Times New Roman"/>
                <w:color w:val="000000"/>
                <w:sz w:val="18"/>
                <w:szCs w:val="18"/>
              </w:rPr>
              <w:t>1,709 </w:t>
            </w:r>
          </w:p>
        </w:tc>
        <w:tc>
          <w:tcPr>
            <w:tcW w:w="0" w:type="auto"/>
            <w:shd w:val="clear" w:color="auto" w:fill="CCEEFF"/>
            <w:tcMar>
              <w:top w:w="30" w:type="dxa"/>
              <w:left w:w="0" w:type="dxa"/>
              <w:bottom w:w="30" w:type="dxa"/>
              <w:right w:w="20" w:type="dxa"/>
            </w:tcMar>
            <w:vAlign w:val="center"/>
            <w:hideMark/>
          </w:tcPr>
          <w:p w14:paraId="7376E4DF" w14:textId="77777777" w:rsidR="00000000" w:rsidRDefault="00A173A8">
            <w:pPr>
              <w:spacing w:after="100"/>
              <w:jc w:val="right"/>
              <w:rPr>
                <w:rFonts w:eastAsia="Times New Roman"/>
              </w:rPr>
            </w:pPr>
          </w:p>
        </w:tc>
      </w:tr>
      <w:tr w:rsidR="00000000" w14:paraId="34CCCBB0" w14:textId="77777777">
        <w:tc>
          <w:tcPr>
            <w:tcW w:w="0" w:type="auto"/>
            <w:gridSpan w:val="15"/>
            <w:shd w:val="clear" w:color="auto" w:fill="FFFFFF"/>
            <w:tcMar>
              <w:top w:w="30" w:type="dxa"/>
              <w:left w:w="605" w:type="dxa"/>
              <w:bottom w:w="30" w:type="dxa"/>
              <w:right w:w="20" w:type="dxa"/>
            </w:tcMar>
            <w:vAlign w:val="center"/>
            <w:hideMark/>
          </w:tcPr>
          <w:p w14:paraId="692AB69B" w14:textId="77777777" w:rsidR="00000000" w:rsidRDefault="00A173A8">
            <w:pPr>
              <w:spacing w:after="100"/>
              <w:rPr>
                <w:rFonts w:eastAsia="Times New Roman"/>
              </w:rPr>
            </w:pPr>
            <w:r>
              <w:rPr>
                <w:rFonts w:eastAsia="Times New Roman"/>
                <w:color w:val="000000"/>
                <w:sz w:val="18"/>
                <w:szCs w:val="18"/>
              </w:rPr>
              <w:t>Total unsecured senior debt</w:t>
            </w:r>
          </w:p>
        </w:tc>
        <w:tc>
          <w:tcPr>
            <w:tcW w:w="0" w:type="auto"/>
            <w:gridSpan w:val="3"/>
            <w:shd w:val="clear" w:color="auto" w:fill="FFFFFF"/>
            <w:tcMar>
              <w:top w:w="0" w:type="dxa"/>
              <w:left w:w="20" w:type="dxa"/>
              <w:bottom w:w="0" w:type="dxa"/>
              <w:right w:w="20" w:type="dxa"/>
            </w:tcMar>
            <w:vAlign w:val="center"/>
            <w:hideMark/>
          </w:tcPr>
          <w:p w14:paraId="26AC4136"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394E737C" w14:textId="77777777" w:rsidR="00000000" w:rsidRDefault="00A173A8">
            <w:pPr>
              <w:spacing w:after="100"/>
              <w:jc w:val="right"/>
              <w:rPr>
                <w:rFonts w:eastAsia="Times New Roman"/>
              </w:rPr>
            </w:pPr>
            <w:r>
              <w:rPr>
                <w:rFonts w:eastAsia="Times New Roman"/>
                <w:b/>
                <w:bCs/>
                <w:color w:val="000000"/>
                <w:sz w:val="18"/>
                <w:szCs w:val="18"/>
              </w:rPr>
              <w:t>3.16</w:t>
            </w:r>
          </w:p>
        </w:tc>
        <w:tc>
          <w:tcPr>
            <w:tcW w:w="0" w:type="auto"/>
            <w:gridSpan w:val="3"/>
            <w:shd w:val="clear" w:color="auto" w:fill="FFFFFF"/>
            <w:tcMar>
              <w:top w:w="0" w:type="dxa"/>
              <w:left w:w="20" w:type="dxa"/>
              <w:bottom w:w="0" w:type="dxa"/>
              <w:right w:w="20" w:type="dxa"/>
            </w:tcMar>
            <w:vAlign w:val="center"/>
            <w:hideMark/>
          </w:tcPr>
          <w:p w14:paraId="11B11EBC" w14:textId="77777777" w:rsidR="00000000" w:rsidRDefault="00A173A8">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2F4DF19" w14:textId="77777777" w:rsidR="00000000" w:rsidRDefault="00A173A8">
            <w:pPr>
              <w:spacing w:after="100"/>
              <w:jc w:val="right"/>
              <w:rPr>
                <w:rFonts w:eastAsia="Times New Roman"/>
              </w:rPr>
            </w:pPr>
            <w:r>
              <w:rPr>
                <w:rFonts w:eastAsia="Times New Roman"/>
                <w:b/>
                <w:bCs/>
                <w:color w:val="000000"/>
                <w:sz w:val="18"/>
                <w:szCs w:val="18"/>
              </w:rPr>
              <w:t>25,279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71FA2E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8D26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46BAD00" w14:textId="77777777" w:rsidR="00000000" w:rsidRDefault="00A173A8">
            <w:pPr>
              <w:spacing w:after="100"/>
              <w:jc w:val="right"/>
              <w:rPr>
                <w:rFonts w:eastAsia="Times New Roman"/>
              </w:rPr>
            </w:pPr>
            <w:r>
              <w:rPr>
                <w:rFonts w:eastAsia="Times New Roman"/>
                <w:color w:val="000000"/>
                <w:sz w:val="18"/>
                <w:szCs w:val="18"/>
              </w:rPr>
              <w:t>21,684 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1D8CA11" w14:textId="77777777" w:rsidR="00000000" w:rsidRDefault="00A173A8">
            <w:pPr>
              <w:spacing w:after="100"/>
              <w:jc w:val="right"/>
              <w:rPr>
                <w:rFonts w:eastAsia="Times New Roman"/>
              </w:rPr>
            </w:pPr>
          </w:p>
        </w:tc>
      </w:tr>
      <w:tr w:rsidR="00000000" w14:paraId="12FAAEFC" w14:textId="77777777">
        <w:tc>
          <w:tcPr>
            <w:tcW w:w="0" w:type="auto"/>
            <w:gridSpan w:val="3"/>
            <w:shd w:val="clear" w:color="auto" w:fill="CCEEFF"/>
            <w:tcMar>
              <w:top w:w="30" w:type="dxa"/>
              <w:left w:w="515" w:type="dxa"/>
              <w:bottom w:w="30" w:type="dxa"/>
              <w:right w:w="20" w:type="dxa"/>
            </w:tcMar>
            <w:vAlign w:val="center"/>
            <w:hideMark/>
          </w:tcPr>
          <w:p w14:paraId="2FAEECCA" w14:textId="77777777" w:rsidR="00000000" w:rsidRDefault="00A173A8">
            <w:pPr>
              <w:spacing w:after="100"/>
              <w:rPr>
                <w:rFonts w:eastAsia="Times New Roman"/>
              </w:rPr>
            </w:pPr>
            <w:r>
              <w:rPr>
                <w:rFonts w:eastAsia="Times New Roman"/>
                <w:color w:val="000000"/>
                <w:sz w:val="18"/>
                <w:szCs w:val="18"/>
              </w:rPr>
              <w:t>Fixed unsecured subordinated debt</w:t>
            </w:r>
          </w:p>
        </w:tc>
        <w:tc>
          <w:tcPr>
            <w:tcW w:w="0" w:type="auto"/>
            <w:gridSpan w:val="3"/>
            <w:shd w:val="clear" w:color="auto" w:fill="CCEEFF"/>
            <w:tcMar>
              <w:top w:w="0" w:type="dxa"/>
              <w:left w:w="20" w:type="dxa"/>
              <w:bottom w:w="0" w:type="dxa"/>
              <w:right w:w="20" w:type="dxa"/>
            </w:tcMar>
            <w:vAlign w:val="center"/>
            <w:hideMark/>
          </w:tcPr>
          <w:p w14:paraId="64BED0A8"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7579D9E" w14:textId="77777777" w:rsidR="00000000" w:rsidRDefault="00A173A8">
            <w:pPr>
              <w:spacing w:after="100"/>
              <w:jc w:val="right"/>
              <w:rPr>
                <w:rFonts w:eastAsia="Times New Roman"/>
              </w:rPr>
            </w:pPr>
            <w:r>
              <w:rPr>
                <w:rFonts w:eastAsia="Times New Roman"/>
                <w:b/>
                <w:bCs/>
                <w:color w:val="000000"/>
                <w:sz w:val="18"/>
                <w:szCs w:val="18"/>
              </w:rPr>
              <w:t>2023-2032</w:t>
            </w:r>
          </w:p>
        </w:tc>
        <w:tc>
          <w:tcPr>
            <w:tcW w:w="0" w:type="auto"/>
            <w:gridSpan w:val="3"/>
            <w:shd w:val="clear" w:color="auto" w:fill="CCEEFF"/>
            <w:tcMar>
              <w:top w:w="0" w:type="dxa"/>
              <w:left w:w="20" w:type="dxa"/>
              <w:bottom w:w="0" w:type="dxa"/>
              <w:right w:w="20" w:type="dxa"/>
            </w:tcMar>
            <w:vAlign w:val="center"/>
            <w:hideMark/>
          </w:tcPr>
          <w:p w14:paraId="47466F0B"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741EDF1F" w14:textId="77777777" w:rsidR="00000000" w:rsidRDefault="00A173A8">
            <w:pPr>
              <w:spacing w:after="100"/>
              <w:jc w:val="right"/>
              <w:rPr>
                <w:rFonts w:eastAsia="Times New Roman"/>
              </w:rPr>
            </w:pPr>
            <w:r>
              <w:rPr>
                <w:rFonts w:eastAsia="Times New Roman"/>
                <w:b/>
                <w:bCs/>
                <w:color w:val="000000"/>
                <w:sz w:val="18"/>
                <w:szCs w:val="18"/>
              </w:rPr>
              <w:t>2.36 - 4.20</w:t>
            </w:r>
          </w:p>
        </w:tc>
        <w:tc>
          <w:tcPr>
            <w:tcW w:w="0" w:type="auto"/>
            <w:gridSpan w:val="3"/>
            <w:shd w:val="clear" w:color="auto" w:fill="CCEEFF"/>
            <w:tcMar>
              <w:top w:w="0" w:type="dxa"/>
              <w:left w:w="20" w:type="dxa"/>
              <w:bottom w:w="0" w:type="dxa"/>
              <w:right w:w="20" w:type="dxa"/>
            </w:tcMar>
            <w:vAlign w:val="center"/>
            <w:hideMark/>
          </w:tcPr>
          <w:p w14:paraId="5F629834"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6475EB1D" w14:textId="77777777" w:rsidR="00000000" w:rsidRDefault="00A173A8">
            <w:pPr>
              <w:spacing w:after="100"/>
              <w:jc w:val="right"/>
              <w:rPr>
                <w:rFonts w:eastAsia="Times New Roman"/>
              </w:rPr>
            </w:pPr>
            <w:r>
              <w:rPr>
                <w:rFonts w:eastAsia="Times New Roman"/>
                <w:b/>
                <w:bCs/>
                <w:color w:val="000000"/>
                <w:sz w:val="18"/>
                <w:szCs w:val="18"/>
              </w:rPr>
              <w:t>3.52</w:t>
            </w:r>
          </w:p>
        </w:tc>
        <w:tc>
          <w:tcPr>
            <w:tcW w:w="0" w:type="auto"/>
            <w:gridSpan w:val="3"/>
            <w:shd w:val="clear" w:color="auto" w:fill="CCEEFF"/>
            <w:tcMar>
              <w:top w:w="0" w:type="dxa"/>
              <w:left w:w="20" w:type="dxa"/>
              <w:bottom w:w="0" w:type="dxa"/>
              <w:right w:w="20" w:type="dxa"/>
            </w:tcMar>
            <w:vAlign w:val="center"/>
            <w:hideMark/>
          </w:tcPr>
          <w:p w14:paraId="1AC9AAC7"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5A955B5" w14:textId="77777777" w:rsidR="00000000" w:rsidRDefault="00A173A8">
            <w:pPr>
              <w:spacing w:after="100"/>
              <w:jc w:val="right"/>
              <w:rPr>
                <w:rFonts w:eastAsia="Times New Roman"/>
              </w:rPr>
            </w:pPr>
            <w:r>
              <w:rPr>
                <w:rFonts w:eastAsia="Times New Roman"/>
                <w:b/>
                <w:bCs/>
                <w:color w:val="000000"/>
                <w:sz w:val="18"/>
                <w:szCs w:val="18"/>
              </w:rPr>
              <w:t>5,210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C49CA3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DE473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5ED02A" w14:textId="77777777" w:rsidR="00000000" w:rsidRDefault="00A173A8">
            <w:pPr>
              <w:spacing w:after="100"/>
              <w:jc w:val="right"/>
              <w:rPr>
                <w:rFonts w:eastAsia="Times New Roman"/>
              </w:rPr>
            </w:pPr>
            <w:r>
              <w:rPr>
                <w:rFonts w:eastAsia="Times New Roman"/>
                <w:color w:val="000000"/>
                <w:sz w:val="18"/>
                <w:szCs w:val="18"/>
              </w:rPr>
              <w:t>5,535 </w:t>
            </w:r>
          </w:p>
        </w:tc>
        <w:tc>
          <w:tcPr>
            <w:tcW w:w="0" w:type="auto"/>
            <w:shd w:val="clear" w:color="auto" w:fill="CCEEFF"/>
            <w:tcMar>
              <w:top w:w="30" w:type="dxa"/>
              <w:left w:w="0" w:type="dxa"/>
              <w:bottom w:w="30" w:type="dxa"/>
              <w:right w:w="20" w:type="dxa"/>
            </w:tcMar>
            <w:vAlign w:val="center"/>
            <w:hideMark/>
          </w:tcPr>
          <w:p w14:paraId="3F64A42A" w14:textId="77777777" w:rsidR="00000000" w:rsidRDefault="00A173A8">
            <w:pPr>
              <w:spacing w:after="100"/>
              <w:jc w:val="right"/>
              <w:rPr>
                <w:rFonts w:eastAsia="Times New Roman"/>
              </w:rPr>
            </w:pPr>
          </w:p>
        </w:tc>
      </w:tr>
      <w:tr w:rsidR="00000000" w14:paraId="719A1670" w14:textId="77777777">
        <w:tc>
          <w:tcPr>
            <w:tcW w:w="0" w:type="auto"/>
            <w:gridSpan w:val="21"/>
            <w:shd w:val="clear" w:color="auto" w:fill="FFFFFF"/>
            <w:tcMar>
              <w:top w:w="30" w:type="dxa"/>
              <w:left w:w="245" w:type="dxa"/>
              <w:bottom w:w="30" w:type="dxa"/>
              <w:right w:w="20" w:type="dxa"/>
            </w:tcMar>
            <w:vAlign w:val="center"/>
            <w:hideMark/>
          </w:tcPr>
          <w:p w14:paraId="3617B737" w14:textId="77777777" w:rsidR="00000000" w:rsidRDefault="00A173A8">
            <w:pPr>
              <w:spacing w:after="100"/>
              <w:rPr>
                <w:rFonts w:eastAsia="Times New Roman"/>
              </w:rPr>
            </w:pPr>
            <w:r>
              <w:rPr>
                <w:rFonts w:eastAsia="Times New Roman"/>
                <w:color w:val="000000"/>
                <w:sz w:val="18"/>
                <w:szCs w:val="18"/>
              </w:rPr>
              <w:t>Total senior and subordinated notes</w:t>
            </w:r>
          </w:p>
        </w:tc>
        <w:tc>
          <w:tcPr>
            <w:tcW w:w="0" w:type="auto"/>
            <w:gridSpan w:val="3"/>
            <w:shd w:val="clear" w:color="auto" w:fill="FFFFFF"/>
            <w:tcMar>
              <w:top w:w="0" w:type="dxa"/>
              <w:left w:w="20" w:type="dxa"/>
              <w:bottom w:w="0" w:type="dxa"/>
              <w:right w:w="20" w:type="dxa"/>
            </w:tcMar>
            <w:vAlign w:val="center"/>
            <w:hideMark/>
          </w:tcPr>
          <w:p w14:paraId="46DC7F43"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0B15B8" w14:textId="77777777" w:rsidR="00000000" w:rsidRDefault="00A173A8">
            <w:pPr>
              <w:spacing w:after="100"/>
              <w:jc w:val="right"/>
              <w:rPr>
                <w:rFonts w:eastAsia="Times New Roman"/>
              </w:rPr>
            </w:pPr>
            <w:r>
              <w:rPr>
                <w:rFonts w:eastAsia="Times New Roman"/>
                <w:b/>
                <w:bCs/>
                <w:color w:val="000000"/>
                <w:sz w:val="18"/>
                <w:szCs w:val="18"/>
              </w:rPr>
              <w:t>30,489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4CE84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864C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ABF16D5" w14:textId="77777777" w:rsidR="00000000" w:rsidRDefault="00A173A8">
            <w:pPr>
              <w:spacing w:after="100"/>
              <w:jc w:val="right"/>
              <w:rPr>
                <w:rFonts w:eastAsia="Times New Roman"/>
              </w:rPr>
            </w:pPr>
            <w:r>
              <w:rPr>
                <w:rFonts w:eastAsia="Times New Roman"/>
                <w:color w:val="000000"/>
                <w:sz w:val="18"/>
                <w:szCs w:val="18"/>
              </w:rPr>
              <w:t>27,219 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FDBE2D7" w14:textId="77777777" w:rsidR="00000000" w:rsidRDefault="00A173A8">
            <w:pPr>
              <w:spacing w:after="100"/>
              <w:jc w:val="right"/>
              <w:rPr>
                <w:rFonts w:eastAsia="Times New Roman"/>
              </w:rPr>
            </w:pPr>
          </w:p>
        </w:tc>
      </w:tr>
      <w:tr w:rsidR="00000000" w14:paraId="2C7AC677" w14:textId="77777777">
        <w:tc>
          <w:tcPr>
            <w:tcW w:w="0" w:type="auto"/>
            <w:gridSpan w:val="3"/>
            <w:shd w:val="clear" w:color="auto" w:fill="CCEEFF"/>
            <w:tcMar>
              <w:top w:w="30" w:type="dxa"/>
              <w:left w:w="245" w:type="dxa"/>
              <w:bottom w:w="30" w:type="dxa"/>
              <w:right w:w="20" w:type="dxa"/>
            </w:tcMar>
            <w:vAlign w:val="center"/>
            <w:hideMark/>
          </w:tcPr>
          <w:p w14:paraId="3F5BB9B4" w14:textId="77777777" w:rsidR="00000000" w:rsidRDefault="00A173A8">
            <w:pPr>
              <w:spacing w:after="100"/>
              <w:rPr>
                <w:rFonts w:eastAsia="Times New Roman"/>
              </w:rPr>
            </w:pPr>
            <w:r>
              <w:rPr>
                <w:rFonts w:eastAsia="Times New Roman"/>
                <w:color w:val="000000"/>
                <w:sz w:val="18"/>
                <w:szCs w:val="18"/>
              </w:rPr>
              <w:t>Other long-term borrowings:</w:t>
            </w:r>
          </w:p>
        </w:tc>
        <w:tc>
          <w:tcPr>
            <w:tcW w:w="0" w:type="auto"/>
            <w:gridSpan w:val="3"/>
            <w:shd w:val="clear" w:color="auto" w:fill="CCEEFF"/>
            <w:tcMar>
              <w:top w:w="0" w:type="dxa"/>
              <w:left w:w="20" w:type="dxa"/>
              <w:bottom w:w="0" w:type="dxa"/>
              <w:right w:w="20" w:type="dxa"/>
            </w:tcMar>
            <w:vAlign w:val="center"/>
            <w:hideMark/>
          </w:tcPr>
          <w:p w14:paraId="3CF00156"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01D0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15844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7FAA1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AD5DE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F8DC3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25B7C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08EA5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12242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00E5C0" w14:textId="77777777" w:rsidR="00000000" w:rsidRDefault="00A173A8">
            <w:pPr>
              <w:spacing w:after="100"/>
              <w:rPr>
                <w:rFonts w:eastAsia="Times New Roman"/>
                <w:sz w:val="20"/>
                <w:szCs w:val="20"/>
              </w:rPr>
            </w:pPr>
          </w:p>
        </w:tc>
      </w:tr>
      <w:tr w:rsidR="00000000" w14:paraId="199577EF" w14:textId="77777777">
        <w:tc>
          <w:tcPr>
            <w:tcW w:w="0" w:type="auto"/>
            <w:gridSpan w:val="3"/>
            <w:shd w:val="clear" w:color="auto" w:fill="FFFFFF"/>
            <w:tcMar>
              <w:top w:w="30" w:type="dxa"/>
              <w:left w:w="515" w:type="dxa"/>
              <w:bottom w:w="30" w:type="dxa"/>
              <w:right w:w="20" w:type="dxa"/>
            </w:tcMar>
            <w:vAlign w:val="center"/>
            <w:hideMark/>
          </w:tcPr>
          <w:p w14:paraId="7D1C97F9" w14:textId="77777777" w:rsidR="00000000" w:rsidRDefault="00A173A8">
            <w:pPr>
              <w:spacing w:after="100"/>
              <w:rPr>
                <w:rFonts w:eastAsia="Times New Roman"/>
              </w:rPr>
            </w:pPr>
            <w:r>
              <w:rPr>
                <w:rFonts w:eastAsia="Times New Roman"/>
                <w:color w:val="000000"/>
                <w:sz w:val="18"/>
                <w:szCs w:val="18"/>
              </w:rPr>
              <w:t>FHLB advances</w:t>
            </w:r>
          </w:p>
        </w:tc>
        <w:tc>
          <w:tcPr>
            <w:tcW w:w="0" w:type="auto"/>
            <w:gridSpan w:val="3"/>
            <w:shd w:val="clear" w:color="auto" w:fill="FFFFFF"/>
            <w:tcMar>
              <w:top w:w="0" w:type="dxa"/>
              <w:left w:w="20" w:type="dxa"/>
              <w:bottom w:w="0" w:type="dxa"/>
              <w:right w:w="20" w:type="dxa"/>
            </w:tcMar>
            <w:vAlign w:val="center"/>
            <w:hideMark/>
          </w:tcPr>
          <w:p w14:paraId="4CFF1601"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70FC0997" w14:textId="77777777" w:rsidR="00000000" w:rsidRDefault="00A173A8">
            <w:pPr>
              <w:spacing w:after="100"/>
              <w:jc w:val="right"/>
              <w:rPr>
                <w:rFonts w:eastAsia="Times New Roman"/>
              </w:rPr>
            </w:pPr>
            <w:r>
              <w:rPr>
                <w:rFonts w:eastAsia="Times New Roman"/>
                <w:b/>
                <w:bCs/>
                <w:color w:val="000000"/>
                <w:sz w:val="18"/>
                <w:szCs w:val="18"/>
              </w:rPr>
              <w:t>2023</w:t>
            </w:r>
          </w:p>
        </w:tc>
        <w:tc>
          <w:tcPr>
            <w:tcW w:w="0" w:type="auto"/>
            <w:gridSpan w:val="3"/>
            <w:shd w:val="clear" w:color="auto" w:fill="FFFFFF"/>
            <w:tcMar>
              <w:top w:w="0" w:type="dxa"/>
              <w:left w:w="20" w:type="dxa"/>
              <w:bottom w:w="0" w:type="dxa"/>
              <w:right w:w="20" w:type="dxa"/>
            </w:tcMar>
            <w:vAlign w:val="center"/>
            <w:hideMark/>
          </w:tcPr>
          <w:p w14:paraId="1008CEE8"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CF6673C" w14:textId="77777777" w:rsidR="00000000" w:rsidRDefault="00A173A8">
            <w:pPr>
              <w:spacing w:after="100"/>
              <w:jc w:val="right"/>
              <w:rPr>
                <w:rFonts w:eastAsia="Times New Roman"/>
              </w:rPr>
            </w:pPr>
            <w:r>
              <w:rPr>
                <w:rFonts w:eastAsia="Times New Roman"/>
                <w:b/>
                <w:bCs/>
                <w:color w:val="000000"/>
                <w:sz w:val="18"/>
                <w:szCs w:val="18"/>
              </w:rPr>
              <w:t>1.62 - 1.77</w:t>
            </w:r>
          </w:p>
        </w:tc>
        <w:tc>
          <w:tcPr>
            <w:tcW w:w="0" w:type="auto"/>
            <w:gridSpan w:val="3"/>
            <w:shd w:val="clear" w:color="auto" w:fill="FFFFFF"/>
            <w:tcMar>
              <w:top w:w="0" w:type="dxa"/>
              <w:left w:w="20" w:type="dxa"/>
              <w:bottom w:w="0" w:type="dxa"/>
              <w:right w:w="20" w:type="dxa"/>
            </w:tcMar>
            <w:vAlign w:val="center"/>
            <w:hideMark/>
          </w:tcPr>
          <w:p w14:paraId="53E3312D" w14:textId="77777777" w:rsidR="00000000" w:rsidRDefault="00A173A8">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14:paraId="4DE27705" w14:textId="77777777" w:rsidR="00000000" w:rsidRDefault="00A173A8">
            <w:pPr>
              <w:spacing w:after="100"/>
              <w:jc w:val="right"/>
              <w:rPr>
                <w:rFonts w:eastAsia="Times New Roman"/>
              </w:rPr>
            </w:pPr>
            <w:r>
              <w:rPr>
                <w:rFonts w:eastAsia="Times New Roman"/>
                <w:b/>
                <w:bCs/>
                <w:color w:val="000000"/>
                <w:sz w:val="18"/>
                <w:szCs w:val="18"/>
              </w:rPr>
              <w:t>1.70</w:t>
            </w:r>
          </w:p>
        </w:tc>
        <w:tc>
          <w:tcPr>
            <w:tcW w:w="0" w:type="auto"/>
            <w:gridSpan w:val="3"/>
            <w:shd w:val="clear" w:color="auto" w:fill="FFFFFF"/>
            <w:tcMar>
              <w:top w:w="0" w:type="dxa"/>
              <w:left w:w="20" w:type="dxa"/>
              <w:bottom w:w="0" w:type="dxa"/>
              <w:right w:w="20" w:type="dxa"/>
            </w:tcMar>
            <w:vAlign w:val="center"/>
            <w:hideMark/>
          </w:tcPr>
          <w:p w14:paraId="03FCD555" w14:textId="77777777" w:rsidR="00000000" w:rsidRDefault="00A173A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590E18B" w14:textId="77777777" w:rsidR="00000000" w:rsidRDefault="00A173A8">
            <w:pPr>
              <w:spacing w:after="100"/>
              <w:jc w:val="right"/>
              <w:rPr>
                <w:rFonts w:eastAsia="Times New Roman"/>
              </w:rPr>
            </w:pPr>
            <w:r>
              <w:rPr>
                <w:rFonts w:eastAsia="Times New Roman"/>
                <w:b/>
                <w:bCs/>
                <w:color w:val="000000"/>
                <w:sz w:val="18"/>
                <w:szCs w:val="18"/>
              </w:rPr>
              <w:t>10,500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2945C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774B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F5163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8636E90" w14:textId="77777777" w:rsidR="00000000" w:rsidRDefault="00A173A8">
            <w:pPr>
              <w:spacing w:after="100"/>
              <w:jc w:val="right"/>
              <w:rPr>
                <w:rFonts w:eastAsia="Times New Roman"/>
              </w:rPr>
            </w:pPr>
          </w:p>
        </w:tc>
      </w:tr>
      <w:tr w:rsidR="00000000" w14:paraId="10CEA124" w14:textId="77777777">
        <w:tc>
          <w:tcPr>
            <w:tcW w:w="0" w:type="auto"/>
            <w:gridSpan w:val="3"/>
            <w:shd w:val="clear" w:color="auto" w:fill="CCEEFF"/>
            <w:tcMar>
              <w:top w:w="30" w:type="dxa"/>
              <w:left w:w="515" w:type="dxa"/>
              <w:bottom w:w="30" w:type="dxa"/>
              <w:right w:w="20" w:type="dxa"/>
            </w:tcMar>
            <w:vAlign w:val="center"/>
            <w:hideMark/>
          </w:tcPr>
          <w:p w14:paraId="1626DBC7" w14:textId="77777777" w:rsidR="00000000" w:rsidRDefault="00A173A8">
            <w:pPr>
              <w:spacing w:after="100"/>
              <w:rPr>
                <w:rFonts w:eastAsia="Times New Roman"/>
              </w:rPr>
            </w:pPr>
            <w:r>
              <w:rPr>
                <w:rFonts w:eastAsia="Times New Roman"/>
                <w:color w:val="000000"/>
                <w:sz w:val="18"/>
                <w:szCs w:val="18"/>
              </w:rPr>
              <w:t>Finance lease liabilities</w:t>
            </w:r>
          </w:p>
        </w:tc>
        <w:tc>
          <w:tcPr>
            <w:tcW w:w="0" w:type="auto"/>
            <w:gridSpan w:val="3"/>
            <w:shd w:val="clear" w:color="auto" w:fill="CCEEFF"/>
            <w:tcMar>
              <w:top w:w="0" w:type="dxa"/>
              <w:left w:w="20" w:type="dxa"/>
              <w:bottom w:w="0" w:type="dxa"/>
              <w:right w:w="20" w:type="dxa"/>
            </w:tcMar>
            <w:vAlign w:val="center"/>
            <w:hideMark/>
          </w:tcPr>
          <w:p w14:paraId="6BCA0D80"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174C7C8" w14:textId="77777777" w:rsidR="00000000" w:rsidRDefault="00A173A8">
            <w:pPr>
              <w:spacing w:after="100"/>
              <w:jc w:val="right"/>
              <w:rPr>
                <w:rFonts w:eastAsia="Times New Roman"/>
              </w:rPr>
            </w:pPr>
            <w:r>
              <w:rPr>
                <w:rFonts w:eastAsia="Times New Roman"/>
                <w:b/>
                <w:bCs/>
                <w:color w:val="000000"/>
                <w:sz w:val="18"/>
                <w:szCs w:val="18"/>
              </w:rPr>
              <w:t>2022-2031</w:t>
            </w:r>
          </w:p>
        </w:tc>
        <w:tc>
          <w:tcPr>
            <w:tcW w:w="0" w:type="auto"/>
            <w:gridSpan w:val="3"/>
            <w:shd w:val="clear" w:color="auto" w:fill="CCEEFF"/>
            <w:tcMar>
              <w:top w:w="0" w:type="dxa"/>
              <w:left w:w="20" w:type="dxa"/>
              <w:bottom w:w="0" w:type="dxa"/>
              <w:right w:w="20" w:type="dxa"/>
            </w:tcMar>
            <w:vAlign w:val="center"/>
            <w:hideMark/>
          </w:tcPr>
          <w:p w14:paraId="38212D3B"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6BD107A6" w14:textId="77777777" w:rsidR="00000000" w:rsidRDefault="00A173A8">
            <w:pPr>
              <w:spacing w:after="100"/>
              <w:jc w:val="right"/>
              <w:rPr>
                <w:rFonts w:eastAsia="Times New Roman"/>
              </w:rPr>
            </w:pPr>
            <w:r>
              <w:rPr>
                <w:rFonts w:eastAsia="Times New Roman"/>
                <w:b/>
                <w:bCs/>
                <w:color w:val="000000"/>
                <w:sz w:val="18"/>
                <w:szCs w:val="18"/>
              </w:rPr>
              <w:t>0.30 - 9.91</w:t>
            </w:r>
          </w:p>
        </w:tc>
        <w:tc>
          <w:tcPr>
            <w:tcW w:w="0" w:type="auto"/>
            <w:gridSpan w:val="3"/>
            <w:shd w:val="clear" w:color="auto" w:fill="CCEEFF"/>
            <w:tcMar>
              <w:top w:w="0" w:type="dxa"/>
              <w:left w:w="20" w:type="dxa"/>
              <w:bottom w:w="0" w:type="dxa"/>
              <w:right w:w="20" w:type="dxa"/>
            </w:tcMar>
            <w:vAlign w:val="center"/>
            <w:hideMark/>
          </w:tcPr>
          <w:p w14:paraId="4D1F55A1" w14:textId="77777777" w:rsidR="00000000" w:rsidRDefault="00A173A8">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14:paraId="4624D1BD" w14:textId="77777777" w:rsidR="00000000" w:rsidRDefault="00A173A8">
            <w:pPr>
              <w:spacing w:after="100"/>
              <w:jc w:val="right"/>
              <w:rPr>
                <w:rFonts w:eastAsia="Times New Roman"/>
              </w:rPr>
            </w:pPr>
            <w:r>
              <w:rPr>
                <w:rFonts w:eastAsia="Times New Roman"/>
                <w:b/>
                <w:bCs/>
                <w:color w:val="000000"/>
                <w:sz w:val="18"/>
                <w:szCs w:val="18"/>
              </w:rPr>
              <w:t>3.65</w:t>
            </w:r>
          </w:p>
        </w:tc>
        <w:tc>
          <w:tcPr>
            <w:tcW w:w="0" w:type="auto"/>
            <w:gridSpan w:val="3"/>
            <w:shd w:val="clear" w:color="auto" w:fill="CCEEFF"/>
            <w:tcMar>
              <w:top w:w="0" w:type="dxa"/>
              <w:left w:w="20" w:type="dxa"/>
              <w:bottom w:w="0" w:type="dxa"/>
              <w:right w:w="20" w:type="dxa"/>
            </w:tcMar>
            <w:vAlign w:val="center"/>
            <w:hideMark/>
          </w:tcPr>
          <w:p w14:paraId="0D8F07BF" w14:textId="77777777" w:rsidR="00000000" w:rsidRDefault="00A173A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328D3D2" w14:textId="77777777" w:rsidR="00000000" w:rsidRDefault="00A173A8">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0530A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BE7B0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833DC0" w14:textId="77777777" w:rsidR="00000000" w:rsidRDefault="00A173A8">
            <w:pPr>
              <w:spacing w:after="100"/>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center"/>
            <w:hideMark/>
          </w:tcPr>
          <w:p w14:paraId="4FE49FAD" w14:textId="77777777" w:rsidR="00000000" w:rsidRDefault="00A173A8">
            <w:pPr>
              <w:spacing w:after="100"/>
              <w:jc w:val="right"/>
              <w:rPr>
                <w:rFonts w:eastAsia="Times New Roman"/>
              </w:rPr>
            </w:pPr>
          </w:p>
        </w:tc>
      </w:tr>
      <w:tr w:rsidR="00000000" w14:paraId="30650115" w14:textId="77777777">
        <w:tc>
          <w:tcPr>
            <w:tcW w:w="0" w:type="auto"/>
            <w:gridSpan w:val="21"/>
            <w:shd w:val="clear" w:color="auto" w:fill="FFFFFF"/>
            <w:tcMar>
              <w:top w:w="30" w:type="dxa"/>
              <w:left w:w="245" w:type="dxa"/>
              <w:bottom w:w="30" w:type="dxa"/>
              <w:right w:w="20" w:type="dxa"/>
            </w:tcMar>
            <w:vAlign w:val="center"/>
            <w:hideMark/>
          </w:tcPr>
          <w:p w14:paraId="6208AE21" w14:textId="77777777" w:rsidR="00000000" w:rsidRDefault="00A173A8">
            <w:pPr>
              <w:spacing w:after="100"/>
              <w:rPr>
                <w:rFonts w:eastAsia="Times New Roman"/>
              </w:rPr>
            </w:pPr>
            <w:r>
              <w:rPr>
                <w:rFonts w:eastAsia="Times New Roman"/>
                <w:color w:val="000000"/>
                <w:sz w:val="18"/>
                <w:szCs w:val="18"/>
              </w:rPr>
              <w:t>Total other long-term borrowings</w:t>
            </w:r>
          </w:p>
        </w:tc>
        <w:tc>
          <w:tcPr>
            <w:tcW w:w="0" w:type="auto"/>
            <w:gridSpan w:val="3"/>
            <w:shd w:val="clear" w:color="auto" w:fill="FFFFFF"/>
            <w:tcMar>
              <w:top w:w="0" w:type="dxa"/>
              <w:left w:w="20" w:type="dxa"/>
              <w:bottom w:w="0" w:type="dxa"/>
              <w:right w:w="20" w:type="dxa"/>
            </w:tcMar>
            <w:vAlign w:val="center"/>
            <w:hideMark/>
          </w:tcPr>
          <w:p w14:paraId="020D0FD8"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A257B81" w14:textId="77777777" w:rsidR="00000000" w:rsidRDefault="00A173A8">
            <w:pPr>
              <w:spacing w:after="100"/>
              <w:jc w:val="right"/>
              <w:rPr>
                <w:rFonts w:eastAsia="Times New Roman"/>
              </w:rPr>
            </w:pPr>
            <w:r>
              <w:rPr>
                <w:rFonts w:eastAsia="Times New Roman"/>
                <w:b/>
                <w:bCs/>
                <w:color w:val="000000"/>
                <w:sz w:val="18"/>
                <w:szCs w:val="18"/>
              </w:rPr>
              <w:t>10,543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AFFD9E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691A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81EE313" w14:textId="77777777" w:rsidR="00000000" w:rsidRDefault="00A173A8">
            <w:pPr>
              <w:spacing w:after="100"/>
              <w:jc w:val="right"/>
              <w:rPr>
                <w:rFonts w:eastAsia="Times New Roman"/>
              </w:rPr>
            </w:pPr>
            <w:r>
              <w:rPr>
                <w:rFonts w:eastAsia="Times New Roman"/>
                <w:color w:val="000000"/>
                <w:sz w:val="18"/>
                <w:szCs w:val="18"/>
              </w:rPr>
              <w:t>53 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3FA3236" w14:textId="77777777" w:rsidR="00000000" w:rsidRDefault="00A173A8">
            <w:pPr>
              <w:spacing w:after="100"/>
              <w:jc w:val="right"/>
              <w:rPr>
                <w:rFonts w:eastAsia="Times New Roman"/>
              </w:rPr>
            </w:pPr>
          </w:p>
        </w:tc>
      </w:tr>
      <w:tr w:rsidR="00000000" w14:paraId="39093AAA" w14:textId="77777777">
        <w:tc>
          <w:tcPr>
            <w:tcW w:w="0" w:type="auto"/>
            <w:gridSpan w:val="21"/>
            <w:shd w:val="clear" w:color="auto" w:fill="CCEEFF"/>
            <w:tcMar>
              <w:top w:w="30" w:type="dxa"/>
              <w:left w:w="20" w:type="dxa"/>
              <w:bottom w:w="30" w:type="dxa"/>
              <w:right w:w="20" w:type="dxa"/>
            </w:tcMar>
            <w:vAlign w:val="center"/>
            <w:hideMark/>
          </w:tcPr>
          <w:p w14:paraId="2DE756B3" w14:textId="77777777" w:rsidR="00000000" w:rsidRDefault="00A173A8">
            <w:pPr>
              <w:spacing w:after="100"/>
              <w:rPr>
                <w:rFonts w:eastAsia="Times New Roman"/>
              </w:rPr>
            </w:pPr>
            <w:r>
              <w:rPr>
                <w:rFonts w:eastAsia="Times New Roman"/>
                <w:color w:val="000000"/>
                <w:sz w:val="18"/>
                <w:szCs w:val="18"/>
              </w:rPr>
              <w:t>Total long-term debt</w:t>
            </w:r>
          </w:p>
        </w:tc>
        <w:tc>
          <w:tcPr>
            <w:tcW w:w="0" w:type="auto"/>
            <w:gridSpan w:val="3"/>
            <w:shd w:val="clear" w:color="auto" w:fill="CCEEFF"/>
            <w:tcMar>
              <w:top w:w="0" w:type="dxa"/>
              <w:left w:w="20" w:type="dxa"/>
              <w:bottom w:w="0" w:type="dxa"/>
              <w:right w:w="20" w:type="dxa"/>
            </w:tcMar>
            <w:vAlign w:val="center"/>
            <w:hideMark/>
          </w:tcPr>
          <w:p w14:paraId="1EF5E33A"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A1AE583"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4E3AA54" w14:textId="77777777" w:rsidR="00000000" w:rsidRDefault="00A173A8">
            <w:pPr>
              <w:spacing w:after="100"/>
              <w:jc w:val="right"/>
              <w:rPr>
                <w:rFonts w:eastAsia="Times New Roman"/>
              </w:rPr>
            </w:pPr>
            <w:r>
              <w:rPr>
                <w:rFonts w:eastAsia="Times New Roman"/>
                <w:b/>
                <w:bCs/>
                <w:color w:val="000000"/>
                <w:sz w:val="18"/>
                <w:szCs w:val="18"/>
              </w:rPr>
              <w:t>58,498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D0A4D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2904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7A6C41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3BCC82B" w14:textId="77777777" w:rsidR="00000000" w:rsidRDefault="00A173A8">
            <w:pPr>
              <w:spacing w:after="100"/>
              <w:jc w:val="right"/>
              <w:rPr>
                <w:rFonts w:eastAsia="Times New Roman"/>
              </w:rPr>
            </w:pPr>
            <w:r>
              <w:rPr>
                <w:rFonts w:eastAsia="Times New Roman"/>
                <w:color w:val="000000"/>
                <w:sz w:val="18"/>
                <w:szCs w:val="18"/>
              </w:rPr>
              <w:t>42,266 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C580D75" w14:textId="77777777" w:rsidR="00000000" w:rsidRDefault="00A173A8">
            <w:pPr>
              <w:spacing w:after="100"/>
              <w:jc w:val="right"/>
              <w:rPr>
                <w:rFonts w:eastAsia="Times New Roman"/>
              </w:rPr>
            </w:pPr>
          </w:p>
        </w:tc>
      </w:tr>
      <w:tr w:rsidR="00000000" w14:paraId="7DFE18BD" w14:textId="77777777">
        <w:tc>
          <w:tcPr>
            <w:tcW w:w="0" w:type="auto"/>
            <w:gridSpan w:val="21"/>
            <w:shd w:val="clear" w:color="auto" w:fill="FFFFFF"/>
            <w:tcMar>
              <w:top w:w="30" w:type="dxa"/>
              <w:left w:w="20" w:type="dxa"/>
              <w:bottom w:w="30" w:type="dxa"/>
              <w:right w:w="20" w:type="dxa"/>
            </w:tcMar>
            <w:vAlign w:val="center"/>
            <w:hideMark/>
          </w:tcPr>
          <w:p w14:paraId="321C5A95" w14:textId="77777777" w:rsidR="00000000" w:rsidRDefault="00A173A8">
            <w:pPr>
              <w:spacing w:after="100"/>
              <w:rPr>
                <w:rFonts w:eastAsia="Times New Roman"/>
              </w:rPr>
            </w:pPr>
            <w:r>
              <w:rPr>
                <w:rFonts w:eastAsia="Times New Roman"/>
                <w:color w:val="000000"/>
                <w:sz w:val="18"/>
                <w:szCs w:val="18"/>
              </w:rPr>
              <w:t>Total short-term borrowings and long-term debt</w:t>
            </w:r>
          </w:p>
        </w:tc>
        <w:tc>
          <w:tcPr>
            <w:tcW w:w="0" w:type="auto"/>
            <w:gridSpan w:val="3"/>
            <w:shd w:val="clear" w:color="auto" w:fill="FFFFFF"/>
            <w:tcMar>
              <w:top w:w="0" w:type="dxa"/>
              <w:left w:w="20" w:type="dxa"/>
              <w:bottom w:w="0" w:type="dxa"/>
              <w:right w:w="20" w:type="dxa"/>
            </w:tcMar>
            <w:vAlign w:val="center"/>
            <w:hideMark/>
          </w:tcPr>
          <w:p w14:paraId="04CBE345"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CDA791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63B1C9" w14:textId="77777777" w:rsidR="00000000" w:rsidRDefault="00A173A8">
            <w:pPr>
              <w:spacing w:after="100"/>
              <w:jc w:val="right"/>
              <w:rPr>
                <w:rFonts w:eastAsia="Times New Roman"/>
              </w:rPr>
            </w:pPr>
            <w:r>
              <w:rPr>
                <w:rFonts w:eastAsia="Times New Roman"/>
                <w:b/>
                <w:bCs/>
                <w:color w:val="000000"/>
                <w:sz w:val="18"/>
                <w:szCs w:val="18"/>
              </w:rPr>
              <w:t>58,938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FA824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7F46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AB7ED8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D214E34" w14:textId="77777777" w:rsidR="00000000" w:rsidRDefault="00A173A8">
            <w:pPr>
              <w:spacing w:after="100"/>
              <w:jc w:val="right"/>
              <w:rPr>
                <w:rFonts w:eastAsia="Times New Roman"/>
              </w:rPr>
            </w:pPr>
            <w:r>
              <w:rPr>
                <w:rFonts w:eastAsia="Times New Roman"/>
                <w:color w:val="000000"/>
                <w:sz w:val="18"/>
                <w:szCs w:val="18"/>
              </w:rPr>
              <w:t>43,086 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1C21721" w14:textId="77777777" w:rsidR="00000000" w:rsidRDefault="00A173A8">
            <w:pPr>
              <w:spacing w:after="100"/>
              <w:jc w:val="right"/>
              <w:rPr>
                <w:rFonts w:eastAsia="Times New Roman"/>
              </w:rPr>
            </w:pPr>
          </w:p>
        </w:tc>
      </w:tr>
    </w:tbl>
    <w:p w14:paraId="1807FD01" w14:textId="77777777" w:rsidR="00000000" w:rsidRDefault="00A173A8">
      <w:pPr>
        <w:divId w:val="2017536198"/>
        <w:rPr>
          <w:rFonts w:eastAsia="Times New Roman"/>
        </w:rPr>
      </w:pPr>
      <w:r>
        <w:rPr>
          <w:rFonts w:eastAsia="Times New Roman"/>
          <w:color w:val="000000"/>
          <w:sz w:val="20"/>
          <w:szCs w:val="20"/>
        </w:rPr>
        <w:t>__________</w:t>
      </w:r>
    </w:p>
    <w:p w14:paraId="0581CA09" w14:textId="77777777" w:rsidR="00000000" w:rsidRDefault="00A173A8">
      <w:pPr>
        <w:ind w:hanging="360"/>
        <w:jc w:val="both"/>
        <w:divId w:val="109223951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$2.1 billion and $1.8 </w:t>
      </w:r>
      <w:r>
        <w:rPr>
          <w:rFonts w:eastAsia="Times New Roman"/>
          <w:color w:val="000000"/>
          <w:sz w:val="16"/>
          <w:szCs w:val="16"/>
        </w:rPr>
        <w:t>billion of time deposits in denominations in excess of the $250,000 federal insurance limit as of June 30, 2022 and December 31, 2021, respectively.</w:t>
      </w:r>
    </w:p>
    <w:p w14:paraId="5F30775C" w14:textId="77777777" w:rsidR="00000000" w:rsidRDefault="00A173A8">
      <w:pPr>
        <w:ind w:hanging="360"/>
        <w:jc w:val="both"/>
        <w:divId w:val="196361328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$1.2 billion and $1.4 billion of EUR-denominated unsecured notes as of June 30, 2022 and Decemb</w:t>
      </w:r>
      <w:r>
        <w:rPr>
          <w:rFonts w:eastAsia="Times New Roman"/>
          <w:color w:val="000000"/>
          <w:sz w:val="16"/>
          <w:szCs w:val="16"/>
        </w:rPr>
        <w:t>er 31, 2021, respectively.</w:t>
      </w:r>
      <w:r>
        <w:rPr>
          <w:rFonts w:eastAsia="Times New Roman"/>
          <w:color w:val="000000"/>
          <w:sz w:val="20"/>
          <w:szCs w:val="20"/>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DB9D740" w14:textId="77777777">
        <w:trPr>
          <w:divId w:val="1731031554"/>
          <w:jc w:val="center"/>
        </w:trPr>
        <w:tc>
          <w:tcPr>
            <w:tcW w:w="50" w:type="pct"/>
            <w:vAlign w:val="center"/>
            <w:hideMark/>
          </w:tcPr>
          <w:p w14:paraId="615FF82F" w14:textId="77777777" w:rsidR="00000000" w:rsidRDefault="00A173A8">
            <w:pPr>
              <w:ind w:hanging="360"/>
              <w:jc w:val="both"/>
              <w:rPr>
                <w:rFonts w:eastAsia="Times New Roman"/>
              </w:rPr>
            </w:pPr>
          </w:p>
        </w:tc>
        <w:tc>
          <w:tcPr>
            <w:tcW w:w="1606" w:type="pct"/>
            <w:vAlign w:val="center"/>
            <w:hideMark/>
          </w:tcPr>
          <w:p w14:paraId="39C11544" w14:textId="77777777" w:rsidR="00000000" w:rsidRDefault="00A173A8">
            <w:pPr>
              <w:spacing w:after="100"/>
              <w:rPr>
                <w:rFonts w:eastAsia="Times New Roman"/>
                <w:sz w:val="20"/>
                <w:szCs w:val="20"/>
              </w:rPr>
            </w:pPr>
          </w:p>
        </w:tc>
        <w:tc>
          <w:tcPr>
            <w:tcW w:w="5" w:type="pct"/>
            <w:vAlign w:val="center"/>
            <w:hideMark/>
          </w:tcPr>
          <w:p w14:paraId="3F59A4A6" w14:textId="77777777" w:rsidR="00000000" w:rsidRDefault="00A173A8">
            <w:pPr>
              <w:spacing w:after="100"/>
              <w:rPr>
                <w:rFonts w:eastAsia="Times New Roman"/>
                <w:sz w:val="20"/>
                <w:szCs w:val="20"/>
              </w:rPr>
            </w:pPr>
          </w:p>
        </w:tc>
        <w:tc>
          <w:tcPr>
            <w:tcW w:w="50" w:type="pct"/>
            <w:vAlign w:val="center"/>
            <w:hideMark/>
          </w:tcPr>
          <w:p w14:paraId="6D0E5110" w14:textId="77777777" w:rsidR="00000000" w:rsidRDefault="00A173A8">
            <w:pPr>
              <w:spacing w:after="100"/>
              <w:rPr>
                <w:rFonts w:eastAsia="Times New Roman"/>
                <w:sz w:val="20"/>
                <w:szCs w:val="20"/>
              </w:rPr>
            </w:pPr>
          </w:p>
        </w:tc>
        <w:tc>
          <w:tcPr>
            <w:tcW w:w="1614" w:type="pct"/>
            <w:vAlign w:val="center"/>
            <w:hideMark/>
          </w:tcPr>
          <w:p w14:paraId="5948CE11" w14:textId="77777777" w:rsidR="00000000" w:rsidRDefault="00A173A8">
            <w:pPr>
              <w:spacing w:after="100"/>
              <w:rPr>
                <w:rFonts w:eastAsia="Times New Roman"/>
                <w:sz w:val="20"/>
                <w:szCs w:val="20"/>
              </w:rPr>
            </w:pPr>
          </w:p>
        </w:tc>
        <w:tc>
          <w:tcPr>
            <w:tcW w:w="5" w:type="pct"/>
            <w:vAlign w:val="center"/>
            <w:hideMark/>
          </w:tcPr>
          <w:p w14:paraId="59165ABC" w14:textId="77777777" w:rsidR="00000000" w:rsidRDefault="00A173A8">
            <w:pPr>
              <w:spacing w:after="100"/>
              <w:rPr>
                <w:rFonts w:eastAsia="Times New Roman"/>
                <w:sz w:val="20"/>
                <w:szCs w:val="20"/>
              </w:rPr>
            </w:pPr>
          </w:p>
        </w:tc>
        <w:tc>
          <w:tcPr>
            <w:tcW w:w="50" w:type="pct"/>
            <w:vAlign w:val="center"/>
            <w:hideMark/>
          </w:tcPr>
          <w:p w14:paraId="49A3C21A" w14:textId="77777777" w:rsidR="00000000" w:rsidRDefault="00A173A8">
            <w:pPr>
              <w:spacing w:after="100"/>
              <w:rPr>
                <w:rFonts w:eastAsia="Times New Roman"/>
                <w:sz w:val="20"/>
                <w:szCs w:val="20"/>
              </w:rPr>
            </w:pPr>
          </w:p>
        </w:tc>
        <w:tc>
          <w:tcPr>
            <w:tcW w:w="1614" w:type="pct"/>
            <w:vAlign w:val="center"/>
            <w:hideMark/>
          </w:tcPr>
          <w:p w14:paraId="2A5A3730" w14:textId="77777777" w:rsidR="00000000" w:rsidRDefault="00A173A8">
            <w:pPr>
              <w:spacing w:after="100"/>
              <w:rPr>
                <w:rFonts w:eastAsia="Times New Roman"/>
                <w:sz w:val="20"/>
                <w:szCs w:val="20"/>
              </w:rPr>
            </w:pPr>
          </w:p>
        </w:tc>
        <w:tc>
          <w:tcPr>
            <w:tcW w:w="5" w:type="pct"/>
            <w:vAlign w:val="center"/>
            <w:hideMark/>
          </w:tcPr>
          <w:p w14:paraId="6203FAD0" w14:textId="77777777" w:rsidR="00000000" w:rsidRDefault="00A173A8">
            <w:pPr>
              <w:spacing w:after="100"/>
              <w:rPr>
                <w:rFonts w:eastAsia="Times New Roman"/>
                <w:sz w:val="20"/>
                <w:szCs w:val="20"/>
              </w:rPr>
            </w:pPr>
          </w:p>
        </w:tc>
      </w:tr>
      <w:tr w:rsidR="00000000" w14:paraId="6D11E3F6" w14:textId="77777777">
        <w:trPr>
          <w:divId w:val="1731031554"/>
          <w:trHeight w:val="300"/>
          <w:jc w:val="center"/>
        </w:trPr>
        <w:tc>
          <w:tcPr>
            <w:tcW w:w="0" w:type="auto"/>
            <w:gridSpan w:val="9"/>
            <w:tcMar>
              <w:top w:w="0" w:type="dxa"/>
              <w:left w:w="20" w:type="dxa"/>
              <w:bottom w:w="0" w:type="dxa"/>
              <w:right w:w="20" w:type="dxa"/>
            </w:tcMar>
            <w:vAlign w:val="center"/>
            <w:hideMark/>
          </w:tcPr>
          <w:p w14:paraId="6D839C59" w14:textId="77777777" w:rsidR="00000000" w:rsidRDefault="00A173A8">
            <w:pPr>
              <w:spacing w:after="100"/>
              <w:rPr>
                <w:rFonts w:eastAsia="Times New Roman"/>
                <w:sz w:val="20"/>
                <w:szCs w:val="20"/>
              </w:rPr>
            </w:pPr>
          </w:p>
        </w:tc>
      </w:tr>
      <w:tr w:rsidR="00000000" w14:paraId="39E8FB17" w14:textId="77777777">
        <w:trPr>
          <w:divId w:val="1731031554"/>
          <w:jc w:val="center"/>
        </w:trPr>
        <w:tc>
          <w:tcPr>
            <w:tcW w:w="0" w:type="auto"/>
            <w:gridSpan w:val="3"/>
            <w:tcMar>
              <w:top w:w="0" w:type="dxa"/>
              <w:left w:w="20" w:type="dxa"/>
              <w:bottom w:w="0" w:type="dxa"/>
              <w:right w:w="20" w:type="dxa"/>
            </w:tcMar>
            <w:vAlign w:val="center"/>
            <w:hideMark/>
          </w:tcPr>
          <w:p w14:paraId="62634848"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5D8CC00" w14:textId="77777777" w:rsidR="00000000" w:rsidRDefault="00A173A8">
            <w:pPr>
              <w:spacing w:after="100"/>
              <w:jc w:val="center"/>
              <w:rPr>
                <w:rFonts w:eastAsia="Times New Roman"/>
              </w:rPr>
            </w:pPr>
            <w:r>
              <w:rPr>
                <w:rFonts w:eastAsia="Times New Roman"/>
                <w:color w:val="000000"/>
                <w:sz w:val="16"/>
                <w:szCs w:val="16"/>
              </w:rPr>
              <w:t>92</w:t>
            </w:r>
          </w:p>
        </w:tc>
        <w:tc>
          <w:tcPr>
            <w:tcW w:w="0" w:type="auto"/>
            <w:gridSpan w:val="3"/>
            <w:tcMar>
              <w:top w:w="30" w:type="dxa"/>
              <w:left w:w="20" w:type="dxa"/>
              <w:bottom w:w="30" w:type="dxa"/>
              <w:right w:w="20" w:type="dxa"/>
            </w:tcMar>
            <w:vAlign w:val="bottom"/>
            <w:hideMark/>
          </w:tcPr>
          <w:p w14:paraId="3916C74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9F56F95" w14:textId="77777777" w:rsidR="00000000" w:rsidRDefault="00A173A8">
      <w:pPr>
        <w:rPr>
          <w:rFonts w:eastAsia="Times New Roman"/>
        </w:rPr>
      </w:pPr>
      <w:r>
        <w:rPr>
          <w:rFonts w:eastAsia="Times New Roman"/>
        </w:rPr>
        <w:pict w14:anchorId="7B40AE1E">
          <v:rect id="_x0000_i1117" style="width:0;height:1.5pt" o:hralign="center" o:hrstd="t" o:hr="t" fillcolor="#a0a0a0" stroked="f"/>
        </w:pict>
      </w:r>
    </w:p>
    <w:p w14:paraId="17C672E2" w14:textId="77777777" w:rsidR="00000000" w:rsidRDefault="00A173A8">
      <w:pPr>
        <w:jc w:val="both"/>
        <w:divId w:val="879129550"/>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642937CB" w14:textId="77777777">
        <w:trPr>
          <w:divId w:val="688487521"/>
        </w:trPr>
        <w:tc>
          <w:tcPr>
            <w:tcW w:w="50" w:type="pct"/>
            <w:vAlign w:val="center"/>
            <w:hideMark/>
          </w:tcPr>
          <w:p w14:paraId="33321414" w14:textId="77777777" w:rsidR="00000000" w:rsidRDefault="00A173A8">
            <w:pPr>
              <w:jc w:val="both"/>
              <w:rPr>
                <w:rFonts w:eastAsia="Times New Roman"/>
              </w:rPr>
            </w:pPr>
          </w:p>
        </w:tc>
        <w:tc>
          <w:tcPr>
            <w:tcW w:w="4945" w:type="pct"/>
            <w:vAlign w:val="center"/>
            <w:hideMark/>
          </w:tcPr>
          <w:p w14:paraId="23392426" w14:textId="77777777" w:rsidR="00000000" w:rsidRDefault="00A173A8">
            <w:pPr>
              <w:spacing w:after="100"/>
              <w:rPr>
                <w:rFonts w:eastAsia="Times New Roman"/>
                <w:sz w:val="20"/>
                <w:szCs w:val="20"/>
              </w:rPr>
            </w:pPr>
          </w:p>
        </w:tc>
        <w:tc>
          <w:tcPr>
            <w:tcW w:w="5" w:type="pct"/>
            <w:vAlign w:val="center"/>
            <w:hideMark/>
          </w:tcPr>
          <w:p w14:paraId="622C9A52" w14:textId="77777777" w:rsidR="00000000" w:rsidRDefault="00A173A8">
            <w:pPr>
              <w:spacing w:after="100"/>
              <w:rPr>
                <w:rFonts w:eastAsia="Times New Roman"/>
                <w:sz w:val="20"/>
                <w:szCs w:val="20"/>
              </w:rPr>
            </w:pPr>
          </w:p>
        </w:tc>
      </w:tr>
      <w:tr w:rsidR="00000000" w14:paraId="049A036E" w14:textId="77777777">
        <w:trPr>
          <w:divId w:val="68848752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1C4E5831" w14:textId="77777777" w:rsidR="00000000" w:rsidRDefault="00A173A8">
            <w:pPr>
              <w:spacing w:after="100"/>
              <w:rPr>
                <w:rFonts w:eastAsia="Times New Roman"/>
              </w:rPr>
            </w:pPr>
            <w:r>
              <w:rPr>
                <w:rFonts w:eastAsia="Times New Roman"/>
                <w:b/>
                <w:bCs/>
                <w:color w:val="000000"/>
                <w:sz w:val="20"/>
                <w:szCs w:val="20"/>
              </w:rPr>
              <w:t>NOTE 8—DERIVATIVE INSTRUMENTS AND HEDGING ACTIVITIES</w:t>
            </w:r>
          </w:p>
        </w:tc>
      </w:tr>
    </w:tbl>
    <w:p w14:paraId="23824C35" w14:textId="77777777" w:rsidR="00000000" w:rsidRDefault="00A173A8">
      <w:pPr>
        <w:divId w:val="1196963907"/>
        <w:rPr>
          <w:rFonts w:eastAsia="Times New Roman"/>
        </w:rPr>
      </w:pPr>
      <w:r>
        <w:rPr>
          <w:rFonts w:eastAsia="Times New Roman"/>
          <w:b/>
          <w:bCs/>
          <w:color w:val="000000"/>
          <w:sz w:val="20"/>
          <w:szCs w:val="20"/>
        </w:rPr>
        <w:t>Use of Derivatives and Accounting for Derivatives</w:t>
      </w:r>
    </w:p>
    <w:p w14:paraId="58B25E66" w14:textId="77777777" w:rsidR="00000000" w:rsidRDefault="00A173A8">
      <w:pPr>
        <w:jc w:val="both"/>
        <w:divId w:val="1780756069"/>
        <w:rPr>
          <w:rFonts w:eastAsia="Times New Roman"/>
        </w:rPr>
      </w:pPr>
      <w:r>
        <w:rPr>
          <w:rFonts w:eastAsia="Times New Roman"/>
          <w:color w:val="000000"/>
          <w:sz w:val="20"/>
          <w:szCs w:val="20"/>
        </w:rPr>
        <w:t>We regularly enter into derivative transactions to support our overall risk management activities. Our primary market risks stem from the impact on our earnings and economic value of equity due to changes i</w:t>
      </w:r>
      <w:r>
        <w:rPr>
          <w:rFonts w:eastAsia="Times New Roman"/>
          <w:color w:val="000000"/>
          <w:sz w:val="20"/>
          <w:szCs w:val="20"/>
        </w:rPr>
        <w:t>n interest rates and, to a lesser extent, changes in foreign exchange rates. We manage our interest rate sensitivity by employing several techniques, which include changing the duration and re-pricing characteristics of various assets and liabilities by us</w:t>
      </w:r>
      <w:r>
        <w:rPr>
          <w:rFonts w:eastAsia="Times New Roman"/>
          <w:color w:val="000000"/>
          <w:sz w:val="20"/>
          <w:szCs w:val="20"/>
        </w:rPr>
        <w:t>ing interest rate derivatives. We also use foreign currency derivatives to limit our earnings and capital exposures to foreign exchange risk by hedging exposures denominated in foreign currencies. We primarily use interest rate and foreign currency swaps t</w:t>
      </w:r>
      <w:r>
        <w:rPr>
          <w:rFonts w:eastAsia="Times New Roman"/>
          <w:color w:val="000000"/>
          <w:sz w:val="20"/>
          <w:szCs w:val="20"/>
        </w:rPr>
        <w:t>o hedge, but we may also use a variety of other derivative instruments, including caps, floors, options, futures and forward contracts, to manage our interest rate and foreign exchange risks. We designate these risk management derivatives as either qualify</w:t>
      </w:r>
      <w:r>
        <w:rPr>
          <w:rFonts w:eastAsia="Times New Roman"/>
          <w:color w:val="000000"/>
          <w:sz w:val="20"/>
          <w:szCs w:val="20"/>
        </w:rPr>
        <w:t>ing accounting hedges or free-standing derivatives. Qualifying accounting hedges are further designated as fair value hedges, cash flow hedges or net investment hedges. Free-standing derivatives are economic hedges that do not qualify for hedge accounting.</w:t>
      </w:r>
      <w:r>
        <w:rPr>
          <w:rFonts w:eastAsia="Times New Roman"/>
          <w:color w:val="000000"/>
          <w:sz w:val="20"/>
          <w:szCs w:val="20"/>
        </w:rPr>
        <w:t xml:space="preserve"> </w:t>
      </w:r>
    </w:p>
    <w:p w14:paraId="4DDC6464" w14:textId="77777777" w:rsidR="00000000" w:rsidRDefault="00A173A8">
      <w:pPr>
        <w:jc w:val="both"/>
        <w:divId w:val="1749501472"/>
        <w:rPr>
          <w:rFonts w:eastAsia="Times New Roman"/>
        </w:rPr>
      </w:pPr>
      <w:r>
        <w:rPr>
          <w:rFonts w:eastAsia="Times New Roman"/>
          <w:color w:val="000000"/>
          <w:sz w:val="20"/>
          <w:szCs w:val="20"/>
        </w:rPr>
        <w:t>We also offer interest rate, commodity, foreign currency derivatives and other contracts as an accommodation to our customers within our Commercial Banking business. We enter into these derivatives with our customers primarily to help them manage their i</w:t>
      </w:r>
      <w:r>
        <w:rPr>
          <w:rFonts w:eastAsia="Times New Roman"/>
          <w:color w:val="000000"/>
          <w:sz w:val="20"/>
          <w:szCs w:val="20"/>
        </w:rPr>
        <w:t xml:space="preserve">nterest rate risks, hedge their energy and other commodities exposures, and manage foreign currency fluctuations. We then enter into derivative contracts with counterparties to economically hedge substantially all of our subsequent exposures. </w:t>
      </w:r>
    </w:p>
    <w:p w14:paraId="1B043B67" w14:textId="77777777" w:rsidR="00000000" w:rsidRDefault="00A173A8">
      <w:pPr>
        <w:jc w:val="both"/>
        <w:divId w:val="1219171387"/>
        <w:rPr>
          <w:rFonts w:eastAsia="Times New Roman"/>
        </w:rPr>
      </w:pPr>
      <w:r>
        <w:rPr>
          <w:rFonts w:eastAsia="Times New Roman"/>
          <w:color w:val="000000"/>
          <w:sz w:val="20"/>
          <w:szCs w:val="20"/>
        </w:rPr>
        <w:t>See below fo</w:t>
      </w:r>
      <w:r>
        <w:rPr>
          <w:rFonts w:eastAsia="Times New Roman"/>
          <w:color w:val="000000"/>
          <w:sz w:val="20"/>
          <w:szCs w:val="20"/>
        </w:rPr>
        <w:t>r additional information on our use of derivatives and how we account for them:</w:t>
      </w:r>
    </w:p>
    <w:p w14:paraId="0C67A78D" w14:textId="77777777" w:rsidR="00000000" w:rsidRDefault="00A173A8">
      <w:pPr>
        <w:ind w:hanging="360"/>
        <w:jc w:val="both"/>
        <w:divId w:val="907807745"/>
        <w:rPr>
          <w:rFonts w:eastAsia="Times New Roman"/>
        </w:rPr>
      </w:pPr>
      <w:r>
        <w:rPr>
          <w:rFonts w:eastAsia="Times New Roman"/>
          <w:i/>
          <w:iCs/>
          <w:color w:val="000000"/>
          <w:sz w:val="20"/>
          <w:szCs w:val="20"/>
        </w:rPr>
        <w:t>•Fair Value Hedges:</w:t>
      </w:r>
      <w:r>
        <w:rPr>
          <w:rFonts w:eastAsia="Times New Roman"/>
          <w:color w:val="000000"/>
          <w:sz w:val="20"/>
          <w:szCs w:val="20"/>
        </w:rPr>
        <w:t xml:space="preserve"> We designate derivatives as fair value hedges when they are used to manage our exposure to changes in the fair value of certain financial assets and liabili</w:t>
      </w:r>
      <w:r>
        <w:rPr>
          <w:rFonts w:eastAsia="Times New Roman"/>
          <w:color w:val="000000"/>
          <w:sz w:val="20"/>
          <w:szCs w:val="20"/>
        </w:rPr>
        <w:t>ties, which fluctuate in value as a result of movements in interest rates. Changes in the fair value of derivatives designated as fair value hedges are presented in the same line item in our consolidated statements of income as the earnings effect of the h</w:t>
      </w:r>
      <w:r>
        <w:rPr>
          <w:rFonts w:eastAsia="Times New Roman"/>
          <w:color w:val="000000"/>
          <w:sz w:val="20"/>
          <w:szCs w:val="20"/>
        </w:rPr>
        <w:t>edged items. Our fair value hedges primarily consist of interest rate swaps that are intended to modify our exposure to interest rate risk on various fixed-rate financial assets and liabilities.</w:t>
      </w:r>
    </w:p>
    <w:p w14:paraId="7F938A7C" w14:textId="77777777" w:rsidR="00000000" w:rsidRDefault="00A173A8">
      <w:pPr>
        <w:ind w:hanging="360"/>
        <w:divId w:val="145054094"/>
        <w:rPr>
          <w:rFonts w:eastAsia="Times New Roman"/>
        </w:rPr>
      </w:pPr>
      <w:r>
        <w:rPr>
          <w:rFonts w:eastAsia="Times New Roman"/>
          <w:color w:val="000000"/>
          <w:sz w:val="20"/>
          <w:szCs w:val="20"/>
        </w:rPr>
        <w:t>•</w:t>
      </w:r>
      <w:r>
        <w:rPr>
          <w:rFonts w:eastAsia="Times New Roman"/>
          <w:i/>
          <w:iCs/>
          <w:color w:val="000000"/>
          <w:sz w:val="20"/>
          <w:szCs w:val="20"/>
        </w:rPr>
        <w:t>Cash Flow Hedges:</w:t>
      </w:r>
      <w:r>
        <w:rPr>
          <w:rFonts w:eastAsia="Times New Roman"/>
          <w:color w:val="000000"/>
          <w:sz w:val="20"/>
          <w:szCs w:val="20"/>
        </w:rPr>
        <w:t xml:space="preserve"> We designate derivatives as cash flow hedg</w:t>
      </w:r>
      <w:r>
        <w:rPr>
          <w:rFonts w:eastAsia="Times New Roman"/>
          <w:color w:val="000000"/>
          <w:sz w:val="20"/>
          <w:szCs w:val="20"/>
        </w:rPr>
        <w:t>es when they are used to manage our exposure to variability in cash flows related to forecasted transactions. Changes in the fair value of derivatives designated as cash flow hedges are recorded as a component of accumulated other comprehensive income (“AO</w:t>
      </w:r>
      <w:r>
        <w:rPr>
          <w:rFonts w:eastAsia="Times New Roman"/>
          <w:color w:val="000000"/>
          <w:sz w:val="20"/>
          <w:szCs w:val="20"/>
        </w:rPr>
        <w:t>CI”). Those amounts are reclassified into earnings in the same period during which the forecasted transactions impact earnings and presented in the same line item in our consolidated statements of income as the earnings effect of the hedged items. Our cash</w:t>
      </w:r>
      <w:r>
        <w:rPr>
          <w:rFonts w:eastAsia="Times New Roman"/>
          <w:color w:val="000000"/>
          <w:sz w:val="20"/>
          <w:szCs w:val="20"/>
        </w:rPr>
        <w:t xml:space="preserve"> flow hedges use interest rate swaps and floors that are intended to hedge the variability in interest receipts or interest payments on some of our variable-rate financial assets or liabilities. We also enter into foreign currency forward contracts to hedg</w:t>
      </w:r>
      <w:r>
        <w:rPr>
          <w:rFonts w:eastAsia="Times New Roman"/>
          <w:color w:val="000000"/>
          <w:sz w:val="20"/>
          <w:szCs w:val="20"/>
        </w:rPr>
        <w:t>e our exposure to variability in cash flows related to intercompany borrowings denominated in foreign currencies.</w:t>
      </w:r>
    </w:p>
    <w:p w14:paraId="5A34B513" w14:textId="77777777" w:rsidR="00000000" w:rsidRDefault="00A173A8">
      <w:pPr>
        <w:ind w:hanging="360"/>
        <w:jc w:val="both"/>
        <w:divId w:val="817499881"/>
        <w:rPr>
          <w:rFonts w:eastAsia="Times New Roman"/>
        </w:rPr>
      </w:pPr>
      <w:r>
        <w:rPr>
          <w:rFonts w:eastAsia="Times New Roman"/>
          <w:color w:val="000000"/>
          <w:sz w:val="20"/>
          <w:szCs w:val="20"/>
        </w:rPr>
        <w:t>•</w:t>
      </w:r>
      <w:r>
        <w:rPr>
          <w:rFonts w:eastAsia="Times New Roman"/>
          <w:i/>
          <w:iCs/>
          <w:color w:val="000000"/>
          <w:sz w:val="20"/>
          <w:szCs w:val="20"/>
        </w:rPr>
        <w:t xml:space="preserve">Net Investment Hedges: </w:t>
      </w:r>
      <w:r>
        <w:rPr>
          <w:rFonts w:eastAsia="Times New Roman"/>
          <w:color w:val="000000"/>
          <w:sz w:val="20"/>
          <w:szCs w:val="20"/>
        </w:rPr>
        <w:t>We use net investment hedges to manage the foreign currency exposure related to our net investments in foreign operati</w:t>
      </w:r>
      <w:r>
        <w:rPr>
          <w:rFonts w:eastAsia="Times New Roman"/>
          <w:color w:val="000000"/>
          <w:sz w:val="20"/>
          <w:szCs w:val="20"/>
        </w:rPr>
        <w:t>ons that have functional currencies other than the U.S. dollar. Changes in the fair value of net investment hedges are recorded in the translation adjustment component of AOCI, offsetting the translation gain or loss from those foreign operations. We execu</w:t>
      </w:r>
      <w:r>
        <w:rPr>
          <w:rFonts w:eastAsia="Times New Roman"/>
          <w:color w:val="000000"/>
          <w:sz w:val="20"/>
          <w:szCs w:val="20"/>
        </w:rPr>
        <w:t>te net investment hedges using foreign currency forward contracts to hedge the translation exposure of the net investment in our foreign operations under the forward method.</w:t>
      </w:r>
    </w:p>
    <w:p w14:paraId="331387D3" w14:textId="77777777" w:rsidR="00000000" w:rsidRDefault="00A173A8">
      <w:pPr>
        <w:ind w:hanging="360"/>
        <w:jc w:val="both"/>
        <w:divId w:val="72702962"/>
        <w:rPr>
          <w:rFonts w:eastAsia="Times New Roman"/>
        </w:rPr>
      </w:pPr>
      <w:r>
        <w:rPr>
          <w:rFonts w:eastAsia="Times New Roman"/>
          <w:i/>
          <w:iCs/>
          <w:color w:val="000000"/>
          <w:sz w:val="20"/>
          <w:szCs w:val="20"/>
        </w:rPr>
        <w:t>•Free-Standing Derivatives:</w:t>
      </w:r>
      <w:r>
        <w:rPr>
          <w:rFonts w:eastAsia="Times New Roman"/>
          <w:color w:val="000000"/>
          <w:sz w:val="20"/>
          <w:szCs w:val="20"/>
        </w:rPr>
        <w:t xml:space="preserve"> Our free-standing derivatives primarily consist of our</w:t>
      </w:r>
      <w:r>
        <w:rPr>
          <w:rFonts w:eastAsia="Times New Roman"/>
          <w:color w:val="000000"/>
          <w:sz w:val="20"/>
          <w:szCs w:val="20"/>
        </w:rPr>
        <w:t xml:space="preserve"> customer accommodation derivatives and other economic hedges. The customer accommodation derivatives and the related offsetting contracts are mainly interest rate, commodity and foreign currency contracts. The other free-standing derivatives are primarily</w:t>
      </w:r>
      <w:r>
        <w:rPr>
          <w:rFonts w:eastAsia="Times New Roman"/>
          <w:color w:val="000000"/>
          <w:sz w:val="20"/>
          <w:szCs w:val="20"/>
        </w:rPr>
        <w:t xml:space="preserve"> used to economically hedge the risk of changes in the fair value of our commercial mortgage loan origination and purchase commitments as well as other interests held. Changes in the fair value of free-standing derivatives are recorded in earnings as a com</w:t>
      </w:r>
      <w:r>
        <w:rPr>
          <w:rFonts w:eastAsia="Times New Roman"/>
          <w:color w:val="000000"/>
          <w:sz w:val="20"/>
          <w:szCs w:val="20"/>
        </w:rPr>
        <w:t>ponent of other non-interest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B0F2B48" w14:textId="77777777">
        <w:trPr>
          <w:divId w:val="289358345"/>
          <w:jc w:val="center"/>
        </w:trPr>
        <w:tc>
          <w:tcPr>
            <w:tcW w:w="50" w:type="pct"/>
            <w:vAlign w:val="center"/>
            <w:hideMark/>
          </w:tcPr>
          <w:p w14:paraId="0F4E6F0A" w14:textId="77777777" w:rsidR="00000000" w:rsidRDefault="00A173A8">
            <w:pPr>
              <w:ind w:hanging="360"/>
              <w:jc w:val="both"/>
              <w:rPr>
                <w:rFonts w:eastAsia="Times New Roman"/>
              </w:rPr>
            </w:pPr>
          </w:p>
        </w:tc>
        <w:tc>
          <w:tcPr>
            <w:tcW w:w="1606" w:type="pct"/>
            <w:vAlign w:val="center"/>
            <w:hideMark/>
          </w:tcPr>
          <w:p w14:paraId="4F068DC0" w14:textId="77777777" w:rsidR="00000000" w:rsidRDefault="00A173A8">
            <w:pPr>
              <w:spacing w:after="100"/>
              <w:rPr>
                <w:rFonts w:eastAsia="Times New Roman"/>
                <w:sz w:val="20"/>
                <w:szCs w:val="20"/>
              </w:rPr>
            </w:pPr>
          </w:p>
        </w:tc>
        <w:tc>
          <w:tcPr>
            <w:tcW w:w="5" w:type="pct"/>
            <w:vAlign w:val="center"/>
            <w:hideMark/>
          </w:tcPr>
          <w:p w14:paraId="4978E4A7" w14:textId="77777777" w:rsidR="00000000" w:rsidRDefault="00A173A8">
            <w:pPr>
              <w:spacing w:after="100"/>
              <w:rPr>
                <w:rFonts w:eastAsia="Times New Roman"/>
                <w:sz w:val="20"/>
                <w:szCs w:val="20"/>
              </w:rPr>
            </w:pPr>
          </w:p>
        </w:tc>
        <w:tc>
          <w:tcPr>
            <w:tcW w:w="50" w:type="pct"/>
            <w:vAlign w:val="center"/>
            <w:hideMark/>
          </w:tcPr>
          <w:p w14:paraId="3DE8B5B5" w14:textId="77777777" w:rsidR="00000000" w:rsidRDefault="00A173A8">
            <w:pPr>
              <w:spacing w:after="100"/>
              <w:rPr>
                <w:rFonts w:eastAsia="Times New Roman"/>
                <w:sz w:val="20"/>
                <w:szCs w:val="20"/>
              </w:rPr>
            </w:pPr>
          </w:p>
        </w:tc>
        <w:tc>
          <w:tcPr>
            <w:tcW w:w="1614" w:type="pct"/>
            <w:vAlign w:val="center"/>
            <w:hideMark/>
          </w:tcPr>
          <w:p w14:paraId="238FAED5" w14:textId="77777777" w:rsidR="00000000" w:rsidRDefault="00A173A8">
            <w:pPr>
              <w:spacing w:after="100"/>
              <w:rPr>
                <w:rFonts w:eastAsia="Times New Roman"/>
                <w:sz w:val="20"/>
                <w:szCs w:val="20"/>
              </w:rPr>
            </w:pPr>
          </w:p>
        </w:tc>
        <w:tc>
          <w:tcPr>
            <w:tcW w:w="5" w:type="pct"/>
            <w:vAlign w:val="center"/>
            <w:hideMark/>
          </w:tcPr>
          <w:p w14:paraId="5A32DF32" w14:textId="77777777" w:rsidR="00000000" w:rsidRDefault="00A173A8">
            <w:pPr>
              <w:spacing w:after="100"/>
              <w:rPr>
                <w:rFonts w:eastAsia="Times New Roman"/>
                <w:sz w:val="20"/>
                <w:szCs w:val="20"/>
              </w:rPr>
            </w:pPr>
          </w:p>
        </w:tc>
        <w:tc>
          <w:tcPr>
            <w:tcW w:w="50" w:type="pct"/>
            <w:vAlign w:val="center"/>
            <w:hideMark/>
          </w:tcPr>
          <w:p w14:paraId="6CA95562" w14:textId="77777777" w:rsidR="00000000" w:rsidRDefault="00A173A8">
            <w:pPr>
              <w:spacing w:after="100"/>
              <w:rPr>
                <w:rFonts w:eastAsia="Times New Roman"/>
                <w:sz w:val="20"/>
                <w:szCs w:val="20"/>
              </w:rPr>
            </w:pPr>
          </w:p>
        </w:tc>
        <w:tc>
          <w:tcPr>
            <w:tcW w:w="1614" w:type="pct"/>
            <w:vAlign w:val="center"/>
            <w:hideMark/>
          </w:tcPr>
          <w:p w14:paraId="373D70BC" w14:textId="77777777" w:rsidR="00000000" w:rsidRDefault="00A173A8">
            <w:pPr>
              <w:spacing w:after="100"/>
              <w:rPr>
                <w:rFonts w:eastAsia="Times New Roman"/>
                <w:sz w:val="20"/>
                <w:szCs w:val="20"/>
              </w:rPr>
            </w:pPr>
          </w:p>
        </w:tc>
        <w:tc>
          <w:tcPr>
            <w:tcW w:w="5" w:type="pct"/>
            <w:vAlign w:val="center"/>
            <w:hideMark/>
          </w:tcPr>
          <w:p w14:paraId="4B1AB7EF" w14:textId="77777777" w:rsidR="00000000" w:rsidRDefault="00A173A8">
            <w:pPr>
              <w:spacing w:after="100"/>
              <w:rPr>
                <w:rFonts w:eastAsia="Times New Roman"/>
                <w:sz w:val="20"/>
                <w:szCs w:val="20"/>
              </w:rPr>
            </w:pPr>
          </w:p>
        </w:tc>
      </w:tr>
      <w:tr w:rsidR="00000000" w14:paraId="3DFEA727" w14:textId="77777777">
        <w:trPr>
          <w:divId w:val="289358345"/>
          <w:trHeight w:val="300"/>
          <w:jc w:val="center"/>
        </w:trPr>
        <w:tc>
          <w:tcPr>
            <w:tcW w:w="0" w:type="auto"/>
            <w:gridSpan w:val="9"/>
            <w:tcMar>
              <w:top w:w="0" w:type="dxa"/>
              <w:left w:w="20" w:type="dxa"/>
              <w:bottom w:w="0" w:type="dxa"/>
              <w:right w:w="20" w:type="dxa"/>
            </w:tcMar>
            <w:vAlign w:val="center"/>
            <w:hideMark/>
          </w:tcPr>
          <w:p w14:paraId="6FFC52BA" w14:textId="77777777" w:rsidR="00000000" w:rsidRDefault="00A173A8">
            <w:pPr>
              <w:spacing w:after="100"/>
              <w:rPr>
                <w:rFonts w:eastAsia="Times New Roman"/>
                <w:sz w:val="20"/>
                <w:szCs w:val="20"/>
              </w:rPr>
            </w:pPr>
          </w:p>
        </w:tc>
      </w:tr>
      <w:tr w:rsidR="00000000" w14:paraId="7753E13F" w14:textId="77777777">
        <w:trPr>
          <w:divId w:val="289358345"/>
          <w:jc w:val="center"/>
        </w:trPr>
        <w:tc>
          <w:tcPr>
            <w:tcW w:w="0" w:type="auto"/>
            <w:gridSpan w:val="3"/>
            <w:tcMar>
              <w:top w:w="0" w:type="dxa"/>
              <w:left w:w="20" w:type="dxa"/>
              <w:bottom w:w="0" w:type="dxa"/>
              <w:right w:w="20" w:type="dxa"/>
            </w:tcMar>
            <w:vAlign w:val="center"/>
            <w:hideMark/>
          </w:tcPr>
          <w:p w14:paraId="6D5F472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B388D29" w14:textId="77777777" w:rsidR="00000000" w:rsidRDefault="00A173A8">
            <w:pPr>
              <w:spacing w:after="100"/>
              <w:jc w:val="center"/>
              <w:rPr>
                <w:rFonts w:eastAsia="Times New Roman"/>
              </w:rPr>
            </w:pPr>
            <w:r>
              <w:rPr>
                <w:rFonts w:eastAsia="Times New Roman"/>
                <w:color w:val="000000"/>
                <w:sz w:val="16"/>
                <w:szCs w:val="16"/>
              </w:rPr>
              <w:t>93</w:t>
            </w:r>
          </w:p>
        </w:tc>
        <w:tc>
          <w:tcPr>
            <w:tcW w:w="0" w:type="auto"/>
            <w:gridSpan w:val="3"/>
            <w:tcMar>
              <w:top w:w="30" w:type="dxa"/>
              <w:left w:w="20" w:type="dxa"/>
              <w:bottom w:w="30" w:type="dxa"/>
              <w:right w:w="20" w:type="dxa"/>
            </w:tcMar>
            <w:vAlign w:val="bottom"/>
            <w:hideMark/>
          </w:tcPr>
          <w:p w14:paraId="438C458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7F5173C" w14:textId="77777777" w:rsidR="00000000" w:rsidRDefault="00A173A8">
      <w:pPr>
        <w:rPr>
          <w:rFonts w:eastAsia="Times New Roman"/>
        </w:rPr>
      </w:pPr>
      <w:r>
        <w:rPr>
          <w:rFonts w:eastAsia="Times New Roman"/>
        </w:rPr>
        <w:pict w14:anchorId="7B64B459">
          <v:rect id="_x0000_i1118" style="width:0;height:1.5pt" o:hralign="center" o:hrstd="t" o:hr="t" fillcolor="#a0a0a0" stroked="f"/>
        </w:pict>
      </w:r>
    </w:p>
    <w:p w14:paraId="4089419F" w14:textId="77777777" w:rsidR="00000000" w:rsidRDefault="00A173A8">
      <w:pPr>
        <w:jc w:val="both"/>
        <w:divId w:val="705788948"/>
        <w:rPr>
          <w:rFonts w:eastAsia="Times New Roman"/>
        </w:rPr>
      </w:pPr>
      <w:hyperlink w:anchor="i7ffd5d61af6f4722b1b1b07530d51c06_13" w:history="1">
        <w:r>
          <w:rPr>
            <w:rStyle w:val="a3"/>
            <w:rFonts w:eastAsia="Times New Roman"/>
            <w:sz w:val="16"/>
            <w:szCs w:val="16"/>
          </w:rPr>
          <w:t>Table of Contents</w:t>
        </w:r>
      </w:hyperlink>
    </w:p>
    <w:p w14:paraId="6CA74F05" w14:textId="77777777" w:rsidR="00000000" w:rsidRDefault="00A173A8">
      <w:pPr>
        <w:divId w:val="653097197"/>
        <w:rPr>
          <w:rFonts w:eastAsia="Times New Roman"/>
        </w:rPr>
      </w:pPr>
      <w:r>
        <w:rPr>
          <w:rFonts w:eastAsia="Times New Roman"/>
          <w:b/>
          <w:bCs/>
          <w:color w:val="000000"/>
          <w:sz w:val="20"/>
          <w:szCs w:val="20"/>
        </w:rPr>
        <w:t>Derivatives Counterparty Credit Risk</w:t>
      </w:r>
    </w:p>
    <w:p w14:paraId="698F5FFC" w14:textId="77777777" w:rsidR="00000000" w:rsidRDefault="00A173A8">
      <w:pPr>
        <w:divId w:val="1136295562"/>
        <w:rPr>
          <w:rFonts w:eastAsia="Times New Roman"/>
        </w:rPr>
      </w:pPr>
      <w:r>
        <w:rPr>
          <w:rFonts w:eastAsia="Times New Roman"/>
          <w:b/>
          <w:bCs/>
          <w:i/>
          <w:iCs/>
          <w:color w:val="000000"/>
          <w:sz w:val="20"/>
          <w:szCs w:val="20"/>
        </w:rPr>
        <w:t>Counterparty Types</w:t>
      </w:r>
    </w:p>
    <w:p w14:paraId="3C62396A" w14:textId="77777777" w:rsidR="00000000" w:rsidRDefault="00A173A8">
      <w:pPr>
        <w:jc w:val="both"/>
        <w:divId w:val="584612401"/>
        <w:rPr>
          <w:rFonts w:eastAsia="Times New Roman"/>
        </w:rPr>
      </w:pPr>
      <w:r>
        <w:rPr>
          <w:rFonts w:eastAsia="Times New Roman"/>
          <w:color w:val="000000"/>
          <w:sz w:val="20"/>
          <w:szCs w:val="20"/>
        </w:rPr>
        <w:t xml:space="preserve">Derivative instruments contain an element of credit risk that stems from the potential </w:t>
      </w:r>
      <w:r>
        <w:rPr>
          <w:rFonts w:eastAsia="Times New Roman"/>
          <w:color w:val="000000"/>
          <w:sz w:val="20"/>
          <w:szCs w:val="20"/>
        </w:rPr>
        <w:t>failure of a counterparty to perform according to the terms of the contract, including making payments due upon maturity of certain derivative instruments. We execute our derivative contracts primarily in over-the-counter (“OTC”) markets. We also execute i</w:t>
      </w:r>
      <w:r>
        <w:rPr>
          <w:rFonts w:eastAsia="Times New Roman"/>
          <w:color w:val="000000"/>
          <w:sz w:val="20"/>
          <w:szCs w:val="20"/>
        </w:rPr>
        <w:t>nterest rate and commodity futures in the exchange-traded derivative markets. Our OTC derivatives consist of both trades cleared through central counterparty clearinghouses (“CCPs”) and uncleared bilateral contracts. The Chicago Mercantile Exchange (“CME”)</w:t>
      </w:r>
      <w:r>
        <w:rPr>
          <w:rFonts w:eastAsia="Times New Roman"/>
          <w:color w:val="000000"/>
          <w:sz w:val="20"/>
          <w:szCs w:val="20"/>
        </w:rPr>
        <w:t xml:space="preserve">, the Intercontinental Exchange (“ICE”) and the LCH Group (“LCH”) are our CCPs for our centrally cleared contracts. In our uncleared bilateral contracts, we enter into agreements directly with our derivative counterparties. </w:t>
      </w:r>
    </w:p>
    <w:p w14:paraId="1F415C72" w14:textId="77777777" w:rsidR="00000000" w:rsidRDefault="00A173A8">
      <w:pPr>
        <w:divId w:val="1196386511"/>
        <w:rPr>
          <w:rFonts w:eastAsia="Times New Roman"/>
        </w:rPr>
      </w:pPr>
      <w:r>
        <w:rPr>
          <w:rFonts w:eastAsia="Times New Roman"/>
          <w:b/>
          <w:bCs/>
          <w:i/>
          <w:iCs/>
          <w:color w:val="000000"/>
          <w:sz w:val="20"/>
          <w:szCs w:val="20"/>
        </w:rPr>
        <w:t>Counterparty Credit Risk Management</w:t>
      </w:r>
    </w:p>
    <w:p w14:paraId="29843916" w14:textId="77777777" w:rsidR="00000000" w:rsidRDefault="00A173A8">
      <w:pPr>
        <w:jc w:val="both"/>
        <w:divId w:val="2138374831"/>
        <w:rPr>
          <w:rFonts w:eastAsia="Times New Roman"/>
        </w:rPr>
      </w:pPr>
      <w:r>
        <w:rPr>
          <w:rFonts w:eastAsia="Times New Roman"/>
          <w:color w:val="000000"/>
          <w:sz w:val="20"/>
          <w:szCs w:val="20"/>
        </w:rPr>
        <w:t>We manage the counterparty credit risk associated with derivative instruments by entering into legally enforceable master netting agreements, where applicable, and exchanging collateral with our counterparties, typically</w:t>
      </w:r>
      <w:r>
        <w:rPr>
          <w:rFonts w:eastAsia="Times New Roman"/>
          <w:color w:val="000000"/>
          <w:sz w:val="20"/>
          <w:szCs w:val="20"/>
        </w:rPr>
        <w:t xml:space="preserve"> in the form of cash or high-quality liquid securities. We exchange collateral in two primary forms: variation margin, which mitigates the risk of changes in value due to daily market movements and is exchanged daily, and initial margin, which mitigates th</w:t>
      </w:r>
      <w:r>
        <w:rPr>
          <w:rFonts w:eastAsia="Times New Roman"/>
          <w:color w:val="000000"/>
          <w:sz w:val="20"/>
          <w:szCs w:val="20"/>
        </w:rPr>
        <w:t>e risk of potential future exposure of a derivative and is exchanged at the outset of a transaction and adjusted daily. We exchange variation margin and initial margin on our cleared derivatives. For uncleared bilateral derivatives, we exchange variation m</w:t>
      </w:r>
      <w:r>
        <w:rPr>
          <w:rFonts w:eastAsia="Times New Roman"/>
          <w:color w:val="000000"/>
          <w:sz w:val="20"/>
          <w:szCs w:val="20"/>
        </w:rPr>
        <w:t xml:space="preserve">argin, and from September 2021 we exchange initial margin on any new trades executed after September 1, 2021, where such trades are in scope for initial margin. </w:t>
      </w:r>
    </w:p>
    <w:p w14:paraId="508ED942" w14:textId="77777777" w:rsidR="00000000" w:rsidRDefault="00A173A8">
      <w:pPr>
        <w:jc w:val="both"/>
        <w:divId w:val="177431327"/>
        <w:rPr>
          <w:rFonts w:eastAsia="Times New Roman"/>
        </w:rPr>
      </w:pPr>
      <w:r>
        <w:rPr>
          <w:rFonts w:eastAsia="Times New Roman"/>
          <w:color w:val="000000"/>
          <w:sz w:val="20"/>
          <w:szCs w:val="20"/>
        </w:rPr>
        <w:t xml:space="preserve">The amount of collateral exchanged for variation margin is dependent upon the fair value of the derivative instruments as well as the fair value of the pledged collateral and will vary over time as market variables change. The amount of the initial margin </w:t>
      </w:r>
      <w:r>
        <w:rPr>
          <w:rFonts w:eastAsia="Times New Roman"/>
          <w:color w:val="000000"/>
          <w:sz w:val="20"/>
          <w:szCs w:val="20"/>
        </w:rPr>
        <w:t>exchanged is dependent upon 1) the calculation of initial margin exposure, as prescribed by 1(a) the U.S. prudential regulators’ margin rules for uncleared derivatives (“PR Rules”) or 1(b) the CCPs for cleared derivatives and 2) the fair value of the pledg</w:t>
      </w:r>
      <w:r>
        <w:rPr>
          <w:rFonts w:eastAsia="Times New Roman"/>
          <w:color w:val="000000"/>
          <w:sz w:val="20"/>
          <w:szCs w:val="20"/>
        </w:rPr>
        <w:t xml:space="preserve">ed collateral; it will vary over time as market variables change. When valuing collateral, an estimate of the variation in price and liquidity over time is subtracted in the form of a “haircut” to discount the value of the collateral pledged. Our exposure </w:t>
      </w:r>
      <w:r>
        <w:rPr>
          <w:rFonts w:eastAsia="Times New Roman"/>
          <w:color w:val="000000"/>
          <w:sz w:val="20"/>
          <w:szCs w:val="20"/>
        </w:rPr>
        <w:t xml:space="preserve">to derivative counterparty credit risk, at any point in time, is equal to the amount reported as a derivative asset on our balance sheet. The fair value of our derivatives is adjusted on an aggregate basis to take into consideration the effects of legally </w:t>
      </w:r>
      <w:r>
        <w:rPr>
          <w:rFonts w:eastAsia="Times New Roman"/>
          <w:color w:val="000000"/>
          <w:sz w:val="20"/>
          <w:szCs w:val="20"/>
        </w:rPr>
        <w:t xml:space="preserve">enforceable master netting agreements and any associated collateral received or pledged. See Table 8.3 for our net exposure associated with derivatives. </w:t>
      </w:r>
    </w:p>
    <w:p w14:paraId="133191C5" w14:textId="77777777" w:rsidR="00000000" w:rsidRDefault="00A173A8">
      <w:pPr>
        <w:jc w:val="both"/>
        <w:divId w:val="825166021"/>
        <w:rPr>
          <w:rFonts w:eastAsia="Times New Roman"/>
        </w:rPr>
      </w:pPr>
      <w:r>
        <w:rPr>
          <w:rFonts w:eastAsia="Times New Roman"/>
          <w:color w:val="000000"/>
          <w:sz w:val="20"/>
          <w:szCs w:val="20"/>
        </w:rPr>
        <w:t>The terms under which we collateralize our exposures differ between cleared exposures and uncleared bi</w:t>
      </w:r>
      <w:r>
        <w:rPr>
          <w:rFonts w:eastAsia="Times New Roman"/>
          <w:color w:val="000000"/>
          <w:sz w:val="20"/>
          <w:szCs w:val="20"/>
        </w:rPr>
        <w:t>lateral exposures.</w:t>
      </w:r>
    </w:p>
    <w:p w14:paraId="6FB1EF68" w14:textId="77777777" w:rsidR="00000000" w:rsidRDefault="00A173A8">
      <w:pPr>
        <w:ind w:hanging="360"/>
        <w:jc w:val="both"/>
        <w:divId w:val="1964577974"/>
        <w:rPr>
          <w:rFonts w:eastAsia="Times New Roman"/>
        </w:rPr>
      </w:pPr>
      <w:r>
        <w:rPr>
          <w:rFonts w:eastAsia="Times New Roman"/>
          <w:color w:val="000000"/>
          <w:sz w:val="20"/>
          <w:szCs w:val="20"/>
        </w:rPr>
        <w:t>•</w:t>
      </w:r>
      <w:r>
        <w:rPr>
          <w:rFonts w:eastAsia="Times New Roman"/>
          <w:i/>
          <w:iCs/>
          <w:color w:val="000000"/>
          <w:sz w:val="20"/>
          <w:szCs w:val="20"/>
        </w:rPr>
        <w:t>CCPs</w:t>
      </w:r>
      <w:r>
        <w:rPr>
          <w:rFonts w:eastAsia="Times New Roman"/>
          <w:color w:val="000000"/>
          <w:sz w:val="20"/>
          <w:szCs w:val="20"/>
        </w:rPr>
        <w:t>: We clear eligible OTC derivatives with CCPs as part of our regulatory requirements. We also clear exchange-traded instruments, like futures, with CCPs. Futures commission merchants (“FCMs”) serve as the intermediary between CCPs a</w:t>
      </w:r>
      <w:r>
        <w:rPr>
          <w:rFonts w:eastAsia="Times New Roman"/>
          <w:color w:val="000000"/>
          <w:sz w:val="20"/>
          <w:szCs w:val="20"/>
        </w:rPr>
        <w:t>nd us. CCPs require that we post initial and variation margin through our FCMs to mitigate the risk of non-payment or default. Initial margin is required by CCPs as collateral against potential losses on our exchange-traded and cleared derivative contracts</w:t>
      </w:r>
      <w:r>
        <w:rPr>
          <w:rFonts w:eastAsia="Times New Roman"/>
          <w:color w:val="000000"/>
          <w:sz w:val="20"/>
          <w:szCs w:val="20"/>
        </w:rPr>
        <w:t xml:space="preserve"> and variation margin is exchanged on a daily basis to account for mark-to-market changes in those derivative contracts. For CME, ICE and LCH-cleared OTC derivatives, variation margin cash payments are required to be characterized as settlements. Our FCM a</w:t>
      </w:r>
      <w:r>
        <w:rPr>
          <w:rFonts w:eastAsia="Times New Roman"/>
          <w:color w:val="000000"/>
          <w:sz w:val="20"/>
          <w:szCs w:val="20"/>
        </w:rPr>
        <w:t xml:space="preserve">greements governing these derivative transactions include provisions that may require us to post additional collateral under certain circumstances. </w:t>
      </w:r>
    </w:p>
    <w:p w14:paraId="183A5581" w14:textId="77777777" w:rsidR="00000000" w:rsidRDefault="00A173A8">
      <w:pPr>
        <w:ind w:hanging="360"/>
        <w:jc w:val="both"/>
        <w:divId w:val="106196022"/>
        <w:rPr>
          <w:rFonts w:eastAsia="Times New Roman"/>
        </w:rPr>
      </w:pPr>
      <w:r>
        <w:rPr>
          <w:rFonts w:eastAsia="Times New Roman"/>
          <w:color w:val="000000"/>
          <w:sz w:val="20"/>
          <w:szCs w:val="20"/>
        </w:rPr>
        <w:t>•</w:t>
      </w:r>
      <w:r>
        <w:rPr>
          <w:rFonts w:eastAsia="Times New Roman"/>
          <w:i/>
          <w:iCs/>
          <w:color w:val="000000"/>
          <w:sz w:val="20"/>
          <w:szCs w:val="20"/>
        </w:rPr>
        <w:t>Bilateral Counterparties</w:t>
      </w:r>
      <w:r>
        <w:rPr>
          <w:rFonts w:eastAsia="Times New Roman"/>
          <w:color w:val="000000"/>
          <w:sz w:val="20"/>
          <w:szCs w:val="20"/>
        </w:rPr>
        <w:t>: We enter into master netting agreements and collateral agreements with bilateral</w:t>
      </w:r>
      <w:r>
        <w:rPr>
          <w:rFonts w:eastAsia="Times New Roman"/>
          <w:color w:val="000000"/>
          <w:sz w:val="20"/>
          <w:szCs w:val="20"/>
        </w:rPr>
        <w:t xml:space="preserve"> derivative counterparties, where applicable, to mitigate the risk of default. These bilateral agreements typically provide the right to offset exposure with the same counterparty and require the party in a net liability position to post collateral. Agreem</w:t>
      </w:r>
      <w:r>
        <w:rPr>
          <w:rFonts w:eastAsia="Times New Roman"/>
          <w:color w:val="000000"/>
          <w:sz w:val="20"/>
          <w:szCs w:val="20"/>
        </w:rPr>
        <w:t>ents with certain bilateral counterparties require both parties to maintain collateral in the event the fair values of uncleared derivatives exceed established exposure thresholds. Certain of these bilateral agreements include provisions requiring that our</w:t>
      </w:r>
      <w:r>
        <w:rPr>
          <w:rFonts w:eastAsia="Times New Roman"/>
          <w:color w:val="000000"/>
          <w:sz w:val="20"/>
          <w:szCs w:val="20"/>
        </w:rPr>
        <w:t xml:space="preserve"> debt maintain a credit rating of investment grade or above by each of the major credit rating agencies. In the event of a downgrade of our debt credit rating below investment grade, some of our counterparties would have the right to terminate their deriva</w:t>
      </w:r>
      <w:r>
        <w:rPr>
          <w:rFonts w:eastAsia="Times New Roman"/>
          <w:color w:val="000000"/>
          <w:sz w:val="20"/>
          <w:szCs w:val="20"/>
        </w:rPr>
        <w:t xml:space="preserve">tive contract and close out existing positions.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1238AC64" w14:textId="77777777">
        <w:trPr>
          <w:divId w:val="670835007"/>
          <w:jc w:val="center"/>
        </w:trPr>
        <w:tc>
          <w:tcPr>
            <w:tcW w:w="50" w:type="pct"/>
            <w:vAlign w:val="center"/>
            <w:hideMark/>
          </w:tcPr>
          <w:p w14:paraId="10EEFEEC" w14:textId="77777777" w:rsidR="00000000" w:rsidRDefault="00A173A8">
            <w:pPr>
              <w:ind w:hanging="360"/>
              <w:jc w:val="both"/>
              <w:rPr>
                <w:rFonts w:eastAsia="Times New Roman"/>
              </w:rPr>
            </w:pPr>
          </w:p>
        </w:tc>
        <w:tc>
          <w:tcPr>
            <w:tcW w:w="1606" w:type="pct"/>
            <w:vAlign w:val="center"/>
            <w:hideMark/>
          </w:tcPr>
          <w:p w14:paraId="3BB65B08" w14:textId="77777777" w:rsidR="00000000" w:rsidRDefault="00A173A8">
            <w:pPr>
              <w:spacing w:after="100"/>
              <w:rPr>
                <w:rFonts w:eastAsia="Times New Roman"/>
                <w:sz w:val="20"/>
                <w:szCs w:val="20"/>
              </w:rPr>
            </w:pPr>
          </w:p>
        </w:tc>
        <w:tc>
          <w:tcPr>
            <w:tcW w:w="5" w:type="pct"/>
            <w:vAlign w:val="center"/>
            <w:hideMark/>
          </w:tcPr>
          <w:p w14:paraId="5DCF1DB1" w14:textId="77777777" w:rsidR="00000000" w:rsidRDefault="00A173A8">
            <w:pPr>
              <w:spacing w:after="100"/>
              <w:rPr>
                <w:rFonts w:eastAsia="Times New Roman"/>
                <w:sz w:val="20"/>
                <w:szCs w:val="20"/>
              </w:rPr>
            </w:pPr>
          </w:p>
        </w:tc>
        <w:tc>
          <w:tcPr>
            <w:tcW w:w="50" w:type="pct"/>
            <w:vAlign w:val="center"/>
            <w:hideMark/>
          </w:tcPr>
          <w:p w14:paraId="6DB2FCB2" w14:textId="77777777" w:rsidR="00000000" w:rsidRDefault="00A173A8">
            <w:pPr>
              <w:spacing w:after="100"/>
              <w:rPr>
                <w:rFonts w:eastAsia="Times New Roman"/>
                <w:sz w:val="20"/>
                <w:szCs w:val="20"/>
              </w:rPr>
            </w:pPr>
          </w:p>
        </w:tc>
        <w:tc>
          <w:tcPr>
            <w:tcW w:w="1614" w:type="pct"/>
            <w:vAlign w:val="center"/>
            <w:hideMark/>
          </w:tcPr>
          <w:p w14:paraId="06951A00" w14:textId="77777777" w:rsidR="00000000" w:rsidRDefault="00A173A8">
            <w:pPr>
              <w:spacing w:after="100"/>
              <w:rPr>
                <w:rFonts w:eastAsia="Times New Roman"/>
                <w:sz w:val="20"/>
                <w:szCs w:val="20"/>
              </w:rPr>
            </w:pPr>
          </w:p>
        </w:tc>
        <w:tc>
          <w:tcPr>
            <w:tcW w:w="5" w:type="pct"/>
            <w:vAlign w:val="center"/>
            <w:hideMark/>
          </w:tcPr>
          <w:p w14:paraId="211323AE" w14:textId="77777777" w:rsidR="00000000" w:rsidRDefault="00A173A8">
            <w:pPr>
              <w:spacing w:after="100"/>
              <w:rPr>
                <w:rFonts w:eastAsia="Times New Roman"/>
                <w:sz w:val="20"/>
                <w:szCs w:val="20"/>
              </w:rPr>
            </w:pPr>
          </w:p>
        </w:tc>
        <w:tc>
          <w:tcPr>
            <w:tcW w:w="50" w:type="pct"/>
            <w:vAlign w:val="center"/>
            <w:hideMark/>
          </w:tcPr>
          <w:p w14:paraId="764C8E18" w14:textId="77777777" w:rsidR="00000000" w:rsidRDefault="00A173A8">
            <w:pPr>
              <w:spacing w:after="100"/>
              <w:rPr>
                <w:rFonts w:eastAsia="Times New Roman"/>
                <w:sz w:val="20"/>
                <w:szCs w:val="20"/>
              </w:rPr>
            </w:pPr>
          </w:p>
        </w:tc>
        <w:tc>
          <w:tcPr>
            <w:tcW w:w="1614" w:type="pct"/>
            <w:vAlign w:val="center"/>
            <w:hideMark/>
          </w:tcPr>
          <w:p w14:paraId="71F41E49" w14:textId="77777777" w:rsidR="00000000" w:rsidRDefault="00A173A8">
            <w:pPr>
              <w:spacing w:after="100"/>
              <w:rPr>
                <w:rFonts w:eastAsia="Times New Roman"/>
                <w:sz w:val="20"/>
                <w:szCs w:val="20"/>
              </w:rPr>
            </w:pPr>
          </w:p>
        </w:tc>
        <w:tc>
          <w:tcPr>
            <w:tcW w:w="5" w:type="pct"/>
            <w:vAlign w:val="center"/>
            <w:hideMark/>
          </w:tcPr>
          <w:p w14:paraId="3D3AC231" w14:textId="77777777" w:rsidR="00000000" w:rsidRDefault="00A173A8">
            <w:pPr>
              <w:spacing w:after="100"/>
              <w:rPr>
                <w:rFonts w:eastAsia="Times New Roman"/>
                <w:sz w:val="20"/>
                <w:szCs w:val="20"/>
              </w:rPr>
            </w:pPr>
          </w:p>
        </w:tc>
      </w:tr>
      <w:tr w:rsidR="00000000" w14:paraId="0D27878D" w14:textId="77777777">
        <w:trPr>
          <w:divId w:val="670835007"/>
          <w:trHeight w:val="300"/>
          <w:jc w:val="center"/>
        </w:trPr>
        <w:tc>
          <w:tcPr>
            <w:tcW w:w="0" w:type="auto"/>
            <w:gridSpan w:val="9"/>
            <w:tcMar>
              <w:top w:w="0" w:type="dxa"/>
              <w:left w:w="20" w:type="dxa"/>
              <w:bottom w:w="0" w:type="dxa"/>
              <w:right w:w="20" w:type="dxa"/>
            </w:tcMar>
            <w:vAlign w:val="center"/>
            <w:hideMark/>
          </w:tcPr>
          <w:p w14:paraId="233A42F5" w14:textId="77777777" w:rsidR="00000000" w:rsidRDefault="00A173A8">
            <w:pPr>
              <w:spacing w:after="100"/>
              <w:rPr>
                <w:rFonts w:eastAsia="Times New Roman"/>
                <w:sz w:val="20"/>
                <w:szCs w:val="20"/>
              </w:rPr>
            </w:pPr>
          </w:p>
        </w:tc>
      </w:tr>
      <w:tr w:rsidR="00000000" w14:paraId="29D48CCF" w14:textId="77777777">
        <w:trPr>
          <w:divId w:val="670835007"/>
          <w:jc w:val="center"/>
        </w:trPr>
        <w:tc>
          <w:tcPr>
            <w:tcW w:w="0" w:type="auto"/>
            <w:gridSpan w:val="3"/>
            <w:tcMar>
              <w:top w:w="0" w:type="dxa"/>
              <w:left w:w="20" w:type="dxa"/>
              <w:bottom w:w="0" w:type="dxa"/>
              <w:right w:w="20" w:type="dxa"/>
            </w:tcMar>
            <w:vAlign w:val="center"/>
            <w:hideMark/>
          </w:tcPr>
          <w:p w14:paraId="4087D7D5"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6FD548" w14:textId="77777777" w:rsidR="00000000" w:rsidRDefault="00A173A8">
            <w:pPr>
              <w:spacing w:after="100"/>
              <w:jc w:val="center"/>
              <w:rPr>
                <w:rFonts w:eastAsia="Times New Roman"/>
              </w:rPr>
            </w:pPr>
            <w:r>
              <w:rPr>
                <w:rFonts w:eastAsia="Times New Roman"/>
                <w:color w:val="000000"/>
                <w:sz w:val="16"/>
                <w:szCs w:val="16"/>
              </w:rPr>
              <w:t>94</w:t>
            </w:r>
          </w:p>
        </w:tc>
        <w:tc>
          <w:tcPr>
            <w:tcW w:w="0" w:type="auto"/>
            <w:gridSpan w:val="3"/>
            <w:tcMar>
              <w:top w:w="30" w:type="dxa"/>
              <w:left w:w="20" w:type="dxa"/>
              <w:bottom w:w="30" w:type="dxa"/>
              <w:right w:w="20" w:type="dxa"/>
            </w:tcMar>
            <w:vAlign w:val="bottom"/>
            <w:hideMark/>
          </w:tcPr>
          <w:p w14:paraId="7B55E8E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A2A9F2A" w14:textId="77777777" w:rsidR="00000000" w:rsidRDefault="00A173A8">
      <w:pPr>
        <w:rPr>
          <w:rFonts w:eastAsia="Times New Roman"/>
        </w:rPr>
      </w:pPr>
      <w:r>
        <w:rPr>
          <w:rFonts w:eastAsia="Times New Roman"/>
        </w:rPr>
        <w:pict w14:anchorId="6167B97C">
          <v:rect id="_x0000_i1119" style="width:0;height:1.5pt" o:hralign="center" o:hrstd="t" o:hr="t" fillcolor="#a0a0a0" stroked="f"/>
        </w:pict>
      </w:r>
    </w:p>
    <w:p w14:paraId="3028F06A" w14:textId="77777777" w:rsidR="00000000" w:rsidRDefault="00A173A8">
      <w:pPr>
        <w:jc w:val="both"/>
        <w:divId w:val="1277978324"/>
        <w:rPr>
          <w:rFonts w:eastAsia="Times New Roman"/>
        </w:rPr>
      </w:pPr>
      <w:hyperlink w:anchor="i7ffd5d61af6f4722b1b1b07530d51c06_13" w:history="1">
        <w:r>
          <w:rPr>
            <w:rStyle w:val="a3"/>
            <w:rFonts w:eastAsia="Times New Roman"/>
            <w:sz w:val="16"/>
            <w:szCs w:val="16"/>
          </w:rPr>
          <w:t>Table of Contents</w:t>
        </w:r>
      </w:hyperlink>
    </w:p>
    <w:p w14:paraId="2D9BEA66" w14:textId="77777777" w:rsidR="00000000" w:rsidRDefault="00A173A8">
      <w:pPr>
        <w:divId w:val="19358239"/>
        <w:rPr>
          <w:rFonts w:eastAsia="Times New Roman"/>
        </w:rPr>
      </w:pPr>
      <w:r>
        <w:rPr>
          <w:rFonts w:eastAsia="Times New Roman"/>
          <w:b/>
          <w:bCs/>
          <w:color w:val="000000"/>
          <w:sz w:val="20"/>
          <w:szCs w:val="20"/>
        </w:rPr>
        <w:t>Credit Risk Valuation Adjustments</w:t>
      </w:r>
    </w:p>
    <w:p w14:paraId="517C275E" w14:textId="77777777" w:rsidR="00000000" w:rsidRDefault="00A173A8">
      <w:pPr>
        <w:jc w:val="both"/>
        <w:divId w:val="1495411726"/>
        <w:rPr>
          <w:rFonts w:eastAsia="Times New Roman"/>
        </w:rPr>
      </w:pPr>
      <w:r>
        <w:rPr>
          <w:rFonts w:eastAsia="Times New Roman"/>
          <w:color w:val="000000"/>
          <w:sz w:val="20"/>
          <w:szCs w:val="20"/>
        </w:rPr>
        <w:t>We record counterparty credit valuation adjustments (“CVAs”) on our derivative assets to reflect the credit q</w:t>
      </w:r>
      <w:r>
        <w:rPr>
          <w:rFonts w:eastAsia="Times New Roman"/>
          <w:color w:val="000000"/>
          <w:sz w:val="20"/>
          <w:szCs w:val="20"/>
        </w:rPr>
        <w:t>uality of our counterparties. We consider collateral and legally enforceable master netting agreements that mitigate our credit exposure to each counterparty in determining CVAs, which may be adjusted due to changes in the fair values of the derivative con</w:t>
      </w:r>
      <w:r>
        <w:rPr>
          <w:rFonts w:eastAsia="Times New Roman"/>
          <w:color w:val="000000"/>
          <w:sz w:val="20"/>
          <w:szCs w:val="20"/>
        </w:rPr>
        <w:t xml:space="preserve">tracts, collateral, and creditworthiness of the counterparty. We also record debit valuation adjustments (“DVAs”) to adjust the fair values of our derivative liabilities to reflect the impact of our own credit quality. </w:t>
      </w:r>
    </w:p>
    <w:p w14:paraId="22FF1299" w14:textId="77777777" w:rsidR="00000000" w:rsidRDefault="00A173A8">
      <w:pPr>
        <w:divId w:val="440298802"/>
        <w:rPr>
          <w:rFonts w:eastAsia="Times New Roman"/>
        </w:rPr>
      </w:pPr>
      <w:r>
        <w:rPr>
          <w:rFonts w:eastAsia="Times New Roman"/>
          <w:b/>
          <w:bCs/>
          <w:color w:val="000000"/>
          <w:sz w:val="20"/>
          <w:szCs w:val="20"/>
        </w:rPr>
        <w:t>Balance Sheet Presentation</w:t>
      </w:r>
    </w:p>
    <w:p w14:paraId="2E793C11" w14:textId="77777777" w:rsidR="00000000" w:rsidRDefault="00A173A8">
      <w:pPr>
        <w:jc w:val="both"/>
        <w:divId w:val="902835135"/>
        <w:rPr>
          <w:rFonts w:eastAsia="Times New Roman"/>
        </w:rPr>
      </w:pPr>
      <w:r>
        <w:rPr>
          <w:rFonts w:eastAsia="Times New Roman"/>
          <w:color w:val="000000"/>
          <w:sz w:val="20"/>
          <w:szCs w:val="20"/>
        </w:rPr>
        <w:t>The follo</w:t>
      </w:r>
      <w:r>
        <w:rPr>
          <w:rFonts w:eastAsia="Times New Roman"/>
          <w:color w:val="000000"/>
          <w:sz w:val="20"/>
          <w:szCs w:val="20"/>
        </w:rPr>
        <w:t>wing table summarizes the notional amounts and fair values of our derivative instruments as of June 30, 2022 and December 31, 2021, which are segregated by derivatives that are designated as accounting hedges and those that are not, and are further segrega</w:t>
      </w:r>
      <w:r>
        <w:rPr>
          <w:rFonts w:eastAsia="Times New Roman"/>
          <w:color w:val="000000"/>
          <w:sz w:val="20"/>
          <w:szCs w:val="20"/>
        </w:rPr>
        <w:t>ted by type of contract within those two categories. The total derivative assets and liabilities are adjusted on an aggregate basis to take into consideration the effects of legally enforceable master netting agreements and any associated cash collateral r</w:t>
      </w:r>
      <w:r>
        <w:rPr>
          <w:rFonts w:eastAsia="Times New Roman"/>
          <w:color w:val="000000"/>
          <w:sz w:val="20"/>
          <w:szCs w:val="20"/>
        </w:rPr>
        <w:t>eceived or pledged. Derivative assets and liabilities are included in other assets and other liabilities, respectively, on our consolidated balance sheets, and their related gains or losses are included in operating activities as changes in other assets an</w:t>
      </w:r>
      <w:r>
        <w:rPr>
          <w:rFonts w:eastAsia="Times New Roman"/>
          <w:color w:val="000000"/>
          <w:sz w:val="20"/>
          <w:szCs w:val="20"/>
        </w:rPr>
        <w:t xml:space="preserve">d other liabilities in the consolidated statements of cash flows. </w:t>
      </w:r>
    </w:p>
    <w:p w14:paraId="7C0232C3" w14:textId="77777777" w:rsidR="00000000" w:rsidRDefault="00A173A8">
      <w:pPr>
        <w:divId w:val="1079519523"/>
        <w:rPr>
          <w:rFonts w:eastAsia="Times New Roman"/>
        </w:rPr>
      </w:pPr>
      <w:r>
        <w:rPr>
          <w:rFonts w:eastAsia="Times New Roman"/>
          <w:b/>
          <w:bCs/>
          <w:color w:val="000000"/>
          <w:sz w:val="18"/>
          <w:szCs w:val="18"/>
        </w:rPr>
        <w:t>Table 8.1: Derivative Assets and Liabilities at Fair Value</w:t>
      </w:r>
    </w:p>
    <w:tbl>
      <w:tblPr>
        <w:tblW w:w="4985" w:type="pct"/>
        <w:tblCellMar>
          <w:top w:w="15" w:type="dxa"/>
          <w:left w:w="15" w:type="dxa"/>
          <w:bottom w:w="15" w:type="dxa"/>
          <w:right w:w="15" w:type="dxa"/>
        </w:tblCellMar>
        <w:tblLook w:val="04A0" w:firstRow="1" w:lastRow="0" w:firstColumn="1" w:lastColumn="0" w:noHBand="0" w:noVBand="1"/>
      </w:tblPr>
      <w:tblGrid>
        <w:gridCol w:w="40"/>
        <w:gridCol w:w="2964"/>
        <w:gridCol w:w="39"/>
        <w:gridCol w:w="36"/>
        <w:gridCol w:w="36"/>
        <w:gridCol w:w="36"/>
        <w:gridCol w:w="111"/>
        <w:gridCol w:w="765"/>
        <w:gridCol w:w="36"/>
        <w:gridCol w:w="36"/>
        <w:gridCol w:w="36"/>
        <w:gridCol w:w="36"/>
        <w:gridCol w:w="110"/>
        <w:gridCol w:w="450"/>
        <w:gridCol w:w="36"/>
        <w:gridCol w:w="36"/>
        <w:gridCol w:w="36"/>
        <w:gridCol w:w="36"/>
        <w:gridCol w:w="111"/>
        <w:gridCol w:w="640"/>
        <w:gridCol w:w="36"/>
        <w:gridCol w:w="36"/>
        <w:gridCol w:w="36"/>
        <w:gridCol w:w="36"/>
        <w:gridCol w:w="111"/>
        <w:gridCol w:w="765"/>
        <w:gridCol w:w="36"/>
        <w:gridCol w:w="36"/>
        <w:gridCol w:w="36"/>
        <w:gridCol w:w="36"/>
        <w:gridCol w:w="110"/>
        <w:gridCol w:w="450"/>
        <w:gridCol w:w="36"/>
        <w:gridCol w:w="36"/>
        <w:gridCol w:w="36"/>
        <w:gridCol w:w="36"/>
        <w:gridCol w:w="111"/>
        <w:gridCol w:w="640"/>
        <w:gridCol w:w="36"/>
      </w:tblGrid>
      <w:tr w:rsidR="00000000" w14:paraId="2C2D4A27" w14:textId="77777777">
        <w:trPr>
          <w:divId w:val="934826573"/>
        </w:trPr>
        <w:tc>
          <w:tcPr>
            <w:tcW w:w="50" w:type="pct"/>
            <w:vAlign w:val="center"/>
            <w:hideMark/>
          </w:tcPr>
          <w:p w14:paraId="7B6253D4" w14:textId="77777777" w:rsidR="00000000" w:rsidRDefault="00A173A8">
            <w:pPr>
              <w:rPr>
                <w:rFonts w:eastAsia="Times New Roman"/>
              </w:rPr>
            </w:pPr>
          </w:p>
        </w:tc>
        <w:tc>
          <w:tcPr>
            <w:tcW w:w="1909" w:type="pct"/>
            <w:vAlign w:val="center"/>
            <w:hideMark/>
          </w:tcPr>
          <w:p w14:paraId="0636E8ED" w14:textId="77777777" w:rsidR="00000000" w:rsidRDefault="00A173A8">
            <w:pPr>
              <w:spacing w:after="100"/>
              <w:rPr>
                <w:rFonts w:eastAsia="Times New Roman"/>
                <w:sz w:val="20"/>
                <w:szCs w:val="20"/>
              </w:rPr>
            </w:pPr>
          </w:p>
        </w:tc>
        <w:tc>
          <w:tcPr>
            <w:tcW w:w="5" w:type="pct"/>
            <w:vAlign w:val="center"/>
            <w:hideMark/>
          </w:tcPr>
          <w:p w14:paraId="039277C9" w14:textId="77777777" w:rsidR="00000000" w:rsidRDefault="00A173A8">
            <w:pPr>
              <w:spacing w:after="100"/>
              <w:rPr>
                <w:rFonts w:eastAsia="Times New Roman"/>
                <w:sz w:val="20"/>
                <w:szCs w:val="20"/>
              </w:rPr>
            </w:pPr>
          </w:p>
        </w:tc>
        <w:tc>
          <w:tcPr>
            <w:tcW w:w="5" w:type="pct"/>
            <w:vAlign w:val="center"/>
            <w:hideMark/>
          </w:tcPr>
          <w:p w14:paraId="250A0987" w14:textId="77777777" w:rsidR="00000000" w:rsidRDefault="00A173A8">
            <w:pPr>
              <w:spacing w:after="100"/>
              <w:rPr>
                <w:rFonts w:eastAsia="Times New Roman"/>
                <w:sz w:val="20"/>
                <w:szCs w:val="20"/>
              </w:rPr>
            </w:pPr>
          </w:p>
        </w:tc>
        <w:tc>
          <w:tcPr>
            <w:tcW w:w="26" w:type="pct"/>
            <w:vAlign w:val="center"/>
            <w:hideMark/>
          </w:tcPr>
          <w:p w14:paraId="0D1C39AB" w14:textId="77777777" w:rsidR="00000000" w:rsidRDefault="00A173A8">
            <w:pPr>
              <w:spacing w:after="100"/>
              <w:rPr>
                <w:rFonts w:eastAsia="Times New Roman"/>
                <w:sz w:val="20"/>
                <w:szCs w:val="20"/>
              </w:rPr>
            </w:pPr>
          </w:p>
        </w:tc>
        <w:tc>
          <w:tcPr>
            <w:tcW w:w="5" w:type="pct"/>
            <w:vAlign w:val="center"/>
            <w:hideMark/>
          </w:tcPr>
          <w:p w14:paraId="0EDCFC63" w14:textId="77777777" w:rsidR="00000000" w:rsidRDefault="00A173A8">
            <w:pPr>
              <w:spacing w:after="100"/>
              <w:rPr>
                <w:rFonts w:eastAsia="Times New Roman"/>
                <w:sz w:val="20"/>
                <w:szCs w:val="20"/>
              </w:rPr>
            </w:pPr>
          </w:p>
        </w:tc>
        <w:tc>
          <w:tcPr>
            <w:tcW w:w="50" w:type="pct"/>
            <w:vAlign w:val="center"/>
            <w:hideMark/>
          </w:tcPr>
          <w:p w14:paraId="4ECB1C55" w14:textId="77777777" w:rsidR="00000000" w:rsidRDefault="00A173A8">
            <w:pPr>
              <w:spacing w:after="100"/>
              <w:rPr>
                <w:rFonts w:eastAsia="Times New Roman"/>
                <w:sz w:val="20"/>
                <w:szCs w:val="20"/>
              </w:rPr>
            </w:pPr>
          </w:p>
        </w:tc>
        <w:tc>
          <w:tcPr>
            <w:tcW w:w="414" w:type="pct"/>
            <w:vAlign w:val="center"/>
            <w:hideMark/>
          </w:tcPr>
          <w:p w14:paraId="610AD5D3" w14:textId="77777777" w:rsidR="00000000" w:rsidRDefault="00A173A8">
            <w:pPr>
              <w:spacing w:after="100"/>
              <w:rPr>
                <w:rFonts w:eastAsia="Times New Roman"/>
                <w:sz w:val="20"/>
                <w:szCs w:val="20"/>
              </w:rPr>
            </w:pPr>
          </w:p>
        </w:tc>
        <w:tc>
          <w:tcPr>
            <w:tcW w:w="5" w:type="pct"/>
            <w:vAlign w:val="center"/>
            <w:hideMark/>
          </w:tcPr>
          <w:p w14:paraId="77B9DD89" w14:textId="77777777" w:rsidR="00000000" w:rsidRDefault="00A173A8">
            <w:pPr>
              <w:spacing w:after="100"/>
              <w:rPr>
                <w:rFonts w:eastAsia="Times New Roman"/>
                <w:sz w:val="20"/>
                <w:szCs w:val="20"/>
              </w:rPr>
            </w:pPr>
          </w:p>
        </w:tc>
        <w:tc>
          <w:tcPr>
            <w:tcW w:w="5" w:type="pct"/>
            <w:vAlign w:val="center"/>
            <w:hideMark/>
          </w:tcPr>
          <w:p w14:paraId="3074C177" w14:textId="77777777" w:rsidR="00000000" w:rsidRDefault="00A173A8">
            <w:pPr>
              <w:spacing w:after="100"/>
              <w:rPr>
                <w:rFonts w:eastAsia="Times New Roman"/>
                <w:sz w:val="20"/>
                <w:szCs w:val="20"/>
              </w:rPr>
            </w:pPr>
          </w:p>
        </w:tc>
        <w:tc>
          <w:tcPr>
            <w:tcW w:w="26" w:type="pct"/>
            <w:vAlign w:val="center"/>
            <w:hideMark/>
          </w:tcPr>
          <w:p w14:paraId="0A2EACE7" w14:textId="77777777" w:rsidR="00000000" w:rsidRDefault="00A173A8">
            <w:pPr>
              <w:spacing w:after="100"/>
              <w:rPr>
                <w:rFonts w:eastAsia="Times New Roman"/>
                <w:sz w:val="20"/>
                <w:szCs w:val="20"/>
              </w:rPr>
            </w:pPr>
          </w:p>
        </w:tc>
        <w:tc>
          <w:tcPr>
            <w:tcW w:w="5" w:type="pct"/>
            <w:vAlign w:val="center"/>
            <w:hideMark/>
          </w:tcPr>
          <w:p w14:paraId="3BABD603" w14:textId="77777777" w:rsidR="00000000" w:rsidRDefault="00A173A8">
            <w:pPr>
              <w:spacing w:after="100"/>
              <w:rPr>
                <w:rFonts w:eastAsia="Times New Roman"/>
                <w:sz w:val="20"/>
                <w:szCs w:val="20"/>
              </w:rPr>
            </w:pPr>
          </w:p>
        </w:tc>
        <w:tc>
          <w:tcPr>
            <w:tcW w:w="50" w:type="pct"/>
            <w:vAlign w:val="center"/>
            <w:hideMark/>
          </w:tcPr>
          <w:p w14:paraId="4A3DFE7E" w14:textId="77777777" w:rsidR="00000000" w:rsidRDefault="00A173A8">
            <w:pPr>
              <w:spacing w:after="100"/>
              <w:rPr>
                <w:rFonts w:eastAsia="Times New Roman"/>
                <w:sz w:val="20"/>
                <w:szCs w:val="20"/>
              </w:rPr>
            </w:pPr>
          </w:p>
        </w:tc>
        <w:tc>
          <w:tcPr>
            <w:tcW w:w="414" w:type="pct"/>
            <w:vAlign w:val="center"/>
            <w:hideMark/>
          </w:tcPr>
          <w:p w14:paraId="4758F39A" w14:textId="77777777" w:rsidR="00000000" w:rsidRDefault="00A173A8">
            <w:pPr>
              <w:spacing w:after="100"/>
              <w:rPr>
                <w:rFonts w:eastAsia="Times New Roman"/>
                <w:sz w:val="20"/>
                <w:szCs w:val="20"/>
              </w:rPr>
            </w:pPr>
          </w:p>
        </w:tc>
        <w:tc>
          <w:tcPr>
            <w:tcW w:w="5" w:type="pct"/>
            <w:vAlign w:val="center"/>
            <w:hideMark/>
          </w:tcPr>
          <w:p w14:paraId="3A862DE4" w14:textId="77777777" w:rsidR="00000000" w:rsidRDefault="00A173A8">
            <w:pPr>
              <w:spacing w:after="100"/>
              <w:rPr>
                <w:rFonts w:eastAsia="Times New Roman"/>
                <w:sz w:val="20"/>
                <w:szCs w:val="20"/>
              </w:rPr>
            </w:pPr>
          </w:p>
        </w:tc>
        <w:tc>
          <w:tcPr>
            <w:tcW w:w="5" w:type="pct"/>
            <w:vAlign w:val="center"/>
            <w:hideMark/>
          </w:tcPr>
          <w:p w14:paraId="489B6097" w14:textId="77777777" w:rsidR="00000000" w:rsidRDefault="00A173A8">
            <w:pPr>
              <w:spacing w:after="100"/>
              <w:rPr>
                <w:rFonts w:eastAsia="Times New Roman"/>
                <w:sz w:val="20"/>
                <w:szCs w:val="20"/>
              </w:rPr>
            </w:pPr>
          </w:p>
        </w:tc>
        <w:tc>
          <w:tcPr>
            <w:tcW w:w="26" w:type="pct"/>
            <w:vAlign w:val="center"/>
            <w:hideMark/>
          </w:tcPr>
          <w:p w14:paraId="0BD555C1" w14:textId="77777777" w:rsidR="00000000" w:rsidRDefault="00A173A8">
            <w:pPr>
              <w:spacing w:after="100"/>
              <w:rPr>
                <w:rFonts w:eastAsia="Times New Roman"/>
                <w:sz w:val="20"/>
                <w:szCs w:val="20"/>
              </w:rPr>
            </w:pPr>
          </w:p>
        </w:tc>
        <w:tc>
          <w:tcPr>
            <w:tcW w:w="5" w:type="pct"/>
            <w:vAlign w:val="center"/>
            <w:hideMark/>
          </w:tcPr>
          <w:p w14:paraId="124778E0" w14:textId="77777777" w:rsidR="00000000" w:rsidRDefault="00A173A8">
            <w:pPr>
              <w:spacing w:after="100"/>
              <w:rPr>
                <w:rFonts w:eastAsia="Times New Roman"/>
                <w:sz w:val="20"/>
                <w:szCs w:val="20"/>
              </w:rPr>
            </w:pPr>
          </w:p>
        </w:tc>
        <w:tc>
          <w:tcPr>
            <w:tcW w:w="50" w:type="pct"/>
            <w:vAlign w:val="center"/>
            <w:hideMark/>
          </w:tcPr>
          <w:p w14:paraId="5AF4DFD9" w14:textId="77777777" w:rsidR="00000000" w:rsidRDefault="00A173A8">
            <w:pPr>
              <w:spacing w:after="100"/>
              <w:rPr>
                <w:rFonts w:eastAsia="Times New Roman"/>
                <w:sz w:val="20"/>
                <w:szCs w:val="20"/>
              </w:rPr>
            </w:pPr>
          </w:p>
        </w:tc>
        <w:tc>
          <w:tcPr>
            <w:tcW w:w="414" w:type="pct"/>
            <w:vAlign w:val="center"/>
            <w:hideMark/>
          </w:tcPr>
          <w:p w14:paraId="7F3C63B1" w14:textId="77777777" w:rsidR="00000000" w:rsidRDefault="00A173A8">
            <w:pPr>
              <w:spacing w:after="100"/>
              <w:rPr>
                <w:rFonts w:eastAsia="Times New Roman"/>
                <w:sz w:val="20"/>
                <w:szCs w:val="20"/>
              </w:rPr>
            </w:pPr>
          </w:p>
        </w:tc>
        <w:tc>
          <w:tcPr>
            <w:tcW w:w="5" w:type="pct"/>
            <w:vAlign w:val="center"/>
            <w:hideMark/>
          </w:tcPr>
          <w:p w14:paraId="4AC971AA" w14:textId="77777777" w:rsidR="00000000" w:rsidRDefault="00A173A8">
            <w:pPr>
              <w:spacing w:after="100"/>
              <w:rPr>
                <w:rFonts w:eastAsia="Times New Roman"/>
                <w:sz w:val="20"/>
                <w:szCs w:val="20"/>
              </w:rPr>
            </w:pPr>
          </w:p>
        </w:tc>
        <w:tc>
          <w:tcPr>
            <w:tcW w:w="5" w:type="pct"/>
            <w:vAlign w:val="center"/>
            <w:hideMark/>
          </w:tcPr>
          <w:p w14:paraId="2D1A640C" w14:textId="77777777" w:rsidR="00000000" w:rsidRDefault="00A173A8">
            <w:pPr>
              <w:spacing w:after="100"/>
              <w:rPr>
                <w:rFonts w:eastAsia="Times New Roman"/>
                <w:sz w:val="20"/>
                <w:szCs w:val="20"/>
              </w:rPr>
            </w:pPr>
          </w:p>
        </w:tc>
        <w:tc>
          <w:tcPr>
            <w:tcW w:w="26" w:type="pct"/>
            <w:vAlign w:val="center"/>
            <w:hideMark/>
          </w:tcPr>
          <w:p w14:paraId="687CD94E" w14:textId="77777777" w:rsidR="00000000" w:rsidRDefault="00A173A8">
            <w:pPr>
              <w:spacing w:after="100"/>
              <w:rPr>
                <w:rFonts w:eastAsia="Times New Roman"/>
                <w:sz w:val="20"/>
                <w:szCs w:val="20"/>
              </w:rPr>
            </w:pPr>
          </w:p>
        </w:tc>
        <w:tc>
          <w:tcPr>
            <w:tcW w:w="5" w:type="pct"/>
            <w:vAlign w:val="center"/>
            <w:hideMark/>
          </w:tcPr>
          <w:p w14:paraId="18A960FA" w14:textId="77777777" w:rsidR="00000000" w:rsidRDefault="00A173A8">
            <w:pPr>
              <w:spacing w:after="100"/>
              <w:rPr>
                <w:rFonts w:eastAsia="Times New Roman"/>
                <w:sz w:val="20"/>
                <w:szCs w:val="20"/>
              </w:rPr>
            </w:pPr>
          </w:p>
        </w:tc>
        <w:tc>
          <w:tcPr>
            <w:tcW w:w="50" w:type="pct"/>
            <w:vAlign w:val="center"/>
            <w:hideMark/>
          </w:tcPr>
          <w:p w14:paraId="34FA0FEB" w14:textId="77777777" w:rsidR="00000000" w:rsidRDefault="00A173A8">
            <w:pPr>
              <w:spacing w:after="100"/>
              <w:rPr>
                <w:rFonts w:eastAsia="Times New Roman"/>
                <w:sz w:val="20"/>
                <w:szCs w:val="20"/>
              </w:rPr>
            </w:pPr>
          </w:p>
        </w:tc>
        <w:tc>
          <w:tcPr>
            <w:tcW w:w="414" w:type="pct"/>
            <w:vAlign w:val="center"/>
            <w:hideMark/>
          </w:tcPr>
          <w:p w14:paraId="78416D94" w14:textId="77777777" w:rsidR="00000000" w:rsidRDefault="00A173A8">
            <w:pPr>
              <w:spacing w:after="100"/>
              <w:rPr>
                <w:rFonts w:eastAsia="Times New Roman"/>
                <w:sz w:val="20"/>
                <w:szCs w:val="20"/>
              </w:rPr>
            </w:pPr>
          </w:p>
        </w:tc>
        <w:tc>
          <w:tcPr>
            <w:tcW w:w="5" w:type="pct"/>
            <w:vAlign w:val="center"/>
            <w:hideMark/>
          </w:tcPr>
          <w:p w14:paraId="0115C459" w14:textId="77777777" w:rsidR="00000000" w:rsidRDefault="00A173A8">
            <w:pPr>
              <w:spacing w:after="100"/>
              <w:rPr>
                <w:rFonts w:eastAsia="Times New Roman"/>
                <w:sz w:val="20"/>
                <w:szCs w:val="20"/>
              </w:rPr>
            </w:pPr>
          </w:p>
        </w:tc>
        <w:tc>
          <w:tcPr>
            <w:tcW w:w="5" w:type="pct"/>
            <w:vAlign w:val="center"/>
            <w:hideMark/>
          </w:tcPr>
          <w:p w14:paraId="3B1A4E4B" w14:textId="77777777" w:rsidR="00000000" w:rsidRDefault="00A173A8">
            <w:pPr>
              <w:spacing w:after="100"/>
              <w:rPr>
                <w:rFonts w:eastAsia="Times New Roman"/>
                <w:sz w:val="20"/>
                <w:szCs w:val="20"/>
              </w:rPr>
            </w:pPr>
          </w:p>
        </w:tc>
        <w:tc>
          <w:tcPr>
            <w:tcW w:w="26" w:type="pct"/>
            <w:vAlign w:val="center"/>
            <w:hideMark/>
          </w:tcPr>
          <w:p w14:paraId="7B3A636B" w14:textId="77777777" w:rsidR="00000000" w:rsidRDefault="00A173A8">
            <w:pPr>
              <w:spacing w:after="100"/>
              <w:rPr>
                <w:rFonts w:eastAsia="Times New Roman"/>
                <w:sz w:val="20"/>
                <w:szCs w:val="20"/>
              </w:rPr>
            </w:pPr>
          </w:p>
        </w:tc>
        <w:tc>
          <w:tcPr>
            <w:tcW w:w="5" w:type="pct"/>
            <w:vAlign w:val="center"/>
            <w:hideMark/>
          </w:tcPr>
          <w:p w14:paraId="0A04F2D1" w14:textId="77777777" w:rsidR="00000000" w:rsidRDefault="00A173A8">
            <w:pPr>
              <w:spacing w:after="100"/>
              <w:rPr>
                <w:rFonts w:eastAsia="Times New Roman"/>
                <w:sz w:val="20"/>
                <w:szCs w:val="20"/>
              </w:rPr>
            </w:pPr>
          </w:p>
        </w:tc>
        <w:tc>
          <w:tcPr>
            <w:tcW w:w="50" w:type="pct"/>
            <w:vAlign w:val="center"/>
            <w:hideMark/>
          </w:tcPr>
          <w:p w14:paraId="7AE3E19D" w14:textId="77777777" w:rsidR="00000000" w:rsidRDefault="00A173A8">
            <w:pPr>
              <w:spacing w:after="100"/>
              <w:rPr>
                <w:rFonts w:eastAsia="Times New Roman"/>
                <w:sz w:val="20"/>
                <w:szCs w:val="20"/>
              </w:rPr>
            </w:pPr>
          </w:p>
        </w:tc>
        <w:tc>
          <w:tcPr>
            <w:tcW w:w="414" w:type="pct"/>
            <w:vAlign w:val="center"/>
            <w:hideMark/>
          </w:tcPr>
          <w:p w14:paraId="13532BE4" w14:textId="77777777" w:rsidR="00000000" w:rsidRDefault="00A173A8">
            <w:pPr>
              <w:spacing w:after="100"/>
              <w:rPr>
                <w:rFonts w:eastAsia="Times New Roman"/>
                <w:sz w:val="20"/>
                <w:szCs w:val="20"/>
              </w:rPr>
            </w:pPr>
          </w:p>
        </w:tc>
        <w:tc>
          <w:tcPr>
            <w:tcW w:w="5" w:type="pct"/>
            <w:vAlign w:val="center"/>
            <w:hideMark/>
          </w:tcPr>
          <w:p w14:paraId="78C77402" w14:textId="77777777" w:rsidR="00000000" w:rsidRDefault="00A173A8">
            <w:pPr>
              <w:spacing w:after="100"/>
              <w:rPr>
                <w:rFonts w:eastAsia="Times New Roman"/>
                <w:sz w:val="20"/>
                <w:szCs w:val="20"/>
              </w:rPr>
            </w:pPr>
          </w:p>
        </w:tc>
        <w:tc>
          <w:tcPr>
            <w:tcW w:w="5" w:type="pct"/>
            <w:vAlign w:val="center"/>
            <w:hideMark/>
          </w:tcPr>
          <w:p w14:paraId="16BA7B0C" w14:textId="77777777" w:rsidR="00000000" w:rsidRDefault="00A173A8">
            <w:pPr>
              <w:spacing w:after="100"/>
              <w:rPr>
                <w:rFonts w:eastAsia="Times New Roman"/>
                <w:sz w:val="20"/>
                <w:szCs w:val="20"/>
              </w:rPr>
            </w:pPr>
          </w:p>
        </w:tc>
        <w:tc>
          <w:tcPr>
            <w:tcW w:w="26" w:type="pct"/>
            <w:vAlign w:val="center"/>
            <w:hideMark/>
          </w:tcPr>
          <w:p w14:paraId="0B0F3AD4" w14:textId="77777777" w:rsidR="00000000" w:rsidRDefault="00A173A8">
            <w:pPr>
              <w:spacing w:after="100"/>
              <w:rPr>
                <w:rFonts w:eastAsia="Times New Roman"/>
                <w:sz w:val="20"/>
                <w:szCs w:val="20"/>
              </w:rPr>
            </w:pPr>
          </w:p>
        </w:tc>
        <w:tc>
          <w:tcPr>
            <w:tcW w:w="5" w:type="pct"/>
            <w:vAlign w:val="center"/>
            <w:hideMark/>
          </w:tcPr>
          <w:p w14:paraId="625084B8" w14:textId="77777777" w:rsidR="00000000" w:rsidRDefault="00A173A8">
            <w:pPr>
              <w:spacing w:after="100"/>
              <w:rPr>
                <w:rFonts w:eastAsia="Times New Roman"/>
                <w:sz w:val="20"/>
                <w:szCs w:val="20"/>
              </w:rPr>
            </w:pPr>
          </w:p>
        </w:tc>
        <w:tc>
          <w:tcPr>
            <w:tcW w:w="50" w:type="pct"/>
            <w:vAlign w:val="center"/>
            <w:hideMark/>
          </w:tcPr>
          <w:p w14:paraId="46007F67" w14:textId="77777777" w:rsidR="00000000" w:rsidRDefault="00A173A8">
            <w:pPr>
              <w:spacing w:after="100"/>
              <w:rPr>
                <w:rFonts w:eastAsia="Times New Roman"/>
                <w:sz w:val="20"/>
                <w:szCs w:val="20"/>
              </w:rPr>
            </w:pPr>
          </w:p>
        </w:tc>
        <w:tc>
          <w:tcPr>
            <w:tcW w:w="414" w:type="pct"/>
            <w:vAlign w:val="center"/>
            <w:hideMark/>
          </w:tcPr>
          <w:p w14:paraId="1C24763A" w14:textId="77777777" w:rsidR="00000000" w:rsidRDefault="00A173A8">
            <w:pPr>
              <w:spacing w:after="100"/>
              <w:rPr>
                <w:rFonts w:eastAsia="Times New Roman"/>
                <w:sz w:val="20"/>
                <w:szCs w:val="20"/>
              </w:rPr>
            </w:pPr>
          </w:p>
        </w:tc>
        <w:tc>
          <w:tcPr>
            <w:tcW w:w="5" w:type="pct"/>
            <w:vAlign w:val="center"/>
            <w:hideMark/>
          </w:tcPr>
          <w:p w14:paraId="3DD84073" w14:textId="77777777" w:rsidR="00000000" w:rsidRDefault="00A173A8">
            <w:pPr>
              <w:spacing w:after="100"/>
              <w:rPr>
                <w:rFonts w:eastAsia="Times New Roman"/>
                <w:sz w:val="20"/>
                <w:szCs w:val="20"/>
              </w:rPr>
            </w:pPr>
          </w:p>
        </w:tc>
      </w:tr>
      <w:tr w:rsidR="00000000" w14:paraId="257FED0C" w14:textId="77777777">
        <w:trPr>
          <w:divId w:val="934826573"/>
        </w:trPr>
        <w:tc>
          <w:tcPr>
            <w:tcW w:w="0" w:type="auto"/>
            <w:gridSpan w:val="3"/>
            <w:tcMar>
              <w:top w:w="0" w:type="dxa"/>
              <w:left w:w="20" w:type="dxa"/>
              <w:bottom w:w="0" w:type="dxa"/>
              <w:right w:w="20" w:type="dxa"/>
            </w:tcMar>
            <w:vAlign w:val="center"/>
            <w:hideMark/>
          </w:tcPr>
          <w:p w14:paraId="608293D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6F22A9" w14:textId="77777777" w:rsidR="00000000" w:rsidRDefault="00A173A8">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1E9168AA"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4B690F3C" w14:textId="77777777" w:rsidR="00000000" w:rsidRDefault="00A173A8">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187A4398"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244893FB" w14:textId="77777777">
        <w:trPr>
          <w:divId w:val="934826573"/>
          <w:trHeight w:val="280"/>
        </w:trPr>
        <w:tc>
          <w:tcPr>
            <w:tcW w:w="0" w:type="auto"/>
            <w:gridSpan w:val="3"/>
            <w:tcMar>
              <w:top w:w="0" w:type="dxa"/>
              <w:left w:w="20" w:type="dxa"/>
              <w:bottom w:w="0" w:type="dxa"/>
              <w:right w:w="20" w:type="dxa"/>
            </w:tcMar>
            <w:vAlign w:val="center"/>
            <w:hideMark/>
          </w:tcPr>
          <w:p w14:paraId="37B59C22"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D3395B9" w14:textId="77777777" w:rsidR="00000000" w:rsidRDefault="00A173A8">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F03BE16" w14:textId="77777777" w:rsidR="00000000" w:rsidRDefault="00A173A8">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5DA030B3"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57933A5" w14:textId="77777777" w:rsidR="00000000" w:rsidRDefault="00A173A8">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75BF1B01" w14:textId="77777777" w:rsidR="00000000" w:rsidRDefault="00A173A8">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F7BDBF1" w14:textId="77777777" w:rsidR="00000000" w:rsidRDefault="00A173A8">
            <w:pPr>
              <w:spacing w:after="100"/>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0DB179A8"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C94D1FC" w14:textId="77777777" w:rsidR="00000000" w:rsidRDefault="00A173A8">
            <w:pPr>
              <w:spacing w:after="100"/>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006D21B5" w14:textId="77777777">
        <w:trPr>
          <w:divId w:val="934826573"/>
          <w:trHeight w:val="240"/>
        </w:trPr>
        <w:tc>
          <w:tcPr>
            <w:tcW w:w="0" w:type="auto"/>
            <w:gridSpan w:val="3"/>
            <w:tcMar>
              <w:top w:w="30" w:type="dxa"/>
              <w:left w:w="20" w:type="dxa"/>
              <w:bottom w:w="30" w:type="dxa"/>
              <w:right w:w="20" w:type="dxa"/>
            </w:tcMar>
            <w:vAlign w:val="bottom"/>
            <w:hideMark/>
          </w:tcPr>
          <w:p w14:paraId="0F61B929"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3091D7B" w14:textId="77777777" w:rsidR="00000000" w:rsidRDefault="00A173A8">
            <w:pPr>
              <w:spacing w:after="100"/>
              <w:rPr>
                <w:rFonts w:eastAsia="Times New Roman"/>
              </w:rPr>
            </w:pPr>
          </w:p>
        </w:tc>
        <w:tc>
          <w:tcPr>
            <w:tcW w:w="0" w:type="auto"/>
            <w:gridSpan w:val="3"/>
            <w:vMerge/>
            <w:tcBorders>
              <w:top w:val="single" w:sz="8" w:space="0" w:color="000000"/>
            </w:tcBorders>
            <w:vAlign w:val="center"/>
            <w:hideMark/>
          </w:tcPr>
          <w:p w14:paraId="7FBCCB60" w14:textId="77777777" w:rsidR="00000000" w:rsidRDefault="00A173A8">
            <w:pPr>
              <w:spacing w:after="100"/>
              <w:rPr>
                <w:rFonts w:eastAsia="Times New Roman"/>
              </w:rPr>
            </w:pPr>
          </w:p>
        </w:tc>
        <w:tc>
          <w:tcPr>
            <w:tcW w:w="0" w:type="auto"/>
            <w:gridSpan w:val="3"/>
            <w:vMerge/>
            <w:tcBorders>
              <w:top w:val="single" w:sz="8" w:space="0" w:color="000000"/>
            </w:tcBorders>
            <w:vAlign w:val="center"/>
            <w:hideMark/>
          </w:tcPr>
          <w:p w14:paraId="08D31DF6"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31120D" w14:textId="77777777" w:rsidR="00000000" w:rsidRDefault="00A173A8">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14:paraId="438E5297"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034AD7" w14:textId="77777777" w:rsidR="00000000" w:rsidRDefault="00A173A8">
            <w:pPr>
              <w:spacing w:after="100"/>
              <w:jc w:val="center"/>
              <w:rPr>
                <w:rFonts w:eastAsia="Times New Roman"/>
              </w:rPr>
            </w:pP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14:paraId="075AE7BC" w14:textId="77777777" w:rsidR="00000000" w:rsidRDefault="00A173A8">
            <w:pPr>
              <w:spacing w:after="100"/>
              <w:jc w:val="center"/>
              <w:rPr>
                <w:rFonts w:eastAsia="Times New Roman"/>
              </w:rPr>
            </w:pPr>
          </w:p>
        </w:tc>
        <w:tc>
          <w:tcPr>
            <w:tcW w:w="0" w:type="auto"/>
            <w:gridSpan w:val="3"/>
            <w:vMerge/>
            <w:tcBorders>
              <w:top w:val="single" w:sz="8" w:space="0" w:color="000000"/>
            </w:tcBorders>
            <w:vAlign w:val="center"/>
            <w:hideMark/>
          </w:tcPr>
          <w:p w14:paraId="4578D1AA" w14:textId="77777777" w:rsidR="00000000" w:rsidRDefault="00A173A8">
            <w:pPr>
              <w:spacing w:after="100"/>
              <w:rPr>
                <w:rFonts w:eastAsia="Times New Roman"/>
              </w:rPr>
            </w:pPr>
          </w:p>
        </w:tc>
        <w:tc>
          <w:tcPr>
            <w:tcW w:w="0" w:type="auto"/>
            <w:gridSpan w:val="3"/>
            <w:vMerge/>
            <w:tcBorders>
              <w:top w:val="single" w:sz="8" w:space="0" w:color="000000"/>
            </w:tcBorders>
            <w:vAlign w:val="center"/>
            <w:hideMark/>
          </w:tcPr>
          <w:p w14:paraId="471053B4"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67FE46" w14:textId="77777777" w:rsidR="00000000" w:rsidRDefault="00A173A8">
            <w:pPr>
              <w:spacing w:after="100"/>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14:paraId="2892B42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14EA4C" w14:textId="77777777" w:rsidR="00000000" w:rsidRDefault="00A173A8">
            <w:pPr>
              <w:spacing w:after="100"/>
              <w:jc w:val="center"/>
              <w:rPr>
                <w:rFonts w:eastAsia="Times New Roman"/>
              </w:rPr>
            </w:pPr>
            <w:r>
              <w:rPr>
                <w:rFonts w:eastAsia="Times New Roman"/>
                <w:b/>
                <w:bCs/>
                <w:color w:val="000000"/>
                <w:sz w:val="16"/>
                <w:szCs w:val="16"/>
              </w:rPr>
              <w:t>Liabilities</w:t>
            </w:r>
          </w:p>
        </w:tc>
      </w:tr>
      <w:tr w:rsidR="00000000" w14:paraId="5E47C4BE" w14:textId="77777777">
        <w:trPr>
          <w:divId w:val="93482657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5B2C3CA" w14:textId="77777777" w:rsidR="00000000" w:rsidRDefault="00A173A8">
            <w:pPr>
              <w:spacing w:after="100"/>
              <w:rPr>
                <w:rFonts w:eastAsia="Times New Roman"/>
              </w:rPr>
            </w:pPr>
            <w:r>
              <w:rPr>
                <w:rFonts w:eastAsia="Times New Roman"/>
                <w:b/>
                <w:bCs/>
                <w:color w:val="000000"/>
                <w:sz w:val="18"/>
                <w:szCs w:val="18"/>
              </w:rPr>
              <w:t>Derivatives designated as accounting hedges:</w:t>
            </w:r>
          </w:p>
        </w:tc>
        <w:tc>
          <w:tcPr>
            <w:tcW w:w="0" w:type="auto"/>
            <w:gridSpan w:val="3"/>
            <w:shd w:val="clear" w:color="auto" w:fill="CCEEFF"/>
            <w:tcMar>
              <w:top w:w="0" w:type="dxa"/>
              <w:left w:w="20" w:type="dxa"/>
              <w:bottom w:w="0" w:type="dxa"/>
              <w:right w:w="20" w:type="dxa"/>
            </w:tcMar>
            <w:vAlign w:val="center"/>
            <w:hideMark/>
          </w:tcPr>
          <w:p w14:paraId="660E0E93"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51FBE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390F2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0817C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84EC6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6D433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B7959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F316E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C178B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4139E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56638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33FB98" w14:textId="77777777" w:rsidR="00000000" w:rsidRDefault="00A173A8">
            <w:pPr>
              <w:spacing w:after="100"/>
              <w:rPr>
                <w:rFonts w:eastAsia="Times New Roman"/>
                <w:sz w:val="20"/>
                <w:szCs w:val="20"/>
              </w:rPr>
            </w:pPr>
          </w:p>
        </w:tc>
      </w:tr>
      <w:tr w:rsidR="00000000" w14:paraId="0231DEA9" w14:textId="77777777">
        <w:trPr>
          <w:divId w:val="934826573"/>
        </w:trPr>
        <w:tc>
          <w:tcPr>
            <w:tcW w:w="0" w:type="auto"/>
            <w:gridSpan w:val="3"/>
            <w:shd w:val="clear" w:color="auto" w:fill="FFFFFF"/>
            <w:tcMar>
              <w:top w:w="30" w:type="dxa"/>
              <w:left w:w="20" w:type="dxa"/>
              <w:bottom w:w="30" w:type="dxa"/>
              <w:right w:w="20" w:type="dxa"/>
            </w:tcMar>
            <w:vAlign w:val="center"/>
            <w:hideMark/>
          </w:tcPr>
          <w:p w14:paraId="025394A7" w14:textId="77777777" w:rsidR="00000000" w:rsidRDefault="00A173A8">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5B7A8629"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9B54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2C423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F5985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E12ED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CE0E9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11E09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E2BE4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A9879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C2E29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7B08E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1073A9" w14:textId="77777777" w:rsidR="00000000" w:rsidRDefault="00A173A8">
            <w:pPr>
              <w:spacing w:after="100"/>
              <w:rPr>
                <w:rFonts w:eastAsia="Times New Roman"/>
                <w:sz w:val="20"/>
                <w:szCs w:val="20"/>
              </w:rPr>
            </w:pPr>
          </w:p>
        </w:tc>
      </w:tr>
      <w:tr w:rsidR="00000000" w14:paraId="70E5BC09" w14:textId="77777777">
        <w:trPr>
          <w:divId w:val="934826573"/>
        </w:trPr>
        <w:tc>
          <w:tcPr>
            <w:tcW w:w="0" w:type="auto"/>
            <w:gridSpan w:val="3"/>
            <w:shd w:val="clear" w:color="auto" w:fill="CCEEFF"/>
            <w:tcMar>
              <w:top w:w="30" w:type="dxa"/>
              <w:left w:w="245" w:type="dxa"/>
              <w:bottom w:w="30" w:type="dxa"/>
              <w:right w:w="20" w:type="dxa"/>
            </w:tcMar>
            <w:vAlign w:val="center"/>
            <w:hideMark/>
          </w:tcPr>
          <w:p w14:paraId="4E3798B7" w14:textId="77777777" w:rsidR="00000000" w:rsidRDefault="00A173A8">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14:paraId="45EA7B79"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4F8FBD6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86105B5" w14:textId="77777777" w:rsidR="00000000" w:rsidRDefault="00A173A8">
            <w:pPr>
              <w:spacing w:after="100"/>
              <w:jc w:val="right"/>
              <w:rPr>
                <w:rFonts w:eastAsia="Times New Roman"/>
              </w:rPr>
            </w:pPr>
            <w:r>
              <w:rPr>
                <w:rFonts w:eastAsia="Times New Roman"/>
                <w:b/>
                <w:bCs/>
                <w:color w:val="000000"/>
                <w:sz w:val="18"/>
                <w:szCs w:val="18"/>
              </w:rPr>
              <w:t>60,231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D24D7E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7CA3DF"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DA776C2"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C83B4AA" w14:textId="77777777" w:rsidR="00000000" w:rsidRDefault="00A173A8">
            <w:pPr>
              <w:spacing w:after="100"/>
              <w:jc w:val="right"/>
              <w:rPr>
                <w:rFonts w:eastAsia="Times New Roman"/>
              </w:rPr>
            </w:pPr>
            <w:r>
              <w:rPr>
                <w:rFonts w:eastAsia="Times New Roman"/>
                <w:b/>
                <w:bCs/>
                <w:color w:val="000000"/>
                <w:sz w:val="18"/>
                <w:szCs w:val="18"/>
              </w:rPr>
              <w:t>162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3B69C7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9DA911"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E6BEC9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D5FF042" w14:textId="77777777" w:rsidR="00000000" w:rsidRDefault="00A173A8">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49115E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021790"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44E9E3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71898F3" w14:textId="77777777" w:rsidR="00000000" w:rsidRDefault="00A173A8">
            <w:pPr>
              <w:spacing w:after="100"/>
              <w:jc w:val="right"/>
              <w:rPr>
                <w:rFonts w:eastAsia="Times New Roman"/>
              </w:rPr>
            </w:pPr>
            <w:r>
              <w:rPr>
                <w:rFonts w:eastAsia="Times New Roman"/>
                <w:color w:val="000000"/>
                <w:sz w:val="18"/>
                <w:szCs w:val="18"/>
              </w:rPr>
              <w:t>49,659 </w:t>
            </w:r>
          </w:p>
        </w:tc>
        <w:tc>
          <w:tcPr>
            <w:tcW w:w="0" w:type="auto"/>
            <w:shd w:val="clear" w:color="auto" w:fill="CCEEFF"/>
            <w:tcMar>
              <w:top w:w="30" w:type="dxa"/>
              <w:left w:w="0" w:type="dxa"/>
              <w:bottom w:w="30" w:type="dxa"/>
              <w:right w:w="20" w:type="dxa"/>
            </w:tcMar>
            <w:vAlign w:val="center"/>
            <w:hideMark/>
          </w:tcPr>
          <w:p w14:paraId="55B0443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35FD0C"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03993FE"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BEF60EB" w14:textId="77777777" w:rsidR="00000000" w:rsidRDefault="00A173A8">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14:paraId="29661BE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9ECA6"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80873D3"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7501F1F" w14:textId="77777777" w:rsidR="00000000" w:rsidRDefault="00A173A8">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14:paraId="07C6CE51" w14:textId="77777777" w:rsidR="00000000" w:rsidRDefault="00A173A8">
            <w:pPr>
              <w:spacing w:after="100"/>
              <w:jc w:val="right"/>
              <w:rPr>
                <w:rFonts w:eastAsia="Times New Roman"/>
              </w:rPr>
            </w:pPr>
          </w:p>
        </w:tc>
      </w:tr>
      <w:tr w:rsidR="00000000" w14:paraId="1C7AC1CF" w14:textId="77777777">
        <w:trPr>
          <w:divId w:val="934826573"/>
        </w:trPr>
        <w:tc>
          <w:tcPr>
            <w:tcW w:w="0" w:type="auto"/>
            <w:gridSpan w:val="3"/>
            <w:shd w:val="clear" w:color="auto" w:fill="FFFFFF"/>
            <w:tcMar>
              <w:top w:w="30" w:type="dxa"/>
              <w:left w:w="245" w:type="dxa"/>
              <w:bottom w:w="30" w:type="dxa"/>
              <w:right w:w="20" w:type="dxa"/>
            </w:tcMar>
            <w:vAlign w:val="center"/>
            <w:hideMark/>
          </w:tcPr>
          <w:p w14:paraId="386B9177" w14:textId="77777777" w:rsidR="00000000" w:rsidRDefault="00A173A8">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14:paraId="11B8672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A5A5D12" w14:textId="77777777" w:rsidR="00000000" w:rsidRDefault="00A173A8">
            <w:pPr>
              <w:spacing w:after="100"/>
              <w:jc w:val="right"/>
              <w:rPr>
                <w:rFonts w:eastAsia="Times New Roman"/>
              </w:rPr>
            </w:pPr>
            <w:r>
              <w:rPr>
                <w:rFonts w:eastAsia="Times New Roman"/>
                <w:b/>
                <w:bCs/>
                <w:color w:val="000000"/>
                <w:sz w:val="18"/>
                <w:szCs w:val="18"/>
              </w:rPr>
              <w:t>55,900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B158D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975F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51F3A01" w14:textId="77777777" w:rsidR="00000000" w:rsidRDefault="00A173A8">
            <w:pPr>
              <w:spacing w:after="100"/>
              <w:jc w:val="right"/>
              <w:rPr>
                <w:rFonts w:eastAsia="Times New Roman"/>
              </w:rPr>
            </w:pPr>
            <w:r>
              <w:rPr>
                <w:rFonts w:eastAsia="Times New Roman"/>
                <w:b/>
                <w:bCs/>
                <w:color w:val="000000"/>
                <w:sz w:val="18"/>
                <w:szCs w:val="18"/>
              </w:rPr>
              <w:t>133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0117D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BBCD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894181" w14:textId="77777777" w:rsidR="00000000" w:rsidRDefault="00A173A8">
            <w:pPr>
              <w:spacing w:after="100"/>
              <w:jc w:val="right"/>
              <w:rPr>
                <w:rFonts w:eastAsia="Times New Roman"/>
              </w:rPr>
            </w:pPr>
            <w:r>
              <w:rPr>
                <w:rFonts w:eastAsia="Times New Roman"/>
                <w:b/>
                <w:bCs/>
                <w:color w:val="000000"/>
                <w:sz w:val="18"/>
                <w:szCs w:val="18"/>
              </w:rPr>
              <w:t>245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A2B5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262FD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05B021" w14:textId="77777777" w:rsidR="00000000" w:rsidRDefault="00A173A8">
            <w:pPr>
              <w:spacing w:after="100"/>
              <w:jc w:val="right"/>
              <w:rPr>
                <w:rFonts w:eastAsia="Times New Roman"/>
              </w:rPr>
            </w:pPr>
            <w:r>
              <w:rPr>
                <w:rFonts w:eastAsia="Times New Roman"/>
                <w:color w:val="000000"/>
                <w:sz w:val="18"/>
                <w:szCs w:val="18"/>
              </w:rPr>
              <w:t>52,400 </w:t>
            </w:r>
          </w:p>
        </w:tc>
        <w:tc>
          <w:tcPr>
            <w:tcW w:w="0" w:type="auto"/>
            <w:shd w:val="clear" w:color="auto" w:fill="FFFFFF"/>
            <w:tcMar>
              <w:top w:w="30" w:type="dxa"/>
              <w:left w:w="0" w:type="dxa"/>
              <w:bottom w:w="30" w:type="dxa"/>
              <w:right w:w="20" w:type="dxa"/>
            </w:tcMar>
            <w:vAlign w:val="center"/>
            <w:hideMark/>
          </w:tcPr>
          <w:p w14:paraId="1C42D3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D5D5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E29836" w14:textId="77777777" w:rsidR="00000000" w:rsidRDefault="00A173A8">
            <w:pPr>
              <w:spacing w:after="100"/>
              <w:jc w:val="right"/>
              <w:rPr>
                <w:rFonts w:eastAsia="Times New Roman"/>
              </w:rPr>
            </w:pPr>
            <w:r>
              <w:rPr>
                <w:rFonts w:eastAsia="Times New Roman"/>
                <w:color w:val="000000"/>
                <w:sz w:val="18"/>
                <w:szCs w:val="18"/>
              </w:rPr>
              <w:t>244 </w:t>
            </w:r>
          </w:p>
        </w:tc>
        <w:tc>
          <w:tcPr>
            <w:tcW w:w="0" w:type="auto"/>
            <w:shd w:val="clear" w:color="auto" w:fill="FFFFFF"/>
            <w:tcMar>
              <w:top w:w="30" w:type="dxa"/>
              <w:left w:w="0" w:type="dxa"/>
              <w:bottom w:w="30" w:type="dxa"/>
              <w:right w:w="20" w:type="dxa"/>
            </w:tcMar>
            <w:vAlign w:val="center"/>
            <w:hideMark/>
          </w:tcPr>
          <w:p w14:paraId="4AF6460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86DE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3CD1314" w14:textId="77777777" w:rsidR="00000000" w:rsidRDefault="00A173A8">
            <w:pPr>
              <w:spacing w:after="100"/>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14:paraId="2D61D024" w14:textId="77777777" w:rsidR="00000000" w:rsidRDefault="00A173A8">
            <w:pPr>
              <w:spacing w:after="100"/>
              <w:jc w:val="right"/>
              <w:rPr>
                <w:rFonts w:eastAsia="Times New Roman"/>
              </w:rPr>
            </w:pPr>
          </w:p>
        </w:tc>
      </w:tr>
      <w:tr w:rsidR="00000000" w14:paraId="4EB85BE1" w14:textId="77777777">
        <w:trPr>
          <w:divId w:val="934826573"/>
        </w:trPr>
        <w:tc>
          <w:tcPr>
            <w:tcW w:w="0" w:type="auto"/>
            <w:gridSpan w:val="3"/>
            <w:shd w:val="clear" w:color="auto" w:fill="CCEEFF"/>
            <w:tcMar>
              <w:top w:w="30" w:type="dxa"/>
              <w:left w:w="20" w:type="dxa"/>
              <w:bottom w:w="30" w:type="dxa"/>
              <w:right w:w="20" w:type="dxa"/>
            </w:tcMar>
            <w:vAlign w:val="center"/>
            <w:hideMark/>
          </w:tcPr>
          <w:p w14:paraId="2C69D5AD" w14:textId="77777777" w:rsidR="00000000" w:rsidRDefault="00A173A8">
            <w:pPr>
              <w:spacing w:after="100"/>
              <w:rPr>
                <w:rFonts w:eastAsia="Times New Roman"/>
              </w:rPr>
            </w:pPr>
            <w:r>
              <w:rPr>
                <w:rFonts w:eastAsia="Times New Roman"/>
                <w:color w:val="000000"/>
                <w:sz w:val="18"/>
                <w:szCs w:val="18"/>
              </w:rPr>
              <w:t>Total interest rate contracts</w:t>
            </w:r>
          </w:p>
        </w:tc>
        <w:tc>
          <w:tcPr>
            <w:tcW w:w="0" w:type="auto"/>
            <w:gridSpan w:val="3"/>
            <w:shd w:val="clear" w:color="auto" w:fill="CCEEFF"/>
            <w:tcMar>
              <w:top w:w="0" w:type="dxa"/>
              <w:left w:w="20" w:type="dxa"/>
              <w:bottom w:w="0" w:type="dxa"/>
              <w:right w:w="20" w:type="dxa"/>
            </w:tcMar>
            <w:vAlign w:val="center"/>
            <w:hideMark/>
          </w:tcPr>
          <w:p w14:paraId="73371F84"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4C10AB5" w14:textId="77777777" w:rsidR="00000000" w:rsidRDefault="00A173A8">
            <w:pPr>
              <w:spacing w:after="100"/>
              <w:jc w:val="right"/>
              <w:rPr>
                <w:rFonts w:eastAsia="Times New Roman"/>
              </w:rPr>
            </w:pPr>
            <w:r>
              <w:rPr>
                <w:rFonts w:eastAsia="Times New Roman"/>
                <w:b/>
                <w:bCs/>
                <w:color w:val="000000"/>
                <w:sz w:val="18"/>
                <w:szCs w:val="18"/>
              </w:rPr>
              <w:t>116,131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C490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D73BC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B1E3C0E" w14:textId="77777777" w:rsidR="00000000" w:rsidRDefault="00A173A8">
            <w:pPr>
              <w:spacing w:after="100"/>
              <w:jc w:val="right"/>
              <w:rPr>
                <w:rFonts w:eastAsia="Times New Roman"/>
              </w:rPr>
            </w:pPr>
            <w:r>
              <w:rPr>
                <w:rFonts w:eastAsia="Times New Roman"/>
                <w:b/>
                <w:bCs/>
                <w:color w:val="000000"/>
                <w:sz w:val="18"/>
                <w:szCs w:val="18"/>
              </w:rPr>
              <w:t>295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F2C65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AFEEF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D6F6122" w14:textId="77777777" w:rsidR="00000000" w:rsidRDefault="00A173A8">
            <w:pPr>
              <w:spacing w:after="100"/>
              <w:jc w:val="right"/>
              <w:rPr>
                <w:rFonts w:eastAsia="Times New Roman"/>
              </w:rPr>
            </w:pPr>
            <w:r>
              <w:rPr>
                <w:rFonts w:eastAsia="Times New Roman"/>
                <w:b/>
                <w:bCs/>
                <w:color w:val="000000"/>
                <w:sz w:val="18"/>
                <w:szCs w:val="18"/>
              </w:rPr>
              <w:t>259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4EE224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6D2B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0EEA227" w14:textId="77777777" w:rsidR="00000000" w:rsidRDefault="00A173A8">
            <w:pPr>
              <w:spacing w:after="100"/>
              <w:jc w:val="right"/>
              <w:rPr>
                <w:rFonts w:eastAsia="Times New Roman"/>
              </w:rPr>
            </w:pPr>
            <w:r>
              <w:rPr>
                <w:rFonts w:eastAsia="Times New Roman"/>
                <w:color w:val="000000"/>
                <w:sz w:val="18"/>
                <w:szCs w:val="18"/>
              </w:rPr>
              <w:t>102,059 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CF8CA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4D93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81EAD75" w14:textId="77777777" w:rsidR="00000000" w:rsidRDefault="00A173A8">
            <w:pPr>
              <w:spacing w:after="100"/>
              <w:jc w:val="right"/>
              <w:rPr>
                <w:rFonts w:eastAsia="Times New Roman"/>
              </w:rPr>
            </w:pPr>
            <w:r>
              <w:rPr>
                <w:rFonts w:eastAsia="Times New Roman"/>
                <w:color w:val="000000"/>
                <w:sz w:val="18"/>
                <w:szCs w:val="18"/>
              </w:rPr>
              <w:t>246 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F1597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1FCA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8466504" w14:textId="77777777" w:rsidR="00000000" w:rsidRDefault="00A173A8">
            <w:pPr>
              <w:spacing w:after="100"/>
              <w:jc w:val="right"/>
              <w:rPr>
                <w:rFonts w:eastAsia="Times New Roman"/>
              </w:rPr>
            </w:pPr>
            <w:r>
              <w:rPr>
                <w:rFonts w:eastAsia="Times New Roman"/>
                <w:color w:val="000000"/>
                <w:sz w:val="18"/>
                <w:szCs w:val="18"/>
              </w:rPr>
              <w:t>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F9E15D4" w14:textId="77777777" w:rsidR="00000000" w:rsidRDefault="00A173A8">
            <w:pPr>
              <w:spacing w:after="100"/>
              <w:jc w:val="right"/>
              <w:rPr>
                <w:rFonts w:eastAsia="Times New Roman"/>
              </w:rPr>
            </w:pPr>
          </w:p>
        </w:tc>
      </w:tr>
      <w:tr w:rsidR="00000000" w14:paraId="1B41F646" w14:textId="77777777">
        <w:trPr>
          <w:divId w:val="934826573"/>
        </w:trPr>
        <w:tc>
          <w:tcPr>
            <w:tcW w:w="0" w:type="auto"/>
            <w:gridSpan w:val="3"/>
            <w:shd w:val="clear" w:color="auto" w:fill="FFFFFF"/>
            <w:tcMar>
              <w:top w:w="30" w:type="dxa"/>
              <w:left w:w="20" w:type="dxa"/>
              <w:bottom w:w="30" w:type="dxa"/>
              <w:right w:w="20" w:type="dxa"/>
            </w:tcMar>
            <w:vAlign w:val="center"/>
            <w:hideMark/>
          </w:tcPr>
          <w:p w14:paraId="11A995DE" w14:textId="77777777" w:rsidR="00000000" w:rsidRDefault="00A173A8">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31E711EF"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A7BEB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4C317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13A5C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CAEE6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28A09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A66D8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C5446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DE64F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CD3EBA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04985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0565684" w14:textId="77777777" w:rsidR="00000000" w:rsidRDefault="00A173A8">
            <w:pPr>
              <w:spacing w:after="100"/>
              <w:rPr>
                <w:rFonts w:eastAsia="Times New Roman"/>
                <w:sz w:val="20"/>
                <w:szCs w:val="20"/>
              </w:rPr>
            </w:pPr>
          </w:p>
        </w:tc>
      </w:tr>
      <w:tr w:rsidR="00000000" w14:paraId="66A526D8" w14:textId="77777777">
        <w:trPr>
          <w:divId w:val="934826573"/>
        </w:trPr>
        <w:tc>
          <w:tcPr>
            <w:tcW w:w="0" w:type="auto"/>
            <w:gridSpan w:val="3"/>
            <w:shd w:val="clear" w:color="auto" w:fill="CCEEFF"/>
            <w:tcMar>
              <w:top w:w="30" w:type="dxa"/>
              <w:left w:w="245" w:type="dxa"/>
              <w:bottom w:w="30" w:type="dxa"/>
              <w:right w:w="20" w:type="dxa"/>
            </w:tcMar>
            <w:vAlign w:val="center"/>
            <w:hideMark/>
          </w:tcPr>
          <w:p w14:paraId="4C91999F" w14:textId="77777777" w:rsidR="00000000" w:rsidRDefault="00A173A8">
            <w:pPr>
              <w:spacing w:after="100"/>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14:paraId="08BF397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0C2F66" w14:textId="77777777" w:rsidR="00000000" w:rsidRDefault="00A173A8">
            <w:pPr>
              <w:spacing w:after="100"/>
              <w:jc w:val="right"/>
              <w:rPr>
                <w:rFonts w:eastAsia="Times New Roman"/>
              </w:rPr>
            </w:pPr>
            <w:r>
              <w:rPr>
                <w:rFonts w:eastAsia="Times New Roman"/>
                <w:b/>
                <w:bCs/>
                <w:color w:val="000000"/>
                <w:sz w:val="18"/>
                <w:szCs w:val="18"/>
              </w:rPr>
              <w:t>1,311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D83132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19FD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FDF016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945D31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BEF65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FC2B50" w14:textId="77777777" w:rsidR="00000000" w:rsidRDefault="00A173A8">
            <w:pPr>
              <w:spacing w:after="100"/>
              <w:jc w:val="right"/>
              <w:rPr>
                <w:rFonts w:eastAsia="Times New Roman"/>
              </w:rPr>
            </w:pPr>
            <w:r>
              <w:rPr>
                <w:rFonts w:eastAsia="Times New Roman"/>
                <w:b/>
                <w:bCs/>
                <w:color w:val="000000"/>
                <w:sz w:val="18"/>
                <w:szCs w:val="18"/>
              </w:rPr>
              <w:t>192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316642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0CAF3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ABA229" w14:textId="77777777" w:rsidR="00000000" w:rsidRDefault="00A173A8">
            <w:pPr>
              <w:spacing w:after="100"/>
              <w:jc w:val="right"/>
              <w:rPr>
                <w:rFonts w:eastAsia="Times New Roman"/>
              </w:rPr>
            </w:pPr>
            <w:r>
              <w:rPr>
                <w:rFonts w:eastAsia="Times New Roman"/>
                <w:color w:val="000000"/>
                <w:sz w:val="18"/>
                <w:szCs w:val="18"/>
              </w:rPr>
              <w:t>1,421 </w:t>
            </w:r>
          </w:p>
        </w:tc>
        <w:tc>
          <w:tcPr>
            <w:tcW w:w="0" w:type="auto"/>
            <w:shd w:val="clear" w:color="auto" w:fill="CCEEFF"/>
            <w:tcMar>
              <w:top w:w="30" w:type="dxa"/>
              <w:left w:w="0" w:type="dxa"/>
              <w:bottom w:w="30" w:type="dxa"/>
              <w:right w:w="20" w:type="dxa"/>
            </w:tcMar>
            <w:vAlign w:val="center"/>
            <w:hideMark/>
          </w:tcPr>
          <w:p w14:paraId="6578D80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53B1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B9EA48" w14:textId="77777777" w:rsidR="00000000" w:rsidRDefault="00A173A8">
            <w:pPr>
              <w:spacing w:after="100"/>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14:paraId="165D93B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F898D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0D37C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021401C" w14:textId="77777777" w:rsidR="00000000" w:rsidRDefault="00A173A8">
            <w:pPr>
              <w:spacing w:after="100"/>
              <w:jc w:val="right"/>
              <w:rPr>
                <w:rFonts w:eastAsia="Times New Roman"/>
              </w:rPr>
            </w:pPr>
          </w:p>
        </w:tc>
      </w:tr>
      <w:tr w:rsidR="00000000" w14:paraId="7E6D6A7A" w14:textId="77777777">
        <w:trPr>
          <w:divId w:val="934826573"/>
        </w:trPr>
        <w:tc>
          <w:tcPr>
            <w:tcW w:w="0" w:type="auto"/>
            <w:gridSpan w:val="3"/>
            <w:shd w:val="clear" w:color="auto" w:fill="FFFFFF"/>
            <w:tcMar>
              <w:top w:w="30" w:type="dxa"/>
              <w:left w:w="245" w:type="dxa"/>
              <w:bottom w:w="30" w:type="dxa"/>
              <w:right w:w="20" w:type="dxa"/>
            </w:tcMar>
            <w:vAlign w:val="center"/>
            <w:hideMark/>
          </w:tcPr>
          <w:p w14:paraId="68D020E8" w14:textId="77777777" w:rsidR="00000000" w:rsidRDefault="00A173A8">
            <w:pPr>
              <w:spacing w:after="100"/>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14:paraId="138B487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167AB16" w14:textId="77777777" w:rsidR="00000000" w:rsidRDefault="00A173A8">
            <w:pPr>
              <w:spacing w:after="100"/>
              <w:jc w:val="right"/>
              <w:rPr>
                <w:rFonts w:eastAsia="Times New Roman"/>
              </w:rPr>
            </w:pPr>
            <w:r>
              <w:rPr>
                <w:rFonts w:eastAsia="Times New Roman"/>
                <w:b/>
                <w:bCs/>
                <w:color w:val="000000"/>
                <w:sz w:val="18"/>
                <w:szCs w:val="18"/>
              </w:rPr>
              <w:t>1,936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11B4B2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1DE62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1497ED" w14:textId="77777777" w:rsidR="00000000" w:rsidRDefault="00A173A8">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6154CD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2BE7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C1783A"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2E2E3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B022C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33704F" w14:textId="77777777" w:rsidR="00000000" w:rsidRDefault="00A173A8">
            <w:pPr>
              <w:spacing w:after="100"/>
              <w:jc w:val="right"/>
              <w:rPr>
                <w:rFonts w:eastAsia="Times New Roman"/>
              </w:rPr>
            </w:pPr>
            <w:r>
              <w:rPr>
                <w:rFonts w:eastAsia="Times New Roman"/>
                <w:color w:val="000000"/>
                <w:sz w:val="18"/>
                <w:szCs w:val="18"/>
              </w:rPr>
              <w:t>4,679 </w:t>
            </w:r>
          </w:p>
        </w:tc>
        <w:tc>
          <w:tcPr>
            <w:tcW w:w="0" w:type="auto"/>
            <w:shd w:val="clear" w:color="auto" w:fill="FFFFFF"/>
            <w:tcMar>
              <w:top w:w="30" w:type="dxa"/>
              <w:left w:w="0" w:type="dxa"/>
              <w:bottom w:w="30" w:type="dxa"/>
              <w:right w:w="20" w:type="dxa"/>
            </w:tcMar>
            <w:vAlign w:val="center"/>
            <w:hideMark/>
          </w:tcPr>
          <w:p w14:paraId="0A6840C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8996A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64F094" w14:textId="77777777" w:rsidR="00000000" w:rsidRDefault="00A173A8">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14:paraId="2C6E349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E50C2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01018F2" w14:textId="77777777" w:rsidR="00000000" w:rsidRDefault="00A173A8">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14:paraId="6499E184" w14:textId="77777777" w:rsidR="00000000" w:rsidRDefault="00A173A8">
            <w:pPr>
              <w:spacing w:after="100"/>
              <w:jc w:val="right"/>
              <w:rPr>
                <w:rFonts w:eastAsia="Times New Roman"/>
              </w:rPr>
            </w:pPr>
          </w:p>
        </w:tc>
      </w:tr>
      <w:tr w:rsidR="00000000" w14:paraId="337331BA" w14:textId="77777777">
        <w:trPr>
          <w:divId w:val="934826573"/>
        </w:trPr>
        <w:tc>
          <w:tcPr>
            <w:tcW w:w="0" w:type="auto"/>
            <w:gridSpan w:val="3"/>
            <w:shd w:val="clear" w:color="auto" w:fill="CCEEFF"/>
            <w:tcMar>
              <w:top w:w="30" w:type="dxa"/>
              <w:left w:w="245" w:type="dxa"/>
              <w:bottom w:w="30" w:type="dxa"/>
              <w:right w:w="20" w:type="dxa"/>
            </w:tcMar>
            <w:vAlign w:val="center"/>
            <w:hideMark/>
          </w:tcPr>
          <w:p w14:paraId="469ACF3E" w14:textId="77777777" w:rsidR="00000000" w:rsidRDefault="00A173A8">
            <w:pPr>
              <w:spacing w:after="100"/>
              <w:rPr>
                <w:rFonts w:eastAsia="Times New Roman"/>
              </w:rPr>
            </w:pPr>
            <w:r>
              <w:rPr>
                <w:rFonts w:eastAsia="Times New Roman"/>
                <w:color w:val="000000"/>
                <w:sz w:val="18"/>
                <w:szCs w:val="18"/>
              </w:rPr>
              <w:t>Net investment hedges</w:t>
            </w:r>
          </w:p>
        </w:tc>
        <w:tc>
          <w:tcPr>
            <w:tcW w:w="0" w:type="auto"/>
            <w:gridSpan w:val="3"/>
            <w:shd w:val="clear" w:color="auto" w:fill="CCEEFF"/>
            <w:tcMar>
              <w:top w:w="0" w:type="dxa"/>
              <w:left w:w="20" w:type="dxa"/>
              <w:bottom w:w="0" w:type="dxa"/>
              <w:right w:w="20" w:type="dxa"/>
            </w:tcMar>
            <w:vAlign w:val="center"/>
            <w:hideMark/>
          </w:tcPr>
          <w:p w14:paraId="3C0D605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364CF0" w14:textId="77777777" w:rsidR="00000000" w:rsidRDefault="00A173A8">
            <w:pPr>
              <w:spacing w:after="100"/>
              <w:jc w:val="right"/>
              <w:rPr>
                <w:rFonts w:eastAsia="Times New Roman"/>
              </w:rPr>
            </w:pPr>
            <w:r>
              <w:rPr>
                <w:rFonts w:eastAsia="Times New Roman"/>
                <w:b/>
                <w:bCs/>
                <w:color w:val="000000"/>
                <w:sz w:val="18"/>
                <w:szCs w:val="18"/>
              </w:rPr>
              <w:t>4,092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63270C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D30B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E400E6" w14:textId="77777777" w:rsidR="00000000" w:rsidRDefault="00A173A8">
            <w:pPr>
              <w:spacing w:after="100"/>
              <w:jc w:val="right"/>
              <w:rPr>
                <w:rFonts w:eastAsia="Times New Roman"/>
              </w:rPr>
            </w:pPr>
            <w:r>
              <w:rPr>
                <w:rFonts w:eastAsia="Times New Roman"/>
                <w:b/>
                <w:bCs/>
                <w:color w:val="000000"/>
                <w:sz w:val="18"/>
                <w:szCs w:val="18"/>
              </w:rPr>
              <w:t>293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0037EE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7330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DCD98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E92B96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0AE8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94CE74" w14:textId="77777777" w:rsidR="00000000" w:rsidRDefault="00A173A8">
            <w:pPr>
              <w:spacing w:after="100"/>
              <w:jc w:val="right"/>
              <w:rPr>
                <w:rFonts w:eastAsia="Times New Roman"/>
              </w:rPr>
            </w:pPr>
            <w:r>
              <w:rPr>
                <w:rFonts w:eastAsia="Times New Roman"/>
                <w:color w:val="000000"/>
                <w:sz w:val="18"/>
                <w:szCs w:val="18"/>
              </w:rPr>
              <w:t>3,459 </w:t>
            </w:r>
          </w:p>
        </w:tc>
        <w:tc>
          <w:tcPr>
            <w:tcW w:w="0" w:type="auto"/>
            <w:shd w:val="clear" w:color="auto" w:fill="CCEEFF"/>
            <w:tcMar>
              <w:top w:w="30" w:type="dxa"/>
              <w:left w:w="0" w:type="dxa"/>
              <w:bottom w:w="30" w:type="dxa"/>
              <w:right w:w="20" w:type="dxa"/>
            </w:tcMar>
            <w:vAlign w:val="center"/>
            <w:hideMark/>
          </w:tcPr>
          <w:p w14:paraId="3AC12E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88A7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E5525D0" w14:textId="77777777" w:rsidR="00000000" w:rsidRDefault="00A173A8">
            <w:pPr>
              <w:spacing w:after="100"/>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14:paraId="33987EF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4AD05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27B647"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788BACD" w14:textId="77777777" w:rsidR="00000000" w:rsidRDefault="00A173A8">
            <w:pPr>
              <w:spacing w:after="100"/>
              <w:jc w:val="right"/>
              <w:rPr>
                <w:rFonts w:eastAsia="Times New Roman"/>
              </w:rPr>
            </w:pPr>
          </w:p>
        </w:tc>
      </w:tr>
      <w:tr w:rsidR="00000000" w14:paraId="6D00BF84" w14:textId="77777777">
        <w:trPr>
          <w:divId w:val="934826573"/>
        </w:trPr>
        <w:tc>
          <w:tcPr>
            <w:tcW w:w="0" w:type="auto"/>
            <w:gridSpan w:val="3"/>
            <w:shd w:val="clear" w:color="auto" w:fill="FFFFFF"/>
            <w:tcMar>
              <w:top w:w="30" w:type="dxa"/>
              <w:left w:w="20" w:type="dxa"/>
              <w:bottom w:w="30" w:type="dxa"/>
              <w:right w:w="20" w:type="dxa"/>
            </w:tcMar>
            <w:vAlign w:val="center"/>
            <w:hideMark/>
          </w:tcPr>
          <w:p w14:paraId="65476B95" w14:textId="77777777" w:rsidR="00000000" w:rsidRDefault="00A173A8">
            <w:pPr>
              <w:spacing w:after="100"/>
              <w:rPr>
                <w:rFonts w:eastAsia="Times New Roman"/>
              </w:rPr>
            </w:pPr>
            <w:r>
              <w:rPr>
                <w:rFonts w:eastAsia="Times New Roman"/>
                <w:color w:val="000000"/>
                <w:sz w:val="18"/>
                <w:szCs w:val="18"/>
              </w:rPr>
              <w:t>Total foreign exchange contracts</w:t>
            </w:r>
          </w:p>
        </w:tc>
        <w:tc>
          <w:tcPr>
            <w:tcW w:w="0" w:type="auto"/>
            <w:gridSpan w:val="3"/>
            <w:shd w:val="clear" w:color="auto" w:fill="FFFFFF"/>
            <w:tcMar>
              <w:top w:w="0" w:type="dxa"/>
              <w:left w:w="20" w:type="dxa"/>
              <w:bottom w:w="0" w:type="dxa"/>
              <w:right w:w="20" w:type="dxa"/>
            </w:tcMar>
            <w:vAlign w:val="center"/>
            <w:hideMark/>
          </w:tcPr>
          <w:p w14:paraId="7FF72A1D"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178575" w14:textId="77777777" w:rsidR="00000000" w:rsidRDefault="00A173A8">
            <w:pPr>
              <w:spacing w:after="100"/>
              <w:jc w:val="right"/>
              <w:rPr>
                <w:rFonts w:eastAsia="Times New Roman"/>
              </w:rPr>
            </w:pPr>
            <w:r>
              <w:rPr>
                <w:rFonts w:eastAsia="Times New Roman"/>
                <w:b/>
                <w:bCs/>
                <w:color w:val="000000"/>
                <w:sz w:val="18"/>
                <w:szCs w:val="18"/>
              </w:rPr>
              <w:t>7,339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67BB2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82FB3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AEB5998" w14:textId="77777777" w:rsidR="00000000" w:rsidRDefault="00A173A8">
            <w:pPr>
              <w:spacing w:after="100"/>
              <w:jc w:val="right"/>
              <w:rPr>
                <w:rFonts w:eastAsia="Times New Roman"/>
              </w:rPr>
            </w:pPr>
            <w:r>
              <w:rPr>
                <w:rFonts w:eastAsia="Times New Roman"/>
                <w:b/>
                <w:bCs/>
                <w:color w:val="000000"/>
                <w:sz w:val="18"/>
                <w:szCs w:val="18"/>
              </w:rPr>
              <w:t>318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1D911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7D9FE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6CCBBF" w14:textId="77777777" w:rsidR="00000000" w:rsidRDefault="00A173A8">
            <w:pPr>
              <w:spacing w:after="100"/>
              <w:jc w:val="right"/>
              <w:rPr>
                <w:rFonts w:eastAsia="Times New Roman"/>
              </w:rPr>
            </w:pPr>
            <w:r>
              <w:rPr>
                <w:rFonts w:eastAsia="Times New Roman"/>
                <w:b/>
                <w:bCs/>
                <w:color w:val="000000"/>
                <w:sz w:val="18"/>
                <w:szCs w:val="18"/>
              </w:rPr>
              <w:t>196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D11BE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84BA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EEA29BD" w14:textId="77777777" w:rsidR="00000000" w:rsidRDefault="00A173A8">
            <w:pPr>
              <w:spacing w:after="100"/>
              <w:jc w:val="right"/>
              <w:rPr>
                <w:rFonts w:eastAsia="Times New Roman"/>
              </w:rPr>
            </w:pPr>
            <w:r>
              <w:rPr>
                <w:rFonts w:eastAsia="Times New Roman"/>
                <w:color w:val="000000"/>
                <w:sz w:val="18"/>
                <w:szCs w:val="18"/>
              </w:rPr>
              <w:t>9,559 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50381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848AB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FCA8FE2" w14:textId="77777777" w:rsidR="00000000" w:rsidRDefault="00A173A8">
            <w:pPr>
              <w:spacing w:after="100"/>
              <w:jc w:val="right"/>
              <w:rPr>
                <w:rFonts w:eastAsia="Times New Roman"/>
              </w:rPr>
            </w:pPr>
            <w:r>
              <w:rPr>
                <w:rFonts w:eastAsia="Times New Roman"/>
                <w:color w:val="000000"/>
                <w:sz w:val="18"/>
                <w:szCs w:val="18"/>
              </w:rPr>
              <w:t>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8FE9F2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D658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79CC044" w14:textId="77777777" w:rsidR="00000000" w:rsidRDefault="00A173A8">
            <w:pPr>
              <w:spacing w:after="100"/>
              <w:jc w:val="right"/>
              <w:rPr>
                <w:rFonts w:eastAsia="Times New Roman"/>
              </w:rPr>
            </w:pPr>
            <w:r>
              <w:rPr>
                <w:rFonts w:eastAsia="Times New Roman"/>
                <w:color w:val="000000"/>
                <w:sz w:val="18"/>
                <w:szCs w:val="18"/>
              </w:rPr>
              <w:t>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88AA79" w14:textId="77777777" w:rsidR="00000000" w:rsidRDefault="00A173A8">
            <w:pPr>
              <w:spacing w:after="100"/>
              <w:jc w:val="right"/>
              <w:rPr>
                <w:rFonts w:eastAsia="Times New Roman"/>
              </w:rPr>
            </w:pPr>
          </w:p>
        </w:tc>
      </w:tr>
      <w:tr w:rsidR="00000000" w14:paraId="3AF44DEB" w14:textId="77777777">
        <w:trPr>
          <w:divId w:val="934826573"/>
        </w:trPr>
        <w:tc>
          <w:tcPr>
            <w:tcW w:w="0" w:type="auto"/>
            <w:gridSpan w:val="3"/>
            <w:shd w:val="clear" w:color="auto" w:fill="CCEEFF"/>
            <w:tcMar>
              <w:top w:w="30" w:type="dxa"/>
              <w:left w:w="20" w:type="dxa"/>
              <w:bottom w:w="30" w:type="dxa"/>
              <w:right w:w="20" w:type="dxa"/>
            </w:tcMar>
            <w:vAlign w:val="center"/>
            <w:hideMark/>
          </w:tcPr>
          <w:p w14:paraId="50C029CE" w14:textId="77777777" w:rsidR="00000000" w:rsidRDefault="00A173A8">
            <w:pPr>
              <w:spacing w:after="100"/>
              <w:rPr>
                <w:rFonts w:eastAsia="Times New Roman"/>
              </w:rPr>
            </w:pPr>
            <w:r>
              <w:rPr>
                <w:rFonts w:eastAsia="Times New Roman"/>
                <w:color w:val="000000"/>
                <w:sz w:val="18"/>
                <w:szCs w:val="18"/>
              </w:rPr>
              <w:t>Total derivatives designated as accounting hedges</w:t>
            </w:r>
          </w:p>
        </w:tc>
        <w:tc>
          <w:tcPr>
            <w:tcW w:w="0" w:type="auto"/>
            <w:gridSpan w:val="3"/>
            <w:shd w:val="clear" w:color="auto" w:fill="CCEEFF"/>
            <w:tcMar>
              <w:top w:w="0" w:type="dxa"/>
              <w:left w:w="20" w:type="dxa"/>
              <w:bottom w:w="0" w:type="dxa"/>
              <w:right w:w="20" w:type="dxa"/>
            </w:tcMar>
            <w:vAlign w:val="center"/>
            <w:hideMark/>
          </w:tcPr>
          <w:p w14:paraId="7710B19A"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7A651E" w14:textId="77777777" w:rsidR="00000000" w:rsidRDefault="00A173A8">
            <w:pPr>
              <w:spacing w:after="100"/>
              <w:jc w:val="right"/>
              <w:rPr>
                <w:rFonts w:eastAsia="Times New Roman"/>
              </w:rPr>
            </w:pPr>
            <w:r>
              <w:rPr>
                <w:rFonts w:eastAsia="Times New Roman"/>
                <w:b/>
                <w:bCs/>
                <w:color w:val="000000"/>
                <w:sz w:val="18"/>
                <w:szCs w:val="18"/>
              </w:rPr>
              <w:t>123,470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08619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1CDE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B956C17" w14:textId="77777777" w:rsidR="00000000" w:rsidRDefault="00A173A8">
            <w:pPr>
              <w:spacing w:after="100"/>
              <w:jc w:val="right"/>
              <w:rPr>
                <w:rFonts w:eastAsia="Times New Roman"/>
              </w:rPr>
            </w:pPr>
            <w:r>
              <w:rPr>
                <w:rFonts w:eastAsia="Times New Roman"/>
                <w:b/>
                <w:bCs/>
                <w:color w:val="000000"/>
                <w:sz w:val="18"/>
                <w:szCs w:val="18"/>
              </w:rPr>
              <w:t>613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607F4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FA73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8BF2D24" w14:textId="77777777" w:rsidR="00000000" w:rsidRDefault="00A173A8">
            <w:pPr>
              <w:spacing w:after="100"/>
              <w:jc w:val="right"/>
              <w:rPr>
                <w:rFonts w:eastAsia="Times New Roman"/>
              </w:rPr>
            </w:pPr>
            <w:r>
              <w:rPr>
                <w:rFonts w:eastAsia="Times New Roman"/>
                <w:b/>
                <w:bCs/>
                <w:color w:val="000000"/>
                <w:sz w:val="18"/>
                <w:szCs w:val="18"/>
              </w:rPr>
              <w:t>455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33AC9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71405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9BE7D35" w14:textId="77777777" w:rsidR="00000000" w:rsidRDefault="00A173A8">
            <w:pPr>
              <w:spacing w:after="100"/>
              <w:jc w:val="right"/>
              <w:rPr>
                <w:rFonts w:eastAsia="Times New Roman"/>
              </w:rPr>
            </w:pPr>
            <w:r>
              <w:rPr>
                <w:rFonts w:eastAsia="Times New Roman"/>
                <w:color w:val="000000"/>
                <w:sz w:val="18"/>
                <w:szCs w:val="18"/>
              </w:rPr>
              <w:t>111,618 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D6433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DF44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F0B9A3" w14:textId="77777777" w:rsidR="00000000" w:rsidRDefault="00A173A8">
            <w:pPr>
              <w:spacing w:after="100"/>
              <w:jc w:val="right"/>
              <w:rPr>
                <w:rFonts w:eastAsia="Times New Roman"/>
              </w:rPr>
            </w:pPr>
            <w:r>
              <w:rPr>
                <w:rFonts w:eastAsia="Times New Roman"/>
                <w:color w:val="000000"/>
                <w:sz w:val="18"/>
                <w:szCs w:val="18"/>
              </w:rPr>
              <w:t>326 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0E490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46ED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EC9A52" w14:textId="77777777" w:rsidR="00000000" w:rsidRDefault="00A173A8">
            <w:pPr>
              <w:spacing w:after="100"/>
              <w:jc w:val="right"/>
              <w:rPr>
                <w:rFonts w:eastAsia="Times New Roman"/>
              </w:rPr>
            </w:pPr>
            <w:r>
              <w:rPr>
                <w:rFonts w:eastAsia="Times New Roman"/>
                <w:color w:val="000000"/>
                <w:sz w:val="18"/>
                <w:szCs w:val="18"/>
              </w:rPr>
              <w:t>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E93DCB" w14:textId="77777777" w:rsidR="00000000" w:rsidRDefault="00A173A8">
            <w:pPr>
              <w:spacing w:after="100"/>
              <w:jc w:val="right"/>
              <w:rPr>
                <w:rFonts w:eastAsia="Times New Roman"/>
              </w:rPr>
            </w:pPr>
          </w:p>
        </w:tc>
      </w:tr>
      <w:tr w:rsidR="00000000" w14:paraId="104FB22B" w14:textId="77777777">
        <w:trPr>
          <w:divId w:val="934826573"/>
        </w:trPr>
        <w:tc>
          <w:tcPr>
            <w:tcW w:w="0" w:type="auto"/>
            <w:gridSpan w:val="3"/>
            <w:shd w:val="clear" w:color="auto" w:fill="FFFFFF"/>
            <w:tcMar>
              <w:top w:w="30" w:type="dxa"/>
              <w:left w:w="20" w:type="dxa"/>
              <w:bottom w:w="30" w:type="dxa"/>
              <w:right w:w="20" w:type="dxa"/>
            </w:tcMar>
            <w:vAlign w:val="center"/>
            <w:hideMark/>
          </w:tcPr>
          <w:p w14:paraId="495DFA8D" w14:textId="77777777" w:rsidR="00000000" w:rsidRDefault="00A173A8">
            <w:pPr>
              <w:spacing w:after="100"/>
              <w:rPr>
                <w:rFonts w:eastAsia="Times New Roman"/>
              </w:rPr>
            </w:pPr>
            <w:r>
              <w:rPr>
                <w:rFonts w:eastAsia="Times New Roman"/>
                <w:b/>
                <w:bCs/>
                <w:color w:val="000000"/>
                <w:sz w:val="18"/>
                <w:szCs w:val="18"/>
              </w:rPr>
              <w:t>Derivatives not designated as accounting hedges:</w:t>
            </w:r>
          </w:p>
        </w:tc>
        <w:tc>
          <w:tcPr>
            <w:tcW w:w="0" w:type="auto"/>
            <w:gridSpan w:val="3"/>
            <w:shd w:val="clear" w:color="auto" w:fill="FFFFFF"/>
            <w:tcMar>
              <w:top w:w="0" w:type="dxa"/>
              <w:left w:w="20" w:type="dxa"/>
              <w:bottom w:w="0" w:type="dxa"/>
              <w:right w:w="20" w:type="dxa"/>
            </w:tcMar>
            <w:vAlign w:val="center"/>
            <w:hideMark/>
          </w:tcPr>
          <w:p w14:paraId="3561C652" w14:textId="77777777" w:rsidR="00000000" w:rsidRDefault="00A173A8">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01FC2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32244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A68AA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2288A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E05F6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B8E73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8BA31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FC8F5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1391E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D07B6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1B9C7F" w14:textId="77777777" w:rsidR="00000000" w:rsidRDefault="00A173A8">
            <w:pPr>
              <w:spacing w:after="100"/>
              <w:rPr>
                <w:rFonts w:eastAsia="Times New Roman"/>
                <w:sz w:val="20"/>
                <w:szCs w:val="20"/>
              </w:rPr>
            </w:pPr>
          </w:p>
        </w:tc>
      </w:tr>
      <w:tr w:rsidR="00000000" w14:paraId="1828ADF4" w14:textId="77777777">
        <w:trPr>
          <w:divId w:val="934826573"/>
        </w:trPr>
        <w:tc>
          <w:tcPr>
            <w:tcW w:w="0" w:type="auto"/>
            <w:gridSpan w:val="3"/>
            <w:shd w:val="clear" w:color="auto" w:fill="CCEEFF"/>
            <w:tcMar>
              <w:top w:w="30" w:type="dxa"/>
              <w:left w:w="20" w:type="dxa"/>
              <w:bottom w:w="30" w:type="dxa"/>
              <w:right w:w="20" w:type="dxa"/>
            </w:tcMar>
            <w:vAlign w:val="center"/>
            <w:hideMark/>
          </w:tcPr>
          <w:p w14:paraId="5C72E32D" w14:textId="77777777" w:rsidR="00000000" w:rsidRDefault="00A173A8">
            <w:pPr>
              <w:spacing w:after="100"/>
              <w:rPr>
                <w:rFonts w:eastAsia="Times New Roman"/>
              </w:rPr>
            </w:pPr>
            <w:r>
              <w:rPr>
                <w:rFonts w:eastAsia="Times New Roman"/>
                <w:color w:val="000000"/>
                <w:sz w:val="18"/>
                <w:szCs w:val="18"/>
              </w:rPr>
              <w:t>Customer accommodation:</w:t>
            </w:r>
          </w:p>
        </w:tc>
        <w:tc>
          <w:tcPr>
            <w:tcW w:w="0" w:type="auto"/>
            <w:gridSpan w:val="3"/>
            <w:shd w:val="clear" w:color="auto" w:fill="CCEEFF"/>
            <w:tcMar>
              <w:top w:w="0" w:type="dxa"/>
              <w:left w:w="20" w:type="dxa"/>
              <w:bottom w:w="0" w:type="dxa"/>
              <w:right w:w="20" w:type="dxa"/>
            </w:tcMar>
            <w:vAlign w:val="center"/>
            <w:hideMark/>
          </w:tcPr>
          <w:p w14:paraId="3E822118"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C773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B5C56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63E80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C8161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3BB1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2CE8D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EDACF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115B5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EB04A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F77C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41FA35" w14:textId="77777777" w:rsidR="00000000" w:rsidRDefault="00A173A8">
            <w:pPr>
              <w:spacing w:after="100"/>
              <w:rPr>
                <w:rFonts w:eastAsia="Times New Roman"/>
                <w:sz w:val="20"/>
                <w:szCs w:val="20"/>
              </w:rPr>
            </w:pPr>
          </w:p>
        </w:tc>
      </w:tr>
      <w:tr w:rsidR="00000000" w14:paraId="723144E6" w14:textId="77777777">
        <w:trPr>
          <w:divId w:val="934826573"/>
        </w:trPr>
        <w:tc>
          <w:tcPr>
            <w:tcW w:w="0" w:type="auto"/>
            <w:gridSpan w:val="3"/>
            <w:shd w:val="clear" w:color="auto" w:fill="FFFFFF"/>
            <w:tcMar>
              <w:top w:w="30" w:type="dxa"/>
              <w:left w:w="245" w:type="dxa"/>
              <w:bottom w:w="30" w:type="dxa"/>
              <w:right w:w="20" w:type="dxa"/>
            </w:tcMar>
            <w:vAlign w:val="center"/>
            <w:hideMark/>
          </w:tcPr>
          <w:p w14:paraId="6BA6364A" w14:textId="77777777" w:rsidR="00000000" w:rsidRDefault="00A173A8">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627DAE1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A8D8AD8" w14:textId="77777777" w:rsidR="00000000" w:rsidRDefault="00A173A8">
            <w:pPr>
              <w:spacing w:after="100"/>
              <w:jc w:val="right"/>
              <w:rPr>
                <w:rFonts w:eastAsia="Times New Roman"/>
              </w:rPr>
            </w:pPr>
            <w:r>
              <w:rPr>
                <w:rFonts w:eastAsia="Times New Roman"/>
                <w:b/>
                <w:bCs/>
                <w:color w:val="000000"/>
                <w:sz w:val="18"/>
                <w:szCs w:val="18"/>
              </w:rPr>
              <w:t>85,971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314410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0A5F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BB62D2" w14:textId="77777777" w:rsidR="00000000" w:rsidRDefault="00A173A8">
            <w:pPr>
              <w:spacing w:after="100"/>
              <w:jc w:val="right"/>
              <w:rPr>
                <w:rFonts w:eastAsia="Times New Roman"/>
              </w:rPr>
            </w:pPr>
            <w:r>
              <w:rPr>
                <w:rFonts w:eastAsia="Times New Roman"/>
                <w:b/>
                <w:bCs/>
                <w:color w:val="000000"/>
                <w:sz w:val="18"/>
                <w:szCs w:val="18"/>
              </w:rPr>
              <w:t>427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CB02C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3598A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2F1AA2" w14:textId="77777777" w:rsidR="00000000" w:rsidRDefault="00A173A8">
            <w:pPr>
              <w:spacing w:after="100"/>
              <w:jc w:val="right"/>
              <w:rPr>
                <w:rFonts w:eastAsia="Times New Roman"/>
              </w:rPr>
            </w:pPr>
            <w:r>
              <w:rPr>
                <w:rFonts w:eastAsia="Times New Roman"/>
                <w:b/>
                <w:bCs/>
                <w:color w:val="000000"/>
                <w:sz w:val="18"/>
                <w:szCs w:val="18"/>
              </w:rPr>
              <w:t>1,257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1DA7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ABE5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855708B" w14:textId="77777777" w:rsidR="00000000" w:rsidRDefault="00A173A8">
            <w:pPr>
              <w:spacing w:after="100"/>
              <w:jc w:val="right"/>
              <w:rPr>
                <w:rFonts w:eastAsia="Times New Roman"/>
              </w:rPr>
            </w:pPr>
            <w:r>
              <w:rPr>
                <w:rFonts w:eastAsia="Times New Roman"/>
                <w:color w:val="000000"/>
                <w:sz w:val="18"/>
                <w:szCs w:val="18"/>
              </w:rPr>
              <w:t>71,724 </w:t>
            </w:r>
          </w:p>
        </w:tc>
        <w:tc>
          <w:tcPr>
            <w:tcW w:w="0" w:type="auto"/>
            <w:shd w:val="clear" w:color="auto" w:fill="FFFFFF"/>
            <w:tcMar>
              <w:top w:w="30" w:type="dxa"/>
              <w:left w:w="0" w:type="dxa"/>
              <w:bottom w:w="30" w:type="dxa"/>
              <w:right w:w="20" w:type="dxa"/>
            </w:tcMar>
            <w:vAlign w:val="center"/>
            <w:hideMark/>
          </w:tcPr>
          <w:p w14:paraId="70CB42E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D2CA3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1A5B869" w14:textId="77777777" w:rsidR="00000000" w:rsidRDefault="00A173A8">
            <w:pPr>
              <w:spacing w:after="100"/>
              <w:jc w:val="right"/>
              <w:rPr>
                <w:rFonts w:eastAsia="Times New Roman"/>
              </w:rPr>
            </w:pPr>
            <w:r>
              <w:rPr>
                <w:rFonts w:eastAsia="Times New Roman"/>
                <w:color w:val="000000"/>
                <w:sz w:val="18"/>
                <w:szCs w:val="18"/>
              </w:rPr>
              <w:t>620 </w:t>
            </w:r>
          </w:p>
        </w:tc>
        <w:tc>
          <w:tcPr>
            <w:tcW w:w="0" w:type="auto"/>
            <w:shd w:val="clear" w:color="auto" w:fill="FFFFFF"/>
            <w:tcMar>
              <w:top w:w="30" w:type="dxa"/>
              <w:left w:w="0" w:type="dxa"/>
              <w:bottom w:w="30" w:type="dxa"/>
              <w:right w:w="20" w:type="dxa"/>
            </w:tcMar>
            <w:vAlign w:val="center"/>
            <w:hideMark/>
          </w:tcPr>
          <w:p w14:paraId="7DA099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D040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52F8AAF" w14:textId="77777777" w:rsidR="00000000" w:rsidRDefault="00A173A8">
            <w:pPr>
              <w:spacing w:after="100"/>
              <w:jc w:val="right"/>
              <w:rPr>
                <w:rFonts w:eastAsia="Times New Roman"/>
              </w:rPr>
            </w:pPr>
            <w:r>
              <w:rPr>
                <w:rFonts w:eastAsia="Times New Roman"/>
                <w:color w:val="000000"/>
                <w:sz w:val="18"/>
                <w:szCs w:val="18"/>
              </w:rPr>
              <w:t>194 </w:t>
            </w:r>
          </w:p>
        </w:tc>
        <w:tc>
          <w:tcPr>
            <w:tcW w:w="0" w:type="auto"/>
            <w:shd w:val="clear" w:color="auto" w:fill="FFFFFF"/>
            <w:tcMar>
              <w:top w:w="30" w:type="dxa"/>
              <w:left w:w="0" w:type="dxa"/>
              <w:bottom w:w="30" w:type="dxa"/>
              <w:right w:w="20" w:type="dxa"/>
            </w:tcMar>
            <w:vAlign w:val="center"/>
            <w:hideMark/>
          </w:tcPr>
          <w:p w14:paraId="5BE819C3" w14:textId="77777777" w:rsidR="00000000" w:rsidRDefault="00A173A8">
            <w:pPr>
              <w:spacing w:after="100"/>
              <w:jc w:val="right"/>
              <w:rPr>
                <w:rFonts w:eastAsia="Times New Roman"/>
              </w:rPr>
            </w:pPr>
          </w:p>
        </w:tc>
      </w:tr>
      <w:tr w:rsidR="00000000" w14:paraId="503D0606" w14:textId="77777777">
        <w:trPr>
          <w:divId w:val="934826573"/>
        </w:trPr>
        <w:tc>
          <w:tcPr>
            <w:tcW w:w="0" w:type="auto"/>
            <w:gridSpan w:val="3"/>
            <w:shd w:val="clear" w:color="auto" w:fill="CCEEFF"/>
            <w:tcMar>
              <w:top w:w="30" w:type="dxa"/>
              <w:left w:w="245" w:type="dxa"/>
              <w:bottom w:w="30" w:type="dxa"/>
              <w:right w:w="20" w:type="dxa"/>
            </w:tcMar>
            <w:vAlign w:val="center"/>
            <w:hideMark/>
          </w:tcPr>
          <w:p w14:paraId="672D1D72" w14:textId="77777777" w:rsidR="00000000" w:rsidRDefault="00A173A8">
            <w:pPr>
              <w:spacing w:after="100"/>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14:paraId="48CF7BD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ACF2113" w14:textId="77777777" w:rsidR="00000000" w:rsidRDefault="00A173A8">
            <w:pPr>
              <w:spacing w:after="100"/>
              <w:jc w:val="right"/>
              <w:rPr>
                <w:rFonts w:eastAsia="Times New Roman"/>
              </w:rPr>
            </w:pPr>
            <w:r>
              <w:rPr>
                <w:rFonts w:eastAsia="Times New Roman"/>
                <w:b/>
                <w:bCs/>
                <w:color w:val="000000"/>
                <w:sz w:val="18"/>
                <w:szCs w:val="18"/>
              </w:rPr>
              <w:t>31,172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734CFA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0F669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9E0047B" w14:textId="77777777" w:rsidR="00000000" w:rsidRDefault="00A173A8">
            <w:pPr>
              <w:spacing w:after="100"/>
              <w:jc w:val="right"/>
              <w:rPr>
                <w:rFonts w:eastAsia="Times New Roman"/>
              </w:rPr>
            </w:pPr>
            <w:r>
              <w:rPr>
                <w:rFonts w:eastAsia="Times New Roman"/>
                <w:b/>
                <w:bCs/>
                <w:color w:val="000000"/>
                <w:sz w:val="18"/>
                <w:szCs w:val="18"/>
              </w:rPr>
              <w:t>3,335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21890B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39E0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581861E" w14:textId="77777777" w:rsidR="00000000" w:rsidRDefault="00A173A8">
            <w:pPr>
              <w:spacing w:after="100"/>
              <w:jc w:val="right"/>
              <w:rPr>
                <w:rFonts w:eastAsia="Times New Roman"/>
              </w:rPr>
            </w:pPr>
            <w:r>
              <w:rPr>
                <w:rFonts w:eastAsia="Times New Roman"/>
                <w:b/>
                <w:bCs/>
                <w:color w:val="000000"/>
                <w:sz w:val="18"/>
                <w:szCs w:val="18"/>
              </w:rPr>
              <w:t>2,858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503337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DA651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6650FE" w14:textId="77777777" w:rsidR="00000000" w:rsidRDefault="00A173A8">
            <w:pPr>
              <w:spacing w:after="100"/>
              <w:jc w:val="right"/>
              <w:rPr>
                <w:rFonts w:eastAsia="Times New Roman"/>
              </w:rPr>
            </w:pPr>
            <w:r>
              <w:rPr>
                <w:rFonts w:eastAsia="Times New Roman"/>
                <w:color w:val="000000"/>
                <w:sz w:val="18"/>
                <w:szCs w:val="18"/>
              </w:rPr>
              <w:t>22,021 </w:t>
            </w:r>
          </w:p>
        </w:tc>
        <w:tc>
          <w:tcPr>
            <w:tcW w:w="0" w:type="auto"/>
            <w:shd w:val="clear" w:color="auto" w:fill="CCEEFF"/>
            <w:tcMar>
              <w:top w:w="30" w:type="dxa"/>
              <w:left w:w="0" w:type="dxa"/>
              <w:bottom w:w="30" w:type="dxa"/>
              <w:right w:w="20" w:type="dxa"/>
            </w:tcMar>
            <w:vAlign w:val="center"/>
            <w:hideMark/>
          </w:tcPr>
          <w:p w14:paraId="673E0E5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B9194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0C0520" w14:textId="77777777" w:rsidR="00000000" w:rsidRDefault="00A173A8">
            <w:pPr>
              <w:spacing w:after="100"/>
              <w:jc w:val="right"/>
              <w:rPr>
                <w:rFonts w:eastAsia="Times New Roman"/>
              </w:rPr>
            </w:pPr>
            <w:r>
              <w:rPr>
                <w:rFonts w:eastAsia="Times New Roman"/>
                <w:color w:val="000000"/>
                <w:sz w:val="18"/>
                <w:szCs w:val="18"/>
              </w:rPr>
              <w:t>1,669 </w:t>
            </w:r>
          </w:p>
        </w:tc>
        <w:tc>
          <w:tcPr>
            <w:tcW w:w="0" w:type="auto"/>
            <w:shd w:val="clear" w:color="auto" w:fill="CCEEFF"/>
            <w:tcMar>
              <w:top w:w="30" w:type="dxa"/>
              <w:left w:w="0" w:type="dxa"/>
              <w:bottom w:w="30" w:type="dxa"/>
              <w:right w:w="20" w:type="dxa"/>
            </w:tcMar>
            <w:vAlign w:val="center"/>
            <w:hideMark/>
          </w:tcPr>
          <w:p w14:paraId="422D5CE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52510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FA5E98" w14:textId="77777777" w:rsidR="00000000" w:rsidRDefault="00A173A8">
            <w:pPr>
              <w:spacing w:after="100"/>
              <w:jc w:val="right"/>
              <w:rPr>
                <w:rFonts w:eastAsia="Times New Roman"/>
              </w:rPr>
            </w:pPr>
            <w:r>
              <w:rPr>
                <w:rFonts w:eastAsia="Times New Roman"/>
                <w:color w:val="000000"/>
                <w:sz w:val="18"/>
                <w:szCs w:val="18"/>
              </w:rPr>
              <w:t>1,561 </w:t>
            </w:r>
          </w:p>
        </w:tc>
        <w:tc>
          <w:tcPr>
            <w:tcW w:w="0" w:type="auto"/>
            <w:shd w:val="clear" w:color="auto" w:fill="CCEEFF"/>
            <w:tcMar>
              <w:top w:w="30" w:type="dxa"/>
              <w:left w:w="0" w:type="dxa"/>
              <w:bottom w:w="30" w:type="dxa"/>
              <w:right w:w="20" w:type="dxa"/>
            </w:tcMar>
            <w:vAlign w:val="center"/>
            <w:hideMark/>
          </w:tcPr>
          <w:p w14:paraId="790BAEC7" w14:textId="77777777" w:rsidR="00000000" w:rsidRDefault="00A173A8">
            <w:pPr>
              <w:spacing w:after="100"/>
              <w:jc w:val="right"/>
              <w:rPr>
                <w:rFonts w:eastAsia="Times New Roman"/>
              </w:rPr>
            </w:pPr>
          </w:p>
        </w:tc>
      </w:tr>
      <w:tr w:rsidR="00000000" w14:paraId="021A7C46" w14:textId="77777777">
        <w:trPr>
          <w:divId w:val="934826573"/>
        </w:trPr>
        <w:tc>
          <w:tcPr>
            <w:tcW w:w="0" w:type="auto"/>
            <w:gridSpan w:val="3"/>
            <w:shd w:val="clear" w:color="auto" w:fill="FFFFFF"/>
            <w:tcMar>
              <w:top w:w="30" w:type="dxa"/>
              <w:left w:w="245" w:type="dxa"/>
              <w:bottom w:w="30" w:type="dxa"/>
              <w:right w:w="20" w:type="dxa"/>
            </w:tcMar>
            <w:vAlign w:val="center"/>
            <w:hideMark/>
          </w:tcPr>
          <w:p w14:paraId="501CE63A" w14:textId="77777777" w:rsidR="00000000" w:rsidRDefault="00A173A8">
            <w:pPr>
              <w:spacing w:after="100"/>
              <w:rPr>
                <w:rFonts w:eastAsia="Times New Roman"/>
              </w:rPr>
            </w:pPr>
            <w:r>
              <w:rPr>
                <w:rFonts w:eastAsia="Times New Roman"/>
                <w:color w:val="000000"/>
                <w:sz w:val="18"/>
                <w:szCs w:val="18"/>
              </w:rPr>
              <w:t>Foreign exchange and other contracts</w:t>
            </w:r>
          </w:p>
        </w:tc>
        <w:tc>
          <w:tcPr>
            <w:tcW w:w="0" w:type="auto"/>
            <w:gridSpan w:val="3"/>
            <w:shd w:val="clear" w:color="auto" w:fill="FFFFFF"/>
            <w:tcMar>
              <w:top w:w="0" w:type="dxa"/>
              <w:left w:w="20" w:type="dxa"/>
              <w:bottom w:w="0" w:type="dxa"/>
              <w:right w:w="20" w:type="dxa"/>
            </w:tcMar>
            <w:vAlign w:val="center"/>
            <w:hideMark/>
          </w:tcPr>
          <w:p w14:paraId="7FB914E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A651B2B" w14:textId="77777777" w:rsidR="00000000" w:rsidRDefault="00A173A8">
            <w:pPr>
              <w:spacing w:after="100"/>
              <w:jc w:val="right"/>
              <w:rPr>
                <w:rFonts w:eastAsia="Times New Roman"/>
              </w:rPr>
            </w:pPr>
            <w:r>
              <w:rPr>
                <w:rFonts w:eastAsia="Times New Roman"/>
                <w:b/>
                <w:bCs/>
                <w:color w:val="000000"/>
                <w:sz w:val="18"/>
                <w:szCs w:val="18"/>
              </w:rPr>
              <w:t>4,382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3D034B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82055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8141720" w14:textId="77777777" w:rsidR="00000000" w:rsidRDefault="00A173A8">
            <w:pPr>
              <w:spacing w:after="100"/>
              <w:jc w:val="right"/>
              <w:rPr>
                <w:rFonts w:eastAsia="Times New Roman"/>
              </w:rPr>
            </w:pPr>
            <w:r>
              <w:rPr>
                <w:rFonts w:eastAsia="Times New Roman"/>
                <w:b/>
                <w:bCs/>
                <w:color w:val="000000"/>
                <w:sz w:val="18"/>
                <w:szCs w:val="18"/>
              </w:rPr>
              <w:t>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C800C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D2266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176CDE" w14:textId="77777777" w:rsidR="00000000" w:rsidRDefault="00A173A8">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6B876B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AFEE5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56D2CD" w14:textId="77777777" w:rsidR="00000000" w:rsidRDefault="00A173A8">
            <w:pPr>
              <w:spacing w:after="100"/>
              <w:jc w:val="right"/>
              <w:rPr>
                <w:rFonts w:eastAsia="Times New Roman"/>
              </w:rPr>
            </w:pPr>
            <w:r>
              <w:rPr>
                <w:rFonts w:eastAsia="Times New Roman"/>
                <w:color w:val="000000"/>
                <w:sz w:val="18"/>
                <w:szCs w:val="18"/>
              </w:rPr>
              <w:t>3,779 </w:t>
            </w:r>
          </w:p>
        </w:tc>
        <w:tc>
          <w:tcPr>
            <w:tcW w:w="0" w:type="auto"/>
            <w:shd w:val="clear" w:color="auto" w:fill="FFFFFF"/>
            <w:tcMar>
              <w:top w:w="30" w:type="dxa"/>
              <w:left w:w="0" w:type="dxa"/>
              <w:bottom w:w="30" w:type="dxa"/>
              <w:right w:w="20" w:type="dxa"/>
            </w:tcMar>
            <w:vAlign w:val="center"/>
            <w:hideMark/>
          </w:tcPr>
          <w:p w14:paraId="4AE1C4A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1639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196E23D" w14:textId="77777777" w:rsidR="00000000" w:rsidRDefault="00A173A8">
            <w:pPr>
              <w:spacing w:after="100"/>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14:paraId="047209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D3836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6514A2" w14:textId="77777777" w:rsidR="00000000" w:rsidRDefault="00A173A8">
            <w:pPr>
              <w:spacing w:after="100"/>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14:paraId="46D55B40" w14:textId="77777777" w:rsidR="00000000" w:rsidRDefault="00A173A8">
            <w:pPr>
              <w:spacing w:after="100"/>
              <w:jc w:val="right"/>
              <w:rPr>
                <w:rFonts w:eastAsia="Times New Roman"/>
              </w:rPr>
            </w:pPr>
          </w:p>
        </w:tc>
      </w:tr>
      <w:tr w:rsidR="00000000" w14:paraId="1CB7F638" w14:textId="77777777">
        <w:trPr>
          <w:divId w:val="934826573"/>
        </w:trPr>
        <w:tc>
          <w:tcPr>
            <w:tcW w:w="0" w:type="auto"/>
            <w:gridSpan w:val="3"/>
            <w:shd w:val="clear" w:color="auto" w:fill="CCEEFF"/>
            <w:tcMar>
              <w:top w:w="30" w:type="dxa"/>
              <w:left w:w="20" w:type="dxa"/>
              <w:bottom w:w="30" w:type="dxa"/>
              <w:right w:w="20" w:type="dxa"/>
            </w:tcMar>
            <w:vAlign w:val="center"/>
            <w:hideMark/>
          </w:tcPr>
          <w:p w14:paraId="4D1E2A9F" w14:textId="77777777" w:rsidR="00000000" w:rsidRDefault="00A173A8">
            <w:pPr>
              <w:spacing w:after="100"/>
              <w:rPr>
                <w:rFonts w:eastAsia="Times New Roman"/>
              </w:rPr>
            </w:pPr>
            <w:r>
              <w:rPr>
                <w:rFonts w:eastAsia="Times New Roman"/>
                <w:color w:val="000000"/>
                <w:sz w:val="18"/>
                <w:szCs w:val="18"/>
              </w:rPr>
              <w:t>Total customer accommodation</w:t>
            </w:r>
          </w:p>
        </w:tc>
        <w:tc>
          <w:tcPr>
            <w:tcW w:w="0" w:type="auto"/>
            <w:gridSpan w:val="3"/>
            <w:shd w:val="clear" w:color="auto" w:fill="CCEEFF"/>
            <w:tcMar>
              <w:top w:w="0" w:type="dxa"/>
              <w:left w:w="20" w:type="dxa"/>
              <w:bottom w:w="0" w:type="dxa"/>
              <w:right w:w="20" w:type="dxa"/>
            </w:tcMar>
            <w:vAlign w:val="center"/>
            <w:hideMark/>
          </w:tcPr>
          <w:p w14:paraId="19560183"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84D0B7" w14:textId="77777777" w:rsidR="00000000" w:rsidRDefault="00A173A8">
            <w:pPr>
              <w:spacing w:after="100"/>
              <w:jc w:val="right"/>
              <w:rPr>
                <w:rFonts w:eastAsia="Times New Roman"/>
              </w:rPr>
            </w:pPr>
            <w:r>
              <w:rPr>
                <w:rFonts w:eastAsia="Times New Roman"/>
                <w:b/>
                <w:bCs/>
                <w:color w:val="000000"/>
                <w:sz w:val="18"/>
                <w:szCs w:val="18"/>
              </w:rPr>
              <w:t>121,525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947B2F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9168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D120DD" w14:textId="77777777" w:rsidR="00000000" w:rsidRDefault="00A173A8">
            <w:pPr>
              <w:spacing w:after="100"/>
              <w:jc w:val="right"/>
              <w:rPr>
                <w:rFonts w:eastAsia="Times New Roman"/>
              </w:rPr>
            </w:pPr>
            <w:r>
              <w:rPr>
                <w:rFonts w:eastAsia="Times New Roman"/>
                <w:b/>
                <w:bCs/>
                <w:color w:val="000000"/>
                <w:sz w:val="18"/>
                <w:szCs w:val="18"/>
              </w:rPr>
              <w:t>3,849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CE69B9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B0F5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B8A4F9" w14:textId="77777777" w:rsidR="00000000" w:rsidRDefault="00A173A8">
            <w:pPr>
              <w:spacing w:after="100"/>
              <w:jc w:val="right"/>
              <w:rPr>
                <w:rFonts w:eastAsia="Times New Roman"/>
              </w:rPr>
            </w:pPr>
            <w:r>
              <w:rPr>
                <w:rFonts w:eastAsia="Times New Roman"/>
                <w:b/>
                <w:bCs/>
                <w:color w:val="000000"/>
                <w:sz w:val="18"/>
                <w:szCs w:val="18"/>
              </w:rPr>
              <w:t>4,189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9D9D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B213C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AE5054" w14:textId="77777777" w:rsidR="00000000" w:rsidRDefault="00A173A8">
            <w:pPr>
              <w:spacing w:after="100"/>
              <w:jc w:val="right"/>
              <w:rPr>
                <w:rFonts w:eastAsia="Times New Roman"/>
              </w:rPr>
            </w:pPr>
            <w:r>
              <w:rPr>
                <w:rFonts w:eastAsia="Times New Roman"/>
                <w:color w:val="000000"/>
                <w:sz w:val="18"/>
                <w:szCs w:val="18"/>
              </w:rPr>
              <w:t>97,524 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4C6A7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9D9A7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F3CBB40" w14:textId="77777777" w:rsidR="00000000" w:rsidRDefault="00A173A8">
            <w:pPr>
              <w:spacing w:after="100"/>
              <w:jc w:val="right"/>
              <w:rPr>
                <w:rFonts w:eastAsia="Times New Roman"/>
              </w:rPr>
            </w:pPr>
            <w:r>
              <w:rPr>
                <w:rFonts w:eastAsia="Times New Roman"/>
                <w:color w:val="000000"/>
                <w:sz w:val="18"/>
                <w:szCs w:val="18"/>
              </w:rPr>
              <w:t>2,329 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7E85A2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80E3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6A74CA6" w14:textId="77777777" w:rsidR="00000000" w:rsidRDefault="00A173A8">
            <w:pPr>
              <w:spacing w:after="100"/>
              <w:jc w:val="right"/>
              <w:rPr>
                <w:rFonts w:eastAsia="Times New Roman"/>
              </w:rPr>
            </w:pPr>
            <w:r>
              <w:rPr>
                <w:rFonts w:eastAsia="Times New Roman"/>
                <w:color w:val="000000"/>
                <w:sz w:val="18"/>
                <w:szCs w:val="18"/>
              </w:rPr>
              <w:t>1,797 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3433E6" w14:textId="77777777" w:rsidR="00000000" w:rsidRDefault="00A173A8">
            <w:pPr>
              <w:spacing w:after="100"/>
              <w:jc w:val="right"/>
              <w:rPr>
                <w:rFonts w:eastAsia="Times New Roman"/>
              </w:rPr>
            </w:pPr>
          </w:p>
        </w:tc>
      </w:tr>
      <w:tr w:rsidR="00000000" w14:paraId="2F1F73BF" w14:textId="77777777">
        <w:trPr>
          <w:divId w:val="934826573"/>
        </w:trPr>
        <w:tc>
          <w:tcPr>
            <w:tcW w:w="0" w:type="auto"/>
            <w:gridSpan w:val="3"/>
            <w:shd w:val="clear" w:color="auto" w:fill="FFFFFF"/>
            <w:tcMar>
              <w:top w:w="30" w:type="dxa"/>
              <w:left w:w="20" w:type="dxa"/>
              <w:bottom w:w="30" w:type="dxa"/>
              <w:right w:w="20" w:type="dxa"/>
            </w:tcMar>
            <w:vAlign w:val="center"/>
            <w:hideMark/>
          </w:tcPr>
          <w:p w14:paraId="586D78F7" w14:textId="77777777" w:rsidR="00000000" w:rsidRDefault="00A173A8">
            <w:pPr>
              <w:spacing w:after="100"/>
              <w:divId w:val="1166748684"/>
              <w:rPr>
                <w:rFonts w:eastAsia="Times New Roman"/>
              </w:rPr>
            </w:pPr>
            <w:r>
              <w:rPr>
                <w:rFonts w:eastAsia="Times New Roman"/>
                <w:color w:val="000000"/>
                <w:sz w:val="18"/>
                <w:szCs w:val="18"/>
              </w:rPr>
              <w:t>Other interest rate exposure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AC6858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CFD782A" w14:textId="77777777" w:rsidR="00000000" w:rsidRDefault="00A173A8">
            <w:pPr>
              <w:spacing w:after="100"/>
              <w:jc w:val="right"/>
              <w:rPr>
                <w:rFonts w:eastAsia="Times New Roman"/>
              </w:rPr>
            </w:pPr>
            <w:r>
              <w:rPr>
                <w:rFonts w:eastAsia="Times New Roman"/>
                <w:b/>
                <w:bCs/>
                <w:color w:val="000000"/>
                <w:sz w:val="18"/>
                <w:szCs w:val="18"/>
              </w:rPr>
              <w:t>1,405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2F7C14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F328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301A461" w14:textId="77777777" w:rsidR="00000000" w:rsidRDefault="00A173A8">
            <w:pPr>
              <w:spacing w:after="100"/>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0C007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79DBC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F103EA" w14:textId="77777777" w:rsidR="00000000" w:rsidRDefault="00A173A8">
            <w:pPr>
              <w:spacing w:after="100"/>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2FE3C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3075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47E5718" w14:textId="77777777" w:rsidR="00000000" w:rsidRDefault="00A173A8">
            <w:pPr>
              <w:spacing w:after="100"/>
              <w:jc w:val="right"/>
              <w:rPr>
                <w:rFonts w:eastAsia="Times New Roman"/>
              </w:rPr>
            </w:pPr>
            <w:r>
              <w:rPr>
                <w:rFonts w:eastAsia="Times New Roman"/>
                <w:color w:val="000000"/>
                <w:sz w:val="18"/>
                <w:szCs w:val="18"/>
              </w:rPr>
              <w:t>1,899 </w:t>
            </w:r>
          </w:p>
        </w:tc>
        <w:tc>
          <w:tcPr>
            <w:tcW w:w="0" w:type="auto"/>
            <w:shd w:val="clear" w:color="auto" w:fill="FFFFFF"/>
            <w:tcMar>
              <w:top w:w="30" w:type="dxa"/>
              <w:left w:w="0" w:type="dxa"/>
              <w:bottom w:w="30" w:type="dxa"/>
              <w:right w:w="20" w:type="dxa"/>
            </w:tcMar>
            <w:vAlign w:val="center"/>
            <w:hideMark/>
          </w:tcPr>
          <w:p w14:paraId="5DE02B8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F2C4E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78396B" w14:textId="77777777" w:rsidR="00000000" w:rsidRDefault="00A173A8">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14:paraId="3E3F889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674CE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3FE7ADB" w14:textId="77777777" w:rsidR="00000000" w:rsidRDefault="00A173A8">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14:paraId="34BC1932" w14:textId="77777777" w:rsidR="00000000" w:rsidRDefault="00A173A8">
            <w:pPr>
              <w:spacing w:after="100"/>
              <w:jc w:val="right"/>
              <w:rPr>
                <w:rFonts w:eastAsia="Times New Roman"/>
              </w:rPr>
            </w:pPr>
          </w:p>
        </w:tc>
      </w:tr>
      <w:tr w:rsidR="00000000" w14:paraId="1326E6C5" w14:textId="77777777">
        <w:trPr>
          <w:divId w:val="934826573"/>
        </w:trPr>
        <w:tc>
          <w:tcPr>
            <w:tcW w:w="0" w:type="auto"/>
            <w:gridSpan w:val="3"/>
            <w:shd w:val="clear" w:color="auto" w:fill="CCEEFF"/>
            <w:tcMar>
              <w:top w:w="30" w:type="dxa"/>
              <w:left w:w="20" w:type="dxa"/>
              <w:bottom w:w="30" w:type="dxa"/>
              <w:right w:w="20" w:type="dxa"/>
            </w:tcMar>
            <w:vAlign w:val="center"/>
            <w:hideMark/>
          </w:tcPr>
          <w:p w14:paraId="64A84565" w14:textId="77777777" w:rsidR="00000000" w:rsidRDefault="00A173A8">
            <w:pPr>
              <w:spacing w:after="100"/>
              <w:rPr>
                <w:rFonts w:eastAsia="Times New Roman"/>
              </w:rPr>
            </w:pPr>
            <w:r>
              <w:rPr>
                <w:rFonts w:eastAsia="Times New Roman"/>
                <w:color w:val="000000"/>
                <w:sz w:val="18"/>
                <w:szCs w:val="18"/>
              </w:rPr>
              <w:t>Other contracts</w:t>
            </w:r>
          </w:p>
        </w:tc>
        <w:tc>
          <w:tcPr>
            <w:tcW w:w="0" w:type="auto"/>
            <w:gridSpan w:val="3"/>
            <w:shd w:val="clear" w:color="auto" w:fill="CCEEFF"/>
            <w:tcMar>
              <w:top w:w="0" w:type="dxa"/>
              <w:left w:w="20" w:type="dxa"/>
              <w:bottom w:w="0" w:type="dxa"/>
              <w:right w:w="20" w:type="dxa"/>
            </w:tcMar>
            <w:vAlign w:val="center"/>
            <w:hideMark/>
          </w:tcPr>
          <w:p w14:paraId="267B19D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9A56DE" w14:textId="77777777" w:rsidR="00000000" w:rsidRDefault="00A173A8">
            <w:pPr>
              <w:spacing w:after="100"/>
              <w:jc w:val="right"/>
              <w:rPr>
                <w:rFonts w:eastAsia="Times New Roman"/>
              </w:rPr>
            </w:pPr>
            <w:r>
              <w:rPr>
                <w:rFonts w:eastAsia="Times New Roman"/>
                <w:b/>
                <w:bCs/>
                <w:color w:val="000000"/>
                <w:sz w:val="18"/>
                <w:szCs w:val="18"/>
              </w:rPr>
              <w:t>2,025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036AB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22208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460B40" w14:textId="77777777" w:rsidR="00000000" w:rsidRDefault="00A173A8">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2A389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C8F3D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D40149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E61C9C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5CB1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CD840E" w14:textId="77777777" w:rsidR="00000000" w:rsidRDefault="00A173A8">
            <w:pPr>
              <w:spacing w:after="100"/>
              <w:jc w:val="right"/>
              <w:rPr>
                <w:rFonts w:eastAsia="Times New Roman"/>
              </w:rPr>
            </w:pPr>
            <w:r>
              <w:rPr>
                <w:rFonts w:eastAsia="Times New Roman"/>
                <w:color w:val="000000"/>
                <w:sz w:val="18"/>
                <w:szCs w:val="18"/>
              </w:rPr>
              <w:t>2,028 </w:t>
            </w:r>
          </w:p>
        </w:tc>
        <w:tc>
          <w:tcPr>
            <w:tcW w:w="0" w:type="auto"/>
            <w:shd w:val="clear" w:color="auto" w:fill="CCEEFF"/>
            <w:tcMar>
              <w:top w:w="30" w:type="dxa"/>
              <w:left w:w="0" w:type="dxa"/>
              <w:bottom w:w="30" w:type="dxa"/>
              <w:right w:w="20" w:type="dxa"/>
            </w:tcMar>
            <w:vAlign w:val="center"/>
            <w:hideMark/>
          </w:tcPr>
          <w:p w14:paraId="1A4FDE3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0D72C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F8DAA3" w14:textId="77777777" w:rsidR="00000000" w:rsidRDefault="00A173A8">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14:paraId="38E88E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B79A6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AAA7945" w14:textId="77777777" w:rsidR="00000000" w:rsidRDefault="00A173A8">
            <w:pPr>
              <w:spacing w:after="100"/>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14:paraId="38FB1379" w14:textId="77777777" w:rsidR="00000000" w:rsidRDefault="00A173A8">
            <w:pPr>
              <w:spacing w:after="100"/>
              <w:jc w:val="right"/>
              <w:rPr>
                <w:rFonts w:eastAsia="Times New Roman"/>
              </w:rPr>
            </w:pPr>
          </w:p>
        </w:tc>
      </w:tr>
      <w:tr w:rsidR="00000000" w14:paraId="77B3F849" w14:textId="77777777">
        <w:trPr>
          <w:divId w:val="934826573"/>
        </w:trPr>
        <w:tc>
          <w:tcPr>
            <w:tcW w:w="0" w:type="auto"/>
            <w:gridSpan w:val="3"/>
            <w:shd w:val="clear" w:color="auto" w:fill="FFFFFF"/>
            <w:tcMar>
              <w:top w:w="30" w:type="dxa"/>
              <w:left w:w="20" w:type="dxa"/>
              <w:bottom w:w="30" w:type="dxa"/>
              <w:right w:w="20" w:type="dxa"/>
            </w:tcMar>
            <w:vAlign w:val="center"/>
            <w:hideMark/>
          </w:tcPr>
          <w:p w14:paraId="566FD6ED" w14:textId="77777777" w:rsidR="00000000" w:rsidRDefault="00A173A8">
            <w:pPr>
              <w:spacing w:after="100"/>
              <w:rPr>
                <w:rFonts w:eastAsia="Times New Roman"/>
              </w:rPr>
            </w:pPr>
            <w:r>
              <w:rPr>
                <w:rFonts w:eastAsia="Times New Roman"/>
                <w:color w:val="000000"/>
                <w:sz w:val="18"/>
                <w:szCs w:val="18"/>
              </w:rPr>
              <w:t>Total derivatives not designated as accounting hedges</w:t>
            </w:r>
          </w:p>
        </w:tc>
        <w:tc>
          <w:tcPr>
            <w:tcW w:w="0" w:type="auto"/>
            <w:gridSpan w:val="3"/>
            <w:shd w:val="clear" w:color="auto" w:fill="FFFFFF"/>
            <w:tcMar>
              <w:top w:w="0" w:type="dxa"/>
              <w:left w:w="20" w:type="dxa"/>
              <w:bottom w:w="0" w:type="dxa"/>
              <w:right w:w="20" w:type="dxa"/>
            </w:tcMar>
            <w:vAlign w:val="center"/>
            <w:hideMark/>
          </w:tcPr>
          <w:p w14:paraId="1B952741"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40FA455" w14:textId="77777777" w:rsidR="00000000" w:rsidRDefault="00A173A8">
            <w:pPr>
              <w:spacing w:after="100"/>
              <w:jc w:val="right"/>
              <w:rPr>
                <w:rFonts w:eastAsia="Times New Roman"/>
              </w:rPr>
            </w:pPr>
            <w:r>
              <w:rPr>
                <w:rFonts w:eastAsia="Times New Roman"/>
                <w:b/>
                <w:bCs/>
                <w:color w:val="000000"/>
                <w:sz w:val="18"/>
                <w:szCs w:val="18"/>
              </w:rPr>
              <w:t>124,955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2021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BD95E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22CB65C" w14:textId="77777777" w:rsidR="00000000" w:rsidRDefault="00A173A8">
            <w:pPr>
              <w:spacing w:after="100"/>
              <w:jc w:val="right"/>
              <w:rPr>
                <w:rFonts w:eastAsia="Times New Roman"/>
              </w:rPr>
            </w:pPr>
            <w:r>
              <w:rPr>
                <w:rFonts w:eastAsia="Times New Roman"/>
                <w:b/>
                <w:bCs/>
                <w:color w:val="000000"/>
                <w:sz w:val="18"/>
                <w:szCs w:val="18"/>
              </w:rPr>
              <w:t>3,887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5C89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31A0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F099E7A" w14:textId="77777777" w:rsidR="00000000" w:rsidRDefault="00A173A8">
            <w:pPr>
              <w:spacing w:after="100"/>
              <w:jc w:val="right"/>
              <w:rPr>
                <w:rFonts w:eastAsia="Times New Roman"/>
              </w:rPr>
            </w:pPr>
            <w:r>
              <w:rPr>
                <w:rFonts w:eastAsia="Times New Roman"/>
                <w:b/>
                <w:bCs/>
                <w:color w:val="000000"/>
                <w:sz w:val="18"/>
                <w:szCs w:val="18"/>
              </w:rPr>
              <w:t>4,208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F117E1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202FE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6DA4CB7" w14:textId="77777777" w:rsidR="00000000" w:rsidRDefault="00A173A8">
            <w:pPr>
              <w:spacing w:after="100"/>
              <w:jc w:val="right"/>
              <w:rPr>
                <w:rFonts w:eastAsia="Times New Roman"/>
              </w:rPr>
            </w:pPr>
            <w:r>
              <w:rPr>
                <w:rFonts w:eastAsia="Times New Roman"/>
                <w:color w:val="000000"/>
                <w:sz w:val="18"/>
                <w:szCs w:val="18"/>
              </w:rPr>
              <w:t>101,451 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BDF13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C3BE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FF1D93E" w14:textId="77777777" w:rsidR="00000000" w:rsidRDefault="00A173A8">
            <w:pPr>
              <w:spacing w:after="100"/>
              <w:jc w:val="right"/>
              <w:rPr>
                <w:rFonts w:eastAsia="Times New Roman"/>
              </w:rPr>
            </w:pPr>
            <w:r>
              <w:rPr>
                <w:rFonts w:eastAsia="Times New Roman"/>
                <w:color w:val="000000"/>
                <w:sz w:val="18"/>
                <w:szCs w:val="18"/>
              </w:rPr>
              <w:t>2,364 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C27E3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91C7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CD66409" w14:textId="77777777" w:rsidR="00000000" w:rsidRDefault="00A173A8">
            <w:pPr>
              <w:spacing w:after="100"/>
              <w:jc w:val="right"/>
              <w:rPr>
                <w:rFonts w:eastAsia="Times New Roman"/>
              </w:rPr>
            </w:pPr>
            <w:r>
              <w:rPr>
                <w:rFonts w:eastAsia="Times New Roman"/>
                <w:color w:val="000000"/>
                <w:sz w:val="18"/>
                <w:szCs w:val="18"/>
              </w:rPr>
              <w:t>1,829 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7C8A6CE" w14:textId="77777777" w:rsidR="00000000" w:rsidRDefault="00A173A8">
            <w:pPr>
              <w:spacing w:after="100"/>
              <w:jc w:val="right"/>
              <w:rPr>
                <w:rFonts w:eastAsia="Times New Roman"/>
              </w:rPr>
            </w:pPr>
          </w:p>
        </w:tc>
      </w:tr>
      <w:tr w:rsidR="00000000" w14:paraId="6B114035" w14:textId="77777777">
        <w:trPr>
          <w:divId w:val="934826573"/>
        </w:trPr>
        <w:tc>
          <w:tcPr>
            <w:tcW w:w="0" w:type="auto"/>
            <w:gridSpan w:val="3"/>
            <w:shd w:val="clear" w:color="auto" w:fill="CCEEFF"/>
            <w:tcMar>
              <w:top w:w="30" w:type="dxa"/>
              <w:left w:w="20" w:type="dxa"/>
              <w:bottom w:w="30" w:type="dxa"/>
              <w:right w:w="20" w:type="dxa"/>
            </w:tcMar>
            <w:vAlign w:val="center"/>
            <w:hideMark/>
          </w:tcPr>
          <w:p w14:paraId="4E490559" w14:textId="77777777" w:rsidR="00000000" w:rsidRDefault="00A173A8">
            <w:pPr>
              <w:spacing w:after="100"/>
              <w:rPr>
                <w:rFonts w:eastAsia="Times New Roman"/>
              </w:rPr>
            </w:pPr>
            <w:r>
              <w:rPr>
                <w:rFonts w:eastAsia="Times New Roman"/>
                <w:color w:val="000000"/>
                <w:sz w:val="18"/>
                <w:szCs w:val="18"/>
              </w:rPr>
              <w:t>Total derivatives</w:t>
            </w:r>
          </w:p>
        </w:tc>
        <w:tc>
          <w:tcPr>
            <w:tcW w:w="0" w:type="auto"/>
            <w:gridSpan w:val="3"/>
            <w:shd w:val="clear" w:color="auto" w:fill="CCEEFF"/>
            <w:tcMar>
              <w:top w:w="0" w:type="dxa"/>
              <w:left w:w="20" w:type="dxa"/>
              <w:bottom w:w="0" w:type="dxa"/>
              <w:right w:w="20" w:type="dxa"/>
            </w:tcMar>
            <w:vAlign w:val="center"/>
            <w:hideMark/>
          </w:tcPr>
          <w:p w14:paraId="625F18D9" w14:textId="77777777" w:rsidR="00000000" w:rsidRDefault="00A173A8">
            <w:pPr>
              <w:spacing w:after="100"/>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14:paraId="75491DC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center"/>
            <w:hideMark/>
          </w:tcPr>
          <w:p w14:paraId="1108A9E0" w14:textId="77777777" w:rsidR="00000000" w:rsidRDefault="00A173A8">
            <w:pPr>
              <w:spacing w:after="100"/>
              <w:jc w:val="right"/>
              <w:rPr>
                <w:rFonts w:eastAsia="Times New Roman"/>
              </w:rPr>
            </w:pPr>
            <w:r>
              <w:rPr>
                <w:rFonts w:eastAsia="Times New Roman"/>
                <w:b/>
                <w:bCs/>
                <w:color w:val="000000"/>
                <w:sz w:val="18"/>
                <w:szCs w:val="18"/>
              </w:rPr>
              <w:t>248,425</w:t>
            </w:r>
            <w:r>
              <w:rPr>
                <w:rFonts w:eastAsia="Times New Roman"/>
                <w:color w:val="000000"/>
                <w:sz w:val="18"/>
                <w:szCs w:val="18"/>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14:paraId="1469A19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69B01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8955B1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4D3668E" w14:textId="77777777" w:rsidR="00000000" w:rsidRDefault="00A173A8">
            <w:pPr>
              <w:spacing w:after="100"/>
              <w:jc w:val="right"/>
              <w:rPr>
                <w:rFonts w:eastAsia="Times New Roman"/>
              </w:rPr>
            </w:pPr>
            <w:r>
              <w:rPr>
                <w:rFonts w:eastAsia="Times New Roman"/>
                <w:b/>
                <w:bCs/>
                <w:color w:val="000000"/>
                <w:sz w:val="18"/>
                <w:szCs w:val="18"/>
              </w:rPr>
              <w:t>4,500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D12253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B4BD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40A0153"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EE1B527" w14:textId="77777777" w:rsidR="00000000" w:rsidRDefault="00A173A8">
            <w:pPr>
              <w:spacing w:after="100"/>
              <w:jc w:val="right"/>
              <w:rPr>
                <w:rFonts w:eastAsia="Times New Roman"/>
              </w:rPr>
            </w:pPr>
            <w:r>
              <w:rPr>
                <w:rFonts w:eastAsia="Times New Roman"/>
                <w:b/>
                <w:bCs/>
                <w:color w:val="000000"/>
                <w:sz w:val="18"/>
                <w:szCs w:val="18"/>
              </w:rPr>
              <w:t>4,663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3EF778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85DA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5BD250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442968C" w14:textId="77777777" w:rsidR="00000000" w:rsidRDefault="00A173A8">
            <w:pPr>
              <w:spacing w:after="100"/>
              <w:jc w:val="right"/>
              <w:rPr>
                <w:rFonts w:eastAsia="Times New Roman"/>
              </w:rPr>
            </w:pPr>
            <w:r>
              <w:rPr>
                <w:rFonts w:eastAsia="Times New Roman"/>
                <w:color w:val="000000"/>
                <w:sz w:val="18"/>
                <w:szCs w:val="18"/>
              </w:rPr>
              <w:t>213,069 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964F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6B34A6"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9CF9B7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C8B47C5" w14:textId="77777777" w:rsidR="00000000" w:rsidRDefault="00A173A8">
            <w:pPr>
              <w:spacing w:after="100"/>
              <w:jc w:val="right"/>
              <w:rPr>
                <w:rFonts w:eastAsia="Times New Roman"/>
              </w:rPr>
            </w:pPr>
            <w:r>
              <w:rPr>
                <w:rFonts w:eastAsia="Times New Roman"/>
                <w:color w:val="000000"/>
                <w:sz w:val="18"/>
                <w:szCs w:val="18"/>
              </w:rPr>
              <w:t>2,690 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4D24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BF307"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BF7049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E7920A0" w14:textId="77777777" w:rsidR="00000000" w:rsidRDefault="00A173A8">
            <w:pPr>
              <w:spacing w:after="100"/>
              <w:jc w:val="right"/>
              <w:rPr>
                <w:rFonts w:eastAsia="Times New Roman"/>
              </w:rPr>
            </w:pPr>
            <w:r>
              <w:rPr>
                <w:rFonts w:eastAsia="Times New Roman"/>
                <w:color w:val="000000"/>
                <w:sz w:val="18"/>
                <w:szCs w:val="18"/>
              </w:rPr>
              <w:t>1,868 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E5844C" w14:textId="77777777" w:rsidR="00000000" w:rsidRDefault="00A173A8">
            <w:pPr>
              <w:spacing w:after="100"/>
              <w:jc w:val="right"/>
              <w:rPr>
                <w:rFonts w:eastAsia="Times New Roman"/>
              </w:rPr>
            </w:pPr>
          </w:p>
        </w:tc>
      </w:tr>
      <w:tr w:rsidR="00000000" w14:paraId="11EA56C2" w14:textId="77777777">
        <w:trPr>
          <w:divId w:val="934826573"/>
        </w:trPr>
        <w:tc>
          <w:tcPr>
            <w:tcW w:w="0" w:type="auto"/>
            <w:gridSpan w:val="9"/>
            <w:shd w:val="clear" w:color="auto" w:fill="FFFFFF"/>
            <w:tcMar>
              <w:top w:w="30" w:type="dxa"/>
              <w:left w:w="20" w:type="dxa"/>
              <w:bottom w:w="30" w:type="dxa"/>
              <w:right w:w="20" w:type="dxa"/>
            </w:tcMar>
            <w:vAlign w:val="center"/>
            <w:hideMark/>
          </w:tcPr>
          <w:p w14:paraId="0FD920FA" w14:textId="77777777" w:rsidR="00000000" w:rsidRDefault="00A173A8">
            <w:pPr>
              <w:spacing w:after="100"/>
              <w:divId w:val="1622029980"/>
              <w:rPr>
                <w:rFonts w:eastAsia="Times New Roman"/>
              </w:rPr>
            </w:pPr>
            <w:r>
              <w:rPr>
                <w:rFonts w:eastAsia="Times New Roman"/>
                <w:color w:val="000000"/>
                <w:sz w:val="18"/>
                <w:szCs w:val="18"/>
              </w:rPr>
              <w:t>Less: netting adjustmen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7D2C3B5"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AAA2AA" w14:textId="77777777" w:rsidR="00000000" w:rsidRDefault="00A173A8">
            <w:pPr>
              <w:spacing w:after="100"/>
              <w:jc w:val="right"/>
              <w:rPr>
                <w:rFonts w:eastAsia="Times New Roman"/>
              </w:rPr>
            </w:pPr>
            <w:r>
              <w:rPr>
                <w:rFonts w:eastAsia="Times New Roman"/>
                <w:b/>
                <w:bCs/>
                <w:color w:val="000000"/>
                <w:sz w:val="18"/>
                <w:szCs w:val="18"/>
              </w:rPr>
              <w:t>(1,067)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C2F182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EFD3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B060246" w14:textId="77777777" w:rsidR="00000000" w:rsidRDefault="00A173A8">
            <w:pPr>
              <w:spacing w:after="100"/>
              <w:jc w:val="right"/>
              <w:rPr>
                <w:rFonts w:eastAsia="Times New Roman"/>
              </w:rPr>
            </w:pPr>
            <w:r>
              <w:rPr>
                <w:rFonts w:eastAsia="Times New Roman"/>
                <w:b/>
                <w:bCs/>
                <w:color w:val="000000"/>
                <w:sz w:val="18"/>
                <w:szCs w:val="18"/>
              </w:rPr>
              <w:t>(1,395)</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0920D9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07C14"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F44C86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C92003"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ADDF1F2" w14:textId="77777777" w:rsidR="00000000" w:rsidRDefault="00A173A8">
            <w:pPr>
              <w:spacing w:after="100"/>
              <w:jc w:val="right"/>
              <w:rPr>
                <w:rFonts w:eastAsia="Times New Roman"/>
              </w:rPr>
            </w:pPr>
            <w:r>
              <w:rPr>
                <w:rFonts w:eastAsia="Times New Roman"/>
                <w:color w:val="000000"/>
                <w:sz w:val="18"/>
                <w:szCs w:val="18"/>
              </w:rPr>
              <w:t>(542)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F97CF9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04C03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74F7D7C" w14:textId="77777777" w:rsidR="00000000" w:rsidRDefault="00A173A8">
            <w:pPr>
              <w:spacing w:after="100"/>
              <w:jc w:val="right"/>
              <w:rPr>
                <w:rFonts w:eastAsia="Times New Roman"/>
              </w:rPr>
            </w:pPr>
            <w:r>
              <w:rPr>
                <w:rFonts w:eastAsia="Times New Roman"/>
                <w:color w:val="000000"/>
                <w:sz w:val="18"/>
                <w:szCs w:val="18"/>
              </w:rPr>
              <w:t>(544)</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8DE72C" w14:textId="77777777" w:rsidR="00000000" w:rsidRDefault="00A173A8">
            <w:pPr>
              <w:spacing w:after="100"/>
              <w:jc w:val="right"/>
              <w:rPr>
                <w:rFonts w:eastAsia="Times New Roman"/>
              </w:rPr>
            </w:pPr>
          </w:p>
        </w:tc>
      </w:tr>
      <w:tr w:rsidR="00000000" w14:paraId="780407E8" w14:textId="77777777">
        <w:trPr>
          <w:divId w:val="934826573"/>
        </w:trPr>
        <w:tc>
          <w:tcPr>
            <w:tcW w:w="0" w:type="auto"/>
            <w:gridSpan w:val="9"/>
            <w:shd w:val="clear" w:color="auto" w:fill="CCEEFF"/>
            <w:tcMar>
              <w:top w:w="30" w:type="dxa"/>
              <w:left w:w="20" w:type="dxa"/>
              <w:bottom w:w="30" w:type="dxa"/>
              <w:right w:w="20" w:type="dxa"/>
            </w:tcMar>
            <w:vAlign w:val="center"/>
            <w:hideMark/>
          </w:tcPr>
          <w:p w14:paraId="660F06CC" w14:textId="77777777" w:rsidR="00000000" w:rsidRDefault="00A173A8">
            <w:pPr>
              <w:spacing w:after="100"/>
              <w:rPr>
                <w:rFonts w:eastAsia="Times New Roman"/>
              </w:rPr>
            </w:pPr>
            <w:r>
              <w:rPr>
                <w:rFonts w:eastAsia="Times New Roman"/>
                <w:color w:val="000000"/>
                <w:sz w:val="18"/>
                <w:szCs w:val="18"/>
              </w:rPr>
              <w:t>Total derivative assets/liabilities</w:t>
            </w:r>
          </w:p>
        </w:tc>
        <w:tc>
          <w:tcPr>
            <w:tcW w:w="0" w:type="auto"/>
            <w:gridSpan w:val="3"/>
            <w:shd w:val="clear" w:color="auto" w:fill="CCEEFF"/>
            <w:tcMar>
              <w:top w:w="0" w:type="dxa"/>
              <w:left w:w="20" w:type="dxa"/>
              <w:bottom w:w="0" w:type="dxa"/>
              <w:right w:w="20" w:type="dxa"/>
            </w:tcMar>
            <w:vAlign w:val="center"/>
            <w:hideMark/>
          </w:tcPr>
          <w:p w14:paraId="6984B465"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309834D"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EFED712" w14:textId="77777777" w:rsidR="00000000" w:rsidRDefault="00A173A8">
            <w:pPr>
              <w:spacing w:after="100"/>
              <w:jc w:val="right"/>
              <w:rPr>
                <w:rFonts w:eastAsia="Times New Roman"/>
              </w:rPr>
            </w:pPr>
            <w:r>
              <w:rPr>
                <w:rFonts w:eastAsia="Times New Roman"/>
                <w:b/>
                <w:bCs/>
                <w:color w:val="000000"/>
                <w:sz w:val="18"/>
                <w:szCs w:val="18"/>
              </w:rPr>
              <w:t>3,433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18DACE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FBC5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95930F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DB77781" w14:textId="77777777" w:rsidR="00000000" w:rsidRDefault="00A173A8">
            <w:pPr>
              <w:spacing w:after="100"/>
              <w:jc w:val="right"/>
              <w:rPr>
                <w:rFonts w:eastAsia="Times New Roman"/>
              </w:rPr>
            </w:pPr>
            <w:r>
              <w:rPr>
                <w:rFonts w:eastAsia="Times New Roman"/>
                <w:b/>
                <w:bCs/>
                <w:color w:val="000000"/>
                <w:sz w:val="18"/>
                <w:szCs w:val="18"/>
              </w:rPr>
              <w:t>3,268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2703D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E87CE2" w14:textId="77777777" w:rsidR="00000000" w:rsidRDefault="00A173A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0BBC2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3DD3AD" w14:textId="77777777" w:rsidR="00000000" w:rsidRDefault="00A173A8">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7EE4D7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C1EC238" w14:textId="77777777" w:rsidR="00000000" w:rsidRDefault="00A173A8">
            <w:pPr>
              <w:spacing w:after="100"/>
              <w:jc w:val="right"/>
              <w:rPr>
                <w:rFonts w:eastAsia="Times New Roman"/>
              </w:rPr>
            </w:pPr>
            <w:r>
              <w:rPr>
                <w:rFonts w:eastAsia="Times New Roman"/>
                <w:color w:val="000000"/>
                <w:sz w:val="18"/>
                <w:szCs w:val="18"/>
              </w:rPr>
              <w:t>2,148 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30DBF1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6828D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3F3EAB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F805F2C" w14:textId="77777777" w:rsidR="00000000" w:rsidRDefault="00A173A8">
            <w:pPr>
              <w:spacing w:after="100"/>
              <w:jc w:val="right"/>
              <w:rPr>
                <w:rFonts w:eastAsia="Times New Roman"/>
              </w:rPr>
            </w:pPr>
            <w:r>
              <w:rPr>
                <w:rFonts w:eastAsia="Times New Roman"/>
                <w:color w:val="000000"/>
                <w:sz w:val="18"/>
                <w:szCs w:val="18"/>
              </w:rPr>
              <w:t>1,324 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ACFFC04" w14:textId="77777777" w:rsidR="00000000" w:rsidRDefault="00A173A8">
            <w:pPr>
              <w:spacing w:after="100"/>
              <w:jc w:val="right"/>
              <w:rPr>
                <w:rFonts w:eastAsia="Times New Roman"/>
              </w:rPr>
            </w:pPr>
          </w:p>
        </w:tc>
      </w:tr>
    </w:tbl>
    <w:p w14:paraId="4DB0430C" w14:textId="77777777" w:rsidR="00000000" w:rsidRDefault="00A173A8">
      <w:pPr>
        <w:divId w:val="1772387349"/>
        <w:rPr>
          <w:rFonts w:eastAsia="Times New Roman"/>
        </w:rPr>
      </w:pPr>
      <w:r>
        <w:rPr>
          <w:rFonts w:eastAsia="Times New Roman"/>
          <w:color w:val="000000"/>
          <w:sz w:val="20"/>
          <w:szCs w:val="20"/>
        </w:rPr>
        <w:t>__________</w:t>
      </w:r>
    </w:p>
    <w:p w14:paraId="7E08EF42" w14:textId="77777777" w:rsidR="00000000" w:rsidRDefault="00A173A8">
      <w:pPr>
        <w:ind w:hanging="360"/>
        <w:jc w:val="both"/>
        <w:divId w:val="166567039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Does not reflect $8 million and $11 million</w:t>
      </w:r>
      <w:r>
        <w:rPr>
          <w:rFonts w:eastAsia="Times New Roman"/>
          <w:color w:val="000000"/>
          <w:sz w:val="16"/>
          <w:szCs w:val="16"/>
          <w:shd w:val="clear" w:color="auto" w:fill="FFFFFF"/>
        </w:rPr>
        <w:t xml:space="preserve"> recognized as a net valuation allowance on derivative assets and liabilities for non-performance risk as of June 30, 2022 and </w:t>
      </w:r>
      <w:r>
        <w:rPr>
          <w:rFonts w:eastAsia="Times New Roman"/>
          <w:color w:val="000000"/>
          <w:sz w:val="16"/>
          <w:szCs w:val="16"/>
        </w:rPr>
        <w:t>December 31, 2021</w:t>
      </w:r>
      <w:r>
        <w:rPr>
          <w:rFonts w:eastAsia="Times New Roman"/>
          <w:color w:val="000000"/>
          <w:sz w:val="16"/>
          <w:szCs w:val="16"/>
          <w:shd w:val="clear" w:color="auto" w:fill="FFFFFF"/>
        </w:rPr>
        <w:t>, respectively. Non-performanc</w:t>
      </w:r>
      <w:r>
        <w:rPr>
          <w:rFonts w:eastAsia="Times New Roman"/>
          <w:color w:val="000000"/>
          <w:sz w:val="16"/>
          <w:szCs w:val="16"/>
          <w:shd w:val="clear" w:color="auto" w:fill="FFFFFF"/>
        </w:rPr>
        <w:t>e risk is included in derivative assets and liabilities, which are part of other assets and other liabilities on the consolidated balance sheets, and is offset through non-interest income in the consolidated statements of income.</w:t>
      </w:r>
    </w:p>
    <w:p w14:paraId="37CFB741" w14:textId="77777777" w:rsidR="00000000" w:rsidRDefault="00A173A8">
      <w:pPr>
        <w:ind w:hanging="360"/>
        <w:jc w:val="both"/>
        <w:divId w:val="53315989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interest rate exp</w:t>
      </w:r>
      <w:r>
        <w:rPr>
          <w:rFonts w:eastAsia="Times New Roman"/>
          <w:color w:val="000000"/>
          <w:sz w:val="16"/>
          <w:szCs w:val="16"/>
        </w:rPr>
        <w:t>osures include commercial mortgage-related derivatives and interest rate swaps.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ADBABFE" w14:textId="77777777">
        <w:trPr>
          <w:divId w:val="1369524239"/>
          <w:jc w:val="center"/>
        </w:trPr>
        <w:tc>
          <w:tcPr>
            <w:tcW w:w="50" w:type="pct"/>
            <w:vAlign w:val="center"/>
            <w:hideMark/>
          </w:tcPr>
          <w:p w14:paraId="36B61141" w14:textId="77777777" w:rsidR="00000000" w:rsidRDefault="00A173A8">
            <w:pPr>
              <w:ind w:hanging="360"/>
              <w:jc w:val="both"/>
              <w:rPr>
                <w:rFonts w:eastAsia="Times New Roman"/>
              </w:rPr>
            </w:pPr>
          </w:p>
        </w:tc>
        <w:tc>
          <w:tcPr>
            <w:tcW w:w="1606" w:type="pct"/>
            <w:vAlign w:val="center"/>
            <w:hideMark/>
          </w:tcPr>
          <w:p w14:paraId="01C0BFE3" w14:textId="77777777" w:rsidR="00000000" w:rsidRDefault="00A173A8">
            <w:pPr>
              <w:spacing w:after="100"/>
              <w:rPr>
                <w:rFonts w:eastAsia="Times New Roman"/>
                <w:sz w:val="20"/>
                <w:szCs w:val="20"/>
              </w:rPr>
            </w:pPr>
          </w:p>
        </w:tc>
        <w:tc>
          <w:tcPr>
            <w:tcW w:w="5" w:type="pct"/>
            <w:vAlign w:val="center"/>
            <w:hideMark/>
          </w:tcPr>
          <w:p w14:paraId="5A8E0FB3" w14:textId="77777777" w:rsidR="00000000" w:rsidRDefault="00A173A8">
            <w:pPr>
              <w:spacing w:after="100"/>
              <w:rPr>
                <w:rFonts w:eastAsia="Times New Roman"/>
                <w:sz w:val="20"/>
                <w:szCs w:val="20"/>
              </w:rPr>
            </w:pPr>
          </w:p>
        </w:tc>
        <w:tc>
          <w:tcPr>
            <w:tcW w:w="50" w:type="pct"/>
            <w:vAlign w:val="center"/>
            <w:hideMark/>
          </w:tcPr>
          <w:p w14:paraId="16FD34A0" w14:textId="77777777" w:rsidR="00000000" w:rsidRDefault="00A173A8">
            <w:pPr>
              <w:spacing w:after="100"/>
              <w:rPr>
                <w:rFonts w:eastAsia="Times New Roman"/>
                <w:sz w:val="20"/>
                <w:szCs w:val="20"/>
              </w:rPr>
            </w:pPr>
          </w:p>
        </w:tc>
        <w:tc>
          <w:tcPr>
            <w:tcW w:w="1614" w:type="pct"/>
            <w:vAlign w:val="center"/>
            <w:hideMark/>
          </w:tcPr>
          <w:p w14:paraId="0AD8AC81" w14:textId="77777777" w:rsidR="00000000" w:rsidRDefault="00A173A8">
            <w:pPr>
              <w:spacing w:after="100"/>
              <w:rPr>
                <w:rFonts w:eastAsia="Times New Roman"/>
                <w:sz w:val="20"/>
                <w:szCs w:val="20"/>
              </w:rPr>
            </w:pPr>
          </w:p>
        </w:tc>
        <w:tc>
          <w:tcPr>
            <w:tcW w:w="5" w:type="pct"/>
            <w:vAlign w:val="center"/>
            <w:hideMark/>
          </w:tcPr>
          <w:p w14:paraId="355E8431" w14:textId="77777777" w:rsidR="00000000" w:rsidRDefault="00A173A8">
            <w:pPr>
              <w:spacing w:after="100"/>
              <w:rPr>
                <w:rFonts w:eastAsia="Times New Roman"/>
                <w:sz w:val="20"/>
                <w:szCs w:val="20"/>
              </w:rPr>
            </w:pPr>
          </w:p>
        </w:tc>
        <w:tc>
          <w:tcPr>
            <w:tcW w:w="50" w:type="pct"/>
            <w:vAlign w:val="center"/>
            <w:hideMark/>
          </w:tcPr>
          <w:p w14:paraId="06020F8A" w14:textId="77777777" w:rsidR="00000000" w:rsidRDefault="00A173A8">
            <w:pPr>
              <w:spacing w:after="100"/>
              <w:rPr>
                <w:rFonts w:eastAsia="Times New Roman"/>
                <w:sz w:val="20"/>
                <w:szCs w:val="20"/>
              </w:rPr>
            </w:pPr>
          </w:p>
        </w:tc>
        <w:tc>
          <w:tcPr>
            <w:tcW w:w="1614" w:type="pct"/>
            <w:vAlign w:val="center"/>
            <w:hideMark/>
          </w:tcPr>
          <w:p w14:paraId="181ADC67" w14:textId="77777777" w:rsidR="00000000" w:rsidRDefault="00A173A8">
            <w:pPr>
              <w:spacing w:after="100"/>
              <w:rPr>
                <w:rFonts w:eastAsia="Times New Roman"/>
                <w:sz w:val="20"/>
                <w:szCs w:val="20"/>
              </w:rPr>
            </w:pPr>
          </w:p>
        </w:tc>
        <w:tc>
          <w:tcPr>
            <w:tcW w:w="5" w:type="pct"/>
            <w:vAlign w:val="center"/>
            <w:hideMark/>
          </w:tcPr>
          <w:p w14:paraId="598628E5" w14:textId="77777777" w:rsidR="00000000" w:rsidRDefault="00A173A8">
            <w:pPr>
              <w:spacing w:after="100"/>
              <w:rPr>
                <w:rFonts w:eastAsia="Times New Roman"/>
                <w:sz w:val="20"/>
                <w:szCs w:val="20"/>
              </w:rPr>
            </w:pPr>
          </w:p>
        </w:tc>
      </w:tr>
      <w:tr w:rsidR="00000000" w14:paraId="4C9E246F" w14:textId="77777777">
        <w:trPr>
          <w:divId w:val="1369524239"/>
          <w:trHeight w:val="300"/>
          <w:jc w:val="center"/>
        </w:trPr>
        <w:tc>
          <w:tcPr>
            <w:tcW w:w="0" w:type="auto"/>
            <w:gridSpan w:val="9"/>
            <w:tcMar>
              <w:top w:w="0" w:type="dxa"/>
              <w:left w:w="20" w:type="dxa"/>
              <w:bottom w:w="0" w:type="dxa"/>
              <w:right w:w="20" w:type="dxa"/>
            </w:tcMar>
            <w:vAlign w:val="center"/>
            <w:hideMark/>
          </w:tcPr>
          <w:p w14:paraId="2861D7BD" w14:textId="77777777" w:rsidR="00000000" w:rsidRDefault="00A173A8">
            <w:pPr>
              <w:spacing w:after="100"/>
              <w:rPr>
                <w:rFonts w:eastAsia="Times New Roman"/>
                <w:sz w:val="20"/>
                <w:szCs w:val="20"/>
              </w:rPr>
            </w:pPr>
          </w:p>
        </w:tc>
      </w:tr>
      <w:tr w:rsidR="00000000" w14:paraId="6E477581" w14:textId="77777777">
        <w:trPr>
          <w:divId w:val="1369524239"/>
          <w:jc w:val="center"/>
        </w:trPr>
        <w:tc>
          <w:tcPr>
            <w:tcW w:w="0" w:type="auto"/>
            <w:gridSpan w:val="3"/>
            <w:tcMar>
              <w:top w:w="0" w:type="dxa"/>
              <w:left w:w="20" w:type="dxa"/>
              <w:bottom w:w="0" w:type="dxa"/>
              <w:right w:w="20" w:type="dxa"/>
            </w:tcMar>
            <w:vAlign w:val="center"/>
            <w:hideMark/>
          </w:tcPr>
          <w:p w14:paraId="69E887B2"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8AA9B8C" w14:textId="77777777" w:rsidR="00000000" w:rsidRDefault="00A173A8">
            <w:pPr>
              <w:spacing w:after="100"/>
              <w:jc w:val="center"/>
              <w:rPr>
                <w:rFonts w:eastAsia="Times New Roman"/>
              </w:rPr>
            </w:pPr>
            <w:r>
              <w:rPr>
                <w:rFonts w:eastAsia="Times New Roman"/>
                <w:color w:val="000000"/>
                <w:sz w:val="16"/>
                <w:szCs w:val="16"/>
              </w:rPr>
              <w:t>95</w:t>
            </w:r>
          </w:p>
        </w:tc>
        <w:tc>
          <w:tcPr>
            <w:tcW w:w="0" w:type="auto"/>
            <w:gridSpan w:val="3"/>
            <w:tcMar>
              <w:top w:w="30" w:type="dxa"/>
              <w:left w:w="20" w:type="dxa"/>
              <w:bottom w:w="30" w:type="dxa"/>
              <w:right w:w="20" w:type="dxa"/>
            </w:tcMar>
            <w:vAlign w:val="bottom"/>
            <w:hideMark/>
          </w:tcPr>
          <w:p w14:paraId="641E0234"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673D64A" w14:textId="77777777" w:rsidR="00000000" w:rsidRDefault="00A173A8">
      <w:pPr>
        <w:rPr>
          <w:rFonts w:eastAsia="Times New Roman"/>
        </w:rPr>
      </w:pPr>
      <w:r>
        <w:rPr>
          <w:rFonts w:eastAsia="Times New Roman"/>
        </w:rPr>
        <w:pict w14:anchorId="6343AD53">
          <v:rect id="_x0000_i1120" style="width:0;height:1.5pt" o:hralign="center" o:hrstd="t" o:hr="t" fillcolor="#a0a0a0" stroked="f"/>
        </w:pict>
      </w:r>
    </w:p>
    <w:p w14:paraId="64F0BB9C" w14:textId="77777777" w:rsidR="00000000" w:rsidRDefault="00A173A8">
      <w:pPr>
        <w:jc w:val="both"/>
        <w:divId w:val="394015867"/>
        <w:rPr>
          <w:rFonts w:eastAsia="Times New Roman"/>
        </w:rPr>
      </w:pPr>
      <w:hyperlink w:anchor="i7ffd5d61af6f4722b1b1b07530d51c06_13" w:history="1">
        <w:r>
          <w:rPr>
            <w:rStyle w:val="a3"/>
            <w:rFonts w:eastAsia="Times New Roman"/>
            <w:sz w:val="16"/>
            <w:szCs w:val="16"/>
          </w:rPr>
          <w:t>Table of Contents</w:t>
        </w:r>
      </w:hyperlink>
    </w:p>
    <w:p w14:paraId="025A2AA4" w14:textId="77777777" w:rsidR="00000000" w:rsidRDefault="00A173A8">
      <w:pPr>
        <w:ind w:hanging="360"/>
        <w:jc w:val="both"/>
        <w:divId w:val="188725087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balance sheet netting of derivative assets and liabilities, and related payables and receivables for cash collateral held or plac</w:t>
      </w:r>
      <w:r>
        <w:rPr>
          <w:rFonts w:eastAsia="Times New Roman"/>
          <w:color w:val="000000"/>
          <w:sz w:val="16"/>
          <w:szCs w:val="16"/>
        </w:rPr>
        <w:t>ed with the same counterparty.</w:t>
      </w:r>
    </w:p>
    <w:p w14:paraId="58227652" w14:textId="77777777" w:rsidR="00000000" w:rsidRDefault="00A173A8">
      <w:pPr>
        <w:divId w:val="711340817"/>
        <w:rPr>
          <w:rFonts w:eastAsia="Times New Roman"/>
        </w:rPr>
      </w:pPr>
      <w:r>
        <w:rPr>
          <w:rFonts w:eastAsia="Times New Roman"/>
          <w:color w:val="000000"/>
          <w:sz w:val="20"/>
          <w:szCs w:val="20"/>
        </w:rPr>
        <w:t>The following table summarizes the carrying value of our hedged assets and liabilities in fair value hedges and the associated cumulative basis adjustments included in those carrying values, excluding basis adjustments relate</w:t>
      </w:r>
      <w:r>
        <w:rPr>
          <w:rFonts w:eastAsia="Times New Roman"/>
          <w:color w:val="000000"/>
          <w:sz w:val="20"/>
          <w:szCs w:val="20"/>
        </w:rPr>
        <w:t>d to foreign currency risk, as of June 30, 2022 and December 31, 2021.</w:t>
      </w:r>
    </w:p>
    <w:p w14:paraId="3D221018" w14:textId="77777777" w:rsidR="00000000" w:rsidRDefault="00A173A8">
      <w:pPr>
        <w:divId w:val="647713401"/>
        <w:rPr>
          <w:rFonts w:eastAsia="Times New Roman"/>
        </w:rPr>
      </w:pPr>
      <w:r>
        <w:rPr>
          <w:rFonts w:eastAsia="Times New Roman"/>
          <w:b/>
          <w:bCs/>
          <w:color w:val="000000"/>
          <w:sz w:val="18"/>
          <w:szCs w:val="18"/>
        </w:rPr>
        <w:t>Table 8.2: Hedged Items in Fair Value Hedging Relationships</w:t>
      </w:r>
    </w:p>
    <w:tbl>
      <w:tblPr>
        <w:tblW w:w="5000" w:type="pct"/>
        <w:tblCellMar>
          <w:top w:w="15" w:type="dxa"/>
          <w:left w:w="15" w:type="dxa"/>
          <w:bottom w:w="15" w:type="dxa"/>
          <w:right w:w="15" w:type="dxa"/>
        </w:tblCellMar>
        <w:tblLook w:val="04A0" w:firstRow="1" w:lastRow="0" w:firstColumn="1" w:lastColumn="0" w:noHBand="0" w:noVBand="1"/>
      </w:tblPr>
      <w:tblGrid>
        <w:gridCol w:w="38"/>
        <w:gridCol w:w="968"/>
        <w:gridCol w:w="37"/>
        <w:gridCol w:w="36"/>
        <w:gridCol w:w="36"/>
        <w:gridCol w:w="36"/>
        <w:gridCol w:w="124"/>
        <w:gridCol w:w="1167"/>
        <w:gridCol w:w="36"/>
        <w:gridCol w:w="36"/>
        <w:gridCol w:w="36"/>
        <w:gridCol w:w="36"/>
        <w:gridCol w:w="124"/>
        <w:gridCol w:w="1167"/>
        <w:gridCol w:w="37"/>
        <w:gridCol w:w="36"/>
        <w:gridCol w:w="36"/>
        <w:gridCol w:w="36"/>
        <w:gridCol w:w="111"/>
        <w:gridCol w:w="889"/>
        <w:gridCol w:w="37"/>
        <w:gridCol w:w="36"/>
        <w:gridCol w:w="36"/>
        <w:gridCol w:w="36"/>
        <w:gridCol w:w="124"/>
        <w:gridCol w:w="1167"/>
        <w:gridCol w:w="36"/>
        <w:gridCol w:w="36"/>
        <w:gridCol w:w="36"/>
        <w:gridCol w:w="36"/>
        <w:gridCol w:w="124"/>
        <w:gridCol w:w="1167"/>
        <w:gridCol w:w="37"/>
        <w:gridCol w:w="36"/>
        <w:gridCol w:w="36"/>
        <w:gridCol w:w="36"/>
        <w:gridCol w:w="111"/>
        <w:gridCol w:w="889"/>
        <w:gridCol w:w="37"/>
      </w:tblGrid>
      <w:tr w:rsidR="00000000" w14:paraId="1DFEF4E1" w14:textId="77777777">
        <w:trPr>
          <w:divId w:val="1241519675"/>
        </w:trPr>
        <w:tc>
          <w:tcPr>
            <w:tcW w:w="50" w:type="pct"/>
            <w:vAlign w:val="center"/>
            <w:hideMark/>
          </w:tcPr>
          <w:p w14:paraId="5ED02D34" w14:textId="77777777" w:rsidR="00000000" w:rsidRDefault="00A173A8">
            <w:pPr>
              <w:rPr>
                <w:rFonts w:eastAsia="Times New Roman"/>
              </w:rPr>
            </w:pPr>
          </w:p>
        </w:tc>
        <w:tc>
          <w:tcPr>
            <w:tcW w:w="1567" w:type="pct"/>
            <w:vAlign w:val="center"/>
            <w:hideMark/>
          </w:tcPr>
          <w:p w14:paraId="7362FE7A" w14:textId="77777777" w:rsidR="00000000" w:rsidRDefault="00A173A8">
            <w:pPr>
              <w:spacing w:after="100"/>
              <w:rPr>
                <w:rFonts w:eastAsia="Times New Roman"/>
                <w:sz w:val="20"/>
                <w:szCs w:val="20"/>
              </w:rPr>
            </w:pPr>
          </w:p>
        </w:tc>
        <w:tc>
          <w:tcPr>
            <w:tcW w:w="5" w:type="pct"/>
            <w:vAlign w:val="center"/>
            <w:hideMark/>
          </w:tcPr>
          <w:p w14:paraId="37C97F50" w14:textId="77777777" w:rsidR="00000000" w:rsidRDefault="00A173A8">
            <w:pPr>
              <w:spacing w:after="100"/>
              <w:rPr>
                <w:rFonts w:eastAsia="Times New Roman"/>
                <w:sz w:val="20"/>
                <w:szCs w:val="20"/>
              </w:rPr>
            </w:pPr>
          </w:p>
        </w:tc>
        <w:tc>
          <w:tcPr>
            <w:tcW w:w="5" w:type="pct"/>
            <w:vAlign w:val="center"/>
            <w:hideMark/>
          </w:tcPr>
          <w:p w14:paraId="4825F69B" w14:textId="77777777" w:rsidR="00000000" w:rsidRDefault="00A173A8">
            <w:pPr>
              <w:spacing w:after="100"/>
              <w:rPr>
                <w:rFonts w:eastAsia="Times New Roman"/>
                <w:sz w:val="20"/>
                <w:szCs w:val="20"/>
              </w:rPr>
            </w:pPr>
          </w:p>
        </w:tc>
        <w:tc>
          <w:tcPr>
            <w:tcW w:w="26" w:type="pct"/>
            <w:vAlign w:val="center"/>
            <w:hideMark/>
          </w:tcPr>
          <w:p w14:paraId="73726A47" w14:textId="77777777" w:rsidR="00000000" w:rsidRDefault="00A173A8">
            <w:pPr>
              <w:spacing w:after="100"/>
              <w:rPr>
                <w:rFonts w:eastAsia="Times New Roman"/>
                <w:sz w:val="20"/>
                <w:szCs w:val="20"/>
              </w:rPr>
            </w:pPr>
          </w:p>
        </w:tc>
        <w:tc>
          <w:tcPr>
            <w:tcW w:w="5" w:type="pct"/>
            <w:vAlign w:val="center"/>
            <w:hideMark/>
          </w:tcPr>
          <w:p w14:paraId="07641B0F" w14:textId="77777777" w:rsidR="00000000" w:rsidRDefault="00A173A8">
            <w:pPr>
              <w:spacing w:after="100"/>
              <w:rPr>
                <w:rFonts w:eastAsia="Times New Roman"/>
                <w:sz w:val="20"/>
                <w:szCs w:val="20"/>
              </w:rPr>
            </w:pPr>
          </w:p>
        </w:tc>
        <w:tc>
          <w:tcPr>
            <w:tcW w:w="50" w:type="pct"/>
            <w:vAlign w:val="center"/>
            <w:hideMark/>
          </w:tcPr>
          <w:p w14:paraId="266ECC44" w14:textId="77777777" w:rsidR="00000000" w:rsidRDefault="00A173A8">
            <w:pPr>
              <w:spacing w:after="100"/>
              <w:rPr>
                <w:rFonts w:eastAsia="Times New Roman"/>
                <w:sz w:val="20"/>
                <w:szCs w:val="20"/>
              </w:rPr>
            </w:pPr>
          </w:p>
        </w:tc>
        <w:tc>
          <w:tcPr>
            <w:tcW w:w="471" w:type="pct"/>
            <w:vAlign w:val="center"/>
            <w:hideMark/>
          </w:tcPr>
          <w:p w14:paraId="039F20ED" w14:textId="77777777" w:rsidR="00000000" w:rsidRDefault="00A173A8">
            <w:pPr>
              <w:spacing w:after="100"/>
              <w:rPr>
                <w:rFonts w:eastAsia="Times New Roman"/>
                <w:sz w:val="20"/>
                <w:szCs w:val="20"/>
              </w:rPr>
            </w:pPr>
          </w:p>
        </w:tc>
        <w:tc>
          <w:tcPr>
            <w:tcW w:w="5" w:type="pct"/>
            <w:vAlign w:val="center"/>
            <w:hideMark/>
          </w:tcPr>
          <w:p w14:paraId="0ABEDDDF" w14:textId="77777777" w:rsidR="00000000" w:rsidRDefault="00A173A8">
            <w:pPr>
              <w:spacing w:after="100"/>
              <w:rPr>
                <w:rFonts w:eastAsia="Times New Roman"/>
                <w:sz w:val="20"/>
                <w:szCs w:val="20"/>
              </w:rPr>
            </w:pPr>
          </w:p>
        </w:tc>
        <w:tc>
          <w:tcPr>
            <w:tcW w:w="5" w:type="pct"/>
            <w:vAlign w:val="center"/>
            <w:hideMark/>
          </w:tcPr>
          <w:p w14:paraId="57526936" w14:textId="77777777" w:rsidR="00000000" w:rsidRDefault="00A173A8">
            <w:pPr>
              <w:spacing w:after="100"/>
              <w:rPr>
                <w:rFonts w:eastAsia="Times New Roman"/>
                <w:sz w:val="20"/>
                <w:szCs w:val="20"/>
              </w:rPr>
            </w:pPr>
          </w:p>
        </w:tc>
        <w:tc>
          <w:tcPr>
            <w:tcW w:w="26" w:type="pct"/>
            <w:vAlign w:val="center"/>
            <w:hideMark/>
          </w:tcPr>
          <w:p w14:paraId="0F9B151C" w14:textId="77777777" w:rsidR="00000000" w:rsidRDefault="00A173A8">
            <w:pPr>
              <w:spacing w:after="100"/>
              <w:rPr>
                <w:rFonts w:eastAsia="Times New Roman"/>
                <w:sz w:val="20"/>
                <w:szCs w:val="20"/>
              </w:rPr>
            </w:pPr>
          </w:p>
        </w:tc>
        <w:tc>
          <w:tcPr>
            <w:tcW w:w="5" w:type="pct"/>
            <w:vAlign w:val="center"/>
            <w:hideMark/>
          </w:tcPr>
          <w:p w14:paraId="4B859A81" w14:textId="77777777" w:rsidR="00000000" w:rsidRDefault="00A173A8">
            <w:pPr>
              <w:spacing w:after="100"/>
              <w:rPr>
                <w:rFonts w:eastAsia="Times New Roman"/>
                <w:sz w:val="20"/>
                <w:szCs w:val="20"/>
              </w:rPr>
            </w:pPr>
          </w:p>
        </w:tc>
        <w:tc>
          <w:tcPr>
            <w:tcW w:w="50" w:type="pct"/>
            <w:vAlign w:val="center"/>
            <w:hideMark/>
          </w:tcPr>
          <w:p w14:paraId="5F851DB4" w14:textId="77777777" w:rsidR="00000000" w:rsidRDefault="00A173A8">
            <w:pPr>
              <w:spacing w:after="100"/>
              <w:rPr>
                <w:rFonts w:eastAsia="Times New Roman"/>
                <w:sz w:val="20"/>
                <w:szCs w:val="20"/>
              </w:rPr>
            </w:pPr>
          </w:p>
        </w:tc>
        <w:tc>
          <w:tcPr>
            <w:tcW w:w="471" w:type="pct"/>
            <w:vAlign w:val="center"/>
            <w:hideMark/>
          </w:tcPr>
          <w:p w14:paraId="10D1703D" w14:textId="77777777" w:rsidR="00000000" w:rsidRDefault="00A173A8">
            <w:pPr>
              <w:spacing w:after="100"/>
              <w:rPr>
                <w:rFonts w:eastAsia="Times New Roman"/>
                <w:sz w:val="20"/>
                <w:szCs w:val="20"/>
              </w:rPr>
            </w:pPr>
          </w:p>
        </w:tc>
        <w:tc>
          <w:tcPr>
            <w:tcW w:w="5" w:type="pct"/>
            <w:vAlign w:val="center"/>
            <w:hideMark/>
          </w:tcPr>
          <w:p w14:paraId="4DCB9293" w14:textId="77777777" w:rsidR="00000000" w:rsidRDefault="00A173A8">
            <w:pPr>
              <w:spacing w:after="100"/>
              <w:rPr>
                <w:rFonts w:eastAsia="Times New Roman"/>
                <w:sz w:val="20"/>
                <w:szCs w:val="20"/>
              </w:rPr>
            </w:pPr>
          </w:p>
        </w:tc>
        <w:tc>
          <w:tcPr>
            <w:tcW w:w="5" w:type="pct"/>
            <w:vAlign w:val="center"/>
            <w:hideMark/>
          </w:tcPr>
          <w:p w14:paraId="15C2F702" w14:textId="77777777" w:rsidR="00000000" w:rsidRDefault="00A173A8">
            <w:pPr>
              <w:spacing w:after="100"/>
              <w:rPr>
                <w:rFonts w:eastAsia="Times New Roman"/>
                <w:sz w:val="20"/>
                <w:szCs w:val="20"/>
              </w:rPr>
            </w:pPr>
          </w:p>
        </w:tc>
        <w:tc>
          <w:tcPr>
            <w:tcW w:w="26" w:type="pct"/>
            <w:vAlign w:val="center"/>
            <w:hideMark/>
          </w:tcPr>
          <w:p w14:paraId="738AC6E3" w14:textId="77777777" w:rsidR="00000000" w:rsidRDefault="00A173A8">
            <w:pPr>
              <w:spacing w:after="100"/>
              <w:rPr>
                <w:rFonts w:eastAsia="Times New Roman"/>
                <w:sz w:val="20"/>
                <w:szCs w:val="20"/>
              </w:rPr>
            </w:pPr>
          </w:p>
        </w:tc>
        <w:tc>
          <w:tcPr>
            <w:tcW w:w="5" w:type="pct"/>
            <w:vAlign w:val="center"/>
            <w:hideMark/>
          </w:tcPr>
          <w:p w14:paraId="2DFCF764" w14:textId="77777777" w:rsidR="00000000" w:rsidRDefault="00A173A8">
            <w:pPr>
              <w:spacing w:after="100"/>
              <w:rPr>
                <w:rFonts w:eastAsia="Times New Roman"/>
                <w:sz w:val="20"/>
                <w:szCs w:val="20"/>
              </w:rPr>
            </w:pPr>
          </w:p>
        </w:tc>
        <w:tc>
          <w:tcPr>
            <w:tcW w:w="50" w:type="pct"/>
            <w:vAlign w:val="center"/>
            <w:hideMark/>
          </w:tcPr>
          <w:p w14:paraId="5CAB73CB" w14:textId="77777777" w:rsidR="00000000" w:rsidRDefault="00A173A8">
            <w:pPr>
              <w:spacing w:after="100"/>
              <w:rPr>
                <w:rFonts w:eastAsia="Times New Roman"/>
                <w:sz w:val="20"/>
                <w:szCs w:val="20"/>
              </w:rPr>
            </w:pPr>
          </w:p>
        </w:tc>
        <w:tc>
          <w:tcPr>
            <w:tcW w:w="471" w:type="pct"/>
            <w:vAlign w:val="center"/>
            <w:hideMark/>
          </w:tcPr>
          <w:p w14:paraId="388622FD" w14:textId="77777777" w:rsidR="00000000" w:rsidRDefault="00A173A8">
            <w:pPr>
              <w:spacing w:after="100"/>
              <w:rPr>
                <w:rFonts w:eastAsia="Times New Roman"/>
                <w:sz w:val="20"/>
                <w:szCs w:val="20"/>
              </w:rPr>
            </w:pPr>
          </w:p>
        </w:tc>
        <w:tc>
          <w:tcPr>
            <w:tcW w:w="5" w:type="pct"/>
            <w:vAlign w:val="center"/>
            <w:hideMark/>
          </w:tcPr>
          <w:p w14:paraId="0CF92180" w14:textId="77777777" w:rsidR="00000000" w:rsidRDefault="00A173A8">
            <w:pPr>
              <w:spacing w:after="100"/>
              <w:rPr>
                <w:rFonts w:eastAsia="Times New Roman"/>
                <w:sz w:val="20"/>
                <w:szCs w:val="20"/>
              </w:rPr>
            </w:pPr>
          </w:p>
        </w:tc>
        <w:tc>
          <w:tcPr>
            <w:tcW w:w="5" w:type="pct"/>
            <w:vAlign w:val="center"/>
            <w:hideMark/>
          </w:tcPr>
          <w:p w14:paraId="4C86D9F5" w14:textId="77777777" w:rsidR="00000000" w:rsidRDefault="00A173A8">
            <w:pPr>
              <w:spacing w:after="100"/>
              <w:rPr>
                <w:rFonts w:eastAsia="Times New Roman"/>
                <w:sz w:val="20"/>
                <w:szCs w:val="20"/>
              </w:rPr>
            </w:pPr>
          </w:p>
        </w:tc>
        <w:tc>
          <w:tcPr>
            <w:tcW w:w="26" w:type="pct"/>
            <w:vAlign w:val="center"/>
            <w:hideMark/>
          </w:tcPr>
          <w:p w14:paraId="6C645728" w14:textId="77777777" w:rsidR="00000000" w:rsidRDefault="00A173A8">
            <w:pPr>
              <w:spacing w:after="100"/>
              <w:rPr>
                <w:rFonts w:eastAsia="Times New Roman"/>
                <w:sz w:val="20"/>
                <w:szCs w:val="20"/>
              </w:rPr>
            </w:pPr>
          </w:p>
        </w:tc>
        <w:tc>
          <w:tcPr>
            <w:tcW w:w="5" w:type="pct"/>
            <w:vAlign w:val="center"/>
            <w:hideMark/>
          </w:tcPr>
          <w:p w14:paraId="60707A7D" w14:textId="77777777" w:rsidR="00000000" w:rsidRDefault="00A173A8">
            <w:pPr>
              <w:spacing w:after="100"/>
              <w:rPr>
                <w:rFonts w:eastAsia="Times New Roman"/>
                <w:sz w:val="20"/>
                <w:szCs w:val="20"/>
              </w:rPr>
            </w:pPr>
          </w:p>
        </w:tc>
        <w:tc>
          <w:tcPr>
            <w:tcW w:w="50" w:type="pct"/>
            <w:vAlign w:val="center"/>
            <w:hideMark/>
          </w:tcPr>
          <w:p w14:paraId="5617E90C" w14:textId="77777777" w:rsidR="00000000" w:rsidRDefault="00A173A8">
            <w:pPr>
              <w:spacing w:after="100"/>
              <w:rPr>
                <w:rFonts w:eastAsia="Times New Roman"/>
                <w:sz w:val="20"/>
                <w:szCs w:val="20"/>
              </w:rPr>
            </w:pPr>
          </w:p>
        </w:tc>
        <w:tc>
          <w:tcPr>
            <w:tcW w:w="471" w:type="pct"/>
            <w:vAlign w:val="center"/>
            <w:hideMark/>
          </w:tcPr>
          <w:p w14:paraId="6E5450D1" w14:textId="77777777" w:rsidR="00000000" w:rsidRDefault="00A173A8">
            <w:pPr>
              <w:spacing w:after="100"/>
              <w:rPr>
                <w:rFonts w:eastAsia="Times New Roman"/>
                <w:sz w:val="20"/>
                <w:szCs w:val="20"/>
              </w:rPr>
            </w:pPr>
          </w:p>
        </w:tc>
        <w:tc>
          <w:tcPr>
            <w:tcW w:w="5" w:type="pct"/>
            <w:vAlign w:val="center"/>
            <w:hideMark/>
          </w:tcPr>
          <w:p w14:paraId="33AD4B80" w14:textId="77777777" w:rsidR="00000000" w:rsidRDefault="00A173A8">
            <w:pPr>
              <w:spacing w:after="100"/>
              <w:rPr>
                <w:rFonts w:eastAsia="Times New Roman"/>
                <w:sz w:val="20"/>
                <w:szCs w:val="20"/>
              </w:rPr>
            </w:pPr>
          </w:p>
        </w:tc>
        <w:tc>
          <w:tcPr>
            <w:tcW w:w="5" w:type="pct"/>
            <w:vAlign w:val="center"/>
            <w:hideMark/>
          </w:tcPr>
          <w:p w14:paraId="1A3644CB" w14:textId="77777777" w:rsidR="00000000" w:rsidRDefault="00A173A8">
            <w:pPr>
              <w:spacing w:after="100"/>
              <w:rPr>
                <w:rFonts w:eastAsia="Times New Roman"/>
                <w:sz w:val="20"/>
                <w:szCs w:val="20"/>
              </w:rPr>
            </w:pPr>
          </w:p>
        </w:tc>
        <w:tc>
          <w:tcPr>
            <w:tcW w:w="26" w:type="pct"/>
            <w:vAlign w:val="center"/>
            <w:hideMark/>
          </w:tcPr>
          <w:p w14:paraId="2EF9EAAD" w14:textId="77777777" w:rsidR="00000000" w:rsidRDefault="00A173A8">
            <w:pPr>
              <w:spacing w:after="100"/>
              <w:rPr>
                <w:rFonts w:eastAsia="Times New Roman"/>
                <w:sz w:val="20"/>
                <w:szCs w:val="20"/>
              </w:rPr>
            </w:pPr>
          </w:p>
        </w:tc>
        <w:tc>
          <w:tcPr>
            <w:tcW w:w="5" w:type="pct"/>
            <w:vAlign w:val="center"/>
            <w:hideMark/>
          </w:tcPr>
          <w:p w14:paraId="44ACBAE6" w14:textId="77777777" w:rsidR="00000000" w:rsidRDefault="00A173A8">
            <w:pPr>
              <w:spacing w:after="100"/>
              <w:rPr>
                <w:rFonts w:eastAsia="Times New Roman"/>
                <w:sz w:val="20"/>
                <w:szCs w:val="20"/>
              </w:rPr>
            </w:pPr>
          </w:p>
        </w:tc>
        <w:tc>
          <w:tcPr>
            <w:tcW w:w="50" w:type="pct"/>
            <w:vAlign w:val="center"/>
            <w:hideMark/>
          </w:tcPr>
          <w:p w14:paraId="318AF168" w14:textId="77777777" w:rsidR="00000000" w:rsidRDefault="00A173A8">
            <w:pPr>
              <w:spacing w:after="100"/>
              <w:rPr>
                <w:rFonts w:eastAsia="Times New Roman"/>
                <w:sz w:val="20"/>
                <w:szCs w:val="20"/>
              </w:rPr>
            </w:pPr>
          </w:p>
        </w:tc>
        <w:tc>
          <w:tcPr>
            <w:tcW w:w="471" w:type="pct"/>
            <w:vAlign w:val="center"/>
            <w:hideMark/>
          </w:tcPr>
          <w:p w14:paraId="3A5BF32E" w14:textId="77777777" w:rsidR="00000000" w:rsidRDefault="00A173A8">
            <w:pPr>
              <w:spacing w:after="100"/>
              <w:rPr>
                <w:rFonts w:eastAsia="Times New Roman"/>
                <w:sz w:val="20"/>
                <w:szCs w:val="20"/>
              </w:rPr>
            </w:pPr>
          </w:p>
        </w:tc>
        <w:tc>
          <w:tcPr>
            <w:tcW w:w="5" w:type="pct"/>
            <w:vAlign w:val="center"/>
            <w:hideMark/>
          </w:tcPr>
          <w:p w14:paraId="748D01BA" w14:textId="77777777" w:rsidR="00000000" w:rsidRDefault="00A173A8">
            <w:pPr>
              <w:spacing w:after="100"/>
              <w:rPr>
                <w:rFonts w:eastAsia="Times New Roman"/>
                <w:sz w:val="20"/>
                <w:szCs w:val="20"/>
              </w:rPr>
            </w:pPr>
          </w:p>
        </w:tc>
        <w:tc>
          <w:tcPr>
            <w:tcW w:w="5" w:type="pct"/>
            <w:vAlign w:val="center"/>
            <w:hideMark/>
          </w:tcPr>
          <w:p w14:paraId="60882A7D" w14:textId="77777777" w:rsidR="00000000" w:rsidRDefault="00A173A8">
            <w:pPr>
              <w:spacing w:after="100"/>
              <w:rPr>
                <w:rFonts w:eastAsia="Times New Roman"/>
                <w:sz w:val="20"/>
                <w:szCs w:val="20"/>
              </w:rPr>
            </w:pPr>
          </w:p>
        </w:tc>
        <w:tc>
          <w:tcPr>
            <w:tcW w:w="26" w:type="pct"/>
            <w:vAlign w:val="center"/>
            <w:hideMark/>
          </w:tcPr>
          <w:p w14:paraId="62D2E93B" w14:textId="77777777" w:rsidR="00000000" w:rsidRDefault="00A173A8">
            <w:pPr>
              <w:spacing w:after="100"/>
              <w:rPr>
                <w:rFonts w:eastAsia="Times New Roman"/>
                <w:sz w:val="20"/>
                <w:szCs w:val="20"/>
              </w:rPr>
            </w:pPr>
          </w:p>
        </w:tc>
        <w:tc>
          <w:tcPr>
            <w:tcW w:w="5" w:type="pct"/>
            <w:vAlign w:val="center"/>
            <w:hideMark/>
          </w:tcPr>
          <w:p w14:paraId="504A64E2" w14:textId="77777777" w:rsidR="00000000" w:rsidRDefault="00A173A8">
            <w:pPr>
              <w:spacing w:after="100"/>
              <w:rPr>
                <w:rFonts w:eastAsia="Times New Roman"/>
                <w:sz w:val="20"/>
                <w:szCs w:val="20"/>
              </w:rPr>
            </w:pPr>
          </w:p>
        </w:tc>
        <w:tc>
          <w:tcPr>
            <w:tcW w:w="50" w:type="pct"/>
            <w:vAlign w:val="center"/>
            <w:hideMark/>
          </w:tcPr>
          <w:p w14:paraId="510D13E2" w14:textId="77777777" w:rsidR="00000000" w:rsidRDefault="00A173A8">
            <w:pPr>
              <w:spacing w:after="100"/>
              <w:rPr>
                <w:rFonts w:eastAsia="Times New Roman"/>
                <w:sz w:val="20"/>
                <w:szCs w:val="20"/>
              </w:rPr>
            </w:pPr>
          </w:p>
        </w:tc>
        <w:tc>
          <w:tcPr>
            <w:tcW w:w="471" w:type="pct"/>
            <w:vAlign w:val="center"/>
            <w:hideMark/>
          </w:tcPr>
          <w:p w14:paraId="7DC0A083" w14:textId="77777777" w:rsidR="00000000" w:rsidRDefault="00A173A8">
            <w:pPr>
              <w:spacing w:after="100"/>
              <w:rPr>
                <w:rFonts w:eastAsia="Times New Roman"/>
                <w:sz w:val="20"/>
                <w:szCs w:val="20"/>
              </w:rPr>
            </w:pPr>
          </w:p>
        </w:tc>
        <w:tc>
          <w:tcPr>
            <w:tcW w:w="5" w:type="pct"/>
            <w:vAlign w:val="center"/>
            <w:hideMark/>
          </w:tcPr>
          <w:p w14:paraId="61DAB281" w14:textId="77777777" w:rsidR="00000000" w:rsidRDefault="00A173A8">
            <w:pPr>
              <w:spacing w:after="100"/>
              <w:rPr>
                <w:rFonts w:eastAsia="Times New Roman"/>
                <w:sz w:val="20"/>
                <w:szCs w:val="20"/>
              </w:rPr>
            </w:pPr>
          </w:p>
        </w:tc>
      </w:tr>
      <w:tr w:rsidR="00000000" w14:paraId="75C6ABE6" w14:textId="77777777">
        <w:trPr>
          <w:divId w:val="1241519675"/>
        </w:trPr>
        <w:tc>
          <w:tcPr>
            <w:tcW w:w="0" w:type="auto"/>
            <w:gridSpan w:val="3"/>
            <w:tcMar>
              <w:top w:w="0" w:type="dxa"/>
              <w:left w:w="20" w:type="dxa"/>
              <w:bottom w:w="0" w:type="dxa"/>
              <w:right w:w="20" w:type="dxa"/>
            </w:tcMar>
            <w:vAlign w:val="center"/>
            <w:hideMark/>
          </w:tcPr>
          <w:p w14:paraId="5905126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A11D18" w14:textId="77777777" w:rsidR="00000000" w:rsidRDefault="00A173A8">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69E5E35B"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334FF865" w14:textId="77777777" w:rsidR="00000000" w:rsidRDefault="00A173A8">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14:paraId="1DF90878"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4EEFFEED" w14:textId="77777777">
        <w:trPr>
          <w:divId w:val="1241519675"/>
          <w:trHeight w:val="540"/>
        </w:trPr>
        <w:tc>
          <w:tcPr>
            <w:tcW w:w="0" w:type="auto"/>
            <w:gridSpan w:val="3"/>
            <w:tcMar>
              <w:top w:w="0" w:type="dxa"/>
              <w:left w:w="20" w:type="dxa"/>
              <w:bottom w:w="0" w:type="dxa"/>
              <w:right w:w="20" w:type="dxa"/>
            </w:tcMar>
            <w:vAlign w:val="center"/>
            <w:hideMark/>
          </w:tcPr>
          <w:p w14:paraId="61BD7B42"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D2E719D" w14:textId="77777777" w:rsidR="00000000" w:rsidRDefault="00A173A8">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9C95752" w14:textId="77777777" w:rsidR="00000000" w:rsidRDefault="00A173A8">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7C27C2F8"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1C6FB0A9" w14:textId="77777777" w:rsidR="00000000" w:rsidRDefault="00A173A8">
            <w:pPr>
              <w:spacing w:after="100"/>
              <w:jc w:val="center"/>
              <w:rPr>
                <w:rFonts w:eastAsia="Times New Roman"/>
              </w:rPr>
            </w:pPr>
            <w:r>
              <w:rPr>
                <w:rFonts w:eastAsia="Times New Roman"/>
                <w:b/>
                <w:bCs/>
                <w:color w:val="000000"/>
                <w:sz w:val="16"/>
                <w:szCs w:val="16"/>
              </w:rPr>
              <w:t>Cumulative Amount of Basis Adjustments Included in the Carrying Amount</w:t>
            </w:r>
          </w:p>
        </w:tc>
        <w:tc>
          <w:tcPr>
            <w:tcW w:w="0" w:type="auto"/>
            <w:gridSpan w:val="3"/>
            <w:tcMar>
              <w:top w:w="0" w:type="dxa"/>
              <w:left w:w="20" w:type="dxa"/>
              <w:bottom w:w="0" w:type="dxa"/>
              <w:right w:w="20" w:type="dxa"/>
            </w:tcMar>
            <w:vAlign w:val="center"/>
            <w:hideMark/>
          </w:tcPr>
          <w:p w14:paraId="03D913F2" w14:textId="77777777" w:rsidR="00000000" w:rsidRDefault="00A173A8">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39DEE881" w14:textId="77777777" w:rsidR="00000000" w:rsidRDefault="00A173A8">
            <w:pPr>
              <w:spacing w:after="100"/>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378A828B"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7BED4A1" w14:textId="77777777" w:rsidR="00000000" w:rsidRDefault="00A173A8">
            <w:pPr>
              <w:spacing w:after="100"/>
              <w:jc w:val="center"/>
              <w:rPr>
                <w:rFonts w:eastAsia="Times New Roman"/>
              </w:rPr>
            </w:pPr>
            <w:r>
              <w:rPr>
                <w:rFonts w:eastAsia="Times New Roman"/>
                <w:b/>
                <w:bCs/>
                <w:color w:val="000000"/>
                <w:sz w:val="16"/>
                <w:szCs w:val="16"/>
              </w:rPr>
              <w:t>Cumulative Amount of Basis Adjustments Included in the Carrying Amount</w:t>
            </w:r>
          </w:p>
        </w:tc>
      </w:tr>
      <w:tr w:rsidR="00000000" w14:paraId="32640E41" w14:textId="77777777">
        <w:trPr>
          <w:divId w:val="1241519675"/>
          <w:trHeight w:val="540"/>
        </w:trPr>
        <w:tc>
          <w:tcPr>
            <w:tcW w:w="0" w:type="auto"/>
            <w:gridSpan w:val="3"/>
            <w:tcMar>
              <w:top w:w="30" w:type="dxa"/>
              <w:left w:w="20" w:type="dxa"/>
              <w:bottom w:w="30" w:type="dxa"/>
              <w:right w:w="20" w:type="dxa"/>
            </w:tcMar>
            <w:vAlign w:val="bottom"/>
            <w:hideMark/>
          </w:tcPr>
          <w:p w14:paraId="6813AD27"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5E68FF4" w14:textId="77777777" w:rsidR="00000000" w:rsidRDefault="00A173A8">
            <w:pPr>
              <w:spacing w:after="100"/>
              <w:rPr>
                <w:rFonts w:eastAsia="Times New Roman"/>
              </w:rPr>
            </w:pPr>
          </w:p>
        </w:tc>
        <w:tc>
          <w:tcPr>
            <w:tcW w:w="0" w:type="auto"/>
            <w:gridSpan w:val="3"/>
            <w:vMerge/>
            <w:tcBorders>
              <w:top w:val="single" w:sz="8" w:space="0" w:color="000000"/>
            </w:tcBorders>
            <w:vAlign w:val="center"/>
            <w:hideMark/>
          </w:tcPr>
          <w:p w14:paraId="092D54DE"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2B1D783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49A3006" w14:textId="77777777" w:rsidR="00000000" w:rsidRDefault="00A173A8">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4A311FAF"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995DAE" w14:textId="77777777" w:rsidR="00000000" w:rsidRDefault="00A173A8">
            <w:pPr>
              <w:spacing w:after="100"/>
              <w:jc w:val="center"/>
              <w:rPr>
                <w:rFonts w:eastAsia="Times New Roman"/>
              </w:rPr>
            </w:pPr>
            <w:r>
              <w:rPr>
                <w:rFonts w:eastAsia="Times New Roman"/>
                <w:b/>
                <w:bCs/>
                <w:color w:val="000000"/>
                <w:sz w:val="16"/>
                <w:szCs w:val="16"/>
              </w:rPr>
              <w:t>Discontinued-Hedging Relationships</w:t>
            </w:r>
          </w:p>
        </w:tc>
        <w:tc>
          <w:tcPr>
            <w:tcW w:w="0" w:type="auto"/>
            <w:gridSpan w:val="3"/>
            <w:tcMar>
              <w:top w:w="0" w:type="dxa"/>
              <w:left w:w="20" w:type="dxa"/>
              <w:bottom w:w="0" w:type="dxa"/>
              <w:right w:w="20" w:type="dxa"/>
            </w:tcMar>
            <w:vAlign w:val="center"/>
            <w:hideMark/>
          </w:tcPr>
          <w:p w14:paraId="6BABC5A2" w14:textId="77777777" w:rsidR="00000000" w:rsidRDefault="00A173A8">
            <w:pPr>
              <w:spacing w:after="100"/>
              <w:jc w:val="center"/>
              <w:rPr>
                <w:rFonts w:eastAsia="Times New Roman"/>
              </w:rPr>
            </w:pPr>
          </w:p>
        </w:tc>
        <w:tc>
          <w:tcPr>
            <w:tcW w:w="0" w:type="auto"/>
            <w:gridSpan w:val="3"/>
            <w:vMerge/>
            <w:tcBorders>
              <w:top w:val="single" w:sz="8" w:space="0" w:color="000000"/>
            </w:tcBorders>
            <w:vAlign w:val="center"/>
            <w:hideMark/>
          </w:tcPr>
          <w:p w14:paraId="37C9C77F"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52F71F7D"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D7FDBC5" w14:textId="77777777" w:rsidR="00000000" w:rsidRDefault="00A173A8">
            <w:pPr>
              <w:spacing w:after="100"/>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5D1EFAD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8A0810" w14:textId="77777777" w:rsidR="00000000" w:rsidRDefault="00A173A8">
            <w:pPr>
              <w:spacing w:after="100"/>
              <w:jc w:val="center"/>
              <w:rPr>
                <w:rFonts w:eastAsia="Times New Roman"/>
              </w:rPr>
            </w:pPr>
            <w:r>
              <w:rPr>
                <w:rFonts w:eastAsia="Times New Roman"/>
                <w:b/>
                <w:bCs/>
                <w:color w:val="000000"/>
                <w:sz w:val="16"/>
                <w:szCs w:val="16"/>
              </w:rPr>
              <w:t>Discontinued-Hedging Relationships</w:t>
            </w:r>
          </w:p>
        </w:tc>
      </w:tr>
      <w:tr w:rsidR="00000000" w14:paraId="6AD6EEDD" w14:textId="77777777">
        <w:trPr>
          <w:divId w:val="124151967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3838F2E" w14:textId="77777777" w:rsidR="00000000" w:rsidRDefault="00A173A8">
            <w:pPr>
              <w:spacing w:after="100"/>
              <w:rPr>
                <w:rFonts w:eastAsia="Times New Roman"/>
              </w:rPr>
            </w:pPr>
            <w:r>
              <w:rPr>
                <w:rFonts w:eastAsia="Times New Roman"/>
                <w:b/>
                <w:bCs/>
                <w:color w:val="000000"/>
                <w:sz w:val="18"/>
                <w:szCs w:val="18"/>
              </w:rPr>
              <w:t>Line item on our consolidated balance sheets in which the hedged item is included:</w:t>
            </w:r>
          </w:p>
        </w:tc>
        <w:tc>
          <w:tcPr>
            <w:tcW w:w="0" w:type="auto"/>
            <w:gridSpan w:val="3"/>
            <w:shd w:val="clear" w:color="auto" w:fill="CCEEFF"/>
            <w:tcMar>
              <w:top w:w="0" w:type="dxa"/>
              <w:left w:w="20" w:type="dxa"/>
              <w:bottom w:w="0" w:type="dxa"/>
              <w:right w:w="20" w:type="dxa"/>
            </w:tcMar>
            <w:vAlign w:val="center"/>
            <w:hideMark/>
          </w:tcPr>
          <w:p w14:paraId="2918C110"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B3452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6FACF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4AB55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1B233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21FA2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874EF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EE140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84364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2214F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89ECF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53A467" w14:textId="77777777" w:rsidR="00000000" w:rsidRDefault="00A173A8">
            <w:pPr>
              <w:spacing w:after="100"/>
              <w:rPr>
                <w:rFonts w:eastAsia="Times New Roman"/>
                <w:sz w:val="20"/>
                <w:szCs w:val="20"/>
              </w:rPr>
            </w:pPr>
          </w:p>
        </w:tc>
      </w:tr>
      <w:tr w:rsidR="00000000" w14:paraId="650BA814" w14:textId="77777777">
        <w:trPr>
          <w:divId w:val="1241519675"/>
        </w:trPr>
        <w:tc>
          <w:tcPr>
            <w:tcW w:w="0" w:type="auto"/>
            <w:gridSpan w:val="3"/>
            <w:shd w:val="clear" w:color="auto" w:fill="FFFFFF"/>
            <w:tcMar>
              <w:top w:w="30" w:type="dxa"/>
              <w:left w:w="20" w:type="dxa"/>
              <w:bottom w:w="30" w:type="dxa"/>
              <w:right w:w="20" w:type="dxa"/>
            </w:tcMar>
            <w:vAlign w:val="center"/>
            <w:hideMark/>
          </w:tcPr>
          <w:p w14:paraId="52968068" w14:textId="77777777" w:rsidR="00000000" w:rsidRDefault="00A173A8">
            <w:pPr>
              <w:spacing w:after="100"/>
              <w:divId w:val="220529964"/>
              <w:rPr>
                <w:rFonts w:eastAsia="Times New Roman"/>
              </w:rPr>
            </w:pPr>
            <w:r>
              <w:rPr>
                <w:rFonts w:eastAsia="Times New Roman"/>
                <w:color w:val="000000"/>
                <w:sz w:val="18"/>
                <w:szCs w:val="18"/>
              </w:rPr>
              <w:t>Investment securities available for sal</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2C8F3D0"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23E7132"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0893DBD" w14:textId="77777777" w:rsidR="00000000" w:rsidRDefault="00A173A8">
            <w:pPr>
              <w:spacing w:after="100"/>
              <w:jc w:val="right"/>
              <w:rPr>
                <w:rFonts w:eastAsia="Times New Roman"/>
              </w:rPr>
            </w:pPr>
            <w:r>
              <w:rPr>
                <w:rFonts w:eastAsia="Times New Roman"/>
                <w:b/>
                <w:bCs/>
                <w:color w:val="000000"/>
                <w:sz w:val="18"/>
                <w:szCs w:val="18"/>
              </w:rPr>
              <w:t>7,875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C126CC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4D8F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B63D25F"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F8A5629" w14:textId="77777777" w:rsidR="00000000" w:rsidRDefault="00A173A8">
            <w:pPr>
              <w:spacing w:after="100"/>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183FF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A646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0CAD1C8"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FDEC3FE" w14:textId="77777777" w:rsidR="00000000" w:rsidRDefault="00A173A8">
            <w:pPr>
              <w:spacing w:after="100"/>
              <w:jc w:val="right"/>
              <w:rPr>
                <w:rFonts w:eastAsia="Times New Roman"/>
              </w:rPr>
            </w:pPr>
            <w:r>
              <w:rPr>
                <w:rFonts w:eastAsia="Times New Roman"/>
                <w:b/>
                <w:bCs/>
                <w:color w:val="000000"/>
                <w:sz w:val="18"/>
                <w:szCs w:val="18"/>
              </w:rPr>
              <w:t>239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011CC0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CDF45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922F9A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DD17469" w14:textId="77777777" w:rsidR="00000000" w:rsidRDefault="00A173A8">
            <w:pPr>
              <w:spacing w:after="100"/>
              <w:jc w:val="right"/>
              <w:rPr>
                <w:rFonts w:eastAsia="Times New Roman"/>
              </w:rPr>
            </w:pPr>
            <w:r>
              <w:rPr>
                <w:rFonts w:eastAsia="Times New Roman"/>
                <w:color w:val="000000"/>
                <w:sz w:val="18"/>
                <w:szCs w:val="18"/>
              </w:rPr>
              <w:t>10,327 </w:t>
            </w:r>
          </w:p>
        </w:tc>
        <w:tc>
          <w:tcPr>
            <w:tcW w:w="0" w:type="auto"/>
            <w:shd w:val="clear" w:color="auto" w:fill="FFFFFF"/>
            <w:tcMar>
              <w:top w:w="30" w:type="dxa"/>
              <w:left w:w="0" w:type="dxa"/>
              <w:bottom w:w="30" w:type="dxa"/>
              <w:right w:w="20" w:type="dxa"/>
            </w:tcMar>
            <w:vAlign w:val="center"/>
            <w:hideMark/>
          </w:tcPr>
          <w:p w14:paraId="076B9EB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B4794B"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49E0F8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EC6B3B8" w14:textId="77777777" w:rsidR="00000000" w:rsidRDefault="00A173A8">
            <w:pPr>
              <w:spacing w:after="100"/>
              <w:jc w:val="right"/>
              <w:rPr>
                <w:rFonts w:eastAsia="Times New Roman"/>
              </w:rPr>
            </w:pPr>
            <w:r>
              <w:rPr>
                <w:rFonts w:eastAsia="Times New Roman"/>
                <w:color w:val="000000"/>
                <w:sz w:val="18"/>
                <w:szCs w:val="18"/>
              </w:rPr>
              <w:t>286 </w:t>
            </w:r>
          </w:p>
        </w:tc>
        <w:tc>
          <w:tcPr>
            <w:tcW w:w="0" w:type="auto"/>
            <w:shd w:val="clear" w:color="auto" w:fill="FFFFFF"/>
            <w:tcMar>
              <w:top w:w="30" w:type="dxa"/>
              <w:left w:w="0" w:type="dxa"/>
              <w:bottom w:w="30" w:type="dxa"/>
              <w:right w:w="20" w:type="dxa"/>
            </w:tcMar>
            <w:vAlign w:val="center"/>
            <w:hideMark/>
          </w:tcPr>
          <w:p w14:paraId="77E94F1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D115B"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ADFB9C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3E712CF" w14:textId="77777777" w:rsidR="00000000" w:rsidRDefault="00A173A8">
            <w:pPr>
              <w:spacing w:after="100"/>
              <w:jc w:val="right"/>
              <w:rPr>
                <w:rFonts w:eastAsia="Times New Roman"/>
              </w:rPr>
            </w:pPr>
            <w:r>
              <w:rPr>
                <w:rFonts w:eastAsia="Times New Roman"/>
                <w:color w:val="000000"/>
                <w:sz w:val="18"/>
                <w:szCs w:val="18"/>
              </w:rPr>
              <w:t>295 </w:t>
            </w:r>
          </w:p>
        </w:tc>
        <w:tc>
          <w:tcPr>
            <w:tcW w:w="0" w:type="auto"/>
            <w:shd w:val="clear" w:color="auto" w:fill="FFFFFF"/>
            <w:tcMar>
              <w:top w:w="30" w:type="dxa"/>
              <w:left w:w="0" w:type="dxa"/>
              <w:bottom w:w="30" w:type="dxa"/>
              <w:right w:w="20" w:type="dxa"/>
            </w:tcMar>
            <w:vAlign w:val="center"/>
            <w:hideMark/>
          </w:tcPr>
          <w:p w14:paraId="62C97147" w14:textId="77777777" w:rsidR="00000000" w:rsidRDefault="00A173A8">
            <w:pPr>
              <w:spacing w:after="100"/>
              <w:jc w:val="right"/>
              <w:rPr>
                <w:rFonts w:eastAsia="Times New Roman"/>
              </w:rPr>
            </w:pPr>
          </w:p>
        </w:tc>
      </w:tr>
      <w:tr w:rsidR="00000000" w14:paraId="45A2F931" w14:textId="77777777">
        <w:trPr>
          <w:divId w:val="1241519675"/>
        </w:trPr>
        <w:tc>
          <w:tcPr>
            <w:tcW w:w="0" w:type="auto"/>
            <w:gridSpan w:val="3"/>
            <w:shd w:val="clear" w:color="auto" w:fill="CCEEFF"/>
            <w:tcMar>
              <w:top w:w="30" w:type="dxa"/>
              <w:left w:w="20" w:type="dxa"/>
              <w:bottom w:w="30" w:type="dxa"/>
              <w:right w:w="20" w:type="dxa"/>
            </w:tcMar>
            <w:vAlign w:val="center"/>
            <w:hideMark/>
          </w:tcPr>
          <w:p w14:paraId="0B3BE7B4" w14:textId="77777777" w:rsidR="00000000" w:rsidRDefault="00A173A8">
            <w:pPr>
              <w:spacing w:after="100"/>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14:paraId="14348F1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62A074" w14:textId="77777777" w:rsidR="00000000" w:rsidRDefault="00A173A8">
            <w:pPr>
              <w:spacing w:after="100"/>
              <w:jc w:val="right"/>
              <w:rPr>
                <w:rFonts w:eastAsia="Times New Roman"/>
              </w:rPr>
            </w:pPr>
            <w:r>
              <w:rPr>
                <w:rFonts w:eastAsia="Times New Roman"/>
                <w:b/>
                <w:bCs/>
                <w:color w:val="000000"/>
                <w:sz w:val="18"/>
                <w:szCs w:val="18"/>
              </w:rPr>
              <w:t>(10,936)</w:t>
            </w:r>
          </w:p>
        </w:tc>
        <w:tc>
          <w:tcPr>
            <w:tcW w:w="0" w:type="auto"/>
            <w:shd w:val="clear" w:color="auto" w:fill="CCEEFF"/>
            <w:tcMar>
              <w:top w:w="30" w:type="dxa"/>
              <w:left w:w="0" w:type="dxa"/>
              <w:bottom w:w="30" w:type="dxa"/>
              <w:right w:w="20" w:type="dxa"/>
            </w:tcMar>
            <w:vAlign w:val="center"/>
            <w:hideMark/>
          </w:tcPr>
          <w:p w14:paraId="45B24A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F2FB3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9C2EC4" w14:textId="77777777" w:rsidR="00000000" w:rsidRDefault="00A173A8">
            <w:pPr>
              <w:spacing w:after="100"/>
              <w:jc w:val="right"/>
              <w:rPr>
                <w:rFonts w:eastAsia="Times New Roman"/>
              </w:rPr>
            </w:pPr>
            <w:r>
              <w:rPr>
                <w:rFonts w:eastAsia="Times New Roman"/>
                <w:b/>
                <w:bCs/>
                <w:color w:val="000000"/>
                <w:sz w:val="18"/>
                <w:szCs w:val="18"/>
              </w:rPr>
              <w:t>142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1BB017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46AE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F6FC7B"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7D40FA9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A28B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59587E" w14:textId="77777777" w:rsidR="00000000" w:rsidRDefault="00A173A8">
            <w:pPr>
              <w:spacing w:after="100"/>
              <w:jc w:val="right"/>
              <w:rPr>
                <w:rFonts w:eastAsia="Times New Roman"/>
              </w:rPr>
            </w:pPr>
            <w:r>
              <w:rPr>
                <w:rFonts w:eastAsia="Times New Roman"/>
                <w:color w:val="000000"/>
                <w:sz w:val="18"/>
                <w:szCs w:val="18"/>
              </w:rPr>
              <w:t>(7,361)</w:t>
            </w:r>
          </w:p>
        </w:tc>
        <w:tc>
          <w:tcPr>
            <w:tcW w:w="0" w:type="auto"/>
            <w:shd w:val="clear" w:color="auto" w:fill="CCEEFF"/>
            <w:tcMar>
              <w:top w:w="30" w:type="dxa"/>
              <w:left w:w="0" w:type="dxa"/>
              <w:bottom w:w="30" w:type="dxa"/>
              <w:right w:w="20" w:type="dxa"/>
            </w:tcMar>
            <w:vAlign w:val="center"/>
            <w:hideMark/>
          </w:tcPr>
          <w:p w14:paraId="5AA482F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41D3A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61091B" w14:textId="77777777" w:rsidR="00000000" w:rsidRDefault="00A173A8">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center"/>
            <w:hideMark/>
          </w:tcPr>
          <w:p w14:paraId="51A7121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D1E6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33EB13"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3CCDFE56" w14:textId="77777777" w:rsidR="00000000" w:rsidRDefault="00A173A8">
            <w:pPr>
              <w:spacing w:after="100"/>
              <w:jc w:val="right"/>
              <w:rPr>
                <w:rFonts w:eastAsia="Times New Roman"/>
              </w:rPr>
            </w:pPr>
          </w:p>
        </w:tc>
      </w:tr>
      <w:tr w:rsidR="00000000" w14:paraId="46E68319" w14:textId="77777777">
        <w:trPr>
          <w:divId w:val="1241519675"/>
        </w:trPr>
        <w:tc>
          <w:tcPr>
            <w:tcW w:w="0" w:type="auto"/>
            <w:gridSpan w:val="3"/>
            <w:shd w:val="clear" w:color="auto" w:fill="FFFFFF"/>
            <w:tcMar>
              <w:top w:w="30" w:type="dxa"/>
              <w:left w:w="20" w:type="dxa"/>
              <w:bottom w:w="30" w:type="dxa"/>
              <w:right w:w="20" w:type="dxa"/>
            </w:tcMar>
            <w:vAlign w:val="center"/>
            <w:hideMark/>
          </w:tcPr>
          <w:p w14:paraId="183E9F60" w14:textId="77777777" w:rsidR="00000000" w:rsidRDefault="00A173A8">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3574DFC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FBA583E" w14:textId="77777777" w:rsidR="00000000" w:rsidRDefault="00A173A8">
            <w:pPr>
              <w:spacing w:after="100"/>
              <w:jc w:val="right"/>
              <w:rPr>
                <w:rFonts w:eastAsia="Times New Roman"/>
              </w:rPr>
            </w:pPr>
            <w:r>
              <w:rPr>
                <w:rFonts w:eastAsia="Times New Roman"/>
                <w:b/>
                <w:bCs/>
                <w:color w:val="000000"/>
                <w:sz w:val="18"/>
                <w:szCs w:val="18"/>
              </w:rPr>
              <w:t>(13,173)</w:t>
            </w:r>
          </w:p>
        </w:tc>
        <w:tc>
          <w:tcPr>
            <w:tcW w:w="0" w:type="auto"/>
            <w:shd w:val="clear" w:color="auto" w:fill="FFFFFF"/>
            <w:tcMar>
              <w:top w:w="30" w:type="dxa"/>
              <w:left w:w="0" w:type="dxa"/>
              <w:bottom w:w="30" w:type="dxa"/>
              <w:right w:w="20" w:type="dxa"/>
            </w:tcMar>
            <w:vAlign w:val="center"/>
            <w:hideMark/>
          </w:tcPr>
          <w:p w14:paraId="0AD8392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14BBC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7550E8" w14:textId="77777777" w:rsidR="00000000" w:rsidRDefault="00A173A8">
            <w:pPr>
              <w:spacing w:after="100"/>
              <w:jc w:val="right"/>
              <w:rPr>
                <w:rFonts w:eastAsia="Times New Roman"/>
              </w:rPr>
            </w:pPr>
            <w:r>
              <w:rPr>
                <w:rFonts w:eastAsia="Times New Roman"/>
                <w:b/>
                <w:bCs/>
                <w:color w:val="000000"/>
                <w:sz w:val="18"/>
                <w:szCs w:val="18"/>
              </w:rPr>
              <w:t>472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ADBF4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FEF5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DCDF2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6A98A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E968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290C547" w14:textId="77777777" w:rsidR="00000000" w:rsidRDefault="00A173A8">
            <w:pPr>
              <w:spacing w:after="100"/>
              <w:jc w:val="right"/>
              <w:rPr>
                <w:rFonts w:eastAsia="Times New Roman"/>
              </w:rPr>
            </w:pPr>
            <w:r>
              <w:rPr>
                <w:rFonts w:eastAsia="Times New Roman"/>
                <w:color w:val="000000"/>
                <w:sz w:val="18"/>
                <w:szCs w:val="18"/>
              </w:rPr>
              <w:t>(11,155)</w:t>
            </w:r>
          </w:p>
        </w:tc>
        <w:tc>
          <w:tcPr>
            <w:tcW w:w="0" w:type="auto"/>
            <w:shd w:val="clear" w:color="auto" w:fill="FFFFFF"/>
            <w:tcMar>
              <w:top w:w="30" w:type="dxa"/>
              <w:left w:w="0" w:type="dxa"/>
              <w:bottom w:w="30" w:type="dxa"/>
              <w:right w:w="20" w:type="dxa"/>
            </w:tcMar>
            <w:vAlign w:val="center"/>
            <w:hideMark/>
          </w:tcPr>
          <w:p w14:paraId="46ED1CA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70B65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0FFDA0" w14:textId="77777777" w:rsidR="00000000" w:rsidRDefault="00A173A8">
            <w:pPr>
              <w:spacing w:after="100"/>
              <w:jc w:val="right"/>
              <w:rPr>
                <w:rFonts w:eastAsia="Times New Roman"/>
              </w:rPr>
            </w:pPr>
            <w:r>
              <w:rPr>
                <w:rFonts w:eastAsia="Times New Roman"/>
                <w:color w:val="000000"/>
                <w:sz w:val="18"/>
                <w:szCs w:val="18"/>
              </w:rPr>
              <w:t>49 </w:t>
            </w:r>
          </w:p>
        </w:tc>
        <w:tc>
          <w:tcPr>
            <w:tcW w:w="0" w:type="auto"/>
            <w:shd w:val="clear" w:color="auto" w:fill="FFFFFF"/>
            <w:tcMar>
              <w:top w:w="30" w:type="dxa"/>
              <w:left w:w="0" w:type="dxa"/>
              <w:bottom w:w="30" w:type="dxa"/>
              <w:right w:w="20" w:type="dxa"/>
            </w:tcMar>
            <w:vAlign w:val="center"/>
            <w:hideMark/>
          </w:tcPr>
          <w:p w14:paraId="7C81AA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DC0F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6058A3" w14:textId="77777777" w:rsidR="00000000" w:rsidRDefault="00A173A8">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14:paraId="4F3532B1" w14:textId="77777777" w:rsidR="00000000" w:rsidRDefault="00A173A8">
            <w:pPr>
              <w:spacing w:after="100"/>
              <w:jc w:val="right"/>
              <w:rPr>
                <w:rFonts w:eastAsia="Times New Roman"/>
              </w:rPr>
            </w:pPr>
          </w:p>
        </w:tc>
      </w:tr>
      <w:tr w:rsidR="00000000" w14:paraId="4AE97694" w14:textId="77777777">
        <w:trPr>
          <w:divId w:val="1241519675"/>
        </w:trPr>
        <w:tc>
          <w:tcPr>
            <w:tcW w:w="0" w:type="auto"/>
            <w:gridSpan w:val="3"/>
            <w:shd w:val="clear" w:color="auto" w:fill="CCEEFF"/>
            <w:tcMar>
              <w:top w:w="30" w:type="dxa"/>
              <w:left w:w="20" w:type="dxa"/>
              <w:bottom w:w="30" w:type="dxa"/>
              <w:right w:w="20" w:type="dxa"/>
            </w:tcMar>
            <w:vAlign w:val="center"/>
            <w:hideMark/>
          </w:tcPr>
          <w:p w14:paraId="144024E9" w14:textId="77777777" w:rsidR="00000000" w:rsidRDefault="00A173A8">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7BD4B56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A409B3F" w14:textId="77777777" w:rsidR="00000000" w:rsidRDefault="00A173A8">
            <w:pPr>
              <w:spacing w:after="100"/>
              <w:jc w:val="right"/>
              <w:rPr>
                <w:rFonts w:eastAsia="Times New Roman"/>
              </w:rPr>
            </w:pPr>
            <w:r>
              <w:rPr>
                <w:rFonts w:eastAsia="Times New Roman"/>
                <w:b/>
                <w:bCs/>
                <w:color w:val="000000"/>
                <w:sz w:val="18"/>
                <w:szCs w:val="18"/>
              </w:rPr>
              <w:t>(26,660)</w:t>
            </w:r>
          </w:p>
        </w:tc>
        <w:tc>
          <w:tcPr>
            <w:tcW w:w="0" w:type="auto"/>
            <w:shd w:val="clear" w:color="auto" w:fill="CCEEFF"/>
            <w:tcMar>
              <w:top w:w="30" w:type="dxa"/>
              <w:left w:w="0" w:type="dxa"/>
              <w:bottom w:w="30" w:type="dxa"/>
              <w:right w:w="20" w:type="dxa"/>
            </w:tcMar>
            <w:vAlign w:val="center"/>
            <w:hideMark/>
          </w:tcPr>
          <w:p w14:paraId="0B907D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D76D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8360B07" w14:textId="77777777" w:rsidR="00000000" w:rsidRDefault="00A173A8">
            <w:pPr>
              <w:spacing w:after="100"/>
              <w:jc w:val="right"/>
              <w:rPr>
                <w:rFonts w:eastAsia="Times New Roman"/>
              </w:rPr>
            </w:pPr>
            <w:r>
              <w:rPr>
                <w:rFonts w:eastAsia="Times New Roman"/>
                <w:b/>
                <w:bCs/>
                <w:color w:val="000000"/>
                <w:sz w:val="18"/>
                <w:szCs w:val="18"/>
              </w:rPr>
              <w:t>780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51BF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3F52D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589961" w14:textId="77777777" w:rsidR="00000000" w:rsidRDefault="00A173A8">
            <w:pPr>
              <w:spacing w:after="100"/>
              <w:jc w:val="right"/>
              <w:rPr>
                <w:rFonts w:eastAsia="Times New Roman"/>
              </w:rPr>
            </w:pPr>
            <w:r>
              <w:rPr>
                <w:rFonts w:eastAsia="Times New Roman"/>
                <w:b/>
                <w:bCs/>
                <w:color w:val="000000"/>
                <w:sz w:val="18"/>
                <w:szCs w:val="18"/>
              </w:rPr>
              <w:t>(616)</w:t>
            </w:r>
          </w:p>
        </w:tc>
        <w:tc>
          <w:tcPr>
            <w:tcW w:w="0" w:type="auto"/>
            <w:shd w:val="clear" w:color="auto" w:fill="CCEEFF"/>
            <w:tcMar>
              <w:top w:w="30" w:type="dxa"/>
              <w:left w:w="0" w:type="dxa"/>
              <w:bottom w:w="30" w:type="dxa"/>
              <w:right w:w="20" w:type="dxa"/>
            </w:tcMar>
            <w:vAlign w:val="center"/>
            <w:hideMark/>
          </w:tcPr>
          <w:p w14:paraId="1900F15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7349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E8DE6A" w14:textId="77777777" w:rsidR="00000000" w:rsidRDefault="00A173A8">
            <w:pPr>
              <w:spacing w:after="100"/>
              <w:jc w:val="right"/>
              <w:rPr>
                <w:rFonts w:eastAsia="Times New Roman"/>
              </w:rPr>
            </w:pPr>
            <w:r>
              <w:rPr>
                <w:rFonts w:eastAsia="Times New Roman"/>
                <w:color w:val="000000"/>
                <w:sz w:val="18"/>
                <w:szCs w:val="18"/>
              </w:rPr>
              <w:t>(22,777)</w:t>
            </w:r>
          </w:p>
        </w:tc>
        <w:tc>
          <w:tcPr>
            <w:tcW w:w="0" w:type="auto"/>
            <w:shd w:val="clear" w:color="auto" w:fill="CCEEFF"/>
            <w:tcMar>
              <w:top w:w="30" w:type="dxa"/>
              <w:left w:w="0" w:type="dxa"/>
              <w:bottom w:w="30" w:type="dxa"/>
              <w:right w:w="20" w:type="dxa"/>
            </w:tcMar>
            <w:vAlign w:val="center"/>
            <w:hideMark/>
          </w:tcPr>
          <w:p w14:paraId="54A981B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32BD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14C9F0" w14:textId="77777777" w:rsidR="00000000" w:rsidRDefault="00A173A8">
            <w:pPr>
              <w:spacing w:after="100"/>
              <w:jc w:val="right"/>
              <w:rPr>
                <w:rFonts w:eastAsia="Times New Roman"/>
              </w:rPr>
            </w:pPr>
            <w:r>
              <w:rPr>
                <w:rFonts w:eastAsia="Times New Roman"/>
                <w:color w:val="000000"/>
                <w:sz w:val="18"/>
                <w:szCs w:val="18"/>
              </w:rPr>
              <w:t>(531)</w:t>
            </w:r>
          </w:p>
        </w:tc>
        <w:tc>
          <w:tcPr>
            <w:tcW w:w="0" w:type="auto"/>
            <w:shd w:val="clear" w:color="auto" w:fill="CCEEFF"/>
            <w:tcMar>
              <w:top w:w="30" w:type="dxa"/>
              <w:left w:w="0" w:type="dxa"/>
              <w:bottom w:w="30" w:type="dxa"/>
              <w:right w:w="20" w:type="dxa"/>
            </w:tcMar>
            <w:vAlign w:val="center"/>
            <w:hideMark/>
          </w:tcPr>
          <w:p w14:paraId="7393F44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0FE80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345BF26" w14:textId="77777777" w:rsidR="00000000" w:rsidRDefault="00A173A8">
            <w:pPr>
              <w:spacing w:after="100"/>
              <w:jc w:val="right"/>
              <w:rPr>
                <w:rFonts w:eastAsia="Times New Roman"/>
              </w:rPr>
            </w:pPr>
            <w:r>
              <w:rPr>
                <w:rFonts w:eastAsia="Times New Roman"/>
                <w:color w:val="000000"/>
                <w:sz w:val="18"/>
                <w:szCs w:val="18"/>
              </w:rPr>
              <w:t>(708)</w:t>
            </w:r>
          </w:p>
        </w:tc>
        <w:tc>
          <w:tcPr>
            <w:tcW w:w="0" w:type="auto"/>
            <w:shd w:val="clear" w:color="auto" w:fill="CCEEFF"/>
            <w:tcMar>
              <w:top w:w="30" w:type="dxa"/>
              <w:left w:w="0" w:type="dxa"/>
              <w:bottom w:w="30" w:type="dxa"/>
              <w:right w:w="20" w:type="dxa"/>
            </w:tcMar>
            <w:vAlign w:val="center"/>
            <w:hideMark/>
          </w:tcPr>
          <w:p w14:paraId="75C2BD6A" w14:textId="77777777" w:rsidR="00000000" w:rsidRDefault="00A173A8">
            <w:pPr>
              <w:spacing w:after="100"/>
              <w:jc w:val="right"/>
              <w:rPr>
                <w:rFonts w:eastAsia="Times New Roman"/>
              </w:rPr>
            </w:pPr>
          </w:p>
        </w:tc>
      </w:tr>
    </w:tbl>
    <w:p w14:paraId="7976FB55" w14:textId="77777777" w:rsidR="00000000" w:rsidRDefault="00A173A8">
      <w:pPr>
        <w:divId w:val="1884055410"/>
        <w:rPr>
          <w:rFonts w:eastAsia="Times New Roman"/>
        </w:rPr>
      </w:pPr>
      <w:r>
        <w:rPr>
          <w:rFonts w:eastAsia="Times New Roman"/>
          <w:color w:val="000000"/>
          <w:sz w:val="20"/>
          <w:szCs w:val="20"/>
        </w:rPr>
        <w:t>__________</w:t>
      </w:r>
    </w:p>
    <w:p w14:paraId="6494D779" w14:textId="77777777" w:rsidR="00000000" w:rsidRDefault="00A173A8">
      <w:pPr>
        <w:ind w:hanging="360"/>
        <w:jc w:val="both"/>
        <w:divId w:val="88279173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These amounts include the amortized cost basis of our investment securities des</w:t>
      </w:r>
      <w:r>
        <w:rPr>
          <w:rFonts w:eastAsia="Times New Roman"/>
          <w:color w:val="000000"/>
          <w:sz w:val="16"/>
          <w:szCs w:val="16"/>
        </w:rPr>
        <w:t xml:space="preserve">ignated in hedging relationships for which the hedged item is the last layer expected to be remaining at the end of the hedging relationship. The amortized cost basis of this portfolio was $238 million and $247 million, the amount of the designated hedged </w:t>
      </w:r>
      <w:r>
        <w:rPr>
          <w:rFonts w:eastAsia="Times New Roman"/>
          <w:color w:val="000000"/>
          <w:sz w:val="16"/>
          <w:szCs w:val="16"/>
        </w:rPr>
        <w:t>items was $225 million and $225 million, and the cumulative basis adjustments associated with these hedges was $11 million and $3 million as of June 30, 2022 and December 31, 2021, respectively.</w:t>
      </w:r>
    </w:p>
    <w:p w14:paraId="3D1B36DE" w14:textId="77777777" w:rsidR="00000000" w:rsidRDefault="00A173A8">
      <w:pPr>
        <w:ind w:hanging="360"/>
        <w:jc w:val="both"/>
        <w:divId w:val="28635671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Carrying value represents amortized cost.</w:t>
      </w:r>
    </w:p>
    <w:p w14:paraId="5814AA6E" w14:textId="77777777" w:rsidR="00000000" w:rsidRDefault="00A173A8">
      <w:pPr>
        <w:divId w:val="1975334856"/>
        <w:rPr>
          <w:rFonts w:eastAsia="Times New Roman"/>
        </w:rPr>
      </w:pPr>
      <w:r>
        <w:rPr>
          <w:rFonts w:eastAsia="Times New Roman"/>
          <w:b/>
          <w:bCs/>
          <w:color w:val="000000"/>
          <w:sz w:val="20"/>
          <w:szCs w:val="20"/>
        </w:rPr>
        <w:t>Balance Sheet Of</w:t>
      </w:r>
      <w:r>
        <w:rPr>
          <w:rFonts w:eastAsia="Times New Roman"/>
          <w:b/>
          <w:bCs/>
          <w:color w:val="000000"/>
          <w:sz w:val="20"/>
          <w:szCs w:val="20"/>
        </w:rPr>
        <w:t>fsetting of Financial Assets and Liabilities</w:t>
      </w:r>
    </w:p>
    <w:p w14:paraId="2BDB1840" w14:textId="77777777" w:rsidR="00000000" w:rsidRDefault="00A173A8">
      <w:pPr>
        <w:jc w:val="both"/>
        <w:divId w:val="221215356"/>
        <w:rPr>
          <w:rFonts w:eastAsia="Times New Roman"/>
        </w:rPr>
      </w:pPr>
      <w:r>
        <w:rPr>
          <w:rFonts w:eastAsia="Times New Roman"/>
          <w:color w:val="000000"/>
          <w:sz w:val="20"/>
          <w:szCs w:val="20"/>
        </w:rPr>
        <w:t>Derivative contracts and repurchase agreements that we execute bilaterally in the OTC market are generally governed by enforceable master netting agreements where we generally have the right to offset exposure with the same counterparty. Either counterpart</w:t>
      </w:r>
      <w:r>
        <w:rPr>
          <w:rFonts w:eastAsia="Times New Roman"/>
          <w:color w:val="000000"/>
          <w:sz w:val="20"/>
          <w:szCs w:val="20"/>
        </w:rPr>
        <w:t>y can generally request to net settle all contracts through a single payment upon default on, or termination of, any one contract. We elect to offset the derivative assets and liabilities under master netting agreements for balance sheet presentation where</w:t>
      </w:r>
      <w:r>
        <w:rPr>
          <w:rFonts w:eastAsia="Times New Roman"/>
          <w:color w:val="000000"/>
          <w:sz w:val="20"/>
          <w:szCs w:val="20"/>
        </w:rPr>
        <w:t xml:space="preserve"> a right of setoff exists. For derivative contracts entered into under master netting agreements for which we have not been able to confirm the enforceability of the setoff rights, or those not subject to master netting agreements, we do not offset our der</w:t>
      </w:r>
      <w:r>
        <w:rPr>
          <w:rFonts w:eastAsia="Times New Roman"/>
          <w:color w:val="000000"/>
          <w:sz w:val="20"/>
          <w:szCs w:val="20"/>
        </w:rPr>
        <w:t>ivative positions for balance sheet presentation.</w:t>
      </w:r>
    </w:p>
    <w:p w14:paraId="0F3E245F" w14:textId="77777777" w:rsidR="00000000" w:rsidRDefault="00A173A8">
      <w:pPr>
        <w:jc w:val="both"/>
        <w:divId w:val="369915751"/>
        <w:rPr>
          <w:rFonts w:eastAsia="Times New Roman"/>
        </w:rPr>
      </w:pPr>
      <w:r>
        <w:rPr>
          <w:rFonts w:eastAsia="Times New Roman"/>
          <w:color w:val="000000"/>
          <w:sz w:val="20"/>
          <w:szCs w:val="20"/>
        </w:rPr>
        <w:t xml:space="preserve">The following table presents the gross and net fair values of our derivative assets, derivative liabilities, resale and repurchase agreements and the related offsetting amounts permitted under U.S. GAAP as </w:t>
      </w:r>
      <w:r>
        <w:rPr>
          <w:rFonts w:eastAsia="Times New Roman"/>
          <w:color w:val="000000"/>
          <w:sz w:val="20"/>
          <w:szCs w:val="20"/>
        </w:rPr>
        <w:t xml:space="preserve">of June 30, 2022 and December 31, 2021. The table also includes cash and non-cash collateral received or pledged in accordance with such arrangements. The amount of collateral presented, however, is limited to the amount of the related net derivative fair </w:t>
      </w:r>
      <w:r>
        <w:rPr>
          <w:rFonts w:eastAsia="Times New Roman"/>
          <w:color w:val="000000"/>
          <w:sz w:val="20"/>
          <w:szCs w:val="20"/>
        </w:rPr>
        <w:t>values or outstanding balances; therefore, instances of over-collateralization are excluded.</w:t>
      </w:r>
    </w:p>
    <w:p w14:paraId="5E06112C" w14:textId="77777777" w:rsidR="00000000" w:rsidRDefault="00A173A8">
      <w:pPr>
        <w:divId w:val="52627035"/>
        <w:rPr>
          <w:rFonts w:eastAsia="Times New Roman"/>
        </w:rPr>
      </w:pPr>
      <w:r>
        <w:rPr>
          <w:rFonts w:eastAsia="Times New Roman"/>
          <w:b/>
          <w:bCs/>
          <w:color w:val="000000"/>
          <w:sz w:val="18"/>
          <w:szCs w:val="18"/>
        </w:rPr>
        <w:t>Table 8.3: Offsetting of Financial Assets and Financial Liabilities</w:t>
      </w:r>
    </w:p>
    <w:tbl>
      <w:tblPr>
        <w:tblW w:w="4970" w:type="pct"/>
        <w:tblCellMar>
          <w:top w:w="15" w:type="dxa"/>
          <w:left w:w="15" w:type="dxa"/>
          <w:bottom w:w="15" w:type="dxa"/>
          <w:right w:w="15" w:type="dxa"/>
        </w:tblCellMar>
        <w:tblLook w:val="04A0" w:firstRow="1" w:lastRow="0" w:firstColumn="1" w:lastColumn="0" w:noHBand="0" w:noVBand="1"/>
      </w:tblPr>
      <w:tblGrid>
        <w:gridCol w:w="38"/>
        <w:gridCol w:w="2438"/>
        <w:gridCol w:w="37"/>
        <w:gridCol w:w="36"/>
        <w:gridCol w:w="36"/>
        <w:gridCol w:w="36"/>
        <w:gridCol w:w="111"/>
        <w:gridCol w:w="576"/>
        <w:gridCol w:w="36"/>
        <w:gridCol w:w="36"/>
        <w:gridCol w:w="36"/>
        <w:gridCol w:w="36"/>
        <w:gridCol w:w="111"/>
        <w:gridCol w:w="775"/>
        <w:gridCol w:w="37"/>
        <w:gridCol w:w="36"/>
        <w:gridCol w:w="36"/>
        <w:gridCol w:w="36"/>
        <w:gridCol w:w="111"/>
        <w:gridCol w:w="658"/>
        <w:gridCol w:w="37"/>
        <w:gridCol w:w="36"/>
        <w:gridCol w:w="36"/>
        <w:gridCol w:w="36"/>
        <w:gridCol w:w="111"/>
        <w:gridCol w:w="739"/>
        <w:gridCol w:w="36"/>
        <w:gridCol w:w="36"/>
        <w:gridCol w:w="36"/>
        <w:gridCol w:w="36"/>
        <w:gridCol w:w="111"/>
        <w:gridCol w:w="858"/>
        <w:gridCol w:w="36"/>
        <w:gridCol w:w="36"/>
        <w:gridCol w:w="36"/>
        <w:gridCol w:w="36"/>
        <w:gridCol w:w="111"/>
        <w:gridCol w:w="605"/>
        <w:gridCol w:w="36"/>
      </w:tblGrid>
      <w:tr w:rsidR="00000000" w14:paraId="6ED1D266" w14:textId="77777777">
        <w:trPr>
          <w:divId w:val="52627035"/>
        </w:trPr>
        <w:tc>
          <w:tcPr>
            <w:tcW w:w="50" w:type="pct"/>
            <w:vAlign w:val="center"/>
            <w:hideMark/>
          </w:tcPr>
          <w:p w14:paraId="29CDBBD3" w14:textId="77777777" w:rsidR="00000000" w:rsidRDefault="00A173A8">
            <w:pPr>
              <w:rPr>
                <w:rFonts w:eastAsia="Times New Roman"/>
              </w:rPr>
            </w:pPr>
          </w:p>
        </w:tc>
        <w:tc>
          <w:tcPr>
            <w:tcW w:w="1540" w:type="pct"/>
            <w:vAlign w:val="center"/>
            <w:hideMark/>
          </w:tcPr>
          <w:p w14:paraId="54AB4446" w14:textId="77777777" w:rsidR="00000000" w:rsidRDefault="00A173A8">
            <w:pPr>
              <w:spacing w:after="100"/>
              <w:rPr>
                <w:rFonts w:eastAsia="Times New Roman"/>
                <w:sz w:val="20"/>
                <w:szCs w:val="20"/>
              </w:rPr>
            </w:pPr>
          </w:p>
        </w:tc>
        <w:tc>
          <w:tcPr>
            <w:tcW w:w="5" w:type="pct"/>
            <w:vAlign w:val="center"/>
            <w:hideMark/>
          </w:tcPr>
          <w:p w14:paraId="49671B3A" w14:textId="77777777" w:rsidR="00000000" w:rsidRDefault="00A173A8">
            <w:pPr>
              <w:spacing w:after="100"/>
              <w:rPr>
                <w:rFonts w:eastAsia="Times New Roman"/>
                <w:sz w:val="20"/>
                <w:szCs w:val="20"/>
              </w:rPr>
            </w:pPr>
          </w:p>
        </w:tc>
        <w:tc>
          <w:tcPr>
            <w:tcW w:w="5" w:type="pct"/>
            <w:vAlign w:val="center"/>
            <w:hideMark/>
          </w:tcPr>
          <w:p w14:paraId="138C6C32" w14:textId="77777777" w:rsidR="00000000" w:rsidRDefault="00A173A8">
            <w:pPr>
              <w:spacing w:after="100"/>
              <w:rPr>
                <w:rFonts w:eastAsia="Times New Roman"/>
                <w:sz w:val="20"/>
                <w:szCs w:val="20"/>
              </w:rPr>
            </w:pPr>
          </w:p>
        </w:tc>
        <w:tc>
          <w:tcPr>
            <w:tcW w:w="26" w:type="pct"/>
            <w:vAlign w:val="center"/>
            <w:hideMark/>
          </w:tcPr>
          <w:p w14:paraId="0D1F71C4" w14:textId="77777777" w:rsidR="00000000" w:rsidRDefault="00A173A8">
            <w:pPr>
              <w:spacing w:after="100"/>
              <w:rPr>
                <w:rFonts w:eastAsia="Times New Roman"/>
                <w:sz w:val="20"/>
                <w:szCs w:val="20"/>
              </w:rPr>
            </w:pPr>
          </w:p>
        </w:tc>
        <w:tc>
          <w:tcPr>
            <w:tcW w:w="5" w:type="pct"/>
            <w:vAlign w:val="center"/>
            <w:hideMark/>
          </w:tcPr>
          <w:p w14:paraId="0A5C1724" w14:textId="77777777" w:rsidR="00000000" w:rsidRDefault="00A173A8">
            <w:pPr>
              <w:spacing w:after="100"/>
              <w:rPr>
                <w:rFonts w:eastAsia="Times New Roman"/>
                <w:sz w:val="20"/>
                <w:szCs w:val="20"/>
              </w:rPr>
            </w:pPr>
          </w:p>
        </w:tc>
        <w:tc>
          <w:tcPr>
            <w:tcW w:w="50" w:type="pct"/>
            <w:vAlign w:val="center"/>
            <w:hideMark/>
          </w:tcPr>
          <w:p w14:paraId="09F076A1" w14:textId="77777777" w:rsidR="00000000" w:rsidRDefault="00A173A8">
            <w:pPr>
              <w:spacing w:after="100"/>
              <w:rPr>
                <w:rFonts w:eastAsia="Times New Roman"/>
                <w:sz w:val="20"/>
                <w:szCs w:val="20"/>
              </w:rPr>
            </w:pPr>
          </w:p>
        </w:tc>
        <w:tc>
          <w:tcPr>
            <w:tcW w:w="364" w:type="pct"/>
            <w:vAlign w:val="center"/>
            <w:hideMark/>
          </w:tcPr>
          <w:p w14:paraId="6903BAF4" w14:textId="77777777" w:rsidR="00000000" w:rsidRDefault="00A173A8">
            <w:pPr>
              <w:spacing w:after="100"/>
              <w:rPr>
                <w:rFonts w:eastAsia="Times New Roman"/>
                <w:sz w:val="20"/>
                <w:szCs w:val="20"/>
              </w:rPr>
            </w:pPr>
          </w:p>
        </w:tc>
        <w:tc>
          <w:tcPr>
            <w:tcW w:w="5" w:type="pct"/>
            <w:vAlign w:val="center"/>
            <w:hideMark/>
          </w:tcPr>
          <w:p w14:paraId="4F2812E2" w14:textId="77777777" w:rsidR="00000000" w:rsidRDefault="00A173A8">
            <w:pPr>
              <w:spacing w:after="100"/>
              <w:rPr>
                <w:rFonts w:eastAsia="Times New Roman"/>
                <w:sz w:val="20"/>
                <w:szCs w:val="20"/>
              </w:rPr>
            </w:pPr>
          </w:p>
        </w:tc>
        <w:tc>
          <w:tcPr>
            <w:tcW w:w="5" w:type="pct"/>
            <w:vAlign w:val="center"/>
            <w:hideMark/>
          </w:tcPr>
          <w:p w14:paraId="4F6945B0" w14:textId="77777777" w:rsidR="00000000" w:rsidRDefault="00A173A8">
            <w:pPr>
              <w:spacing w:after="100"/>
              <w:rPr>
                <w:rFonts w:eastAsia="Times New Roman"/>
                <w:sz w:val="20"/>
                <w:szCs w:val="20"/>
              </w:rPr>
            </w:pPr>
          </w:p>
        </w:tc>
        <w:tc>
          <w:tcPr>
            <w:tcW w:w="26" w:type="pct"/>
            <w:vAlign w:val="center"/>
            <w:hideMark/>
          </w:tcPr>
          <w:p w14:paraId="14A345C2" w14:textId="77777777" w:rsidR="00000000" w:rsidRDefault="00A173A8">
            <w:pPr>
              <w:spacing w:after="100"/>
              <w:rPr>
                <w:rFonts w:eastAsia="Times New Roman"/>
                <w:sz w:val="20"/>
                <w:szCs w:val="20"/>
              </w:rPr>
            </w:pPr>
          </w:p>
        </w:tc>
        <w:tc>
          <w:tcPr>
            <w:tcW w:w="5" w:type="pct"/>
            <w:vAlign w:val="center"/>
            <w:hideMark/>
          </w:tcPr>
          <w:p w14:paraId="56B7EEA1" w14:textId="77777777" w:rsidR="00000000" w:rsidRDefault="00A173A8">
            <w:pPr>
              <w:spacing w:after="100"/>
              <w:rPr>
                <w:rFonts w:eastAsia="Times New Roman"/>
                <w:sz w:val="20"/>
                <w:szCs w:val="20"/>
              </w:rPr>
            </w:pPr>
          </w:p>
        </w:tc>
        <w:tc>
          <w:tcPr>
            <w:tcW w:w="50" w:type="pct"/>
            <w:vAlign w:val="center"/>
            <w:hideMark/>
          </w:tcPr>
          <w:p w14:paraId="694A7771" w14:textId="77777777" w:rsidR="00000000" w:rsidRDefault="00A173A8">
            <w:pPr>
              <w:spacing w:after="100"/>
              <w:rPr>
                <w:rFonts w:eastAsia="Times New Roman"/>
                <w:sz w:val="20"/>
                <w:szCs w:val="20"/>
              </w:rPr>
            </w:pPr>
          </w:p>
        </w:tc>
        <w:tc>
          <w:tcPr>
            <w:tcW w:w="422" w:type="pct"/>
            <w:vAlign w:val="center"/>
            <w:hideMark/>
          </w:tcPr>
          <w:p w14:paraId="68D52BE6" w14:textId="77777777" w:rsidR="00000000" w:rsidRDefault="00A173A8">
            <w:pPr>
              <w:spacing w:after="100"/>
              <w:rPr>
                <w:rFonts w:eastAsia="Times New Roman"/>
                <w:sz w:val="20"/>
                <w:szCs w:val="20"/>
              </w:rPr>
            </w:pPr>
          </w:p>
        </w:tc>
        <w:tc>
          <w:tcPr>
            <w:tcW w:w="5" w:type="pct"/>
            <w:vAlign w:val="center"/>
            <w:hideMark/>
          </w:tcPr>
          <w:p w14:paraId="55020E70" w14:textId="77777777" w:rsidR="00000000" w:rsidRDefault="00A173A8">
            <w:pPr>
              <w:spacing w:after="100"/>
              <w:rPr>
                <w:rFonts w:eastAsia="Times New Roman"/>
                <w:sz w:val="20"/>
                <w:szCs w:val="20"/>
              </w:rPr>
            </w:pPr>
          </w:p>
        </w:tc>
        <w:tc>
          <w:tcPr>
            <w:tcW w:w="5" w:type="pct"/>
            <w:vAlign w:val="center"/>
            <w:hideMark/>
          </w:tcPr>
          <w:p w14:paraId="4AF0D081" w14:textId="77777777" w:rsidR="00000000" w:rsidRDefault="00A173A8">
            <w:pPr>
              <w:spacing w:after="100"/>
              <w:rPr>
                <w:rFonts w:eastAsia="Times New Roman"/>
                <w:sz w:val="20"/>
                <w:szCs w:val="20"/>
              </w:rPr>
            </w:pPr>
          </w:p>
        </w:tc>
        <w:tc>
          <w:tcPr>
            <w:tcW w:w="26" w:type="pct"/>
            <w:vAlign w:val="center"/>
            <w:hideMark/>
          </w:tcPr>
          <w:p w14:paraId="137BBB55" w14:textId="77777777" w:rsidR="00000000" w:rsidRDefault="00A173A8">
            <w:pPr>
              <w:spacing w:after="100"/>
              <w:rPr>
                <w:rFonts w:eastAsia="Times New Roman"/>
                <w:sz w:val="20"/>
                <w:szCs w:val="20"/>
              </w:rPr>
            </w:pPr>
          </w:p>
        </w:tc>
        <w:tc>
          <w:tcPr>
            <w:tcW w:w="5" w:type="pct"/>
            <w:vAlign w:val="center"/>
            <w:hideMark/>
          </w:tcPr>
          <w:p w14:paraId="0CCE76E3" w14:textId="77777777" w:rsidR="00000000" w:rsidRDefault="00A173A8">
            <w:pPr>
              <w:spacing w:after="100"/>
              <w:rPr>
                <w:rFonts w:eastAsia="Times New Roman"/>
                <w:sz w:val="20"/>
                <w:szCs w:val="20"/>
              </w:rPr>
            </w:pPr>
          </w:p>
        </w:tc>
        <w:tc>
          <w:tcPr>
            <w:tcW w:w="50" w:type="pct"/>
            <w:vAlign w:val="center"/>
            <w:hideMark/>
          </w:tcPr>
          <w:p w14:paraId="67B38F1F" w14:textId="77777777" w:rsidR="00000000" w:rsidRDefault="00A173A8">
            <w:pPr>
              <w:spacing w:after="100"/>
              <w:rPr>
                <w:rFonts w:eastAsia="Times New Roman"/>
                <w:sz w:val="20"/>
                <w:szCs w:val="20"/>
              </w:rPr>
            </w:pPr>
          </w:p>
        </w:tc>
        <w:tc>
          <w:tcPr>
            <w:tcW w:w="533" w:type="pct"/>
            <w:vAlign w:val="center"/>
            <w:hideMark/>
          </w:tcPr>
          <w:p w14:paraId="6E867BFD" w14:textId="77777777" w:rsidR="00000000" w:rsidRDefault="00A173A8">
            <w:pPr>
              <w:spacing w:after="100"/>
              <w:rPr>
                <w:rFonts w:eastAsia="Times New Roman"/>
                <w:sz w:val="20"/>
                <w:szCs w:val="20"/>
              </w:rPr>
            </w:pPr>
          </w:p>
        </w:tc>
        <w:tc>
          <w:tcPr>
            <w:tcW w:w="5" w:type="pct"/>
            <w:vAlign w:val="center"/>
            <w:hideMark/>
          </w:tcPr>
          <w:p w14:paraId="384F900C" w14:textId="77777777" w:rsidR="00000000" w:rsidRDefault="00A173A8">
            <w:pPr>
              <w:spacing w:after="100"/>
              <w:rPr>
                <w:rFonts w:eastAsia="Times New Roman"/>
                <w:sz w:val="20"/>
                <w:szCs w:val="20"/>
              </w:rPr>
            </w:pPr>
          </w:p>
        </w:tc>
        <w:tc>
          <w:tcPr>
            <w:tcW w:w="5" w:type="pct"/>
            <w:vAlign w:val="center"/>
            <w:hideMark/>
          </w:tcPr>
          <w:p w14:paraId="5F55EF01" w14:textId="77777777" w:rsidR="00000000" w:rsidRDefault="00A173A8">
            <w:pPr>
              <w:spacing w:after="100"/>
              <w:rPr>
                <w:rFonts w:eastAsia="Times New Roman"/>
                <w:sz w:val="20"/>
                <w:szCs w:val="20"/>
              </w:rPr>
            </w:pPr>
          </w:p>
        </w:tc>
        <w:tc>
          <w:tcPr>
            <w:tcW w:w="26" w:type="pct"/>
            <w:vAlign w:val="center"/>
            <w:hideMark/>
          </w:tcPr>
          <w:p w14:paraId="7EBEE09C" w14:textId="77777777" w:rsidR="00000000" w:rsidRDefault="00A173A8">
            <w:pPr>
              <w:spacing w:after="100"/>
              <w:rPr>
                <w:rFonts w:eastAsia="Times New Roman"/>
                <w:sz w:val="20"/>
                <w:szCs w:val="20"/>
              </w:rPr>
            </w:pPr>
          </w:p>
        </w:tc>
        <w:tc>
          <w:tcPr>
            <w:tcW w:w="5" w:type="pct"/>
            <w:vAlign w:val="center"/>
            <w:hideMark/>
          </w:tcPr>
          <w:p w14:paraId="7BBBCC69" w14:textId="77777777" w:rsidR="00000000" w:rsidRDefault="00A173A8">
            <w:pPr>
              <w:spacing w:after="100"/>
              <w:rPr>
                <w:rFonts w:eastAsia="Times New Roman"/>
                <w:sz w:val="20"/>
                <w:szCs w:val="20"/>
              </w:rPr>
            </w:pPr>
          </w:p>
        </w:tc>
        <w:tc>
          <w:tcPr>
            <w:tcW w:w="50" w:type="pct"/>
            <w:vAlign w:val="center"/>
            <w:hideMark/>
          </w:tcPr>
          <w:p w14:paraId="6E9DCF34" w14:textId="77777777" w:rsidR="00000000" w:rsidRDefault="00A173A8">
            <w:pPr>
              <w:spacing w:after="100"/>
              <w:rPr>
                <w:rFonts w:eastAsia="Times New Roman"/>
                <w:sz w:val="20"/>
                <w:szCs w:val="20"/>
              </w:rPr>
            </w:pPr>
          </w:p>
        </w:tc>
        <w:tc>
          <w:tcPr>
            <w:tcW w:w="481" w:type="pct"/>
            <w:vAlign w:val="center"/>
            <w:hideMark/>
          </w:tcPr>
          <w:p w14:paraId="3722EFDC" w14:textId="77777777" w:rsidR="00000000" w:rsidRDefault="00A173A8">
            <w:pPr>
              <w:spacing w:after="100"/>
              <w:rPr>
                <w:rFonts w:eastAsia="Times New Roman"/>
                <w:sz w:val="20"/>
                <w:szCs w:val="20"/>
              </w:rPr>
            </w:pPr>
          </w:p>
        </w:tc>
        <w:tc>
          <w:tcPr>
            <w:tcW w:w="5" w:type="pct"/>
            <w:vAlign w:val="center"/>
            <w:hideMark/>
          </w:tcPr>
          <w:p w14:paraId="52588909" w14:textId="77777777" w:rsidR="00000000" w:rsidRDefault="00A173A8">
            <w:pPr>
              <w:spacing w:after="100"/>
              <w:rPr>
                <w:rFonts w:eastAsia="Times New Roman"/>
                <w:sz w:val="20"/>
                <w:szCs w:val="20"/>
              </w:rPr>
            </w:pPr>
          </w:p>
        </w:tc>
        <w:tc>
          <w:tcPr>
            <w:tcW w:w="5" w:type="pct"/>
            <w:vAlign w:val="center"/>
            <w:hideMark/>
          </w:tcPr>
          <w:p w14:paraId="298E0E5D" w14:textId="77777777" w:rsidR="00000000" w:rsidRDefault="00A173A8">
            <w:pPr>
              <w:spacing w:after="100"/>
              <w:rPr>
                <w:rFonts w:eastAsia="Times New Roman"/>
                <w:sz w:val="20"/>
                <w:szCs w:val="20"/>
              </w:rPr>
            </w:pPr>
          </w:p>
        </w:tc>
        <w:tc>
          <w:tcPr>
            <w:tcW w:w="26" w:type="pct"/>
            <w:vAlign w:val="center"/>
            <w:hideMark/>
          </w:tcPr>
          <w:p w14:paraId="49C9D56F" w14:textId="77777777" w:rsidR="00000000" w:rsidRDefault="00A173A8">
            <w:pPr>
              <w:spacing w:after="100"/>
              <w:rPr>
                <w:rFonts w:eastAsia="Times New Roman"/>
                <w:sz w:val="20"/>
                <w:szCs w:val="20"/>
              </w:rPr>
            </w:pPr>
          </w:p>
        </w:tc>
        <w:tc>
          <w:tcPr>
            <w:tcW w:w="5" w:type="pct"/>
            <w:vAlign w:val="center"/>
            <w:hideMark/>
          </w:tcPr>
          <w:p w14:paraId="5F0DE062" w14:textId="77777777" w:rsidR="00000000" w:rsidRDefault="00A173A8">
            <w:pPr>
              <w:spacing w:after="100"/>
              <w:rPr>
                <w:rFonts w:eastAsia="Times New Roman"/>
                <w:sz w:val="20"/>
                <w:szCs w:val="20"/>
              </w:rPr>
            </w:pPr>
          </w:p>
        </w:tc>
        <w:tc>
          <w:tcPr>
            <w:tcW w:w="50" w:type="pct"/>
            <w:vAlign w:val="center"/>
            <w:hideMark/>
          </w:tcPr>
          <w:p w14:paraId="3266005F" w14:textId="77777777" w:rsidR="00000000" w:rsidRDefault="00A173A8">
            <w:pPr>
              <w:spacing w:after="100"/>
              <w:rPr>
                <w:rFonts w:eastAsia="Times New Roman"/>
                <w:sz w:val="20"/>
                <w:szCs w:val="20"/>
              </w:rPr>
            </w:pPr>
          </w:p>
        </w:tc>
        <w:tc>
          <w:tcPr>
            <w:tcW w:w="658" w:type="pct"/>
            <w:vAlign w:val="center"/>
            <w:hideMark/>
          </w:tcPr>
          <w:p w14:paraId="0E28FE27" w14:textId="77777777" w:rsidR="00000000" w:rsidRDefault="00A173A8">
            <w:pPr>
              <w:spacing w:after="100"/>
              <w:rPr>
                <w:rFonts w:eastAsia="Times New Roman"/>
                <w:sz w:val="20"/>
                <w:szCs w:val="20"/>
              </w:rPr>
            </w:pPr>
          </w:p>
        </w:tc>
        <w:tc>
          <w:tcPr>
            <w:tcW w:w="5" w:type="pct"/>
            <w:vAlign w:val="center"/>
            <w:hideMark/>
          </w:tcPr>
          <w:p w14:paraId="55AAD623" w14:textId="77777777" w:rsidR="00000000" w:rsidRDefault="00A173A8">
            <w:pPr>
              <w:spacing w:after="100"/>
              <w:rPr>
                <w:rFonts w:eastAsia="Times New Roman"/>
                <w:sz w:val="20"/>
                <w:szCs w:val="20"/>
              </w:rPr>
            </w:pPr>
          </w:p>
        </w:tc>
        <w:tc>
          <w:tcPr>
            <w:tcW w:w="5" w:type="pct"/>
            <w:vAlign w:val="center"/>
            <w:hideMark/>
          </w:tcPr>
          <w:p w14:paraId="15E5F0DB" w14:textId="77777777" w:rsidR="00000000" w:rsidRDefault="00A173A8">
            <w:pPr>
              <w:spacing w:after="100"/>
              <w:rPr>
                <w:rFonts w:eastAsia="Times New Roman"/>
                <w:sz w:val="20"/>
                <w:szCs w:val="20"/>
              </w:rPr>
            </w:pPr>
          </w:p>
        </w:tc>
        <w:tc>
          <w:tcPr>
            <w:tcW w:w="26" w:type="pct"/>
            <w:vAlign w:val="center"/>
            <w:hideMark/>
          </w:tcPr>
          <w:p w14:paraId="3155C9DE" w14:textId="77777777" w:rsidR="00000000" w:rsidRDefault="00A173A8">
            <w:pPr>
              <w:spacing w:after="100"/>
              <w:rPr>
                <w:rFonts w:eastAsia="Times New Roman"/>
                <w:sz w:val="20"/>
                <w:szCs w:val="20"/>
              </w:rPr>
            </w:pPr>
          </w:p>
        </w:tc>
        <w:tc>
          <w:tcPr>
            <w:tcW w:w="5" w:type="pct"/>
            <w:vAlign w:val="center"/>
            <w:hideMark/>
          </w:tcPr>
          <w:p w14:paraId="432E07FD" w14:textId="77777777" w:rsidR="00000000" w:rsidRDefault="00A173A8">
            <w:pPr>
              <w:spacing w:after="100"/>
              <w:rPr>
                <w:rFonts w:eastAsia="Times New Roman"/>
                <w:sz w:val="20"/>
                <w:szCs w:val="20"/>
              </w:rPr>
            </w:pPr>
          </w:p>
        </w:tc>
        <w:tc>
          <w:tcPr>
            <w:tcW w:w="50" w:type="pct"/>
            <w:vAlign w:val="center"/>
            <w:hideMark/>
          </w:tcPr>
          <w:p w14:paraId="57F5538B" w14:textId="77777777" w:rsidR="00000000" w:rsidRDefault="00A173A8">
            <w:pPr>
              <w:spacing w:after="100"/>
              <w:rPr>
                <w:rFonts w:eastAsia="Times New Roman"/>
                <w:sz w:val="20"/>
                <w:szCs w:val="20"/>
              </w:rPr>
            </w:pPr>
          </w:p>
        </w:tc>
        <w:tc>
          <w:tcPr>
            <w:tcW w:w="393" w:type="pct"/>
            <w:vAlign w:val="center"/>
            <w:hideMark/>
          </w:tcPr>
          <w:p w14:paraId="7992E524" w14:textId="77777777" w:rsidR="00000000" w:rsidRDefault="00A173A8">
            <w:pPr>
              <w:spacing w:after="100"/>
              <w:rPr>
                <w:rFonts w:eastAsia="Times New Roman"/>
                <w:sz w:val="20"/>
                <w:szCs w:val="20"/>
              </w:rPr>
            </w:pPr>
          </w:p>
        </w:tc>
        <w:tc>
          <w:tcPr>
            <w:tcW w:w="5" w:type="pct"/>
            <w:vAlign w:val="center"/>
            <w:hideMark/>
          </w:tcPr>
          <w:p w14:paraId="136D9AA1" w14:textId="77777777" w:rsidR="00000000" w:rsidRDefault="00A173A8">
            <w:pPr>
              <w:spacing w:after="100"/>
              <w:rPr>
                <w:rFonts w:eastAsia="Times New Roman"/>
                <w:sz w:val="20"/>
                <w:szCs w:val="20"/>
              </w:rPr>
            </w:pPr>
          </w:p>
        </w:tc>
      </w:tr>
      <w:tr w:rsidR="00000000" w14:paraId="0965DCFE" w14:textId="77777777">
        <w:trPr>
          <w:divId w:val="52627035"/>
          <w:trHeight w:val="420"/>
        </w:trPr>
        <w:tc>
          <w:tcPr>
            <w:tcW w:w="0" w:type="auto"/>
            <w:gridSpan w:val="3"/>
            <w:tcMar>
              <w:top w:w="0" w:type="dxa"/>
              <w:left w:w="20" w:type="dxa"/>
              <w:bottom w:w="0" w:type="dxa"/>
              <w:right w:w="20" w:type="dxa"/>
            </w:tcMar>
            <w:vAlign w:val="center"/>
            <w:hideMark/>
          </w:tcPr>
          <w:p w14:paraId="028190F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A200A8" w14:textId="77777777" w:rsidR="00000000" w:rsidRDefault="00A173A8">
            <w:pPr>
              <w:spacing w:after="100"/>
              <w:rPr>
                <w:rFonts w:eastAsia="Times New Roman"/>
                <w:sz w:val="20"/>
                <w:szCs w:val="20"/>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45001316" w14:textId="77777777" w:rsidR="00000000" w:rsidRDefault="00A173A8">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14:paraId="2EE90C9C"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D957970" w14:textId="77777777" w:rsidR="00000000" w:rsidRDefault="00A173A8">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14:paraId="2A60A371" w14:textId="77777777" w:rsidR="00000000" w:rsidRDefault="00A173A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586AF327" w14:textId="77777777" w:rsidR="00000000" w:rsidRDefault="00A173A8">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14:paraId="19FEF57D" w14:textId="77777777" w:rsidR="00000000" w:rsidRDefault="00A173A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651C797A" w14:textId="77777777" w:rsidR="00000000" w:rsidRDefault="00A173A8">
            <w:pPr>
              <w:spacing w:after="100"/>
              <w:jc w:val="center"/>
              <w:rPr>
                <w:rFonts w:eastAsia="Times New Roman"/>
              </w:rPr>
            </w:pPr>
            <w:r>
              <w:rPr>
                <w:rFonts w:eastAsia="Times New Roman"/>
                <w:b/>
                <w:bCs/>
                <w:color w:val="000000"/>
                <w:sz w:val="16"/>
                <w:szCs w:val="16"/>
              </w:rPr>
              <w:t>Securities Collateral Held Under Master Netting Agreements</w:t>
            </w:r>
          </w:p>
        </w:tc>
        <w:tc>
          <w:tcPr>
            <w:tcW w:w="0" w:type="auto"/>
            <w:gridSpan w:val="3"/>
            <w:tcMar>
              <w:top w:w="0" w:type="dxa"/>
              <w:left w:w="20" w:type="dxa"/>
              <w:bottom w:w="0" w:type="dxa"/>
              <w:right w:w="20" w:type="dxa"/>
            </w:tcMar>
            <w:vAlign w:val="center"/>
            <w:hideMark/>
          </w:tcPr>
          <w:p w14:paraId="106D1896" w14:textId="77777777" w:rsidR="00000000" w:rsidRDefault="00A173A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4454EF1C" w14:textId="77777777" w:rsidR="00000000" w:rsidRDefault="00A173A8">
            <w:pPr>
              <w:spacing w:after="100"/>
              <w:jc w:val="center"/>
              <w:rPr>
                <w:rFonts w:eastAsia="Times New Roman"/>
              </w:rPr>
            </w:pPr>
            <w:r>
              <w:rPr>
                <w:rFonts w:eastAsia="Times New Roman"/>
                <w:b/>
                <w:bCs/>
                <w:color w:val="000000"/>
                <w:sz w:val="16"/>
                <w:szCs w:val="16"/>
              </w:rPr>
              <w:t>Net Exposure</w:t>
            </w:r>
          </w:p>
        </w:tc>
      </w:tr>
      <w:tr w:rsidR="00000000" w14:paraId="29BF3B92" w14:textId="77777777">
        <w:trPr>
          <w:divId w:val="52627035"/>
          <w:trHeight w:val="420"/>
        </w:trPr>
        <w:tc>
          <w:tcPr>
            <w:tcW w:w="0" w:type="auto"/>
            <w:gridSpan w:val="3"/>
            <w:tcBorders>
              <w:bottom w:val="single" w:sz="8" w:space="0" w:color="000000"/>
            </w:tcBorders>
            <w:tcMar>
              <w:top w:w="30" w:type="dxa"/>
              <w:left w:w="20" w:type="dxa"/>
              <w:bottom w:w="30" w:type="dxa"/>
              <w:right w:w="20" w:type="dxa"/>
            </w:tcMar>
            <w:vAlign w:val="bottom"/>
            <w:hideMark/>
          </w:tcPr>
          <w:p w14:paraId="23DBAB41"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D45B22F" w14:textId="77777777" w:rsidR="00000000" w:rsidRDefault="00A173A8">
            <w:pPr>
              <w:spacing w:after="100"/>
              <w:rPr>
                <w:rFonts w:eastAsia="Times New Roman"/>
              </w:rPr>
            </w:pPr>
          </w:p>
        </w:tc>
        <w:tc>
          <w:tcPr>
            <w:tcW w:w="0" w:type="auto"/>
            <w:gridSpan w:val="3"/>
            <w:vMerge/>
            <w:tcBorders>
              <w:bottom w:val="single" w:sz="8" w:space="0" w:color="000000"/>
            </w:tcBorders>
            <w:vAlign w:val="center"/>
            <w:hideMark/>
          </w:tcPr>
          <w:p w14:paraId="35D1792F"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4022DE2F"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4B29050" w14:textId="77777777" w:rsidR="00000000" w:rsidRDefault="00A173A8">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14:paraId="2156FB5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0F628BB" w14:textId="77777777" w:rsidR="00000000" w:rsidRDefault="00A173A8">
            <w:pPr>
              <w:spacing w:after="100"/>
              <w:jc w:val="center"/>
              <w:rPr>
                <w:rFonts w:eastAsia="Times New Roman"/>
              </w:rPr>
            </w:pPr>
            <w:r>
              <w:rPr>
                <w:rFonts w:eastAsia="Times New Roman"/>
                <w:b/>
                <w:bCs/>
                <w:color w:val="000000"/>
                <w:sz w:val="16"/>
                <w:szCs w:val="16"/>
              </w:rPr>
              <w:t>Cash Collateral Received</w:t>
            </w:r>
          </w:p>
        </w:tc>
        <w:tc>
          <w:tcPr>
            <w:tcW w:w="0" w:type="auto"/>
            <w:gridSpan w:val="3"/>
            <w:tcMar>
              <w:top w:w="0" w:type="dxa"/>
              <w:left w:w="20" w:type="dxa"/>
              <w:bottom w:w="0" w:type="dxa"/>
              <w:right w:w="20" w:type="dxa"/>
            </w:tcMar>
            <w:vAlign w:val="center"/>
            <w:hideMark/>
          </w:tcPr>
          <w:p w14:paraId="1E8550C6" w14:textId="77777777" w:rsidR="00000000" w:rsidRDefault="00A173A8">
            <w:pPr>
              <w:spacing w:after="100"/>
              <w:jc w:val="center"/>
              <w:rPr>
                <w:rFonts w:eastAsia="Times New Roman"/>
              </w:rPr>
            </w:pPr>
          </w:p>
        </w:tc>
        <w:tc>
          <w:tcPr>
            <w:tcW w:w="0" w:type="auto"/>
            <w:gridSpan w:val="3"/>
            <w:vMerge/>
            <w:tcBorders>
              <w:bottom w:val="single" w:sz="8" w:space="0" w:color="000000"/>
            </w:tcBorders>
            <w:vAlign w:val="center"/>
            <w:hideMark/>
          </w:tcPr>
          <w:p w14:paraId="7B78704D"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567938E6" w14:textId="77777777" w:rsidR="00000000" w:rsidRDefault="00A173A8">
            <w:pPr>
              <w:spacing w:after="100"/>
              <w:rPr>
                <w:rFonts w:eastAsia="Times New Roman"/>
                <w:sz w:val="20"/>
                <w:szCs w:val="20"/>
              </w:rPr>
            </w:pPr>
          </w:p>
        </w:tc>
        <w:tc>
          <w:tcPr>
            <w:tcW w:w="0" w:type="auto"/>
            <w:gridSpan w:val="3"/>
            <w:vMerge/>
            <w:tcBorders>
              <w:bottom w:val="single" w:sz="8" w:space="0" w:color="000000"/>
            </w:tcBorders>
            <w:vAlign w:val="center"/>
            <w:hideMark/>
          </w:tcPr>
          <w:p w14:paraId="0388C45F"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30E22ACF" w14:textId="77777777" w:rsidR="00000000" w:rsidRDefault="00A173A8">
            <w:pPr>
              <w:spacing w:after="100"/>
              <w:rPr>
                <w:rFonts w:eastAsia="Times New Roman"/>
                <w:sz w:val="20"/>
                <w:szCs w:val="20"/>
              </w:rPr>
            </w:pPr>
          </w:p>
        </w:tc>
        <w:tc>
          <w:tcPr>
            <w:tcW w:w="0" w:type="auto"/>
            <w:gridSpan w:val="3"/>
            <w:vMerge/>
            <w:tcBorders>
              <w:bottom w:val="single" w:sz="8" w:space="0" w:color="000000"/>
            </w:tcBorders>
            <w:vAlign w:val="center"/>
            <w:hideMark/>
          </w:tcPr>
          <w:p w14:paraId="6F9106D0" w14:textId="77777777" w:rsidR="00000000" w:rsidRDefault="00A173A8">
            <w:pPr>
              <w:spacing w:after="100"/>
              <w:rPr>
                <w:rFonts w:eastAsia="Times New Roman"/>
              </w:rPr>
            </w:pPr>
          </w:p>
        </w:tc>
      </w:tr>
      <w:tr w:rsidR="00000000" w14:paraId="7DBA124B" w14:textId="77777777">
        <w:trPr>
          <w:divId w:val="5262703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85D19FF" w14:textId="77777777" w:rsidR="00000000" w:rsidRDefault="00A173A8">
            <w:pPr>
              <w:spacing w:after="100"/>
              <w:rPr>
                <w:rFonts w:eastAsia="Times New Roman"/>
              </w:rPr>
            </w:pPr>
            <w:r>
              <w:rPr>
                <w:rFonts w:eastAsia="Times New Roman"/>
                <w:b/>
                <w:bCs/>
                <w:color w:val="000000"/>
                <w:sz w:val="18"/>
                <w:szCs w:val="18"/>
              </w:rPr>
              <w:t>As of June 30, 2022</w:t>
            </w:r>
          </w:p>
        </w:tc>
        <w:tc>
          <w:tcPr>
            <w:tcW w:w="0" w:type="auto"/>
            <w:gridSpan w:val="3"/>
            <w:shd w:val="clear" w:color="auto" w:fill="CCEEFF"/>
            <w:tcMar>
              <w:top w:w="0" w:type="dxa"/>
              <w:left w:w="20" w:type="dxa"/>
              <w:bottom w:w="0" w:type="dxa"/>
              <w:right w:w="20" w:type="dxa"/>
            </w:tcMar>
            <w:vAlign w:val="center"/>
            <w:hideMark/>
          </w:tcPr>
          <w:p w14:paraId="16BB09D4"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74DAB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F76A0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AAAC2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9B8E2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A8CE7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05D82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42A5C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DF0AC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AC55D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652C9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6D35E9" w14:textId="77777777" w:rsidR="00000000" w:rsidRDefault="00A173A8">
            <w:pPr>
              <w:spacing w:after="100"/>
              <w:rPr>
                <w:rFonts w:eastAsia="Times New Roman"/>
                <w:sz w:val="20"/>
                <w:szCs w:val="20"/>
              </w:rPr>
            </w:pPr>
          </w:p>
        </w:tc>
      </w:tr>
      <w:tr w:rsidR="00000000" w14:paraId="5AF9BD2C" w14:textId="77777777">
        <w:trPr>
          <w:divId w:val="52627035"/>
        </w:trPr>
        <w:tc>
          <w:tcPr>
            <w:tcW w:w="0" w:type="auto"/>
            <w:gridSpan w:val="3"/>
            <w:shd w:val="clear" w:color="auto" w:fill="FFFFFF"/>
            <w:tcMar>
              <w:top w:w="30" w:type="dxa"/>
              <w:left w:w="20" w:type="dxa"/>
              <w:bottom w:w="30" w:type="dxa"/>
              <w:right w:w="20" w:type="dxa"/>
            </w:tcMar>
            <w:vAlign w:val="center"/>
            <w:hideMark/>
          </w:tcPr>
          <w:p w14:paraId="665CC19A" w14:textId="77777777" w:rsidR="00000000" w:rsidRDefault="00A173A8">
            <w:pPr>
              <w:spacing w:after="100"/>
              <w:divId w:val="1741753608"/>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F7C229D"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848A99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69DF2ED" w14:textId="77777777" w:rsidR="00000000" w:rsidRDefault="00A173A8">
            <w:pPr>
              <w:spacing w:after="100"/>
              <w:jc w:val="right"/>
              <w:rPr>
                <w:rFonts w:eastAsia="Times New Roman"/>
              </w:rPr>
            </w:pPr>
            <w:r>
              <w:rPr>
                <w:rFonts w:eastAsia="Times New Roman"/>
                <w:b/>
                <w:bCs/>
                <w:color w:val="000000"/>
                <w:sz w:val="18"/>
                <w:szCs w:val="18"/>
              </w:rPr>
              <w:t>4,500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47D1A0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B832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7C2A96A"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21E9F6F1" w14:textId="77777777" w:rsidR="00000000" w:rsidRDefault="00A173A8">
            <w:pPr>
              <w:spacing w:after="100"/>
              <w:jc w:val="right"/>
              <w:rPr>
                <w:rFonts w:eastAsia="Times New Roman"/>
              </w:rPr>
            </w:pPr>
            <w:r>
              <w:rPr>
                <w:rFonts w:eastAsia="Times New Roman"/>
                <w:b/>
                <w:bCs/>
                <w:color w:val="000000"/>
                <w:sz w:val="18"/>
                <w:szCs w:val="18"/>
              </w:rPr>
              <w:t>(485)</w:t>
            </w:r>
          </w:p>
        </w:tc>
        <w:tc>
          <w:tcPr>
            <w:tcW w:w="0" w:type="auto"/>
            <w:shd w:val="clear" w:color="auto" w:fill="FFFFFF"/>
            <w:tcMar>
              <w:top w:w="30" w:type="dxa"/>
              <w:left w:w="0" w:type="dxa"/>
              <w:bottom w:w="30" w:type="dxa"/>
              <w:right w:w="20" w:type="dxa"/>
            </w:tcMar>
            <w:vAlign w:val="center"/>
            <w:hideMark/>
          </w:tcPr>
          <w:p w14:paraId="27B32E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0052A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76F1793"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BE82C83" w14:textId="77777777" w:rsidR="00000000" w:rsidRDefault="00A173A8">
            <w:pPr>
              <w:spacing w:after="100"/>
              <w:jc w:val="right"/>
              <w:rPr>
                <w:rFonts w:eastAsia="Times New Roman"/>
              </w:rPr>
            </w:pPr>
            <w:r>
              <w:rPr>
                <w:rFonts w:eastAsia="Times New Roman"/>
                <w:b/>
                <w:bCs/>
                <w:color w:val="000000"/>
                <w:sz w:val="18"/>
                <w:szCs w:val="18"/>
              </w:rPr>
              <w:t>(582)</w:t>
            </w:r>
          </w:p>
        </w:tc>
        <w:tc>
          <w:tcPr>
            <w:tcW w:w="0" w:type="auto"/>
            <w:shd w:val="clear" w:color="auto" w:fill="FFFFFF"/>
            <w:tcMar>
              <w:top w:w="30" w:type="dxa"/>
              <w:left w:w="0" w:type="dxa"/>
              <w:bottom w:w="30" w:type="dxa"/>
              <w:right w:w="20" w:type="dxa"/>
            </w:tcMar>
            <w:vAlign w:val="center"/>
            <w:hideMark/>
          </w:tcPr>
          <w:p w14:paraId="6500435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4C28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B470E3B"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FF9C3D3" w14:textId="77777777" w:rsidR="00000000" w:rsidRDefault="00A173A8">
            <w:pPr>
              <w:spacing w:after="100"/>
              <w:jc w:val="right"/>
              <w:rPr>
                <w:rFonts w:eastAsia="Times New Roman"/>
              </w:rPr>
            </w:pPr>
            <w:r>
              <w:rPr>
                <w:rFonts w:eastAsia="Times New Roman"/>
                <w:b/>
                <w:bCs/>
                <w:color w:val="000000"/>
                <w:sz w:val="18"/>
                <w:szCs w:val="18"/>
              </w:rPr>
              <w:t>3,433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DA600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3A9D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8B866A3"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54675D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24D33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C6B6D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8617793"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E352CF3" w14:textId="77777777" w:rsidR="00000000" w:rsidRDefault="00A173A8">
            <w:pPr>
              <w:spacing w:after="100"/>
              <w:jc w:val="right"/>
              <w:rPr>
                <w:rFonts w:eastAsia="Times New Roman"/>
              </w:rPr>
            </w:pPr>
            <w:r>
              <w:rPr>
                <w:rFonts w:eastAsia="Times New Roman"/>
                <w:b/>
                <w:bCs/>
                <w:color w:val="000000"/>
                <w:sz w:val="18"/>
                <w:szCs w:val="18"/>
              </w:rPr>
              <w:t>3,433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90A4B5B" w14:textId="77777777" w:rsidR="00000000" w:rsidRDefault="00A173A8">
            <w:pPr>
              <w:spacing w:after="100"/>
              <w:jc w:val="right"/>
              <w:rPr>
                <w:rFonts w:eastAsia="Times New Roman"/>
              </w:rPr>
            </w:pPr>
          </w:p>
        </w:tc>
      </w:tr>
      <w:tr w:rsidR="00000000" w14:paraId="281DBAAD" w14:textId="77777777">
        <w:trPr>
          <w:divId w:val="52627035"/>
        </w:trPr>
        <w:tc>
          <w:tcPr>
            <w:tcW w:w="0" w:type="auto"/>
            <w:gridSpan w:val="3"/>
            <w:shd w:val="clear" w:color="auto" w:fill="CCEEFF"/>
            <w:tcMar>
              <w:top w:w="30" w:type="dxa"/>
              <w:left w:w="20" w:type="dxa"/>
              <w:bottom w:w="30" w:type="dxa"/>
              <w:right w:w="20" w:type="dxa"/>
            </w:tcMar>
            <w:vAlign w:val="center"/>
            <w:hideMark/>
          </w:tcPr>
          <w:p w14:paraId="39DB1607" w14:textId="77777777" w:rsidR="00000000" w:rsidRDefault="00A173A8">
            <w:pPr>
              <w:spacing w:after="100"/>
              <w:rPr>
                <w:rFonts w:eastAsia="Times New Roman"/>
              </w:rPr>
            </w:pPr>
            <w:r>
              <w:rPr>
                <w:rFonts w:eastAsia="Times New Roman"/>
                <w:color w:val="000000"/>
                <w:sz w:val="18"/>
                <w:szCs w:val="18"/>
              </w:rPr>
              <w:t>As of December 31, 2021</w:t>
            </w:r>
          </w:p>
        </w:tc>
        <w:tc>
          <w:tcPr>
            <w:tcW w:w="0" w:type="auto"/>
            <w:gridSpan w:val="3"/>
            <w:shd w:val="clear" w:color="auto" w:fill="CCEEFF"/>
            <w:tcMar>
              <w:top w:w="0" w:type="dxa"/>
              <w:left w:w="20" w:type="dxa"/>
              <w:bottom w:w="0" w:type="dxa"/>
              <w:right w:w="20" w:type="dxa"/>
            </w:tcMar>
            <w:vAlign w:val="center"/>
            <w:hideMark/>
          </w:tcPr>
          <w:p w14:paraId="24E8EA9A"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CEA8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3E8CB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AA425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C0045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730CF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C542A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9A380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65974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69542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CD98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57ECA1" w14:textId="77777777" w:rsidR="00000000" w:rsidRDefault="00A173A8">
            <w:pPr>
              <w:spacing w:after="100"/>
              <w:rPr>
                <w:rFonts w:eastAsia="Times New Roman"/>
                <w:sz w:val="20"/>
                <w:szCs w:val="20"/>
              </w:rPr>
            </w:pPr>
          </w:p>
        </w:tc>
      </w:tr>
      <w:tr w:rsidR="00000000" w14:paraId="6F76C609" w14:textId="77777777">
        <w:trPr>
          <w:divId w:val="52627035"/>
        </w:trPr>
        <w:tc>
          <w:tcPr>
            <w:tcW w:w="0" w:type="auto"/>
            <w:gridSpan w:val="3"/>
            <w:shd w:val="clear" w:color="auto" w:fill="FFFFFF"/>
            <w:tcMar>
              <w:top w:w="30" w:type="dxa"/>
              <w:left w:w="20" w:type="dxa"/>
              <w:bottom w:w="30" w:type="dxa"/>
              <w:right w:w="20" w:type="dxa"/>
            </w:tcMar>
            <w:vAlign w:val="center"/>
            <w:hideMark/>
          </w:tcPr>
          <w:p w14:paraId="178F3EB0" w14:textId="77777777" w:rsidR="00000000" w:rsidRDefault="00A173A8">
            <w:pPr>
              <w:spacing w:after="100"/>
              <w:divId w:val="1893537026"/>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D64B67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BB99700" w14:textId="77777777" w:rsidR="00000000" w:rsidRDefault="00A173A8">
            <w:pPr>
              <w:spacing w:after="100"/>
              <w:jc w:val="right"/>
              <w:rPr>
                <w:rFonts w:eastAsia="Times New Roman"/>
              </w:rPr>
            </w:pPr>
            <w:r>
              <w:rPr>
                <w:rFonts w:eastAsia="Times New Roman"/>
                <w:color w:val="000000"/>
                <w:sz w:val="18"/>
                <w:szCs w:val="18"/>
              </w:rPr>
              <w:t>2,690 </w:t>
            </w:r>
          </w:p>
        </w:tc>
        <w:tc>
          <w:tcPr>
            <w:tcW w:w="0" w:type="auto"/>
            <w:shd w:val="clear" w:color="auto" w:fill="FFFFFF"/>
            <w:tcMar>
              <w:top w:w="30" w:type="dxa"/>
              <w:left w:w="0" w:type="dxa"/>
              <w:bottom w:w="30" w:type="dxa"/>
              <w:right w:w="20" w:type="dxa"/>
            </w:tcMar>
            <w:vAlign w:val="center"/>
            <w:hideMark/>
          </w:tcPr>
          <w:p w14:paraId="29E2C0D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0C591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C27331" w14:textId="77777777" w:rsidR="00000000" w:rsidRDefault="00A173A8">
            <w:pPr>
              <w:spacing w:after="100"/>
              <w:jc w:val="right"/>
              <w:rPr>
                <w:rFonts w:eastAsia="Times New Roman"/>
              </w:rPr>
            </w:pPr>
            <w:r>
              <w:rPr>
                <w:rFonts w:eastAsia="Times New Roman"/>
                <w:color w:val="000000"/>
                <w:sz w:val="18"/>
                <w:szCs w:val="18"/>
              </w:rPr>
              <w:t>(252)</w:t>
            </w:r>
          </w:p>
        </w:tc>
        <w:tc>
          <w:tcPr>
            <w:tcW w:w="0" w:type="auto"/>
            <w:shd w:val="clear" w:color="auto" w:fill="FFFFFF"/>
            <w:tcMar>
              <w:top w:w="30" w:type="dxa"/>
              <w:left w:w="0" w:type="dxa"/>
              <w:bottom w:w="30" w:type="dxa"/>
              <w:right w:w="20" w:type="dxa"/>
            </w:tcMar>
            <w:vAlign w:val="center"/>
            <w:hideMark/>
          </w:tcPr>
          <w:p w14:paraId="75C9DC5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5EE2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5D7EF8" w14:textId="77777777" w:rsidR="00000000" w:rsidRDefault="00A173A8">
            <w:pPr>
              <w:spacing w:after="100"/>
              <w:jc w:val="right"/>
              <w:rPr>
                <w:rFonts w:eastAsia="Times New Roman"/>
              </w:rPr>
            </w:pPr>
            <w:r>
              <w:rPr>
                <w:rFonts w:eastAsia="Times New Roman"/>
                <w:color w:val="000000"/>
                <w:sz w:val="18"/>
                <w:szCs w:val="18"/>
              </w:rPr>
              <w:t>(290)</w:t>
            </w:r>
          </w:p>
        </w:tc>
        <w:tc>
          <w:tcPr>
            <w:tcW w:w="0" w:type="auto"/>
            <w:shd w:val="clear" w:color="auto" w:fill="FFFFFF"/>
            <w:tcMar>
              <w:top w:w="30" w:type="dxa"/>
              <w:left w:w="0" w:type="dxa"/>
              <w:bottom w:w="30" w:type="dxa"/>
              <w:right w:w="20" w:type="dxa"/>
            </w:tcMar>
            <w:vAlign w:val="center"/>
            <w:hideMark/>
          </w:tcPr>
          <w:p w14:paraId="2DDCCA2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44471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68CA32" w14:textId="77777777" w:rsidR="00000000" w:rsidRDefault="00A173A8">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14:paraId="6721D5E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6DA0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B613D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7249AF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8D5F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15F480" w14:textId="77777777" w:rsidR="00000000" w:rsidRDefault="00A173A8">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14:paraId="36517EB5" w14:textId="77777777" w:rsidR="00000000" w:rsidRDefault="00A173A8">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2044D200" w14:textId="77777777">
        <w:trPr>
          <w:jc w:val="center"/>
        </w:trPr>
        <w:tc>
          <w:tcPr>
            <w:tcW w:w="50" w:type="pct"/>
            <w:vAlign w:val="center"/>
            <w:hideMark/>
          </w:tcPr>
          <w:p w14:paraId="3A9830C5" w14:textId="77777777" w:rsidR="00000000" w:rsidRDefault="00A173A8">
            <w:pPr>
              <w:rPr>
                <w:rFonts w:eastAsia="Times New Roman"/>
              </w:rPr>
            </w:pPr>
          </w:p>
        </w:tc>
        <w:tc>
          <w:tcPr>
            <w:tcW w:w="1606" w:type="pct"/>
            <w:vAlign w:val="center"/>
            <w:hideMark/>
          </w:tcPr>
          <w:p w14:paraId="7B93C5D0" w14:textId="77777777" w:rsidR="00000000" w:rsidRDefault="00A173A8">
            <w:pPr>
              <w:spacing w:after="100"/>
              <w:rPr>
                <w:rFonts w:eastAsia="Times New Roman"/>
                <w:sz w:val="20"/>
                <w:szCs w:val="20"/>
              </w:rPr>
            </w:pPr>
          </w:p>
        </w:tc>
        <w:tc>
          <w:tcPr>
            <w:tcW w:w="5" w:type="pct"/>
            <w:vAlign w:val="center"/>
            <w:hideMark/>
          </w:tcPr>
          <w:p w14:paraId="6F18AB01" w14:textId="77777777" w:rsidR="00000000" w:rsidRDefault="00A173A8">
            <w:pPr>
              <w:spacing w:after="100"/>
              <w:rPr>
                <w:rFonts w:eastAsia="Times New Roman"/>
                <w:sz w:val="20"/>
                <w:szCs w:val="20"/>
              </w:rPr>
            </w:pPr>
          </w:p>
        </w:tc>
        <w:tc>
          <w:tcPr>
            <w:tcW w:w="50" w:type="pct"/>
            <w:vAlign w:val="center"/>
            <w:hideMark/>
          </w:tcPr>
          <w:p w14:paraId="20653BAD" w14:textId="77777777" w:rsidR="00000000" w:rsidRDefault="00A173A8">
            <w:pPr>
              <w:spacing w:after="100"/>
              <w:rPr>
                <w:rFonts w:eastAsia="Times New Roman"/>
                <w:sz w:val="20"/>
                <w:szCs w:val="20"/>
              </w:rPr>
            </w:pPr>
          </w:p>
        </w:tc>
        <w:tc>
          <w:tcPr>
            <w:tcW w:w="1614" w:type="pct"/>
            <w:vAlign w:val="center"/>
            <w:hideMark/>
          </w:tcPr>
          <w:p w14:paraId="66AF2E7E" w14:textId="77777777" w:rsidR="00000000" w:rsidRDefault="00A173A8">
            <w:pPr>
              <w:spacing w:after="100"/>
              <w:rPr>
                <w:rFonts w:eastAsia="Times New Roman"/>
                <w:sz w:val="20"/>
                <w:szCs w:val="20"/>
              </w:rPr>
            </w:pPr>
          </w:p>
        </w:tc>
        <w:tc>
          <w:tcPr>
            <w:tcW w:w="5" w:type="pct"/>
            <w:vAlign w:val="center"/>
            <w:hideMark/>
          </w:tcPr>
          <w:p w14:paraId="69977F06" w14:textId="77777777" w:rsidR="00000000" w:rsidRDefault="00A173A8">
            <w:pPr>
              <w:spacing w:after="100"/>
              <w:rPr>
                <w:rFonts w:eastAsia="Times New Roman"/>
                <w:sz w:val="20"/>
                <w:szCs w:val="20"/>
              </w:rPr>
            </w:pPr>
          </w:p>
        </w:tc>
        <w:tc>
          <w:tcPr>
            <w:tcW w:w="50" w:type="pct"/>
            <w:vAlign w:val="center"/>
            <w:hideMark/>
          </w:tcPr>
          <w:p w14:paraId="73F0EE8E" w14:textId="77777777" w:rsidR="00000000" w:rsidRDefault="00A173A8">
            <w:pPr>
              <w:spacing w:after="100"/>
              <w:rPr>
                <w:rFonts w:eastAsia="Times New Roman"/>
                <w:sz w:val="20"/>
                <w:szCs w:val="20"/>
              </w:rPr>
            </w:pPr>
          </w:p>
        </w:tc>
        <w:tc>
          <w:tcPr>
            <w:tcW w:w="1614" w:type="pct"/>
            <w:vAlign w:val="center"/>
            <w:hideMark/>
          </w:tcPr>
          <w:p w14:paraId="7CFCB492" w14:textId="77777777" w:rsidR="00000000" w:rsidRDefault="00A173A8">
            <w:pPr>
              <w:spacing w:after="100"/>
              <w:rPr>
                <w:rFonts w:eastAsia="Times New Roman"/>
                <w:sz w:val="20"/>
                <w:szCs w:val="20"/>
              </w:rPr>
            </w:pPr>
          </w:p>
        </w:tc>
        <w:tc>
          <w:tcPr>
            <w:tcW w:w="5" w:type="pct"/>
            <w:vAlign w:val="center"/>
            <w:hideMark/>
          </w:tcPr>
          <w:p w14:paraId="05A82FF7" w14:textId="77777777" w:rsidR="00000000" w:rsidRDefault="00A173A8">
            <w:pPr>
              <w:spacing w:after="100"/>
              <w:rPr>
                <w:rFonts w:eastAsia="Times New Roman"/>
                <w:sz w:val="20"/>
                <w:szCs w:val="20"/>
              </w:rPr>
            </w:pPr>
          </w:p>
        </w:tc>
      </w:tr>
      <w:tr w:rsidR="00000000" w14:paraId="2846761E" w14:textId="77777777">
        <w:trPr>
          <w:trHeight w:val="300"/>
          <w:jc w:val="center"/>
        </w:trPr>
        <w:tc>
          <w:tcPr>
            <w:tcW w:w="0" w:type="auto"/>
            <w:gridSpan w:val="9"/>
            <w:tcMar>
              <w:top w:w="0" w:type="dxa"/>
              <w:left w:w="20" w:type="dxa"/>
              <w:bottom w:w="0" w:type="dxa"/>
              <w:right w:w="20" w:type="dxa"/>
            </w:tcMar>
            <w:vAlign w:val="center"/>
            <w:hideMark/>
          </w:tcPr>
          <w:p w14:paraId="0B39177B" w14:textId="77777777" w:rsidR="00000000" w:rsidRDefault="00A173A8">
            <w:pPr>
              <w:spacing w:after="100"/>
              <w:rPr>
                <w:rFonts w:eastAsia="Times New Roman"/>
                <w:sz w:val="20"/>
                <w:szCs w:val="20"/>
              </w:rPr>
            </w:pPr>
          </w:p>
        </w:tc>
      </w:tr>
      <w:tr w:rsidR="00000000" w14:paraId="00CCE77D" w14:textId="77777777">
        <w:trPr>
          <w:jc w:val="center"/>
        </w:trPr>
        <w:tc>
          <w:tcPr>
            <w:tcW w:w="0" w:type="auto"/>
            <w:gridSpan w:val="3"/>
            <w:tcMar>
              <w:top w:w="0" w:type="dxa"/>
              <w:left w:w="20" w:type="dxa"/>
              <w:bottom w:w="0" w:type="dxa"/>
              <w:right w:w="20" w:type="dxa"/>
            </w:tcMar>
            <w:vAlign w:val="center"/>
            <w:hideMark/>
          </w:tcPr>
          <w:p w14:paraId="322E2BB9"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0503558" w14:textId="77777777" w:rsidR="00000000" w:rsidRDefault="00A173A8">
            <w:pPr>
              <w:spacing w:after="100"/>
              <w:jc w:val="center"/>
              <w:rPr>
                <w:rFonts w:eastAsia="Times New Roman"/>
              </w:rPr>
            </w:pPr>
            <w:r>
              <w:rPr>
                <w:rFonts w:eastAsia="Times New Roman"/>
                <w:color w:val="000000"/>
                <w:sz w:val="16"/>
                <w:szCs w:val="16"/>
              </w:rPr>
              <w:t>96</w:t>
            </w:r>
          </w:p>
        </w:tc>
        <w:tc>
          <w:tcPr>
            <w:tcW w:w="0" w:type="auto"/>
            <w:gridSpan w:val="3"/>
            <w:tcMar>
              <w:top w:w="30" w:type="dxa"/>
              <w:left w:w="20" w:type="dxa"/>
              <w:bottom w:w="30" w:type="dxa"/>
              <w:right w:w="20" w:type="dxa"/>
            </w:tcMar>
            <w:vAlign w:val="bottom"/>
            <w:hideMark/>
          </w:tcPr>
          <w:p w14:paraId="101B4258"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FD95EC1" w14:textId="77777777" w:rsidR="00000000" w:rsidRDefault="00A173A8">
      <w:pPr>
        <w:rPr>
          <w:rFonts w:eastAsia="Times New Roman"/>
        </w:rPr>
      </w:pPr>
      <w:r>
        <w:rPr>
          <w:rFonts w:eastAsia="Times New Roman"/>
        </w:rPr>
        <w:pict w14:anchorId="365D3CD8">
          <v:rect id="_x0000_i1121" style="width:0;height:1.5pt" o:hralign="center" o:hrstd="t" o:hr="t" fillcolor="#a0a0a0" stroked="f"/>
        </w:pict>
      </w:r>
    </w:p>
    <w:p w14:paraId="611502BB" w14:textId="77777777" w:rsidR="00000000" w:rsidRDefault="00A173A8">
      <w:pPr>
        <w:jc w:val="both"/>
        <w:divId w:val="451171469"/>
        <w:rPr>
          <w:rFonts w:eastAsia="Times New Roman"/>
        </w:rPr>
      </w:pPr>
      <w:hyperlink w:anchor="i7ffd5d61af6f4722b1b1b07530d51c06_13" w:history="1">
        <w:r>
          <w:rPr>
            <w:rStyle w:val="a3"/>
            <w:rFonts w:eastAsia="Times New Roman"/>
            <w:sz w:val="16"/>
            <w:szCs w:val="16"/>
          </w:rPr>
          <w:t>Table of Contents</w:t>
        </w:r>
      </w:hyperlink>
    </w:p>
    <w:tbl>
      <w:tblPr>
        <w:tblW w:w="4970" w:type="pct"/>
        <w:tblCellMar>
          <w:top w:w="15" w:type="dxa"/>
          <w:left w:w="15" w:type="dxa"/>
          <w:bottom w:w="15" w:type="dxa"/>
          <w:right w:w="15" w:type="dxa"/>
        </w:tblCellMar>
        <w:tblLook w:val="04A0" w:firstRow="1" w:lastRow="0" w:firstColumn="1" w:lastColumn="0" w:noHBand="0" w:noVBand="1"/>
      </w:tblPr>
      <w:tblGrid>
        <w:gridCol w:w="39"/>
        <w:gridCol w:w="2436"/>
        <w:gridCol w:w="38"/>
        <w:gridCol w:w="36"/>
        <w:gridCol w:w="36"/>
        <w:gridCol w:w="36"/>
        <w:gridCol w:w="111"/>
        <w:gridCol w:w="576"/>
        <w:gridCol w:w="36"/>
        <w:gridCol w:w="36"/>
        <w:gridCol w:w="36"/>
        <w:gridCol w:w="36"/>
        <w:gridCol w:w="111"/>
        <w:gridCol w:w="775"/>
        <w:gridCol w:w="37"/>
        <w:gridCol w:w="36"/>
        <w:gridCol w:w="36"/>
        <w:gridCol w:w="36"/>
        <w:gridCol w:w="111"/>
        <w:gridCol w:w="658"/>
        <w:gridCol w:w="37"/>
        <w:gridCol w:w="36"/>
        <w:gridCol w:w="36"/>
        <w:gridCol w:w="36"/>
        <w:gridCol w:w="111"/>
        <w:gridCol w:w="739"/>
        <w:gridCol w:w="36"/>
        <w:gridCol w:w="36"/>
        <w:gridCol w:w="36"/>
        <w:gridCol w:w="36"/>
        <w:gridCol w:w="111"/>
        <w:gridCol w:w="858"/>
        <w:gridCol w:w="36"/>
        <w:gridCol w:w="36"/>
        <w:gridCol w:w="36"/>
        <w:gridCol w:w="36"/>
        <w:gridCol w:w="111"/>
        <w:gridCol w:w="605"/>
        <w:gridCol w:w="36"/>
      </w:tblGrid>
      <w:tr w:rsidR="00000000" w14:paraId="2E2F245E" w14:textId="77777777">
        <w:trPr>
          <w:divId w:val="964504344"/>
        </w:trPr>
        <w:tc>
          <w:tcPr>
            <w:tcW w:w="50" w:type="pct"/>
            <w:vAlign w:val="center"/>
            <w:hideMark/>
          </w:tcPr>
          <w:p w14:paraId="7E16A575" w14:textId="77777777" w:rsidR="00000000" w:rsidRDefault="00A173A8">
            <w:pPr>
              <w:jc w:val="both"/>
              <w:rPr>
                <w:rFonts w:eastAsia="Times New Roman"/>
              </w:rPr>
            </w:pPr>
          </w:p>
        </w:tc>
        <w:tc>
          <w:tcPr>
            <w:tcW w:w="1540" w:type="pct"/>
            <w:vAlign w:val="center"/>
            <w:hideMark/>
          </w:tcPr>
          <w:p w14:paraId="45D67E6D" w14:textId="77777777" w:rsidR="00000000" w:rsidRDefault="00A173A8">
            <w:pPr>
              <w:spacing w:after="100"/>
              <w:rPr>
                <w:rFonts w:eastAsia="Times New Roman"/>
                <w:sz w:val="20"/>
                <w:szCs w:val="20"/>
              </w:rPr>
            </w:pPr>
          </w:p>
        </w:tc>
        <w:tc>
          <w:tcPr>
            <w:tcW w:w="5" w:type="pct"/>
            <w:vAlign w:val="center"/>
            <w:hideMark/>
          </w:tcPr>
          <w:p w14:paraId="50BCFE6D" w14:textId="77777777" w:rsidR="00000000" w:rsidRDefault="00A173A8">
            <w:pPr>
              <w:spacing w:after="100"/>
              <w:rPr>
                <w:rFonts w:eastAsia="Times New Roman"/>
                <w:sz w:val="20"/>
                <w:szCs w:val="20"/>
              </w:rPr>
            </w:pPr>
          </w:p>
        </w:tc>
        <w:tc>
          <w:tcPr>
            <w:tcW w:w="5" w:type="pct"/>
            <w:vAlign w:val="center"/>
            <w:hideMark/>
          </w:tcPr>
          <w:p w14:paraId="7D798BD6" w14:textId="77777777" w:rsidR="00000000" w:rsidRDefault="00A173A8">
            <w:pPr>
              <w:spacing w:after="100"/>
              <w:rPr>
                <w:rFonts w:eastAsia="Times New Roman"/>
                <w:sz w:val="20"/>
                <w:szCs w:val="20"/>
              </w:rPr>
            </w:pPr>
          </w:p>
        </w:tc>
        <w:tc>
          <w:tcPr>
            <w:tcW w:w="26" w:type="pct"/>
            <w:vAlign w:val="center"/>
            <w:hideMark/>
          </w:tcPr>
          <w:p w14:paraId="3AF694B1" w14:textId="77777777" w:rsidR="00000000" w:rsidRDefault="00A173A8">
            <w:pPr>
              <w:spacing w:after="100"/>
              <w:rPr>
                <w:rFonts w:eastAsia="Times New Roman"/>
                <w:sz w:val="20"/>
                <w:szCs w:val="20"/>
              </w:rPr>
            </w:pPr>
          </w:p>
        </w:tc>
        <w:tc>
          <w:tcPr>
            <w:tcW w:w="5" w:type="pct"/>
            <w:vAlign w:val="center"/>
            <w:hideMark/>
          </w:tcPr>
          <w:p w14:paraId="20B31F32" w14:textId="77777777" w:rsidR="00000000" w:rsidRDefault="00A173A8">
            <w:pPr>
              <w:spacing w:after="100"/>
              <w:rPr>
                <w:rFonts w:eastAsia="Times New Roman"/>
                <w:sz w:val="20"/>
                <w:szCs w:val="20"/>
              </w:rPr>
            </w:pPr>
          </w:p>
        </w:tc>
        <w:tc>
          <w:tcPr>
            <w:tcW w:w="50" w:type="pct"/>
            <w:vAlign w:val="center"/>
            <w:hideMark/>
          </w:tcPr>
          <w:p w14:paraId="12C0934A" w14:textId="77777777" w:rsidR="00000000" w:rsidRDefault="00A173A8">
            <w:pPr>
              <w:spacing w:after="100"/>
              <w:rPr>
                <w:rFonts w:eastAsia="Times New Roman"/>
                <w:sz w:val="20"/>
                <w:szCs w:val="20"/>
              </w:rPr>
            </w:pPr>
          </w:p>
        </w:tc>
        <w:tc>
          <w:tcPr>
            <w:tcW w:w="364" w:type="pct"/>
            <w:vAlign w:val="center"/>
            <w:hideMark/>
          </w:tcPr>
          <w:p w14:paraId="00DF345C" w14:textId="77777777" w:rsidR="00000000" w:rsidRDefault="00A173A8">
            <w:pPr>
              <w:spacing w:after="100"/>
              <w:rPr>
                <w:rFonts w:eastAsia="Times New Roman"/>
                <w:sz w:val="20"/>
                <w:szCs w:val="20"/>
              </w:rPr>
            </w:pPr>
          </w:p>
        </w:tc>
        <w:tc>
          <w:tcPr>
            <w:tcW w:w="5" w:type="pct"/>
            <w:vAlign w:val="center"/>
            <w:hideMark/>
          </w:tcPr>
          <w:p w14:paraId="0DE862ED" w14:textId="77777777" w:rsidR="00000000" w:rsidRDefault="00A173A8">
            <w:pPr>
              <w:spacing w:after="100"/>
              <w:rPr>
                <w:rFonts w:eastAsia="Times New Roman"/>
                <w:sz w:val="20"/>
                <w:szCs w:val="20"/>
              </w:rPr>
            </w:pPr>
          </w:p>
        </w:tc>
        <w:tc>
          <w:tcPr>
            <w:tcW w:w="5" w:type="pct"/>
            <w:vAlign w:val="center"/>
            <w:hideMark/>
          </w:tcPr>
          <w:p w14:paraId="2727C5BD" w14:textId="77777777" w:rsidR="00000000" w:rsidRDefault="00A173A8">
            <w:pPr>
              <w:spacing w:after="100"/>
              <w:rPr>
                <w:rFonts w:eastAsia="Times New Roman"/>
                <w:sz w:val="20"/>
                <w:szCs w:val="20"/>
              </w:rPr>
            </w:pPr>
          </w:p>
        </w:tc>
        <w:tc>
          <w:tcPr>
            <w:tcW w:w="26" w:type="pct"/>
            <w:vAlign w:val="center"/>
            <w:hideMark/>
          </w:tcPr>
          <w:p w14:paraId="3BD9A602" w14:textId="77777777" w:rsidR="00000000" w:rsidRDefault="00A173A8">
            <w:pPr>
              <w:spacing w:after="100"/>
              <w:rPr>
                <w:rFonts w:eastAsia="Times New Roman"/>
                <w:sz w:val="20"/>
                <w:szCs w:val="20"/>
              </w:rPr>
            </w:pPr>
          </w:p>
        </w:tc>
        <w:tc>
          <w:tcPr>
            <w:tcW w:w="5" w:type="pct"/>
            <w:vAlign w:val="center"/>
            <w:hideMark/>
          </w:tcPr>
          <w:p w14:paraId="27C281B8" w14:textId="77777777" w:rsidR="00000000" w:rsidRDefault="00A173A8">
            <w:pPr>
              <w:spacing w:after="100"/>
              <w:rPr>
                <w:rFonts w:eastAsia="Times New Roman"/>
                <w:sz w:val="20"/>
                <w:szCs w:val="20"/>
              </w:rPr>
            </w:pPr>
          </w:p>
        </w:tc>
        <w:tc>
          <w:tcPr>
            <w:tcW w:w="50" w:type="pct"/>
            <w:vAlign w:val="center"/>
            <w:hideMark/>
          </w:tcPr>
          <w:p w14:paraId="6BF729B0" w14:textId="77777777" w:rsidR="00000000" w:rsidRDefault="00A173A8">
            <w:pPr>
              <w:spacing w:after="100"/>
              <w:rPr>
                <w:rFonts w:eastAsia="Times New Roman"/>
                <w:sz w:val="20"/>
                <w:szCs w:val="20"/>
              </w:rPr>
            </w:pPr>
          </w:p>
        </w:tc>
        <w:tc>
          <w:tcPr>
            <w:tcW w:w="422" w:type="pct"/>
            <w:vAlign w:val="center"/>
            <w:hideMark/>
          </w:tcPr>
          <w:p w14:paraId="04072779" w14:textId="77777777" w:rsidR="00000000" w:rsidRDefault="00A173A8">
            <w:pPr>
              <w:spacing w:after="100"/>
              <w:rPr>
                <w:rFonts w:eastAsia="Times New Roman"/>
                <w:sz w:val="20"/>
                <w:szCs w:val="20"/>
              </w:rPr>
            </w:pPr>
          </w:p>
        </w:tc>
        <w:tc>
          <w:tcPr>
            <w:tcW w:w="5" w:type="pct"/>
            <w:vAlign w:val="center"/>
            <w:hideMark/>
          </w:tcPr>
          <w:p w14:paraId="2181FB0A" w14:textId="77777777" w:rsidR="00000000" w:rsidRDefault="00A173A8">
            <w:pPr>
              <w:spacing w:after="100"/>
              <w:rPr>
                <w:rFonts w:eastAsia="Times New Roman"/>
                <w:sz w:val="20"/>
                <w:szCs w:val="20"/>
              </w:rPr>
            </w:pPr>
          </w:p>
        </w:tc>
        <w:tc>
          <w:tcPr>
            <w:tcW w:w="5" w:type="pct"/>
            <w:vAlign w:val="center"/>
            <w:hideMark/>
          </w:tcPr>
          <w:p w14:paraId="12887D50" w14:textId="77777777" w:rsidR="00000000" w:rsidRDefault="00A173A8">
            <w:pPr>
              <w:spacing w:after="100"/>
              <w:rPr>
                <w:rFonts w:eastAsia="Times New Roman"/>
                <w:sz w:val="20"/>
                <w:szCs w:val="20"/>
              </w:rPr>
            </w:pPr>
          </w:p>
        </w:tc>
        <w:tc>
          <w:tcPr>
            <w:tcW w:w="26" w:type="pct"/>
            <w:vAlign w:val="center"/>
            <w:hideMark/>
          </w:tcPr>
          <w:p w14:paraId="193C0EE7" w14:textId="77777777" w:rsidR="00000000" w:rsidRDefault="00A173A8">
            <w:pPr>
              <w:spacing w:after="100"/>
              <w:rPr>
                <w:rFonts w:eastAsia="Times New Roman"/>
                <w:sz w:val="20"/>
                <w:szCs w:val="20"/>
              </w:rPr>
            </w:pPr>
          </w:p>
        </w:tc>
        <w:tc>
          <w:tcPr>
            <w:tcW w:w="5" w:type="pct"/>
            <w:vAlign w:val="center"/>
            <w:hideMark/>
          </w:tcPr>
          <w:p w14:paraId="3014672C" w14:textId="77777777" w:rsidR="00000000" w:rsidRDefault="00A173A8">
            <w:pPr>
              <w:spacing w:after="100"/>
              <w:rPr>
                <w:rFonts w:eastAsia="Times New Roman"/>
                <w:sz w:val="20"/>
                <w:szCs w:val="20"/>
              </w:rPr>
            </w:pPr>
          </w:p>
        </w:tc>
        <w:tc>
          <w:tcPr>
            <w:tcW w:w="50" w:type="pct"/>
            <w:vAlign w:val="center"/>
            <w:hideMark/>
          </w:tcPr>
          <w:p w14:paraId="19C6BFC1" w14:textId="77777777" w:rsidR="00000000" w:rsidRDefault="00A173A8">
            <w:pPr>
              <w:spacing w:after="100"/>
              <w:rPr>
                <w:rFonts w:eastAsia="Times New Roman"/>
                <w:sz w:val="20"/>
                <w:szCs w:val="20"/>
              </w:rPr>
            </w:pPr>
          </w:p>
        </w:tc>
        <w:tc>
          <w:tcPr>
            <w:tcW w:w="533" w:type="pct"/>
            <w:vAlign w:val="center"/>
            <w:hideMark/>
          </w:tcPr>
          <w:p w14:paraId="78B70E80" w14:textId="77777777" w:rsidR="00000000" w:rsidRDefault="00A173A8">
            <w:pPr>
              <w:spacing w:after="100"/>
              <w:rPr>
                <w:rFonts w:eastAsia="Times New Roman"/>
                <w:sz w:val="20"/>
                <w:szCs w:val="20"/>
              </w:rPr>
            </w:pPr>
          </w:p>
        </w:tc>
        <w:tc>
          <w:tcPr>
            <w:tcW w:w="5" w:type="pct"/>
            <w:vAlign w:val="center"/>
            <w:hideMark/>
          </w:tcPr>
          <w:p w14:paraId="21B437F7" w14:textId="77777777" w:rsidR="00000000" w:rsidRDefault="00A173A8">
            <w:pPr>
              <w:spacing w:after="100"/>
              <w:rPr>
                <w:rFonts w:eastAsia="Times New Roman"/>
                <w:sz w:val="20"/>
                <w:szCs w:val="20"/>
              </w:rPr>
            </w:pPr>
          </w:p>
        </w:tc>
        <w:tc>
          <w:tcPr>
            <w:tcW w:w="5" w:type="pct"/>
            <w:vAlign w:val="center"/>
            <w:hideMark/>
          </w:tcPr>
          <w:p w14:paraId="19D3D520" w14:textId="77777777" w:rsidR="00000000" w:rsidRDefault="00A173A8">
            <w:pPr>
              <w:spacing w:after="100"/>
              <w:rPr>
                <w:rFonts w:eastAsia="Times New Roman"/>
                <w:sz w:val="20"/>
                <w:szCs w:val="20"/>
              </w:rPr>
            </w:pPr>
          </w:p>
        </w:tc>
        <w:tc>
          <w:tcPr>
            <w:tcW w:w="26" w:type="pct"/>
            <w:vAlign w:val="center"/>
            <w:hideMark/>
          </w:tcPr>
          <w:p w14:paraId="6EA3F0A8" w14:textId="77777777" w:rsidR="00000000" w:rsidRDefault="00A173A8">
            <w:pPr>
              <w:spacing w:after="100"/>
              <w:rPr>
                <w:rFonts w:eastAsia="Times New Roman"/>
                <w:sz w:val="20"/>
                <w:szCs w:val="20"/>
              </w:rPr>
            </w:pPr>
          </w:p>
        </w:tc>
        <w:tc>
          <w:tcPr>
            <w:tcW w:w="5" w:type="pct"/>
            <w:vAlign w:val="center"/>
            <w:hideMark/>
          </w:tcPr>
          <w:p w14:paraId="22545A8A" w14:textId="77777777" w:rsidR="00000000" w:rsidRDefault="00A173A8">
            <w:pPr>
              <w:spacing w:after="100"/>
              <w:rPr>
                <w:rFonts w:eastAsia="Times New Roman"/>
                <w:sz w:val="20"/>
                <w:szCs w:val="20"/>
              </w:rPr>
            </w:pPr>
          </w:p>
        </w:tc>
        <w:tc>
          <w:tcPr>
            <w:tcW w:w="50" w:type="pct"/>
            <w:vAlign w:val="center"/>
            <w:hideMark/>
          </w:tcPr>
          <w:p w14:paraId="19221D34" w14:textId="77777777" w:rsidR="00000000" w:rsidRDefault="00A173A8">
            <w:pPr>
              <w:spacing w:after="100"/>
              <w:rPr>
                <w:rFonts w:eastAsia="Times New Roman"/>
                <w:sz w:val="20"/>
                <w:szCs w:val="20"/>
              </w:rPr>
            </w:pPr>
          </w:p>
        </w:tc>
        <w:tc>
          <w:tcPr>
            <w:tcW w:w="481" w:type="pct"/>
            <w:vAlign w:val="center"/>
            <w:hideMark/>
          </w:tcPr>
          <w:p w14:paraId="4CC708CA" w14:textId="77777777" w:rsidR="00000000" w:rsidRDefault="00A173A8">
            <w:pPr>
              <w:spacing w:after="100"/>
              <w:rPr>
                <w:rFonts w:eastAsia="Times New Roman"/>
                <w:sz w:val="20"/>
                <w:szCs w:val="20"/>
              </w:rPr>
            </w:pPr>
          </w:p>
        </w:tc>
        <w:tc>
          <w:tcPr>
            <w:tcW w:w="5" w:type="pct"/>
            <w:vAlign w:val="center"/>
            <w:hideMark/>
          </w:tcPr>
          <w:p w14:paraId="0AA9105E" w14:textId="77777777" w:rsidR="00000000" w:rsidRDefault="00A173A8">
            <w:pPr>
              <w:spacing w:after="100"/>
              <w:rPr>
                <w:rFonts w:eastAsia="Times New Roman"/>
                <w:sz w:val="20"/>
                <w:szCs w:val="20"/>
              </w:rPr>
            </w:pPr>
          </w:p>
        </w:tc>
        <w:tc>
          <w:tcPr>
            <w:tcW w:w="5" w:type="pct"/>
            <w:vAlign w:val="center"/>
            <w:hideMark/>
          </w:tcPr>
          <w:p w14:paraId="12E5979B" w14:textId="77777777" w:rsidR="00000000" w:rsidRDefault="00A173A8">
            <w:pPr>
              <w:spacing w:after="100"/>
              <w:rPr>
                <w:rFonts w:eastAsia="Times New Roman"/>
                <w:sz w:val="20"/>
                <w:szCs w:val="20"/>
              </w:rPr>
            </w:pPr>
          </w:p>
        </w:tc>
        <w:tc>
          <w:tcPr>
            <w:tcW w:w="26" w:type="pct"/>
            <w:vAlign w:val="center"/>
            <w:hideMark/>
          </w:tcPr>
          <w:p w14:paraId="0CF5C44B" w14:textId="77777777" w:rsidR="00000000" w:rsidRDefault="00A173A8">
            <w:pPr>
              <w:spacing w:after="100"/>
              <w:rPr>
                <w:rFonts w:eastAsia="Times New Roman"/>
                <w:sz w:val="20"/>
                <w:szCs w:val="20"/>
              </w:rPr>
            </w:pPr>
          </w:p>
        </w:tc>
        <w:tc>
          <w:tcPr>
            <w:tcW w:w="5" w:type="pct"/>
            <w:vAlign w:val="center"/>
            <w:hideMark/>
          </w:tcPr>
          <w:p w14:paraId="4B782073" w14:textId="77777777" w:rsidR="00000000" w:rsidRDefault="00A173A8">
            <w:pPr>
              <w:spacing w:after="100"/>
              <w:rPr>
                <w:rFonts w:eastAsia="Times New Roman"/>
                <w:sz w:val="20"/>
                <w:szCs w:val="20"/>
              </w:rPr>
            </w:pPr>
          </w:p>
        </w:tc>
        <w:tc>
          <w:tcPr>
            <w:tcW w:w="50" w:type="pct"/>
            <w:vAlign w:val="center"/>
            <w:hideMark/>
          </w:tcPr>
          <w:p w14:paraId="5A81C640" w14:textId="77777777" w:rsidR="00000000" w:rsidRDefault="00A173A8">
            <w:pPr>
              <w:spacing w:after="100"/>
              <w:rPr>
                <w:rFonts w:eastAsia="Times New Roman"/>
                <w:sz w:val="20"/>
                <w:szCs w:val="20"/>
              </w:rPr>
            </w:pPr>
          </w:p>
        </w:tc>
        <w:tc>
          <w:tcPr>
            <w:tcW w:w="658" w:type="pct"/>
            <w:vAlign w:val="center"/>
            <w:hideMark/>
          </w:tcPr>
          <w:p w14:paraId="3F9F635C" w14:textId="77777777" w:rsidR="00000000" w:rsidRDefault="00A173A8">
            <w:pPr>
              <w:spacing w:after="100"/>
              <w:rPr>
                <w:rFonts w:eastAsia="Times New Roman"/>
                <w:sz w:val="20"/>
                <w:szCs w:val="20"/>
              </w:rPr>
            </w:pPr>
          </w:p>
        </w:tc>
        <w:tc>
          <w:tcPr>
            <w:tcW w:w="5" w:type="pct"/>
            <w:vAlign w:val="center"/>
            <w:hideMark/>
          </w:tcPr>
          <w:p w14:paraId="60B39FA7" w14:textId="77777777" w:rsidR="00000000" w:rsidRDefault="00A173A8">
            <w:pPr>
              <w:spacing w:after="100"/>
              <w:rPr>
                <w:rFonts w:eastAsia="Times New Roman"/>
                <w:sz w:val="20"/>
                <w:szCs w:val="20"/>
              </w:rPr>
            </w:pPr>
          </w:p>
        </w:tc>
        <w:tc>
          <w:tcPr>
            <w:tcW w:w="5" w:type="pct"/>
            <w:vAlign w:val="center"/>
            <w:hideMark/>
          </w:tcPr>
          <w:p w14:paraId="6600C4B3" w14:textId="77777777" w:rsidR="00000000" w:rsidRDefault="00A173A8">
            <w:pPr>
              <w:spacing w:after="100"/>
              <w:rPr>
                <w:rFonts w:eastAsia="Times New Roman"/>
                <w:sz w:val="20"/>
                <w:szCs w:val="20"/>
              </w:rPr>
            </w:pPr>
          </w:p>
        </w:tc>
        <w:tc>
          <w:tcPr>
            <w:tcW w:w="26" w:type="pct"/>
            <w:vAlign w:val="center"/>
            <w:hideMark/>
          </w:tcPr>
          <w:p w14:paraId="4686EA9B" w14:textId="77777777" w:rsidR="00000000" w:rsidRDefault="00A173A8">
            <w:pPr>
              <w:spacing w:after="100"/>
              <w:rPr>
                <w:rFonts w:eastAsia="Times New Roman"/>
                <w:sz w:val="20"/>
                <w:szCs w:val="20"/>
              </w:rPr>
            </w:pPr>
          </w:p>
        </w:tc>
        <w:tc>
          <w:tcPr>
            <w:tcW w:w="5" w:type="pct"/>
            <w:vAlign w:val="center"/>
            <w:hideMark/>
          </w:tcPr>
          <w:p w14:paraId="40E32582" w14:textId="77777777" w:rsidR="00000000" w:rsidRDefault="00A173A8">
            <w:pPr>
              <w:spacing w:after="100"/>
              <w:rPr>
                <w:rFonts w:eastAsia="Times New Roman"/>
                <w:sz w:val="20"/>
                <w:szCs w:val="20"/>
              </w:rPr>
            </w:pPr>
          </w:p>
        </w:tc>
        <w:tc>
          <w:tcPr>
            <w:tcW w:w="50" w:type="pct"/>
            <w:vAlign w:val="center"/>
            <w:hideMark/>
          </w:tcPr>
          <w:p w14:paraId="6522C6F6" w14:textId="77777777" w:rsidR="00000000" w:rsidRDefault="00A173A8">
            <w:pPr>
              <w:spacing w:after="100"/>
              <w:rPr>
                <w:rFonts w:eastAsia="Times New Roman"/>
                <w:sz w:val="20"/>
                <w:szCs w:val="20"/>
              </w:rPr>
            </w:pPr>
          </w:p>
        </w:tc>
        <w:tc>
          <w:tcPr>
            <w:tcW w:w="393" w:type="pct"/>
            <w:vAlign w:val="center"/>
            <w:hideMark/>
          </w:tcPr>
          <w:p w14:paraId="0237CA4D" w14:textId="77777777" w:rsidR="00000000" w:rsidRDefault="00A173A8">
            <w:pPr>
              <w:spacing w:after="100"/>
              <w:rPr>
                <w:rFonts w:eastAsia="Times New Roman"/>
                <w:sz w:val="20"/>
                <w:szCs w:val="20"/>
              </w:rPr>
            </w:pPr>
          </w:p>
        </w:tc>
        <w:tc>
          <w:tcPr>
            <w:tcW w:w="5" w:type="pct"/>
            <w:vAlign w:val="center"/>
            <w:hideMark/>
          </w:tcPr>
          <w:p w14:paraId="315893E9" w14:textId="77777777" w:rsidR="00000000" w:rsidRDefault="00A173A8">
            <w:pPr>
              <w:spacing w:after="100"/>
              <w:rPr>
                <w:rFonts w:eastAsia="Times New Roman"/>
                <w:sz w:val="20"/>
                <w:szCs w:val="20"/>
              </w:rPr>
            </w:pPr>
          </w:p>
        </w:tc>
      </w:tr>
      <w:tr w:rsidR="00000000" w14:paraId="34AD662D" w14:textId="77777777">
        <w:trPr>
          <w:divId w:val="964504344"/>
          <w:trHeight w:val="420"/>
        </w:trPr>
        <w:tc>
          <w:tcPr>
            <w:tcW w:w="0" w:type="auto"/>
            <w:gridSpan w:val="3"/>
            <w:tcMar>
              <w:top w:w="0" w:type="dxa"/>
              <w:left w:w="20" w:type="dxa"/>
              <w:bottom w:w="0" w:type="dxa"/>
              <w:right w:w="20" w:type="dxa"/>
            </w:tcMar>
            <w:vAlign w:val="center"/>
            <w:hideMark/>
          </w:tcPr>
          <w:p w14:paraId="61930902"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CD69EA" w14:textId="77777777" w:rsidR="00000000" w:rsidRDefault="00A173A8">
            <w:pPr>
              <w:spacing w:after="100"/>
              <w:rPr>
                <w:rFonts w:eastAsia="Times New Roman"/>
                <w:sz w:val="20"/>
                <w:szCs w:val="20"/>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43652E31" w14:textId="77777777" w:rsidR="00000000" w:rsidRDefault="00A173A8">
            <w:pPr>
              <w:spacing w:after="100"/>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14:paraId="1BA9F521"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22DB8F8" w14:textId="77777777" w:rsidR="00000000" w:rsidRDefault="00A173A8">
            <w:pPr>
              <w:spacing w:after="100"/>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14:paraId="0F1DF4F6" w14:textId="77777777" w:rsidR="00000000" w:rsidRDefault="00A173A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0B4B464E" w14:textId="77777777" w:rsidR="00000000" w:rsidRDefault="00A173A8">
            <w:pPr>
              <w:spacing w:after="100"/>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14:paraId="61D4D602" w14:textId="77777777" w:rsidR="00000000" w:rsidRDefault="00A173A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3D22E2FE" w14:textId="77777777" w:rsidR="00000000" w:rsidRDefault="00A173A8">
            <w:pPr>
              <w:spacing w:after="100"/>
              <w:jc w:val="center"/>
              <w:rPr>
                <w:rFonts w:eastAsia="Times New Roman"/>
              </w:rPr>
            </w:pPr>
            <w:r>
              <w:rPr>
                <w:rFonts w:eastAsia="Times New Roman"/>
                <w:b/>
                <w:bCs/>
                <w:color w:val="000000"/>
                <w:sz w:val="16"/>
                <w:szCs w:val="16"/>
              </w:rPr>
              <w:t>Securities Collateral Pledged Under Master Netting Agreements</w:t>
            </w:r>
          </w:p>
        </w:tc>
        <w:tc>
          <w:tcPr>
            <w:tcW w:w="0" w:type="auto"/>
            <w:gridSpan w:val="3"/>
            <w:tcMar>
              <w:top w:w="0" w:type="dxa"/>
              <w:left w:w="20" w:type="dxa"/>
              <w:bottom w:w="0" w:type="dxa"/>
              <w:right w:w="20" w:type="dxa"/>
            </w:tcMar>
            <w:vAlign w:val="center"/>
            <w:hideMark/>
          </w:tcPr>
          <w:p w14:paraId="7E6B030F" w14:textId="77777777" w:rsidR="00000000" w:rsidRDefault="00A173A8">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14:paraId="6A616004" w14:textId="77777777" w:rsidR="00000000" w:rsidRDefault="00A173A8">
            <w:pPr>
              <w:spacing w:after="100"/>
              <w:jc w:val="center"/>
              <w:rPr>
                <w:rFonts w:eastAsia="Times New Roman"/>
              </w:rPr>
            </w:pPr>
            <w:r>
              <w:rPr>
                <w:rFonts w:eastAsia="Times New Roman"/>
                <w:b/>
                <w:bCs/>
                <w:color w:val="000000"/>
                <w:sz w:val="16"/>
                <w:szCs w:val="16"/>
              </w:rPr>
              <w:t>Net Exposure</w:t>
            </w:r>
          </w:p>
        </w:tc>
      </w:tr>
      <w:tr w:rsidR="00000000" w14:paraId="0258696B" w14:textId="77777777">
        <w:trPr>
          <w:divId w:val="964504344"/>
          <w:trHeight w:val="420"/>
        </w:trPr>
        <w:tc>
          <w:tcPr>
            <w:tcW w:w="0" w:type="auto"/>
            <w:gridSpan w:val="3"/>
            <w:tcBorders>
              <w:bottom w:val="single" w:sz="8" w:space="0" w:color="000000"/>
            </w:tcBorders>
            <w:tcMar>
              <w:top w:w="30" w:type="dxa"/>
              <w:left w:w="20" w:type="dxa"/>
              <w:bottom w:w="30" w:type="dxa"/>
              <w:right w:w="20" w:type="dxa"/>
            </w:tcMar>
            <w:vAlign w:val="bottom"/>
            <w:hideMark/>
          </w:tcPr>
          <w:p w14:paraId="7B359553"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1AE8E35" w14:textId="77777777" w:rsidR="00000000" w:rsidRDefault="00A173A8">
            <w:pPr>
              <w:spacing w:after="100"/>
              <w:rPr>
                <w:rFonts w:eastAsia="Times New Roman"/>
              </w:rPr>
            </w:pPr>
          </w:p>
        </w:tc>
        <w:tc>
          <w:tcPr>
            <w:tcW w:w="0" w:type="auto"/>
            <w:gridSpan w:val="3"/>
            <w:vMerge/>
            <w:tcBorders>
              <w:bottom w:val="single" w:sz="8" w:space="0" w:color="000000"/>
            </w:tcBorders>
            <w:vAlign w:val="center"/>
            <w:hideMark/>
          </w:tcPr>
          <w:p w14:paraId="3092673D"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7B8F5CC8" w14:textId="77777777" w:rsidR="00000000" w:rsidRDefault="00A173A8">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5E76BC0" w14:textId="77777777" w:rsidR="00000000" w:rsidRDefault="00A173A8">
            <w:pPr>
              <w:spacing w:after="100"/>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14:paraId="5A1D91C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B6E176C" w14:textId="77777777" w:rsidR="00000000" w:rsidRDefault="00A173A8">
            <w:pPr>
              <w:spacing w:after="100"/>
              <w:jc w:val="center"/>
              <w:rPr>
                <w:rFonts w:eastAsia="Times New Roman"/>
              </w:rPr>
            </w:pPr>
            <w:r>
              <w:rPr>
                <w:rFonts w:eastAsia="Times New Roman"/>
                <w:b/>
                <w:bCs/>
                <w:color w:val="000000"/>
                <w:sz w:val="16"/>
                <w:szCs w:val="16"/>
              </w:rPr>
              <w:t>Cash Collateral Pledged</w:t>
            </w:r>
          </w:p>
        </w:tc>
        <w:tc>
          <w:tcPr>
            <w:tcW w:w="0" w:type="auto"/>
            <w:gridSpan w:val="3"/>
            <w:tcMar>
              <w:top w:w="0" w:type="dxa"/>
              <w:left w:w="20" w:type="dxa"/>
              <w:bottom w:w="0" w:type="dxa"/>
              <w:right w:w="20" w:type="dxa"/>
            </w:tcMar>
            <w:vAlign w:val="center"/>
            <w:hideMark/>
          </w:tcPr>
          <w:p w14:paraId="09855072" w14:textId="77777777" w:rsidR="00000000" w:rsidRDefault="00A173A8">
            <w:pPr>
              <w:spacing w:after="100"/>
              <w:jc w:val="center"/>
              <w:rPr>
                <w:rFonts w:eastAsia="Times New Roman"/>
              </w:rPr>
            </w:pPr>
          </w:p>
        </w:tc>
        <w:tc>
          <w:tcPr>
            <w:tcW w:w="0" w:type="auto"/>
            <w:gridSpan w:val="3"/>
            <w:vMerge/>
            <w:tcBorders>
              <w:bottom w:val="single" w:sz="8" w:space="0" w:color="000000"/>
            </w:tcBorders>
            <w:vAlign w:val="center"/>
            <w:hideMark/>
          </w:tcPr>
          <w:p w14:paraId="5A6BE075"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778EC76F" w14:textId="77777777" w:rsidR="00000000" w:rsidRDefault="00A173A8">
            <w:pPr>
              <w:spacing w:after="100"/>
              <w:rPr>
                <w:rFonts w:eastAsia="Times New Roman"/>
                <w:sz w:val="20"/>
                <w:szCs w:val="20"/>
              </w:rPr>
            </w:pPr>
          </w:p>
        </w:tc>
        <w:tc>
          <w:tcPr>
            <w:tcW w:w="0" w:type="auto"/>
            <w:gridSpan w:val="3"/>
            <w:vMerge/>
            <w:tcBorders>
              <w:bottom w:val="single" w:sz="8" w:space="0" w:color="000000"/>
            </w:tcBorders>
            <w:vAlign w:val="center"/>
            <w:hideMark/>
          </w:tcPr>
          <w:p w14:paraId="3B85F2D9"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1CC23CAF" w14:textId="77777777" w:rsidR="00000000" w:rsidRDefault="00A173A8">
            <w:pPr>
              <w:spacing w:after="100"/>
              <w:rPr>
                <w:rFonts w:eastAsia="Times New Roman"/>
                <w:sz w:val="20"/>
                <w:szCs w:val="20"/>
              </w:rPr>
            </w:pPr>
          </w:p>
        </w:tc>
        <w:tc>
          <w:tcPr>
            <w:tcW w:w="0" w:type="auto"/>
            <w:gridSpan w:val="3"/>
            <w:vMerge/>
            <w:tcBorders>
              <w:bottom w:val="single" w:sz="8" w:space="0" w:color="000000"/>
            </w:tcBorders>
            <w:vAlign w:val="center"/>
            <w:hideMark/>
          </w:tcPr>
          <w:p w14:paraId="629ED4D9" w14:textId="77777777" w:rsidR="00000000" w:rsidRDefault="00A173A8">
            <w:pPr>
              <w:spacing w:after="100"/>
              <w:rPr>
                <w:rFonts w:eastAsia="Times New Roman"/>
              </w:rPr>
            </w:pPr>
          </w:p>
        </w:tc>
      </w:tr>
      <w:tr w:rsidR="00000000" w14:paraId="1379919F" w14:textId="77777777">
        <w:trPr>
          <w:divId w:val="96450434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4D0E685" w14:textId="77777777" w:rsidR="00000000" w:rsidRDefault="00A173A8">
            <w:pPr>
              <w:spacing w:after="100"/>
              <w:rPr>
                <w:rFonts w:eastAsia="Times New Roman"/>
              </w:rPr>
            </w:pPr>
            <w:r>
              <w:rPr>
                <w:rFonts w:eastAsia="Times New Roman"/>
                <w:b/>
                <w:bCs/>
                <w:color w:val="000000"/>
                <w:sz w:val="18"/>
                <w:szCs w:val="18"/>
              </w:rPr>
              <w:t>As of June 30, 2022</w:t>
            </w:r>
          </w:p>
        </w:tc>
        <w:tc>
          <w:tcPr>
            <w:tcW w:w="0" w:type="auto"/>
            <w:gridSpan w:val="3"/>
            <w:shd w:val="clear" w:color="auto" w:fill="CCEEFF"/>
            <w:tcMar>
              <w:top w:w="0" w:type="dxa"/>
              <w:left w:w="20" w:type="dxa"/>
              <w:bottom w:w="0" w:type="dxa"/>
              <w:right w:w="20" w:type="dxa"/>
            </w:tcMar>
            <w:vAlign w:val="center"/>
            <w:hideMark/>
          </w:tcPr>
          <w:p w14:paraId="2D283C16"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95D23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AE40A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F2204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CC273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086AE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F8F8A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68F4D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86B16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50A49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C63AF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D041D0" w14:textId="77777777" w:rsidR="00000000" w:rsidRDefault="00A173A8">
            <w:pPr>
              <w:spacing w:after="100"/>
              <w:rPr>
                <w:rFonts w:eastAsia="Times New Roman"/>
                <w:sz w:val="20"/>
                <w:szCs w:val="20"/>
              </w:rPr>
            </w:pPr>
          </w:p>
        </w:tc>
      </w:tr>
      <w:tr w:rsidR="00000000" w14:paraId="39F5D0AD" w14:textId="77777777">
        <w:trPr>
          <w:divId w:val="964504344"/>
        </w:trPr>
        <w:tc>
          <w:tcPr>
            <w:tcW w:w="0" w:type="auto"/>
            <w:gridSpan w:val="3"/>
            <w:shd w:val="clear" w:color="auto" w:fill="FFFFFF"/>
            <w:tcMar>
              <w:top w:w="30" w:type="dxa"/>
              <w:left w:w="20" w:type="dxa"/>
              <w:bottom w:w="30" w:type="dxa"/>
              <w:right w:w="20" w:type="dxa"/>
            </w:tcMar>
            <w:vAlign w:val="center"/>
            <w:hideMark/>
          </w:tcPr>
          <w:p w14:paraId="39D4380F" w14:textId="77777777" w:rsidR="00000000" w:rsidRDefault="00A173A8">
            <w:pPr>
              <w:spacing w:after="100"/>
              <w:divId w:val="1201478695"/>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D77733D"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A8CB232"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29CE322" w14:textId="77777777" w:rsidR="00000000" w:rsidRDefault="00A173A8">
            <w:pPr>
              <w:spacing w:after="100"/>
              <w:jc w:val="right"/>
              <w:rPr>
                <w:rFonts w:eastAsia="Times New Roman"/>
              </w:rPr>
            </w:pPr>
            <w:r>
              <w:rPr>
                <w:rFonts w:eastAsia="Times New Roman"/>
                <w:b/>
                <w:bCs/>
                <w:color w:val="000000"/>
                <w:sz w:val="18"/>
                <w:szCs w:val="18"/>
              </w:rPr>
              <w:t>4,663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C2675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0271B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0D0FA16"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C16BC7C" w14:textId="77777777" w:rsidR="00000000" w:rsidRDefault="00A173A8">
            <w:pPr>
              <w:spacing w:after="100"/>
              <w:jc w:val="right"/>
              <w:rPr>
                <w:rFonts w:eastAsia="Times New Roman"/>
              </w:rPr>
            </w:pPr>
            <w:r>
              <w:rPr>
                <w:rFonts w:eastAsia="Times New Roman"/>
                <w:b/>
                <w:bCs/>
                <w:color w:val="000000"/>
                <w:sz w:val="18"/>
                <w:szCs w:val="18"/>
              </w:rPr>
              <w:t>(485)</w:t>
            </w:r>
          </w:p>
        </w:tc>
        <w:tc>
          <w:tcPr>
            <w:tcW w:w="0" w:type="auto"/>
            <w:shd w:val="clear" w:color="auto" w:fill="FFFFFF"/>
            <w:tcMar>
              <w:top w:w="30" w:type="dxa"/>
              <w:left w:w="0" w:type="dxa"/>
              <w:bottom w:w="30" w:type="dxa"/>
              <w:right w:w="20" w:type="dxa"/>
            </w:tcMar>
            <w:vAlign w:val="center"/>
            <w:hideMark/>
          </w:tcPr>
          <w:p w14:paraId="3F49DE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8D64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2700640"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EACBD82" w14:textId="77777777" w:rsidR="00000000" w:rsidRDefault="00A173A8">
            <w:pPr>
              <w:spacing w:after="100"/>
              <w:jc w:val="right"/>
              <w:rPr>
                <w:rFonts w:eastAsia="Times New Roman"/>
              </w:rPr>
            </w:pPr>
            <w:r>
              <w:rPr>
                <w:rFonts w:eastAsia="Times New Roman"/>
                <w:b/>
                <w:bCs/>
                <w:color w:val="000000"/>
                <w:sz w:val="18"/>
                <w:szCs w:val="18"/>
              </w:rPr>
              <w:t>(910)</w:t>
            </w:r>
          </w:p>
        </w:tc>
        <w:tc>
          <w:tcPr>
            <w:tcW w:w="0" w:type="auto"/>
            <w:shd w:val="clear" w:color="auto" w:fill="FFFFFF"/>
            <w:tcMar>
              <w:top w:w="30" w:type="dxa"/>
              <w:left w:w="0" w:type="dxa"/>
              <w:bottom w:w="30" w:type="dxa"/>
              <w:right w:w="20" w:type="dxa"/>
            </w:tcMar>
            <w:vAlign w:val="center"/>
            <w:hideMark/>
          </w:tcPr>
          <w:p w14:paraId="53EF129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9406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918EB4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C06517D" w14:textId="77777777" w:rsidR="00000000" w:rsidRDefault="00A173A8">
            <w:pPr>
              <w:spacing w:after="100"/>
              <w:jc w:val="right"/>
              <w:rPr>
                <w:rFonts w:eastAsia="Times New Roman"/>
              </w:rPr>
            </w:pPr>
            <w:r>
              <w:rPr>
                <w:rFonts w:eastAsia="Times New Roman"/>
                <w:b/>
                <w:bCs/>
                <w:color w:val="000000"/>
                <w:sz w:val="18"/>
                <w:szCs w:val="18"/>
              </w:rPr>
              <w:t>3,268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7114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33433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53A53219"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37FC2A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75A29E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72C9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3472966"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3C0C07E5" w14:textId="77777777" w:rsidR="00000000" w:rsidRDefault="00A173A8">
            <w:pPr>
              <w:spacing w:after="100"/>
              <w:jc w:val="right"/>
              <w:rPr>
                <w:rFonts w:eastAsia="Times New Roman"/>
              </w:rPr>
            </w:pPr>
            <w:r>
              <w:rPr>
                <w:rFonts w:eastAsia="Times New Roman"/>
                <w:b/>
                <w:bCs/>
                <w:color w:val="000000"/>
                <w:sz w:val="18"/>
                <w:szCs w:val="18"/>
              </w:rPr>
              <w:t>3,268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97ADDD" w14:textId="77777777" w:rsidR="00000000" w:rsidRDefault="00A173A8">
            <w:pPr>
              <w:spacing w:after="100"/>
              <w:jc w:val="right"/>
              <w:rPr>
                <w:rFonts w:eastAsia="Times New Roman"/>
              </w:rPr>
            </w:pPr>
          </w:p>
        </w:tc>
      </w:tr>
      <w:tr w:rsidR="00000000" w14:paraId="30480EE9" w14:textId="77777777">
        <w:trPr>
          <w:divId w:val="964504344"/>
        </w:trPr>
        <w:tc>
          <w:tcPr>
            <w:tcW w:w="0" w:type="auto"/>
            <w:gridSpan w:val="3"/>
            <w:shd w:val="clear" w:color="auto" w:fill="CCEEFF"/>
            <w:tcMar>
              <w:top w:w="30" w:type="dxa"/>
              <w:left w:w="20" w:type="dxa"/>
              <w:bottom w:w="30" w:type="dxa"/>
              <w:right w:w="20" w:type="dxa"/>
            </w:tcMar>
            <w:vAlign w:val="center"/>
            <w:hideMark/>
          </w:tcPr>
          <w:p w14:paraId="26534B13" w14:textId="77777777" w:rsidR="00000000" w:rsidRDefault="00A173A8">
            <w:pPr>
              <w:spacing w:after="100"/>
              <w:divId w:val="346836626"/>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473E3A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CF17002" w14:textId="77777777" w:rsidR="00000000" w:rsidRDefault="00A173A8">
            <w:pPr>
              <w:spacing w:after="100"/>
              <w:jc w:val="right"/>
              <w:rPr>
                <w:rFonts w:eastAsia="Times New Roman"/>
              </w:rPr>
            </w:pPr>
            <w:r>
              <w:rPr>
                <w:rFonts w:eastAsia="Times New Roman"/>
                <w:b/>
                <w:bCs/>
                <w:color w:val="000000"/>
                <w:sz w:val="18"/>
                <w:szCs w:val="18"/>
              </w:rPr>
              <w:t>440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562DD9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DC7E3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E1F37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445277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08E6C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89A67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7C35AE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84051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C36E9D" w14:textId="77777777" w:rsidR="00000000" w:rsidRDefault="00A173A8">
            <w:pPr>
              <w:spacing w:after="100"/>
              <w:jc w:val="right"/>
              <w:rPr>
                <w:rFonts w:eastAsia="Times New Roman"/>
              </w:rPr>
            </w:pPr>
            <w:r>
              <w:rPr>
                <w:rFonts w:eastAsia="Times New Roman"/>
                <w:b/>
                <w:bCs/>
                <w:color w:val="000000"/>
                <w:sz w:val="18"/>
                <w:szCs w:val="18"/>
              </w:rPr>
              <w:t>440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77462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B9DE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F74E534" w14:textId="77777777" w:rsidR="00000000" w:rsidRDefault="00A173A8">
            <w:pPr>
              <w:spacing w:after="100"/>
              <w:jc w:val="right"/>
              <w:rPr>
                <w:rFonts w:eastAsia="Times New Roman"/>
              </w:rPr>
            </w:pPr>
            <w:r>
              <w:rPr>
                <w:rFonts w:eastAsia="Times New Roman"/>
                <w:b/>
                <w:bCs/>
                <w:color w:val="000000"/>
                <w:sz w:val="18"/>
                <w:szCs w:val="18"/>
              </w:rPr>
              <w:t>(440)</w:t>
            </w:r>
          </w:p>
        </w:tc>
        <w:tc>
          <w:tcPr>
            <w:tcW w:w="0" w:type="auto"/>
            <w:shd w:val="clear" w:color="auto" w:fill="CCEEFF"/>
            <w:tcMar>
              <w:top w:w="30" w:type="dxa"/>
              <w:left w:w="0" w:type="dxa"/>
              <w:bottom w:w="30" w:type="dxa"/>
              <w:right w:w="20" w:type="dxa"/>
            </w:tcMar>
            <w:vAlign w:val="center"/>
            <w:hideMark/>
          </w:tcPr>
          <w:p w14:paraId="2289F0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12A2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1BEA7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EFDF90C" w14:textId="77777777" w:rsidR="00000000" w:rsidRDefault="00A173A8">
            <w:pPr>
              <w:spacing w:after="100"/>
              <w:jc w:val="right"/>
              <w:rPr>
                <w:rFonts w:eastAsia="Times New Roman"/>
              </w:rPr>
            </w:pPr>
          </w:p>
        </w:tc>
      </w:tr>
      <w:tr w:rsidR="00000000" w14:paraId="2D6E8EC2" w14:textId="77777777">
        <w:trPr>
          <w:divId w:val="964504344"/>
        </w:trPr>
        <w:tc>
          <w:tcPr>
            <w:tcW w:w="0" w:type="auto"/>
            <w:gridSpan w:val="3"/>
            <w:shd w:val="clear" w:color="auto" w:fill="FFFFFF"/>
            <w:tcMar>
              <w:top w:w="30" w:type="dxa"/>
              <w:left w:w="20" w:type="dxa"/>
              <w:bottom w:w="30" w:type="dxa"/>
              <w:right w:w="20" w:type="dxa"/>
            </w:tcMar>
            <w:vAlign w:val="center"/>
            <w:hideMark/>
          </w:tcPr>
          <w:p w14:paraId="5770DA68" w14:textId="77777777" w:rsidR="00000000" w:rsidRDefault="00A173A8">
            <w:pPr>
              <w:spacing w:after="100"/>
              <w:rPr>
                <w:rFonts w:eastAsia="Times New Roman"/>
              </w:rPr>
            </w:pPr>
            <w:r>
              <w:rPr>
                <w:rFonts w:eastAsia="Times New Roman"/>
                <w:color w:val="000000"/>
                <w:sz w:val="18"/>
                <w:szCs w:val="18"/>
              </w:rPr>
              <w:t>As of December 31, 2021</w:t>
            </w:r>
          </w:p>
        </w:tc>
        <w:tc>
          <w:tcPr>
            <w:tcW w:w="0" w:type="auto"/>
            <w:gridSpan w:val="3"/>
            <w:shd w:val="clear" w:color="auto" w:fill="FFFFFF"/>
            <w:tcMar>
              <w:top w:w="0" w:type="dxa"/>
              <w:left w:w="20" w:type="dxa"/>
              <w:bottom w:w="0" w:type="dxa"/>
              <w:right w:w="20" w:type="dxa"/>
            </w:tcMar>
            <w:vAlign w:val="center"/>
            <w:hideMark/>
          </w:tcPr>
          <w:p w14:paraId="1F77B8DA"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B3A5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FA0FD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3DBA9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2B06E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B45E3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8EB0A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1BE69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6AD6C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BD42B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B449F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8604B0" w14:textId="77777777" w:rsidR="00000000" w:rsidRDefault="00A173A8">
            <w:pPr>
              <w:spacing w:after="100"/>
              <w:rPr>
                <w:rFonts w:eastAsia="Times New Roman"/>
                <w:sz w:val="20"/>
                <w:szCs w:val="20"/>
              </w:rPr>
            </w:pPr>
          </w:p>
        </w:tc>
      </w:tr>
      <w:tr w:rsidR="00000000" w14:paraId="0B1B9B94" w14:textId="77777777">
        <w:trPr>
          <w:divId w:val="964504344"/>
        </w:trPr>
        <w:tc>
          <w:tcPr>
            <w:tcW w:w="0" w:type="auto"/>
            <w:gridSpan w:val="3"/>
            <w:shd w:val="clear" w:color="auto" w:fill="CCEEFF"/>
            <w:tcMar>
              <w:top w:w="30" w:type="dxa"/>
              <w:left w:w="20" w:type="dxa"/>
              <w:bottom w:w="30" w:type="dxa"/>
              <w:right w:w="20" w:type="dxa"/>
            </w:tcMar>
            <w:vAlign w:val="center"/>
            <w:hideMark/>
          </w:tcPr>
          <w:p w14:paraId="05677282" w14:textId="77777777" w:rsidR="00000000" w:rsidRDefault="00A173A8">
            <w:pPr>
              <w:spacing w:after="100"/>
              <w:divId w:val="1428039399"/>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CA0AA6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AB5648A" w14:textId="77777777" w:rsidR="00000000" w:rsidRDefault="00A173A8">
            <w:pPr>
              <w:spacing w:after="100"/>
              <w:jc w:val="right"/>
              <w:rPr>
                <w:rFonts w:eastAsia="Times New Roman"/>
              </w:rPr>
            </w:pPr>
            <w:r>
              <w:rPr>
                <w:rFonts w:eastAsia="Times New Roman"/>
                <w:color w:val="000000"/>
                <w:sz w:val="18"/>
                <w:szCs w:val="18"/>
              </w:rPr>
              <w:t>1,868 </w:t>
            </w:r>
          </w:p>
        </w:tc>
        <w:tc>
          <w:tcPr>
            <w:tcW w:w="0" w:type="auto"/>
            <w:shd w:val="clear" w:color="auto" w:fill="CCEEFF"/>
            <w:tcMar>
              <w:top w:w="30" w:type="dxa"/>
              <w:left w:w="0" w:type="dxa"/>
              <w:bottom w:w="30" w:type="dxa"/>
              <w:right w:w="20" w:type="dxa"/>
            </w:tcMar>
            <w:vAlign w:val="center"/>
            <w:hideMark/>
          </w:tcPr>
          <w:p w14:paraId="4BDEF48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886B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34C484" w14:textId="77777777" w:rsidR="00000000" w:rsidRDefault="00A173A8">
            <w:pPr>
              <w:spacing w:after="100"/>
              <w:jc w:val="right"/>
              <w:rPr>
                <w:rFonts w:eastAsia="Times New Roman"/>
              </w:rPr>
            </w:pPr>
            <w:r>
              <w:rPr>
                <w:rFonts w:eastAsia="Times New Roman"/>
                <w:color w:val="000000"/>
                <w:sz w:val="18"/>
                <w:szCs w:val="18"/>
              </w:rPr>
              <w:t>(252)</w:t>
            </w:r>
          </w:p>
        </w:tc>
        <w:tc>
          <w:tcPr>
            <w:tcW w:w="0" w:type="auto"/>
            <w:shd w:val="clear" w:color="auto" w:fill="CCEEFF"/>
            <w:tcMar>
              <w:top w:w="30" w:type="dxa"/>
              <w:left w:w="0" w:type="dxa"/>
              <w:bottom w:w="30" w:type="dxa"/>
              <w:right w:w="20" w:type="dxa"/>
            </w:tcMar>
            <w:vAlign w:val="center"/>
            <w:hideMark/>
          </w:tcPr>
          <w:p w14:paraId="2163D1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B050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37C2FD6" w14:textId="77777777" w:rsidR="00000000" w:rsidRDefault="00A173A8">
            <w:pPr>
              <w:spacing w:after="100"/>
              <w:jc w:val="right"/>
              <w:rPr>
                <w:rFonts w:eastAsia="Times New Roman"/>
              </w:rPr>
            </w:pPr>
            <w:r>
              <w:rPr>
                <w:rFonts w:eastAsia="Times New Roman"/>
                <w:color w:val="000000"/>
                <w:sz w:val="18"/>
                <w:szCs w:val="18"/>
              </w:rPr>
              <w:t>(292)</w:t>
            </w:r>
          </w:p>
        </w:tc>
        <w:tc>
          <w:tcPr>
            <w:tcW w:w="0" w:type="auto"/>
            <w:shd w:val="clear" w:color="auto" w:fill="CCEEFF"/>
            <w:tcMar>
              <w:top w:w="30" w:type="dxa"/>
              <w:left w:w="0" w:type="dxa"/>
              <w:bottom w:w="30" w:type="dxa"/>
              <w:right w:w="20" w:type="dxa"/>
            </w:tcMar>
            <w:vAlign w:val="center"/>
            <w:hideMark/>
          </w:tcPr>
          <w:p w14:paraId="0E44063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AF9E9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64A1B7" w14:textId="77777777" w:rsidR="00000000" w:rsidRDefault="00A173A8">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14:paraId="5D9C913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AE8F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48B967"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8FD84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2F0C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76C2783" w14:textId="77777777" w:rsidR="00000000" w:rsidRDefault="00A173A8">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14:paraId="5B3493EC" w14:textId="77777777" w:rsidR="00000000" w:rsidRDefault="00A173A8">
            <w:pPr>
              <w:spacing w:after="100"/>
              <w:jc w:val="right"/>
              <w:rPr>
                <w:rFonts w:eastAsia="Times New Roman"/>
              </w:rPr>
            </w:pPr>
          </w:p>
        </w:tc>
      </w:tr>
      <w:tr w:rsidR="00000000" w14:paraId="47C8C618" w14:textId="77777777">
        <w:trPr>
          <w:divId w:val="964504344"/>
        </w:trPr>
        <w:tc>
          <w:tcPr>
            <w:tcW w:w="0" w:type="auto"/>
            <w:gridSpan w:val="3"/>
            <w:shd w:val="clear" w:color="auto" w:fill="FFFFFF"/>
            <w:tcMar>
              <w:top w:w="30" w:type="dxa"/>
              <w:left w:w="20" w:type="dxa"/>
              <w:bottom w:w="30" w:type="dxa"/>
              <w:right w:w="20" w:type="dxa"/>
            </w:tcMar>
            <w:vAlign w:val="center"/>
            <w:hideMark/>
          </w:tcPr>
          <w:p w14:paraId="3D2C443F" w14:textId="77777777" w:rsidR="00000000" w:rsidRDefault="00A173A8">
            <w:pPr>
              <w:spacing w:after="100"/>
              <w:divId w:val="29385261"/>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64309A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4D6A45D" w14:textId="77777777" w:rsidR="00000000" w:rsidRDefault="00A173A8">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14:paraId="296C42F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142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7DEE6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6330878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C9EF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FB176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EBEF5E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EBC2E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5A11605" w14:textId="77777777" w:rsidR="00000000" w:rsidRDefault="00A173A8">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center"/>
            <w:hideMark/>
          </w:tcPr>
          <w:p w14:paraId="3FD6B28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CCB6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64E644" w14:textId="77777777" w:rsidR="00000000" w:rsidRDefault="00A173A8">
            <w:pPr>
              <w:spacing w:after="100"/>
              <w:jc w:val="right"/>
              <w:rPr>
                <w:rFonts w:eastAsia="Times New Roman"/>
              </w:rPr>
            </w:pPr>
            <w:r>
              <w:rPr>
                <w:rFonts w:eastAsia="Times New Roman"/>
                <w:color w:val="000000"/>
                <w:sz w:val="18"/>
                <w:szCs w:val="18"/>
              </w:rPr>
              <w:t>(820)</w:t>
            </w:r>
          </w:p>
        </w:tc>
        <w:tc>
          <w:tcPr>
            <w:tcW w:w="0" w:type="auto"/>
            <w:shd w:val="clear" w:color="auto" w:fill="FFFFFF"/>
            <w:tcMar>
              <w:top w:w="30" w:type="dxa"/>
              <w:left w:w="0" w:type="dxa"/>
              <w:bottom w:w="30" w:type="dxa"/>
              <w:right w:w="20" w:type="dxa"/>
            </w:tcMar>
            <w:vAlign w:val="center"/>
            <w:hideMark/>
          </w:tcPr>
          <w:p w14:paraId="17E2BE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15CC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421D8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674BECF" w14:textId="77777777" w:rsidR="00000000" w:rsidRDefault="00A173A8">
            <w:pPr>
              <w:spacing w:after="100"/>
              <w:jc w:val="right"/>
              <w:rPr>
                <w:rFonts w:eastAsia="Times New Roman"/>
              </w:rPr>
            </w:pPr>
          </w:p>
        </w:tc>
      </w:tr>
    </w:tbl>
    <w:p w14:paraId="7C6457B6" w14:textId="77777777" w:rsidR="00000000" w:rsidRDefault="00A173A8">
      <w:pPr>
        <w:divId w:val="964504344"/>
        <w:rPr>
          <w:rFonts w:eastAsia="Times New Roman"/>
        </w:rPr>
      </w:pPr>
      <w:r>
        <w:rPr>
          <w:rFonts w:eastAsia="Times New Roman"/>
          <w:color w:val="000000"/>
          <w:sz w:val="20"/>
          <w:szCs w:val="20"/>
        </w:rPr>
        <w:t>__________</w:t>
      </w:r>
    </w:p>
    <w:p w14:paraId="3085EEE2" w14:textId="77777777" w:rsidR="00000000" w:rsidRDefault="00A173A8">
      <w:pPr>
        <w:ind w:hanging="360"/>
        <w:jc w:val="both"/>
        <w:divId w:val="124688811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received cash collateral from derivative counterparties totaling $725 million and $377 million as of June 30, 2022 and December 31, 2021, respectively. We also received</w:t>
      </w:r>
      <w:r>
        <w:rPr>
          <w:rFonts w:eastAsia="Times New Roman"/>
          <w:color w:val="000000"/>
          <w:sz w:val="16"/>
          <w:szCs w:val="16"/>
        </w:rPr>
        <w:t xml:space="preserve"> securities from derivative counterparties with a fair value of $28 million for June 30, 2022 and approximately $1 million for December 31, 2021, respectively, which we have the ability to re-pledge. We posted $4.3 billion and $2.0 billion of cash collater</w:t>
      </w:r>
      <w:r>
        <w:rPr>
          <w:rFonts w:eastAsia="Times New Roman"/>
          <w:color w:val="000000"/>
          <w:sz w:val="16"/>
          <w:szCs w:val="16"/>
        </w:rPr>
        <w:t>al as of June 30, 2022 and December 31, 2021, respectively.</w:t>
      </w:r>
    </w:p>
    <w:p w14:paraId="1D2A210E" w14:textId="77777777" w:rsidR="00000000" w:rsidRDefault="00A173A8">
      <w:pPr>
        <w:ind w:hanging="360"/>
        <w:jc w:val="both"/>
        <w:divId w:val="83303371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Under our customer repurchase agreements, which mature the next business day, we pledged collateral with a fair value of $449 million and $836 million as of June 30, 2022 and December 31, 2021, respectively, primarily consisting of agency RMBS securities.</w:t>
      </w:r>
    </w:p>
    <w:p w14:paraId="7442DE77" w14:textId="77777777" w:rsidR="00000000" w:rsidRDefault="00A173A8">
      <w:pPr>
        <w:divId w:val="117846878"/>
        <w:rPr>
          <w:rFonts w:eastAsia="Times New Roman"/>
        </w:rPr>
      </w:pPr>
      <w:r>
        <w:rPr>
          <w:rFonts w:eastAsia="Times New Roman"/>
          <w:b/>
          <w:bCs/>
          <w:color w:val="000000"/>
          <w:sz w:val="20"/>
          <w:szCs w:val="20"/>
        </w:rPr>
        <w:t>Income Statement and AOCI Presentation</w:t>
      </w:r>
    </w:p>
    <w:p w14:paraId="445D66E7" w14:textId="77777777" w:rsidR="00000000" w:rsidRDefault="00A173A8">
      <w:pPr>
        <w:divId w:val="647513883"/>
        <w:rPr>
          <w:rFonts w:eastAsia="Times New Roman"/>
        </w:rPr>
      </w:pPr>
      <w:r>
        <w:rPr>
          <w:rFonts w:eastAsia="Times New Roman"/>
          <w:b/>
          <w:bCs/>
          <w:i/>
          <w:iCs/>
          <w:color w:val="000000"/>
          <w:sz w:val="20"/>
          <w:szCs w:val="20"/>
        </w:rPr>
        <w:t>Fair Value and Cash Flow Hedges</w:t>
      </w:r>
    </w:p>
    <w:p w14:paraId="4E418681" w14:textId="77777777" w:rsidR="00000000" w:rsidRDefault="00A173A8">
      <w:pPr>
        <w:jc w:val="both"/>
        <w:divId w:val="58022598"/>
        <w:rPr>
          <w:rFonts w:eastAsia="Times New Roman"/>
        </w:rPr>
      </w:pPr>
      <w:r>
        <w:rPr>
          <w:rFonts w:eastAsia="Times New Roman"/>
          <w:color w:val="000000"/>
          <w:sz w:val="20"/>
          <w:szCs w:val="20"/>
        </w:rPr>
        <w:t xml:space="preserve">The net gains (losses) recognized in our consolidated statements of income related to derivatives in fair value and cash flow hedging relationships are presented below for the three and six months ended June 30, 2022 and 2021. </w:t>
      </w:r>
    </w:p>
    <w:p w14:paraId="42D1F3DB" w14:textId="77777777" w:rsidR="00000000" w:rsidRDefault="00A173A8">
      <w:pPr>
        <w:divId w:val="279337785"/>
        <w:rPr>
          <w:rFonts w:eastAsia="Times New Roman"/>
        </w:rPr>
      </w:pPr>
      <w:r>
        <w:rPr>
          <w:rFonts w:eastAsia="Times New Roman"/>
          <w:b/>
          <w:bCs/>
          <w:color w:val="000000"/>
          <w:sz w:val="18"/>
          <w:szCs w:val="18"/>
        </w:rPr>
        <w:t>Table 8.4: Effects of Fair V</w:t>
      </w:r>
      <w:r>
        <w:rPr>
          <w:rFonts w:eastAsia="Times New Roman"/>
          <w:b/>
          <w:bCs/>
          <w:color w:val="000000"/>
          <w:sz w:val="18"/>
          <w:szCs w:val="18"/>
        </w:rPr>
        <w:t>alue and Cash Flow Hedge Accounting</w:t>
      </w:r>
    </w:p>
    <w:tbl>
      <w:tblPr>
        <w:tblW w:w="5000" w:type="pct"/>
        <w:tblCellMar>
          <w:top w:w="15" w:type="dxa"/>
          <w:left w:w="15" w:type="dxa"/>
          <w:bottom w:w="15" w:type="dxa"/>
          <w:right w:w="15" w:type="dxa"/>
        </w:tblCellMar>
        <w:tblLook w:val="04A0" w:firstRow="1" w:lastRow="0" w:firstColumn="1" w:lastColumn="0" w:noHBand="0" w:noVBand="1"/>
      </w:tblPr>
      <w:tblGrid>
        <w:gridCol w:w="48"/>
        <w:gridCol w:w="96"/>
        <w:gridCol w:w="1608"/>
        <w:gridCol w:w="38"/>
        <w:gridCol w:w="36"/>
        <w:gridCol w:w="36"/>
        <w:gridCol w:w="36"/>
        <w:gridCol w:w="111"/>
        <w:gridCol w:w="720"/>
        <w:gridCol w:w="36"/>
        <w:gridCol w:w="36"/>
        <w:gridCol w:w="6"/>
        <w:gridCol w:w="30"/>
        <w:gridCol w:w="36"/>
        <w:gridCol w:w="78"/>
        <w:gridCol w:w="33"/>
        <w:gridCol w:w="111"/>
        <w:gridCol w:w="514"/>
        <w:gridCol w:w="36"/>
        <w:gridCol w:w="36"/>
        <w:gridCol w:w="36"/>
        <w:gridCol w:w="36"/>
        <w:gridCol w:w="111"/>
        <w:gridCol w:w="616"/>
        <w:gridCol w:w="36"/>
        <w:gridCol w:w="36"/>
        <w:gridCol w:w="36"/>
        <w:gridCol w:w="36"/>
        <w:gridCol w:w="111"/>
        <w:gridCol w:w="646"/>
        <w:gridCol w:w="36"/>
        <w:gridCol w:w="36"/>
        <w:gridCol w:w="36"/>
        <w:gridCol w:w="36"/>
        <w:gridCol w:w="111"/>
        <w:gridCol w:w="135"/>
        <w:gridCol w:w="144"/>
        <w:gridCol w:w="144"/>
        <w:gridCol w:w="320"/>
        <w:gridCol w:w="36"/>
        <w:gridCol w:w="36"/>
        <w:gridCol w:w="36"/>
        <w:gridCol w:w="36"/>
        <w:gridCol w:w="111"/>
        <w:gridCol w:w="871"/>
        <w:gridCol w:w="36"/>
        <w:gridCol w:w="36"/>
        <w:gridCol w:w="36"/>
        <w:gridCol w:w="36"/>
        <w:gridCol w:w="111"/>
        <w:gridCol w:w="510"/>
        <w:gridCol w:w="36"/>
        <w:gridCol w:w="429"/>
        <w:gridCol w:w="144"/>
      </w:tblGrid>
      <w:tr w:rsidR="00000000" w14:paraId="612C7E55" w14:textId="77777777">
        <w:trPr>
          <w:gridAfter w:val="2"/>
          <w:divId w:val="895235803"/>
        </w:trPr>
        <w:tc>
          <w:tcPr>
            <w:tcW w:w="50" w:type="pct"/>
            <w:vAlign w:val="center"/>
            <w:hideMark/>
          </w:tcPr>
          <w:p w14:paraId="0B84EF1B" w14:textId="77777777" w:rsidR="00000000" w:rsidRDefault="00A173A8">
            <w:pPr>
              <w:rPr>
                <w:rFonts w:eastAsia="Times New Roman"/>
              </w:rPr>
            </w:pPr>
          </w:p>
        </w:tc>
        <w:tc>
          <w:tcPr>
            <w:tcW w:w="1085" w:type="pct"/>
            <w:gridSpan w:val="2"/>
            <w:vAlign w:val="center"/>
            <w:hideMark/>
          </w:tcPr>
          <w:p w14:paraId="05D58A6C" w14:textId="77777777" w:rsidR="00000000" w:rsidRDefault="00A173A8">
            <w:pPr>
              <w:spacing w:after="100"/>
              <w:rPr>
                <w:rFonts w:eastAsia="Times New Roman"/>
                <w:sz w:val="20"/>
                <w:szCs w:val="20"/>
              </w:rPr>
            </w:pPr>
          </w:p>
        </w:tc>
        <w:tc>
          <w:tcPr>
            <w:tcW w:w="5" w:type="pct"/>
            <w:vAlign w:val="center"/>
            <w:hideMark/>
          </w:tcPr>
          <w:p w14:paraId="6C2BF9C5" w14:textId="77777777" w:rsidR="00000000" w:rsidRDefault="00A173A8">
            <w:pPr>
              <w:spacing w:after="100"/>
              <w:rPr>
                <w:rFonts w:eastAsia="Times New Roman"/>
                <w:sz w:val="20"/>
                <w:szCs w:val="20"/>
              </w:rPr>
            </w:pPr>
          </w:p>
        </w:tc>
        <w:tc>
          <w:tcPr>
            <w:tcW w:w="5" w:type="pct"/>
            <w:vAlign w:val="center"/>
            <w:hideMark/>
          </w:tcPr>
          <w:p w14:paraId="6E19DEAB" w14:textId="77777777" w:rsidR="00000000" w:rsidRDefault="00A173A8">
            <w:pPr>
              <w:spacing w:after="100"/>
              <w:rPr>
                <w:rFonts w:eastAsia="Times New Roman"/>
                <w:sz w:val="20"/>
                <w:szCs w:val="20"/>
              </w:rPr>
            </w:pPr>
          </w:p>
        </w:tc>
        <w:tc>
          <w:tcPr>
            <w:tcW w:w="26" w:type="pct"/>
            <w:vAlign w:val="center"/>
            <w:hideMark/>
          </w:tcPr>
          <w:p w14:paraId="718039BC" w14:textId="77777777" w:rsidR="00000000" w:rsidRDefault="00A173A8">
            <w:pPr>
              <w:spacing w:after="100"/>
              <w:rPr>
                <w:rFonts w:eastAsia="Times New Roman"/>
                <w:sz w:val="20"/>
                <w:szCs w:val="20"/>
              </w:rPr>
            </w:pPr>
          </w:p>
        </w:tc>
        <w:tc>
          <w:tcPr>
            <w:tcW w:w="5" w:type="pct"/>
            <w:vAlign w:val="center"/>
            <w:hideMark/>
          </w:tcPr>
          <w:p w14:paraId="5F33C5A0" w14:textId="77777777" w:rsidR="00000000" w:rsidRDefault="00A173A8">
            <w:pPr>
              <w:spacing w:after="100"/>
              <w:rPr>
                <w:rFonts w:eastAsia="Times New Roman"/>
                <w:sz w:val="20"/>
                <w:szCs w:val="20"/>
              </w:rPr>
            </w:pPr>
          </w:p>
        </w:tc>
        <w:tc>
          <w:tcPr>
            <w:tcW w:w="50" w:type="pct"/>
            <w:vAlign w:val="center"/>
            <w:hideMark/>
          </w:tcPr>
          <w:p w14:paraId="60316D5B" w14:textId="77777777" w:rsidR="00000000" w:rsidRDefault="00A173A8">
            <w:pPr>
              <w:spacing w:after="100"/>
              <w:rPr>
                <w:rFonts w:eastAsia="Times New Roman"/>
                <w:sz w:val="20"/>
                <w:szCs w:val="20"/>
              </w:rPr>
            </w:pPr>
          </w:p>
        </w:tc>
        <w:tc>
          <w:tcPr>
            <w:tcW w:w="464" w:type="pct"/>
            <w:vAlign w:val="center"/>
            <w:hideMark/>
          </w:tcPr>
          <w:p w14:paraId="633D1AEA" w14:textId="77777777" w:rsidR="00000000" w:rsidRDefault="00A173A8">
            <w:pPr>
              <w:spacing w:after="100"/>
              <w:rPr>
                <w:rFonts w:eastAsia="Times New Roman"/>
                <w:sz w:val="20"/>
                <w:szCs w:val="20"/>
              </w:rPr>
            </w:pPr>
          </w:p>
        </w:tc>
        <w:tc>
          <w:tcPr>
            <w:tcW w:w="5" w:type="pct"/>
            <w:vAlign w:val="center"/>
            <w:hideMark/>
          </w:tcPr>
          <w:p w14:paraId="3A3E8190" w14:textId="77777777" w:rsidR="00000000" w:rsidRDefault="00A173A8">
            <w:pPr>
              <w:spacing w:after="100"/>
              <w:rPr>
                <w:rFonts w:eastAsia="Times New Roman"/>
                <w:sz w:val="20"/>
                <w:szCs w:val="20"/>
              </w:rPr>
            </w:pPr>
          </w:p>
        </w:tc>
        <w:tc>
          <w:tcPr>
            <w:tcW w:w="5" w:type="pct"/>
            <w:vAlign w:val="center"/>
            <w:hideMark/>
          </w:tcPr>
          <w:p w14:paraId="0AFD4323" w14:textId="77777777" w:rsidR="00000000" w:rsidRDefault="00A173A8">
            <w:pPr>
              <w:spacing w:after="100"/>
              <w:rPr>
                <w:rFonts w:eastAsia="Times New Roman"/>
                <w:sz w:val="20"/>
                <w:szCs w:val="20"/>
              </w:rPr>
            </w:pPr>
          </w:p>
        </w:tc>
        <w:tc>
          <w:tcPr>
            <w:tcW w:w="26" w:type="pct"/>
            <w:gridSpan w:val="2"/>
            <w:vAlign w:val="center"/>
            <w:hideMark/>
          </w:tcPr>
          <w:p w14:paraId="310556AE" w14:textId="77777777" w:rsidR="00000000" w:rsidRDefault="00A173A8">
            <w:pPr>
              <w:spacing w:after="100"/>
              <w:rPr>
                <w:rFonts w:eastAsia="Times New Roman"/>
                <w:sz w:val="20"/>
                <w:szCs w:val="20"/>
              </w:rPr>
            </w:pPr>
          </w:p>
        </w:tc>
        <w:tc>
          <w:tcPr>
            <w:tcW w:w="5" w:type="pct"/>
            <w:vAlign w:val="center"/>
            <w:hideMark/>
          </w:tcPr>
          <w:p w14:paraId="34DB1732" w14:textId="77777777" w:rsidR="00000000" w:rsidRDefault="00A173A8">
            <w:pPr>
              <w:spacing w:after="100"/>
              <w:rPr>
                <w:rFonts w:eastAsia="Times New Roman"/>
                <w:sz w:val="20"/>
                <w:szCs w:val="20"/>
              </w:rPr>
            </w:pPr>
          </w:p>
        </w:tc>
        <w:tc>
          <w:tcPr>
            <w:tcW w:w="50" w:type="pct"/>
            <w:gridSpan w:val="2"/>
            <w:vAlign w:val="center"/>
            <w:hideMark/>
          </w:tcPr>
          <w:p w14:paraId="5415A5AA" w14:textId="77777777" w:rsidR="00000000" w:rsidRDefault="00A173A8">
            <w:pPr>
              <w:spacing w:after="100"/>
              <w:rPr>
                <w:rFonts w:eastAsia="Times New Roman"/>
                <w:sz w:val="20"/>
                <w:szCs w:val="20"/>
              </w:rPr>
            </w:pPr>
          </w:p>
        </w:tc>
        <w:tc>
          <w:tcPr>
            <w:tcW w:w="464" w:type="pct"/>
            <w:gridSpan w:val="2"/>
            <w:vAlign w:val="center"/>
            <w:hideMark/>
          </w:tcPr>
          <w:p w14:paraId="5D81560E" w14:textId="77777777" w:rsidR="00000000" w:rsidRDefault="00A173A8">
            <w:pPr>
              <w:spacing w:after="100"/>
              <w:rPr>
                <w:rFonts w:eastAsia="Times New Roman"/>
                <w:sz w:val="20"/>
                <w:szCs w:val="20"/>
              </w:rPr>
            </w:pPr>
          </w:p>
        </w:tc>
        <w:tc>
          <w:tcPr>
            <w:tcW w:w="5" w:type="pct"/>
            <w:vAlign w:val="center"/>
            <w:hideMark/>
          </w:tcPr>
          <w:p w14:paraId="45CF351F" w14:textId="77777777" w:rsidR="00000000" w:rsidRDefault="00A173A8">
            <w:pPr>
              <w:spacing w:after="100"/>
              <w:rPr>
                <w:rFonts w:eastAsia="Times New Roman"/>
                <w:sz w:val="20"/>
                <w:szCs w:val="20"/>
              </w:rPr>
            </w:pPr>
          </w:p>
        </w:tc>
        <w:tc>
          <w:tcPr>
            <w:tcW w:w="5" w:type="pct"/>
            <w:vAlign w:val="center"/>
            <w:hideMark/>
          </w:tcPr>
          <w:p w14:paraId="3935BE87" w14:textId="77777777" w:rsidR="00000000" w:rsidRDefault="00A173A8">
            <w:pPr>
              <w:spacing w:after="100"/>
              <w:rPr>
                <w:rFonts w:eastAsia="Times New Roman"/>
                <w:sz w:val="20"/>
                <w:szCs w:val="20"/>
              </w:rPr>
            </w:pPr>
          </w:p>
        </w:tc>
        <w:tc>
          <w:tcPr>
            <w:tcW w:w="26" w:type="pct"/>
            <w:vAlign w:val="center"/>
            <w:hideMark/>
          </w:tcPr>
          <w:p w14:paraId="5DDB19D5" w14:textId="77777777" w:rsidR="00000000" w:rsidRDefault="00A173A8">
            <w:pPr>
              <w:spacing w:after="100"/>
              <w:rPr>
                <w:rFonts w:eastAsia="Times New Roman"/>
                <w:sz w:val="20"/>
                <w:szCs w:val="20"/>
              </w:rPr>
            </w:pPr>
          </w:p>
        </w:tc>
        <w:tc>
          <w:tcPr>
            <w:tcW w:w="5" w:type="pct"/>
            <w:vAlign w:val="center"/>
            <w:hideMark/>
          </w:tcPr>
          <w:p w14:paraId="397AE396" w14:textId="77777777" w:rsidR="00000000" w:rsidRDefault="00A173A8">
            <w:pPr>
              <w:spacing w:after="100"/>
              <w:rPr>
                <w:rFonts w:eastAsia="Times New Roman"/>
                <w:sz w:val="20"/>
                <w:szCs w:val="20"/>
              </w:rPr>
            </w:pPr>
          </w:p>
        </w:tc>
        <w:tc>
          <w:tcPr>
            <w:tcW w:w="50" w:type="pct"/>
            <w:vAlign w:val="center"/>
            <w:hideMark/>
          </w:tcPr>
          <w:p w14:paraId="3A79B7DA" w14:textId="77777777" w:rsidR="00000000" w:rsidRDefault="00A173A8">
            <w:pPr>
              <w:spacing w:after="100"/>
              <w:rPr>
                <w:rFonts w:eastAsia="Times New Roman"/>
                <w:sz w:val="20"/>
                <w:szCs w:val="20"/>
              </w:rPr>
            </w:pPr>
          </w:p>
        </w:tc>
        <w:tc>
          <w:tcPr>
            <w:tcW w:w="464" w:type="pct"/>
            <w:vAlign w:val="center"/>
            <w:hideMark/>
          </w:tcPr>
          <w:p w14:paraId="6A8EEF2C" w14:textId="77777777" w:rsidR="00000000" w:rsidRDefault="00A173A8">
            <w:pPr>
              <w:spacing w:after="100"/>
              <w:rPr>
                <w:rFonts w:eastAsia="Times New Roman"/>
                <w:sz w:val="20"/>
                <w:szCs w:val="20"/>
              </w:rPr>
            </w:pPr>
          </w:p>
        </w:tc>
        <w:tc>
          <w:tcPr>
            <w:tcW w:w="5" w:type="pct"/>
            <w:vAlign w:val="center"/>
            <w:hideMark/>
          </w:tcPr>
          <w:p w14:paraId="087A680B" w14:textId="77777777" w:rsidR="00000000" w:rsidRDefault="00A173A8">
            <w:pPr>
              <w:spacing w:after="100"/>
              <w:rPr>
                <w:rFonts w:eastAsia="Times New Roman"/>
                <w:sz w:val="20"/>
                <w:szCs w:val="20"/>
              </w:rPr>
            </w:pPr>
          </w:p>
        </w:tc>
        <w:tc>
          <w:tcPr>
            <w:tcW w:w="5" w:type="pct"/>
            <w:vAlign w:val="center"/>
            <w:hideMark/>
          </w:tcPr>
          <w:p w14:paraId="5AF6278A" w14:textId="77777777" w:rsidR="00000000" w:rsidRDefault="00A173A8">
            <w:pPr>
              <w:spacing w:after="100"/>
              <w:rPr>
                <w:rFonts w:eastAsia="Times New Roman"/>
                <w:sz w:val="20"/>
                <w:szCs w:val="20"/>
              </w:rPr>
            </w:pPr>
          </w:p>
        </w:tc>
        <w:tc>
          <w:tcPr>
            <w:tcW w:w="26" w:type="pct"/>
            <w:vAlign w:val="center"/>
            <w:hideMark/>
          </w:tcPr>
          <w:p w14:paraId="3057C628" w14:textId="77777777" w:rsidR="00000000" w:rsidRDefault="00A173A8">
            <w:pPr>
              <w:spacing w:after="100"/>
              <w:rPr>
                <w:rFonts w:eastAsia="Times New Roman"/>
                <w:sz w:val="20"/>
                <w:szCs w:val="20"/>
              </w:rPr>
            </w:pPr>
          </w:p>
        </w:tc>
        <w:tc>
          <w:tcPr>
            <w:tcW w:w="5" w:type="pct"/>
            <w:vAlign w:val="center"/>
            <w:hideMark/>
          </w:tcPr>
          <w:p w14:paraId="3259AB06" w14:textId="77777777" w:rsidR="00000000" w:rsidRDefault="00A173A8">
            <w:pPr>
              <w:spacing w:after="100"/>
              <w:rPr>
                <w:rFonts w:eastAsia="Times New Roman"/>
                <w:sz w:val="20"/>
                <w:szCs w:val="20"/>
              </w:rPr>
            </w:pPr>
          </w:p>
        </w:tc>
        <w:tc>
          <w:tcPr>
            <w:tcW w:w="50" w:type="pct"/>
            <w:vAlign w:val="center"/>
            <w:hideMark/>
          </w:tcPr>
          <w:p w14:paraId="3502CB63" w14:textId="77777777" w:rsidR="00000000" w:rsidRDefault="00A173A8">
            <w:pPr>
              <w:spacing w:after="100"/>
              <w:rPr>
                <w:rFonts w:eastAsia="Times New Roman"/>
                <w:sz w:val="20"/>
                <w:szCs w:val="20"/>
              </w:rPr>
            </w:pPr>
          </w:p>
        </w:tc>
        <w:tc>
          <w:tcPr>
            <w:tcW w:w="464" w:type="pct"/>
            <w:vAlign w:val="center"/>
            <w:hideMark/>
          </w:tcPr>
          <w:p w14:paraId="4741765F" w14:textId="77777777" w:rsidR="00000000" w:rsidRDefault="00A173A8">
            <w:pPr>
              <w:spacing w:after="100"/>
              <w:rPr>
                <w:rFonts w:eastAsia="Times New Roman"/>
                <w:sz w:val="20"/>
                <w:szCs w:val="20"/>
              </w:rPr>
            </w:pPr>
          </w:p>
        </w:tc>
        <w:tc>
          <w:tcPr>
            <w:tcW w:w="5" w:type="pct"/>
            <w:vAlign w:val="center"/>
            <w:hideMark/>
          </w:tcPr>
          <w:p w14:paraId="3566F972" w14:textId="77777777" w:rsidR="00000000" w:rsidRDefault="00A173A8">
            <w:pPr>
              <w:spacing w:after="100"/>
              <w:rPr>
                <w:rFonts w:eastAsia="Times New Roman"/>
                <w:sz w:val="20"/>
                <w:szCs w:val="20"/>
              </w:rPr>
            </w:pPr>
          </w:p>
        </w:tc>
        <w:tc>
          <w:tcPr>
            <w:tcW w:w="5" w:type="pct"/>
            <w:vAlign w:val="center"/>
            <w:hideMark/>
          </w:tcPr>
          <w:p w14:paraId="4A7C6993" w14:textId="77777777" w:rsidR="00000000" w:rsidRDefault="00A173A8">
            <w:pPr>
              <w:spacing w:after="100"/>
              <w:rPr>
                <w:rFonts w:eastAsia="Times New Roman"/>
                <w:sz w:val="20"/>
                <w:szCs w:val="20"/>
              </w:rPr>
            </w:pPr>
          </w:p>
        </w:tc>
        <w:tc>
          <w:tcPr>
            <w:tcW w:w="26" w:type="pct"/>
            <w:vAlign w:val="center"/>
            <w:hideMark/>
          </w:tcPr>
          <w:p w14:paraId="21EAFA1B" w14:textId="77777777" w:rsidR="00000000" w:rsidRDefault="00A173A8">
            <w:pPr>
              <w:spacing w:after="100"/>
              <w:rPr>
                <w:rFonts w:eastAsia="Times New Roman"/>
                <w:sz w:val="20"/>
                <w:szCs w:val="20"/>
              </w:rPr>
            </w:pPr>
          </w:p>
        </w:tc>
        <w:tc>
          <w:tcPr>
            <w:tcW w:w="5" w:type="pct"/>
            <w:vAlign w:val="center"/>
            <w:hideMark/>
          </w:tcPr>
          <w:p w14:paraId="4E899F25" w14:textId="77777777" w:rsidR="00000000" w:rsidRDefault="00A173A8">
            <w:pPr>
              <w:spacing w:after="100"/>
              <w:rPr>
                <w:rFonts w:eastAsia="Times New Roman"/>
                <w:sz w:val="20"/>
                <w:szCs w:val="20"/>
              </w:rPr>
            </w:pPr>
          </w:p>
        </w:tc>
        <w:tc>
          <w:tcPr>
            <w:tcW w:w="50" w:type="pct"/>
            <w:vAlign w:val="center"/>
            <w:hideMark/>
          </w:tcPr>
          <w:p w14:paraId="10AB3745" w14:textId="77777777" w:rsidR="00000000" w:rsidRDefault="00A173A8">
            <w:pPr>
              <w:spacing w:after="100"/>
              <w:rPr>
                <w:rFonts w:eastAsia="Times New Roman"/>
                <w:sz w:val="20"/>
                <w:szCs w:val="20"/>
              </w:rPr>
            </w:pPr>
          </w:p>
        </w:tc>
        <w:tc>
          <w:tcPr>
            <w:tcW w:w="464" w:type="pct"/>
            <w:gridSpan w:val="4"/>
            <w:vAlign w:val="center"/>
            <w:hideMark/>
          </w:tcPr>
          <w:p w14:paraId="137409F7" w14:textId="77777777" w:rsidR="00000000" w:rsidRDefault="00A173A8">
            <w:pPr>
              <w:spacing w:after="100"/>
              <w:rPr>
                <w:rFonts w:eastAsia="Times New Roman"/>
                <w:sz w:val="20"/>
                <w:szCs w:val="20"/>
              </w:rPr>
            </w:pPr>
          </w:p>
        </w:tc>
        <w:tc>
          <w:tcPr>
            <w:tcW w:w="5" w:type="pct"/>
            <w:vAlign w:val="center"/>
            <w:hideMark/>
          </w:tcPr>
          <w:p w14:paraId="65AF0F89" w14:textId="77777777" w:rsidR="00000000" w:rsidRDefault="00A173A8">
            <w:pPr>
              <w:spacing w:after="100"/>
              <w:rPr>
                <w:rFonts w:eastAsia="Times New Roman"/>
                <w:sz w:val="20"/>
                <w:szCs w:val="20"/>
              </w:rPr>
            </w:pPr>
          </w:p>
        </w:tc>
        <w:tc>
          <w:tcPr>
            <w:tcW w:w="5" w:type="pct"/>
            <w:vAlign w:val="center"/>
            <w:hideMark/>
          </w:tcPr>
          <w:p w14:paraId="07F3ED90" w14:textId="77777777" w:rsidR="00000000" w:rsidRDefault="00A173A8">
            <w:pPr>
              <w:spacing w:after="100"/>
              <w:rPr>
                <w:rFonts w:eastAsia="Times New Roman"/>
                <w:sz w:val="20"/>
                <w:szCs w:val="20"/>
              </w:rPr>
            </w:pPr>
          </w:p>
        </w:tc>
        <w:tc>
          <w:tcPr>
            <w:tcW w:w="26" w:type="pct"/>
            <w:vAlign w:val="center"/>
            <w:hideMark/>
          </w:tcPr>
          <w:p w14:paraId="33ED6B47" w14:textId="77777777" w:rsidR="00000000" w:rsidRDefault="00A173A8">
            <w:pPr>
              <w:spacing w:after="100"/>
              <w:rPr>
                <w:rFonts w:eastAsia="Times New Roman"/>
                <w:sz w:val="20"/>
                <w:szCs w:val="20"/>
              </w:rPr>
            </w:pPr>
          </w:p>
        </w:tc>
        <w:tc>
          <w:tcPr>
            <w:tcW w:w="5" w:type="pct"/>
            <w:vAlign w:val="center"/>
            <w:hideMark/>
          </w:tcPr>
          <w:p w14:paraId="363964F3" w14:textId="77777777" w:rsidR="00000000" w:rsidRDefault="00A173A8">
            <w:pPr>
              <w:spacing w:after="100"/>
              <w:rPr>
                <w:rFonts w:eastAsia="Times New Roman"/>
                <w:sz w:val="20"/>
                <w:szCs w:val="20"/>
              </w:rPr>
            </w:pPr>
          </w:p>
        </w:tc>
        <w:tc>
          <w:tcPr>
            <w:tcW w:w="50" w:type="pct"/>
            <w:vAlign w:val="center"/>
            <w:hideMark/>
          </w:tcPr>
          <w:p w14:paraId="52E2962B" w14:textId="77777777" w:rsidR="00000000" w:rsidRDefault="00A173A8">
            <w:pPr>
              <w:spacing w:after="100"/>
              <w:rPr>
                <w:rFonts w:eastAsia="Times New Roman"/>
                <w:sz w:val="20"/>
                <w:szCs w:val="20"/>
              </w:rPr>
            </w:pPr>
          </w:p>
        </w:tc>
        <w:tc>
          <w:tcPr>
            <w:tcW w:w="464" w:type="pct"/>
            <w:vAlign w:val="center"/>
            <w:hideMark/>
          </w:tcPr>
          <w:p w14:paraId="59A7CBEE" w14:textId="77777777" w:rsidR="00000000" w:rsidRDefault="00A173A8">
            <w:pPr>
              <w:spacing w:after="100"/>
              <w:rPr>
                <w:rFonts w:eastAsia="Times New Roman"/>
                <w:sz w:val="20"/>
                <w:szCs w:val="20"/>
              </w:rPr>
            </w:pPr>
          </w:p>
        </w:tc>
        <w:tc>
          <w:tcPr>
            <w:tcW w:w="5" w:type="pct"/>
            <w:vAlign w:val="center"/>
            <w:hideMark/>
          </w:tcPr>
          <w:p w14:paraId="15476146" w14:textId="77777777" w:rsidR="00000000" w:rsidRDefault="00A173A8">
            <w:pPr>
              <w:spacing w:after="100"/>
              <w:rPr>
                <w:rFonts w:eastAsia="Times New Roman"/>
                <w:sz w:val="20"/>
                <w:szCs w:val="20"/>
              </w:rPr>
            </w:pPr>
          </w:p>
        </w:tc>
        <w:tc>
          <w:tcPr>
            <w:tcW w:w="5" w:type="pct"/>
            <w:vAlign w:val="center"/>
            <w:hideMark/>
          </w:tcPr>
          <w:p w14:paraId="6E6B7EE9" w14:textId="77777777" w:rsidR="00000000" w:rsidRDefault="00A173A8">
            <w:pPr>
              <w:spacing w:after="100"/>
              <w:rPr>
                <w:rFonts w:eastAsia="Times New Roman"/>
                <w:sz w:val="20"/>
                <w:szCs w:val="20"/>
              </w:rPr>
            </w:pPr>
          </w:p>
        </w:tc>
        <w:tc>
          <w:tcPr>
            <w:tcW w:w="26" w:type="pct"/>
            <w:vAlign w:val="center"/>
            <w:hideMark/>
          </w:tcPr>
          <w:p w14:paraId="2CF0B199" w14:textId="77777777" w:rsidR="00000000" w:rsidRDefault="00A173A8">
            <w:pPr>
              <w:spacing w:after="100"/>
              <w:rPr>
                <w:rFonts w:eastAsia="Times New Roman"/>
                <w:sz w:val="20"/>
                <w:szCs w:val="20"/>
              </w:rPr>
            </w:pPr>
          </w:p>
        </w:tc>
        <w:tc>
          <w:tcPr>
            <w:tcW w:w="5" w:type="pct"/>
            <w:vAlign w:val="center"/>
            <w:hideMark/>
          </w:tcPr>
          <w:p w14:paraId="28DA054A" w14:textId="77777777" w:rsidR="00000000" w:rsidRDefault="00A173A8">
            <w:pPr>
              <w:spacing w:after="100"/>
              <w:rPr>
                <w:rFonts w:eastAsia="Times New Roman"/>
                <w:sz w:val="20"/>
                <w:szCs w:val="20"/>
              </w:rPr>
            </w:pPr>
          </w:p>
        </w:tc>
        <w:tc>
          <w:tcPr>
            <w:tcW w:w="50" w:type="pct"/>
            <w:vAlign w:val="center"/>
            <w:hideMark/>
          </w:tcPr>
          <w:p w14:paraId="4F099F08" w14:textId="77777777" w:rsidR="00000000" w:rsidRDefault="00A173A8">
            <w:pPr>
              <w:spacing w:after="100"/>
              <w:rPr>
                <w:rFonts w:eastAsia="Times New Roman"/>
                <w:sz w:val="20"/>
                <w:szCs w:val="20"/>
              </w:rPr>
            </w:pPr>
          </w:p>
        </w:tc>
        <w:tc>
          <w:tcPr>
            <w:tcW w:w="435" w:type="pct"/>
            <w:vAlign w:val="center"/>
            <w:hideMark/>
          </w:tcPr>
          <w:p w14:paraId="3F26C3C2" w14:textId="77777777" w:rsidR="00000000" w:rsidRDefault="00A173A8">
            <w:pPr>
              <w:spacing w:after="100"/>
              <w:rPr>
                <w:rFonts w:eastAsia="Times New Roman"/>
                <w:sz w:val="20"/>
                <w:szCs w:val="20"/>
              </w:rPr>
            </w:pPr>
          </w:p>
        </w:tc>
        <w:tc>
          <w:tcPr>
            <w:tcW w:w="5" w:type="pct"/>
            <w:vAlign w:val="center"/>
            <w:hideMark/>
          </w:tcPr>
          <w:p w14:paraId="4D30B8C0" w14:textId="77777777" w:rsidR="00000000" w:rsidRDefault="00A173A8">
            <w:pPr>
              <w:spacing w:after="100"/>
              <w:rPr>
                <w:rFonts w:eastAsia="Times New Roman"/>
                <w:sz w:val="20"/>
                <w:szCs w:val="20"/>
              </w:rPr>
            </w:pPr>
          </w:p>
        </w:tc>
      </w:tr>
      <w:tr w:rsidR="00000000" w14:paraId="14AB8031" w14:textId="77777777">
        <w:trPr>
          <w:gridAfter w:val="2"/>
          <w:divId w:val="895235803"/>
        </w:trPr>
        <w:tc>
          <w:tcPr>
            <w:tcW w:w="0" w:type="auto"/>
            <w:gridSpan w:val="4"/>
            <w:tcMar>
              <w:top w:w="0" w:type="dxa"/>
              <w:left w:w="20" w:type="dxa"/>
              <w:bottom w:w="0" w:type="dxa"/>
              <w:right w:w="20" w:type="dxa"/>
            </w:tcMar>
            <w:vAlign w:val="center"/>
            <w:hideMark/>
          </w:tcPr>
          <w:p w14:paraId="02F761E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732797" w14:textId="77777777" w:rsidR="00000000" w:rsidRDefault="00A173A8">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47C2BBCD" w14:textId="77777777" w:rsidR="00000000" w:rsidRDefault="00A173A8">
            <w:pPr>
              <w:spacing w:after="100"/>
              <w:jc w:val="center"/>
              <w:rPr>
                <w:rFonts w:eastAsia="Times New Roman"/>
              </w:rPr>
            </w:pPr>
            <w:r>
              <w:rPr>
                <w:rFonts w:eastAsia="Times New Roman"/>
                <w:b/>
                <w:bCs/>
                <w:color w:val="000000"/>
                <w:sz w:val="16"/>
                <w:szCs w:val="16"/>
              </w:rPr>
              <w:t>Three Months Ended June 30, 2022</w:t>
            </w:r>
          </w:p>
        </w:tc>
      </w:tr>
      <w:tr w:rsidR="00000000" w14:paraId="41FC66D1" w14:textId="77777777">
        <w:trPr>
          <w:gridAfter w:val="2"/>
          <w:divId w:val="895235803"/>
        </w:trPr>
        <w:tc>
          <w:tcPr>
            <w:tcW w:w="0" w:type="auto"/>
            <w:gridSpan w:val="4"/>
            <w:tcMar>
              <w:top w:w="0" w:type="dxa"/>
              <w:left w:w="20" w:type="dxa"/>
              <w:bottom w:w="0" w:type="dxa"/>
              <w:right w:w="20" w:type="dxa"/>
            </w:tcMar>
            <w:vAlign w:val="center"/>
            <w:hideMark/>
          </w:tcPr>
          <w:p w14:paraId="12618DAD"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384F054" w14:textId="77777777" w:rsidR="00000000" w:rsidRDefault="00A173A8">
            <w:pPr>
              <w:spacing w:after="100"/>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14:paraId="5E048F1F" w14:textId="77777777" w:rsidR="00000000" w:rsidRDefault="00A173A8">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6FF37279"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7B8078" w14:textId="77777777" w:rsidR="00000000" w:rsidRDefault="00A173A8">
            <w:pPr>
              <w:spacing w:after="100"/>
              <w:jc w:val="center"/>
              <w:rPr>
                <w:rFonts w:eastAsia="Times New Roman"/>
              </w:rPr>
            </w:pPr>
            <w:r>
              <w:rPr>
                <w:rFonts w:eastAsia="Times New Roman"/>
                <w:b/>
                <w:bCs/>
                <w:color w:val="000000"/>
                <w:sz w:val="16"/>
                <w:szCs w:val="16"/>
              </w:rPr>
              <w:t>Non-Interest Income</w:t>
            </w:r>
          </w:p>
        </w:tc>
      </w:tr>
      <w:tr w:rsidR="00000000" w14:paraId="39021273" w14:textId="77777777">
        <w:trPr>
          <w:gridAfter w:val="2"/>
          <w:divId w:val="895235803"/>
        </w:trPr>
        <w:tc>
          <w:tcPr>
            <w:tcW w:w="0" w:type="auto"/>
            <w:gridSpan w:val="4"/>
            <w:tcBorders>
              <w:bottom w:val="single" w:sz="8" w:space="0" w:color="000000"/>
            </w:tcBorders>
            <w:tcMar>
              <w:top w:w="30" w:type="dxa"/>
              <w:left w:w="20" w:type="dxa"/>
              <w:bottom w:w="30" w:type="dxa"/>
              <w:right w:w="20" w:type="dxa"/>
            </w:tcMar>
            <w:vAlign w:val="bottom"/>
            <w:hideMark/>
          </w:tcPr>
          <w:p w14:paraId="0B0136FF"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8A78AA9"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E7F4DCF" w14:textId="77777777" w:rsidR="00000000" w:rsidRDefault="00A173A8">
            <w:pPr>
              <w:spacing w:after="100"/>
              <w:jc w:val="center"/>
              <w:rPr>
                <w:rFonts w:eastAsia="Times New Roman"/>
              </w:rPr>
            </w:pPr>
            <w:r>
              <w:rPr>
                <w:rFonts w:eastAsia="Times New Roman"/>
                <w:b/>
                <w:bCs/>
                <w:color w:val="000000"/>
                <w:sz w:val="16"/>
                <w:szCs w:val="16"/>
              </w:rPr>
              <w:t>Investment Securities</w:t>
            </w:r>
          </w:p>
        </w:tc>
        <w:tc>
          <w:tcPr>
            <w:tcW w:w="0" w:type="auto"/>
            <w:gridSpan w:val="4"/>
            <w:tcBorders>
              <w:top w:val="single" w:sz="8" w:space="0" w:color="000000"/>
            </w:tcBorders>
            <w:tcMar>
              <w:top w:w="0" w:type="dxa"/>
              <w:left w:w="20" w:type="dxa"/>
              <w:bottom w:w="0" w:type="dxa"/>
              <w:right w:w="20" w:type="dxa"/>
            </w:tcMar>
            <w:vAlign w:val="center"/>
            <w:hideMark/>
          </w:tcPr>
          <w:p w14:paraId="54D8E4ED" w14:textId="77777777" w:rsidR="00000000" w:rsidRDefault="00A173A8">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14:paraId="1FD33310" w14:textId="77777777" w:rsidR="00000000" w:rsidRDefault="00A173A8">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045AB3E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6B526AC" w14:textId="77777777" w:rsidR="00000000" w:rsidRDefault="00A173A8">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0E99685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E44422C" w14:textId="77777777" w:rsidR="00000000" w:rsidRDefault="00A173A8">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0BAB5BCB" w14:textId="77777777" w:rsidR="00000000" w:rsidRDefault="00A173A8">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14:paraId="47ED2B00" w14:textId="77777777" w:rsidR="00000000" w:rsidRDefault="00A173A8">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709777F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E12353" w14:textId="77777777" w:rsidR="00000000" w:rsidRDefault="00A173A8">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4115322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318D2E" w14:textId="77777777" w:rsidR="00000000" w:rsidRDefault="00A173A8">
            <w:pPr>
              <w:spacing w:after="100"/>
              <w:jc w:val="center"/>
              <w:rPr>
                <w:rFonts w:eastAsia="Times New Roman"/>
              </w:rPr>
            </w:pPr>
            <w:r>
              <w:rPr>
                <w:rFonts w:eastAsia="Times New Roman"/>
                <w:b/>
                <w:bCs/>
                <w:color w:val="000000"/>
                <w:sz w:val="16"/>
                <w:szCs w:val="16"/>
              </w:rPr>
              <w:t>Other</w:t>
            </w:r>
          </w:p>
        </w:tc>
      </w:tr>
      <w:tr w:rsidR="00A173A8" w14:paraId="543E2D5A" w14:textId="77777777">
        <w:trPr>
          <w:gridAfter w:val="2"/>
          <w:divId w:val="895235803"/>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1F8A9F78" w14:textId="77777777" w:rsidR="00000000" w:rsidRDefault="00A173A8">
            <w:pPr>
              <w:spacing w:after="100"/>
              <w:divId w:val="945192926"/>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24148255"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D8B226"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372948" w14:textId="77777777" w:rsidR="00000000" w:rsidRDefault="00A173A8">
            <w:pPr>
              <w:spacing w:after="100"/>
              <w:jc w:val="right"/>
              <w:rPr>
                <w:rFonts w:eastAsia="Times New Roman"/>
              </w:rPr>
            </w:pPr>
            <w:r>
              <w:rPr>
                <w:rFonts w:eastAsia="Times New Roman"/>
                <w:b/>
                <w:bCs/>
                <w:color w:val="000000"/>
                <w:sz w:val="18"/>
                <w:szCs w:val="18"/>
              </w:rPr>
              <w:t>435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3781F4"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8813C7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F97E5E"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3E71AD85" w14:textId="77777777" w:rsidR="00000000" w:rsidRDefault="00A173A8">
            <w:pPr>
              <w:spacing w:after="100"/>
              <w:jc w:val="right"/>
              <w:rPr>
                <w:rFonts w:eastAsia="Times New Roman"/>
              </w:rPr>
            </w:pPr>
            <w:r>
              <w:rPr>
                <w:rFonts w:eastAsia="Times New Roman"/>
                <w:b/>
                <w:bCs/>
                <w:color w:val="000000"/>
                <w:sz w:val="18"/>
                <w:szCs w:val="18"/>
              </w:rPr>
              <w:t>6,605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1AAB3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67BD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6B0AA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839C8D" w14:textId="77777777" w:rsidR="00000000" w:rsidRDefault="00A173A8">
            <w:pPr>
              <w:spacing w:after="100"/>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19B3C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138C7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01D9D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0F4175" w14:textId="77777777" w:rsidR="00000000" w:rsidRDefault="00A173A8">
            <w:pPr>
              <w:spacing w:after="100"/>
              <w:jc w:val="right"/>
              <w:rPr>
                <w:rFonts w:eastAsia="Times New Roman"/>
              </w:rPr>
            </w:pPr>
            <w:r>
              <w:rPr>
                <w:rFonts w:eastAsia="Times New Roman"/>
                <w:b/>
                <w:bCs/>
                <w:color w:val="000000"/>
                <w:sz w:val="18"/>
                <w:szCs w:val="18"/>
              </w:rPr>
              <w:t>(293)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4F077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DD16A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BBAD2A"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14:paraId="08EEDCAF" w14:textId="77777777" w:rsidR="00000000" w:rsidRDefault="00A173A8">
            <w:pPr>
              <w:spacing w:after="100"/>
              <w:jc w:val="right"/>
              <w:rPr>
                <w:rFonts w:eastAsia="Times New Roman"/>
              </w:rPr>
            </w:pPr>
            <w:r>
              <w:rPr>
                <w:rFonts w:eastAsia="Times New Roman"/>
                <w:b/>
                <w:bCs/>
                <w:color w:val="000000"/>
                <w:sz w:val="18"/>
                <w:szCs w:val="18"/>
              </w:rPr>
              <w:t>(65)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94D06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D084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02FFA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16998A" w14:textId="77777777" w:rsidR="00000000" w:rsidRDefault="00A173A8">
            <w:pPr>
              <w:spacing w:after="100"/>
              <w:jc w:val="right"/>
              <w:rPr>
                <w:rFonts w:eastAsia="Times New Roman"/>
              </w:rPr>
            </w:pPr>
            <w:r>
              <w:rPr>
                <w:rFonts w:eastAsia="Times New Roman"/>
                <w:b/>
                <w:bCs/>
                <w:color w:val="000000"/>
                <w:sz w:val="18"/>
                <w:szCs w:val="18"/>
              </w:rPr>
              <w:t>(194)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0CFDE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463C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2578C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965051" w14:textId="77777777" w:rsidR="00000000" w:rsidRDefault="00A173A8">
            <w:pPr>
              <w:spacing w:after="100"/>
              <w:jc w:val="right"/>
              <w:rPr>
                <w:rFonts w:eastAsia="Times New Roman"/>
              </w:rPr>
            </w:pPr>
            <w:r>
              <w:rPr>
                <w:rFonts w:eastAsia="Times New Roman"/>
                <w:b/>
                <w:bCs/>
                <w:color w:val="000000"/>
                <w:sz w:val="18"/>
                <w:szCs w:val="18"/>
              </w:rPr>
              <w:t>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9402DB" w14:textId="77777777" w:rsidR="00000000" w:rsidRDefault="00A173A8">
            <w:pPr>
              <w:spacing w:after="100"/>
              <w:jc w:val="right"/>
              <w:rPr>
                <w:rFonts w:eastAsia="Times New Roman"/>
              </w:rPr>
            </w:pPr>
          </w:p>
        </w:tc>
      </w:tr>
      <w:tr w:rsidR="00000000" w14:paraId="36F7A19C" w14:textId="77777777">
        <w:trPr>
          <w:gridAfter w:val="2"/>
          <w:divId w:val="895235803"/>
        </w:trPr>
        <w:tc>
          <w:tcPr>
            <w:tcW w:w="0" w:type="auto"/>
            <w:gridSpan w:val="4"/>
            <w:shd w:val="clear" w:color="auto" w:fill="FFFFFF"/>
            <w:tcMar>
              <w:top w:w="30" w:type="dxa"/>
              <w:left w:w="20" w:type="dxa"/>
              <w:bottom w:w="30" w:type="dxa"/>
              <w:right w:w="20" w:type="dxa"/>
            </w:tcMar>
            <w:vAlign w:val="center"/>
            <w:hideMark/>
          </w:tcPr>
          <w:p w14:paraId="705EAC76" w14:textId="77777777" w:rsidR="00000000" w:rsidRDefault="00A173A8">
            <w:pPr>
              <w:spacing w:after="100"/>
              <w:divId w:val="354617788"/>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7B0B11BE"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B48EFF"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13DEB8E9" w14:textId="77777777" w:rsidR="00000000" w:rsidRDefault="00A173A8">
            <w:pPr>
              <w:spacing w:after="100"/>
              <w:rPr>
                <w:rFonts w:eastAsia="Times New Roman"/>
                <w:sz w:val="20"/>
                <w:szCs w:val="20"/>
              </w:rPr>
            </w:pPr>
          </w:p>
        </w:tc>
        <w:tc>
          <w:tcPr>
            <w:tcW w:w="0" w:type="auto"/>
            <w:gridSpan w:val="5"/>
            <w:tcBorders>
              <w:top w:val="double" w:sz="6" w:space="0" w:color="000000"/>
            </w:tcBorders>
            <w:shd w:val="clear" w:color="auto" w:fill="FFFFFF"/>
            <w:tcMar>
              <w:top w:w="0" w:type="dxa"/>
              <w:left w:w="20" w:type="dxa"/>
              <w:bottom w:w="0" w:type="dxa"/>
              <w:right w:w="20" w:type="dxa"/>
            </w:tcMar>
            <w:vAlign w:val="center"/>
            <w:hideMark/>
          </w:tcPr>
          <w:p w14:paraId="6268884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3FF5A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3BF47C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309346"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8ECE4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8D5310" w14:textId="77777777" w:rsidR="00000000" w:rsidRDefault="00A173A8">
            <w:pPr>
              <w:spacing w:after="100"/>
              <w:rPr>
                <w:rFonts w:eastAsia="Times New Roman"/>
                <w:sz w:val="20"/>
                <w:szCs w:val="20"/>
              </w:rPr>
            </w:pPr>
          </w:p>
        </w:tc>
        <w:tc>
          <w:tcPr>
            <w:tcW w:w="0" w:type="auto"/>
            <w:gridSpan w:val="6"/>
            <w:tcBorders>
              <w:top w:val="double" w:sz="6" w:space="0" w:color="000000"/>
            </w:tcBorders>
            <w:shd w:val="clear" w:color="auto" w:fill="FFFFFF"/>
            <w:tcMar>
              <w:top w:w="0" w:type="dxa"/>
              <w:left w:w="20" w:type="dxa"/>
              <w:bottom w:w="0" w:type="dxa"/>
              <w:right w:w="20" w:type="dxa"/>
            </w:tcMar>
            <w:vAlign w:val="center"/>
            <w:hideMark/>
          </w:tcPr>
          <w:p w14:paraId="13B866A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46E658"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EFF70F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9EB4DD"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B8D4E0A" w14:textId="77777777" w:rsidR="00000000" w:rsidRDefault="00A173A8">
            <w:pPr>
              <w:spacing w:after="100"/>
              <w:rPr>
                <w:rFonts w:eastAsia="Times New Roman"/>
                <w:sz w:val="20"/>
                <w:szCs w:val="20"/>
              </w:rPr>
            </w:pPr>
          </w:p>
        </w:tc>
      </w:tr>
      <w:tr w:rsidR="00000000" w14:paraId="31C8148B" w14:textId="77777777">
        <w:trPr>
          <w:gridAfter w:val="2"/>
          <w:divId w:val="895235803"/>
        </w:trPr>
        <w:tc>
          <w:tcPr>
            <w:tcW w:w="0" w:type="auto"/>
            <w:gridSpan w:val="4"/>
            <w:shd w:val="clear" w:color="auto" w:fill="CCEEFF"/>
            <w:tcMar>
              <w:top w:w="30" w:type="dxa"/>
              <w:left w:w="20" w:type="dxa"/>
              <w:bottom w:w="30" w:type="dxa"/>
              <w:right w:w="20" w:type="dxa"/>
            </w:tcMar>
            <w:vAlign w:val="center"/>
            <w:hideMark/>
          </w:tcPr>
          <w:p w14:paraId="54FFBE8E" w14:textId="77777777" w:rsidR="00000000" w:rsidRDefault="00A173A8">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723E221A"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AF3B73"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1889C4B" w14:textId="77777777" w:rsidR="00000000" w:rsidRDefault="00A173A8">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50E0CA3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A086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E042C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6DFE4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C159B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9B8C7C" w14:textId="77777777" w:rsidR="00000000" w:rsidRDefault="00A173A8">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3F69441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6523E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1F4C0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B5879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1F3884" w14:textId="77777777" w:rsidR="00000000" w:rsidRDefault="00A173A8">
            <w:pPr>
              <w:spacing w:after="100"/>
              <w:rPr>
                <w:rFonts w:eastAsia="Times New Roman"/>
                <w:sz w:val="20"/>
                <w:szCs w:val="20"/>
              </w:rPr>
            </w:pPr>
          </w:p>
        </w:tc>
      </w:tr>
      <w:tr w:rsidR="00A173A8" w14:paraId="19B93B9F" w14:textId="77777777">
        <w:trPr>
          <w:gridAfter w:val="2"/>
          <w:divId w:val="895235803"/>
        </w:trPr>
        <w:tc>
          <w:tcPr>
            <w:tcW w:w="0" w:type="auto"/>
            <w:gridSpan w:val="4"/>
            <w:shd w:val="clear" w:color="auto" w:fill="FFFFFF"/>
            <w:tcMar>
              <w:top w:w="30" w:type="dxa"/>
              <w:left w:w="245" w:type="dxa"/>
              <w:bottom w:w="30" w:type="dxa"/>
              <w:right w:w="20" w:type="dxa"/>
            </w:tcMar>
            <w:vAlign w:val="center"/>
            <w:hideMark/>
          </w:tcPr>
          <w:p w14:paraId="63C8E43F" w14:textId="77777777" w:rsidR="00000000" w:rsidRDefault="00A173A8">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2CE9373B"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9F88CF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F444129" w14:textId="77777777" w:rsidR="00000000" w:rsidRDefault="00A173A8">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84978A"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1B6543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C9759B"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5DB19AE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90FA8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E78F4B"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70F4F6"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7722FA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9A4D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DC31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82ADA9"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94D17D8" w14:textId="77777777" w:rsidR="00000000" w:rsidRDefault="00A173A8">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987F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4FF24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0EDA6C"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70DE3D65" w14:textId="77777777" w:rsidR="00000000" w:rsidRDefault="00A173A8">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8E635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A1C87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94D12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F27AC8B" w14:textId="77777777" w:rsidR="00000000" w:rsidRDefault="00A173A8">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1303E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9594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32167D"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095874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72E49C" w14:textId="77777777" w:rsidR="00000000" w:rsidRDefault="00A173A8">
            <w:pPr>
              <w:spacing w:after="100"/>
              <w:jc w:val="right"/>
              <w:rPr>
                <w:rFonts w:eastAsia="Times New Roman"/>
              </w:rPr>
            </w:pPr>
          </w:p>
        </w:tc>
      </w:tr>
      <w:tr w:rsidR="00000000" w14:paraId="3FCE073A" w14:textId="77777777">
        <w:trPr>
          <w:gridAfter w:val="2"/>
          <w:divId w:val="895235803"/>
        </w:trPr>
        <w:tc>
          <w:tcPr>
            <w:tcW w:w="0" w:type="auto"/>
            <w:gridSpan w:val="4"/>
            <w:shd w:val="clear" w:color="auto" w:fill="CCEEFF"/>
            <w:tcMar>
              <w:top w:w="30" w:type="dxa"/>
              <w:left w:w="245" w:type="dxa"/>
              <w:bottom w:w="30" w:type="dxa"/>
              <w:right w:w="20" w:type="dxa"/>
            </w:tcMar>
            <w:vAlign w:val="center"/>
            <w:hideMark/>
          </w:tcPr>
          <w:p w14:paraId="7230FB7B" w14:textId="77777777" w:rsidR="00000000" w:rsidRDefault="00A173A8">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5C2C8AC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D4E01E" w14:textId="77777777" w:rsidR="00000000" w:rsidRDefault="00A173A8">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A6A0FD"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B7AC553"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2FF102E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0A2F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BA7C0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34EEA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B3B1B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6874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70DD5F" w14:textId="77777777" w:rsidR="00000000" w:rsidRDefault="00A173A8">
            <w:pPr>
              <w:spacing w:after="100"/>
              <w:jc w:val="right"/>
              <w:rPr>
                <w:rFonts w:eastAsia="Times New Roman"/>
              </w:rPr>
            </w:pPr>
            <w:r>
              <w:rPr>
                <w:rFonts w:eastAsia="Times New Roman"/>
                <w:b/>
                <w:bCs/>
                <w:color w:val="000000"/>
                <w:sz w:val="18"/>
                <w:szCs w:val="18"/>
              </w:rPr>
              <w:t>(73)</w:t>
            </w:r>
          </w:p>
        </w:tc>
        <w:tc>
          <w:tcPr>
            <w:tcW w:w="0" w:type="auto"/>
            <w:shd w:val="clear" w:color="auto" w:fill="CCEEFF"/>
            <w:tcMar>
              <w:top w:w="30" w:type="dxa"/>
              <w:left w:w="0" w:type="dxa"/>
              <w:bottom w:w="30" w:type="dxa"/>
              <w:right w:w="20" w:type="dxa"/>
            </w:tcMar>
            <w:vAlign w:val="bottom"/>
            <w:hideMark/>
          </w:tcPr>
          <w:p w14:paraId="10E98E4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3407B"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76CDABF6" w14:textId="77777777" w:rsidR="00000000" w:rsidRDefault="00A173A8">
            <w:pPr>
              <w:spacing w:after="100"/>
              <w:jc w:val="right"/>
              <w:rPr>
                <w:rFonts w:eastAsia="Times New Roman"/>
              </w:rPr>
            </w:pPr>
            <w:r>
              <w:rPr>
                <w:rFonts w:eastAsia="Times New Roman"/>
                <w:b/>
                <w:bCs/>
                <w:color w:val="000000"/>
                <w:sz w:val="18"/>
                <w:szCs w:val="18"/>
              </w:rPr>
              <w:t>(119)</w:t>
            </w:r>
          </w:p>
        </w:tc>
        <w:tc>
          <w:tcPr>
            <w:tcW w:w="0" w:type="auto"/>
            <w:shd w:val="clear" w:color="auto" w:fill="CCEEFF"/>
            <w:tcMar>
              <w:top w:w="30" w:type="dxa"/>
              <w:left w:w="0" w:type="dxa"/>
              <w:bottom w:w="30" w:type="dxa"/>
              <w:right w:w="20" w:type="dxa"/>
            </w:tcMar>
            <w:vAlign w:val="bottom"/>
            <w:hideMark/>
          </w:tcPr>
          <w:p w14:paraId="4B4AF12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3527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4EA600" w14:textId="77777777" w:rsidR="00000000" w:rsidRDefault="00A173A8">
            <w:pPr>
              <w:spacing w:after="100"/>
              <w:jc w:val="right"/>
              <w:rPr>
                <w:rFonts w:eastAsia="Times New Roman"/>
              </w:rPr>
            </w:pPr>
            <w:r>
              <w:rPr>
                <w:rFonts w:eastAsia="Times New Roman"/>
                <w:b/>
                <w:bCs/>
                <w:color w:val="000000"/>
                <w:sz w:val="18"/>
                <w:szCs w:val="18"/>
              </w:rPr>
              <w:t>(376)</w:t>
            </w:r>
          </w:p>
        </w:tc>
        <w:tc>
          <w:tcPr>
            <w:tcW w:w="0" w:type="auto"/>
            <w:shd w:val="clear" w:color="auto" w:fill="CCEEFF"/>
            <w:tcMar>
              <w:top w:w="30" w:type="dxa"/>
              <w:left w:w="0" w:type="dxa"/>
              <w:bottom w:w="30" w:type="dxa"/>
              <w:right w:w="20" w:type="dxa"/>
            </w:tcMar>
            <w:vAlign w:val="bottom"/>
            <w:hideMark/>
          </w:tcPr>
          <w:p w14:paraId="6143058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37B00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681DC2" w14:textId="77777777" w:rsidR="00000000" w:rsidRDefault="00A173A8">
            <w:pPr>
              <w:spacing w:after="100"/>
              <w:jc w:val="right"/>
              <w:rPr>
                <w:rFonts w:eastAsia="Times New Roman"/>
              </w:rPr>
            </w:pPr>
            <w:r>
              <w:rPr>
                <w:rFonts w:eastAsia="Times New Roman"/>
                <w:b/>
                <w:bCs/>
                <w:color w:val="000000"/>
                <w:sz w:val="18"/>
                <w:szCs w:val="18"/>
              </w:rPr>
              <w:t>(74)</w:t>
            </w:r>
          </w:p>
        </w:tc>
        <w:tc>
          <w:tcPr>
            <w:tcW w:w="0" w:type="auto"/>
            <w:shd w:val="clear" w:color="auto" w:fill="CCEEFF"/>
            <w:tcMar>
              <w:top w:w="30" w:type="dxa"/>
              <w:left w:w="0" w:type="dxa"/>
              <w:bottom w:w="30" w:type="dxa"/>
              <w:right w:w="20" w:type="dxa"/>
            </w:tcMar>
            <w:vAlign w:val="bottom"/>
            <w:hideMark/>
          </w:tcPr>
          <w:p w14:paraId="374A7DEF" w14:textId="77777777" w:rsidR="00000000" w:rsidRDefault="00A173A8">
            <w:pPr>
              <w:spacing w:after="100"/>
              <w:jc w:val="right"/>
              <w:rPr>
                <w:rFonts w:eastAsia="Times New Roman"/>
              </w:rPr>
            </w:pPr>
          </w:p>
        </w:tc>
      </w:tr>
      <w:tr w:rsidR="00000000" w14:paraId="25F07FF6" w14:textId="77777777">
        <w:trPr>
          <w:gridAfter w:val="2"/>
          <w:divId w:val="895235803"/>
        </w:trPr>
        <w:tc>
          <w:tcPr>
            <w:tcW w:w="0" w:type="auto"/>
            <w:gridSpan w:val="4"/>
            <w:shd w:val="clear" w:color="auto" w:fill="FFFFFF"/>
            <w:tcMar>
              <w:top w:w="30" w:type="dxa"/>
              <w:left w:w="20" w:type="dxa"/>
              <w:bottom w:w="30" w:type="dxa"/>
              <w:right w:w="20" w:type="dxa"/>
            </w:tcMar>
            <w:vAlign w:val="center"/>
            <w:hideMark/>
          </w:tcPr>
          <w:p w14:paraId="5DF807E5" w14:textId="77777777" w:rsidR="00000000" w:rsidRDefault="00A173A8">
            <w:pPr>
              <w:spacing w:after="100"/>
              <w:divId w:val="41053226"/>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F53D58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326C43" w14:textId="77777777" w:rsidR="00000000" w:rsidRDefault="00A173A8">
            <w:pPr>
              <w:spacing w:after="100"/>
              <w:jc w:val="right"/>
              <w:rPr>
                <w:rFonts w:eastAsia="Times New Roman"/>
              </w:rPr>
            </w:pPr>
            <w:r>
              <w:rPr>
                <w:rFonts w:eastAsia="Times New Roman"/>
                <w:b/>
                <w:bCs/>
                <w:color w:val="000000"/>
                <w:sz w:val="18"/>
                <w:szCs w:val="18"/>
              </w:rPr>
              <w:t>(61)</w:t>
            </w:r>
          </w:p>
        </w:tc>
        <w:tc>
          <w:tcPr>
            <w:tcW w:w="0" w:type="auto"/>
            <w:shd w:val="clear" w:color="auto" w:fill="FFFFFF"/>
            <w:tcMar>
              <w:top w:w="30" w:type="dxa"/>
              <w:left w:w="0" w:type="dxa"/>
              <w:bottom w:w="30" w:type="dxa"/>
              <w:right w:w="20" w:type="dxa"/>
            </w:tcMar>
            <w:vAlign w:val="bottom"/>
            <w:hideMark/>
          </w:tcPr>
          <w:p w14:paraId="0F701B3D"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AD19EEB"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36CA7A3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BF1F1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198FE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B247C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7802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66E4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C092D9" w14:textId="77777777" w:rsidR="00000000" w:rsidRDefault="00A173A8">
            <w:pPr>
              <w:spacing w:after="100"/>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ECE638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CC0914"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54852D77" w14:textId="77777777" w:rsidR="00000000" w:rsidRDefault="00A173A8">
            <w:pPr>
              <w:spacing w:after="100"/>
              <w:jc w:val="right"/>
              <w:rPr>
                <w:rFonts w:eastAsia="Times New Roman"/>
              </w:rPr>
            </w:pPr>
            <w:r>
              <w:rPr>
                <w:rFonts w:eastAsia="Times New Roman"/>
                <w:b/>
                <w:bCs/>
                <w:color w:val="000000"/>
                <w:sz w:val="18"/>
                <w:szCs w:val="18"/>
              </w:rPr>
              <w:t>120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42E08F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1AEAA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A923B2" w14:textId="77777777" w:rsidR="00000000" w:rsidRDefault="00A173A8">
            <w:pPr>
              <w:spacing w:after="100"/>
              <w:jc w:val="right"/>
              <w:rPr>
                <w:rFonts w:eastAsia="Times New Roman"/>
              </w:rPr>
            </w:pPr>
            <w:r>
              <w:rPr>
                <w:rFonts w:eastAsia="Times New Roman"/>
                <w:b/>
                <w:bCs/>
                <w:color w:val="000000"/>
                <w:sz w:val="18"/>
                <w:szCs w:val="18"/>
              </w:rPr>
              <w:t>413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7CB36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23BD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EDC88C" w14:textId="77777777" w:rsidR="00000000" w:rsidRDefault="00A173A8">
            <w:pPr>
              <w:spacing w:after="100"/>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3373DB" w14:textId="77777777" w:rsidR="00000000" w:rsidRDefault="00A173A8">
            <w:pPr>
              <w:spacing w:after="100"/>
              <w:jc w:val="right"/>
              <w:rPr>
                <w:rFonts w:eastAsia="Times New Roman"/>
              </w:rPr>
            </w:pPr>
          </w:p>
        </w:tc>
      </w:tr>
      <w:tr w:rsidR="00000000" w14:paraId="18DF1C73" w14:textId="77777777">
        <w:trPr>
          <w:gridAfter w:val="2"/>
          <w:divId w:val="895235803"/>
        </w:trPr>
        <w:tc>
          <w:tcPr>
            <w:tcW w:w="0" w:type="auto"/>
            <w:gridSpan w:val="4"/>
            <w:shd w:val="clear" w:color="auto" w:fill="CCEEFF"/>
            <w:tcMar>
              <w:top w:w="30" w:type="dxa"/>
              <w:left w:w="20" w:type="dxa"/>
              <w:bottom w:w="30" w:type="dxa"/>
              <w:right w:w="20" w:type="dxa"/>
            </w:tcMar>
            <w:vAlign w:val="center"/>
            <w:hideMark/>
          </w:tcPr>
          <w:p w14:paraId="1669CD52" w14:textId="77777777" w:rsidR="00000000" w:rsidRDefault="00A173A8">
            <w:pPr>
              <w:spacing w:after="100"/>
              <w:divId w:val="935670330"/>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3F68B2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45DC4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72103D6"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89CF35E"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68315A0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589D0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E175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22957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1CBB6F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35F97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F3F3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19E33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2FCACB"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2839E9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E6806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53CC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89194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89B65D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E2FD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9EED7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B084F82" w14:textId="77777777" w:rsidR="00000000" w:rsidRDefault="00A173A8">
            <w:pPr>
              <w:spacing w:after="100"/>
              <w:jc w:val="right"/>
              <w:rPr>
                <w:rFonts w:eastAsia="Times New Roman"/>
              </w:rPr>
            </w:pPr>
          </w:p>
        </w:tc>
      </w:tr>
      <w:tr w:rsidR="00A173A8" w14:paraId="218BD314" w14:textId="77777777">
        <w:trPr>
          <w:gridAfter w:val="2"/>
          <w:divId w:val="895235803"/>
        </w:trPr>
        <w:tc>
          <w:tcPr>
            <w:tcW w:w="0" w:type="auto"/>
            <w:gridSpan w:val="4"/>
            <w:shd w:val="clear" w:color="auto" w:fill="FFFFFF"/>
            <w:tcMar>
              <w:top w:w="30" w:type="dxa"/>
              <w:left w:w="20" w:type="dxa"/>
              <w:bottom w:w="30" w:type="dxa"/>
              <w:right w:w="20" w:type="dxa"/>
            </w:tcMar>
            <w:vAlign w:val="center"/>
            <w:hideMark/>
          </w:tcPr>
          <w:p w14:paraId="425322AC" w14:textId="77777777" w:rsidR="00000000" w:rsidRDefault="00A173A8">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0A65F17C"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EDE31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2D8FF1" w14:textId="77777777" w:rsidR="00000000" w:rsidRDefault="00A173A8">
            <w:pPr>
              <w:spacing w:after="100"/>
              <w:jc w:val="right"/>
              <w:rPr>
                <w:rFonts w:eastAsia="Times New Roman"/>
              </w:rPr>
            </w:pPr>
            <w:r>
              <w:rPr>
                <w:rFonts w:eastAsia="Times New Roman"/>
                <w:b/>
                <w:bCs/>
                <w:color w:val="000000"/>
                <w:sz w:val="18"/>
                <w:szCs w:val="18"/>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F7FF4B"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309CBE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E0D0E3"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FFFFFF"/>
            <w:tcMar>
              <w:top w:w="30" w:type="dxa"/>
              <w:left w:w="0" w:type="dxa"/>
              <w:bottom w:w="30" w:type="dxa"/>
              <w:right w:w="0" w:type="dxa"/>
            </w:tcMar>
            <w:vAlign w:val="bottom"/>
            <w:hideMark/>
          </w:tcPr>
          <w:p w14:paraId="00BA582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D39E4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C4E7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0BA29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69F54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F30D3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DE25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F0559C"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10F1C7" w14:textId="77777777" w:rsidR="00000000" w:rsidRDefault="00A173A8">
            <w:pPr>
              <w:spacing w:after="100"/>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182A4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1B78A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5EF9C37"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tcBorders>
            <w:shd w:val="clear" w:color="auto" w:fill="FFFFFF"/>
            <w:tcMar>
              <w:top w:w="30" w:type="dxa"/>
              <w:left w:w="0" w:type="dxa"/>
              <w:bottom w:w="30" w:type="dxa"/>
              <w:right w:w="0" w:type="dxa"/>
            </w:tcMar>
            <w:vAlign w:val="bottom"/>
            <w:hideMark/>
          </w:tcPr>
          <w:p w14:paraId="3448E11E" w14:textId="77777777" w:rsidR="00000000" w:rsidRDefault="00A173A8">
            <w:pPr>
              <w:spacing w:after="100"/>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F10E6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2120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399DF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6E9C6C" w14:textId="77777777" w:rsidR="00000000" w:rsidRDefault="00A173A8">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73A6F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A03E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D3FC5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384B6EC"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6A7EB6" w14:textId="77777777" w:rsidR="00000000" w:rsidRDefault="00A173A8">
            <w:pPr>
              <w:spacing w:after="100"/>
              <w:jc w:val="right"/>
              <w:rPr>
                <w:rFonts w:eastAsia="Times New Roman"/>
              </w:rPr>
            </w:pPr>
          </w:p>
        </w:tc>
      </w:tr>
      <w:tr w:rsidR="00000000" w14:paraId="0D7A3C85" w14:textId="77777777">
        <w:tblPrEx>
          <w:tblW w:w="4992" w:type="pct"/>
          <w:jc w:val="center"/>
        </w:tblPrEx>
        <w:trPr>
          <w:jc w:val="center"/>
        </w:trPr>
        <w:tc>
          <w:tcPr>
            <w:tcW w:w="50" w:type="pct"/>
            <w:gridSpan w:val="2"/>
            <w:vAlign w:val="center"/>
            <w:hideMark/>
          </w:tcPr>
          <w:p w14:paraId="0C2D5A45" w14:textId="77777777" w:rsidR="00000000" w:rsidRDefault="00A173A8">
            <w:pPr>
              <w:jc w:val="both"/>
              <w:rPr>
                <w:rFonts w:eastAsia="Times New Roman"/>
              </w:rPr>
            </w:pPr>
          </w:p>
        </w:tc>
        <w:tc>
          <w:tcPr>
            <w:tcW w:w="1606" w:type="pct"/>
            <w:gridSpan w:val="10"/>
            <w:vAlign w:val="center"/>
            <w:hideMark/>
          </w:tcPr>
          <w:p w14:paraId="42ECBECA" w14:textId="77777777" w:rsidR="00000000" w:rsidRDefault="00A173A8">
            <w:pPr>
              <w:spacing w:after="100"/>
              <w:rPr>
                <w:rFonts w:eastAsia="Times New Roman"/>
                <w:sz w:val="20"/>
                <w:szCs w:val="20"/>
              </w:rPr>
            </w:pPr>
          </w:p>
        </w:tc>
        <w:tc>
          <w:tcPr>
            <w:tcW w:w="5" w:type="pct"/>
            <w:gridSpan w:val="3"/>
            <w:vAlign w:val="center"/>
            <w:hideMark/>
          </w:tcPr>
          <w:p w14:paraId="0F602E4B" w14:textId="77777777" w:rsidR="00000000" w:rsidRDefault="00A173A8">
            <w:pPr>
              <w:spacing w:after="100"/>
              <w:rPr>
                <w:rFonts w:eastAsia="Times New Roman"/>
                <w:sz w:val="20"/>
                <w:szCs w:val="20"/>
              </w:rPr>
            </w:pPr>
          </w:p>
        </w:tc>
        <w:tc>
          <w:tcPr>
            <w:tcW w:w="50" w:type="pct"/>
            <w:gridSpan w:val="2"/>
            <w:vAlign w:val="center"/>
            <w:hideMark/>
          </w:tcPr>
          <w:p w14:paraId="77DC9DBA" w14:textId="77777777" w:rsidR="00000000" w:rsidRDefault="00A173A8">
            <w:pPr>
              <w:spacing w:after="100"/>
              <w:rPr>
                <w:rFonts w:eastAsia="Times New Roman"/>
                <w:sz w:val="20"/>
                <w:szCs w:val="20"/>
              </w:rPr>
            </w:pPr>
          </w:p>
        </w:tc>
        <w:tc>
          <w:tcPr>
            <w:tcW w:w="1614" w:type="pct"/>
            <w:gridSpan w:val="19"/>
            <w:vAlign w:val="center"/>
            <w:hideMark/>
          </w:tcPr>
          <w:p w14:paraId="659BE865" w14:textId="77777777" w:rsidR="00000000" w:rsidRDefault="00A173A8">
            <w:pPr>
              <w:spacing w:after="100"/>
              <w:rPr>
                <w:rFonts w:eastAsia="Times New Roman"/>
                <w:sz w:val="20"/>
                <w:szCs w:val="20"/>
              </w:rPr>
            </w:pPr>
          </w:p>
        </w:tc>
        <w:tc>
          <w:tcPr>
            <w:tcW w:w="5" w:type="pct"/>
            <w:vAlign w:val="center"/>
            <w:hideMark/>
          </w:tcPr>
          <w:p w14:paraId="292F6666" w14:textId="77777777" w:rsidR="00000000" w:rsidRDefault="00A173A8">
            <w:pPr>
              <w:spacing w:after="100"/>
              <w:rPr>
                <w:rFonts w:eastAsia="Times New Roman"/>
                <w:sz w:val="20"/>
                <w:szCs w:val="20"/>
              </w:rPr>
            </w:pPr>
          </w:p>
        </w:tc>
        <w:tc>
          <w:tcPr>
            <w:tcW w:w="50" w:type="pct"/>
            <w:vAlign w:val="center"/>
            <w:hideMark/>
          </w:tcPr>
          <w:p w14:paraId="1A782CA0" w14:textId="77777777" w:rsidR="00000000" w:rsidRDefault="00A173A8">
            <w:pPr>
              <w:spacing w:after="100"/>
              <w:rPr>
                <w:rFonts w:eastAsia="Times New Roman"/>
                <w:sz w:val="20"/>
                <w:szCs w:val="20"/>
              </w:rPr>
            </w:pPr>
          </w:p>
        </w:tc>
        <w:tc>
          <w:tcPr>
            <w:tcW w:w="1614" w:type="pct"/>
            <w:gridSpan w:val="15"/>
            <w:vAlign w:val="center"/>
            <w:hideMark/>
          </w:tcPr>
          <w:p w14:paraId="0F54BA3D" w14:textId="77777777" w:rsidR="00000000" w:rsidRDefault="00A173A8">
            <w:pPr>
              <w:spacing w:after="100"/>
              <w:rPr>
                <w:rFonts w:eastAsia="Times New Roman"/>
                <w:sz w:val="20"/>
                <w:szCs w:val="20"/>
              </w:rPr>
            </w:pPr>
          </w:p>
        </w:tc>
        <w:tc>
          <w:tcPr>
            <w:tcW w:w="5" w:type="pct"/>
            <w:vAlign w:val="center"/>
            <w:hideMark/>
          </w:tcPr>
          <w:p w14:paraId="40796DE8" w14:textId="77777777" w:rsidR="00000000" w:rsidRDefault="00A173A8">
            <w:pPr>
              <w:spacing w:after="100"/>
              <w:rPr>
                <w:rFonts w:eastAsia="Times New Roman"/>
                <w:sz w:val="20"/>
                <w:szCs w:val="20"/>
              </w:rPr>
            </w:pPr>
          </w:p>
        </w:tc>
      </w:tr>
      <w:tr w:rsidR="00000000" w14:paraId="646A7F57" w14:textId="77777777">
        <w:tblPrEx>
          <w:tblW w:w="4992" w:type="pct"/>
          <w:jc w:val="center"/>
        </w:tblPrEx>
        <w:trPr>
          <w:trHeight w:val="300"/>
          <w:jc w:val="center"/>
        </w:trPr>
        <w:tc>
          <w:tcPr>
            <w:tcW w:w="0" w:type="auto"/>
            <w:gridSpan w:val="54"/>
            <w:tcMar>
              <w:top w:w="0" w:type="dxa"/>
              <w:left w:w="20" w:type="dxa"/>
              <w:bottom w:w="0" w:type="dxa"/>
              <w:right w:w="20" w:type="dxa"/>
            </w:tcMar>
            <w:vAlign w:val="center"/>
            <w:hideMark/>
          </w:tcPr>
          <w:p w14:paraId="257068A0" w14:textId="77777777" w:rsidR="00000000" w:rsidRDefault="00A173A8">
            <w:pPr>
              <w:spacing w:after="100"/>
              <w:rPr>
                <w:rFonts w:eastAsia="Times New Roman"/>
                <w:sz w:val="20"/>
                <w:szCs w:val="20"/>
              </w:rPr>
            </w:pPr>
          </w:p>
        </w:tc>
      </w:tr>
      <w:tr w:rsidR="00000000" w14:paraId="3E7CA565" w14:textId="77777777">
        <w:tblPrEx>
          <w:tblW w:w="4992" w:type="pct"/>
          <w:jc w:val="center"/>
        </w:tblPrEx>
        <w:trPr>
          <w:jc w:val="center"/>
        </w:trPr>
        <w:tc>
          <w:tcPr>
            <w:tcW w:w="0" w:type="auto"/>
            <w:gridSpan w:val="15"/>
            <w:tcMar>
              <w:top w:w="0" w:type="dxa"/>
              <w:left w:w="20" w:type="dxa"/>
              <w:bottom w:w="0" w:type="dxa"/>
              <w:right w:w="20" w:type="dxa"/>
            </w:tcMar>
            <w:vAlign w:val="center"/>
            <w:hideMark/>
          </w:tcPr>
          <w:p w14:paraId="64A415CE" w14:textId="77777777" w:rsidR="00000000" w:rsidRDefault="00A173A8">
            <w:pPr>
              <w:spacing w:after="100"/>
              <w:rPr>
                <w:rFonts w:eastAsia="Times New Roman"/>
                <w:sz w:val="20"/>
                <w:szCs w:val="20"/>
              </w:rPr>
            </w:pPr>
          </w:p>
        </w:tc>
        <w:tc>
          <w:tcPr>
            <w:tcW w:w="0" w:type="auto"/>
            <w:gridSpan w:val="22"/>
            <w:tcMar>
              <w:top w:w="30" w:type="dxa"/>
              <w:left w:w="20" w:type="dxa"/>
              <w:bottom w:w="30" w:type="dxa"/>
              <w:right w:w="20" w:type="dxa"/>
            </w:tcMar>
            <w:vAlign w:val="bottom"/>
            <w:hideMark/>
          </w:tcPr>
          <w:p w14:paraId="05E55A94" w14:textId="77777777" w:rsidR="00000000" w:rsidRDefault="00A173A8">
            <w:pPr>
              <w:spacing w:after="100"/>
              <w:jc w:val="center"/>
              <w:rPr>
                <w:rFonts w:eastAsia="Times New Roman"/>
              </w:rPr>
            </w:pPr>
            <w:r>
              <w:rPr>
                <w:rFonts w:eastAsia="Times New Roman"/>
                <w:color w:val="000000"/>
                <w:sz w:val="16"/>
                <w:szCs w:val="16"/>
              </w:rPr>
              <w:t>97</w:t>
            </w:r>
          </w:p>
        </w:tc>
        <w:tc>
          <w:tcPr>
            <w:tcW w:w="0" w:type="auto"/>
            <w:gridSpan w:val="17"/>
            <w:tcMar>
              <w:top w:w="30" w:type="dxa"/>
              <w:left w:w="20" w:type="dxa"/>
              <w:bottom w:w="30" w:type="dxa"/>
              <w:right w:w="20" w:type="dxa"/>
            </w:tcMar>
            <w:vAlign w:val="bottom"/>
            <w:hideMark/>
          </w:tcPr>
          <w:p w14:paraId="4AD091F8"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EE1E669" w14:textId="77777777" w:rsidR="00000000" w:rsidRDefault="00A173A8">
      <w:pPr>
        <w:rPr>
          <w:rFonts w:eastAsia="Times New Roman"/>
        </w:rPr>
      </w:pPr>
      <w:r>
        <w:rPr>
          <w:rFonts w:eastAsia="Times New Roman"/>
        </w:rPr>
        <w:pict w14:anchorId="31F3EF54">
          <v:rect id="_x0000_i1122" style="width:0;height:1.5pt" o:hralign="center" o:hrstd="t" o:hr="t" fillcolor="#a0a0a0" stroked="f"/>
        </w:pict>
      </w:r>
    </w:p>
    <w:p w14:paraId="4B51385D" w14:textId="77777777" w:rsidR="00000000" w:rsidRDefault="00A173A8">
      <w:pPr>
        <w:jc w:val="both"/>
        <w:divId w:val="897740381"/>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
        <w:gridCol w:w="90"/>
        <w:gridCol w:w="1609"/>
        <w:gridCol w:w="37"/>
        <w:gridCol w:w="36"/>
        <w:gridCol w:w="36"/>
        <w:gridCol w:w="36"/>
        <w:gridCol w:w="48"/>
        <w:gridCol w:w="63"/>
        <w:gridCol w:w="81"/>
        <w:gridCol w:w="144"/>
        <w:gridCol w:w="144"/>
        <w:gridCol w:w="144"/>
        <w:gridCol w:w="144"/>
        <w:gridCol w:w="63"/>
        <w:gridCol w:w="36"/>
        <w:gridCol w:w="36"/>
        <w:gridCol w:w="36"/>
        <w:gridCol w:w="36"/>
        <w:gridCol w:w="111"/>
        <w:gridCol w:w="452"/>
        <w:gridCol w:w="144"/>
        <w:gridCol w:w="29"/>
        <w:gridCol w:w="36"/>
        <w:gridCol w:w="36"/>
        <w:gridCol w:w="36"/>
        <w:gridCol w:w="7"/>
        <w:gridCol w:w="29"/>
        <w:gridCol w:w="111"/>
        <w:gridCol w:w="4"/>
        <w:gridCol w:w="144"/>
        <w:gridCol w:w="144"/>
        <w:gridCol w:w="324"/>
        <w:gridCol w:w="36"/>
        <w:gridCol w:w="36"/>
        <w:gridCol w:w="36"/>
        <w:gridCol w:w="36"/>
        <w:gridCol w:w="111"/>
        <w:gridCol w:w="191"/>
        <w:gridCol w:w="144"/>
        <w:gridCol w:w="144"/>
        <w:gridCol w:w="144"/>
        <w:gridCol w:w="23"/>
        <w:gridCol w:w="36"/>
        <w:gridCol w:w="36"/>
        <w:gridCol w:w="36"/>
        <w:gridCol w:w="13"/>
        <w:gridCol w:w="23"/>
        <w:gridCol w:w="111"/>
        <w:gridCol w:w="10"/>
        <w:gridCol w:w="733"/>
        <w:gridCol w:w="36"/>
        <w:gridCol w:w="1"/>
        <w:gridCol w:w="35"/>
        <w:gridCol w:w="36"/>
        <w:gridCol w:w="36"/>
        <w:gridCol w:w="37"/>
        <w:gridCol w:w="74"/>
        <w:gridCol w:w="70"/>
        <w:gridCol w:w="144"/>
        <w:gridCol w:w="144"/>
        <w:gridCol w:w="144"/>
        <w:gridCol w:w="369"/>
        <w:gridCol w:w="36"/>
        <w:gridCol w:w="36"/>
        <w:gridCol w:w="36"/>
        <w:gridCol w:w="36"/>
        <w:gridCol w:w="111"/>
        <w:gridCol w:w="146"/>
        <w:gridCol w:w="144"/>
        <w:gridCol w:w="144"/>
        <w:gridCol w:w="76"/>
        <w:gridCol w:w="36"/>
        <w:gridCol w:w="32"/>
        <w:gridCol w:w="144"/>
        <w:gridCol w:w="144"/>
        <w:gridCol w:w="770"/>
        <w:gridCol w:w="144"/>
        <w:gridCol w:w="144"/>
        <w:gridCol w:w="144"/>
        <w:gridCol w:w="144"/>
        <w:gridCol w:w="144"/>
        <w:gridCol w:w="770"/>
        <w:gridCol w:w="144"/>
        <w:gridCol w:w="144"/>
        <w:gridCol w:w="144"/>
        <w:gridCol w:w="144"/>
        <w:gridCol w:w="144"/>
        <w:gridCol w:w="722"/>
        <w:gridCol w:w="144"/>
      </w:tblGrid>
      <w:tr w:rsidR="00000000" w14:paraId="0A982D9B" w14:textId="77777777">
        <w:trPr>
          <w:gridAfter w:val="17"/>
          <w:divId w:val="1900437902"/>
        </w:trPr>
        <w:tc>
          <w:tcPr>
            <w:tcW w:w="50" w:type="pct"/>
            <w:vAlign w:val="center"/>
            <w:hideMark/>
          </w:tcPr>
          <w:p w14:paraId="05EC290C" w14:textId="77777777" w:rsidR="00000000" w:rsidRDefault="00A173A8">
            <w:pPr>
              <w:jc w:val="both"/>
              <w:rPr>
                <w:rFonts w:eastAsia="Times New Roman"/>
              </w:rPr>
            </w:pPr>
          </w:p>
        </w:tc>
        <w:tc>
          <w:tcPr>
            <w:tcW w:w="1085" w:type="pct"/>
            <w:gridSpan w:val="2"/>
            <w:vAlign w:val="center"/>
            <w:hideMark/>
          </w:tcPr>
          <w:p w14:paraId="4FEF5BFE" w14:textId="77777777" w:rsidR="00000000" w:rsidRDefault="00A173A8">
            <w:pPr>
              <w:spacing w:after="100"/>
              <w:rPr>
                <w:rFonts w:eastAsia="Times New Roman"/>
                <w:sz w:val="20"/>
                <w:szCs w:val="20"/>
              </w:rPr>
            </w:pPr>
          </w:p>
        </w:tc>
        <w:tc>
          <w:tcPr>
            <w:tcW w:w="5" w:type="pct"/>
            <w:vAlign w:val="center"/>
            <w:hideMark/>
          </w:tcPr>
          <w:p w14:paraId="2CA906AD" w14:textId="77777777" w:rsidR="00000000" w:rsidRDefault="00A173A8">
            <w:pPr>
              <w:spacing w:after="100"/>
              <w:rPr>
                <w:rFonts w:eastAsia="Times New Roman"/>
                <w:sz w:val="20"/>
                <w:szCs w:val="20"/>
              </w:rPr>
            </w:pPr>
          </w:p>
        </w:tc>
        <w:tc>
          <w:tcPr>
            <w:tcW w:w="5" w:type="pct"/>
            <w:vAlign w:val="center"/>
            <w:hideMark/>
          </w:tcPr>
          <w:p w14:paraId="6B71E7CC" w14:textId="77777777" w:rsidR="00000000" w:rsidRDefault="00A173A8">
            <w:pPr>
              <w:spacing w:after="100"/>
              <w:rPr>
                <w:rFonts w:eastAsia="Times New Roman"/>
                <w:sz w:val="20"/>
                <w:szCs w:val="20"/>
              </w:rPr>
            </w:pPr>
          </w:p>
        </w:tc>
        <w:tc>
          <w:tcPr>
            <w:tcW w:w="26" w:type="pct"/>
            <w:vAlign w:val="center"/>
            <w:hideMark/>
          </w:tcPr>
          <w:p w14:paraId="0BD66BDB" w14:textId="77777777" w:rsidR="00000000" w:rsidRDefault="00A173A8">
            <w:pPr>
              <w:spacing w:after="100"/>
              <w:rPr>
                <w:rFonts w:eastAsia="Times New Roman"/>
                <w:sz w:val="20"/>
                <w:szCs w:val="20"/>
              </w:rPr>
            </w:pPr>
          </w:p>
        </w:tc>
        <w:tc>
          <w:tcPr>
            <w:tcW w:w="5" w:type="pct"/>
            <w:vAlign w:val="center"/>
            <w:hideMark/>
          </w:tcPr>
          <w:p w14:paraId="3BF47605" w14:textId="77777777" w:rsidR="00000000" w:rsidRDefault="00A173A8">
            <w:pPr>
              <w:spacing w:after="100"/>
              <w:rPr>
                <w:rFonts w:eastAsia="Times New Roman"/>
                <w:sz w:val="20"/>
                <w:szCs w:val="20"/>
              </w:rPr>
            </w:pPr>
          </w:p>
        </w:tc>
        <w:tc>
          <w:tcPr>
            <w:tcW w:w="50" w:type="pct"/>
            <w:gridSpan w:val="2"/>
            <w:vAlign w:val="center"/>
            <w:hideMark/>
          </w:tcPr>
          <w:p w14:paraId="2C605FE8" w14:textId="77777777" w:rsidR="00000000" w:rsidRDefault="00A173A8">
            <w:pPr>
              <w:spacing w:after="100"/>
              <w:rPr>
                <w:rFonts w:eastAsia="Times New Roman"/>
                <w:sz w:val="20"/>
                <w:szCs w:val="20"/>
              </w:rPr>
            </w:pPr>
          </w:p>
        </w:tc>
        <w:tc>
          <w:tcPr>
            <w:tcW w:w="464" w:type="pct"/>
            <w:gridSpan w:val="6"/>
            <w:vAlign w:val="center"/>
            <w:hideMark/>
          </w:tcPr>
          <w:p w14:paraId="084C02B4" w14:textId="77777777" w:rsidR="00000000" w:rsidRDefault="00A173A8">
            <w:pPr>
              <w:spacing w:after="100"/>
              <w:rPr>
                <w:rFonts w:eastAsia="Times New Roman"/>
                <w:sz w:val="20"/>
                <w:szCs w:val="20"/>
              </w:rPr>
            </w:pPr>
          </w:p>
        </w:tc>
        <w:tc>
          <w:tcPr>
            <w:tcW w:w="5" w:type="pct"/>
            <w:vAlign w:val="center"/>
            <w:hideMark/>
          </w:tcPr>
          <w:p w14:paraId="67106870" w14:textId="77777777" w:rsidR="00000000" w:rsidRDefault="00A173A8">
            <w:pPr>
              <w:spacing w:after="100"/>
              <w:rPr>
                <w:rFonts w:eastAsia="Times New Roman"/>
                <w:sz w:val="20"/>
                <w:szCs w:val="20"/>
              </w:rPr>
            </w:pPr>
          </w:p>
        </w:tc>
        <w:tc>
          <w:tcPr>
            <w:tcW w:w="5" w:type="pct"/>
            <w:vAlign w:val="center"/>
            <w:hideMark/>
          </w:tcPr>
          <w:p w14:paraId="7B83819A" w14:textId="77777777" w:rsidR="00000000" w:rsidRDefault="00A173A8">
            <w:pPr>
              <w:spacing w:after="100"/>
              <w:rPr>
                <w:rFonts w:eastAsia="Times New Roman"/>
                <w:sz w:val="20"/>
                <w:szCs w:val="20"/>
              </w:rPr>
            </w:pPr>
          </w:p>
        </w:tc>
        <w:tc>
          <w:tcPr>
            <w:tcW w:w="26" w:type="pct"/>
            <w:vAlign w:val="center"/>
            <w:hideMark/>
          </w:tcPr>
          <w:p w14:paraId="7F0FE6E1" w14:textId="77777777" w:rsidR="00000000" w:rsidRDefault="00A173A8">
            <w:pPr>
              <w:spacing w:after="100"/>
              <w:rPr>
                <w:rFonts w:eastAsia="Times New Roman"/>
                <w:sz w:val="20"/>
                <w:szCs w:val="20"/>
              </w:rPr>
            </w:pPr>
          </w:p>
        </w:tc>
        <w:tc>
          <w:tcPr>
            <w:tcW w:w="5" w:type="pct"/>
            <w:vAlign w:val="center"/>
            <w:hideMark/>
          </w:tcPr>
          <w:p w14:paraId="20194259" w14:textId="77777777" w:rsidR="00000000" w:rsidRDefault="00A173A8">
            <w:pPr>
              <w:spacing w:after="100"/>
              <w:rPr>
                <w:rFonts w:eastAsia="Times New Roman"/>
                <w:sz w:val="20"/>
                <w:szCs w:val="20"/>
              </w:rPr>
            </w:pPr>
          </w:p>
        </w:tc>
        <w:tc>
          <w:tcPr>
            <w:tcW w:w="50" w:type="pct"/>
            <w:vAlign w:val="center"/>
            <w:hideMark/>
          </w:tcPr>
          <w:p w14:paraId="04130682" w14:textId="77777777" w:rsidR="00000000" w:rsidRDefault="00A173A8">
            <w:pPr>
              <w:spacing w:after="100"/>
              <w:rPr>
                <w:rFonts w:eastAsia="Times New Roman"/>
                <w:sz w:val="20"/>
                <w:szCs w:val="20"/>
              </w:rPr>
            </w:pPr>
          </w:p>
        </w:tc>
        <w:tc>
          <w:tcPr>
            <w:tcW w:w="464" w:type="pct"/>
            <w:gridSpan w:val="3"/>
            <w:vAlign w:val="center"/>
            <w:hideMark/>
          </w:tcPr>
          <w:p w14:paraId="68ED6937" w14:textId="77777777" w:rsidR="00000000" w:rsidRDefault="00A173A8">
            <w:pPr>
              <w:spacing w:after="100"/>
              <w:rPr>
                <w:rFonts w:eastAsia="Times New Roman"/>
                <w:sz w:val="20"/>
                <w:szCs w:val="20"/>
              </w:rPr>
            </w:pPr>
          </w:p>
        </w:tc>
        <w:tc>
          <w:tcPr>
            <w:tcW w:w="5" w:type="pct"/>
            <w:vAlign w:val="center"/>
            <w:hideMark/>
          </w:tcPr>
          <w:p w14:paraId="76EA4176" w14:textId="77777777" w:rsidR="00000000" w:rsidRDefault="00A173A8">
            <w:pPr>
              <w:spacing w:after="100"/>
              <w:rPr>
                <w:rFonts w:eastAsia="Times New Roman"/>
                <w:sz w:val="20"/>
                <w:szCs w:val="20"/>
              </w:rPr>
            </w:pPr>
          </w:p>
        </w:tc>
        <w:tc>
          <w:tcPr>
            <w:tcW w:w="5" w:type="pct"/>
            <w:vAlign w:val="center"/>
            <w:hideMark/>
          </w:tcPr>
          <w:p w14:paraId="13DE4DF2" w14:textId="77777777" w:rsidR="00000000" w:rsidRDefault="00A173A8">
            <w:pPr>
              <w:spacing w:after="100"/>
              <w:rPr>
                <w:rFonts w:eastAsia="Times New Roman"/>
                <w:sz w:val="20"/>
                <w:szCs w:val="20"/>
              </w:rPr>
            </w:pPr>
          </w:p>
        </w:tc>
        <w:tc>
          <w:tcPr>
            <w:tcW w:w="26" w:type="pct"/>
            <w:vAlign w:val="center"/>
            <w:hideMark/>
          </w:tcPr>
          <w:p w14:paraId="5260FCFA" w14:textId="77777777" w:rsidR="00000000" w:rsidRDefault="00A173A8">
            <w:pPr>
              <w:spacing w:after="100"/>
              <w:rPr>
                <w:rFonts w:eastAsia="Times New Roman"/>
                <w:sz w:val="20"/>
                <w:szCs w:val="20"/>
              </w:rPr>
            </w:pPr>
          </w:p>
        </w:tc>
        <w:tc>
          <w:tcPr>
            <w:tcW w:w="5" w:type="pct"/>
            <w:gridSpan w:val="2"/>
            <w:vAlign w:val="center"/>
            <w:hideMark/>
          </w:tcPr>
          <w:p w14:paraId="6DD5E845" w14:textId="77777777" w:rsidR="00000000" w:rsidRDefault="00A173A8">
            <w:pPr>
              <w:spacing w:after="100"/>
              <w:rPr>
                <w:rFonts w:eastAsia="Times New Roman"/>
                <w:sz w:val="20"/>
                <w:szCs w:val="20"/>
              </w:rPr>
            </w:pPr>
          </w:p>
        </w:tc>
        <w:tc>
          <w:tcPr>
            <w:tcW w:w="50" w:type="pct"/>
            <w:vAlign w:val="center"/>
            <w:hideMark/>
          </w:tcPr>
          <w:p w14:paraId="423C9D05" w14:textId="77777777" w:rsidR="00000000" w:rsidRDefault="00A173A8">
            <w:pPr>
              <w:spacing w:after="100"/>
              <w:rPr>
                <w:rFonts w:eastAsia="Times New Roman"/>
                <w:sz w:val="20"/>
                <w:szCs w:val="20"/>
              </w:rPr>
            </w:pPr>
          </w:p>
        </w:tc>
        <w:tc>
          <w:tcPr>
            <w:tcW w:w="464" w:type="pct"/>
            <w:gridSpan w:val="4"/>
            <w:vAlign w:val="center"/>
            <w:hideMark/>
          </w:tcPr>
          <w:p w14:paraId="2A60AFB2" w14:textId="77777777" w:rsidR="00000000" w:rsidRDefault="00A173A8">
            <w:pPr>
              <w:spacing w:after="100"/>
              <w:rPr>
                <w:rFonts w:eastAsia="Times New Roman"/>
                <w:sz w:val="20"/>
                <w:szCs w:val="20"/>
              </w:rPr>
            </w:pPr>
          </w:p>
        </w:tc>
        <w:tc>
          <w:tcPr>
            <w:tcW w:w="5" w:type="pct"/>
            <w:vAlign w:val="center"/>
            <w:hideMark/>
          </w:tcPr>
          <w:p w14:paraId="5A410233" w14:textId="77777777" w:rsidR="00000000" w:rsidRDefault="00A173A8">
            <w:pPr>
              <w:spacing w:after="100"/>
              <w:rPr>
                <w:rFonts w:eastAsia="Times New Roman"/>
                <w:sz w:val="20"/>
                <w:szCs w:val="20"/>
              </w:rPr>
            </w:pPr>
          </w:p>
        </w:tc>
        <w:tc>
          <w:tcPr>
            <w:tcW w:w="5" w:type="pct"/>
            <w:vAlign w:val="center"/>
            <w:hideMark/>
          </w:tcPr>
          <w:p w14:paraId="0AFE43C2" w14:textId="77777777" w:rsidR="00000000" w:rsidRDefault="00A173A8">
            <w:pPr>
              <w:spacing w:after="100"/>
              <w:rPr>
                <w:rFonts w:eastAsia="Times New Roman"/>
                <w:sz w:val="20"/>
                <w:szCs w:val="20"/>
              </w:rPr>
            </w:pPr>
          </w:p>
        </w:tc>
        <w:tc>
          <w:tcPr>
            <w:tcW w:w="26" w:type="pct"/>
            <w:vAlign w:val="center"/>
            <w:hideMark/>
          </w:tcPr>
          <w:p w14:paraId="577A2C29" w14:textId="77777777" w:rsidR="00000000" w:rsidRDefault="00A173A8">
            <w:pPr>
              <w:spacing w:after="100"/>
              <w:rPr>
                <w:rFonts w:eastAsia="Times New Roman"/>
                <w:sz w:val="20"/>
                <w:szCs w:val="20"/>
              </w:rPr>
            </w:pPr>
          </w:p>
        </w:tc>
        <w:tc>
          <w:tcPr>
            <w:tcW w:w="5" w:type="pct"/>
            <w:vAlign w:val="center"/>
            <w:hideMark/>
          </w:tcPr>
          <w:p w14:paraId="04FD1410" w14:textId="77777777" w:rsidR="00000000" w:rsidRDefault="00A173A8">
            <w:pPr>
              <w:spacing w:after="100"/>
              <w:rPr>
                <w:rFonts w:eastAsia="Times New Roman"/>
                <w:sz w:val="20"/>
                <w:szCs w:val="20"/>
              </w:rPr>
            </w:pPr>
          </w:p>
        </w:tc>
        <w:tc>
          <w:tcPr>
            <w:tcW w:w="50" w:type="pct"/>
            <w:vAlign w:val="center"/>
            <w:hideMark/>
          </w:tcPr>
          <w:p w14:paraId="7BF76441" w14:textId="77777777" w:rsidR="00000000" w:rsidRDefault="00A173A8">
            <w:pPr>
              <w:spacing w:after="100"/>
              <w:rPr>
                <w:rFonts w:eastAsia="Times New Roman"/>
                <w:sz w:val="20"/>
                <w:szCs w:val="20"/>
              </w:rPr>
            </w:pPr>
          </w:p>
        </w:tc>
        <w:tc>
          <w:tcPr>
            <w:tcW w:w="464" w:type="pct"/>
            <w:gridSpan w:val="5"/>
            <w:vAlign w:val="center"/>
            <w:hideMark/>
          </w:tcPr>
          <w:p w14:paraId="5CCE0587" w14:textId="77777777" w:rsidR="00000000" w:rsidRDefault="00A173A8">
            <w:pPr>
              <w:spacing w:after="100"/>
              <w:rPr>
                <w:rFonts w:eastAsia="Times New Roman"/>
                <w:sz w:val="20"/>
                <w:szCs w:val="20"/>
              </w:rPr>
            </w:pPr>
          </w:p>
        </w:tc>
        <w:tc>
          <w:tcPr>
            <w:tcW w:w="5" w:type="pct"/>
            <w:vAlign w:val="center"/>
            <w:hideMark/>
          </w:tcPr>
          <w:p w14:paraId="66B6E5E1" w14:textId="77777777" w:rsidR="00000000" w:rsidRDefault="00A173A8">
            <w:pPr>
              <w:spacing w:after="100"/>
              <w:rPr>
                <w:rFonts w:eastAsia="Times New Roman"/>
                <w:sz w:val="20"/>
                <w:szCs w:val="20"/>
              </w:rPr>
            </w:pPr>
          </w:p>
        </w:tc>
        <w:tc>
          <w:tcPr>
            <w:tcW w:w="5" w:type="pct"/>
            <w:vAlign w:val="center"/>
            <w:hideMark/>
          </w:tcPr>
          <w:p w14:paraId="119DE0C7" w14:textId="77777777" w:rsidR="00000000" w:rsidRDefault="00A173A8">
            <w:pPr>
              <w:spacing w:after="100"/>
              <w:rPr>
                <w:rFonts w:eastAsia="Times New Roman"/>
                <w:sz w:val="20"/>
                <w:szCs w:val="20"/>
              </w:rPr>
            </w:pPr>
          </w:p>
        </w:tc>
        <w:tc>
          <w:tcPr>
            <w:tcW w:w="26" w:type="pct"/>
            <w:vAlign w:val="center"/>
            <w:hideMark/>
          </w:tcPr>
          <w:p w14:paraId="70C4E551" w14:textId="77777777" w:rsidR="00000000" w:rsidRDefault="00A173A8">
            <w:pPr>
              <w:spacing w:after="100"/>
              <w:rPr>
                <w:rFonts w:eastAsia="Times New Roman"/>
                <w:sz w:val="20"/>
                <w:szCs w:val="20"/>
              </w:rPr>
            </w:pPr>
          </w:p>
        </w:tc>
        <w:tc>
          <w:tcPr>
            <w:tcW w:w="5" w:type="pct"/>
            <w:gridSpan w:val="2"/>
            <w:vAlign w:val="center"/>
            <w:hideMark/>
          </w:tcPr>
          <w:p w14:paraId="4C9E4904" w14:textId="77777777" w:rsidR="00000000" w:rsidRDefault="00A173A8">
            <w:pPr>
              <w:spacing w:after="100"/>
              <w:rPr>
                <w:rFonts w:eastAsia="Times New Roman"/>
                <w:sz w:val="20"/>
                <w:szCs w:val="20"/>
              </w:rPr>
            </w:pPr>
          </w:p>
        </w:tc>
        <w:tc>
          <w:tcPr>
            <w:tcW w:w="50" w:type="pct"/>
            <w:vAlign w:val="center"/>
            <w:hideMark/>
          </w:tcPr>
          <w:p w14:paraId="6F63EA34" w14:textId="77777777" w:rsidR="00000000" w:rsidRDefault="00A173A8">
            <w:pPr>
              <w:spacing w:after="100"/>
              <w:rPr>
                <w:rFonts w:eastAsia="Times New Roman"/>
                <w:sz w:val="20"/>
                <w:szCs w:val="20"/>
              </w:rPr>
            </w:pPr>
          </w:p>
        </w:tc>
        <w:tc>
          <w:tcPr>
            <w:tcW w:w="464" w:type="pct"/>
            <w:gridSpan w:val="2"/>
            <w:vAlign w:val="center"/>
            <w:hideMark/>
          </w:tcPr>
          <w:p w14:paraId="671CBF3B" w14:textId="77777777" w:rsidR="00000000" w:rsidRDefault="00A173A8">
            <w:pPr>
              <w:spacing w:after="100"/>
              <w:rPr>
                <w:rFonts w:eastAsia="Times New Roman"/>
                <w:sz w:val="20"/>
                <w:szCs w:val="20"/>
              </w:rPr>
            </w:pPr>
          </w:p>
        </w:tc>
        <w:tc>
          <w:tcPr>
            <w:tcW w:w="5" w:type="pct"/>
            <w:vAlign w:val="center"/>
            <w:hideMark/>
          </w:tcPr>
          <w:p w14:paraId="54E11B77" w14:textId="77777777" w:rsidR="00000000" w:rsidRDefault="00A173A8">
            <w:pPr>
              <w:spacing w:after="100"/>
              <w:rPr>
                <w:rFonts w:eastAsia="Times New Roman"/>
                <w:sz w:val="20"/>
                <w:szCs w:val="20"/>
              </w:rPr>
            </w:pPr>
          </w:p>
        </w:tc>
        <w:tc>
          <w:tcPr>
            <w:tcW w:w="5" w:type="pct"/>
            <w:gridSpan w:val="2"/>
            <w:vAlign w:val="center"/>
            <w:hideMark/>
          </w:tcPr>
          <w:p w14:paraId="5AE786AF" w14:textId="77777777" w:rsidR="00000000" w:rsidRDefault="00A173A8">
            <w:pPr>
              <w:spacing w:after="100"/>
              <w:rPr>
                <w:rFonts w:eastAsia="Times New Roman"/>
                <w:sz w:val="20"/>
                <w:szCs w:val="20"/>
              </w:rPr>
            </w:pPr>
          </w:p>
        </w:tc>
        <w:tc>
          <w:tcPr>
            <w:tcW w:w="26" w:type="pct"/>
            <w:vAlign w:val="center"/>
            <w:hideMark/>
          </w:tcPr>
          <w:p w14:paraId="7F26DB56" w14:textId="77777777" w:rsidR="00000000" w:rsidRDefault="00A173A8">
            <w:pPr>
              <w:spacing w:after="100"/>
              <w:rPr>
                <w:rFonts w:eastAsia="Times New Roman"/>
                <w:sz w:val="20"/>
                <w:szCs w:val="20"/>
              </w:rPr>
            </w:pPr>
          </w:p>
        </w:tc>
        <w:tc>
          <w:tcPr>
            <w:tcW w:w="5" w:type="pct"/>
            <w:vAlign w:val="center"/>
            <w:hideMark/>
          </w:tcPr>
          <w:p w14:paraId="10B96470" w14:textId="77777777" w:rsidR="00000000" w:rsidRDefault="00A173A8">
            <w:pPr>
              <w:spacing w:after="100"/>
              <w:rPr>
                <w:rFonts w:eastAsia="Times New Roman"/>
                <w:sz w:val="20"/>
                <w:szCs w:val="20"/>
              </w:rPr>
            </w:pPr>
          </w:p>
        </w:tc>
        <w:tc>
          <w:tcPr>
            <w:tcW w:w="50" w:type="pct"/>
            <w:gridSpan w:val="2"/>
            <w:vAlign w:val="center"/>
            <w:hideMark/>
          </w:tcPr>
          <w:p w14:paraId="334EC945" w14:textId="77777777" w:rsidR="00000000" w:rsidRDefault="00A173A8">
            <w:pPr>
              <w:spacing w:after="100"/>
              <w:rPr>
                <w:rFonts w:eastAsia="Times New Roman"/>
                <w:sz w:val="20"/>
                <w:szCs w:val="20"/>
              </w:rPr>
            </w:pPr>
          </w:p>
        </w:tc>
        <w:tc>
          <w:tcPr>
            <w:tcW w:w="464" w:type="pct"/>
            <w:gridSpan w:val="5"/>
            <w:vAlign w:val="center"/>
            <w:hideMark/>
          </w:tcPr>
          <w:p w14:paraId="708C38D3" w14:textId="77777777" w:rsidR="00000000" w:rsidRDefault="00A173A8">
            <w:pPr>
              <w:spacing w:after="100"/>
              <w:rPr>
                <w:rFonts w:eastAsia="Times New Roman"/>
                <w:sz w:val="20"/>
                <w:szCs w:val="20"/>
              </w:rPr>
            </w:pPr>
          </w:p>
        </w:tc>
        <w:tc>
          <w:tcPr>
            <w:tcW w:w="5" w:type="pct"/>
            <w:vAlign w:val="center"/>
            <w:hideMark/>
          </w:tcPr>
          <w:p w14:paraId="4E6CF1E9" w14:textId="77777777" w:rsidR="00000000" w:rsidRDefault="00A173A8">
            <w:pPr>
              <w:spacing w:after="100"/>
              <w:rPr>
                <w:rFonts w:eastAsia="Times New Roman"/>
                <w:sz w:val="20"/>
                <w:szCs w:val="20"/>
              </w:rPr>
            </w:pPr>
          </w:p>
        </w:tc>
        <w:tc>
          <w:tcPr>
            <w:tcW w:w="5" w:type="pct"/>
            <w:vAlign w:val="center"/>
            <w:hideMark/>
          </w:tcPr>
          <w:p w14:paraId="448949D7" w14:textId="77777777" w:rsidR="00000000" w:rsidRDefault="00A173A8">
            <w:pPr>
              <w:spacing w:after="100"/>
              <w:rPr>
                <w:rFonts w:eastAsia="Times New Roman"/>
                <w:sz w:val="20"/>
                <w:szCs w:val="20"/>
              </w:rPr>
            </w:pPr>
          </w:p>
        </w:tc>
        <w:tc>
          <w:tcPr>
            <w:tcW w:w="26" w:type="pct"/>
            <w:vAlign w:val="center"/>
            <w:hideMark/>
          </w:tcPr>
          <w:p w14:paraId="61E2A0E9" w14:textId="77777777" w:rsidR="00000000" w:rsidRDefault="00A173A8">
            <w:pPr>
              <w:spacing w:after="100"/>
              <w:rPr>
                <w:rFonts w:eastAsia="Times New Roman"/>
                <w:sz w:val="20"/>
                <w:szCs w:val="20"/>
              </w:rPr>
            </w:pPr>
          </w:p>
        </w:tc>
        <w:tc>
          <w:tcPr>
            <w:tcW w:w="5" w:type="pct"/>
            <w:vAlign w:val="center"/>
            <w:hideMark/>
          </w:tcPr>
          <w:p w14:paraId="4E43E263" w14:textId="77777777" w:rsidR="00000000" w:rsidRDefault="00A173A8">
            <w:pPr>
              <w:spacing w:after="100"/>
              <w:rPr>
                <w:rFonts w:eastAsia="Times New Roman"/>
                <w:sz w:val="20"/>
                <w:szCs w:val="20"/>
              </w:rPr>
            </w:pPr>
          </w:p>
        </w:tc>
        <w:tc>
          <w:tcPr>
            <w:tcW w:w="50" w:type="pct"/>
            <w:vAlign w:val="center"/>
            <w:hideMark/>
          </w:tcPr>
          <w:p w14:paraId="1D50BE58" w14:textId="77777777" w:rsidR="00000000" w:rsidRDefault="00A173A8">
            <w:pPr>
              <w:spacing w:after="100"/>
              <w:rPr>
                <w:rFonts w:eastAsia="Times New Roman"/>
                <w:sz w:val="20"/>
                <w:szCs w:val="20"/>
              </w:rPr>
            </w:pPr>
          </w:p>
        </w:tc>
        <w:tc>
          <w:tcPr>
            <w:tcW w:w="435" w:type="pct"/>
            <w:gridSpan w:val="4"/>
            <w:vAlign w:val="center"/>
            <w:hideMark/>
          </w:tcPr>
          <w:p w14:paraId="3DA2E94C" w14:textId="77777777" w:rsidR="00000000" w:rsidRDefault="00A173A8">
            <w:pPr>
              <w:spacing w:after="100"/>
              <w:rPr>
                <w:rFonts w:eastAsia="Times New Roman"/>
                <w:sz w:val="20"/>
                <w:szCs w:val="20"/>
              </w:rPr>
            </w:pPr>
          </w:p>
        </w:tc>
        <w:tc>
          <w:tcPr>
            <w:tcW w:w="5" w:type="pct"/>
            <w:vAlign w:val="center"/>
            <w:hideMark/>
          </w:tcPr>
          <w:p w14:paraId="2DDCCC59" w14:textId="77777777" w:rsidR="00000000" w:rsidRDefault="00A173A8">
            <w:pPr>
              <w:spacing w:after="100"/>
              <w:rPr>
                <w:rFonts w:eastAsia="Times New Roman"/>
                <w:sz w:val="20"/>
                <w:szCs w:val="20"/>
              </w:rPr>
            </w:pPr>
          </w:p>
        </w:tc>
      </w:tr>
      <w:tr w:rsidR="00000000" w14:paraId="3878F412" w14:textId="77777777">
        <w:trPr>
          <w:gridAfter w:val="17"/>
          <w:divId w:val="1900437902"/>
        </w:trPr>
        <w:tc>
          <w:tcPr>
            <w:tcW w:w="0" w:type="auto"/>
            <w:gridSpan w:val="4"/>
            <w:tcMar>
              <w:top w:w="0" w:type="dxa"/>
              <w:left w:w="20" w:type="dxa"/>
              <w:bottom w:w="0" w:type="dxa"/>
              <w:right w:w="20" w:type="dxa"/>
            </w:tcMar>
            <w:vAlign w:val="center"/>
            <w:hideMark/>
          </w:tcPr>
          <w:p w14:paraId="0B1A3A6D"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401409" w14:textId="77777777" w:rsidR="00000000" w:rsidRDefault="00A173A8">
            <w:pPr>
              <w:spacing w:after="100"/>
              <w:rPr>
                <w:rFonts w:eastAsia="Times New Roman"/>
                <w:sz w:val="20"/>
                <w:szCs w:val="20"/>
              </w:rPr>
            </w:pPr>
          </w:p>
        </w:tc>
        <w:tc>
          <w:tcPr>
            <w:tcW w:w="0" w:type="auto"/>
            <w:gridSpan w:val="66"/>
            <w:tcMar>
              <w:top w:w="30" w:type="dxa"/>
              <w:left w:w="20" w:type="dxa"/>
              <w:bottom w:w="30" w:type="dxa"/>
              <w:right w:w="20" w:type="dxa"/>
            </w:tcMar>
            <w:vAlign w:val="bottom"/>
            <w:hideMark/>
          </w:tcPr>
          <w:p w14:paraId="1D4D45BC" w14:textId="77777777" w:rsidR="00000000" w:rsidRDefault="00A173A8">
            <w:pPr>
              <w:spacing w:after="100"/>
              <w:jc w:val="center"/>
              <w:rPr>
                <w:rFonts w:eastAsia="Times New Roman"/>
              </w:rPr>
            </w:pPr>
            <w:r>
              <w:rPr>
                <w:rFonts w:eastAsia="Times New Roman"/>
                <w:b/>
                <w:bCs/>
                <w:color w:val="000000"/>
                <w:sz w:val="16"/>
                <w:szCs w:val="16"/>
              </w:rPr>
              <w:t>Three Months Ended June 30, 2022</w:t>
            </w:r>
          </w:p>
        </w:tc>
      </w:tr>
      <w:tr w:rsidR="00000000" w14:paraId="79B27260" w14:textId="77777777">
        <w:trPr>
          <w:gridAfter w:val="17"/>
          <w:divId w:val="1900437902"/>
        </w:trPr>
        <w:tc>
          <w:tcPr>
            <w:tcW w:w="0" w:type="auto"/>
            <w:gridSpan w:val="4"/>
            <w:tcMar>
              <w:top w:w="0" w:type="dxa"/>
              <w:left w:w="20" w:type="dxa"/>
              <w:bottom w:w="0" w:type="dxa"/>
              <w:right w:w="20" w:type="dxa"/>
            </w:tcMar>
            <w:vAlign w:val="center"/>
            <w:hideMark/>
          </w:tcPr>
          <w:p w14:paraId="133827EA"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C5FF986" w14:textId="77777777" w:rsidR="00000000" w:rsidRDefault="00A173A8">
            <w:pPr>
              <w:spacing w:after="100"/>
              <w:rPr>
                <w:rFonts w:eastAsia="Times New Roman"/>
                <w:sz w:val="20"/>
                <w:szCs w:val="20"/>
              </w:rPr>
            </w:pPr>
          </w:p>
        </w:tc>
        <w:tc>
          <w:tcPr>
            <w:tcW w:w="0" w:type="auto"/>
            <w:gridSpan w:val="57"/>
            <w:tcBorders>
              <w:top w:val="single" w:sz="8" w:space="0" w:color="000000"/>
            </w:tcBorders>
            <w:tcMar>
              <w:top w:w="30" w:type="dxa"/>
              <w:left w:w="20" w:type="dxa"/>
              <w:bottom w:w="30" w:type="dxa"/>
              <w:right w:w="20" w:type="dxa"/>
            </w:tcMar>
            <w:vAlign w:val="bottom"/>
            <w:hideMark/>
          </w:tcPr>
          <w:p w14:paraId="38F46864" w14:textId="77777777" w:rsidR="00000000" w:rsidRDefault="00A173A8">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13558E96" w14:textId="77777777" w:rsidR="00000000" w:rsidRDefault="00A173A8">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14:paraId="544BC431" w14:textId="77777777" w:rsidR="00000000" w:rsidRDefault="00A173A8">
            <w:pPr>
              <w:spacing w:after="100"/>
              <w:jc w:val="center"/>
              <w:rPr>
                <w:rFonts w:eastAsia="Times New Roman"/>
              </w:rPr>
            </w:pPr>
            <w:r>
              <w:rPr>
                <w:rFonts w:eastAsia="Times New Roman"/>
                <w:b/>
                <w:bCs/>
                <w:color w:val="000000"/>
                <w:sz w:val="16"/>
                <w:szCs w:val="16"/>
              </w:rPr>
              <w:t>Non-Interest Income</w:t>
            </w:r>
          </w:p>
        </w:tc>
      </w:tr>
      <w:tr w:rsidR="00000000" w14:paraId="2CD415B5" w14:textId="77777777">
        <w:trPr>
          <w:gridAfter w:val="17"/>
          <w:divId w:val="1900437902"/>
        </w:trPr>
        <w:tc>
          <w:tcPr>
            <w:tcW w:w="0" w:type="auto"/>
            <w:gridSpan w:val="4"/>
            <w:tcBorders>
              <w:bottom w:val="single" w:sz="8" w:space="0" w:color="000000"/>
            </w:tcBorders>
            <w:tcMar>
              <w:top w:w="30" w:type="dxa"/>
              <w:left w:w="20" w:type="dxa"/>
              <w:bottom w:w="30" w:type="dxa"/>
              <w:right w:w="20" w:type="dxa"/>
            </w:tcMar>
            <w:vAlign w:val="bottom"/>
            <w:hideMark/>
          </w:tcPr>
          <w:p w14:paraId="4DDAC044"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C0EC00D" w14:textId="77777777" w:rsidR="00000000" w:rsidRDefault="00A173A8">
            <w:pPr>
              <w:spacing w:after="100"/>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14:paraId="3CEA9A46" w14:textId="77777777" w:rsidR="00000000" w:rsidRDefault="00A173A8">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14:paraId="0F2D4A52" w14:textId="77777777" w:rsidR="00000000" w:rsidRDefault="00A173A8">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14:paraId="5788EBED" w14:textId="77777777" w:rsidR="00000000" w:rsidRDefault="00A173A8">
            <w:pPr>
              <w:spacing w:after="100"/>
              <w:jc w:val="center"/>
              <w:rPr>
                <w:rFonts w:eastAsia="Times New Roman"/>
              </w:rPr>
            </w:pPr>
            <w:r>
              <w:rPr>
                <w:rFonts w:eastAsia="Times New Roman"/>
                <w:b/>
                <w:bCs/>
                <w:color w:val="000000"/>
                <w:sz w:val="16"/>
                <w:szCs w:val="16"/>
              </w:rPr>
              <w:t>Loans, Including Loans Held for Sale</w:t>
            </w:r>
          </w:p>
        </w:tc>
        <w:tc>
          <w:tcPr>
            <w:tcW w:w="0" w:type="auto"/>
            <w:gridSpan w:val="4"/>
            <w:tcBorders>
              <w:top w:val="single" w:sz="8" w:space="0" w:color="000000"/>
            </w:tcBorders>
            <w:tcMar>
              <w:top w:w="0" w:type="dxa"/>
              <w:left w:w="20" w:type="dxa"/>
              <w:bottom w:w="0" w:type="dxa"/>
              <w:right w:w="20" w:type="dxa"/>
            </w:tcMar>
            <w:vAlign w:val="center"/>
            <w:hideMark/>
          </w:tcPr>
          <w:p w14:paraId="3ACFCF85" w14:textId="77777777" w:rsidR="00000000" w:rsidRDefault="00A173A8">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14:paraId="5158F4C9" w14:textId="77777777" w:rsidR="00000000" w:rsidRDefault="00A173A8">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5CB3AA32" w14:textId="77777777" w:rsidR="00000000" w:rsidRDefault="00A173A8">
            <w:pPr>
              <w:spacing w:after="100"/>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14:paraId="73951E92" w14:textId="77777777" w:rsidR="00000000" w:rsidRDefault="00A173A8">
            <w:pPr>
              <w:spacing w:after="100"/>
              <w:jc w:val="center"/>
              <w:rPr>
                <w:rFonts w:eastAsia="Times New Roman"/>
              </w:rPr>
            </w:pPr>
            <w:r>
              <w:rPr>
                <w:rFonts w:eastAsia="Times New Roman"/>
                <w:b/>
                <w:bCs/>
                <w:color w:val="000000"/>
                <w:sz w:val="16"/>
                <w:szCs w:val="16"/>
              </w:rPr>
              <w:t>Interest-bearing Deposits</w:t>
            </w:r>
          </w:p>
        </w:tc>
        <w:tc>
          <w:tcPr>
            <w:tcW w:w="0" w:type="auto"/>
            <w:gridSpan w:val="4"/>
            <w:tcBorders>
              <w:top w:val="single" w:sz="8" w:space="0" w:color="000000"/>
            </w:tcBorders>
            <w:tcMar>
              <w:top w:w="0" w:type="dxa"/>
              <w:left w:w="20" w:type="dxa"/>
              <w:bottom w:w="0" w:type="dxa"/>
              <w:right w:w="20" w:type="dxa"/>
            </w:tcMar>
            <w:vAlign w:val="center"/>
            <w:hideMark/>
          </w:tcPr>
          <w:p w14:paraId="3AC2C226" w14:textId="77777777" w:rsidR="00000000" w:rsidRDefault="00A173A8">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14:paraId="5C9EF010" w14:textId="77777777" w:rsidR="00000000" w:rsidRDefault="00A173A8">
            <w:pPr>
              <w:spacing w:after="100"/>
              <w:jc w:val="center"/>
              <w:rPr>
                <w:rFonts w:eastAsia="Times New Roman"/>
              </w:rPr>
            </w:pPr>
            <w:r>
              <w:rPr>
                <w:rFonts w:eastAsia="Times New Roman"/>
                <w:b/>
                <w:bCs/>
                <w:color w:val="000000"/>
                <w:sz w:val="16"/>
                <w:szCs w:val="16"/>
              </w:rPr>
              <w:t>Securitized Debt Obligations</w:t>
            </w:r>
          </w:p>
        </w:tc>
        <w:tc>
          <w:tcPr>
            <w:tcW w:w="0" w:type="auto"/>
            <w:gridSpan w:val="4"/>
            <w:tcBorders>
              <w:top w:val="single" w:sz="8" w:space="0" w:color="000000"/>
            </w:tcBorders>
            <w:tcMar>
              <w:top w:w="0" w:type="dxa"/>
              <w:left w:w="20" w:type="dxa"/>
              <w:bottom w:w="0" w:type="dxa"/>
              <w:right w:w="20" w:type="dxa"/>
            </w:tcMar>
            <w:vAlign w:val="center"/>
            <w:hideMark/>
          </w:tcPr>
          <w:p w14:paraId="586C81DC" w14:textId="77777777" w:rsidR="00000000" w:rsidRDefault="00A173A8">
            <w:pPr>
              <w:spacing w:after="100"/>
              <w:jc w:val="center"/>
              <w:rPr>
                <w:rFonts w:eastAsia="Times New Roman"/>
              </w:rPr>
            </w:pPr>
          </w:p>
        </w:tc>
        <w:tc>
          <w:tcPr>
            <w:tcW w:w="0" w:type="auto"/>
            <w:gridSpan w:val="8"/>
            <w:tcBorders>
              <w:top w:val="single" w:sz="8" w:space="0" w:color="000000"/>
              <w:bottom w:val="single" w:sz="8" w:space="0" w:color="000000"/>
            </w:tcBorders>
            <w:tcMar>
              <w:top w:w="30" w:type="dxa"/>
              <w:left w:w="20" w:type="dxa"/>
              <w:bottom w:w="30" w:type="dxa"/>
              <w:right w:w="20" w:type="dxa"/>
            </w:tcMar>
            <w:vAlign w:val="bottom"/>
            <w:hideMark/>
          </w:tcPr>
          <w:p w14:paraId="55BEABEA" w14:textId="77777777" w:rsidR="00000000" w:rsidRDefault="00A173A8">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0ED6056E" w14:textId="77777777" w:rsidR="00000000" w:rsidRDefault="00A173A8">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14:paraId="439B0322" w14:textId="77777777" w:rsidR="00000000" w:rsidRDefault="00A173A8">
            <w:pPr>
              <w:spacing w:after="100"/>
              <w:jc w:val="center"/>
              <w:rPr>
                <w:rFonts w:eastAsia="Times New Roman"/>
              </w:rPr>
            </w:pPr>
            <w:r>
              <w:rPr>
                <w:rFonts w:eastAsia="Times New Roman"/>
                <w:b/>
                <w:bCs/>
                <w:color w:val="000000"/>
                <w:sz w:val="16"/>
                <w:szCs w:val="16"/>
              </w:rPr>
              <w:t>Other</w:t>
            </w:r>
          </w:p>
        </w:tc>
      </w:tr>
      <w:tr w:rsidR="00000000" w14:paraId="5CA221C5" w14:textId="77777777">
        <w:trPr>
          <w:gridAfter w:val="17"/>
          <w:divId w:val="1900437902"/>
        </w:trPr>
        <w:tc>
          <w:tcPr>
            <w:tcW w:w="0" w:type="auto"/>
            <w:gridSpan w:val="4"/>
            <w:shd w:val="clear" w:color="auto" w:fill="CCEEFF"/>
            <w:tcMar>
              <w:top w:w="30" w:type="dxa"/>
              <w:left w:w="20" w:type="dxa"/>
              <w:bottom w:w="30" w:type="dxa"/>
              <w:right w:w="20" w:type="dxa"/>
            </w:tcMar>
            <w:vAlign w:val="center"/>
            <w:hideMark/>
          </w:tcPr>
          <w:p w14:paraId="5F5178E0" w14:textId="77777777" w:rsidR="00000000" w:rsidRDefault="00A173A8">
            <w:pPr>
              <w:spacing w:after="100"/>
              <w:divId w:val="2082407335"/>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3970516" w14:textId="77777777" w:rsidR="00000000" w:rsidRDefault="00A173A8">
            <w:pPr>
              <w:spacing w:after="100"/>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63AB036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AF0553" w14:textId="77777777" w:rsidR="00000000" w:rsidRDefault="00A173A8">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7F6C18BD"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0FE17D3" w14:textId="77777777" w:rsidR="00000000" w:rsidRDefault="00A173A8">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5EE4DB9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C8CC8E" w14:textId="77777777" w:rsidR="00000000" w:rsidRDefault="00A173A8">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0E5C2CDF"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1320CDB"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823D69E"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1ED59EC" w14:textId="77777777" w:rsidR="00000000" w:rsidRDefault="00A173A8">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599F6EC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68A88C" w14:textId="77777777" w:rsidR="00000000" w:rsidRDefault="00A173A8">
            <w:pPr>
              <w:spacing w:after="100"/>
              <w:rPr>
                <w:rFonts w:eastAsia="Times New Roman"/>
                <w:sz w:val="20"/>
                <w:szCs w:val="20"/>
              </w:rPr>
            </w:pPr>
          </w:p>
        </w:tc>
        <w:tc>
          <w:tcPr>
            <w:tcW w:w="0" w:type="auto"/>
            <w:gridSpan w:val="6"/>
            <w:shd w:val="clear" w:color="auto" w:fill="CCEEFF"/>
            <w:tcMar>
              <w:top w:w="0" w:type="dxa"/>
              <w:left w:w="20" w:type="dxa"/>
              <w:bottom w:w="0" w:type="dxa"/>
              <w:right w:w="20" w:type="dxa"/>
            </w:tcMar>
            <w:vAlign w:val="center"/>
            <w:hideMark/>
          </w:tcPr>
          <w:p w14:paraId="4E16D2CF" w14:textId="77777777" w:rsidR="00000000" w:rsidRDefault="00A173A8">
            <w:pPr>
              <w:spacing w:after="100"/>
              <w:rPr>
                <w:rFonts w:eastAsia="Times New Roman"/>
                <w:sz w:val="20"/>
                <w:szCs w:val="20"/>
              </w:rPr>
            </w:pPr>
          </w:p>
        </w:tc>
      </w:tr>
      <w:tr w:rsidR="00000000" w14:paraId="1F61123A" w14:textId="77777777">
        <w:trPr>
          <w:gridAfter w:val="17"/>
          <w:divId w:val="1900437902"/>
        </w:trPr>
        <w:tc>
          <w:tcPr>
            <w:tcW w:w="0" w:type="auto"/>
            <w:gridSpan w:val="4"/>
            <w:shd w:val="clear" w:color="auto" w:fill="FFFFFF"/>
            <w:tcMar>
              <w:top w:w="30" w:type="dxa"/>
              <w:left w:w="20" w:type="dxa"/>
              <w:bottom w:w="30" w:type="dxa"/>
              <w:right w:w="20" w:type="dxa"/>
            </w:tcMar>
            <w:vAlign w:val="center"/>
            <w:hideMark/>
          </w:tcPr>
          <w:p w14:paraId="52F662D9" w14:textId="77777777" w:rsidR="00000000" w:rsidRDefault="00A173A8">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513B0855" w14:textId="77777777" w:rsidR="00000000" w:rsidRDefault="00A173A8">
            <w:pPr>
              <w:spacing w:after="100"/>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0BB752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893B13" w14:textId="77777777" w:rsidR="00000000" w:rsidRDefault="00A173A8">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35ABF157"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20565B3E" w14:textId="77777777" w:rsidR="00000000" w:rsidRDefault="00A173A8">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2BF71BB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EDF153" w14:textId="77777777" w:rsidR="00000000" w:rsidRDefault="00A173A8">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604FD471"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195E457"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1E65D006"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42EA37BE" w14:textId="77777777" w:rsidR="00000000" w:rsidRDefault="00A173A8">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14:paraId="2E694B6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7E0D3A" w14:textId="77777777" w:rsidR="00000000" w:rsidRDefault="00A173A8">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36CE3201" w14:textId="77777777" w:rsidR="00000000" w:rsidRDefault="00A173A8">
            <w:pPr>
              <w:spacing w:after="100"/>
              <w:rPr>
                <w:rFonts w:eastAsia="Times New Roman"/>
                <w:sz w:val="20"/>
                <w:szCs w:val="20"/>
              </w:rPr>
            </w:pPr>
          </w:p>
        </w:tc>
      </w:tr>
      <w:tr w:rsidR="00A173A8" w14:paraId="47B1F4F3" w14:textId="77777777">
        <w:trPr>
          <w:gridAfter w:val="17"/>
          <w:divId w:val="1900437902"/>
        </w:trPr>
        <w:tc>
          <w:tcPr>
            <w:tcW w:w="0" w:type="auto"/>
            <w:gridSpan w:val="4"/>
            <w:shd w:val="clear" w:color="auto" w:fill="CCEEFF"/>
            <w:tcMar>
              <w:top w:w="30" w:type="dxa"/>
              <w:left w:w="245" w:type="dxa"/>
              <w:bottom w:w="30" w:type="dxa"/>
              <w:right w:w="20" w:type="dxa"/>
            </w:tcMar>
            <w:vAlign w:val="center"/>
            <w:hideMark/>
          </w:tcPr>
          <w:p w14:paraId="6A0507F2" w14:textId="77777777" w:rsidR="00000000" w:rsidRDefault="00A173A8">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14:paraId="5E0EB6B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836DBA"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6"/>
            <w:shd w:val="clear" w:color="auto" w:fill="CCEEFF"/>
            <w:tcMar>
              <w:top w:w="30" w:type="dxa"/>
              <w:left w:w="0" w:type="dxa"/>
              <w:bottom w:w="30" w:type="dxa"/>
              <w:right w:w="0" w:type="dxa"/>
            </w:tcMar>
            <w:vAlign w:val="bottom"/>
            <w:hideMark/>
          </w:tcPr>
          <w:p w14:paraId="4E15791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D2952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115C5"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9CF22B"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bottom"/>
            <w:hideMark/>
          </w:tcPr>
          <w:p w14:paraId="2D034007" w14:textId="77777777" w:rsidR="00000000" w:rsidRDefault="00A173A8">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0BC0F4D"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9A3F71A"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4BA3A6"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bottom"/>
            <w:hideMark/>
          </w:tcPr>
          <w:p w14:paraId="4AD1CCE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ADA8B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E00D8"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E33743"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bottom"/>
            <w:hideMark/>
          </w:tcPr>
          <w:p w14:paraId="54CBC22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E54B6F"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28BAA4E"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114907"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shd w:val="clear" w:color="auto" w:fill="CCEEFF"/>
            <w:tcMar>
              <w:top w:w="30" w:type="dxa"/>
              <w:left w:w="0" w:type="dxa"/>
              <w:bottom w:w="30" w:type="dxa"/>
              <w:right w:w="0" w:type="dxa"/>
            </w:tcMar>
            <w:vAlign w:val="bottom"/>
            <w:hideMark/>
          </w:tcPr>
          <w:p w14:paraId="292B717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2AC35CD"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398B7F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D644F1"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5"/>
            <w:shd w:val="clear" w:color="auto" w:fill="CCEEFF"/>
            <w:tcMar>
              <w:top w:w="30" w:type="dxa"/>
              <w:left w:w="0" w:type="dxa"/>
              <w:bottom w:w="30" w:type="dxa"/>
              <w:right w:w="0" w:type="dxa"/>
            </w:tcMar>
            <w:vAlign w:val="bottom"/>
            <w:hideMark/>
          </w:tcPr>
          <w:p w14:paraId="1B1FA39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D3FA7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BEDC4"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1D1F77"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shd w:val="clear" w:color="auto" w:fill="CCEEFF"/>
            <w:tcMar>
              <w:top w:w="30" w:type="dxa"/>
              <w:left w:w="0" w:type="dxa"/>
              <w:bottom w:w="30" w:type="dxa"/>
              <w:right w:w="0" w:type="dxa"/>
            </w:tcMar>
            <w:vAlign w:val="bottom"/>
            <w:hideMark/>
          </w:tcPr>
          <w:p w14:paraId="504CF8F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3F7E250" w14:textId="77777777" w:rsidR="00000000" w:rsidRDefault="00A173A8">
            <w:pPr>
              <w:spacing w:after="100"/>
              <w:jc w:val="right"/>
              <w:rPr>
                <w:rFonts w:eastAsia="Times New Roman"/>
              </w:rPr>
            </w:pPr>
          </w:p>
        </w:tc>
      </w:tr>
      <w:tr w:rsidR="00000000" w14:paraId="4E9B8E05" w14:textId="77777777">
        <w:trPr>
          <w:gridAfter w:val="17"/>
          <w:divId w:val="1900437902"/>
        </w:trPr>
        <w:tc>
          <w:tcPr>
            <w:tcW w:w="0" w:type="auto"/>
            <w:gridSpan w:val="4"/>
            <w:shd w:val="clear" w:color="auto" w:fill="FFFFFF"/>
            <w:tcMar>
              <w:top w:w="30" w:type="dxa"/>
              <w:left w:w="20" w:type="dxa"/>
              <w:bottom w:w="30" w:type="dxa"/>
              <w:right w:w="20" w:type="dxa"/>
            </w:tcMar>
            <w:vAlign w:val="center"/>
            <w:hideMark/>
          </w:tcPr>
          <w:p w14:paraId="110ED89C" w14:textId="77777777" w:rsidR="00000000" w:rsidRDefault="00A173A8">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01989358" w14:textId="77777777" w:rsidR="00000000" w:rsidRDefault="00A173A8">
            <w:pPr>
              <w:spacing w:after="100"/>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5559530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D45A37" w14:textId="77777777" w:rsidR="00000000" w:rsidRDefault="00A173A8">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1395C746"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740A935B" w14:textId="77777777" w:rsidR="00000000" w:rsidRDefault="00A173A8">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54C3FC7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B995E1" w14:textId="77777777" w:rsidR="00000000" w:rsidRDefault="00A173A8">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53B7D678"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4EAB8BA4"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2618E873"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249A3D66" w14:textId="77777777" w:rsidR="00000000" w:rsidRDefault="00A173A8">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14:paraId="4C323FA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C1D6F2" w14:textId="77777777" w:rsidR="00000000" w:rsidRDefault="00A173A8">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14:paraId="2D5FC87F" w14:textId="77777777" w:rsidR="00000000" w:rsidRDefault="00A173A8">
            <w:pPr>
              <w:spacing w:after="100"/>
              <w:rPr>
                <w:rFonts w:eastAsia="Times New Roman"/>
                <w:sz w:val="20"/>
                <w:szCs w:val="20"/>
              </w:rPr>
            </w:pPr>
          </w:p>
        </w:tc>
      </w:tr>
      <w:tr w:rsidR="00000000" w14:paraId="5E2B941F" w14:textId="77777777">
        <w:trPr>
          <w:gridAfter w:val="17"/>
          <w:divId w:val="1900437902"/>
        </w:trPr>
        <w:tc>
          <w:tcPr>
            <w:tcW w:w="0" w:type="auto"/>
            <w:gridSpan w:val="4"/>
            <w:shd w:val="clear" w:color="auto" w:fill="CCEEFF"/>
            <w:tcMar>
              <w:top w:w="30" w:type="dxa"/>
              <w:left w:w="20" w:type="dxa"/>
              <w:bottom w:w="30" w:type="dxa"/>
              <w:right w:w="20" w:type="dxa"/>
            </w:tcMar>
            <w:vAlign w:val="center"/>
            <w:hideMark/>
          </w:tcPr>
          <w:p w14:paraId="40A44682" w14:textId="77777777" w:rsidR="00000000" w:rsidRDefault="00A173A8">
            <w:pPr>
              <w:spacing w:after="100"/>
              <w:divId w:val="484664824"/>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931CA41" w14:textId="77777777" w:rsidR="00000000" w:rsidRDefault="00A173A8">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0629287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400F7D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322623"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72EDFDE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337EE9"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5987667"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5032B61"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05A3F98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8D9AD"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2EB3CB0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2812EF3"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0F304D4"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360D301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2FA3ADF"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44B13B0D" w14:textId="77777777" w:rsidR="00000000" w:rsidRDefault="00A173A8">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14:paraId="5E334AD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0CB3A9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402A2"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2C35CED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74D5E68" w14:textId="77777777" w:rsidR="00000000" w:rsidRDefault="00A173A8">
            <w:pPr>
              <w:spacing w:after="100"/>
              <w:jc w:val="right"/>
              <w:rPr>
                <w:rFonts w:eastAsia="Times New Roman"/>
              </w:rPr>
            </w:pPr>
          </w:p>
        </w:tc>
      </w:tr>
      <w:tr w:rsidR="00A173A8" w14:paraId="249D0217" w14:textId="77777777">
        <w:trPr>
          <w:gridAfter w:val="17"/>
          <w:divId w:val="1900437902"/>
        </w:trPr>
        <w:tc>
          <w:tcPr>
            <w:tcW w:w="0" w:type="auto"/>
            <w:gridSpan w:val="4"/>
            <w:shd w:val="clear" w:color="auto" w:fill="FFFFFF"/>
            <w:tcMar>
              <w:top w:w="30" w:type="dxa"/>
              <w:left w:w="20" w:type="dxa"/>
              <w:bottom w:w="30" w:type="dxa"/>
              <w:right w:w="20" w:type="dxa"/>
            </w:tcMar>
            <w:vAlign w:val="center"/>
            <w:hideMark/>
          </w:tcPr>
          <w:p w14:paraId="48DE4905" w14:textId="77777777" w:rsidR="00000000" w:rsidRDefault="00A173A8">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12A423E7" w14:textId="77777777" w:rsidR="00000000" w:rsidRDefault="00A173A8">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021BA7"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6"/>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EB9B2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AB03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1D1D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FBC1CD"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46C51E" w14:textId="77777777" w:rsidR="00000000" w:rsidRDefault="00A173A8">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04DC40"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B82609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C126F3"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000FCC"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6ABE9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E19D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D14FE7"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F316C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BCA8AE"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89FE86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A2FB40"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8DA59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153A96"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16756BF4"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BB32DA"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9AAC6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D5227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825D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F0978D"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F2CC0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489C6D1" w14:textId="77777777" w:rsidR="00000000" w:rsidRDefault="00A173A8">
            <w:pPr>
              <w:spacing w:after="100"/>
              <w:jc w:val="right"/>
              <w:rPr>
                <w:rFonts w:eastAsia="Times New Roman"/>
              </w:rPr>
            </w:pPr>
          </w:p>
        </w:tc>
      </w:tr>
      <w:tr w:rsidR="00000000" w14:paraId="0D34BA62" w14:textId="77777777">
        <w:tc>
          <w:tcPr>
            <w:tcW w:w="50" w:type="pct"/>
            <w:gridSpan w:val="2"/>
            <w:vAlign w:val="center"/>
            <w:hideMark/>
          </w:tcPr>
          <w:p w14:paraId="3665EEBE" w14:textId="77777777" w:rsidR="00000000" w:rsidRDefault="00A173A8">
            <w:pPr>
              <w:jc w:val="both"/>
              <w:rPr>
                <w:rFonts w:eastAsia="Times New Roman"/>
              </w:rPr>
            </w:pPr>
          </w:p>
        </w:tc>
        <w:tc>
          <w:tcPr>
            <w:tcW w:w="1085" w:type="pct"/>
            <w:gridSpan w:val="6"/>
            <w:vAlign w:val="center"/>
            <w:hideMark/>
          </w:tcPr>
          <w:p w14:paraId="7F84C650" w14:textId="77777777" w:rsidR="00000000" w:rsidRDefault="00A173A8">
            <w:pPr>
              <w:spacing w:after="100"/>
              <w:rPr>
                <w:rFonts w:eastAsia="Times New Roman"/>
                <w:sz w:val="20"/>
                <w:szCs w:val="20"/>
              </w:rPr>
            </w:pPr>
          </w:p>
        </w:tc>
        <w:tc>
          <w:tcPr>
            <w:tcW w:w="5" w:type="pct"/>
            <w:gridSpan w:val="2"/>
            <w:vAlign w:val="center"/>
            <w:hideMark/>
          </w:tcPr>
          <w:p w14:paraId="23B8DC5B" w14:textId="77777777" w:rsidR="00000000" w:rsidRDefault="00A173A8">
            <w:pPr>
              <w:spacing w:after="100"/>
              <w:rPr>
                <w:rFonts w:eastAsia="Times New Roman"/>
                <w:sz w:val="20"/>
                <w:szCs w:val="20"/>
              </w:rPr>
            </w:pPr>
          </w:p>
        </w:tc>
        <w:tc>
          <w:tcPr>
            <w:tcW w:w="5" w:type="pct"/>
            <w:vAlign w:val="center"/>
            <w:hideMark/>
          </w:tcPr>
          <w:p w14:paraId="05EA5B1D" w14:textId="77777777" w:rsidR="00000000" w:rsidRDefault="00A173A8">
            <w:pPr>
              <w:spacing w:after="100"/>
              <w:rPr>
                <w:rFonts w:eastAsia="Times New Roman"/>
                <w:sz w:val="20"/>
                <w:szCs w:val="20"/>
              </w:rPr>
            </w:pPr>
          </w:p>
        </w:tc>
        <w:tc>
          <w:tcPr>
            <w:tcW w:w="26" w:type="pct"/>
            <w:vAlign w:val="center"/>
            <w:hideMark/>
          </w:tcPr>
          <w:p w14:paraId="0AB62907" w14:textId="77777777" w:rsidR="00000000" w:rsidRDefault="00A173A8">
            <w:pPr>
              <w:spacing w:after="100"/>
              <w:rPr>
                <w:rFonts w:eastAsia="Times New Roman"/>
                <w:sz w:val="20"/>
                <w:szCs w:val="20"/>
              </w:rPr>
            </w:pPr>
          </w:p>
        </w:tc>
        <w:tc>
          <w:tcPr>
            <w:tcW w:w="5" w:type="pct"/>
            <w:vAlign w:val="center"/>
            <w:hideMark/>
          </w:tcPr>
          <w:p w14:paraId="09509B95" w14:textId="77777777" w:rsidR="00000000" w:rsidRDefault="00A173A8">
            <w:pPr>
              <w:spacing w:after="100"/>
              <w:rPr>
                <w:rFonts w:eastAsia="Times New Roman"/>
                <w:sz w:val="20"/>
                <w:szCs w:val="20"/>
              </w:rPr>
            </w:pPr>
          </w:p>
        </w:tc>
        <w:tc>
          <w:tcPr>
            <w:tcW w:w="50" w:type="pct"/>
            <w:vAlign w:val="center"/>
            <w:hideMark/>
          </w:tcPr>
          <w:p w14:paraId="746D52C8" w14:textId="77777777" w:rsidR="00000000" w:rsidRDefault="00A173A8">
            <w:pPr>
              <w:spacing w:after="100"/>
              <w:rPr>
                <w:rFonts w:eastAsia="Times New Roman"/>
                <w:sz w:val="20"/>
                <w:szCs w:val="20"/>
              </w:rPr>
            </w:pPr>
          </w:p>
        </w:tc>
        <w:tc>
          <w:tcPr>
            <w:tcW w:w="464" w:type="pct"/>
            <w:gridSpan w:val="7"/>
            <w:vAlign w:val="center"/>
            <w:hideMark/>
          </w:tcPr>
          <w:p w14:paraId="210DB094" w14:textId="77777777" w:rsidR="00000000" w:rsidRDefault="00A173A8">
            <w:pPr>
              <w:spacing w:after="100"/>
              <w:rPr>
                <w:rFonts w:eastAsia="Times New Roman"/>
                <w:sz w:val="20"/>
                <w:szCs w:val="20"/>
              </w:rPr>
            </w:pPr>
          </w:p>
        </w:tc>
        <w:tc>
          <w:tcPr>
            <w:tcW w:w="5" w:type="pct"/>
            <w:vAlign w:val="center"/>
            <w:hideMark/>
          </w:tcPr>
          <w:p w14:paraId="253BE33A" w14:textId="77777777" w:rsidR="00000000" w:rsidRDefault="00A173A8">
            <w:pPr>
              <w:spacing w:after="100"/>
              <w:rPr>
                <w:rFonts w:eastAsia="Times New Roman"/>
                <w:sz w:val="20"/>
                <w:szCs w:val="20"/>
              </w:rPr>
            </w:pPr>
          </w:p>
        </w:tc>
        <w:tc>
          <w:tcPr>
            <w:tcW w:w="5" w:type="pct"/>
            <w:gridSpan w:val="5"/>
            <w:vAlign w:val="center"/>
            <w:hideMark/>
          </w:tcPr>
          <w:p w14:paraId="0588EA29" w14:textId="77777777" w:rsidR="00000000" w:rsidRDefault="00A173A8">
            <w:pPr>
              <w:spacing w:after="100"/>
              <w:rPr>
                <w:rFonts w:eastAsia="Times New Roman"/>
                <w:sz w:val="20"/>
                <w:szCs w:val="20"/>
              </w:rPr>
            </w:pPr>
          </w:p>
        </w:tc>
        <w:tc>
          <w:tcPr>
            <w:tcW w:w="26" w:type="pct"/>
            <w:gridSpan w:val="3"/>
            <w:vAlign w:val="center"/>
            <w:hideMark/>
          </w:tcPr>
          <w:p w14:paraId="708BE24F" w14:textId="77777777" w:rsidR="00000000" w:rsidRDefault="00A173A8">
            <w:pPr>
              <w:spacing w:after="100"/>
              <w:rPr>
                <w:rFonts w:eastAsia="Times New Roman"/>
                <w:sz w:val="20"/>
                <w:szCs w:val="20"/>
              </w:rPr>
            </w:pPr>
          </w:p>
        </w:tc>
        <w:tc>
          <w:tcPr>
            <w:tcW w:w="5" w:type="pct"/>
            <w:vAlign w:val="center"/>
            <w:hideMark/>
          </w:tcPr>
          <w:p w14:paraId="4175F27A" w14:textId="77777777" w:rsidR="00000000" w:rsidRDefault="00A173A8">
            <w:pPr>
              <w:spacing w:after="100"/>
              <w:rPr>
                <w:rFonts w:eastAsia="Times New Roman"/>
                <w:sz w:val="20"/>
                <w:szCs w:val="20"/>
              </w:rPr>
            </w:pPr>
          </w:p>
        </w:tc>
        <w:tc>
          <w:tcPr>
            <w:tcW w:w="50" w:type="pct"/>
            <w:vAlign w:val="center"/>
            <w:hideMark/>
          </w:tcPr>
          <w:p w14:paraId="64E3FCDF" w14:textId="77777777" w:rsidR="00000000" w:rsidRDefault="00A173A8">
            <w:pPr>
              <w:spacing w:after="100"/>
              <w:rPr>
                <w:rFonts w:eastAsia="Times New Roman"/>
                <w:sz w:val="20"/>
                <w:szCs w:val="20"/>
              </w:rPr>
            </w:pPr>
          </w:p>
        </w:tc>
        <w:tc>
          <w:tcPr>
            <w:tcW w:w="464" w:type="pct"/>
            <w:gridSpan w:val="7"/>
            <w:vAlign w:val="center"/>
            <w:hideMark/>
          </w:tcPr>
          <w:p w14:paraId="1968ECF4" w14:textId="77777777" w:rsidR="00000000" w:rsidRDefault="00A173A8">
            <w:pPr>
              <w:spacing w:after="100"/>
              <w:rPr>
                <w:rFonts w:eastAsia="Times New Roman"/>
                <w:sz w:val="20"/>
                <w:szCs w:val="20"/>
              </w:rPr>
            </w:pPr>
          </w:p>
        </w:tc>
        <w:tc>
          <w:tcPr>
            <w:tcW w:w="5" w:type="pct"/>
            <w:vAlign w:val="center"/>
            <w:hideMark/>
          </w:tcPr>
          <w:p w14:paraId="6956FC5E" w14:textId="77777777" w:rsidR="00000000" w:rsidRDefault="00A173A8">
            <w:pPr>
              <w:spacing w:after="100"/>
              <w:rPr>
                <w:rFonts w:eastAsia="Times New Roman"/>
                <w:sz w:val="20"/>
                <w:szCs w:val="20"/>
              </w:rPr>
            </w:pPr>
          </w:p>
        </w:tc>
        <w:tc>
          <w:tcPr>
            <w:tcW w:w="5" w:type="pct"/>
            <w:vAlign w:val="center"/>
            <w:hideMark/>
          </w:tcPr>
          <w:p w14:paraId="491C9709" w14:textId="77777777" w:rsidR="00000000" w:rsidRDefault="00A173A8">
            <w:pPr>
              <w:spacing w:after="100"/>
              <w:rPr>
                <w:rFonts w:eastAsia="Times New Roman"/>
                <w:sz w:val="20"/>
                <w:szCs w:val="20"/>
              </w:rPr>
            </w:pPr>
          </w:p>
        </w:tc>
        <w:tc>
          <w:tcPr>
            <w:tcW w:w="26" w:type="pct"/>
            <w:vAlign w:val="center"/>
            <w:hideMark/>
          </w:tcPr>
          <w:p w14:paraId="68DB1BE5" w14:textId="77777777" w:rsidR="00000000" w:rsidRDefault="00A173A8">
            <w:pPr>
              <w:spacing w:after="100"/>
              <w:rPr>
                <w:rFonts w:eastAsia="Times New Roman"/>
                <w:sz w:val="20"/>
                <w:szCs w:val="20"/>
              </w:rPr>
            </w:pPr>
          </w:p>
        </w:tc>
        <w:tc>
          <w:tcPr>
            <w:tcW w:w="5" w:type="pct"/>
            <w:gridSpan w:val="5"/>
            <w:vAlign w:val="center"/>
            <w:hideMark/>
          </w:tcPr>
          <w:p w14:paraId="38CA020C" w14:textId="77777777" w:rsidR="00000000" w:rsidRDefault="00A173A8">
            <w:pPr>
              <w:spacing w:after="100"/>
              <w:rPr>
                <w:rFonts w:eastAsia="Times New Roman"/>
                <w:sz w:val="20"/>
                <w:szCs w:val="20"/>
              </w:rPr>
            </w:pPr>
          </w:p>
        </w:tc>
        <w:tc>
          <w:tcPr>
            <w:tcW w:w="50" w:type="pct"/>
            <w:gridSpan w:val="3"/>
            <w:vAlign w:val="center"/>
            <w:hideMark/>
          </w:tcPr>
          <w:p w14:paraId="38BD68BE" w14:textId="77777777" w:rsidR="00000000" w:rsidRDefault="00A173A8">
            <w:pPr>
              <w:spacing w:after="100"/>
              <w:rPr>
                <w:rFonts w:eastAsia="Times New Roman"/>
                <w:sz w:val="20"/>
                <w:szCs w:val="20"/>
              </w:rPr>
            </w:pPr>
          </w:p>
        </w:tc>
        <w:tc>
          <w:tcPr>
            <w:tcW w:w="464" w:type="pct"/>
            <w:gridSpan w:val="3"/>
            <w:vAlign w:val="center"/>
            <w:hideMark/>
          </w:tcPr>
          <w:p w14:paraId="55680774" w14:textId="77777777" w:rsidR="00000000" w:rsidRDefault="00A173A8">
            <w:pPr>
              <w:spacing w:after="100"/>
              <w:rPr>
                <w:rFonts w:eastAsia="Times New Roman"/>
                <w:sz w:val="20"/>
                <w:szCs w:val="20"/>
              </w:rPr>
            </w:pPr>
          </w:p>
        </w:tc>
        <w:tc>
          <w:tcPr>
            <w:tcW w:w="5" w:type="pct"/>
            <w:gridSpan w:val="4"/>
            <w:vAlign w:val="center"/>
            <w:hideMark/>
          </w:tcPr>
          <w:p w14:paraId="12F2E375" w14:textId="77777777" w:rsidR="00000000" w:rsidRDefault="00A173A8">
            <w:pPr>
              <w:spacing w:after="100"/>
              <w:rPr>
                <w:rFonts w:eastAsia="Times New Roman"/>
                <w:sz w:val="20"/>
                <w:szCs w:val="20"/>
              </w:rPr>
            </w:pPr>
          </w:p>
        </w:tc>
        <w:tc>
          <w:tcPr>
            <w:tcW w:w="5" w:type="pct"/>
            <w:gridSpan w:val="2"/>
            <w:vAlign w:val="center"/>
            <w:hideMark/>
          </w:tcPr>
          <w:p w14:paraId="0B0CABB7" w14:textId="77777777" w:rsidR="00000000" w:rsidRDefault="00A173A8">
            <w:pPr>
              <w:spacing w:after="100"/>
              <w:rPr>
                <w:rFonts w:eastAsia="Times New Roman"/>
                <w:sz w:val="20"/>
                <w:szCs w:val="20"/>
              </w:rPr>
            </w:pPr>
          </w:p>
        </w:tc>
        <w:tc>
          <w:tcPr>
            <w:tcW w:w="26" w:type="pct"/>
            <w:vAlign w:val="center"/>
            <w:hideMark/>
          </w:tcPr>
          <w:p w14:paraId="00244567" w14:textId="77777777" w:rsidR="00000000" w:rsidRDefault="00A173A8">
            <w:pPr>
              <w:spacing w:after="100"/>
              <w:rPr>
                <w:rFonts w:eastAsia="Times New Roman"/>
                <w:sz w:val="20"/>
                <w:szCs w:val="20"/>
              </w:rPr>
            </w:pPr>
          </w:p>
        </w:tc>
        <w:tc>
          <w:tcPr>
            <w:tcW w:w="5" w:type="pct"/>
            <w:vAlign w:val="center"/>
            <w:hideMark/>
          </w:tcPr>
          <w:p w14:paraId="0A87438F" w14:textId="77777777" w:rsidR="00000000" w:rsidRDefault="00A173A8">
            <w:pPr>
              <w:spacing w:after="100"/>
              <w:rPr>
                <w:rFonts w:eastAsia="Times New Roman"/>
                <w:sz w:val="20"/>
                <w:szCs w:val="20"/>
              </w:rPr>
            </w:pPr>
          </w:p>
        </w:tc>
        <w:tc>
          <w:tcPr>
            <w:tcW w:w="50" w:type="pct"/>
            <w:vAlign w:val="center"/>
            <w:hideMark/>
          </w:tcPr>
          <w:p w14:paraId="02376ED7" w14:textId="77777777" w:rsidR="00000000" w:rsidRDefault="00A173A8">
            <w:pPr>
              <w:spacing w:after="100"/>
              <w:rPr>
                <w:rFonts w:eastAsia="Times New Roman"/>
                <w:sz w:val="20"/>
                <w:szCs w:val="20"/>
              </w:rPr>
            </w:pPr>
          </w:p>
        </w:tc>
        <w:tc>
          <w:tcPr>
            <w:tcW w:w="464" w:type="pct"/>
            <w:gridSpan w:val="7"/>
            <w:vAlign w:val="center"/>
            <w:hideMark/>
          </w:tcPr>
          <w:p w14:paraId="23A3DE34" w14:textId="77777777" w:rsidR="00000000" w:rsidRDefault="00A173A8">
            <w:pPr>
              <w:spacing w:after="100"/>
              <w:rPr>
                <w:rFonts w:eastAsia="Times New Roman"/>
                <w:sz w:val="20"/>
                <w:szCs w:val="20"/>
              </w:rPr>
            </w:pPr>
          </w:p>
        </w:tc>
        <w:tc>
          <w:tcPr>
            <w:tcW w:w="5" w:type="pct"/>
            <w:vAlign w:val="center"/>
            <w:hideMark/>
          </w:tcPr>
          <w:p w14:paraId="60902CA3" w14:textId="77777777" w:rsidR="00000000" w:rsidRDefault="00A173A8">
            <w:pPr>
              <w:spacing w:after="100"/>
              <w:rPr>
                <w:rFonts w:eastAsia="Times New Roman"/>
                <w:sz w:val="20"/>
                <w:szCs w:val="20"/>
              </w:rPr>
            </w:pPr>
          </w:p>
        </w:tc>
        <w:tc>
          <w:tcPr>
            <w:tcW w:w="5" w:type="pct"/>
            <w:vAlign w:val="center"/>
            <w:hideMark/>
          </w:tcPr>
          <w:p w14:paraId="160D5890" w14:textId="77777777" w:rsidR="00000000" w:rsidRDefault="00A173A8">
            <w:pPr>
              <w:spacing w:after="100"/>
              <w:rPr>
                <w:rFonts w:eastAsia="Times New Roman"/>
                <w:sz w:val="20"/>
                <w:szCs w:val="20"/>
              </w:rPr>
            </w:pPr>
          </w:p>
        </w:tc>
        <w:tc>
          <w:tcPr>
            <w:tcW w:w="26" w:type="pct"/>
            <w:gridSpan w:val="3"/>
            <w:vAlign w:val="center"/>
            <w:hideMark/>
          </w:tcPr>
          <w:p w14:paraId="190B3CA5" w14:textId="77777777" w:rsidR="00000000" w:rsidRDefault="00A173A8">
            <w:pPr>
              <w:spacing w:after="100"/>
              <w:rPr>
                <w:rFonts w:eastAsia="Times New Roman"/>
                <w:sz w:val="20"/>
                <w:szCs w:val="20"/>
              </w:rPr>
            </w:pPr>
          </w:p>
        </w:tc>
        <w:tc>
          <w:tcPr>
            <w:tcW w:w="5" w:type="pct"/>
            <w:vAlign w:val="center"/>
            <w:hideMark/>
          </w:tcPr>
          <w:p w14:paraId="5F223F7C" w14:textId="77777777" w:rsidR="00000000" w:rsidRDefault="00A173A8">
            <w:pPr>
              <w:spacing w:after="100"/>
              <w:rPr>
                <w:rFonts w:eastAsia="Times New Roman"/>
                <w:sz w:val="20"/>
                <w:szCs w:val="20"/>
              </w:rPr>
            </w:pPr>
          </w:p>
        </w:tc>
        <w:tc>
          <w:tcPr>
            <w:tcW w:w="50" w:type="pct"/>
            <w:vAlign w:val="center"/>
            <w:hideMark/>
          </w:tcPr>
          <w:p w14:paraId="3FEA6511" w14:textId="77777777" w:rsidR="00000000" w:rsidRDefault="00A173A8">
            <w:pPr>
              <w:spacing w:after="100"/>
              <w:rPr>
                <w:rFonts w:eastAsia="Times New Roman"/>
                <w:sz w:val="20"/>
                <w:szCs w:val="20"/>
              </w:rPr>
            </w:pPr>
          </w:p>
        </w:tc>
        <w:tc>
          <w:tcPr>
            <w:tcW w:w="464" w:type="pct"/>
            <w:vAlign w:val="center"/>
            <w:hideMark/>
          </w:tcPr>
          <w:p w14:paraId="1E342208" w14:textId="77777777" w:rsidR="00000000" w:rsidRDefault="00A173A8">
            <w:pPr>
              <w:spacing w:after="100"/>
              <w:rPr>
                <w:rFonts w:eastAsia="Times New Roman"/>
                <w:sz w:val="20"/>
                <w:szCs w:val="20"/>
              </w:rPr>
            </w:pPr>
          </w:p>
        </w:tc>
        <w:tc>
          <w:tcPr>
            <w:tcW w:w="5" w:type="pct"/>
            <w:vAlign w:val="center"/>
            <w:hideMark/>
          </w:tcPr>
          <w:p w14:paraId="510A531D" w14:textId="77777777" w:rsidR="00000000" w:rsidRDefault="00A173A8">
            <w:pPr>
              <w:spacing w:after="100"/>
              <w:rPr>
                <w:rFonts w:eastAsia="Times New Roman"/>
                <w:sz w:val="20"/>
                <w:szCs w:val="20"/>
              </w:rPr>
            </w:pPr>
          </w:p>
        </w:tc>
        <w:tc>
          <w:tcPr>
            <w:tcW w:w="5" w:type="pct"/>
            <w:vAlign w:val="center"/>
            <w:hideMark/>
          </w:tcPr>
          <w:p w14:paraId="142360F2" w14:textId="77777777" w:rsidR="00000000" w:rsidRDefault="00A173A8">
            <w:pPr>
              <w:spacing w:after="100"/>
              <w:rPr>
                <w:rFonts w:eastAsia="Times New Roman"/>
                <w:sz w:val="20"/>
                <w:szCs w:val="20"/>
              </w:rPr>
            </w:pPr>
          </w:p>
        </w:tc>
        <w:tc>
          <w:tcPr>
            <w:tcW w:w="26" w:type="pct"/>
            <w:vAlign w:val="center"/>
            <w:hideMark/>
          </w:tcPr>
          <w:p w14:paraId="2C4ADC7D" w14:textId="77777777" w:rsidR="00000000" w:rsidRDefault="00A173A8">
            <w:pPr>
              <w:spacing w:after="100"/>
              <w:rPr>
                <w:rFonts w:eastAsia="Times New Roman"/>
                <w:sz w:val="20"/>
                <w:szCs w:val="20"/>
              </w:rPr>
            </w:pPr>
          </w:p>
        </w:tc>
        <w:tc>
          <w:tcPr>
            <w:tcW w:w="5" w:type="pct"/>
            <w:vAlign w:val="center"/>
            <w:hideMark/>
          </w:tcPr>
          <w:p w14:paraId="4EF96035" w14:textId="77777777" w:rsidR="00000000" w:rsidRDefault="00A173A8">
            <w:pPr>
              <w:spacing w:after="100"/>
              <w:rPr>
                <w:rFonts w:eastAsia="Times New Roman"/>
                <w:sz w:val="20"/>
                <w:szCs w:val="20"/>
              </w:rPr>
            </w:pPr>
          </w:p>
        </w:tc>
        <w:tc>
          <w:tcPr>
            <w:tcW w:w="50" w:type="pct"/>
            <w:vAlign w:val="center"/>
            <w:hideMark/>
          </w:tcPr>
          <w:p w14:paraId="4FEC9EF4" w14:textId="77777777" w:rsidR="00000000" w:rsidRDefault="00A173A8">
            <w:pPr>
              <w:spacing w:after="100"/>
              <w:rPr>
                <w:rFonts w:eastAsia="Times New Roman"/>
                <w:sz w:val="20"/>
                <w:szCs w:val="20"/>
              </w:rPr>
            </w:pPr>
          </w:p>
        </w:tc>
        <w:tc>
          <w:tcPr>
            <w:tcW w:w="464" w:type="pct"/>
            <w:vAlign w:val="center"/>
            <w:hideMark/>
          </w:tcPr>
          <w:p w14:paraId="439ADE57" w14:textId="77777777" w:rsidR="00000000" w:rsidRDefault="00A173A8">
            <w:pPr>
              <w:spacing w:after="100"/>
              <w:rPr>
                <w:rFonts w:eastAsia="Times New Roman"/>
                <w:sz w:val="20"/>
                <w:szCs w:val="20"/>
              </w:rPr>
            </w:pPr>
          </w:p>
        </w:tc>
        <w:tc>
          <w:tcPr>
            <w:tcW w:w="5" w:type="pct"/>
            <w:vAlign w:val="center"/>
            <w:hideMark/>
          </w:tcPr>
          <w:p w14:paraId="2750986F" w14:textId="77777777" w:rsidR="00000000" w:rsidRDefault="00A173A8">
            <w:pPr>
              <w:spacing w:after="100"/>
              <w:rPr>
                <w:rFonts w:eastAsia="Times New Roman"/>
                <w:sz w:val="20"/>
                <w:szCs w:val="20"/>
              </w:rPr>
            </w:pPr>
          </w:p>
        </w:tc>
        <w:tc>
          <w:tcPr>
            <w:tcW w:w="5" w:type="pct"/>
            <w:vAlign w:val="center"/>
            <w:hideMark/>
          </w:tcPr>
          <w:p w14:paraId="59F49238" w14:textId="77777777" w:rsidR="00000000" w:rsidRDefault="00A173A8">
            <w:pPr>
              <w:spacing w:after="100"/>
              <w:rPr>
                <w:rFonts w:eastAsia="Times New Roman"/>
                <w:sz w:val="20"/>
                <w:szCs w:val="20"/>
              </w:rPr>
            </w:pPr>
          </w:p>
        </w:tc>
        <w:tc>
          <w:tcPr>
            <w:tcW w:w="26" w:type="pct"/>
            <w:vAlign w:val="center"/>
            <w:hideMark/>
          </w:tcPr>
          <w:p w14:paraId="169A5B84" w14:textId="77777777" w:rsidR="00000000" w:rsidRDefault="00A173A8">
            <w:pPr>
              <w:spacing w:after="100"/>
              <w:rPr>
                <w:rFonts w:eastAsia="Times New Roman"/>
                <w:sz w:val="20"/>
                <w:szCs w:val="20"/>
              </w:rPr>
            </w:pPr>
          </w:p>
        </w:tc>
        <w:tc>
          <w:tcPr>
            <w:tcW w:w="5" w:type="pct"/>
            <w:vAlign w:val="center"/>
            <w:hideMark/>
          </w:tcPr>
          <w:p w14:paraId="3AB5A361" w14:textId="77777777" w:rsidR="00000000" w:rsidRDefault="00A173A8">
            <w:pPr>
              <w:spacing w:after="100"/>
              <w:rPr>
                <w:rFonts w:eastAsia="Times New Roman"/>
                <w:sz w:val="20"/>
                <w:szCs w:val="20"/>
              </w:rPr>
            </w:pPr>
          </w:p>
        </w:tc>
        <w:tc>
          <w:tcPr>
            <w:tcW w:w="50" w:type="pct"/>
            <w:vAlign w:val="center"/>
            <w:hideMark/>
          </w:tcPr>
          <w:p w14:paraId="6549A491" w14:textId="77777777" w:rsidR="00000000" w:rsidRDefault="00A173A8">
            <w:pPr>
              <w:spacing w:after="100"/>
              <w:rPr>
                <w:rFonts w:eastAsia="Times New Roman"/>
                <w:sz w:val="20"/>
                <w:szCs w:val="20"/>
              </w:rPr>
            </w:pPr>
          </w:p>
        </w:tc>
        <w:tc>
          <w:tcPr>
            <w:tcW w:w="435" w:type="pct"/>
            <w:vAlign w:val="center"/>
            <w:hideMark/>
          </w:tcPr>
          <w:p w14:paraId="553B30D5" w14:textId="77777777" w:rsidR="00000000" w:rsidRDefault="00A173A8">
            <w:pPr>
              <w:spacing w:after="100"/>
              <w:rPr>
                <w:rFonts w:eastAsia="Times New Roman"/>
                <w:sz w:val="20"/>
                <w:szCs w:val="20"/>
              </w:rPr>
            </w:pPr>
          </w:p>
        </w:tc>
        <w:tc>
          <w:tcPr>
            <w:tcW w:w="5" w:type="pct"/>
            <w:vAlign w:val="center"/>
            <w:hideMark/>
          </w:tcPr>
          <w:p w14:paraId="5ACD3345" w14:textId="77777777" w:rsidR="00000000" w:rsidRDefault="00A173A8">
            <w:pPr>
              <w:spacing w:after="100"/>
              <w:rPr>
                <w:rFonts w:eastAsia="Times New Roman"/>
                <w:sz w:val="20"/>
                <w:szCs w:val="20"/>
              </w:rPr>
            </w:pPr>
          </w:p>
        </w:tc>
      </w:tr>
      <w:tr w:rsidR="00000000" w14:paraId="2A188E48" w14:textId="77777777">
        <w:tc>
          <w:tcPr>
            <w:tcW w:w="0" w:type="auto"/>
            <w:gridSpan w:val="10"/>
            <w:tcMar>
              <w:top w:w="0" w:type="dxa"/>
              <w:left w:w="20" w:type="dxa"/>
              <w:bottom w:w="0" w:type="dxa"/>
              <w:right w:w="20" w:type="dxa"/>
            </w:tcMar>
            <w:vAlign w:val="center"/>
            <w:hideMark/>
          </w:tcPr>
          <w:p w14:paraId="3ADEECB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2AE06D" w14:textId="77777777" w:rsidR="00000000" w:rsidRDefault="00A173A8">
            <w:pPr>
              <w:spacing w:after="100"/>
              <w:rPr>
                <w:rFonts w:eastAsia="Times New Roman"/>
                <w:sz w:val="20"/>
                <w:szCs w:val="20"/>
              </w:rPr>
            </w:pPr>
          </w:p>
        </w:tc>
        <w:tc>
          <w:tcPr>
            <w:tcW w:w="0" w:type="auto"/>
            <w:gridSpan w:val="77"/>
            <w:tcMar>
              <w:top w:w="30" w:type="dxa"/>
              <w:left w:w="20" w:type="dxa"/>
              <w:bottom w:w="30" w:type="dxa"/>
              <w:right w:w="20" w:type="dxa"/>
            </w:tcMar>
            <w:vAlign w:val="bottom"/>
            <w:hideMark/>
          </w:tcPr>
          <w:p w14:paraId="28F069D3" w14:textId="77777777" w:rsidR="00000000" w:rsidRDefault="00A173A8">
            <w:pPr>
              <w:spacing w:after="100"/>
              <w:jc w:val="center"/>
              <w:rPr>
                <w:rFonts w:eastAsia="Times New Roman"/>
              </w:rPr>
            </w:pPr>
            <w:r>
              <w:rPr>
                <w:rFonts w:eastAsia="Times New Roman"/>
                <w:b/>
                <w:bCs/>
                <w:color w:val="000000"/>
                <w:sz w:val="16"/>
                <w:szCs w:val="16"/>
              </w:rPr>
              <w:t>Six Months Ended June 30, 2022</w:t>
            </w:r>
          </w:p>
        </w:tc>
      </w:tr>
      <w:tr w:rsidR="00000000" w14:paraId="69326A31" w14:textId="77777777">
        <w:tc>
          <w:tcPr>
            <w:tcW w:w="0" w:type="auto"/>
            <w:gridSpan w:val="10"/>
            <w:tcMar>
              <w:top w:w="0" w:type="dxa"/>
              <w:left w:w="20" w:type="dxa"/>
              <w:bottom w:w="0" w:type="dxa"/>
              <w:right w:w="20" w:type="dxa"/>
            </w:tcMar>
            <w:vAlign w:val="center"/>
            <w:hideMark/>
          </w:tcPr>
          <w:p w14:paraId="0B1736B4"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49A4300" w14:textId="77777777" w:rsidR="00000000" w:rsidRDefault="00A173A8">
            <w:pPr>
              <w:spacing w:after="100"/>
              <w:rPr>
                <w:rFonts w:eastAsia="Times New Roman"/>
                <w:sz w:val="20"/>
                <w:szCs w:val="20"/>
              </w:rPr>
            </w:pPr>
          </w:p>
        </w:tc>
        <w:tc>
          <w:tcPr>
            <w:tcW w:w="0" w:type="auto"/>
            <w:gridSpan w:val="71"/>
            <w:tcBorders>
              <w:top w:val="single" w:sz="8" w:space="0" w:color="000000"/>
            </w:tcBorders>
            <w:tcMar>
              <w:top w:w="30" w:type="dxa"/>
              <w:left w:w="20" w:type="dxa"/>
              <w:bottom w:w="30" w:type="dxa"/>
              <w:right w:w="20" w:type="dxa"/>
            </w:tcMar>
            <w:vAlign w:val="bottom"/>
            <w:hideMark/>
          </w:tcPr>
          <w:p w14:paraId="7D0925E5" w14:textId="77777777" w:rsidR="00000000" w:rsidRDefault="00A173A8">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62FFCCA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5B3CA6" w14:textId="77777777" w:rsidR="00000000" w:rsidRDefault="00A173A8">
            <w:pPr>
              <w:spacing w:after="100"/>
              <w:jc w:val="center"/>
              <w:rPr>
                <w:rFonts w:eastAsia="Times New Roman"/>
              </w:rPr>
            </w:pPr>
            <w:r>
              <w:rPr>
                <w:rFonts w:eastAsia="Times New Roman"/>
                <w:b/>
                <w:bCs/>
                <w:color w:val="000000"/>
                <w:sz w:val="16"/>
                <w:szCs w:val="16"/>
              </w:rPr>
              <w:t>Non-Interest Income</w:t>
            </w:r>
          </w:p>
        </w:tc>
      </w:tr>
      <w:tr w:rsidR="00000000" w14:paraId="0CCAC5B7" w14:textId="77777777">
        <w:tc>
          <w:tcPr>
            <w:tcW w:w="0" w:type="auto"/>
            <w:gridSpan w:val="10"/>
            <w:tcMar>
              <w:top w:w="30" w:type="dxa"/>
              <w:left w:w="20" w:type="dxa"/>
              <w:bottom w:w="30" w:type="dxa"/>
              <w:right w:w="20" w:type="dxa"/>
            </w:tcMar>
            <w:vAlign w:val="bottom"/>
            <w:hideMark/>
          </w:tcPr>
          <w:p w14:paraId="4E20DB5A"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D8BE7B5" w14:textId="77777777" w:rsidR="00000000" w:rsidRDefault="00A173A8">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B44E6B1" w14:textId="77777777" w:rsidR="00000000" w:rsidRDefault="00A173A8">
            <w:pPr>
              <w:spacing w:after="100"/>
              <w:jc w:val="center"/>
              <w:rPr>
                <w:rFonts w:eastAsia="Times New Roman"/>
              </w:rPr>
            </w:pPr>
            <w:r>
              <w:rPr>
                <w:rFonts w:eastAsia="Times New Roman"/>
                <w:b/>
                <w:bCs/>
                <w:color w:val="000000"/>
                <w:sz w:val="16"/>
                <w:szCs w:val="16"/>
              </w:rPr>
              <w:t>Investment Securities</w:t>
            </w:r>
          </w:p>
        </w:tc>
        <w:tc>
          <w:tcPr>
            <w:tcW w:w="0" w:type="auto"/>
            <w:gridSpan w:val="9"/>
            <w:tcBorders>
              <w:top w:val="single" w:sz="8" w:space="0" w:color="000000"/>
            </w:tcBorders>
            <w:tcMar>
              <w:top w:w="0" w:type="dxa"/>
              <w:left w:w="20" w:type="dxa"/>
              <w:bottom w:w="0" w:type="dxa"/>
              <w:right w:w="20" w:type="dxa"/>
            </w:tcMar>
            <w:vAlign w:val="center"/>
            <w:hideMark/>
          </w:tcPr>
          <w:p w14:paraId="7D52E944"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0CBD527" w14:textId="77777777" w:rsidR="00000000" w:rsidRDefault="00A173A8">
            <w:pPr>
              <w:spacing w:after="100"/>
              <w:jc w:val="center"/>
              <w:rPr>
                <w:rFonts w:eastAsia="Times New Roman"/>
              </w:rPr>
            </w:pPr>
            <w:r>
              <w:rPr>
                <w:rFonts w:eastAsia="Times New Roman"/>
                <w:b/>
                <w:bCs/>
                <w:color w:val="000000"/>
                <w:sz w:val="16"/>
                <w:szCs w:val="16"/>
              </w:rPr>
              <w:t>Loans, Including Loans Held for Sale</w:t>
            </w:r>
          </w:p>
        </w:tc>
        <w:tc>
          <w:tcPr>
            <w:tcW w:w="0" w:type="auto"/>
            <w:gridSpan w:val="7"/>
            <w:tcBorders>
              <w:top w:val="single" w:sz="8" w:space="0" w:color="000000"/>
            </w:tcBorders>
            <w:tcMar>
              <w:top w:w="0" w:type="dxa"/>
              <w:left w:w="20" w:type="dxa"/>
              <w:bottom w:w="0" w:type="dxa"/>
              <w:right w:w="20" w:type="dxa"/>
            </w:tcMar>
            <w:vAlign w:val="center"/>
            <w:hideMark/>
          </w:tcPr>
          <w:p w14:paraId="56BD3852" w14:textId="77777777" w:rsidR="00000000" w:rsidRDefault="00A173A8">
            <w:pPr>
              <w:spacing w:after="100"/>
              <w:jc w:val="center"/>
              <w:rPr>
                <w:rFonts w:eastAsia="Times New Roman"/>
              </w:rPr>
            </w:pPr>
          </w:p>
        </w:tc>
        <w:tc>
          <w:tcPr>
            <w:tcW w:w="0" w:type="auto"/>
            <w:gridSpan w:val="10"/>
            <w:tcBorders>
              <w:top w:val="single" w:sz="8" w:space="0" w:color="000000"/>
            </w:tcBorders>
            <w:tcMar>
              <w:top w:w="30" w:type="dxa"/>
              <w:left w:w="20" w:type="dxa"/>
              <w:bottom w:w="30" w:type="dxa"/>
              <w:right w:w="20" w:type="dxa"/>
            </w:tcMar>
            <w:vAlign w:val="bottom"/>
            <w:hideMark/>
          </w:tcPr>
          <w:p w14:paraId="34268512" w14:textId="77777777" w:rsidR="00000000" w:rsidRDefault="00A173A8">
            <w:pPr>
              <w:spacing w:after="100"/>
              <w:jc w:val="center"/>
              <w:rPr>
                <w:rFonts w:eastAsia="Times New Roman"/>
              </w:rPr>
            </w:pPr>
            <w:r>
              <w:rPr>
                <w:rFonts w:eastAsia="Times New Roman"/>
                <w:b/>
                <w:bCs/>
                <w:color w:val="000000"/>
                <w:sz w:val="16"/>
                <w:szCs w:val="16"/>
              </w:rPr>
              <w:t>Other</w:t>
            </w:r>
          </w:p>
        </w:tc>
        <w:tc>
          <w:tcPr>
            <w:tcW w:w="0" w:type="auto"/>
            <w:gridSpan w:val="4"/>
            <w:tcBorders>
              <w:top w:val="single" w:sz="8" w:space="0" w:color="000000"/>
            </w:tcBorders>
            <w:tcMar>
              <w:top w:w="0" w:type="dxa"/>
              <w:left w:w="20" w:type="dxa"/>
              <w:bottom w:w="0" w:type="dxa"/>
              <w:right w:w="20" w:type="dxa"/>
            </w:tcMar>
            <w:vAlign w:val="center"/>
            <w:hideMark/>
          </w:tcPr>
          <w:p w14:paraId="44CBD0DD"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5A189982" w14:textId="77777777" w:rsidR="00000000" w:rsidRDefault="00A173A8">
            <w:pPr>
              <w:spacing w:after="100"/>
              <w:jc w:val="center"/>
              <w:rPr>
                <w:rFonts w:eastAsia="Times New Roman"/>
              </w:rPr>
            </w:pPr>
            <w:r>
              <w:rPr>
                <w:rFonts w:eastAsia="Times New Roman"/>
                <w:b/>
                <w:bCs/>
                <w:color w:val="000000"/>
                <w:sz w:val="16"/>
                <w:szCs w:val="16"/>
              </w:rPr>
              <w:t>Interest-bearing Deposits</w:t>
            </w:r>
          </w:p>
        </w:tc>
        <w:tc>
          <w:tcPr>
            <w:tcW w:w="0" w:type="auto"/>
            <w:gridSpan w:val="5"/>
            <w:tcBorders>
              <w:top w:val="single" w:sz="8" w:space="0" w:color="000000"/>
            </w:tcBorders>
            <w:tcMar>
              <w:top w:w="0" w:type="dxa"/>
              <w:left w:w="20" w:type="dxa"/>
              <w:bottom w:w="0" w:type="dxa"/>
              <w:right w:w="20" w:type="dxa"/>
            </w:tcMar>
            <w:vAlign w:val="center"/>
            <w:hideMark/>
          </w:tcPr>
          <w:p w14:paraId="7CC5E74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4704A2" w14:textId="77777777" w:rsidR="00000000" w:rsidRDefault="00A173A8">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72899357"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2E65E4D" w14:textId="77777777" w:rsidR="00000000" w:rsidRDefault="00A173A8">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7ABC86D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8CC769" w14:textId="77777777" w:rsidR="00000000" w:rsidRDefault="00A173A8">
            <w:pPr>
              <w:spacing w:after="100"/>
              <w:jc w:val="center"/>
              <w:rPr>
                <w:rFonts w:eastAsia="Times New Roman"/>
              </w:rPr>
            </w:pPr>
            <w:r>
              <w:rPr>
                <w:rFonts w:eastAsia="Times New Roman"/>
                <w:b/>
                <w:bCs/>
                <w:color w:val="000000"/>
                <w:sz w:val="16"/>
                <w:szCs w:val="16"/>
              </w:rPr>
              <w:t>Other</w:t>
            </w:r>
          </w:p>
        </w:tc>
      </w:tr>
      <w:tr w:rsidR="00000000" w14:paraId="455C94B0" w14:textId="77777777">
        <w:tc>
          <w:tcPr>
            <w:tcW w:w="0" w:type="auto"/>
            <w:gridSpan w:val="10"/>
            <w:tcBorders>
              <w:top w:val="single" w:sz="8" w:space="0" w:color="000000"/>
            </w:tcBorders>
            <w:shd w:val="clear" w:color="auto" w:fill="CCEEFF"/>
            <w:tcMar>
              <w:top w:w="30" w:type="dxa"/>
              <w:left w:w="20" w:type="dxa"/>
              <w:bottom w:w="30" w:type="dxa"/>
              <w:right w:w="20" w:type="dxa"/>
            </w:tcMar>
            <w:vAlign w:val="center"/>
            <w:hideMark/>
          </w:tcPr>
          <w:p w14:paraId="5A0FA44B" w14:textId="77777777" w:rsidR="00000000" w:rsidRDefault="00A173A8">
            <w:pPr>
              <w:spacing w:after="100"/>
              <w:divId w:val="678235195"/>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251EAE89"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1A76B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0349261F" w14:textId="77777777" w:rsidR="00000000" w:rsidRDefault="00A173A8">
            <w:pPr>
              <w:spacing w:after="100"/>
              <w:jc w:val="right"/>
              <w:rPr>
                <w:rFonts w:eastAsia="Times New Roman"/>
              </w:rPr>
            </w:pPr>
            <w:r>
              <w:rPr>
                <w:rFonts w:eastAsia="Times New Roman"/>
                <w:b/>
                <w:bCs/>
                <w:color w:val="000000"/>
                <w:sz w:val="18"/>
                <w:szCs w:val="18"/>
              </w:rPr>
              <w:t>837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482C5C"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73DA88A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B89D13"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426E9CDF" w14:textId="77777777" w:rsidR="00000000" w:rsidRDefault="00A173A8">
            <w:pPr>
              <w:spacing w:after="100"/>
              <w:jc w:val="right"/>
              <w:rPr>
                <w:rFonts w:eastAsia="Times New Roman"/>
              </w:rPr>
            </w:pPr>
            <w:r>
              <w:rPr>
                <w:rFonts w:eastAsia="Times New Roman"/>
                <w:b/>
                <w:bCs/>
                <w:color w:val="000000"/>
                <w:sz w:val="18"/>
                <w:szCs w:val="18"/>
              </w:rPr>
              <w:t>12,972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84EEFB" w14:textId="77777777" w:rsidR="00000000" w:rsidRDefault="00A173A8">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14:paraId="0ED0D01B"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7BCC42C5"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662A6AC9" w14:textId="77777777" w:rsidR="00000000" w:rsidRDefault="00A173A8">
            <w:pPr>
              <w:spacing w:after="100"/>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gridSpan w:val="4"/>
            <w:tcBorders>
              <w:top w:val="single" w:sz="8" w:space="0" w:color="000000"/>
            </w:tcBorders>
            <w:shd w:val="clear" w:color="auto" w:fill="CCEEFF"/>
            <w:tcMar>
              <w:top w:w="30" w:type="dxa"/>
              <w:left w:w="0" w:type="dxa"/>
              <w:bottom w:w="30" w:type="dxa"/>
              <w:right w:w="20" w:type="dxa"/>
            </w:tcMar>
            <w:vAlign w:val="bottom"/>
            <w:hideMark/>
          </w:tcPr>
          <w:p w14:paraId="044F9E87"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D815E0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015390"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14:paraId="38EFA27D" w14:textId="77777777" w:rsidR="00000000" w:rsidRDefault="00A173A8">
            <w:pPr>
              <w:spacing w:after="100"/>
              <w:jc w:val="right"/>
              <w:rPr>
                <w:rFonts w:eastAsia="Times New Roman"/>
              </w:rPr>
            </w:pPr>
            <w:r>
              <w:rPr>
                <w:rFonts w:eastAsia="Times New Roman"/>
                <w:b/>
                <w:bCs/>
                <w:color w:val="000000"/>
                <w:sz w:val="18"/>
                <w:szCs w:val="18"/>
              </w:rPr>
              <w:t>(511)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3973D2" w14:textId="77777777" w:rsidR="00000000" w:rsidRDefault="00A173A8">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231D140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96617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258437" w14:textId="77777777" w:rsidR="00000000" w:rsidRDefault="00A173A8">
            <w:pPr>
              <w:spacing w:after="100"/>
              <w:jc w:val="right"/>
              <w:rPr>
                <w:rFonts w:eastAsia="Times New Roman"/>
              </w:rPr>
            </w:pPr>
            <w:r>
              <w:rPr>
                <w:rFonts w:eastAsia="Times New Roman"/>
                <w:b/>
                <w:bCs/>
                <w:color w:val="000000"/>
                <w:sz w:val="18"/>
                <w:szCs w:val="18"/>
              </w:rPr>
              <w:t>(94)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4E337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8E48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04AEE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B741F7" w14:textId="77777777" w:rsidR="00000000" w:rsidRDefault="00A173A8">
            <w:pPr>
              <w:spacing w:after="100"/>
              <w:jc w:val="right"/>
              <w:rPr>
                <w:rFonts w:eastAsia="Times New Roman"/>
              </w:rPr>
            </w:pPr>
            <w:r>
              <w:rPr>
                <w:rFonts w:eastAsia="Times New Roman"/>
                <w:b/>
                <w:bCs/>
                <w:color w:val="000000"/>
                <w:sz w:val="18"/>
                <w:szCs w:val="18"/>
              </w:rPr>
              <w:t>(325)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6A7D6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5A3FC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4E4B5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AD9827" w14:textId="77777777" w:rsidR="00000000" w:rsidRDefault="00A173A8">
            <w:pPr>
              <w:spacing w:after="100"/>
              <w:jc w:val="right"/>
              <w:rPr>
                <w:rFonts w:eastAsia="Times New Roman"/>
              </w:rPr>
            </w:pPr>
            <w:r>
              <w:rPr>
                <w:rFonts w:eastAsia="Times New Roman"/>
                <w:b/>
                <w:bCs/>
                <w:color w:val="000000"/>
                <w:sz w:val="18"/>
                <w:szCs w:val="18"/>
              </w:rPr>
              <w:t>442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B315EA" w14:textId="77777777" w:rsidR="00000000" w:rsidRDefault="00A173A8">
            <w:pPr>
              <w:spacing w:after="100"/>
              <w:jc w:val="right"/>
              <w:rPr>
                <w:rFonts w:eastAsia="Times New Roman"/>
              </w:rPr>
            </w:pPr>
          </w:p>
        </w:tc>
      </w:tr>
      <w:tr w:rsidR="00000000" w14:paraId="24C69B0F" w14:textId="77777777">
        <w:tc>
          <w:tcPr>
            <w:tcW w:w="0" w:type="auto"/>
            <w:gridSpan w:val="10"/>
            <w:shd w:val="clear" w:color="auto" w:fill="FFFFFF"/>
            <w:tcMar>
              <w:top w:w="30" w:type="dxa"/>
              <w:left w:w="20" w:type="dxa"/>
              <w:bottom w:w="30" w:type="dxa"/>
              <w:right w:w="20" w:type="dxa"/>
            </w:tcMar>
            <w:vAlign w:val="center"/>
            <w:hideMark/>
          </w:tcPr>
          <w:p w14:paraId="0BC1063F" w14:textId="77777777" w:rsidR="00000000" w:rsidRDefault="00A173A8">
            <w:pPr>
              <w:spacing w:after="100"/>
              <w:divId w:val="1150943349"/>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07195E5B" w14:textId="77777777" w:rsidR="00000000" w:rsidRDefault="00A173A8">
            <w:pPr>
              <w:spacing w:after="100"/>
              <w:rPr>
                <w:rFonts w:eastAsia="Times New Roman"/>
              </w:rPr>
            </w:pPr>
          </w:p>
        </w:tc>
        <w:tc>
          <w:tcPr>
            <w:tcW w:w="0" w:type="auto"/>
            <w:gridSpan w:val="9"/>
            <w:tcBorders>
              <w:top w:val="double" w:sz="6" w:space="0" w:color="000000"/>
            </w:tcBorders>
            <w:shd w:val="clear" w:color="auto" w:fill="FFFFFF"/>
            <w:tcMar>
              <w:top w:w="0" w:type="dxa"/>
              <w:left w:w="20" w:type="dxa"/>
              <w:bottom w:w="0" w:type="dxa"/>
              <w:right w:w="20" w:type="dxa"/>
            </w:tcMar>
            <w:vAlign w:val="center"/>
            <w:hideMark/>
          </w:tcPr>
          <w:p w14:paraId="734576C3" w14:textId="77777777" w:rsidR="00000000" w:rsidRDefault="00A173A8">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4AEA0F66" w14:textId="77777777" w:rsidR="00000000" w:rsidRDefault="00A173A8">
            <w:pPr>
              <w:spacing w:after="100"/>
              <w:rPr>
                <w:rFonts w:eastAsia="Times New Roman"/>
                <w:sz w:val="20"/>
                <w:szCs w:val="20"/>
              </w:rPr>
            </w:pPr>
          </w:p>
        </w:tc>
        <w:tc>
          <w:tcPr>
            <w:tcW w:w="0" w:type="auto"/>
            <w:gridSpan w:val="9"/>
            <w:tcBorders>
              <w:top w:val="double" w:sz="6" w:space="0" w:color="000000"/>
            </w:tcBorders>
            <w:shd w:val="clear" w:color="auto" w:fill="FFFFFF"/>
            <w:tcMar>
              <w:top w:w="0" w:type="dxa"/>
              <w:left w:w="20" w:type="dxa"/>
              <w:bottom w:w="0" w:type="dxa"/>
              <w:right w:w="20" w:type="dxa"/>
            </w:tcMar>
            <w:vAlign w:val="center"/>
            <w:hideMark/>
          </w:tcPr>
          <w:p w14:paraId="105D9FF0" w14:textId="77777777" w:rsidR="00000000" w:rsidRDefault="00A173A8">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72CD7288" w14:textId="77777777" w:rsidR="00000000" w:rsidRDefault="00A173A8">
            <w:pPr>
              <w:spacing w:after="100"/>
              <w:rPr>
                <w:rFonts w:eastAsia="Times New Roman"/>
                <w:sz w:val="20"/>
                <w:szCs w:val="20"/>
              </w:rPr>
            </w:pPr>
          </w:p>
        </w:tc>
        <w:tc>
          <w:tcPr>
            <w:tcW w:w="0" w:type="auto"/>
            <w:gridSpan w:val="10"/>
            <w:tcBorders>
              <w:top w:val="double" w:sz="6" w:space="0" w:color="000000"/>
            </w:tcBorders>
            <w:shd w:val="clear" w:color="auto" w:fill="FFFFFF"/>
            <w:tcMar>
              <w:top w:w="0" w:type="dxa"/>
              <w:left w:w="20" w:type="dxa"/>
              <w:bottom w:w="0" w:type="dxa"/>
              <w:right w:w="20" w:type="dxa"/>
            </w:tcMar>
            <w:vAlign w:val="center"/>
            <w:hideMark/>
          </w:tcPr>
          <w:p w14:paraId="4EAFBC06"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46CD0C51" w14:textId="77777777" w:rsidR="00000000" w:rsidRDefault="00A173A8">
            <w:pPr>
              <w:spacing w:after="100"/>
              <w:rPr>
                <w:rFonts w:eastAsia="Times New Roman"/>
                <w:sz w:val="20"/>
                <w:szCs w:val="20"/>
              </w:rPr>
            </w:pPr>
          </w:p>
        </w:tc>
        <w:tc>
          <w:tcPr>
            <w:tcW w:w="0" w:type="auto"/>
            <w:gridSpan w:val="9"/>
            <w:tcBorders>
              <w:top w:val="double" w:sz="6" w:space="0" w:color="000000"/>
            </w:tcBorders>
            <w:shd w:val="clear" w:color="auto" w:fill="FFFFFF"/>
            <w:tcMar>
              <w:top w:w="0" w:type="dxa"/>
              <w:left w:w="20" w:type="dxa"/>
              <w:bottom w:w="0" w:type="dxa"/>
              <w:right w:w="20" w:type="dxa"/>
            </w:tcMar>
            <w:vAlign w:val="center"/>
            <w:hideMark/>
          </w:tcPr>
          <w:p w14:paraId="435E6CF9" w14:textId="77777777" w:rsidR="00000000" w:rsidRDefault="00A173A8">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1887555D"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E2A08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347F4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002CD4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89455A"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367F82" w14:textId="77777777" w:rsidR="00000000" w:rsidRDefault="00A173A8">
            <w:pPr>
              <w:spacing w:after="100"/>
              <w:rPr>
                <w:rFonts w:eastAsia="Times New Roman"/>
                <w:sz w:val="20"/>
                <w:szCs w:val="20"/>
              </w:rPr>
            </w:pPr>
          </w:p>
        </w:tc>
      </w:tr>
      <w:tr w:rsidR="00000000" w14:paraId="60FC20E8" w14:textId="77777777">
        <w:tc>
          <w:tcPr>
            <w:tcW w:w="0" w:type="auto"/>
            <w:gridSpan w:val="10"/>
            <w:shd w:val="clear" w:color="auto" w:fill="CCEEFF"/>
            <w:tcMar>
              <w:top w:w="30" w:type="dxa"/>
              <w:left w:w="20" w:type="dxa"/>
              <w:bottom w:w="30" w:type="dxa"/>
              <w:right w:w="20" w:type="dxa"/>
            </w:tcMar>
            <w:vAlign w:val="center"/>
            <w:hideMark/>
          </w:tcPr>
          <w:p w14:paraId="72375999" w14:textId="77777777" w:rsidR="00000000" w:rsidRDefault="00A173A8">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507549E7" w14:textId="77777777" w:rsidR="00000000" w:rsidRDefault="00A173A8">
            <w:pPr>
              <w:spacing w:after="100"/>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3EA0FE8E"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41526D0B"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122E2893" w14:textId="77777777" w:rsidR="00000000" w:rsidRDefault="00A173A8">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0FD74042" w14:textId="77777777" w:rsidR="00000000" w:rsidRDefault="00A173A8">
            <w:pPr>
              <w:spacing w:after="100"/>
              <w:rPr>
                <w:rFonts w:eastAsia="Times New Roman"/>
                <w:sz w:val="20"/>
                <w:szCs w:val="20"/>
              </w:rPr>
            </w:pPr>
          </w:p>
        </w:tc>
        <w:tc>
          <w:tcPr>
            <w:tcW w:w="0" w:type="auto"/>
            <w:gridSpan w:val="10"/>
            <w:shd w:val="clear" w:color="auto" w:fill="CCEEFF"/>
            <w:tcMar>
              <w:top w:w="0" w:type="dxa"/>
              <w:left w:w="20" w:type="dxa"/>
              <w:bottom w:w="0" w:type="dxa"/>
              <w:right w:w="20" w:type="dxa"/>
            </w:tcMar>
            <w:vAlign w:val="center"/>
            <w:hideMark/>
          </w:tcPr>
          <w:p w14:paraId="4FC8E7F0"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976B25C"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09A55AE7" w14:textId="77777777" w:rsidR="00000000" w:rsidRDefault="00A173A8">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279CFD7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B4F59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3E1AD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97748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5F410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4D9FE6" w14:textId="77777777" w:rsidR="00000000" w:rsidRDefault="00A173A8">
            <w:pPr>
              <w:spacing w:after="100"/>
              <w:rPr>
                <w:rFonts w:eastAsia="Times New Roman"/>
                <w:sz w:val="20"/>
                <w:szCs w:val="20"/>
              </w:rPr>
            </w:pPr>
          </w:p>
        </w:tc>
      </w:tr>
      <w:tr w:rsidR="00000000" w14:paraId="0250DCB6" w14:textId="77777777">
        <w:tc>
          <w:tcPr>
            <w:tcW w:w="0" w:type="auto"/>
            <w:gridSpan w:val="10"/>
            <w:shd w:val="clear" w:color="auto" w:fill="FFFFFF"/>
            <w:tcMar>
              <w:top w:w="30" w:type="dxa"/>
              <w:left w:w="245" w:type="dxa"/>
              <w:bottom w:w="30" w:type="dxa"/>
              <w:right w:w="20" w:type="dxa"/>
            </w:tcMar>
            <w:vAlign w:val="center"/>
            <w:hideMark/>
          </w:tcPr>
          <w:p w14:paraId="438742EA" w14:textId="77777777" w:rsidR="00000000" w:rsidRDefault="00A173A8">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371EF4A8"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99CAF3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4AFAB72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F5256A0"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4D1F5B7"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CC532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6A9F120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8370FB" w14:textId="77777777" w:rsidR="00000000" w:rsidRDefault="00A173A8">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14:paraId="1492303E"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4751731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1AB93EE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4"/>
            <w:shd w:val="clear" w:color="auto" w:fill="FFFFFF"/>
            <w:tcMar>
              <w:top w:w="30" w:type="dxa"/>
              <w:left w:w="0" w:type="dxa"/>
              <w:bottom w:w="30" w:type="dxa"/>
              <w:right w:w="20" w:type="dxa"/>
            </w:tcMar>
            <w:vAlign w:val="bottom"/>
            <w:hideMark/>
          </w:tcPr>
          <w:p w14:paraId="4FAE0B70"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2F9AF6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CA51CB"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2FB090A5" w14:textId="77777777" w:rsidR="00000000" w:rsidRDefault="00A173A8">
            <w:pPr>
              <w:spacing w:after="100"/>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3A9D0C0" w14:textId="77777777" w:rsidR="00000000" w:rsidRDefault="00A173A8">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44BA222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BDFCAD"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A935B02" w14:textId="77777777" w:rsidR="00000000" w:rsidRDefault="00A173A8">
            <w:pPr>
              <w:spacing w:after="100"/>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2170D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6452E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CE1F8B"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69D0259" w14:textId="77777777" w:rsidR="00000000" w:rsidRDefault="00A173A8">
            <w:pPr>
              <w:spacing w:after="100"/>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6FC48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46C9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2564050"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1EDE8A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F03DD62" w14:textId="77777777" w:rsidR="00000000" w:rsidRDefault="00A173A8">
            <w:pPr>
              <w:spacing w:after="100"/>
              <w:jc w:val="right"/>
              <w:rPr>
                <w:rFonts w:eastAsia="Times New Roman"/>
              </w:rPr>
            </w:pPr>
          </w:p>
        </w:tc>
      </w:tr>
      <w:tr w:rsidR="00000000" w14:paraId="74351E06" w14:textId="77777777">
        <w:tc>
          <w:tcPr>
            <w:tcW w:w="0" w:type="auto"/>
            <w:gridSpan w:val="10"/>
            <w:shd w:val="clear" w:color="auto" w:fill="CCEEFF"/>
            <w:tcMar>
              <w:top w:w="30" w:type="dxa"/>
              <w:left w:w="245" w:type="dxa"/>
              <w:bottom w:w="30" w:type="dxa"/>
              <w:right w:w="20" w:type="dxa"/>
            </w:tcMar>
            <w:vAlign w:val="center"/>
            <w:hideMark/>
          </w:tcPr>
          <w:p w14:paraId="732FD901" w14:textId="77777777" w:rsidR="00000000" w:rsidRDefault="00A173A8">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0DA4DFA0" w14:textId="77777777" w:rsidR="00000000" w:rsidRDefault="00A173A8">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0923A2AB" w14:textId="77777777" w:rsidR="00000000" w:rsidRDefault="00A173A8">
            <w:pPr>
              <w:spacing w:after="100"/>
              <w:jc w:val="right"/>
              <w:rPr>
                <w:rFonts w:eastAsia="Times New Roman"/>
              </w:rPr>
            </w:pPr>
            <w:r>
              <w:rPr>
                <w:rFonts w:eastAsia="Times New Roman"/>
                <w:b/>
                <w:bCs/>
                <w:color w:val="000000"/>
                <w:sz w:val="18"/>
                <w:szCs w:val="18"/>
              </w:rPr>
              <w:t>211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242DAC"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01F8F821"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4753B8E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E8F7CA" w14:textId="77777777" w:rsidR="00000000" w:rsidRDefault="00A173A8">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14:paraId="117705FC"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E2D42E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4"/>
            <w:shd w:val="clear" w:color="auto" w:fill="CCEEFF"/>
            <w:tcMar>
              <w:top w:w="30" w:type="dxa"/>
              <w:left w:w="0" w:type="dxa"/>
              <w:bottom w:w="30" w:type="dxa"/>
              <w:right w:w="20" w:type="dxa"/>
            </w:tcMar>
            <w:vAlign w:val="bottom"/>
            <w:hideMark/>
          </w:tcPr>
          <w:p w14:paraId="496D68A5"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5546706"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20105EF" w14:textId="77777777" w:rsidR="00000000" w:rsidRDefault="00A173A8">
            <w:pPr>
              <w:spacing w:after="100"/>
              <w:jc w:val="right"/>
              <w:rPr>
                <w:rFonts w:eastAsia="Times New Roman"/>
              </w:rPr>
            </w:pPr>
            <w:r>
              <w:rPr>
                <w:rFonts w:eastAsia="Times New Roman"/>
                <w:b/>
                <w:bCs/>
                <w:color w:val="000000"/>
                <w:sz w:val="18"/>
                <w:szCs w:val="18"/>
              </w:rPr>
              <w:t>(188)</w:t>
            </w:r>
          </w:p>
        </w:tc>
        <w:tc>
          <w:tcPr>
            <w:tcW w:w="0" w:type="auto"/>
            <w:shd w:val="clear" w:color="auto" w:fill="CCEEFF"/>
            <w:tcMar>
              <w:top w:w="30" w:type="dxa"/>
              <w:left w:w="0" w:type="dxa"/>
              <w:bottom w:w="30" w:type="dxa"/>
              <w:right w:w="20" w:type="dxa"/>
            </w:tcMar>
            <w:vAlign w:val="bottom"/>
            <w:hideMark/>
          </w:tcPr>
          <w:p w14:paraId="4C4D5081" w14:textId="77777777" w:rsidR="00000000" w:rsidRDefault="00A173A8">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4D1644E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5EE653" w14:textId="77777777" w:rsidR="00000000" w:rsidRDefault="00A173A8">
            <w:pPr>
              <w:spacing w:after="100"/>
              <w:jc w:val="right"/>
              <w:rPr>
                <w:rFonts w:eastAsia="Times New Roman"/>
              </w:rPr>
            </w:pPr>
            <w:r>
              <w:rPr>
                <w:rFonts w:eastAsia="Times New Roman"/>
                <w:b/>
                <w:bCs/>
                <w:color w:val="000000"/>
                <w:sz w:val="18"/>
                <w:szCs w:val="18"/>
              </w:rPr>
              <w:t>(424)</w:t>
            </w:r>
          </w:p>
        </w:tc>
        <w:tc>
          <w:tcPr>
            <w:tcW w:w="0" w:type="auto"/>
            <w:shd w:val="clear" w:color="auto" w:fill="CCEEFF"/>
            <w:tcMar>
              <w:top w:w="30" w:type="dxa"/>
              <w:left w:w="0" w:type="dxa"/>
              <w:bottom w:w="30" w:type="dxa"/>
              <w:right w:w="20" w:type="dxa"/>
            </w:tcMar>
            <w:vAlign w:val="bottom"/>
            <w:hideMark/>
          </w:tcPr>
          <w:p w14:paraId="55B7012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315F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5DBF47" w14:textId="77777777" w:rsidR="00000000" w:rsidRDefault="00A173A8">
            <w:pPr>
              <w:spacing w:after="100"/>
              <w:jc w:val="right"/>
              <w:rPr>
                <w:rFonts w:eastAsia="Times New Roman"/>
              </w:rPr>
            </w:pPr>
            <w:r>
              <w:rPr>
                <w:rFonts w:eastAsia="Times New Roman"/>
                <w:b/>
                <w:bCs/>
                <w:color w:val="000000"/>
                <w:sz w:val="18"/>
                <w:szCs w:val="18"/>
              </w:rPr>
              <w:t>(1,232)</w:t>
            </w:r>
          </w:p>
        </w:tc>
        <w:tc>
          <w:tcPr>
            <w:tcW w:w="0" w:type="auto"/>
            <w:shd w:val="clear" w:color="auto" w:fill="CCEEFF"/>
            <w:tcMar>
              <w:top w:w="30" w:type="dxa"/>
              <w:left w:w="0" w:type="dxa"/>
              <w:bottom w:w="30" w:type="dxa"/>
              <w:right w:w="20" w:type="dxa"/>
            </w:tcMar>
            <w:vAlign w:val="bottom"/>
            <w:hideMark/>
          </w:tcPr>
          <w:p w14:paraId="5C7FE2E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2FB4A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31EECB" w14:textId="77777777" w:rsidR="00000000" w:rsidRDefault="00A173A8">
            <w:pPr>
              <w:spacing w:after="100"/>
              <w:jc w:val="right"/>
              <w:rPr>
                <w:rFonts w:eastAsia="Times New Roman"/>
              </w:rPr>
            </w:pPr>
            <w:r>
              <w:rPr>
                <w:rFonts w:eastAsia="Times New Roman"/>
                <w:b/>
                <w:bCs/>
                <w:color w:val="000000"/>
                <w:sz w:val="18"/>
                <w:szCs w:val="18"/>
              </w:rPr>
              <w:t>(112)</w:t>
            </w:r>
          </w:p>
        </w:tc>
        <w:tc>
          <w:tcPr>
            <w:tcW w:w="0" w:type="auto"/>
            <w:shd w:val="clear" w:color="auto" w:fill="CCEEFF"/>
            <w:tcMar>
              <w:top w:w="30" w:type="dxa"/>
              <w:left w:w="0" w:type="dxa"/>
              <w:bottom w:w="30" w:type="dxa"/>
              <w:right w:w="20" w:type="dxa"/>
            </w:tcMar>
            <w:vAlign w:val="bottom"/>
            <w:hideMark/>
          </w:tcPr>
          <w:p w14:paraId="2CA294D9" w14:textId="77777777" w:rsidR="00000000" w:rsidRDefault="00A173A8">
            <w:pPr>
              <w:spacing w:after="100"/>
              <w:jc w:val="right"/>
              <w:rPr>
                <w:rFonts w:eastAsia="Times New Roman"/>
              </w:rPr>
            </w:pPr>
          </w:p>
        </w:tc>
      </w:tr>
      <w:tr w:rsidR="00000000" w14:paraId="7BAB8CE2" w14:textId="77777777">
        <w:tc>
          <w:tcPr>
            <w:tcW w:w="0" w:type="auto"/>
            <w:gridSpan w:val="10"/>
            <w:shd w:val="clear" w:color="auto" w:fill="FFFFFF"/>
            <w:tcMar>
              <w:top w:w="30" w:type="dxa"/>
              <w:left w:w="20" w:type="dxa"/>
              <w:bottom w:w="30" w:type="dxa"/>
              <w:right w:w="20" w:type="dxa"/>
            </w:tcMar>
            <w:vAlign w:val="center"/>
            <w:hideMark/>
          </w:tcPr>
          <w:p w14:paraId="34CDBA2D" w14:textId="77777777" w:rsidR="00000000" w:rsidRDefault="00A173A8">
            <w:pPr>
              <w:spacing w:after="100"/>
              <w:divId w:val="149635899"/>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536C1CB3" w14:textId="77777777" w:rsidR="00000000" w:rsidRDefault="00A173A8">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7595DC63" w14:textId="77777777" w:rsidR="00000000" w:rsidRDefault="00A173A8">
            <w:pPr>
              <w:spacing w:after="100"/>
              <w:jc w:val="right"/>
              <w:rPr>
                <w:rFonts w:eastAsia="Times New Roman"/>
              </w:rPr>
            </w:pPr>
            <w:r>
              <w:rPr>
                <w:rFonts w:eastAsia="Times New Roman"/>
                <w:b/>
                <w:bCs/>
                <w:color w:val="000000"/>
                <w:sz w:val="18"/>
                <w:szCs w:val="18"/>
              </w:rPr>
              <w:t>(262)</w:t>
            </w:r>
          </w:p>
        </w:tc>
        <w:tc>
          <w:tcPr>
            <w:tcW w:w="0" w:type="auto"/>
            <w:shd w:val="clear" w:color="auto" w:fill="FFFFFF"/>
            <w:tcMar>
              <w:top w:w="30" w:type="dxa"/>
              <w:left w:w="0" w:type="dxa"/>
              <w:bottom w:w="30" w:type="dxa"/>
              <w:right w:w="20" w:type="dxa"/>
            </w:tcMar>
            <w:vAlign w:val="bottom"/>
            <w:hideMark/>
          </w:tcPr>
          <w:p w14:paraId="1134A83F"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C272A1E"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7587815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79A22C" w14:textId="77777777" w:rsidR="00000000" w:rsidRDefault="00A173A8">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14:paraId="574F5B68"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1A72946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4"/>
            <w:shd w:val="clear" w:color="auto" w:fill="FFFFFF"/>
            <w:tcMar>
              <w:top w:w="30" w:type="dxa"/>
              <w:left w:w="0" w:type="dxa"/>
              <w:bottom w:w="30" w:type="dxa"/>
              <w:right w:w="20" w:type="dxa"/>
            </w:tcMar>
            <w:vAlign w:val="bottom"/>
            <w:hideMark/>
          </w:tcPr>
          <w:p w14:paraId="38B4E5CD"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EE0B8E6"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5E2217B6" w14:textId="77777777" w:rsidR="00000000" w:rsidRDefault="00A173A8">
            <w:pPr>
              <w:spacing w:after="100"/>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CF477E2" w14:textId="77777777" w:rsidR="00000000" w:rsidRDefault="00A173A8">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29A7FFF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1402B9" w14:textId="77777777" w:rsidR="00000000" w:rsidRDefault="00A173A8">
            <w:pPr>
              <w:spacing w:after="100"/>
              <w:jc w:val="right"/>
              <w:rPr>
                <w:rFonts w:eastAsia="Times New Roman"/>
              </w:rPr>
            </w:pPr>
            <w:r>
              <w:rPr>
                <w:rFonts w:eastAsia="Times New Roman"/>
                <w:b/>
                <w:bCs/>
                <w:color w:val="000000"/>
                <w:sz w:val="18"/>
                <w:szCs w:val="18"/>
              </w:rPr>
              <w:t>423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3B932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C2C59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22FECF" w14:textId="77777777" w:rsidR="00000000" w:rsidRDefault="00A173A8">
            <w:pPr>
              <w:spacing w:after="100"/>
              <w:jc w:val="right"/>
              <w:rPr>
                <w:rFonts w:eastAsia="Times New Roman"/>
              </w:rPr>
            </w:pPr>
            <w:r>
              <w:rPr>
                <w:rFonts w:eastAsia="Times New Roman"/>
                <w:b/>
                <w:bCs/>
                <w:color w:val="000000"/>
                <w:sz w:val="18"/>
                <w:szCs w:val="18"/>
              </w:rPr>
              <w:t>1,309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A96139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7A006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6FA334" w14:textId="77777777" w:rsidR="00000000" w:rsidRDefault="00A173A8">
            <w:pPr>
              <w:spacing w:after="100"/>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6D4C58E" w14:textId="77777777" w:rsidR="00000000" w:rsidRDefault="00A173A8">
            <w:pPr>
              <w:spacing w:after="100"/>
              <w:jc w:val="right"/>
              <w:rPr>
                <w:rFonts w:eastAsia="Times New Roman"/>
              </w:rPr>
            </w:pPr>
          </w:p>
        </w:tc>
      </w:tr>
      <w:tr w:rsidR="00000000" w14:paraId="0FED6A13" w14:textId="77777777">
        <w:tc>
          <w:tcPr>
            <w:tcW w:w="0" w:type="auto"/>
            <w:gridSpan w:val="10"/>
            <w:shd w:val="clear" w:color="auto" w:fill="CCEEFF"/>
            <w:tcMar>
              <w:top w:w="30" w:type="dxa"/>
              <w:left w:w="20" w:type="dxa"/>
              <w:bottom w:w="30" w:type="dxa"/>
              <w:right w:w="20" w:type="dxa"/>
            </w:tcMar>
            <w:vAlign w:val="center"/>
            <w:hideMark/>
          </w:tcPr>
          <w:p w14:paraId="7F48B20F" w14:textId="77777777" w:rsidR="00000000" w:rsidRDefault="00A173A8">
            <w:pPr>
              <w:spacing w:after="100"/>
              <w:divId w:val="1090388032"/>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2E3E250" w14:textId="77777777" w:rsidR="00000000" w:rsidRDefault="00A173A8">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1B6DCA1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EEA294"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26DFF9E2"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9821F1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FEF2327" w14:textId="77777777" w:rsidR="00000000" w:rsidRDefault="00A173A8">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14:paraId="64243D66"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5D544EA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4"/>
            <w:shd w:val="clear" w:color="auto" w:fill="CCEEFF"/>
            <w:tcMar>
              <w:top w:w="30" w:type="dxa"/>
              <w:left w:w="0" w:type="dxa"/>
              <w:bottom w:w="30" w:type="dxa"/>
              <w:right w:w="20" w:type="dxa"/>
            </w:tcMar>
            <w:vAlign w:val="bottom"/>
            <w:hideMark/>
          </w:tcPr>
          <w:p w14:paraId="065ABD15"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21482A1"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47E4369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90E884F" w14:textId="77777777" w:rsidR="00000000" w:rsidRDefault="00A173A8">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5D900F8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B1475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E0A105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1EE0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B5C908"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03EDF1C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0354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E8DF8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BD405BF" w14:textId="77777777" w:rsidR="00000000" w:rsidRDefault="00A173A8">
            <w:pPr>
              <w:spacing w:after="100"/>
              <w:jc w:val="right"/>
              <w:rPr>
                <w:rFonts w:eastAsia="Times New Roman"/>
              </w:rPr>
            </w:pPr>
          </w:p>
        </w:tc>
      </w:tr>
      <w:tr w:rsidR="00000000" w14:paraId="2A5CEF40" w14:textId="77777777">
        <w:tc>
          <w:tcPr>
            <w:tcW w:w="0" w:type="auto"/>
            <w:gridSpan w:val="10"/>
            <w:shd w:val="clear" w:color="auto" w:fill="FFFFFF"/>
            <w:tcMar>
              <w:top w:w="30" w:type="dxa"/>
              <w:left w:w="20" w:type="dxa"/>
              <w:bottom w:w="30" w:type="dxa"/>
              <w:right w:w="20" w:type="dxa"/>
            </w:tcMar>
            <w:vAlign w:val="center"/>
            <w:hideMark/>
          </w:tcPr>
          <w:p w14:paraId="220B0DC8" w14:textId="77777777" w:rsidR="00000000" w:rsidRDefault="00A173A8">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1D1C71F2"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4C24E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tcBorders>
              <w:top w:val="single" w:sz="8" w:space="0" w:color="000000"/>
            </w:tcBorders>
            <w:shd w:val="clear" w:color="auto" w:fill="FFFFFF"/>
            <w:tcMar>
              <w:top w:w="30" w:type="dxa"/>
              <w:left w:w="0" w:type="dxa"/>
              <w:bottom w:w="30" w:type="dxa"/>
              <w:right w:w="0" w:type="dxa"/>
            </w:tcMar>
            <w:vAlign w:val="bottom"/>
            <w:hideMark/>
          </w:tcPr>
          <w:p w14:paraId="6F30C9DF" w14:textId="77777777" w:rsidR="00000000" w:rsidRDefault="00A173A8">
            <w:pPr>
              <w:spacing w:after="100"/>
              <w:jc w:val="right"/>
              <w:rPr>
                <w:rFonts w:eastAsia="Times New Roman"/>
              </w:rPr>
            </w:pPr>
            <w:r>
              <w:rPr>
                <w:rFonts w:eastAsia="Times New Roman"/>
                <w:b/>
                <w:bCs/>
                <w:color w:val="000000"/>
                <w:sz w:val="18"/>
                <w:szCs w:val="18"/>
              </w:rPr>
              <w:t>(51)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BD57F0"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3E369A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581E5A"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tcBorders>
              <w:top w:val="single" w:sz="8" w:space="0" w:color="000000"/>
            </w:tcBorders>
            <w:shd w:val="clear" w:color="auto" w:fill="FFFFFF"/>
            <w:tcMar>
              <w:top w:w="30" w:type="dxa"/>
              <w:left w:w="0" w:type="dxa"/>
              <w:bottom w:w="30" w:type="dxa"/>
              <w:right w:w="0" w:type="dxa"/>
            </w:tcMar>
            <w:vAlign w:val="bottom"/>
            <w:hideMark/>
          </w:tcPr>
          <w:p w14:paraId="5D914CD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3EC940" w14:textId="77777777" w:rsidR="00000000" w:rsidRDefault="00A173A8">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14:paraId="45BB659B"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4135BE7B"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tcBorders>
            <w:shd w:val="clear" w:color="auto" w:fill="FFFFFF"/>
            <w:tcMar>
              <w:top w:w="30" w:type="dxa"/>
              <w:left w:w="0" w:type="dxa"/>
              <w:bottom w:w="30" w:type="dxa"/>
              <w:right w:w="0" w:type="dxa"/>
            </w:tcMar>
            <w:vAlign w:val="bottom"/>
            <w:hideMark/>
          </w:tcPr>
          <w:p w14:paraId="45D93FF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4"/>
            <w:tcBorders>
              <w:top w:val="single" w:sz="8" w:space="0" w:color="000000"/>
            </w:tcBorders>
            <w:shd w:val="clear" w:color="auto" w:fill="FFFFFF"/>
            <w:tcMar>
              <w:top w:w="30" w:type="dxa"/>
              <w:left w:w="0" w:type="dxa"/>
              <w:bottom w:w="30" w:type="dxa"/>
              <w:right w:w="20" w:type="dxa"/>
            </w:tcMar>
            <w:vAlign w:val="bottom"/>
            <w:hideMark/>
          </w:tcPr>
          <w:p w14:paraId="3A789571"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F09E34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961ACE1"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tcBorders>
              <w:top w:val="single" w:sz="8" w:space="0" w:color="000000"/>
            </w:tcBorders>
            <w:shd w:val="clear" w:color="auto" w:fill="FFFFFF"/>
            <w:tcMar>
              <w:top w:w="30" w:type="dxa"/>
              <w:left w:w="0" w:type="dxa"/>
              <w:bottom w:w="30" w:type="dxa"/>
              <w:right w:w="0" w:type="dxa"/>
            </w:tcMar>
            <w:vAlign w:val="bottom"/>
            <w:hideMark/>
          </w:tcPr>
          <w:p w14:paraId="33321E83" w14:textId="77777777" w:rsidR="00000000" w:rsidRDefault="00A173A8">
            <w:pPr>
              <w:spacing w:after="100"/>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C95B49" w14:textId="77777777" w:rsidR="00000000" w:rsidRDefault="00A173A8">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5BBFD53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64573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72621F" w14:textId="77777777" w:rsidR="00000000" w:rsidRDefault="00A173A8">
            <w:pPr>
              <w:spacing w:after="100"/>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2B1F3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A818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275F53"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D80B9BC" w14:textId="77777777" w:rsidR="00000000" w:rsidRDefault="00A173A8">
            <w:pPr>
              <w:spacing w:after="100"/>
              <w:jc w:val="right"/>
              <w:rPr>
                <w:rFonts w:eastAsia="Times New Roman"/>
              </w:rPr>
            </w:pPr>
            <w:r>
              <w:rPr>
                <w:rFonts w:eastAsia="Times New Roman"/>
                <w:b/>
                <w:bCs/>
                <w:color w:val="000000"/>
                <w:sz w:val="18"/>
                <w:szCs w:val="18"/>
              </w:rPr>
              <w:t>127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623F2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EB866"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95287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3DA650"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21F911" w14:textId="77777777" w:rsidR="00000000" w:rsidRDefault="00A173A8">
            <w:pPr>
              <w:spacing w:after="100"/>
              <w:jc w:val="right"/>
              <w:rPr>
                <w:rFonts w:eastAsia="Times New Roman"/>
              </w:rPr>
            </w:pPr>
          </w:p>
        </w:tc>
      </w:tr>
      <w:tr w:rsidR="00000000" w14:paraId="69C3B240" w14:textId="77777777">
        <w:tc>
          <w:tcPr>
            <w:tcW w:w="0" w:type="auto"/>
            <w:gridSpan w:val="10"/>
            <w:shd w:val="clear" w:color="auto" w:fill="CCEEFF"/>
            <w:tcMar>
              <w:top w:w="30" w:type="dxa"/>
              <w:left w:w="20" w:type="dxa"/>
              <w:bottom w:w="30" w:type="dxa"/>
              <w:right w:w="20" w:type="dxa"/>
            </w:tcMar>
            <w:vAlign w:val="center"/>
            <w:hideMark/>
          </w:tcPr>
          <w:p w14:paraId="4A532598" w14:textId="77777777" w:rsidR="00000000" w:rsidRDefault="00A173A8">
            <w:pPr>
              <w:spacing w:after="100"/>
              <w:divId w:val="231164854"/>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2D60CA9" w14:textId="77777777" w:rsidR="00000000" w:rsidRDefault="00A173A8">
            <w:pPr>
              <w:spacing w:after="100"/>
              <w:rPr>
                <w:rFonts w:eastAsia="Times New Roman"/>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18B0A46F"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4BA105AC" w14:textId="77777777" w:rsidR="00000000" w:rsidRDefault="00A173A8">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7B637F08" w14:textId="77777777" w:rsidR="00000000" w:rsidRDefault="00A173A8">
            <w:pPr>
              <w:spacing w:after="100"/>
              <w:rPr>
                <w:rFonts w:eastAsia="Times New Roman"/>
                <w:sz w:val="20"/>
                <w:szCs w:val="20"/>
              </w:rPr>
            </w:pPr>
          </w:p>
        </w:tc>
        <w:tc>
          <w:tcPr>
            <w:tcW w:w="0" w:type="auto"/>
            <w:gridSpan w:val="7"/>
            <w:shd w:val="clear" w:color="auto" w:fill="CCEEFF"/>
            <w:tcMar>
              <w:top w:w="0" w:type="dxa"/>
              <w:left w:w="20" w:type="dxa"/>
              <w:bottom w:w="0" w:type="dxa"/>
              <w:right w:w="20" w:type="dxa"/>
            </w:tcMar>
            <w:vAlign w:val="center"/>
            <w:hideMark/>
          </w:tcPr>
          <w:p w14:paraId="330D5729" w14:textId="77777777" w:rsidR="00000000" w:rsidRDefault="00A173A8">
            <w:pPr>
              <w:spacing w:after="100"/>
              <w:rPr>
                <w:rFonts w:eastAsia="Times New Roman"/>
                <w:sz w:val="20"/>
                <w:szCs w:val="20"/>
              </w:rPr>
            </w:pPr>
          </w:p>
        </w:tc>
        <w:tc>
          <w:tcPr>
            <w:tcW w:w="0" w:type="auto"/>
            <w:gridSpan w:val="10"/>
            <w:tcBorders>
              <w:top w:val="double" w:sz="6" w:space="0" w:color="000000"/>
            </w:tcBorders>
            <w:shd w:val="clear" w:color="auto" w:fill="CCEEFF"/>
            <w:tcMar>
              <w:top w:w="0" w:type="dxa"/>
              <w:left w:w="20" w:type="dxa"/>
              <w:bottom w:w="0" w:type="dxa"/>
              <w:right w:w="20" w:type="dxa"/>
            </w:tcMar>
            <w:vAlign w:val="center"/>
            <w:hideMark/>
          </w:tcPr>
          <w:p w14:paraId="21D5801C"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16A07F33" w14:textId="77777777" w:rsidR="00000000" w:rsidRDefault="00A173A8">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263C96E1" w14:textId="77777777" w:rsidR="00000000" w:rsidRDefault="00A173A8">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7D74F6EC"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B31BCF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2BF621"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78DF6A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3C3405"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A46502" w14:textId="77777777" w:rsidR="00000000" w:rsidRDefault="00A173A8">
            <w:pPr>
              <w:spacing w:after="100"/>
              <w:rPr>
                <w:rFonts w:eastAsia="Times New Roman"/>
                <w:sz w:val="20"/>
                <w:szCs w:val="20"/>
              </w:rPr>
            </w:pPr>
          </w:p>
        </w:tc>
      </w:tr>
      <w:tr w:rsidR="00000000" w14:paraId="6905C8D9" w14:textId="77777777">
        <w:tc>
          <w:tcPr>
            <w:tcW w:w="0" w:type="auto"/>
            <w:gridSpan w:val="10"/>
            <w:shd w:val="clear" w:color="auto" w:fill="FFFFFF"/>
            <w:tcMar>
              <w:top w:w="30" w:type="dxa"/>
              <w:left w:w="20" w:type="dxa"/>
              <w:bottom w:w="30" w:type="dxa"/>
              <w:right w:w="20" w:type="dxa"/>
            </w:tcMar>
            <w:vAlign w:val="center"/>
            <w:hideMark/>
          </w:tcPr>
          <w:p w14:paraId="139A27C1" w14:textId="77777777" w:rsidR="00000000" w:rsidRDefault="00A173A8">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1BF3DD2C" w14:textId="77777777" w:rsidR="00000000" w:rsidRDefault="00A173A8">
            <w:pPr>
              <w:spacing w:after="100"/>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7578B474" w14:textId="77777777" w:rsidR="00000000" w:rsidRDefault="00A173A8">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32AFAD51" w14:textId="77777777" w:rsidR="00000000" w:rsidRDefault="00A173A8">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1898DAEA" w14:textId="77777777" w:rsidR="00000000" w:rsidRDefault="00A173A8">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3B12F85B" w14:textId="77777777" w:rsidR="00000000" w:rsidRDefault="00A173A8">
            <w:pPr>
              <w:spacing w:after="100"/>
              <w:rPr>
                <w:rFonts w:eastAsia="Times New Roman"/>
                <w:sz w:val="20"/>
                <w:szCs w:val="20"/>
              </w:rPr>
            </w:pPr>
          </w:p>
        </w:tc>
        <w:tc>
          <w:tcPr>
            <w:tcW w:w="0" w:type="auto"/>
            <w:gridSpan w:val="10"/>
            <w:shd w:val="clear" w:color="auto" w:fill="FFFFFF"/>
            <w:tcMar>
              <w:top w:w="0" w:type="dxa"/>
              <w:left w:w="20" w:type="dxa"/>
              <w:bottom w:w="0" w:type="dxa"/>
              <w:right w:w="20" w:type="dxa"/>
            </w:tcMar>
            <w:vAlign w:val="center"/>
            <w:hideMark/>
          </w:tcPr>
          <w:p w14:paraId="61CEA17C"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4F15F780" w14:textId="77777777" w:rsidR="00000000" w:rsidRDefault="00A173A8">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18C4C118" w14:textId="77777777" w:rsidR="00000000" w:rsidRDefault="00A173A8">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4F30762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31BE7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649E3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168CA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1ED95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85471B" w14:textId="77777777" w:rsidR="00000000" w:rsidRDefault="00A173A8">
            <w:pPr>
              <w:spacing w:after="100"/>
              <w:rPr>
                <w:rFonts w:eastAsia="Times New Roman"/>
                <w:sz w:val="20"/>
                <w:szCs w:val="20"/>
              </w:rPr>
            </w:pPr>
          </w:p>
        </w:tc>
      </w:tr>
      <w:tr w:rsidR="00000000" w14:paraId="62D89B5A" w14:textId="77777777">
        <w:tc>
          <w:tcPr>
            <w:tcW w:w="0" w:type="auto"/>
            <w:gridSpan w:val="10"/>
            <w:shd w:val="clear" w:color="auto" w:fill="CCEEFF"/>
            <w:tcMar>
              <w:top w:w="30" w:type="dxa"/>
              <w:left w:w="245" w:type="dxa"/>
              <w:bottom w:w="30" w:type="dxa"/>
              <w:right w:w="20" w:type="dxa"/>
            </w:tcMar>
            <w:vAlign w:val="center"/>
            <w:hideMark/>
          </w:tcPr>
          <w:p w14:paraId="1DF71835" w14:textId="77777777" w:rsidR="00000000" w:rsidRDefault="00A173A8">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14:paraId="2B6867E5"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F669056"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shd w:val="clear" w:color="auto" w:fill="CCEEFF"/>
            <w:tcMar>
              <w:top w:w="30" w:type="dxa"/>
              <w:left w:w="0" w:type="dxa"/>
              <w:bottom w:w="30" w:type="dxa"/>
              <w:right w:w="0" w:type="dxa"/>
            </w:tcMar>
            <w:vAlign w:val="bottom"/>
            <w:hideMark/>
          </w:tcPr>
          <w:p w14:paraId="7CBC0C6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34D177"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66549A6B"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B4F30E"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shd w:val="clear" w:color="auto" w:fill="CCEEFF"/>
            <w:tcMar>
              <w:top w:w="30" w:type="dxa"/>
              <w:left w:w="0" w:type="dxa"/>
              <w:bottom w:w="30" w:type="dxa"/>
              <w:right w:w="0" w:type="dxa"/>
            </w:tcMar>
            <w:vAlign w:val="bottom"/>
            <w:hideMark/>
          </w:tcPr>
          <w:p w14:paraId="76DD4769" w14:textId="77777777" w:rsidR="00000000" w:rsidRDefault="00A173A8">
            <w:pPr>
              <w:spacing w:after="100"/>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209737E" w14:textId="77777777" w:rsidR="00000000" w:rsidRDefault="00A173A8">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14:paraId="5FA0756C"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29C5A97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shd w:val="clear" w:color="auto" w:fill="CCEEFF"/>
            <w:tcMar>
              <w:top w:w="30" w:type="dxa"/>
              <w:left w:w="0" w:type="dxa"/>
              <w:bottom w:w="30" w:type="dxa"/>
              <w:right w:w="0" w:type="dxa"/>
            </w:tcMar>
            <w:vAlign w:val="bottom"/>
            <w:hideMark/>
          </w:tcPr>
          <w:p w14:paraId="1F03366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4"/>
            <w:shd w:val="clear" w:color="auto" w:fill="CCEEFF"/>
            <w:tcMar>
              <w:top w:w="30" w:type="dxa"/>
              <w:left w:w="0" w:type="dxa"/>
              <w:bottom w:w="30" w:type="dxa"/>
              <w:right w:w="20" w:type="dxa"/>
            </w:tcMar>
            <w:vAlign w:val="bottom"/>
            <w:hideMark/>
          </w:tcPr>
          <w:p w14:paraId="594A4CFA"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2780AEF"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482CD2"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shd w:val="clear" w:color="auto" w:fill="CCEEFF"/>
            <w:tcMar>
              <w:top w:w="30" w:type="dxa"/>
              <w:left w:w="0" w:type="dxa"/>
              <w:bottom w:w="30" w:type="dxa"/>
              <w:right w:w="0" w:type="dxa"/>
            </w:tcMar>
            <w:vAlign w:val="bottom"/>
            <w:hideMark/>
          </w:tcPr>
          <w:p w14:paraId="45EC3E6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2274D2" w14:textId="77777777" w:rsidR="00000000" w:rsidRDefault="00A173A8">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2BE864BF"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6DBFAB"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465EB32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0BA33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0D908"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12EB43"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5D83DC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3C716B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E7A04"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5BACA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14:paraId="24FAEA7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901BDBB" w14:textId="77777777" w:rsidR="00000000" w:rsidRDefault="00A173A8">
            <w:pPr>
              <w:spacing w:after="100"/>
              <w:jc w:val="right"/>
              <w:rPr>
                <w:rFonts w:eastAsia="Times New Roman"/>
              </w:rPr>
            </w:pPr>
          </w:p>
        </w:tc>
      </w:tr>
      <w:tr w:rsidR="00000000" w14:paraId="086A564E" w14:textId="77777777">
        <w:tc>
          <w:tcPr>
            <w:tcW w:w="0" w:type="auto"/>
            <w:gridSpan w:val="10"/>
            <w:shd w:val="clear" w:color="auto" w:fill="FFFFFF"/>
            <w:tcMar>
              <w:top w:w="30" w:type="dxa"/>
              <w:left w:w="20" w:type="dxa"/>
              <w:bottom w:w="30" w:type="dxa"/>
              <w:right w:w="20" w:type="dxa"/>
            </w:tcMar>
            <w:vAlign w:val="center"/>
            <w:hideMark/>
          </w:tcPr>
          <w:p w14:paraId="2ACCC588" w14:textId="77777777" w:rsidR="00000000" w:rsidRDefault="00A173A8">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0CC2B339" w14:textId="77777777" w:rsidR="00000000" w:rsidRDefault="00A173A8">
            <w:pPr>
              <w:spacing w:after="100"/>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46249C1" w14:textId="77777777" w:rsidR="00000000" w:rsidRDefault="00A173A8">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69B445DB" w14:textId="77777777" w:rsidR="00000000" w:rsidRDefault="00A173A8">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43E8CD1B" w14:textId="77777777" w:rsidR="00000000" w:rsidRDefault="00A173A8">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14:paraId="551169E3" w14:textId="77777777" w:rsidR="00000000" w:rsidRDefault="00A173A8">
            <w:pPr>
              <w:spacing w:after="100"/>
              <w:rPr>
                <w:rFonts w:eastAsia="Times New Roman"/>
                <w:sz w:val="20"/>
                <w:szCs w:val="20"/>
              </w:rPr>
            </w:pPr>
          </w:p>
        </w:tc>
        <w:tc>
          <w:tcPr>
            <w:tcW w:w="0" w:type="auto"/>
            <w:gridSpan w:val="10"/>
            <w:shd w:val="clear" w:color="auto" w:fill="FFFFFF"/>
            <w:tcMar>
              <w:top w:w="0" w:type="dxa"/>
              <w:left w:w="20" w:type="dxa"/>
              <w:bottom w:w="0" w:type="dxa"/>
              <w:right w:w="20" w:type="dxa"/>
            </w:tcMar>
            <w:vAlign w:val="center"/>
            <w:hideMark/>
          </w:tcPr>
          <w:p w14:paraId="18180495" w14:textId="77777777" w:rsidR="00000000" w:rsidRDefault="00A173A8">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14:paraId="6C7476CF" w14:textId="77777777" w:rsidR="00000000" w:rsidRDefault="00A173A8">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14:paraId="4AFEC342" w14:textId="77777777" w:rsidR="00000000" w:rsidRDefault="00A173A8">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14:paraId="2A958FB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B7706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5F916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5A1DE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39AF3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0470DB" w14:textId="77777777" w:rsidR="00000000" w:rsidRDefault="00A173A8">
            <w:pPr>
              <w:spacing w:after="100"/>
              <w:rPr>
                <w:rFonts w:eastAsia="Times New Roman"/>
                <w:sz w:val="20"/>
                <w:szCs w:val="20"/>
              </w:rPr>
            </w:pPr>
          </w:p>
        </w:tc>
      </w:tr>
      <w:tr w:rsidR="00000000" w14:paraId="76694975" w14:textId="77777777">
        <w:tc>
          <w:tcPr>
            <w:tcW w:w="0" w:type="auto"/>
            <w:gridSpan w:val="10"/>
            <w:shd w:val="clear" w:color="auto" w:fill="CCEEFF"/>
            <w:tcMar>
              <w:top w:w="30" w:type="dxa"/>
              <w:left w:w="20" w:type="dxa"/>
              <w:bottom w:w="30" w:type="dxa"/>
              <w:right w:w="20" w:type="dxa"/>
            </w:tcMar>
            <w:vAlign w:val="center"/>
            <w:hideMark/>
          </w:tcPr>
          <w:p w14:paraId="727DB285" w14:textId="77777777" w:rsidR="00000000" w:rsidRDefault="00A173A8">
            <w:pPr>
              <w:spacing w:after="100"/>
              <w:divId w:val="531916918"/>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B367D65" w14:textId="77777777" w:rsidR="00000000" w:rsidRDefault="00A173A8">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547566E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F8A1C0"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7B621EAF"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E401AE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550F84" w14:textId="77777777" w:rsidR="00000000" w:rsidRDefault="00A173A8">
            <w:pPr>
              <w:spacing w:after="100"/>
              <w:jc w:val="right"/>
              <w:rPr>
                <w:rFonts w:eastAsia="Times New Roman"/>
              </w:rPr>
            </w:pPr>
          </w:p>
        </w:tc>
        <w:tc>
          <w:tcPr>
            <w:tcW w:w="0" w:type="auto"/>
            <w:gridSpan w:val="7"/>
            <w:shd w:val="clear" w:color="auto" w:fill="CCEEFF"/>
            <w:tcMar>
              <w:top w:w="0" w:type="dxa"/>
              <w:left w:w="20" w:type="dxa"/>
              <w:bottom w:w="0" w:type="dxa"/>
              <w:right w:w="20" w:type="dxa"/>
            </w:tcMar>
            <w:vAlign w:val="center"/>
            <w:hideMark/>
          </w:tcPr>
          <w:p w14:paraId="6641480B"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7175A908"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gridSpan w:val="4"/>
            <w:shd w:val="clear" w:color="auto" w:fill="CCEEFF"/>
            <w:tcMar>
              <w:top w:w="30" w:type="dxa"/>
              <w:left w:w="0" w:type="dxa"/>
              <w:bottom w:w="30" w:type="dxa"/>
              <w:right w:w="20" w:type="dxa"/>
            </w:tcMar>
            <w:vAlign w:val="bottom"/>
            <w:hideMark/>
          </w:tcPr>
          <w:p w14:paraId="49E28C58"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32EF04D"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0AC575C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443B818" w14:textId="77777777" w:rsidR="00000000" w:rsidRDefault="00A173A8">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14:paraId="44FA4D0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69FD5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29508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03BF1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C679A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349F4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D0454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FFC21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0C4BBE6" w14:textId="77777777" w:rsidR="00000000" w:rsidRDefault="00A173A8">
            <w:pPr>
              <w:spacing w:after="100"/>
              <w:jc w:val="right"/>
              <w:rPr>
                <w:rFonts w:eastAsia="Times New Roman"/>
              </w:rPr>
            </w:pPr>
          </w:p>
        </w:tc>
      </w:tr>
      <w:tr w:rsidR="00000000" w14:paraId="22B514FC" w14:textId="77777777">
        <w:tc>
          <w:tcPr>
            <w:tcW w:w="0" w:type="auto"/>
            <w:gridSpan w:val="10"/>
            <w:shd w:val="clear" w:color="auto" w:fill="FFFFFF"/>
            <w:tcMar>
              <w:top w:w="30" w:type="dxa"/>
              <w:left w:w="20" w:type="dxa"/>
              <w:bottom w:w="30" w:type="dxa"/>
              <w:right w:w="20" w:type="dxa"/>
            </w:tcMar>
            <w:vAlign w:val="center"/>
            <w:hideMark/>
          </w:tcPr>
          <w:p w14:paraId="403404B7" w14:textId="77777777" w:rsidR="00000000" w:rsidRDefault="00A173A8">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26A5BA06"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DE2DFB"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96B9B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5EAE63"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4550C2A"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C09F5F"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AEB981" w14:textId="77777777" w:rsidR="00000000" w:rsidRDefault="00A173A8">
            <w:pPr>
              <w:spacing w:after="100"/>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0F7A55" w14:textId="77777777" w:rsidR="00000000" w:rsidRDefault="00A173A8">
            <w:pPr>
              <w:spacing w:after="100"/>
              <w:jc w:val="right"/>
              <w:rPr>
                <w:rFonts w:eastAsia="Times New Roman"/>
              </w:rPr>
            </w:pPr>
          </w:p>
        </w:tc>
        <w:tc>
          <w:tcPr>
            <w:tcW w:w="0" w:type="auto"/>
            <w:gridSpan w:val="7"/>
            <w:shd w:val="clear" w:color="auto" w:fill="FFFFFF"/>
            <w:tcMar>
              <w:top w:w="0" w:type="dxa"/>
              <w:left w:w="20" w:type="dxa"/>
              <w:bottom w:w="0" w:type="dxa"/>
              <w:right w:w="20" w:type="dxa"/>
            </w:tcMar>
            <w:vAlign w:val="center"/>
            <w:hideMark/>
          </w:tcPr>
          <w:p w14:paraId="67D4DB01" w14:textId="77777777" w:rsidR="00000000" w:rsidRDefault="00A173A8">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E2A42E"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C16B59"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740323D"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4D4203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E4671F"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54F03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916E83" w14:textId="77777777" w:rsidR="00000000" w:rsidRDefault="00A173A8">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14:paraId="3C49785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99CEBC"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9CE02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5135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A917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2ACB3C"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C38A5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9F52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D53C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24238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C73E64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554140" w14:textId="77777777" w:rsidR="00000000" w:rsidRDefault="00A173A8">
            <w:pPr>
              <w:spacing w:after="100"/>
              <w:jc w:val="right"/>
              <w:rPr>
                <w:rFonts w:eastAsia="Times New Roman"/>
              </w:rPr>
            </w:pPr>
          </w:p>
        </w:tc>
      </w:tr>
    </w:tbl>
    <w:p w14:paraId="17F2CE22" w14:textId="77777777" w:rsidR="00000000" w:rsidRDefault="00A173A8">
      <w:pPr>
        <w:jc w:val="center"/>
        <w:divId w:val="42023140"/>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8741A9A" w14:textId="77777777">
        <w:trPr>
          <w:divId w:val="42023140"/>
          <w:jc w:val="center"/>
        </w:trPr>
        <w:tc>
          <w:tcPr>
            <w:tcW w:w="50" w:type="pct"/>
            <w:vAlign w:val="center"/>
            <w:hideMark/>
          </w:tcPr>
          <w:p w14:paraId="58DAA5DF" w14:textId="77777777" w:rsidR="00000000" w:rsidRDefault="00A173A8">
            <w:pPr>
              <w:jc w:val="both"/>
              <w:rPr>
                <w:rFonts w:eastAsia="Times New Roman"/>
              </w:rPr>
            </w:pPr>
          </w:p>
        </w:tc>
        <w:tc>
          <w:tcPr>
            <w:tcW w:w="1606" w:type="pct"/>
            <w:vAlign w:val="center"/>
            <w:hideMark/>
          </w:tcPr>
          <w:p w14:paraId="571A4CB4" w14:textId="77777777" w:rsidR="00000000" w:rsidRDefault="00A173A8">
            <w:pPr>
              <w:spacing w:after="100"/>
              <w:rPr>
                <w:rFonts w:eastAsia="Times New Roman"/>
                <w:sz w:val="20"/>
                <w:szCs w:val="20"/>
              </w:rPr>
            </w:pPr>
          </w:p>
        </w:tc>
        <w:tc>
          <w:tcPr>
            <w:tcW w:w="5" w:type="pct"/>
            <w:vAlign w:val="center"/>
            <w:hideMark/>
          </w:tcPr>
          <w:p w14:paraId="26FD766D" w14:textId="77777777" w:rsidR="00000000" w:rsidRDefault="00A173A8">
            <w:pPr>
              <w:spacing w:after="100"/>
              <w:rPr>
                <w:rFonts w:eastAsia="Times New Roman"/>
                <w:sz w:val="20"/>
                <w:szCs w:val="20"/>
              </w:rPr>
            </w:pPr>
          </w:p>
        </w:tc>
        <w:tc>
          <w:tcPr>
            <w:tcW w:w="50" w:type="pct"/>
            <w:vAlign w:val="center"/>
            <w:hideMark/>
          </w:tcPr>
          <w:p w14:paraId="64B4EFB0" w14:textId="77777777" w:rsidR="00000000" w:rsidRDefault="00A173A8">
            <w:pPr>
              <w:spacing w:after="100"/>
              <w:rPr>
                <w:rFonts w:eastAsia="Times New Roman"/>
                <w:sz w:val="20"/>
                <w:szCs w:val="20"/>
              </w:rPr>
            </w:pPr>
          </w:p>
        </w:tc>
        <w:tc>
          <w:tcPr>
            <w:tcW w:w="1614" w:type="pct"/>
            <w:vAlign w:val="center"/>
            <w:hideMark/>
          </w:tcPr>
          <w:p w14:paraId="0C5C26B5" w14:textId="77777777" w:rsidR="00000000" w:rsidRDefault="00A173A8">
            <w:pPr>
              <w:spacing w:after="100"/>
              <w:rPr>
                <w:rFonts w:eastAsia="Times New Roman"/>
                <w:sz w:val="20"/>
                <w:szCs w:val="20"/>
              </w:rPr>
            </w:pPr>
          </w:p>
        </w:tc>
        <w:tc>
          <w:tcPr>
            <w:tcW w:w="5" w:type="pct"/>
            <w:vAlign w:val="center"/>
            <w:hideMark/>
          </w:tcPr>
          <w:p w14:paraId="46459338" w14:textId="77777777" w:rsidR="00000000" w:rsidRDefault="00A173A8">
            <w:pPr>
              <w:spacing w:after="100"/>
              <w:rPr>
                <w:rFonts w:eastAsia="Times New Roman"/>
                <w:sz w:val="20"/>
                <w:szCs w:val="20"/>
              </w:rPr>
            </w:pPr>
          </w:p>
        </w:tc>
        <w:tc>
          <w:tcPr>
            <w:tcW w:w="50" w:type="pct"/>
            <w:vAlign w:val="center"/>
            <w:hideMark/>
          </w:tcPr>
          <w:p w14:paraId="762D9E49" w14:textId="77777777" w:rsidR="00000000" w:rsidRDefault="00A173A8">
            <w:pPr>
              <w:spacing w:after="100"/>
              <w:rPr>
                <w:rFonts w:eastAsia="Times New Roman"/>
                <w:sz w:val="20"/>
                <w:szCs w:val="20"/>
              </w:rPr>
            </w:pPr>
          </w:p>
        </w:tc>
        <w:tc>
          <w:tcPr>
            <w:tcW w:w="1614" w:type="pct"/>
            <w:vAlign w:val="center"/>
            <w:hideMark/>
          </w:tcPr>
          <w:p w14:paraId="4F1E59A5" w14:textId="77777777" w:rsidR="00000000" w:rsidRDefault="00A173A8">
            <w:pPr>
              <w:spacing w:after="100"/>
              <w:rPr>
                <w:rFonts w:eastAsia="Times New Roman"/>
                <w:sz w:val="20"/>
                <w:szCs w:val="20"/>
              </w:rPr>
            </w:pPr>
          </w:p>
        </w:tc>
        <w:tc>
          <w:tcPr>
            <w:tcW w:w="5" w:type="pct"/>
            <w:vAlign w:val="center"/>
            <w:hideMark/>
          </w:tcPr>
          <w:p w14:paraId="5A61E3FC" w14:textId="77777777" w:rsidR="00000000" w:rsidRDefault="00A173A8">
            <w:pPr>
              <w:spacing w:after="100"/>
              <w:rPr>
                <w:rFonts w:eastAsia="Times New Roman"/>
                <w:sz w:val="20"/>
                <w:szCs w:val="20"/>
              </w:rPr>
            </w:pPr>
          </w:p>
        </w:tc>
      </w:tr>
      <w:tr w:rsidR="00000000" w14:paraId="01B6FA9C" w14:textId="77777777">
        <w:trPr>
          <w:divId w:val="42023140"/>
          <w:trHeight w:val="300"/>
          <w:jc w:val="center"/>
        </w:trPr>
        <w:tc>
          <w:tcPr>
            <w:tcW w:w="0" w:type="auto"/>
            <w:gridSpan w:val="9"/>
            <w:tcMar>
              <w:top w:w="0" w:type="dxa"/>
              <w:left w:w="20" w:type="dxa"/>
              <w:bottom w:w="0" w:type="dxa"/>
              <w:right w:w="20" w:type="dxa"/>
            </w:tcMar>
            <w:vAlign w:val="center"/>
            <w:hideMark/>
          </w:tcPr>
          <w:p w14:paraId="192D80E8" w14:textId="77777777" w:rsidR="00000000" w:rsidRDefault="00A173A8">
            <w:pPr>
              <w:spacing w:after="100"/>
              <w:rPr>
                <w:rFonts w:eastAsia="Times New Roman"/>
                <w:sz w:val="20"/>
                <w:szCs w:val="20"/>
              </w:rPr>
            </w:pPr>
          </w:p>
        </w:tc>
      </w:tr>
      <w:tr w:rsidR="00000000" w14:paraId="2CF61267" w14:textId="77777777">
        <w:trPr>
          <w:divId w:val="42023140"/>
          <w:jc w:val="center"/>
        </w:trPr>
        <w:tc>
          <w:tcPr>
            <w:tcW w:w="0" w:type="auto"/>
            <w:gridSpan w:val="3"/>
            <w:tcMar>
              <w:top w:w="0" w:type="dxa"/>
              <w:left w:w="20" w:type="dxa"/>
              <w:bottom w:w="0" w:type="dxa"/>
              <w:right w:w="20" w:type="dxa"/>
            </w:tcMar>
            <w:vAlign w:val="center"/>
            <w:hideMark/>
          </w:tcPr>
          <w:p w14:paraId="63B8DA3B"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99060B" w14:textId="77777777" w:rsidR="00000000" w:rsidRDefault="00A173A8">
            <w:pPr>
              <w:spacing w:after="100"/>
              <w:jc w:val="center"/>
              <w:rPr>
                <w:rFonts w:eastAsia="Times New Roman"/>
              </w:rPr>
            </w:pPr>
            <w:r>
              <w:rPr>
                <w:rFonts w:eastAsia="Times New Roman"/>
                <w:color w:val="000000"/>
                <w:sz w:val="16"/>
                <w:szCs w:val="16"/>
              </w:rPr>
              <w:t>98</w:t>
            </w:r>
          </w:p>
        </w:tc>
        <w:tc>
          <w:tcPr>
            <w:tcW w:w="0" w:type="auto"/>
            <w:gridSpan w:val="3"/>
            <w:tcMar>
              <w:top w:w="30" w:type="dxa"/>
              <w:left w:w="20" w:type="dxa"/>
              <w:bottom w:w="30" w:type="dxa"/>
              <w:right w:w="20" w:type="dxa"/>
            </w:tcMar>
            <w:vAlign w:val="bottom"/>
            <w:hideMark/>
          </w:tcPr>
          <w:p w14:paraId="1A89A11A"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72CB67B" w14:textId="77777777" w:rsidR="00000000" w:rsidRDefault="00A173A8">
      <w:pPr>
        <w:rPr>
          <w:rFonts w:eastAsia="Times New Roman"/>
        </w:rPr>
      </w:pPr>
      <w:r>
        <w:rPr>
          <w:rFonts w:eastAsia="Times New Roman"/>
        </w:rPr>
        <w:pict w14:anchorId="76314094">
          <v:rect id="_x0000_i1123" style="width:0;height:1.5pt" o:hralign="center" o:hrstd="t" o:hr="t" fillcolor="#a0a0a0" stroked="f"/>
        </w:pict>
      </w:r>
    </w:p>
    <w:p w14:paraId="09618E50" w14:textId="77777777" w:rsidR="00000000" w:rsidRDefault="00A173A8">
      <w:pPr>
        <w:jc w:val="both"/>
        <w:divId w:val="1830518170"/>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
        <w:gridCol w:w="1698"/>
        <w:gridCol w:w="39"/>
        <w:gridCol w:w="36"/>
        <w:gridCol w:w="36"/>
        <w:gridCol w:w="36"/>
        <w:gridCol w:w="111"/>
        <w:gridCol w:w="720"/>
        <w:gridCol w:w="36"/>
        <w:gridCol w:w="36"/>
        <w:gridCol w:w="36"/>
        <w:gridCol w:w="36"/>
        <w:gridCol w:w="111"/>
        <w:gridCol w:w="625"/>
        <w:gridCol w:w="36"/>
        <w:gridCol w:w="36"/>
        <w:gridCol w:w="36"/>
        <w:gridCol w:w="36"/>
        <w:gridCol w:w="111"/>
        <w:gridCol w:w="615"/>
        <w:gridCol w:w="36"/>
        <w:gridCol w:w="36"/>
        <w:gridCol w:w="36"/>
        <w:gridCol w:w="36"/>
        <w:gridCol w:w="111"/>
        <w:gridCol w:w="646"/>
        <w:gridCol w:w="36"/>
        <w:gridCol w:w="36"/>
        <w:gridCol w:w="36"/>
        <w:gridCol w:w="36"/>
        <w:gridCol w:w="111"/>
        <w:gridCol w:w="743"/>
        <w:gridCol w:w="36"/>
        <w:gridCol w:w="36"/>
        <w:gridCol w:w="36"/>
        <w:gridCol w:w="36"/>
        <w:gridCol w:w="111"/>
        <w:gridCol w:w="871"/>
        <w:gridCol w:w="36"/>
        <w:gridCol w:w="36"/>
        <w:gridCol w:w="36"/>
        <w:gridCol w:w="36"/>
        <w:gridCol w:w="111"/>
        <w:gridCol w:w="510"/>
        <w:gridCol w:w="36"/>
      </w:tblGrid>
      <w:tr w:rsidR="00000000" w14:paraId="38EEC4F1" w14:textId="77777777">
        <w:trPr>
          <w:divId w:val="1294872770"/>
        </w:trPr>
        <w:tc>
          <w:tcPr>
            <w:tcW w:w="50" w:type="pct"/>
            <w:vAlign w:val="center"/>
            <w:hideMark/>
          </w:tcPr>
          <w:p w14:paraId="7E9D4FD3" w14:textId="77777777" w:rsidR="00000000" w:rsidRDefault="00A173A8">
            <w:pPr>
              <w:jc w:val="both"/>
              <w:rPr>
                <w:rFonts w:eastAsia="Times New Roman"/>
              </w:rPr>
            </w:pPr>
          </w:p>
        </w:tc>
        <w:tc>
          <w:tcPr>
            <w:tcW w:w="1085" w:type="pct"/>
            <w:vAlign w:val="center"/>
            <w:hideMark/>
          </w:tcPr>
          <w:p w14:paraId="740C5DC4" w14:textId="77777777" w:rsidR="00000000" w:rsidRDefault="00A173A8">
            <w:pPr>
              <w:spacing w:after="100"/>
              <w:rPr>
                <w:rFonts w:eastAsia="Times New Roman"/>
                <w:sz w:val="20"/>
                <w:szCs w:val="20"/>
              </w:rPr>
            </w:pPr>
          </w:p>
        </w:tc>
        <w:tc>
          <w:tcPr>
            <w:tcW w:w="5" w:type="pct"/>
            <w:vAlign w:val="center"/>
            <w:hideMark/>
          </w:tcPr>
          <w:p w14:paraId="19761BD2" w14:textId="77777777" w:rsidR="00000000" w:rsidRDefault="00A173A8">
            <w:pPr>
              <w:spacing w:after="100"/>
              <w:rPr>
                <w:rFonts w:eastAsia="Times New Roman"/>
                <w:sz w:val="20"/>
                <w:szCs w:val="20"/>
              </w:rPr>
            </w:pPr>
          </w:p>
        </w:tc>
        <w:tc>
          <w:tcPr>
            <w:tcW w:w="5" w:type="pct"/>
            <w:vAlign w:val="center"/>
            <w:hideMark/>
          </w:tcPr>
          <w:p w14:paraId="63160541" w14:textId="77777777" w:rsidR="00000000" w:rsidRDefault="00A173A8">
            <w:pPr>
              <w:spacing w:after="100"/>
              <w:rPr>
                <w:rFonts w:eastAsia="Times New Roman"/>
                <w:sz w:val="20"/>
                <w:szCs w:val="20"/>
              </w:rPr>
            </w:pPr>
          </w:p>
        </w:tc>
        <w:tc>
          <w:tcPr>
            <w:tcW w:w="26" w:type="pct"/>
            <w:vAlign w:val="center"/>
            <w:hideMark/>
          </w:tcPr>
          <w:p w14:paraId="5ED470C5" w14:textId="77777777" w:rsidR="00000000" w:rsidRDefault="00A173A8">
            <w:pPr>
              <w:spacing w:after="100"/>
              <w:rPr>
                <w:rFonts w:eastAsia="Times New Roman"/>
                <w:sz w:val="20"/>
                <w:szCs w:val="20"/>
              </w:rPr>
            </w:pPr>
          </w:p>
        </w:tc>
        <w:tc>
          <w:tcPr>
            <w:tcW w:w="5" w:type="pct"/>
            <w:vAlign w:val="center"/>
            <w:hideMark/>
          </w:tcPr>
          <w:p w14:paraId="16F70D76" w14:textId="77777777" w:rsidR="00000000" w:rsidRDefault="00A173A8">
            <w:pPr>
              <w:spacing w:after="100"/>
              <w:rPr>
                <w:rFonts w:eastAsia="Times New Roman"/>
                <w:sz w:val="20"/>
                <w:szCs w:val="20"/>
              </w:rPr>
            </w:pPr>
          </w:p>
        </w:tc>
        <w:tc>
          <w:tcPr>
            <w:tcW w:w="50" w:type="pct"/>
            <w:vAlign w:val="center"/>
            <w:hideMark/>
          </w:tcPr>
          <w:p w14:paraId="1ECC1DD1" w14:textId="77777777" w:rsidR="00000000" w:rsidRDefault="00A173A8">
            <w:pPr>
              <w:spacing w:after="100"/>
              <w:rPr>
                <w:rFonts w:eastAsia="Times New Roman"/>
                <w:sz w:val="20"/>
                <w:szCs w:val="20"/>
              </w:rPr>
            </w:pPr>
          </w:p>
        </w:tc>
        <w:tc>
          <w:tcPr>
            <w:tcW w:w="464" w:type="pct"/>
            <w:vAlign w:val="center"/>
            <w:hideMark/>
          </w:tcPr>
          <w:p w14:paraId="17A0AC60" w14:textId="77777777" w:rsidR="00000000" w:rsidRDefault="00A173A8">
            <w:pPr>
              <w:spacing w:after="100"/>
              <w:rPr>
                <w:rFonts w:eastAsia="Times New Roman"/>
                <w:sz w:val="20"/>
                <w:szCs w:val="20"/>
              </w:rPr>
            </w:pPr>
          </w:p>
        </w:tc>
        <w:tc>
          <w:tcPr>
            <w:tcW w:w="5" w:type="pct"/>
            <w:vAlign w:val="center"/>
            <w:hideMark/>
          </w:tcPr>
          <w:p w14:paraId="0A01A35D" w14:textId="77777777" w:rsidR="00000000" w:rsidRDefault="00A173A8">
            <w:pPr>
              <w:spacing w:after="100"/>
              <w:rPr>
                <w:rFonts w:eastAsia="Times New Roman"/>
                <w:sz w:val="20"/>
                <w:szCs w:val="20"/>
              </w:rPr>
            </w:pPr>
          </w:p>
        </w:tc>
        <w:tc>
          <w:tcPr>
            <w:tcW w:w="5" w:type="pct"/>
            <w:vAlign w:val="center"/>
            <w:hideMark/>
          </w:tcPr>
          <w:p w14:paraId="7BE4DB02" w14:textId="77777777" w:rsidR="00000000" w:rsidRDefault="00A173A8">
            <w:pPr>
              <w:spacing w:after="100"/>
              <w:rPr>
                <w:rFonts w:eastAsia="Times New Roman"/>
                <w:sz w:val="20"/>
                <w:szCs w:val="20"/>
              </w:rPr>
            </w:pPr>
          </w:p>
        </w:tc>
        <w:tc>
          <w:tcPr>
            <w:tcW w:w="26" w:type="pct"/>
            <w:vAlign w:val="center"/>
            <w:hideMark/>
          </w:tcPr>
          <w:p w14:paraId="15B2CCB9" w14:textId="77777777" w:rsidR="00000000" w:rsidRDefault="00A173A8">
            <w:pPr>
              <w:spacing w:after="100"/>
              <w:rPr>
                <w:rFonts w:eastAsia="Times New Roman"/>
                <w:sz w:val="20"/>
                <w:szCs w:val="20"/>
              </w:rPr>
            </w:pPr>
          </w:p>
        </w:tc>
        <w:tc>
          <w:tcPr>
            <w:tcW w:w="5" w:type="pct"/>
            <w:vAlign w:val="center"/>
            <w:hideMark/>
          </w:tcPr>
          <w:p w14:paraId="07648564" w14:textId="77777777" w:rsidR="00000000" w:rsidRDefault="00A173A8">
            <w:pPr>
              <w:spacing w:after="100"/>
              <w:rPr>
                <w:rFonts w:eastAsia="Times New Roman"/>
                <w:sz w:val="20"/>
                <w:szCs w:val="20"/>
              </w:rPr>
            </w:pPr>
          </w:p>
        </w:tc>
        <w:tc>
          <w:tcPr>
            <w:tcW w:w="50" w:type="pct"/>
            <w:vAlign w:val="center"/>
            <w:hideMark/>
          </w:tcPr>
          <w:p w14:paraId="365DF8F0" w14:textId="77777777" w:rsidR="00000000" w:rsidRDefault="00A173A8">
            <w:pPr>
              <w:spacing w:after="100"/>
              <w:rPr>
                <w:rFonts w:eastAsia="Times New Roman"/>
                <w:sz w:val="20"/>
                <w:szCs w:val="20"/>
              </w:rPr>
            </w:pPr>
          </w:p>
        </w:tc>
        <w:tc>
          <w:tcPr>
            <w:tcW w:w="464" w:type="pct"/>
            <w:vAlign w:val="center"/>
            <w:hideMark/>
          </w:tcPr>
          <w:p w14:paraId="4E23DE16" w14:textId="77777777" w:rsidR="00000000" w:rsidRDefault="00A173A8">
            <w:pPr>
              <w:spacing w:after="100"/>
              <w:rPr>
                <w:rFonts w:eastAsia="Times New Roman"/>
                <w:sz w:val="20"/>
                <w:szCs w:val="20"/>
              </w:rPr>
            </w:pPr>
          </w:p>
        </w:tc>
        <w:tc>
          <w:tcPr>
            <w:tcW w:w="5" w:type="pct"/>
            <w:vAlign w:val="center"/>
            <w:hideMark/>
          </w:tcPr>
          <w:p w14:paraId="510BD618" w14:textId="77777777" w:rsidR="00000000" w:rsidRDefault="00A173A8">
            <w:pPr>
              <w:spacing w:after="100"/>
              <w:rPr>
                <w:rFonts w:eastAsia="Times New Roman"/>
                <w:sz w:val="20"/>
                <w:szCs w:val="20"/>
              </w:rPr>
            </w:pPr>
          </w:p>
        </w:tc>
        <w:tc>
          <w:tcPr>
            <w:tcW w:w="5" w:type="pct"/>
            <w:vAlign w:val="center"/>
            <w:hideMark/>
          </w:tcPr>
          <w:p w14:paraId="4E214A55" w14:textId="77777777" w:rsidR="00000000" w:rsidRDefault="00A173A8">
            <w:pPr>
              <w:spacing w:after="100"/>
              <w:rPr>
                <w:rFonts w:eastAsia="Times New Roman"/>
                <w:sz w:val="20"/>
                <w:szCs w:val="20"/>
              </w:rPr>
            </w:pPr>
          </w:p>
        </w:tc>
        <w:tc>
          <w:tcPr>
            <w:tcW w:w="26" w:type="pct"/>
            <w:vAlign w:val="center"/>
            <w:hideMark/>
          </w:tcPr>
          <w:p w14:paraId="6E2D8321" w14:textId="77777777" w:rsidR="00000000" w:rsidRDefault="00A173A8">
            <w:pPr>
              <w:spacing w:after="100"/>
              <w:rPr>
                <w:rFonts w:eastAsia="Times New Roman"/>
                <w:sz w:val="20"/>
                <w:szCs w:val="20"/>
              </w:rPr>
            </w:pPr>
          </w:p>
        </w:tc>
        <w:tc>
          <w:tcPr>
            <w:tcW w:w="5" w:type="pct"/>
            <w:vAlign w:val="center"/>
            <w:hideMark/>
          </w:tcPr>
          <w:p w14:paraId="630C8A8A" w14:textId="77777777" w:rsidR="00000000" w:rsidRDefault="00A173A8">
            <w:pPr>
              <w:spacing w:after="100"/>
              <w:rPr>
                <w:rFonts w:eastAsia="Times New Roman"/>
                <w:sz w:val="20"/>
                <w:szCs w:val="20"/>
              </w:rPr>
            </w:pPr>
          </w:p>
        </w:tc>
        <w:tc>
          <w:tcPr>
            <w:tcW w:w="50" w:type="pct"/>
            <w:vAlign w:val="center"/>
            <w:hideMark/>
          </w:tcPr>
          <w:p w14:paraId="732BAC38" w14:textId="77777777" w:rsidR="00000000" w:rsidRDefault="00A173A8">
            <w:pPr>
              <w:spacing w:after="100"/>
              <w:rPr>
                <w:rFonts w:eastAsia="Times New Roman"/>
                <w:sz w:val="20"/>
                <w:szCs w:val="20"/>
              </w:rPr>
            </w:pPr>
          </w:p>
        </w:tc>
        <w:tc>
          <w:tcPr>
            <w:tcW w:w="464" w:type="pct"/>
            <w:vAlign w:val="center"/>
            <w:hideMark/>
          </w:tcPr>
          <w:p w14:paraId="6D7AC33F" w14:textId="77777777" w:rsidR="00000000" w:rsidRDefault="00A173A8">
            <w:pPr>
              <w:spacing w:after="100"/>
              <w:rPr>
                <w:rFonts w:eastAsia="Times New Roman"/>
                <w:sz w:val="20"/>
                <w:szCs w:val="20"/>
              </w:rPr>
            </w:pPr>
          </w:p>
        </w:tc>
        <w:tc>
          <w:tcPr>
            <w:tcW w:w="5" w:type="pct"/>
            <w:vAlign w:val="center"/>
            <w:hideMark/>
          </w:tcPr>
          <w:p w14:paraId="19A13F1A" w14:textId="77777777" w:rsidR="00000000" w:rsidRDefault="00A173A8">
            <w:pPr>
              <w:spacing w:after="100"/>
              <w:rPr>
                <w:rFonts w:eastAsia="Times New Roman"/>
                <w:sz w:val="20"/>
                <w:szCs w:val="20"/>
              </w:rPr>
            </w:pPr>
          </w:p>
        </w:tc>
        <w:tc>
          <w:tcPr>
            <w:tcW w:w="5" w:type="pct"/>
            <w:vAlign w:val="center"/>
            <w:hideMark/>
          </w:tcPr>
          <w:p w14:paraId="59FE7B9F" w14:textId="77777777" w:rsidR="00000000" w:rsidRDefault="00A173A8">
            <w:pPr>
              <w:spacing w:after="100"/>
              <w:rPr>
                <w:rFonts w:eastAsia="Times New Roman"/>
                <w:sz w:val="20"/>
                <w:szCs w:val="20"/>
              </w:rPr>
            </w:pPr>
          </w:p>
        </w:tc>
        <w:tc>
          <w:tcPr>
            <w:tcW w:w="26" w:type="pct"/>
            <w:vAlign w:val="center"/>
            <w:hideMark/>
          </w:tcPr>
          <w:p w14:paraId="12D95EED" w14:textId="77777777" w:rsidR="00000000" w:rsidRDefault="00A173A8">
            <w:pPr>
              <w:spacing w:after="100"/>
              <w:rPr>
                <w:rFonts w:eastAsia="Times New Roman"/>
                <w:sz w:val="20"/>
                <w:szCs w:val="20"/>
              </w:rPr>
            </w:pPr>
          </w:p>
        </w:tc>
        <w:tc>
          <w:tcPr>
            <w:tcW w:w="5" w:type="pct"/>
            <w:vAlign w:val="center"/>
            <w:hideMark/>
          </w:tcPr>
          <w:p w14:paraId="381B6D9C" w14:textId="77777777" w:rsidR="00000000" w:rsidRDefault="00A173A8">
            <w:pPr>
              <w:spacing w:after="100"/>
              <w:rPr>
                <w:rFonts w:eastAsia="Times New Roman"/>
                <w:sz w:val="20"/>
                <w:szCs w:val="20"/>
              </w:rPr>
            </w:pPr>
          </w:p>
        </w:tc>
        <w:tc>
          <w:tcPr>
            <w:tcW w:w="50" w:type="pct"/>
            <w:vAlign w:val="center"/>
            <w:hideMark/>
          </w:tcPr>
          <w:p w14:paraId="0F48C667" w14:textId="77777777" w:rsidR="00000000" w:rsidRDefault="00A173A8">
            <w:pPr>
              <w:spacing w:after="100"/>
              <w:rPr>
                <w:rFonts w:eastAsia="Times New Roman"/>
                <w:sz w:val="20"/>
                <w:szCs w:val="20"/>
              </w:rPr>
            </w:pPr>
          </w:p>
        </w:tc>
        <w:tc>
          <w:tcPr>
            <w:tcW w:w="464" w:type="pct"/>
            <w:vAlign w:val="center"/>
            <w:hideMark/>
          </w:tcPr>
          <w:p w14:paraId="75F010E4" w14:textId="77777777" w:rsidR="00000000" w:rsidRDefault="00A173A8">
            <w:pPr>
              <w:spacing w:after="100"/>
              <w:rPr>
                <w:rFonts w:eastAsia="Times New Roman"/>
                <w:sz w:val="20"/>
                <w:szCs w:val="20"/>
              </w:rPr>
            </w:pPr>
          </w:p>
        </w:tc>
        <w:tc>
          <w:tcPr>
            <w:tcW w:w="5" w:type="pct"/>
            <w:vAlign w:val="center"/>
            <w:hideMark/>
          </w:tcPr>
          <w:p w14:paraId="15C4F2DE" w14:textId="77777777" w:rsidR="00000000" w:rsidRDefault="00A173A8">
            <w:pPr>
              <w:spacing w:after="100"/>
              <w:rPr>
                <w:rFonts w:eastAsia="Times New Roman"/>
                <w:sz w:val="20"/>
                <w:szCs w:val="20"/>
              </w:rPr>
            </w:pPr>
          </w:p>
        </w:tc>
        <w:tc>
          <w:tcPr>
            <w:tcW w:w="5" w:type="pct"/>
            <w:vAlign w:val="center"/>
            <w:hideMark/>
          </w:tcPr>
          <w:p w14:paraId="3FA5E1D3" w14:textId="77777777" w:rsidR="00000000" w:rsidRDefault="00A173A8">
            <w:pPr>
              <w:spacing w:after="100"/>
              <w:rPr>
                <w:rFonts w:eastAsia="Times New Roman"/>
                <w:sz w:val="20"/>
                <w:szCs w:val="20"/>
              </w:rPr>
            </w:pPr>
          </w:p>
        </w:tc>
        <w:tc>
          <w:tcPr>
            <w:tcW w:w="26" w:type="pct"/>
            <w:vAlign w:val="center"/>
            <w:hideMark/>
          </w:tcPr>
          <w:p w14:paraId="59D537D0" w14:textId="77777777" w:rsidR="00000000" w:rsidRDefault="00A173A8">
            <w:pPr>
              <w:spacing w:after="100"/>
              <w:rPr>
                <w:rFonts w:eastAsia="Times New Roman"/>
                <w:sz w:val="20"/>
                <w:szCs w:val="20"/>
              </w:rPr>
            </w:pPr>
          </w:p>
        </w:tc>
        <w:tc>
          <w:tcPr>
            <w:tcW w:w="5" w:type="pct"/>
            <w:vAlign w:val="center"/>
            <w:hideMark/>
          </w:tcPr>
          <w:p w14:paraId="63CB106F" w14:textId="77777777" w:rsidR="00000000" w:rsidRDefault="00A173A8">
            <w:pPr>
              <w:spacing w:after="100"/>
              <w:rPr>
                <w:rFonts w:eastAsia="Times New Roman"/>
                <w:sz w:val="20"/>
                <w:szCs w:val="20"/>
              </w:rPr>
            </w:pPr>
          </w:p>
        </w:tc>
        <w:tc>
          <w:tcPr>
            <w:tcW w:w="50" w:type="pct"/>
            <w:vAlign w:val="center"/>
            <w:hideMark/>
          </w:tcPr>
          <w:p w14:paraId="0042656B" w14:textId="77777777" w:rsidR="00000000" w:rsidRDefault="00A173A8">
            <w:pPr>
              <w:spacing w:after="100"/>
              <w:rPr>
                <w:rFonts w:eastAsia="Times New Roman"/>
                <w:sz w:val="20"/>
                <w:szCs w:val="20"/>
              </w:rPr>
            </w:pPr>
          </w:p>
        </w:tc>
        <w:tc>
          <w:tcPr>
            <w:tcW w:w="464" w:type="pct"/>
            <w:vAlign w:val="center"/>
            <w:hideMark/>
          </w:tcPr>
          <w:p w14:paraId="0E396D5A" w14:textId="77777777" w:rsidR="00000000" w:rsidRDefault="00A173A8">
            <w:pPr>
              <w:spacing w:after="100"/>
              <w:rPr>
                <w:rFonts w:eastAsia="Times New Roman"/>
                <w:sz w:val="20"/>
                <w:szCs w:val="20"/>
              </w:rPr>
            </w:pPr>
          </w:p>
        </w:tc>
        <w:tc>
          <w:tcPr>
            <w:tcW w:w="5" w:type="pct"/>
            <w:vAlign w:val="center"/>
            <w:hideMark/>
          </w:tcPr>
          <w:p w14:paraId="4C24C101" w14:textId="77777777" w:rsidR="00000000" w:rsidRDefault="00A173A8">
            <w:pPr>
              <w:spacing w:after="100"/>
              <w:rPr>
                <w:rFonts w:eastAsia="Times New Roman"/>
                <w:sz w:val="20"/>
                <w:szCs w:val="20"/>
              </w:rPr>
            </w:pPr>
          </w:p>
        </w:tc>
        <w:tc>
          <w:tcPr>
            <w:tcW w:w="5" w:type="pct"/>
            <w:vAlign w:val="center"/>
            <w:hideMark/>
          </w:tcPr>
          <w:p w14:paraId="390D2B1F" w14:textId="77777777" w:rsidR="00000000" w:rsidRDefault="00A173A8">
            <w:pPr>
              <w:spacing w:after="100"/>
              <w:rPr>
                <w:rFonts w:eastAsia="Times New Roman"/>
                <w:sz w:val="20"/>
                <w:szCs w:val="20"/>
              </w:rPr>
            </w:pPr>
          </w:p>
        </w:tc>
        <w:tc>
          <w:tcPr>
            <w:tcW w:w="26" w:type="pct"/>
            <w:vAlign w:val="center"/>
            <w:hideMark/>
          </w:tcPr>
          <w:p w14:paraId="493C158F" w14:textId="77777777" w:rsidR="00000000" w:rsidRDefault="00A173A8">
            <w:pPr>
              <w:spacing w:after="100"/>
              <w:rPr>
                <w:rFonts w:eastAsia="Times New Roman"/>
                <w:sz w:val="20"/>
                <w:szCs w:val="20"/>
              </w:rPr>
            </w:pPr>
          </w:p>
        </w:tc>
        <w:tc>
          <w:tcPr>
            <w:tcW w:w="5" w:type="pct"/>
            <w:vAlign w:val="center"/>
            <w:hideMark/>
          </w:tcPr>
          <w:p w14:paraId="2113EBDD" w14:textId="77777777" w:rsidR="00000000" w:rsidRDefault="00A173A8">
            <w:pPr>
              <w:spacing w:after="100"/>
              <w:rPr>
                <w:rFonts w:eastAsia="Times New Roman"/>
                <w:sz w:val="20"/>
                <w:szCs w:val="20"/>
              </w:rPr>
            </w:pPr>
          </w:p>
        </w:tc>
        <w:tc>
          <w:tcPr>
            <w:tcW w:w="50" w:type="pct"/>
            <w:vAlign w:val="center"/>
            <w:hideMark/>
          </w:tcPr>
          <w:p w14:paraId="144C39C1" w14:textId="77777777" w:rsidR="00000000" w:rsidRDefault="00A173A8">
            <w:pPr>
              <w:spacing w:after="100"/>
              <w:rPr>
                <w:rFonts w:eastAsia="Times New Roman"/>
                <w:sz w:val="20"/>
                <w:szCs w:val="20"/>
              </w:rPr>
            </w:pPr>
          </w:p>
        </w:tc>
        <w:tc>
          <w:tcPr>
            <w:tcW w:w="464" w:type="pct"/>
            <w:vAlign w:val="center"/>
            <w:hideMark/>
          </w:tcPr>
          <w:p w14:paraId="4B506AFE" w14:textId="77777777" w:rsidR="00000000" w:rsidRDefault="00A173A8">
            <w:pPr>
              <w:spacing w:after="100"/>
              <w:rPr>
                <w:rFonts w:eastAsia="Times New Roman"/>
                <w:sz w:val="20"/>
                <w:szCs w:val="20"/>
              </w:rPr>
            </w:pPr>
          </w:p>
        </w:tc>
        <w:tc>
          <w:tcPr>
            <w:tcW w:w="5" w:type="pct"/>
            <w:vAlign w:val="center"/>
            <w:hideMark/>
          </w:tcPr>
          <w:p w14:paraId="67256FDB" w14:textId="77777777" w:rsidR="00000000" w:rsidRDefault="00A173A8">
            <w:pPr>
              <w:spacing w:after="100"/>
              <w:rPr>
                <w:rFonts w:eastAsia="Times New Roman"/>
                <w:sz w:val="20"/>
                <w:szCs w:val="20"/>
              </w:rPr>
            </w:pPr>
          </w:p>
        </w:tc>
        <w:tc>
          <w:tcPr>
            <w:tcW w:w="5" w:type="pct"/>
            <w:vAlign w:val="center"/>
            <w:hideMark/>
          </w:tcPr>
          <w:p w14:paraId="22411FBE" w14:textId="77777777" w:rsidR="00000000" w:rsidRDefault="00A173A8">
            <w:pPr>
              <w:spacing w:after="100"/>
              <w:rPr>
                <w:rFonts w:eastAsia="Times New Roman"/>
                <w:sz w:val="20"/>
                <w:szCs w:val="20"/>
              </w:rPr>
            </w:pPr>
          </w:p>
        </w:tc>
        <w:tc>
          <w:tcPr>
            <w:tcW w:w="26" w:type="pct"/>
            <w:vAlign w:val="center"/>
            <w:hideMark/>
          </w:tcPr>
          <w:p w14:paraId="376B872D" w14:textId="77777777" w:rsidR="00000000" w:rsidRDefault="00A173A8">
            <w:pPr>
              <w:spacing w:after="100"/>
              <w:rPr>
                <w:rFonts w:eastAsia="Times New Roman"/>
                <w:sz w:val="20"/>
                <w:szCs w:val="20"/>
              </w:rPr>
            </w:pPr>
          </w:p>
        </w:tc>
        <w:tc>
          <w:tcPr>
            <w:tcW w:w="5" w:type="pct"/>
            <w:vAlign w:val="center"/>
            <w:hideMark/>
          </w:tcPr>
          <w:p w14:paraId="332DAA4E" w14:textId="77777777" w:rsidR="00000000" w:rsidRDefault="00A173A8">
            <w:pPr>
              <w:spacing w:after="100"/>
              <w:rPr>
                <w:rFonts w:eastAsia="Times New Roman"/>
                <w:sz w:val="20"/>
                <w:szCs w:val="20"/>
              </w:rPr>
            </w:pPr>
          </w:p>
        </w:tc>
        <w:tc>
          <w:tcPr>
            <w:tcW w:w="50" w:type="pct"/>
            <w:vAlign w:val="center"/>
            <w:hideMark/>
          </w:tcPr>
          <w:p w14:paraId="79EB4DD2" w14:textId="77777777" w:rsidR="00000000" w:rsidRDefault="00A173A8">
            <w:pPr>
              <w:spacing w:after="100"/>
              <w:rPr>
                <w:rFonts w:eastAsia="Times New Roman"/>
                <w:sz w:val="20"/>
                <w:szCs w:val="20"/>
              </w:rPr>
            </w:pPr>
          </w:p>
        </w:tc>
        <w:tc>
          <w:tcPr>
            <w:tcW w:w="435" w:type="pct"/>
            <w:vAlign w:val="center"/>
            <w:hideMark/>
          </w:tcPr>
          <w:p w14:paraId="5315692C" w14:textId="77777777" w:rsidR="00000000" w:rsidRDefault="00A173A8">
            <w:pPr>
              <w:spacing w:after="100"/>
              <w:rPr>
                <w:rFonts w:eastAsia="Times New Roman"/>
                <w:sz w:val="20"/>
                <w:szCs w:val="20"/>
              </w:rPr>
            </w:pPr>
          </w:p>
        </w:tc>
        <w:tc>
          <w:tcPr>
            <w:tcW w:w="5" w:type="pct"/>
            <w:vAlign w:val="center"/>
            <w:hideMark/>
          </w:tcPr>
          <w:p w14:paraId="7770AECC" w14:textId="77777777" w:rsidR="00000000" w:rsidRDefault="00A173A8">
            <w:pPr>
              <w:spacing w:after="100"/>
              <w:rPr>
                <w:rFonts w:eastAsia="Times New Roman"/>
                <w:sz w:val="20"/>
                <w:szCs w:val="20"/>
              </w:rPr>
            </w:pPr>
          </w:p>
        </w:tc>
      </w:tr>
      <w:tr w:rsidR="00000000" w14:paraId="3C30CCE3" w14:textId="77777777">
        <w:trPr>
          <w:divId w:val="1294872770"/>
        </w:trPr>
        <w:tc>
          <w:tcPr>
            <w:tcW w:w="0" w:type="auto"/>
            <w:gridSpan w:val="3"/>
            <w:tcMar>
              <w:top w:w="0" w:type="dxa"/>
              <w:left w:w="20" w:type="dxa"/>
              <w:bottom w:w="0" w:type="dxa"/>
              <w:right w:w="20" w:type="dxa"/>
            </w:tcMar>
            <w:vAlign w:val="center"/>
            <w:hideMark/>
          </w:tcPr>
          <w:p w14:paraId="3B061CB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880658" w14:textId="77777777" w:rsidR="00000000" w:rsidRDefault="00A173A8">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21685FD2" w14:textId="77777777" w:rsidR="00000000" w:rsidRDefault="00A173A8">
            <w:pPr>
              <w:spacing w:after="100"/>
              <w:jc w:val="center"/>
              <w:rPr>
                <w:rFonts w:eastAsia="Times New Roman"/>
              </w:rPr>
            </w:pPr>
            <w:r>
              <w:rPr>
                <w:rFonts w:eastAsia="Times New Roman"/>
                <w:b/>
                <w:bCs/>
                <w:color w:val="000000"/>
                <w:sz w:val="16"/>
                <w:szCs w:val="16"/>
              </w:rPr>
              <w:t>Three Months Ended June 30, 2021</w:t>
            </w:r>
          </w:p>
        </w:tc>
      </w:tr>
      <w:tr w:rsidR="00000000" w14:paraId="398CCB21" w14:textId="77777777">
        <w:trPr>
          <w:divId w:val="1294872770"/>
        </w:trPr>
        <w:tc>
          <w:tcPr>
            <w:tcW w:w="0" w:type="auto"/>
            <w:gridSpan w:val="3"/>
            <w:tcMar>
              <w:top w:w="0" w:type="dxa"/>
              <w:left w:w="20" w:type="dxa"/>
              <w:bottom w:w="0" w:type="dxa"/>
              <w:right w:w="20" w:type="dxa"/>
            </w:tcMar>
            <w:vAlign w:val="center"/>
            <w:hideMark/>
          </w:tcPr>
          <w:p w14:paraId="3730F2E3"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BE2C0CF" w14:textId="77777777" w:rsidR="00000000" w:rsidRDefault="00A173A8">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750BB6F0" w14:textId="77777777" w:rsidR="00000000" w:rsidRDefault="00A173A8">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5D760B33"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9880AB" w14:textId="77777777" w:rsidR="00000000" w:rsidRDefault="00A173A8">
            <w:pPr>
              <w:spacing w:after="100"/>
              <w:jc w:val="center"/>
              <w:rPr>
                <w:rFonts w:eastAsia="Times New Roman"/>
              </w:rPr>
            </w:pPr>
            <w:r>
              <w:rPr>
                <w:rFonts w:eastAsia="Times New Roman"/>
                <w:b/>
                <w:bCs/>
                <w:color w:val="000000"/>
                <w:sz w:val="16"/>
                <w:szCs w:val="16"/>
              </w:rPr>
              <w:t>Non-Interest Income</w:t>
            </w:r>
          </w:p>
        </w:tc>
      </w:tr>
      <w:tr w:rsidR="00000000" w14:paraId="25899533" w14:textId="77777777">
        <w:trPr>
          <w:divId w:val="1294872770"/>
        </w:trPr>
        <w:tc>
          <w:tcPr>
            <w:tcW w:w="0" w:type="auto"/>
            <w:gridSpan w:val="3"/>
            <w:tcBorders>
              <w:bottom w:val="single" w:sz="8" w:space="0" w:color="000000"/>
            </w:tcBorders>
            <w:tcMar>
              <w:top w:w="30" w:type="dxa"/>
              <w:left w:w="20" w:type="dxa"/>
              <w:bottom w:w="30" w:type="dxa"/>
              <w:right w:w="20" w:type="dxa"/>
            </w:tcMar>
            <w:vAlign w:val="bottom"/>
            <w:hideMark/>
          </w:tcPr>
          <w:p w14:paraId="695994DE"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CB0E75C"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9A87EAE" w14:textId="77777777" w:rsidR="00000000" w:rsidRDefault="00A173A8">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14:paraId="70108CE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5FAAD39" w14:textId="77777777" w:rsidR="00000000" w:rsidRDefault="00A173A8">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3CD430C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3614B85" w14:textId="77777777" w:rsidR="00000000" w:rsidRDefault="00A173A8">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369AEA62"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1E8CDD" w14:textId="77777777" w:rsidR="00000000" w:rsidRDefault="00A173A8">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5F0EDD4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84B5198" w14:textId="77777777" w:rsidR="00000000" w:rsidRDefault="00A173A8">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5C86108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E3502DB" w14:textId="77777777" w:rsidR="00000000" w:rsidRDefault="00A173A8">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72BB500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6FA9096" w14:textId="77777777" w:rsidR="00000000" w:rsidRDefault="00A173A8">
            <w:pPr>
              <w:spacing w:after="100"/>
              <w:jc w:val="center"/>
              <w:rPr>
                <w:rFonts w:eastAsia="Times New Roman"/>
              </w:rPr>
            </w:pPr>
            <w:r>
              <w:rPr>
                <w:rFonts w:eastAsia="Times New Roman"/>
                <w:b/>
                <w:bCs/>
                <w:color w:val="000000"/>
                <w:sz w:val="16"/>
                <w:szCs w:val="16"/>
              </w:rPr>
              <w:t>Other</w:t>
            </w:r>
          </w:p>
        </w:tc>
      </w:tr>
      <w:tr w:rsidR="00A173A8" w14:paraId="77013D17" w14:textId="77777777">
        <w:trPr>
          <w:divId w:val="129487277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A2D7CAD" w14:textId="77777777" w:rsidR="00000000" w:rsidRDefault="00A173A8">
            <w:pPr>
              <w:spacing w:after="100"/>
              <w:divId w:val="721246036"/>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2E14C6B3"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17904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07BA8F" w14:textId="77777777" w:rsidR="00000000" w:rsidRDefault="00A173A8">
            <w:pPr>
              <w:spacing w:after="100"/>
              <w:jc w:val="right"/>
              <w:rPr>
                <w:rFonts w:eastAsia="Times New Roman"/>
              </w:rPr>
            </w:pPr>
            <w:r>
              <w:rPr>
                <w:rFonts w:eastAsia="Times New Roman"/>
                <w:color w:val="000000"/>
                <w:sz w:val="18"/>
                <w:szCs w:val="18"/>
              </w:rPr>
              <w:t>370 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8CB8A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95653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58DAC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CED2EC" w14:textId="77777777" w:rsidR="00000000" w:rsidRDefault="00A173A8">
            <w:pPr>
              <w:spacing w:after="100"/>
              <w:jc w:val="right"/>
              <w:rPr>
                <w:rFonts w:eastAsia="Times New Roman"/>
              </w:rPr>
            </w:pPr>
            <w:r>
              <w:rPr>
                <w:rFonts w:eastAsia="Times New Roman"/>
                <w:color w:val="000000"/>
                <w:sz w:val="18"/>
                <w:szCs w:val="18"/>
              </w:rPr>
              <w:t>5,753 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7E898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6E685E"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A6A8B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A2D0F7" w14:textId="77777777" w:rsidR="00000000" w:rsidRDefault="00A173A8">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3769D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3922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6BAFF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4AC551" w14:textId="77777777" w:rsidR="00000000" w:rsidRDefault="00A173A8">
            <w:pPr>
              <w:spacing w:after="100"/>
              <w:jc w:val="right"/>
              <w:rPr>
                <w:rFonts w:eastAsia="Times New Roman"/>
              </w:rPr>
            </w:pPr>
            <w:r>
              <w:rPr>
                <w:rFonts w:eastAsia="Times New Roman"/>
                <w:color w:val="000000"/>
                <w:sz w:val="18"/>
                <w:szCs w:val="18"/>
              </w:rPr>
              <w:t>(237)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80707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68BD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0FD3C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3C723B" w14:textId="77777777" w:rsidR="00000000" w:rsidRDefault="00A173A8">
            <w:pPr>
              <w:spacing w:after="100"/>
              <w:jc w:val="right"/>
              <w:rPr>
                <w:rFonts w:eastAsia="Times New Roman"/>
              </w:rPr>
            </w:pPr>
            <w:r>
              <w:rPr>
                <w:rFonts w:eastAsia="Times New Roman"/>
                <w:color w:val="000000"/>
                <w:sz w:val="18"/>
                <w:szCs w:val="18"/>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F6FB5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5953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096F6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03FD97" w14:textId="77777777" w:rsidR="00000000" w:rsidRDefault="00A173A8">
            <w:pPr>
              <w:spacing w:after="100"/>
              <w:jc w:val="right"/>
              <w:rPr>
                <w:rFonts w:eastAsia="Times New Roman"/>
              </w:rPr>
            </w:pPr>
            <w:r>
              <w:rPr>
                <w:rFonts w:eastAsia="Times New Roman"/>
                <w:color w:val="000000"/>
                <w:sz w:val="18"/>
                <w:szCs w:val="18"/>
              </w:rPr>
              <w:t>(122)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2459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046A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F3D047"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8A42FB" w14:textId="77777777" w:rsidR="00000000" w:rsidRDefault="00A173A8">
            <w:pPr>
              <w:spacing w:after="100"/>
              <w:jc w:val="right"/>
              <w:rPr>
                <w:rFonts w:eastAsia="Times New Roman"/>
              </w:rPr>
            </w:pPr>
            <w:r>
              <w:rPr>
                <w:rFonts w:eastAsia="Times New Roman"/>
                <w:color w:val="000000"/>
                <w:sz w:val="18"/>
                <w:szCs w:val="18"/>
              </w:rPr>
              <w:t>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387585" w14:textId="77777777" w:rsidR="00000000" w:rsidRDefault="00A173A8">
            <w:pPr>
              <w:spacing w:after="100"/>
              <w:jc w:val="right"/>
              <w:rPr>
                <w:rFonts w:eastAsia="Times New Roman"/>
              </w:rPr>
            </w:pPr>
          </w:p>
        </w:tc>
      </w:tr>
      <w:tr w:rsidR="00000000" w14:paraId="45F668BF" w14:textId="77777777">
        <w:trPr>
          <w:divId w:val="1294872770"/>
        </w:trPr>
        <w:tc>
          <w:tcPr>
            <w:tcW w:w="0" w:type="auto"/>
            <w:gridSpan w:val="3"/>
            <w:shd w:val="clear" w:color="auto" w:fill="FFFFFF"/>
            <w:tcMar>
              <w:top w:w="30" w:type="dxa"/>
              <w:left w:w="20" w:type="dxa"/>
              <w:bottom w:w="30" w:type="dxa"/>
              <w:right w:w="20" w:type="dxa"/>
            </w:tcMar>
            <w:vAlign w:val="center"/>
            <w:hideMark/>
          </w:tcPr>
          <w:p w14:paraId="05918A07" w14:textId="77777777" w:rsidR="00000000" w:rsidRDefault="00A173A8">
            <w:pPr>
              <w:spacing w:after="100"/>
              <w:divId w:val="1501770402"/>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3B68ECF5"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357589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EF17D7"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7724B4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BFABA7"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2907F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23C149"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BAE19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6D300D"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0D9468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7380C8"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C206D6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119562"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49C9469" w14:textId="77777777" w:rsidR="00000000" w:rsidRDefault="00A173A8">
            <w:pPr>
              <w:spacing w:after="100"/>
              <w:rPr>
                <w:rFonts w:eastAsia="Times New Roman"/>
                <w:sz w:val="20"/>
                <w:szCs w:val="20"/>
              </w:rPr>
            </w:pPr>
          </w:p>
        </w:tc>
      </w:tr>
      <w:tr w:rsidR="00000000" w14:paraId="452190A2" w14:textId="77777777">
        <w:trPr>
          <w:divId w:val="1294872770"/>
        </w:trPr>
        <w:tc>
          <w:tcPr>
            <w:tcW w:w="0" w:type="auto"/>
            <w:gridSpan w:val="3"/>
            <w:shd w:val="clear" w:color="auto" w:fill="CCEEFF"/>
            <w:tcMar>
              <w:top w:w="30" w:type="dxa"/>
              <w:left w:w="20" w:type="dxa"/>
              <w:bottom w:w="30" w:type="dxa"/>
              <w:right w:w="20" w:type="dxa"/>
            </w:tcMar>
            <w:vAlign w:val="center"/>
            <w:hideMark/>
          </w:tcPr>
          <w:p w14:paraId="191D30BF" w14:textId="77777777" w:rsidR="00000000" w:rsidRDefault="00A173A8">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0FE3BC32"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B7957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DE52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7BCFD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E270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FA64E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FED22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D11E4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824F4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28EC7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04E44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B7520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D30AF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58B4EB" w14:textId="77777777" w:rsidR="00000000" w:rsidRDefault="00A173A8">
            <w:pPr>
              <w:spacing w:after="100"/>
              <w:rPr>
                <w:rFonts w:eastAsia="Times New Roman"/>
                <w:sz w:val="20"/>
                <w:szCs w:val="20"/>
              </w:rPr>
            </w:pPr>
          </w:p>
        </w:tc>
      </w:tr>
      <w:tr w:rsidR="00A173A8" w14:paraId="70D293D5" w14:textId="77777777">
        <w:trPr>
          <w:divId w:val="1294872770"/>
        </w:trPr>
        <w:tc>
          <w:tcPr>
            <w:tcW w:w="0" w:type="auto"/>
            <w:gridSpan w:val="3"/>
            <w:shd w:val="clear" w:color="auto" w:fill="FFFFFF"/>
            <w:tcMar>
              <w:top w:w="30" w:type="dxa"/>
              <w:left w:w="245" w:type="dxa"/>
              <w:bottom w:w="30" w:type="dxa"/>
              <w:right w:w="20" w:type="dxa"/>
            </w:tcMar>
            <w:vAlign w:val="center"/>
            <w:hideMark/>
          </w:tcPr>
          <w:p w14:paraId="33B67B08" w14:textId="77777777" w:rsidR="00000000" w:rsidRDefault="00A173A8">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7A9AB61F"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C49C9C3"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5CDF31D" w14:textId="77777777" w:rsidR="00000000" w:rsidRDefault="00A173A8">
            <w:pPr>
              <w:spacing w:after="100"/>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bottom"/>
            <w:hideMark/>
          </w:tcPr>
          <w:p w14:paraId="58F47E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B8BFD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A4BF0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34219B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9E01EB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086CD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C452E35"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50A6B8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BCB6CA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3803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2A46A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1E61106" w14:textId="77777777" w:rsidR="00000000" w:rsidRDefault="00A173A8">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14:paraId="4227D32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DCF71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00A28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767AEBE" w14:textId="77777777" w:rsidR="00000000" w:rsidRDefault="00A173A8">
            <w:pPr>
              <w:spacing w:after="100"/>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14:paraId="5FA794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7E41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F50830"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D47F321" w14:textId="77777777" w:rsidR="00000000" w:rsidRDefault="00A173A8">
            <w:pPr>
              <w:spacing w:after="100"/>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bottom"/>
            <w:hideMark/>
          </w:tcPr>
          <w:p w14:paraId="6C46FCB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A26D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90D3A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214ADD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E5F15C3" w14:textId="77777777" w:rsidR="00000000" w:rsidRDefault="00A173A8">
            <w:pPr>
              <w:spacing w:after="100"/>
              <w:jc w:val="right"/>
              <w:rPr>
                <w:rFonts w:eastAsia="Times New Roman"/>
              </w:rPr>
            </w:pPr>
          </w:p>
        </w:tc>
      </w:tr>
      <w:tr w:rsidR="00000000" w14:paraId="2AFAB641" w14:textId="77777777">
        <w:trPr>
          <w:divId w:val="1294872770"/>
        </w:trPr>
        <w:tc>
          <w:tcPr>
            <w:tcW w:w="0" w:type="auto"/>
            <w:gridSpan w:val="3"/>
            <w:shd w:val="clear" w:color="auto" w:fill="CCEEFF"/>
            <w:tcMar>
              <w:top w:w="30" w:type="dxa"/>
              <w:left w:w="245" w:type="dxa"/>
              <w:bottom w:w="30" w:type="dxa"/>
              <w:right w:w="20" w:type="dxa"/>
            </w:tcMar>
            <w:vAlign w:val="center"/>
            <w:hideMark/>
          </w:tcPr>
          <w:p w14:paraId="597E42D8" w14:textId="77777777" w:rsidR="00000000" w:rsidRDefault="00A173A8">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5BD74B0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6667B1" w14:textId="77777777" w:rsidR="00000000" w:rsidRDefault="00A173A8">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0CA4DFD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B522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FAA9D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F52352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CE252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736EE1"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1718C4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0224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D05330" w14:textId="77777777" w:rsidR="00000000" w:rsidRDefault="00A173A8">
            <w:pPr>
              <w:spacing w:after="100"/>
              <w:jc w:val="right"/>
              <w:rPr>
                <w:rFonts w:eastAsia="Times New Roman"/>
              </w:rPr>
            </w:pPr>
            <w:r>
              <w:rPr>
                <w:rFonts w:eastAsia="Times New Roman"/>
                <w:color w:val="000000"/>
                <w:sz w:val="18"/>
                <w:szCs w:val="18"/>
              </w:rPr>
              <w:t>(31)</w:t>
            </w:r>
          </w:p>
        </w:tc>
        <w:tc>
          <w:tcPr>
            <w:tcW w:w="0" w:type="auto"/>
            <w:shd w:val="clear" w:color="auto" w:fill="CCEEFF"/>
            <w:tcMar>
              <w:top w:w="30" w:type="dxa"/>
              <w:left w:w="0" w:type="dxa"/>
              <w:bottom w:w="30" w:type="dxa"/>
              <w:right w:w="20" w:type="dxa"/>
            </w:tcMar>
            <w:vAlign w:val="bottom"/>
            <w:hideMark/>
          </w:tcPr>
          <w:p w14:paraId="0E1449C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036E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283328" w14:textId="77777777" w:rsidR="00000000" w:rsidRDefault="00A173A8">
            <w:pPr>
              <w:spacing w:after="100"/>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14:paraId="223F788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065C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4E6C9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5A8FE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3D202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87FAA" w14:textId="77777777" w:rsidR="00000000" w:rsidRDefault="00A173A8">
            <w:pPr>
              <w:spacing w:after="100"/>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14:paraId="1C169FBC" w14:textId="77777777" w:rsidR="00000000" w:rsidRDefault="00A173A8">
            <w:pPr>
              <w:spacing w:after="100"/>
              <w:jc w:val="right"/>
              <w:rPr>
                <w:rFonts w:eastAsia="Times New Roman"/>
              </w:rPr>
            </w:pPr>
          </w:p>
        </w:tc>
      </w:tr>
      <w:tr w:rsidR="00000000" w14:paraId="58986249" w14:textId="77777777">
        <w:trPr>
          <w:divId w:val="1294872770"/>
        </w:trPr>
        <w:tc>
          <w:tcPr>
            <w:tcW w:w="0" w:type="auto"/>
            <w:gridSpan w:val="3"/>
            <w:shd w:val="clear" w:color="auto" w:fill="FFFFFF"/>
            <w:tcMar>
              <w:top w:w="30" w:type="dxa"/>
              <w:left w:w="20" w:type="dxa"/>
              <w:bottom w:w="30" w:type="dxa"/>
              <w:right w:w="20" w:type="dxa"/>
            </w:tcMar>
            <w:vAlign w:val="center"/>
            <w:hideMark/>
          </w:tcPr>
          <w:p w14:paraId="6F2EB5F9" w14:textId="77777777" w:rsidR="00000000" w:rsidRDefault="00A173A8">
            <w:pPr>
              <w:spacing w:after="100"/>
              <w:divId w:val="2060780432"/>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6E0813E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F08E43" w14:textId="77777777" w:rsidR="00000000" w:rsidRDefault="00A173A8">
            <w:pPr>
              <w:spacing w:after="100"/>
              <w:jc w:val="right"/>
              <w:rPr>
                <w:rFonts w:eastAsia="Times New Roman"/>
              </w:rPr>
            </w:pPr>
            <w:r>
              <w:rPr>
                <w:rFonts w:eastAsia="Times New Roman"/>
                <w:color w:val="000000"/>
                <w:sz w:val="18"/>
                <w:szCs w:val="18"/>
              </w:rPr>
              <w:t>(18)</w:t>
            </w:r>
          </w:p>
        </w:tc>
        <w:tc>
          <w:tcPr>
            <w:tcW w:w="0" w:type="auto"/>
            <w:shd w:val="clear" w:color="auto" w:fill="FFFFFF"/>
            <w:tcMar>
              <w:top w:w="30" w:type="dxa"/>
              <w:left w:w="0" w:type="dxa"/>
              <w:bottom w:w="30" w:type="dxa"/>
              <w:right w:w="20" w:type="dxa"/>
            </w:tcMar>
            <w:vAlign w:val="bottom"/>
            <w:hideMark/>
          </w:tcPr>
          <w:p w14:paraId="158E78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74BC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11AFD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793693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8B0A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DE0E0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BCCD2B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CD52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4B149C" w14:textId="77777777" w:rsidR="00000000" w:rsidRDefault="00A173A8">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14:paraId="496288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8E76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42ADA5" w14:textId="77777777" w:rsidR="00000000" w:rsidRDefault="00A173A8">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690C482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8659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D595E" w14:textId="77777777" w:rsidR="00000000" w:rsidRDefault="00A173A8">
            <w:pPr>
              <w:spacing w:after="100"/>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14:paraId="547A685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02328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59BCEA" w14:textId="77777777" w:rsidR="00000000" w:rsidRDefault="00A173A8">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14:paraId="4FB11C52" w14:textId="77777777" w:rsidR="00000000" w:rsidRDefault="00A173A8">
            <w:pPr>
              <w:spacing w:after="100"/>
              <w:jc w:val="right"/>
              <w:rPr>
                <w:rFonts w:eastAsia="Times New Roman"/>
              </w:rPr>
            </w:pPr>
          </w:p>
        </w:tc>
      </w:tr>
      <w:tr w:rsidR="00000000" w14:paraId="35B22F7D" w14:textId="77777777">
        <w:trPr>
          <w:divId w:val="1294872770"/>
        </w:trPr>
        <w:tc>
          <w:tcPr>
            <w:tcW w:w="0" w:type="auto"/>
            <w:gridSpan w:val="3"/>
            <w:shd w:val="clear" w:color="auto" w:fill="CCEEFF"/>
            <w:tcMar>
              <w:top w:w="30" w:type="dxa"/>
              <w:left w:w="20" w:type="dxa"/>
              <w:bottom w:w="30" w:type="dxa"/>
              <w:right w:w="20" w:type="dxa"/>
            </w:tcMar>
            <w:vAlign w:val="center"/>
            <w:hideMark/>
          </w:tcPr>
          <w:p w14:paraId="68FF64F5" w14:textId="77777777" w:rsidR="00000000" w:rsidRDefault="00A173A8">
            <w:pPr>
              <w:spacing w:after="100"/>
              <w:divId w:val="792359145"/>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8D0EE1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49943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BC8930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CFCC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39856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AC0967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59346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3C908A"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481C34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2DE0D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16CA8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D65839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757E0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700A3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D45952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7246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BD32BA"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F4FEE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1F23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652FB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2E49198" w14:textId="77777777" w:rsidR="00000000" w:rsidRDefault="00A173A8">
            <w:pPr>
              <w:spacing w:after="100"/>
              <w:jc w:val="right"/>
              <w:rPr>
                <w:rFonts w:eastAsia="Times New Roman"/>
              </w:rPr>
            </w:pPr>
          </w:p>
        </w:tc>
      </w:tr>
      <w:tr w:rsidR="00A173A8" w14:paraId="043287D0" w14:textId="77777777">
        <w:trPr>
          <w:divId w:val="1294872770"/>
        </w:trPr>
        <w:tc>
          <w:tcPr>
            <w:tcW w:w="0" w:type="auto"/>
            <w:gridSpan w:val="3"/>
            <w:shd w:val="clear" w:color="auto" w:fill="FFFFFF"/>
            <w:tcMar>
              <w:top w:w="30" w:type="dxa"/>
              <w:left w:w="20" w:type="dxa"/>
              <w:bottom w:w="30" w:type="dxa"/>
              <w:right w:w="20" w:type="dxa"/>
            </w:tcMar>
            <w:vAlign w:val="center"/>
            <w:hideMark/>
          </w:tcPr>
          <w:p w14:paraId="0FD49BE4" w14:textId="77777777" w:rsidR="00000000" w:rsidRDefault="00A173A8">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6A6D2642"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61A72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56D365" w14:textId="77777777" w:rsidR="00000000" w:rsidRDefault="00A173A8">
            <w:pPr>
              <w:spacing w:after="100"/>
              <w:jc w:val="right"/>
              <w:rPr>
                <w:rFonts w:eastAsia="Times New Roman"/>
              </w:rPr>
            </w:pPr>
            <w:r>
              <w:rPr>
                <w:rFonts w:eastAsia="Times New Roman"/>
                <w:color w:val="000000"/>
                <w:sz w:val="18"/>
                <w:szCs w:val="18"/>
              </w:rPr>
              <w:t>(32)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F89B2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64789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72070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885564A"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4C232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E94C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CF1DF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BD6DFD"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3153E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CD2A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DB508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AD136C" w14:textId="77777777" w:rsidR="00000000" w:rsidRDefault="00A173A8">
            <w:pPr>
              <w:spacing w:after="100"/>
              <w:jc w:val="right"/>
              <w:rPr>
                <w:rFonts w:eastAsia="Times New Roman"/>
              </w:rPr>
            </w:pPr>
            <w:r>
              <w:rPr>
                <w:rFonts w:eastAsia="Times New Roman"/>
                <w:color w:val="000000"/>
                <w:sz w:val="18"/>
                <w:szCs w:val="18"/>
              </w:rPr>
              <w:t>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CF01E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88FBC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3084C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62543B" w14:textId="77777777" w:rsidR="00000000" w:rsidRDefault="00A173A8">
            <w:pPr>
              <w:spacing w:after="100"/>
              <w:jc w:val="right"/>
              <w:rPr>
                <w:rFonts w:eastAsia="Times New Roman"/>
              </w:rPr>
            </w:pPr>
            <w:r>
              <w:rPr>
                <w:rFonts w:eastAsia="Times New Roman"/>
                <w:color w:val="000000"/>
                <w:sz w:val="18"/>
                <w:szCs w:val="18"/>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46388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39A8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7B7D0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77CBBB" w14:textId="77777777" w:rsidR="00000000" w:rsidRDefault="00A173A8">
            <w:pPr>
              <w:spacing w:after="100"/>
              <w:jc w:val="right"/>
              <w:rPr>
                <w:rFonts w:eastAsia="Times New Roman"/>
              </w:rPr>
            </w:pPr>
            <w:r>
              <w:rPr>
                <w:rFonts w:eastAsia="Times New Roman"/>
                <w:color w:val="000000"/>
                <w:sz w:val="18"/>
                <w:szCs w:val="18"/>
              </w:rPr>
              <w:t>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CFB78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F790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291C42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1DD246"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188851" w14:textId="77777777" w:rsidR="00000000" w:rsidRDefault="00A173A8">
            <w:pPr>
              <w:spacing w:after="100"/>
              <w:jc w:val="right"/>
              <w:rPr>
                <w:rFonts w:eastAsia="Times New Roman"/>
              </w:rPr>
            </w:pPr>
          </w:p>
        </w:tc>
      </w:tr>
      <w:tr w:rsidR="00000000" w14:paraId="52662F4C" w14:textId="77777777">
        <w:trPr>
          <w:divId w:val="1294872770"/>
        </w:trPr>
        <w:tc>
          <w:tcPr>
            <w:tcW w:w="0" w:type="auto"/>
            <w:gridSpan w:val="3"/>
            <w:shd w:val="clear" w:color="auto" w:fill="CCEEFF"/>
            <w:tcMar>
              <w:top w:w="30" w:type="dxa"/>
              <w:left w:w="20" w:type="dxa"/>
              <w:bottom w:w="30" w:type="dxa"/>
              <w:right w:w="20" w:type="dxa"/>
            </w:tcMar>
            <w:vAlign w:val="center"/>
            <w:hideMark/>
          </w:tcPr>
          <w:p w14:paraId="2190D7C2" w14:textId="77777777" w:rsidR="00000000" w:rsidRDefault="00A173A8">
            <w:pPr>
              <w:spacing w:after="100"/>
              <w:divId w:val="1308046116"/>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CB1F2DC"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1BEC36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5B2C51"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C020D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B8332A"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8FBD6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620F07"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DE76E1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763295"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B7F3EA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93027A"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1D2E78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09CEE8"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538D72" w14:textId="77777777" w:rsidR="00000000" w:rsidRDefault="00A173A8">
            <w:pPr>
              <w:spacing w:after="100"/>
              <w:rPr>
                <w:rFonts w:eastAsia="Times New Roman"/>
                <w:sz w:val="20"/>
                <w:szCs w:val="20"/>
              </w:rPr>
            </w:pPr>
          </w:p>
        </w:tc>
      </w:tr>
      <w:tr w:rsidR="00000000" w14:paraId="5ACCF99D" w14:textId="77777777">
        <w:trPr>
          <w:divId w:val="1294872770"/>
        </w:trPr>
        <w:tc>
          <w:tcPr>
            <w:tcW w:w="0" w:type="auto"/>
            <w:gridSpan w:val="3"/>
            <w:shd w:val="clear" w:color="auto" w:fill="FFFFFF"/>
            <w:tcMar>
              <w:top w:w="30" w:type="dxa"/>
              <w:left w:w="20" w:type="dxa"/>
              <w:bottom w:w="30" w:type="dxa"/>
              <w:right w:w="20" w:type="dxa"/>
            </w:tcMar>
            <w:vAlign w:val="center"/>
            <w:hideMark/>
          </w:tcPr>
          <w:p w14:paraId="35314B21" w14:textId="77777777" w:rsidR="00000000" w:rsidRDefault="00A173A8">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3F1C06A2"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373FE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9C677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39866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E5551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FF088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F64E4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26A91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322F1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44C39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0F7F7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99163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F6726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90CB1D" w14:textId="77777777" w:rsidR="00000000" w:rsidRDefault="00A173A8">
            <w:pPr>
              <w:spacing w:after="100"/>
              <w:rPr>
                <w:rFonts w:eastAsia="Times New Roman"/>
                <w:sz w:val="20"/>
                <w:szCs w:val="20"/>
              </w:rPr>
            </w:pPr>
          </w:p>
        </w:tc>
      </w:tr>
      <w:tr w:rsidR="00A173A8" w14:paraId="756F0261" w14:textId="77777777">
        <w:trPr>
          <w:divId w:val="1294872770"/>
        </w:trPr>
        <w:tc>
          <w:tcPr>
            <w:tcW w:w="0" w:type="auto"/>
            <w:gridSpan w:val="3"/>
            <w:shd w:val="clear" w:color="auto" w:fill="CCEEFF"/>
            <w:tcMar>
              <w:top w:w="30" w:type="dxa"/>
              <w:left w:w="245" w:type="dxa"/>
              <w:bottom w:w="30" w:type="dxa"/>
              <w:right w:w="20" w:type="dxa"/>
            </w:tcMar>
            <w:vAlign w:val="center"/>
            <w:hideMark/>
          </w:tcPr>
          <w:p w14:paraId="0490F366" w14:textId="77777777" w:rsidR="00000000" w:rsidRDefault="00A173A8">
            <w:pPr>
              <w:spacing w:after="100"/>
              <w:rPr>
                <w:rFonts w:eastAsia="Times New Roman"/>
              </w:rPr>
            </w:pPr>
            <w:r>
              <w:rPr>
                <w:rFonts w:eastAsia="Times New Roman"/>
                <w:color w:val="000000"/>
                <w:sz w:val="18"/>
                <w:szCs w:val="18"/>
              </w:rPr>
              <w:t>Realized gains (losses) reclassified from AOCI into net income</w:t>
            </w:r>
          </w:p>
        </w:tc>
        <w:tc>
          <w:tcPr>
            <w:tcW w:w="0" w:type="auto"/>
            <w:gridSpan w:val="3"/>
            <w:shd w:val="clear" w:color="auto" w:fill="CCEEFF"/>
            <w:tcMar>
              <w:top w:w="0" w:type="dxa"/>
              <w:left w:w="20" w:type="dxa"/>
              <w:bottom w:w="0" w:type="dxa"/>
              <w:right w:w="20" w:type="dxa"/>
            </w:tcMar>
            <w:vAlign w:val="center"/>
            <w:hideMark/>
          </w:tcPr>
          <w:p w14:paraId="47D65118"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3F1D2A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F2BD8DD" w14:textId="77777777" w:rsidR="00000000" w:rsidRDefault="00A173A8">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002B81F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256E98"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1087D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03874C3" w14:textId="77777777" w:rsidR="00000000" w:rsidRDefault="00A173A8">
            <w:pPr>
              <w:spacing w:after="100"/>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bottom"/>
            <w:hideMark/>
          </w:tcPr>
          <w:p w14:paraId="00E42A0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CB8BD"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B809F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635632"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AEE939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A17A2D"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D8D42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74FEB21"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FFC40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B3300"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F0594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59D96D7"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9B089B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07352"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A74E6F5"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CD1A8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247E5DA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B3ED0"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056A0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6C299A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28CFA67" w14:textId="77777777" w:rsidR="00000000" w:rsidRDefault="00A173A8">
            <w:pPr>
              <w:spacing w:after="100"/>
              <w:jc w:val="right"/>
              <w:rPr>
                <w:rFonts w:eastAsia="Times New Roman"/>
              </w:rPr>
            </w:pPr>
          </w:p>
        </w:tc>
      </w:tr>
      <w:tr w:rsidR="00000000" w14:paraId="68098DB1" w14:textId="77777777">
        <w:trPr>
          <w:divId w:val="1294872770"/>
        </w:trPr>
        <w:tc>
          <w:tcPr>
            <w:tcW w:w="0" w:type="auto"/>
            <w:gridSpan w:val="3"/>
            <w:shd w:val="clear" w:color="auto" w:fill="FFFFFF"/>
            <w:tcMar>
              <w:top w:w="30" w:type="dxa"/>
              <w:left w:w="20" w:type="dxa"/>
              <w:bottom w:w="30" w:type="dxa"/>
              <w:right w:w="20" w:type="dxa"/>
            </w:tcMar>
            <w:vAlign w:val="center"/>
            <w:hideMark/>
          </w:tcPr>
          <w:p w14:paraId="3EBB2F96" w14:textId="77777777" w:rsidR="00000000" w:rsidRDefault="00A173A8">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2E1D7113"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87A8B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61356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4A62A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B63C1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2B100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12FFC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EB30A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B5B1A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6D6F1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4AD4B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D0305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DBB06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0C4D97" w14:textId="77777777" w:rsidR="00000000" w:rsidRDefault="00A173A8">
            <w:pPr>
              <w:spacing w:after="100"/>
              <w:rPr>
                <w:rFonts w:eastAsia="Times New Roman"/>
                <w:sz w:val="20"/>
                <w:szCs w:val="20"/>
              </w:rPr>
            </w:pPr>
          </w:p>
        </w:tc>
      </w:tr>
      <w:tr w:rsidR="00000000" w14:paraId="0297F2D9" w14:textId="77777777">
        <w:trPr>
          <w:divId w:val="1294872770"/>
        </w:trPr>
        <w:tc>
          <w:tcPr>
            <w:tcW w:w="0" w:type="auto"/>
            <w:gridSpan w:val="3"/>
            <w:shd w:val="clear" w:color="auto" w:fill="CCEEFF"/>
            <w:tcMar>
              <w:top w:w="30" w:type="dxa"/>
              <w:left w:w="20" w:type="dxa"/>
              <w:bottom w:w="30" w:type="dxa"/>
              <w:right w:w="20" w:type="dxa"/>
            </w:tcMar>
            <w:vAlign w:val="center"/>
            <w:hideMark/>
          </w:tcPr>
          <w:p w14:paraId="518DB89C" w14:textId="77777777" w:rsidR="00000000" w:rsidRDefault="00A173A8">
            <w:pPr>
              <w:spacing w:after="100"/>
              <w:divId w:val="295524721"/>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4F0156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73183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F74EE7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D281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26F00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CD37D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878D1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B7727"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B56F2E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24D2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47CAC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D3C2C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8A117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CD7D9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D58D96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86D4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A50D3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4F7E6D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5ECDD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0BC337"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6B4CF676" w14:textId="77777777" w:rsidR="00000000" w:rsidRDefault="00A173A8">
            <w:pPr>
              <w:spacing w:after="100"/>
              <w:jc w:val="right"/>
              <w:rPr>
                <w:rFonts w:eastAsia="Times New Roman"/>
              </w:rPr>
            </w:pPr>
          </w:p>
        </w:tc>
      </w:tr>
      <w:tr w:rsidR="00A173A8" w14:paraId="5D53858D" w14:textId="77777777">
        <w:trPr>
          <w:divId w:val="1294872770"/>
        </w:trPr>
        <w:tc>
          <w:tcPr>
            <w:tcW w:w="0" w:type="auto"/>
            <w:gridSpan w:val="3"/>
            <w:shd w:val="clear" w:color="auto" w:fill="FFFFFF"/>
            <w:tcMar>
              <w:top w:w="30" w:type="dxa"/>
              <w:left w:w="20" w:type="dxa"/>
              <w:bottom w:w="30" w:type="dxa"/>
              <w:right w:w="20" w:type="dxa"/>
            </w:tcMar>
            <w:vAlign w:val="center"/>
            <w:hideMark/>
          </w:tcPr>
          <w:p w14:paraId="1A4C2A8D" w14:textId="77777777" w:rsidR="00000000" w:rsidRDefault="00A173A8">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77093425"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2266E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D18DE5" w14:textId="77777777" w:rsidR="00000000" w:rsidRDefault="00A173A8">
            <w:pPr>
              <w:spacing w:after="100"/>
              <w:jc w:val="right"/>
              <w:rPr>
                <w:rFonts w:eastAsia="Times New Roman"/>
              </w:rPr>
            </w:pPr>
            <w:r>
              <w:rPr>
                <w:rFonts w:eastAsia="Times New Roman"/>
                <w:color w:val="000000"/>
                <w:sz w:val="18"/>
                <w:szCs w:val="18"/>
              </w:rPr>
              <w:t>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B3D60F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D7DE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9309A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E59771" w14:textId="77777777" w:rsidR="00000000" w:rsidRDefault="00A173A8">
            <w:pPr>
              <w:spacing w:after="100"/>
              <w:jc w:val="right"/>
              <w:rPr>
                <w:rFonts w:eastAsia="Times New Roman"/>
              </w:rPr>
            </w:pPr>
            <w:r>
              <w:rPr>
                <w:rFonts w:eastAsia="Times New Roman"/>
                <w:color w:val="000000"/>
                <w:sz w:val="18"/>
                <w:szCs w:val="18"/>
              </w:rPr>
              <w:t>234 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EFB3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6B96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F3466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E1FBFE"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8D402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E2DBD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182EA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C39ACF"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16C99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41AB1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4E1C8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AA1CB8"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1CB4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EF38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1142E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4189D6"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D51CD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E437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801A5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7EF563" w14:textId="77777777" w:rsidR="00000000" w:rsidRDefault="00A173A8">
            <w:pPr>
              <w:spacing w:after="100"/>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598ADE1" w14:textId="77777777" w:rsidR="00000000" w:rsidRDefault="00A173A8">
            <w:pPr>
              <w:spacing w:after="100"/>
              <w:jc w:val="right"/>
              <w:rPr>
                <w:rFonts w:eastAsia="Times New Roman"/>
              </w:rPr>
            </w:pPr>
          </w:p>
        </w:tc>
      </w:tr>
    </w:tbl>
    <w:p w14:paraId="683752E1" w14:textId="77777777" w:rsidR="00000000" w:rsidRDefault="00A173A8">
      <w:pPr>
        <w:jc w:val="both"/>
        <w:divId w:val="357971422"/>
        <w:rPr>
          <w:rFonts w:eastAsia="Times New Roman"/>
        </w:rPr>
      </w:pPr>
    </w:p>
    <w:p w14:paraId="2D7367B8" w14:textId="77777777" w:rsidR="00000000" w:rsidRDefault="00A173A8">
      <w:pPr>
        <w:jc w:val="both"/>
        <w:divId w:val="795951230"/>
        <w:rPr>
          <w:rFonts w:eastAsia="Times New Roman"/>
        </w:rPr>
      </w:pPr>
    </w:p>
    <w:p w14:paraId="3F5EB97D" w14:textId="77777777" w:rsidR="00000000" w:rsidRDefault="00A173A8">
      <w:pPr>
        <w:jc w:val="both"/>
        <w:divId w:val="1174416594"/>
        <w:rPr>
          <w:rFonts w:eastAsia="Times New Roman"/>
        </w:rPr>
      </w:pPr>
    </w:p>
    <w:p w14:paraId="2FFEBA5E" w14:textId="77777777" w:rsidR="00000000" w:rsidRDefault="00A173A8">
      <w:pPr>
        <w:jc w:val="both"/>
        <w:divId w:val="2093042965"/>
        <w:rPr>
          <w:rFonts w:eastAsia="Times New Roman"/>
        </w:rPr>
      </w:pPr>
    </w:p>
    <w:p w14:paraId="5A406656" w14:textId="77777777" w:rsidR="00000000" w:rsidRDefault="00A173A8">
      <w:pPr>
        <w:jc w:val="both"/>
        <w:divId w:val="914782901"/>
        <w:rPr>
          <w:rFonts w:eastAsia="Times New Roman"/>
        </w:rPr>
      </w:pPr>
    </w:p>
    <w:p w14:paraId="73A2E84D" w14:textId="77777777" w:rsidR="00000000" w:rsidRDefault="00A173A8">
      <w:pPr>
        <w:jc w:val="both"/>
        <w:divId w:val="500239736"/>
        <w:rPr>
          <w:rFonts w:eastAsia="Times New Roman"/>
        </w:rPr>
      </w:pPr>
    </w:p>
    <w:p w14:paraId="4BB6C3DD" w14:textId="77777777" w:rsidR="00000000" w:rsidRDefault="00A173A8">
      <w:pPr>
        <w:jc w:val="both"/>
        <w:divId w:val="123747588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1216E87" w14:textId="77777777">
        <w:trPr>
          <w:divId w:val="1834249919"/>
          <w:jc w:val="center"/>
        </w:trPr>
        <w:tc>
          <w:tcPr>
            <w:tcW w:w="50" w:type="pct"/>
            <w:vAlign w:val="center"/>
            <w:hideMark/>
          </w:tcPr>
          <w:p w14:paraId="3D84D2B9" w14:textId="77777777" w:rsidR="00000000" w:rsidRDefault="00A173A8">
            <w:pPr>
              <w:jc w:val="both"/>
              <w:rPr>
                <w:rFonts w:eastAsia="Times New Roman"/>
              </w:rPr>
            </w:pPr>
          </w:p>
        </w:tc>
        <w:tc>
          <w:tcPr>
            <w:tcW w:w="1606" w:type="pct"/>
            <w:vAlign w:val="center"/>
            <w:hideMark/>
          </w:tcPr>
          <w:p w14:paraId="2B94CA17" w14:textId="77777777" w:rsidR="00000000" w:rsidRDefault="00A173A8">
            <w:pPr>
              <w:spacing w:after="100"/>
              <w:rPr>
                <w:rFonts w:eastAsia="Times New Roman"/>
                <w:sz w:val="20"/>
                <w:szCs w:val="20"/>
              </w:rPr>
            </w:pPr>
          </w:p>
        </w:tc>
        <w:tc>
          <w:tcPr>
            <w:tcW w:w="5" w:type="pct"/>
            <w:vAlign w:val="center"/>
            <w:hideMark/>
          </w:tcPr>
          <w:p w14:paraId="0619A7C1" w14:textId="77777777" w:rsidR="00000000" w:rsidRDefault="00A173A8">
            <w:pPr>
              <w:spacing w:after="100"/>
              <w:rPr>
                <w:rFonts w:eastAsia="Times New Roman"/>
                <w:sz w:val="20"/>
                <w:szCs w:val="20"/>
              </w:rPr>
            </w:pPr>
          </w:p>
        </w:tc>
        <w:tc>
          <w:tcPr>
            <w:tcW w:w="50" w:type="pct"/>
            <w:vAlign w:val="center"/>
            <w:hideMark/>
          </w:tcPr>
          <w:p w14:paraId="214550F6" w14:textId="77777777" w:rsidR="00000000" w:rsidRDefault="00A173A8">
            <w:pPr>
              <w:spacing w:after="100"/>
              <w:rPr>
                <w:rFonts w:eastAsia="Times New Roman"/>
                <w:sz w:val="20"/>
                <w:szCs w:val="20"/>
              </w:rPr>
            </w:pPr>
          </w:p>
        </w:tc>
        <w:tc>
          <w:tcPr>
            <w:tcW w:w="1614" w:type="pct"/>
            <w:vAlign w:val="center"/>
            <w:hideMark/>
          </w:tcPr>
          <w:p w14:paraId="7B3FA988" w14:textId="77777777" w:rsidR="00000000" w:rsidRDefault="00A173A8">
            <w:pPr>
              <w:spacing w:after="100"/>
              <w:rPr>
                <w:rFonts w:eastAsia="Times New Roman"/>
                <w:sz w:val="20"/>
                <w:szCs w:val="20"/>
              </w:rPr>
            </w:pPr>
          </w:p>
        </w:tc>
        <w:tc>
          <w:tcPr>
            <w:tcW w:w="5" w:type="pct"/>
            <w:vAlign w:val="center"/>
            <w:hideMark/>
          </w:tcPr>
          <w:p w14:paraId="5457C123" w14:textId="77777777" w:rsidR="00000000" w:rsidRDefault="00A173A8">
            <w:pPr>
              <w:spacing w:after="100"/>
              <w:rPr>
                <w:rFonts w:eastAsia="Times New Roman"/>
                <w:sz w:val="20"/>
                <w:szCs w:val="20"/>
              </w:rPr>
            </w:pPr>
          </w:p>
        </w:tc>
        <w:tc>
          <w:tcPr>
            <w:tcW w:w="50" w:type="pct"/>
            <w:vAlign w:val="center"/>
            <w:hideMark/>
          </w:tcPr>
          <w:p w14:paraId="459949EF" w14:textId="77777777" w:rsidR="00000000" w:rsidRDefault="00A173A8">
            <w:pPr>
              <w:spacing w:after="100"/>
              <w:rPr>
                <w:rFonts w:eastAsia="Times New Roman"/>
                <w:sz w:val="20"/>
                <w:szCs w:val="20"/>
              </w:rPr>
            </w:pPr>
          </w:p>
        </w:tc>
        <w:tc>
          <w:tcPr>
            <w:tcW w:w="1614" w:type="pct"/>
            <w:vAlign w:val="center"/>
            <w:hideMark/>
          </w:tcPr>
          <w:p w14:paraId="24B63715" w14:textId="77777777" w:rsidR="00000000" w:rsidRDefault="00A173A8">
            <w:pPr>
              <w:spacing w:after="100"/>
              <w:rPr>
                <w:rFonts w:eastAsia="Times New Roman"/>
                <w:sz w:val="20"/>
                <w:szCs w:val="20"/>
              </w:rPr>
            </w:pPr>
          </w:p>
        </w:tc>
        <w:tc>
          <w:tcPr>
            <w:tcW w:w="5" w:type="pct"/>
            <w:vAlign w:val="center"/>
            <w:hideMark/>
          </w:tcPr>
          <w:p w14:paraId="7D6BF19F" w14:textId="77777777" w:rsidR="00000000" w:rsidRDefault="00A173A8">
            <w:pPr>
              <w:spacing w:after="100"/>
              <w:rPr>
                <w:rFonts w:eastAsia="Times New Roman"/>
                <w:sz w:val="20"/>
                <w:szCs w:val="20"/>
              </w:rPr>
            </w:pPr>
          </w:p>
        </w:tc>
      </w:tr>
      <w:tr w:rsidR="00000000" w14:paraId="30B1E805" w14:textId="77777777">
        <w:trPr>
          <w:divId w:val="1834249919"/>
          <w:trHeight w:val="300"/>
          <w:jc w:val="center"/>
        </w:trPr>
        <w:tc>
          <w:tcPr>
            <w:tcW w:w="0" w:type="auto"/>
            <w:gridSpan w:val="9"/>
            <w:tcMar>
              <w:top w:w="0" w:type="dxa"/>
              <w:left w:w="20" w:type="dxa"/>
              <w:bottom w:w="0" w:type="dxa"/>
              <w:right w:w="20" w:type="dxa"/>
            </w:tcMar>
            <w:vAlign w:val="center"/>
            <w:hideMark/>
          </w:tcPr>
          <w:p w14:paraId="6A99FDFE" w14:textId="77777777" w:rsidR="00000000" w:rsidRDefault="00A173A8">
            <w:pPr>
              <w:spacing w:after="100"/>
              <w:rPr>
                <w:rFonts w:eastAsia="Times New Roman"/>
                <w:sz w:val="20"/>
                <w:szCs w:val="20"/>
              </w:rPr>
            </w:pPr>
          </w:p>
        </w:tc>
      </w:tr>
      <w:tr w:rsidR="00000000" w14:paraId="50DD0C53" w14:textId="77777777">
        <w:trPr>
          <w:divId w:val="1834249919"/>
          <w:jc w:val="center"/>
        </w:trPr>
        <w:tc>
          <w:tcPr>
            <w:tcW w:w="0" w:type="auto"/>
            <w:gridSpan w:val="3"/>
            <w:tcMar>
              <w:top w:w="0" w:type="dxa"/>
              <w:left w:w="20" w:type="dxa"/>
              <w:bottom w:w="0" w:type="dxa"/>
              <w:right w:w="20" w:type="dxa"/>
            </w:tcMar>
            <w:vAlign w:val="center"/>
            <w:hideMark/>
          </w:tcPr>
          <w:p w14:paraId="341ECD2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CB01F24" w14:textId="77777777" w:rsidR="00000000" w:rsidRDefault="00A173A8">
            <w:pPr>
              <w:spacing w:after="100"/>
              <w:jc w:val="center"/>
              <w:rPr>
                <w:rFonts w:eastAsia="Times New Roman"/>
              </w:rPr>
            </w:pPr>
            <w:r>
              <w:rPr>
                <w:rFonts w:eastAsia="Times New Roman"/>
                <w:color w:val="000000"/>
                <w:sz w:val="16"/>
                <w:szCs w:val="16"/>
              </w:rPr>
              <w:t>99</w:t>
            </w:r>
          </w:p>
        </w:tc>
        <w:tc>
          <w:tcPr>
            <w:tcW w:w="0" w:type="auto"/>
            <w:gridSpan w:val="3"/>
            <w:tcMar>
              <w:top w:w="30" w:type="dxa"/>
              <w:left w:w="20" w:type="dxa"/>
              <w:bottom w:w="30" w:type="dxa"/>
              <w:right w:w="20" w:type="dxa"/>
            </w:tcMar>
            <w:vAlign w:val="bottom"/>
            <w:hideMark/>
          </w:tcPr>
          <w:p w14:paraId="2BA76BBD"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B2E9DC0" w14:textId="77777777" w:rsidR="00000000" w:rsidRDefault="00A173A8">
      <w:pPr>
        <w:rPr>
          <w:rFonts w:eastAsia="Times New Roman"/>
        </w:rPr>
      </w:pPr>
      <w:r>
        <w:rPr>
          <w:rFonts w:eastAsia="Times New Roman"/>
        </w:rPr>
        <w:pict w14:anchorId="5A877084">
          <v:rect id="_x0000_i1124" style="width:0;height:1.5pt" o:hralign="center" o:hrstd="t" o:hr="t" fillcolor="#a0a0a0" stroked="f"/>
        </w:pict>
      </w:r>
    </w:p>
    <w:p w14:paraId="5666A12C" w14:textId="77777777" w:rsidR="00000000" w:rsidRDefault="00A173A8">
      <w:pPr>
        <w:jc w:val="both"/>
        <w:divId w:val="1033267702"/>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6"/>
        <w:gridCol w:w="1673"/>
        <w:gridCol w:w="39"/>
        <w:gridCol w:w="36"/>
        <w:gridCol w:w="36"/>
        <w:gridCol w:w="36"/>
        <w:gridCol w:w="111"/>
        <w:gridCol w:w="718"/>
        <w:gridCol w:w="36"/>
        <w:gridCol w:w="36"/>
        <w:gridCol w:w="36"/>
        <w:gridCol w:w="36"/>
        <w:gridCol w:w="111"/>
        <w:gridCol w:w="625"/>
        <w:gridCol w:w="36"/>
        <w:gridCol w:w="36"/>
        <w:gridCol w:w="36"/>
        <w:gridCol w:w="36"/>
        <w:gridCol w:w="111"/>
        <w:gridCol w:w="568"/>
        <w:gridCol w:w="36"/>
        <w:gridCol w:w="36"/>
        <w:gridCol w:w="36"/>
        <w:gridCol w:w="36"/>
        <w:gridCol w:w="111"/>
        <w:gridCol w:w="633"/>
        <w:gridCol w:w="36"/>
        <w:gridCol w:w="36"/>
        <w:gridCol w:w="36"/>
        <w:gridCol w:w="36"/>
        <w:gridCol w:w="111"/>
        <w:gridCol w:w="743"/>
        <w:gridCol w:w="36"/>
        <w:gridCol w:w="36"/>
        <w:gridCol w:w="36"/>
        <w:gridCol w:w="36"/>
        <w:gridCol w:w="111"/>
        <w:gridCol w:w="871"/>
        <w:gridCol w:w="36"/>
        <w:gridCol w:w="36"/>
        <w:gridCol w:w="36"/>
        <w:gridCol w:w="36"/>
        <w:gridCol w:w="111"/>
        <w:gridCol w:w="595"/>
        <w:gridCol w:w="36"/>
      </w:tblGrid>
      <w:tr w:rsidR="00000000" w14:paraId="668AC60B" w14:textId="77777777">
        <w:trPr>
          <w:divId w:val="1345747317"/>
        </w:trPr>
        <w:tc>
          <w:tcPr>
            <w:tcW w:w="50" w:type="pct"/>
            <w:vAlign w:val="center"/>
            <w:hideMark/>
          </w:tcPr>
          <w:p w14:paraId="3A41E755" w14:textId="77777777" w:rsidR="00000000" w:rsidRDefault="00A173A8">
            <w:pPr>
              <w:jc w:val="both"/>
              <w:rPr>
                <w:rFonts w:eastAsia="Times New Roman"/>
              </w:rPr>
            </w:pPr>
          </w:p>
        </w:tc>
        <w:tc>
          <w:tcPr>
            <w:tcW w:w="1063" w:type="pct"/>
            <w:vAlign w:val="center"/>
            <w:hideMark/>
          </w:tcPr>
          <w:p w14:paraId="0D547343" w14:textId="77777777" w:rsidR="00000000" w:rsidRDefault="00A173A8">
            <w:pPr>
              <w:spacing w:after="100"/>
              <w:rPr>
                <w:rFonts w:eastAsia="Times New Roman"/>
                <w:sz w:val="20"/>
                <w:szCs w:val="20"/>
              </w:rPr>
            </w:pPr>
          </w:p>
        </w:tc>
        <w:tc>
          <w:tcPr>
            <w:tcW w:w="5" w:type="pct"/>
            <w:vAlign w:val="center"/>
            <w:hideMark/>
          </w:tcPr>
          <w:p w14:paraId="7BD67A79" w14:textId="77777777" w:rsidR="00000000" w:rsidRDefault="00A173A8">
            <w:pPr>
              <w:spacing w:after="100"/>
              <w:rPr>
                <w:rFonts w:eastAsia="Times New Roman"/>
                <w:sz w:val="20"/>
                <w:szCs w:val="20"/>
              </w:rPr>
            </w:pPr>
          </w:p>
        </w:tc>
        <w:tc>
          <w:tcPr>
            <w:tcW w:w="5" w:type="pct"/>
            <w:vAlign w:val="center"/>
            <w:hideMark/>
          </w:tcPr>
          <w:p w14:paraId="6E256971" w14:textId="77777777" w:rsidR="00000000" w:rsidRDefault="00A173A8">
            <w:pPr>
              <w:spacing w:after="100"/>
              <w:rPr>
                <w:rFonts w:eastAsia="Times New Roman"/>
                <w:sz w:val="20"/>
                <w:szCs w:val="20"/>
              </w:rPr>
            </w:pPr>
          </w:p>
        </w:tc>
        <w:tc>
          <w:tcPr>
            <w:tcW w:w="26" w:type="pct"/>
            <w:vAlign w:val="center"/>
            <w:hideMark/>
          </w:tcPr>
          <w:p w14:paraId="2C4B0D10" w14:textId="77777777" w:rsidR="00000000" w:rsidRDefault="00A173A8">
            <w:pPr>
              <w:spacing w:after="100"/>
              <w:rPr>
                <w:rFonts w:eastAsia="Times New Roman"/>
                <w:sz w:val="20"/>
                <w:szCs w:val="20"/>
              </w:rPr>
            </w:pPr>
          </w:p>
        </w:tc>
        <w:tc>
          <w:tcPr>
            <w:tcW w:w="5" w:type="pct"/>
            <w:vAlign w:val="center"/>
            <w:hideMark/>
          </w:tcPr>
          <w:p w14:paraId="5640DFC6" w14:textId="77777777" w:rsidR="00000000" w:rsidRDefault="00A173A8">
            <w:pPr>
              <w:spacing w:after="100"/>
              <w:rPr>
                <w:rFonts w:eastAsia="Times New Roman"/>
                <w:sz w:val="20"/>
                <w:szCs w:val="20"/>
              </w:rPr>
            </w:pPr>
          </w:p>
        </w:tc>
        <w:tc>
          <w:tcPr>
            <w:tcW w:w="50" w:type="pct"/>
            <w:vAlign w:val="center"/>
            <w:hideMark/>
          </w:tcPr>
          <w:p w14:paraId="11D59B47" w14:textId="77777777" w:rsidR="00000000" w:rsidRDefault="00A173A8">
            <w:pPr>
              <w:spacing w:after="100"/>
              <w:rPr>
                <w:rFonts w:eastAsia="Times New Roman"/>
                <w:sz w:val="20"/>
                <w:szCs w:val="20"/>
              </w:rPr>
            </w:pPr>
          </w:p>
        </w:tc>
        <w:tc>
          <w:tcPr>
            <w:tcW w:w="449" w:type="pct"/>
            <w:vAlign w:val="center"/>
            <w:hideMark/>
          </w:tcPr>
          <w:p w14:paraId="4AB2BF4B" w14:textId="77777777" w:rsidR="00000000" w:rsidRDefault="00A173A8">
            <w:pPr>
              <w:spacing w:after="100"/>
              <w:rPr>
                <w:rFonts w:eastAsia="Times New Roman"/>
                <w:sz w:val="20"/>
                <w:szCs w:val="20"/>
              </w:rPr>
            </w:pPr>
          </w:p>
        </w:tc>
        <w:tc>
          <w:tcPr>
            <w:tcW w:w="5" w:type="pct"/>
            <w:vAlign w:val="center"/>
            <w:hideMark/>
          </w:tcPr>
          <w:p w14:paraId="46618B8B" w14:textId="77777777" w:rsidR="00000000" w:rsidRDefault="00A173A8">
            <w:pPr>
              <w:spacing w:after="100"/>
              <w:rPr>
                <w:rFonts w:eastAsia="Times New Roman"/>
                <w:sz w:val="20"/>
                <w:szCs w:val="20"/>
              </w:rPr>
            </w:pPr>
          </w:p>
        </w:tc>
        <w:tc>
          <w:tcPr>
            <w:tcW w:w="5" w:type="pct"/>
            <w:vAlign w:val="center"/>
            <w:hideMark/>
          </w:tcPr>
          <w:p w14:paraId="27333188" w14:textId="77777777" w:rsidR="00000000" w:rsidRDefault="00A173A8">
            <w:pPr>
              <w:spacing w:after="100"/>
              <w:rPr>
                <w:rFonts w:eastAsia="Times New Roman"/>
                <w:sz w:val="20"/>
                <w:szCs w:val="20"/>
              </w:rPr>
            </w:pPr>
          </w:p>
        </w:tc>
        <w:tc>
          <w:tcPr>
            <w:tcW w:w="26" w:type="pct"/>
            <w:vAlign w:val="center"/>
            <w:hideMark/>
          </w:tcPr>
          <w:p w14:paraId="720006AB" w14:textId="77777777" w:rsidR="00000000" w:rsidRDefault="00A173A8">
            <w:pPr>
              <w:spacing w:after="100"/>
              <w:rPr>
                <w:rFonts w:eastAsia="Times New Roman"/>
                <w:sz w:val="20"/>
                <w:szCs w:val="20"/>
              </w:rPr>
            </w:pPr>
          </w:p>
        </w:tc>
        <w:tc>
          <w:tcPr>
            <w:tcW w:w="5" w:type="pct"/>
            <w:vAlign w:val="center"/>
            <w:hideMark/>
          </w:tcPr>
          <w:p w14:paraId="060CCD47" w14:textId="77777777" w:rsidR="00000000" w:rsidRDefault="00A173A8">
            <w:pPr>
              <w:spacing w:after="100"/>
              <w:rPr>
                <w:rFonts w:eastAsia="Times New Roman"/>
                <w:sz w:val="20"/>
                <w:szCs w:val="20"/>
              </w:rPr>
            </w:pPr>
          </w:p>
        </w:tc>
        <w:tc>
          <w:tcPr>
            <w:tcW w:w="50" w:type="pct"/>
            <w:vAlign w:val="center"/>
            <w:hideMark/>
          </w:tcPr>
          <w:p w14:paraId="342BD9B6" w14:textId="77777777" w:rsidR="00000000" w:rsidRDefault="00A173A8">
            <w:pPr>
              <w:spacing w:after="100"/>
              <w:rPr>
                <w:rFonts w:eastAsia="Times New Roman"/>
                <w:sz w:val="20"/>
                <w:szCs w:val="20"/>
              </w:rPr>
            </w:pPr>
          </w:p>
        </w:tc>
        <w:tc>
          <w:tcPr>
            <w:tcW w:w="464" w:type="pct"/>
            <w:vAlign w:val="center"/>
            <w:hideMark/>
          </w:tcPr>
          <w:p w14:paraId="114BE872" w14:textId="77777777" w:rsidR="00000000" w:rsidRDefault="00A173A8">
            <w:pPr>
              <w:spacing w:after="100"/>
              <w:rPr>
                <w:rFonts w:eastAsia="Times New Roman"/>
                <w:sz w:val="20"/>
                <w:szCs w:val="20"/>
              </w:rPr>
            </w:pPr>
          </w:p>
        </w:tc>
        <w:tc>
          <w:tcPr>
            <w:tcW w:w="5" w:type="pct"/>
            <w:vAlign w:val="center"/>
            <w:hideMark/>
          </w:tcPr>
          <w:p w14:paraId="28212246" w14:textId="77777777" w:rsidR="00000000" w:rsidRDefault="00A173A8">
            <w:pPr>
              <w:spacing w:after="100"/>
              <w:rPr>
                <w:rFonts w:eastAsia="Times New Roman"/>
                <w:sz w:val="20"/>
                <w:szCs w:val="20"/>
              </w:rPr>
            </w:pPr>
          </w:p>
        </w:tc>
        <w:tc>
          <w:tcPr>
            <w:tcW w:w="5" w:type="pct"/>
            <w:vAlign w:val="center"/>
            <w:hideMark/>
          </w:tcPr>
          <w:p w14:paraId="1A2CAE80" w14:textId="77777777" w:rsidR="00000000" w:rsidRDefault="00A173A8">
            <w:pPr>
              <w:spacing w:after="100"/>
              <w:rPr>
                <w:rFonts w:eastAsia="Times New Roman"/>
                <w:sz w:val="20"/>
                <w:szCs w:val="20"/>
              </w:rPr>
            </w:pPr>
          </w:p>
        </w:tc>
        <w:tc>
          <w:tcPr>
            <w:tcW w:w="26" w:type="pct"/>
            <w:vAlign w:val="center"/>
            <w:hideMark/>
          </w:tcPr>
          <w:p w14:paraId="3F2F1A86" w14:textId="77777777" w:rsidR="00000000" w:rsidRDefault="00A173A8">
            <w:pPr>
              <w:spacing w:after="100"/>
              <w:rPr>
                <w:rFonts w:eastAsia="Times New Roman"/>
                <w:sz w:val="20"/>
                <w:szCs w:val="20"/>
              </w:rPr>
            </w:pPr>
          </w:p>
        </w:tc>
        <w:tc>
          <w:tcPr>
            <w:tcW w:w="5" w:type="pct"/>
            <w:vAlign w:val="center"/>
            <w:hideMark/>
          </w:tcPr>
          <w:p w14:paraId="0D195F19" w14:textId="77777777" w:rsidR="00000000" w:rsidRDefault="00A173A8">
            <w:pPr>
              <w:spacing w:after="100"/>
              <w:rPr>
                <w:rFonts w:eastAsia="Times New Roman"/>
                <w:sz w:val="20"/>
                <w:szCs w:val="20"/>
              </w:rPr>
            </w:pPr>
          </w:p>
        </w:tc>
        <w:tc>
          <w:tcPr>
            <w:tcW w:w="50" w:type="pct"/>
            <w:vAlign w:val="center"/>
            <w:hideMark/>
          </w:tcPr>
          <w:p w14:paraId="21620273" w14:textId="77777777" w:rsidR="00000000" w:rsidRDefault="00A173A8">
            <w:pPr>
              <w:spacing w:after="100"/>
              <w:rPr>
                <w:rFonts w:eastAsia="Times New Roman"/>
                <w:sz w:val="20"/>
                <w:szCs w:val="20"/>
              </w:rPr>
            </w:pPr>
          </w:p>
        </w:tc>
        <w:tc>
          <w:tcPr>
            <w:tcW w:w="442" w:type="pct"/>
            <w:vAlign w:val="center"/>
            <w:hideMark/>
          </w:tcPr>
          <w:p w14:paraId="4804AA60" w14:textId="77777777" w:rsidR="00000000" w:rsidRDefault="00A173A8">
            <w:pPr>
              <w:spacing w:after="100"/>
              <w:rPr>
                <w:rFonts w:eastAsia="Times New Roman"/>
                <w:sz w:val="20"/>
                <w:szCs w:val="20"/>
              </w:rPr>
            </w:pPr>
          </w:p>
        </w:tc>
        <w:tc>
          <w:tcPr>
            <w:tcW w:w="5" w:type="pct"/>
            <w:vAlign w:val="center"/>
            <w:hideMark/>
          </w:tcPr>
          <w:p w14:paraId="76091258" w14:textId="77777777" w:rsidR="00000000" w:rsidRDefault="00A173A8">
            <w:pPr>
              <w:spacing w:after="100"/>
              <w:rPr>
                <w:rFonts w:eastAsia="Times New Roman"/>
                <w:sz w:val="20"/>
                <w:szCs w:val="20"/>
              </w:rPr>
            </w:pPr>
          </w:p>
        </w:tc>
        <w:tc>
          <w:tcPr>
            <w:tcW w:w="5" w:type="pct"/>
            <w:vAlign w:val="center"/>
            <w:hideMark/>
          </w:tcPr>
          <w:p w14:paraId="5511A245" w14:textId="77777777" w:rsidR="00000000" w:rsidRDefault="00A173A8">
            <w:pPr>
              <w:spacing w:after="100"/>
              <w:rPr>
                <w:rFonts w:eastAsia="Times New Roman"/>
                <w:sz w:val="20"/>
                <w:szCs w:val="20"/>
              </w:rPr>
            </w:pPr>
          </w:p>
        </w:tc>
        <w:tc>
          <w:tcPr>
            <w:tcW w:w="26" w:type="pct"/>
            <w:vAlign w:val="center"/>
            <w:hideMark/>
          </w:tcPr>
          <w:p w14:paraId="208B04EA" w14:textId="77777777" w:rsidR="00000000" w:rsidRDefault="00A173A8">
            <w:pPr>
              <w:spacing w:after="100"/>
              <w:rPr>
                <w:rFonts w:eastAsia="Times New Roman"/>
                <w:sz w:val="20"/>
                <w:szCs w:val="20"/>
              </w:rPr>
            </w:pPr>
          </w:p>
        </w:tc>
        <w:tc>
          <w:tcPr>
            <w:tcW w:w="5" w:type="pct"/>
            <w:vAlign w:val="center"/>
            <w:hideMark/>
          </w:tcPr>
          <w:p w14:paraId="1048424D" w14:textId="77777777" w:rsidR="00000000" w:rsidRDefault="00A173A8">
            <w:pPr>
              <w:spacing w:after="100"/>
              <w:rPr>
                <w:rFonts w:eastAsia="Times New Roman"/>
                <w:sz w:val="20"/>
                <w:szCs w:val="20"/>
              </w:rPr>
            </w:pPr>
          </w:p>
        </w:tc>
        <w:tc>
          <w:tcPr>
            <w:tcW w:w="50" w:type="pct"/>
            <w:vAlign w:val="center"/>
            <w:hideMark/>
          </w:tcPr>
          <w:p w14:paraId="3F244DC7" w14:textId="77777777" w:rsidR="00000000" w:rsidRDefault="00A173A8">
            <w:pPr>
              <w:spacing w:after="100"/>
              <w:rPr>
                <w:rFonts w:eastAsia="Times New Roman"/>
                <w:sz w:val="20"/>
                <w:szCs w:val="20"/>
              </w:rPr>
            </w:pPr>
          </w:p>
        </w:tc>
        <w:tc>
          <w:tcPr>
            <w:tcW w:w="449" w:type="pct"/>
            <w:vAlign w:val="center"/>
            <w:hideMark/>
          </w:tcPr>
          <w:p w14:paraId="6EC8A1E8" w14:textId="77777777" w:rsidR="00000000" w:rsidRDefault="00A173A8">
            <w:pPr>
              <w:spacing w:after="100"/>
              <w:rPr>
                <w:rFonts w:eastAsia="Times New Roman"/>
                <w:sz w:val="20"/>
                <w:szCs w:val="20"/>
              </w:rPr>
            </w:pPr>
          </w:p>
        </w:tc>
        <w:tc>
          <w:tcPr>
            <w:tcW w:w="5" w:type="pct"/>
            <w:vAlign w:val="center"/>
            <w:hideMark/>
          </w:tcPr>
          <w:p w14:paraId="21F84096" w14:textId="77777777" w:rsidR="00000000" w:rsidRDefault="00A173A8">
            <w:pPr>
              <w:spacing w:after="100"/>
              <w:rPr>
                <w:rFonts w:eastAsia="Times New Roman"/>
                <w:sz w:val="20"/>
                <w:szCs w:val="20"/>
              </w:rPr>
            </w:pPr>
          </w:p>
        </w:tc>
        <w:tc>
          <w:tcPr>
            <w:tcW w:w="5" w:type="pct"/>
            <w:vAlign w:val="center"/>
            <w:hideMark/>
          </w:tcPr>
          <w:p w14:paraId="4BD28558" w14:textId="77777777" w:rsidR="00000000" w:rsidRDefault="00A173A8">
            <w:pPr>
              <w:spacing w:after="100"/>
              <w:rPr>
                <w:rFonts w:eastAsia="Times New Roman"/>
                <w:sz w:val="20"/>
                <w:szCs w:val="20"/>
              </w:rPr>
            </w:pPr>
          </w:p>
        </w:tc>
        <w:tc>
          <w:tcPr>
            <w:tcW w:w="26" w:type="pct"/>
            <w:vAlign w:val="center"/>
            <w:hideMark/>
          </w:tcPr>
          <w:p w14:paraId="66526C6A" w14:textId="77777777" w:rsidR="00000000" w:rsidRDefault="00A173A8">
            <w:pPr>
              <w:spacing w:after="100"/>
              <w:rPr>
                <w:rFonts w:eastAsia="Times New Roman"/>
                <w:sz w:val="20"/>
                <w:szCs w:val="20"/>
              </w:rPr>
            </w:pPr>
          </w:p>
        </w:tc>
        <w:tc>
          <w:tcPr>
            <w:tcW w:w="5" w:type="pct"/>
            <w:vAlign w:val="center"/>
            <w:hideMark/>
          </w:tcPr>
          <w:p w14:paraId="03160A7C" w14:textId="77777777" w:rsidR="00000000" w:rsidRDefault="00A173A8">
            <w:pPr>
              <w:spacing w:after="100"/>
              <w:rPr>
                <w:rFonts w:eastAsia="Times New Roman"/>
                <w:sz w:val="20"/>
                <w:szCs w:val="20"/>
              </w:rPr>
            </w:pPr>
          </w:p>
        </w:tc>
        <w:tc>
          <w:tcPr>
            <w:tcW w:w="50" w:type="pct"/>
            <w:vAlign w:val="center"/>
            <w:hideMark/>
          </w:tcPr>
          <w:p w14:paraId="7F9CE0B4" w14:textId="77777777" w:rsidR="00000000" w:rsidRDefault="00A173A8">
            <w:pPr>
              <w:spacing w:after="100"/>
              <w:rPr>
                <w:rFonts w:eastAsia="Times New Roman"/>
                <w:sz w:val="20"/>
                <w:szCs w:val="20"/>
              </w:rPr>
            </w:pPr>
          </w:p>
        </w:tc>
        <w:tc>
          <w:tcPr>
            <w:tcW w:w="464" w:type="pct"/>
            <w:vAlign w:val="center"/>
            <w:hideMark/>
          </w:tcPr>
          <w:p w14:paraId="4065594C" w14:textId="77777777" w:rsidR="00000000" w:rsidRDefault="00A173A8">
            <w:pPr>
              <w:spacing w:after="100"/>
              <w:rPr>
                <w:rFonts w:eastAsia="Times New Roman"/>
                <w:sz w:val="20"/>
                <w:szCs w:val="20"/>
              </w:rPr>
            </w:pPr>
          </w:p>
        </w:tc>
        <w:tc>
          <w:tcPr>
            <w:tcW w:w="5" w:type="pct"/>
            <w:vAlign w:val="center"/>
            <w:hideMark/>
          </w:tcPr>
          <w:p w14:paraId="0B1F856A" w14:textId="77777777" w:rsidR="00000000" w:rsidRDefault="00A173A8">
            <w:pPr>
              <w:spacing w:after="100"/>
              <w:rPr>
                <w:rFonts w:eastAsia="Times New Roman"/>
                <w:sz w:val="20"/>
                <w:szCs w:val="20"/>
              </w:rPr>
            </w:pPr>
          </w:p>
        </w:tc>
        <w:tc>
          <w:tcPr>
            <w:tcW w:w="5" w:type="pct"/>
            <w:vAlign w:val="center"/>
            <w:hideMark/>
          </w:tcPr>
          <w:p w14:paraId="534DEDF3" w14:textId="77777777" w:rsidR="00000000" w:rsidRDefault="00A173A8">
            <w:pPr>
              <w:spacing w:after="100"/>
              <w:rPr>
                <w:rFonts w:eastAsia="Times New Roman"/>
                <w:sz w:val="20"/>
                <w:szCs w:val="20"/>
              </w:rPr>
            </w:pPr>
          </w:p>
        </w:tc>
        <w:tc>
          <w:tcPr>
            <w:tcW w:w="26" w:type="pct"/>
            <w:vAlign w:val="center"/>
            <w:hideMark/>
          </w:tcPr>
          <w:p w14:paraId="6FAE7730" w14:textId="77777777" w:rsidR="00000000" w:rsidRDefault="00A173A8">
            <w:pPr>
              <w:spacing w:after="100"/>
              <w:rPr>
                <w:rFonts w:eastAsia="Times New Roman"/>
                <w:sz w:val="20"/>
                <w:szCs w:val="20"/>
              </w:rPr>
            </w:pPr>
          </w:p>
        </w:tc>
        <w:tc>
          <w:tcPr>
            <w:tcW w:w="5" w:type="pct"/>
            <w:vAlign w:val="center"/>
            <w:hideMark/>
          </w:tcPr>
          <w:p w14:paraId="131F6C91" w14:textId="77777777" w:rsidR="00000000" w:rsidRDefault="00A173A8">
            <w:pPr>
              <w:spacing w:after="100"/>
              <w:rPr>
                <w:rFonts w:eastAsia="Times New Roman"/>
                <w:sz w:val="20"/>
                <w:szCs w:val="20"/>
              </w:rPr>
            </w:pPr>
          </w:p>
        </w:tc>
        <w:tc>
          <w:tcPr>
            <w:tcW w:w="50" w:type="pct"/>
            <w:vAlign w:val="center"/>
            <w:hideMark/>
          </w:tcPr>
          <w:p w14:paraId="3794C188" w14:textId="77777777" w:rsidR="00000000" w:rsidRDefault="00A173A8">
            <w:pPr>
              <w:spacing w:after="100"/>
              <w:rPr>
                <w:rFonts w:eastAsia="Times New Roman"/>
                <w:sz w:val="20"/>
                <w:szCs w:val="20"/>
              </w:rPr>
            </w:pPr>
          </w:p>
        </w:tc>
        <w:tc>
          <w:tcPr>
            <w:tcW w:w="464" w:type="pct"/>
            <w:vAlign w:val="center"/>
            <w:hideMark/>
          </w:tcPr>
          <w:p w14:paraId="60D1437D" w14:textId="77777777" w:rsidR="00000000" w:rsidRDefault="00A173A8">
            <w:pPr>
              <w:spacing w:after="100"/>
              <w:rPr>
                <w:rFonts w:eastAsia="Times New Roman"/>
                <w:sz w:val="20"/>
                <w:szCs w:val="20"/>
              </w:rPr>
            </w:pPr>
          </w:p>
        </w:tc>
        <w:tc>
          <w:tcPr>
            <w:tcW w:w="5" w:type="pct"/>
            <w:vAlign w:val="center"/>
            <w:hideMark/>
          </w:tcPr>
          <w:p w14:paraId="5716FE61" w14:textId="77777777" w:rsidR="00000000" w:rsidRDefault="00A173A8">
            <w:pPr>
              <w:spacing w:after="100"/>
              <w:rPr>
                <w:rFonts w:eastAsia="Times New Roman"/>
                <w:sz w:val="20"/>
                <w:szCs w:val="20"/>
              </w:rPr>
            </w:pPr>
          </w:p>
        </w:tc>
        <w:tc>
          <w:tcPr>
            <w:tcW w:w="5" w:type="pct"/>
            <w:vAlign w:val="center"/>
            <w:hideMark/>
          </w:tcPr>
          <w:p w14:paraId="2829C5A0" w14:textId="77777777" w:rsidR="00000000" w:rsidRDefault="00A173A8">
            <w:pPr>
              <w:spacing w:after="100"/>
              <w:rPr>
                <w:rFonts w:eastAsia="Times New Roman"/>
                <w:sz w:val="20"/>
                <w:szCs w:val="20"/>
              </w:rPr>
            </w:pPr>
          </w:p>
        </w:tc>
        <w:tc>
          <w:tcPr>
            <w:tcW w:w="26" w:type="pct"/>
            <w:vAlign w:val="center"/>
            <w:hideMark/>
          </w:tcPr>
          <w:p w14:paraId="658F64AA" w14:textId="77777777" w:rsidR="00000000" w:rsidRDefault="00A173A8">
            <w:pPr>
              <w:spacing w:after="100"/>
              <w:rPr>
                <w:rFonts w:eastAsia="Times New Roman"/>
                <w:sz w:val="20"/>
                <w:szCs w:val="20"/>
              </w:rPr>
            </w:pPr>
          </w:p>
        </w:tc>
        <w:tc>
          <w:tcPr>
            <w:tcW w:w="5" w:type="pct"/>
            <w:vAlign w:val="center"/>
            <w:hideMark/>
          </w:tcPr>
          <w:p w14:paraId="4915A9EB" w14:textId="77777777" w:rsidR="00000000" w:rsidRDefault="00A173A8">
            <w:pPr>
              <w:spacing w:after="100"/>
              <w:rPr>
                <w:rFonts w:eastAsia="Times New Roman"/>
                <w:sz w:val="20"/>
                <w:szCs w:val="20"/>
              </w:rPr>
            </w:pPr>
          </w:p>
        </w:tc>
        <w:tc>
          <w:tcPr>
            <w:tcW w:w="50" w:type="pct"/>
            <w:vAlign w:val="center"/>
            <w:hideMark/>
          </w:tcPr>
          <w:p w14:paraId="5F24863E" w14:textId="77777777" w:rsidR="00000000" w:rsidRDefault="00A173A8">
            <w:pPr>
              <w:spacing w:after="100"/>
              <w:rPr>
                <w:rFonts w:eastAsia="Times New Roman"/>
                <w:sz w:val="20"/>
                <w:szCs w:val="20"/>
              </w:rPr>
            </w:pPr>
          </w:p>
        </w:tc>
        <w:tc>
          <w:tcPr>
            <w:tcW w:w="508" w:type="pct"/>
            <w:vAlign w:val="center"/>
            <w:hideMark/>
          </w:tcPr>
          <w:p w14:paraId="173EEB9E" w14:textId="77777777" w:rsidR="00000000" w:rsidRDefault="00A173A8">
            <w:pPr>
              <w:spacing w:after="100"/>
              <w:rPr>
                <w:rFonts w:eastAsia="Times New Roman"/>
                <w:sz w:val="20"/>
                <w:szCs w:val="20"/>
              </w:rPr>
            </w:pPr>
          </w:p>
        </w:tc>
        <w:tc>
          <w:tcPr>
            <w:tcW w:w="5" w:type="pct"/>
            <w:vAlign w:val="center"/>
            <w:hideMark/>
          </w:tcPr>
          <w:p w14:paraId="63E1BFDF" w14:textId="77777777" w:rsidR="00000000" w:rsidRDefault="00A173A8">
            <w:pPr>
              <w:spacing w:after="100"/>
              <w:rPr>
                <w:rFonts w:eastAsia="Times New Roman"/>
                <w:sz w:val="20"/>
                <w:szCs w:val="20"/>
              </w:rPr>
            </w:pPr>
          </w:p>
        </w:tc>
      </w:tr>
      <w:tr w:rsidR="00000000" w14:paraId="100306B4" w14:textId="77777777">
        <w:trPr>
          <w:divId w:val="1345747317"/>
        </w:trPr>
        <w:tc>
          <w:tcPr>
            <w:tcW w:w="0" w:type="auto"/>
            <w:gridSpan w:val="3"/>
            <w:vAlign w:val="center"/>
            <w:hideMark/>
          </w:tcPr>
          <w:p w14:paraId="74DC93BF" w14:textId="77777777" w:rsidR="00000000" w:rsidRDefault="00A173A8">
            <w:pPr>
              <w:spacing w:after="100"/>
              <w:rPr>
                <w:rFonts w:eastAsia="Times New Roman"/>
                <w:sz w:val="20"/>
                <w:szCs w:val="20"/>
              </w:rPr>
            </w:pPr>
          </w:p>
        </w:tc>
        <w:tc>
          <w:tcPr>
            <w:tcW w:w="0" w:type="auto"/>
            <w:gridSpan w:val="3"/>
            <w:vAlign w:val="center"/>
            <w:hideMark/>
          </w:tcPr>
          <w:p w14:paraId="4D1CFAFA" w14:textId="77777777" w:rsidR="00000000" w:rsidRDefault="00A173A8">
            <w:pPr>
              <w:spacing w:after="100"/>
              <w:rPr>
                <w:rFonts w:eastAsia="Times New Roman"/>
                <w:sz w:val="20"/>
                <w:szCs w:val="20"/>
              </w:rPr>
            </w:pPr>
          </w:p>
        </w:tc>
        <w:tc>
          <w:tcPr>
            <w:tcW w:w="0" w:type="auto"/>
            <w:gridSpan w:val="3"/>
            <w:vAlign w:val="center"/>
            <w:hideMark/>
          </w:tcPr>
          <w:p w14:paraId="6BD51492" w14:textId="77777777" w:rsidR="00000000" w:rsidRDefault="00A173A8">
            <w:pPr>
              <w:spacing w:after="100"/>
              <w:rPr>
                <w:rFonts w:eastAsia="Times New Roman"/>
                <w:sz w:val="20"/>
                <w:szCs w:val="20"/>
              </w:rPr>
            </w:pPr>
          </w:p>
        </w:tc>
        <w:tc>
          <w:tcPr>
            <w:tcW w:w="0" w:type="auto"/>
            <w:gridSpan w:val="3"/>
            <w:vAlign w:val="center"/>
            <w:hideMark/>
          </w:tcPr>
          <w:p w14:paraId="68831761" w14:textId="77777777" w:rsidR="00000000" w:rsidRDefault="00A173A8">
            <w:pPr>
              <w:spacing w:after="100"/>
              <w:rPr>
                <w:rFonts w:eastAsia="Times New Roman"/>
                <w:sz w:val="20"/>
                <w:szCs w:val="20"/>
              </w:rPr>
            </w:pPr>
          </w:p>
        </w:tc>
        <w:tc>
          <w:tcPr>
            <w:tcW w:w="0" w:type="auto"/>
            <w:gridSpan w:val="3"/>
            <w:vAlign w:val="center"/>
            <w:hideMark/>
          </w:tcPr>
          <w:p w14:paraId="0824C546" w14:textId="77777777" w:rsidR="00000000" w:rsidRDefault="00A173A8">
            <w:pPr>
              <w:spacing w:after="100"/>
              <w:rPr>
                <w:rFonts w:eastAsia="Times New Roman"/>
                <w:sz w:val="20"/>
                <w:szCs w:val="20"/>
              </w:rPr>
            </w:pPr>
          </w:p>
        </w:tc>
        <w:tc>
          <w:tcPr>
            <w:tcW w:w="0" w:type="auto"/>
            <w:gridSpan w:val="3"/>
            <w:vAlign w:val="center"/>
            <w:hideMark/>
          </w:tcPr>
          <w:p w14:paraId="05B0CA87" w14:textId="77777777" w:rsidR="00000000" w:rsidRDefault="00A173A8">
            <w:pPr>
              <w:spacing w:after="100"/>
              <w:rPr>
                <w:rFonts w:eastAsia="Times New Roman"/>
                <w:sz w:val="20"/>
                <w:szCs w:val="20"/>
              </w:rPr>
            </w:pPr>
          </w:p>
        </w:tc>
        <w:tc>
          <w:tcPr>
            <w:tcW w:w="0" w:type="auto"/>
            <w:gridSpan w:val="3"/>
            <w:vAlign w:val="center"/>
            <w:hideMark/>
          </w:tcPr>
          <w:p w14:paraId="6A564414" w14:textId="77777777" w:rsidR="00000000" w:rsidRDefault="00A173A8">
            <w:pPr>
              <w:spacing w:after="100"/>
              <w:rPr>
                <w:rFonts w:eastAsia="Times New Roman"/>
                <w:sz w:val="20"/>
                <w:szCs w:val="20"/>
              </w:rPr>
            </w:pPr>
          </w:p>
        </w:tc>
        <w:tc>
          <w:tcPr>
            <w:tcW w:w="0" w:type="auto"/>
            <w:gridSpan w:val="3"/>
            <w:vAlign w:val="center"/>
            <w:hideMark/>
          </w:tcPr>
          <w:p w14:paraId="0A7EA576" w14:textId="77777777" w:rsidR="00000000" w:rsidRDefault="00A173A8">
            <w:pPr>
              <w:spacing w:after="100"/>
              <w:rPr>
                <w:rFonts w:eastAsia="Times New Roman"/>
                <w:sz w:val="20"/>
                <w:szCs w:val="20"/>
              </w:rPr>
            </w:pPr>
          </w:p>
        </w:tc>
        <w:tc>
          <w:tcPr>
            <w:tcW w:w="0" w:type="auto"/>
            <w:gridSpan w:val="3"/>
            <w:vAlign w:val="center"/>
            <w:hideMark/>
          </w:tcPr>
          <w:p w14:paraId="379E4C73" w14:textId="77777777" w:rsidR="00000000" w:rsidRDefault="00A173A8">
            <w:pPr>
              <w:spacing w:after="100"/>
              <w:rPr>
                <w:rFonts w:eastAsia="Times New Roman"/>
                <w:sz w:val="20"/>
                <w:szCs w:val="20"/>
              </w:rPr>
            </w:pPr>
          </w:p>
        </w:tc>
        <w:tc>
          <w:tcPr>
            <w:tcW w:w="0" w:type="auto"/>
            <w:gridSpan w:val="3"/>
            <w:vAlign w:val="center"/>
            <w:hideMark/>
          </w:tcPr>
          <w:p w14:paraId="4EE7B48A" w14:textId="77777777" w:rsidR="00000000" w:rsidRDefault="00A173A8">
            <w:pPr>
              <w:spacing w:after="100"/>
              <w:rPr>
                <w:rFonts w:eastAsia="Times New Roman"/>
                <w:sz w:val="20"/>
                <w:szCs w:val="20"/>
              </w:rPr>
            </w:pPr>
          </w:p>
        </w:tc>
        <w:tc>
          <w:tcPr>
            <w:tcW w:w="0" w:type="auto"/>
            <w:gridSpan w:val="3"/>
            <w:vAlign w:val="center"/>
            <w:hideMark/>
          </w:tcPr>
          <w:p w14:paraId="2A05E707" w14:textId="77777777" w:rsidR="00000000" w:rsidRDefault="00A173A8">
            <w:pPr>
              <w:spacing w:after="100"/>
              <w:rPr>
                <w:rFonts w:eastAsia="Times New Roman"/>
                <w:sz w:val="20"/>
                <w:szCs w:val="20"/>
              </w:rPr>
            </w:pPr>
          </w:p>
        </w:tc>
        <w:tc>
          <w:tcPr>
            <w:tcW w:w="0" w:type="auto"/>
            <w:gridSpan w:val="3"/>
            <w:vAlign w:val="center"/>
            <w:hideMark/>
          </w:tcPr>
          <w:p w14:paraId="3F7CC9AA" w14:textId="77777777" w:rsidR="00000000" w:rsidRDefault="00A173A8">
            <w:pPr>
              <w:spacing w:after="100"/>
              <w:rPr>
                <w:rFonts w:eastAsia="Times New Roman"/>
                <w:sz w:val="20"/>
                <w:szCs w:val="20"/>
              </w:rPr>
            </w:pPr>
          </w:p>
        </w:tc>
        <w:tc>
          <w:tcPr>
            <w:tcW w:w="0" w:type="auto"/>
            <w:gridSpan w:val="3"/>
            <w:vAlign w:val="center"/>
            <w:hideMark/>
          </w:tcPr>
          <w:p w14:paraId="31515B98" w14:textId="77777777" w:rsidR="00000000" w:rsidRDefault="00A173A8">
            <w:pPr>
              <w:spacing w:after="100"/>
              <w:rPr>
                <w:rFonts w:eastAsia="Times New Roman"/>
                <w:sz w:val="20"/>
                <w:szCs w:val="20"/>
              </w:rPr>
            </w:pPr>
          </w:p>
        </w:tc>
        <w:tc>
          <w:tcPr>
            <w:tcW w:w="0" w:type="auto"/>
            <w:gridSpan w:val="3"/>
            <w:vAlign w:val="center"/>
            <w:hideMark/>
          </w:tcPr>
          <w:p w14:paraId="1933B215" w14:textId="77777777" w:rsidR="00000000" w:rsidRDefault="00A173A8">
            <w:pPr>
              <w:spacing w:after="100"/>
              <w:rPr>
                <w:rFonts w:eastAsia="Times New Roman"/>
                <w:sz w:val="20"/>
                <w:szCs w:val="20"/>
              </w:rPr>
            </w:pPr>
          </w:p>
        </w:tc>
        <w:tc>
          <w:tcPr>
            <w:tcW w:w="0" w:type="auto"/>
            <w:gridSpan w:val="3"/>
            <w:vAlign w:val="center"/>
            <w:hideMark/>
          </w:tcPr>
          <w:p w14:paraId="6F439DA0" w14:textId="77777777" w:rsidR="00000000" w:rsidRDefault="00A173A8">
            <w:pPr>
              <w:spacing w:after="100"/>
              <w:rPr>
                <w:rFonts w:eastAsia="Times New Roman"/>
                <w:sz w:val="20"/>
                <w:szCs w:val="20"/>
              </w:rPr>
            </w:pPr>
          </w:p>
        </w:tc>
      </w:tr>
      <w:tr w:rsidR="00000000" w14:paraId="7C1C6265" w14:textId="77777777">
        <w:trPr>
          <w:divId w:val="1345747317"/>
        </w:trPr>
        <w:tc>
          <w:tcPr>
            <w:tcW w:w="0" w:type="auto"/>
            <w:gridSpan w:val="3"/>
            <w:tcMar>
              <w:top w:w="0" w:type="dxa"/>
              <w:left w:w="20" w:type="dxa"/>
              <w:bottom w:w="0" w:type="dxa"/>
              <w:right w:w="20" w:type="dxa"/>
            </w:tcMar>
            <w:vAlign w:val="center"/>
            <w:hideMark/>
          </w:tcPr>
          <w:p w14:paraId="5F24D95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B3CAE9" w14:textId="77777777" w:rsidR="00000000" w:rsidRDefault="00A173A8">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437C055E" w14:textId="77777777" w:rsidR="00000000" w:rsidRDefault="00A173A8">
            <w:pPr>
              <w:spacing w:after="100"/>
              <w:jc w:val="center"/>
              <w:rPr>
                <w:rFonts w:eastAsia="Times New Roman"/>
              </w:rPr>
            </w:pPr>
            <w:r>
              <w:rPr>
                <w:rFonts w:eastAsia="Times New Roman"/>
                <w:b/>
                <w:bCs/>
                <w:color w:val="000000"/>
                <w:sz w:val="16"/>
                <w:szCs w:val="16"/>
              </w:rPr>
              <w:t>Six Months Ended June 30, 2021</w:t>
            </w:r>
          </w:p>
        </w:tc>
        <w:tc>
          <w:tcPr>
            <w:tcW w:w="0" w:type="auto"/>
            <w:gridSpan w:val="3"/>
            <w:tcMar>
              <w:top w:w="0" w:type="dxa"/>
              <w:left w:w="20" w:type="dxa"/>
              <w:bottom w:w="0" w:type="dxa"/>
              <w:right w:w="20" w:type="dxa"/>
            </w:tcMar>
            <w:vAlign w:val="center"/>
            <w:hideMark/>
          </w:tcPr>
          <w:p w14:paraId="07E6ADE2"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7A97C90" w14:textId="77777777" w:rsidR="00000000" w:rsidRDefault="00A173A8">
            <w:pPr>
              <w:spacing w:after="100"/>
              <w:rPr>
                <w:rFonts w:eastAsia="Times New Roman"/>
                <w:sz w:val="20"/>
                <w:szCs w:val="20"/>
              </w:rPr>
            </w:pPr>
          </w:p>
        </w:tc>
      </w:tr>
      <w:tr w:rsidR="00000000" w14:paraId="160F6C55" w14:textId="77777777">
        <w:trPr>
          <w:divId w:val="1345747317"/>
        </w:trPr>
        <w:tc>
          <w:tcPr>
            <w:tcW w:w="0" w:type="auto"/>
            <w:gridSpan w:val="3"/>
            <w:tcMar>
              <w:top w:w="0" w:type="dxa"/>
              <w:left w:w="20" w:type="dxa"/>
              <w:bottom w:w="0" w:type="dxa"/>
              <w:right w:w="20" w:type="dxa"/>
            </w:tcMar>
            <w:vAlign w:val="center"/>
            <w:hideMark/>
          </w:tcPr>
          <w:p w14:paraId="67F7C4D6"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47213B" w14:textId="77777777" w:rsidR="00000000" w:rsidRDefault="00A173A8">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14:paraId="6ED2A5F4" w14:textId="77777777" w:rsidR="00000000" w:rsidRDefault="00A173A8">
            <w:pPr>
              <w:spacing w:after="100"/>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14:paraId="2235737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9B260B" w14:textId="77777777" w:rsidR="00000000" w:rsidRDefault="00A173A8">
            <w:pPr>
              <w:spacing w:after="100"/>
              <w:jc w:val="center"/>
              <w:rPr>
                <w:rFonts w:eastAsia="Times New Roman"/>
              </w:rPr>
            </w:pPr>
            <w:r>
              <w:rPr>
                <w:rFonts w:eastAsia="Times New Roman"/>
                <w:b/>
                <w:bCs/>
                <w:color w:val="000000"/>
                <w:sz w:val="16"/>
                <w:szCs w:val="16"/>
              </w:rPr>
              <w:t>Non-Interest Income</w:t>
            </w:r>
          </w:p>
        </w:tc>
      </w:tr>
      <w:tr w:rsidR="00000000" w14:paraId="692804E5" w14:textId="77777777">
        <w:trPr>
          <w:divId w:val="1345747317"/>
        </w:trPr>
        <w:tc>
          <w:tcPr>
            <w:tcW w:w="0" w:type="auto"/>
            <w:gridSpan w:val="3"/>
            <w:tcBorders>
              <w:bottom w:val="single" w:sz="8" w:space="0" w:color="000000"/>
            </w:tcBorders>
            <w:tcMar>
              <w:top w:w="30" w:type="dxa"/>
              <w:left w:w="20" w:type="dxa"/>
              <w:bottom w:w="30" w:type="dxa"/>
              <w:right w:w="20" w:type="dxa"/>
            </w:tcMar>
            <w:vAlign w:val="bottom"/>
            <w:hideMark/>
          </w:tcPr>
          <w:p w14:paraId="68BBC7ED"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6F1C124"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8B4717" w14:textId="77777777" w:rsidR="00000000" w:rsidRDefault="00A173A8">
            <w:pPr>
              <w:spacing w:after="100"/>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14:paraId="1132FC0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BFA39C7" w14:textId="77777777" w:rsidR="00000000" w:rsidRDefault="00A173A8">
            <w:pPr>
              <w:spacing w:after="100"/>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14:paraId="798786D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F4C061F" w14:textId="77777777" w:rsidR="00000000" w:rsidRDefault="00A173A8">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0293B96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83BFAE8" w14:textId="77777777" w:rsidR="00000000" w:rsidRDefault="00A173A8">
            <w:pPr>
              <w:spacing w:after="100"/>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14:paraId="30157E5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39D655D" w14:textId="77777777" w:rsidR="00000000" w:rsidRDefault="00A173A8">
            <w:pPr>
              <w:spacing w:after="100"/>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14:paraId="084687B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4D2272B" w14:textId="77777777" w:rsidR="00000000" w:rsidRDefault="00A173A8">
            <w:pPr>
              <w:spacing w:after="100"/>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14:paraId="5D35575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2657435" w14:textId="77777777" w:rsidR="00000000" w:rsidRDefault="00A173A8">
            <w:pPr>
              <w:spacing w:after="100"/>
              <w:jc w:val="center"/>
              <w:rPr>
                <w:rFonts w:eastAsia="Times New Roman"/>
              </w:rPr>
            </w:pPr>
            <w:r>
              <w:rPr>
                <w:rFonts w:eastAsia="Times New Roman"/>
                <w:b/>
                <w:bCs/>
                <w:color w:val="000000"/>
                <w:sz w:val="16"/>
                <w:szCs w:val="16"/>
              </w:rPr>
              <w:t>Other</w:t>
            </w:r>
          </w:p>
        </w:tc>
      </w:tr>
      <w:tr w:rsidR="00A173A8" w14:paraId="2AF91139" w14:textId="77777777">
        <w:trPr>
          <w:divId w:val="134574731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F50B7C2" w14:textId="77777777" w:rsidR="00000000" w:rsidRDefault="00A173A8">
            <w:pPr>
              <w:spacing w:after="100"/>
              <w:divId w:val="722560340"/>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14:paraId="16A65CE7"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46D21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F5F9AB" w14:textId="77777777" w:rsidR="00000000" w:rsidRDefault="00A173A8">
            <w:pPr>
              <w:spacing w:after="100"/>
              <w:jc w:val="right"/>
              <w:rPr>
                <w:rFonts w:eastAsia="Times New Roman"/>
              </w:rPr>
            </w:pPr>
            <w:r>
              <w:rPr>
                <w:rFonts w:eastAsia="Times New Roman"/>
                <w:color w:val="000000"/>
                <w:sz w:val="18"/>
                <w:szCs w:val="18"/>
              </w:rPr>
              <w:t>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77FB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B4E8A"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D0C30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D599AF" w14:textId="77777777" w:rsidR="00000000" w:rsidRDefault="00A173A8">
            <w:pPr>
              <w:spacing w:after="100"/>
              <w:jc w:val="right"/>
              <w:rPr>
                <w:rFonts w:eastAsia="Times New Roman"/>
              </w:rPr>
            </w:pPr>
            <w:r>
              <w:rPr>
                <w:rFonts w:eastAsia="Times New Roman"/>
                <w:color w:val="000000"/>
                <w:sz w:val="18"/>
                <w:szCs w:val="18"/>
              </w:rPr>
              <w:t>11,607 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75C1B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96508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9CB91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7583F7" w14:textId="77777777" w:rsidR="00000000" w:rsidRDefault="00A173A8">
            <w:pPr>
              <w:spacing w:after="100"/>
              <w:jc w:val="right"/>
              <w:rPr>
                <w:rFonts w:eastAsia="Times New Roman"/>
              </w:rPr>
            </w:pPr>
            <w:r>
              <w:rPr>
                <w:rFonts w:eastAsia="Times New Roman"/>
                <w:color w:val="000000"/>
                <w:sz w:val="18"/>
                <w:szCs w:val="18"/>
              </w:rPr>
              <w:t>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54880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4352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A848F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037136" w14:textId="77777777" w:rsidR="00000000" w:rsidRDefault="00A173A8">
            <w:pPr>
              <w:spacing w:after="100"/>
              <w:jc w:val="right"/>
              <w:rPr>
                <w:rFonts w:eastAsia="Times New Roman"/>
              </w:rPr>
            </w:pPr>
            <w:r>
              <w:rPr>
                <w:rFonts w:eastAsia="Times New Roman"/>
                <w:color w:val="000000"/>
                <w:sz w:val="18"/>
                <w:szCs w:val="18"/>
              </w:rPr>
              <w:t>(506)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1B03D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F96D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FB7FD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652A7C" w14:textId="77777777" w:rsidR="00000000" w:rsidRDefault="00A173A8">
            <w:pPr>
              <w:spacing w:after="100"/>
              <w:jc w:val="right"/>
              <w:rPr>
                <w:rFonts w:eastAsia="Times New Roman"/>
              </w:rPr>
            </w:pPr>
            <w:r>
              <w:rPr>
                <w:rFonts w:eastAsia="Times New Roman"/>
                <w:color w:val="000000"/>
                <w:sz w:val="18"/>
                <w:szCs w:val="18"/>
              </w:rPr>
              <w:t>(60)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1BB1C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04496"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D3FCCB"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95CA78" w14:textId="77777777" w:rsidR="00000000" w:rsidRDefault="00A173A8">
            <w:pPr>
              <w:spacing w:after="100"/>
              <w:jc w:val="right"/>
              <w:rPr>
                <w:rFonts w:eastAsia="Times New Roman"/>
              </w:rPr>
            </w:pPr>
            <w:r>
              <w:rPr>
                <w:rFonts w:eastAsia="Times New Roman"/>
                <w:color w:val="000000"/>
                <w:sz w:val="18"/>
                <w:szCs w:val="18"/>
              </w:rPr>
              <w:t>(251)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8525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A8E0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27C04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07D81B" w14:textId="77777777" w:rsidR="00000000" w:rsidRDefault="00A173A8">
            <w:pPr>
              <w:spacing w:after="100"/>
              <w:jc w:val="right"/>
              <w:rPr>
                <w:rFonts w:eastAsia="Times New Roman"/>
              </w:rPr>
            </w:pPr>
            <w:r>
              <w:rPr>
                <w:rFonts w:eastAsia="Times New Roman"/>
                <w:color w:val="000000"/>
                <w:sz w:val="18"/>
                <w:szCs w:val="18"/>
              </w:rPr>
              <w:t>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FA50C2" w14:textId="77777777" w:rsidR="00000000" w:rsidRDefault="00A173A8">
            <w:pPr>
              <w:spacing w:after="100"/>
              <w:jc w:val="right"/>
              <w:rPr>
                <w:rFonts w:eastAsia="Times New Roman"/>
              </w:rPr>
            </w:pPr>
          </w:p>
        </w:tc>
      </w:tr>
      <w:tr w:rsidR="00000000" w14:paraId="1F0F009B" w14:textId="77777777">
        <w:trPr>
          <w:divId w:val="1345747317"/>
        </w:trPr>
        <w:tc>
          <w:tcPr>
            <w:tcW w:w="0" w:type="auto"/>
            <w:gridSpan w:val="3"/>
            <w:shd w:val="clear" w:color="auto" w:fill="FFFFFF"/>
            <w:tcMar>
              <w:top w:w="30" w:type="dxa"/>
              <w:left w:w="20" w:type="dxa"/>
              <w:bottom w:w="30" w:type="dxa"/>
              <w:right w:w="20" w:type="dxa"/>
            </w:tcMar>
            <w:vAlign w:val="center"/>
            <w:hideMark/>
          </w:tcPr>
          <w:p w14:paraId="30167D2B" w14:textId="77777777" w:rsidR="00000000" w:rsidRDefault="00A173A8">
            <w:pPr>
              <w:spacing w:after="100"/>
              <w:divId w:val="1950236908"/>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14:paraId="69CC9CB5"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9A4AD8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A23C2E"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3EBA1A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A46D24"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FBB4C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5300B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4EA02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63583E"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3D10C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B86181"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B815DD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F9E1FD"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95F7B6E" w14:textId="77777777" w:rsidR="00000000" w:rsidRDefault="00A173A8">
            <w:pPr>
              <w:spacing w:after="100"/>
              <w:rPr>
                <w:rFonts w:eastAsia="Times New Roman"/>
                <w:sz w:val="20"/>
                <w:szCs w:val="20"/>
              </w:rPr>
            </w:pPr>
          </w:p>
        </w:tc>
      </w:tr>
      <w:tr w:rsidR="00000000" w14:paraId="32385672" w14:textId="77777777">
        <w:trPr>
          <w:divId w:val="1345747317"/>
        </w:trPr>
        <w:tc>
          <w:tcPr>
            <w:tcW w:w="0" w:type="auto"/>
            <w:gridSpan w:val="3"/>
            <w:shd w:val="clear" w:color="auto" w:fill="CCEEFF"/>
            <w:tcMar>
              <w:top w:w="30" w:type="dxa"/>
              <w:left w:w="20" w:type="dxa"/>
              <w:bottom w:w="30" w:type="dxa"/>
              <w:right w:w="20" w:type="dxa"/>
            </w:tcMar>
            <w:vAlign w:val="center"/>
            <w:hideMark/>
          </w:tcPr>
          <w:p w14:paraId="1D970564" w14:textId="77777777" w:rsidR="00000000" w:rsidRDefault="00A173A8">
            <w:pPr>
              <w:spacing w:after="100"/>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14:paraId="45B680F4"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DF04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76986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C1500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28079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B9018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7C7CA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C7AA2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D7619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C7223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785B5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54FDC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97DD8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1B87DF" w14:textId="77777777" w:rsidR="00000000" w:rsidRDefault="00A173A8">
            <w:pPr>
              <w:spacing w:after="100"/>
              <w:rPr>
                <w:rFonts w:eastAsia="Times New Roman"/>
                <w:sz w:val="20"/>
                <w:szCs w:val="20"/>
              </w:rPr>
            </w:pPr>
          </w:p>
        </w:tc>
      </w:tr>
      <w:tr w:rsidR="00A173A8" w14:paraId="4FFEEFD8" w14:textId="77777777">
        <w:trPr>
          <w:divId w:val="1345747317"/>
        </w:trPr>
        <w:tc>
          <w:tcPr>
            <w:tcW w:w="0" w:type="auto"/>
            <w:gridSpan w:val="3"/>
            <w:shd w:val="clear" w:color="auto" w:fill="FFFFFF"/>
            <w:tcMar>
              <w:top w:w="30" w:type="dxa"/>
              <w:left w:w="245" w:type="dxa"/>
              <w:bottom w:w="30" w:type="dxa"/>
              <w:right w:w="20" w:type="dxa"/>
            </w:tcMar>
            <w:vAlign w:val="center"/>
            <w:hideMark/>
          </w:tcPr>
          <w:p w14:paraId="3659247D" w14:textId="77777777" w:rsidR="00000000" w:rsidRDefault="00A173A8">
            <w:pPr>
              <w:spacing w:after="100"/>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14:paraId="14D9976B"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A92ACB3"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7F83E25" w14:textId="77777777" w:rsidR="00000000" w:rsidRDefault="00A173A8">
            <w:pPr>
              <w:spacing w:after="100"/>
              <w:jc w:val="right"/>
              <w:rPr>
                <w:rFonts w:eastAsia="Times New Roman"/>
              </w:rPr>
            </w:pPr>
            <w:r>
              <w:rPr>
                <w:rFonts w:eastAsia="Times New Roman"/>
                <w:color w:val="000000"/>
                <w:sz w:val="18"/>
                <w:szCs w:val="18"/>
              </w:rPr>
              <w:t>(50)</w:t>
            </w:r>
          </w:p>
        </w:tc>
        <w:tc>
          <w:tcPr>
            <w:tcW w:w="0" w:type="auto"/>
            <w:shd w:val="clear" w:color="auto" w:fill="FFFFFF"/>
            <w:tcMar>
              <w:top w:w="30" w:type="dxa"/>
              <w:left w:w="0" w:type="dxa"/>
              <w:bottom w:w="30" w:type="dxa"/>
              <w:right w:w="20" w:type="dxa"/>
            </w:tcMar>
            <w:vAlign w:val="bottom"/>
            <w:hideMark/>
          </w:tcPr>
          <w:p w14:paraId="3974F9A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AE1F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DCDB6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2DA3AF1"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913E35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4D4B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609FE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CE463A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0CEB5C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FBC0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7C34B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1008C8C" w14:textId="77777777" w:rsidR="00000000" w:rsidRDefault="00A173A8">
            <w:pPr>
              <w:spacing w:after="100"/>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bottom"/>
            <w:hideMark/>
          </w:tcPr>
          <w:p w14:paraId="2D1C8A3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E172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FBD49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A187EE1" w14:textId="77777777" w:rsidR="00000000" w:rsidRDefault="00A173A8">
            <w:pPr>
              <w:spacing w:after="100"/>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bottom"/>
            <w:hideMark/>
          </w:tcPr>
          <w:p w14:paraId="68C82A2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06A8C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486EA5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6D8B69D" w14:textId="77777777" w:rsidR="00000000" w:rsidRDefault="00A173A8">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bottom"/>
            <w:hideMark/>
          </w:tcPr>
          <w:p w14:paraId="32E288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AB57B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350F81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44AB12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07ABF05" w14:textId="77777777" w:rsidR="00000000" w:rsidRDefault="00A173A8">
            <w:pPr>
              <w:spacing w:after="100"/>
              <w:jc w:val="right"/>
              <w:rPr>
                <w:rFonts w:eastAsia="Times New Roman"/>
              </w:rPr>
            </w:pPr>
          </w:p>
        </w:tc>
      </w:tr>
      <w:tr w:rsidR="00000000" w14:paraId="6613D8CE" w14:textId="77777777">
        <w:trPr>
          <w:divId w:val="1345747317"/>
        </w:trPr>
        <w:tc>
          <w:tcPr>
            <w:tcW w:w="0" w:type="auto"/>
            <w:gridSpan w:val="3"/>
            <w:shd w:val="clear" w:color="auto" w:fill="CCEEFF"/>
            <w:tcMar>
              <w:top w:w="30" w:type="dxa"/>
              <w:left w:w="245" w:type="dxa"/>
              <w:bottom w:w="30" w:type="dxa"/>
              <w:right w:w="20" w:type="dxa"/>
            </w:tcMar>
            <w:vAlign w:val="center"/>
            <w:hideMark/>
          </w:tcPr>
          <w:p w14:paraId="024400D2" w14:textId="77777777" w:rsidR="00000000" w:rsidRDefault="00A173A8">
            <w:pPr>
              <w:spacing w:after="100"/>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14:paraId="05E0397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609D837" w14:textId="77777777" w:rsidR="00000000" w:rsidRDefault="00A173A8">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14:paraId="42B866C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AA7D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160972"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6753D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6E33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8DB5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DD3E21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95507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3CC356" w14:textId="77777777" w:rsidR="00000000" w:rsidRDefault="00A173A8">
            <w:pPr>
              <w:spacing w:after="100"/>
              <w:jc w:val="right"/>
              <w:rPr>
                <w:rFonts w:eastAsia="Times New Roman"/>
              </w:rPr>
            </w:pPr>
            <w:r>
              <w:rPr>
                <w:rFonts w:eastAsia="Times New Roman"/>
                <w:color w:val="000000"/>
                <w:sz w:val="18"/>
                <w:szCs w:val="18"/>
              </w:rPr>
              <w:t>(89)</w:t>
            </w:r>
          </w:p>
        </w:tc>
        <w:tc>
          <w:tcPr>
            <w:tcW w:w="0" w:type="auto"/>
            <w:shd w:val="clear" w:color="auto" w:fill="CCEEFF"/>
            <w:tcMar>
              <w:top w:w="30" w:type="dxa"/>
              <w:left w:w="0" w:type="dxa"/>
              <w:bottom w:w="30" w:type="dxa"/>
              <w:right w:w="20" w:type="dxa"/>
            </w:tcMar>
            <w:vAlign w:val="bottom"/>
            <w:hideMark/>
          </w:tcPr>
          <w:p w14:paraId="591EBFD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26FD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79C261" w14:textId="77777777" w:rsidR="00000000" w:rsidRDefault="00A173A8">
            <w:pPr>
              <w:spacing w:after="100"/>
              <w:jc w:val="right"/>
              <w:rPr>
                <w:rFonts w:eastAsia="Times New Roman"/>
              </w:rPr>
            </w:pPr>
            <w:r>
              <w:rPr>
                <w:rFonts w:eastAsia="Times New Roman"/>
                <w:color w:val="000000"/>
                <w:sz w:val="18"/>
                <w:szCs w:val="18"/>
              </w:rPr>
              <w:t>(97)</w:t>
            </w:r>
          </w:p>
        </w:tc>
        <w:tc>
          <w:tcPr>
            <w:tcW w:w="0" w:type="auto"/>
            <w:shd w:val="clear" w:color="auto" w:fill="CCEEFF"/>
            <w:tcMar>
              <w:top w:w="30" w:type="dxa"/>
              <w:left w:w="0" w:type="dxa"/>
              <w:bottom w:w="30" w:type="dxa"/>
              <w:right w:w="20" w:type="dxa"/>
            </w:tcMar>
            <w:vAlign w:val="bottom"/>
            <w:hideMark/>
          </w:tcPr>
          <w:p w14:paraId="7522E85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7468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99F12C" w14:textId="77777777" w:rsidR="00000000" w:rsidRDefault="00A173A8">
            <w:pPr>
              <w:spacing w:after="100"/>
              <w:jc w:val="right"/>
              <w:rPr>
                <w:rFonts w:eastAsia="Times New Roman"/>
              </w:rPr>
            </w:pPr>
            <w:r>
              <w:rPr>
                <w:rFonts w:eastAsia="Times New Roman"/>
                <w:color w:val="000000"/>
                <w:sz w:val="18"/>
                <w:szCs w:val="18"/>
              </w:rPr>
              <w:t>(336)</w:t>
            </w:r>
          </w:p>
        </w:tc>
        <w:tc>
          <w:tcPr>
            <w:tcW w:w="0" w:type="auto"/>
            <w:shd w:val="clear" w:color="auto" w:fill="CCEEFF"/>
            <w:tcMar>
              <w:top w:w="30" w:type="dxa"/>
              <w:left w:w="0" w:type="dxa"/>
              <w:bottom w:w="30" w:type="dxa"/>
              <w:right w:w="20" w:type="dxa"/>
            </w:tcMar>
            <w:vAlign w:val="bottom"/>
            <w:hideMark/>
          </w:tcPr>
          <w:p w14:paraId="72C62B6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7C098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86444E" w14:textId="77777777" w:rsidR="00000000" w:rsidRDefault="00A173A8">
            <w:pPr>
              <w:spacing w:after="100"/>
              <w:jc w:val="right"/>
              <w:rPr>
                <w:rFonts w:eastAsia="Times New Roman"/>
              </w:rPr>
            </w:pPr>
            <w:r>
              <w:rPr>
                <w:rFonts w:eastAsia="Times New Roman"/>
                <w:color w:val="000000"/>
                <w:sz w:val="18"/>
                <w:szCs w:val="18"/>
              </w:rPr>
              <w:t>(45)</w:t>
            </w:r>
          </w:p>
        </w:tc>
        <w:tc>
          <w:tcPr>
            <w:tcW w:w="0" w:type="auto"/>
            <w:shd w:val="clear" w:color="auto" w:fill="CCEEFF"/>
            <w:tcMar>
              <w:top w:w="30" w:type="dxa"/>
              <w:left w:w="0" w:type="dxa"/>
              <w:bottom w:w="30" w:type="dxa"/>
              <w:right w:w="20" w:type="dxa"/>
            </w:tcMar>
            <w:vAlign w:val="bottom"/>
            <w:hideMark/>
          </w:tcPr>
          <w:p w14:paraId="35F72A05" w14:textId="77777777" w:rsidR="00000000" w:rsidRDefault="00A173A8">
            <w:pPr>
              <w:spacing w:after="100"/>
              <w:jc w:val="right"/>
              <w:rPr>
                <w:rFonts w:eastAsia="Times New Roman"/>
              </w:rPr>
            </w:pPr>
          </w:p>
        </w:tc>
      </w:tr>
      <w:tr w:rsidR="00000000" w14:paraId="4CC0C78E" w14:textId="77777777">
        <w:trPr>
          <w:divId w:val="1345747317"/>
        </w:trPr>
        <w:tc>
          <w:tcPr>
            <w:tcW w:w="0" w:type="auto"/>
            <w:gridSpan w:val="3"/>
            <w:shd w:val="clear" w:color="auto" w:fill="FFFFFF"/>
            <w:tcMar>
              <w:top w:w="30" w:type="dxa"/>
              <w:left w:w="20" w:type="dxa"/>
              <w:bottom w:w="30" w:type="dxa"/>
              <w:right w:w="20" w:type="dxa"/>
            </w:tcMar>
            <w:vAlign w:val="center"/>
            <w:hideMark/>
          </w:tcPr>
          <w:p w14:paraId="2271529F" w14:textId="77777777" w:rsidR="00000000" w:rsidRDefault="00A173A8">
            <w:pPr>
              <w:spacing w:after="100"/>
              <w:divId w:val="707485121"/>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07B53E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4FDE2D" w14:textId="77777777" w:rsidR="00000000" w:rsidRDefault="00A173A8">
            <w:pPr>
              <w:spacing w:after="100"/>
              <w:jc w:val="right"/>
              <w:rPr>
                <w:rFonts w:eastAsia="Times New Roman"/>
              </w:rPr>
            </w:pPr>
            <w:r>
              <w:rPr>
                <w:rFonts w:eastAsia="Times New Roman"/>
                <w:color w:val="000000"/>
                <w:sz w:val="18"/>
                <w:szCs w:val="18"/>
              </w:rPr>
              <w:t>(123)</w:t>
            </w:r>
          </w:p>
        </w:tc>
        <w:tc>
          <w:tcPr>
            <w:tcW w:w="0" w:type="auto"/>
            <w:shd w:val="clear" w:color="auto" w:fill="FFFFFF"/>
            <w:tcMar>
              <w:top w:w="30" w:type="dxa"/>
              <w:left w:w="0" w:type="dxa"/>
              <w:bottom w:w="30" w:type="dxa"/>
              <w:right w:w="20" w:type="dxa"/>
            </w:tcMar>
            <w:vAlign w:val="bottom"/>
            <w:hideMark/>
          </w:tcPr>
          <w:p w14:paraId="010B42F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1580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FC499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89F0B0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76779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D78FE3"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FB7C6B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50213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182689" w14:textId="77777777" w:rsidR="00000000" w:rsidRDefault="00A173A8">
            <w:pPr>
              <w:spacing w:after="100"/>
              <w:jc w:val="right"/>
              <w:rPr>
                <w:rFonts w:eastAsia="Times New Roman"/>
              </w:rPr>
            </w:pPr>
            <w:r>
              <w:rPr>
                <w:rFonts w:eastAsia="Times New Roman"/>
                <w:color w:val="000000"/>
                <w:sz w:val="18"/>
                <w:szCs w:val="18"/>
              </w:rPr>
              <w:t>89 </w:t>
            </w:r>
          </w:p>
        </w:tc>
        <w:tc>
          <w:tcPr>
            <w:tcW w:w="0" w:type="auto"/>
            <w:shd w:val="clear" w:color="auto" w:fill="FFFFFF"/>
            <w:tcMar>
              <w:top w:w="30" w:type="dxa"/>
              <w:left w:w="0" w:type="dxa"/>
              <w:bottom w:w="30" w:type="dxa"/>
              <w:right w:w="20" w:type="dxa"/>
            </w:tcMar>
            <w:vAlign w:val="bottom"/>
            <w:hideMark/>
          </w:tcPr>
          <w:p w14:paraId="0A8B158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5F25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EF2869" w14:textId="77777777" w:rsidR="00000000" w:rsidRDefault="00A173A8">
            <w:pPr>
              <w:spacing w:after="100"/>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bottom"/>
            <w:hideMark/>
          </w:tcPr>
          <w:p w14:paraId="59EE03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92CA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32A4FC" w14:textId="77777777" w:rsidR="00000000" w:rsidRDefault="00A173A8">
            <w:pPr>
              <w:spacing w:after="100"/>
              <w:jc w:val="right"/>
              <w:rPr>
                <w:rFonts w:eastAsia="Times New Roman"/>
              </w:rPr>
            </w:pPr>
            <w:r>
              <w:rPr>
                <w:rFonts w:eastAsia="Times New Roman"/>
                <w:color w:val="000000"/>
                <w:sz w:val="18"/>
                <w:szCs w:val="18"/>
              </w:rPr>
              <w:t>401 </w:t>
            </w:r>
          </w:p>
        </w:tc>
        <w:tc>
          <w:tcPr>
            <w:tcW w:w="0" w:type="auto"/>
            <w:shd w:val="clear" w:color="auto" w:fill="FFFFFF"/>
            <w:tcMar>
              <w:top w:w="30" w:type="dxa"/>
              <w:left w:w="0" w:type="dxa"/>
              <w:bottom w:w="30" w:type="dxa"/>
              <w:right w:w="20" w:type="dxa"/>
            </w:tcMar>
            <w:vAlign w:val="bottom"/>
            <w:hideMark/>
          </w:tcPr>
          <w:p w14:paraId="05F038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D27F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B2F3E3" w14:textId="77777777" w:rsidR="00000000" w:rsidRDefault="00A173A8">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14:paraId="36433E7B" w14:textId="77777777" w:rsidR="00000000" w:rsidRDefault="00A173A8">
            <w:pPr>
              <w:spacing w:after="100"/>
              <w:jc w:val="right"/>
              <w:rPr>
                <w:rFonts w:eastAsia="Times New Roman"/>
              </w:rPr>
            </w:pPr>
          </w:p>
        </w:tc>
      </w:tr>
      <w:tr w:rsidR="00000000" w14:paraId="02A66051" w14:textId="77777777">
        <w:trPr>
          <w:divId w:val="1345747317"/>
        </w:trPr>
        <w:tc>
          <w:tcPr>
            <w:tcW w:w="0" w:type="auto"/>
            <w:gridSpan w:val="3"/>
            <w:shd w:val="clear" w:color="auto" w:fill="CCEEFF"/>
            <w:tcMar>
              <w:top w:w="30" w:type="dxa"/>
              <w:left w:w="20" w:type="dxa"/>
              <w:bottom w:w="30" w:type="dxa"/>
              <w:right w:w="20" w:type="dxa"/>
            </w:tcMar>
            <w:vAlign w:val="center"/>
            <w:hideMark/>
          </w:tcPr>
          <w:p w14:paraId="1AB46862" w14:textId="77777777" w:rsidR="00000000" w:rsidRDefault="00A173A8">
            <w:pPr>
              <w:spacing w:after="100"/>
              <w:divId w:val="1254045158"/>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6152A4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02D15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82696C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7340C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8844F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9CAA6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643B8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4B73E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7A9DC3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72743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E11EF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E6E0AC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F4ED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A0D8A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5A3BE1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FEF7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518FC1"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4704A0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8C449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30A63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4650610" w14:textId="77777777" w:rsidR="00000000" w:rsidRDefault="00A173A8">
            <w:pPr>
              <w:spacing w:after="100"/>
              <w:jc w:val="right"/>
              <w:rPr>
                <w:rFonts w:eastAsia="Times New Roman"/>
              </w:rPr>
            </w:pPr>
          </w:p>
        </w:tc>
      </w:tr>
      <w:tr w:rsidR="00A173A8" w14:paraId="16FADA65" w14:textId="77777777">
        <w:trPr>
          <w:divId w:val="1345747317"/>
        </w:trPr>
        <w:tc>
          <w:tcPr>
            <w:tcW w:w="0" w:type="auto"/>
            <w:gridSpan w:val="3"/>
            <w:shd w:val="clear" w:color="auto" w:fill="FFFFFF"/>
            <w:tcMar>
              <w:top w:w="30" w:type="dxa"/>
              <w:left w:w="20" w:type="dxa"/>
              <w:bottom w:w="30" w:type="dxa"/>
              <w:right w:w="20" w:type="dxa"/>
            </w:tcMar>
            <w:vAlign w:val="center"/>
            <w:hideMark/>
          </w:tcPr>
          <w:p w14:paraId="43C9C85C" w14:textId="77777777" w:rsidR="00000000" w:rsidRDefault="00A173A8">
            <w:pPr>
              <w:spacing w:after="100"/>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14:paraId="2F184F76"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AD2AC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4EBDA7" w14:textId="77777777" w:rsidR="00000000" w:rsidRDefault="00A173A8">
            <w:pPr>
              <w:spacing w:after="100"/>
              <w:jc w:val="right"/>
              <w:rPr>
                <w:rFonts w:eastAsia="Times New Roman"/>
              </w:rPr>
            </w:pPr>
            <w:r>
              <w:rPr>
                <w:rFonts w:eastAsia="Times New Roman"/>
                <w:color w:val="000000"/>
                <w:sz w:val="18"/>
                <w:szCs w:val="18"/>
              </w:rPr>
              <w:t>(62)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CE93B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5005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E9BF1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5416B7"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F84A0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3C45A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482AF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A4709C"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8103A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749C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57602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102C09" w14:textId="77777777" w:rsidR="00000000" w:rsidRDefault="00A173A8">
            <w:pPr>
              <w:spacing w:after="100"/>
              <w:jc w:val="right"/>
              <w:rPr>
                <w:rFonts w:eastAsia="Times New Roman"/>
              </w:rPr>
            </w:pPr>
            <w:r>
              <w:rPr>
                <w:rFonts w:eastAsia="Times New Roman"/>
                <w:color w:val="000000"/>
                <w:sz w:val="18"/>
                <w:szCs w:val="18"/>
              </w:rPr>
              <w:t>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75F8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7B54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8158A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233CB6D" w14:textId="77777777" w:rsidR="00000000" w:rsidRDefault="00A173A8">
            <w:pPr>
              <w:spacing w:after="100"/>
              <w:jc w:val="right"/>
              <w:rPr>
                <w:rFonts w:eastAsia="Times New Roman"/>
              </w:rPr>
            </w:pPr>
            <w:r>
              <w:rPr>
                <w:rFonts w:eastAsia="Times New Roman"/>
                <w:color w:val="000000"/>
                <w:sz w:val="18"/>
                <w:szCs w:val="18"/>
              </w:rPr>
              <w:t>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0FE1A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F867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E6B78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1AD11E" w14:textId="77777777" w:rsidR="00000000" w:rsidRDefault="00A173A8">
            <w:pPr>
              <w:spacing w:after="100"/>
              <w:jc w:val="right"/>
              <w:rPr>
                <w:rFonts w:eastAsia="Times New Roman"/>
              </w:rPr>
            </w:pPr>
            <w:r>
              <w:rPr>
                <w:rFonts w:eastAsia="Times New Roman"/>
                <w:color w:val="000000"/>
                <w:sz w:val="18"/>
                <w:szCs w:val="18"/>
              </w:rPr>
              <w:t>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D52C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0741B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0700DC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CD4309"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91B5DD" w14:textId="77777777" w:rsidR="00000000" w:rsidRDefault="00A173A8">
            <w:pPr>
              <w:spacing w:after="100"/>
              <w:jc w:val="right"/>
              <w:rPr>
                <w:rFonts w:eastAsia="Times New Roman"/>
              </w:rPr>
            </w:pPr>
          </w:p>
        </w:tc>
      </w:tr>
      <w:tr w:rsidR="00000000" w14:paraId="39318225" w14:textId="77777777">
        <w:trPr>
          <w:divId w:val="1345747317"/>
        </w:trPr>
        <w:tc>
          <w:tcPr>
            <w:tcW w:w="0" w:type="auto"/>
            <w:gridSpan w:val="3"/>
            <w:shd w:val="clear" w:color="auto" w:fill="CCEEFF"/>
            <w:tcMar>
              <w:top w:w="30" w:type="dxa"/>
              <w:left w:w="20" w:type="dxa"/>
              <w:bottom w:w="30" w:type="dxa"/>
              <w:right w:w="20" w:type="dxa"/>
            </w:tcMar>
            <w:vAlign w:val="center"/>
            <w:hideMark/>
          </w:tcPr>
          <w:p w14:paraId="309918E1" w14:textId="77777777" w:rsidR="00000000" w:rsidRDefault="00A173A8">
            <w:pPr>
              <w:spacing w:after="100"/>
              <w:divId w:val="1031227181"/>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C5C2E73"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76EF34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76D9A7"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888E22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5940E5"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1B70A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BD79E1"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BF983F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4811F6"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DE600F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C06544"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EF9B18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1B6680"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237FEAA" w14:textId="77777777" w:rsidR="00000000" w:rsidRDefault="00A173A8">
            <w:pPr>
              <w:spacing w:after="100"/>
              <w:rPr>
                <w:rFonts w:eastAsia="Times New Roman"/>
                <w:sz w:val="20"/>
                <w:szCs w:val="20"/>
              </w:rPr>
            </w:pPr>
          </w:p>
        </w:tc>
      </w:tr>
      <w:tr w:rsidR="00000000" w14:paraId="017F6F74" w14:textId="77777777">
        <w:trPr>
          <w:divId w:val="1345747317"/>
        </w:trPr>
        <w:tc>
          <w:tcPr>
            <w:tcW w:w="0" w:type="auto"/>
            <w:gridSpan w:val="3"/>
            <w:shd w:val="clear" w:color="auto" w:fill="FFFFFF"/>
            <w:tcMar>
              <w:top w:w="30" w:type="dxa"/>
              <w:left w:w="20" w:type="dxa"/>
              <w:bottom w:w="30" w:type="dxa"/>
              <w:right w:w="20" w:type="dxa"/>
            </w:tcMar>
            <w:vAlign w:val="center"/>
            <w:hideMark/>
          </w:tcPr>
          <w:p w14:paraId="3B5A9CBC" w14:textId="77777777" w:rsidR="00000000" w:rsidRDefault="00A173A8">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1E3BBA3B"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642C6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08ED8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8DE44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7A8DF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A6373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A03E8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8C625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A5898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9926C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7109E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96ADB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92204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EE0695" w14:textId="77777777" w:rsidR="00000000" w:rsidRDefault="00A173A8">
            <w:pPr>
              <w:spacing w:after="100"/>
              <w:rPr>
                <w:rFonts w:eastAsia="Times New Roman"/>
                <w:sz w:val="20"/>
                <w:szCs w:val="20"/>
              </w:rPr>
            </w:pPr>
          </w:p>
        </w:tc>
      </w:tr>
      <w:tr w:rsidR="00A173A8" w14:paraId="1B9123F2" w14:textId="77777777">
        <w:trPr>
          <w:divId w:val="1345747317"/>
        </w:trPr>
        <w:tc>
          <w:tcPr>
            <w:tcW w:w="0" w:type="auto"/>
            <w:gridSpan w:val="3"/>
            <w:shd w:val="clear" w:color="auto" w:fill="CCEEFF"/>
            <w:tcMar>
              <w:top w:w="30" w:type="dxa"/>
              <w:left w:w="245" w:type="dxa"/>
              <w:bottom w:w="30" w:type="dxa"/>
              <w:right w:w="20" w:type="dxa"/>
            </w:tcMar>
            <w:vAlign w:val="center"/>
            <w:hideMark/>
          </w:tcPr>
          <w:p w14:paraId="10E36938" w14:textId="77777777" w:rsidR="00000000" w:rsidRDefault="00A173A8">
            <w:pPr>
              <w:spacing w:after="100"/>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14:paraId="7F484609"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2B3B18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2AF7492" w14:textId="77777777" w:rsidR="00000000" w:rsidRDefault="00A173A8">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14:paraId="7017D2A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9A47D"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0283C6E"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2A32CD0" w14:textId="77777777" w:rsidR="00000000" w:rsidRDefault="00A173A8">
            <w:pPr>
              <w:spacing w:after="100"/>
              <w:jc w:val="right"/>
              <w:rPr>
                <w:rFonts w:eastAsia="Times New Roman"/>
              </w:rPr>
            </w:pPr>
            <w:r>
              <w:rPr>
                <w:rFonts w:eastAsia="Times New Roman"/>
                <w:color w:val="000000"/>
                <w:sz w:val="18"/>
                <w:szCs w:val="18"/>
              </w:rPr>
              <w:t>460 </w:t>
            </w:r>
          </w:p>
        </w:tc>
        <w:tc>
          <w:tcPr>
            <w:tcW w:w="0" w:type="auto"/>
            <w:shd w:val="clear" w:color="auto" w:fill="CCEEFF"/>
            <w:tcMar>
              <w:top w:w="30" w:type="dxa"/>
              <w:left w:w="0" w:type="dxa"/>
              <w:bottom w:w="30" w:type="dxa"/>
              <w:right w:w="20" w:type="dxa"/>
            </w:tcMar>
            <w:vAlign w:val="bottom"/>
            <w:hideMark/>
          </w:tcPr>
          <w:p w14:paraId="58FB144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45FD80"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1AEE32"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730ADB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184E5C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FC1C8"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46A023A"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E44C8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E59A32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D3DDA9"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EB90D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1201FB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86D44E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F97689"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45421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704F113"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3A150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A3B057"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B0C44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067E83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D442D77" w14:textId="77777777" w:rsidR="00000000" w:rsidRDefault="00A173A8">
            <w:pPr>
              <w:spacing w:after="100"/>
              <w:jc w:val="right"/>
              <w:rPr>
                <w:rFonts w:eastAsia="Times New Roman"/>
              </w:rPr>
            </w:pPr>
          </w:p>
        </w:tc>
      </w:tr>
      <w:tr w:rsidR="00000000" w14:paraId="2C79FA73" w14:textId="77777777">
        <w:trPr>
          <w:divId w:val="1345747317"/>
        </w:trPr>
        <w:tc>
          <w:tcPr>
            <w:tcW w:w="0" w:type="auto"/>
            <w:gridSpan w:val="3"/>
            <w:shd w:val="clear" w:color="auto" w:fill="FFFFFF"/>
            <w:tcMar>
              <w:top w:w="30" w:type="dxa"/>
              <w:left w:w="20" w:type="dxa"/>
              <w:bottom w:w="30" w:type="dxa"/>
              <w:right w:w="20" w:type="dxa"/>
            </w:tcMar>
            <w:vAlign w:val="center"/>
            <w:hideMark/>
          </w:tcPr>
          <w:p w14:paraId="2A1CBC1A" w14:textId="77777777" w:rsidR="00000000" w:rsidRDefault="00A173A8">
            <w:pPr>
              <w:spacing w:after="100"/>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14:paraId="2B690C56"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0AFF6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F418A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62DEF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0F8B5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61162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9C44B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05EDB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7C496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191E2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A5C1C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08282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F8CB0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920FEF" w14:textId="77777777" w:rsidR="00000000" w:rsidRDefault="00A173A8">
            <w:pPr>
              <w:spacing w:after="100"/>
              <w:rPr>
                <w:rFonts w:eastAsia="Times New Roman"/>
                <w:sz w:val="20"/>
                <w:szCs w:val="20"/>
              </w:rPr>
            </w:pPr>
          </w:p>
        </w:tc>
      </w:tr>
      <w:tr w:rsidR="00000000" w14:paraId="616BFA7E" w14:textId="77777777">
        <w:trPr>
          <w:divId w:val="1345747317"/>
        </w:trPr>
        <w:tc>
          <w:tcPr>
            <w:tcW w:w="0" w:type="auto"/>
            <w:gridSpan w:val="3"/>
            <w:shd w:val="clear" w:color="auto" w:fill="CCEEFF"/>
            <w:tcMar>
              <w:top w:w="30" w:type="dxa"/>
              <w:left w:w="20" w:type="dxa"/>
              <w:bottom w:w="30" w:type="dxa"/>
              <w:right w:w="20" w:type="dxa"/>
            </w:tcMar>
            <w:vAlign w:val="center"/>
            <w:hideMark/>
          </w:tcPr>
          <w:p w14:paraId="5E89D136" w14:textId="77777777" w:rsidR="00000000" w:rsidRDefault="00A173A8">
            <w:pPr>
              <w:spacing w:after="100"/>
              <w:divId w:val="764766465"/>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82BF0B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BF609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0EA850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F6D7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16252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D9B026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7479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41309B"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77F2AD9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FA0FF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431A53"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855A05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520A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F30BB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4159C9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5F5C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5366E2"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59EA26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9FD8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0FD3EB"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14:paraId="1341E146" w14:textId="77777777" w:rsidR="00000000" w:rsidRDefault="00A173A8">
            <w:pPr>
              <w:spacing w:after="100"/>
              <w:jc w:val="right"/>
              <w:rPr>
                <w:rFonts w:eastAsia="Times New Roman"/>
              </w:rPr>
            </w:pPr>
          </w:p>
        </w:tc>
      </w:tr>
      <w:tr w:rsidR="00A173A8" w14:paraId="3513BAC6" w14:textId="77777777">
        <w:trPr>
          <w:divId w:val="1345747317"/>
        </w:trPr>
        <w:tc>
          <w:tcPr>
            <w:tcW w:w="0" w:type="auto"/>
            <w:gridSpan w:val="3"/>
            <w:shd w:val="clear" w:color="auto" w:fill="FFFFFF"/>
            <w:tcMar>
              <w:top w:w="30" w:type="dxa"/>
              <w:left w:w="20" w:type="dxa"/>
              <w:bottom w:w="30" w:type="dxa"/>
              <w:right w:w="20" w:type="dxa"/>
            </w:tcMar>
            <w:vAlign w:val="center"/>
            <w:hideMark/>
          </w:tcPr>
          <w:p w14:paraId="0675993B" w14:textId="77777777" w:rsidR="00000000" w:rsidRDefault="00A173A8">
            <w:pPr>
              <w:spacing w:after="100"/>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14:paraId="68841DA9"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72C33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B73718" w14:textId="77777777" w:rsidR="00000000" w:rsidRDefault="00A173A8">
            <w:pPr>
              <w:spacing w:after="100"/>
              <w:jc w:val="right"/>
              <w:rPr>
                <w:rFonts w:eastAsia="Times New Roman"/>
              </w:rPr>
            </w:pPr>
            <w:r>
              <w:rPr>
                <w:rFonts w:eastAsia="Times New Roman"/>
                <w:color w:val="000000"/>
                <w:sz w:val="18"/>
                <w:szCs w:val="18"/>
              </w:rPr>
              <w:t>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FC97D1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FDDDA"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47EC49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48D13D" w14:textId="77777777" w:rsidR="00000000" w:rsidRDefault="00A173A8">
            <w:pPr>
              <w:spacing w:after="100"/>
              <w:jc w:val="right"/>
              <w:rPr>
                <w:rFonts w:eastAsia="Times New Roman"/>
              </w:rPr>
            </w:pPr>
            <w:r>
              <w:rPr>
                <w:rFonts w:eastAsia="Times New Roman"/>
                <w:color w:val="000000"/>
                <w:sz w:val="18"/>
                <w:szCs w:val="18"/>
              </w:rPr>
              <w:t>460 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8FD8B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9D03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36228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D86120" w14:textId="77777777" w:rsidR="00000000" w:rsidRDefault="00A173A8">
            <w:pPr>
              <w:spacing w:after="100"/>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612E3A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4BED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A09D58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652A32B"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4A88C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D2FA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CAD857"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DA48EF"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2CF60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7586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36B2B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7408B4"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7EA78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EDB11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B0704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CFC5A1" w14:textId="77777777" w:rsidR="00000000" w:rsidRDefault="00A173A8">
            <w:pPr>
              <w:spacing w:after="100"/>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FDDA51A" w14:textId="77777777" w:rsidR="00000000" w:rsidRDefault="00A173A8">
            <w:pPr>
              <w:spacing w:after="100"/>
              <w:jc w:val="right"/>
              <w:rPr>
                <w:rFonts w:eastAsia="Times New Roman"/>
              </w:rPr>
            </w:pPr>
          </w:p>
        </w:tc>
      </w:tr>
    </w:tbl>
    <w:p w14:paraId="50F12016" w14:textId="77777777" w:rsidR="00000000" w:rsidRDefault="00A173A8">
      <w:pPr>
        <w:jc w:val="both"/>
        <w:divId w:val="1345747317"/>
        <w:rPr>
          <w:rFonts w:eastAsia="Times New Roman"/>
        </w:rPr>
      </w:pPr>
      <w:r>
        <w:rPr>
          <w:rFonts w:eastAsia="Times New Roman"/>
          <w:color w:val="000000"/>
          <w:sz w:val="20"/>
          <w:szCs w:val="20"/>
        </w:rPr>
        <w:t>_________</w:t>
      </w:r>
    </w:p>
    <w:p w14:paraId="4D68C3E2" w14:textId="77777777" w:rsidR="00000000" w:rsidRDefault="00A173A8">
      <w:pPr>
        <w:ind w:hanging="360"/>
        <w:jc w:val="both"/>
        <w:divId w:val="96897924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amortization benefit of $17 million and $34 million for the three and six months ended June 30, 2022, respectively, and amorti</w:t>
      </w:r>
      <w:r>
        <w:rPr>
          <w:rFonts w:eastAsia="Times New Roman"/>
          <w:color w:val="000000"/>
          <w:sz w:val="16"/>
          <w:szCs w:val="16"/>
        </w:rPr>
        <w:t>zation benefit of $22 million</w:t>
      </w:r>
      <w:r>
        <w:rPr>
          <w:rFonts w:eastAsia="Times New Roman"/>
          <w:color w:val="000000"/>
          <w:sz w:val="16"/>
          <w:szCs w:val="16"/>
          <w:shd w:val="clear" w:color="auto" w:fill="FFFFFF"/>
        </w:rPr>
        <w:t xml:space="preserve"> </w:t>
      </w:r>
      <w:r>
        <w:rPr>
          <w:rFonts w:eastAsia="Times New Roman"/>
          <w:color w:val="000000"/>
          <w:sz w:val="16"/>
          <w:szCs w:val="16"/>
        </w:rPr>
        <w:t>and $44 million for the three and six months ended June 30, 2021, respectively, related to basis adjustments on discontinued hedges.</w:t>
      </w:r>
    </w:p>
    <w:p w14:paraId="472F916A" w14:textId="77777777" w:rsidR="00000000" w:rsidRDefault="00A173A8">
      <w:pPr>
        <w:ind w:hanging="360"/>
        <w:jc w:val="both"/>
        <w:divId w:val="85951360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Changes in fair values of cross-currency swaps attributable to changes in cross-currency basis spreads are excluded from the assessment of hedge effectiveness and recorded in other comprehensive income. The initial value of the excluded component is recogn</w:t>
      </w:r>
      <w:r>
        <w:rPr>
          <w:rFonts w:eastAsia="Times New Roman"/>
          <w:color w:val="000000"/>
          <w:sz w:val="16"/>
          <w:szCs w:val="16"/>
        </w:rPr>
        <w:t>ized in earnings over the life of the swap under the amortization approach.</w:t>
      </w:r>
    </w:p>
    <w:p w14:paraId="06EA60F5" w14:textId="77777777" w:rsidR="00000000" w:rsidRDefault="00A173A8">
      <w:pPr>
        <w:ind w:hanging="360"/>
        <w:jc w:val="both"/>
        <w:divId w:val="170544502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See “Note 9—Stockholders’ Equity” for the effects of cash flow and net investment hedges on AOCI and amounts reclassified to net income, net of tax.</w:t>
      </w:r>
    </w:p>
    <w:p w14:paraId="68965B7C" w14:textId="77777777" w:rsidR="00000000" w:rsidRDefault="00A173A8">
      <w:pPr>
        <w:ind w:hanging="360"/>
        <w:jc w:val="both"/>
        <w:divId w:val="287323186"/>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We recognized a gain of $</w:t>
      </w:r>
      <w:r>
        <w:rPr>
          <w:rFonts w:eastAsia="Times New Roman"/>
          <w:color w:val="000000"/>
          <w:sz w:val="16"/>
          <w:szCs w:val="16"/>
        </w:rPr>
        <w:t>31 million and $18 million for the three and six months ended June 30, 2022, respectively, and a gain of $77 million and $162 million for the three and six months ended June 30, 2021, respectively, on foreign exchange contracts reclassified from AOCI. Thes</w:t>
      </w:r>
      <w:r>
        <w:rPr>
          <w:rFonts w:eastAsia="Times New Roman"/>
          <w:color w:val="000000"/>
          <w:sz w:val="16"/>
          <w:szCs w:val="16"/>
        </w:rPr>
        <w:t>e amounts were largely offset by the foreign currency transaction gains (losses) on our foreign currency denominated intercompany funding included in other non-interest income on our consolidated statements of income.</w:t>
      </w:r>
    </w:p>
    <w:p w14:paraId="6B40A4FF" w14:textId="77777777" w:rsidR="00000000" w:rsidRDefault="00A173A8">
      <w:pPr>
        <w:jc w:val="both"/>
        <w:divId w:val="1854416568"/>
        <w:rPr>
          <w:rFonts w:eastAsia="Times New Roman"/>
        </w:rPr>
      </w:pPr>
      <w:r>
        <w:rPr>
          <w:rFonts w:eastAsia="Times New Roman"/>
          <w:color w:val="000000"/>
          <w:sz w:val="20"/>
          <w:szCs w:val="20"/>
        </w:rPr>
        <w:t>In the next 12 months, we expect to re</w:t>
      </w:r>
      <w:r>
        <w:rPr>
          <w:rFonts w:eastAsia="Times New Roman"/>
          <w:color w:val="000000"/>
          <w:sz w:val="20"/>
          <w:szCs w:val="20"/>
        </w:rPr>
        <w:t>classify into earnings a net after-tax loss of $431 million recorded in AOCI as of June 30, 2022. This amount will offset the cash flows associated with hedged forecasted transactions. The maximum length of time over which forecasted transactions were hedg</w:t>
      </w:r>
      <w:r>
        <w:rPr>
          <w:rFonts w:eastAsia="Times New Roman"/>
          <w:color w:val="000000"/>
          <w:sz w:val="20"/>
          <w:szCs w:val="20"/>
        </w:rPr>
        <w:t>ed was approximately 5.7 years as of June 30, 2022. The amount we expect to reclassify into earnings may change as a result of changes in market conditions and ongoing actions taken as part of our overall risk management strategy.</w:t>
      </w:r>
    </w:p>
    <w:p w14:paraId="2A06BBA1" w14:textId="77777777" w:rsidR="00000000" w:rsidRDefault="00A173A8">
      <w:pPr>
        <w:divId w:val="2016107491"/>
        <w:rPr>
          <w:rFonts w:eastAsia="Times New Roman"/>
        </w:rPr>
      </w:pPr>
      <w:r>
        <w:rPr>
          <w:rFonts w:eastAsia="Times New Roman"/>
          <w:b/>
          <w:bCs/>
          <w:i/>
          <w:iCs/>
          <w:color w:val="000000"/>
          <w:sz w:val="20"/>
          <w:szCs w:val="20"/>
        </w:rPr>
        <w:t>Free-Standing Derivatives</w:t>
      </w:r>
    </w:p>
    <w:p w14:paraId="5F58E607" w14:textId="77777777" w:rsidR="00000000" w:rsidRDefault="00A173A8">
      <w:pPr>
        <w:jc w:val="both"/>
        <w:divId w:val="766385555"/>
        <w:rPr>
          <w:rFonts w:eastAsia="Times New Roman"/>
        </w:rPr>
      </w:pPr>
      <w:r>
        <w:rPr>
          <w:rFonts w:eastAsia="Times New Roman"/>
          <w:color w:val="000000"/>
          <w:sz w:val="20"/>
          <w:szCs w:val="20"/>
        </w:rPr>
        <w:t xml:space="preserve">The net impacts to our consolidated statements of income related to free-standing derivatives are presented below for the three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1B21AF2" w14:textId="77777777">
        <w:trPr>
          <w:divId w:val="1785616153"/>
          <w:jc w:val="center"/>
        </w:trPr>
        <w:tc>
          <w:tcPr>
            <w:tcW w:w="50" w:type="pct"/>
            <w:vAlign w:val="center"/>
            <w:hideMark/>
          </w:tcPr>
          <w:p w14:paraId="707D92E0" w14:textId="77777777" w:rsidR="00000000" w:rsidRDefault="00A173A8">
            <w:pPr>
              <w:jc w:val="both"/>
              <w:rPr>
                <w:rFonts w:eastAsia="Times New Roman"/>
              </w:rPr>
            </w:pPr>
          </w:p>
        </w:tc>
        <w:tc>
          <w:tcPr>
            <w:tcW w:w="1606" w:type="pct"/>
            <w:vAlign w:val="center"/>
            <w:hideMark/>
          </w:tcPr>
          <w:p w14:paraId="1C7890A4" w14:textId="77777777" w:rsidR="00000000" w:rsidRDefault="00A173A8">
            <w:pPr>
              <w:spacing w:after="100"/>
              <w:rPr>
                <w:rFonts w:eastAsia="Times New Roman"/>
                <w:sz w:val="20"/>
                <w:szCs w:val="20"/>
              </w:rPr>
            </w:pPr>
          </w:p>
        </w:tc>
        <w:tc>
          <w:tcPr>
            <w:tcW w:w="5" w:type="pct"/>
            <w:vAlign w:val="center"/>
            <w:hideMark/>
          </w:tcPr>
          <w:p w14:paraId="5851A165" w14:textId="77777777" w:rsidR="00000000" w:rsidRDefault="00A173A8">
            <w:pPr>
              <w:spacing w:after="100"/>
              <w:rPr>
                <w:rFonts w:eastAsia="Times New Roman"/>
                <w:sz w:val="20"/>
                <w:szCs w:val="20"/>
              </w:rPr>
            </w:pPr>
          </w:p>
        </w:tc>
        <w:tc>
          <w:tcPr>
            <w:tcW w:w="50" w:type="pct"/>
            <w:vAlign w:val="center"/>
            <w:hideMark/>
          </w:tcPr>
          <w:p w14:paraId="4EA973E9" w14:textId="77777777" w:rsidR="00000000" w:rsidRDefault="00A173A8">
            <w:pPr>
              <w:spacing w:after="100"/>
              <w:rPr>
                <w:rFonts w:eastAsia="Times New Roman"/>
                <w:sz w:val="20"/>
                <w:szCs w:val="20"/>
              </w:rPr>
            </w:pPr>
          </w:p>
        </w:tc>
        <w:tc>
          <w:tcPr>
            <w:tcW w:w="1614" w:type="pct"/>
            <w:vAlign w:val="center"/>
            <w:hideMark/>
          </w:tcPr>
          <w:p w14:paraId="55D091C7" w14:textId="77777777" w:rsidR="00000000" w:rsidRDefault="00A173A8">
            <w:pPr>
              <w:spacing w:after="100"/>
              <w:rPr>
                <w:rFonts w:eastAsia="Times New Roman"/>
                <w:sz w:val="20"/>
                <w:szCs w:val="20"/>
              </w:rPr>
            </w:pPr>
          </w:p>
        </w:tc>
        <w:tc>
          <w:tcPr>
            <w:tcW w:w="5" w:type="pct"/>
            <w:vAlign w:val="center"/>
            <w:hideMark/>
          </w:tcPr>
          <w:p w14:paraId="3D755ADB" w14:textId="77777777" w:rsidR="00000000" w:rsidRDefault="00A173A8">
            <w:pPr>
              <w:spacing w:after="100"/>
              <w:rPr>
                <w:rFonts w:eastAsia="Times New Roman"/>
                <w:sz w:val="20"/>
                <w:szCs w:val="20"/>
              </w:rPr>
            </w:pPr>
          </w:p>
        </w:tc>
        <w:tc>
          <w:tcPr>
            <w:tcW w:w="50" w:type="pct"/>
            <w:vAlign w:val="center"/>
            <w:hideMark/>
          </w:tcPr>
          <w:p w14:paraId="5A2B5C0C" w14:textId="77777777" w:rsidR="00000000" w:rsidRDefault="00A173A8">
            <w:pPr>
              <w:spacing w:after="100"/>
              <w:rPr>
                <w:rFonts w:eastAsia="Times New Roman"/>
                <w:sz w:val="20"/>
                <w:szCs w:val="20"/>
              </w:rPr>
            </w:pPr>
          </w:p>
        </w:tc>
        <w:tc>
          <w:tcPr>
            <w:tcW w:w="1614" w:type="pct"/>
            <w:vAlign w:val="center"/>
            <w:hideMark/>
          </w:tcPr>
          <w:p w14:paraId="4C77260E" w14:textId="77777777" w:rsidR="00000000" w:rsidRDefault="00A173A8">
            <w:pPr>
              <w:spacing w:after="100"/>
              <w:rPr>
                <w:rFonts w:eastAsia="Times New Roman"/>
                <w:sz w:val="20"/>
                <w:szCs w:val="20"/>
              </w:rPr>
            </w:pPr>
          </w:p>
        </w:tc>
        <w:tc>
          <w:tcPr>
            <w:tcW w:w="5" w:type="pct"/>
            <w:vAlign w:val="center"/>
            <w:hideMark/>
          </w:tcPr>
          <w:p w14:paraId="11FBBDEE" w14:textId="77777777" w:rsidR="00000000" w:rsidRDefault="00A173A8">
            <w:pPr>
              <w:spacing w:after="100"/>
              <w:rPr>
                <w:rFonts w:eastAsia="Times New Roman"/>
                <w:sz w:val="20"/>
                <w:szCs w:val="20"/>
              </w:rPr>
            </w:pPr>
          </w:p>
        </w:tc>
      </w:tr>
      <w:tr w:rsidR="00000000" w14:paraId="7A3BA01E" w14:textId="77777777">
        <w:trPr>
          <w:divId w:val="1785616153"/>
          <w:trHeight w:val="300"/>
          <w:jc w:val="center"/>
        </w:trPr>
        <w:tc>
          <w:tcPr>
            <w:tcW w:w="0" w:type="auto"/>
            <w:gridSpan w:val="9"/>
            <w:tcMar>
              <w:top w:w="0" w:type="dxa"/>
              <w:left w:w="20" w:type="dxa"/>
              <w:bottom w:w="0" w:type="dxa"/>
              <w:right w:w="20" w:type="dxa"/>
            </w:tcMar>
            <w:vAlign w:val="center"/>
            <w:hideMark/>
          </w:tcPr>
          <w:p w14:paraId="28C07455" w14:textId="77777777" w:rsidR="00000000" w:rsidRDefault="00A173A8">
            <w:pPr>
              <w:spacing w:after="100"/>
              <w:rPr>
                <w:rFonts w:eastAsia="Times New Roman"/>
                <w:sz w:val="20"/>
                <w:szCs w:val="20"/>
              </w:rPr>
            </w:pPr>
          </w:p>
        </w:tc>
      </w:tr>
      <w:tr w:rsidR="00000000" w14:paraId="063E20F5" w14:textId="77777777">
        <w:trPr>
          <w:divId w:val="1785616153"/>
          <w:jc w:val="center"/>
        </w:trPr>
        <w:tc>
          <w:tcPr>
            <w:tcW w:w="0" w:type="auto"/>
            <w:gridSpan w:val="3"/>
            <w:tcMar>
              <w:top w:w="0" w:type="dxa"/>
              <w:left w:w="20" w:type="dxa"/>
              <w:bottom w:w="0" w:type="dxa"/>
              <w:right w:w="20" w:type="dxa"/>
            </w:tcMar>
            <w:vAlign w:val="center"/>
            <w:hideMark/>
          </w:tcPr>
          <w:p w14:paraId="5C7A9B6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A9A09A" w14:textId="77777777" w:rsidR="00000000" w:rsidRDefault="00A173A8">
            <w:pPr>
              <w:spacing w:after="100"/>
              <w:jc w:val="center"/>
              <w:rPr>
                <w:rFonts w:eastAsia="Times New Roman"/>
              </w:rPr>
            </w:pPr>
            <w:r>
              <w:rPr>
                <w:rFonts w:eastAsia="Times New Roman"/>
                <w:color w:val="000000"/>
                <w:sz w:val="16"/>
                <w:szCs w:val="16"/>
              </w:rPr>
              <w:t>100</w:t>
            </w:r>
          </w:p>
        </w:tc>
        <w:tc>
          <w:tcPr>
            <w:tcW w:w="0" w:type="auto"/>
            <w:gridSpan w:val="3"/>
            <w:tcMar>
              <w:top w:w="30" w:type="dxa"/>
              <w:left w:w="20" w:type="dxa"/>
              <w:bottom w:w="30" w:type="dxa"/>
              <w:right w:w="20" w:type="dxa"/>
            </w:tcMar>
            <w:vAlign w:val="bottom"/>
            <w:hideMark/>
          </w:tcPr>
          <w:p w14:paraId="14832564"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18831040" w14:textId="77777777" w:rsidR="00000000" w:rsidRDefault="00A173A8">
      <w:pPr>
        <w:rPr>
          <w:rFonts w:eastAsia="Times New Roman"/>
        </w:rPr>
      </w:pPr>
      <w:r>
        <w:rPr>
          <w:rFonts w:eastAsia="Times New Roman"/>
        </w:rPr>
        <w:pict w14:anchorId="18F45072">
          <v:rect id="_x0000_i1125" style="width:0;height:1.5pt" o:hralign="center" o:hrstd="t" o:hr="t" fillcolor="#a0a0a0" stroked="f"/>
        </w:pict>
      </w:r>
    </w:p>
    <w:p w14:paraId="77133865" w14:textId="77777777" w:rsidR="00000000" w:rsidRDefault="00A173A8">
      <w:pPr>
        <w:jc w:val="both"/>
        <w:divId w:val="1021008829"/>
        <w:rPr>
          <w:rFonts w:eastAsia="Times New Roman"/>
        </w:rPr>
      </w:pPr>
      <w:hyperlink w:anchor="i7ffd5d61af6f4722b1b1b07530d51c06_13" w:history="1">
        <w:r>
          <w:rPr>
            <w:rStyle w:val="a3"/>
            <w:rFonts w:eastAsia="Times New Roman"/>
            <w:sz w:val="16"/>
            <w:szCs w:val="16"/>
          </w:rPr>
          <w:t>Table of Contents</w:t>
        </w:r>
      </w:hyperlink>
    </w:p>
    <w:p w14:paraId="37677008" w14:textId="77777777" w:rsidR="00000000" w:rsidRDefault="00A173A8">
      <w:pPr>
        <w:jc w:val="both"/>
        <w:divId w:val="2107454511"/>
        <w:rPr>
          <w:rFonts w:eastAsia="Times New Roman"/>
        </w:rPr>
      </w:pPr>
      <w:r>
        <w:rPr>
          <w:rFonts w:eastAsia="Times New Roman"/>
          <w:color w:val="000000"/>
          <w:sz w:val="20"/>
          <w:szCs w:val="20"/>
        </w:rPr>
        <w:t>and six months ended June 30, 2022 and 2021. These gains or losses are recognized in other non-interest income on our consolidated statements o</w:t>
      </w:r>
      <w:r>
        <w:rPr>
          <w:rFonts w:eastAsia="Times New Roman"/>
          <w:color w:val="000000"/>
          <w:sz w:val="20"/>
          <w:szCs w:val="20"/>
        </w:rPr>
        <w:t>f income.</w:t>
      </w:r>
    </w:p>
    <w:p w14:paraId="1641A7C5" w14:textId="77777777" w:rsidR="00000000" w:rsidRDefault="00A173A8">
      <w:pPr>
        <w:divId w:val="2033454317"/>
        <w:rPr>
          <w:rFonts w:eastAsia="Times New Roman"/>
        </w:rPr>
      </w:pPr>
      <w:r>
        <w:rPr>
          <w:rFonts w:eastAsia="Times New Roman"/>
          <w:b/>
          <w:bCs/>
          <w:color w:val="000000"/>
          <w:sz w:val="18"/>
          <w:szCs w:val="18"/>
        </w:rPr>
        <w:t>Table 8.5: Gains (Losses) on Free-Standing Derivatives</w:t>
      </w:r>
    </w:p>
    <w:tbl>
      <w:tblPr>
        <w:tblW w:w="5000" w:type="pct"/>
        <w:tblCellMar>
          <w:top w:w="15" w:type="dxa"/>
          <w:left w:w="15" w:type="dxa"/>
          <w:bottom w:w="15" w:type="dxa"/>
          <w:right w:w="15" w:type="dxa"/>
        </w:tblCellMar>
        <w:tblLook w:val="04A0" w:firstRow="1" w:lastRow="0" w:firstColumn="1" w:lastColumn="0" w:noHBand="0" w:noVBand="1"/>
      </w:tblPr>
      <w:tblGrid>
        <w:gridCol w:w="39"/>
        <w:gridCol w:w="3593"/>
        <w:gridCol w:w="38"/>
        <w:gridCol w:w="36"/>
        <w:gridCol w:w="36"/>
        <w:gridCol w:w="36"/>
        <w:gridCol w:w="110"/>
        <w:gridCol w:w="856"/>
        <w:gridCol w:w="36"/>
        <w:gridCol w:w="36"/>
        <w:gridCol w:w="36"/>
        <w:gridCol w:w="36"/>
        <w:gridCol w:w="110"/>
        <w:gridCol w:w="856"/>
        <w:gridCol w:w="36"/>
        <w:gridCol w:w="36"/>
        <w:gridCol w:w="36"/>
        <w:gridCol w:w="36"/>
        <w:gridCol w:w="110"/>
        <w:gridCol w:w="918"/>
        <w:gridCol w:w="36"/>
        <w:gridCol w:w="36"/>
        <w:gridCol w:w="36"/>
        <w:gridCol w:w="36"/>
        <w:gridCol w:w="110"/>
        <w:gridCol w:w="918"/>
        <w:gridCol w:w="36"/>
        <w:gridCol w:w="36"/>
        <w:gridCol w:w="36"/>
      </w:tblGrid>
      <w:tr w:rsidR="00000000" w14:paraId="7EBEA4B2" w14:textId="77777777">
        <w:trPr>
          <w:divId w:val="430786482"/>
        </w:trPr>
        <w:tc>
          <w:tcPr>
            <w:tcW w:w="50" w:type="pct"/>
            <w:vAlign w:val="center"/>
            <w:hideMark/>
          </w:tcPr>
          <w:p w14:paraId="6FCDE144" w14:textId="77777777" w:rsidR="00000000" w:rsidRDefault="00A173A8">
            <w:pPr>
              <w:rPr>
                <w:rFonts w:eastAsia="Times New Roman"/>
              </w:rPr>
            </w:pPr>
          </w:p>
        </w:tc>
        <w:tc>
          <w:tcPr>
            <w:tcW w:w="2211" w:type="pct"/>
            <w:vAlign w:val="center"/>
            <w:hideMark/>
          </w:tcPr>
          <w:p w14:paraId="4847F074" w14:textId="77777777" w:rsidR="00000000" w:rsidRDefault="00A173A8">
            <w:pPr>
              <w:spacing w:after="100"/>
              <w:rPr>
                <w:rFonts w:eastAsia="Times New Roman"/>
                <w:sz w:val="20"/>
                <w:szCs w:val="20"/>
              </w:rPr>
            </w:pPr>
          </w:p>
        </w:tc>
        <w:tc>
          <w:tcPr>
            <w:tcW w:w="5" w:type="pct"/>
            <w:vAlign w:val="center"/>
            <w:hideMark/>
          </w:tcPr>
          <w:p w14:paraId="0AE06AA2" w14:textId="77777777" w:rsidR="00000000" w:rsidRDefault="00A173A8">
            <w:pPr>
              <w:spacing w:after="100"/>
              <w:rPr>
                <w:rFonts w:eastAsia="Times New Roman"/>
                <w:sz w:val="20"/>
                <w:szCs w:val="20"/>
              </w:rPr>
            </w:pPr>
          </w:p>
        </w:tc>
        <w:tc>
          <w:tcPr>
            <w:tcW w:w="5" w:type="pct"/>
            <w:vAlign w:val="center"/>
            <w:hideMark/>
          </w:tcPr>
          <w:p w14:paraId="5E67902F" w14:textId="77777777" w:rsidR="00000000" w:rsidRDefault="00A173A8">
            <w:pPr>
              <w:spacing w:after="100"/>
              <w:rPr>
                <w:rFonts w:eastAsia="Times New Roman"/>
                <w:sz w:val="20"/>
                <w:szCs w:val="20"/>
              </w:rPr>
            </w:pPr>
          </w:p>
        </w:tc>
        <w:tc>
          <w:tcPr>
            <w:tcW w:w="26" w:type="pct"/>
            <w:vAlign w:val="center"/>
            <w:hideMark/>
          </w:tcPr>
          <w:p w14:paraId="461331EB" w14:textId="77777777" w:rsidR="00000000" w:rsidRDefault="00A173A8">
            <w:pPr>
              <w:spacing w:after="100"/>
              <w:rPr>
                <w:rFonts w:eastAsia="Times New Roman"/>
                <w:sz w:val="20"/>
                <w:szCs w:val="20"/>
              </w:rPr>
            </w:pPr>
          </w:p>
        </w:tc>
        <w:tc>
          <w:tcPr>
            <w:tcW w:w="5" w:type="pct"/>
            <w:vAlign w:val="center"/>
            <w:hideMark/>
          </w:tcPr>
          <w:p w14:paraId="696ECBDA" w14:textId="77777777" w:rsidR="00000000" w:rsidRDefault="00A173A8">
            <w:pPr>
              <w:spacing w:after="100"/>
              <w:rPr>
                <w:rFonts w:eastAsia="Times New Roman"/>
                <w:sz w:val="20"/>
                <w:szCs w:val="20"/>
              </w:rPr>
            </w:pPr>
          </w:p>
        </w:tc>
        <w:tc>
          <w:tcPr>
            <w:tcW w:w="50" w:type="pct"/>
            <w:vAlign w:val="center"/>
            <w:hideMark/>
          </w:tcPr>
          <w:p w14:paraId="5A8F4EF9" w14:textId="77777777" w:rsidR="00000000" w:rsidRDefault="00A173A8">
            <w:pPr>
              <w:spacing w:after="100"/>
              <w:rPr>
                <w:rFonts w:eastAsia="Times New Roman"/>
                <w:sz w:val="20"/>
                <w:szCs w:val="20"/>
              </w:rPr>
            </w:pPr>
          </w:p>
        </w:tc>
        <w:tc>
          <w:tcPr>
            <w:tcW w:w="573" w:type="pct"/>
            <w:vAlign w:val="center"/>
            <w:hideMark/>
          </w:tcPr>
          <w:p w14:paraId="46D58C0F" w14:textId="77777777" w:rsidR="00000000" w:rsidRDefault="00A173A8">
            <w:pPr>
              <w:spacing w:after="100"/>
              <w:rPr>
                <w:rFonts w:eastAsia="Times New Roman"/>
                <w:sz w:val="20"/>
                <w:szCs w:val="20"/>
              </w:rPr>
            </w:pPr>
          </w:p>
        </w:tc>
        <w:tc>
          <w:tcPr>
            <w:tcW w:w="5" w:type="pct"/>
            <w:vAlign w:val="center"/>
            <w:hideMark/>
          </w:tcPr>
          <w:p w14:paraId="096B00FB" w14:textId="77777777" w:rsidR="00000000" w:rsidRDefault="00A173A8">
            <w:pPr>
              <w:spacing w:after="100"/>
              <w:rPr>
                <w:rFonts w:eastAsia="Times New Roman"/>
                <w:sz w:val="20"/>
                <w:szCs w:val="20"/>
              </w:rPr>
            </w:pPr>
          </w:p>
        </w:tc>
        <w:tc>
          <w:tcPr>
            <w:tcW w:w="5" w:type="pct"/>
            <w:vAlign w:val="center"/>
            <w:hideMark/>
          </w:tcPr>
          <w:p w14:paraId="69115561" w14:textId="77777777" w:rsidR="00000000" w:rsidRDefault="00A173A8">
            <w:pPr>
              <w:spacing w:after="100"/>
              <w:rPr>
                <w:rFonts w:eastAsia="Times New Roman"/>
                <w:sz w:val="20"/>
                <w:szCs w:val="20"/>
              </w:rPr>
            </w:pPr>
          </w:p>
        </w:tc>
        <w:tc>
          <w:tcPr>
            <w:tcW w:w="26" w:type="pct"/>
            <w:vAlign w:val="center"/>
            <w:hideMark/>
          </w:tcPr>
          <w:p w14:paraId="59054CEB" w14:textId="77777777" w:rsidR="00000000" w:rsidRDefault="00A173A8">
            <w:pPr>
              <w:spacing w:after="100"/>
              <w:rPr>
                <w:rFonts w:eastAsia="Times New Roman"/>
                <w:sz w:val="20"/>
                <w:szCs w:val="20"/>
              </w:rPr>
            </w:pPr>
          </w:p>
        </w:tc>
        <w:tc>
          <w:tcPr>
            <w:tcW w:w="5" w:type="pct"/>
            <w:vAlign w:val="center"/>
            <w:hideMark/>
          </w:tcPr>
          <w:p w14:paraId="3B64B5AD" w14:textId="77777777" w:rsidR="00000000" w:rsidRDefault="00A173A8">
            <w:pPr>
              <w:spacing w:after="100"/>
              <w:rPr>
                <w:rFonts w:eastAsia="Times New Roman"/>
                <w:sz w:val="20"/>
                <w:szCs w:val="20"/>
              </w:rPr>
            </w:pPr>
          </w:p>
        </w:tc>
        <w:tc>
          <w:tcPr>
            <w:tcW w:w="50" w:type="pct"/>
            <w:vAlign w:val="center"/>
            <w:hideMark/>
          </w:tcPr>
          <w:p w14:paraId="219A93AD" w14:textId="77777777" w:rsidR="00000000" w:rsidRDefault="00A173A8">
            <w:pPr>
              <w:spacing w:after="100"/>
              <w:rPr>
                <w:rFonts w:eastAsia="Times New Roman"/>
                <w:sz w:val="20"/>
                <w:szCs w:val="20"/>
              </w:rPr>
            </w:pPr>
          </w:p>
        </w:tc>
        <w:tc>
          <w:tcPr>
            <w:tcW w:w="573" w:type="pct"/>
            <w:vAlign w:val="center"/>
            <w:hideMark/>
          </w:tcPr>
          <w:p w14:paraId="422027EB" w14:textId="77777777" w:rsidR="00000000" w:rsidRDefault="00A173A8">
            <w:pPr>
              <w:spacing w:after="100"/>
              <w:rPr>
                <w:rFonts w:eastAsia="Times New Roman"/>
                <w:sz w:val="20"/>
                <w:szCs w:val="20"/>
              </w:rPr>
            </w:pPr>
          </w:p>
        </w:tc>
        <w:tc>
          <w:tcPr>
            <w:tcW w:w="5" w:type="pct"/>
            <w:vAlign w:val="center"/>
            <w:hideMark/>
          </w:tcPr>
          <w:p w14:paraId="66A83491" w14:textId="77777777" w:rsidR="00000000" w:rsidRDefault="00A173A8">
            <w:pPr>
              <w:spacing w:after="100"/>
              <w:rPr>
                <w:rFonts w:eastAsia="Times New Roman"/>
                <w:sz w:val="20"/>
                <w:szCs w:val="20"/>
              </w:rPr>
            </w:pPr>
          </w:p>
        </w:tc>
        <w:tc>
          <w:tcPr>
            <w:tcW w:w="5" w:type="pct"/>
            <w:vAlign w:val="center"/>
            <w:hideMark/>
          </w:tcPr>
          <w:p w14:paraId="5DF5827B" w14:textId="77777777" w:rsidR="00000000" w:rsidRDefault="00A173A8">
            <w:pPr>
              <w:spacing w:after="100"/>
              <w:rPr>
                <w:rFonts w:eastAsia="Times New Roman"/>
                <w:sz w:val="20"/>
                <w:szCs w:val="20"/>
              </w:rPr>
            </w:pPr>
          </w:p>
        </w:tc>
        <w:tc>
          <w:tcPr>
            <w:tcW w:w="26" w:type="pct"/>
            <w:vAlign w:val="center"/>
            <w:hideMark/>
          </w:tcPr>
          <w:p w14:paraId="2E9B806D" w14:textId="77777777" w:rsidR="00000000" w:rsidRDefault="00A173A8">
            <w:pPr>
              <w:spacing w:after="100"/>
              <w:rPr>
                <w:rFonts w:eastAsia="Times New Roman"/>
                <w:sz w:val="20"/>
                <w:szCs w:val="20"/>
              </w:rPr>
            </w:pPr>
          </w:p>
        </w:tc>
        <w:tc>
          <w:tcPr>
            <w:tcW w:w="5" w:type="pct"/>
            <w:vAlign w:val="center"/>
            <w:hideMark/>
          </w:tcPr>
          <w:p w14:paraId="1E9AA3FA" w14:textId="77777777" w:rsidR="00000000" w:rsidRDefault="00A173A8">
            <w:pPr>
              <w:spacing w:after="100"/>
              <w:rPr>
                <w:rFonts w:eastAsia="Times New Roman"/>
                <w:sz w:val="20"/>
                <w:szCs w:val="20"/>
              </w:rPr>
            </w:pPr>
          </w:p>
        </w:tc>
        <w:tc>
          <w:tcPr>
            <w:tcW w:w="50" w:type="pct"/>
            <w:vAlign w:val="center"/>
            <w:hideMark/>
          </w:tcPr>
          <w:p w14:paraId="2D916126" w14:textId="77777777" w:rsidR="00000000" w:rsidRDefault="00A173A8">
            <w:pPr>
              <w:spacing w:after="100"/>
              <w:rPr>
                <w:rFonts w:eastAsia="Times New Roman"/>
                <w:sz w:val="20"/>
                <w:szCs w:val="20"/>
              </w:rPr>
            </w:pPr>
          </w:p>
        </w:tc>
        <w:tc>
          <w:tcPr>
            <w:tcW w:w="610" w:type="pct"/>
            <w:vAlign w:val="center"/>
            <w:hideMark/>
          </w:tcPr>
          <w:p w14:paraId="3D48B28A" w14:textId="77777777" w:rsidR="00000000" w:rsidRDefault="00A173A8">
            <w:pPr>
              <w:spacing w:after="100"/>
              <w:rPr>
                <w:rFonts w:eastAsia="Times New Roman"/>
                <w:sz w:val="20"/>
                <w:szCs w:val="20"/>
              </w:rPr>
            </w:pPr>
          </w:p>
        </w:tc>
        <w:tc>
          <w:tcPr>
            <w:tcW w:w="5" w:type="pct"/>
            <w:vAlign w:val="center"/>
            <w:hideMark/>
          </w:tcPr>
          <w:p w14:paraId="28F639C4" w14:textId="77777777" w:rsidR="00000000" w:rsidRDefault="00A173A8">
            <w:pPr>
              <w:spacing w:after="100"/>
              <w:rPr>
                <w:rFonts w:eastAsia="Times New Roman"/>
                <w:sz w:val="20"/>
                <w:szCs w:val="20"/>
              </w:rPr>
            </w:pPr>
          </w:p>
        </w:tc>
        <w:tc>
          <w:tcPr>
            <w:tcW w:w="5" w:type="pct"/>
            <w:vAlign w:val="center"/>
            <w:hideMark/>
          </w:tcPr>
          <w:p w14:paraId="0912E1AF" w14:textId="77777777" w:rsidR="00000000" w:rsidRDefault="00A173A8">
            <w:pPr>
              <w:spacing w:after="100"/>
              <w:rPr>
                <w:rFonts w:eastAsia="Times New Roman"/>
                <w:sz w:val="20"/>
                <w:szCs w:val="20"/>
              </w:rPr>
            </w:pPr>
          </w:p>
        </w:tc>
        <w:tc>
          <w:tcPr>
            <w:tcW w:w="26" w:type="pct"/>
            <w:vAlign w:val="center"/>
            <w:hideMark/>
          </w:tcPr>
          <w:p w14:paraId="3468A302" w14:textId="77777777" w:rsidR="00000000" w:rsidRDefault="00A173A8">
            <w:pPr>
              <w:spacing w:after="100"/>
              <w:rPr>
                <w:rFonts w:eastAsia="Times New Roman"/>
                <w:sz w:val="20"/>
                <w:szCs w:val="20"/>
              </w:rPr>
            </w:pPr>
          </w:p>
        </w:tc>
        <w:tc>
          <w:tcPr>
            <w:tcW w:w="5" w:type="pct"/>
            <w:vAlign w:val="center"/>
            <w:hideMark/>
          </w:tcPr>
          <w:p w14:paraId="2D42528D" w14:textId="77777777" w:rsidR="00000000" w:rsidRDefault="00A173A8">
            <w:pPr>
              <w:spacing w:after="100"/>
              <w:rPr>
                <w:rFonts w:eastAsia="Times New Roman"/>
                <w:sz w:val="20"/>
                <w:szCs w:val="20"/>
              </w:rPr>
            </w:pPr>
          </w:p>
        </w:tc>
        <w:tc>
          <w:tcPr>
            <w:tcW w:w="50" w:type="pct"/>
            <w:vAlign w:val="center"/>
            <w:hideMark/>
          </w:tcPr>
          <w:p w14:paraId="6465C85B" w14:textId="77777777" w:rsidR="00000000" w:rsidRDefault="00A173A8">
            <w:pPr>
              <w:spacing w:after="100"/>
              <w:rPr>
                <w:rFonts w:eastAsia="Times New Roman"/>
                <w:sz w:val="20"/>
                <w:szCs w:val="20"/>
              </w:rPr>
            </w:pPr>
          </w:p>
        </w:tc>
        <w:tc>
          <w:tcPr>
            <w:tcW w:w="610" w:type="pct"/>
            <w:vAlign w:val="center"/>
            <w:hideMark/>
          </w:tcPr>
          <w:p w14:paraId="2FC442CC" w14:textId="77777777" w:rsidR="00000000" w:rsidRDefault="00A173A8">
            <w:pPr>
              <w:spacing w:after="100"/>
              <w:rPr>
                <w:rFonts w:eastAsia="Times New Roman"/>
                <w:sz w:val="20"/>
                <w:szCs w:val="20"/>
              </w:rPr>
            </w:pPr>
          </w:p>
        </w:tc>
        <w:tc>
          <w:tcPr>
            <w:tcW w:w="5" w:type="pct"/>
            <w:vAlign w:val="center"/>
            <w:hideMark/>
          </w:tcPr>
          <w:p w14:paraId="174349A1" w14:textId="77777777" w:rsidR="00000000" w:rsidRDefault="00A173A8">
            <w:pPr>
              <w:spacing w:after="100"/>
              <w:rPr>
                <w:rFonts w:eastAsia="Times New Roman"/>
                <w:sz w:val="20"/>
                <w:szCs w:val="20"/>
              </w:rPr>
            </w:pPr>
          </w:p>
        </w:tc>
        <w:tc>
          <w:tcPr>
            <w:tcW w:w="0" w:type="auto"/>
            <w:vAlign w:val="center"/>
            <w:hideMark/>
          </w:tcPr>
          <w:p w14:paraId="0B6C5DD7" w14:textId="77777777" w:rsidR="00000000" w:rsidRDefault="00A173A8">
            <w:pPr>
              <w:spacing w:after="100"/>
              <w:rPr>
                <w:rFonts w:eastAsia="Times New Roman"/>
                <w:sz w:val="20"/>
                <w:szCs w:val="20"/>
              </w:rPr>
            </w:pPr>
          </w:p>
        </w:tc>
        <w:tc>
          <w:tcPr>
            <w:tcW w:w="0" w:type="auto"/>
            <w:vAlign w:val="center"/>
            <w:hideMark/>
          </w:tcPr>
          <w:p w14:paraId="5758A4FF" w14:textId="77777777" w:rsidR="00000000" w:rsidRDefault="00A173A8">
            <w:pPr>
              <w:spacing w:after="100"/>
              <w:rPr>
                <w:rFonts w:eastAsia="Times New Roman"/>
                <w:sz w:val="20"/>
                <w:szCs w:val="20"/>
              </w:rPr>
            </w:pPr>
          </w:p>
        </w:tc>
      </w:tr>
      <w:tr w:rsidR="00000000" w14:paraId="0653B0FA" w14:textId="77777777">
        <w:trPr>
          <w:divId w:val="430786482"/>
        </w:trPr>
        <w:tc>
          <w:tcPr>
            <w:tcW w:w="0" w:type="auto"/>
            <w:gridSpan w:val="3"/>
            <w:tcMar>
              <w:top w:w="0" w:type="dxa"/>
              <w:left w:w="20" w:type="dxa"/>
              <w:bottom w:w="0" w:type="dxa"/>
              <w:right w:w="20" w:type="dxa"/>
            </w:tcMar>
            <w:vAlign w:val="center"/>
            <w:hideMark/>
          </w:tcPr>
          <w:p w14:paraId="72C14D9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CB0068"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2DB928A" w14:textId="77777777" w:rsidR="00000000" w:rsidRDefault="00A173A8">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0C917C3F"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45834A2"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06E80A17" w14:textId="77777777" w:rsidR="00000000" w:rsidRDefault="00A173A8">
            <w:pPr>
              <w:spacing w:after="100"/>
              <w:jc w:val="center"/>
              <w:rPr>
                <w:rFonts w:eastAsia="Times New Roman"/>
              </w:rPr>
            </w:pPr>
          </w:p>
        </w:tc>
        <w:tc>
          <w:tcPr>
            <w:tcW w:w="0" w:type="auto"/>
            <w:vAlign w:val="center"/>
            <w:hideMark/>
          </w:tcPr>
          <w:p w14:paraId="0ED7C2AA" w14:textId="77777777" w:rsidR="00000000" w:rsidRDefault="00A173A8">
            <w:pPr>
              <w:spacing w:after="100"/>
              <w:rPr>
                <w:rFonts w:eastAsia="Times New Roman"/>
                <w:sz w:val="20"/>
                <w:szCs w:val="20"/>
              </w:rPr>
            </w:pPr>
          </w:p>
        </w:tc>
      </w:tr>
      <w:tr w:rsidR="00000000" w14:paraId="3F8220E3" w14:textId="77777777">
        <w:trPr>
          <w:divId w:val="430786482"/>
        </w:trPr>
        <w:tc>
          <w:tcPr>
            <w:tcW w:w="0" w:type="auto"/>
            <w:gridSpan w:val="3"/>
            <w:tcBorders>
              <w:bottom w:val="single" w:sz="8" w:space="0" w:color="000000"/>
            </w:tcBorders>
            <w:tcMar>
              <w:top w:w="30" w:type="dxa"/>
              <w:left w:w="20" w:type="dxa"/>
              <w:bottom w:w="30" w:type="dxa"/>
              <w:right w:w="20" w:type="dxa"/>
            </w:tcMar>
            <w:vAlign w:val="bottom"/>
            <w:hideMark/>
          </w:tcPr>
          <w:p w14:paraId="53B929A8"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17FECC6"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3AB1A22"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61658A6"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253DCE4"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64DED5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698277C"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62F8F1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9917DC2"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vAlign w:val="center"/>
            <w:hideMark/>
          </w:tcPr>
          <w:p w14:paraId="3D9266D9" w14:textId="77777777" w:rsidR="00000000" w:rsidRDefault="00A173A8">
            <w:pPr>
              <w:spacing w:after="100"/>
              <w:jc w:val="center"/>
              <w:rPr>
                <w:rFonts w:eastAsia="Times New Roman"/>
              </w:rPr>
            </w:pPr>
          </w:p>
        </w:tc>
        <w:tc>
          <w:tcPr>
            <w:tcW w:w="0" w:type="auto"/>
            <w:vAlign w:val="center"/>
            <w:hideMark/>
          </w:tcPr>
          <w:p w14:paraId="348077D6" w14:textId="77777777" w:rsidR="00000000" w:rsidRDefault="00A173A8">
            <w:pPr>
              <w:spacing w:after="100"/>
              <w:rPr>
                <w:rFonts w:eastAsia="Times New Roman"/>
                <w:sz w:val="20"/>
                <w:szCs w:val="20"/>
              </w:rPr>
            </w:pPr>
          </w:p>
        </w:tc>
      </w:tr>
      <w:tr w:rsidR="00000000" w14:paraId="1BEE6F67" w14:textId="77777777">
        <w:trPr>
          <w:divId w:val="43078648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E347DA0" w14:textId="77777777" w:rsidR="00000000" w:rsidRDefault="00A173A8">
            <w:pPr>
              <w:spacing w:after="100"/>
              <w:rPr>
                <w:rFonts w:eastAsia="Times New Roman"/>
              </w:rPr>
            </w:pPr>
            <w:r>
              <w:rPr>
                <w:rFonts w:eastAsia="Times New Roman"/>
                <w:b/>
                <w:bCs/>
                <w:color w:val="000000"/>
                <w:sz w:val="18"/>
                <w:szCs w:val="18"/>
              </w:rPr>
              <w:t>Gains (losses) recognized in other non-interest income:</w:t>
            </w:r>
          </w:p>
        </w:tc>
        <w:tc>
          <w:tcPr>
            <w:tcW w:w="0" w:type="auto"/>
            <w:gridSpan w:val="3"/>
            <w:shd w:val="clear" w:color="auto" w:fill="CCEEFF"/>
            <w:tcMar>
              <w:top w:w="0" w:type="dxa"/>
              <w:left w:w="20" w:type="dxa"/>
              <w:bottom w:w="0" w:type="dxa"/>
              <w:right w:w="20" w:type="dxa"/>
            </w:tcMar>
            <w:vAlign w:val="center"/>
            <w:hideMark/>
          </w:tcPr>
          <w:p w14:paraId="3EC4692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03952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7EB12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5FA5F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6E215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01B3B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58344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DAFFA9" w14:textId="77777777" w:rsidR="00000000" w:rsidRDefault="00A173A8">
            <w:pPr>
              <w:spacing w:after="100"/>
              <w:rPr>
                <w:rFonts w:eastAsia="Times New Roman"/>
                <w:sz w:val="20"/>
                <w:szCs w:val="20"/>
              </w:rPr>
            </w:pPr>
          </w:p>
        </w:tc>
        <w:tc>
          <w:tcPr>
            <w:tcW w:w="0" w:type="auto"/>
            <w:vAlign w:val="center"/>
            <w:hideMark/>
          </w:tcPr>
          <w:p w14:paraId="0D8EA4C7" w14:textId="77777777" w:rsidR="00000000" w:rsidRDefault="00A173A8">
            <w:pPr>
              <w:spacing w:after="100"/>
              <w:rPr>
                <w:rFonts w:eastAsia="Times New Roman"/>
                <w:sz w:val="20"/>
                <w:szCs w:val="20"/>
              </w:rPr>
            </w:pPr>
          </w:p>
        </w:tc>
        <w:tc>
          <w:tcPr>
            <w:tcW w:w="0" w:type="auto"/>
            <w:vAlign w:val="center"/>
            <w:hideMark/>
          </w:tcPr>
          <w:p w14:paraId="34542A7B" w14:textId="77777777" w:rsidR="00000000" w:rsidRDefault="00A173A8">
            <w:pPr>
              <w:spacing w:after="100"/>
              <w:rPr>
                <w:rFonts w:eastAsia="Times New Roman"/>
                <w:sz w:val="20"/>
                <w:szCs w:val="20"/>
              </w:rPr>
            </w:pPr>
          </w:p>
        </w:tc>
      </w:tr>
      <w:tr w:rsidR="00000000" w14:paraId="6CA6C173" w14:textId="77777777">
        <w:trPr>
          <w:divId w:val="430786482"/>
        </w:trPr>
        <w:tc>
          <w:tcPr>
            <w:tcW w:w="0" w:type="auto"/>
            <w:gridSpan w:val="3"/>
            <w:shd w:val="clear" w:color="auto" w:fill="FFFFFF"/>
            <w:tcMar>
              <w:top w:w="30" w:type="dxa"/>
              <w:left w:w="20" w:type="dxa"/>
              <w:bottom w:w="30" w:type="dxa"/>
              <w:right w:w="20" w:type="dxa"/>
            </w:tcMar>
            <w:vAlign w:val="center"/>
            <w:hideMark/>
          </w:tcPr>
          <w:p w14:paraId="2534772B" w14:textId="77777777" w:rsidR="00000000" w:rsidRDefault="00A173A8">
            <w:pPr>
              <w:spacing w:after="100"/>
              <w:rPr>
                <w:rFonts w:eastAsia="Times New Roman"/>
              </w:rPr>
            </w:pPr>
            <w:r>
              <w:rPr>
                <w:rFonts w:eastAsia="Times New Roman"/>
                <w:color w:val="000000"/>
                <w:sz w:val="18"/>
                <w:szCs w:val="18"/>
              </w:rPr>
              <w:t>Customer accommodation:</w:t>
            </w:r>
          </w:p>
        </w:tc>
        <w:tc>
          <w:tcPr>
            <w:tcW w:w="0" w:type="auto"/>
            <w:gridSpan w:val="3"/>
            <w:shd w:val="clear" w:color="auto" w:fill="FFFFFF"/>
            <w:tcMar>
              <w:top w:w="0" w:type="dxa"/>
              <w:left w:w="20" w:type="dxa"/>
              <w:bottom w:w="0" w:type="dxa"/>
              <w:right w:w="20" w:type="dxa"/>
            </w:tcMar>
            <w:vAlign w:val="center"/>
            <w:hideMark/>
          </w:tcPr>
          <w:p w14:paraId="68CC81AA"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736D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1EC48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65FEE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F1B76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165E3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2A000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5023BF" w14:textId="77777777" w:rsidR="00000000" w:rsidRDefault="00A173A8">
            <w:pPr>
              <w:spacing w:after="100"/>
              <w:rPr>
                <w:rFonts w:eastAsia="Times New Roman"/>
                <w:sz w:val="20"/>
                <w:szCs w:val="20"/>
              </w:rPr>
            </w:pPr>
          </w:p>
        </w:tc>
        <w:tc>
          <w:tcPr>
            <w:tcW w:w="0" w:type="auto"/>
            <w:vAlign w:val="center"/>
            <w:hideMark/>
          </w:tcPr>
          <w:p w14:paraId="3678455B" w14:textId="77777777" w:rsidR="00000000" w:rsidRDefault="00A173A8">
            <w:pPr>
              <w:spacing w:after="100"/>
              <w:rPr>
                <w:rFonts w:eastAsia="Times New Roman"/>
                <w:sz w:val="20"/>
                <w:szCs w:val="20"/>
              </w:rPr>
            </w:pPr>
          </w:p>
        </w:tc>
        <w:tc>
          <w:tcPr>
            <w:tcW w:w="0" w:type="auto"/>
            <w:vAlign w:val="center"/>
            <w:hideMark/>
          </w:tcPr>
          <w:p w14:paraId="3F098E59" w14:textId="77777777" w:rsidR="00000000" w:rsidRDefault="00A173A8">
            <w:pPr>
              <w:spacing w:after="100"/>
              <w:rPr>
                <w:rFonts w:eastAsia="Times New Roman"/>
                <w:sz w:val="20"/>
                <w:szCs w:val="20"/>
              </w:rPr>
            </w:pPr>
          </w:p>
        </w:tc>
      </w:tr>
      <w:tr w:rsidR="00000000" w14:paraId="69A7A601" w14:textId="77777777">
        <w:trPr>
          <w:divId w:val="430786482"/>
        </w:trPr>
        <w:tc>
          <w:tcPr>
            <w:tcW w:w="0" w:type="auto"/>
            <w:gridSpan w:val="3"/>
            <w:shd w:val="clear" w:color="auto" w:fill="CCEEFF"/>
            <w:tcMar>
              <w:top w:w="30" w:type="dxa"/>
              <w:left w:w="245" w:type="dxa"/>
              <w:bottom w:w="30" w:type="dxa"/>
              <w:right w:w="20" w:type="dxa"/>
            </w:tcMar>
            <w:vAlign w:val="center"/>
            <w:hideMark/>
          </w:tcPr>
          <w:p w14:paraId="54583FCE" w14:textId="77777777" w:rsidR="00000000" w:rsidRDefault="00A173A8">
            <w:pPr>
              <w:spacing w:after="100"/>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14:paraId="58949262"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56C09D8E"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6693644" w14:textId="77777777" w:rsidR="00000000" w:rsidRDefault="00A173A8">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D5394D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1B02F"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C50B7D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FA998DC" w14:textId="77777777" w:rsidR="00000000" w:rsidRDefault="00A173A8">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14:paraId="1859FD0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CA57F"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A75DC9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69B81F1" w14:textId="77777777" w:rsidR="00000000" w:rsidRDefault="00A173A8">
            <w:pPr>
              <w:spacing w:after="100"/>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6D4B72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3C471"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6F13D20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66D5279" w14:textId="77777777" w:rsidR="00000000" w:rsidRDefault="00A173A8">
            <w:pPr>
              <w:spacing w:after="100"/>
              <w:jc w:val="right"/>
              <w:rPr>
                <w:rFonts w:eastAsia="Times New Roman"/>
              </w:rPr>
            </w:pPr>
            <w:r>
              <w:rPr>
                <w:rFonts w:eastAsia="Times New Roman"/>
                <w:color w:val="000000"/>
                <w:sz w:val="18"/>
                <w:szCs w:val="18"/>
              </w:rPr>
              <w:t>18 </w:t>
            </w:r>
          </w:p>
        </w:tc>
        <w:tc>
          <w:tcPr>
            <w:tcW w:w="0" w:type="auto"/>
            <w:shd w:val="clear" w:color="auto" w:fill="CCEEFF"/>
            <w:tcMar>
              <w:top w:w="30" w:type="dxa"/>
              <w:left w:w="0" w:type="dxa"/>
              <w:bottom w:w="30" w:type="dxa"/>
              <w:right w:w="20" w:type="dxa"/>
            </w:tcMar>
            <w:vAlign w:val="center"/>
            <w:hideMark/>
          </w:tcPr>
          <w:p w14:paraId="0B01D695" w14:textId="77777777" w:rsidR="00000000" w:rsidRDefault="00A173A8">
            <w:pPr>
              <w:spacing w:after="100"/>
              <w:jc w:val="right"/>
              <w:rPr>
                <w:rFonts w:eastAsia="Times New Roman"/>
              </w:rPr>
            </w:pPr>
          </w:p>
        </w:tc>
        <w:tc>
          <w:tcPr>
            <w:tcW w:w="0" w:type="auto"/>
            <w:vAlign w:val="center"/>
            <w:hideMark/>
          </w:tcPr>
          <w:p w14:paraId="6091D7D0" w14:textId="77777777" w:rsidR="00000000" w:rsidRDefault="00A173A8">
            <w:pPr>
              <w:spacing w:after="100"/>
              <w:jc w:val="right"/>
              <w:rPr>
                <w:rFonts w:eastAsia="Times New Roman"/>
                <w:sz w:val="20"/>
                <w:szCs w:val="20"/>
              </w:rPr>
            </w:pPr>
          </w:p>
        </w:tc>
        <w:tc>
          <w:tcPr>
            <w:tcW w:w="0" w:type="auto"/>
            <w:vAlign w:val="center"/>
            <w:hideMark/>
          </w:tcPr>
          <w:p w14:paraId="56111D8E" w14:textId="77777777" w:rsidR="00000000" w:rsidRDefault="00A173A8">
            <w:pPr>
              <w:spacing w:after="100"/>
              <w:rPr>
                <w:rFonts w:eastAsia="Times New Roman"/>
                <w:sz w:val="20"/>
                <w:szCs w:val="20"/>
              </w:rPr>
            </w:pPr>
          </w:p>
        </w:tc>
      </w:tr>
      <w:tr w:rsidR="00000000" w14:paraId="43341EE9" w14:textId="77777777">
        <w:trPr>
          <w:divId w:val="430786482"/>
        </w:trPr>
        <w:tc>
          <w:tcPr>
            <w:tcW w:w="0" w:type="auto"/>
            <w:gridSpan w:val="3"/>
            <w:shd w:val="clear" w:color="auto" w:fill="FFFFFF"/>
            <w:tcMar>
              <w:top w:w="30" w:type="dxa"/>
              <w:left w:w="245" w:type="dxa"/>
              <w:bottom w:w="30" w:type="dxa"/>
              <w:right w:w="20" w:type="dxa"/>
            </w:tcMar>
            <w:vAlign w:val="center"/>
            <w:hideMark/>
          </w:tcPr>
          <w:p w14:paraId="5F9850E6" w14:textId="77777777" w:rsidR="00000000" w:rsidRDefault="00A173A8">
            <w:pPr>
              <w:spacing w:after="100"/>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14:paraId="71646DE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4D93BC4" w14:textId="77777777" w:rsidR="00000000" w:rsidRDefault="00A173A8">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CD6A9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43C4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CA5DAB"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2478411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5CC4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05A66C2" w14:textId="77777777" w:rsidR="00000000" w:rsidRDefault="00A173A8">
            <w:pPr>
              <w:spacing w:after="100"/>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724E5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EEB5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161216" w14:textId="77777777" w:rsidR="00000000" w:rsidRDefault="00A173A8">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14:paraId="3EC0AE68" w14:textId="77777777" w:rsidR="00000000" w:rsidRDefault="00A173A8">
            <w:pPr>
              <w:spacing w:after="100"/>
              <w:jc w:val="right"/>
              <w:rPr>
                <w:rFonts w:eastAsia="Times New Roman"/>
              </w:rPr>
            </w:pPr>
          </w:p>
        </w:tc>
        <w:tc>
          <w:tcPr>
            <w:tcW w:w="0" w:type="auto"/>
            <w:vAlign w:val="center"/>
            <w:hideMark/>
          </w:tcPr>
          <w:p w14:paraId="00EFB283" w14:textId="77777777" w:rsidR="00000000" w:rsidRDefault="00A173A8">
            <w:pPr>
              <w:spacing w:after="100"/>
              <w:jc w:val="right"/>
              <w:rPr>
                <w:rFonts w:eastAsia="Times New Roman"/>
                <w:sz w:val="20"/>
                <w:szCs w:val="20"/>
              </w:rPr>
            </w:pPr>
          </w:p>
        </w:tc>
        <w:tc>
          <w:tcPr>
            <w:tcW w:w="0" w:type="auto"/>
            <w:vAlign w:val="center"/>
            <w:hideMark/>
          </w:tcPr>
          <w:p w14:paraId="06A00031" w14:textId="77777777" w:rsidR="00000000" w:rsidRDefault="00A173A8">
            <w:pPr>
              <w:spacing w:after="100"/>
              <w:rPr>
                <w:rFonts w:eastAsia="Times New Roman"/>
                <w:sz w:val="20"/>
                <w:szCs w:val="20"/>
              </w:rPr>
            </w:pPr>
          </w:p>
        </w:tc>
      </w:tr>
      <w:tr w:rsidR="00000000" w14:paraId="231979D1" w14:textId="77777777">
        <w:trPr>
          <w:divId w:val="430786482"/>
        </w:trPr>
        <w:tc>
          <w:tcPr>
            <w:tcW w:w="0" w:type="auto"/>
            <w:gridSpan w:val="3"/>
            <w:shd w:val="clear" w:color="auto" w:fill="CCEEFF"/>
            <w:tcMar>
              <w:top w:w="30" w:type="dxa"/>
              <w:left w:w="245" w:type="dxa"/>
              <w:bottom w:w="30" w:type="dxa"/>
              <w:right w:w="20" w:type="dxa"/>
            </w:tcMar>
            <w:vAlign w:val="center"/>
            <w:hideMark/>
          </w:tcPr>
          <w:p w14:paraId="41929E14" w14:textId="77777777" w:rsidR="00000000" w:rsidRDefault="00A173A8">
            <w:pPr>
              <w:spacing w:after="100"/>
              <w:rPr>
                <w:rFonts w:eastAsia="Times New Roman"/>
              </w:rPr>
            </w:pPr>
            <w:r>
              <w:rPr>
                <w:rFonts w:eastAsia="Times New Roman"/>
                <w:color w:val="000000"/>
                <w:sz w:val="18"/>
                <w:szCs w:val="18"/>
              </w:rPr>
              <w:t>Foreign exchange and other contracts</w:t>
            </w:r>
          </w:p>
        </w:tc>
        <w:tc>
          <w:tcPr>
            <w:tcW w:w="0" w:type="auto"/>
            <w:gridSpan w:val="3"/>
            <w:shd w:val="clear" w:color="auto" w:fill="CCEEFF"/>
            <w:tcMar>
              <w:top w:w="0" w:type="dxa"/>
              <w:left w:w="20" w:type="dxa"/>
              <w:bottom w:w="0" w:type="dxa"/>
              <w:right w:w="20" w:type="dxa"/>
            </w:tcMar>
            <w:vAlign w:val="center"/>
            <w:hideMark/>
          </w:tcPr>
          <w:p w14:paraId="30C7402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6F4FEAB" w14:textId="77777777" w:rsidR="00000000" w:rsidRDefault="00A173A8">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FDAD28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CBF1F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30E77E7"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14:paraId="0D1ADDB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7A40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1D248B"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0FCD9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4E5B8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919ABFF" w14:textId="77777777" w:rsidR="00000000" w:rsidRDefault="00A173A8">
            <w:pPr>
              <w:spacing w:after="100"/>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14:paraId="18E835B3" w14:textId="77777777" w:rsidR="00000000" w:rsidRDefault="00A173A8">
            <w:pPr>
              <w:spacing w:after="100"/>
              <w:jc w:val="right"/>
              <w:rPr>
                <w:rFonts w:eastAsia="Times New Roman"/>
              </w:rPr>
            </w:pPr>
          </w:p>
        </w:tc>
        <w:tc>
          <w:tcPr>
            <w:tcW w:w="0" w:type="auto"/>
            <w:vAlign w:val="center"/>
            <w:hideMark/>
          </w:tcPr>
          <w:p w14:paraId="1F60C243" w14:textId="77777777" w:rsidR="00000000" w:rsidRDefault="00A173A8">
            <w:pPr>
              <w:spacing w:after="100"/>
              <w:jc w:val="right"/>
              <w:rPr>
                <w:rFonts w:eastAsia="Times New Roman"/>
                <w:sz w:val="20"/>
                <w:szCs w:val="20"/>
              </w:rPr>
            </w:pPr>
          </w:p>
        </w:tc>
        <w:tc>
          <w:tcPr>
            <w:tcW w:w="0" w:type="auto"/>
            <w:vAlign w:val="center"/>
            <w:hideMark/>
          </w:tcPr>
          <w:p w14:paraId="5E093A96" w14:textId="77777777" w:rsidR="00000000" w:rsidRDefault="00A173A8">
            <w:pPr>
              <w:spacing w:after="100"/>
              <w:rPr>
                <w:rFonts w:eastAsia="Times New Roman"/>
                <w:sz w:val="20"/>
                <w:szCs w:val="20"/>
              </w:rPr>
            </w:pPr>
          </w:p>
        </w:tc>
      </w:tr>
      <w:tr w:rsidR="00000000" w14:paraId="0E019E28" w14:textId="77777777">
        <w:trPr>
          <w:divId w:val="430786482"/>
        </w:trPr>
        <w:tc>
          <w:tcPr>
            <w:tcW w:w="0" w:type="auto"/>
            <w:gridSpan w:val="3"/>
            <w:shd w:val="clear" w:color="auto" w:fill="FFFFFF"/>
            <w:tcMar>
              <w:top w:w="30" w:type="dxa"/>
              <w:left w:w="20" w:type="dxa"/>
              <w:bottom w:w="30" w:type="dxa"/>
              <w:right w:w="20" w:type="dxa"/>
            </w:tcMar>
            <w:vAlign w:val="center"/>
            <w:hideMark/>
          </w:tcPr>
          <w:p w14:paraId="2362FAEE" w14:textId="77777777" w:rsidR="00000000" w:rsidRDefault="00A173A8">
            <w:pPr>
              <w:spacing w:after="100"/>
              <w:rPr>
                <w:rFonts w:eastAsia="Times New Roman"/>
              </w:rPr>
            </w:pPr>
            <w:r>
              <w:rPr>
                <w:rFonts w:eastAsia="Times New Roman"/>
                <w:color w:val="000000"/>
                <w:sz w:val="18"/>
                <w:szCs w:val="18"/>
              </w:rPr>
              <w:t>Total customer accommodation</w:t>
            </w:r>
          </w:p>
        </w:tc>
        <w:tc>
          <w:tcPr>
            <w:tcW w:w="0" w:type="auto"/>
            <w:gridSpan w:val="3"/>
            <w:shd w:val="clear" w:color="auto" w:fill="FFFFFF"/>
            <w:tcMar>
              <w:top w:w="0" w:type="dxa"/>
              <w:left w:w="20" w:type="dxa"/>
              <w:bottom w:w="0" w:type="dxa"/>
              <w:right w:w="20" w:type="dxa"/>
            </w:tcMar>
            <w:vAlign w:val="center"/>
            <w:hideMark/>
          </w:tcPr>
          <w:p w14:paraId="27413230"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2F17FC" w14:textId="77777777" w:rsidR="00000000" w:rsidRDefault="00A173A8">
            <w:pPr>
              <w:spacing w:after="100"/>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8B7C90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A8115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3AF3EB5" w14:textId="77777777" w:rsidR="00000000" w:rsidRDefault="00A173A8">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5056D6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423B5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3EA6FC9" w14:textId="77777777" w:rsidR="00000000" w:rsidRDefault="00A173A8">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3CF584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B332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5653275" w14:textId="77777777" w:rsidR="00000000" w:rsidRDefault="00A173A8">
            <w:pPr>
              <w:spacing w:after="100"/>
              <w:jc w:val="right"/>
              <w:rPr>
                <w:rFonts w:eastAsia="Times New Roman"/>
              </w:rPr>
            </w:pPr>
            <w:r>
              <w:rPr>
                <w:rFonts w:eastAsia="Times New Roman"/>
                <w:color w:val="000000"/>
                <w:sz w:val="18"/>
                <w:szCs w:val="18"/>
              </w:rPr>
              <w:t>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64D988E" w14:textId="77777777" w:rsidR="00000000" w:rsidRDefault="00A173A8">
            <w:pPr>
              <w:spacing w:after="100"/>
              <w:jc w:val="right"/>
              <w:rPr>
                <w:rFonts w:eastAsia="Times New Roman"/>
              </w:rPr>
            </w:pPr>
          </w:p>
        </w:tc>
        <w:tc>
          <w:tcPr>
            <w:tcW w:w="0" w:type="auto"/>
            <w:vAlign w:val="center"/>
            <w:hideMark/>
          </w:tcPr>
          <w:p w14:paraId="29E268B6" w14:textId="77777777" w:rsidR="00000000" w:rsidRDefault="00A173A8">
            <w:pPr>
              <w:spacing w:after="100"/>
              <w:jc w:val="right"/>
              <w:rPr>
                <w:rFonts w:eastAsia="Times New Roman"/>
                <w:sz w:val="20"/>
                <w:szCs w:val="20"/>
              </w:rPr>
            </w:pPr>
          </w:p>
        </w:tc>
        <w:tc>
          <w:tcPr>
            <w:tcW w:w="0" w:type="auto"/>
            <w:vAlign w:val="center"/>
            <w:hideMark/>
          </w:tcPr>
          <w:p w14:paraId="6DD7E1E2" w14:textId="77777777" w:rsidR="00000000" w:rsidRDefault="00A173A8">
            <w:pPr>
              <w:spacing w:after="100"/>
              <w:rPr>
                <w:rFonts w:eastAsia="Times New Roman"/>
                <w:sz w:val="20"/>
                <w:szCs w:val="20"/>
              </w:rPr>
            </w:pPr>
          </w:p>
        </w:tc>
      </w:tr>
      <w:tr w:rsidR="00000000" w14:paraId="0843FF90" w14:textId="77777777">
        <w:trPr>
          <w:divId w:val="430786482"/>
        </w:trPr>
        <w:tc>
          <w:tcPr>
            <w:tcW w:w="0" w:type="auto"/>
            <w:gridSpan w:val="3"/>
            <w:shd w:val="clear" w:color="auto" w:fill="CCEEFF"/>
            <w:tcMar>
              <w:top w:w="30" w:type="dxa"/>
              <w:left w:w="20" w:type="dxa"/>
              <w:bottom w:w="30" w:type="dxa"/>
              <w:right w:w="20" w:type="dxa"/>
            </w:tcMar>
            <w:vAlign w:val="center"/>
            <w:hideMark/>
          </w:tcPr>
          <w:p w14:paraId="6F1D0C2A" w14:textId="77777777" w:rsidR="00000000" w:rsidRDefault="00A173A8">
            <w:pPr>
              <w:spacing w:after="100"/>
              <w:rPr>
                <w:rFonts w:eastAsia="Times New Roman"/>
              </w:rPr>
            </w:pPr>
            <w:r>
              <w:rPr>
                <w:rFonts w:eastAsia="Times New Roman"/>
                <w:color w:val="000000"/>
                <w:sz w:val="18"/>
                <w:szCs w:val="18"/>
              </w:rPr>
              <w:t>Other interest rate exposures</w:t>
            </w:r>
          </w:p>
        </w:tc>
        <w:tc>
          <w:tcPr>
            <w:tcW w:w="0" w:type="auto"/>
            <w:gridSpan w:val="3"/>
            <w:shd w:val="clear" w:color="auto" w:fill="CCEEFF"/>
            <w:tcMar>
              <w:top w:w="0" w:type="dxa"/>
              <w:left w:w="20" w:type="dxa"/>
              <w:bottom w:w="0" w:type="dxa"/>
              <w:right w:w="20" w:type="dxa"/>
            </w:tcMar>
            <w:vAlign w:val="center"/>
            <w:hideMark/>
          </w:tcPr>
          <w:p w14:paraId="4868AAD5"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26E85B7" w14:textId="77777777" w:rsidR="00000000" w:rsidRDefault="00A173A8">
            <w:pPr>
              <w:spacing w:after="100"/>
              <w:jc w:val="right"/>
              <w:rPr>
                <w:rFonts w:eastAsia="Times New Roman"/>
              </w:rPr>
            </w:pPr>
            <w:r>
              <w:rPr>
                <w:rFonts w:eastAsia="Times New Roman"/>
                <w:b/>
                <w:bCs/>
                <w:color w:val="000000"/>
                <w:sz w:val="18"/>
                <w:szCs w:val="18"/>
              </w:rPr>
              <w:t>(12)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0CC39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B8CA2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D311B61" w14:textId="77777777" w:rsidR="00000000" w:rsidRDefault="00A173A8">
            <w:pPr>
              <w:spacing w:after="100"/>
              <w:jc w:val="right"/>
              <w:rPr>
                <w:rFonts w:eastAsia="Times New Roman"/>
              </w:rPr>
            </w:pPr>
            <w:r>
              <w:rPr>
                <w:rFonts w:eastAsia="Times New Roman"/>
                <w:color w:val="000000"/>
                <w:sz w:val="18"/>
                <w:szCs w:val="18"/>
              </w:rPr>
              <w:t>(27)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F43B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A7AA1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636685C" w14:textId="77777777" w:rsidR="00000000" w:rsidRDefault="00A173A8">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04E906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77AF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04451F" w14:textId="77777777" w:rsidR="00000000" w:rsidRDefault="00A173A8">
            <w:pPr>
              <w:spacing w:after="100"/>
              <w:jc w:val="right"/>
              <w:rPr>
                <w:rFonts w:eastAsia="Times New Roman"/>
              </w:rPr>
            </w:pPr>
            <w:r>
              <w:rPr>
                <w:rFonts w:eastAsia="Times New Roman"/>
                <w:color w:val="000000"/>
                <w:sz w:val="18"/>
                <w:szCs w:val="18"/>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9DC7A60" w14:textId="77777777" w:rsidR="00000000" w:rsidRDefault="00A173A8">
            <w:pPr>
              <w:spacing w:after="100"/>
              <w:jc w:val="right"/>
              <w:rPr>
                <w:rFonts w:eastAsia="Times New Roman"/>
              </w:rPr>
            </w:pPr>
          </w:p>
        </w:tc>
        <w:tc>
          <w:tcPr>
            <w:tcW w:w="0" w:type="auto"/>
            <w:vAlign w:val="center"/>
            <w:hideMark/>
          </w:tcPr>
          <w:p w14:paraId="3A4F7820" w14:textId="77777777" w:rsidR="00000000" w:rsidRDefault="00A173A8">
            <w:pPr>
              <w:spacing w:after="100"/>
              <w:jc w:val="right"/>
              <w:rPr>
                <w:rFonts w:eastAsia="Times New Roman"/>
                <w:sz w:val="20"/>
                <w:szCs w:val="20"/>
              </w:rPr>
            </w:pPr>
          </w:p>
        </w:tc>
        <w:tc>
          <w:tcPr>
            <w:tcW w:w="0" w:type="auto"/>
            <w:vAlign w:val="center"/>
            <w:hideMark/>
          </w:tcPr>
          <w:p w14:paraId="15C02B26" w14:textId="77777777" w:rsidR="00000000" w:rsidRDefault="00A173A8">
            <w:pPr>
              <w:spacing w:after="100"/>
              <w:rPr>
                <w:rFonts w:eastAsia="Times New Roman"/>
                <w:sz w:val="20"/>
                <w:szCs w:val="20"/>
              </w:rPr>
            </w:pPr>
          </w:p>
        </w:tc>
      </w:tr>
      <w:tr w:rsidR="00000000" w14:paraId="3C5616F1" w14:textId="77777777">
        <w:trPr>
          <w:divId w:val="430786482"/>
        </w:trPr>
        <w:tc>
          <w:tcPr>
            <w:tcW w:w="0" w:type="auto"/>
            <w:gridSpan w:val="3"/>
            <w:shd w:val="clear" w:color="auto" w:fill="FFFFFF"/>
            <w:tcMar>
              <w:top w:w="30" w:type="dxa"/>
              <w:left w:w="20" w:type="dxa"/>
              <w:bottom w:w="30" w:type="dxa"/>
              <w:right w:w="20" w:type="dxa"/>
            </w:tcMar>
            <w:vAlign w:val="center"/>
            <w:hideMark/>
          </w:tcPr>
          <w:p w14:paraId="33AFF7FA" w14:textId="77777777" w:rsidR="00000000" w:rsidRDefault="00A173A8">
            <w:pPr>
              <w:spacing w:after="100"/>
              <w:rPr>
                <w:rFonts w:eastAsia="Times New Roman"/>
              </w:rPr>
            </w:pPr>
            <w:r>
              <w:rPr>
                <w:rFonts w:eastAsia="Times New Roman"/>
                <w:color w:val="000000"/>
                <w:sz w:val="18"/>
                <w:szCs w:val="18"/>
              </w:rPr>
              <w:t>Other contracts</w:t>
            </w:r>
          </w:p>
        </w:tc>
        <w:tc>
          <w:tcPr>
            <w:tcW w:w="0" w:type="auto"/>
            <w:gridSpan w:val="3"/>
            <w:shd w:val="clear" w:color="auto" w:fill="FFFFFF"/>
            <w:tcMar>
              <w:top w:w="0" w:type="dxa"/>
              <w:left w:w="20" w:type="dxa"/>
              <w:bottom w:w="0" w:type="dxa"/>
              <w:right w:w="20" w:type="dxa"/>
            </w:tcMar>
            <w:vAlign w:val="center"/>
            <w:hideMark/>
          </w:tcPr>
          <w:p w14:paraId="00C9024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A69D43C" w14:textId="77777777" w:rsidR="00000000" w:rsidRDefault="00A173A8">
            <w:pPr>
              <w:spacing w:after="100"/>
              <w:jc w:val="right"/>
              <w:rPr>
                <w:rFonts w:eastAsia="Times New Roman"/>
              </w:rPr>
            </w:pPr>
            <w:r>
              <w:rPr>
                <w:rFonts w:eastAsia="Times New Roman"/>
                <w:b/>
                <w:bCs/>
                <w:color w:val="000000"/>
                <w:sz w:val="18"/>
                <w:szCs w:val="18"/>
              </w:rPr>
              <w:t>(7)</w:t>
            </w:r>
          </w:p>
        </w:tc>
        <w:tc>
          <w:tcPr>
            <w:tcW w:w="0" w:type="auto"/>
            <w:shd w:val="clear" w:color="auto" w:fill="FFFFFF"/>
            <w:tcMar>
              <w:top w:w="30" w:type="dxa"/>
              <w:left w:w="0" w:type="dxa"/>
              <w:bottom w:w="30" w:type="dxa"/>
              <w:right w:w="20" w:type="dxa"/>
            </w:tcMar>
            <w:vAlign w:val="center"/>
            <w:hideMark/>
          </w:tcPr>
          <w:p w14:paraId="08FFC53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3E600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F675C3"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14:paraId="20107A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5977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009157" w14:textId="77777777" w:rsidR="00000000" w:rsidRDefault="00A173A8">
            <w:pPr>
              <w:spacing w:after="100"/>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center"/>
            <w:hideMark/>
          </w:tcPr>
          <w:p w14:paraId="72D479A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C5E6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CE61C4"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14:paraId="20899FEE" w14:textId="77777777" w:rsidR="00000000" w:rsidRDefault="00A173A8">
            <w:pPr>
              <w:spacing w:after="100"/>
              <w:jc w:val="right"/>
              <w:rPr>
                <w:rFonts w:eastAsia="Times New Roman"/>
              </w:rPr>
            </w:pPr>
          </w:p>
        </w:tc>
        <w:tc>
          <w:tcPr>
            <w:tcW w:w="0" w:type="auto"/>
            <w:vAlign w:val="center"/>
            <w:hideMark/>
          </w:tcPr>
          <w:p w14:paraId="5AC92D86" w14:textId="77777777" w:rsidR="00000000" w:rsidRDefault="00A173A8">
            <w:pPr>
              <w:spacing w:after="100"/>
              <w:jc w:val="right"/>
              <w:rPr>
                <w:rFonts w:eastAsia="Times New Roman"/>
                <w:sz w:val="20"/>
                <w:szCs w:val="20"/>
              </w:rPr>
            </w:pPr>
          </w:p>
        </w:tc>
        <w:tc>
          <w:tcPr>
            <w:tcW w:w="0" w:type="auto"/>
            <w:vAlign w:val="center"/>
            <w:hideMark/>
          </w:tcPr>
          <w:p w14:paraId="72E45321" w14:textId="77777777" w:rsidR="00000000" w:rsidRDefault="00A173A8">
            <w:pPr>
              <w:spacing w:after="100"/>
              <w:rPr>
                <w:rFonts w:eastAsia="Times New Roman"/>
                <w:sz w:val="20"/>
                <w:szCs w:val="20"/>
              </w:rPr>
            </w:pPr>
          </w:p>
        </w:tc>
      </w:tr>
      <w:tr w:rsidR="00000000" w14:paraId="357C3341" w14:textId="77777777">
        <w:trPr>
          <w:divId w:val="430786482"/>
        </w:trPr>
        <w:tc>
          <w:tcPr>
            <w:tcW w:w="0" w:type="auto"/>
            <w:gridSpan w:val="3"/>
            <w:shd w:val="clear" w:color="auto" w:fill="CCEEFF"/>
            <w:tcMar>
              <w:top w:w="30" w:type="dxa"/>
              <w:left w:w="20" w:type="dxa"/>
              <w:bottom w:w="30" w:type="dxa"/>
              <w:right w:w="20" w:type="dxa"/>
            </w:tcMar>
            <w:vAlign w:val="center"/>
            <w:hideMark/>
          </w:tcPr>
          <w:p w14:paraId="4DBB026D" w14:textId="77777777" w:rsidR="00000000" w:rsidRDefault="00A173A8">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1A58F880"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242055D"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9D4A9D6" w14:textId="77777777" w:rsidR="00000000" w:rsidRDefault="00A173A8">
            <w:pPr>
              <w:spacing w:after="100"/>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E84438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00C4F"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F84D9E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6A7B33C" w14:textId="77777777" w:rsidR="00000000" w:rsidRDefault="00A173A8">
            <w:pPr>
              <w:spacing w:after="100"/>
              <w:jc w:val="right"/>
              <w:rPr>
                <w:rFonts w:eastAsia="Times New Roman"/>
              </w:rPr>
            </w:pPr>
            <w:r>
              <w:rPr>
                <w:rFonts w:eastAsia="Times New Roman"/>
                <w:color w:val="000000"/>
                <w:sz w:val="18"/>
                <w:szCs w:val="18"/>
              </w:rPr>
              <w:t>(12)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A93C03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41D96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63DC23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A51BA75" w14:textId="77777777" w:rsidR="00000000" w:rsidRDefault="00A173A8">
            <w:pPr>
              <w:spacing w:after="100"/>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C6B16F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CA9F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4F1575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9AFE8E4" w14:textId="77777777" w:rsidR="00000000" w:rsidRDefault="00A173A8">
            <w:pPr>
              <w:spacing w:after="100"/>
              <w:jc w:val="right"/>
              <w:rPr>
                <w:rFonts w:eastAsia="Times New Roman"/>
              </w:rPr>
            </w:pPr>
            <w:r>
              <w:rPr>
                <w:rFonts w:eastAsia="Times New Roman"/>
                <w:color w:val="000000"/>
                <w:sz w:val="18"/>
                <w:szCs w:val="18"/>
              </w:rPr>
              <w:t>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C862F38" w14:textId="77777777" w:rsidR="00000000" w:rsidRDefault="00A173A8">
            <w:pPr>
              <w:spacing w:after="100"/>
              <w:jc w:val="right"/>
              <w:rPr>
                <w:rFonts w:eastAsia="Times New Roman"/>
              </w:rPr>
            </w:pPr>
          </w:p>
        </w:tc>
        <w:tc>
          <w:tcPr>
            <w:tcW w:w="0" w:type="auto"/>
            <w:vAlign w:val="center"/>
            <w:hideMark/>
          </w:tcPr>
          <w:p w14:paraId="22CE609F" w14:textId="77777777" w:rsidR="00000000" w:rsidRDefault="00A173A8">
            <w:pPr>
              <w:spacing w:after="100"/>
              <w:jc w:val="right"/>
              <w:rPr>
                <w:rFonts w:eastAsia="Times New Roman"/>
                <w:sz w:val="20"/>
                <w:szCs w:val="20"/>
              </w:rPr>
            </w:pPr>
          </w:p>
        </w:tc>
        <w:tc>
          <w:tcPr>
            <w:tcW w:w="0" w:type="auto"/>
            <w:vAlign w:val="center"/>
            <w:hideMark/>
          </w:tcPr>
          <w:p w14:paraId="625D6F1A"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5D1274C" w14:textId="77777777">
        <w:trPr>
          <w:jc w:val="center"/>
        </w:trPr>
        <w:tc>
          <w:tcPr>
            <w:tcW w:w="50" w:type="pct"/>
            <w:vAlign w:val="center"/>
            <w:hideMark/>
          </w:tcPr>
          <w:p w14:paraId="78C71349" w14:textId="77777777" w:rsidR="00000000" w:rsidRDefault="00A173A8">
            <w:pPr>
              <w:rPr>
                <w:rFonts w:eastAsia="Times New Roman"/>
              </w:rPr>
            </w:pPr>
          </w:p>
        </w:tc>
        <w:tc>
          <w:tcPr>
            <w:tcW w:w="1606" w:type="pct"/>
            <w:vAlign w:val="center"/>
            <w:hideMark/>
          </w:tcPr>
          <w:p w14:paraId="083BCD16" w14:textId="77777777" w:rsidR="00000000" w:rsidRDefault="00A173A8">
            <w:pPr>
              <w:spacing w:after="100"/>
              <w:rPr>
                <w:rFonts w:eastAsia="Times New Roman"/>
                <w:sz w:val="20"/>
                <w:szCs w:val="20"/>
              </w:rPr>
            </w:pPr>
          </w:p>
        </w:tc>
        <w:tc>
          <w:tcPr>
            <w:tcW w:w="5" w:type="pct"/>
            <w:vAlign w:val="center"/>
            <w:hideMark/>
          </w:tcPr>
          <w:p w14:paraId="79377851" w14:textId="77777777" w:rsidR="00000000" w:rsidRDefault="00A173A8">
            <w:pPr>
              <w:spacing w:after="100"/>
              <w:rPr>
                <w:rFonts w:eastAsia="Times New Roman"/>
                <w:sz w:val="20"/>
                <w:szCs w:val="20"/>
              </w:rPr>
            </w:pPr>
          </w:p>
        </w:tc>
        <w:tc>
          <w:tcPr>
            <w:tcW w:w="50" w:type="pct"/>
            <w:vAlign w:val="center"/>
            <w:hideMark/>
          </w:tcPr>
          <w:p w14:paraId="600FA586" w14:textId="77777777" w:rsidR="00000000" w:rsidRDefault="00A173A8">
            <w:pPr>
              <w:spacing w:after="100"/>
              <w:rPr>
                <w:rFonts w:eastAsia="Times New Roman"/>
                <w:sz w:val="20"/>
                <w:szCs w:val="20"/>
              </w:rPr>
            </w:pPr>
          </w:p>
        </w:tc>
        <w:tc>
          <w:tcPr>
            <w:tcW w:w="1614" w:type="pct"/>
            <w:vAlign w:val="center"/>
            <w:hideMark/>
          </w:tcPr>
          <w:p w14:paraId="534DE74F" w14:textId="77777777" w:rsidR="00000000" w:rsidRDefault="00A173A8">
            <w:pPr>
              <w:spacing w:after="100"/>
              <w:rPr>
                <w:rFonts w:eastAsia="Times New Roman"/>
                <w:sz w:val="20"/>
                <w:szCs w:val="20"/>
              </w:rPr>
            </w:pPr>
          </w:p>
        </w:tc>
        <w:tc>
          <w:tcPr>
            <w:tcW w:w="5" w:type="pct"/>
            <w:vAlign w:val="center"/>
            <w:hideMark/>
          </w:tcPr>
          <w:p w14:paraId="6EAFB589" w14:textId="77777777" w:rsidR="00000000" w:rsidRDefault="00A173A8">
            <w:pPr>
              <w:spacing w:after="100"/>
              <w:rPr>
                <w:rFonts w:eastAsia="Times New Roman"/>
                <w:sz w:val="20"/>
                <w:szCs w:val="20"/>
              </w:rPr>
            </w:pPr>
          </w:p>
        </w:tc>
        <w:tc>
          <w:tcPr>
            <w:tcW w:w="50" w:type="pct"/>
            <w:vAlign w:val="center"/>
            <w:hideMark/>
          </w:tcPr>
          <w:p w14:paraId="65D441ED" w14:textId="77777777" w:rsidR="00000000" w:rsidRDefault="00A173A8">
            <w:pPr>
              <w:spacing w:after="100"/>
              <w:rPr>
                <w:rFonts w:eastAsia="Times New Roman"/>
                <w:sz w:val="20"/>
                <w:szCs w:val="20"/>
              </w:rPr>
            </w:pPr>
          </w:p>
        </w:tc>
        <w:tc>
          <w:tcPr>
            <w:tcW w:w="1614" w:type="pct"/>
            <w:vAlign w:val="center"/>
            <w:hideMark/>
          </w:tcPr>
          <w:p w14:paraId="1AF2165D" w14:textId="77777777" w:rsidR="00000000" w:rsidRDefault="00A173A8">
            <w:pPr>
              <w:spacing w:after="100"/>
              <w:rPr>
                <w:rFonts w:eastAsia="Times New Roman"/>
                <w:sz w:val="20"/>
                <w:szCs w:val="20"/>
              </w:rPr>
            </w:pPr>
          </w:p>
        </w:tc>
        <w:tc>
          <w:tcPr>
            <w:tcW w:w="5" w:type="pct"/>
            <w:vAlign w:val="center"/>
            <w:hideMark/>
          </w:tcPr>
          <w:p w14:paraId="5450AB86" w14:textId="77777777" w:rsidR="00000000" w:rsidRDefault="00A173A8">
            <w:pPr>
              <w:spacing w:after="100"/>
              <w:rPr>
                <w:rFonts w:eastAsia="Times New Roman"/>
                <w:sz w:val="20"/>
                <w:szCs w:val="20"/>
              </w:rPr>
            </w:pPr>
          </w:p>
        </w:tc>
      </w:tr>
      <w:tr w:rsidR="00000000" w14:paraId="4BCCA5B0" w14:textId="77777777">
        <w:trPr>
          <w:trHeight w:val="300"/>
          <w:jc w:val="center"/>
        </w:trPr>
        <w:tc>
          <w:tcPr>
            <w:tcW w:w="0" w:type="auto"/>
            <w:gridSpan w:val="9"/>
            <w:tcMar>
              <w:top w:w="0" w:type="dxa"/>
              <w:left w:w="20" w:type="dxa"/>
              <w:bottom w:w="0" w:type="dxa"/>
              <w:right w:w="20" w:type="dxa"/>
            </w:tcMar>
            <w:vAlign w:val="center"/>
            <w:hideMark/>
          </w:tcPr>
          <w:p w14:paraId="33DD4C80" w14:textId="77777777" w:rsidR="00000000" w:rsidRDefault="00A173A8">
            <w:pPr>
              <w:spacing w:after="100"/>
              <w:rPr>
                <w:rFonts w:eastAsia="Times New Roman"/>
                <w:sz w:val="20"/>
                <w:szCs w:val="20"/>
              </w:rPr>
            </w:pPr>
          </w:p>
        </w:tc>
      </w:tr>
      <w:tr w:rsidR="00000000" w14:paraId="2E349F85" w14:textId="77777777">
        <w:trPr>
          <w:jc w:val="center"/>
        </w:trPr>
        <w:tc>
          <w:tcPr>
            <w:tcW w:w="0" w:type="auto"/>
            <w:gridSpan w:val="3"/>
            <w:tcMar>
              <w:top w:w="0" w:type="dxa"/>
              <w:left w:w="20" w:type="dxa"/>
              <w:bottom w:w="0" w:type="dxa"/>
              <w:right w:w="20" w:type="dxa"/>
            </w:tcMar>
            <w:vAlign w:val="center"/>
            <w:hideMark/>
          </w:tcPr>
          <w:p w14:paraId="04FD2CF4"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FB24236" w14:textId="77777777" w:rsidR="00000000" w:rsidRDefault="00A173A8">
            <w:pPr>
              <w:spacing w:after="100"/>
              <w:jc w:val="center"/>
              <w:rPr>
                <w:rFonts w:eastAsia="Times New Roman"/>
              </w:rPr>
            </w:pPr>
            <w:r>
              <w:rPr>
                <w:rFonts w:eastAsia="Times New Roman"/>
                <w:color w:val="000000"/>
                <w:sz w:val="16"/>
                <w:szCs w:val="16"/>
              </w:rPr>
              <w:t>101</w:t>
            </w:r>
          </w:p>
        </w:tc>
        <w:tc>
          <w:tcPr>
            <w:tcW w:w="0" w:type="auto"/>
            <w:gridSpan w:val="3"/>
            <w:tcMar>
              <w:top w:w="30" w:type="dxa"/>
              <w:left w:w="20" w:type="dxa"/>
              <w:bottom w:w="30" w:type="dxa"/>
              <w:right w:w="20" w:type="dxa"/>
            </w:tcMar>
            <w:vAlign w:val="bottom"/>
            <w:hideMark/>
          </w:tcPr>
          <w:p w14:paraId="74A30CF2"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3D871AE" w14:textId="77777777" w:rsidR="00000000" w:rsidRDefault="00A173A8">
      <w:pPr>
        <w:rPr>
          <w:rFonts w:eastAsia="Times New Roman"/>
        </w:rPr>
      </w:pPr>
      <w:r>
        <w:rPr>
          <w:rFonts w:eastAsia="Times New Roman"/>
        </w:rPr>
        <w:pict w14:anchorId="6FBEECBE">
          <v:rect id="_x0000_i1126" style="width:0;height:1.5pt" o:hralign="center" o:hrstd="t" o:hr="t" fillcolor="#a0a0a0" stroked="f"/>
        </w:pict>
      </w:r>
    </w:p>
    <w:p w14:paraId="118DFB2D" w14:textId="77777777" w:rsidR="00000000" w:rsidRDefault="00A173A8">
      <w:pPr>
        <w:jc w:val="both"/>
        <w:divId w:val="1701465439"/>
        <w:rPr>
          <w:rFonts w:eastAsia="Times New Roman"/>
        </w:rPr>
      </w:pPr>
      <w:hyperlink w:anchor="i7ffd5d61af6f4722b1b1b07530d51c06_13" w:history="1">
        <w:r>
          <w:rPr>
            <w:rStyle w:val="a3"/>
            <w:rFonts w:eastAsia="Times New Roman"/>
            <w:sz w:val="16"/>
            <w:szCs w:val="16"/>
          </w:rPr>
          <w:t>Table of Contents</w:t>
        </w:r>
      </w:hyperlink>
    </w:p>
    <w:p w14:paraId="0EE9B475" w14:textId="77777777" w:rsidR="00000000" w:rsidRDefault="00A173A8">
      <w:pPr>
        <w:jc w:val="both"/>
        <w:divId w:val="130994009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6141EAC9" w14:textId="77777777">
        <w:trPr>
          <w:divId w:val="1943222679"/>
        </w:trPr>
        <w:tc>
          <w:tcPr>
            <w:tcW w:w="50" w:type="pct"/>
            <w:vAlign w:val="center"/>
            <w:hideMark/>
          </w:tcPr>
          <w:p w14:paraId="36BCAE71" w14:textId="77777777" w:rsidR="00000000" w:rsidRDefault="00A173A8">
            <w:pPr>
              <w:jc w:val="both"/>
              <w:rPr>
                <w:rFonts w:eastAsia="Times New Roman"/>
              </w:rPr>
            </w:pPr>
          </w:p>
        </w:tc>
        <w:tc>
          <w:tcPr>
            <w:tcW w:w="4945" w:type="pct"/>
            <w:vAlign w:val="center"/>
            <w:hideMark/>
          </w:tcPr>
          <w:p w14:paraId="7F7CF8E4" w14:textId="77777777" w:rsidR="00000000" w:rsidRDefault="00A173A8">
            <w:pPr>
              <w:spacing w:after="100"/>
              <w:rPr>
                <w:rFonts w:eastAsia="Times New Roman"/>
                <w:sz w:val="20"/>
                <w:szCs w:val="20"/>
              </w:rPr>
            </w:pPr>
          </w:p>
        </w:tc>
        <w:tc>
          <w:tcPr>
            <w:tcW w:w="5" w:type="pct"/>
            <w:vAlign w:val="center"/>
            <w:hideMark/>
          </w:tcPr>
          <w:p w14:paraId="78654CD8" w14:textId="77777777" w:rsidR="00000000" w:rsidRDefault="00A173A8">
            <w:pPr>
              <w:spacing w:after="100"/>
              <w:rPr>
                <w:rFonts w:eastAsia="Times New Roman"/>
                <w:sz w:val="20"/>
                <w:szCs w:val="20"/>
              </w:rPr>
            </w:pPr>
          </w:p>
        </w:tc>
      </w:tr>
      <w:tr w:rsidR="00000000" w14:paraId="78BA88F8" w14:textId="77777777">
        <w:trPr>
          <w:divId w:val="194322267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38D905A6" w14:textId="77777777" w:rsidR="00000000" w:rsidRDefault="00A173A8">
            <w:pPr>
              <w:spacing w:after="100"/>
              <w:rPr>
                <w:rFonts w:eastAsia="Times New Roman"/>
              </w:rPr>
            </w:pPr>
            <w:r>
              <w:rPr>
                <w:rFonts w:eastAsia="Times New Roman"/>
                <w:b/>
                <w:bCs/>
                <w:color w:val="000000"/>
                <w:sz w:val="20"/>
                <w:szCs w:val="20"/>
              </w:rPr>
              <w:t>NOTE 9—STOCKHOLDERS’ EQUITY</w:t>
            </w:r>
          </w:p>
        </w:tc>
      </w:tr>
    </w:tbl>
    <w:p w14:paraId="27257FDE" w14:textId="77777777" w:rsidR="00000000" w:rsidRDefault="00A173A8">
      <w:pPr>
        <w:divId w:val="1709720242"/>
        <w:rPr>
          <w:rFonts w:eastAsia="Times New Roman"/>
        </w:rPr>
      </w:pPr>
      <w:r>
        <w:rPr>
          <w:rFonts w:eastAsia="Times New Roman"/>
          <w:b/>
          <w:bCs/>
          <w:color w:val="000000"/>
          <w:sz w:val="20"/>
          <w:szCs w:val="20"/>
        </w:rPr>
        <w:t>Preferred Stock</w:t>
      </w:r>
    </w:p>
    <w:p w14:paraId="64A71F2B" w14:textId="77777777" w:rsidR="00000000" w:rsidRDefault="00A173A8">
      <w:pPr>
        <w:jc w:val="both"/>
        <w:divId w:val="941425090"/>
        <w:rPr>
          <w:rFonts w:eastAsia="Times New Roman"/>
        </w:rPr>
      </w:pPr>
      <w:r>
        <w:rPr>
          <w:rFonts w:eastAsia="Times New Roman"/>
          <w:color w:val="000000"/>
          <w:sz w:val="20"/>
          <w:szCs w:val="20"/>
        </w:rPr>
        <w:t>The following table summarizes our preferred stock outstanding as of June 30, 2022 and December 31, 2021.</w:t>
      </w:r>
    </w:p>
    <w:p w14:paraId="7A63A54F" w14:textId="77777777" w:rsidR="00000000" w:rsidRDefault="00A173A8">
      <w:pPr>
        <w:divId w:val="1952131664"/>
        <w:rPr>
          <w:rFonts w:eastAsia="Times New Roman"/>
        </w:rPr>
      </w:pPr>
      <w:r>
        <w:rPr>
          <w:rFonts w:eastAsia="Times New Roman"/>
          <w:b/>
          <w:bCs/>
          <w:color w:val="000000"/>
          <w:sz w:val="18"/>
          <w:szCs w:val="18"/>
        </w:rPr>
        <w:t>Table 9.1: Preferred Stock Outstandin</w:t>
      </w:r>
      <w:r>
        <w:rPr>
          <w:rFonts w:eastAsia="Times New Roman"/>
          <w:b/>
          <w:bCs/>
          <w:color w:val="000000"/>
          <w:sz w:val="18"/>
          <w:szCs w:val="18"/>
        </w:rPr>
        <w:t>g</w:t>
      </w:r>
      <w:r>
        <w:rPr>
          <w:rFonts w:eastAsia="Times New Roman"/>
          <w:b/>
          <w:bCs/>
          <w:color w:val="000000"/>
          <w:sz w:val="12"/>
          <w:szCs w:val="12"/>
        </w:rPr>
        <w:t>(1</w:t>
      </w:r>
      <w:r>
        <w:rPr>
          <w:rFonts w:eastAsia="Times New Roman"/>
          <w:b/>
          <w:bCs/>
          <w:color w:val="000000"/>
          <w:sz w:val="12"/>
          <w:szCs w:val="12"/>
        </w:rPr>
        <w:t>)</w:t>
      </w:r>
    </w:p>
    <w:tbl>
      <w:tblPr>
        <w:tblW w:w="4970" w:type="pct"/>
        <w:tblCellMar>
          <w:top w:w="15" w:type="dxa"/>
          <w:left w:w="15" w:type="dxa"/>
          <w:bottom w:w="15" w:type="dxa"/>
          <w:right w:w="15" w:type="dxa"/>
        </w:tblCellMar>
        <w:tblLook w:val="04A0" w:firstRow="1" w:lastRow="0" w:firstColumn="1" w:lastColumn="0" w:noHBand="0" w:noVBand="1"/>
      </w:tblPr>
      <w:tblGrid>
        <w:gridCol w:w="56"/>
        <w:gridCol w:w="447"/>
        <w:gridCol w:w="36"/>
        <w:gridCol w:w="36"/>
        <w:gridCol w:w="36"/>
        <w:gridCol w:w="36"/>
        <w:gridCol w:w="80"/>
        <w:gridCol w:w="700"/>
        <w:gridCol w:w="36"/>
        <w:gridCol w:w="36"/>
        <w:gridCol w:w="36"/>
        <w:gridCol w:w="36"/>
        <w:gridCol w:w="79"/>
        <w:gridCol w:w="639"/>
        <w:gridCol w:w="37"/>
        <w:gridCol w:w="36"/>
        <w:gridCol w:w="36"/>
        <w:gridCol w:w="36"/>
        <w:gridCol w:w="83"/>
        <w:gridCol w:w="680"/>
        <w:gridCol w:w="36"/>
        <w:gridCol w:w="36"/>
        <w:gridCol w:w="36"/>
        <w:gridCol w:w="36"/>
        <w:gridCol w:w="71"/>
        <w:gridCol w:w="710"/>
        <w:gridCol w:w="37"/>
        <w:gridCol w:w="36"/>
        <w:gridCol w:w="36"/>
        <w:gridCol w:w="36"/>
        <w:gridCol w:w="79"/>
        <w:gridCol w:w="592"/>
        <w:gridCol w:w="36"/>
        <w:gridCol w:w="36"/>
        <w:gridCol w:w="36"/>
        <w:gridCol w:w="36"/>
        <w:gridCol w:w="101"/>
        <w:gridCol w:w="654"/>
        <w:gridCol w:w="36"/>
        <w:gridCol w:w="36"/>
        <w:gridCol w:w="36"/>
        <w:gridCol w:w="36"/>
        <w:gridCol w:w="83"/>
        <w:gridCol w:w="696"/>
        <w:gridCol w:w="36"/>
        <w:gridCol w:w="36"/>
        <w:gridCol w:w="36"/>
        <w:gridCol w:w="36"/>
        <w:gridCol w:w="100"/>
        <w:gridCol w:w="400"/>
        <w:gridCol w:w="36"/>
        <w:gridCol w:w="36"/>
        <w:gridCol w:w="36"/>
        <w:gridCol w:w="36"/>
        <w:gridCol w:w="101"/>
        <w:gridCol w:w="571"/>
        <w:gridCol w:w="36"/>
      </w:tblGrid>
      <w:tr w:rsidR="00000000" w14:paraId="23001AB7" w14:textId="77777777">
        <w:trPr>
          <w:divId w:val="892621673"/>
        </w:trPr>
        <w:tc>
          <w:tcPr>
            <w:tcW w:w="50" w:type="pct"/>
            <w:vAlign w:val="center"/>
            <w:hideMark/>
          </w:tcPr>
          <w:p w14:paraId="5BC9CF18" w14:textId="77777777" w:rsidR="00000000" w:rsidRDefault="00A173A8">
            <w:pPr>
              <w:rPr>
                <w:rFonts w:eastAsia="Times New Roman"/>
              </w:rPr>
            </w:pPr>
          </w:p>
        </w:tc>
        <w:tc>
          <w:tcPr>
            <w:tcW w:w="349" w:type="pct"/>
            <w:vAlign w:val="center"/>
            <w:hideMark/>
          </w:tcPr>
          <w:p w14:paraId="681AAE3F" w14:textId="77777777" w:rsidR="00000000" w:rsidRDefault="00A173A8">
            <w:pPr>
              <w:spacing w:after="100"/>
              <w:rPr>
                <w:rFonts w:eastAsia="Times New Roman"/>
                <w:sz w:val="20"/>
                <w:szCs w:val="20"/>
              </w:rPr>
            </w:pPr>
          </w:p>
        </w:tc>
        <w:tc>
          <w:tcPr>
            <w:tcW w:w="5" w:type="pct"/>
            <w:vAlign w:val="center"/>
            <w:hideMark/>
          </w:tcPr>
          <w:p w14:paraId="629BA19E" w14:textId="77777777" w:rsidR="00000000" w:rsidRDefault="00A173A8">
            <w:pPr>
              <w:spacing w:after="100"/>
              <w:rPr>
                <w:rFonts w:eastAsia="Times New Roman"/>
                <w:sz w:val="20"/>
                <w:szCs w:val="20"/>
              </w:rPr>
            </w:pPr>
          </w:p>
        </w:tc>
        <w:tc>
          <w:tcPr>
            <w:tcW w:w="5" w:type="pct"/>
            <w:vAlign w:val="center"/>
            <w:hideMark/>
          </w:tcPr>
          <w:p w14:paraId="07941879" w14:textId="77777777" w:rsidR="00000000" w:rsidRDefault="00A173A8">
            <w:pPr>
              <w:spacing w:after="100"/>
              <w:rPr>
                <w:rFonts w:eastAsia="Times New Roman"/>
                <w:sz w:val="20"/>
                <w:szCs w:val="20"/>
              </w:rPr>
            </w:pPr>
          </w:p>
        </w:tc>
        <w:tc>
          <w:tcPr>
            <w:tcW w:w="26" w:type="pct"/>
            <w:vAlign w:val="center"/>
            <w:hideMark/>
          </w:tcPr>
          <w:p w14:paraId="577B86EA" w14:textId="77777777" w:rsidR="00000000" w:rsidRDefault="00A173A8">
            <w:pPr>
              <w:spacing w:after="100"/>
              <w:rPr>
                <w:rFonts w:eastAsia="Times New Roman"/>
                <w:sz w:val="20"/>
                <w:szCs w:val="20"/>
              </w:rPr>
            </w:pPr>
          </w:p>
        </w:tc>
        <w:tc>
          <w:tcPr>
            <w:tcW w:w="5" w:type="pct"/>
            <w:vAlign w:val="center"/>
            <w:hideMark/>
          </w:tcPr>
          <w:p w14:paraId="38F39840" w14:textId="77777777" w:rsidR="00000000" w:rsidRDefault="00A173A8">
            <w:pPr>
              <w:spacing w:after="100"/>
              <w:rPr>
                <w:rFonts w:eastAsia="Times New Roman"/>
                <w:sz w:val="20"/>
                <w:szCs w:val="20"/>
              </w:rPr>
            </w:pPr>
          </w:p>
        </w:tc>
        <w:tc>
          <w:tcPr>
            <w:tcW w:w="50" w:type="pct"/>
            <w:vAlign w:val="center"/>
            <w:hideMark/>
          </w:tcPr>
          <w:p w14:paraId="74248F89" w14:textId="77777777" w:rsidR="00000000" w:rsidRDefault="00A173A8">
            <w:pPr>
              <w:spacing w:after="100"/>
              <w:rPr>
                <w:rFonts w:eastAsia="Times New Roman"/>
                <w:sz w:val="20"/>
                <w:szCs w:val="20"/>
              </w:rPr>
            </w:pPr>
          </w:p>
        </w:tc>
        <w:tc>
          <w:tcPr>
            <w:tcW w:w="437" w:type="pct"/>
            <w:vAlign w:val="center"/>
            <w:hideMark/>
          </w:tcPr>
          <w:p w14:paraId="39A37521" w14:textId="77777777" w:rsidR="00000000" w:rsidRDefault="00A173A8">
            <w:pPr>
              <w:spacing w:after="100"/>
              <w:rPr>
                <w:rFonts w:eastAsia="Times New Roman"/>
                <w:sz w:val="20"/>
                <w:szCs w:val="20"/>
              </w:rPr>
            </w:pPr>
          </w:p>
        </w:tc>
        <w:tc>
          <w:tcPr>
            <w:tcW w:w="5" w:type="pct"/>
            <w:vAlign w:val="center"/>
            <w:hideMark/>
          </w:tcPr>
          <w:p w14:paraId="4ED13E4A" w14:textId="77777777" w:rsidR="00000000" w:rsidRDefault="00A173A8">
            <w:pPr>
              <w:spacing w:after="100"/>
              <w:rPr>
                <w:rFonts w:eastAsia="Times New Roman"/>
                <w:sz w:val="20"/>
                <w:szCs w:val="20"/>
              </w:rPr>
            </w:pPr>
          </w:p>
        </w:tc>
        <w:tc>
          <w:tcPr>
            <w:tcW w:w="5" w:type="pct"/>
            <w:vAlign w:val="center"/>
            <w:hideMark/>
          </w:tcPr>
          <w:p w14:paraId="4C4F8BC7" w14:textId="77777777" w:rsidR="00000000" w:rsidRDefault="00A173A8">
            <w:pPr>
              <w:spacing w:after="100"/>
              <w:rPr>
                <w:rFonts w:eastAsia="Times New Roman"/>
                <w:sz w:val="20"/>
                <w:szCs w:val="20"/>
              </w:rPr>
            </w:pPr>
          </w:p>
        </w:tc>
        <w:tc>
          <w:tcPr>
            <w:tcW w:w="26" w:type="pct"/>
            <w:vAlign w:val="center"/>
            <w:hideMark/>
          </w:tcPr>
          <w:p w14:paraId="22B2248A" w14:textId="77777777" w:rsidR="00000000" w:rsidRDefault="00A173A8">
            <w:pPr>
              <w:spacing w:after="100"/>
              <w:rPr>
                <w:rFonts w:eastAsia="Times New Roman"/>
                <w:sz w:val="20"/>
                <w:szCs w:val="20"/>
              </w:rPr>
            </w:pPr>
          </w:p>
        </w:tc>
        <w:tc>
          <w:tcPr>
            <w:tcW w:w="5" w:type="pct"/>
            <w:vAlign w:val="center"/>
            <w:hideMark/>
          </w:tcPr>
          <w:p w14:paraId="27309468" w14:textId="77777777" w:rsidR="00000000" w:rsidRDefault="00A173A8">
            <w:pPr>
              <w:spacing w:after="100"/>
              <w:rPr>
                <w:rFonts w:eastAsia="Times New Roman"/>
                <w:sz w:val="20"/>
                <w:szCs w:val="20"/>
              </w:rPr>
            </w:pPr>
          </w:p>
        </w:tc>
        <w:tc>
          <w:tcPr>
            <w:tcW w:w="50" w:type="pct"/>
            <w:vAlign w:val="center"/>
            <w:hideMark/>
          </w:tcPr>
          <w:p w14:paraId="0DBA1E32" w14:textId="77777777" w:rsidR="00000000" w:rsidRDefault="00A173A8">
            <w:pPr>
              <w:spacing w:after="100"/>
              <w:rPr>
                <w:rFonts w:eastAsia="Times New Roman"/>
                <w:sz w:val="20"/>
                <w:szCs w:val="20"/>
              </w:rPr>
            </w:pPr>
          </w:p>
        </w:tc>
        <w:tc>
          <w:tcPr>
            <w:tcW w:w="408" w:type="pct"/>
            <w:vAlign w:val="center"/>
            <w:hideMark/>
          </w:tcPr>
          <w:p w14:paraId="3825116C" w14:textId="77777777" w:rsidR="00000000" w:rsidRDefault="00A173A8">
            <w:pPr>
              <w:spacing w:after="100"/>
              <w:rPr>
                <w:rFonts w:eastAsia="Times New Roman"/>
                <w:sz w:val="20"/>
                <w:szCs w:val="20"/>
              </w:rPr>
            </w:pPr>
          </w:p>
        </w:tc>
        <w:tc>
          <w:tcPr>
            <w:tcW w:w="5" w:type="pct"/>
            <w:vAlign w:val="center"/>
            <w:hideMark/>
          </w:tcPr>
          <w:p w14:paraId="011A2AFD" w14:textId="77777777" w:rsidR="00000000" w:rsidRDefault="00A173A8">
            <w:pPr>
              <w:spacing w:after="100"/>
              <w:rPr>
                <w:rFonts w:eastAsia="Times New Roman"/>
                <w:sz w:val="20"/>
                <w:szCs w:val="20"/>
              </w:rPr>
            </w:pPr>
          </w:p>
        </w:tc>
        <w:tc>
          <w:tcPr>
            <w:tcW w:w="5" w:type="pct"/>
            <w:vAlign w:val="center"/>
            <w:hideMark/>
          </w:tcPr>
          <w:p w14:paraId="63EFDBB6" w14:textId="77777777" w:rsidR="00000000" w:rsidRDefault="00A173A8">
            <w:pPr>
              <w:spacing w:after="100"/>
              <w:rPr>
                <w:rFonts w:eastAsia="Times New Roman"/>
                <w:sz w:val="20"/>
                <w:szCs w:val="20"/>
              </w:rPr>
            </w:pPr>
          </w:p>
        </w:tc>
        <w:tc>
          <w:tcPr>
            <w:tcW w:w="26" w:type="pct"/>
            <w:vAlign w:val="center"/>
            <w:hideMark/>
          </w:tcPr>
          <w:p w14:paraId="03CCD0FB" w14:textId="77777777" w:rsidR="00000000" w:rsidRDefault="00A173A8">
            <w:pPr>
              <w:spacing w:after="100"/>
              <w:rPr>
                <w:rFonts w:eastAsia="Times New Roman"/>
                <w:sz w:val="20"/>
                <w:szCs w:val="20"/>
              </w:rPr>
            </w:pPr>
          </w:p>
        </w:tc>
        <w:tc>
          <w:tcPr>
            <w:tcW w:w="5" w:type="pct"/>
            <w:vAlign w:val="center"/>
            <w:hideMark/>
          </w:tcPr>
          <w:p w14:paraId="6379CF6D" w14:textId="77777777" w:rsidR="00000000" w:rsidRDefault="00A173A8">
            <w:pPr>
              <w:spacing w:after="100"/>
              <w:rPr>
                <w:rFonts w:eastAsia="Times New Roman"/>
                <w:sz w:val="20"/>
                <w:szCs w:val="20"/>
              </w:rPr>
            </w:pPr>
          </w:p>
        </w:tc>
        <w:tc>
          <w:tcPr>
            <w:tcW w:w="50" w:type="pct"/>
            <w:vAlign w:val="center"/>
            <w:hideMark/>
          </w:tcPr>
          <w:p w14:paraId="531762CF" w14:textId="77777777" w:rsidR="00000000" w:rsidRDefault="00A173A8">
            <w:pPr>
              <w:spacing w:after="100"/>
              <w:rPr>
                <w:rFonts w:eastAsia="Times New Roman"/>
                <w:sz w:val="20"/>
                <w:szCs w:val="20"/>
              </w:rPr>
            </w:pPr>
          </w:p>
        </w:tc>
        <w:tc>
          <w:tcPr>
            <w:tcW w:w="415" w:type="pct"/>
            <w:vAlign w:val="center"/>
            <w:hideMark/>
          </w:tcPr>
          <w:p w14:paraId="433693B6" w14:textId="77777777" w:rsidR="00000000" w:rsidRDefault="00A173A8">
            <w:pPr>
              <w:spacing w:after="100"/>
              <w:rPr>
                <w:rFonts w:eastAsia="Times New Roman"/>
                <w:sz w:val="20"/>
                <w:szCs w:val="20"/>
              </w:rPr>
            </w:pPr>
          </w:p>
        </w:tc>
        <w:tc>
          <w:tcPr>
            <w:tcW w:w="5" w:type="pct"/>
            <w:vAlign w:val="center"/>
            <w:hideMark/>
          </w:tcPr>
          <w:p w14:paraId="1FCD9844" w14:textId="77777777" w:rsidR="00000000" w:rsidRDefault="00A173A8">
            <w:pPr>
              <w:spacing w:after="100"/>
              <w:rPr>
                <w:rFonts w:eastAsia="Times New Roman"/>
                <w:sz w:val="20"/>
                <w:szCs w:val="20"/>
              </w:rPr>
            </w:pPr>
          </w:p>
        </w:tc>
        <w:tc>
          <w:tcPr>
            <w:tcW w:w="5" w:type="pct"/>
            <w:vAlign w:val="center"/>
            <w:hideMark/>
          </w:tcPr>
          <w:p w14:paraId="2D5738CE" w14:textId="77777777" w:rsidR="00000000" w:rsidRDefault="00A173A8">
            <w:pPr>
              <w:spacing w:after="100"/>
              <w:rPr>
                <w:rFonts w:eastAsia="Times New Roman"/>
                <w:sz w:val="20"/>
                <w:szCs w:val="20"/>
              </w:rPr>
            </w:pPr>
          </w:p>
        </w:tc>
        <w:tc>
          <w:tcPr>
            <w:tcW w:w="26" w:type="pct"/>
            <w:vAlign w:val="center"/>
            <w:hideMark/>
          </w:tcPr>
          <w:p w14:paraId="062AF0FC" w14:textId="77777777" w:rsidR="00000000" w:rsidRDefault="00A173A8">
            <w:pPr>
              <w:spacing w:after="100"/>
              <w:rPr>
                <w:rFonts w:eastAsia="Times New Roman"/>
                <w:sz w:val="20"/>
                <w:szCs w:val="20"/>
              </w:rPr>
            </w:pPr>
          </w:p>
        </w:tc>
        <w:tc>
          <w:tcPr>
            <w:tcW w:w="5" w:type="pct"/>
            <w:vAlign w:val="center"/>
            <w:hideMark/>
          </w:tcPr>
          <w:p w14:paraId="386BA53A" w14:textId="77777777" w:rsidR="00000000" w:rsidRDefault="00A173A8">
            <w:pPr>
              <w:spacing w:after="100"/>
              <w:rPr>
                <w:rFonts w:eastAsia="Times New Roman"/>
                <w:sz w:val="20"/>
                <w:szCs w:val="20"/>
              </w:rPr>
            </w:pPr>
          </w:p>
        </w:tc>
        <w:tc>
          <w:tcPr>
            <w:tcW w:w="50" w:type="pct"/>
            <w:vAlign w:val="center"/>
            <w:hideMark/>
          </w:tcPr>
          <w:p w14:paraId="14AE65F5" w14:textId="77777777" w:rsidR="00000000" w:rsidRDefault="00A173A8">
            <w:pPr>
              <w:spacing w:after="100"/>
              <w:rPr>
                <w:rFonts w:eastAsia="Times New Roman"/>
                <w:sz w:val="20"/>
                <w:szCs w:val="20"/>
              </w:rPr>
            </w:pPr>
          </w:p>
        </w:tc>
        <w:tc>
          <w:tcPr>
            <w:tcW w:w="503" w:type="pct"/>
            <w:vAlign w:val="center"/>
            <w:hideMark/>
          </w:tcPr>
          <w:p w14:paraId="018A3137" w14:textId="77777777" w:rsidR="00000000" w:rsidRDefault="00A173A8">
            <w:pPr>
              <w:spacing w:after="100"/>
              <w:rPr>
                <w:rFonts w:eastAsia="Times New Roman"/>
                <w:sz w:val="20"/>
                <w:szCs w:val="20"/>
              </w:rPr>
            </w:pPr>
          </w:p>
        </w:tc>
        <w:tc>
          <w:tcPr>
            <w:tcW w:w="5" w:type="pct"/>
            <w:vAlign w:val="center"/>
            <w:hideMark/>
          </w:tcPr>
          <w:p w14:paraId="2D8EA9DA" w14:textId="77777777" w:rsidR="00000000" w:rsidRDefault="00A173A8">
            <w:pPr>
              <w:spacing w:after="100"/>
              <w:rPr>
                <w:rFonts w:eastAsia="Times New Roman"/>
                <w:sz w:val="20"/>
                <w:szCs w:val="20"/>
              </w:rPr>
            </w:pPr>
          </w:p>
        </w:tc>
        <w:tc>
          <w:tcPr>
            <w:tcW w:w="5" w:type="pct"/>
            <w:vAlign w:val="center"/>
            <w:hideMark/>
          </w:tcPr>
          <w:p w14:paraId="5516E3BE" w14:textId="77777777" w:rsidR="00000000" w:rsidRDefault="00A173A8">
            <w:pPr>
              <w:spacing w:after="100"/>
              <w:rPr>
                <w:rFonts w:eastAsia="Times New Roman"/>
                <w:sz w:val="20"/>
                <w:szCs w:val="20"/>
              </w:rPr>
            </w:pPr>
          </w:p>
        </w:tc>
        <w:tc>
          <w:tcPr>
            <w:tcW w:w="19" w:type="pct"/>
            <w:vAlign w:val="center"/>
            <w:hideMark/>
          </w:tcPr>
          <w:p w14:paraId="6A2BC34E" w14:textId="77777777" w:rsidR="00000000" w:rsidRDefault="00A173A8">
            <w:pPr>
              <w:spacing w:after="100"/>
              <w:rPr>
                <w:rFonts w:eastAsia="Times New Roman"/>
                <w:sz w:val="20"/>
                <w:szCs w:val="20"/>
              </w:rPr>
            </w:pPr>
          </w:p>
        </w:tc>
        <w:tc>
          <w:tcPr>
            <w:tcW w:w="5" w:type="pct"/>
            <w:vAlign w:val="center"/>
            <w:hideMark/>
          </w:tcPr>
          <w:p w14:paraId="2BF0703D" w14:textId="77777777" w:rsidR="00000000" w:rsidRDefault="00A173A8">
            <w:pPr>
              <w:spacing w:after="100"/>
              <w:rPr>
                <w:rFonts w:eastAsia="Times New Roman"/>
                <w:sz w:val="20"/>
                <w:szCs w:val="20"/>
              </w:rPr>
            </w:pPr>
          </w:p>
        </w:tc>
        <w:tc>
          <w:tcPr>
            <w:tcW w:w="50" w:type="pct"/>
            <w:vAlign w:val="center"/>
            <w:hideMark/>
          </w:tcPr>
          <w:p w14:paraId="420E9306" w14:textId="77777777" w:rsidR="00000000" w:rsidRDefault="00A173A8">
            <w:pPr>
              <w:spacing w:after="100"/>
              <w:rPr>
                <w:rFonts w:eastAsia="Times New Roman"/>
                <w:sz w:val="20"/>
                <w:szCs w:val="20"/>
              </w:rPr>
            </w:pPr>
          </w:p>
        </w:tc>
        <w:tc>
          <w:tcPr>
            <w:tcW w:w="378" w:type="pct"/>
            <w:vAlign w:val="center"/>
            <w:hideMark/>
          </w:tcPr>
          <w:p w14:paraId="442B363B" w14:textId="77777777" w:rsidR="00000000" w:rsidRDefault="00A173A8">
            <w:pPr>
              <w:spacing w:after="100"/>
              <w:rPr>
                <w:rFonts w:eastAsia="Times New Roman"/>
                <w:sz w:val="20"/>
                <w:szCs w:val="20"/>
              </w:rPr>
            </w:pPr>
          </w:p>
        </w:tc>
        <w:tc>
          <w:tcPr>
            <w:tcW w:w="5" w:type="pct"/>
            <w:vAlign w:val="center"/>
            <w:hideMark/>
          </w:tcPr>
          <w:p w14:paraId="48CC423C" w14:textId="77777777" w:rsidR="00000000" w:rsidRDefault="00A173A8">
            <w:pPr>
              <w:spacing w:after="100"/>
              <w:rPr>
                <w:rFonts w:eastAsia="Times New Roman"/>
                <w:sz w:val="20"/>
                <w:szCs w:val="20"/>
              </w:rPr>
            </w:pPr>
          </w:p>
        </w:tc>
        <w:tc>
          <w:tcPr>
            <w:tcW w:w="5" w:type="pct"/>
            <w:vAlign w:val="center"/>
            <w:hideMark/>
          </w:tcPr>
          <w:p w14:paraId="5F15D89A" w14:textId="77777777" w:rsidR="00000000" w:rsidRDefault="00A173A8">
            <w:pPr>
              <w:spacing w:after="100"/>
              <w:rPr>
                <w:rFonts w:eastAsia="Times New Roman"/>
                <w:sz w:val="20"/>
                <w:szCs w:val="20"/>
              </w:rPr>
            </w:pPr>
          </w:p>
        </w:tc>
        <w:tc>
          <w:tcPr>
            <w:tcW w:w="26" w:type="pct"/>
            <w:vAlign w:val="center"/>
            <w:hideMark/>
          </w:tcPr>
          <w:p w14:paraId="64237FDC" w14:textId="77777777" w:rsidR="00000000" w:rsidRDefault="00A173A8">
            <w:pPr>
              <w:spacing w:after="100"/>
              <w:rPr>
                <w:rFonts w:eastAsia="Times New Roman"/>
                <w:sz w:val="20"/>
                <w:szCs w:val="20"/>
              </w:rPr>
            </w:pPr>
          </w:p>
        </w:tc>
        <w:tc>
          <w:tcPr>
            <w:tcW w:w="5" w:type="pct"/>
            <w:vAlign w:val="center"/>
            <w:hideMark/>
          </w:tcPr>
          <w:p w14:paraId="40ECF4B0" w14:textId="77777777" w:rsidR="00000000" w:rsidRDefault="00A173A8">
            <w:pPr>
              <w:spacing w:after="100"/>
              <w:rPr>
                <w:rFonts w:eastAsia="Times New Roman"/>
                <w:sz w:val="20"/>
                <w:szCs w:val="20"/>
              </w:rPr>
            </w:pPr>
          </w:p>
        </w:tc>
        <w:tc>
          <w:tcPr>
            <w:tcW w:w="50" w:type="pct"/>
            <w:vAlign w:val="center"/>
            <w:hideMark/>
          </w:tcPr>
          <w:p w14:paraId="5D73CEA4" w14:textId="77777777" w:rsidR="00000000" w:rsidRDefault="00A173A8">
            <w:pPr>
              <w:spacing w:after="100"/>
              <w:rPr>
                <w:rFonts w:eastAsia="Times New Roman"/>
                <w:sz w:val="20"/>
                <w:szCs w:val="20"/>
              </w:rPr>
            </w:pPr>
          </w:p>
        </w:tc>
        <w:tc>
          <w:tcPr>
            <w:tcW w:w="378" w:type="pct"/>
            <w:vAlign w:val="center"/>
            <w:hideMark/>
          </w:tcPr>
          <w:p w14:paraId="3ECB4717" w14:textId="77777777" w:rsidR="00000000" w:rsidRDefault="00A173A8">
            <w:pPr>
              <w:spacing w:after="100"/>
              <w:rPr>
                <w:rFonts w:eastAsia="Times New Roman"/>
                <w:sz w:val="20"/>
                <w:szCs w:val="20"/>
              </w:rPr>
            </w:pPr>
          </w:p>
        </w:tc>
        <w:tc>
          <w:tcPr>
            <w:tcW w:w="5" w:type="pct"/>
            <w:vAlign w:val="center"/>
            <w:hideMark/>
          </w:tcPr>
          <w:p w14:paraId="17730B35" w14:textId="77777777" w:rsidR="00000000" w:rsidRDefault="00A173A8">
            <w:pPr>
              <w:spacing w:after="100"/>
              <w:rPr>
                <w:rFonts w:eastAsia="Times New Roman"/>
                <w:sz w:val="20"/>
                <w:szCs w:val="20"/>
              </w:rPr>
            </w:pPr>
          </w:p>
        </w:tc>
        <w:tc>
          <w:tcPr>
            <w:tcW w:w="5" w:type="pct"/>
            <w:vAlign w:val="center"/>
            <w:hideMark/>
          </w:tcPr>
          <w:p w14:paraId="3381BF87" w14:textId="77777777" w:rsidR="00000000" w:rsidRDefault="00A173A8">
            <w:pPr>
              <w:spacing w:after="100"/>
              <w:rPr>
                <w:rFonts w:eastAsia="Times New Roman"/>
                <w:sz w:val="20"/>
                <w:szCs w:val="20"/>
              </w:rPr>
            </w:pPr>
          </w:p>
        </w:tc>
        <w:tc>
          <w:tcPr>
            <w:tcW w:w="26" w:type="pct"/>
            <w:vAlign w:val="center"/>
            <w:hideMark/>
          </w:tcPr>
          <w:p w14:paraId="139D7EA1" w14:textId="77777777" w:rsidR="00000000" w:rsidRDefault="00A173A8">
            <w:pPr>
              <w:spacing w:after="100"/>
              <w:rPr>
                <w:rFonts w:eastAsia="Times New Roman"/>
                <w:sz w:val="20"/>
                <w:szCs w:val="20"/>
              </w:rPr>
            </w:pPr>
          </w:p>
        </w:tc>
        <w:tc>
          <w:tcPr>
            <w:tcW w:w="5" w:type="pct"/>
            <w:vAlign w:val="center"/>
            <w:hideMark/>
          </w:tcPr>
          <w:p w14:paraId="1C0F9F23" w14:textId="77777777" w:rsidR="00000000" w:rsidRDefault="00A173A8">
            <w:pPr>
              <w:spacing w:after="100"/>
              <w:rPr>
                <w:rFonts w:eastAsia="Times New Roman"/>
                <w:sz w:val="20"/>
                <w:szCs w:val="20"/>
              </w:rPr>
            </w:pPr>
          </w:p>
        </w:tc>
        <w:tc>
          <w:tcPr>
            <w:tcW w:w="50" w:type="pct"/>
            <w:vAlign w:val="center"/>
            <w:hideMark/>
          </w:tcPr>
          <w:p w14:paraId="1E58C17B" w14:textId="77777777" w:rsidR="00000000" w:rsidRDefault="00A173A8">
            <w:pPr>
              <w:spacing w:after="100"/>
              <w:rPr>
                <w:rFonts w:eastAsia="Times New Roman"/>
                <w:sz w:val="20"/>
                <w:szCs w:val="20"/>
              </w:rPr>
            </w:pPr>
          </w:p>
        </w:tc>
        <w:tc>
          <w:tcPr>
            <w:tcW w:w="422" w:type="pct"/>
            <w:vAlign w:val="center"/>
            <w:hideMark/>
          </w:tcPr>
          <w:p w14:paraId="4E035543" w14:textId="77777777" w:rsidR="00000000" w:rsidRDefault="00A173A8">
            <w:pPr>
              <w:spacing w:after="100"/>
              <w:rPr>
                <w:rFonts w:eastAsia="Times New Roman"/>
                <w:sz w:val="20"/>
                <w:szCs w:val="20"/>
              </w:rPr>
            </w:pPr>
          </w:p>
        </w:tc>
        <w:tc>
          <w:tcPr>
            <w:tcW w:w="5" w:type="pct"/>
            <w:vAlign w:val="center"/>
            <w:hideMark/>
          </w:tcPr>
          <w:p w14:paraId="70EAD36A" w14:textId="77777777" w:rsidR="00000000" w:rsidRDefault="00A173A8">
            <w:pPr>
              <w:spacing w:after="100"/>
              <w:rPr>
                <w:rFonts w:eastAsia="Times New Roman"/>
                <w:sz w:val="20"/>
                <w:szCs w:val="20"/>
              </w:rPr>
            </w:pPr>
          </w:p>
        </w:tc>
        <w:tc>
          <w:tcPr>
            <w:tcW w:w="5" w:type="pct"/>
            <w:vAlign w:val="center"/>
            <w:hideMark/>
          </w:tcPr>
          <w:p w14:paraId="7BBD6ECF" w14:textId="77777777" w:rsidR="00000000" w:rsidRDefault="00A173A8">
            <w:pPr>
              <w:spacing w:after="100"/>
              <w:rPr>
                <w:rFonts w:eastAsia="Times New Roman"/>
                <w:sz w:val="20"/>
                <w:szCs w:val="20"/>
              </w:rPr>
            </w:pPr>
          </w:p>
        </w:tc>
        <w:tc>
          <w:tcPr>
            <w:tcW w:w="26" w:type="pct"/>
            <w:vAlign w:val="center"/>
            <w:hideMark/>
          </w:tcPr>
          <w:p w14:paraId="2D50EB38" w14:textId="77777777" w:rsidR="00000000" w:rsidRDefault="00A173A8">
            <w:pPr>
              <w:spacing w:after="100"/>
              <w:rPr>
                <w:rFonts w:eastAsia="Times New Roman"/>
                <w:sz w:val="20"/>
                <w:szCs w:val="20"/>
              </w:rPr>
            </w:pPr>
          </w:p>
        </w:tc>
        <w:tc>
          <w:tcPr>
            <w:tcW w:w="5" w:type="pct"/>
            <w:vAlign w:val="center"/>
            <w:hideMark/>
          </w:tcPr>
          <w:p w14:paraId="145C8C1A" w14:textId="77777777" w:rsidR="00000000" w:rsidRDefault="00A173A8">
            <w:pPr>
              <w:spacing w:after="100"/>
              <w:rPr>
                <w:rFonts w:eastAsia="Times New Roman"/>
                <w:sz w:val="20"/>
                <w:szCs w:val="20"/>
              </w:rPr>
            </w:pPr>
          </w:p>
        </w:tc>
        <w:tc>
          <w:tcPr>
            <w:tcW w:w="50" w:type="pct"/>
            <w:vAlign w:val="center"/>
            <w:hideMark/>
          </w:tcPr>
          <w:p w14:paraId="3D77833C" w14:textId="77777777" w:rsidR="00000000" w:rsidRDefault="00A173A8">
            <w:pPr>
              <w:spacing w:after="100"/>
              <w:rPr>
                <w:rFonts w:eastAsia="Times New Roman"/>
                <w:sz w:val="20"/>
                <w:szCs w:val="20"/>
              </w:rPr>
            </w:pPr>
          </w:p>
        </w:tc>
        <w:tc>
          <w:tcPr>
            <w:tcW w:w="422" w:type="pct"/>
            <w:vAlign w:val="center"/>
            <w:hideMark/>
          </w:tcPr>
          <w:p w14:paraId="2CF25AB5" w14:textId="77777777" w:rsidR="00000000" w:rsidRDefault="00A173A8">
            <w:pPr>
              <w:spacing w:after="100"/>
              <w:rPr>
                <w:rFonts w:eastAsia="Times New Roman"/>
                <w:sz w:val="20"/>
                <w:szCs w:val="20"/>
              </w:rPr>
            </w:pPr>
          </w:p>
        </w:tc>
        <w:tc>
          <w:tcPr>
            <w:tcW w:w="5" w:type="pct"/>
            <w:vAlign w:val="center"/>
            <w:hideMark/>
          </w:tcPr>
          <w:p w14:paraId="688E9749" w14:textId="77777777" w:rsidR="00000000" w:rsidRDefault="00A173A8">
            <w:pPr>
              <w:spacing w:after="100"/>
              <w:rPr>
                <w:rFonts w:eastAsia="Times New Roman"/>
                <w:sz w:val="20"/>
                <w:szCs w:val="20"/>
              </w:rPr>
            </w:pPr>
          </w:p>
        </w:tc>
        <w:tc>
          <w:tcPr>
            <w:tcW w:w="5" w:type="pct"/>
            <w:vAlign w:val="center"/>
            <w:hideMark/>
          </w:tcPr>
          <w:p w14:paraId="414EBAF0" w14:textId="77777777" w:rsidR="00000000" w:rsidRDefault="00A173A8">
            <w:pPr>
              <w:spacing w:after="100"/>
              <w:rPr>
                <w:rFonts w:eastAsia="Times New Roman"/>
                <w:sz w:val="20"/>
                <w:szCs w:val="20"/>
              </w:rPr>
            </w:pPr>
          </w:p>
        </w:tc>
        <w:tc>
          <w:tcPr>
            <w:tcW w:w="26" w:type="pct"/>
            <w:vAlign w:val="center"/>
            <w:hideMark/>
          </w:tcPr>
          <w:p w14:paraId="046666DA" w14:textId="77777777" w:rsidR="00000000" w:rsidRDefault="00A173A8">
            <w:pPr>
              <w:spacing w:after="100"/>
              <w:rPr>
                <w:rFonts w:eastAsia="Times New Roman"/>
                <w:sz w:val="20"/>
                <w:szCs w:val="20"/>
              </w:rPr>
            </w:pPr>
          </w:p>
        </w:tc>
        <w:tc>
          <w:tcPr>
            <w:tcW w:w="5" w:type="pct"/>
            <w:vAlign w:val="center"/>
            <w:hideMark/>
          </w:tcPr>
          <w:p w14:paraId="67846E9E" w14:textId="77777777" w:rsidR="00000000" w:rsidRDefault="00A173A8">
            <w:pPr>
              <w:spacing w:after="100"/>
              <w:rPr>
                <w:rFonts w:eastAsia="Times New Roman"/>
                <w:sz w:val="20"/>
                <w:szCs w:val="20"/>
              </w:rPr>
            </w:pPr>
          </w:p>
        </w:tc>
        <w:tc>
          <w:tcPr>
            <w:tcW w:w="50" w:type="pct"/>
            <w:vAlign w:val="center"/>
            <w:hideMark/>
          </w:tcPr>
          <w:p w14:paraId="5E9490CB" w14:textId="77777777" w:rsidR="00000000" w:rsidRDefault="00A173A8">
            <w:pPr>
              <w:spacing w:after="100"/>
              <w:rPr>
                <w:rFonts w:eastAsia="Times New Roman"/>
                <w:sz w:val="20"/>
                <w:szCs w:val="20"/>
              </w:rPr>
            </w:pPr>
          </w:p>
        </w:tc>
        <w:tc>
          <w:tcPr>
            <w:tcW w:w="408" w:type="pct"/>
            <w:vAlign w:val="center"/>
            <w:hideMark/>
          </w:tcPr>
          <w:p w14:paraId="04839D15" w14:textId="77777777" w:rsidR="00000000" w:rsidRDefault="00A173A8">
            <w:pPr>
              <w:spacing w:after="100"/>
              <w:rPr>
                <w:rFonts w:eastAsia="Times New Roman"/>
                <w:sz w:val="20"/>
                <w:szCs w:val="20"/>
              </w:rPr>
            </w:pPr>
          </w:p>
        </w:tc>
        <w:tc>
          <w:tcPr>
            <w:tcW w:w="5" w:type="pct"/>
            <w:vAlign w:val="center"/>
            <w:hideMark/>
          </w:tcPr>
          <w:p w14:paraId="482DE03B" w14:textId="77777777" w:rsidR="00000000" w:rsidRDefault="00A173A8">
            <w:pPr>
              <w:spacing w:after="100"/>
              <w:rPr>
                <w:rFonts w:eastAsia="Times New Roman"/>
                <w:sz w:val="20"/>
                <w:szCs w:val="20"/>
              </w:rPr>
            </w:pPr>
          </w:p>
        </w:tc>
      </w:tr>
      <w:tr w:rsidR="00000000" w14:paraId="5020F01C" w14:textId="77777777">
        <w:trPr>
          <w:divId w:val="892621673"/>
          <w:trHeight w:val="360"/>
        </w:trPr>
        <w:tc>
          <w:tcPr>
            <w:tcW w:w="0" w:type="auto"/>
            <w:gridSpan w:val="3"/>
            <w:tcMar>
              <w:top w:w="0" w:type="dxa"/>
              <w:left w:w="20" w:type="dxa"/>
              <w:bottom w:w="0" w:type="dxa"/>
              <w:right w:w="20" w:type="dxa"/>
            </w:tcMar>
            <w:vAlign w:val="center"/>
            <w:hideMark/>
          </w:tcPr>
          <w:p w14:paraId="560DABC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84E90E"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EDBB8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3F935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04490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722B8A" w14:textId="77777777" w:rsidR="00000000" w:rsidRDefault="00A173A8">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08FD4E8A" w14:textId="77777777" w:rsidR="00000000" w:rsidRDefault="00A173A8">
            <w:pPr>
              <w:spacing w:after="100"/>
              <w:jc w:val="center"/>
              <w:rPr>
                <w:rFonts w:eastAsia="Times New Roman"/>
              </w:rPr>
            </w:pPr>
            <w:r>
              <w:rPr>
                <w:rFonts w:eastAsia="Times New Roman"/>
                <w:b/>
                <w:bCs/>
                <w:color w:val="000000"/>
                <w:sz w:val="14"/>
                <w:szCs w:val="14"/>
              </w:rPr>
              <w:t>Redeemable by Issuer Beginning</w:t>
            </w:r>
          </w:p>
        </w:tc>
        <w:tc>
          <w:tcPr>
            <w:tcW w:w="0" w:type="auto"/>
            <w:gridSpan w:val="3"/>
            <w:tcMar>
              <w:top w:w="0" w:type="dxa"/>
              <w:left w:w="20" w:type="dxa"/>
              <w:bottom w:w="0" w:type="dxa"/>
              <w:right w:w="20" w:type="dxa"/>
            </w:tcMar>
            <w:vAlign w:val="center"/>
            <w:hideMark/>
          </w:tcPr>
          <w:p w14:paraId="78BAABEB"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C624185" w14:textId="77777777" w:rsidR="00000000" w:rsidRDefault="00A173A8">
            <w:pPr>
              <w:spacing w:after="100"/>
              <w:jc w:val="center"/>
              <w:rPr>
                <w:rFonts w:eastAsia="Times New Roman"/>
              </w:rPr>
            </w:pPr>
            <w:r>
              <w:rPr>
                <w:rFonts w:eastAsia="Times New Roman"/>
                <w:b/>
                <w:bCs/>
                <w:color w:val="000000"/>
                <w:sz w:val="14"/>
                <w:szCs w:val="14"/>
              </w:rPr>
              <w:t>Per Annum Dividend Rate</w:t>
            </w:r>
          </w:p>
        </w:tc>
        <w:tc>
          <w:tcPr>
            <w:tcW w:w="0" w:type="auto"/>
            <w:gridSpan w:val="3"/>
            <w:tcMar>
              <w:top w:w="0" w:type="dxa"/>
              <w:left w:w="20" w:type="dxa"/>
              <w:bottom w:w="0" w:type="dxa"/>
              <w:right w:w="20" w:type="dxa"/>
            </w:tcMar>
            <w:vAlign w:val="center"/>
            <w:hideMark/>
          </w:tcPr>
          <w:p w14:paraId="50785B90"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45D91C2" w14:textId="77777777" w:rsidR="00000000" w:rsidRDefault="00A173A8">
            <w:pPr>
              <w:spacing w:after="100"/>
              <w:jc w:val="center"/>
              <w:rPr>
                <w:rFonts w:eastAsia="Times New Roman"/>
              </w:rPr>
            </w:pPr>
            <w:r>
              <w:rPr>
                <w:rFonts w:eastAsia="Times New Roman"/>
                <w:b/>
                <w:bCs/>
                <w:color w:val="000000"/>
                <w:sz w:val="14"/>
                <w:szCs w:val="14"/>
              </w:rPr>
              <w:t>Dividend Frequency</w:t>
            </w:r>
          </w:p>
        </w:tc>
        <w:tc>
          <w:tcPr>
            <w:tcW w:w="0" w:type="auto"/>
            <w:gridSpan w:val="3"/>
            <w:tcMar>
              <w:top w:w="0" w:type="dxa"/>
              <w:left w:w="20" w:type="dxa"/>
              <w:bottom w:w="0" w:type="dxa"/>
              <w:right w:w="20" w:type="dxa"/>
            </w:tcMar>
            <w:vAlign w:val="center"/>
            <w:hideMark/>
          </w:tcPr>
          <w:p w14:paraId="04AD8F47"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15E5B6E" w14:textId="77777777" w:rsidR="00000000" w:rsidRDefault="00A173A8">
            <w:pPr>
              <w:spacing w:after="100"/>
              <w:jc w:val="center"/>
              <w:rPr>
                <w:rFonts w:eastAsia="Times New Roman"/>
              </w:rPr>
            </w:pPr>
            <w:r>
              <w:rPr>
                <w:rFonts w:eastAsia="Times New Roman"/>
                <w:b/>
                <w:bCs/>
                <w:color w:val="000000"/>
                <w:sz w:val="14"/>
                <w:szCs w:val="14"/>
              </w:rPr>
              <w:t>Liquidation Preference per Share</w:t>
            </w:r>
          </w:p>
        </w:tc>
        <w:tc>
          <w:tcPr>
            <w:tcW w:w="0" w:type="auto"/>
            <w:gridSpan w:val="3"/>
            <w:tcMar>
              <w:top w:w="0" w:type="dxa"/>
              <w:left w:w="20" w:type="dxa"/>
              <w:bottom w:w="0" w:type="dxa"/>
              <w:right w:w="20" w:type="dxa"/>
            </w:tcMar>
            <w:vAlign w:val="center"/>
            <w:hideMark/>
          </w:tcPr>
          <w:p w14:paraId="6BE64D1F" w14:textId="77777777" w:rsidR="00000000" w:rsidRDefault="00A173A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D298702" w14:textId="77777777" w:rsidR="00000000" w:rsidRDefault="00A173A8">
            <w:pPr>
              <w:spacing w:after="100"/>
              <w:jc w:val="center"/>
              <w:rPr>
                <w:rFonts w:eastAsia="Times New Roman"/>
              </w:rPr>
            </w:pPr>
            <w:r>
              <w:rPr>
                <w:rFonts w:eastAsia="Times New Roman"/>
                <w:b/>
                <w:bCs/>
                <w:color w:val="000000"/>
                <w:sz w:val="14"/>
                <w:szCs w:val="14"/>
              </w:rPr>
              <w:t>Total Shares Outstanding</w:t>
            </w:r>
            <w:r>
              <w:rPr>
                <w:rFonts w:eastAsia="Times New Roman"/>
                <w:b/>
                <w:bCs/>
                <w:color w:val="000000"/>
                <w:sz w:val="14"/>
                <w:szCs w:val="14"/>
              </w:rPr>
              <w:br/>
              <w:t xml:space="preserve">as of </w:t>
            </w:r>
            <w:r>
              <w:rPr>
                <w:rFonts w:eastAsia="Times New Roman"/>
                <w:b/>
                <w:bCs/>
                <w:color w:val="000000"/>
                <w:sz w:val="14"/>
                <w:szCs w:val="14"/>
              </w:rPr>
              <w:br/>
              <w:t>June 30, 2022</w:t>
            </w:r>
          </w:p>
        </w:tc>
        <w:tc>
          <w:tcPr>
            <w:tcW w:w="0" w:type="auto"/>
            <w:gridSpan w:val="3"/>
            <w:tcMar>
              <w:top w:w="0" w:type="dxa"/>
              <w:left w:w="20" w:type="dxa"/>
              <w:bottom w:w="0" w:type="dxa"/>
              <w:right w:w="20" w:type="dxa"/>
            </w:tcMar>
            <w:vAlign w:val="center"/>
            <w:hideMark/>
          </w:tcPr>
          <w:p w14:paraId="3D2D5588"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F371B59" w14:textId="77777777" w:rsidR="00000000" w:rsidRDefault="00A173A8">
            <w:pPr>
              <w:spacing w:after="100"/>
              <w:jc w:val="center"/>
              <w:rPr>
                <w:rFonts w:eastAsia="Times New Roman"/>
              </w:rPr>
            </w:pPr>
            <w:r>
              <w:rPr>
                <w:rFonts w:eastAsia="Times New Roman"/>
                <w:b/>
                <w:bCs/>
                <w:color w:val="000000"/>
                <w:sz w:val="14"/>
                <w:szCs w:val="14"/>
              </w:rPr>
              <w:t xml:space="preserve">Carrying Value </w:t>
            </w:r>
            <w:r>
              <w:rPr>
                <w:rFonts w:eastAsia="Times New Roman"/>
                <w:b/>
                <w:bCs/>
                <w:color w:val="000000"/>
                <w:sz w:val="14"/>
                <w:szCs w:val="14"/>
              </w:rPr>
              <w:br/>
              <w:t>(in millions)</w:t>
            </w:r>
          </w:p>
        </w:tc>
      </w:tr>
      <w:tr w:rsidR="00000000" w14:paraId="296F2AE3" w14:textId="77777777">
        <w:trPr>
          <w:divId w:val="892621673"/>
          <w:trHeight w:val="360"/>
        </w:trPr>
        <w:tc>
          <w:tcPr>
            <w:tcW w:w="0" w:type="auto"/>
            <w:gridSpan w:val="3"/>
            <w:tcMar>
              <w:top w:w="30" w:type="dxa"/>
              <w:left w:w="20" w:type="dxa"/>
              <w:bottom w:w="30" w:type="dxa"/>
              <w:right w:w="20" w:type="dxa"/>
            </w:tcMar>
            <w:vAlign w:val="bottom"/>
            <w:hideMark/>
          </w:tcPr>
          <w:p w14:paraId="1AA846A7" w14:textId="77777777" w:rsidR="00000000" w:rsidRDefault="00A173A8">
            <w:pPr>
              <w:spacing w:after="100"/>
              <w:jc w:val="center"/>
              <w:rPr>
                <w:rFonts w:eastAsia="Times New Roman"/>
              </w:rPr>
            </w:pPr>
            <w:r>
              <w:rPr>
                <w:rFonts w:eastAsia="Times New Roman"/>
                <w:b/>
                <w:bCs/>
                <w:color w:val="000000"/>
                <w:sz w:val="14"/>
                <w:szCs w:val="14"/>
              </w:rPr>
              <w:t>Series</w:t>
            </w:r>
          </w:p>
        </w:tc>
        <w:tc>
          <w:tcPr>
            <w:tcW w:w="0" w:type="auto"/>
            <w:gridSpan w:val="3"/>
            <w:tcMar>
              <w:top w:w="0" w:type="dxa"/>
              <w:left w:w="20" w:type="dxa"/>
              <w:bottom w:w="0" w:type="dxa"/>
              <w:right w:w="20" w:type="dxa"/>
            </w:tcMar>
            <w:vAlign w:val="center"/>
            <w:hideMark/>
          </w:tcPr>
          <w:p w14:paraId="44AB3E66"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859EB3" w14:textId="77777777" w:rsidR="00000000" w:rsidRDefault="00A173A8">
            <w:pPr>
              <w:spacing w:after="100"/>
              <w:jc w:val="center"/>
              <w:rPr>
                <w:rFonts w:eastAsia="Times New Roman"/>
              </w:rPr>
            </w:pPr>
            <w:r>
              <w:rPr>
                <w:rFonts w:eastAsia="Times New Roman"/>
                <w:b/>
                <w:bCs/>
                <w:color w:val="000000"/>
                <w:sz w:val="14"/>
                <w:szCs w:val="14"/>
              </w:rPr>
              <w:t>Description</w:t>
            </w:r>
          </w:p>
        </w:tc>
        <w:tc>
          <w:tcPr>
            <w:tcW w:w="0" w:type="auto"/>
            <w:gridSpan w:val="3"/>
            <w:tcMar>
              <w:top w:w="0" w:type="dxa"/>
              <w:left w:w="20" w:type="dxa"/>
              <w:bottom w:w="0" w:type="dxa"/>
              <w:right w:w="20" w:type="dxa"/>
            </w:tcMar>
            <w:vAlign w:val="center"/>
            <w:hideMark/>
          </w:tcPr>
          <w:p w14:paraId="39263C74"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AE9F8B3" w14:textId="77777777" w:rsidR="00000000" w:rsidRDefault="00A173A8">
            <w:pPr>
              <w:spacing w:after="100"/>
              <w:jc w:val="center"/>
              <w:rPr>
                <w:rFonts w:eastAsia="Times New Roman"/>
              </w:rPr>
            </w:pPr>
            <w:r>
              <w:rPr>
                <w:rFonts w:eastAsia="Times New Roman"/>
                <w:b/>
                <w:bCs/>
                <w:color w:val="000000"/>
                <w:sz w:val="14"/>
                <w:szCs w:val="14"/>
              </w:rPr>
              <w:t>Issuance Date</w:t>
            </w:r>
          </w:p>
        </w:tc>
        <w:tc>
          <w:tcPr>
            <w:tcW w:w="0" w:type="auto"/>
            <w:gridSpan w:val="3"/>
            <w:tcMar>
              <w:top w:w="0" w:type="dxa"/>
              <w:left w:w="20" w:type="dxa"/>
              <w:bottom w:w="0" w:type="dxa"/>
              <w:right w:w="20" w:type="dxa"/>
            </w:tcMar>
            <w:vAlign w:val="center"/>
            <w:hideMark/>
          </w:tcPr>
          <w:p w14:paraId="4CF6943D" w14:textId="77777777" w:rsidR="00000000" w:rsidRDefault="00A173A8">
            <w:pPr>
              <w:spacing w:after="100"/>
              <w:jc w:val="center"/>
              <w:rPr>
                <w:rFonts w:eastAsia="Times New Roman"/>
              </w:rPr>
            </w:pPr>
          </w:p>
        </w:tc>
        <w:tc>
          <w:tcPr>
            <w:tcW w:w="0" w:type="auto"/>
            <w:gridSpan w:val="3"/>
            <w:vMerge/>
            <w:vAlign w:val="center"/>
            <w:hideMark/>
          </w:tcPr>
          <w:p w14:paraId="2AA1BE41"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1A0C9224" w14:textId="77777777" w:rsidR="00000000" w:rsidRDefault="00A173A8">
            <w:pPr>
              <w:spacing w:after="100"/>
              <w:rPr>
                <w:rFonts w:eastAsia="Times New Roman"/>
                <w:sz w:val="20"/>
                <w:szCs w:val="20"/>
              </w:rPr>
            </w:pPr>
          </w:p>
        </w:tc>
        <w:tc>
          <w:tcPr>
            <w:tcW w:w="0" w:type="auto"/>
            <w:gridSpan w:val="3"/>
            <w:vMerge/>
            <w:vAlign w:val="center"/>
            <w:hideMark/>
          </w:tcPr>
          <w:p w14:paraId="6F4F3057"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4BFE5B76" w14:textId="77777777" w:rsidR="00000000" w:rsidRDefault="00A173A8">
            <w:pPr>
              <w:spacing w:after="100"/>
              <w:rPr>
                <w:rFonts w:eastAsia="Times New Roman"/>
                <w:sz w:val="20"/>
                <w:szCs w:val="20"/>
              </w:rPr>
            </w:pPr>
          </w:p>
        </w:tc>
        <w:tc>
          <w:tcPr>
            <w:tcW w:w="0" w:type="auto"/>
            <w:gridSpan w:val="3"/>
            <w:vMerge/>
            <w:vAlign w:val="center"/>
            <w:hideMark/>
          </w:tcPr>
          <w:p w14:paraId="7807A065"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57A13D6C" w14:textId="77777777" w:rsidR="00000000" w:rsidRDefault="00A173A8">
            <w:pPr>
              <w:spacing w:after="100"/>
              <w:rPr>
                <w:rFonts w:eastAsia="Times New Roman"/>
                <w:sz w:val="20"/>
                <w:szCs w:val="20"/>
              </w:rPr>
            </w:pPr>
          </w:p>
        </w:tc>
        <w:tc>
          <w:tcPr>
            <w:tcW w:w="0" w:type="auto"/>
            <w:gridSpan w:val="3"/>
            <w:vMerge/>
            <w:vAlign w:val="center"/>
            <w:hideMark/>
          </w:tcPr>
          <w:p w14:paraId="5FBE4674"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21A1B166" w14:textId="77777777" w:rsidR="00000000" w:rsidRDefault="00A173A8">
            <w:pPr>
              <w:spacing w:after="100"/>
              <w:rPr>
                <w:rFonts w:eastAsia="Times New Roman"/>
                <w:sz w:val="20"/>
                <w:szCs w:val="20"/>
              </w:rPr>
            </w:pPr>
          </w:p>
        </w:tc>
        <w:tc>
          <w:tcPr>
            <w:tcW w:w="0" w:type="auto"/>
            <w:gridSpan w:val="3"/>
            <w:vMerge/>
            <w:vAlign w:val="center"/>
            <w:hideMark/>
          </w:tcPr>
          <w:p w14:paraId="531F670D"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76C1451F"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F85A993" w14:textId="77777777" w:rsidR="00000000" w:rsidRDefault="00A173A8">
            <w:pPr>
              <w:spacing w:after="100"/>
              <w:jc w:val="center"/>
              <w:rPr>
                <w:rFonts w:eastAsia="Times New Roman"/>
              </w:rPr>
            </w:pPr>
            <w:r>
              <w:rPr>
                <w:rFonts w:eastAsia="Times New Roman"/>
                <w:b/>
                <w:bCs/>
                <w:color w:val="000000"/>
                <w:sz w:val="14"/>
                <w:szCs w:val="14"/>
              </w:rPr>
              <w:t>June 30, 2022</w:t>
            </w:r>
          </w:p>
        </w:tc>
        <w:tc>
          <w:tcPr>
            <w:tcW w:w="0" w:type="auto"/>
            <w:gridSpan w:val="3"/>
            <w:tcBorders>
              <w:top w:val="single" w:sz="8" w:space="0" w:color="000000"/>
            </w:tcBorders>
            <w:tcMar>
              <w:top w:w="0" w:type="dxa"/>
              <w:left w:w="20" w:type="dxa"/>
              <w:bottom w:w="0" w:type="dxa"/>
              <w:right w:w="20" w:type="dxa"/>
            </w:tcMar>
            <w:vAlign w:val="center"/>
            <w:hideMark/>
          </w:tcPr>
          <w:p w14:paraId="75C75B3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03660E" w14:textId="77777777" w:rsidR="00000000" w:rsidRDefault="00A173A8">
            <w:pPr>
              <w:spacing w:after="100"/>
              <w:jc w:val="center"/>
              <w:rPr>
                <w:rFonts w:eastAsia="Times New Roman"/>
              </w:rPr>
            </w:pPr>
            <w:r>
              <w:rPr>
                <w:rFonts w:eastAsia="Times New Roman"/>
                <w:b/>
                <w:bCs/>
                <w:color w:val="000000"/>
                <w:sz w:val="14"/>
                <w:szCs w:val="14"/>
              </w:rPr>
              <w:t>December 31, 2021</w:t>
            </w:r>
          </w:p>
        </w:tc>
      </w:tr>
      <w:tr w:rsidR="00000000" w14:paraId="728FB3D2" w14:textId="77777777">
        <w:trPr>
          <w:divId w:val="892621673"/>
        </w:trPr>
        <w:tc>
          <w:tcPr>
            <w:tcW w:w="0" w:type="auto"/>
            <w:gridSpan w:val="3"/>
            <w:vAlign w:val="center"/>
            <w:hideMark/>
          </w:tcPr>
          <w:p w14:paraId="28CD0D6C" w14:textId="77777777" w:rsidR="00000000" w:rsidRDefault="00A173A8">
            <w:pPr>
              <w:spacing w:after="100"/>
              <w:jc w:val="center"/>
              <w:rPr>
                <w:rFonts w:eastAsia="Times New Roman"/>
              </w:rPr>
            </w:pPr>
          </w:p>
        </w:tc>
        <w:tc>
          <w:tcPr>
            <w:tcW w:w="0" w:type="auto"/>
            <w:gridSpan w:val="3"/>
            <w:vAlign w:val="center"/>
            <w:hideMark/>
          </w:tcPr>
          <w:p w14:paraId="5D88C299" w14:textId="77777777" w:rsidR="00000000" w:rsidRDefault="00A173A8">
            <w:pPr>
              <w:spacing w:after="100"/>
              <w:rPr>
                <w:rFonts w:eastAsia="Times New Roman"/>
                <w:sz w:val="20"/>
                <w:szCs w:val="20"/>
              </w:rPr>
            </w:pPr>
          </w:p>
        </w:tc>
        <w:tc>
          <w:tcPr>
            <w:tcW w:w="0" w:type="auto"/>
            <w:gridSpan w:val="3"/>
            <w:vAlign w:val="center"/>
            <w:hideMark/>
          </w:tcPr>
          <w:p w14:paraId="629E43AB" w14:textId="77777777" w:rsidR="00000000" w:rsidRDefault="00A173A8">
            <w:pPr>
              <w:spacing w:after="100"/>
              <w:rPr>
                <w:rFonts w:eastAsia="Times New Roman"/>
                <w:sz w:val="20"/>
                <w:szCs w:val="20"/>
              </w:rPr>
            </w:pPr>
          </w:p>
        </w:tc>
        <w:tc>
          <w:tcPr>
            <w:tcW w:w="0" w:type="auto"/>
            <w:gridSpan w:val="3"/>
            <w:vAlign w:val="center"/>
            <w:hideMark/>
          </w:tcPr>
          <w:p w14:paraId="6C96DA06" w14:textId="77777777" w:rsidR="00000000" w:rsidRDefault="00A173A8">
            <w:pPr>
              <w:spacing w:after="100"/>
              <w:rPr>
                <w:rFonts w:eastAsia="Times New Roman"/>
                <w:sz w:val="20"/>
                <w:szCs w:val="20"/>
              </w:rPr>
            </w:pPr>
          </w:p>
        </w:tc>
        <w:tc>
          <w:tcPr>
            <w:tcW w:w="0" w:type="auto"/>
            <w:gridSpan w:val="3"/>
            <w:vAlign w:val="center"/>
            <w:hideMark/>
          </w:tcPr>
          <w:p w14:paraId="72370F63" w14:textId="77777777" w:rsidR="00000000" w:rsidRDefault="00A173A8">
            <w:pPr>
              <w:spacing w:after="100"/>
              <w:rPr>
                <w:rFonts w:eastAsia="Times New Roman"/>
                <w:sz w:val="20"/>
                <w:szCs w:val="20"/>
              </w:rPr>
            </w:pPr>
          </w:p>
        </w:tc>
        <w:tc>
          <w:tcPr>
            <w:tcW w:w="0" w:type="auto"/>
            <w:gridSpan w:val="3"/>
            <w:vAlign w:val="center"/>
            <w:hideMark/>
          </w:tcPr>
          <w:p w14:paraId="455648DE" w14:textId="77777777" w:rsidR="00000000" w:rsidRDefault="00A173A8">
            <w:pPr>
              <w:spacing w:after="100"/>
              <w:rPr>
                <w:rFonts w:eastAsia="Times New Roman"/>
                <w:sz w:val="20"/>
                <w:szCs w:val="20"/>
              </w:rPr>
            </w:pPr>
          </w:p>
        </w:tc>
        <w:tc>
          <w:tcPr>
            <w:tcW w:w="0" w:type="auto"/>
            <w:gridSpan w:val="3"/>
            <w:vAlign w:val="center"/>
            <w:hideMark/>
          </w:tcPr>
          <w:p w14:paraId="1A3648E3" w14:textId="77777777" w:rsidR="00000000" w:rsidRDefault="00A173A8">
            <w:pPr>
              <w:spacing w:after="100"/>
              <w:rPr>
                <w:rFonts w:eastAsia="Times New Roman"/>
                <w:sz w:val="20"/>
                <w:szCs w:val="20"/>
              </w:rPr>
            </w:pPr>
          </w:p>
        </w:tc>
        <w:tc>
          <w:tcPr>
            <w:tcW w:w="0" w:type="auto"/>
            <w:gridSpan w:val="3"/>
            <w:vAlign w:val="center"/>
            <w:hideMark/>
          </w:tcPr>
          <w:p w14:paraId="2F96F6F2" w14:textId="77777777" w:rsidR="00000000" w:rsidRDefault="00A173A8">
            <w:pPr>
              <w:spacing w:after="100"/>
              <w:rPr>
                <w:rFonts w:eastAsia="Times New Roman"/>
                <w:sz w:val="20"/>
                <w:szCs w:val="20"/>
              </w:rPr>
            </w:pPr>
          </w:p>
        </w:tc>
        <w:tc>
          <w:tcPr>
            <w:tcW w:w="0" w:type="auto"/>
            <w:gridSpan w:val="3"/>
            <w:vAlign w:val="center"/>
            <w:hideMark/>
          </w:tcPr>
          <w:p w14:paraId="4D8C6A85" w14:textId="77777777" w:rsidR="00000000" w:rsidRDefault="00A173A8">
            <w:pPr>
              <w:spacing w:after="100"/>
              <w:rPr>
                <w:rFonts w:eastAsia="Times New Roman"/>
                <w:sz w:val="20"/>
                <w:szCs w:val="20"/>
              </w:rPr>
            </w:pPr>
          </w:p>
        </w:tc>
        <w:tc>
          <w:tcPr>
            <w:tcW w:w="0" w:type="auto"/>
            <w:gridSpan w:val="3"/>
            <w:vAlign w:val="center"/>
            <w:hideMark/>
          </w:tcPr>
          <w:p w14:paraId="1EDF4A88" w14:textId="77777777" w:rsidR="00000000" w:rsidRDefault="00A173A8">
            <w:pPr>
              <w:spacing w:after="100"/>
              <w:rPr>
                <w:rFonts w:eastAsia="Times New Roman"/>
                <w:sz w:val="20"/>
                <w:szCs w:val="20"/>
              </w:rPr>
            </w:pPr>
          </w:p>
        </w:tc>
        <w:tc>
          <w:tcPr>
            <w:tcW w:w="0" w:type="auto"/>
            <w:gridSpan w:val="3"/>
            <w:vAlign w:val="center"/>
            <w:hideMark/>
          </w:tcPr>
          <w:p w14:paraId="773B118E" w14:textId="77777777" w:rsidR="00000000" w:rsidRDefault="00A173A8">
            <w:pPr>
              <w:spacing w:after="100"/>
              <w:rPr>
                <w:rFonts w:eastAsia="Times New Roman"/>
                <w:sz w:val="20"/>
                <w:szCs w:val="20"/>
              </w:rPr>
            </w:pPr>
          </w:p>
        </w:tc>
        <w:tc>
          <w:tcPr>
            <w:tcW w:w="0" w:type="auto"/>
            <w:gridSpan w:val="3"/>
            <w:vAlign w:val="center"/>
            <w:hideMark/>
          </w:tcPr>
          <w:p w14:paraId="301D5FBC" w14:textId="77777777" w:rsidR="00000000" w:rsidRDefault="00A173A8">
            <w:pPr>
              <w:spacing w:after="100"/>
              <w:rPr>
                <w:rFonts w:eastAsia="Times New Roman"/>
                <w:sz w:val="20"/>
                <w:szCs w:val="20"/>
              </w:rPr>
            </w:pPr>
          </w:p>
        </w:tc>
        <w:tc>
          <w:tcPr>
            <w:tcW w:w="0" w:type="auto"/>
            <w:gridSpan w:val="3"/>
            <w:vAlign w:val="center"/>
            <w:hideMark/>
          </w:tcPr>
          <w:p w14:paraId="71EE7F8B" w14:textId="77777777" w:rsidR="00000000" w:rsidRDefault="00A173A8">
            <w:pPr>
              <w:spacing w:after="100"/>
              <w:rPr>
                <w:rFonts w:eastAsia="Times New Roman"/>
                <w:sz w:val="20"/>
                <w:szCs w:val="20"/>
              </w:rPr>
            </w:pPr>
          </w:p>
        </w:tc>
        <w:tc>
          <w:tcPr>
            <w:tcW w:w="0" w:type="auto"/>
            <w:gridSpan w:val="3"/>
            <w:vAlign w:val="center"/>
            <w:hideMark/>
          </w:tcPr>
          <w:p w14:paraId="659FE5F0" w14:textId="77777777" w:rsidR="00000000" w:rsidRDefault="00A173A8">
            <w:pPr>
              <w:spacing w:after="100"/>
              <w:rPr>
                <w:rFonts w:eastAsia="Times New Roman"/>
                <w:sz w:val="20"/>
                <w:szCs w:val="20"/>
              </w:rPr>
            </w:pPr>
          </w:p>
        </w:tc>
        <w:tc>
          <w:tcPr>
            <w:tcW w:w="0" w:type="auto"/>
            <w:gridSpan w:val="3"/>
            <w:vAlign w:val="center"/>
            <w:hideMark/>
          </w:tcPr>
          <w:p w14:paraId="42451E80" w14:textId="77777777" w:rsidR="00000000" w:rsidRDefault="00A173A8">
            <w:pPr>
              <w:spacing w:after="100"/>
              <w:rPr>
                <w:rFonts w:eastAsia="Times New Roman"/>
                <w:sz w:val="20"/>
                <w:szCs w:val="20"/>
              </w:rPr>
            </w:pPr>
          </w:p>
        </w:tc>
        <w:tc>
          <w:tcPr>
            <w:tcW w:w="0" w:type="auto"/>
            <w:gridSpan w:val="3"/>
            <w:vAlign w:val="center"/>
            <w:hideMark/>
          </w:tcPr>
          <w:p w14:paraId="70AFE711" w14:textId="77777777" w:rsidR="00000000" w:rsidRDefault="00A173A8">
            <w:pPr>
              <w:spacing w:after="100"/>
              <w:rPr>
                <w:rFonts w:eastAsia="Times New Roman"/>
                <w:sz w:val="20"/>
                <w:szCs w:val="20"/>
              </w:rPr>
            </w:pPr>
          </w:p>
        </w:tc>
        <w:tc>
          <w:tcPr>
            <w:tcW w:w="0" w:type="auto"/>
            <w:gridSpan w:val="3"/>
            <w:vAlign w:val="center"/>
            <w:hideMark/>
          </w:tcPr>
          <w:p w14:paraId="27407DD3" w14:textId="77777777" w:rsidR="00000000" w:rsidRDefault="00A173A8">
            <w:pPr>
              <w:spacing w:after="100"/>
              <w:rPr>
                <w:rFonts w:eastAsia="Times New Roman"/>
                <w:sz w:val="20"/>
                <w:szCs w:val="20"/>
              </w:rPr>
            </w:pPr>
          </w:p>
        </w:tc>
        <w:tc>
          <w:tcPr>
            <w:tcW w:w="0" w:type="auto"/>
            <w:gridSpan w:val="3"/>
            <w:vAlign w:val="center"/>
            <w:hideMark/>
          </w:tcPr>
          <w:p w14:paraId="7027CADC" w14:textId="77777777" w:rsidR="00000000" w:rsidRDefault="00A173A8">
            <w:pPr>
              <w:spacing w:after="100"/>
              <w:rPr>
                <w:rFonts w:eastAsia="Times New Roman"/>
                <w:sz w:val="20"/>
                <w:szCs w:val="20"/>
              </w:rPr>
            </w:pPr>
          </w:p>
        </w:tc>
        <w:tc>
          <w:tcPr>
            <w:tcW w:w="0" w:type="auto"/>
            <w:gridSpan w:val="3"/>
            <w:vAlign w:val="center"/>
            <w:hideMark/>
          </w:tcPr>
          <w:p w14:paraId="419E5780" w14:textId="77777777" w:rsidR="00000000" w:rsidRDefault="00A173A8">
            <w:pPr>
              <w:spacing w:after="100"/>
              <w:rPr>
                <w:rFonts w:eastAsia="Times New Roman"/>
                <w:sz w:val="20"/>
                <w:szCs w:val="20"/>
              </w:rPr>
            </w:pPr>
          </w:p>
        </w:tc>
      </w:tr>
      <w:tr w:rsidR="00000000" w14:paraId="4E972634" w14:textId="77777777">
        <w:trPr>
          <w:divId w:val="892621673"/>
        </w:trPr>
        <w:tc>
          <w:tcPr>
            <w:tcW w:w="0" w:type="auto"/>
            <w:gridSpan w:val="3"/>
            <w:vAlign w:val="center"/>
            <w:hideMark/>
          </w:tcPr>
          <w:p w14:paraId="0DF275D4" w14:textId="77777777" w:rsidR="00000000" w:rsidRDefault="00A173A8">
            <w:pPr>
              <w:spacing w:after="100"/>
              <w:rPr>
                <w:rFonts w:eastAsia="Times New Roman"/>
                <w:sz w:val="20"/>
                <w:szCs w:val="20"/>
              </w:rPr>
            </w:pPr>
          </w:p>
        </w:tc>
        <w:tc>
          <w:tcPr>
            <w:tcW w:w="0" w:type="auto"/>
            <w:gridSpan w:val="3"/>
            <w:vAlign w:val="center"/>
            <w:hideMark/>
          </w:tcPr>
          <w:p w14:paraId="299F0748" w14:textId="77777777" w:rsidR="00000000" w:rsidRDefault="00A173A8">
            <w:pPr>
              <w:spacing w:after="100"/>
              <w:rPr>
                <w:rFonts w:eastAsia="Times New Roman"/>
                <w:sz w:val="20"/>
                <w:szCs w:val="20"/>
              </w:rPr>
            </w:pPr>
          </w:p>
        </w:tc>
        <w:tc>
          <w:tcPr>
            <w:tcW w:w="0" w:type="auto"/>
            <w:gridSpan w:val="3"/>
            <w:vAlign w:val="center"/>
            <w:hideMark/>
          </w:tcPr>
          <w:p w14:paraId="54E710A6" w14:textId="77777777" w:rsidR="00000000" w:rsidRDefault="00A173A8">
            <w:pPr>
              <w:spacing w:after="100"/>
              <w:rPr>
                <w:rFonts w:eastAsia="Times New Roman"/>
                <w:sz w:val="20"/>
                <w:szCs w:val="20"/>
              </w:rPr>
            </w:pPr>
          </w:p>
        </w:tc>
        <w:tc>
          <w:tcPr>
            <w:tcW w:w="0" w:type="auto"/>
            <w:gridSpan w:val="3"/>
            <w:vAlign w:val="center"/>
            <w:hideMark/>
          </w:tcPr>
          <w:p w14:paraId="3F7692B0" w14:textId="77777777" w:rsidR="00000000" w:rsidRDefault="00A173A8">
            <w:pPr>
              <w:spacing w:after="100"/>
              <w:rPr>
                <w:rFonts w:eastAsia="Times New Roman"/>
                <w:sz w:val="20"/>
                <w:szCs w:val="20"/>
              </w:rPr>
            </w:pPr>
          </w:p>
        </w:tc>
        <w:tc>
          <w:tcPr>
            <w:tcW w:w="0" w:type="auto"/>
            <w:gridSpan w:val="3"/>
            <w:vAlign w:val="center"/>
            <w:hideMark/>
          </w:tcPr>
          <w:p w14:paraId="42E6305F" w14:textId="77777777" w:rsidR="00000000" w:rsidRDefault="00A173A8">
            <w:pPr>
              <w:spacing w:after="100"/>
              <w:rPr>
                <w:rFonts w:eastAsia="Times New Roman"/>
                <w:sz w:val="20"/>
                <w:szCs w:val="20"/>
              </w:rPr>
            </w:pPr>
          </w:p>
        </w:tc>
        <w:tc>
          <w:tcPr>
            <w:tcW w:w="0" w:type="auto"/>
            <w:gridSpan w:val="3"/>
            <w:vAlign w:val="center"/>
            <w:hideMark/>
          </w:tcPr>
          <w:p w14:paraId="13DA7C77" w14:textId="77777777" w:rsidR="00000000" w:rsidRDefault="00A173A8">
            <w:pPr>
              <w:spacing w:after="100"/>
              <w:rPr>
                <w:rFonts w:eastAsia="Times New Roman"/>
                <w:sz w:val="20"/>
                <w:szCs w:val="20"/>
              </w:rPr>
            </w:pPr>
          </w:p>
        </w:tc>
        <w:tc>
          <w:tcPr>
            <w:tcW w:w="0" w:type="auto"/>
            <w:gridSpan w:val="3"/>
            <w:vAlign w:val="center"/>
            <w:hideMark/>
          </w:tcPr>
          <w:p w14:paraId="3FE58D70" w14:textId="77777777" w:rsidR="00000000" w:rsidRDefault="00A173A8">
            <w:pPr>
              <w:spacing w:after="100"/>
              <w:rPr>
                <w:rFonts w:eastAsia="Times New Roman"/>
                <w:sz w:val="20"/>
                <w:szCs w:val="20"/>
              </w:rPr>
            </w:pPr>
          </w:p>
        </w:tc>
        <w:tc>
          <w:tcPr>
            <w:tcW w:w="0" w:type="auto"/>
            <w:gridSpan w:val="3"/>
            <w:vAlign w:val="center"/>
            <w:hideMark/>
          </w:tcPr>
          <w:p w14:paraId="646FE1F8" w14:textId="77777777" w:rsidR="00000000" w:rsidRDefault="00A173A8">
            <w:pPr>
              <w:spacing w:after="100"/>
              <w:rPr>
                <w:rFonts w:eastAsia="Times New Roman"/>
                <w:sz w:val="20"/>
                <w:szCs w:val="20"/>
              </w:rPr>
            </w:pPr>
          </w:p>
        </w:tc>
        <w:tc>
          <w:tcPr>
            <w:tcW w:w="0" w:type="auto"/>
            <w:gridSpan w:val="3"/>
            <w:vAlign w:val="center"/>
            <w:hideMark/>
          </w:tcPr>
          <w:p w14:paraId="333CD098" w14:textId="77777777" w:rsidR="00000000" w:rsidRDefault="00A173A8">
            <w:pPr>
              <w:spacing w:after="100"/>
              <w:rPr>
                <w:rFonts w:eastAsia="Times New Roman"/>
                <w:sz w:val="20"/>
                <w:szCs w:val="20"/>
              </w:rPr>
            </w:pPr>
          </w:p>
        </w:tc>
        <w:tc>
          <w:tcPr>
            <w:tcW w:w="0" w:type="auto"/>
            <w:gridSpan w:val="3"/>
            <w:vAlign w:val="center"/>
            <w:hideMark/>
          </w:tcPr>
          <w:p w14:paraId="3F1B2778" w14:textId="77777777" w:rsidR="00000000" w:rsidRDefault="00A173A8">
            <w:pPr>
              <w:spacing w:after="100"/>
              <w:rPr>
                <w:rFonts w:eastAsia="Times New Roman"/>
                <w:sz w:val="20"/>
                <w:szCs w:val="20"/>
              </w:rPr>
            </w:pPr>
          </w:p>
        </w:tc>
        <w:tc>
          <w:tcPr>
            <w:tcW w:w="0" w:type="auto"/>
            <w:gridSpan w:val="3"/>
            <w:vAlign w:val="center"/>
            <w:hideMark/>
          </w:tcPr>
          <w:p w14:paraId="0FC5EEAE" w14:textId="77777777" w:rsidR="00000000" w:rsidRDefault="00A173A8">
            <w:pPr>
              <w:spacing w:after="100"/>
              <w:rPr>
                <w:rFonts w:eastAsia="Times New Roman"/>
                <w:sz w:val="20"/>
                <w:szCs w:val="20"/>
              </w:rPr>
            </w:pPr>
          </w:p>
        </w:tc>
        <w:tc>
          <w:tcPr>
            <w:tcW w:w="0" w:type="auto"/>
            <w:gridSpan w:val="3"/>
            <w:vAlign w:val="center"/>
            <w:hideMark/>
          </w:tcPr>
          <w:p w14:paraId="376232A6" w14:textId="77777777" w:rsidR="00000000" w:rsidRDefault="00A173A8">
            <w:pPr>
              <w:spacing w:after="100"/>
              <w:rPr>
                <w:rFonts w:eastAsia="Times New Roman"/>
                <w:sz w:val="20"/>
                <w:szCs w:val="20"/>
              </w:rPr>
            </w:pPr>
          </w:p>
        </w:tc>
        <w:tc>
          <w:tcPr>
            <w:tcW w:w="0" w:type="auto"/>
            <w:gridSpan w:val="3"/>
            <w:vAlign w:val="center"/>
            <w:hideMark/>
          </w:tcPr>
          <w:p w14:paraId="4D3DCEF0" w14:textId="77777777" w:rsidR="00000000" w:rsidRDefault="00A173A8">
            <w:pPr>
              <w:spacing w:after="100"/>
              <w:rPr>
                <w:rFonts w:eastAsia="Times New Roman"/>
                <w:sz w:val="20"/>
                <w:szCs w:val="20"/>
              </w:rPr>
            </w:pPr>
          </w:p>
        </w:tc>
        <w:tc>
          <w:tcPr>
            <w:tcW w:w="0" w:type="auto"/>
            <w:gridSpan w:val="3"/>
            <w:vAlign w:val="center"/>
            <w:hideMark/>
          </w:tcPr>
          <w:p w14:paraId="5738B5B6" w14:textId="77777777" w:rsidR="00000000" w:rsidRDefault="00A173A8">
            <w:pPr>
              <w:spacing w:after="100"/>
              <w:rPr>
                <w:rFonts w:eastAsia="Times New Roman"/>
                <w:sz w:val="20"/>
                <w:szCs w:val="20"/>
              </w:rPr>
            </w:pPr>
          </w:p>
        </w:tc>
        <w:tc>
          <w:tcPr>
            <w:tcW w:w="0" w:type="auto"/>
            <w:gridSpan w:val="3"/>
            <w:vAlign w:val="center"/>
            <w:hideMark/>
          </w:tcPr>
          <w:p w14:paraId="359FEFDE" w14:textId="77777777" w:rsidR="00000000" w:rsidRDefault="00A173A8">
            <w:pPr>
              <w:spacing w:after="100"/>
              <w:rPr>
                <w:rFonts w:eastAsia="Times New Roman"/>
                <w:sz w:val="20"/>
                <w:szCs w:val="20"/>
              </w:rPr>
            </w:pPr>
          </w:p>
        </w:tc>
        <w:tc>
          <w:tcPr>
            <w:tcW w:w="0" w:type="auto"/>
            <w:gridSpan w:val="3"/>
            <w:vAlign w:val="center"/>
            <w:hideMark/>
          </w:tcPr>
          <w:p w14:paraId="53C1EEF0" w14:textId="77777777" w:rsidR="00000000" w:rsidRDefault="00A173A8">
            <w:pPr>
              <w:spacing w:after="100"/>
              <w:rPr>
                <w:rFonts w:eastAsia="Times New Roman"/>
                <w:sz w:val="20"/>
                <w:szCs w:val="20"/>
              </w:rPr>
            </w:pPr>
          </w:p>
        </w:tc>
        <w:tc>
          <w:tcPr>
            <w:tcW w:w="0" w:type="auto"/>
            <w:gridSpan w:val="3"/>
            <w:vAlign w:val="center"/>
            <w:hideMark/>
          </w:tcPr>
          <w:p w14:paraId="51F85E7A" w14:textId="77777777" w:rsidR="00000000" w:rsidRDefault="00A173A8">
            <w:pPr>
              <w:spacing w:after="100"/>
              <w:rPr>
                <w:rFonts w:eastAsia="Times New Roman"/>
                <w:sz w:val="20"/>
                <w:szCs w:val="20"/>
              </w:rPr>
            </w:pPr>
          </w:p>
        </w:tc>
        <w:tc>
          <w:tcPr>
            <w:tcW w:w="0" w:type="auto"/>
            <w:gridSpan w:val="3"/>
            <w:vAlign w:val="center"/>
            <w:hideMark/>
          </w:tcPr>
          <w:p w14:paraId="404D60BC" w14:textId="77777777" w:rsidR="00000000" w:rsidRDefault="00A173A8">
            <w:pPr>
              <w:spacing w:after="100"/>
              <w:rPr>
                <w:rFonts w:eastAsia="Times New Roman"/>
                <w:sz w:val="20"/>
                <w:szCs w:val="20"/>
              </w:rPr>
            </w:pPr>
          </w:p>
        </w:tc>
        <w:tc>
          <w:tcPr>
            <w:tcW w:w="0" w:type="auto"/>
            <w:gridSpan w:val="3"/>
            <w:vAlign w:val="center"/>
            <w:hideMark/>
          </w:tcPr>
          <w:p w14:paraId="7384F425" w14:textId="77777777" w:rsidR="00000000" w:rsidRDefault="00A173A8">
            <w:pPr>
              <w:spacing w:after="100"/>
              <w:rPr>
                <w:rFonts w:eastAsia="Times New Roman"/>
                <w:sz w:val="20"/>
                <w:szCs w:val="20"/>
              </w:rPr>
            </w:pPr>
          </w:p>
        </w:tc>
      </w:tr>
      <w:tr w:rsidR="00000000" w14:paraId="33C1D40C" w14:textId="77777777">
        <w:trPr>
          <w:divId w:val="892621673"/>
        </w:trPr>
        <w:tc>
          <w:tcPr>
            <w:tcW w:w="0" w:type="auto"/>
            <w:gridSpan w:val="3"/>
            <w:vAlign w:val="center"/>
            <w:hideMark/>
          </w:tcPr>
          <w:p w14:paraId="17A16EFC" w14:textId="77777777" w:rsidR="00000000" w:rsidRDefault="00A173A8">
            <w:pPr>
              <w:spacing w:after="100"/>
              <w:rPr>
                <w:rFonts w:eastAsia="Times New Roman"/>
                <w:sz w:val="20"/>
                <w:szCs w:val="20"/>
              </w:rPr>
            </w:pPr>
          </w:p>
        </w:tc>
        <w:tc>
          <w:tcPr>
            <w:tcW w:w="0" w:type="auto"/>
            <w:gridSpan w:val="3"/>
            <w:vAlign w:val="center"/>
            <w:hideMark/>
          </w:tcPr>
          <w:p w14:paraId="272B8813" w14:textId="77777777" w:rsidR="00000000" w:rsidRDefault="00A173A8">
            <w:pPr>
              <w:spacing w:after="100"/>
              <w:rPr>
                <w:rFonts w:eastAsia="Times New Roman"/>
                <w:sz w:val="20"/>
                <w:szCs w:val="20"/>
              </w:rPr>
            </w:pPr>
          </w:p>
        </w:tc>
        <w:tc>
          <w:tcPr>
            <w:tcW w:w="0" w:type="auto"/>
            <w:gridSpan w:val="3"/>
            <w:vAlign w:val="center"/>
            <w:hideMark/>
          </w:tcPr>
          <w:p w14:paraId="4C10022A" w14:textId="77777777" w:rsidR="00000000" w:rsidRDefault="00A173A8">
            <w:pPr>
              <w:spacing w:after="100"/>
              <w:rPr>
                <w:rFonts w:eastAsia="Times New Roman"/>
                <w:sz w:val="20"/>
                <w:szCs w:val="20"/>
              </w:rPr>
            </w:pPr>
          </w:p>
        </w:tc>
        <w:tc>
          <w:tcPr>
            <w:tcW w:w="0" w:type="auto"/>
            <w:gridSpan w:val="3"/>
            <w:vAlign w:val="center"/>
            <w:hideMark/>
          </w:tcPr>
          <w:p w14:paraId="1D2FE71E" w14:textId="77777777" w:rsidR="00000000" w:rsidRDefault="00A173A8">
            <w:pPr>
              <w:spacing w:after="100"/>
              <w:rPr>
                <w:rFonts w:eastAsia="Times New Roman"/>
                <w:sz w:val="20"/>
                <w:szCs w:val="20"/>
              </w:rPr>
            </w:pPr>
          </w:p>
        </w:tc>
        <w:tc>
          <w:tcPr>
            <w:tcW w:w="0" w:type="auto"/>
            <w:gridSpan w:val="3"/>
            <w:vAlign w:val="center"/>
            <w:hideMark/>
          </w:tcPr>
          <w:p w14:paraId="51C225EA" w14:textId="77777777" w:rsidR="00000000" w:rsidRDefault="00A173A8">
            <w:pPr>
              <w:spacing w:after="100"/>
              <w:rPr>
                <w:rFonts w:eastAsia="Times New Roman"/>
                <w:sz w:val="20"/>
                <w:szCs w:val="20"/>
              </w:rPr>
            </w:pPr>
          </w:p>
        </w:tc>
        <w:tc>
          <w:tcPr>
            <w:tcW w:w="0" w:type="auto"/>
            <w:gridSpan w:val="3"/>
            <w:vAlign w:val="center"/>
            <w:hideMark/>
          </w:tcPr>
          <w:p w14:paraId="20356ECE" w14:textId="77777777" w:rsidR="00000000" w:rsidRDefault="00A173A8">
            <w:pPr>
              <w:spacing w:after="100"/>
              <w:rPr>
                <w:rFonts w:eastAsia="Times New Roman"/>
                <w:sz w:val="20"/>
                <w:szCs w:val="20"/>
              </w:rPr>
            </w:pPr>
          </w:p>
        </w:tc>
        <w:tc>
          <w:tcPr>
            <w:tcW w:w="0" w:type="auto"/>
            <w:gridSpan w:val="3"/>
            <w:vAlign w:val="center"/>
            <w:hideMark/>
          </w:tcPr>
          <w:p w14:paraId="3CE8A4C9" w14:textId="77777777" w:rsidR="00000000" w:rsidRDefault="00A173A8">
            <w:pPr>
              <w:spacing w:after="100"/>
              <w:rPr>
                <w:rFonts w:eastAsia="Times New Roman"/>
                <w:sz w:val="20"/>
                <w:szCs w:val="20"/>
              </w:rPr>
            </w:pPr>
          </w:p>
        </w:tc>
        <w:tc>
          <w:tcPr>
            <w:tcW w:w="0" w:type="auto"/>
            <w:gridSpan w:val="3"/>
            <w:vAlign w:val="center"/>
            <w:hideMark/>
          </w:tcPr>
          <w:p w14:paraId="44068597" w14:textId="77777777" w:rsidR="00000000" w:rsidRDefault="00A173A8">
            <w:pPr>
              <w:spacing w:after="100"/>
              <w:rPr>
                <w:rFonts w:eastAsia="Times New Roman"/>
                <w:sz w:val="20"/>
                <w:szCs w:val="20"/>
              </w:rPr>
            </w:pPr>
          </w:p>
        </w:tc>
        <w:tc>
          <w:tcPr>
            <w:tcW w:w="0" w:type="auto"/>
            <w:gridSpan w:val="3"/>
            <w:vAlign w:val="center"/>
            <w:hideMark/>
          </w:tcPr>
          <w:p w14:paraId="493FD223" w14:textId="77777777" w:rsidR="00000000" w:rsidRDefault="00A173A8">
            <w:pPr>
              <w:spacing w:after="100"/>
              <w:rPr>
                <w:rFonts w:eastAsia="Times New Roman"/>
                <w:sz w:val="20"/>
                <w:szCs w:val="20"/>
              </w:rPr>
            </w:pPr>
          </w:p>
        </w:tc>
        <w:tc>
          <w:tcPr>
            <w:tcW w:w="0" w:type="auto"/>
            <w:gridSpan w:val="3"/>
            <w:vAlign w:val="center"/>
            <w:hideMark/>
          </w:tcPr>
          <w:p w14:paraId="306D7237" w14:textId="77777777" w:rsidR="00000000" w:rsidRDefault="00A173A8">
            <w:pPr>
              <w:spacing w:after="100"/>
              <w:rPr>
                <w:rFonts w:eastAsia="Times New Roman"/>
                <w:sz w:val="20"/>
                <w:szCs w:val="20"/>
              </w:rPr>
            </w:pPr>
          </w:p>
        </w:tc>
        <w:tc>
          <w:tcPr>
            <w:tcW w:w="0" w:type="auto"/>
            <w:gridSpan w:val="3"/>
            <w:vAlign w:val="center"/>
            <w:hideMark/>
          </w:tcPr>
          <w:p w14:paraId="71C3783A" w14:textId="77777777" w:rsidR="00000000" w:rsidRDefault="00A173A8">
            <w:pPr>
              <w:spacing w:after="100"/>
              <w:rPr>
                <w:rFonts w:eastAsia="Times New Roman"/>
                <w:sz w:val="20"/>
                <w:szCs w:val="20"/>
              </w:rPr>
            </w:pPr>
          </w:p>
        </w:tc>
        <w:tc>
          <w:tcPr>
            <w:tcW w:w="0" w:type="auto"/>
            <w:gridSpan w:val="3"/>
            <w:vAlign w:val="center"/>
            <w:hideMark/>
          </w:tcPr>
          <w:p w14:paraId="72E83783" w14:textId="77777777" w:rsidR="00000000" w:rsidRDefault="00A173A8">
            <w:pPr>
              <w:spacing w:after="100"/>
              <w:rPr>
                <w:rFonts w:eastAsia="Times New Roman"/>
                <w:sz w:val="20"/>
                <w:szCs w:val="20"/>
              </w:rPr>
            </w:pPr>
          </w:p>
        </w:tc>
        <w:tc>
          <w:tcPr>
            <w:tcW w:w="0" w:type="auto"/>
            <w:gridSpan w:val="3"/>
            <w:vAlign w:val="center"/>
            <w:hideMark/>
          </w:tcPr>
          <w:p w14:paraId="51A692E7" w14:textId="77777777" w:rsidR="00000000" w:rsidRDefault="00A173A8">
            <w:pPr>
              <w:spacing w:after="100"/>
              <w:rPr>
                <w:rFonts w:eastAsia="Times New Roman"/>
                <w:sz w:val="20"/>
                <w:szCs w:val="20"/>
              </w:rPr>
            </w:pPr>
          </w:p>
        </w:tc>
        <w:tc>
          <w:tcPr>
            <w:tcW w:w="0" w:type="auto"/>
            <w:gridSpan w:val="3"/>
            <w:vAlign w:val="center"/>
            <w:hideMark/>
          </w:tcPr>
          <w:p w14:paraId="7E5E7A8F" w14:textId="77777777" w:rsidR="00000000" w:rsidRDefault="00A173A8">
            <w:pPr>
              <w:spacing w:after="100"/>
              <w:rPr>
                <w:rFonts w:eastAsia="Times New Roman"/>
                <w:sz w:val="20"/>
                <w:szCs w:val="20"/>
              </w:rPr>
            </w:pPr>
          </w:p>
        </w:tc>
        <w:tc>
          <w:tcPr>
            <w:tcW w:w="0" w:type="auto"/>
            <w:gridSpan w:val="3"/>
            <w:vAlign w:val="center"/>
            <w:hideMark/>
          </w:tcPr>
          <w:p w14:paraId="0990CD91" w14:textId="77777777" w:rsidR="00000000" w:rsidRDefault="00A173A8">
            <w:pPr>
              <w:spacing w:after="100"/>
              <w:rPr>
                <w:rFonts w:eastAsia="Times New Roman"/>
                <w:sz w:val="20"/>
                <w:szCs w:val="20"/>
              </w:rPr>
            </w:pPr>
          </w:p>
        </w:tc>
        <w:tc>
          <w:tcPr>
            <w:tcW w:w="0" w:type="auto"/>
            <w:gridSpan w:val="3"/>
            <w:vAlign w:val="center"/>
            <w:hideMark/>
          </w:tcPr>
          <w:p w14:paraId="132AF2D8" w14:textId="77777777" w:rsidR="00000000" w:rsidRDefault="00A173A8">
            <w:pPr>
              <w:spacing w:after="100"/>
              <w:rPr>
                <w:rFonts w:eastAsia="Times New Roman"/>
                <w:sz w:val="20"/>
                <w:szCs w:val="20"/>
              </w:rPr>
            </w:pPr>
          </w:p>
        </w:tc>
        <w:tc>
          <w:tcPr>
            <w:tcW w:w="0" w:type="auto"/>
            <w:gridSpan w:val="3"/>
            <w:vAlign w:val="center"/>
            <w:hideMark/>
          </w:tcPr>
          <w:p w14:paraId="71B300AA" w14:textId="77777777" w:rsidR="00000000" w:rsidRDefault="00A173A8">
            <w:pPr>
              <w:spacing w:after="100"/>
              <w:rPr>
                <w:rFonts w:eastAsia="Times New Roman"/>
                <w:sz w:val="20"/>
                <w:szCs w:val="20"/>
              </w:rPr>
            </w:pPr>
          </w:p>
        </w:tc>
        <w:tc>
          <w:tcPr>
            <w:tcW w:w="0" w:type="auto"/>
            <w:gridSpan w:val="3"/>
            <w:vAlign w:val="center"/>
            <w:hideMark/>
          </w:tcPr>
          <w:p w14:paraId="7B2D5C6F" w14:textId="77777777" w:rsidR="00000000" w:rsidRDefault="00A173A8">
            <w:pPr>
              <w:spacing w:after="100"/>
              <w:rPr>
                <w:rFonts w:eastAsia="Times New Roman"/>
                <w:sz w:val="20"/>
                <w:szCs w:val="20"/>
              </w:rPr>
            </w:pPr>
          </w:p>
        </w:tc>
        <w:tc>
          <w:tcPr>
            <w:tcW w:w="0" w:type="auto"/>
            <w:gridSpan w:val="3"/>
            <w:vAlign w:val="center"/>
            <w:hideMark/>
          </w:tcPr>
          <w:p w14:paraId="16401712" w14:textId="77777777" w:rsidR="00000000" w:rsidRDefault="00A173A8">
            <w:pPr>
              <w:spacing w:after="100"/>
              <w:rPr>
                <w:rFonts w:eastAsia="Times New Roman"/>
                <w:sz w:val="20"/>
                <w:szCs w:val="20"/>
              </w:rPr>
            </w:pPr>
          </w:p>
        </w:tc>
      </w:tr>
      <w:tr w:rsidR="00A173A8" w14:paraId="6067A5E8" w14:textId="77777777">
        <w:trPr>
          <w:divId w:val="89262167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F0A747" w14:textId="77777777" w:rsidR="00000000" w:rsidRDefault="00A173A8">
            <w:pPr>
              <w:spacing w:after="100"/>
              <w:rPr>
                <w:rFonts w:eastAsia="Times New Roman"/>
              </w:rPr>
            </w:pPr>
            <w:r>
              <w:rPr>
                <w:rFonts w:eastAsia="Times New Roman"/>
                <w:b/>
                <w:bCs/>
                <w:color w:val="000000"/>
                <w:sz w:val="16"/>
                <w:szCs w:val="16"/>
              </w:rPr>
              <w:t>Series I</w:t>
            </w:r>
          </w:p>
        </w:tc>
        <w:tc>
          <w:tcPr>
            <w:tcW w:w="0" w:type="auto"/>
            <w:gridSpan w:val="3"/>
            <w:shd w:val="clear" w:color="auto" w:fill="CCEEFF"/>
            <w:tcMar>
              <w:top w:w="0" w:type="dxa"/>
              <w:left w:w="20" w:type="dxa"/>
              <w:bottom w:w="0" w:type="dxa"/>
              <w:right w:w="20" w:type="dxa"/>
            </w:tcMar>
            <w:vAlign w:val="center"/>
            <w:hideMark/>
          </w:tcPr>
          <w:p w14:paraId="044E1D3F"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C4B42E" w14:textId="77777777" w:rsidR="00000000" w:rsidRDefault="00A173A8">
            <w:pPr>
              <w:spacing w:after="100"/>
              <w:jc w:val="center"/>
              <w:rPr>
                <w:rFonts w:eastAsia="Times New Roman"/>
              </w:rPr>
            </w:pPr>
            <w:r>
              <w:rPr>
                <w:rFonts w:eastAsia="Times New Roman"/>
                <w:color w:val="000000"/>
                <w:sz w:val="16"/>
                <w:szCs w:val="16"/>
              </w:rPr>
              <w:t xml:space="preserve">5.000%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6C412EB0" w14:textId="77777777" w:rsidR="00000000" w:rsidRDefault="00A173A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A8F7F2" w14:textId="77777777" w:rsidR="00000000" w:rsidRDefault="00A173A8">
            <w:pPr>
              <w:spacing w:after="100"/>
              <w:jc w:val="center"/>
              <w:rPr>
                <w:rFonts w:eastAsia="Times New Roman"/>
              </w:rPr>
            </w:pPr>
            <w:r>
              <w:rPr>
                <w:rFonts w:eastAsia="Times New Roman"/>
                <w:color w:val="000000"/>
                <w:sz w:val="16"/>
                <w:szCs w:val="16"/>
              </w:rPr>
              <w:t>September 11, 2019</w:t>
            </w:r>
          </w:p>
        </w:tc>
        <w:tc>
          <w:tcPr>
            <w:tcW w:w="0" w:type="auto"/>
            <w:gridSpan w:val="3"/>
            <w:shd w:val="clear" w:color="auto" w:fill="CCEEFF"/>
            <w:tcMar>
              <w:top w:w="0" w:type="dxa"/>
              <w:left w:w="20" w:type="dxa"/>
              <w:bottom w:w="0" w:type="dxa"/>
              <w:right w:w="20" w:type="dxa"/>
            </w:tcMar>
            <w:vAlign w:val="center"/>
            <w:hideMark/>
          </w:tcPr>
          <w:p w14:paraId="3C3CC8DE" w14:textId="77777777" w:rsidR="00000000" w:rsidRDefault="00A173A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F2D135" w14:textId="77777777" w:rsidR="00000000" w:rsidRDefault="00A173A8">
            <w:pPr>
              <w:spacing w:after="100"/>
              <w:jc w:val="center"/>
              <w:rPr>
                <w:rFonts w:eastAsia="Times New Roman"/>
              </w:rPr>
            </w:pPr>
            <w:r>
              <w:rPr>
                <w:rFonts w:eastAsia="Times New Roman"/>
                <w:color w:val="000000"/>
                <w:sz w:val="16"/>
                <w:szCs w:val="16"/>
              </w:rPr>
              <w:t>December 1, 2024</w:t>
            </w:r>
          </w:p>
        </w:tc>
        <w:tc>
          <w:tcPr>
            <w:tcW w:w="0" w:type="auto"/>
            <w:gridSpan w:val="3"/>
            <w:shd w:val="clear" w:color="auto" w:fill="CCEEFF"/>
            <w:tcMar>
              <w:top w:w="0" w:type="dxa"/>
              <w:left w:w="20" w:type="dxa"/>
              <w:bottom w:w="0" w:type="dxa"/>
              <w:right w:w="20" w:type="dxa"/>
            </w:tcMar>
            <w:vAlign w:val="center"/>
            <w:hideMark/>
          </w:tcPr>
          <w:p w14:paraId="38508897" w14:textId="77777777" w:rsidR="00000000" w:rsidRDefault="00A173A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94D464" w14:textId="77777777" w:rsidR="00000000" w:rsidRDefault="00A173A8">
            <w:pPr>
              <w:spacing w:after="100"/>
              <w:jc w:val="center"/>
              <w:rPr>
                <w:rFonts w:eastAsia="Times New Roman"/>
              </w:rPr>
            </w:pPr>
            <w:r>
              <w:rPr>
                <w:rFonts w:eastAsia="Times New Roman"/>
                <w:color w:val="000000"/>
                <w:sz w:val="16"/>
                <w:szCs w:val="16"/>
              </w:rPr>
              <w:t>5.000%</w:t>
            </w:r>
          </w:p>
        </w:tc>
        <w:tc>
          <w:tcPr>
            <w:tcW w:w="0" w:type="auto"/>
            <w:gridSpan w:val="3"/>
            <w:shd w:val="clear" w:color="auto" w:fill="CCEEFF"/>
            <w:tcMar>
              <w:top w:w="0" w:type="dxa"/>
              <w:left w:w="20" w:type="dxa"/>
              <w:bottom w:w="0" w:type="dxa"/>
              <w:right w:w="20" w:type="dxa"/>
            </w:tcMar>
            <w:vAlign w:val="center"/>
            <w:hideMark/>
          </w:tcPr>
          <w:p w14:paraId="5CA4A80A" w14:textId="77777777" w:rsidR="00000000" w:rsidRDefault="00A173A8">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CF6BD0" w14:textId="77777777" w:rsidR="00000000" w:rsidRDefault="00A173A8">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14:paraId="3767DEC8" w14:textId="77777777" w:rsidR="00000000" w:rsidRDefault="00A173A8">
            <w:pPr>
              <w:spacing w:after="100"/>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DA7ECB"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3EE6F2" w14:textId="77777777" w:rsidR="00000000" w:rsidRDefault="00A173A8">
            <w:pPr>
              <w:spacing w:after="100"/>
              <w:jc w:val="right"/>
              <w:rPr>
                <w:rFonts w:eastAsia="Times New Roman"/>
              </w:rPr>
            </w:pPr>
            <w:r>
              <w:rPr>
                <w:rFonts w:eastAsia="Times New Roman"/>
                <w:color w:val="000000"/>
                <w:sz w:val="16"/>
                <w:szCs w:val="16"/>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2EAA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4C1F1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527261" w14:textId="77777777" w:rsidR="00000000" w:rsidRDefault="00A173A8">
            <w:pPr>
              <w:spacing w:after="100"/>
              <w:jc w:val="right"/>
              <w:rPr>
                <w:rFonts w:eastAsia="Times New Roman"/>
              </w:rPr>
            </w:pPr>
            <w:r>
              <w:rPr>
                <w:rFonts w:eastAsia="Times New Roman"/>
                <w:color w:val="000000"/>
                <w:sz w:val="16"/>
                <w:szCs w:val="16"/>
              </w:rPr>
              <w:t>1,500,000 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FABAB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DA09A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AFFE5E"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BE1B4F" w14:textId="77777777" w:rsidR="00000000" w:rsidRDefault="00A173A8">
            <w:pPr>
              <w:spacing w:after="100"/>
              <w:jc w:val="right"/>
              <w:rPr>
                <w:rFonts w:eastAsia="Times New Roman"/>
              </w:rPr>
            </w:pPr>
            <w:r>
              <w:rPr>
                <w:rFonts w:eastAsia="Times New Roman"/>
                <w:b/>
                <w:bCs/>
                <w:color w:val="000000"/>
                <w:sz w:val="16"/>
                <w:szCs w:val="16"/>
              </w:rPr>
              <w:t>1,462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2AAA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E07897"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7F292D"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5B618A" w14:textId="77777777" w:rsidR="00000000" w:rsidRDefault="00A173A8">
            <w:pPr>
              <w:spacing w:after="100"/>
              <w:jc w:val="right"/>
              <w:rPr>
                <w:rFonts w:eastAsia="Times New Roman"/>
              </w:rPr>
            </w:pPr>
            <w:r>
              <w:rPr>
                <w:rFonts w:eastAsia="Times New Roman"/>
                <w:color w:val="000000"/>
                <w:sz w:val="16"/>
                <w:szCs w:val="16"/>
              </w:rPr>
              <w:t>1,462 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B9BBD5" w14:textId="77777777" w:rsidR="00000000" w:rsidRDefault="00A173A8">
            <w:pPr>
              <w:spacing w:after="100"/>
              <w:jc w:val="right"/>
              <w:rPr>
                <w:rFonts w:eastAsia="Times New Roman"/>
              </w:rPr>
            </w:pPr>
          </w:p>
        </w:tc>
      </w:tr>
      <w:tr w:rsidR="00000000" w14:paraId="633C2EFC" w14:textId="77777777">
        <w:trPr>
          <w:divId w:val="892621673"/>
        </w:trPr>
        <w:tc>
          <w:tcPr>
            <w:tcW w:w="0" w:type="auto"/>
            <w:gridSpan w:val="3"/>
            <w:shd w:val="clear" w:color="auto" w:fill="FFFFFF"/>
            <w:tcMar>
              <w:top w:w="30" w:type="dxa"/>
              <w:left w:w="20" w:type="dxa"/>
              <w:bottom w:w="30" w:type="dxa"/>
              <w:right w:w="20" w:type="dxa"/>
            </w:tcMar>
            <w:vAlign w:val="bottom"/>
            <w:hideMark/>
          </w:tcPr>
          <w:p w14:paraId="035492B9" w14:textId="77777777" w:rsidR="00000000" w:rsidRDefault="00A173A8">
            <w:pPr>
              <w:spacing w:after="100"/>
              <w:rPr>
                <w:rFonts w:eastAsia="Times New Roman"/>
              </w:rPr>
            </w:pPr>
            <w:r>
              <w:rPr>
                <w:rFonts w:eastAsia="Times New Roman"/>
                <w:b/>
                <w:bCs/>
                <w:color w:val="000000"/>
                <w:sz w:val="16"/>
                <w:szCs w:val="16"/>
              </w:rPr>
              <w:t>Series J</w:t>
            </w:r>
          </w:p>
        </w:tc>
        <w:tc>
          <w:tcPr>
            <w:tcW w:w="0" w:type="auto"/>
            <w:gridSpan w:val="3"/>
            <w:shd w:val="clear" w:color="auto" w:fill="FFFFFF"/>
            <w:tcMar>
              <w:top w:w="0" w:type="dxa"/>
              <w:left w:w="20" w:type="dxa"/>
              <w:bottom w:w="0" w:type="dxa"/>
              <w:right w:w="20" w:type="dxa"/>
            </w:tcMar>
            <w:vAlign w:val="center"/>
            <w:hideMark/>
          </w:tcPr>
          <w:p w14:paraId="5E8D63B9"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137A9F7" w14:textId="77777777" w:rsidR="00000000" w:rsidRDefault="00A173A8">
            <w:pPr>
              <w:spacing w:after="100"/>
              <w:jc w:val="center"/>
              <w:rPr>
                <w:rFonts w:eastAsia="Times New Roman"/>
              </w:rPr>
            </w:pPr>
            <w:r>
              <w:rPr>
                <w:rFonts w:eastAsia="Times New Roman"/>
                <w:color w:val="000000"/>
                <w:sz w:val="16"/>
                <w:szCs w:val="16"/>
              </w:rPr>
              <w:t xml:space="preserve">4.800% </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14:paraId="7F805FF0"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AED7A16" w14:textId="77777777" w:rsidR="00000000" w:rsidRDefault="00A173A8">
            <w:pPr>
              <w:spacing w:after="100"/>
              <w:jc w:val="center"/>
              <w:rPr>
                <w:rFonts w:eastAsia="Times New Roman"/>
              </w:rPr>
            </w:pPr>
            <w:r>
              <w:rPr>
                <w:rFonts w:eastAsia="Times New Roman"/>
                <w:color w:val="000000"/>
                <w:sz w:val="16"/>
                <w:szCs w:val="16"/>
              </w:rPr>
              <w:t>January 31, 2020</w:t>
            </w:r>
          </w:p>
        </w:tc>
        <w:tc>
          <w:tcPr>
            <w:tcW w:w="0" w:type="auto"/>
            <w:gridSpan w:val="3"/>
            <w:shd w:val="clear" w:color="auto" w:fill="FFFFFF"/>
            <w:tcMar>
              <w:top w:w="0" w:type="dxa"/>
              <w:left w:w="20" w:type="dxa"/>
              <w:bottom w:w="0" w:type="dxa"/>
              <w:right w:w="20" w:type="dxa"/>
            </w:tcMar>
            <w:vAlign w:val="center"/>
            <w:hideMark/>
          </w:tcPr>
          <w:p w14:paraId="0371A099"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92AB1C6" w14:textId="77777777" w:rsidR="00000000" w:rsidRDefault="00A173A8">
            <w:pPr>
              <w:spacing w:after="100"/>
              <w:jc w:val="center"/>
              <w:rPr>
                <w:rFonts w:eastAsia="Times New Roman"/>
              </w:rPr>
            </w:pPr>
            <w:r>
              <w:rPr>
                <w:rFonts w:eastAsia="Times New Roman"/>
                <w:color w:val="000000"/>
                <w:sz w:val="16"/>
                <w:szCs w:val="16"/>
              </w:rPr>
              <w:t>June 1, 2025</w:t>
            </w:r>
          </w:p>
        </w:tc>
        <w:tc>
          <w:tcPr>
            <w:tcW w:w="0" w:type="auto"/>
            <w:gridSpan w:val="3"/>
            <w:shd w:val="clear" w:color="auto" w:fill="FFFFFF"/>
            <w:tcMar>
              <w:top w:w="0" w:type="dxa"/>
              <w:left w:w="20" w:type="dxa"/>
              <w:bottom w:w="0" w:type="dxa"/>
              <w:right w:w="20" w:type="dxa"/>
            </w:tcMar>
            <w:vAlign w:val="center"/>
            <w:hideMark/>
          </w:tcPr>
          <w:p w14:paraId="35F2C881"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E02D2F5" w14:textId="77777777" w:rsidR="00000000" w:rsidRDefault="00A173A8">
            <w:pPr>
              <w:spacing w:after="100"/>
              <w:jc w:val="center"/>
              <w:rPr>
                <w:rFonts w:eastAsia="Times New Roman"/>
              </w:rPr>
            </w:pPr>
            <w:r>
              <w:rPr>
                <w:rFonts w:eastAsia="Times New Roman"/>
                <w:color w:val="000000"/>
                <w:sz w:val="16"/>
                <w:szCs w:val="16"/>
              </w:rPr>
              <w:t>4.800</w:t>
            </w:r>
          </w:p>
        </w:tc>
        <w:tc>
          <w:tcPr>
            <w:tcW w:w="0" w:type="auto"/>
            <w:gridSpan w:val="3"/>
            <w:shd w:val="clear" w:color="auto" w:fill="FFFFFF"/>
            <w:tcMar>
              <w:top w:w="0" w:type="dxa"/>
              <w:left w:w="20" w:type="dxa"/>
              <w:bottom w:w="0" w:type="dxa"/>
              <w:right w:w="20" w:type="dxa"/>
            </w:tcMar>
            <w:vAlign w:val="center"/>
            <w:hideMark/>
          </w:tcPr>
          <w:p w14:paraId="0D63CF88"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91D55AB" w14:textId="77777777" w:rsidR="00000000" w:rsidRDefault="00A173A8">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14:paraId="056C62FB" w14:textId="77777777" w:rsidR="00000000" w:rsidRDefault="00A173A8">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1DF334" w14:textId="77777777" w:rsidR="00000000" w:rsidRDefault="00A173A8">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5A07D8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2B81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5D9004" w14:textId="77777777" w:rsidR="00000000" w:rsidRDefault="00A173A8">
            <w:pPr>
              <w:spacing w:after="100"/>
              <w:jc w:val="right"/>
              <w:rPr>
                <w:rFonts w:eastAsia="Times New Roman"/>
              </w:rPr>
            </w:pPr>
            <w:r>
              <w:rPr>
                <w:rFonts w:eastAsia="Times New Roman"/>
                <w:color w:val="000000"/>
                <w:sz w:val="16"/>
                <w:szCs w:val="16"/>
              </w:rPr>
              <w:t>1,250,000 </w:t>
            </w:r>
          </w:p>
        </w:tc>
        <w:tc>
          <w:tcPr>
            <w:tcW w:w="0" w:type="auto"/>
            <w:shd w:val="clear" w:color="auto" w:fill="FFFFFF"/>
            <w:tcMar>
              <w:top w:w="30" w:type="dxa"/>
              <w:left w:w="0" w:type="dxa"/>
              <w:bottom w:w="30" w:type="dxa"/>
              <w:right w:w="20" w:type="dxa"/>
            </w:tcMar>
            <w:vAlign w:val="bottom"/>
            <w:hideMark/>
          </w:tcPr>
          <w:p w14:paraId="016AC9E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FDA8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FFA824" w14:textId="77777777" w:rsidR="00000000" w:rsidRDefault="00A173A8">
            <w:pPr>
              <w:spacing w:after="100"/>
              <w:jc w:val="right"/>
              <w:rPr>
                <w:rFonts w:eastAsia="Times New Roman"/>
              </w:rPr>
            </w:pPr>
            <w:r>
              <w:rPr>
                <w:rFonts w:eastAsia="Times New Roman"/>
                <w:b/>
                <w:bCs/>
                <w:color w:val="000000"/>
                <w:sz w:val="16"/>
                <w:szCs w:val="16"/>
              </w:rPr>
              <w:t>1,209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2E2418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F8805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60F243" w14:textId="77777777" w:rsidR="00000000" w:rsidRDefault="00A173A8">
            <w:pPr>
              <w:spacing w:after="100"/>
              <w:jc w:val="right"/>
              <w:rPr>
                <w:rFonts w:eastAsia="Times New Roman"/>
              </w:rPr>
            </w:pPr>
            <w:r>
              <w:rPr>
                <w:rFonts w:eastAsia="Times New Roman"/>
                <w:color w:val="000000"/>
                <w:sz w:val="16"/>
                <w:szCs w:val="16"/>
              </w:rPr>
              <w:t>1,209 </w:t>
            </w:r>
          </w:p>
        </w:tc>
        <w:tc>
          <w:tcPr>
            <w:tcW w:w="0" w:type="auto"/>
            <w:shd w:val="clear" w:color="auto" w:fill="FFFFFF"/>
            <w:tcMar>
              <w:top w:w="30" w:type="dxa"/>
              <w:left w:w="0" w:type="dxa"/>
              <w:bottom w:w="30" w:type="dxa"/>
              <w:right w:w="20" w:type="dxa"/>
            </w:tcMar>
            <w:vAlign w:val="bottom"/>
            <w:hideMark/>
          </w:tcPr>
          <w:p w14:paraId="163AA798" w14:textId="77777777" w:rsidR="00000000" w:rsidRDefault="00A173A8">
            <w:pPr>
              <w:spacing w:after="100"/>
              <w:jc w:val="right"/>
              <w:rPr>
                <w:rFonts w:eastAsia="Times New Roman"/>
              </w:rPr>
            </w:pPr>
          </w:p>
        </w:tc>
      </w:tr>
      <w:tr w:rsidR="00000000" w14:paraId="0B9D22BB" w14:textId="77777777">
        <w:trPr>
          <w:divId w:val="892621673"/>
        </w:trPr>
        <w:tc>
          <w:tcPr>
            <w:tcW w:w="0" w:type="auto"/>
            <w:gridSpan w:val="3"/>
            <w:shd w:val="clear" w:color="auto" w:fill="CCEEFF"/>
            <w:tcMar>
              <w:top w:w="30" w:type="dxa"/>
              <w:left w:w="20" w:type="dxa"/>
              <w:bottom w:w="30" w:type="dxa"/>
              <w:right w:w="20" w:type="dxa"/>
            </w:tcMar>
            <w:vAlign w:val="bottom"/>
            <w:hideMark/>
          </w:tcPr>
          <w:p w14:paraId="16E35F4D" w14:textId="77777777" w:rsidR="00000000" w:rsidRDefault="00A173A8">
            <w:pPr>
              <w:spacing w:after="100"/>
              <w:rPr>
                <w:rFonts w:eastAsia="Times New Roman"/>
              </w:rPr>
            </w:pPr>
            <w:r>
              <w:rPr>
                <w:rFonts w:eastAsia="Times New Roman"/>
                <w:b/>
                <w:bCs/>
                <w:color w:val="000000"/>
                <w:sz w:val="16"/>
                <w:szCs w:val="16"/>
              </w:rPr>
              <w:t>Series K</w:t>
            </w:r>
          </w:p>
        </w:tc>
        <w:tc>
          <w:tcPr>
            <w:tcW w:w="0" w:type="auto"/>
            <w:gridSpan w:val="3"/>
            <w:shd w:val="clear" w:color="auto" w:fill="CCEEFF"/>
            <w:tcMar>
              <w:top w:w="0" w:type="dxa"/>
              <w:left w:w="20" w:type="dxa"/>
              <w:bottom w:w="0" w:type="dxa"/>
              <w:right w:w="20" w:type="dxa"/>
            </w:tcMar>
            <w:vAlign w:val="center"/>
            <w:hideMark/>
          </w:tcPr>
          <w:p w14:paraId="2BCBDA13"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79E138" w14:textId="77777777" w:rsidR="00000000" w:rsidRDefault="00A173A8">
            <w:pPr>
              <w:spacing w:after="100"/>
              <w:jc w:val="center"/>
              <w:rPr>
                <w:rFonts w:eastAsia="Times New Roman"/>
              </w:rPr>
            </w:pPr>
            <w:r>
              <w:rPr>
                <w:rFonts w:eastAsia="Times New Roman"/>
                <w:color w:val="000000"/>
                <w:sz w:val="16"/>
                <w:szCs w:val="16"/>
              </w:rPr>
              <w:t>4.625%</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4CC204C6"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3DFB31" w14:textId="77777777" w:rsidR="00000000" w:rsidRDefault="00A173A8">
            <w:pPr>
              <w:spacing w:after="100"/>
              <w:jc w:val="center"/>
              <w:rPr>
                <w:rFonts w:eastAsia="Times New Roman"/>
              </w:rPr>
            </w:pPr>
            <w:r>
              <w:rPr>
                <w:rFonts w:eastAsia="Times New Roman"/>
                <w:color w:val="000000"/>
                <w:sz w:val="16"/>
                <w:szCs w:val="16"/>
              </w:rPr>
              <w:t>September 17, 2020</w:t>
            </w:r>
          </w:p>
        </w:tc>
        <w:tc>
          <w:tcPr>
            <w:tcW w:w="0" w:type="auto"/>
            <w:gridSpan w:val="3"/>
            <w:shd w:val="clear" w:color="auto" w:fill="CCEEFF"/>
            <w:tcMar>
              <w:top w:w="0" w:type="dxa"/>
              <w:left w:w="20" w:type="dxa"/>
              <w:bottom w:w="0" w:type="dxa"/>
              <w:right w:w="20" w:type="dxa"/>
            </w:tcMar>
            <w:vAlign w:val="center"/>
            <w:hideMark/>
          </w:tcPr>
          <w:p w14:paraId="46DA69C8"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418F579" w14:textId="77777777" w:rsidR="00000000" w:rsidRDefault="00A173A8">
            <w:pPr>
              <w:spacing w:after="100"/>
              <w:jc w:val="center"/>
              <w:rPr>
                <w:rFonts w:eastAsia="Times New Roman"/>
              </w:rPr>
            </w:pPr>
            <w:r>
              <w:rPr>
                <w:rFonts w:eastAsia="Times New Roman"/>
                <w:color w:val="000000"/>
                <w:sz w:val="16"/>
                <w:szCs w:val="16"/>
              </w:rPr>
              <w:t>December 1, 2025</w:t>
            </w:r>
          </w:p>
        </w:tc>
        <w:tc>
          <w:tcPr>
            <w:tcW w:w="0" w:type="auto"/>
            <w:gridSpan w:val="3"/>
            <w:shd w:val="clear" w:color="auto" w:fill="CCEEFF"/>
            <w:tcMar>
              <w:top w:w="0" w:type="dxa"/>
              <w:left w:w="20" w:type="dxa"/>
              <w:bottom w:w="0" w:type="dxa"/>
              <w:right w:w="20" w:type="dxa"/>
            </w:tcMar>
            <w:vAlign w:val="center"/>
            <w:hideMark/>
          </w:tcPr>
          <w:p w14:paraId="0C8DF84E"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D7B778B" w14:textId="77777777" w:rsidR="00000000" w:rsidRDefault="00A173A8">
            <w:pPr>
              <w:spacing w:after="100"/>
              <w:jc w:val="center"/>
              <w:rPr>
                <w:rFonts w:eastAsia="Times New Roman"/>
              </w:rPr>
            </w:pPr>
            <w:r>
              <w:rPr>
                <w:rFonts w:eastAsia="Times New Roman"/>
                <w:color w:val="000000"/>
                <w:sz w:val="16"/>
                <w:szCs w:val="16"/>
              </w:rPr>
              <w:t>4.625</w:t>
            </w:r>
          </w:p>
        </w:tc>
        <w:tc>
          <w:tcPr>
            <w:tcW w:w="0" w:type="auto"/>
            <w:gridSpan w:val="3"/>
            <w:shd w:val="clear" w:color="auto" w:fill="CCEEFF"/>
            <w:tcMar>
              <w:top w:w="0" w:type="dxa"/>
              <w:left w:w="20" w:type="dxa"/>
              <w:bottom w:w="0" w:type="dxa"/>
              <w:right w:w="20" w:type="dxa"/>
            </w:tcMar>
            <w:vAlign w:val="center"/>
            <w:hideMark/>
          </w:tcPr>
          <w:p w14:paraId="44A5D39B"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8B3BF6C" w14:textId="77777777" w:rsidR="00000000" w:rsidRDefault="00A173A8">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14:paraId="12C34B1C" w14:textId="77777777" w:rsidR="00000000" w:rsidRDefault="00A173A8">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251F7A" w14:textId="77777777" w:rsidR="00000000" w:rsidRDefault="00A173A8">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14:paraId="50356EE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C56C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C904DB" w14:textId="77777777" w:rsidR="00000000" w:rsidRDefault="00A173A8">
            <w:pPr>
              <w:spacing w:after="100"/>
              <w:jc w:val="right"/>
              <w:rPr>
                <w:rFonts w:eastAsia="Times New Roman"/>
              </w:rPr>
            </w:pPr>
            <w:r>
              <w:rPr>
                <w:rFonts w:eastAsia="Times New Roman"/>
                <w:color w:val="000000"/>
                <w:sz w:val="16"/>
                <w:szCs w:val="16"/>
              </w:rPr>
              <w:t>125,000 </w:t>
            </w:r>
          </w:p>
        </w:tc>
        <w:tc>
          <w:tcPr>
            <w:tcW w:w="0" w:type="auto"/>
            <w:shd w:val="clear" w:color="auto" w:fill="CCEEFF"/>
            <w:tcMar>
              <w:top w:w="30" w:type="dxa"/>
              <w:left w:w="0" w:type="dxa"/>
              <w:bottom w:w="30" w:type="dxa"/>
              <w:right w:w="20" w:type="dxa"/>
            </w:tcMar>
            <w:vAlign w:val="bottom"/>
            <w:hideMark/>
          </w:tcPr>
          <w:p w14:paraId="17CBF7C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CC22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E0C8CD" w14:textId="77777777" w:rsidR="00000000" w:rsidRDefault="00A173A8">
            <w:pPr>
              <w:spacing w:after="100"/>
              <w:jc w:val="right"/>
              <w:rPr>
                <w:rFonts w:eastAsia="Times New Roman"/>
              </w:rPr>
            </w:pPr>
            <w:r>
              <w:rPr>
                <w:rFonts w:eastAsia="Times New Roman"/>
                <w:b/>
                <w:bCs/>
                <w:color w:val="000000"/>
                <w:sz w:val="16"/>
                <w:szCs w:val="16"/>
              </w:rPr>
              <w:t>122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8445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6FED3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EBDB2D" w14:textId="77777777" w:rsidR="00000000" w:rsidRDefault="00A173A8">
            <w:pPr>
              <w:spacing w:after="100"/>
              <w:jc w:val="right"/>
              <w:rPr>
                <w:rFonts w:eastAsia="Times New Roman"/>
              </w:rPr>
            </w:pPr>
            <w:r>
              <w:rPr>
                <w:rFonts w:eastAsia="Times New Roman"/>
                <w:color w:val="000000"/>
                <w:sz w:val="16"/>
                <w:szCs w:val="16"/>
              </w:rPr>
              <w:t>122 </w:t>
            </w:r>
          </w:p>
        </w:tc>
        <w:tc>
          <w:tcPr>
            <w:tcW w:w="0" w:type="auto"/>
            <w:shd w:val="clear" w:color="auto" w:fill="CCEEFF"/>
            <w:tcMar>
              <w:top w:w="30" w:type="dxa"/>
              <w:left w:w="0" w:type="dxa"/>
              <w:bottom w:w="30" w:type="dxa"/>
              <w:right w:w="20" w:type="dxa"/>
            </w:tcMar>
            <w:vAlign w:val="bottom"/>
            <w:hideMark/>
          </w:tcPr>
          <w:p w14:paraId="0D442DC9" w14:textId="77777777" w:rsidR="00000000" w:rsidRDefault="00A173A8">
            <w:pPr>
              <w:spacing w:after="100"/>
              <w:jc w:val="right"/>
              <w:rPr>
                <w:rFonts w:eastAsia="Times New Roman"/>
              </w:rPr>
            </w:pPr>
          </w:p>
        </w:tc>
      </w:tr>
      <w:tr w:rsidR="00000000" w14:paraId="7CDB2A55" w14:textId="77777777">
        <w:trPr>
          <w:divId w:val="892621673"/>
        </w:trPr>
        <w:tc>
          <w:tcPr>
            <w:tcW w:w="0" w:type="auto"/>
            <w:gridSpan w:val="3"/>
            <w:shd w:val="clear" w:color="auto" w:fill="FFFFFF"/>
            <w:tcMar>
              <w:top w:w="30" w:type="dxa"/>
              <w:left w:w="20" w:type="dxa"/>
              <w:bottom w:w="30" w:type="dxa"/>
              <w:right w:w="20" w:type="dxa"/>
            </w:tcMar>
            <w:vAlign w:val="bottom"/>
            <w:hideMark/>
          </w:tcPr>
          <w:p w14:paraId="264A27F1" w14:textId="77777777" w:rsidR="00000000" w:rsidRDefault="00A173A8">
            <w:pPr>
              <w:spacing w:after="100"/>
              <w:rPr>
                <w:rFonts w:eastAsia="Times New Roman"/>
              </w:rPr>
            </w:pPr>
            <w:r>
              <w:rPr>
                <w:rFonts w:eastAsia="Times New Roman"/>
                <w:b/>
                <w:bCs/>
                <w:color w:val="000000"/>
                <w:sz w:val="16"/>
                <w:szCs w:val="16"/>
              </w:rPr>
              <w:t>Series L</w:t>
            </w:r>
          </w:p>
        </w:tc>
        <w:tc>
          <w:tcPr>
            <w:tcW w:w="0" w:type="auto"/>
            <w:gridSpan w:val="3"/>
            <w:shd w:val="clear" w:color="auto" w:fill="FFFFFF"/>
            <w:tcMar>
              <w:top w:w="0" w:type="dxa"/>
              <w:left w:w="20" w:type="dxa"/>
              <w:bottom w:w="0" w:type="dxa"/>
              <w:right w:w="20" w:type="dxa"/>
            </w:tcMar>
            <w:vAlign w:val="center"/>
            <w:hideMark/>
          </w:tcPr>
          <w:p w14:paraId="05EB1163"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606A55C" w14:textId="77777777" w:rsidR="00000000" w:rsidRDefault="00A173A8">
            <w:pPr>
              <w:spacing w:after="100"/>
              <w:jc w:val="center"/>
              <w:rPr>
                <w:rFonts w:eastAsia="Times New Roman"/>
              </w:rPr>
            </w:pPr>
            <w:r>
              <w:rPr>
                <w:rFonts w:eastAsia="Times New Roman"/>
                <w:color w:val="000000"/>
                <w:sz w:val="16"/>
                <w:szCs w:val="16"/>
              </w:rPr>
              <w:t>4.375%</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14:paraId="68027C35"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63E987" w14:textId="77777777" w:rsidR="00000000" w:rsidRDefault="00A173A8">
            <w:pPr>
              <w:spacing w:after="100"/>
              <w:jc w:val="center"/>
              <w:rPr>
                <w:rFonts w:eastAsia="Times New Roman"/>
              </w:rPr>
            </w:pPr>
            <w:r>
              <w:rPr>
                <w:rFonts w:eastAsia="Times New Roman"/>
                <w:color w:val="000000"/>
                <w:sz w:val="16"/>
                <w:szCs w:val="16"/>
              </w:rPr>
              <w:t>May 4, 2021</w:t>
            </w:r>
          </w:p>
        </w:tc>
        <w:tc>
          <w:tcPr>
            <w:tcW w:w="0" w:type="auto"/>
            <w:gridSpan w:val="3"/>
            <w:shd w:val="clear" w:color="auto" w:fill="FFFFFF"/>
            <w:tcMar>
              <w:top w:w="0" w:type="dxa"/>
              <w:left w:w="20" w:type="dxa"/>
              <w:bottom w:w="0" w:type="dxa"/>
              <w:right w:w="20" w:type="dxa"/>
            </w:tcMar>
            <w:vAlign w:val="center"/>
            <w:hideMark/>
          </w:tcPr>
          <w:p w14:paraId="0E02A594"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696E7D3" w14:textId="77777777" w:rsidR="00000000" w:rsidRDefault="00A173A8">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FFFFFF"/>
            <w:tcMar>
              <w:top w:w="0" w:type="dxa"/>
              <w:left w:w="20" w:type="dxa"/>
              <w:bottom w:w="0" w:type="dxa"/>
              <w:right w:w="20" w:type="dxa"/>
            </w:tcMar>
            <w:vAlign w:val="center"/>
            <w:hideMark/>
          </w:tcPr>
          <w:p w14:paraId="364840F3"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CF08611" w14:textId="77777777" w:rsidR="00000000" w:rsidRDefault="00A173A8">
            <w:pPr>
              <w:spacing w:after="100"/>
              <w:jc w:val="center"/>
              <w:rPr>
                <w:rFonts w:eastAsia="Times New Roman"/>
              </w:rPr>
            </w:pPr>
            <w:r>
              <w:rPr>
                <w:rFonts w:eastAsia="Times New Roman"/>
                <w:color w:val="000000"/>
                <w:sz w:val="16"/>
                <w:szCs w:val="16"/>
              </w:rPr>
              <w:t>4.375</w:t>
            </w:r>
          </w:p>
        </w:tc>
        <w:tc>
          <w:tcPr>
            <w:tcW w:w="0" w:type="auto"/>
            <w:gridSpan w:val="3"/>
            <w:shd w:val="clear" w:color="auto" w:fill="FFFFFF"/>
            <w:tcMar>
              <w:top w:w="0" w:type="dxa"/>
              <w:left w:w="20" w:type="dxa"/>
              <w:bottom w:w="0" w:type="dxa"/>
              <w:right w:w="20" w:type="dxa"/>
            </w:tcMar>
            <w:vAlign w:val="center"/>
            <w:hideMark/>
          </w:tcPr>
          <w:p w14:paraId="02540136"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BBF2F95" w14:textId="77777777" w:rsidR="00000000" w:rsidRDefault="00A173A8">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14:paraId="20916576" w14:textId="77777777" w:rsidR="00000000" w:rsidRDefault="00A173A8">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EE33DE" w14:textId="77777777" w:rsidR="00000000" w:rsidRDefault="00A173A8">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4148708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11398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D85453" w14:textId="77777777" w:rsidR="00000000" w:rsidRDefault="00A173A8">
            <w:pPr>
              <w:spacing w:after="100"/>
              <w:jc w:val="right"/>
              <w:rPr>
                <w:rFonts w:eastAsia="Times New Roman"/>
              </w:rPr>
            </w:pPr>
            <w:r>
              <w:rPr>
                <w:rFonts w:eastAsia="Times New Roman"/>
                <w:color w:val="000000"/>
                <w:sz w:val="16"/>
                <w:szCs w:val="16"/>
              </w:rPr>
              <w:t>675,000 </w:t>
            </w:r>
          </w:p>
        </w:tc>
        <w:tc>
          <w:tcPr>
            <w:tcW w:w="0" w:type="auto"/>
            <w:shd w:val="clear" w:color="auto" w:fill="FFFFFF"/>
            <w:tcMar>
              <w:top w:w="30" w:type="dxa"/>
              <w:left w:w="0" w:type="dxa"/>
              <w:bottom w:w="30" w:type="dxa"/>
              <w:right w:w="20" w:type="dxa"/>
            </w:tcMar>
            <w:vAlign w:val="bottom"/>
            <w:hideMark/>
          </w:tcPr>
          <w:p w14:paraId="04279FB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5EAD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B02EDF" w14:textId="77777777" w:rsidR="00000000" w:rsidRDefault="00A173A8">
            <w:pPr>
              <w:spacing w:after="100"/>
              <w:jc w:val="right"/>
              <w:rPr>
                <w:rFonts w:eastAsia="Times New Roman"/>
              </w:rPr>
            </w:pPr>
            <w:r>
              <w:rPr>
                <w:rFonts w:eastAsia="Times New Roman"/>
                <w:b/>
                <w:bCs/>
                <w:color w:val="000000"/>
                <w:sz w:val="16"/>
                <w:szCs w:val="16"/>
              </w:rPr>
              <w:t>652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E03145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2FA2F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8BF6BD" w14:textId="77777777" w:rsidR="00000000" w:rsidRDefault="00A173A8">
            <w:pPr>
              <w:spacing w:after="100"/>
              <w:jc w:val="right"/>
              <w:rPr>
                <w:rFonts w:eastAsia="Times New Roman"/>
              </w:rPr>
            </w:pPr>
            <w:r>
              <w:rPr>
                <w:rFonts w:eastAsia="Times New Roman"/>
                <w:color w:val="000000"/>
                <w:sz w:val="16"/>
                <w:szCs w:val="16"/>
              </w:rPr>
              <w:t>652 </w:t>
            </w:r>
          </w:p>
        </w:tc>
        <w:tc>
          <w:tcPr>
            <w:tcW w:w="0" w:type="auto"/>
            <w:shd w:val="clear" w:color="auto" w:fill="FFFFFF"/>
            <w:tcMar>
              <w:top w:w="30" w:type="dxa"/>
              <w:left w:w="0" w:type="dxa"/>
              <w:bottom w:w="30" w:type="dxa"/>
              <w:right w:w="20" w:type="dxa"/>
            </w:tcMar>
            <w:vAlign w:val="bottom"/>
            <w:hideMark/>
          </w:tcPr>
          <w:p w14:paraId="298560B1" w14:textId="77777777" w:rsidR="00000000" w:rsidRDefault="00A173A8">
            <w:pPr>
              <w:spacing w:after="100"/>
              <w:jc w:val="right"/>
              <w:rPr>
                <w:rFonts w:eastAsia="Times New Roman"/>
              </w:rPr>
            </w:pPr>
          </w:p>
        </w:tc>
      </w:tr>
      <w:tr w:rsidR="00000000" w14:paraId="0B0A0A50" w14:textId="77777777">
        <w:trPr>
          <w:divId w:val="892621673"/>
        </w:trPr>
        <w:tc>
          <w:tcPr>
            <w:tcW w:w="0" w:type="auto"/>
            <w:gridSpan w:val="3"/>
            <w:shd w:val="clear" w:color="auto" w:fill="CCEEFF"/>
            <w:tcMar>
              <w:top w:w="30" w:type="dxa"/>
              <w:left w:w="20" w:type="dxa"/>
              <w:bottom w:w="30" w:type="dxa"/>
              <w:right w:w="20" w:type="dxa"/>
            </w:tcMar>
            <w:vAlign w:val="bottom"/>
            <w:hideMark/>
          </w:tcPr>
          <w:p w14:paraId="7EF3FC61" w14:textId="77777777" w:rsidR="00000000" w:rsidRDefault="00A173A8">
            <w:pPr>
              <w:spacing w:after="100"/>
              <w:rPr>
                <w:rFonts w:eastAsia="Times New Roman"/>
              </w:rPr>
            </w:pPr>
            <w:r>
              <w:rPr>
                <w:rFonts w:eastAsia="Times New Roman"/>
                <w:b/>
                <w:bCs/>
                <w:color w:val="000000"/>
                <w:sz w:val="16"/>
                <w:szCs w:val="16"/>
              </w:rPr>
              <w:t>Series M</w:t>
            </w:r>
          </w:p>
        </w:tc>
        <w:tc>
          <w:tcPr>
            <w:tcW w:w="0" w:type="auto"/>
            <w:gridSpan w:val="3"/>
            <w:shd w:val="clear" w:color="auto" w:fill="CCEEFF"/>
            <w:tcMar>
              <w:top w:w="0" w:type="dxa"/>
              <w:left w:w="20" w:type="dxa"/>
              <w:bottom w:w="0" w:type="dxa"/>
              <w:right w:w="20" w:type="dxa"/>
            </w:tcMar>
            <w:vAlign w:val="center"/>
            <w:hideMark/>
          </w:tcPr>
          <w:p w14:paraId="71261F07"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E81513E" w14:textId="77777777" w:rsidR="00000000" w:rsidRDefault="00A173A8">
            <w:pPr>
              <w:spacing w:after="100"/>
              <w:jc w:val="center"/>
              <w:rPr>
                <w:rFonts w:eastAsia="Times New Roman"/>
              </w:rPr>
            </w:pPr>
            <w:r>
              <w:rPr>
                <w:rFonts w:eastAsia="Times New Roman"/>
                <w:color w:val="000000"/>
                <w:sz w:val="16"/>
                <w:szCs w:val="16"/>
              </w:rPr>
              <w:t>3.950% Fixed Rate Reset</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14:paraId="2216A18D"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9405285" w14:textId="77777777" w:rsidR="00000000" w:rsidRDefault="00A173A8">
            <w:pPr>
              <w:spacing w:after="100"/>
              <w:jc w:val="center"/>
              <w:rPr>
                <w:rFonts w:eastAsia="Times New Roman"/>
              </w:rPr>
            </w:pPr>
            <w:r>
              <w:rPr>
                <w:rFonts w:eastAsia="Times New Roman"/>
                <w:color w:val="000000"/>
                <w:sz w:val="16"/>
                <w:szCs w:val="16"/>
              </w:rPr>
              <w:t>June 10, 2021</w:t>
            </w:r>
          </w:p>
        </w:tc>
        <w:tc>
          <w:tcPr>
            <w:tcW w:w="0" w:type="auto"/>
            <w:gridSpan w:val="3"/>
            <w:shd w:val="clear" w:color="auto" w:fill="CCEEFF"/>
            <w:tcMar>
              <w:top w:w="0" w:type="dxa"/>
              <w:left w:w="20" w:type="dxa"/>
              <w:bottom w:w="0" w:type="dxa"/>
              <w:right w:w="20" w:type="dxa"/>
            </w:tcMar>
            <w:vAlign w:val="center"/>
            <w:hideMark/>
          </w:tcPr>
          <w:p w14:paraId="13AAB048"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6396638" w14:textId="77777777" w:rsidR="00000000" w:rsidRDefault="00A173A8">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CCEEFF"/>
            <w:tcMar>
              <w:top w:w="0" w:type="dxa"/>
              <w:left w:w="20" w:type="dxa"/>
              <w:bottom w:w="0" w:type="dxa"/>
              <w:right w:w="20" w:type="dxa"/>
            </w:tcMar>
            <w:vAlign w:val="center"/>
            <w:hideMark/>
          </w:tcPr>
          <w:p w14:paraId="33131E54"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7F7F47E4" w14:textId="77777777" w:rsidR="00000000" w:rsidRDefault="00A173A8">
            <w:pPr>
              <w:spacing w:after="100"/>
              <w:jc w:val="center"/>
              <w:rPr>
                <w:rFonts w:eastAsia="Times New Roman"/>
              </w:rPr>
            </w:pPr>
            <w:r>
              <w:rPr>
                <w:rFonts w:eastAsia="Times New Roman"/>
                <w:color w:val="000000"/>
                <w:sz w:val="16"/>
                <w:szCs w:val="16"/>
              </w:rPr>
              <w:t>3.950% through 8/31/2026; resets 9/1/2026 and every subsequent 5 year anniversary at 5-Year Treasury Rate +3.157%</w:t>
            </w:r>
          </w:p>
        </w:tc>
        <w:tc>
          <w:tcPr>
            <w:tcW w:w="0" w:type="auto"/>
            <w:gridSpan w:val="3"/>
            <w:shd w:val="clear" w:color="auto" w:fill="CCEEFF"/>
            <w:tcMar>
              <w:top w:w="0" w:type="dxa"/>
              <w:left w:w="20" w:type="dxa"/>
              <w:bottom w:w="0" w:type="dxa"/>
              <w:right w:w="20" w:type="dxa"/>
            </w:tcMar>
            <w:vAlign w:val="center"/>
            <w:hideMark/>
          </w:tcPr>
          <w:p w14:paraId="50F5EBB1" w14:textId="77777777" w:rsidR="00000000" w:rsidRDefault="00A173A8">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55FB481" w14:textId="77777777" w:rsidR="00000000" w:rsidRDefault="00A173A8">
            <w:pPr>
              <w:spacing w:after="100"/>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14:paraId="439C6C1D" w14:textId="77777777" w:rsidR="00000000" w:rsidRDefault="00A173A8">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EC77AA" w14:textId="77777777" w:rsidR="00000000" w:rsidRDefault="00A173A8">
            <w:pPr>
              <w:spacing w:after="100"/>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14:paraId="24B79A8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F60B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1D3C9F" w14:textId="77777777" w:rsidR="00000000" w:rsidRDefault="00A173A8">
            <w:pPr>
              <w:spacing w:after="100"/>
              <w:jc w:val="right"/>
              <w:rPr>
                <w:rFonts w:eastAsia="Times New Roman"/>
              </w:rPr>
            </w:pPr>
            <w:r>
              <w:rPr>
                <w:rFonts w:eastAsia="Times New Roman"/>
                <w:color w:val="000000"/>
                <w:sz w:val="16"/>
                <w:szCs w:val="16"/>
              </w:rPr>
              <w:t>1,000,000 </w:t>
            </w:r>
          </w:p>
        </w:tc>
        <w:tc>
          <w:tcPr>
            <w:tcW w:w="0" w:type="auto"/>
            <w:shd w:val="clear" w:color="auto" w:fill="CCEEFF"/>
            <w:tcMar>
              <w:top w:w="30" w:type="dxa"/>
              <w:left w:w="0" w:type="dxa"/>
              <w:bottom w:w="30" w:type="dxa"/>
              <w:right w:w="20" w:type="dxa"/>
            </w:tcMar>
            <w:vAlign w:val="bottom"/>
            <w:hideMark/>
          </w:tcPr>
          <w:p w14:paraId="35AB5CD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50C4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4E2C5" w14:textId="77777777" w:rsidR="00000000" w:rsidRDefault="00A173A8">
            <w:pPr>
              <w:spacing w:after="100"/>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8FC9D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3C7DB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B04481" w14:textId="77777777" w:rsidR="00000000" w:rsidRDefault="00A173A8">
            <w:pPr>
              <w:spacing w:after="100"/>
              <w:jc w:val="right"/>
              <w:rPr>
                <w:rFonts w:eastAsia="Times New Roman"/>
              </w:rPr>
            </w:pPr>
            <w:r>
              <w:rPr>
                <w:rFonts w:eastAsia="Times New Roman"/>
                <w:color w:val="000000"/>
                <w:sz w:val="16"/>
                <w:szCs w:val="16"/>
              </w:rPr>
              <w:t>988 </w:t>
            </w:r>
          </w:p>
        </w:tc>
        <w:tc>
          <w:tcPr>
            <w:tcW w:w="0" w:type="auto"/>
            <w:shd w:val="clear" w:color="auto" w:fill="CCEEFF"/>
            <w:tcMar>
              <w:top w:w="30" w:type="dxa"/>
              <w:left w:w="0" w:type="dxa"/>
              <w:bottom w:w="30" w:type="dxa"/>
              <w:right w:w="20" w:type="dxa"/>
            </w:tcMar>
            <w:vAlign w:val="bottom"/>
            <w:hideMark/>
          </w:tcPr>
          <w:p w14:paraId="0240CD21" w14:textId="77777777" w:rsidR="00000000" w:rsidRDefault="00A173A8">
            <w:pPr>
              <w:spacing w:after="100"/>
              <w:jc w:val="right"/>
              <w:rPr>
                <w:rFonts w:eastAsia="Times New Roman"/>
              </w:rPr>
            </w:pPr>
          </w:p>
        </w:tc>
      </w:tr>
      <w:tr w:rsidR="00000000" w14:paraId="201B6A0D" w14:textId="77777777">
        <w:trPr>
          <w:divId w:val="892621673"/>
        </w:trPr>
        <w:tc>
          <w:tcPr>
            <w:tcW w:w="0" w:type="auto"/>
            <w:gridSpan w:val="3"/>
            <w:shd w:val="clear" w:color="auto" w:fill="FFFFFF"/>
            <w:tcMar>
              <w:top w:w="30" w:type="dxa"/>
              <w:left w:w="20" w:type="dxa"/>
              <w:bottom w:w="30" w:type="dxa"/>
              <w:right w:w="20" w:type="dxa"/>
            </w:tcMar>
            <w:vAlign w:val="bottom"/>
            <w:hideMark/>
          </w:tcPr>
          <w:p w14:paraId="1B3A4FB2" w14:textId="77777777" w:rsidR="00000000" w:rsidRDefault="00A173A8">
            <w:pPr>
              <w:spacing w:after="100"/>
              <w:rPr>
                <w:rFonts w:eastAsia="Times New Roman"/>
              </w:rPr>
            </w:pPr>
            <w:r>
              <w:rPr>
                <w:rFonts w:eastAsia="Times New Roman"/>
                <w:b/>
                <w:bCs/>
                <w:color w:val="000000"/>
                <w:sz w:val="16"/>
                <w:szCs w:val="16"/>
              </w:rPr>
              <w:t>Series N</w:t>
            </w:r>
          </w:p>
        </w:tc>
        <w:tc>
          <w:tcPr>
            <w:tcW w:w="0" w:type="auto"/>
            <w:gridSpan w:val="3"/>
            <w:shd w:val="clear" w:color="auto" w:fill="FFFFFF"/>
            <w:tcMar>
              <w:top w:w="0" w:type="dxa"/>
              <w:left w:w="20" w:type="dxa"/>
              <w:bottom w:w="0" w:type="dxa"/>
              <w:right w:w="20" w:type="dxa"/>
            </w:tcMar>
            <w:vAlign w:val="center"/>
            <w:hideMark/>
          </w:tcPr>
          <w:p w14:paraId="271025B7"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183A1B4" w14:textId="77777777" w:rsidR="00000000" w:rsidRDefault="00A173A8">
            <w:pPr>
              <w:spacing w:after="100"/>
              <w:jc w:val="center"/>
              <w:rPr>
                <w:rFonts w:eastAsia="Times New Roman"/>
              </w:rPr>
            </w:pPr>
            <w:r>
              <w:rPr>
                <w:rFonts w:eastAsia="Times New Roman"/>
                <w:color w:val="000000"/>
                <w:sz w:val="16"/>
                <w:szCs w:val="16"/>
              </w:rPr>
              <w:t>4.250%</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14:paraId="21DF4BC6"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E6AB0CE" w14:textId="77777777" w:rsidR="00000000" w:rsidRDefault="00A173A8">
            <w:pPr>
              <w:spacing w:after="100"/>
              <w:jc w:val="center"/>
              <w:rPr>
                <w:rFonts w:eastAsia="Times New Roman"/>
              </w:rPr>
            </w:pPr>
            <w:r>
              <w:rPr>
                <w:rFonts w:eastAsia="Times New Roman"/>
                <w:color w:val="000000"/>
                <w:sz w:val="16"/>
                <w:szCs w:val="16"/>
              </w:rPr>
              <w:t>July 29, 2021</w:t>
            </w:r>
          </w:p>
        </w:tc>
        <w:tc>
          <w:tcPr>
            <w:tcW w:w="0" w:type="auto"/>
            <w:gridSpan w:val="3"/>
            <w:shd w:val="clear" w:color="auto" w:fill="FFFFFF"/>
            <w:tcMar>
              <w:top w:w="0" w:type="dxa"/>
              <w:left w:w="20" w:type="dxa"/>
              <w:bottom w:w="0" w:type="dxa"/>
              <w:right w:w="20" w:type="dxa"/>
            </w:tcMar>
            <w:vAlign w:val="center"/>
            <w:hideMark/>
          </w:tcPr>
          <w:p w14:paraId="2E0D7DB4"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9C40B0" w14:textId="77777777" w:rsidR="00000000" w:rsidRDefault="00A173A8">
            <w:pPr>
              <w:spacing w:after="100"/>
              <w:jc w:val="center"/>
              <w:rPr>
                <w:rFonts w:eastAsia="Times New Roman"/>
              </w:rPr>
            </w:pPr>
            <w:r>
              <w:rPr>
                <w:rFonts w:eastAsia="Times New Roman"/>
                <w:color w:val="000000"/>
                <w:sz w:val="16"/>
                <w:szCs w:val="16"/>
              </w:rPr>
              <w:t>September 1, 2026</w:t>
            </w:r>
          </w:p>
        </w:tc>
        <w:tc>
          <w:tcPr>
            <w:tcW w:w="0" w:type="auto"/>
            <w:gridSpan w:val="3"/>
            <w:shd w:val="clear" w:color="auto" w:fill="FFFFFF"/>
            <w:tcMar>
              <w:top w:w="0" w:type="dxa"/>
              <w:left w:w="20" w:type="dxa"/>
              <w:bottom w:w="0" w:type="dxa"/>
              <w:right w:w="20" w:type="dxa"/>
            </w:tcMar>
            <w:vAlign w:val="center"/>
            <w:hideMark/>
          </w:tcPr>
          <w:p w14:paraId="436A7D69"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5A02A7" w14:textId="77777777" w:rsidR="00000000" w:rsidRDefault="00A173A8">
            <w:pPr>
              <w:spacing w:after="100"/>
              <w:jc w:val="center"/>
              <w:rPr>
                <w:rFonts w:eastAsia="Times New Roman"/>
              </w:rPr>
            </w:pPr>
            <w:r>
              <w:rPr>
                <w:rFonts w:eastAsia="Times New Roman"/>
                <w:color w:val="000000"/>
                <w:sz w:val="16"/>
                <w:szCs w:val="16"/>
              </w:rPr>
              <w:t>4.250%</w:t>
            </w:r>
          </w:p>
        </w:tc>
        <w:tc>
          <w:tcPr>
            <w:tcW w:w="0" w:type="auto"/>
            <w:gridSpan w:val="3"/>
            <w:shd w:val="clear" w:color="auto" w:fill="FFFFFF"/>
            <w:tcMar>
              <w:top w:w="0" w:type="dxa"/>
              <w:left w:w="20" w:type="dxa"/>
              <w:bottom w:w="0" w:type="dxa"/>
              <w:right w:w="20" w:type="dxa"/>
            </w:tcMar>
            <w:vAlign w:val="center"/>
            <w:hideMark/>
          </w:tcPr>
          <w:p w14:paraId="0324B4E3" w14:textId="77777777" w:rsidR="00000000" w:rsidRDefault="00A173A8">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23C1160" w14:textId="77777777" w:rsidR="00000000" w:rsidRDefault="00A173A8">
            <w:pPr>
              <w:spacing w:after="100"/>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14:paraId="45737076" w14:textId="77777777" w:rsidR="00000000" w:rsidRDefault="00A173A8">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AE2E83" w14:textId="77777777" w:rsidR="00000000" w:rsidRDefault="00A173A8">
            <w:pPr>
              <w:spacing w:after="100"/>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14:paraId="4D3B5B0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F730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8BE34D" w14:textId="77777777" w:rsidR="00000000" w:rsidRDefault="00A173A8">
            <w:pPr>
              <w:spacing w:after="100"/>
              <w:jc w:val="right"/>
              <w:rPr>
                <w:rFonts w:eastAsia="Times New Roman"/>
              </w:rPr>
            </w:pPr>
            <w:r>
              <w:rPr>
                <w:rFonts w:eastAsia="Times New Roman"/>
                <w:color w:val="000000"/>
                <w:sz w:val="16"/>
                <w:szCs w:val="16"/>
              </w:rPr>
              <w:t>425,000 </w:t>
            </w:r>
          </w:p>
        </w:tc>
        <w:tc>
          <w:tcPr>
            <w:tcW w:w="0" w:type="auto"/>
            <w:shd w:val="clear" w:color="auto" w:fill="FFFFFF"/>
            <w:tcMar>
              <w:top w:w="30" w:type="dxa"/>
              <w:left w:w="0" w:type="dxa"/>
              <w:bottom w:w="30" w:type="dxa"/>
              <w:right w:w="20" w:type="dxa"/>
            </w:tcMar>
            <w:vAlign w:val="bottom"/>
            <w:hideMark/>
          </w:tcPr>
          <w:p w14:paraId="7F9BD73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9C357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BB0F96" w14:textId="77777777" w:rsidR="00000000" w:rsidRDefault="00A173A8">
            <w:pPr>
              <w:spacing w:after="100"/>
              <w:jc w:val="right"/>
              <w:rPr>
                <w:rFonts w:eastAsia="Times New Roman"/>
              </w:rPr>
            </w:pPr>
            <w:r>
              <w:rPr>
                <w:rFonts w:eastAsia="Times New Roman"/>
                <w:b/>
                <w:bCs/>
                <w:color w:val="000000"/>
                <w:sz w:val="16"/>
                <w:szCs w:val="16"/>
              </w:rPr>
              <w:t>412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251B7A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0149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225C76" w14:textId="77777777" w:rsidR="00000000" w:rsidRDefault="00A173A8">
            <w:pPr>
              <w:spacing w:after="100"/>
              <w:jc w:val="right"/>
              <w:rPr>
                <w:rFonts w:eastAsia="Times New Roman"/>
              </w:rPr>
            </w:pPr>
            <w:r>
              <w:rPr>
                <w:rFonts w:eastAsia="Times New Roman"/>
                <w:color w:val="000000"/>
                <w:sz w:val="16"/>
                <w:szCs w:val="16"/>
              </w:rPr>
              <w:t>412 </w:t>
            </w:r>
          </w:p>
        </w:tc>
        <w:tc>
          <w:tcPr>
            <w:tcW w:w="0" w:type="auto"/>
            <w:shd w:val="clear" w:color="auto" w:fill="FFFFFF"/>
            <w:tcMar>
              <w:top w:w="30" w:type="dxa"/>
              <w:left w:w="0" w:type="dxa"/>
              <w:bottom w:w="30" w:type="dxa"/>
              <w:right w:w="20" w:type="dxa"/>
            </w:tcMar>
            <w:vAlign w:val="bottom"/>
            <w:hideMark/>
          </w:tcPr>
          <w:p w14:paraId="2B420DE2" w14:textId="77777777" w:rsidR="00000000" w:rsidRDefault="00A173A8">
            <w:pPr>
              <w:spacing w:after="100"/>
              <w:jc w:val="right"/>
              <w:rPr>
                <w:rFonts w:eastAsia="Times New Roman"/>
              </w:rPr>
            </w:pPr>
          </w:p>
        </w:tc>
      </w:tr>
      <w:tr w:rsidR="00000000" w14:paraId="53BD6445" w14:textId="77777777">
        <w:trPr>
          <w:divId w:val="892621673"/>
        </w:trPr>
        <w:tc>
          <w:tcPr>
            <w:tcW w:w="0" w:type="auto"/>
            <w:gridSpan w:val="45"/>
            <w:shd w:val="clear" w:color="auto" w:fill="CCEEFF"/>
            <w:tcMar>
              <w:top w:w="30" w:type="dxa"/>
              <w:left w:w="20" w:type="dxa"/>
              <w:bottom w:w="30" w:type="dxa"/>
              <w:right w:w="20" w:type="dxa"/>
            </w:tcMar>
            <w:vAlign w:val="center"/>
            <w:hideMark/>
          </w:tcPr>
          <w:p w14:paraId="56C02B1F" w14:textId="77777777" w:rsidR="00000000" w:rsidRDefault="00A173A8">
            <w:pPr>
              <w:spacing w:after="100"/>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14:paraId="25431928"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A28E5A8" w14:textId="77777777" w:rsidR="00000000" w:rsidRDefault="00A173A8">
            <w:pPr>
              <w:spacing w:after="100"/>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DFF1481" w14:textId="77777777" w:rsidR="00000000" w:rsidRDefault="00A173A8">
            <w:pPr>
              <w:spacing w:after="100"/>
              <w:jc w:val="right"/>
              <w:rPr>
                <w:rFonts w:eastAsia="Times New Roman"/>
              </w:rPr>
            </w:pPr>
            <w:r>
              <w:rPr>
                <w:rFonts w:eastAsia="Times New Roman"/>
                <w:b/>
                <w:bCs/>
                <w:color w:val="000000"/>
                <w:sz w:val="16"/>
                <w:szCs w:val="16"/>
              </w:rPr>
              <w:t>4,845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DC274B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04D19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BE8AB41" w14:textId="77777777" w:rsidR="00000000" w:rsidRDefault="00A173A8">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7FE8E96" w14:textId="77777777" w:rsidR="00000000" w:rsidRDefault="00A173A8">
            <w:pPr>
              <w:spacing w:after="100"/>
              <w:jc w:val="right"/>
              <w:rPr>
                <w:rFonts w:eastAsia="Times New Roman"/>
              </w:rPr>
            </w:pPr>
            <w:r>
              <w:rPr>
                <w:rFonts w:eastAsia="Times New Roman"/>
                <w:color w:val="000000"/>
                <w:sz w:val="16"/>
                <w:szCs w:val="16"/>
              </w:rPr>
              <w:t>4,845 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BB1169C" w14:textId="77777777" w:rsidR="00000000" w:rsidRDefault="00A173A8">
            <w:pPr>
              <w:spacing w:after="100"/>
              <w:jc w:val="right"/>
              <w:rPr>
                <w:rFonts w:eastAsia="Times New Roman"/>
              </w:rPr>
            </w:pPr>
          </w:p>
        </w:tc>
      </w:tr>
    </w:tbl>
    <w:p w14:paraId="23BC7FD0" w14:textId="77777777" w:rsidR="00000000" w:rsidRDefault="00A173A8">
      <w:pPr>
        <w:divId w:val="892621673"/>
        <w:rPr>
          <w:rFonts w:eastAsia="Times New Roman"/>
        </w:rPr>
      </w:pPr>
      <w:r>
        <w:rPr>
          <w:rFonts w:eastAsia="Times New Roman"/>
          <w:color w:val="000000"/>
          <w:sz w:val="20"/>
          <w:szCs w:val="20"/>
        </w:rPr>
        <w:t>__________</w:t>
      </w:r>
    </w:p>
    <w:p w14:paraId="118012C0" w14:textId="77777777" w:rsidR="00000000" w:rsidRDefault="00A173A8">
      <w:pPr>
        <w:ind w:hanging="360"/>
        <w:jc w:val="both"/>
        <w:divId w:val="212770008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Except for Series</w:t>
      </w:r>
      <w:r>
        <w:rPr>
          <w:rFonts w:eastAsia="Times New Roman"/>
          <w:color w:val="000000"/>
          <w:sz w:val="16"/>
          <w:szCs w:val="16"/>
          <w:shd w:val="clear" w:color="auto" w:fill="FFFFFF"/>
        </w:rPr>
        <w:t xml:space="preserve"> M</w:t>
      </w:r>
      <w:r>
        <w:rPr>
          <w:rFonts w:eastAsia="Times New Roman"/>
          <w:color w:val="000000"/>
          <w:sz w:val="16"/>
          <w:szCs w:val="16"/>
        </w:rPr>
        <w:t>, ownership is held in the form of depositary shares, each representing a 1/40th interest in a share of fixed-rate non-cumulative perpetual preferred stock.</w:t>
      </w:r>
    </w:p>
    <w:p w14:paraId="795C0E76" w14:textId="77777777" w:rsidR="00000000" w:rsidRDefault="00A173A8">
      <w:pPr>
        <w:divId w:val="1055471089"/>
        <w:rPr>
          <w:rFonts w:eastAsia="Times New Roman"/>
        </w:rPr>
      </w:pPr>
      <w:r>
        <w:rPr>
          <w:rFonts w:eastAsia="Times New Roman"/>
          <w:b/>
          <w:bCs/>
          <w:color w:val="000000"/>
          <w:sz w:val="20"/>
          <w:szCs w:val="20"/>
        </w:rPr>
        <w:t>Accumulated Other Comprehensive Income</w:t>
      </w:r>
    </w:p>
    <w:p w14:paraId="5BA3C658" w14:textId="77777777" w:rsidR="00000000" w:rsidRDefault="00A173A8">
      <w:pPr>
        <w:jc w:val="both"/>
        <w:divId w:val="2440128"/>
        <w:rPr>
          <w:rFonts w:eastAsia="Times New Roman"/>
        </w:rPr>
      </w:pPr>
      <w:r>
        <w:rPr>
          <w:rFonts w:eastAsia="Times New Roman"/>
          <w:color w:val="000000"/>
          <w:sz w:val="20"/>
          <w:szCs w:val="20"/>
        </w:rPr>
        <w:t>AOCI primarily consists of accumulated net unrealized gains or losses associated with securities available for sale, changes in fair value of derivatives in hedging relationships and foreign currency translation adjustments.</w:t>
      </w:r>
    </w:p>
    <w:p w14:paraId="34FCF303" w14:textId="77777777" w:rsidR="00000000" w:rsidRDefault="00A173A8">
      <w:pPr>
        <w:jc w:val="both"/>
        <w:divId w:val="1090586162"/>
        <w:rPr>
          <w:rFonts w:eastAsia="Times New Roman"/>
        </w:rPr>
      </w:pPr>
      <w:r>
        <w:rPr>
          <w:rFonts w:eastAsia="Times New Roman"/>
          <w:color w:val="000000"/>
          <w:sz w:val="20"/>
          <w:szCs w:val="20"/>
        </w:rPr>
        <w:t>The following table includes th</w:t>
      </w:r>
      <w:r>
        <w:rPr>
          <w:rFonts w:eastAsia="Times New Roman"/>
          <w:color w:val="000000"/>
          <w:sz w:val="20"/>
          <w:szCs w:val="20"/>
        </w:rPr>
        <w:t xml:space="preserve">e changes in AOCI by component for the three and six months ended June 30, 2022, and 2021. </w:t>
      </w:r>
    </w:p>
    <w:p w14:paraId="67039A25" w14:textId="77777777" w:rsidR="00000000" w:rsidRDefault="00A173A8">
      <w:pPr>
        <w:divId w:val="768038881"/>
        <w:rPr>
          <w:rFonts w:eastAsia="Times New Roman"/>
        </w:rPr>
      </w:pPr>
      <w:r>
        <w:rPr>
          <w:rFonts w:eastAsia="Times New Roman"/>
          <w:b/>
          <w:bCs/>
          <w:color w:val="000000"/>
          <w:sz w:val="18"/>
          <w:szCs w:val="18"/>
        </w:rPr>
        <w:t>Table 9.2: AOCI</w:t>
      </w:r>
    </w:p>
    <w:tbl>
      <w:tblPr>
        <w:tblW w:w="5000" w:type="pct"/>
        <w:tblCellMar>
          <w:top w:w="15" w:type="dxa"/>
          <w:left w:w="15" w:type="dxa"/>
          <w:bottom w:w="15" w:type="dxa"/>
          <w:right w:w="15" w:type="dxa"/>
        </w:tblCellMar>
        <w:tblLook w:val="04A0" w:firstRow="1" w:lastRow="0" w:firstColumn="1" w:lastColumn="0" w:noHBand="0" w:noVBand="1"/>
      </w:tblPr>
      <w:tblGrid>
        <w:gridCol w:w="38"/>
        <w:gridCol w:w="3707"/>
        <w:gridCol w:w="37"/>
        <w:gridCol w:w="36"/>
        <w:gridCol w:w="36"/>
        <w:gridCol w:w="36"/>
        <w:gridCol w:w="111"/>
        <w:gridCol w:w="624"/>
        <w:gridCol w:w="36"/>
        <w:gridCol w:w="36"/>
        <w:gridCol w:w="36"/>
        <w:gridCol w:w="36"/>
        <w:gridCol w:w="111"/>
        <w:gridCol w:w="980"/>
        <w:gridCol w:w="36"/>
        <w:gridCol w:w="36"/>
        <w:gridCol w:w="36"/>
        <w:gridCol w:w="36"/>
        <w:gridCol w:w="111"/>
        <w:gridCol w:w="822"/>
        <w:gridCol w:w="36"/>
        <w:gridCol w:w="36"/>
        <w:gridCol w:w="36"/>
        <w:gridCol w:w="36"/>
        <w:gridCol w:w="110"/>
        <w:gridCol w:w="300"/>
        <w:gridCol w:w="36"/>
        <w:gridCol w:w="36"/>
        <w:gridCol w:w="36"/>
        <w:gridCol w:w="36"/>
        <w:gridCol w:w="110"/>
        <w:gridCol w:w="525"/>
        <w:gridCol w:w="36"/>
      </w:tblGrid>
      <w:tr w:rsidR="00000000" w14:paraId="3F6E22C6" w14:textId="77777777">
        <w:trPr>
          <w:divId w:val="768038881"/>
        </w:trPr>
        <w:tc>
          <w:tcPr>
            <w:tcW w:w="50" w:type="pct"/>
            <w:vAlign w:val="center"/>
            <w:hideMark/>
          </w:tcPr>
          <w:p w14:paraId="103D7867" w14:textId="77777777" w:rsidR="00000000" w:rsidRDefault="00A173A8">
            <w:pPr>
              <w:rPr>
                <w:rFonts w:eastAsia="Times New Roman"/>
              </w:rPr>
            </w:pPr>
          </w:p>
        </w:tc>
        <w:tc>
          <w:tcPr>
            <w:tcW w:w="2335" w:type="pct"/>
            <w:vAlign w:val="center"/>
            <w:hideMark/>
          </w:tcPr>
          <w:p w14:paraId="2140BDAB" w14:textId="77777777" w:rsidR="00000000" w:rsidRDefault="00A173A8">
            <w:pPr>
              <w:spacing w:after="100"/>
              <w:rPr>
                <w:rFonts w:eastAsia="Times New Roman"/>
                <w:sz w:val="20"/>
                <w:szCs w:val="20"/>
              </w:rPr>
            </w:pPr>
          </w:p>
        </w:tc>
        <w:tc>
          <w:tcPr>
            <w:tcW w:w="5" w:type="pct"/>
            <w:vAlign w:val="center"/>
            <w:hideMark/>
          </w:tcPr>
          <w:p w14:paraId="4BB91014" w14:textId="77777777" w:rsidR="00000000" w:rsidRDefault="00A173A8">
            <w:pPr>
              <w:spacing w:after="100"/>
              <w:rPr>
                <w:rFonts w:eastAsia="Times New Roman"/>
                <w:sz w:val="20"/>
                <w:szCs w:val="20"/>
              </w:rPr>
            </w:pPr>
          </w:p>
        </w:tc>
        <w:tc>
          <w:tcPr>
            <w:tcW w:w="5" w:type="pct"/>
            <w:vAlign w:val="center"/>
            <w:hideMark/>
          </w:tcPr>
          <w:p w14:paraId="15AAA9A2" w14:textId="77777777" w:rsidR="00000000" w:rsidRDefault="00A173A8">
            <w:pPr>
              <w:spacing w:after="100"/>
              <w:rPr>
                <w:rFonts w:eastAsia="Times New Roman"/>
                <w:sz w:val="20"/>
                <w:szCs w:val="20"/>
              </w:rPr>
            </w:pPr>
          </w:p>
        </w:tc>
        <w:tc>
          <w:tcPr>
            <w:tcW w:w="26" w:type="pct"/>
            <w:vAlign w:val="center"/>
            <w:hideMark/>
          </w:tcPr>
          <w:p w14:paraId="4F3A6193" w14:textId="77777777" w:rsidR="00000000" w:rsidRDefault="00A173A8">
            <w:pPr>
              <w:spacing w:after="100"/>
              <w:rPr>
                <w:rFonts w:eastAsia="Times New Roman"/>
                <w:sz w:val="20"/>
                <w:szCs w:val="20"/>
              </w:rPr>
            </w:pPr>
          </w:p>
        </w:tc>
        <w:tc>
          <w:tcPr>
            <w:tcW w:w="5" w:type="pct"/>
            <w:vAlign w:val="center"/>
            <w:hideMark/>
          </w:tcPr>
          <w:p w14:paraId="0DBE2750" w14:textId="77777777" w:rsidR="00000000" w:rsidRDefault="00A173A8">
            <w:pPr>
              <w:spacing w:after="100"/>
              <w:rPr>
                <w:rFonts w:eastAsia="Times New Roman"/>
                <w:sz w:val="20"/>
                <w:szCs w:val="20"/>
              </w:rPr>
            </w:pPr>
          </w:p>
        </w:tc>
        <w:tc>
          <w:tcPr>
            <w:tcW w:w="50" w:type="pct"/>
            <w:vAlign w:val="center"/>
            <w:hideMark/>
          </w:tcPr>
          <w:p w14:paraId="52F6D28C" w14:textId="77777777" w:rsidR="00000000" w:rsidRDefault="00A173A8">
            <w:pPr>
              <w:spacing w:after="100"/>
              <w:rPr>
                <w:rFonts w:eastAsia="Times New Roman"/>
                <w:sz w:val="20"/>
                <w:szCs w:val="20"/>
              </w:rPr>
            </w:pPr>
          </w:p>
        </w:tc>
        <w:tc>
          <w:tcPr>
            <w:tcW w:w="412" w:type="pct"/>
            <w:vAlign w:val="center"/>
            <w:hideMark/>
          </w:tcPr>
          <w:p w14:paraId="61F81E52" w14:textId="77777777" w:rsidR="00000000" w:rsidRDefault="00A173A8">
            <w:pPr>
              <w:spacing w:after="100"/>
              <w:rPr>
                <w:rFonts w:eastAsia="Times New Roman"/>
                <w:sz w:val="20"/>
                <w:szCs w:val="20"/>
              </w:rPr>
            </w:pPr>
          </w:p>
        </w:tc>
        <w:tc>
          <w:tcPr>
            <w:tcW w:w="5" w:type="pct"/>
            <w:vAlign w:val="center"/>
            <w:hideMark/>
          </w:tcPr>
          <w:p w14:paraId="06B02B5A" w14:textId="77777777" w:rsidR="00000000" w:rsidRDefault="00A173A8">
            <w:pPr>
              <w:spacing w:after="100"/>
              <w:rPr>
                <w:rFonts w:eastAsia="Times New Roman"/>
                <w:sz w:val="20"/>
                <w:szCs w:val="20"/>
              </w:rPr>
            </w:pPr>
          </w:p>
        </w:tc>
        <w:tc>
          <w:tcPr>
            <w:tcW w:w="5" w:type="pct"/>
            <w:vAlign w:val="center"/>
            <w:hideMark/>
          </w:tcPr>
          <w:p w14:paraId="2F7BBCF7" w14:textId="77777777" w:rsidR="00000000" w:rsidRDefault="00A173A8">
            <w:pPr>
              <w:spacing w:after="100"/>
              <w:rPr>
                <w:rFonts w:eastAsia="Times New Roman"/>
                <w:sz w:val="20"/>
                <w:szCs w:val="20"/>
              </w:rPr>
            </w:pPr>
          </w:p>
        </w:tc>
        <w:tc>
          <w:tcPr>
            <w:tcW w:w="26" w:type="pct"/>
            <w:vAlign w:val="center"/>
            <w:hideMark/>
          </w:tcPr>
          <w:p w14:paraId="390D1C15" w14:textId="77777777" w:rsidR="00000000" w:rsidRDefault="00A173A8">
            <w:pPr>
              <w:spacing w:after="100"/>
              <w:rPr>
                <w:rFonts w:eastAsia="Times New Roman"/>
                <w:sz w:val="20"/>
                <w:szCs w:val="20"/>
              </w:rPr>
            </w:pPr>
          </w:p>
        </w:tc>
        <w:tc>
          <w:tcPr>
            <w:tcW w:w="5" w:type="pct"/>
            <w:vAlign w:val="center"/>
            <w:hideMark/>
          </w:tcPr>
          <w:p w14:paraId="46FB2EFD" w14:textId="77777777" w:rsidR="00000000" w:rsidRDefault="00A173A8">
            <w:pPr>
              <w:spacing w:after="100"/>
              <w:rPr>
                <w:rFonts w:eastAsia="Times New Roman"/>
                <w:sz w:val="20"/>
                <w:szCs w:val="20"/>
              </w:rPr>
            </w:pPr>
          </w:p>
        </w:tc>
        <w:tc>
          <w:tcPr>
            <w:tcW w:w="50" w:type="pct"/>
            <w:vAlign w:val="center"/>
            <w:hideMark/>
          </w:tcPr>
          <w:p w14:paraId="2D468630" w14:textId="77777777" w:rsidR="00000000" w:rsidRDefault="00A173A8">
            <w:pPr>
              <w:spacing w:after="100"/>
              <w:rPr>
                <w:rFonts w:eastAsia="Times New Roman"/>
                <w:sz w:val="20"/>
                <w:szCs w:val="20"/>
              </w:rPr>
            </w:pPr>
          </w:p>
        </w:tc>
        <w:tc>
          <w:tcPr>
            <w:tcW w:w="529" w:type="pct"/>
            <w:vAlign w:val="center"/>
            <w:hideMark/>
          </w:tcPr>
          <w:p w14:paraId="0596B6F5" w14:textId="77777777" w:rsidR="00000000" w:rsidRDefault="00A173A8">
            <w:pPr>
              <w:spacing w:after="100"/>
              <w:rPr>
                <w:rFonts w:eastAsia="Times New Roman"/>
                <w:sz w:val="20"/>
                <w:szCs w:val="20"/>
              </w:rPr>
            </w:pPr>
          </w:p>
        </w:tc>
        <w:tc>
          <w:tcPr>
            <w:tcW w:w="5" w:type="pct"/>
            <w:vAlign w:val="center"/>
            <w:hideMark/>
          </w:tcPr>
          <w:p w14:paraId="01F58E7A" w14:textId="77777777" w:rsidR="00000000" w:rsidRDefault="00A173A8">
            <w:pPr>
              <w:spacing w:after="100"/>
              <w:rPr>
                <w:rFonts w:eastAsia="Times New Roman"/>
                <w:sz w:val="20"/>
                <w:szCs w:val="20"/>
              </w:rPr>
            </w:pPr>
          </w:p>
        </w:tc>
        <w:tc>
          <w:tcPr>
            <w:tcW w:w="5" w:type="pct"/>
            <w:vAlign w:val="center"/>
            <w:hideMark/>
          </w:tcPr>
          <w:p w14:paraId="44679E02" w14:textId="77777777" w:rsidR="00000000" w:rsidRDefault="00A173A8">
            <w:pPr>
              <w:spacing w:after="100"/>
              <w:rPr>
                <w:rFonts w:eastAsia="Times New Roman"/>
                <w:sz w:val="20"/>
                <w:szCs w:val="20"/>
              </w:rPr>
            </w:pPr>
          </w:p>
        </w:tc>
        <w:tc>
          <w:tcPr>
            <w:tcW w:w="26" w:type="pct"/>
            <w:vAlign w:val="center"/>
            <w:hideMark/>
          </w:tcPr>
          <w:p w14:paraId="56259BB4" w14:textId="77777777" w:rsidR="00000000" w:rsidRDefault="00A173A8">
            <w:pPr>
              <w:spacing w:after="100"/>
              <w:rPr>
                <w:rFonts w:eastAsia="Times New Roman"/>
                <w:sz w:val="20"/>
                <w:szCs w:val="20"/>
              </w:rPr>
            </w:pPr>
          </w:p>
        </w:tc>
        <w:tc>
          <w:tcPr>
            <w:tcW w:w="5" w:type="pct"/>
            <w:vAlign w:val="center"/>
            <w:hideMark/>
          </w:tcPr>
          <w:p w14:paraId="7BD32539" w14:textId="77777777" w:rsidR="00000000" w:rsidRDefault="00A173A8">
            <w:pPr>
              <w:spacing w:after="100"/>
              <w:rPr>
                <w:rFonts w:eastAsia="Times New Roman"/>
                <w:sz w:val="20"/>
                <w:szCs w:val="20"/>
              </w:rPr>
            </w:pPr>
          </w:p>
        </w:tc>
        <w:tc>
          <w:tcPr>
            <w:tcW w:w="50" w:type="pct"/>
            <w:vAlign w:val="center"/>
            <w:hideMark/>
          </w:tcPr>
          <w:p w14:paraId="6E47FDEE" w14:textId="77777777" w:rsidR="00000000" w:rsidRDefault="00A173A8">
            <w:pPr>
              <w:spacing w:after="100"/>
              <w:rPr>
                <w:rFonts w:eastAsia="Times New Roman"/>
                <w:sz w:val="20"/>
                <w:szCs w:val="20"/>
              </w:rPr>
            </w:pPr>
          </w:p>
        </w:tc>
        <w:tc>
          <w:tcPr>
            <w:tcW w:w="507" w:type="pct"/>
            <w:vAlign w:val="center"/>
            <w:hideMark/>
          </w:tcPr>
          <w:p w14:paraId="5AE587F9" w14:textId="77777777" w:rsidR="00000000" w:rsidRDefault="00A173A8">
            <w:pPr>
              <w:spacing w:after="100"/>
              <w:rPr>
                <w:rFonts w:eastAsia="Times New Roman"/>
                <w:sz w:val="20"/>
                <w:szCs w:val="20"/>
              </w:rPr>
            </w:pPr>
          </w:p>
        </w:tc>
        <w:tc>
          <w:tcPr>
            <w:tcW w:w="5" w:type="pct"/>
            <w:vAlign w:val="center"/>
            <w:hideMark/>
          </w:tcPr>
          <w:p w14:paraId="329E46AE" w14:textId="77777777" w:rsidR="00000000" w:rsidRDefault="00A173A8">
            <w:pPr>
              <w:spacing w:after="100"/>
              <w:rPr>
                <w:rFonts w:eastAsia="Times New Roman"/>
                <w:sz w:val="20"/>
                <w:szCs w:val="20"/>
              </w:rPr>
            </w:pPr>
          </w:p>
        </w:tc>
        <w:tc>
          <w:tcPr>
            <w:tcW w:w="5" w:type="pct"/>
            <w:vAlign w:val="center"/>
            <w:hideMark/>
          </w:tcPr>
          <w:p w14:paraId="7D0A5846" w14:textId="77777777" w:rsidR="00000000" w:rsidRDefault="00A173A8">
            <w:pPr>
              <w:spacing w:after="100"/>
              <w:rPr>
                <w:rFonts w:eastAsia="Times New Roman"/>
                <w:sz w:val="20"/>
                <w:szCs w:val="20"/>
              </w:rPr>
            </w:pPr>
          </w:p>
        </w:tc>
        <w:tc>
          <w:tcPr>
            <w:tcW w:w="19" w:type="pct"/>
            <w:vAlign w:val="center"/>
            <w:hideMark/>
          </w:tcPr>
          <w:p w14:paraId="10E9782F" w14:textId="77777777" w:rsidR="00000000" w:rsidRDefault="00A173A8">
            <w:pPr>
              <w:spacing w:after="100"/>
              <w:rPr>
                <w:rFonts w:eastAsia="Times New Roman"/>
                <w:sz w:val="20"/>
                <w:szCs w:val="20"/>
              </w:rPr>
            </w:pPr>
          </w:p>
        </w:tc>
        <w:tc>
          <w:tcPr>
            <w:tcW w:w="5" w:type="pct"/>
            <w:vAlign w:val="center"/>
            <w:hideMark/>
          </w:tcPr>
          <w:p w14:paraId="67B45533" w14:textId="77777777" w:rsidR="00000000" w:rsidRDefault="00A173A8">
            <w:pPr>
              <w:spacing w:after="100"/>
              <w:rPr>
                <w:rFonts w:eastAsia="Times New Roman"/>
                <w:sz w:val="20"/>
                <w:szCs w:val="20"/>
              </w:rPr>
            </w:pPr>
          </w:p>
        </w:tc>
        <w:tc>
          <w:tcPr>
            <w:tcW w:w="50" w:type="pct"/>
            <w:vAlign w:val="center"/>
            <w:hideMark/>
          </w:tcPr>
          <w:p w14:paraId="0C35733A" w14:textId="77777777" w:rsidR="00000000" w:rsidRDefault="00A173A8">
            <w:pPr>
              <w:spacing w:after="100"/>
              <w:rPr>
                <w:rFonts w:eastAsia="Times New Roman"/>
                <w:sz w:val="20"/>
                <w:szCs w:val="20"/>
              </w:rPr>
            </w:pPr>
          </w:p>
        </w:tc>
        <w:tc>
          <w:tcPr>
            <w:tcW w:w="354" w:type="pct"/>
            <w:vAlign w:val="center"/>
            <w:hideMark/>
          </w:tcPr>
          <w:p w14:paraId="7992288C" w14:textId="77777777" w:rsidR="00000000" w:rsidRDefault="00A173A8">
            <w:pPr>
              <w:spacing w:after="100"/>
              <w:rPr>
                <w:rFonts w:eastAsia="Times New Roman"/>
                <w:sz w:val="20"/>
                <w:szCs w:val="20"/>
              </w:rPr>
            </w:pPr>
          </w:p>
        </w:tc>
        <w:tc>
          <w:tcPr>
            <w:tcW w:w="5" w:type="pct"/>
            <w:vAlign w:val="center"/>
            <w:hideMark/>
          </w:tcPr>
          <w:p w14:paraId="772A70B4" w14:textId="77777777" w:rsidR="00000000" w:rsidRDefault="00A173A8">
            <w:pPr>
              <w:spacing w:after="100"/>
              <w:rPr>
                <w:rFonts w:eastAsia="Times New Roman"/>
                <w:sz w:val="20"/>
                <w:szCs w:val="20"/>
              </w:rPr>
            </w:pPr>
          </w:p>
        </w:tc>
        <w:tc>
          <w:tcPr>
            <w:tcW w:w="5" w:type="pct"/>
            <w:vAlign w:val="center"/>
            <w:hideMark/>
          </w:tcPr>
          <w:p w14:paraId="32328E52" w14:textId="77777777" w:rsidR="00000000" w:rsidRDefault="00A173A8">
            <w:pPr>
              <w:spacing w:after="100"/>
              <w:rPr>
                <w:rFonts w:eastAsia="Times New Roman"/>
                <w:sz w:val="20"/>
                <w:szCs w:val="20"/>
              </w:rPr>
            </w:pPr>
          </w:p>
        </w:tc>
        <w:tc>
          <w:tcPr>
            <w:tcW w:w="26" w:type="pct"/>
            <w:vAlign w:val="center"/>
            <w:hideMark/>
          </w:tcPr>
          <w:p w14:paraId="588AAD0A" w14:textId="77777777" w:rsidR="00000000" w:rsidRDefault="00A173A8">
            <w:pPr>
              <w:spacing w:after="100"/>
              <w:rPr>
                <w:rFonts w:eastAsia="Times New Roman"/>
                <w:sz w:val="20"/>
                <w:szCs w:val="20"/>
              </w:rPr>
            </w:pPr>
          </w:p>
        </w:tc>
        <w:tc>
          <w:tcPr>
            <w:tcW w:w="5" w:type="pct"/>
            <w:vAlign w:val="center"/>
            <w:hideMark/>
          </w:tcPr>
          <w:p w14:paraId="5B1D3CE3" w14:textId="77777777" w:rsidR="00000000" w:rsidRDefault="00A173A8">
            <w:pPr>
              <w:spacing w:after="100"/>
              <w:rPr>
                <w:rFonts w:eastAsia="Times New Roman"/>
                <w:sz w:val="20"/>
                <w:szCs w:val="20"/>
              </w:rPr>
            </w:pPr>
          </w:p>
        </w:tc>
        <w:tc>
          <w:tcPr>
            <w:tcW w:w="50" w:type="pct"/>
            <w:vAlign w:val="center"/>
            <w:hideMark/>
          </w:tcPr>
          <w:p w14:paraId="0BB5ABA8" w14:textId="77777777" w:rsidR="00000000" w:rsidRDefault="00A173A8">
            <w:pPr>
              <w:spacing w:after="100"/>
              <w:rPr>
                <w:rFonts w:eastAsia="Times New Roman"/>
                <w:sz w:val="20"/>
                <w:szCs w:val="20"/>
              </w:rPr>
            </w:pPr>
          </w:p>
        </w:tc>
        <w:tc>
          <w:tcPr>
            <w:tcW w:w="354" w:type="pct"/>
            <w:vAlign w:val="center"/>
            <w:hideMark/>
          </w:tcPr>
          <w:p w14:paraId="538701AE" w14:textId="77777777" w:rsidR="00000000" w:rsidRDefault="00A173A8">
            <w:pPr>
              <w:spacing w:after="100"/>
              <w:rPr>
                <w:rFonts w:eastAsia="Times New Roman"/>
                <w:sz w:val="20"/>
                <w:szCs w:val="20"/>
              </w:rPr>
            </w:pPr>
          </w:p>
        </w:tc>
        <w:tc>
          <w:tcPr>
            <w:tcW w:w="5" w:type="pct"/>
            <w:vAlign w:val="center"/>
            <w:hideMark/>
          </w:tcPr>
          <w:p w14:paraId="7D584C25" w14:textId="77777777" w:rsidR="00000000" w:rsidRDefault="00A173A8">
            <w:pPr>
              <w:spacing w:after="100"/>
              <w:rPr>
                <w:rFonts w:eastAsia="Times New Roman"/>
                <w:sz w:val="20"/>
                <w:szCs w:val="20"/>
              </w:rPr>
            </w:pPr>
          </w:p>
        </w:tc>
      </w:tr>
      <w:tr w:rsidR="00000000" w14:paraId="521DC091" w14:textId="77777777">
        <w:trPr>
          <w:divId w:val="768038881"/>
        </w:trPr>
        <w:tc>
          <w:tcPr>
            <w:tcW w:w="0" w:type="auto"/>
            <w:gridSpan w:val="3"/>
            <w:tcMar>
              <w:top w:w="0" w:type="dxa"/>
              <w:left w:w="20" w:type="dxa"/>
              <w:bottom w:w="0" w:type="dxa"/>
              <w:right w:w="20" w:type="dxa"/>
            </w:tcMar>
            <w:vAlign w:val="center"/>
            <w:hideMark/>
          </w:tcPr>
          <w:p w14:paraId="7F38DF2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D65B46"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11786094" w14:textId="77777777" w:rsidR="00000000" w:rsidRDefault="00A173A8">
            <w:pPr>
              <w:spacing w:after="100"/>
              <w:jc w:val="center"/>
              <w:rPr>
                <w:rFonts w:eastAsia="Times New Roman"/>
              </w:rPr>
            </w:pPr>
            <w:r>
              <w:rPr>
                <w:rFonts w:eastAsia="Times New Roman"/>
                <w:b/>
                <w:bCs/>
                <w:color w:val="000000"/>
                <w:sz w:val="16"/>
                <w:szCs w:val="16"/>
              </w:rPr>
              <w:t>Three Months Ended June 30, 2022</w:t>
            </w:r>
          </w:p>
        </w:tc>
      </w:tr>
      <w:tr w:rsidR="00000000" w14:paraId="64C57142" w14:textId="77777777">
        <w:trPr>
          <w:divId w:val="768038881"/>
        </w:trPr>
        <w:tc>
          <w:tcPr>
            <w:tcW w:w="0" w:type="auto"/>
            <w:gridSpan w:val="3"/>
            <w:tcMar>
              <w:top w:w="30" w:type="dxa"/>
              <w:left w:w="20" w:type="dxa"/>
              <w:bottom w:w="30" w:type="dxa"/>
              <w:right w:w="20" w:type="dxa"/>
            </w:tcMar>
            <w:vAlign w:val="bottom"/>
            <w:hideMark/>
          </w:tcPr>
          <w:p w14:paraId="5A715A5C"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9A4538A"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259FFD" w14:textId="77777777" w:rsidR="00000000" w:rsidRDefault="00A173A8">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7E7771FE"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5D093F" w14:textId="77777777" w:rsidR="00000000" w:rsidRDefault="00A173A8">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73885F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78F50E" w14:textId="77777777" w:rsidR="00000000" w:rsidRDefault="00A173A8">
            <w:pPr>
              <w:spacing w:after="100"/>
              <w:jc w:val="center"/>
              <w:rPr>
                <w:rFonts w:eastAsia="Times New Roman"/>
              </w:rPr>
            </w:pPr>
            <w:r>
              <w:rPr>
                <w:rFonts w:eastAsia="Times New Roman"/>
                <w:b/>
                <w:bCs/>
                <w:color w:val="000000"/>
                <w:sz w:val="16"/>
                <w:szCs w:val="16"/>
              </w:rPr>
              <w:t>Foreign Currency Translation Adjustments</w:t>
            </w:r>
            <w:r>
              <w:rPr>
                <w:rFonts w:eastAsia="Times New Roman"/>
                <w:b/>
                <w:bCs/>
                <w:color w:val="000000"/>
                <w:sz w:val="16"/>
                <w:szCs w:val="16"/>
              </w:rPr>
              <w:t xml:space="preserve"> </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15DF22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1E9FE0" w14:textId="77777777" w:rsidR="00000000" w:rsidRDefault="00A173A8">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7DE81DB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C9621B"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462B8D98" w14:textId="77777777">
        <w:trPr>
          <w:divId w:val="768038881"/>
        </w:trPr>
        <w:tc>
          <w:tcPr>
            <w:tcW w:w="0" w:type="auto"/>
            <w:gridSpan w:val="3"/>
            <w:vAlign w:val="center"/>
            <w:hideMark/>
          </w:tcPr>
          <w:p w14:paraId="0596EDD0" w14:textId="77777777" w:rsidR="00000000" w:rsidRDefault="00A173A8">
            <w:pPr>
              <w:spacing w:after="100"/>
              <w:jc w:val="center"/>
              <w:rPr>
                <w:rFonts w:eastAsia="Times New Roman"/>
              </w:rPr>
            </w:pPr>
          </w:p>
        </w:tc>
        <w:tc>
          <w:tcPr>
            <w:tcW w:w="0" w:type="auto"/>
            <w:gridSpan w:val="3"/>
            <w:vAlign w:val="center"/>
            <w:hideMark/>
          </w:tcPr>
          <w:p w14:paraId="0A2DE935" w14:textId="77777777" w:rsidR="00000000" w:rsidRDefault="00A173A8">
            <w:pPr>
              <w:spacing w:after="100"/>
              <w:rPr>
                <w:rFonts w:eastAsia="Times New Roman"/>
                <w:sz w:val="20"/>
                <w:szCs w:val="20"/>
              </w:rPr>
            </w:pPr>
          </w:p>
        </w:tc>
        <w:tc>
          <w:tcPr>
            <w:tcW w:w="0" w:type="auto"/>
            <w:gridSpan w:val="3"/>
            <w:vAlign w:val="center"/>
            <w:hideMark/>
          </w:tcPr>
          <w:p w14:paraId="1E5842EA" w14:textId="77777777" w:rsidR="00000000" w:rsidRDefault="00A173A8">
            <w:pPr>
              <w:spacing w:after="100"/>
              <w:rPr>
                <w:rFonts w:eastAsia="Times New Roman"/>
                <w:sz w:val="20"/>
                <w:szCs w:val="20"/>
              </w:rPr>
            </w:pPr>
          </w:p>
        </w:tc>
        <w:tc>
          <w:tcPr>
            <w:tcW w:w="0" w:type="auto"/>
            <w:gridSpan w:val="3"/>
            <w:vAlign w:val="center"/>
            <w:hideMark/>
          </w:tcPr>
          <w:p w14:paraId="3B0BC860" w14:textId="77777777" w:rsidR="00000000" w:rsidRDefault="00A173A8">
            <w:pPr>
              <w:spacing w:after="100"/>
              <w:rPr>
                <w:rFonts w:eastAsia="Times New Roman"/>
                <w:sz w:val="20"/>
                <w:szCs w:val="20"/>
              </w:rPr>
            </w:pPr>
          </w:p>
        </w:tc>
        <w:tc>
          <w:tcPr>
            <w:tcW w:w="0" w:type="auto"/>
            <w:gridSpan w:val="3"/>
            <w:vAlign w:val="center"/>
            <w:hideMark/>
          </w:tcPr>
          <w:p w14:paraId="4E12DBA6" w14:textId="77777777" w:rsidR="00000000" w:rsidRDefault="00A173A8">
            <w:pPr>
              <w:spacing w:after="100"/>
              <w:rPr>
                <w:rFonts w:eastAsia="Times New Roman"/>
                <w:sz w:val="20"/>
                <w:szCs w:val="20"/>
              </w:rPr>
            </w:pPr>
          </w:p>
        </w:tc>
        <w:tc>
          <w:tcPr>
            <w:tcW w:w="0" w:type="auto"/>
            <w:gridSpan w:val="3"/>
            <w:vAlign w:val="center"/>
            <w:hideMark/>
          </w:tcPr>
          <w:p w14:paraId="448141CD" w14:textId="77777777" w:rsidR="00000000" w:rsidRDefault="00A173A8">
            <w:pPr>
              <w:spacing w:after="100"/>
              <w:rPr>
                <w:rFonts w:eastAsia="Times New Roman"/>
                <w:sz w:val="20"/>
                <w:szCs w:val="20"/>
              </w:rPr>
            </w:pPr>
          </w:p>
        </w:tc>
        <w:tc>
          <w:tcPr>
            <w:tcW w:w="0" w:type="auto"/>
            <w:gridSpan w:val="3"/>
            <w:vAlign w:val="center"/>
            <w:hideMark/>
          </w:tcPr>
          <w:p w14:paraId="2DC62ECA" w14:textId="77777777" w:rsidR="00000000" w:rsidRDefault="00A173A8">
            <w:pPr>
              <w:spacing w:after="100"/>
              <w:rPr>
                <w:rFonts w:eastAsia="Times New Roman"/>
                <w:sz w:val="20"/>
                <w:szCs w:val="20"/>
              </w:rPr>
            </w:pPr>
          </w:p>
        </w:tc>
        <w:tc>
          <w:tcPr>
            <w:tcW w:w="0" w:type="auto"/>
            <w:gridSpan w:val="3"/>
            <w:vAlign w:val="center"/>
            <w:hideMark/>
          </w:tcPr>
          <w:p w14:paraId="26FDC2A4" w14:textId="77777777" w:rsidR="00000000" w:rsidRDefault="00A173A8">
            <w:pPr>
              <w:spacing w:after="100"/>
              <w:rPr>
                <w:rFonts w:eastAsia="Times New Roman"/>
                <w:sz w:val="20"/>
                <w:szCs w:val="20"/>
              </w:rPr>
            </w:pPr>
          </w:p>
        </w:tc>
        <w:tc>
          <w:tcPr>
            <w:tcW w:w="0" w:type="auto"/>
            <w:gridSpan w:val="3"/>
            <w:vAlign w:val="center"/>
            <w:hideMark/>
          </w:tcPr>
          <w:p w14:paraId="7020DD73" w14:textId="77777777" w:rsidR="00000000" w:rsidRDefault="00A173A8">
            <w:pPr>
              <w:spacing w:after="100"/>
              <w:rPr>
                <w:rFonts w:eastAsia="Times New Roman"/>
                <w:sz w:val="20"/>
                <w:szCs w:val="20"/>
              </w:rPr>
            </w:pPr>
          </w:p>
        </w:tc>
        <w:tc>
          <w:tcPr>
            <w:tcW w:w="0" w:type="auto"/>
            <w:gridSpan w:val="3"/>
            <w:vAlign w:val="center"/>
            <w:hideMark/>
          </w:tcPr>
          <w:p w14:paraId="37DC76BE" w14:textId="77777777" w:rsidR="00000000" w:rsidRDefault="00A173A8">
            <w:pPr>
              <w:spacing w:after="100"/>
              <w:rPr>
                <w:rFonts w:eastAsia="Times New Roman"/>
                <w:sz w:val="20"/>
                <w:szCs w:val="20"/>
              </w:rPr>
            </w:pPr>
          </w:p>
        </w:tc>
        <w:tc>
          <w:tcPr>
            <w:tcW w:w="0" w:type="auto"/>
            <w:gridSpan w:val="3"/>
            <w:vAlign w:val="center"/>
            <w:hideMark/>
          </w:tcPr>
          <w:p w14:paraId="1FC43B81" w14:textId="77777777" w:rsidR="00000000" w:rsidRDefault="00A173A8">
            <w:pPr>
              <w:spacing w:after="100"/>
              <w:rPr>
                <w:rFonts w:eastAsia="Times New Roman"/>
                <w:sz w:val="20"/>
                <w:szCs w:val="20"/>
              </w:rPr>
            </w:pPr>
          </w:p>
        </w:tc>
      </w:tr>
      <w:tr w:rsidR="00000000" w14:paraId="511DAE8D" w14:textId="77777777">
        <w:trPr>
          <w:divId w:val="768038881"/>
        </w:trPr>
        <w:tc>
          <w:tcPr>
            <w:tcW w:w="0" w:type="auto"/>
            <w:gridSpan w:val="3"/>
            <w:vAlign w:val="center"/>
            <w:hideMark/>
          </w:tcPr>
          <w:p w14:paraId="0FE3CFDF" w14:textId="77777777" w:rsidR="00000000" w:rsidRDefault="00A173A8">
            <w:pPr>
              <w:spacing w:after="100"/>
              <w:rPr>
                <w:rFonts w:eastAsia="Times New Roman"/>
                <w:sz w:val="20"/>
                <w:szCs w:val="20"/>
              </w:rPr>
            </w:pPr>
          </w:p>
        </w:tc>
        <w:tc>
          <w:tcPr>
            <w:tcW w:w="0" w:type="auto"/>
            <w:gridSpan w:val="3"/>
            <w:vAlign w:val="center"/>
            <w:hideMark/>
          </w:tcPr>
          <w:p w14:paraId="31AA54B6" w14:textId="77777777" w:rsidR="00000000" w:rsidRDefault="00A173A8">
            <w:pPr>
              <w:spacing w:after="100"/>
              <w:rPr>
                <w:rFonts w:eastAsia="Times New Roman"/>
                <w:sz w:val="20"/>
                <w:szCs w:val="20"/>
              </w:rPr>
            </w:pPr>
          </w:p>
        </w:tc>
        <w:tc>
          <w:tcPr>
            <w:tcW w:w="0" w:type="auto"/>
            <w:gridSpan w:val="3"/>
            <w:vAlign w:val="center"/>
            <w:hideMark/>
          </w:tcPr>
          <w:p w14:paraId="6E809485" w14:textId="77777777" w:rsidR="00000000" w:rsidRDefault="00A173A8">
            <w:pPr>
              <w:spacing w:after="100"/>
              <w:rPr>
                <w:rFonts w:eastAsia="Times New Roman"/>
                <w:sz w:val="20"/>
                <w:szCs w:val="20"/>
              </w:rPr>
            </w:pPr>
          </w:p>
        </w:tc>
        <w:tc>
          <w:tcPr>
            <w:tcW w:w="0" w:type="auto"/>
            <w:gridSpan w:val="3"/>
            <w:vAlign w:val="center"/>
            <w:hideMark/>
          </w:tcPr>
          <w:p w14:paraId="55CE9A51" w14:textId="77777777" w:rsidR="00000000" w:rsidRDefault="00A173A8">
            <w:pPr>
              <w:spacing w:after="100"/>
              <w:rPr>
                <w:rFonts w:eastAsia="Times New Roman"/>
                <w:sz w:val="20"/>
                <w:szCs w:val="20"/>
              </w:rPr>
            </w:pPr>
          </w:p>
        </w:tc>
        <w:tc>
          <w:tcPr>
            <w:tcW w:w="0" w:type="auto"/>
            <w:gridSpan w:val="3"/>
            <w:vAlign w:val="center"/>
            <w:hideMark/>
          </w:tcPr>
          <w:p w14:paraId="7202F3C2" w14:textId="77777777" w:rsidR="00000000" w:rsidRDefault="00A173A8">
            <w:pPr>
              <w:spacing w:after="100"/>
              <w:rPr>
                <w:rFonts w:eastAsia="Times New Roman"/>
                <w:sz w:val="20"/>
                <w:szCs w:val="20"/>
              </w:rPr>
            </w:pPr>
          </w:p>
        </w:tc>
        <w:tc>
          <w:tcPr>
            <w:tcW w:w="0" w:type="auto"/>
            <w:gridSpan w:val="3"/>
            <w:vAlign w:val="center"/>
            <w:hideMark/>
          </w:tcPr>
          <w:p w14:paraId="764E4D9D" w14:textId="77777777" w:rsidR="00000000" w:rsidRDefault="00A173A8">
            <w:pPr>
              <w:spacing w:after="100"/>
              <w:rPr>
                <w:rFonts w:eastAsia="Times New Roman"/>
                <w:sz w:val="20"/>
                <w:szCs w:val="20"/>
              </w:rPr>
            </w:pPr>
          </w:p>
        </w:tc>
        <w:tc>
          <w:tcPr>
            <w:tcW w:w="0" w:type="auto"/>
            <w:gridSpan w:val="3"/>
            <w:vAlign w:val="center"/>
            <w:hideMark/>
          </w:tcPr>
          <w:p w14:paraId="35046EDB" w14:textId="77777777" w:rsidR="00000000" w:rsidRDefault="00A173A8">
            <w:pPr>
              <w:spacing w:after="100"/>
              <w:rPr>
                <w:rFonts w:eastAsia="Times New Roman"/>
                <w:sz w:val="20"/>
                <w:szCs w:val="20"/>
              </w:rPr>
            </w:pPr>
          </w:p>
        </w:tc>
        <w:tc>
          <w:tcPr>
            <w:tcW w:w="0" w:type="auto"/>
            <w:gridSpan w:val="3"/>
            <w:vAlign w:val="center"/>
            <w:hideMark/>
          </w:tcPr>
          <w:p w14:paraId="061D93EA" w14:textId="77777777" w:rsidR="00000000" w:rsidRDefault="00A173A8">
            <w:pPr>
              <w:spacing w:after="100"/>
              <w:rPr>
                <w:rFonts w:eastAsia="Times New Roman"/>
                <w:sz w:val="20"/>
                <w:szCs w:val="20"/>
              </w:rPr>
            </w:pPr>
          </w:p>
        </w:tc>
        <w:tc>
          <w:tcPr>
            <w:tcW w:w="0" w:type="auto"/>
            <w:gridSpan w:val="3"/>
            <w:vAlign w:val="center"/>
            <w:hideMark/>
          </w:tcPr>
          <w:p w14:paraId="37C02F02" w14:textId="77777777" w:rsidR="00000000" w:rsidRDefault="00A173A8">
            <w:pPr>
              <w:spacing w:after="100"/>
              <w:rPr>
                <w:rFonts w:eastAsia="Times New Roman"/>
                <w:sz w:val="20"/>
                <w:szCs w:val="20"/>
              </w:rPr>
            </w:pPr>
          </w:p>
        </w:tc>
        <w:tc>
          <w:tcPr>
            <w:tcW w:w="0" w:type="auto"/>
            <w:gridSpan w:val="3"/>
            <w:vAlign w:val="center"/>
            <w:hideMark/>
          </w:tcPr>
          <w:p w14:paraId="62D81FA3" w14:textId="77777777" w:rsidR="00000000" w:rsidRDefault="00A173A8">
            <w:pPr>
              <w:spacing w:after="100"/>
              <w:rPr>
                <w:rFonts w:eastAsia="Times New Roman"/>
                <w:sz w:val="20"/>
                <w:szCs w:val="20"/>
              </w:rPr>
            </w:pPr>
          </w:p>
        </w:tc>
        <w:tc>
          <w:tcPr>
            <w:tcW w:w="0" w:type="auto"/>
            <w:gridSpan w:val="3"/>
            <w:vAlign w:val="center"/>
            <w:hideMark/>
          </w:tcPr>
          <w:p w14:paraId="1842AE19" w14:textId="77777777" w:rsidR="00000000" w:rsidRDefault="00A173A8">
            <w:pPr>
              <w:spacing w:after="100"/>
              <w:rPr>
                <w:rFonts w:eastAsia="Times New Roman"/>
                <w:sz w:val="20"/>
                <w:szCs w:val="20"/>
              </w:rPr>
            </w:pPr>
          </w:p>
        </w:tc>
      </w:tr>
      <w:tr w:rsidR="00000000" w14:paraId="51F753A7" w14:textId="77777777">
        <w:trPr>
          <w:divId w:val="768038881"/>
        </w:trPr>
        <w:tc>
          <w:tcPr>
            <w:tcW w:w="0" w:type="auto"/>
            <w:gridSpan w:val="3"/>
            <w:vAlign w:val="center"/>
            <w:hideMark/>
          </w:tcPr>
          <w:p w14:paraId="7ABE3D46" w14:textId="77777777" w:rsidR="00000000" w:rsidRDefault="00A173A8">
            <w:pPr>
              <w:spacing w:after="100"/>
              <w:rPr>
                <w:rFonts w:eastAsia="Times New Roman"/>
                <w:sz w:val="20"/>
                <w:szCs w:val="20"/>
              </w:rPr>
            </w:pPr>
          </w:p>
        </w:tc>
        <w:tc>
          <w:tcPr>
            <w:tcW w:w="0" w:type="auto"/>
            <w:gridSpan w:val="3"/>
            <w:vAlign w:val="center"/>
            <w:hideMark/>
          </w:tcPr>
          <w:p w14:paraId="6F418F67" w14:textId="77777777" w:rsidR="00000000" w:rsidRDefault="00A173A8">
            <w:pPr>
              <w:spacing w:after="100"/>
              <w:rPr>
                <w:rFonts w:eastAsia="Times New Roman"/>
                <w:sz w:val="20"/>
                <w:szCs w:val="20"/>
              </w:rPr>
            </w:pPr>
          </w:p>
        </w:tc>
        <w:tc>
          <w:tcPr>
            <w:tcW w:w="0" w:type="auto"/>
            <w:gridSpan w:val="3"/>
            <w:vAlign w:val="center"/>
            <w:hideMark/>
          </w:tcPr>
          <w:p w14:paraId="41274EB1" w14:textId="77777777" w:rsidR="00000000" w:rsidRDefault="00A173A8">
            <w:pPr>
              <w:spacing w:after="100"/>
              <w:rPr>
                <w:rFonts w:eastAsia="Times New Roman"/>
                <w:sz w:val="20"/>
                <w:szCs w:val="20"/>
              </w:rPr>
            </w:pPr>
          </w:p>
        </w:tc>
        <w:tc>
          <w:tcPr>
            <w:tcW w:w="0" w:type="auto"/>
            <w:gridSpan w:val="3"/>
            <w:vAlign w:val="center"/>
            <w:hideMark/>
          </w:tcPr>
          <w:p w14:paraId="1C02A1E9" w14:textId="77777777" w:rsidR="00000000" w:rsidRDefault="00A173A8">
            <w:pPr>
              <w:spacing w:after="100"/>
              <w:rPr>
                <w:rFonts w:eastAsia="Times New Roman"/>
                <w:sz w:val="20"/>
                <w:szCs w:val="20"/>
              </w:rPr>
            </w:pPr>
          </w:p>
        </w:tc>
        <w:tc>
          <w:tcPr>
            <w:tcW w:w="0" w:type="auto"/>
            <w:gridSpan w:val="3"/>
            <w:vAlign w:val="center"/>
            <w:hideMark/>
          </w:tcPr>
          <w:p w14:paraId="2C0A37AB" w14:textId="77777777" w:rsidR="00000000" w:rsidRDefault="00A173A8">
            <w:pPr>
              <w:spacing w:after="100"/>
              <w:rPr>
                <w:rFonts w:eastAsia="Times New Roman"/>
                <w:sz w:val="20"/>
                <w:szCs w:val="20"/>
              </w:rPr>
            </w:pPr>
          </w:p>
        </w:tc>
        <w:tc>
          <w:tcPr>
            <w:tcW w:w="0" w:type="auto"/>
            <w:gridSpan w:val="3"/>
            <w:vAlign w:val="center"/>
            <w:hideMark/>
          </w:tcPr>
          <w:p w14:paraId="1F0674AA" w14:textId="77777777" w:rsidR="00000000" w:rsidRDefault="00A173A8">
            <w:pPr>
              <w:spacing w:after="100"/>
              <w:rPr>
                <w:rFonts w:eastAsia="Times New Roman"/>
                <w:sz w:val="20"/>
                <w:szCs w:val="20"/>
              </w:rPr>
            </w:pPr>
          </w:p>
        </w:tc>
        <w:tc>
          <w:tcPr>
            <w:tcW w:w="0" w:type="auto"/>
            <w:gridSpan w:val="3"/>
            <w:vAlign w:val="center"/>
            <w:hideMark/>
          </w:tcPr>
          <w:p w14:paraId="55B6538E" w14:textId="77777777" w:rsidR="00000000" w:rsidRDefault="00A173A8">
            <w:pPr>
              <w:spacing w:after="100"/>
              <w:rPr>
                <w:rFonts w:eastAsia="Times New Roman"/>
                <w:sz w:val="20"/>
                <w:szCs w:val="20"/>
              </w:rPr>
            </w:pPr>
          </w:p>
        </w:tc>
        <w:tc>
          <w:tcPr>
            <w:tcW w:w="0" w:type="auto"/>
            <w:gridSpan w:val="3"/>
            <w:vAlign w:val="center"/>
            <w:hideMark/>
          </w:tcPr>
          <w:p w14:paraId="4EB05876" w14:textId="77777777" w:rsidR="00000000" w:rsidRDefault="00A173A8">
            <w:pPr>
              <w:spacing w:after="100"/>
              <w:rPr>
                <w:rFonts w:eastAsia="Times New Roman"/>
                <w:sz w:val="20"/>
                <w:szCs w:val="20"/>
              </w:rPr>
            </w:pPr>
          </w:p>
        </w:tc>
        <w:tc>
          <w:tcPr>
            <w:tcW w:w="0" w:type="auto"/>
            <w:gridSpan w:val="3"/>
            <w:vAlign w:val="center"/>
            <w:hideMark/>
          </w:tcPr>
          <w:p w14:paraId="5E3E7398" w14:textId="77777777" w:rsidR="00000000" w:rsidRDefault="00A173A8">
            <w:pPr>
              <w:spacing w:after="100"/>
              <w:rPr>
                <w:rFonts w:eastAsia="Times New Roman"/>
                <w:sz w:val="20"/>
                <w:szCs w:val="20"/>
              </w:rPr>
            </w:pPr>
          </w:p>
        </w:tc>
        <w:tc>
          <w:tcPr>
            <w:tcW w:w="0" w:type="auto"/>
            <w:gridSpan w:val="3"/>
            <w:vAlign w:val="center"/>
            <w:hideMark/>
          </w:tcPr>
          <w:p w14:paraId="1CE5680F" w14:textId="77777777" w:rsidR="00000000" w:rsidRDefault="00A173A8">
            <w:pPr>
              <w:spacing w:after="100"/>
              <w:rPr>
                <w:rFonts w:eastAsia="Times New Roman"/>
                <w:sz w:val="20"/>
                <w:szCs w:val="20"/>
              </w:rPr>
            </w:pPr>
          </w:p>
        </w:tc>
        <w:tc>
          <w:tcPr>
            <w:tcW w:w="0" w:type="auto"/>
            <w:gridSpan w:val="3"/>
            <w:vAlign w:val="center"/>
            <w:hideMark/>
          </w:tcPr>
          <w:p w14:paraId="27D5D91F" w14:textId="77777777" w:rsidR="00000000" w:rsidRDefault="00A173A8">
            <w:pPr>
              <w:spacing w:after="100"/>
              <w:rPr>
                <w:rFonts w:eastAsia="Times New Roman"/>
                <w:sz w:val="20"/>
                <w:szCs w:val="20"/>
              </w:rPr>
            </w:pPr>
          </w:p>
        </w:tc>
      </w:tr>
      <w:tr w:rsidR="00000000" w14:paraId="39A48177" w14:textId="77777777">
        <w:trPr>
          <w:divId w:val="768038881"/>
        </w:trPr>
        <w:tc>
          <w:tcPr>
            <w:tcW w:w="0" w:type="auto"/>
            <w:gridSpan w:val="3"/>
            <w:vAlign w:val="center"/>
            <w:hideMark/>
          </w:tcPr>
          <w:p w14:paraId="1850FBE5" w14:textId="77777777" w:rsidR="00000000" w:rsidRDefault="00A173A8">
            <w:pPr>
              <w:spacing w:after="100"/>
              <w:rPr>
                <w:rFonts w:eastAsia="Times New Roman"/>
                <w:sz w:val="20"/>
                <w:szCs w:val="20"/>
              </w:rPr>
            </w:pPr>
          </w:p>
        </w:tc>
        <w:tc>
          <w:tcPr>
            <w:tcW w:w="0" w:type="auto"/>
            <w:gridSpan w:val="3"/>
            <w:vAlign w:val="center"/>
            <w:hideMark/>
          </w:tcPr>
          <w:p w14:paraId="75DC4BF1" w14:textId="77777777" w:rsidR="00000000" w:rsidRDefault="00A173A8">
            <w:pPr>
              <w:spacing w:after="100"/>
              <w:rPr>
                <w:rFonts w:eastAsia="Times New Roman"/>
                <w:sz w:val="20"/>
                <w:szCs w:val="20"/>
              </w:rPr>
            </w:pPr>
          </w:p>
        </w:tc>
        <w:tc>
          <w:tcPr>
            <w:tcW w:w="0" w:type="auto"/>
            <w:gridSpan w:val="3"/>
            <w:vAlign w:val="center"/>
            <w:hideMark/>
          </w:tcPr>
          <w:p w14:paraId="1F5A4EE5" w14:textId="77777777" w:rsidR="00000000" w:rsidRDefault="00A173A8">
            <w:pPr>
              <w:spacing w:after="100"/>
              <w:rPr>
                <w:rFonts w:eastAsia="Times New Roman"/>
                <w:sz w:val="20"/>
                <w:szCs w:val="20"/>
              </w:rPr>
            </w:pPr>
          </w:p>
        </w:tc>
        <w:tc>
          <w:tcPr>
            <w:tcW w:w="0" w:type="auto"/>
            <w:gridSpan w:val="3"/>
            <w:vAlign w:val="center"/>
            <w:hideMark/>
          </w:tcPr>
          <w:p w14:paraId="669161DC" w14:textId="77777777" w:rsidR="00000000" w:rsidRDefault="00A173A8">
            <w:pPr>
              <w:spacing w:after="100"/>
              <w:rPr>
                <w:rFonts w:eastAsia="Times New Roman"/>
                <w:sz w:val="20"/>
                <w:szCs w:val="20"/>
              </w:rPr>
            </w:pPr>
          </w:p>
        </w:tc>
        <w:tc>
          <w:tcPr>
            <w:tcW w:w="0" w:type="auto"/>
            <w:gridSpan w:val="3"/>
            <w:vAlign w:val="center"/>
            <w:hideMark/>
          </w:tcPr>
          <w:p w14:paraId="72641760" w14:textId="77777777" w:rsidR="00000000" w:rsidRDefault="00A173A8">
            <w:pPr>
              <w:spacing w:after="100"/>
              <w:rPr>
                <w:rFonts w:eastAsia="Times New Roman"/>
                <w:sz w:val="20"/>
                <w:szCs w:val="20"/>
              </w:rPr>
            </w:pPr>
          </w:p>
        </w:tc>
        <w:tc>
          <w:tcPr>
            <w:tcW w:w="0" w:type="auto"/>
            <w:gridSpan w:val="3"/>
            <w:vAlign w:val="center"/>
            <w:hideMark/>
          </w:tcPr>
          <w:p w14:paraId="04E1B1A5" w14:textId="77777777" w:rsidR="00000000" w:rsidRDefault="00A173A8">
            <w:pPr>
              <w:spacing w:after="100"/>
              <w:rPr>
                <w:rFonts w:eastAsia="Times New Roman"/>
                <w:sz w:val="20"/>
                <w:szCs w:val="20"/>
              </w:rPr>
            </w:pPr>
          </w:p>
        </w:tc>
        <w:tc>
          <w:tcPr>
            <w:tcW w:w="0" w:type="auto"/>
            <w:gridSpan w:val="3"/>
            <w:vAlign w:val="center"/>
            <w:hideMark/>
          </w:tcPr>
          <w:p w14:paraId="6168AC7B" w14:textId="77777777" w:rsidR="00000000" w:rsidRDefault="00A173A8">
            <w:pPr>
              <w:spacing w:after="100"/>
              <w:rPr>
                <w:rFonts w:eastAsia="Times New Roman"/>
                <w:sz w:val="20"/>
                <w:szCs w:val="20"/>
              </w:rPr>
            </w:pPr>
          </w:p>
        </w:tc>
        <w:tc>
          <w:tcPr>
            <w:tcW w:w="0" w:type="auto"/>
            <w:gridSpan w:val="3"/>
            <w:vAlign w:val="center"/>
            <w:hideMark/>
          </w:tcPr>
          <w:p w14:paraId="07ADC49A" w14:textId="77777777" w:rsidR="00000000" w:rsidRDefault="00A173A8">
            <w:pPr>
              <w:spacing w:after="100"/>
              <w:rPr>
                <w:rFonts w:eastAsia="Times New Roman"/>
                <w:sz w:val="20"/>
                <w:szCs w:val="20"/>
              </w:rPr>
            </w:pPr>
          </w:p>
        </w:tc>
        <w:tc>
          <w:tcPr>
            <w:tcW w:w="0" w:type="auto"/>
            <w:gridSpan w:val="3"/>
            <w:vAlign w:val="center"/>
            <w:hideMark/>
          </w:tcPr>
          <w:p w14:paraId="305BFA39" w14:textId="77777777" w:rsidR="00000000" w:rsidRDefault="00A173A8">
            <w:pPr>
              <w:spacing w:after="100"/>
              <w:rPr>
                <w:rFonts w:eastAsia="Times New Roman"/>
                <w:sz w:val="20"/>
                <w:szCs w:val="20"/>
              </w:rPr>
            </w:pPr>
          </w:p>
        </w:tc>
        <w:tc>
          <w:tcPr>
            <w:tcW w:w="0" w:type="auto"/>
            <w:gridSpan w:val="3"/>
            <w:vAlign w:val="center"/>
            <w:hideMark/>
          </w:tcPr>
          <w:p w14:paraId="539B31F9" w14:textId="77777777" w:rsidR="00000000" w:rsidRDefault="00A173A8">
            <w:pPr>
              <w:spacing w:after="100"/>
              <w:rPr>
                <w:rFonts w:eastAsia="Times New Roman"/>
                <w:sz w:val="20"/>
                <w:szCs w:val="20"/>
              </w:rPr>
            </w:pPr>
          </w:p>
        </w:tc>
        <w:tc>
          <w:tcPr>
            <w:tcW w:w="0" w:type="auto"/>
            <w:gridSpan w:val="3"/>
            <w:vAlign w:val="center"/>
            <w:hideMark/>
          </w:tcPr>
          <w:p w14:paraId="03D9126D" w14:textId="77777777" w:rsidR="00000000" w:rsidRDefault="00A173A8">
            <w:pPr>
              <w:spacing w:after="100"/>
              <w:rPr>
                <w:rFonts w:eastAsia="Times New Roman"/>
                <w:sz w:val="20"/>
                <w:szCs w:val="20"/>
              </w:rPr>
            </w:pPr>
          </w:p>
        </w:tc>
      </w:tr>
      <w:tr w:rsidR="00000000" w14:paraId="17D04B34" w14:textId="77777777">
        <w:trPr>
          <w:divId w:val="768038881"/>
        </w:trPr>
        <w:tc>
          <w:tcPr>
            <w:tcW w:w="0" w:type="auto"/>
            <w:gridSpan w:val="3"/>
            <w:vAlign w:val="center"/>
            <w:hideMark/>
          </w:tcPr>
          <w:p w14:paraId="77078FF6" w14:textId="77777777" w:rsidR="00000000" w:rsidRDefault="00A173A8">
            <w:pPr>
              <w:spacing w:after="100"/>
              <w:rPr>
                <w:rFonts w:eastAsia="Times New Roman"/>
                <w:sz w:val="20"/>
                <w:szCs w:val="20"/>
              </w:rPr>
            </w:pPr>
          </w:p>
        </w:tc>
        <w:tc>
          <w:tcPr>
            <w:tcW w:w="0" w:type="auto"/>
            <w:gridSpan w:val="3"/>
            <w:vAlign w:val="center"/>
            <w:hideMark/>
          </w:tcPr>
          <w:p w14:paraId="782AD97C" w14:textId="77777777" w:rsidR="00000000" w:rsidRDefault="00A173A8">
            <w:pPr>
              <w:spacing w:after="100"/>
              <w:rPr>
                <w:rFonts w:eastAsia="Times New Roman"/>
                <w:sz w:val="20"/>
                <w:szCs w:val="20"/>
              </w:rPr>
            </w:pPr>
          </w:p>
        </w:tc>
        <w:tc>
          <w:tcPr>
            <w:tcW w:w="0" w:type="auto"/>
            <w:gridSpan w:val="3"/>
            <w:vAlign w:val="center"/>
            <w:hideMark/>
          </w:tcPr>
          <w:p w14:paraId="1EE65379" w14:textId="77777777" w:rsidR="00000000" w:rsidRDefault="00A173A8">
            <w:pPr>
              <w:spacing w:after="100"/>
              <w:rPr>
                <w:rFonts w:eastAsia="Times New Roman"/>
                <w:sz w:val="20"/>
                <w:szCs w:val="20"/>
              </w:rPr>
            </w:pPr>
          </w:p>
        </w:tc>
        <w:tc>
          <w:tcPr>
            <w:tcW w:w="0" w:type="auto"/>
            <w:gridSpan w:val="3"/>
            <w:vAlign w:val="center"/>
            <w:hideMark/>
          </w:tcPr>
          <w:p w14:paraId="051D1251" w14:textId="77777777" w:rsidR="00000000" w:rsidRDefault="00A173A8">
            <w:pPr>
              <w:spacing w:after="100"/>
              <w:rPr>
                <w:rFonts w:eastAsia="Times New Roman"/>
                <w:sz w:val="20"/>
                <w:szCs w:val="20"/>
              </w:rPr>
            </w:pPr>
          </w:p>
        </w:tc>
        <w:tc>
          <w:tcPr>
            <w:tcW w:w="0" w:type="auto"/>
            <w:gridSpan w:val="3"/>
            <w:vAlign w:val="center"/>
            <w:hideMark/>
          </w:tcPr>
          <w:p w14:paraId="47545A3C" w14:textId="77777777" w:rsidR="00000000" w:rsidRDefault="00A173A8">
            <w:pPr>
              <w:spacing w:after="100"/>
              <w:rPr>
                <w:rFonts w:eastAsia="Times New Roman"/>
                <w:sz w:val="20"/>
                <w:szCs w:val="20"/>
              </w:rPr>
            </w:pPr>
          </w:p>
        </w:tc>
        <w:tc>
          <w:tcPr>
            <w:tcW w:w="0" w:type="auto"/>
            <w:gridSpan w:val="3"/>
            <w:vAlign w:val="center"/>
            <w:hideMark/>
          </w:tcPr>
          <w:p w14:paraId="0A167B1A" w14:textId="77777777" w:rsidR="00000000" w:rsidRDefault="00A173A8">
            <w:pPr>
              <w:spacing w:after="100"/>
              <w:rPr>
                <w:rFonts w:eastAsia="Times New Roman"/>
                <w:sz w:val="20"/>
                <w:szCs w:val="20"/>
              </w:rPr>
            </w:pPr>
          </w:p>
        </w:tc>
        <w:tc>
          <w:tcPr>
            <w:tcW w:w="0" w:type="auto"/>
            <w:gridSpan w:val="3"/>
            <w:vAlign w:val="center"/>
            <w:hideMark/>
          </w:tcPr>
          <w:p w14:paraId="1B7D5CFA" w14:textId="77777777" w:rsidR="00000000" w:rsidRDefault="00A173A8">
            <w:pPr>
              <w:spacing w:after="100"/>
              <w:rPr>
                <w:rFonts w:eastAsia="Times New Roman"/>
                <w:sz w:val="20"/>
                <w:szCs w:val="20"/>
              </w:rPr>
            </w:pPr>
          </w:p>
        </w:tc>
        <w:tc>
          <w:tcPr>
            <w:tcW w:w="0" w:type="auto"/>
            <w:gridSpan w:val="3"/>
            <w:vAlign w:val="center"/>
            <w:hideMark/>
          </w:tcPr>
          <w:p w14:paraId="3364B611" w14:textId="77777777" w:rsidR="00000000" w:rsidRDefault="00A173A8">
            <w:pPr>
              <w:spacing w:after="100"/>
              <w:rPr>
                <w:rFonts w:eastAsia="Times New Roman"/>
                <w:sz w:val="20"/>
                <w:szCs w:val="20"/>
              </w:rPr>
            </w:pPr>
          </w:p>
        </w:tc>
        <w:tc>
          <w:tcPr>
            <w:tcW w:w="0" w:type="auto"/>
            <w:gridSpan w:val="3"/>
            <w:vAlign w:val="center"/>
            <w:hideMark/>
          </w:tcPr>
          <w:p w14:paraId="39A97C73" w14:textId="77777777" w:rsidR="00000000" w:rsidRDefault="00A173A8">
            <w:pPr>
              <w:spacing w:after="100"/>
              <w:rPr>
                <w:rFonts w:eastAsia="Times New Roman"/>
                <w:sz w:val="20"/>
                <w:szCs w:val="20"/>
              </w:rPr>
            </w:pPr>
          </w:p>
        </w:tc>
        <w:tc>
          <w:tcPr>
            <w:tcW w:w="0" w:type="auto"/>
            <w:gridSpan w:val="3"/>
            <w:vAlign w:val="center"/>
            <w:hideMark/>
          </w:tcPr>
          <w:p w14:paraId="36180C30" w14:textId="77777777" w:rsidR="00000000" w:rsidRDefault="00A173A8">
            <w:pPr>
              <w:spacing w:after="100"/>
              <w:rPr>
                <w:rFonts w:eastAsia="Times New Roman"/>
                <w:sz w:val="20"/>
                <w:szCs w:val="20"/>
              </w:rPr>
            </w:pPr>
          </w:p>
        </w:tc>
        <w:tc>
          <w:tcPr>
            <w:tcW w:w="0" w:type="auto"/>
            <w:gridSpan w:val="3"/>
            <w:vAlign w:val="center"/>
            <w:hideMark/>
          </w:tcPr>
          <w:p w14:paraId="5398610E" w14:textId="77777777" w:rsidR="00000000" w:rsidRDefault="00A173A8">
            <w:pPr>
              <w:spacing w:after="100"/>
              <w:rPr>
                <w:rFonts w:eastAsia="Times New Roman"/>
                <w:sz w:val="20"/>
                <w:szCs w:val="20"/>
              </w:rPr>
            </w:pPr>
          </w:p>
        </w:tc>
      </w:tr>
      <w:tr w:rsidR="00000000" w14:paraId="271CA880" w14:textId="77777777">
        <w:trPr>
          <w:divId w:val="768038881"/>
        </w:trPr>
        <w:tc>
          <w:tcPr>
            <w:tcW w:w="0" w:type="auto"/>
            <w:gridSpan w:val="3"/>
            <w:vAlign w:val="center"/>
            <w:hideMark/>
          </w:tcPr>
          <w:p w14:paraId="2CE1B9B2" w14:textId="77777777" w:rsidR="00000000" w:rsidRDefault="00A173A8">
            <w:pPr>
              <w:spacing w:after="100"/>
              <w:rPr>
                <w:rFonts w:eastAsia="Times New Roman"/>
                <w:sz w:val="20"/>
                <w:szCs w:val="20"/>
              </w:rPr>
            </w:pPr>
          </w:p>
        </w:tc>
        <w:tc>
          <w:tcPr>
            <w:tcW w:w="0" w:type="auto"/>
            <w:gridSpan w:val="3"/>
            <w:vAlign w:val="center"/>
            <w:hideMark/>
          </w:tcPr>
          <w:p w14:paraId="6A9DB728" w14:textId="77777777" w:rsidR="00000000" w:rsidRDefault="00A173A8">
            <w:pPr>
              <w:spacing w:after="100"/>
              <w:rPr>
                <w:rFonts w:eastAsia="Times New Roman"/>
                <w:sz w:val="20"/>
                <w:szCs w:val="20"/>
              </w:rPr>
            </w:pPr>
          </w:p>
        </w:tc>
        <w:tc>
          <w:tcPr>
            <w:tcW w:w="0" w:type="auto"/>
            <w:gridSpan w:val="3"/>
            <w:vAlign w:val="center"/>
            <w:hideMark/>
          </w:tcPr>
          <w:p w14:paraId="3F885D09" w14:textId="77777777" w:rsidR="00000000" w:rsidRDefault="00A173A8">
            <w:pPr>
              <w:spacing w:after="100"/>
              <w:rPr>
                <w:rFonts w:eastAsia="Times New Roman"/>
                <w:sz w:val="20"/>
                <w:szCs w:val="20"/>
              </w:rPr>
            </w:pPr>
          </w:p>
        </w:tc>
        <w:tc>
          <w:tcPr>
            <w:tcW w:w="0" w:type="auto"/>
            <w:gridSpan w:val="3"/>
            <w:vAlign w:val="center"/>
            <w:hideMark/>
          </w:tcPr>
          <w:p w14:paraId="6D660480" w14:textId="77777777" w:rsidR="00000000" w:rsidRDefault="00A173A8">
            <w:pPr>
              <w:spacing w:after="100"/>
              <w:rPr>
                <w:rFonts w:eastAsia="Times New Roman"/>
                <w:sz w:val="20"/>
                <w:szCs w:val="20"/>
              </w:rPr>
            </w:pPr>
          </w:p>
        </w:tc>
        <w:tc>
          <w:tcPr>
            <w:tcW w:w="0" w:type="auto"/>
            <w:gridSpan w:val="3"/>
            <w:vAlign w:val="center"/>
            <w:hideMark/>
          </w:tcPr>
          <w:p w14:paraId="7DC7815B" w14:textId="77777777" w:rsidR="00000000" w:rsidRDefault="00A173A8">
            <w:pPr>
              <w:spacing w:after="100"/>
              <w:rPr>
                <w:rFonts w:eastAsia="Times New Roman"/>
                <w:sz w:val="20"/>
                <w:szCs w:val="20"/>
              </w:rPr>
            </w:pPr>
          </w:p>
        </w:tc>
        <w:tc>
          <w:tcPr>
            <w:tcW w:w="0" w:type="auto"/>
            <w:gridSpan w:val="3"/>
            <w:vAlign w:val="center"/>
            <w:hideMark/>
          </w:tcPr>
          <w:p w14:paraId="69BA7EC3" w14:textId="77777777" w:rsidR="00000000" w:rsidRDefault="00A173A8">
            <w:pPr>
              <w:spacing w:after="100"/>
              <w:rPr>
                <w:rFonts w:eastAsia="Times New Roman"/>
                <w:sz w:val="20"/>
                <w:szCs w:val="20"/>
              </w:rPr>
            </w:pPr>
          </w:p>
        </w:tc>
        <w:tc>
          <w:tcPr>
            <w:tcW w:w="0" w:type="auto"/>
            <w:gridSpan w:val="3"/>
            <w:vAlign w:val="center"/>
            <w:hideMark/>
          </w:tcPr>
          <w:p w14:paraId="329DDEAD" w14:textId="77777777" w:rsidR="00000000" w:rsidRDefault="00A173A8">
            <w:pPr>
              <w:spacing w:after="100"/>
              <w:rPr>
                <w:rFonts w:eastAsia="Times New Roman"/>
                <w:sz w:val="20"/>
                <w:szCs w:val="20"/>
              </w:rPr>
            </w:pPr>
          </w:p>
        </w:tc>
        <w:tc>
          <w:tcPr>
            <w:tcW w:w="0" w:type="auto"/>
            <w:gridSpan w:val="3"/>
            <w:vAlign w:val="center"/>
            <w:hideMark/>
          </w:tcPr>
          <w:p w14:paraId="6D745289" w14:textId="77777777" w:rsidR="00000000" w:rsidRDefault="00A173A8">
            <w:pPr>
              <w:spacing w:after="100"/>
              <w:rPr>
                <w:rFonts w:eastAsia="Times New Roman"/>
                <w:sz w:val="20"/>
                <w:szCs w:val="20"/>
              </w:rPr>
            </w:pPr>
          </w:p>
        </w:tc>
        <w:tc>
          <w:tcPr>
            <w:tcW w:w="0" w:type="auto"/>
            <w:gridSpan w:val="3"/>
            <w:vAlign w:val="center"/>
            <w:hideMark/>
          </w:tcPr>
          <w:p w14:paraId="228F3ABF" w14:textId="77777777" w:rsidR="00000000" w:rsidRDefault="00A173A8">
            <w:pPr>
              <w:spacing w:after="100"/>
              <w:rPr>
                <w:rFonts w:eastAsia="Times New Roman"/>
                <w:sz w:val="20"/>
                <w:szCs w:val="20"/>
              </w:rPr>
            </w:pPr>
          </w:p>
        </w:tc>
        <w:tc>
          <w:tcPr>
            <w:tcW w:w="0" w:type="auto"/>
            <w:gridSpan w:val="3"/>
            <w:vAlign w:val="center"/>
            <w:hideMark/>
          </w:tcPr>
          <w:p w14:paraId="6BCD774B" w14:textId="77777777" w:rsidR="00000000" w:rsidRDefault="00A173A8">
            <w:pPr>
              <w:spacing w:after="100"/>
              <w:rPr>
                <w:rFonts w:eastAsia="Times New Roman"/>
                <w:sz w:val="20"/>
                <w:szCs w:val="20"/>
              </w:rPr>
            </w:pPr>
          </w:p>
        </w:tc>
        <w:tc>
          <w:tcPr>
            <w:tcW w:w="0" w:type="auto"/>
            <w:gridSpan w:val="3"/>
            <w:vAlign w:val="center"/>
            <w:hideMark/>
          </w:tcPr>
          <w:p w14:paraId="44666425" w14:textId="77777777" w:rsidR="00000000" w:rsidRDefault="00A173A8">
            <w:pPr>
              <w:spacing w:after="100"/>
              <w:rPr>
                <w:rFonts w:eastAsia="Times New Roman"/>
                <w:sz w:val="20"/>
                <w:szCs w:val="20"/>
              </w:rPr>
            </w:pPr>
          </w:p>
        </w:tc>
      </w:tr>
      <w:tr w:rsidR="00000000" w14:paraId="3CAA85AA" w14:textId="77777777">
        <w:trPr>
          <w:divId w:val="768038881"/>
        </w:trPr>
        <w:tc>
          <w:tcPr>
            <w:tcW w:w="0" w:type="auto"/>
            <w:gridSpan w:val="3"/>
            <w:vAlign w:val="center"/>
            <w:hideMark/>
          </w:tcPr>
          <w:p w14:paraId="1178EDCD" w14:textId="77777777" w:rsidR="00000000" w:rsidRDefault="00A173A8">
            <w:pPr>
              <w:spacing w:after="100"/>
              <w:rPr>
                <w:rFonts w:eastAsia="Times New Roman"/>
                <w:sz w:val="20"/>
                <w:szCs w:val="20"/>
              </w:rPr>
            </w:pPr>
          </w:p>
        </w:tc>
        <w:tc>
          <w:tcPr>
            <w:tcW w:w="0" w:type="auto"/>
            <w:gridSpan w:val="3"/>
            <w:vAlign w:val="center"/>
            <w:hideMark/>
          </w:tcPr>
          <w:p w14:paraId="674786E5" w14:textId="77777777" w:rsidR="00000000" w:rsidRDefault="00A173A8">
            <w:pPr>
              <w:spacing w:after="100"/>
              <w:rPr>
                <w:rFonts w:eastAsia="Times New Roman"/>
                <w:sz w:val="20"/>
                <w:szCs w:val="20"/>
              </w:rPr>
            </w:pPr>
          </w:p>
        </w:tc>
        <w:tc>
          <w:tcPr>
            <w:tcW w:w="0" w:type="auto"/>
            <w:gridSpan w:val="3"/>
            <w:vAlign w:val="center"/>
            <w:hideMark/>
          </w:tcPr>
          <w:p w14:paraId="3E0EEC96" w14:textId="77777777" w:rsidR="00000000" w:rsidRDefault="00A173A8">
            <w:pPr>
              <w:spacing w:after="100"/>
              <w:rPr>
                <w:rFonts w:eastAsia="Times New Roman"/>
                <w:sz w:val="20"/>
                <w:szCs w:val="20"/>
              </w:rPr>
            </w:pPr>
          </w:p>
        </w:tc>
        <w:tc>
          <w:tcPr>
            <w:tcW w:w="0" w:type="auto"/>
            <w:gridSpan w:val="3"/>
            <w:vAlign w:val="center"/>
            <w:hideMark/>
          </w:tcPr>
          <w:p w14:paraId="5D9717D3" w14:textId="77777777" w:rsidR="00000000" w:rsidRDefault="00A173A8">
            <w:pPr>
              <w:spacing w:after="100"/>
              <w:rPr>
                <w:rFonts w:eastAsia="Times New Roman"/>
                <w:sz w:val="20"/>
                <w:szCs w:val="20"/>
              </w:rPr>
            </w:pPr>
          </w:p>
        </w:tc>
        <w:tc>
          <w:tcPr>
            <w:tcW w:w="0" w:type="auto"/>
            <w:gridSpan w:val="3"/>
            <w:vAlign w:val="center"/>
            <w:hideMark/>
          </w:tcPr>
          <w:p w14:paraId="0879D19F" w14:textId="77777777" w:rsidR="00000000" w:rsidRDefault="00A173A8">
            <w:pPr>
              <w:spacing w:after="100"/>
              <w:rPr>
                <w:rFonts w:eastAsia="Times New Roman"/>
                <w:sz w:val="20"/>
                <w:szCs w:val="20"/>
              </w:rPr>
            </w:pPr>
          </w:p>
        </w:tc>
        <w:tc>
          <w:tcPr>
            <w:tcW w:w="0" w:type="auto"/>
            <w:gridSpan w:val="3"/>
            <w:vAlign w:val="center"/>
            <w:hideMark/>
          </w:tcPr>
          <w:p w14:paraId="446B7DAE" w14:textId="77777777" w:rsidR="00000000" w:rsidRDefault="00A173A8">
            <w:pPr>
              <w:spacing w:after="100"/>
              <w:rPr>
                <w:rFonts w:eastAsia="Times New Roman"/>
                <w:sz w:val="20"/>
                <w:szCs w:val="20"/>
              </w:rPr>
            </w:pPr>
          </w:p>
        </w:tc>
        <w:tc>
          <w:tcPr>
            <w:tcW w:w="0" w:type="auto"/>
            <w:gridSpan w:val="3"/>
            <w:vAlign w:val="center"/>
            <w:hideMark/>
          </w:tcPr>
          <w:p w14:paraId="6AC14989" w14:textId="77777777" w:rsidR="00000000" w:rsidRDefault="00A173A8">
            <w:pPr>
              <w:spacing w:after="100"/>
              <w:rPr>
                <w:rFonts w:eastAsia="Times New Roman"/>
                <w:sz w:val="20"/>
                <w:szCs w:val="20"/>
              </w:rPr>
            </w:pPr>
          </w:p>
        </w:tc>
        <w:tc>
          <w:tcPr>
            <w:tcW w:w="0" w:type="auto"/>
            <w:gridSpan w:val="3"/>
            <w:vAlign w:val="center"/>
            <w:hideMark/>
          </w:tcPr>
          <w:p w14:paraId="142EF7FF" w14:textId="77777777" w:rsidR="00000000" w:rsidRDefault="00A173A8">
            <w:pPr>
              <w:spacing w:after="100"/>
              <w:rPr>
                <w:rFonts w:eastAsia="Times New Roman"/>
                <w:sz w:val="20"/>
                <w:szCs w:val="20"/>
              </w:rPr>
            </w:pPr>
          </w:p>
        </w:tc>
        <w:tc>
          <w:tcPr>
            <w:tcW w:w="0" w:type="auto"/>
            <w:gridSpan w:val="3"/>
            <w:vAlign w:val="center"/>
            <w:hideMark/>
          </w:tcPr>
          <w:p w14:paraId="68ECA257" w14:textId="77777777" w:rsidR="00000000" w:rsidRDefault="00A173A8">
            <w:pPr>
              <w:spacing w:after="100"/>
              <w:rPr>
                <w:rFonts w:eastAsia="Times New Roman"/>
                <w:sz w:val="20"/>
                <w:szCs w:val="20"/>
              </w:rPr>
            </w:pPr>
          </w:p>
        </w:tc>
        <w:tc>
          <w:tcPr>
            <w:tcW w:w="0" w:type="auto"/>
            <w:gridSpan w:val="3"/>
            <w:vAlign w:val="center"/>
            <w:hideMark/>
          </w:tcPr>
          <w:p w14:paraId="591CBFFE" w14:textId="77777777" w:rsidR="00000000" w:rsidRDefault="00A173A8">
            <w:pPr>
              <w:spacing w:after="100"/>
              <w:rPr>
                <w:rFonts w:eastAsia="Times New Roman"/>
                <w:sz w:val="20"/>
                <w:szCs w:val="20"/>
              </w:rPr>
            </w:pPr>
          </w:p>
        </w:tc>
        <w:tc>
          <w:tcPr>
            <w:tcW w:w="0" w:type="auto"/>
            <w:gridSpan w:val="3"/>
            <w:vAlign w:val="center"/>
            <w:hideMark/>
          </w:tcPr>
          <w:p w14:paraId="3EFE4BB0" w14:textId="77777777" w:rsidR="00000000" w:rsidRDefault="00A173A8">
            <w:pPr>
              <w:spacing w:after="100"/>
              <w:rPr>
                <w:rFonts w:eastAsia="Times New Roman"/>
                <w:sz w:val="20"/>
                <w:szCs w:val="20"/>
              </w:rPr>
            </w:pPr>
          </w:p>
        </w:tc>
      </w:tr>
      <w:tr w:rsidR="00000000" w14:paraId="63A7B8B2" w14:textId="77777777">
        <w:trPr>
          <w:divId w:val="768038881"/>
        </w:trPr>
        <w:tc>
          <w:tcPr>
            <w:tcW w:w="0" w:type="auto"/>
            <w:gridSpan w:val="3"/>
            <w:vAlign w:val="center"/>
            <w:hideMark/>
          </w:tcPr>
          <w:p w14:paraId="74D6A5B8" w14:textId="77777777" w:rsidR="00000000" w:rsidRDefault="00A173A8">
            <w:pPr>
              <w:spacing w:after="100"/>
              <w:rPr>
                <w:rFonts w:eastAsia="Times New Roman"/>
                <w:sz w:val="20"/>
                <w:szCs w:val="20"/>
              </w:rPr>
            </w:pPr>
          </w:p>
        </w:tc>
        <w:tc>
          <w:tcPr>
            <w:tcW w:w="0" w:type="auto"/>
            <w:gridSpan w:val="3"/>
            <w:vAlign w:val="center"/>
            <w:hideMark/>
          </w:tcPr>
          <w:p w14:paraId="69A07150" w14:textId="77777777" w:rsidR="00000000" w:rsidRDefault="00A173A8">
            <w:pPr>
              <w:spacing w:after="100"/>
              <w:rPr>
                <w:rFonts w:eastAsia="Times New Roman"/>
                <w:sz w:val="20"/>
                <w:szCs w:val="20"/>
              </w:rPr>
            </w:pPr>
          </w:p>
        </w:tc>
        <w:tc>
          <w:tcPr>
            <w:tcW w:w="0" w:type="auto"/>
            <w:gridSpan w:val="3"/>
            <w:vAlign w:val="center"/>
            <w:hideMark/>
          </w:tcPr>
          <w:p w14:paraId="4B27F270" w14:textId="77777777" w:rsidR="00000000" w:rsidRDefault="00A173A8">
            <w:pPr>
              <w:spacing w:after="100"/>
              <w:rPr>
                <w:rFonts w:eastAsia="Times New Roman"/>
                <w:sz w:val="20"/>
                <w:szCs w:val="20"/>
              </w:rPr>
            </w:pPr>
          </w:p>
        </w:tc>
        <w:tc>
          <w:tcPr>
            <w:tcW w:w="0" w:type="auto"/>
            <w:gridSpan w:val="3"/>
            <w:vAlign w:val="center"/>
            <w:hideMark/>
          </w:tcPr>
          <w:p w14:paraId="568C8D80" w14:textId="77777777" w:rsidR="00000000" w:rsidRDefault="00A173A8">
            <w:pPr>
              <w:spacing w:after="100"/>
              <w:rPr>
                <w:rFonts w:eastAsia="Times New Roman"/>
                <w:sz w:val="20"/>
                <w:szCs w:val="20"/>
              </w:rPr>
            </w:pPr>
          </w:p>
        </w:tc>
        <w:tc>
          <w:tcPr>
            <w:tcW w:w="0" w:type="auto"/>
            <w:gridSpan w:val="3"/>
            <w:vAlign w:val="center"/>
            <w:hideMark/>
          </w:tcPr>
          <w:p w14:paraId="691D4708" w14:textId="77777777" w:rsidR="00000000" w:rsidRDefault="00A173A8">
            <w:pPr>
              <w:spacing w:after="100"/>
              <w:rPr>
                <w:rFonts w:eastAsia="Times New Roman"/>
                <w:sz w:val="20"/>
                <w:szCs w:val="20"/>
              </w:rPr>
            </w:pPr>
          </w:p>
        </w:tc>
        <w:tc>
          <w:tcPr>
            <w:tcW w:w="0" w:type="auto"/>
            <w:gridSpan w:val="3"/>
            <w:vAlign w:val="center"/>
            <w:hideMark/>
          </w:tcPr>
          <w:p w14:paraId="233AEE73" w14:textId="77777777" w:rsidR="00000000" w:rsidRDefault="00A173A8">
            <w:pPr>
              <w:spacing w:after="100"/>
              <w:rPr>
                <w:rFonts w:eastAsia="Times New Roman"/>
                <w:sz w:val="20"/>
                <w:szCs w:val="20"/>
              </w:rPr>
            </w:pPr>
          </w:p>
        </w:tc>
        <w:tc>
          <w:tcPr>
            <w:tcW w:w="0" w:type="auto"/>
            <w:gridSpan w:val="3"/>
            <w:vAlign w:val="center"/>
            <w:hideMark/>
          </w:tcPr>
          <w:p w14:paraId="26DA84E0" w14:textId="77777777" w:rsidR="00000000" w:rsidRDefault="00A173A8">
            <w:pPr>
              <w:spacing w:after="100"/>
              <w:rPr>
                <w:rFonts w:eastAsia="Times New Roman"/>
                <w:sz w:val="20"/>
                <w:szCs w:val="20"/>
              </w:rPr>
            </w:pPr>
          </w:p>
        </w:tc>
        <w:tc>
          <w:tcPr>
            <w:tcW w:w="0" w:type="auto"/>
            <w:gridSpan w:val="3"/>
            <w:vAlign w:val="center"/>
            <w:hideMark/>
          </w:tcPr>
          <w:p w14:paraId="282849B6" w14:textId="77777777" w:rsidR="00000000" w:rsidRDefault="00A173A8">
            <w:pPr>
              <w:spacing w:after="100"/>
              <w:rPr>
                <w:rFonts w:eastAsia="Times New Roman"/>
                <w:sz w:val="20"/>
                <w:szCs w:val="20"/>
              </w:rPr>
            </w:pPr>
          </w:p>
        </w:tc>
        <w:tc>
          <w:tcPr>
            <w:tcW w:w="0" w:type="auto"/>
            <w:gridSpan w:val="3"/>
            <w:vAlign w:val="center"/>
            <w:hideMark/>
          </w:tcPr>
          <w:p w14:paraId="2CA097C5" w14:textId="77777777" w:rsidR="00000000" w:rsidRDefault="00A173A8">
            <w:pPr>
              <w:spacing w:after="100"/>
              <w:rPr>
                <w:rFonts w:eastAsia="Times New Roman"/>
                <w:sz w:val="20"/>
                <w:szCs w:val="20"/>
              </w:rPr>
            </w:pPr>
          </w:p>
        </w:tc>
        <w:tc>
          <w:tcPr>
            <w:tcW w:w="0" w:type="auto"/>
            <w:gridSpan w:val="3"/>
            <w:vAlign w:val="center"/>
            <w:hideMark/>
          </w:tcPr>
          <w:p w14:paraId="27EB3370" w14:textId="77777777" w:rsidR="00000000" w:rsidRDefault="00A173A8">
            <w:pPr>
              <w:spacing w:after="100"/>
              <w:rPr>
                <w:rFonts w:eastAsia="Times New Roman"/>
                <w:sz w:val="20"/>
                <w:szCs w:val="20"/>
              </w:rPr>
            </w:pPr>
          </w:p>
        </w:tc>
        <w:tc>
          <w:tcPr>
            <w:tcW w:w="0" w:type="auto"/>
            <w:gridSpan w:val="3"/>
            <w:vAlign w:val="center"/>
            <w:hideMark/>
          </w:tcPr>
          <w:p w14:paraId="0521257C" w14:textId="77777777" w:rsidR="00000000" w:rsidRDefault="00A173A8">
            <w:pPr>
              <w:spacing w:after="100"/>
              <w:rPr>
                <w:rFonts w:eastAsia="Times New Roman"/>
                <w:sz w:val="20"/>
                <w:szCs w:val="20"/>
              </w:rPr>
            </w:pPr>
          </w:p>
        </w:tc>
      </w:tr>
      <w:tr w:rsidR="00000000" w14:paraId="6B98532B" w14:textId="77777777">
        <w:trPr>
          <w:divId w:val="768038881"/>
        </w:trPr>
        <w:tc>
          <w:tcPr>
            <w:tcW w:w="0" w:type="auto"/>
            <w:gridSpan w:val="3"/>
            <w:vAlign w:val="center"/>
            <w:hideMark/>
          </w:tcPr>
          <w:p w14:paraId="34657CC6" w14:textId="77777777" w:rsidR="00000000" w:rsidRDefault="00A173A8">
            <w:pPr>
              <w:spacing w:after="100"/>
              <w:rPr>
                <w:rFonts w:eastAsia="Times New Roman"/>
                <w:sz w:val="20"/>
                <w:szCs w:val="20"/>
              </w:rPr>
            </w:pPr>
          </w:p>
        </w:tc>
        <w:tc>
          <w:tcPr>
            <w:tcW w:w="0" w:type="auto"/>
            <w:gridSpan w:val="3"/>
            <w:vAlign w:val="center"/>
            <w:hideMark/>
          </w:tcPr>
          <w:p w14:paraId="3470984A" w14:textId="77777777" w:rsidR="00000000" w:rsidRDefault="00A173A8">
            <w:pPr>
              <w:spacing w:after="100"/>
              <w:rPr>
                <w:rFonts w:eastAsia="Times New Roman"/>
                <w:sz w:val="20"/>
                <w:szCs w:val="20"/>
              </w:rPr>
            </w:pPr>
          </w:p>
        </w:tc>
        <w:tc>
          <w:tcPr>
            <w:tcW w:w="0" w:type="auto"/>
            <w:gridSpan w:val="3"/>
            <w:vAlign w:val="center"/>
            <w:hideMark/>
          </w:tcPr>
          <w:p w14:paraId="5E8F18FC" w14:textId="77777777" w:rsidR="00000000" w:rsidRDefault="00A173A8">
            <w:pPr>
              <w:spacing w:after="100"/>
              <w:rPr>
                <w:rFonts w:eastAsia="Times New Roman"/>
                <w:sz w:val="20"/>
                <w:szCs w:val="20"/>
              </w:rPr>
            </w:pPr>
          </w:p>
        </w:tc>
        <w:tc>
          <w:tcPr>
            <w:tcW w:w="0" w:type="auto"/>
            <w:gridSpan w:val="3"/>
            <w:vAlign w:val="center"/>
            <w:hideMark/>
          </w:tcPr>
          <w:p w14:paraId="32BE6E0A" w14:textId="77777777" w:rsidR="00000000" w:rsidRDefault="00A173A8">
            <w:pPr>
              <w:spacing w:after="100"/>
              <w:rPr>
                <w:rFonts w:eastAsia="Times New Roman"/>
                <w:sz w:val="20"/>
                <w:szCs w:val="20"/>
              </w:rPr>
            </w:pPr>
          </w:p>
        </w:tc>
        <w:tc>
          <w:tcPr>
            <w:tcW w:w="0" w:type="auto"/>
            <w:gridSpan w:val="3"/>
            <w:vAlign w:val="center"/>
            <w:hideMark/>
          </w:tcPr>
          <w:p w14:paraId="4E903E17" w14:textId="77777777" w:rsidR="00000000" w:rsidRDefault="00A173A8">
            <w:pPr>
              <w:spacing w:after="100"/>
              <w:rPr>
                <w:rFonts w:eastAsia="Times New Roman"/>
                <w:sz w:val="20"/>
                <w:szCs w:val="20"/>
              </w:rPr>
            </w:pPr>
          </w:p>
        </w:tc>
        <w:tc>
          <w:tcPr>
            <w:tcW w:w="0" w:type="auto"/>
            <w:gridSpan w:val="3"/>
            <w:vAlign w:val="center"/>
            <w:hideMark/>
          </w:tcPr>
          <w:p w14:paraId="0EAAC4A3" w14:textId="77777777" w:rsidR="00000000" w:rsidRDefault="00A173A8">
            <w:pPr>
              <w:spacing w:after="100"/>
              <w:rPr>
                <w:rFonts w:eastAsia="Times New Roman"/>
                <w:sz w:val="20"/>
                <w:szCs w:val="20"/>
              </w:rPr>
            </w:pPr>
          </w:p>
        </w:tc>
        <w:tc>
          <w:tcPr>
            <w:tcW w:w="0" w:type="auto"/>
            <w:gridSpan w:val="3"/>
            <w:vAlign w:val="center"/>
            <w:hideMark/>
          </w:tcPr>
          <w:p w14:paraId="4846513E" w14:textId="77777777" w:rsidR="00000000" w:rsidRDefault="00A173A8">
            <w:pPr>
              <w:spacing w:after="100"/>
              <w:rPr>
                <w:rFonts w:eastAsia="Times New Roman"/>
                <w:sz w:val="20"/>
                <w:szCs w:val="20"/>
              </w:rPr>
            </w:pPr>
          </w:p>
        </w:tc>
        <w:tc>
          <w:tcPr>
            <w:tcW w:w="0" w:type="auto"/>
            <w:gridSpan w:val="3"/>
            <w:vAlign w:val="center"/>
            <w:hideMark/>
          </w:tcPr>
          <w:p w14:paraId="4CA7A1EC" w14:textId="77777777" w:rsidR="00000000" w:rsidRDefault="00A173A8">
            <w:pPr>
              <w:spacing w:after="100"/>
              <w:rPr>
                <w:rFonts w:eastAsia="Times New Roman"/>
                <w:sz w:val="20"/>
                <w:szCs w:val="20"/>
              </w:rPr>
            </w:pPr>
          </w:p>
        </w:tc>
        <w:tc>
          <w:tcPr>
            <w:tcW w:w="0" w:type="auto"/>
            <w:gridSpan w:val="3"/>
            <w:vAlign w:val="center"/>
            <w:hideMark/>
          </w:tcPr>
          <w:p w14:paraId="55FBB1E0" w14:textId="77777777" w:rsidR="00000000" w:rsidRDefault="00A173A8">
            <w:pPr>
              <w:spacing w:after="100"/>
              <w:rPr>
                <w:rFonts w:eastAsia="Times New Roman"/>
                <w:sz w:val="20"/>
                <w:szCs w:val="20"/>
              </w:rPr>
            </w:pPr>
          </w:p>
        </w:tc>
        <w:tc>
          <w:tcPr>
            <w:tcW w:w="0" w:type="auto"/>
            <w:gridSpan w:val="3"/>
            <w:vAlign w:val="center"/>
            <w:hideMark/>
          </w:tcPr>
          <w:p w14:paraId="33E3C1BB" w14:textId="77777777" w:rsidR="00000000" w:rsidRDefault="00A173A8">
            <w:pPr>
              <w:spacing w:after="100"/>
              <w:rPr>
                <w:rFonts w:eastAsia="Times New Roman"/>
                <w:sz w:val="20"/>
                <w:szCs w:val="20"/>
              </w:rPr>
            </w:pPr>
          </w:p>
        </w:tc>
        <w:tc>
          <w:tcPr>
            <w:tcW w:w="0" w:type="auto"/>
            <w:gridSpan w:val="3"/>
            <w:vAlign w:val="center"/>
            <w:hideMark/>
          </w:tcPr>
          <w:p w14:paraId="438BF73A" w14:textId="77777777" w:rsidR="00000000" w:rsidRDefault="00A173A8">
            <w:pPr>
              <w:spacing w:after="100"/>
              <w:rPr>
                <w:rFonts w:eastAsia="Times New Roman"/>
                <w:sz w:val="20"/>
                <w:szCs w:val="20"/>
              </w:rPr>
            </w:pPr>
          </w:p>
        </w:tc>
      </w:tr>
      <w:tr w:rsidR="00000000" w14:paraId="4E9991B3" w14:textId="77777777">
        <w:trPr>
          <w:divId w:val="768038881"/>
        </w:trPr>
        <w:tc>
          <w:tcPr>
            <w:tcW w:w="0" w:type="auto"/>
            <w:gridSpan w:val="3"/>
            <w:vAlign w:val="center"/>
            <w:hideMark/>
          </w:tcPr>
          <w:p w14:paraId="4DBB966D" w14:textId="77777777" w:rsidR="00000000" w:rsidRDefault="00A173A8">
            <w:pPr>
              <w:spacing w:after="100"/>
              <w:rPr>
                <w:rFonts w:eastAsia="Times New Roman"/>
                <w:sz w:val="20"/>
                <w:szCs w:val="20"/>
              </w:rPr>
            </w:pPr>
          </w:p>
        </w:tc>
        <w:tc>
          <w:tcPr>
            <w:tcW w:w="0" w:type="auto"/>
            <w:gridSpan w:val="3"/>
            <w:vAlign w:val="center"/>
            <w:hideMark/>
          </w:tcPr>
          <w:p w14:paraId="3086AC8A" w14:textId="77777777" w:rsidR="00000000" w:rsidRDefault="00A173A8">
            <w:pPr>
              <w:spacing w:after="100"/>
              <w:rPr>
                <w:rFonts w:eastAsia="Times New Roman"/>
                <w:sz w:val="20"/>
                <w:szCs w:val="20"/>
              </w:rPr>
            </w:pPr>
          </w:p>
        </w:tc>
        <w:tc>
          <w:tcPr>
            <w:tcW w:w="0" w:type="auto"/>
            <w:gridSpan w:val="3"/>
            <w:vAlign w:val="center"/>
            <w:hideMark/>
          </w:tcPr>
          <w:p w14:paraId="3995F4E9" w14:textId="77777777" w:rsidR="00000000" w:rsidRDefault="00A173A8">
            <w:pPr>
              <w:spacing w:after="100"/>
              <w:rPr>
                <w:rFonts w:eastAsia="Times New Roman"/>
                <w:sz w:val="20"/>
                <w:szCs w:val="20"/>
              </w:rPr>
            </w:pPr>
          </w:p>
        </w:tc>
        <w:tc>
          <w:tcPr>
            <w:tcW w:w="0" w:type="auto"/>
            <w:gridSpan w:val="3"/>
            <w:vAlign w:val="center"/>
            <w:hideMark/>
          </w:tcPr>
          <w:p w14:paraId="48E17320" w14:textId="77777777" w:rsidR="00000000" w:rsidRDefault="00A173A8">
            <w:pPr>
              <w:spacing w:after="100"/>
              <w:rPr>
                <w:rFonts w:eastAsia="Times New Roman"/>
                <w:sz w:val="20"/>
                <w:szCs w:val="20"/>
              </w:rPr>
            </w:pPr>
          </w:p>
        </w:tc>
        <w:tc>
          <w:tcPr>
            <w:tcW w:w="0" w:type="auto"/>
            <w:gridSpan w:val="3"/>
            <w:vAlign w:val="center"/>
            <w:hideMark/>
          </w:tcPr>
          <w:p w14:paraId="0C0A5C5C" w14:textId="77777777" w:rsidR="00000000" w:rsidRDefault="00A173A8">
            <w:pPr>
              <w:spacing w:after="100"/>
              <w:rPr>
                <w:rFonts w:eastAsia="Times New Roman"/>
                <w:sz w:val="20"/>
                <w:szCs w:val="20"/>
              </w:rPr>
            </w:pPr>
          </w:p>
        </w:tc>
        <w:tc>
          <w:tcPr>
            <w:tcW w:w="0" w:type="auto"/>
            <w:gridSpan w:val="3"/>
            <w:vAlign w:val="center"/>
            <w:hideMark/>
          </w:tcPr>
          <w:p w14:paraId="0485DEB6" w14:textId="77777777" w:rsidR="00000000" w:rsidRDefault="00A173A8">
            <w:pPr>
              <w:spacing w:after="100"/>
              <w:rPr>
                <w:rFonts w:eastAsia="Times New Roman"/>
                <w:sz w:val="20"/>
                <w:szCs w:val="20"/>
              </w:rPr>
            </w:pPr>
          </w:p>
        </w:tc>
        <w:tc>
          <w:tcPr>
            <w:tcW w:w="0" w:type="auto"/>
            <w:gridSpan w:val="3"/>
            <w:vAlign w:val="center"/>
            <w:hideMark/>
          </w:tcPr>
          <w:p w14:paraId="1EBDA2D1" w14:textId="77777777" w:rsidR="00000000" w:rsidRDefault="00A173A8">
            <w:pPr>
              <w:spacing w:after="100"/>
              <w:rPr>
                <w:rFonts w:eastAsia="Times New Roman"/>
                <w:sz w:val="20"/>
                <w:szCs w:val="20"/>
              </w:rPr>
            </w:pPr>
          </w:p>
        </w:tc>
        <w:tc>
          <w:tcPr>
            <w:tcW w:w="0" w:type="auto"/>
            <w:gridSpan w:val="3"/>
            <w:vAlign w:val="center"/>
            <w:hideMark/>
          </w:tcPr>
          <w:p w14:paraId="6C1BF654" w14:textId="77777777" w:rsidR="00000000" w:rsidRDefault="00A173A8">
            <w:pPr>
              <w:spacing w:after="100"/>
              <w:rPr>
                <w:rFonts w:eastAsia="Times New Roman"/>
                <w:sz w:val="20"/>
                <w:szCs w:val="20"/>
              </w:rPr>
            </w:pPr>
          </w:p>
        </w:tc>
        <w:tc>
          <w:tcPr>
            <w:tcW w:w="0" w:type="auto"/>
            <w:gridSpan w:val="3"/>
            <w:vAlign w:val="center"/>
            <w:hideMark/>
          </w:tcPr>
          <w:p w14:paraId="07C5DC85" w14:textId="77777777" w:rsidR="00000000" w:rsidRDefault="00A173A8">
            <w:pPr>
              <w:spacing w:after="100"/>
              <w:rPr>
                <w:rFonts w:eastAsia="Times New Roman"/>
                <w:sz w:val="20"/>
                <w:szCs w:val="20"/>
              </w:rPr>
            </w:pPr>
          </w:p>
        </w:tc>
        <w:tc>
          <w:tcPr>
            <w:tcW w:w="0" w:type="auto"/>
            <w:gridSpan w:val="3"/>
            <w:vAlign w:val="center"/>
            <w:hideMark/>
          </w:tcPr>
          <w:p w14:paraId="4CA9924A" w14:textId="77777777" w:rsidR="00000000" w:rsidRDefault="00A173A8">
            <w:pPr>
              <w:spacing w:after="100"/>
              <w:rPr>
                <w:rFonts w:eastAsia="Times New Roman"/>
                <w:sz w:val="20"/>
                <w:szCs w:val="20"/>
              </w:rPr>
            </w:pPr>
          </w:p>
        </w:tc>
        <w:tc>
          <w:tcPr>
            <w:tcW w:w="0" w:type="auto"/>
            <w:gridSpan w:val="3"/>
            <w:vAlign w:val="center"/>
            <w:hideMark/>
          </w:tcPr>
          <w:p w14:paraId="205DEEA9" w14:textId="77777777" w:rsidR="00000000" w:rsidRDefault="00A173A8">
            <w:pPr>
              <w:spacing w:after="100"/>
              <w:rPr>
                <w:rFonts w:eastAsia="Times New Roman"/>
                <w:sz w:val="20"/>
                <w:szCs w:val="20"/>
              </w:rPr>
            </w:pPr>
          </w:p>
        </w:tc>
      </w:tr>
      <w:tr w:rsidR="00000000" w14:paraId="4E6BB9F4" w14:textId="77777777">
        <w:trPr>
          <w:divId w:val="7680388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47764BA" w14:textId="77777777" w:rsidR="00000000" w:rsidRDefault="00A173A8">
            <w:pPr>
              <w:spacing w:after="100"/>
              <w:rPr>
                <w:rFonts w:eastAsia="Times New Roman"/>
              </w:rPr>
            </w:pPr>
            <w:r>
              <w:rPr>
                <w:rFonts w:eastAsia="Times New Roman"/>
                <w:color w:val="000000"/>
                <w:sz w:val="18"/>
                <w:szCs w:val="18"/>
              </w:rPr>
              <w:t>AOCI as of March 31, 2022</w:t>
            </w:r>
          </w:p>
        </w:tc>
        <w:tc>
          <w:tcPr>
            <w:tcW w:w="0" w:type="auto"/>
            <w:gridSpan w:val="3"/>
            <w:shd w:val="clear" w:color="auto" w:fill="CCEEFF"/>
            <w:tcMar>
              <w:top w:w="0" w:type="dxa"/>
              <w:left w:w="20" w:type="dxa"/>
              <w:bottom w:w="0" w:type="dxa"/>
              <w:right w:w="20" w:type="dxa"/>
            </w:tcMar>
            <w:vAlign w:val="center"/>
            <w:hideMark/>
          </w:tcPr>
          <w:p w14:paraId="23603892"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D66FC6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2EDBA36" w14:textId="77777777" w:rsidR="00000000" w:rsidRDefault="00A173A8">
            <w:pPr>
              <w:spacing w:after="100"/>
              <w:jc w:val="right"/>
              <w:rPr>
                <w:rFonts w:eastAsia="Times New Roman"/>
              </w:rPr>
            </w:pPr>
            <w:r>
              <w:rPr>
                <w:rFonts w:eastAsia="Times New Roman"/>
                <w:color w:val="000000"/>
                <w:sz w:val="18"/>
                <w:szCs w:val="18"/>
              </w:rPr>
              <w:t>(2,956)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50D655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5652A"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A36DCB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5BD4361" w14:textId="77777777" w:rsidR="00000000" w:rsidRDefault="00A173A8">
            <w:pPr>
              <w:spacing w:after="100"/>
              <w:jc w:val="right"/>
              <w:rPr>
                <w:rFonts w:eastAsia="Times New Roman"/>
              </w:rPr>
            </w:pPr>
            <w:r>
              <w:rPr>
                <w:rFonts w:eastAsia="Times New Roman"/>
                <w:color w:val="000000"/>
                <w:sz w:val="18"/>
                <w:szCs w:val="18"/>
              </w:rPr>
              <w:t>(1,091)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8CE81E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983E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627309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87F85EA" w14:textId="77777777" w:rsidR="00000000" w:rsidRDefault="00A173A8">
            <w:pPr>
              <w:spacing w:after="100"/>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414E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4E5B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4CC805B"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46500B7" w14:textId="77777777" w:rsidR="00000000" w:rsidRDefault="00A173A8">
            <w:pPr>
              <w:spacing w:after="100"/>
              <w:jc w:val="right"/>
              <w:rPr>
                <w:rFonts w:eastAsia="Times New Roman"/>
              </w:rPr>
            </w:pPr>
            <w:r>
              <w:rPr>
                <w:rFonts w:eastAsia="Times New Roman"/>
                <w:color w:val="000000"/>
                <w:sz w:val="18"/>
                <w:szCs w:val="18"/>
              </w:rPr>
              <w:t>(20)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1D96E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603F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382B64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898A22F" w14:textId="77777777" w:rsidR="00000000" w:rsidRDefault="00A173A8">
            <w:pPr>
              <w:spacing w:after="100"/>
              <w:jc w:val="right"/>
              <w:rPr>
                <w:rFonts w:eastAsia="Times New Roman"/>
              </w:rPr>
            </w:pPr>
            <w:r>
              <w:rPr>
                <w:rFonts w:eastAsia="Times New Roman"/>
                <w:color w:val="000000"/>
                <w:sz w:val="18"/>
                <w:szCs w:val="18"/>
              </w:rPr>
              <w:t>(4,093)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292A25F" w14:textId="77777777" w:rsidR="00000000" w:rsidRDefault="00A173A8">
            <w:pPr>
              <w:spacing w:after="100"/>
              <w:jc w:val="right"/>
              <w:rPr>
                <w:rFonts w:eastAsia="Times New Roman"/>
              </w:rPr>
            </w:pPr>
          </w:p>
        </w:tc>
      </w:tr>
      <w:tr w:rsidR="00000000" w14:paraId="2C9DFF9D" w14:textId="77777777">
        <w:trPr>
          <w:divId w:val="768038881"/>
        </w:trPr>
        <w:tc>
          <w:tcPr>
            <w:tcW w:w="0" w:type="auto"/>
            <w:gridSpan w:val="3"/>
            <w:shd w:val="clear" w:color="auto" w:fill="FFFFFF"/>
            <w:tcMar>
              <w:top w:w="30" w:type="dxa"/>
              <w:left w:w="20" w:type="dxa"/>
              <w:bottom w:w="30" w:type="dxa"/>
              <w:right w:w="20" w:type="dxa"/>
            </w:tcMar>
            <w:vAlign w:val="center"/>
            <w:hideMark/>
          </w:tcPr>
          <w:p w14:paraId="15C99C43" w14:textId="77777777" w:rsidR="00000000" w:rsidRDefault="00A173A8">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727C7FE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444273" w14:textId="77777777" w:rsidR="00000000" w:rsidRDefault="00A173A8">
            <w:pPr>
              <w:spacing w:after="100"/>
              <w:jc w:val="right"/>
              <w:rPr>
                <w:rFonts w:eastAsia="Times New Roman"/>
              </w:rPr>
            </w:pPr>
            <w:r>
              <w:rPr>
                <w:rFonts w:eastAsia="Times New Roman"/>
                <w:b/>
                <w:bCs/>
                <w:color w:val="000000"/>
                <w:sz w:val="18"/>
                <w:szCs w:val="18"/>
              </w:rPr>
              <w:t>(2,293)</w:t>
            </w:r>
          </w:p>
        </w:tc>
        <w:tc>
          <w:tcPr>
            <w:tcW w:w="0" w:type="auto"/>
            <w:shd w:val="clear" w:color="auto" w:fill="FFFFFF"/>
            <w:tcMar>
              <w:top w:w="30" w:type="dxa"/>
              <w:left w:w="0" w:type="dxa"/>
              <w:bottom w:w="30" w:type="dxa"/>
              <w:right w:w="20" w:type="dxa"/>
            </w:tcMar>
            <w:vAlign w:val="bottom"/>
            <w:hideMark/>
          </w:tcPr>
          <w:p w14:paraId="2EB5F4C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CE05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B86111" w14:textId="77777777" w:rsidR="00000000" w:rsidRDefault="00A173A8">
            <w:pPr>
              <w:spacing w:after="100"/>
              <w:jc w:val="right"/>
              <w:rPr>
                <w:rFonts w:eastAsia="Times New Roman"/>
              </w:rPr>
            </w:pPr>
            <w:r>
              <w:rPr>
                <w:rFonts w:eastAsia="Times New Roman"/>
                <w:b/>
                <w:bCs/>
                <w:color w:val="000000"/>
                <w:sz w:val="18"/>
                <w:szCs w:val="18"/>
              </w:rPr>
              <w:t>(412)</w:t>
            </w:r>
          </w:p>
        </w:tc>
        <w:tc>
          <w:tcPr>
            <w:tcW w:w="0" w:type="auto"/>
            <w:shd w:val="clear" w:color="auto" w:fill="FFFFFF"/>
            <w:tcMar>
              <w:top w:w="30" w:type="dxa"/>
              <w:left w:w="0" w:type="dxa"/>
              <w:bottom w:w="30" w:type="dxa"/>
              <w:right w:w="20" w:type="dxa"/>
            </w:tcMar>
            <w:vAlign w:val="bottom"/>
            <w:hideMark/>
          </w:tcPr>
          <w:p w14:paraId="2670D1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1272B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C8A183" w14:textId="77777777" w:rsidR="00000000" w:rsidRDefault="00A173A8">
            <w:pPr>
              <w:spacing w:after="100"/>
              <w:jc w:val="right"/>
              <w:rPr>
                <w:rFonts w:eastAsia="Times New Roman"/>
              </w:rPr>
            </w:pPr>
            <w:r>
              <w:rPr>
                <w:rFonts w:eastAsia="Times New Roman"/>
                <w:b/>
                <w:bCs/>
                <w:color w:val="000000"/>
                <w:sz w:val="18"/>
                <w:szCs w:val="18"/>
              </w:rPr>
              <w:t>(52)</w:t>
            </w:r>
          </w:p>
        </w:tc>
        <w:tc>
          <w:tcPr>
            <w:tcW w:w="0" w:type="auto"/>
            <w:shd w:val="clear" w:color="auto" w:fill="FFFFFF"/>
            <w:tcMar>
              <w:top w:w="30" w:type="dxa"/>
              <w:left w:w="0" w:type="dxa"/>
              <w:bottom w:w="30" w:type="dxa"/>
              <w:right w:w="20" w:type="dxa"/>
            </w:tcMar>
            <w:vAlign w:val="bottom"/>
            <w:hideMark/>
          </w:tcPr>
          <w:p w14:paraId="6AE90B2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5E054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E39E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200587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DB4E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21D131" w14:textId="77777777" w:rsidR="00000000" w:rsidRDefault="00A173A8">
            <w:pPr>
              <w:spacing w:after="100"/>
              <w:jc w:val="right"/>
              <w:rPr>
                <w:rFonts w:eastAsia="Times New Roman"/>
              </w:rPr>
            </w:pPr>
            <w:r>
              <w:rPr>
                <w:rFonts w:eastAsia="Times New Roman"/>
                <w:b/>
                <w:bCs/>
                <w:color w:val="000000"/>
                <w:sz w:val="18"/>
                <w:szCs w:val="18"/>
              </w:rPr>
              <w:t>(2,757)</w:t>
            </w:r>
          </w:p>
        </w:tc>
        <w:tc>
          <w:tcPr>
            <w:tcW w:w="0" w:type="auto"/>
            <w:shd w:val="clear" w:color="auto" w:fill="FFFFFF"/>
            <w:tcMar>
              <w:top w:w="30" w:type="dxa"/>
              <w:left w:w="0" w:type="dxa"/>
              <w:bottom w:w="30" w:type="dxa"/>
              <w:right w:w="20" w:type="dxa"/>
            </w:tcMar>
            <w:vAlign w:val="bottom"/>
            <w:hideMark/>
          </w:tcPr>
          <w:p w14:paraId="2E632562" w14:textId="77777777" w:rsidR="00000000" w:rsidRDefault="00A173A8">
            <w:pPr>
              <w:spacing w:after="100"/>
              <w:jc w:val="right"/>
              <w:rPr>
                <w:rFonts w:eastAsia="Times New Roman"/>
              </w:rPr>
            </w:pPr>
          </w:p>
        </w:tc>
      </w:tr>
      <w:tr w:rsidR="00000000" w14:paraId="2B7AF12F" w14:textId="77777777">
        <w:trPr>
          <w:divId w:val="768038881"/>
        </w:trPr>
        <w:tc>
          <w:tcPr>
            <w:tcW w:w="0" w:type="auto"/>
            <w:gridSpan w:val="3"/>
            <w:shd w:val="clear" w:color="auto" w:fill="CCEEFF"/>
            <w:tcMar>
              <w:top w:w="30" w:type="dxa"/>
              <w:left w:w="20" w:type="dxa"/>
              <w:bottom w:w="30" w:type="dxa"/>
              <w:right w:w="20" w:type="dxa"/>
            </w:tcMar>
            <w:vAlign w:val="center"/>
            <w:hideMark/>
          </w:tcPr>
          <w:p w14:paraId="4463E9CD" w14:textId="77777777" w:rsidR="00000000" w:rsidRDefault="00A173A8">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480D270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BA005CC" w14:textId="77777777" w:rsidR="00000000" w:rsidRDefault="00A173A8">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50B486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5D42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0917F0" w14:textId="77777777" w:rsidR="00000000" w:rsidRDefault="00A173A8">
            <w:pPr>
              <w:spacing w:after="100"/>
              <w:jc w:val="right"/>
              <w:rPr>
                <w:rFonts w:eastAsia="Times New Roman"/>
              </w:rPr>
            </w:pPr>
            <w:r>
              <w:rPr>
                <w:rFonts w:eastAsia="Times New Roman"/>
                <w:b/>
                <w:bCs/>
                <w:color w:val="000000"/>
                <w:sz w:val="18"/>
                <w:szCs w:val="18"/>
              </w:rPr>
              <w:t>(71)</w:t>
            </w:r>
          </w:p>
        </w:tc>
        <w:tc>
          <w:tcPr>
            <w:tcW w:w="0" w:type="auto"/>
            <w:shd w:val="clear" w:color="auto" w:fill="CCEEFF"/>
            <w:tcMar>
              <w:top w:w="30" w:type="dxa"/>
              <w:left w:w="0" w:type="dxa"/>
              <w:bottom w:w="30" w:type="dxa"/>
              <w:right w:w="20" w:type="dxa"/>
            </w:tcMar>
            <w:vAlign w:val="center"/>
            <w:hideMark/>
          </w:tcPr>
          <w:p w14:paraId="4FE8335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78D8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CDD2A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917439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9839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289785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ED9941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12257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335504" w14:textId="77777777" w:rsidR="00000000" w:rsidRDefault="00A173A8">
            <w:pPr>
              <w:spacing w:after="100"/>
              <w:jc w:val="right"/>
              <w:rPr>
                <w:rFonts w:eastAsia="Times New Roman"/>
              </w:rPr>
            </w:pPr>
            <w:r>
              <w:rPr>
                <w:rFonts w:eastAsia="Times New Roman"/>
                <w:b/>
                <w:bCs/>
                <w:color w:val="000000"/>
                <w:sz w:val="18"/>
                <w:szCs w:val="18"/>
              </w:rPr>
              <w:t>(66)</w:t>
            </w:r>
          </w:p>
        </w:tc>
        <w:tc>
          <w:tcPr>
            <w:tcW w:w="0" w:type="auto"/>
            <w:shd w:val="clear" w:color="auto" w:fill="CCEEFF"/>
            <w:tcMar>
              <w:top w:w="30" w:type="dxa"/>
              <w:left w:w="0" w:type="dxa"/>
              <w:bottom w:w="30" w:type="dxa"/>
              <w:right w:w="20" w:type="dxa"/>
            </w:tcMar>
            <w:vAlign w:val="center"/>
            <w:hideMark/>
          </w:tcPr>
          <w:p w14:paraId="3F5142C2" w14:textId="77777777" w:rsidR="00000000" w:rsidRDefault="00A173A8">
            <w:pPr>
              <w:spacing w:after="100"/>
              <w:jc w:val="right"/>
              <w:rPr>
                <w:rFonts w:eastAsia="Times New Roman"/>
              </w:rPr>
            </w:pPr>
          </w:p>
        </w:tc>
      </w:tr>
      <w:tr w:rsidR="00000000" w14:paraId="78163CF9" w14:textId="77777777">
        <w:trPr>
          <w:divId w:val="768038881"/>
        </w:trPr>
        <w:tc>
          <w:tcPr>
            <w:tcW w:w="0" w:type="auto"/>
            <w:gridSpan w:val="3"/>
            <w:shd w:val="clear" w:color="auto" w:fill="FFFFFF"/>
            <w:tcMar>
              <w:top w:w="30" w:type="dxa"/>
              <w:left w:w="20" w:type="dxa"/>
              <w:bottom w:w="30" w:type="dxa"/>
              <w:right w:w="20" w:type="dxa"/>
            </w:tcMar>
            <w:vAlign w:val="center"/>
            <w:hideMark/>
          </w:tcPr>
          <w:p w14:paraId="26835059" w14:textId="77777777" w:rsidR="00000000" w:rsidRDefault="00A173A8">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16AE299F"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27F7096" w14:textId="77777777" w:rsidR="00000000" w:rsidRDefault="00A173A8">
            <w:pPr>
              <w:spacing w:after="100"/>
              <w:jc w:val="right"/>
              <w:rPr>
                <w:rFonts w:eastAsia="Times New Roman"/>
              </w:rPr>
            </w:pPr>
            <w:r>
              <w:rPr>
                <w:rFonts w:eastAsia="Times New Roman"/>
                <w:b/>
                <w:bCs/>
                <w:color w:val="000000"/>
                <w:sz w:val="18"/>
                <w:szCs w:val="18"/>
              </w:rPr>
              <w:t>(2,288)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E0EEA5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408F6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0CB2C8E" w14:textId="77777777" w:rsidR="00000000" w:rsidRDefault="00A173A8">
            <w:pPr>
              <w:spacing w:after="100"/>
              <w:jc w:val="right"/>
              <w:rPr>
                <w:rFonts w:eastAsia="Times New Roman"/>
              </w:rPr>
            </w:pPr>
            <w:r>
              <w:rPr>
                <w:rFonts w:eastAsia="Times New Roman"/>
                <w:b/>
                <w:bCs/>
                <w:color w:val="000000"/>
                <w:sz w:val="18"/>
                <w:szCs w:val="18"/>
              </w:rPr>
              <w:t>(483)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79030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6DDC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9278718" w14:textId="77777777" w:rsidR="00000000" w:rsidRDefault="00A173A8">
            <w:pPr>
              <w:spacing w:after="100"/>
              <w:jc w:val="right"/>
              <w:rPr>
                <w:rFonts w:eastAsia="Times New Roman"/>
              </w:rPr>
            </w:pPr>
            <w:r>
              <w:rPr>
                <w:rFonts w:eastAsia="Times New Roman"/>
                <w:b/>
                <w:bCs/>
                <w:color w:val="000000"/>
                <w:sz w:val="18"/>
                <w:szCs w:val="18"/>
              </w:rPr>
              <w:t>(52)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C766F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90E19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2AE04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AE9F0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2FB3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C5CC572" w14:textId="77777777" w:rsidR="00000000" w:rsidRDefault="00A173A8">
            <w:pPr>
              <w:spacing w:after="100"/>
              <w:jc w:val="right"/>
              <w:rPr>
                <w:rFonts w:eastAsia="Times New Roman"/>
              </w:rPr>
            </w:pPr>
            <w:r>
              <w:rPr>
                <w:rFonts w:eastAsia="Times New Roman"/>
                <w:b/>
                <w:bCs/>
                <w:color w:val="000000"/>
                <w:sz w:val="18"/>
                <w:szCs w:val="18"/>
              </w:rPr>
              <w:t>(2,823)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E0F9D67" w14:textId="77777777" w:rsidR="00000000" w:rsidRDefault="00A173A8">
            <w:pPr>
              <w:spacing w:after="100"/>
              <w:jc w:val="right"/>
              <w:rPr>
                <w:rFonts w:eastAsia="Times New Roman"/>
              </w:rPr>
            </w:pPr>
          </w:p>
        </w:tc>
      </w:tr>
      <w:tr w:rsidR="00000000" w14:paraId="2157FB9B" w14:textId="77777777">
        <w:trPr>
          <w:divId w:val="768038881"/>
        </w:trPr>
        <w:tc>
          <w:tcPr>
            <w:tcW w:w="0" w:type="auto"/>
            <w:gridSpan w:val="3"/>
            <w:shd w:val="clear" w:color="auto" w:fill="CCEEFF"/>
            <w:tcMar>
              <w:top w:w="30" w:type="dxa"/>
              <w:left w:w="20" w:type="dxa"/>
              <w:bottom w:w="30" w:type="dxa"/>
              <w:right w:w="20" w:type="dxa"/>
            </w:tcMar>
            <w:vAlign w:val="center"/>
            <w:hideMark/>
          </w:tcPr>
          <w:p w14:paraId="082E2461" w14:textId="77777777" w:rsidR="00000000" w:rsidRDefault="00A173A8">
            <w:pPr>
              <w:spacing w:after="100"/>
              <w:rPr>
                <w:rFonts w:eastAsia="Times New Roman"/>
              </w:rPr>
            </w:pPr>
            <w:r>
              <w:rPr>
                <w:rFonts w:eastAsia="Times New Roman"/>
                <w:color w:val="000000"/>
                <w:sz w:val="18"/>
                <w:szCs w:val="18"/>
              </w:rPr>
              <w:t>AOCI as of June 30, 2022</w:t>
            </w:r>
          </w:p>
        </w:tc>
        <w:tc>
          <w:tcPr>
            <w:tcW w:w="0" w:type="auto"/>
            <w:gridSpan w:val="3"/>
            <w:shd w:val="clear" w:color="auto" w:fill="CCEEFF"/>
            <w:tcMar>
              <w:top w:w="0" w:type="dxa"/>
              <w:left w:w="20" w:type="dxa"/>
              <w:bottom w:w="0" w:type="dxa"/>
              <w:right w:w="20" w:type="dxa"/>
            </w:tcMar>
            <w:vAlign w:val="center"/>
            <w:hideMark/>
          </w:tcPr>
          <w:p w14:paraId="6D3663E5"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AA32D0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103EBB8" w14:textId="77777777" w:rsidR="00000000" w:rsidRDefault="00A173A8">
            <w:pPr>
              <w:spacing w:after="100"/>
              <w:jc w:val="right"/>
              <w:rPr>
                <w:rFonts w:eastAsia="Times New Roman"/>
              </w:rPr>
            </w:pPr>
            <w:r>
              <w:rPr>
                <w:rFonts w:eastAsia="Times New Roman"/>
                <w:b/>
                <w:bCs/>
                <w:color w:val="000000"/>
                <w:sz w:val="18"/>
                <w:szCs w:val="18"/>
              </w:rPr>
              <w:t>(5,244)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E76BAD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EA075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C289AE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CCA7065" w14:textId="77777777" w:rsidR="00000000" w:rsidRDefault="00A173A8">
            <w:pPr>
              <w:spacing w:after="100"/>
              <w:jc w:val="right"/>
              <w:rPr>
                <w:rFonts w:eastAsia="Times New Roman"/>
              </w:rPr>
            </w:pPr>
            <w:r>
              <w:rPr>
                <w:rFonts w:eastAsia="Times New Roman"/>
                <w:b/>
                <w:bCs/>
                <w:color w:val="000000"/>
                <w:sz w:val="18"/>
                <w:szCs w:val="18"/>
              </w:rPr>
              <w:t>(1,574)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D46B7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FC3C1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399399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842E810" w14:textId="77777777" w:rsidR="00000000" w:rsidRDefault="00A173A8">
            <w:pPr>
              <w:spacing w:after="100"/>
              <w:jc w:val="right"/>
              <w:rPr>
                <w:rFonts w:eastAsia="Times New Roman"/>
              </w:rPr>
            </w:pPr>
            <w:r>
              <w:rPr>
                <w:rFonts w:eastAsia="Times New Roman"/>
                <w:b/>
                <w:bCs/>
                <w:color w:val="000000"/>
                <w:sz w:val="18"/>
                <w:szCs w:val="18"/>
              </w:rPr>
              <w:t>(78)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9CD8D0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8DA0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1C1221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946E888" w14:textId="77777777" w:rsidR="00000000" w:rsidRDefault="00A173A8">
            <w:pPr>
              <w:spacing w:after="100"/>
              <w:jc w:val="right"/>
              <w:rPr>
                <w:rFonts w:eastAsia="Times New Roman"/>
              </w:rPr>
            </w:pPr>
            <w:r>
              <w:rPr>
                <w:rFonts w:eastAsia="Times New Roman"/>
                <w:b/>
                <w:bCs/>
                <w:color w:val="000000"/>
                <w:sz w:val="18"/>
                <w:szCs w:val="18"/>
              </w:rPr>
              <w:t>(20)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053B17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CC69C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E0252E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A3250F1" w14:textId="77777777" w:rsidR="00000000" w:rsidRDefault="00A173A8">
            <w:pPr>
              <w:spacing w:after="100"/>
              <w:jc w:val="right"/>
              <w:rPr>
                <w:rFonts w:eastAsia="Times New Roman"/>
              </w:rPr>
            </w:pPr>
            <w:r>
              <w:rPr>
                <w:rFonts w:eastAsia="Times New Roman"/>
                <w:b/>
                <w:bCs/>
                <w:color w:val="000000"/>
                <w:sz w:val="18"/>
                <w:szCs w:val="18"/>
              </w:rPr>
              <w:t>(6,916)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757E0CE" w14:textId="77777777" w:rsidR="00000000" w:rsidRDefault="00A173A8">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1116BA6A" w14:textId="77777777">
        <w:trPr>
          <w:jc w:val="center"/>
        </w:trPr>
        <w:tc>
          <w:tcPr>
            <w:tcW w:w="50" w:type="pct"/>
            <w:vAlign w:val="center"/>
            <w:hideMark/>
          </w:tcPr>
          <w:p w14:paraId="475C28B3" w14:textId="77777777" w:rsidR="00000000" w:rsidRDefault="00A173A8">
            <w:pPr>
              <w:rPr>
                <w:rFonts w:eastAsia="Times New Roman"/>
              </w:rPr>
            </w:pPr>
          </w:p>
        </w:tc>
        <w:tc>
          <w:tcPr>
            <w:tcW w:w="1606" w:type="pct"/>
            <w:vAlign w:val="center"/>
            <w:hideMark/>
          </w:tcPr>
          <w:p w14:paraId="35922821" w14:textId="77777777" w:rsidR="00000000" w:rsidRDefault="00A173A8">
            <w:pPr>
              <w:spacing w:after="100"/>
              <w:rPr>
                <w:rFonts w:eastAsia="Times New Roman"/>
                <w:sz w:val="20"/>
                <w:szCs w:val="20"/>
              </w:rPr>
            </w:pPr>
          </w:p>
        </w:tc>
        <w:tc>
          <w:tcPr>
            <w:tcW w:w="5" w:type="pct"/>
            <w:vAlign w:val="center"/>
            <w:hideMark/>
          </w:tcPr>
          <w:p w14:paraId="431A504E" w14:textId="77777777" w:rsidR="00000000" w:rsidRDefault="00A173A8">
            <w:pPr>
              <w:spacing w:after="100"/>
              <w:rPr>
                <w:rFonts w:eastAsia="Times New Roman"/>
                <w:sz w:val="20"/>
                <w:szCs w:val="20"/>
              </w:rPr>
            </w:pPr>
          </w:p>
        </w:tc>
        <w:tc>
          <w:tcPr>
            <w:tcW w:w="50" w:type="pct"/>
            <w:vAlign w:val="center"/>
            <w:hideMark/>
          </w:tcPr>
          <w:p w14:paraId="6387A3C4" w14:textId="77777777" w:rsidR="00000000" w:rsidRDefault="00A173A8">
            <w:pPr>
              <w:spacing w:after="100"/>
              <w:rPr>
                <w:rFonts w:eastAsia="Times New Roman"/>
                <w:sz w:val="20"/>
                <w:szCs w:val="20"/>
              </w:rPr>
            </w:pPr>
          </w:p>
        </w:tc>
        <w:tc>
          <w:tcPr>
            <w:tcW w:w="1614" w:type="pct"/>
            <w:vAlign w:val="center"/>
            <w:hideMark/>
          </w:tcPr>
          <w:p w14:paraId="65A27177" w14:textId="77777777" w:rsidR="00000000" w:rsidRDefault="00A173A8">
            <w:pPr>
              <w:spacing w:after="100"/>
              <w:rPr>
                <w:rFonts w:eastAsia="Times New Roman"/>
                <w:sz w:val="20"/>
                <w:szCs w:val="20"/>
              </w:rPr>
            </w:pPr>
          </w:p>
        </w:tc>
        <w:tc>
          <w:tcPr>
            <w:tcW w:w="5" w:type="pct"/>
            <w:vAlign w:val="center"/>
            <w:hideMark/>
          </w:tcPr>
          <w:p w14:paraId="23E7C536" w14:textId="77777777" w:rsidR="00000000" w:rsidRDefault="00A173A8">
            <w:pPr>
              <w:spacing w:after="100"/>
              <w:rPr>
                <w:rFonts w:eastAsia="Times New Roman"/>
                <w:sz w:val="20"/>
                <w:szCs w:val="20"/>
              </w:rPr>
            </w:pPr>
          </w:p>
        </w:tc>
        <w:tc>
          <w:tcPr>
            <w:tcW w:w="50" w:type="pct"/>
            <w:vAlign w:val="center"/>
            <w:hideMark/>
          </w:tcPr>
          <w:p w14:paraId="0D858070" w14:textId="77777777" w:rsidR="00000000" w:rsidRDefault="00A173A8">
            <w:pPr>
              <w:spacing w:after="100"/>
              <w:rPr>
                <w:rFonts w:eastAsia="Times New Roman"/>
                <w:sz w:val="20"/>
                <w:szCs w:val="20"/>
              </w:rPr>
            </w:pPr>
          </w:p>
        </w:tc>
        <w:tc>
          <w:tcPr>
            <w:tcW w:w="1614" w:type="pct"/>
            <w:vAlign w:val="center"/>
            <w:hideMark/>
          </w:tcPr>
          <w:p w14:paraId="559CF7AB" w14:textId="77777777" w:rsidR="00000000" w:rsidRDefault="00A173A8">
            <w:pPr>
              <w:spacing w:after="100"/>
              <w:rPr>
                <w:rFonts w:eastAsia="Times New Roman"/>
                <w:sz w:val="20"/>
                <w:szCs w:val="20"/>
              </w:rPr>
            </w:pPr>
          </w:p>
        </w:tc>
        <w:tc>
          <w:tcPr>
            <w:tcW w:w="5" w:type="pct"/>
            <w:vAlign w:val="center"/>
            <w:hideMark/>
          </w:tcPr>
          <w:p w14:paraId="01D630B1" w14:textId="77777777" w:rsidR="00000000" w:rsidRDefault="00A173A8">
            <w:pPr>
              <w:spacing w:after="100"/>
              <w:rPr>
                <w:rFonts w:eastAsia="Times New Roman"/>
                <w:sz w:val="20"/>
                <w:szCs w:val="20"/>
              </w:rPr>
            </w:pPr>
          </w:p>
        </w:tc>
      </w:tr>
      <w:tr w:rsidR="00000000" w14:paraId="2B80AFDA" w14:textId="77777777">
        <w:trPr>
          <w:trHeight w:val="300"/>
          <w:jc w:val="center"/>
        </w:trPr>
        <w:tc>
          <w:tcPr>
            <w:tcW w:w="0" w:type="auto"/>
            <w:gridSpan w:val="9"/>
            <w:tcMar>
              <w:top w:w="0" w:type="dxa"/>
              <w:left w:w="20" w:type="dxa"/>
              <w:bottom w:w="0" w:type="dxa"/>
              <w:right w:w="20" w:type="dxa"/>
            </w:tcMar>
            <w:vAlign w:val="center"/>
            <w:hideMark/>
          </w:tcPr>
          <w:p w14:paraId="2FFA2C42" w14:textId="77777777" w:rsidR="00000000" w:rsidRDefault="00A173A8">
            <w:pPr>
              <w:spacing w:after="100"/>
              <w:rPr>
                <w:rFonts w:eastAsia="Times New Roman"/>
                <w:sz w:val="20"/>
                <w:szCs w:val="20"/>
              </w:rPr>
            </w:pPr>
          </w:p>
        </w:tc>
      </w:tr>
      <w:tr w:rsidR="00000000" w14:paraId="383F4C41" w14:textId="77777777">
        <w:trPr>
          <w:jc w:val="center"/>
        </w:trPr>
        <w:tc>
          <w:tcPr>
            <w:tcW w:w="0" w:type="auto"/>
            <w:gridSpan w:val="3"/>
            <w:tcMar>
              <w:top w:w="0" w:type="dxa"/>
              <w:left w:w="20" w:type="dxa"/>
              <w:bottom w:w="0" w:type="dxa"/>
              <w:right w:w="20" w:type="dxa"/>
            </w:tcMar>
            <w:vAlign w:val="center"/>
            <w:hideMark/>
          </w:tcPr>
          <w:p w14:paraId="02E709CD"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46FBB83" w14:textId="77777777" w:rsidR="00000000" w:rsidRDefault="00A173A8">
            <w:pPr>
              <w:spacing w:after="100"/>
              <w:jc w:val="center"/>
              <w:rPr>
                <w:rFonts w:eastAsia="Times New Roman"/>
              </w:rPr>
            </w:pPr>
            <w:r>
              <w:rPr>
                <w:rFonts w:eastAsia="Times New Roman"/>
                <w:color w:val="000000"/>
                <w:sz w:val="16"/>
                <w:szCs w:val="16"/>
              </w:rPr>
              <w:t>102</w:t>
            </w:r>
          </w:p>
        </w:tc>
        <w:tc>
          <w:tcPr>
            <w:tcW w:w="0" w:type="auto"/>
            <w:gridSpan w:val="3"/>
            <w:tcMar>
              <w:top w:w="30" w:type="dxa"/>
              <w:left w:w="20" w:type="dxa"/>
              <w:bottom w:w="30" w:type="dxa"/>
              <w:right w:w="20" w:type="dxa"/>
            </w:tcMar>
            <w:vAlign w:val="bottom"/>
            <w:hideMark/>
          </w:tcPr>
          <w:p w14:paraId="7D7979B7"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F5D2D4E" w14:textId="77777777" w:rsidR="00000000" w:rsidRDefault="00A173A8">
      <w:pPr>
        <w:rPr>
          <w:rFonts w:eastAsia="Times New Roman"/>
        </w:rPr>
      </w:pPr>
      <w:r>
        <w:rPr>
          <w:rFonts w:eastAsia="Times New Roman"/>
        </w:rPr>
        <w:pict w14:anchorId="0A8D323B">
          <v:rect id="_x0000_i1127" style="width:0;height:1.5pt" o:hralign="center" o:hrstd="t" o:hr="t" fillcolor="#a0a0a0" stroked="f"/>
        </w:pict>
      </w:r>
    </w:p>
    <w:p w14:paraId="64A0056A" w14:textId="77777777" w:rsidR="00000000" w:rsidRDefault="00A173A8">
      <w:pPr>
        <w:jc w:val="both"/>
        <w:divId w:val="2046909982"/>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633"/>
        <w:gridCol w:w="38"/>
        <w:gridCol w:w="36"/>
        <w:gridCol w:w="36"/>
        <w:gridCol w:w="36"/>
        <w:gridCol w:w="111"/>
        <w:gridCol w:w="624"/>
        <w:gridCol w:w="36"/>
        <w:gridCol w:w="36"/>
        <w:gridCol w:w="36"/>
        <w:gridCol w:w="36"/>
        <w:gridCol w:w="111"/>
        <w:gridCol w:w="980"/>
        <w:gridCol w:w="36"/>
        <w:gridCol w:w="36"/>
        <w:gridCol w:w="36"/>
        <w:gridCol w:w="36"/>
        <w:gridCol w:w="111"/>
        <w:gridCol w:w="822"/>
        <w:gridCol w:w="36"/>
        <w:gridCol w:w="36"/>
        <w:gridCol w:w="36"/>
        <w:gridCol w:w="36"/>
        <w:gridCol w:w="36"/>
        <w:gridCol w:w="36"/>
        <w:gridCol w:w="110"/>
        <w:gridCol w:w="300"/>
        <w:gridCol w:w="36"/>
        <w:gridCol w:w="36"/>
        <w:gridCol w:w="36"/>
        <w:gridCol w:w="36"/>
        <w:gridCol w:w="110"/>
        <w:gridCol w:w="525"/>
        <w:gridCol w:w="36"/>
      </w:tblGrid>
      <w:tr w:rsidR="00000000" w14:paraId="0B036249" w14:textId="77777777">
        <w:trPr>
          <w:divId w:val="1452439917"/>
        </w:trPr>
        <w:tc>
          <w:tcPr>
            <w:tcW w:w="50" w:type="pct"/>
            <w:vAlign w:val="center"/>
            <w:hideMark/>
          </w:tcPr>
          <w:p w14:paraId="69FCABEA" w14:textId="77777777" w:rsidR="00000000" w:rsidRDefault="00A173A8">
            <w:pPr>
              <w:jc w:val="both"/>
              <w:rPr>
                <w:rFonts w:eastAsia="Times New Roman"/>
              </w:rPr>
            </w:pPr>
          </w:p>
        </w:tc>
        <w:tc>
          <w:tcPr>
            <w:tcW w:w="2328" w:type="pct"/>
            <w:vAlign w:val="center"/>
            <w:hideMark/>
          </w:tcPr>
          <w:p w14:paraId="1D5C2C3E" w14:textId="77777777" w:rsidR="00000000" w:rsidRDefault="00A173A8">
            <w:pPr>
              <w:spacing w:after="100"/>
              <w:rPr>
                <w:rFonts w:eastAsia="Times New Roman"/>
                <w:sz w:val="20"/>
                <w:szCs w:val="20"/>
              </w:rPr>
            </w:pPr>
          </w:p>
        </w:tc>
        <w:tc>
          <w:tcPr>
            <w:tcW w:w="5" w:type="pct"/>
            <w:vAlign w:val="center"/>
            <w:hideMark/>
          </w:tcPr>
          <w:p w14:paraId="741A0024" w14:textId="77777777" w:rsidR="00000000" w:rsidRDefault="00A173A8">
            <w:pPr>
              <w:spacing w:after="100"/>
              <w:rPr>
                <w:rFonts w:eastAsia="Times New Roman"/>
                <w:sz w:val="20"/>
                <w:szCs w:val="20"/>
              </w:rPr>
            </w:pPr>
          </w:p>
        </w:tc>
        <w:tc>
          <w:tcPr>
            <w:tcW w:w="5" w:type="pct"/>
            <w:vAlign w:val="center"/>
            <w:hideMark/>
          </w:tcPr>
          <w:p w14:paraId="24845912" w14:textId="77777777" w:rsidR="00000000" w:rsidRDefault="00A173A8">
            <w:pPr>
              <w:spacing w:after="100"/>
              <w:rPr>
                <w:rFonts w:eastAsia="Times New Roman"/>
                <w:sz w:val="20"/>
                <w:szCs w:val="20"/>
              </w:rPr>
            </w:pPr>
          </w:p>
        </w:tc>
        <w:tc>
          <w:tcPr>
            <w:tcW w:w="26" w:type="pct"/>
            <w:vAlign w:val="center"/>
            <w:hideMark/>
          </w:tcPr>
          <w:p w14:paraId="0459C1EA" w14:textId="77777777" w:rsidR="00000000" w:rsidRDefault="00A173A8">
            <w:pPr>
              <w:spacing w:after="100"/>
              <w:rPr>
                <w:rFonts w:eastAsia="Times New Roman"/>
                <w:sz w:val="20"/>
                <w:szCs w:val="20"/>
              </w:rPr>
            </w:pPr>
          </w:p>
        </w:tc>
        <w:tc>
          <w:tcPr>
            <w:tcW w:w="5" w:type="pct"/>
            <w:vAlign w:val="center"/>
            <w:hideMark/>
          </w:tcPr>
          <w:p w14:paraId="0270CE3B" w14:textId="77777777" w:rsidR="00000000" w:rsidRDefault="00A173A8">
            <w:pPr>
              <w:spacing w:after="100"/>
              <w:rPr>
                <w:rFonts w:eastAsia="Times New Roman"/>
                <w:sz w:val="20"/>
                <w:szCs w:val="20"/>
              </w:rPr>
            </w:pPr>
          </w:p>
        </w:tc>
        <w:tc>
          <w:tcPr>
            <w:tcW w:w="50" w:type="pct"/>
            <w:vAlign w:val="center"/>
            <w:hideMark/>
          </w:tcPr>
          <w:p w14:paraId="3CA464F5" w14:textId="77777777" w:rsidR="00000000" w:rsidRDefault="00A173A8">
            <w:pPr>
              <w:spacing w:after="100"/>
              <w:rPr>
                <w:rFonts w:eastAsia="Times New Roman"/>
                <w:sz w:val="20"/>
                <w:szCs w:val="20"/>
              </w:rPr>
            </w:pPr>
          </w:p>
        </w:tc>
        <w:tc>
          <w:tcPr>
            <w:tcW w:w="412" w:type="pct"/>
            <w:vAlign w:val="center"/>
            <w:hideMark/>
          </w:tcPr>
          <w:p w14:paraId="09C1D557" w14:textId="77777777" w:rsidR="00000000" w:rsidRDefault="00A173A8">
            <w:pPr>
              <w:spacing w:after="100"/>
              <w:rPr>
                <w:rFonts w:eastAsia="Times New Roman"/>
                <w:sz w:val="20"/>
                <w:szCs w:val="20"/>
              </w:rPr>
            </w:pPr>
          </w:p>
        </w:tc>
        <w:tc>
          <w:tcPr>
            <w:tcW w:w="5" w:type="pct"/>
            <w:vAlign w:val="center"/>
            <w:hideMark/>
          </w:tcPr>
          <w:p w14:paraId="6C2215E9" w14:textId="77777777" w:rsidR="00000000" w:rsidRDefault="00A173A8">
            <w:pPr>
              <w:spacing w:after="100"/>
              <w:rPr>
                <w:rFonts w:eastAsia="Times New Roman"/>
                <w:sz w:val="20"/>
                <w:szCs w:val="20"/>
              </w:rPr>
            </w:pPr>
          </w:p>
        </w:tc>
        <w:tc>
          <w:tcPr>
            <w:tcW w:w="5" w:type="pct"/>
            <w:vAlign w:val="center"/>
            <w:hideMark/>
          </w:tcPr>
          <w:p w14:paraId="72AF8B65" w14:textId="77777777" w:rsidR="00000000" w:rsidRDefault="00A173A8">
            <w:pPr>
              <w:spacing w:after="100"/>
              <w:rPr>
                <w:rFonts w:eastAsia="Times New Roman"/>
                <w:sz w:val="20"/>
                <w:szCs w:val="20"/>
              </w:rPr>
            </w:pPr>
          </w:p>
        </w:tc>
        <w:tc>
          <w:tcPr>
            <w:tcW w:w="26" w:type="pct"/>
            <w:vAlign w:val="center"/>
            <w:hideMark/>
          </w:tcPr>
          <w:p w14:paraId="5383965B" w14:textId="77777777" w:rsidR="00000000" w:rsidRDefault="00A173A8">
            <w:pPr>
              <w:spacing w:after="100"/>
              <w:rPr>
                <w:rFonts w:eastAsia="Times New Roman"/>
                <w:sz w:val="20"/>
                <w:szCs w:val="20"/>
              </w:rPr>
            </w:pPr>
          </w:p>
        </w:tc>
        <w:tc>
          <w:tcPr>
            <w:tcW w:w="5" w:type="pct"/>
            <w:vAlign w:val="center"/>
            <w:hideMark/>
          </w:tcPr>
          <w:p w14:paraId="7A2BF3DA" w14:textId="77777777" w:rsidR="00000000" w:rsidRDefault="00A173A8">
            <w:pPr>
              <w:spacing w:after="100"/>
              <w:rPr>
                <w:rFonts w:eastAsia="Times New Roman"/>
                <w:sz w:val="20"/>
                <w:szCs w:val="20"/>
              </w:rPr>
            </w:pPr>
          </w:p>
        </w:tc>
        <w:tc>
          <w:tcPr>
            <w:tcW w:w="50" w:type="pct"/>
            <w:vAlign w:val="center"/>
            <w:hideMark/>
          </w:tcPr>
          <w:p w14:paraId="0336E763" w14:textId="77777777" w:rsidR="00000000" w:rsidRDefault="00A173A8">
            <w:pPr>
              <w:spacing w:after="100"/>
              <w:rPr>
                <w:rFonts w:eastAsia="Times New Roman"/>
                <w:sz w:val="20"/>
                <w:szCs w:val="20"/>
              </w:rPr>
            </w:pPr>
          </w:p>
        </w:tc>
        <w:tc>
          <w:tcPr>
            <w:tcW w:w="529" w:type="pct"/>
            <w:vAlign w:val="center"/>
            <w:hideMark/>
          </w:tcPr>
          <w:p w14:paraId="6C5777BC" w14:textId="77777777" w:rsidR="00000000" w:rsidRDefault="00A173A8">
            <w:pPr>
              <w:spacing w:after="100"/>
              <w:rPr>
                <w:rFonts w:eastAsia="Times New Roman"/>
                <w:sz w:val="20"/>
                <w:szCs w:val="20"/>
              </w:rPr>
            </w:pPr>
          </w:p>
        </w:tc>
        <w:tc>
          <w:tcPr>
            <w:tcW w:w="5" w:type="pct"/>
            <w:vAlign w:val="center"/>
            <w:hideMark/>
          </w:tcPr>
          <w:p w14:paraId="72995F08" w14:textId="77777777" w:rsidR="00000000" w:rsidRDefault="00A173A8">
            <w:pPr>
              <w:spacing w:after="100"/>
              <w:rPr>
                <w:rFonts w:eastAsia="Times New Roman"/>
                <w:sz w:val="20"/>
                <w:szCs w:val="20"/>
              </w:rPr>
            </w:pPr>
          </w:p>
        </w:tc>
        <w:tc>
          <w:tcPr>
            <w:tcW w:w="5" w:type="pct"/>
            <w:vAlign w:val="center"/>
            <w:hideMark/>
          </w:tcPr>
          <w:p w14:paraId="00DFB0DE" w14:textId="77777777" w:rsidR="00000000" w:rsidRDefault="00A173A8">
            <w:pPr>
              <w:spacing w:after="100"/>
              <w:rPr>
                <w:rFonts w:eastAsia="Times New Roman"/>
                <w:sz w:val="20"/>
                <w:szCs w:val="20"/>
              </w:rPr>
            </w:pPr>
          </w:p>
        </w:tc>
        <w:tc>
          <w:tcPr>
            <w:tcW w:w="26" w:type="pct"/>
            <w:vAlign w:val="center"/>
            <w:hideMark/>
          </w:tcPr>
          <w:p w14:paraId="2090EAF9" w14:textId="77777777" w:rsidR="00000000" w:rsidRDefault="00A173A8">
            <w:pPr>
              <w:spacing w:after="100"/>
              <w:rPr>
                <w:rFonts w:eastAsia="Times New Roman"/>
                <w:sz w:val="20"/>
                <w:szCs w:val="20"/>
              </w:rPr>
            </w:pPr>
          </w:p>
        </w:tc>
        <w:tc>
          <w:tcPr>
            <w:tcW w:w="5" w:type="pct"/>
            <w:vAlign w:val="center"/>
            <w:hideMark/>
          </w:tcPr>
          <w:p w14:paraId="72932062" w14:textId="77777777" w:rsidR="00000000" w:rsidRDefault="00A173A8">
            <w:pPr>
              <w:spacing w:after="100"/>
              <w:rPr>
                <w:rFonts w:eastAsia="Times New Roman"/>
                <w:sz w:val="20"/>
                <w:szCs w:val="20"/>
              </w:rPr>
            </w:pPr>
          </w:p>
        </w:tc>
        <w:tc>
          <w:tcPr>
            <w:tcW w:w="50" w:type="pct"/>
            <w:vAlign w:val="center"/>
            <w:hideMark/>
          </w:tcPr>
          <w:p w14:paraId="114E3159" w14:textId="77777777" w:rsidR="00000000" w:rsidRDefault="00A173A8">
            <w:pPr>
              <w:spacing w:after="100"/>
              <w:rPr>
                <w:rFonts w:eastAsia="Times New Roman"/>
                <w:sz w:val="20"/>
                <w:szCs w:val="20"/>
              </w:rPr>
            </w:pPr>
          </w:p>
        </w:tc>
        <w:tc>
          <w:tcPr>
            <w:tcW w:w="507" w:type="pct"/>
            <w:vAlign w:val="center"/>
            <w:hideMark/>
          </w:tcPr>
          <w:p w14:paraId="7FC7E830" w14:textId="77777777" w:rsidR="00000000" w:rsidRDefault="00A173A8">
            <w:pPr>
              <w:spacing w:after="100"/>
              <w:rPr>
                <w:rFonts w:eastAsia="Times New Roman"/>
                <w:sz w:val="20"/>
                <w:szCs w:val="20"/>
              </w:rPr>
            </w:pPr>
          </w:p>
        </w:tc>
        <w:tc>
          <w:tcPr>
            <w:tcW w:w="5" w:type="pct"/>
            <w:vAlign w:val="center"/>
            <w:hideMark/>
          </w:tcPr>
          <w:p w14:paraId="332376DE" w14:textId="77777777" w:rsidR="00000000" w:rsidRDefault="00A173A8">
            <w:pPr>
              <w:spacing w:after="100"/>
              <w:rPr>
                <w:rFonts w:eastAsia="Times New Roman"/>
                <w:sz w:val="20"/>
                <w:szCs w:val="20"/>
              </w:rPr>
            </w:pPr>
          </w:p>
        </w:tc>
        <w:tc>
          <w:tcPr>
            <w:tcW w:w="0" w:type="auto"/>
            <w:vAlign w:val="center"/>
            <w:hideMark/>
          </w:tcPr>
          <w:p w14:paraId="7293FF2F" w14:textId="77777777" w:rsidR="00000000" w:rsidRDefault="00A173A8">
            <w:pPr>
              <w:spacing w:after="100"/>
              <w:rPr>
                <w:rFonts w:eastAsia="Times New Roman"/>
                <w:sz w:val="20"/>
                <w:szCs w:val="20"/>
              </w:rPr>
            </w:pPr>
          </w:p>
        </w:tc>
        <w:tc>
          <w:tcPr>
            <w:tcW w:w="0" w:type="auto"/>
            <w:vAlign w:val="center"/>
            <w:hideMark/>
          </w:tcPr>
          <w:p w14:paraId="32B1946D" w14:textId="77777777" w:rsidR="00000000" w:rsidRDefault="00A173A8">
            <w:pPr>
              <w:spacing w:after="100"/>
              <w:rPr>
                <w:rFonts w:eastAsia="Times New Roman"/>
                <w:sz w:val="20"/>
                <w:szCs w:val="20"/>
              </w:rPr>
            </w:pPr>
          </w:p>
        </w:tc>
        <w:tc>
          <w:tcPr>
            <w:tcW w:w="5" w:type="pct"/>
            <w:vAlign w:val="center"/>
            <w:hideMark/>
          </w:tcPr>
          <w:p w14:paraId="6197F83B" w14:textId="77777777" w:rsidR="00000000" w:rsidRDefault="00A173A8">
            <w:pPr>
              <w:spacing w:after="100"/>
              <w:rPr>
                <w:rFonts w:eastAsia="Times New Roman"/>
                <w:sz w:val="20"/>
                <w:szCs w:val="20"/>
              </w:rPr>
            </w:pPr>
          </w:p>
        </w:tc>
        <w:tc>
          <w:tcPr>
            <w:tcW w:w="26" w:type="pct"/>
            <w:vAlign w:val="center"/>
            <w:hideMark/>
          </w:tcPr>
          <w:p w14:paraId="1E1AD916" w14:textId="77777777" w:rsidR="00000000" w:rsidRDefault="00A173A8">
            <w:pPr>
              <w:spacing w:after="100"/>
              <w:rPr>
                <w:rFonts w:eastAsia="Times New Roman"/>
                <w:sz w:val="20"/>
                <w:szCs w:val="20"/>
              </w:rPr>
            </w:pPr>
          </w:p>
        </w:tc>
        <w:tc>
          <w:tcPr>
            <w:tcW w:w="5" w:type="pct"/>
            <w:vAlign w:val="center"/>
            <w:hideMark/>
          </w:tcPr>
          <w:p w14:paraId="0706D8D1" w14:textId="77777777" w:rsidR="00000000" w:rsidRDefault="00A173A8">
            <w:pPr>
              <w:spacing w:after="100"/>
              <w:rPr>
                <w:rFonts w:eastAsia="Times New Roman"/>
                <w:sz w:val="20"/>
                <w:szCs w:val="20"/>
              </w:rPr>
            </w:pPr>
          </w:p>
        </w:tc>
        <w:tc>
          <w:tcPr>
            <w:tcW w:w="50" w:type="pct"/>
            <w:vAlign w:val="center"/>
            <w:hideMark/>
          </w:tcPr>
          <w:p w14:paraId="2CB889C4" w14:textId="77777777" w:rsidR="00000000" w:rsidRDefault="00A173A8">
            <w:pPr>
              <w:spacing w:after="100"/>
              <w:rPr>
                <w:rFonts w:eastAsia="Times New Roman"/>
                <w:sz w:val="20"/>
                <w:szCs w:val="20"/>
              </w:rPr>
            </w:pPr>
          </w:p>
        </w:tc>
        <w:tc>
          <w:tcPr>
            <w:tcW w:w="354" w:type="pct"/>
            <w:vAlign w:val="center"/>
            <w:hideMark/>
          </w:tcPr>
          <w:p w14:paraId="3E89F4C0" w14:textId="77777777" w:rsidR="00000000" w:rsidRDefault="00A173A8">
            <w:pPr>
              <w:spacing w:after="100"/>
              <w:rPr>
                <w:rFonts w:eastAsia="Times New Roman"/>
                <w:sz w:val="20"/>
                <w:szCs w:val="20"/>
              </w:rPr>
            </w:pPr>
          </w:p>
        </w:tc>
        <w:tc>
          <w:tcPr>
            <w:tcW w:w="5" w:type="pct"/>
            <w:vAlign w:val="center"/>
            <w:hideMark/>
          </w:tcPr>
          <w:p w14:paraId="4D7F4DB4" w14:textId="77777777" w:rsidR="00000000" w:rsidRDefault="00A173A8">
            <w:pPr>
              <w:spacing w:after="100"/>
              <w:rPr>
                <w:rFonts w:eastAsia="Times New Roman"/>
                <w:sz w:val="20"/>
                <w:szCs w:val="20"/>
              </w:rPr>
            </w:pPr>
          </w:p>
        </w:tc>
        <w:tc>
          <w:tcPr>
            <w:tcW w:w="5" w:type="pct"/>
            <w:vAlign w:val="center"/>
            <w:hideMark/>
          </w:tcPr>
          <w:p w14:paraId="27D4D812" w14:textId="77777777" w:rsidR="00000000" w:rsidRDefault="00A173A8">
            <w:pPr>
              <w:spacing w:after="100"/>
              <w:rPr>
                <w:rFonts w:eastAsia="Times New Roman"/>
                <w:sz w:val="20"/>
                <w:szCs w:val="20"/>
              </w:rPr>
            </w:pPr>
          </w:p>
        </w:tc>
        <w:tc>
          <w:tcPr>
            <w:tcW w:w="26" w:type="pct"/>
            <w:vAlign w:val="center"/>
            <w:hideMark/>
          </w:tcPr>
          <w:p w14:paraId="2B71F0AC" w14:textId="77777777" w:rsidR="00000000" w:rsidRDefault="00A173A8">
            <w:pPr>
              <w:spacing w:after="100"/>
              <w:rPr>
                <w:rFonts w:eastAsia="Times New Roman"/>
                <w:sz w:val="20"/>
                <w:szCs w:val="20"/>
              </w:rPr>
            </w:pPr>
          </w:p>
        </w:tc>
        <w:tc>
          <w:tcPr>
            <w:tcW w:w="5" w:type="pct"/>
            <w:vAlign w:val="center"/>
            <w:hideMark/>
          </w:tcPr>
          <w:p w14:paraId="4D2AD0EC" w14:textId="77777777" w:rsidR="00000000" w:rsidRDefault="00A173A8">
            <w:pPr>
              <w:spacing w:after="100"/>
              <w:rPr>
                <w:rFonts w:eastAsia="Times New Roman"/>
                <w:sz w:val="20"/>
                <w:szCs w:val="20"/>
              </w:rPr>
            </w:pPr>
          </w:p>
        </w:tc>
        <w:tc>
          <w:tcPr>
            <w:tcW w:w="50" w:type="pct"/>
            <w:vAlign w:val="center"/>
            <w:hideMark/>
          </w:tcPr>
          <w:p w14:paraId="7E9DD0C9" w14:textId="77777777" w:rsidR="00000000" w:rsidRDefault="00A173A8">
            <w:pPr>
              <w:spacing w:after="100"/>
              <w:rPr>
                <w:rFonts w:eastAsia="Times New Roman"/>
                <w:sz w:val="20"/>
                <w:szCs w:val="20"/>
              </w:rPr>
            </w:pPr>
          </w:p>
        </w:tc>
        <w:tc>
          <w:tcPr>
            <w:tcW w:w="354" w:type="pct"/>
            <w:vAlign w:val="center"/>
            <w:hideMark/>
          </w:tcPr>
          <w:p w14:paraId="075FB42C" w14:textId="77777777" w:rsidR="00000000" w:rsidRDefault="00A173A8">
            <w:pPr>
              <w:spacing w:after="100"/>
              <w:rPr>
                <w:rFonts w:eastAsia="Times New Roman"/>
                <w:sz w:val="20"/>
                <w:szCs w:val="20"/>
              </w:rPr>
            </w:pPr>
          </w:p>
        </w:tc>
        <w:tc>
          <w:tcPr>
            <w:tcW w:w="5" w:type="pct"/>
            <w:vAlign w:val="center"/>
            <w:hideMark/>
          </w:tcPr>
          <w:p w14:paraId="7D8FA6EA" w14:textId="77777777" w:rsidR="00000000" w:rsidRDefault="00A173A8">
            <w:pPr>
              <w:spacing w:after="100"/>
              <w:rPr>
                <w:rFonts w:eastAsia="Times New Roman"/>
                <w:sz w:val="20"/>
                <w:szCs w:val="20"/>
              </w:rPr>
            </w:pPr>
          </w:p>
        </w:tc>
      </w:tr>
      <w:tr w:rsidR="00000000" w14:paraId="7DAEDB3C" w14:textId="77777777">
        <w:trPr>
          <w:divId w:val="1452439917"/>
        </w:trPr>
        <w:tc>
          <w:tcPr>
            <w:tcW w:w="0" w:type="auto"/>
            <w:gridSpan w:val="3"/>
            <w:tcMar>
              <w:top w:w="0" w:type="dxa"/>
              <w:left w:w="20" w:type="dxa"/>
              <w:bottom w:w="0" w:type="dxa"/>
              <w:right w:w="20" w:type="dxa"/>
            </w:tcMar>
            <w:vAlign w:val="center"/>
            <w:hideMark/>
          </w:tcPr>
          <w:p w14:paraId="1BDE46FD"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5621CA" w14:textId="77777777" w:rsidR="00000000" w:rsidRDefault="00A173A8">
            <w:pPr>
              <w:spacing w:after="100"/>
              <w:rPr>
                <w:rFonts w:eastAsia="Times New Roman"/>
                <w:sz w:val="20"/>
                <w:szCs w:val="20"/>
              </w:rPr>
            </w:pPr>
          </w:p>
        </w:tc>
        <w:tc>
          <w:tcPr>
            <w:tcW w:w="0" w:type="auto"/>
            <w:gridSpan w:val="23"/>
            <w:tcMar>
              <w:top w:w="30" w:type="dxa"/>
              <w:left w:w="20" w:type="dxa"/>
              <w:bottom w:w="30" w:type="dxa"/>
              <w:right w:w="20" w:type="dxa"/>
            </w:tcMar>
            <w:vAlign w:val="bottom"/>
            <w:hideMark/>
          </w:tcPr>
          <w:p w14:paraId="385B1FF8" w14:textId="77777777" w:rsidR="00000000" w:rsidRDefault="00A173A8">
            <w:pPr>
              <w:spacing w:after="100"/>
              <w:jc w:val="center"/>
              <w:rPr>
                <w:rFonts w:eastAsia="Times New Roman"/>
              </w:rPr>
            </w:pPr>
            <w:r>
              <w:rPr>
                <w:rFonts w:eastAsia="Times New Roman"/>
                <w:b/>
                <w:bCs/>
                <w:color w:val="000000"/>
                <w:sz w:val="16"/>
                <w:szCs w:val="16"/>
              </w:rPr>
              <w:t>Six Months Ended June 30, 2022</w:t>
            </w:r>
          </w:p>
        </w:tc>
        <w:tc>
          <w:tcPr>
            <w:tcW w:w="0" w:type="auto"/>
            <w:vAlign w:val="center"/>
            <w:hideMark/>
          </w:tcPr>
          <w:p w14:paraId="1AE641EA" w14:textId="77777777" w:rsidR="00000000" w:rsidRDefault="00A173A8">
            <w:pPr>
              <w:spacing w:after="100"/>
              <w:rPr>
                <w:rFonts w:eastAsia="Times New Roman"/>
                <w:sz w:val="20"/>
                <w:szCs w:val="20"/>
              </w:rPr>
            </w:pPr>
          </w:p>
        </w:tc>
        <w:tc>
          <w:tcPr>
            <w:tcW w:w="0" w:type="auto"/>
            <w:vAlign w:val="center"/>
            <w:hideMark/>
          </w:tcPr>
          <w:p w14:paraId="0E7B792A" w14:textId="77777777" w:rsidR="00000000" w:rsidRDefault="00A173A8">
            <w:pPr>
              <w:spacing w:after="100"/>
              <w:rPr>
                <w:rFonts w:eastAsia="Times New Roman"/>
                <w:sz w:val="20"/>
                <w:szCs w:val="20"/>
              </w:rPr>
            </w:pPr>
          </w:p>
        </w:tc>
        <w:tc>
          <w:tcPr>
            <w:tcW w:w="0" w:type="auto"/>
            <w:vAlign w:val="center"/>
            <w:hideMark/>
          </w:tcPr>
          <w:p w14:paraId="31E3FADA" w14:textId="77777777" w:rsidR="00000000" w:rsidRDefault="00A173A8">
            <w:pPr>
              <w:spacing w:after="100"/>
              <w:rPr>
                <w:rFonts w:eastAsia="Times New Roman"/>
                <w:sz w:val="20"/>
                <w:szCs w:val="20"/>
              </w:rPr>
            </w:pPr>
          </w:p>
        </w:tc>
        <w:tc>
          <w:tcPr>
            <w:tcW w:w="0" w:type="auto"/>
            <w:vAlign w:val="center"/>
            <w:hideMark/>
          </w:tcPr>
          <w:p w14:paraId="121B58B0" w14:textId="77777777" w:rsidR="00000000" w:rsidRDefault="00A173A8">
            <w:pPr>
              <w:spacing w:after="100"/>
              <w:rPr>
                <w:rFonts w:eastAsia="Times New Roman"/>
                <w:sz w:val="20"/>
                <w:szCs w:val="20"/>
              </w:rPr>
            </w:pPr>
          </w:p>
        </w:tc>
        <w:tc>
          <w:tcPr>
            <w:tcW w:w="0" w:type="auto"/>
            <w:vAlign w:val="center"/>
            <w:hideMark/>
          </w:tcPr>
          <w:p w14:paraId="3E260319" w14:textId="77777777" w:rsidR="00000000" w:rsidRDefault="00A173A8">
            <w:pPr>
              <w:spacing w:after="100"/>
              <w:rPr>
                <w:rFonts w:eastAsia="Times New Roman"/>
                <w:sz w:val="20"/>
                <w:szCs w:val="20"/>
              </w:rPr>
            </w:pPr>
          </w:p>
        </w:tc>
        <w:tc>
          <w:tcPr>
            <w:tcW w:w="0" w:type="auto"/>
            <w:vAlign w:val="center"/>
            <w:hideMark/>
          </w:tcPr>
          <w:p w14:paraId="5351A189" w14:textId="77777777" w:rsidR="00000000" w:rsidRDefault="00A173A8">
            <w:pPr>
              <w:spacing w:after="100"/>
              <w:rPr>
                <w:rFonts w:eastAsia="Times New Roman"/>
                <w:sz w:val="20"/>
                <w:szCs w:val="20"/>
              </w:rPr>
            </w:pPr>
          </w:p>
        </w:tc>
      </w:tr>
      <w:tr w:rsidR="00000000" w14:paraId="3DE9BB3C" w14:textId="77777777">
        <w:trPr>
          <w:divId w:val="1452439917"/>
        </w:trPr>
        <w:tc>
          <w:tcPr>
            <w:tcW w:w="0" w:type="auto"/>
            <w:gridSpan w:val="3"/>
            <w:tcMar>
              <w:top w:w="30" w:type="dxa"/>
              <w:left w:w="20" w:type="dxa"/>
              <w:bottom w:w="30" w:type="dxa"/>
              <w:right w:w="20" w:type="dxa"/>
            </w:tcMar>
            <w:vAlign w:val="bottom"/>
            <w:hideMark/>
          </w:tcPr>
          <w:p w14:paraId="381D7E2A"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E7DE45A"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AE3B65" w14:textId="77777777" w:rsidR="00000000" w:rsidRDefault="00A173A8">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1D295E5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1528D7" w14:textId="77777777" w:rsidR="00000000" w:rsidRDefault="00A173A8">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1CC95E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9F7193" w14:textId="77777777" w:rsidR="00000000" w:rsidRDefault="00A173A8">
            <w:pPr>
              <w:spacing w:after="100"/>
              <w:jc w:val="center"/>
              <w:rPr>
                <w:rFonts w:eastAsia="Times New Roman"/>
              </w:rPr>
            </w:pPr>
            <w:r>
              <w:rPr>
                <w:rFonts w:eastAsia="Times New Roman"/>
                <w:b/>
                <w:bCs/>
                <w:color w:val="000000"/>
                <w:sz w:val="16"/>
                <w:szCs w:val="16"/>
              </w:rPr>
              <w:t>Foreign Currency Translation Adjustments</w:t>
            </w:r>
            <w:r>
              <w:rPr>
                <w:rFonts w:eastAsia="Times New Roman"/>
                <w:b/>
                <w:bCs/>
                <w:color w:val="000000"/>
                <w:sz w:val="16"/>
                <w:szCs w:val="16"/>
              </w:rPr>
              <w:t xml:space="preserve"> </w:t>
            </w:r>
            <w:r>
              <w:rPr>
                <w:rFonts w:eastAsia="Times New Roman"/>
                <w:b/>
                <w:bCs/>
                <w:color w:val="000000"/>
                <w:sz w:val="10"/>
                <w:szCs w:val="10"/>
              </w:rPr>
              <w:t>(2</w:t>
            </w:r>
            <w:r>
              <w:rPr>
                <w:rFonts w:eastAsia="Times New Roman"/>
                <w:b/>
                <w:bCs/>
                <w:color w:val="000000"/>
                <w:sz w:val="10"/>
                <w:szCs w:val="10"/>
              </w:rPr>
              <w:t>)</w:t>
            </w:r>
          </w:p>
        </w:tc>
        <w:tc>
          <w:tcPr>
            <w:tcW w:w="0" w:type="auto"/>
            <w:vAlign w:val="center"/>
            <w:hideMark/>
          </w:tcPr>
          <w:p w14:paraId="7FD4BFC8" w14:textId="77777777" w:rsidR="00000000" w:rsidRDefault="00A173A8">
            <w:pPr>
              <w:spacing w:after="100"/>
              <w:jc w:val="center"/>
              <w:rPr>
                <w:rFonts w:eastAsia="Times New Roman"/>
              </w:rPr>
            </w:pPr>
          </w:p>
        </w:tc>
        <w:tc>
          <w:tcPr>
            <w:tcW w:w="0" w:type="auto"/>
            <w:vAlign w:val="center"/>
            <w:hideMark/>
          </w:tcPr>
          <w:p w14:paraId="1FCE6261"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A0F8E2"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978C12D" w14:textId="77777777" w:rsidR="00000000" w:rsidRDefault="00A173A8">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2897DBB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D441B5" w14:textId="77777777" w:rsidR="00000000" w:rsidRDefault="00A173A8">
            <w:pPr>
              <w:spacing w:after="100"/>
              <w:jc w:val="center"/>
              <w:rPr>
                <w:rFonts w:eastAsia="Times New Roman"/>
              </w:rPr>
            </w:pPr>
            <w:r>
              <w:rPr>
                <w:rFonts w:eastAsia="Times New Roman"/>
                <w:b/>
                <w:bCs/>
                <w:color w:val="000000"/>
                <w:sz w:val="14"/>
                <w:szCs w:val="14"/>
              </w:rPr>
              <w:t>Total</w:t>
            </w:r>
          </w:p>
        </w:tc>
      </w:tr>
      <w:tr w:rsidR="00000000" w14:paraId="63A007F4" w14:textId="77777777">
        <w:trPr>
          <w:divId w:val="1452439917"/>
        </w:trPr>
        <w:tc>
          <w:tcPr>
            <w:tcW w:w="0" w:type="auto"/>
            <w:gridSpan w:val="3"/>
            <w:vAlign w:val="center"/>
            <w:hideMark/>
          </w:tcPr>
          <w:p w14:paraId="4AC0B7A6" w14:textId="77777777" w:rsidR="00000000" w:rsidRDefault="00A173A8">
            <w:pPr>
              <w:spacing w:after="100"/>
              <w:jc w:val="center"/>
              <w:rPr>
                <w:rFonts w:eastAsia="Times New Roman"/>
              </w:rPr>
            </w:pPr>
          </w:p>
        </w:tc>
        <w:tc>
          <w:tcPr>
            <w:tcW w:w="0" w:type="auto"/>
            <w:gridSpan w:val="3"/>
            <w:vAlign w:val="center"/>
            <w:hideMark/>
          </w:tcPr>
          <w:p w14:paraId="5E5246C0" w14:textId="77777777" w:rsidR="00000000" w:rsidRDefault="00A173A8">
            <w:pPr>
              <w:spacing w:after="100"/>
              <w:rPr>
                <w:rFonts w:eastAsia="Times New Roman"/>
                <w:sz w:val="20"/>
                <w:szCs w:val="20"/>
              </w:rPr>
            </w:pPr>
          </w:p>
        </w:tc>
        <w:tc>
          <w:tcPr>
            <w:tcW w:w="0" w:type="auto"/>
            <w:gridSpan w:val="3"/>
            <w:vAlign w:val="center"/>
            <w:hideMark/>
          </w:tcPr>
          <w:p w14:paraId="15711FB9" w14:textId="77777777" w:rsidR="00000000" w:rsidRDefault="00A173A8">
            <w:pPr>
              <w:spacing w:after="100"/>
              <w:rPr>
                <w:rFonts w:eastAsia="Times New Roman"/>
                <w:sz w:val="20"/>
                <w:szCs w:val="20"/>
              </w:rPr>
            </w:pPr>
          </w:p>
        </w:tc>
        <w:tc>
          <w:tcPr>
            <w:tcW w:w="0" w:type="auto"/>
            <w:gridSpan w:val="3"/>
            <w:vAlign w:val="center"/>
            <w:hideMark/>
          </w:tcPr>
          <w:p w14:paraId="2FDACC3B" w14:textId="77777777" w:rsidR="00000000" w:rsidRDefault="00A173A8">
            <w:pPr>
              <w:spacing w:after="100"/>
              <w:rPr>
                <w:rFonts w:eastAsia="Times New Roman"/>
                <w:sz w:val="20"/>
                <w:szCs w:val="20"/>
              </w:rPr>
            </w:pPr>
          </w:p>
        </w:tc>
        <w:tc>
          <w:tcPr>
            <w:tcW w:w="0" w:type="auto"/>
            <w:gridSpan w:val="3"/>
            <w:vAlign w:val="center"/>
            <w:hideMark/>
          </w:tcPr>
          <w:p w14:paraId="77D9CCF8" w14:textId="77777777" w:rsidR="00000000" w:rsidRDefault="00A173A8">
            <w:pPr>
              <w:spacing w:after="100"/>
              <w:rPr>
                <w:rFonts w:eastAsia="Times New Roman"/>
                <w:sz w:val="20"/>
                <w:szCs w:val="20"/>
              </w:rPr>
            </w:pPr>
          </w:p>
        </w:tc>
        <w:tc>
          <w:tcPr>
            <w:tcW w:w="0" w:type="auto"/>
            <w:gridSpan w:val="3"/>
            <w:vAlign w:val="center"/>
            <w:hideMark/>
          </w:tcPr>
          <w:p w14:paraId="7999489E" w14:textId="77777777" w:rsidR="00000000" w:rsidRDefault="00A173A8">
            <w:pPr>
              <w:spacing w:after="100"/>
              <w:rPr>
                <w:rFonts w:eastAsia="Times New Roman"/>
                <w:sz w:val="20"/>
                <w:szCs w:val="20"/>
              </w:rPr>
            </w:pPr>
          </w:p>
        </w:tc>
        <w:tc>
          <w:tcPr>
            <w:tcW w:w="0" w:type="auto"/>
            <w:gridSpan w:val="3"/>
            <w:vAlign w:val="center"/>
            <w:hideMark/>
          </w:tcPr>
          <w:p w14:paraId="0883BF6D" w14:textId="77777777" w:rsidR="00000000" w:rsidRDefault="00A173A8">
            <w:pPr>
              <w:spacing w:after="100"/>
              <w:rPr>
                <w:rFonts w:eastAsia="Times New Roman"/>
                <w:sz w:val="20"/>
                <w:szCs w:val="20"/>
              </w:rPr>
            </w:pPr>
          </w:p>
        </w:tc>
        <w:tc>
          <w:tcPr>
            <w:tcW w:w="0" w:type="auto"/>
            <w:vAlign w:val="center"/>
            <w:hideMark/>
          </w:tcPr>
          <w:p w14:paraId="41536CF9" w14:textId="77777777" w:rsidR="00000000" w:rsidRDefault="00A173A8">
            <w:pPr>
              <w:spacing w:after="100"/>
              <w:rPr>
                <w:rFonts w:eastAsia="Times New Roman"/>
                <w:sz w:val="20"/>
                <w:szCs w:val="20"/>
              </w:rPr>
            </w:pPr>
          </w:p>
        </w:tc>
        <w:tc>
          <w:tcPr>
            <w:tcW w:w="0" w:type="auto"/>
            <w:vAlign w:val="center"/>
            <w:hideMark/>
          </w:tcPr>
          <w:p w14:paraId="38886506" w14:textId="77777777" w:rsidR="00000000" w:rsidRDefault="00A173A8">
            <w:pPr>
              <w:spacing w:after="100"/>
              <w:rPr>
                <w:rFonts w:eastAsia="Times New Roman"/>
                <w:sz w:val="20"/>
                <w:szCs w:val="20"/>
              </w:rPr>
            </w:pPr>
          </w:p>
        </w:tc>
        <w:tc>
          <w:tcPr>
            <w:tcW w:w="0" w:type="auto"/>
            <w:gridSpan w:val="3"/>
            <w:vAlign w:val="center"/>
            <w:hideMark/>
          </w:tcPr>
          <w:p w14:paraId="6398657A" w14:textId="77777777" w:rsidR="00000000" w:rsidRDefault="00A173A8">
            <w:pPr>
              <w:spacing w:after="100"/>
              <w:rPr>
                <w:rFonts w:eastAsia="Times New Roman"/>
                <w:sz w:val="20"/>
                <w:szCs w:val="20"/>
              </w:rPr>
            </w:pPr>
          </w:p>
        </w:tc>
        <w:tc>
          <w:tcPr>
            <w:tcW w:w="0" w:type="auto"/>
            <w:gridSpan w:val="3"/>
            <w:vAlign w:val="center"/>
            <w:hideMark/>
          </w:tcPr>
          <w:p w14:paraId="6879F267" w14:textId="77777777" w:rsidR="00000000" w:rsidRDefault="00A173A8">
            <w:pPr>
              <w:spacing w:after="100"/>
              <w:rPr>
                <w:rFonts w:eastAsia="Times New Roman"/>
                <w:sz w:val="20"/>
                <w:szCs w:val="20"/>
              </w:rPr>
            </w:pPr>
          </w:p>
        </w:tc>
        <w:tc>
          <w:tcPr>
            <w:tcW w:w="0" w:type="auto"/>
            <w:gridSpan w:val="3"/>
            <w:vAlign w:val="center"/>
            <w:hideMark/>
          </w:tcPr>
          <w:p w14:paraId="295547A4" w14:textId="77777777" w:rsidR="00000000" w:rsidRDefault="00A173A8">
            <w:pPr>
              <w:spacing w:after="100"/>
              <w:rPr>
                <w:rFonts w:eastAsia="Times New Roman"/>
                <w:sz w:val="20"/>
                <w:szCs w:val="20"/>
              </w:rPr>
            </w:pPr>
          </w:p>
        </w:tc>
        <w:tc>
          <w:tcPr>
            <w:tcW w:w="0" w:type="auto"/>
            <w:gridSpan w:val="3"/>
            <w:vAlign w:val="center"/>
            <w:hideMark/>
          </w:tcPr>
          <w:p w14:paraId="47AA1979" w14:textId="77777777" w:rsidR="00000000" w:rsidRDefault="00A173A8">
            <w:pPr>
              <w:spacing w:after="100"/>
              <w:rPr>
                <w:rFonts w:eastAsia="Times New Roman"/>
                <w:sz w:val="20"/>
                <w:szCs w:val="20"/>
              </w:rPr>
            </w:pPr>
          </w:p>
        </w:tc>
      </w:tr>
      <w:tr w:rsidR="00000000" w14:paraId="61A78B49" w14:textId="77777777">
        <w:trPr>
          <w:divId w:val="1452439917"/>
        </w:trPr>
        <w:tc>
          <w:tcPr>
            <w:tcW w:w="0" w:type="auto"/>
            <w:gridSpan w:val="3"/>
            <w:vAlign w:val="center"/>
            <w:hideMark/>
          </w:tcPr>
          <w:p w14:paraId="0D5E030C" w14:textId="77777777" w:rsidR="00000000" w:rsidRDefault="00A173A8">
            <w:pPr>
              <w:spacing w:after="100"/>
              <w:rPr>
                <w:rFonts w:eastAsia="Times New Roman"/>
                <w:sz w:val="20"/>
                <w:szCs w:val="20"/>
              </w:rPr>
            </w:pPr>
          </w:p>
        </w:tc>
        <w:tc>
          <w:tcPr>
            <w:tcW w:w="0" w:type="auto"/>
            <w:gridSpan w:val="3"/>
            <w:vAlign w:val="center"/>
            <w:hideMark/>
          </w:tcPr>
          <w:p w14:paraId="6AA789F2" w14:textId="77777777" w:rsidR="00000000" w:rsidRDefault="00A173A8">
            <w:pPr>
              <w:spacing w:after="100"/>
              <w:rPr>
                <w:rFonts w:eastAsia="Times New Roman"/>
                <w:sz w:val="20"/>
                <w:szCs w:val="20"/>
              </w:rPr>
            </w:pPr>
          </w:p>
        </w:tc>
        <w:tc>
          <w:tcPr>
            <w:tcW w:w="0" w:type="auto"/>
            <w:gridSpan w:val="3"/>
            <w:vAlign w:val="center"/>
            <w:hideMark/>
          </w:tcPr>
          <w:p w14:paraId="3863F7A9" w14:textId="77777777" w:rsidR="00000000" w:rsidRDefault="00A173A8">
            <w:pPr>
              <w:spacing w:after="100"/>
              <w:rPr>
                <w:rFonts w:eastAsia="Times New Roman"/>
                <w:sz w:val="20"/>
                <w:szCs w:val="20"/>
              </w:rPr>
            </w:pPr>
          </w:p>
        </w:tc>
        <w:tc>
          <w:tcPr>
            <w:tcW w:w="0" w:type="auto"/>
            <w:gridSpan w:val="3"/>
            <w:vAlign w:val="center"/>
            <w:hideMark/>
          </w:tcPr>
          <w:p w14:paraId="6E20D3B3" w14:textId="77777777" w:rsidR="00000000" w:rsidRDefault="00A173A8">
            <w:pPr>
              <w:spacing w:after="100"/>
              <w:rPr>
                <w:rFonts w:eastAsia="Times New Roman"/>
                <w:sz w:val="20"/>
                <w:szCs w:val="20"/>
              </w:rPr>
            </w:pPr>
          </w:p>
        </w:tc>
        <w:tc>
          <w:tcPr>
            <w:tcW w:w="0" w:type="auto"/>
            <w:gridSpan w:val="3"/>
            <w:vAlign w:val="center"/>
            <w:hideMark/>
          </w:tcPr>
          <w:p w14:paraId="7C667AE7" w14:textId="77777777" w:rsidR="00000000" w:rsidRDefault="00A173A8">
            <w:pPr>
              <w:spacing w:after="100"/>
              <w:rPr>
                <w:rFonts w:eastAsia="Times New Roman"/>
                <w:sz w:val="20"/>
                <w:szCs w:val="20"/>
              </w:rPr>
            </w:pPr>
          </w:p>
        </w:tc>
        <w:tc>
          <w:tcPr>
            <w:tcW w:w="0" w:type="auto"/>
            <w:gridSpan w:val="3"/>
            <w:vAlign w:val="center"/>
            <w:hideMark/>
          </w:tcPr>
          <w:p w14:paraId="0285D9F2" w14:textId="77777777" w:rsidR="00000000" w:rsidRDefault="00A173A8">
            <w:pPr>
              <w:spacing w:after="100"/>
              <w:rPr>
                <w:rFonts w:eastAsia="Times New Roman"/>
                <w:sz w:val="20"/>
                <w:szCs w:val="20"/>
              </w:rPr>
            </w:pPr>
          </w:p>
        </w:tc>
        <w:tc>
          <w:tcPr>
            <w:tcW w:w="0" w:type="auto"/>
            <w:gridSpan w:val="3"/>
            <w:vAlign w:val="center"/>
            <w:hideMark/>
          </w:tcPr>
          <w:p w14:paraId="6406CD49" w14:textId="77777777" w:rsidR="00000000" w:rsidRDefault="00A173A8">
            <w:pPr>
              <w:spacing w:after="100"/>
              <w:rPr>
                <w:rFonts w:eastAsia="Times New Roman"/>
                <w:sz w:val="20"/>
                <w:szCs w:val="20"/>
              </w:rPr>
            </w:pPr>
          </w:p>
        </w:tc>
        <w:tc>
          <w:tcPr>
            <w:tcW w:w="0" w:type="auto"/>
            <w:vAlign w:val="center"/>
            <w:hideMark/>
          </w:tcPr>
          <w:p w14:paraId="73FE6873" w14:textId="77777777" w:rsidR="00000000" w:rsidRDefault="00A173A8">
            <w:pPr>
              <w:spacing w:after="100"/>
              <w:rPr>
                <w:rFonts w:eastAsia="Times New Roman"/>
                <w:sz w:val="20"/>
                <w:szCs w:val="20"/>
              </w:rPr>
            </w:pPr>
          </w:p>
        </w:tc>
        <w:tc>
          <w:tcPr>
            <w:tcW w:w="0" w:type="auto"/>
            <w:vAlign w:val="center"/>
            <w:hideMark/>
          </w:tcPr>
          <w:p w14:paraId="01F9E916" w14:textId="77777777" w:rsidR="00000000" w:rsidRDefault="00A173A8">
            <w:pPr>
              <w:spacing w:after="100"/>
              <w:rPr>
                <w:rFonts w:eastAsia="Times New Roman"/>
                <w:sz w:val="20"/>
                <w:szCs w:val="20"/>
              </w:rPr>
            </w:pPr>
          </w:p>
        </w:tc>
        <w:tc>
          <w:tcPr>
            <w:tcW w:w="0" w:type="auto"/>
            <w:gridSpan w:val="3"/>
            <w:vAlign w:val="center"/>
            <w:hideMark/>
          </w:tcPr>
          <w:p w14:paraId="6B6F9448" w14:textId="77777777" w:rsidR="00000000" w:rsidRDefault="00A173A8">
            <w:pPr>
              <w:spacing w:after="100"/>
              <w:rPr>
                <w:rFonts w:eastAsia="Times New Roman"/>
                <w:sz w:val="20"/>
                <w:szCs w:val="20"/>
              </w:rPr>
            </w:pPr>
          </w:p>
        </w:tc>
        <w:tc>
          <w:tcPr>
            <w:tcW w:w="0" w:type="auto"/>
            <w:gridSpan w:val="3"/>
            <w:vAlign w:val="center"/>
            <w:hideMark/>
          </w:tcPr>
          <w:p w14:paraId="32987D34" w14:textId="77777777" w:rsidR="00000000" w:rsidRDefault="00A173A8">
            <w:pPr>
              <w:spacing w:after="100"/>
              <w:rPr>
                <w:rFonts w:eastAsia="Times New Roman"/>
                <w:sz w:val="20"/>
                <w:szCs w:val="20"/>
              </w:rPr>
            </w:pPr>
          </w:p>
        </w:tc>
        <w:tc>
          <w:tcPr>
            <w:tcW w:w="0" w:type="auto"/>
            <w:gridSpan w:val="3"/>
            <w:vAlign w:val="center"/>
            <w:hideMark/>
          </w:tcPr>
          <w:p w14:paraId="1F0805CA" w14:textId="77777777" w:rsidR="00000000" w:rsidRDefault="00A173A8">
            <w:pPr>
              <w:spacing w:after="100"/>
              <w:rPr>
                <w:rFonts w:eastAsia="Times New Roman"/>
                <w:sz w:val="20"/>
                <w:szCs w:val="20"/>
              </w:rPr>
            </w:pPr>
          </w:p>
        </w:tc>
        <w:tc>
          <w:tcPr>
            <w:tcW w:w="0" w:type="auto"/>
            <w:gridSpan w:val="3"/>
            <w:vAlign w:val="center"/>
            <w:hideMark/>
          </w:tcPr>
          <w:p w14:paraId="11D2DE51" w14:textId="77777777" w:rsidR="00000000" w:rsidRDefault="00A173A8">
            <w:pPr>
              <w:spacing w:after="100"/>
              <w:rPr>
                <w:rFonts w:eastAsia="Times New Roman"/>
                <w:sz w:val="20"/>
                <w:szCs w:val="20"/>
              </w:rPr>
            </w:pPr>
          </w:p>
        </w:tc>
      </w:tr>
      <w:tr w:rsidR="00000000" w14:paraId="763C6D9E" w14:textId="77777777">
        <w:trPr>
          <w:divId w:val="1452439917"/>
        </w:trPr>
        <w:tc>
          <w:tcPr>
            <w:tcW w:w="0" w:type="auto"/>
            <w:gridSpan w:val="3"/>
            <w:vAlign w:val="center"/>
            <w:hideMark/>
          </w:tcPr>
          <w:p w14:paraId="739762C2" w14:textId="77777777" w:rsidR="00000000" w:rsidRDefault="00A173A8">
            <w:pPr>
              <w:spacing w:after="100"/>
              <w:rPr>
                <w:rFonts w:eastAsia="Times New Roman"/>
                <w:sz w:val="20"/>
                <w:szCs w:val="20"/>
              </w:rPr>
            </w:pPr>
          </w:p>
        </w:tc>
        <w:tc>
          <w:tcPr>
            <w:tcW w:w="0" w:type="auto"/>
            <w:gridSpan w:val="3"/>
            <w:vAlign w:val="center"/>
            <w:hideMark/>
          </w:tcPr>
          <w:p w14:paraId="11B49441" w14:textId="77777777" w:rsidR="00000000" w:rsidRDefault="00A173A8">
            <w:pPr>
              <w:spacing w:after="100"/>
              <w:rPr>
                <w:rFonts w:eastAsia="Times New Roman"/>
                <w:sz w:val="20"/>
                <w:szCs w:val="20"/>
              </w:rPr>
            </w:pPr>
          </w:p>
        </w:tc>
        <w:tc>
          <w:tcPr>
            <w:tcW w:w="0" w:type="auto"/>
            <w:gridSpan w:val="3"/>
            <w:vAlign w:val="center"/>
            <w:hideMark/>
          </w:tcPr>
          <w:p w14:paraId="57A84B1E" w14:textId="77777777" w:rsidR="00000000" w:rsidRDefault="00A173A8">
            <w:pPr>
              <w:spacing w:after="100"/>
              <w:rPr>
                <w:rFonts w:eastAsia="Times New Roman"/>
                <w:sz w:val="20"/>
                <w:szCs w:val="20"/>
              </w:rPr>
            </w:pPr>
          </w:p>
        </w:tc>
        <w:tc>
          <w:tcPr>
            <w:tcW w:w="0" w:type="auto"/>
            <w:gridSpan w:val="3"/>
            <w:vAlign w:val="center"/>
            <w:hideMark/>
          </w:tcPr>
          <w:p w14:paraId="6E569F01" w14:textId="77777777" w:rsidR="00000000" w:rsidRDefault="00A173A8">
            <w:pPr>
              <w:spacing w:after="100"/>
              <w:rPr>
                <w:rFonts w:eastAsia="Times New Roman"/>
                <w:sz w:val="20"/>
                <w:szCs w:val="20"/>
              </w:rPr>
            </w:pPr>
          </w:p>
        </w:tc>
        <w:tc>
          <w:tcPr>
            <w:tcW w:w="0" w:type="auto"/>
            <w:gridSpan w:val="3"/>
            <w:vAlign w:val="center"/>
            <w:hideMark/>
          </w:tcPr>
          <w:p w14:paraId="0C1ED2CA" w14:textId="77777777" w:rsidR="00000000" w:rsidRDefault="00A173A8">
            <w:pPr>
              <w:spacing w:after="100"/>
              <w:rPr>
                <w:rFonts w:eastAsia="Times New Roman"/>
                <w:sz w:val="20"/>
                <w:szCs w:val="20"/>
              </w:rPr>
            </w:pPr>
          </w:p>
        </w:tc>
        <w:tc>
          <w:tcPr>
            <w:tcW w:w="0" w:type="auto"/>
            <w:gridSpan w:val="3"/>
            <w:vAlign w:val="center"/>
            <w:hideMark/>
          </w:tcPr>
          <w:p w14:paraId="158958BE" w14:textId="77777777" w:rsidR="00000000" w:rsidRDefault="00A173A8">
            <w:pPr>
              <w:spacing w:after="100"/>
              <w:rPr>
                <w:rFonts w:eastAsia="Times New Roman"/>
                <w:sz w:val="20"/>
                <w:szCs w:val="20"/>
              </w:rPr>
            </w:pPr>
          </w:p>
        </w:tc>
        <w:tc>
          <w:tcPr>
            <w:tcW w:w="0" w:type="auto"/>
            <w:gridSpan w:val="3"/>
            <w:vAlign w:val="center"/>
            <w:hideMark/>
          </w:tcPr>
          <w:p w14:paraId="511E1DD4" w14:textId="77777777" w:rsidR="00000000" w:rsidRDefault="00A173A8">
            <w:pPr>
              <w:spacing w:after="100"/>
              <w:rPr>
                <w:rFonts w:eastAsia="Times New Roman"/>
                <w:sz w:val="20"/>
                <w:szCs w:val="20"/>
              </w:rPr>
            </w:pPr>
          </w:p>
        </w:tc>
        <w:tc>
          <w:tcPr>
            <w:tcW w:w="0" w:type="auto"/>
            <w:vAlign w:val="center"/>
            <w:hideMark/>
          </w:tcPr>
          <w:p w14:paraId="0B6B3FAF" w14:textId="77777777" w:rsidR="00000000" w:rsidRDefault="00A173A8">
            <w:pPr>
              <w:spacing w:after="100"/>
              <w:rPr>
                <w:rFonts w:eastAsia="Times New Roman"/>
                <w:sz w:val="20"/>
                <w:szCs w:val="20"/>
              </w:rPr>
            </w:pPr>
          </w:p>
        </w:tc>
        <w:tc>
          <w:tcPr>
            <w:tcW w:w="0" w:type="auto"/>
            <w:vAlign w:val="center"/>
            <w:hideMark/>
          </w:tcPr>
          <w:p w14:paraId="2C76E51B" w14:textId="77777777" w:rsidR="00000000" w:rsidRDefault="00A173A8">
            <w:pPr>
              <w:spacing w:after="100"/>
              <w:rPr>
                <w:rFonts w:eastAsia="Times New Roman"/>
                <w:sz w:val="20"/>
                <w:szCs w:val="20"/>
              </w:rPr>
            </w:pPr>
          </w:p>
        </w:tc>
        <w:tc>
          <w:tcPr>
            <w:tcW w:w="0" w:type="auto"/>
            <w:gridSpan w:val="3"/>
            <w:vAlign w:val="center"/>
            <w:hideMark/>
          </w:tcPr>
          <w:p w14:paraId="6840100D" w14:textId="77777777" w:rsidR="00000000" w:rsidRDefault="00A173A8">
            <w:pPr>
              <w:spacing w:after="100"/>
              <w:rPr>
                <w:rFonts w:eastAsia="Times New Roman"/>
                <w:sz w:val="20"/>
                <w:szCs w:val="20"/>
              </w:rPr>
            </w:pPr>
          </w:p>
        </w:tc>
        <w:tc>
          <w:tcPr>
            <w:tcW w:w="0" w:type="auto"/>
            <w:gridSpan w:val="3"/>
            <w:vAlign w:val="center"/>
            <w:hideMark/>
          </w:tcPr>
          <w:p w14:paraId="7CB4BB5B" w14:textId="77777777" w:rsidR="00000000" w:rsidRDefault="00A173A8">
            <w:pPr>
              <w:spacing w:after="100"/>
              <w:rPr>
                <w:rFonts w:eastAsia="Times New Roman"/>
                <w:sz w:val="20"/>
                <w:szCs w:val="20"/>
              </w:rPr>
            </w:pPr>
          </w:p>
        </w:tc>
        <w:tc>
          <w:tcPr>
            <w:tcW w:w="0" w:type="auto"/>
            <w:gridSpan w:val="3"/>
            <w:vAlign w:val="center"/>
            <w:hideMark/>
          </w:tcPr>
          <w:p w14:paraId="3C847CD5" w14:textId="77777777" w:rsidR="00000000" w:rsidRDefault="00A173A8">
            <w:pPr>
              <w:spacing w:after="100"/>
              <w:rPr>
                <w:rFonts w:eastAsia="Times New Roman"/>
                <w:sz w:val="20"/>
                <w:szCs w:val="20"/>
              </w:rPr>
            </w:pPr>
          </w:p>
        </w:tc>
        <w:tc>
          <w:tcPr>
            <w:tcW w:w="0" w:type="auto"/>
            <w:gridSpan w:val="3"/>
            <w:vAlign w:val="center"/>
            <w:hideMark/>
          </w:tcPr>
          <w:p w14:paraId="41B5CB13" w14:textId="77777777" w:rsidR="00000000" w:rsidRDefault="00A173A8">
            <w:pPr>
              <w:spacing w:after="100"/>
              <w:rPr>
                <w:rFonts w:eastAsia="Times New Roman"/>
                <w:sz w:val="20"/>
                <w:szCs w:val="20"/>
              </w:rPr>
            </w:pPr>
          </w:p>
        </w:tc>
      </w:tr>
      <w:tr w:rsidR="00000000" w14:paraId="34E7D3D7" w14:textId="77777777">
        <w:trPr>
          <w:divId w:val="1452439917"/>
        </w:trPr>
        <w:tc>
          <w:tcPr>
            <w:tcW w:w="0" w:type="auto"/>
            <w:gridSpan w:val="3"/>
            <w:vAlign w:val="center"/>
            <w:hideMark/>
          </w:tcPr>
          <w:p w14:paraId="07463ED0" w14:textId="77777777" w:rsidR="00000000" w:rsidRDefault="00A173A8">
            <w:pPr>
              <w:spacing w:after="100"/>
              <w:rPr>
                <w:rFonts w:eastAsia="Times New Roman"/>
                <w:sz w:val="20"/>
                <w:szCs w:val="20"/>
              </w:rPr>
            </w:pPr>
          </w:p>
        </w:tc>
        <w:tc>
          <w:tcPr>
            <w:tcW w:w="0" w:type="auto"/>
            <w:gridSpan w:val="3"/>
            <w:vAlign w:val="center"/>
            <w:hideMark/>
          </w:tcPr>
          <w:p w14:paraId="2CE46125" w14:textId="77777777" w:rsidR="00000000" w:rsidRDefault="00A173A8">
            <w:pPr>
              <w:spacing w:after="100"/>
              <w:rPr>
                <w:rFonts w:eastAsia="Times New Roman"/>
                <w:sz w:val="20"/>
                <w:szCs w:val="20"/>
              </w:rPr>
            </w:pPr>
          </w:p>
        </w:tc>
        <w:tc>
          <w:tcPr>
            <w:tcW w:w="0" w:type="auto"/>
            <w:gridSpan w:val="3"/>
            <w:vAlign w:val="center"/>
            <w:hideMark/>
          </w:tcPr>
          <w:p w14:paraId="506F8907" w14:textId="77777777" w:rsidR="00000000" w:rsidRDefault="00A173A8">
            <w:pPr>
              <w:spacing w:after="100"/>
              <w:rPr>
                <w:rFonts w:eastAsia="Times New Roman"/>
                <w:sz w:val="20"/>
                <w:szCs w:val="20"/>
              </w:rPr>
            </w:pPr>
          </w:p>
        </w:tc>
        <w:tc>
          <w:tcPr>
            <w:tcW w:w="0" w:type="auto"/>
            <w:gridSpan w:val="3"/>
            <w:vAlign w:val="center"/>
            <w:hideMark/>
          </w:tcPr>
          <w:p w14:paraId="61E8C169" w14:textId="77777777" w:rsidR="00000000" w:rsidRDefault="00A173A8">
            <w:pPr>
              <w:spacing w:after="100"/>
              <w:rPr>
                <w:rFonts w:eastAsia="Times New Roman"/>
                <w:sz w:val="20"/>
                <w:szCs w:val="20"/>
              </w:rPr>
            </w:pPr>
          </w:p>
        </w:tc>
        <w:tc>
          <w:tcPr>
            <w:tcW w:w="0" w:type="auto"/>
            <w:gridSpan w:val="3"/>
            <w:vAlign w:val="center"/>
            <w:hideMark/>
          </w:tcPr>
          <w:p w14:paraId="3950BA41" w14:textId="77777777" w:rsidR="00000000" w:rsidRDefault="00A173A8">
            <w:pPr>
              <w:spacing w:after="100"/>
              <w:rPr>
                <w:rFonts w:eastAsia="Times New Roman"/>
                <w:sz w:val="20"/>
                <w:szCs w:val="20"/>
              </w:rPr>
            </w:pPr>
          </w:p>
        </w:tc>
        <w:tc>
          <w:tcPr>
            <w:tcW w:w="0" w:type="auto"/>
            <w:gridSpan w:val="3"/>
            <w:vAlign w:val="center"/>
            <w:hideMark/>
          </w:tcPr>
          <w:p w14:paraId="690612AC" w14:textId="77777777" w:rsidR="00000000" w:rsidRDefault="00A173A8">
            <w:pPr>
              <w:spacing w:after="100"/>
              <w:rPr>
                <w:rFonts w:eastAsia="Times New Roman"/>
                <w:sz w:val="20"/>
                <w:szCs w:val="20"/>
              </w:rPr>
            </w:pPr>
          </w:p>
        </w:tc>
        <w:tc>
          <w:tcPr>
            <w:tcW w:w="0" w:type="auto"/>
            <w:gridSpan w:val="3"/>
            <w:vAlign w:val="center"/>
            <w:hideMark/>
          </w:tcPr>
          <w:p w14:paraId="29074021" w14:textId="77777777" w:rsidR="00000000" w:rsidRDefault="00A173A8">
            <w:pPr>
              <w:spacing w:after="100"/>
              <w:rPr>
                <w:rFonts w:eastAsia="Times New Roman"/>
                <w:sz w:val="20"/>
                <w:szCs w:val="20"/>
              </w:rPr>
            </w:pPr>
          </w:p>
        </w:tc>
        <w:tc>
          <w:tcPr>
            <w:tcW w:w="0" w:type="auto"/>
            <w:vAlign w:val="center"/>
            <w:hideMark/>
          </w:tcPr>
          <w:p w14:paraId="1633FE31" w14:textId="77777777" w:rsidR="00000000" w:rsidRDefault="00A173A8">
            <w:pPr>
              <w:spacing w:after="100"/>
              <w:rPr>
                <w:rFonts w:eastAsia="Times New Roman"/>
                <w:sz w:val="20"/>
                <w:szCs w:val="20"/>
              </w:rPr>
            </w:pPr>
          </w:p>
        </w:tc>
        <w:tc>
          <w:tcPr>
            <w:tcW w:w="0" w:type="auto"/>
            <w:vAlign w:val="center"/>
            <w:hideMark/>
          </w:tcPr>
          <w:p w14:paraId="63AB6D39" w14:textId="77777777" w:rsidR="00000000" w:rsidRDefault="00A173A8">
            <w:pPr>
              <w:spacing w:after="100"/>
              <w:rPr>
                <w:rFonts w:eastAsia="Times New Roman"/>
                <w:sz w:val="20"/>
                <w:szCs w:val="20"/>
              </w:rPr>
            </w:pPr>
          </w:p>
        </w:tc>
        <w:tc>
          <w:tcPr>
            <w:tcW w:w="0" w:type="auto"/>
            <w:gridSpan w:val="3"/>
            <w:vAlign w:val="center"/>
            <w:hideMark/>
          </w:tcPr>
          <w:p w14:paraId="428A123A" w14:textId="77777777" w:rsidR="00000000" w:rsidRDefault="00A173A8">
            <w:pPr>
              <w:spacing w:after="100"/>
              <w:rPr>
                <w:rFonts w:eastAsia="Times New Roman"/>
                <w:sz w:val="20"/>
                <w:szCs w:val="20"/>
              </w:rPr>
            </w:pPr>
          </w:p>
        </w:tc>
        <w:tc>
          <w:tcPr>
            <w:tcW w:w="0" w:type="auto"/>
            <w:gridSpan w:val="3"/>
            <w:vAlign w:val="center"/>
            <w:hideMark/>
          </w:tcPr>
          <w:p w14:paraId="45EA11D6" w14:textId="77777777" w:rsidR="00000000" w:rsidRDefault="00A173A8">
            <w:pPr>
              <w:spacing w:after="100"/>
              <w:rPr>
                <w:rFonts w:eastAsia="Times New Roman"/>
                <w:sz w:val="20"/>
                <w:szCs w:val="20"/>
              </w:rPr>
            </w:pPr>
          </w:p>
        </w:tc>
        <w:tc>
          <w:tcPr>
            <w:tcW w:w="0" w:type="auto"/>
            <w:gridSpan w:val="3"/>
            <w:vAlign w:val="center"/>
            <w:hideMark/>
          </w:tcPr>
          <w:p w14:paraId="3FBB259E" w14:textId="77777777" w:rsidR="00000000" w:rsidRDefault="00A173A8">
            <w:pPr>
              <w:spacing w:after="100"/>
              <w:rPr>
                <w:rFonts w:eastAsia="Times New Roman"/>
                <w:sz w:val="20"/>
                <w:szCs w:val="20"/>
              </w:rPr>
            </w:pPr>
          </w:p>
        </w:tc>
        <w:tc>
          <w:tcPr>
            <w:tcW w:w="0" w:type="auto"/>
            <w:gridSpan w:val="3"/>
            <w:vAlign w:val="center"/>
            <w:hideMark/>
          </w:tcPr>
          <w:p w14:paraId="099F074D" w14:textId="77777777" w:rsidR="00000000" w:rsidRDefault="00A173A8">
            <w:pPr>
              <w:spacing w:after="100"/>
              <w:rPr>
                <w:rFonts w:eastAsia="Times New Roman"/>
                <w:sz w:val="20"/>
                <w:szCs w:val="20"/>
              </w:rPr>
            </w:pPr>
          </w:p>
        </w:tc>
      </w:tr>
      <w:tr w:rsidR="00000000" w14:paraId="211306A7" w14:textId="77777777">
        <w:trPr>
          <w:divId w:val="1452439917"/>
        </w:trPr>
        <w:tc>
          <w:tcPr>
            <w:tcW w:w="0" w:type="auto"/>
            <w:gridSpan w:val="3"/>
            <w:vAlign w:val="center"/>
            <w:hideMark/>
          </w:tcPr>
          <w:p w14:paraId="3CB6A1CB" w14:textId="77777777" w:rsidR="00000000" w:rsidRDefault="00A173A8">
            <w:pPr>
              <w:spacing w:after="100"/>
              <w:rPr>
                <w:rFonts w:eastAsia="Times New Roman"/>
                <w:sz w:val="20"/>
                <w:szCs w:val="20"/>
              </w:rPr>
            </w:pPr>
          </w:p>
        </w:tc>
        <w:tc>
          <w:tcPr>
            <w:tcW w:w="0" w:type="auto"/>
            <w:gridSpan w:val="3"/>
            <w:vAlign w:val="center"/>
            <w:hideMark/>
          </w:tcPr>
          <w:p w14:paraId="4569B58C" w14:textId="77777777" w:rsidR="00000000" w:rsidRDefault="00A173A8">
            <w:pPr>
              <w:spacing w:after="100"/>
              <w:rPr>
                <w:rFonts w:eastAsia="Times New Roman"/>
                <w:sz w:val="20"/>
                <w:szCs w:val="20"/>
              </w:rPr>
            </w:pPr>
          </w:p>
        </w:tc>
        <w:tc>
          <w:tcPr>
            <w:tcW w:w="0" w:type="auto"/>
            <w:gridSpan w:val="3"/>
            <w:vAlign w:val="center"/>
            <w:hideMark/>
          </w:tcPr>
          <w:p w14:paraId="03669CAC" w14:textId="77777777" w:rsidR="00000000" w:rsidRDefault="00A173A8">
            <w:pPr>
              <w:spacing w:after="100"/>
              <w:rPr>
                <w:rFonts w:eastAsia="Times New Roman"/>
                <w:sz w:val="20"/>
                <w:szCs w:val="20"/>
              </w:rPr>
            </w:pPr>
          </w:p>
        </w:tc>
        <w:tc>
          <w:tcPr>
            <w:tcW w:w="0" w:type="auto"/>
            <w:gridSpan w:val="3"/>
            <w:vAlign w:val="center"/>
            <w:hideMark/>
          </w:tcPr>
          <w:p w14:paraId="129519AD" w14:textId="77777777" w:rsidR="00000000" w:rsidRDefault="00A173A8">
            <w:pPr>
              <w:spacing w:after="100"/>
              <w:rPr>
                <w:rFonts w:eastAsia="Times New Roman"/>
                <w:sz w:val="20"/>
                <w:szCs w:val="20"/>
              </w:rPr>
            </w:pPr>
          </w:p>
        </w:tc>
        <w:tc>
          <w:tcPr>
            <w:tcW w:w="0" w:type="auto"/>
            <w:gridSpan w:val="3"/>
            <w:vAlign w:val="center"/>
            <w:hideMark/>
          </w:tcPr>
          <w:p w14:paraId="7D06B53F" w14:textId="77777777" w:rsidR="00000000" w:rsidRDefault="00A173A8">
            <w:pPr>
              <w:spacing w:after="100"/>
              <w:rPr>
                <w:rFonts w:eastAsia="Times New Roman"/>
                <w:sz w:val="20"/>
                <w:szCs w:val="20"/>
              </w:rPr>
            </w:pPr>
          </w:p>
        </w:tc>
        <w:tc>
          <w:tcPr>
            <w:tcW w:w="0" w:type="auto"/>
            <w:gridSpan w:val="3"/>
            <w:vAlign w:val="center"/>
            <w:hideMark/>
          </w:tcPr>
          <w:p w14:paraId="056422F5" w14:textId="77777777" w:rsidR="00000000" w:rsidRDefault="00A173A8">
            <w:pPr>
              <w:spacing w:after="100"/>
              <w:rPr>
                <w:rFonts w:eastAsia="Times New Roman"/>
                <w:sz w:val="20"/>
                <w:szCs w:val="20"/>
              </w:rPr>
            </w:pPr>
          </w:p>
        </w:tc>
        <w:tc>
          <w:tcPr>
            <w:tcW w:w="0" w:type="auto"/>
            <w:gridSpan w:val="3"/>
            <w:vAlign w:val="center"/>
            <w:hideMark/>
          </w:tcPr>
          <w:p w14:paraId="6D9DC839" w14:textId="77777777" w:rsidR="00000000" w:rsidRDefault="00A173A8">
            <w:pPr>
              <w:spacing w:after="100"/>
              <w:rPr>
                <w:rFonts w:eastAsia="Times New Roman"/>
                <w:sz w:val="20"/>
                <w:szCs w:val="20"/>
              </w:rPr>
            </w:pPr>
          </w:p>
        </w:tc>
        <w:tc>
          <w:tcPr>
            <w:tcW w:w="0" w:type="auto"/>
            <w:vAlign w:val="center"/>
            <w:hideMark/>
          </w:tcPr>
          <w:p w14:paraId="59172DE3" w14:textId="77777777" w:rsidR="00000000" w:rsidRDefault="00A173A8">
            <w:pPr>
              <w:spacing w:after="100"/>
              <w:rPr>
                <w:rFonts w:eastAsia="Times New Roman"/>
                <w:sz w:val="20"/>
                <w:szCs w:val="20"/>
              </w:rPr>
            </w:pPr>
          </w:p>
        </w:tc>
        <w:tc>
          <w:tcPr>
            <w:tcW w:w="0" w:type="auto"/>
            <w:vAlign w:val="center"/>
            <w:hideMark/>
          </w:tcPr>
          <w:p w14:paraId="69484EFB" w14:textId="77777777" w:rsidR="00000000" w:rsidRDefault="00A173A8">
            <w:pPr>
              <w:spacing w:after="100"/>
              <w:rPr>
                <w:rFonts w:eastAsia="Times New Roman"/>
                <w:sz w:val="20"/>
                <w:szCs w:val="20"/>
              </w:rPr>
            </w:pPr>
          </w:p>
        </w:tc>
        <w:tc>
          <w:tcPr>
            <w:tcW w:w="0" w:type="auto"/>
            <w:gridSpan w:val="3"/>
            <w:vAlign w:val="center"/>
            <w:hideMark/>
          </w:tcPr>
          <w:p w14:paraId="160AD425" w14:textId="77777777" w:rsidR="00000000" w:rsidRDefault="00A173A8">
            <w:pPr>
              <w:spacing w:after="100"/>
              <w:rPr>
                <w:rFonts w:eastAsia="Times New Roman"/>
                <w:sz w:val="20"/>
                <w:szCs w:val="20"/>
              </w:rPr>
            </w:pPr>
          </w:p>
        </w:tc>
        <w:tc>
          <w:tcPr>
            <w:tcW w:w="0" w:type="auto"/>
            <w:gridSpan w:val="3"/>
            <w:vAlign w:val="center"/>
            <w:hideMark/>
          </w:tcPr>
          <w:p w14:paraId="38794491" w14:textId="77777777" w:rsidR="00000000" w:rsidRDefault="00A173A8">
            <w:pPr>
              <w:spacing w:after="100"/>
              <w:rPr>
                <w:rFonts w:eastAsia="Times New Roman"/>
                <w:sz w:val="20"/>
                <w:szCs w:val="20"/>
              </w:rPr>
            </w:pPr>
          </w:p>
        </w:tc>
        <w:tc>
          <w:tcPr>
            <w:tcW w:w="0" w:type="auto"/>
            <w:gridSpan w:val="3"/>
            <w:vAlign w:val="center"/>
            <w:hideMark/>
          </w:tcPr>
          <w:p w14:paraId="1F484033" w14:textId="77777777" w:rsidR="00000000" w:rsidRDefault="00A173A8">
            <w:pPr>
              <w:spacing w:after="100"/>
              <w:rPr>
                <w:rFonts w:eastAsia="Times New Roman"/>
                <w:sz w:val="20"/>
                <w:szCs w:val="20"/>
              </w:rPr>
            </w:pPr>
          </w:p>
        </w:tc>
        <w:tc>
          <w:tcPr>
            <w:tcW w:w="0" w:type="auto"/>
            <w:gridSpan w:val="3"/>
            <w:vAlign w:val="center"/>
            <w:hideMark/>
          </w:tcPr>
          <w:p w14:paraId="31D3AFFB" w14:textId="77777777" w:rsidR="00000000" w:rsidRDefault="00A173A8">
            <w:pPr>
              <w:spacing w:after="100"/>
              <w:rPr>
                <w:rFonts w:eastAsia="Times New Roman"/>
                <w:sz w:val="20"/>
                <w:szCs w:val="20"/>
              </w:rPr>
            </w:pPr>
          </w:p>
        </w:tc>
      </w:tr>
      <w:tr w:rsidR="00000000" w14:paraId="14DAFF0C" w14:textId="77777777">
        <w:trPr>
          <w:divId w:val="1452439917"/>
        </w:trPr>
        <w:tc>
          <w:tcPr>
            <w:tcW w:w="0" w:type="auto"/>
            <w:gridSpan w:val="3"/>
            <w:vAlign w:val="center"/>
            <w:hideMark/>
          </w:tcPr>
          <w:p w14:paraId="71F2FFAB" w14:textId="77777777" w:rsidR="00000000" w:rsidRDefault="00A173A8">
            <w:pPr>
              <w:spacing w:after="100"/>
              <w:rPr>
                <w:rFonts w:eastAsia="Times New Roman"/>
                <w:sz w:val="20"/>
                <w:szCs w:val="20"/>
              </w:rPr>
            </w:pPr>
          </w:p>
        </w:tc>
        <w:tc>
          <w:tcPr>
            <w:tcW w:w="0" w:type="auto"/>
            <w:gridSpan w:val="3"/>
            <w:vAlign w:val="center"/>
            <w:hideMark/>
          </w:tcPr>
          <w:p w14:paraId="12473C82" w14:textId="77777777" w:rsidR="00000000" w:rsidRDefault="00A173A8">
            <w:pPr>
              <w:spacing w:after="100"/>
              <w:rPr>
                <w:rFonts w:eastAsia="Times New Roman"/>
                <w:sz w:val="20"/>
                <w:szCs w:val="20"/>
              </w:rPr>
            </w:pPr>
          </w:p>
        </w:tc>
        <w:tc>
          <w:tcPr>
            <w:tcW w:w="0" w:type="auto"/>
            <w:gridSpan w:val="3"/>
            <w:vAlign w:val="center"/>
            <w:hideMark/>
          </w:tcPr>
          <w:p w14:paraId="51E90498" w14:textId="77777777" w:rsidR="00000000" w:rsidRDefault="00A173A8">
            <w:pPr>
              <w:spacing w:after="100"/>
              <w:rPr>
                <w:rFonts w:eastAsia="Times New Roman"/>
                <w:sz w:val="20"/>
                <w:szCs w:val="20"/>
              </w:rPr>
            </w:pPr>
          </w:p>
        </w:tc>
        <w:tc>
          <w:tcPr>
            <w:tcW w:w="0" w:type="auto"/>
            <w:gridSpan w:val="3"/>
            <w:vAlign w:val="center"/>
            <w:hideMark/>
          </w:tcPr>
          <w:p w14:paraId="73620BFD" w14:textId="77777777" w:rsidR="00000000" w:rsidRDefault="00A173A8">
            <w:pPr>
              <w:spacing w:after="100"/>
              <w:rPr>
                <w:rFonts w:eastAsia="Times New Roman"/>
                <w:sz w:val="20"/>
                <w:szCs w:val="20"/>
              </w:rPr>
            </w:pPr>
          </w:p>
        </w:tc>
        <w:tc>
          <w:tcPr>
            <w:tcW w:w="0" w:type="auto"/>
            <w:gridSpan w:val="3"/>
            <w:vAlign w:val="center"/>
            <w:hideMark/>
          </w:tcPr>
          <w:p w14:paraId="1372E1C6" w14:textId="77777777" w:rsidR="00000000" w:rsidRDefault="00A173A8">
            <w:pPr>
              <w:spacing w:after="100"/>
              <w:rPr>
                <w:rFonts w:eastAsia="Times New Roman"/>
                <w:sz w:val="20"/>
                <w:szCs w:val="20"/>
              </w:rPr>
            </w:pPr>
          </w:p>
        </w:tc>
        <w:tc>
          <w:tcPr>
            <w:tcW w:w="0" w:type="auto"/>
            <w:gridSpan w:val="3"/>
            <w:vAlign w:val="center"/>
            <w:hideMark/>
          </w:tcPr>
          <w:p w14:paraId="394C1BF5" w14:textId="77777777" w:rsidR="00000000" w:rsidRDefault="00A173A8">
            <w:pPr>
              <w:spacing w:after="100"/>
              <w:rPr>
                <w:rFonts w:eastAsia="Times New Roman"/>
                <w:sz w:val="20"/>
                <w:szCs w:val="20"/>
              </w:rPr>
            </w:pPr>
          </w:p>
        </w:tc>
        <w:tc>
          <w:tcPr>
            <w:tcW w:w="0" w:type="auto"/>
            <w:gridSpan w:val="3"/>
            <w:vAlign w:val="center"/>
            <w:hideMark/>
          </w:tcPr>
          <w:p w14:paraId="37D9543B" w14:textId="77777777" w:rsidR="00000000" w:rsidRDefault="00A173A8">
            <w:pPr>
              <w:spacing w:after="100"/>
              <w:rPr>
                <w:rFonts w:eastAsia="Times New Roman"/>
                <w:sz w:val="20"/>
                <w:szCs w:val="20"/>
              </w:rPr>
            </w:pPr>
          </w:p>
        </w:tc>
        <w:tc>
          <w:tcPr>
            <w:tcW w:w="0" w:type="auto"/>
            <w:vAlign w:val="center"/>
            <w:hideMark/>
          </w:tcPr>
          <w:p w14:paraId="27812730" w14:textId="77777777" w:rsidR="00000000" w:rsidRDefault="00A173A8">
            <w:pPr>
              <w:spacing w:after="100"/>
              <w:rPr>
                <w:rFonts w:eastAsia="Times New Roman"/>
                <w:sz w:val="20"/>
                <w:szCs w:val="20"/>
              </w:rPr>
            </w:pPr>
          </w:p>
        </w:tc>
        <w:tc>
          <w:tcPr>
            <w:tcW w:w="0" w:type="auto"/>
            <w:vAlign w:val="center"/>
            <w:hideMark/>
          </w:tcPr>
          <w:p w14:paraId="20C9286B" w14:textId="77777777" w:rsidR="00000000" w:rsidRDefault="00A173A8">
            <w:pPr>
              <w:spacing w:after="100"/>
              <w:rPr>
                <w:rFonts w:eastAsia="Times New Roman"/>
                <w:sz w:val="20"/>
                <w:szCs w:val="20"/>
              </w:rPr>
            </w:pPr>
          </w:p>
        </w:tc>
        <w:tc>
          <w:tcPr>
            <w:tcW w:w="0" w:type="auto"/>
            <w:gridSpan w:val="3"/>
            <w:vAlign w:val="center"/>
            <w:hideMark/>
          </w:tcPr>
          <w:p w14:paraId="60204B63" w14:textId="77777777" w:rsidR="00000000" w:rsidRDefault="00A173A8">
            <w:pPr>
              <w:spacing w:after="100"/>
              <w:rPr>
                <w:rFonts w:eastAsia="Times New Roman"/>
                <w:sz w:val="20"/>
                <w:szCs w:val="20"/>
              </w:rPr>
            </w:pPr>
          </w:p>
        </w:tc>
        <w:tc>
          <w:tcPr>
            <w:tcW w:w="0" w:type="auto"/>
            <w:gridSpan w:val="3"/>
            <w:vAlign w:val="center"/>
            <w:hideMark/>
          </w:tcPr>
          <w:p w14:paraId="51F90FD9" w14:textId="77777777" w:rsidR="00000000" w:rsidRDefault="00A173A8">
            <w:pPr>
              <w:spacing w:after="100"/>
              <w:rPr>
                <w:rFonts w:eastAsia="Times New Roman"/>
                <w:sz w:val="20"/>
                <w:szCs w:val="20"/>
              </w:rPr>
            </w:pPr>
          </w:p>
        </w:tc>
        <w:tc>
          <w:tcPr>
            <w:tcW w:w="0" w:type="auto"/>
            <w:gridSpan w:val="3"/>
            <w:vAlign w:val="center"/>
            <w:hideMark/>
          </w:tcPr>
          <w:p w14:paraId="5AE1CD79" w14:textId="77777777" w:rsidR="00000000" w:rsidRDefault="00A173A8">
            <w:pPr>
              <w:spacing w:after="100"/>
              <w:rPr>
                <w:rFonts w:eastAsia="Times New Roman"/>
                <w:sz w:val="20"/>
                <w:szCs w:val="20"/>
              </w:rPr>
            </w:pPr>
          </w:p>
        </w:tc>
        <w:tc>
          <w:tcPr>
            <w:tcW w:w="0" w:type="auto"/>
            <w:gridSpan w:val="3"/>
            <w:vAlign w:val="center"/>
            <w:hideMark/>
          </w:tcPr>
          <w:p w14:paraId="23948C67" w14:textId="77777777" w:rsidR="00000000" w:rsidRDefault="00A173A8">
            <w:pPr>
              <w:spacing w:after="100"/>
              <w:rPr>
                <w:rFonts w:eastAsia="Times New Roman"/>
                <w:sz w:val="20"/>
                <w:szCs w:val="20"/>
              </w:rPr>
            </w:pPr>
          </w:p>
        </w:tc>
      </w:tr>
      <w:tr w:rsidR="00000000" w14:paraId="551A52FD" w14:textId="77777777">
        <w:trPr>
          <w:divId w:val="1452439917"/>
        </w:trPr>
        <w:tc>
          <w:tcPr>
            <w:tcW w:w="0" w:type="auto"/>
            <w:gridSpan w:val="3"/>
            <w:vAlign w:val="center"/>
            <w:hideMark/>
          </w:tcPr>
          <w:p w14:paraId="3077289B" w14:textId="77777777" w:rsidR="00000000" w:rsidRDefault="00A173A8">
            <w:pPr>
              <w:spacing w:after="100"/>
              <w:rPr>
                <w:rFonts w:eastAsia="Times New Roman"/>
                <w:sz w:val="20"/>
                <w:szCs w:val="20"/>
              </w:rPr>
            </w:pPr>
          </w:p>
        </w:tc>
        <w:tc>
          <w:tcPr>
            <w:tcW w:w="0" w:type="auto"/>
            <w:gridSpan w:val="3"/>
            <w:vAlign w:val="center"/>
            <w:hideMark/>
          </w:tcPr>
          <w:p w14:paraId="665D9374" w14:textId="77777777" w:rsidR="00000000" w:rsidRDefault="00A173A8">
            <w:pPr>
              <w:spacing w:after="100"/>
              <w:rPr>
                <w:rFonts w:eastAsia="Times New Roman"/>
                <w:sz w:val="20"/>
                <w:szCs w:val="20"/>
              </w:rPr>
            </w:pPr>
          </w:p>
        </w:tc>
        <w:tc>
          <w:tcPr>
            <w:tcW w:w="0" w:type="auto"/>
            <w:gridSpan w:val="3"/>
            <w:vAlign w:val="center"/>
            <w:hideMark/>
          </w:tcPr>
          <w:p w14:paraId="2EEEBE7B" w14:textId="77777777" w:rsidR="00000000" w:rsidRDefault="00A173A8">
            <w:pPr>
              <w:spacing w:after="100"/>
              <w:rPr>
                <w:rFonts w:eastAsia="Times New Roman"/>
                <w:sz w:val="20"/>
                <w:szCs w:val="20"/>
              </w:rPr>
            </w:pPr>
          </w:p>
        </w:tc>
        <w:tc>
          <w:tcPr>
            <w:tcW w:w="0" w:type="auto"/>
            <w:gridSpan w:val="3"/>
            <w:vAlign w:val="center"/>
            <w:hideMark/>
          </w:tcPr>
          <w:p w14:paraId="180E3965" w14:textId="77777777" w:rsidR="00000000" w:rsidRDefault="00A173A8">
            <w:pPr>
              <w:spacing w:after="100"/>
              <w:rPr>
                <w:rFonts w:eastAsia="Times New Roman"/>
                <w:sz w:val="20"/>
                <w:szCs w:val="20"/>
              </w:rPr>
            </w:pPr>
          </w:p>
        </w:tc>
        <w:tc>
          <w:tcPr>
            <w:tcW w:w="0" w:type="auto"/>
            <w:gridSpan w:val="3"/>
            <w:vAlign w:val="center"/>
            <w:hideMark/>
          </w:tcPr>
          <w:p w14:paraId="74BCA0D2" w14:textId="77777777" w:rsidR="00000000" w:rsidRDefault="00A173A8">
            <w:pPr>
              <w:spacing w:after="100"/>
              <w:rPr>
                <w:rFonts w:eastAsia="Times New Roman"/>
                <w:sz w:val="20"/>
                <w:szCs w:val="20"/>
              </w:rPr>
            </w:pPr>
          </w:p>
        </w:tc>
        <w:tc>
          <w:tcPr>
            <w:tcW w:w="0" w:type="auto"/>
            <w:gridSpan w:val="3"/>
            <w:vAlign w:val="center"/>
            <w:hideMark/>
          </w:tcPr>
          <w:p w14:paraId="03727CEC" w14:textId="77777777" w:rsidR="00000000" w:rsidRDefault="00A173A8">
            <w:pPr>
              <w:spacing w:after="100"/>
              <w:rPr>
                <w:rFonts w:eastAsia="Times New Roman"/>
                <w:sz w:val="20"/>
                <w:szCs w:val="20"/>
              </w:rPr>
            </w:pPr>
          </w:p>
        </w:tc>
        <w:tc>
          <w:tcPr>
            <w:tcW w:w="0" w:type="auto"/>
            <w:gridSpan w:val="3"/>
            <w:vAlign w:val="center"/>
            <w:hideMark/>
          </w:tcPr>
          <w:p w14:paraId="5A2F1B1C" w14:textId="77777777" w:rsidR="00000000" w:rsidRDefault="00A173A8">
            <w:pPr>
              <w:spacing w:after="100"/>
              <w:rPr>
                <w:rFonts w:eastAsia="Times New Roman"/>
                <w:sz w:val="20"/>
                <w:szCs w:val="20"/>
              </w:rPr>
            </w:pPr>
          </w:p>
        </w:tc>
        <w:tc>
          <w:tcPr>
            <w:tcW w:w="0" w:type="auto"/>
            <w:vAlign w:val="center"/>
            <w:hideMark/>
          </w:tcPr>
          <w:p w14:paraId="5C2FF5E9" w14:textId="77777777" w:rsidR="00000000" w:rsidRDefault="00A173A8">
            <w:pPr>
              <w:spacing w:after="100"/>
              <w:rPr>
                <w:rFonts w:eastAsia="Times New Roman"/>
                <w:sz w:val="20"/>
                <w:szCs w:val="20"/>
              </w:rPr>
            </w:pPr>
          </w:p>
        </w:tc>
        <w:tc>
          <w:tcPr>
            <w:tcW w:w="0" w:type="auto"/>
            <w:vAlign w:val="center"/>
            <w:hideMark/>
          </w:tcPr>
          <w:p w14:paraId="36F9C556" w14:textId="77777777" w:rsidR="00000000" w:rsidRDefault="00A173A8">
            <w:pPr>
              <w:spacing w:after="100"/>
              <w:rPr>
                <w:rFonts w:eastAsia="Times New Roman"/>
                <w:sz w:val="20"/>
                <w:szCs w:val="20"/>
              </w:rPr>
            </w:pPr>
          </w:p>
        </w:tc>
        <w:tc>
          <w:tcPr>
            <w:tcW w:w="0" w:type="auto"/>
            <w:gridSpan w:val="3"/>
            <w:vAlign w:val="center"/>
            <w:hideMark/>
          </w:tcPr>
          <w:p w14:paraId="271437FB" w14:textId="77777777" w:rsidR="00000000" w:rsidRDefault="00A173A8">
            <w:pPr>
              <w:spacing w:after="100"/>
              <w:rPr>
                <w:rFonts w:eastAsia="Times New Roman"/>
                <w:sz w:val="20"/>
                <w:szCs w:val="20"/>
              </w:rPr>
            </w:pPr>
          </w:p>
        </w:tc>
        <w:tc>
          <w:tcPr>
            <w:tcW w:w="0" w:type="auto"/>
            <w:gridSpan w:val="3"/>
            <w:vAlign w:val="center"/>
            <w:hideMark/>
          </w:tcPr>
          <w:p w14:paraId="4DB45374" w14:textId="77777777" w:rsidR="00000000" w:rsidRDefault="00A173A8">
            <w:pPr>
              <w:spacing w:after="100"/>
              <w:rPr>
                <w:rFonts w:eastAsia="Times New Roman"/>
                <w:sz w:val="20"/>
                <w:szCs w:val="20"/>
              </w:rPr>
            </w:pPr>
          </w:p>
        </w:tc>
        <w:tc>
          <w:tcPr>
            <w:tcW w:w="0" w:type="auto"/>
            <w:gridSpan w:val="3"/>
            <w:vAlign w:val="center"/>
            <w:hideMark/>
          </w:tcPr>
          <w:p w14:paraId="19F2569E" w14:textId="77777777" w:rsidR="00000000" w:rsidRDefault="00A173A8">
            <w:pPr>
              <w:spacing w:after="100"/>
              <w:rPr>
                <w:rFonts w:eastAsia="Times New Roman"/>
                <w:sz w:val="20"/>
                <w:szCs w:val="20"/>
              </w:rPr>
            </w:pPr>
          </w:p>
        </w:tc>
        <w:tc>
          <w:tcPr>
            <w:tcW w:w="0" w:type="auto"/>
            <w:gridSpan w:val="3"/>
            <w:vAlign w:val="center"/>
            <w:hideMark/>
          </w:tcPr>
          <w:p w14:paraId="00F1BE33" w14:textId="77777777" w:rsidR="00000000" w:rsidRDefault="00A173A8">
            <w:pPr>
              <w:spacing w:after="100"/>
              <w:rPr>
                <w:rFonts w:eastAsia="Times New Roman"/>
                <w:sz w:val="20"/>
                <w:szCs w:val="20"/>
              </w:rPr>
            </w:pPr>
          </w:p>
        </w:tc>
      </w:tr>
      <w:tr w:rsidR="00000000" w14:paraId="28056F4F" w14:textId="77777777">
        <w:trPr>
          <w:divId w:val="1452439917"/>
        </w:trPr>
        <w:tc>
          <w:tcPr>
            <w:tcW w:w="0" w:type="auto"/>
            <w:gridSpan w:val="3"/>
            <w:vAlign w:val="center"/>
            <w:hideMark/>
          </w:tcPr>
          <w:p w14:paraId="6DEE910B" w14:textId="77777777" w:rsidR="00000000" w:rsidRDefault="00A173A8">
            <w:pPr>
              <w:spacing w:after="100"/>
              <w:rPr>
                <w:rFonts w:eastAsia="Times New Roman"/>
                <w:sz w:val="20"/>
                <w:szCs w:val="20"/>
              </w:rPr>
            </w:pPr>
          </w:p>
        </w:tc>
        <w:tc>
          <w:tcPr>
            <w:tcW w:w="0" w:type="auto"/>
            <w:gridSpan w:val="3"/>
            <w:vAlign w:val="center"/>
            <w:hideMark/>
          </w:tcPr>
          <w:p w14:paraId="743F5631" w14:textId="77777777" w:rsidR="00000000" w:rsidRDefault="00A173A8">
            <w:pPr>
              <w:spacing w:after="100"/>
              <w:rPr>
                <w:rFonts w:eastAsia="Times New Roman"/>
                <w:sz w:val="20"/>
                <w:szCs w:val="20"/>
              </w:rPr>
            </w:pPr>
          </w:p>
        </w:tc>
        <w:tc>
          <w:tcPr>
            <w:tcW w:w="0" w:type="auto"/>
            <w:gridSpan w:val="3"/>
            <w:vAlign w:val="center"/>
            <w:hideMark/>
          </w:tcPr>
          <w:p w14:paraId="3CDA981A" w14:textId="77777777" w:rsidR="00000000" w:rsidRDefault="00A173A8">
            <w:pPr>
              <w:spacing w:after="100"/>
              <w:rPr>
                <w:rFonts w:eastAsia="Times New Roman"/>
                <w:sz w:val="20"/>
                <w:szCs w:val="20"/>
              </w:rPr>
            </w:pPr>
          </w:p>
        </w:tc>
        <w:tc>
          <w:tcPr>
            <w:tcW w:w="0" w:type="auto"/>
            <w:gridSpan w:val="3"/>
            <w:vAlign w:val="center"/>
            <w:hideMark/>
          </w:tcPr>
          <w:p w14:paraId="2909F27E" w14:textId="77777777" w:rsidR="00000000" w:rsidRDefault="00A173A8">
            <w:pPr>
              <w:spacing w:after="100"/>
              <w:rPr>
                <w:rFonts w:eastAsia="Times New Roman"/>
                <w:sz w:val="20"/>
                <w:szCs w:val="20"/>
              </w:rPr>
            </w:pPr>
          </w:p>
        </w:tc>
        <w:tc>
          <w:tcPr>
            <w:tcW w:w="0" w:type="auto"/>
            <w:gridSpan w:val="3"/>
            <w:vAlign w:val="center"/>
            <w:hideMark/>
          </w:tcPr>
          <w:p w14:paraId="7DA88577" w14:textId="77777777" w:rsidR="00000000" w:rsidRDefault="00A173A8">
            <w:pPr>
              <w:spacing w:after="100"/>
              <w:rPr>
                <w:rFonts w:eastAsia="Times New Roman"/>
                <w:sz w:val="20"/>
                <w:szCs w:val="20"/>
              </w:rPr>
            </w:pPr>
          </w:p>
        </w:tc>
        <w:tc>
          <w:tcPr>
            <w:tcW w:w="0" w:type="auto"/>
            <w:gridSpan w:val="3"/>
            <w:vAlign w:val="center"/>
            <w:hideMark/>
          </w:tcPr>
          <w:p w14:paraId="45152130" w14:textId="77777777" w:rsidR="00000000" w:rsidRDefault="00A173A8">
            <w:pPr>
              <w:spacing w:after="100"/>
              <w:rPr>
                <w:rFonts w:eastAsia="Times New Roman"/>
                <w:sz w:val="20"/>
                <w:szCs w:val="20"/>
              </w:rPr>
            </w:pPr>
          </w:p>
        </w:tc>
        <w:tc>
          <w:tcPr>
            <w:tcW w:w="0" w:type="auto"/>
            <w:gridSpan w:val="3"/>
            <w:vAlign w:val="center"/>
            <w:hideMark/>
          </w:tcPr>
          <w:p w14:paraId="56A70B1F" w14:textId="77777777" w:rsidR="00000000" w:rsidRDefault="00A173A8">
            <w:pPr>
              <w:spacing w:after="100"/>
              <w:rPr>
                <w:rFonts w:eastAsia="Times New Roman"/>
                <w:sz w:val="20"/>
                <w:szCs w:val="20"/>
              </w:rPr>
            </w:pPr>
          </w:p>
        </w:tc>
        <w:tc>
          <w:tcPr>
            <w:tcW w:w="0" w:type="auto"/>
            <w:vAlign w:val="center"/>
            <w:hideMark/>
          </w:tcPr>
          <w:p w14:paraId="6162988C" w14:textId="77777777" w:rsidR="00000000" w:rsidRDefault="00A173A8">
            <w:pPr>
              <w:spacing w:after="100"/>
              <w:rPr>
                <w:rFonts w:eastAsia="Times New Roman"/>
                <w:sz w:val="20"/>
                <w:szCs w:val="20"/>
              </w:rPr>
            </w:pPr>
          </w:p>
        </w:tc>
        <w:tc>
          <w:tcPr>
            <w:tcW w:w="0" w:type="auto"/>
            <w:vAlign w:val="center"/>
            <w:hideMark/>
          </w:tcPr>
          <w:p w14:paraId="1E832F78" w14:textId="77777777" w:rsidR="00000000" w:rsidRDefault="00A173A8">
            <w:pPr>
              <w:spacing w:after="100"/>
              <w:rPr>
                <w:rFonts w:eastAsia="Times New Roman"/>
                <w:sz w:val="20"/>
                <w:szCs w:val="20"/>
              </w:rPr>
            </w:pPr>
          </w:p>
        </w:tc>
        <w:tc>
          <w:tcPr>
            <w:tcW w:w="0" w:type="auto"/>
            <w:gridSpan w:val="3"/>
            <w:vAlign w:val="center"/>
            <w:hideMark/>
          </w:tcPr>
          <w:p w14:paraId="29C0C4B2" w14:textId="77777777" w:rsidR="00000000" w:rsidRDefault="00A173A8">
            <w:pPr>
              <w:spacing w:after="100"/>
              <w:rPr>
                <w:rFonts w:eastAsia="Times New Roman"/>
                <w:sz w:val="20"/>
                <w:szCs w:val="20"/>
              </w:rPr>
            </w:pPr>
          </w:p>
        </w:tc>
        <w:tc>
          <w:tcPr>
            <w:tcW w:w="0" w:type="auto"/>
            <w:gridSpan w:val="3"/>
            <w:vAlign w:val="center"/>
            <w:hideMark/>
          </w:tcPr>
          <w:p w14:paraId="634699AF" w14:textId="77777777" w:rsidR="00000000" w:rsidRDefault="00A173A8">
            <w:pPr>
              <w:spacing w:after="100"/>
              <w:rPr>
                <w:rFonts w:eastAsia="Times New Roman"/>
                <w:sz w:val="20"/>
                <w:szCs w:val="20"/>
              </w:rPr>
            </w:pPr>
          </w:p>
        </w:tc>
        <w:tc>
          <w:tcPr>
            <w:tcW w:w="0" w:type="auto"/>
            <w:gridSpan w:val="3"/>
            <w:vAlign w:val="center"/>
            <w:hideMark/>
          </w:tcPr>
          <w:p w14:paraId="2682B12F" w14:textId="77777777" w:rsidR="00000000" w:rsidRDefault="00A173A8">
            <w:pPr>
              <w:spacing w:after="100"/>
              <w:rPr>
                <w:rFonts w:eastAsia="Times New Roman"/>
                <w:sz w:val="20"/>
                <w:szCs w:val="20"/>
              </w:rPr>
            </w:pPr>
          </w:p>
        </w:tc>
        <w:tc>
          <w:tcPr>
            <w:tcW w:w="0" w:type="auto"/>
            <w:gridSpan w:val="3"/>
            <w:vAlign w:val="center"/>
            <w:hideMark/>
          </w:tcPr>
          <w:p w14:paraId="7ED40D0C" w14:textId="77777777" w:rsidR="00000000" w:rsidRDefault="00A173A8">
            <w:pPr>
              <w:spacing w:after="100"/>
              <w:rPr>
                <w:rFonts w:eastAsia="Times New Roman"/>
                <w:sz w:val="20"/>
                <w:szCs w:val="20"/>
              </w:rPr>
            </w:pPr>
          </w:p>
        </w:tc>
      </w:tr>
      <w:tr w:rsidR="00000000" w14:paraId="2991DB74" w14:textId="77777777">
        <w:trPr>
          <w:divId w:val="1452439917"/>
        </w:trPr>
        <w:tc>
          <w:tcPr>
            <w:tcW w:w="0" w:type="auto"/>
            <w:gridSpan w:val="3"/>
            <w:vAlign w:val="center"/>
            <w:hideMark/>
          </w:tcPr>
          <w:p w14:paraId="738BFD8B" w14:textId="77777777" w:rsidR="00000000" w:rsidRDefault="00A173A8">
            <w:pPr>
              <w:spacing w:after="100"/>
              <w:rPr>
                <w:rFonts w:eastAsia="Times New Roman"/>
                <w:sz w:val="20"/>
                <w:szCs w:val="20"/>
              </w:rPr>
            </w:pPr>
          </w:p>
        </w:tc>
        <w:tc>
          <w:tcPr>
            <w:tcW w:w="0" w:type="auto"/>
            <w:gridSpan w:val="3"/>
            <w:vAlign w:val="center"/>
            <w:hideMark/>
          </w:tcPr>
          <w:p w14:paraId="5C8AA126" w14:textId="77777777" w:rsidR="00000000" w:rsidRDefault="00A173A8">
            <w:pPr>
              <w:spacing w:after="100"/>
              <w:rPr>
                <w:rFonts w:eastAsia="Times New Roman"/>
                <w:sz w:val="20"/>
                <w:szCs w:val="20"/>
              </w:rPr>
            </w:pPr>
          </w:p>
        </w:tc>
        <w:tc>
          <w:tcPr>
            <w:tcW w:w="0" w:type="auto"/>
            <w:gridSpan w:val="3"/>
            <w:vAlign w:val="center"/>
            <w:hideMark/>
          </w:tcPr>
          <w:p w14:paraId="4D551F1F" w14:textId="77777777" w:rsidR="00000000" w:rsidRDefault="00A173A8">
            <w:pPr>
              <w:spacing w:after="100"/>
              <w:rPr>
                <w:rFonts w:eastAsia="Times New Roman"/>
                <w:sz w:val="20"/>
                <w:szCs w:val="20"/>
              </w:rPr>
            </w:pPr>
          </w:p>
        </w:tc>
        <w:tc>
          <w:tcPr>
            <w:tcW w:w="0" w:type="auto"/>
            <w:gridSpan w:val="3"/>
            <w:vAlign w:val="center"/>
            <w:hideMark/>
          </w:tcPr>
          <w:p w14:paraId="5597CCD1" w14:textId="77777777" w:rsidR="00000000" w:rsidRDefault="00A173A8">
            <w:pPr>
              <w:spacing w:after="100"/>
              <w:rPr>
                <w:rFonts w:eastAsia="Times New Roman"/>
                <w:sz w:val="20"/>
                <w:szCs w:val="20"/>
              </w:rPr>
            </w:pPr>
          </w:p>
        </w:tc>
        <w:tc>
          <w:tcPr>
            <w:tcW w:w="0" w:type="auto"/>
            <w:gridSpan w:val="3"/>
            <w:vAlign w:val="center"/>
            <w:hideMark/>
          </w:tcPr>
          <w:p w14:paraId="3B993EA0" w14:textId="77777777" w:rsidR="00000000" w:rsidRDefault="00A173A8">
            <w:pPr>
              <w:spacing w:after="100"/>
              <w:rPr>
                <w:rFonts w:eastAsia="Times New Roman"/>
                <w:sz w:val="20"/>
                <w:szCs w:val="20"/>
              </w:rPr>
            </w:pPr>
          </w:p>
        </w:tc>
        <w:tc>
          <w:tcPr>
            <w:tcW w:w="0" w:type="auto"/>
            <w:gridSpan w:val="3"/>
            <w:vAlign w:val="center"/>
            <w:hideMark/>
          </w:tcPr>
          <w:p w14:paraId="01044BA8" w14:textId="77777777" w:rsidR="00000000" w:rsidRDefault="00A173A8">
            <w:pPr>
              <w:spacing w:after="100"/>
              <w:rPr>
                <w:rFonts w:eastAsia="Times New Roman"/>
                <w:sz w:val="20"/>
                <w:szCs w:val="20"/>
              </w:rPr>
            </w:pPr>
          </w:p>
        </w:tc>
        <w:tc>
          <w:tcPr>
            <w:tcW w:w="0" w:type="auto"/>
            <w:gridSpan w:val="3"/>
            <w:vAlign w:val="center"/>
            <w:hideMark/>
          </w:tcPr>
          <w:p w14:paraId="1CD7231B" w14:textId="77777777" w:rsidR="00000000" w:rsidRDefault="00A173A8">
            <w:pPr>
              <w:spacing w:after="100"/>
              <w:rPr>
                <w:rFonts w:eastAsia="Times New Roman"/>
                <w:sz w:val="20"/>
                <w:szCs w:val="20"/>
              </w:rPr>
            </w:pPr>
          </w:p>
        </w:tc>
        <w:tc>
          <w:tcPr>
            <w:tcW w:w="0" w:type="auto"/>
            <w:vAlign w:val="center"/>
            <w:hideMark/>
          </w:tcPr>
          <w:p w14:paraId="046A89B2" w14:textId="77777777" w:rsidR="00000000" w:rsidRDefault="00A173A8">
            <w:pPr>
              <w:spacing w:after="100"/>
              <w:rPr>
                <w:rFonts w:eastAsia="Times New Roman"/>
                <w:sz w:val="20"/>
                <w:szCs w:val="20"/>
              </w:rPr>
            </w:pPr>
          </w:p>
        </w:tc>
        <w:tc>
          <w:tcPr>
            <w:tcW w:w="0" w:type="auto"/>
            <w:vAlign w:val="center"/>
            <w:hideMark/>
          </w:tcPr>
          <w:p w14:paraId="06312A34" w14:textId="77777777" w:rsidR="00000000" w:rsidRDefault="00A173A8">
            <w:pPr>
              <w:spacing w:after="100"/>
              <w:rPr>
                <w:rFonts w:eastAsia="Times New Roman"/>
                <w:sz w:val="20"/>
                <w:szCs w:val="20"/>
              </w:rPr>
            </w:pPr>
          </w:p>
        </w:tc>
        <w:tc>
          <w:tcPr>
            <w:tcW w:w="0" w:type="auto"/>
            <w:gridSpan w:val="3"/>
            <w:vAlign w:val="center"/>
            <w:hideMark/>
          </w:tcPr>
          <w:p w14:paraId="272CAF06" w14:textId="77777777" w:rsidR="00000000" w:rsidRDefault="00A173A8">
            <w:pPr>
              <w:spacing w:after="100"/>
              <w:rPr>
                <w:rFonts w:eastAsia="Times New Roman"/>
                <w:sz w:val="20"/>
                <w:szCs w:val="20"/>
              </w:rPr>
            </w:pPr>
          </w:p>
        </w:tc>
        <w:tc>
          <w:tcPr>
            <w:tcW w:w="0" w:type="auto"/>
            <w:gridSpan w:val="3"/>
            <w:vAlign w:val="center"/>
            <w:hideMark/>
          </w:tcPr>
          <w:p w14:paraId="784335C2" w14:textId="77777777" w:rsidR="00000000" w:rsidRDefault="00A173A8">
            <w:pPr>
              <w:spacing w:after="100"/>
              <w:rPr>
                <w:rFonts w:eastAsia="Times New Roman"/>
                <w:sz w:val="20"/>
                <w:szCs w:val="20"/>
              </w:rPr>
            </w:pPr>
          </w:p>
        </w:tc>
        <w:tc>
          <w:tcPr>
            <w:tcW w:w="0" w:type="auto"/>
            <w:gridSpan w:val="3"/>
            <w:vAlign w:val="center"/>
            <w:hideMark/>
          </w:tcPr>
          <w:p w14:paraId="45723AFD" w14:textId="77777777" w:rsidR="00000000" w:rsidRDefault="00A173A8">
            <w:pPr>
              <w:spacing w:after="100"/>
              <w:rPr>
                <w:rFonts w:eastAsia="Times New Roman"/>
                <w:sz w:val="20"/>
                <w:szCs w:val="20"/>
              </w:rPr>
            </w:pPr>
          </w:p>
        </w:tc>
        <w:tc>
          <w:tcPr>
            <w:tcW w:w="0" w:type="auto"/>
            <w:gridSpan w:val="3"/>
            <w:vAlign w:val="center"/>
            <w:hideMark/>
          </w:tcPr>
          <w:p w14:paraId="4A4DE688" w14:textId="77777777" w:rsidR="00000000" w:rsidRDefault="00A173A8">
            <w:pPr>
              <w:spacing w:after="100"/>
              <w:rPr>
                <w:rFonts w:eastAsia="Times New Roman"/>
                <w:sz w:val="20"/>
                <w:szCs w:val="20"/>
              </w:rPr>
            </w:pPr>
          </w:p>
        </w:tc>
      </w:tr>
      <w:tr w:rsidR="00000000" w14:paraId="55CAA2C1" w14:textId="77777777">
        <w:trPr>
          <w:divId w:val="1452439917"/>
        </w:trPr>
        <w:tc>
          <w:tcPr>
            <w:tcW w:w="0" w:type="auto"/>
            <w:gridSpan w:val="3"/>
            <w:vAlign w:val="center"/>
            <w:hideMark/>
          </w:tcPr>
          <w:p w14:paraId="5B9CC822" w14:textId="77777777" w:rsidR="00000000" w:rsidRDefault="00A173A8">
            <w:pPr>
              <w:spacing w:after="100"/>
              <w:rPr>
                <w:rFonts w:eastAsia="Times New Roman"/>
                <w:sz w:val="20"/>
                <w:szCs w:val="20"/>
              </w:rPr>
            </w:pPr>
          </w:p>
        </w:tc>
        <w:tc>
          <w:tcPr>
            <w:tcW w:w="0" w:type="auto"/>
            <w:gridSpan w:val="3"/>
            <w:vAlign w:val="center"/>
            <w:hideMark/>
          </w:tcPr>
          <w:p w14:paraId="28B695C6" w14:textId="77777777" w:rsidR="00000000" w:rsidRDefault="00A173A8">
            <w:pPr>
              <w:spacing w:after="100"/>
              <w:rPr>
                <w:rFonts w:eastAsia="Times New Roman"/>
                <w:sz w:val="20"/>
                <w:szCs w:val="20"/>
              </w:rPr>
            </w:pPr>
          </w:p>
        </w:tc>
        <w:tc>
          <w:tcPr>
            <w:tcW w:w="0" w:type="auto"/>
            <w:gridSpan w:val="3"/>
            <w:vAlign w:val="center"/>
            <w:hideMark/>
          </w:tcPr>
          <w:p w14:paraId="7F9C8319" w14:textId="77777777" w:rsidR="00000000" w:rsidRDefault="00A173A8">
            <w:pPr>
              <w:spacing w:after="100"/>
              <w:rPr>
                <w:rFonts w:eastAsia="Times New Roman"/>
                <w:sz w:val="20"/>
                <w:szCs w:val="20"/>
              </w:rPr>
            </w:pPr>
          </w:p>
        </w:tc>
        <w:tc>
          <w:tcPr>
            <w:tcW w:w="0" w:type="auto"/>
            <w:gridSpan w:val="3"/>
            <w:vAlign w:val="center"/>
            <w:hideMark/>
          </w:tcPr>
          <w:p w14:paraId="325E62CC" w14:textId="77777777" w:rsidR="00000000" w:rsidRDefault="00A173A8">
            <w:pPr>
              <w:spacing w:after="100"/>
              <w:rPr>
                <w:rFonts w:eastAsia="Times New Roman"/>
                <w:sz w:val="20"/>
                <w:szCs w:val="20"/>
              </w:rPr>
            </w:pPr>
          </w:p>
        </w:tc>
        <w:tc>
          <w:tcPr>
            <w:tcW w:w="0" w:type="auto"/>
            <w:gridSpan w:val="3"/>
            <w:vAlign w:val="center"/>
            <w:hideMark/>
          </w:tcPr>
          <w:p w14:paraId="6A010ABE" w14:textId="77777777" w:rsidR="00000000" w:rsidRDefault="00A173A8">
            <w:pPr>
              <w:spacing w:after="100"/>
              <w:rPr>
                <w:rFonts w:eastAsia="Times New Roman"/>
                <w:sz w:val="20"/>
                <w:szCs w:val="20"/>
              </w:rPr>
            </w:pPr>
          </w:p>
        </w:tc>
        <w:tc>
          <w:tcPr>
            <w:tcW w:w="0" w:type="auto"/>
            <w:gridSpan w:val="3"/>
            <w:vAlign w:val="center"/>
            <w:hideMark/>
          </w:tcPr>
          <w:p w14:paraId="450604AC" w14:textId="77777777" w:rsidR="00000000" w:rsidRDefault="00A173A8">
            <w:pPr>
              <w:spacing w:after="100"/>
              <w:rPr>
                <w:rFonts w:eastAsia="Times New Roman"/>
                <w:sz w:val="20"/>
                <w:szCs w:val="20"/>
              </w:rPr>
            </w:pPr>
          </w:p>
        </w:tc>
        <w:tc>
          <w:tcPr>
            <w:tcW w:w="0" w:type="auto"/>
            <w:gridSpan w:val="3"/>
            <w:vAlign w:val="center"/>
            <w:hideMark/>
          </w:tcPr>
          <w:p w14:paraId="12EE18AC" w14:textId="77777777" w:rsidR="00000000" w:rsidRDefault="00A173A8">
            <w:pPr>
              <w:spacing w:after="100"/>
              <w:rPr>
                <w:rFonts w:eastAsia="Times New Roman"/>
                <w:sz w:val="20"/>
                <w:szCs w:val="20"/>
              </w:rPr>
            </w:pPr>
          </w:p>
        </w:tc>
        <w:tc>
          <w:tcPr>
            <w:tcW w:w="0" w:type="auto"/>
            <w:vAlign w:val="center"/>
            <w:hideMark/>
          </w:tcPr>
          <w:p w14:paraId="53353E53" w14:textId="77777777" w:rsidR="00000000" w:rsidRDefault="00A173A8">
            <w:pPr>
              <w:spacing w:after="100"/>
              <w:rPr>
                <w:rFonts w:eastAsia="Times New Roman"/>
                <w:sz w:val="20"/>
                <w:szCs w:val="20"/>
              </w:rPr>
            </w:pPr>
          </w:p>
        </w:tc>
        <w:tc>
          <w:tcPr>
            <w:tcW w:w="0" w:type="auto"/>
            <w:vAlign w:val="center"/>
            <w:hideMark/>
          </w:tcPr>
          <w:p w14:paraId="3CA4C6B3" w14:textId="77777777" w:rsidR="00000000" w:rsidRDefault="00A173A8">
            <w:pPr>
              <w:spacing w:after="100"/>
              <w:rPr>
                <w:rFonts w:eastAsia="Times New Roman"/>
                <w:sz w:val="20"/>
                <w:szCs w:val="20"/>
              </w:rPr>
            </w:pPr>
          </w:p>
        </w:tc>
        <w:tc>
          <w:tcPr>
            <w:tcW w:w="0" w:type="auto"/>
            <w:gridSpan w:val="3"/>
            <w:vAlign w:val="center"/>
            <w:hideMark/>
          </w:tcPr>
          <w:p w14:paraId="1867A4FC" w14:textId="77777777" w:rsidR="00000000" w:rsidRDefault="00A173A8">
            <w:pPr>
              <w:spacing w:after="100"/>
              <w:rPr>
                <w:rFonts w:eastAsia="Times New Roman"/>
                <w:sz w:val="20"/>
                <w:szCs w:val="20"/>
              </w:rPr>
            </w:pPr>
          </w:p>
        </w:tc>
        <w:tc>
          <w:tcPr>
            <w:tcW w:w="0" w:type="auto"/>
            <w:gridSpan w:val="3"/>
            <w:vAlign w:val="center"/>
            <w:hideMark/>
          </w:tcPr>
          <w:p w14:paraId="5B3116DC" w14:textId="77777777" w:rsidR="00000000" w:rsidRDefault="00A173A8">
            <w:pPr>
              <w:spacing w:after="100"/>
              <w:rPr>
                <w:rFonts w:eastAsia="Times New Roman"/>
                <w:sz w:val="20"/>
                <w:szCs w:val="20"/>
              </w:rPr>
            </w:pPr>
          </w:p>
        </w:tc>
        <w:tc>
          <w:tcPr>
            <w:tcW w:w="0" w:type="auto"/>
            <w:gridSpan w:val="3"/>
            <w:vAlign w:val="center"/>
            <w:hideMark/>
          </w:tcPr>
          <w:p w14:paraId="0546E26C" w14:textId="77777777" w:rsidR="00000000" w:rsidRDefault="00A173A8">
            <w:pPr>
              <w:spacing w:after="100"/>
              <w:rPr>
                <w:rFonts w:eastAsia="Times New Roman"/>
                <w:sz w:val="20"/>
                <w:szCs w:val="20"/>
              </w:rPr>
            </w:pPr>
          </w:p>
        </w:tc>
        <w:tc>
          <w:tcPr>
            <w:tcW w:w="0" w:type="auto"/>
            <w:gridSpan w:val="3"/>
            <w:vAlign w:val="center"/>
            <w:hideMark/>
          </w:tcPr>
          <w:p w14:paraId="0B68FD50" w14:textId="77777777" w:rsidR="00000000" w:rsidRDefault="00A173A8">
            <w:pPr>
              <w:spacing w:after="100"/>
              <w:rPr>
                <w:rFonts w:eastAsia="Times New Roman"/>
                <w:sz w:val="20"/>
                <w:szCs w:val="20"/>
              </w:rPr>
            </w:pPr>
          </w:p>
        </w:tc>
      </w:tr>
      <w:tr w:rsidR="00000000" w14:paraId="6B314E29" w14:textId="77777777">
        <w:trPr>
          <w:divId w:val="145243991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9D2A4E5" w14:textId="77777777" w:rsidR="00000000" w:rsidRDefault="00A173A8">
            <w:pPr>
              <w:spacing w:after="100"/>
              <w:rPr>
                <w:rFonts w:eastAsia="Times New Roman"/>
              </w:rPr>
            </w:pPr>
            <w:r>
              <w:rPr>
                <w:rFonts w:eastAsia="Times New Roman"/>
                <w:color w:val="000000"/>
                <w:sz w:val="18"/>
                <w:szCs w:val="18"/>
              </w:rPr>
              <w:t>AOCI as of December 31, 2021</w:t>
            </w:r>
          </w:p>
        </w:tc>
        <w:tc>
          <w:tcPr>
            <w:tcW w:w="0" w:type="auto"/>
            <w:gridSpan w:val="3"/>
            <w:shd w:val="clear" w:color="auto" w:fill="CCEEFF"/>
            <w:tcMar>
              <w:top w:w="0" w:type="dxa"/>
              <w:left w:w="20" w:type="dxa"/>
              <w:bottom w:w="0" w:type="dxa"/>
              <w:right w:w="20" w:type="dxa"/>
            </w:tcMar>
            <w:vAlign w:val="center"/>
            <w:hideMark/>
          </w:tcPr>
          <w:p w14:paraId="010CDCC8"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7E943C"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409A8C0" w14:textId="77777777" w:rsidR="00000000" w:rsidRDefault="00A173A8">
            <w:pPr>
              <w:spacing w:after="100"/>
              <w:jc w:val="right"/>
              <w:rPr>
                <w:rFonts w:eastAsia="Times New Roman"/>
              </w:rPr>
            </w:pPr>
            <w:r>
              <w:rPr>
                <w:rFonts w:eastAsia="Times New Roman"/>
                <w:color w:val="000000"/>
                <w:sz w:val="18"/>
                <w:szCs w:val="18"/>
              </w:rPr>
              <w:t>297 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9BA2B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BE45F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08DBA8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83A1C5F" w14:textId="77777777" w:rsidR="00000000" w:rsidRDefault="00A173A8">
            <w:pPr>
              <w:spacing w:after="100"/>
              <w:jc w:val="right"/>
              <w:rPr>
                <w:rFonts w:eastAsia="Times New Roman"/>
              </w:rPr>
            </w:pPr>
            <w:r>
              <w:rPr>
                <w:rFonts w:eastAsia="Times New Roman"/>
                <w:color w:val="000000"/>
                <w:sz w:val="18"/>
                <w:szCs w:val="18"/>
              </w:rPr>
              <w:t>118 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85F32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402E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15F4BF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FF19DCB" w14:textId="77777777" w:rsidR="00000000" w:rsidRDefault="00A173A8">
            <w:pPr>
              <w:spacing w:after="100"/>
              <w:jc w:val="right"/>
              <w:rPr>
                <w:rFonts w:eastAsia="Times New Roman"/>
              </w:rPr>
            </w:pPr>
            <w:r>
              <w:rPr>
                <w:rFonts w:eastAsia="Times New Roman"/>
                <w:color w:val="000000"/>
                <w:sz w:val="18"/>
                <w:szCs w:val="18"/>
              </w:rPr>
              <w:t>(21)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3F3987" w14:textId="77777777" w:rsidR="00000000" w:rsidRDefault="00A173A8">
            <w:pPr>
              <w:spacing w:after="100"/>
              <w:jc w:val="right"/>
              <w:rPr>
                <w:rFonts w:eastAsia="Times New Roman"/>
              </w:rPr>
            </w:pPr>
          </w:p>
        </w:tc>
        <w:tc>
          <w:tcPr>
            <w:tcW w:w="0" w:type="auto"/>
            <w:vAlign w:val="center"/>
            <w:hideMark/>
          </w:tcPr>
          <w:p w14:paraId="0B8EE682" w14:textId="77777777" w:rsidR="00000000" w:rsidRDefault="00A173A8">
            <w:pPr>
              <w:spacing w:after="100"/>
              <w:jc w:val="right"/>
              <w:rPr>
                <w:rFonts w:eastAsia="Times New Roman"/>
                <w:sz w:val="20"/>
                <w:szCs w:val="20"/>
              </w:rPr>
            </w:pPr>
          </w:p>
        </w:tc>
        <w:tc>
          <w:tcPr>
            <w:tcW w:w="0" w:type="auto"/>
            <w:vAlign w:val="center"/>
            <w:hideMark/>
          </w:tcPr>
          <w:p w14:paraId="042DC36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ACEB8D" w14:textId="77777777" w:rsidR="00000000" w:rsidRDefault="00A173A8">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6D56A7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4626D29" w14:textId="77777777" w:rsidR="00000000" w:rsidRDefault="00A173A8">
            <w:pPr>
              <w:spacing w:after="100"/>
              <w:jc w:val="right"/>
              <w:rPr>
                <w:rFonts w:eastAsia="Times New Roman"/>
              </w:rPr>
            </w:pPr>
            <w:r>
              <w:rPr>
                <w:rFonts w:eastAsia="Times New Roman"/>
                <w:color w:val="000000"/>
                <w:sz w:val="18"/>
                <w:szCs w:val="18"/>
              </w:rPr>
              <w:t>(20)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02A97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D1A5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157839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55F527B" w14:textId="77777777" w:rsidR="00000000" w:rsidRDefault="00A173A8">
            <w:pPr>
              <w:spacing w:after="100"/>
              <w:jc w:val="right"/>
              <w:rPr>
                <w:rFonts w:eastAsia="Times New Roman"/>
              </w:rPr>
            </w:pPr>
            <w:r>
              <w:rPr>
                <w:rFonts w:eastAsia="Times New Roman"/>
                <w:color w:val="000000"/>
                <w:sz w:val="18"/>
                <w:szCs w:val="18"/>
              </w:rPr>
              <w:t>374 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4EBF561" w14:textId="77777777" w:rsidR="00000000" w:rsidRDefault="00A173A8">
            <w:pPr>
              <w:spacing w:after="100"/>
              <w:jc w:val="right"/>
              <w:rPr>
                <w:rFonts w:eastAsia="Times New Roman"/>
              </w:rPr>
            </w:pPr>
          </w:p>
        </w:tc>
      </w:tr>
      <w:tr w:rsidR="00000000" w14:paraId="3EB9A605" w14:textId="77777777">
        <w:trPr>
          <w:divId w:val="1452439917"/>
        </w:trPr>
        <w:tc>
          <w:tcPr>
            <w:tcW w:w="0" w:type="auto"/>
            <w:gridSpan w:val="3"/>
            <w:shd w:val="clear" w:color="auto" w:fill="FFFFFF"/>
            <w:tcMar>
              <w:top w:w="30" w:type="dxa"/>
              <w:left w:w="20" w:type="dxa"/>
              <w:bottom w:w="30" w:type="dxa"/>
              <w:right w:w="20" w:type="dxa"/>
            </w:tcMar>
            <w:vAlign w:val="center"/>
            <w:hideMark/>
          </w:tcPr>
          <w:p w14:paraId="5D905AC4" w14:textId="77777777" w:rsidR="00000000" w:rsidRDefault="00A173A8">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05F6E79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1F9C9D" w14:textId="77777777" w:rsidR="00000000" w:rsidRDefault="00A173A8">
            <w:pPr>
              <w:spacing w:after="100"/>
              <w:jc w:val="right"/>
              <w:rPr>
                <w:rFonts w:eastAsia="Times New Roman"/>
              </w:rPr>
            </w:pPr>
            <w:r>
              <w:rPr>
                <w:rFonts w:eastAsia="Times New Roman"/>
                <w:b/>
                <w:bCs/>
                <w:color w:val="000000"/>
                <w:sz w:val="18"/>
                <w:szCs w:val="18"/>
              </w:rPr>
              <w:t>(5,546)</w:t>
            </w:r>
          </w:p>
        </w:tc>
        <w:tc>
          <w:tcPr>
            <w:tcW w:w="0" w:type="auto"/>
            <w:shd w:val="clear" w:color="auto" w:fill="FFFFFF"/>
            <w:tcMar>
              <w:top w:w="30" w:type="dxa"/>
              <w:left w:w="0" w:type="dxa"/>
              <w:bottom w:w="30" w:type="dxa"/>
              <w:right w:w="20" w:type="dxa"/>
            </w:tcMar>
            <w:vAlign w:val="bottom"/>
            <w:hideMark/>
          </w:tcPr>
          <w:p w14:paraId="13C830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B019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77CC94" w14:textId="77777777" w:rsidR="00000000" w:rsidRDefault="00A173A8">
            <w:pPr>
              <w:spacing w:after="100"/>
              <w:jc w:val="right"/>
              <w:rPr>
                <w:rFonts w:eastAsia="Times New Roman"/>
              </w:rPr>
            </w:pPr>
            <w:r>
              <w:rPr>
                <w:rFonts w:eastAsia="Times New Roman"/>
                <w:b/>
                <w:bCs/>
                <w:color w:val="000000"/>
                <w:sz w:val="18"/>
                <w:szCs w:val="18"/>
              </w:rPr>
              <w:t>(1,535)</w:t>
            </w:r>
          </w:p>
        </w:tc>
        <w:tc>
          <w:tcPr>
            <w:tcW w:w="0" w:type="auto"/>
            <w:shd w:val="clear" w:color="auto" w:fill="FFFFFF"/>
            <w:tcMar>
              <w:top w:w="30" w:type="dxa"/>
              <w:left w:w="0" w:type="dxa"/>
              <w:bottom w:w="30" w:type="dxa"/>
              <w:right w:w="20" w:type="dxa"/>
            </w:tcMar>
            <w:vAlign w:val="bottom"/>
            <w:hideMark/>
          </w:tcPr>
          <w:p w14:paraId="2FF0066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31CC6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7C1783" w14:textId="77777777" w:rsidR="00000000" w:rsidRDefault="00A173A8">
            <w:pPr>
              <w:spacing w:after="100"/>
              <w:jc w:val="right"/>
              <w:rPr>
                <w:rFonts w:eastAsia="Times New Roman"/>
              </w:rPr>
            </w:pPr>
            <w:r>
              <w:rPr>
                <w:rFonts w:eastAsia="Times New Roman"/>
                <w:b/>
                <w:bCs/>
                <w:color w:val="000000"/>
                <w:sz w:val="18"/>
                <w:szCs w:val="18"/>
              </w:rPr>
              <w:t>(57)</w:t>
            </w:r>
          </w:p>
        </w:tc>
        <w:tc>
          <w:tcPr>
            <w:tcW w:w="0" w:type="auto"/>
            <w:shd w:val="clear" w:color="auto" w:fill="FFFFFF"/>
            <w:tcMar>
              <w:top w:w="30" w:type="dxa"/>
              <w:left w:w="0" w:type="dxa"/>
              <w:bottom w:w="30" w:type="dxa"/>
              <w:right w:w="20" w:type="dxa"/>
            </w:tcMar>
            <w:vAlign w:val="bottom"/>
            <w:hideMark/>
          </w:tcPr>
          <w:p w14:paraId="369ED2FC" w14:textId="77777777" w:rsidR="00000000" w:rsidRDefault="00A173A8">
            <w:pPr>
              <w:spacing w:after="100"/>
              <w:jc w:val="right"/>
              <w:rPr>
                <w:rFonts w:eastAsia="Times New Roman"/>
              </w:rPr>
            </w:pPr>
          </w:p>
        </w:tc>
        <w:tc>
          <w:tcPr>
            <w:tcW w:w="0" w:type="auto"/>
            <w:vAlign w:val="center"/>
            <w:hideMark/>
          </w:tcPr>
          <w:p w14:paraId="0610D196" w14:textId="77777777" w:rsidR="00000000" w:rsidRDefault="00A173A8">
            <w:pPr>
              <w:spacing w:after="100"/>
              <w:jc w:val="right"/>
              <w:rPr>
                <w:rFonts w:eastAsia="Times New Roman"/>
                <w:sz w:val="20"/>
                <w:szCs w:val="20"/>
              </w:rPr>
            </w:pPr>
          </w:p>
        </w:tc>
        <w:tc>
          <w:tcPr>
            <w:tcW w:w="0" w:type="auto"/>
            <w:vAlign w:val="center"/>
            <w:hideMark/>
          </w:tcPr>
          <w:p w14:paraId="4E45184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C0F26C" w14:textId="77777777" w:rsidR="00000000" w:rsidRDefault="00A173A8">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20ED8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453B2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AD1E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52A3F8" w14:textId="77777777" w:rsidR="00000000" w:rsidRDefault="00A173A8">
            <w:pPr>
              <w:spacing w:after="100"/>
              <w:jc w:val="right"/>
              <w:rPr>
                <w:rFonts w:eastAsia="Times New Roman"/>
              </w:rPr>
            </w:pPr>
            <w:r>
              <w:rPr>
                <w:rFonts w:eastAsia="Times New Roman"/>
                <w:b/>
                <w:bCs/>
                <w:color w:val="000000"/>
                <w:sz w:val="18"/>
                <w:szCs w:val="18"/>
              </w:rPr>
              <w:t>(7,138)</w:t>
            </w:r>
          </w:p>
        </w:tc>
        <w:tc>
          <w:tcPr>
            <w:tcW w:w="0" w:type="auto"/>
            <w:shd w:val="clear" w:color="auto" w:fill="FFFFFF"/>
            <w:tcMar>
              <w:top w:w="30" w:type="dxa"/>
              <w:left w:w="0" w:type="dxa"/>
              <w:bottom w:w="30" w:type="dxa"/>
              <w:right w:w="20" w:type="dxa"/>
            </w:tcMar>
            <w:vAlign w:val="bottom"/>
            <w:hideMark/>
          </w:tcPr>
          <w:p w14:paraId="4A6924E8" w14:textId="77777777" w:rsidR="00000000" w:rsidRDefault="00A173A8">
            <w:pPr>
              <w:spacing w:after="100"/>
              <w:jc w:val="right"/>
              <w:rPr>
                <w:rFonts w:eastAsia="Times New Roman"/>
              </w:rPr>
            </w:pPr>
          </w:p>
        </w:tc>
      </w:tr>
      <w:tr w:rsidR="00000000" w14:paraId="5F11FEBB" w14:textId="77777777">
        <w:trPr>
          <w:divId w:val="1452439917"/>
        </w:trPr>
        <w:tc>
          <w:tcPr>
            <w:tcW w:w="0" w:type="auto"/>
            <w:gridSpan w:val="3"/>
            <w:shd w:val="clear" w:color="auto" w:fill="CCEEFF"/>
            <w:tcMar>
              <w:top w:w="30" w:type="dxa"/>
              <w:left w:w="20" w:type="dxa"/>
              <w:bottom w:w="30" w:type="dxa"/>
              <w:right w:w="20" w:type="dxa"/>
            </w:tcMar>
            <w:vAlign w:val="center"/>
            <w:hideMark/>
          </w:tcPr>
          <w:p w14:paraId="7322E5C8" w14:textId="77777777" w:rsidR="00000000" w:rsidRDefault="00A173A8">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1CD60CF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ABB2096" w14:textId="77777777" w:rsidR="00000000" w:rsidRDefault="00A173A8">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7DE0CA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99688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4B9314" w14:textId="77777777" w:rsidR="00000000" w:rsidRDefault="00A173A8">
            <w:pPr>
              <w:spacing w:after="100"/>
              <w:jc w:val="right"/>
              <w:rPr>
                <w:rFonts w:eastAsia="Times New Roman"/>
              </w:rPr>
            </w:pPr>
            <w:r>
              <w:rPr>
                <w:rFonts w:eastAsia="Times New Roman"/>
                <w:b/>
                <w:bCs/>
                <w:color w:val="000000"/>
                <w:sz w:val="18"/>
                <w:szCs w:val="18"/>
              </w:rPr>
              <w:t>(157)</w:t>
            </w:r>
          </w:p>
        </w:tc>
        <w:tc>
          <w:tcPr>
            <w:tcW w:w="0" w:type="auto"/>
            <w:shd w:val="clear" w:color="auto" w:fill="CCEEFF"/>
            <w:tcMar>
              <w:top w:w="30" w:type="dxa"/>
              <w:left w:w="0" w:type="dxa"/>
              <w:bottom w:w="30" w:type="dxa"/>
              <w:right w:w="20" w:type="dxa"/>
            </w:tcMar>
            <w:vAlign w:val="center"/>
            <w:hideMark/>
          </w:tcPr>
          <w:p w14:paraId="02563B5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E25C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6B581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B1E9E28" w14:textId="77777777" w:rsidR="00000000" w:rsidRDefault="00A173A8">
            <w:pPr>
              <w:spacing w:after="100"/>
              <w:jc w:val="right"/>
              <w:rPr>
                <w:rFonts w:eastAsia="Times New Roman"/>
              </w:rPr>
            </w:pPr>
          </w:p>
        </w:tc>
        <w:tc>
          <w:tcPr>
            <w:tcW w:w="0" w:type="auto"/>
            <w:vAlign w:val="center"/>
            <w:hideMark/>
          </w:tcPr>
          <w:p w14:paraId="30A6226C" w14:textId="77777777" w:rsidR="00000000" w:rsidRDefault="00A173A8">
            <w:pPr>
              <w:spacing w:after="100"/>
              <w:jc w:val="right"/>
              <w:rPr>
                <w:rFonts w:eastAsia="Times New Roman"/>
                <w:sz w:val="20"/>
                <w:szCs w:val="20"/>
              </w:rPr>
            </w:pPr>
          </w:p>
        </w:tc>
        <w:tc>
          <w:tcPr>
            <w:tcW w:w="0" w:type="auto"/>
            <w:vAlign w:val="center"/>
            <w:hideMark/>
          </w:tcPr>
          <w:p w14:paraId="7083646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05F3E" w14:textId="77777777" w:rsidR="00000000" w:rsidRDefault="00A173A8">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42CFD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62BA6B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6DAB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321BFF4" w14:textId="77777777" w:rsidR="00000000" w:rsidRDefault="00A173A8">
            <w:pPr>
              <w:spacing w:after="100"/>
              <w:jc w:val="right"/>
              <w:rPr>
                <w:rFonts w:eastAsia="Times New Roman"/>
              </w:rPr>
            </w:pPr>
            <w:r>
              <w:rPr>
                <w:rFonts w:eastAsia="Times New Roman"/>
                <w:b/>
                <w:bCs/>
                <w:color w:val="000000"/>
                <w:sz w:val="18"/>
                <w:szCs w:val="18"/>
              </w:rPr>
              <w:t>(152)</w:t>
            </w:r>
          </w:p>
        </w:tc>
        <w:tc>
          <w:tcPr>
            <w:tcW w:w="0" w:type="auto"/>
            <w:shd w:val="clear" w:color="auto" w:fill="CCEEFF"/>
            <w:tcMar>
              <w:top w:w="30" w:type="dxa"/>
              <w:left w:w="0" w:type="dxa"/>
              <w:bottom w:w="30" w:type="dxa"/>
              <w:right w:w="20" w:type="dxa"/>
            </w:tcMar>
            <w:vAlign w:val="center"/>
            <w:hideMark/>
          </w:tcPr>
          <w:p w14:paraId="30CDB7D4" w14:textId="77777777" w:rsidR="00000000" w:rsidRDefault="00A173A8">
            <w:pPr>
              <w:spacing w:after="100"/>
              <w:jc w:val="right"/>
              <w:rPr>
                <w:rFonts w:eastAsia="Times New Roman"/>
              </w:rPr>
            </w:pPr>
          </w:p>
        </w:tc>
      </w:tr>
      <w:tr w:rsidR="00000000" w14:paraId="65071137" w14:textId="77777777">
        <w:trPr>
          <w:divId w:val="1452439917"/>
        </w:trPr>
        <w:tc>
          <w:tcPr>
            <w:tcW w:w="0" w:type="auto"/>
            <w:gridSpan w:val="3"/>
            <w:shd w:val="clear" w:color="auto" w:fill="FFFFFF"/>
            <w:tcMar>
              <w:top w:w="30" w:type="dxa"/>
              <w:left w:w="20" w:type="dxa"/>
              <w:bottom w:w="30" w:type="dxa"/>
              <w:right w:w="20" w:type="dxa"/>
            </w:tcMar>
            <w:vAlign w:val="center"/>
            <w:hideMark/>
          </w:tcPr>
          <w:p w14:paraId="5066270C" w14:textId="77777777" w:rsidR="00000000" w:rsidRDefault="00A173A8">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79F4CC66"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F526B7A" w14:textId="77777777" w:rsidR="00000000" w:rsidRDefault="00A173A8">
            <w:pPr>
              <w:spacing w:after="100"/>
              <w:jc w:val="right"/>
              <w:rPr>
                <w:rFonts w:eastAsia="Times New Roman"/>
              </w:rPr>
            </w:pPr>
            <w:r>
              <w:rPr>
                <w:rFonts w:eastAsia="Times New Roman"/>
                <w:b/>
                <w:bCs/>
                <w:color w:val="000000"/>
                <w:sz w:val="18"/>
                <w:szCs w:val="18"/>
              </w:rPr>
              <w:t>(5,541)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F1FC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FDC5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D959A7F" w14:textId="77777777" w:rsidR="00000000" w:rsidRDefault="00A173A8">
            <w:pPr>
              <w:spacing w:after="100"/>
              <w:jc w:val="right"/>
              <w:rPr>
                <w:rFonts w:eastAsia="Times New Roman"/>
              </w:rPr>
            </w:pPr>
            <w:r>
              <w:rPr>
                <w:rFonts w:eastAsia="Times New Roman"/>
                <w:b/>
                <w:bCs/>
                <w:color w:val="000000"/>
                <w:sz w:val="18"/>
                <w:szCs w:val="18"/>
              </w:rPr>
              <w:t>(1,692)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54FBB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86B0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73EA815" w14:textId="77777777" w:rsidR="00000000" w:rsidRDefault="00A173A8">
            <w:pPr>
              <w:spacing w:after="100"/>
              <w:jc w:val="right"/>
              <w:rPr>
                <w:rFonts w:eastAsia="Times New Roman"/>
              </w:rPr>
            </w:pPr>
            <w:r>
              <w:rPr>
                <w:rFonts w:eastAsia="Times New Roman"/>
                <w:b/>
                <w:bCs/>
                <w:color w:val="000000"/>
                <w:sz w:val="18"/>
                <w:szCs w:val="18"/>
              </w:rPr>
              <w:t>(57)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9C324D6" w14:textId="77777777" w:rsidR="00000000" w:rsidRDefault="00A173A8">
            <w:pPr>
              <w:spacing w:after="100"/>
              <w:jc w:val="right"/>
              <w:rPr>
                <w:rFonts w:eastAsia="Times New Roman"/>
              </w:rPr>
            </w:pPr>
          </w:p>
        </w:tc>
        <w:tc>
          <w:tcPr>
            <w:tcW w:w="0" w:type="auto"/>
            <w:vAlign w:val="center"/>
            <w:hideMark/>
          </w:tcPr>
          <w:p w14:paraId="7E692591" w14:textId="77777777" w:rsidR="00000000" w:rsidRDefault="00A173A8">
            <w:pPr>
              <w:spacing w:after="100"/>
              <w:jc w:val="right"/>
              <w:rPr>
                <w:rFonts w:eastAsia="Times New Roman"/>
                <w:sz w:val="20"/>
                <w:szCs w:val="20"/>
              </w:rPr>
            </w:pPr>
          </w:p>
        </w:tc>
        <w:tc>
          <w:tcPr>
            <w:tcW w:w="0" w:type="auto"/>
            <w:vAlign w:val="center"/>
            <w:hideMark/>
          </w:tcPr>
          <w:p w14:paraId="22D3273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94F082"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1DB583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6D2DC5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ACFB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0DF8A7B" w14:textId="77777777" w:rsidR="00000000" w:rsidRDefault="00A173A8">
            <w:pPr>
              <w:spacing w:after="100"/>
              <w:jc w:val="right"/>
              <w:rPr>
                <w:rFonts w:eastAsia="Times New Roman"/>
              </w:rPr>
            </w:pPr>
            <w:r>
              <w:rPr>
                <w:rFonts w:eastAsia="Times New Roman"/>
                <w:b/>
                <w:bCs/>
                <w:color w:val="000000"/>
                <w:sz w:val="18"/>
                <w:szCs w:val="18"/>
              </w:rPr>
              <w:t>(7,290)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AD052D9" w14:textId="77777777" w:rsidR="00000000" w:rsidRDefault="00A173A8">
            <w:pPr>
              <w:spacing w:after="100"/>
              <w:jc w:val="right"/>
              <w:rPr>
                <w:rFonts w:eastAsia="Times New Roman"/>
              </w:rPr>
            </w:pPr>
          </w:p>
        </w:tc>
      </w:tr>
      <w:tr w:rsidR="00000000" w14:paraId="3799551F" w14:textId="77777777">
        <w:trPr>
          <w:divId w:val="1452439917"/>
        </w:trPr>
        <w:tc>
          <w:tcPr>
            <w:tcW w:w="0" w:type="auto"/>
            <w:gridSpan w:val="3"/>
            <w:shd w:val="clear" w:color="auto" w:fill="CCEEFF"/>
            <w:tcMar>
              <w:top w:w="30" w:type="dxa"/>
              <w:left w:w="20" w:type="dxa"/>
              <w:bottom w:w="30" w:type="dxa"/>
              <w:right w:w="20" w:type="dxa"/>
            </w:tcMar>
            <w:vAlign w:val="center"/>
            <w:hideMark/>
          </w:tcPr>
          <w:p w14:paraId="5B2C68A2" w14:textId="77777777" w:rsidR="00000000" w:rsidRDefault="00A173A8">
            <w:pPr>
              <w:spacing w:after="100"/>
              <w:rPr>
                <w:rFonts w:eastAsia="Times New Roman"/>
              </w:rPr>
            </w:pPr>
            <w:r>
              <w:rPr>
                <w:rFonts w:eastAsia="Times New Roman"/>
                <w:color w:val="000000"/>
                <w:sz w:val="18"/>
                <w:szCs w:val="18"/>
              </w:rPr>
              <w:t>AOCI as of June 30, 2022</w:t>
            </w:r>
          </w:p>
        </w:tc>
        <w:tc>
          <w:tcPr>
            <w:tcW w:w="0" w:type="auto"/>
            <w:gridSpan w:val="3"/>
            <w:shd w:val="clear" w:color="auto" w:fill="CCEEFF"/>
            <w:tcMar>
              <w:top w:w="0" w:type="dxa"/>
              <w:left w:w="20" w:type="dxa"/>
              <w:bottom w:w="0" w:type="dxa"/>
              <w:right w:w="20" w:type="dxa"/>
            </w:tcMar>
            <w:vAlign w:val="center"/>
            <w:hideMark/>
          </w:tcPr>
          <w:p w14:paraId="51B70024"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48D577E"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D62649F" w14:textId="77777777" w:rsidR="00000000" w:rsidRDefault="00A173A8">
            <w:pPr>
              <w:spacing w:after="100"/>
              <w:jc w:val="right"/>
              <w:rPr>
                <w:rFonts w:eastAsia="Times New Roman"/>
              </w:rPr>
            </w:pPr>
            <w:r>
              <w:rPr>
                <w:rFonts w:eastAsia="Times New Roman"/>
                <w:b/>
                <w:bCs/>
                <w:color w:val="000000"/>
                <w:sz w:val="18"/>
                <w:szCs w:val="18"/>
              </w:rPr>
              <w:t>(5,244)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2BB1EA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94908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178DE4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4F56C0B" w14:textId="77777777" w:rsidR="00000000" w:rsidRDefault="00A173A8">
            <w:pPr>
              <w:spacing w:after="100"/>
              <w:jc w:val="right"/>
              <w:rPr>
                <w:rFonts w:eastAsia="Times New Roman"/>
              </w:rPr>
            </w:pPr>
            <w:r>
              <w:rPr>
                <w:rFonts w:eastAsia="Times New Roman"/>
                <w:b/>
                <w:bCs/>
                <w:color w:val="000000"/>
                <w:sz w:val="18"/>
                <w:szCs w:val="18"/>
              </w:rPr>
              <w:t>(1,574)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63EB8A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4017D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8DFA67D"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702EE43" w14:textId="77777777" w:rsidR="00000000" w:rsidRDefault="00A173A8">
            <w:pPr>
              <w:spacing w:after="100"/>
              <w:jc w:val="right"/>
              <w:rPr>
                <w:rFonts w:eastAsia="Times New Roman"/>
              </w:rPr>
            </w:pPr>
            <w:r>
              <w:rPr>
                <w:rFonts w:eastAsia="Times New Roman"/>
                <w:b/>
                <w:bCs/>
                <w:color w:val="000000"/>
                <w:sz w:val="18"/>
                <w:szCs w:val="18"/>
              </w:rPr>
              <w:t>(78)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67B6CE9" w14:textId="77777777" w:rsidR="00000000" w:rsidRDefault="00A173A8">
            <w:pPr>
              <w:spacing w:after="100"/>
              <w:jc w:val="right"/>
              <w:rPr>
                <w:rFonts w:eastAsia="Times New Roman"/>
              </w:rPr>
            </w:pPr>
          </w:p>
        </w:tc>
        <w:tc>
          <w:tcPr>
            <w:tcW w:w="0" w:type="auto"/>
            <w:vAlign w:val="center"/>
            <w:hideMark/>
          </w:tcPr>
          <w:p w14:paraId="080E0821" w14:textId="77777777" w:rsidR="00000000" w:rsidRDefault="00A173A8">
            <w:pPr>
              <w:spacing w:after="100"/>
              <w:jc w:val="right"/>
              <w:rPr>
                <w:rFonts w:eastAsia="Times New Roman"/>
                <w:sz w:val="20"/>
                <w:szCs w:val="20"/>
              </w:rPr>
            </w:pPr>
          </w:p>
        </w:tc>
        <w:tc>
          <w:tcPr>
            <w:tcW w:w="0" w:type="auto"/>
            <w:vAlign w:val="center"/>
            <w:hideMark/>
          </w:tcPr>
          <w:p w14:paraId="1D5A998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C0AB15" w14:textId="77777777" w:rsidR="00000000" w:rsidRDefault="00A173A8">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757012B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78A6791" w14:textId="77777777" w:rsidR="00000000" w:rsidRDefault="00A173A8">
            <w:pPr>
              <w:spacing w:after="100"/>
              <w:jc w:val="right"/>
              <w:rPr>
                <w:rFonts w:eastAsia="Times New Roman"/>
              </w:rPr>
            </w:pPr>
            <w:r>
              <w:rPr>
                <w:rFonts w:eastAsia="Times New Roman"/>
                <w:b/>
                <w:bCs/>
                <w:color w:val="000000"/>
                <w:sz w:val="18"/>
                <w:szCs w:val="18"/>
              </w:rPr>
              <w:t>(20)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3B4205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943FA"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5C1CBA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6AD9211" w14:textId="77777777" w:rsidR="00000000" w:rsidRDefault="00A173A8">
            <w:pPr>
              <w:spacing w:after="100"/>
              <w:jc w:val="right"/>
              <w:rPr>
                <w:rFonts w:eastAsia="Times New Roman"/>
              </w:rPr>
            </w:pPr>
            <w:r>
              <w:rPr>
                <w:rFonts w:eastAsia="Times New Roman"/>
                <w:b/>
                <w:bCs/>
                <w:color w:val="000000"/>
                <w:sz w:val="18"/>
                <w:szCs w:val="18"/>
              </w:rPr>
              <w:t>(6,916)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BC960F4" w14:textId="77777777" w:rsidR="00000000" w:rsidRDefault="00A173A8">
            <w:pPr>
              <w:spacing w:after="100"/>
              <w:jc w:val="right"/>
              <w:rPr>
                <w:rFonts w:eastAsia="Times New Roman"/>
              </w:rPr>
            </w:pPr>
          </w:p>
        </w:tc>
      </w:tr>
    </w:tbl>
    <w:p w14:paraId="10634FFF" w14:textId="77777777" w:rsidR="00000000" w:rsidRDefault="00A173A8">
      <w:pPr>
        <w:divId w:val="1452439917"/>
        <w:rPr>
          <w:rFonts w:eastAsia="Times New Roman"/>
          <w:vanish/>
        </w:rPr>
      </w:pPr>
    </w:p>
    <w:tbl>
      <w:tblPr>
        <w:tblW w:w="4985" w:type="pct"/>
        <w:tblCellMar>
          <w:top w:w="15" w:type="dxa"/>
          <w:left w:w="15" w:type="dxa"/>
          <w:bottom w:w="15" w:type="dxa"/>
          <w:right w:w="15" w:type="dxa"/>
        </w:tblCellMar>
        <w:tblLook w:val="04A0" w:firstRow="1" w:lastRow="0" w:firstColumn="1" w:lastColumn="0" w:noHBand="0" w:noVBand="1"/>
      </w:tblPr>
      <w:tblGrid>
        <w:gridCol w:w="38"/>
        <w:gridCol w:w="3652"/>
        <w:gridCol w:w="37"/>
        <w:gridCol w:w="36"/>
        <w:gridCol w:w="36"/>
        <w:gridCol w:w="36"/>
        <w:gridCol w:w="111"/>
        <w:gridCol w:w="624"/>
        <w:gridCol w:w="36"/>
        <w:gridCol w:w="36"/>
        <w:gridCol w:w="36"/>
        <w:gridCol w:w="36"/>
        <w:gridCol w:w="111"/>
        <w:gridCol w:w="980"/>
        <w:gridCol w:w="36"/>
        <w:gridCol w:w="36"/>
        <w:gridCol w:w="36"/>
        <w:gridCol w:w="36"/>
        <w:gridCol w:w="111"/>
        <w:gridCol w:w="927"/>
        <w:gridCol w:w="36"/>
        <w:gridCol w:w="36"/>
        <w:gridCol w:w="36"/>
        <w:gridCol w:w="36"/>
        <w:gridCol w:w="110"/>
        <w:gridCol w:w="300"/>
        <w:gridCol w:w="36"/>
        <w:gridCol w:w="36"/>
        <w:gridCol w:w="36"/>
        <w:gridCol w:w="36"/>
        <w:gridCol w:w="110"/>
        <w:gridCol w:w="450"/>
        <w:gridCol w:w="36"/>
      </w:tblGrid>
      <w:tr w:rsidR="00000000" w14:paraId="1FCFD005" w14:textId="77777777">
        <w:trPr>
          <w:divId w:val="1452439917"/>
        </w:trPr>
        <w:tc>
          <w:tcPr>
            <w:tcW w:w="50" w:type="pct"/>
            <w:vAlign w:val="center"/>
            <w:hideMark/>
          </w:tcPr>
          <w:p w14:paraId="4D0092EC" w14:textId="77777777" w:rsidR="00000000" w:rsidRDefault="00A173A8">
            <w:pPr>
              <w:rPr>
                <w:rFonts w:eastAsia="Times New Roman"/>
              </w:rPr>
            </w:pPr>
          </w:p>
        </w:tc>
        <w:tc>
          <w:tcPr>
            <w:tcW w:w="2320" w:type="pct"/>
            <w:vAlign w:val="center"/>
            <w:hideMark/>
          </w:tcPr>
          <w:p w14:paraId="2A1144CC" w14:textId="77777777" w:rsidR="00000000" w:rsidRDefault="00A173A8">
            <w:pPr>
              <w:spacing w:after="100"/>
              <w:rPr>
                <w:rFonts w:eastAsia="Times New Roman"/>
                <w:sz w:val="20"/>
                <w:szCs w:val="20"/>
              </w:rPr>
            </w:pPr>
          </w:p>
        </w:tc>
        <w:tc>
          <w:tcPr>
            <w:tcW w:w="5" w:type="pct"/>
            <w:vAlign w:val="center"/>
            <w:hideMark/>
          </w:tcPr>
          <w:p w14:paraId="73891083" w14:textId="77777777" w:rsidR="00000000" w:rsidRDefault="00A173A8">
            <w:pPr>
              <w:spacing w:after="100"/>
              <w:rPr>
                <w:rFonts w:eastAsia="Times New Roman"/>
                <w:sz w:val="20"/>
                <w:szCs w:val="20"/>
              </w:rPr>
            </w:pPr>
          </w:p>
        </w:tc>
        <w:tc>
          <w:tcPr>
            <w:tcW w:w="5" w:type="pct"/>
            <w:vAlign w:val="center"/>
            <w:hideMark/>
          </w:tcPr>
          <w:p w14:paraId="6C4B5997" w14:textId="77777777" w:rsidR="00000000" w:rsidRDefault="00A173A8">
            <w:pPr>
              <w:spacing w:after="100"/>
              <w:rPr>
                <w:rFonts w:eastAsia="Times New Roman"/>
                <w:sz w:val="20"/>
                <w:szCs w:val="20"/>
              </w:rPr>
            </w:pPr>
          </w:p>
        </w:tc>
        <w:tc>
          <w:tcPr>
            <w:tcW w:w="26" w:type="pct"/>
            <w:vAlign w:val="center"/>
            <w:hideMark/>
          </w:tcPr>
          <w:p w14:paraId="21B8D431" w14:textId="77777777" w:rsidR="00000000" w:rsidRDefault="00A173A8">
            <w:pPr>
              <w:spacing w:after="100"/>
              <w:rPr>
                <w:rFonts w:eastAsia="Times New Roman"/>
                <w:sz w:val="20"/>
                <w:szCs w:val="20"/>
              </w:rPr>
            </w:pPr>
          </w:p>
        </w:tc>
        <w:tc>
          <w:tcPr>
            <w:tcW w:w="5" w:type="pct"/>
            <w:vAlign w:val="center"/>
            <w:hideMark/>
          </w:tcPr>
          <w:p w14:paraId="4AB129A7" w14:textId="77777777" w:rsidR="00000000" w:rsidRDefault="00A173A8">
            <w:pPr>
              <w:spacing w:after="100"/>
              <w:rPr>
                <w:rFonts w:eastAsia="Times New Roman"/>
                <w:sz w:val="20"/>
                <w:szCs w:val="20"/>
              </w:rPr>
            </w:pPr>
          </w:p>
        </w:tc>
        <w:tc>
          <w:tcPr>
            <w:tcW w:w="50" w:type="pct"/>
            <w:vAlign w:val="center"/>
            <w:hideMark/>
          </w:tcPr>
          <w:p w14:paraId="0997BAF2" w14:textId="77777777" w:rsidR="00000000" w:rsidRDefault="00A173A8">
            <w:pPr>
              <w:spacing w:after="100"/>
              <w:rPr>
                <w:rFonts w:eastAsia="Times New Roman"/>
                <w:sz w:val="20"/>
                <w:szCs w:val="20"/>
              </w:rPr>
            </w:pPr>
          </w:p>
        </w:tc>
        <w:tc>
          <w:tcPr>
            <w:tcW w:w="414" w:type="pct"/>
            <w:vAlign w:val="center"/>
            <w:hideMark/>
          </w:tcPr>
          <w:p w14:paraId="1CEB9023" w14:textId="77777777" w:rsidR="00000000" w:rsidRDefault="00A173A8">
            <w:pPr>
              <w:spacing w:after="100"/>
              <w:rPr>
                <w:rFonts w:eastAsia="Times New Roman"/>
                <w:sz w:val="20"/>
                <w:szCs w:val="20"/>
              </w:rPr>
            </w:pPr>
          </w:p>
        </w:tc>
        <w:tc>
          <w:tcPr>
            <w:tcW w:w="5" w:type="pct"/>
            <w:vAlign w:val="center"/>
            <w:hideMark/>
          </w:tcPr>
          <w:p w14:paraId="1405475D" w14:textId="77777777" w:rsidR="00000000" w:rsidRDefault="00A173A8">
            <w:pPr>
              <w:spacing w:after="100"/>
              <w:rPr>
                <w:rFonts w:eastAsia="Times New Roman"/>
                <w:sz w:val="20"/>
                <w:szCs w:val="20"/>
              </w:rPr>
            </w:pPr>
          </w:p>
        </w:tc>
        <w:tc>
          <w:tcPr>
            <w:tcW w:w="5" w:type="pct"/>
            <w:vAlign w:val="center"/>
            <w:hideMark/>
          </w:tcPr>
          <w:p w14:paraId="298F7A8D" w14:textId="77777777" w:rsidR="00000000" w:rsidRDefault="00A173A8">
            <w:pPr>
              <w:spacing w:after="100"/>
              <w:rPr>
                <w:rFonts w:eastAsia="Times New Roman"/>
                <w:sz w:val="20"/>
                <w:szCs w:val="20"/>
              </w:rPr>
            </w:pPr>
          </w:p>
        </w:tc>
        <w:tc>
          <w:tcPr>
            <w:tcW w:w="26" w:type="pct"/>
            <w:vAlign w:val="center"/>
            <w:hideMark/>
          </w:tcPr>
          <w:p w14:paraId="005D3CCE" w14:textId="77777777" w:rsidR="00000000" w:rsidRDefault="00A173A8">
            <w:pPr>
              <w:spacing w:after="100"/>
              <w:rPr>
                <w:rFonts w:eastAsia="Times New Roman"/>
                <w:sz w:val="20"/>
                <w:szCs w:val="20"/>
              </w:rPr>
            </w:pPr>
          </w:p>
        </w:tc>
        <w:tc>
          <w:tcPr>
            <w:tcW w:w="5" w:type="pct"/>
            <w:vAlign w:val="center"/>
            <w:hideMark/>
          </w:tcPr>
          <w:p w14:paraId="13F26C8D" w14:textId="77777777" w:rsidR="00000000" w:rsidRDefault="00A173A8">
            <w:pPr>
              <w:spacing w:after="100"/>
              <w:rPr>
                <w:rFonts w:eastAsia="Times New Roman"/>
                <w:sz w:val="20"/>
                <w:szCs w:val="20"/>
              </w:rPr>
            </w:pPr>
          </w:p>
        </w:tc>
        <w:tc>
          <w:tcPr>
            <w:tcW w:w="50" w:type="pct"/>
            <w:vAlign w:val="center"/>
            <w:hideMark/>
          </w:tcPr>
          <w:p w14:paraId="563B1C2A" w14:textId="77777777" w:rsidR="00000000" w:rsidRDefault="00A173A8">
            <w:pPr>
              <w:spacing w:after="100"/>
              <w:rPr>
                <w:rFonts w:eastAsia="Times New Roman"/>
                <w:sz w:val="20"/>
                <w:szCs w:val="20"/>
              </w:rPr>
            </w:pPr>
          </w:p>
        </w:tc>
        <w:tc>
          <w:tcPr>
            <w:tcW w:w="531" w:type="pct"/>
            <w:vAlign w:val="center"/>
            <w:hideMark/>
          </w:tcPr>
          <w:p w14:paraId="34B44F48" w14:textId="77777777" w:rsidR="00000000" w:rsidRDefault="00A173A8">
            <w:pPr>
              <w:spacing w:after="100"/>
              <w:rPr>
                <w:rFonts w:eastAsia="Times New Roman"/>
                <w:sz w:val="20"/>
                <w:szCs w:val="20"/>
              </w:rPr>
            </w:pPr>
          </w:p>
        </w:tc>
        <w:tc>
          <w:tcPr>
            <w:tcW w:w="5" w:type="pct"/>
            <w:vAlign w:val="center"/>
            <w:hideMark/>
          </w:tcPr>
          <w:p w14:paraId="045248EA" w14:textId="77777777" w:rsidR="00000000" w:rsidRDefault="00A173A8">
            <w:pPr>
              <w:spacing w:after="100"/>
              <w:rPr>
                <w:rFonts w:eastAsia="Times New Roman"/>
                <w:sz w:val="20"/>
                <w:szCs w:val="20"/>
              </w:rPr>
            </w:pPr>
          </w:p>
        </w:tc>
        <w:tc>
          <w:tcPr>
            <w:tcW w:w="5" w:type="pct"/>
            <w:vAlign w:val="center"/>
            <w:hideMark/>
          </w:tcPr>
          <w:p w14:paraId="63C3DE9F" w14:textId="77777777" w:rsidR="00000000" w:rsidRDefault="00A173A8">
            <w:pPr>
              <w:spacing w:after="100"/>
              <w:rPr>
                <w:rFonts w:eastAsia="Times New Roman"/>
                <w:sz w:val="20"/>
                <w:szCs w:val="20"/>
              </w:rPr>
            </w:pPr>
          </w:p>
        </w:tc>
        <w:tc>
          <w:tcPr>
            <w:tcW w:w="26" w:type="pct"/>
            <w:vAlign w:val="center"/>
            <w:hideMark/>
          </w:tcPr>
          <w:p w14:paraId="6C405AA4" w14:textId="77777777" w:rsidR="00000000" w:rsidRDefault="00A173A8">
            <w:pPr>
              <w:spacing w:after="100"/>
              <w:rPr>
                <w:rFonts w:eastAsia="Times New Roman"/>
                <w:sz w:val="20"/>
                <w:szCs w:val="20"/>
              </w:rPr>
            </w:pPr>
          </w:p>
        </w:tc>
        <w:tc>
          <w:tcPr>
            <w:tcW w:w="5" w:type="pct"/>
            <w:vAlign w:val="center"/>
            <w:hideMark/>
          </w:tcPr>
          <w:p w14:paraId="7BE24075" w14:textId="77777777" w:rsidR="00000000" w:rsidRDefault="00A173A8">
            <w:pPr>
              <w:spacing w:after="100"/>
              <w:rPr>
                <w:rFonts w:eastAsia="Times New Roman"/>
                <w:sz w:val="20"/>
                <w:szCs w:val="20"/>
              </w:rPr>
            </w:pPr>
          </w:p>
        </w:tc>
        <w:tc>
          <w:tcPr>
            <w:tcW w:w="50" w:type="pct"/>
            <w:vAlign w:val="center"/>
            <w:hideMark/>
          </w:tcPr>
          <w:p w14:paraId="31CFC483" w14:textId="77777777" w:rsidR="00000000" w:rsidRDefault="00A173A8">
            <w:pPr>
              <w:spacing w:after="100"/>
              <w:rPr>
                <w:rFonts w:eastAsia="Times New Roman"/>
                <w:sz w:val="20"/>
                <w:szCs w:val="20"/>
              </w:rPr>
            </w:pPr>
          </w:p>
        </w:tc>
        <w:tc>
          <w:tcPr>
            <w:tcW w:w="509" w:type="pct"/>
            <w:vAlign w:val="center"/>
            <w:hideMark/>
          </w:tcPr>
          <w:p w14:paraId="0AB2A0BF" w14:textId="77777777" w:rsidR="00000000" w:rsidRDefault="00A173A8">
            <w:pPr>
              <w:spacing w:after="100"/>
              <w:rPr>
                <w:rFonts w:eastAsia="Times New Roman"/>
                <w:sz w:val="20"/>
                <w:szCs w:val="20"/>
              </w:rPr>
            </w:pPr>
          </w:p>
        </w:tc>
        <w:tc>
          <w:tcPr>
            <w:tcW w:w="5" w:type="pct"/>
            <w:vAlign w:val="center"/>
            <w:hideMark/>
          </w:tcPr>
          <w:p w14:paraId="01CD79FC" w14:textId="77777777" w:rsidR="00000000" w:rsidRDefault="00A173A8">
            <w:pPr>
              <w:spacing w:after="100"/>
              <w:rPr>
                <w:rFonts w:eastAsia="Times New Roman"/>
                <w:sz w:val="20"/>
                <w:szCs w:val="20"/>
              </w:rPr>
            </w:pPr>
          </w:p>
        </w:tc>
        <w:tc>
          <w:tcPr>
            <w:tcW w:w="5" w:type="pct"/>
            <w:vAlign w:val="center"/>
            <w:hideMark/>
          </w:tcPr>
          <w:p w14:paraId="42CD6DAC" w14:textId="77777777" w:rsidR="00000000" w:rsidRDefault="00A173A8">
            <w:pPr>
              <w:spacing w:after="100"/>
              <w:rPr>
                <w:rFonts w:eastAsia="Times New Roman"/>
                <w:sz w:val="20"/>
                <w:szCs w:val="20"/>
              </w:rPr>
            </w:pPr>
          </w:p>
        </w:tc>
        <w:tc>
          <w:tcPr>
            <w:tcW w:w="26" w:type="pct"/>
            <w:vAlign w:val="center"/>
            <w:hideMark/>
          </w:tcPr>
          <w:p w14:paraId="5DF53102" w14:textId="77777777" w:rsidR="00000000" w:rsidRDefault="00A173A8">
            <w:pPr>
              <w:spacing w:after="100"/>
              <w:rPr>
                <w:rFonts w:eastAsia="Times New Roman"/>
                <w:sz w:val="20"/>
                <w:szCs w:val="20"/>
              </w:rPr>
            </w:pPr>
          </w:p>
        </w:tc>
        <w:tc>
          <w:tcPr>
            <w:tcW w:w="5" w:type="pct"/>
            <w:vAlign w:val="center"/>
            <w:hideMark/>
          </w:tcPr>
          <w:p w14:paraId="2265FC2F" w14:textId="77777777" w:rsidR="00000000" w:rsidRDefault="00A173A8">
            <w:pPr>
              <w:spacing w:after="100"/>
              <w:rPr>
                <w:rFonts w:eastAsia="Times New Roman"/>
                <w:sz w:val="20"/>
                <w:szCs w:val="20"/>
              </w:rPr>
            </w:pPr>
          </w:p>
        </w:tc>
        <w:tc>
          <w:tcPr>
            <w:tcW w:w="50" w:type="pct"/>
            <w:vAlign w:val="center"/>
            <w:hideMark/>
          </w:tcPr>
          <w:p w14:paraId="3D88647A" w14:textId="77777777" w:rsidR="00000000" w:rsidRDefault="00A173A8">
            <w:pPr>
              <w:spacing w:after="100"/>
              <w:rPr>
                <w:rFonts w:eastAsia="Times New Roman"/>
                <w:sz w:val="20"/>
                <w:szCs w:val="20"/>
              </w:rPr>
            </w:pPr>
          </w:p>
        </w:tc>
        <w:tc>
          <w:tcPr>
            <w:tcW w:w="355" w:type="pct"/>
            <w:vAlign w:val="center"/>
            <w:hideMark/>
          </w:tcPr>
          <w:p w14:paraId="34836826" w14:textId="77777777" w:rsidR="00000000" w:rsidRDefault="00A173A8">
            <w:pPr>
              <w:spacing w:after="100"/>
              <w:rPr>
                <w:rFonts w:eastAsia="Times New Roman"/>
                <w:sz w:val="20"/>
                <w:szCs w:val="20"/>
              </w:rPr>
            </w:pPr>
          </w:p>
        </w:tc>
        <w:tc>
          <w:tcPr>
            <w:tcW w:w="5" w:type="pct"/>
            <w:vAlign w:val="center"/>
            <w:hideMark/>
          </w:tcPr>
          <w:p w14:paraId="303F4CC0" w14:textId="77777777" w:rsidR="00000000" w:rsidRDefault="00A173A8">
            <w:pPr>
              <w:spacing w:after="100"/>
              <w:rPr>
                <w:rFonts w:eastAsia="Times New Roman"/>
                <w:sz w:val="20"/>
                <w:szCs w:val="20"/>
              </w:rPr>
            </w:pPr>
          </w:p>
        </w:tc>
        <w:tc>
          <w:tcPr>
            <w:tcW w:w="5" w:type="pct"/>
            <w:vAlign w:val="center"/>
            <w:hideMark/>
          </w:tcPr>
          <w:p w14:paraId="07703E84" w14:textId="77777777" w:rsidR="00000000" w:rsidRDefault="00A173A8">
            <w:pPr>
              <w:spacing w:after="100"/>
              <w:rPr>
                <w:rFonts w:eastAsia="Times New Roman"/>
                <w:sz w:val="20"/>
                <w:szCs w:val="20"/>
              </w:rPr>
            </w:pPr>
          </w:p>
        </w:tc>
        <w:tc>
          <w:tcPr>
            <w:tcW w:w="26" w:type="pct"/>
            <w:vAlign w:val="center"/>
            <w:hideMark/>
          </w:tcPr>
          <w:p w14:paraId="781AFC7B" w14:textId="77777777" w:rsidR="00000000" w:rsidRDefault="00A173A8">
            <w:pPr>
              <w:spacing w:after="100"/>
              <w:rPr>
                <w:rFonts w:eastAsia="Times New Roman"/>
                <w:sz w:val="20"/>
                <w:szCs w:val="20"/>
              </w:rPr>
            </w:pPr>
          </w:p>
        </w:tc>
        <w:tc>
          <w:tcPr>
            <w:tcW w:w="5" w:type="pct"/>
            <w:vAlign w:val="center"/>
            <w:hideMark/>
          </w:tcPr>
          <w:p w14:paraId="3E54F32B" w14:textId="77777777" w:rsidR="00000000" w:rsidRDefault="00A173A8">
            <w:pPr>
              <w:spacing w:after="100"/>
              <w:rPr>
                <w:rFonts w:eastAsia="Times New Roman"/>
                <w:sz w:val="20"/>
                <w:szCs w:val="20"/>
              </w:rPr>
            </w:pPr>
          </w:p>
        </w:tc>
        <w:tc>
          <w:tcPr>
            <w:tcW w:w="50" w:type="pct"/>
            <w:vAlign w:val="center"/>
            <w:hideMark/>
          </w:tcPr>
          <w:p w14:paraId="5C019575" w14:textId="77777777" w:rsidR="00000000" w:rsidRDefault="00A173A8">
            <w:pPr>
              <w:spacing w:after="100"/>
              <w:rPr>
                <w:rFonts w:eastAsia="Times New Roman"/>
                <w:sz w:val="20"/>
                <w:szCs w:val="20"/>
              </w:rPr>
            </w:pPr>
          </w:p>
        </w:tc>
        <w:tc>
          <w:tcPr>
            <w:tcW w:w="355" w:type="pct"/>
            <w:vAlign w:val="center"/>
            <w:hideMark/>
          </w:tcPr>
          <w:p w14:paraId="43CF855E" w14:textId="77777777" w:rsidR="00000000" w:rsidRDefault="00A173A8">
            <w:pPr>
              <w:spacing w:after="100"/>
              <w:rPr>
                <w:rFonts w:eastAsia="Times New Roman"/>
                <w:sz w:val="20"/>
                <w:szCs w:val="20"/>
              </w:rPr>
            </w:pPr>
          </w:p>
        </w:tc>
        <w:tc>
          <w:tcPr>
            <w:tcW w:w="5" w:type="pct"/>
            <w:vAlign w:val="center"/>
            <w:hideMark/>
          </w:tcPr>
          <w:p w14:paraId="0B3C3527" w14:textId="77777777" w:rsidR="00000000" w:rsidRDefault="00A173A8">
            <w:pPr>
              <w:spacing w:after="100"/>
              <w:rPr>
                <w:rFonts w:eastAsia="Times New Roman"/>
                <w:sz w:val="20"/>
                <w:szCs w:val="20"/>
              </w:rPr>
            </w:pPr>
          </w:p>
        </w:tc>
      </w:tr>
      <w:tr w:rsidR="00000000" w14:paraId="3DB6B701" w14:textId="77777777">
        <w:trPr>
          <w:divId w:val="1452439917"/>
        </w:trPr>
        <w:tc>
          <w:tcPr>
            <w:tcW w:w="0" w:type="auto"/>
            <w:gridSpan w:val="3"/>
            <w:tcMar>
              <w:top w:w="0" w:type="dxa"/>
              <w:left w:w="20" w:type="dxa"/>
              <w:bottom w:w="0" w:type="dxa"/>
              <w:right w:w="20" w:type="dxa"/>
            </w:tcMar>
            <w:vAlign w:val="center"/>
            <w:hideMark/>
          </w:tcPr>
          <w:p w14:paraId="026C01C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8DA882"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9863BF3" w14:textId="77777777" w:rsidR="00000000" w:rsidRDefault="00A173A8">
            <w:pPr>
              <w:spacing w:after="100"/>
              <w:jc w:val="center"/>
              <w:rPr>
                <w:rFonts w:eastAsia="Times New Roman"/>
              </w:rPr>
            </w:pPr>
            <w:r>
              <w:rPr>
                <w:rFonts w:eastAsia="Times New Roman"/>
                <w:b/>
                <w:bCs/>
                <w:color w:val="000000"/>
                <w:sz w:val="16"/>
                <w:szCs w:val="16"/>
              </w:rPr>
              <w:t>Three Months Ended June 30, 2021</w:t>
            </w:r>
          </w:p>
        </w:tc>
      </w:tr>
      <w:tr w:rsidR="00000000" w14:paraId="19BB69C1" w14:textId="77777777">
        <w:trPr>
          <w:divId w:val="1452439917"/>
        </w:trPr>
        <w:tc>
          <w:tcPr>
            <w:tcW w:w="0" w:type="auto"/>
            <w:gridSpan w:val="3"/>
            <w:tcBorders>
              <w:bottom w:val="single" w:sz="8" w:space="0" w:color="000000"/>
            </w:tcBorders>
            <w:tcMar>
              <w:top w:w="30" w:type="dxa"/>
              <w:left w:w="20" w:type="dxa"/>
              <w:bottom w:w="30" w:type="dxa"/>
              <w:right w:w="20" w:type="dxa"/>
            </w:tcMar>
            <w:vAlign w:val="bottom"/>
            <w:hideMark/>
          </w:tcPr>
          <w:p w14:paraId="259774D6"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E69F68E"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248400" w14:textId="77777777" w:rsidR="00000000" w:rsidRDefault="00A173A8">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4DE8A26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0AA4DC9" w14:textId="77777777" w:rsidR="00000000" w:rsidRDefault="00A173A8">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077141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4AFB7F" w14:textId="77777777" w:rsidR="00000000" w:rsidRDefault="00A173A8">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E9EE6A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030190" w14:textId="77777777" w:rsidR="00000000" w:rsidRDefault="00A173A8">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4B5FD5F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69F5638"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4901D700" w14:textId="77777777">
        <w:trPr>
          <w:divId w:val="145243991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D4C88F" w14:textId="77777777" w:rsidR="00000000" w:rsidRDefault="00A173A8">
            <w:pPr>
              <w:spacing w:after="100"/>
              <w:rPr>
                <w:rFonts w:eastAsia="Times New Roman"/>
              </w:rPr>
            </w:pPr>
            <w:r>
              <w:rPr>
                <w:rFonts w:eastAsia="Times New Roman"/>
                <w:color w:val="000000"/>
                <w:sz w:val="18"/>
                <w:szCs w:val="18"/>
              </w:rPr>
              <w:t>AOCI as of March 31, 2021</w:t>
            </w:r>
          </w:p>
        </w:tc>
        <w:tc>
          <w:tcPr>
            <w:tcW w:w="0" w:type="auto"/>
            <w:gridSpan w:val="3"/>
            <w:shd w:val="clear" w:color="auto" w:fill="CCEEFF"/>
            <w:tcMar>
              <w:top w:w="0" w:type="dxa"/>
              <w:left w:w="20" w:type="dxa"/>
              <w:bottom w:w="0" w:type="dxa"/>
              <w:right w:w="20" w:type="dxa"/>
            </w:tcMar>
            <w:vAlign w:val="center"/>
            <w:hideMark/>
          </w:tcPr>
          <w:p w14:paraId="0F1EFFAD"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3434EA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82CA54C" w14:textId="77777777" w:rsidR="00000000" w:rsidRDefault="00A173A8">
            <w:pPr>
              <w:spacing w:after="100"/>
              <w:jc w:val="right"/>
              <w:rPr>
                <w:rFonts w:eastAsia="Times New Roman"/>
              </w:rPr>
            </w:pPr>
            <w:r>
              <w:rPr>
                <w:rFonts w:eastAsia="Times New Roman"/>
                <w:color w:val="000000"/>
                <w:sz w:val="18"/>
                <w:szCs w:val="18"/>
              </w:rPr>
              <w:t>1,038 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3CE258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2B2D7"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F13B32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1CDB3B8" w14:textId="77777777" w:rsidR="00000000" w:rsidRDefault="00A173A8">
            <w:pPr>
              <w:spacing w:after="100"/>
              <w:jc w:val="right"/>
              <w:rPr>
                <w:rFonts w:eastAsia="Times New Roman"/>
              </w:rPr>
            </w:pPr>
            <w:r>
              <w:rPr>
                <w:rFonts w:eastAsia="Times New Roman"/>
                <w:color w:val="000000"/>
                <w:sz w:val="18"/>
                <w:szCs w:val="18"/>
              </w:rPr>
              <w:t>781 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7462A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A4F9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FCCAF1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A6617FE" w14:textId="77777777" w:rsidR="00000000" w:rsidRDefault="00A173A8">
            <w:pPr>
              <w:spacing w:after="100"/>
              <w:jc w:val="right"/>
              <w:rPr>
                <w:rFonts w:eastAsia="Times New Roman"/>
              </w:rPr>
            </w:pPr>
            <w:r>
              <w:rPr>
                <w:rFonts w:eastAsia="Times New Roman"/>
                <w:color w:val="000000"/>
                <w:sz w:val="18"/>
                <w:szCs w:val="18"/>
              </w:rPr>
              <w:t>(12)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B330C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43E4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2B5214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9CA5638" w14:textId="77777777" w:rsidR="00000000" w:rsidRDefault="00A173A8">
            <w:pPr>
              <w:spacing w:after="100"/>
              <w:jc w:val="right"/>
              <w:rPr>
                <w:rFonts w:eastAsia="Times New Roman"/>
              </w:rPr>
            </w:pPr>
            <w:r>
              <w:rPr>
                <w:rFonts w:eastAsia="Times New Roman"/>
                <w:color w:val="000000"/>
                <w:sz w:val="18"/>
                <w:szCs w:val="18"/>
              </w:rPr>
              <w:t>(24)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5A696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89693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F95EE3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5E0BD9F" w14:textId="77777777" w:rsidR="00000000" w:rsidRDefault="00A173A8">
            <w:pPr>
              <w:spacing w:after="100"/>
              <w:jc w:val="right"/>
              <w:rPr>
                <w:rFonts w:eastAsia="Times New Roman"/>
              </w:rPr>
            </w:pPr>
            <w:r>
              <w:rPr>
                <w:rFonts w:eastAsia="Times New Roman"/>
                <w:color w:val="000000"/>
                <w:sz w:val="18"/>
                <w:szCs w:val="18"/>
              </w:rPr>
              <w:t>1,783 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D77074" w14:textId="77777777" w:rsidR="00000000" w:rsidRDefault="00A173A8">
            <w:pPr>
              <w:spacing w:after="100"/>
              <w:jc w:val="right"/>
              <w:rPr>
                <w:rFonts w:eastAsia="Times New Roman"/>
              </w:rPr>
            </w:pPr>
          </w:p>
        </w:tc>
      </w:tr>
      <w:tr w:rsidR="00000000" w14:paraId="1E25300D" w14:textId="77777777">
        <w:trPr>
          <w:divId w:val="1452439917"/>
        </w:trPr>
        <w:tc>
          <w:tcPr>
            <w:tcW w:w="0" w:type="auto"/>
            <w:gridSpan w:val="3"/>
            <w:shd w:val="clear" w:color="auto" w:fill="FFFFFF"/>
            <w:tcMar>
              <w:top w:w="30" w:type="dxa"/>
              <w:left w:w="20" w:type="dxa"/>
              <w:bottom w:w="30" w:type="dxa"/>
              <w:right w:w="20" w:type="dxa"/>
            </w:tcMar>
            <w:vAlign w:val="center"/>
            <w:hideMark/>
          </w:tcPr>
          <w:p w14:paraId="66A1F211" w14:textId="77777777" w:rsidR="00000000" w:rsidRDefault="00A173A8">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6DD0528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BFC36BA" w14:textId="77777777" w:rsidR="00000000" w:rsidRDefault="00A173A8">
            <w:pPr>
              <w:spacing w:after="100"/>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center"/>
            <w:hideMark/>
          </w:tcPr>
          <w:p w14:paraId="45CC644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092A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76B861" w14:textId="77777777" w:rsidR="00000000" w:rsidRDefault="00A173A8">
            <w:pPr>
              <w:spacing w:after="100"/>
              <w:jc w:val="right"/>
              <w:rPr>
                <w:rFonts w:eastAsia="Times New Roman"/>
              </w:rPr>
            </w:pPr>
            <w:r>
              <w:rPr>
                <w:rFonts w:eastAsia="Times New Roman"/>
                <w:color w:val="000000"/>
                <w:sz w:val="18"/>
                <w:szCs w:val="18"/>
              </w:rPr>
              <w:t>193 </w:t>
            </w:r>
          </w:p>
        </w:tc>
        <w:tc>
          <w:tcPr>
            <w:tcW w:w="0" w:type="auto"/>
            <w:shd w:val="clear" w:color="auto" w:fill="FFFFFF"/>
            <w:tcMar>
              <w:top w:w="30" w:type="dxa"/>
              <w:left w:w="0" w:type="dxa"/>
              <w:bottom w:w="30" w:type="dxa"/>
              <w:right w:w="20" w:type="dxa"/>
            </w:tcMar>
            <w:vAlign w:val="center"/>
            <w:hideMark/>
          </w:tcPr>
          <w:p w14:paraId="748C456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4FEE1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96DC87D" w14:textId="77777777" w:rsidR="00000000" w:rsidRDefault="00A173A8">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14:paraId="13B13E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9AEF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49679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818A28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1F696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1CB7A5" w14:textId="77777777" w:rsidR="00000000" w:rsidRDefault="00A173A8">
            <w:pPr>
              <w:spacing w:after="100"/>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center"/>
            <w:hideMark/>
          </w:tcPr>
          <w:p w14:paraId="7CBDF321" w14:textId="77777777" w:rsidR="00000000" w:rsidRDefault="00A173A8">
            <w:pPr>
              <w:spacing w:after="100"/>
              <w:jc w:val="right"/>
              <w:rPr>
                <w:rFonts w:eastAsia="Times New Roman"/>
              </w:rPr>
            </w:pPr>
          </w:p>
        </w:tc>
      </w:tr>
      <w:tr w:rsidR="00000000" w14:paraId="7F2A29AD" w14:textId="77777777">
        <w:trPr>
          <w:divId w:val="1452439917"/>
        </w:trPr>
        <w:tc>
          <w:tcPr>
            <w:tcW w:w="0" w:type="auto"/>
            <w:gridSpan w:val="3"/>
            <w:shd w:val="clear" w:color="auto" w:fill="CCEEFF"/>
            <w:tcMar>
              <w:top w:w="30" w:type="dxa"/>
              <w:left w:w="20" w:type="dxa"/>
              <w:bottom w:w="30" w:type="dxa"/>
              <w:right w:w="20" w:type="dxa"/>
            </w:tcMar>
            <w:vAlign w:val="center"/>
            <w:hideMark/>
          </w:tcPr>
          <w:p w14:paraId="13B12E54" w14:textId="77777777" w:rsidR="00000000" w:rsidRDefault="00A173A8">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0F4B0A8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CE0D2B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80063E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04D82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E51E18" w14:textId="77777777" w:rsidR="00000000" w:rsidRDefault="00A173A8">
            <w:pPr>
              <w:spacing w:after="100"/>
              <w:jc w:val="right"/>
              <w:rPr>
                <w:rFonts w:eastAsia="Times New Roman"/>
              </w:rPr>
            </w:pPr>
            <w:r>
              <w:rPr>
                <w:rFonts w:eastAsia="Times New Roman"/>
                <w:color w:val="000000"/>
                <w:sz w:val="18"/>
                <w:szCs w:val="18"/>
              </w:rPr>
              <w:t>(244)</w:t>
            </w:r>
          </w:p>
        </w:tc>
        <w:tc>
          <w:tcPr>
            <w:tcW w:w="0" w:type="auto"/>
            <w:shd w:val="clear" w:color="auto" w:fill="CCEEFF"/>
            <w:tcMar>
              <w:top w:w="30" w:type="dxa"/>
              <w:left w:w="0" w:type="dxa"/>
              <w:bottom w:w="30" w:type="dxa"/>
              <w:right w:w="20" w:type="dxa"/>
            </w:tcMar>
            <w:vAlign w:val="center"/>
            <w:hideMark/>
          </w:tcPr>
          <w:p w14:paraId="76C054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83DD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4B8CD8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0B264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2968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2150A4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C3890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1F77D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F45E8A5" w14:textId="77777777" w:rsidR="00000000" w:rsidRDefault="00A173A8">
            <w:pPr>
              <w:spacing w:after="100"/>
              <w:jc w:val="right"/>
              <w:rPr>
                <w:rFonts w:eastAsia="Times New Roman"/>
              </w:rPr>
            </w:pPr>
            <w:r>
              <w:rPr>
                <w:rFonts w:eastAsia="Times New Roman"/>
                <w:color w:val="000000"/>
                <w:sz w:val="18"/>
                <w:szCs w:val="18"/>
              </w:rPr>
              <w:t>(244)</w:t>
            </w:r>
          </w:p>
        </w:tc>
        <w:tc>
          <w:tcPr>
            <w:tcW w:w="0" w:type="auto"/>
            <w:shd w:val="clear" w:color="auto" w:fill="CCEEFF"/>
            <w:tcMar>
              <w:top w:w="30" w:type="dxa"/>
              <w:left w:w="0" w:type="dxa"/>
              <w:bottom w:w="30" w:type="dxa"/>
              <w:right w:w="20" w:type="dxa"/>
            </w:tcMar>
            <w:vAlign w:val="center"/>
            <w:hideMark/>
          </w:tcPr>
          <w:p w14:paraId="47FAE4D9" w14:textId="77777777" w:rsidR="00000000" w:rsidRDefault="00A173A8">
            <w:pPr>
              <w:spacing w:after="100"/>
              <w:jc w:val="right"/>
              <w:rPr>
                <w:rFonts w:eastAsia="Times New Roman"/>
              </w:rPr>
            </w:pPr>
          </w:p>
        </w:tc>
      </w:tr>
      <w:tr w:rsidR="00000000" w14:paraId="73529A83" w14:textId="77777777">
        <w:trPr>
          <w:divId w:val="1452439917"/>
        </w:trPr>
        <w:tc>
          <w:tcPr>
            <w:tcW w:w="0" w:type="auto"/>
            <w:gridSpan w:val="3"/>
            <w:shd w:val="clear" w:color="auto" w:fill="FFFFFF"/>
            <w:tcMar>
              <w:top w:w="30" w:type="dxa"/>
              <w:left w:w="20" w:type="dxa"/>
              <w:bottom w:w="30" w:type="dxa"/>
              <w:right w:w="20" w:type="dxa"/>
            </w:tcMar>
            <w:vAlign w:val="center"/>
            <w:hideMark/>
          </w:tcPr>
          <w:p w14:paraId="0F8DD1AE" w14:textId="77777777" w:rsidR="00000000" w:rsidRDefault="00A173A8">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4EB1AF31"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19AC05F" w14:textId="77777777" w:rsidR="00000000" w:rsidRDefault="00A173A8">
            <w:pPr>
              <w:spacing w:after="100"/>
              <w:jc w:val="right"/>
              <w:rPr>
                <w:rFonts w:eastAsia="Times New Roman"/>
              </w:rPr>
            </w:pPr>
            <w:r>
              <w:rPr>
                <w:rFonts w:eastAsia="Times New Roman"/>
                <w:color w:val="000000"/>
                <w:sz w:val="18"/>
                <w:szCs w:val="18"/>
              </w:rPr>
              <w:t>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8D2C09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471D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F01573F" w14:textId="77777777" w:rsidR="00000000" w:rsidRDefault="00A173A8">
            <w:pPr>
              <w:spacing w:after="100"/>
              <w:jc w:val="right"/>
              <w:rPr>
                <w:rFonts w:eastAsia="Times New Roman"/>
              </w:rPr>
            </w:pPr>
            <w:r>
              <w:rPr>
                <w:rFonts w:eastAsia="Times New Roman"/>
                <w:color w:val="000000"/>
                <w:sz w:val="18"/>
                <w:szCs w:val="18"/>
              </w:rPr>
              <w:t>(51)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17CE08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F8B2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54AB376" w14:textId="77777777" w:rsidR="00000000" w:rsidRDefault="00A173A8">
            <w:pPr>
              <w:spacing w:after="100"/>
              <w:jc w:val="right"/>
              <w:rPr>
                <w:rFonts w:eastAsia="Times New Roman"/>
              </w:rPr>
            </w:pPr>
            <w:r>
              <w:rPr>
                <w:rFonts w:eastAsia="Times New Roman"/>
                <w:color w:val="000000"/>
                <w:sz w:val="18"/>
                <w:szCs w:val="18"/>
              </w:rPr>
              <w:t>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D36A3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9FA51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18D31CF"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0BC8C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6A3C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8A4DEC2" w14:textId="77777777" w:rsidR="00000000" w:rsidRDefault="00A173A8">
            <w:pPr>
              <w:spacing w:after="100"/>
              <w:jc w:val="right"/>
              <w:rPr>
                <w:rFonts w:eastAsia="Times New Roman"/>
              </w:rPr>
            </w:pPr>
            <w:r>
              <w:rPr>
                <w:rFonts w:eastAsia="Times New Roman"/>
                <w:color w:val="000000"/>
                <w:sz w:val="18"/>
                <w:szCs w:val="18"/>
              </w:rPr>
              <w:t>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02826E" w14:textId="77777777" w:rsidR="00000000" w:rsidRDefault="00A173A8">
            <w:pPr>
              <w:spacing w:after="100"/>
              <w:jc w:val="right"/>
              <w:rPr>
                <w:rFonts w:eastAsia="Times New Roman"/>
              </w:rPr>
            </w:pPr>
          </w:p>
        </w:tc>
      </w:tr>
      <w:tr w:rsidR="00000000" w14:paraId="273901BC" w14:textId="77777777">
        <w:trPr>
          <w:divId w:val="1452439917"/>
        </w:trPr>
        <w:tc>
          <w:tcPr>
            <w:tcW w:w="0" w:type="auto"/>
            <w:gridSpan w:val="3"/>
            <w:shd w:val="clear" w:color="auto" w:fill="CCEEFF"/>
            <w:tcMar>
              <w:top w:w="30" w:type="dxa"/>
              <w:left w:w="20" w:type="dxa"/>
              <w:bottom w:w="30" w:type="dxa"/>
              <w:right w:w="20" w:type="dxa"/>
            </w:tcMar>
            <w:vAlign w:val="center"/>
            <w:hideMark/>
          </w:tcPr>
          <w:p w14:paraId="42FE8AA7" w14:textId="77777777" w:rsidR="00000000" w:rsidRDefault="00A173A8">
            <w:pPr>
              <w:spacing w:after="100"/>
              <w:rPr>
                <w:rFonts w:eastAsia="Times New Roman"/>
              </w:rPr>
            </w:pPr>
            <w:r>
              <w:rPr>
                <w:rFonts w:eastAsia="Times New Roman"/>
                <w:color w:val="000000"/>
                <w:sz w:val="18"/>
                <w:szCs w:val="18"/>
              </w:rPr>
              <w:t>AOCI as of June 30, 2021</w:t>
            </w:r>
          </w:p>
        </w:tc>
        <w:tc>
          <w:tcPr>
            <w:tcW w:w="0" w:type="auto"/>
            <w:gridSpan w:val="3"/>
            <w:shd w:val="clear" w:color="auto" w:fill="CCEEFF"/>
            <w:tcMar>
              <w:top w:w="0" w:type="dxa"/>
              <w:left w:w="20" w:type="dxa"/>
              <w:bottom w:w="0" w:type="dxa"/>
              <w:right w:w="20" w:type="dxa"/>
            </w:tcMar>
            <w:vAlign w:val="center"/>
            <w:hideMark/>
          </w:tcPr>
          <w:p w14:paraId="3A19F445"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0BCDF7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8D5E7B8" w14:textId="77777777" w:rsidR="00000000" w:rsidRDefault="00A173A8">
            <w:pPr>
              <w:spacing w:after="100"/>
              <w:jc w:val="right"/>
              <w:rPr>
                <w:rFonts w:eastAsia="Times New Roman"/>
              </w:rPr>
            </w:pPr>
            <w:r>
              <w:rPr>
                <w:rFonts w:eastAsia="Times New Roman"/>
                <w:color w:val="000000"/>
                <w:sz w:val="18"/>
                <w:szCs w:val="18"/>
              </w:rPr>
              <w:t>1,089 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12751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72D0B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BBE172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68A5510" w14:textId="77777777" w:rsidR="00000000" w:rsidRDefault="00A173A8">
            <w:pPr>
              <w:spacing w:after="100"/>
              <w:jc w:val="right"/>
              <w:rPr>
                <w:rFonts w:eastAsia="Times New Roman"/>
              </w:rPr>
            </w:pPr>
            <w:r>
              <w:rPr>
                <w:rFonts w:eastAsia="Times New Roman"/>
                <w:color w:val="000000"/>
                <w:sz w:val="18"/>
                <w:szCs w:val="18"/>
              </w:rPr>
              <w:t>730 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3EDF4E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8C3D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8DEEAD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AE46073" w14:textId="77777777" w:rsidR="00000000" w:rsidRDefault="00A173A8">
            <w:pPr>
              <w:spacing w:after="100"/>
              <w:jc w:val="right"/>
              <w:rPr>
                <w:rFonts w:eastAsia="Times New Roman"/>
              </w:rPr>
            </w:pPr>
            <w:r>
              <w:rPr>
                <w:rFonts w:eastAsia="Times New Roman"/>
                <w:color w:val="000000"/>
                <w:sz w:val="18"/>
                <w:szCs w:val="18"/>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654D88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4324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C088E5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F49E902" w14:textId="77777777" w:rsidR="00000000" w:rsidRDefault="00A173A8">
            <w:pPr>
              <w:spacing w:after="100"/>
              <w:jc w:val="right"/>
              <w:rPr>
                <w:rFonts w:eastAsia="Times New Roman"/>
              </w:rPr>
            </w:pPr>
            <w:r>
              <w:rPr>
                <w:rFonts w:eastAsia="Times New Roman"/>
                <w:color w:val="000000"/>
                <w:sz w:val="18"/>
                <w:szCs w:val="18"/>
              </w:rPr>
              <w:t>(</w:t>
            </w:r>
            <w:r>
              <w:rPr>
                <w:rFonts w:eastAsia="Times New Roman"/>
                <w:color w:val="000000"/>
                <w:sz w:val="18"/>
                <w:szCs w:val="18"/>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17CFB8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C9F8A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955089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E386918" w14:textId="77777777" w:rsidR="00000000" w:rsidRDefault="00A173A8">
            <w:pPr>
              <w:spacing w:after="100"/>
              <w:jc w:val="right"/>
              <w:rPr>
                <w:rFonts w:eastAsia="Times New Roman"/>
              </w:rPr>
            </w:pPr>
            <w:r>
              <w:rPr>
                <w:rFonts w:eastAsia="Times New Roman"/>
                <w:color w:val="000000"/>
                <w:sz w:val="18"/>
                <w:szCs w:val="18"/>
              </w:rPr>
              <w:t>1,792 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5249370" w14:textId="77777777" w:rsidR="00000000" w:rsidRDefault="00A173A8">
            <w:pPr>
              <w:spacing w:after="100"/>
              <w:jc w:val="right"/>
              <w:rPr>
                <w:rFonts w:eastAsia="Times New Roman"/>
              </w:rPr>
            </w:pPr>
          </w:p>
        </w:tc>
      </w:tr>
    </w:tbl>
    <w:p w14:paraId="51045F2A" w14:textId="77777777" w:rsidR="00000000" w:rsidRDefault="00A173A8">
      <w:pPr>
        <w:divId w:val="14524399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75"/>
        <w:gridCol w:w="38"/>
        <w:gridCol w:w="36"/>
        <w:gridCol w:w="36"/>
        <w:gridCol w:w="36"/>
        <w:gridCol w:w="111"/>
        <w:gridCol w:w="624"/>
        <w:gridCol w:w="36"/>
        <w:gridCol w:w="36"/>
        <w:gridCol w:w="36"/>
        <w:gridCol w:w="36"/>
        <w:gridCol w:w="111"/>
        <w:gridCol w:w="980"/>
        <w:gridCol w:w="36"/>
        <w:gridCol w:w="36"/>
        <w:gridCol w:w="36"/>
        <w:gridCol w:w="36"/>
        <w:gridCol w:w="111"/>
        <w:gridCol w:w="927"/>
        <w:gridCol w:w="36"/>
        <w:gridCol w:w="36"/>
        <w:gridCol w:w="36"/>
        <w:gridCol w:w="36"/>
        <w:gridCol w:w="110"/>
        <w:gridCol w:w="300"/>
        <w:gridCol w:w="36"/>
        <w:gridCol w:w="36"/>
        <w:gridCol w:w="36"/>
        <w:gridCol w:w="36"/>
        <w:gridCol w:w="110"/>
        <w:gridCol w:w="450"/>
        <w:gridCol w:w="36"/>
      </w:tblGrid>
      <w:tr w:rsidR="00000000" w14:paraId="27856FA2" w14:textId="77777777">
        <w:trPr>
          <w:divId w:val="1452439917"/>
        </w:trPr>
        <w:tc>
          <w:tcPr>
            <w:tcW w:w="50" w:type="pct"/>
            <w:vAlign w:val="center"/>
            <w:hideMark/>
          </w:tcPr>
          <w:p w14:paraId="2FC3AE3E" w14:textId="77777777" w:rsidR="00000000" w:rsidRDefault="00A173A8">
            <w:pPr>
              <w:rPr>
                <w:rFonts w:eastAsia="Times New Roman"/>
              </w:rPr>
            </w:pPr>
          </w:p>
        </w:tc>
        <w:tc>
          <w:tcPr>
            <w:tcW w:w="2328" w:type="pct"/>
            <w:vAlign w:val="center"/>
            <w:hideMark/>
          </w:tcPr>
          <w:p w14:paraId="01004E27" w14:textId="77777777" w:rsidR="00000000" w:rsidRDefault="00A173A8">
            <w:pPr>
              <w:spacing w:after="100"/>
              <w:rPr>
                <w:rFonts w:eastAsia="Times New Roman"/>
                <w:sz w:val="20"/>
                <w:szCs w:val="20"/>
              </w:rPr>
            </w:pPr>
          </w:p>
        </w:tc>
        <w:tc>
          <w:tcPr>
            <w:tcW w:w="5" w:type="pct"/>
            <w:vAlign w:val="center"/>
            <w:hideMark/>
          </w:tcPr>
          <w:p w14:paraId="03C2E88B" w14:textId="77777777" w:rsidR="00000000" w:rsidRDefault="00A173A8">
            <w:pPr>
              <w:spacing w:after="100"/>
              <w:rPr>
                <w:rFonts w:eastAsia="Times New Roman"/>
                <w:sz w:val="20"/>
                <w:szCs w:val="20"/>
              </w:rPr>
            </w:pPr>
          </w:p>
        </w:tc>
        <w:tc>
          <w:tcPr>
            <w:tcW w:w="5" w:type="pct"/>
            <w:vAlign w:val="center"/>
            <w:hideMark/>
          </w:tcPr>
          <w:p w14:paraId="675FBCB7" w14:textId="77777777" w:rsidR="00000000" w:rsidRDefault="00A173A8">
            <w:pPr>
              <w:spacing w:after="100"/>
              <w:rPr>
                <w:rFonts w:eastAsia="Times New Roman"/>
                <w:sz w:val="20"/>
                <w:szCs w:val="20"/>
              </w:rPr>
            </w:pPr>
          </w:p>
        </w:tc>
        <w:tc>
          <w:tcPr>
            <w:tcW w:w="26" w:type="pct"/>
            <w:vAlign w:val="center"/>
            <w:hideMark/>
          </w:tcPr>
          <w:p w14:paraId="5ED7A1DC" w14:textId="77777777" w:rsidR="00000000" w:rsidRDefault="00A173A8">
            <w:pPr>
              <w:spacing w:after="100"/>
              <w:rPr>
                <w:rFonts w:eastAsia="Times New Roman"/>
                <w:sz w:val="20"/>
                <w:szCs w:val="20"/>
              </w:rPr>
            </w:pPr>
          </w:p>
        </w:tc>
        <w:tc>
          <w:tcPr>
            <w:tcW w:w="5" w:type="pct"/>
            <w:vAlign w:val="center"/>
            <w:hideMark/>
          </w:tcPr>
          <w:p w14:paraId="11696CA9" w14:textId="77777777" w:rsidR="00000000" w:rsidRDefault="00A173A8">
            <w:pPr>
              <w:spacing w:after="100"/>
              <w:rPr>
                <w:rFonts w:eastAsia="Times New Roman"/>
                <w:sz w:val="20"/>
                <w:szCs w:val="20"/>
              </w:rPr>
            </w:pPr>
          </w:p>
        </w:tc>
        <w:tc>
          <w:tcPr>
            <w:tcW w:w="50" w:type="pct"/>
            <w:vAlign w:val="center"/>
            <w:hideMark/>
          </w:tcPr>
          <w:p w14:paraId="147A4CEA" w14:textId="77777777" w:rsidR="00000000" w:rsidRDefault="00A173A8">
            <w:pPr>
              <w:spacing w:after="100"/>
              <w:rPr>
                <w:rFonts w:eastAsia="Times New Roman"/>
                <w:sz w:val="20"/>
                <w:szCs w:val="20"/>
              </w:rPr>
            </w:pPr>
          </w:p>
        </w:tc>
        <w:tc>
          <w:tcPr>
            <w:tcW w:w="412" w:type="pct"/>
            <w:vAlign w:val="center"/>
            <w:hideMark/>
          </w:tcPr>
          <w:p w14:paraId="32E5655B" w14:textId="77777777" w:rsidR="00000000" w:rsidRDefault="00A173A8">
            <w:pPr>
              <w:spacing w:after="100"/>
              <w:rPr>
                <w:rFonts w:eastAsia="Times New Roman"/>
                <w:sz w:val="20"/>
                <w:szCs w:val="20"/>
              </w:rPr>
            </w:pPr>
          </w:p>
        </w:tc>
        <w:tc>
          <w:tcPr>
            <w:tcW w:w="5" w:type="pct"/>
            <w:vAlign w:val="center"/>
            <w:hideMark/>
          </w:tcPr>
          <w:p w14:paraId="256E1E51" w14:textId="77777777" w:rsidR="00000000" w:rsidRDefault="00A173A8">
            <w:pPr>
              <w:spacing w:after="100"/>
              <w:rPr>
                <w:rFonts w:eastAsia="Times New Roman"/>
                <w:sz w:val="20"/>
                <w:szCs w:val="20"/>
              </w:rPr>
            </w:pPr>
          </w:p>
        </w:tc>
        <w:tc>
          <w:tcPr>
            <w:tcW w:w="5" w:type="pct"/>
            <w:vAlign w:val="center"/>
            <w:hideMark/>
          </w:tcPr>
          <w:p w14:paraId="0C8DBD21" w14:textId="77777777" w:rsidR="00000000" w:rsidRDefault="00A173A8">
            <w:pPr>
              <w:spacing w:after="100"/>
              <w:rPr>
                <w:rFonts w:eastAsia="Times New Roman"/>
                <w:sz w:val="20"/>
                <w:szCs w:val="20"/>
              </w:rPr>
            </w:pPr>
          </w:p>
        </w:tc>
        <w:tc>
          <w:tcPr>
            <w:tcW w:w="26" w:type="pct"/>
            <w:vAlign w:val="center"/>
            <w:hideMark/>
          </w:tcPr>
          <w:p w14:paraId="349D5B34" w14:textId="77777777" w:rsidR="00000000" w:rsidRDefault="00A173A8">
            <w:pPr>
              <w:spacing w:after="100"/>
              <w:rPr>
                <w:rFonts w:eastAsia="Times New Roman"/>
                <w:sz w:val="20"/>
                <w:szCs w:val="20"/>
              </w:rPr>
            </w:pPr>
          </w:p>
        </w:tc>
        <w:tc>
          <w:tcPr>
            <w:tcW w:w="5" w:type="pct"/>
            <w:vAlign w:val="center"/>
            <w:hideMark/>
          </w:tcPr>
          <w:p w14:paraId="13C0A6EC" w14:textId="77777777" w:rsidR="00000000" w:rsidRDefault="00A173A8">
            <w:pPr>
              <w:spacing w:after="100"/>
              <w:rPr>
                <w:rFonts w:eastAsia="Times New Roman"/>
                <w:sz w:val="20"/>
                <w:szCs w:val="20"/>
              </w:rPr>
            </w:pPr>
          </w:p>
        </w:tc>
        <w:tc>
          <w:tcPr>
            <w:tcW w:w="50" w:type="pct"/>
            <w:vAlign w:val="center"/>
            <w:hideMark/>
          </w:tcPr>
          <w:p w14:paraId="60D054B8" w14:textId="77777777" w:rsidR="00000000" w:rsidRDefault="00A173A8">
            <w:pPr>
              <w:spacing w:after="100"/>
              <w:rPr>
                <w:rFonts w:eastAsia="Times New Roman"/>
                <w:sz w:val="20"/>
                <w:szCs w:val="20"/>
              </w:rPr>
            </w:pPr>
          </w:p>
        </w:tc>
        <w:tc>
          <w:tcPr>
            <w:tcW w:w="529" w:type="pct"/>
            <w:vAlign w:val="center"/>
            <w:hideMark/>
          </w:tcPr>
          <w:p w14:paraId="334EFE65" w14:textId="77777777" w:rsidR="00000000" w:rsidRDefault="00A173A8">
            <w:pPr>
              <w:spacing w:after="100"/>
              <w:rPr>
                <w:rFonts w:eastAsia="Times New Roman"/>
                <w:sz w:val="20"/>
                <w:szCs w:val="20"/>
              </w:rPr>
            </w:pPr>
          </w:p>
        </w:tc>
        <w:tc>
          <w:tcPr>
            <w:tcW w:w="5" w:type="pct"/>
            <w:vAlign w:val="center"/>
            <w:hideMark/>
          </w:tcPr>
          <w:p w14:paraId="78824394" w14:textId="77777777" w:rsidR="00000000" w:rsidRDefault="00A173A8">
            <w:pPr>
              <w:spacing w:after="100"/>
              <w:rPr>
                <w:rFonts w:eastAsia="Times New Roman"/>
                <w:sz w:val="20"/>
                <w:szCs w:val="20"/>
              </w:rPr>
            </w:pPr>
          </w:p>
        </w:tc>
        <w:tc>
          <w:tcPr>
            <w:tcW w:w="5" w:type="pct"/>
            <w:vAlign w:val="center"/>
            <w:hideMark/>
          </w:tcPr>
          <w:p w14:paraId="38676B45" w14:textId="77777777" w:rsidR="00000000" w:rsidRDefault="00A173A8">
            <w:pPr>
              <w:spacing w:after="100"/>
              <w:rPr>
                <w:rFonts w:eastAsia="Times New Roman"/>
                <w:sz w:val="20"/>
                <w:szCs w:val="20"/>
              </w:rPr>
            </w:pPr>
          </w:p>
        </w:tc>
        <w:tc>
          <w:tcPr>
            <w:tcW w:w="26" w:type="pct"/>
            <w:vAlign w:val="center"/>
            <w:hideMark/>
          </w:tcPr>
          <w:p w14:paraId="728AFC1F" w14:textId="77777777" w:rsidR="00000000" w:rsidRDefault="00A173A8">
            <w:pPr>
              <w:spacing w:after="100"/>
              <w:rPr>
                <w:rFonts w:eastAsia="Times New Roman"/>
                <w:sz w:val="20"/>
                <w:szCs w:val="20"/>
              </w:rPr>
            </w:pPr>
          </w:p>
        </w:tc>
        <w:tc>
          <w:tcPr>
            <w:tcW w:w="5" w:type="pct"/>
            <w:vAlign w:val="center"/>
            <w:hideMark/>
          </w:tcPr>
          <w:p w14:paraId="58F72B18" w14:textId="77777777" w:rsidR="00000000" w:rsidRDefault="00A173A8">
            <w:pPr>
              <w:spacing w:after="100"/>
              <w:rPr>
                <w:rFonts w:eastAsia="Times New Roman"/>
                <w:sz w:val="20"/>
                <w:szCs w:val="20"/>
              </w:rPr>
            </w:pPr>
          </w:p>
        </w:tc>
        <w:tc>
          <w:tcPr>
            <w:tcW w:w="50" w:type="pct"/>
            <w:vAlign w:val="center"/>
            <w:hideMark/>
          </w:tcPr>
          <w:p w14:paraId="1D3D1F0C" w14:textId="77777777" w:rsidR="00000000" w:rsidRDefault="00A173A8">
            <w:pPr>
              <w:spacing w:after="100"/>
              <w:rPr>
                <w:rFonts w:eastAsia="Times New Roman"/>
                <w:sz w:val="20"/>
                <w:szCs w:val="20"/>
              </w:rPr>
            </w:pPr>
          </w:p>
        </w:tc>
        <w:tc>
          <w:tcPr>
            <w:tcW w:w="507" w:type="pct"/>
            <w:vAlign w:val="center"/>
            <w:hideMark/>
          </w:tcPr>
          <w:p w14:paraId="4CDCD558" w14:textId="77777777" w:rsidR="00000000" w:rsidRDefault="00A173A8">
            <w:pPr>
              <w:spacing w:after="100"/>
              <w:rPr>
                <w:rFonts w:eastAsia="Times New Roman"/>
                <w:sz w:val="20"/>
                <w:szCs w:val="20"/>
              </w:rPr>
            </w:pPr>
          </w:p>
        </w:tc>
        <w:tc>
          <w:tcPr>
            <w:tcW w:w="5" w:type="pct"/>
            <w:vAlign w:val="center"/>
            <w:hideMark/>
          </w:tcPr>
          <w:p w14:paraId="4EF15D78" w14:textId="77777777" w:rsidR="00000000" w:rsidRDefault="00A173A8">
            <w:pPr>
              <w:spacing w:after="100"/>
              <w:rPr>
                <w:rFonts w:eastAsia="Times New Roman"/>
                <w:sz w:val="20"/>
                <w:szCs w:val="20"/>
              </w:rPr>
            </w:pPr>
          </w:p>
        </w:tc>
        <w:tc>
          <w:tcPr>
            <w:tcW w:w="5" w:type="pct"/>
            <w:vAlign w:val="center"/>
            <w:hideMark/>
          </w:tcPr>
          <w:p w14:paraId="1C9BAFE5" w14:textId="77777777" w:rsidR="00000000" w:rsidRDefault="00A173A8">
            <w:pPr>
              <w:spacing w:after="100"/>
              <w:rPr>
                <w:rFonts w:eastAsia="Times New Roman"/>
                <w:sz w:val="20"/>
                <w:szCs w:val="20"/>
              </w:rPr>
            </w:pPr>
          </w:p>
        </w:tc>
        <w:tc>
          <w:tcPr>
            <w:tcW w:w="26" w:type="pct"/>
            <w:vAlign w:val="center"/>
            <w:hideMark/>
          </w:tcPr>
          <w:p w14:paraId="1BB79BDE" w14:textId="77777777" w:rsidR="00000000" w:rsidRDefault="00A173A8">
            <w:pPr>
              <w:spacing w:after="100"/>
              <w:rPr>
                <w:rFonts w:eastAsia="Times New Roman"/>
                <w:sz w:val="20"/>
                <w:szCs w:val="20"/>
              </w:rPr>
            </w:pPr>
          </w:p>
        </w:tc>
        <w:tc>
          <w:tcPr>
            <w:tcW w:w="5" w:type="pct"/>
            <w:vAlign w:val="center"/>
            <w:hideMark/>
          </w:tcPr>
          <w:p w14:paraId="6DE3458C" w14:textId="77777777" w:rsidR="00000000" w:rsidRDefault="00A173A8">
            <w:pPr>
              <w:spacing w:after="100"/>
              <w:rPr>
                <w:rFonts w:eastAsia="Times New Roman"/>
                <w:sz w:val="20"/>
                <w:szCs w:val="20"/>
              </w:rPr>
            </w:pPr>
          </w:p>
        </w:tc>
        <w:tc>
          <w:tcPr>
            <w:tcW w:w="50" w:type="pct"/>
            <w:vAlign w:val="center"/>
            <w:hideMark/>
          </w:tcPr>
          <w:p w14:paraId="42F00B03" w14:textId="77777777" w:rsidR="00000000" w:rsidRDefault="00A173A8">
            <w:pPr>
              <w:spacing w:after="100"/>
              <w:rPr>
                <w:rFonts w:eastAsia="Times New Roman"/>
                <w:sz w:val="20"/>
                <w:szCs w:val="20"/>
              </w:rPr>
            </w:pPr>
          </w:p>
        </w:tc>
        <w:tc>
          <w:tcPr>
            <w:tcW w:w="354" w:type="pct"/>
            <w:vAlign w:val="center"/>
            <w:hideMark/>
          </w:tcPr>
          <w:p w14:paraId="0DE35560" w14:textId="77777777" w:rsidR="00000000" w:rsidRDefault="00A173A8">
            <w:pPr>
              <w:spacing w:after="100"/>
              <w:rPr>
                <w:rFonts w:eastAsia="Times New Roman"/>
                <w:sz w:val="20"/>
                <w:szCs w:val="20"/>
              </w:rPr>
            </w:pPr>
          </w:p>
        </w:tc>
        <w:tc>
          <w:tcPr>
            <w:tcW w:w="5" w:type="pct"/>
            <w:vAlign w:val="center"/>
            <w:hideMark/>
          </w:tcPr>
          <w:p w14:paraId="654EEAD6" w14:textId="77777777" w:rsidR="00000000" w:rsidRDefault="00A173A8">
            <w:pPr>
              <w:spacing w:after="100"/>
              <w:rPr>
                <w:rFonts w:eastAsia="Times New Roman"/>
                <w:sz w:val="20"/>
                <w:szCs w:val="20"/>
              </w:rPr>
            </w:pPr>
          </w:p>
        </w:tc>
        <w:tc>
          <w:tcPr>
            <w:tcW w:w="5" w:type="pct"/>
            <w:vAlign w:val="center"/>
            <w:hideMark/>
          </w:tcPr>
          <w:p w14:paraId="1F93FEF8" w14:textId="77777777" w:rsidR="00000000" w:rsidRDefault="00A173A8">
            <w:pPr>
              <w:spacing w:after="100"/>
              <w:rPr>
                <w:rFonts w:eastAsia="Times New Roman"/>
                <w:sz w:val="20"/>
                <w:szCs w:val="20"/>
              </w:rPr>
            </w:pPr>
          </w:p>
        </w:tc>
        <w:tc>
          <w:tcPr>
            <w:tcW w:w="26" w:type="pct"/>
            <w:vAlign w:val="center"/>
            <w:hideMark/>
          </w:tcPr>
          <w:p w14:paraId="0BA920CD" w14:textId="77777777" w:rsidR="00000000" w:rsidRDefault="00A173A8">
            <w:pPr>
              <w:spacing w:after="100"/>
              <w:rPr>
                <w:rFonts w:eastAsia="Times New Roman"/>
                <w:sz w:val="20"/>
                <w:szCs w:val="20"/>
              </w:rPr>
            </w:pPr>
          </w:p>
        </w:tc>
        <w:tc>
          <w:tcPr>
            <w:tcW w:w="5" w:type="pct"/>
            <w:vAlign w:val="center"/>
            <w:hideMark/>
          </w:tcPr>
          <w:p w14:paraId="725C0E7E" w14:textId="77777777" w:rsidR="00000000" w:rsidRDefault="00A173A8">
            <w:pPr>
              <w:spacing w:after="100"/>
              <w:rPr>
                <w:rFonts w:eastAsia="Times New Roman"/>
                <w:sz w:val="20"/>
                <w:szCs w:val="20"/>
              </w:rPr>
            </w:pPr>
          </w:p>
        </w:tc>
        <w:tc>
          <w:tcPr>
            <w:tcW w:w="50" w:type="pct"/>
            <w:vAlign w:val="center"/>
            <w:hideMark/>
          </w:tcPr>
          <w:p w14:paraId="50A4F68D" w14:textId="77777777" w:rsidR="00000000" w:rsidRDefault="00A173A8">
            <w:pPr>
              <w:spacing w:after="100"/>
              <w:rPr>
                <w:rFonts w:eastAsia="Times New Roman"/>
                <w:sz w:val="20"/>
                <w:szCs w:val="20"/>
              </w:rPr>
            </w:pPr>
          </w:p>
        </w:tc>
        <w:tc>
          <w:tcPr>
            <w:tcW w:w="354" w:type="pct"/>
            <w:vAlign w:val="center"/>
            <w:hideMark/>
          </w:tcPr>
          <w:p w14:paraId="639365F3" w14:textId="77777777" w:rsidR="00000000" w:rsidRDefault="00A173A8">
            <w:pPr>
              <w:spacing w:after="100"/>
              <w:rPr>
                <w:rFonts w:eastAsia="Times New Roman"/>
                <w:sz w:val="20"/>
                <w:szCs w:val="20"/>
              </w:rPr>
            </w:pPr>
          </w:p>
        </w:tc>
        <w:tc>
          <w:tcPr>
            <w:tcW w:w="5" w:type="pct"/>
            <w:vAlign w:val="center"/>
            <w:hideMark/>
          </w:tcPr>
          <w:p w14:paraId="28BAF63E" w14:textId="77777777" w:rsidR="00000000" w:rsidRDefault="00A173A8">
            <w:pPr>
              <w:spacing w:after="100"/>
              <w:rPr>
                <w:rFonts w:eastAsia="Times New Roman"/>
                <w:sz w:val="20"/>
                <w:szCs w:val="20"/>
              </w:rPr>
            </w:pPr>
          </w:p>
        </w:tc>
      </w:tr>
      <w:tr w:rsidR="00000000" w14:paraId="54D4D560" w14:textId="77777777">
        <w:trPr>
          <w:divId w:val="1452439917"/>
        </w:trPr>
        <w:tc>
          <w:tcPr>
            <w:tcW w:w="0" w:type="auto"/>
            <w:gridSpan w:val="3"/>
            <w:tcMar>
              <w:top w:w="0" w:type="dxa"/>
              <w:left w:w="20" w:type="dxa"/>
              <w:bottom w:w="0" w:type="dxa"/>
              <w:right w:w="20" w:type="dxa"/>
            </w:tcMar>
            <w:vAlign w:val="center"/>
            <w:hideMark/>
          </w:tcPr>
          <w:p w14:paraId="45185BC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86283A"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7FC21CB9" w14:textId="77777777" w:rsidR="00000000" w:rsidRDefault="00A173A8">
            <w:pPr>
              <w:spacing w:after="100"/>
              <w:jc w:val="center"/>
              <w:rPr>
                <w:rFonts w:eastAsia="Times New Roman"/>
              </w:rPr>
            </w:pPr>
            <w:r>
              <w:rPr>
                <w:rFonts w:eastAsia="Times New Roman"/>
                <w:b/>
                <w:bCs/>
                <w:color w:val="000000"/>
                <w:sz w:val="16"/>
                <w:szCs w:val="16"/>
              </w:rPr>
              <w:t>Six Months Ended June 30, 2021</w:t>
            </w:r>
          </w:p>
        </w:tc>
      </w:tr>
      <w:tr w:rsidR="00000000" w14:paraId="21E60624" w14:textId="77777777">
        <w:trPr>
          <w:divId w:val="1452439917"/>
        </w:trPr>
        <w:tc>
          <w:tcPr>
            <w:tcW w:w="0" w:type="auto"/>
            <w:gridSpan w:val="3"/>
            <w:tcMar>
              <w:top w:w="30" w:type="dxa"/>
              <w:left w:w="20" w:type="dxa"/>
              <w:bottom w:w="30" w:type="dxa"/>
              <w:right w:w="20" w:type="dxa"/>
            </w:tcMar>
            <w:vAlign w:val="bottom"/>
            <w:hideMark/>
          </w:tcPr>
          <w:p w14:paraId="040A9A92"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25D88C96"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961D25" w14:textId="77777777" w:rsidR="00000000" w:rsidRDefault="00A173A8">
            <w:pPr>
              <w:spacing w:after="100"/>
              <w:jc w:val="center"/>
              <w:rPr>
                <w:rFonts w:eastAsia="Times New Roman"/>
              </w:rPr>
            </w:pPr>
            <w:r>
              <w:rPr>
                <w:rFonts w:eastAsia="Times New Roman"/>
                <w:b/>
                <w:bCs/>
                <w:color w:val="000000"/>
                <w:sz w:val="16"/>
                <w:szCs w:val="16"/>
              </w:rPr>
              <w:t>Securities Available for Sale</w:t>
            </w:r>
          </w:p>
        </w:tc>
        <w:tc>
          <w:tcPr>
            <w:tcW w:w="0" w:type="auto"/>
            <w:gridSpan w:val="3"/>
            <w:tcBorders>
              <w:top w:val="single" w:sz="8" w:space="0" w:color="000000"/>
            </w:tcBorders>
            <w:tcMar>
              <w:top w:w="0" w:type="dxa"/>
              <w:left w:w="20" w:type="dxa"/>
              <w:bottom w:w="0" w:type="dxa"/>
              <w:right w:w="20" w:type="dxa"/>
            </w:tcMar>
            <w:vAlign w:val="center"/>
            <w:hideMark/>
          </w:tcPr>
          <w:p w14:paraId="3CE91FA9"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705CC0" w14:textId="77777777" w:rsidR="00000000" w:rsidRDefault="00A173A8">
            <w:pPr>
              <w:spacing w:after="100"/>
              <w:jc w:val="center"/>
              <w:rPr>
                <w:rFonts w:eastAsia="Times New Roman"/>
              </w:rPr>
            </w:pPr>
            <w:r>
              <w:rPr>
                <w:rFonts w:eastAsia="Times New Roman"/>
                <w:b/>
                <w:bCs/>
                <w:color w:val="000000"/>
                <w:sz w:val="16"/>
                <w:szCs w:val="16"/>
              </w:rPr>
              <w:t>Hedging Relationship</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FA3211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396C6A" w14:textId="77777777" w:rsidR="00000000" w:rsidRDefault="00A173A8">
            <w:pPr>
              <w:spacing w:after="100"/>
              <w:jc w:val="center"/>
              <w:rPr>
                <w:rFonts w:eastAsia="Times New Roman"/>
              </w:rPr>
            </w:pPr>
            <w:r>
              <w:rPr>
                <w:rFonts w:eastAsia="Times New Roman"/>
                <w:b/>
                <w:bCs/>
                <w:color w:val="000000"/>
                <w:sz w:val="16"/>
                <w:szCs w:val="16"/>
              </w:rPr>
              <w:t>Foreign Currency Translation Adjustment</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600D80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6D57BD" w14:textId="77777777" w:rsidR="00000000" w:rsidRDefault="00A173A8">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14:paraId="72CBF8E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179619"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1896A30F" w14:textId="77777777">
        <w:trPr>
          <w:divId w:val="1452439917"/>
        </w:trPr>
        <w:tc>
          <w:tcPr>
            <w:tcW w:w="0" w:type="auto"/>
            <w:gridSpan w:val="3"/>
            <w:vAlign w:val="center"/>
            <w:hideMark/>
          </w:tcPr>
          <w:p w14:paraId="10864A61" w14:textId="77777777" w:rsidR="00000000" w:rsidRDefault="00A173A8">
            <w:pPr>
              <w:spacing w:after="100"/>
              <w:jc w:val="center"/>
              <w:rPr>
                <w:rFonts w:eastAsia="Times New Roman"/>
              </w:rPr>
            </w:pPr>
          </w:p>
        </w:tc>
        <w:tc>
          <w:tcPr>
            <w:tcW w:w="0" w:type="auto"/>
            <w:gridSpan w:val="3"/>
            <w:vAlign w:val="center"/>
            <w:hideMark/>
          </w:tcPr>
          <w:p w14:paraId="0AE020AA" w14:textId="77777777" w:rsidR="00000000" w:rsidRDefault="00A173A8">
            <w:pPr>
              <w:spacing w:after="100"/>
              <w:rPr>
                <w:rFonts w:eastAsia="Times New Roman"/>
                <w:sz w:val="20"/>
                <w:szCs w:val="20"/>
              </w:rPr>
            </w:pPr>
          </w:p>
        </w:tc>
        <w:tc>
          <w:tcPr>
            <w:tcW w:w="0" w:type="auto"/>
            <w:gridSpan w:val="3"/>
            <w:vAlign w:val="center"/>
            <w:hideMark/>
          </w:tcPr>
          <w:p w14:paraId="5351E0CA" w14:textId="77777777" w:rsidR="00000000" w:rsidRDefault="00A173A8">
            <w:pPr>
              <w:spacing w:after="100"/>
              <w:rPr>
                <w:rFonts w:eastAsia="Times New Roman"/>
                <w:sz w:val="20"/>
                <w:szCs w:val="20"/>
              </w:rPr>
            </w:pPr>
          </w:p>
        </w:tc>
        <w:tc>
          <w:tcPr>
            <w:tcW w:w="0" w:type="auto"/>
            <w:gridSpan w:val="3"/>
            <w:vAlign w:val="center"/>
            <w:hideMark/>
          </w:tcPr>
          <w:p w14:paraId="072986B8" w14:textId="77777777" w:rsidR="00000000" w:rsidRDefault="00A173A8">
            <w:pPr>
              <w:spacing w:after="100"/>
              <w:rPr>
                <w:rFonts w:eastAsia="Times New Roman"/>
                <w:sz w:val="20"/>
                <w:szCs w:val="20"/>
              </w:rPr>
            </w:pPr>
          </w:p>
        </w:tc>
        <w:tc>
          <w:tcPr>
            <w:tcW w:w="0" w:type="auto"/>
            <w:gridSpan w:val="3"/>
            <w:vAlign w:val="center"/>
            <w:hideMark/>
          </w:tcPr>
          <w:p w14:paraId="5F21F272" w14:textId="77777777" w:rsidR="00000000" w:rsidRDefault="00A173A8">
            <w:pPr>
              <w:spacing w:after="100"/>
              <w:rPr>
                <w:rFonts w:eastAsia="Times New Roman"/>
                <w:sz w:val="20"/>
                <w:szCs w:val="20"/>
              </w:rPr>
            </w:pPr>
          </w:p>
        </w:tc>
        <w:tc>
          <w:tcPr>
            <w:tcW w:w="0" w:type="auto"/>
            <w:gridSpan w:val="3"/>
            <w:vAlign w:val="center"/>
            <w:hideMark/>
          </w:tcPr>
          <w:p w14:paraId="345EE2B2" w14:textId="77777777" w:rsidR="00000000" w:rsidRDefault="00A173A8">
            <w:pPr>
              <w:spacing w:after="100"/>
              <w:rPr>
                <w:rFonts w:eastAsia="Times New Roman"/>
                <w:sz w:val="20"/>
                <w:szCs w:val="20"/>
              </w:rPr>
            </w:pPr>
          </w:p>
        </w:tc>
        <w:tc>
          <w:tcPr>
            <w:tcW w:w="0" w:type="auto"/>
            <w:gridSpan w:val="3"/>
            <w:vAlign w:val="center"/>
            <w:hideMark/>
          </w:tcPr>
          <w:p w14:paraId="372B93FE" w14:textId="77777777" w:rsidR="00000000" w:rsidRDefault="00A173A8">
            <w:pPr>
              <w:spacing w:after="100"/>
              <w:rPr>
                <w:rFonts w:eastAsia="Times New Roman"/>
                <w:sz w:val="20"/>
                <w:szCs w:val="20"/>
              </w:rPr>
            </w:pPr>
          </w:p>
        </w:tc>
        <w:tc>
          <w:tcPr>
            <w:tcW w:w="0" w:type="auto"/>
            <w:gridSpan w:val="3"/>
            <w:vAlign w:val="center"/>
            <w:hideMark/>
          </w:tcPr>
          <w:p w14:paraId="1DD93C23" w14:textId="77777777" w:rsidR="00000000" w:rsidRDefault="00A173A8">
            <w:pPr>
              <w:spacing w:after="100"/>
              <w:rPr>
                <w:rFonts w:eastAsia="Times New Roman"/>
                <w:sz w:val="20"/>
                <w:szCs w:val="20"/>
              </w:rPr>
            </w:pPr>
          </w:p>
        </w:tc>
        <w:tc>
          <w:tcPr>
            <w:tcW w:w="0" w:type="auto"/>
            <w:gridSpan w:val="3"/>
            <w:vAlign w:val="center"/>
            <w:hideMark/>
          </w:tcPr>
          <w:p w14:paraId="31E4BB6B" w14:textId="77777777" w:rsidR="00000000" w:rsidRDefault="00A173A8">
            <w:pPr>
              <w:spacing w:after="100"/>
              <w:rPr>
                <w:rFonts w:eastAsia="Times New Roman"/>
                <w:sz w:val="20"/>
                <w:szCs w:val="20"/>
              </w:rPr>
            </w:pPr>
          </w:p>
        </w:tc>
        <w:tc>
          <w:tcPr>
            <w:tcW w:w="0" w:type="auto"/>
            <w:gridSpan w:val="3"/>
            <w:vAlign w:val="center"/>
            <w:hideMark/>
          </w:tcPr>
          <w:p w14:paraId="2EF6D442" w14:textId="77777777" w:rsidR="00000000" w:rsidRDefault="00A173A8">
            <w:pPr>
              <w:spacing w:after="100"/>
              <w:rPr>
                <w:rFonts w:eastAsia="Times New Roman"/>
                <w:sz w:val="20"/>
                <w:szCs w:val="20"/>
              </w:rPr>
            </w:pPr>
          </w:p>
        </w:tc>
        <w:tc>
          <w:tcPr>
            <w:tcW w:w="0" w:type="auto"/>
            <w:gridSpan w:val="3"/>
            <w:vAlign w:val="center"/>
            <w:hideMark/>
          </w:tcPr>
          <w:p w14:paraId="4E39C064" w14:textId="77777777" w:rsidR="00000000" w:rsidRDefault="00A173A8">
            <w:pPr>
              <w:spacing w:after="100"/>
              <w:rPr>
                <w:rFonts w:eastAsia="Times New Roman"/>
                <w:sz w:val="20"/>
                <w:szCs w:val="20"/>
              </w:rPr>
            </w:pPr>
          </w:p>
        </w:tc>
      </w:tr>
      <w:tr w:rsidR="00000000" w14:paraId="7BF5DA49" w14:textId="77777777">
        <w:trPr>
          <w:divId w:val="1452439917"/>
        </w:trPr>
        <w:tc>
          <w:tcPr>
            <w:tcW w:w="0" w:type="auto"/>
            <w:gridSpan w:val="3"/>
            <w:vAlign w:val="center"/>
            <w:hideMark/>
          </w:tcPr>
          <w:p w14:paraId="65FA2B0C" w14:textId="77777777" w:rsidR="00000000" w:rsidRDefault="00A173A8">
            <w:pPr>
              <w:spacing w:after="100"/>
              <w:rPr>
                <w:rFonts w:eastAsia="Times New Roman"/>
                <w:sz w:val="20"/>
                <w:szCs w:val="20"/>
              </w:rPr>
            </w:pPr>
          </w:p>
        </w:tc>
        <w:tc>
          <w:tcPr>
            <w:tcW w:w="0" w:type="auto"/>
            <w:gridSpan w:val="3"/>
            <w:vAlign w:val="center"/>
            <w:hideMark/>
          </w:tcPr>
          <w:p w14:paraId="495258D4" w14:textId="77777777" w:rsidR="00000000" w:rsidRDefault="00A173A8">
            <w:pPr>
              <w:spacing w:after="100"/>
              <w:rPr>
                <w:rFonts w:eastAsia="Times New Roman"/>
                <w:sz w:val="20"/>
                <w:szCs w:val="20"/>
              </w:rPr>
            </w:pPr>
          </w:p>
        </w:tc>
        <w:tc>
          <w:tcPr>
            <w:tcW w:w="0" w:type="auto"/>
            <w:gridSpan w:val="3"/>
            <w:vAlign w:val="center"/>
            <w:hideMark/>
          </w:tcPr>
          <w:p w14:paraId="7726A550" w14:textId="77777777" w:rsidR="00000000" w:rsidRDefault="00A173A8">
            <w:pPr>
              <w:spacing w:after="100"/>
              <w:rPr>
                <w:rFonts w:eastAsia="Times New Roman"/>
                <w:sz w:val="20"/>
                <w:szCs w:val="20"/>
              </w:rPr>
            </w:pPr>
          </w:p>
        </w:tc>
        <w:tc>
          <w:tcPr>
            <w:tcW w:w="0" w:type="auto"/>
            <w:gridSpan w:val="3"/>
            <w:vAlign w:val="center"/>
            <w:hideMark/>
          </w:tcPr>
          <w:p w14:paraId="20A0E846" w14:textId="77777777" w:rsidR="00000000" w:rsidRDefault="00A173A8">
            <w:pPr>
              <w:spacing w:after="100"/>
              <w:rPr>
                <w:rFonts w:eastAsia="Times New Roman"/>
                <w:sz w:val="20"/>
                <w:szCs w:val="20"/>
              </w:rPr>
            </w:pPr>
          </w:p>
        </w:tc>
        <w:tc>
          <w:tcPr>
            <w:tcW w:w="0" w:type="auto"/>
            <w:gridSpan w:val="3"/>
            <w:vAlign w:val="center"/>
            <w:hideMark/>
          </w:tcPr>
          <w:p w14:paraId="57FB82CB" w14:textId="77777777" w:rsidR="00000000" w:rsidRDefault="00A173A8">
            <w:pPr>
              <w:spacing w:after="100"/>
              <w:rPr>
                <w:rFonts w:eastAsia="Times New Roman"/>
                <w:sz w:val="20"/>
                <w:szCs w:val="20"/>
              </w:rPr>
            </w:pPr>
          </w:p>
        </w:tc>
        <w:tc>
          <w:tcPr>
            <w:tcW w:w="0" w:type="auto"/>
            <w:gridSpan w:val="3"/>
            <w:vAlign w:val="center"/>
            <w:hideMark/>
          </w:tcPr>
          <w:p w14:paraId="66D59CE1" w14:textId="77777777" w:rsidR="00000000" w:rsidRDefault="00A173A8">
            <w:pPr>
              <w:spacing w:after="100"/>
              <w:rPr>
                <w:rFonts w:eastAsia="Times New Roman"/>
                <w:sz w:val="20"/>
                <w:szCs w:val="20"/>
              </w:rPr>
            </w:pPr>
          </w:p>
        </w:tc>
        <w:tc>
          <w:tcPr>
            <w:tcW w:w="0" w:type="auto"/>
            <w:gridSpan w:val="3"/>
            <w:vAlign w:val="center"/>
            <w:hideMark/>
          </w:tcPr>
          <w:p w14:paraId="2BF05C99" w14:textId="77777777" w:rsidR="00000000" w:rsidRDefault="00A173A8">
            <w:pPr>
              <w:spacing w:after="100"/>
              <w:rPr>
                <w:rFonts w:eastAsia="Times New Roman"/>
                <w:sz w:val="20"/>
                <w:szCs w:val="20"/>
              </w:rPr>
            </w:pPr>
          </w:p>
        </w:tc>
        <w:tc>
          <w:tcPr>
            <w:tcW w:w="0" w:type="auto"/>
            <w:gridSpan w:val="3"/>
            <w:vAlign w:val="center"/>
            <w:hideMark/>
          </w:tcPr>
          <w:p w14:paraId="3F1D32E6" w14:textId="77777777" w:rsidR="00000000" w:rsidRDefault="00A173A8">
            <w:pPr>
              <w:spacing w:after="100"/>
              <w:rPr>
                <w:rFonts w:eastAsia="Times New Roman"/>
                <w:sz w:val="20"/>
                <w:szCs w:val="20"/>
              </w:rPr>
            </w:pPr>
          </w:p>
        </w:tc>
        <w:tc>
          <w:tcPr>
            <w:tcW w:w="0" w:type="auto"/>
            <w:gridSpan w:val="3"/>
            <w:vAlign w:val="center"/>
            <w:hideMark/>
          </w:tcPr>
          <w:p w14:paraId="5E3668CF" w14:textId="77777777" w:rsidR="00000000" w:rsidRDefault="00A173A8">
            <w:pPr>
              <w:spacing w:after="100"/>
              <w:rPr>
                <w:rFonts w:eastAsia="Times New Roman"/>
                <w:sz w:val="20"/>
                <w:szCs w:val="20"/>
              </w:rPr>
            </w:pPr>
          </w:p>
        </w:tc>
        <w:tc>
          <w:tcPr>
            <w:tcW w:w="0" w:type="auto"/>
            <w:gridSpan w:val="3"/>
            <w:vAlign w:val="center"/>
            <w:hideMark/>
          </w:tcPr>
          <w:p w14:paraId="685FC36F" w14:textId="77777777" w:rsidR="00000000" w:rsidRDefault="00A173A8">
            <w:pPr>
              <w:spacing w:after="100"/>
              <w:rPr>
                <w:rFonts w:eastAsia="Times New Roman"/>
                <w:sz w:val="20"/>
                <w:szCs w:val="20"/>
              </w:rPr>
            </w:pPr>
          </w:p>
        </w:tc>
        <w:tc>
          <w:tcPr>
            <w:tcW w:w="0" w:type="auto"/>
            <w:gridSpan w:val="3"/>
            <w:vAlign w:val="center"/>
            <w:hideMark/>
          </w:tcPr>
          <w:p w14:paraId="3CD96B4A" w14:textId="77777777" w:rsidR="00000000" w:rsidRDefault="00A173A8">
            <w:pPr>
              <w:spacing w:after="100"/>
              <w:rPr>
                <w:rFonts w:eastAsia="Times New Roman"/>
                <w:sz w:val="20"/>
                <w:szCs w:val="20"/>
              </w:rPr>
            </w:pPr>
          </w:p>
        </w:tc>
      </w:tr>
      <w:tr w:rsidR="00000000" w14:paraId="6EA90F40" w14:textId="77777777">
        <w:trPr>
          <w:divId w:val="1452439917"/>
        </w:trPr>
        <w:tc>
          <w:tcPr>
            <w:tcW w:w="0" w:type="auto"/>
            <w:gridSpan w:val="3"/>
            <w:vAlign w:val="center"/>
            <w:hideMark/>
          </w:tcPr>
          <w:p w14:paraId="21C40BA5" w14:textId="77777777" w:rsidR="00000000" w:rsidRDefault="00A173A8">
            <w:pPr>
              <w:spacing w:after="100"/>
              <w:rPr>
                <w:rFonts w:eastAsia="Times New Roman"/>
                <w:sz w:val="20"/>
                <w:szCs w:val="20"/>
              </w:rPr>
            </w:pPr>
          </w:p>
        </w:tc>
        <w:tc>
          <w:tcPr>
            <w:tcW w:w="0" w:type="auto"/>
            <w:gridSpan w:val="3"/>
            <w:vAlign w:val="center"/>
            <w:hideMark/>
          </w:tcPr>
          <w:p w14:paraId="78FF8CC8" w14:textId="77777777" w:rsidR="00000000" w:rsidRDefault="00A173A8">
            <w:pPr>
              <w:spacing w:after="100"/>
              <w:rPr>
                <w:rFonts w:eastAsia="Times New Roman"/>
                <w:sz w:val="20"/>
                <w:szCs w:val="20"/>
              </w:rPr>
            </w:pPr>
          </w:p>
        </w:tc>
        <w:tc>
          <w:tcPr>
            <w:tcW w:w="0" w:type="auto"/>
            <w:gridSpan w:val="3"/>
            <w:vAlign w:val="center"/>
            <w:hideMark/>
          </w:tcPr>
          <w:p w14:paraId="7EC8DEAC" w14:textId="77777777" w:rsidR="00000000" w:rsidRDefault="00A173A8">
            <w:pPr>
              <w:spacing w:after="100"/>
              <w:rPr>
                <w:rFonts w:eastAsia="Times New Roman"/>
                <w:sz w:val="20"/>
                <w:szCs w:val="20"/>
              </w:rPr>
            </w:pPr>
          </w:p>
        </w:tc>
        <w:tc>
          <w:tcPr>
            <w:tcW w:w="0" w:type="auto"/>
            <w:gridSpan w:val="3"/>
            <w:vAlign w:val="center"/>
            <w:hideMark/>
          </w:tcPr>
          <w:p w14:paraId="7B135CCC" w14:textId="77777777" w:rsidR="00000000" w:rsidRDefault="00A173A8">
            <w:pPr>
              <w:spacing w:after="100"/>
              <w:rPr>
                <w:rFonts w:eastAsia="Times New Roman"/>
                <w:sz w:val="20"/>
                <w:szCs w:val="20"/>
              </w:rPr>
            </w:pPr>
          </w:p>
        </w:tc>
        <w:tc>
          <w:tcPr>
            <w:tcW w:w="0" w:type="auto"/>
            <w:gridSpan w:val="3"/>
            <w:vAlign w:val="center"/>
            <w:hideMark/>
          </w:tcPr>
          <w:p w14:paraId="30DC091A" w14:textId="77777777" w:rsidR="00000000" w:rsidRDefault="00A173A8">
            <w:pPr>
              <w:spacing w:after="100"/>
              <w:rPr>
                <w:rFonts w:eastAsia="Times New Roman"/>
                <w:sz w:val="20"/>
                <w:szCs w:val="20"/>
              </w:rPr>
            </w:pPr>
          </w:p>
        </w:tc>
        <w:tc>
          <w:tcPr>
            <w:tcW w:w="0" w:type="auto"/>
            <w:gridSpan w:val="3"/>
            <w:vAlign w:val="center"/>
            <w:hideMark/>
          </w:tcPr>
          <w:p w14:paraId="04560231" w14:textId="77777777" w:rsidR="00000000" w:rsidRDefault="00A173A8">
            <w:pPr>
              <w:spacing w:after="100"/>
              <w:rPr>
                <w:rFonts w:eastAsia="Times New Roman"/>
                <w:sz w:val="20"/>
                <w:szCs w:val="20"/>
              </w:rPr>
            </w:pPr>
          </w:p>
        </w:tc>
        <w:tc>
          <w:tcPr>
            <w:tcW w:w="0" w:type="auto"/>
            <w:gridSpan w:val="3"/>
            <w:vAlign w:val="center"/>
            <w:hideMark/>
          </w:tcPr>
          <w:p w14:paraId="729EB9CF" w14:textId="77777777" w:rsidR="00000000" w:rsidRDefault="00A173A8">
            <w:pPr>
              <w:spacing w:after="100"/>
              <w:rPr>
                <w:rFonts w:eastAsia="Times New Roman"/>
                <w:sz w:val="20"/>
                <w:szCs w:val="20"/>
              </w:rPr>
            </w:pPr>
          </w:p>
        </w:tc>
        <w:tc>
          <w:tcPr>
            <w:tcW w:w="0" w:type="auto"/>
            <w:gridSpan w:val="3"/>
            <w:vAlign w:val="center"/>
            <w:hideMark/>
          </w:tcPr>
          <w:p w14:paraId="4E4B3A40" w14:textId="77777777" w:rsidR="00000000" w:rsidRDefault="00A173A8">
            <w:pPr>
              <w:spacing w:after="100"/>
              <w:rPr>
                <w:rFonts w:eastAsia="Times New Roman"/>
                <w:sz w:val="20"/>
                <w:szCs w:val="20"/>
              </w:rPr>
            </w:pPr>
          </w:p>
        </w:tc>
        <w:tc>
          <w:tcPr>
            <w:tcW w:w="0" w:type="auto"/>
            <w:gridSpan w:val="3"/>
            <w:vAlign w:val="center"/>
            <w:hideMark/>
          </w:tcPr>
          <w:p w14:paraId="3706936D" w14:textId="77777777" w:rsidR="00000000" w:rsidRDefault="00A173A8">
            <w:pPr>
              <w:spacing w:after="100"/>
              <w:rPr>
                <w:rFonts w:eastAsia="Times New Roman"/>
                <w:sz w:val="20"/>
                <w:szCs w:val="20"/>
              </w:rPr>
            </w:pPr>
          </w:p>
        </w:tc>
        <w:tc>
          <w:tcPr>
            <w:tcW w:w="0" w:type="auto"/>
            <w:gridSpan w:val="3"/>
            <w:vAlign w:val="center"/>
            <w:hideMark/>
          </w:tcPr>
          <w:p w14:paraId="12527ED6" w14:textId="77777777" w:rsidR="00000000" w:rsidRDefault="00A173A8">
            <w:pPr>
              <w:spacing w:after="100"/>
              <w:rPr>
                <w:rFonts w:eastAsia="Times New Roman"/>
                <w:sz w:val="20"/>
                <w:szCs w:val="20"/>
              </w:rPr>
            </w:pPr>
          </w:p>
        </w:tc>
        <w:tc>
          <w:tcPr>
            <w:tcW w:w="0" w:type="auto"/>
            <w:gridSpan w:val="3"/>
            <w:vAlign w:val="center"/>
            <w:hideMark/>
          </w:tcPr>
          <w:p w14:paraId="01D8A11A" w14:textId="77777777" w:rsidR="00000000" w:rsidRDefault="00A173A8">
            <w:pPr>
              <w:spacing w:after="100"/>
              <w:rPr>
                <w:rFonts w:eastAsia="Times New Roman"/>
                <w:sz w:val="20"/>
                <w:szCs w:val="20"/>
              </w:rPr>
            </w:pPr>
          </w:p>
        </w:tc>
      </w:tr>
      <w:tr w:rsidR="00000000" w14:paraId="3637FE31" w14:textId="77777777">
        <w:trPr>
          <w:divId w:val="1452439917"/>
        </w:trPr>
        <w:tc>
          <w:tcPr>
            <w:tcW w:w="0" w:type="auto"/>
            <w:gridSpan w:val="3"/>
            <w:vAlign w:val="center"/>
            <w:hideMark/>
          </w:tcPr>
          <w:p w14:paraId="66BAFBEB" w14:textId="77777777" w:rsidR="00000000" w:rsidRDefault="00A173A8">
            <w:pPr>
              <w:spacing w:after="100"/>
              <w:rPr>
                <w:rFonts w:eastAsia="Times New Roman"/>
                <w:sz w:val="20"/>
                <w:szCs w:val="20"/>
              </w:rPr>
            </w:pPr>
          </w:p>
        </w:tc>
        <w:tc>
          <w:tcPr>
            <w:tcW w:w="0" w:type="auto"/>
            <w:gridSpan w:val="3"/>
            <w:vAlign w:val="center"/>
            <w:hideMark/>
          </w:tcPr>
          <w:p w14:paraId="2E5F45E8" w14:textId="77777777" w:rsidR="00000000" w:rsidRDefault="00A173A8">
            <w:pPr>
              <w:spacing w:after="100"/>
              <w:rPr>
                <w:rFonts w:eastAsia="Times New Roman"/>
                <w:sz w:val="20"/>
                <w:szCs w:val="20"/>
              </w:rPr>
            </w:pPr>
          </w:p>
        </w:tc>
        <w:tc>
          <w:tcPr>
            <w:tcW w:w="0" w:type="auto"/>
            <w:gridSpan w:val="3"/>
            <w:vAlign w:val="center"/>
            <w:hideMark/>
          </w:tcPr>
          <w:p w14:paraId="18099F77" w14:textId="77777777" w:rsidR="00000000" w:rsidRDefault="00A173A8">
            <w:pPr>
              <w:spacing w:after="100"/>
              <w:rPr>
                <w:rFonts w:eastAsia="Times New Roman"/>
                <w:sz w:val="20"/>
                <w:szCs w:val="20"/>
              </w:rPr>
            </w:pPr>
          </w:p>
        </w:tc>
        <w:tc>
          <w:tcPr>
            <w:tcW w:w="0" w:type="auto"/>
            <w:gridSpan w:val="3"/>
            <w:vAlign w:val="center"/>
            <w:hideMark/>
          </w:tcPr>
          <w:p w14:paraId="443744F6" w14:textId="77777777" w:rsidR="00000000" w:rsidRDefault="00A173A8">
            <w:pPr>
              <w:spacing w:after="100"/>
              <w:rPr>
                <w:rFonts w:eastAsia="Times New Roman"/>
                <w:sz w:val="20"/>
                <w:szCs w:val="20"/>
              </w:rPr>
            </w:pPr>
          </w:p>
        </w:tc>
        <w:tc>
          <w:tcPr>
            <w:tcW w:w="0" w:type="auto"/>
            <w:gridSpan w:val="3"/>
            <w:vAlign w:val="center"/>
            <w:hideMark/>
          </w:tcPr>
          <w:p w14:paraId="175D7C11" w14:textId="77777777" w:rsidR="00000000" w:rsidRDefault="00A173A8">
            <w:pPr>
              <w:spacing w:after="100"/>
              <w:rPr>
                <w:rFonts w:eastAsia="Times New Roman"/>
                <w:sz w:val="20"/>
                <w:szCs w:val="20"/>
              </w:rPr>
            </w:pPr>
          </w:p>
        </w:tc>
        <w:tc>
          <w:tcPr>
            <w:tcW w:w="0" w:type="auto"/>
            <w:gridSpan w:val="3"/>
            <w:vAlign w:val="center"/>
            <w:hideMark/>
          </w:tcPr>
          <w:p w14:paraId="786D64D3" w14:textId="77777777" w:rsidR="00000000" w:rsidRDefault="00A173A8">
            <w:pPr>
              <w:spacing w:after="100"/>
              <w:rPr>
                <w:rFonts w:eastAsia="Times New Roman"/>
                <w:sz w:val="20"/>
                <w:szCs w:val="20"/>
              </w:rPr>
            </w:pPr>
          </w:p>
        </w:tc>
        <w:tc>
          <w:tcPr>
            <w:tcW w:w="0" w:type="auto"/>
            <w:gridSpan w:val="3"/>
            <w:vAlign w:val="center"/>
            <w:hideMark/>
          </w:tcPr>
          <w:p w14:paraId="17C1EBE4" w14:textId="77777777" w:rsidR="00000000" w:rsidRDefault="00A173A8">
            <w:pPr>
              <w:spacing w:after="100"/>
              <w:rPr>
                <w:rFonts w:eastAsia="Times New Roman"/>
                <w:sz w:val="20"/>
                <w:szCs w:val="20"/>
              </w:rPr>
            </w:pPr>
          </w:p>
        </w:tc>
        <w:tc>
          <w:tcPr>
            <w:tcW w:w="0" w:type="auto"/>
            <w:gridSpan w:val="3"/>
            <w:vAlign w:val="center"/>
            <w:hideMark/>
          </w:tcPr>
          <w:p w14:paraId="05833969" w14:textId="77777777" w:rsidR="00000000" w:rsidRDefault="00A173A8">
            <w:pPr>
              <w:spacing w:after="100"/>
              <w:rPr>
                <w:rFonts w:eastAsia="Times New Roman"/>
                <w:sz w:val="20"/>
                <w:szCs w:val="20"/>
              </w:rPr>
            </w:pPr>
          </w:p>
        </w:tc>
        <w:tc>
          <w:tcPr>
            <w:tcW w:w="0" w:type="auto"/>
            <w:gridSpan w:val="3"/>
            <w:vAlign w:val="center"/>
            <w:hideMark/>
          </w:tcPr>
          <w:p w14:paraId="163E31BC" w14:textId="77777777" w:rsidR="00000000" w:rsidRDefault="00A173A8">
            <w:pPr>
              <w:spacing w:after="100"/>
              <w:rPr>
                <w:rFonts w:eastAsia="Times New Roman"/>
                <w:sz w:val="20"/>
                <w:szCs w:val="20"/>
              </w:rPr>
            </w:pPr>
          </w:p>
        </w:tc>
        <w:tc>
          <w:tcPr>
            <w:tcW w:w="0" w:type="auto"/>
            <w:gridSpan w:val="3"/>
            <w:vAlign w:val="center"/>
            <w:hideMark/>
          </w:tcPr>
          <w:p w14:paraId="6B06C2CD" w14:textId="77777777" w:rsidR="00000000" w:rsidRDefault="00A173A8">
            <w:pPr>
              <w:spacing w:after="100"/>
              <w:rPr>
                <w:rFonts w:eastAsia="Times New Roman"/>
                <w:sz w:val="20"/>
                <w:szCs w:val="20"/>
              </w:rPr>
            </w:pPr>
          </w:p>
        </w:tc>
        <w:tc>
          <w:tcPr>
            <w:tcW w:w="0" w:type="auto"/>
            <w:gridSpan w:val="3"/>
            <w:vAlign w:val="center"/>
            <w:hideMark/>
          </w:tcPr>
          <w:p w14:paraId="7D6C1394" w14:textId="77777777" w:rsidR="00000000" w:rsidRDefault="00A173A8">
            <w:pPr>
              <w:spacing w:after="100"/>
              <w:rPr>
                <w:rFonts w:eastAsia="Times New Roman"/>
                <w:sz w:val="20"/>
                <w:szCs w:val="20"/>
              </w:rPr>
            </w:pPr>
          </w:p>
        </w:tc>
      </w:tr>
      <w:tr w:rsidR="00000000" w14:paraId="4821E869" w14:textId="77777777">
        <w:trPr>
          <w:divId w:val="1452439917"/>
        </w:trPr>
        <w:tc>
          <w:tcPr>
            <w:tcW w:w="0" w:type="auto"/>
            <w:gridSpan w:val="3"/>
            <w:vAlign w:val="center"/>
            <w:hideMark/>
          </w:tcPr>
          <w:p w14:paraId="1D1F6728" w14:textId="77777777" w:rsidR="00000000" w:rsidRDefault="00A173A8">
            <w:pPr>
              <w:spacing w:after="100"/>
              <w:rPr>
                <w:rFonts w:eastAsia="Times New Roman"/>
                <w:sz w:val="20"/>
                <w:szCs w:val="20"/>
              </w:rPr>
            </w:pPr>
          </w:p>
        </w:tc>
        <w:tc>
          <w:tcPr>
            <w:tcW w:w="0" w:type="auto"/>
            <w:gridSpan w:val="3"/>
            <w:vAlign w:val="center"/>
            <w:hideMark/>
          </w:tcPr>
          <w:p w14:paraId="58C53CB3" w14:textId="77777777" w:rsidR="00000000" w:rsidRDefault="00A173A8">
            <w:pPr>
              <w:spacing w:after="100"/>
              <w:rPr>
                <w:rFonts w:eastAsia="Times New Roman"/>
                <w:sz w:val="20"/>
                <w:szCs w:val="20"/>
              </w:rPr>
            </w:pPr>
          </w:p>
        </w:tc>
        <w:tc>
          <w:tcPr>
            <w:tcW w:w="0" w:type="auto"/>
            <w:gridSpan w:val="3"/>
            <w:vAlign w:val="center"/>
            <w:hideMark/>
          </w:tcPr>
          <w:p w14:paraId="21B690B2" w14:textId="77777777" w:rsidR="00000000" w:rsidRDefault="00A173A8">
            <w:pPr>
              <w:spacing w:after="100"/>
              <w:rPr>
                <w:rFonts w:eastAsia="Times New Roman"/>
                <w:sz w:val="20"/>
                <w:szCs w:val="20"/>
              </w:rPr>
            </w:pPr>
          </w:p>
        </w:tc>
        <w:tc>
          <w:tcPr>
            <w:tcW w:w="0" w:type="auto"/>
            <w:gridSpan w:val="3"/>
            <w:vAlign w:val="center"/>
            <w:hideMark/>
          </w:tcPr>
          <w:p w14:paraId="73D9C531" w14:textId="77777777" w:rsidR="00000000" w:rsidRDefault="00A173A8">
            <w:pPr>
              <w:spacing w:after="100"/>
              <w:rPr>
                <w:rFonts w:eastAsia="Times New Roman"/>
                <w:sz w:val="20"/>
                <w:szCs w:val="20"/>
              </w:rPr>
            </w:pPr>
          </w:p>
        </w:tc>
        <w:tc>
          <w:tcPr>
            <w:tcW w:w="0" w:type="auto"/>
            <w:gridSpan w:val="3"/>
            <w:vAlign w:val="center"/>
            <w:hideMark/>
          </w:tcPr>
          <w:p w14:paraId="046EE26A" w14:textId="77777777" w:rsidR="00000000" w:rsidRDefault="00A173A8">
            <w:pPr>
              <w:spacing w:after="100"/>
              <w:rPr>
                <w:rFonts w:eastAsia="Times New Roman"/>
                <w:sz w:val="20"/>
                <w:szCs w:val="20"/>
              </w:rPr>
            </w:pPr>
          </w:p>
        </w:tc>
        <w:tc>
          <w:tcPr>
            <w:tcW w:w="0" w:type="auto"/>
            <w:gridSpan w:val="3"/>
            <w:vAlign w:val="center"/>
            <w:hideMark/>
          </w:tcPr>
          <w:p w14:paraId="2CF0A87E" w14:textId="77777777" w:rsidR="00000000" w:rsidRDefault="00A173A8">
            <w:pPr>
              <w:spacing w:after="100"/>
              <w:rPr>
                <w:rFonts w:eastAsia="Times New Roman"/>
                <w:sz w:val="20"/>
                <w:szCs w:val="20"/>
              </w:rPr>
            </w:pPr>
          </w:p>
        </w:tc>
        <w:tc>
          <w:tcPr>
            <w:tcW w:w="0" w:type="auto"/>
            <w:gridSpan w:val="3"/>
            <w:vAlign w:val="center"/>
            <w:hideMark/>
          </w:tcPr>
          <w:p w14:paraId="277CB527" w14:textId="77777777" w:rsidR="00000000" w:rsidRDefault="00A173A8">
            <w:pPr>
              <w:spacing w:after="100"/>
              <w:rPr>
                <w:rFonts w:eastAsia="Times New Roman"/>
                <w:sz w:val="20"/>
                <w:szCs w:val="20"/>
              </w:rPr>
            </w:pPr>
          </w:p>
        </w:tc>
        <w:tc>
          <w:tcPr>
            <w:tcW w:w="0" w:type="auto"/>
            <w:gridSpan w:val="3"/>
            <w:vAlign w:val="center"/>
            <w:hideMark/>
          </w:tcPr>
          <w:p w14:paraId="763E68AA" w14:textId="77777777" w:rsidR="00000000" w:rsidRDefault="00A173A8">
            <w:pPr>
              <w:spacing w:after="100"/>
              <w:rPr>
                <w:rFonts w:eastAsia="Times New Roman"/>
                <w:sz w:val="20"/>
                <w:szCs w:val="20"/>
              </w:rPr>
            </w:pPr>
          </w:p>
        </w:tc>
        <w:tc>
          <w:tcPr>
            <w:tcW w:w="0" w:type="auto"/>
            <w:gridSpan w:val="3"/>
            <w:vAlign w:val="center"/>
            <w:hideMark/>
          </w:tcPr>
          <w:p w14:paraId="5342373F" w14:textId="77777777" w:rsidR="00000000" w:rsidRDefault="00A173A8">
            <w:pPr>
              <w:spacing w:after="100"/>
              <w:rPr>
                <w:rFonts w:eastAsia="Times New Roman"/>
                <w:sz w:val="20"/>
                <w:szCs w:val="20"/>
              </w:rPr>
            </w:pPr>
          </w:p>
        </w:tc>
        <w:tc>
          <w:tcPr>
            <w:tcW w:w="0" w:type="auto"/>
            <w:gridSpan w:val="3"/>
            <w:vAlign w:val="center"/>
            <w:hideMark/>
          </w:tcPr>
          <w:p w14:paraId="2E4E3E89" w14:textId="77777777" w:rsidR="00000000" w:rsidRDefault="00A173A8">
            <w:pPr>
              <w:spacing w:after="100"/>
              <w:rPr>
                <w:rFonts w:eastAsia="Times New Roman"/>
                <w:sz w:val="20"/>
                <w:szCs w:val="20"/>
              </w:rPr>
            </w:pPr>
          </w:p>
        </w:tc>
        <w:tc>
          <w:tcPr>
            <w:tcW w:w="0" w:type="auto"/>
            <w:gridSpan w:val="3"/>
            <w:vAlign w:val="center"/>
            <w:hideMark/>
          </w:tcPr>
          <w:p w14:paraId="0AC1CEA9" w14:textId="77777777" w:rsidR="00000000" w:rsidRDefault="00A173A8">
            <w:pPr>
              <w:spacing w:after="100"/>
              <w:rPr>
                <w:rFonts w:eastAsia="Times New Roman"/>
                <w:sz w:val="20"/>
                <w:szCs w:val="20"/>
              </w:rPr>
            </w:pPr>
          </w:p>
        </w:tc>
      </w:tr>
      <w:tr w:rsidR="00000000" w14:paraId="1FA5B638" w14:textId="77777777">
        <w:trPr>
          <w:divId w:val="1452439917"/>
        </w:trPr>
        <w:tc>
          <w:tcPr>
            <w:tcW w:w="0" w:type="auto"/>
            <w:gridSpan w:val="3"/>
            <w:vAlign w:val="center"/>
            <w:hideMark/>
          </w:tcPr>
          <w:p w14:paraId="57DDD4C4" w14:textId="77777777" w:rsidR="00000000" w:rsidRDefault="00A173A8">
            <w:pPr>
              <w:spacing w:after="100"/>
              <w:rPr>
                <w:rFonts w:eastAsia="Times New Roman"/>
                <w:sz w:val="20"/>
                <w:szCs w:val="20"/>
              </w:rPr>
            </w:pPr>
          </w:p>
        </w:tc>
        <w:tc>
          <w:tcPr>
            <w:tcW w:w="0" w:type="auto"/>
            <w:gridSpan w:val="3"/>
            <w:vAlign w:val="center"/>
            <w:hideMark/>
          </w:tcPr>
          <w:p w14:paraId="74384E1F" w14:textId="77777777" w:rsidR="00000000" w:rsidRDefault="00A173A8">
            <w:pPr>
              <w:spacing w:after="100"/>
              <w:rPr>
                <w:rFonts w:eastAsia="Times New Roman"/>
                <w:sz w:val="20"/>
                <w:szCs w:val="20"/>
              </w:rPr>
            </w:pPr>
          </w:p>
        </w:tc>
        <w:tc>
          <w:tcPr>
            <w:tcW w:w="0" w:type="auto"/>
            <w:gridSpan w:val="3"/>
            <w:vAlign w:val="center"/>
            <w:hideMark/>
          </w:tcPr>
          <w:p w14:paraId="2F1A032F" w14:textId="77777777" w:rsidR="00000000" w:rsidRDefault="00A173A8">
            <w:pPr>
              <w:spacing w:after="100"/>
              <w:rPr>
                <w:rFonts w:eastAsia="Times New Roman"/>
                <w:sz w:val="20"/>
                <w:szCs w:val="20"/>
              </w:rPr>
            </w:pPr>
          </w:p>
        </w:tc>
        <w:tc>
          <w:tcPr>
            <w:tcW w:w="0" w:type="auto"/>
            <w:gridSpan w:val="3"/>
            <w:vAlign w:val="center"/>
            <w:hideMark/>
          </w:tcPr>
          <w:p w14:paraId="13F8E8BC" w14:textId="77777777" w:rsidR="00000000" w:rsidRDefault="00A173A8">
            <w:pPr>
              <w:spacing w:after="100"/>
              <w:rPr>
                <w:rFonts w:eastAsia="Times New Roman"/>
                <w:sz w:val="20"/>
                <w:szCs w:val="20"/>
              </w:rPr>
            </w:pPr>
          </w:p>
        </w:tc>
        <w:tc>
          <w:tcPr>
            <w:tcW w:w="0" w:type="auto"/>
            <w:gridSpan w:val="3"/>
            <w:vAlign w:val="center"/>
            <w:hideMark/>
          </w:tcPr>
          <w:p w14:paraId="4F0532C9" w14:textId="77777777" w:rsidR="00000000" w:rsidRDefault="00A173A8">
            <w:pPr>
              <w:spacing w:after="100"/>
              <w:rPr>
                <w:rFonts w:eastAsia="Times New Roman"/>
                <w:sz w:val="20"/>
                <w:szCs w:val="20"/>
              </w:rPr>
            </w:pPr>
          </w:p>
        </w:tc>
        <w:tc>
          <w:tcPr>
            <w:tcW w:w="0" w:type="auto"/>
            <w:gridSpan w:val="3"/>
            <w:vAlign w:val="center"/>
            <w:hideMark/>
          </w:tcPr>
          <w:p w14:paraId="157A3598" w14:textId="77777777" w:rsidR="00000000" w:rsidRDefault="00A173A8">
            <w:pPr>
              <w:spacing w:after="100"/>
              <w:rPr>
                <w:rFonts w:eastAsia="Times New Roman"/>
                <w:sz w:val="20"/>
                <w:szCs w:val="20"/>
              </w:rPr>
            </w:pPr>
          </w:p>
        </w:tc>
        <w:tc>
          <w:tcPr>
            <w:tcW w:w="0" w:type="auto"/>
            <w:gridSpan w:val="3"/>
            <w:vAlign w:val="center"/>
            <w:hideMark/>
          </w:tcPr>
          <w:p w14:paraId="0C66C344" w14:textId="77777777" w:rsidR="00000000" w:rsidRDefault="00A173A8">
            <w:pPr>
              <w:spacing w:after="100"/>
              <w:rPr>
                <w:rFonts w:eastAsia="Times New Roman"/>
                <w:sz w:val="20"/>
                <w:szCs w:val="20"/>
              </w:rPr>
            </w:pPr>
          </w:p>
        </w:tc>
        <w:tc>
          <w:tcPr>
            <w:tcW w:w="0" w:type="auto"/>
            <w:gridSpan w:val="3"/>
            <w:vAlign w:val="center"/>
            <w:hideMark/>
          </w:tcPr>
          <w:p w14:paraId="5D5DC046" w14:textId="77777777" w:rsidR="00000000" w:rsidRDefault="00A173A8">
            <w:pPr>
              <w:spacing w:after="100"/>
              <w:rPr>
                <w:rFonts w:eastAsia="Times New Roman"/>
                <w:sz w:val="20"/>
                <w:szCs w:val="20"/>
              </w:rPr>
            </w:pPr>
          </w:p>
        </w:tc>
        <w:tc>
          <w:tcPr>
            <w:tcW w:w="0" w:type="auto"/>
            <w:gridSpan w:val="3"/>
            <w:vAlign w:val="center"/>
            <w:hideMark/>
          </w:tcPr>
          <w:p w14:paraId="70A61C96" w14:textId="77777777" w:rsidR="00000000" w:rsidRDefault="00A173A8">
            <w:pPr>
              <w:spacing w:after="100"/>
              <w:rPr>
                <w:rFonts w:eastAsia="Times New Roman"/>
                <w:sz w:val="20"/>
                <w:szCs w:val="20"/>
              </w:rPr>
            </w:pPr>
          </w:p>
        </w:tc>
        <w:tc>
          <w:tcPr>
            <w:tcW w:w="0" w:type="auto"/>
            <w:gridSpan w:val="3"/>
            <w:vAlign w:val="center"/>
            <w:hideMark/>
          </w:tcPr>
          <w:p w14:paraId="2FA39A8F" w14:textId="77777777" w:rsidR="00000000" w:rsidRDefault="00A173A8">
            <w:pPr>
              <w:spacing w:after="100"/>
              <w:rPr>
                <w:rFonts w:eastAsia="Times New Roman"/>
                <w:sz w:val="20"/>
                <w:szCs w:val="20"/>
              </w:rPr>
            </w:pPr>
          </w:p>
        </w:tc>
        <w:tc>
          <w:tcPr>
            <w:tcW w:w="0" w:type="auto"/>
            <w:gridSpan w:val="3"/>
            <w:vAlign w:val="center"/>
            <w:hideMark/>
          </w:tcPr>
          <w:p w14:paraId="326D215D" w14:textId="77777777" w:rsidR="00000000" w:rsidRDefault="00A173A8">
            <w:pPr>
              <w:spacing w:after="100"/>
              <w:rPr>
                <w:rFonts w:eastAsia="Times New Roman"/>
                <w:sz w:val="20"/>
                <w:szCs w:val="20"/>
              </w:rPr>
            </w:pPr>
          </w:p>
        </w:tc>
      </w:tr>
      <w:tr w:rsidR="00000000" w14:paraId="599A560C" w14:textId="77777777">
        <w:trPr>
          <w:divId w:val="1452439917"/>
        </w:trPr>
        <w:tc>
          <w:tcPr>
            <w:tcW w:w="0" w:type="auto"/>
            <w:gridSpan w:val="3"/>
            <w:vAlign w:val="center"/>
            <w:hideMark/>
          </w:tcPr>
          <w:p w14:paraId="334C361F" w14:textId="77777777" w:rsidR="00000000" w:rsidRDefault="00A173A8">
            <w:pPr>
              <w:spacing w:after="100"/>
              <w:rPr>
                <w:rFonts w:eastAsia="Times New Roman"/>
                <w:sz w:val="20"/>
                <w:szCs w:val="20"/>
              </w:rPr>
            </w:pPr>
          </w:p>
        </w:tc>
        <w:tc>
          <w:tcPr>
            <w:tcW w:w="0" w:type="auto"/>
            <w:gridSpan w:val="3"/>
            <w:vAlign w:val="center"/>
            <w:hideMark/>
          </w:tcPr>
          <w:p w14:paraId="0DC50A72" w14:textId="77777777" w:rsidR="00000000" w:rsidRDefault="00A173A8">
            <w:pPr>
              <w:spacing w:after="100"/>
              <w:rPr>
                <w:rFonts w:eastAsia="Times New Roman"/>
                <w:sz w:val="20"/>
                <w:szCs w:val="20"/>
              </w:rPr>
            </w:pPr>
          </w:p>
        </w:tc>
        <w:tc>
          <w:tcPr>
            <w:tcW w:w="0" w:type="auto"/>
            <w:gridSpan w:val="3"/>
            <w:vAlign w:val="center"/>
            <w:hideMark/>
          </w:tcPr>
          <w:p w14:paraId="5B2E8051" w14:textId="77777777" w:rsidR="00000000" w:rsidRDefault="00A173A8">
            <w:pPr>
              <w:spacing w:after="100"/>
              <w:rPr>
                <w:rFonts w:eastAsia="Times New Roman"/>
                <w:sz w:val="20"/>
                <w:szCs w:val="20"/>
              </w:rPr>
            </w:pPr>
          </w:p>
        </w:tc>
        <w:tc>
          <w:tcPr>
            <w:tcW w:w="0" w:type="auto"/>
            <w:gridSpan w:val="3"/>
            <w:vAlign w:val="center"/>
            <w:hideMark/>
          </w:tcPr>
          <w:p w14:paraId="21FD9984" w14:textId="77777777" w:rsidR="00000000" w:rsidRDefault="00A173A8">
            <w:pPr>
              <w:spacing w:after="100"/>
              <w:rPr>
                <w:rFonts w:eastAsia="Times New Roman"/>
                <w:sz w:val="20"/>
                <w:szCs w:val="20"/>
              </w:rPr>
            </w:pPr>
          </w:p>
        </w:tc>
        <w:tc>
          <w:tcPr>
            <w:tcW w:w="0" w:type="auto"/>
            <w:gridSpan w:val="3"/>
            <w:vAlign w:val="center"/>
            <w:hideMark/>
          </w:tcPr>
          <w:p w14:paraId="18F71A9F" w14:textId="77777777" w:rsidR="00000000" w:rsidRDefault="00A173A8">
            <w:pPr>
              <w:spacing w:after="100"/>
              <w:rPr>
                <w:rFonts w:eastAsia="Times New Roman"/>
                <w:sz w:val="20"/>
                <w:szCs w:val="20"/>
              </w:rPr>
            </w:pPr>
          </w:p>
        </w:tc>
        <w:tc>
          <w:tcPr>
            <w:tcW w:w="0" w:type="auto"/>
            <w:gridSpan w:val="3"/>
            <w:vAlign w:val="center"/>
            <w:hideMark/>
          </w:tcPr>
          <w:p w14:paraId="5AC50C0B" w14:textId="77777777" w:rsidR="00000000" w:rsidRDefault="00A173A8">
            <w:pPr>
              <w:spacing w:after="100"/>
              <w:rPr>
                <w:rFonts w:eastAsia="Times New Roman"/>
                <w:sz w:val="20"/>
                <w:szCs w:val="20"/>
              </w:rPr>
            </w:pPr>
          </w:p>
        </w:tc>
        <w:tc>
          <w:tcPr>
            <w:tcW w:w="0" w:type="auto"/>
            <w:gridSpan w:val="3"/>
            <w:vAlign w:val="center"/>
            <w:hideMark/>
          </w:tcPr>
          <w:p w14:paraId="546BEA5F" w14:textId="77777777" w:rsidR="00000000" w:rsidRDefault="00A173A8">
            <w:pPr>
              <w:spacing w:after="100"/>
              <w:rPr>
                <w:rFonts w:eastAsia="Times New Roman"/>
                <w:sz w:val="20"/>
                <w:szCs w:val="20"/>
              </w:rPr>
            </w:pPr>
          </w:p>
        </w:tc>
        <w:tc>
          <w:tcPr>
            <w:tcW w:w="0" w:type="auto"/>
            <w:gridSpan w:val="3"/>
            <w:vAlign w:val="center"/>
            <w:hideMark/>
          </w:tcPr>
          <w:p w14:paraId="4B0B1953" w14:textId="77777777" w:rsidR="00000000" w:rsidRDefault="00A173A8">
            <w:pPr>
              <w:spacing w:after="100"/>
              <w:rPr>
                <w:rFonts w:eastAsia="Times New Roman"/>
                <w:sz w:val="20"/>
                <w:szCs w:val="20"/>
              </w:rPr>
            </w:pPr>
          </w:p>
        </w:tc>
        <w:tc>
          <w:tcPr>
            <w:tcW w:w="0" w:type="auto"/>
            <w:gridSpan w:val="3"/>
            <w:vAlign w:val="center"/>
            <w:hideMark/>
          </w:tcPr>
          <w:p w14:paraId="03D764B1" w14:textId="77777777" w:rsidR="00000000" w:rsidRDefault="00A173A8">
            <w:pPr>
              <w:spacing w:after="100"/>
              <w:rPr>
                <w:rFonts w:eastAsia="Times New Roman"/>
                <w:sz w:val="20"/>
                <w:szCs w:val="20"/>
              </w:rPr>
            </w:pPr>
          </w:p>
        </w:tc>
        <w:tc>
          <w:tcPr>
            <w:tcW w:w="0" w:type="auto"/>
            <w:gridSpan w:val="3"/>
            <w:vAlign w:val="center"/>
            <w:hideMark/>
          </w:tcPr>
          <w:p w14:paraId="793E7E1D" w14:textId="77777777" w:rsidR="00000000" w:rsidRDefault="00A173A8">
            <w:pPr>
              <w:spacing w:after="100"/>
              <w:rPr>
                <w:rFonts w:eastAsia="Times New Roman"/>
                <w:sz w:val="20"/>
                <w:szCs w:val="20"/>
              </w:rPr>
            </w:pPr>
          </w:p>
        </w:tc>
        <w:tc>
          <w:tcPr>
            <w:tcW w:w="0" w:type="auto"/>
            <w:gridSpan w:val="3"/>
            <w:vAlign w:val="center"/>
            <w:hideMark/>
          </w:tcPr>
          <w:p w14:paraId="6D7917FE" w14:textId="77777777" w:rsidR="00000000" w:rsidRDefault="00A173A8">
            <w:pPr>
              <w:spacing w:after="100"/>
              <w:rPr>
                <w:rFonts w:eastAsia="Times New Roman"/>
                <w:sz w:val="20"/>
                <w:szCs w:val="20"/>
              </w:rPr>
            </w:pPr>
          </w:p>
        </w:tc>
      </w:tr>
      <w:tr w:rsidR="00000000" w14:paraId="5A94DBB4" w14:textId="77777777">
        <w:trPr>
          <w:divId w:val="1452439917"/>
        </w:trPr>
        <w:tc>
          <w:tcPr>
            <w:tcW w:w="0" w:type="auto"/>
            <w:gridSpan w:val="3"/>
            <w:vAlign w:val="center"/>
            <w:hideMark/>
          </w:tcPr>
          <w:p w14:paraId="10E3DE0F" w14:textId="77777777" w:rsidR="00000000" w:rsidRDefault="00A173A8">
            <w:pPr>
              <w:spacing w:after="100"/>
              <w:rPr>
                <w:rFonts w:eastAsia="Times New Roman"/>
                <w:sz w:val="20"/>
                <w:szCs w:val="20"/>
              </w:rPr>
            </w:pPr>
          </w:p>
        </w:tc>
        <w:tc>
          <w:tcPr>
            <w:tcW w:w="0" w:type="auto"/>
            <w:gridSpan w:val="3"/>
            <w:vAlign w:val="center"/>
            <w:hideMark/>
          </w:tcPr>
          <w:p w14:paraId="10CA94CF" w14:textId="77777777" w:rsidR="00000000" w:rsidRDefault="00A173A8">
            <w:pPr>
              <w:spacing w:after="100"/>
              <w:rPr>
                <w:rFonts w:eastAsia="Times New Roman"/>
                <w:sz w:val="20"/>
                <w:szCs w:val="20"/>
              </w:rPr>
            </w:pPr>
          </w:p>
        </w:tc>
        <w:tc>
          <w:tcPr>
            <w:tcW w:w="0" w:type="auto"/>
            <w:gridSpan w:val="3"/>
            <w:vAlign w:val="center"/>
            <w:hideMark/>
          </w:tcPr>
          <w:p w14:paraId="46BB74E2" w14:textId="77777777" w:rsidR="00000000" w:rsidRDefault="00A173A8">
            <w:pPr>
              <w:spacing w:after="100"/>
              <w:rPr>
                <w:rFonts w:eastAsia="Times New Roman"/>
                <w:sz w:val="20"/>
                <w:szCs w:val="20"/>
              </w:rPr>
            </w:pPr>
          </w:p>
        </w:tc>
        <w:tc>
          <w:tcPr>
            <w:tcW w:w="0" w:type="auto"/>
            <w:gridSpan w:val="3"/>
            <w:vAlign w:val="center"/>
            <w:hideMark/>
          </w:tcPr>
          <w:p w14:paraId="207FD7F9" w14:textId="77777777" w:rsidR="00000000" w:rsidRDefault="00A173A8">
            <w:pPr>
              <w:spacing w:after="100"/>
              <w:rPr>
                <w:rFonts w:eastAsia="Times New Roman"/>
                <w:sz w:val="20"/>
                <w:szCs w:val="20"/>
              </w:rPr>
            </w:pPr>
          </w:p>
        </w:tc>
        <w:tc>
          <w:tcPr>
            <w:tcW w:w="0" w:type="auto"/>
            <w:gridSpan w:val="3"/>
            <w:vAlign w:val="center"/>
            <w:hideMark/>
          </w:tcPr>
          <w:p w14:paraId="638D2513" w14:textId="77777777" w:rsidR="00000000" w:rsidRDefault="00A173A8">
            <w:pPr>
              <w:spacing w:after="100"/>
              <w:rPr>
                <w:rFonts w:eastAsia="Times New Roman"/>
                <w:sz w:val="20"/>
                <w:szCs w:val="20"/>
              </w:rPr>
            </w:pPr>
          </w:p>
        </w:tc>
        <w:tc>
          <w:tcPr>
            <w:tcW w:w="0" w:type="auto"/>
            <w:gridSpan w:val="3"/>
            <w:vAlign w:val="center"/>
            <w:hideMark/>
          </w:tcPr>
          <w:p w14:paraId="38D43DE4" w14:textId="77777777" w:rsidR="00000000" w:rsidRDefault="00A173A8">
            <w:pPr>
              <w:spacing w:after="100"/>
              <w:rPr>
                <w:rFonts w:eastAsia="Times New Roman"/>
                <w:sz w:val="20"/>
                <w:szCs w:val="20"/>
              </w:rPr>
            </w:pPr>
          </w:p>
        </w:tc>
        <w:tc>
          <w:tcPr>
            <w:tcW w:w="0" w:type="auto"/>
            <w:gridSpan w:val="3"/>
            <w:vAlign w:val="center"/>
            <w:hideMark/>
          </w:tcPr>
          <w:p w14:paraId="41573490" w14:textId="77777777" w:rsidR="00000000" w:rsidRDefault="00A173A8">
            <w:pPr>
              <w:spacing w:after="100"/>
              <w:rPr>
                <w:rFonts w:eastAsia="Times New Roman"/>
                <w:sz w:val="20"/>
                <w:szCs w:val="20"/>
              </w:rPr>
            </w:pPr>
          </w:p>
        </w:tc>
        <w:tc>
          <w:tcPr>
            <w:tcW w:w="0" w:type="auto"/>
            <w:gridSpan w:val="3"/>
            <w:vAlign w:val="center"/>
            <w:hideMark/>
          </w:tcPr>
          <w:p w14:paraId="49883EE5" w14:textId="77777777" w:rsidR="00000000" w:rsidRDefault="00A173A8">
            <w:pPr>
              <w:spacing w:after="100"/>
              <w:rPr>
                <w:rFonts w:eastAsia="Times New Roman"/>
                <w:sz w:val="20"/>
                <w:szCs w:val="20"/>
              </w:rPr>
            </w:pPr>
          </w:p>
        </w:tc>
        <w:tc>
          <w:tcPr>
            <w:tcW w:w="0" w:type="auto"/>
            <w:gridSpan w:val="3"/>
            <w:vAlign w:val="center"/>
            <w:hideMark/>
          </w:tcPr>
          <w:p w14:paraId="0AE1B515" w14:textId="77777777" w:rsidR="00000000" w:rsidRDefault="00A173A8">
            <w:pPr>
              <w:spacing w:after="100"/>
              <w:rPr>
                <w:rFonts w:eastAsia="Times New Roman"/>
                <w:sz w:val="20"/>
                <w:szCs w:val="20"/>
              </w:rPr>
            </w:pPr>
          </w:p>
        </w:tc>
        <w:tc>
          <w:tcPr>
            <w:tcW w:w="0" w:type="auto"/>
            <w:gridSpan w:val="3"/>
            <w:vAlign w:val="center"/>
            <w:hideMark/>
          </w:tcPr>
          <w:p w14:paraId="0FEC8A99" w14:textId="77777777" w:rsidR="00000000" w:rsidRDefault="00A173A8">
            <w:pPr>
              <w:spacing w:after="100"/>
              <w:rPr>
                <w:rFonts w:eastAsia="Times New Roman"/>
                <w:sz w:val="20"/>
                <w:szCs w:val="20"/>
              </w:rPr>
            </w:pPr>
          </w:p>
        </w:tc>
        <w:tc>
          <w:tcPr>
            <w:tcW w:w="0" w:type="auto"/>
            <w:gridSpan w:val="3"/>
            <w:vAlign w:val="center"/>
            <w:hideMark/>
          </w:tcPr>
          <w:p w14:paraId="008DCA41" w14:textId="77777777" w:rsidR="00000000" w:rsidRDefault="00A173A8">
            <w:pPr>
              <w:spacing w:after="100"/>
              <w:rPr>
                <w:rFonts w:eastAsia="Times New Roman"/>
                <w:sz w:val="20"/>
                <w:szCs w:val="20"/>
              </w:rPr>
            </w:pPr>
          </w:p>
        </w:tc>
      </w:tr>
      <w:tr w:rsidR="00000000" w14:paraId="4051BDAC" w14:textId="77777777">
        <w:trPr>
          <w:divId w:val="1452439917"/>
        </w:trPr>
        <w:tc>
          <w:tcPr>
            <w:tcW w:w="0" w:type="auto"/>
            <w:gridSpan w:val="3"/>
            <w:vAlign w:val="center"/>
            <w:hideMark/>
          </w:tcPr>
          <w:p w14:paraId="1BBD7C29" w14:textId="77777777" w:rsidR="00000000" w:rsidRDefault="00A173A8">
            <w:pPr>
              <w:spacing w:after="100"/>
              <w:rPr>
                <w:rFonts w:eastAsia="Times New Roman"/>
                <w:sz w:val="20"/>
                <w:szCs w:val="20"/>
              </w:rPr>
            </w:pPr>
          </w:p>
        </w:tc>
        <w:tc>
          <w:tcPr>
            <w:tcW w:w="0" w:type="auto"/>
            <w:gridSpan w:val="3"/>
            <w:vAlign w:val="center"/>
            <w:hideMark/>
          </w:tcPr>
          <w:p w14:paraId="4F50E1D2" w14:textId="77777777" w:rsidR="00000000" w:rsidRDefault="00A173A8">
            <w:pPr>
              <w:spacing w:after="100"/>
              <w:rPr>
                <w:rFonts w:eastAsia="Times New Roman"/>
                <w:sz w:val="20"/>
                <w:szCs w:val="20"/>
              </w:rPr>
            </w:pPr>
          </w:p>
        </w:tc>
        <w:tc>
          <w:tcPr>
            <w:tcW w:w="0" w:type="auto"/>
            <w:gridSpan w:val="3"/>
            <w:vAlign w:val="center"/>
            <w:hideMark/>
          </w:tcPr>
          <w:p w14:paraId="6CF42694" w14:textId="77777777" w:rsidR="00000000" w:rsidRDefault="00A173A8">
            <w:pPr>
              <w:spacing w:after="100"/>
              <w:rPr>
                <w:rFonts w:eastAsia="Times New Roman"/>
                <w:sz w:val="20"/>
                <w:szCs w:val="20"/>
              </w:rPr>
            </w:pPr>
          </w:p>
        </w:tc>
        <w:tc>
          <w:tcPr>
            <w:tcW w:w="0" w:type="auto"/>
            <w:gridSpan w:val="3"/>
            <w:vAlign w:val="center"/>
            <w:hideMark/>
          </w:tcPr>
          <w:p w14:paraId="6D78EE2E" w14:textId="77777777" w:rsidR="00000000" w:rsidRDefault="00A173A8">
            <w:pPr>
              <w:spacing w:after="100"/>
              <w:rPr>
                <w:rFonts w:eastAsia="Times New Roman"/>
                <w:sz w:val="20"/>
                <w:szCs w:val="20"/>
              </w:rPr>
            </w:pPr>
          </w:p>
        </w:tc>
        <w:tc>
          <w:tcPr>
            <w:tcW w:w="0" w:type="auto"/>
            <w:gridSpan w:val="3"/>
            <w:vAlign w:val="center"/>
            <w:hideMark/>
          </w:tcPr>
          <w:p w14:paraId="535642A3" w14:textId="77777777" w:rsidR="00000000" w:rsidRDefault="00A173A8">
            <w:pPr>
              <w:spacing w:after="100"/>
              <w:rPr>
                <w:rFonts w:eastAsia="Times New Roman"/>
                <w:sz w:val="20"/>
                <w:szCs w:val="20"/>
              </w:rPr>
            </w:pPr>
          </w:p>
        </w:tc>
        <w:tc>
          <w:tcPr>
            <w:tcW w:w="0" w:type="auto"/>
            <w:gridSpan w:val="3"/>
            <w:vAlign w:val="center"/>
            <w:hideMark/>
          </w:tcPr>
          <w:p w14:paraId="2F473EA8" w14:textId="77777777" w:rsidR="00000000" w:rsidRDefault="00A173A8">
            <w:pPr>
              <w:spacing w:after="100"/>
              <w:rPr>
                <w:rFonts w:eastAsia="Times New Roman"/>
                <w:sz w:val="20"/>
                <w:szCs w:val="20"/>
              </w:rPr>
            </w:pPr>
          </w:p>
        </w:tc>
        <w:tc>
          <w:tcPr>
            <w:tcW w:w="0" w:type="auto"/>
            <w:gridSpan w:val="3"/>
            <w:vAlign w:val="center"/>
            <w:hideMark/>
          </w:tcPr>
          <w:p w14:paraId="5B3B8BE5" w14:textId="77777777" w:rsidR="00000000" w:rsidRDefault="00A173A8">
            <w:pPr>
              <w:spacing w:after="100"/>
              <w:rPr>
                <w:rFonts w:eastAsia="Times New Roman"/>
                <w:sz w:val="20"/>
                <w:szCs w:val="20"/>
              </w:rPr>
            </w:pPr>
          </w:p>
        </w:tc>
        <w:tc>
          <w:tcPr>
            <w:tcW w:w="0" w:type="auto"/>
            <w:gridSpan w:val="3"/>
            <w:vAlign w:val="center"/>
            <w:hideMark/>
          </w:tcPr>
          <w:p w14:paraId="1672BA5E" w14:textId="77777777" w:rsidR="00000000" w:rsidRDefault="00A173A8">
            <w:pPr>
              <w:spacing w:after="100"/>
              <w:rPr>
                <w:rFonts w:eastAsia="Times New Roman"/>
                <w:sz w:val="20"/>
                <w:szCs w:val="20"/>
              </w:rPr>
            </w:pPr>
          </w:p>
        </w:tc>
        <w:tc>
          <w:tcPr>
            <w:tcW w:w="0" w:type="auto"/>
            <w:gridSpan w:val="3"/>
            <w:vAlign w:val="center"/>
            <w:hideMark/>
          </w:tcPr>
          <w:p w14:paraId="4A646A62" w14:textId="77777777" w:rsidR="00000000" w:rsidRDefault="00A173A8">
            <w:pPr>
              <w:spacing w:after="100"/>
              <w:rPr>
                <w:rFonts w:eastAsia="Times New Roman"/>
                <w:sz w:val="20"/>
                <w:szCs w:val="20"/>
              </w:rPr>
            </w:pPr>
          </w:p>
        </w:tc>
        <w:tc>
          <w:tcPr>
            <w:tcW w:w="0" w:type="auto"/>
            <w:gridSpan w:val="3"/>
            <w:vAlign w:val="center"/>
            <w:hideMark/>
          </w:tcPr>
          <w:p w14:paraId="09522153" w14:textId="77777777" w:rsidR="00000000" w:rsidRDefault="00A173A8">
            <w:pPr>
              <w:spacing w:after="100"/>
              <w:rPr>
                <w:rFonts w:eastAsia="Times New Roman"/>
                <w:sz w:val="20"/>
                <w:szCs w:val="20"/>
              </w:rPr>
            </w:pPr>
          </w:p>
        </w:tc>
        <w:tc>
          <w:tcPr>
            <w:tcW w:w="0" w:type="auto"/>
            <w:gridSpan w:val="3"/>
            <w:vAlign w:val="center"/>
            <w:hideMark/>
          </w:tcPr>
          <w:p w14:paraId="2ED519F6" w14:textId="77777777" w:rsidR="00000000" w:rsidRDefault="00A173A8">
            <w:pPr>
              <w:spacing w:after="100"/>
              <w:rPr>
                <w:rFonts w:eastAsia="Times New Roman"/>
                <w:sz w:val="20"/>
                <w:szCs w:val="20"/>
              </w:rPr>
            </w:pPr>
          </w:p>
        </w:tc>
      </w:tr>
      <w:tr w:rsidR="00000000" w14:paraId="64A8F3CB" w14:textId="77777777">
        <w:trPr>
          <w:divId w:val="1452439917"/>
        </w:trPr>
        <w:tc>
          <w:tcPr>
            <w:tcW w:w="0" w:type="auto"/>
            <w:gridSpan w:val="3"/>
            <w:vAlign w:val="center"/>
            <w:hideMark/>
          </w:tcPr>
          <w:p w14:paraId="1AE63804" w14:textId="77777777" w:rsidR="00000000" w:rsidRDefault="00A173A8">
            <w:pPr>
              <w:spacing w:after="100"/>
              <w:rPr>
                <w:rFonts w:eastAsia="Times New Roman"/>
                <w:sz w:val="20"/>
                <w:szCs w:val="20"/>
              </w:rPr>
            </w:pPr>
          </w:p>
        </w:tc>
        <w:tc>
          <w:tcPr>
            <w:tcW w:w="0" w:type="auto"/>
            <w:gridSpan w:val="3"/>
            <w:vAlign w:val="center"/>
            <w:hideMark/>
          </w:tcPr>
          <w:p w14:paraId="0CFFC4B4" w14:textId="77777777" w:rsidR="00000000" w:rsidRDefault="00A173A8">
            <w:pPr>
              <w:spacing w:after="100"/>
              <w:rPr>
                <w:rFonts w:eastAsia="Times New Roman"/>
                <w:sz w:val="20"/>
                <w:szCs w:val="20"/>
              </w:rPr>
            </w:pPr>
          </w:p>
        </w:tc>
        <w:tc>
          <w:tcPr>
            <w:tcW w:w="0" w:type="auto"/>
            <w:gridSpan w:val="3"/>
            <w:vAlign w:val="center"/>
            <w:hideMark/>
          </w:tcPr>
          <w:p w14:paraId="4B29D94C" w14:textId="77777777" w:rsidR="00000000" w:rsidRDefault="00A173A8">
            <w:pPr>
              <w:spacing w:after="100"/>
              <w:rPr>
                <w:rFonts w:eastAsia="Times New Roman"/>
                <w:sz w:val="20"/>
                <w:szCs w:val="20"/>
              </w:rPr>
            </w:pPr>
          </w:p>
        </w:tc>
        <w:tc>
          <w:tcPr>
            <w:tcW w:w="0" w:type="auto"/>
            <w:gridSpan w:val="3"/>
            <w:vAlign w:val="center"/>
            <w:hideMark/>
          </w:tcPr>
          <w:p w14:paraId="1F822362" w14:textId="77777777" w:rsidR="00000000" w:rsidRDefault="00A173A8">
            <w:pPr>
              <w:spacing w:after="100"/>
              <w:rPr>
                <w:rFonts w:eastAsia="Times New Roman"/>
                <w:sz w:val="20"/>
                <w:szCs w:val="20"/>
              </w:rPr>
            </w:pPr>
          </w:p>
        </w:tc>
        <w:tc>
          <w:tcPr>
            <w:tcW w:w="0" w:type="auto"/>
            <w:gridSpan w:val="3"/>
            <w:vAlign w:val="center"/>
            <w:hideMark/>
          </w:tcPr>
          <w:p w14:paraId="5E943A38" w14:textId="77777777" w:rsidR="00000000" w:rsidRDefault="00A173A8">
            <w:pPr>
              <w:spacing w:after="100"/>
              <w:rPr>
                <w:rFonts w:eastAsia="Times New Roman"/>
                <w:sz w:val="20"/>
                <w:szCs w:val="20"/>
              </w:rPr>
            </w:pPr>
          </w:p>
        </w:tc>
        <w:tc>
          <w:tcPr>
            <w:tcW w:w="0" w:type="auto"/>
            <w:gridSpan w:val="3"/>
            <w:vAlign w:val="center"/>
            <w:hideMark/>
          </w:tcPr>
          <w:p w14:paraId="778A6B74" w14:textId="77777777" w:rsidR="00000000" w:rsidRDefault="00A173A8">
            <w:pPr>
              <w:spacing w:after="100"/>
              <w:rPr>
                <w:rFonts w:eastAsia="Times New Roman"/>
                <w:sz w:val="20"/>
                <w:szCs w:val="20"/>
              </w:rPr>
            </w:pPr>
          </w:p>
        </w:tc>
        <w:tc>
          <w:tcPr>
            <w:tcW w:w="0" w:type="auto"/>
            <w:gridSpan w:val="3"/>
            <w:vAlign w:val="center"/>
            <w:hideMark/>
          </w:tcPr>
          <w:p w14:paraId="14493DAD" w14:textId="77777777" w:rsidR="00000000" w:rsidRDefault="00A173A8">
            <w:pPr>
              <w:spacing w:after="100"/>
              <w:rPr>
                <w:rFonts w:eastAsia="Times New Roman"/>
                <w:sz w:val="20"/>
                <w:szCs w:val="20"/>
              </w:rPr>
            </w:pPr>
          </w:p>
        </w:tc>
        <w:tc>
          <w:tcPr>
            <w:tcW w:w="0" w:type="auto"/>
            <w:gridSpan w:val="3"/>
            <w:vAlign w:val="center"/>
            <w:hideMark/>
          </w:tcPr>
          <w:p w14:paraId="58CFC520" w14:textId="77777777" w:rsidR="00000000" w:rsidRDefault="00A173A8">
            <w:pPr>
              <w:spacing w:after="100"/>
              <w:rPr>
                <w:rFonts w:eastAsia="Times New Roman"/>
                <w:sz w:val="20"/>
                <w:szCs w:val="20"/>
              </w:rPr>
            </w:pPr>
          </w:p>
        </w:tc>
        <w:tc>
          <w:tcPr>
            <w:tcW w:w="0" w:type="auto"/>
            <w:gridSpan w:val="3"/>
            <w:vAlign w:val="center"/>
            <w:hideMark/>
          </w:tcPr>
          <w:p w14:paraId="35CA4E11" w14:textId="77777777" w:rsidR="00000000" w:rsidRDefault="00A173A8">
            <w:pPr>
              <w:spacing w:after="100"/>
              <w:rPr>
                <w:rFonts w:eastAsia="Times New Roman"/>
                <w:sz w:val="20"/>
                <w:szCs w:val="20"/>
              </w:rPr>
            </w:pPr>
          </w:p>
        </w:tc>
        <w:tc>
          <w:tcPr>
            <w:tcW w:w="0" w:type="auto"/>
            <w:gridSpan w:val="3"/>
            <w:vAlign w:val="center"/>
            <w:hideMark/>
          </w:tcPr>
          <w:p w14:paraId="2D21BC2B" w14:textId="77777777" w:rsidR="00000000" w:rsidRDefault="00A173A8">
            <w:pPr>
              <w:spacing w:after="100"/>
              <w:rPr>
                <w:rFonts w:eastAsia="Times New Roman"/>
                <w:sz w:val="20"/>
                <w:szCs w:val="20"/>
              </w:rPr>
            </w:pPr>
          </w:p>
        </w:tc>
        <w:tc>
          <w:tcPr>
            <w:tcW w:w="0" w:type="auto"/>
            <w:gridSpan w:val="3"/>
            <w:vAlign w:val="center"/>
            <w:hideMark/>
          </w:tcPr>
          <w:p w14:paraId="023C76DF" w14:textId="77777777" w:rsidR="00000000" w:rsidRDefault="00A173A8">
            <w:pPr>
              <w:spacing w:after="100"/>
              <w:rPr>
                <w:rFonts w:eastAsia="Times New Roman"/>
                <w:sz w:val="20"/>
                <w:szCs w:val="20"/>
              </w:rPr>
            </w:pPr>
          </w:p>
        </w:tc>
      </w:tr>
      <w:tr w:rsidR="00000000" w14:paraId="6FC5DD26" w14:textId="77777777">
        <w:trPr>
          <w:divId w:val="1452439917"/>
        </w:trPr>
        <w:tc>
          <w:tcPr>
            <w:tcW w:w="0" w:type="auto"/>
            <w:gridSpan w:val="3"/>
            <w:vAlign w:val="center"/>
            <w:hideMark/>
          </w:tcPr>
          <w:p w14:paraId="409DA816" w14:textId="77777777" w:rsidR="00000000" w:rsidRDefault="00A173A8">
            <w:pPr>
              <w:spacing w:after="100"/>
              <w:rPr>
                <w:rFonts w:eastAsia="Times New Roman"/>
                <w:sz w:val="20"/>
                <w:szCs w:val="20"/>
              </w:rPr>
            </w:pPr>
          </w:p>
        </w:tc>
        <w:tc>
          <w:tcPr>
            <w:tcW w:w="0" w:type="auto"/>
            <w:gridSpan w:val="3"/>
            <w:vAlign w:val="center"/>
            <w:hideMark/>
          </w:tcPr>
          <w:p w14:paraId="7B462FB3" w14:textId="77777777" w:rsidR="00000000" w:rsidRDefault="00A173A8">
            <w:pPr>
              <w:spacing w:after="100"/>
              <w:rPr>
                <w:rFonts w:eastAsia="Times New Roman"/>
                <w:sz w:val="20"/>
                <w:szCs w:val="20"/>
              </w:rPr>
            </w:pPr>
          </w:p>
        </w:tc>
        <w:tc>
          <w:tcPr>
            <w:tcW w:w="0" w:type="auto"/>
            <w:gridSpan w:val="3"/>
            <w:vAlign w:val="center"/>
            <w:hideMark/>
          </w:tcPr>
          <w:p w14:paraId="4EA0F2D1" w14:textId="77777777" w:rsidR="00000000" w:rsidRDefault="00A173A8">
            <w:pPr>
              <w:spacing w:after="100"/>
              <w:rPr>
                <w:rFonts w:eastAsia="Times New Roman"/>
                <w:sz w:val="20"/>
                <w:szCs w:val="20"/>
              </w:rPr>
            </w:pPr>
          </w:p>
        </w:tc>
        <w:tc>
          <w:tcPr>
            <w:tcW w:w="0" w:type="auto"/>
            <w:gridSpan w:val="3"/>
            <w:vAlign w:val="center"/>
            <w:hideMark/>
          </w:tcPr>
          <w:p w14:paraId="0F902175" w14:textId="77777777" w:rsidR="00000000" w:rsidRDefault="00A173A8">
            <w:pPr>
              <w:spacing w:after="100"/>
              <w:rPr>
                <w:rFonts w:eastAsia="Times New Roman"/>
                <w:sz w:val="20"/>
                <w:szCs w:val="20"/>
              </w:rPr>
            </w:pPr>
          </w:p>
        </w:tc>
        <w:tc>
          <w:tcPr>
            <w:tcW w:w="0" w:type="auto"/>
            <w:gridSpan w:val="3"/>
            <w:vAlign w:val="center"/>
            <w:hideMark/>
          </w:tcPr>
          <w:p w14:paraId="27603DB4" w14:textId="77777777" w:rsidR="00000000" w:rsidRDefault="00A173A8">
            <w:pPr>
              <w:spacing w:after="100"/>
              <w:rPr>
                <w:rFonts w:eastAsia="Times New Roman"/>
                <w:sz w:val="20"/>
                <w:szCs w:val="20"/>
              </w:rPr>
            </w:pPr>
          </w:p>
        </w:tc>
        <w:tc>
          <w:tcPr>
            <w:tcW w:w="0" w:type="auto"/>
            <w:gridSpan w:val="3"/>
            <w:vAlign w:val="center"/>
            <w:hideMark/>
          </w:tcPr>
          <w:p w14:paraId="322BDEB6" w14:textId="77777777" w:rsidR="00000000" w:rsidRDefault="00A173A8">
            <w:pPr>
              <w:spacing w:after="100"/>
              <w:rPr>
                <w:rFonts w:eastAsia="Times New Roman"/>
                <w:sz w:val="20"/>
                <w:szCs w:val="20"/>
              </w:rPr>
            </w:pPr>
          </w:p>
        </w:tc>
        <w:tc>
          <w:tcPr>
            <w:tcW w:w="0" w:type="auto"/>
            <w:gridSpan w:val="3"/>
            <w:vAlign w:val="center"/>
            <w:hideMark/>
          </w:tcPr>
          <w:p w14:paraId="580BA80F" w14:textId="77777777" w:rsidR="00000000" w:rsidRDefault="00A173A8">
            <w:pPr>
              <w:spacing w:after="100"/>
              <w:rPr>
                <w:rFonts w:eastAsia="Times New Roman"/>
                <w:sz w:val="20"/>
                <w:szCs w:val="20"/>
              </w:rPr>
            </w:pPr>
          </w:p>
        </w:tc>
        <w:tc>
          <w:tcPr>
            <w:tcW w:w="0" w:type="auto"/>
            <w:gridSpan w:val="3"/>
            <w:vAlign w:val="center"/>
            <w:hideMark/>
          </w:tcPr>
          <w:p w14:paraId="523B2D47" w14:textId="77777777" w:rsidR="00000000" w:rsidRDefault="00A173A8">
            <w:pPr>
              <w:spacing w:after="100"/>
              <w:rPr>
                <w:rFonts w:eastAsia="Times New Roman"/>
                <w:sz w:val="20"/>
                <w:szCs w:val="20"/>
              </w:rPr>
            </w:pPr>
          </w:p>
        </w:tc>
        <w:tc>
          <w:tcPr>
            <w:tcW w:w="0" w:type="auto"/>
            <w:gridSpan w:val="3"/>
            <w:vAlign w:val="center"/>
            <w:hideMark/>
          </w:tcPr>
          <w:p w14:paraId="4344D0DD" w14:textId="77777777" w:rsidR="00000000" w:rsidRDefault="00A173A8">
            <w:pPr>
              <w:spacing w:after="100"/>
              <w:rPr>
                <w:rFonts w:eastAsia="Times New Roman"/>
                <w:sz w:val="20"/>
                <w:szCs w:val="20"/>
              </w:rPr>
            </w:pPr>
          </w:p>
        </w:tc>
        <w:tc>
          <w:tcPr>
            <w:tcW w:w="0" w:type="auto"/>
            <w:gridSpan w:val="3"/>
            <w:vAlign w:val="center"/>
            <w:hideMark/>
          </w:tcPr>
          <w:p w14:paraId="420D807B" w14:textId="77777777" w:rsidR="00000000" w:rsidRDefault="00A173A8">
            <w:pPr>
              <w:spacing w:after="100"/>
              <w:rPr>
                <w:rFonts w:eastAsia="Times New Roman"/>
                <w:sz w:val="20"/>
                <w:szCs w:val="20"/>
              </w:rPr>
            </w:pPr>
          </w:p>
        </w:tc>
        <w:tc>
          <w:tcPr>
            <w:tcW w:w="0" w:type="auto"/>
            <w:gridSpan w:val="3"/>
            <w:vAlign w:val="center"/>
            <w:hideMark/>
          </w:tcPr>
          <w:p w14:paraId="1B06D27E" w14:textId="77777777" w:rsidR="00000000" w:rsidRDefault="00A173A8">
            <w:pPr>
              <w:spacing w:after="100"/>
              <w:rPr>
                <w:rFonts w:eastAsia="Times New Roman"/>
                <w:sz w:val="20"/>
                <w:szCs w:val="20"/>
              </w:rPr>
            </w:pPr>
          </w:p>
        </w:tc>
      </w:tr>
      <w:tr w:rsidR="00000000" w14:paraId="6FB6F741" w14:textId="77777777">
        <w:trPr>
          <w:divId w:val="145243991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4C1EF8C" w14:textId="77777777" w:rsidR="00000000" w:rsidRDefault="00A173A8">
            <w:pPr>
              <w:spacing w:after="100"/>
              <w:rPr>
                <w:rFonts w:eastAsia="Times New Roman"/>
              </w:rPr>
            </w:pPr>
            <w:r>
              <w:rPr>
                <w:rFonts w:eastAsia="Times New Roman"/>
                <w:color w:val="000000"/>
                <w:sz w:val="18"/>
                <w:szCs w:val="18"/>
              </w:rPr>
              <w:t>AOCI as of December 31, 2020</w:t>
            </w:r>
          </w:p>
        </w:tc>
        <w:tc>
          <w:tcPr>
            <w:tcW w:w="0" w:type="auto"/>
            <w:gridSpan w:val="3"/>
            <w:shd w:val="clear" w:color="auto" w:fill="CCEEFF"/>
            <w:tcMar>
              <w:top w:w="0" w:type="dxa"/>
              <w:left w:w="20" w:type="dxa"/>
              <w:bottom w:w="0" w:type="dxa"/>
              <w:right w:w="20" w:type="dxa"/>
            </w:tcMar>
            <w:vAlign w:val="center"/>
            <w:hideMark/>
          </w:tcPr>
          <w:p w14:paraId="6F0F8155"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0E191E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8A7978D" w14:textId="77777777" w:rsidR="00000000" w:rsidRDefault="00A173A8">
            <w:pPr>
              <w:spacing w:after="100"/>
              <w:jc w:val="right"/>
              <w:rPr>
                <w:rFonts w:eastAsia="Times New Roman"/>
              </w:rPr>
            </w:pPr>
            <w:r>
              <w:rPr>
                <w:rFonts w:eastAsia="Times New Roman"/>
                <w:color w:val="000000"/>
                <w:sz w:val="18"/>
                <w:szCs w:val="18"/>
              </w:rPr>
              <w:t>2,186 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6DB20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5353B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6BE7A07"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45C3861" w14:textId="77777777" w:rsidR="00000000" w:rsidRDefault="00A173A8">
            <w:pPr>
              <w:spacing w:after="100"/>
              <w:jc w:val="right"/>
              <w:rPr>
                <w:rFonts w:eastAsia="Times New Roman"/>
              </w:rPr>
            </w:pPr>
            <w:r>
              <w:rPr>
                <w:rFonts w:eastAsia="Times New Roman"/>
                <w:color w:val="000000"/>
                <w:sz w:val="18"/>
                <w:szCs w:val="18"/>
              </w:rPr>
              <w:t>1,362 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0EBD94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B2BD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8CCE58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78DC4B5" w14:textId="77777777" w:rsidR="00000000" w:rsidRDefault="00A173A8">
            <w:pPr>
              <w:spacing w:after="100"/>
              <w:jc w:val="right"/>
              <w:rPr>
                <w:rFonts w:eastAsia="Times New Roman"/>
              </w:rPr>
            </w:pPr>
            <w:r>
              <w:rPr>
                <w:rFonts w:eastAsia="Times New Roman"/>
                <w:color w:val="000000"/>
                <w:sz w:val="18"/>
                <w:szCs w:val="18"/>
              </w:rPr>
              <w:t>(31)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C01F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E29D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DE70B7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3AEEA0E" w14:textId="77777777" w:rsidR="00000000" w:rsidRDefault="00A173A8">
            <w:pPr>
              <w:spacing w:after="100"/>
              <w:jc w:val="right"/>
              <w:rPr>
                <w:rFonts w:eastAsia="Times New Roman"/>
              </w:rPr>
            </w:pPr>
            <w:r>
              <w:rPr>
                <w:rFonts w:eastAsia="Times New Roman"/>
                <w:color w:val="000000"/>
                <w:sz w:val="18"/>
                <w:szCs w:val="18"/>
              </w:rPr>
              <w:t>(23)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560C9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2E50E8"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3E2898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4C3EC0B" w14:textId="77777777" w:rsidR="00000000" w:rsidRDefault="00A173A8">
            <w:pPr>
              <w:spacing w:after="100"/>
              <w:jc w:val="right"/>
              <w:rPr>
                <w:rFonts w:eastAsia="Times New Roman"/>
              </w:rPr>
            </w:pPr>
            <w:r>
              <w:rPr>
                <w:rFonts w:eastAsia="Times New Roman"/>
                <w:color w:val="000000"/>
                <w:sz w:val="18"/>
                <w:szCs w:val="18"/>
              </w:rPr>
              <w:t>3,494 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434B92" w14:textId="77777777" w:rsidR="00000000" w:rsidRDefault="00A173A8">
            <w:pPr>
              <w:spacing w:after="100"/>
              <w:jc w:val="right"/>
              <w:rPr>
                <w:rFonts w:eastAsia="Times New Roman"/>
              </w:rPr>
            </w:pPr>
          </w:p>
        </w:tc>
      </w:tr>
      <w:tr w:rsidR="00000000" w14:paraId="632D915F" w14:textId="77777777">
        <w:trPr>
          <w:divId w:val="1452439917"/>
        </w:trPr>
        <w:tc>
          <w:tcPr>
            <w:tcW w:w="0" w:type="auto"/>
            <w:gridSpan w:val="3"/>
            <w:shd w:val="clear" w:color="auto" w:fill="FFFFFF"/>
            <w:tcMar>
              <w:top w:w="30" w:type="dxa"/>
              <w:left w:w="20" w:type="dxa"/>
              <w:bottom w:w="30" w:type="dxa"/>
              <w:right w:w="20" w:type="dxa"/>
            </w:tcMar>
            <w:vAlign w:val="center"/>
            <w:hideMark/>
          </w:tcPr>
          <w:p w14:paraId="593862EF" w14:textId="77777777" w:rsidR="00000000" w:rsidRDefault="00A173A8">
            <w:pPr>
              <w:spacing w:after="100"/>
              <w:rPr>
                <w:rFonts w:eastAsia="Times New Roman"/>
              </w:rPr>
            </w:pPr>
            <w:r>
              <w:rPr>
                <w:rFonts w:eastAsia="Times New Roman"/>
                <w:color w:val="000000"/>
                <w:sz w:val="18"/>
                <w:szCs w:val="18"/>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14:paraId="6338616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4FECDC6" w14:textId="77777777" w:rsidR="00000000" w:rsidRDefault="00A173A8">
            <w:pPr>
              <w:spacing w:after="100"/>
              <w:jc w:val="right"/>
              <w:rPr>
                <w:rFonts w:eastAsia="Times New Roman"/>
              </w:rPr>
            </w:pPr>
            <w:r>
              <w:rPr>
                <w:rFonts w:eastAsia="Times New Roman"/>
                <w:color w:val="000000"/>
                <w:sz w:val="18"/>
                <w:szCs w:val="18"/>
              </w:rPr>
              <w:t>(1,094)</w:t>
            </w:r>
          </w:p>
        </w:tc>
        <w:tc>
          <w:tcPr>
            <w:tcW w:w="0" w:type="auto"/>
            <w:shd w:val="clear" w:color="auto" w:fill="FFFFFF"/>
            <w:tcMar>
              <w:top w:w="30" w:type="dxa"/>
              <w:left w:w="0" w:type="dxa"/>
              <w:bottom w:w="30" w:type="dxa"/>
              <w:right w:w="20" w:type="dxa"/>
            </w:tcMar>
            <w:vAlign w:val="center"/>
            <w:hideMark/>
          </w:tcPr>
          <w:p w14:paraId="3E28CE5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81B0C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67D12F" w14:textId="77777777" w:rsidR="00000000" w:rsidRDefault="00A173A8">
            <w:pPr>
              <w:spacing w:after="100"/>
              <w:jc w:val="right"/>
              <w:rPr>
                <w:rFonts w:eastAsia="Times New Roman"/>
              </w:rPr>
            </w:pPr>
            <w:r>
              <w:rPr>
                <w:rFonts w:eastAsia="Times New Roman"/>
                <w:color w:val="000000"/>
                <w:sz w:val="18"/>
                <w:szCs w:val="18"/>
              </w:rPr>
              <w:t>(145)</w:t>
            </w:r>
          </w:p>
        </w:tc>
        <w:tc>
          <w:tcPr>
            <w:tcW w:w="0" w:type="auto"/>
            <w:shd w:val="clear" w:color="auto" w:fill="FFFFFF"/>
            <w:tcMar>
              <w:top w:w="30" w:type="dxa"/>
              <w:left w:w="0" w:type="dxa"/>
              <w:bottom w:w="30" w:type="dxa"/>
              <w:right w:w="20" w:type="dxa"/>
            </w:tcMar>
            <w:vAlign w:val="center"/>
            <w:hideMark/>
          </w:tcPr>
          <w:p w14:paraId="79D0BA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8E182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41A7E7" w14:textId="77777777" w:rsidR="00000000" w:rsidRDefault="00A173A8">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14:paraId="4ED2F59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3EC2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326B097"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E515B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9BAD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F1F10C" w14:textId="77777777" w:rsidR="00000000" w:rsidRDefault="00A173A8">
            <w:pPr>
              <w:spacing w:after="100"/>
              <w:jc w:val="right"/>
              <w:rPr>
                <w:rFonts w:eastAsia="Times New Roman"/>
              </w:rPr>
            </w:pPr>
            <w:r>
              <w:rPr>
                <w:rFonts w:eastAsia="Times New Roman"/>
                <w:color w:val="000000"/>
                <w:sz w:val="18"/>
                <w:szCs w:val="18"/>
              </w:rPr>
              <w:t>(1,211)</w:t>
            </w:r>
          </w:p>
        </w:tc>
        <w:tc>
          <w:tcPr>
            <w:tcW w:w="0" w:type="auto"/>
            <w:shd w:val="clear" w:color="auto" w:fill="FFFFFF"/>
            <w:tcMar>
              <w:top w:w="30" w:type="dxa"/>
              <w:left w:w="0" w:type="dxa"/>
              <w:bottom w:w="30" w:type="dxa"/>
              <w:right w:w="20" w:type="dxa"/>
            </w:tcMar>
            <w:vAlign w:val="center"/>
            <w:hideMark/>
          </w:tcPr>
          <w:p w14:paraId="1DB92783" w14:textId="77777777" w:rsidR="00000000" w:rsidRDefault="00A173A8">
            <w:pPr>
              <w:spacing w:after="100"/>
              <w:jc w:val="right"/>
              <w:rPr>
                <w:rFonts w:eastAsia="Times New Roman"/>
              </w:rPr>
            </w:pPr>
          </w:p>
        </w:tc>
      </w:tr>
      <w:tr w:rsidR="00000000" w14:paraId="09FB5108" w14:textId="77777777">
        <w:trPr>
          <w:divId w:val="1452439917"/>
        </w:trPr>
        <w:tc>
          <w:tcPr>
            <w:tcW w:w="0" w:type="auto"/>
            <w:gridSpan w:val="3"/>
            <w:shd w:val="clear" w:color="auto" w:fill="CCEEFF"/>
            <w:tcMar>
              <w:top w:w="30" w:type="dxa"/>
              <w:left w:w="20" w:type="dxa"/>
              <w:bottom w:w="30" w:type="dxa"/>
              <w:right w:w="20" w:type="dxa"/>
            </w:tcMar>
            <w:vAlign w:val="center"/>
            <w:hideMark/>
          </w:tcPr>
          <w:p w14:paraId="662EDFF9" w14:textId="77777777" w:rsidR="00000000" w:rsidRDefault="00A173A8">
            <w:pPr>
              <w:spacing w:after="100"/>
              <w:rPr>
                <w:rFonts w:eastAsia="Times New Roman"/>
              </w:rPr>
            </w:pPr>
            <w:r>
              <w:rPr>
                <w:rFonts w:eastAsia="Times New Roman"/>
                <w:color w:val="000000"/>
                <w:sz w:val="18"/>
                <w:szCs w:val="18"/>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14:paraId="2F5333F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FD62C6" w14:textId="77777777" w:rsidR="00000000" w:rsidRDefault="00A173A8">
            <w:pPr>
              <w:spacing w:after="100"/>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14:paraId="04C309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5C602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7E0BD95" w14:textId="77777777" w:rsidR="00000000" w:rsidRDefault="00A173A8">
            <w:pPr>
              <w:spacing w:after="100"/>
              <w:jc w:val="right"/>
              <w:rPr>
                <w:rFonts w:eastAsia="Times New Roman"/>
              </w:rPr>
            </w:pPr>
            <w:r>
              <w:rPr>
                <w:rFonts w:eastAsia="Times New Roman"/>
                <w:color w:val="000000"/>
                <w:sz w:val="18"/>
                <w:szCs w:val="18"/>
              </w:rPr>
              <w:t>(487)</w:t>
            </w:r>
          </w:p>
        </w:tc>
        <w:tc>
          <w:tcPr>
            <w:tcW w:w="0" w:type="auto"/>
            <w:shd w:val="clear" w:color="auto" w:fill="CCEEFF"/>
            <w:tcMar>
              <w:top w:w="30" w:type="dxa"/>
              <w:left w:w="0" w:type="dxa"/>
              <w:bottom w:w="30" w:type="dxa"/>
              <w:right w:w="20" w:type="dxa"/>
            </w:tcMar>
            <w:vAlign w:val="center"/>
            <w:hideMark/>
          </w:tcPr>
          <w:p w14:paraId="03D5F70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3027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13356A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3990AF1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AF94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5ACBED"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14:paraId="284E0B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E12D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C67EAD" w14:textId="77777777" w:rsidR="00000000" w:rsidRDefault="00A173A8">
            <w:pPr>
              <w:spacing w:after="100"/>
              <w:jc w:val="right"/>
              <w:rPr>
                <w:rFonts w:eastAsia="Times New Roman"/>
              </w:rPr>
            </w:pPr>
            <w:r>
              <w:rPr>
                <w:rFonts w:eastAsia="Times New Roman"/>
                <w:color w:val="000000"/>
                <w:sz w:val="18"/>
                <w:szCs w:val="18"/>
              </w:rPr>
              <w:t>(491)</w:t>
            </w:r>
          </w:p>
        </w:tc>
        <w:tc>
          <w:tcPr>
            <w:tcW w:w="0" w:type="auto"/>
            <w:shd w:val="clear" w:color="auto" w:fill="CCEEFF"/>
            <w:tcMar>
              <w:top w:w="30" w:type="dxa"/>
              <w:left w:w="0" w:type="dxa"/>
              <w:bottom w:w="30" w:type="dxa"/>
              <w:right w:w="20" w:type="dxa"/>
            </w:tcMar>
            <w:vAlign w:val="center"/>
            <w:hideMark/>
          </w:tcPr>
          <w:p w14:paraId="42F69D3F" w14:textId="77777777" w:rsidR="00000000" w:rsidRDefault="00A173A8">
            <w:pPr>
              <w:spacing w:after="100"/>
              <w:jc w:val="right"/>
              <w:rPr>
                <w:rFonts w:eastAsia="Times New Roman"/>
              </w:rPr>
            </w:pPr>
          </w:p>
        </w:tc>
      </w:tr>
      <w:tr w:rsidR="00000000" w14:paraId="4EE3A670" w14:textId="77777777">
        <w:trPr>
          <w:divId w:val="1452439917"/>
        </w:trPr>
        <w:tc>
          <w:tcPr>
            <w:tcW w:w="0" w:type="auto"/>
            <w:gridSpan w:val="3"/>
            <w:shd w:val="clear" w:color="auto" w:fill="FFFFFF"/>
            <w:tcMar>
              <w:top w:w="30" w:type="dxa"/>
              <w:left w:w="20" w:type="dxa"/>
              <w:bottom w:w="30" w:type="dxa"/>
              <w:right w:w="20" w:type="dxa"/>
            </w:tcMar>
            <w:vAlign w:val="center"/>
            <w:hideMark/>
          </w:tcPr>
          <w:p w14:paraId="09605CE7" w14:textId="77777777" w:rsidR="00000000" w:rsidRDefault="00A173A8">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14:paraId="50D8B7D9"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511E6EF" w14:textId="77777777" w:rsidR="00000000" w:rsidRDefault="00A173A8">
            <w:pPr>
              <w:spacing w:after="100"/>
              <w:jc w:val="right"/>
              <w:rPr>
                <w:rFonts w:eastAsia="Times New Roman"/>
              </w:rPr>
            </w:pPr>
            <w:r>
              <w:rPr>
                <w:rFonts w:eastAsia="Times New Roman"/>
                <w:color w:val="000000"/>
                <w:sz w:val="18"/>
                <w:szCs w:val="18"/>
              </w:rPr>
              <w:t>(1,097)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AD5364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8FA79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21C4FD9" w14:textId="77777777" w:rsidR="00000000" w:rsidRDefault="00A173A8">
            <w:pPr>
              <w:spacing w:after="100"/>
              <w:jc w:val="right"/>
              <w:rPr>
                <w:rFonts w:eastAsia="Times New Roman"/>
              </w:rPr>
            </w:pPr>
            <w:r>
              <w:rPr>
                <w:rFonts w:eastAsia="Times New Roman"/>
                <w:color w:val="000000"/>
                <w:sz w:val="18"/>
                <w:szCs w:val="18"/>
              </w:rPr>
              <w:t>(632)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30206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590BA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21E563" w14:textId="77777777" w:rsidR="00000000" w:rsidRDefault="00A173A8">
            <w:pPr>
              <w:spacing w:after="100"/>
              <w:jc w:val="right"/>
              <w:rPr>
                <w:rFonts w:eastAsia="Times New Roman"/>
              </w:rPr>
            </w:pPr>
            <w:r>
              <w:rPr>
                <w:rFonts w:eastAsia="Times New Roman"/>
                <w:color w:val="000000"/>
                <w:sz w:val="18"/>
                <w:szCs w:val="18"/>
              </w:rPr>
              <w:t>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E69AC0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FA6B8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FFCF196" w14:textId="77777777" w:rsidR="00000000" w:rsidRDefault="00A173A8">
            <w:pPr>
              <w:spacing w:after="100"/>
              <w:jc w:val="right"/>
              <w:rPr>
                <w:rFonts w:eastAsia="Times New Roman"/>
              </w:rPr>
            </w:pPr>
            <w:r>
              <w:rPr>
                <w:rFonts w:eastAsia="Times New Roman"/>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5CD00E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7751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7445D96" w14:textId="77777777" w:rsidR="00000000" w:rsidRDefault="00A173A8">
            <w:pPr>
              <w:spacing w:after="100"/>
              <w:jc w:val="right"/>
              <w:rPr>
                <w:rFonts w:eastAsia="Times New Roman"/>
              </w:rPr>
            </w:pPr>
            <w:r>
              <w:rPr>
                <w:rFonts w:eastAsia="Times New Roman"/>
                <w:color w:val="000000"/>
                <w:sz w:val="18"/>
                <w:szCs w:val="18"/>
              </w:rPr>
              <w:t>(1,702)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C6EFA0" w14:textId="77777777" w:rsidR="00000000" w:rsidRDefault="00A173A8">
            <w:pPr>
              <w:spacing w:after="100"/>
              <w:jc w:val="right"/>
              <w:rPr>
                <w:rFonts w:eastAsia="Times New Roman"/>
              </w:rPr>
            </w:pPr>
          </w:p>
        </w:tc>
      </w:tr>
      <w:tr w:rsidR="00000000" w14:paraId="520DD500" w14:textId="77777777">
        <w:trPr>
          <w:divId w:val="1452439917"/>
        </w:trPr>
        <w:tc>
          <w:tcPr>
            <w:tcW w:w="0" w:type="auto"/>
            <w:gridSpan w:val="3"/>
            <w:shd w:val="clear" w:color="auto" w:fill="CCEEFF"/>
            <w:tcMar>
              <w:top w:w="30" w:type="dxa"/>
              <w:left w:w="20" w:type="dxa"/>
              <w:bottom w:w="30" w:type="dxa"/>
              <w:right w:w="20" w:type="dxa"/>
            </w:tcMar>
            <w:vAlign w:val="center"/>
            <w:hideMark/>
          </w:tcPr>
          <w:p w14:paraId="0E750450" w14:textId="77777777" w:rsidR="00000000" w:rsidRDefault="00A173A8">
            <w:pPr>
              <w:spacing w:after="100"/>
              <w:rPr>
                <w:rFonts w:eastAsia="Times New Roman"/>
              </w:rPr>
            </w:pPr>
            <w:r>
              <w:rPr>
                <w:rFonts w:eastAsia="Times New Roman"/>
                <w:color w:val="000000"/>
                <w:sz w:val="18"/>
                <w:szCs w:val="18"/>
              </w:rPr>
              <w:t>AOCI as of June 30, 2021</w:t>
            </w:r>
          </w:p>
        </w:tc>
        <w:tc>
          <w:tcPr>
            <w:tcW w:w="0" w:type="auto"/>
            <w:gridSpan w:val="3"/>
            <w:shd w:val="clear" w:color="auto" w:fill="CCEEFF"/>
            <w:tcMar>
              <w:top w:w="0" w:type="dxa"/>
              <w:left w:w="20" w:type="dxa"/>
              <w:bottom w:w="0" w:type="dxa"/>
              <w:right w:w="20" w:type="dxa"/>
            </w:tcMar>
            <w:vAlign w:val="center"/>
            <w:hideMark/>
          </w:tcPr>
          <w:p w14:paraId="3A331A93"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58F450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4571BC4" w14:textId="77777777" w:rsidR="00000000" w:rsidRDefault="00A173A8">
            <w:pPr>
              <w:spacing w:after="100"/>
              <w:jc w:val="right"/>
              <w:rPr>
                <w:rFonts w:eastAsia="Times New Roman"/>
              </w:rPr>
            </w:pPr>
            <w:r>
              <w:rPr>
                <w:rFonts w:eastAsia="Times New Roman"/>
                <w:color w:val="000000"/>
                <w:sz w:val="18"/>
                <w:szCs w:val="18"/>
              </w:rPr>
              <w:t>1,089 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CD117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8C55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0383E1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8B24F12" w14:textId="77777777" w:rsidR="00000000" w:rsidRDefault="00A173A8">
            <w:pPr>
              <w:spacing w:after="100"/>
              <w:jc w:val="right"/>
              <w:rPr>
                <w:rFonts w:eastAsia="Times New Roman"/>
              </w:rPr>
            </w:pPr>
            <w:r>
              <w:rPr>
                <w:rFonts w:eastAsia="Times New Roman"/>
                <w:color w:val="000000"/>
                <w:sz w:val="18"/>
                <w:szCs w:val="18"/>
              </w:rPr>
              <w:t>730 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B903C2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60A37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16C23BC"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CA3C7ED" w14:textId="77777777" w:rsidR="00000000" w:rsidRDefault="00A173A8">
            <w:pPr>
              <w:spacing w:after="100"/>
              <w:jc w:val="right"/>
              <w:rPr>
                <w:rFonts w:eastAsia="Times New Roman"/>
              </w:rPr>
            </w:pPr>
            <w:r>
              <w:rPr>
                <w:rFonts w:eastAsia="Times New Roman"/>
                <w:color w:val="000000"/>
                <w:sz w:val="18"/>
                <w:szCs w:val="18"/>
              </w:rPr>
              <w:t>(3)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239A6C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F749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3E9628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B76D247" w14:textId="77777777" w:rsidR="00000000" w:rsidRDefault="00A173A8">
            <w:pPr>
              <w:spacing w:after="100"/>
              <w:jc w:val="right"/>
              <w:rPr>
                <w:rFonts w:eastAsia="Times New Roman"/>
              </w:rPr>
            </w:pPr>
            <w:r>
              <w:rPr>
                <w:rFonts w:eastAsia="Times New Roman"/>
                <w:color w:val="000000"/>
                <w:sz w:val="18"/>
                <w:szCs w:val="18"/>
              </w:rPr>
              <w:t>(24)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86DCED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A4571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6AE9A9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36CC53B" w14:textId="77777777" w:rsidR="00000000" w:rsidRDefault="00A173A8">
            <w:pPr>
              <w:spacing w:after="100"/>
              <w:jc w:val="right"/>
              <w:rPr>
                <w:rFonts w:eastAsia="Times New Roman"/>
              </w:rPr>
            </w:pPr>
            <w:r>
              <w:rPr>
                <w:rFonts w:eastAsia="Times New Roman"/>
                <w:color w:val="000000"/>
                <w:sz w:val="18"/>
                <w:szCs w:val="18"/>
              </w:rPr>
              <w:t>1,792 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ED73B60" w14:textId="77777777" w:rsidR="00000000" w:rsidRDefault="00A173A8">
            <w:pPr>
              <w:spacing w:after="100"/>
              <w:jc w:val="right"/>
              <w:rPr>
                <w:rFonts w:eastAsia="Times New Roman"/>
              </w:rPr>
            </w:pPr>
          </w:p>
        </w:tc>
      </w:tr>
    </w:tbl>
    <w:p w14:paraId="77B1360A" w14:textId="77777777" w:rsidR="00000000" w:rsidRDefault="00A173A8">
      <w:pPr>
        <w:divId w:val="1452439917"/>
        <w:rPr>
          <w:rFonts w:eastAsia="Times New Roman"/>
        </w:rPr>
      </w:pPr>
      <w:r>
        <w:rPr>
          <w:rFonts w:eastAsia="Times New Roman"/>
          <w:color w:val="000000"/>
          <w:sz w:val="20"/>
          <w:szCs w:val="20"/>
        </w:rPr>
        <w:t>__________</w:t>
      </w:r>
    </w:p>
    <w:p w14:paraId="6473240D" w14:textId="77777777" w:rsidR="00000000" w:rsidRDefault="00A173A8">
      <w:pPr>
        <w:ind w:hanging="360"/>
        <w:jc w:val="both"/>
        <w:divId w:val="187480156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amounts related to cash flow hedges as well as the excluded component of cross-currency swaps designated as fair value hedges.</w:t>
      </w:r>
    </w:p>
    <w:p w14:paraId="303B01D5" w14:textId="77777777" w:rsidR="00000000" w:rsidRDefault="00A173A8">
      <w:pPr>
        <w:ind w:hanging="360"/>
        <w:jc w:val="both"/>
        <w:divId w:val="11692262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Includes other comprehensive gains of $174 million and $222 million for the three and six months ended June 30, 2022, respectively, and other comprehensive loss of $13 million and $34 million for the three and six months ended June 30, 2021, respectively, </w:t>
      </w:r>
      <w:r>
        <w:rPr>
          <w:rFonts w:eastAsia="Times New Roman"/>
          <w:color w:val="000000"/>
          <w:sz w:val="16"/>
          <w:szCs w:val="16"/>
        </w:rPr>
        <w:t>from hedging instruments designated as net investment hedges.</w:t>
      </w:r>
    </w:p>
    <w:p w14:paraId="62C20C90" w14:textId="77777777" w:rsidR="00000000" w:rsidRDefault="00A173A8">
      <w:pPr>
        <w:jc w:val="both"/>
        <w:divId w:val="1828203611"/>
        <w:rPr>
          <w:rFonts w:eastAsia="Times New Roman"/>
        </w:rPr>
      </w:pPr>
      <w:r>
        <w:rPr>
          <w:rFonts w:eastAsia="Times New Roman"/>
          <w:color w:val="000000"/>
          <w:sz w:val="20"/>
          <w:szCs w:val="20"/>
        </w:rPr>
        <w:t>The following table presents amounts reclassified from each component of AOCI to our consolidated statements of income for the three and six months ended June 30, 2022 and 2021.</w:t>
      </w:r>
    </w:p>
    <w:p w14:paraId="4968D564" w14:textId="77777777" w:rsidR="00000000" w:rsidRDefault="00A173A8">
      <w:pPr>
        <w:divId w:val="828056804"/>
        <w:rPr>
          <w:rFonts w:eastAsia="Times New Roman"/>
        </w:rPr>
      </w:pPr>
      <w:r>
        <w:rPr>
          <w:rFonts w:eastAsia="Times New Roman"/>
          <w:b/>
          <w:bCs/>
          <w:color w:val="000000"/>
          <w:sz w:val="18"/>
          <w:szCs w:val="18"/>
        </w:rPr>
        <w:t>Table 9.3: Recla</w:t>
      </w:r>
      <w:r>
        <w:rPr>
          <w:rFonts w:eastAsia="Times New Roman"/>
          <w:b/>
          <w:bCs/>
          <w:color w:val="000000"/>
          <w:sz w:val="18"/>
          <w:szCs w:val="18"/>
        </w:rPr>
        <w:t>ssifications from AOCI</w:t>
      </w:r>
    </w:p>
    <w:tbl>
      <w:tblPr>
        <w:tblW w:w="4978" w:type="pct"/>
        <w:tblCellMar>
          <w:top w:w="15" w:type="dxa"/>
          <w:left w:w="15" w:type="dxa"/>
          <w:bottom w:w="15" w:type="dxa"/>
          <w:right w:w="15" w:type="dxa"/>
        </w:tblCellMar>
        <w:tblLook w:val="04A0" w:firstRow="1" w:lastRow="0" w:firstColumn="1" w:lastColumn="0" w:noHBand="0" w:noVBand="1"/>
      </w:tblPr>
      <w:tblGrid>
        <w:gridCol w:w="38"/>
        <w:gridCol w:w="1749"/>
        <w:gridCol w:w="37"/>
        <w:gridCol w:w="36"/>
        <w:gridCol w:w="36"/>
        <w:gridCol w:w="36"/>
        <w:gridCol w:w="91"/>
        <w:gridCol w:w="2509"/>
        <w:gridCol w:w="36"/>
        <w:gridCol w:w="57"/>
        <w:gridCol w:w="293"/>
        <w:gridCol w:w="56"/>
        <w:gridCol w:w="111"/>
        <w:gridCol w:w="576"/>
        <w:gridCol w:w="37"/>
        <w:gridCol w:w="36"/>
        <w:gridCol w:w="36"/>
        <w:gridCol w:w="36"/>
        <w:gridCol w:w="111"/>
        <w:gridCol w:w="576"/>
        <w:gridCol w:w="37"/>
        <w:gridCol w:w="36"/>
        <w:gridCol w:w="36"/>
        <w:gridCol w:w="36"/>
        <w:gridCol w:w="111"/>
        <w:gridCol w:w="576"/>
        <w:gridCol w:w="37"/>
        <w:gridCol w:w="36"/>
        <w:gridCol w:w="36"/>
        <w:gridCol w:w="36"/>
        <w:gridCol w:w="111"/>
        <w:gridCol w:w="579"/>
        <w:gridCol w:w="37"/>
        <w:gridCol w:w="36"/>
        <w:gridCol w:w="36"/>
      </w:tblGrid>
      <w:tr w:rsidR="00000000" w14:paraId="58D09D78" w14:textId="77777777">
        <w:trPr>
          <w:divId w:val="1779527007"/>
        </w:trPr>
        <w:tc>
          <w:tcPr>
            <w:tcW w:w="50" w:type="pct"/>
            <w:vAlign w:val="center"/>
            <w:hideMark/>
          </w:tcPr>
          <w:p w14:paraId="55CF3871" w14:textId="77777777" w:rsidR="00000000" w:rsidRDefault="00A173A8">
            <w:pPr>
              <w:rPr>
                <w:rFonts w:eastAsia="Times New Roman"/>
              </w:rPr>
            </w:pPr>
          </w:p>
        </w:tc>
        <w:tc>
          <w:tcPr>
            <w:tcW w:w="1171" w:type="pct"/>
            <w:vAlign w:val="center"/>
            <w:hideMark/>
          </w:tcPr>
          <w:p w14:paraId="09B51C19" w14:textId="77777777" w:rsidR="00000000" w:rsidRDefault="00A173A8">
            <w:pPr>
              <w:spacing w:after="100"/>
              <w:rPr>
                <w:rFonts w:eastAsia="Times New Roman"/>
                <w:sz w:val="20"/>
                <w:szCs w:val="20"/>
              </w:rPr>
            </w:pPr>
          </w:p>
        </w:tc>
        <w:tc>
          <w:tcPr>
            <w:tcW w:w="5" w:type="pct"/>
            <w:vAlign w:val="center"/>
            <w:hideMark/>
          </w:tcPr>
          <w:p w14:paraId="0403A4C8" w14:textId="77777777" w:rsidR="00000000" w:rsidRDefault="00A173A8">
            <w:pPr>
              <w:spacing w:after="100"/>
              <w:rPr>
                <w:rFonts w:eastAsia="Times New Roman"/>
                <w:sz w:val="20"/>
                <w:szCs w:val="20"/>
              </w:rPr>
            </w:pPr>
          </w:p>
        </w:tc>
        <w:tc>
          <w:tcPr>
            <w:tcW w:w="5" w:type="pct"/>
            <w:vAlign w:val="center"/>
            <w:hideMark/>
          </w:tcPr>
          <w:p w14:paraId="1AD53AE4" w14:textId="77777777" w:rsidR="00000000" w:rsidRDefault="00A173A8">
            <w:pPr>
              <w:spacing w:after="100"/>
              <w:rPr>
                <w:rFonts w:eastAsia="Times New Roman"/>
                <w:sz w:val="20"/>
                <w:szCs w:val="20"/>
              </w:rPr>
            </w:pPr>
          </w:p>
        </w:tc>
        <w:tc>
          <w:tcPr>
            <w:tcW w:w="26" w:type="pct"/>
            <w:vAlign w:val="center"/>
            <w:hideMark/>
          </w:tcPr>
          <w:p w14:paraId="0140F315" w14:textId="77777777" w:rsidR="00000000" w:rsidRDefault="00A173A8">
            <w:pPr>
              <w:spacing w:after="100"/>
              <w:rPr>
                <w:rFonts w:eastAsia="Times New Roman"/>
                <w:sz w:val="20"/>
                <w:szCs w:val="20"/>
              </w:rPr>
            </w:pPr>
          </w:p>
        </w:tc>
        <w:tc>
          <w:tcPr>
            <w:tcW w:w="5" w:type="pct"/>
            <w:vAlign w:val="center"/>
            <w:hideMark/>
          </w:tcPr>
          <w:p w14:paraId="33BA0D39" w14:textId="77777777" w:rsidR="00000000" w:rsidRDefault="00A173A8">
            <w:pPr>
              <w:spacing w:after="100"/>
              <w:rPr>
                <w:rFonts w:eastAsia="Times New Roman"/>
                <w:sz w:val="20"/>
                <w:szCs w:val="20"/>
              </w:rPr>
            </w:pPr>
          </w:p>
        </w:tc>
        <w:tc>
          <w:tcPr>
            <w:tcW w:w="50" w:type="pct"/>
            <w:vAlign w:val="center"/>
            <w:hideMark/>
          </w:tcPr>
          <w:p w14:paraId="039A1E13" w14:textId="77777777" w:rsidR="00000000" w:rsidRDefault="00A173A8">
            <w:pPr>
              <w:spacing w:after="100"/>
              <w:rPr>
                <w:rFonts w:eastAsia="Times New Roman"/>
                <w:sz w:val="20"/>
                <w:szCs w:val="20"/>
              </w:rPr>
            </w:pPr>
          </w:p>
        </w:tc>
        <w:tc>
          <w:tcPr>
            <w:tcW w:w="1391" w:type="pct"/>
            <w:vAlign w:val="center"/>
            <w:hideMark/>
          </w:tcPr>
          <w:p w14:paraId="4A808021" w14:textId="77777777" w:rsidR="00000000" w:rsidRDefault="00A173A8">
            <w:pPr>
              <w:spacing w:after="100"/>
              <w:rPr>
                <w:rFonts w:eastAsia="Times New Roman"/>
                <w:sz w:val="20"/>
                <w:szCs w:val="20"/>
              </w:rPr>
            </w:pPr>
          </w:p>
        </w:tc>
        <w:tc>
          <w:tcPr>
            <w:tcW w:w="5" w:type="pct"/>
            <w:vAlign w:val="center"/>
            <w:hideMark/>
          </w:tcPr>
          <w:p w14:paraId="3EC03D2E" w14:textId="77777777" w:rsidR="00000000" w:rsidRDefault="00A173A8">
            <w:pPr>
              <w:spacing w:after="100"/>
              <w:rPr>
                <w:rFonts w:eastAsia="Times New Roman"/>
                <w:sz w:val="20"/>
                <w:szCs w:val="20"/>
              </w:rPr>
            </w:pPr>
          </w:p>
        </w:tc>
        <w:tc>
          <w:tcPr>
            <w:tcW w:w="5" w:type="pct"/>
            <w:vAlign w:val="center"/>
            <w:hideMark/>
          </w:tcPr>
          <w:p w14:paraId="6FF7DEEE" w14:textId="77777777" w:rsidR="00000000" w:rsidRDefault="00A173A8">
            <w:pPr>
              <w:spacing w:after="100"/>
              <w:rPr>
                <w:rFonts w:eastAsia="Times New Roman"/>
                <w:sz w:val="20"/>
                <w:szCs w:val="20"/>
              </w:rPr>
            </w:pPr>
          </w:p>
        </w:tc>
        <w:tc>
          <w:tcPr>
            <w:tcW w:w="26" w:type="pct"/>
            <w:vAlign w:val="center"/>
            <w:hideMark/>
          </w:tcPr>
          <w:p w14:paraId="13304CC5" w14:textId="77777777" w:rsidR="00000000" w:rsidRDefault="00A173A8">
            <w:pPr>
              <w:spacing w:after="100"/>
              <w:rPr>
                <w:rFonts w:eastAsia="Times New Roman"/>
                <w:sz w:val="20"/>
                <w:szCs w:val="20"/>
              </w:rPr>
            </w:pPr>
          </w:p>
        </w:tc>
        <w:tc>
          <w:tcPr>
            <w:tcW w:w="5" w:type="pct"/>
            <w:vAlign w:val="center"/>
            <w:hideMark/>
          </w:tcPr>
          <w:p w14:paraId="3EFDE23B" w14:textId="77777777" w:rsidR="00000000" w:rsidRDefault="00A173A8">
            <w:pPr>
              <w:spacing w:after="100"/>
              <w:rPr>
                <w:rFonts w:eastAsia="Times New Roman"/>
                <w:sz w:val="20"/>
                <w:szCs w:val="20"/>
              </w:rPr>
            </w:pPr>
          </w:p>
        </w:tc>
        <w:tc>
          <w:tcPr>
            <w:tcW w:w="50" w:type="pct"/>
            <w:vAlign w:val="center"/>
            <w:hideMark/>
          </w:tcPr>
          <w:p w14:paraId="2CDCC1E8" w14:textId="77777777" w:rsidR="00000000" w:rsidRDefault="00A173A8">
            <w:pPr>
              <w:spacing w:after="100"/>
              <w:rPr>
                <w:rFonts w:eastAsia="Times New Roman"/>
                <w:sz w:val="20"/>
                <w:szCs w:val="20"/>
              </w:rPr>
            </w:pPr>
          </w:p>
        </w:tc>
        <w:tc>
          <w:tcPr>
            <w:tcW w:w="480" w:type="pct"/>
            <w:vAlign w:val="center"/>
            <w:hideMark/>
          </w:tcPr>
          <w:p w14:paraId="2C07BE45" w14:textId="77777777" w:rsidR="00000000" w:rsidRDefault="00A173A8">
            <w:pPr>
              <w:spacing w:after="100"/>
              <w:rPr>
                <w:rFonts w:eastAsia="Times New Roman"/>
                <w:sz w:val="20"/>
                <w:szCs w:val="20"/>
              </w:rPr>
            </w:pPr>
          </w:p>
        </w:tc>
        <w:tc>
          <w:tcPr>
            <w:tcW w:w="5" w:type="pct"/>
            <w:vAlign w:val="center"/>
            <w:hideMark/>
          </w:tcPr>
          <w:p w14:paraId="401B2081" w14:textId="77777777" w:rsidR="00000000" w:rsidRDefault="00A173A8">
            <w:pPr>
              <w:spacing w:after="100"/>
              <w:rPr>
                <w:rFonts w:eastAsia="Times New Roman"/>
                <w:sz w:val="20"/>
                <w:szCs w:val="20"/>
              </w:rPr>
            </w:pPr>
          </w:p>
        </w:tc>
        <w:tc>
          <w:tcPr>
            <w:tcW w:w="5" w:type="pct"/>
            <w:vAlign w:val="center"/>
            <w:hideMark/>
          </w:tcPr>
          <w:p w14:paraId="6BBABA9F" w14:textId="77777777" w:rsidR="00000000" w:rsidRDefault="00A173A8">
            <w:pPr>
              <w:spacing w:after="100"/>
              <w:rPr>
                <w:rFonts w:eastAsia="Times New Roman"/>
                <w:sz w:val="20"/>
                <w:szCs w:val="20"/>
              </w:rPr>
            </w:pPr>
          </w:p>
        </w:tc>
        <w:tc>
          <w:tcPr>
            <w:tcW w:w="26" w:type="pct"/>
            <w:vAlign w:val="center"/>
            <w:hideMark/>
          </w:tcPr>
          <w:p w14:paraId="759643B8" w14:textId="77777777" w:rsidR="00000000" w:rsidRDefault="00A173A8">
            <w:pPr>
              <w:spacing w:after="100"/>
              <w:rPr>
                <w:rFonts w:eastAsia="Times New Roman"/>
                <w:sz w:val="20"/>
                <w:szCs w:val="20"/>
              </w:rPr>
            </w:pPr>
          </w:p>
        </w:tc>
        <w:tc>
          <w:tcPr>
            <w:tcW w:w="5" w:type="pct"/>
            <w:vAlign w:val="center"/>
            <w:hideMark/>
          </w:tcPr>
          <w:p w14:paraId="20B0E1A8" w14:textId="77777777" w:rsidR="00000000" w:rsidRDefault="00A173A8">
            <w:pPr>
              <w:spacing w:after="100"/>
              <w:rPr>
                <w:rFonts w:eastAsia="Times New Roman"/>
                <w:sz w:val="20"/>
                <w:szCs w:val="20"/>
              </w:rPr>
            </w:pPr>
          </w:p>
        </w:tc>
        <w:tc>
          <w:tcPr>
            <w:tcW w:w="50" w:type="pct"/>
            <w:vAlign w:val="center"/>
            <w:hideMark/>
          </w:tcPr>
          <w:p w14:paraId="3CCDAE97" w14:textId="77777777" w:rsidR="00000000" w:rsidRDefault="00A173A8">
            <w:pPr>
              <w:spacing w:after="100"/>
              <w:rPr>
                <w:rFonts w:eastAsia="Times New Roman"/>
                <w:sz w:val="20"/>
                <w:szCs w:val="20"/>
              </w:rPr>
            </w:pPr>
          </w:p>
        </w:tc>
        <w:tc>
          <w:tcPr>
            <w:tcW w:w="480" w:type="pct"/>
            <w:vAlign w:val="center"/>
            <w:hideMark/>
          </w:tcPr>
          <w:p w14:paraId="39AFB86A" w14:textId="77777777" w:rsidR="00000000" w:rsidRDefault="00A173A8">
            <w:pPr>
              <w:spacing w:after="100"/>
              <w:rPr>
                <w:rFonts w:eastAsia="Times New Roman"/>
                <w:sz w:val="20"/>
                <w:szCs w:val="20"/>
              </w:rPr>
            </w:pPr>
          </w:p>
        </w:tc>
        <w:tc>
          <w:tcPr>
            <w:tcW w:w="5" w:type="pct"/>
            <w:vAlign w:val="center"/>
            <w:hideMark/>
          </w:tcPr>
          <w:p w14:paraId="25428104" w14:textId="77777777" w:rsidR="00000000" w:rsidRDefault="00A173A8">
            <w:pPr>
              <w:spacing w:after="100"/>
              <w:rPr>
                <w:rFonts w:eastAsia="Times New Roman"/>
                <w:sz w:val="20"/>
                <w:szCs w:val="20"/>
              </w:rPr>
            </w:pPr>
          </w:p>
        </w:tc>
        <w:tc>
          <w:tcPr>
            <w:tcW w:w="5" w:type="pct"/>
            <w:vAlign w:val="center"/>
            <w:hideMark/>
          </w:tcPr>
          <w:p w14:paraId="035C4D60" w14:textId="77777777" w:rsidR="00000000" w:rsidRDefault="00A173A8">
            <w:pPr>
              <w:spacing w:after="100"/>
              <w:rPr>
                <w:rFonts w:eastAsia="Times New Roman"/>
                <w:sz w:val="20"/>
                <w:szCs w:val="20"/>
              </w:rPr>
            </w:pPr>
          </w:p>
        </w:tc>
        <w:tc>
          <w:tcPr>
            <w:tcW w:w="26" w:type="pct"/>
            <w:vAlign w:val="center"/>
            <w:hideMark/>
          </w:tcPr>
          <w:p w14:paraId="071103F7" w14:textId="77777777" w:rsidR="00000000" w:rsidRDefault="00A173A8">
            <w:pPr>
              <w:spacing w:after="100"/>
              <w:rPr>
                <w:rFonts w:eastAsia="Times New Roman"/>
                <w:sz w:val="20"/>
                <w:szCs w:val="20"/>
              </w:rPr>
            </w:pPr>
          </w:p>
        </w:tc>
        <w:tc>
          <w:tcPr>
            <w:tcW w:w="5" w:type="pct"/>
            <w:vAlign w:val="center"/>
            <w:hideMark/>
          </w:tcPr>
          <w:p w14:paraId="32D1D507" w14:textId="77777777" w:rsidR="00000000" w:rsidRDefault="00A173A8">
            <w:pPr>
              <w:spacing w:after="100"/>
              <w:rPr>
                <w:rFonts w:eastAsia="Times New Roman"/>
                <w:sz w:val="20"/>
                <w:szCs w:val="20"/>
              </w:rPr>
            </w:pPr>
          </w:p>
        </w:tc>
        <w:tc>
          <w:tcPr>
            <w:tcW w:w="50" w:type="pct"/>
            <w:vAlign w:val="center"/>
            <w:hideMark/>
          </w:tcPr>
          <w:p w14:paraId="36E62D28" w14:textId="77777777" w:rsidR="00000000" w:rsidRDefault="00A173A8">
            <w:pPr>
              <w:spacing w:after="100"/>
              <w:rPr>
                <w:rFonts w:eastAsia="Times New Roman"/>
                <w:sz w:val="20"/>
                <w:szCs w:val="20"/>
              </w:rPr>
            </w:pPr>
          </w:p>
        </w:tc>
        <w:tc>
          <w:tcPr>
            <w:tcW w:w="480" w:type="pct"/>
            <w:vAlign w:val="center"/>
            <w:hideMark/>
          </w:tcPr>
          <w:p w14:paraId="375F398A" w14:textId="77777777" w:rsidR="00000000" w:rsidRDefault="00A173A8">
            <w:pPr>
              <w:spacing w:after="100"/>
              <w:rPr>
                <w:rFonts w:eastAsia="Times New Roman"/>
                <w:sz w:val="20"/>
                <w:szCs w:val="20"/>
              </w:rPr>
            </w:pPr>
          </w:p>
        </w:tc>
        <w:tc>
          <w:tcPr>
            <w:tcW w:w="5" w:type="pct"/>
            <w:vAlign w:val="center"/>
            <w:hideMark/>
          </w:tcPr>
          <w:p w14:paraId="5B2F2D16" w14:textId="77777777" w:rsidR="00000000" w:rsidRDefault="00A173A8">
            <w:pPr>
              <w:spacing w:after="100"/>
              <w:rPr>
                <w:rFonts w:eastAsia="Times New Roman"/>
                <w:sz w:val="20"/>
                <w:szCs w:val="20"/>
              </w:rPr>
            </w:pPr>
          </w:p>
        </w:tc>
        <w:tc>
          <w:tcPr>
            <w:tcW w:w="5" w:type="pct"/>
            <w:vAlign w:val="center"/>
            <w:hideMark/>
          </w:tcPr>
          <w:p w14:paraId="3BE1898C" w14:textId="77777777" w:rsidR="00000000" w:rsidRDefault="00A173A8">
            <w:pPr>
              <w:spacing w:after="100"/>
              <w:rPr>
                <w:rFonts w:eastAsia="Times New Roman"/>
                <w:sz w:val="20"/>
                <w:szCs w:val="20"/>
              </w:rPr>
            </w:pPr>
          </w:p>
        </w:tc>
        <w:tc>
          <w:tcPr>
            <w:tcW w:w="26" w:type="pct"/>
            <w:vAlign w:val="center"/>
            <w:hideMark/>
          </w:tcPr>
          <w:p w14:paraId="5666908E" w14:textId="77777777" w:rsidR="00000000" w:rsidRDefault="00A173A8">
            <w:pPr>
              <w:spacing w:after="100"/>
              <w:rPr>
                <w:rFonts w:eastAsia="Times New Roman"/>
                <w:sz w:val="20"/>
                <w:szCs w:val="20"/>
              </w:rPr>
            </w:pPr>
          </w:p>
        </w:tc>
        <w:tc>
          <w:tcPr>
            <w:tcW w:w="5" w:type="pct"/>
            <w:vAlign w:val="center"/>
            <w:hideMark/>
          </w:tcPr>
          <w:p w14:paraId="37C4897A" w14:textId="77777777" w:rsidR="00000000" w:rsidRDefault="00A173A8">
            <w:pPr>
              <w:spacing w:after="100"/>
              <w:rPr>
                <w:rFonts w:eastAsia="Times New Roman"/>
                <w:sz w:val="20"/>
                <w:szCs w:val="20"/>
              </w:rPr>
            </w:pPr>
          </w:p>
        </w:tc>
        <w:tc>
          <w:tcPr>
            <w:tcW w:w="50" w:type="pct"/>
            <w:vAlign w:val="center"/>
            <w:hideMark/>
          </w:tcPr>
          <w:p w14:paraId="09DAEAC2" w14:textId="77777777" w:rsidR="00000000" w:rsidRDefault="00A173A8">
            <w:pPr>
              <w:spacing w:after="100"/>
              <w:rPr>
                <w:rFonts w:eastAsia="Times New Roman"/>
                <w:sz w:val="20"/>
                <w:szCs w:val="20"/>
              </w:rPr>
            </w:pPr>
          </w:p>
        </w:tc>
        <w:tc>
          <w:tcPr>
            <w:tcW w:w="481" w:type="pct"/>
            <w:vAlign w:val="center"/>
            <w:hideMark/>
          </w:tcPr>
          <w:p w14:paraId="2E6CDB5C" w14:textId="77777777" w:rsidR="00000000" w:rsidRDefault="00A173A8">
            <w:pPr>
              <w:spacing w:after="100"/>
              <w:rPr>
                <w:rFonts w:eastAsia="Times New Roman"/>
                <w:sz w:val="20"/>
                <w:szCs w:val="20"/>
              </w:rPr>
            </w:pPr>
          </w:p>
        </w:tc>
        <w:tc>
          <w:tcPr>
            <w:tcW w:w="5" w:type="pct"/>
            <w:vAlign w:val="center"/>
            <w:hideMark/>
          </w:tcPr>
          <w:p w14:paraId="21282BD2" w14:textId="77777777" w:rsidR="00000000" w:rsidRDefault="00A173A8">
            <w:pPr>
              <w:spacing w:after="100"/>
              <w:rPr>
                <w:rFonts w:eastAsia="Times New Roman"/>
                <w:sz w:val="20"/>
                <w:szCs w:val="20"/>
              </w:rPr>
            </w:pPr>
          </w:p>
        </w:tc>
        <w:tc>
          <w:tcPr>
            <w:tcW w:w="0" w:type="auto"/>
            <w:vAlign w:val="center"/>
            <w:hideMark/>
          </w:tcPr>
          <w:p w14:paraId="1D25D123" w14:textId="77777777" w:rsidR="00000000" w:rsidRDefault="00A173A8">
            <w:pPr>
              <w:spacing w:after="100"/>
              <w:rPr>
                <w:rFonts w:eastAsia="Times New Roman"/>
                <w:sz w:val="20"/>
                <w:szCs w:val="20"/>
              </w:rPr>
            </w:pPr>
          </w:p>
        </w:tc>
        <w:tc>
          <w:tcPr>
            <w:tcW w:w="0" w:type="auto"/>
            <w:vAlign w:val="center"/>
            <w:hideMark/>
          </w:tcPr>
          <w:p w14:paraId="4ED4E7E2" w14:textId="77777777" w:rsidR="00000000" w:rsidRDefault="00A173A8">
            <w:pPr>
              <w:spacing w:after="100"/>
              <w:rPr>
                <w:rFonts w:eastAsia="Times New Roman"/>
                <w:sz w:val="20"/>
                <w:szCs w:val="20"/>
              </w:rPr>
            </w:pPr>
          </w:p>
        </w:tc>
      </w:tr>
      <w:tr w:rsidR="00000000" w14:paraId="28694164" w14:textId="77777777">
        <w:trPr>
          <w:divId w:val="1779527007"/>
        </w:trPr>
        <w:tc>
          <w:tcPr>
            <w:tcW w:w="0" w:type="auto"/>
            <w:gridSpan w:val="3"/>
            <w:tcMar>
              <w:top w:w="30" w:type="dxa"/>
              <w:left w:w="20" w:type="dxa"/>
              <w:bottom w:w="30" w:type="dxa"/>
              <w:right w:w="20" w:type="dxa"/>
            </w:tcMar>
            <w:vAlign w:val="bottom"/>
            <w:hideMark/>
          </w:tcPr>
          <w:p w14:paraId="5635F2AA"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EAB3713"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396CD382"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FAE298"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9D395D2" w14:textId="77777777" w:rsidR="00000000" w:rsidRDefault="00A173A8">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65276065"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2A9EAFE"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3BA8E61E" w14:textId="77777777" w:rsidR="00000000" w:rsidRDefault="00A173A8">
            <w:pPr>
              <w:spacing w:after="100"/>
              <w:jc w:val="center"/>
              <w:rPr>
                <w:rFonts w:eastAsia="Times New Roman"/>
              </w:rPr>
            </w:pPr>
          </w:p>
        </w:tc>
        <w:tc>
          <w:tcPr>
            <w:tcW w:w="0" w:type="auto"/>
            <w:vAlign w:val="center"/>
            <w:hideMark/>
          </w:tcPr>
          <w:p w14:paraId="5990F08D" w14:textId="77777777" w:rsidR="00000000" w:rsidRDefault="00A173A8">
            <w:pPr>
              <w:spacing w:after="100"/>
              <w:rPr>
                <w:rFonts w:eastAsia="Times New Roman"/>
                <w:sz w:val="20"/>
                <w:szCs w:val="20"/>
              </w:rPr>
            </w:pPr>
          </w:p>
        </w:tc>
      </w:tr>
      <w:tr w:rsidR="00000000" w14:paraId="78AD31A1" w14:textId="77777777">
        <w:trPr>
          <w:divId w:val="1779527007"/>
        </w:trPr>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8FE6FF1" w14:textId="77777777" w:rsidR="00000000" w:rsidRDefault="00A173A8">
            <w:pPr>
              <w:spacing w:after="100"/>
              <w:jc w:val="center"/>
              <w:rPr>
                <w:rFonts w:eastAsia="Times New Roman"/>
              </w:rPr>
            </w:pPr>
            <w:r>
              <w:rPr>
                <w:rFonts w:eastAsia="Times New Roman"/>
                <w:b/>
                <w:bCs/>
                <w:color w:val="000000"/>
                <w:sz w:val="16"/>
                <w:szCs w:val="16"/>
              </w:rPr>
              <w:t>AOCI Components</w:t>
            </w:r>
          </w:p>
        </w:tc>
        <w:tc>
          <w:tcPr>
            <w:tcW w:w="0" w:type="auto"/>
            <w:gridSpan w:val="3"/>
            <w:tcMar>
              <w:top w:w="0" w:type="dxa"/>
              <w:left w:w="20" w:type="dxa"/>
              <w:bottom w:w="0" w:type="dxa"/>
              <w:right w:w="20" w:type="dxa"/>
            </w:tcMar>
            <w:vAlign w:val="center"/>
            <w:hideMark/>
          </w:tcPr>
          <w:p w14:paraId="04196FD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EE4EF56" w14:textId="77777777" w:rsidR="00000000" w:rsidRDefault="00A173A8">
            <w:pPr>
              <w:spacing w:after="100"/>
              <w:jc w:val="center"/>
              <w:rPr>
                <w:rFonts w:eastAsia="Times New Roman"/>
              </w:rPr>
            </w:pPr>
            <w:r>
              <w:rPr>
                <w:rFonts w:eastAsia="Times New Roman"/>
                <w:b/>
                <w:bCs/>
                <w:color w:val="000000"/>
                <w:sz w:val="16"/>
                <w:szCs w:val="16"/>
              </w:rPr>
              <w:t>Affected Income Statement Line Item</w:t>
            </w:r>
          </w:p>
        </w:tc>
        <w:tc>
          <w:tcPr>
            <w:tcW w:w="0" w:type="auto"/>
            <w:gridSpan w:val="3"/>
            <w:tcMar>
              <w:top w:w="0" w:type="dxa"/>
              <w:left w:w="20" w:type="dxa"/>
              <w:bottom w:w="0" w:type="dxa"/>
              <w:right w:w="20" w:type="dxa"/>
            </w:tcMar>
            <w:vAlign w:val="center"/>
            <w:hideMark/>
          </w:tcPr>
          <w:p w14:paraId="0FBE9AB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E4274F0"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68CEAD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719F0CE"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937D96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E9BA0E7"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378940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D3059E"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vAlign w:val="center"/>
            <w:hideMark/>
          </w:tcPr>
          <w:p w14:paraId="518B3FA9" w14:textId="77777777" w:rsidR="00000000" w:rsidRDefault="00A173A8">
            <w:pPr>
              <w:spacing w:after="100"/>
              <w:jc w:val="center"/>
              <w:rPr>
                <w:rFonts w:eastAsia="Times New Roman"/>
              </w:rPr>
            </w:pPr>
          </w:p>
        </w:tc>
        <w:tc>
          <w:tcPr>
            <w:tcW w:w="0" w:type="auto"/>
            <w:vAlign w:val="center"/>
            <w:hideMark/>
          </w:tcPr>
          <w:p w14:paraId="66161840" w14:textId="77777777" w:rsidR="00000000" w:rsidRDefault="00A173A8">
            <w:pPr>
              <w:spacing w:after="100"/>
              <w:rPr>
                <w:rFonts w:eastAsia="Times New Roman"/>
                <w:sz w:val="20"/>
                <w:szCs w:val="20"/>
              </w:rPr>
            </w:pPr>
          </w:p>
        </w:tc>
      </w:tr>
      <w:tr w:rsidR="00000000" w14:paraId="572BBB9E" w14:textId="77777777">
        <w:trPr>
          <w:divId w:val="17795270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755DA49" w14:textId="77777777" w:rsidR="00000000" w:rsidRDefault="00A173A8">
            <w:pPr>
              <w:spacing w:after="100"/>
              <w:rPr>
                <w:rFonts w:eastAsia="Times New Roman"/>
              </w:rPr>
            </w:pPr>
            <w:r>
              <w:rPr>
                <w:rFonts w:eastAsia="Times New Roman"/>
                <w:b/>
                <w:bCs/>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14:paraId="23A3F278"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399B82A" w14:textId="77777777" w:rsidR="00000000" w:rsidRDefault="00A173A8">
            <w:pPr>
              <w:spacing w:after="100"/>
              <w:rPr>
                <w:rFonts w:eastAsia="Times New Roman"/>
                <w:sz w:val="20"/>
                <w:szCs w:val="20"/>
              </w:rPr>
            </w:pPr>
          </w:p>
        </w:tc>
        <w:tc>
          <w:tcPr>
            <w:tcW w:w="0" w:type="auto"/>
            <w:gridSpan w:val="3"/>
            <w:shd w:val="clear" w:color="auto" w:fill="CCEEFF"/>
            <w:tcMar>
              <w:top w:w="0" w:type="dxa"/>
              <w:left w:w="380" w:type="dxa"/>
              <w:bottom w:w="0" w:type="dxa"/>
              <w:right w:w="20" w:type="dxa"/>
            </w:tcMar>
            <w:vAlign w:val="center"/>
            <w:hideMark/>
          </w:tcPr>
          <w:p w14:paraId="1B3B038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03AEA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4F4D1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4DA68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FA58D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2F1B1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2F9CF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A5BED9" w14:textId="77777777" w:rsidR="00000000" w:rsidRDefault="00A173A8">
            <w:pPr>
              <w:spacing w:after="100"/>
              <w:rPr>
                <w:rFonts w:eastAsia="Times New Roman"/>
                <w:sz w:val="20"/>
                <w:szCs w:val="20"/>
              </w:rPr>
            </w:pPr>
          </w:p>
        </w:tc>
        <w:tc>
          <w:tcPr>
            <w:tcW w:w="0" w:type="auto"/>
            <w:vAlign w:val="center"/>
            <w:hideMark/>
          </w:tcPr>
          <w:p w14:paraId="07973BC4" w14:textId="77777777" w:rsidR="00000000" w:rsidRDefault="00A173A8">
            <w:pPr>
              <w:spacing w:after="100"/>
              <w:rPr>
                <w:rFonts w:eastAsia="Times New Roman"/>
                <w:sz w:val="20"/>
                <w:szCs w:val="20"/>
              </w:rPr>
            </w:pPr>
          </w:p>
        </w:tc>
        <w:tc>
          <w:tcPr>
            <w:tcW w:w="0" w:type="auto"/>
            <w:vAlign w:val="center"/>
            <w:hideMark/>
          </w:tcPr>
          <w:p w14:paraId="4FDC72C4" w14:textId="77777777" w:rsidR="00000000" w:rsidRDefault="00A173A8">
            <w:pPr>
              <w:spacing w:after="100"/>
              <w:rPr>
                <w:rFonts w:eastAsia="Times New Roman"/>
                <w:sz w:val="20"/>
                <w:szCs w:val="20"/>
              </w:rPr>
            </w:pPr>
          </w:p>
        </w:tc>
      </w:tr>
      <w:tr w:rsidR="00000000" w14:paraId="0C85940A" w14:textId="77777777">
        <w:trPr>
          <w:divId w:val="1779527007"/>
        </w:trPr>
        <w:tc>
          <w:tcPr>
            <w:tcW w:w="0" w:type="auto"/>
            <w:gridSpan w:val="3"/>
            <w:shd w:val="clear" w:color="auto" w:fill="FFFFFF"/>
            <w:tcMar>
              <w:top w:w="0" w:type="dxa"/>
              <w:left w:w="20" w:type="dxa"/>
              <w:bottom w:w="0" w:type="dxa"/>
              <w:right w:w="20" w:type="dxa"/>
            </w:tcMar>
            <w:vAlign w:val="center"/>
            <w:hideMark/>
          </w:tcPr>
          <w:p w14:paraId="43C9844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E35BA6"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413FC553" w14:textId="77777777" w:rsidR="00000000" w:rsidRDefault="00A173A8">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4681C8B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7BFDB37F"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EDC16FB" w14:textId="77777777" w:rsidR="00000000" w:rsidRDefault="00A173A8">
            <w:pPr>
              <w:spacing w:after="100"/>
              <w:jc w:val="right"/>
              <w:rPr>
                <w:rFonts w:eastAsia="Times New Roman"/>
              </w:rPr>
            </w:pPr>
            <w:r>
              <w:rPr>
                <w:rFonts w:eastAsia="Times New Roman"/>
                <w:b/>
                <w:bCs/>
                <w:color w:val="000000"/>
                <w:sz w:val="18"/>
                <w:szCs w:val="18"/>
              </w:rPr>
              <w:t>(6)</w:t>
            </w:r>
          </w:p>
        </w:tc>
        <w:tc>
          <w:tcPr>
            <w:tcW w:w="0" w:type="auto"/>
            <w:shd w:val="clear" w:color="auto" w:fill="FFFFFF"/>
            <w:tcMar>
              <w:top w:w="30" w:type="dxa"/>
              <w:left w:w="0" w:type="dxa"/>
              <w:bottom w:w="30" w:type="dxa"/>
              <w:right w:w="20" w:type="dxa"/>
            </w:tcMar>
            <w:vAlign w:val="center"/>
            <w:hideMark/>
          </w:tcPr>
          <w:p w14:paraId="6C6A812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9E3E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3D8DED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1EAF59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DDB8C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50A7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88FCEBA"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FFA7854" w14:textId="77777777" w:rsidR="00000000" w:rsidRDefault="00A173A8">
            <w:pPr>
              <w:spacing w:after="100"/>
              <w:jc w:val="right"/>
              <w:rPr>
                <w:rFonts w:eastAsia="Times New Roman"/>
              </w:rPr>
            </w:pPr>
            <w:r>
              <w:rPr>
                <w:rFonts w:eastAsia="Times New Roman"/>
                <w:b/>
                <w:bCs/>
                <w:color w:val="000000"/>
                <w:sz w:val="18"/>
                <w:szCs w:val="18"/>
              </w:rPr>
              <w:t>(6)</w:t>
            </w:r>
          </w:p>
        </w:tc>
        <w:tc>
          <w:tcPr>
            <w:tcW w:w="0" w:type="auto"/>
            <w:shd w:val="clear" w:color="auto" w:fill="FFFFFF"/>
            <w:tcMar>
              <w:top w:w="30" w:type="dxa"/>
              <w:left w:w="0" w:type="dxa"/>
              <w:bottom w:w="30" w:type="dxa"/>
              <w:right w:w="20" w:type="dxa"/>
            </w:tcMar>
            <w:vAlign w:val="center"/>
            <w:hideMark/>
          </w:tcPr>
          <w:p w14:paraId="46E728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F452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DDC51F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840588D"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14:paraId="6791F66E" w14:textId="77777777" w:rsidR="00000000" w:rsidRDefault="00A173A8">
            <w:pPr>
              <w:spacing w:after="100"/>
              <w:jc w:val="right"/>
              <w:rPr>
                <w:rFonts w:eastAsia="Times New Roman"/>
              </w:rPr>
            </w:pPr>
          </w:p>
        </w:tc>
        <w:tc>
          <w:tcPr>
            <w:tcW w:w="0" w:type="auto"/>
            <w:vAlign w:val="center"/>
            <w:hideMark/>
          </w:tcPr>
          <w:p w14:paraId="65A7D8AA" w14:textId="77777777" w:rsidR="00000000" w:rsidRDefault="00A173A8">
            <w:pPr>
              <w:spacing w:after="100"/>
              <w:jc w:val="right"/>
              <w:rPr>
                <w:rFonts w:eastAsia="Times New Roman"/>
                <w:sz w:val="20"/>
                <w:szCs w:val="20"/>
              </w:rPr>
            </w:pPr>
          </w:p>
        </w:tc>
        <w:tc>
          <w:tcPr>
            <w:tcW w:w="0" w:type="auto"/>
            <w:vAlign w:val="center"/>
            <w:hideMark/>
          </w:tcPr>
          <w:p w14:paraId="732FD183" w14:textId="77777777" w:rsidR="00000000" w:rsidRDefault="00A173A8">
            <w:pPr>
              <w:spacing w:after="100"/>
              <w:rPr>
                <w:rFonts w:eastAsia="Times New Roman"/>
                <w:sz w:val="20"/>
                <w:szCs w:val="20"/>
              </w:rPr>
            </w:pPr>
          </w:p>
        </w:tc>
      </w:tr>
      <w:tr w:rsidR="00000000" w14:paraId="38AA83DA" w14:textId="77777777">
        <w:trPr>
          <w:divId w:val="1779527007"/>
        </w:trPr>
        <w:tc>
          <w:tcPr>
            <w:tcW w:w="0" w:type="auto"/>
            <w:gridSpan w:val="3"/>
            <w:shd w:val="clear" w:color="auto" w:fill="CCEEFF"/>
            <w:tcMar>
              <w:top w:w="0" w:type="dxa"/>
              <w:left w:w="20" w:type="dxa"/>
              <w:bottom w:w="0" w:type="dxa"/>
              <w:right w:w="20" w:type="dxa"/>
            </w:tcMar>
            <w:vAlign w:val="center"/>
            <w:hideMark/>
          </w:tcPr>
          <w:p w14:paraId="7B8D0A7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D65D7A"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76CCF5A5" w14:textId="77777777" w:rsidR="00000000" w:rsidRDefault="00A173A8">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2FF8C38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5723DB3"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3AB601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64C1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81442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821531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D133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56DC81"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0D560B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837D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582C8D6"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255F8725" w14:textId="77777777" w:rsidR="00000000" w:rsidRDefault="00A173A8">
            <w:pPr>
              <w:spacing w:after="100"/>
              <w:jc w:val="right"/>
              <w:rPr>
                <w:rFonts w:eastAsia="Times New Roman"/>
              </w:rPr>
            </w:pPr>
          </w:p>
        </w:tc>
        <w:tc>
          <w:tcPr>
            <w:tcW w:w="0" w:type="auto"/>
            <w:vAlign w:val="center"/>
            <w:hideMark/>
          </w:tcPr>
          <w:p w14:paraId="5CD06244" w14:textId="77777777" w:rsidR="00000000" w:rsidRDefault="00A173A8">
            <w:pPr>
              <w:spacing w:after="100"/>
              <w:jc w:val="right"/>
              <w:rPr>
                <w:rFonts w:eastAsia="Times New Roman"/>
                <w:sz w:val="20"/>
                <w:szCs w:val="20"/>
              </w:rPr>
            </w:pPr>
          </w:p>
        </w:tc>
        <w:tc>
          <w:tcPr>
            <w:tcW w:w="0" w:type="auto"/>
            <w:vAlign w:val="center"/>
            <w:hideMark/>
          </w:tcPr>
          <w:p w14:paraId="4156C403" w14:textId="77777777" w:rsidR="00000000" w:rsidRDefault="00A173A8">
            <w:pPr>
              <w:spacing w:after="100"/>
              <w:rPr>
                <w:rFonts w:eastAsia="Times New Roman"/>
                <w:sz w:val="20"/>
                <w:szCs w:val="20"/>
              </w:rPr>
            </w:pPr>
          </w:p>
        </w:tc>
      </w:tr>
      <w:tr w:rsidR="00000000" w14:paraId="2DB23027" w14:textId="77777777">
        <w:trPr>
          <w:divId w:val="1779527007"/>
        </w:trPr>
        <w:tc>
          <w:tcPr>
            <w:tcW w:w="0" w:type="auto"/>
            <w:gridSpan w:val="3"/>
            <w:shd w:val="clear" w:color="auto" w:fill="FFFFFF"/>
            <w:tcMar>
              <w:top w:w="0" w:type="dxa"/>
              <w:left w:w="20" w:type="dxa"/>
              <w:bottom w:w="0" w:type="dxa"/>
              <w:right w:w="20" w:type="dxa"/>
            </w:tcMar>
            <w:vAlign w:val="center"/>
            <w:hideMark/>
          </w:tcPr>
          <w:p w14:paraId="0091171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2F9F7A"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1305E829" w14:textId="77777777" w:rsidR="00000000" w:rsidRDefault="00A173A8">
            <w:pPr>
              <w:spacing w:after="100"/>
              <w:rPr>
                <w:rFonts w:eastAsia="Times New Roman"/>
              </w:rPr>
            </w:pPr>
            <w:r>
              <w:rPr>
                <w:rFonts w:eastAsia="Times New Roman"/>
                <w:color w:val="000000"/>
                <w:sz w:val="18"/>
                <w:szCs w:val="18"/>
              </w:rPr>
              <w:t>Net income (loss)</w:t>
            </w:r>
          </w:p>
        </w:tc>
        <w:tc>
          <w:tcPr>
            <w:tcW w:w="0" w:type="auto"/>
            <w:gridSpan w:val="3"/>
            <w:shd w:val="clear" w:color="auto" w:fill="FFFFFF"/>
            <w:tcMar>
              <w:top w:w="0" w:type="dxa"/>
              <w:left w:w="20" w:type="dxa"/>
              <w:bottom w:w="0" w:type="dxa"/>
              <w:right w:w="20" w:type="dxa"/>
            </w:tcMar>
            <w:vAlign w:val="center"/>
            <w:hideMark/>
          </w:tcPr>
          <w:p w14:paraId="64A82DDB" w14:textId="77777777" w:rsidR="00000000" w:rsidRDefault="00A173A8">
            <w:pPr>
              <w:spacing w:after="100"/>
              <w:rPr>
                <w:rFonts w:eastAsia="Times New Roman"/>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22F416E8" w14:textId="77777777" w:rsidR="00000000" w:rsidRDefault="00A173A8">
            <w:pPr>
              <w:spacing w:after="100"/>
              <w:jc w:val="right"/>
              <w:rPr>
                <w:rFonts w:eastAsia="Times New Roman"/>
              </w:rPr>
            </w:pPr>
            <w:r>
              <w:rPr>
                <w:rFonts w:eastAsia="Times New Roman"/>
                <w:b/>
                <w:bCs/>
                <w:color w:val="000000"/>
                <w:sz w:val="18"/>
                <w:szCs w:val="18"/>
              </w:rPr>
              <w:t>(5)</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091F8E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579F5"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3F1463AD"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0C40BC1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D7D54"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2B3DBC5C" w14:textId="77777777" w:rsidR="00000000" w:rsidRDefault="00A173A8">
            <w:pPr>
              <w:spacing w:after="100"/>
              <w:jc w:val="right"/>
              <w:rPr>
                <w:rFonts w:eastAsia="Times New Roman"/>
              </w:rPr>
            </w:pPr>
            <w:r>
              <w:rPr>
                <w:rFonts w:eastAsia="Times New Roman"/>
                <w:b/>
                <w:bCs/>
                <w:color w:val="000000"/>
                <w:sz w:val="18"/>
                <w:szCs w:val="18"/>
              </w:rPr>
              <w:t>(5)</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7A6FDB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4F50A3"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14:paraId="6DD5540E" w14:textId="77777777" w:rsidR="00000000" w:rsidRDefault="00A173A8">
            <w:pPr>
              <w:spacing w:after="100"/>
              <w:jc w:val="right"/>
              <w:rPr>
                <w:rFonts w:eastAsia="Times New Roman"/>
              </w:rPr>
            </w:pPr>
            <w:r>
              <w:rPr>
                <w:rFonts w:eastAsia="Times New Roman"/>
                <w:color w:val="000000"/>
                <w:sz w:val="18"/>
                <w:szCs w:val="18"/>
              </w:rPr>
              <w:t>3 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center"/>
            <w:hideMark/>
          </w:tcPr>
          <w:p w14:paraId="2C068AEF" w14:textId="77777777" w:rsidR="00000000" w:rsidRDefault="00A173A8">
            <w:pPr>
              <w:spacing w:after="100"/>
              <w:jc w:val="right"/>
              <w:rPr>
                <w:rFonts w:eastAsia="Times New Roman"/>
              </w:rPr>
            </w:pPr>
          </w:p>
        </w:tc>
        <w:tc>
          <w:tcPr>
            <w:tcW w:w="0" w:type="auto"/>
            <w:vAlign w:val="center"/>
            <w:hideMark/>
          </w:tcPr>
          <w:p w14:paraId="120CB164" w14:textId="77777777" w:rsidR="00000000" w:rsidRDefault="00A173A8">
            <w:pPr>
              <w:spacing w:after="100"/>
              <w:jc w:val="right"/>
              <w:rPr>
                <w:rFonts w:eastAsia="Times New Roman"/>
                <w:sz w:val="20"/>
                <w:szCs w:val="20"/>
              </w:rPr>
            </w:pPr>
          </w:p>
        </w:tc>
        <w:tc>
          <w:tcPr>
            <w:tcW w:w="0" w:type="auto"/>
            <w:vAlign w:val="center"/>
            <w:hideMark/>
          </w:tcPr>
          <w:p w14:paraId="0BFE1682" w14:textId="77777777" w:rsidR="00000000" w:rsidRDefault="00A173A8">
            <w:pPr>
              <w:spacing w:after="100"/>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369FB41" w14:textId="77777777">
        <w:trPr>
          <w:jc w:val="center"/>
        </w:trPr>
        <w:tc>
          <w:tcPr>
            <w:tcW w:w="50" w:type="pct"/>
            <w:vAlign w:val="center"/>
            <w:hideMark/>
          </w:tcPr>
          <w:p w14:paraId="27EE011E" w14:textId="77777777" w:rsidR="00000000" w:rsidRDefault="00A173A8">
            <w:pPr>
              <w:jc w:val="both"/>
              <w:rPr>
                <w:rFonts w:eastAsia="Times New Roman"/>
              </w:rPr>
            </w:pPr>
          </w:p>
        </w:tc>
        <w:tc>
          <w:tcPr>
            <w:tcW w:w="1606" w:type="pct"/>
            <w:vAlign w:val="center"/>
            <w:hideMark/>
          </w:tcPr>
          <w:p w14:paraId="70AD912B" w14:textId="77777777" w:rsidR="00000000" w:rsidRDefault="00A173A8">
            <w:pPr>
              <w:spacing w:after="100"/>
              <w:rPr>
                <w:rFonts w:eastAsia="Times New Roman"/>
                <w:sz w:val="20"/>
                <w:szCs w:val="20"/>
              </w:rPr>
            </w:pPr>
          </w:p>
        </w:tc>
        <w:tc>
          <w:tcPr>
            <w:tcW w:w="5" w:type="pct"/>
            <w:vAlign w:val="center"/>
            <w:hideMark/>
          </w:tcPr>
          <w:p w14:paraId="4DA72471" w14:textId="77777777" w:rsidR="00000000" w:rsidRDefault="00A173A8">
            <w:pPr>
              <w:spacing w:after="100"/>
              <w:rPr>
                <w:rFonts w:eastAsia="Times New Roman"/>
                <w:sz w:val="20"/>
                <w:szCs w:val="20"/>
              </w:rPr>
            </w:pPr>
          </w:p>
        </w:tc>
        <w:tc>
          <w:tcPr>
            <w:tcW w:w="50" w:type="pct"/>
            <w:vAlign w:val="center"/>
            <w:hideMark/>
          </w:tcPr>
          <w:p w14:paraId="202DECC7" w14:textId="77777777" w:rsidR="00000000" w:rsidRDefault="00A173A8">
            <w:pPr>
              <w:spacing w:after="100"/>
              <w:rPr>
                <w:rFonts w:eastAsia="Times New Roman"/>
                <w:sz w:val="20"/>
                <w:szCs w:val="20"/>
              </w:rPr>
            </w:pPr>
          </w:p>
        </w:tc>
        <w:tc>
          <w:tcPr>
            <w:tcW w:w="1614" w:type="pct"/>
            <w:vAlign w:val="center"/>
            <w:hideMark/>
          </w:tcPr>
          <w:p w14:paraId="1CE14D16" w14:textId="77777777" w:rsidR="00000000" w:rsidRDefault="00A173A8">
            <w:pPr>
              <w:spacing w:after="100"/>
              <w:rPr>
                <w:rFonts w:eastAsia="Times New Roman"/>
                <w:sz w:val="20"/>
                <w:szCs w:val="20"/>
              </w:rPr>
            </w:pPr>
          </w:p>
        </w:tc>
        <w:tc>
          <w:tcPr>
            <w:tcW w:w="5" w:type="pct"/>
            <w:vAlign w:val="center"/>
            <w:hideMark/>
          </w:tcPr>
          <w:p w14:paraId="0A5700B7" w14:textId="77777777" w:rsidR="00000000" w:rsidRDefault="00A173A8">
            <w:pPr>
              <w:spacing w:after="100"/>
              <w:rPr>
                <w:rFonts w:eastAsia="Times New Roman"/>
                <w:sz w:val="20"/>
                <w:szCs w:val="20"/>
              </w:rPr>
            </w:pPr>
          </w:p>
        </w:tc>
        <w:tc>
          <w:tcPr>
            <w:tcW w:w="50" w:type="pct"/>
            <w:vAlign w:val="center"/>
            <w:hideMark/>
          </w:tcPr>
          <w:p w14:paraId="46C3170A" w14:textId="77777777" w:rsidR="00000000" w:rsidRDefault="00A173A8">
            <w:pPr>
              <w:spacing w:after="100"/>
              <w:rPr>
                <w:rFonts w:eastAsia="Times New Roman"/>
                <w:sz w:val="20"/>
                <w:szCs w:val="20"/>
              </w:rPr>
            </w:pPr>
          </w:p>
        </w:tc>
        <w:tc>
          <w:tcPr>
            <w:tcW w:w="1614" w:type="pct"/>
            <w:vAlign w:val="center"/>
            <w:hideMark/>
          </w:tcPr>
          <w:p w14:paraId="4557BB11" w14:textId="77777777" w:rsidR="00000000" w:rsidRDefault="00A173A8">
            <w:pPr>
              <w:spacing w:after="100"/>
              <w:rPr>
                <w:rFonts w:eastAsia="Times New Roman"/>
                <w:sz w:val="20"/>
                <w:szCs w:val="20"/>
              </w:rPr>
            </w:pPr>
          </w:p>
        </w:tc>
        <w:tc>
          <w:tcPr>
            <w:tcW w:w="5" w:type="pct"/>
            <w:vAlign w:val="center"/>
            <w:hideMark/>
          </w:tcPr>
          <w:p w14:paraId="51B04C3F" w14:textId="77777777" w:rsidR="00000000" w:rsidRDefault="00A173A8">
            <w:pPr>
              <w:spacing w:after="100"/>
              <w:rPr>
                <w:rFonts w:eastAsia="Times New Roman"/>
                <w:sz w:val="20"/>
                <w:szCs w:val="20"/>
              </w:rPr>
            </w:pPr>
          </w:p>
        </w:tc>
      </w:tr>
      <w:tr w:rsidR="00000000" w14:paraId="71755CF4" w14:textId="77777777">
        <w:trPr>
          <w:trHeight w:val="300"/>
          <w:jc w:val="center"/>
        </w:trPr>
        <w:tc>
          <w:tcPr>
            <w:tcW w:w="0" w:type="auto"/>
            <w:gridSpan w:val="9"/>
            <w:tcMar>
              <w:top w:w="0" w:type="dxa"/>
              <w:left w:w="20" w:type="dxa"/>
              <w:bottom w:w="0" w:type="dxa"/>
              <w:right w:w="20" w:type="dxa"/>
            </w:tcMar>
            <w:vAlign w:val="center"/>
            <w:hideMark/>
          </w:tcPr>
          <w:p w14:paraId="43D8DBCF" w14:textId="77777777" w:rsidR="00000000" w:rsidRDefault="00A173A8">
            <w:pPr>
              <w:spacing w:after="100"/>
              <w:rPr>
                <w:rFonts w:eastAsia="Times New Roman"/>
                <w:sz w:val="20"/>
                <w:szCs w:val="20"/>
              </w:rPr>
            </w:pPr>
          </w:p>
        </w:tc>
      </w:tr>
      <w:tr w:rsidR="00000000" w14:paraId="2C062E84" w14:textId="77777777">
        <w:trPr>
          <w:jc w:val="center"/>
        </w:trPr>
        <w:tc>
          <w:tcPr>
            <w:tcW w:w="0" w:type="auto"/>
            <w:gridSpan w:val="3"/>
            <w:tcMar>
              <w:top w:w="0" w:type="dxa"/>
              <w:left w:w="20" w:type="dxa"/>
              <w:bottom w:w="0" w:type="dxa"/>
              <w:right w:w="20" w:type="dxa"/>
            </w:tcMar>
            <w:vAlign w:val="center"/>
            <w:hideMark/>
          </w:tcPr>
          <w:p w14:paraId="3E7BE4CB"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20505CE" w14:textId="77777777" w:rsidR="00000000" w:rsidRDefault="00A173A8">
            <w:pPr>
              <w:spacing w:after="100"/>
              <w:jc w:val="center"/>
              <w:rPr>
                <w:rFonts w:eastAsia="Times New Roman"/>
              </w:rPr>
            </w:pPr>
            <w:r>
              <w:rPr>
                <w:rFonts w:eastAsia="Times New Roman"/>
                <w:color w:val="000000"/>
                <w:sz w:val="16"/>
                <w:szCs w:val="16"/>
              </w:rPr>
              <w:t>103</w:t>
            </w:r>
          </w:p>
        </w:tc>
        <w:tc>
          <w:tcPr>
            <w:tcW w:w="0" w:type="auto"/>
            <w:gridSpan w:val="3"/>
            <w:tcMar>
              <w:top w:w="30" w:type="dxa"/>
              <w:left w:w="20" w:type="dxa"/>
              <w:bottom w:w="30" w:type="dxa"/>
              <w:right w:w="20" w:type="dxa"/>
            </w:tcMar>
            <w:vAlign w:val="bottom"/>
            <w:hideMark/>
          </w:tcPr>
          <w:p w14:paraId="05BC834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4333601" w14:textId="77777777" w:rsidR="00000000" w:rsidRDefault="00A173A8">
      <w:pPr>
        <w:rPr>
          <w:rFonts w:eastAsia="Times New Roman"/>
        </w:rPr>
      </w:pPr>
      <w:r>
        <w:rPr>
          <w:rFonts w:eastAsia="Times New Roman"/>
        </w:rPr>
        <w:pict w14:anchorId="65CCC8FD">
          <v:rect id="_x0000_i1128" style="width:0;height:1.5pt" o:hralign="center" o:hrstd="t" o:hr="t" fillcolor="#a0a0a0" stroked="f"/>
        </w:pict>
      </w:r>
    </w:p>
    <w:p w14:paraId="3BAB72BF" w14:textId="77777777" w:rsidR="00000000" w:rsidRDefault="00A173A8">
      <w:pPr>
        <w:jc w:val="both"/>
        <w:divId w:val="74324013"/>
        <w:rPr>
          <w:rFonts w:eastAsia="Times New Roman"/>
        </w:rPr>
      </w:pPr>
      <w:hyperlink w:anchor="i7ffd5d61af6f4722b1b1b07530d51c06_13" w:history="1">
        <w:r>
          <w:rPr>
            <w:rStyle w:val="a3"/>
            <w:rFonts w:eastAsia="Times New Roman"/>
            <w:sz w:val="16"/>
            <w:szCs w:val="16"/>
          </w:rPr>
          <w:t>Table of Contents</w:t>
        </w:r>
      </w:hyperlink>
    </w:p>
    <w:p w14:paraId="3B5DCD92" w14:textId="77777777" w:rsidR="00000000" w:rsidRDefault="00A173A8">
      <w:pPr>
        <w:jc w:val="center"/>
        <w:divId w:val="318730556"/>
        <w:rPr>
          <w:rFonts w:eastAsia="Times New Roman"/>
        </w:rPr>
      </w:pPr>
      <w:r>
        <w:rPr>
          <w:rFonts w:eastAsia="Times New Roman"/>
          <w:b/>
          <w:bCs/>
          <w:color w:val="000000"/>
          <w:sz w:val="20"/>
          <w:szCs w:val="20"/>
        </w:rPr>
        <w:t>CAPITAL ONE FINANCIAL CORPORATION</w:t>
      </w:r>
      <w:r>
        <w:rPr>
          <w:rFonts w:eastAsia="Times New Roman"/>
          <w:b/>
          <w:bCs/>
          <w:color w:val="000000"/>
          <w:sz w:val="20"/>
          <w:szCs w:val="20"/>
        </w:rPr>
        <w:br/>
        <w:t>NOTES TO CONSOLIDATED FINANCIAL STATEMENTS</w:t>
      </w:r>
    </w:p>
    <w:p w14:paraId="18A43F1F" w14:textId="77777777" w:rsidR="00000000" w:rsidRDefault="00A173A8">
      <w:pPr>
        <w:jc w:val="both"/>
        <w:divId w:val="931856800"/>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5"/>
        <w:gridCol w:w="1816"/>
        <w:gridCol w:w="38"/>
        <w:gridCol w:w="36"/>
        <w:gridCol w:w="36"/>
        <w:gridCol w:w="36"/>
        <w:gridCol w:w="91"/>
        <w:gridCol w:w="2509"/>
        <w:gridCol w:w="36"/>
        <w:gridCol w:w="36"/>
        <w:gridCol w:w="36"/>
        <w:gridCol w:w="36"/>
        <w:gridCol w:w="110"/>
        <w:gridCol w:w="585"/>
        <w:gridCol w:w="36"/>
        <w:gridCol w:w="36"/>
        <w:gridCol w:w="36"/>
        <w:gridCol w:w="36"/>
        <w:gridCol w:w="110"/>
        <w:gridCol w:w="650"/>
        <w:gridCol w:w="36"/>
        <w:gridCol w:w="36"/>
        <w:gridCol w:w="36"/>
        <w:gridCol w:w="36"/>
        <w:gridCol w:w="110"/>
        <w:gridCol w:w="650"/>
        <w:gridCol w:w="36"/>
        <w:gridCol w:w="36"/>
        <w:gridCol w:w="36"/>
        <w:gridCol w:w="36"/>
        <w:gridCol w:w="110"/>
        <w:gridCol w:w="653"/>
        <w:gridCol w:w="36"/>
        <w:gridCol w:w="36"/>
        <w:gridCol w:w="36"/>
      </w:tblGrid>
      <w:tr w:rsidR="00000000" w14:paraId="407AB782" w14:textId="77777777">
        <w:trPr>
          <w:divId w:val="1286232707"/>
        </w:trPr>
        <w:tc>
          <w:tcPr>
            <w:tcW w:w="50" w:type="pct"/>
            <w:vAlign w:val="center"/>
            <w:hideMark/>
          </w:tcPr>
          <w:p w14:paraId="70163D02" w14:textId="77777777" w:rsidR="00000000" w:rsidRDefault="00A173A8">
            <w:pPr>
              <w:jc w:val="both"/>
              <w:rPr>
                <w:rFonts w:eastAsia="Times New Roman"/>
              </w:rPr>
            </w:pPr>
          </w:p>
        </w:tc>
        <w:tc>
          <w:tcPr>
            <w:tcW w:w="1171" w:type="pct"/>
            <w:vAlign w:val="center"/>
            <w:hideMark/>
          </w:tcPr>
          <w:p w14:paraId="202F7123" w14:textId="77777777" w:rsidR="00000000" w:rsidRDefault="00A173A8">
            <w:pPr>
              <w:spacing w:after="100"/>
              <w:rPr>
                <w:rFonts w:eastAsia="Times New Roman"/>
                <w:sz w:val="20"/>
                <w:szCs w:val="20"/>
              </w:rPr>
            </w:pPr>
          </w:p>
        </w:tc>
        <w:tc>
          <w:tcPr>
            <w:tcW w:w="5" w:type="pct"/>
            <w:vAlign w:val="center"/>
            <w:hideMark/>
          </w:tcPr>
          <w:p w14:paraId="5714057C" w14:textId="77777777" w:rsidR="00000000" w:rsidRDefault="00A173A8">
            <w:pPr>
              <w:spacing w:after="100"/>
              <w:rPr>
                <w:rFonts w:eastAsia="Times New Roman"/>
                <w:sz w:val="20"/>
                <w:szCs w:val="20"/>
              </w:rPr>
            </w:pPr>
          </w:p>
        </w:tc>
        <w:tc>
          <w:tcPr>
            <w:tcW w:w="5" w:type="pct"/>
            <w:vAlign w:val="center"/>
            <w:hideMark/>
          </w:tcPr>
          <w:p w14:paraId="3623419C" w14:textId="77777777" w:rsidR="00000000" w:rsidRDefault="00A173A8">
            <w:pPr>
              <w:spacing w:after="100"/>
              <w:rPr>
                <w:rFonts w:eastAsia="Times New Roman"/>
                <w:sz w:val="20"/>
                <w:szCs w:val="20"/>
              </w:rPr>
            </w:pPr>
          </w:p>
        </w:tc>
        <w:tc>
          <w:tcPr>
            <w:tcW w:w="26" w:type="pct"/>
            <w:vAlign w:val="center"/>
            <w:hideMark/>
          </w:tcPr>
          <w:p w14:paraId="0198D62B" w14:textId="77777777" w:rsidR="00000000" w:rsidRDefault="00A173A8">
            <w:pPr>
              <w:spacing w:after="100"/>
              <w:rPr>
                <w:rFonts w:eastAsia="Times New Roman"/>
                <w:sz w:val="20"/>
                <w:szCs w:val="20"/>
              </w:rPr>
            </w:pPr>
          </w:p>
        </w:tc>
        <w:tc>
          <w:tcPr>
            <w:tcW w:w="5" w:type="pct"/>
            <w:vAlign w:val="center"/>
            <w:hideMark/>
          </w:tcPr>
          <w:p w14:paraId="5F5CD097" w14:textId="77777777" w:rsidR="00000000" w:rsidRDefault="00A173A8">
            <w:pPr>
              <w:spacing w:after="100"/>
              <w:rPr>
                <w:rFonts w:eastAsia="Times New Roman"/>
                <w:sz w:val="20"/>
                <w:szCs w:val="20"/>
              </w:rPr>
            </w:pPr>
          </w:p>
        </w:tc>
        <w:tc>
          <w:tcPr>
            <w:tcW w:w="50" w:type="pct"/>
            <w:vAlign w:val="center"/>
            <w:hideMark/>
          </w:tcPr>
          <w:p w14:paraId="06BB07B4" w14:textId="77777777" w:rsidR="00000000" w:rsidRDefault="00A173A8">
            <w:pPr>
              <w:spacing w:after="100"/>
              <w:rPr>
                <w:rFonts w:eastAsia="Times New Roman"/>
                <w:sz w:val="20"/>
                <w:szCs w:val="20"/>
              </w:rPr>
            </w:pPr>
          </w:p>
        </w:tc>
        <w:tc>
          <w:tcPr>
            <w:tcW w:w="1391" w:type="pct"/>
            <w:vAlign w:val="center"/>
            <w:hideMark/>
          </w:tcPr>
          <w:p w14:paraId="502330F9" w14:textId="77777777" w:rsidR="00000000" w:rsidRDefault="00A173A8">
            <w:pPr>
              <w:spacing w:after="100"/>
              <w:rPr>
                <w:rFonts w:eastAsia="Times New Roman"/>
                <w:sz w:val="20"/>
                <w:szCs w:val="20"/>
              </w:rPr>
            </w:pPr>
          </w:p>
        </w:tc>
        <w:tc>
          <w:tcPr>
            <w:tcW w:w="5" w:type="pct"/>
            <w:vAlign w:val="center"/>
            <w:hideMark/>
          </w:tcPr>
          <w:p w14:paraId="711A9D37" w14:textId="77777777" w:rsidR="00000000" w:rsidRDefault="00A173A8">
            <w:pPr>
              <w:spacing w:after="100"/>
              <w:rPr>
                <w:rFonts w:eastAsia="Times New Roman"/>
                <w:sz w:val="20"/>
                <w:szCs w:val="20"/>
              </w:rPr>
            </w:pPr>
          </w:p>
        </w:tc>
        <w:tc>
          <w:tcPr>
            <w:tcW w:w="5" w:type="pct"/>
            <w:vAlign w:val="center"/>
            <w:hideMark/>
          </w:tcPr>
          <w:p w14:paraId="250E423D" w14:textId="77777777" w:rsidR="00000000" w:rsidRDefault="00A173A8">
            <w:pPr>
              <w:spacing w:after="100"/>
              <w:rPr>
                <w:rFonts w:eastAsia="Times New Roman"/>
                <w:sz w:val="20"/>
                <w:szCs w:val="20"/>
              </w:rPr>
            </w:pPr>
          </w:p>
        </w:tc>
        <w:tc>
          <w:tcPr>
            <w:tcW w:w="26" w:type="pct"/>
            <w:vAlign w:val="center"/>
            <w:hideMark/>
          </w:tcPr>
          <w:p w14:paraId="2F0FF05C" w14:textId="77777777" w:rsidR="00000000" w:rsidRDefault="00A173A8">
            <w:pPr>
              <w:spacing w:after="100"/>
              <w:rPr>
                <w:rFonts w:eastAsia="Times New Roman"/>
                <w:sz w:val="20"/>
                <w:szCs w:val="20"/>
              </w:rPr>
            </w:pPr>
          </w:p>
        </w:tc>
        <w:tc>
          <w:tcPr>
            <w:tcW w:w="5" w:type="pct"/>
            <w:vAlign w:val="center"/>
            <w:hideMark/>
          </w:tcPr>
          <w:p w14:paraId="1184B6DE" w14:textId="77777777" w:rsidR="00000000" w:rsidRDefault="00A173A8">
            <w:pPr>
              <w:spacing w:after="100"/>
              <w:rPr>
                <w:rFonts w:eastAsia="Times New Roman"/>
                <w:sz w:val="20"/>
                <w:szCs w:val="20"/>
              </w:rPr>
            </w:pPr>
          </w:p>
        </w:tc>
        <w:tc>
          <w:tcPr>
            <w:tcW w:w="50" w:type="pct"/>
            <w:vAlign w:val="center"/>
            <w:hideMark/>
          </w:tcPr>
          <w:p w14:paraId="2B681407" w14:textId="77777777" w:rsidR="00000000" w:rsidRDefault="00A173A8">
            <w:pPr>
              <w:spacing w:after="100"/>
              <w:rPr>
                <w:rFonts w:eastAsia="Times New Roman"/>
                <w:sz w:val="20"/>
                <w:szCs w:val="20"/>
              </w:rPr>
            </w:pPr>
          </w:p>
        </w:tc>
        <w:tc>
          <w:tcPr>
            <w:tcW w:w="480" w:type="pct"/>
            <w:vAlign w:val="center"/>
            <w:hideMark/>
          </w:tcPr>
          <w:p w14:paraId="52D51EEB" w14:textId="77777777" w:rsidR="00000000" w:rsidRDefault="00A173A8">
            <w:pPr>
              <w:spacing w:after="100"/>
              <w:rPr>
                <w:rFonts w:eastAsia="Times New Roman"/>
                <w:sz w:val="20"/>
                <w:szCs w:val="20"/>
              </w:rPr>
            </w:pPr>
          </w:p>
        </w:tc>
        <w:tc>
          <w:tcPr>
            <w:tcW w:w="5" w:type="pct"/>
            <w:vAlign w:val="center"/>
            <w:hideMark/>
          </w:tcPr>
          <w:p w14:paraId="550FF70F" w14:textId="77777777" w:rsidR="00000000" w:rsidRDefault="00A173A8">
            <w:pPr>
              <w:spacing w:after="100"/>
              <w:rPr>
                <w:rFonts w:eastAsia="Times New Roman"/>
                <w:sz w:val="20"/>
                <w:szCs w:val="20"/>
              </w:rPr>
            </w:pPr>
          </w:p>
        </w:tc>
        <w:tc>
          <w:tcPr>
            <w:tcW w:w="5" w:type="pct"/>
            <w:vAlign w:val="center"/>
            <w:hideMark/>
          </w:tcPr>
          <w:p w14:paraId="6085E48C" w14:textId="77777777" w:rsidR="00000000" w:rsidRDefault="00A173A8">
            <w:pPr>
              <w:spacing w:after="100"/>
              <w:rPr>
                <w:rFonts w:eastAsia="Times New Roman"/>
                <w:sz w:val="20"/>
                <w:szCs w:val="20"/>
              </w:rPr>
            </w:pPr>
          </w:p>
        </w:tc>
        <w:tc>
          <w:tcPr>
            <w:tcW w:w="26" w:type="pct"/>
            <w:vAlign w:val="center"/>
            <w:hideMark/>
          </w:tcPr>
          <w:p w14:paraId="0B9DB07F" w14:textId="77777777" w:rsidR="00000000" w:rsidRDefault="00A173A8">
            <w:pPr>
              <w:spacing w:after="100"/>
              <w:rPr>
                <w:rFonts w:eastAsia="Times New Roman"/>
                <w:sz w:val="20"/>
                <w:szCs w:val="20"/>
              </w:rPr>
            </w:pPr>
          </w:p>
        </w:tc>
        <w:tc>
          <w:tcPr>
            <w:tcW w:w="5" w:type="pct"/>
            <w:vAlign w:val="center"/>
            <w:hideMark/>
          </w:tcPr>
          <w:p w14:paraId="3B889F40" w14:textId="77777777" w:rsidR="00000000" w:rsidRDefault="00A173A8">
            <w:pPr>
              <w:spacing w:after="100"/>
              <w:rPr>
                <w:rFonts w:eastAsia="Times New Roman"/>
                <w:sz w:val="20"/>
                <w:szCs w:val="20"/>
              </w:rPr>
            </w:pPr>
          </w:p>
        </w:tc>
        <w:tc>
          <w:tcPr>
            <w:tcW w:w="50" w:type="pct"/>
            <w:vAlign w:val="center"/>
            <w:hideMark/>
          </w:tcPr>
          <w:p w14:paraId="03522D0D" w14:textId="77777777" w:rsidR="00000000" w:rsidRDefault="00A173A8">
            <w:pPr>
              <w:spacing w:after="100"/>
              <w:rPr>
                <w:rFonts w:eastAsia="Times New Roman"/>
                <w:sz w:val="20"/>
                <w:szCs w:val="20"/>
              </w:rPr>
            </w:pPr>
          </w:p>
        </w:tc>
        <w:tc>
          <w:tcPr>
            <w:tcW w:w="480" w:type="pct"/>
            <w:vAlign w:val="center"/>
            <w:hideMark/>
          </w:tcPr>
          <w:p w14:paraId="0296F430" w14:textId="77777777" w:rsidR="00000000" w:rsidRDefault="00A173A8">
            <w:pPr>
              <w:spacing w:after="100"/>
              <w:rPr>
                <w:rFonts w:eastAsia="Times New Roman"/>
                <w:sz w:val="20"/>
                <w:szCs w:val="20"/>
              </w:rPr>
            </w:pPr>
          </w:p>
        </w:tc>
        <w:tc>
          <w:tcPr>
            <w:tcW w:w="5" w:type="pct"/>
            <w:vAlign w:val="center"/>
            <w:hideMark/>
          </w:tcPr>
          <w:p w14:paraId="74228C36" w14:textId="77777777" w:rsidR="00000000" w:rsidRDefault="00A173A8">
            <w:pPr>
              <w:spacing w:after="100"/>
              <w:rPr>
                <w:rFonts w:eastAsia="Times New Roman"/>
                <w:sz w:val="20"/>
                <w:szCs w:val="20"/>
              </w:rPr>
            </w:pPr>
          </w:p>
        </w:tc>
        <w:tc>
          <w:tcPr>
            <w:tcW w:w="5" w:type="pct"/>
            <w:vAlign w:val="center"/>
            <w:hideMark/>
          </w:tcPr>
          <w:p w14:paraId="6C69DBFC" w14:textId="77777777" w:rsidR="00000000" w:rsidRDefault="00A173A8">
            <w:pPr>
              <w:spacing w:after="100"/>
              <w:rPr>
                <w:rFonts w:eastAsia="Times New Roman"/>
                <w:sz w:val="20"/>
                <w:szCs w:val="20"/>
              </w:rPr>
            </w:pPr>
          </w:p>
        </w:tc>
        <w:tc>
          <w:tcPr>
            <w:tcW w:w="26" w:type="pct"/>
            <w:vAlign w:val="center"/>
            <w:hideMark/>
          </w:tcPr>
          <w:p w14:paraId="34294C28" w14:textId="77777777" w:rsidR="00000000" w:rsidRDefault="00A173A8">
            <w:pPr>
              <w:spacing w:after="100"/>
              <w:rPr>
                <w:rFonts w:eastAsia="Times New Roman"/>
                <w:sz w:val="20"/>
                <w:szCs w:val="20"/>
              </w:rPr>
            </w:pPr>
          </w:p>
        </w:tc>
        <w:tc>
          <w:tcPr>
            <w:tcW w:w="5" w:type="pct"/>
            <w:vAlign w:val="center"/>
            <w:hideMark/>
          </w:tcPr>
          <w:p w14:paraId="2F5B6CE1" w14:textId="77777777" w:rsidR="00000000" w:rsidRDefault="00A173A8">
            <w:pPr>
              <w:spacing w:after="100"/>
              <w:rPr>
                <w:rFonts w:eastAsia="Times New Roman"/>
                <w:sz w:val="20"/>
                <w:szCs w:val="20"/>
              </w:rPr>
            </w:pPr>
          </w:p>
        </w:tc>
        <w:tc>
          <w:tcPr>
            <w:tcW w:w="50" w:type="pct"/>
            <w:vAlign w:val="center"/>
            <w:hideMark/>
          </w:tcPr>
          <w:p w14:paraId="616CBF1D" w14:textId="77777777" w:rsidR="00000000" w:rsidRDefault="00A173A8">
            <w:pPr>
              <w:spacing w:after="100"/>
              <w:rPr>
                <w:rFonts w:eastAsia="Times New Roman"/>
                <w:sz w:val="20"/>
                <w:szCs w:val="20"/>
              </w:rPr>
            </w:pPr>
          </w:p>
        </w:tc>
        <w:tc>
          <w:tcPr>
            <w:tcW w:w="480" w:type="pct"/>
            <w:vAlign w:val="center"/>
            <w:hideMark/>
          </w:tcPr>
          <w:p w14:paraId="23ECB166" w14:textId="77777777" w:rsidR="00000000" w:rsidRDefault="00A173A8">
            <w:pPr>
              <w:spacing w:after="100"/>
              <w:rPr>
                <w:rFonts w:eastAsia="Times New Roman"/>
                <w:sz w:val="20"/>
                <w:szCs w:val="20"/>
              </w:rPr>
            </w:pPr>
          </w:p>
        </w:tc>
        <w:tc>
          <w:tcPr>
            <w:tcW w:w="5" w:type="pct"/>
            <w:vAlign w:val="center"/>
            <w:hideMark/>
          </w:tcPr>
          <w:p w14:paraId="4A5E652E" w14:textId="77777777" w:rsidR="00000000" w:rsidRDefault="00A173A8">
            <w:pPr>
              <w:spacing w:after="100"/>
              <w:rPr>
                <w:rFonts w:eastAsia="Times New Roman"/>
                <w:sz w:val="20"/>
                <w:szCs w:val="20"/>
              </w:rPr>
            </w:pPr>
          </w:p>
        </w:tc>
        <w:tc>
          <w:tcPr>
            <w:tcW w:w="5" w:type="pct"/>
            <w:vAlign w:val="center"/>
            <w:hideMark/>
          </w:tcPr>
          <w:p w14:paraId="225C685C" w14:textId="77777777" w:rsidR="00000000" w:rsidRDefault="00A173A8">
            <w:pPr>
              <w:spacing w:after="100"/>
              <w:rPr>
                <w:rFonts w:eastAsia="Times New Roman"/>
                <w:sz w:val="20"/>
                <w:szCs w:val="20"/>
              </w:rPr>
            </w:pPr>
          </w:p>
        </w:tc>
        <w:tc>
          <w:tcPr>
            <w:tcW w:w="26" w:type="pct"/>
            <w:vAlign w:val="center"/>
            <w:hideMark/>
          </w:tcPr>
          <w:p w14:paraId="4E1C524F" w14:textId="77777777" w:rsidR="00000000" w:rsidRDefault="00A173A8">
            <w:pPr>
              <w:spacing w:after="100"/>
              <w:rPr>
                <w:rFonts w:eastAsia="Times New Roman"/>
                <w:sz w:val="20"/>
                <w:szCs w:val="20"/>
              </w:rPr>
            </w:pPr>
          </w:p>
        </w:tc>
        <w:tc>
          <w:tcPr>
            <w:tcW w:w="5" w:type="pct"/>
            <w:vAlign w:val="center"/>
            <w:hideMark/>
          </w:tcPr>
          <w:p w14:paraId="2F8E8614" w14:textId="77777777" w:rsidR="00000000" w:rsidRDefault="00A173A8">
            <w:pPr>
              <w:spacing w:after="100"/>
              <w:rPr>
                <w:rFonts w:eastAsia="Times New Roman"/>
                <w:sz w:val="20"/>
                <w:szCs w:val="20"/>
              </w:rPr>
            </w:pPr>
          </w:p>
        </w:tc>
        <w:tc>
          <w:tcPr>
            <w:tcW w:w="50" w:type="pct"/>
            <w:vAlign w:val="center"/>
            <w:hideMark/>
          </w:tcPr>
          <w:p w14:paraId="09BA7DE4" w14:textId="77777777" w:rsidR="00000000" w:rsidRDefault="00A173A8">
            <w:pPr>
              <w:spacing w:after="100"/>
              <w:rPr>
                <w:rFonts w:eastAsia="Times New Roman"/>
                <w:sz w:val="20"/>
                <w:szCs w:val="20"/>
              </w:rPr>
            </w:pPr>
          </w:p>
        </w:tc>
        <w:tc>
          <w:tcPr>
            <w:tcW w:w="481" w:type="pct"/>
            <w:vAlign w:val="center"/>
            <w:hideMark/>
          </w:tcPr>
          <w:p w14:paraId="527C5863" w14:textId="77777777" w:rsidR="00000000" w:rsidRDefault="00A173A8">
            <w:pPr>
              <w:spacing w:after="100"/>
              <w:rPr>
                <w:rFonts w:eastAsia="Times New Roman"/>
                <w:sz w:val="20"/>
                <w:szCs w:val="20"/>
              </w:rPr>
            </w:pPr>
          </w:p>
        </w:tc>
        <w:tc>
          <w:tcPr>
            <w:tcW w:w="5" w:type="pct"/>
            <w:vAlign w:val="center"/>
            <w:hideMark/>
          </w:tcPr>
          <w:p w14:paraId="0757AF86" w14:textId="77777777" w:rsidR="00000000" w:rsidRDefault="00A173A8">
            <w:pPr>
              <w:spacing w:after="100"/>
              <w:rPr>
                <w:rFonts w:eastAsia="Times New Roman"/>
                <w:sz w:val="20"/>
                <w:szCs w:val="20"/>
              </w:rPr>
            </w:pPr>
          </w:p>
        </w:tc>
        <w:tc>
          <w:tcPr>
            <w:tcW w:w="0" w:type="auto"/>
            <w:vAlign w:val="center"/>
            <w:hideMark/>
          </w:tcPr>
          <w:p w14:paraId="49F56E30" w14:textId="77777777" w:rsidR="00000000" w:rsidRDefault="00A173A8">
            <w:pPr>
              <w:spacing w:after="100"/>
              <w:rPr>
                <w:rFonts w:eastAsia="Times New Roman"/>
                <w:sz w:val="20"/>
                <w:szCs w:val="20"/>
              </w:rPr>
            </w:pPr>
          </w:p>
        </w:tc>
        <w:tc>
          <w:tcPr>
            <w:tcW w:w="0" w:type="auto"/>
            <w:vAlign w:val="center"/>
            <w:hideMark/>
          </w:tcPr>
          <w:p w14:paraId="6790FE5A" w14:textId="77777777" w:rsidR="00000000" w:rsidRDefault="00A173A8">
            <w:pPr>
              <w:spacing w:after="100"/>
              <w:rPr>
                <w:rFonts w:eastAsia="Times New Roman"/>
                <w:sz w:val="20"/>
                <w:szCs w:val="20"/>
              </w:rPr>
            </w:pPr>
          </w:p>
        </w:tc>
      </w:tr>
      <w:tr w:rsidR="00000000" w14:paraId="7A76F724" w14:textId="77777777">
        <w:trPr>
          <w:divId w:val="1286232707"/>
        </w:trPr>
        <w:tc>
          <w:tcPr>
            <w:tcW w:w="0" w:type="auto"/>
            <w:gridSpan w:val="3"/>
            <w:tcMar>
              <w:top w:w="30" w:type="dxa"/>
              <w:left w:w="20" w:type="dxa"/>
              <w:bottom w:w="30" w:type="dxa"/>
              <w:right w:w="20" w:type="dxa"/>
            </w:tcMar>
            <w:vAlign w:val="bottom"/>
            <w:hideMark/>
          </w:tcPr>
          <w:p w14:paraId="3EDED6E2"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5E68215"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77191B4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381663"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7BF923C" w14:textId="77777777" w:rsidR="00000000" w:rsidRDefault="00A173A8">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2B59B91A"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C1EE1DB"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37CB4602" w14:textId="77777777" w:rsidR="00000000" w:rsidRDefault="00A173A8">
            <w:pPr>
              <w:spacing w:after="100"/>
              <w:jc w:val="center"/>
              <w:rPr>
                <w:rFonts w:eastAsia="Times New Roman"/>
              </w:rPr>
            </w:pPr>
          </w:p>
        </w:tc>
        <w:tc>
          <w:tcPr>
            <w:tcW w:w="0" w:type="auto"/>
            <w:vAlign w:val="center"/>
            <w:hideMark/>
          </w:tcPr>
          <w:p w14:paraId="0C497E17" w14:textId="77777777" w:rsidR="00000000" w:rsidRDefault="00A173A8">
            <w:pPr>
              <w:spacing w:after="100"/>
              <w:rPr>
                <w:rFonts w:eastAsia="Times New Roman"/>
                <w:sz w:val="20"/>
                <w:szCs w:val="20"/>
              </w:rPr>
            </w:pPr>
          </w:p>
        </w:tc>
      </w:tr>
      <w:tr w:rsidR="00000000" w14:paraId="59776A42" w14:textId="77777777">
        <w:trPr>
          <w:divId w:val="1286232707"/>
        </w:trPr>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F42886" w14:textId="77777777" w:rsidR="00000000" w:rsidRDefault="00A173A8">
            <w:pPr>
              <w:spacing w:after="100"/>
              <w:jc w:val="center"/>
              <w:rPr>
                <w:rFonts w:eastAsia="Times New Roman"/>
              </w:rPr>
            </w:pPr>
            <w:r>
              <w:rPr>
                <w:rFonts w:eastAsia="Times New Roman"/>
                <w:b/>
                <w:bCs/>
                <w:color w:val="000000"/>
                <w:sz w:val="16"/>
                <w:szCs w:val="16"/>
              </w:rPr>
              <w:t>AOCI Components</w:t>
            </w:r>
          </w:p>
        </w:tc>
        <w:tc>
          <w:tcPr>
            <w:tcW w:w="0" w:type="auto"/>
            <w:gridSpan w:val="3"/>
            <w:tcMar>
              <w:top w:w="0" w:type="dxa"/>
              <w:left w:w="20" w:type="dxa"/>
              <w:bottom w:w="0" w:type="dxa"/>
              <w:right w:w="20" w:type="dxa"/>
            </w:tcMar>
            <w:vAlign w:val="center"/>
            <w:hideMark/>
          </w:tcPr>
          <w:p w14:paraId="71C36DA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1536D3F" w14:textId="77777777" w:rsidR="00000000" w:rsidRDefault="00A173A8">
            <w:pPr>
              <w:spacing w:after="100"/>
              <w:jc w:val="center"/>
              <w:rPr>
                <w:rFonts w:eastAsia="Times New Roman"/>
              </w:rPr>
            </w:pPr>
            <w:r>
              <w:rPr>
                <w:rFonts w:eastAsia="Times New Roman"/>
                <w:b/>
                <w:bCs/>
                <w:color w:val="000000"/>
                <w:sz w:val="16"/>
                <w:szCs w:val="16"/>
              </w:rPr>
              <w:t>Affected Income Statement Line Item</w:t>
            </w:r>
          </w:p>
        </w:tc>
        <w:tc>
          <w:tcPr>
            <w:tcW w:w="0" w:type="auto"/>
            <w:gridSpan w:val="3"/>
            <w:tcMar>
              <w:top w:w="0" w:type="dxa"/>
              <w:left w:w="20" w:type="dxa"/>
              <w:bottom w:w="0" w:type="dxa"/>
              <w:right w:w="20" w:type="dxa"/>
            </w:tcMar>
            <w:vAlign w:val="center"/>
            <w:hideMark/>
          </w:tcPr>
          <w:p w14:paraId="2892FD3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087C59"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2972E9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E3ED11"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F0A693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7313C1"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2C9DCE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2C8B9E"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vAlign w:val="center"/>
            <w:hideMark/>
          </w:tcPr>
          <w:p w14:paraId="28F51659" w14:textId="77777777" w:rsidR="00000000" w:rsidRDefault="00A173A8">
            <w:pPr>
              <w:spacing w:after="100"/>
              <w:jc w:val="center"/>
              <w:rPr>
                <w:rFonts w:eastAsia="Times New Roman"/>
              </w:rPr>
            </w:pPr>
          </w:p>
        </w:tc>
        <w:tc>
          <w:tcPr>
            <w:tcW w:w="0" w:type="auto"/>
            <w:vAlign w:val="center"/>
            <w:hideMark/>
          </w:tcPr>
          <w:p w14:paraId="5D672807" w14:textId="77777777" w:rsidR="00000000" w:rsidRDefault="00A173A8">
            <w:pPr>
              <w:spacing w:after="100"/>
              <w:rPr>
                <w:rFonts w:eastAsia="Times New Roman"/>
                <w:sz w:val="20"/>
                <w:szCs w:val="20"/>
              </w:rPr>
            </w:pPr>
          </w:p>
        </w:tc>
      </w:tr>
      <w:tr w:rsidR="00000000" w14:paraId="422AC988" w14:textId="77777777">
        <w:trPr>
          <w:divId w:val="1286232707"/>
        </w:trPr>
        <w:tc>
          <w:tcPr>
            <w:tcW w:w="0" w:type="auto"/>
            <w:gridSpan w:val="3"/>
            <w:shd w:val="clear" w:color="auto" w:fill="CCEEFF"/>
            <w:tcMar>
              <w:top w:w="30" w:type="dxa"/>
              <w:left w:w="20" w:type="dxa"/>
              <w:bottom w:w="30" w:type="dxa"/>
              <w:right w:w="20" w:type="dxa"/>
            </w:tcMar>
            <w:vAlign w:val="center"/>
            <w:hideMark/>
          </w:tcPr>
          <w:p w14:paraId="55345E63" w14:textId="77777777" w:rsidR="00000000" w:rsidRDefault="00A173A8">
            <w:pPr>
              <w:spacing w:after="100"/>
              <w:rPr>
                <w:rFonts w:eastAsia="Times New Roman"/>
              </w:rPr>
            </w:pPr>
            <w:r>
              <w:rPr>
                <w:rFonts w:eastAsia="Times New Roman"/>
                <w:b/>
                <w:bCs/>
                <w:color w:val="000000"/>
                <w:sz w:val="18"/>
                <w:szCs w:val="18"/>
              </w:rPr>
              <w:t>Hedging relationships:</w:t>
            </w:r>
          </w:p>
        </w:tc>
        <w:tc>
          <w:tcPr>
            <w:tcW w:w="0" w:type="auto"/>
            <w:gridSpan w:val="3"/>
            <w:shd w:val="clear" w:color="auto" w:fill="CCEEFF"/>
            <w:tcMar>
              <w:top w:w="0" w:type="dxa"/>
              <w:left w:w="20" w:type="dxa"/>
              <w:bottom w:w="0" w:type="dxa"/>
              <w:right w:w="20" w:type="dxa"/>
            </w:tcMar>
            <w:vAlign w:val="center"/>
            <w:hideMark/>
          </w:tcPr>
          <w:p w14:paraId="5515D1D5"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FB85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F0956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A0BDE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A1276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71328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ACEB3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C88C5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BC22D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B919873" w14:textId="77777777" w:rsidR="00000000" w:rsidRDefault="00A173A8">
            <w:pPr>
              <w:spacing w:after="100"/>
              <w:rPr>
                <w:rFonts w:eastAsia="Times New Roman"/>
                <w:sz w:val="20"/>
                <w:szCs w:val="20"/>
              </w:rPr>
            </w:pPr>
          </w:p>
        </w:tc>
        <w:tc>
          <w:tcPr>
            <w:tcW w:w="0" w:type="auto"/>
            <w:vAlign w:val="center"/>
            <w:hideMark/>
          </w:tcPr>
          <w:p w14:paraId="1B9267D8" w14:textId="77777777" w:rsidR="00000000" w:rsidRDefault="00A173A8">
            <w:pPr>
              <w:spacing w:after="100"/>
              <w:rPr>
                <w:rFonts w:eastAsia="Times New Roman"/>
                <w:sz w:val="20"/>
                <w:szCs w:val="20"/>
              </w:rPr>
            </w:pPr>
          </w:p>
        </w:tc>
        <w:tc>
          <w:tcPr>
            <w:tcW w:w="0" w:type="auto"/>
            <w:vAlign w:val="center"/>
            <w:hideMark/>
          </w:tcPr>
          <w:p w14:paraId="5AA68AE1" w14:textId="77777777" w:rsidR="00000000" w:rsidRDefault="00A173A8">
            <w:pPr>
              <w:spacing w:after="100"/>
              <w:rPr>
                <w:rFonts w:eastAsia="Times New Roman"/>
                <w:sz w:val="20"/>
                <w:szCs w:val="20"/>
              </w:rPr>
            </w:pPr>
          </w:p>
        </w:tc>
      </w:tr>
      <w:tr w:rsidR="00000000" w14:paraId="134F40C5" w14:textId="77777777">
        <w:trPr>
          <w:divId w:val="1286232707"/>
        </w:trPr>
        <w:tc>
          <w:tcPr>
            <w:tcW w:w="0" w:type="auto"/>
            <w:gridSpan w:val="3"/>
            <w:shd w:val="clear" w:color="auto" w:fill="FFFFFF"/>
            <w:tcMar>
              <w:top w:w="30" w:type="dxa"/>
              <w:left w:w="245" w:type="dxa"/>
              <w:bottom w:w="30" w:type="dxa"/>
              <w:right w:w="20" w:type="dxa"/>
            </w:tcMar>
            <w:vAlign w:val="center"/>
            <w:hideMark/>
          </w:tcPr>
          <w:p w14:paraId="7E82408B" w14:textId="77777777" w:rsidR="00000000" w:rsidRDefault="00A173A8">
            <w:pPr>
              <w:spacing w:after="100"/>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14:paraId="65F3020A"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6A2290D" w14:textId="77777777" w:rsidR="00000000" w:rsidRDefault="00A173A8">
            <w:pPr>
              <w:spacing w:after="100"/>
              <w:rPr>
                <w:rFonts w:eastAsia="Times New Roman"/>
              </w:rPr>
            </w:pPr>
            <w:r>
              <w:rPr>
                <w:rFonts w:eastAsia="Times New Roman"/>
                <w:color w:val="000000"/>
                <w:sz w:val="18"/>
                <w:szCs w:val="18"/>
              </w:rPr>
              <w:t>Interest income</w:t>
            </w:r>
          </w:p>
        </w:tc>
        <w:tc>
          <w:tcPr>
            <w:tcW w:w="0" w:type="auto"/>
            <w:gridSpan w:val="3"/>
            <w:shd w:val="clear" w:color="auto" w:fill="FFFFFF"/>
            <w:tcMar>
              <w:top w:w="0" w:type="dxa"/>
              <w:left w:w="20" w:type="dxa"/>
              <w:bottom w:w="0" w:type="dxa"/>
              <w:right w:w="20" w:type="dxa"/>
            </w:tcMar>
            <w:vAlign w:val="center"/>
            <w:hideMark/>
          </w:tcPr>
          <w:p w14:paraId="060DB56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6F44C63" w14:textId="77777777" w:rsidR="00000000" w:rsidRDefault="00A173A8">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235F5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E2DC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FE1D27" w14:textId="77777777" w:rsidR="00000000" w:rsidRDefault="00A173A8">
            <w:pPr>
              <w:spacing w:after="100"/>
              <w:jc w:val="right"/>
              <w:rPr>
                <w:rFonts w:eastAsia="Times New Roman"/>
              </w:rPr>
            </w:pPr>
            <w:r>
              <w:rPr>
                <w:rFonts w:eastAsia="Times New Roman"/>
                <w:color w:val="000000"/>
                <w:sz w:val="18"/>
                <w:szCs w:val="18"/>
              </w:rPr>
              <w:t>245 </w:t>
            </w:r>
          </w:p>
        </w:tc>
        <w:tc>
          <w:tcPr>
            <w:tcW w:w="0" w:type="auto"/>
            <w:shd w:val="clear" w:color="auto" w:fill="FFFFFF"/>
            <w:tcMar>
              <w:top w:w="30" w:type="dxa"/>
              <w:left w:w="0" w:type="dxa"/>
              <w:bottom w:w="30" w:type="dxa"/>
              <w:right w:w="20" w:type="dxa"/>
            </w:tcMar>
            <w:vAlign w:val="center"/>
            <w:hideMark/>
          </w:tcPr>
          <w:p w14:paraId="32B14B6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7111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246F17F" w14:textId="77777777" w:rsidR="00000000" w:rsidRDefault="00A173A8">
            <w:pPr>
              <w:spacing w:after="100"/>
              <w:jc w:val="right"/>
              <w:rPr>
                <w:rFonts w:eastAsia="Times New Roman"/>
              </w:rPr>
            </w:pPr>
            <w:r>
              <w:rPr>
                <w:rFonts w:eastAsia="Times New Roman"/>
                <w:b/>
                <w:bCs/>
                <w:color w:val="000000"/>
                <w:sz w:val="18"/>
                <w:szCs w:val="18"/>
              </w:rPr>
              <w:t>190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6AB8F0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9B872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9C4A5D" w14:textId="77777777" w:rsidR="00000000" w:rsidRDefault="00A173A8">
            <w:pPr>
              <w:spacing w:after="100"/>
              <w:jc w:val="right"/>
              <w:rPr>
                <w:rFonts w:eastAsia="Times New Roman"/>
              </w:rPr>
            </w:pPr>
            <w:r>
              <w:rPr>
                <w:rFonts w:eastAsia="Times New Roman"/>
                <w:color w:val="000000"/>
                <w:sz w:val="18"/>
                <w:szCs w:val="18"/>
              </w:rPr>
              <w:t>480 </w:t>
            </w:r>
          </w:p>
        </w:tc>
        <w:tc>
          <w:tcPr>
            <w:tcW w:w="0" w:type="auto"/>
            <w:shd w:val="clear" w:color="auto" w:fill="FFFFFF"/>
            <w:tcMar>
              <w:top w:w="30" w:type="dxa"/>
              <w:left w:w="0" w:type="dxa"/>
              <w:bottom w:w="30" w:type="dxa"/>
              <w:right w:w="20" w:type="dxa"/>
            </w:tcMar>
            <w:vAlign w:val="center"/>
            <w:hideMark/>
          </w:tcPr>
          <w:p w14:paraId="29DDCD45" w14:textId="77777777" w:rsidR="00000000" w:rsidRDefault="00A173A8">
            <w:pPr>
              <w:spacing w:after="100"/>
              <w:jc w:val="right"/>
              <w:rPr>
                <w:rFonts w:eastAsia="Times New Roman"/>
              </w:rPr>
            </w:pPr>
          </w:p>
        </w:tc>
        <w:tc>
          <w:tcPr>
            <w:tcW w:w="0" w:type="auto"/>
            <w:vAlign w:val="center"/>
            <w:hideMark/>
          </w:tcPr>
          <w:p w14:paraId="3D1890BB" w14:textId="77777777" w:rsidR="00000000" w:rsidRDefault="00A173A8">
            <w:pPr>
              <w:spacing w:after="100"/>
              <w:jc w:val="right"/>
              <w:rPr>
                <w:rFonts w:eastAsia="Times New Roman"/>
                <w:sz w:val="20"/>
                <w:szCs w:val="20"/>
              </w:rPr>
            </w:pPr>
          </w:p>
        </w:tc>
        <w:tc>
          <w:tcPr>
            <w:tcW w:w="0" w:type="auto"/>
            <w:vAlign w:val="center"/>
            <w:hideMark/>
          </w:tcPr>
          <w:p w14:paraId="72752667" w14:textId="77777777" w:rsidR="00000000" w:rsidRDefault="00A173A8">
            <w:pPr>
              <w:spacing w:after="100"/>
              <w:rPr>
                <w:rFonts w:eastAsia="Times New Roman"/>
                <w:sz w:val="20"/>
                <w:szCs w:val="20"/>
              </w:rPr>
            </w:pPr>
          </w:p>
        </w:tc>
      </w:tr>
      <w:tr w:rsidR="00000000" w14:paraId="5E6CA4B5" w14:textId="77777777">
        <w:trPr>
          <w:divId w:val="1286232707"/>
        </w:trPr>
        <w:tc>
          <w:tcPr>
            <w:tcW w:w="0" w:type="auto"/>
            <w:gridSpan w:val="3"/>
            <w:shd w:val="clear" w:color="auto" w:fill="CCEEFF"/>
            <w:tcMar>
              <w:top w:w="30" w:type="dxa"/>
              <w:left w:w="245" w:type="dxa"/>
              <w:bottom w:w="30" w:type="dxa"/>
              <w:right w:w="20" w:type="dxa"/>
            </w:tcMar>
            <w:vAlign w:val="center"/>
            <w:hideMark/>
          </w:tcPr>
          <w:p w14:paraId="62748913" w14:textId="77777777" w:rsidR="00000000" w:rsidRDefault="00A173A8">
            <w:pPr>
              <w:spacing w:after="100"/>
              <w:rPr>
                <w:rFonts w:eastAsia="Times New Roman"/>
              </w:rPr>
            </w:pPr>
            <w:r>
              <w:rPr>
                <w:rFonts w:eastAsia="Times New Roman"/>
                <w:color w:val="000000"/>
                <w:sz w:val="18"/>
                <w:szCs w:val="18"/>
              </w:rPr>
              <w:t>Foreign exchange contracts:</w:t>
            </w:r>
          </w:p>
        </w:tc>
        <w:tc>
          <w:tcPr>
            <w:tcW w:w="0" w:type="auto"/>
            <w:gridSpan w:val="3"/>
            <w:shd w:val="clear" w:color="auto" w:fill="CCEEFF"/>
            <w:tcMar>
              <w:top w:w="0" w:type="dxa"/>
              <w:left w:w="20" w:type="dxa"/>
              <w:bottom w:w="0" w:type="dxa"/>
              <w:right w:w="20" w:type="dxa"/>
            </w:tcMar>
            <w:vAlign w:val="center"/>
            <w:hideMark/>
          </w:tcPr>
          <w:p w14:paraId="2BBB90FE"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55B63A1D" w14:textId="77777777" w:rsidR="00000000" w:rsidRDefault="00A173A8">
            <w:pPr>
              <w:spacing w:after="100"/>
              <w:rPr>
                <w:rFonts w:eastAsia="Times New Roman"/>
              </w:rPr>
            </w:pPr>
            <w:r>
              <w:rPr>
                <w:rFonts w:eastAsia="Times New Roman"/>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14:paraId="4AE03C3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77296A5"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220A062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B6B5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730DDA"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6E7453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57A48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4F9C72"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4B318D3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4567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76165C"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14:paraId="294475F4" w14:textId="77777777" w:rsidR="00000000" w:rsidRDefault="00A173A8">
            <w:pPr>
              <w:spacing w:after="100"/>
              <w:jc w:val="right"/>
              <w:rPr>
                <w:rFonts w:eastAsia="Times New Roman"/>
              </w:rPr>
            </w:pPr>
          </w:p>
        </w:tc>
        <w:tc>
          <w:tcPr>
            <w:tcW w:w="0" w:type="auto"/>
            <w:vAlign w:val="center"/>
            <w:hideMark/>
          </w:tcPr>
          <w:p w14:paraId="426DE3C3" w14:textId="77777777" w:rsidR="00000000" w:rsidRDefault="00A173A8">
            <w:pPr>
              <w:spacing w:after="100"/>
              <w:jc w:val="right"/>
              <w:rPr>
                <w:rFonts w:eastAsia="Times New Roman"/>
                <w:sz w:val="20"/>
                <w:szCs w:val="20"/>
              </w:rPr>
            </w:pPr>
          </w:p>
        </w:tc>
        <w:tc>
          <w:tcPr>
            <w:tcW w:w="0" w:type="auto"/>
            <w:vAlign w:val="center"/>
            <w:hideMark/>
          </w:tcPr>
          <w:p w14:paraId="0CC78CAE" w14:textId="77777777" w:rsidR="00000000" w:rsidRDefault="00A173A8">
            <w:pPr>
              <w:spacing w:after="100"/>
              <w:rPr>
                <w:rFonts w:eastAsia="Times New Roman"/>
                <w:sz w:val="20"/>
                <w:szCs w:val="20"/>
              </w:rPr>
            </w:pPr>
          </w:p>
        </w:tc>
      </w:tr>
      <w:tr w:rsidR="00000000" w14:paraId="7685ADC3" w14:textId="77777777">
        <w:trPr>
          <w:divId w:val="1286232707"/>
        </w:trPr>
        <w:tc>
          <w:tcPr>
            <w:tcW w:w="0" w:type="auto"/>
            <w:gridSpan w:val="3"/>
            <w:shd w:val="clear" w:color="auto" w:fill="FFFFFF"/>
            <w:tcMar>
              <w:top w:w="0" w:type="dxa"/>
              <w:left w:w="20" w:type="dxa"/>
              <w:bottom w:w="0" w:type="dxa"/>
              <w:right w:w="20" w:type="dxa"/>
            </w:tcMar>
            <w:vAlign w:val="center"/>
            <w:hideMark/>
          </w:tcPr>
          <w:p w14:paraId="08F7A81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F9641D"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3D825E83" w14:textId="77777777" w:rsidR="00000000" w:rsidRDefault="00A173A8">
            <w:pPr>
              <w:spacing w:after="100"/>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14:paraId="4D70A75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5D0E06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93E2F9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512C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9DD1A7"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14:paraId="4380D57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89783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D4BA5A"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FFFFFF"/>
            <w:tcMar>
              <w:top w:w="30" w:type="dxa"/>
              <w:left w:w="0" w:type="dxa"/>
              <w:bottom w:w="30" w:type="dxa"/>
              <w:right w:w="20" w:type="dxa"/>
            </w:tcMar>
            <w:vAlign w:val="center"/>
            <w:hideMark/>
          </w:tcPr>
          <w:p w14:paraId="1FFE04A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4911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D3F222F" w14:textId="77777777" w:rsidR="00000000" w:rsidRDefault="00A173A8">
            <w:pPr>
              <w:spacing w:after="100"/>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14:paraId="1A0F1E3F" w14:textId="77777777" w:rsidR="00000000" w:rsidRDefault="00A173A8">
            <w:pPr>
              <w:spacing w:after="100"/>
              <w:jc w:val="right"/>
              <w:rPr>
                <w:rFonts w:eastAsia="Times New Roman"/>
              </w:rPr>
            </w:pPr>
          </w:p>
        </w:tc>
        <w:tc>
          <w:tcPr>
            <w:tcW w:w="0" w:type="auto"/>
            <w:vAlign w:val="center"/>
            <w:hideMark/>
          </w:tcPr>
          <w:p w14:paraId="51082111" w14:textId="77777777" w:rsidR="00000000" w:rsidRDefault="00A173A8">
            <w:pPr>
              <w:spacing w:after="100"/>
              <w:jc w:val="right"/>
              <w:rPr>
                <w:rFonts w:eastAsia="Times New Roman"/>
                <w:sz w:val="20"/>
                <w:szCs w:val="20"/>
              </w:rPr>
            </w:pPr>
          </w:p>
        </w:tc>
        <w:tc>
          <w:tcPr>
            <w:tcW w:w="0" w:type="auto"/>
            <w:vAlign w:val="center"/>
            <w:hideMark/>
          </w:tcPr>
          <w:p w14:paraId="3FE95C46" w14:textId="77777777" w:rsidR="00000000" w:rsidRDefault="00A173A8">
            <w:pPr>
              <w:spacing w:after="100"/>
              <w:rPr>
                <w:rFonts w:eastAsia="Times New Roman"/>
                <w:sz w:val="20"/>
                <w:szCs w:val="20"/>
              </w:rPr>
            </w:pPr>
          </w:p>
        </w:tc>
      </w:tr>
      <w:tr w:rsidR="00000000" w14:paraId="27458D45" w14:textId="77777777">
        <w:trPr>
          <w:divId w:val="1286232707"/>
        </w:trPr>
        <w:tc>
          <w:tcPr>
            <w:tcW w:w="0" w:type="auto"/>
            <w:gridSpan w:val="3"/>
            <w:shd w:val="clear" w:color="auto" w:fill="CCEEFF"/>
            <w:tcMar>
              <w:top w:w="0" w:type="dxa"/>
              <w:left w:w="20" w:type="dxa"/>
              <w:bottom w:w="0" w:type="dxa"/>
              <w:right w:w="20" w:type="dxa"/>
            </w:tcMar>
            <w:vAlign w:val="center"/>
            <w:hideMark/>
          </w:tcPr>
          <w:p w14:paraId="016804D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8F1882"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22ABE9A1" w14:textId="77777777" w:rsidR="00000000" w:rsidRDefault="00A173A8">
            <w:pPr>
              <w:spacing w:after="100"/>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14:paraId="382E7F8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ADEF216" w14:textId="77777777" w:rsidR="00000000" w:rsidRDefault="00A173A8">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5FA133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F8A3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26D932" w14:textId="77777777" w:rsidR="00000000" w:rsidRDefault="00A173A8">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center"/>
            <w:hideMark/>
          </w:tcPr>
          <w:p w14:paraId="6D670BE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FCA3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B3CDA60" w14:textId="77777777" w:rsidR="00000000" w:rsidRDefault="00A173A8">
            <w:pPr>
              <w:spacing w:after="100"/>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892522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7056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B47FD37" w14:textId="77777777" w:rsidR="00000000" w:rsidRDefault="00A173A8">
            <w:pPr>
              <w:spacing w:after="100"/>
              <w:jc w:val="right"/>
              <w:rPr>
                <w:rFonts w:eastAsia="Times New Roman"/>
              </w:rPr>
            </w:pPr>
            <w:r>
              <w:rPr>
                <w:rFonts w:eastAsia="Times New Roman"/>
                <w:color w:val="000000"/>
                <w:sz w:val="18"/>
                <w:szCs w:val="18"/>
              </w:rPr>
              <w:t>162 </w:t>
            </w:r>
          </w:p>
        </w:tc>
        <w:tc>
          <w:tcPr>
            <w:tcW w:w="0" w:type="auto"/>
            <w:shd w:val="clear" w:color="auto" w:fill="CCEEFF"/>
            <w:tcMar>
              <w:top w:w="30" w:type="dxa"/>
              <w:left w:w="0" w:type="dxa"/>
              <w:bottom w:w="30" w:type="dxa"/>
              <w:right w:w="20" w:type="dxa"/>
            </w:tcMar>
            <w:vAlign w:val="center"/>
            <w:hideMark/>
          </w:tcPr>
          <w:p w14:paraId="53C9FFEB" w14:textId="77777777" w:rsidR="00000000" w:rsidRDefault="00A173A8">
            <w:pPr>
              <w:spacing w:after="100"/>
              <w:jc w:val="right"/>
              <w:rPr>
                <w:rFonts w:eastAsia="Times New Roman"/>
              </w:rPr>
            </w:pPr>
          </w:p>
        </w:tc>
        <w:tc>
          <w:tcPr>
            <w:tcW w:w="0" w:type="auto"/>
            <w:vAlign w:val="center"/>
            <w:hideMark/>
          </w:tcPr>
          <w:p w14:paraId="076BCB84" w14:textId="77777777" w:rsidR="00000000" w:rsidRDefault="00A173A8">
            <w:pPr>
              <w:spacing w:after="100"/>
              <w:jc w:val="right"/>
              <w:rPr>
                <w:rFonts w:eastAsia="Times New Roman"/>
                <w:sz w:val="20"/>
                <w:szCs w:val="20"/>
              </w:rPr>
            </w:pPr>
          </w:p>
        </w:tc>
        <w:tc>
          <w:tcPr>
            <w:tcW w:w="0" w:type="auto"/>
            <w:vAlign w:val="center"/>
            <w:hideMark/>
          </w:tcPr>
          <w:p w14:paraId="4D6B4511" w14:textId="77777777" w:rsidR="00000000" w:rsidRDefault="00A173A8">
            <w:pPr>
              <w:spacing w:after="100"/>
              <w:rPr>
                <w:rFonts w:eastAsia="Times New Roman"/>
                <w:sz w:val="20"/>
                <w:szCs w:val="20"/>
              </w:rPr>
            </w:pPr>
          </w:p>
        </w:tc>
      </w:tr>
      <w:tr w:rsidR="00000000" w14:paraId="57807EEE" w14:textId="77777777">
        <w:trPr>
          <w:divId w:val="1286232707"/>
        </w:trPr>
        <w:tc>
          <w:tcPr>
            <w:tcW w:w="0" w:type="auto"/>
            <w:gridSpan w:val="3"/>
            <w:shd w:val="clear" w:color="auto" w:fill="FFFFFF"/>
            <w:tcMar>
              <w:top w:w="0" w:type="dxa"/>
              <w:left w:w="20" w:type="dxa"/>
              <w:bottom w:w="0" w:type="dxa"/>
              <w:right w:w="20" w:type="dxa"/>
            </w:tcMar>
            <w:vAlign w:val="center"/>
            <w:hideMark/>
          </w:tcPr>
          <w:p w14:paraId="32495FB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E9CC8B"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7B58BAE6" w14:textId="77777777" w:rsidR="00000000" w:rsidRDefault="00A173A8">
            <w:pPr>
              <w:spacing w:after="100"/>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1606F18F"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6DB2EC" w14:textId="77777777" w:rsidR="00000000" w:rsidRDefault="00A173A8">
            <w:pPr>
              <w:spacing w:after="100"/>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75D58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CCAE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5097E5" w14:textId="77777777" w:rsidR="00000000" w:rsidRDefault="00A173A8">
            <w:pPr>
              <w:spacing w:after="100"/>
              <w:jc w:val="right"/>
              <w:rPr>
                <w:rFonts w:eastAsia="Times New Roman"/>
              </w:rPr>
            </w:pPr>
            <w:r>
              <w:rPr>
                <w:rFonts w:eastAsia="Times New Roman"/>
                <w:color w:val="000000"/>
                <w:sz w:val="18"/>
                <w:szCs w:val="18"/>
              </w:rPr>
              <w:t>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E00AD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C2A4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BFAA4F" w14:textId="77777777" w:rsidR="00000000" w:rsidRDefault="00A173A8">
            <w:pPr>
              <w:spacing w:after="100"/>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F5667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91EA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C8C4D5" w14:textId="77777777" w:rsidR="00000000" w:rsidRDefault="00A173A8">
            <w:pPr>
              <w:spacing w:after="100"/>
              <w:jc w:val="right"/>
              <w:rPr>
                <w:rFonts w:eastAsia="Times New Roman"/>
              </w:rPr>
            </w:pPr>
            <w:r>
              <w:rPr>
                <w:rFonts w:eastAsia="Times New Roman"/>
                <w:color w:val="000000"/>
                <w:sz w:val="18"/>
                <w:szCs w:val="18"/>
              </w:rPr>
              <w:t>641 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33D7A7" w14:textId="77777777" w:rsidR="00000000" w:rsidRDefault="00A173A8">
            <w:pPr>
              <w:spacing w:after="100"/>
              <w:jc w:val="right"/>
              <w:rPr>
                <w:rFonts w:eastAsia="Times New Roman"/>
              </w:rPr>
            </w:pPr>
          </w:p>
        </w:tc>
        <w:tc>
          <w:tcPr>
            <w:tcW w:w="0" w:type="auto"/>
            <w:vAlign w:val="center"/>
            <w:hideMark/>
          </w:tcPr>
          <w:p w14:paraId="71E4E4F3" w14:textId="77777777" w:rsidR="00000000" w:rsidRDefault="00A173A8">
            <w:pPr>
              <w:spacing w:after="100"/>
              <w:jc w:val="right"/>
              <w:rPr>
                <w:rFonts w:eastAsia="Times New Roman"/>
                <w:sz w:val="20"/>
                <w:szCs w:val="20"/>
              </w:rPr>
            </w:pPr>
          </w:p>
        </w:tc>
        <w:tc>
          <w:tcPr>
            <w:tcW w:w="0" w:type="auto"/>
            <w:vAlign w:val="center"/>
            <w:hideMark/>
          </w:tcPr>
          <w:p w14:paraId="753042D3" w14:textId="77777777" w:rsidR="00000000" w:rsidRDefault="00A173A8">
            <w:pPr>
              <w:spacing w:after="100"/>
              <w:rPr>
                <w:rFonts w:eastAsia="Times New Roman"/>
                <w:sz w:val="20"/>
                <w:szCs w:val="20"/>
              </w:rPr>
            </w:pPr>
          </w:p>
        </w:tc>
      </w:tr>
      <w:tr w:rsidR="00000000" w14:paraId="574A06C8" w14:textId="77777777">
        <w:trPr>
          <w:divId w:val="1286232707"/>
        </w:trPr>
        <w:tc>
          <w:tcPr>
            <w:tcW w:w="0" w:type="auto"/>
            <w:gridSpan w:val="3"/>
            <w:shd w:val="clear" w:color="auto" w:fill="CCEEFF"/>
            <w:tcMar>
              <w:top w:w="0" w:type="dxa"/>
              <w:left w:w="20" w:type="dxa"/>
              <w:bottom w:w="0" w:type="dxa"/>
              <w:right w:w="20" w:type="dxa"/>
            </w:tcMar>
            <w:vAlign w:val="center"/>
            <w:hideMark/>
          </w:tcPr>
          <w:p w14:paraId="7792480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30186"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3CBE539D" w14:textId="77777777" w:rsidR="00000000" w:rsidRDefault="00A173A8">
            <w:pPr>
              <w:spacing w:after="100"/>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14:paraId="6C9A710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BEEB57D" w14:textId="77777777" w:rsidR="00000000" w:rsidRDefault="00A173A8">
            <w:pPr>
              <w:spacing w:after="100"/>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FB5732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0351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BD10ECA" w14:textId="77777777" w:rsidR="00000000" w:rsidRDefault="00A173A8">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center"/>
            <w:hideMark/>
          </w:tcPr>
          <w:p w14:paraId="4E31430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485A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3E86762" w14:textId="77777777" w:rsidR="00000000" w:rsidRDefault="00A173A8">
            <w:pPr>
              <w:spacing w:after="100"/>
              <w:jc w:val="right"/>
              <w:rPr>
                <w:rFonts w:eastAsia="Times New Roman"/>
              </w:rPr>
            </w:pPr>
            <w:r>
              <w:rPr>
                <w:rFonts w:eastAsia="Times New Roman"/>
                <w:b/>
                <w:bCs/>
                <w:color w:val="000000"/>
                <w:sz w:val="18"/>
                <w:szCs w:val="18"/>
              </w:rPr>
              <w:t>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5D2DCE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1CD5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9DF04EE" w14:textId="77777777" w:rsidR="00000000" w:rsidRDefault="00A173A8">
            <w:pPr>
              <w:spacing w:after="100"/>
              <w:jc w:val="right"/>
              <w:rPr>
                <w:rFonts w:eastAsia="Times New Roman"/>
              </w:rPr>
            </w:pPr>
            <w:r>
              <w:rPr>
                <w:rFonts w:eastAsia="Times New Roman"/>
                <w:color w:val="000000"/>
                <w:sz w:val="18"/>
                <w:szCs w:val="18"/>
              </w:rPr>
              <w:t>154 </w:t>
            </w:r>
          </w:p>
        </w:tc>
        <w:tc>
          <w:tcPr>
            <w:tcW w:w="0" w:type="auto"/>
            <w:shd w:val="clear" w:color="auto" w:fill="CCEEFF"/>
            <w:tcMar>
              <w:top w:w="30" w:type="dxa"/>
              <w:left w:w="0" w:type="dxa"/>
              <w:bottom w:w="30" w:type="dxa"/>
              <w:right w:w="20" w:type="dxa"/>
            </w:tcMar>
            <w:vAlign w:val="center"/>
            <w:hideMark/>
          </w:tcPr>
          <w:p w14:paraId="1BCCEA24" w14:textId="77777777" w:rsidR="00000000" w:rsidRDefault="00A173A8">
            <w:pPr>
              <w:spacing w:after="100"/>
              <w:jc w:val="right"/>
              <w:rPr>
                <w:rFonts w:eastAsia="Times New Roman"/>
              </w:rPr>
            </w:pPr>
          </w:p>
        </w:tc>
        <w:tc>
          <w:tcPr>
            <w:tcW w:w="0" w:type="auto"/>
            <w:vAlign w:val="center"/>
            <w:hideMark/>
          </w:tcPr>
          <w:p w14:paraId="1F3F2C17" w14:textId="77777777" w:rsidR="00000000" w:rsidRDefault="00A173A8">
            <w:pPr>
              <w:spacing w:after="100"/>
              <w:jc w:val="right"/>
              <w:rPr>
                <w:rFonts w:eastAsia="Times New Roman"/>
                <w:sz w:val="20"/>
                <w:szCs w:val="20"/>
              </w:rPr>
            </w:pPr>
          </w:p>
        </w:tc>
        <w:tc>
          <w:tcPr>
            <w:tcW w:w="0" w:type="auto"/>
            <w:vAlign w:val="center"/>
            <w:hideMark/>
          </w:tcPr>
          <w:p w14:paraId="558B2CFF" w14:textId="77777777" w:rsidR="00000000" w:rsidRDefault="00A173A8">
            <w:pPr>
              <w:spacing w:after="100"/>
              <w:rPr>
                <w:rFonts w:eastAsia="Times New Roman"/>
                <w:sz w:val="20"/>
                <w:szCs w:val="20"/>
              </w:rPr>
            </w:pPr>
          </w:p>
        </w:tc>
      </w:tr>
      <w:tr w:rsidR="00000000" w14:paraId="28FD45A1" w14:textId="77777777">
        <w:trPr>
          <w:divId w:val="1286232707"/>
        </w:trPr>
        <w:tc>
          <w:tcPr>
            <w:tcW w:w="0" w:type="auto"/>
            <w:gridSpan w:val="3"/>
            <w:shd w:val="clear" w:color="auto" w:fill="FFFFFF"/>
            <w:tcMar>
              <w:top w:w="0" w:type="dxa"/>
              <w:left w:w="20" w:type="dxa"/>
              <w:bottom w:w="0" w:type="dxa"/>
              <w:right w:w="20" w:type="dxa"/>
            </w:tcMar>
            <w:vAlign w:val="center"/>
            <w:hideMark/>
          </w:tcPr>
          <w:p w14:paraId="4DF2FFD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4CFAF8"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6A44FA92" w14:textId="77777777" w:rsidR="00000000" w:rsidRDefault="00A173A8">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734DA441"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4A33D10" w14:textId="77777777" w:rsidR="00000000" w:rsidRDefault="00A173A8">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56A549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B42F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B86284D" w14:textId="77777777" w:rsidR="00000000" w:rsidRDefault="00A173A8">
            <w:pPr>
              <w:spacing w:after="100"/>
              <w:jc w:val="right"/>
              <w:rPr>
                <w:rFonts w:eastAsia="Times New Roman"/>
              </w:rPr>
            </w:pPr>
            <w:r>
              <w:rPr>
                <w:rFonts w:eastAsia="Times New Roman"/>
                <w:color w:val="000000"/>
                <w:sz w:val="18"/>
                <w:szCs w:val="18"/>
              </w:rPr>
              <w:t>244 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C4C88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D792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32D70AF" w14:textId="77777777" w:rsidR="00000000" w:rsidRDefault="00A173A8">
            <w:pPr>
              <w:spacing w:after="100"/>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148C74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13047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49EBF6B" w14:textId="77777777" w:rsidR="00000000" w:rsidRDefault="00A173A8">
            <w:pPr>
              <w:spacing w:after="100"/>
              <w:jc w:val="right"/>
              <w:rPr>
                <w:rFonts w:eastAsia="Times New Roman"/>
              </w:rPr>
            </w:pPr>
            <w:r>
              <w:rPr>
                <w:rFonts w:eastAsia="Times New Roman"/>
                <w:color w:val="000000"/>
                <w:sz w:val="18"/>
                <w:szCs w:val="18"/>
              </w:rPr>
              <w:t>487 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9222737" w14:textId="77777777" w:rsidR="00000000" w:rsidRDefault="00A173A8">
            <w:pPr>
              <w:spacing w:after="100"/>
              <w:jc w:val="right"/>
              <w:rPr>
                <w:rFonts w:eastAsia="Times New Roman"/>
              </w:rPr>
            </w:pPr>
          </w:p>
        </w:tc>
        <w:tc>
          <w:tcPr>
            <w:tcW w:w="0" w:type="auto"/>
            <w:vAlign w:val="center"/>
            <w:hideMark/>
          </w:tcPr>
          <w:p w14:paraId="1E473D6D" w14:textId="77777777" w:rsidR="00000000" w:rsidRDefault="00A173A8">
            <w:pPr>
              <w:spacing w:after="100"/>
              <w:jc w:val="right"/>
              <w:rPr>
                <w:rFonts w:eastAsia="Times New Roman"/>
                <w:sz w:val="20"/>
                <w:szCs w:val="20"/>
              </w:rPr>
            </w:pPr>
          </w:p>
        </w:tc>
        <w:tc>
          <w:tcPr>
            <w:tcW w:w="0" w:type="auto"/>
            <w:vAlign w:val="center"/>
            <w:hideMark/>
          </w:tcPr>
          <w:p w14:paraId="2E0C4D46" w14:textId="77777777" w:rsidR="00000000" w:rsidRDefault="00A173A8">
            <w:pPr>
              <w:spacing w:after="100"/>
              <w:rPr>
                <w:rFonts w:eastAsia="Times New Roman"/>
                <w:sz w:val="20"/>
                <w:szCs w:val="20"/>
              </w:rPr>
            </w:pPr>
          </w:p>
        </w:tc>
      </w:tr>
      <w:tr w:rsidR="00000000" w14:paraId="5D0576AA" w14:textId="77777777">
        <w:trPr>
          <w:divId w:val="1286232707"/>
        </w:trPr>
        <w:tc>
          <w:tcPr>
            <w:tcW w:w="0" w:type="auto"/>
            <w:gridSpan w:val="3"/>
            <w:shd w:val="clear" w:color="auto" w:fill="CCEEFF"/>
            <w:tcMar>
              <w:top w:w="30" w:type="dxa"/>
              <w:left w:w="20" w:type="dxa"/>
              <w:bottom w:w="30" w:type="dxa"/>
              <w:right w:w="20" w:type="dxa"/>
            </w:tcMar>
            <w:vAlign w:val="center"/>
            <w:hideMark/>
          </w:tcPr>
          <w:p w14:paraId="17650B1B" w14:textId="77777777" w:rsidR="00000000" w:rsidRDefault="00A173A8">
            <w:pPr>
              <w:spacing w:after="100"/>
              <w:rPr>
                <w:rFonts w:eastAsia="Times New Roman"/>
              </w:rPr>
            </w:pPr>
            <w:r>
              <w:rPr>
                <w:rFonts w:eastAsia="Times New Roman"/>
                <w:b/>
                <w:bCs/>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1A67C794"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60382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5723A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FED42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1E590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4B22F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8A008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4312E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3A372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620B2A" w14:textId="77777777" w:rsidR="00000000" w:rsidRDefault="00A173A8">
            <w:pPr>
              <w:spacing w:after="100"/>
              <w:rPr>
                <w:rFonts w:eastAsia="Times New Roman"/>
                <w:sz w:val="20"/>
                <w:szCs w:val="20"/>
              </w:rPr>
            </w:pPr>
          </w:p>
        </w:tc>
        <w:tc>
          <w:tcPr>
            <w:tcW w:w="0" w:type="auto"/>
            <w:vAlign w:val="center"/>
            <w:hideMark/>
          </w:tcPr>
          <w:p w14:paraId="55530EBE" w14:textId="77777777" w:rsidR="00000000" w:rsidRDefault="00A173A8">
            <w:pPr>
              <w:spacing w:after="100"/>
              <w:rPr>
                <w:rFonts w:eastAsia="Times New Roman"/>
                <w:sz w:val="20"/>
                <w:szCs w:val="20"/>
              </w:rPr>
            </w:pPr>
          </w:p>
        </w:tc>
        <w:tc>
          <w:tcPr>
            <w:tcW w:w="0" w:type="auto"/>
            <w:vAlign w:val="center"/>
            <w:hideMark/>
          </w:tcPr>
          <w:p w14:paraId="6E69699C" w14:textId="77777777" w:rsidR="00000000" w:rsidRDefault="00A173A8">
            <w:pPr>
              <w:spacing w:after="100"/>
              <w:rPr>
                <w:rFonts w:eastAsia="Times New Roman"/>
                <w:sz w:val="20"/>
                <w:szCs w:val="20"/>
              </w:rPr>
            </w:pPr>
          </w:p>
        </w:tc>
      </w:tr>
      <w:tr w:rsidR="00000000" w14:paraId="592376E7" w14:textId="77777777">
        <w:trPr>
          <w:divId w:val="1286232707"/>
        </w:trPr>
        <w:tc>
          <w:tcPr>
            <w:tcW w:w="0" w:type="auto"/>
            <w:gridSpan w:val="3"/>
            <w:shd w:val="clear" w:color="auto" w:fill="FFFFFF"/>
            <w:tcMar>
              <w:top w:w="0" w:type="dxa"/>
              <w:left w:w="20" w:type="dxa"/>
              <w:bottom w:w="0" w:type="dxa"/>
              <w:right w:w="20" w:type="dxa"/>
            </w:tcMar>
            <w:vAlign w:val="center"/>
            <w:hideMark/>
          </w:tcPr>
          <w:p w14:paraId="35A62E4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4B11F2" w14:textId="77777777" w:rsidR="00000000" w:rsidRDefault="00A173A8">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14:paraId="31FC3FD1" w14:textId="77777777" w:rsidR="00000000" w:rsidRDefault="00A173A8">
            <w:pPr>
              <w:spacing w:after="100"/>
              <w:rPr>
                <w:rFonts w:eastAsia="Times New Roman"/>
              </w:rPr>
            </w:pPr>
            <w:r>
              <w:rPr>
                <w:rFonts w:eastAsia="Times New Roman"/>
                <w:color w:val="000000"/>
                <w:sz w:val="18"/>
                <w:szCs w:val="18"/>
              </w:rPr>
              <w:t>Non-interest income and non-interest expense</w:t>
            </w:r>
          </w:p>
        </w:tc>
        <w:tc>
          <w:tcPr>
            <w:tcW w:w="0" w:type="auto"/>
            <w:gridSpan w:val="3"/>
            <w:shd w:val="clear" w:color="auto" w:fill="FFFFFF"/>
            <w:tcMar>
              <w:top w:w="0" w:type="dxa"/>
              <w:left w:w="20" w:type="dxa"/>
              <w:bottom w:w="0" w:type="dxa"/>
              <w:right w:w="20" w:type="dxa"/>
            </w:tcMar>
            <w:vAlign w:val="center"/>
            <w:hideMark/>
          </w:tcPr>
          <w:p w14:paraId="3528F2A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F2575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0EBBC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6298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B47D1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72F627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19FB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B7F3B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50D5F9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19E35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33BAF4"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14:paraId="6C97F283" w14:textId="77777777" w:rsidR="00000000" w:rsidRDefault="00A173A8">
            <w:pPr>
              <w:spacing w:after="100"/>
              <w:jc w:val="right"/>
              <w:rPr>
                <w:rFonts w:eastAsia="Times New Roman"/>
              </w:rPr>
            </w:pPr>
          </w:p>
        </w:tc>
        <w:tc>
          <w:tcPr>
            <w:tcW w:w="0" w:type="auto"/>
            <w:vAlign w:val="center"/>
            <w:hideMark/>
          </w:tcPr>
          <w:p w14:paraId="1C3F7D8F" w14:textId="77777777" w:rsidR="00000000" w:rsidRDefault="00A173A8">
            <w:pPr>
              <w:spacing w:after="100"/>
              <w:jc w:val="right"/>
              <w:rPr>
                <w:rFonts w:eastAsia="Times New Roman"/>
                <w:sz w:val="20"/>
                <w:szCs w:val="20"/>
              </w:rPr>
            </w:pPr>
          </w:p>
        </w:tc>
        <w:tc>
          <w:tcPr>
            <w:tcW w:w="0" w:type="auto"/>
            <w:vAlign w:val="center"/>
            <w:hideMark/>
          </w:tcPr>
          <w:p w14:paraId="4AC09510" w14:textId="77777777" w:rsidR="00000000" w:rsidRDefault="00A173A8">
            <w:pPr>
              <w:spacing w:after="100"/>
              <w:rPr>
                <w:rFonts w:eastAsia="Times New Roman"/>
                <w:sz w:val="20"/>
                <w:szCs w:val="20"/>
              </w:rPr>
            </w:pPr>
          </w:p>
        </w:tc>
      </w:tr>
      <w:tr w:rsidR="00000000" w14:paraId="6C6DC1A2" w14:textId="77777777">
        <w:trPr>
          <w:divId w:val="1286232707"/>
        </w:trPr>
        <w:tc>
          <w:tcPr>
            <w:tcW w:w="0" w:type="auto"/>
            <w:gridSpan w:val="3"/>
            <w:vAlign w:val="center"/>
            <w:hideMark/>
          </w:tcPr>
          <w:p w14:paraId="409571EE" w14:textId="77777777" w:rsidR="00000000" w:rsidRDefault="00A173A8">
            <w:pPr>
              <w:spacing w:after="100"/>
              <w:rPr>
                <w:rFonts w:eastAsia="Times New Roman"/>
                <w:sz w:val="20"/>
                <w:szCs w:val="20"/>
              </w:rPr>
            </w:pPr>
          </w:p>
        </w:tc>
        <w:tc>
          <w:tcPr>
            <w:tcW w:w="0" w:type="auto"/>
            <w:gridSpan w:val="3"/>
            <w:vAlign w:val="center"/>
            <w:hideMark/>
          </w:tcPr>
          <w:p w14:paraId="40409486" w14:textId="77777777" w:rsidR="00000000" w:rsidRDefault="00A173A8">
            <w:pPr>
              <w:spacing w:after="100"/>
              <w:rPr>
                <w:rFonts w:eastAsia="Times New Roman"/>
                <w:sz w:val="20"/>
                <w:szCs w:val="20"/>
              </w:rPr>
            </w:pPr>
          </w:p>
        </w:tc>
        <w:tc>
          <w:tcPr>
            <w:tcW w:w="0" w:type="auto"/>
            <w:gridSpan w:val="3"/>
            <w:vAlign w:val="center"/>
            <w:hideMark/>
          </w:tcPr>
          <w:p w14:paraId="088EA316" w14:textId="77777777" w:rsidR="00000000" w:rsidRDefault="00A173A8">
            <w:pPr>
              <w:spacing w:after="100"/>
              <w:rPr>
                <w:rFonts w:eastAsia="Times New Roman"/>
                <w:sz w:val="20"/>
                <w:szCs w:val="20"/>
              </w:rPr>
            </w:pPr>
          </w:p>
        </w:tc>
        <w:tc>
          <w:tcPr>
            <w:tcW w:w="0" w:type="auto"/>
            <w:gridSpan w:val="3"/>
            <w:vAlign w:val="center"/>
            <w:hideMark/>
          </w:tcPr>
          <w:p w14:paraId="631344A1" w14:textId="77777777" w:rsidR="00000000" w:rsidRDefault="00A173A8">
            <w:pPr>
              <w:spacing w:after="100"/>
              <w:rPr>
                <w:rFonts w:eastAsia="Times New Roman"/>
                <w:sz w:val="20"/>
                <w:szCs w:val="20"/>
              </w:rPr>
            </w:pPr>
          </w:p>
        </w:tc>
        <w:tc>
          <w:tcPr>
            <w:tcW w:w="0" w:type="auto"/>
            <w:gridSpan w:val="3"/>
            <w:vAlign w:val="center"/>
            <w:hideMark/>
          </w:tcPr>
          <w:p w14:paraId="753CB2D2" w14:textId="77777777" w:rsidR="00000000" w:rsidRDefault="00A173A8">
            <w:pPr>
              <w:spacing w:after="100"/>
              <w:rPr>
                <w:rFonts w:eastAsia="Times New Roman"/>
                <w:sz w:val="20"/>
                <w:szCs w:val="20"/>
              </w:rPr>
            </w:pPr>
          </w:p>
        </w:tc>
        <w:tc>
          <w:tcPr>
            <w:tcW w:w="0" w:type="auto"/>
            <w:gridSpan w:val="3"/>
            <w:vAlign w:val="center"/>
            <w:hideMark/>
          </w:tcPr>
          <w:p w14:paraId="34A5166E" w14:textId="77777777" w:rsidR="00000000" w:rsidRDefault="00A173A8">
            <w:pPr>
              <w:spacing w:after="100"/>
              <w:rPr>
                <w:rFonts w:eastAsia="Times New Roman"/>
                <w:sz w:val="20"/>
                <w:szCs w:val="20"/>
              </w:rPr>
            </w:pPr>
          </w:p>
        </w:tc>
        <w:tc>
          <w:tcPr>
            <w:tcW w:w="0" w:type="auto"/>
            <w:gridSpan w:val="3"/>
            <w:vAlign w:val="center"/>
            <w:hideMark/>
          </w:tcPr>
          <w:p w14:paraId="3C5A426B" w14:textId="77777777" w:rsidR="00000000" w:rsidRDefault="00A173A8">
            <w:pPr>
              <w:spacing w:after="100"/>
              <w:rPr>
                <w:rFonts w:eastAsia="Times New Roman"/>
                <w:sz w:val="20"/>
                <w:szCs w:val="20"/>
              </w:rPr>
            </w:pPr>
          </w:p>
        </w:tc>
        <w:tc>
          <w:tcPr>
            <w:tcW w:w="0" w:type="auto"/>
            <w:gridSpan w:val="3"/>
            <w:vAlign w:val="center"/>
            <w:hideMark/>
          </w:tcPr>
          <w:p w14:paraId="6DB2CF25" w14:textId="77777777" w:rsidR="00000000" w:rsidRDefault="00A173A8">
            <w:pPr>
              <w:spacing w:after="100"/>
              <w:rPr>
                <w:rFonts w:eastAsia="Times New Roman"/>
                <w:sz w:val="20"/>
                <w:szCs w:val="20"/>
              </w:rPr>
            </w:pPr>
          </w:p>
        </w:tc>
        <w:tc>
          <w:tcPr>
            <w:tcW w:w="0" w:type="auto"/>
            <w:gridSpan w:val="3"/>
            <w:vAlign w:val="center"/>
            <w:hideMark/>
          </w:tcPr>
          <w:p w14:paraId="7FC1BB32" w14:textId="77777777" w:rsidR="00000000" w:rsidRDefault="00A173A8">
            <w:pPr>
              <w:spacing w:after="100"/>
              <w:rPr>
                <w:rFonts w:eastAsia="Times New Roman"/>
                <w:sz w:val="20"/>
                <w:szCs w:val="20"/>
              </w:rPr>
            </w:pPr>
          </w:p>
        </w:tc>
        <w:tc>
          <w:tcPr>
            <w:tcW w:w="0" w:type="auto"/>
            <w:gridSpan w:val="3"/>
            <w:vAlign w:val="center"/>
            <w:hideMark/>
          </w:tcPr>
          <w:p w14:paraId="463757A3" w14:textId="77777777" w:rsidR="00000000" w:rsidRDefault="00A173A8">
            <w:pPr>
              <w:spacing w:after="100"/>
              <w:rPr>
                <w:rFonts w:eastAsia="Times New Roman"/>
                <w:sz w:val="20"/>
                <w:szCs w:val="20"/>
              </w:rPr>
            </w:pPr>
          </w:p>
        </w:tc>
        <w:tc>
          <w:tcPr>
            <w:tcW w:w="0" w:type="auto"/>
            <w:gridSpan w:val="3"/>
            <w:vAlign w:val="center"/>
            <w:hideMark/>
          </w:tcPr>
          <w:p w14:paraId="5429E666" w14:textId="77777777" w:rsidR="00000000" w:rsidRDefault="00A173A8">
            <w:pPr>
              <w:spacing w:after="100"/>
              <w:rPr>
                <w:rFonts w:eastAsia="Times New Roman"/>
                <w:sz w:val="20"/>
                <w:szCs w:val="20"/>
              </w:rPr>
            </w:pPr>
          </w:p>
        </w:tc>
        <w:tc>
          <w:tcPr>
            <w:tcW w:w="0" w:type="auto"/>
            <w:vAlign w:val="center"/>
            <w:hideMark/>
          </w:tcPr>
          <w:p w14:paraId="6678BD41" w14:textId="77777777" w:rsidR="00000000" w:rsidRDefault="00A173A8">
            <w:pPr>
              <w:spacing w:after="100"/>
              <w:rPr>
                <w:rFonts w:eastAsia="Times New Roman"/>
                <w:sz w:val="20"/>
                <w:szCs w:val="20"/>
              </w:rPr>
            </w:pPr>
          </w:p>
        </w:tc>
        <w:tc>
          <w:tcPr>
            <w:tcW w:w="0" w:type="auto"/>
            <w:vAlign w:val="center"/>
            <w:hideMark/>
          </w:tcPr>
          <w:p w14:paraId="41015D86" w14:textId="77777777" w:rsidR="00000000" w:rsidRDefault="00A173A8">
            <w:pPr>
              <w:spacing w:after="100"/>
              <w:rPr>
                <w:rFonts w:eastAsia="Times New Roman"/>
                <w:sz w:val="20"/>
                <w:szCs w:val="20"/>
              </w:rPr>
            </w:pPr>
          </w:p>
        </w:tc>
      </w:tr>
      <w:tr w:rsidR="00000000" w14:paraId="37216EEB" w14:textId="77777777">
        <w:trPr>
          <w:divId w:val="1286232707"/>
        </w:trPr>
        <w:tc>
          <w:tcPr>
            <w:tcW w:w="0" w:type="auto"/>
            <w:gridSpan w:val="3"/>
            <w:shd w:val="clear" w:color="auto" w:fill="CCEEFF"/>
            <w:tcMar>
              <w:top w:w="0" w:type="dxa"/>
              <w:left w:w="20" w:type="dxa"/>
              <w:bottom w:w="0" w:type="dxa"/>
              <w:right w:w="20" w:type="dxa"/>
            </w:tcMar>
            <w:vAlign w:val="center"/>
            <w:hideMark/>
          </w:tcPr>
          <w:p w14:paraId="49AA498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D3AC9E" w14:textId="77777777" w:rsidR="00000000" w:rsidRDefault="00A173A8">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14:paraId="6791E471" w14:textId="77777777" w:rsidR="00000000" w:rsidRDefault="00A173A8">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62F5A1FC"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4541FB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51307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CB9D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E3255ED"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1769B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FA52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9B0169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360ADD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A40B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1926382" w14:textId="77777777" w:rsidR="00000000" w:rsidRDefault="00A173A8">
            <w:pPr>
              <w:spacing w:after="100"/>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8004BB1" w14:textId="77777777" w:rsidR="00000000" w:rsidRDefault="00A173A8">
            <w:pPr>
              <w:spacing w:after="100"/>
              <w:jc w:val="right"/>
              <w:rPr>
                <w:rFonts w:eastAsia="Times New Roman"/>
              </w:rPr>
            </w:pPr>
          </w:p>
        </w:tc>
        <w:tc>
          <w:tcPr>
            <w:tcW w:w="0" w:type="auto"/>
            <w:vAlign w:val="center"/>
            <w:hideMark/>
          </w:tcPr>
          <w:p w14:paraId="1E649A7F" w14:textId="77777777" w:rsidR="00000000" w:rsidRDefault="00A173A8">
            <w:pPr>
              <w:spacing w:after="100"/>
              <w:jc w:val="right"/>
              <w:rPr>
                <w:rFonts w:eastAsia="Times New Roman"/>
                <w:sz w:val="20"/>
                <w:szCs w:val="20"/>
              </w:rPr>
            </w:pPr>
          </w:p>
        </w:tc>
        <w:tc>
          <w:tcPr>
            <w:tcW w:w="0" w:type="auto"/>
            <w:vAlign w:val="center"/>
            <w:hideMark/>
          </w:tcPr>
          <w:p w14:paraId="1487C1C5" w14:textId="77777777" w:rsidR="00000000" w:rsidRDefault="00A173A8">
            <w:pPr>
              <w:spacing w:after="100"/>
              <w:rPr>
                <w:rFonts w:eastAsia="Times New Roman"/>
                <w:sz w:val="20"/>
                <w:szCs w:val="20"/>
              </w:rPr>
            </w:pPr>
          </w:p>
        </w:tc>
      </w:tr>
      <w:tr w:rsidR="00000000" w14:paraId="7F8AE303" w14:textId="77777777">
        <w:trPr>
          <w:divId w:val="1286232707"/>
        </w:trPr>
        <w:tc>
          <w:tcPr>
            <w:tcW w:w="0" w:type="auto"/>
            <w:gridSpan w:val="9"/>
            <w:shd w:val="clear" w:color="auto" w:fill="FFFFFF"/>
            <w:tcMar>
              <w:top w:w="30" w:type="dxa"/>
              <w:left w:w="20" w:type="dxa"/>
              <w:bottom w:w="30" w:type="dxa"/>
              <w:right w:w="20" w:type="dxa"/>
            </w:tcMar>
            <w:vAlign w:val="center"/>
            <w:hideMark/>
          </w:tcPr>
          <w:p w14:paraId="18A90ABC" w14:textId="77777777" w:rsidR="00000000" w:rsidRDefault="00A173A8">
            <w:pPr>
              <w:spacing w:after="100"/>
              <w:rPr>
                <w:rFonts w:eastAsia="Times New Roman"/>
              </w:rPr>
            </w:pPr>
            <w:r>
              <w:rPr>
                <w:rFonts w:eastAsia="Times New Roman"/>
                <w:color w:val="000000"/>
                <w:sz w:val="18"/>
                <w:szCs w:val="18"/>
              </w:rPr>
              <w:t>Total reclassifications</w:t>
            </w:r>
          </w:p>
        </w:tc>
        <w:tc>
          <w:tcPr>
            <w:tcW w:w="0" w:type="auto"/>
            <w:gridSpan w:val="3"/>
            <w:shd w:val="clear" w:color="auto" w:fill="FFFFFF"/>
            <w:tcMar>
              <w:top w:w="0" w:type="dxa"/>
              <w:left w:w="20" w:type="dxa"/>
              <w:bottom w:w="0" w:type="dxa"/>
              <w:right w:w="20" w:type="dxa"/>
            </w:tcMar>
            <w:vAlign w:val="center"/>
            <w:hideMark/>
          </w:tcPr>
          <w:p w14:paraId="280D8E36"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B158523"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3A1492F" w14:textId="77777777" w:rsidR="00000000" w:rsidRDefault="00A173A8">
            <w:pPr>
              <w:spacing w:after="100"/>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D8176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9D92C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A13A38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E750200" w14:textId="77777777" w:rsidR="00000000" w:rsidRDefault="00A173A8">
            <w:pPr>
              <w:spacing w:after="100"/>
              <w:jc w:val="right"/>
              <w:rPr>
                <w:rFonts w:eastAsia="Times New Roman"/>
              </w:rPr>
            </w:pPr>
            <w:r>
              <w:rPr>
                <w:rFonts w:eastAsia="Times New Roman"/>
                <w:color w:val="000000"/>
                <w:sz w:val="18"/>
                <w:szCs w:val="18"/>
              </w:rPr>
              <w:t>244 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9DAAE4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D231F"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1195F1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561AE87" w14:textId="77777777" w:rsidR="00000000" w:rsidRDefault="00A173A8">
            <w:pPr>
              <w:spacing w:after="100"/>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F713B3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F9CCC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B32BF2C"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4DCC7A3" w14:textId="77777777" w:rsidR="00000000" w:rsidRDefault="00A173A8">
            <w:pPr>
              <w:spacing w:after="100"/>
              <w:jc w:val="right"/>
              <w:rPr>
                <w:rFonts w:eastAsia="Times New Roman"/>
              </w:rPr>
            </w:pPr>
            <w:r>
              <w:rPr>
                <w:rFonts w:eastAsia="Times New Roman"/>
                <w:color w:val="000000"/>
                <w:sz w:val="18"/>
                <w:szCs w:val="18"/>
              </w:rPr>
              <w:t>491 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4E38B16" w14:textId="77777777" w:rsidR="00000000" w:rsidRDefault="00A173A8">
            <w:pPr>
              <w:spacing w:after="100"/>
              <w:jc w:val="right"/>
              <w:rPr>
                <w:rFonts w:eastAsia="Times New Roman"/>
              </w:rPr>
            </w:pPr>
          </w:p>
        </w:tc>
        <w:tc>
          <w:tcPr>
            <w:tcW w:w="0" w:type="auto"/>
            <w:vAlign w:val="center"/>
            <w:hideMark/>
          </w:tcPr>
          <w:p w14:paraId="185BA0CA" w14:textId="77777777" w:rsidR="00000000" w:rsidRDefault="00A173A8">
            <w:pPr>
              <w:spacing w:after="100"/>
              <w:jc w:val="right"/>
              <w:rPr>
                <w:rFonts w:eastAsia="Times New Roman"/>
                <w:sz w:val="20"/>
                <w:szCs w:val="20"/>
              </w:rPr>
            </w:pPr>
          </w:p>
        </w:tc>
        <w:tc>
          <w:tcPr>
            <w:tcW w:w="0" w:type="auto"/>
            <w:vAlign w:val="center"/>
            <w:hideMark/>
          </w:tcPr>
          <w:p w14:paraId="0E34180A" w14:textId="77777777" w:rsidR="00000000" w:rsidRDefault="00A173A8">
            <w:pPr>
              <w:spacing w:after="100"/>
              <w:rPr>
                <w:rFonts w:eastAsia="Times New Roman"/>
                <w:sz w:val="20"/>
                <w:szCs w:val="20"/>
              </w:rPr>
            </w:pPr>
          </w:p>
        </w:tc>
      </w:tr>
    </w:tbl>
    <w:p w14:paraId="0E33F0D0" w14:textId="77777777" w:rsidR="00000000" w:rsidRDefault="00A173A8">
      <w:pPr>
        <w:jc w:val="both"/>
        <w:divId w:val="154340338"/>
        <w:rPr>
          <w:rFonts w:eastAsia="Times New Roman"/>
        </w:rPr>
      </w:pPr>
      <w:r>
        <w:rPr>
          <w:rFonts w:eastAsia="Times New Roman"/>
          <w:color w:val="000000"/>
          <w:sz w:val="20"/>
          <w:szCs w:val="20"/>
        </w:rPr>
        <w:t>The table below summarizes other comprehensive income (loss) activity and the related tax impact for the three and six months ended June 30, 2022 and 2021.</w:t>
      </w:r>
    </w:p>
    <w:p w14:paraId="79AA25D0" w14:textId="77777777" w:rsidR="00000000" w:rsidRDefault="00A173A8">
      <w:pPr>
        <w:divId w:val="1167357421"/>
        <w:rPr>
          <w:rFonts w:eastAsia="Times New Roman"/>
        </w:rPr>
      </w:pPr>
      <w:r>
        <w:rPr>
          <w:rFonts w:eastAsia="Times New Roman"/>
          <w:b/>
          <w:bCs/>
          <w:color w:val="000000"/>
          <w:sz w:val="18"/>
          <w:szCs w:val="18"/>
        </w:rPr>
        <w:t>Table 9.4: Other Comprehensive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3216"/>
        <w:gridCol w:w="37"/>
        <w:gridCol w:w="36"/>
        <w:gridCol w:w="36"/>
        <w:gridCol w:w="36"/>
        <w:gridCol w:w="110"/>
        <w:gridCol w:w="525"/>
        <w:gridCol w:w="36"/>
        <w:gridCol w:w="36"/>
        <w:gridCol w:w="36"/>
        <w:gridCol w:w="36"/>
        <w:gridCol w:w="111"/>
        <w:gridCol w:w="589"/>
        <w:gridCol w:w="36"/>
        <w:gridCol w:w="36"/>
        <w:gridCol w:w="36"/>
        <w:gridCol w:w="36"/>
        <w:gridCol w:w="110"/>
        <w:gridCol w:w="525"/>
        <w:gridCol w:w="36"/>
        <w:gridCol w:w="36"/>
        <w:gridCol w:w="36"/>
        <w:gridCol w:w="36"/>
        <w:gridCol w:w="111"/>
        <w:gridCol w:w="414"/>
        <w:gridCol w:w="36"/>
        <w:gridCol w:w="36"/>
        <w:gridCol w:w="36"/>
        <w:gridCol w:w="36"/>
        <w:gridCol w:w="111"/>
        <w:gridCol w:w="589"/>
        <w:gridCol w:w="36"/>
        <w:gridCol w:w="36"/>
        <w:gridCol w:w="36"/>
        <w:gridCol w:w="36"/>
        <w:gridCol w:w="111"/>
        <w:gridCol w:w="341"/>
        <w:gridCol w:w="36"/>
        <w:gridCol w:w="36"/>
        <w:gridCol w:w="36"/>
        <w:gridCol w:w="36"/>
        <w:gridCol w:w="36"/>
        <w:gridCol w:w="36"/>
        <w:gridCol w:w="36"/>
        <w:gridCol w:w="36"/>
        <w:gridCol w:w="36"/>
        <w:gridCol w:w="36"/>
        <w:gridCol w:w="36"/>
        <w:gridCol w:w="36"/>
        <w:gridCol w:w="36"/>
        <w:gridCol w:w="36"/>
        <w:gridCol w:w="36"/>
      </w:tblGrid>
      <w:tr w:rsidR="00000000" w14:paraId="312B1175" w14:textId="77777777">
        <w:trPr>
          <w:divId w:val="1979724519"/>
        </w:trPr>
        <w:tc>
          <w:tcPr>
            <w:tcW w:w="50" w:type="pct"/>
            <w:vAlign w:val="center"/>
            <w:hideMark/>
          </w:tcPr>
          <w:p w14:paraId="0F799CFE" w14:textId="77777777" w:rsidR="00000000" w:rsidRDefault="00A173A8">
            <w:pPr>
              <w:rPr>
                <w:rFonts w:eastAsia="Times New Roman"/>
              </w:rPr>
            </w:pPr>
          </w:p>
        </w:tc>
        <w:tc>
          <w:tcPr>
            <w:tcW w:w="2591" w:type="pct"/>
            <w:vAlign w:val="center"/>
            <w:hideMark/>
          </w:tcPr>
          <w:p w14:paraId="47887CA3" w14:textId="77777777" w:rsidR="00000000" w:rsidRDefault="00A173A8">
            <w:pPr>
              <w:spacing w:after="100"/>
              <w:rPr>
                <w:rFonts w:eastAsia="Times New Roman"/>
                <w:sz w:val="20"/>
                <w:szCs w:val="20"/>
              </w:rPr>
            </w:pPr>
          </w:p>
        </w:tc>
        <w:tc>
          <w:tcPr>
            <w:tcW w:w="5" w:type="pct"/>
            <w:vAlign w:val="center"/>
            <w:hideMark/>
          </w:tcPr>
          <w:p w14:paraId="5A22542D" w14:textId="77777777" w:rsidR="00000000" w:rsidRDefault="00A173A8">
            <w:pPr>
              <w:spacing w:after="100"/>
              <w:rPr>
                <w:rFonts w:eastAsia="Times New Roman"/>
                <w:sz w:val="20"/>
                <w:szCs w:val="20"/>
              </w:rPr>
            </w:pPr>
          </w:p>
        </w:tc>
        <w:tc>
          <w:tcPr>
            <w:tcW w:w="5" w:type="pct"/>
            <w:vAlign w:val="center"/>
            <w:hideMark/>
          </w:tcPr>
          <w:p w14:paraId="72042FD1" w14:textId="77777777" w:rsidR="00000000" w:rsidRDefault="00A173A8">
            <w:pPr>
              <w:spacing w:after="100"/>
              <w:rPr>
                <w:rFonts w:eastAsia="Times New Roman"/>
                <w:sz w:val="20"/>
                <w:szCs w:val="20"/>
              </w:rPr>
            </w:pPr>
          </w:p>
        </w:tc>
        <w:tc>
          <w:tcPr>
            <w:tcW w:w="26" w:type="pct"/>
            <w:vAlign w:val="center"/>
            <w:hideMark/>
          </w:tcPr>
          <w:p w14:paraId="25AB4D3A" w14:textId="77777777" w:rsidR="00000000" w:rsidRDefault="00A173A8">
            <w:pPr>
              <w:spacing w:after="100"/>
              <w:rPr>
                <w:rFonts w:eastAsia="Times New Roman"/>
                <w:sz w:val="20"/>
                <w:szCs w:val="20"/>
              </w:rPr>
            </w:pPr>
          </w:p>
        </w:tc>
        <w:tc>
          <w:tcPr>
            <w:tcW w:w="5" w:type="pct"/>
            <w:vAlign w:val="center"/>
            <w:hideMark/>
          </w:tcPr>
          <w:p w14:paraId="37BE7DEA" w14:textId="77777777" w:rsidR="00000000" w:rsidRDefault="00A173A8">
            <w:pPr>
              <w:spacing w:after="100"/>
              <w:rPr>
                <w:rFonts w:eastAsia="Times New Roman"/>
                <w:sz w:val="20"/>
                <w:szCs w:val="20"/>
              </w:rPr>
            </w:pPr>
          </w:p>
        </w:tc>
        <w:tc>
          <w:tcPr>
            <w:tcW w:w="50" w:type="pct"/>
            <w:vAlign w:val="center"/>
            <w:hideMark/>
          </w:tcPr>
          <w:p w14:paraId="21F15DAA" w14:textId="77777777" w:rsidR="00000000" w:rsidRDefault="00A173A8">
            <w:pPr>
              <w:spacing w:after="100"/>
              <w:rPr>
                <w:rFonts w:eastAsia="Times New Roman"/>
                <w:sz w:val="20"/>
                <w:szCs w:val="20"/>
              </w:rPr>
            </w:pPr>
          </w:p>
        </w:tc>
        <w:tc>
          <w:tcPr>
            <w:tcW w:w="288" w:type="pct"/>
            <w:vAlign w:val="center"/>
            <w:hideMark/>
          </w:tcPr>
          <w:p w14:paraId="43A30C90" w14:textId="77777777" w:rsidR="00000000" w:rsidRDefault="00A173A8">
            <w:pPr>
              <w:spacing w:after="100"/>
              <w:rPr>
                <w:rFonts w:eastAsia="Times New Roman"/>
                <w:sz w:val="20"/>
                <w:szCs w:val="20"/>
              </w:rPr>
            </w:pPr>
          </w:p>
        </w:tc>
        <w:tc>
          <w:tcPr>
            <w:tcW w:w="5" w:type="pct"/>
            <w:vAlign w:val="center"/>
            <w:hideMark/>
          </w:tcPr>
          <w:p w14:paraId="6125C6EE" w14:textId="77777777" w:rsidR="00000000" w:rsidRDefault="00A173A8">
            <w:pPr>
              <w:spacing w:after="100"/>
              <w:rPr>
                <w:rFonts w:eastAsia="Times New Roman"/>
                <w:sz w:val="20"/>
                <w:szCs w:val="20"/>
              </w:rPr>
            </w:pPr>
          </w:p>
        </w:tc>
        <w:tc>
          <w:tcPr>
            <w:tcW w:w="5" w:type="pct"/>
            <w:vAlign w:val="center"/>
            <w:hideMark/>
          </w:tcPr>
          <w:p w14:paraId="014D7168" w14:textId="77777777" w:rsidR="00000000" w:rsidRDefault="00A173A8">
            <w:pPr>
              <w:spacing w:after="100"/>
              <w:rPr>
                <w:rFonts w:eastAsia="Times New Roman"/>
                <w:sz w:val="20"/>
                <w:szCs w:val="20"/>
              </w:rPr>
            </w:pPr>
          </w:p>
        </w:tc>
        <w:tc>
          <w:tcPr>
            <w:tcW w:w="26" w:type="pct"/>
            <w:vAlign w:val="center"/>
            <w:hideMark/>
          </w:tcPr>
          <w:p w14:paraId="13044733" w14:textId="77777777" w:rsidR="00000000" w:rsidRDefault="00A173A8">
            <w:pPr>
              <w:spacing w:after="100"/>
              <w:rPr>
                <w:rFonts w:eastAsia="Times New Roman"/>
                <w:sz w:val="20"/>
                <w:szCs w:val="20"/>
              </w:rPr>
            </w:pPr>
          </w:p>
        </w:tc>
        <w:tc>
          <w:tcPr>
            <w:tcW w:w="5" w:type="pct"/>
            <w:vAlign w:val="center"/>
            <w:hideMark/>
          </w:tcPr>
          <w:p w14:paraId="262C2DA5" w14:textId="77777777" w:rsidR="00000000" w:rsidRDefault="00A173A8">
            <w:pPr>
              <w:spacing w:after="100"/>
              <w:rPr>
                <w:rFonts w:eastAsia="Times New Roman"/>
                <w:sz w:val="20"/>
                <w:szCs w:val="20"/>
              </w:rPr>
            </w:pPr>
          </w:p>
        </w:tc>
        <w:tc>
          <w:tcPr>
            <w:tcW w:w="50" w:type="pct"/>
            <w:vAlign w:val="center"/>
            <w:hideMark/>
          </w:tcPr>
          <w:p w14:paraId="07DFE82D" w14:textId="77777777" w:rsidR="00000000" w:rsidRDefault="00A173A8">
            <w:pPr>
              <w:spacing w:after="100"/>
              <w:rPr>
                <w:rFonts w:eastAsia="Times New Roman"/>
                <w:sz w:val="20"/>
                <w:szCs w:val="20"/>
              </w:rPr>
            </w:pPr>
          </w:p>
        </w:tc>
        <w:tc>
          <w:tcPr>
            <w:tcW w:w="325" w:type="pct"/>
            <w:vAlign w:val="center"/>
            <w:hideMark/>
          </w:tcPr>
          <w:p w14:paraId="33DABE48" w14:textId="77777777" w:rsidR="00000000" w:rsidRDefault="00A173A8">
            <w:pPr>
              <w:spacing w:after="100"/>
              <w:rPr>
                <w:rFonts w:eastAsia="Times New Roman"/>
                <w:sz w:val="20"/>
                <w:szCs w:val="20"/>
              </w:rPr>
            </w:pPr>
          </w:p>
        </w:tc>
        <w:tc>
          <w:tcPr>
            <w:tcW w:w="5" w:type="pct"/>
            <w:vAlign w:val="center"/>
            <w:hideMark/>
          </w:tcPr>
          <w:p w14:paraId="69C2ADA1" w14:textId="77777777" w:rsidR="00000000" w:rsidRDefault="00A173A8">
            <w:pPr>
              <w:spacing w:after="100"/>
              <w:rPr>
                <w:rFonts w:eastAsia="Times New Roman"/>
                <w:sz w:val="20"/>
                <w:szCs w:val="20"/>
              </w:rPr>
            </w:pPr>
          </w:p>
        </w:tc>
        <w:tc>
          <w:tcPr>
            <w:tcW w:w="5" w:type="pct"/>
            <w:vAlign w:val="center"/>
            <w:hideMark/>
          </w:tcPr>
          <w:p w14:paraId="6C8BD709" w14:textId="77777777" w:rsidR="00000000" w:rsidRDefault="00A173A8">
            <w:pPr>
              <w:spacing w:after="100"/>
              <w:rPr>
                <w:rFonts w:eastAsia="Times New Roman"/>
                <w:sz w:val="20"/>
                <w:szCs w:val="20"/>
              </w:rPr>
            </w:pPr>
          </w:p>
        </w:tc>
        <w:tc>
          <w:tcPr>
            <w:tcW w:w="26" w:type="pct"/>
            <w:vAlign w:val="center"/>
            <w:hideMark/>
          </w:tcPr>
          <w:p w14:paraId="4BC558D3" w14:textId="77777777" w:rsidR="00000000" w:rsidRDefault="00A173A8">
            <w:pPr>
              <w:spacing w:after="100"/>
              <w:rPr>
                <w:rFonts w:eastAsia="Times New Roman"/>
                <w:sz w:val="20"/>
                <w:szCs w:val="20"/>
              </w:rPr>
            </w:pPr>
          </w:p>
        </w:tc>
        <w:tc>
          <w:tcPr>
            <w:tcW w:w="5" w:type="pct"/>
            <w:vAlign w:val="center"/>
            <w:hideMark/>
          </w:tcPr>
          <w:p w14:paraId="6CED677F" w14:textId="77777777" w:rsidR="00000000" w:rsidRDefault="00A173A8">
            <w:pPr>
              <w:spacing w:after="100"/>
              <w:rPr>
                <w:rFonts w:eastAsia="Times New Roman"/>
                <w:sz w:val="20"/>
                <w:szCs w:val="20"/>
              </w:rPr>
            </w:pPr>
          </w:p>
        </w:tc>
        <w:tc>
          <w:tcPr>
            <w:tcW w:w="50" w:type="pct"/>
            <w:vAlign w:val="center"/>
            <w:hideMark/>
          </w:tcPr>
          <w:p w14:paraId="6AA872F6" w14:textId="77777777" w:rsidR="00000000" w:rsidRDefault="00A173A8">
            <w:pPr>
              <w:spacing w:after="100"/>
              <w:rPr>
                <w:rFonts w:eastAsia="Times New Roman"/>
                <w:sz w:val="20"/>
                <w:szCs w:val="20"/>
              </w:rPr>
            </w:pPr>
          </w:p>
        </w:tc>
        <w:tc>
          <w:tcPr>
            <w:tcW w:w="288" w:type="pct"/>
            <w:vAlign w:val="center"/>
            <w:hideMark/>
          </w:tcPr>
          <w:p w14:paraId="5B4F4313" w14:textId="77777777" w:rsidR="00000000" w:rsidRDefault="00A173A8">
            <w:pPr>
              <w:spacing w:after="100"/>
              <w:rPr>
                <w:rFonts w:eastAsia="Times New Roman"/>
                <w:sz w:val="20"/>
                <w:szCs w:val="20"/>
              </w:rPr>
            </w:pPr>
          </w:p>
        </w:tc>
        <w:tc>
          <w:tcPr>
            <w:tcW w:w="5" w:type="pct"/>
            <w:vAlign w:val="center"/>
            <w:hideMark/>
          </w:tcPr>
          <w:p w14:paraId="0ACD0579" w14:textId="77777777" w:rsidR="00000000" w:rsidRDefault="00A173A8">
            <w:pPr>
              <w:spacing w:after="100"/>
              <w:rPr>
                <w:rFonts w:eastAsia="Times New Roman"/>
                <w:sz w:val="20"/>
                <w:szCs w:val="20"/>
              </w:rPr>
            </w:pPr>
          </w:p>
        </w:tc>
        <w:tc>
          <w:tcPr>
            <w:tcW w:w="5" w:type="pct"/>
            <w:vAlign w:val="center"/>
            <w:hideMark/>
          </w:tcPr>
          <w:p w14:paraId="7657B710" w14:textId="77777777" w:rsidR="00000000" w:rsidRDefault="00A173A8">
            <w:pPr>
              <w:spacing w:after="100"/>
              <w:rPr>
                <w:rFonts w:eastAsia="Times New Roman"/>
                <w:sz w:val="20"/>
                <w:szCs w:val="20"/>
              </w:rPr>
            </w:pPr>
          </w:p>
        </w:tc>
        <w:tc>
          <w:tcPr>
            <w:tcW w:w="26" w:type="pct"/>
            <w:vAlign w:val="center"/>
            <w:hideMark/>
          </w:tcPr>
          <w:p w14:paraId="1E16E54A" w14:textId="77777777" w:rsidR="00000000" w:rsidRDefault="00A173A8">
            <w:pPr>
              <w:spacing w:after="100"/>
              <w:rPr>
                <w:rFonts w:eastAsia="Times New Roman"/>
                <w:sz w:val="20"/>
                <w:szCs w:val="20"/>
              </w:rPr>
            </w:pPr>
          </w:p>
        </w:tc>
        <w:tc>
          <w:tcPr>
            <w:tcW w:w="5" w:type="pct"/>
            <w:vAlign w:val="center"/>
            <w:hideMark/>
          </w:tcPr>
          <w:p w14:paraId="6F6700C0" w14:textId="77777777" w:rsidR="00000000" w:rsidRDefault="00A173A8">
            <w:pPr>
              <w:spacing w:after="100"/>
              <w:rPr>
                <w:rFonts w:eastAsia="Times New Roman"/>
                <w:sz w:val="20"/>
                <w:szCs w:val="20"/>
              </w:rPr>
            </w:pPr>
          </w:p>
        </w:tc>
        <w:tc>
          <w:tcPr>
            <w:tcW w:w="50" w:type="pct"/>
            <w:vAlign w:val="center"/>
            <w:hideMark/>
          </w:tcPr>
          <w:p w14:paraId="5D94C0C8" w14:textId="77777777" w:rsidR="00000000" w:rsidRDefault="00A173A8">
            <w:pPr>
              <w:spacing w:after="100"/>
              <w:rPr>
                <w:rFonts w:eastAsia="Times New Roman"/>
                <w:sz w:val="20"/>
                <w:szCs w:val="20"/>
              </w:rPr>
            </w:pPr>
          </w:p>
        </w:tc>
        <w:tc>
          <w:tcPr>
            <w:tcW w:w="288" w:type="pct"/>
            <w:vAlign w:val="center"/>
            <w:hideMark/>
          </w:tcPr>
          <w:p w14:paraId="2EB49C63" w14:textId="77777777" w:rsidR="00000000" w:rsidRDefault="00A173A8">
            <w:pPr>
              <w:spacing w:after="100"/>
              <w:rPr>
                <w:rFonts w:eastAsia="Times New Roman"/>
                <w:sz w:val="20"/>
                <w:szCs w:val="20"/>
              </w:rPr>
            </w:pPr>
          </w:p>
        </w:tc>
        <w:tc>
          <w:tcPr>
            <w:tcW w:w="5" w:type="pct"/>
            <w:vAlign w:val="center"/>
            <w:hideMark/>
          </w:tcPr>
          <w:p w14:paraId="61E052BC" w14:textId="77777777" w:rsidR="00000000" w:rsidRDefault="00A173A8">
            <w:pPr>
              <w:spacing w:after="100"/>
              <w:rPr>
                <w:rFonts w:eastAsia="Times New Roman"/>
                <w:sz w:val="20"/>
                <w:szCs w:val="20"/>
              </w:rPr>
            </w:pPr>
          </w:p>
        </w:tc>
        <w:tc>
          <w:tcPr>
            <w:tcW w:w="5" w:type="pct"/>
            <w:vAlign w:val="center"/>
            <w:hideMark/>
          </w:tcPr>
          <w:p w14:paraId="75D2EF27" w14:textId="77777777" w:rsidR="00000000" w:rsidRDefault="00A173A8">
            <w:pPr>
              <w:spacing w:after="100"/>
              <w:rPr>
                <w:rFonts w:eastAsia="Times New Roman"/>
                <w:sz w:val="20"/>
                <w:szCs w:val="20"/>
              </w:rPr>
            </w:pPr>
          </w:p>
        </w:tc>
        <w:tc>
          <w:tcPr>
            <w:tcW w:w="26" w:type="pct"/>
            <w:vAlign w:val="center"/>
            <w:hideMark/>
          </w:tcPr>
          <w:p w14:paraId="382DAAD9" w14:textId="77777777" w:rsidR="00000000" w:rsidRDefault="00A173A8">
            <w:pPr>
              <w:spacing w:after="100"/>
              <w:rPr>
                <w:rFonts w:eastAsia="Times New Roman"/>
                <w:sz w:val="20"/>
                <w:szCs w:val="20"/>
              </w:rPr>
            </w:pPr>
          </w:p>
        </w:tc>
        <w:tc>
          <w:tcPr>
            <w:tcW w:w="5" w:type="pct"/>
            <w:vAlign w:val="center"/>
            <w:hideMark/>
          </w:tcPr>
          <w:p w14:paraId="4B000E17" w14:textId="77777777" w:rsidR="00000000" w:rsidRDefault="00A173A8">
            <w:pPr>
              <w:spacing w:after="100"/>
              <w:rPr>
                <w:rFonts w:eastAsia="Times New Roman"/>
                <w:sz w:val="20"/>
                <w:szCs w:val="20"/>
              </w:rPr>
            </w:pPr>
          </w:p>
        </w:tc>
        <w:tc>
          <w:tcPr>
            <w:tcW w:w="50" w:type="pct"/>
            <w:vAlign w:val="center"/>
            <w:hideMark/>
          </w:tcPr>
          <w:p w14:paraId="5C29583A" w14:textId="77777777" w:rsidR="00000000" w:rsidRDefault="00A173A8">
            <w:pPr>
              <w:spacing w:after="100"/>
              <w:rPr>
                <w:rFonts w:eastAsia="Times New Roman"/>
                <w:sz w:val="20"/>
                <w:szCs w:val="20"/>
              </w:rPr>
            </w:pPr>
          </w:p>
        </w:tc>
        <w:tc>
          <w:tcPr>
            <w:tcW w:w="325" w:type="pct"/>
            <w:vAlign w:val="center"/>
            <w:hideMark/>
          </w:tcPr>
          <w:p w14:paraId="392A9B09" w14:textId="77777777" w:rsidR="00000000" w:rsidRDefault="00A173A8">
            <w:pPr>
              <w:spacing w:after="100"/>
              <w:rPr>
                <w:rFonts w:eastAsia="Times New Roman"/>
                <w:sz w:val="20"/>
                <w:szCs w:val="20"/>
              </w:rPr>
            </w:pPr>
          </w:p>
        </w:tc>
        <w:tc>
          <w:tcPr>
            <w:tcW w:w="5" w:type="pct"/>
            <w:vAlign w:val="center"/>
            <w:hideMark/>
          </w:tcPr>
          <w:p w14:paraId="328A8CAD" w14:textId="77777777" w:rsidR="00000000" w:rsidRDefault="00A173A8">
            <w:pPr>
              <w:spacing w:after="100"/>
              <w:rPr>
                <w:rFonts w:eastAsia="Times New Roman"/>
                <w:sz w:val="20"/>
                <w:szCs w:val="20"/>
              </w:rPr>
            </w:pPr>
          </w:p>
        </w:tc>
        <w:tc>
          <w:tcPr>
            <w:tcW w:w="5" w:type="pct"/>
            <w:vAlign w:val="center"/>
            <w:hideMark/>
          </w:tcPr>
          <w:p w14:paraId="08438B9D" w14:textId="77777777" w:rsidR="00000000" w:rsidRDefault="00A173A8">
            <w:pPr>
              <w:spacing w:after="100"/>
              <w:rPr>
                <w:rFonts w:eastAsia="Times New Roman"/>
                <w:sz w:val="20"/>
                <w:szCs w:val="20"/>
              </w:rPr>
            </w:pPr>
          </w:p>
        </w:tc>
        <w:tc>
          <w:tcPr>
            <w:tcW w:w="26" w:type="pct"/>
            <w:vAlign w:val="center"/>
            <w:hideMark/>
          </w:tcPr>
          <w:p w14:paraId="224FB372" w14:textId="77777777" w:rsidR="00000000" w:rsidRDefault="00A173A8">
            <w:pPr>
              <w:spacing w:after="100"/>
              <w:rPr>
                <w:rFonts w:eastAsia="Times New Roman"/>
                <w:sz w:val="20"/>
                <w:szCs w:val="20"/>
              </w:rPr>
            </w:pPr>
          </w:p>
        </w:tc>
        <w:tc>
          <w:tcPr>
            <w:tcW w:w="5" w:type="pct"/>
            <w:vAlign w:val="center"/>
            <w:hideMark/>
          </w:tcPr>
          <w:p w14:paraId="66A3D2BC" w14:textId="77777777" w:rsidR="00000000" w:rsidRDefault="00A173A8">
            <w:pPr>
              <w:spacing w:after="100"/>
              <w:rPr>
                <w:rFonts w:eastAsia="Times New Roman"/>
                <w:sz w:val="20"/>
                <w:szCs w:val="20"/>
              </w:rPr>
            </w:pPr>
          </w:p>
        </w:tc>
        <w:tc>
          <w:tcPr>
            <w:tcW w:w="50" w:type="pct"/>
            <w:vAlign w:val="center"/>
            <w:hideMark/>
          </w:tcPr>
          <w:p w14:paraId="35D86A96" w14:textId="77777777" w:rsidR="00000000" w:rsidRDefault="00A173A8">
            <w:pPr>
              <w:spacing w:after="100"/>
              <w:rPr>
                <w:rFonts w:eastAsia="Times New Roman"/>
                <w:sz w:val="20"/>
                <w:szCs w:val="20"/>
              </w:rPr>
            </w:pPr>
          </w:p>
        </w:tc>
        <w:tc>
          <w:tcPr>
            <w:tcW w:w="289" w:type="pct"/>
            <w:vAlign w:val="center"/>
            <w:hideMark/>
          </w:tcPr>
          <w:p w14:paraId="4A7DD2BC" w14:textId="77777777" w:rsidR="00000000" w:rsidRDefault="00A173A8">
            <w:pPr>
              <w:spacing w:after="100"/>
              <w:rPr>
                <w:rFonts w:eastAsia="Times New Roman"/>
                <w:sz w:val="20"/>
                <w:szCs w:val="20"/>
              </w:rPr>
            </w:pPr>
          </w:p>
        </w:tc>
        <w:tc>
          <w:tcPr>
            <w:tcW w:w="5" w:type="pct"/>
            <w:vAlign w:val="center"/>
            <w:hideMark/>
          </w:tcPr>
          <w:p w14:paraId="580A52C2" w14:textId="77777777" w:rsidR="00000000" w:rsidRDefault="00A173A8">
            <w:pPr>
              <w:spacing w:after="100"/>
              <w:rPr>
                <w:rFonts w:eastAsia="Times New Roman"/>
                <w:sz w:val="20"/>
                <w:szCs w:val="20"/>
              </w:rPr>
            </w:pPr>
          </w:p>
        </w:tc>
        <w:tc>
          <w:tcPr>
            <w:tcW w:w="0" w:type="auto"/>
            <w:vAlign w:val="center"/>
            <w:hideMark/>
          </w:tcPr>
          <w:p w14:paraId="1F15BBDD" w14:textId="77777777" w:rsidR="00000000" w:rsidRDefault="00A173A8">
            <w:pPr>
              <w:spacing w:after="100"/>
              <w:rPr>
                <w:rFonts w:eastAsia="Times New Roman"/>
                <w:sz w:val="20"/>
                <w:szCs w:val="20"/>
              </w:rPr>
            </w:pPr>
          </w:p>
        </w:tc>
        <w:tc>
          <w:tcPr>
            <w:tcW w:w="0" w:type="auto"/>
            <w:vAlign w:val="center"/>
            <w:hideMark/>
          </w:tcPr>
          <w:p w14:paraId="1FD4C988" w14:textId="77777777" w:rsidR="00000000" w:rsidRDefault="00A173A8">
            <w:pPr>
              <w:spacing w:after="100"/>
              <w:rPr>
                <w:rFonts w:eastAsia="Times New Roman"/>
                <w:sz w:val="20"/>
                <w:szCs w:val="20"/>
              </w:rPr>
            </w:pPr>
          </w:p>
        </w:tc>
        <w:tc>
          <w:tcPr>
            <w:tcW w:w="0" w:type="auto"/>
            <w:gridSpan w:val="3"/>
            <w:vAlign w:val="center"/>
            <w:hideMark/>
          </w:tcPr>
          <w:p w14:paraId="41441B61" w14:textId="77777777" w:rsidR="00000000" w:rsidRDefault="00A173A8">
            <w:pPr>
              <w:spacing w:after="100"/>
              <w:rPr>
                <w:rFonts w:eastAsia="Times New Roman"/>
                <w:sz w:val="20"/>
                <w:szCs w:val="20"/>
              </w:rPr>
            </w:pPr>
          </w:p>
        </w:tc>
        <w:tc>
          <w:tcPr>
            <w:tcW w:w="0" w:type="auto"/>
            <w:gridSpan w:val="3"/>
            <w:vAlign w:val="center"/>
            <w:hideMark/>
          </w:tcPr>
          <w:p w14:paraId="6CDB422F" w14:textId="77777777" w:rsidR="00000000" w:rsidRDefault="00A173A8">
            <w:pPr>
              <w:spacing w:after="100"/>
              <w:rPr>
                <w:rFonts w:eastAsia="Times New Roman"/>
                <w:sz w:val="20"/>
                <w:szCs w:val="20"/>
              </w:rPr>
            </w:pPr>
          </w:p>
        </w:tc>
        <w:tc>
          <w:tcPr>
            <w:tcW w:w="0" w:type="auto"/>
            <w:gridSpan w:val="3"/>
            <w:vAlign w:val="center"/>
            <w:hideMark/>
          </w:tcPr>
          <w:p w14:paraId="3286FF22" w14:textId="77777777" w:rsidR="00000000" w:rsidRDefault="00A173A8">
            <w:pPr>
              <w:spacing w:after="100"/>
              <w:rPr>
                <w:rFonts w:eastAsia="Times New Roman"/>
                <w:sz w:val="20"/>
                <w:szCs w:val="20"/>
              </w:rPr>
            </w:pPr>
          </w:p>
        </w:tc>
        <w:tc>
          <w:tcPr>
            <w:tcW w:w="0" w:type="auto"/>
            <w:gridSpan w:val="3"/>
            <w:vAlign w:val="center"/>
            <w:hideMark/>
          </w:tcPr>
          <w:p w14:paraId="7FF69124" w14:textId="77777777" w:rsidR="00000000" w:rsidRDefault="00A173A8">
            <w:pPr>
              <w:spacing w:after="100"/>
              <w:rPr>
                <w:rFonts w:eastAsia="Times New Roman"/>
                <w:sz w:val="20"/>
                <w:szCs w:val="20"/>
              </w:rPr>
            </w:pPr>
          </w:p>
        </w:tc>
      </w:tr>
      <w:tr w:rsidR="00000000" w14:paraId="13D426AC" w14:textId="77777777">
        <w:trPr>
          <w:divId w:val="1979724519"/>
        </w:trPr>
        <w:tc>
          <w:tcPr>
            <w:tcW w:w="0" w:type="auto"/>
            <w:gridSpan w:val="3"/>
            <w:tcMar>
              <w:top w:w="30" w:type="dxa"/>
              <w:left w:w="20" w:type="dxa"/>
              <w:bottom w:w="30" w:type="dxa"/>
              <w:right w:w="20" w:type="dxa"/>
            </w:tcMar>
            <w:vAlign w:val="bottom"/>
            <w:hideMark/>
          </w:tcPr>
          <w:p w14:paraId="5C498740"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BD6829C" w14:textId="77777777" w:rsidR="00000000" w:rsidRDefault="00A173A8">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3F5D64C7" w14:textId="77777777" w:rsidR="00000000" w:rsidRDefault="00A173A8">
            <w:pPr>
              <w:spacing w:after="100"/>
              <w:jc w:val="center"/>
              <w:rPr>
                <w:rFonts w:eastAsia="Times New Roman"/>
              </w:rPr>
            </w:pPr>
            <w:r>
              <w:rPr>
                <w:rFonts w:eastAsia="Times New Roman"/>
                <w:b/>
                <w:bCs/>
                <w:color w:val="000000"/>
                <w:sz w:val="16"/>
                <w:szCs w:val="16"/>
              </w:rPr>
              <w:t>Three Months Ended June 30,</w:t>
            </w:r>
          </w:p>
        </w:tc>
        <w:tc>
          <w:tcPr>
            <w:tcW w:w="0" w:type="auto"/>
            <w:vAlign w:val="center"/>
            <w:hideMark/>
          </w:tcPr>
          <w:p w14:paraId="7CEFF26B" w14:textId="77777777" w:rsidR="00000000" w:rsidRDefault="00A173A8">
            <w:pPr>
              <w:spacing w:after="100"/>
              <w:jc w:val="center"/>
              <w:rPr>
                <w:rFonts w:eastAsia="Times New Roman"/>
              </w:rPr>
            </w:pPr>
          </w:p>
        </w:tc>
        <w:tc>
          <w:tcPr>
            <w:tcW w:w="0" w:type="auto"/>
            <w:vAlign w:val="center"/>
            <w:hideMark/>
          </w:tcPr>
          <w:p w14:paraId="1C33E1B1" w14:textId="77777777" w:rsidR="00000000" w:rsidRDefault="00A173A8">
            <w:pPr>
              <w:spacing w:after="100"/>
              <w:rPr>
                <w:rFonts w:eastAsia="Times New Roman"/>
                <w:sz w:val="20"/>
                <w:szCs w:val="20"/>
              </w:rPr>
            </w:pPr>
          </w:p>
        </w:tc>
        <w:tc>
          <w:tcPr>
            <w:tcW w:w="0" w:type="auto"/>
            <w:gridSpan w:val="3"/>
            <w:vAlign w:val="center"/>
            <w:hideMark/>
          </w:tcPr>
          <w:p w14:paraId="0D660FA8" w14:textId="77777777" w:rsidR="00000000" w:rsidRDefault="00A173A8">
            <w:pPr>
              <w:spacing w:after="100"/>
              <w:rPr>
                <w:rFonts w:eastAsia="Times New Roman"/>
                <w:sz w:val="20"/>
                <w:szCs w:val="20"/>
              </w:rPr>
            </w:pPr>
          </w:p>
        </w:tc>
        <w:tc>
          <w:tcPr>
            <w:tcW w:w="0" w:type="auto"/>
            <w:gridSpan w:val="3"/>
            <w:vAlign w:val="center"/>
            <w:hideMark/>
          </w:tcPr>
          <w:p w14:paraId="1F735708" w14:textId="77777777" w:rsidR="00000000" w:rsidRDefault="00A173A8">
            <w:pPr>
              <w:spacing w:after="100"/>
              <w:rPr>
                <w:rFonts w:eastAsia="Times New Roman"/>
                <w:sz w:val="20"/>
                <w:szCs w:val="20"/>
              </w:rPr>
            </w:pPr>
          </w:p>
        </w:tc>
        <w:tc>
          <w:tcPr>
            <w:tcW w:w="0" w:type="auto"/>
            <w:gridSpan w:val="3"/>
            <w:vAlign w:val="center"/>
            <w:hideMark/>
          </w:tcPr>
          <w:p w14:paraId="26DE8DD2" w14:textId="77777777" w:rsidR="00000000" w:rsidRDefault="00A173A8">
            <w:pPr>
              <w:spacing w:after="100"/>
              <w:rPr>
                <w:rFonts w:eastAsia="Times New Roman"/>
                <w:sz w:val="20"/>
                <w:szCs w:val="20"/>
              </w:rPr>
            </w:pPr>
          </w:p>
        </w:tc>
        <w:tc>
          <w:tcPr>
            <w:tcW w:w="0" w:type="auto"/>
            <w:gridSpan w:val="3"/>
            <w:vAlign w:val="center"/>
            <w:hideMark/>
          </w:tcPr>
          <w:p w14:paraId="42F388CE" w14:textId="77777777" w:rsidR="00000000" w:rsidRDefault="00A173A8">
            <w:pPr>
              <w:spacing w:after="100"/>
              <w:rPr>
                <w:rFonts w:eastAsia="Times New Roman"/>
                <w:sz w:val="20"/>
                <w:szCs w:val="20"/>
              </w:rPr>
            </w:pPr>
          </w:p>
        </w:tc>
      </w:tr>
      <w:tr w:rsidR="00000000" w14:paraId="18FA7DD6" w14:textId="77777777">
        <w:trPr>
          <w:divId w:val="1979724519"/>
        </w:trPr>
        <w:tc>
          <w:tcPr>
            <w:tcW w:w="0" w:type="auto"/>
            <w:gridSpan w:val="3"/>
            <w:tcMar>
              <w:top w:w="30" w:type="dxa"/>
              <w:left w:w="20" w:type="dxa"/>
              <w:bottom w:w="30" w:type="dxa"/>
              <w:right w:w="20" w:type="dxa"/>
            </w:tcMar>
            <w:vAlign w:val="bottom"/>
            <w:hideMark/>
          </w:tcPr>
          <w:p w14:paraId="4CDC542C"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B9604F6" w14:textId="77777777" w:rsidR="00000000" w:rsidRDefault="00A173A8">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5491734"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00BE474"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34829AE"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vAlign w:val="center"/>
            <w:hideMark/>
          </w:tcPr>
          <w:p w14:paraId="4273D57F" w14:textId="77777777" w:rsidR="00000000" w:rsidRDefault="00A173A8">
            <w:pPr>
              <w:spacing w:after="100"/>
              <w:jc w:val="center"/>
              <w:rPr>
                <w:rFonts w:eastAsia="Times New Roman"/>
              </w:rPr>
            </w:pPr>
          </w:p>
        </w:tc>
        <w:tc>
          <w:tcPr>
            <w:tcW w:w="0" w:type="auto"/>
            <w:vAlign w:val="center"/>
            <w:hideMark/>
          </w:tcPr>
          <w:p w14:paraId="70D24871" w14:textId="77777777" w:rsidR="00000000" w:rsidRDefault="00A173A8">
            <w:pPr>
              <w:spacing w:after="100"/>
              <w:rPr>
                <w:rFonts w:eastAsia="Times New Roman"/>
                <w:sz w:val="20"/>
                <w:szCs w:val="20"/>
              </w:rPr>
            </w:pPr>
          </w:p>
        </w:tc>
        <w:tc>
          <w:tcPr>
            <w:tcW w:w="0" w:type="auto"/>
            <w:vAlign w:val="center"/>
            <w:hideMark/>
          </w:tcPr>
          <w:p w14:paraId="4E32190D" w14:textId="77777777" w:rsidR="00000000" w:rsidRDefault="00A173A8">
            <w:pPr>
              <w:spacing w:after="100"/>
              <w:rPr>
                <w:rFonts w:eastAsia="Times New Roman"/>
                <w:sz w:val="20"/>
                <w:szCs w:val="20"/>
              </w:rPr>
            </w:pPr>
          </w:p>
        </w:tc>
        <w:tc>
          <w:tcPr>
            <w:tcW w:w="0" w:type="auto"/>
            <w:vAlign w:val="center"/>
            <w:hideMark/>
          </w:tcPr>
          <w:p w14:paraId="72F7E741" w14:textId="77777777" w:rsidR="00000000" w:rsidRDefault="00A173A8">
            <w:pPr>
              <w:spacing w:after="100"/>
              <w:rPr>
                <w:rFonts w:eastAsia="Times New Roman"/>
                <w:sz w:val="20"/>
                <w:szCs w:val="20"/>
              </w:rPr>
            </w:pPr>
          </w:p>
        </w:tc>
        <w:tc>
          <w:tcPr>
            <w:tcW w:w="0" w:type="auto"/>
            <w:vAlign w:val="center"/>
            <w:hideMark/>
          </w:tcPr>
          <w:p w14:paraId="2B6F9928" w14:textId="77777777" w:rsidR="00000000" w:rsidRDefault="00A173A8">
            <w:pPr>
              <w:spacing w:after="100"/>
              <w:rPr>
                <w:rFonts w:eastAsia="Times New Roman"/>
                <w:sz w:val="20"/>
                <w:szCs w:val="20"/>
              </w:rPr>
            </w:pPr>
          </w:p>
        </w:tc>
        <w:tc>
          <w:tcPr>
            <w:tcW w:w="0" w:type="auto"/>
            <w:vAlign w:val="center"/>
            <w:hideMark/>
          </w:tcPr>
          <w:p w14:paraId="735366C6" w14:textId="77777777" w:rsidR="00000000" w:rsidRDefault="00A173A8">
            <w:pPr>
              <w:spacing w:after="100"/>
              <w:rPr>
                <w:rFonts w:eastAsia="Times New Roman"/>
                <w:sz w:val="20"/>
                <w:szCs w:val="20"/>
              </w:rPr>
            </w:pPr>
          </w:p>
        </w:tc>
        <w:tc>
          <w:tcPr>
            <w:tcW w:w="0" w:type="auto"/>
            <w:vAlign w:val="center"/>
            <w:hideMark/>
          </w:tcPr>
          <w:p w14:paraId="619AB290" w14:textId="77777777" w:rsidR="00000000" w:rsidRDefault="00A173A8">
            <w:pPr>
              <w:spacing w:after="100"/>
              <w:rPr>
                <w:rFonts w:eastAsia="Times New Roman"/>
                <w:sz w:val="20"/>
                <w:szCs w:val="20"/>
              </w:rPr>
            </w:pPr>
          </w:p>
        </w:tc>
        <w:tc>
          <w:tcPr>
            <w:tcW w:w="0" w:type="auto"/>
            <w:vAlign w:val="center"/>
            <w:hideMark/>
          </w:tcPr>
          <w:p w14:paraId="06C1293D" w14:textId="77777777" w:rsidR="00000000" w:rsidRDefault="00A173A8">
            <w:pPr>
              <w:spacing w:after="100"/>
              <w:rPr>
                <w:rFonts w:eastAsia="Times New Roman"/>
                <w:sz w:val="20"/>
                <w:szCs w:val="20"/>
              </w:rPr>
            </w:pPr>
          </w:p>
        </w:tc>
        <w:tc>
          <w:tcPr>
            <w:tcW w:w="0" w:type="auto"/>
            <w:vAlign w:val="center"/>
            <w:hideMark/>
          </w:tcPr>
          <w:p w14:paraId="3B57C45B" w14:textId="77777777" w:rsidR="00000000" w:rsidRDefault="00A173A8">
            <w:pPr>
              <w:spacing w:after="100"/>
              <w:rPr>
                <w:rFonts w:eastAsia="Times New Roman"/>
                <w:sz w:val="20"/>
                <w:szCs w:val="20"/>
              </w:rPr>
            </w:pPr>
          </w:p>
        </w:tc>
        <w:tc>
          <w:tcPr>
            <w:tcW w:w="0" w:type="auto"/>
            <w:vAlign w:val="center"/>
            <w:hideMark/>
          </w:tcPr>
          <w:p w14:paraId="31149D91" w14:textId="77777777" w:rsidR="00000000" w:rsidRDefault="00A173A8">
            <w:pPr>
              <w:spacing w:after="100"/>
              <w:rPr>
                <w:rFonts w:eastAsia="Times New Roman"/>
                <w:sz w:val="20"/>
                <w:szCs w:val="20"/>
              </w:rPr>
            </w:pPr>
          </w:p>
        </w:tc>
        <w:tc>
          <w:tcPr>
            <w:tcW w:w="0" w:type="auto"/>
            <w:vAlign w:val="center"/>
            <w:hideMark/>
          </w:tcPr>
          <w:p w14:paraId="7EED9A97" w14:textId="77777777" w:rsidR="00000000" w:rsidRDefault="00A173A8">
            <w:pPr>
              <w:spacing w:after="100"/>
              <w:rPr>
                <w:rFonts w:eastAsia="Times New Roman"/>
                <w:sz w:val="20"/>
                <w:szCs w:val="20"/>
              </w:rPr>
            </w:pPr>
          </w:p>
        </w:tc>
        <w:tc>
          <w:tcPr>
            <w:tcW w:w="0" w:type="auto"/>
            <w:vAlign w:val="center"/>
            <w:hideMark/>
          </w:tcPr>
          <w:p w14:paraId="7C5087AA" w14:textId="77777777" w:rsidR="00000000" w:rsidRDefault="00A173A8">
            <w:pPr>
              <w:spacing w:after="100"/>
              <w:rPr>
                <w:rFonts w:eastAsia="Times New Roman"/>
                <w:sz w:val="20"/>
                <w:szCs w:val="20"/>
              </w:rPr>
            </w:pPr>
          </w:p>
        </w:tc>
        <w:tc>
          <w:tcPr>
            <w:tcW w:w="0" w:type="auto"/>
            <w:vAlign w:val="center"/>
            <w:hideMark/>
          </w:tcPr>
          <w:p w14:paraId="38718BDB" w14:textId="77777777" w:rsidR="00000000" w:rsidRDefault="00A173A8">
            <w:pPr>
              <w:spacing w:after="100"/>
              <w:rPr>
                <w:rFonts w:eastAsia="Times New Roman"/>
                <w:sz w:val="20"/>
                <w:szCs w:val="20"/>
              </w:rPr>
            </w:pPr>
          </w:p>
        </w:tc>
        <w:tc>
          <w:tcPr>
            <w:tcW w:w="0" w:type="auto"/>
            <w:vAlign w:val="center"/>
            <w:hideMark/>
          </w:tcPr>
          <w:p w14:paraId="770F1737" w14:textId="77777777" w:rsidR="00000000" w:rsidRDefault="00A173A8">
            <w:pPr>
              <w:spacing w:after="100"/>
              <w:rPr>
                <w:rFonts w:eastAsia="Times New Roman"/>
                <w:sz w:val="20"/>
                <w:szCs w:val="20"/>
              </w:rPr>
            </w:pPr>
          </w:p>
        </w:tc>
      </w:tr>
      <w:tr w:rsidR="00000000" w14:paraId="72BA8530" w14:textId="77777777">
        <w:trPr>
          <w:divId w:val="1979724519"/>
        </w:trPr>
        <w:tc>
          <w:tcPr>
            <w:tcW w:w="0" w:type="auto"/>
            <w:gridSpan w:val="3"/>
            <w:tcMar>
              <w:top w:w="30" w:type="dxa"/>
              <w:left w:w="20" w:type="dxa"/>
              <w:bottom w:w="30" w:type="dxa"/>
              <w:right w:w="20" w:type="dxa"/>
            </w:tcMar>
            <w:vAlign w:val="bottom"/>
            <w:hideMark/>
          </w:tcPr>
          <w:p w14:paraId="5CBA4119"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0604B6C"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3A6B4A" w14:textId="77777777" w:rsidR="00000000" w:rsidRDefault="00A173A8">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1132D5DE"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437346" w14:textId="77777777" w:rsidR="00000000" w:rsidRDefault="00A173A8">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44AA252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6082D7" w14:textId="77777777" w:rsidR="00000000" w:rsidRDefault="00A173A8">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r>
            <w:r>
              <w:rPr>
                <w:rFonts w:eastAsia="Times New Roman"/>
                <w:b/>
                <w:bCs/>
                <w:color w:val="000000"/>
                <w:sz w:val="16"/>
                <w:szCs w:val="16"/>
              </w:rPr>
              <w:t>Tax</w:t>
            </w:r>
          </w:p>
        </w:tc>
        <w:tc>
          <w:tcPr>
            <w:tcW w:w="0" w:type="auto"/>
            <w:gridSpan w:val="3"/>
            <w:tcMar>
              <w:top w:w="0" w:type="dxa"/>
              <w:left w:w="20" w:type="dxa"/>
              <w:bottom w:w="0" w:type="dxa"/>
              <w:right w:w="20" w:type="dxa"/>
            </w:tcMar>
            <w:vAlign w:val="center"/>
            <w:hideMark/>
          </w:tcPr>
          <w:p w14:paraId="67884FFD"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718D99" w14:textId="77777777" w:rsidR="00000000" w:rsidRDefault="00A173A8">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66522DFA"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BAB259" w14:textId="77777777" w:rsidR="00000000" w:rsidRDefault="00A173A8">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0A58FB11"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A48309" w14:textId="77777777" w:rsidR="00000000" w:rsidRDefault="00A173A8">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vAlign w:val="center"/>
            <w:hideMark/>
          </w:tcPr>
          <w:p w14:paraId="4C43AB2A" w14:textId="77777777" w:rsidR="00000000" w:rsidRDefault="00A173A8">
            <w:pPr>
              <w:spacing w:after="100"/>
              <w:jc w:val="center"/>
              <w:rPr>
                <w:rFonts w:eastAsia="Times New Roman"/>
              </w:rPr>
            </w:pPr>
          </w:p>
        </w:tc>
        <w:tc>
          <w:tcPr>
            <w:tcW w:w="0" w:type="auto"/>
            <w:vAlign w:val="center"/>
            <w:hideMark/>
          </w:tcPr>
          <w:p w14:paraId="5B0A3B41" w14:textId="77777777" w:rsidR="00000000" w:rsidRDefault="00A173A8">
            <w:pPr>
              <w:spacing w:after="100"/>
              <w:rPr>
                <w:rFonts w:eastAsia="Times New Roman"/>
                <w:sz w:val="20"/>
                <w:szCs w:val="20"/>
              </w:rPr>
            </w:pPr>
          </w:p>
        </w:tc>
        <w:tc>
          <w:tcPr>
            <w:tcW w:w="0" w:type="auto"/>
            <w:gridSpan w:val="3"/>
            <w:vAlign w:val="center"/>
            <w:hideMark/>
          </w:tcPr>
          <w:p w14:paraId="32901404" w14:textId="77777777" w:rsidR="00000000" w:rsidRDefault="00A173A8">
            <w:pPr>
              <w:spacing w:after="100"/>
              <w:rPr>
                <w:rFonts w:eastAsia="Times New Roman"/>
                <w:sz w:val="20"/>
                <w:szCs w:val="20"/>
              </w:rPr>
            </w:pPr>
          </w:p>
        </w:tc>
        <w:tc>
          <w:tcPr>
            <w:tcW w:w="0" w:type="auto"/>
            <w:gridSpan w:val="3"/>
            <w:vAlign w:val="center"/>
            <w:hideMark/>
          </w:tcPr>
          <w:p w14:paraId="5C5CAA67" w14:textId="77777777" w:rsidR="00000000" w:rsidRDefault="00A173A8">
            <w:pPr>
              <w:spacing w:after="100"/>
              <w:rPr>
                <w:rFonts w:eastAsia="Times New Roman"/>
                <w:sz w:val="20"/>
                <w:szCs w:val="20"/>
              </w:rPr>
            </w:pPr>
          </w:p>
        </w:tc>
        <w:tc>
          <w:tcPr>
            <w:tcW w:w="0" w:type="auto"/>
            <w:gridSpan w:val="3"/>
            <w:vAlign w:val="center"/>
            <w:hideMark/>
          </w:tcPr>
          <w:p w14:paraId="6A022029" w14:textId="77777777" w:rsidR="00000000" w:rsidRDefault="00A173A8">
            <w:pPr>
              <w:spacing w:after="100"/>
              <w:rPr>
                <w:rFonts w:eastAsia="Times New Roman"/>
                <w:sz w:val="20"/>
                <w:szCs w:val="20"/>
              </w:rPr>
            </w:pPr>
          </w:p>
        </w:tc>
        <w:tc>
          <w:tcPr>
            <w:tcW w:w="0" w:type="auto"/>
            <w:gridSpan w:val="3"/>
            <w:vAlign w:val="center"/>
            <w:hideMark/>
          </w:tcPr>
          <w:p w14:paraId="6E98B090" w14:textId="77777777" w:rsidR="00000000" w:rsidRDefault="00A173A8">
            <w:pPr>
              <w:spacing w:after="100"/>
              <w:rPr>
                <w:rFonts w:eastAsia="Times New Roman"/>
                <w:sz w:val="20"/>
                <w:szCs w:val="20"/>
              </w:rPr>
            </w:pPr>
          </w:p>
        </w:tc>
      </w:tr>
      <w:tr w:rsidR="00000000" w14:paraId="0DEC9325" w14:textId="77777777">
        <w:trPr>
          <w:divId w:val="197972451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8946C75" w14:textId="77777777" w:rsidR="00000000" w:rsidRDefault="00A173A8">
            <w:pPr>
              <w:spacing w:after="100"/>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14:paraId="7111C59A" w14:textId="77777777" w:rsidR="00000000" w:rsidRDefault="00A173A8">
            <w:pPr>
              <w:spacing w:after="100"/>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D6A3F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5C769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3F875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378BF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02470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6B6A0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D0496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9C64E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D8017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BDA66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A655CD" w14:textId="77777777" w:rsidR="00000000" w:rsidRDefault="00A173A8">
            <w:pPr>
              <w:spacing w:after="100"/>
              <w:rPr>
                <w:rFonts w:eastAsia="Times New Roman"/>
                <w:sz w:val="20"/>
                <w:szCs w:val="20"/>
              </w:rPr>
            </w:pPr>
          </w:p>
        </w:tc>
        <w:tc>
          <w:tcPr>
            <w:tcW w:w="0" w:type="auto"/>
            <w:vAlign w:val="center"/>
            <w:hideMark/>
          </w:tcPr>
          <w:p w14:paraId="293667C6" w14:textId="77777777" w:rsidR="00000000" w:rsidRDefault="00A173A8">
            <w:pPr>
              <w:spacing w:after="100"/>
              <w:rPr>
                <w:rFonts w:eastAsia="Times New Roman"/>
                <w:sz w:val="20"/>
                <w:szCs w:val="20"/>
              </w:rPr>
            </w:pPr>
          </w:p>
        </w:tc>
        <w:tc>
          <w:tcPr>
            <w:tcW w:w="0" w:type="auto"/>
            <w:vAlign w:val="center"/>
            <w:hideMark/>
          </w:tcPr>
          <w:p w14:paraId="2737E9A7" w14:textId="77777777" w:rsidR="00000000" w:rsidRDefault="00A173A8">
            <w:pPr>
              <w:spacing w:after="100"/>
              <w:rPr>
                <w:rFonts w:eastAsia="Times New Roman"/>
                <w:sz w:val="20"/>
                <w:szCs w:val="20"/>
              </w:rPr>
            </w:pPr>
          </w:p>
        </w:tc>
        <w:tc>
          <w:tcPr>
            <w:tcW w:w="0" w:type="auto"/>
            <w:gridSpan w:val="3"/>
            <w:vAlign w:val="center"/>
            <w:hideMark/>
          </w:tcPr>
          <w:p w14:paraId="270B7387" w14:textId="77777777" w:rsidR="00000000" w:rsidRDefault="00A173A8">
            <w:pPr>
              <w:spacing w:after="100"/>
              <w:rPr>
                <w:rFonts w:eastAsia="Times New Roman"/>
                <w:sz w:val="20"/>
                <w:szCs w:val="20"/>
              </w:rPr>
            </w:pPr>
          </w:p>
        </w:tc>
        <w:tc>
          <w:tcPr>
            <w:tcW w:w="0" w:type="auto"/>
            <w:gridSpan w:val="3"/>
            <w:vAlign w:val="center"/>
            <w:hideMark/>
          </w:tcPr>
          <w:p w14:paraId="7D5BBCEF" w14:textId="77777777" w:rsidR="00000000" w:rsidRDefault="00A173A8">
            <w:pPr>
              <w:spacing w:after="100"/>
              <w:rPr>
                <w:rFonts w:eastAsia="Times New Roman"/>
                <w:sz w:val="20"/>
                <w:szCs w:val="20"/>
              </w:rPr>
            </w:pPr>
          </w:p>
        </w:tc>
        <w:tc>
          <w:tcPr>
            <w:tcW w:w="0" w:type="auto"/>
            <w:gridSpan w:val="3"/>
            <w:vAlign w:val="center"/>
            <w:hideMark/>
          </w:tcPr>
          <w:p w14:paraId="436C142F" w14:textId="77777777" w:rsidR="00000000" w:rsidRDefault="00A173A8">
            <w:pPr>
              <w:spacing w:after="100"/>
              <w:rPr>
                <w:rFonts w:eastAsia="Times New Roman"/>
                <w:sz w:val="20"/>
                <w:szCs w:val="20"/>
              </w:rPr>
            </w:pPr>
          </w:p>
        </w:tc>
        <w:tc>
          <w:tcPr>
            <w:tcW w:w="0" w:type="auto"/>
            <w:gridSpan w:val="3"/>
            <w:vAlign w:val="center"/>
            <w:hideMark/>
          </w:tcPr>
          <w:p w14:paraId="244F368D" w14:textId="77777777" w:rsidR="00000000" w:rsidRDefault="00A173A8">
            <w:pPr>
              <w:spacing w:after="100"/>
              <w:rPr>
                <w:rFonts w:eastAsia="Times New Roman"/>
                <w:sz w:val="20"/>
                <w:szCs w:val="20"/>
              </w:rPr>
            </w:pPr>
          </w:p>
        </w:tc>
      </w:tr>
      <w:tr w:rsidR="00000000" w14:paraId="6B3057A7" w14:textId="77777777">
        <w:trPr>
          <w:divId w:val="1979724519"/>
        </w:trPr>
        <w:tc>
          <w:tcPr>
            <w:tcW w:w="0" w:type="auto"/>
            <w:gridSpan w:val="3"/>
            <w:shd w:val="clear" w:color="auto" w:fill="FFFFFF"/>
            <w:tcMar>
              <w:top w:w="30" w:type="dxa"/>
              <w:left w:w="20" w:type="dxa"/>
              <w:bottom w:w="30" w:type="dxa"/>
              <w:right w:w="20" w:type="dxa"/>
            </w:tcMar>
            <w:vAlign w:val="center"/>
            <w:hideMark/>
          </w:tcPr>
          <w:p w14:paraId="47D5B6B3" w14:textId="77777777" w:rsidR="00000000" w:rsidRDefault="00A173A8">
            <w:pPr>
              <w:spacing w:after="100"/>
              <w:rPr>
                <w:rFonts w:eastAsia="Times New Roman"/>
              </w:rPr>
            </w:pPr>
            <w:r>
              <w:rPr>
                <w:rFonts w:eastAsia="Times New Roman"/>
                <w:color w:val="000000"/>
                <w:sz w:val="18"/>
                <w:szCs w:val="18"/>
              </w:rPr>
              <w:t>Net unrealized gains (losses) on securities available for sale</w:t>
            </w:r>
          </w:p>
        </w:tc>
        <w:tc>
          <w:tcPr>
            <w:tcW w:w="0" w:type="auto"/>
            <w:gridSpan w:val="3"/>
            <w:shd w:val="clear" w:color="auto" w:fill="FFFFFF"/>
            <w:tcMar>
              <w:top w:w="0" w:type="dxa"/>
              <w:left w:w="20" w:type="dxa"/>
              <w:bottom w:w="0" w:type="dxa"/>
              <w:right w:w="20" w:type="dxa"/>
            </w:tcMar>
            <w:vAlign w:val="center"/>
            <w:hideMark/>
          </w:tcPr>
          <w:p w14:paraId="6CCEDD12"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703F8E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4E703EAF" w14:textId="77777777" w:rsidR="00000000" w:rsidRDefault="00A173A8">
            <w:pPr>
              <w:spacing w:after="100"/>
              <w:jc w:val="right"/>
              <w:rPr>
                <w:rFonts w:eastAsia="Times New Roman"/>
              </w:rPr>
            </w:pPr>
            <w:r>
              <w:rPr>
                <w:rFonts w:eastAsia="Times New Roman"/>
                <w:b/>
                <w:bCs/>
                <w:color w:val="000000"/>
                <w:sz w:val="18"/>
                <w:szCs w:val="18"/>
              </w:rPr>
              <w:t>(3,012)</w:t>
            </w:r>
          </w:p>
        </w:tc>
        <w:tc>
          <w:tcPr>
            <w:tcW w:w="0" w:type="auto"/>
            <w:shd w:val="clear" w:color="auto" w:fill="FFFFFF"/>
            <w:tcMar>
              <w:top w:w="30" w:type="dxa"/>
              <w:left w:w="0" w:type="dxa"/>
              <w:bottom w:w="30" w:type="dxa"/>
              <w:right w:w="20" w:type="dxa"/>
            </w:tcMar>
            <w:vAlign w:val="bottom"/>
            <w:hideMark/>
          </w:tcPr>
          <w:p w14:paraId="4321A31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A187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0A9EFE"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98274F9" w14:textId="77777777" w:rsidR="00000000" w:rsidRDefault="00A173A8">
            <w:pPr>
              <w:spacing w:after="100"/>
              <w:jc w:val="right"/>
              <w:rPr>
                <w:rFonts w:eastAsia="Times New Roman"/>
              </w:rPr>
            </w:pPr>
            <w:r>
              <w:rPr>
                <w:rFonts w:eastAsia="Times New Roman"/>
                <w:b/>
                <w:bCs/>
                <w:color w:val="000000"/>
                <w:sz w:val="18"/>
                <w:szCs w:val="18"/>
              </w:rPr>
              <w:t>(724)</w:t>
            </w:r>
          </w:p>
        </w:tc>
        <w:tc>
          <w:tcPr>
            <w:tcW w:w="0" w:type="auto"/>
            <w:shd w:val="clear" w:color="auto" w:fill="FFFFFF"/>
            <w:tcMar>
              <w:top w:w="30" w:type="dxa"/>
              <w:left w:w="0" w:type="dxa"/>
              <w:bottom w:w="30" w:type="dxa"/>
              <w:right w:w="20" w:type="dxa"/>
            </w:tcMar>
            <w:vAlign w:val="bottom"/>
            <w:hideMark/>
          </w:tcPr>
          <w:p w14:paraId="1CCE7AA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443EC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29E1B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AC40503" w14:textId="77777777" w:rsidR="00000000" w:rsidRDefault="00A173A8">
            <w:pPr>
              <w:spacing w:after="100"/>
              <w:jc w:val="right"/>
              <w:rPr>
                <w:rFonts w:eastAsia="Times New Roman"/>
              </w:rPr>
            </w:pPr>
            <w:r>
              <w:rPr>
                <w:rFonts w:eastAsia="Times New Roman"/>
                <w:b/>
                <w:bCs/>
                <w:color w:val="000000"/>
                <w:sz w:val="18"/>
                <w:szCs w:val="18"/>
              </w:rPr>
              <w:t>(2,288)</w:t>
            </w:r>
          </w:p>
        </w:tc>
        <w:tc>
          <w:tcPr>
            <w:tcW w:w="0" w:type="auto"/>
            <w:shd w:val="clear" w:color="auto" w:fill="FFFFFF"/>
            <w:tcMar>
              <w:top w:w="30" w:type="dxa"/>
              <w:left w:w="0" w:type="dxa"/>
              <w:bottom w:w="30" w:type="dxa"/>
              <w:right w:w="20" w:type="dxa"/>
            </w:tcMar>
            <w:vAlign w:val="bottom"/>
            <w:hideMark/>
          </w:tcPr>
          <w:p w14:paraId="0D01296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9DD15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1750C03"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25AB046" w14:textId="77777777" w:rsidR="00000000" w:rsidRDefault="00A173A8">
            <w:pPr>
              <w:spacing w:after="100"/>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14:paraId="2C2942E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93B3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627565"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D3E5C30" w14:textId="77777777" w:rsidR="00000000" w:rsidRDefault="00A173A8">
            <w:pPr>
              <w:spacing w:after="100"/>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14:paraId="4C6375A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4735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E8850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4442386" w14:textId="77777777" w:rsidR="00000000" w:rsidRDefault="00A173A8">
            <w:pPr>
              <w:spacing w:after="100"/>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bottom"/>
            <w:hideMark/>
          </w:tcPr>
          <w:p w14:paraId="2513BE8C" w14:textId="77777777" w:rsidR="00000000" w:rsidRDefault="00A173A8">
            <w:pPr>
              <w:spacing w:after="100"/>
              <w:jc w:val="right"/>
              <w:rPr>
                <w:rFonts w:eastAsia="Times New Roman"/>
              </w:rPr>
            </w:pPr>
          </w:p>
        </w:tc>
        <w:tc>
          <w:tcPr>
            <w:tcW w:w="0" w:type="auto"/>
            <w:vAlign w:val="center"/>
            <w:hideMark/>
          </w:tcPr>
          <w:p w14:paraId="0181C5CC" w14:textId="77777777" w:rsidR="00000000" w:rsidRDefault="00A173A8">
            <w:pPr>
              <w:spacing w:after="100"/>
              <w:jc w:val="right"/>
              <w:rPr>
                <w:rFonts w:eastAsia="Times New Roman"/>
                <w:sz w:val="20"/>
                <w:szCs w:val="20"/>
              </w:rPr>
            </w:pPr>
          </w:p>
        </w:tc>
        <w:tc>
          <w:tcPr>
            <w:tcW w:w="0" w:type="auto"/>
            <w:vAlign w:val="center"/>
            <w:hideMark/>
          </w:tcPr>
          <w:p w14:paraId="6A8DDAC7" w14:textId="77777777" w:rsidR="00000000" w:rsidRDefault="00A173A8">
            <w:pPr>
              <w:spacing w:after="100"/>
              <w:rPr>
                <w:rFonts w:eastAsia="Times New Roman"/>
                <w:sz w:val="20"/>
                <w:szCs w:val="20"/>
              </w:rPr>
            </w:pPr>
          </w:p>
        </w:tc>
        <w:tc>
          <w:tcPr>
            <w:tcW w:w="0" w:type="auto"/>
            <w:gridSpan w:val="3"/>
            <w:vAlign w:val="center"/>
            <w:hideMark/>
          </w:tcPr>
          <w:p w14:paraId="5F0F02EC" w14:textId="77777777" w:rsidR="00000000" w:rsidRDefault="00A173A8">
            <w:pPr>
              <w:spacing w:after="100"/>
              <w:rPr>
                <w:rFonts w:eastAsia="Times New Roman"/>
                <w:sz w:val="20"/>
                <w:szCs w:val="20"/>
              </w:rPr>
            </w:pPr>
          </w:p>
        </w:tc>
        <w:tc>
          <w:tcPr>
            <w:tcW w:w="0" w:type="auto"/>
            <w:gridSpan w:val="3"/>
            <w:vAlign w:val="center"/>
            <w:hideMark/>
          </w:tcPr>
          <w:p w14:paraId="5DEFFBFD" w14:textId="77777777" w:rsidR="00000000" w:rsidRDefault="00A173A8">
            <w:pPr>
              <w:spacing w:after="100"/>
              <w:rPr>
                <w:rFonts w:eastAsia="Times New Roman"/>
                <w:sz w:val="20"/>
                <w:szCs w:val="20"/>
              </w:rPr>
            </w:pPr>
          </w:p>
        </w:tc>
        <w:tc>
          <w:tcPr>
            <w:tcW w:w="0" w:type="auto"/>
            <w:gridSpan w:val="3"/>
            <w:vAlign w:val="center"/>
            <w:hideMark/>
          </w:tcPr>
          <w:p w14:paraId="5AA2F419" w14:textId="77777777" w:rsidR="00000000" w:rsidRDefault="00A173A8">
            <w:pPr>
              <w:spacing w:after="100"/>
              <w:rPr>
                <w:rFonts w:eastAsia="Times New Roman"/>
                <w:sz w:val="20"/>
                <w:szCs w:val="20"/>
              </w:rPr>
            </w:pPr>
          </w:p>
        </w:tc>
        <w:tc>
          <w:tcPr>
            <w:tcW w:w="0" w:type="auto"/>
            <w:gridSpan w:val="3"/>
            <w:vAlign w:val="center"/>
            <w:hideMark/>
          </w:tcPr>
          <w:p w14:paraId="387B3F18" w14:textId="77777777" w:rsidR="00000000" w:rsidRDefault="00A173A8">
            <w:pPr>
              <w:spacing w:after="100"/>
              <w:rPr>
                <w:rFonts w:eastAsia="Times New Roman"/>
                <w:sz w:val="20"/>
                <w:szCs w:val="20"/>
              </w:rPr>
            </w:pPr>
          </w:p>
        </w:tc>
      </w:tr>
      <w:tr w:rsidR="00000000" w14:paraId="5038C9F4" w14:textId="77777777">
        <w:trPr>
          <w:divId w:val="1979724519"/>
        </w:trPr>
        <w:tc>
          <w:tcPr>
            <w:tcW w:w="0" w:type="auto"/>
            <w:gridSpan w:val="3"/>
            <w:shd w:val="clear" w:color="auto" w:fill="CCEEFF"/>
            <w:tcMar>
              <w:top w:w="30" w:type="dxa"/>
              <w:left w:w="20" w:type="dxa"/>
              <w:bottom w:w="30" w:type="dxa"/>
              <w:right w:w="20" w:type="dxa"/>
            </w:tcMar>
            <w:vAlign w:val="center"/>
            <w:hideMark/>
          </w:tcPr>
          <w:p w14:paraId="389F9D00" w14:textId="77777777" w:rsidR="00000000" w:rsidRDefault="00A173A8">
            <w:pPr>
              <w:spacing w:after="100"/>
              <w:rPr>
                <w:rFonts w:eastAsia="Times New Roman"/>
              </w:rPr>
            </w:pPr>
            <w:r>
              <w:rPr>
                <w:rFonts w:eastAsia="Times New Roman"/>
                <w:color w:val="000000"/>
                <w:sz w:val="18"/>
                <w:szCs w:val="18"/>
              </w:rPr>
              <w:t>Net unrealized losses on hedging relationships</w:t>
            </w:r>
          </w:p>
        </w:tc>
        <w:tc>
          <w:tcPr>
            <w:tcW w:w="0" w:type="auto"/>
            <w:gridSpan w:val="3"/>
            <w:shd w:val="clear" w:color="auto" w:fill="CCEEFF"/>
            <w:tcMar>
              <w:top w:w="0" w:type="dxa"/>
              <w:left w:w="20" w:type="dxa"/>
              <w:bottom w:w="0" w:type="dxa"/>
              <w:right w:w="20" w:type="dxa"/>
            </w:tcMar>
            <w:vAlign w:val="center"/>
            <w:hideMark/>
          </w:tcPr>
          <w:p w14:paraId="5E56E23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3224D0" w14:textId="77777777" w:rsidR="00000000" w:rsidRDefault="00A173A8">
            <w:pPr>
              <w:spacing w:after="100"/>
              <w:jc w:val="right"/>
              <w:rPr>
                <w:rFonts w:eastAsia="Times New Roman"/>
              </w:rPr>
            </w:pPr>
            <w:r>
              <w:rPr>
                <w:rFonts w:eastAsia="Times New Roman"/>
                <w:b/>
                <w:bCs/>
                <w:color w:val="000000"/>
                <w:sz w:val="18"/>
                <w:szCs w:val="18"/>
              </w:rPr>
              <w:t>(634)</w:t>
            </w:r>
          </w:p>
        </w:tc>
        <w:tc>
          <w:tcPr>
            <w:tcW w:w="0" w:type="auto"/>
            <w:shd w:val="clear" w:color="auto" w:fill="CCEEFF"/>
            <w:tcMar>
              <w:top w:w="30" w:type="dxa"/>
              <w:left w:w="0" w:type="dxa"/>
              <w:bottom w:w="30" w:type="dxa"/>
              <w:right w:w="20" w:type="dxa"/>
            </w:tcMar>
            <w:vAlign w:val="bottom"/>
            <w:hideMark/>
          </w:tcPr>
          <w:p w14:paraId="0CBB139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EA202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14646" w14:textId="77777777" w:rsidR="00000000" w:rsidRDefault="00A173A8">
            <w:pPr>
              <w:spacing w:after="100"/>
              <w:jc w:val="right"/>
              <w:rPr>
                <w:rFonts w:eastAsia="Times New Roman"/>
              </w:rPr>
            </w:pPr>
            <w:r>
              <w:rPr>
                <w:rFonts w:eastAsia="Times New Roman"/>
                <w:b/>
                <w:bCs/>
                <w:color w:val="000000"/>
                <w:sz w:val="18"/>
                <w:szCs w:val="18"/>
              </w:rPr>
              <w:t>(151)</w:t>
            </w:r>
          </w:p>
        </w:tc>
        <w:tc>
          <w:tcPr>
            <w:tcW w:w="0" w:type="auto"/>
            <w:shd w:val="clear" w:color="auto" w:fill="CCEEFF"/>
            <w:tcMar>
              <w:top w:w="30" w:type="dxa"/>
              <w:left w:w="0" w:type="dxa"/>
              <w:bottom w:w="30" w:type="dxa"/>
              <w:right w:w="20" w:type="dxa"/>
            </w:tcMar>
            <w:vAlign w:val="bottom"/>
            <w:hideMark/>
          </w:tcPr>
          <w:p w14:paraId="0451C2E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DBDE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5A248C" w14:textId="77777777" w:rsidR="00000000" w:rsidRDefault="00A173A8">
            <w:pPr>
              <w:spacing w:after="100"/>
              <w:jc w:val="right"/>
              <w:rPr>
                <w:rFonts w:eastAsia="Times New Roman"/>
              </w:rPr>
            </w:pPr>
            <w:r>
              <w:rPr>
                <w:rFonts w:eastAsia="Times New Roman"/>
                <w:b/>
                <w:bCs/>
                <w:color w:val="000000"/>
                <w:sz w:val="18"/>
                <w:szCs w:val="18"/>
              </w:rPr>
              <w:t>(483)</w:t>
            </w:r>
          </w:p>
        </w:tc>
        <w:tc>
          <w:tcPr>
            <w:tcW w:w="0" w:type="auto"/>
            <w:shd w:val="clear" w:color="auto" w:fill="CCEEFF"/>
            <w:tcMar>
              <w:top w:w="30" w:type="dxa"/>
              <w:left w:w="0" w:type="dxa"/>
              <w:bottom w:w="30" w:type="dxa"/>
              <w:right w:w="20" w:type="dxa"/>
            </w:tcMar>
            <w:vAlign w:val="bottom"/>
            <w:hideMark/>
          </w:tcPr>
          <w:p w14:paraId="3838F77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7A333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BE4E0" w14:textId="77777777" w:rsidR="00000000" w:rsidRDefault="00A173A8">
            <w:pPr>
              <w:spacing w:after="100"/>
              <w:jc w:val="right"/>
              <w:rPr>
                <w:rFonts w:eastAsia="Times New Roman"/>
              </w:rPr>
            </w:pPr>
            <w:r>
              <w:rPr>
                <w:rFonts w:eastAsia="Times New Roman"/>
                <w:color w:val="000000"/>
                <w:sz w:val="18"/>
                <w:szCs w:val="18"/>
              </w:rPr>
              <w:t>(68)</w:t>
            </w:r>
          </w:p>
        </w:tc>
        <w:tc>
          <w:tcPr>
            <w:tcW w:w="0" w:type="auto"/>
            <w:shd w:val="clear" w:color="auto" w:fill="CCEEFF"/>
            <w:tcMar>
              <w:top w:w="30" w:type="dxa"/>
              <w:left w:w="0" w:type="dxa"/>
              <w:bottom w:w="30" w:type="dxa"/>
              <w:right w:w="20" w:type="dxa"/>
            </w:tcMar>
            <w:vAlign w:val="bottom"/>
            <w:hideMark/>
          </w:tcPr>
          <w:p w14:paraId="1E5857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5C95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DA06F0" w14:textId="77777777" w:rsidR="00000000" w:rsidRDefault="00A173A8">
            <w:pPr>
              <w:spacing w:after="100"/>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14:paraId="1B491A7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8891E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51585A" w14:textId="77777777" w:rsidR="00000000" w:rsidRDefault="00A173A8">
            <w:pPr>
              <w:spacing w:after="100"/>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bottom"/>
            <w:hideMark/>
          </w:tcPr>
          <w:p w14:paraId="23B758F4" w14:textId="77777777" w:rsidR="00000000" w:rsidRDefault="00A173A8">
            <w:pPr>
              <w:spacing w:after="100"/>
              <w:jc w:val="right"/>
              <w:rPr>
                <w:rFonts w:eastAsia="Times New Roman"/>
              </w:rPr>
            </w:pPr>
          </w:p>
        </w:tc>
        <w:tc>
          <w:tcPr>
            <w:tcW w:w="0" w:type="auto"/>
            <w:vAlign w:val="center"/>
            <w:hideMark/>
          </w:tcPr>
          <w:p w14:paraId="4BDC3D77" w14:textId="77777777" w:rsidR="00000000" w:rsidRDefault="00A173A8">
            <w:pPr>
              <w:spacing w:after="100"/>
              <w:jc w:val="right"/>
              <w:rPr>
                <w:rFonts w:eastAsia="Times New Roman"/>
                <w:sz w:val="20"/>
                <w:szCs w:val="20"/>
              </w:rPr>
            </w:pPr>
          </w:p>
        </w:tc>
        <w:tc>
          <w:tcPr>
            <w:tcW w:w="0" w:type="auto"/>
            <w:vAlign w:val="center"/>
            <w:hideMark/>
          </w:tcPr>
          <w:p w14:paraId="5B2EDA3E" w14:textId="77777777" w:rsidR="00000000" w:rsidRDefault="00A173A8">
            <w:pPr>
              <w:spacing w:after="100"/>
              <w:rPr>
                <w:rFonts w:eastAsia="Times New Roman"/>
                <w:sz w:val="20"/>
                <w:szCs w:val="20"/>
              </w:rPr>
            </w:pPr>
          </w:p>
        </w:tc>
        <w:tc>
          <w:tcPr>
            <w:tcW w:w="0" w:type="auto"/>
            <w:gridSpan w:val="3"/>
            <w:vAlign w:val="center"/>
            <w:hideMark/>
          </w:tcPr>
          <w:p w14:paraId="2F775876" w14:textId="77777777" w:rsidR="00000000" w:rsidRDefault="00A173A8">
            <w:pPr>
              <w:spacing w:after="100"/>
              <w:rPr>
                <w:rFonts w:eastAsia="Times New Roman"/>
                <w:sz w:val="20"/>
                <w:szCs w:val="20"/>
              </w:rPr>
            </w:pPr>
          </w:p>
        </w:tc>
        <w:tc>
          <w:tcPr>
            <w:tcW w:w="0" w:type="auto"/>
            <w:gridSpan w:val="3"/>
            <w:vAlign w:val="center"/>
            <w:hideMark/>
          </w:tcPr>
          <w:p w14:paraId="10897BD7" w14:textId="77777777" w:rsidR="00000000" w:rsidRDefault="00A173A8">
            <w:pPr>
              <w:spacing w:after="100"/>
              <w:rPr>
                <w:rFonts w:eastAsia="Times New Roman"/>
                <w:sz w:val="20"/>
                <w:szCs w:val="20"/>
              </w:rPr>
            </w:pPr>
          </w:p>
        </w:tc>
        <w:tc>
          <w:tcPr>
            <w:tcW w:w="0" w:type="auto"/>
            <w:gridSpan w:val="3"/>
            <w:vAlign w:val="center"/>
            <w:hideMark/>
          </w:tcPr>
          <w:p w14:paraId="056099D6" w14:textId="77777777" w:rsidR="00000000" w:rsidRDefault="00A173A8">
            <w:pPr>
              <w:spacing w:after="100"/>
              <w:rPr>
                <w:rFonts w:eastAsia="Times New Roman"/>
                <w:sz w:val="20"/>
                <w:szCs w:val="20"/>
              </w:rPr>
            </w:pPr>
          </w:p>
        </w:tc>
        <w:tc>
          <w:tcPr>
            <w:tcW w:w="0" w:type="auto"/>
            <w:gridSpan w:val="3"/>
            <w:vAlign w:val="center"/>
            <w:hideMark/>
          </w:tcPr>
          <w:p w14:paraId="65FA5918" w14:textId="77777777" w:rsidR="00000000" w:rsidRDefault="00A173A8">
            <w:pPr>
              <w:spacing w:after="100"/>
              <w:rPr>
                <w:rFonts w:eastAsia="Times New Roman"/>
                <w:sz w:val="20"/>
                <w:szCs w:val="20"/>
              </w:rPr>
            </w:pPr>
          </w:p>
        </w:tc>
      </w:tr>
      <w:tr w:rsidR="00000000" w14:paraId="74433BF2" w14:textId="77777777">
        <w:trPr>
          <w:divId w:val="1979724519"/>
        </w:trPr>
        <w:tc>
          <w:tcPr>
            <w:tcW w:w="0" w:type="auto"/>
            <w:gridSpan w:val="3"/>
            <w:shd w:val="clear" w:color="auto" w:fill="FFFFFF"/>
            <w:tcMar>
              <w:top w:w="30" w:type="dxa"/>
              <w:left w:w="20" w:type="dxa"/>
              <w:bottom w:w="30" w:type="dxa"/>
              <w:right w:w="20" w:type="dxa"/>
            </w:tcMar>
            <w:vAlign w:val="center"/>
            <w:hideMark/>
          </w:tcPr>
          <w:p w14:paraId="2DA8867C" w14:textId="77777777" w:rsidR="00000000" w:rsidRDefault="00A173A8">
            <w:pPr>
              <w:spacing w:after="100"/>
              <w:divId w:val="933131548"/>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53C0BA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97DFE1"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74AF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4156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65BA4E" w14:textId="77777777" w:rsidR="00000000" w:rsidRDefault="00A173A8">
            <w:pPr>
              <w:spacing w:after="100"/>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4A90A6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17AA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CBDD1F" w14:textId="77777777" w:rsidR="00000000" w:rsidRDefault="00A173A8">
            <w:pPr>
              <w:spacing w:after="100"/>
              <w:jc w:val="right"/>
              <w:rPr>
                <w:rFonts w:eastAsia="Times New Roman"/>
              </w:rPr>
            </w:pPr>
            <w:r>
              <w:rPr>
                <w:rFonts w:eastAsia="Times New Roman"/>
                <w:b/>
                <w:bCs/>
                <w:color w:val="000000"/>
                <w:sz w:val="18"/>
                <w:szCs w:val="18"/>
              </w:rPr>
              <w:t>(52)</w:t>
            </w:r>
          </w:p>
        </w:tc>
        <w:tc>
          <w:tcPr>
            <w:tcW w:w="0" w:type="auto"/>
            <w:shd w:val="clear" w:color="auto" w:fill="FFFFFF"/>
            <w:tcMar>
              <w:top w:w="30" w:type="dxa"/>
              <w:left w:w="0" w:type="dxa"/>
              <w:bottom w:w="30" w:type="dxa"/>
              <w:right w:w="20" w:type="dxa"/>
            </w:tcMar>
            <w:vAlign w:val="bottom"/>
            <w:hideMark/>
          </w:tcPr>
          <w:p w14:paraId="52EEB06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F307F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8625D6"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14:paraId="1466740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E495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CFB6A4" w14:textId="77777777" w:rsidR="00000000" w:rsidRDefault="00A173A8">
            <w:pPr>
              <w:spacing w:after="100"/>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14:paraId="079E81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ED29D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6AE4AA" w14:textId="77777777" w:rsidR="00000000" w:rsidRDefault="00A173A8">
            <w:pPr>
              <w:spacing w:after="100"/>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14:paraId="26D31325" w14:textId="77777777" w:rsidR="00000000" w:rsidRDefault="00A173A8">
            <w:pPr>
              <w:spacing w:after="100"/>
              <w:jc w:val="right"/>
              <w:rPr>
                <w:rFonts w:eastAsia="Times New Roman"/>
              </w:rPr>
            </w:pPr>
          </w:p>
        </w:tc>
        <w:tc>
          <w:tcPr>
            <w:tcW w:w="0" w:type="auto"/>
            <w:vAlign w:val="center"/>
            <w:hideMark/>
          </w:tcPr>
          <w:p w14:paraId="0A922D90" w14:textId="77777777" w:rsidR="00000000" w:rsidRDefault="00A173A8">
            <w:pPr>
              <w:spacing w:after="100"/>
              <w:jc w:val="right"/>
              <w:rPr>
                <w:rFonts w:eastAsia="Times New Roman"/>
                <w:sz w:val="20"/>
                <w:szCs w:val="20"/>
              </w:rPr>
            </w:pPr>
          </w:p>
        </w:tc>
        <w:tc>
          <w:tcPr>
            <w:tcW w:w="0" w:type="auto"/>
            <w:vAlign w:val="center"/>
            <w:hideMark/>
          </w:tcPr>
          <w:p w14:paraId="24EAACDB" w14:textId="77777777" w:rsidR="00000000" w:rsidRDefault="00A173A8">
            <w:pPr>
              <w:spacing w:after="100"/>
              <w:rPr>
                <w:rFonts w:eastAsia="Times New Roman"/>
                <w:sz w:val="20"/>
                <w:szCs w:val="20"/>
              </w:rPr>
            </w:pPr>
          </w:p>
        </w:tc>
        <w:tc>
          <w:tcPr>
            <w:tcW w:w="0" w:type="auto"/>
            <w:gridSpan w:val="3"/>
            <w:vAlign w:val="center"/>
            <w:hideMark/>
          </w:tcPr>
          <w:p w14:paraId="59F6023B" w14:textId="77777777" w:rsidR="00000000" w:rsidRDefault="00A173A8">
            <w:pPr>
              <w:spacing w:after="100"/>
              <w:rPr>
                <w:rFonts w:eastAsia="Times New Roman"/>
                <w:sz w:val="20"/>
                <w:szCs w:val="20"/>
              </w:rPr>
            </w:pPr>
          </w:p>
        </w:tc>
        <w:tc>
          <w:tcPr>
            <w:tcW w:w="0" w:type="auto"/>
            <w:gridSpan w:val="3"/>
            <w:vAlign w:val="center"/>
            <w:hideMark/>
          </w:tcPr>
          <w:p w14:paraId="4DC085DF" w14:textId="77777777" w:rsidR="00000000" w:rsidRDefault="00A173A8">
            <w:pPr>
              <w:spacing w:after="100"/>
              <w:rPr>
                <w:rFonts w:eastAsia="Times New Roman"/>
                <w:sz w:val="20"/>
                <w:szCs w:val="20"/>
              </w:rPr>
            </w:pPr>
          </w:p>
        </w:tc>
        <w:tc>
          <w:tcPr>
            <w:tcW w:w="0" w:type="auto"/>
            <w:gridSpan w:val="3"/>
            <w:vAlign w:val="center"/>
            <w:hideMark/>
          </w:tcPr>
          <w:p w14:paraId="6DDCA030" w14:textId="77777777" w:rsidR="00000000" w:rsidRDefault="00A173A8">
            <w:pPr>
              <w:spacing w:after="100"/>
              <w:rPr>
                <w:rFonts w:eastAsia="Times New Roman"/>
                <w:sz w:val="20"/>
                <w:szCs w:val="20"/>
              </w:rPr>
            </w:pPr>
          </w:p>
        </w:tc>
        <w:tc>
          <w:tcPr>
            <w:tcW w:w="0" w:type="auto"/>
            <w:gridSpan w:val="3"/>
            <w:vAlign w:val="center"/>
            <w:hideMark/>
          </w:tcPr>
          <w:p w14:paraId="43FA4C05" w14:textId="77777777" w:rsidR="00000000" w:rsidRDefault="00A173A8">
            <w:pPr>
              <w:spacing w:after="100"/>
              <w:rPr>
                <w:rFonts w:eastAsia="Times New Roman"/>
                <w:sz w:val="20"/>
                <w:szCs w:val="20"/>
              </w:rPr>
            </w:pPr>
          </w:p>
        </w:tc>
      </w:tr>
      <w:tr w:rsidR="00000000" w14:paraId="5CE79CB0" w14:textId="77777777">
        <w:trPr>
          <w:divId w:val="1979724519"/>
        </w:trPr>
        <w:tc>
          <w:tcPr>
            <w:tcW w:w="0" w:type="auto"/>
            <w:gridSpan w:val="3"/>
            <w:shd w:val="clear" w:color="auto" w:fill="CCEEFF"/>
            <w:tcMar>
              <w:top w:w="30" w:type="dxa"/>
              <w:left w:w="20" w:type="dxa"/>
              <w:bottom w:w="30" w:type="dxa"/>
              <w:right w:w="20" w:type="dxa"/>
            </w:tcMar>
            <w:vAlign w:val="center"/>
            <w:hideMark/>
          </w:tcPr>
          <w:p w14:paraId="525FB4D7" w14:textId="77777777" w:rsidR="00000000" w:rsidRDefault="00A173A8">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3CA974B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F098A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81D33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52961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54815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EF3AF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A22A6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41B97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75C4D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0DD43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93D0F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0C5A04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19A6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AC60F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211BD6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AE23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E4553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7A693B2" w14:textId="77777777" w:rsidR="00000000" w:rsidRDefault="00A173A8">
            <w:pPr>
              <w:spacing w:after="100"/>
              <w:jc w:val="right"/>
              <w:rPr>
                <w:rFonts w:eastAsia="Times New Roman"/>
              </w:rPr>
            </w:pPr>
          </w:p>
        </w:tc>
        <w:tc>
          <w:tcPr>
            <w:tcW w:w="0" w:type="auto"/>
            <w:vAlign w:val="center"/>
            <w:hideMark/>
          </w:tcPr>
          <w:p w14:paraId="2C7CF6A5" w14:textId="77777777" w:rsidR="00000000" w:rsidRDefault="00A173A8">
            <w:pPr>
              <w:spacing w:after="100"/>
              <w:jc w:val="right"/>
              <w:rPr>
                <w:rFonts w:eastAsia="Times New Roman"/>
                <w:sz w:val="20"/>
                <w:szCs w:val="20"/>
              </w:rPr>
            </w:pPr>
          </w:p>
        </w:tc>
        <w:tc>
          <w:tcPr>
            <w:tcW w:w="0" w:type="auto"/>
            <w:vAlign w:val="center"/>
            <w:hideMark/>
          </w:tcPr>
          <w:p w14:paraId="510EEFC2" w14:textId="77777777" w:rsidR="00000000" w:rsidRDefault="00A173A8">
            <w:pPr>
              <w:spacing w:after="100"/>
              <w:rPr>
                <w:rFonts w:eastAsia="Times New Roman"/>
                <w:sz w:val="20"/>
                <w:szCs w:val="20"/>
              </w:rPr>
            </w:pPr>
          </w:p>
        </w:tc>
        <w:tc>
          <w:tcPr>
            <w:tcW w:w="0" w:type="auto"/>
            <w:gridSpan w:val="3"/>
            <w:vAlign w:val="center"/>
            <w:hideMark/>
          </w:tcPr>
          <w:p w14:paraId="4510BAD2" w14:textId="77777777" w:rsidR="00000000" w:rsidRDefault="00A173A8">
            <w:pPr>
              <w:spacing w:after="100"/>
              <w:rPr>
                <w:rFonts w:eastAsia="Times New Roman"/>
                <w:sz w:val="20"/>
                <w:szCs w:val="20"/>
              </w:rPr>
            </w:pPr>
          </w:p>
        </w:tc>
        <w:tc>
          <w:tcPr>
            <w:tcW w:w="0" w:type="auto"/>
            <w:gridSpan w:val="3"/>
            <w:vAlign w:val="center"/>
            <w:hideMark/>
          </w:tcPr>
          <w:p w14:paraId="2DDBDFDC" w14:textId="77777777" w:rsidR="00000000" w:rsidRDefault="00A173A8">
            <w:pPr>
              <w:spacing w:after="100"/>
              <w:rPr>
                <w:rFonts w:eastAsia="Times New Roman"/>
                <w:sz w:val="20"/>
                <w:szCs w:val="20"/>
              </w:rPr>
            </w:pPr>
          </w:p>
        </w:tc>
        <w:tc>
          <w:tcPr>
            <w:tcW w:w="0" w:type="auto"/>
            <w:gridSpan w:val="3"/>
            <w:vAlign w:val="center"/>
            <w:hideMark/>
          </w:tcPr>
          <w:p w14:paraId="6727BF08" w14:textId="77777777" w:rsidR="00000000" w:rsidRDefault="00A173A8">
            <w:pPr>
              <w:spacing w:after="100"/>
              <w:rPr>
                <w:rFonts w:eastAsia="Times New Roman"/>
                <w:sz w:val="20"/>
                <w:szCs w:val="20"/>
              </w:rPr>
            </w:pPr>
          </w:p>
        </w:tc>
        <w:tc>
          <w:tcPr>
            <w:tcW w:w="0" w:type="auto"/>
            <w:gridSpan w:val="3"/>
            <w:vAlign w:val="center"/>
            <w:hideMark/>
          </w:tcPr>
          <w:p w14:paraId="7AD87403" w14:textId="77777777" w:rsidR="00000000" w:rsidRDefault="00A173A8">
            <w:pPr>
              <w:spacing w:after="100"/>
              <w:rPr>
                <w:rFonts w:eastAsia="Times New Roman"/>
                <w:sz w:val="20"/>
                <w:szCs w:val="20"/>
              </w:rPr>
            </w:pPr>
          </w:p>
        </w:tc>
      </w:tr>
      <w:tr w:rsidR="00000000" w14:paraId="3480A27F" w14:textId="77777777">
        <w:trPr>
          <w:divId w:val="1979724519"/>
        </w:trPr>
        <w:tc>
          <w:tcPr>
            <w:tcW w:w="0" w:type="auto"/>
            <w:gridSpan w:val="3"/>
            <w:shd w:val="clear" w:color="auto" w:fill="FFFFFF"/>
            <w:tcMar>
              <w:top w:w="30" w:type="dxa"/>
              <w:left w:w="20" w:type="dxa"/>
              <w:bottom w:w="30" w:type="dxa"/>
              <w:right w:w="20" w:type="dxa"/>
            </w:tcMar>
            <w:vAlign w:val="center"/>
            <w:hideMark/>
          </w:tcPr>
          <w:p w14:paraId="3C72E0AF" w14:textId="77777777" w:rsidR="00000000" w:rsidRDefault="00A173A8">
            <w:pPr>
              <w:spacing w:after="100"/>
              <w:rPr>
                <w:rFonts w:eastAsia="Times New Roman"/>
              </w:rPr>
            </w:pPr>
            <w:r>
              <w:rPr>
                <w:rFonts w:eastAsia="Times New Roman"/>
                <w:color w:val="000000"/>
                <w:sz w:val="18"/>
                <w:szCs w:val="18"/>
              </w:rPr>
              <w:t>Other comprehensive income (loss)</w:t>
            </w:r>
          </w:p>
        </w:tc>
        <w:tc>
          <w:tcPr>
            <w:tcW w:w="0" w:type="auto"/>
            <w:gridSpan w:val="3"/>
            <w:shd w:val="clear" w:color="auto" w:fill="FFFFFF"/>
            <w:tcMar>
              <w:top w:w="0" w:type="dxa"/>
              <w:left w:w="20" w:type="dxa"/>
              <w:bottom w:w="0" w:type="dxa"/>
              <w:right w:w="20" w:type="dxa"/>
            </w:tcMar>
            <w:vAlign w:val="center"/>
            <w:hideMark/>
          </w:tcPr>
          <w:p w14:paraId="1E225DC3"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773C08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EAEE2B3" w14:textId="77777777" w:rsidR="00000000" w:rsidRDefault="00A173A8">
            <w:pPr>
              <w:spacing w:after="100"/>
              <w:jc w:val="right"/>
              <w:rPr>
                <w:rFonts w:eastAsia="Times New Roman"/>
              </w:rPr>
            </w:pPr>
            <w:r>
              <w:rPr>
                <w:rFonts w:eastAsia="Times New Roman"/>
                <w:b/>
                <w:bCs/>
                <w:color w:val="000000"/>
                <w:sz w:val="18"/>
                <w:szCs w:val="18"/>
              </w:rPr>
              <w:t>(3,642)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63BC2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10C9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9D1E2D"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69B80F6" w14:textId="77777777" w:rsidR="00000000" w:rsidRDefault="00A173A8">
            <w:pPr>
              <w:spacing w:after="100"/>
              <w:jc w:val="right"/>
              <w:rPr>
                <w:rFonts w:eastAsia="Times New Roman"/>
              </w:rPr>
            </w:pPr>
            <w:r>
              <w:rPr>
                <w:rFonts w:eastAsia="Times New Roman"/>
                <w:b/>
                <w:bCs/>
                <w:color w:val="000000"/>
                <w:sz w:val="18"/>
                <w:szCs w:val="18"/>
              </w:rPr>
              <w:t>(819)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6AF24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115E8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D63CA0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84AC489" w14:textId="77777777" w:rsidR="00000000" w:rsidRDefault="00A173A8">
            <w:pPr>
              <w:spacing w:after="100"/>
              <w:jc w:val="right"/>
              <w:rPr>
                <w:rFonts w:eastAsia="Times New Roman"/>
              </w:rPr>
            </w:pPr>
            <w:r>
              <w:rPr>
                <w:rFonts w:eastAsia="Times New Roman"/>
                <w:b/>
                <w:bCs/>
                <w:color w:val="000000"/>
                <w:sz w:val="18"/>
                <w:szCs w:val="18"/>
              </w:rPr>
              <w:t>(2,823)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762B2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7920B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1E9355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AB14105" w14:textId="77777777" w:rsidR="00000000" w:rsidRDefault="00A173A8">
            <w:pPr>
              <w:spacing w:after="100"/>
              <w:jc w:val="right"/>
              <w:rPr>
                <w:rFonts w:eastAsia="Times New Roman"/>
              </w:rPr>
            </w:pPr>
            <w:r>
              <w:rPr>
                <w:rFonts w:eastAsia="Times New Roman"/>
                <w:color w:val="000000"/>
                <w:sz w:val="18"/>
                <w:szCs w:val="18"/>
              </w:rPr>
              <w:t>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D184FE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BE511F"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83AE40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64A0115" w14:textId="77777777" w:rsidR="00000000" w:rsidRDefault="00A173A8">
            <w:pPr>
              <w:spacing w:after="100"/>
              <w:jc w:val="right"/>
              <w:rPr>
                <w:rFonts w:eastAsia="Times New Roman"/>
              </w:rPr>
            </w:pPr>
            <w:r>
              <w:rPr>
                <w:rFonts w:eastAsia="Times New Roman"/>
                <w:color w:val="000000"/>
                <w:sz w:val="18"/>
                <w:szCs w:val="18"/>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018731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4524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1D589F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819D112" w14:textId="77777777" w:rsidR="00000000" w:rsidRDefault="00A173A8">
            <w:pPr>
              <w:spacing w:after="100"/>
              <w:jc w:val="right"/>
              <w:rPr>
                <w:rFonts w:eastAsia="Times New Roman"/>
              </w:rPr>
            </w:pPr>
            <w:r>
              <w:rPr>
                <w:rFonts w:eastAsia="Times New Roman"/>
                <w:color w:val="000000"/>
                <w:sz w:val="18"/>
                <w:szCs w:val="18"/>
              </w:rPr>
              <w:t>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176764E" w14:textId="77777777" w:rsidR="00000000" w:rsidRDefault="00A173A8">
            <w:pPr>
              <w:spacing w:after="100"/>
              <w:jc w:val="right"/>
              <w:rPr>
                <w:rFonts w:eastAsia="Times New Roman"/>
              </w:rPr>
            </w:pPr>
          </w:p>
        </w:tc>
        <w:tc>
          <w:tcPr>
            <w:tcW w:w="0" w:type="auto"/>
            <w:vAlign w:val="center"/>
            <w:hideMark/>
          </w:tcPr>
          <w:p w14:paraId="68A57536" w14:textId="77777777" w:rsidR="00000000" w:rsidRDefault="00A173A8">
            <w:pPr>
              <w:spacing w:after="100"/>
              <w:jc w:val="right"/>
              <w:rPr>
                <w:rFonts w:eastAsia="Times New Roman"/>
                <w:sz w:val="20"/>
                <w:szCs w:val="20"/>
              </w:rPr>
            </w:pPr>
          </w:p>
        </w:tc>
        <w:tc>
          <w:tcPr>
            <w:tcW w:w="0" w:type="auto"/>
            <w:vAlign w:val="center"/>
            <w:hideMark/>
          </w:tcPr>
          <w:p w14:paraId="2E8E8198" w14:textId="77777777" w:rsidR="00000000" w:rsidRDefault="00A173A8">
            <w:pPr>
              <w:spacing w:after="100"/>
              <w:rPr>
                <w:rFonts w:eastAsia="Times New Roman"/>
                <w:sz w:val="20"/>
                <w:szCs w:val="20"/>
              </w:rPr>
            </w:pPr>
          </w:p>
        </w:tc>
        <w:tc>
          <w:tcPr>
            <w:tcW w:w="0" w:type="auto"/>
            <w:gridSpan w:val="3"/>
            <w:vAlign w:val="center"/>
            <w:hideMark/>
          </w:tcPr>
          <w:p w14:paraId="2C0E6A0E" w14:textId="77777777" w:rsidR="00000000" w:rsidRDefault="00A173A8">
            <w:pPr>
              <w:spacing w:after="100"/>
              <w:rPr>
                <w:rFonts w:eastAsia="Times New Roman"/>
                <w:sz w:val="20"/>
                <w:szCs w:val="20"/>
              </w:rPr>
            </w:pPr>
          </w:p>
        </w:tc>
        <w:tc>
          <w:tcPr>
            <w:tcW w:w="0" w:type="auto"/>
            <w:gridSpan w:val="3"/>
            <w:vAlign w:val="center"/>
            <w:hideMark/>
          </w:tcPr>
          <w:p w14:paraId="400759A7" w14:textId="77777777" w:rsidR="00000000" w:rsidRDefault="00A173A8">
            <w:pPr>
              <w:spacing w:after="100"/>
              <w:rPr>
                <w:rFonts w:eastAsia="Times New Roman"/>
                <w:sz w:val="20"/>
                <w:szCs w:val="20"/>
              </w:rPr>
            </w:pPr>
          </w:p>
        </w:tc>
        <w:tc>
          <w:tcPr>
            <w:tcW w:w="0" w:type="auto"/>
            <w:gridSpan w:val="3"/>
            <w:vAlign w:val="center"/>
            <w:hideMark/>
          </w:tcPr>
          <w:p w14:paraId="750728D7" w14:textId="77777777" w:rsidR="00000000" w:rsidRDefault="00A173A8">
            <w:pPr>
              <w:spacing w:after="100"/>
              <w:rPr>
                <w:rFonts w:eastAsia="Times New Roman"/>
                <w:sz w:val="20"/>
                <w:szCs w:val="20"/>
              </w:rPr>
            </w:pPr>
          </w:p>
        </w:tc>
        <w:tc>
          <w:tcPr>
            <w:tcW w:w="0" w:type="auto"/>
            <w:gridSpan w:val="3"/>
            <w:vAlign w:val="center"/>
            <w:hideMark/>
          </w:tcPr>
          <w:p w14:paraId="2EB6C3C2" w14:textId="77777777" w:rsidR="00000000" w:rsidRDefault="00A173A8">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304"/>
        <w:gridCol w:w="144"/>
        <w:gridCol w:w="144"/>
        <w:gridCol w:w="144"/>
        <w:gridCol w:w="144"/>
        <w:gridCol w:w="144"/>
        <w:gridCol w:w="478"/>
        <w:gridCol w:w="144"/>
        <w:gridCol w:w="144"/>
        <w:gridCol w:w="144"/>
        <w:gridCol w:w="144"/>
        <w:gridCol w:w="144"/>
        <w:gridCol w:w="539"/>
        <w:gridCol w:w="144"/>
        <w:gridCol w:w="144"/>
        <w:gridCol w:w="144"/>
        <w:gridCol w:w="144"/>
        <w:gridCol w:w="144"/>
        <w:gridCol w:w="478"/>
        <w:gridCol w:w="144"/>
        <w:gridCol w:w="144"/>
        <w:gridCol w:w="144"/>
        <w:gridCol w:w="144"/>
        <w:gridCol w:w="144"/>
        <w:gridCol w:w="478"/>
        <w:gridCol w:w="144"/>
        <w:gridCol w:w="144"/>
        <w:gridCol w:w="144"/>
        <w:gridCol w:w="144"/>
        <w:gridCol w:w="144"/>
        <w:gridCol w:w="539"/>
        <w:gridCol w:w="144"/>
        <w:gridCol w:w="144"/>
        <w:gridCol w:w="144"/>
        <w:gridCol w:w="144"/>
        <w:gridCol w:w="144"/>
        <w:gridCol w:w="480"/>
        <w:gridCol w:w="144"/>
        <w:gridCol w:w="480"/>
        <w:gridCol w:w="1440"/>
        <w:gridCol w:w="480"/>
        <w:gridCol w:w="480"/>
        <w:gridCol w:w="480"/>
        <w:gridCol w:w="480"/>
        <w:gridCol w:w="480"/>
        <w:gridCol w:w="480"/>
        <w:gridCol w:w="480"/>
        <w:gridCol w:w="480"/>
        <w:gridCol w:w="480"/>
        <w:gridCol w:w="480"/>
        <w:gridCol w:w="480"/>
        <w:gridCol w:w="480"/>
      </w:tblGrid>
      <w:tr w:rsidR="00000000" w14:paraId="02A99650" w14:textId="77777777">
        <w:tc>
          <w:tcPr>
            <w:tcW w:w="50" w:type="pct"/>
            <w:vAlign w:val="center"/>
            <w:hideMark/>
          </w:tcPr>
          <w:p w14:paraId="45E6C4BE" w14:textId="77777777" w:rsidR="00000000" w:rsidRDefault="00A173A8">
            <w:pPr>
              <w:jc w:val="both"/>
              <w:rPr>
                <w:rFonts w:eastAsia="Times New Roman"/>
              </w:rPr>
            </w:pPr>
          </w:p>
        </w:tc>
        <w:tc>
          <w:tcPr>
            <w:tcW w:w="2591" w:type="pct"/>
            <w:vAlign w:val="center"/>
            <w:hideMark/>
          </w:tcPr>
          <w:p w14:paraId="4116885C" w14:textId="77777777" w:rsidR="00000000" w:rsidRDefault="00A173A8">
            <w:pPr>
              <w:spacing w:after="100"/>
              <w:rPr>
                <w:rFonts w:eastAsia="Times New Roman"/>
                <w:sz w:val="20"/>
                <w:szCs w:val="20"/>
              </w:rPr>
            </w:pPr>
          </w:p>
        </w:tc>
        <w:tc>
          <w:tcPr>
            <w:tcW w:w="5" w:type="pct"/>
            <w:vAlign w:val="center"/>
            <w:hideMark/>
          </w:tcPr>
          <w:p w14:paraId="187A1B60" w14:textId="77777777" w:rsidR="00000000" w:rsidRDefault="00A173A8">
            <w:pPr>
              <w:spacing w:after="100"/>
              <w:rPr>
                <w:rFonts w:eastAsia="Times New Roman"/>
                <w:sz w:val="20"/>
                <w:szCs w:val="20"/>
              </w:rPr>
            </w:pPr>
          </w:p>
        </w:tc>
        <w:tc>
          <w:tcPr>
            <w:tcW w:w="5" w:type="pct"/>
            <w:vAlign w:val="center"/>
            <w:hideMark/>
          </w:tcPr>
          <w:p w14:paraId="1F78DF35" w14:textId="77777777" w:rsidR="00000000" w:rsidRDefault="00A173A8">
            <w:pPr>
              <w:spacing w:after="100"/>
              <w:rPr>
                <w:rFonts w:eastAsia="Times New Roman"/>
                <w:sz w:val="20"/>
                <w:szCs w:val="20"/>
              </w:rPr>
            </w:pPr>
          </w:p>
        </w:tc>
        <w:tc>
          <w:tcPr>
            <w:tcW w:w="26" w:type="pct"/>
            <w:vAlign w:val="center"/>
            <w:hideMark/>
          </w:tcPr>
          <w:p w14:paraId="7B17C9F8" w14:textId="77777777" w:rsidR="00000000" w:rsidRDefault="00A173A8">
            <w:pPr>
              <w:spacing w:after="100"/>
              <w:rPr>
                <w:rFonts w:eastAsia="Times New Roman"/>
                <w:sz w:val="20"/>
                <w:szCs w:val="20"/>
              </w:rPr>
            </w:pPr>
          </w:p>
        </w:tc>
        <w:tc>
          <w:tcPr>
            <w:tcW w:w="5" w:type="pct"/>
            <w:vAlign w:val="center"/>
            <w:hideMark/>
          </w:tcPr>
          <w:p w14:paraId="5AAC2781" w14:textId="77777777" w:rsidR="00000000" w:rsidRDefault="00A173A8">
            <w:pPr>
              <w:spacing w:after="100"/>
              <w:rPr>
                <w:rFonts w:eastAsia="Times New Roman"/>
                <w:sz w:val="20"/>
                <w:szCs w:val="20"/>
              </w:rPr>
            </w:pPr>
          </w:p>
        </w:tc>
        <w:tc>
          <w:tcPr>
            <w:tcW w:w="50" w:type="pct"/>
            <w:vAlign w:val="center"/>
            <w:hideMark/>
          </w:tcPr>
          <w:p w14:paraId="197455CF" w14:textId="77777777" w:rsidR="00000000" w:rsidRDefault="00A173A8">
            <w:pPr>
              <w:spacing w:after="100"/>
              <w:rPr>
                <w:rFonts w:eastAsia="Times New Roman"/>
                <w:sz w:val="20"/>
                <w:szCs w:val="20"/>
              </w:rPr>
            </w:pPr>
          </w:p>
        </w:tc>
        <w:tc>
          <w:tcPr>
            <w:tcW w:w="288" w:type="pct"/>
            <w:vAlign w:val="center"/>
            <w:hideMark/>
          </w:tcPr>
          <w:p w14:paraId="1F0CA6CA" w14:textId="77777777" w:rsidR="00000000" w:rsidRDefault="00A173A8">
            <w:pPr>
              <w:spacing w:after="100"/>
              <w:rPr>
                <w:rFonts w:eastAsia="Times New Roman"/>
                <w:sz w:val="20"/>
                <w:szCs w:val="20"/>
              </w:rPr>
            </w:pPr>
          </w:p>
        </w:tc>
        <w:tc>
          <w:tcPr>
            <w:tcW w:w="5" w:type="pct"/>
            <w:vAlign w:val="center"/>
            <w:hideMark/>
          </w:tcPr>
          <w:p w14:paraId="43675CE3" w14:textId="77777777" w:rsidR="00000000" w:rsidRDefault="00A173A8">
            <w:pPr>
              <w:spacing w:after="100"/>
              <w:rPr>
                <w:rFonts w:eastAsia="Times New Roman"/>
                <w:sz w:val="20"/>
                <w:szCs w:val="20"/>
              </w:rPr>
            </w:pPr>
          </w:p>
        </w:tc>
        <w:tc>
          <w:tcPr>
            <w:tcW w:w="5" w:type="pct"/>
            <w:vAlign w:val="center"/>
            <w:hideMark/>
          </w:tcPr>
          <w:p w14:paraId="6F635192" w14:textId="77777777" w:rsidR="00000000" w:rsidRDefault="00A173A8">
            <w:pPr>
              <w:spacing w:after="100"/>
              <w:rPr>
                <w:rFonts w:eastAsia="Times New Roman"/>
                <w:sz w:val="20"/>
                <w:szCs w:val="20"/>
              </w:rPr>
            </w:pPr>
          </w:p>
        </w:tc>
        <w:tc>
          <w:tcPr>
            <w:tcW w:w="26" w:type="pct"/>
            <w:vAlign w:val="center"/>
            <w:hideMark/>
          </w:tcPr>
          <w:p w14:paraId="503D3776" w14:textId="77777777" w:rsidR="00000000" w:rsidRDefault="00A173A8">
            <w:pPr>
              <w:spacing w:after="100"/>
              <w:rPr>
                <w:rFonts w:eastAsia="Times New Roman"/>
                <w:sz w:val="20"/>
                <w:szCs w:val="20"/>
              </w:rPr>
            </w:pPr>
          </w:p>
        </w:tc>
        <w:tc>
          <w:tcPr>
            <w:tcW w:w="5" w:type="pct"/>
            <w:vAlign w:val="center"/>
            <w:hideMark/>
          </w:tcPr>
          <w:p w14:paraId="57859996" w14:textId="77777777" w:rsidR="00000000" w:rsidRDefault="00A173A8">
            <w:pPr>
              <w:spacing w:after="100"/>
              <w:rPr>
                <w:rFonts w:eastAsia="Times New Roman"/>
                <w:sz w:val="20"/>
                <w:szCs w:val="20"/>
              </w:rPr>
            </w:pPr>
          </w:p>
        </w:tc>
        <w:tc>
          <w:tcPr>
            <w:tcW w:w="50" w:type="pct"/>
            <w:vAlign w:val="center"/>
            <w:hideMark/>
          </w:tcPr>
          <w:p w14:paraId="3B61E2AA" w14:textId="77777777" w:rsidR="00000000" w:rsidRDefault="00A173A8">
            <w:pPr>
              <w:spacing w:after="100"/>
              <w:rPr>
                <w:rFonts w:eastAsia="Times New Roman"/>
                <w:sz w:val="20"/>
                <w:szCs w:val="20"/>
              </w:rPr>
            </w:pPr>
          </w:p>
        </w:tc>
        <w:tc>
          <w:tcPr>
            <w:tcW w:w="325" w:type="pct"/>
            <w:vAlign w:val="center"/>
            <w:hideMark/>
          </w:tcPr>
          <w:p w14:paraId="35415F10" w14:textId="77777777" w:rsidR="00000000" w:rsidRDefault="00A173A8">
            <w:pPr>
              <w:spacing w:after="100"/>
              <w:rPr>
                <w:rFonts w:eastAsia="Times New Roman"/>
                <w:sz w:val="20"/>
                <w:szCs w:val="20"/>
              </w:rPr>
            </w:pPr>
          </w:p>
        </w:tc>
        <w:tc>
          <w:tcPr>
            <w:tcW w:w="5" w:type="pct"/>
            <w:vAlign w:val="center"/>
            <w:hideMark/>
          </w:tcPr>
          <w:p w14:paraId="27E8B158" w14:textId="77777777" w:rsidR="00000000" w:rsidRDefault="00A173A8">
            <w:pPr>
              <w:spacing w:after="100"/>
              <w:rPr>
                <w:rFonts w:eastAsia="Times New Roman"/>
                <w:sz w:val="20"/>
                <w:szCs w:val="20"/>
              </w:rPr>
            </w:pPr>
          </w:p>
        </w:tc>
        <w:tc>
          <w:tcPr>
            <w:tcW w:w="5" w:type="pct"/>
            <w:vAlign w:val="center"/>
            <w:hideMark/>
          </w:tcPr>
          <w:p w14:paraId="24E85037" w14:textId="77777777" w:rsidR="00000000" w:rsidRDefault="00A173A8">
            <w:pPr>
              <w:spacing w:after="100"/>
              <w:rPr>
                <w:rFonts w:eastAsia="Times New Roman"/>
                <w:sz w:val="20"/>
                <w:szCs w:val="20"/>
              </w:rPr>
            </w:pPr>
          </w:p>
        </w:tc>
        <w:tc>
          <w:tcPr>
            <w:tcW w:w="26" w:type="pct"/>
            <w:vAlign w:val="center"/>
            <w:hideMark/>
          </w:tcPr>
          <w:p w14:paraId="7F5A2040" w14:textId="77777777" w:rsidR="00000000" w:rsidRDefault="00A173A8">
            <w:pPr>
              <w:spacing w:after="100"/>
              <w:rPr>
                <w:rFonts w:eastAsia="Times New Roman"/>
                <w:sz w:val="20"/>
                <w:szCs w:val="20"/>
              </w:rPr>
            </w:pPr>
          </w:p>
        </w:tc>
        <w:tc>
          <w:tcPr>
            <w:tcW w:w="5" w:type="pct"/>
            <w:vAlign w:val="center"/>
            <w:hideMark/>
          </w:tcPr>
          <w:p w14:paraId="3F942206" w14:textId="77777777" w:rsidR="00000000" w:rsidRDefault="00A173A8">
            <w:pPr>
              <w:spacing w:after="100"/>
              <w:rPr>
                <w:rFonts w:eastAsia="Times New Roman"/>
                <w:sz w:val="20"/>
                <w:szCs w:val="20"/>
              </w:rPr>
            </w:pPr>
          </w:p>
        </w:tc>
        <w:tc>
          <w:tcPr>
            <w:tcW w:w="50" w:type="pct"/>
            <w:vAlign w:val="center"/>
            <w:hideMark/>
          </w:tcPr>
          <w:p w14:paraId="30EA13E0" w14:textId="77777777" w:rsidR="00000000" w:rsidRDefault="00A173A8">
            <w:pPr>
              <w:spacing w:after="100"/>
              <w:rPr>
                <w:rFonts w:eastAsia="Times New Roman"/>
                <w:sz w:val="20"/>
                <w:szCs w:val="20"/>
              </w:rPr>
            </w:pPr>
          </w:p>
        </w:tc>
        <w:tc>
          <w:tcPr>
            <w:tcW w:w="288" w:type="pct"/>
            <w:vAlign w:val="center"/>
            <w:hideMark/>
          </w:tcPr>
          <w:p w14:paraId="1F094E18" w14:textId="77777777" w:rsidR="00000000" w:rsidRDefault="00A173A8">
            <w:pPr>
              <w:spacing w:after="100"/>
              <w:rPr>
                <w:rFonts w:eastAsia="Times New Roman"/>
                <w:sz w:val="20"/>
                <w:szCs w:val="20"/>
              </w:rPr>
            </w:pPr>
          </w:p>
        </w:tc>
        <w:tc>
          <w:tcPr>
            <w:tcW w:w="5" w:type="pct"/>
            <w:vAlign w:val="center"/>
            <w:hideMark/>
          </w:tcPr>
          <w:p w14:paraId="4305C0C4" w14:textId="77777777" w:rsidR="00000000" w:rsidRDefault="00A173A8">
            <w:pPr>
              <w:spacing w:after="100"/>
              <w:rPr>
                <w:rFonts w:eastAsia="Times New Roman"/>
                <w:sz w:val="20"/>
                <w:szCs w:val="20"/>
              </w:rPr>
            </w:pPr>
          </w:p>
        </w:tc>
        <w:tc>
          <w:tcPr>
            <w:tcW w:w="5" w:type="pct"/>
            <w:vAlign w:val="center"/>
            <w:hideMark/>
          </w:tcPr>
          <w:p w14:paraId="4EC0F512" w14:textId="77777777" w:rsidR="00000000" w:rsidRDefault="00A173A8">
            <w:pPr>
              <w:spacing w:after="100"/>
              <w:rPr>
                <w:rFonts w:eastAsia="Times New Roman"/>
                <w:sz w:val="20"/>
                <w:szCs w:val="20"/>
              </w:rPr>
            </w:pPr>
          </w:p>
        </w:tc>
        <w:tc>
          <w:tcPr>
            <w:tcW w:w="26" w:type="pct"/>
            <w:vAlign w:val="center"/>
            <w:hideMark/>
          </w:tcPr>
          <w:p w14:paraId="5B869385" w14:textId="77777777" w:rsidR="00000000" w:rsidRDefault="00A173A8">
            <w:pPr>
              <w:spacing w:after="100"/>
              <w:rPr>
                <w:rFonts w:eastAsia="Times New Roman"/>
                <w:sz w:val="20"/>
                <w:szCs w:val="20"/>
              </w:rPr>
            </w:pPr>
          </w:p>
        </w:tc>
        <w:tc>
          <w:tcPr>
            <w:tcW w:w="5" w:type="pct"/>
            <w:vAlign w:val="center"/>
            <w:hideMark/>
          </w:tcPr>
          <w:p w14:paraId="54D6494E" w14:textId="77777777" w:rsidR="00000000" w:rsidRDefault="00A173A8">
            <w:pPr>
              <w:spacing w:after="100"/>
              <w:rPr>
                <w:rFonts w:eastAsia="Times New Roman"/>
                <w:sz w:val="20"/>
                <w:szCs w:val="20"/>
              </w:rPr>
            </w:pPr>
          </w:p>
        </w:tc>
        <w:tc>
          <w:tcPr>
            <w:tcW w:w="50" w:type="pct"/>
            <w:vAlign w:val="center"/>
            <w:hideMark/>
          </w:tcPr>
          <w:p w14:paraId="3BC71612" w14:textId="77777777" w:rsidR="00000000" w:rsidRDefault="00A173A8">
            <w:pPr>
              <w:spacing w:after="100"/>
              <w:rPr>
                <w:rFonts w:eastAsia="Times New Roman"/>
                <w:sz w:val="20"/>
                <w:szCs w:val="20"/>
              </w:rPr>
            </w:pPr>
          </w:p>
        </w:tc>
        <w:tc>
          <w:tcPr>
            <w:tcW w:w="288" w:type="pct"/>
            <w:vAlign w:val="center"/>
            <w:hideMark/>
          </w:tcPr>
          <w:p w14:paraId="5FA6771F" w14:textId="77777777" w:rsidR="00000000" w:rsidRDefault="00A173A8">
            <w:pPr>
              <w:spacing w:after="100"/>
              <w:rPr>
                <w:rFonts w:eastAsia="Times New Roman"/>
                <w:sz w:val="20"/>
                <w:szCs w:val="20"/>
              </w:rPr>
            </w:pPr>
          </w:p>
        </w:tc>
        <w:tc>
          <w:tcPr>
            <w:tcW w:w="5" w:type="pct"/>
            <w:vAlign w:val="center"/>
            <w:hideMark/>
          </w:tcPr>
          <w:p w14:paraId="1034BE26" w14:textId="77777777" w:rsidR="00000000" w:rsidRDefault="00A173A8">
            <w:pPr>
              <w:spacing w:after="100"/>
              <w:rPr>
                <w:rFonts w:eastAsia="Times New Roman"/>
                <w:sz w:val="20"/>
                <w:szCs w:val="20"/>
              </w:rPr>
            </w:pPr>
          </w:p>
        </w:tc>
        <w:tc>
          <w:tcPr>
            <w:tcW w:w="5" w:type="pct"/>
            <w:vAlign w:val="center"/>
            <w:hideMark/>
          </w:tcPr>
          <w:p w14:paraId="526F8222" w14:textId="77777777" w:rsidR="00000000" w:rsidRDefault="00A173A8">
            <w:pPr>
              <w:spacing w:after="100"/>
              <w:rPr>
                <w:rFonts w:eastAsia="Times New Roman"/>
                <w:sz w:val="20"/>
                <w:szCs w:val="20"/>
              </w:rPr>
            </w:pPr>
          </w:p>
        </w:tc>
        <w:tc>
          <w:tcPr>
            <w:tcW w:w="26" w:type="pct"/>
            <w:vAlign w:val="center"/>
            <w:hideMark/>
          </w:tcPr>
          <w:p w14:paraId="1AE03363" w14:textId="77777777" w:rsidR="00000000" w:rsidRDefault="00A173A8">
            <w:pPr>
              <w:spacing w:after="100"/>
              <w:rPr>
                <w:rFonts w:eastAsia="Times New Roman"/>
                <w:sz w:val="20"/>
                <w:szCs w:val="20"/>
              </w:rPr>
            </w:pPr>
          </w:p>
        </w:tc>
        <w:tc>
          <w:tcPr>
            <w:tcW w:w="5" w:type="pct"/>
            <w:vAlign w:val="center"/>
            <w:hideMark/>
          </w:tcPr>
          <w:p w14:paraId="2620190F" w14:textId="77777777" w:rsidR="00000000" w:rsidRDefault="00A173A8">
            <w:pPr>
              <w:spacing w:after="100"/>
              <w:rPr>
                <w:rFonts w:eastAsia="Times New Roman"/>
                <w:sz w:val="20"/>
                <w:szCs w:val="20"/>
              </w:rPr>
            </w:pPr>
          </w:p>
        </w:tc>
        <w:tc>
          <w:tcPr>
            <w:tcW w:w="50" w:type="pct"/>
            <w:vAlign w:val="center"/>
            <w:hideMark/>
          </w:tcPr>
          <w:p w14:paraId="386E21DA" w14:textId="77777777" w:rsidR="00000000" w:rsidRDefault="00A173A8">
            <w:pPr>
              <w:spacing w:after="100"/>
              <w:rPr>
                <w:rFonts w:eastAsia="Times New Roman"/>
                <w:sz w:val="20"/>
                <w:szCs w:val="20"/>
              </w:rPr>
            </w:pPr>
          </w:p>
        </w:tc>
        <w:tc>
          <w:tcPr>
            <w:tcW w:w="325" w:type="pct"/>
            <w:vAlign w:val="center"/>
            <w:hideMark/>
          </w:tcPr>
          <w:p w14:paraId="74157405" w14:textId="77777777" w:rsidR="00000000" w:rsidRDefault="00A173A8">
            <w:pPr>
              <w:spacing w:after="100"/>
              <w:rPr>
                <w:rFonts w:eastAsia="Times New Roman"/>
                <w:sz w:val="20"/>
                <w:szCs w:val="20"/>
              </w:rPr>
            </w:pPr>
          </w:p>
        </w:tc>
        <w:tc>
          <w:tcPr>
            <w:tcW w:w="5" w:type="pct"/>
            <w:vAlign w:val="center"/>
            <w:hideMark/>
          </w:tcPr>
          <w:p w14:paraId="7610DD1F" w14:textId="77777777" w:rsidR="00000000" w:rsidRDefault="00A173A8">
            <w:pPr>
              <w:spacing w:after="100"/>
              <w:rPr>
                <w:rFonts w:eastAsia="Times New Roman"/>
                <w:sz w:val="20"/>
                <w:szCs w:val="20"/>
              </w:rPr>
            </w:pPr>
          </w:p>
        </w:tc>
        <w:tc>
          <w:tcPr>
            <w:tcW w:w="5" w:type="pct"/>
            <w:vAlign w:val="center"/>
            <w:hideMark/>
          </w:tcPr>
          <w:p w14:paraId="7FFFF175" w14:textId="77777777" w:rsidR="00000000" w:rsidRDefault="00A173A8">
            <w:pPr>
              <w:spacing w:after="100"/>
              <w:rPr>
                <w:rFonts w:eastAsia="Times New Roman"/>
                <w:sz w:val="20"/>
                <w:szCs w:val="20"/>
              </w:rPr>
            </w:pPr>
          </w:p>
        </w:tc>
        <w:tc>
          <w:tcPr>
            <w:tcW w:w="26" w:type="pct"/>
            <w:vAlign w:val="center"/>
            <w:hideMark/>
          </w:tcPr>
          <w:p w14:paraId="18DF17CF" w14:textId="77777777" w:rsidR="00000000" w:rsidRDefault="00A173A8">
            <w:pPr>
              <w:spacing w:after="100"/>
              <w:rPr>
                <w:rFonts w:eastAsia="Times New Roman"/>
                <w:sz w:val="20"/>
                <w:szCs w:val="20"/>
              </w:rPr>
            </w:pPr>
          </w:p>
        </w:tc>
        <w:tc>
          <w:tcPr>
            <w:tcW w:w="5" w:type="pct"/>
            <w:vAlign w:val="center"/>
            <w:hideMark/>
          </w:tcPr>
          <w:p w14:paraId="41A10EE1" w14:textId="77777777" w:rsidR="00000000" w:rsidRDefault="00A173A8">
            <w:pPr>
              <w:spacing w:after="100"/>
              <w:rPr>
                <w:rFonts w:eastAsia="Times New Roman"/>
                <w:sz w:val="20"/>
                <w:szCs w:val="20"/>
              </w:rPr>
            </w:pPr>
          </w:p>
        </w:tc>
        <w:tc>
          <w:tcPr>
            <w:tcW w:w="50" w:type="pct"/>
            <w:vAlign w:val="center"/>
            <w:hideMark/>
          </w:tcPr>
          <w:p w14:paraId="5AC4ADCC" w14:textId="77777777" w:rsidR="00000000" w:rsidRDefault="00A173A8">
            <w:pPr>
              <w:spacing w:after="100"/>
              <w:rPr>
                <w:rFonts w:eastAsia="Times New Roman"/>
                <w:sz w:val="20"/>
                <w:szCs w:val="20"/>
              </w:rPr>
            </w:pPr>
          </w:p>
        </w:tc>
        <w:tc>
          <w:tcPr>
            <w:tcW w:w="289" w:type="pct"/>
            <w:vAlign w:val="center"/>
            <w:hideMark/>
          </w:tcPr>
          <w:p w14:paraId="464C3FB4" w14:textId="77777777" w:rsidR="00000000" w:rsidRDefault="00A173A8">
            <w:pPr>
              <w:spacing w:after="100"/>
              <w:rPr>
                <w:rFonts w:eastAsia="Times New Roman"/>
                <w:sz w:val="20"/>
                <w:szCs w:val="20"/>
              </w:rPr>
            </w:pPr>
          </w:p>
        </w:tc>
        <w:tc>
          <w:tcPr>
            <w:tcW w:w="5" w:type="pct"/>
            <w:vAlign w:val="center"/>
            <w:hideMark/>
          </w:tcPr>
          <w:p w14:paraId="7634B900" w14:textId="77777777" w:rsidR="00000000" w:rsidRDefault="00A173A8">
            <w:pPr>
              <w:spacing w:after="100"/>
              <w:rPr>
                <w:rFonts w:eastAsia="Times New Roman"/>
                <w:sz w:val="20"/>
                <w:szCs w:val="20"/>
              </w:rPr>
            </w:pPr>
          </w:p>
        </w:tc>
        <w:tc>
          <w:tcPr>
            <w:tcW w:w="0" w:type="auto"/>
            <w:vAlign w:val="center"/>
            <w:hideMark/>
          </w:tcPr>
          <w:p w14:paraId="5FAA2252" w14:textId="77777777" w:rsidR="00000000" w:rsidRDefault="00A173A8">
            <w:pPr>
              <w:spacing w:after="100"/>
              <w:rPr>
                <w:rFonts w:eastAsia="Times New Roman"/>
                <w:sz w:val="20"/>
                <w:szCs w:val="20"/>
              </w:rPr>
            </w:pPr>
          </w:p>
        </w:tc>
        <w:tc>
          <w:tcPr>
            <w:tcW w:w="0" w:type="auto"/>
            <w:vAlign w:val="center"/>
            <w:hideMark/>
          </w:tcPr>
          <w:p w14:paraId="1CF37E3B" w14:textId="77777777" w:rsidR="00000000" w:rsidRDefault="00A173A8">
            <w:pPr>
              <w:spacing w:after="100"/>
              <w:rPr>
                <w:rFonts w:eastAsia="Times New Roman"/>
                <w:sz w:val="20"/>
                <w:szCs w:val="20"/>
              </w:rPr>
            </w:pPr>
          </w:p>
        </w:tc>
        <w:tc>
          <w:tcPr>
            <w:tcW w:w="0" w:type="auto"/>
            <w:gridSpan w:val="3"/>
            <w:vAlign w:val="center"/>
            <w:hideMark/>
          </w:tcPr>
          <w:p w14:paraId="443E5A20" w14:textId="77777777" w:rsidR="00000000" w:rsidRDefault="00A173A8">
            <w:pPr>
              <w:spacing w:after="100"/>
              <w:rPr>
                <w:rFonts w:eastAsia="Times New Roman"/>
                <w:sz w:val="20"/>
                <w:szCs w:val="20"/>
              </w:rPr>
            </w:pPr>
          </w:p>
        </w:tc>
        <w:tc>
          <w:tcPr>
            <w:tcW w:w="0" w:type="auto"/>
            <w:gridSpan w:val="3"/>
            <w:vAlign w:val="center"/>
            <w:hideMark/>
          </w:tcPr>
          <w:p w14:paraId="27145C69" w14:textId="77777777" w:rsidR="00000000" w:rsidRDefault="00A173A8">
            <w:pPr>
              <w:spacing w:after="100"/>
              <w:rPr>
                <w:rFonts w:eastAsia="Times New Roman"/>
                <w:sz w:val="20"/>
                <w:szCs w:val="20"/>
              </w:rPr>
            </w:pPr>
          </w:p>
        </w:tc>
        <w:tc>
          <w:tcPr>
            <w:tcW w:w="0" w:type="auto"/>
            <w:gridSpan w:val="3"/>
            <w:vAlign w:val="center"/>
            <w:hideMark/>
          </w:tcPr>
          <w:p w14:paraId="5329F95E" w14:textId="77777777" w:rsidR="00000000" w:rsidRDefault="00A173A8">
            <w:pPr>
              <w:spacing w:after="100"/>
              <w:rPr>
                <w:rFonts w:eastAsia="Times New Roman"/>
                <w:sz w:val="20"/>
                <w:szCs w:val="20"/>
              </w:rPr>
            </w:pPr>
          </w:p>
        </w:tc>
        <w:tc>
          <w:tcPr>
            <w:tcW w:w="0" w:type="auto"/>
            <w:gridSpan w:val="3"/>
            <w:vAlign w:val="center"/>
            <w:hideMark/>
          </w:tcPr>
          <w:p w14:paraId="0C506118" w14:textId="77777777" w:rsidR="00000000" w:rsidRDefault="00A173A8">
            <w:pPr>
              <w:spacing w:after="100"/>
              <w:rPr>
                <w:rFonts w:eastAsia="Times New Roman"/>
                <w:sz w:val="20"/>
                <w:szCs w:val="20"/>
              </w:rPr>
            </w:pPr>
          </w:p>
        </w:tc>
      </w:tr>
      <w:tr w:rsidR="00000000" w14:paraId="64FD3DCF" w14:textId="77777777">
        <w:tc>
          <w:tcPr>
            <w:tcW w:w="0" w:type="auto"/>
            <w:gridSpan w:val="3"/>
            <w:tcMar>
              <w:top w:w="30" w:type="dxa"/>
              <w:left w:w="20" w:type="dxa"/>
              <w:bottom w:w="30" w:type="dxa"/>
              <w:right w:w="20" w:type="dxa"/>
            </w:tcMar>
            <w:vAlign w:val="bottom"/>
            <w:hideMark/>
          </w:tcPr>
          <w:p w14:paraId="3EF81E34"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FAB9200" w14:textId="77777777" w:rsidR="00000000" w:rsidRDefault="00A173A8">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040CE411"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7D962063" w14:textId="77777777" w:rsidR="00000000" w:rsidRDefault="00A173A8">
            <w:pPr>
              <w:spacing w:after="100"/>
              <w:jc w:val="center"/>
              <w:rPr>
                <w:rFonts w:eastAsia="Times New Roman"/>
              </w:rPr>
            </w:pPr>
          </w:p>
        </w:tc>
        <w:tc>
          <w:tcPr>
            <w:tcW w:w="0" w:type="auto"/>
            <w:vAlign w:val="center"/>
            <w:hideMark/>
          </w:tcPr>
          <w:p w14:paraId="0365695C" w14:textId="77777777" w:rsidR="00000000" w:rsidRDefault="00A173A8">
            <w:pPr>
              <w:spacing w:after="100"/>
              <w:rPr>
                <w:rFonts w:eastAsia="Times New Roman"/>
                <w:sz w:val="20"/>
                <w:szCs w:val="20"/>
              </w:rPr>
            </w:pPr>
          </w:p>
        </w:tc>
        <w:tc>
          <w:tcPr>
            <w:tcW w:w="0" w:type="auto"/>
            <w:gridSpan w:val="3"/>
            <w:vAlign w:val="center"/>
            <w:hideMark/>
          </w:tcPr>
          <w:p w14:paraId="64879768" w14:textId="77777777" w:rsidR="00000000" w:rsidRDefault="00A173A8">
            <w:pPr>
              <w:spacing w:after="100"/>
              <w:rPr>
                <w:rFonts w:eastAsia="Times New Roman"/>
                <w:sz w:val="20"/>
                <w:szCs w:val="20"/>
              </w:rPr>
            </w:pPr>
          </w:p>
        </w:tc>
        <w:tc>
          <w:tcPr>
            <w:tcW w:w="0" w:type="auto"/>
            <w:gridSpan w:val="3"/>
            <w:vAlign w:val="center"/>
            <w:hideMark/>
          </w:tcPr>
          <w:p w14:paraId="40C85855" w14:textId="77777777" w:rsidR="00000000" w:rsidRDefault="00A173A8">
            <w:pPr>
              <w:spacing w:after="100"/>
              <w:rPr>
                <w:rFonts w:eastAsia="Times New Roman"/>
                <w:sz w:val="20"/>
                <w:szCs w:val="20"/>
              </w:rPr>
            </w:pPr>
          </w:p>
        </w:tc>
        <w:tc>
          <w:tcPr>
            <w:tcW w:w="0" w:type="auto"/>
            <w:gridSpan w:val="3"/>
            <w:vAlign w:val="center"/>
            <w:hideMark/>
          </w:tcPr>
          <w:p w14:paraId="60F18FC4" w14:textId="77777777" w:rsidR="00000000" w:rsidRDefault="00A173A8">
            <w:pPr>
              <w:spacing w:after="100"/>
              <w:rPr>
                <w:rFonts w:eastAsia="Times New Roman"/>
                <w:sz w:val="20"/>
                <w:szCs w:val="20"/>
              </w:rPr>
            </w:pPr>
          </w:p>
        </w:tc>
        <w:tc>
          <w:tcPr>
            <w:tcW w:w="0" w:type="auto"/>
            <w:gridSpan w:val="3"/>
            <w:vAlign w:val="center"/>
            <w:hideMark/>
          </w:tcPr>
          <w:p w14:paraId="2E2538B5" w14:textId="77777777" w:rsidR="00000000" w:rsidRDefault="00A173A8">
            <w:pPr>
              <w:spacing w:after="100"/>
              <w:rPr>
                <w:rFonts w:eastAsia="Times New Roman"/>
                <w:sz w:val="20"/>
                <w:szCs w:val="20"/>
              </w:rPr>
            </w:pPr>
          </w:p>
        </w:tc>
      </w:tr>
      <w:tr w:rsidR="00000000" w14:paraId="2214EC74" w14:textId="77777777">
        <w:tc>
          <w:tcPr>
            <w:tcW w:w="0" w:type="auto"/>
            <w:gridSpan w:val="3"/>
            <w:tcMar>
              <w:top w:w="30" w:type="dxa"/>
              <w:left w:w="20" w:type="dxa"/>
              <w:bottom w:w="30" w:type="dxa"/>
              <w:right w:w="20" w:type="dxa"/>
            </w:tcMar>
            <w:vAlign w:val="bottom"/>
            <w:hideMark/>
          </w:tcPr>
          <w:p w14:paraId="62392808"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45C1A215" w14:textId="77777777" w:rsidR="00000000" w:rsidRDefault="00A173A8">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3073DE0A"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819FA60"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7A71F6C"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vAlign w:val="center"/>
            <w:hideMark/>
          </w:tcPr>
          <w:p w14:paraId="716D574F" w14:textId="77777777" w:rsidR="00000000" w:rsidRDefault="00A173A8">
            <w:pPr>
              <w:spacing w:after="100"/>
              <w:jc w:val="center"/>
              <w:rPr>
                <w:rFonts w:eastAsia="Times New Roman"/>
              </w:rPr>
            </w:pPr>
          </w:p>
        </w:tc>
        <w:tc>
          <w:tcPr>
            <w:tcW w:w="0" w:type="auto"/>
            <w:vAlign w:val="center"/>
            <w:hideMark/>
          </w:tcPr>
          <w:p w14:paraId="0ABB732E" w14:textId="77777777" w:rsidR="00000000" w:rsidRDefault="00A173A8">
            <w:pPr>
              <w:spacing w:after="100"/>
              <w:rPr>
                <w:rFonts w:eastAsia="Times New Roman"/>
                <w:sz w:val="20"/>
                <w:szCs w:val="20"/>
              </w:rPr>
            </w:pPr>
          </w:p>
        </w:tc>
        <w:tc>
          <w:tcPr>
            <w:tcW w:w="0" w:type="auto"/>
            <w:vAlign w:val="center"/>
            <w:hideMark/>
          </w:tcPr>
          <w:p w14:paraId="543E5A64" w14:textId="77777777" w:rsidR="00000000" w:rsidRDefault="00A173A8">
            <w:pPr>
              <w:spacing w:after="100"/>
              <w:rPr>
                <w:rFonts w:eastAsia="Times New Roman"/>
                <w:sz w:val="20"/>
                <w:szCs w:val="20"/>
              </w:rPr>
            </w:pPr>
          </w:p>
        </w:tc>
        <w:tc>
          <w:tcPr>
            <w:tcW w:w="0" w:type="auto"/>
            <w:vAlign w:val="center"/>
            <w:hideMark/>
          </w:tcPr>
          <w:p w14:paraId="771E8E62" w14:textId="77777777" w:rsidR="00000000" w:rsidRDefault="00A173A8">
            <w:pPr>
              <w:spacing w:after="100"/>
              <w:rPr>
                <w:rFonts w:eastAsia="Times New Roman"/>
                <w:sz w:val="20"/>
                <w:szCs w:val="20"/>
              </w:rPr>
            </w:pPr>
          </w:p>
        </w:tc>
        <w:tc>
          <w:tcPr>
            <w:tcW w:w="0" w:type="auto"/>
            <w:vAlign w:val="center"/>
            <w:hideMark/>
          </w:tcPr>
          <w:p w14:paraId="6A49408E" w14:textId="77777777" w:rsidR="00000000" w:rsidRDefault="00A173A8">
            <w:pPr>
              <w:spacing w:after="100"/>
              <w:rPr>
                <w:rFonts w:eastAsia="Times New Roman"/>
                <w:sz w:val="20"/>
                <w:szCs w:val="20"/>
              </w:rPr>
            </w:pPr>
          </w:p>
        </w:tc>
        <w:tc>
          <w:tcPr>
            <w:tcW w:w="0" w:type="auto"/>
            <w:vAlign w:val="center"/>
            <w:hideMark/>
          </w:tcPr>
          <w:p w14:paraId="173E8AA3" w14:textId="77777777" w:rsidR="00000000" w:rsidRDefault="00A173A8">
            <w:pPr>
              <w:spacing w:after="100"/>
              <w:rPr>
                <w:rFonts w:eastAsia="Times New Roman"/>
                <w:sz w:val="20"/>
                <w:szCs w:val="20"/>
              </w:rPr>
            </w:pPr>
          </w:p>
        </w:tc>
        <w:tc>
          <w:tcPr>
            <w:tcW w:w="0" w:type="auto"/>
            <w:vAlign w:val="center"/>
            <w:hideMark/>
          </w:tcPr>
          <w:p w14:paraId="55595D24" w14:textId="77777777" w:rsidR="00000000" w:rsidRDefault="00A173A8">
            <w:pPr>
              <w:spacing w:after="100"/>
              <w:rPr>
                <w:rFonts w:eastAsia="Times New Roman"/>
                <w:sz w:val="20"/>
                <w:szCs w:val="20"/>
              </w:rPr>
            </w:pPr>
          </w:p>
        </w:tc>
        <w:tc>
          <w:tcPr>
            <w:tcW w:w="0" w:type="auto"/>
            <w:vAlign w:val="center"/>
            <w:hideMark/>
          </w:tcPr>
          <w:p w14:paraId="60570452" w14:textId="77777777" w:rsidR="00000000" w:rsidRDefault="00A173A8">
            <w:pPr>
              <w:spacing w:after="100"/>
              <w:rPr>
                <w:rFonts w:eastAsia="Times New Roman"/>
                <w:sz w:val="20"/>
                <w:szCs w:val="20"/>
              </w:rPr>
            </w:pPr>
          </w:p>
        </w:tc>
        <w:tc>
          <w:tcPr>
            <w:tcW w:w="0" w:type="auto"/>
            <w:vAlign w:val="center"/>
            <w:hideMark/>
          </w:tcPr>
          <w:p w14:paraId="054D9A41" w14:textId="77777777" w:rsidR="00000000" w:rsidRDefault="00A173A8">
            <w:pPr>
              <w:spacing w:after="100"/>
              <w:rPr>
                <w:rFonts w:eastAsia="Times New Roman"/>
                <w:sz w:val="20"/>
                <w:szCs w:val="20"/>
              </w:rPr>
            </w:pPr>
          </w:p>
        </w:tc>
        <w:tc>
          <w:tcPr>
            <w:tcW w:w="0" w:type="auto"/>
            <w:vAlign w:val="center"/>
            <w:hideMark/>
          </w:tcPr>
          <w:p w14:paraId="0D2368A3" w14:textId="77777777" w:rsidR="00000000" w:rsidRDefault="00A173A8">
            <w:pPr>
              <w:spacing w:after="100"/>
              <w:rPr>
                <w:rFonts w:eastAsia="Times New Roman"/>
                <w:sz w:val="20"/>
                <w:szCs w:val="20"/>
              </w:rPr>
            </w:pPr>
          </w:p>
        </w:tc>
        <w:tc>
          <w:tcPr>
            <w:tcW w:w="0" w:type="auto"/>
            <w:vAlign w:val="center"/>
            <w:hideMark/>
          </w:tcPr>
          <w:p w14:paraId="2271F176" w14:textId="77777777" w:rsidR="00000000" w:rsidRDefault="00A173A8">
            <w:pPr>
              <w:spacing w:after="100"/>
              <w:rPr>
                <w:rFonts w:eastAsia="Times New Roman"/>
                <w:sz w:val="20"/>
                <w:szCs w:val="20"/>
              </w:rPr>
            </w:pPr>
          </w:p>
        </w:tc>
        <w:tc>
          <w:tcPr>
            <w:tcW w:w="0" w:type="auto"/>
            <w:vAlign w:val="center"/>
            <w:hideMark/>
          </w:tcPr>
          <w:p w14:paraId="0848F0D8" w14:textId="77777777" w:rsidR="00000000" w:rsidRDefault="00A173A8">
            <w:pPr>
              <w:spacing w:after="100"/>
              <w:rPr>
                <w:rFonts w:eastAsia="Times New Roman"/>
                <w:sz w:val="20"/>
                <w:szCs w:val="20"/>
              </w:rPr>
            </w:pPr>
          </w:p>
        </w:tc>
        <w:tc>
          <w:tcPr>
            <w:tcW w:w="0" w:type="auto"/>
            <w:vAlign w:val="center"/>
            <w:hideMark/>
          </w:tcPr>
          <w:p w14:paraId="714C520D" w14:textId="77777777" w:rsidR="00000000" w:rsidRDefault="00A173A8">
            <w:pPr>
              <w:spacing w:after="100"/>
              <w:rPr>
                <w:rFonts w:eastAsia="Times New Roman"/>
                <w:sz w:val="20"/>
                <w:szCs w:val="20"/>
              </w:rPr>
            </w:pPr>
          </w:p>
        </w:tc>
        <w:tc>
          <w:tcPr>
            <w:tcW w:w="0" w:type="auto"/>
            <w:vAlign w:val="center"/>
            <w:hideMark/>
          </w:tcPr>
          <w:p w14:paraId="17F4B6C9" w14:textId="77777777" w:rsidR="00000000" w:rsidRDefault="00A173A8">
            <w:pPr>
              <w:spacing w:after="100"/>
              <w:rPr>
                <w:rFonts w:eastAsia="Times New Roman"/>
                <w:sz w:val="20"/>
                <w:szCs w:val="20"/>
              </w:rPr>
            </w:pPr>
          </w:p>
        </w:tc>
      </w:tr>
      <w:tr w:rsidR="00000000" w14:paraId="79588D51" w14:textId="77777777">
        <w:tc>
          <w:tcPr>
            <w:tcW w:w="0" w:type="auto"/>
            <w:gridSpan w:val="3"/>
            <w:tcMar>
              <w:top w:w="30" w:type="dxa"/>
              <w:left w:w="20" w:type="dxa"/>
              <w:bottom w:w="30" w:type="dxa"/>
              <w:right w:w="20" w:type="dxa"/>
            </w:tcMar>
            <w:vAlign w:val="bottom"/>
            <w:hideMark/>
          </w:tcPr>
          <w:p w14:paraId="17BFD0CC"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4B9CD7E"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0D3B21" w14:textId="77777777" w:rsidR="00000000" w:rsidRDefault="00A173A8">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14:paraId="31A2517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1BC1A2" w14:textId="77777777" w:rsidR="00000000" w:rsidRDefault="00A173A8">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32E02C4F"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109EFA" w14:textId="77777777" w:rsidR="00000000" w:rsidRDefault="00A173A8">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14:paraId="61AFB33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7B0904" w14:textId="77777777" w:rsidR="00000000" w:rsidRDefault="00A173A8">
            <w:pPr>
              <w:spacing w:after="100"/>
              <w:jc w:val="center"/>
              <w:rPr>
                <w:rFonts w:eastAsia="Times New Roman"/>
              </w:rPr>
            </w:pPr>
            <w:r>
              <w:rPr>
                <w:rFonts w:eastAsia="Times New Roman"/>
                <w:b/>
                <w:bCs/>
                <w:color w:val="000000"/>
                <w:sz w:val="16"/>
                <w:szCs w:val="16"/>
              </w:rPr>
              <w:t>Before</w:t>
            </w:r>
            <w:r>
              <w:rPr>
                <w:rFonts w:eastAsia="Times New Roman"/>
                <w:b/>
                <w:bCs/>
                <w:color w:val="000000"/>
                <w:sz w:val="16"/>
                <w:szCs w:val="16"/>
              </w:rPr>
              <w:br/>
            </w:r>
            <w:r>
              <w:rPr>
                <w:rFonts w:eastAsia="Times New Roman"/>
                <w:b/>
                <w:bCs/>
                <w:color w:val="000000"/>
                <w:sz w:val="16"/>
                <w:szCs w:val="16"/>
              </w:rPr>
              <w:t>Tax</w:t>
            </w:r>
          </w:p>
        </w:tc>
        <w:tc>
          <w:tcPr>
            <w:tcW w:w="0" w:type="auto"/>
            <w:gridSpan w:val="3"/>
            <w:tcBorders>
              <w:top w:val="single" w:sz="8" w:space="0" w:color="000000"/>
            </w:tcBorders>
            <w:tcMar>
              <w:top w:w="0" w:type="dxa"/>
              <w:left w:w="20" w:type="dxa"/>
              <w:bottom w:w="0" w:type="dxa"/>
              <w:right w:w="20" w:type="dxa"/>
            </w:tcMar>
            <w:vAlign w:val="center"/>
            <w:hideMark/>
          </w:tcPr>
          <w:p w14:paraId="0715B599"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E46B92" w14:textId="77777777" w:rsidR="00000000" w:rsidRDefault="00A173A8">
            <w:pPr>
              <w:spacing w:after="100"/>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14:paraId="63FFBAB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AA25C3" w14:textId="77777777" w:rsidR="00000000" w:rsidRDefault="00A173A8">
            <w:pPr>
              <w:spacing w:after="100"/>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vAlign w:val="center"/>
            <w:hideMark/>
          </w:tcPr>
          <w:p w14:paraId="6E77A7A4" w14:textId="77777777" w:rsidR="00000000" w:rsidRDefault="00A173A8">
            <w:pPr>
              <w:spacing w:after="100"/>
              <w:jc w:val="center"/>
              <w:rPr>
                <w:rFonts w:eastAsia="Times New Roman"/>
              </w:rPr>
            </w:pPr>
          </w:p>
        </w:tc>
        <w:tc>
          <w:tcPr>
            <w:tcW w:w="0" w:type="auto"/>
            <w:vAlign w:val="center"/>
            <w:hideMark/>
          </w:tcPr>
          <w:p w14:paraId="7F673DCE" w14:textId="77777777" w:rsidR="00000000" w:rsidRDefault="00A173A8">
            <w:pPr>
              <w:spacing w:after="100"/>
              <w:rPr>
                <w:rFonts w:eastAsia="Times New Roman"/>
                <w:sz w:val="20"/>
                <w:szCs w:val="20"/>
              </w:rPr>
            </w:pPr>
          </w:p>
        </w:tc>
        <w:tc>
          <w:tcPr>
            <w:tcW w:w="0" w:type="auto"/>
            <w:gridSpan w:val="3"/>
            <w:vAlign w:val="center"/>
            <w:hideMark/>
          </w:tcPr>
          <w:p w14:paraId="36BAF229" w14:textId="77777777" w:rsidR="00000000" w:rsidRDefault="00A173A8">
            <w:pPr>
              <w:spacing w:after="100"/>
              <w:rPr>
                <w:rFonts w:eastAsia="Times New Roman"/>
                <w:sz w:val="20"/>
                <w:szCs w:val="20"/>
              </w:rPr>
            </w:pPr>
          </w:p>
        </w:tc>
        <w:tc>
          <w:tcPr>
            <w:tcW w:w="0" w:type="auto"/>
            <w:gridSpan w:val="3"/>
            <w:vAlign w:val="center"/>
            <w:hideMark/>
          </w:tcPr>
          <w:p w14:paraId="3CE8DF25" w14:textId="77777777" w:rsidR="00000000" w:rsidRDefault="00A173A8">
            <w:pPr>
              <w:spacing w:after="100"/>
              <w:rPr>
                <w:rFonts w:eastAsia="Times New Roman"/>
                <w:sz w:val="20"/>
                <w:szCs w:val="20"/>
              </w:rPr>
            </w:pPr>
          </w:p>
        </w:tc>
        <w:tc>
          <w:tcPr>
            <w:tcW w:w="0" w:type="auto"/>
            <w:gridSpan w:val="3"/>
            <w:vAlign w:val="center"/>
            <w:hideMark/>
          </w:tcPr>
          <w:p w14:paraId="4CC55686" w14:textId="77777777" w:rsidR="00000000" w:rsidRDefault="00A173A8">
            <w:pPr>
              <w:spacing w:after="100"/>
              <w:rPr>
                <w:rFonts w:eastAsia="Times New Roman"/>
                <w:sz w:val="20"/>
                <w:szCs w:val="20"/>
              </w:rPr>
            </w:pPr>
          </w:p>
        </w:tc>
        <w:tc>
          <w:tcPr>
            <w:tcW w:w="0" w:type="auto"/>
            <w:gridSpan w:val="3"/>
            <w:vAlign w:val="center"/>
            <w:hideMark/>
          </w:tcPr>
          <w:p w14:paraId="4995227A" w14:textId="77777777" w:rsidR="00000000" w:rsidRDefault="00A173A8">
            <w:pPr>
              <w:spacing w:after="100"/>
              <w:rPr>
                <w:rFonts w:eastAsia="Times New Roman"/>
                <w:sz w:val="20"/>
                <w:szCs w:val="20"/>
              </w:rPr>
            </w:pPr>
          </w:p>
        </w:tc>
      </w:tr>
      <w:tr w:rsidR="00000000" w14:paraId="6029E1E0"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53244F3" w14:textId="77777777" w:rsidR="00000000" w:rsidRDefault="00A173A8">
            <w:pPr>
              <w:spacing w:after="100"/>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14:paraId="048C071B" w14:textId="77777777" w:rsidR="00000000" w:rsidRDefault="00A173A8">
            <w:pPr>
              <w:spacing w:after="100"/>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F94EB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4D3C9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192CB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D632F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6EF61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E2C21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3BE27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6CA6D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4A0A7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80F23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D9FB2E" w14:textId="77777777" w:rsidR="00000000" w:rsidRDefault="00A173A8">
            <w:pPr>
              <w:spacing w:after="100"/>
              <w:rPr>
                <w:rFonts w:eastAsia="Times New Roman"/>
                <w:sz w:val="20"/>
                <w:szCs w:val="20"/>
              </w:rPr>
            </w:pPr>
          </w:p>
        </w:tc>
        <w:tc>
          <w:tcPr>
            <w:tcW w:w="0" w:type="auto"/>
            <w:vAlign w:val="center"/>
            <w:hideMark/>
          </w:tcPr>
          <w:p w14:paraId="2885F8A4" w14:textId="77777777" w:rsidR="00000000" w:rsidRDefault="00A173A8">
            <w:pPr>
              <w:spacing w:after="100"/>
              <w:rPr>
                <w:rFonts w:eastAsia="Times New Roman"/>
                <w:sz w:val="20"/>
                <w:szCs w:val="20"/>
              </w:rPr>
            </w:pPr>
          </w:p>
        </w:tc>
        <w:tc>
          <w:tcPr>
            <w:tcW w:w="0" w:type="auto"/>
            <w:vAlign w:val="center"/>
            <w:hideMark/>
          </w:tcPr>
          <w:p w14:paraId="36A078C1" w14:textId="77777777" w:rsidR="00000000" w:rsidRDefault="00A173A8">
            <w:pPr>
              <w:spacing w:after="100"/>
              <w:rPr>
                <w:rFonts w:eastAsia="Times New Roman"/>
                <w:sz w:val="20"/>
                <w:szCs w:val="20"/>
              </w:rPr>
            </w:pPr>
          </w:p>
        </w:tc>
        <w:tc>
          <w:tcPr>
            <w:tcW w:w="0" w:type="auto"/>
            <w:gridSpan w:val="3"/>
            <w:vAlign w:val="center"/>
            <w:hideMark/>
          </w:tcPr>
          <w:p w14:paraId="45456166" w14:textId="77777777" w:rsidR="00000000" w:rsidRDefault="00A173A8">
            <w:pPr>
              <w:spacing w:after="100"/>
              <w:rPr>
                <w:rFonts w:eastAsia="Times New Roman"/>
                <w:sz w:val="20"/>
                <w:szCs w:val="20"/>
              </w:rPr>
            </w:pPr>
          </w:p>
        </w:tc>
        <w:tc>
          <w:tcPr>
            <w:tcW w:w="0" w:type="auto"/>
            <w:gridSpan w:val="3"/>
            <w:vAlign w:val="center"/>
            <w:hideMark/>
          </w:tcPr>
          <w:p w14:paraId="11B6655E" w14:textId="77777777" w:rsidR="00000000" w:rsidRDefault="00A173A8">
            <w:pPr>
              <w:spacing w:after="100"/>
              <w:rPr>
                <w:rFonts w:eastAsia="Times New Roman"/>
                <w:sz w:val="20"/>
                <w:szCs w:val="20"/>
              </w:rPr>
            </w:pPr>
          </w:p>
        </w:tc>
        <w:tc>
          <w:tcPr>
            <w:tcW w:w="0" w:type="auto"/>
            <w:gridSpan w:val="3"/>
            <w:vAlign w:val="center"/>
            <w:hideMark/>
          </w:tcPr>
          <w:p w14:paraId="1D5B7C6D" w14:textId="77777777" w:rsidR="00000000" w:rsidRDefault="00A173A8">
            <w:pPr>
              <w:spacing w:after="100"/>
              <w:rPr>
                <w:rFonts w:eastAsia="Times New Roman"/>
                <w:sz w:val="20"/>
                <w:szCs w:val="20"/>
              </w:rPr>
            </w:pPr>
          </w:p>
        </w:tc>
        <w:tc>
          <w:tcPr>
            <w:tcW w:w="0" w:type="auto"/>
            <w:gridSpan w:val="3"/>
            <w:vAlign w:val="center"/>
            <w:hideMark/>
          </w:tcPr>
          <w:p w14:paraId="59C11AB1" w14:textId="77777777" w:rsidR="00000000" w:rsidRDefault="00A173A8">
            <w:pPr>
              <w:spacing w:after="100"/>
              <w:rPr>
                <w:rFonts w:eastAsia="Times New Roman"/>
                <w:sz w:val="20"/>
                <w:szCs w:val="20"/>
              </w:rPr>
            </w:pPr>
          </w:p>
        </w:tc>
      </w:tr>
      <w:tr w:rsidR="00000000" w14:paraId="06BBDA0F" w14:textId="77777777">
        <w:tc>
          <w:tcPr>
            <w:tcW w:w="0" w:type="auto"/>
            <w:gridSpan w:val="3"/>
            <w:shd w:val="clear" w:color="auto" w:fill="FFFFFF"/>
            <w:tcMar>
              <w:top w:w="30" w:type="dxa"/>
              <w:left w:w="20" w:type="dxa"/>
              <w:bottom w:w="30" w:type="dxa"/>
              <w:right w:w="20" w:type="dxa"/>
            </w:tcMar>
            <w:vAlign w:val="center"/>
            <w:hideMark/>
          </w:tcPr>
          <w:p w14:paraId="41CB2597" w14:textId="77777777" w:rsidR="00000000" w:rsidRDefault="00A173A8">
            <w:pPr>
              <w:spacing w:after="100"/>
              <w:rPr>
                <w:rFonts w:eastAsia="Times New Roman"/>
              </w:rPr>
            </w:pPr>
            <w:r>
              <w:rPr>
                <w:rFonts w:eastAsia="Times New Roman"/>
                <w:color w:val="000000"/>
                <w:sz w:val="18"/>
                <w:szCs w:val="18"/>
              </w:rPr>
              <w:t>Net unrealized losses on securities available for sale</w:t>
            </w:r>
          </w:p>
        </w:tc>
        <w:tc>
          <w:tcPr>
            <w:tcW w:w="0" w:type="auto"/>
            <w:gridSpan w:val="3"/>
            <w:shd w:val="clear" w:color="auto" w:fill="FFFFFF"/>
            <w:tcMar>
              <w:top w:w="0" w:type="dxa"/>
              <w:left w:w="20" w:type="dxa"/>
              <w:bottom w:w="0" w:type="dxa"/>
              <w:right w:w="20" w:type="dxa"/>
            </w:tcMar>
            <w:vAlign w:val="center"/>
            <w:hideMark/>
          </w:tcPr>
          <w:p w14:paraId="296DFC2E"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B7040E2"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C760594" w14:textId="77777777" w:rsidR="00000000" w:rsidRDefault="00A173A8">
            <w:pPr>
              <w:spacing w:after="100"/>
              <w:jc w:val="right"/>
              <w:rPr>
                <w:rFonts w:eastAsia="Times New Roman"/>
              </w:rPr>
            </w:pPr>
            <w:r>
              <w:rPr>
                <w:rFonts w:eastAsia="Times New Roman"/>
                <w:b/>
                <w:bCs/>
                <w:color w:val="000000"/>
                <w:sz w:val="18"/>
                <w:szCs w:val="18"/>
              </w:rPr>
              <w:t>(7,299)</w:t>
            </w:r>
          </w:p>
        </w:tc>
        <w:tc>
          <w:tcPr>
            <w:tcW w:w="0" w:type="auto"/>
            <w:shd w:val="clear" w:color="auto" w:fill="FFFFFF"/>
            <w:tcMar>
              <w:top w:w="30" w:type="dxa"/>
              <w:left w:w="0" w:type="dxa"/>
              <w:bottom w:w="30" w:type="dxa"/>
              <w:right w:w="20" w:type="dxa"/>
            </w:tcMar>
            <w:vAlign w:val="bottom"/>
            <w:hideMark/>
          </w:tcPr>
          <w:p w14:paraId="76C0D2C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24E1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59CA19"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1BAB1ED0" w14:textId="77777777" w:rsidR="00000000" w:rsidRDefault="00A173A8">
            <w:pPr>
              <w:spacing w:after="100"/>
              <w:jc w:val="right"/>
              <w:rPr>
                <w:rFonts w:eastAsia="Times New Roman"/>
              </w:rPr>
            </w:pPr>
            <w:r>
              <w:rPr>
                <w:rFonts w:eastAsia="Times New Roman"/>
                <w:b/>
                <w:bCs/>
                <w:color w:val="000000"/>
                <w:sz w:val="18"/>
                <w:szCs w:val="18"/>
              </w:rPr>
              <w:t>(1,758)</w:t>
            </w:r>
          </w:p>
        </w:tc>
        <w:tc>
          <w:tcPr>
            <w:tcW w:w="0" w:type="auto"/>
            <w:shd w:val="clear" w:color="auto" w:fill="FFFFFF"/>
            <w:tcMar>
              <w:top w:w="30" w:type="dxa"/>
              <w:left w:w="0" w:type="dxa"/>
              <w:bottom w:w="30" w:type="dxa"/>
              <w:right w:w="20" w:type="dxa"/>
            </w:tcMar>
            <w:vAlign w:val="bottom"/>
            <w:hideMark/>
          </w:tcPr>
          <w:p w14:paraId="0EC9E39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DAD8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D67671D"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2EBB799" w14:textId="77777777" w:rsidR="00000000" w:rsidRDefault="00A173A8">
            <w:pPr>
              <w:spacing w:after="100"/>
              <w:jc w:val="right"/>
              <w:rPr>
                <w:rFonts w:eastAsia="Times New Roman"/>
              </w:rPr>
            </w:pPr>
            <w:r>
              <w:rPr>
                <w:rFonts w:eastAsia="Times New Roman"/>
                <w:b/>
                <w:bCs/>
                <w:color w:val="000000"/>
                <w:sz w:val="18"/>
                <w:szCs w:val="18"/>
              </w:rPr>
              <w:t>(5,541)</w:t>
            </w:r>
          </w:p>
        </w:tc>
        <w:tc>
          <w:tcPr>
            <w:tcW w:w="0" w:type="auto"/>
            <w:shd w:val="clear" w:color="auto" w:fill="FFFFFF"/>
            <w:tcMar>
              <w:top w:w="30" w:type="dxa"/>
              <w:left w:w="0" w:type="dxa"/>
              <w:bottom w:w="30" w:type="dxa"/>
              <w:right w:w="20" w:type="dxa"/>
            </w:tcMar>
            <w:vAlign w:val="bottom"/>
            <w:hideMark/>
          </w:tcPr>
          <w:p w14:paraId="07EF504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E7C2F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2FF572"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AE7DD3A" w14:textId="77777777" w:rsidR="00000000" w:rsidRDefault="00A173A8">
            <w:pPr>
              <w:spacing w:after="100"/>
              <w:jc w:val="right"/>
              <w:rPr>
                <w:rFonts w:eastAsia="Times New Roman"/>
              </w:rPr>
            </w:pPr>
            <w:r>
              <w:rPr>
                <w:rFonts w:eastAsia="Times New Roman"/>
                <w:color w:val="000000"/>
                <w:sz w:val="18"/>
                <w:szCs w:val="18"/>
              </w:rPr>
              <w:t>(1,446)</w:t>
            </w:r>
          </w:p>
        </w:tc>
        <w:tc>
          <w:tcPr>
            <w:tcW w:w="0" w:type="auto"/>
            <w:shd w:val="clear" w:color="auto" w:fill="FFFFFF"/>
            <w:tcMar>
              <w:top w:w="30" w:type="dxa"/>
              <w:left w:w="0" w:type="dxa"/>
              <w:bottom w:w="30" w:type="dxa"/>
              <w:right w:w="20" w:type="dxa"/>
            </w:tcMar>
            <w:vAlign w:val="bottom"/>
            <w:hideMark/>
          </w:tcPr>
          <w:p w14:paraId="4C1EB72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6494F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B41DCE"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AE8194B" w14:textId="77777777" w:rsidR="00000000" w:rsidRDefault="00A173A8">
            <w:pPr>
              <w:spacing w:after="100"/>
              <w:jc w:val="right"/>
              <w:rPr>
                <w:rFonts w:eastAsia="Times New Roman"/>
              </w:rPr>
            </w:pPr>
            <w:r>
              <w:rPr>
                <w:rFonts w:eastAsia="Times New Roman"/>
                <w:color w:val="000000"/>
                <w:sz w:val="18"/>
                <w:szCs w:val="18"/>
              </w:rPr>
              <w:t>(349)</w:t>
            </w:r>
          </w:p>
        </w:tc>
        <w:tc>
          <w:tcPr>
            <w:tcW w:w="0" w:type="auto"/>
            <w:shd w:val="clear" w:color="auto" w:fill="FFFFFF"/>
            <w:tcMar>
              <w:top w:w="30" w:type="dxa"/>
              <w:left w:w="0" w:type="dxa"/>
              <w:bottom w:w="30" w:type="dxa"/>
              <w:right w:w="20" w:type="dxa"/>
            </w:tcMar>
            <w:vAlign w:val="bottom"/>
            <w:hideMark/>
          </w:tcPr>
          <w:p w14:paraId="051F013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7EE3A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EFCEB0"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9D9140C" w14:textId="77777777" w:rsidR="00000000" w:rsidRDefault="00A173A8">
            <w:pPr>
              <w:spacing w:after="100"/>
              <w:jc w:val="right"/>
              <w:rPr>
                <w:rFonts w:eastAsia="Times New Roman"/>
              </w:rPr>
            </w:pPr>
            <w:r>
              <w:rPr>
                <w:rFonts w:eastAsia="Times New Roman"/>
                <w:color w:val="000000"/>
                <w:sz w:val="18"/>
                <w:szCs w:val="18"/>
              </w:rPr>
              <w:t>(1,097)</w:t>
            </w:r>
          </w:p>
        </w:tc>
        <w:tc>
          <w:tcPr>
            <w:tcW w:w="0" w:type="auto"/>
            <w:shd w:val="clear" w:color="auto" w:fill="FFFFFF"/>
            <w:tcMar>
              <w:top w:w="30" w:type="dxa"/>
              <w:left w:w="0" w:type="dxa"/>
              <w:bottom w:w="30" w:type="dxa"/>
              <w:right w:w="20" w:type="dxa"/>
            </w:tcMar>
            <w:vAlign w:val="bottom"/>
            <w:hideMark/>
          </w:tcPr>
          <w:p w14:paraId="27E2EF98" w14:textId="77777777" w:rsidR="00000000" w:rsidRDefault="00A173A8">
            <w:pPr>
              <w:spacing w:after="100"/>
              <w:jc w:val="right"/>
              <w:rPr>
                <w:rFonts w:eastAsia="Times New Roman"/>
              </w:rPr>
            </w:pPr>
          </w:p>
        </w:tc>
        <w:tc>
          <w:tcPr>
            <w:tcW w:w="0" w:type="auto"/>
            <w:vAlign w:val="center"/>
            <w:hideMark/>
          </w:tcPr>
          <w:p w14:paraId="480E6EE3" w14:textId="77777777" w:rsidR="00000000" w:rsidRDefault="00A173A8">
            <w:pPr>
              <w:spacing w:after="100"/>
              <w:jc w:val="right"/>
              <w:rPr>
                <w:rFonts w:eastAsia="Times New Roman"/>
                <w:sz w:val="20"/>
                <w:szCs w:val="20"/>
              </w:rPr>
            </w:pPr>
          </w:p>
        </w:tc>
        <w:tc>
          <w:tcPr>
            <w:tcW w:w="0" w:type="auto"/>
            <w:vAlign w:val="center"/>
            <w:hideMark/>
          </w:tcPr>
          <w:p w14:paraId="6CC0DE0B" w14:textId="77777777" w:rsidR="00000000" w:rsidRDefault="00A173A8">
            <w:pPr>
              <w:spacing w:after="100"/>
              <w:rPr>
                <w:rFonts w:eastAsia="Times New Roman"/>
                <w:sz w:val="20"/>
                <w:szCs w:val="20"/>
              </w:rPr>
            </w:pPr>
          </w:p>
        </w:tc>
        <w:tc>
          <w:tcPr>
            <w:tcW w:w="0" w:type="auto"/>
            <w:gridSpan w:val="3"/>
            <w:vAlign w:val="center"/>
            <w:hideMark/>
          </w:tcPr>
          <w:p w14:paraId="3E133532" w14:textId="77777777" w:rsidR="00000000" w:rsidRDefault="00A173A8">
            <w:pPr>
              <w:spacing w:after="100"/>
              <w:rPr>
                <w:rFonts w:eastAsia="Times New Roman"/>
                <w:sz w:val="20"/>
                <w:szCs w:val="20"/>
              </w:rPr>
            </w:pPr>
          </w:p>
        </w:tc>
        <w:tc>
          <w:tcPr>
            <w:tcW w:w="0" w:type="auto"/>
            <w:gridSpan w:val="3"/>
            <w:vAlign w:val="center"/>
            <w:hideMark/>
          </w:tcPr>
          <w:p w14:paraId="01EC99E8" w14:textId="77777777" w:rsidR="00000000" w:rsidRDefault="00A173A8">
            <w:pPr>
              <w:spacing w:after="100"/>
              <w:rPr>
                <w:rFonts w:eastAsia="Times New Roman"/>
                <w:sz w:val="20"/>
                <w:szCs w:val="20"/>
              </w:rPr>
            </w:pPr>
          </w:p>
        </w:tc>
        <w:tc>
          <w:tcPr>
            <w:tcW w:w="0" w:type="auto"/>
            <w:gridSpan w:val="3"/>
            <w:vAlign w:val="center"/>
            <w:hideMark/>
          </w:tcPr>
          <w:p w14:paraId="6CD90B7B" w14:textId="77777777" w:rsidR="00000000" w:rsidRDefault="00A173A8">
            <w:pPr>
              <w:spacing w:after="100"/>
              <w:rPr>
                <w:rFonts w:eastAsia="Times New Roman"/>
                <w:sz w:val="20"/>
                <w:szCs w:val="20"/>
              </w:rPr>
            </w:pPr>
          </w:p>
        </w:tc>
        <w:tc>
          <w:tcPr>
            <w:tcW w:w="0" w:type="auto"/>
            <w:gridSpan w:val="3"/>
            <w:vAlign w:val="center"/>
            <w:hideMark/>
          </w:tcPr>
          <w:p w14:paraId="5D9A6259" w14:textId="77777777" w:rsidR="00000000" w:rsidRDefault="00A173A8">
            <w:pPr>
              <w:spacing w:after="100"/>
              <w:rPr>
                <w:rFonts w:eastAsia="Times New Roman"/>
                <w:sz w:val="20"/>
                <w:szCs w:val="20"/>
              </w:rPr>
            </w:pPr>
          </w:p>
        </w:tc>
      </w:tr>
      <w:tr w:rsidR="00000000" w14:paraId="6ADBFF8F" w14:textId="77777777">
        <w:tc>
          <w:tcPr>
            <w:tcW w:w="0" w:type="auto"/>
            <w:gridSpan w:val="3"/>
            <w:shd w:val="clear" w:color="auto" w:fill="CCEEFF"/>
            <w:tcMar>
              <w:top w:w="30" w:type="dxa"/>
              <w:left w:w="20" w:type="dxa"/>
              <w:bottom w:w="30" w:type="dxa"/>
              <w:right w:w="20" w:type="dxa"/>
            </w:tcMar>
            <w:vAlign w:val="center"/>
            <w:hideMark/>
          </w:tcPr>
          <w:p w14:paraId="6FA9303D" w14:textId="77777777" w:rsidR="00000000" w:rsidRDefault="00A173A8">
            <w:pPr>
              <w:spacing w:after="100"/>
              <w:rPr>
                <w:rFonts w:eastAsia="Times New Roman"/>
              </w:rPr>
            </w:pPr>
            <w:r>
              <w:rPr>
                <w:rFonts w:eastAsia="Times New Roman"/>
                <w:color w:val="000000"/>
                <w:sz w:val="18"/>
                <w:szCs w:val="18"/>
              </w:rPr>
              <w:t>Net unrealized losses on hedging relationships</w:t>
            </w:r>
          </w:p>
        </w:tc>
        <w:tc>
          <w:tcPr>
            <w:tcW w:w="0" w:type="auto"/>
            <w:gridSpan w:val="3"/>
            <w:shd w:val="clear" w:color="auto" w:fill="CCEEFF"/>
            <w:tcMar>
              <w:top w:w="0" w:type="dxa"/>
              <w:left w:w="20" w:type="dxa"/>
              <w:bottom w:w="0" w:type="dxa"/>
              <w:right w:w="20" w:type="dxa"/>
            </w:tcMar>
            <w:vAlign w:val="center"/>
            <w:hideMark/>
          </w:tcPr>
          <w:p w14:paraId="48AC763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40F986" w14:textId="77777777" w:rsidR="00000000" w:rsidRDefault="00A173A8">
            <w:pPr>
              <w:spacing w:after="100"/>
              <w:jc w:val="right"/>
              <w:rPr>
                <w:rFonts w:eastAsia="Times New Roman"/>
              </w:rPr>
            </w:pPr>
            <w:r>
              <w:rPr>
                <w:rFonts w:eastAsia="Times New Roman"/>
                <w:b/>
                <w:bCs/>
                <w:color w:val="000000"/>
                <w:sz w:val="18"/>
                <w:szCs w:val="18"/>
              </w:rPr>
              <w:t>(2,227)</w:t>
            </w:r>
          </w:p>
        </w:tc>
        <w:tc>
          <w:tcPr>
            <w:tcW w:w="0" w:type="auto"/>
            <w:shd w:val="clear" w:color="auto" w:fill="CCEEFF"/>
            <w:tcMar>
              <w:top w:w="30" w:type="dxa"/>
              <w:left w:w="0" w:type="dxa"/>
              <w:bottom w:w="30" w:type="dxa"/>
              <w:right w:w="20" w:type="dxa"/>
            </w:tcMar>
            <w:vAlign w:val="bottom"/>
            <w:hideMark/>
          </w:tcPr>
          <w:p w14:paraId="26B14AB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C41C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C4F77D" w14:textId="77777777" w:rsidR="00000000" w:rsidRDefault="00A173A8">
            <w:pPr>
              <w:spacing w:after="100"/>
              <w:jc w:val="right"/>
              <w:rPr>
                <w:rFonts w:eastAsia="Times New Roman"/>
              </w:rPr>
            </w:pPr>
            <w:r>
              <w:rPr>
                <w:rFonts w:eastAsia="Times New Roman"/>
                <w:b/>
                <w:bCs/>
                <w:color w:val="000000"/>
                <w:sz w:val="18"/>
                <w:szCs w:val="18"/>
              </w:rPr>
              <w:t>(535)</w:t>
            </w:r>
          </w:p>
        </w:tc>
        <w:tc>
          <w:tcPr>
            <w:tcW w:w="0" w:type="auto"/>
            <w:shd w:val="clear" w:color="auto" w:fill="CCEEFF"/>
            <w:tcMar>
              <w:top w:w="30" w:type="dxa"/>
              <w:left w:w="0" w:type="dxa"/>
              <w:bottom w:w="30" w:type="dxa"/>
              <w:right w:w="20" w:type="dxa"/>
            </w:tcMar>
            <w:vAlign w:val="bottom"/>
            <w:hideMark/>
          </w:tcPr>
          <w:p w14:paraId="2C57623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059F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67F4C2" w14:textId="77777777" w:rsidR="00000000" w:rsidRDefault="00A173A8">
            <w:pPr>
              <w:spacing w:after="100"/>
              <w:jc w:val="right"/>
              <w:rPr>
                <w:rFonts w:eastAsia="Times New Roman"/>
              </w:rPr>
            </w:pPr>
            <w:r>
              <w:rPr>
                <w:rFonts w:eastAsia="Times New Roman"/>
                <w:b/>
                <w:bCs/>
                <w:color w:val="000000"/>
                <w:sz w:val="18"/>
                <w:szCs w:val="18"/>
              </w:rPr>
              <w:t>(1,692)</w:t>
            </w:r>
          </w:p>
        </w:tc>
        <w:tc>
          <w:tcPr>
            <w:tcW w:w="0" w:type="auto"/>
            <w:shd w:val="clear" w:color="auto" w:fill="CCEEFF"/>
            <w:tcMar>
              <w:top w:w="30" w:type="dxa"/>
              <w:left w:w="0" w:type="dxa"/>
              <w:bottom w:w="30" w:type="dxa"/>
              <w:right w:w="20" w:type="dxa"/>
            </w:tcMar>
            <w:vAlign w:val="bottom"/>
            <w:hideMark/>
          </w:tcPr>
          <w:p w14:paraId="152567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CCBB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1FD12C" w14:textId="77777777" w:rsidR="00000000" w:rsidRDefault="00A173A8">
            <w:pPr>
              <w:spacing w:after="100"/>
              <w:jc w:val="right"/>
              <w:rPr>
                <w:rFonts w:eastAsia="Times New Roman"/>
              </w:rPr>
            </w:pPr>
            <w:r>
              <w:rPr>
                <w:rFonts w:eastAsia="Times New Roman"/>
                <w:color w:val="000000"/>
                <w:sz w:val="18"/>
                <w:szCs w:val="18"/>
              </w:rPr>
              <w:t>(834)</w:t>
            </w:r>
          </w:p>
        </w:tc>
        <w:tc>
          <w:tcPr>
            <w:tcW w:w="0" w:type="auto"/>
            <w:shd w:val="clear" w:color="auto" w:fill="CCEEFF"/>
            <w:tcMar>
              <w:top w:w="30" w:type="dxa"/>
              <w:left w:w="0" w:type="dxa"/>
              <w:bottom w:w="30" w:type="dxa"/>
              <w:right w:w="20" w:type="dxa"/>
            </w:tcMar>
            <w:vAlign w:val="bottom"/>
            <w:hideMark/>
          </w:tcPr>
          <w:p w14:paraId="4EA8467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4605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115914" w14:textId="77777777" w:rsidR="00000000" w:rsidRDefault="00A173A8">
            <w:pPr>
              <w:spacing w:after="100"/>
              <w:jc w:val="right"/>
              <w:rPr>
                <w:rFonts w:eastAsia="Times New Roman"/>
              </w:rPr>
            </w:pPr>
            <w:r>
              <w:rPr>
                <w:rFonts w:eastAsia="Times New Roman"/>
                <w:color w:val="000000"/>
                <w:sz w:val="18"/>
                <w:szCs w:val="18"/>
              </w:rPr>
              <w:t>(202)</w:t>
            </w:r>
          </w:p>
        </w:tc>
        <w:tc>
          <w:tcPr>
            <w:tcW w:w="0" w:type="auto"/>
            <w:shd w:val="clear" w:color="auto" w:fill="CCEEFF"/>
            <w:tcMar>
              <w:top w:w="30" w:type="dxa"/>
              <w:left w:w="0" w:type="dxa"/>
              <w:bottom w:w="30" w:type="dxa"/>
              <w:right w:w="20" w:type="dxa"/>
            </w:tcMar>
            <w:vAlign w:val="bottom"/>
            <w:hideMark/>
          </w:tcPr>
          <w:p w14:paraId="45931B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F330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75C1C0" w14:textId="77777777" w:rsidR="00000000" w:rsidRDefault="00A173A8">
            <w:pPr>
              <w:spacing w:after="100"/>
              <w:jc w:val="right"/>
              <w:rPr>
                <w:rFonts w:eastAsia="Times New Roman"/>
              </w:rPr>
            </w:pPr>
            <w:r>
              <w:rPr>
                <w:rFonts w:eastAsia="Times New Roman"/>
                <w:color w:val="000000"/>
                <w:sz w:val="18"/>
                <w:szCs w:val="18"/>
              </w:rPr>
              <w:t>(632)</w:t>
            </w:r>
          </w:p>
        </w:tc>
        <w:tc>
          <w:tcPr>
            <w:tcW w:w="0" w:type="auto"/>
            <w:shd w:val="clear" w:color="auto" w:fill="CCEEFF"/>
            <w:tcMar>
              <w:top w:w="30" w:type="dxa"/>
              <w:left w:w="0" w:type="dxa"/>
              <w:bottom w:w="30" w:type="dxa"/>
              <w:right w:w="20" w:type="dxa"/>
            </w:tcMar>
            <w:vAlign w:val="bottom"/>
            <w:hideMark/>
          </w:tcPr>
          <w:p w14:paraId="4D96C8A7" w14:textId="77777777" w:rsidR="00000000" w:rsidRDefault="00A173A8">
            <w:pPr>
              <w:spacing w:after="100"/>
              <w:jc w:val="right"/>
              <w:rPr>
                <w:rFonts w:eastAsia="Times New Roman"/>
              </w:rPr>
            </w:pPr>
          </w:p>
        </w:tc>
        <w:tc>
          <w:tcPr>
            <w:tcW w:w="0" w:type="auto"/>
            <w:vAlign w:val="center"/>
            <w:hideMark/>
          </w:tcPr>
          <w:p w14:paraId="2C9C89B5" w14:textId="77777777" w:rsidR="00000000" w:rsidRDefault="00A173A8">
            <w:pPr>
              <w:spacing w:after="100"/>
              <w:jc w:val="right"/>
              <w:rPr>
                <w:rFonts w:eastAsia="Times New Roman"/>
                <w:sz w:val="20"/>
                <w:szCs w:val="20"/>
              </w:rPr>
            </w:pPr>
          </w:p>
        </w:tc>
        <w:tc>
          <w:tcPr>
            <w:tcW w:w="0" w:type="auto"/>
            <w:vAlign w:val="center"/>
            <w:hideMark/>
          </w:tcPr>
          <w:p w14:paraId="0C5BB2D5" w14:textId="77777777" w:rsidR="00000000" w:rsidRDefault="00A173A8">
            <w:pPr>
              <w:spacing w:after="100"/>
              <w:rPr>
                <w:rFonts w:eastAsia="Times New Roman"/>
                <w:sz w:val="20"/>
                <w:szCs w:val="20"/>
              </w:rPr>
            </w:pPr>
          </w:p>
        </w:tc>
        <w:tc>
          <w:tcPr>
            <w:tcW w:w="0" w:type="auto"/>
            <w:gridSpan w:val="3"/>
            <w:vAlign w:val="center"/>
            <w:hideMark/>
          </w:tcPr>
          <w:p w14:paraId="34E85332" w14:textId="77777777" w:rsidR="00000000" w:rsidRDefault="00A173A8">
            <w:pPr>
              <w:spacing w:after="100"/>
              <w:rPr>
                <w:rFonts w:eastAsia="Times New Roman"/>
                <w:sz w:val="20"/>
                <w:szCs w:val="20"/>
              </w:rPr>
            </w:pPr>
          </w:p>
        </w:tc>
        <w:tc>
          <w:tcPr>
            <w:tcW w:w="0" w:type="auto"/>
            <w:gridSpan w:val="3"/>
            <w:vAlign w:val="center"/>
            <w:hideMark/>
          </w:tcPr>
          <w:p w14:paraId="4FCC7962" w14:textId="77777777" w:rsidR="00000000" w:rsidRDefault="00A173A8">
            <w:pPr>
              <w:spacing w:after="100"/>
              <w:rPr>
                <w:rFonts w:eastAsia="Times New Roman"/>
                <w:sz w:val="20"/>
                <w:szCs w:val="20"/>
              </w:rPr>
            </w:pPr>
          </w:p>
        </w:tc>
        <w:tc>
          <w:tcPr>
            <w:tcW w:w="0" w:type="auto"/>
            <w:gridSpan w:val="3"/>
            <w:vAlign w:val="center"/>
            <w:hideMark/>
          </w:tcPr>
          <w:p w14:paraId="725984BB" w14:textId="77777777" w:rsidR="00000000" w:rsidRDefault="00A173A8">
            <w:pPr>
              <w:spacing w:after="100"/>
              <w:rPr>
                <w:rFonts w:eastAsia="Times New Roman"/>
                <w:sz w:val="20"/>
                <w:szCs w:val="20"/>
              </w:rPr>
            </w:pPr>
          </w:p>
        </w:tc>
        <w:tc>
          <w:tcPr>
            <w:tcW w:w="0" w:type="auto"/>
            <w:gridSpan w:val="3"/>
            <w:vAlign w:val="center"/>
            <w:hideMark/>
          </w:tcPr>
          <w:p w14:paraId="6F45FBDB" w14:textId="77777777" w:rsidR="00000000" w:rsidRDefault="00A173A8">
            <w:pPr>
              <w:spacing w:after="100"/>
              <w:rPr>
                <w:rFonts w:eastAsia="Times New Roman"/>
                <w:sz w:val="20"/>
                <w:szCs w:val="20"/>
              </w:rPr>
            </w:pPr>
          </w:p>
        </w:tc>
      </w:tr>
      <w:tr w:rsidR="00000000" w14:paraId="5FC3528E" w14:textId="77777777">
        <w:tc>
          <w:tcPr>
            <w:tcW w:w="0" w:type="auto"/>
            <w:gridSpan w:val="3"/>
            <w:shd w:val="clear" w:color="auto" w:fill="FFFFFF"/>
            <w:tcMar>
              <w:top w:w="30" w:type="dxa"/>
              <w:left w:w="20" w:type="dxa"/>
              <w:bottom w:w="30" w:type="dxa"/>
              <w:right w:w="20" w:type="dxa"/>
            </w:tcMar>
            <w:vAlign w:val="center"/>
            <w:hideMark/>
          </w:tcPr>
          <w:p w14:paraId="14E80CA9" w14:textId="77777777" w:rsidR="00000000" w:rsidRDefault="00A173A8">
            <w:pPr>
              <w:spacing w:after="100"/>
              <w:divId w:val="1317416375"/>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53A5EA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4EDDED" w14:textId="77777777" w:rsidR="00000000" w:rsidRDefault="00A173A8">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A4A71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AD69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F7A318" w14:textId="77777777" w:rsidR="00000000" w:rsidRDefault="00A173A8">
            <w:pPr>
              <w:spacing w:after="100"/>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1389EB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CD75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4F4702" w14:textId="77777777" w:rsidR="00000000" w:rsidRDefault="00A173A8">
            <w:pPr>
              <w:spacing w:after="100"/>
              <w:jc w:val="right"/>
              <w:rPr>
                <w:rFonts w:eastAsia="Times New Roman"/>
              </w:rPr>
            </w:pPr>
            <w:r>
              <w:rPr>
                <w:rFonts w:eastAsia="Times New Roman"/>
                <w:b/>
                <w:bCs/>
                <w:color w:val="000000"/>
                <w:sz w:val="18"/>
                <w:szCs w:val="18"/>
              </w:rPr>
              <w:t>(57)</w:t>
            </w:r>
          </w:p>
        </w:tc>
        <w:tc>
          <w:tcPr>
            <w:tcW w:w="0" w:type="auto"/>
            <w:shd w:val="clear" w:color="auto" w:fill="FFFFFF"/>
            <w:tcMar>
              <w:top w:w="30" w:type="dxa"/>
              <w:left w:w="0" w:type="dxa"/>
              <w:bottom w:w="30" w:type="dxa"/>
              <w:right w:w="20" w:type="dxa"/>
            </w:tcMar>
            <w:vAlign w:val="bottom"/>
            <w:hideMark/>
          </w:tcPr>
          <w:p w14:paraId="2763D5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1548F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9C0CF6" w14:textId="77777777" w:rsidR="00000000" w:rsidRDefault="00A173A8">
            <w:pPr>
              <w:spacing w:after="100"/>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bottom"/>
            <w:hideMark/>
          </w:tcPr>
          <w:p w14:paraId="58A9F0D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88454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D6E6AD" w14:textId="77777777" w:rsidR="00000000" w:rsidRDefault="00A173A8">
            <w:pPr>
              <w:spacing w:after="100"/>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bottom"/>
            <w:hideMark/>
          </w:tcPr>
          <w:p w14:paraId="575C369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A6299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6B305" w14:textId="77777777" w:rsidR="00000000" w:rsidRDefault="00A173A8">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14:paraId="0C5E7187" w14:textId="77777777" w:rsidR="00000000" w:rsidRDefault="00A173A8">
            <w:pPr>
              <w:spacing w:after="100"/>
              <w:jc w:val="right"/>
              <w:rPr>
                <w:rFonts w:eastAsia="Times New Roman"/>
              </w:rPr>
            </w:pPr>
          </w:p>
        </w:tc>
        <w:tc>
          <w:tcPr>
            <w:tcW w:w="0" w:type="auto"/>
            <w:vAlign w:val="center"/>
            <w:hideMark/>
          </w:tcPr>
          <w:p w14:paraId="1E36100D" w14:textId="77777777" w:rsidR="00000000" w:rsidRDefault="00A173A8">
            <w:pPr>
              <w:spacing w:after="100"/>
              <w:jc w:val="right"/>
              <w:rPr>
                <w:rFonts w:eastAsia="Times New Roman"/>
                <w:sz w:val="20"/>
                <w:szCs w:val="20"/>
              </w:rPr>
            </w:pPr>
          </w:p>
        </w:tc>
        <w:tc>
          <w:tcPr>
            <w:tcW w:w="0" w:type="auto"/>
            <w:vAlign w:val="center"/>
            <w:hideMark/>
          </w:tcPr>
          <w:p w14:paraId="1B128B8E" w14:textId="77777777" w:rsidR="00000000" w:rsidRDefault="00A173A8">
            <w:pPr>
              <w:spacing w:after="100"/>
              <w:rPr>
                <w:rFonts w:eastAsia="Times New Roman"/>
                <w:sz w:val="20"/>
                <w:szCs w:val="20"/>
              </w:rPr>
            </w:pPr>
          </w:p>
        </w:tc>
        <w:tc>
          <w:tcPr>
            <w:tcW w:w="0" w:type="auto"/>
            <w:gridSpan w:val="3"/>
            <w:vAlign w:val="center"/>
            <w:hideMark/>
          </w:tcPr>
          <w:p w14:paraId="31808F58" w14:textId="77777777" w:rsidR="00000000" w:rsidRDefault="00A173A8">
            <w:pPr>
              <w:spacing w:after="100"/>
              <w:rPr>
                <w:rFonts w:eastAsia="Times New Roman"/>
                <w:sz w:val="20"/>
                <w:szCs w:val="20"/>
              </w:rPr>
            </w:pPr>
          </w:p>
        </w:tc>
        <w:tc>
          <w:tcPr>
            <w:tcW w:w="0" w:type="auto"/>
            <w:gridSpan w:val="3"/>
            <w:vAlign w:val="center"/>
            <w:hideMark/>
          </w:tcPr>
          <w:p w14:paraId="2C07E4C2" w14:textId="77777777" w:rsidR="00000000" w:rsidRDefault="00A173A8">
            <w:pPr>
              <w:spacing w:after="100"/>
              <w:rPr>
                <w:rFonts w:eastAsia="Times New Roman"/>
                <w:sz w:val="20"/>
                <w:szCs w:val="20"/>
              </w:rPr>
            </w:pPr>
          </w:p>
        </w:tc>
        <w:tc>
          <w:tcPr>
            <w:tcW w:w="0" w:type="auto"/>
            <w:gridSpan w:val="3"/>
            <w:vAlign w:val="center"/>
            <w:hideMark/>
          </w:tcPr>
          <w:p w14:paraId="45DFAC62" w14:textId="77777777" w:rsidR="00000000" w:rsidRDefault="00A173A8">
            <w:pPr>
              <w:spacing w:after="100"/>
              <w:rPr>
                <w:rFonts w:eastAsia="Times New Roman"/>
                <w:sz w:val="20"/>
                <w:szCs w:val="20"/>
              </w:rPr>
            </w:pPr>
          </w:p>
        </w:tc>
        <w:tc>
          <w:tcPr>
            <w:tcW w:w="0" w:type="auto"/>
            <w:gridSpan w:val="3"/>
            <w:vAlign w:val="center"/>
            <w:hideMark/>
          </w:tcPr>
          <w:p w14:paraId="30E51780" w14:textId="77777777" w:rsidR="00000000" w:rsidRDefault="00A173A8">
            <w:pPr>
              <w:spacing w:after="100"/>
              <w:rPr>
                <w:rFonts w:eastAsia="Times New Roman"/>
                <w:sz w:val="20"/>
                <w:szCs w:val="20"/>
              </w:rPr>
            </w:pPr>
          </w:p>
        </w:tc>
      </w:tr>
      <w:tr w:rsidR="00000000" w14:paraId="0D2199AB" w14:textId="77777777">
        <w:tc>
          <w:tcPr>
            <w:tcW w:w="0" w:type="auto"/>
            <w:gridSpan w:val="3"/>
            <w:shd w:val="clear" w:color="auto" w:fill="CCEEFF"/>
            <w:tcMar>
              <w:top w:w="30" w:type="dxa"/>
              <w:left w:w="20" w:type="dxa"/>
              <w:bottom w:w="30" w:type="dxa"/>
              <w:right w:w="20" w:type="dxa"/>
            </w:tcMar>
            <w:vAlign w:val="center"/>
            <w:hideMark/>
          </w:tcPr>
          <w:p w14:paraId="6342EF3F" w14:textId="77777777" w:rsidR="00000000" w:rsidRDefault="00A173A8">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19E11FA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88F6E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73F71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A459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AC290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BAE47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FE3A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CC6B0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333000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5CD0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6C136"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2E8EF54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49BA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B34C7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489A7C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F5833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B872C3"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27174DED" w14:textId="77777777" w:rsidR="00000000" w:rsidRDefault="00A173A8">
            <w:pPr>
              <w:spacing w:after="100"/>
              <w:jc w:val="right"/>
              <w:rPr>
                <w:rFonts w:eastAsia="Times New Roman"/>
              </w:rPr>
            </w:pPr>
          </w:p>
        </w:tc>
        <w:tc>
          <w:tcPr>
            <w:tcW w:w="0" w:type="auto"/>
            <w:vAlign w:val="center"/>
            <w:hideMark/>
          </w:tcPr>
          <w:p w14:paraId="44154195" w14:textId="77777777" w:rsidR="00000000" w:rsidRDefault="00A173A8">
            <w:pPr>
              <w:spacing w:after="100"/>
              <w:jc w:val="right"/>
              <w:rPr>
                <w:rFonts w:eastAsia="Times New Roman"/>
                <w:sz w:val="20"/>
                <w:szCs w:val="20"/>
              </w:rPr>
            </w:pPr>
          </w:p>
        </w:tc>
        <w:tc>
          <w:tcPr>
            <w:tcW w:w="0" w:type="auto"/>
            <w:vAlign w:val="center"/>
            <w:hideMark/>
          </w:tcPr>
          <w:p w14:paraId="7E81CBB7" w14:textId="77777777" w:rsidR="00000000" w:rsidRDefault="00A173A8">
            <w:pPr>
              <w:spacing w:after="100"/>
              <w:rPr>
                <w:rFonts w:eastAsia="Times New Roman"/>
                <w:sz w:val="20"/>
                <w:szCs w:val="20"/>
              </w:rPr>
            </w:pPr>
          </w:p>
        </w:tc>
        <w:tc>
          <w:tcPr>
            <w:tcW w:w="0" w:type="auto"/>
            <w:gridSpan w:val="3"/>
            <w:vAlign w:val="center"/>
            <w:hideMark/>
          </w:tcPr>
          <w:p w14:paraId="54711C79" w14:textId="77777777" w:rsidR="00000000" w:rsidRDefault="00A173A8">
            <w:pPr>
              <w:spacing w:after="100"/>
              <w:rPr>
                <w:rFonts w:eastAsia="Times New Roman"/>
                <w:sz w:val="20"/>
                <w:szCs w:val="20"/>
              </w:rPr>
            </w:pPr>
          </w:p>
        </w:tc>
        <w:tc>
          <w:tcPr>
            <w:tcW w:w="0" w:type="auto"/>
            <w:gridSpan w:val="3"/>
            <w:vAlign w:val="center"/>
            <w:hideMark/>
          </w:tcPr>
          <w:p w14:paraId="125E2481" w14:textId="77777777" w:rsidR="00000000" w:rsidRDefault="00A173A8">
            <w:pPr>
              <w:spacing w:after="100"/>
              <w:rPr>
                <w:rFonts w:eastAsia="Times New Roman"/>
                <w:sz w:val="20"/>
                <w:szCs w:val="20"/>
              </w:rPr>
            </w:pPr>
          </w:p>
        </w:tc>
        <w:tc>
          <w:tcPr>
            <w:tcW w:w="0" w:type="auto"/>
            <w:gridSpan w:val="3"/>
            <w:vAlign w:val="center"/>
            <w:hideMark/>
          </w:tcPr>
          <w:p w14:paraId="40AB1479" w14:textId="77777777" w:rsidR="00000000" w:rsidRDefault="00A173A8">
            <w:pPr>
              <w:spacing w:after="100"/>
              <w:rPr>
                <w:rFonts w:eastAsia="Times New Roman"/>
                <w:sz w:val="20"/>
                <w:szCs w:val="20"/>
              </w:rPr>
            </w:pPr>
          </w:p>
        </w:tc>
        <w:tc>
          <w:tcPr>
            <w:tcW w:w="0" w:type="auto"/>
            <w:gridSpan w:val="3"/>
            <w:vAlign w:val="center"/>
            <w:hideMark/>
          </w:tcPr>
          <w:p w14:paraId="7E3D34DA" w14:textId="77777777" w:rsidR="00000000" w:rsidRDefault="00A173A8">
            <w:pPr>
              <w:spacing w:after="100"/>
              <w:rPr>
                <w:rFonts w:eastAsia="Times New Roman"/>
                <w:sz w:val="20"/>
                <w:szCs w:val="20"/>
              </w:rPr>
            </w:pPr>
          </w:p>
        </w:tc>
      </w:tr>
      <w:tr w:rsidR="00000000" w14:paraId="02B99C5E" w14:textId="77777777">
        <w:tc>
          <w:tcPr>
            <w:tcW w:w="0" w:type="auto"/>
            <w:gridSpan w:val="3"/>
            <w:shd w:val="clear" w:color="auto" w:fill="FFFFFF"/>
            <w:tcMar>
              <w:top w:w="30" w:type="dxa"/>
              <w:left w:w="20" w:type="dxa"/>
              <w:bottom w:w="30" w:type="dxa"/>
              <w:right w:w="20" w:type="dxa"/>
            </w:tcMar>
            <w:vAlign w:val="center"/>
            <w:hideMark/>
          </w:tcPr>
          <w:p w14:paraId="5D10DC02" w14:textId="77777777" w:rsidR="00000000" w:rsidRDefault="00A173A8">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14:paraId="6AD51CFA"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CC5A46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53FAC9A" w14:textId="77777777" w:rsidR="00000000" w:rsidRDefault="00A173A8">
            <w:pPr>
              <w:spacing w:after="100"/>
              <w:jc w:val="right"/>
              <w:rPr>
                <w:rFonts w:eastAsia="Times New Roman"/>
              </w:rPr>
            </w:pPr>
            <w:r>
              <w:rPr>
                <w:rFonts w:eastAsia="Times New Roman"/>
                <w:b/>
                <w:bCs/>
                <w:color w:val="000000"/>
                <w:sz w:val="18"/>
                <w:szCs w:val="18"/>
              </w:rPr>
              <w:t>(9,512)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6CD4C7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C284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0A1457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5F1D53F" w14:textId="77777777" w:rsidR="00000000" w:rsidRDefault="00A173A8">
            <w:pPr>
              <w:spacing w:after="100"/>
              <w:jc w:val="right"/>
              <w:rPr>
                <w:rFonts w:eastAsia="Times New Roman"/>
              </w:rPr>
            </w:pPr>
            <w:r>
              <w:rPr>
                <w:rFonts w:eastAsia="Times New Roman"/>
                <w:b/>
                <w:bCs/>
                <w:color w:val="000000"/>
                <w:sz w:val="18"/>
                <w:szCs w:val="18"/>
              </w:rPr>
              <w:t>(2,222)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98E998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45B2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248FCB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5130E3B" w14:textId="77777777" w:rsidR="00000000" w:rsidRDefault="00A173A8">
            <w:pPr>
              <w:spacing w:after="100"/>
              <w:jc w:val="right"/>
              <w:rPr>
                <w:rFonts w:eastAsia="Times New Roman"/>
              </w:rPr>
            </w:pPr>
            <w:r>
              <w:rPr>
                <w:rFonts w:eastAsia="Times New Roman"/>
                <w:b/>
                <w:bCs/>
                <w:color w:val="000000"/>
                <w:sz w:val="18"/>
                <w:szCs w:val="18"/>
              </w:rPr>
              <w:t>(7,290)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715D7E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8BD6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656849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0285CFC" w14:textId="77777777" w:rsidR="00000000" w:rsidRDefault="00A173A8">
            <w:pPr>
              <w:spacing w:after="100"/>
              <w:jc w:val="right"/>
              <w:rPr>
                <w:rFonts w:eastAsia="Times New Roman"/>
              </w:rPr>
            </w:pPr>
            <w:r>
              <w:rPr>
                <w:rFonts w:eastAsia="Times New Roman"/>
                <w:color w:val="000000"/>
                <w:sz w:val="18"/>
                <w:szCs w:val="18"/>
              </w:rPr>
              <w:t>(2,264)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783ECC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EDE0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A390EC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9F7FC3F" w14:textId="77777777" w:rsidR="00000000" w:rsidRDefault="00A173A8">
            <w:pPr>
              <w:spacing w:after="100"/>
              <w:jc w:val="right"/>
              <w:rPr>
                <w:rFonts w:eastAsia="Times New Roman"/>
              </w:rPr>
            </w:pPr>
            <w:r>
              <w:rPr>
                <w:rFonts w:eastAsia="Times New Roman"/>
                <w:color w:val="000000"/>
                <w:sz w:val="18"/>
                <w:szCs w:val="18"/>
              </w:rPr>
              <w:t>(562)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994D9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BAA5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3722EC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E78A4F1" w14:textId="77777777" w:rsidR="00000000" w:rsidRDefault="00A173A8">
            <w:pPr>
              <w:spacing w:after="100"/>
              <w:jc w:val="right"/>
              <w:rPr>
                <w:rFonts w:eastAsia="Times New Roman"/>
              </w:rPr>
            </w:pPr>
            <w:r>
              <w:rPr>
                <w:rFonts w:eastAsia="Times New Roman"/>
                <w:color w:val="000000"/>
                <w:sz w:val="18"/>
                <w:szCs w:val="18"/>
              </w:rPr>
              <w:t>(1,702)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55C6A92" w14:textId="77777777" w:rsidR="00000000" w:rsidRDefault="00A173A8">
            <w:pPr>
              <w:spacing w:after="100"/>
              <w:jc w:val="right"/>
              <w:rPr>
                <w:rFonts w:eastAsia="Times New Roman"/>
              </w:rPr>
            </w:pPr>
          </w:p>
        </w:tc>
        <w:tc>
          <w:tcPr>
            <w:tcW w:w="0" w:type="auto"/>
            <w:vAlign w:val="center"/>
            <w:hideMark/>
          </w:tcPr>
          <w:p w14:paraId="257145A6" w14:textId="77777777" w:rsidR="00000000" w:rsidRDefault="00A173A8">
            <w:pPr>
              <w:spacing w:after="100"/>
              <w:jc w:val="right"/>
              <w:rPr>
                <w:rFonts w:eastAsia="Times New Roman"/>
                <w:sz w:val="20"/>
                <w:szCs w:val="20"/>
              </w:rPr>
            </w:pPr>
          </w:p>
        </w:tc>
        <w:tc>
          <w:tcPr>
            <w:tcW w:w="0" w:type="auto"/>
            <w:vAlign w:val="center"/>
            <w:hideMark/>
          </w:tcPr>
          <w:p w14:paraId="0589A648" w14:textId="77777777" w:rsidR="00000000" w:rsidRDefault="00A173A8">
            <w:pPr>
              <w:spacing w:after="100"/>
              <w:rPr>
                <w:rFonts w:eastAsia="Times New Roman"/>
                <w:sz w:val="20"/>
                <w:szCs w:val="20"/>
              </w:rPr>
            </w:pPr>
          </w:p>
        </w:tc>
        <w:tc>
          <w:tcPr>
            <w:tcW w:w="0" w:type="auto"/>
            <w:gridSpan w:val="3"/>
            <w:vAlign w:val="center"/>
            <w:hideMark/>
          </w:tcPr>
          <w:p w14:paraId="0CBCDBBF" w14:textId="77777777" w:rsidR="00000000" w:rsidRDefault="00A173A8">
            <w:pPr>
              <w:spacing w:after="100"/>
              <w:rPr>
                <w:rFonts w:eastAsia="Times New Roman"/>
                <w:sz w:val="20"/>
                <w:szCs w:val="20"/>
              </w:rPr>
            </w:pPr>
          </w:p>
        </w:tc>
        <w:tc>
          <w:tcPr>
            <w:tcW w:w="0" w:type="auto"/>
            <w:gridSpan w:val="3"/>
            <w:vAlign w:val="center"/>
            <w:hideMark/>
          </w:tcPr>
          <w:p w14:paraId="4446DBB8" w14:textId="77777777" w:rsidR="00000000" w:rsidRDefault="00A173A8">
            <w:pPr>
              <w:spacing w:after="100"/>
              <w:rPr>
                <w:rFonts w:eastAsia="Times New Roman"/>
                <w:sz w:val="20"/>
                <w:szCs w:val="20"/>
              </w:rPr>
            </w:pPr>
          </w:p>
        </w:tc>
        <w:tc>
          <w:tcPr>
            <w:tcW w:w="0" w:type="auto"/>
            <w:gridSpan w:val="3"/>
            <w:vAlign w:val="center"/>
            <w:hideMark/>
          </w:tcPr>
          <w:p w14:paraId="6D67F78F" w14:textId="77777777" w:rsidR="00000000" w:rsidRDefault="00A173A8">
            <w:pPr>
              <w:spacing w:after="100"/>
              <w:rPr>
                <w:rFonts w:eastAsia="Times New Roman"/>
                <w:sz w:val="20"/>
                <w:szCs w:val="20"/>
              </w:rPr>
            </w:pPr>
          </w:p>
        </w:tc>
        <w:tc>
          <w:tcPr>
            <w:tcW w:w="0" w:type="auto"/>
            <w:gridSpan w:val="3"/>
            <w:vAlign w:val="center"/>
            <w:hideMark/>
          </w:tcPr>
          <w:p w14:paraId="4891215C" w14:textId="77777777" w:rsidR="00000000" w:rsidRDefault="00A173A8">
            <w:pPr>
              <w:spacing w:after="100"/>
              <w:rPr>
                <w:rFonts w:eastAsia="Times New Roman"/>
                <w:sz w:val="20"/>
                <w:szCs w:val="20"/>
              </w:rPr>
            </w:pPr>
          </w:p>
        </w:tc>
      </w:tr>
    </w:tbl>
    <w:p w14:paraId="25B082BD" w14:textId="77777777" w:rsidR="00000000" w:rsidRDefault="00A173A8">
      <w:pPr>
        <w:jc w:val="both"/>
        <w:rPr>
          <w:rFonts w:eastAsia="Times New Roman"/>
        </w:rPr>
      </w:pPr>
      <w:r>
        <w:rPr>
          <w:rFonts w:eastAsia="Times New Roman"/>
          <w:color w:val="000000"/>
          <w:sz w:val="20"/>
          <w:szCs w:val="20"/>
        </w:rPr>
        <w:t>__________</w:t>
      </w:r>
    </w:p>
    <w:p w14:paraId="7F94562A" w14:textId="77777777" w:rsidR="00000000" w:rsidRDefault="00A173A8">
      <w:pPr>
        <w:ind w:hanging="360"/>
        <w:jc w:val="both"/>
        <w:divId w:val="11043765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the impact of hedging instruments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F884AF7" w14:textId="77777777">
        <w:trPr>
          <w:divId w:val="1262950330"/>
          <w:jc w:val="center"/>
        </w:trPr>
        <w:tc>
          <w:tcPr>
            <w:tcW w:w="50" w:type="pct"/>
            <w:vAlign w:val="center"/>
            <w:hideMark/>
          </w:tcPr>
          <w:p w14:paraId="78BA815D" w14:textId="77777777" w:rsidR="00000000" w:rsidRDefault="00A173A8">
            <w:pPr>
              <w:ind w:hanging="360"/>
              <w:jc w:val="both"/>
              <w:rPr>
                <w:rFonts w:eastAsia="Times New Roman"/>
              </w:rPr>
            </w:pPr>
          </w:p>
        </w:tc>
        <w:tc>
          <w:tcPr>
            <w:tcW w:w="1606" w:type="pct"/>
            <w:vAlign w:val="center"/>
            <w:hideMark/>
          </w:tcPr>
          <w:p w14:paraId="2601D395" w14:textId="77777777" w:rsidR="00000000" w:rsidRDefault="00A173A8">
            <w:pPr>
              <w:spacing w:after="100"/>
              <w:rPr>
                <w:rFonts w:eastAsia="Times New Roman"/>
                <w:sz w:val="20"/>
                <w:szCs w:val="20"/>
              </w:rPr>
            </w:pPr>
          </w:p>
        </w:tc>
        <w:tc>
          <w:tcPr>
            <w:tcW w:w="5" w:type="pct"/>
            <w:vAlign w:val="center"/>
            <w:hideMark/>
          </w:tcPr>
          <w:p w14:paraId="2F1ECC47" w14:textId="77777777" w:rsidR="00000000" w:rsidRDefault="00A173A8">
            <w:pPr>
              <w:spacing w:after="100"/>
              <w:rPr>
                <w:rFonts w:eastAsia="Times New Roman"/>
                <w:sz w:val="20"/>
                <w:szCs w:val="20"/>
              </w:rPr>
            </w:pPr>
          </w:p>
        </w:tc>
        <w:tc>
          <w:tcPr>
            <w:tcW w:w="50" w:type="pct"/>
            <w:vAlign w:val="center"/>
            <w:hideMark/>
          </w:tcPr>
          <w:p w14:paraId="4B8F8EC4" w14:textId="77777777" w:rsidR="00000000" w:rsidRDefault="00A173A8">
            <w:pPr>
              <w:spacing w:after="100"/>
              <w:rPr>
                <w:rFonts w:eastAsia="Times New Roman"/>
                <w:sz w:val="20"/>
                <w:szCs w:val="20"/>
              </w:rPr>
            </w:pPr>
          </w:p>
        </w:tc>
        <w:tc>
          <w:tcPr>
            <w:tcW w:w="1614" w:type="pct"/>
            <w:vAlign w:val="center"/>
            <w:hideMark/>
          </w:tcPr>
          <w:p w14:paraId="5D64E046" w14:textId="77777777" w:rsidR="00000000" w:rsidRDefault="00A173A8">
            <w:pPr>
              <w:spacing w:after="100"/>
              <w:rPr>
                <w:rFonts w:eastAsia="Times New Roman"/>
                <w:sz w:val="20"/>
                <w:szCs w:val="20"/>
              </w:rPr>
            </w:pPr>
          </w:p>
        </w:tc>
        <w:tc>
          <w:tcPr>
            <w:tcW w:w="5" w:type="pct"/>
            <w:vAlign w:val="center"/>
            <w:hideMark/>
          </w:tcPr>
          <w:p w14:paraId="01FCCCED" w14:textId="77777777" w:rsidR="00000000" w:rsidRDefault="00A173A8">
            <w:pPr>
              <w:spacing w:after="100"/>
              <w:rPr>
                <w:rFonts w:eastAsia="Times New Roman"/>
                <w:sz w:val="20"/>
                <w:szCs w:val="20"/>
              </w:rPr>
            </w:pPr>
          </w:p>
        </w:tc>
        <w:tc>
          <w:tcPr>
            <w:tcW w:w="50" w:type="pct"/>
            <w:vAlign w:val="center"/>
            <w:hideMark/>
          </w:tcPr>
          <w:p w14:paraId="5A4E5E5D" w14:textId="77777777" w:rsidR="00000000" w:rsidRDefault="00A173A8">
            <w:pPr>
              <w:spacing w:after="100"/>
              <w:rPr>
                <w:rFonts w:eastAsia="Times New Roman"/>
                <w:sz w:val="20"/>
                <w:szCs w:val="20"/>
              </w:rPr>
            </w:pPr>
          </w:p>
        </w:tc>
        <w:tc>
          <w:tcPr>
            <w:tcW w:w="1614" w:type="pct"/>
            <w:vAlign w:val="center"/>
            <w:hideMark/>
          </w:tcPr>
          <w:p w14:paraId="0B86ED75" w14:textId="77777777" w:rsidR="00000000" w:rsidRDefault="00A173A8">
            <w:pPr>
              <w:spacing w:after="100"/>
              <w:rPr>
                <w:rFonts w:eastAsia="Times New Roman"/>
                <w:sz w:val="20"/>
                <w:szCs w:val="20"/>
              </w:rPr>
            </w:pPr>
          </w:p>
        </w:tc>
        <w:tc>
          <w:tcPr>
            <w:tcW w:w="5" w:type="pct"/>
            <w:vAlign w:val="center"/>
            <w:hideMark/>
          </w:tcPr>
          <w:p w14:paraId="5250598D" w14:textId="77777777" w:rsidR="00000000" w:rsidRDefault="00A173A8">
            <w:pPr>
              <w:spacing w:after="100"/>
              <w:rPr>
                <w:rFonts w:eastAsia="Times New Roman"/>
                <w:sz w:val="20"/>
                <w:szCs w:val="20"/>
              </w:rPr>
            </w:pPr>
          </w:p>
        </w:tc>
      </w:tr>
      <w:tr w:rsidR="00000000" w14:paraId="4C331905" w14:textId="77777777">
        <w:trPr>
          <w:divId w:val="1262950330"/>
          <w:trHeight w:val="300"/>
          <w:jc w:val="center"/>
        </w:trPr>
        <w:tc>
          <w:tcPr>
            <w:tcW w:w="0" w:type="auto"/>
            <w:gridSpan w:val="9"/>
            <w:tcMar>
              <w:top w:w="0" w:type="dxa"/>
              <w:left w:w="20" w:type="dxa"/>
              <w:bottom w:w="0" w:type="dxa"/>
              <w:right w:w="20" w:type="dxa"/>
            </w:tcMar>
            <w:vAlign w:val="center"/>
            <w:hideMark/>
          </w:tcPr>
          <w:p w14:paraId="5AB0D047" w14:textId="77777777" w:rsidR="00000000" w:rsidRDefault="00A173A8">
            <w:pPr>
              <w:spacing w:after="100"/>
              <w:rPr>
                <w:rFonts w:eastAsia="Times New Roman"/>
                <w:sz w:val="20"/>
                <w:szCs w:val="20"/>
              </w:rPr>
            </w:pPr>
          </w:p>
        </w:tc>
      </w:tr>
      <w:tr w:rsidR="00000000" w14:paraId="053E7E0C" w14:textId="77777777">
        <w:trPr>
          <w:divId w:val="1262950330"/>
          <w:jc w:val="center"/>
        </w:trPr>
        <w:tc>
          <w:tcPr>
            <w:tcW w:w="0" w:type="auto"/>
            <w:gridSpan w:val="3"/>
            <w:tcMar>
              <w:top w:w="0" w:type="dxa"/>
              <w:left w:w="20" w:type="dxa"/>
              <w:bottom w:w="0" w:type="dxa"/>
              <w:right w:w="20" w:type="dxa"/>
            </w:tcMar>
            <w:vAlign w:val="center"/>
            <w:hideMark/>
          </w:tcPr>
          <w:p w14:paraId="5F53BDDD"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AA7BA74" w14:textId="77777777" w:rsidR="00000000" w:rsidRDefault="00A173A8">
            <w:pPr>
              <w:spacing w:after="100"/>
              <w:jc w:val="center"/>
              <w:rPr>
                <w:rFonts w:eastAsia="Times New Roman"/>
              </w:rPr>
            </w:pPr>
            <w:r>
              <w:rPr>
                <w:rFonts w:eastAsia="Times New Roman"/>
                <w:color w:val="000000"/>
                <w:sz w:val="16"/>
                <w:szCs w:val="16"/>
              </w:rPr>
              <w:t>104</w:t>
            </w:r>
          </w:p>
        </w:tc>
        <w:tc>
          <w:tcPr>
            <w:tcW w:w="0" w:type="auto"/>
            <w:gridSpan w:val="3"/>
            <w:tcMar>
              <w:top w:w="30" w:type="dxa"/>
              <w:left w:w="20" w:type="dxa"/>
              <w:bottom w:w="30" w:type="dxa"/>
              <w:right w:w="20" w:type="dxa"/>
            </w:tcMar>
            <w:vAlign w:val="bottom"/>
            <w:hideMark/>
          </w:tcPr>
          <w:p w14:paraId="7FA8AE9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97645D6" w14:textId="77777777" w:rsidR="00000000" w:rsidRDefault="00A173A8">
      <w:pPr>
        <w:rPr>
          <w:rFonts w:eastAsia="Times New Roman"/>
        </w:rPr>
      </w:pPr>
      <w:r>
        <w:rPr>
          <w:rFonts w:eastAsia="Times New Roman"/>
        </w:rPr>
        <w:pict w14:anchorId="7C477DA7">
          <v:rect id="_x0000_i1129" style="width:0;height:1.5pt" o:hralign="center" o:hrstd="t" o:hr="t" fillcolor="#a0a0a0" stroked="f"/>
        </w:pict>
      </w:r>
    </w:p>
    <w:p w14:paraId="5961F46A" w14:textId="77777777" w:rsidR="00000000" w:rsidRDefault="00A173A8">
      <w:pPr>
        <w:jc w:val="both"/>
        <w:divId w:val="1201936999"/>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0897C420" w14:textId="77777777">
        <w:trPr>
          <w:divId w:val="718893034"/>
        </w:trPr>
        <w:tc>
          <w:tcPr>
            <w:tcW w:w="50" w:type="pct"/>
            <w:vAlign w:val="center"/>
            <w:hideMark/>
          </w:tcPr>
          <w:p w14:paraId="1DEA5FE6" w14:textId="77777777" w:rsidR="00000000" w:rsidRDefault="00A173A8">
            <w:pPr>
              <w:jc w:val="both"/>
              <w:rPr>
                <w:rFonts w:eastAsia="Times New Roman"/>
              </w:rPr>
            </w:pPr>
          </w:p>
        </w:tc>
        <w:tc>
          <w:tcPr>
            <w:tcW w:w="4945" w:type="pct"/>
            <w:vAlign w:val="center"/>
            <w:hideMark/>
          </w:tcPr>
          <w:p w14:paraId="436DC8C8" w14:textId="77777777" w:rsidR="00000000" w:rsidRDefault="00A173A8">
            <w:pPr>
              <w:spacing w:after="100"/>
              <w:rPr>
                <w:rFonts w:eastAsia="Times New Roman"/>
                <w:sz w:val="20"/>
                <w:szCs w:val="20"/>
              </w:rPr>
            </w:pPr>
          </w:p>
        </w:tc>
        <w:tc>
          <w:tcPr>
            <w:tcW w:w="5" w:type="pct"/>
            <w:vAlign w:val="center"/>
            <w:hideMark/>
          </w:tcPr>
          <w:p w14:paraId="65BC6C68" w14:textId="77777777" w:rsidR="00000000" w:rsidRDefault="00A173A8">
            <w:pPr>
              <w:spacing w:after="100"/>
              <w:rPr>
                <w:rFonts w:eastAsia="Times New Roman"/>
                <w:sz w:val="20"/>
                <w:szCs w:val="20"/>
              </w:rPr>
            </w:pPr>
          </w:p>
        </w:tc>
      </w:tr>
      <w:tr w:rsidR="00000000" w14:paraId="1130F1F7" w14:textId="77777777">
        <w:trPr>
          <w:divId w:val="71889303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14BBA25" w14:textId="77777777" w:rsidR="00000000" w:rsidRDefault="00A173A8">
            <w:pPr>
              <w:spacing w:after="100"/>
              <w:rPr>
                <w:rFonts w:eastAsia="Times New Roman"/>
              </w:rPr>
            </w:pPr>
            <w:r>
              <w:rPr>
                <w:rFonts w:eastAsia="Times New Roman"/>
                <w:b/>
                <w:bCs/>
                <w:color w:val="000000"/>
                <w:sz w:val="20"/>
                <w:szCs w:val="20"/>
              </w:rPr>
              <w:t>NOTE 10—EARNINGS PER COMMON SHARE</w:t>
            </w:r>
          </w:p>
        </w:tc>
      </w:tr>
    </w:tbl>
    <w:p w14:paraId="1DBF4003" w14:textId="77777777" w:rsidR="00000000" w:rsidRDefault="00A173A8">
      <w:pPr>
        <w:jc w:val="both"/>
        <w:divId w:val="503206864"/>
        <w:rPr>
          <w:rFonts w:eastAsia="Times New Roman"/>
        </w:rPr>
      </w:pPr>
      <w:r>
        <w:rPr>
          <w:rFonts w:eastAsia="Times New Roman"/>
          <w:color w:val="000000"/>
          <w:sz w:val="20"/>
          <w:szCs w:val="20"/>
        </w:rPr>
        <w:t>The following table sets forth the computation of basic and diluted earnings per common share.</w:t>
      </w:r>
    </w:p>
    <w:p w14:paraId="4D077E2B" w14:textId="77777777" w:rsidR="00000000" w:rsidRDefault="00A173A8">
      <w:pPr>
        <w:divId w:val="38747233"/>
        <w:rPr>
          <w:rFonts w:eastAsia="Times New Roman"/>
        </w:rPr>
      </w:pPr>
      <w:r>
        <w:rPr>
          <w:rFonts w:eastAsia="Times New Roman"/>
          <w:b/>
          <w:bCs/>
          <w:color w:val="000000"/>
          <w:sz w:val="18"/>
          <w:szCs w:val="18"/>
        </w:rPr>
        <w:t>Table 10.1: Computation of Basic and Diluted Earnings per Common Share</w:t>
      </w:r>
    </w:p>
    <w:tbl>
      <w:tblPr>
        <w:tblW w:w="4992" w:type="pct"/>
        <w:tblCellMar>
          <w:top w:w="15" w:type="dxa"/>
          <w:left w:w="15" w:type="dxa"/>
          <w:bottom w:w="15" w:type="dxa"/>
          <w:right w:w="15" w:type="dxa"/>
        </w:tblCellMar>
        <w:tblLook w:val="04A0" w:firstRow="1" w:lastRow="0" w:firstColumn="1" w:lastColumn="0" w:noHBand="0" w:noVBand="1"/>
      </w:tblPr>
      <w:tblGrid>
        <w:gridCol w:w="40"/>
        <w:gridCol w:w="4236"/>
        <w:gridCol w:w="39"/>
        <w:gridCol w:w="36"/>
        <w:gridCol w:w="36"/>
        <w:gridCol w:w="36"/>
        <w:gridCol w:w="110"/>
        <w:gridCol w:w="692"/>
        <w:gridCol w:w="36"/>
        <w:gridCol w:w="36"/>
        <w:gridCol w:w="36"/>
        <w:gridCol w:w="36"/>
        <w:gridCol w:w="110"/>
        <w:gridCol w:w="692"/>
        <w:gridCol w:w="36"/>
        <w:gridCol w:w="36"/>
        <w:gridCol w:w="36"/>
        <w:gridCol w:w="36"/>
        <w:gridCol w:w="110"/>
        <w:gridCol w:w="717"/>
        <w:gridCol w:w="36"/>
        <w:gridCol w:w="36"/>
        <w:gridCol w:w="36"/>
        <w:gridCol w:w="36"/>
        <w:gridCol w:w="110"/>
        <w:gridCol w:w="717"/>
        <w:gridCol w:w="36"/>
        <w:gridCol w:w="36"/>
        <w:gridCol w:w="36"/>
        <w:gridCol w:w="36"/>
        <w:gridCol w:w="36"/>
      </w:tblGrid>
      <w:tr w:rsidR="00000000" w14:paraId="594D2DD7" w14:textId="77777777">
        <w:trPr>
          <w:divId w:val="582490852"/>
        </w:trPr>
        <w:tc>
          <w:tcPr>
            <w:tcW w:w="50" w:type="pct"/>
            <w:vAlign w:val="center"/>
            <w:hideMark/>
          </w:tcPr>
          <w:p w14:paraId="3380119C" w14:textId="77777777" w:rsidR="00000000" w:rsidRDefault="00A173A8">
            <w:pPr>
              <w:rPr>
                <w:rFonts w:eastAsia="Times New Roman"/>
              </w:rPr>
            </w:pPr>
          </w:p>
        </w:tc>
        <w:tc>
          <w:tcPr>
            <w:tcW w:w="2631" w:type="pct"/>
            <w:vAlign w:val="center"/>
            <w:hideMark/>
          </w:tcPr>
          <w:p w14:paraId="53306D48" w14:textId="77777777" w:rsidR="00000000" w:rsidRDefault="00A173A8">
            <w:pPr>
              <w:spacing w:after="100"/>
              <w:rPr>
                <w:rFonts w:eastAsia="Times New Roman"/>
                <w:sz w:val="20"/>
                <w:szCs w:val="20"/>
              </w:rPr>
            </w:pPr>
          </w:p>
        </w:tc>
        <w:tc>
          <w:tcPr>
            <w:tcW w:w="5" w:type="pct"/>
            <w:vAlign w:val="center"/>
            <w:hideMark/>
          </w:tcPr>
          <w:p w14:paraId="03DD344F" w14:textId="77777777" w:rsidR="00000000" w:rsidRDefault="00A173A8">
            <w:pPr>
              <w:spacing w:after="100"/>
              <w:rPr>
                <w:rFonts w:eastAsia="Times New Roman"/>
                <w:sz w:val="20"/>
                <w:szCs w:val="20"/>
              </w:rPr>
            </w:pPr>
          </w:p>
        </w:tc>
        <w:tc>
          <w:tcPr>
            <w:tcW w:w="5" w:type="pct"/>
            <w:vAlign w:val="center"/>
            <w:hideMark/>
          </w:tcPr>
          <w:p w14:paraId="582C634F" w14:textId="77777777" w:rsidR="00000000" w:rsidRDefault="00A173A8">
            <w:pPr>
              <w:spacing w:after="100"/>
              <w:rPr>
                <w:rFonts w:eastAsia="Times New Roman"/>
                <w:sz w:val="20"/>
                <w:szCs w:val="20"/>
              </w:rPr>
            </w:pPr>
          </w:p>
        </w:tc>
        <w:tc>
          <w:tcPr>
            <w:tcW w:w="26" w:type="pct"/>
            <w:vAlign w:val="center"/>
            <w:hideMark/>
          </w:tcPr>
          <w:p w14:paraId="39EAB8C6" w14:textId="77777777" w:rsidR="00000000" w:rsidRDefault="00A173A8">
            <w:pPr>
              <w:spacing w:after="100"/>
              <w:rPr>
                <w:rFonts w:eastAsia="Times New Roman"/>
                <w:sz w:val="20"/>
                <w:szCs w:val="20"/>
              </w:rPr>
            </w:pPr>
          </w:p>
        </w:tc>
        <w:tc>
          <w:tcPr>
            <w:tcW w:w="5" w:type="pct"/>
            <w:vAlign w:val="center"/>
            <w:hideMark/>
          </w:tcPr>
          <w:p w14:paraId="7CBF4D0E" w14:textId="77777777" w:rsidR="00000000" w:rsidRDefault="00A173A8">
            <w:pPr>
              <w:spacing w:after="100"/>
              <w:rPr>
                <w:rFonts w:eastAsia="Times New Roman"/>
                <w:sz w:val="20"/>
                <w:szCs w:val="20"/>
              </w:rPr>
            </w:pPr>
          </w:p>
        </w:tc>
        <w:tc>
          <w:tcPr>
            <w:tcW w:w="50" w:type="pct"/>
            <w:vAlign w:val="center"/>
            <w:hideMark/>
          </w:tcPr>
          <w:p w14:paraId="51FC1D14" w14:textId="77777777" w:rsidR="00000000" w:rsidRDefault="00A173A8">
            <w:pPr>
              <w:spacing w:after="100"/>
              <w:rPr>
                <w:rFonts w:eastAsia="Times New Roman"/>
                <w:sz w:val="20"/>
                <w:szCs w:val="20"/>
              </w:rPr>
            </w:pPr>
          </w:p>
        </w:tc>
        <w:tc>
          <w:tcPr>
            <w:tcW w:w="479" w:type="pct"/>
            <w:vAlign w:val="center"/>
            <w:hideMark/>
          </w:tcPr>
          <w:p w14:paraId="4FF46002" w14:textId="77777777" w:rsidR="00000000" w:rsidRDefault="00A173A8">
            <w:pPr>
              <w:spacing w:after="100"/>
              <w:rPr>
                <w:rFonts w:eastAsia="Times New Roman"/>
                <w:sz w:val="20"/>
                <w:szCs w:val="20"/>
              </w:rPr>
            </w:pPr>
          </w:p>
        </w:tc>
        <w:tc>
          <w:tcPr>
            <w:tcW w:w="5" w:type="pct"/>
            <w:vAlign w:val="center"/>
            <w:hideMark/>
          </w:tcPr>
          <w:p w14:paraId="6D13FB19" w14:textId="77777777" w:rsidR="00000000" w:rsidRDefault="00A173A8">
            <w:pPr>
              <w:spacing w:after="100"/>
              <w:rPr>
                <w:rFonts w:eastAsia="Times New Roman"/>
                <w:sz w:val="20"/>
                <w:szCs w:val="20"/>
              </w:rPr>
            </w:pPr>
          </w:p>
        </w:tc>
        <w:tc>
          <w:tcPr>
            <w:tcW w:w="5" w:type="pct"/>
            <w:vAlign w:val="center"/>
            <w:hideMark/>
          </w:tcPr>
          <w:p w14:paraId="3294EE23" w14:textId="77777777" w:rsidR="00000000" w:rsidRDefault="00A173A8">
            <w:pPr>
              <w:spacing w:after="100"/>
              <w:rPr>
                <w:rFonts w:eastAsia="Times New Roman"/>
                <w:sz w:val="20"/>
                <w:szCs w:val="20"/>
              </w:rPr>
            </w:pPr>
          </w:p>
        </w:tc>
        <w:tc>
          <w:tcPr>
            <w:tcW w:w="26" w:type="pct"/>
            <w:vAlign w:val="center"/>
            <w:hideMark/>
          </w:tcPr>
          <w:p w14:paraId="16807887" w14:textId="77777777" w:rsidR="00000000" w:rsidRDefault="00A173A8">
            <w:pPr>
              <w:spacing w:after="100"/>
              <w:rPr>
                <w:rFonts w:eastAsia="Times New Roman"/>
                <w:sz w:val="20"/>
                <w:szCs w:val="20"/>
              </w:rPr>
            </w:pPr>
          </w:p>
        </w:tc>
        <w:tc>
          <w:tcPr>
            <w:tcW w:w="5" w:type="pct"/>
            <w:vAlign w:val="center"/>
            <w:hideMark/>
          </w:tcPr>
          <w:p w14:paraId="599C9547" w14:textId="77777777" w:rsidR="00000000" w:rsidRDefault="00A173A8">
            <w:pPr>
              <w:spacing w:after="100"/>
              <w:rPr>
                <w:rFonts w:eastAsia="Times New Roman"/>
                <w:sz w:val="20"/>
                <w:szCs w:val="20"/>
              </w:rPr>
            </w:pPr>
          </w:p>
        </w:tc>
        <w:tc>
          <w:tcPr>
            <w:tcW w:w="50" w:type="pct"/>
            <w:vAlign w:val="center"/>
            <w:hideMark/>
          </w:tcPr>
          <w:p w14:paraId="6717B482" w14:textId="77777777" w:rsidR="00000000" w:rsidRDefault="00A173A8">
            <w:pPr>
              <w:spacing w:after="100"/>
              <w:rPr>
                <w:rFonts w:eastAsia="Times New Roman"/>
                <w:sz w:val="20"/>
                <w:szCs w:val="20"/>
              </w:rPr>
            </w:pPr>
          </w:p>
        </w:tc>
        <w:tc>
          <w:tcPr>
            <w:tcW w:w="479" w:type="pct"/>
            <w:vAlign w:val="center"/>
            <w:hideMark/>
          </w:tcPr>
          <w:p w14:paraId="1374D8C3" w14:textId="77777777" w:rsidR="00000000" w:rsidRDefault="00A173A8">
            <w:pPr>
              <w:spacing w:after="100"/>
              <w:rPr>
                <w:rFonts w:eastAsia="Times New Roman"/>
                <w:sz w:val="20"/>
                <w:szCs w:val="20"/>
              </w:rPr>
            </w:pPr>
          </w:p>
        </w:tc>
        <w:tc>
          <w:tcPr>
            <w:tcW w:w="5" w:type="pct"/>
            <w:vAlign w:val="center"/>
            <w:hideMark/>
          </w:tcPr>
          <w:p w14:paraId="04AC7C26" w14:textId="77777777" w:rsidR="00000000" w:rsidRDefault="00A173A8">
            <w:pPr>
              <w:spacing w:after="100"/>
              <w:rPr>
                <w:rFonts w:eastAsia="Times New Roman"/>
                <w:sz w:val="20"/>
                <w:szCs w:val="20"/>
              </w:rPr>
            </w:pPr>
          </w:p>
        </w:tc>
        <w:tc>
          <w:tcPr>
            <w:tcW w:w="5" w:type="pct"/>
            <w:vAlign w:val="center"/>
            <w:hideMark/>
          </w:tcPr>
          <w:p w14:paraId="68235FF8" w14:textId="77777777" w:rsidR="00000000" w:rsidRDefault="00A173A8">
            <w:pPr>
              <w:spacing w:after="100"/>
              <w:rPr>
                <w:rFonts w:eastAsia="Times New Roman"/>
                <w:sz w:val="20"/>
                <w:szCs w:val="20"/>
              </w:rPr>
            </w:pPr>
          </w:p>
        </w:tc>
        <w:tc>
          <w:tcPr>
            <w:tcW w:w="26" w:type="pct"/>
            <w:vAlign w:val="center"/>
            <w:hideMark/>
          </w:tcPr>
          <w:p w14:paraId="3025A6B4" w14:textId="77777777" w:rsidR="00000000" w:rsidRDefault="00A173A8">
            <w:pPr>
              <w:spacing w:after="100"/>
              <w:rPr>
                <w:rFonts w:eastAsia="Times New Roman"/>
                <w:sz w:val="20"/>
                <w:szCs w:val="20"/>
              </w:rPr>
            </w:pPr>
          </w:p>
        </w:tc>
        <w:tc>
          <w:tcPr>
            <w:tcW w:w="5" w:type="pct"/>
            <w:vAlign w:val="center"/>
            <w:hideMark/>
          </w:tcPr>
          <w:p w14:paraId="2F7919AA" w14:textId="77777777" w:rsidR="00000000" w:rsidRDefault="00A173A8">
            <w:pPr>
              <w:spacing w:after="100"/>
              <w:rPr>
                <w:rFonts w:eastAsia="Times New Roman"/>
                <w:sz w:val="20"/>
                <w:szCs w:val="20"/>
              </w:rPr>
            </w:pPr>
          </w:p>
        </w:tc>
        <w:tc>
          <w:tcPr>
            <w:tcW w:w="50" w:type="pct"/>
            <w:vAlign w:val="center"/>
            <w:hideMark/>
          </w:tcPr>
          <w:p w14:paraId="53DA532B" w14:textId="77777777" w:rsidR="00000000" w:rsidRDefault="00A173A8">
            <w:pPr>
              <w:spacing w:after="100"/>
              <w:rPr>
                <w:rFonts w:eastAsia="Times New Roman"/>
                <w:sz w:val="20"/>
                <w:szCs w:val="20"/>
              </w:rPr>
            </w:pPr>
          </w:p>
        </w:tc>
        <w:tc>
          <w:tcPr>
            <w:tcW w:w="494" w:type="pct"/>
            <w:vAlign w:val="center"/>
            <w:hideMark/>
          </w:tcPr>
          <w:p w14:paraId="79B56C3D" w14:textId="77777777" w:rsidR="00000000" w:rsidRDefault="00A173A8">
            <w:pPr>
              <w:spacing w:after="100"/>
              <w:rPr>
                <w:rFonts w:eastAsia="Times New Roman"/>
                <w:sz w:val="20"/>
                <w:szCs w:val="20"/>
              </w:rPr>
            </w:pPr>
          </w:p>
        </w:tc>
        <w:tc>
          <w:tcPr>
            <w:tcW w:w="5" w:type="pct"/>
            <w:vAlign w:val="center"/>
            <w:hideMark/>
          </w:tcPr>
          <w:p w14:paraId="40065546" w14:textId="77777777" w:rsidR="00000000" w:rsidRDefault="00A173A8">
            <w:pPr>
              <w:spacing w:after="100"/>
              <w:rPr>
                <w:rFonts w:eastAsia="Times New Roman"/>
                <w:sz w:val="20"/>
                <w:szCs w:val="20"/>
              </w:rPr>
            </w:pPr>
          </w:p>
        </w:tc>
        <w:tc>
          <w:tcPr>
            <w:tcW w:w="5" w:type="pct"/>
            <w:vAlign w:val="center"/>
            <w:hideMark/>
          </w:tcPr>
          <w:p w14:paraId="4E0234AC" w14:textId="77777777" w:rsidR="00000000" w:rsidRDefault="00A173A8">
            <w:pPr>
              <w:spacing w:after="100"/>
              <w:rPr>
                <w:rFonts w:eastAsia="Times New Roman"/>
                <w:sz w:val="20"/>
                <w:szCs w:val="20"/>
              </w:rPr>
            </w:pPr>
          </w:p>
        </w:tc>
        <w:tc>
          <w:tcPr>
            <w:tcW w:w="26" w:type="pct"/>
            <w:vAlign w:val="center"/>
            <w:hideMark/>
          </w:tcPr>
          <w:p w14:paraId="45AB86F2" w14:textId="77777777" w:rsidR="00000000" w:rsidRDefault="00A173A8">
            <w:pPr>
              <w:spacing w:after="100"/>
              <w:rPr>
                <w:rFonts w:eastAsia="Times New Roman"/>
                <w:sz w:val="20"/>
                <w:szCs w:val="20"/>
              </w:rPr>
            </w:pPr>
          </w:p>
        </w:tc>
        <w:tc>
          <w:tcPr>
            <w:tcW w:w="5" w:type="pct"/>
            <w:vAlign w:val="center"/>
            <w:hideMark/>
          </w:tcPr>
          <w:p w14:paraId="6064D14C" w14:textId="77777777" w:rsidR="00000000" w:rsidRDefault="00A173A8">
            <w:pPr>
              <w:spacing w:after="100"/>
              <w:rPr>
                <w:rFonts w:eastAsia="Times New Roman"/>
                <w:sz w:val="20"/>
                <w:szCs w:val="20"/>
              </w:rPr>
            </w:pPr>
          </w:p>
        </w:tc>
        <w:tc>
          <w:tcPr>
            <w:tcW w:w="50" w:type="pct"/>
            <w:vAlign w:val="center"/>
            <w:hideMark/>
          </w:tcPr>
          <w:p w14:paraId="16BE3338" w14:textId="77777777" w:rsidR="00000000" w:rsidRDefault="00A173A8">
            <w:pPr>
              <w:spacing w:after="100"/>
              <w:rPr>
                <w:rFonts w:eastAsia="Times New Roman"/>
                <w:sz w:val="20"/>
                <w:szCs w:val="20"/>
              </w:rPr>
            </w:pPr>
          </w:p>
        </w:tc>
        <w:tc>
          <w:tcPr>
            <w:tcW w:w="494" w:type="pct"/>
            <w:vAlign w:val="center"/>
            <w:hideMark/>
          </w:tcPr>
          <w:p w14:paraId="19BFA052" w14:textId="77777777" w:rsidR="00000000" w:rsidRDefault="00A173A8">
            <w:pPr>
              <w:spacing w:after="100"/>
              <w:rPr>
                <w:rFonts w:eastAsia="Times New Roman"/>
                <w:sz w:val="20"/>
                <w:szCs w:val="20"/>
              </w:rPr>
            </w:pPr>
          </w:p>
        </w:tc>
        <w:tc>
          <w:tcPr>
            <w:tcW w:w="5" w:type="pct"/>
            <w:vAlign w:val="center"/>
            <w:hideMark/>
          </w:tcPr>
          <w:p w14:paraId="67762D5F" w14:textId="77777777" w:rsidR="00000000" w:rsidRDefault="00A173A8">
            <w:pPr>
              <w:spacing w:after="100"/>
              <w:rPr>
                <w:rFonts w:eastAsia="Times New Roman"/>
                <w:sz w:val="20"/>
                <w:szCs w:val="20"/>
              </w:rPr>
            </w:pPr>
          </w:p>
        </w:tc>
        <w:tc>
          <w:tcPr>
            <w:tcW w:w="0" w:type="auto"/>
            <w:vAlign w:val="center"/>
            <w:hideMark/>
          </w:tcPr>
          <w:p w14:paraId="3BB78F92" w14:textId="77777777" w:rsidR="00000000" w:rsidRDefault="00A173A8">
            <w:pPr>
              <w:spacing w:after="100"/>
              <w:rPr>
                <w:rFonts w:eastAsia="Times New Roman"/>
                <w:sz w:val="20"/>
                <w:szCs w:val="20"/>
              </w:rPr>
            </w:pPr>
          </w:p>
        </w:tc>
        <w:tc>
          <w:tcPr>
            <w:tcW w:w="0" w:type="auto"/>
            <w:vAlign w:val="center"/>
            <w:hideMark/>
          </w:tcPr>
          <w:p w14:paraId="0C0BA9C3" w14:textId="77777777" w:rsidR="00000000" w:rsidRDefault="00A173A8">
            <w:pPr>
              <w:spacing w:after="100"/>
              <w:rPr>
                <w:rFonts w:eastAsia="Times New Roman"/>
                <w:sz w:val="20"/>
                <w:szCs w:val="20"/>
              </w:rPr>
            </w:pPr>
          </w:p>
        </w:tc>
        <w:tc>
          <w:tcPr>
            <w:tcW w:w="0" w:type="auto"/>
            <w:vAlign w:val="center"/>
            <w:hideMark/>
          </w:tcPr>
          <w:p w14:paraId="367C4986" w14:textId="77777777" w:rsidR="00000000" w:rsidRDefault="00A173A8">
            <w:pPr>
              <w:spacing w:after="100"/>
              <w:rPr>
                <w:rFonts w:eastAsia="Times New Roman"/>
                <w:sz w:val="20"/>
                <w:szCs w:val="20"/>
              </w:rPr>
            </w:pPr>
          </w:p>
        </w:tc>
        <w:tc>
          <w:tcPr>
            <w:tcW w:w="0" w:type="auto"/>
            <w:vAlign w:val="center"/>
            <w:hideMark/>
          </w:tcPr>
          <w:p w14:paraId="591D6F8C" w14:textId="77777777" w:rsidR="00000000" w:rsidRDefault="00A173A8">
            <w:pPr>
              <w:spacing w:after="100"/>
              <w:rPr>
                <w:rFonts w:eastAsia="Times New Roman"/>
                <w:sz w:val="20"/>
                <w:szCs w:val="20"/>
              </w:rPr>
            </w:pPr>
          </w:p>
        </w:tc>
      </w:tr>
      <w:tr w:rsidR="00000000" w14:paraId="5F18D677" w14:textId="77777777">
        <w:trPr>
          <w:divId w:val="582490852"/>
        </w:trPr>
        <w:tc>
          <w:tcPr>
            <w:tcW w:w="0" w:type="auto"/>
            <w:gridSpan w:val="3"/>
            <w:tcMar>
              <w:top w:w="0" w:type="dxa"/>
              <w:left w:w="20" w:type="dxa"/>
              <w:bottom w:w="0" w:type="dxa"/>
              <w:right w:w="20" w:type="dxa"/>
            </w:tcMar>
            <w:vAlign w:val="center"/>
            <w:hideMark/>
          </w:tcPr>
          <w:p w14:paraId="00E4851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D2CA73"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6AD8ABA" w14:textId="77777777" w:rsidR="00000000" w:rsidRDefault="00A173A8">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AAFC48E"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4146443"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14:paraId="2D572EAA" w14:textId="77777777" w:rsidR="00000000" w:rsidRDefault="00A173A8">
            <w:pPr>
              <w:spacing w:after="100"/>
              <w:jc w:val="center"/>
              <w:rPr>
                <w:rFonts w:eastAsia="Times New Roman"/>
              </w:rPr>
            </w:pPr>
          </w:p>
        </w:tc>
        <w:tc>
          <w:tcPr>
            <w:tcW w:w="0" w:type="auto"/>
            <w:vAlign w:val="center"/>
            <w:hideMark/>
          </w:tcPr>
          <w:p w14:paraId="04A5FED0" w14:textId="77777777" w:rsidR="00000000" w:rsidRDefault="00A173A8">
            <w:pPr>
              <w:spacing w:after="100"/>
              <w:rPr>
                <w:rFonts w:eastAsia="Times New Roman"/>
                <w:sz w:val="20"/>
                <w:szCs w:val="20"/>
              </w:rPr>
            </w:pPr>
          </w:p>
        </w:tc>
        <w:tc>
          <w:tcPr>
            <w:tcW w:w="0" w:type="auto"/>
            <w:vAlign w:val="center"/>
            <w:hideMark/>
          </w:tcPr>
          <w:p w14:paraId="6F2D16E0" w14:textId="77777777" w:rsidR="00000000" w:rsidRDefault="00A173A8">
            <w:pPr>
              <w:spacing w:after="100"/>
              <w:rPr>
                <w:rFonts w:eastAsia="Times New Roman"/>
                <w:sz w:val="20"/>
                <w:szCs w:val="20"/>
              </w:rPr>
            </w:pPr>
          </w:p>
        </w:tc>
        <w:tc>
          <w:tcPr>
            <w:tcW w:w="0" w:type="auto"/>
            <w:vAlign w:val="center"/>
            <w:hideMark/>
          </w:tcPr>
          <w:p w14:paraId="2FD37AC0" w14:textId="77777777" w:rsidR="00000000" w:rsidRDefault="00A173A8">
            <w:pPr>
              <w:spacing w:after="100"/>
              <w:rPr>
                <w:rFonts w:eastAsia="Times New Roman"/>
                <w:sz w:val="20"/>
                <w:szCs w:val="20"/>
              </w:rPr>
            </w:pPr>
          </w:p>
        </w:tc>
      </w:tr>
      <w:tr w:rsidR="00000000" w14:paraId="67FE7803" w14:textId="77777777">
        <w:trPr>
          <w:divId w:val="582490852"/>
        </w:trPr>
        <w:tc>
          <w:tcPr>
            <w:tcW w:w="0" w:type="auto"/>
            <w:gridSpan w:val="3"/>
            <w:tcMar>
              <w:top w:w="30" w:type="dxa"/>
              <w:left w:w="20" w:type="dxa"/>
              <w:bottom w:w="30" w:type="dxa"/>
              <w:right w:w="20" w:type="dxa"/>
            </w:tcMar>
            <w:vAlign w:val="bottom"/>
            <w:hideMark/>
          </w:tcPr>
          <w:p w14:paraId="56E86E58" w14:textId="77777777" w:rsidR="00000000" w:rsidRDefault="00A173A8">
            <w:pPr>
              <w:spacing w:after="100"/>
              <w:rPr>
                <w:rFonts w:eastAsia="Times New Roman"/>
              </w:rPr>
            </w:pPr>
            <w:r>
              <w:rPr>
                <w:rFonts w:eastAsia="Times New Roman"/>
                <w:i/>
                <w:iCs/>
                <w:color w:val="000000"/>
                <w:sz w:val="16"/>
                <w:szCs w:val="16"/>
              </w:rPr>
              <w:t>(Dollars and shares in millions, except per share data)</w:t>
            </w:r>
          </w:p>
        </w:tc>
        <w:tc>
          <w:tcPr>
            <w:tcW w:w="0" w:type="auto"/>
            <w:gridSpan w:val="3"/>
            <w:tcMar>
              <w:top w:w="0" w:type="dxa"/>
              <w:left w:w="20" w:type="dxa"/>
              <w:bottom w:w="0" w:type="dxa"/>
              <w:right w:w="20" w:type="dxa"/>
            </w:tcMar>
            <w:vAlign w:val="center"/>
            <w:hideMark/>
          </w:tcPr>
          <w:p w14:paraId="2DDDFB04"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F38226"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3D4C067"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E5E5AA"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5A8981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DF11A1"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BB4299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ABCF4E" w14:textId="77777777" w:rsidR="00000000" w:rsidRDefault="00A173A8">
            <w:pPr>
              <w:spacing w:after="100"/>
              <w:jc w:val="center"/>
              <w:rPr>
                <w:rFonts w:eastAsia="Times New Roman"/>
              </w:rPr>
            </w:pPr>
            <w:r>
              <w:rPr>
                <w:rFonts w:eastAsia="Times New Roman"/>
                <w:b/>
                <w:bCs/>
                <w:color w:val="000000"/>
                <w:sz w:val="16"/>
                <w:szCs w:val="16"/>
              </w:rPr>
              <w:t>2021</w:t>
            </w:r>
          </w:p>
        </w:tc>
        <w:tc>
          <w:tcPr>
            <w:tcW w:w="0" w:type="auto"/>
            <w:vAlign w:val="center"/>
            <w:hideMark/>
          </w:tcPr>
          <w:p w14:paraId="7F3CDA8B" w14:textId="77777777" w:rsidR="00000000" w:rsidRDefault="00A173A8">
            <w:pPr>
              <w:spacing w:after="100"/>
              <w:jc w:val="center"/>
              <w:rPr>
                <w:rFonts w:eastAsia="Times New Roman"/>
              </w:rPr>
            </w:pPr>
          </w:p>
        </w:tc>
        <w:tc>
          <w:tcPr>
            <w:tcW w:w="0" w:type="auto"/>
            <w:vAlign w:val="center"/>
            <w:hideMark/>
          </w:tcPr>
          <w:p w14:paraId="5C990653" w14:textId="77777777" w:rsidR="00000000" w:rsidRDefault="00A173A8">
            <w:pPr>
              <w:spacing w:after="100"/>
              <w:rPr>
                <w:rFonts w:eastAsia="Times New Roman"/>
                <w:sz w:val="20"/>
                <w:szCs w:val="20"/>
              </w:rPr>
            </w:pPr>
          </w:p>
        </w:tc>
        <w:tc>
          <w:tcPr>
            <w:tcW w:w="0" w:type="auto"/>
            <w:vAlign w:val="center"/>
            <w:hideMark/>
          </w:tcPr>
          <w:p w14:paraId="7594737E" w14:textId="77777777" w:rsidR="00000000" w:rsidRDefault="00A173A8">
            <w:pPr>
              <w:spacing w:after="100"/>
              <w:rPr>
                <w:rFonts w:eastAsia="Times New Roman"/>
                <w:sz w:val="20"/>
                <w:szCs w:val="20"/>
              </w:rPr>
            </w:pPr>
          </w:p>
        </w:tc>
        <w:tc>
          <w:tcPr>
            <w:tcW w:w="0" w:type="auto"/>
            <w:vAlign w:val="center"/>
            <w:hideMark/>
          </w:tcPr>
          <w:p w14:paraId="5B1FA4B4" w14:textId="77777777" w:rsidR="00000000" w:rsidRDefault="00A173A8">
            <w:pPr>
              <w:spacing w:after="100"/>
              <w:rPr>
                <w:rFonts w:eastAsia="Times New Roman"/>
                <w:sz w:val="20"/>
                <w:szCs w:val="20"/>
              </w:rPr>
            </w:pPr>
          </w:p>
        </w:tc>
      </w:tr>
      <w:tr w:rsidR="00000000" w14:paraId="6DCC8DB3" w14:textId="77777777">
        <w:trPr>
          <w:divId w:val="58249085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84EF723" w14:textId="77777777" w:rsidR="00000000" w:rsidRDefault="00A173A8">
            <w:pPr>
              <w:spacing w:after="100"/>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14:paraId="786BD0B4"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B32852C"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C2BC585" w14:textId="77777777" w:rsidR="00000000" w:rsidRDefault="00A173A8">
            <w:pPr>
              <w:spacing w:after="100"/>
              <w:jc w:val="right"/>
              <w:rPr>
                <w:rFonts w:eastAsia="Times New Roman"/>
              </w:rPr>
            </w:pPr>
            <w:r>
              <w:rPr>
                <w:rFonts w:eastAsia="Times New Roman"/>
                <w:b/>
                <w:bCs/>
                <w:color w:val="000000"/>
                <w:sz w:val="18"/>
                <w:szCs w:val="18"/>
              </w:rPr>
              <w:t>2,031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64565A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5A2F9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1E1291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5F26B1D" w14:textId="77777777" w:rsidR="00000000" w:rsidRDefault="00A173A8">
            <w:pPr>
              <w:spacing w:after="100"/>
              <w:jc w:val="right"/>
              <w:rPr>
                <w:rFonts w:eastAsia="Times New Roman"/>
              </w:rPr>
            </w:pPr>
            <w:r>
              <w:rPr>
                <w:rFonts w:eastAsia="Times New Roman"/>
                <w:color w:val="000000"/>
                <w:sz w:val="18"/>
                <w:szCs w:val="18"/>
              </w:rPr>
              <w:t>3,537 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00418D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AD49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3FB6E5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FC3E6C1" w14:textId="77777777" w:rsidR="00000000" w:rsidRDefault="00A173A8">
            <w:pPr>
              <w:spacing w:after="100"/>
              <w:jc w:val="right"/>
              <w:rPr>
                <w:rFonts w:eastAsia="Times New Roman"/>
              </w:rPr>
            </w:pPr>
            <w:r>
              <w:rPr>
                <w:rFonts w:eastAsia="Times New Roman"/>
                <w:b/>
                <w:bCs/>
                <w:color w:val="000000"/>
                <w:sz w:val="18"/>
                <w:szCs w:val="18"/>
              </w:rPr>
              <w:t>4,434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783EF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14AD86"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551CA1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DC1C698" w14:textId="77777777" w:rsidR="00000000" w:rsidRDefault="00A173A8">
            <w:pPr>
              <w:spacing w:after="100"/>
              <w:jc w:val="right"/>
              <w:rPr>
                <w:rFonts w:eastAsia="Times New Roman"/>
              </w:rPr>
            </w:pPr>
            <w:r>
              <w:rPr>
                <w:rFonts w:eastAsia="Times New Roman"/>
                <w:color w:val="000000"/>
                <w:sz w:val="18"/>
                <w:szCs w:val="18"/>
              </w:rPr>
              <w:t>6,864 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DEC7595" w14:textId="77777777" w:rsidR="00000000" w:rsidRDefault="00A173A8">
            <w:pPr>
              <w:spacing w:after="100"/>
              <w:jc w:val="right"/>
              <w:rPr>
                <w:rFonts w:eastAsia="Times New Roman"/>
              </w:rPr>
            </w:pPr>
          </w:p>
        </w:tc>
        <w:tc>
          <w:tcPr>
            <w:tcW w:w="0" w:type="auto"/>
            <w:vAlign w:val="center"/>
            <w:hideMark/>
          </w:tcPr>
          <w:p w14:paraId="5367B017" w14:textId="77777777" w:rsidR="00000000" w:rsidRDefault="00A173A8">
            <w:pPr>
              <w:spacing w:after="100"/>
              <w:jc w:val="right"/>
              <w:rPr>
                <w:rFonts w:eastAsia="Times New Roman"/>
                <w:sz w:val="20"/>
                <w:szCs w:val="20"/>
              </w:rPr>
            </w:pPr>
          </w:p>
        </w:tc>
        <w:tc>
          <w:tcPr>
            <w:tcW w:w="0" w:type="auto"/>
            <w:vAlign w:val="center"/>
            <w:hideMark/>
          </w:tcPr>
          <w:p w14:paraId="4BDB4FD3" w14:textId="77777777" w:rsidR="00000000" w:rsidRDefault="00A173A8">
            <w:pPr>
              <w:spacing w:after="100"/>
              <w:rPr>
                <w:rFonts w:eastAsia="Times New Roman"/>
                <w:sz w:val="20"/>
                <w:szCs w:val="20"/>
              </w:rPr>
            </w:pPr>
          </w:p>
        </w:tc>
        <w:tc>
          <w:tcPr>
            <w:tcW w:w="0" w:type="auto"/>
            <w:vAlign w:val="center"/>
            <w:hideMark/>
          </w:tcPr>
          <w:p w14:paraId="379239F4" w14:textId="77777777" w:rsidR="00000000" w:rsidRDefault="00A173A8">
            <w:pPr>
              <w:spacing w:after="100"/>
              <w:rPr>
                <w:rFonts w:eastAsia="Times New Roman"/>
                <w:sz w:val="20"/>
                <w:szCs w:val="20"/>
              </w:rPr>
            </w:pPr>
          </w:p>
        </w:tc>
        <w:tc>
          <w:tcPr>
            <w:tcW w:w="0" w:type="auto"/>
            <w:vAlign w:val="center"/>
            <w:hideMark/>
          </w:tcPr>
          <w:p w14:paraId="7FC6197B" w14:textId="77777777" w:rsidR="00000000" w:rsidRDefault="00A173A8">
            <w:pPr>
              <w:spacing w:after="100"/>
              <w:rPr>
                <w:rFonts w:eastAsia="Times New Roman"/>
                <w:sz w:val="20"/>
                <w:szCs w:val="20"/>
              </w:rPr>
            </w:pPr>
          </w:p>
        </w:tc>
      </w:tr>
      <w:tr w:rsidR="00000000" w14:paraId="707A0720" w14:textId="77777777">
        <w:trPr>
          <w:divId w:val="582490852"/>
        </w:trPr>
        <w:tc>
          <w:tcPr>
            <w:tcW w:w="0" w:type="auto"/>
            <w:gridSpan w:val="3"/>
            <w:shd w:val="clear" w:color="auto" w:fill="FFFFFF"/>
            <w:tcMar>
              <w:top w:w="30" w:type="dxa"/>
              <w:left w:w="20" w:type="dxa"/>
              <w:bottom w:w="30" w:type="dxa"/>
              <w:right w:w="20" w:type="dxa"/>
            </w:tcMar>
            <w:vAlign w:val="center"/>
            <w:hideMark/>
          </w:tcPr>
          <w:p w14:paraId="5B64FC58" w14:textId="77777777" w:rsidR="00000000" w:rsidRDefault="00A173A8">
            <w:pPr>
              <w:spacing w:after="100"/>
              <w:rPr>
                <w:rFonts w:eastAsia="Times New Roman"/>
              </w:rPr>
            </w:pPr>
            <w:r>
              <w:rPr>
                <w:rFonts w:eastAsia="Times New Roman"/>
                <w:color w:val="000000"/>
                <w:sz w:val="18"/>
                <w:szCs w:val="18"/>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14:paraId="4C31A09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6EAE54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698FA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8FDD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EF0AD5"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14:paraId="6C7F4C2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9EFB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8D9D6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DBC65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5D11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439AD4" w14:textId="77777777" w:rsidR="00000000" w:rsidRDefault="00A173A8">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14:paraId="7E977C52" w14:textId="77777777" w:rsidR="00000000" w:rsidRDefault="00A173A8">
            <w:pPr>
              <w:spacing w:after="100"/>
              <w:jc w:val="right"/>
              <w:rPr>
                <w:rFonts w:eastAsia="Times New Roman"/>
              </w:rPr>
            </w:pPr>
          </w:p>
        </w:tc>
        <w:tc>
          <w:tcPr>
            <w:tcW w:w="0" w:type="auto"/>
            <w:vAlign w:val="center"/>
            <w:hideMark/>
          </w:tcPr>
          <w:p w14:paraId="148956AB" w14:textId="77777777" w:rsidR="00000000" w:rsidRDefault="00A173A8">
            <w:pPr>
              <w:spacing w:after="100"/>
              <w:jc w:val="right"/>
              <w:rPr>
                <w:rFonts w:eastAsia="Times New Roman"/>
                <w:sz w:val="20"/>
                <w:szCs w:val="20"/>
              </w:rPr>
            </w:pPr>
          </w:p>
        </w:tc>
        <w:tc>
          <w:tcPr>
            <w:tcW w:w="0" w:type="auto"/>
            <w:vAlign w:val="center"/>
            <w:hideMark/>
          </w:tcPr>
          <w:p w14:paraId="73CEA1C7" w14:textId="77777777" w:rsidR="00000000" w:rsidRDefault="00A173A8">
            <w:pPr>
              <w:spacing w:after="100"/>
              <w:rPr>
                <w:rFonts w:eastAsia="Times New Roman"/>
                <w:sz w:val="20"/>
                <w:szCs w:val="20"/>
              </w:rPr>
            </w:pPr>
          </w:p>
        </w:tc>
        <w:tc>
          <w:tcPr>
            <w:tcW w:w="0" w:type="auto"/>
            <w:vAlign w:val="center"/>
            <w:hideMark/>
          </w:tcPr>
          <w:p w14:paraId="59215051" w14:textId="77777777" w:rsidR="00000000" w:rsidRDefault="00A173A8">
            <w:pPr>
              <w:spacing w:after="100"/>
              <w:rPr>
                <w:rFonts w:eastAsia="Times New Roman"/>
                <w:sz w:val="20"/>
                <w:szCs w:val="20"/>
              </w:rPr>
            </w:pPr>
          </w:p>
        </w:tc>
        <w:tc>
          <w:tcPr>
            <w:tcW w:w="0" w:type="auto"/>
            <w:vAlign w:val="center"/>
            <w:hideMark/>
          </w:tcPr>
          <w:p w14:paraId="6E132B89" w14:textId="77777777" w:rsidR="00000000" w:rsidRDefault="00A173A8">
            <w:pPr>
              <w:spacing w:after="100"/>
              <w:rPr>
                <w:rFonts w:eastAsia="Times New Roman"/>
                <w:sz w:val="20"/>
                <w:szCs w:val="20"/>
              </w:rPr>
            </w:pPr>
          </w:p>
        </w:tc>
      </w:tr>
      <w:tr w:rsidR="00000000" w14:paraId="13303B05" w14:textId="77777777">
        <w:trPr>
          <w:divId w:val="582490852"/>
        </w:trPr>
        <w:tc>
          <w:tcPr>
            <w:tcW w:w="0" w:type="auto"/>
            <w:gridSpan w:val="3"/>
            <w:shd w:val="clear" w:color="auto" w:fill="CCEEFF"/>
            <w:tcMar>
              <w:top w:w="30" w:type="dxa"/>
              <w:left w:w="20" w:type="dxa"/>
              <w:bottom w:w="30" w:type="dxa"/>
              <w:right w:w="20" w:type="dxa"/>
            </w:tcMar>
            <w:vAlign w:val="center"/>
            <w:hideMark/>
          </w:tcPr>
          <w:p w14:paraId="1470473F" w14:textId="77777777" w:rsidR="00000000" w:rsidRDefault="00A173A8">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3269EFAA"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1C13F1" w14:textId="77777777" w:rsidR="00000000" w:rsidRDefault="00A173A8">
            <w:pPr>
              <w:spacing w:after="100"/>
              <w:jc w:val="right"/>
              <w:rPr>
                <w:rFonts w:eastAsia="Times New Roman"/>
              </w:rPr>
            </w:pPr>
            <w:r>
              <w:rPr>
                <w:rFonts w:eastAsia="Times New Roman"/>
                <w:b/>
                <w:bCs/>
                <w:color w:val="000000"/>
                <w:sz w:val="18"/>
                <w:szCs w:val="18"/>
              </w:rPr>
              <w:t>2,031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135CD7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7D13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4C28219" w14:textId="77777777" w:rsidR="00000000" w:rsidRDefault="00A173A8">
            <w:pPr>
              <w:spacing w:after="100"/>
              <w:jc w:val="right"/>
              <w:rPr>
                <w:rFonts w:eastAsia="Times New Roman"/>
              </w:rPr>
            </w:pPr>
            <w:r>
              <w:rPr>
                <w:rFonts w:eastAsia="Times New Roman"/>
                <w:color w:val="000000"/>
                <w:sz w:val="18"/>
                <w:szCs w:val="18"/>
              </w:rPr>
              <w:t>3,536 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05E5B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AF8F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D3D36BA" w14:textId="77777777" w:rsidR="00000000" w:rsidRDefault="00A173A8">
            <w:pPr>
              <w:spacing w:after="100"/>
              <w:jc w:val="right"/>
              <w:rPr>
                <w:rFonts w:eastAsia="Times New Roman"/>
              </w:rPr>
            </w:pPr>
            <w:r>
              <w:rPr>
                <w:rFonts w:eastAsia="Times New Roman"/>
                <w:b/>
                <w:bCs/>
                <w:color w:val="000000"/>
                <w:sz w:val="18"/>
                <w:szCs w:val="18"/>
              </w:rPr>
              <w:t>4,434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0695D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259F1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F5402E0" w14:textId="77777777" w:rsidR="00000000" w:rsidRDefault="00A173A8">
            <w:pPr>
              <w:spacing w:after="100"/>
              <w:jc w:val="right"/>
              <w:rPr>
                <w:rFonts w:eastAsia="Times New Roman"/>
              </w:rPr>
            </w:pPr>
            <w:r>
              <w:rPr>
                <w:rFonts w:eastAsia="Times New Roman"/>
                <w:color w:val="000000"/>
                <w:sz w:val="18"/>
                <w:szCs w:val="18"/>
              </w:rPr>
              <w:t>6,861 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4FF31F3" w14:textId="77777777" w:rsidR="00000000" w:rsidRDefault="00A173A8">
            <w:pPr>
              <w:spacing w:after="100"/>
              <w:jc w:val="right"/>
              <w:rPr>
                <w:rFonts w:eastAsia="Times New Roman"/>
              </w:rPr>
            </w:pPr>
          </w:p>
        </w:tc>
        <w:tc>
          <w:tcPr>
            <w:tcW w:w="0" w:type="auto"/>
            <w:vAlign w:val="center"/>
            <w:hideMark/>
          </w:tcPr>
          <w:p w14:paraId="2D2C2AAB" w14:textId="77777777" w:rsidR="00000000" w:rsidRDefault="00A173A8">
            <w:pPr>
              <w:spacing w:after="100"/>
              <w:jc w:val="right"/>
              <w:rPr>
                <w:rFonts w:eastAsia="Times New Roman"/>
                <w:sz w:val="20"/>
                <w:szCs w:val="20"/>
              </w:rPr>
            </w:pPr>
          </w:p>
        </w:tc>
        <w:tc>
          <w:tcPr>
            <w:tcW w:w="0" w:type="auto"/>
            <w:vAlign w:val="center"/>
            <w:hideMark/>
          </w:tcPr>
          <w:p w14:paraId="126DB179" w14:textId="77777777" w:rsidR="00000000" w:rsidRDefault="00A173A8">
            <w:pPr>
              <w:spacing w:after="100"/>
              <w:rPr>
                <w:rFonts w:eastAsia="Times New Roman"/>
                <w:sz w:val="20"/>
                <w:szCs w:val="20"/>
              </w:rPr>
            </w:pPr>
          </w:p>
        </w:tc>
        <w:tc>
          <w:tcPr>
            <w:tcW w:w="0" w:type="auto"/>
            <w:vAlign w:val="center"/>
            <w:hideMark/>
          </w:tcPr>
          <w:p w14:paraId="153E3026" w14:textId="77777777" w:rsidR="00000000" w:rsidRDefault="00A173A8">
            <w:pPr>
              <w:spacing w:after="100"/>
              <w:rPr>
                <w:rFonts w:eastAsia="Times New Roman"/>
                <w:sz w:val="20"/>
                <w:szCs w:val="20"/>
              </w:rPr>
            </w:pPr>
          </w:p>
        </w:tc>
        <w:tc>
          <w:tcPr>
            <w:tcW w:w="0" w:type="auto"/>
            <w:vAlign w:val="center"/>
            <w:hideMark/>
          </w:tcPr>
          <w:p w14:paraId="0DC9D655" w14:textId="77777777" w:rsidR="00000000" w:rsidRDefault="00A173A8">
            <w:pPr>
              <w:spacing w:after="100"/>
              <w:rPr>
                <w:rFonts w:eastAsia="Times New Roman"/>
                <w:sz w:val="20"/>
                <w:szCs w:val="20"/>
              </w:rPr>
            </w:pPr>
          </w:p>
        </w:tc>
      </w:tr>
      <w:tr w:rsidR="00000000" w14:paraId="651390FB" w14:textId="77777777">
        <w:trPr>
          <w:divId w:val="582490852"/>
        </w:trPr>
        <w:tc>
          <w:tcPr>
            <w:tcW w:w="0" w:type="auto"/>
            <w:gridSpan w:val="3"/>
            <w:shd w:val="clear" w:color="auto" w:fill="FFFFFF"/>
            <w:tcMar>
              <w:top w:w="30" w:type="dxa"/>
              <w:left w:w="20" w:type="dxa"/>
              <w:bottom w:w="30" w:type="dxa"/>
              <w:right w:w="20" w:type="dxa"/>
            </w:tcMar>
            <w:vAlign w:val="center"/>
            <w:hideMark/>
          </w:tcPr>
          <w:p w14:paraId="3C54F4E0" w14:textId="77777777" w:rsidR="00000000" w:rsidRDefault="00A173A8">
            <w:pPr>
              <w:spacing w:after="100"/>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14:paraId="224308D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0B72DA6" w14:textId="77777777" w:rsidR="00000000" w:rsidRDefault="00A173A8">
            <w:pPr>
              <w:spacing w:after="100"/>
              <w:jc w:val="right"/>
              <w:rPr>
                <w:rFonts w:eastAsia="Times New Roman"/>
              </w:rPr>
            </w:pPr>
            <w:r>
              <w:rPr>
                <w:rFonts w:eastAsia="Times New Roman"/>
                <w:b/>
                <w:bCs/>
                <w:color w:val="000000"/>
                <w:sz w:val="18"/>
                <w:szCs w:val="18"/>
              </w:rPr>
              <w:t>(25)</w:t>
            </w:r>
          </w:p>
        </w:tc>
        <w:tc>
          <w:tcPr>
            <w:tcW w:w="0" w:type="auto"/>
            <w:shd w:val="clear" w:color="auto" w:fill="FFFFFF"/>
            <w:tcMar>
              <w:top w:w="30" w:type="dxa"/>
              <w:left w:w="0" w:type="dxa"/>
              <w:bottom w:w="30" w:type="dxa"/>
              <w:right w:w="20" w:type="dxa"/>
            </w:tcMar>
            <w:vAlign w:val="center"/>
            <w:hideMark/>
          </w:tcPr>
          <w:p w14:paraId="0E5EF15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DDE7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B2B64BE" w14:textId="77777777" w:rsidR="00000000" w:rsidRDefault="00A173A8">
            <w:pPr>
              <w:spacing w:after="100"/>
              <w:jc w:val="right"/>
              <w:rPr>
                <w:rFonts w:eastAsia="Times New Roman"/>
              </w:rPr>
            </w:pPr>
            <w:r>
              <w:rPr>
                <w:rFonts w:eastAsia="Times New Roman"/>
                <w:color w:val="000000"/>
                <w:sz w:val="18"/>
                <w:szCs w:val="18"/>
              </w:rPr>
              <w:t>(30)</w:t>
            </w:r>
          </w:p>
        </w:tc>
        <w:tc>
          <w:tcPr>
            <w:tcW w:w="0" w:type="auto"/>
            <w:shd w:val="clear" w:color="auto" w:fill="FFFFFF"/>
            <w:tcMar>
              <w:top w:w="30" w:type="dxa"/>
              <w:left w:w="0" w:type="dxa"/>
              <w:bottom w:w="30" w:type="dxa"/>
              <w:right w:w="20" w:type="dxa"/>
            </w:tcMar>
            <w:vAlign w:val="center"/>
            <w:hideMark/>
          </w:tcPr>
          <w:p w14:paraId="1AC474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555A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AD34786" w14:textId="77777777" w:rsidR="00000000" w:rsidRDefault="00A173A8">
            <w:pPr>
              <w:spacing w:after="100"/>
              <w:jc w:val="right"/>
              <w:rPr>
                <w:rFonts w:eastAsia="Times New Roman"/>
              </w:rPr>
            </w:pPr>
            <w:r>
              <w:rPr>
                <w:rFonts w:eastAsia="Times New Roman"/>
                <w:b/>
                <w:bCs/>
                <w:color w:val="000000"/>
                <w:sz w:val="18"/>
                <w:szCs w:val="18"/>
              </w:rPr>
              <w:t>(53)</w:t>
            </w:r>
          </w:p>
        </w:tc>
        <w:tc>
          <w:tcPr>
            <w:tcW w:w="0" w:type="auto"/>
            <w:shd w:val="clear" w:color="auto" w:fill="FFFFFF"/>
            <w:tcMar>
              <w:top w:w="30" w:type="dxa"/>
              <w:left w:w="0" w:type="dxa"/>
              <w:bottom w:w="30" w:type="dxa"/>
              <w:right w:w="20" w:type="dxa"/>
            </w:tcMar>
            <w:vAlign w:val="center"/>
            <w:hideMark/>
          </w:tcPr>
          <w:p w14:paraId="266BBC8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2BEFD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9BF2ED" w14:textId="77777777" w:rsidR="00000000" w:rsidRDefault="00A173A8">
            <w:pPr>
              <w:spacing w:after="100"/>
              <w:jc w:val="right"/>
              <w:rPr>
                <w:rFonts w:eastAsia="Times New Roman"/>
              </w:rPr>
            </w:pPr>
            <w:r>
              <w:rPr>
                <w:rFonts w:eastAsia="Times New Roman"/>
                <w:color w:val="000000"/>
                <w:sz w:val="18"/>
                <w:szCs w:val="18"/>
              </w:rPr>
              <w:t>(58)</w:t>
            </w:r>
          </w:p>
        </w:tc>
        <w:tc>
          <w:tcPr>
            <w:tcW w:w="0" w:type="auto"/>
            <w:shd w:val="clear" w:color="auto" w:fill="FFFFFF"/>
            <w:tcMar>
              <w:top w:w="30" w:type="dxa"/>
              <w:left w:w="0" w:type="dxa"/>
              <w:bottom w:w="30" w:type="dxa"/>
              <w:right w:w="20" w:type="dxa"/>
            </w:tcMar>
            <w:vAlign w:val="center"/>
            <w:hideMark/>
          </w:tcPr>
          <w:p w14:paraId="67C34B4E" w14:textId="77777777" w:rsidR="00000000" w:rsidRDefault="00A173A8">
            <w:pPr>
              <w:spacing w:after="100"/>
              <w:jc w:val="right"/>
              <w:rPr>
                <w:rFonts w:eastAsia="Times New Roman"/>
              </w:rPr>
            </w:pPr>
          </w:p>
        </w:tc>
        <w:tc>
          <w:tcPr>
            <w:tcW w:w="0" w:type="auto"/>
            <w:vAlign w:val="center"/>
            <w:hideMark/>
          </w:tcPr>
          <w:p w14:paraId="4A2CEE0A" w14:textId="77777777" w:rsidR="00000000" w:rsidRDefault="00A173A8">
            <w:pPr>
              <w:spacing w:after="100"/>
              <w:jc w:val="right"/>
              <w:rPr>
                <w:rFonts w:eastAsia="Times New Roman"/>
                <w:sz w:val="20"/>
                <w:szCs w:val="20"/>
              </w:rPr>
            </w:pPr>
          </w:p>
        </w:tc>
        <w:tc>
          <w:tcPr>
            <w:tcW w:w="0" w:type="auto"/>
            <w:vAlign w:val="center"/>
            <w:hideMark/>
          </w:tcPr>
          <w:p w14:paraId="38B4D564" w14:textId="77777777" w:rsidR="00000000" w:rsidRDefault="00A173A8">
            <w:pPr>
              <w:spacing w:after="100"/>
              <w:rPr>
                <w:rFonts w:eastAsia="Times New Roman"/>
                <w:sz w:val="20"/>
                <w:szCs w:val="20"/>
              </w:rPr>
            </w:pPr>
          </w:p>
        </w:tc>
        <w:tc>
          <w:tcPr>
            <w:tcW w:w="0" w:type="auto"/>
            <w:vAlign w:val="center"/>
            <w:hideMark/>
          </w:tcPr>
          <w:p w14:paraId="0C6B3C6A" w14:textId="77777777" w:rsidR="00000000" w:rsidRDefault="00A173A8">
            <w:pPr>
              <w:spacing w:after="100"/>
              <w:rPr>
                <w:rFonts w:eastAsia="Times New Roman"/>
                <w:sz w:val="20"/>
                <w:szCs w:val="20"/>
              </w:rPr>
            </w:pPr>
          </w:p>
        </w:tc>
        <w:tc>
          <w:tcPr>
            <w:tcW w:w="0" w:type="auto"/>
            <w:vAlign w:val="center"/>
            <w:hideMark/>
          </w:tcPr>
          <w:p w14:paraId="08F9753E" w14:textId="77777777" w:rsidR="00000000" w:rsidRDefault="00A173A8">
            <w:pPr>
              <w:spacing w:after="100"/>
              <w:rPr>
                <w:rFonts w:eastAsia="Times New Roman"/>
                <w:sz w:val="20"/>
                <w:szCs w:val="20"/>
              </w:rPr>
            </w:pPr>
          </w:p>
        </w:tc>
      </w:tr>
      <w:tr w:rsidR="00000000" w14:paraId="7671CEB1" w14:textId="77777777">
        <w:trPr>
          <w:divId w:val="582490852"/>
        </w:trPr>
        <w:tc>
          <w:tcPr>
            <w:tcW w:w="0" w:type="auto"/>
            <w:gridSpan w:val="3"/>
            <w:shd w:val="clear" w:color="auto" w:fill="CCEEFF"/>
            <w:tcMar>
              <w:top w:w="30" w:type="dxa"/>
              <w:left w:w="20" w:type="dxa"/>
              <w:bottom w:w="30" w:type="dxa"/>
              <w:right w:w="20" w:type="dxa"/>
            </w:tcMar>
            <w:vAlign w:val="center"/>
            <w:hideMark/>
          </w:tcPr>
          <w:p w14:paraId="3AADD5A2" w14:textId="77777777" w:rsidR="00000000" w:rsidRDefault="00A173A8">
            <w:pPr>
              <w:spacing w:after="100"/>
              <w:rPr>
                <w:rFonts w:eastAsia="Times New Roman"/>
              </w:rPr>
            </w:pPr>
            <w:r>
              <w:rPr>
                <w:rFonts w:eastAsia="Times New Roman"/>
                <w:color w:val="000000"/>
                <w:sz w:val="18"/>
                <w:szCs w:val="18"/>
              </w:rPr>
              <w:t>Preferred stock dividends</w:t>
            </w:r>
          </w:p>
        </w:tc>
        <w:tc>
          <w:tcPr>
            <w:tcW w:w="0" w:type="auto"/>
            <w:gridSpan w:val="3"/>
            <w:shd w:val="clear" w:color="auto" w:fill="CCEEFF"/>
            <w:tcMar>
              <w:top w:w="0" w:type="dxa"/>
              <w:left w:w="20" w:type="dxa"/>
              <w:bottom w:w="0" w:type="dxa"/>
              <w:right w:w="20" w:type="dxa"/>
            </w:tcMar>
            <w:vAlign w:val="center"/>
            <w:hideMark/>
          </w:tcPr>
          <w:p w14:paraId="39E989A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F51E743" w14:textId="77777777" w:rsidR="00000000" w:rsidRDefault="00A173A8">
            <w:pPr>
              <w:spacing w:after="100"/>
              <w:jc w:val="right"/>
              <w:rPr>
                <w:rFonts w:eastAsia="Times New Roman"/>
              </w:rPr>
            </w:pPr>
            <w:r>
              <w:rPr>
                <w:rFonts w:eastAsia="Times New Roman"/>
                <w:b/>
                <w:bCs/>
                <w:color w:val="000000"/>
                <w:sz w:val="18"/>
                <w:szCs w:val="18"/>
              </w:rPr>
              <w:t>(57)</w:t>
            </w:r>
          </w:p>
        </w:tc>
        <w:tc>
          <w:tcPr>
            <w:tcW w:w="0" w:type="auto"/>
            <w:shd w:val="clear" w:color="auto" w:fill="CCEEFF"/>
            <w:tcMar>
              <w:top w:w="30" w:type="dxa"/>
              <w:left w:w="0" w:type="dxa"/>
              <w:bottom w:w="30" w:type="dxa"/>
              <w:right w:w="20" w:type="dxa"/>
            </w:tcMar>
            <w:vAlign w:val="center"/>
            <w:hideMark/>
          </w:tcPr>
          <w:p w14:paraId="1421E64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8B418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05E9451" w14:textId="77777777" w:rsidR="00000000" w:rsidRDefault="00A173A8">
            <w:pPr>
              <w:spacing w:after="100"/>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center"/>
            <w:hideMark/>
          </w:tcPr>
          <w:p w14:paraId="076CB60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8FF2C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6173AA" w14:textId="77777777" w:rsidR="00000000" w:rsidRDefault="00A173A8">
            <w:pPr>
              <w:spacing w:after="100"/>
              <w:jc w:val="right"/>
              <w:rPr>
                <w:rFonts w:eastAsia="Times New Roman"/>
              </w:rPr>
            </w:pPr>
            <w:r>
              <w:rPr>
                <w:rFonts w:eastAsia="Times New Roman"/>
                <w:b/>
                <w:bCs/>
                <w:color w:val="000000"/>
                <w:sz w:val="18"/>
                <w:szCs w:val="18"/>
              </w:rPr>
              <w:t>(114)</w:t>
            </w:r>
          </w:p>
        </w:tc>
        <w:tc>
          <w:tcPr>
            <w:tcW w:w="0" w:type="auto"/>
            <w:shd w:val="clear" w:color="auto" w:fill="CCEEFF"/>
            <w:tcMar>
              <w:top w:w="30" w:type="dxa"/>
              <w:left w:w="0" w:type="dxa"/>
              <w:bottom w:w="30" w:type="dxa"/>
              <w:right w:w="20" w:type="dxa"/>
            </w:tcMar>
            <w:vAlign w:val="center"/>
            <w:hideMark/>
          </w:tcPr>
          <w:p w14:paraId="7E9F239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2521B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8C0708" w14:textId="77777777" w:rsidR="00000000" w:rsidRDefault="00A173A8">
            <w:pPr>
              <w:spacing w:after="100"/>
              <w:jc w:val="right"/>
              <w:rPr>
                <w:rFonts w:eastAsia="Times New Roman"/>
              </w:rPr>
            </w:pPr>
            <w:r>
              <w:rPr>
                <w:rFonts w:eastAsia="Times New Roman"/>
                <w:color w:val="000000"/>
                <w:sz w:val="18"/>
                <w:szCs w:val="18"/>
              </w:rPr>
              <w:t>(121)</w:t>
            </w:r>
          </w:p>
        </w:tc>
        <w:tc>
          <w:tcPr>
            <w:tcW w:w="0" w:type="auto"/>
            <w:shd w:val="clear" w:color="auto" w:fill="CCEEFF"/>
            <w:tcMar>
              <w:top w:w="30" w:type="dxa"/>
              <w:left w:w="0" w:type="dxa"/>
              <w:bottom w:w="30" w:type="dxa"/>
              <w:right w:w="20" w:type="dxa"/>
            </w:tcMar>
            <w:vAlign w:val="center"/>
            <w:hideMark/>
          </w:tcPr>
          <w:p w14:paraId="3FF6A0A9" w14:textId="77777777" w:rsidR="00000000" w:rsidRDefault="00A173A8">
            <w:pPr>
              <w:spacing w:after="100"/>
              <w:jc w:val="right"/>
              <w:rPr>
                <w:rFonts w:eastAsia="Times New Roman"/>
              </w:rPr>
            </w:pPr>
          </w:p>
        </w:tc>
        <w:tc>
          <w:tcPr>
            <w:tcW w:w="0" w:type="auto"/>
            <w:vAlign w:val="center"/>
            <w:hideMark/>
          </w:tcPr>
          <w:p w14:paraId="737E5CAA" w14:textId="77777777" w:rsidR="00000000" w:rsidRDefault="00A173A8">
            <w:pPr>
              <w:spacing w:after="100"/>
              <w:jc w:val="right"/>
              <w:rPr>
                <w:rFonts w:eastAsia="Times New Roman"/>
                <w:sz w:val="20"/>
                <w:szCs w:val="20"/>
              </w:rPr>
            </w:pPr>
          </w:p>
        </w:tc>
        <w:tc>
          <w:tcPr>
            <w:tcW w:w="0" w:type="auto"/>
            <w:vAlign w:val="center"/>
            <w:hideMark/>
          </w:tcPr>
          <w:p w14:paraId="51B5EDD4" w14:textId="77777777" w:rsidR="00000000" w:rsidRDefault="00A173A8">
            <w:pPr>
              <w:spacing w:after="100"/>
              <w:rPr>
                <w:rFonts w:eastAsia="Times New Roman"/>
                <w:sz w:val="20"/>
                <w:szCs w:val="20"/>
              </w:rPr>
            </w:pPr>
          </w:p>
        </w:tc>
        <w:tc>
          <w:tcPr>
            <w:tcW w:w="0" w:type="auto"/>
            <w:vAlign w:val="center"/>
            <w:hideMark/>
          </w:tcPr>
          <w:p w14:paraId="4B71B276" w14:textId="77777777" w:rsidR="00000000" w:rsidRDefault="00A173A8">
            <w:pPr>
              <w:spacing w:after="100"/>
              <w:rPr>
                <w:rFonts w:eastAsia="Times New Roman"/>
                <w:sz w:val="20"/>
                <w:szCs w:val="20"/>
              </w:rPr>
            </w:pPr>
          </w:p>
        </w:tc>
        <w:tc>
          <w:tcPr>
            <w:tcW w:w="0" w:type="auto"/>
            <w:vAlign w:val="center"/>
            <w:hideMark/>
          </w:tcPr>
          <w:p w14:paraId="63D8278A" w14:textId="77777777" w:rsidR="00000000" w:rsidRDefault="00A173A8">
            <w:pPr>
              <w:spacing w:after="100"/>
              <w:rPr>
                <w:rFonts w:eastAsia="Times New Roman"/>
                <w:sz w:val="20"/>
                <w:szCs w:val="20"/>
              </w:rPr>
            </w:pPr>
          </w:p>
        </w:tc>
      </w:tr>
      <w:tr w:rsidR="00000000" w14:paraId="6C9BD1B3" w14:textId="77777777">
        <w:trPr>
          <w:divId w:val="582490852"/>
        </w:trPr>
        <w:tc>
          <w:tcPr>
            <w:tcW w:w="0" w:type="auto"/>
            <w:gridSpan w:val="3"/>
            <w:vAlign w:val="center"/>
            <w:hideMark/>
          </w:tcPr>
          <w:p w14:paraId="07135C48" w14:textId="77777777" w:rsidR="00000000" w:rsidRDefault="00A173A8">
            <w:pPr>
              <w:spacing w:after="100"/>
              <w:rPr>
                <w:rFonts w:eastAsia="Times New Roman"/>
                <w:sz w:val="20"/>
                <w:szCs w:val="20"/>
              </w:rPr>
            </w:pPr>
          </w:p>
        </w:tc>
        <w:tc>
          <w:tcPr>
            <w:tcW w:w="0" w:type="auto"/>
            <w:gridSpan w:val="3"/>
            <w:vAlign w:val="center"/>
            <w:hideMark/>
          </w:tcPr>
          <w:p w14:paraId="0CC7F2ED" w14:textId="77777777" w:rsidR="00000000" w:rsidRDefault="00A173A8">
            <w:pPr>
              <w:spacing w:after="100"/>
              <w:rPr>
                <w:rFonts w:eastAsia="Times New Roman"/>
                <w:sz w:val="20"/>
                <w:szCs w:val="20"/>
              </w:rPr>
            </w:pPr>
          </w:p>
        </w:tc>
        <w:tc>
          <w:tcPr>
            <w:tcW w:w="0" w:type="auto"/>
            <w:gridSpan w:val="3"/>
            <w:vAlign w:val="center"/>
            <w:hideMark/>
          </w:tcPr>
          <w:p w14:paraId="6DBF2D7C" w14:textId="77777777" w:rsidR="00000000" w:rsidRDefault="00A173A8">
            <w:pPr>
              <w:spacing w:after="100"/>
              <w:rPr>
                <w:rFonts w:eastAsia="Times New Roman"/>
                <w:sz w:val="20"/>
                <w:szCs w:val="20"/>
              </w:rPr>
            </w:pPr>
          </w:p>
        </w:tc>
        <w:tc>
          <w:tcPr>
            <w:tcW w:w="0" w:type="auto"/>
            <w:gridSpan w:val="3"/>
            <w:vAlign w:val="center"/>
            <w:hideMark/>
          </w:tcPr>
          <w:p w14:paraId="5A40E183" w14:textId="77777777" w:rsidR="00000000" w:rsidRDefault="00A173A8">
            <w:pPr>
              <w:spacing w:after="100"/>
              <w:rPr>
                <w:rFonts w:eastAsia="Times New Roman"/>
                <w:sz w:val="20"/>
                <w:szCs w:val="20"/>
              </w:rPr>
            </w:pPr>
          </w:p>
        </w:tc>
        <w:tc>
          <w:tcPr>
            <w:tcW w:w="0" w:type="auto"/>
            <w:gridSpan w:val="3"/>
            <w:vAlign w:val="center"/>
            <w:hideMark/>
          </w:tcPr>
          <w:p w14:paraId="061834FC" w14:textId="77777777" w:rsidR="00000000" w:rsidRDefault="00A173A8">
            <w:pPr>
              <w:spacing w:after="100"/>
              <w:rPr>
                <w:rFonts w:eastAsia="Times New Roman"/>
                <w:sz w:val="20"/>
                <w:szCs w:val="20"/>
              </w:rPr>
            </w:pPr>
          </w:p>
        </w:tc>
        <w:tc>
          <w:tcPr>
            <w:tcW w:w="0" w:type="auto"/>
            <w:gridSpan w:val="3"/>
            <w:vAlign w:val="center"/>
            <w:hideMark/>
          </w:tcPr>
          <w:p w14:paraId="69B56B94" w14:textId="77777777" w:rsidR="00000000" w:rsidRDefault="00A173A8">
            <w:pPr>
              <w:spacing w:after="100"/>
              <w:rPr>
                <w:rFonts w:eastAsia="Times New Roman"/>
                <w:sz w:val="20"/>
                <w:szCs w:val="20"/>
              </w:rPr>
            </w:pPr>
          </w:p>
        </w:tc>
        <w:tc>
          <w:tcPr>
            <w:tcW w:w="0" w:type="auto"/>
            <w:gridSpan w:val="3"/>
            <w:vAlign w:val="center"/>
            <w:hideMark/>
          </w:tcPr>
          <w:p w14:paraId="6FED0A45" w14:textId="77777777" w:rsidR="00000000" w:rsidRDefault="00A173A8">
            <w:pPr>
              <w:spacing w:after="100"/>
              <w:rPr>
                <w:rFonts w:eastAsia="Times New Roman"/>
                <w:sz w:val="20"/>
                <w:szCs w:val="20"/>
              </w:rPr>
            </w:pPr>
          </w:p>
        </w:tc>
        <w:tc>
          <w:tcPr>
            <w:tcW w:w="0" w:type="auto"/>
            <w:gridSpan w:val="3"/>
            <w:vAlign w:val="center"/>
            <w:hideMark/>
          </w:tcPr>
          <w:p w14:paraId="73AFDC6B" w14:textId="77777777" w:rsidR="00000000" w:rsidRDefault="00A173A8">
            <w:pPr>
              <w:spacing w:after="100"/>
              <w:rPr>
                <w:rFonts w:eastAsia="Times New Roman"/>
                <w:sz w:val="20"/>
                <w:szCs w:val="20"/>
              </w:rPr>
            </w:pPr>
          </w:p>
        </w:tc>
        <w:tc>
          <w:tcPr>
            <w:tcW w:w="0" w:type="auto"/>
            <w:gridSpan w:val="3"/>
            <w:vAlign w:val="center"/>
            <w:hideMark/>
          </w:tcPr>
          <w:p w14:paraId="3CA7EFAE" w14:textId="77777777" w:rsidR="00000000" w:rsidRDefault="00A173A8">
            <w:pPr>
              <w:spacing w:after="100"/>
              <w:rPr>
                <w:rFonts w:eastAsia="Times New Roman"/>
                <w:sz w:val="20"/>
                <w:szCs w:val="20"/>
              </w:rPr>
            </w:pPr>
          </w:p>
        </w:tc>
        <w:tc>
          <w:tcPr>
            <w:tcW w:w="0" w:type="auto"/>
            <w:vAlign w:val="center"/>
            <w:hideMark/>
          </w:tcPr>
          <w:p w14:paraId="11A2B4F7" w14:textId="77777777" w:rsidR="00000000" w:rsidRDefault="00A173A8">
            <w:pPr>
              <w:spacing w:after="100"/>
              <w:rPr>
                <w:rFonts w:eastAsia="Times New Roman"/>
                <w:sz w:val="20"/>
                <w:szCs w:val="20"/>
              </w:rPr>
            </w:pPr>
          </w:p>
        </w:tc>
        <w:tc>
          <w:tcPr>
            <w:tcW w:w="0" w:type="auto"/>
            <w:vAlign w:val="center"/>
            <w:hideMark/>
          </w:tcPr>
          <w:p w14:paraId="2A051789" w14:textId="77777777" w:rsidR="00000000" w:rsidRDefault="00A173A8">
            <w:pPr>
              <w:spacing w:after="100"/>
              <w:rPr>
                <w:rFonts w:eastAsia="Times New Roman"/>
                <w:sz w:val="20"/>
                <w:szCs w:val="20"/>
              </w:rPr>
            </w:pPr>
          </w:p>
        </w:tc>
        <w:tc>
          <w:tcPr>
            <w:tcW w:w="0" w:type="auto"/>
            <w:vAlign w:val="center"/>
            <w:hideMark/>
          </w:tcPr>
          <w:p w14:paraId="2064B844" w14:textId="77777777" w:rsidR="00000000" w:rsidRDefault="00A173A8">
            <w:pPr>
              <w:spacing w:after="100"/>
              <w:rPr>
                <w:rFonts w:eastAsia="Times New Roman"/>
                <w:sz w:val="20"/>
                <w:szCs w:val="20"/>
              </w:rPr>
            </w:pPr>
          </w:p>
        </w:tc>
        <w:tc>
          <w:tcPr>
            <w:tcW w:w="0" w:type="auto"/>
            <w:vAlign w:val="center"/>
            <w:hideMark/>
          </w:tcPr>
          <w:p w14:paraId="52FDC5D8" w14:textId="77777777" w:rsidR="00000000" w:rsidRDefault="00A173A8">
            <w:pPr>
              <w:spacing w:after="100"/>
              <w:rPr>
                <w:rFonts w:eastAsia="Times New Roman"/>
                <w:sz w:val="20"/>
                <w:szCs w:val="20"/>
              </w:rPr>
            </w:pPr>
          </w:p>
        </w:tc>
      </w:tr>
      <w:tr w:rsidR="00000000" w14:paraId="3749F662" w14:textId="77777777">
        <w:trPr>
          <w:divId w:val="582490852"/>
        </w:trPr>
        <w:tc>
          <w:tcPr>
            <w:tcW w:w="0" w:type="auto"/>
            <w:gridSpan w:val="3"/>
            <w:shd w:val="clear" w:color="auto" w:fill="FFFFFF"/>
            <w:tcMar>
              <w:top w:w="30" w:type="dxa"/>
              <w:left w:w="20" w:type="dxa"/>
              <w:bottom w:w="30" w:type="dxa"/>
              <w:right w:w="20" w:type="dxa"/>
            </w:tcMar>
            <w:vAlign w:val="center"/>
            <w:hideMark/>
          </w:tcPr>
          <w:p w14:paraId="30C89EE3" w14:textId="77777777" w:rsidR="00000000" w:rsidRDefault="00A173A8">
            <w:pPr>
              <w:spacing w:after="100"/>
              <w:rPr>
                <w:rFonts w:eastAsia="Times New Roman"/>
              </w:rPr>
            </w:pPr>
            <w:r>
              <w:rPr>
                <w:rFonts w:eastAsia="Times New Roman"/>
                <w:color w:val="000000"/>
                <w:sz w:val="18"/>
                <w:szCs w:val="18"/>
              </w:rPr>
              <w:t>Net income available to common stockholders</w:t>
            </w:r>
          </w:p>
        </w:tc>
        <w:tc>
          <w:tcPr>
            <w:tcW w:w="0" w:type="auto"/>
            <w:gridSpan w:val="3"/>
            <w:shd w:val="clear" w:color="auto" w:fill="FFFFFF"/>
            <w:tcMar>
              <w:top w:w="0" w:type="dxa"/>
              <w:left w:w="20" w:type="dxa"/>
              <w:bottom w:w="0" w:type="dxa"/>
              <w:right w:w="20" w:type="dxa"/>
            </w:tcMar>
            <w:vAlign w:val="center"/>
            <w:hideMark/>
          </w:tcPr>
          <w:p w14:paraId="1B8442CF"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C03B89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5CD7E4D" w14:textId="77777777" w:rsidR="00000000" w:rsidRDefault="00A173A8">
            <w:pPr>
              <w:spacing w:after="100"/>
              <w:jc w:val="right"/>
              <w:rPr>
                <w:rFonts w:eastAsia="Times New Roman"/>
              </w:rPr>
            </w:pPr>
            <w:r>
              <w:rPr>
                <w:rFonts w:eastAsia="Times New Roman"/>
                <w:b/>
                <w:bCs/>
                <w:color w:val="000000"/>
                <w:sz w:val="18"/>
                <w:szCs w:val="18"/>
              </w:rPr>
              <w:t>1,949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7733D1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AA0F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BFF3F17"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A2410C6" w14:textId="77777777" w:rsidR="00000000" w:rsidRDefault="00A173A8">
            <w:pPr>
              <w:spacing w:after="100"/>
              <w:jc w:val="right"/>
              <w:rPr>
                <w:rFonts w:eastAsia="Times New Roman"/>
              </w:rPr>
            </w:pPr>
            <w:r>
              <w:rPr>
                <w:rFonts w:eastAsia="Times New Roman"/>
                <w:color w:val="000000"/>
                <w:sz w:val="18"/>
                <w:szCs w:val="18"/>
              </w:rPr>
              <w:t>3,446 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4A4575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B79586"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0F0054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30664B4" w14:textId="77777777" w:rsidR="00000000" w:rsidRDefault="00A173A8">
            <w:pPr>
              <w:spacing w:after="100"/>
              <w:jc w:val="right"/>
              <w:rPr>
                <w:rFonts w:eastAsia="Times New Roman"/>
              </w:rPr>
            </w:pPr>
            <w:r>
              <w:rPr>
                <w:rFonts w:eastAsia="Times New Roman"/>
                <w:b/>
                <w:bCs/>
                <w:color w:val="000000"/>
                <w:sz w:val="18"/>
                <w:szCs w:val="18"/>
              </w:rPr>
              <w:t>4,267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5242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C5856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99C3BB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9AC30F3" w14:textId="77777777" w:rsidR="00000000" w:rsidRDefault="00A173A8">
            <w:pPr>
              <w:spacing w:after="100"/>
              <w:jc w:val="right"/>
              <w:rPr>
                <w:rFonts w:eastAsia="Times New Roman"/>
              </w:rPr>
            </w:pPr>
            <w:r>
              <w:rPr>
                <w:rFonts w:eastAsia="Times New Roman"/>
                <w:color w:val="000000"/>
                <w:sz w:val="18"/>
                <w:szCs w:val="18"/>
              </w:rPr>
              <w:t>6,682 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DEC726" w14:textId="77777777" w:rsidR="00000000" w:rsidRDefault="00A173A8">
            <w:pPr>
              <w:spacing w:after="100"/>
              <w:jc w:val="right"/>
              <w:rPr>
                <w:rFonts w:eastAsia="Times New Roman"/>
              </w:rPr>
            </w:pPr>
          </w:p>
        </w:tc>
        <w:tc>
          <w:tcPr>
            <w:tcW w:w="0" w:type="auto"/>
            <w:vAlign w:val="center"/>
            <w:hideMark/>
          </w:tcPr>
          <w:p w14:paraId="468AD3CC" w14:textId="77777777" w:rsidR="00000000" w:rsidRDefault="00A173A8">
            <w:pPr>
              <w:spacing w:after="100"/>
              <w:jc w:val="right"/>
              <w:rPr>
                <w:rFonts w:eastAsia="Times New Roman"/>
                <w:sz w:val="20"/>
                <w:szCs w:val="20"/>
              </w:rPr>
            </w:pPr>
          </w:p>
        </w:tc>
        <w:tc>
          <w:tcPr>
            <w:tcW w:w="0" w:type="auto"/>
            <w:vAlign w:val="center"/>
            <w:hideMark/>
          </w:tcPr>
          <w:p w14:paraId="56EC0E87" w14:textId="77777777" w:rsidR="00000000" w:rsidRDefault="00A173A8">
            <w:pPr>
              <w:spacing w:after="100"/>
              <w:rPr>
                <w:rFonts w:eastAsia="Times New Roman"/>
                <w:sz w:val="20"/>
                <w:szCs w:val="20"/>
              </w:rPr>
            </w:pPr>
          </w:p>
        </w:tc>
        <w:tc>
          <w:tcPr>
            <w:tcW w:w="0" w:type="auto"/>
            <w:vAlign w:val="center"/>
            <w:hideMark/>
          </w:tcPr>
          <w:p w14:paraId="38F62D95" w14:textId="77777777" w:rsidR="00000000" w:rsidRDefault="00A173A8">
            <w:pPr>
              <w:spacing w:after="100"/>
              <w:rPr>
                <w:rFonts w:eastAsia="Times New Roman"/>
                <w:sz w:val="20"/>
                <w:szCs w:val="20"/>
              </w:rPr>
            </w:pPr>
          </w:p>
        </w:tc>
        <w:tc>
          <w:tcPr>
            <w:tcW w:w="0" w:type="auto"/>
            <w:vAlign w:val="center"/>
            <w:hideMark/>
          </w:tcPr>
          <w:p w14:paraId="573F6D1E" w14:textId="77777777" w:rsidR="00000000" w:rsidRDefault="00A173A8">
            <w:pPr>
              <w:spacing w:after="100"/>
              <w:rPr>
                <w:rFonts w:eastAsia="Times New Roman"/>
                <w:sz w:val="20"/>
                <w:szCs w:val="20"/>
              </w:rPr>
            </w:pPr>
          </w:p>
        </w:tc>
      </w:tr>
      <w:tr w:rsidR="00000000" w14:paraId="13D19089" w14:textId="77777777">
        <w:trPr>
          <w:divId w:val="582490852"/>
          <w:trHeight w:val="240"/>
        </w:trPr>
        <w:tc>
          <w:tcPr>
            <w:tcW w:w="0" w:type="auto"/>
            <w:gridSpan w:val="3"/>
            <w:shd w:val="clear" w:color="auto" w:fill="CCEEFF"/>
            <w:tcMar>
              <w:top w:w="0" w:type="dxa"/>
              <w:left w:w="20" w:type="dxa"/>
              <w:bottom w:w="0" w:type="dxa"/>
              <w:right w:w="20" w:type="dxa"/>
            </w:tcMar>
            <w:vAlign w:val="center"/>
            <w:hideMark/>
          </w:tcPr>
          <w:p w14:paraId="2B7DE95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6C887E"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D09DDE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91C12E"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8ACBD4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E63625"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BB7EBC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DC1B71"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1566BC" w14:textId="77777777" w:rsidR="00000000" w:rsidRDefault="00A173A8">
            <w:pPr>
              <w:spacing w:after="100"/>
              <w:rPr>
                <w:rFonts w:eastAsia="Times New Roman"/>
                <w:sz w:val="20"/>
                <w:szCs w:val="20"/>
              </w:rPr>
            </w:pPr>
          </w:p>
        </w:tc>
        <w:tc>
          <w:tcPr>
            <w:tcW w:w="0" w:type="auto"/>
            <w:vAlign w:val="center"/>
            <w:hideMark/>
          </w:tcPr>
          <w:p w14:paraId="3C132C57" w14:textId="77777777" w:rsidR="00000000" w:rsidRDefault="00A173A8">
            <w:pPr>
              <w:spacing w:after="100"/>
              <w:rPr>
                <w:rFonts w:eastAsia="Times New Roman"/>
                <w:sz w:val="20"/>
                <w:szCs w:val="20"/>
              </w:rPr>
            </w:pPr>
          </w:p>
        </w:tc>
        <w:tc>
          <w:tcPr>
            <w:tcW w:w="0" w:type="auto"/>
            <w:vAlign w:val="center"/>
            <w:hideMark/>
          </w:tcPr>
          <w:p w14:paraId="4698CA9D" w14:textId="77777777" w:rsidR="00000000" w:rsidRDefault="00A173A8">
            <w:pPr>
              <w:spacing w:after="100"/>
              <w:rPr>
                <w:rFonts w:eastAsia="Times New Roman"/>
                <w:sz w:val="20"/>
                <w:szCs w:val="20"/>
              </w:rPr>
            </w:pPr>
          </w:p>
        </w:tc>
        <w:tc>
          <w:tcPr>
            <w:tcW w:w="0" w:type="auto"/>
            <w:vAlign w:val="center"/>
            <w:hideMark/>
          </w:tcPr>
          <w:p w14:paraId="6EA1CE09" w14:textId="77777777" w:rsidR="00000000" w:rsidRDefault="00A173A8">
            <w:pPr>
              <w:spacing w:after="100"/>
              <w:rPr>
                <w:rFonts w:eastAsia="Times New Roman"/>
                <w:sz w:val="20"/>
                <w:szCs w:val="20"/>
              </w:rPr>
            </w:pPr>
          </w:p>
        </w:tc>
        <w:tc>
          <w:tcPr>
            <w:tcW w:w="0" w:type="auto"/>
            <w:vAlign w:val="center"/>
            <w:hideMark/>
          </w:tcPr>
          <w:p w14:paraId="506A29C7" w14:textId="77777777" w:rsidR="00000000" w:rsidRDefault="00A173A8">
            <w:pPr>
              <w:spacing w:after="100"/>
              <w:rPr>
                <w:rFonts w:eastAsia="Times New Roman"/>
                <w:sz w:val="20"/>
                <w:szCs w:val="20"/>
              </w:rPr>
            </w:pPr>
          </w:p>
        </w:tc>
      </w:tr>
      <w:tr w:rsidR="00000000" w14:paraId="6E133C1D" w14:textId="77777777">
        <w:trPr>
          <w:divId w:val="582490852"/>
        </w:trPr>
        <w:tc>
          <w:tcPr>
            <w:tcW w:w="0" w:type="auto"/>
            <w:gridSpan w:val="3"/>
            <w:shd w:val="clear" w:color="auto" w:fill="FFFFFF"/>
            <w:tcMar>
              <w:top w:w="30" w:type="dxa"/>
              <w:left w:w="20" w:type="dxa"/>
              <w:bottom w:w="30" w:type="dxa"/>
              <w:right w:w="20" w:type="dxa"/>
            </w:tcMar>
            <w:vAlign w:val="center"/>
            <w:hideMark/>
          </w:tcPr>
          <w:p w14:paraId="69A2980E" w14:textId="77777777" w:rsidR="00000000" w:rsidRDefault="00A173A8">
            <w:pPr>
              <w:spacing w:after="100"/>
              <w:rPr>
                <w:rFonts w:eastAsia="Times New Roman"/>
              </w:rPr>
            </w:pPr>
            <w:r>
              <w:rPr>
                <w:rFonts w:eastAsia="Times New Roman"/>
                <w:color w:val="000000"/>
                <w:sz w:val="18"/>
                <w:szCs w:val="18"/>
              </w:rPr>
              <w:t>Total weighted-average basic common shares outstanding</w:t>
            </w:r>
          </w:p>
        </w:tc>
        <w:tc>
          <w:tcPr>
            <w:tcW w:w="0" w:type="auto"/>
            <w:gridSpan w:val="3"/>
            <w:shd w:val="clear" w:color="auto" w:fill="FFFFFF"/>
            <w:tcMar>
              <w:top w:w="0" w:type="dxa"/>
              <w:left w:w="20" w:type="dxa"/>
              <w:bottom w:w="0" w:type="dxa"/>
              <w:right w:w="20" w:type="dxa"/>
            </w:tcMar>
            <w:vAlign w:val="center"/>
            <w:hideMark/>
          </w:tcPr>
          <w:p w14:paraId="1DB04B7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F4B1FA5" w14:textId="77777777" w:rsidR="00000000" w:rsidRDefault="00A173A8">
            <w:pPr>
              <w:spacing w:after="100"/>
              <w:jc w:val="right"/>
              <w:rPr>
                <w:rFonts w:eastAsia="Times New Roman"/>
              </w:rPr>
            </w:pPr>
            <w:r>
              <w:rPr>
                <w:rFonts w:eastAsia="Times New Roman"/>
                <w:b/>
                <w:bCs/>
                <w:color w:val="000000"/>
                <w:sz w:val="18"/>
                <w:szCs w:val="18"/>
              </w:rPr>
              <w:t>391.2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09BE8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E323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39D356" w14:textId="77777777" w:rsidR="00000000" w:rsidRDefault="00A173A8">
            <w:pPr>
              <w:spacing w:after="100"/>
              <w:jc w:val="right"/>
              <w:rPr>
                <w:rFonts w:eastAsia="Times New Roman"/>
              </w:rPr>
            </w:pPr>
            <w:r>
              <w:rPr>
                <w:rFonts w:eastAsia="Times New Roman"/>
                <w:color w:val="000000"/>
                <w:sz w:val="18"/>
                <w:szCs w:val="18"/>
              </w:rPr>
              <w:t>450.6 </w:t>
            </w:r>
          </w:p>
        </w:tc>
        <w:tc>
          <w:tcPr>
            <w:tcW w:w="0" w:type="auto"/>
            <w:shd w:val="clear" w:color="auto" w:fill="FFFFFF"/>
            <w:tcMar>
              <w:top w:w="30" w:type="dxa"/>
              <w:left w:w="0" w:type="dxa"/>
              <w:bottom w:w="30" w:type="dxa"/>
              <w:right w:w="20" w:type="dxa"/>
            </w:tcMar>
            <w:vAlign w:val="center"/>
            <w:hideMark/>
          </w:tcPr>
          <w:p w14:paraId="506D2BC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68C6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2B5FE79" w14:textId="77777777" w:rsidR="00000000" w:rsidRDefault="00A173A8">
            <w:pPr>
              <w:spacing w:after="100"/>
              <w:jc w:val="right"/>
              <w:rPr>
                <w:rFonts w:eastAsia="Times New Roman"/>
              </w:rPr>
            </w:pPr>
            <w:r>
              <w:rPr>
                <w:rFonts w:eastAsia="Times New Roman"/>
                <w:b/>
                <w:bCs/>
                <w:color w:val="000000"/>
                <w:sz w:val="18"/>
                <w:szCs w:val="18"/>
              </w:rPr>
              <w:t>400.8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F04F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2FA8B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68C1B6" w14:textId="77777777" w:rsidR="00000000" w:rsidRDefault="00A173A8">
            <w:pPr>
              <w:spacing w:after="100"/>
              <w:jc w:val="right"/>
              <w:rPr>
                <w:rFonts w:eastAsia="Times New Roman"/>
              </w:rPr>
            </w:pPr>
            <w:r>
              <w:rPr>
                <w:rFonts w:eastAsia="Times New Roman"/>
                <w:color w:val="000000"/>
                <w:sz w:val="18"/>
                <w:szCs w:val="18"/>
              </w:rPr>
              <w:t>454.6 </w:t>
            </w:r>
          </w:p>
        </w:tc>
        <w:tc>
          <w:tcPr>
            <w:tcW w:w="0" w:type="auto"/>
            <w:shd w:val="clear" w:color="auto" w:fill="FFFFFF"/>
            <w:tcMar>
              <w:top w:w="30" w:type="dxa"/>
              <w:left w:w="0" w:type="dxa"/>
              <w:bottom w:w="30" w:type="dxa"/>
              <w:right w:w="20" w:type="dxa"/>
            </w:tcMar>
            <w:vAlign w:val="center"/>
            <w:hideMark/>
          </w:tcPr>
          <w:p w14:paraId="10DC2A4D" w14:textId="77777777" w:rsidR="00000000" w:rsidRDefault="00A173A8">
            <w:pPr>
              <w:spacing w:after="100"/>
              <w:jc w:val="right"/>
              <w:rPr>
                <w:rFonts w:eastAsia="Times New Roman"/>
              </w:rPr>
            </w:pPr>
          </w:p>
        </w:tc>
        <w:tc>
          <w:tcPr>
            <w:tcW w:w="0" w:type="auto"/>
            <w:vAlign w:val="center"/>
            <w:hideMark/>
          </w:tcPr>
          <w:p w14:paraId="694F94E0" w14:textId="77777777" w:rsidR="00000000" w:rsidRDefault="00A173A8">
            <w:pPr>
              <w:spacing w:after="100"/>
              <w:jc w:val="right"/>
              <w:rPr>
                <w:rFonts w:eastAsia="Times New Roman"/>
                <w:sz w:val="20"/>
                <w:szCs w:val="20"/>
              </w:rPr>
            </w:pPr>
          </w:p>
        </w:tc>
        <w:tc>
          <w:tcPr>
            <w:tcW w:w="0" w:type="auto"/>
            <w:vAlign w:val="center"/>
            <w:hideMark/>
          </w:tcPr>
          <w:p w14:paraId="2D0F4B77" w14:textId="77777777" w:rsidR="00000000" w:rsidRDefault="00A173A8">
            <w:pPr>
              <w:spacing w:after="100"/>
              <w:rPr>
                <w:rFonts w:eastAsia="Times New Roman"/>
                <w:sz w:val="20"/>
                <w:szCs w:val="20"/>
              </w:rPr>
            </w:pPr>
          </w:p>
        </w:tc>
        <w:tc>
          <w:tcPr>
            <w:tcW w:w="0" w:type="auto"/>
            <w:vAlign w:val="center"/>
            <w:hideMark/>
          </w:tcPr>
          <w:p w14:paraId="3ECED1E6" w14:textId="77777777" w:rsidR="00000000" w:rsidRDefault="00A173A8">
            <w:pPr>
              <w:spacing w:after="100"/>
              <w:rPr>
                <w:rFonts w:eastAsia="Times New Roman"/>
                <w:sz w:val="20"/>
                <w:szCs w:val="20"/>
              </w:rPr>
            </w:pPr>
          </w:p>
        </w:tc>
        <w:tc>
          <w:tcPr>
            <w:tcW w:w="0" w:type="auto"/>
            <w:vAlign w:val="center"/>
            <w:hideMark/>
          </w:tcPr>
          <w:p w14:paraId="1F572AD7" w14:textId="77777777" w:rsidR="00000000" w:rsidRDefault="00A173A8">
            <w:pPr>
              <w:spacing w:after="100"/>
              <w:rPr>
                <w:rFonts w:eastAsia="Times New Roman"/>
                <w:sz w:val="20"/>
                <w:szCs w:val="20"/>
              </w:rPr>
            </w:pPr>
          </w:p>
        </w:tc>
      </w:tr>
      <w:tr w:rsidR="00000000" w14:paraId="5343C784" w14:textId="77777777">
        <w:trPr>
          <w:divId w:val="582490852"/>
        </w:trPr>
        <w:tc>
          <w:tcPr>
            <w:tcW w:w="0" w:type="auto"/>
            <w:gridSpan w:val="3"/>
            <w:shd w:val="clear" w:color="auto" w:fill="CCEEFF"/>
            <w:tcMar>
              <w:top w:w="30" w:type="dxa"/>
              <w:left w:w="20" w:type="dxa"/>
              <w:bottom w:w="30" w:type="dxa"/>
              <w:right w:w="20" w:type="dxa"/>
            </w:tcMar>
            <w:vAlign w:val="center"/>
            <w:hideMark/>
          </w:tcPr>
          <w:p w14:paraId="72F625B5" w14:textId="77777777" w:rsidR="00000000" w:rsidRDefault="00A173A8">
            <w:pPr>
              <w:spacing w:after="100"/>
              <w:divId w:val="1991014808"/>
              <w:rPr>
                <w:rFonts w:eastAsia="Times New Roman"/>
              </w:rPr>
            </w:pPr>
            <w:r>
              <w:rPr>
                <w:rFonts w:eastAsia="Times New Roman"/>
                <w:color w:val="000000"/>
                <w:sz w:val="18"/>
                <w:szCs w:val="18"/>
              </w:rPr>
              <w:t>Effect of dilutive securities</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81196A6"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CD4EE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598DC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A1B1A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2A79F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95C81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298ED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58C2D0" w14:textId="77777777" w:rsidR="00000000" w:rsidRDefault="00A173A8">
            <w:pPr>
              <w:spacing w:after="100"/>
              <w:rPr>
                <w:rFonts w:eastAsia="Times New Roman"/>
                <w:sz w:val="20"/>
                <w:szCs w:val="20"/>
              </w:rPr>
            </w:pPr>
          </w:p>
        </w:tc>
        <w:tc>
          <w:tcPr>
            <w:tcW w:w="0" w:type="auto"/>
            <w:vAlign w:val="center"/>
            <w:hideMark/>
          </w:tcPr>
          <w:p w14:paraId="4A368C24" w14:textId="77777777" w:rsidR="00000000" w:rsidRDefault="00A173A8">
            <w:pPr>
              <w:spacing w:after="100"/>
              <w:rPr>
                <w:rFonts w:eastAsia="Times New Roman"/>
                <w:sz w:val="20"/>
                <w:szCs w:val="20"/>
              </w:rPr>
            </w:pPr>
          </w:p>
        </w:tc>
        <w:tc>
          <w:tcPr>
            <w:tcW w:w="0" w:type="auto"/>
            <w:vAlign w:val="center"/>
            <w:hideMark/>
          </w:tcPr>
          <w:p w14:paraId="29AB0E1B" w14:textId="77777777" w:rsidR="00000000" w:rsidRDefault="00A173A8">
            <w:pPr>
              <w:spacing w:after="100"/>
              <w:rPr>
                <w:rFonts w:eastAsia="Times New Roman"/>
                <w:sz w:val="20"/>
                <w:szCs w:val="20"/>
              </w:rPr>
            </w:pPr>
          </w:p>
        </w:tc>
        <w:tc>
          <w:tcPr>
            <w:tcW w:w="0" w:type="auto"/>
            <w:vAlign w:val="center"/>
            <w:hideMark/>
          </w:tcPr>
          <w:p w14:paraId="2248F129" w14:textId="77777777" w:rsidR="00000000" w:rsidRDefault="00A173A8">
            <w:pPr>
              <w:spacing w:after="100"/>
              <w:rPr>
                <w:rFonts w:eastAsia="Times New Roman"/>
                <w:sz w:val="20"/>
                <w:szCs w:val="20"/>
              </w:rPr>
            </w:pPr>
          </w:p>
        </w:tc>
        <w:tc>
          <w:tcPr>
            <w:tcW w:w="0" w:type="auto"/>
            <w:vAlign w:val="center"/>
            <w:hideMark/>
          </w:tcPr>
          <w:p w14:paraId="63587315" w14:textId="77777777" w:rsidR="00000000" w:rsidRDefault="00A173A8">
            <w:pPr>
              <w:spacing w:after="100"/>
              <w:rPr>
                <w:rFonts w:eastAsia="Times New Roman"/>
                <w:sz w:val="20"/>
                <w:szCs w:val="20"/>
              </w:rPr>
            </w:pPr>
          </w:p>
        </w:tc>
      </w:tr>
      <w:tr w:rsidR="00000000" w14:paraId="1A1C644E" w14:textId="77777777">
        <w:trPr>
          <w:divId w:val="582490852"/>
        </w:trPr>
        <w:tc>
          <w:tcPr>
            <w:tcW w:w="0" w:type="auto"/>
            <w:gridSpan w:val="3"/>
            <w:shd w:val="clear" w:color="auto" w:fill="FFFFFF"/>
            <w:tcMar>
              <w:top w:w="30" w:type="dxa"/>
              <w:left w:w="245" w:type="dxa"/>
              <w:bottom w:w="30" w:type="dxa"/>
              <w:right w:w="20" w:type="dxa"/>
            </w:tcMar>
            <w:vAlign w:val="center"/>
            <w:hideMark/>
          </w:tcPr>
          <w:p w14:paraId="6A49F974" w14:textId="77777777" w:rsidR="00000000" w:rsidRDefault="00A173A8">
            <w:pPr>
              <w:spacing w:after="100"/>
              <w:rPr>
                <w:rFonts w:eastAsia="Times New Roman"/>
              </w:rPr>
            </w:pPr>
            <w:r>
              <w:rPr>
                <w:rFonts w:eastAsia="Times New Roman"/>
                <w:color w:val="000000"/>
                <w:sz w:val="18"/>
                <w:szCs w:val="18"/>
              </w:rPr>
              <w:t>Stock options</w:t>
            </w:r>
          </w:p>
        </w:tc>
        <w:tc>
          <w:tcPr>
            <w:tcW w:w="0" w:type="auto"/>
            <w:gridSpan w:val="3"/>
            <w:shd w:val="clear" w:color="auto" w:fill="FFFFFF"/>
            <w:tcMar>
              <w:top w:w="0" w:type="dxa"/>
              <w:left w:w="20" w:type="dxa"/>
              <w:bottom w:w="0" w:type="dxa"/>
              <w:right w:w="20" w:type="dxa"/>
            </w:tcMar>
            <w:vAlign w:val="center"/>
            <w:hideMark/>
          </w:tcPr>
          <w:p w14:paraId="32F3C39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CA23EC8" w14:textId="77777777" w:rsidR="00000000" w:rsidRDefault="00A173A8">
            <w:pPr>
              <w:spacing w:after="100"/>
              <w:jc w:val="right"/>
              <w:rPr>
                <w:rFonts w:eastAsia="Times New Roman"/>
              </w:rPr>
            </w:pPr>
            <w:r>
              <w:rPr>
                <w:rFonts w:eastAsia="Times New Roman"/>
                <w:b/>
                <w:bCs/>
                <w:color w:val="000000"/>
                <w:sz w:val="18"/>
                <w:szCs w:val="18"/>
              </w:rPr>
              <w:t>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74F65D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27AC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62D6C20" w14:textId="77777777" w:rsidR="00000000" w:rsidRDefault="00A173A8">
            <w:pPr>
              <w:spacing w:after="100"/>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center"/>
            <w:hideMark/>
          </w:tcPr>
          <w:p w14:paraId="2799F22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C671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3AABED" w14:textId="77777777" w:rsidR="00000000" w:rsidRDefault="00A173A8">
            <w:pPr>
              <w:spacing w:after="100"/>
              <w:jc w:val="right"/>
              <w:rPr>
                <w:rFonts w:eastAsia="Times New Roman"/>
              </w:rPr>
            </w:pPr>
            <w:r>
              <w:rPr>
                <w:rFonts w:eastAsia="Times New Roman"/>
                <w:b/>
                <w:bCs/>
                <w:color w:val="000000"/>
                <w:sz w:val="18"/>
                <w:szCs w:val="18"/>
              </w:rPr>
              <w:t>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E2782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7DD2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F5B5C50" w14:textId="77777777" w:rsidR="00000000" w:rsidRDefault="00A173A8">
            <w:pPr>
              <w:spacing w:after="100"/>
              <w:jc w:val="right"/>
              <w:rPr>
                <w:rFonts w:eastAsia="Times New Roman"/>
              </w:rPr>
            </w:pPr>
            <w:r>
              <w:rPr>
                <w:rFonts w:eastAsia="Times New Roman"/>
                <w:color w:val="000000"/>
                <w:sz w:val="18"/>
                <w:szCs w:val="18"/>
              </w:rPr>
              <w:t>0.8 </w:t>
            </w:r>
          </w:p>
        </w:tc>
        <w:tc>
          <w:tcPr>
            <w:tcW w:w="0" w:type="auto"/>
            <w:shd w:val="clear" w:color="auto" w:fill="FFFFFF"/>
            <w:tcMar>
              <w:top w:w="30" w:type="dxa"/>
              <w:left w:w="0" w:type="dxa"/>
              <w:bottom w:w="30" w:type="dxa"/>
              <w:right w:w="20" w:type="dxa"/>
            </w:tcMar>
            <w:vAlign w:val="center"/>
            <w:hideMark/>
          </w:tcPr>
          <w:p w14:paraId="3EF11F50" w14:textId="77777777" w:rsidR="00000000" w:rsidRDefault="00A173A8">
            <w:pPr>
              <w:spacing w:after="100"/>
              <w:jc w:val="right"/>
              <w:rPr>
                <w:rFonts w:eastAsia="Times New Roman"/>
              </w:rPr>
            </w:pPr>
          </w:p>
        </w:tc>
        <w:tc>
          <w:tcPr>
            <w:tcW w:w="0" w:type="auto"/>
            <w:vAlign w:val="center"/>
            <w:hideMark/>
          </w:tcPr>
          <w:p w14:paraId="434B0705" w14:textId="77777777" w:rsidR="00000000" w:rsidRDefault="00A173A8">
            <w:pPr>
              <w:spacing w:after="100"/>
              <w:jc w:val="right"/>
              <w:rPr>
                <w:rFonts w:eastAsia="Times New Roman"/>
                <w:sz w:val="20"/>
                <w:szCs w:val="20"/>
              </w:rPr>
            </w:pPr>
          </w:p>
        </w:tc>
        <w:tc>
          <w:tcPr>
            <w:tcW w:w="0" w:type="auto"/>
            <w:vAlign w:val="center"/>
            <w:hideMark/>
          </w:tcPr>
          <w:p w14:paraId="3059252E" w14:textId="77777777" w:rsidR="00000000" w:rsidRDefault="00A173A8">
            <w:pPr>
              <w:spacing w:after="100"/>
              <w:rPr>
                <w:rFonts w:eastAsia="Times New Roman"/>
                <w:sz w:val="20"/>
                <w:szCs w:val="20"/>
              </w:rPr>
            </w:pPr>
          </w:p>
        </w:tc>
        <w:tc>
          <w:tcPr>
            <w:tcW w:w="0" w:type="auto"/>
            <w:vAlign w:val="center"/>
            <w:hideMark/>
          </w:tcPr>
          <w:p w14:paraId="66F431CC" w14:textId="77777777" w:rsidR="00000000" w:rsidRDefault="00A173A8">
            <w:pPr>
              <w:spacing w:after="100"/>
              <w:rPr>
                <w:rFonts w:eastAsia="Times New Roman"/>
                <w:sz w:val="20"/>
                <w:szCs w:val="20"/>
              </w:rPr>
            </w:pPr>
          </w:p>
        </w:tc>
        <w:tc>
          <w:tcPr>
            <w:tcW w:w="0" w:type="auto"/>
            <w:vAlign w:val="center"/>
            <w:hideMark/>
          </w:tcPr>
          <w:p w14:paraId="41274204" w14:textId="77777777" w:rsidR="00000000" w:rsidRDefault="00A173A8">
            <w:pPr>
              <w:spacing w:after="100"/>
              <w:rPr>
                <w:rFonts w:eastAsia="Times New Roman"/>
                <w:sz w:val="20"/>
                <w:szCs w:val="20"/>
              </w:rPr>
            </w:pPr>
          </w:p>
        </w:tc>
      </w:tr>
      <w:tr w:rsidR="00000000" w14:paraId="287C7211" w14:textId="77777777">
        <w:trPr>
          <w:divId w:val="582490852"/>
        </w:trPr>
        <w:tc>
          <w:tcPr>
            <w:tcW w:w="0" w:type="auto"/>
            <w:gridSpan w:val="3"/>
            <w:shd w:val="clear" w:color="auto" w:fill="CCEEFF"/>
            <w:tcMar>
              <w:top w:w="30" w:type="dxa"/>
              <w:left w:w="245" w:type="dxa"/>
              <w:bottom w:w="30" w:type="dxa"/>
              <w:right w:w="20" w:type="dxa"/>
            </w:tcMar>
            <w:vAlign w:val="center"/>
            <w:hideMark/>
          </w:tcPr>
          <w:p w14:paraId="4E40B770" w14:textId="77777777" w:rsidR="00000000" w:rsidRDefault="00A173A8">
            <w:pPr>
              <w:spacing w:after="100"/>
              <w:rPr>
                <w:rFonts w:eastAsia="Times New Roman"/>
              </w:rPr>
            </w:pPr>
            <w:r>
              <w:rPr>
                <w:rFonts w:eastAsia="Times New Roman"/>
                <w:color w:val="000000"/>
                <w:sz w:val="18"/>
                <w:szCs w:val="18"/>
              </w:rPr>
              <w:t>Other contingently issuable shares</w:t>
            </w:r>
          </w:p>
        </w:tc>
        <w:tc>
          <w:tcPr>
            <w:tcW w:w="0" w:type="auto"/>
            <w:gridSpan w:val="3"/>
            <w:shd w:val="clear" w:color="auto" w:fill="CCEEFF"/>
            <w:tcMar>
              <w:top w:w="0" w:type="dxa"/>
              <w:left w:w="20" w:type="dxa"/>
              <w:bottom w:w="0" w:type="dxa"/>
              <w:right w:w="20" w:type="dxa"/>
            </w:tcMar>
            <w:vAlign w:val="center"/>
            <w:hideMark/>
          </w:tcPr>
          <w:p w14:paraId="23CA18E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B295DBC" w14:textId="77777777" w:rsidR="00000000" w:rsidRDefault="00A173A8">
            <w:pPr>
              <w:spacing w:after="100"/>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FDC1A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FADAA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A39209" w14:textId="77777777" w:rsidR="00000000" w:rsidRDefault="00A173A8">
            <w:pPr>
              <w:spacing w:after="100"/>
              <w:jc w:val="right"/>
              <w:rPr>
                <w:rFonts w:eastAsia="Times New Roman"/>
              </w:rPr>
            </w:pPr>
            <w:r>
              <w:rPr>
                <w:rFonts w:eastAsia="Times New Roman"/>
                <w:color w:val="000000"/>
                <w:sz w:val="18"/>
                <w:szCs w:val="18"/>
              </w:rPr>
              <w:t>0.9 </w:t>
            </w:r>
          </w:p>
        </w:tc>
        <w:tc>
          <w:tcPr>
            <w:tcW w:w="0" w:type="auto"/>
            <w:shd w:val="clear" w:color="auto" w:fill="CCEEFF"/>
            <w:tcMar>
              <w:top w:w="30" w:type="dxa"/>
              <w:left w:w="0" w:type="dxa"/>
              <w:bottom w:w="30" w:type="dxa"/>
              <w:right w:w="20" w:type="dxa"/>
            </w:tcMar>
            <w:vAlign w:val="center"/>
            <w:hideMark/>
          </w:tcPr>
          <w:p w14:paraId="3D263AC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A10D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D55613F" w14:textId="77777777" w:rsidR="00000000" w:rsidRDefault="00A173A8">
            <w:pPr>
              <w:spacing w:after="100"/>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F80970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E21D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D5D19C" w14:textId="77777777" w:rsidR="00000000" w:rsidRDefault="00A173A8">
            <w:pPr>
              <w:spacing w:after="100"/>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center"/>
            <w:hideMark/>
          </w:tcPr>
          <w:p w14:paraId="64D71BAC" w14:textId="77777777" w:rsidR="00000000" w:rsidRDefault="00A173A8">
            <w:pPr>
              <w:spacing w:after="100"/>
              <w:jc w:val="right"/>
              <w:rPr>
                <w:rFonts w:eastAsia="Times New Roman"/>
              </w:rPr>
            </w:pPr>
          </w:p>
        </w:tc>
        <w:tc>
          <w:tcPr>
            <w:tcW w:w="0" w:type="auto"/>
            <w:vAlign w:val="center"/>
            <w:hideMark/>
          </w:tcPr>
          <w:p w14:paraId="2B4D72B2" w14:textId="77777777" w:rsidR="00000000" w:rsidRDefault="00A173A8">
            <w:pPr>
              <w:spacing w:after="100"/>
              <w:jc w:val="right"/>
              <w:rPr>
                <w:rFonts w:eastAsia="Times New Roman"/>
                <w:sz w:val="20"/>
                <w:szCs w:val="20"/>
              </w:rPr>
            </w:pPr>
          </w:p>
        </w:tc>
        <w:tc>
          <w:tcPr>
            <w:tcW w:w="0" w:type="auto"/>
            <w:vAlign w:val="center"/>
            <w:hideMark/>
          </w:tcPr>
          <w:p w14:paraId="5535EF01" w14:textId="77777777" w:rsidR="00000000" w:rsidRDefault="00A173A8">
            <w:pPr>
              <w:spacing w:after="100"/>
              <w:rPr>
                <w:rFonts w:eastAsia="Times New Roman"/>
                <w:sz w:val="20"/>
                <w:szCs w:val="20"/>
              </w:rPr>
            </w:pPr>
          </w:p>
        </w:tc>
        <w:tc>
          <w:tcPr>
            <w:tcW w:w="0" w:type="auto"/>
            <w:vAlign w:val="center"/>
            <w:hideMark/>
          </w:tcPr>
          <w:p w14:paraId="111ED920" w14:textId="77777777" w:rsidR="00000000" w:rsidRDefault="00A173A8">
            <w:pPr>
              <w:spacing w:after="100"/>
              <w:rPr>
                <w:rFonts w:eastAsia="Times New Roman"/>
                <w:sz w:val="20"/>
                <w:szCs w:val="20"/>
              </w:rPr>
            </w:pPr>
          </w:p>
        </w:tc>
        <w:tc>
          <w:tcPr>
            <w:tcW w:w="0" w:type="auto"/>
            <w:vAlign w:val="center"/>
            <w:hideMark/>
          </w:tcPr>
          <w:p w14:paraId="677C5958" w14:textId="77777777" w:rsidR="00000000" w:rsidRDefault="00A173A8">
            <w:pPr>
              <w:spacing w:after="100"/>
              <w:rPr>
                <w:rFonts w:eastAsia="Times New Roman"/>
                <w:sz w:val="20"/>
                <w:szCs w:val="20"/>
              </w:rPr>
            </w:pPr>
          </w:p>
        </w:tc>
      </w:tr>
      <w:tr w:rsidR="00000000" w14:paraId="71BAA96D" w14:textId="77777777">
        <w:trPr>
          <w:divId w:val="582490852"/>
        </w:trPr>
        <w:tc>
          <w:tcPr>
            <w:tcW w:w="0" w:type="auto"/>
            <w:gridSpan w:val="3"/>
            <w:shd w:val="clear" w:color="auto" w:fill="FFFFFF"/>
            <w:tcMar>
              <w:top w:w="30" w:type="dxa"/>
              <w:left w:w="20" w:type="dxa"/>
              <w:bottom w:w="30" w:type="dxa"/>
              <w:right w:w="20" w:type="dxa"/>
            </w:tcMar>
            <w:vAlign w:val="center"/>
            <w:hideMark/>
          </w:tcPr>
          <w:p w14:paraId="4930BBA2" w14:textId="77777777" w:rsidR="00000000" w:rsidRDefault="00A173A8">
            <w:pPr>
              <w:spacing w:after="100"/>
              <w:rPr>
                <w:rFonts w:eastAsia="Times New Roman"/>
              </w:rPr>
            </w:pPr>
            <w:r>
              <w:rPr>
                <w:rFonts w:eastAsia="Times New Roman"/>
                <w:color w:val="000000"/>
                <w:sz w:val="18"/>
                <w:szCs w:val="18"/>
              </w:rPr>
              <w:t>Total effect of dilutive securities</w:t>
            </w:r>
          </w:p>
        </w:tc>
        <w:tc>
          <w:tcPr>
            <w:tcW w:w="0" w:type="auto"/>
            <w:gridSpan w:val="3"/>
            <w:shd w:val="clear" w:color="auto" w:fill="FFFFFF"/>
            <w:tcMar>
              <w:top w:w="0" w:type="dxa"/>
              <w:left w:w="20" w:type="dxa"/>
              <w:bottom w:w="0" w:type="dxa"/>
              <w:right w:w="20" w:type="dxa"/>
            </w:tcMar>
            <w:vAlign w:val="center"/>
            <w:hideMark/>
          </w:tcPr>
          <w:p w14:paraId="6D9B1E4D"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2E651C0" w14:textId="77777777" w:rsidR="00000000" w:rsidRDefault="00A173A8">
            <w:pPr>
              <w:spacing w:after="100"/>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DB349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7DC98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A9ABEA" w14:textId="77777777" w:rsidR="00000000" w:rsidRDefault="00A173A8">
            <w:pPr>
              <w:spacing w:after="100"/>
              <w:jc w:val="right"/>
              <w:rPr>
                <w:rFonts w:eastAsia="Times New Roman"/>
              </w:rPr>
            </w:pPr>
            <w:r>
              <w:rPr>
                <w:rFonts w:eastAsia="Times New Roman"/>
                <w:color w:val="000000"/>
                <w:sz w:val="18"/>
                <w:szCs w:val="18"/>
              </w:rPr>
              <w:t>1.7 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83528B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67E63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EF7E834" w14:textId="77777777" w:rsidR="00000000" w:rsidRDefault="00A173A8">
            <w:pPr>
              <w:spacing w:after="100"/>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794086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243E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8C31C5B" w14:textId="77777777" w:rsidR="00000000" w:rsidRDefault="00A173A8">
            <w:pPr>
              <w:spacing w:after="100"/>
              <w:jc w:val="right"/>
              <w:rPr>
                <w:rFonts w:eastAsia="Times New Roman"/>
              </w:rPr>
            </w:pPr>
            <w:r>
              <w:rPr>
                <w:rFonts w:eastAsia="Times New Roman"/>
                <w:color w:val="000000"/>
                <w:sz w:val="18"/>
                <w:szCs w:val="18"/>
              </w:rPr>
              <w:t>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0238E14" w14:textId="77777777" w:rsidR="00000000" w:rsidRDefault="00A173A8">
            <w:pPr>
              <w:spacing w:after="100"/>
              <w:jc w:val="right"/>
              <w:rPr>
                <w:rFonts w:eastAsia="Times New Roman"/>
              </w:rPr>
            </w:pPr>
          </w:p>
        </w:tc>
        <w:tc>
          <w:tcPr>
            <w:tcW w:w="0" w:type="auto"/>
            <w:vAlign w:val="center"/>
            <w:hideMark/>
          </w:tcPr>
          <w:p w14:paraId="3F0E3F87" w14:textId="77777777" w:rsidR="00000000" w:rsidRDefault="00A173A8">
            <w:pPr>
              <w:spacing w:after="100"/>
              <w:jc w:val="right"/>
              <w:rPr>
                <w:rFonts w:eastAsia="Times New Roman"/>
                <w:sz w:val="20"/>
                <w:szCs w:val="20"/>
              </w:rPr>
            </w:pPr>
          </w:p>
        </w:tc>
        <w:tc>
          <w:tcPr>
            <w:tcW w:w="0" w:type="auto"/>
            <w:vAlign w:val="center"/>
            <w:hideMark/>
          </w:tcPr>
          <w:p w14:paraId="20A7E29B" w14:textId="77777777" w:rsidR="00000000" w:rsidRDefault="00A173A8">
            <w:pPr>
              <w:spacing w:after="100"/>
              <w:rPr>
                <w:rFonts w:eastAsia="Times New Roman"/>
                <w:sz w:val="20"/>
                <w:szCs w:val="20"/>
              </w:rPr>
            </w:pPr>
          </w:p>
        </w:tc>
        <w:tc>
          <w:tcPr>
            <w:tcW w:w="0" w:type="auto"/>
            <w:vAlign w:val="center"/>
            <w:hideMark/>
          </w:tcPr>
          <w:p w14:paraId="63AD0F80" w14:textId="77777777" w:rsidR="00000000" w:rsidRDefault="00A173A8">
            <w:pPr>
              <w:spacing w:after="100"/>
              <w:rPr>
                <w:rFonts w:eastAsia="Times New Roman"/>
                <w:sz w:val="20"/>
                <w:szCs w:val="20"/>
              </w:rPr>
            </w:pPr>
          </w:p>
        </w:tc>
        <w:tc>
          <w:tcPr>
            <w:tcW w:w="0" w:type="auto"/>
            <w:vAlign w:val="center"/>
            <w:hideMark/>
          </w:tcPr>
          <w:p w14:paraId="01388E60" w14:textId="77777777" w:rsidR="00000000" w:rsidRDefault="00A173A8">
            <w:pPr>
              <w:spacing w:after="100"/>
              <w:rPr>
                <w:rFonts w:eastAsia="Times New Roman"/>
                <w:sz w:val="20"/>
                <w:szCs w:val="20"/>
              </w:rPr>
            </w:pPr>
          </w:p>
        </w:tc>
      </w:tr>
      <w:tr w:rsidR="00000000" w14:paraId="1895A461" w14:textId="77777777">
        <w:trPr>
          <w:divId w:val="582490852"/>
        </w:trPr>
        <w:tc>
          <w:tcPr>
            <w:tcW w:w="0" w:type="auto"/>
            <w:gridSpan w:val="3"/>
            <w:shd w:val="clear" w:color="auto" w:fill="CCEEFF"/>
            <w:tcMar>
              <w:top w:w="30" w:type="dxa"/>
              <w:left w:w="20" w:type="dxa"/>
              <w:bottom w:w="30" w:type="dxa"/>
              <w:right w:w="20" w:type="dxa"/>
            </w:tcMar>
            <w:vAlign w:val="center"/>
            <w:hideMark/>
          </w:tcPr>
          <w:p w14:paraId="2102AF6A" w14:textId="77777777" w:rsidR="00000000" w:rsidRDefault="00A173A8">
            <w:pPr>
              <w:spacing w:after="100"/>
              <w:rPr>
                <w:rFonts w:eastAsia="Times New Roman"/>
              </w:rPr>
            </w:pPr>
            <w:r>
              <w:rPr>
                <w:rFonts w:eastAsia="Times New Roman"/>
                <w:color w:val="000000"/>
                <w:sz w:val="18"/>
                <w:szCs w:val="18"/>
              </w:rPr>
              <w:t>Total weighted-average diluted common shares outstanding</w:t>
            </w:r>
          </w:p>
        </w:tc>
        <w:tc>
          <w:tcPr>
            <w:tcW w:w="0" w:type="auto"/>
            <w:gridSpan w:val="3"/>
            <w:shd w:val="clear" w:color="auto" w:fill="CCEEFF"/>
            <w:tcMar>
              <w:top w:w="0" w:type="dxa"/>
              <w:left w:w="20" w:type="dxa"/>
              <w:bottom w:w="0" w:type="dxa"/>
              <w:right w:w="20" w:type="dxa"/>
            </w:tcMar>
            <w:vAlign w:val="center"/>
            <w:hideMark/>
          </w:tcPr>
          <w:p w14:paraId="7F103B6A"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CC43D68" w14:textId="77777777" w:rsidR="00000000" w:rsidRDefault="00A173A8">
            <w:pPr>
              <w:spacing w:after="100"/>
              <w:jc w:val="right"/>
              <w:rPr>
                <w:rFonts w:eastAsia="Times New Roman"/>
              </w:rPr>
            </w:pPr>
            <w:r>
              <w:rPr>
                <w:rFonts w:eastAsia="Times New Roman"/>
                <w:b/>
                <w:bCs/>
                <w:color w:val="000000"/>
                <w:sz w:val="18"/>
                <w:szCs w:val="18"/>
              </w:rPr>
              <w:t>392.6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F7487D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BFA6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9121D5A" w14:textId="77777777" w:rsidR="00000000" w:rsidRDefault="00A173A8">
            <w:pPr>
              <w:spacing w:after="100"/>
              <w:jc w:val="right"/>
              <w:rPr>
                <w:rFonts w:eastAsia="Times New Roman"/>
              </w:rPr>
            </w:pPr>
            <w:r>
              <w:rPr>
                <w:rFonts w:eastAsia="Times New Roman"/>
                <w:color w:val="000000"/>
                <w:sz w:val="18"/>
                <w:szCs w:val="18"/>
              </w:rPr>
              <w:t>452.3 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6FD010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D42C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497D94F" w14:textId="77777777" w:rsidR="00000000" w:rsidRDefault="00A173A8">
            <w:pPr>
              <w:spacing w:after="100"/>
              <w:jc w:val="right"/>
              <w:rPr>
                <w:rFonts w:eastAsia="Times New Roman"/>
              </w:rPr>
            </w:pPr>
            <w:r>
              <w:rPr>
                <w:rFonts w:eastAsia="Times New Roman"/>
                <w:b/>
                <w:bCs/>
                <w:color w:val="000000"/>
                <w:sz w:val="18"/>
                <w:szCs w:val="18"/>
              </w:rPr>
              <w:t>402.3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0787FD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CD5AA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61AD889" w14:textId="77777777" w:rsidR="00000000" w:rsidRDefault="00A173A8">
            <w:pPr>
              <w:spacing w:after="100"/>
              <w:jc w:val="right"/>
              <w:rPr>
                <w:rFonts w:eastAsia="Times New Roman"/>
              </w:rPr>
            </w:pPr>
            <w:r>
              <w:rPr>
                <w:rFonts w:eastAsia="Times New Roman"/>
                <w:color w:val="000000"/>
                <w:sz w:val="18"/>
                <w:szCs w:val="18"/>
              </w:rPr>
              <w:t>456.2 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F1D7F5" w14:textId="77777777" w:rsidR="00000000" w:rsidRDefault="00A173A8">
            <w:pPr>
              <w:spacing w:after="100"/>
              <w:jc w:val="right"/>
              <w:rPr>
                <w:rFonts w:eastAsia="Times New Roman"/>
              </w:rPr>
            </w:pPr>
          </w:p>
        </w:tc>
        <w:tc>
          <w:tcPr>
            <w:tcW w:w="0" w:type="auto"/>
            <w:vAlign w:val="center"/>
            <w:hideMark/>
          </w:tcPr>
          <w:p w14:paraId="7EF6CA2F" w14:textId="77777777" w:rsidR="00000000" w:rsidRDefault="00A173A8">
            <w:pPr>
              <w:spacing w:after="100"/>
              <w:jc w:val="right"/>
              <w:rPr>
                <w:rFonts w:eastAsia="Times New Roman"/>
                <w:sz w:val="20"/>
                <w:szCs w:val="20"/>
              </w:rPr>
            </w:pPr>
          </w:p>
        </w:tc>
        <w:tc>
          <w:tcPr>
            <w:tcW w:w="0" w:type="auto"/>
            <w:vAlign w:val="center"/>
            <w:hideMark/>
          </w:tcPr>
          <w:p w14:paraId="5CB77AC3" w14:textId="77777777" w:rsidR="00000000" w:rsidRDefault="00A173A8">
            <w:pPr>
              <w:spacing w:after="100"/>
              <w:rPr>
                <w:rFonts w:eastAsia="Times New Roman"/>
                <w:sz w:val="20"/>
                <w:szCs w:val="20"/>
              </w:rPr>
            </w:pPr>
          </w:p>
        </w:tc>
        <w:tc>
          <w:tcPr>
            <w:tcW w:w="0" w:type="auto"/>
            <w:vAlign w:val="center"/>
            <w:hideMark/>
          </w:tcPr>
          <w:p w14:paraId="05ED7744" w14:textId="77777777" w:rsidR="00000000" w:rsidRDefault="00A173A8">
            <w:pPr>
              <w:spacing w:after="100"/>
              <w:rPr>
                <w:rFonts w:eastAsia="Times New Roman"/>
                <w:sz w:val="20"/>
                <w:szCs w:val="20"/>
              </w:rPr>
            </w:pPr>
          </w:p>
        </w:tc>
        <w:tc>
          <w:tcPr>
            <w:tcW w:w="0" w:type="auto"/>
            <w:vAlign w:val="center"/>
            <w:hideMark/>
          </w:tcPr>
          <w:p w14:paraId="020518D0" w14:textId="77777777" w:rsidR="00000000" w:rsidRDefault="00A173A8">
            <w:pPr>
              <w:spacing w:after="100"/>
              <w:rPr>
                <w:rFonts w:eastAsia="Times New Roman"/>
                <w:sz w:val="20"/>
                <w:szCs w:val="20"/>
              </w:rPr>
            </w:pPr>
          </w:p>
        </w:tc>
      </w:tr>
      <w:tr w:rsidR="00000000" w14:paraId="738CE763" w14:textId="77777777">
        <w:trPr>
          <w:divId w:val="582490852"/>
        </w:trPr>
        <w:tc>
          <w:tcPr>
            <w:tcW w:w="0" w:type="auto"/>
            <w:gridSpan w:val="3"/>
            <w:shd w:val="clear" w:color="auto" w:fill="FFFFFF"/>
            <w:tcMar>
              <w:top w:w="30" w:type="dxa"/>
              <w:left w:w="20" w:type="dxa"/>
              <w:bottom w:w="30" w:type="dxa"/>
              <w:right w:w="20" w:type="dxa"/>
            </w:tcMar>
            <w:vAlign w:val="center"/>
            <w:hideMark/>
          </w:tcPr>
          <w:p w14:paraId="3FCFD54A" w14:textId="77777777" w:rsidR="00000000" w:rsidRDefault="00A173A8">
            <w:pPr>
              <w:spacing w:after="100"/>
              <w:rPr>
                <w:rFonts w:eastAsia="Times New Roman"/>
              </w:rPr>
            </w:pPr>
            <w:r>
              <w:rPr>
                <w:rFonts w:eastAsia="Times New Roman"/>
                <w:b/>
                <w:bCs/>
                <w:color w:val="000000"/>
                <w:sz w:val="18"/>
                <w:szCs w:val="18"/>
              </w:rPr>
              <w:t>Basic earnings per common share:</w:t>
            </w:r>
          </w:p>
        </w:tc>
        <w:tc>
          <w:tcPr>
            <w:tcW w:w="0" w:type="auto"/>
            <w:gridSpan w:val="3"/>
            <w:shd w:val="clear" w:color="auto" w:fill="FFFFFF"/>
            <w:tcMar>
              <w:top w:w="0" w:type="dxa"/>
              <w:left w:w="20" w:type="dxa"/>
              <w:bottom w:w="0" w:type="dxa"/>
              <w:right w:w="20" w:type="dxa"/>
            </w:tcMar>
            <w:vAlign w:val="center"/>
            <w:hideMark/>
          </w:tcPr>
          <w:p w14:paraId="23363D45" w14:textId="77777777" w:rsidR="00000000" w:rsidRDefault="00A173A8">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D93B2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C05FFB"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92ED4D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A8CA00"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A5A1FF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8928E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EF2645B" w14:textId="77777777" w:rsidR="00000000" w:rsidRDefault="00A173A8">
            <w:pPr>
              <w:spacing w:after="100"/>
              <w:rPr>
                <w:rFonts w:eastAsia="Times New Roman"/>
                <w:sz w:val="20"/>
                <w:szCs w:val="20"/>
              </w:rPr>
            </w:pPr>
          </w:p>
        </w:tc>
        <w:tc>
          <w:tcPr>
            <w:tcW w:w="0" w:type="auto"/>
            <w:vAlign w:val="center"/>
            <w:hideMark/>
          </w:tcPr>
          <w:p w14:paraId="4400D35F" w14:textId="77777777" w:rsidR="00000000" w:rsidRDefault="00A173A8">
            <w:pPr>
              <w:spacing w:after="100"/>
              <w:rPr>
                <w:rFonts w:eastAsia="Times New Roman"/>
                <w:sz w:val="20"/>
                <w:szCs w:val="20"/>
              </w:rPr>
            </w:pPr>
          </w:p>
        </w:tc>
        <w:tc>
          <w:tcPr>
            <w:tcW w:w="0" w:type="auto"/>
            <w:vAlign w:val="center"/>
            <w:hideMark/>
          </w:tcPr>
          <w:p w14:paraId="6EB9B4F5" w14:textId="77777777" w:rsidR="00000000" w:rsidRDefault="00A173A8">
            <w:pPr>
              <w:spacing w:after="100"/>
              <w:rPr>
                <w:rFonts w:eastAsia="Times New Roman"/>
                <w:sz w:val="20"/>
                <w:szCs w:val="20"/>
              </w:rPr>
            </w:pPr>
          </w:p>
        </w:tc>
        <w:tc>
          <w:tcPr>
            <w:tcW w:w="0" w:type="auto"/>
            <w:vAlign w:val="center"/>
            <w:hideMark/>
          </w:tcPr>
          <w:p w14:paraId="656005DA" w14:textId="77777777" w:rsidR="00000000" w:rsidRDefault="00A173A8">
            <w:pPr>
              <w:spacing w:after="100"/>
              <w:rPr>
                <w:rFonts w:eastAsia="Times New Roman"/>
                <w:sz w:val="20"/>
                <w:szCs w:val="20"/>
              </w:rPr>
            </w:pPr>
          </w:p>
        </w:tc>
        <w:tc>
          <w:tcPr>
            <w:tcW w:w="0" w:type="auto"/>
            <w:vAlign w:val="center"/>
            <w:hideMark/>
          </w:tcPr>
          <w:p w14:paraId="2FCD56EF" w14:textId="77777777" w:rsidR="00000000" w:rsidRDefault="00A173A8">
            <w:pPr>
              <w:spacing w:after="100"/>
              <w:rPr>
                <w:rFonts w:eastAsia="Times New Roman"/>
                <w:sz w:val="20"/>
                <w:szCs w:val="20"/>
              </w:rPr>
            </w:pPr>
          </w:p>
        </w:tc>
      </w:tr>
      <w:tr w:rsidR="00000000" w14:paraId="01ABDD33" w14:textId="77777777">
        <w:trPr>
          <w:divId w:val="582490852"/>
        </w:trPr>
        <w:tc>
          <w:tcPr>
            <w:tcW w:w="0" w:type="auto"/>
            <w:gridSpan w:val="3"/>
            <w:shd w:val="clear" w:color="auto" w:fill="CCEEFF"/>
            <w:tcMar>
              <w:top w:w="30" w:type="dxa"/>
              <w:left w:w="20" w:type="dxa"/>
              <w:bottom w:w="30" w:type="dxa"/>
              <w:right w:w="20" w:type="dxa"/>
            </w:tcMar>
            <w:vAlign w:val="center"/>
            <w:hideMark/>
          </w:tcPr>
          <w:p w14:paraId="7F95B5A0" w14:textId="77777777" w:rsidR="00000000" w:rsidRDefault="00A173A8">
            <w:pPr>
              <w:spacing w:after="100"/>
              <w:rPr>
                <w:rFonts w:eastAsia="Times New Roman"/>
              </w:rPr>
            </w:pPr>
            <w:r>
              <w:rPr>
                <w:rFonts w:eastAsia="Times New Roman"/>
                <w:color w:val="000000"/>
                <w:sz w:val="18"/>
                <w:szCs w:val="18"/>
              </w:rPr>
              <w:t>Net income from continuing operations</w:t>
            </w:r>
          </w:p>
        </w:tc>
        <w:tc>
          <w:tcPr>
            <w:tcW w:w="0" w:type="auto"/>
            <w:gridSpan w:val="3"/>
            <w:shd w:val="clear" w:color="auto" w:fill="CCEEFF"/>
            <w:tcMar>
              <w:top w:w="0" w:type="dxa"/>
              <w:left w:w="20" w:type="dxa"/>
              <w:bottom w:w="0" w:type="dxa"/>
              <w:right w:w="20" w:type="dxa"/>
            </w:tcMar>
            <w:vAlign w:val="center"/>
            <w:hideMark/>
          </w:tcPr>
          <w:p w14:paraId="2D65B449"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31C2236C"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FD5A3F9" w14:textId="77777777" w:rsidR="00000000" w:rsidRDefault="00A173A8">
            <w:pPr>
              <w:spacing w:after="100"/>
              <w:jc w:val="right"/>
              <w:rPr>
                <w:rFonts w:eastAsia="Times New Roman"/>
              </w:rPr>
            </w:pPr>
            <w:r>
              <w:rPr>
                <w:rFonts w:eastAsia="Times New Roman"/>
                <w:b/>
                <w:bCs/>
                <w:color w:val="000000"/>
                <w:sz w:val="18"/>
                <w:szCs w:val="18"/>
              </w:rPr>
              <w:t>4.98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007B1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E45DF"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24B37CE"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0AA8B1BB" w14:textId="77777777" w:rsidR="00000000" w:rsidRDefault="00A173A8">
            <w:pPr>
              <w:spacing w:after="100"/>
              <w:jc w:val="right"/>
              <w:rPr>
                <w:rFonts w:eastAsia="Times New Roman"/>
              </w:rPr>
            </w:pPr>
            <w:r>
              <w:rPr>
                <w:rFonts w:eastAsia="Times New Roman"/>
                <w:color w:val="000000"/>
                <w:sz w:val="18"/>
                <w:szCs w:val="18"/>
              </w:rPr>
              <w:t>7.65 </w:t>
            </w:r>
          </w:p>
        </w:tc>
        <w:tc>
          <w:tcPr>
            <w:tcW w:w="0" w:type="auto"/>
            <w:shd w:val="clear" w:color="auto" w:fill="CCEEFF"/>
            <w:tcMar>
              <w:top w:w="30" w:type="dxa"/>
              <w:left w:w="0" w:type="dxa"/>
              <w:bottom w:w="30" w:type="dxa"/>
              <w:right w:w="20" w:type="dxa"/>
            </w:tcMar>
            <w:vAlign w:val="center"/>
            <w:hideMark/>
          </w:tcPr>
          <w:p w14:paraId="04B708E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C978C"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5AEC0B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0C23BA7F" w14:textId="77777777" w:rsidR="00000000" w:rsidRDefault="00A173A8">
            <w:pPr>
              <w:spacing w:after="100"/>
              <w:jc w:val="right"/>
              <w:rPr>
                <w:rFonts w:eastAsia="Times New Roman"/>
              </w:rPr>
            </w:pPr>
            <w:r>
              <w:rPr>
                <w:rFonts w:eastAsia="Times New Roman"/>
                <w:b/>
                <w:bCs/>
                <w:color w:val="000000"/>
                <w:sz w:val="18"/>
                <w:szCs w:val="18"/>
              </w:rPr>
              <w:t>10.65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1B64C5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9B73E8"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BBA5E0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7B51437" w14:textId="77777777" w:rsidR="00000000" w:rsidRDefault="00A173A8">
            <w:pPr>
              <w:spacing w:after="100"/>
              <w:jc w:val="right"/>
              <w:rPr>
                <w:rFonts w:eastAsia="Times New Roman"/>
              </w:rPr>
            </w:pPr>
            <w:r>
              <w:rPr>
                <w:rFonts w:eastAsia="Times New Roman"/>
                <w:color w:val="000000"/>
                <w:sz w:val="18"/>
                <w:szCs w:val="18"/>
              </w:rPr>
              <w:t>14.70 </w:t>
            </w:r>
          </w:p>
        </w:tc>
        <w:tc>
          <w:tcPr>
            <w:tcW w:w="0" w:type="auto"/>
            <w:shd w:val="clear" w:color="auto" w:fill="CCEEFF"/>
            <w:tcMar>
              <w:top w:w="30" w:type="dxa"/>
              <w:left w:w="0" w:type="dxa"/>
              <w:bottom w:w="30" w:type="dxa"/>
              <w:right w:w="20" w:type="dxa"/>
            </w:tcMar>
            <w:vAlign w:val="center"/>
            <w:hideMark/>
          </w:tcPr>
          <w:p w14:paraId="78D58999" w14:textId="77777777" w:rsidR="00000000" w:rsidRDefault="00A173A8">
            <w:pPr>
              <w:spacing w:after="100"/>
              <w:jc w:val="right"/>
              <w:rPr>
                <w:rFonts w:eastAsia="Times New Roman"/>
              </w:rPr>
            </w:pPr>
          </w:p>
        </w:tc>
        <w:tc>
          <w:tcPr>
            <w:tcW w:w="0" w:type="auto"/>
            <w:vAlign w:val="center"/>
            <w:hideMark/>
          </w:tcPr>
          <w:p w14:paraId="330CAA18" w14:textId="77777777" w:rsidR="00000000" w:rsidRDefault="00A173A8">
            <w:pPr>
              <w:spacing w:after="100"/>
              <w:jc w:val="right"/>
              <w:rPr>
                <w:rFonts w:eastAsia="Times New Roman"/>
                <w:sz w:val="20"/>
                <w:szCs w:val="20"/>
              </w:rPr>
            </w:pPr>
          </w:p>
        </w:tc>
        <w:tc>
          <w:tcPr>
            <w:tcW w:w="0" w:type="auto"/>
            <w:vAlign w:val="center"/>
            <w:hideMark/>
          </w:tcPr>
          <w:p w14:paraId="07E629C6" w14:textId="77777777" w:rsidR="00000000" w:rsidRDefault="00A173A8">
            <w:pPr>
              <w:spacing w:after="100"/>
              <w:rPr>
                <w:rFonts w:eastAsia="Times New Roman"/>
                <w:sz w:val="20"/>
                <w:szCs w:val="20"/>
              </w:rPr>
            </w:pPr>
          </w:p>
        </w:tc>
        <w:tc>
          <w:tcPr>
            <w:tcW w:w="0" w:type="auto"/>
            <w:vAlign w:val="center"/>
            <w:hideMark/>
          </w:tcPr>
          <w:p w14:paraId="23DD363F" w14:textId="77777777" w:rsidR="00000000" w:rsidRDefault="00A173A8">
            <w:pPr>
              <w:spacing w:after="100"/>
              <w:rPr>
                <w:rFonts w:eastAsia="Times New Roman"/>
                <w:sz w:val="20"/>
                <w:szCs w:val="20"/>
              </w:rPr>
            </w:pPr>
          </w:p>
        </w:tc>
        <w:tc>
          <w:tcPr>
            <w:tcW w:w="0" w:type="auto"/>
            <w:vAlign w:val="center"/>
            <w:hideMark/>
          </w:tcPr>
          <w:p w14:paraId="7876D3E4" w14:textId="77777777" w:rsidR="00000000" w:rsidRDefault="00A173A8">
            <w:pPr>
              <w:spacing w:after="100"/>
              <w:rPr>
                <w:rFonts w:eastAsia="Times New Roman"/>
                <w:sz w:val="20"/>
                <w:szCs w:val="20"/>
              </w:rPr>
            </w:pPr>
          </w:p>
        </w:tc>
      </w:tr>
      <w:tr w:rsidR="00000000" w14:paraId="7E0FF829" w14:textId="77777777">
        <w:trPr>
          <w:divId w:val="582490852"/>
        </w:trPr>
        <w:tc>
          <w:tcPr>
            <w:tcW w:w="0" w:type="auto"/>
            <w:gridSpan w:val="3"/>
            <w:vAlign w:val="center"/>
            <w:hideMark/>
          </w:tcPr>
          <w:p w14:paraId="39519B4F" w14:textId="77777777" w:rsidR="00000000" w:rsidRDefault="00A173A8">
            <w:pPr>
              <w:spacing w:after="100"/>
              <w:rPr>
                <w:rFonts w:eastAsia="Times New Roman"/>
                <w:sz w:val="20"/>
                <w:szCs w:val="20"/>
              </w:rPr>
            </w:pPr>
          </w:p>
        </w:tc>
        <w:tc>
          <w:tcPr>
            <w:tcW w:w="0" w:type="auto"/>
            <w:gridSpan w:val="3"/>
            <w:vAlign w:val="center"/>
            <w:hideMark/>
          </w:tcPr>
          <w:p w14:paraId="0ABFFEDF" w14:textId="77777777" w:rsidR="00000000" w:rsidRDefault="00A173A8">
            <w:pPr>
              <w:spacing w:after="100"/>
              <w:rPr>
                <w:rFonts w:eastAsia="Times New Roman"/>
                <w:sz w:val="20"/>
                <w:szCs w:val="20"/>
              </w:rPr>
            </w:pPr>
          </w:p>
        </w:tc>
        <w:tc>
          <w:tcPr>
            <w:tcW w:w="0" w:type="auto"/>
            <w:gridSpan w:val="3"/>
            <w:vAlign w:val="center"/>
            <w:hideMark/>
          </w:tcPr>
          <w:p w14:paraId="02A15AFA" w14:textId="77777777" w:rsidR="00000000" w:rsidRDefault="00A173A8">
            <w:pPr>
              <w:spacing w:after="100"/>
              <w:rPr>
                <w:rFonts w:eastAsia="Times New Roman"/>
                <w:sz w:val="20"/>
                <w:szCs w:val="20"/>
              </w:rPr>
            </w:pPr>
          </w:p>
        </w:tc>
        <w:tc>
          <w:tcPr>
            <w:tcW w:w="0" w:type="auto"/>
            <w:gridSpan w:val="3"/>
            <w:vAlign w:val="center"/>
            <w:hideMark/>
          </w:tcPr>
          <w:p w14:paraId="032BD183" w14:textId="77777777" w:rsidR="00000000" w:rsidRDefault="00A173A8">
            <w:pPr>
              <w:spacing w:after="100"/>
              <w:rPr>
                <w:rFonts w:eastAsia="Times New Roman"/>
                <w:sz w:val="20"/>
                <w:szCs w:val="20"/>
              </w:rPr>
            </w:pPr>
          </w:p>
        </w:tc>
        <w:tc>
          <w:tcPr>
            <w:tcW w:w="0" w:type="auto"/>
            <w:gridSpan w:val="3"/>
            <w:vAlign w:val="center"/>
            <w:hideMark/>
          </w:tcPr>
          <w:p w14:paraId="431133E8" w14:textId="77777777" w:rsidR="00000000" w:rsidRDefault="00A173A8">
            <w:pPr>
              <w:spacing w:after="100"/>
              <w:rPr>
                <w:rFonts w:eastAsia="Times New Roman"/>
                <w:sz w:val="20"/>
                <w:szCs w:val="20"/>
              </w:rPr>
            </w:pPr>
          </w:p>
        </w:tc>
        <w:tc>
          <w:tcPr>
            <w:tcW w:w="0" w:type="auto"/>
            <w:gridSpan w:val="3"/>
            <w:vAlign w:val="center"/>
            <w:hideMark/>
          </w:tcPr>
          <w:p w14:paraId="0601274B" w14:textId="77777777" w:rsidR="00000000" w:rsidRDefault="00A173A8">
            <w:pPr>
              <w:spacing w:after="100"/>
              <w:rPr>
                <w:rFonts w:eastAsia="Times New Roman"/>
                <w:sz w:val="20"/>
                <w:szCs w:val="20"/>
              </w:rPr>
            </w:pPr>
          </w:p>
        </w:tc>
        <w:tc>
          <w:tcPr>
            <w:tcW w:w="0" w:type="auto"/>
            <w:gridSpan w:val="3"/>
            <w:vAlign w:val="center"/>
            <w:hideMark/>
          </w:tcPr>
          <w:p w14:paraId="754D162D" w14:textId="77777777" w:rsidR="00000000" w:rsidRDefault="00A173A8">
            <w:pPr>
              <w:spacing w:after="100"/>
              <w:rPr>
                <w:rFonts w:eastAsia="Times New Roman"/>
                <w:sz w:val="20"/>
                <w:szCs w:val="20"/>
              </w:rPr>
            </w:pPr>
          </w:p>
        </w:tc>
        <w:tc>
          <w:tcPr>
            <w:tcW w:w="0" w:type="auto"/>
            <w:gridSpan w:val="3"/>
            <w:vAlign w:val="center"/>
            <w:hideMark/>
          </w:tcPr>
          <w:p w14:paraId="2958A373" w14:textId="77777777" w:rsidR="00000000" w:rsidRDefault="00A173A8">
            <w:pPr>
              <w:spacing w:after="100"/>
              <w:rPr>
                <w:rFonts w:eastAsia="Times New Roman"/>
                <w:sz w:val="20"/>
                <w:szCs w:val="20"/>
              </w:rPr>
            </w:pPr>
          </w:p>
        </w:tc>
        <w:tc>
          <w:tcPr>
            <w:tcW w:w="0" w:type="auto"/>
            <w:gridSpan w:val="3"/>
            <w:vAlign w:val="center"/>
            <w:hideMark/>
          </w:tcPr>
          <w:p w14:paraId="48834A38" w14:textId="77777777" w:rsidR="00000000" w:rsidRDefault="00A173A8">
            <w:pPr>
              <w:spacing w:after="100"/>
              <w:rPr>
                <w:rFonts w:eastAsia="Times New Roman"/>
                <w:sz w:val="20"/>
                <w:szCs w:val="20"/>
              </w:rPr>
            </w:pPr>
          </w:p>
        </w:tc>
        <w:tc>
          <w:tcPr>
            <w:tcW w:w="0" w:type="auto"/>
            <w:vAlign w:val="center"/>
            <w:hideMark/>
          </w:tcPr>
          <w:p w14:paraId="6FC31F35" w14:textId="77777777" w:rsidR="00000000" w:rsidRDefault="00A173A8">
            <w:pPr>
              <w:spacing w:after="100"/>
              <w:rPr>
                <w:rFonts w:eastAsia="Times New Roman"/>
                <w:sz w:val="20"/>
                <w:szCs w:val="20"/>
              </w:rPr>
            </w:pPr>
          </w:p>
        </w:tc>
        <w:tc>
          <w:tcPr>
            <w:tcW w:w="0" w:type="auto"/>
            <w:vAlign w:val="center"/>
            <w:hideMark/>
          </w:tcPr>
          <w:p w14:paraId="2B911E6E" w14:textId="77777777" w:rsidR="00000000" w:rsidRDefault="00A173A8">
            <w:pPr>
              <w:spacing w:after="100"/>
              <w:rPr>
                <w:rFonts w:eastAsia="Times New Roman"/>
                <w:sz w:val="20"/>
                <w:szCs w:val="20"/>
              </w:rPr>
            </w:pPr>
          </w:p>
        </w:tc>
        <w:tc>
          <w:tcPr>
            <w:tcW w:w="0" w:type="auto"/>
            <w:vAlign w:val="center"/>
            <w:hideMark/>
          </w:tcPr>
          <w:p w14:paraId="79492445" w14:textId="77777777" w:rsidR="00000000" w:rsidRDefault="00A173A8">
            <w:pPr>
              <w:spacing w:after="100"/>
              <w:rPr>
                <w:rFonts w:eastAsia="Times New Roman"/>
                <w:sz w:val="20"/>
                <w:szCs w:val="20"/>
              </w:rPr>
            </w:pPr>
          </w:p>
        </w:tc>
        <w:tc>
          <w:tcPr>
            <w:tcW w:w="0" w:type="auto"/>
            <w:vAlign w:val="center"/>
            <w:hideMark/>
          </w:tcPr>
          <w:p w14:paraId="060161C2" w14:textId="77777777" w:rsidR="00000000" w:rsidRDefault="00A173A8">
            <w:pPr>
              <w:spacing w:after="100"/>
              <w:rPr>
                <w:rFonts w:eastAsia="Times New Roman"/>
                <w:sz w:val="20"/>
                <w:szCs w:val="20"/>
              </w:rPr>
            </w:pPr>
          </w:p>
        </w:tc>
      </w:tr>
      <w:tr w:rsidR="00000000" w14:paraId="10B168C6" w14:textId="77777777">
        <w:trPr>
          <w:divId w:val="582490852"/>
        </w:trPr>
        <w:tc>
          <w:tcPr>
            <w:tcW w:w="0" w:type="auto"/>
            <w:gridSpan w:val="3"/>
            <w:shd w:val="clear" w:color="auto" w:fill="FFFFFF"/>
            <w:tcMar>
              <w:top w:w="30" w:type="dxa"/>
              <w:left w:w="20" w:type="dxa"/>
              <w:bottom w:w="30" w:type="dxa"/>
              <w:right w:w="20" w:type="dxa"/>
            </w:tcMar>
            <w:vAlign w:val="center"/>
            <w:hideMark/>
          </w:tcPr>
          <w:p w14:paraId="45B02EEF" w14:textId="77777777" w:rsidR="00000000" w:rsidRDefault="00A173A8">
            <w:pPr>
              <w:spacing w:after="100"/>
              <w:rPr>
                <w:rFonts w:eastAsia="Times New Roman"/>
              </w:rPr>
            </w:pPr>
            <w:r>
              <w:rPr>
                <w:rFonts w:eastAsia="Times New Roman"/>
                <w:color w:val="000000"/>
                <w:sz w:val="18"/>
                <w:szCs w:val="18"/>
              </w:rPr>
              <w:t>Net income per basic common share</w:t>
            </w:r>
          </w:p>
        </w:tc>
        <w:tc>
          <w:tcPr>
            <w:tcW w:w="0" w:type="auto"/>
            <w:gridSpan w:val="3"/>
            <w:shd w:val="clear" w:color="auto" w:fill="FFFFFF"/>
            <w:tcMar>
              <w:top w:w="0" w:type="dxa"/>
              <w:left w:w="20" w:type="dxa"/>
              <w:bottom w:w="0" w:type="dxa"/>
              <w:right w:w="20" w:type="dxa"/>
            </w:tcMar>
            <w:vAlign w:val="center"/>
            <w:hideMark/>
          </w:tcPr>
          <w:p w14:paraId="13057259"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3008CE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72A928C" w14:textId="77777777" w:rsidR="00000000" w:rsidRDefault="00A173A8">
            <w:pPr>
              <w:spacing w:after="100"/>
              <w:jc w:val="right"/>
              <w:rPr>
                <w:rFonts w:eastAsia="Times New Roman"/>
              </w:rPr>
            </w:pPr>
            <w:r>
              <w:rPr>
                <w:rFonts w:eastAsia="Times New Roman"/>
                <w:b/>
                <w:bCs/>
                <w:color w:val="000000"/>
                <w:sz w:val="18"/>
                <w:szCs w:val="18"/>
              </w:rPr>
              <w:t>4.98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744DE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32A9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824F85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D56BD4D" w14:textId="77777777" w:rsidR="00000000" w:rsidRDefault="00A173A8">
            <w:pPr>
              <w:spacing w:after="100"/>
              <w:jc w:val="right"/>
              <w:rPr>
                <w:rFonts w:eastAsia="Times New Roman"/>
              </w:rPr>
            </w:pPr>
            <w:r>
              <w:rPr>
                <w:rFonts w:eastAsia="Times New Roman"/>
                <w:color w:val="000000"/>
                <w:sz w:val="18"/>
                <w:szCs w:val="18"/>
              </w:rPr>
              <w:t>7.65 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3A8FB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9D7A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891F7E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2DF5C03" w14:textId="77777777" w:rsidR="00000000" w:rsidRDefault="00A173A8">
            <w:pPr>
              <w:spacing w:after="100"/>
              <w:jc w:val="right"/>
              <w:rPr>
                <w:rFonts w:eastAsia="Times New Roman"/>
              </w:rPr>
            </w:pPr>
            <w:r>
              <w:rPr>
                <w:rFonts w:eastAsia="Times New Roman"/>
                <w:b/>
                <w:bCs/>
                <w:color w:val="000000"/>
                <w:sz w:val="18"/>
                <w:szCs w:val="18"/>
              </w:rPr>
              <w:t>10.65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D9C0C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C6268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DC1E44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25EAD8A" w14:textId="77777777" w:rsidR="00000000" w:rsidRDefault="00A173A8">
            <w:pPr>
              <w:spacing w:after="100"/>
              <w:jc w:val="right"/>
              <w:rPr>
                <w:rFonts w:eastAsia="Times New Roman"/>
              </w:rPr>
            </w:pPr>
            <w:r>
              <w:rPr>
                <w:rFonts w:eastAsia="Times New Roman"/>
                <w:color w:val="000000"/>
                <w:sz w:val="18"/>
                <w:szCs w:val="18"/>
              </w:rPr>
              <w:t>14.70 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3460BE" w14:textId="77777777" w:rsidR="00000000" w:rsidRDefault="00A173A8">
            <w:pPr>
              <w:spacing w:after="100"/>
              <w:jc w:val="right"/>
              <w:rPr>
                <w:rFonts w:eastAsia="Times New Roman"/>
              </w:rPr>
            </w:pPr>
          </w:p>
        </w:tc>
        <w:tc>
          <w:tcPr>
            <w:tcW w:w="0" w:type="auto"/>
            <w:vAlign w:val="center"/>
            <w:hideMark/>
          </w:tcPr>
          <w:p w14:paraId="75706284" w14:textId="77777777" w:rsidR="00000000" w:rsidRDefault="00A173A8">
            <w:pPr>
              <w:spacing w:after="100"/>
              <w:jc w:val="right"/>
              <w:rPr>
                <w:rFonts w:eastAsia="Times New Roman"/>
                <w:sz w:val="20"/>
                <w:szCs w:val="20"/>
              </w:rPr>
            </w:pPr>
          </w:p>
        </w:tc>
        <w:tc>
          <w:tcPr>
            <w:tcW w:w="0" w:type="auto"/>
            <w:vAlign w:val="center"/>
            <w:hideMark/>
          </w:tcPr>
          <w:p w14:paraId="738047C7" w14:textId="77777777" w:rsidR="00000000" w:rsidRDefault="00A173A8">
            <w:pPr>
              <w:spacing w:after="100"/>
              <w:rPr>
                <w:rFonts w:eastAsia="Times New Roman"/>
                <w:sz w:val="20"/>
                <w:szCs w:val="20"/>
              </w:rPr>
            </w:pPr>
          </w:p>
        </w:tc>
        <w:tc>
          <w:tcPr>
            <w:tcW w:w="0" w:type="auto"/>
            <w:vAlign w:val="center"/>
            <w:hideMark/>
          </w:tcPr>
          <w:p w14:paraId="1B4E97CE" w14:textId="77777777" w:rsidR="00000000" w:rsidRDefault="00A173A8">
            <w:pPr>
              <w:spacing w:after="100"/>
              <w:rPr>
                <w:rFonts w:eastAsia="Times New Roman"/>
                <w:sz w:val="20"/>
                <w:szCs w:val="20"/>
              </w:rPr>
            </w:pPr>
          </w:p>
        </w:tc>
        <w:tc>
          <w:tcPr>
            <w:tcW w:w="0" w:type="auto"/>
            <w:vAlign w:val="center"/>
            <w:hideMark/>
          </w:tcPr>
          <w:p w14:paraId="31226CB7" w14:textId="77777777" w:rsidR="00000000" w:rsidRDefault="00A173A8">
            <w:pPr>
              <w:spacing w:after="100"/>
              <w:rPr>
                <w:rFonts w:eastAsia="Times New Roman"/>
                <w:sz w:val="20"/>
                <w:szCs w:val="20"/>
              </w:rPr>
            </w:pPr>
          </w:p>
        </w:tc>
      </w:tr>
      <w:tr w:rsidR="00000000" w14:paraId="0771AB1A" w14:textId="77777777">
        <w:trPr>
          <w:divId w:val="582490852"/>
        </w:trPr>
        <w:tc>
          <w:tcPr>
            <w:tcW w:w="0" w:type="auto"/>
            <w:gridSpan w:val="3"/>
            <w:shd w:val="clear" w:color="auto" w:fill="CCEEFF"/>
            <w:tcMar>
              <w:top w:w="30" w:type="dxa"/>
              <w:left w:w="20" w:type="dxa"/>
              <w:bottom w:w="30" w:type="dxa"/>
              <w:right w:w="20" w:type="dxa"/>
            </w:tcMar>
            <w:vAlign w:val="center"/>
            <w:hideMark/>
          </w:tcPr>
          <w:p w14:paraId="010D2191" w14:textId="77777777" w:rsidR="00000000" w:rsidRDefault="00A173A8">
            <w:pPr>
              <w:spacing w:after="100"/>
              <w:divId w:val="1585913929"/>
              <w:rPr>
                <w:rFonts w:eastAsia="Times New Roman"/>
              </w:rPr>
            </w:pPr>
            <w:r>
              <w:rPr>
                <w:rFonts w:eastAsia="Times New Roman"/>
                <w:b/>
                <w:bCs/>
                <w:color w:val="000000"/>
                <w:sz w:val="18"/>
                <w:szCs w:val="18"/>
              </w:rPr>
              <w:t>Diluted earnings per common share</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FCD5C8A"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464021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AFDC6D"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4A83FC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A38AA2"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E0A64C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C93720"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554CB19" w14:textId="77777777" w:rsidR="00000000" w:rsidRDefault="00A173A8">
            <w:pPr>
              <w:spacing w:after="100"/>
              <w:rPr>
                <w:rFonts w:eastAsia="Times New Roman"/>
                <w:sz w:val="20"/>
                <w:szCs w:val="20"/>
              </w:rPr>
            </w:pPr>
          </w:p>
        </w:tc>
        <w:tc>
          <w:tcPr>
            <w:tcW w:w="0" w:type="auto"/>
            <w:vAlign w:val="center"/>
            <w:hideMark/>
          </w:tcPr>
          <w:p w14:paraId="01005D52" w14:textId="77777777" w:rsidR="00000000" w:rsidRDefault="00A173A8">
            <w:pPr>
              <w:spacing w:after="100"/>
              <w:rPr>
                <w:rFonts w:eastAsia="Times New Roman"/>
                <w:sz w:val="20"/>
                <w:szCs w:val="20"/>
              </w:rPr>
            </w:pPr>
          </w:p>
        </w:tc>
        <w:tc>
          <w:tcPr>
            <w:tcW w:w="0" w:type="auto"/>
            <w:vAlign w:val="center"/>
            <w:hideMark/>
          </w:tcPr>
          <w:p w14:paraId="0608C119" w14:textId="77777777" w:rsidR="00000000" w:rsidRDefault="00A173A8">
            <w:pPr>
              <w:spacing w:after="100"/>
              <w:rPr>
                <w:rFonts w:eastAsia="Times New Roman"/>
                <w:sz w:val="20"/>
                <w:szCs w:val="20"/>
              </w:rPr>
            </w:pPr>
          </w:p>
        </w:tc>
        <w:tc>
          <w:tcPr>
            <w:tcW w:w="0" w:type="auto"/>
            <w:vAlign w:val="center"/>
            <w:hideMark/>
          </w:tcPr>
          <w:p w14:paraId="18E4994D" w14:textId="77777777" w:rsidR="00000000" w:rsidRDefault="00A173A8">
            <w:pPr>
              <w:spacing w:after="100"/>
              <w:rPr>
                <w:rFonts w:eastAsia="Times New Roman"/>
                <w:sz w:val="20"/>
                <w:szCs w:val="20"/>
              </w:rPr>
            </w:pPr>
          </w:p>
        </w:tc>
        <w:tc>
          <w:tcPr>
            <w:tcW w:w="0" w:type="auto"/>
            <w:vAlign w:val="center"/>
            <w:hideMark/>
          </w:tcPr>
          <w:p w14:paraId="14D9ED4F" w14:textId="77777777" w:rsidR="00000000" w:rsidRDefault="00A173A8">
            <w:pPr>
              <w:spacing w:after="100"/>
              <w:rPr>
                <w:rFonts w:eastAsia="Times New Roman"/>
                <w:sz w:val="20"/>
                <w:szCs w:val="20"/>
              </w:rPr>
            </w:pPr>
          </w:p>
        </w:tc>
      </w:tr>
      <w:tr w:rsidR="00000000" w14:paraId="41F71B1B" w14:textId="77777777">
        <w:trPr>
          <w:divId w:val="582490852"/>
        </w:trPr>
        <w:tc>
          <w:tcPr>
            <w:tcW w:w="0" w:type="auto"/>
            <w:gridSpan w:val="3"/>
            <w:shd w:val="clear" w:color="auto" w:fill="FFFFFF"/>
            <w:tcMar>
              <w:top w:w="30" w:type="dxa"/>
              <w:left w:w="20" w:type="dxa"/>
              <w:bottom w:w="30" w:type="dxa"/>
              <w:right w:w="20" w:type="dxa"/>
            </w:tcMar>
            <w:vAlign w:val="center"/>
            <w:hideMark/>
          </w:tcPr>
          <w:p w14:paraId="2EBDC158" w14:textId="77777777" w:rsidR="00000000" w:rsidRDefault="00A173A8">
            <w:pPr>
              <w:spacing w:after="100"/>
              <w:rPr>
                <w:rFonts w:eastAsia="Times New Roman"/>
              </w:rPr>
            </w:pPr>
            <w:r>
              <w:rPr>
                <w:rFonts w:eastAsia="Times New Roman"/>
                <w:color w:val="000000"/>
                <w:sz w:val="18"/>
                <w:szCs w:val="18"/>
              </w:rPr>
              <w:t>Net income from continuing operations</w:t>
            </w:r>
          </w:p>
        </w:tc>
        <w:tc>
          <w:tcPr>
            <w:tcW w:w="0" w:type="auto"/>
            <w:gridSpan w:val="3"/>
            <w:shd w:val="clear" w:color="auto" w:fill="FFFFFF"/>
            <w:tcMar>
              <w:top w:w="0" w:type="dxa"/>
              <w:left w:w="20" w:type="dxa"/>
              <w:bottom w:w="0" w:type="dxa"/>
              <w:right w:w="20" w:type="dxa"/>
            </w:tcMar>
            <w:vAlign w:val="center"/>
            <w:hideMark/>
          </w:tcPr>
          <w:p w14:paraId="40AF222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9BDB4F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DD350AD" w14:textId="77777777" w:rsidR="00000000" w:rsidRDefault="00A173A8">
            <w:pPr>
              <w:spacing w:after="100"/>
              <w:jc w:val="right"/>
              <w:rPr>
                <w:rFonts w:eastAsia="Times New Roman"/>
              </w:rPr>
            </w:pPr>
            <w:r>
              <w:rPr>
                <w:rFonts w:eastAsia="Times New Roman"/>
                <w:b/>
                <w:bCs/>
                <w:color w:val="000000"/>
                <w:sz w:val="18"/>
                <w:szCs w:val="18"/>
              </w:rPr>
              <w:t>4.96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ECACF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86FC0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67F578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E4ED992" w14:textId="77777777" w:rsidR="00000000" w:rsidRDefault="00A173A8">
            <w:pPr>
              <w:spacing w:after="100"/>
              <w:jc w:val="right"/>
              <w:rPr>
                <w:rFonts w:eastAsia="Times New Roman"/>
              </w:rPr>
            </w:pPr>
            <w:r>
              <w:rPr>
                <w:rFonts w:eastAsia="Times New Roman"/>
                <w:color w:val="000000"/>
                <w:sz w:val="18"/>
                <w:szCs w:val="18"/>
              </w:rPr>
              <w:t>7.62 </w:t>
            </w:r>
          </w:p>
        </w:tc>
        <w:tc>
          <w:tcPr>
            <w:tcW w:w="0" w:type="auto"/>
            <w:shd w:val="clear" w:color="auto" w:fill="FFFFFF"/>
            <w:tcMar>
              <w:top w:w="30" w:type="dxa"/>
              <w:left w:w="0" w:type="dxa"/>
              <w:bottom w:w="30" w:type="dxa"/>
              <w:right w:w="20" w:type="dxa"/>
            </w:tcMar>
            <w:vAlign w:val="center"/>
            <w:hideMark/>
          </w:tcPr>
          <w:p w14:paraId="41FDA0F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14DEE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DB8F09B"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AF3413A" w14:textId="77777777" w:rsidR="00000000" w:rsidRDefault="00A173A8">
            <w:pPr>
              <w:spacing w:after="100"/>
              <w:jc w:val="right"/>
              <w:rPr>
                <w:rFonts w:eastAsia="Times New Roman"/>
              </w:rPr>
            </w:pPr>
            <w:r>
              <w:rPr>
                <w:rFonts w:eastAsia="Times New Roman"/>
                <w:b/>
                <w:bCs/>
                <w:color w:val="000000"/>
                <w:sz w:val="18"/>
                <w:szCs w:val="18"/>
              </w:rPr>
              <w:t>10.61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11A1C8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4FAF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CDD0895"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569F2C12" w14:textId="77777777" w:rsidR="00000000" w:rsidRDefault="00A173A8">
            <w:pPr>
              <w:spacing w:after="100"/>
              <w:jc w:val="right"/>
              <w:rPr>
                <w:rFonts w:eastAsia="Times New Roman"/>
              </w:rPr>
            </w:pPr>
            <w:r>
              <w:rPr>
                <w:rFonts w:eastAsia="Times New Roman"/>
                <w:color w:val="000000"/>
                <w:sz w:val="18"/>
                <w:szCs w:val="18"/>
              </w:rPr>
              <w:t>14.65 </w:t>
            </w:r>
          </w:p>
        </w:tc>
        <w:tc>
          <w:tcPr>
            <w:tcW w:w="0" w:type="auto"/>
            <w:shd w:val="clear" w:color="auto" w:fill="FFFFFF"/>
            <w:tcMar>
              <w:top w:w="30" w:type="dxa"/>
              <w:left w:w="0" w:type="dxa"/>
              <w:bottom w:w="30" w:type="dxa"/>
              <w:right w:w="20" w:type="dxa"/>
            </w:tcMar>
            <w:vAlign w:val="center"/>
            <w:hideMark/>
          </w:tcPr>
          <w:p w14:paraId="336A969E" w14:textId="77777777" w:rsidR="00000000" w:rsidRDefault="00A173A8">
            <w:pPr>
              <w:spacing w:after="100"/>
              <w:jc w:val="right"/>
              <w:rPr>
                <w:rFonts w:eastAsia="Times New Roman"/>
              </w:rPr>
            </w:pPr>
          </w:p>
        </w:tc>
        <w:tc>
          <w:tcPr>
            <w:tcW w:w="0" w:type="auto"/>
            <w:vAlign w:val="center"/>
            <w:hideMark/>
          </w:tcPr>
          <w:p w14:paraId="1B20EA57" w14:textId="77777777" w:rsidR="00000000" w:rsidRDefault="00A173A8">
            <w:pPr>
              <w:spacing w:after="100"/>
              <w:jc w:val="right"/>
              <w:rPr>
                <w:rFonts w:eastAsia="Times New Roman"/>
                <w:sz w:val="20"/>
                <w:szCs w:val="20"/>
              </w:rPr>
            </w:pPr>
          </w:p>
        </w:tc>
        <w:tc>
          <w:tcPr>
            <w:tcW w:w="0" w:type="auto"/>
            <w:vAlign w:val="center"/>
            <w:hideMark/>
          </w:tcPr>
          <w:p w14:paraId="58CAD542" w14:textId="77777777" w:rsidR="00000000" w:rsidRDefault="00A173A8">
            <w:pPr>
              <w:spacing w:after="100"/>
              <w:rPr>
                <w:rFonts w:eastAsia="Times New Roman"/>
                <w:sz w:val="20"/>
                <w:szCs w:val="20"/>
              </w:rPr>
            </w:pPr>
          </w:p>
        </w:tc>
        <w:tc>
          <w:tcPr>
            <w:tcW w:w="0" w:type="auto"/>
            <w:vAlign w:val="center"/>
            <w:hideMark/>
          </w:tcPr>
          <w:p w14:paraId="78643404" w14:textId="77777777" w:rsidR="00000000" w:rsidRDefault="00A173A8">
            <w:pPr>
              <w:spacing w:after="100"/>
              <w:rPr>
                <w:rFonts w:eastAsia="Times New Roman"/>
                <w:sz w:val="20"/>
                <w:szCs w:val="20"/>
              </w:rPr>
            </w:pPr>
          </w:p>
        </w:tc>
        <w:tc>
          <w:tcPr>
            <w:tcW w:w="0" w:type="auto"/>
            <w:vAlign w:val="center"/>
            <w:hideMark/>
          </w:tcPr>
          <w:p w14:paraId="372C8500" w14:textId="77777777" w:rsidR="00000000" w:rsidRDefault="00A173A8">
            <w:pPr>
              <w:spacing w:after="100"/>
              <w:rPr>
                <w:rFonts w:eastAsia="Times New Roman"/>
                <w:sz w:val="20"/>
                <w:szCs w:val="20"/>
              </w:rPr>
            </w:pPr>
          </w:p>
        </w:tc>
      </w:tr>
      <w:tr w:rsidR="00000000" w14:paraId="3371C1FB" w14:textId="77777777">
        <w:trPr>
          <w:divId w:val="582490852"/>
        </w:trPr>
        <w:tc>
          <w:tcPr>
            <w:tcW w:w="0" w:type="auto"/>
            <w:gridSpan w:val="3"/>
            <w:vAlign w:val="center"/>
            <w:hideMark/>
          </w:tcPr>
          <w:p w14:paraId="3FD7A6F0" w14:textId="77777777" w:rsidR="00000000" w:rsidRDefault="00A173A8">
            <w:pPr>
              <w:spacing w:after="100"/>
              <w:rPr>
                <w:rFonts w:eastAsia="Times New Roman"/>
                <w:sz w:val="20"/>
                <w:szCs w:val="20"/>
              </w:rPr>
            </w:pPr>
          </w:p>
        </w:tc>
        <w:tc>
          <w:tcPr>
            <w:tcW w:w="0" w:type="auto"/>
            <w:gridSpan w:val="3"/>
            <w:vAlign w:val="center"/>
            <w:hideMark/>
          </w:tcPr>
          <w:p w14:paraId="4F2C0DA4" w14:textId="77777777" w:rsidR="00000000" w:rsidRDefault="00A173A8">
            <w:pPr>
              <w:spacing w:after="100"/>
              <w:rPr>
                <w:rFonts w:eastAsia="Times New Roman"/>
                <w:sz w:val="20"/>
                <w:szCs w:val="20"/>
              </w:rPr>
            </w:pPr>
          </w:p>
        </w:tc>
        <w:tc>
          <w:tcPr>
            <w:tcW w:w="0" w:type="auto"/>
            <w:gridSpan w:val="3"/>
            <w:vAlign w:val="center"/>
            <w:hideMark/>
          </w:tcPr>
          <w:p w14:paraId="68143F37" w14:textId="77777777" w:rsidR="00000000" w:rsidRDefault="00A173A8">
            <w:pPr>
              <w:spacing w:after="100"/>
              <w:rPr>
                <w:rFonts w:eastAsia="Times New Roman"/>
                <w:sz w:val="20"/>
                <w:szCs w:val="20"/>
              </w:rPr>
            </w:pPr>
          </w:p>
        </w:tc>
        <w:tc>
          <w:tcPr>
            <w:tcW w:w="0" w:type="auto"/>
            <w:gridSpan w:val="3"/>
            <w:vAlign w:val="center"/>
            <w:hideMark/>
          </w:tcPr>
          <w:p w14:paraId="6BCA1DBC" w14:textId="77777777" w:rsidR="00000000" w:rsidRDefault="00A173A8">
            <w:pPr>
              <w:spacing w:after="100"/>
              <w:rPr>
                <w:rFonts w:eastAsia="Times New Roman"/>
                <w:sz w:val="20"/>
                <w:szCs w:val="20"/>
              </w:rPr>
            </w:pPr>
          </w:p>
        </w:tc>
        <w:tc>
          <w:tcPr>
            <w:tcW w:w="0" w:type="auto"/>
            <w:gridSpan w:val="3"/>
            <w:vAlign w:val="center"/>
            <w:hideMark/>
          </w:tcPr>
          <w:p w14:paraId="43E39FB2" w14:textId="77777777" w:rsidR="00000000" w:rsidRDefault="00A173A8">
            <w:pPr>
              <w:spacing w:after="100"/>
              <w:rPr>
                <w:rFonts w:eastAsia="Times New Roman"/>
                <w:sz w:val="20"/>
                <w:szCs w:val="20"/>
              </w:rPr>
            </w:pPr>
          </w:p>
        </w:tc>
        <w:tc>
          <w:tcPr>
            <w:tcW w:w="0" w:type="auto"/>
            <w:gridSpan w:val="3"/>
            <w:vAlign w:val="center"/>
            <w:hideMark/>
          </w:tcPr>
          <w:p w14:paraId="0E7246CF" w14:textId="77777777" w:rsidR="00000000" w:rsidRDefault="00A173A8">
            <w:pPr>
              <w:spacing w:after="100"/>
              <w:rPr>
                <w:rFonts w:eastAsia="Times New Roman"/>
                <w:sz w:val="20"/>
                <w:szCs w:val="20"/>
              </w:rPr>
            </w:pPr>
          </w:p>
        </w:tc>
        <w:tc>
          <w:tcPr>
            <w:tcW w:w="0" w:type="auto"/>
            <w:gridSpan w:val="3"/>
            <w:vAlign w:val="center"/>
            <w:hideMark/>
          </w:tcPr>
          <w:p w14:paraId="51133031" w14:textId="77777777" w:rsidR="00000000" w:rsidRDefault="00A173A8">
            <w:pPr>
              <w:spacing w:after="100"/>
              <w:rPr>
                <w:rFonts w:eastAsia="Times New Roman"/>
                <w:sz w:val="20"/>
                <w:szCs w:val="20"/>
              </w:rPr>
            </w:pPr>
          </w:p>
        </w:tc>
        <w:tc>
          <w:tcPr>
            <w:tcW w:w="0" w:type="auto"/>
            <w:gridSpan w:val="3"/>
            <w:vAlign w:val="center"/>
            <w:hideMark/>
          </w:tcPr>
          <w:p w14:paraId="682C9C18" w14:textId="77777777" w:rsidR="00000000" w:rsidRDefault="00A173A8">
            <w:pPr>
              <w:spacing w:after="100"/>
              <w:rPr>
                <w:rFonts w:eastAsia="Times New Roman"/>
                <w:sz w:val="20"/>
                <w:szCs w:val="20"/>
              </w:rPr>
            </w:pPr>
          </w:p>
        </w:tc>
        <w:tc>
          <w:tcPr>
            <w:tcW w:w="0" w:type="auto"/>
            <w:gridSpan w:val="3"/>
            <w:vAlign w:val="center"/>
            <w:hideMark/>
          </w:tcPr>
          <w:p w14:paraId="126D2BD3" w14:textId="77777777" w:rsidR="00000000" w:rsidRDefault="00A173A8">
            <w:pPr>
              <w:spacing w:after="100"/>
              <w:rPr>
                <w:rFonts w:eastAsia="Times New Roman"/>
                <w:sz w:val="20"/>
                <w:szCs w:val="20"/>
              </w:rPr>
            </w:pPr>
          </w:p>
        </w:tc>
        <w:tc>
          <w:tcPr>
            <w:tcW w:w="0" w:type="auto"/>
            <w:vAlign w:val="center"/>
            <w:hideMark/>
          </w:tcPr>
          <w:p w14:paraId="0136EEBC" w14:textId="77777777" w:rsidR="00000000" w:rsidRDefault="00A173A8">
            <w:pPr>
              <w:spacing w:after="100"/>
              <w:rPr>
                <w:rFonts w:eastAsia="Times New Roman"/>
                <w:sz w:val="20"/>
                <w:szCs w:val="20"/>
              </w:rPr>
            </w:pPr>
          </w:p>
        </w:tc>
        <w:tc>
          <w:tcPr>
            <w:tcW w:w="0" w:type="auto"/>
            <w:vAlign w:val="center"/>
            <w:hideMark/>
          </w:tcPr>
          <w:p w14:paraId="337154CD" w14:textId="77777777" w:rsidR="00000000" w:rsidRDefault="00A173A8">
            <w:pPr>
              <w:spacing w:after="100"/>
              <w:rPr>
                <w:rFonts w:eastAsia="Times New Roman"/>
                <w:sz w:val="20"/>
                <w:szCs w:val="20"/>
              </w:rPr>
            </w:pPr>
          </w:p>
        </w:tc>
        <w:tc>
          <w:tcPr>
            <w:tcW w:w="0" w:type="auto"/>
            <w:vAlign w:val="center"/>
            <w:hideMark/>
          </w:tcPr>
          <w:p w14:paraId="1DCF0049" w14:textId="77777777" w:rsidR="00000000" w:rsidRDefault="00A173A8">
            <w:pPr>
              <w:spacing w:after="100"/>
              <w:rPr>
                <w:rFonts w:eastAsia="Times New Roman"/>
                <w:sz w:val="20"/>
                <w:szCs w:val="20"/>
              </w:rPr>
            </w:pPr>
          </w:p>
        </w:tc>
        <w:tc>
          <w:tcPr>
            <w:tcW w:w="0" w:type="auto"/>
            <w:vAlign w:val="center"/>
            <w:hideMark/>
          </w:tcPr>
          <w:p w14:paraId="294ABE42" w14:textId="77777777" w:rsidR="00000000" w:rsidRDefault="00A173A8">
            <w:pPr>
              <w:spacing w:after="100"/>
              <w:rPr>
                <w:rFonts w:eastAsia="Times New Roman"/>
                <w:sz w:val="20"/>
                <w:szCs w:val="20"/>
              </w:rPr>
            </w:pPr>
          </w:p>
        </w:tc>
      </w:tr>
      <w:tr w:rsidR="00000000" w14:paraId="39D6A6AD" w14:textId="77777777">
        <w:trPr>
          <w:divId w:val="582490852"/>
        </w:trPr>
        <w:tc>
          <w:tcPr>
            <w:tcW w:w="0" w:type="auto"/>
            <w:gridSpan w:val="3"/>
            <w:shd w:val="clear" w:color="auto" w:fill="CCEEFF"/>
            <w:tcMar>
              <w:top w:w="30" w:type="dxa"/>
              <w:left w:w="20" w:type="dxa"/>
              <w:bottom w:w="30" w:type="dxa"/>
              <w:right w:w="20" w:type="dxa"/>
            </w:tcMar>
            <w:vAlign w:val="center"/>
            <w:hideMark/>
          </w:tcPr>
          <w:p w14:paraId="2E2B8DC4" w14:textId="77777777" w:rsidR="00000000" w:rsidRDefault="00A173A8">
            <w:pPr>
              <w:spacing w:after="100"/>
              <w:rPr>
                <w:rFonts w:eastAsia="Times New Roman"/>
              </w:rPr>
            </w:pPr>
            <w:r>
              <w:rPr>
                <w:rFonts w:eastAsia="Times New Roman"/>
                <w:color w:val="000000"/>
                <w:sz w:val="18"/>
                <w:szCs w:val="18"/>
              </w:rPr>
              <w:t>Net income per diluted common share</w:t>
            </w:r>
          </w:p>
        </w:tc>
        <w:tc>
          <w:tcPr>
            <w:tcW w:w="0" w:type="auto"/>
            <w:gridSpan w:val="3"/>
            <w:shd w:val="clear" w:color="auto" w:fill="CCEEFF"/>
            <w:tcMar>
              <w:top w:w="0" w:type="dxa"/>
              <w:left w:w="20" w:type="dxa"/>
              <w:bottom w:w="0" w:type="dxa"/>
              <w:right w:w="20" w:type="dxa"/>
            </w:tcMar>
            <w:vAlign w:val="center"/>
            <w:hideMark/>
          </w:tcPr>
          <w:p w14:paraId="57EA76A6"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8D6A9B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E39A6C0" w14:textId="77777777" w:rsidR="00000000" w:rsidRDefault="00A173A8">
            <w:pPr>
              <w:spacing w:after="100"/>
              <w:jc w:val="right"/>
              <w:rPr>
                <w:rFonts w:eastAsia="Times New Roman"/>
              </w:rPr>
            </w:pPr>
            <w:r>
              <w:rPr>
                <w:rFonts w:eastAsia="Times New Roman"/>
                <w:b/>
                <w:bCs/>
                <w:color w:val="000000"/>
                <w:sz w:val="18"/>
                <w:szCs w:val="18"/>
              </w:rPr>
              <w:t>4.96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4BEE25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E5EE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E8C87D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043D922" w14:textId="77777777" w:rsidR="00000000" w:rsidRDefault="00A173A8">
            <w:pPr>
              <w:spacing w:after="100"/>
              <w:jc w:val="right"/>
              <w:rPr>
                <w:rFonts w:eastAsia="Times New Roman"/>
              </w:rPr>
            </w:pPr>
            <w:r>
              <w:rPr>
                <w:rFonts w:eastAsia="Times New Roman"/>
                <w:color w:val="000000"/>
                <w:sz w:val="18"/>
                <w:szCs w:val="18"/>
              </w:rPr>
              <w:t>7.62 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5EDD6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4F99D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8CD54D3"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83BF153" w14:textId="77777777" w:rsidR="00000000" w:rsidRDefault="00A173A8">
            <w:pPr>
              <w:spacing w:after="100"/>
              <w:jc w:val="right"/>
              <w:rPr>
                <w:rFonts w:eastAsia="Times New Roman"/>
              </w:rPr>
            </w:pPr>
            <w:r>
              <w:rPr>
                <w:rFonts w:eastAsia="Times New Roman"/>
                <w:b/>
                <w:bCs/>
                <w:color w:val="000000"/>
                <w:sz w:val="18"/>
                <w:szCs w:val="18"/>
              </w:rPr>
              <w:t>10.61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EA5F2B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D301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50AEBD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F06C996" w14:textId="77777777" w:rsidR="00000000" w:rsidRDefault="00A173A8">
            <w:pPr>
              <w:spacing w:after="100"/>
              <w:jc w:val="right"/>
              <w:rPr>
                <w:rFonts w:eastAsia="Times New Roman"/>
              </w:rPr>
            </w:pPr>
            <w:r>
              <w:rPr>
                <w:rFonts w:eastAsia="Times New Roman"/>
                <w:color w:val="000000"/>
                <w:sz w:val="18"/>
                <w:szCs w:val="18"/>
              </w:rPr>
              <w:t>14.65 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2704C97" w14:textId="77777777" w:rsidR="00000000" w:rsidRDefault="00A173A8">
            <w:pPr>
              <w:spacing w:after="100"/>
              <w:jc w:val="right"/>
              <w:rPr>
                <w:rFonts w:eastAsia="Times New Roman"/>
              </w:rPr>
            </w:pPr>
          </w:p>
        </w:tc>
        <w:tc>
          <w:tcPr>
            <w:tcW w:w="0" w:type="auto"/>
            <w:vAlign w:val="center"/>
            <w:hideMark/>
          </w:tcPr>
          <w:p w14:paraId="0937398A" w14:textId="77777777" w:rsidR="00000000" w:rsidRDefault="00A173A8">
            <w:pPr>
              <w:spacing w:after="100"/>
              <w:jc w:val="right"/>
              <w:rPr>
                <w:rFonts w:eastAsia="Times New Roman"/>
                <w:sz w:val="20"/>
                <w:szCs w:val="20"/>
              </w:rPr>
            </w:pPr>
          </w:p>
        </w:tc>
        <w:tc>
          <w:tcPr>
            <w:tcW w:w="0" w:type="auto"/>
            <w:vAlign w:val="center"/>
            <w:hideMark/>
          </w:tcPr>
          <w:p w14:paraId="26A72034" w14:textId="77777777" w:rsidR="00000000" w:rsidRDefault="00A173A8">
            <w:pPr>
              <w:spacing w:after="100"/>
              <w:rPr>
                <w:rFonts w:eastAsia="Times New Roman"/>
                <w:sz w:val="20"/>
                <w:szCs w:val="20"/>
              </w:rPr>
            </w:pPr>
          </w:p>
        </w:tc>
        <w:tc>
          <w:tcPr>
            <w:tcW w:w="0" w:type="auto"/>
            <w:vAlign w:val="center"/>
            <w:hideMark/>
          </w:tcPr>
          <w:p w14:paraId="748B1FCA" w14:textId="77777777" w:rsidR="00000000" w:rsidRDefault="00A173A8">
            <w:pPr>
              <w:spacing w:after="100"/>
              <w:rPr>
                <w:rFonts w:eastAsia="Times New Roman"/>
                <w:sz w:val="20"/>
                <w:szCs w:val="20"/>
              </w:rPr>
            </w:pPr>
          </w:p>
        </w:tc>
        <w:tc>
          <w:tcPr>
            <w:tcW w:w="0" w:type="auto"/>
            <w:vAlign w:val="center"/>
            <w:hideMark/>
          </w:tcPr>
          <w:p w14:paraId="184F6B5E" w14:textId="77777777" w:rsidR="00000000" w:rsidRDefault="00A173A8">
            <w:pPr>
              <w:spacing w:after="100"/>
              <w:rPr>
                <w:rFonts w:eastAsia="Times New Roman"/>
                <w:sz w:val="20"/>
                <w:szCs w:val="20"/>
              </w:rPr>
            </w:pPr>
          </w:p>
        </w:tc>
      </w:tr>
    </w:tbl>
    <w:p w14:paraId="7AC51728" w14:textId="77777777" w:rsidR="00000000" w:rsidRDefault="00A173A8">
      <w:pPr>
        <w:divId w:val="582490852"/>
        <w:rPr>
          <w:rFonts w:eastAsia="Times New Roman"/>
        </w:rPr>
      </w:pPr>
      <w:r>
        <w:rPr>
          <w:rFonts w:eastAsia="Times New Roman"/>
          <w:color w:val="000000"/>
          <w:sz w:val="20"/>
          <w:szCs w:val="20"/>
        </w:rPr>
        <w:t>__________</w:t>
      </w:r>
      <w:r>
        <w:rPr>
          <w:rFonts w:eastAsia="Times New Roman"/>
          <w:color w:val="000000"/>
          <w:sz w:val="16"/>
          <w:szCs w:val="16"/>
        </w:rPr>
        <w:t xml:space="preserve"> </w:t>
      </w:r>
    </w:p>
    <w:p w14:paraId="76165157" w14:textId="77777777" w:rsidR="00000000" w:rsidRDefault="00A173A8">
      <w:pPr>
        <w:ind w:hanging="360"/>
        <w:jc w:val="both"/>
        <w:divId w:val="87323344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Excluded from the computation of diluted earnings per share were awards of 37 thousand shares and awards of 19 thousand for the three and six months ended June 30, 2022, respectively, because their inclusion would be anti-dilutive. There were </w:t>
      </w:r>
      <w:r>
        <w:rPr>
          <w:rFonts w:eastAsia="Times New Roman"/>
          <w:color w:val="000000"/>
          <w:sz w:val="16"/>
          <w:szCs w:val="16"/>
          <w:shd w:val="clear" w:color="auto" w:fill="FFFFFF"/>
        </w:rPr>
        <w:t>no shares exc</w:t>
      </w:r>
      <w:r>
        <w:rPr>
          <w:rFonts w:eastAsia="Times New Roman"/>
          <w:color w:val="000000"/>
          <w:sz w:val="16"/>
          <w:szCs w:val="16"/>
          <w:shd w:val="clear" w:color="auto" w:fill="FFFFFF"/>
        </w:rPr>
        <w:t>luded from the computation of dilutive earnings per share for the three months ended June 30, 2021. For the six months ended June 30, 2021</w:t>
      </w:r>
      <w:r>
        <w:rPr>
          <w:rFonts w:eastAsia="Times New Roman"/>
          <w:color w:val="000000"/>
          <w:sz w:val="18"/>
          <w:szCs w:val="18"/>
        </w:rPr>
        <w:t>,</w:t>
      </w:r>
      <w:r>
        <w:rPr>
          <w:rFonts w:eastAsia="Times New Roman"/>
          <w:color w:val="000000"/>
          <w:sz w:val="16"/>
          <w:szCs w:val="16"/>
          <w:shd w:val="clear" w:color="auto" w:fill="FFFFFF"/>
        </w:rPr>
        <w:t xml:space="preserve"> awards of 51 thousand</w:t>
      </w:r>
      <w:r>
        <w:rPr>
          <w:rFonts w:eastAsia="Times New Roman"/>
          <w:color w:val="000000"/>
          <w:sz w:val="16"/>
          <w:szCs w:val="16"/>
        </w:rPr>
        <w:t xml:space="preserve"> shares were excluded from the computation of diluted earnings per share.</w:t>
      </w:r>
    </w:p>
    <w:p w14:paraId="513B6187" w14:textId="77777777" w:rsidR="00000000" w:rsidRDefault="00A173A8">
      <w:pPr>
        <w:ind w:firstLine="720"/>
        <w:jc w:val="both"/>
        <w:divId w:val="2083209441"/>
        <w:rPr>
          <w:rFonts w:eastAsia="Times New Roman"/>
        </w:rPr>
      </w:pPr>
    </w:p>
    <w:p w14:paraId="6E1959AC" w14:textId="77777777" w:rsidR="00000000" w:rsidRDefault="00A173A8">
      <w:pPr>
        <w:ind w:firstLine="720"/>
        <w:jc w:val="both"/>
        <w:divId w:val="32185483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7855AC4" w14:textId="77777777">
        <w:trPr>
          <w:divId w:val="1858039456"/>
          <w:jc w:val="center"/>
        </w:trPr>
        <w:tc>
          <w:tcPr>
            <w:tcW w:w="50" w:type="pct"/>
            <w:vAlign w:val="center"/>
            <w:hideMark/>
          </w:tcPr>
          <w:p w14:paraId="5D920F52" w14:textId="77777777" w:rsidR="00000000" w:rsidRDefault="00A173A8">
            <w:pPr>
              <w:ind w:firstLine="720"/>
              <w:jc w:val="both"/>
              <w:rPr>
                <w:rFonts w:eastAsia="Times New Roman"/>
              </w:rPr>
            </w:pPr>
          </w:p>
        </w:tc>
        <w:tc>
          <w:tcPr>
            <w:tcW w:w="1606" w:type="pct"/>
            <w:vAlign w:val="center"/>
            <w:hideMark/>
          </w:tcPr>
          <w:p w14:paraId="4762B619" w14:textId="77777777" w:rsidR="00000000" w:rsidRDefault="00A173A8">
            <w:pPr>
              <w:spacing w:after="100"/>
              <w:rPr>
                <w:rFonts w:eastAsia="Times New Roman"/>
                <w:sz w:val="20"/>
                <w:szCs w:val="20"/>
              </w:rPr>
            </w:pPr>
          </w:p>
        </w:tc>
        <w:tc>
          <w:tcPr>
            <w:tcW w:w="5" w:type="pct"/>
            <w:vAlign w:val="center"/>
            <w:hideMark/>
          </w:tcPr>
          <w:p w14:paraId="30F0B9D8" w14:textId="77777777" w:rsidR="00000000" w:rsidRDefault="00A173A8">
            <w:pPr>
              <w:spacing w:after="100"/>
              <w:rPr>
                <w:rFonts w:eastAsia="Times New Roman"/>
                <w:sz w:val="20"/>
                <w:szCs w:val="20"/>
              </w:rPr>
            </w:pPr>
          </w:p>
        </w:tc>
        <w:tc>
          <w:tcPr>
            <w:tcW w:w="50" w:type="pct"/>
            <w:vAlign w:val="center"/>
            <w:hideMark/>
          </w:tcPr>
          <w:p w14:paraId="1E16685D" w14:textId="77777777" w:rsidR="00000000" w:rsidRDefault="00A173A8">
            <w:pPr>
              <w:spacing w:after="100"/>
              <w:rPr>
                <w:rFonts w:eastAsia="Times New Roman"/>
                <w:sz w:val="20"/>
                <w:szCs w:val="20"/>
              </w:rPr>
            </w:pPr>
          </w:p>
        </w:tc>
        <w:tc>
          <w:tcPr>
            <w:tcW w:w="1614" w:type="pct"/>
            <w:vAlign w:val="center"/>
            <w:hideMark/>
          </w:tcPr>
          <w:p w14:paraId="5CAE89E8" w14:textId="77777777" w:rsidR="00000000" w:rsidRDefault="00A173A8">
            <w:pPr>
              <w:spacing w:after="100"/>
              <w:rPr>
                <w:rFonts w:eastAsia="Times New Roman"/>
                <w:sz w:val="20"/>
                <w:szCs w:val="20"/>
              </w:rPr>
            </w:pPr>
          </w:p>
        </w:tc>
        <w:tc>
          <w:tcPr>
            <w:tcW w:w="5" w:type="pct"/>
            <w:vAlign w:val="center"/>
            <w:hideMark/>
          </w:tcPr>
          <w:p w14:paraId="2EED661E" w14:textId="77777777" w:rsidR="00000000" w:rsidRDefault="00A173A8">
            <w:pPr>
              <w:spacing w:after="100"/>
              <w:rPr>
                <w:rFonts w:eastAsia="Times New Roman"/>
                <w:sz w:val="20"/>
                <w:szCs w:val="20"/>
              </w:rPr>
            </w:pPr>
          </w:p>
        </w:tc>
        <w:tc>
          <w:tcPr>
            <w:tcW w:w="50" w:type="pct"/>
            <w:vAlign w:val="center"/>
            <w:hideMark/>
          </w:tcPr>
          <w:p w14:paraId="647368C2" w14:textId="77777777" w:rsidR="00000000" w:rsidRDefault="00A173A8">
            <w:pPr>
              <w:spacing w:after="100"/>
              <w:rPr>
                <w:rFonts w:eastAsia="Times New Roman"/>
                <w:sz w:val="20"/>
                <w:szCs w:val="20"/>
              </w:rPr>
            </w:pPr>
          </w:p>
        </w:tc>
        <w:tc>
          <w:tcPr>
            <w:tcW w:w="1614" w:type="pct"/>
            <w:vAlign w:val="center"/>
            <w:hideMark/>
          </w:tcPr>
          <w:p w14:paraId="3A86CED7" w14:textId="77777777" w:rsidR="00000000" w:rsidRDefault="00A173A8">
            <w:pPr>
              <w:spacing w:after="100"/>
              <w:rPr>
                <w:rFonts w:eastAsia="Times New Roman"/>
                <w:sz w:val="20"/>
                <w:szCs w:val="20"/>
              </w:rPr>
            </w:pPr>
          </w:p>
        </w:tc>
        <w:tc>
          <w:tcPr>
            <w:tcW w:w="5" w:type="pct"/>
            <w:vAlign w:val="center"/>
            <w:hideMark/>
          </w:tcPr>
          <w:p w14:paraId="60B9EB51" w14:textId="77777777" w:rsidR="00000000" w:rsidRDefault="00A173A8">
            <w:pPr>
              <w:spacing w:after="100"/>
              <w:rPr>
                <w:rFonts w:eastAsia="Times New Roman"/>
                <w:sz w:val="20"/>
                <w:szCs w:val="20"/>
              </w:rPr>
            </w:pPr>
          </w:p>
        </w:tc>
      </w:tr>
      <w:tr w:rsidR="00000000" w14:paraId="0FE3EC74" w14:textId="77777777">
        <w:trPr>
          <w:divId w:val="1858039456"/>
          <w:trHeight w:val="300"/>
          <w:jc w:val="center"/>
        </w:trPr>
        <w:tc>
          <w:tcPr>
            <w:tcW w:w="0" w:type="auto"/>
            <w:gridSpan w:val="9"/>
            <w:tcMar>
              <w:top w:w="0" w:type="dxa"/>
              <w:left w:w="20" w:type="dxa"/>
              <w:bottom w:w="0" w:type="dxa"/>
              <w:right w:w="20" w:type="dxa"/>
            </w:tcMar>
            <w:vAlign w:val="center"/>
            <w:hideMark/>
          </w:tcPr>
          <w:p w14:paraId="31F7F0F6" w14:textId="77777777" w:rsidR="00000000" w:rsidRDefault="00A173A8">
            <w:pPr>
              <w:spacing w:after="100"/>
              <w:rPr>
                <w:rFonts w:eastAsia="Times New Roman"/>
                <w:sz w:val="20"/>
                <w:szCs w:val="20"/>
              </w:rPr>
            </w:pPr>
          </w:p>
        </w:tc>
      </w:tr>
      <w:tr w:rsidR="00000000" w14:paraId="148547CD" w14:textId="77777777">
        <w:trPr>
          <w:divId w:val="1858039456"/>
          <w:jc w:val="center"/>
        </w:trPr>
        <w:tc>
          <w:tcPr>
            <w:tcW w:w="0" w:type="auto"/>
            <w:gridSpan w:val="3"/>
            <w:tcMar>
              <w:top w:w="0" w:type="dxa"/>
              <w:left w:w="20" w:type="dxa"/>
              <w:bottom w:w="0" w:type="dxa"/>
              <w:right w:w="20" w:type="dxa"/>
            </w:tcMar>
            <w:vAlign w:val="center"/>
            <w:hideMark/>
          </w:tcPr>
          <w:p w14:paraId="35F2E4E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2432AD5" w14:textId="77777777" w:rsidR="00000000" w:rsidRDefault="00A173A8">
            <w:pPr>
              <w:spacing w:after="100"/>
              <w:jc w:val="center"/>
              <w:rPr>
                <w:rFonts w:eastAsia="Times New Roman"/>
              </w:rPr>
            </w:pPr>
            <w:r>
              <w:rPr>
                <w:rFonts w:eastAsia="Times New Roman"/>
                <w:color w:val="000000"/>
                <w:sz w:val="16"/>
                <w:szCs w:val="16"/>
              </w:rPr>
              <w:t>105</w:t>
            </w:r>
          </w:p>
        </w:tc>
        <w:tc>
          <w:tcPr>
            <w:tcW w:w="0" w:type="auto"/>
            <w:gridSpan w:val="3"/>
            <w:tcMar>
              <w:top w:w="30" w:type="dxa"/>
              <w:left w:w="20" w:type="dxa"/>
              <w:bottom w:w="30" w:type="dxa"/>
              <w:right w:w="20" w:type="dxa"/>
            </w:tcMar>
            <w:vAlign w:val="bottom"/>
            <w:hideMark/>
          </w:tcPr>
          <w:p w14:paraId="25CF15D5"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58203885" w14:textId="77777777" w:rsidR="00000000" w:rsidRDefault="00A173A8">
      <w:pPr>
        <w:rPr>
          <w:rFonts w:eastAsia="Times New Roman"/>
        </w:rPr>
      </w:pPr>
      <w:r>
        <w:rPr>
          <w:rFonts w:eastAsia="Times New Roman"/>
        </w:rPr>
        <w:pict w14:anchorId="5DAC7783">
          <v:rect id="_x0000_i1130" style="width:0;height:1.5pt" o:hralign="center" o:hrstd="t" o:hr="t" fillcolor="#a0a0a0" stroked="f"/>
        </w:pict>
      </w:r>
    </w:p>
    <w:p w14:paraId="6725373B" w14:textId="77777777" w:rsidR="00000000" w:rsidRDefault="00A173A8">
      <w:pPr>
        <w:jc w:val="both"/>
        <w:divId w:val="1861772628"/>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1816C502" w14:textId="77777777">
        <w:trPr>
          <w:divId w:val="1728409068"/>
        </w:trPr>
        <w:tc>
          <w:tcPr>
            <w:tcW w:w="50" w:type="pct"/>
            <w:vAlign w:val="center"/>
            <w:hideMark/>
          </w:tcPr>
          <w:p w14:paraId="19C4C860" w14:textId="77777777" w:rsidR="00000000" w:rsidRDefault="00A173A8">
            <w:pPr>
              <w:jc w:val="both"/>
              <w:rPr>
                <w:rFonts w:eastAsia="Times New Roman"/>
              </w:rPr>
            </w:pPr>
          </w:p>
        </w:tc>
        <w:tc>
          <w:tcPr>
            <w:tcW w:w="4945" w:type="pct"/>
            <w:vAlign w:val="center"/>
            <w:hideMark/>
          </w:tcPr>
          <w:p w14:paraId="2D47BA9B" w14:textId="77777777" w:rsidR="00000000" w:rsidRDefault="00A173A8">
            <w:pPr>
              <w:spacing w:after="100"/>
              <w:rPr>
                <w:rFonts w:eastAsia="Times New Roman"/>
                <w:sz w:val="20"/>
                <w:szCs w:val="20"/>
              </w:rPr>
            </w:pPr>
          </w:p>
        </w:tc>
        <w:tc>
          <w:tcPr>
            <w:tcW w:w="5" w:type="pct"/>
            <w:vAlign w:val="center"/>
            <w:hideMark/>
          </w:tcPr>
          <w:p w14:paraId="33CE9AD6" w14:textId="77777777" w:rsidR="00000000" w:rsidRDefault="00A173A8">
            <w:pPr>
              <w:spacing w:after="100"/>
              <w:rPr>
                <w:rFonts w:eastAsia="Times New Roman"/>
                <w:sz w:val="20"/>
                <w:szCs w:val="20"/>
              </w:rPr>
            </w:pPr>
          </w:p>
        </w:tc>
      </w:tr>
      <w:tr w:rsidR="00000000" w14:paraId="1252DBBA" w14:textId="77777777">
        <w:trPr>
          <w:divId w:val="172840906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3C909938" w14:textId="77777777" w:rsidR="00000000" w:rsidRDefault="00A173A8">
            <w:pPr>
              <w:spacing w:after="100"/>
              <w:rPr>
                <w:rFonts w:eastAsia="Times New Roman"/>
              </w:rPr>
            </w:pPr>
            <w:r>
              <w:rPr>
                <w:rFonts w:eastAsia="Times New Roman"/>
                <w:b/>
                <w:bCs/>
                <w:color w:val="000000"/>
                <w:sz w:val="20"/>
                <w:szCs w:val="20"/>
              </w:rPr>
              <w:t>NOTE 11—FAIR VALUE MEASUREMENT</w:t>
            </w:r>
          </w:p>
        </w:tc>
      </w:tr>
    </w:tbl>
    <w:p w14:paraId="0FC43502" w14:textId="77777777" w:rsidR="00000000" w:rsidRDefault="00A173A8">
      <w:pPr>
        <w:jc w:val="both"/>
        <w:divId w:val="828979865"/>
        <w:rPr>
          <w:rFonts w:eastAsia="Times New Roman"/>
        </w:rPr>
      </w:pPr>
      <w:r>
        <w:rPr>
          <w:rFonts w:eastAsia="Times New Roman"/>
          <w:color w:val="000000"/>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eastAsia="Times New Roman"/>
          <w:color w:val="000000"/>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eastAsia="Times New Roman"/>
          <w:color w:val="000000"/>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eastAsia="Times New Roman"/>
          <w:color w:val="000000"/>
          <w:sz w:val="20"/>
          <w:szCs w:val="20"/>
        </w:rPr>
        <w:t>bed below:</w:t>
      </w:r>
    </w:p>
    <w:tbl>
      <w:tblPr>
        <w:tblW w:w="5000" w:type="pct"/>
        <w:tblCellMar>
          <w:top w:w="15" w:type="dxa"/>
          <w:left w:w="15" w:type="dxa"/>
          <w:bottom w:w="15" w:type="dxa"/>
          <w:right w:w="15" w:type="dxa"/>
        </w:tblCellMar>
        <w:tblLook w:val="04A0" w:firstRow="1" w:lastRow="0" w:firstColumn="1" w:lastColumn="0" w:noHBand="0" w:noVBand="1"/>
      </w:tblPr>
      <w:tblGrid>
        <w:gridCol w:w="86"/>
        <w:gridCol w:w="607"/>
        <w:gridCol w:w="36"/>
        <w:gridCol w:w="36"/>
        <w:gridCol w:w="36"/>
        <w:gridCol w:w="36"/>
        <w:gridCol w:w="38"/>
        <w:gridCol w:w="7394"/>
        <w:gridCol w:w="37"/>
      </w:tblGrid>
      <w:tr w:rsidR="00000000" w14:paraId="0DAB600D" w14:textId="77777777">
        <w:trPr>
          <w:divId w:val="307832050"/>
        </w:trPr>
        <w:tc>
          <w:tcPr>
            <w:tcW w:w="50" w:type="pct"/>
            <w:vAlign w:val="center"/>
            <w:hideMark/>
          </w:tcPr>
          <w:p w14:paraId="7532374F" w14:textId="77777777" w:rsidR="00000000" w:rsidRDefault="00A173A8">
            <w:pPr>
              <w:jc w:val="both"/>
              <w:rPr>
                <w:rFonts w:eastAsia="Times New Roman"/>
              </w:rPr>
            </w:pPr>
          </w:p>
        </w:tc>
        <w:tc>
          <w:tcPr>
            <w:tcW w:w="354" w:type="pct"/>
            <w:vAlign w:val="center"/>
            <w:hideMark/>
          </w:tcPr>
          <w:p w14:paraId="2280CAA3" w14:textId="77777777" w:rsidR="00000000" w:rsidRDefault="00A173A8">
            <w:pPr>
              <w:spacing w:after="100"/>
              <w:rPr>
                <w:rFonts w:eastAsia="Times New Roman"/>
                <w:sz w:val="20"/>
                <w:szCs w:val="20"/>
              </w:rPr>
            </w:pPr>
          </w:p>
        </w:tc>
        <w:tc>
          <w:tcPr>
            <w:tcW w:w="5" w:type="pct"/>
            <w:vAlign w:val="center"/>
            <w:hideMark/>
          </w:tcPr>
          <w:p w14:paraId="41EA8949" w14:textId="77777777" w:rsidR="00000000" w:rsidRDefault="00A173A8">
            <w:pPr>
              <w:spacing w:after="100"/>
              <w:rPr>
                <w:rFonts w:eastAsia="Times New Roman"/>
                <w:sz w:val="20"/>
                <w:szCs w:val="20"/>
              </w:rPr>
            </w:pPr>
          </w:p>
        </w:tc>
        <w:tc>
          <w:tcPr>
            <w:tcW w:w="5" w:type="pct"/>
            <w:vAlign w:val="center"/>
            <w:hideMark/>
          </w:tcPr>
          <w:p w14:paraId="5DA18697" w14:textId="77777777" w:rsidR="00000000" w:rsidRDefault="00A173A8">
            <w:pPr>
              <w:spacing w:after="100"/>
              <w:rPr>
                <w:rFonts w:eastAsia="Times New Roman"/>
                <w:sz w:val="20"/>
                <w:szCs w:val="20"/>
              </w:rPr>
            </w:pPr>
          </w:p>
        </w:tc>
        <w:tc>
          <w:tcPr>
            <w:tcW w:w="26" w:type="pct"/>
            <w:vAlign w:val="center"/>
            <w:hideMark/>
          </w:tcPr>
          <w:p w14:paraId="18B53D3A" w14:textId="77777777" w:rsidR="00000000" w:rsidRDefault="00A173A8">
            <w:pPr>
              <w:spacing w:after="100"/>
              <w:rPr>
                <w:rFonts w:eastAsia="Times New Roman"/>
                <w:sz w:val="20"/>
                <w:szCs w:val="20"/>
              </w:rPr>
            </w:pPr>
          </w:p>
        </w:tc>
        <w:tc>
          <w:tcPr>
            <w:tcW w:w="5" w:type="pct"/>
            <w:vAlign w:val="center"/>
            <w:hideMark/>
          </w:tcPr>
          <w:p w14:paraId="7BFAA2E6" w14:textId="77777777" w:rsidR="00000000" w:rsidRDefault="00A173A8">
            <w:pPr>
              <w:spacing w:after="100"/>
              <w:rPr>
                <w:rFonts w:eastAsia="Times New Roman"/>
                <w:sz w:val="20"/>
                <w:szCs w:val="20"/>
              </w:rPr>
            </w:pPr>
          </w:p>
        </w:tc>
        <w:tc>
          <w:tcPr>
            <w:tcW w:w="50" w:type="pct"/>
            <w:vAlign w:val="center"/>
            <w:hideMark/>
          </w:tcPr>
          <w:p w14:paraId="594840AC" w14:textId="77777777" w:rsidR="00000000" w:rsidRDefault="00A173A8">
            <w:pPr>
              <w:spacing w:after="100"/>
              <w:rPr>
                <w:rFonts w:eastAsia="Times New Roman"/>
                <w:sz w:val="20"/>
                <w:szCs w:val="20"/>
              </w:rPr>
            </w:pPr>
          </w:p>
        </w:tc>
        <w:tc>
          <w:tcPr>
            <w:tcW w:w="4499" w:type="pct"/>
            <w:vAlign w:val="center"/>
            <w:hideMark/>
          </w:tcPr>
          <w:p w14:paraId="43E5EEB6" w14:textId="77777777" w:rsidR="00000000" w:rsidRDefault="00A173A8">
            <w:pPr>
              <w:spacing w:after="100"/>
              <w:rPr>
                <w:rFonts w:eastAsia="Times New Roman"/>
                <w:sz w:val="20"/>
                <w:szCs w:val="20"/>
              </w:rPr>
            </w:pPr>
          </w:p>
        </w:tc>
        <w:tc>
          <w:tcPr>
            <w:tcW w:w="5" w:type="pct"/>
            <w:vAlign w:val="center"/>
            <w:hideMark/>
          </w:tcPr>
          <w:p w14:paraId="670388FE" w14:textId="77777777" w:rsidR="00000000" w:rsidRDefault="00A173A8">
            <w:pPr>
              <w:spacing w:after="100"/>
              <w:rPr>
                <w:rFonts w:eastAsia="Times New Roman"/>
                <w:sz w:val="20"/>
                <w:szCs w:val="20"/>
              </w:rPr>
            </w:pPr>
          </w:p>
        </w:tc>
      </w:tr>
      <w:tr w:rsidR="00000000" w14:paraId="12389502" w14:textId="77777777">
        <w:trPr>
          <w:divId w:val="307832050"/>
        </w:trPr>
        <w:tc>
          <w:tcPr>
            <w:tcW w:w="0" w:type="auto"/>
            <w:gridSpan w:val="3"/>
            <w:tcMar>
              <w:top w:w="30" w:type="dxa"/>
              <w:left w:w="20" w:type="dxa"/>
              <w:bottom w:w="30" w:type="dxa"/>
              <w:right w:w="20" w:type="dxa"/>
            </w:tcMar>
            <w:vAlign w:val="center"/>
            <w:hideMark/>
          </w:tcPr>
          <w:p w14:paraId="02909C28" w14:textId="77777777" w:rsidR="00000000" w:rsidRDefault="00A173A8">
            <w:pPr>
              <w:spacing w:after="100"/>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14:paraId="00C35E50"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center"/>
            <w:hideMark/>
          </w:tcPr>
          <w:p w14:paraId="6205C3E2" w14:textId="77777777" w:rsidR="00000000" w:rsidRDefault="00A173A8">
            <w:pPr>
              <w:spacing w:after="100"/>
              <w:jc w:val="both"/>
              <w:rPr>
                <w:rFonts w:eastAsia="Times New Roman"/>
              </w:rPr>
            </w:pPr>
            <w:r>
              <w:rPr>
                <w:rFonts w:eastAsia="Times New Roman"/>
                <w:color w:val="000000"/>
                <w:sz w:val="20"/>
                <w:szCs w:val="20"/>
              </w:rPr>
              <w:t>Valuation is based on quoted prices (unadjusted) in active markets for identical assets or liabilities.</w:t>
            </w:r>
          </w:p>
        </w:tc>
      </w:tr>
      <w:tr w:rsidR="00000000" w14:paraId="67E3D1D1" w14:textId="77777777">
        <w:trPr>
          <w:divId w:val="307832050"/>
        </w:trPr>
        <w:tc>
          <w:tcPr>
            <w:tcW w:w="0" w:type="auto"/>
            <w:gridSpan w:val="3"/>
            <w:tcMar>
              <w:top w:w="30" w:type="dxa"/>
              <w:left w:w="20" w:type="dxa"/>
              <w:bottom w:w="30" w:type="dxa"/>
              <w:right w:w="20" w:type="dxa"/>
            </w:tcMar>
            <w:hideMark/>
          </w:tcPr>
          <w:p w14:paraId="1FB92148" w14:textId="77777777" w:rsidR="00000000" w:rsidRDefault="00A173A8">
            <w:pPr>
              <w:spacing w:after="100"/>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14:paraId="1C3E7970"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center"/>
            <w:hideMark/>
          </w:tcPr>
          <w:p w14:paraId="23C56C98" w14:textId="77777777" w:rsidR="00000000" w:rsidRDefault="00A173A8">
            <w:pPr>
              <w:spacing w:after="100"/>
              <w:jc w:val="both"/>
              <w:rPr>
                <w:rFonts w:eastAsia="Times New Roman"/>
              </w:rPr>
            </w:pPr>
            <w:r>
              <w:rPr>
                <w:rFonts w:eastAsia="Times New Roman"/>
                <w:color w:val="000000"/>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eastAsia="Times New Roman"/>
                <w:color w:val="000000"/>
                <w:sz w:val="20"/>
                <w:szCs w:val="20"/>
              </w:rPr>
              <w:t>market data for substantially the full term of the assets or liabilities.</w:t>
            </w:r>
          </w:p>
        </w:tc>
      </w:tr>
      <w:tr w:rsidR="00000000" w14:paraId="4E6E9F98" w14:textId="77777777">
        <w:trPr>
          <w:divId w:val="307832050"/>
        </w:trPr>
        <w:tc>
          <w:tcPr>
            <w:tcW w:w="0" w:type="auto"/>
            <w:gridSpan w:val="3"/>
            <w:tcMar>
              <w:top w:w="30" w:type="dxa"/>
              <w:left w:w="20" w:type="dxa"/>
              <w:bottom w:w="30" w:type="dxa"/>
              <w:right w:w="20" w:type="dxa"/>
            </w:tcMar>
            <w:hideMark/>
          </w:tcPr>
          <w:p w14:paraId="29F52D86" w14:textId="77777777" w:rsidR="00000000" w:rsidRDefault="00A173A8">
            <w:pPr>
              <w:spacing w:after="100"/>
              <w:rPr>
                <w:rFonts w:eastAsia="Times New Roman"/>
              </w:rPr>
            </w:pPr>
            <w:r>
              <w:rPr>
                <w:rFonts w:eastAsia="Times New Roman"/>
                <w:color w:val="000000"/>
                <w:sz w:val="20"/>
                <w:szCs w:val="20"/>
              </w:rPr>
              <w:t>Level 3:</w:t>
            </w:r>
          </w:p>
        </w:tc>
        <w:tc>
          <w:tcPr>
            <w:tcW w:w="0" w:type="auto"/>
            <w:gridSpan w:val="3"/>
            <w:tcMar>
              <w:top w:w="0" w:type="dxa"/>
              <w:left w:w="20" w:type="dxa"/>
              <w:bottom w:w="0" w:type="dxa"/>
              <w:right w:w="20" w:type="dxa"/>
            </w:tcMar>
            <w:vAlign w:val="center"/>
            <w:hideMark/>
          </w:tcPr>
          <w:p w14:paraId="3DE0250D"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center"/>
            <w:hideMark/>
          </w:tcPr>
          <w:p w14:paraId="5AFA467A" w14:textId="77777777" w:rsidR="00000000" w:rsidRDefault="00A173A8">
            <w:pPr>
              <w:spacing w:after="100"/>
              <w:jc w:val="both"/>
              <w:rPr>
                <w:rFonts w:eastAsia="Times New Roman"/>
              </w:rPr>
            </w:pPr>
            <w:r>
              <w:rPr>
                <w:rFonts w:eastAsia="Times New Roman"/>
                <w:color w:val="000000"/>
                <w:sz w:val="20"/>
                <w:szCs w:val="20"/>
              </w:rPr>
              <w:t>Valuation i</w:t>
            </w:r>
            <w:r>
              <w:rPr>
                <w:rFonts w:eastAsia="Times New Roman"/>
                <w:color w:val="000000"/>
                <w:sz w:val="20"/>
                <w:szCs w:val="20"/>
              </w:rPr>
              <w:t>s generated from techniques that use significant assumptions not observable in the market. Valuation techniques include pricing models, discounted cash flow (“DCF”) methodologies or similar techniques.</w:t>
            </w:r>
          </w:p>
        </w:tc>
      </w:tr>
    </w:tbl>
    <w:p w14:paraId="04ED6BEE" w14:textId="77777777" w:rsidR="00000000" w:rsidRDefault="00A173A8">
      <w:pPr>
        <w:jc w:val="both"/>
        <w:divId w:val="307832050"/>
        <w:rPr>
          <w:rFonts w:eastAsia="Times New Roman"/>
        </w:rPr>
      </w:pPr>
      <w:r>
        <w:rPr>
          <w:rFonts w:eastAsia="Times New Roman"/>
          <w:color w:val="000000"/>
          <w:sz w:val="20"/>
          <w:szCs w:val="20"/>
        </w:rPr>
        <w:t>The accounting guidance for fair value measurements requires that we maximize the use of observable inputs and minimize the use of unobservable inputs in determining fair value. The accounting guidance provides for the irrevocable option to elect, on a con</w:t>
      </w:r>
      <w:r>
        <w:rPr>
          <w:rFonts w:eastAsia="Times New Roman"/>
          <w:color w:val="000000"/>
          <w:sz w:val="20"/>
          <w:szCs w:val="20"/>
        </w:rPr>
        <w:t>tract-by-contract basis, to measure certain financial assets and liabilities at fair value at inception of the contract and record any subsequent changes in fair value in earnings.</w:t>
      </w:r>
    </w:p>
    <w:p w14:paraId="2352378B" w14:textId="77777777" w:rsidR="00000000" w:rsidRDefault="00A173A8">
      <w:pPr>
        <w:jc w:val="both"/>
        <w:divId w:val="1849980386"/>
        <w:rPr>
          <w:rFonts w:eastAsia="Times New Roman"/>
        </w:rPr>
      </w:pPr>
      <w:r>
        <w:rPr>
          <w:rFonts w:eastAsia="Times New Roman"/>
          <w:color w:val="000000"/>
          <w:sz w:val="20"/>
          <w:szCs w:val="20"/>
        </w:rPr>
        <w:t>The determination and classification of financial instruments in the fair value hierarchy is performed at the end of each reporting period. We consider all available information, including observable market data, indications of market liquidity and orderli</w:t>
      </w:r>
      <w:r>
        <w:rPr>
          <w:rFonts w:eastAsia="Times New Roman"/>
          <w:color w:val="000000"/>
          <w:sz w:val="20"/>
          <w:szCs w:val="20"/>
        </w:rPr>
        <w:t>ness, and our understanding of the valuation techniques and significant inputs. For additional information on the valuation techniques used in estimating the fair value of our financial assets and liabilities on a recurring basis, see “Note 16—Fair Value M</w:t>
      </w:r>
      <w:r>
        <w:rPr>
          <w:rFonts w:eastAsia="Times New Roman"/>
          <w:color w:val="000000"/>
          <w:sz w:val="20"/>
          <w:szCs w:val="20"/>
        </w:rPr>
        <w:t>easurement” in our 2021 Form 10-K</w:t>
      </w:r>
      <w:r>
        <w:rPr>
          <w:rFonts w:eastAsia="Times New Roman"/>
          <w:b/>
          <w:bCs/>
          <w:color w:val="000000"/>
          <w:sz w:val="20"/>
          <w:szCs w:val="20"/>
        </w:rPr>
        <w:t>.</w:t>
      </w:r>
      <w:r>
        <w:rPr>
          <w:rFonts w:eastAsia="Times New Roman"/>
          <w:color w:val="000000"/>
          <w:sz w:val="20"/>
          <w:szCs w:val="20"/>
        </w:rPr>
        <w:t>        </w:t>
      </w:r>
    </w:p>
    <w:p w14:paraId="24299E2C" w14:textId="77777777" w:rsidR="00000000" w:rsidRDefault="00A173A8">
      <w:pPr>
        <w:divId w:val="474565751"/>
        <w:rPr>
          <w:rFonts w:eastAsia="Times New Roman"/>
        </w:rPr>
      </w:pPr>
      <w:r>
        <w:rPr>
          <w:rFonts w:eastAsia="Times New Roman"/>
          <w:b/>
          <w:bCs/>
          <w:color w:val="000000"/>
          <w:sz w:val="20"/>
          <w:szCs w:val="20"/>
        </w:rPr>
        <w:t>Assets and Liabilities Measured at Fair Value on a Recurring Basis</w:t>
      </w:r>
    </w:p>
    <w:p w14:paraId="6BA5CD2E" w14:textId="77777777" w:rsidR="00000000" w:rsidRDefault="00A173A8">
      <w:pPr>
        <w:jc w:val="both"/>
        <w:divId w:val="158429518"/>
        <w:rPr>
          <w:rFonts w:eastAsia="Times New Roman"/>
        </w:rPr>
      </w:pPr>
      <w:r>
        <w:rPr>
          <w:rFonts w:eastAsia="Times New Roman"/>
          <w:color w:val="000000"/>
          <w:sz w:val="20"/>
          <w:szCs w:val="20"/>
        </w:rPr>
        <w:t xml:space="preserve">The following table displays our assets and liabilities measured on our consolidated balance sheets at fair value on a recurring basis as of June </w:t>
      </w:r>
      <w:r>
        <w:rPr>
          <w:rFonts w:eastAsia="Times New Roman"/>
          <w:color w:val="000000"/>
          <w:sz w:val="20"/>
          <w:szCs w:val="20"/>
        </w:rPr>
        <w:t>30, 2022 and December 31, 2021.</w:t>
      </w:r>
    </w:p>
    <w:p w14:paraId="52BD5DB0" w14:textId="77777777" w:rsidR="00000000" w:rsidRDefault="00A173A8">
      <w:pPr>
        <w:divId w:val="1481341095"/>
        <w:rPr>
          <w:rFonts w:eastAsia="Times New Roman"/>
        </w:rPr>
      </w:pPr>
      <w:r>
        <w:rPr>
          <w:rFonts w:eastAsia="Times New Roman"/>
          <w:b/>
          <w:bCs/>
          <w:color w:val="000000"/>
          <w:sz w:val="18"/>
          <w:szCs w:val="18"/>
        </w:rPr>
        <w:t>Table 11.1: Assets and Liabilities Measured at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362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540"/>
        <w:gridCol w:w="36"/>
      </w:tblGrid>
      <w:tr w:rsidR="00000000" w14:paraId="2F3E5F1D" w14:textId="77777777">
        <w:trPr>
          <w:divId w:val="727919038"/>
        </w:trPr>
        <w:tc>
          <w:tcPr>
            <w:tcW w:w="50" w:type="pct"/>
            <w:vAlign w:val="center"/>
            <w:hideMark/>
          </w:tcPr>
          <w:p w14:paraId="45C00C11" w14:textId="77777777" w:rsidR="00000000" w:rsidRDefault="00A173A8">
            <w:pPr>
              <w:rPr>
                <w:rFonts w:eastAsia="Times New Roman"/>
              </w:rPr>
            </w:pPr>
          </w:p>
        </w:tc>
        <w:tc>
          <w:tcPr>
            <w:tcW w:w="2569" w:type="pct"/>
            <w:vAlign w:val="center"/>
            <w:hideMark/>
          </w:tcPr>
          <w:p w14:paraId="739BCDED" w14:textId="77777777" w:rsidR="00000000" w:rsidRDefault="00A173A8">
            <w:pPr>
              <w:spacing w:after="100"/>
              <w:rPr>
                <w:rFonts w:eastAsia="Times New Roman"/>
                <w:sz w:val="20"/>
                <w:szCs w:val="20"/>
              </w:rPr>
            </w:pPr>
          </w:p>
        </w:tc>
        <w:tc>
          <w:tcPr>
            <w:tcW w:w="5" w:type="pct"/>
            <w:vAlign w:val="center"/>
            <w:hideMark/>
          </w:tcPr>
          <w:p w14:paraId="3B37F090" w14:textId="77777777" w:rsidR="00000000" w:rsidRDefault="00A173A8">
            <w:pPr>
              <w:spacing w:after="100"/>
              <w:rPr>
                <w:rFonts w:eastAsia="Times New Roman"/>
                <w:sz w:val="20"/>
                <w:szCs w:val="20"/>
              </w:rPr>
            </w:pPr>
          </w:p>
        </w:tc>
        <w:tc>
          <w:tcPr>
            <w:tcW w:w="5" w:type="pct"/>
            <w:vAlign w:val="center"/>
            <w:hideMark/>
          </w:tcPr>
          <w:p w14:paraId="6C149AB4" w14:textId="77777777" w:rsidR="00000000" w:rsidRDefault="00A173A8">
            <w:pPr>
              <w:spacing w:after="100"/>
              <w:rPr>
                <w:rFonts w:eastAsia="Times New Roman"/>
                <w:sz w:val="20"/>
                <w:szCs w:val="20"/>
              </w:rPr>
            </w:pPr>
          </w:p>
        </w:tc>
        <w:tc>
          <w:tcPr>
            <w:tcW w:w="26" w:type="pct"/>
            <w:vAlign w:val="center"/>
            <w:hideMark/>
          </w:tcPr>
          <w:p w14:paraId="6D7FD5C9" w14:textId="77777777" w:rsidR="00000000" w:rsidRDefault="00A173A8">
            <w:pPr>
              <w:spacing w:after="100"/>
              <w:rPr>
                <w:rFonts w:eastAsia="Times New Roman"/>
                <w:sz w:val="20"/>
                <w:szCs w:val="20"/>
              </w:rPr>
            </w:pPr>
          </w:p>
        </w:tc>
        <w:tc>
          <w:tcPr>
            <w:tcW w:w="5" w:type="pct"/>
            <w:vAlign w:val="center"/>
            <w:hideMark/>
          </w:tcPr>
          <w:p w14:paraId="5C397D86" w14:textId="77777777" w:rsidR="00000000" w:rsidRDefault="00A173A8">
            <w:pPr>
              <w:spacing w:after="100"/>
              <w:rPr>
                <w:rFonts w:eastAsia="Times New Roman"/>
                <w:sz w:val="20"/>
                <w:szCs w:val="20"/>
              </w:rPr>
            </w:pPr>
          </w:p>
        </w:tc>
        <w:tc>
          <w:tcPr>
            <w:tcW w:w="50" w:type="pct"/>
            <w:vAlign w:val="center"/>
            <w:hideMark/>
          </w:tcPr>
          <w:p w14:paraId="2491611D" w14:textId="77777777" w:rsidR="00000000" w:rsidRDefault="00A173A8">
            <w:pPr>
              <w:spacing w:after="100"/>
              <w:rPr>
                <w:rFonts w:eastAsia="Times New Roman"/>
                <w:sz w:val="20"/>
                <w:szCs w:val="20"/>
              </w:rPr>
            </w:pPr>
          </w:p>
        </w:tc>
        <w:tc>
          <w:tcPr>
            <w:tcW w:w="347" w:type="pct"/>
            <w:vAlign w:val="center"/>
            <w:hideMark/>
          </w:tcPr>
          <w:p w14:paraId="78474A6E" w14:textId="77777777" w:rsidR="00000000" w:rsidRDefault="00A173A8">
            <w:pPr>
              <w:spacing w:after="100"/>
              <w:rPr>
                <w:rFonts w:eastAsia="Times New Roman"/>
                <w:sz w:val="20"/>
                <w:szCs w:val="20"/>
              </w:rPr>
            </w:pPr>
          </w:p>
        </w:tc>
        <w:tc>
          <w:tcPr>
            <w:tcW w:w="5" w:type="pct"/>
            <w:vAlign w:val="center"/>
            <w:hideMark/>
          </w:tcPr>
          <w:p w14:paraId="61FF674E" w14:textId="77777777" w:rsidR="00000000" w:rsidRDefault="00A173A8">
            <w:pPr>
              <w:spacing w:after="100"/>
              <w:rPr>
                <w:rFonts w:eastAsia="Times New Roman"/>
                <w:sz w:val="20"/>
                <w:szCs w:val="20"/>
              </w:rPr>
            </w:pPr>
          </w:p>
        </w:tc>
        <w:tc>
          <w:tcPr>
            <w:tcW w:w="5" w:type="pct"/>
            <w:vAlign w:val="center"/>
            <w:hideMark/>
          </w:tcPr>
          <w:p w14:paraId="1E2AF33B" w14:textId="77777777" w:rsidR="00000000" w:rsidRDefault="00A173A8">
            <w:pPr>
              <w:spacing w:after="100"/>
              <w:rPr>
                <w:rFonts w:eastAsia="Times New Roman"/>
                <w:sz w:val="20"/>
                <w:szCs w:val="20"/>
              </w:rPr>
            </w:pPr>
          </w:p>
        </w:tc>
        <w:tc>
          <w:tcPr>
            <w:tcW w:w="26" w:type="pct"/>
            <w:vAlign w:val="center"/>
            <w:hideMark/>
          </w:tcPr>
          <w:p w14:paraId="70C1D461" w14:textId="77777777" w:rsidR="00000000" w:rsidRDefault="00A173A8">
            <w:pPr>
              <w:spacing w:after="100"/>
              <w:rPr>
                <w:rFonts w:eastAsia="Times New Roman"/>
                <w:sz w:val="20"/>
                <w:szCs w:val="20"/>
              </w:rPr>
            </w:pPr>
          </w:p>
        </w:tc>
        <w:tc>
          <w:tcPr>
            <w:tcW w:w="5" w:type="pct"/>
            <w:vAlign w:val="center"/>
            <w:hideMark/>
          </w:tcPr>
          <w:p w14:paraId="56FD850C" w14:textId="77777777" w:rsidR="00000000" w:rsidRDefault="00A173A8">
            <w:pPr>
              <w:spacing w:after="100"/>
              <w:rPr>
                <w:rFonts w:eastAsia="Times New Roman"/>
                <w:sz w:val="20"/>
                <w:szCs w:val="20"/>
              </w:rPr>
            </w:pPr>
          </w:p>
        </w:tc>
        <w:tc>
          <w:tcPr>
            <w:tcW w:w="50" w:type="pct"/>
            <w:vAlign w:val="center"/>
            <w:hideMark/>
          </w:tcPr>
          <w:p w14:paraId="56E60848" w14:textId="77777777" w:rsidR="00000000" w:rsidRDefault="00A173A8">
            <w:pPr>
              <w:spacing w:after="100"/>
              <w:rPr>
                <w:rFonts w:eastAsia="Times New Roman"/>
                <w:sz w:val="20"/>
                <w:szCs w:val="20"/>
              </w:rPr>
            </w:pPr>
          </w:p>
        </w:tc>
        <w:tc>
          <w:tcPr>
            <w:tcW w:w="347" w:type="pct"/>
            <w:vAlign w:val="center"/>
            <w:hideMark/>
          </w:tcPr>
          <w:p w14:paraId="51D893B6" w14:textId="77777777" w:rsidR="00000000" w:rsidRDefault="00A173A8">
            <w:pPr>
              <w:spacing w:after="100"/>
              <w:rPr>
                <w:rFonts w:eastAsia="Times New Roman"/>
                <w:sz w:val="20"/>
                <w:szCs w:val="20"/>
              </w:rPr>
            </w:pPr>
          </w:p>
        </w:tc>
        <w:tc>
          <w:tcPr>
            <w:tcW w:w="5" w:type="pct"/>
            <w:vAlign w:val="center"/>
            <w:hideMark/>
          </w:tcPr>
          <w:p w14:paraId="7CA799FC" w14:textId="77777777" w:rsidR="00000000" w:rsidRDefault="00A173A8">
            <w:pPr>
              <w:spacing w:after="100"/>
              <w:rPr>
                <w:rFonts w:eastAsia="Times New Roman"/>
                <w:sz w:val="20"/>
                <w:szCs w:val="20"/>
              </w:rPr>
            </w:pPr>
          </w:p>
        </w:tc>
        <w:tc>
          <w:tcPr>
            <w:tcW w:w="5" w:type="pct"/>
            <w:vAlign w:val="center"/>
            <w:hideMark/>
          </w:tcPr>
          <w:p w14:paraId="44CB55D4" w14:textId="77777777" w:rsidR="00000000" w:rsidRDefault="00A173A8">
            <w:pPr>
              <w:spacing w:after="100"/>
              <w:rPr>
                <w:rFonts w:eastAsia="Times New Roman"/>
                <w:sz w:val="20"/>
                <w:szCs w:val="20"/>
              </w:rPr>
            </w:pPr>
          </w:p>
        </w:tc>
        <w:tc>
          <w:tcPr>
            <w:tcW w:w="26" w:type="pct"/>
            <w:vAlign w:val="center"/>
            <w:hideMark/>
          </w:tcPr>
          <w:p w14:paraId="47A87477" w14:textId="77777777" w:rsidR="00000000" w:rsidRDefault="00A173A8">
            <w:pPr>
              <w:spacing w:after="100"/>
              <w:rPr>
                <w:rFonts w:eastAsia="Times New Roman"/>
                <w:sz w:val="20"/>
                <w:szCs w:val="20"/>
              </w:rPr>
            </w:pPr>
          </w:p>
        </w:tc>
        <w:tc>
          <w:tcPr>
            <w:tcW w:w="5" w:type="pct"/>
            <w:vAlign w:val="center"/>
            <w:hideMark/>
          </w:tcPr>
          <w:p w14:paraId="2488D9E4" w14:textId="77777777" w:rsidR="00000000" w:rsidRDefault="00A173A8">
            <w:pPr>
              <w:spacing w:after="100"/>
              <w:rPr>
                <w:rFonts w:eastAsia="Times New Roman"/>
                <w:sz w:val="20"/>
                <w:szCs w:val="20"/>
              </w:rPr>
            </w:pPr>
          </w:p>
        </w:tc>
        <w:tc>
          <w:tcPr>
            <w:tcW w:w="50" w:type="pct"/>
            <w:vAlign w:val="center"/>
            <w:hideMark/>
          </w:tcPr>
          <w:p w14:paraId="311BBF72" w14:textId="77777777" w:rsidR="00000000" w:rsidRDefault="00A173A8">
            <w:pPr>
              <w:spacing w:after="100"/>
              <w:rPr>
                <w:rFonts w:eastAsia="Times New Roman"/>
                <w:sz w:val="20"/>
                <w:szCs w:val="20"/>
              </w:rPr>
            </w:pPr>
          </w:p>
        </w:tc>
        <w:tc>
          <w:tcPr>
            <w:tcW w:w="347" w:type="pct"/>
            <w:vAlign w:val="center"/>
            <w:hideMark/>
          </w:tcPr>
          <w:p w14:paraId="108C340F" w14:textId="77777777" w:rsidR="00000000" w:rsidRDefault="00A173A8">
            <w:pPr>
              <w:spacing w:after="100"/>
              <w:rPr>
                <w:rFonts w:eastAsia="Times New Roman"/>
                <w:sz w:val="20"/>
                <w:szCs w:val="20"/>
              </w:rPr>
            </w:pPr>
          </w:p>
        </w:tc>
        <w:tc>
          <w:tcPr>
            <w:tcW w:w="5" w:type="pct"/>
            <w:vAlign w:val="center"/>
            <w:hideMark/>
          </w:tcPr>
          <w:p w14:paraId="6DB5ED67" w14:textId="77777777" w:rsidR="00000000" w:rsidRDefault="00A173A8">
            <w:pPr>
              <w:spacing w:after="100"/>
              <w:rPr>
                <w:rFonts w:eastAsia="Times New Roman"/>
                <w:sz w:val="20"/>
                <w:szCs w:val="20"/>
              </w:rPr>
            </w:pPr>
          </w:p>
        </w:tc>
        <w:tc>
          <w:tcPr>
            <w:tcW w:w="5" w:type="pct"/>
            <w:vAlign w:val="center"/>
            <w:hideMark/>
          </w:tcPr>
          <w:p w14:paraId="77616CF8" w14:textId="77777777" w:rsidR="00000000" w:rsidRDefault="00A173A8">
            <w:pPr>
              <w:spacing w:after="100"/>
              <w:rPr>
                <w:rFonts w:eastAsia="Times New Roman"/>
                <w:sz w:val="20"/>
                <w:szCs w:val="20"/>
              </w:rPr>
            </w:pPr>
          </w:p>
        </w:tc>
        <w:tc>
          <w:tcPr>
            <w:tcW w:w="26" w:type="pct"/>
            <w:vAlign w:val="center"/>
            <w:hideMark/>
          </w:tcPr>
          <w:p w14:paraId="6F9E5D4D" w14:textId="77777777" w:rsidR="00000000" w:rsidRDefault="00A173A8">
            <w:pPr>
              <w:spacing w:after="100"/>
              <w:rPr>
                <w:rFonts w:eastAsia="Times New Roman"/>
                <w:sz w:val="20"/>
                <w:szCs w:val="20"/>
              </w:rPr>
            </w:pPr>
          </w:p>
        </w:tc>
        <w:tc>
          <w:tcPr>
            <w:tcW w:w="5" w:type="pct"/>
            <w:vAlign w:val="center"/>
            <w:hideMark/>
          </w:tcPr>
          <w:p w14:paraId="296E52E1" w14:textId="77777777" w:rsidR="00000000" w:rsidRDefault="00A173A8">
            <w:pPr>
              <w:spacing w:after="100"/>
              <w:rPr>
                <w:rFonts w:eastAsia="Times New Roman"/>
                <w:sz w:val="20"/>
                <w:szCs w:val="20"/>
              </w:rPr>
            </w:pPr>
          </w:p>
        </w:tc>
        <w:tc>
          <w:tcPr>
            <w:tcW w:w="50" w:type="pct"/>
            <w:vAlign w:val="center"/>
            <w:hideMark/>
          </w:tcPr>
          <w:p w14:paraId="086E379E" w14:textId="77777777" w:rsidR="00000000" w:rsidRDefault="00A173A8">
            <w:pPr>
              <w:spacing w:after="100"/>
              <w:rPr>
                <w:rFonts w:eastAsia="Times New Roman"/>
                <w:sz w:val="20"/>
                <w:szCs w:val="20"/>
              </w:rPr>
            </w:pPr>
          </w:p>
        </w:tc>
        <w:tc>
          <w:tcPr>
            <w:tcW w:w="529" w:type="pct"/>
            <w:vAlign w:val="center"/>
            <w:hideMark/>
          </w:tcPr>
          <w:p w14:paraId="07584C85" w14:textId="77777777" w:rsidR="00000000" w:rsidRDefault="00A173A8">
            <w:pPr>
              <w:spacing w:after="100"/>
              <w:rPr>
                <w:rFonts w:eastAsia="Times New Roman"/>
                <w:sz w:val="20"/>
                <w:szCs w:val="20"/>
              </w:rPr>
            </w:pPr>
          </w:p>
        </w:tc>
        <w:tc>
          <w:tcPr>
            <w:tcW w:w="5" w:type="pct"/>
            <w:vAlign w:val="center"/>
            <w:hideMark/>
          </w:tcPr>
          <w:p w14:paraId="617C2C8F" w14:textId="77777777" w:rsidR="00000000" w:rsidRDefault="00A173A8">
            <w:pPr>
              <w:spacing w:after="100"/>
              <w:rPr>
                <w:rFonts w:eastAsia="Times New Roman"/>
                <w:sz w:val="20"/>
                <w:szCs w:val="20"/>
              </w:rPr>
            </w:pPr>
          </w:p>
        </w:tc>
        <w:tc>
          <w:tcPr>
            <w:tcW w:w="5" w:type="pct"/>
            <w:vAlign w:val="center"/>
            <w:hideMark/>
          </w:tcPr>
          <w:p w14:paraId="73C64429" w14:textId="77777777" w:rsidR="00000000" w:rsidRDefault="00A173A8">
            <w:pPr>
              <w:spacing w:after="100"/>
              <w:rPr>
                <w:rFonts w:eastAsia="Times New Roman"/>
                <w:sz w:val="20"/>
                <w:szCs w:val="20"/>
              </w:rPr>
            </w:pPr>
          </w:p>
        </w:tc>
        <w:tc>
          <w:tcPr>
            <w:tcW w:w="26" w:type="pct"/>
            <w:vAlign w:val="center"/>
            <w:hideMark/>
          </w:tcPr>
          <w:p w14:paraId="1831CD69" w14:textId="77777777" w:rsidR="00000000" w:rsidRDefault="00A173A8">
            <w:pPr>
              <w:spacing w:after="100"/>
              <w:rPr>
                <w:rFonts w:eastAsia="Times New Roman"/>
                <w:sz w:val="20"/>
                <w:szCs w:val="20"/>
              </w:rPr>
            </w:pPr>
          </w:p>
        </w:tc>
        <w:tc>
          <w:tcPr>
            <w:tcW w:w="5" w:type="pct"/>
            <w:vAlign w:val="center"/>
            <w:hideMark/>
          </w:tcPr>
          <w:p w14:paraId="49A1FA01" w14:textId="77777777" w:rsidR="00000000" w:rsidRDefault="00A173A8">
            <w:pPr>
              <w:spacing w:after="100"/>
              <w:rPr>
                <w:rFonts w:eastAsia="Times New Roman"/>
                <w:sz w:val="20"/>
                <w:szCs w:val="20"/>
              </w:rPr>
            </w:pPr>
          </w:p>
        </w:tc>
        <w:tc>
          <w:tcPr>
            <w:tcW w:w="50" w:type="pct"/>
            <w:vAlign w:val="center"/>
            <w:hideMark/>
          </w:tcPr>
          <w:p w14:paraId="6600CF6E" w14:textId="77777777" w:rsidR="00000000" w:rsidRDefault="00A173A8">
            <w:pPr>
              <w:spacing w:after="100"/>
              <w:rPr>
                <w:rFonts w:eastAsia="Times New Roman"/>
                <w:sz w:val="20"/>
                <w:szCs w:val="20"/>
              </w:rPr>
            </w:pPr>
          </w:p>
        </w:tc>
        <w:tc>
          <w:tcPr>
            <w:tcW w:w="347" w:type="pct"/>
            <w:vAlign w:val="center"/>
            <w:hideMark/>
          </w:tcPr>
          <w:p w14:paraId="48228B59" w14:textId="77777777" w:rsidR="00000000" w:rsidRDefault="00A173A8">
            <w:pPr>
              <w:spacing w:after="100"/>
              <w:rPr>
                <w:rFonts w:eastAsia="Times New Roman"/>
                <w:sz w:val="20"/>
                <w:szCs w:val="20"/>
              </w:rPr>
            </w:pPr>
          </w:p>
        </w:tc>
        <w:tc>
          <w:tcPr>
            <w:tcW w:w="5" w:type="pct"/>
            <w:vAlign w:val="center"/>
            <w:hideMark/>
          </w:tcPr>
          <w:p w14:paraId="7048ADBF" w14:textId="77777777" w:rsidR="00000000" w:rsidRDefault="00A173A8">
            <w:pPr>
              <w:spacing w:after="100"/>
              <w:rPr>
                <w:rFonts w:eastAsia="Times New Roman"/>
                <w:sz w:val="20"/>
                <w:szCs w:val="20"/>
              </w:rPr>
            </w:pPr>
          </w:p>
        </w:tc>
      </w:tr>
      <w:tr w:rsidR="00000000" w14:paraId="10E7C9BA" w14:textId="77777777">
        <w:trPr>
          <w:divId w:val="727919038"/>
        </w:trPr>
        <w:tc>
          <w:tcPr>
            <w:tcW w:w="0" w:type="auto"/>
            <w:gridSpan w:val="3"/>
            <w:tcMar>
              <w:top w:w="0" w:type="dxa"/>
              <w:left w:w="20" w:type="dxa"/>
              <w:bottom w:w="0" w:type="dxa"/>
              <w:right w:w="20" w:type="dxa"/>
            </w:tcMar>
            <w:vAlign w:val="center"/>
            <w:hideMark/>
          </w:tcPr>
          <w:p w14:paraId="06D3B69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0FF37B"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15FC7381" w14:textId="77777777" w:rsidR="00000000" w:rsidRDefault="00A173A8">
            <w:pPr>
              <w:spacing w:after="100"/>
              <w:jc w:val="center"/>
              <w:rPr>
                <w:rFonts w:eastAsia="Times New Roman"/>
              </w:rPr>
            </w:pPr>
            <w:r>
              <w:rPr>
                <w:rFonts w:eastAsia="Times New Roman"/>
                <w:b/>
                <w:bCs/>
                <w:color w:val="000000"/>
                <w:sz w:val="16"/>
                <w:szCs w:val="16"/>
              </w:rPr>
              <w:t>June 30, 2022</w:t>
            </w:r>
          </w:p>
        </w:tc>
      </w:tr>
      <w:tr w:rsidR="00000000" w14:paraId="02267E05" w14:textId="77777777">
        <w:trPr>
          <w:divId w:val="727919038"/>
          <w:trHeight w:val="240"/>
        </w:trPr>
        <w:tc>
          <w:tcPr>
            <w:tcW w:w="0" w:type="auto"/>
            <w:gridSpan w:val="3"/>
            <w:tcMar>
              <w:top w:w="0" w:type="dxa"/>
              <w:left w:w="20" w:type="dxa"/>
              <w:bottom w:w="0" w:type="dxa"/>
              <w:right w:w="20" w:type="dxa"/>
            </w:tcMar>
            <w:vAlign w:val="center"/>
            <w:hideMark/>
          </w:tcPr>
          <w:p w14:paraId="27328EFB"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9A405AE" w14:textId="77777777" w:rsidR="00000000" w:rsidRDefault="00A173A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047ABD88" w14:textId="77777777" w:rsidR="00000000" w:rsidRDefault="00A173A8">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14:paraId="73C5AB4C" w14:textId="77777777" w:rsidR="00000000" w:rsidRDefault="00A173A8">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14978DA" w14:textId="77777777" w:rsidR="00000000" w:rsidRDefault="00A173A8">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AADE895"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CC08E78" w14:textId="77777777" w:rsidR="00000000" w:rsidRDefault="00A173A8">
            <w:pPr>
              <w:spacing w:after="100"/>
              <w:rPr>
                <w:rFonts w:eastAsia="Times New Roman"/>
                <w:sz w:val="20"/>
                <w:szCs w:val="20"/>
              </w:rPr>
            </w:pPr>
          </w:p>
        </w:tc>
      </w:tr>
      <w:tr w:rsidR="00000000" w14:paraId="2F88837E" w14:textId="77777777">
        <w:trPr>
          <w:divId w:val="727919038"/>
          <w:trHeight w:val="240"/>
        </w:trPr>
        <w:tc>
          <w:tcPr>
            <w:tcW w:w="0" w:type="auto"/>
            <w:gridSpan w:val="3"/>
            <w:tcMar>
              <w:top w:w="30" w:type="dxa"/>
              <w:left w:w="20" w:type="dxa"/>
              <w:bottom w:w="30" w:type="dxa"/>
              <w:right w:w="20" w:type="dxa"/>
            </w:tcMar>
            <w:vAlign w:val="bottom"/>
            <w:hideMark/>
          </w:tcPr>
          <w:p w14:paraId="19BD3300"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A5A4ECA"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8D3FF3" w14:textId="77777777" w:rsidR="00000000" w:rsidRDefault="00A173A8">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56DB1954"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67935E" w14:textId="77777777" w:rsidR="00000000" w:rsidRDefault="00A173A8">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568D4D8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E4C9E2" w14:textId="77777777" w:rsidR="00000000" w:rsidRDefault="00A173A8">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3521844C" w14:textId="77777777" w:rsidR="00000000" w:rsidRDefault="00A173A8">
            <w:pPr>
              <w:spacing w:after="100"/>
              <w:jc w:val="center"/>
              <w:rPr>
                <w:rFonts w:eastAsia="Times New Roman"/>
              </w:rPr>
            </w:pPr>
          </w:p>
        </w:tc>
        <w:tc>
          <w:tcPr>
            <w:tcW w:w="0" w:type="auto"/>
            <w:gridSpan w:val="3"/>
            <w:vMerge/>
            <w:tcBorders>
              <w:top w:val="single" w:sz="8" w:space="0" w:color="000000"/>
            </w:tcBorders>
            <w:vAlign w:val="center"/>
            <w:hideMark/>
          </w:tcPr>
          <w:p w14:paraId="61DD1CFE"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7AAE1DC0"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4B85B05"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675F2D2A" w14:textId="77777777">
        <w:trPr>
          <w:divId w:val="72791903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32946DA" w14:textId="77777777" w:rsidR="00000000" w:rsidRDefault="00A173A8">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018FD704"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38625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2050D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C9E27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00C23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27CEE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38AD8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6731A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E879F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9B7EE1" w14:textId="77777777" w:rsidR="00000000" w:rsidRDefault="00A173A8">
            <w:pPr>
              <w:spacing w:after="100"/>
              <w:rPr>
                <w:rFonts w:eastAsia="Times New Roman"/>
                <w:sz w:val="20"/>
                <w:szCs w:val="20"/>
              </w:rPr>
            </w:pPr>
          </w:p>
        </w:tc>
      </w:tr>
      <w:tr w:rsidR="00000000" w14:paraId="772ABBEA" w14:textId="77777777">
        <w:trPr>
          <w:divId w:val="727919038"/>
        </w:trPr>
        <w:tc>
          <w:tcPr>
            <w:tcW w:w="0" w:type="auto"/>
            <w:gridSpan w:val="3"/>
            <w:shd w:val="clear" w:color="auto" w:fill="FFFFFF"/>
            <w:tcMar>
              <w:top w:w="30" w:type="dxa"/>
              <w:left w:w="20" w:type="dxa"/>
              <w:bottom w:w="30" w:type="dxa"/>
              <w:right w:w="20" w:type="dxa"/>
            </w:tcMar>
            <w:vAlign w:val="center"/>
            <w:hideMark/>
          </w:tcPr>
          <w:p w14:paraId="4954A3A3" w14:textId="77777777" w:rsidR="00000000" w:rsidRDefault="00A173A8">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14:paraId="4F1675F6"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B83EB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4B2FA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70CBF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4DFE4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20B61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F5A6E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11E2D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38E91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51EE2C" w14:textId="77777777" w:rsidR="00000000" w:rsidRDefault="00A173A8">
            <w:pPr>
              <w:spacing w:after="100"/>
              <w:rPr>
                <w:rFonts w:eastAsia="Times New Roman"/>
                <w:sz w:val="20"/>
                <w:szCs w:val="20"/>
              </w:rPr>
            </w:pPr>
          </w:p>
        </w:tc>
      </w:tr>
      <w:tr w:rsidR="00000000" w14:paraId="578CC02A" w14:textId="77777777">
        <w:trPr>
          <w:divId w:val="727919038"/>
        </w:trPr>
        <w:tc>
          <w:tcPr>
            <w:tcW w:w="0" w:type="auto"/>
            <w:gridSpan w:val="3"/>
            <w:shd w:val="clear" w:color="auto" w:fill="CCEEFF"/>
            <w:tcMar>
              <w:top w:w="30" w:type="dxa"/>
              <w:left w:w="245" w:type="dxa"/>
              <w:bottom w:w="30" w:type="dxa"/>
              <w:right w:w="20" w:type="dxa"/>
            </w:tcMar>
            <w:vAlign w:val="center"/>
            <w:hideMark/>
          </w:tcPr>
          <w:p w14:paraId="3D77E71C" w14:textId="77777777" w:rsidR="00000000" w:rsidRDefault="00A173A8">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14:paraId="3BE9F49D"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195A03E7"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D5478BB" w14:textId="77777777" w:rsidR="00000000" w:rsidRDefault="00A173A8">
            <w:pPr>
              <w:spacing w:after="100"/>
              <w:jc w:val="right"/>
              <w:rPr>
                <w:rFonts w:eastAsia="Times New Roman"/>
              </w:rPr>
            </w:pPr>
            <w:r>
              <w:rPr>
                <w:rFonts w:eastAsia="Times New Roman"/>
                <w:b/>
                <w:bCs/>
                <w:color w:val="000000"/>
                <w:sz w:val="18"/>
                <w:szCs w:val="18"/>
              </w:rPr>
              <w:t>8,624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A8602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E4158"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09D79C7"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455929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1E5D71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7A6427"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761063C"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5038EC0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2C2FC1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4EDA3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178A70"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326C5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C3EA6"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67C2420"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382A47B" w14:textId="77777777" w:rsidR="00000000" w:rsidRDefault="00A173A8">
            <w:pPr>
              <w:spacing w:after="100"/>
              <w:jc w:val="right"/>
              <w:rPr>
                <w:rFonts w:eastAsia="Times New Roman"/>
              </w:rPr>
            </w:pPr>
            <w:r>
              <w:rPr>
                <w:rFonts w:eastAsia="Times New Roman"/>
                <w:b/>
                <w:bCs/>
                <w:color w:val="000000"/>
                <w:sz w:val="18"/>
                <w:szCs w:val="18"/>
              </w:rPr>
              <w:t>8,624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5ECC6A0" w14:textId="77777777" w:rsidR="00000000" w:rsidRDefault="00A173A8">
            <w:pPr>
              <w:spacing w:after="100"/>
              <w:jc w:val="right"/>
              <w:rPr>
                <w:rFonts w:eastAsia="Times New Roman"/>
              </w:rPr>
            </w:pPr>
          </w:p>
        </w:tc>
      </w:tr>
      <w:tr w:rsidR="00000000" w14:paraId="3AD50966" w14:textId="77777777">
        <w:trPr>
          <w:divId w:val="727919038"/>
        </w:trPr>
        <w:tc>
          <w:tcPr>
            <w:tcW w:w="0" w:type="auto"/>
            <w:gridSpan w:val="3"/>
            <w:shd w:val="clear" w:color="auto" w:fill="FFFFFF"/>
            <w:tcMar>
              <w:top w:w="30" w:type="dxa"/>
              <w:left w:w="245" w:type="dxa"/>
              <w:bottom w:w="30" w:type="dxa"/>
              <w:right w:w="20" w:type="dxa"/>
            </w:tcMar>
            <w:vAlign w:val="center"/>
            <w:hideMark/>
          </w:tcPr>
          <w:p w14:paraId="4DB4F581"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323B456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6E3788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94D97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68A4E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8BA5D0" w14:textId="77777777" w:rsidR="00000000" w:rsidRDefault="00A173A8">
            <w:pPr>
              <w:spacing w:after="100"/>
              <w:jc w:val="right"/>
              <w:rPr>
                <w:rFonts w:eastAsia="Times New Roman"/>
              </w:rPr>
            </w:pPr>
            <w:r>
              <w:rPr>
                <w:rFonts w:eastAsia="Times New Roman"/>
                <w:b/>
                <w:bCs/>
                <w:color w:val="000000"/>
                <w:sz w:val="18"/>
                <w:szCs w:val="18"/>
              </w:rPr>
              <w:t>65,287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964D9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EF716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8DE2759" w14:textId="77777777" w:rsidR="00000000" w:rsidRDefault="00A173A8">
            <w:pPr>
              <w:spacing w:after="100"/>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D98849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4112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B25C09"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68183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9D169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778435" w14:textId="77777777" w:rsidR="00000000" w:rsidRDefault="00A173A8">
            <w:pPr>
              <w:spacing w:after="100"/>
              <w:jc w:val="right"/>
              <w:rPr>
                <w:rFonts w:eastAsia="Times New Roman"/>
              </w:rPr>
            </w:pPr>
            <w:r>
              <w:rPr>
                <w:rFonts w:eastAsia="Times New Roman"/>
                <w:b/>
                <w:bCs/>
                <w:color w:val="000000"/>
                <w:sz w:val="18"/>
                <w:szCs w:val="18"/>
              </w:rPr>
              <w:t>65,527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E179C54" w14:textId="77777777" w:rsidR="00000000" w:rsidRDefault="00A173A8">
            <w:pPr>
              <w:spacing w:after="100"/>
              <w:jc w:val="right"/>
              <w:rPr>
                <w:rFonts w:eastAsia="Times New Roman"/>
              </w:rPr>
            </w:pPr>
          </w:p>
        </w:tc>
      </w:tr>
      <w:tr w:rsidR="00000000" w14:paraId="747E3299" w14:textId="77777777">
        <w:trPr>
          <w:divId w:val="727919038"/>
        </w:trPr>
        <w:tc>
          <w:tcPr>
            <w:tcW w:w="0" w:type="auto"/>
            <w:gridSpan w:val="3"/>
            <w:shd w:val="clear" w:color="auto" w:fill="CCEEFF"/>
            <w:tcMar>
              <w:top w:w="30" w:type="dxa"/>
              <w:left w:w="245" w:type="dxa"/>
              <w:bottom w:w="30" w:type="dxa"/>
              <w:right w:w="20" w:type="dxa"/>
            </w:tcMar>
            <w:vAlign w:val="center"/>
            <w:hideMark/>
          </w:tcPr>
          <w:p w14:paraId="19D66174" w14:textId="77777777" w:rsidR="00000000" w:rsidRDefault="00A173A8">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506558F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139E1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A439A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3E9E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71D60E" w14:textId="77777777" w:rsidR="00000000" w:rsidRDefault="00A173A8">
            <w:pPr>
              <w:spacing w:after="100"/>
              <w:jc w:val="right"/>
              <w:rPr>
                <w:rFonts w:eastAsia="Times New Roman"/>
              </w:rPr>
            </w:pPr>
            <w:r>
              <w:rPr>
                <w:rFonts w:eastAsia="Times New Roman"/>
                <w:b/>
                <w:bCs/>
                <w:color w:val="000000"/>
                <w:sz w:val="18"/>
                <w:szCs w:val="18"/>
              </w:rPr>
              <w:t>7,561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32DB05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246C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FF320D5" w14:textId="77777777" w:rsidR="00000000" w:rsidRDefault="00A173A8">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D3F6D9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5C7C8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21D08F"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44ADA6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9CD8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3E96A5" w14:textId="77777777" w:rsidR="00000000" w:rsidRDefault="00A173A8">
            <w:pPr>
              <w:spacing w:after="100"/>
              <w:jc w:val="right"/>
              <w:rPr>
                <w:rFonts w:eastAsia="Times New Roman"/>
              </w:rPr>
            </w:pPr>
            <w:r>
              <w:rPr>
                <w:rFonts w:eastAsia="Times New Roman"/>
                <w:b/>
                <w:bCs/>
                <w:color w:val="000000"/>
                <w:sz w:val="18"/>
                <w:szCs w:val="18"/>
              </w:rPr>
              <w:t>7,574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B2639A5" w14:textId="77777777" w:rsidR="00000000" w:rsidRDefault="00A173A8">
            <w:pPr>
              <w:spacing w:after="100"/>
              <w:jc w:val="right"/>
              <w:rPr>
                <w:rFonts w:eastAsia="Times New Roman"/>
              </w:rPr>
            </w:pPr>
          </w:p>
        </w:tc>
      </w:tr>
      <w:tr w:rsidR="00000000" w14:paraId="147A68BD" w14:textId="77777777">
        <w:trPr>
          <w:divId w:val="727919038"/>
        </w:trPr>
        <w:tc>
          <w:tcPr>
            <w:tcW w:w="0" w:type="auto"/>
            <w:gridSpan w:val="3"/>
            <w:shd w:val="clear" w:color="auto" w:fill="FFFFFF"/>
            <w:tcMar>
              <w:top w:w="30" w:type="dxa"/>
              <w:left w:w="245" w:type="dxa"/>
              <w:bottom w:w="30" w:type="dxa"/>
              <w:right w:w="20" w:type="dxa"/>
            </w:tcMar>
            <w:vAlign w:val="center"/>
            <w:hideMark/>
          </w:tcPr>
          <w:p w14:paraId="2868189C" w14:textId="77777777" w:rsidR="00000000" w:rsidRDefault="00A173A8">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14:paraId="3C84EA6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221EB3A" w14:textId="77777777" w:rsidR="00000000" w:rsidRDefault="00A173A8">
            <w:pPr>
              <w:spacing w:after="100"/>
              <w:jc w:val="right"/>
              <w:rPr>
                <w:rFonts w:eastAsia="Times New Roman"/>
              </w:rPr>
            </w:pPr>
            <w:r>
              <w:rPr>
                <w:rFonts w:eastAsia="Times New Roman"/>
                <w:b/>
                <w:bCs/>
                <w:color w:val="000000"/>
                <w:sz w:val="18"/>
                <w:szCs w:val="18"/>
              </w:rPr>
              <w:t>191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A4A008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37A4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7624CC" w14:textId="77777777" w:rsidR="00000000" w:rsidRDefault="00A173A8">
            <w:pPr>
              <w:spacing w:after="100"/>
              <w:jc w:val="right"/>
              <w:rPr>
                <w:rFonts w:eastAsia="Times New Roman"/>
              </w:rPr>
            </w:pPr>
            <w:r>
              <w:rPr>
                <w:rFonts w:eastAsia="Times New Roman"/>
                <w:b/>
                <w:bCs/>
                <w:color w:val="000000"/>
                <w:sz w:val="18"/>
                <w:szCs w:val="18"/>
              </w:rPr>
              <w:t>1,106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36E726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7165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918B7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F9FDE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D434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7B8EE7"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1261B0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77D5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C02316" w14:textId="77777777" w:rsidR="00000000" w:rsidRDefault="00A173A8">
            <w:pPr>
              <w:spacing w:after="100"/>
              <w:jc w:val="right"/>
              <w:rPr>
                <w:rFonts w:eastAsia="Times New Roman"/>
              </w:rPr>
            </w:pPr>
            <w:r>
              <w:rPr>
                <w:rFonts w:eastAsia="Times New Roman"/>
                <w:b/>
                <w:bCs/>
                <w:color w:val="000000"/>
                <w:sz w:val="18"/>
                <w:szCs w:val="18"/>
              </w:rPr>
              <w:t>1,297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0ECA7A" w14:textId="77777777" w:rsidR="00000000" w:rsidRDefault="00A173A8">
            <w:pPr>
              <w:spacing w:after="100"/>
              <w:jc w:val="right"/>
              <w:rPr>
                <w:rFonts w:eastAsia="Times New Roman"/>
              </w:rPr>
            </w:pPr>
          </w:p>
        </w:tc>
      </w:tr>
      <w:tr w:rsidR="00000000" w14:paraId="7E21B924" w14:textId="77777777">
        <w:trPr>
          <w:divId w:val="727919038"/>
        </w:trPr>
        <w:tc>
          <w:tcPr>
            <w:tcW w:w="0" w:type="auto"/>
            <w:gridSpan w:val="3"/>
            <w:shd w:val="clear" w:color="auto" w:fill="CCEEFF"/>
            <w:tcMar>
              <w:top w:w="30" w:type="dxa"/>
              <w:left w:w="20" w:type="dxa"/>
              <w:bottom w:w="30" w:type="dxa"/>
              <w:right w:w="20" w:type="dxa"/>
            </w:tcMar>
            <w:vAlign w:val="center"/>
            <w:hideMark/>
          </w:tcPr>
          <w:p w14:paraId="3710D9E7" w14:textId="77777777" w:rsidR="00000000" w:rsidRDefault="00A173A8">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14:paraId="1C843216"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6822E31" w14:textId="77777777" w:rsidR="00000000" w:rsidRDefault="00A173A8">
            <w:pPr>
              <w:spacing w:after="100"/>
              <w:jc w:val="right"/>
              <w:rPr>
                <w:rFonts w:eastAsia="Times New Roman"/>
              </w:rPr>
            </w:pPr>
            <w:r>
              <w:rPr>
                <w:rFonts w:eastAsia="Times New Roman"/>
                <w:b/>
                <w:bCs/>
                <w:color w:val="000000"/>
                <w:sz w:val="18"/>
                <w:szCs w:val="18"/>
              </w:rPr>
              <w:t>8,815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32CA1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0C33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4CD87B9" w14:textId="77777777" w:rsidR="00000000" w:rsidRDefault="00A173A8">
            <w:pPr>
              <w:spacing w:after="100"/>
              <w:jc w:val="right"/>
              <w:rPr>
                <w:rFonts w:eastAsia="Times New Roman"/>
              </w:rPr>
            </w:pPr>
            <w:r>
              <w:rPr>
                <w:rFonts w:eastAsia="Times New Roman"/>
                <w:b/>
                <w:bCs/>
                <w:color w:val="000000"/>
                <w:sz w:val="18"/>
                <w:szCs w:val="18"/>
              </w:rPr>
              <w:t>73,954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DC71E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0AF03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5ADDEB3" w14:textId="77777777" w:rsidR="00000000" w:rsidRDefault="00A173A8">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A452A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8A62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18B2638" w14:textId="77777777" w:rsidR="00000000" w:rsidRDefault="00A173A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2461C7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DFCA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193930E" w14:textId="77777777" w:rsidR="00000000" w:rsidRDefault="00A173A8">
            <w:pPr>
              <w:spacing w:after="100"/>
              <w:jc w:val="right"/>
              <w:rPr>
                <w:rFonts w:eastAsia="Times New Roman"/>
              </w:rPr>
            </w:pPr>
            <w:r>
              <w:rPr>
                <w:rFonts w:eastAsia="Times New Roman"/>
                <w:b/>
                <w:bCs/>
                <w:color w:val="000000"/>
                <w:sz w:val="18"/>
                <w:szCs w:val="18"/>
              </w:rPr>
              <w:t>83,022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57D2C85" w14:textId="77777777" w:rsidR="00000000" w:rsidRDefault="00A173A8">
            <w:pPr>
              <w:spacing w:after="100"/>
              <w:jc w:val="right"/>
              <w:rPr>
                <w:rFonts w:eastAsia="Times New Roman"/>
              </w:rPr>
            </w:pPr>
          </w:p>
        </w:tc>
      </w:tr>
      <w:tr w:rsidR="00000000" w14:paraId="6A1E572F" w14:textId="77777777">
        <w:trPr>
          <w:divId w:val="727919038"/>
        </w:trPr>
        <w:tc>
          <w:tcPr>
            <w:tcW w:w="0" w:type="auto"/>
            <w:gridSpan w:val="3"/>
            <w:shd w:val="clear" w:color="auto" w:fill="FFFFFF"/>
            <w:tcMar>
              <w:top w:w="30" w:type="dxa"/>
              <w:left w:w="20" w:type="dxa"/>
              <w:bottom w:w="30" w:type="dxa"/>
              <w:right w:w="20" w:type="dxa"/>
            </w:tcMar>
            <w:vAlign w:val="center"/>
            <w:hideMark/>
          </w:tcPr>
          <w:p w14:paraId="6EC882B7" w14:textId="77777777" w:rsidR="00000000" w:rsidRDefault="00A173A8">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1D4B869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57810A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A2475F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D884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F1CA94" w14:textId="77777777" w:rsidR="00000000" w:rsidRDefault="00A173A8">
            <w:pPr>
              <w:spacing w:after="100"/>
              <w:jc w:val="right"/>
              <w:rPr>
                <w:rFonts w:eastAsia="Times New Roman"/>
              </w:rPr>
            </w:pPr>
            <w:r>
              <w:rPr>
                <w:rFonts w:eastAsia="Times New Roman"/>
                <w:b/>
                <w:bCs/>
                <w:color w:val="000000"/>
                <w:sz w:val="18"/>
                <w:szCs w:val="18"/>
              </w:rPr>
              <w:t>767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CF5983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D209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390E7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1EBABA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247AF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8E0BAD"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F62E3A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C48EF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2AD0833" w14:textId="77777777" w:rsidR="00000000" w:rsidRDefault="00A173A8">
            <w:pPr>
              <w:spacing w:after="100"/>
              <w:jc w:val="right"/>
              <w:rPr>
                <w:rFonts w:eastAsia="Times New Roman"/>
              </w:rPr>
            </w:pPr>
            <w:r>
              <w:rPr>
                <w:rFonts w:eastAsia="Times New Roman"/>
                <w:b/>
                <w:bCs/>
                <w:color w:val="000000"/>
                <w:sz w:val="18"/>
                <w:szCs w:val="18"/>
              </w:rPr>
              <w:t>767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3205308" w14:textId="77777777" w:rsidR="00000000" w:rsidRDefault="00A173A8">
            <w:pPr>
              <w:spacing w:after="100"/>
              <w:jc w:val="right"/>
              <w:rPr>
                <w:rFonts w:eastAsia="Times New Roman"/>
              </w:rPr>
            </w:pPr>
          </w:p>
        </w:tc>
      </w:tr>
      <w:tr w:rsidR="00000000" w14:paraId="3BC46863" w14:textId="77777777">
        <w:trPr>
          <w:divId w:val="727919038"/>
        </w:trPr>
        <w:tc>
          <w:tcPr>
            <w:tcW w:w="0" w:type="auto"/>
            <w:gridSpan w:val="3"/>
            <w:shd w:val="clear" w:color="auto" w:fill="CCEEFF"/>
            <w:tcMar>
              <w:top w:w="30" w:type="dxa"/>
              <w:left w:w="20" w:type="dxa"/>
              <w:bottom w:w="30" w:type="dxa"/>
              <w:right w:w="20" w:type="dxa"/>
            </w:tcMar>
            <w:vAlign w:val="center"/>
            <w:hideMark/>
          </w:tcPr>
          <w:p w14:paraId="29039AE4" w14:textId="77777777" w:rsidR="00000000" w:rsidRDefault="00A173A8">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0A59D720"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EA63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5C542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15BF9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634EF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D8DDB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BE0DE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28CDC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6C451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A30A06" w14:textId="77777777" w:rsidR="00000000" w:rsidRDefault="00A173A8">
            <w:pPr>
              <w:spacing w:after="100"/>
              <w:rPr>
                <w:rFonts w:eastAsia="Times New Roman"/>
                <w:sz w:val="20"/>
                <w:szCs w:val="20"/>
              </w:rPr>
            </w:pPr>
          </w:p>
        </w:tc>
      </w:tr>
      <w:tr w:rsidR="00000000" w14:paraId="7F2E924F" w14:textId="77777777">
        <w:trPr>
          <w:divId w:val="727919038"/>
        </w:trPr>
        <w:tc>
          <w:tcPr>
            <w:tcW w:w="0" w:type="auto"/>
            <w:gridSpan w:val="3"/>
            <w:shd w:val="clear" w:color="auto" w:fill="FFFFFF"/>
            <w:tcMar>
              <w:top w:w="30" w:type="dxa"/>
              <w:left w:w="20" w:type="dxa"/>
              <w:bottom w:w="30" w:type="dxa"/>
              <w:right w:w="20" w:type="dxa"/>
            </w:tcMar>
            <w:vAlign w:val="center"/>
            <w:hideMark/>
          </w:tcPr>
          <w:p w14:paraId="78E5807E" w14:textId="77777777" w:rsidR="00000000" w:rsidRDefault="00A173A8">
            <w:pPr>
              <w:spacing w:after="100"/>
              <w:divId w:val="1030185240"/>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77F5C8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C0CAF16" w14:textId="77777777" w:rsidR="00000000" w:rsidRDefault="00A173A8">
            <w:pPr>
              <w:spacing w:after="100"/>
              <w:jc w:val="right"/>
              <w:rPr>
                <w:rFonts w:eastAsia="Times New Roman"/>
              </w:rPr>
            </w:pPr>
            <w:r>
              <w:rPr>
                <w:rFonts w:eastAsia="Times New Roman"/>
                <w:b/>
                <w:bCs/>
                <w:color w:val="000000"/>
                <w:sz w:val="18"/>
                <w:szCs w:val="18"/>
              </w:rPr>
              <w:t>792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DA599E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D6A7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EBA1844" w14:textId="77777777" w:rsidR="00000000" w:rsidRDefault="00A173A8">
            <w:pPr>
              <w:spacing w:after="100"/>
              <w:jc w:val="right"/>
              <w:rPr>
                <w:rFonts w:eastAsia="Times New Roman"/>
              </w:rPr>
            </w:pPr>
            <w:r>
              <w:rPr>
                <w:rFonts w:eastAsia="Times New Roman"/>
                <w:b/>
                <w:bCs/>
                <w:color w:val="000000"/>
                <w:sz w:val="18"/>
                <w:szCs w:val="18"/>
              </w:rPr>
              <w:t>3,577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441DC0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A2743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508DD6" w14:textId="77777777" w:rsidR="00000000" w:rsidRDefault="00A173A8">
            <w:pPr>
              <w:spacing w:after="100"/>
              <w:jc w:val="right"/>
              <w:rPr>
                <w:rFonts w:eastAsia="Times New Roman"/>
              </w:rPr>
            </w:pPr>
            <w:r>
              <w:rPr>
                <w:rFonts w:eastAsia="Times New Roman"/>
                <w:b/>
                <w:bCs/>
                <w:color w:val="000000"/>
                <w:sz w:val="18"/>
                <w:szCs w:val="18"/>
              </w:rPr>
              <w:t>131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95E25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C818A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665FFE0"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2162C55" w14:textId="77777777" w:rsidR="00000000" w:rsidRDefault="00A173A8">
            <w:pPr>
              <w:spacing w:after="100"/>
              <w:jc w:val="right"/>
              <w:rPr>
                <w:rFonts w:eastAsia="Times New Roman"/>
              </w:rPr>
            </w:pPr>
            <w:r>
              <w:rPr>
                <w:rFonts w:eastAsia="Times New Roman"/>
                <w:b/>
                <w:bCs/>
                <w:color w:val="000000"/>
                <w:sz w:val="18"/>
                <w:szCs w:val="18"/>
              </w:rPr>
              <w:t>(1,067)</w:t>
            </w:r>
          </w:p>
        </w:tc>
        <w:tc>
          <w:tcPr>
            <w:tcW w:w="0" w:type="auto"/>
            <w:shd w:val="clear" w:color="auto" w:fill="FFFFFF"/>
            <w:tcMar>
              <w:top w:w="30" w:type="dxa"/>
              <w:left w:w="0" w:type="dxa"/>
              <w:bottom w:w="30" w:type="dxa"/>
              <w:right w:w="20" w:type="dxa"/>
            </w:tcMar>
            <w:vAlign w:val="center"/>
            <w:hideMark/>
          </w:tcPr>
          <w:p w14:paraId="57AFB1A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F991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4E16C30" w14:textId="77777777" w:rsidR="00000000" w:rsidRDefault="00A173A8">
            <w:pPr>
              <w:spacing w:after="100"/>
              <w:jc w:val="right"/>
              <w:rPr>
                <w:rFonts w:eastAsia="Times New Roman"/>
              </w:rPr>
            </w:pPr>
            <w:r>
              <w:rPr>
                <w:rFonts w:eastAsia="Times New Roman"/>
                <w:b/>
                <w:bCs/>
                <w:color w:val="000000"/>
                <w:sz w:val="18"/>
                <w:szCs w:val="18"/>
              </w:rPr>
              <w:t>3,433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7003CF0" w14:textId="77777777" w:rsidR="00000000" w:rsidRDefault="00A173A8">
            <w:pPr>
              <w:spacing w:after="100"/>
              <w:jc w:val="right"/>
              <w:rPr>
                <w:rFonts w:eastAsia="Times New Roman"/>
              </w:rPr>
            </w:pPr>
          </w:p>
        </w:tc>
      </w:tr>
      <w:tr w:rsidR="00000000" w14:paraId="28D9C0B3" w14:textId="77777777">
        <w:trPr>
          <w:divId w:val="727919038"/>
        </w:trPr>
        <w:tc>
          <w:tcPr>
            <w:tcW w:w="0" w:type="auto"/>
            <w:gridSpan w:val="3"/>
            <w:shd w:val="clear" w:color="auto" w:fill="CCEEFF"/>
            <w:tcMar>
              <w:top w:w="30" w:type="dxa"/>
              <w:left w:w="20" w:type="dxa"/>
              <w:bottom w:w="30" w:type="dxa"/>
              <w:right w:w="20" w:type="dxa"/>
            </w:tcMar>
            <w:vAlign w:val="center"/>
            <w:hideMark/>
          </w:tcPr>
          <w:p w14:paraId="38AFD9B6" w14:textId="77777777" w:rsidR="00000000" w:rsidRDefault="00A173A8">
            <w:pPr>
              <w:spacing w:after="100"/>
              <w:divId w:val="112675000"/>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D3FDC14"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5EAD79D" w14:textId="77777777" w:rsidR="00000000" w:rsidRDefault="00A173A8">
            <w:pPr>
              <w:spacing w:after="100"/>
              <w:jc w:val="right"/>
              <w:rPr>
                <w:rFonts w:eastAsia="Times New Roman"/>
              </w:rPr>
            </w:pPr>
            <w:r>
              <w:rPr>
                <w:rFonts w:eastAsia="Times New Roman"/>
                <w:b/>
                <w:bCs/>
                <w:color w:val="000000"/>
                <w:sz w:val="18"/>
                <w:szCs w:val="18"/>
              </w:rPr>
              <w:t>441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D5E6E8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3691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A28F35" w14:textId="77777777" w:rsidR="00000000" w:rsidRDefault="00A173A8">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85CE2E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78D0E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BF29E08" w14:textId="77777777" w:rsidR="00000000" w:rsidRDefault="00A173A8">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5A585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043A7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43E448"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A99A46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45D69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9475040" w14:textId="77777777" w:rsidR="00000000" w:rsidRDefault="00A173A8">
            <w:pPr>
              <w:spacing w:after="100"/>
              <w:jc w:val="right"/>
              <w:rPr>
                <w:rFonts w:eastAsia="Times New Roman"/>
              </w:rPr>
            </w:pPr>
            <w:r>
              <w:rPr>
                <w:rFonts w:eastAsia="Times New Roman"/>
                <w:b/>
                <w:bCs/>
                <w:color w:val="000000"/>
                <w:sz w:val="18"/>
                <w:szCs w:val="18"/>
              </w:rPr>
              <w:t>481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FDE93D2" w14:textId="77777777" w:rsidR="00000000" w:rsidRDefault="00A173A8">
            <w:pPr>
              <w:spacing w:after="100"/>
              <w:jc w:val="right"/>
              <w:rPr>
                <w:rFonts w:eastAsia="Times New Roman"/>
              </w:rPr>
            </w:pPr>
          </w:p>
        </w:tc>
      </w:tr>
      <w:tr w:rsidR="00000000" w14:paraId="1116AA86" w14:textId="77777777">
        <w:trPr>
          <w:divId w:val="727919038"/>
        </w:trPr>
        <w:tc>
          <w:tcPr>
            <w:tcW w:w="0" w:type="auto"/>
            <w:gridSpan w:val="3"/>
            <w:shd w:val="clear" w:color="auto" w:fill="FFFFFF"/>
            <w:tcMar>
              <w:top w:w="30" w:type="dxa"/>
              <w:left w:w="20" w:type="dxa"/>
              <w:bottom w:w="30" w:type="dxa"/>
              <w:right w:w="20" w:type="dxa"/>
            </w:tcMar>
            <w:vAlign w:val="center"/>
            <w:hideMark/>
          </w:tcPr>
          <w:p w14:paraId="44C24B99" w14:textId="77777777" w:rsidR="00000000" w:rsidRDefault="00A173A8">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6CDB0BBD"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A5E45B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DA5B1FB" w14:textId="77777777" w:rsidR="00000000" w:rsidRDefault="00A173A8">
            <w:pPr>
              <w:spacing w:after="100"/>
              <w:jc w:val="right"/>
              <w:rPr>
                <w:rFonts w:eastAsia="Times New Roman"/>
              </w:rPr>
            </w:pPr>
            <w:r>
              <w:rPr>
                <w:rFonts w:eastAsia="Times New Roman"/>
                <w:b/>
                <w:bCs/>
                <w:color w:val="000000"/>
                <w:sz w:val="18"/>
                <w:szCs w:val="18"/>
              </w:rPr>
              <w:t>10,048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A9D9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1C25F6"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DE9158C"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1EC8B21" w14:textId="77777777" w:rsidR="00000000" w:rsidRDefault="00A173A8">
            <w:pPr>
              <w:spacing w:after="100"/>
              <w:jc w:val="right"/>
              <w:rPr>
                <w:rFonts w:eastAsia="Times New Roman"/>
              </w:rPr>
            </w:pPr>
            <w:r>
              <w:rPr>
                <w:rFonts w:eastAsia="Times New Roman"/>
                <w:b/>
                <w:bCs/>
                <w:color w:val="000000"/>
                <w:sz w:val="18"/>
                <w:szCs w:val="18"/>
              </w:rPr>
              <w:t>78,301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AA240B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996A26"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189FA2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54EE63C" w14:textId="77777777" w:rsidR="00000000" w:rsidRDefault="00A173A8">
            <w:pPr>
              <w:spacing w:after="100"/>
              <w:jc w:val="right"/>
              <w:rPr>
                <w:rFonts w:eastAsia="Times New Roman"/>
              </w:rPr>
            </w:pPr>
            <w:r>
              <w:rPr>
                <w:rFonts w:eastAsia="Times New Roman"/>
                <w:b/>
                <w:bCs/>
                <w:color w:val="000000"/>
                <w:sz w:val="18"/>
                <w:szCs w:val="18"/>
              </w:rPr>
              <w:t>421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EE388D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05F31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14C197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F79CF16" w14:textId="77777777" w:rsidR="00000000" w:rsidRDefault="00A173A8">
            <w:pPr>
              <w:spacing w:after="100"/>
              <w:jc w:val="right"/>
              <w:rPr>
                <w:rFonts w:eastAsia="Times New Roman"/>
              </w:rPr>
            </w:pPr>
            <w:r>
              <w:rPr>
                <w:rFonts w:eastAsia="Times New Roman"/>
                <w:b/>
                <w:bCs/>
                <w:color w:val="000000"/>
                <w:sz w:val="18"/>
                <w:szCs w:val="18"/>
              </w:rPr>
              <w:t>(1,067)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0A45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356A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8F1018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0D4EB0A" w14:textId="77777777" w:rsidR="00000000" w:rsidRDefault="00A173A8">
            <w:pPr>
              <w:spacing w:after="100"/>
              <w:jc w:val="right"/>
              <w:rPr>
                <w:rFonts w:eastAsia="Times New Roman"/>
              </w:rPr>
            </w:pPr>
            <w:r>
              <w:rPr>
                <w:rFonts w:eastAsia="Times New Roman"/>
                <w:b/>
                <w:bCs/>
                <w:color w:val="000000"/>
                <w:sz w:val="18"/>
                <w:szCs w:val="18"/>
              </w:rPr>
              <w:t>87,703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49CBA8" w14:textId="77777777" w:rsidR="00000000" w:rsidRDefault="00A173A8">
            <w:pPr>
              <w:spacing w:after="100"/>
              <w:jc w:val="right"/>
              <w:rPr>
                <w:rFonts w:eastAsia="Times New Roman"/>
              </w:rPr>
            </w:pPr>
          </w:p>
        </w:tc>
      </w:tr>
      <w:tr w:rsidR="00000000" w14:paraId="7E9E7648" w14:textId="77777777">
        <w:trPr>
          <w:divId w:val="727919038"/>
        </w:trPr>
        <w:tc>
          <w:tcPr>
            <w:tcW w:w="0" w:type="auto"/>
            <w:gridSpan w:val="3"/>
            <w:shd w:val="clear" w:color="auto" w:fill="CCEEFF"/>
            <w:tcMar>
              <w:top w:w="30" w:type="dxa"/>
              <w:left w:w="20" w:type="dxa"/>
              <w:bottom w:w="30" w:type="dxa"/>
              <w:right w:w="20" w:type="dxa"/>
            </w:tcMar>
            <w:vAlign w:val="center"/>
            <w:hideMark/>
          </w:tcPr>
          <w:p w14:paraId="2D989CE4" w14:textId="77777777" w:rsidR="00000000" w:rsidRDefault="00A173A8">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14:paraId="52C791DF"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D33F6F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958112"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B85839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1692A5"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04ACC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64B976"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A2BD10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FF3922"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3FB8B9" w14:textId="77777777" w:rsidR="00000000" w:rsidRDefault="00A173A8">
            <w:pPr>
              <w:spacing w:after="100"/>
              <w:rPr>
                <w:rFonts w:eastAsia="Times New Roman"/>
                <w:sz w:val="20"/>
                <w:szCs w:val="20"/>
              </w:rPr>
            </w:pPr>
          </w:p>
        </w:tc>
      </w:tr>
      <w:tr w:rsidR="00000000" w14:paraId="3F50AEA3" w14:textId="77777777">
        <w:trPr>
          <w:divId w:val="727919038"/>
        </w:trPr>
        <w:tc>
          <w:tcPr>
            <w:tcW w:w="0" w:type="auto"/>
            <w:gridSpan w:val="3"/>
            <w:shd w:val="clear" w:color="auto" w:fill="FFFFFF"/>
            <w:tcMar>
              <w:top w:w="30" w:type="dxa"/>
              <w:left w:w="20" w:type="dxa"/>
              <w:bottom w:w="30" w:type="dxa"/>
              <w:right w:w="20" w:type="dxa"/>
            </w:tcMar>
            <w:vAlign w:val="center"/>
            <w:hideMark/>
          </w:tcPr>
          <w:p w14:paraId="202CA9A2" w14:textId="77777777" w:rsidR="00000000" w:rsidRDefault="00A173A8">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14:paraId="6C7480E5"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1B14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79B8F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BAD2D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36A75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BF9C4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DA8B62"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220EA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993DF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EBEF85" w14:textId="77777777" w:rsidR="00000000" w:rsidRDefault="00A173A8">
            <w:pPr>
              <w:spacing w:after="100"/>
              <w:rPr>
                <w:rFonts w:eastAsia="Times New Roman"/>
                <w:sz w:val="20"/>
                <w:szCs w:val="20"/>
              </w:rPr>
            </w:pPr>
          </w:p>
        </w:tc>
      </w:tr>
      <w:tr w:rsidR="00000000" w14:paraId="52DBA95D" w14:textId="77777777">
        <w:trPr>
          <w:divId w:val="727919038"/>
        </w:trPr>
        <w:tc>
          <w:tcPr>
            <w:tcW w:w="0" w:type="auto"/>
            <w:gridSpan w:val="3"/>
            <w:shd w:val="clear" w:color="auto" w:fill="CCEEFF"/>
            <w:tcMar>
              <w:top w:w="30" w:type="dxa"/>
              <w:left w:w="20" w:type="dxa"/>
              <w:bottom w:w="30" w:type="dxa"/>
              <w:right w:w="20" w:type="dxa"/>
            </w:tcMar>
            <w:vAlign w:val="center"/>
            <w:hideMark/>
          </w:tcPr>
          <w:p w14:paraId="15487D95" w14:textId="77777777" w:rsidR="00000000" w:rsidRDefault="00A173A8">
            <w:pPr>
              <w:spacing w:after="100"/>
              <w:divId w:val="1590891606"/>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90672DB"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2770F81A"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33EACE4B" w14:textId="77777777" w:rsidR="00000000" w:rsidRDefault="00A173A8">
            <w:pPr>
              <w:spacing w:after="100"/>
              <w:jc w:val="right"/>
              <w:rPr>
                <w:rFonts w:eastAsia="Times New Roman"/>
              </w:rPr>
            </w:pPr>
            <w:r>
              <w:rPr>
                <w:rFonts w:eastAsia="Times New Roman"/>
                <w:b/>
                <w:bCs/>
                <w:color w:val="000000"/>
                <w:sz w:val="18"/>
                <w:szCs w:val="18"/>
              </w:rPr>
              <w:t>1,416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1F8ECB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9DD74F"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359DFB2"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49E77C04" w14:textId="77777777" w:rsidR="00000000" w:rsidRDefault="00A173A8">
            <w:pPr>
              <w:spacing w:after="100"/>
              <w:jc w:val="right"/>
              <w:rPr>
                <w:rFonts w:eastAsia="Times New Roman"/>
              </w:rPr>
            </w:pPr>
            <w:r>
              <w:rPr>
                <w:rFonts w:eastAsia="Times New Roman"/>
                <w:b/>
                <w:bCs/>
                <w:color w:val="000000"/>
                <w:sz w:val="18"/>
                <w:szCs w:val="18"/>
              </w:rPr>
              <w:t>3,104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08D82D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E04BD7"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ACA4E9F"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7E370997" w14:textId="77777777" w:rsidR="00000000" w:rsidRDefault="00A173A8">
            <w:pPr>
              <w:spacing w:after="100"/>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077F24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62A31"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FDD6D9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6CC156B9" w14:textId="77777777" w:rsidR="00000000" w:rsidRDefault="00A173A8">
            <w:pPr>
              <w:spacing w:after="100"/>
              <w:jc w:val="right"/>
              <w:rPr>
                <w:rFonts w:eastAsia="Times New Roman"/>
              </w:rPr>
            </w:pPr>
            <w:r>
              <w:rPr>
                <w:rFonts w:eastAsia="Times New Roman"/>
                <w:b/>
                <w:bCs/>
                <w:color w:val="000000"/>
                <w:sz w:val="18"/>
                <w:szCs w:val="18"/>
              </w:rPr>
              <w:t>(1,395)</w:t>
            </w:r>
          </w:p>
        </w:tc>
        <w:tc>
          <w:tcPr>
            <w:tcW w:w="0" w:type="auto"/>
            <w:shd w:val="clear" w:color="auto" w:fill="CCEEFF"/>
            <w:tcMar>
              <w:top w:w="30" w:type="dxa"/>
              <w:left w:w="0" w:type="dxa"/>
              <w:bottom w:w="30" w:type="dxa"/>
              <w:right w:w="20" w:type="dxa"/>
            </w:tcMar>
            <w:vAlign w:val="center"/>
            <w:hideMark/>
          </w:tcPr>
          <w:p w14:paraId="5028EB9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21D53"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98BD877"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14:paraId="24FC0282" w14:textId="77777777" w:rsidR="00000000" w:rsidRDefault="00A173A8">
            <w:pPr>
              <w:spacing w:after="100"/>
              <w:jc w:val="right"/>
              <w:rPr>
                <w:rFonts w:eastAsia="Times New Roman"/>
              </w:rPr>
            </w:pPr>
            <w:r>
              <w:rPr>
                <w:rFonts w:eastAsia="Times New Roman"/>
                <w:b/>
                <w:bCs/>
                <w:color w:val="000000"/>
                <w:sz w:val="18"/>
                <w:szCs w:val="18"/>
              </w:rPr>
              <w:t>3,268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2F8EE52" w14:textId="77777777" w:rsidR="00000000" w:rsidRDefault="00A173A8">
            <w:pPr>
              <w:spacing w:after="100"/>
              <w:jc w:val="right"/>
              <w:rPr>
                <w:rFonts w:eastAsia="Times New Roman"/>
              </w:rPr>
            </w:pPr>
          </w:p>
        </w:tc>
      </w:tr>
      <w:tr w:rsidR="00000000" w14:paraId="29EA0B1A" w14:textId="77777777">
        <w:trPr>
          <w:divId w:val="727919038"/>
        </w:trPr>
        <w:tc>
          <w:tcPr>
            <w:tcW w:w="0" w:type="auto"/>
            <w:gridSpan w:val="3"/>
            <w:shd w:val="clear" w:color="auto" w:fill="FFFFFF"/>
            <w:tcMar>
              <w:top w:w="30" w:type="dxa"/>
              <w:left w:w="20" w:type="dxa"/>
              <w:bottom w:w="30" w:type="dxa"/>
              <w:right w:w="20" w:type="dxa"/>
            </w:tcMar>
            <w:vAlign w:val="center"/>
            <w:hideMark/>
          </w:tcPr>
          <w:p w14:paraId="4FFD2C13" w14:textId="77777777" w:rsidR="00000000" w:rsidRDefault="00A173A8">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3E90C632"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310383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0497DD5" w14:textId="77777777" w:rsidR="00000000" w:rsidRDefault="00A173A8">
            <w:pPr>
              <w:spacing w:after="100"/>
              <w:jc w:val="right"/>
              <w:rPr>
                <w:rFonts w:eastAsia="Times New Roman"/>
              </w:rPr>
            </w:pPr>
            <w:r>
              <w:rPr>
                <w:rFonts w:eastAsia="Times New Roman"/>
                <w:b/>
                <w:bCs/>
                <w:color w:val="000000"/>
                <w:sz w:val="18"/>
                <w:szCs w:val="18"/>
              </w:rPr>
              <w:t>1,416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E6D24C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28BC5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1CD109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3036926" w14:textId="77777777" w:rsidR="00000000" w:rsidRDefault="00A173A8">
            <w:pPr>
              <w:spacing w:after="100"/>
              <w:jc w:val="right"/>
              <w:rPr>
                <w:rFonts w:eastAsia="Times New Roman"/>
              </w:rPr>
            </w:pPr>
            <w:r>
              <w:rPr>
                <w:rFonts w:eastAsia="Times New Roman"/>
                <w:b/>
                <w:bCs/>
                <w:color w:val="000000"/>
                <w:sz w:val="18"/>
                <w:szCs w:val="18"/>
              </w:rPr>
              <w:t>3,104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4E591E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BF0A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8EB8F4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FE39BFC" w14:textId="77777777" w:rsidR="00000000" w:rsidRDefault="00A173A8">
            <w:pPr>
              <w:spacing w:after="100"/>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9E3F78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CB05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B26DF5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D51DFE5" w14:textId="77777777" w:rsidR="00000000" w:rsidRDefault="00A173A8">
            <w:pPr>
              <w:spacing w:after="100"/>
              <w:jc w:val="right"/>
              <w:rPr>
                <w:rFonts w:eastAsia="Times New Roman"/>
              </w:rPr>
            </w:pPr>
            <w:r>
              <w:rPr>
                <w:rFonts w:eastAsia="Times New Roman"/>
                <w:b/>
                <w:bCs/>
                <w:color w:val="000000"/>
                <w:sz w:val="18"/>
                <w:szCs w:val="18"/>
              </w:rPr>
              <w:t>(1,395)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9073A3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245A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046C526"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6062676" w14:textId="77777777" w:rsidR="00000000" w:rsidRDefault="00A173A8">
            <w:pPr>
              <w:spacing w:after="100"/>
              <w:jc w:val="right"/>
              <w:rPr>
                <w:rFonts w:eastAsia="Times New Roman"/>
              </w:rPr>
            </w:pPr>
            <w:r>
              <w:rPr>
                <w:rFonts w:eastAsia="Times New Roman"/>
                <w:b/>
                <w:bCs/>
                <w:color w:val="000000"/>
                <w:sz w:val="18"/>
                <w:szCs w:val="18"/>
              </w:rPr>
              <w:t>3,268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FE46AD" w14:textId="77777777" w:rsidR="00000000" w:rsidRDefault="00A173A8">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79E4009D" w14:textId="77777777">
        <w:trPr>
          <w:jc w:val="center"/>
        </w:trPr>
        <w:tc>
          <w:tcPr>
            <w:tcW w:w="50" w:type="pct"/>
            <w:vAlign w:val="center"/>
            <w:hideMark/>
          </w:tcPr>
          <w:p w14:paraId="12B8BD63" w14:textId="77777777" w:rsidR="00000000" w:rsidRDefault="00A173A8">
            <w:pPr>
              <w:rPr>
                <w:rFonts w:eastAsia="Times New Roman"/>
              </w:rPr>
            </w:pPr>
          </w:p>
        </w:tc>
        <w:tc>
          <w:tcPr>
            <w:tcW w:w="1606" w:type="pct"/>
            <w:vAlign w:val="center"/>
            <w:hideMark/>
          </w:tcPr>
          <w:p w14:paraId="544649BE" w14:textId="77777777" w:rsidR="00000000" w:rsidRDefault="00A173A8">
            <w:pPr>
              <w:spacing w:after="100"/>
              <w:rPr>
                <w:rFonts w:eastAsia="Times New Roman"/>
                <w:sz w:val="20"/>
                <w:szCs w:val="20"/>
              </w:rPr>
            </w:pPr>
          </w:p>
        </w:tc>
        <w:tc>
          <w:tcPr>
            <w:tcW w:w="5" w:type="pct"/>
            <w:vAlign w:val="center"/>
            <w:hideMark/>
          </w:tcPr>
          <w:p w14:paraId="2787E281" w14:textId="77777777" w:rsidR="00000000" w:rsidRDefault="00A173A8">
            <w:pPr>
              <w:spacing w:after="100"/>
              <w:rPr>
                <w:rFonts w:eastAsia="Times New Roman"/>
                <w:sz w:val="20"/>
                <w:szCs w:val="20"/>
              </w:rPr>
            </w:pPr>
          </w:p>
        </w:tc>
        <w:tc>
          <w:tcPr>
            <w:tcW w:w="50" w:type="pct"/>
            <w:vAlign w:val="center"/>
            <w:hideMark/>
          </w:tcPr>
          <w:p w14:paraId="23093898" w14:textId="77777777" w:rsidR="00000000" w:rsidRDefault="00A173A8">
            <w:pPr>
              <w:spacing w:after="100"/>
              <w:rPr>
                <w:rFonts w:eastAsia="Times New Roman"/>
                <w:sz w:val="20"/>
                <w:szCs w:val="20"/>
              </w:rPr>
            </w:pPr>
          </w:p>
        </w:tc>
        <w:tc>
          <w:tcPr>
            <w:tcW w:w="1614" w:type="pct"/>
            <w:vAlign w:val="center"/>
            <w:hideMark/>
          </w:tcPr>
          <w:p w14:paraId="33CCEEDE" w14:textId="77777777" w:rsidR="00000000" w:rsidRDefault="00A173A8">
            <w:pPr>
              <w:spacing w:after="100"/>
              <w:rPr>
                <w:rFonts w:eastAsia="Times New Roman"/>
                <w:sz w:val="20"/>
                <w:szCs w:val="20"/>
              </w:rPr>
            </w:pPr>
          </w:p>
        </w:tc>
        <w:tc>
          <w:tcPr>
            <w:tcW w:w="5" w:type="pct"/>
            <w:vAlign w:val="center"/>
            <w:hideMark/>
          </w:tcPr>
          <w:p w14:paraId="57F497B5" w14:textId="77777777" w:rsidR="00000000" w:rsidRDefault="00A173A8">
            <w:pPr>
              <w:spacing w:after="100"/>
              <w:rPr>
                <w:rFonts w:eastAsia="Times New Roman"/>
                <w:sz w:val="20"/>
                <w:szCs w:val="20"/>
              </w:rPr>
            </w:pPr>
          </w:p>
        </w:tc>
        <w:tc>
          <w:tcPr>
            <w:tcW w:w="50" w:type="pct"/>
            <w:vAlign w:val="center"/>
            <w:hideMark/>
          </w:tcPr>
          <w:p w14:paraId="5D6CEB85" w14:textId="77777777" w:rsidR="00000000" w:rsidRDefault="00A173A8">
            <w:pPr>
              <w:spacing w:after="100"/>
              <w:rPr>
                <w:rFonts w:eastAsia="Times New Roman"/>
                <w:sz w:val="20"/>
                <w:szCs w:val="20"/>
              </w:rPr>
            </w:pPr>
          </w:p>
        </w:tc>
        <w:tc>
          <w:tcPr>
            <w:tcW w:w="1614" w:type="pct"/>
            <w:vAlign w:val="center"/>
            <w:hideMark/>
          </w:tcPr>
          <w:p w14:paraId="36943551" w14:textId="77777777" w:rsidR="00000000" w:rsidRDefault="00A173A8">
            <w:pPr>
              <w:spacing w:after="100"/>
              <w:rPr>
                <w:rFonts w:eastAsia="Times New Roman"/>
                <w:sz w:val="20"/>
                <w:szCs w:val="20"/>
              </w:rPr>
            </w:pPr>
          </w:p>
        </w:tc>
        <w:tc>
          <w:tcPr>
            <w:tcW w:w="5" w:type="pct"/>
            <w:vAlign w:val="center"/>
            <w:hideMark/>
          </w:tcPr>
          <w:p w14:paraId="6ECE42C2" w14:textId="77777777" w:rsidR="00000000" w:rsidRDefault="00A173A8">
            <w:pPr>
              <w:spacing w:after="100"/>
              <w:rPr>
                <w:rFonts w:eastAsia="Times New Roman"/>
                <w:sz w:val="20"/>
                <w:szCs w:val="20"/>
              </w:rPr>
            </w:pPr>
          </w:p>
        </w:tc>
      </w:tr>
      <w:tr w:rsidR="00000000" w14:paraId="68CE1EE9" w14:textId="77777777">
        <w:trPr>
          <w:trHeight w:val="300"/>
          <w:jc w:val="center"/>
        </w:trPr>
        <w:tc>
          <w:tcPr>
            <w:tcW w:w="0" w:type="auto"/>
            <w:gridSpan w:val="9"/>
            <w:tcMar>
              <w:top w:w="0" w:type="dxa"/>
              <w:left w:w="20" w:type="dxa"/>
              <w:bottom w:w="0" w:type="dxa"/>
              <w:right w:w="20" w:type="dxa"/>
            </w:tcMar>
            <w:vAlign w:val="center"/>
            <w:hideMark/>
          </w:tcPr>
          <w:p w14:paraId="3AF875DB" w14:textId="77777777" w:rsidR="00000000" w:rsidRDefault="00A173A8">
            <w:pPr>
              <w:spacing w:after="100"/>
              <w:rPr>
                <w:rFonts w:eastAsia="Times New Roman"/>
                <w:sz w:val="20"/>
                <w:szCs w:val="20"/>
              </w:rPr>
            </w:pPr>
          </w:p>
        </w:tc>
      </w:tr>
      <w:tr w:rsidR="00000000" w14:paraId="4B2C298D" w14:textId="77777777">
        <w:trPr>
          <w:jc w:val="center"/>
        </w:trPr>
        <w:tc>
          <w:tcPr>
            <w:tcW w:w="0" w:type="auto"/>
            <w:gridSpan w:val="3"/>
            <w:tcMar>
              <w:top w:w="0" w:type="dxa"/>
              <w:left w:w="20" w:type="dxa"/>
              <w:bottom w:w="0" w:type="dxa"/>
              <w:right w:w="20" w:type="dxa"/>
            </w:tcMar>
            <w:vAlign w:val="center"/>
            <w:hideMark/>
          </w:tcPr>
          <w:p w14:paraId="4684AE01"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B1442A3" w14:textId="77777777" w:rsidR="00000000" w:rsidRDefault="00A173A8">
            <w:pPr>
              <w:spacing w:after="100"/>
              <w:jc w:val="center"/>
              <w:rPr>
                <w:rFonts w:eastAsia="Times New Roman"/>
              </w:rPr>
            </w:pPr>
            <w:r>
              <w:rPr>
                <w:rFonts w:eastAsia="Times New Roman"/>
                <w:color w:val="000000"/>
                <w:sz w:val="16"/>
                <w:szCs w:val="16"/>
              </w:rPr>
              <w:t>106</w:t>
            </w:r>
          </w:p>
        </w:tc>
        <w:tc>
          <w:tcPr>
            <w:tcW w:w="0" w:type="auto"/>
            <w:gridSpan w:val="3"/>
            <w:tcMar>
              <w:top w:w="30" w:type="dxa"/>
              <w:left w:w="20" w:type="dxa"/>
              <w:bottom w:w="30" w:type="dxa"/>
              <w:right w:w="20" w:type="dxa"/>
            </w:tcMar>
            <w:vAlign w:val="bottom"/>
            <w:hideMark/>
          </w:tcPr>
          <w:p w14:paraId="034D651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842EC46" w14:textId="77777777" w:rsidR="00000000" w:rsidRDefault="00A173A8">
      <w:pPr>
        <w:rPr>
          <w:rFonts w:eastAsia="Times New Roman"/>
        </w:rPr>
      </w:pPr>
      <w:r>
        <w:rPr>
          <w:rFonts w:eastAsia="Times New Roman"/>
        </w:rPr>
        <w:pict w14:anchorId="3C71C291">
          <v:rect id="_x0000_i1131" style="width:0;height:1.5pt" o:hralign="center" o:hrstd="t" o:hr="t" fillcolor="#a0a0a0" stroked="f"/>
        </w:pict>
      </w:r>
    </w:p>
    <w:p w14:paraId="3A6F3968" w14:textId="77777777" w:rsidR="00000000" w:rsidRDefault="00A173A8">
      <w:pPr>
        <w:jc w:val="both"/>
        <w:divId w:val="1430155531"/>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62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540"/>
        <w:gridCol w:w="36"/>
      </w:tblGrid>
      <w:tr w:rsidR="00000000" w14:paraId="42B4432F" w14:textId="77777777">
        <w:trPr>
          <w:divId w:val="144248451"/>
        </w:trPr>
        <w:tc>
          <w:tcPr>
            <w:tcW w:w="50" w:type="pct"/>
            <w:vAlign w:val="center"/>
            <w:hideMark/>
          </w:tcPr>
          <w:p w14:paraId="57FA2DE9" w14:textId="77777777" w:rsidR="00000000" w:rsidRDefault="00A173A8">
            <w:pPr>
              <w:jc w:val="both"/>
              <w:rPr>
                <w:rFonts w:eastAsia="Times New Roman"/>
              </w:rPr>
            </w:pPr>
          </w:p>
        </w:tc>
        <w:tc>
          <w:tcPr>
            <w:tcW w:w="2569" w:type="pct"/>
            <w:vAlign w:val="center"/>
            <w:hideMark/>
          </w:tcPr>
          <w:p w14:paraId="33C02966" w14:textId="77777777" w:rsidR="00000000" w:rsidRDefault="00A173A8">
            <w:pPr>
              <w:spacing w:after="100"/>
              <w:rPr>
                <w:rFonts w:eastAsia="Times New Roman"/>
                <w:sz w:val="20"/>
                <w:szCs w:val="20"/>
              </w:rPr>
            </w:pPr>
          </w:p>
        </w:tc>
        <w:tc>
          <w:tcPr>
            <w:tcW w:w="5" w:type="pct"/>
            <w:vAlign w:val="center"/>
            <w:hideMark/>
          </w:tcPr>
          <w:p w14:paraId="6E00FB27" w14:textId="77777777" w:rsidR="00000000" w:rsidRDefault="00A173A8">
            <w:pPr>
              <w:spacing w:after="100"/>
              <w:rPr>
                <w:rFonts w:eastAsia="Times New Roman"/>
                <w:sz w:val="20"/>
                <w:szCs w:val="20"/>
              </w:rPr>
            </w:pPr>
          </w:p>
        </w:tc>
        <w:tc>
          <w:tcPr>
            <w:tcW w:w="5" w:type="pct"/>
            <w:vAlign w:val="center"/>
            <w:hideMark/>
          </w:tcPr>
          <w:p w14:paraId="36B003D9" w14:textId="77777777" w:rsidR="00000000" w:rsidRDefault="00A173A8">
            <w:pPr>
              <w:spacing w:after="100"/>
              <w:rPr>
                <w:rFonts w:eastAsia="Times New Roman"/>
                <w:sz w:val="20"/>
                <w:szCs w:val="20"/>
              </w:rPr>
            </w:pPr>
          </w:p>
        </w:tc>
        <w:tc>
          <w:tcPr>
            <w:tcW w:w="26" w:type="pct"/>
            <w:vAlign w:val="center"/>
            <w:hideMark/>
          </w:tcPr>
          <w:p w14:paraId="19907F44" w14:textId="77777777" w:rsidR="00000000" w:rsidRDefault="00A173A8">
            <w:pPr>
              <w:spacing w:after="100"/>
              <w:rPr>
                <w:rFonts w:eastAsia="Times New Roman"/>
                <w:sz w:val="20"/>
                <w:szCs w:val="20"/>
              </w:rPr>
            </w:pPr>
          </w:p>
        </w:tc>
        <w:tc>
          <w:tcPr>
            <w:tcW w:w="5" w:type="pct"/>
            <w:vAlign w:val="center"/>
            <w:hideMark/>
          </w:tcPr>
          <w:p w14:paraId="576F089A" w14:textId="77777777" w:rsidR="00000000" w:rsidRDefault="00A173A8">
            <w:pPr>
              <w:spacing w:after="100"/>
              <w:rPr>
                <w:rFonts w:eastAsia="Times New Roman"/>
                <w:sz w:val="20"/>
                <w:szCs w:val="20"/>
              </w:rPr>
            </w:pPr>
          </w:p>
        </w:tc>
        <w:tc>
          <w:tcPr>
            <w:tcW w:w="50" w:type="pct"/>
            <w:vAlign w:val="center"/>
            <w:hideMark/>
          </w:tcPr>
          <w:p w14:paraId="59A9DEED" w14:textId="77777777" w:rsidR="00000000" w:rsidRDefault="00A173A8">
            <w:pPr>
              <w:spacing w:after="100"/>
              <w:rPr>
                <w:rFonts w:eastAsia="Times New Roman"/>
                <w:sz w:val="20"/>
                <w:szCs w:val="20"/>
              </w:rPr>
            </w:pPr>
          </w:p>
        </w:tc>
        <w:tc>
          <w:tcPr>
            <w:tcW w:w="347" w:type="pct"/>
            <w:vAlign w:val="center"/>
            <w:hideMark/>
          </w:tcPr>
          <w:p w14:paraId="64DA01E9" w14:textId="77777777" w:rsidR="00000000" w:rsidRDefault="00A173A8">
            <w:pPr>
              <w:spacing w:after="100"/>
              <w:rPr>
                <w:rFonts w:eastAsia="Times New Roman"/>
                <w:sz w:val="20"/>
                <w:szCs w:val="20"/>
              </w:rPr>
            </w:pPr>
          </w:p>
        </w:tc>
        <w:tc>
          <w:tcPr>
            <w:tcW w:w="5" w:type="pct"/>
            <w:vAlign w:val="center"/>
            <w:hideMark/>
          </w:tcPr>
          <w:p w14:paraId="1A88435B" w14:textId="77777777" w:rsidR="00000000" w:rsidRDefault="00A173A8">
            <w:pPr>
              <w:spacing w:after="100"/>
              <w:rPr>
                <w:rFonts w:eastAsia="Times New Roman"/>
                <w:sz w:val="20"/>
                <w:szCs w:val="20"/>
              </w:rPr>
            </w:pPr>
          </w:p>
        </w:tc>
        <w:tc>
          <w:tcPr>
            <w:tcW w:w="5" w:type="pct"/>
            <w:vAlign w:val="center"/>
            <w:hideMark/>
          </w:tcPr>
          <w:p w14:paraId="788CA943" w14:textId="77777777" w:rsidR="00000000" w:rsidRDefault="00A173A8">
            <w:pPr>
              <w:spacing w:after="100"/>
              <w:rPr>
                <w:rFonts w:eastAsia="Times New Roman"/>
                <w:sz w:val="20"/>
                <w:szCs w:val="20"/>
              </w:rPr>
            </w:pPr>
          </w:p>
        </w:tc>
        <w:tc>
          <w:tcPr>
            <w:tcW w:w="26" w:type="pct"/>
            <w:vAlign w:val="center"/>
            <w:hideMark/>
          </w:tcPr>
          <w:p w14:paraId="474659D0" w14:textId="77777777" w:rsidR="00000000" w:rsidRDefault="00A173A8">
            <w:pPr>
              <w:spacing w:after="100"/>
              <w:rPr>
                <w:rFonts w:eastAsia="Times New Roman"/>
                <w:sz w:val="20"/>
                <w:szCs w:val="20"/>
              </w:rPr>
            </w:pPr>
          </w:p>
        </w:tc>
        <w:tc>
          <w:tcPr>
            <w:tcW w:w="5" w:type="pct"/>
            <w:vAlign w:val="center"/>
            <w:hideMark/>
          </w:tcPr>
          <w:p w14:paraId="70F05EBF" w14:textId="77777777" w:rsidR="00000000" w:rsidRDefault="00A173A8">
            <w:pPr>
              <w:spacing w:after="100"/>
              <w:rPr>
                <w:rFonts w:eastAsia="Times New Roman"/>
                <w:sz w:val="20"/>
                <w:szCs w:val="20"/>
              </w:rPr>
            </w:pPr>
          </w:p>
        </w:tc>
        <w:tc>
          <w:tcPr>
            <w:tcW w:w="50" w:type="pct"/>
            <w:vAlign w:val="center"/>
            <w:hideMark/>
          </w:tcPr>
          <w:p w14:paraId="506FAB97" w14:textId="77777777" w:rsidR="00000000" w:rsidRDefault="00A173A8">
            <w:pPr>
              <w:spacing w:after="100"/>
              <w:rPr>
                <w:rFonts w:eastAsia="Times New Roman"/>
                <w:sz w:val="20"/>
                <w:szCs w:val="20"/>
              </w:rPr>
            </w:pPr>
          </w:p>
        </w:tc>
        <w:tc>
          <w:tcPr>
            <w:tcW w:w="347" w:type="pct"/>
            <w:vAlign w:val="center"/>
            <w:hideMark/>
          </w:tcPr>
          <w:p w14:paraId="67169067" w14:textId="77777777" w:rsidR="00000000" w:rsidRDefault="00A173A8">
            <w:pPr>
              <w:spacing w:after="100"/>
              <w:rPr>
                <w:rFonts w:eastAsia="Times New Roman"/>
                <w:sz w:val="20"/>
                <w:szCs w:val="20"/>
              </w:rPr>
            </w:pPr>
          </w:p>
        </w:tc>
        <w:tc>
          <w:tcPr>
            <w:tcW w:w="5" w:type="pct"/>
            <w:vAlign w:val="center"/>
            <w:hideMark/>
          </w:tcPr>
          <w:p w14:paraId="67AEA35F" w14:textId="77777777" w:rsidR="00000000" w:rsidRDefault="00A173A8">
            <w:pPr>
              <w:spacing w:after="100"/>
              <w:rPr>
                <w:rFonts w:eastAsia="Times New Roman"/>
                <w:sz w:val="20"/>
                <w:szCs w:val="20"/>
              </w:rPr>
            </w:pPr>
          </w:p>
        </w:tc>
        <w:tc>
          <w:tcPr>
            <w:tcW w:w="5" w:type="pct"/>
            <w:vAlign w:val="center"/>
            <w:hideMark/>
          </w:tcPr>
          <w:p w14:paraId="31BE5931" w14:textId="77777777" w:rsidR="00000000" w:rsidRDefault="00A173A8">
            <w:pPr>
              <w:spacing w:after="100"/>
              <w:rPr>
                <w:rFonts w:eastAsia="Times New Roman"/>
                <w:sz w:val="20"/>
                <w:szCs w:val="20"/>
              </w:rPr>
            </w:pPr>
          </w:p>
        </w:tc>
        <w:tc>
          <w:tcPr>
            <w:tcW w:w="26" w:type="pct"/>
            <w:vAlign w:val="center"/>
            <w:hideMark/>
          </w:tcPr>
          <w:p w14:paraId="6E7072EE" w14:textId="77777777" w:rsidR="00000000" w:rsidRDefault="00A173A8">
            <w:pPr>
              <w:spacing w:after="100"/>
              <w:rPr>
                <w:rFonts w:eastAsia="Times New Roman"/>
                <w:sz w:val="20"/>
                <w:szCs w:val="20"/>
              </w:rPr>
            </w:pPr>
          </w:p>
        </w:tc>
        <w:tc>
          <w:tcPr>
            <w:tcW w:w="5" w:type="pct"/>
            <w:vAlign w:val="center"/>
            <w:hideMark/>
          </w:tcPr>
          <w:p w14:paraId="6AF61543" w14:textId="77777777" w:rsidR="00000000" w:rsidRDefault="00A173A8">
            <w:pPr>
              <w:spacing w:after="100"/>
              <w:rPr>
                <w:rFonts w:eastAsia="Times New Roman"/>
                <w:sz w:val="20"/>
                <w:szCs w:val="20"/>
              </w:rPr>
            </w:pPr>
          </w:p>
        </w:tc>
        <w:tc>
          <w:tcPr>
            <w:tcW w:w="50" w:type="pct"/>
            <w:vAlign w:val="center"/>
            <w:hideMark/>
          </w:tcPr>
          <w:p w14:paraId="7D9A8E77" w14:textId="77777777" w:rsidR="00000000" w:rsidRDefault="00A173A8">
            <w:pPr>
              <w:spacing w:after="100"/>
              <w:rPr>
                <w:rFonts w:eastAsia="Times New Roman"/>
                <w:sz w:val="20"/>
                <w:szCs w:val="20"/>
              </w:rPr>
            </w:pPr>
          </w:p>
        </w:tc>
        <w:tc>
          <w:tcPr>
            <w:tcW w:w="347" w:type="pct"/>
            <w:vAlign w:val="center"/>
            <w:hideMark/>
          </w:tcPr>
          <w:p w14:paraId="2D58776C" w14:textId="77777777" w:rsidR="00000000" w:rsidRDefault="00A173A8">
            <w:pPr>
              <w:spacing w:after="100"/>
              <w:rPr>
                <w:rFonts w:eastAsia="Times New Roman"/>
                <w:sz w:val="20"/>
                <w:szCs w:val="20"/>
              </w:rPr>
            </w:pPr>
          </w:p>
        </w:tc>
        <w:tc>
          <w:tcPr>
            <w:tcW w:w="5" w:type="pct"/>
            <w:vAlign w:val="center"/>
            <w:hideMark/>
          </w:tcPr>
          <w:p w14:paraId="35EA3E61" w14:textId="77777777" w:rsidR="00000000" w:rsidRDefault="00A173A8">
            <w:pPr>
              <w:spacing w:after="100"/>
              <w:rPr>
                <w:rFonts w:eastAsia="Times New Roman"/>
                <w:sz w:val="20"/>
                <w:szCs w:val="20"/>
              </w:rPr>
            </w:pPr>
          </w:p>
        </w:tc>
        <w:tc>
          <w:tcPr>
            <w:tcW w:w="5" w:type="pct"/>
            <w:vAlign w:val="center"/>
            <w:hideMark/>
          </w:tcPr>
          <w:p w14:paraId="7667E866" w14:textId="77777777" w:rsidR="00000000" w:rsidRDefault="00A173A8">
            <w:pPr>
              <w:spacing w:after="100"/>
              <w:rPr>
                <w:rFonts w:eastAsia="Times New Roman"/>
                <w:sz w:val="20"/>
                <w:szCs w:val="20"/>
              </w:rPr>
            </w:pPr>
          </w:p>
        </w:tc>
        <w:tc>
          <w:tcPr>
            <w:tcW w:w="26" w:type="pct"/>
            <w:vAlign w:val="center"/>
            <w:hideMark/>
          </w:tcPr>
          <w:p w14:paraId="0B4B971B" w14:textId="77777777" w:rsidR="00000000" w:rsidRDefault="00A173A8">
            <w:pPr>
              <w:spacing w:after="100"/>
              <w:rPr>
                <w:rFonts w:eastAsia="Times New Roman"/>
                <w:sz w:val="20"/>
                <w:szCs w:val="20"/>
              </w:rPr>
            </w:pPr>
          </w:p>
        </w:tc>
        <w:tc>
          <w:tcPr>
            <w:tcW w:w="5" w:type="pct"/>
            <w:vAlign w:val="center"/>
            <w:hideMark/>
          </w:tcPr>
          <w:p w14:paraId="6DF098A2" w14:textId="77777777" w:rsidR="00000000" w:rsidRDefault="00A173A8">
            <w:pPr>
              <w:spacing w:after="100"/>
              <w:rPr>
                <w:rFonts w:eastAsia="Times New Roman"/>
                <w:sz w:val="20"/>
                <w:szCs w:val="20"/>
              </w:rPr>
            </w:pPr>
          </w:p>
        </w:tc>
        <w:tc>
          <w:tcPr>
            <w:tcW w:w="50" w:type="pct"/>
            <w:vAlign w:val="center"/>
            <w:hideMark/>
          </w:tcPr>
          <w:p w14:paraId="421C7709" w14:textId="77777777" w:rsidR="00000000" w:rsidRDefault="00A173A8">
            <w:pPr>
              <w:spacing w:after="100"/>
              <w:rPr>
                <w:rFonts w:eastAsia="Times New Roman"/>
                <w:sz w:val="20"/>
                <w:szCs w:val="20"/>
              </w:rPr>
            </w:pPr>
          </w:p>
        </w:tc>
        <w:tc>
          <w:tcPr>
            <w:tcW w:w="529" w:type="pct"/>
            <w:vAlign w:val="center"/>
            <w:hideMark/>
          </w:tcPr>
          <w:p w14:paraId="590F7B98" w14:textId="77777777" w:rsidR="00000000" w:rsidRDefault="00A173A8">
            <w:pPr>
              <w:spacing w:after="100"/>
              <w:rPr>
                <w:rFonts w:eastAsia="Times New Roman"/>
                <w:sz w:val="20"/>
                <w:szCs w:val="20"/>
              </w:rPr>
            </w:pPr>
          </w:p>
        </w:tc>
        <w:tc>
          <w:tcPr>
            <w:tcW w:w="5" w:type="pct"/>
            <w:vAlign w:val="center"/>
            <w:hideMark/>
          </w:tcPr>
          <w:p w14:paraId="42056291" w14:textId="77777777" w:rsidR="00000000" w:rsidRDefault="00A173A8">
            <w:pPr>
              <w:spacing w:after="100"/>
              <w:rPr>
                <w:rFonts w:eastAsia="Times New Roman"/>
                <w:sz w:val="20"/>
                <w:szCs w:val="20"/>
              </w:rPr>
            </w:pPr>
          </w:p>
        </w:tc>
        <w:tc>
          <w:tcPr>
            <w:tcW w:w="5" w:type="pct"/>
            <w:vAlign w:val="center"/>
            <w:hideMark/>
          </w:tcPr>
          <w:p w14:paraId="63A3212D" w14:textId="77777777" w:rsidR="00000000" w:rsidRDefault="00A173A8">
            <w:pPr>
              <w:spacing w:after="100"/>
              <w:rPr>
                <w:rFonts w:eastAsia="Times New Roman"/>
                <w:sz w:val="20"/>
                <w:szCs w:val="20"/>
              </w:rPr>
            </w:pPr>
          </w:p>
        </w:tc>
        <w:tc>
          <w:tcPr>
            <w:tcW w:w="26" w:type="pct"/>
            <w:vAlign w:val="center"/>
            <w:hideMark/>
          </w:tcPr>
          <w:p w14:paraId="043CA6A6" w14:textId="77777777" w:rsidR="00000000" w:rsidRDefault="00A173A8">
            <w:pPr>
              <w:spacing w:after="100"/>
              <w:rPr>
                <w:rFonts w:eastAsia="Times New Roman"/>
                <w:sz w:val="20"/>
                <w:szCs w:val="20"/>
              </w:rPr>
            </w:pPr>
          </w:p>
        </w:tc>
        <w:tc>
          <w:tcPr>
            <w:tcW w:w="5" w:type="pct"/>
            <w:vAlign w:val="center"/>
            <w:hideMark/>
          </w:tcPr>
          <w:p w14:paraId="25D1E5FA" w14:textId="77777777" w:rsidR="00000000" w:rsidRDefault="00A173A8">
            <w:pPr>
              <w:spacing w:after="100"/>
              <w:rPr>
                <w:rFonts w:eastAsia="Times New Roman"/>
                <w:sz w:val="20"/>
                <w:szCs w:val="20"/>
              </w:rPr>
            </w:pPr>
          </w:p>
        </w:tc>
        <w:tc>
          <w:tcPr>
            <w:tcW w:w="50" w:type="pct"/>
            <w:vAlign w:val="center"/>
            <w:hideMark/>
          </w:tcPr>
          <w:p w14:paraId="00708017" w14:textId="77777777" w:rsidR="00000000" w:rsidRDefault="00A173A8">
            <w:pPr>
              <w:spacing w:after="100"/>
              <w:rPr>
                <w:rFonts w:eastAsia="Times New Roman"/>
                <w:sz w:val="20"/>
                <w:szCs w:val="20"/>
              </w:rPr>
            </w:pPr>
          </w:p>
        </w:tc>
        <w:tc>
          <w:tcPr>
            <w:tcW w:w="347" w:type="pct"/>
            <w:vAlign w:val="center"/>
            <w:hideMark/>
          </w:tcPr>
          <w:p w14:paraId="76EEA4C7" w14:textId="77777777" w:rsidR="00000000" w:rsidRDefault="00A173A8">
            <w:pPr>
              <w:spacing w:after="100"/>
              <w:rPr>
                <w:rFonts w:eastAsia="Times New Roman"/>
                <w:sz w:val="20"/>
                <w:szCs w:val="20"/>
              </w:rPr>
            </w:pPr>
          </w:p>
        </w:tc>
        <w:tc>
          <w:tcPr>
            <w:tcW w:w="5" w:type="pct"/>
            <w:vAlign w:val="center"/>
            <w:hideMark/>
          </w:tcPr>
          <w:p w14:paraId="3C346FDD" w14:textId="77777777" w:rsidR="00000000" w:rsidRDefault="00A173A8">
            <w:pPr>
              <w:spacing w:after="100"/>
              <w:rPr>
                <w:rFonts w:eastAsia="Times New Roman"/>
                <w:sz w:val="20"/>
                <w:szCs w:val="20"/>
              </w:rPr>
            </w:pPr>
          </w:p>
        </w:tc>
      </w:tr>
      <w:tr w:rsidR="00000000" w14:paraId="552656B5" w14:textId="77777777">
        <w:trPr>
          <w:divId w:val="144248451"/>
        </w:trPr>
        <w:tc>
          <w:tcPr>
            <w:tcW w:w="0" w:type="auto"/>
            <w:gridSpan w:val="3"/>
            <w:tcMar>
              <w:top w:w="0" w:type="dxa"/>
              <w:left w:w="20" w:type="dxa"/>
              <w:bottom w:w="0" w:type="dxa"/>
              <w:right w:w="20" w:type="dxa"/>
            </w:tcMar>
            <w:vAlign w:val="center"/>
            <w:hideMark/>
          </w:tcPr>
          <w:p w14:paraId="18822A02"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925096"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C2A7DBC"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42DA8F58" w14:textId="77777777">
        <w:trPr>
          <w:divId w:val="144248451"/>
          <w:trHeight w:val="240"/>
        </w:trPr>
        <w:tc>
          <w:tcPr>
            <w:tcW w:w="0" w:type="auto"/>
            <w:gridSpan w:val="3"/>
            <w:tcMar>
              <w:top w:w="0" w:type="dxa"/>
              <w:left w:w="20" w:type="dxa"/>
              <w:bottom w:w="0" w:type="dxa"/>
              <w:right w:w="20" w:type="dxa"/>
            </w:tcMar>
            <w:vAlign w:val="center"/>
            <w:hideMark/>
          </w:tcPr>
          <w:p w14:paraId="3AD94D8C"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D80CE00" w14:textId="77777777" w:rsidR="00000000" w:rsidRDefault="00A173A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116B9D2F" w14:textId="77777777" w:rsidR="00000000" w:rsidRDefault="00A173A8">
            <w:pPr>
              <w:spacing w:after="100"/>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14:paraId="6879DCFA" w14:textId="77777777" w:rsidR="00000000" w:rsidRDefault="00A173A8">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61F58E9" w14:textId="77777777" w:rsidR="00000000" w:rsidRDefault="00A173A8">
            <w:pPr>
              <w:spacing w:after="100"/>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BA2A050"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8ECE358" w14:textId="77777777" w:rsidR="00000000" w:rsidRDefault="00A173A8">
            <w:pPr>
              <w:spacing w:after="100"/>
              <w:rPr>
                <w:rFonts w:eastAsia="Times New Roman"/>
                <w:sz w:val="20"/>
                <w:szCs w:val="20"/>
              </w:rPr>
            </w:pPr>
          </w:p>
        </w:tc>
      </w:tr>
      <w:tr w:rsidR="00000000" w14:paraId="0A840B44" w14:textId="77777777">
        <w:trPr>
          <w:divId w:val="144248451"/>
          <w:trHeight w:val="240"/>
        </w:trPr>
        <w:tc>
          <w:tcPr>
            <w:tcW w:w="0" w:type="auto"/>
            <w:gridSpan w:val="3"/>
            <w:tcMar>
              <w:top w:w="30" w:type="dxa"/>
              <w:left w:w="20" w:type="dxa"/>
              <w:bottom w:w="30" w:type="dxa"/>
              <w:right w:w="20" w:type="dxa"/>
            </w:tcMar>
            <w:vAlign w:val="bottom"/>
            <w:hideMark/>
          </w:tcPr>
          <w:p w14:paraId="55B9FDC8"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B49C130"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853EFB" w14:textId="77777777" w:rsidR="00000000" w:rsidRDefault="00A173A8">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0DCDF648"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6DEC7E" w14:textId="77777777" w:rsidR="00000000" w:rsidRDefault="00A173A8">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61166A6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FDAA78" w14:textId="77777777" w:rsidR="00000000" w:rsidRDefault="00A173A8">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25819363" w14:textId="77777777" w:rsidR="00000000" w:rsidRDefault="00A173A8">
            <w:pPr>
              <w:spacing w:after="100"/>
              <w:jc w:val="center"/>
              <w:rPr>
                <w:rFonts w:eastAsia="Times New Roman"/>
              </w:rPr>
            </w:pPr>
          </w:p>
        </w:tc>
        <w:tc>
          <w:tcPr>
            <w:tcW w:w="0" w:type="auto"/>
            <w:gridSpan w:val="3"/>
            <w:vMerge/>
            <w:tcBorders>
              <w:top w:val="single" w:sz="8" w:space="0" w:color="000000"/>
            </w:tcBorders>
            <w:vAlign w:val="center"/>
            <w:hideMark/>
          </w:tcPr>
          <w:p w14:paraId="770015FA"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59580FE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267FDE5"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3F6F5C56" w14:textId="77777777">
        <w:trPr>
          <w:divId w:val="1442484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6B0F7B7" w14:textId="77777777" w:rsidR="00000000" w:rsidRDefault="00A173A8">
            <w:pPr>
              <w:spacing w:after="100"/>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4E1BC9F2"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1F380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B5730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0BCC5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ABAAF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CA420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55171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64691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212C2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A73A2C" w14:textId="77777777" w:rsidR="00000000" w:rsidRDefault="00A173A8">
            <w:pPr>
              <w:spacing w:after="100"/>
              <w:rPr>
                <w:rFonts w:eastAsia="Times New Roman"/>
                <w:sz w:val="20"/>
                <w:szCs w:val="20"/>
              </w:rPr>
            </w:pPr>
          </w:p>
        </w:tc>
      </w:tr>
      <w:tr w:rsidR="00000000" w14:paraId="3D82BF43" w14:textId="77777777">
        <w:trPr>
          <w:divId w:val="144248451"/>
        </w:trPr>
        <w:tc>
          <w:tcPr>
            <w:tcW w:w="0" w:type="auto"/>
            <w:gridSpan w:val="3"/>
            <w:shd w:val="clear" w:color="auto" w:fill="FFFFFF"/>
            <w:tcMar>
              <w:top w:w="30" w:type="dxa"/>
              <w:left w:w="20" w:type="dxa"/>
              <w:bottom w:w="30" w:type="dxa"/>
              <w:right w:w="20" w:type="dxa"/>
            </w:tcMar>
            <w:vAlign w:val="center"/>
            <w:hideMark/>
          </w:tcPr>
          <w:p w14:paraId="2E362B7B" w14:textId="77777777" w:rsidR="00000000" w:rsidRDefault="00A173A8">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14:paraId="6F2ED829"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278BDC"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2D779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51179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03103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91DA5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71CC3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B52670"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906E3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E0A0B9" w14:textId="77777777" w:rsidR="00000000" w:rsidRDefault="00A173A8">
            <w:pPr>
              <w:spacing w:after="100"/>
              <w:rPr>
                <w:rFonts w:eastAsia="Times New Roman"/>
                <w:sz w:val="20"/>
                <w:szCs w:val="20"/>
              </w:rPr>
            </w:pPr>
          </w:p>
        </w:tc>
      </w:tr>
      <w:tr w:rsidR="00000000" w14:paraId="13A88854" w14:textId="77777777">
        <w:trPr>
          <w:divId w:val="144248451"/>
        </w:trPr>
        <w:tc>
          <w:tcPr>
            <w:tcW w:w="0" w:type="auto"/>
            <w:gridSpan w:val="3"/>
            <w:shd w:val="clear" w:color="auto" w:fill="CCEEFF"/>
            <w:tcMar>
              <w:top w:w="30" w:type="dxa"/>
              <w:left w:w="245" w:type="dxa"/>
              <w:bottom w:w="30" w:type="dxa"/>
              <w:right w:w="20" w:type="dxa"/>
            </w:tcMar>
            <w:vAlign w:val="center"/>
            <w:hideMark/>
          </w:tcPr>
          <w:p w14:paraId="5BF02FF3" w14:textId="77777777" w:rsidR="00000000" w:rsidRDefault="00A173A8">
            <w:pPr>
              <w:spacing w:after="100"/>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14:paraId="286C697A"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62172BE2"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2DFB70A4" w14:textId="77777777" w:rsidR="00000000" w:rsidRDefault="00A173A8">
            <w:pPr>
              <w:spacing w:after="100"/>
              <w:jc w:val="right"/>
              <w:rPr>
                <w:rFonts w:eastAsia="Times New Roman"/>
              </w:rPr>
            </w:pPr>
            <w:r>
              <w:rPr>
                <w:rFonts w:eastAsia="Times New Roman"/>
                <w:color w:val="000000"/>
                <w:sz w:val="18"/>
                <w:szCs w:val="18"/>
              </w:rPr>
              <w:t>9,442 </w:t>
            </w:r>
          </w:p>
        </w:tc>
        <w:tc>
          <w:tcPr>
            <w:tcW w:w="0" w:type="auto"/>
            <w:shd w:val="clear" w:color="auto" w:fill="CCEEFF"/>
            <w:tcMar>
              <w:top w:w="30" w:type="dxa"/>
              <w:left w:w="0" w:type="dxa"/>
              <w:bottom w:w="30" w:type="dxa"/>
              <w:right w:w="20" w:type="dxa"/>
            </w:tcMar>
            <w:vAlign w:val="center"/>
            <w:hideMark/>
          </w:tcPr>
          <w:p w14:paraId="221D20D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29D98"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77E4ABDA"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1AA1D00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CB6132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A8A81"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2F703295"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7E514F0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05293C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CA62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7E9349"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7E53A0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0D917"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35C5356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99F69EA" w14:textId="77777777" w:rsidR="00000000" w:rsidRDefault="00A173A8">
            <w:pPr>
              <w:spacing w:after="100"/>
              <w:jc w:val="right"/>
              <w:rPr>
                <w:rFonts w:eastAsia="Times New Roman"/>
              </w:rPr>
            </w:pPr>
            <w:r>
              <w:rPr>
                <w:rFonts w:eastAsia="Times New Roman"/>
                <w:color w:val="000000"/>
                <w:sz w:val="18"/>
                <w:szCs w:val="18"/>
              </w:rPr>
              <w:t>9,442 </w:t>
            </w:r>
          </w:p>
        </w:tc>
        <w:tc>
          <w:tcPr>
            <w:tcW w:w="0" w:type="auto"/>
            <w:shd w:val="clear" w:color="auto" w:fill="CCEEFF"/>
            <w:tcMar>
              <w:top w:w="30" w:type="dxa"/>
              <w:left w:w="0" w:type="dxa"/>
              <w:bottom w:w="30" w:type="dxa"/>
              <w:right w:w="20" w:type="dxa"/>
            </w:tcMar>
            <w:vAlign w:val="center"/>
            <w:hideMark/>
          </w:tcPr>
          <w:p w14:paraId="23AF359D" w14:textId="77777777" w:rsidR="00000000" w:rsidRDefault="00A173A8">
            <w:pPr>
              <w:spacing w:after="100"/>
              <w:jc w:val="right"/>
              <w:rPr>
                <w:rFonts w:eastAsia="Times New Roman"/>
              </w:rPr>
            </w:pPr>
          </w:p>
        </w:tc>
      </w:tr>
      <w:tr w:rsidR="00000000" w14:paraId="331DBFEA" w14:textId="77777777">
        <w:trPr>
          <w:divId w:val="144248451"/>
        </w:trPr>
        <w:tc>
          <w:tcPr>
            <w:tcW w:w="0" w:type="auto"/>
            <w:gridSpan w:val="3"/>
            <w:shd w:val="clear" w:color="auto" w:fill="FFFFFF"/>
            <w:tcMar>
              <w:top w:w="30" w:type="dxa"/>
              <w:left w:w="245" w:type="dxa"/>
              <w:bottom w:w="30" w:type="dxa"/>
              <w:right w:w="20" w:type="dxa"/>
            </w:tcMar>
            <w:vAlign w:val="center"/>
            <w:hideMark/>
          </w:tcPr>
          <w:p w14:paraId="4382AC26"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0712F90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DE88FD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DE2B5B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63326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92A231" w14:textId="77777777" w:rsidR="00000000" w:rsidRDefault="00A173A8">
            <w:pPr>
              <w:spacing w:after="100"/>
              <w:jc w:val="right"/>
              <w:rPr>
                <w:rFonts w:eastAsia="Times New Roman"/>
              </w:rPr>
            </w:pPr>
            <w:r>
              <w:rPr>
                <w:rFonts w:eastAsia="Times New Roman"/>
                <w:color w:val="000000"/>
                <w:sz w:val="18"/>
                <w:szCs w:val="18"/>
              </w:rPr>
              <w:t>73,358 </w:t>
            </w:r>
          </w:p>
        </w:tc>
        <w:tc>
          <w:tcPr>
            <w:tcW w:w="0" w:type="auto"/>
            <w:shd w:val="clear" w:color="auto" w:fill="FFFFFF"/>
            <w:tcMar>
              <w:top w:w="30" w:type="dxa"/>
              <w:left w:w="0" w:type="dxa"/>
              <w:bottom w:w="30" w:type="dxa"/>
              <w:right w:w="20" w:type="dxa"/>
            </w:tcMar>
            <w:vAlign w:val="center"/>
            <w:hideMark/>
          </w:tcPr>
          <w:p w14:paraId="316511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819A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ACAFAC" w14:textId="77777777" w:rsidR="00000000" w:rsidRDefault="00A173A8">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vAlign w:val="center"/>
            <w:hideMark/>
          </w:tcPr>
          <w:p w14:paraId="14DC466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86C7F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B359E8"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8CCBB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FC1F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70C0BB" w14:textId="77777777" w:rsidR="00000000" w:rsidRDefault="00A173A8">
            <w:pPr>
              <w:spacing w:after="100"/>
              <w:jc w:val="right"/>
              <w:rPr>
                <w:rFonts w:eastAsia="Times New Roman"/>
              </w:rPr>
            </w:pPr>
            <w:r>
              <w:rPr>
                <w:rFonts w:eastAsia="Times New Roman"/>
                <w:color w:val="000000"/>
                <w:sz w:val="18"/>
                <w:szCs w:val="18"/>
              </w:rPr>
              <w:t>73,616 </w:t>
            </w:r>
          </w:p>
        </w:tc>
        <w:tc>
          <w:tcPr>
            <w:tcW w:w="0" w:type="auto"/>
            <w:shd w:val="clear" w:color="auto" w:fill="FFFFFF"/>
            <w:tcMar>
              <w:top w:w="30" w:type="dxa"/>
              <w:left w:w="0" w:type="dxa"/>
              <w:bottom w:w="30" w:type="dxa"/>
              <w:right w:w="20" w:type="dxa"/>
            </w:tcMar>
            <w:vAlign w:val="center"/>
            <w:hideMark/>
          </w:tcPr>
          <w:p w14:paraId="179E688E" w14:textId="77777777" w:rsidR="00000000" w:rsidRDefault="00A173A8">
            <w:pPr>
              <w:spacing w:after="100"/>
              <w:jc w:val="right"/>
              <w:rPr>
                <w:rFonts w:eastAsia="Times New Roman"/>
              </w:rPr>
            </w:pPr>
          </w:p>
        </w:tc>
      </w:tr>
      <w:tr w:rsidR="00000000" w14:paraId="5BD4FC9F" w14:textId="77777777">
        <w:trPr>
          <w:divId w:val="144248451"/>
        </w:trPr>
        <w:tc>
          <w:tcPr>
            <w:tcW w:w="0" w:type="auto"/>
            <w:gridSpan w:val="3"/>
            <w:shd w:val="clear" w:color="auto" w:fill="CCEEFF"/>
            <w:tcMar>
              <w:top w:w="30" w:type="dxa"/>
              <w:left w:w="245" w:type="dxa"/>
              <w:bottom w:w="30" w:type="dxa"/>
              <w:right w:w="20" w:type="dxa"/>
            </w:tcMar>
            <w:vAlign w:val="center"/>
            <w:hideMark/>
          </w:tcPr>
          <w:p w14:paraId="175853EB" w14:textId="77777777" w:rsidR="00000000" w:rsidRDefault="00A173A8">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3298250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1D1626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28B8A94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250B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E208E52" w14:textId="77777777" w:rsidR="00000000" w:rsidRDefault="00A173A8">
            <w:pPr>
              <w:spacing w:after="100"/>
              <w:jc w:val="right"/>
              <w:rPr>
                <w:rFonts w:eastAsia="Times New Roman"/>
              </w:rPr>
            </w:pPr>
            <w:r>
              <w:rPr>
                <w:rFonts w:eastAsia="Times New Roman"/>
                <w:color w:val="000000"/>
                <w:sz w:val="18"/>
                <w:szCs w:val="18"/>
              </w:rPr>
              <w:t>9,360 </w:t>
            </w:r>
          </w:p>
        </w:tc>
        <w:tc>
          <w:tcPr>
            <w:tcW w:w="0" w:type="auto"/>
            <w:shd w:val="clear" w:color="auto" w:fill="CCEEFF"/>
            <w:tcMar>
              <w:top w:w="30" w:type="dxa"/>
              <w:left w:w="0" w:type="dxa"/>
              <w:bottom w:w="30" w:type="dxa"/>
              <w:right w:w="20" w:type="dxa"/>
            </w:tcMar>
            <w:vAlign w:val="center"/>
            <w:hideMark/>
          </w:tcPr>
          <w:p w14:paraId="0200BEF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A3DF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B188786" w14:textId="77777777" w:rsidR="00000000" w:rsidRDefault="00A173A8">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14:paraId="6713F93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4CB58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DBFFBE"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EEC26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429C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E49582" w14:textId="77777777" w:rsidR="00000000" w:rsidRDefault="00A173A8">
            <w:pPr>
              <w:spacing w:after="100"/>
              <w:jc w:val="right"/>
              <w:rPr>
                <w:rFonts w:eastAsia="Times New Roman"/>
              </w:rPr>
            </w:pPr>
            <w:r>
              <w:rPr>
                <w:rFonts w:eastAsia="Times New Roman"/>
                <w:color w:val="000000"/>
                <w:sz w:val="18"/>
                <w:szCs w:val="18"/>
              </w:rPr>
              <w:t>9,369 </w:t>
            </w:r>
          </w:p>
        </w:tc>
        <w:tc>
          <w:tcPr>
            <w:tcW w:w="0" w:type="auto"/>
            <w:shd w:val="clear" w:color="auto" w:fill="CCEEFF"/>
            <w:tcMar>
              <w:top w:w="30" w:type="dxa"/>
              <w:left w:w="0" w:type="dxa"/>
              <w:bottom w:w="30" w:type="dxa"/>
              <w:right w:w="20" w:type="dxa"/>
            </w:tcMar>
            <w:vAlign w:val="center"/>
            <w:hideMark/>
          </w:tcPr>
          <w:p w14:paraId="2948759E" w14:textId="77777777" w:rsidR="00000000" w:rsidRDefault="00A173A8">
            <w:pPr>
              <w:spacing w:after="100"/>
              <w:jc w:val="right"/>
              <w:rPr>
                <w:rFonts w:eastAsia="Times New Roman"/>
              </w:rPr>
            </w:pPr>
          </w:p>
        </w:tc>
      </w:tr>
      <w:tr w:rsidR="00000000" w14:paraId="41A113C8" w14:textId="77777777">
        <w:trPr>
          <w:divId w:val="144248451"/>
        </w:trPr>
        <w:tc>
          <w:tcPr>
            <w:tcW w:w="0" w:type="auto"/>
            <w:gridSpan w:val="3"/>
            <w:shd w:val="clear" w:color="auto" w:fill="FFFFFF"/>
            <w:tcMar>
              <w:top w:w="30" w:type="dxa"/>
              <w:left w:w="245" w:type="dxa"/>
              <w:bottom w:w="30" w:type="dxa"/>
              <w:right w:w="20" w:type="dxa"/>
            </w:tcMar>
            <w:vAlign w:val="center"/>
            <w:hideMark/>
          </w:tcPr>
          <w:p w14:paraId="14EC51E1" w14:textId="77777777" w:rsidR="00000000" w:rsidRDefault="00A173A8">
            <w:pPr>
              <w:spacing w:after="100"/>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14:paraId="490DF0B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6D87D5D" w14:textId="77777777" w:rsidR="00000000" w:rsidRDefault="00A173A8">
            <w:pPr>
              <w:spacing w:after="100"/>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center"/>
            <w:hideMark/>
          </w:tcPr>
          <w:p w14:paraId="2A4E2D4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2CDEF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8730E44" w14:textId="77777777" w:rsidR="00000000" w:rsidRDefault="00A173A8">
            <w:pPr>
              <w:spacing w:after="100"/>
              <w:jc w:val="right"/>
              <w:rPr>
                <w:rFonts w:eastAsia="Times New Roman"/>
              </w:rPr>
            </w:pPr>
            <w:r>
              <w:rPr>
                <w:rFonts w:eastAsia="Times New Roman"/>
                <w:color w:val="000000"/>
                <w:sz w:val="18"/>
                <w:szCs w:val="18"/>
              </w:rPr>
              <w:t>2,628 </w:t>
            </w:r>
          </w:p>
        </w:tc>
        <w:tc>
          <w:tcPr>
            <w:tcW w:w="0" w:type="auto"/>
            <w:shd w:val="clear" w:color="auto" w:fill="FFFFFF"/>
            <w:tcMar>
              <w:top w:w="30" w:type="dxa"/>
              <w:left w:w="0" w:type="dxa"/>
              <w:bottom w:w="30" w:type="dxa"/>
              <w:right w:w="20" w:type="dxa"/>
            </w:tcMar>
            <w:vAlign w:val="center"/>
            <w:hideMark/>
          </w:tcPr>
          <w:p w14:paraId="10F6FA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E481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951C4C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00F6AEF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39ED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12494C"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A92B2C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0528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0CB7813" w14:textId="77777777" w:rsidR="00000000" w:rsidRDefault="00A173A8">
            <w:pPr>
              <w:spacing w:after="100"/>
              <w:jc w:val="right"/>
              <w:rPr>
                <w:rFonts w:eastAsia="Times New Roman"/>
              </w:rPr>
            </w:pPr>
            <w:r>
              <w:rPr>
                <w:rFonts w:eastAsia="Times New Roman"/>
                <w:color w:val="000000"/>
                <w:sz w:val="18"/>
                <w:szCs w:val="18"/>
              </w:rPr>
              <w:t>2,834 </w:t>
            </w:r>
          </w:p>
        </w:tc>
        <w:tc>
          <w:tcPr>
            <w:tcW w:w="0" w:type="auto"/>
            <w:shd w:val="clear" w:color="auto" w:fill="FFFFFF"/>
            <w:tcMar>
              <w:top w:w="30" w:type="dxa"/>
              <w:left w:w="0" w:type="dxa"/>
              <w:bottom w:w="30" w:type="dxa"/>
              <w:right w:w="20" w:type="dxa"/>
            </w:tcMar>
            <w:vAlign w:val="center"/>
            <w:hideMark/>
          </w:tcPr>
          <w:p w14:paraId="38CA3D5E" w14:textId="77777777" w:rsidR="00000000" w:rsidRDefault="00A173A8">
            <w:pPr>
              <w:spacing w:after="100"/>
              <w:jc w:val="right"/>
              <w:rPr>
                <w:rFonts w:eastAsia="Times New Roman"/>
              </w:rPr>
            </w:pPr>
          </w:p>
        </w:tc>
      </w:tr>
      <w:tr w:rsidR="00000000" w14:paraId="44C5A75E" w14:textId="77777777">
        <w:trPr>
          <w:divId w:val="144248451"/>
        </w:trPr>
        <w:tc>
          <w:tcPr>
            <w:tcW w:w="0" w:type="auto"/>
            <w:gridSpan w:val="3"/>
            <w:shd w:val="clear" w:color="auto" w:fill="CCEEFF"/>
            <w:tcMar>
              <w:top w:w="30" w:type="dxa"/>
              <w:left w:w="20" w:type="dxa"/>
              <w:bottom w:w="30" w:type="dxa"/>
              <w:right w:w="20" w:type="dxa"/>
            </w:tcMar>
            <w:vAlign w:val="center"/>
            <w:hideMark/>
          </w:tcPr>
          <w:p w14:paraId="5B80AC88" w14:textId="77777777" w:rsidR="00000000" w:rsidRDefault="00A173A8">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14:paraId="7267C52E"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2046582" w14:textId="77777777" w:rsidR="00000000" w:rsidRDefault="00A173A8">
            <w:pPr>
              <w:spacing w:after="100"/>
              <w:jc w:val="right"/>
              <w:rPr>
                <w:rFonts w:eastAsia="Times New Roman"/>
              </w:rPr>
            </w:pPr>
            <w:r>
              <w:rPr>
                <w:rFonts w:eastAsia="Times New Roman"/>
                <w:color w:val="000000"/>
                <w:sz w:val="18"/>
                <w:szCs w:val="18"/>
              </w:rPr>
              <w:t>9,648 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B6E00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C4D8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1F7BCC5" w14:textId="77777777" w:rsidR="00000000" w:rsidRDefault="00A173A8">
            <w:pPr>
              <w:spacing w:after="100"/>
              <w:jc w:val="right"/>
              <w:rPr>
                <w:rFonts w:eastAsia="Times New Roman"/>
              </w:rPr>
            </w:pPr>
            <w:r>
              <w:rPr>
                <w:rFonts w:eastAsia="Times New Roman"/>
                <w:color w:val="000000"/>
                <w:sz w:val="18"/>
                <w:szCs w:val="18"/>
              </w:rPr>
              <w:t>85,346 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117B0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A899FF"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C28CB2A" w14:textId="77777777" w:rsidR="00000000" w:rsidRDefault="00A173A8">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06EA1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F5A7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74F10B4" w14:textId="77777777" w:rsidR="00000000" w:rsidRDefault="00A173A8">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F40921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309DB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31F8C3C" w14:textId="77777777" w:rsidR="00000000" w:rsidRDefault="00A173A8">
            <w:pPr>
              <w:spacing w:after="100"/>
              <w:jc w:val="right"/>
              <w:rPr>
                <w:rFonts w:eastAsia="Times New Roman"/>
              </w:rPr>
            </w:pPr>
            <w:r>
              <w:rPr>
                <w:rFonts w:eastAsia="Times New Roman"/>
                <w:color w:val="000000"/>
                <w:sz w:val="18"/>
                <w:szCs w:val="18"/>
              </w:rPr>
              <w:t>95,261 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C53C552" w14:textId="77777777" w:rsidR="00000000" w:rsidRDefault="00A173A8">
            <w:pPr>
              <w:spacing w:after="100"/>
              <w:jc w:val="right"/>
              <w:rPr>
                <w:rFonts w:eastAsia="Times New Roman"/>
              </w:rPr>
            </w:pPr>
          </w:p>
        </w:tc>
      </w:tr>
      <w:tr w:rsidR="00000000" w14:paraId="13191EBC" w14:textId="77777777">
        <w:trPr>
          <w:divId w:val="144248451"/>
        </w:trPr>
        <w:tc>
          <w:tcPr>
            <w:tcW w:w="0" w:type="auto"/>
            <w:gridSpan w:val="3"/>
            <w:shd w:val="clear" w:color="auto" w:fill="FFFFFF"/>
            <w:tcMar>
              <w:top w:w="30" w:type="dxa"/>
              <w:left w:w="20" w:type="dxa"/>
              <w:bottom w:w="30" w:type="dxa"/>
              <w:right w:w="20" w:type="dxa"/>
            </w:tcMar>
            <w:vAlign w:val="center"/>
            <w:hideMark/>
          </w:tcPr>
          <w:p w14:paraId="6DB28D0C" w14:textId="77777777" w:rsidR="00000000" w:rsidRDefault="00A173A8">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75DA05A2"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81716D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8D4A4E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7077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770A84" w14:textId="77777777" w:rsidR="00000000" w:rsidRDefault="00A173A8">
            <w:pPr>
              <w:spacing w:after="100"/>
              <w:jc w:val="right"/>
              <w:rPr>
                <w:rFonts w:eastAsia="Times New Roman"/>
              </w:rPr>
            </w:pPr>
            <w:r>
              <w:rPr>
                <w:rFonts w:eastAsia="Times New Roman"/>
                <w:color w:val="000000"/>
                <w:sz w:val="18"/>
                <w:szCs w:val="18"/>
              </w:rPr>
              <w:t>1,026 </w:t>
            </w:r>
          </w:p>
        </w:tc>
        <w:tc>
          <w:tcPr>
            <w:tcW w:w="0" w:type="auto"/>
            <w:shd w:val="clear" w:color="auto" w:fill="FFFFFF"/>
            <w:tcMar>
              <w:top w:w="30" w:type="dxa"/>
              <w:left w:w="0" w:type="dxa"/>
              <w:bottom w:w="30" w:type="dxa"/>
              <w:right w:w="20" w:type="dxa"/>
            </w:tcMar>
            <w:vAlign w:val="center"/>
            <w:hideMark/>
          </w:tcPr>
          <w:p w14:paraId="37DB6E6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282AD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800020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35B6A1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1C52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F455A1"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B860F1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E3DF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9C5803" w14:textId="77777777" w:rsidR="00000000" w:rsidRDefault="00A173A8">
            <w:pPr>
              <w:spacing w:after="100"/>
              <w:jc w:val="right"/>
              <w:rPr>
                <w:rFonts w:eastAsia="Times New Roman"/>
              </w:rPr>
            </w:pPr>
            <w:r>
              <w:rPr>
                <w:rFonts w:eastAsia="Times New Roman"/>
                <w:color w:val="000000"/>
                <w:sz w:val="18"/>
                <w:szCs w:val="18"/>
              </w:rPr>
              <w:t>1,026 </w:t>
            </w:r>
          </w:p>
        </w:tc>
        <w:tc>
          <w:tcPr>
            <w:tcW w:w="0" w:type="auto"/>
            <w:shd w:val="clear" w:color="auto" w:fill="FFFFFF"/>
            <w:tcMar>
              <w:top w:w="30" w:type="dxa"/>
              <w:left w:w="0" w:type="dxa"/>
              <w:bottom w:w="30" w:type="dxa"/>
              <w:right w:w="20" w:type="dxa"/>
            </w:tcMar>
            <w:vAlign w:val="center"/>
            <w:hideMark/>
          </w:tcPr>
          <w:p w14:paraId="2CE97423" w14:textId="77777777" w:rsidR="00000000" w:rsidRDefault="00A173A8">
            <w:pPr>
              <w:spacing w:after="100"/>
              <w:jc w:val="right"/>
              <w:rPr>
                <w:rFonts w:eastAsia="Times New Roman"/>
              </w:rPr>
            </w:pPr>
          </w:p>
        </w:tc>
      </w:tr>
      <w:tr w:rsidR="00000000" w14:paraId="297603B4" w14:textId="77777777">
        <w:trPr>
          <w:divId w:val="144248451"/>
        </w:trPr>
        <w:tc>
          <w:tcPr>
            <w:tcW w:w="0" w:type="auto"/>
            <w:gridSpan w:val="3"/>
            <w:shd w:val="clear" w:color="auto" w:fill="CCEEFF"/>
            <w:tcMar>
              <w:top w:w="30" w:type="dxa"/>
              <w:left w:w="20" w:type="dxa"/>
              <w:bottom w:w="30" w:type="dxa"/>
              <w:right w:w="20" w:type="dxa"/>
            </w:tcMar>
            <w:vAlign w:val="center"/>
            <w:hideMark/>
          </w:tcPr>
          <w:p w14:paraId="45BCD8BB" w14:textId="77777777" w:rsidR="00000000" w:rsidRDefault="00A173A8">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78D34DE1" w14:textId="77777777" w:rsidR="00000000" w:rsidRDefault="00A173A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FA9A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FD0BE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BF077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8D686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EBC01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3414E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13D69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1D0AF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39AB85" w14:textId="77777777" w:rsidR="00000000" w:rsidRDefault="00A173A8">
            <w:pPr>
              <w:spacing w:after="100"/>
              <w:rPr>
                <w:rFonts w:eastAsia="Times New Roman"/>
                <w:sz w:val="20"/>
                <w:szCs w:val="20"/>
              </w:rPr>
            </w:pPr>
          </w:p>
        </w:tc>
      </w:tr>
      <w:tr w:rsidR="00000000" w14:paraId="4AA07BB9" w14:textId="77777777">
        <w:trPr>
          <w:divId w:val="144248451"/>
        </w:trPr>
        <w:tc>
          <w:tcPr>
            <w:tcW w:w="0" w:type="auto"/>
            <w:gridSpan w:val="3"/>
            <w:shd w:val="clear" w:color="auto" w:fill="FFFFFF"/>
            <w:tcMar>
              <w:top w:w="30" w:type="dxa"/>
              <w:left w:w="20" w:type="dxa"/>
              <w:bottom w:w="30" w:type="dxa"/>
              <w:right w:w="20" w:type="dxa"/>
            </w:tcMar>
            <w:vAlign w:val="center"/>
            <w:hideMark/>
          </w:tcPr>
          <w:p w14:paraId="2F78E9EE" w14:textId="77777777" w:rsidR="00000000" w:rsidRDefault="00A173A8">
            <w:pPr>
              <w:spacing w:after="100"/>
              <w:divId w:val="1494293678"/>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CB32B9F"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09D5CA3" w14:textId="77777777" w:rsidR="00000000" w:rsidRDefault="00A173A8">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center"/>
            <w:hideMark/>
          </w:tcPr>
          <w:p w14:paraId="7FF7A5F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5E86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D11614" w14:textId="77777777" w:rsidR="00000000" w:rsidRDefault="00A173A8">
            <w:pPr>
              <w:spacing w:after="100"/>
              <w:jc w:val="right"/>
              <w:rPr>
                <w:rFonts w:eastAsia="Times New Roman"/>
              </w:rPr>
            </w:pPr>
            <w:r>
              <w:rPr>
                <w:rFonts w:eastAsia="Times New Roman"/>
                <w:color w:val="000000"/>
                <w:sz w:val="18"/>
                <w:szCs w:val="18"/>
              </w:rPr>
              <w:t>2,200 </w:t>
            </w:r>
          </w:p>
        </w:tc>
        <w:tc>
          <w:tcPr>
            <w:tcW w:w="0" w:type="auto"/>
            <w:shd w:val="clear" w:color="auto" w:fill="FFFFFF"/>
            <w:tcMar>
              <w:top w:w="30" w:type="dxa"/>
              <w:left w:w="0" w:type="dxa"/>
              <w:bottom w:w="30" w:type="dxa"/>
              <w:right w:w="20" w:type="dxa"/>
            </w:tcMar>
            <w:vAlign w:val="center"/>
            <w:hideMark/>
          </w:tcPr>
          <w:p w14:paraId="5548B7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AB4F7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413948C" w14:textId="77777777" w:rsidR="00000000" w:rsidRDefault="00A173A8">
            <w:pPr>
              <w:spacing w:after="100"/>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center"/>
            <w:hideMark/>
          </w:tcPr>
          <w:p w14:paraId="7E3660F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323CE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D57D9EA"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E4FB7FB" w14:textId="77777777" w:rsidR="00000000" w:rsidRDefault="00A173A8">
            <w:pPr>
              <w:spacing w:after="100"/>
              <w:jc w:val="right"/>
              <w:rPr>
                <w:rFonts w:eastAsia="Times New Roman"/>
              </w:rPr>
            </w:pPr>
            <w:r>
              <w:rPr>
                <w:rFonts w:eastAsia="Times New Roman"/>
                <w:color w:val="000000"/>
                <w:sz w:val="18"/>
                <w:szCs w:val="18"/>
              </w:rPr>
              <w:t>(542)</w:t>
            </w:r>
          </w:p>
        </w:tc>
        <w:tc>
          <w:tcPr>
            <w:tcW w:w="0" w:type="auto"/>
            <w:shd w:val="clear" w:color="auto" w:fill="FFFFFF"/>
            <w:tcMar>
              <w:top w:w="30" w:type="dxa"/>
              <w:left w:w="0" w:type="dxa"/>
              <w:bottom w:w="30" w:type="dxa"/>
              <w:right w:w="20" w:type="dxa"/>
            </w:tcMar>
            <w:vAlign w:val="center"/>
            <w:hideMark/>
          </w:tcPr>
          <w:p w14:paraId="7351E7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1AF4B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D2B9D8D" w14:textId="77777777" w:rsidR="00000000" w:rsidRDefault="00A173A8">
            <w:pPr>
              <w:spacing w:after="100"/>
              <w:jc w:val="right"/>
              <w:rPr>
                <w:rFonts w:eastAsia="Times New Roman"/>
              </w:rPr>
            </w:pPr>
            <w:r>
              <w:rPr>
                <w:rFonts w:eastAsia="Times New Roman"/>
                <w:color w:val="000000"/>
                <w:sz w:val="18"/>
                <w:szCs w:val="18"/>
              </w:rPr>
              <w:t>2,148 </w:t>
            </w:r>
          </w:p>
        </w:tc>
        <w:tc>
          <w:tcPr>
            <w:tcW w:w="0" w:type="auto"/>
            <w:shd w:val="clear" w:color="auto" w:fill="FFFFFF"/>
            <w:tcMar>
              <w:top w:w="30" w:type="dxa"/>
              <w:left w:w="0" w:type="dxa"/>
              <w:bottom w:w="30" w:type="dxa"/>
              <w:right w:w="20" w:type="dxa"/>
            </w:tcMar>
            <w:vAlign w:val="center"/>
            <w:hideMark/>
          </w:tcPr>
          <w:p w14:paraId="7D47E81C" w14:textId="77777777" w:rsidR="00000000" w:rsidRDefault="00A173A8">
            <w:pPr>
              <w:spacing w:after="100"/>
              <w:jc w:val="right"/>
              <w:rPr>
                <w:rFonts w:eastAsia="Times New Roman"/>
              </w:rPr>
            </w:pPr>
          </w:p>
        </w:tc>
      </w:tr>
      <w:tr w:rsidR="00000000" w14:paraId="705DB150" w14:textId="77777777">
        <w:trPr>
          <w:divId w:val="144248451"/>
        </w:trPr>
        <w:tc>
          <w:tcPr>
            <w:tcW w:w="0" w:type="auto"/>
            <w:gridSpan w:val="3"/>
            <w:shd w:val="clear" w:color="auto" w:fill="CCEEFF"/>
            <w:tcMar>
              <w:top w:w="30" w:type="dxa"/>
              <w:left w:w="20" w:type="dxa"/>
              <w:bottom w:w="30" w:type="dxa"/>
              <w:right w:w="20" w:type="dxa"/>
            </w:tcMar>
            <w:vAlign w:val="center"/>
            <w:hideMark/>
          </w:tcPr>
          <w:p w14:paraId="09B7444C" w14:textId="77777777" w:rsidR="00000000" w:rsidRDefault="00A173A8">
            <w:pPr>
              <w:spacing w:after="100"/>
              <w:divId w:val="118929915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6C3D42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1AEAD04" w14:textId="77777777" w:rsidR="00000000" w:rsidRDefault="00A173A8">
            <w:pPr>
              <w:spacing w:after="100"/>
              <w:jc w:val="right"/>
              <w:rPr>
                <w:rFonts w:eastAsia="Times New Roman"/>
              </w:rPr>
            </w:pPr>
            <w:r>
              <w:rPr>
                <w:rFonts w:eastAsia="Times New Roman"/>
                <w:color w:val="000000"/>
                <w:sz w:val="18"/>
                <w:szCs w:val="18"/>
              </w:rPr>
              <w:t>526 </w:t>
            </w:r>
          </w:p>
        </w:tc>
        <w:tc>
          <w:tcPr>
            <w:tcW w:w="0" w:type="auto"/>
            <w:shd w:val="clear" w:color="auto" w:fill="CCEEFF"/>
            <w:tcMar>
              <w:top w:w="30" w:type="dxa"/>
              <w:left w:w="0" w:type="dxa"/>
              <w:bottom w:w="30" w:type="dxa"/>
              <w:right w:w="20" w:type="dxa"/>
            </w:tcMar>
            <w:vAlign w:val="center"/>
            <w:hideMark/>
          </w:tcPr>
          <w:p w14:paraId="15304BE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DD4B9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CA8C14E" w14:textId="77777777" w:rsidR="00000000" w:rsidRDefault="00A173A8">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14:paraId="510CC00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0901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145BE7" w14:textId="77777777" w:rsidR="00000000" w:rsidRDefault="00A173A8">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center"/>
            <w:hideMark/>
          </w:tcPr>
          <w:p w14:paraId="7B16AAD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A613E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55D471" w14:textId="77777777" w:rsidR="00000000" w:rsidRDefault="00A173A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4C3B8E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89B0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804F16" w14:textId="77777777" w:rsidR="00000000" w:rsidRDefault="00A173A8">
            <w:pPr>
              <w:spacing w:after="100"/>
              <w:jc w:val="right"/>
              <w:rPr>
                <w:rFonts w:eastAsia="Times New Roman"/>
              </w:rPr>
            </w:pPr>
            <w:r>
              <w:rPr>
                <w:rFonts w:eastAsia="Times New Roman"/>
                <w:color w:val="000000"/>
                <w:sz w:val="18"/>
                <w:szCs w:val="18"/>
              </w:rPr>
              <w:t>573 </w:t>
            </w:r>
          </w:p>
        </w:tc>
        <w:tc>
          <w:tcPr>
            <w:tcW w:w="0" w:type="auto"/>
            <w:shd w:val="clear" w:color="auto" w:fill="CCEEFF"/>
            <w:tcMar>
              <w:top w:w="30" w:type="dxa"/>
              <w:left w:w="0" w:type="dxa"/>
              <w:bottom w:w="30" w:type="dxa"/>
              <w:right w:w="20" w:type="dxa"/>
            </w:tcMar>
            <w:vAlign w:val="center"/>
            <w:hideMark/>
          </w:tcPr>
          <w:p w14:paraId="2566B5EB" w14:textId="77777777" w:rsidR="00000000" w:rsidRDefault="00A173A8">
            <w:pPr>
              <w:spacing w:after="100"/>
              <w:jc w:val="right"/>
              <w:rPr>
                <w:rFonts w:eastAsia="Times New Roman"/>
              </w:rPr>
            </w:pPr>
          </w:p>
        </w:tc>
      </w:tr>
      <w:tr w:rsidR="00000000" w14:paraId="1125D7C9" w14:textId="77777777">
        <w:trPr>
          <w:divId w:val="144248451"/>
        </w:trPr>
        <w:tc>
          <w:tcPr>
            <w:tcW w:w="0" w:type="auto"/>
            <w:gridSpan w:val="3"/>
            <w:shd w:val="clear" w:color="auto" w:fill="FFFFFF"/>
            <w:tcMar>
              <w:top w:w="30" w:type="dxa"/>
              <w:left w:w="20" w:type="dxa"/>
              <w:bottom w:w="30" w:type="dxa"/>
              <w:right w:w="20" w:type="dxa"/>
            </w:tcMar>
            <w:vAlign w:val="center"/>
            <w:hideMark/>
          </w:tcPr>
          <w:p w14:paraId="55684C10" w14:textId="77777777" w:rsidR="00000000" w:rsidRDefault="00A173A8">
            <w:pPr>
              <w:spacing w:after="100"/>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14:paraId="1D3AE159"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6E3DD8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EB5BDB0" w14:textId="77777777" w:rsidR="00000000" w:rsidRDefault="00A173A8">
            <w:pPr>
              <w:spacing w:after="100"/>
              <w:jc w:val="right"/>
              <w:rPr>
                <w:rFonts w:eastAsia="Times New Roman"/>
              </w:rPr>
            </w:pPr>
            <w:r>
              <w:rPr>
                <w:rFonts w:eastAsia="Times New Roman"/>
                <w:color w:val="000000"/>
                <w:sz w:val="18"/>
                <w:szCs w:val="18"/>
              </w:rPr>
              <w:t>10,580 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D3ACD5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E4A2F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54C396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8428780" w14:textId="77777777" w:rsidR="00000000" w:rsidRDefault="00A173A8">
            <w:pPr>
              <w:spacing w:after="100"/>
              <w:jc w:val="right"/>
              <w:rPr>
                <w:rFonts w:eastAsia="Times New Roman"/>
              </w:rPr>
            </w:pPr>
            <w:r>
              <w:rPr>
                <w:rFonts w:eastAsia="Times New Roman"/>
                <w:color w:val="000000"/>
                <w:sz w:val="18"/>
                <w:szCs w:val="18"/>
              </w:rPr>
              <w:t>88,578 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B54E8A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D4BF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309318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72BD00B8" w14:textId="77777777" w:rsidR="00000000" w:rsidRDefault="00A173A8">
            <w:pPr>
              <w:spacing w:after="100"/>
              <w:jc w:val="right"/>
              <w:rPr>
                <w:rFonts w:eastAsia="Times New Roman"/>
              </w:rPr>
            </w:pPr>
            <w:r>
              <w:rPr>
                <w:rFonts w:eastAsia="Times New Roman"/>
                <w:color w:val="000000"/>
                <w:sz w:val="18"/>
                <w:szCs w:val="18"/>
              </w:rPr>
              <w:t>392 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7D1916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3C7F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ADAA39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0C20044" w14:textId="77777777" w:rsidR="00000000" w:rsidRDefault="00A173A8">
            <w:pPr>
              <w:spacing w:after="100"/>
              <w:jc w:val="right"/>
              <w:rPr>
                <w:rFonts w:eastAsia="Times New Roman"/>
              </w:rPr>
            </w:pPr>
            <w:r>
              <w:rPr>
                <w:rFonts w:eastAsia="Times New Roman"/>
                <w:color w:val="000000"/>
                <w:sz w:val="18"/>
                <w:szCs w:val="18"/>
              </w:rPr>
              <w:t>(542)</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D90FDA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5FDE6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EE44DD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78A2571" w14:textId="77777777" w:rsidR="00000000" w:rsidRDefault="00A173A8">
            <w:pPr>
              <w:spacing w:after="100"/>
              <w:jc w:val="right"/>
              <w:rPr>
                <w:rFonts w:eastAsia="Times New Roman"/>
              </w:rPr>
            </w:pPr>
            <w:r>
              <w:rPr>
                <w:rFonts w:eastAsia="Times New Roman"/>
                <w:color w:val="000000"/>
                <w:sz w:val="18"/>
                <w:szCs w:val="18"/>
              </w:rPr>
              <w:t>99,008 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9CB23B6" w14:textId="77777777" w:rsidR="00000000" w:rsidRDefault="00A173A8">
            <w:pPr>
              <w:spacing w:after="100"/>
              <w:jc w:val="right"/>
              <w:rPr>
                <w:rFonts w:eastAsia="Times New Roman"/>
              </w:rPr>
            </w:pPr>
          </w:p>
        </w:tc>
      </w:tr>
      <w:tr w:rsidR="00000000" w14:paraId="51794CDF" w14:textId="77777777">
        <w:trPr>
          <w:divId w:val="144248451"/>
        </w:trPr>
        <w:tc>
          <w:tcPr>
            <w:tcW w:w="0" w:type="auto"/>
            <w:gridSpan w:val="3"/>
            <w:shd w:val="clear" w:color="auto" w:fill="CCEEFF"/>
            <w:tcMar>
              <w:top w:w="30" w:type="dxa"/>
              <w:left w:w="20" w:type="dxa"/>
              <w:bottom w:w="30" w:type="dxa"/>
              <w:right w:w="20" w:type="dxa"/>
            </w:tcMar>
            <w:vAlign w:val="center"/>
            <w:hideMark/>
          </w:tcPr>
          <w:p w14:paraId="73D3E540" w14:textId="77777777" w:rsidR="00000000" w:rsidRDefault="00A173A8">
            <w:pPr>
              <w:spacing w:after="100"/>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14:paraId="230EC109"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810489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BEA0C6"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2AC1C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5957F2"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8FB89A"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A9D60C"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28545A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CCFEF7"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C5E1C87" w14:textId="77777777" w:rsidR="00000000" w:rsidRDefault="00A173A8">
            <w:pPr>
              <w:spacing w:after="100"/>
              <w:rPr>
                <w:rFonts w:eastAsia="Times New Roman"/>
                <w:sz w:val="20"/>
                <w:szCs w:val="20"/>
              </w:rPr>
            </w:pPr>
          </w:p>
        </w:tc>
      </w:tr>
      <w:tr w:rsidR="00000000" w14:paraId="34C3A9AF" w14:textId="77777777">
        <w:trPr>
          <w:divId w:val="144248451"/>
        </w:trPr>
        <w:tc>
          <w:tcPr>
            <w:tcW w:w="0" w:type="auto"/>
            <w:gridSpan w:val="3"/>
            <w:shd w:val="clear" w:color="auto" w:fill="FFFFFF"/>
            <w:tcMar>
              <w:top w:w="30" w:type="dxa"/>
              <w:left w:w="20" w:type="dxa"/>
              <w:bottom w:w="30" w:type="dxa"/>
              <w:right w:w="20" w:type="dxa"/>
            </w:tcMar>
            <w:vAlign w:val="center"/>
            <w:hideMark/>
          </w:tcPr>
          <w:p w14:paraId="3586DB15" w14:textId="77777777" w:rsidR="00000000" w:rsidRDefault="00A173A8">
            <w:pPr>
              <w:spacing w:after="100"/>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14:paraId="118F86D4"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4307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33D03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C8CF4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C4170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B451A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ACE236"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6EFF1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3D1A0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1BE8ED" w14:textId="77777777" w:rsidR="00000000" w:rsidRDefault="00A173A8">
            <w:pPr>
              <w:spacing w:after="100"/>
              <w:rPr>
                <w:rFonts w:eastAsia="Times New Roman"/>
                <w:sz w:val="20"/>
                <w:szCs w:val="20"/>
              </w:rPr>
            </w:pPr>
          </w:p>
        </w:tc>
      </w:tr>
      <w:tr w:rsidR="00000000" w14:paraId="5E857F05" w14:textId="77777777">
        <w:trPr>
          <w:divId w:val="144248451"/>
        </w:trPr>
        <w:tc>
          <w:tcPr>
            <w:tcW w:w="0" w:type="auto"/>
            <w:gridSpan w:val="3"/>
            <w:shd w:val="clear" w:color="auto" w:fill="CCEEFF"/>
            <w:tcMar>
              <w:top w:w="30" w:type="dxa"/>
              <w:left w:w="20" w:type="dxa"/>
              <w:bottom w:w="30" w:type="dxa"/>
              <w:right w:w="20" w:type="dxa"/>
            </w:tcMar>
            <w:vAlign w:val="center"/>
            <w:hideMark/>
          </w:tcPr>
          <w:p w14:paraId="51517364" w14:textId="77777777" w:rsidR="00000000" w:rsidRDefault="00A173A8">
            <w:pPr>
              <w:spacing w:after="100"/>
              <w:divId w:val="2443070"/>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CC4B4D8" w14:textId="77777777" w:rsidR="00000000" w:rsidRDefault="00A173A8">
            <w:pPr>
              <w:spacing w:after="100"/>
              <w:rPr>
                <w:rFonts w:eastAsia="Times New Roman"/>
              </w:rPr>
            </w:pPr>
          </w:p>
        </w:tc>
        <w:tc>
          <w:tcPr>
            <w:tcW w:w="0" w:type="auto"/>
            <w:shd w:val="clear" w:color="auto" w:fill="CCEEFF"/>
            <w:tcMar>
              <w:top w:w="30" w:type="dxa"/>
              <w:left w:w="20" w:type="dxa"/>
              <w:bottom w:w="30" w:type="dxa"/>
              <w:right w:w="0" w:type="dxa"/>
            </w:tcMar>
            <w:vAlign w:val="center"/>
            <w:hideMark/>
          </w:tcPr>
          <w:p w14:paraId="615AA36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6D3C6815" w14:textId="77777777" w:rsidR="00000000" w:rsidRDefault="00A173A8">
            <w:pPr>
              <w:spacing w:after="100"/>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center"/>
            <w:hideMark/>
          </w:tcPr>
          <w:p w14:paraId="4171E58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EC468"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1F41A040"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33AD8241" w14:textId="77777777" w:rsidR="00000000" w:rsidRDefault="00A173A8">
            <w:pPr>
              <w:spacing w:after="100"/>
              <w:jc w:val="right"/>
              <w:rPr>
                <w:rFonts w:eastAsia="Times New Roman"/>
              </w:rPr>
            </w:pPr>
            <w:r>
              <w:rPr>
                <w:rFonts w:eastAsia="Times New Roman"/>
                <w:color w:val="000000"/>
                <w:sz w:val="18"/>
                <w:szCs w:val="18"/>
              </w:rPr>
              <w:t>965 </w:t>
            </w:r>
          </w:p>
        </w:tc>
        <w:tc>
          <w:tcPr>
            <w:tcW w:w="0" w:type="auto"/>
            <w:shd w:val="clear" w:color="auto" w:fill="CCEEFF"/>
            <w:tcMar>
              <w:top w:w="30" w:type="dxa"/>
              <w:left w:w="0" w:type="dxa"/>
              <w:bottom w:w="30" w:type="dxa"/>
              <w:right w:w="20" w:type="dxa"/>
            </w:tcMar>
            <w:vAlign w:val="center"/>
            <w:hideMark/>
          </w:tcPr>
          <w:p w14:paraId="226ACAA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C8C94"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0EDA00E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5C617090" w14:textId="77777777" w:rsidR="00000000" w:rsidRDefault="00A173A8">
            <w:pPr>
              <w:spacing w:after="100"/>
              <w:jc w:val="right"/>
              <w:rPr>
                <w:rFonts w:eastAsia="Times New Roman"/>
              </w:rPr>
            </w:pPr>
            <w:r>
              <w:rPr>
                <w:rFonts w:eastAsia="Times New Roman"/>
                <w:color w:val="000000"/>
                <w:sz w:val="18"/>
                <w:szCs w:val="18"/>
              </w:rPr>
              <w:t>65 </w:t>
            </w:r>
          </w:p>
        </w:tc>
        <w:tc>
          <w:tcPr>
            <w:tcW w:w="0" w:type="auto"/>
            <w:shd w:val="clear" w:color="auto" w:fill="CCEEFF"/>
            <w:tcMar>
              <w:top w:w="30" w:type="dxa"/>
              <w:left w:w="0" w:type="dxa"/>
              <w:bottom w:w="30" w:type="dxa"/>
              <w:right w:w="20" w:type="dxa"/>
            </w:tcMar>
            <w:vAlign w:val="center"/>
            <w:hideMark/>
          </w:tcPr>
          <w:p w14:paraId="21282B9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C18B1"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59EC0EE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50055EA8" w14:textId="77777777" w:rsidR="00000000" w:rsidRDefault="00A173A8">
            <w:pPr>
              <w:spacing w:after="100"/>
              <w:jc w:val="right"/>
              <w:rPr>
                <w:rFonts w:eastAsia="Times New Roman"/>
              </w:rPr>
            </w:pPr>
            <w:r>
              <w:rPr>
                <w:rFonts w:eastAsia="Times New Roman"/>
                <w:color w:val="000000"/>
                <w:sz w:val="18"/>
                <w:szCs w:val="18"/>
              </w:rPr>
              <w:t>(544)</w:t>
            </w:r>
          </w:p>
        </w:tc>
        <w:tc>
          <w:tcPr>
            <w:tcW w:w="0" w:type="auto"/>
            <w:shd w:val="clear" w:color="auto" w:fill="CCEEFF"/>
            <w:tcMar>
              <w:top w:w="30" w:type="dxa"/>
              <w:left w:w="0" w:type="dxa"/>
              <w:bottom w:w="30" w:type="dxa"/>
              <w:right w:w="20" w:type="dxa"/>
            </w:tcMar>
            <w:vAlign w:val="center"/>
            <w:hideMark/>
          </w:tcPr>
          <w:p w14:paraId="790D349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74B5E" w14:textId="77777777" w:rsidR="00000000" w:rsidRDefault="00A173A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14:paraId="4F0305C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14:paraId="420178B6" w14:textId="77777777" w:rsidR="00000000" w:rsidRDefault="00A173A8">
            <w:pPr>
              <w:spacing w:after="100"/>
              <w:jc w:val="right"/>
              <w:rPr>
                <w:rFonts w:eastAsia="Times New Roman"/>
              </w:rPr>
            </w:pPr>
            <w:r>
              <w:rPr>
                <w:rFonts w:eastAsia="Times New Roman"/>
                <w:color w:val="000000"/>
                <w:sz w:val="18"/>
                <w:szCs w:val="18"/>
              </w:rPr>
              <w:t>1,324 </w:t>
            </w:r>
          </w:p>
        </w:tc>
        <w:tc>
          <w:tcPr>
            <w:tcW w:w="0" w:type="auto"/>
            <w:shd w:val="clear" w:color="auto" w:fill="CCEEFF"/>
            <w:tcMar>
              <w:top w:w="30" w:type="dxa"/>
              <w:left w:w="0" w:type="dxa"/>
              <w:bottom w:w="30" w:type="dxa"/>
              <w:right w:w="20" w:type="dxa"/>
            </w:tcMar>
            <w:vAlign w:val="center"/>
            <w:hideMark/>
          </w:tcPr>
          <w:p w14:paraId="4D80BAA7" w14:textId="77777777" w:rsidR="00000000" w:rsidRDefault="00A173A8">
            <w:pPr>
              <w:spacing w:after="100"/>
              <w:jc w:val="right"/>
              <w:rPr>
                <w:rFonts w:eastAsia="Times New Roman"/>
              </w:rPr>
            </w:pPr>
          </w:p>
        </w:tc>
      </w:tr>
      <w:tr w:rsidR="00000000" w14:paraId="5671E8D5" w14:textId="77777777">
        <w:trPr>
          <w:divId w:val="144248451"/>
        </w:trPr>
        <w:tc>
          <w:tcPr>
            <w:tcW w:w="0" w:type="auto"/>
            <w:gridSpan w:val="3"/>
            <w:shd w:val="clear" w:color="auto" w:fill="FFFFFF"/>
            <w:tcMar>
              <w:top w:w="30" w:type="dxa"/>
              <w:left w:w="20" w:type="dxa"/>
              <w:bottom w:w="30" w:type="dxa"/>
              <w:right w:w="20" w:type="dxa"/>
            </w:tcMar>
            <w:vAlign w:val="center"/>
            <w:hideMark/>
          </w:tcPr>
          <w:p w14:paraId="4266C14D" w14:textId="77777777" w:rsidR="00000000" w:rsidRDefault="00A173A8">
            <w:pPr>
              <w:spacing w:after="100"/>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14:paraId="7B1282AE"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02C5A0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0859788" w14:textId="77777777" w:rsidR="00000000" w:rsidRDefault="00A173A8">
            <w:pPr>
              <w:spacing w:after="100"/>
              <w:jc w:val="right"/>
              <w:rPr>
                <w:rFonts w:eastAsia="Times New Roman"/>
              </w:rPr>
            </w:pPr>
            <w:r>
              <w:rPr>
                <w:rFonts w:eastAsia="Times New Roman"/>
                <w:color w:val="000000"/>
                <w:sz w:val="18"/>
                <w:szCs w:val="18"/>
              </w:rPr>
              <w:t>838 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012F49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3E9AA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6BECE8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10517A8" w14:textId="77777777" w:rsidR="00000000" w:rsidRDefault="00A173A8">
            <w:pPr>
              <w:spacing w:after="100"/>
              <w:jc w:val="right"/>
              <w:rPr>
                <w:rFonts w:eastAsia="Times New Roman"/>
              </w:rPr>
            </w:pPr>
            <w:r>
              <w:rPr>
                <w:rFonts w:eastAsia="Times New Roman"/>
                <w:color w:val="000000"/>
                <w:sz w:val="18"/>
                <w:szCs w:val="18"/>
              </w:rPr>
              <w:t>965 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B697E5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0C89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9BD165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60FB3C5" w14:textId="77777777" w:rsidR="00000000" w:rsidRDefault="00A173A8">
            <w:pPr>
              <w:spacing w:after="100"/>
              <w:jc w:val="right"/>
              <w:rPr>
                <w:rFonts w:eastAsia="Times New Roman"/>
              </w:rPr>
            </w:pPr>
            <w:r>
              <w:rPr>
                <w:rFonts w:eastAsia="Times New Roman"/>
                <w:color w:val="000000"/>
                <w:sz w:val="18"/>
                <w:szCs w:val="18"/>
              </w:rPr>
              <w:t>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37059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15CC7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7521BF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408B78B" w14:textId="77777777" w:rsidR="00000000" w:rsidRDefault="00A173A8">
            <w:pPr>
              <w:spacing w:after="100"/>
              <w:jc w:val="right"/>
              <w:rPr>
                <w:rFonts w:eastAsia="Times New Roman"/>
              </w:rPr>
            </w:pPr>
            <w:r>
              <w:rPr>
                <w:rFonts w:eastAsia="Times New Roman"/>
                <w:color w:val="000000"/>
                <w:sz w:val="18"/>
                <w:szCs w:val="18"/>
              </w:rPr>
              <w:t>(544)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D7601E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349DF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49BECE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CDC6FA0" w14:textId="77777777" w:rsidR="00000000" w:rsidRDefault="00A173A8">
            <w:pPr>
              <w:spacing w:after="100"/>
              <w:jc w:val="right"/>
              <w:rPr>
                <w:rFonts w:eastAsia="Times New Roman"/>
              </w:rPr>
            </w:pPr>
            <w:r>
              <w:rPr>
                <w:rFonts w:eastAsia="Times New Roman"/>
                <w:color w:val="000000"/>
                <w:sz w:val="18"/>
                <w:szCs w:val="18"/>
              </w:rPr>
              <w:t>1,324 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FB323D1" w14:textId="77777777" w:rsidR="00000000" w:rsidRDefault="00A173A8">
            <w:pPr>
              <w:spacing w:after="100"/>
              <w:jc w:val="right"/>
              <w:rPr>
                <w:rFonts w:eastAsia="Times New Roman"/>
              </w:rPr>
            </w:pPr>
          </w:p>
        </w:tc>
      </w:tr>
    </w:tbl>
    <w:p w14:paraId="6AFE2066" w14:textId="77777777" w:rsidR="00000000" w:rsidRDefault="00A173A8">
      <w:pPr>
        <w:divId w:val="144248451"/>
        <w:rPr>
          <w:rFonts w:eastAsia="Times New Roman"/>
        </w:rPr>
      </w:pPr>
      <w:r>
        <w:rPr>
          <w:rFonts w:eastAsia="Times New Roman"/>
          <w:color w:val="000000"/>
          <w:sz w:val="20"/>
          <w:szCs w:val="20"/>
        </w:rPr>
        <w:t>__________</w:t>
      </w:r>
    </w:p>
    <w:p w14:paraId="322DCDE9" w14:textId="77777777" w:rsidR="00000000" w:rsidRDefault="00A173A8">
      <w:pPr>
        <w:ind w:hanging="360"/>
        <w:jc w:val="both"/>
        <w:divId w:val="1089497862"/>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Represents balance sheet netting of derivative asse</w:t>
      </w:r>
      <w:r>
        <w:rPr>
          <w:rFonts w:eastAsia="Times New Roman"/>
          <w:color w:val="000000"/>
          <w:sz w:val="16"/>
          <w:szCs w:val="16"/>
          <w:shd w:val="clear" w:color="auto" w:fill="FFFFFF"/>
        </w:rPr>
        <w:t>ts and liabilities, and related payables and receivables for cash collateral held or placed with the same counterparty. See “Note 8—Derivative Instruments and Hedging Activities” for additional information.</w:t>
      </w:r>
    </w:p>
    <w:p w14:paraId="22412A01" w14:textId="77777777" w:rsidR="00000000" w:rsidRDefault="00A173A8">
      <w:pPr>
        <w:ind w:hanging="360"/>
        <w:jc w:val="both"/>
        <w:divId w:val="1748645912"/>
        <w:rPr>
          <w:rFonts w:eastAsia="Times New Roman"/>
        </w:rPr>
      </w:pPr>
      <w:r>
        <w:rPr>
          <w:rFonts w:eastAsia="Times New Roman"/>
          <w:color w:val="000000"/>
          <w:sz w:val="10"/>
          <w:szCs w:val="10"/>
          <w:shd w:val="clear" w:color="auto" w:fill="FFFFFF"/>
        </w:rPr>
        <w:t>(2</w:t>
      </w:r>
      <w:r>
        <w:rPr>
          <w:rFonts w:eastAsia="Times New Roman"/>
          <w:color w:val="000000"/>
          <w:sz w:val="10"/>
          <w:szCs w:val="10"/>
          <w:shd w:val="clear" w:color="auto" w:fill="FFFFFF"/>
        </w:rPr>
        <w:t>)</w:t>
      </w:r>
      <w:r>
        <w:rPr>
          <w:rFonts w:eastAsia="Times New Roman"/>
          <w:color w:val="000000"/>
          <w:sz w:val="16"/>
          <w:szCs w:val="16"/>
          <w:shd w:val="clear" w:color="auto" w:fill="FFFFFF"/>
        </w:rPr>
        <w:t xml:space="preserve">Does not reflect </w:t>
      </w:r>
      <w:r>
        <w:rPr>
          <w:rFonts w:eastAsia="Times New Roman"/>
          <w:color w:val="000000"/>
          <w:sz w:val="16"/>
          <w:szCs w:val="16"/>
        </w:rPr>
        <w:t>$8 million</w:t>
      </w:r>
      <w:r>
        <w:rPr>
          <w:rFonts w:eastAsia="Times New Roman"/>
          <w:color w:val="000000"/>
          <w:sz w:val="16"/>
          <w:szCs w:val="16"/>
          <w:shd w:val="clear" w:color="auto" w:fill="FFFFFF"/>
        </w:rPr>
        <w:t xml:space="preserve"> and $11 million re</w:t>
      </w:r>
      <w:r>
        <w:rPr>
          <w:rFonts w:eastAsia="Times New Roman"/>
          <w:color w:val="000000"/>
          <w:sz w:val="16"/>
          <w:szCs w:val="16"/>
          <w:shd w:val="clear" w:color="auto" w:fill="FFFFFF"/>
        </w:rPr>
        <w:t>cognized as a net valuation allowance on derivative assets and liabilities for non-performance risk as of June 30, 2022 and December 31, 2021, respectively. Non-performance risk is included in derivative assets and liabilities, which are part of other asse</w:t>
      </w:r>
      <w:r>
        <w:rPr>
          <w:rFonts w:eastAsia="Times New Roman"/>
          <w:color w:val="000000"/>
          <w:sz w:val="16"/>
          <w:szCs w:val="16"/>
          <w:shd w:val="clear" w:color="auto" w:fill="FFFFFF"/>
        </w:rPr>
        <w:t>ts and other liabilities on the consolidated balance sheets, and is recorded through non-interest income in the consolidated statements of income.</w:t>
      </w:r>
    </w:p>
    <w:p w14:paraId="38F53158" w14:textId="77777777" w:rsidR="00000000" w:rsidRDefault="00A173A8">
      <w:pPr>
        <w:ind w:hanging="360"/>
        <w:jc w:val="both"/>
        <w:divId w:val="282614410"/>
        <w:rPr>
          <w:rFonts w:eastAsia="Times New Roman"/>
        </w:rPr>
      </w:pPr>
      <w:r>
        <w:rPr>
          <w:rFonts w:eastAsia="Times New Roman"/>
          <w:color w:val="000000"/>
          <w:sz w:val="10"/>
          <w:szCs w:val="10"/>
          <w:shd w:val="clear" w:color="auto" w:fill="FFFFFF"/>
        </w:rPr>
        <w:t>(3</w:t>
      </w:r>
      <w:r>
        <w:rPr>
          <w:rFonts w:eastAsia="Times New Roman"/>
          <w:color w:val="000000"/>
          <w:sz w:val="10"/>
          <w:szCs w:val="10"/>
          <w:shd w:val="clear" w:color="auto" w:fill="FFFFFF"/>
        </w:rPr>
        <w:t>)</w:t>
      </w:r>
      <w:r>
        <w:rPr>
          <w:rFonts w:eastAsia="Times New Roman"/>
          <w:color w:val="000000"/>
          <w:sz w:val="16"/>
          <w:szCs w:val="16"/>
          <w:shd w:val="clear" w:color="auto" w:fill="FFFFFF"/>
        </w:rPr>
        <w:t>As of June 30, 2022 and December 31, 2021, other includes retained interests in securitizations o</w:t>
      </w:r>
      <w:r>
        <w:rPr>
          <w:rFonts w:eastAsia="Times New Roman"/>
          <w:color w:val="000000"/>
          <w:sz w:val="16"/>
          <w:szCs w:val="16"/>
        </w:rPr>
        <w:t>f $37 mil</w:t>
      </w:r>
      <w:r>
        <w:rPr>
          <w:rFonts w:eastAsia="Times New Roman"/>
          <w:color w:val="000000"/>
          <w:sz w:val="16"/>
          <w:szCs w:val="16"/>
        </w:rPr>
        <w:t>lion</w:t>
      </w:r>
      <w:r>
        <w:rPr>
          <w:rFonts w:eastAsia="Times New Roman"/>
          <w:color w:val="000000"/>
          <w:sz w:val="16"/>
          <w:szCs w:val="16"/>
          <w:shd w:val="clear" w:color="auto" w:fill="FFFFFF"/>
        </w:rPr>
        <w:t xml:space="preserve"> and $41 million, deferred compensation plan assets of </w:t>
      </w:r>
      <w:r>
        <w:rPr>
          <w:rFonts w:eastAsia="Times New Roman"/>
          <w:color w:val="000000"/>
          <w:sz w:val="16"/>
          <w:szCs w:val="16"/>
        </w:rPr>
        <w:t>$432 million</w:t>
      </w:r>
      <w:r>
        <w:rPr>
          <w:rFonts w:eastAsia="Times New Roman"/>
          <w:color w:val="000000"/>
          <w:sz w:val="16"/>
          <w:szCs w:val="16"/>
          <w:shd w:val="clear" w:color="auto" w:fill="FFFFFF"/>
        </w:rPr>
        <w:t xml:space="preserve"> and $490 million, and equity securities of </w:t>
      </w:r>
      <w:r>
        <w:rPr>
          <w:rFonts w:eastAsia="Times New Roman"/>
          <w:color w:val="000000"/>
          <w:sz w:val="16"/>
          <w:szCs w:val="16"/>
        </w:rPr>
        <w:t>$12 million</w:t>
      </w:r>
      <w:r>
        <w:rPr>
          <w:rFonts w:eastAsia="Times New Roman"/>
          <w:color w:val="000000"/>
          <w:sz w:val="16"/>
          <w:szCs w:val="16"/>
          <w:shd w:val="clear" w:color="auto" w:fill="FFFFFF"/>
        </w:rPr>
        <w:t xml:space="preserve"> (including unrealiz</w:t>
      </w:r>
      <w:r>
        <w:rPr>
          <w:rFonts w:eastAsia="Times New Roman"/>
          <w:color w:val="000000"/>
          <w:sz w:val="16"/>
          <w:szCs w:val="16"/>
        </w:rPr>
        <w:t>ed loss of $19 million) and $42 million (including unrealized loss of $36 million), respectively.</w:t>
      </w:r>
    </w:p>
    <w:p w14:paraId="3172D3A9" w14:textId="77777777" w:rsidR="00000000" w:rsidRDefault="00A173A8">
      <w:pPr>
        <w:divId w:val="18436458"/>
        <w:rPr>
          <w:rFonts w:eastAsia="Times New Roman"/>
        </w:rPr>
      </w:pPr>
      <w:r>
        <w:rPr>
          <w:rFonts w:eastAsia="Times New Roman"/>
          <w:b/>
          <w:bCs/>
          <w:color w:val="000000"/>
          <w:sz w:val="20"/>
          <w:szCs w:val="20"/>
        </w:rPr>
        <w:t>Level 3 Recu</w:t>
      </w:r>
      <w:r>
        <w:rPr>
          <w:rFonts w:eastAsia="Times New Roman"/>
          <w:b/>
          <w:bCs/>
          <w:color w:val="000000"/>
          <w:sz w:val="20"/>
          <w:szCs w:val="20"/>
        </w:rPr>
        <w:t>rring Fair Value Rollforward</w:t>
      </w:r>
    </w:p>
    <w:p w14:paraId="1D2EDA4E" w14:textId="77777777" w:rsidR="00000000" w:rsidRDefault="00A173A8">
      <w:pPr>
        <w:jc w:val="both"/>
        <w:divId w:val="2044135566"/>
        <w:rPr>
          <w:rFonts w:eastAsia="Times New Roman"/>
        </w:rPr>
      </w:pPr>
      <w:r>
        <w:rPr>
          <w:rFonts w:eastAsia="Times New Roman"/>
          <w:color w:val="000000"/>
          <w:sz w:val="20"/>
          <w:szCs w:val="20"/>
        </w:rPr>
        <w:t>The table below presents a reconciliation for all assets and liabilities measured and recognized at fair value on a recurring basis using significant unobservable inputs (Level 3) for the three and six months ended June 30, 202</w:t>
      </w:r>
      <w:r>
        <w:rPr>
          <w:rFonts w:eastAsia="Times New Roman"/>
          <w:color w:val="000000"/>
          <w:sz w:val="20"/>
          <w:szCs w:val="20"/>
        </w:rPr>
        <w:t>2 and 2021. Generally, transfers into Level 3 were primarily driven by the usage of unobservable assumptions in the pricing of these financial instruments as evidenced by wider pricing variations among pricing vendors and transfers out of Level 3 were prim</w:t>
      </w:r>
      <w:r>
        <w:rPr>
          <w:rFonts w:eastAsia="Times New Roman"/>
          <w:color w:val="000000"/>
          <w:sz w:val="20"/>
          <w:szCs w:val="20"/>
        </w:rPr>
        <w:t>arily driven by the usage of assumptions corroborated by market observable information as evidenced by tighter pricing among multiple pricing sources.</w:t>
      </w:r>
    </w:p>
    <w:p w14:paraId="2979A8FF" w14:textId="77777777" w:rsidR="00000000" w:rsidRDefault="00A173A8">
      <w:pPr>
        <w:divId w:val="957250838"/>
        <w:rPr>
          <w:rFonts w:eastAsia="Times New Roman"/>
        </w:rPr>
      </w:pPr>
      <w:r>
        <w:rPr>
          <w:rFonts w:eastAsia="Times New Roman"/>
          <w:b/>
          <w:bCs/>
          <w:color w:val="000000"/>
          <w:sz w:val="18"/>
          <w:szCs w:val="18"/>
        </w:rPr>
        <w:t>Table 11.2: Level 3 Recurring Fair Value Rollforward</w:t>
      </w:r>
    </w:p>
    <w:tbl>
      <w:tblPr>
        <w:tblW w:w="5000" w:type="pct"/>
        <w:tblCellMar>
          <w:top w:w="15" w:type="dxa"/>
          <w:left w:w="15" w:type="dxa"/>
          <w:bottom w:w="15" w:type="dxa"/>
          <w:right w:w="15" w:type="dxa"/>
        </w:tblCellMar>
        <w:tblLook w:val="04A0" w:firstRow="1" w:lastRow="0" w:firstColumn="1" w:lastColumn="0" w:noHBand="0" w:noVBand="1"/>
      </w:tblPr>
      <w:tblGrid>
        <w:gridCol w:w="50"/>
        <w:gridCol w:w="94"/>
        <w:gridCol w:w="602"/>
        <w:gridCol w:w="37"/>
        <w:gridCol w:w="36"/>
        <w:gridCol w:w="36"/>
        <w:gridCol w:w="36"/>
        <w:gridCol w:w="111"/>
        <w:gridCol w:w="397"/>
        <w:gridCol w:w="36"/>
        <w:gridCol w:w="36"/>
        <w:gridCol w:w="36"/>
        <w:gridCol w:w="36"/>
        <w:gridCol w:w="111"/>
        <w:gridCol w:w="444"/>
        <w:gridCol w:w="37"/>
        <w:gridCol w:w="37"/>
        <w:gridCol w:w="47"/>
        <w:gridCol w:w="36"/>
        <w:gridCol w:w="110"/>
        <w:gridCol w:w="442"/>
        <w:gridCol w:w="1"/>
        <w:gridCol w:w="36"/>
        <w:gridCol w:w="36"/>
        <w:gridCol w:w="36"/>
        <w:gridCol w:w="35"/>
        <w:gridCol w:w="1"/>
        <w:gridCol w:w="111"/>
        <w:gridCol w:w="32"/>
        <w:gridCol w:w="430"/>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26"/>
        <w:gridCol w:w="144"/>
        <w:gridCol w:w="144"/>
        <w:gridCol w:w="133"/>
        <w:gridCol w:w="36"/>
        <w:gridCol w:w="36"/>
        <w:gridCol w:w="36"/>
        <w:gridCol w:w="36"/>
        <w:gridCol w:w="111"/>
        <w:gridCol w:w="440"/>
        <w:gridCol w:w="36"/>
        <w:gridCol w:w="36"/>
        <w:gridCol w:w="36"/>
        <w:gridCol w:w="36"/>
        <w:gridCol w:w="111"/>
        <w:gridCol w:w="417"/>
        <w:gridCol w:w="791"/>
        <w:gridCol w:w="385"/>
        <w:gridCol w:w="144"/>
      </w:tblGrid>
      <w:tr w:rsidR="00000000" w14:paraId="6D3EDA1C" w14:textId="77777777">
        <w:trPr>
          <w:gridAfter w:val="2"/>
          <w:divId w:val="821506736"/>
        </w:trPr>
        <w:tc>
          <w:tcPr>
            <w:tcW w:w="50" w:type="pct"/>
            <w:vAlign w:val="center"/>
            <w:hideMark/>
          </w:tcPr>
          <w:p w14:paraId="3B54FD21" w14:textId="77777777" w:rsidR="00000000" w:rsidRDefault="00A173A8">
            <w:pPr>
              <w:rPr>
                <w:rFonts w:eastAsia="Times New Roman"/>
              </w:rPr>
            </w:pPr>
          </w:p>
        </w:tc>
        <w:tc>
          <w:tcPr>
            <w:tcW w:w="697" w:type="pct"/>
            <w:gridSpan w:val="2"/>
            <w:vAlign w:val="center"/>
            <w:hideMark/>
          </w:tcPr>
          <w:p w14:paraId="467FA132" w14:textId="77777777" w:rsidR="00000000" w:rsidRDefault="00A173A8">
            <w:pPr>
              <w:spacing w:after="100"/>
              <w:rPr>
                <w:rFonts w:eastAsia="Times New Roman"/>
                <w:sz w:val="20"/>
                <w:szCs w:val="20"/>
              </w:rPr>
            </w:pPr>
          </w:p>
        </w:tc>
        <w:tc>
          <w:tcPr>
            <w:tcW w:w="5" w:type="pct"/>
            <w:vAlign w:val="center"/>
            <w:hideMark/>
          </w:tcPr>
          <w:p w14:paraId="2957DC93" w14:textId="77777777" w:rsidR="00000000" w:rsidRDefault="00A173A8">
            <w:pPr>
              <w:spacing w:after="100"/>
              <w:rPr>
                <w:rFonts w:eastAsia="Times New Roman"/>
                <w:sz w:val="20"/>
                <w:szCs w:val="20"/>
              </w:rPr>
            </w:pPr>
          </w:p>
        </w:tc>
        <w:tc>
          <w:tcPr>
            <w:tcW w:w="5" w:type="pct"/>
            <w:vAlign w:val="center"/>
            <w:hideMark/>
          </w:tcPr>
          <w:p w14:paraId="2AB5ABFA" w14:textId="77777777" w:rsidR="00000000" w:rsidRDefault="00A173A8">
            <w:pPr>
              <w:spacing w:after="100"/>
              <w:rPr>
                <w:rFonts w:eastAsia="Times New Roman"/>
                <w:sz w:val="20"/>
                <w:szCs w:val="20"/>
              </w:rPr>
            </w:pPr>
          </w:p>
        </w:tc>
        <w:tc>
          <w:tcPr>
            <w:tcW w:w="26" w:type="pct"/>
            <w:vAlign w:val="center"/>
            <w:hideMark/>
          </w:tcPr>
          <w:p w14:paraId="16934E9E" w14:textId="77777777" w:rsidR="00000000" w:rsidRDefault="00A173A8">
            <w:pPr>
              <w:spacing w:after="100"/>
              <w:rPr>
                <w:rFonts w:eastAsia="Times New Roman"/>
                <w:sz w:val="20"/>
                <w:szCs w:val="20"/>
              </w:rPr>
            </w:pPr>
          </w:p>
        </w:tc>
        <w:tc>
          <w:tcPr>
            <w:tcW w:w="5" w:type="pct"/>
            <w:vAlign w:val="center"/>
            <w:hideMark/>
          </w:tcPr>
          <w:p w14:paraId="2C3BD11A" w14:textId="77777777" w:rsidR="00000000" w:rsidRDefault="00A173A8">
            <w:pPr>
              <w:spacing w:after="100"/>
              <w:rPr>
                <w:rFonts w:eastAsia="Times New Roman"/>
                <w:sz w:val="20"/>
                <w:szCs w:val="20"/>
              </w:rPr>
            </w:pPr>
          </w:p>
        </w:tc>
        <w:tc>
          <w:tcPr>
            <w:tcW w:w="50" w:type="pct"/>
            <w:vAlign w:val="center"/>
            <w:hideMark/>
          </w:tcPr>
          <w:p w14:paraId="0DD193C9" w14:textId="77777777" w:rsidR="00000000" w:rsidRDefault="00A173A8">
            <w:pPr>
              <w:spacing w:after="100"/>
              <w:rPr>
                <w:rFonts w:eastAsia="Times New Roman"/>
                <w:sz w:val="20"/>
                <w:szCs w:val="20"/>
              </w:rPr>
            </w:pPr>
          </w:p>
        </w:tc>
        <w:tc>
          <w:tcPr>
            <w:tcW w:w="273" w:type="pct"/>
            <w:vAlign w:val="center"/>
            <w:hideMark/>
          </w:tcPr>
          <w:p w14:paraId="3C1F487B" w14:textId="77777777" w:rsidR="00000000" w:rsidRDefault="00A173A8">
            <w:pPr>
              <w:spacing w:after="100"/>
              <w:rPr>
                <w:rFonts w:eastAsia="Times New Roman"/>
                <w:sz w:val="20"/>
                <w:szCs w:val="20"/>
              </w:rPr>
            </w:pPr>
          </w:p>
        </w:tc>
        <w:tc>
          <w:tcPr>
            <w:tcW w:w="5" w:type="pct"/>
            <w:vAlign w:val="center"/>
            <w:hideMark/>
          </w:tcPr>
          <w:p w14:paraId="172C74F2" w14:textId="77777777" w:rsidR="00000000" w:rsidRDefault="00A173A8">
            <w:pPr>
              <w:spacing w:after="100"/>
              <w:rPr>
                <w:rFonts w:eastAsia="Times New Roman"/>
                <w:sz w:val="20"/>
                <w:szCs w:val="20"/>
              </w:rPr>
            </w:pPr>
          </w:p>
        </w:tc>
        <w:tc>
          <w:tcPr>
            <w:tcW w:w="5" w:type="pct"/>
            <w:vAlign w:val="center"/>
            <w:hideMark/>
          </w:tcPr>
          <w:p w14:paraId="1F8F2EB9" w14:textId="77777777" w:rsidR="00000000" w:rsidRDefault="00A173A8">
            <w:pPr>
              <w:spacing w:after="100"/>
              <w:rPr>
                <w:rFonts w:eastAsia="Times New Roman"/>
                <w:sz w:val="20"/>
                <w:szCs w:val="20"/>
              </w:rPr>
            </w:pPr>
          </w:p>
        </w:tc>
        <w:tc>
          <w:tcPr>
            <w:tcW w:w="26" w:type="pct"/>
            <w:vAlign w:val="center"/>
            <w:hideMark/>
          </w:tcPr>
          <w:p w14:paraId="53003BA2" w14:textId="77777777" w:rsidR="00000000" w:rsidRDefault="00A173A8">
            <w:pPr>
              <w:spacing w:after="100"/>
              <w:rPr>
                <w:rFonts w:eastAsia="Times New Roman"/>
                <w:sz w:val="20"/>
                <w:szCs w:val="20"/>
              </w:rPr>
            </w:pPr>
          </w:p>
        </w:tc>
        <w:tc>
          <w:tcPr>
            <w:tcW w:w="5" w:type="pct"/>
            <w:vAlign w:val="center"/>
            <w:hideMark/>
          </w:tcPr>
          <w:p w14:paraId="4AFC9A2E" w14:textId="77777777" w:rsidR="00000000" w:rsidRDefault="00A173A8">
            <w:pPr>
              <w:spacing w:after="100"/>
              <w:rPr>
                <w:rFonts w:eastAsia="Times New Roman"/>
                <w:sz w:val="20"/>
                <w:szCs w:val="20"/>
              </w:rPr>
            </w:pPr>
          </w:p>
        </w:tc>
        <w:tc>
          <w:tcPr>
            <w:tcW w:w="50" w:type="pct"/>
            <w:vAlign w:val="center"/>
            <w:hideMark/>
          </w:tcPr>
          <w:p w14:paraId="57B3B8DE" w14:textId="77777777" w:rsidR="00000000" w:rsidRDefault="00A173A8">
            <w:pPr>
              <w:spacing w:after="100"/>
              <w:rPr>
                <w:rFonts w:eastAsia="Times New Roman"/>
                <w:sz w:val="20"/>
                <w:szCs w:val="20"/>
              </w:rPr>
            </w:pPr>
          </w:p>
        </w:tc>
        <w:tc>
          <w:tcPr>
            <w:tcW w:w="244" w:type="pct"/>
            <w:vAlign w:val="center"/>
            <w:hideMark/>
          </w:tcPr>
          <w:p w14:paraId="24C7F48B" w14:textId="77777777" w:rsidR="00000000" w:rsidRDefault="00A173A8">
            <w:pPr>
              <w:spacing w:after="100"/>
              <w:rPr>
                <w:rFonts w:eastAsia="Times New Roman"/>
                <w:sz w:val="20"/>
                <w:szCs w:val="20"/>
              </w:rPr>
            </w:pPr>
          </w:p>
        </w:tc>
        <w:tc>
          <w:tcPr>
            <w:tcW w:w="5" w:type="pct"/>
            <w:vAlign w:val="center"/>
            <w:hideMark/>
          </w:tcPr>
          <w:p w14:paraId="25FD2E72" w14:textId="77777777" w:rsidR="00000000" w:rsidRDefault="00A173A8">
            <w:pPr>
              <w:spacing w:after="100"/>
              <w:rPr>
                <w:rFonts w:eastAsia="Times New Roman"/>
                <w:sz w:val="20"/>
                <w:szCs w:val="20"/>
              </w:rPr>
            </w:pPr>
          </w:p>
        </w:tc>
        <w:tc>
          <w:tcPr>
            <w:tcW w:w="5" w:type="pct"/>
            <w:vAlign w:val="center"/>
            <w:hideMark/>
          </w:tcPr>
          <w:p w14:paraId="7CEB9CDC" w14:textId="77777777" w:rsidR="00000000" w:rsidRDefault="00A173A8">
            <w:pPr>
              <w:spacing w:after="100"/>
              <w:rPr>
                <w:rFonts w:eastAsia="Times New Roman"/>
                <w:sz w:val="20"/>
                <w:szCs w:val="20"/>
              </w:rPr>
            </w:pPr>
          </w:p>
        </w:tc>
        <w:tc>
          <w:tcPr>
            <w:tcW w:w="26" w:type="pct"/>
            <w:vAlign w:val="center"/>
            <w:hideMark/>
          </w:tcPr>
          <w:p w14:paraId="75ED8EC4" w14:textId="77777777" w:rsidR="00000000" w:rsidRDefault="00A173A8">
            <w:pPr>
              <w:spacing w:after="100"/>
              <w:rPr>
                <w:rFonts w:eastAsia="Times New Roman"/>
                <w:sz w:val="20"/>
                <w:szCs w:val="20"/>
              </w:rPr>
            </w:pPr>
          </w:p>
        </w:tc>
        <w:tc>
          <w:tcPr>
            <w:tcW w:w="5" w:type="pct"/>
            <w:vAlign w:val="center"/>
            <w:hideMark/>
          </w:tcPr>
          <w:p w14:paraId="358AF64E" w14:textId="77777777" w:rsidR="00000000" w:rsidRDefault="00A173A8">
            <w:pPr>
              <w:spacing w:after="100"/>
              <w:rPr>
                <w:rFonts w:eastAsia="Times New Roman"/>
                <w:sz w:val="20"/>
                <w:szCs w:val="20"/>
              </w:rPr>
            </w:pPr>
          </w:p>
        </w:tc>
        <w:tc>
          <w:tcPr>
            <w:tcW w:w="50" w:type="pct"/>
            <w:vAlign w:val="center"/>
            <w:hideMark/>
          </w:tcPr>
          <w:p w14:paraId="2F17E6FA" w14:textId="77777777" w:rsidR="00000000" w:rsidRDefault="00A173A8">
            <w:pPr>
              <w:spacing w:after="100"/>
              <w:rPr>
                <w:rFonts w:eastAsia="Times New Roman"/>
                <w:sz w:val="20"/>
                <w:szCs w:val="20"/>
              </w:rPr>
            </w:pPr>
          </w:p>
        </w:tc>
        <w:tc>
          <w:tcPr>
            <w:tcW w:w="244" w:type="pct"/>
            <w:gridSpan w:val="2"/>
            <w:vAlign w:val="center"/>
            <w:hideMark/>
          </w:tcPr>
          <w:p w14:paraId="4304DA17" w14:textId="77777777" w:rsidR="00000000" w:rsidRDefault="00A173A8">
            <w:pPr>
              <w:spacing w:after="100"/>
              <w:rPr>
                <w:rFonts w:eastAsia="Times New Roman"/>
                <w:sz w:val="20"/>
                <w:szCs w:val="20"/>
              </w:rPr>
            </w:pPr>
          </w:p>
        </w:tc>
        <w:tc>
          <w:tcPr>
            <w:tcW w:w="5" w:type="pct"/>
            <w:vAlign w:val="center"/>
            <w:hideMark/>
          </w:tcPr>
          <w:p w14:paraId="2C2F72F5" w14:textId="77777777" w:rsidR="00000000" w:rsidRDefault="00A173A8">
            <w:pPr>
              <w:spacing w:after="100"/>
              <w:rPr>
                <w:rFonts w:eastAsia="Times New Roman"/>
                <w:sz w:val="20"/>
                <w:szCs w:val="20"/>
              </w:rPr>
            </w:pPr>
          </w:p>
        </w:tc>
        <w:tc>
          <w:tcPr>
            <w:tcW w:w="5" w:type="pct"/>
            <w:vAlign w:val="center"/>
            <w:hideMark/>
          </w:tcPr>
          <w:p w14:paraId="3359E93C" w14:textId="77777777" w:rsidR="00000000" w:rsidRDefault="00A173A8">
            <w:pPr>
              <w:spacing w:after="100"/>
              <w:rPr>
                <w:rFonts w:eastAsia="Times New Roman"/>
                <w:sz w:val="20"/>
                <w:szCs w:val="20"/>
              </w:rPr>
            </w:pPr>
          </w:p>
        </w:tc>
        <w:tc>
          <w:tcPr>
            <w:tcW w:w="26" w:type="pct"/>
            <w:vAlign w:val="center"/>
            <w:hideMark/>
          </w:tcPr>
          <w:p w14:paraId="1B558089" w14:textId="77777777" w:rsidR="00000000" w:rsidRDefault="00A173A8">
            <w:pPr>
              <w:spacing w:after="100"/>
              <w:rPr>
                <w:rFonts w:eastAsia="Times New Roman"/>
                <w:sz w:val="20"/>
                <w:szCs w:val="20"/>
              </w:rPr>
            </w:pPr>
          </w:p>
        </w:tc>
        <w:tc>
          <w:tcPr>
            <w:tcW w:w="5" w:type="pct"/>
            <w:gridSpan w:val="2"/>
            <w:vAlign w:val="center"/>
            <w:hideMark/>
          </w:tcPr>
          <w:p w14:paraId="3A30C42A" w14:textId="77777777" w:rsidR="00000000" w:rsidRDefault="00A173A8">
            <w:pPr>
              <w:spacing w:after="100"/>
              <w:rPr>
                <w:rFonts w:eastAsia="Times New Roman"/>
                <w:sz w:val="20"/>
                <w:szCs w:val="20"/>
              </w:rPr>
            </w:pPr>
          </w:p>
        </w:tc>
        <w:tc>
          <w:tcPr>
            <w:tcW w:w="50" w:type="pct"/>
            <w:vAlign w:val="center"/>
            <w:hideMark/>
          </w:tcPr>
          <w:p w14:paraId="7BE2422A" w14:textId="77777777" w:rsidR="00000000" w:rsidRDefault="00A173A8">
            <w:pPr>
              <w:spacing w:after="100"/>
              <w:rPr>
                <w:rFonts w:eastAsia="Times New Roman"/>
                <w:sz w:val="20"/>
                <w:szCs w:val="20"/>
              </w:rPr>
            </w:pPr>
          </w:p>
        </w:tc>
        <w:tc>
          <w:tcPr>
            <w:tcW w:w="259" w:type="pct"/>
            <w:gridSpan w:val="2"/>
            <w:vAlign w:val="center"/>
            <w:hideMark/>
          </w:tcPr>
          <w:p w14:paraId="32114D54" w14:textId="77777777" w:rsidR="00000000" w:rsidRDefault="00A173A8">
            <w:pPr>
              <w:spacing w:after="100"/>
              <w:rPr>
                <w:rFonts w:eastAsia="Times New Roman"/>
                <w:sz w:val="20"/>
                <w:szCs w:val="20"/>
              </w:rPr>
            </w:pPr>
          </w:p>
        </w:tc>
        <w:tc>
          <w:tcPr>
            <w:tcW w:w="5" w:type="pct"/>
            <w:vAlign w:val="center"/>
            <w:hideMark/>
          </w:tcPr>
          <w:p w14:paraId="5CD063F5" w14:textId="77777777" w:rsidR="00000000" w:rsidRDefault="00A173A8">
            <w:pPr>
              <w:spacing w:after="100"/>
              <w:rPr>
                <w:rFonts w:eastAsia="Times New Roman"/>
                <w:sz w:val="20"/>
                <w:szCs w:val="20"/>
              </w:rPr>
            </w:pPr>
          </w:p>
        </w:tc>
        <w:tc>
          <w:tcPr>
            <w:tcW w:w="5" w:type="pct"/>
            <w:vAlign w:val="center"/>
            <w:hideMark/>
          </w:tcPr>
          <w:p w14:paraId="4197A30B" w14:textId="77777777" w:rsidR="00000000" w:rsidRDefault="00A173A8">
            <w:pPr>
              <w:spacing w:after="100"/>
              <w:rPr>
                <w:rFonts w:eastAsia="Times New Roman"/>
                <w:sz w:val="20"/>
                <w:szCs w:val="20"/>
              </w:rPr>
            </w:pPr>
          </w:p>
        </w:tc>
        <w:tc>
          <w:tcPr>
            <w:tcW w:w="26" w:type="pct"/>
            <w:vAlign w:val="center"/>
            <w:hideMark/>
          </w:tcPr>
          <w:p w14:paraId="7156AC31" w14:textId="77777777" w:rsidR="00000000" w:rsidRDefault="00A173A8">
            <w:pPr>
              <w:spacing w:after="100"/>
              <w:rPr>
                <w:rFonts w:eastAsia="Times New Roman"/>
                <w:sz w:val="20"/>
                <w:szCs w:val="20"/>
              </w:rPr>
            </w:pPr>
          </w:p>
        </w:tc>
        <w:tc>
          <w:tcPr>
            <w:tcW w:w="5" w:type="pct"/>
            <w:vAlign w:val="center"/>
            <w:hideMark/>
          </w:tcPr>
          <w:p w14:paraId="2518D3C8" w14:textId="77777777" w:rsidR="00000000" w:rsidRDefault="00A173A8">
            <w:pPr>
              <w:spacing w:after="100"/>
              <w:rPr>
                <w:rFonts w:eastAsia="Times New Roman"/>
                <w:sz w:val="20"/>
                <w:szCs w:val="20"/>
              </w:rPr>
            </w:pPr>
          </w:p>
        </w:tc>
        <w:tc>
          <w:tcPr>
            <w:tcW w:w="50" w:type="pct"/>
            <w:vAlign w:val="center"/>
            <w:hideMark/>
          </w:tcPr>
          <w:p w14:paraId="44815C6C" w14:textId="77777777" w:rsidR="00000000" w:rsidRDefault="00A173A8">
            <w:pPr>
              <w:spacing w:after="100"/>
              <w:rPr>
                <w:rFonts w:eastAsia="Times New Roman"/>
                <w:sz w:val="20"/>
                <w:szCs w:val="20"/>
              </w:rPr>
            </w:pPr>
          </w:p>
        </w:tc>
        <w:tc>
          <w:tcPr>
            <w:tcW w:w="200" w:type="pct"/>
            <w:vAlign w:val="center"/>
            <w:hideMark/>
          </w:tcPr>
          <w:p w14:paraId="31C380FD" w14:textId="77777777" w:rsidR="00000000" w:rsidRDefault="00A173A8">
            <w:pPr>
              <w:spacing w:after="100"/>
              <w:rPr>
                <w:rFonts w:eastAsia="Times New Roman"/>
                <w:sz w:val="20"/>
                <w:szCs w:val="20"/>
              </w:rPr>
            </w:pPr>
          </w:p>
        </w:tc>
        <w:tc>
          <w:tcPr>
            <w:tcW w:w="5" w:type="pct"/>
            <w:vAlign w:val="center"/>
            <w:hideMark/>
          </w:tcPr>
          <w:p w14:paraId="34383703" w14:textId="77777777" w:rsidR="00000000" w:rsidRDefault="00A173A8">
            <w:pPr>
              <w:spacing w:after="100"/>
              <w:rPr>
                <w:rFonts w:eastAsia="Times New Roman"/>
                <w:sz w:val="20"/>
                <w:szCs w:val="20"/>
              </w:rPr>
            </w:pPr>
          </w:p>
        </w:tc>
        <w:tc>
          <w:tcPr>
            <w:tcW w:w="5" w:type="pct"/>
            <w:vAlign w:val="center"/>
            <w:hideMark/>
          </w:tcPr>
          <w:p w14:paraId="6BA34468" w14:textId="77777777" w:rsidR="00000000" w:rsidRDefault="00A173A8">
            <w:pPr>
              <w:spacing w:after="100"/>
              <w:rPr>
                <w:rFonts w:eastAsia="Times New Roman"/>
                <w:sz w:val="20"/>
                <w:szCs w:val="20"/>
              </w:rPr>
            </w:pPr>
          </w:p>
        </w:tc>
        <w:tc>
          <w:tcPr>
            <w:tcW w:w="26" w:type="pct"/>
            <w:vAlign w:val="center"/>
            <w:hideMark/>
          </w:tcPr>
          <w:p w14:paraId="71842D35" w14:textId="77777777" w:rsidR="00000000" w:rsidRDefault="00A173A8">
            <w:pPr>
              <w:spacing w:after="100"/>
              <w:rPr>
                <w:rFonts w:eastAsia="Times New Roman"/>
                <w:sz w:val="20"/>
                <w:szCs w:val="20"/>
              </w:rPr>
            </w:pPr>
          </w:p>
        </w:tc>
        <w:tc>
          <w:tcPr>
            <w:tcW w:w="5" w:type="pct"/>
            <w:vAlign w:val="center"/>
            <w:hideMark/>
          </w:tcPr>
          <w:p w14:paraId="76C74BF4" w14:textId="77777777" w:rsidR="00000000" w:rsidRDefault="00A173A8">
            <w:pPr>
              <w:spacing w:after="100"/>
              <w:rPr>
                <w:rFonts w:eastAsia="Times New Roman"/>
                <w:sz w:val="20"/>
                <w:szCs w:val="20"/>
              </w:rPr>
            </w:pPr>
          </w:p>
        </w:tc>
        <w:tc>
          <w:tcPr>
            <w:tcW w:w="50" w:type="pct"/>
            <w:vAlign w:val="center"/>
            <w:hideMark/>
          </w:tcPr>
          <w:p w14:paraId="56B9B9AA" w14:textId="77777777" w:rsidR="00000000" w:rsidRDefault="00A173A8">
            <w:pPr>
              <w:spacing w:after="100"/>
              <w:rPr>
                <w:rFonts w:eastAsia="Times New Roman"/>
                <w:sz w:val="20"/>
                <w:szCs w:val="20"/>
              </w:rPr>
            </w:pPr>
          </w:p>
        </w:tc>
        <w:tc>
          <w:tcPr>
            <w:tcW w:w="244" w:type="pct"/>
            <w:vAlign w:val="center"/>
            <w:hideMark/>
          </w:tcPr>
          <w:p w14:paraId="2E14897F" w14:textId="77777777" w:rsidR="00000000" w:rsidRDefault="00A173A8">
            <w:pPr>
              <w:spacing w:after="100"/>
              <w:rPr>
                <w:rFonts w:eastAsia="Times New Roman"/>
                <w:sz w:val="20"/>
                <w:szCs w:val="20"/>
              </w:rPr>
            </w:pPr>
          </w:p>
        </w:tc>
        <w:tc>
          <w:tcPr>
            <w:tcW w:w="5" w:type="pct"/>
            <w:vAlign w:val="center"/>
            <w:hideMark/>
          </w:tcPr>
          <w:p w14:paraId="64EBA5B3" w14:textId="77777777" w:rsidR="00000000" w:rsidRDefault="00A173A8">
            <w:pPr>
              <w:spacing w:after="100"/>
              <w:rPr>
                <w:rFonts w:eastAsia="Times New Roman"/>
                <w:sz w:val="20"/>
                <w:szCs w:val="20"/>
              </w:rPr>
            </w:pPr>
          </w:p>
        </w:tc>
        <w:tc>
          <w:tcPr>
            <w:tcW w:w="5" w:type="pct"/>
            <w:vAlign w:val="center"/>
            <w:hideMark/>
          </w:tcPr>
          <w:p w14:paraId="3F40B8B1" w14:textId="77777777" w:rsidR="00000000" w:rsidRDefault="00A173A8">
            <w:pPr>
              <w:spacing w:after="100"/>
              <w:rPr>
                <w:rFonts w:eastAsia="Times New Roman"/>
                <w:sz w:val="20"/>
                <w:szCs w:val="20"/>
              </w:rPr>
            </w:pPr>
          </w:p>
        </w:tc>
        <w:tc>
          <w:tcPr>
            <w:tcW w:w="26" w:type="pct"/>
            <w:vAlign w:val="center"/>
            <w:hideMark/>
          </w:tcPr>
          <w:p w14:paraId="30FA3106" w14:textId="77777777" w:rsidR="00000000" w:rsidRDefault="00A173A8">
            <w:pPr>
              <w:spacing w:after="100"/>
              <w:rPr>
                <w:rFonts w:eastAsia="Times New Roman"/>
                <w:sz w:val="20"/>
                <w:szCs w:val="20"/>
              </w:rPr>
            </w:pPr>
          </w:p>
        </w:tc>
        <w:tc>
          <w:tcPr>
            <w:tcW w:w="5" w:type="pct"/>
            <w:vAlign w:val="center"/>
            <w:hideMark/>
          </w:tcPr>
          <w:p w14:paraId="09377B0A" w14:textId="77777777" w:rsidR="00000000" w:rsidRDefault="00A173A8">
            <w:pPr>
              <w:spacing w:after="100"/>
              <w:rPr>
                <w:rFonts w:eastAsia="Times New Roman"/>
                <w:sz w:val="20"/>
                <w:szCs w:val="20"/>
              </w:rPr>
            </w:pPr>
          </w:p>
        </w:tc>
        <w:tc>
          <w:tcPr>
            <w:tcW w:w="50" w:type="pct"/>
            <w:vAlign w:val="center"/>
            <w:hideMark/>
          </w:tcPr>
          <w:p w14:paraId="3077E987" w14:textId="77777777" w:rsidR="00000000" w:rsidRDefault="00A173A8">
            <w:pPr>
              <w:spacing w:after="100"/>
              <w:rPr>
                <w:rFonts w:eastAsia="Times New Roman"/>
                <w:sz w:val="20"/>
                <w:szCs w:val="20"/>
              </w:rPr>
            </w:pPr>
          </w:p>
        </w:tc>
        <w:tc>
          <w:tcPr>
            <w:tcW w:w="295" w:type="pct"/>
            <w:vAlign w:val="center"/>
            <w:hideMark/>
          </w:tcPr>
          <w:p w14:paraId="0346B10B" w14:textId="77777777" w:rsidR="00000000" w:rsidRDefault="00A173A8">
            <w:pPr>
              <w:spacing w:after="100"/>
              <w:rPr>
                <w:rFonts w:eastAsia="Times New Roman"/>
                <w:sz w:val="20"/>
                <w:szCs w:val="20"/>
              </w:rPr>
            </w:pPr>
          </w:p>
        </w:tc>
        <w:tc>
          <w:tcPr>
            <w:tcW w:w="5" w:type="pct"/>
            <w:vAlign w:val="center"/>
            <w:hideMark/>
          </w:tcPr>
          <w:p w14:paraId="4A02B409" w14:textId="77777777" w:rsidR="00000000" w:rsidRDefault="00A173A8">
            <w:pPr>
              <w:spacing w:after="100"/>
              <w:rPr>
                <w:rFonts w:eastAsia="Times New Roman"/>
                <w:sz w:val="20"/>
                <w:szCs w:val="20"/>
              </w:rPr>
            </w:pPr>
          </w:p>
        </w:tc>
        <w:tc>
          <w:tcPr>
            <w:tcW w:w="5" w:type="pct"/>
            <w:vAlign w:val="center"/>
            <w:hideMark/>
          </w:tcPr>
          <w:p w14:paraId="64C18A39" w14:textId="77777777" w:rsidR="00000000" w:rsidRDefault="00A173A8">
            <w:pPr>
              <w:spacing w:after="100"/>
              <w:rPr>
                <w:rFonts w:eastAsia="Times New Roman"/>
                <w:sz w:val="20"/>
                <w:szCs w:val="20"/>
              </w:rPr>
            </w:pPr>
          </w:p>
        </w:tc>
        <w:tc>
          <w:tcPr>
            <w:tcW w:w="26" w:type="pct"/>
            <w:vAlign w:val="center"/>
            <w:hideMark/>
          </w:tcPr>
          <w:p w14:paraId="6FE08C17" w14:textId="77777777" w:rsidR="00000000" w:rsidRDefault="00A173A8">
            <w:pPr>
              <w:spacing w:after="100"/>
              <w:rPr>
                <w:rFonts w:eastAsia="Times New Roman"/>
                <w:sz w:val="20"/>
                <w:szCs w:val="20"/>
              </w:rPr>
            </w:pPr>
          </w:p>
        </w:tc>
        <w:tc>
          <w:tcPr>
            <w:tcW w:w="5" w:type="pct"/>
            <w:vAlign w:val="center"/>
            <w:hideMark/>
          </w:tcPr>
          <w:p w14:paraId="146B30F7" w14:textId="77777777" w:rsidR="00000000" w:rsidRDefault="00A173A8">
            <w:pPr>
              <w:spacing w:after="100"/>
              <w:rPr>
                <w:rFonts w:eastAsia="Times New Roman"/>
                <w:sz w:val="20"/>
                <w:szCs w:val="20"/>
              </w:rPr>
            </w:pPr>
          </w:p>
        </w:tc>
        <w:tc>
          <w:tcPr>
            <w:tcW w:w="50" w:type="pct"/>
            <w:vAlign w:val="center"/>
            <w:hideMark/>
          </w:tcPr>
          <w:p w14:paraId="6F4228B4" w14:textId="77777777" w:rsidR="00000000" w:rsidRDefault="00A173A8">
            <w:pPr>
              <w:spacing w:after="100"/>
              <w:rPr>
                <w:rFonts w:eastAsia="Times New Roman"/>
                <w:sz w:val="20"/>
                <w:szCs w:val="20"/>
              </w:rPr>
            </w:pPr>
          </w:p>
        </w:tc>
        <w:tc>
          <w:tcPr>
            <w:tcW w:w="266" w:type="pct"/>
            <w:gridSpan w:val="4"/>
            <w:vAlign w:val="center"/>
            <w:hideMark/>
          </w:tcPr>
          <w:p w14:paraId="58206B57" w14:textId="77777777" w:rsidR="00000000" w:rsidRDefault="00A173A8">
            <w:pPr>
              <w:spacing w:after="100"/>
              <w:rPr>
                <w:rFonts w:eastAsia="Times New Roman"/>
                <w:sz w:val="20"/>
                <w:szCs w:val="20"/>
              </w:rPr>
            </w:pPr>
          </w:p>
        </w:tc>
        <w:tc>
          <w:tcPr>
            <w:tcW w:w="5" w:type="pct"/>
            <w:vAlign w:val="center"/>
            <w:hideMark/>
          </w:tcPr>
          <w:p w14:paraId="6EC2BC73" w14:textId="77777777" w:rsidR="00000000" w:rsidRDefault="00A173A8">
            <w:pPr>
              <w:spacing w:after="100"/>
              <w:rPr>
                <w:rFonts w:eastAsia="Times New Roman"/>
                <w:sz w:val="20"/>
                <w:szCs w:val="20"/>
              </w:rPr>
            </w:pPr>
          </w:p>
        </w:tc>
        <w:tc>
          <w:tcPr>
            <w:tcW w:w="5" w:type="pct"/>
            <w:vAlign w:val="center"/>
            <w:hideMark/>
          </w:tcPr>
          <w:p w14:paraId="3FC46B6F" w14:textId="77777777" w:rsidR="00000000" w:rsidRDefault="00A173A8">
            <w:pPr>
              <w:spacing w:after="100"/>
              <w:rPr>
                <w:rFonts w:eastAsia="Times New Roman"/>
                <w:sz w:val="20"/>
                <w:szCs w:val="20"/>
              </w:rPr>
            </w:pPr>
          </w:p>
        </w:tc>
        <w:tc>
          <w:tcPr>
            <w:tcW w:w="26" w:type="pct"/>
            <w:vAlign w:val="center"/>
            <w:hideMark/>
          </w:tcPr>
          <w:p w14:paraId="6D5A4B47" w14:textId="77777777" w:rsidR="00000000" w:rsidRDefault="00A173A8">
            <w:pPr>
              <w:spacing w:after="100"/>
              <w:rPr>
                <w:rFonts w:eastAsia="Times New Roman"/>
                <w:sz w:val="20"/>
                <w:szCs w:val="20"/>
              </w:rPr>
            </w:pPr>
          </w:p>
        </w:tc>
        <w:tc>
          <w:tcPr>
            <w:tcW w:w="5" w:type="pct"/>
            <w:vAlign w:val="center"/>
            <w:hideMark/>
          </w:tcPr>
          <w:p w14:paraId="3C06C759" w14:textId="77777777" w:rsidR="00000000" w:rsidRDefault="00A173A8">
            <w:pPr>
              <w:spacing w:after="100"/>
              <w:rPr>
                <w:rFonts w:eastAsia="Times New Roman"/>
                <w:sz w:val="20"/>
                <w:szCs w:val="20"/>
              </w:rPr>
            </w:pPr>
          </w:p>
        </w:tc>
        <w:tc>
          <w:tcPr>
            <w:tcW w:w="50" w:type="pct"/>
            <w:vAlign w:val="center"/>
            <w:hideMark/>
          </w:tcPr>
          <w:p w14:paraId="6B1A722D" w14:textId="77777777" w:rsidR="00000000" w:rsidRDefault="00A173A8">
            <w:pPr>
              <w:spacing w:after="100"/>
              <w:rPr>
                <w:rFonts w:eastAsia="Times New Roman"/>
                <w:sz w:val="20"/>
                <w:szCs w:val="20"/>
              </w:rPr>
            </w:pPr>
          </w:p>
        </w:tc>
        <w:tc>
          <w:tcPr>
            <w:tcW w:w="244" w:type="pct"/>
            <w:vAlign w:val="center"/>
            <w:hideMark/>
          </w:tcPr>
          <w:p w14:paraId="709B282C" w14:textId="77777777" w:rsidR="00000000" w:rsidRDefault="00A173A8">
            <w:pPr>
              <w:spacing w:after="100"/>
              <w:rPr>
                <w:rFonts w:eastAsia="Times New Roman"/>
                <w:sz w:val="20"/>
                <w:szCs w:val="20"/>
              </w:rPr>
            </w:pPr>
          </w:p>
        </w:tc>
        <w:tc>
          <w:tcPr>
            <w:tcW w:w="5" w:type="pct"/>
            <w:vAlign w:val="center"/>
            <w:hideMark/>
          </w:tcPr>
          <w:p w14:paraId="0B611BB2" w14:textId="77777777" w:rsidR="00000000" w:rsidRDefault="00A173A8">
            <w:pPr>
              <w:spacing w:after="100"/>
              <w:rPr>
                <w:rFonts w:eastAsia="Times New Roman"/>
                <w:sz w:val="20"/>
                <w:szCs w:val="20"/>
              </w:rPr>
            </w:pPr>
          </w:p>
        </w:tc>
        <w:tc>
          <w:tcPr>
            <w:tcW w:w="5" w:type="pct"/>
            <w:vAlign w:val="center"/>
            <w:hideMark/>
          </w:tcPr>
          <w:p w14:paraId="27702AF2" w14:textId="77777777" w:rsidR="00000000" w:rsidRDefault="00A173A8">
            <w:pPr>
              <w:spacing w:after="100"/>
              <w:rPr>
                <w:rFonts w:eastAsia="Times New Roman"/>
                <w:sz w:val="20"/>
                <w:szCs w:val="20"/>
              </w:rPr>
            </w:pPr>
          </w:p>
        </w:tc>
        <w:tc>
          <w:tcPr>
            <w:tcW w:w="26" w:type="pct"/>
            <w:vAlign w:val="center"/>
            <w:hideMark/>
          </w:tcPr>
          <w:p w14:paraId="152C50FF" w14:textId="77777777" w:rsidR="00000000" w:rsidRDefault="00A173A8">
            <w:pPr>
              <w:spacing w:after="100"/>
              <w:rPr>
                <w:rFonts w:eastAsia="Times New Roman"/>
                <w:sz w:val="20"/>
                <w:szCs w:val="20"/>
              </w:rPr>
            </w:pPr>
          </w:p>
        </w:tc>
        <w:tc>
          <w:tcPr>
            <w:tcW w:w="5" w:type="pct"/>
            <w:vAlign w:val="center"/>
            <w:hideMark/>
          </w:tcPr>
          <w:p w14:paraId="602BFA43" w14:textId="77777777" w:rsidR="00000000" w:rsidRDefault="00A173A8">
            <w:pPr>
              <w:spacing w:after="100"/>
              <w:rPr>
                <w:rFonts w:eastAsia="Times New Roman"/>
                <w:sz w:val="20"/>
                <w:szCs w:val="20"/>
              </w:rPr>
            </w:pPr>
          </w:p>
        </w:tc>
        <w:tc>
          <w:tcPr>
            <w:tcW w:w="50" w:type="pct"/>
            <w:vAlign w:val="center"/>
            <w:hideMark/>
          </w:tcPr>
          <w:p w14:paraId="122CBBF4" w14:textId="77777777" w:rsidR="00000000" w:rsidRDefault="00A173A8">
            <w:pPr>
              <w:spacing w:after="100"/>
              <w:rPr>
                <w:rFonts w:eastAsia="Times New Roman"/>
                <w:sz w:val="20"/>
                <w:szCs w:val="20"/>
              </w:rPr>
            </w:pPr>
          </w:p>
        </w:tc>
        <w:tc>
          <w:tcPr>
            <w:tcW w:w="354" w:type="pct"/>
            <w:vAlign w:val="center"/>
            <w:hideMark/>
          </w:tcPr>
          <w:p w14:paraId="59332A6C" w14:textId="77777777" w:rsidR="00000000" w:rsidRDefault="00A173A8">
            <w:pPr>
              <w:spacing w:after="100"/>
              <w:rPr>
                <w:rFonts w:eastAsia="Times New Roman"/>
                <w:sz w:val="20"/>
                <w:szCs w:val="20"/>
              </w:rPr>
            </w:pPr>
          </w:p>
        </w:tc>
        <w:tc>
          <w:tcPr>
            <w:tcW w:w="5" w:type="pct"/>
            <w:vAlign w:val="center"/>
            <w:hideMark/>
          </w:tcPr>
          <w:p w14:paraId="1AEF6693" w14:textId="77777777" w:rsidR="00000000" w:rsidRDefault="00A173A8">
            <w:pPr>
              <w:spacing w:after="100"/>
              <w:rPr>
                <w:rFonts w:eastAsia="Times New Roman"/>
                <w:sz w:val="20"/>
                <w:szCs w:val="20"/>
              </w:rPr>
            </w:pPr>
          </w:p>
        </w:tc>
      </w:tr>
      <w:tr w:rsidR="00000000" w14:paraId="51CF45C9" w14:textId="77777777">
        <w:trPr>
          <w:gridAfter w:val="2"/>
          <w:divId w:val="821506736"/>
        </w:trPr>
        <w:tc>
          <w:tcPr>
            <w:tcW w:w="0" w:type="auto"/>
            <w:gridSpan w:val="4"/>
            <w:tcMar>
              <w:top w:w="0" w:type="dxa"/>
              <w:left w:w="20" w:type="dxa"/>
              <w:bottom w:w="0" w:type="dxa"/>
              <w:right w:w="20" w:type="dxa"/>
            </w:tcMar>
            <w:vAlign w:val="center"/>
            <w:hideMark/>
          </w:tcPr>
          <w:p w14:paraId="1F4253A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908563" w14:textId="77777777" w:rsidR="00000000" w:rsidRDefault="00A173A8">
            <w:pPr>
              <w:spacing w:after="100"/>
              <w:rPr>
                <w:rFonts w:eastAsia="Times New Roman"/>
                <w:sz w:val="20"/>
                <w:szCs w:val="20"/>
              </w:rPr>
            </w:pPr>
          </w:p>
        </w:tc>
        <w:tc>
          <w:tcPr>
            <w:tcW w:w="0" w:type="auto"/>
            <w:gridSpan w:val="62"/>
            <w:tcMar>
              <w:top w:w="30" w:type="dxa"/>
              <w:left w:w="20" w:type="dxa"/>
              <w:bottom w:w="30" w:type="dxa"/>
              <w:right w:w="20" w:type="dxa"/>
            </w:tcMar>
            <w:vAlign w:val="bottom"/>
            <w:hideMark/>
          </w:tcPr>
          <w:p w14:paraId="1959FEA2" w14:textId="77777777" w:rsidR="00000000" w:rsidRDefault="00A173A8">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14:paraId="2C8A5442" w14:textId="77777777" w:rsidR="00000000" w:rsidRDefault="00A173A8">
            <w:pPr>
              <w:spacing w:after="100"/>
              <w:rPr>
                <w:rFonts w:eastAsia="Times New Roman"/>
                <w:sz w:val="20"/>
                <w:szCs w:val="20"/>
              </w:rPr>
            </w:pPr>
          </w:p>
        </w:tc>
      </w:tr>
      <w:tr w:rsidR="00000000" w14:paraId="18CB3989" w14:textId="77777777">
        <w:trPr>
          <w:gridAfter w:val="2"/>
          <w:divId w:val="821506736"/>
        </w:trPr>
        <w:tc>
          <w:tcPr>
            <w:tcW w:w="0" w:type="auto"/>
            <w:gridSpan w:val="4"/>
            <w:tcMar>
              <w:top w:w="0" w:type="dxa"/>
              <w:left w:w="20" w:type="dxa"/>
              <w:bottom w:w="0" w:type="dxa"/>
              <w:right w:w="20" w:type="dxa"/>
            </w:tcMar>
            <w:vAlign w:val="center"/>
            <w:hideMark/>
          </w:tcPr>
          <w:p w14:paraId="17B519BF"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9A9732E" w14:textId="77777777" w:rsidR="00000000" w:rsidRDefault="00A173A8">
            <w:pPr>
              <w:spacing w:after="100"/>
              <w:rPr>
                <w:rFonts w:eastAsia="Times New Roman"/>
                <w:sz w:val="20"/>
                <w:szCs w:val="20"/>
              </w:rPr>
            </w:pPr>
          </w:p>
        </w:tc>
        <w:tc>
          <w:tcPr>
            <w:tcW w:w="0" w:type="auto"/>
            <w:gridSpan w:val="62"/>
            <w:tcMar>
              <w:top w:w="30" w:type="dxa"/>
              <w:left w:w="20" w:type="dxa"/>
              <w:bottom w:w="30" w:type="dxa"/>
              <w:right w:w="20" w:type="dxa"/>
            </w:tcMar>
            <w:vAlign w:val="bottom"/>
            <w:hideMark/>
          </w:tcPr>
          <w:p w14:paraId="14B4676F" w14:textId="77777777" w:rsidR="00000000" w:rsidRDefault="00A173A8">
            <w:pPr>
              <w:spacing w:after="100"/>
              <w:jc w:val="center"/>
              <w:rPr>
                <w:rFonts w:eastAsia="Times New Roman"/>
              </w:rPr>
            </w:pPr>
            <w:r>
              <w:rPr>
                <w:rFonts w:eastAsia="Times New Roman"/>
                <w:b/>
                <w:bCs/>
                <w:color w:val="000000"/>
                <w:sz w:val="14"/>
                <w:szCs w:val="14"/>
              </w:rPr>
              <w:t>Three Months Ended June 30, 2022</w:t>
            </w:r>
          </w:p>
        </w:tc>
        <w:tc>
          <w:tcPr>
            <w:tcW w:w="0" w:type="auto"/>
            <w:vAlign w:val="center"/>
            <w:hideMark/>
          </w:tcPr>
          <w:p w14:paraId="67F0B7E2" w14:textId="77777777" w:rsidR="00000000" w:rsidRDefault="00A173A8">
            <w:pPr>
              <w:spacing w:after="100"/>
              <w:rPr>
                <w:rFonts w:eastAsia="Times New Roman"/>
                <w:sz w:val="20"/>
                <w:szCs w:val="20"/>
              </w:rPr>
            </w:pPr>
          </w:p>
        </w:tc>
      </w:tr>
      <w:tr w:rsidR="00000000" w14:paraId="7406CBE2" w14:textId="77777777">
        <w:trPr>
          <w:gridAfter w:val="2"/>
          <w:divId w:val="821506736"/>
          <w:trHeight w:val="300"/>
        </w:trPr>
        <w:tc>
          <w:tcPr>
            <w:tcW w:w="0" w:type="auto"/>
            <w:gridSpan w:val="4"/>
            <w:tcMar>
              <w:top w:w="0" w:type="dxa"/>
              <w:left w:w="20" w:type="dxa"/>
              <w:bottom w:w="0" w:type="dxa"/>
              <w:right w:w="20" w:type="dxa"/>
            </w:tcMar>
            <w:vAlign w:val="center"/>
            <w:hideMark/>
          </w:tcPr>
          <w:p w14:paraId="476B0DD8"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0FEDF79"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D01426"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A1E4EC" w14:textId="77777777" w:rsidR="00000000" w:rsidRDefault="00A173A8">
            <w:pPr>
              <w:spacing w:after="100"/>
              <w:rPr>
                <w:rFonts w:eastAsia="Times New Roman"/>
                <w:sz w:val="20"/>
                <w:szCs w:val="20"/>
              </w:rPr>
            </w:pPr>
          </w:p>
        </w:tc>
        <w:tc>
          <w:tcPr>
            <w:tcW w:w="0" w:type="auto"/>
            <w:gridSpan w:val="10"/>
            <w:tcBorders>
              <w:top w:val="single" w:sz="8" w:space="0" w:color="000000"/>
            </w:tcBorders>
            <w:tcMar>
              <w:top w:w="30" w:type="dxa"/>
              <w:left w:w="20" w:type="dxa"/>
              <w:bottom w:w="30" w:type="dxa"/>
              <w:right w:w="20" w:type="dxa"/>
            </w:tcMar>
            <w:vAlign w:val="bottom"/>
            <w:hideMark/>
          </w:tcPr>
          <w:p w14:paraId="3ED819F6" w14:textId="77777777" w:rsidR="00000000" w:rsidRDefault="00A173A8">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4"/>
            <w:tcBorders>
              <w:top w:val="single" w:sz="8" w:space="0" w:color="000000"/>
            </w:tcBorders>
            <w:tcMar>
              <w:top w:w="0" w:type="dxa"/>
              <w:left w:w="20" w:type="dxa"/>
              <w:bottom w:w="0" w:type="dxa"/>
              <w:right w:w="20" w:type="dxa"/>
            </w:tcMar>
            <w:vAlign w:val="center"/>
            <w:hideMark/>
          </w:tcPr>
          <w:p w14:paraId="0368BF3F" w14:textId="77777777" w:rsidR="00000000" w:rsidRDefault="00A173A8">
            <w:pPr>
              <w:spacing w:after="100"/>
              <w:jc w:val="center"/>
              <w:rPr>
                <w:rFonts w:eastAsia="Times New Roman"/>
              </w:rPr>
            </w:pPr>
          </w:p>
        </w:tc>
        <w:tc>
          <w:tcPr>
            <w:tcW w:w="0" w:type="auto"/>
            <w:gridSpan w:val="4"/>
            <w:tcBorders>
              <w:top w:val="single" w:sz="8" w:space="0" w:color="000000"/>
            </w:tcBorders>
            <w:tcMar>
              <w:top w:w="0" w:type="dxa"/>
              <w:left w:w="20" w:type="dxa"/>
              <w:bottom w:w="0" w:type="dxa"/>
              <w:right w:w="20" w:type="dxa"/>
            </w:tcMar>
            <w:vAlign w:val="center"/>
            <w:hideMark/>
          </w:tcPr>
          <w:p w14:paraId="647D954C"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D57467"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DF6D8E"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7ACE22"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42B742"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7D2EB3"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756D0E"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E59EBB" w14:textId="77777777" w:rsidR="00000000" w:rsidRDefault="00A173A8">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11075450"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3A3596"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26A1FF"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2179B3" w14:textId="77777777" w:rsidR="00000000" w:rsidRDefault="00A173A8">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29467523" w14:textId="77777777" w:rsidR="00000000" w:rsidRDefault="00A173A8">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14:paraId="0F088088" w14:textId="77777777" w:rsidR="00000000" w:rsidRDefault="00A173A8">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June 30, 202</w:t>
            </w:r>
            <w:r>
              <w:rPr>
                <w:rFonts w:eastAsia="Times New Roman"/>
                <w:b/>
                <w:bCs/>
                <w:color w:val="000000"/>
                <w:sz w:val="12"/>
                <w:szCs w:val="12"/>
              </w:rPr>
              <w:t>2</w:t>
            </w:r>
            <w:r>
              <w:rPr>
                <w:rFonts w:eastAsia="Times New Roman"/>
                <w:b/>
                <w:bCs/>
                <w:color w:val="000000"/>
                <w:sz w:val="8"/>
                <w:szCs w:val="8"/>
              </w:rPr>
              <w:t>(1</w:t>
            </w:r>
            <w:r>
              <w:rPr>
                <w:rFonts w:eastAsia="Times New Roman"/>
                <w:b/>
                <w:bCs/>
                <w:color w:val="000000"/>
                <w:sz w:val="8"/>
                <w:szCs w:val="8"/>
              </w:rPr>
              <w:t>)</w:t>
            </w:r>
          </w:p>
          <w:p w14:paraId="54379974" w14:textId="77777777" w:rsidR="00000000" w:rsidRDefault="00A173A8">
            <w:pPr>
              <w:spacing w:after="100"/>
              <w:jc w:val="center"/>
              <w:rPr>
                <w:rFonts w:eastAsia="Times New Roman"/>
              </w:rPr>
            </w:pPr>
          </w:p>
        </w:tc>
      </w:tr>
      <w:tr w:rsidR="00000000" w14:paraId="0AF7C2E1" w14:textId="77777777">
        <w:trPr>
          <w:gridAfter w:val="2"/>
          <w:divId w:val="821506736"/>
          <w:trHeight w:val="460"/>
        </w:trPr>
        <w:tc>
          <w:tcPr>
            <w:tcW w:w="0" w:type="auto"/>
            <w:gridSpan w:val="4"/>
            <w:tcBorders>
              <w:bottom w:val="single" w:sz="8" w:space="0" w:color="000000"/>
            </w:tcBorders>
            <w:tcMar>
              <w:top w:w="30" w:type="dxa"/>
              <w:left w:w="20" w:type="dxa"/>
              <w:bottom w:w="30" w:type="dxa"/>
              <w:right w:w="20" w:type="dxa"/>
            </w:tcMar>
            <w:vAlign w:val="bottom"/>
            <w:hideMark/>
          </w:tcPr>
          <w:p w14:paraId="43C887A6" w14:textId="77777777" w:rsidR="00000000" w:rsidRDefault="00A173A8">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14:paraId="7F08D087" w14:textId="77777777" w:rsidR="00000000" w:rsidRDefault="00A173A8">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1034DA75" w14:textId="77777777" w:rsidR="00000000" w:rsidRDefault="00A173A8">
            <w:pPr>
              <w:spacing w:after="100"/>
              <w:jc w:val="center"/>
              <w:rPr>
                <w:rFonts w:eastAsia="Times New Roman"/>
              </w:rPr>
            </w:pPr>
            <w:r>
              <w:rPr>
                <w:rFonts w:eastAsia="Times New Roman"/>
                <w:b/>
                <w:bCs/>
                <w:color w:val="000000"/>
                <w:sz w:val="12"/>
                <w:szCs w:val="12"/>
              </w:rPr>
              <w:t>Balance, April 1, 2022</w:t>
            </w:r>
          </w:p>
        </w:tc>
        <w:tc>
          <w:tcPr>
            <w:tcW w:w="0" w:type="auto"/>
            <w:gridSpan w:val="3"/>
            <w:tcMar>
              <w:top w:w="0" w:type="dxa"/>
              <w:left w:w="20" w:type="dxa"/>
              <w:bottom w:w="0" w:type="dxa"/>
              <w:right w:w="20" w:type="dxa"/>
            </w:tcMar>
            <w:vAlign w:val="center"/>
            <w:hideMark/>
          </w:tcPr>
          <w:p w14:paraId="56AD877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325BE2" w14:textId="77777777" w:rsidR="00000000" w:rsidRDefault="00A173A8">
            <w:pPr>
              <w:spacing w:after="100"/>
              <w:jc w:val="center"/>
              <w:rPr>
                <w:rFonts w:eastAsia="Times New Roman"/>
              </w:rPr>
            </w:pPr>
            <w:r>
              <w:rPr>
                <w:rFonts w:eastAsia="Times New Roman"/>
                <w:b/>
                <w:bCs/>
                <w:color w:val="000000"/>
                <w:sz w:val="12"/>
                <w:szCs w:val="12"/>
              </w:rPr>
              <w:t>Included</w:t>
            </w:r>
          </w:p>
          <w:p w14:paraId="58FBD8C6" w14:textId="77777777" w:rsidR="00000000" w:rsidRDefault="00A173A8">
            <w:pPr>
              <w:spacing w:after="100"/>
              <w:jc w:val="center"/>
              <w:rPr>
                <w:rFonts w:eastAsia="Times New Roman"/>
              </w:rPr>
            </w:pPr>
            <w:r>
              <w:rPr>
                <w:rFonts w:eastAsia="Times New Roman"/>
                <w:b/>
                <w:bCs/>
                <w:color w:val="000000"/>
                <w:sz w:val="12"/>
                <w:szCs w:val="12"/>
              </w:rPr>
              <w:t>in Net</w:t>
            </w:r>
          </w:p>
          <w:p w14:paraId="50B7FE71" w14:textId="77777777" w:rsidR="00000000" w:rsidRDefault="00A173A8">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14:paraId="3DA91F13" w14:textId="77777777" w:rsidR="00000000" w:rsidRDefault="00A173A8">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14:paraId="1C19F691" w14:textId="77777777" w:rsidR="00000000" w:rsidRDefault="00A173A8">
            <w:pPr>
              <w:spacing w:after="100"/>
              <w:jc w:val="center"/>
              <w:rPr>
                <w:rFonts w:eastAsia="Times New Roman"/>
              </w:rPr>
            </w:pPr>
            <w:r>
              <w:rPr>
                <w:rFonts w:eastAsia="Times New Roman"/>
                <w:b/>
                <w:bCs/>
                <w:color w:val="000000"/>
                <w:sz w:val="12"/>
                <w:szCs w:val="12"/>
              </w:rPr>
              <w:t>Included in OCI</w:t>
            </w:r>
          </w:p>
        </w:tc>
        <w:tc>
          <w:tcPr>
            <w:tcW w:w="0" w:type="auto"/>
            <w:gridSpan w:val="4"/>
            <w:tcMar>
              <w:top w:w="0" w:type="dxa"/>
              <w:left w:w="20" w:type="dxa"/>
              <w:bottom w:w="0" w:type="dxa"/>
              <w:right w:w="20" w:type="dxa"/>
            </w:tcMar>
            <w:vAlign w:val="center"/>
            <w:hideMark/>
          </w:tcPr>
          <w:p w14:paraId="2B14EA46" w14:textId="77777777" w:rsidR="00000000" w:rsidRDefault="00A173A8">
            <w:pPr>
              <w:spacing w:after="100"/>
              <w:jc w:val="center"/>
              <w:rPr>
                <w:rFonts w:eastAsia="Times New Roman"/>
              </w:rPr>
            </w:pPr>
          </w:p>
        </w:tc>
        <w:tc>
          <w:tcPr>
            <w:tcW w:w="0" w:type="auto"/>
            <w:gridSpan w:val="4"/>
            <w:tcBorders>
              <w:bottom w:val="single" w:sz="8" w:space="0" w:color="000000"/>
            </w:tcBorders>
            <w:tcMar>
              <w:top w:w="30" w:type="dxa"/>
              <w:left w:w="20" w:type="dxa"/>
              <w:bottom w:w="30" w:type="dxa"/>
              <w:right w:w="20" w:type="dxa"/>
            </w:tcMar>
            <w:vAlign w:val="bottom"/>
            <w:hideMark/>
          </w:tcPr>
          <w:p w14:paraId="5C6C51D9" w14:textId="77777777" w:rsidR="00000000" w:rsidRDefault="00A173A8">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14:paraId="428CEA8B"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30EA1E0" w14:textId="77777777" w:rsidR="00000000" w:rsidRDefault="00A173A8">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14:paraId="5364DDE0"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FA0A97F" w14:textId="77777777" w:rsidR="00000000" w:rsidRDefault="00A173A8">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14:paraId="31936626"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7EC280B0" w14:textId="77777777" w:rsidR="00000000" w:rsidRDefault="00A173A8">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14:paraId="06CFEBAF" w14:textId="77777777" w:rsidR="00000000" w:rsidRDefault="00A173A8">
            <w:pPr>
              <w:spacing w:after="100"/>
              <w:jc w:val="center"/>
              <w:rPr>
                <w:rFonts w:eastAsia="Times New Roman"/>
              </w:rPr>
            </w:pPr>
          </w:p>
        </w:tc>
        <w:tc>
          <w:tcPr>
            <w:tcW w:w="0" w:type="auto"/>
            <w:gridSpan w:val="6"/>
            <w:tcBorders>
              <w:bottom w:val="single" w:sz="8" w:space="0" w:color="000000"/>
            </w:tcBorders>
            <w:tcMar>
              <w:top w:w="30" w:type="dxa"/>
              <w:left w:w="20" w:type="dxa"/>
              <w:bottom w:w="30" w:type="dxa"/>
              <w:right w:w="20" w:type="dxa"/>
            </w:tcMar>
            <w:vAlign w:val="bottom"/>
            <w:hideMark/>
          </w:tcPr>
          <w:p w14:paraId="719142E8" w14:textId="77777777" w:rsidR="00000000" w:rsidRDefault="00A173A8">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6CC0B02B"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3733656C" w14:textId="77777777" w:rsidR="00000000" w:rsidRDefault="00A173A8">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49C6A731" w14:textId="77777777" w:rsidR="00000000" w:rsidRDefault="00A173A8">
            <w:pPr>
              <w:spacing w:after="100"/>
              <w:jc w:val="center"/>
              <w:rPr>
                <w:rFonts w:eastAsia="Times New Roman"/>
              </w:rPr>
            </w:pPr>
          </w:p>
        </w:tc>
        <w:tc>
          <w:tcPr>
            <w:tcW w:w="0" w:type="auto"/>
            <w:gridSpan w:val="2"/>
            <w:tcBorders>
              <w:bottom w:val="single" w:sz="8" w:space="0" w:color="000000"/>
            </w:tcBorders>
            <w:tcMar>
              <w:top w:w="30" w:type="dxa"/>
              <w:left w:w="20" w:type="dxa"/>
              <w:bottom w:w="30" w:type="dxa"/>
              <w:right w:w="20" w:type="dxa"/>
            </w:tcMar>
            <w:vAlign w:val="bottom"/>
            <w:hideMark/>
          </w:tcPr>
          <w:p w14:paraId="6508DD2A" w14:textId="77777777" w:rsidR="00000000" w:rsidRDefault="00A173A8">
            <w:pPr>
              <w:spacing w:after="100"/>
              <w:jc w:val="center"/>
              <w:rPr>
                <w:rFonts w:eastAsia="Times New Roman"/>
              </w:rPr>
            </w:pPr>
            <w:r>
              <w:rPr>
                <w:rFonts w:eastAsia="Times New Roman"/>
                <w:b/>
                <w:bCs/>
                <w:color w:val="000000"/>
                <w:sz w:val="12"/>
                <w:szCs w:val="12"/>
              </w:rPr>
              <w:t>Balance, June 30, 2022</w:t>
            </w:r>
          </w:p>
        </w:tc>
        <w:tc>
          <w:tcPr>
            <w:tcW w:w="0" w:type="auto"/>
            <w:tcMar>
              <w:top w:w="0" w:type="dxa"/>
              <w:left w:w="20" w:type="dxa"/>
              <w:bottom w:w="0" w:type="dxa"/>
              <w:right w:w="20" w:type="dxa"/>
            </w:tcMar>
            <w:vAlign w:val="center"/>
            <w:hideMark/>
          </w:tcPr>
          <w:p w14:paraId="20197059" w14:textId="77777777" w:rsidR="00000000" w:rsidRDefault="00A173A8">
            <w:pPr>
              <w:spacing w:after="100"/>
              <w:jc w:val="center"/>
              <w:rPr>
                <w:rFonts w:eastAsia="Times New Roman"/>
              </w:rPr>
            </w:pPr>
          </w:p>
        </w:tc>
      </w:tr>
      <w:tr w:rsidR="00000000" w14:paraId="2F08CF1E" w14:textId="77777777">
        <w:trPr>
          <w:gridAfter w:val="2"/>
          <w:divId w:val="821506736"/>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5DFBDC39" w14:textId="77777777" w:rsidR="00000000" w:rsidRDefault="00A173A8">
            <w:pPr>
              <w:spacing w:after="100"/>
              <w:divId w:val="1613316282"/>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23C502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DC7D2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BB1557"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2E9D5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56303A"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3B84E7F5"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4C36609"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072E64C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DCE35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0B1BA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31EB8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267E6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CC0AC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C5B06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0D7067" w14:textId="77777777" w:rsidR="00000000" w:rsidRDefault="00A173A8">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179E0B7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2AAB3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F77F1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D4CB29"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3B82CA52" w14:textId="77777777" w:rsidR="00000000" w:rsidRDefault="00A173A8">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2398913E" w14:textId="77777777" w:rsidR="00000000" w:rsidRDefault="00A173A8">
            <w:pPr>
              <w:spacing w:after="100"/>
              <w:rPr>
                <w:rFonts w:eastAsia="Times New Roman"/>
                <w:sz w:val="20"/>
                <w:szCs w:val="20"/>
              </w:rPr>
            </w:pPr>
          </w:p>
        </w:tc>
      </w:tr>
      <w:tr w:rsidR="00A173A8" w14:paraId="2F446E86" w14:textId="77777777">
        <w:trPr>
          <w:gridAfter w:val="2"/>
          <w:divId w:val="821506736"/>
        </w:trPr>
        <w:tc>
          <w:tcPr>
            <w:tcW w:w="0" w:type="auto"/>
            <w:gridSpan w:val="4"/>
            <w:shd w:val="clear" w:color="auto" w:fill="FFFFFF"/>
            <w:tcMar>
              <w:top w:w="30" w:type="dxa"/>
              <w:left w:w="245" w:type="dxa"/>
              <w:bottom w:w="30" w:type="dxa"/>
              <w:right w:w="20" w:type="dxa"/>
            </w:tcMar>
            <w:vAlign w:val="center"/>
            <w:hideMark/>
          </w:tcPr>
          <w:p w14:paraId="7FFE7255"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5F752F2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D9F946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E0D496C" w14:textId="77777777" w:rsidR="00000000" w:rsidRDefault="00A173A8">
            <w:pPr>
              <w:spacing w:after="100"/>
              <w:jc w:val="right"/>
              <w:rPr>
                <w:rFonts w:eastAsia="Times New Roman"/>
              </w:rPr>
            </w:pPr>
            <w:r>
              <w:rPr>
                <w:rFonts w:eastAsia="Times New Roman"/>
                <w:color w:val="000000"/>
                <w:sz w:val="18"/>
                <w:szCs w:val="18"/>
              </w:rPr>
              <w:t>211 </w:t>
            </w:r>
          </w:p>
        </w:tc>
        <w:tc>
          <w:tcPr>
            <w:tcW w:w="0" w:type="auto"/>
            <w:shd w:val="clear" w:color="auto" w:fill="FFFFFF"/>
            <w:tcMar>
              <w:top w:w="30" w:type="dxa"/>
              <w:left w:w="0" w:type="dxa"/>
              <w:bottom w:w="30" w:type="dxa"/>
              <w:right w:w="20" w:type="dxa"/>
            </w:tcMar>
            <w:vAlign w:val="bottom"/>
            <w:hideMark/>
          </w:tcPr>
          <w:p w14:paraId="3EC6A6C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F9D5E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8FA0B6"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6D153CE2" w14:textId="77777777" w:rsidR="00000000" w:rsidRDefault="00A173A8">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2CD90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3FAFC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D47EAF1"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0B0D047C" w14:textId="77777777" w:rsidR="00000000" w:rsidRDefault="00A173A8">
            <w:pPr>
              <w:spacing w:after="100"/>
              <w:jc w:val="right"/>
              <w:rPr>
                <w:rFonts w:eastAsia="Times New Roman"/>
              </w:rPr>
            </w:pPr>
            <w:r>
              <w:rPr>
                <w:rFonts w:eastAsia="Times New Roman"/>
                <w:b/>
                <w:bCs/>
                <w:color w:val="000000"/>
                <w:sz w:val="18"/>
                <w:szCs w:val="18"/>
              </w:rPr>
              <w:t>(8)</w:t>
            </w:r>
          </w:p>
        </w:tc>
        <w:tc>
          <w:tcPr>
            <w:tcW w:w="0" w:type="auto"/>
            <w:shd w:val="clear" w:color="auto" w:fill="FFFFFF"/>
            <w:tcMar>
              <w:top w:w="30" w:type="dxa"/>
              <w:left w:w="0" w:type="dxa"/>
              <w:bottom w:w="30" w:type="dxa"/>
              <w:right w:w="20" w:type="dxa"/>
            </w:tcMar>
            <w:vAlign w:val="bottom"/>
            <w:hideMark/>
          </w:tcPr>
          <w:p w14:paraId="0D71C6DE"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0E6E081"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43F9500"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6643D63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37D3B0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4DF627"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E8E6A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CE535C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04D44F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AEB7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079E6E"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5559AF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2771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452DB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F7D5CB"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0AD1A072" w14:textId="77777777" w:rsidR="00000000" w:rsidRDefault="00A173A8">
            <w:pPr>
              <w:spacing w:after="100"/>
              <w:jc w:val="right"/>
              <w:rPr>
                <w:rFonts w:eastAsia="Times New Roman"/>
              </w:rPr>
            </w:pPr>
            <w:r>
              <w:rPr>
                <w:rFonts w:eastAsia="Times New Roman"/>
                <w:b/>
                <w:bCs/>
                <w:color w:val="000000"/>
                <w:sz w:val="18"/>
                <w:szCs w:val="18"/>
              </w:rPr>
              <w:t>(15)</w:t>
            </w:r>
          </w:p>
        </w:tc>
        <w:tc>
          <w:tcPr>
            <w:tcW w:w="0" w:type="auto"/>
            <w:shd w:val="clear" w:color="auto" w:fill="FFFFFF"/>
            <w:tcMar>
              <w:top w:w="30" w:type="dxa"/>
              <w:left w:w="0" w:type="dxa"/>
              <w:bottom w:w="30" w:type="dxa"/>
              <w:right w:w="20" w:type="dxa"/>
            </w:tcMar>
            <w:vAlign w:val="bottom"/>
            <w:hideMark/>
          </w:tcPr>
          <w:p w14:paraId="2704E4C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92B9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D9AFBE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4"/>
            <w:shd w:val="clear" w:color="auto" w:fill="FFFFFF"/>
            <w:tcMar>
              <w:top w:w="30" w:type="dxa"/>
              <w:left w:w="0" w:type="dxa"/>
              <w:bottom w:w="30" w:type="dxa"/>
              <w:right w:w="0" w:type="dxa"/>
            </w:tcMar>
            <w:vAlign w:val="bottom"/>
            <w:hideMark/>
          </w:tcPr>
          <w:p w14:paraId="5DBEACE7" w14:textId="77777777" w:rsidR="00000000" w:rsidRDefault="00A173A8">
            <w:pPr>
              <w:spacing w:after="100"/>
              <w:jc w:val="right"/>
              <w:rPr>
                <w:rFonts w:eastAsia="Times New Roman"/>
              </w:rPr>
            </w:pPr>
            <w:r>
              <w:rPr>
                <w:rFonts w:eastAsia="Times New Roman"/>
                <w:b/>
                <w:bCs/>
                <w:color w:val="000000"/>
                <w:sz w:val="18"/>
                <w:szCs w:val="18"/>
              </w:rPr>
              <w:t>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6FBFE8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611887"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3F6BA99"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5B616B54" w14:textId="77777777" w:rsidR="00000000" w:rsidRDefault="00A173A8">
            <w:pPr>
              <w:spacing w:after="100"/>
              <w:jc w:val="right"/>
              <w:rPr>
                <w:rFonts w:eastAsia="Times New Roman"/>
              </w:rPr>
            </w:pPr>
            <w:r>
              <w:rPr>
                <w:rFonts w:eastAsia="Times New Roman"/>
                <w:b/>
                <w:bCs/>
                <w:color w:val="000000"/>
                <w:sz w:val="18"/>
                <w:szCs w:val="18"/>
              </w:rPr>
              <w:t>(23)</w:t>
            </w:r>
          </w:p>
        </w:tc>
        <w:tc>
          <w:tcPr>
            <w:tcW w:w="0" w:type="auto"/>
            <w:shd w:val="clear" w:color="auto" w:fill="FFFFFF"/>
            <w:tcMar>
              <w:top w:w="30" w:type="dxa"/>
              <w:left w:w="0" w:type="dxa"/>
              <w:bottom w:w="30" w:type="dxa"/>
              <w:right w:w="20" w:type="dxa"/>
            </w:tcMar>
            <w:vAlign w:val="bottom"/>
            <w:hideMark/>
          </w:tcPr>
          <w:p w14:paraId="435F572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F1A4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C00EF3"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200A7578" w14:textId="77777777" w:rsidR="00000000" w:rsidRDefault="00A173A8">
            <w:pPr>
              <w:spacing w:after="100"/>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49335E" w14:textId="77777777" w:rsidR="00000000" w:rsidRDefault="00A173A8">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r>
      <w:tr w:rsidR="00A173A8" w14:paraId="4ADD49BF" w14:textId="77777777">
        <w:trPr>
          <w:gridAfter w:val="2"/>
          <w:divId w:val="821506736"/>
        </w:trPr>
        <w:tc>
          <w:tcPr>
            <w:tcW w:w="0" w:type="auto"/>
            <w:gridSpan w:val="4"/>
            <w:shd w:val="clear" w:color="auto" w:fill="CCEEFF"/>
            <w:tcMar>
              <w:top w:w="30" w:type="dxa"/>
              <w:left w:w="245" w:type="dxa"/>
              <w:bottom w:w="30" w:type="dxa"/>
              <w:right w:w="20" w:type="dxa"/>
            </w:tcMar>
            <w:vAlign w:val="center"/>
            <w:hideMark/>
          </w:tcPr>
          <w:p w14:paraId="6F50C831" w14:textId="77777777" w:rsidR="00000000" w:rsidRDefault="00A173A8">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091D04E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50CFA1" w14:textId="77777777" w:rsidR="00000000" w:rsidRDefault="00A173A8">
            <w:pPr>
              <w:spacing w:after="100"/>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14:paraId="6C3A2D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260C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78659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DD8EB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B90C47"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4818B4B1"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76D8CD47"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6481AF8"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473F97C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DAF691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606EF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8E46F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4512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E8541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E2F7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7A0156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16E7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D80D4B" w14:textId="77777777" w:rsidR="00000000" w:rsidRDefault="00A173A8">
            <w:pPr>
              <w:spacing w:after="100"/>
              <w:jc w:val="right"/>
              <w:rPr>
                <w:rFonts w:eastAsia="Times New Roman"/>
              </w:rPr>
            </w:pPr>
            <w:r>
              <w:rPr>
                <w:rFonts w:eastAsia="Times New Roman"/>
                <w:b/>
                <w:bCs/>
                <w:color w:val="000000"/>
                <w:sz w:val="18"/>
                <w:szCs w:val="18"/>
              </w:rPr>
              <w:t>(4)</w:t>
            </w:r>
          </w:p>
        </w:tc>
        <w:tc>
          <w:tcPr>
            <w:tcW w:w="0" w:type="auto"/>
            <w:shd w:val="clear" w:color="auto" w:fill="CCEEFF"/>
            <w:tcMar>
              <w:top w:w="30" w:type="dxa"/>
              <w:left w:w="0" w:type="dxa"/>
              <w:bottom w:w="30" w:type="dxa"/>
              <w:right w:w="20" w:type="dxa"/>
            </w:tcMar>
            <w:vAlign w:val="bottom"/>
            <w:hideMark/>
          </w:tcPr>
          <w:p w14:paraId="5A82E15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ACFFE"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BDA2ED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C44F4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66D9B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BBB539" w14:textId="77777777" w:rsidR="00000000" w:rsidRDefault="00A173A8">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bottom"/>
            <w:hideMark/>
          </w:tcPr>
          <w:p w14:paraId="4C2420D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0C25A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0E54AF" w14:textId="77777777" w:rsidR="00000000" w:rsidRDefault="00A173A8">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2D39A8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r>
      <w:tr w:rsidR="00000000" w14:paraId="28A315D9" w14:textId="77777777">
        <w:trPr>
          <w:gridAfter w:val="2"/>
          <w:divId w:val="821506736"/>
        </w:trPr>
        <w:tc>
          <w:tcPr>
            <w:tcW w:w="0" w:type="auto"/>
            <w:gridSpan w:val="4"/>
            <w:vAlign w:val="center"/>
            <w:hideMark/>
          </w:tcPr>
          <w:p w14:paraId="26631083" w14:textId="77777777" w:rsidR="00000000" w:rsidRDefault="00A173A8">
            <w:pPr>
              <w:spacing w:after="100"/>
              <w:jc w:val="right"/>
              <w:rPr>
                <w:rFonts w:eastAsia="Times New Roman"/>
                <w:sz w:val="20"/>
                <w:szCs w:val="20"/>
              </w:rPr>
            </w:pPr>
          </w:p>
        </w:tc>
        <w:tc>
          <w:tcPr>
            <w:tcW w:w="0" w:type="auto"/>
            <w:gridSpan w:val="3"/>
            <w:vAlign w:val="center"/>
            <w:hideMark/>
          </w:tcPr>
          <w:p w14:paraId="417D2930" w14:textId="77777777" w:rsidR="00000000" w:rsidRDefault="00A173A8">
            <w:pPr>
              <w:spacing w:after="100"/>
              <w:rPr>
                <w:rFonts w:eastAsia="Times New Roman"/>
                <w:sz w:val="20"/>
                <w:szCs w:val="20"/>
              </w:rPr>
            </w:pPr>
          </w:p>
        </w:tc>
        <w:tc>
          <w:tcPr>
            <w:tcW w:w="0" w:type="auto"/>
            <w:gridSpan w:val="3"/>
            <w:vAlign w:val="center"/>
            <w:hideMark/>
          </w:tcPr>
          <w:p w14:paraId="79A1E7BB" w14:textId="77777777" w:rsidR="00000000" w:rsidRDefault="00A173A8">
            <w:pPr>
              <w:spacing w:after="100"/>
              <w:rPr>
                <w:rFonts w:eastAsia="Times New Roman"/>
                <w:sz w:val="20"/>
                <w:szCs w:val="20"/>
              </w:rPr>
            </w:pPr>
          </w:p>
        </w:tc>
        <w:tc>
          <w:tcPr>
            <w:tcW w:w="0" w:type="auto"/>
            <w:gridSpan w:val="3"/>
            <w:vAlign w:val="center"/>
            <w:hideMark/>
          </w:tcPr>
          <w:p w14:paraId="5343F435" w14:textId="77777777" w:rsidR="00000000" w:rsidRDefault="00A173A8">
            <w:pPr>
              <w:spacing w:after="100"/>
              <w:rPr>
                <w:rFonts w:eastAsia="Times New Roman"/>
                <w:sz w:val="20"/>
                <w:szCs w:val="20"/>
              </w:rPr>
            </w:pPr>
          </w:p>
        </w:tc>
        <w:tc>
          <w:tcPr>
            <w:tcW w:w="0" w:type="auto"/>
            <w:gridSpan w:val="3"/>
            <w:vAlign w:val="center"/>
            <w:hideMark/>
          </w:tcPr>
          <w:p w14:paraId="70FC7815" w14:textId="77777777" w:rsidR="00000000" w:rsidRDefault="00A173A8">
            <w:pPr>
              <w:spacing w:after="100"/>
              <w:rPr>
                <w:rFonts w:eastAsia="Times New Roman"/>
                <w:sz w:val="20"/>
                <w:szCs w:val="20"/>
              </w:rPr>
            </w:pPr>
          </w:p>
        </w:tc>
        <w:tc>
          <w:tcPr>
            <w:tcW w:w="0" w:type="auto"/>
            <w:gridSpan w:val="3"/>
            <w:vAlign w:val="center"/>
            <w:hideMark/>
          </w:tcPr>
          <w:p w14:paraId="2097ADE0" w14:textId="77777777" w:rsidR="00000000" w:rsidRDefault="00A173A8">
            <w:pPr>
              <w:spacing w:after="100"/>
              <w:rPr>
                <w:rFonts w:eastAsia="Times New Roman"/>
                <w:sz w:val="20"/>
                <w:szCs w:val="20"/>
              </w:rPr>
            </w:pPr>
          </w:p>
        </w:tc>
        <w:tc>
          <w:tcPr>
            <w:tcW w:w="0" w:type="auto"/>
            <w:gridSpan w:val="4"/>
            <w:vAlign w:val="center"/>
            <w:hideMark/>
          </w:tcPr>
          <w:p w14:paraId="75F621BE" w14:textId="77777777" w:rsidR="00000000" w:rsidRDefault="00A173A8">
            <w:pPr>
              <w:spacing w:after="100"/>
              <w:rPr>
                <w:rFonts w:eastAsia="Times New Roman"/>
                <w:sz w:val="20"/>
                <w:szCs w:val="20"/>
              </w:rPr>
            </w:pPr>
          </w:p>
        </w:tc>
        <w:tc>
          <w:tcPr>
            <w:tcW w:w="0" w:type="auto"/>
            <w:gridSpan w:val="4"/>
            <w:vAlign w:val="center"/>
            <w:hideMark/>
          </w:tcPr>
          <w:p w14:paraId="7E797F24" w14:textId="77777777" w:rsidR="00000000" w:rsidRDefault="00A173A8">
            <w:pPr>
              <w:spacing w:after="100"/>
              <w:rPr>
                <w:rFonts w:eastAsia="Times New Roman"/>
                <w:sz w:val="20"/>
                <w:szCs w:val="20"/>
              </w:rPr>
            </w:pPr>
          </w:p>
        </w:tc>
        <w:tc>
          <w:tcPr>
            <w:tcW w:w="0" w:type="auto"/>
            <w:gridSpan w:val="4"/>
            <w:vAlign w:val="center"/>
            <w:hideMark/>
          </w:tcPr>
          <w:p w14:paraId="160F7181" w14:textId="77777777" w:rsidR="00000000" w:rsidRDefault="00A173A8">
            <w:pPr>
              <w:spacing w:after="100"/>
              <w:rPr>
                <w:rFonts w:eastAsia="Times New Roman"/>
                <w:sz w:val="20"/>
                <w:szCs w:val="20"/>
              </w:rPr>
            </w:pPr>
          </w:p>
        </w:tc>
        <w:tc>
          <w:tcPr>
            <w:tcW w:w="0" w:type="auto"/>
            <w:gridSpan w:val="3"/>
            <w:vAlign w:val="center"/>
            <w:hideMark/>
          </w:tcPr>
          <w:p w14:paraId="69822B37" w14:textId="77777777" w:rsidR="00000000" w:rsidRDefault="00A173A8">
            <w:pPr>
              <w:spacing w:after="100"/>
              <w:rPr>
                <w:rFonts w:eastAsia="Times New Roman"/>
                <w:sz w:val="20"/>
                <w:szCs w:val="20"/>
              </w:rPr>
            </w:pPr>
          </w:p>
        </w:tc>
        <w:tc>
          <w:tcPr>
            <w:tcW w:w="0" w:type="auto"/>
            <w:gridSpan w:val="3"/>
            <w:vAlign w:val="center"/>
            <w:hideMark/>
          </w:tcPr>
          <w:p w14:paraId="41C0D684" w14:textId="77777777" w:rsidR="00000000" w:rsidRDefault="00A173A8">
            <w:pPr>
              <w:spacing w:after="100"/>
              <w:rPr>
                <w:rFonts w:eastAsia="Times New Roman"/>
                <w:sz w:val="20"/>
                <w:szCs w:val="20"/>
              </w:rPr>
            </w:pPr>
          </w:p>
        </w:tc>
        <w:tc>
          <w:tcPr>
            <w:tcW w:w="0" w:type="auto"/>
            <w:gridSpan w:val="3"/>
            <w:vAlign w:val="center"/>
            <w:hideMark/>
          </w:tcPr>
          <w:p w14:paraId="1DF25142" w14:textId="77777777" w:rsidR="00000000" w:rsidRDefault="00A173A8">
            <w:pPr>
              <w:spacing w:after="100"/>
              <w:rPr>
                <w:rFonts w:eastAsia="Times New Roman"/>
                <w:sz w:val="20"/>
                <w:szCs w:val="20"/>
              </w:rPr>
            </w:pPr>
          </w:p>
        </w:tc>
        <w:tc>
          <w:tcPr>
            <w:tcW w:w="0" w:type="auto"/>
            <w:gridSpan w:val="3"/>
            <w:vAlign w:val="center"/>
            <w:hideMark/>
          </w:tcPr>
          <w:p w14:paraId="74241981" w14:textId="77777777" w:rsidR="00000000" w:rsidRDefault="00A173A8">
            <w:pPr>
              <w:spacing w:after="100"/>
              <w:rPr>
                <w:rFonts w:eastAsia="Times New Roman"/>
                <w:sz w:val="20"/>
                <w:szCs w:val="20"/>
              </w:rPr>
            </w:pPr>
          </w:p>
        </w:tc>
        <w:tc>
          <w:tcPr>
            <w:tcW w:w="0" w:type="auto"/>
            <w:gridSpan w:val="3"/>
            <w:vAlign w:val="center"/>
            <w:hideMark/>
          </w:tcPr>
          <w:p w14:paraId="27F36379" w14:textId="77777777" w:rsidR="00000000" w:rsidRDefault="00A173A8">
            <w:pPr>
              <w:spacing w:after="100"/>
              <w:rPr>
                <w:rFonts w:eastAsia="Times New Roman"/>
                <w:sz w:val="20"/>
                <w:szCs w:val="20"/>
              </w:rPr>
            </w:pPr>
          </w:p>
        </w:tc>
        <w:tc>
          <w:tcPr>
            <w:tcW w:w="0" w:type="auto"/>
            <w:gridSpan w:val="3"/>
            <w:vAlign w:val="center"/>
            <w:hideMark/>
          </w:tcPr>
          <w:p w14:paraId="3F3BEB4E" w14:textId="77777777" w:rsidR="00000000" w:rsidRDefault="00A173A8">
            <w:pPr>
              <w:spacing w:after="100"/>
              <w:rPr>
                <w:rFonts w:eastAsia="Times New Roman"/>
                <w:sz w:val="20"/>
                <w:szCs w:val="20"/>
              </w:rPr>
            </w:pPr>
          </w:p>
        </w:tc>
        <w:tc>
          <w:tcPr>
            <w:tcW w:w="0" w:type="auto"/>
            <w:gridSpan w:val="3"/>
            <w:vAlign w:val="center"/>
            <w:hideMark/>
          </w:tcPr>
          <w:p w14:paraId="78BEDAB6" w14:textId="77777777" w:rsidR="00000000" w:rsidRDefault="00A173A8">
            <w:pPr>
              <w:spacing w:after="100"/>
              <w:rPr>
                <w:rFonts w:eastAsia="Times New Roman"/>
                <w:sz w:val="20"/>
                <w:szCs w:val="20"/>
              </w:rPr>
            </w:pPr>
          </w:p>
        </w:tc>
        <w:tc>
          <w:tcPr>
            <w:tcW w:w="0" w:type="auto"/>
            <w:gridSpan w:val="6"/>
            <w:vAlign w:val="center"/>
            <w:hideMark/>
          </w:tcPr>
          <w:p w14:paraId="4CD96DFB" w14:textId="77777777" w:rsidR="00000000" w:rsidRDefault="00A173A8">
            <w:pPr>
              <w:spacing w:after="100"/>
              <w:rPr>
                <w:rFonts w:eastAsia="Times New Roman"/>
                <w:sz w:val="20"/>
                <w:szCs w:val="20"/>
              </w:rPr>
            </w:pPr>
          </w:p>
        </w:tc>
        <w:tc>
          <w:tcPr>
            <w:tcW w:w="0" w:type="auto"/>
            <w:gridSpan w:val="3"/>
            <w:vAlign w:val="center"/>
            <w:hideMark/>
          </w:tcPr>
          <w:p w14:paraId="4C5D0562" w14:textId="77777777" w:rsidR="00000000" w:rsidRDefault="00A173A8">
            <w:pPr>
              <w:spacing w:after="100"/>
              <w:rPr>
                <w:rFonts w:eastAsia="Times New Roman"/>
                <w:sz w:val="20"/>
                <w:szCs w:val="20"/>
              </w:rPr>
            </w:pPr>
          </w:p>
        </w:tc>
        <w:tc>
          <w:tcPr>
            <w:tcW w:w="0" w:type="auto"/>
            <w:gridSpan w:val="3"/>
            <w:vAlign w:val="center"/>
            <w:hideMark/>
          </w:tcPr>
          <w:p w14:paraId="27A45A38" w14:textId="77777777" w:rsidR="00000000" w:rsidRDefault="00A173A8">
            <w:pPr>
              <w:spacing w:after="100"/>
              <w:rPr>
                <w:rFonts w:eastAsia="Times New Roman"/>
                <w:sz w:val="20"/>
                <w:szCs w:val="20"/>
              </w:rPr>
            </w:pPr>
          </w:p>
        </w:tc>
        <w:tc>
          <w:tcPr>
            <w:tcW w:w="0" w:type="auto"/>
            <w:gridSpan w:val="3"/>
            <w:vAlign w:val="center"/>
            <w:hideMark/>
          </w:tcPr>
          <w:p w14:paraId="6725D31C" w14:textId="77777777" w:rsidR="00000000" w:rsidRDefault="00A173A8">
            <w:pPr>
              <w:spacing w:after="100"/>
              <w:rPr>
                <w:rFonts w:eastAsia="Times New Roman"/>
                <w:sz w:val="20"/>
                <w:szCs w:val="20"/>
              </w:rPr>
            </w:pPr>
          </w:p>
        </w:tc>
        <w:tc>
          <w:tcPr>
            <w:tcW w:w="0" w:type="auto"/>
            <w:gridSpan w:val="2"/>
            <w:vAlign w:val="center"/>
            <w:hideMark/>
          </w:tcPr>
          <w:p w14:paraId="3120BEED" w14:textId="77777777" w:rsidR="00000000" w:rsidRDefault="00A173A8">
            <w:pPr>
              <w:spacing w:after="100"/>
              <w:rPr>
                <w:rFonts w:eastAsia="Times New Roman"/>
                <w:sz w:val="20"/>
                <w:szCs w:val="20"/>
              </w:rPr>
            </w:pPr>
          </w:p>
        </w:tc>
        <w:tc>
          <w:tcPr>
            <w:tcW w:w="0" w:type="auto"/>
            <w:vAlign w:val="center"/>
            <w:hideMark/>
          </w:tcPr>
          <w:p w14:paraId="50495733" w14:textId="77777777" w:rsidR="00000000" w:rsidRDefault="00A173A8">
            <w:pPr>
              <w:spacing w:after="100"/>
              <w:rPr>
                <w:rFonts w:eastAsia="Times New Roman"/>
                <w:sz w:val="20"/>
                <w:szCs w:val="20"/>
              </w:rPr>
            </w:pPr>
          </w:p>
        </w:tc>
      </w:tr>
      <w:tr w:rsidR="00A173A8" w14:paraId="0CF2831F" w14:textId="77777777">
        <w:trPr>
          <w:gridAfter w:val="2"/>
          <w:divId w:val="821506736"/>
        </w:trPr>
        <w:tc>
          <w:tcPr>
            <w:tcW w:w="0" w:type="auto"/>
            <w:gridSpan w:val="4"/>
            <w:shd w:val="clear" w:color="auto" w:fill="FFFFFF"/>
            <w:tcMar>
              <w:top w:w="30" w:type="dxa"/>
              <w:left w:w="20" w:type="dxa"/>
              <w:bottom w:w="30" w:type="dxa"/>
              <w:right w:w="20" w:type="dxa"/>
            </w:tcMar>
            <w:vAlign w:val="center"/>
            <w:hideMark/>
          </w:tcPr>
          <w:p w14:paraId="1389E2E7" w14:textId="77777777" w:rsidR="00000000" w:rsidRDefault="00A173A8">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14:paraId="2BD26CD2" w14:textId="77777777" w:rsidR="00000000" w:rsidRDefault="00A173A8">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A570E8" w14:textId="77777777" w:rsidR="00000000" w:rsidRDefault="00A173A8">
            <w:pPr>
              <w:spacing w:after="100"/>
              <w:jc w:val="right"/>
              <w:rPr>
                <w:rFonts w:eastAsia="Times New Roman"/>
              </w:rPr>
            </w:pPr>
            <w:r>
              <w:rPr>
                <w:rFonts w:eastAsia="Times New Roman"/>
                <w:color w:val="000000"/>
                <w:sz w:val="18"/>
                <w:szCs w:val="18"/>
              </w:rPr>
              <w:t>232 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E94C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9306E"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639B2B" w14:textId="77777777" w:rsidR="00000000" w:rsidRDefault="00A173A8">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4484B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A4D80B" w14:textId="77777777" w:rsidR="00000000" w:rsidRDefault="00A173A8">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00FD3B" w14:textId="77777777" w:rsidR="00000000" w:rsidRDefault="00A173A8">
            <w:pPr>
              <w:spacing w:after="100"/>
              <w:jc w:val="right"/>
              <w:rPr>
                <w:rFonts w:eastAsia="Times New Roman"/>
              </w:rPr>
            </w:pPr>
            <w:r>
              <w:rPr>
                <w:rFonts w:eastAsia="Times New Roman"/>
                <w:b/>
                <w:bCs/>
                <w:color w:val="000000"/>
                <w:sz w:val="18"/>
                <w:szCs w:val="18"/>
              </w:rPr>
              <w:t>(9)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FF951A"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307EA06" w14:textId="77777777" w:rsidR="00000000" w:rsidRDefault="00A173A8">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A9D16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D250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795F77"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50072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2E985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9623BB"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1E5A1A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176C8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04167B"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DF4ADE" w14:textId="77777777" w:rsidR="00000000" w:rsidRDefault="00A173A8">
            <w:pPr>
              <w:spacing w:after="100"/>
              <w:jc w:val="right"/>
              <w:rPr>
                <w:rFonts w:eastAsia="Times New Roman"/>
              </w:rPr>
            </w:pPr>
            <w:r>
              <w:rPr>
                <w:rFonts w:eastAsia="Times New Roman"/>
                <w:b/>
                <w:bCs/>
                <w:color w:val="000000"/>
                <w:sz w:val="18"/>
                <w:szCs w:val="18"/>
              </w:rPr>
              <w:t>(19)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480CD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21D7BE" w14:textId="77777777" w:rsidR="00000000" w:rsidRDefault="00A173A8">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5E77FA" w14:textId="77777777" w:rsidR="00000000" w:rsidRDefault="00A173A8">
            <w:pPr>
              <w:spacing w:after="100"/>
              <w:jc w:val="right"/>
              <w:rPr>
                <w:rFonts w:eastAsia="Times New Roman"/>
              </w:rPr>
            </w:pPr>
            <w:r>
              <w:rPr>
                <w:rFonts w:eastAsia="Times New Roman"/>
                <w:b/>
                <w:bCs/>
                <w:color w:val="000000"/>
                <w:sz w:val="18"/>
                <w:szCs w:val="18"/>
              </w:rPr>
              <w:t>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2D97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19CFA3"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3F544B" w14:textId="77777777" w:rsidR="00000000" w:rsidRDefault="00A173A8">
            <w:pPr>
              <w:spacing w:after="100"/>
              <w:jc w:val="right"/>
              <w:rPr>
                <w:rFonts w:eastAsia="Times New Roman"/>
              </w:rPr>
            </w:pPr>
            <w:r>
              <w:rPr>
                <w:rFonts w:eastAsia="Times New Roman"/>
                <w:b/>
                <w:bCs/>
                <w:color w:val="000000"/>
                <w:sz w:val="18"/>
                <w:szCs w:val="18"/>
              </w:rPr>
              <w:t>(26)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917DF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993EF9"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11A7AE" w14:textId="77777777" w:rsidR="00000000" w:rsidRDefault="00A173A8">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5A9427" w14:textId="77777777" w:rsidR="00000000" w:rsidRDefault="00A173A8">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r>
      <w:tr w:rsidR="00000000" w14:paraId="16DC75A3" w14:textId="77777777">
        <w:tblPrEx>
          <w:tblW w:w="4992" w:type="pct"/>
          <w:jc w:val="center"/>
        </w:tblPrEx>
        <w:trPr>
          <w:jc w:val="center"/>
        </w:trPr>
        <w:tc>
          <w:tcPr>
            <w:tcW w:w="50" w:type="pct"/>
            <w:gridSpan w:val="2"/>
            <w:vAlign w:val="center"/>
            <w:hideMark/>
          </w:tcPr>
          <w:p w14:paraId="4E9D05EA" w14:textId="77777777" w:rsidR="00000000" w:rsidRDefault="00A173A8">
            <w:pPr>
              <w:jc w:val="both"/>
              <w:rPr>
                <w:rFonts w:eastAsia="Times New Roman"/>
              </w:rPr>
            </w:pPr>
          </w:p>
        </w:tc>
        <w:tc>
          <w:tcPr>
            <w:tcW w:w="1606" w:type="pct"/>
            <w:gridSpan w:val="19"/>
            <w:vAlign w:val="center"/>
            <w:hideMark/>
          </w:tcPr>
          <w:p w14:paraId="78F8D10C" w14:textId="77777777" w:rsidR="00000000" w:rsidRDefault="00A173A8">
            <w:pPr>
              <w:spacing w:after="100"/>
              <w:rPr>
                <w:rFonts w:eastAsia="Times New Roman"/>
                <w:sz w:val="20"/>
                <w:szCs w:val="20"/>
              </w:rPr>
            </w:pPr>
          </w:p>
        </w:tc>
        <w:tc>
          <w:tcPr>
            <w:tcW w:w="5" w:type="pct"/>
            <w:gridSpan w:val="5"/>
            <w:vAlign w:val="center"/>
            <w:hideMark/>
          </w:tcPr>
          <w:p w14:paraId="7C78C0E7" w14:textId="77777777" w:rsidR="00000000" w:rsidRDefault="00A173A8">
            <w:pPr>
              <w:spacing w:after="100"/>
              <w:rPr>
                <w:rFonts w:eastAsia="Times New Roman"/>
                <w:sz w:val="20"/>
                <w:szCs w:val="20"/>
              </w:rPr>
            </w:pPr>
          </w:p>
        </w:tc>
        <w:tc>
          <w:tcPr>
            <w:tcW w:w="50" w:type="pct"/>
            <w:gridSpan w:val="3"/>
            <w:vAlign w:val="center"/>
            <w:hideMark/>
          </w:tcPr>
          <w:p w14:paraId="3F8D4E63" w14:textId="77777777" w:rsidR="00000000" w:rsidRDefault="00A173A8">
            <w:pPr>
              <w:spacing w:after="100"/>
              <w:rPr>
                <w:rFonts w:eastAsia="Times New Roman"/>
                <w:sz w:val="20"/>
                <w:szCs w:val="20"/>
              </w:rPr>
            </w:pPr>
          </w:p>
        </w:tc>
        <w:tc>
          <w:tcPr>
            <w:tcW w:w="1614" w:type="pct"/>
            <w:gridSpan w:val="25"/>
            <w:vAlign w:val="center"/>
            <w:hideMark/>
          </w:tcPr>
          <w:p w14:paraId="2B04F82B" w14:textId="77777777" w:rsidR="00000000" w:rsidRDefault="00A173A8">
            <w:pPr>
              <w:spacing w:after="100"/>
              <w:rPr>
                <w:rFonts w:eastAsia="Times New Roman"/>
                <w:sz w:val="20"/>
                <w:szCs w:val="20"/>
              </w:rPr>
            </w:pPr>
          </w:p>
        </w:tc>
        <w:tc>
          <w:tcPr>
            <w:tcW w:w="5" w:type="pct"/>
            <w:vAlign w:val="center"/>
            <w:hideMark/>
          </w:tcPr>
          <w:p w14:paraId="78B1590B" w14:textId="77777777" w:rsidR="00000000" w:rsidRDefault="00A173A8">
            <w:pPr>
              <w:spacing w:after="100"/>
              <w:rPr>
                <w:rFonts w:eastAsia="Times New Roman"/>
                <w:sz w:val="20"/>
                <w:szCs w:val="20"/>
              </w:rPr>
            </w:pPr>
          </w:p>
        </w:tc>
        <w:tc>
          <w:tcPr>
            <w:tcW w:w="50" w:type="pct"/>
            <w:vAlign w:val="center"/>
            <w:hideMark/>
          </w:tcPr>
          <w:p w14:paraId="46B1E984" w14:textId="77777777" w:rsidR="00000000" w:rsidRDefault="00A173A8">
            <w:pPr>
              <w:spacing w:after="100"/>
              <w:rPr>
                <w:rFonts w:eastAsia="Times New Roman"/>
                <w:sz w:val="20"/>
                <w:szCs w:val="20"/>
              </w:rPr>
            </w:pPr>
          </w:p>
        </w:tc>
        <w:tc>
          <w:tcPr>
            <w:tcW w:w="1614" w:type="pct"/>
            <w:gridSpan w:val="15"/>
            <w:vAlign w:val="center"/>
            <w:hideMark/>
          </w:tcPr>
          <w:p w14:paraId="325843CC" w14:textId="77777777" w:rsidR="00000000" w:rsidRDefault="00A173A8">
            <w:pPr>
              <w:spacing w:after="100"/>
              <w:rPr>
                <w:rFonts w:eastAsia="Times New Roman"/>
                <w:sz w:val="20"/>
                <w:szCs w:val="20"/>
              </w:rPr>
            </w:pPr>
          </w:p>
        </w:tc>
        <w:tc>
          <w:tcPr>
            <w:tcW w:w="5" w:type="pct"/>
            <w:vAlign w:val="center"/>
            <w:hideMark/>
          </w:tcPr>
          <w:p w14:paraId="7F2DB096" w14:textId="77777777" w:rsidR="00000000" w:rsidRDefault="00A173A8">
            <w:pPr>
              <w:spacing w:after="100"/>
              <w:rPr>
                <w:rFonts w:eastAsia="Times New Roman"/>
                <w:sz w:val="20"/>
                <w:szCs w:val="20"/>
              </w:rPr>
            </w:pPr>
          </w:p>
        </w:tc>
      </w:tr>
      <w:tr w:rsidR="00000000" w14:paraId="7CA30089" w14:textId="77777777">
        <w:tblPrEx>
          <w:tblW w:w="4992" w:type="pct"/>
          <w:jc w:val="center"/>
        </w:tblPrEx>
        <w:trPr>
          <w:trHeight w:val="300"/>
          <w:jc w:val="center"/>
        </w:trPr>
        <w:tc>
          <w:tcPr>
            <w:tcW w:w="0" w:type="auto"/>
            <w:gridSpan w:val="72"/>
            <w:tcMar>
              <w:top w:w="0" w:type="dxa"/>
              <w:left w:w="20" w:type="dxa"/>
              <w:bottom w:w="0" w:type="dxa"/>
              <w:right w:w="20" w:type="dxa"/>
            </w:tcMar>
            <w:vAlign w:val="center"/>
            <w:hideMark/>
          </w:tcPr>
          <w:p w14:paraId="2299AD88" w14:textId="77777777" w:rsidR="00000000" w:rsidRDefault="00A173A8">
            <w:pPr>
              <w:spacing w:after="100"/>
              <w:rPr>
                <w:rFonts w:eastAsia="Times New Roman"/>
                <w:sz w:val="20"/>
                <w:szCs w:val="20"/>
              </w:rPr>
            </w:pPr>
          </w:p>
        </w:tc>
      </w:tr>
      <w:tr w:rsidR="00000000" w14:paraId="2D0656FA" w14:textId="77777777">
        <w:tblPrEx>
          <w:tblW w:w="4992" w:type="pct"/>
          <w:jc w:val="center"/>
        </w:tblPrEx>
        <w:trPr>
          <w:jc w:val="center"/>
        </w:trPr>
        <w:tc>
          <w:tcPr>
            <w:tcW w:w="0" w:type="auto"/>
            <w:gridSpan w:val="26"/>
            <w:tcMar>
              <w:top w:w="0" w:type="dxa"/>
              <w:left w:w="20" w:type="dxa"/>
              <w:bottom w:w="0" w:type="dxa"/>
              <w:right w:w="20" w:type="dxa"/>
            </w:tcMar>
            <w:vAlign w:val="center"/>
            <w:hideMark/>
          </w:tcPr>
          <w:p w14:paraId="14588893" w14:textId="77777777" w:rsidR="00000000" w:rsidRDefault="00A173A8">
            <w:pPr>
              <w:spacing w:after="100"/>
              <w:rPr>
                <w:rFonts w:eastAsia="Times New Roman"/>
                <w:sz w:val="20"/>
                <w:szCs w:val="20"/>
              </w:rPr>
            </w:pPr>
          </w:p>
        </w:tc>
        <w:tc>
          <w:tcPr>
            <w:tcW w:w="0" w:type="auto"/>
            <w:gridSpan w:val="29"/>
            <w:tcMar>
              <w:top w:w="30" w:type="dxa"/>
              <w:left w:w="20" w:type="dxa"/>
              <w:bottom w:w="30" w:type="dxa"/>
              <w:right w:w="20" w:type="dxa"/>
            </w:tcMar>
            <w:vAlign w:val="bottom"/>
            <w:hideMark/>
          </w:tcPr>
          <w:p w14:paraId="237C2C2C" w14:textId="77777777" w:rsidR="00000000" w:rsidRDefault="00A173A8">
            <w:pPr>
              <w:spacing w:after="100"/>
              <w:jc w:val="center"/>
              <w:rPr>
                <w:rFonts w:eastAsia="Times New Roman"/>
              </w:rPr>
            </w:pPr>
            <w:r>
              <w:rPr>
                <w:rFonts w:eastAsia="Times New Roman"/>
                <w:color w:val="000000"/>
                <w:sz w:val="16"/>
                <w:szCs w:val="16"/>
              </w:rPr>
              <w:t>107</w:t>
            </w:r>
          </w:p>
        </w:tc>
        <w:tc>
          <w:tcPr>
            <w:tcW w:w="0" w:type="auto"/>
            <w:gridSpan w:val="17"/>
            <w:tcMar>
              <w:top w:w="30" w:type="dxa"/>
              <w:left w:w="20" w:type="dxa"/>
              <w:bottom w:w="30" w:type="dxa"/>
              <w:right w:w="20" w:type="dxa"/>
            </w:tcMar>
            <w:vAlign w:val="bottom"/>
            <w:hideMark/>
          </w:tcPr>
          <w:p w14:paraId="6DB7535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7438B36" w14:textId="77777777" w:rsidR="00000000" w:rsidRDefault="00A173A8">
      <w:pPr>
        <w:rPr>
          <w:rFonts w:eastAsia="Times New Roman"/>
        </w:rPr>
      </w:pPr>
      <w:r>
        <w:rPr>
          <w:rFonts w:eastAsia="Times New Roman"/>
        </w:rPr>
        <w:pict w14:anchorId="734216AE">
          <v:rect id="_x0000_i1132" style="width:0;height:1.5pt" o:hralign="center" o:hrstd="t" o:hr="t" fillcolor="#a0a0a0" stroked="f"/>
        </w:pict>
      </w:r>
    </w:p>
    <w:p w14:paraId="25408104" w14:textId="77777777" w:rsidR="00000000" w:rsidRDefault="00A173A8">
      <w:pPr>
        <w:jc w:val="both"/>
        <w:divId w:val="496120443"/>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7"/>
        <w:gridCol w:w="57"/>
        <w:gridCol w:w="1153"/>
        <w:gridCol w:w="4"/>
        <w:gridCol w:w="32"/>
        <w:gridCol w:w="36"/>
        <w:gridCol w:w="36"/>
        <w:gridCol w:w="36"/>
        <w:gridCol w:w="4"/>
        <w:gridCol w:w="69"/>
        <w:gridCol w:w="75"/>
        <w:gridCol w:w="144"/>
        <w:gridCol w:w="144"/>
        <w:gridCol w:w="34"/>
        <w:gridCol w:w="36"/>
        <w:gridCol w:w="36"/>
        <w:gridCol w:w="36"/>
        <w:gridCol w:w="2"/>
        <w:gridCol w:w="34"/>
        <w:gridCol w:w="91"/>
        <w:gridCol w:w="328"/>
        <w:gridCol w:w="116"/>
        <w:gridCol w:w="28"/>
        <w:gridCol w:w="9"/>
        <w:gridCol w:w="37"/>
        <w:gridCol w:w="47"/>
        <w:gridCol w:w="36"/>
        <w:gridCol w:w="15"/>
        <w:gridCol w:w="75"/>
        <w:gridCol w:w="69"/>
        <w:gridCol w:w="144"/>
        <w:gridCol w:w="144"/>
        <w:gridCol w:w="86"/>
        <w:gridCol w:w="36"/>
        <w:gridCol w:w="36"/>
        <w:gridCol w:w="36"/>
        <w:gridCol w:w="36"/>
        <w:gridCol w:w="90"/>
        <w:gridCol w:w="85"/>
        <w:gridCol w:w="144"/>
        <w:gridCol w:w="144"/>
        <w:gridCol w:w="89"/>
        <w:gridCol w:w="36"/>
        <w:gridCol w:w="19"/>
        <w:gridCol w:w="17"/>
        <w:gridCol w:w="36"/>
        <w:gridCol w:w="36"/>
        <w:gridCol w:w="55"/>
        <w:gridCol w:w="5"/>
        <w:gridCol w:w="139"/>
        <w:gridCol w:w="97"/>
        <w:gridCol w:w="36"/>
        <w:gridCol w:w="36"/>
        <w:gridCol w:w="36"/>
        <w:gridCol w:w="36"/>
        <w:gridCol w:w="89"/>
        <w:gridCol w:w="75"/>
        <w:gridCol w:w="144"/>
        <w:gridCol w:w="144"/>
        <w:gridCol w:w="67"/>
        <w:gridCol w:w="36"/>
        <w:gridCol w:w="36"/>
        <w:gridCol w:w="5"/>
        <w:gridCol w:w="31"/>
        <w:gridCol w:w="36"/>
        <w:gridCol w:w="77"/>
        <w:gridCol w:w="14"/>
        <w:gridCol w:w="130"/>
        <w:gridCol w:w="404"/>
        <w:gridCol w:w="26"/>
        <w:gridCol w:w="10"/>
        <w:gridCol w:w="36"/>
        <w:gridCol w:w="36"/>
        <w:gridCol w:w="36"/>
        <w:gridCol w:w="26"/>
        <w:gridCol w:w="59"/>
        <w:gridCol w:w="85"/>
        <w:gridCol w:w="144"/>
        <w:gridCol w:w="144"/>
        <w:gridCol w:w="74"/>
        <w:gridCol w:w="36"/>
        <w:gridCol w:w="34"/>
        <w:gridCol w:w="2"/>
        <w:gridCol w:w="36"/>
        <w:gridCol w:w="36"/>
        <w:gridCol w:w="91"/>
        <w:gridCol w:w="167"/>
        <w:gridCol w:w="144"/>
        <w:gridCol w:w="129"/>
        <w:gridCol w:w="15"/>
        <w:gridCol w:w="21"/>
        <w:gridCol w:w="36"/>
        <w:gridCol w:w="36"/>
        <w:gridCol w:w="36"/>
        <w:gridCol w:w="15"/>
        <w:gridCol w:w="45"/>
        <w:gridCol w:w="99"/>
        <w:gridCol w:w="144"/>
        <w:gridCol w:w="174"/>
        <w:gridCol w:w="231"/>
        <w:gridCol w:w="144"/>
        <w:gridCol w:w="144"/>
        <w:gridCol w:w="144"/>
        <w:gridCol w:w="128"/>
        <w:gridCol w:w="16"/>
        <w:gridCol w:w="144"/>
        <w:gridCol w:w="490"/>
        <w:gridCol w:w="144"/>
        <w:gridCol w:w="144"/>
        <w:gridCol w:w="144"/>
        <w:gridCol w:w="144"/>
        <w:gridCol w:w="144"/>
        <w:gridCol w:w="441"/>
        <w:gridCol w:w="144"/>
        <w:gridCol w:w="144"/>
        <w:gridCol w:w="144"/>
        <w:gridCol w:w="144"/>
        <w:gridCol w:w="144"/>
        <w:gridCol w:w="405"/>
        <w:gridCol w:w="144"/>
        <w:gridCol w:w="144"/>
        <w:gridCol w:w="144"/>
        <w:gridCol w:w="144"/>
        <w:gridCol w:w="144"/>
        <w:gridCol w:w="588"/>
        <w:gridCol w:w="144"/>
      </w:tblGrid>
      <w:tr w:rsidR="00000000" w14:paraId="20F5765D" w14:textId="77777777">
        <w:trPr>
          <w:gridAfter w:val="22"/>
          <w:divId w:val="816607921"/>
        </w:trPr>
        <w:tc>
          <w:tcPr>
            <w:tcW w:w="50" w:type="pct"/>
            <w:vAlign w:val="center"/>
            <w:hideMark/>
          </w:tcPr>
          <w:p w14:paraId="36A24D98" w14:textId="77777777" w:rsidR="00000000" w:rsidRDefault="00A173A8">
            <w:pPr>
              <w:jc w:val="both"/>
              <w:rPr>
                <w:rFonts w:eastAsia="Times New Roman"/>
              </w:rPr>
            </w:pPr>
          </w:p>
        </w:tc>
        <w:tc>
          <w:tcPr>
            <w:tcW w:w="697" w:type="pct"/>
            <w:gridSpan w:val="2"/>
            <w:vAlign w:val="center"/>
            <w:hideMark/>
          </w:tcPr>
          <w:p w14:paraId="0B87A394" w14:textId="77777777" w:rsidR="00000000" w:rsidRDefault="00A173A8">
            <w:pPr>
              <w:spacing w:after="100"/>
              <w:rPr>
                <w:rFonts w:eastAsia="Times New Roman"/>
                <w:sz w:val="20"/>
                <w:szCs w:val="20"/>
              </w:rPr>
            </w:pPr>
          </w:p>
        </w:tc>
        <w:tc>
          <w:tcPr>
            <w:tcW w:w="5" w:type="pct"/>
            <w:gridSpan w:val="2"/>
            <w:vAlign w:val="center"/>
            <w:hideMark/>
          </w:tcPr>
          <w:p w14:paraId="6D9B12B2" w14:textId="77777777" w:rsidR="00000000" w:rsidRDefault="00A173A8">
            <w:pPr>
              <w:spacing w:after="100"/>
              <w:rPr>
                <w:rFonts w:eastAsia="Times New Roman"/>
                <w:sz w:val="20"/>
                <w:szCs w:val="20"/>
              </w:rPr>
            </w:pPr>
          </w:p>
        </w:tc>
        <w:tc>
          <w:tcPr>
            <w:tcW w:w="5" w:type="pct"/>
            <w:vAlign w:val="center"/>
            <w:hideMark/>
          </w:tcPr>
          <w:p w14:paraId="71291DC3" w14:textId="77777777" w:rsidR="00000000" w:rsidRDefault="00A173A8">
            <w:pPr>
              <w:spacing w:after="100"/>
              <w:rPr>
                <w:rFonts w:eastAsia="Times New Roman"/>
                <w:sz w:val="20"/>
                <w:szCs w:val="20"/>
              </w:rPr>
            </w:pPr>
          </w:p>
        </w:tc>
        <w:tc>
          <w:tcPr>
            <w:tcW w:w="26" w:type="pct"/>
            <w:vAlign w:val="center"/>
            <w:hideMark/>
          </w:tcPr>
          <w:p w14:paraId="5167BFA5" w14:textId="77777777" w:rsidR="00000000" w:rsidRDefault="00A173A8">
            <w:pPr>
              <w:spacing w:after="100"/>
              <w:rPr>
                <w:rFonts w:eastAsia="Times New Roman"/>
                <w:sz w:val="20"/>
                <w:szCs w:val="20"/>
              </w:rPr>
            </w:pPr>
          </w:p>
        </w:tc>
        <w:tc>
          <w:tcPr>
            <w:tcW w:w="5" w:type="pct"/>
            <w:vAlign w:val="center"/>
            <w:hideMark/>
          </w:tcPr>
          <w:p w14:paraId="142FF5E2" w14:textId="77777777" w:rsidR="00000000" w:rsidRDefault="00A173A8">
            <w:pPr>
              <w:spacing w:after="100"/>
              <w:rPr>
                <w:rFonts w:eastAsia="Times New Roman"/>
                <w:sz w:val="20"/>
                <w:szCs w:val="20"/>
              </w:rPr>
            </w:pPr>
          </w:p>
        </w:tc>
        <w:tc>
          <w:tcPr>
            <w:tcW w:w="50" w:type="pct"/>
            <w:gridSpan w:val="2"/>
            <w:vAlign w:val="center"/>
            <w:hideMark/>
          </w:tcPr>
          <w:p w14:paraId="0EF8A9E2" w14:textId="77777777" w:rsidR="00000000" w:rsidRDefault="00A173A8">
            <w:pPr>
              <w:spacing w:after="100"/>
              <w:rPr>
                <w:rFonts w:eastAsia="Times New Roman"/>
                <w:sz w:val="20"/>
                <w:szCs w:val="20"/>
              </w:rPr>
            </w:pPr>
          </w:p>
        </w:tc>
        <w:tc>
          <w:tcPr>
            <w:tcW w:w="273" w:type="pct"/>
            <w:gridSpan w:val="4"/>
            <w:vAlign w:val="center"/>
            <w:hideMark/>
          </w:tcPr>
          <w:p w14:paraId="749A0137" w14:textId="77777777" w:rsidR="00000000" w:rsidRDefault="00A173A8">
            <w:pPr>
              <w:spacing w:after="100"/>
              <w:rPr>
                <w:rFonts w:eastAsia="Times New Roman"/>
                <w:sz w:val="20"/>
                <w:szCs w:val="20"/>
              </w:rPr>
            </w:pPr>
          </w:p>
        </w:tc>
        <w:tc>
          <w:tcPr>
            <w:tcW w:w="5" w:type="pct"/>
            <w:vAlign w:val="center"/>
            <w:hideMark/>
          </w:tcPr>
          <w:p w14:paraId="532D8B13" w14:textId="77777777" w:rsidR="00000000" w:rsidRDefault="00A173A8">
            <w:pPr>
              <w:spacing w:after="100"/>
              <w:rPr>
                <w:rFonts w:eastAsia="Times New Roman"/>
                <w:sz w:val="20"/>
                <w:szCs w:val="20"/>
              </w:rPr>
            </w:pPr>
          </w:p>
        </w:tc>
        <w:tc>
          <w:tcPr>
            <w:tcW w:w="5" w:type="pct"/>
            <w:vAlign w:val="center"/>
            <w:hideMark/>
          </w:tcPr>
          <w:p w14:paraId="153D278E" w14:textId="77777777" w:rsidR="00000000" w:rsidRDefault="00A173A8">
            <w:pPr>
              <w:spacing w:after="100"/>
              <w:rPr>
                <w:rFonts w:eastAsia="Times New Roman"/>
                <w:sz w:val="20"/>
                <w:szCs w:val="20"/>
              </w:rPr>
            </w:pPr>
          </w:p>
        </w:tc>
        <w:tc>
          <w:tcPr>
            <w:tcW w:w="26" w:type="pct"/>
            <w:vAlign w:val="center"/>
            <w:hideMark/>
          </w:tcPr>
          <w:p w14:paraId="66232948" w14:textId="77777777" w:rsidR="00000000" w:rsidRDefault="00A173A8">
            <w:pPr>
              <w:spacing w:after="100"/>
              <w:rPr>
                <w:rFonts w:eastAsia="Times New Roman"/>
                <w:sz w:val="20"/>
                <w:szCs w:val="20"/>
              </w:rPr>
            </w:pPr>
          </w:p>
        </w:tc>
        <w:tc>
          <w:tcPr>
            <w:tcW w:w="5" w:type="pct"/>
            <w:gridSpan w:val="2"/>
            <w:vAlign w:val="center"/>
            <w:hideMark/>
          </w:tcPr>
          <w:p w14:paraId="6DF39FEC" w14:textId="77777777" w:rsidR="00000000" w:rsidRDefault="00A173A8">
            <w:pPr>
              <w:spacing w:after="100"/>
              <w:rPr>
                <w:rFonts w:eastAsia="Times New Roman"/>
                <w:sz w:val="20"/>
                <w:szCs w:val="20"/>
              </w:rPr>
            </w:pPr>
          </w:p>
        </w:tc>
        <w:tc>
          <w:tcPr>
            <w:tcW w:w="50" w:type="pct"/>
            <w:vAlign w:val="center"/>
            <w:hideMark/>
          </w:tcPr>
          <w:p w14:paraId="364B08BC" w14:textId="77777777" w:rsidR="00000000" w:rsidRDefault="00A173A8">
            <w:pPr>
              <w:spacing w:after="100"/>
              <w:rPr>
                <w:rFonts w:eastAsia="Times New Roman"/>
                <w:sz w:val="20"/>
                <w:szCs w:val="20"/>
              </w:rPr>
            </w:pPr>
          </w:p>
        </w:tc>
        <w:tc>
          <w:tcPr>
            <w:tcW w:w="244" w:type="pct"/>
            <w:gridSpan w:val="2"/>
            <w:vAlign w:val="center"/>
            <w:hideMark/>
          </w:tcPr>
          <w:p w14:paraId="779AF2A1" w14:textId="77777777" w:rsidR="00000000" w:rsidRDefault="00A173A8">
            <w:pPr>
              <w:spacing w:after="100"/>
              <w:rPr>
                <w:rFonts w:eastAsia="Times New Roman"/>
                <w:sz w:val="20"/>
                <w:szCs w:val="20"/>
              </w:rPr>
            </w:pPr>
          </w:p>
        </w:tc>
        <w:tc>
          <w:tcPr>
            <w:tcW w:w="5" w:type="pct"/>
            <w:gridSpan w:val="2"/>
            <w:vAlign w:val="center"/>
            <w:hideMark/>
          </w:tcPr>
          <w:p w14:paraId="0E5AFEA1" w14:textId="77777777" w:rsidR="00000000" w:rsidRDefault="00A173A8">
            <w:pPr>
              <w:spacing w:after="100"/>
              <w:rPr>
                <w:rFonts w:eastAsia="Times New Roman"/>
                <w:sz w:val="20"/>
                <w:szCs w:val="20"/>
              </w:rPr>
            </w:pPr>
          </w:p>
        </w:tc>
        <w:tc>
          <w:tcPr>
            <w:tcW w:w="5" w:type="pct"/>
            <w:vAlign w:val="center"/>
            <w:hideMark/>
          </w:tcPr>
          <w:p w14:paraId="53E72EF1" w14:textId="77777777" w:rsidR="00000000" w:rsidRDefault="00A173A8">
            <w:pPr>
              <w:spacing w:after="100"/>
              <w:rPr>
                <w:rFonts w:eastAsia="Times New Roman"/>
                <w:sz w:val="20"/>
                <w:szCs w:val="20"/>
              </w:rPr>
            </w:pPr>
          </w:p>
        </w:tc>
        <w:tc>
          <w:tcPr>
            <w:tcW w:w="26" w:type="pct"/>
            <w:vAlign w:val="center"/>
            <w:hideMark/>
          </w:tcPr>
          <w:p w14:paraId="6700C630" w14:textId="77777777" w:rsidR="00000000" w:rsidRDefault="00A173A8">
            <w:pPr>
              <w:spacing w:after="100"/>
              <w:rPr>
                <w:rFonts w:eastAsia="Times New Roman"/>
                <w:sz w:val="20"/>
                <w:szCs w:val="20"/>
              </w:rPr>
            </w:pPr>
          </w:p>
        </w:tc>
        <w:tc>
          <w:tcPr>
            <w:tcW w:w="5" w:type="pct"/>
            <w:vAlign w:val="center"/>
            <w:hideMark/>
          </w:tcPr>
          <w:p w14:paraId="23C01C32" w14:textId="77777777" w:rsidR="00000000" w:rsidRDefault="00A173A8">
            <w:pPr>
              <w:spacing w:after="100"/>
              <w:rPr>
                <w:rFonts w:eastAsia="Times New Roman"/>
                <w:sz w:val="20"/>
                <w:szCs w:val="20"/>
              </w:rPr>
            </w:pPr>
          </w:p>
        </w:tc>
        <w:tc>
          <w:tcPr>
            <w:tcW w:w="50" w:type="pct"/>
            <w:gridSpan w:val="2"/>
            <w:vAlign w:val="center"/>
            <w:hideMark/>
          </w:tcPr>
          <w:p w14:paraId="1C066E34" w14:textId="77777777" w:rsidR="00000000" w:rsidRDefault="00A173A8">
            <w:pPr>
              <w:spacing w:after="100"/>
              <w:rPr>
                <w:rFonts w:eastAsia="Times New Roman"/>
                <w:sz w:val="20"/>
                <w:szCs w:val="20"/>
              </w:rPr>
            </w:pPr>
          </w:p>
        </w:tc>
        <w:tc>
          <w:tcPr>
            <w:tcW w:w="244" w:type="pct"/>
            <w:gridSpan w:val="4"/>
            <w:vAlign w:val="center"/>
            <w:hideMark/>
          </w:tcPr>
          <w:p w14:paraId="3DBE71AB" w14:textId="77777777" w:rsidR="00000000" w:rsidRDefault="00A173A8">
            <w:pPr>
              <w:spacing w:after="100"/>
              <w:rPr>
                <w:rFonts w:eastAsia="Times New Roman"/>
                <w:sz w:val="20"/>
                <w:szCs w:val="20"/>
              </w:rPr>
            </w:pPr>
          </w:p>
        </w:tc>
        <w:tc>
          <w:tcPr>
            <w:tcW w:w="5" w:type="pct"/>
            <w:vAlign w:val="center"/>
            <w:hideMark/>
          </w:tcPr>
          <w:p w14:paraId="4E1B907A" w14:textId="77777777" w:rsidR="00000000" w:rsidRDefault="00A173A8">
            <w:pPr>
              <w:spacing w:after="100"/>
              <w:rPr>
                <w:rFonts w:eastAsia="Times New Roman"/>
                <w:sz w:val="20"/>
                <w:szCs w:val="20"/>
              </w:rPr>
            </w:pPr>
          </w:p>
        </w:tc>
        <w:tc>
          <w:tcPr>
            <w:tcW w:w="5" w:type="pct"/>
            <w:vAlign w:val="center"/>
            <w:hideMark/>
          </w:tcPr>
          <w:p w14:paraId="12826C9E" w14:textId="77777777" w:rsidR="00000000" w:rsidRDefault="00A173A8">
            <w:pPr>
              <w:spacing w:after="100"/>
              <w:rPr>
                <w:rFonts w:eastAsia="Times New Roman"/>
                <w:sz w:val="20"/>
                <w:szCs w:val="20"/>
              </w:rPr>
            </w:pPr>
          </w:p>
        </w:tc>
        <w:tc>
          <w:tcPr>
            <w:tcW w:w="26" w:type="pct"/>
            <w:vAlign w:val="center"/>
            <w:hideMark/>
          </w:tcPr>
          <w:p w14:paraId="308DAA23" w14:textId="77777777" w:rsidR="00000000" w:rsidRDefault="00A173A8">
            <w:pPr>
              <w:spacing w:after="100"/>
              <w:rPr>
                <w:rFonts w:eastAsia="Times New Roman"/>
                <w:sz w:val="20"/>
                <w:szCs w:val="20"/>
              </w:rPr>
            </w:pPr>
          </w:p>
        </w:tc>
        <w:tc>
          <w:tcPr>
            <w:tcW w:w="5" w:type="pct"/>
            <w:vAlign w:val="center"/>
            <w:hideMark/>
          </w:tcPr>
          <w:p w14:paraId="45C4D828" w14:textId="77777777" w:rsidR="00000000" w:rsidRDefault="00A173A8">
            <w:pPr>
              <w:spacing w:after="100"/>
              <w:rPr>
                <w:rFonts w:eastAsia="Times New Roman"/>
                <w:sz w:val="20"/>
                <w:szCs w:val="20"/>
              </w:rPr>
            </w:pPr>
          </w:p>
        </w:tc>
        <w:tc>
          <w:tcPr>
            <w:tcW w:w="50" w:type="pct"/>
            <w:vAlign w:val="center"/>
            <w:hideMark/>
          </w:tcPr>
          <w:p w14:paraId="2BA54F66" w14:textId="77777777" w:rsidR="00000000" w:rsidRDefault="00A173A8">
            <w:pPr>
              <w:spacing w:after="100"/>
              <w:rPr>
                <w:rFonts w:eastAsia="Times New Roman"/>
                <w:sz w:val="20"/>
                <w:szCs w:val="20"/>
              </w:rPr>
            </w:pPr>
          </w:p>
        </w:tc>
        <w:tc>
          <w:tcPr>
            <w:tcW w:w="259" w:type="pct"/>
            <w:gridSpan w:val="4"/>
            <w:vAlign w:val="center"/>
            <w:hideMark/>
          </w:tcPr>
          <w:p w14:paraId="7FE3BFDC" w14:textId="77777777" w:rsidR="00000000" w:rsidRDefault="00A173A8">
            <w:pPr>
              <w:spacing w:after="100"/>
              <w:rPr>
                <w:rFonts w:eastAsia="Times New Roman"/>
                <w:sz w:val="20"/>
                <w:szCs w:val="20"/>
              </w:rPr>
            </w:pPr>
          </w:p>
        </w:tc>
        <w:tc>
          <w:tcPr>
            <w:tcW w:w="5" w:type="pct"/>
            <w:vAlign w:val="center"/>
            <w:hideMark/>
          </w:tcPr>
          <w:p w14:paraId="5F4469E2" w14:textId="77777777" w:rsidR="00000000" w:rsidRDefault="00A173A8">
            <w:pPr>
              <w:spacing w:after="100"/>
              <w:rPr>
                <w:rFonts w:eastAsia="Times New Roman"/>
                <w:sz w:val="20"/>
                <w:szCs w:val="20"/>
              </w:rPr>
            </w:pPr>
          </w:p>
        </w:tc>
        <w:tc>
          <w:tcPr>
            <w:tcW w:w="5" w:type="pct"/>
            <w:gridSpan w:val="2"/>
            <w:vAlign w:val="center"/>
            <w:hideMark/>
          </w:tcPr>
          <w:p w14:paraId="5E9EF2D1" w14:textId="77777777" w:rsidR="00000000" w:rsidRDefault="00A173A8">
            <w:pPr>
              <w:spacing w:after="100"/>
              <w:rPr>
                <w:rFonts w:eastAsia="Times New Roman"/>
                <w:sz w:val="20"/>
                <w:szCs w:val="20"/>
              </w:rPr>
            </w:pPr>
          </w:p>
        </w:tc>
        <w:tc>
          <w:tcPr>
            <w:tcW w:w="26" w:type="pct"/>
            <w:vAlign w:val="center"/>
            <w:hideMark/>
          </w:tcPr>
          <w:p w14:paraId="12D63576" w14:textId="77777777" w:rsidR="00000000" w:rsidRDefault="00A173A8">
            <w:pPr>
              <w:spacing w:after="100"/>
              <w:rPr>
                <w:rFonts w:eastAsia="Times New Roman"/>
                <w:sz w:val="20"/>
                <w:szCs w:val="20"/>
              </w:rPr>
            </w:pPr>
          </w:p>
        </w:tc>
        <w:tc>
          <w:tcPr>
            <w:tcW w:w="5" w:type="pct"/>
            <w:vAlign w:val="center"/>
            <w:hideMark/>
          </w:tcPr>
          <w:p w14:paraId="3ECDBB2C" w14:textId="77777777" w:rsidR="00000000" w:rsidRDefault="00A173A8">
            <w:pPr>
              <w:spacing w:after="100"/>
              <w:rPr>
                <w:rFonts w:eastAsia="Times New Roman"/>
                <w:sz w:val="20"/>
                <w:szCs w:val="20"/>
              </w:rPr>
            </w:pPr>
          </w:p>
        </w:tc>
        <w:tc>
          <w:tcPr>
            <w:tcW w:w="50" w:type="pct"/>
            <w:gridSpan w:val="2"/>
            <w:vAlign w:val="center"/>
            <w:hideMark/>
          </w:tcPr>
          <w:p w14:paraId="75924F83" w14:textId="77777777" w:rsidR="00000000" w:rsidRDefault="00A173A8">
            <w:pPr>
              <w:spacing w:after="100"/>
              <w:rPr>
                <w:rFonts w:eastAsia="Times New Roman"/>
                <w:sz w:val="20"/>
                <w:szCs w:val="20"/>
              </w:rPr>
            </w:pPr>
          </w:p>
        </w:tc>
        <w:tc>
          <w:tcPr>
            <w:tcW w:w="200" w:type="pct"/>
            <w:gridSpan w:val="2"/>
            <w:vAlign w:val="center"/>
            <w:hideMark/>
          </w:tcPr>
          <w:p w14:paraId="09014E34" w14:textId="77777777" w:rsidR="00000000" w:rsidRDefault="00A173A8">
            <w:pPr>
              <w:spacing w:after="100"/>
              <w:rPr>
                <w:rFonts w:eastAsia="Times New Roman"/>
                <w:sz w:val="20"/>
                <w:szCs w:val="20"/>
              </w:rPr>
            </w:pPr>
          </w:p>
        </w:tc>
        <w:tc>
          <w:tcPr>
            <w:tcW w:w="5" w:type="pct"/>
            <w:vAlign w:val="center"/>
            <w:hideMark/>
          </w:tcPr>
          <w:p w14:paraId="1221CCE0" w14:textId="77777777" w:rsidR="00000000" w:rsidRDefault="00A173A8">
            <w:pPr>
              <w:spacing w:after="100"/>
              <w:rPr>
                <w:rFonts w:eastAsia="Times New Roman"/>
                <w:sz w:val="20"/>
                <w:szCs w:val="20"/>
              </w:rPr>
            </w:pPr>
          </w:p>
        </w:tc>
        <w:tc>
          <w:tcPr>
            <w:tcW w:w="5" w:type="pct"/>
            <w:vAlign w:val="center"/>
            <w:hideMark/>
          </w:tcPr>
          <w:p w14:paraId="35BD78C1" w14:textId="77777777" w:rsidR="00000000" w:rsidRDefault="00A173A8">
            <w:pPr>
              <w:spacing w:after="100"/>
              <w:rPr>
                <w:rFonts w:eastAsia="Times New Roman"/>
                <w:sz w:val="20"/>
                <w:szCs w:val="20"/>
              </w:rPr>
            </w:pPr>
          </w:p>
        </w:tc>
        <w:tc>
          <w:tcPr>
            <w:tcW w:w="26" w:type="pct"/>
            <w:vAlign w:val="center"/>
            <w:hideMark/>
          </w:tcPr>
          <w:p w14:paraId="40CE539D" w14:textId="77777777" w:rsidR="00000000" w:rsidRDefault="00A173A8">
            <w:pPr>
              <w:spacing w:after="100"/>
              <w:rPr>
                <w:rFonts w:eastAsia="Times New Roman"/>
                <w:sz w:val="20"/>
                <w:szCs w:val="20"/>
              </w:rPr>
            </w:pPr>
          </w:p>
        </w:tc>
        <w:tc>
          <w:tcPr>
            <w:tcW w:w="5" w:type="pct"/>
            <w:vAlign w:val="center"/>
            <w:hideMark/>
          </w:tcPr>
          <w:p w14:paraId="466A7D29" w14:textId="77777777" w:rsidR="00000000" w:rsidRDefault="00A173A8">
            <w:pPr>
              <w:spacing w:after="100"/>
              <w:rPr>
                <w:rFonts w:eastAsia="Times New Roman"/>
                <w:sz w:val="20"/>
                <w:szCs w:val="20"/>
              </w:rPr>
            </w:pPr>
          </w:p>
        </w:tc>
        <w:tc>
          <w:tcPr>
            <w:tcW w:w="50" w:type="pct"/>
            <w:vAlign w:val="center"/>
            <w:hideMark/>
          </w:tcPr>
          <w:p w14:paraId="7E506089" w14:textId="77777777" w:rsidR="00000000" w:rsidRDefault="00A173A8">
            <w:pPr>
              <w:spacing w:after="100"/>
              <w:rPr>
                <w:rFonts w:eastAsia="Times New Roman"/>
                <w:sz w:val="20"/>
                <w:szCs w:val="20"/>
              </w:rPr>
            </w:pPr>
          </w:p>
        </w:tc>
        <w:tc>
          <w:tcPr>
            <w:tcW w:w="244" w:type="pct"/>
            <w:gridSpan w:val="4"/>
            <w:vAlign w:val="center"/>
            <w:hideMark/>
          </w:tcPr>
          <w:p w14:paraId="6C947562" w14:textId="77777777" w:rsidR="00000000" w:rsidRDefault="00A173A8">
            <w:pPr>
              <w:spacing w:after="100"/>
              <w:rPr>
                <w:rFonts w:eastAsia="Times New Roman"/>
                <w:sz w:val="20"/>
                <w:szCs w:val="20"/>
              </w:rPr>
            </w:pPr>
          </w:p>
        </w:tc>
        <w:tc>
          <w:tcPr>
            <w:tcW w:w="5" w:type="pct"/>
            <w:vAlign w:val="center"/>
            <w:hideMark/>
          </w:tcPr>
          <w:p w14:paraId="16681622" w14:textId="77777777" w:rsidR="00000000" w:rsidRDefault="00A173A8">
            <w:pPr>
              <w:spacing w:after="100"/>
              <w:rPr>
                <w:rFonts w:eastAsia="Times New Roman"/>
                <w:sz w:val="20"/>
                <w:szCs w:val="20"/>
              </w:rPr>
            </w:pPr>
          </w:p>
        </w:tc>
        <w:tc>
          <w:tcPr>
            <w:tcW w:w="5" w:type="pct"/>
            <w:vAlign w:val="center"/>
            <w:hideMark/>
          </w:tcPr>
          <w:p w14:paraId="3225CEA0" w14:textId="77777777" w:rsidR="00000000" w:rsidRDefault="00A173A8">
            <w:pPr>
              <w:spacing w:after="100"/>
              <w:rPr>
                <w:rFonts w:eastAsia="Times New Roman"/>
                <w:sz w:val="20"/>
                <w:szCs w:val="20"/>
              </w:rPr>
            </w:pPr>
          </w:p>
        </w:tc>
        <w:tc>
          <w:tcPr>
            <w:tcW w:w="26" w:type="pct"/>
            <w:gridSpan w:val="2"/>
            <w:vAlign w:val="center"/>
            <w:hideMark/>
          </w:tcPr>
          <w:p w14:paraId="6F749368" w14:textId="77777777" w:rsidR="00000000" w:rsidRDefault="00A173A8">
            <w:pPr>
              <w:spacing w:after="100"/>
              <w:rPr>
                <w:rFonts w:eastAsia="Times New Roman"/>
                <w:sz w:val="20"/>
                <w:szCs w:val="20"/>
              </w:rPr>
            </w:pPr>
          </w:p>
        </w:tc>
        <w:tc>
          <w:tcPr>
            <w:tcW w:w="5" w:type="pct"/>
            <w:vAlign w:val="center"/>
            <w:hideMark/>
          </w:tcPr>
          <w:p w14:paraId="66480154" w14:textId="77777777" w:rsidR="00000000" w:rsidRDefault="00A173A8">
            <w:pPr>
              <w:spacing w:after="100"/>
              <w:rPr>
                <w:rFonts w:eastAsia="Times New Roman"/>
                <w:sz w:val="20"/>
                <w:szCs w:val="20"/>
              </w:rPr>
            </w:pPr>
          </w:p>
        </w:tc>
        <w:tc>
          <w:tcPr>
            <w:tcW w:w="50" w:type="pct"/>
            <w:gridSpan w:val="2"/>
            <w:vAlign w:val="center"/>
            <w:hideMark/>
          </w:tcPr>
          <w:p w14:paraId="7367D9CA" w14:textId="77777777" w:rsidR="00000000" w:rsidRDefault="00A173A8">
            <w:pPr>
              <w:spacing w:after="100"/>
              <w:rPr>
                <w:rFonts w:eastAsia="Times New Roman"/>
                <w:sz w:val="20"/>
                <w:szCs w:val="20"/>
              </w:rPr>
            </w:pPr>
          </w:p>
        </w:tc>
        <w:tc>
          <w:tcPr>
            <w:tcW w:w="295" w:type="pct"/>
            <w:gridSpan w:val="2"/>
            <w:vAlign w:val="center"/>
            <w:hideMark/>
          </w:tcPr>
          <w:p w14:paraId="721B1842" w14:textId="77777777" w:rsidR="00000000" w:rsidRDefault="00A173A8">
            <w:pPr>
              <w:spacing w:after="100"/>
              <w:rPr>
                <w:rFonts w:eastAsia="Times New Roman"/>
                <w:sz w:val="20"/>
                <w:szCs w:val="20"/>
              </w:rPr>
            </w:pPr>
          </w:p>
        </w:tc>
        <w:tc>
          <w:tcPr>
            <w:tcW w:w="5" w:type="pct"/>
            <w:gridSpan w:val="2"/>
            <w:vAlign w:val="center"/>
            <w:hideMark/>
          </w:tcPr>
          <w:p w14:paraId="147EA22D" w14:textId="77777777" w:rsidR="00000000" w:rsidRDefault="00A173A8">
            <w:pPr>
              <w:spacing w:after="100"/>
              <w:rPr>
                <w:rFonts w:eastAsia="Times New Roman"/>
                <w:sz w:val="20"/>
                <w:szCs w:val="20"/>
              </w:rPr>
            </w:pPr>
          </w:p>
        </w:tc>
        <w:tc>
          <w:tcPr>
            <w:tcW w:w="5" w:type="pct"/>
            <w:vAlign w:val="center"/>
            <w:hideMark/>
          </w:tcPr>
          <w:p w14:paraId="5920581C" w14:textId="77777777" w:rsidR="00000000" w:rsidRDefault="00A173A8">
            <w:pPr>
              <w:spacing w:after="100"/>
              <w:rPr>
                <w:rFonts w:eastAsia="Times New Roman"/>
                <w:sz w:val="20"/>
                <w:szCs w:val="20"/>
              </w:rPr>
            </w:pPr>
          </w:p>
        </w:tc>
        <w:tc>
          <w:tcPr>
            <w:tcW w:w="26" w:type="pct"/>
            <w:vAlign w:val="center"/>
            <w:hideMark/>
          </w:tcPr>
          <w:p w14:paraId="48E11A1D" w14:textId="77777777" w:rsidR="00000000" w:rsidRDefault="00A173A8">
            <w:pPr>
              <w:spacing w:after="100"/>
              <w:rPr>
                <w:rFonts w:eastAsia="Times New Roman"/>
                <w:sz w:val="20"/>
                <w:szCs w:val="20"/>
              </w:rPr>
            </w:pPr>
          </w:p>
        </w:tc>
        <w:tc>
          <w:tcPr>
            <w:tcW w:w="5" w:type="pct"/>
            <w:vAlign w:val="center"/>
            <w:hideMark/>
          </w:tcPr>
          <w:p w14:paraId="7EB3B29B" w14:textId="77777777" w:rsidR="00000000" w:rsidRDefault="00A173A8">
            <w:pPr>
              <w:spacing w:after="100"/>
              <w:rPr>
                <w:rFonts w:eastAsia="Times New Roman"/>
                <w:sz w:val="20"/>
                <w:szCs w:val="20"/>
              </w:rPr>
            </w:pPr>
          </w:p>
        </w:tc>
        <w:tc>
          <w:tcPr>
            <w:tcW w:w="50" w:type="pct"/>
            <w:gridSpan w:val="2"/>
            <w:vAlign w:val="center"/>
            <w:hideMark/>
          </w:tcPr>
          <w:p w14:paraId="4ED7EFF9" w14:textId="77777777" w:rsidR="00000000" w:rsidRDefault="00A173A8">
            <w:pPr>
              <w:spacing w:after="100"/>
              <w:rPr>
                <w:rFonts w:eastAsia="Times New Roman"/>
                <w:sz w:val="20"/>
                <w:szCs w:val="20"/>
              </w:rPr>
            </w:pPr>
          </w:p>
        </w:tc>
        <w:tc>
          <w:tcPr>
            <w:tcW w:w="266" w:type="pct"/>
            <w:gridSpan w:val="4"/>
            <w:vAlign w:val="center"/>
            <w:hideMark/>
          </w:tcPr>
          <w:p w14:paraId="4D1E1379" w14:textId="77777777" w:rsidR="00000000" w:rsidRDefault="00A173A8">
            <w:pPr>
              <w:spacing w:after="100"/>
              <w:rPr>
                <w:rFonts w:eastAsia="Times New Roman"/>
                <w:sz w:val="20"/>
                <w:szCs w:val="20"/>
              </w:rPr>
            </w:pPr>
          </w:p>
        </w:tc>
        <w:tc>
          <w:tcPr>
            <w:tcW w:w="5" w:type="pct"/>
            <w:vAlign w:val="center"/>
            <w:hideMark/>
          </w:tcPr>
          <w:p w14:paraId="15DDF801" w14:textId="77777777" w:rsidR="00000000" w:rsidRDefault="00A173A8">
            <w:pPr>
              <w:spacing w:after="100"/>
              <w:rPr>
                <w:rFonts w:eastAsia="Times New Roman"/>
                <w:sz w:val="20"/>
                <w:szCs w:val="20"/>
              </w:rPr>
            </w:pPr>
          </w:p>
        </w:tc>
        <w:tc>
          <w:tcPr>
            <w:tcW w:w="5" w:type="pct"/>
            <w:gridSpan w:val="2"/>
            <w:vAlign w:val="center"/>
            <w:hideMark/>
          </w:tcPr>
          <w:p w14:paraId="7F7FF92E" w14:textId="77777777" w:rsidR="00000000" w:rsidRDefault="00A173A8">
            <w:pPr>
              <w:spacing w:after="100"/>
              <w:rPr>
                <w:rFonts w:eastAsia="Times New Roman"/>
                <w:sz w:val="20"/>
                <w:szCs w:val="20"/>
              </w:rPr>
            </w:pPr>
          </w:p>
        </w:tc>
        <w:tc>
          <w:tcPr>
            <w:tcW w:w="26" w:type="pct"/>
            <w:vAlign w:val="center"/>
            <w:hideMark/>
          </w:tcPr>
          <w:p w14:paraId="6B874A1A" w14:textId="77777777" w:rsidR="00000000" w:rsidRDefault="00A173A8">
            <w:pPr>
              <w:spacing w:after="100"/>
              <w:rPr>
                <w:rFonts w:eastAsia="Times New Roman"/>
                <w:sz w:val="20"/>
                <w:szCs w:val="20"/>
              </w:rPr>
            </w:pPr>
          </w:p>
        </w:tc>
        <w:tc>
          <w:tcPr>
            <w:tcW w:w="5" w:type="pct"/>
            <w:vAlign w:val="center"/>
            <w:hideMark/>
          </w:tcPr>
          <w:p w14:paraId="4032B2F8" w14:textId="77777777" w:rsidR="00000000" w:rsidRDefault="00A173A8">
            <w:pPr>
              <w:spacing w:after="100"/>
              <w:rPr>
                <w:rFonts w:eastAsia="Times New Roman"/>
                <w:sz w:val="20"/>
                <w:szCs w:val="20"/>
              </w:rPr>
            </w:pPr>
          </w:p>
        </w:tc>
        <w:tc>
          <w:tcPr>
            <w:tcW w:w="50" w:type="pct"/>
            <w:vAlign w:val="center"/>
            <w:hideMark/>
          </w:tcPr>
          <w:p w14:paraId="7408A0BE" w14:textId="77777777" w:rsidR="00000000" w:rsidRDefault="00A173A8">
            <w:pPr>
              <w:spacing w:after="100"/>
              <w:rPr>
                <w:rFonts w:eastAsia="Times New Roman"/>
                <w:sz w:val="20"/>
                <w:szCs w:val="20"/>
              </w:rPr>
            </w:pPr>
          </w:p>
        </w:tc>
        <w:tc>
          <w:tcPr>
            <w:tcW w:w="244" w:type="pct"/>
            <w:gridSpan w:val="3"/>
            <w:vAlign w:val="center"/>
            <w:hideMark/>
          </w:tcPr>
          <w:p w14:paraId="0A0B9243" w14:textId="77777777" w:rsidR="00000000" w:rsidRDefault="00A173A8">
            <w:pPr>
              <w:spacing w:after="100"/>
              <w:rPr>
                <w:rFonts w:eastAsia="Times New Roman"/>
                <w:sz w:val="20"/>
                <w:szCs w:val="20"/>
              </w:rPr>
            </w:pPr>
          </w:p>
        </w:tc>
        <w:tc>
          <w:tcPr>
            <w:tcW w:w="5" w:type="pct"/>
            <w:gridSpan w:val="2"/>
            <w:vAlign w:val="center"/>
            <w:hideMark/>
          </w:tcPr>
          <w:p w14:paraId="78F6C3EB" w14:textId="77777777" w:rsidR="00000000" w:rsidRDefault="00A173A8">
            <w:pPr>
              <w:spacing w:after="100"/>
              <w:rPr>
                <w:rFonts w:eastAsia="Times New Roman"/>
                <w:sz w:val="20"/>
                <w:szCs w:val="20"/>
              </w:rPr>
            </w:pPr>
          </w:p>
        </w:tc>
        <w:tc>
          <w:tcPr>
            <w:tcW w:w="5" w:type="pct"/>
            <w:vAlign w:val="center"/>
            <w:hideMark/>
          </w:tcPr>
          <w:p w14:paraId="2DC6F553" w14:textId="77777777" w:rsidR="00000000" w:rsidRDefault="00A173A8">
            <w:pPr>
              <w:spacing w:after="100"/>
              <w:rPr>
                <w:rFonts w:eastAsia="Times New Roman"/>
                <w:sz w:val="20"/>
                <w:szCs w:val="20"/>
              </w:rPr>
            </w:pPr>
          </w:p>
        </w:tc>
        <w:tc>
          <w:tcPr>
            <w:tcW w:w="26" w:type="pct"/>
            <w:vAlign w:val="center"/>
            <w:hideMark/>
          </w:tcPr>
          <w:p w14:paraId="44BE3ACF" w14:textId="77777777" w:rsidR="00000000" w:rsidRDefault="00A173A8">
            <w:pPr>
              <w:spacing w:after="100"/>
              <w:rPr>
                <w:rFonts w:eastAsia="Times New Roman"/>
                <w:sz w:val="20"/>
                <w:szCs w:val="20"/>
              </w:rPr>
            </w:pPr>
          </w:p>
        </w:tc>
        <w:tc>
          <w:tcPr>
            <w:tcW w:w="5" w:type="pct"/>
            <w:vAlign w:val="center"/>
            <w:hideMark/>
          </w:tcPr>
          <w:p w14:paraId="50E2DFE1" w14:textId="77777777" w:rsidR="00000000" w:rsidRDefault="00A173A8">
            <w:pPr>
              <w:spacing w:after="100"/>
              <w:rPr>
                <w:rFonts w:eastAsia="Times New Roman"/>
                <w:sz w:val="20"/>
                <w:szCs w:val="20"/>
              </w:rPr>
            </w:pPr>
          </w:p>
        </w:tc>
        <w:tc>
          <w:tcPr>
            <w:tcW w:w="50" w:type="pct"/>
            <w:gridSpan w:val="2"/>
            <w:vAlign w:val="center"/>
            <w:hideMark/>
          </w:tcPr>
          <w:p w14:paraId="2AB39BEC" w14:textId="77777777" w:rsidR="00000000" w:rsidRDefault="00A173A8">
            <w:pPr>
              <w:spacing w:after="100"/>
              <w:rPr>
                <w:rFonts w:eastAsia="Times New Roman"/>
                <w:sz w:val="20"/>
                <w:szCs w:val="20"/>
              </w:rPr>
            </w:pPr>
          </w:p>
        </w:tc>
        <w:tc>
          <w:tcPr>
            <w:tcW w:w="354" w:type="pct"/>
            <w:gridSpan w:val="3"/>
            <w:vAlign w:val="center"/>
            <w:hideMark/>
          </w:tcPr>
          <w:p w14:paraId="477176C3" w14:textId="77777777" w:rsidR="00000000" w:rsidRDefault="00A173A8">
            <w:pPr>
              <w:spacing w:after="100"/>
              <w:rPr>
                <w:rFonts w:eastAsia="Times New Roman"/>
                <w:sz w:val="20"/>
                <w:szCs w:val="20"/>
              </w:rPr>
            </w:pPr>
          </w:p>
        </w:tc>
        <w:tc>
          <w:tcPr>
            <w:tcW w:w="5" w:type="pct"/>
            <w:gridSpan w:val="5"/>
            <w:vAlign w:val="center"/>
            <w:hideMark/>
          </w:tcPr>
          <w:p w14:paraId="66E6025C" w14:textId="77777777" w:rsidR="00000000" w:rsidRDefault="00A173A8">
            <w:pPr>
              <w:spacing w:after="100"/>
              <w:rPr>
                <w:rFonts w:eastAsia="Times New Roman"/>
                <w:sz w:val="20"/>
                <w:szCs w:val="20"/>
              </w:rPr>
            </w:pPr>
          </w:p>
        </w:tc>
      </w:tr>
      <w:tr w:rsidR="00000000" w14:paraId="355C0DD7" w14:textId="77777777">
        <w:trPr>
          <w:gridAfter w:val="22"/>
          <w:divId w:val="816607921"/>
        </w:trPr>
        <w:tc>
          <w:tcPr>
            <w:tcW w:w="0" w:type="auto"/>
            <w:gridSpan w:val="5"/>
            <w:tcMar>
              <w:top w:w="0" w:type="dxa"/>
              <w:left w:w="20" w:type="dxa"/>
              <w:bottom w:w="0" w:type="dxa"/>
              <w:right w:w="20" w:type="dxa"/>
            </w:tcMar>
            <w:vAlign w:val="center"/>
            <w:hideMark/>
          </w:tcPr>
          <w:p w14:paraId="03CA99B1"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76CEDB" w14:textId="77777777" w:rsidR="00000000" w:rsidRDefault="00A173A8">
            <w:pPr>
              <w:spacing w:after="100"/>
              <w:rPr>
                <w:rFonts w:eastAsia="Times New Roman"/>
                <w:sz w:val="20"/>
                <w:szCs w:val="20"/>
              </w:rPr>
            </w:pPr>
          </w:p>
        </w:tc>
        <w:tc>
          <w:tcPr>
            <w:tcW w:w="0" w:type="auto"/>
            <w:gridSpan w:val="91"/>
            <w:tcMar>
              <w:top w:w="30" w:type="dxa"/>
              <w:left w:w="20" w:type="dxa"/>
              <w:bottom w:w="30" w:type="dxa"/>
              <w:right w:w="20" w:type="dxa"/>
            </w:tcMar>
            <w:vAlign w:val="bottom"/>
            <w:hideMark/>
          </w:tcPr>
          <w:p w14:paraId="7EEA59D5" w14:textId="77777777" w:rsidR="00000000" w:rsidRDefault="00A173A8">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5"/>
            <w:vAlign w:val="center"/>
            <w:hideMark/>
          </w:tcPr>
          <w:p w14:paraId="7F853C02" w14:textId="77777777" w:rsidR="00000000" w:rsidRDefault="00A173A8">
            <w:pPr>
              <w:spacing w:after="100"/>
              <w:rPr>
                <w:rFonts w:eastAsia="Times New Roman"/>
                <w:sz w:val="20"/>
                <w:szCs w:val="20"/>
              </w:rPr>
            </w:pPr>
          </w:p>
        </w:tc>
      </w:tr>
      <w:tr w:rsidR="00000000" w14:paraId="7133FA8E" w14:textId="77777777">
        <w:trPr>
          <w:gridAfter w:val="22"/>
          <w:divId w:val="816607921"/>
        </w:trPr>
        <w:tc>
          <w:tcPr>
            <w:tcW w:w="0" w:type="auto"/>
            <w:gridSpan w:val="5"/>
            <w:tcMar>
              <w:top w:w="0" w:type="dxa"/>
              <w:left w:w="20" w:type="dxa"/>
              <w:bottom w:w="0" w:type="dxa"/>
              <w:right w:w="20" w:type="dxa"/>
            </w:tcMar>
            <w:vAlign w:val="center"/>
            <w:hideMark/>
          </w:tcPr>
          <w:p w14:paraId="278BC75A"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86B7DCB" w14:textId="77777777" w:rsidR="00000000" w:rsidRDefault="00A173A8">
            <w:pPr>
              <w:spacing w:after="100"/>
              <w:rPr>
                <w:rFonts w:eastAsia="Times New Roman"/>
                <w:sz w:val="20"/>
                <w:szCs w:val="20"/>
              </w:rPr>
            </w:pPr>
          </w:p>
        </w:tc>
        <w:tc>
          <w:tcPr>
            <w:tcW w:w="0" w:type="auto"/>
            <w:gridSpan w:val="91"/>
            <w:tcMar>
              <w:top w:w="30" w:type="dxa"/>
              <w:left w:w="20" w:type="dxa"/>
              <w:bottom w:w="30" w:type="dxa"/>
              <w:right w:w="20" w:type="dxa"/>
            </w:tcMar>
            <w:vAlign w:val="bottom"/>
            <w:hideMark/>
          </w:tcPr>
          <w:p w14:paraId="0EC5B422" w14:textId="77777777" w:rsidR="00000000" w:rsidRDefault="00A173A8">
            <w:pPr>
              <w:spacing w:after="100"/>
              <w:jc w:val="center"/>
              <w:rPr>
                <w:rFonts w:eastAsia="Times New Roman"/>
              </w:rPr>
            </w:pPr>
            <w:r>
              <w:rPr>
                <w:rFonts w:eastAsia="Times New Roman"/>
                <w:b/>
                <w:bCs/>
                <w:color w:val="000000"/>
                <w:sz w:val="14"/>
                <w:szCs w:val="14"/>
              </w:rPr>
              <w:t>Three Months Ended June 30, 2022</w:t>
            </w:r>
          </w:p>
        </w:tc>
        <w:tc>
          <w:tcPr>
            <w:tcW w:w="0" w:type="auto"/>
            <w:gridSpan w:val="5"/>
            <w:vAlign w:val="center"/>
            <w:hideMark/>
          </w:tcPr>
          <w:p w14:paraId="519C3898" w14:textId="77777777" w:rsidR="00000000" w:rsidRDefault="00A173A8">
            <w:pPr>
              <w:spacing w:after="100"/>
              <w:rPr>
                <w:rFonts w:eastAsia="Times New Roman"/>
                <w:sz w:val="20"/>
                <w:szCs w:val="20"/>
              </w:rPr>
            </w:pPr>
          </w:p>
        </w:tc>
      </w:tr>
      <w:tr w:rsidR="00000000" w14:paraId="10C2402F" w14:textId="77777777">
        <w:trPr>
          <w:gridAfter w:val="22"/>
          <w:divId w:val="816607921"/>
          <w:trHeight w:val="300"/>
        </w:trPr>
        <w:tc>
          <w:tcPr>
            <w:tcW w:w="0" w:type="auto"/>
            <w:gridSpan w:val="5"/>
            <w:tcMar>
              <w:top w:w="0" w:type="dxa"/>
              <w:left w:w="20" w:type="dxa"/>
              <w:bottom w:w="0" w:type="dxa"/>
              <w:right w:w="20" w:type="dxa"/>
            </w:tcMar>
            <w:vAlign w:val="center"/>
            <w:hideMark/>
          </w:tcPr>
          <w:p w14:paraId="72200388"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134729D" w14:textId="77777777" w:rsidR="00000000" w:rsidRDefault="00A173A8">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641DD4C3" w14:textId="77777777" w:rsidR="00000000" w:rsidRDefault="00A173A8">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677833F9" w14:textId="77777777" w:rsidR="00000000" w:rsidRDefault="00A173A8">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096ED052" w14:textId="77777777" w:rsidR="00000000" w:rsidRDefault="00A173A8">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14:paraId="7B3A8CBD" w14:textId="77777777" w:rsidR="00000000" w:rsidRDefault="00A173A8">
            <w:pPr>
              <w:spacing w:after="100"/>
              <w:jc w:val="center"/>
              <w:rPr>
                <w:rFonts w:eastAsia="Times New Roman"/>
              </w:rPr>
            </w:pPr>
          </w:p>
        </w:tc>
        <w:tc>
          <w:tcPr>
            <w:tcW w:w="0" w:type="auto"/>
            <w:gridSpan w:val="6"/>
            <w:tcBorders>
              <w:top w:val="single" w:sz="8" w:space="0" w:color="000000"/>
            </w:tcBorders>
            <w:tcMar>
              <w:top w:w="0" w:type="dxa"/>
              <w:left w:w="20" w:type="dxa"/>
              <w:bottom w:w="0" w:type="dxa"/>
              <w:right w:w="20" w:type="dxa"/>
            </w:tcMar>
            <w:vAlign w:val="center"/>
            <w:hideMark/>
          </w:tcPr>
          <w:p w14:paraId="10361C49" w14:textId="77777777" w:rsidR="00000000" w:rsidRDefault="00A173A8">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06E7C61C" w14:textId="77777777" w:rsidR="00000000" w:rsidRDefault="00A173A8">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04A7CC62"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588586" w14:textId="77777777" w:rsidR="00000000" w:rsidRDefault="00A173A8">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430728D1" w14:textId="77777777" w:rsidR="00000000" w:rsidRDefault="00A173A8">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04B5AA2E" w14:textId="77777777" w:rsidR="00000000" w:rsidRDefault="00A173A8">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484E486E"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3D73C2" w14:textId="77777777" w:rsidR="00000000" w:rsidRDefault="00A173A8">
            <w:pPr>
              <w:spacing w:after="100"/>
              <w:rPr>
                <w:rFonts w:eastAsia="Times New Roman"/>
                <w:sz w:val="20"/>
                <w:szCs w:val="20"/>
              </w:rPr>
            </w:pPr>
          </w:p>
        </w:tc>
        <w:tc>
          <w:tcPr>
            <w:tcW w:w="0" w:type="auto"/>
            <w:gridSpan w:val="7"/>
            <w:tcBorders>
              <w:top w:val="single" w:sz="8" w:space="0" w:color="000000"/>
            </w:tcBorders>
            <w:tcMar>
              <w:top w:w="0" w:type="dxa"/>
              <w:left w:w="20" w:type="dxa"/>
              <w:bottom w:w="0" w:type="dxa"/>
              <w:right w:w="20" w:type="dxa"/>
            </w:tcMar>
            <w:vAlign w:val="center"/>
            <w:hideMark/>
          </w:tcPr>
          <w:p w14:paraId="168EC47A" w14:textId="77777777" w:rsidR="00000000" w:rsidRDefault="00A173A8">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7E143E7B" w14:textId="77777777" w:rsidR="00000000" w:rsidRDefault="00A173A8">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69ADDD6E"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14C2C4" w14:textId="77777777" w:rsidR="00000000" w:rsidRDefault="00A173A8">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0D80B212" w14:textId="77777777" w:rsidR="00000000" w:rsidRDefault="00A173A8">
            <w:pPr>
              <w:spacing w:after="100"/>
              <w:rPr>
                <w:rFonts w:eastAsia="Times New Roman"/>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1D3C205A" w14:textId="77777777" w:rsidR="00000000" w:rsidRDefault="00A173A8">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June 30, 202</w:t>
            </w:r>
            <w:r>
              <w:rPr>
                <w:rFonts w:eastAsia="Times New Roman"/>
                <w:b/>
                <w:bCs/>
                <w:color w:val="000000"/>
                <w:sz w:val="12"/>
                <w:szCs w:val="12"/>
              </w:rPr>
              <w:t>2</w:t>
            </w:r>
            <w:r>
              <w:rPr>
                <w:rFonts w:eastAsia="Times New Roman"/>
                <w:b/>
                <w:bCs/>
                <w:color w:val="000000"/>
                <w:sz w:val="8"/>
                <w:szCs w:val="8"/>
              </w:rPr>
              <w:t>(1</w:t>
            </w:r>
            <w:r>
              <w:rPr>
                <w:rFonts w:eastAsia="Times New Roman"/>
                <w:b/>
                <w:bCs/>
                <w:color w:val="000000"/>
                <w:sz w:val="8"/>
                <w:szCs w:val="8"/>
              </w:rPr>
              <w:t>)</w:t>
            </w:r>
          </w:p>
          <w:p w14:paraId="26B1DEEF" w14:textId="77777777" w:rsidR="00000000" w:rsidRDefault="00A173A8">
            <w:pPr>
              <w:spacing w:after="100"/>
              <w:jc w:val="center"/>
              <w:rPr>
                <w:rFonts w:eastAsia="Times New Roman"/>
              </w:rPr>
            </w:pPr>
          </w:p>
        </w:tc>
      </w:tr>
      <w:tr w:rsidR="00000000" w14:paraId="3D720C78" w14:textId="77777777">
        <w:trPr>
          <w:gridAfter w:val="22"/>
          <w:divId w:val="816607921"/>
          <w:trHeight w:val="460"/>
        </w:trPr>
        <w:tc>
          <w:tcPr>
            <w:tcW w:w="0" w:type="auto"/>
            <w:gridSpan w:val="5"/>
            <w:tcBorders>
              <w:bottom w:val="single" w:sz="8" w:space="0" w:color="000000"/>
            </w:tcBorders>
            <w:tcMar>
              <w:top w:w="30" w:type="dxa"/>
              <w:left w:w="20" w:type="dxa"/>
              <w:bottom w:w="30" w:type="dxa"/>
              <w:right w:w="20" w:type="dxa"/>
            </w:tcMar>
            <w:vAlign w:val="bottom"/>
            <w:hideMark/>
          </w:tcPr>
          <w:p w14:paraId="0724F7E3" w14:textId="77777777" w:rsidR="00000000" w:rsidRDefault="00A173A8">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14:paraId="30466468" w14:textId="77777777" w:rsidR="00000000" w:rsidRDefault="00A173A8">
            <w:pPr>
              <w:spacing w:after="100"/>
              <w:rPr>
                <w:rFonts w:eastAsia="Times New Roman"/>
              </w:rPr>
            </w:pPr>
          </w:p>
        </w:tc>
        <w:tc>
          <w:tcPr>
            <w:tcW w:w="0" w:type="auto"/>
            <w:gridSpan w:val="7"/>
            <w:tcMar>
              <w:top w:w="30" w:type="dxa"/>
              <w:left w:w="20" w:type="dxa"/>
              <w:bottom w:w="30" w:type="dxa"/>
              <w:right w:w="20" w:type="dxa"/>
            </w:tcMar>
            <w:vAlign w:val="bottom"/>
            <w:hideMark/>
          </w:tcPr>
          <w:p w14:paraId="1786B251" w14:textId="77777777" w:rsidR="00000000" w:rsidRDefault="00A173A8">
            <w:pPr>
              <w:spacing w:after="100"/>
              <w:jc w:val="center"/>
              <w:rPr>
                <w:rFonts w:eastAsia="Times New Roman"/>
              </w:rPr>
            </w:pPr>
            <w:r>
              <w:rPr>
                <w:rFonts w:eastAsia="Times New Roman"/>
                <w:b/>
                <w:bCs/>
                <w:color w:val="000000"/>
                <w:sz w:val="12"/>
                <w:szCs w:val="12"/>
              </w:rPr>
              <w:t>Balance, April 1, 2022</w:t>
            </w:r>
          </w:p>
        </w:tc>
        <w:tc>
          <w:tcPr>
            <w:tcW w:w="0" w:type="auto"/>
            <w:gridSpan w:val="4"/>
            <w:tcMar>
              <w:top w:w="0" w:type="dxa"/>
              <w:left w:w="20" w:type="dxa"/>
              <w:bottom w:w="0" w:type="dxa"/>
              <w:right w:w="20" w:type="dxa"/>
            </w:tcMar>
            <w:vAlign w:val="center"/>
            <w:hideMark/>
          </w:tcPr>
          <w:p w14:paraId="25737A4F" w14:textId="77777777" w:rsidR="00000000" w:rsidRDefault="00A173A8">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5A27FAF8" w14:textId="77777777" w:rsidR="00000000" w:rsidRDefault="00A173A8">
            <w:pPr>
              <w:spacing w:after="100"/>
              <w:jc w:val="center"/>
              <w:rPr>
                <w:rFonts w:eastAsia="Times New Roman"/>
              </w:rPr>
            </w:pPr>
            <w:r>
              <w:rPr>
                <w:rFonts w:eastAsia="Times New Roman"/>
                <w:b/>
                <w:bCs/>
                <w:color w:val="000000"/>
                <w:sz w:val="12"/>
                <w:szCs w:val="12"/>
              </w:rPr>
              <w:t>Included</w:t>
            </w:r>
          </w:p>
          <w:p w14:paraId="4AD3E6DE" w14:textId="77777777" w:rsidR="00000000" w:rsidRDefault="00A173A8">
            <w:pPr>
              <w:spacing w:after="100"/>
              <w:jc w:val="center"/>
              <w:rPr>
                <w:rFonts w:eastAsia="Times New Roman"/>
              </w:rPr>
            </w:pPr>
            <w:r>
              <w:rPr>
                <w:rFonts w:eastAsia="Times New Roman"/>
                <w:b/>
                <w:bCs/>
                <w:color w:val="000000"/>
                <w:sz w:val="12"/>
                <w:szCs w:val="12"/>
              </w:rPr>
              <w:t>in Net</w:t>
            </w:r>
          </w:p>
          <w:p w14:paraId="3E4CA645" w14:textId="77777777" w:rsidR="00000000" w:rsidRDefault="00A173A8">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14:paraId="1D9373D2" w14:textId="77777777" w:rsidR="00000000" w:rsidRDefault="00A173A8">
            <w:pPr>
              <w:spacing w:after="100"/>
              <w:jc w:val="center"/>
              <w:rPr>
                <w:rFonts w:eastAsia="Times New Roman"/>
              </w:rPr>
            </w:pPr>
          </w:p>
        </w:tc>
        <w:tc>
          <w:tcPr>
            <w:tcW w:w="0" w:type="auto"/>
            <w:gridSpan w:val="7"/>
            <w:tcBorders>
              <w:top w:val="single" w:sz="8" w:space="0" w:color="000000"/>
            </w:tcBorders>
            <w:tcMar>
              <w:top w:w="30" w:type="dxa"/>
              <w:left w:w="20" w:type="dxa"/>
              <w:bottom w:w="30" w:type="dxa"/>
              <w:right w:w="20" w:type="dxa"/>
            </w:tcMar>
            <w:vAlign w:val="bottom"/>
            <w:hideMark/>
          </w:tcPr>
          <w:p w14:paraId="3CCEEF18" w14:textId="77777777" w:rsidR="00000000" w:rsidRDefault="00A173A8">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14:paraId="69B74136" w14:textId="77777777" w:rsidR="00000000" w:rsidRDefault="00A173A8">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364D981F" w14:textId="77777777" w:rsidR="00000000" w:rsidRDefault="00A173A8">
            <w:pPr>
              <w:spacing w:after="100"/>
              <w:jc w:val="center"/>
              <w:rPr>
                <w:rFonts w:eastAsia="Times New Roman"/>
              </w:rPr>
            </w:pPr>
            <w:r>
              <w:rPr>
                <w:rFonts w:eastAsia="Times New Roman"/>
                <w:b/>
                <w:bCs/>
                <w:color w:val="000000"/>
                <w:sz w:val="12"/>
                <w:szCs w:val="12"/>
              </w:rPr>
              <w:t>Purchases</w:t>
            </w:r>
          </w:p>
        </w:tc>
        <w:tc>
          <w:tcPr>
            <w:tcW w:w="0" w:type="auto"/>
            <w:gridSpan w:val="4"/>
            <w:tcMar>
              <w:top w:w="0" w:type="dxa"/>
              <w:left w:w="20" w:type="dxa"/>
              <w:bottom w:w="0" w:type="dxa"/>
              <w:right w:w="20" w:type="dxa"/>
            </w:tcMar>
            <w:vAlign w:val="center"/>
            <w:hideMark/>
          </w:tcPr>
          <w:p w14:paraId="59D1BF7E" w14:textId="77777777" w:rsidR="00000000" w:rsidRDefault="00A173A8">
            <w:pPr>
              <w:spacing w:after="100"/>
              <w:jc w:val="center"/>
              <w:rPr>
                <w:rFonts w:eastAsia="Times New Roman"/>
              </w:rPr>
            </w:pPr>
          </w:p>
        </w:tc>
        <w:tc>
          <w:tcPr>
            <w:tcW w:w="0" w:type="auto"/>
            <w:gridSpan w:val="5"/>
            <w:tcMar>
              <w:top w:w="30" w:type="dxa"/>
              <w:left w:w="20" w:type="dxa"/>
              <w:bottom w:w="30" w:type="dxa"/>
              <w:right w:w="20" w:type="dxa"/>
            </w:tcMar>
            <w:vAlign w:val="bottom"/>
            <w:hideMark/>
          </w:tcPr>
          <w:p w14:paraId="5EAC23A2" w14:textId="77777777" w:rsidR="00000000" w:rsidRDefault="00A173A8">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14:paraId="0CDFD60C" w14:textId="77777777" w:rsidR="00000000" w:rsidRDefault="00A173A8">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022335D2" w14:textId="77777777" w:rsidR="00000000" w:rsidRDefault="00A173A8">
            <w:pPr>
              <w:spacing w:after="100"/>
              <w:jc w:val="center"/>
              <w:rPr>
                <w:rFonts w:eastAsia="Times New Roman"/>
              </w:rPr>
            </w:pPr>
            <w:r>
              <w:rPr>
                <w:rFonts w:eastAsia="Times New Roman"/>
                <w:b/>
                <w:bCs/>
                <w:color w:val="000000"/>
                <w:sz w:val="12"/>
                <w:szCs w:val="12"/>
              </w:rPr>
              <w:t>Issuances</w:t>
            </w:r>
          </w:p>
        </w:tc>
        <w:tc>
          <w:tcPr>
            <w:tcW w:w="0" w:type="auto"/>
            <w:gridSpan w:val="4"/>
            <w:tcMar>
              <w:top w:w="0" w:type="dxa"/>
              <w:left w:w="20" w:type="dxa"/>
              <w:bottom w:w="0" w:type="dxa"/>
              <w:right w:w="20" w:type="dxa"/>
            </w:tcMar>
            <w:vAlign w:val="center"/>
            <w:hideMark/>
          </w:tcPr>
          <w:p w14:paraId="1BD47A41" w14:textId="77777777" w:rsidR="00000000" w:rsidRDefault="00A173A8">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4162D599" w14:textId="77777777" w:rsidR="00000000" w:rsidRDefault="00A173A8">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14:paraId="07A93217" w14:textId="77777777" w:rsidR="00000000" w:rsidRDefault="00A173A8">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00F3583A" w14:textId="77777777" w:rsidR="00000000" w:rsidRDefault="00A173A8">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4"/>
            <w:tcMar>
              <w:top w:w="0" w:type="dxa"/>
              <w:left w:w="20" w:type="dxa"/>
              <w:bottom w:w="0" w:type="dxa"/>
              <w:right w:w="20" w:type="dxa"/>
            </w:tcMar>
            <w:vAlign w:val="center"/>
            <w:hideMark/>
          </w:tcPr>
          <w:p w14:paraId="128C6192" w14:textId="77777777" w:rsidR="00000000" w:rsidRDefault="00A173A8">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2E87CFDE" w14:textId="77777777" w:rsidR="00000000" w:rsidRDefault="00A173A8">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2B3E54F9" w14:textId="77777777" w:rsidR="00000000" w:rsidRDefault="00A173A8">
            <w:pPr>
              <w:spacing w:after="100"/>
              <w:jc w:val="center"/>
              <w:rPr>
                <w:rFonts w:eastAsia="Times New Roman"/>
              </w:rPr>
            </w:pPr>
          </w:p>
        </w:tc>
        <w:tc>
          <w:tcPr>
            <w:tcW w:w="0" w:type="auto"/>
            <w:gridSpan w:val="5"/>
            <w:tcMar>
              <w:top w:w="30" w:type="dxa"/>
              <w:left w:w="20" w:type="dxa"/>
              <w:bottom w:w="30" w:type="dxa"/>
              <w:right w:w="20" w:type="dxa"/>
            </w:tcMar>
            <w:vAlign w:val="bottom"/>
            <w:hideMark/>
          </w:tcPr>
          <w:p w14:paraId="114EA412" w14:textId="77777777" w:rsidR="00000000" w:rsidRDefault="00A173A8">
            <w:pPr>
              <w:spacing w:after="100"/>
              <w:jc w:val="center"/>
              <w:rPr>
                <w:rFonts w:eastAsia="Times New Roman"/>
              </w:rPr>
            </w:pPr>
            <w:r>
              <w:rPr>
                <w:rFonts w:eastAsia="Times New Roman"/>
                <w:b/>
                <w:bCs/>
                <w:color w:val="000000"/>
                <w:sz w:val="12"/>
                <w:szCs w:val="12"/>
              </w:rPr>
              <w:t>Balance, June 30, 2022</w:t>
            </w:r>
          </w:p>
        </w:tc>
        <w:tc>
          <w:tcPr>
            <w:tcW w:w="0" w:type="auto"/>
            <w:gridSpan w:val="5"/>
            <w:tcMar>
              <w:top w:w="0" w:type="dxa"/>
              <w:left w:w="20" w:type="dxa"/>
              <w:bottom w:w="0" w:type="dxa"/>
              <w:right w:w="20" w:type="dxa"/>
            </w:tcMar>
            <w:vAlign w:val="center"/>
            <w:hideMark/>
          </w:tcPr>
          <w:p w14:paraId="10F90CF0" w14:textId="77777777" w:rsidR="00000000" w:rsidRDefault="00A173A8">
            <w:pPr>
              <w:spacing w:after="100"/>
              <w:jc w:val="center"/>
              <w:rPr>
                <w:rFonts w:eastAsia="Times New Roman"/>
              </w:rPr>
            </w:pPr>
          </w:p>
        </w:tc>
      </w:tr>
      <w:tr w:rsidR="00000000" w14:paraId="29E95032" w14:textId="77777777">
        <w:trPr>
          <w:gridAfter w:val="22"/>
          <w:divId w:val="816607921"/>
        </w:trPr>
        <w:tc>
          <w:tcPr>
            <w:tcW w:w="0" w:type="auto"/>
            <w:gridSpan w:val="5"/>
            <w:shd w:val="clear" w:color="auto" w:fill="CCEEFF"/>
            <w:tcMar>
              <w:top w:w="30" w:type="dxa"/>
              <w:left w:w="20" w:type="dxa"/>
              <w:bottom w:w="30" w:type="dxa"/>
              <w:right w:w="20" w:type="dxa"/>
            </w:tcMar>
            <w:vAlign w:val="center"/>
            <w:hideMark/>
          </w:tcPr>
          <w:p w14:paraId="5B553F68" w14:textId="77777777" w:rsidR="00000000" w:rsidRDefault="00A173A8">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706E58D6" w14:textId="77777777" w:rsidR="00000000" w:rsidRDefault="00A173A8">
            <w:pPr>
              <w:spacing w:after="100"/>
              <w:rPr>
                <w:rFonts w:eastAsia="Times New Roman"/>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545304B3"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FE823B8" w14:textId="77777777" w:rsidR="00000000" w:rsidRDefault="00A173A8">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57AEF16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6FF905" w14:textId="77777777" w:rsidR="00000000" w:rsidRDefault="00A173A8">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7BB137A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B06E1C" w14:textId="77777777" w:rsidR="00000000" w:rsidRDefault="00A173A8">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037D18CB"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712CD772" w14:textId="77777777" w:rsidR="00000000" w:rsidRDefault="00A173A8">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605216F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48DB60" w14:textId="77777777" w:rsidR="00000000" w:rsidRDefault="00A173A8">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2E14C832"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6E50E33A" w14:textId="77777777" w:rsidR="00000000" w:rsidRDefault="00A173A8">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302A29B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8E74CB" w14:textId="77777777" w:rsidR="00000000" w:rsidRDefault="00A173A8">
            <w:pPr>
              <w:spacing w:after="100"/>
              <w:rPr>
                <w:rFonts w:eastAsia="Times New Roman"/>
                <w:sz w:val="20"/>
                <w:szCs w:val="20"/>
              </w:rPr>
            </w:pPr>
          </w:p>
        </w:tc>
        <w:tc>
          <w:tcPr>
            <w:tcW w:w="0" w:type="auto"/>
            <w:gridSpan w:val="7"/>
            <w:tcBorders>
              <w:top w:val="double" w:sz="6" w:space="0" w:color="000000"/>
            </w:tcBorders>
            <w:shd w:val="clear" w:color="auto" w:fill="CCEEFF"/>
            <w:tcMar>
              <w:top w:w="0" w:type="dxa"/>
              <w:left w:w="20" w:type="dxa"/>
              <w:bottom w:w="0" w:type="dxa"/>
              <w:right w:w="20" w:type="dxa"/>
            </w:tcMar>
            <w:vAlign w:val="center"/>
            <w:hideMark/>
          </w:tcPr>
          <w:p w14:paraId="6023757F"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B5F7C9A" w14:textId="77777777" w:rsidR="00000000" w:rsidRDefault="00A173A8">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293BF64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634BC4" w14:textId="77777777" w:rsidR="00000000" w:rsidRDefault="00A173A8">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085E9FD5" w14:textId="77777777" w:rsidR="00000000" w:rsidRDefault="00A173A8">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14:paraId="31266B26" w14:textId="77777777" w:rsidR="00000000" w:rsidRDefault="00A173A8">
            <w:pPr>
              <w:spacing w:after="100"/>
              <w:rPr>
                <w:rFonts w:eastAsia="Times New Roman"/>
                <w:sz w:val="20"/>
                <w:szCs w:val="20"/>
              </w:rPr>
            </w:pPr>
          </w:p>
        </w:tc>
      </w:tr>
      <w:tr w:rsidR="00000000" w14:paraId="34FD437D" w14:textId="77777777">
        <w:trPr>
          <w:gridAfter w:val="22"/>
          <w:divId w:val="816607921"/>
        </w:trPr>
        <w:tc>
          <w:tcPr>
            <w:tcW w:w="0" w:type="auto"/>
            <w:gridSpan w:val="5"/>
            <w:vAlign w:val="center"/>
            <w:hideMark/>
          </w:tcPr>
          <w:p w14:paraId="76B65B43" w14:textId="77777777" w:rsidR="00000000" w:rsidRDefault="00A173A8">
            <w:pPr>
              <w:spacing w:after="100"/>
              <w:rPr>
                <w:rFonts w:eastAsia="Times New Roman"/>
                <w:sz w:val="20"/>
                <w:szCs w:val="20"/>
              </w:rPr>
            </w:pPr>
          </w:p>
        </w:tc>
        <w:tc>
          <w:tcPr>
            <w:tcW w:w="0" w:type="auto"/>
            <w:gridSpan w:val="3"/>
            <w:vAlign w:val="center"/>
            <w:hideMark/>
          </w:tcPr>
          <w:p w14:paraId="4CD81605" w14:textId="77777777" w:rsidR="00000000" w:rsidRDefault="00A173A8">
            <w:pPr>
              <w:spacing w:after="100"/>
              <w:rPr>
                <w:rFonts w:eastAsia="Times New Roman"/>
                <w:sz w:val="20"/>
                <w:szCs w:val="20"/>
              </w:rPr>
            </w:pPr>
          </w:p>
        </w:tc>
        <w:tc>
          <w:tcPr>
            <w:tcW w:w="0" w:type="auto"/>
            <w:gridSpan w:val="7"/>
            <w:vAlign w:val="center"/>
            <w:hideMark/>
          </w:tcPr>
          <w:p w14:paraId="18D1A140" w14:textId="77777777" w:rsidR="00000000" w:rsidRDefault="00A173A8">
            <w:pPr>
              <w:spacing w:after="100"/>
              <w:rPr>
                <w:rFonts w:eastAsia="Times New Roman"/>
                <w:sz w:val="20"/>
                <w:szCs w:val="20"/>
              </w:rPr>
            </w:pPr>
          </w:p>
        </w:tc>
        <w:tc>
          <w:tcPr>
            <w:tcW w:w="0" w:type="auto"/>
            <w:gridSpan w:val="4"/>
            <w:vAlign w:val="center"/>
            <w:hideMark/>
          </w:tcPr>
          <w:p w14:paraId="3D23C926" w14:textId="77777777" w:rsidR="00000000" w:rsidRDefault="00A173A8">
            <w:pPr>
              <w:spacing w:after="100"/>
              <w:rPr>
                <w:rFonts w:eastAsia="Times New Roman"/>
                <w:sz w:val="20"/>
                <w:szCs w:val="20"/>
              </w:rPr>
            </w:pPr>
          </w:p>
        </w:tc>
        <w:tc>
          <w:tcPr>
            <w:tcW w:w="0" w:type="auto"/>
            <w:gridSpan w:val="5"/>
            <w:vAlign w:val="center"/>
            <w:hideMark/>
          </w:tcPr>
          <w:p w14:paraId="20E899CA" w14:textId="77777777" w:rsidR="00000000" w:rsidRDefault="00A173A8">
            <w:pPr>
              <w:spacing w:after="100"/>
              <w:rPr>
                <w:rFonts w:eastAsia="Times New Roman"/>
                <w:sz w:val="20"/>
                <w:szCs w:val="20"/>
              </w:rPr>
            </w:pPr>
          </w:p>
        </w:tc>
        <w:tc>
          <w:tcPr>
            <w:tcW w:w="0" w:type="auto"/>
            <w:gridSpan w:val="3"/>
            <w:vAlign w:val="center"/>
            <w:hideMark/>
          </w:tcPr>
          <w:p w14:paraId="16608BD7" w14:textId="77777777" w:rsidR="00000000" w:rsidRDefault="00A173A8">
            <w:pPr>
              <w:spacing w:after="100"/>
              <w:rPr>
                <w:rFonts w:eastAsia="Times New Roman"/>
                <w:sz w:val="20"/>
                <w:szCs w:val="20"/>
              </w:rPr>
            </w:pPr>
          </w:p>
        </w:tc>
        <w:tc>
          <w:tcPr>
            <w:tcW w:w="0" w:type="auto"/>
            <w:gridSpan w:val="7"/>
            <w:vAlign w:val="center"/>
            <w:hideMark/>
          </w:tcPr>
          <w:p w14:paraId="10E16617" w14:textId="77777777" w:rsidR="00000000" w:rsidRDefault="00A173A8">
            <w:pPr>
              <w:spacing w:after="100"/>
              <w:rPr>
                <w:rFonts w:eastAsia="Times New Roman"/>
                <w:sz w:val="20"/>
                <w:szCs w:val="20"/>
              </w:rPr>
            </w:pPr>
          </w:p>
        </w:tc>
        <w:tc>
          <w:tcPr>
            <w:tcW w:w="0" w:type="auto"/>
            <w:gridSpan w:val="3"/>
            <w:vAlign w:val="center"/>
            <w:hideMark/>
          </w:tcPr>
          <w:p w14:paraId="32162F90" w14:textId="77777777" w:rsidR="00000000" w:rsidRDefault="00A173A8">
            <w:pPr>
              <w:spacing w:after="100"/>
              <w:rPr>
                <w:rFonts w:eastAsia="Times New Roman"/>
                <w:sz w:val="20"/>
                <w:szCs w:val="20"/>
              </w:rPr>
            </w:pPr>
          </w:p>
        </w:tc>
        <w:tc>
          <w:tcPr>
            <w:tcW w:w="0" w:type="auto"/>
            <w:gridSpan w:val="6"/>
            <w:vAlign w:val="center"/>
            <w:hideMark/>
          </w:tcPr>
          <w:p w14:paraId="182B6B6D" w14:textId="77777777" w:rsidR="00000000" w:rsidRDefault="00A173A8">
            <w:pPr>
              <w:spacing w:after="100"/>
              <w:rPr>
                <w:rFonts w:eastAsia="Times New Roman"/>
                <w:sz w:val="20"/>
                <w:szCs w:val="20"/>
              </w:rPr>
            </w:pPr>
          </w:p>
        </w:tc>
        <w:tc>
          <w:tcPr>
            <w:tcW w:w="0" w:type="auto"/>
            <w:gridSpan w:val="4"/>
            <w:vAlign w:val="center"/>
            <w:hideMark/>
          </w:tcPr>
          <w:p w14:paraId="54C4EC58" w14:textId="77777777" w:rsidR="00000000" w:rsidRDefault="00A173A8">
            <w:pPr>
              <w:spacing w:after="100"/>
              <w:rPr>
                <w:rFonts w:eastAsia="Times New Roman"/>
                <w:sz w:val="20"/>
                <w:szCs w:val="20"/>
              </w:rPr>
            </w:pPr>
          </w:p>
        </w:tc>
        <w:tc>
          <w:tcPr>
            <w:tcW w:w="0" w:type="auto"/>
            <w:gridSpan w:val="5"/>
            <w:vAlign w:val="center"/>
            <w:hideMark/>
          </w:tcPr>
          <w:p w14:paraId="21ABCB34" w14:textId="77777777" w:rsidR="00000000" w:rsidRDefault="00A173A8">
            <w:pPr>
              <w:spacing w:after="100"/>
              <w:rPr>
                <w:rFonts w:eastAsia="Times New Roman"/>
                <w:sz w:val="20"/>
                <w:szCs w:val="20"/>
              </w:rPr>
            </w:pPr>
          </w:p>
        </w:tc>
        <w:tc>
          <w:tcPr>
            <w:tcW w:w="0" w:type="auto"/>
            <w:gridSpan w:val="3"/>
            <w:vAlign w:val="center"/>
            <w:hideMark/>
          </w:tcPr>
          <w:p w14:paraId="569F5E8F" w14:textId="77777777" w:rsidR="00000000" w:rsidRDefault="00A173A8">
            <w:pPr>
              <w:spacing w:after="100"/>
              <w:rPr>
                <w:rFonts w:eastAsia="Times New Roman"/>
                <w:sz w:val="20"/>
                <w:szCs w:val="20"/>
              </w:rPr>
            </w:pPr>
          </w:p>
        </w:tc>
        <w:tc>
          <w:tcPr>
            <w:tcW w:w="0" w:type="auto"/>
            <w:gridSpan w:val="6"/>
            <w:vAlign w:val="center"/>
            <w:hideMark/>
          </w:tcPr>
          <w:p w14:paraId="3AFB7788" w14:textId="77777777" w:rsidR="00000000" w:rsidRDefault="00A173A8">
            <w:pPr>
              <w:spacing w:after="100"/>
              <w:rPr>
                <w:rFonts w:eastAsia="Times New Roman"/>
                <w:sz w:val="20"/>
                <w:szCs w:val="20"/>
              </w:rPr>
            </w:pPr>
          </w:p>
        </w:tc>
        <w:tc>
          <w:tcPr>
            <w:tcW w:w="0" w:type="auto"/>
            <w:gridSpan w:val="4"/>
            <w:vAlign w:val="center"/>
            <w:hideMark/>
          </w:tcPr>
          <w:p w14:paraId="5C255F3E" w14:textId="77777777" w:rsidR="00000000" w:rsidRDefault="00A173A8">
            <w:pPr>
              <w:spacing w:after="100"/>
              <w:rPr>
                <w:rFonts w:eastAsia="Times New Roman"/>
                <w:sz w:val="20"/>
                <w:szCs w:val="20"/>
              </w:rPr>
            </w:pPr>
          </w:p>
        </w:tc>
        <w:tc>
          <w:tcPr>
            <w:tcW w:w="0" w:type="auto"/>
            <w:gridSpan w:val="6"/>
            <w:vAlign w:val="center"/>
            <w:hideMark/>
          </w:tcPr>
          <w:p w14:paraId="20C3A844" w14:textId="77777777" w:rsidR="00000000" w:rsidRDefault="00A173A8">
            <w:pPr>
              <w:spacing w:after="100"/>
              <w:rPr>
                <w:rFonts w:eastAsia="Times New Roman"/>
                <w:sz w:val="20"/>
                <w:szCs w:val="20"/>
              </w:rPr>
            </w:pPr>
          </w:p>
        </w:tc>
        <w:tc>
          <w:tcPr>
            <w:tcW w:w="0" w:type="auto"/>
            <w:gridSpan w:val="3"/>
            <w:vAlign w:val="center"/>
            <w:hideMark/>
          </w:tcPr>
          <w:p w14:paraId="0D1AEAE9" w14:textId="77777777" w:rsidR="00000000" w:rsidRDefault="00A173A8">
            <w:pPr>
              <w:spacing w:after="100"/>
              <w:rPr>
                <w:rFonts w:eastAsia="Times New Roman"/>
                <w:sz w:val="20"/>
                <w:szCs w:val="20"/>
              </w:rPr>
            </w:pPr>
          </w:p>
        </w:tc>
        <w:tc>
          <w:tcPr>
            <w:tcW w:w="0" w:type="auto"/>
            <w:gridSpan w:val="7"/>
            <w:vAlign w:val="center"/>
            <w:hideMark/>
          </w:tcPr>
          <w:p w14:paraId="5CB29494" w14:textId="77777777" w:rsidR="00000000" w:rsidRDefault="00A173A8">
            <w:pPr>
              <w:spacing w:after="100"/>
              <w:rPr>
                <w:rFonts w:eastAsia="Times New Roman"/>
                <w:sz w:val="20"/>
                <w:szCs w:val="20"/>
              </w:rPr>
            </w:pPr>
          </w:p>
        </w:tc>
        <w:tc>
          <w:tcPr>
            <w:tcW w:w="0" w:type="auto"/>
            <w:gridSpan w:val="4"/>
            <w:vAlign w:val="center"/>
            <w:hideMark/>
          </w:tcPr>
          <w:p w14:paraId="49FAEAD9" w14:textId="77777777" w:rsidR="00000000" w:rsidRDefault="00A173A8">
            <w:pPr>
              <w:spacing w:after="100"/>
              <w:rPr>
                <w:rFonts w:eastAsia="Times New Roman"/>
                <w:sz w:val="20"/>
                <w:szCs w:val="20"/>
              </w:rPr>
            </w:pPr>
          </w:p>
        </w:tc>
        <w:tc>
          <w:tcPr>
            <w:tcW w:w="0" w:type="auto"/>
            <w:gridSpan w:val="6"/>
            <w:vAlign w:val="center"/>
            <w:hideMark/>
          </w:tcPr>
          <w:p w14:paraId="3A10750D" w14:textId="77777777" w:rsidR="00000000" w:rsidRDefault="00A173A8">
            <w:pPr>
              <w:spacing w:after="100"/>
              <w:rPr>
                <w:rFonts w:eastAsia="Times New Roman"/>
                <w:sz w:val="20"/>
                <w:szCs w:val="20"/>
              </w:rPr>
            </w:pPr>
          </w:p>
        </w:tc>
        <w:tc>
          <w:tcPr>
            <w:tcW w:w="0" w:type="auto"/>
            <w:gridSpan w:val="3"/>
            <w:vAlign w:val="center"/>
            <w:hideMark/>
          </w:tcPr>
          <w:p w14:paraId="246754FB" w14:textId="77777777" w:rsidR="00000000" w:rsidRDefault="00A173A8">
            <w:pPr>
              <w:spacing w:after="100"/>
              <w:rPr>
                <w:rFonts w:eastAsia="Times New Roman"/>
                <w:sz w:val="20"/>
                <w:szCs w:val="20"/>
              </w:rPr>
            </w:pPr>
          </w:p>
        </w:tc>
        <w:tc>
          <w:tcPr>
            <w:tcW w:w="0" w:type="auto"/>
            <w:gridSpan w:val="5"/>
            <w:vAlign w:val="center"/>
            <w:hideMark/>
          </w:tcPr>
          <w:p w14:paraId="2B33F22F" w14:textId="77777777" w:rsidR="00000000" w:rsidRDefault="00A173A8">
            <w:pPr>
              <w:spacing w:after="100"/>
              <w:rPr>
                <w:rFonts w:eastAsia="Times New Roman"/>
                <w:sz w:val="20"/>
                <w:szCs w:val="20"/>
              </w:rPr>
            </w:pPr>
          </w:p>
        </w:tc>
        <w:tc>
          <w:tcPr>
            <w:tcW w:w="0" w:type="auto"/>
            <w:gridSpan w:val="5"/>
            <w:vAlign w:val="center"/>
            <w:hideMark/>
          </w:tcPr>
          <w:p w14:paraId="02DEB61E" w14:textId="77777777" w:rsidR="00000000" w:rsidRDefault="00A173A8">
            <w:pPr>
              <w:spacing w:after="100"/>
              <w:rPr>
                <w:rFonts w:eastAsia="Times New Roman"/>
                <w:sz w:val="20"/>
                <w:szCs w:val="20"/>
              </w:rPr>
            </w:pPr>
          </w:p>
        </w:tc>
      </w:tr>
      <w:tr w:rsidR="00A173A8" w14:paraId="4A2BAA9D" w14:textId="77777777">
        <w:trPr>
          <w:gridAfter w:val="22"/>
          <w:divId w:val="816607921"/>
        </w:trPr>
        <w:tc>
          <w:tcPr>
            <w:tcW w:w="0" w:type="auto"/>
            <w:gridSpan w:val="5"/>
            <w:shd w:val="clear" w:color="auto" w:fill="FFFFFF"/>
            <w:tcMar>
              <w:top w:w="30" w:type="dxa"/>
              <w:left w:w="245" w:type="dxa"/>
              <w:bottom w:w="30" w:type="dxa"/>
              <w:right w:w="20" w:type="dxa"/>
            </w:tcMar>
            <w:vAlign w:val="center"/>
            <w:hideMark/>
          </w:tcPr>
          <w:p w14:paraId="7312DACA" w14:textId="77777777" w:rsidR="00000000" w:rsidRDefault="00A173A8">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14:paraId="35607A0F" w14:textId="77777777" w:rsidR="00000000" w:rsidRDefault="00A173A8">
            <w:pPr>
              <w:spacing w:after="100"/>
              <w:rPr>
                <w:rFonts w:eastAsia="Times New Roman"/>
              </w:rPr>
            </w:pPr>
          </w:p>
        </w:tc>
        <w:tc>
          <w:tcPr>
            <w:tcW w:w="0" w:type="auto"/>
            <w:gridSpan w:val="6"/>
            <w:shd w:val="clear" w:color="auto" w:fill="FFFFFF"/>
            <w:tcMar>
              <w:top w:w="30" w:type="dxa"/>
              <w:left w:w="20" w:type="dxa"/>
              <w:bottom w:w="30" w:type="dxa"/>
              <w:right w:w="0" w:type="dxa"/>
            </w:tcMar>
            <w:vAlign w:val="bottom"/>
            <w:hideMark/>
          </w:tcPr>
          <w:p w14:paraId="513762E5" w14:textId="77777777" w:rsidR="00000000" w:rsidRDefault="00A173A8">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14:paraId="54D9D60A"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43F51839"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2CAF0D56" w14:textId="77777777" w:rsidR="00000000" w:rsidRDefault="00A173A8">
            <w:pPr>
              <w:spacing w:after="100"/>
              <w:jc w:val="right"/>
              <w:rPr>
                <w:rFonts w:eastAsia="Times New Roman"/>
              </w:rPr>
            </w:pPr>
            <w:r>
              <w:rPr>
                <w:rFonts w:eastAsia="Times New Roman"/>
                <w:b/>
                <w:bCs/>
                <w:color w:val="000000"/>
                <w:sz w:val="18"/>
                <w:szCs w:val="18"/>
              </w:rPr>
              <w:t>(2)</w:t>
            </w:r>
          </w:p>
        </w:tc>
        <w:tc>
          <w:tcPr>
            <w:tcW w:w="0" w:type="auto"/>
            <w:gridSpan w:val="2"/>
            <w:shd w:val="clear" w:color="auto" w:fill="FFFFFF"/>
            <w:tcMar>
              <w:top w:w="30" w:type="dxa"/>
              <w:left w:w="0" w:type="dxa"/>
              <w:bottom w:w="30" w:type="dxa"/>
              <w:right w:w="20" w:type="dxa"/>
            </w:tcMar>
            <w:vAlign w:val="bottom"/>
            <w:hideMark/>
          </w:tcPr>
          <w:p w14:paraId="529F72C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035AFE"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7DC6912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5BC291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1249B"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1B66329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AAE9980"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7439F83"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584B408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9F7500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55C2D"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516E296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A3816D7"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24D0DA39"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7B50854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5B17284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70F9F2" w14:textId="77777777" w:rsidR="00000000" w:rsidRDefault="00A173A8">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14:paraId="63317DB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CB00C1F"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8CE0823"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631AD86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FFFFFF"/>
            <w:tcMar>
              <w:top w:w="30" w:type="dxa"/>
              <w:left w:w="0" w:type="dxa"/>
              <w:bottom w:w="30" w:type="dxa"/>
              <w:right w:w="20" w:type="dxa"/>
            </w:tcMar>
            <w:vAlign w:val="bottom"/>
            <w:hideMark/>
          </w:tcPr>
          <w:p w14:paraId="17EC5E9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F51CF8" w14:textId="77777777" w:rsidR="00000000" w:rsidRDefault="00A173A8">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14:paraId="136541B2" w14:textId="77777777" w:rsidR="00000000" w:rsidRDefault="00A173A8">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gridSpan w:val="5"/>
            <w:shd w:val="clear" w:color="auto" w:fill="FFFFFF"/>
            <w:tcMar>
              <w:top w:w="30" w:type="dxa"/>
              <w:left w:w="0" w:type="dxa"/>
              <w:bottom w:w="30" w:type="dxa"/>
              <w:right w:w="20" w:type="dxa"/>
            </w:tcMar>
            <w:vAlign w:val="bottom"/>
            <w:hideMark/>
          </w:tcPr>
          <w:p w14:paraId="2E95F6D9" w14:textId="77777777" w:rsidR="00000000" w:rsidRDefault="00A173A8">
            <w:pPr>
              <w:spacing w:after="100"/>
              <w:jc w:val="right"/>
              <w:rPr>
                <w:rFonts w:eastAsia="Times New Roman"/>
              </w:rPr>
            </w:pPr>
            <w:r>
              <w:rPr>
                <w:rFonts w:eastAsia="Times New Roman"/>
                <w:b/>
                <w:bCs/>
                <w:color w:val="000000"/>
                <w:sz w:val="18"/>
                <w:szCs w:val="18"/>
              </w:rPr>
              <w:t>(2)</w:t>
            </w:r>
          </w:p>
        </w:tc>
      </w:tr>
      <w:tr w:rsidR="00A173A8" w14:paraId="568DD52E" w14:textId="77777777">
        <w:trPr>
          <w:gridAfter w:val="22"/>
          <w:divId w:val="816607921"/>
        </w:trPr>
        <w:tc>
          <w:tcPr>
            <w:tcW w:w="0" w:type="auto"/>
            <w:gridSpan w:val="5"/>
            <w:shd w:val="clear" w:color="auto" w:fill="CCEEFF"/>
            <w:tcMar>
              <w:top w:w="30" w:type="dxa"/>
              <w:left w:w="20" w:type="dxa"/>
              <w:bottom w:w="30" w:type="dxa"/>
              <w:right w:w="20" w:type="dxa"/>
            </w:tcMar>
            <w:vAlign w:val="center"/>
            <w:hideMark/>
          </w:tcPr>
          <w:p w14:paraId="083D2354" w14:textId="77777777" w:rsidR="00000000" w:rsidRDefault="00A173A8">
            <w:pPr>
              <w:spacing w:after="100"/>
              <w:divId w:val="1051149987"/>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C80FC46" w14:textId="77777777" w:rsidR="00000000" w:rsidRDefault="00A173A8">
            <w:pPr>
              <w:spacing w:after="100"/>
              <w:rPr>
                <w:rFonts w:eastAsia="Times New Roman"/>
              </w:rPr>
            </w:pPr>
          </w:p>
        </w:tc>
        <w:tc>
          <w:tcPr>
            <w:tcW w:w="0" w:type="auto"/>
            <w:gridSpan w:val="6"/>
            <w:shd w:val="clear" w:color="auto" w:fill="CCEEFF"/>
            <w:tcMar>
              <w:top w:w="30" w:type="dxa"/>
              <w:left w:w="20" w:type="dxa"/>
              <w:bottom w:w="30" w:type="dxa"/>
              <w:right w:w="0" w:type="dxa"/>
            </w:tcMar>
            <w:vAlign w:val="bottom"/>
            <w:hideMark/>
          </w:tcPr>
          <w:p w14:paraId="6B5ACA17" w14:textId="77777777" w:rsidR="00000000" w:rsidRDefault="00A173A8">
            <w:pPr>
              <w:spacing w:after="100"/>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bottom"/>
            <w:hideMark/>
          </w:tcPr>
          <w:p w14:paraId="1507CB32"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70AF3EF"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2A3D0F90" w14:textId="77777777" w:rsidR="00000000" w:rsidRDefault="00A173A8">
            <w:pPr>
              <w:spacing w:after="100"/>
              <w:jc w:val="right"/>
              <w:rPr>
                <w:rFonts w:eastAsia="Times New Roman"/>
              </w:rPr>
            </w:pPr>
            <w:r>
              <w:rPr>
                <w:rFonts w:eastAsia="Times New Roman"/>
                <w:b/>
                <w:bCs/>
                <w:color w:val="000000"/>
                <w:sz w:val="18"/>
                <w:szCs w:val="18"/>
              </w:rPr>
              <w:t>(46)</w:t>
            </w:r>
          </w:p>
        </w:tc>
        <w:tc>
          <w:tcPr>
            <w:tcW w:w="0" w:type="auto"/>
            <w:gridSpan w:val="2"/>
            <w:shd w:val="clear" w:color="auto" w:fill="CCEEFF"/>
            <w:tcMar>
              <w:top w:w="30" w:type="dxa"/>
              <w:left w:w="0" w:type="dxa"/>
              <w:bottom w:w="30" w:type="dxa"/>
              <w:right w:w="20" w:type="dxa"/>
            </w:tcMar>
            <w:vAlign w:val="bottom"/>
            <w:hideMark/>
          </w:tcPr>
          <w:p w14:paraId="038AC4D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DD7B9"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139C4D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040ACC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1AEED"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1910A98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440AB1"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05AE4B1"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1A04439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A1401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5469E"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7212EA12" w14:textId="77777777" w:rsidR="00000000" w:rsidRDefault="00A173A8">
            <w:pPr>
              <w:spacing w:after="100"/>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AAAAA1A"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604C8122"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7202DF73"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734320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F29B1" w14:textId="77777777" w:rsidR="00000000" w:rsidRDefault="00A173A8">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14:paraId="1F2F6B8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3C059B"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EB01208"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13B0872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2"/>
            <w:shd w:val="clear" w:color="auto" w:fill="CCEEFF"/>
            <w:tcMar>
              <w:top w:w="30" w:type="dxa"/>
              <w:left w:w="0" w:type="dxa"/>
              <w:bottom w:w="30" w:type="dxa"/>
              <w:right w:w="20" w:type="dxa"/>
            </w:tcMar>
            <w:vAlign w:val="bottom"/>
            <w:hideMark/>
          </w:tcPr>
          <w:p w14:paraId="763E09F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10E295" w14:textId="77777777" w:rsidR="00000000" w:rsidRDefault="00A173A8">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14:paraId="33D13B3B" w14:textId="77777777" w:rsidR="00000000" w:rsidRDefault="00A173A8">
            <w:pPr>
              <w:spacing w:after="100"/>
              <w:jc w:val="right"/>
              <w:rPr>
                <w:rFonts w:eastAsia="Times New Roman"/>
              </w:rPr>
            </w:pPr>
            <w:r>
              <w:rPr>
                <w:rFonts w:eastAsia="Times New Roman"/>
                <w:b/>
                <w:bCs/>
                <w:color w:val="000000"/>
                <w:sz w:val="18"/>
                <w:szCs w:val="18"/>
              </w:rPr>
              <w:t>(12)</w:t>
            </w:r>
          </w:p>
        </w:tc>
        <w:tc>
          <w:tcPr>
            <w:tcW w:w="0" w:type="auto"/>
            <w:gridSpan w:val="5"/>
            <w:shd w:val="clear" w:color="auto" w:fill="CCEEFF"/>
            <w:tcMar>
              <w:top w:w="30" w:type="dxa"/>
              <w:left w:w="0" w:type="dxa"/>
              <w:bottom w:w="30" w:type="dxa"/>
              <w:right w:w="20" w:type="dxa"/>
            </w:tcMar>
            <w:vAlign w:val="bottom"/>
            <w:hideMark/>
          </w:tcPr>
          <w:p w14:paraId="7CDA1CBF" w14:textId="77777777" w:rsidR="00000000" w:rsidRDefault="00A173A8">
            <w:pPr>
              <w:spacing w:after="100"/>
              <w:jc w:val="right"/>
              <w:rPr>
                <w:rFonts w:eastAsia="Times New Roman"/>
              </w:rPr>
            </w:pPr>
            <w:r>
              <w:rPr>
                <w:rFonts w:eastAsia="Times New Roman"/>
                <w:b/>
                <w:bCs/>
                <w:color w:val="000000"/>
                <w:sz w:val="18"/>
                <w:szCs w:val="18"/>
              </w:rPr>
              <w:t>(18)</w:t>
            </w:r>
          </w:p>
        </w:tc>
      </w:tr>
      <w:tr w:rsidR="00000000" w14:paraId="13B2CD37" w14:textId="77777777">
        <w:tc>
          <w:tcPr>
            <w:tcW w:w="50" w:type="pct"/>
            <w:gridSpan w:val="2"/>
            <w:vAlign w:val="center"/>
            <w:hideMark/>
          </w:tcPr>
          <w:p w14:paraId="1A38210D" w14:textId="77777777" w:rsidR="00000000" w:rsidRDefault="00A173A8">
            <w:pPr>
              <w:jc w:val="both"/>
              <w:rPr>
                <w:rFonts w:eastAsia="Times New Roman"/>
              </w:rPr>
            </w:pPr>
          </w:p>
        </w:tc>
        <w:tc>
          <w:tcPr>
            <w:tcW w:w="697" w:type="pct"/>
            <w:gridSpan w:val="2"/>
            <w:vAlign w:val="center"/>
            <w:hideMark/>
          </w:tcPr>
          <w:p w14:paraId="7658B34E" w14:textId="77777777" w:rsidR="00000000" w:rsidRDefault="00A173A8">
            <w:pPr>
              <w:spacing w:after="100"/>
              <w:rPr>
                <w:rFonts w:eastAsia="Times New Roman"/>
                <w:sz w:val="20"/>
                <w:szCs w:val="20"/>
              </w:rPr>
            </w:pPr>
          </w:p>
        </w:tc>
        <w:tc>
          <w:tcPr>
            <w:tcW w:w="5" w:type="pct"/>
            <w:gridSpan w:val="5"/>
            <w:vAlign w:val="center"/>
            <w:hideMark/>
          </w:tcPr>
          <w:p w14:paraId="43E3B165" w14:textId="77777777" w:rsidR="00000000" w:rsidRDefault="00A173A8">
            <w:pPr>
              <w:spacing w:after="100"/>
              <w:rPr>
                <w:rFonts w:eastAsia="Times New Roman"/>
                <w:sz w:val="20"/>
                <w:szCs w:val="20"/>
              </w:rPr>
            </w:pPr>
          </w:p>
        </w:tc>
        <w:tc>
          <w:tcPr>
            <w:tcW w:w="5" w:type="pct"/>
            <w:gridSpan w:val="2"/>
            <w:vAlign w:val="center"/>
            <w:hideMark/>
          </w:tcPr>
          <w:p w14:paraId="1119457D" w14:textId="77777777" w:rsidR="00000000" w:rsidRDefault="00A173A8">
            <w:pPr>
              <w:spacing w:after="100"/>
              <w:rPr>
                <w:rFonts w:eastAsia="Times New Roman"/>
                <w:sz w:val="20"/>
                <w:szCs w:val="20"/>
              </w:rPr>
            </w:pPr>
          </w:p>
        </w:tc>
        <w:tc>
          <w:tcPr>
            <w:tcW w:w="26" w:type="pct"/>
            <w:vAlign w:val="center"/>
            <w:hideMark/>
          </w:tcPr>
          <w:p w14:paraId="118B7F11" w14:textId="77777777" w:rsidR="00000000" w:rsidRDefault="00A173A8">
            <w:pPr>
              <w:spacing w:after="100"/>
              <w:rPr>
                <w:rFonts w:eastAsia="Times New Roman"/>
                <w:sz w:val="20"/>
                <w:szCs w:val="20"/>
              </w:rPr>
            </w:pPr>
          </w:p>
        </w:tc>
        <w:tc>
          <w:tcPr>
            <w:tcW w:w="5" w:type="pct"/>
            <w:vAlign w:val="center"/>
            <w:hideMark/>
          </w:tcPr>
          <w:p w14:paraId="2F965A90" w14:textId="77777777" w:rsidR="00000000" w:rsidRDefault="00A173A8">
            <w:pPr>
              <w:spacing w:after="100"/>
              <w:rPr>
                <w:rFonts w:eastAsia="Times New Roman"/>
                <w:sz w:val="20"/>
                <w:szCs w:val="20"/>
              </w:rPr>
            </w:pPr>
          </w:p>
        </w:tc>
        <w:tc>
          <w:tcPr>
            <w:tcW w:w="50" w:type="pct"/>
            <w:gridSpan w:val="5"/>
            <w:vAlign w:val="center"/>
            <w:hideMark/>
          </w:tcPr>
          <w:p w14:paraId="361D004F" w14:textId="77777777" w:rsidR="00000000" w:rsidRDefault="00A173A8">
            <w:pPr>
              <w:spacing w:after="100"/>
              <w:rPr>
                <w:rFonts w:eastAsia="Times New Roman"/>
                <w:sz w:val="20"/>
                <w:szCs w:val="20"/>
              </w:rPr>
            </w:pPr>
          </w:p>
        </w:tc>
        <w:tc>
          <w:tcPr>
            <w:tcW w:w="273" w:type="pct"/>
            <w:gridSpan w:val="3"/>
            <w:vAlign w:val="center"/>
            <w:hideMark/>
          </w:tcPr>
          <w:p w14:paraId="11A1A0CE" w14:textId="77777777" w:rsidR="00000000" w:rsidRDefault="00A173A8">
            <w:pPr>
              <w:spacing w:after="100"/>
              <w:rPr>
                <w:rFonts w:eastAsia="Times New Roman"/>
                <w:sz w:val="20"/>
                <w:szCs w:val="20"/>
              </w:rPr>
            </w:pPr>
          </w:p>
        </w:tc>
        <w:tc>
          <w:tcPr>
            <w:tcW w:w="5" w:type="pct"/>
            <w:gridSpan w:val="2"/>
            <w:vAlign w:val="center"/>
            <w:hideMark/>
          </w:tcPr>
          <w:p w14:paraId="00A2CAF8" w14:textId="77777777" w:rsidR="00000000" w:rsidRDefault="00A173A8">
            <w:pPr>
              <w:spacing w:after="100"/>
              <w:rPr>
                <w:rFonts w:eastAsia="Times New Roman"/>
                <w:sz w:val="20"/>
                <w:szCs w:val="20"/>
              </w:rPr>
            </w:pPr>
          </w:p>
        </w:tc>
        <w:tc>
          <w:tcPr>
            <w:tcW w:w="5" w:type="pct"/>
            <w:gridSpan w:val="5"/>
            <w:vAlign w:val="center"/>
            <w:hideMark/>
          </w:tcPr>
          <w:p w14:paraId="00512E31" w14:textId="77777777" w:rsidR="00000000" w:rsidRDefault="00A173A8">
            <w:pPr>
              <w:spacing w:after="100"/>
              <w:rPr>
                <w:rFonts w:eastAsia="Times New Roman"/>
                <w:sz w:val="20"/>
                <w:szCs w:val="20"/>
              </w:rPr>
            </w:pPr>
          </w:p>
        </w:tc>
        <w:tc>
          <w:tcPr>
            <w:tcW w:w="26" w:type="pct"/>
            <w:gridSpan w:val="2"/>
            <w:vAlign w:val="center"/>
            <w:hideMark/>
          </w:tcPr>
          <w:p w14:paraId="4565B3B7" w14:textId="77777777" w:rsidR="00000000" w:rsidRDefault="00A173A8">
            <w:pPr>
              <w:spacing w:after="100"/>
              <w:rPr>
                <w:rFonts w:eastAsia="Times New Roman"/>
                <w:sz w:val="20"/>
                <w:szCs w:val="20"/>
              </w:rPr>
            </w:pPr>
          </w:p>
        </w:tc>
        <w:tc>
          <w:tcPr>
            <w:tcW w:w="5" w:type="pct"/>
            <w:vAlign w:val="center"/>
            <w:hideMark/>
          </w:tcPr>
          <w:p w14:paraId="69AC555F" w14:textId="77777777" w:rsidR="00000000" w:rsidRDefault="00A173A8">
            <w:pPr>
              <w:spacing w:after="100"/>
              <w:rPr>
                <w:rFonts w:eastAsia="Times New Roman"/>
                <w:sz w:val="20"/>
                <w:szCs w:val="20"/>
              </w:rPr>
            </w:pPr>
          </w:p>
        </w:tc>
        <w:tc>
          <w:tcPr>
            <w:tcW w:w="50" w:type="pct"/>
            <w:vAlign w:val="center"/>
            <w:hideMark/>
          </w:tcPr>
          <w:p w14:paraId="13540271" w14:textId="77777777" w:rsidR="00000000" w:rsidRDefault="00A173A8">
            <w:pPr>
              <w:spacing w:after="100"/>
              <w:rPr>
                <w:rFonts w:eastAsia="Times New Roman"/>
                <w:sz w:val="20"/>
                <w:szCs w:val="20"/>
              </w:rPr>
            </w:pPr>
          </w:p>
        </w:tc>
        <w:tc>
          <w:tcPr>
            <w:tcW w:w="244" w:type="pct"/>
            <w:gridSpan w:val="7"/>
            <w:vAlign w:val="center"/>
            <w:hideMark/>
          </w:tcPr>
          <w:p w14:paraId="18EE763B" w14:textId="77777777" w:rsidR="00000000" w:rsidRDefault="00A173A8">
            <w:pPr>
              <w:spacing w:after="100"/>
              <w:rPr>
                <w:rFonts w:eastAsia="Times New Roman"/>
                <w:sz w:val="20"/>
                <w:szCs w:val="20"/>
              </w:rPr>
            </w:pPr>
          </w:p>
        </w:tc>
        <w:tc>
          <w:tcPr>
            <w:tcW w:w="5" w:type="pct"/>
            <w:vAlign w:val="center"/>
            <w:hideMark/>
          </w:tcPr>
          <w:p w14:paraId="0F3A6C5C" w14:textId="77777777" w:rsidR="00000000" w:rsidRDefault="00A173A8">
            <w:pPr>
              <w:spacing w:after="100"/>
              <w:rPr>
                <w:rFonts w:eastAsia="Times New Roman"/>
                <w:sz w:val="20"/>
                <w:szCs w:val="20"/>
              </w:rPr>
            </w:pPr>
          </w:p>
        </w:tc>
        <w:tc>
          <w:tcPr>
            <w:tcW w:w="5" w:type="pct"/>
            <w:vAlign w:val="center"/>
            <w:hideMark/>
          </w:tcPr>
          <w:p w14:paraId="4F5BBE5E" w14:textId="77777777" w:rsidR="00000000" w:rsidRDefault="00A173A8">
            <w:pPr>
              <w:spacing w:after="100"/>
              <w:rPr>
                <w:rFonts w:eastAsia="Times New Roman"/>
                <w:sz w:val="20"/>
                <w:szCs w:val="20"/>
              </w:rPr>
            </w:pPr>
          </w:p>
        </w:tc>
        <w:tc>
          <w:tcPr>
            <w:tcW w:w="26" w:type="pct"/>
            <w:gridSpan w:val="3"/>
            <w:vAlign w:val="center"/>
            <w:hideMark/>
          </w:tcPr>
          <w:p w14:paraId="0DA2F7CA" w14:textId="77777777" w:rsidR="00000000" w:rsidRDefault="00A173A8">
            <w:pPr>
              <w:spacing w:after="100"/>
              <w:rPr>
                <w:rFonts w:eastAsia="Times New Roman"/>
                <w:sz w:val="20"/>
                <w:szCs w:val="20"/>
              </w:rPr>
            </w:pPr>
          </w:p>
        </w:tc>
        <w:tc>
          <w:tcPr>
            <w:tcW w:w="5" w:type="pct"/>
            <w:gridSpan w:val="4"/>
            <w:vAlign w:val="center"/>
            <w:hideMark/>
          </w:tcPr>
          <w:p w14:paraId="4008B97A" w14:textId="77777777" w:rsidR="00000000" w:rsidRDefault="00A173A8">
            <w:pPr>
              <w:spacing w:after="100"/>
              <w:rPr>
                <w:rFonts w:eastAsia="Times New Roman"/>
                <w:sz w:val="20"/>
                <w:szCs w:val="20"/>
              </w:rPr>
            </w:pPr>
          </w:p>
        </w:tc>
        <w:tc>
          <w:tcPr>
            <w:tcW w:w="50" w:type="pct"/>
            <w:gridSpan w:val="2"/>
            <w:vAlign w:val="center"/>
            <w:hideMark/>
          </w:tcPr>
          <w:p w14:paraId="29C066E5" w14:textId="77777777" w:rsidR="00000000" w:rsidRDefault="00A173A8">
            <w:pPr>
              <w:spacing w:after="100"/>
              <w:rPr>
                <w:rFonts w:eastAsia="Times New Roman"/>
                <w:sz w:val="20"/>
                <w:szCs w:val="20"/>
              </w:rPr>
            </w:pPr>
          </w:p>
        </w:tc>
        <w:tc>
          <w:tcPr>
            <w:tcW w:w="244" w:type="pct"/>
            <w:gridSpan w:val="7"/>
            <w:vAlign w:val="center"/>
            <w:hideMark/>
          </w:tcPr>
          <w:p w14:paraId="55383668" w14:textId="77777777" w:rsidR="00000000" w:rsidRDefault="00A173A8">
            <w:pPr>
              <w:spacing w:after="100"/>
              <w:rPr>
                <w:rFonts w:eastAsia="Times New Roman"/>
                <w:sz w:val="20"/>
                <w:szCs w:val="20"/>
              </w:rPr>
            </w:pPr>
          </w:p>
        </w:tc>
        <w:tc>
          <w:tcPr>
            <w:tcW w:w="5" w:type="pct"/>
            <w:vAlign w:val="center"/>
            <w:hideMark/>
          </w:tcPr>
          <w:p w14:paraId="688C1E1A" w14:textId="77777777" w:rsidR="00000000" w:rsidRDefault="00A173A8">
            <w:pPr>
              <w:spacing w:after="100"/>
              <w:rPr>
                <w:rFonts w:eastAsia="Times New Roman"/>
                <w:sz w:val="20"/>
                <w:szCs w:val="20"/>
              </w:rPr>
            </w:pPr>
          </w:p>
        </w:tc>
        <w:tc>
          <w:tcPr>
            <w:tcW w:w="5" w:type="pct"/>
            <w:vAlign w:val="center"/>
            <w:hideMark/>
          </w:tcPr>
          <w:p w14:paraId="626BC1FB" w14:textId="77777777" w:rsidR="00000000" w:rsidRDefault="00A173A8">
            <w:pPr>
              <w:spacing w:after="100"/>
              <w:rPr>
                <w:rFonts w:eastAsia="Times New Roman"/>
                <w:sz w:val="20"/>
                <w:szCs w:val="20"/>
              </w:rPr>
            </w:pPr>
          </w:p>
        </w:tc>
        <w:tc>
          <w:tcPr>
            <w:tcW w:w="26" w:type="pct"/>
            <w:gridSpan w:val="4"/>
            <w:vAlign w:val="center"/>
            <w:hideMark/>
          </w:tcPr>
          <w:p w14:paraId="5AFDA1A9" w14:textId="77777777" w:rsidR="00000000" w:rsidRDefault="00A173A8">
            <w:pPr>
              <w:spacing w:after="100"/>
              <w:rPr>
                <w:rFonts w:eastAsia="Times New Roman"/>
                <w:sz w:val="20"/>
                <w:szCs w:val="20"/>
              </w:rPr>
            </w:pPr>
          </w:p>
        </w:tc>
        <w:tc>
          <w:tcPr>
            <w:tcW w:w="5" w:type="pct"/>
            <w:gridSpan w:val="3"/>
            <w:vAlign w:val="center"/>
            <w:hideMark/>
          </w:tcPr>
          <w:p w14:paraId="4F2FA450" w14:textId="77777777" w:rsidR="00000000" w:rsidRDefault="00A173A8">
            <w:pPr>
              <w:spacing w:after="100"/>
              <w:rPr>
                <w:rFonts w:eastAsia="Times New Roman"/>
                <w:sz w:val="20"/>
                <w:szCs w:val="20"/>
              </w:rPr>
            </w:pPr>
          </w:p>
        </w:tc>
        <w:tc>
          <w:tcPr>
            <w:tcW w:w="50" w:type="pct"/>
            <w:gridSpan w:val="2"/>
            <w:vAlign w:val="center"/>
            <w:hideMark/>
          </w:tcPr>
          <w:p w14:paraId="71BF7BAF" w14:textId="77777777" w:rsidR="00000000" w:rsidRDefault="00A173A8">
            <w:pPr>
              <w:spacing w:after="100"/>
              <w:rPr>
                <w:rFonts w:eastAsia="Times New Roman"/>
                <w:sz w:val="20"/>
                <w:szCs w:val="20"/>
              </w:rPr>
            </w:pPr>
          </w:p>
        </w:tc>
        <w:tc>
          <w:tcPr>
            <w:tcW w:w="259" w:type="pct"/>
            <w:gridSpan w:val="2"/>
            <w:vAlign w:val="center"/>
            <w:hideMark/>
          </w:tcPr>
          <w:p w14:paraId="59F8D49F" w14:textId="77777777" w:rsidR="00000000" w:rsidRDefault="00A173A8">
            <w:pPr>
              <w:spacing w:after="100"/>
              <w:rPr>
                <w:rFonts w:eastAsia="Times New Roman"/>
                <w:sz w:val="20"/>
                <w:szCs w:val="20"/>
              </w:rPr>
            </w:pPr>
          </w:p>
        </w:tc>
        <w:tc>
          <w:tcPr>
            <w:tcW w:w="5" w:type="pct"/>
            <w:gridSpan w:val="5"/>
            <w:vAlign w:val="center"/>
            <w:hideMark/>
          </w:tcPr>
          <w:p w14:paraId="3A01AEE7" w14:textId="77777777" w:rsidR="00000000" w:rsidRDefault="00A173A8">
            <w:pPr>
              <w:spacing w:after="100"/>
              <w:rPr>
                <w:rFonts w:eastAsia="Times New Roman"/>
                <w:sz w:val="20"/>
                <w:szCs w:val="20"/>
              </w:rPr>
            </w:pPr>
          </w:p>
        </w:tc>
        <w:tc>
          <w:tcPr>
            <w:tcW w:w="5" w:type="pct"/>
            <w:gridSpan w:val="2"/>
            <w:vAlign w:val="center"/>
            <w:hideMark/>
          </w:tcPr>
          <w:p w14:paraId="6D9FB745" w14:textId="77777777" w:rsidR="00000000" w:rsidRDefault="00A173A8">
            <w:pPr>
              <w:spacing w:after="100"/>
              <w:rPr>
                <w:rFonts w:eastAsia="Times New Roman"/>
                <w:sz w:val="20"/>
                <w:szCs w:val="20"/>
              </w:rPr>
            </w:pPr>
          </w:p>
        </w:tc>
        <w:tc>
          <w:tcPr>
            <w:tcW w:w="26" w:type="pct"/>
            <w:vAlign w:val="center"/>
            <w:hideMark/>
          </w:tcPr>
          <w:p w14:paraId="2346CCBA" w14:textId="77777777" w:rsidR="00000000" w:rsidRDefault="00A173A8">
            <w:pPr>
              <w:spacing w:after="100"/>
              <w:rPr>
                <w:rFonts w:eastAsia="Times New Roman"/>
                <w:sz w:val="20"/>
                <w:szCs w:val="20"/>
              </w:rPr>
            </w:pPr>
          </w:p>
        </w:tc>
        <w:tc>
          <w:tcPr>
            <w:tcW w:w="5" w:type="pct"/>
            <w:vAlign w:val="center"/>
            <w:hideMark/>
          </w:tcPr>
          <w:p w14:paraId="6E28BC61" w14:textId="77777777" w:rsidR="00000000" w:rsidRDefault="00A173A8">
            <w:pPr>
              <w:spacing w:after="100"/>
              <w:rPr>
                <w:rFonts w:eastAsia="Times New Roman"/>
                <w:sz w:val="20"/>
                <w:szCs w:val="20"/>
              </w:rPr>
            </w:pPr>
          </w:p>
        </w:tc>
        <w:tc>
          <w:tcPr>
            <w:tcW w:w="50" w:type="pct"/>
            <w:gridSpan w:val="3"/>
            <w:vAlign w:val="center"/>
            <w:hideMark/>
          </w:tcPr>
          <w:p w14:paraId="2BCFDA03" w14:textId="77777777" w:rsidR="00000000" w:rsidRDefault="00A173A8">
            <w:pPr>
              <w:spacing w:after="100"/>
              <w:rPr>
                <w:rFonts w:eastAsia="Times New Roman"/>
                <w:sz w:val="20"/>
                <w:szCs w:val="20"/>
              </w:rPr>
            </w:pPr>
          </w:p>
        </w:tc>
        <w:tc>
          <w:tcPr>
            <w:tcW w:w="200" w:type="pct"/>
            <w:gridSpan w:val="5"/>
            <w:vAlign w:val="center"/>
            <w:hideMark/>
          </w:tcPr>
          <w:p w14:paraId="5FEB79D5" w14:textId="77777777" w:rsidR="00000000" w:rsidRDefault="00A173A8">
            <w:pPr>
              <w:spacing w:after="100"/>
              <w:rPr>
                <w:rFonts w:eastAsia="Times New Roman"/>
                <w:sz w:val="20"/>
                <w:szCs w:val="20"/>
              </w:rPr>
            </w:pPr>
          </w:p>
        </w:tc>
        <w:tc>
          <w:tcPr>
            <w:tcW w:w="5" w:type="pct"/>
            <w:vAlign w:val="center"/>
            <w:hideMark/>
          </w:tcPr>
          <w:p w14:paraId="67ADCAED" w14:textId="77777777" w:rsidR="00000000" w:rsidRDefault="00A173A8">
            <w:pPr>
              <w:spacing w:after="100"/>
              <w:rPr>
                <w:rFonts w:eastAsia="Times New Roman"/>
                <w:sz w:val="20"/>
                <w:szCs w:val="20"/>
              </w:rPr>
            </w:pPr>
          </w:p>
        </w:tc>
        <w:tc>
          <w:tcPr>
            <w:tcW w:w="5" w:type="pct"/>
            <w:gridSpan w:val="2"/>
            <w:vAlign w:val="center"/>
            <w:hideMark/>
          </w:tcPr>
          <w:p w14:paraId="114ECB2E" w14:textId="77777777" w:rsidR="00000000" w:rsidRDefault="00A173A8">
            <w:pPr>
              <w:spacing w:after="100"/>
              <w:rPr>
                <w:rFonts w:eastAsia="Times New Roman"/>
                <w:sz w:val="20"/>
                <w:szCs w:val="20"/>
              </w:rPr>
            </w:pPr>
          </w:p>
        </w:tc>
        <w:tc>
          <w:tcPr>
            <w:tcW w:w="26" w:type="pct"/>
            <w:gridSpan w:val="5"/>
            <w:vAlign w:val="center"/>
            <w:hideMark/>
          </w:tcPr>
          <w:p w14:paraId="16D55877" w14:textId="77777777" w:rsidR="00000000" w:rsidRDefault="00A173A8">
            <w:pPr>
              <w:spacing w:after="100"/>
              <w:rPr>
                <w:rFonts w:eastAsia="Times New Roman"/>
                <w:sz w:val="20"/>
                <w:szCs w:val="20"/>
              </w:rPr>
            </w:pPr>
          </w:p>
        </w:tc>
        <w:tc>
          <w:tcPr>
            <w:tcW w:w="5" w:type="pct"/>
            <w:gridSpan w:val="2"/>
            <w:vAlign w:val="center"/>
            <w:hideMark/>
          </w:tcPr>
          <w:p w14:paraId="11AF7BEA" w14:textId="77777777" w:rsidR="00000000" w:rsidRDefault="00A173A8">
            <w:pPr>
              <w:spacing w:after="100"/>
              <w:rPr>
                <w:rFonts w:eastAsia="Times New Roman"/>
                <w:sz w:val="20"/>
                <w:szCs w:val="20"/>
              </w:rPr>
            </w:pPr>
          </w:p>
        </w:tc>
        <w:tc>
          <w:tcPr>
            <w:tcW w:w="50" w:type="pct"/>
            <w:vAlign w:val="center"/>
            <w:hideMark/>
          </w:tcPr>
          <w:p w14:paraId="143179B5" w14:textId="77777777" w:rsidR="00000000" w:rsidRDefault="00A173A8">
            <w:pPr>
              <w:spacing w:after="100"/>
              <w:rPr>
                <w:rFonts w:eastAsia="Times New Roman"/>
                <w:sz w:val="20"/>
                <w:szCs w:val="20"/>
              </w:rPr>
            </w:pPr>
          </w:p>
        </w:tc>
        <w:tc>
          <w:tcPr>
            <w:tcW w:w="244" w:type="pct"/>
            <w:gridSpan w:val="2"/>
            <w:vAlign w:val="center"/>
            <w:hideMark/>
          </w:tcPr>
          <w:p w14:paraId="4916C2FC" w14:textId="77777777" w:rsidR="00000000" w:rsidRDefault="00A173A8">
            <w:pPr>
              <w:spacing w:after="100"/>
              <w:rPr>
                <w:rFonts w:eastAsia="Times New Roman"/>
                <w:sz w:val="20"/>
                <w:szCs w:val="20"/>
              </w:rPr>
            </w:pPr>
          </w:p>
        </w:tc>
        <w:tc>
          <w:tcPr>
            <w:tcW w:w="5" w:type="pct"/>
            <w:vAlign w:val="center"/>
            <w:hideMark/>
          </w:tcPr>
          <w:p w14:paraId="09431A29" w14:textId="77777777" w:rsidR="00000000" w:rsidRDefault="00A173A8">
            <w:pPr>
              <w:spacing w:after="100"/>
              <w:rPr>
                <w:rFonts w:eastAsia="Times New Roman"/>
                <w:sz w:val="20"/>
                <w:szCs w:val="20"/>
              </w:rPr>
            </w:pPr>
          </w:p>
        </w:tc>
        <w:tc>
          <w:tcPr>
            <w:tcW w:w="5" w:type="pct"/>
            <w:vAlign w:val="center"/>
            <w:hideMark/>
          </w:tcPr>
          <w:p w14:paraId="6E4F5DD9" w14:textId="77777777" w:rsidR="00000000" w:rsidRDefault="00A173A8">
            <w:pPr>
              <w:spacing w:after="100"/>
              <w:rPr>
                <w:rFonts w:eastAsia="Times New Roman"/>
                <w:sz w:val="20"/>
                <w:szCs w:val="20"/>
              </w:rPr>
            </w:pPr>
          </w:p>
        </w:tc>
        <w:tc>
          <w:tcPr>
            <w:tcW w:w="26" w:type="pct"/>
            <w:vAlign w:val="center"/>
            <w:hideMark/>
          </w:tcPr>
          <w:p w14:paraId="75D04E8E" w14:textId="77777777" w:rsidR="00000000" w:rsidRDefault="00A173A8">
            <w:pPr>
              <w:spacing w:after="100"/>
              <w:rPr>
                <w:rFonts w:eastAsia="Times New Roman"/>
                <w:sz w:val="20"/>
                <w:szCs w:val="20"/>
              </w:rPr>
            </w:pPr>
          </w:p>
        </w:tc>
        <w:tc>
          <w:tcPr>
            <w:tcW w:w="5" w:type="pct"/>
            <w:gridSpan w:val="2"/>
            <w:vAlign w:val="center"/>
            <w:hideMark/>
          </w:tcPr>
          <w:p w14:paraId="5362A02F" w14:textId="77777777" w:rsidR="00000000" w:rsidRDefault="00A173A8">
            <w:pPr>
              <w:spacing w:after="100"/>
              <w:rPr>
                <w:rFonts w:eastAsia="Times New Roman"/>
                <w:sz w:val="20"/>
                <w:szCs w:val="20"/>
              </w:rPr>
            </w:pPr>
          </w:p>
        </w:tc>
        <w:tc>
          <w:tcPr>
            <w:tcW w:w="50" w:type="pct"/>
            <w:vAlign w:val="center"/>
            <w:hideMark/>
          </w:tcPr>
          <w:p w14:paraId="09A81BFF" w14:textId="77777777" w:rsidR="00000000" w:rsidRDefault="00A173A8">
            <w:pPr>
              <w:spacing w:after="100"/>
              <w:rPr>
                <w:rFonts w:eastAsia="Times New Roman"/>
                <w:sz w:val="20"/>
                <w:szCs w:val="20"/>
              </w:rPr>
            </w:pPr>
          </w:p>
        </w:tc>
        <w:tc>
          <w:tcPr>
            <w:tcW w:w="295" w:type="pct"/>
            <w:vAlign w:val="center"/>
            <w:hideMark/>
          </w:tcPr>
          <w:p w14:paraId="1146AEDA" w14:textId="77777777" w:rsidR="00000000" w:rsidRDefault="00A173A8">
            <w:pPr>
              <w:spacing w:after="100"/>
              <w:rPr>
                <w:rFonts w:eastAsia="Times New Roman"/>
                <w:sz w:val="20"/>
                <w:szCs w:val="20"/>
              </w:rPr>
            </w:pPr>
          </w:p>
        </w:tc>
        <w:tc>
          <w:tcPr>
            <w:tcW w:w="5" w:type="pct"/>
            <w:vAlign w:val="center"/>
            <w:hideMark/>
          </w:tcPr>
          <w:p w14:paraId="5FAE90EC" w14:textId="77777777" w:rsidR="00000000" w:rsidRDefault="00A173A8">
            <w:pPr>
              <w:spacing w:after="100"/>
              <w:rPr>
                <w:rFonts w:eastAsia="Times New Roman"/>
                <w:sz w:val="20"/>
                <w:szCs w:val="20"/>
              </w:rPr>
            </w:pPr>
          </w:p>
        </w:tc>
        <w:tc>
          <w:tcPr>
            <w:tcW w:w="5" w:type="pct"/>
            <w:vAlign w:val="center"/>
            <w:hideMark/>
          </w:tcPr>
          <w:p w14:paraId="46FAA29F" w14:textId="77777777" w:rsidR="00000000" w:rsidRDefault="00A173A8">
            <w:pPr>
              <w:spacing w:after="100"/>
              <w:rPr>
                <w:rFonts w:eastAsia="Times New Roman"/>
                <w:sz w:val="20"/>
                <w:szCs w:val="20"/>
              </w:rPr>
            </w:pPr>
          </w:p>
        </w:tc>
        <w:tc>
          <w:tcPr>
            <w:tcW w:w="26" w:type="pct"/>
            <w:vAlign w:val="center"/>
            <w:hideMark/>
          </w:tcPr>
          <w:p w14:paraId="183D9564" w14:textId="77777777" w:rsidR="00000000" w:rsidRDefault="00A173A8">
            <w:pPr>
              <w:spacing w:after="100"/>
              <w:rPr>
                <w:rFonts w:eastAsia="Times New Roman"/>
                <w:sz w:val="20"/>
                <w:szCs w:val="20"/>
              </w:rPr>
            </w:pPr>
          </w:p>
        </w:tc>
        <w:tc>
          <w:tcPr>
            <w:tcW w:w="5" w:type="pct"/>
            <w:vAlign w:val="center"/>
            <w:hideMark/>
          </w:tcPr>
          <w:p w14:paraId="0D98D8D3" w14:textId="77777777" w:rsidR="00000000" w:rsidRDefault="00A173A8">
            <w:pPr>
              <w:spacing w:after="100"/>
              <w:rPr>
                <w:rFonts w:eastAsia="Times New Roman"/>
                <w:sz w:val="20"/>
                <w:szCs w:val="20"/>
              </w:rPr>
            </w:pPr>
          </w:p>
        </w:tc>
        <w:tc>
          <w:tcPr>
            <w:tcW w:w="50" w:type="pct"/>
            <w:vAlign w:val="center"/>
            <w:hideMark/>
          </w:tcPr>
          <w:p w14:paraId="3BC2D2AC" w14:textId="77777777" w:rsidR="00000000" w:rsidRDefault="00A173A8">
            <w:pPr>
              <w:spacing w:after="100"/>
              <w:rPr>
                <w:rFonts w:eastAsia="Times New Roman"/>
                <w:sz w:val="20"/>
                <w:szCs w:val="20"/>
              </w:rPr>
            </w:pPr>
          </w:p>
        </w:tc>
        <w:tc>
          <w:tcPr>
            <w:tcW w:w="266" w:type="pct"/>
            <w:vAlign w:val="center"/>
            <w:hideMark/>
          </w:tcPr>
          <w:p w14:paraId="3C18D6EB" w14:textId="77777777" w:rsidR="00000000" w:rsidRDefault="00A173A8">
            <w:pPr>
              <w:spacing w:after="100"/>
              <w:rPr>
                <w:rFonts w:eastAsia="Times New Roman"/>
                <w:sz w:val="20"/>
                <w:szCs w:val="20"/>
              </w:rPr>
            </w:pPr>
          </w:p>
        </w:tc>
        <w:tc>
          <w:tcPr>
            <w:tcW w:w="5" w:type="pct"/>
            <w:vAlign w:val="center"/>
            <w:hideMark/>
          </w:tcPr>
          <w:p w14:paraId="1FF9C552" w14:textId="77777777" w:rsidR="00000000" w:rsidRDefault="00A173A8">
            <w:pPr>
              <w:spacing w:after="100"/>
              <w:rPr>
                <w:rFonts w:eastAsia="Times New Roman"/>
                <w:sz w:val="20"/>
                <w:szCs w:val="20"/>
              </w:rPr>
            </w:pPr>
          </w:p>
        </w:tc>
        <w:tc>
          <w:tcPr>
            <w:tcW w:w="5" w:type="pct"/>
            <w:vAlign w:val="center"/>
            <w:hideMark/>
          </w:tcPr>
          <w:p w14:paraId="4C13AD5C" w14:textId="77777777" w:rsidR="00000000" w:rsidRDefault="00A173A8">
            <w:pPr>
              <w:spacing w:after="100"/>
              <w:rPr>
                <w:rFonts w:eastAsia="Times New Roman"/>
                <w:sz w:val="20"/>
                <w:szCs w:val="20"/>
              </w:rPr>
            </w:pPr>
          </w:p>
        </w:tc>
        <w:tc>
          <w:tcPr>
            <w:tcW w:w="26" w:type="pct"/>
            <w:vAlign w:val="center"/>
            <w:hideMark/>
          </w:tcPr>
          <w:p w14:paraId="29EE82B5" w14:textId="77777777" w:rsidR="00000000" w:rsidRDefault="00A173A8">
            <w:pPr>
              <w:spacing w:after="100"/>
              <w:rPr>
                <w:rFonts w:eastAsia="Times New Roman"/>
                <w:sz w:val="20"/>
                <w:szCs w:val="20"/>
              </w:rPr>
            </w:pPr>
          </w:p>
        </w:tc>
        <w:tc>
          <w:tcPr>
            <w:tcW w:w="5" w:type="pct"/>
            <w:vAlign w:val="center"/>
            <w:hideMark/>
          </w:tcPr>
          <w:p w14:paraId="3E191CE4" w14:textId="77777777" w:rsidR="00000000" w:rsidRDefault="00A173A8">
            <w:pPr>
              <w:spacing w:after="100"/>
              <w:rPr>
                <w:rFonts w:eastAsia="Times New Roman"/>
                <w:sz w:val="20"/>
                <w:szCs w:val="20"/>
              </w:rPr>
            </w:pPr>
          </w:p>
        </w:tc>
        <w:tc>
          <w:tcPr>
            <w:tcW w:w="50" w:type="pct"/>
            <w:vAlign w:val="center"/>
            <w:hideMark/>
          </w:tcPr>
          <w:p w14:paraId="64762713" w14:textId="77777777" w:rsidR="00000000" w:rsidRDefault="00A173A8">
            <w:pPr>
              <w:spacing w:after="100"/>
              <w:rPr>
                <w:rFonts w:eastAsia="Times New Roman"/>
                <w:sz w:val="20"/>
                <w:szCs w:val="20"/>
              </w:rPr>
            </w:pPr>
          </w:p>
        </w:tc>
        <w:tc>
          <w:tcPr>
            <w:tcW w:w="244" w:type="pct"/>
            <w:vAlign w:val="center"/>
            <w:hideMark/>
          </w:tcPr>
          <w:p w14:paraId="23C5F259" w14:textId="77777777" w:rsidR="00000000" w:rsidRDefault="00A173A8">
            <w:pPr>
              <w:spacing w:after="100"/>
              <w:rPr>
                <w:rFonts w:eastAsia="Times New Roman"/>
                <w:sz w:val="20"/>
                <w:szCs w:val="20"/>
              </w:rPr>
            </w:pPr>
          </w:p>
        </w:tc>
        <w:tc>
          <w:tcPr>
            <w:tcW w:w="5" w:type="pct"/>
            <w:vAlign w:val="center"/>
            <w:hideMark/>
          </w:tcPr>
          <w:p w14:paraId="7BEF1021" w14:textId="77777777" w:rsidR="00000000" w:rsidRDefault="00A173A8">
            <w:pPr>
              <w:spacing w:after="100"/>
              <w:rPr>
                <w:rFonts w:eastAsia="Times New Roman"/>
                <w:sz w:val="20"/>
                <w:szCs w:val="20"/>
              </w:rPr>
            </w:pPr>
          </w:p>
        </w:tc>
        <w:tc>
          <w:tcPr>
            <w:tcW w:w="5" w:type="pct"/>
            <w:vAlign w:val="center"/>
            <w:hideMark/>
          </w:tcPr>
          <w:p w14:paraId="1D4AACFD" w14:textId="77777777" w:rsidR="00000000" w:rsidRDefault="00A173A8">
            <w:pPr>
              <w:spacing w:after="100"/>
              <w:rPr>
                <w:rFonts w:eastAsia="Times New Roman"/>
                <w:sz w:val="20"/>
                <w:szCs w:val="20"/>
              </w:rPr>
            </w:pPr>
          </w:p>
        </w:tc>
        <w:tc>
          <w:tcPr>
            <w:tcW w:w="26" w:type="pct"/>
            <w:vAlign w:val="center"/>
            <w:hideMark/>
          </w:tcPr>
          <w:p w14:paraId="54DB2812" w14:textId="77777777" w:rsidR="00000000" w:rsidRDefault="00A173A8">
            <w:pPr>
              <w:spacing w:after="100"/>
              <w:rPr>
                <w:rFonts w:eastAsia="Times New Roman"/>
                <w:sz w:val="20"/>
                <w:szCs w:val="20"/>
              </w:rPr>
            </w:pPr>
          </w:p>
        </w:tc>
        <w:tc>
          <w:tcPr>
            <w:tcW w:w="5" w:type="pct"/>
            <w:vAlign w:val="center"/>
            <w:hideMark/>
          </w:tcPr>
          <w:p w14:paraId="769D2349" w14:textId="77777777" w:rsidR="00000000" w:rsidRDefault="00A173A8">
            <w:pPr>
              <w:spacing w:after="100"/>
              <w:rPr>
                <w:rFonts w:eastAsia="Times New Roman"/>
                <w:sz w:val="20"/>
                <w:szCs w:val="20"/>
              </w:rPr>
            </w:pPr>
          </w:p>
        </w:tc>
        <w:tc>
          <w:tcPr>
            <w:tcW w:w="50" w:type="pct"/>
            <w:vAlign w:val="center"/>
            <w:hideMark/>
          </w:tcPr>
          <w:p w14:paraId="055FA52E" w14:textId="77777777" w:rsidR="00000000" w:rsidRDefault="00A173A8">
            <w:pPr>
              <w:spacing w:after="100"/>
              <w:rPr>
                <w:rFonts w:eastAsia="Times New Roman"/>
                <w:sz w:val="20"/>
                <w:szCs w:val="20"/>
              </w:rPr>
            </w:pPr>
          </w:p>
        </w:tc>
        <w:tc>
          <w:tcPr>
            <w:tcW w:w="354" w:type="pct"/>
            <w:vAlign w:val="center"/>
            <w:hideMark/>
          </w:tcPr>
          <w:p w14:paraId="41507A5A" w14:textId="77777777" w:rsidR="00000000" w:rsidRDefault="00A173A8">
            <w:pPr>
              <w:spacing w:after="100"/>
              <w:rPr>
                <w:rFonts w:eastAsia="Times New Roman"/>
                <w:sz w:val="20"/>
                <w:szCs w:val="20"/>
              </w:rPr>
            </w:pPr>
          </w:p>
        </w:tc>
        <w:tc>
          <w:tcPr>
            <w:tcW w:w="5" w:type="pct"/>
            <w:vAlign w:val="center"/>
            <w:hideMark/>
          </w:tcPr>
          <w:p w14:paraId="4772A1B7" w14:textId="77777777" w:rsidR="00000000" w:rsidRDefault="00A173A8">
            <w:pPr>
              <w:spacing w:after="100"/>
              <w:rPr>
                <w:rFonts w:eastAsia="Times New Roman"/>
                <w:sz w:val="20"/>
                <w:szCs w:val="20"/>
              </w:rPr>
            </w:pPr>
          </w:p>
        </w:tc>
      </w:tr>
      <w:tr w:rsidR="00000000" w14:paraId="49C17F92" w14:textId="77777777">
        <w:tc>
          <w:tcPr>
            <w:tcW w:w="0" w:type="auto"/>
            <w:gridSpan w:val="9"/>
            <w:tcMar>
              <w:top w:w="0" w:type="dxa"/>
              <w:left w:w="20" w:type="dxa"/>
              <w:bottom w:w="0" w:type="dxa"/>
              <w:right w:w="20" w:type="dxa"/>
            </w:tcMar>
            <w:vAlign w:val="center"/>
            <w:hideMark/>
          </w:tcPr>
          <w:p w14:paraId="4D776164" w14:textId="77777777" w:rsidR="00000000" w:rsidRDefault="00A173A8">
            <w:pPr>
              <w:spacing w:after="100"/>
              <w:rPr>
                <w:rFonts w:eastAsia="Times New Roman"/>
                <w:sz w:val="20"/>
                <w:szCs w:val="20"/>
              </w:rPr>
            </w:pPr>
          </w:p>
        </w:tc>
        <w:tc>
          <w:tcPr>
            <w:tcW w:w="0" w:type="auto"/>
            <w:gridSpan w:val="4"/>
            <w:tcMar>
              <w:top w:w="0" w:type="dxa"/>
              <w:left w:w="20" w:type="dxa"/>
              <w:bottom w:w="0" w:type="dxa"/>
              <w:right w:w="20" w:type="dxa"/>
            </w:tcMar>
            <w:vAlign w:val="center"/>
            <w:hideMark/>
          </w:tcPr>
          <w:p w14:paraId="77E00BD2" w14:textId="77777777" w:rsidR="00000000" w:rsidRDefault="00A173A8">
            <w:pPr>
              <w:spacing w:after="100"/>
              <w:rPr>
                <w:rFonts w:eastAsia="Times New Roman"/>
                <w:sz w:val="20"/>
                <w:szCs w:val="20"/>
              </w:rPr>
            </w:pPr>
          </w:p>
        </w:tc>
        <w:tc>
          <w:tcPr>
            <w:tcW w:w="0" w:type="auto"/>
            <w:gridSpan w:val="112"/>
            <w:tcMar>
              <w:top w:w="30" w:type="dxa"/>
              <w:left w:w="20" w:type="dxa"/>
              <w:bottom w:w="30" w:type="dxa"/>
              <w:right w:w="20" w:type="dxa"/>
            </w:tcMar>
            <w:vAlign w:val="bottom"/>
            <w:hideMark/>
          </w:tcPr>
          <w:p w14:paraId="693276F7" w14:textId="77777777" w:rsidR="00000000" w:rsidRDefault="00A173A8">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14:paraId="500ACF5A" w14:textId="77777777" w:rsidR="00000000" w:rsidRDefault="00A173A8">
            <w:pPr>
              <w:spacing w:after="100"/>
              <w:rPr>
                <w:rFonts w:eastAsia="Times New Roman"/>
                <w:sz w:val="20"/>
                <w:szCs w:val="20"/>
              </w:rPr>
            </w:pPr>
          </w:p>
        </w:tc>
      </w:tr>
      <w:tr w:rsidR="00000000" w14:paraId="6D862247" w14:textId="77777777">
        <w:tc>
          <w:tcPr>
            <w:tcW w:w="0" w:type="auto"/>
            <w:gridSpan w:val="9"/>
            <w:tcMar>
              <w:top w:w="0" w:type="dxa"/>
              <w:left w:w="20" w:type="dxa"/>
              <w:bottom w:w="0" w:type="dxa"/>
              <w:right w:w="20" w:type="dxa"/>
            </w:tcMar>
            <w:vAlign w:val="center"/>
            <w:hideMark/>
          </w:tcPr>
          <w:p w14:paraId="1F47CFA5" w14:textId="77777777" w:rsidR="00000000" w:rsidRDefault="00A173A8">
            <w:pPr>
              <w:spacing w:after="100"/>
              <w:jc w:val="center"/>
              <w:rPr>
                <w:rFonts w:eastAsia="Times New Roman"/>
              </w:rPr>
            </w:pPr>
          </w:p>
        </w:tc>
        <w:tc>
          <w:tcPr>
            <w:tcW w:w="0" w:type="auto"/>
            <w:gridSpan w:val="4"/>
            <w:tcMar>
              <w:top w:w="0" w:type="dxa"/>
              <w:left w:w="20" w:type="dxa"/>
              <w:bottom w:w="0" w:type="dxa"/>
              <w:right w:w="20" w:type="dxa"/>
            </w:tcMar>
            <w:vAlign w:val="center"/>
            <w:hideMark/>
          </w:tcPr>
          <w:p w14:paraId="20F5AAFC" w14:textId="77777777" w:rsidR="00000000" w:rsidRDefault="00A173A8">
            <w:pPr>
              <w:spacing w:after="100"/>
              <w:rPr>
                <w:rFonts w:eastAsia="Times New Roman"/>
                <w:sz w:val="20"/>
                <w:szCs w:val="20"/>
              </w:rPr>
            </w:pPr>
          </w:p>
        </w:tc>
        <w:tc>
          <w:tcPr>
            <w:tcW w:w="0" w:type="auto"/>
            <w:gridSpan w:val="112"/>
            <w:tcMar>
              <w:top w:w="30" w:type="dxa"/>
              <w:left w:w="20" w:type="dxa"/>
              <w:bottom w:w="30" w:type="dxa"/>
              <w:right w:w="20" w:type="dxa"/>
            </w:tcMar>
            <w:vAlign w:val="bottom"/>
            <w:hideMark/>
          </w:tcPr>
          <w:p w14:paraId="0BAD4850" w14:textId="77777777" w:rsidR="00000000" w:rsidRDefault="00A173A8">
            <w:pPr>
              <w:spacing w:after="100"/>
              <w:jc w:val="center"/>
              <w:rPr>
                <w:rFonts w:eastAsia="Times New Roman"/>
              </w:rPr>
            </w:pPr>
            <w:r>
              <w:rPr>
                <w:rFonts w:eastAsia="Times New Roman"/>
                <w:b/>
                <w:bCs/>
                <w:color w:val="000000"/>
                <w:sz w:val="14"/>
                <w:szCs w:val="14"/>
              </w:rPr>
              <w:t>Six Months Ended June 30, 2022</w:t>
            </w:r>
          </w:p>
        </w:tc>
        <w:tc>
          <w:tcPr>
            <w:tcW w:w="0" w:type="auto"/>
            <w:vAlign w:val="center"/>
            <w:hideMark/>
          </w:tcPr>
          <w:p w14:paraId="11BBD279" w14:textId="77777777" w:rsidR="00000000" w:rsidRDefault="00A173A8">
            <w:pPr>
              <w:spacing w:after="100"/>
              <w:rPr>
                <w:rFonts w:eastAsia="Times New Roman"/>
                <w:sz w:val="20"/>
                <w:szCs w:val="20"/>
              </w:rPr>
            </w:pPr>
          </w:p>
        </w:tc>
      </w:tr>
      <w:tr w:rsidR="00000000" w14:paraId="600C0807" w14:textId="77777777">
        <w:trPr>
          <w:trHeight w:val="300"/>
        </w:trPr>
        <w:tc>
          <w:tcPr>
            <w:tcW w:w="0" w:type="auto"/>
            <w:gridSpan w:val="9"/>
            <w:tcMar>
              <w:top w:w="0" w:type="dxa"/>
              <w:left w:w="20" w:type="dxa"/>
              <w:bottom w:w="0" w:type="dxa"/>
              <w:right w:w="20" w:type="dxa"/>
            </w:tcMar>
            <w:vAlign w:val="center"/>
            <w:hideMark/>
          </w:tcPr>
          <w:p w14:paraId="4DDDF215" w14:textId="77777777" w:rsidR="00000000" w:rsidRDefault="00A173A8">
            <w:pPr>
              <w:spacing w:after="100"/>
              <w:jc w:val="center"/>
              <w:rPr>
                <w:rFonts w:eastAsia="Times New Roman"/>
              </w:rPr>
            </w:pPr>
          </w:p>
        </w:tc>
        <w:tc>
          <w:tcPr>
            <w:tcW w:w="0" w:type="auto"/>
            <w:gridSpan w:val="4"/>
            <w:tcMar>
              <w:top w:w="0" w:type="dxa"/>
              <w:left w:w="20" w:type="dxa"/>
              <w:bottom w:w="0" w:type="dxa"/>
              <w:right w:w="20" w:type="dxa"/>
            </w:tcMar>
            <w:vAlign w:val="center"/>
            <w:hideMark/>
          </w:tcPr>
          <w:p w14:paraId="569CE5DF" w14:textId="77777777" w:rsidR="00000000" w:rsidRDefault="00A173A8">
            <w:pPr>
              <w:spacing w:after="100"/>
              <w:rPr>
                <w:rFonts w:eastAsia="Times New Roman"/>
                <w:sz w:val="20"/>
                <w:szCs w:val="20"/>
              </w:rPr>
            </w:pPr>
          </w:p>
        </w:tc>
        <w:tc>
          <w:tcPr>
            <w:tcW w:w="0" w:type="auto"/>
            <w:gridSpan w:val="10"/>
            <w:tcBorders>
              <w:top w:val="single" w:sz="8" w:space="0" w:color="000000"/>
            </w:tcBorders>
            <w:tcMar>
              <w:top w:w="0" w:type="dxa"/>
              <w:left w:w="20" w:type="dxa"/>
              <w:bottom w:w="0" w:type="dxa"/>
              <w:right w:w="20" w:type="dxa"/>
            </w:tcMar>
            <w:vAlign w:val="center"/>
            <w:hideMark/>
          </w:tcPr>
          <w:p w14:paraId="5C2B7879" w14:textId="77777777" w:rsidR="00000000" w:rsidRDefault="00A173A8">
            <w:pPr>
              <w:spacing w:after="100"/>
              <w:rPr>
                <w:rFonts w:eastAsia="Times New Roman"/>
                <w:sz w:val="20"/>
                <w:szCs w:val="20"/>
              </w:rPr>
            </w:pPr>
          </w:p>
        </w:tc>
        <w:tc>
          <w:tcPr>
            <w:tcW w:w="0" w:type="auto"/>
            <w:gridSpan w:val="8"/>
            <w:tcBorders>
              <w:top w:val="single" w:sz="8" w:space="0" w:color="000000"/>
            </w:tcBorders>
            <w:tcMar>
              <w:top w:w="0" w:type="dxa"/>
              <w:left w:w="20" w:type="dxa"/>
              <w:bottom w:w="0" w:type="dxa"/>
              <w:right w:w="20" w:type="dxa"/>
            </w:tcMar>
            <w:vAlign w:val="center"/>
            <w:hideMark/>
          </w:tcPr>
          <w:p w14:paraId="0AB99958" w14:textId="77777777" w:rsidR="00000000" w:rsidRDefault="00A173A8">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14:paraId="0D3C8137" w14:textId="77777777" w:rsidR="00000000" w:rsidRDefault="00A173A8">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8"/>
            <w:tcBorders>
              <w:top w:val="single" w:sz="8" w:space="0" w:color="000000"/>
            </w:tcBorders>
            <w:tcMar>
              <w:top w:w="0" w:type="dxa"/>
              <w:left w:w="20" w:type="dxa"/>
              <w:bottom w:w="0" w:type="dxa"/>
              <w:right w:w="20" w:type="dxa"/>
            </w:tcMar>
            <w:vAlign w:val="center"/>
            <w:hideMark/>
          </w:tcPr>
          <w:p w14:paraId="6535CFF4" w14:textId="77777777" w:rsidR="00000000" w:rsidRDefault="00A173A8">
            <w:pPr>
              <w:spacing w:after="100"/>
              <w:jc w:val="center"/>
              <w:rPr>
                <w:rFonts w:eastAsia="Times New Roman"/>
              </w:rPr>
            </w:pPr>
          </w:p>
        </w:tc>
        <w:tc>
          <w:tcPr>
            <w:tcW w:w="0" w:type="auto"/>
            <w:gridSpan w:val="9"/>
            <w:tcBorders>
              <w:top w:val="single" w:sz="8" w:space="0" w:color="000000"/>
            </w:tcBorders>
            <w:tcMar>
              <w:top w:w="0" w:type="dxa"/>
              <w:left w:w="20" w:type="dxa"/>
              <w:bottom w:w="0" w:type="dxa"/>
              <w:right w:w="20" w:type="dxa"/>
            </w:tcMar>
            <w:vAlign w:val="center"/>
            <w:hideMark/>
          </w:tcPr>
          <w:p w14:paraId="5C77AD96" w14:textId="77777777" w:rsidR="00000000" w:rsidRDefault="00A173A8">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764B4D8C"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41EAEFF1"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0" w:type="dxa"/>
              <w:left w:w="20" w:type="dxa"/>
              <w:bottom w:w="0" w:type="dxa"/>
              <w:right w:w="20" w:type="dxa"/>
            </w:tcMar>
            <w:vAlign w:val="center"/>
            <w:hideMark/>
          </w:tcPr>
          <w:p w14:paraId="6D03C298" w14:textId="77777777" w:rsidR="00000000" w:rsidRDefault="00A173A8">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444D3D73" w14:textId="77777777" w:rsidR="00000000" w:rsidRDefault="00A173A8">
            <w:pPr>
              <w:spacing w:after="100"/>
              <w:rPr>
                <w:rFonts w:eastAsia="Times New Roman"/>
                <w:sz w:val="20"/>
                <w:szCs w:val="20"/>
              </w:rPr>
            </w:pPr>
          </w:p>
        </w:tc>
        <w:tc>
          <w:tcPr>
            <w:tcW w:w="0" w:type="auto"/>
            <w:gridSpan w:val="4"/>
            <w:tcBorders>
              <w:top w:val="single" w:sz="8" w:space="0" w:color="000000"/>
            </w:tcBorders>
            <w:tcMar>
              <w:top w:w="0" w:type="dxa"/>
              <w:left w:w="20" w:type="dxa"/>
              <w:bottom w:w="0" w:type="dxa"/>
              <w:right w:w="20" w:type="dxa"/>
            </w:tcMar>
            <w:vAlign w:val="center"/>
            <w:hideMark/>
          </w:tcPr>
          <w:p w14:paraId="623B44E9"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6CF7A36"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901BBF"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8535B8"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6AAAAF"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22E96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6192A6" w14:textId="77777777" w:rsidR="00000000" w:rsidRDefault="00A173A8">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6F43CFE8" w14:textId="77777777" w:rsidR="00000000" w:rsidRDefault="00A173A8">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14:paraId="178BDCD0" w14:textId="77777777" w:rsidR="00000000" w:rsidRDefault="00A173A8">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June 30, 202</w:t>
            </w:r>
            <w:r>
              <w:rPr>
                <w:rFonts w:eastAsia="Times New Roman"/>
                <w:b/>
                <w:bCs/>
                <w:color w:val="000000"/>
                <w:sz w:val="12"/>
                <w:szCs w:val="12"/>
              </w:rPr>
              <w:t>2</w:t>
            </w:r>
            <w:r>
              <w:rPr>
                <w:rFonts w:eastAsia="Times New Roman"/>
                <w:b/>
                <w:bCs/>
                <w:color w:val="000000"/>
                <w:sz w:val="8"/>
                <w:szCs w:val="8"/>
              </w:rPr>
              <w:t>(1</w:t>
            </w:r>
            <w:r>
              <w:rPr>
                <w:rFonts w:eastAsia="Times New Roman"/>
                <w:b/>
                <w:bCs/>
                <w:color w:val="000000"/>
                <w:sz w:val="8"/>
                <w:szCs w:val="8"/>
              </w:rPr>
              <w:t>)</w:t>
            </w:r>
          </w:p>
          <w:p w14:paraId="6BA2CFD5" w14:textId="77777777" w:rsidR="00000000" w:rsidRDefault="00A173A8">
            <w:pPr>
              <w:spacing w:after="100"/>
              <w:jc w:val="center"/>
              <w:rPr>
                <w:rFonts w:eastAsia="Times New Roman"/>
              </w:rPr>
            </w:pPr>
          </w:p>
        </w:tc>
      </w:tr>
      <w:tr w:rsidR="00000000" w14:paraId="13263ACD" w14:textId="77777777">
        <w:trPr>
          <w:trHeight w:val="460"/>
        </w:trPr>
        <w:tc>
          <w:tcPr>
            <w:tcW w:w="0" w:type="auto"/>
            <w:gridSpan w:val="9"/>
            <w:tcMar>
              <w:top w:w="30" w:type="dxa"/>
              <w:left w:w="20" w:type="dxa"/>
              <w:bottom w:w="30" w:type="dxa"/>
              <w:right w:w="20" w:type="dxa"/>
            </w:tcMar>
            <w:vAlign w:val="bottom"/>
            <w:hideMark/>
          </w:tcPr>
          <w:p w14:paraId="489CD2E1" w14:textId="77777777" w:rsidR="00000000" w:rsidRDefault="00A173A8">
            <w:pPr>
              <w:spacing w:after="100"/>
              <w:rPr>
                <w:rFonts w:eastAsia="Times New Roman"/>
              </w:rPr>
            </w:pPr>
            <w:r>
              <w:rPr>
                <w:rFonts w:eastAsia="Times New Roman"/>
                <w:i/>
                <w:iCs/>
                <w:color w:val="000000"/>
                <w:sz w:val="14"/>
                <w:szCs w:val="14"/>
              </w:rPr>
              <w:t>(Dollars in millions)</w:t>
            </w:r>
          </w:p>
        </w:tc>
        <w:tc>
          <w:tcPr>
            <w:tcW w:w="0" w:type="auto"/>
            <w:gridSpan w:val="4"/>
            <w:tcMar>
              <w:top w:w="0" w:type="dxa"/>
              <w:left w:w="20" w:type="dxa"/>
              <w:bottom w:w="0" w:type="dxa"/>
              <w:right w:w="20" w:type="dxa"/>
            </w:tcMar>
            <w:vAlign w:val="center"/>
            <w:hideMark/>
          </w:tcPr>
          <w:p w14:paraId="4352CF84" w14:textId="77777777" w:rsidR="00000000" w:rsidRDefault="00A173A8">
            <w:pPr>
              <w:spacing w:after="100"/>
              <w:rPr>
                <w:rFonts w:eastAsia="Times New Roman"/>
              </w:rPr>
            </w:pPr>
          </w:p>
        </w:tc>
        <w:tc>
          <w:tcPr>
            <w:tcW w:w="0" w:type="auto"/>
            <w:gridSpan w:val="10"/>
            <w:tcMar>
              <w:top w:w="30" w:type="dxa"/>
              <w:left w:w="20" w:type="dxa"/>
              <w:bottom w:w="30" w:type="dxa"/>
              <w:right w:w="20" w:type="dxa"/>
            </w:tcMar>
            <w:vAlign w:val="bottom"/>
            <w:hideMark/>
          </w:tcPr>
          <w:p w14:paraId="5AEFC342" w14:textId="77777777" w:rsidR="00000000" w:rsidRDefault="00A173A8">
            <w:pPr>
              <w:spacing w:after="100"/>
              <w:jc w:val="center"/>
              <w:rPr>
                <w:rFonts w:eastAsia="Times New Roman"/>
              </w:rPr>
            </w:pPr>
            <w:r>
              <w:rPr>
                <w:rFonts w:eastAsia="Times New Roman"/>
                <w:b/>
                <w:bCs/>
                <w:color w:val="000000"/>
                <w:sz w:val="12"/>
                <w:szCs w:val="12"/>
              </w:rPr>
              <w:t>Balance, January 1, 2022</w:t>
            </w:r>
          </w:p>
        </w:tc>
        <w:tc>
          <w:tcPr>
            <w:tcW w:w="0" w:type="auto"/>
            <w:gridSpan w:val="8"/>
            <w:tcMar>
              <w:top w:w="0" w:type="dxa"/>
              <w:left w:w="20" w:type="dxa"/>
              <w:bottom w:w="0" w:type="dxa"/>
              <w:right w:w="20" w:type="dxa"/>
            </w:tcMar>
            <w:vAlign w:val="center"/>
            <w:hideMark/>
          </w:tcPr>
          <w:p w14:paraId="3B229FAE" w14:textId="77777777" w:rsidR="00000000" w:rsidRDefault="00A173A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3A54B4D9" w14:textId="77777777" w:rsidR="00000000" w:rsidRDefault="00A173A8">
            <w:pPr>
              <w:spacing w:after="100"/>
              <w:jc w:val="center"/>
              <w:rPr>
                <w:rFonts w:eastAsia="Times New Roman"/>
              </w:rPr>
            </w:pPr>
            <w:r>
              <w:rPr>
                <w:rFonts w:eastAsia="Times New Roman"/>
                <w:b/>
                <w:bCs/>
                <w:color w:val="000000"/>
                <w:sz w:val="12"/>
                <w:szCs w:val="12"/>
              </w:rPr>
              <w:t>Included</w:t>
            </w:r>
          </w:p>
          <w:p w14:paraId="5EAAAC1E" w14:textId="77777777" w:rsidR="00000000" w:rsidRDefault="00A173A8">
            <w:pPr>
              <w:spacing w:after="100"/>
              <w:jc w:val="center"/>
              <w:rPr>
                <w:rFonts w:eastAsia="Times New Roman"/>
              </w:rPr>
            </w:pPr>
            <w:r>
              <w:rPr>
                <w:rFonts w:eastAsia="Times New Roman"/>
                <w:b/>
                <w:bCs/>
                <w:color w:val="000000"/>
                <w:sz w:val="12"/>
                <w:szCs w:val="12"/>
              </w:rPr>
              <w:t>in Net</w:t>
            </w:r>
          </w:p>
          <w:p w14:paraId="5499D915" w14:textId="77777777" w:rsidR="00000000" w:rsidRDefault="00A173A8">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8"/>
            <w:tcBorders>
              <w:top w:val="single" w:sz="8" w:space="0" w:color="000000"/>
            </w:tcBorders>
            <w:tcMar>
              <w:top w:w="0" w:type="dxa"/>
              <w:left w:w="20" w:type="dxa"/>
              <w:bottom w:w="0" w:type="dxa"/>
              <w:right w:w="20" w:type="dxa"/>
            </w:tcMar>
            <w:vAlign w:val="center"/>
            <w:hideMark/>
          </w:tcPr>
          <w:p w14:paraId="2D29E0D5" w14:textId="77777777" w:rsidR="00000000" w:rsidRDefault="00A173A8">
            <w:pPr>
              <w:spacing w:after="100"/>
              <w:jc w:val="center"/>
              <w:rPr>
                <w:rFonts w:eastAsia="Times New Roman"/>
              </w:rPr>
            </w:pPr>
          </w:p>
        </w:tc>
        <w:tc>
          <w:tcPr>
            <w:tcW w:w="0" w:type="auto"/>
            <w:gridSpan w:val="10"/>
            <w:tcBorders>
              <w:top w:val="single" w:sz="8" w:space="0" w:color="000000"/>
            </w:tcBorders>
            <w:tcMar>
              <w:top w:w="30" w:type="dxa"/>
              <w:left w:w="20" w:type="dxa"/>
              <w:bottom w:w="30" w:type="dxa"/>
              <w:right w:w="20" w:type="dxa"/>
            </w:tcMar>
            <w:vAlign w:val="bottom"/>
            <w:hideMark/>
          </w:tcPr>
          <w:p w14:paraId="3AA31BED" w14:textId="77777777" w:rsidR="00000000" w:rsidRDefault="00A173A8">
            <w:pPr>
              <w:spacing w:after="100"/>
              <w:jc w:val="center"/>
              <w:rPr>
                <w:rFonts w:eastAsia="Times New Roman"/>
              </w:rPr>
            </w:pPr>
            <w:r>
              <w:rPr>
                <w:rFonts w:eastAsia="Times New Roman"/>
                <w:b/>
                <w:bCs/>
                <w:color w:val="000000"/>
                <w:sz w:val="12"/>
                <w:szCs w:val="12"/>
              </w:rPr>
              <w:t>Included in OCI</w:t>
            </w:r>
          </w:p>
        </w:tc>
        <w:tc>
          <w:tcPr>
            <w:tcW w:w="0" w:type="auto"/>
            <w:gridSpan w:val="8"/>
            <w:tcMar>
              <w:top w:w="0" w:type="dxa"/>
              <w:left w:w="20" w:type="dxa"/>
              <w:bottom w:w="0" w:type="dxa"/>
              <w:right w:w="20" w:type="dxa"/>
            </w:tcMar>
            <w:vAlign w:val="center"/>
            <w:hideMark/>
          </w:tcPr>
          <w:p w14:paraId="1E73370E"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513D366" w14:textId="77777777" w:rsidR="00000000" w:rsidRDefault="00A173A8">
            <w:pPr>
              <w:spacing w:after="100"/>
              <w:jc w:val="center"/>
              <w:rPr>
                <w:rFonts w:eastAsia="Times New Roman"/>
              </w:rPr>
            </w:pPr>
            <w:r>
              <w:rPr>
                <w:rFonts w:eastAsia="Times New Roman"/>
                <w:b/>
                <w:bCs/>
                <w:color w:val="000000"/>
                <w:sz w:val="12"/>
                <w:szCs w:val="12"/>
              </w:rPr>
              <w:t>Purchases</w:t>
            </w:r>
          </w:p>
        </w:tc>
        <w:tc>
          <w:tcPr>
            <w:tcW w:w="0" w:type="auto"/>
            <w:gridSpan w:val="4"/>
            <w:tcMar>
              <w:top w:w="0" w:type="dxa"/>
              <w:left w:w="20" w:type="dxa"/>
              <w:bottom w:w="0" w:type="dxa"/>
              <w:right w:w="20" w:type="dxa"/>
            </w:tcMar>
            <w:vAlign w:val="center"/>
            <w:hideMark/>
          </w:tcPr>
          <w:p w14:paraId="24A1DC8E"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096E7A9" w14:textId="77777777" w:rsidR="00000000" w:rsidRDefault="00A173A8">
            <w:pPr>
              <w:spacing w:after="100"/>
              <w:jc w:val="center"/>
              <w:rPr>
                <w:rFonts w:eastAsia="Times New Roman"/>
              </w:rPr>
            </w:pPr>
            <w:r>
              <w:rPr>
                <w:rFonts w:eastAsia="Times New Roman"/>
                <w:b/>
                <w:bCs/>
                <w:color w:val="000000"/>
                <w:sz w:val="12"/>
                <w:szCs w:val="12"/>
              </w:rPr>
              <w:t>Sales</w:t>
            </w:r>
          </w:p>
        </w:tc>
        <w:tc>
          <w:tcPr>
            <w:tcW w:w="0" w:type="auto"/>
            <w:gridSpan w:val="9"/>
            <w:tcMar>
              <w:top w:w="0" w:type="dxa"/>
              <w:left w:w="20" w:type="dxa"/>
              <w:bottom w:w="0" w:type="dxa"/>
              <w:right w:w="20" w:type="dxa"/>
            </w:tcMar>
            <w:vAlign w:val="center"/>
            <w:hideMark/>
          </w:tcPr>
          <w:p w14:paraId="68422173" w14:textId="77777777" w:rsidR="00000000" w:rsidRDefault="00A173A8">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4C0A17B6" w14:textId="77777777" w:rsidR="00000000" w:rsidRDefault="00A173A8">
            <w:pPr>
              <w:spacing w:after="100"/>
              <w:jc w:val="center"/>
              <w:rPr>
                <w:rFonts w:eastAsia="Times New Roman"/>
              </w:rPr>
            </w:pPr>
            <w:r>
              <w:rPr>
                <w:rFonts w:eastAsia="Times New Roman"/>
                <w:b/>
                <w:bCs/>
                <w:color w:val="000000"/>
                <w:sz w:val="12"/>
                <w:szCs w:val="12"/>
              </w:rPr>
              <w:t>Issuances</w:t>
            </w:r>
          </w:p>
        </w:tc>
        <w:tc>
          <w:tcPr>
            <w:tcW w:w="0" w:type="auto"/>
            <w:gridSpan w:val="4"/>
            <w:tcMar>
              <w:top w:w="0" w:type="dxa"/>
              <w:left w:w="20" w:type="dxa"/>
              <w:bottom w:w="0" w:type="dxa"/>
              <w:right w:w="20" w:type="dxa"/>
            </w:tcMar>
            <w:vAlign w:val="center"/>
            <w:hideMark/>
          </w:tcPr>
          <w:p w14:paraId="3A3C8047"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E11F17E" w14:textId="77777777" w:rsidR="00000000" w:rsidRDefault="00A173A8">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14:paraId="516A5679"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8448C7" w14:textId="77777777" w:rsidR="00000000" w:rsidRDefault="00A173A8">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28E8FEEB"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884455" w14:textId="77777777" w:rsidR="00000000" w:rsidRDefault="00A173A8">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3FB224E1" w14:textId="77777777" w:rsidR="00000000" w:rsidRDefault="00A173A8">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303DA7D4" w14:textId="77777777" w:rsidR="00000000" w:rsidRDefault="00A173A8">
            <w:pPr>
              <w:spacing w:after="100"/>
              <w:jc w:val="center"/>
              <w:rPr>
                <w:rFonts w:eastAsia="Times New Roman"/>
              </w:rPr>
            </w:pPr>
            <w:r>
              <w:rPr>
                <w:rFonts w:eastAsia="Times New Roman"/>
                <w:b/>
                <w:bCs/>
                <w:color w:val="000000"/>
                <w:sz w:val="12"/>
                <w:szCs w:val="12"/>
              </w:rPr>
              <w:t>Balance, June 30, 2022</w:t>
            </w:r>
          </w:p>
        </w:tc>
        <w:tc>
          <w:tcPr>
            <w:tcW w:w="0" w:type="auto"/>
            <w:tcMar>
              <w:top w:w="0" w:type="dxa"/>
              <w:left w:w="20" w:type="dxa"/>
              <w:bottom w:w="0" w:type="dxa"/>
              <w:right w:w="20" w:type="dxa"/>
            </w:tcMar>
            <w:vAlign w:val="center"/>
            <w:hideMark/>
          </w:tcPr>
          <w:p w14:paraId="485C2C8F" w14:textId="77777777" w:rsidR="00000000" w:rsidRDefault="00A173A8">
            <w:pPr>
              <w:spacing w:after="100"/>
              <w:jc w:val="center"/>
              <w:rPr>
                <w:rFonts w:eastAsia="Times New Roman"/>
              </w:rPr>
            </w:pPr>
          </w:p>
        </w:tc>
      </w:tr>
      <w:tr w:rsidR="00000000" w14:paraId="39E2538D" w14:textId="77777777">
        <w:tc>
          <w:tcPr>
            <w:tcW w:w="0" w:type="auto"/>
            <w:gridSpan w:val="9"/>
            <w:tcBorders>
              <w:top w:val="single" w:sz="8" w:space="0" w:color="000000"/>
            </w:tcBorders>
            <w:shd w:val="clear" w:color="auto" w:fill="CCEEFF"/>
            <w:tcMar>
              <w:top w:w="30" w:type="dxa"/>
              <w:left w:w="20" w:type="dxa"/>
              <w:bottom w:w="30" w:type="dxa"/>
              <w:right w:w="20" w:type="dxa"/>
            </w:tcMar>
            <w:vAlign w:val="center"/>
            <w:hideMark/>
          </w:tcPr>
          <w:p w14:paraId="3CAA7D93" w14:textId="77777777" w:rsidR="00000000" w:rsidRDefault="00A173A8">
            <w:pPr>
              <w:spacing w:after="100"/>
              <w:divId w:val="362243995"/>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4"/>
            <w:shd w:val="clear" w:color="auto" w:fill="CCEEFF"/>
            <w:tcMar>
              <w:top w:w="0" w:type="dxa"/>
              <w:left w:w="20" w:type="dxa"/>
              <w:bottom w:w="0" w:type="dxa"/>
              <w:right w:w="20" w:type="dxa"/>
            </w:tcMar>
            <w:vAlign w:val="center"/>
            <w:hideMark/>
          </w:tcPr>
          <w:p w14:paraId="73A04598" w14:textId="77777777" w:rsidR="00000000" w:rsidRDefault="00A173A8">
            <w:pPr>
              <w:spacing w:after="100"/>
              <w:rPr>
                <w:rFonts w:eastAsia="Times New Roman"/>
              </w:rPr>
            </w:pPr>
          </w:p>
        </w:tc>
        <w:tc>
          <w:tcPr>
            <w:tcW w:w="0" w:type="auto"/>
            <w:gridSpan w:val="10"/>
            <w:tcBorders>
              <w:top w:val="single" w:sz="8" w:space="0" w:color="000000"/>
            </w:tcBorders>
            <w:shd w:val="clear" w:color="auto" w:fill="CCEEFF"/>
            <w:tcMar>
              <w:top w:w="0" w:type="dxa"/>
              <w:left w:w="20" w:type="dxa"/>
              <w:bottom w:w="0" w:type="dxa"/>
              <w:right w:w="20" w:type="dxa"/>
            </w:tcMar>
            <w:vAlign w:val="center"/>
            <w:hideMark/>
          </w:tcPr>
          <w:p w14:paraId="669AC636" w14:textId="77777777" w:rsidR="00000000" w:rsidRDefault="00A173A8">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5AB2F855" w14:textId="77777777" w:rsidR="00000000" w:rsidRDefault="00A173A8">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1EEDB23E" w14:textId="77777777" w:rsidR="00000000" w:rsidRDefault="00A173A8">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1FDBB471" w14:textId="77777777" w:rsidR="00000000" w:rsidRDefault="00A173A8">
            <w:pPr>
              <w:spacing w:after="100"/>
              <w:rPr>
                <w:rFonts w:eastAsia="Times New Roman"/>
                <w:sz w:val="20"/>
                <w:szCs w:val="20"/>
              </w:rPr>
            </w:pPr>
          </w:p>
        </w:tc>
        <w:tc>
          <w:tcPr>
            <w:tcW w:w="0" w:type="auto"/>
            <w:gridSpan w:val="10"/>
            <w:tcBorders>
              <w:top w:val="single" w:sz="8" w:space="0" w:color="000000"/>
            </w:tcBorders>
            <w:shd w:val="clear" w:color="auto" w:fill="CCEEFF"/>
            <w:tcMar>
              <w:top w:w="0" w:type="dxa"/>
              <w:left w:w="20" w:type="dxa"/>
              <w:bottom w:w="0" w:type="dxa"/>
              <w:right w:w="20" w:type="dxa"/>
            </w:tcMar>
            <w:vAlign w:val="center"/>
            <w:hideMark/>
          </w:tcPr>
          <w:p w14:paraId="4AA60434" w14:textId="77777777" w:rsidR="00000000" w:rsidRDefault="00A173A8">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5DFC1EB9" w14:textId="77777777" w:rsidR="00000000" w:rsidRDefault="00A173A8">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2C338543"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4F8C1DF3" w14:textId="77777777" w:rsidR="00000000" w:rsidRDefault="00A173A8">
            <w:pPr>
              <w:spacing w:after="100"/>
              <w:rPr>
                <w:rFonts w:eastAsia="Times New Roman"/>
                <w:sz w:val="20"/>
                <w:szCs w:val="20"/>
              </w:rPr>
            </w:pPr>
          </w:p>
        </w:tc>
        <w:tc>
          <w:tcPr>
            <w:tcW w:w="0" w:type="auto"/>
            <w:gridSpan w:val="9"/>
            <w:tcBorders>
              <w:top w:val="single" w:sz="8" w:space="0" w:color="000000"/>
            </w:tcBorders>
            <w:shd w:val="clear" w:color="auto" w:fill="CCEEFF"/>
            <w:tcMar>
              <w:top w:w="0" w:type="dxa"/>
              <w:left w:w="20" w:type="dxa"/>
              <w:bottom w:w="0" w:type="dxa"/>
              <w:right w:w="20" w:type="dxa"/>
            </w:tcMar>
            <w:vAlign w:val="center"/>
            <w:hideMark/>
          </w:tcPr>
          <w:p w14:paraId="4D65DF79"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583B09E2" w14:textId="77777777" w:rsidR="00000000" w:rsidRDefault="00A173A8">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14:paraId="6BF716A3"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012C6ED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A5F3A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81C9B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24CB6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9C4D6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51565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6A56DF"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719367E0" w14:textId="77777777" w:rsidR="00000000" w:rsidRDefault="00A173A8">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3F04E56D" w14:textId="77777777" w:rsidR="00000000" w:rsidRDefault="00A173A8">
            <w:pPr>
              <w:spacing w:after="100"/>
              <w:rPr>
                <w:rFonts w:eastAsia="Times New Roman"/>
                <w:sz w:val="20"/>
                <w:szCs w:val="20"/>
              </w:rPr>
            </w:pPr>
          </w:p>
        </w:tc>
      </w:tr>
      <w:tr w:rsidR="00A173A8" w14:paraId="16F7E310" w14:textId="77777777">
        <w:tc>
          <w:tcPr>
            <w:tcW w:w="0" w:type="auto"/>
            <w:gridSpan w:val="9"/>
            <w:shd w:val="clear" w:color="auto" w:fill="FFFFFF"/>
            <w:tcMar>
              <w:top w:w="30" w:type="dxa"/>
              <w:left w:w="245" w:type="dxa"/>
              <w:bottom w:w="30" w:type="dxa"/>
              <w:right w:w="20" w:type="dxa"/>
            </w:tcMar>
            <w:vAlign w:val="center"/>
            <w:hideMark/>
          </w:tcPr>
          <w:p w14:paraId="3AAC109B" w14:textId="77777777" w:rsidR="00000000" w:rsidRDefault="00A173A8">
            <w:pPr>
              <w:spacing w:after="100"/>
              <w:rPr>
                <w:rFonts w:eastAsia="Times New Roman"/>
              </w:rPr>
            </w:pPr>
            <w:r>
              <w:rPr>
                <w:rFonts w:eastAsia="Times New Roman"/>
                <w:color w:val="000000"/>
                <w:sz w:val="18"/>
                <w:szCs w:val="18"/>
              </w:rPr>
              <w:t>RMBS</w:t>
            </w:r>
          </w:p>
        </w:tc>
        <w:tc>
          <w:tcPr>
            <w:tcW w:w="0" w:type="auto"/>
            <w:gridSpan w:val="4"/>
            <w:shd w:val="clear" w:color="auto" w:fill="FFFFFF"/>
            <w:tcMar>
              <w:top w:w="0" w:type="dxa"/>
              <w:left w:w="20" w:type="dxa"/>
              <w:bottom w:w="0" w:type="dxa"/>
              <w:right w:w="20" w:type="dxa"/>
            </w:tcMar>
            <w:vAlign w:val="center"/>
            <w:hideMark/>
          </w:tcPr>
          <w:p w14:paraId="7605CF9D" w14:textId="77777777" w:rsidR="00000000" w:rsidRDefault="00A173A8">
            <w:pPr>
              <w:spacing w:after="100"/>
              <w:rPr>
                <w:rFonts w:eastAsia="Times New Roman"/>
              </w:rPr>
            </w:pPr>
          </w:p>
        </w:tc>
        <w:tc>
          <w:tcPr>
            <w:tcW w:w="0" w:type="auto"/>
            <w:gridSpan w:val="5"/>
            <w:shd w:val="clear" w:color="auto" w:fill="FFFFFF"/>
            <w:tcMar>
              <w:top w:w="30" w:type="dxa"/>
              <w:left w:w="20" w:type="dxa"/>
              <w:bottom w:w="30" w:type="dxa"/>
              <w:right w:w="0" w:type="dxa"/>
            </w:tcMar>
            <w:vAlign w:val="bottom"/>
            <w:hideMark/>
          </w:tcPr>
          <w:p w14:paraId="57FABAE9" w14:textId="77777777" w:rsidR="00000000" w:rsidRDefault="00A173A8">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48E166AB" w14:textId="77777777" w:rsidR="00000000" w:rsidRDefault="00A173A8">
            <w:pPr>
              <w:spacing w:after="100"/>
              <w:jc w:val="right"/>
              <w:rPr>
                <w:rFonts w:eastAsia="Times New Roman"/>
              </w:rPr>
            </w:pPr>
            <w:r>
              <w:rPr>
                <w:rFonts w:eastAsia="Times New Roman"/>
                <w:color w:val="000000"/>
                <w:sz w:val="18"/>
                <w:szCs w:val="18"/>
              </w:rPr>
              <w:t>258 </w:t>
            </w:r>
          </w:p>
        </w:tc>
        <w:tc>
          <w:tcPr>
            <w:tcW w:w="0" w:type="auto"/>
            <w:gridSpan w:val="2"/>
            <w:shd w:val="clear" w:color="auto" w:fill="FFFFFF"/>
            <w:tcMar>
              <w:top w:w="30" w:type="dxa"/>
              <w:left w:w="0" w:type="dxa"/>
              <w:bottom w:w="30" w:type="dxa"/>
              <w:right w:w="20" w:type="dxa"/>
            </w:tcMar>
            <w:vAlign w:val="bottom"/>
            <w:hideMark/>
          </w:tcPr>
          <w:p w14:paraId="0A2C88CA"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988589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EBC77D2"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0F4D85A3" w14:textId="77777777" w:rsidR="00000000" w:rsidRDefault="00A173A8">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C0C8998"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78075BB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5670F8"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7"/>
            <w:shd w:val="clear" w:color="auto" w:fill="FFFFFF"/>
            <w:tcMar>
              <w:top w:w="30" w:type="dxa"/>
              <w:left w:w="0" w:type="dxa"/>
              <w:bottom w:w="30" w:type="dxa"/>
              <w:right w:w="0" w:type="dxa"/>
            </w:tcMar>
            <w:vAlign w:val="bottom"/>
            <w:hideMark/>
          </w:tcPr>
          <w:p w14:paraId="0838ACBE" w14:textId="77777777" w:rsidR="00000000" w:rsidRDefault="00A173A8">
            <w:pPr>
              <w:spacing w:after="100"/>
              <w:jc w:val="right"/>
              <w:rPr>
                <w:rFonts w:eastAsia="Times New Roman"/>
              </w:rPr>
            </w:pPr>
            <w:r>
              <w:rPr>
                <w:rFonts w:eastAsia="Times New Roman"/>
                <w:b/>
                <w:bCs/>
                <w:color w:val="000000"/>
                <w:sz w:val="18"/>
                <w:szCs w:val="18"/>
              </w:rPr>
              <w:t>(20)</w:t>
            </w:r>
          </w:p>
        </w:tc>
        <w:tc>
          <w:tcPr>
            <w:tcW w:w="0" w:type="auto"/>
            <w:shd w:val="clear" w:color="auto" w:fill="FFFFFF"/>
            <w:tcMar>
              <w:top w:w="30" w:type="dxa"/>
              <w:left w:w="0" w:type="dxa"/>
              <w:bottom w:w="30" w:type="dxa"/>
              <w:right w:w="20" w:type="dxa"/>
            </w:tcMar>
            <w:vAlign w:val="bottom"/>
            <w:hideMark/>
          </w:tcPr>
          <w:p w14:paraId="0147B5EA"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371A910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3A63CF"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0813A5D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5"/>
            <w:shd w:val="clear" w:color="auto" w:fill="FFFFFF"/>
            <w:tcMar>
              <w:top w:w="30" w:type="dxa"/>
              <w:left w:w="0" w:type="dxa"/>
              <w:bottom w:w="30" w:type="dxa"/>
              <w:right w:w="20" w:type="dxa"/>
            </w:tcMar>
            <w:vAlign w:val="bottom"/>
            <w:hideMark/>
          </w:tcPr>
          <w:p w14:paraId="74CEC275"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B070508"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1758C792"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5"/>
            <w:shd w:val="clear" w:color="auto" w:fill="FFFFFF"/>
            <w:tcMar>
              <w:top w:w="30" w:type="dxa"/>
              <w:left w:w="0" w:type="dxa"/>
              <w:bottom w:w="30" w:type="dxa"/>
              <w:right w:w="0" w:type="dxa"/>
            </w:tcMar>
            <w:vAlign w:val="bottom"/>
            <w:hideMark/>
          </w:tcPr>
          <w:p w14:paraId="43ECE05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1673B33"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20570C5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802B69" w14:textId="77777777" w:rsidR="00000000" w:rsidRDefault="00A173A8">
            <w:pPr>
              <w:spacing w:after="100"/>
              <w:rPr>
                <w:rFonts w:eastAsia="Times New Roman"/>
              </w:rPr>
            </w:pPr>
            <w:r>
              <w:rPr>
                <w:rFonts w:eastAsia="Times New Roman"/>
                <w:b/>
                <w:bCs/>
                <w:color w:val="000000"/>
                <w:sz w:val="18"/>
                <w:szCs w:val="18"/>
              </w:rPr>
              <w:t>$</w:t>
            </w:r>
          </w:p>
        </w:tc>
        <w:tc>
          <w:tcPr>
            <w:tcW w:w="0" w:type="auto"/>
            <w:gridSpan w:val="2"/>
            <w:shd w:val="clear" w:color="auto" w:fill="FFFFFF"/>
            <w:tcMar>
              <w:top w:w="30" w:type="dxa"/>
              <w:left w:w="0" w:type="dxa"/>
              <w:bottom w:w="30" w:type="dxa"/>
              <w:right w:w="0" w:type="dxa"/>
            </w:tcMar>
            <w:vAlign w:val="bottom"/>
            <w:hideMark/>
          </w:tcPr>
          <w:p w14:paraId="3E0E268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FE8B22E"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D085DD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04AD6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3F7C9637" w14:textId="77777777" w:rsidR="00000000" w:rsidRDefault="00A173A8">
            <w:pPr>
              <w:spacing w:after="100"/>
              <w:jc w:val="right"/>
              <w:rPr>
                <w:rFonts w:eastAsia="Times New Roman"/>
              </w:rPr>
            </w:pPr>
            <w:r>
              <w:rPr>
                <w:rFonts w:eastAsia="Times New Roman"/>
                <w:b/>
                <w:bCs/>
                <w:color w:val="000000"/>
                <w:sz w:val="18"/>
                <w:szCs w:val="18"/>
              </w:rPr>
              <w:t>(43)</w:t>
            </w:r>
          </w:p>
        </w:tc>
        <w:tc>
          <w:tcPr>
            <w:tcW w:w="0" w:type="auto"/>
            <w:shd w:val="clear" w:color="auto" w:fill="FFFFFF"/>
            <w:tcMar>
              <w:top w:w="30" w:type="dxa"/>
              <w:left w:w="0" w:type="dxa"/>
              <w:bottom w:w="30" w:type="dxa"/>
              <w:right w:w="20" w:type="dxa"/>
            </w:tcMar>
            <w:vAlign w:val="bottom"/>
            <w:hideMark/>
          </w:tcPr>
          <w:p w14:paraId="299BA15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A170B"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A2EBEC"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034177EF" w14:textId="77777777" w:rsidR="00000000" w:rsidRDefault="00A173A8">
            <w:pPr>
              <w:spacing w:after="100"/>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A2ABF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C200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54F889"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CCF8A9D" w14:textId="77777777" w:rsidR="00000000" w:rsidRDefault="00A173A8">
            <w:pPr>
              <w:spacing w:after="100"/>
              <w:jc w:val="right"/>
              <w:rPr>
                <w:rFonts w:eastAsia="Times New Roman"/>
              </w:rPr>
            </w:pPr>
            <w:r>
              <w:rPr>
                <w:rFonts w:eastAsia="Times New Roman"/>
                <w:b/>
                <w:bCs/>
                <w:color w:val="000000"/>
                <w:sz w:val="18"/>
                <w:szCs w:val="18"/>
              </w:rPr>
              <w:t>(52)</w:t>
            </w:r>
          </w:p>
        </w:tc>
        <w:tc>
          <w:tcPr>
            <w:tcW w:w="0" w:type="auto"/>
            <w:shd w:val="clear" w:color="auto" w:fill="FFFFFF"/>
            <w:tcMar>
              <w:top w:w="30" w:type="dxa"/>
              <w:left w:w="0" w:type="dxa"/>
              <w:bottom w:w="30" w:type="dxa"/>
              <w:right w:w="20" w:type="dxa"/>
            </w:tcMar>
            <w:vAlign w:val="bottom"/>
            <w:hideMark/>
          </w:tcPr>
          <w:p w14:paraId="4105A9F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57199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7E798B"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14:paraId="7009BDB5" w14:textId="77777777" w:rsidR="00000000" w:rsidRDefault="00A173A8">
            <w:pPr>
              <w:spacing w:after="100"/>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0BFBE64" w14:textId="77777777" w:rsidR="00000000" w:rsidRDefault="00A173A8">
            <w:pPr>
              <w:spacing w:after="100"/>
              <w:jc w:val="right"/>
              <w:rPr>
                <w:rFonts w:eastAsia="Times New Roman"/>
              </w:rPr>
            </w:pPr>
            <w:r>
              <w:rPr>
                <w:rFonts w:eastAsia="Times New Roman"/>
                <w:b/>
                <w:bCs/>
                <w:color w:val="000000"/>
                <w:sz w:val="18"/>
                <w:szCs w:val="18"/>
              </w:rPr>
              <w:t>$5</w:t>
            </w:r>
            <w:r>
              <w:rPr>
                <w:rFonts w:eastAsia="Times New Roman"/>
                <w:color w:val="000000"/>
                <w:sz w:val="18"/>
                <w:szCs w:val="18"/>
              </w:rPr>
              <w:t> </w:t>
            </w:r>
          </w:p>
        </w:tc>
      </w:tr>
      <w:tr w:rsidR="00000000" w14:paraId="4A8CA517" w14:textId="77777777">
        <w:tc>
          <w:tcPr>
            <w:tcW w:w="0" w:type="auto"/>
            <w:gridSpan w:val="9"/>
            <w:shd w:val="clear" w:color="auto" w:fill="CCEEFF"/>
            <w:tcMar>
              <w:top w:w="30" w:type="dxa"/>
              <w:left w:w="245" w:type="dxa"/>
              <w:bottom w:w="30" w:type="dxa"/>
              <w:right w:w="20" w:type="dxa"/>
            </w:tcMar>
            <w:vAlign w:val="center"/>
            <w:hideMark/>
          </w:tcPr>
          <w:p w14:paraId="3ECEA365" w14:textId="77777777" w:rsidR="00000000" w:rsidRDefault="00A173A8">
            <w:pPr>
              <w:spacing w:after="100"/>
              <w:rPr>
                <w:rFonts w:eastAsia="Times New Roman"/>
              </w:rPr>
            </w:pPr>
            <w:r>
              <w:rPr>
                <w:rFonts w:eastAsia="Times New Roman"/>
                <w:color w:val="000000"/>
                <w:sz w:val="18"/>
                <w:szCs w:val="18"/>
              </w:rPr>
              <w:t>CMBS</w:t>
            </w:r>
          </w:p>
        </w:tc>
        <w:tc>
          <w:tcPr>
            <w:tcW w:w="0" w:type="auto"/>
            <w:gridSpan w:val="4"/>
            <w:shd w:val="clear" w:color="auto" w:fill="CCEEFF"/>
            <w:tcMar>
              <w:top w:w="0" w:type="dxa"/>
              <w:left w:w="20" w:type="dxa"/>
              <w:bottom w:w="0" w:type="dxa"/>
              <w:right w:w="20" w:type="dxa"/>
            </w:tcMar>
            <w:vAlign w:val="center"/>
            <w:hideMark/>
          </w:tcPr>
          <w:p w14:paraId="185F3794" w14:textId="77777777" w:rsidR="00000000" w:rsidRDefault="00A173A8">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17E3F319" w14:textId="77777777" w:rsidR="00000000" w:rsidRDefault="00A173A8">
            <w:pPr>
              <w:spacing w:after="100"/>
              <w:jc w:val="right"/>
              <w:rPr>
                <w:rFonts w:eastAsia="Times New Roman"/>
              </w:rPr>
            </w:pPr>
            <w:r>
              <w:rPr>
                <w:rFonts w:eastAsia="Times New Roman"/>
                <w:color w:val="000000"/>
                <w:sz w:val="18"/>
                <w:szCs w:val="18"/>
              </w:rPr>
              <w:t>9 </w:t>
            </w:r>
          </w:p>
        </w:tc>
        <w:tc>
          <w:tcPr>
            <w:tcW w:w="0" w:type="auto"/>
            <w:gridSpan w:val="2"/>
            <w:shd w:val="clear" w:color="auto" w:fill="CCEEFF"/>
            <w:tcMar>
              <w:top w:w="30" w:type="dxa"/>
              <w:left w:w="0" w:type="dxa"/>
              <w:bottom w:w="30" w:type="dxa"/>
              <w:right w:w="20" w:type="dxa"/>
            </w:tcMar>
            <w:vAlign w:val="bottom"/>
            <w:hideMark/>
          </w:tcPr>
          <w:p w14:paraId="1EF1C0C1" w14:textId="77777777" w:rsidR="00000000" w:rsidRDefault="00A173A8">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3B7C6835"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2EB686A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B58A6DC" w14:textId="77777777" w:rsidR="00000000" w:rsidRDefault="00A173A8">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030618DF" w14:textId="77777777" w:rsidR="00000000" w:rsidRDefault="00A173A8">
            <w:pPr>
              <w:spacing w:after="100"/>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14:paraId="1BF4D96A"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14:paraId="1B45660B" w14:textId="77777777" w:rsidR="00000000" w:rsidRDefault="00A173A8">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506876C2"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52A0C43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5"/>
            <w:shd w:val="clear" w:color="auto" w:fill="CCEEFF"/>
            <w:tcMar>
              <w:top w:w="30" w:type="dxa"/>
              <w:left w:w="0" w:type="dxa"/>
              <w:bottom w:w="30" w:type="dxa"/>
              <w:right w:w="20" w:type="dxa"/>
            </w:tcMar>
            <w:vAlign w:val="bottom"/>
            <w:hideMark/>
          </w:tcPr>
          <w:p w14:paraId="7C958192"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0E98B255"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12FE16C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BBECF0"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1C7D9293"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186CCDA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11A0E48"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7FA2A3B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7083B9" w14:textId="77777777" w:rsidR="00000000" w:rsidRDefault="00A173A8">
            <w:pPr>
              <w:spacing w:after="100"/>
              <w:jc w:val="right"/>
              <w:rPr>
                <w:rFonts w:eastAsia="Times New Roman"/>
              </w:rPr>
            </w:pPr>
            <w:r>
              <w:rPr>
                <w:rFonts w:eastAsia="Times New Roman"/>
                <w:b/>
                <w:bCs/>
                <w:color w:val="000000"/>
                <w:sz w:val="18"/>
                <w:szCs w:val="18"/>
              </w:rPr>
              <w:t>(5)</w:t>
            </w:r>
          </w:p>
        </w:tc>
        <w:tc>
          <w:tcPr>
            <w:tcW w:w="0" w:type="auto"/>
            <w:shd w:val="clear" w:color="auto" w:fill="CCEEFF"/>
            <w:tcMar>
              <w:top w:w="30" w:type="dxa"/>
              <w:left w:w="0" w:type="dxa"/>
              <w:bottom w:w="30" w:type="dxa"/>
              <w:right w:w="20" w:type="dxa"/>
            </w:tcMar>
            <w:vAlign w:val="bottom"/>
            <w:hideMark/>
          </w:tcPr>
          <w:p w14:paraId="0079FFA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0E93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104E2F" w14:textId="77777777" w:rsidR="00000000" w:rsidRDefault="00A173A8">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94268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9717D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7B0E56" w14:textId="77777777" w:rsidR="00000000" w:rsidRDefault="00A173A8">
            <w:pPr>
              <w:spacing w:after="100"/>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bottom"/>
            <w:hideMark/>
          </w:tcPr>
          <w:p w14:paraId="3AE1FB1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6A995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88AD9" w14:textId="77777777" w:rsidR="00000000" w:rsidRDefault="00A173A8">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43792E" w14:textId="77777777" w:rsidR="00000000" w:rsidRDefault="00A173A8">
            <w:pPr>
              <w:spacing w:after="100"/>
              <w:jc w:val="right"/>
              <w:rPr>
                <w:rFonts w:eastAsia="Times New Roman"/>
              </w:rPr>
            </w:pPr>
            <w:r>
              <w:rPr>
                <w:rFonts w:eastAsia="Times New Roman"/>
                <w:b/>
                <w:bCs/>
                <w:color w:val="000000"/>
                <w:sz w:val="18"/>
                <w:szCs w:val="18"/>
              </w:rPr>
              <w:t>(1)</w:t>
            </w:r>
          </w:p>
        </w:tc>
      </w:tr>
      <w:tr w:rsidR="00000000" w14:paraId="0C871351" w14:textId="77777777">
        <w:tc>
          <w:tcPr>
            <w:tcW w:w="0" w:type="auto"/>
            <w:gridSpan w:val="9"/>
            <w:vAlign w:val="center"/>
            <w:hideMark/>
          </w:tcPr>
          <w:p w14:paraId="10A632DC" w14:textId="77777777" w:rsidR="00000000" w:rsidRDefault="00A173A8">
            <w:pPr>
              <w:spacing w:after="100"/>
              <w:jc w:val="right"/>
              <w:rPr>
                <w:rFonts w:eastAsia="Times New Roman"/>
                <w:sz w:val="20"/>
                <w:szCs w:val="20"/>
              </w:rPr>
            </w:pPr>
          </w:p>
        </w:tc>
        <w:tc>
          <w:tcPr>
            <w:tcW w:w="0" w:type="auto"/>
            <w:gridSpan w:val="4"/>
            <w:vAlign w:val="center"/>
            <w:hideMark/>
          </w:tcPr>
          <w:p w14:paraId="52F9CAAF" w14:textId="77777777" w:rsidR="00000000" w:rsidRDefault="00A173A8">
            <w:pPr>
              <w:spacing w:after="100"/>
              <w:rPr>
                <w:rFonts w:eastAsia="Times New Roman"/>
                <w:sz w:val="20"/>
                <w:szCs w:val="20"/>
              </w:rPr>
            </w:pPr>
          </w:p>
        </w:tc>
        <w:tc>
          <w:tcPr>
            <w:tcW w:w="0" w:type="auto"/>
            <w:gridSpan w:val="10"/>
            <w:vAlign w:val="center"/>
            <w:hideMark/>
          </w:tcPr>
          <w:p w14:paraId="53E16E38" w14:textId="77777777" w:rsidR="00000000" w:rsidRDefault="00A173A8">
            <w:pPr>
              <w:spacing w:after="100"/>
              <w:rPr>
                <w:rFonts w:eastAsia="Times New Roman"/>
                <w:sz w:val="20"/>
                <w:szCs w:val="20"/>
              </w:rPr>
            </w:pPr>
          </w:p>
        </w:tc>
        <w:tc>
          <w:tcPr>
            <w:tcW w:w="0" w:type="auto"/>
            <w:gridSpan w:val="8"/>
            <w:vAlign w:val="center"/>
            <w:hideMark/>
          </w:tcPr>
          <w:p w14:paraId="0A4E4199" w14:textId="77777777" w:rsidR="00000000" w:rsidRDefault="00A173A8">
            <w:pPr>
              <w:spacing w:after="100"/>
              <w:rPr>
                <w:rFonts w:eastAsia="Times New Roman"/>
                <w:sz w:val="20"/>
                <w:szCs w:val="20"/>
              </w:rPr>
            </w:pPr>
          </w:p>
        </w:tc>
        <w:tc>
          <w:tcPr>
            <w:tcW w:w="0" w:type="auto"/>
            <w:gridSpan w:val="9"/>
            <w:vAlign w:val="center"/>
            <w:hideMark/>
          </w:tcPr>
          <w:p w14:paraId="77374998" w14:textId="77777777" w:rsidR="00000000" w:rsidRDefault="00A173A8">
            <w:pPr>
              <w:spacing w:after="100"/>
              <w:rPr>
                <w:rFonts w:eastAsia="Times New Roman"/>
                <w:sz w:val="20"/>
                <w:szCs w:val="20"/>
              </w:rPr>
            </w:pPr>
          </w:p>
        </w:tc>
        <w:tc>
          <w:tcPr>
            <w:tcW w:w="0" w:type="auto"/>
            <w:gridSpan w:val="8"/>
            <w:vAlign w:val="center"/>
            <w:hideMark/>
          </w:tcPr>
          <w:p w14:paraId="1F0F4335" w14:textId="77777777" w:rsidR="00000000" w:rsidRDefault="00A173A8">
            <w:pPr>
              <w:spacing w:after="100"/>
              <w:rPr>
                <w:rFonts w:eastAsia="Times New Roman"/>
                <w:sz w:val="20"/>
                <w:szCs w:val="20"/>
              </w:rPr>
            </w:pPr>
          </w:p>
        </w:tc>
        <w:tc>
          <w:tcPr>
            <w:tcW w:w="0" w:type="auto"/>
            <w:gridSpan w:val="10"/>
            <w:vAlign w:val="center"/>
            <w:hideMark/>
          </w:tcPr>
          <w:p w14:paraId="27920CD1" w14:textId="77777777" w:rsidR="00000000" w:rsidRDefault="00A173A8">
            <w:pPr>
              <w:spacing w:after="100"/>
              <w:rPr>
                <w:rFonts w:eastAsia="Times New Roman"/>
                <w:sz w:val="20"/>
                <w:szCs w:val="20"/>
              </w:rPr>
            </w:pPr>
          </w:p>
        </w:tc>
        <w:tc>
          <w:tcPr>
            <w:tcW w:w="0" w:type="auto"/>
            <w:gridSpan w:val="8"/>
            <w:vAlign w:val="center"/>
            <w:hideMark/>
          </w:tcPr>
          <w:p w14:paraId="2902691F" w14:textId="77777777" w:rsidR="00000000" w:rsidRDefault="00A173A8">
            <w:pPr>
              <w:spacing w:after="100"/>
              <w:rPr>
                <w:rFonts w:eastAsia="Times New Roman"/>
                <w:sz w:val="20"/>
                <w:szCs w:val="20"/>
              </w:rPr>
            </w:pPr>
          </w:p>
        </w:tc>
        <w:tc>
          <w:tcPr>
            <w:tcW w:w="0" w:type="auto"/>
            <w:gridSpan w:val="9"/>
            <w:vAlign w:val="center"/>
            <w:hideMark/>
          </w:tcPr>
          <w:p w14:paraId="5C8790C5" w14:textId="77777777" w:rsidR="00000000" w:rsidRDefault="00A173A8">
            <w:pPr>
              <w:spacing w:after="100"/>
              <w:rPr>
                <w:rFonts w:eastAsia="Times New Roman"/>
                <w:sz w:val="20"/>
                <w:szCs w:val="20"/>
              </w:rPr>
            </w:pPr>
          </w:p>
        </w:tc>
        <w:tc>
          <w:tcPr>
            <w:tcW w:w="0" w:type="auto"/>
            <w:gridSpan w:val="4"/>
            <w:vAlign w:val="center"/>
            <w:hideMark/>
          </w:tcPr>
          <w:p w14:paraId="57C9AC7B" w14:textId="77777777" w:rsidR="00000000" w:rsidRDefault="00A173A8">
            <w:pPr>
              <w:spacing w:after="100"/>
              <w:rPr>
                <w:rFonts w:eastAsia="Times New Roman"/>
                <w:sz w:val="20"/>
                <w:szCs w:val="20"/>
              </w:rPr>
            </w:pPr>
          </w:p>
        </w:tc>
        <w:tc>
          <w:tcPr>
            <w:tcW w:w="0" w:type="auto"/>
            <w:gridSpan w:val="9"/>
            <w:vAlign w:val="center"/>
            <w:hideMark/>
          </w:tcPr>
          <w:p w14:paraId="6EEADF7F" w14:textId="77777777" w:rsidR="00000000" w:rsidRDefault="00A173A8">
            <w:pPr>
              <w:spacing w:after="100"/>
              <w:rPr>
                <w:rFonts w:eastAsia="Times New Roman"/>
                <w:sz w:val="20"/>
                <w:szCs w:val="20"/>
              </w:rPr>
            </w:pPr>
          </w:p>
        </w:tc>
        <w:tc>
          <w:tcPr>
            <w:tcW w:w="0" w:type="auto"/>
            <w:gridSpan w:val="9"/>
            <w:vAlign w:val="center"/>
            <w:hideMark/>
          </w:tcPr>
          <w:p w14:paraId="438CEBCB" w14:textId="77777777" w:rsidR="00000000" w:rsidRDefault="00A173A8">
            <w:pPr>
              <w:spacing w:after="100"/>
              <w:rPr>
                <w:rFonts w:eastAsia="Times New Roman"/>
                <w:sz w:val="20"/>
                <w:szCs w:val="20"/>
              </w:rPr>
            </w:pPr>
          </w:p>
        </w:tc>
        <w:tc>
          <w:tcPr>
            <w:tcW w:w="0" w:type="auto"/>
            <w:gridSpan w:val="4"/>
            <w:vAlign w:val="center"/>
            <w:hideMark/>
          </w:tcPr>
          <w:p w14:paraId="103EB0E0" w14:textId="77777777" w:rsidR="00000000" w:rsidRDefault="00A173A8">
            <w:pPr>
              <w:spacing w:after="100"/>
              <w:rPr>
                <w:rFonts w:eastAsia="Times New Roman"/>
                <w:sz w:val="20"/>
                <w:szCs w:val="20"/>
              </w:rPr>
            </w:pPr>
          </w:p>
        </w:tc>
        <w:tc>
          <w:tcPr>
            <w:tcW w:w="0" w:type="auto"/>
            <w:gridSpan w:val="4"/>
            <w:vAlign w:val="center"/>
            <w:hideMark/>
          </w:tcPr>
          <w:p w14:paraId="50144AF4" w14:textId="77777777" w:rsidR="00000000" w:rsidRDefault="00A173A8">
            <w:pPr>
              <w:spacing w:after="100"/>
              <w:rPr>
                <w:rFonts w:eastAsia="Times New Roman"/>
                <w:sz w:val="20"/>
                <w:szCs w:val="20"/>
              </w:rPr>
            </w:pPr>
          </w:p>
        </w:tc>
        <w:tc>
          <w:tcPr>
            <w:tcW w:w="0" w:type="auto"/>
            <w:gridSpan w:val="3"/>
            <w:vAlign w:val="center"/>
            <w:hideMark/>
          </w:tcPr>
          <w:p w14:paraId="358C5AB8" w14:textId="77777777" w:rsidR="00000000" w:rsidRDefault="00A173A8">
            <w:pPr>
              <w:spacing w:after="100"/>
              <w:rPr>
                <w:rFonts w:eastAsia="Times New Roman"/>
                <w:sz w:val="20"/>
                <w:szCs w:val="20"/>
              </w:rPr>
            </w:pPr>
          </w:p>
        </w:tc>
        <w:tc>
          <w:tcPr>
            <w:tcW w:w="0" w:type="auto"/>
            <w:gridSpan w:val="3"/>
            <w:vAlign w:val="center"/>
            <w:hideMark/>
          </w:tcPr>
          <w:p w14:paraId="648103C8" w14:textId="77777777" w:rsidR="00000000" w:rsidRDefault="00A173A8">
            <w:pPr>
              <w:spacing w:after="100"/>
              <w:rPr>
                <w:rFonts w:eastAsia="Times New Roman"/>
                <w:sz w:val="20"/>
                <w:szCs w:val="20"/>
              </w:rPr>
            </w:pPr>
          </w:p>
        </w:tc>
        <w:tc>
          <w:tcPr>
            <w:tcW w:w="0" w:type="auto"/>
            <w:gridSpan w:val="3"/>
            <w:vAlign w:val="center"/>
            <w:hideMark/>
          </w:tcPr>
          <w:p w14:paraId="447AFFAD" w14:textId="77777777" w:rsidR="00000000" w:rsidRDefault="00A173A8">
            <w:pPr>
              <w:spacing w:after="100"/>
              <w:rPr>
                <w:rFonts w:eastAsia="Times New Roman"/>
                <w:sz w:val="20"/>
                <w:szCs w:val="20"/>
              </w:rPr>
            </w:pPr>
          </w:p>
        </w:tc>
        <w:tc>
          <w:tcPr>
            <w:tcW w:w="0" w:type="auto"/>
            <w:gridSpan w:val="3"/>
            <w:vAlign w:val="center"/>
            <w:hideMark/>
          </w:tcPr>
          <w:p w14:paraId="3DAF5887" w14:textId="77777777" w:rsidR="00000000" w:rsidRDefault="00A173A8">
            <w:pPr>
              <w:spacing w:after="100"/>
              <w:rPr>
                <w:rFonts w:eastAsia="Times New Roman"/>
                <w:sz w:val="20"/>
                <w:szCs w:val="20"/>
              </w:rPr>
            </w:pPr>
          </w:p>
        </w:tc>
        <w:tc>
          <w:tcPr>
            <w:tcW w:w="0" w:type="auto"/>
            <w:gridSpan w:val="3"/>
            <w:vAlign w:val="center"/>
            <w:hideMark/>
          </w:tcPr>
          <w:p w14:paraId="0AE4143B" w14:textId="77777777" w:rsidR="00000000" w:rsidRDefault="00A173A8">
            <w:pPr>
              <w:spacing w:after="100"/>
              <w:rPr>
                <w:rFonts w:eastAsia="Times New Roman"/>
                <w:sz w:val="20"/>
                <w:szCs w:val="20"/>
              </w:rPr>
            </w:pPr>
          </w:p>
        </w:tc>
        <w:tc>
          <w:tcPr>
            <w:tcW w:w="0" w:type="auto"/>
            <w:gridSpan w:val="3"/>
            <w:vAlign w:val="center"/>
            <w:hideMark/>
          </w:tcPr>
          <w:p w14:paraId="6AE8BF19" w14:textId="77777777" w:rsidR="00000000" w:rsidRDefault="00A173A8">
            <w:pPr>
              <w:spacing w:after="100"/>
              <w:rPr>
                <w:rFonts w:eastAsia="Times New Roman"/>
                <w:sz w:val="20"/>
                <w:szCs w:val="20"/>
              </w:rPr>
            </w:pPr>
          </w:p>
        </w:tc>
        <w:tc>
          <w:tcPr>
            <w:tcW w:w="0" w:type="auto"/>
            <w:gridSpan w:val="2"/>
            <w:vAlign w:val="center"/>
            <w:hideMark/>
          </w:tcPr>
          <w:p w14:paraId="7DF80D9A" w14:textId="77777777" w:rsidR="00000000" w:rsidRDefault="00A173A8">
            <w:pPr>
              <w:spacing w:after="100"/>
              <w:rPr>
                <w:rFonts w:eastAsia="Times New Roman"/>
                <w:sz w:val="20"/>
                <w:szCs w:val="20"/>
              </w:rPr>
            </w:pPr>
          </w:p>
        </w:tc>
        <w:tc>
          <w:tcPr>
            <w:tcW w:w="0" w:type="auto"/>
            <w:vAlign w:val="center"/>
            <w:hideMark/>
          </w:tcPr>
          <w:p w14:paraId="302EBFF6" w14:textId="77777777" w:rsidR="00000000" w:rsidRDefault="00A173A8">
            <w:pPr>
              <w:spacing w:after="100"/>
              <w:rPr>
                <w:rFonts w:eastAsia="Times New Roman"/>
                <w:sz w:val="20"/>
                <w:szCs w:val="20"/>
              </w:rPr>
            </w:pPr>
          </w:p>
        </w:tc>
      </w:tr>
      <w:tr w:rsidR="00000000" w14:paraId="7989073C" w14:textId="77777777">
        <w:tc>
          <w:tcPr>
            <w:tcW w:w="0" w:type="auto"/>
            <w:gridSpan w:val="9"/>
            <w:shd w:val="clear" w:color="auto" w:fill="FFFFFF"/>
            <w:tcMar>
              <w:top w:w="30" w:type="dxa"/>
              <w:left w:w="20" w:type="dxa"/>
              <w:bottom w:w="30" w:type="dxa"/>
              <w:right w:w="20" w:type="dxa"/>
            </w:tcMar>
            <w:vAlign w:val="center"/>
            <w:hideMark/>
          </w:tcPr>
          <w:p w14:paraId="34FCC0D3" w14:textId="77777777" w:rsidR="00000000" w:rsidRDefault="00A173A8">
            <w:pPr>
              <w:spacing w:after="100"/>
              <w:rPr>
                <w:rFonts w:eastAsia="Times New Roman"/>
              </w:rPr>
            </w:pPr>
            <w:r>
              <w:rPr>
                <w:rFonts w:eastAsia="Times New Roman"/>
                <w:color w:val="000000"/>
                <w:sz w:val="18"/>
                <w:szCs w:val="18"/>
              </w:rPr>
              <w:t>Total securities available for sale</w:t>
            </w:r>
          </w:p>
        </w:tc>
        <w:tc>
          <w:tcPr>
            <w:tcW w:w="0" w:type="auto"/>
            <w:gridSpan w:val="4"/>
            <w:shd w:val="clear" w:color="auto" w:fill="FFFFFF"/>
            <w:tcMar>
              <w:top w:w="0" w:type="dxa"/>
              <w:left w:w="20" w:type="dxa"/>
              <w:bottom w:w="0" w:type="dxa"/>
              <w:right w:w="20" w:type="dxa"/>
            </w:tcMar>
            <w:vAlign w:val="center"/>
            <w:hideMark/>
          </w:tcPr>
          <w:p w14:paraId="5F7E338B" w14:textId="77777777" w:rsidR="00000000" w:rsidRDefault="00A173A8">
            <w:pPr>
              <w:spacing w:after="100"/>
              <w:rPr>
                <w:rFonts w:eastAsia="Times New Roman"/>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078C53FC" w14:textId="77777777" w:rsidR="00000000" w:rsidRDefault="00A173A8">
            <w:pPr>
              <w:spacing w:after="100"/>
              <w:jc w:val="right"/>
              <w:rPr>
                <w:rFonts w:eastAsia="Times New Roman"/>
              </w:rPr>
            </w:pPr>
            <w:r>
              <w:rPr>
                <w:rFonts w:eastAsia="Times New Roman"/>
                <w:color w:val="000000"/>
                <w:sz w:val="18"/>
                <w:szCs w:val="18"/>
              </w:rPr>
              <w:t>267 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2D7EA105"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DF418AD" w14:textId="77777777" w:rsidR="00000000" w:rsidRDefault="00A173A8">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48639936" w14:textId="77777777" w:rsidR="00000000" w:rsidRDefault="00A173A8">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F989E7"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132C423B" w14:textId="77777777" w:rsidR="00000000" w:rsidRDefault="00A173A8">
            <w:pPr>
              <w:spacing w:after="100"/>
              <w:jc w:val="right"/>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0" w:type="dxa"/>
            </w:tcMar>
            <w:vAlign w:val="bottom"/>
            <w:hideMark/>
          </w:tcPr>
          <w:p w14:paraId="23F586B6" w14:textId="77777777" w:rsidR="00000000" w:rsidRDefault="00A173A8">
            <w:pPr>
              <w:spacing w:after="100"/>
              <w:jc w:val="right"/>
              <w:rPr>
                <w:rFonts w:eastAsia="Times New Roman"/>
              </w:rPr>
            </w:pPr>
            <w:r>
              <w:rPr>
                <w:rFonts w:eastAsia="Times New Roman"/>
                <w:b/>
                <w:bCs/>
                <w:color w:val="000000"/>
                <w:sz w:val="18"/>
                <w:szCs w:val="18"/>
              </w:rPr>
              <w:t>(21)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3DAD37"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22ADA30"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2101610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5"/>
            <w:tcBorders>
              <w:top w:val="single" w:sz="8" w:space="0" w:color="000000"/>
            </w:tcBorders>
            <w:shd w:val="clear" w:color="auto" w:fill="FFFFFF"/>
            <w:tcMar>
              <w:top w:w="30" w:type="dxa"/>
              <w:left w:w="0" w:type="dxa"/>
              <w:bottom w:w="30" w:type="dxa"/>
              <w:right w:w="20" w:type="dxa"/>
            </w:tcMar>
            <w:vAlign w:val="bottom"/>
            <w:hideMark/>
          </w:tcPr>
          <w:p w14:paraId="4CF3C0C7"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3E376277" w14:textId="77777777" w:rsidR="00000000" w:rsidRDefault="00A173A8">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14:paraId="6DC956B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1031AC"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684E7E1B"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14:paraId="2648BDD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A8518D"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074D63A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F4671D" w14:textId="77777777" w:rsidR="00000000" w:rsidRDefault="00A173A8">
            <w:pPr>
              <w:spacing w:after="100"/>
              <w:jc w:val="right"/>
              <w:rPr>
                <w:rFonts w:eastAsia="Times New Roman"/>
              </w:rPr>
            </w:pPr>
            <w:r>
              <w:rPr>
                <w:rFonts w:eastAsia="Times New Roman"/>
                <w:b/>
                <w:bCs/>
                <w:color w:val="000000"/>
                <w:sz w:val="18"/>
                <w:szCs w:val="18"/>
              </w:rPr>
              <w:t>(48)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24A9E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9647F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5310FD" w14:textId="77777777" w:rsidR="00000000" w:rsidRDefault="00A173A8">
            <w:pPr>
              <w:spacing w:after="100"/>
              <w:jc w:val="right"/>
              <w:rPr>
                <w:rFonts w:eastAsia="Times New Roman"/>
              </w:rPr>
            </w:pPr>
            <w:r>
              <w:rPr>
                <w:rFonts w:eastAsia="Times New Roman"/>
                <w:b/>
                <w:bCs/>
                <w:color w:val="000000"/>
                <w:sz w:val="18"/>
                <w:szCs w:val="18"/>
              </w:rPr>
              <w:t>97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BFA05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76E8B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C9CC42" w14:textId="77777777" w:rsidR="00000000" w:rsidRDefault="00A173A8">
            <w:pPr>
              <w:spacing w:after="100"/>
              <w:jc w:val="right"/>
              <w:rPr>
                <w:rFonts w:eastAsia="Times New Roman"/>
              </w:rPr>
            </w:pPr>
            <w:r>
              <w:rPr>
                <w:rFonts w:eastAsia="Times New Roman"/>
                <w:b/>
                <w:bCs/>
                <w:color w:val="000000"/>
                <w:sz w:val="18"/>
                <w:szCs w:val="18"/>
              </w:rPr>
              <w:t>(55)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ADC06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B847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D4A60A" w14:textId="77777777" w:rsidR="00000000" w:rsidRDefault="00A173A8">
            <w:pPr>
              <w:spacing w:after="100"/>
              <w:jc w:val="right"/>
              <w:rPr>
                <w:rFonts w:eastAsia="Times New Roman"/>
              </w:rPr>
            </w:pPr>
            <w:r>
              <w:rPr>
                <w:rFonts w:eastAsia="Times New Roman"/>
                <w:b/>
                <w:bCs/>
                <w:color w:val="000000"/>
                <w:sz w:val="18"/>
                <w:szCs w:val="18"/>
              </w:rPr>
              <w:t>253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F28FF2" w14:textId="77777777" w:rsidR="00000000" w:rsidRDefault="00A173A8">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r>
      <w:tr w:rsidR="00000000" w14:paraId="0D256723" w14:textId="77777777">
        <w:tc>
          <w:tcPr>
            <w:tcW w:w="0" w:type="auto"/>
            <w:gridSpan w:val="9"/>
            <w:shd w:val="clear" w:color="auto" w:fill="CCEEFF"/>
            <w:tcMar>
              <w:top w:w="30" w:type="dxa"/>
              <w:left w:w="20" w:type="dxa"/>
              <w:bottom w:w="30" w:type="dxa"/>
              <w:right w:w="20" w:type="dxa"/>
            </w:tcMar>
            <w:vAlign w:val="center"/>
            <w:hideMark/>
          </w:tcPr>
          <w:p w14:paraId="18E77E36" w14:textId="77777777" w:rsidR="00000000" w:rsidRDefault="00A173A8">
            <w:pPr>
              <w:spacing w:after="100"/>
              <w:rPr>
                <w:rFonts w:eastAsia="Times New Roman"/>
              </w:rPr>
            </w:pPr>
            <w:r>
              <w:rPr>
                <w:rFonts w:eastAsia="Times New Roman"/>
                <w:color w:val="000000"/>
                <w:sz w:val="18"/>
                <w:szCs w:val="18"/>
              </w:rPr>
              <w:t>Other assets:</w:t>
            </w:r>
          </w:p>
        </w:tc>
        <w:tc>
          <w:tcPr>
            <w:tcW w:w="0" w:type="auto"/>
            <w:gridSpan w:val="4"/>
            <w:shd w:val="clear" w:color="auto" w:fill="CCEEFF"/>
            <w:tcMar>
              <w:top w:w="0" w:type="dxa"/>
              <w:left w:w="20" w:type="dxa"/>
              <w:bottom w:w="0" w:type="dxa"/>
              <w:right w:w="20" w:type="dxa"/>
            </w:tcMar>
            <w:vAlign w:val="center"/>
            <w:hideMark/>
          </w:tcPr>
          <w:p w14:paraId="03E1A960" w14:textId="77777777" w:rsidR="00000000" w:rsidRDefault="00A173A8">
            <w:pPr>
              <w:spacing w:after="100"/>
              <w:rPr>
                <w:rFonts w:eastAsia="Times New Roman"/>
              </w:rPr>
            </w:pPr>
          </w:p>
        </w:tc>
        <w:tc>
          <w:tcPr>
            <w:tcW w:w="0" w:type="auto"/>
            <w:gridSpan w:val="10"/>
            <w:tcBorders>
              <w:top w:val="double" w:sz="6" w:space="0" w:color="000000"/>
            </w:tcBorders>
            <w:shd w:val="clear" w:color="auto" w:fill="CCEEFF"/>
            <w:tcMar>
              <w:top w:w="0" w:type="dxa"/>
              <w:left w:w="20" w:type="dxa"/>
              <w:bottom w:w="0" w:type="dxa"/>
              <w:right w:w="20" w:type="dxa"/>
            </w:tcMar>
            <w:vAlign w:val="center"/>
            <w:hideMark/>
          </w:tcPr>
          <w:p w14:paraId="032B6D7E" w14:textId="77777777" w:rsidR="00000000" w:rsidRDefault="00A173A8">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3414354B" w14:textId="77777777" w:rsidR="00000000" w:rsidRDefault="00A173A8">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064D52C5" w14:textId="77777777" w:rsidR="00000000" w:rsidRDefault="00A173A8">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5F6D15D9" w14:textId="77777777" w:rsidR="00000000" w:rsidRDefault="00A173A8">
            <w:pPr>
              <w:spacing w:after="100"/>
              <w:rPr>
                <w:rFonts w:eastAsia="Times New Roman"/>
                <w:sz w:val="20"/>
                <w:szCs w:val="20"/>
              </w:rPr>
            </w:pPr>
          </w:p>
        </w:tc>
        <w:tc>
          <w:tcPr>
            <w:tcW w:w="0" w:type="auto"/>
            <w:gridSpan w:val="10"/>
            <w:tcBorders>
              <w:top w:val="double" w:sz="6" w:space="0" w:color="000000"/>
            </w:tcBorders>
            <w:shd w:val="clear" w:color="auto" w:fill="CCEEFF"/>
            <w:tcMar>
              <w:top w:w="0" w:type="dxa"/>
              <w:left w:w="20" w:type="dxa"/>
              <w:bottom w:w="0" w:type="dxa"/>
              <w:right w:w="20" w:type="dxa"/>
            </w:tcMar>
            <w:vAlign w:val="center"/>
            <w:hideMark/>
          </w:tcPr>
          <w:p w14:paraId="76EC0E34" w14:textId="77777777" w:rsidR="00000000" w:rsidRDefault="00A173A8">
            <w:pPr>
              <w:spacing w:after="100"/>
              <w:rPr>
                <w:rFonts w:eastAsia="Times New Roman"/>
                <w:sz w:val="20"/>
                <w:szCs w:val="20"/>
              </w:rPr>
            </w:pPr>
          </w:p>
        </w:tc>
        <w:tc>
          <w:tcPr>
            <w:tcW w:w="0" w:type="auto"/>
            <w:gridSpan w:val="8"/>
            <w:shd w:val="clear" w:color="auto" w:fill="CCEEFF"/>
            <w:tcMar>
              <w:top w:w="0" w:type="dxa"/>
              <w:left w:w="20" w:type="dxa"/>
              <w:bottom w:w="0" w:type="dxa"/>
              <w:right w:w="20" w:type="dxa"/>
            </w:tcMar>
            <w:vAlign w:val="center"/>
            <w:hideMark/>
          </w:tcPr>
          <w:p w14:paraId="58E9E211" w14:textId="77777777" w:rsidR="00000000" w:rsidRDefault="00A173A8">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1F9285B6"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5320614C" w14:textId="77777777" w:rsidR="00000000" w:rsidRDefault="00A173A8">
            <w:pPr>
              <w:spacing w:after="100"/>
              <w:rPr>
                <w:rFonts w:eastAsia="Times New Roman"/>
                <w:sz w:val="20"/>
                <w:szCs w:val="20"/>
              </w:rPr>
            </w:pPr>
          </w:p>
        </w:tc>
        <w:tc>
          <w:tcPr>
            <w:tcW w:w="0" w:type="auto"/>
            <w:gridSpan w:val="9"/>
            <w:tcBorders>
              <w:top w:val="double" w:sz="6" w:space="0" w:color="000000"/>
            </w:tcBorders>
            <w:shd w:val="clear" w:color="auto" w:fill="CCEEFF"/>
            <w:tcMar>
              <w:top w:w="0" w:type="dxa"/>
              <w:left w:w="20" w:type="dxa"/>
              <w:bottom w:w="0" w:type="dxa"/>
              <w:right w:w="20" w:type="dxa"/>
            </w:tcMar>
            <w:vAlign w:val="center"/>
            <w:hideMark/>
          </w:tcPr>
          <w:p w14:paraId="1C4173B5" w14:textId="77777777" w:rsidR="00000000" w:rsidRDefault="00A173A8">
            <w:pPr>
              <w:spacing w:after="100"/>
              <w:rPr>
                <w:rFonts w:eastAsia="Times New Roman"/>
                <w:sz w:val="20"/>
                <w:szCs w:val="20"/>
              </w:rPr>
            </w:pPr>
          </w:p>
        </w:tc>
        <w:tc>
          <w:tcPr>
            <w:tcW w:w="0" w:type="auto"/>
            <w:gridSpan w:val="9"/>
            <w:shd w:val="clear" w:color="auto" w:fill="CCEEFF"/>
            <w:tcMar>
              <w:top w:w="0" w:type="dxa"/>
              <w:left w:w="20" w:type="dxa"/>
              <w:bottom w:w="0" w:type="dxa"/>
              <w:right w:w="20" w:type="dxa"/>
            </w:tcMar>
            <w:vAlign w:val="center"/>
            <w:hideMark/>
          </w:tcPr>
          <w:p w14:paraId="1600AB17" w14:textId="77777777" w:rsidR="00000000" w:rsidRDefault="00A173A8">
            <w:pPr>
              <w:spacing w:after="100"/>
              <w:rPr>
                <w:rFonts w:eastAsia="Times New Roman"/>
                <w:sz w:val="20"/>
                <w:szCs w:val="20"/>
              </w:rPr>
            </w:pPr>
          </w:p>
        </w:tc>
        <w:tc>
          <w:tcPr>
            <w:tcW w:w="0" w:type="auto"/>
            <w:gridSpan w:val="4"/>
            <w:tcBorders>
              <w:top w:val="double" w:sz="6" w:space="0" w:color="000000"/>
            </w:tcBorders>
            <w:shd w:val="clear" w:color="auto" w:fill="CCEEFF"/>
            <w:tcMar>
              <w:top w:w="0" w:type="dxa"/>
              <w:left w:w="20" w:type="dxa"/>
              <w:bottom w:w="0" w:type="dxa"/>
              <w:right w:w="20" w:type="dxa"/>
            </w:tcMar>
            <w:vAlign w:val="center"/>
            <w:hideMark/>
          </w:tcPr>
          <w:p w14:paraId="32B05E02" w14:textId="77777777" w:rsidR="00000000" w:rsidRDefault="00A173A8">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14:paraId="33134599"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561D46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1D3FE5"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28DF9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15EAC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DC04F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B6840A" w14:textId="77777777" w:rsidR="00000000" w:rsidRDefault="00A173A8">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14:paraId="3BF46274" w14:textId="77777777" w:rsidR="00000000" w:rsidRDefault="00A173A8">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2971C87F" w14:textId="77777777" w:rsidR="00000000" w:rsidRDefault="00A173A8">
            <w:pPr>
              <w:spacing w:after="100"/>
              <w:rPr>
                <w:rFonts w:eastAsia="Times New Roman"/>
                <w:sz w:val="20"/>
                <w:szCs w:val="20"/>
              </w:rPr>
            </w:pPr>
          </w:p>
        </w:tc>
      </w:tr>
      <w:tr w:rsidR="00000000" w14:paraId="7A09283B" w14:textId="77777777">
        <w:tc>
          <w:tcPr>
            <w:tcW w:w="0" w:type="auto"/>
            <w:gridSpan w:val="9"/>
            <w:vAlign w:val="center"/>
            <w:hideMark/>
          </w:tcPr>
          <w:p w14:paraId="6EF269A0" w14:textId="77777777" w:rsidR="00000000" w:rsidRDefault="00A173A8">
            <w:pPr>
              <w:spacing w:after="100"/>
              <w:rPr>
                <w:rFonts w:eastAsia="Times New Roman"/>
                <w:sz w:val="20"/>
                <w:szCs w:val="20"/>
              </w:rPr>
            </w:pPr>
          </w:p>
        </w:tc>
        <w:tc>
          <w:tcPr>
            <w:tcW w:w="0" w:type="auto"/>
            <w:gridSpan w:val="4"/>
            <w:vAlign w:val="center"/>
            <w:hideMark/>
          </w:tcPr>
          <w:p w14:paraId="64CB1D01" w14:textId="77777777" w:rsidR="00000000" w:rsidRDefault="00A173A8">
            <w:pPr>
              <w:spacing w:after="100"/>
              <w:rPr>
                <w:rFonts w:eastAsia="Times New Roman"/>
                <w:sz w:val="20"/>
                <w:szCs w:val="20"/>
              </w:rPr>
            </w:pPr>
          </w:p>
        </w:tc>
        <w:tc>
          <w:tcPr>
            <w:tcW w:w="0" w:type="auto"/>
            <w:gridSpan w:val="10"/>
            <w:vAlign w:val="center"/>
            <w:hideMark/>
          </w:tcPr>
          <w:p w14:paraId="5F248F32" w14:textId="77777777" w:rsidR="00000000" w:rsidRDefault="00A173A8">
            <w:pPr>
              <w:spacing w:after="100"/>
              <w:rPr>
                <w:rFonts w:eastAsia="Times New Roman"/>
                <w:sz w:val="20"/>
                <w:szCs w:val="20"/>
              </w:rPr>
            </w:pPr>
          </w:p>
        </w:tc>
        <w:tc>
          <w:tcPr>
            <w:tcW w:w="0" w:type="auto"/>
            <w:gridSpan w:val="8"/>
            <w:vAlign w:val="center"/>
            <w:hideMark/>
          </w:tcPr>
          <w:p w14:paraId="18965738" w14:textId="77777777" w:rsidR="00000000" w:rsidRDefault="00A173A8">
            <w:pPr>
              <w:spacing w:after="100"/>
              <w:rPr>
                <w:rFonts w:eastAsia="Times New Roman"/>
                <w:sz w:val="20"/>
                <w:szCs w:val="20"/>
              </w:rPr>
            </w:pPr>
          </w:p>
        </w:tc>
        <w:tc>
          <w:tcPr>
            <w:tcW w:w="0" w:type="auto"/>
            <w:gridSpan w:val="9"/>
            <w:vAlign w:val="center"/>
            <w:hideMark/>
          </w:tcPr>
          <w:p w14:paraId="5A9CC1F4" w14:textId="77777777" w:rsidR="00000000" w:rsidRDefault="00A173A8">
            <w:pPr>
              <w:spacing w:after="100"/>
              <w:rPr>
                <w:rFonts w:eastAsia="Times New Roman"/>
                <w:sz w:val="20"/>
                <w:szCs w:val="20"/>
              </w:rPr>
            </w:pPr>
          </w:p>
        </w:tc>
        <w:tc>
          <w:tcPr>
            <w:tcW w:w="0" w:type="auto"/>
            <w:gridSpan w:val="8"/>
            <w:vAlign w:val="center"/>
            <w:hideMark/>
          </w:tcPr>
          <w:p w14:paraId="4AC999D6" w14:textId="77777777" w:rsidR="00000000" w:rsidRDefault="00A173A8">
            <w:pPr>
              <w:spacing w:after="100"/>
              <w:rPr>
                <w:rFonts w:eastAsia="Times New Roman"/>
                <w:sz w:val="20"/>
                <w:szCs w:val="20"/>
              </w:rPr>
            </w:pPr>
          </w:p>
        </w:tc>
        <w:tc>
          <w:tcPr>
            <w:tcW w:w="0" w:type="auto"/>
            <w:gridSpan w:val="10"/>
            <w:vAlign w:val="center"/>
            <w:hideMark/>
          </w:tcPr>
          <w:p w14:paraId="331F8BAC" w14:textId="77777777" w:rsidR="00000000" w:rsidRDefault="00A173A8">
            <w:pPr>
              <w:spacing w:after="100"/>
              <w:rPr>
                <w:rFonts w:eastAsia="Times New Roman"/>
                <w:sz w:val="20"/>
                <w:szCs w:val="20"/>
              </w:rPr>
            </w:pPr>
          </w:p>
        </w:tc>
        <w:tc>
          <w:tcPr>
            <w:tcW w:w="0" w:type="auto"/>
            <w:gridSpan w:val="8"/>
            <w:vAlign w:val="center"/>
            <w:hideMark/>
          </w:tcPr>
          <w:p w14:paraId="5C3E12A9" w14:textId="77777777" w:rsidR="00000000" w:rsidRDefault="00A173A8">
            <w:pPr>
              <w:spacing w:after="100"/>
              <w:rPr>
                <w:rFonts w:eastAsia="Times New Roman"/>
                <w:sz w:val="20"/>
                <w:szCs w:val="20"/>
              </w:rPr>
            </w:pPr>
          </w:p>
        </w:tc>
        <w:tc>
          <w:tcPr>
            <w:tcW w:w="0" w:type="auto"/>
            <w:gridSpan w:val="9"/>
            <w:vAlign w:val="center"/>
            <w:hideMark/>
          </w:tcPr>
          <w:p w14:paraId="545EBAAE" w14:textId="77777777" w:rsidR="00000000" w:rsidRDefault="00A173A8">
            <w:pPr>
              <w:spacing w:after="100"/>
              <w:rPr>
                <w:rFonts w:eastAsia="Times New Roman"/>
                <w:sz w:val="20"/>
                <w:szCs w:val="20"/>
              </w:rPr>
            </w:pPr>
          </w:p>
        </w:tc>
        <w:tc>
          <w:tcPr>
            <w:tcW w:w="0" w:type="auto"/>
            <w:gridSpan w:val="4"/>
            <w:vAlign w:val="center"/>
            <w:hideMark/>
          </w:tcPr>
          <w:p w14:paraId="512C8485" w14:textId="77777777" w:rsidR="00000000" w:rsidRDefault="00A173A8">
            <w:pPr>
              <w:spacing w:after="100"/>
              <w:rPr>
                <w:rFonts w:eastAsia="Times New Roman"/>
                <w:sz w:val="20"/>
                <w:szCs w:val="20"/>
              </w:rPr>
            </w:pPr>
          </w:p>
        </w:tc>
        <w:tc>
          <w:tcPr>
            <w:tcW w:w="0" w:type="auto"/>
            <w:gridSpan w:val="9"/>
            <w:vAlign w:val="center"/>
            <w:hideMark/>
          </w:tcPr>
          <w:p w14:paraId="33E4BDF4" w14:textId="77777777" w:rsidR="00000000" w:rsidRDefault="00A173A8">
            <w:pPr>
              <w:spacing w:after="100"/>
              <w:rPr>
                <w:rFonts w:eastAsia="Times New Roman"/>
                <w:sz w:val="20"/>
                <w:szCs w:val="20"/>
              </w:rPr>
            </w:pPr>
          </w:p>
        </w:tc>
        <w:tc>
          <w:tcPr>
            <w:tcW w:w="0" w:type="auto"/>
            <w:gridSpan w:val="9"/>
            <w:vAlign w:val="center"/>
            <w:hideMark/>
          </w:tcPr>
          <w:p w14:paraId="69581919" w14:textId="77777777" w:rsidR="00000000" w:rsidRDefault="00A173A8">
            <w:pPr>
              <w:spacing w:after="100"/>
              <w:rPr>
                <w:rFonts w:eastAsia="Times New Roman"/>
                <w:sz w:val="20"/>
                <w:szCs w:val="20"/>
              </w:rPr>
            </w:pPr>
          </w:p>
        </w:tc>
        <w:tc>
          <w:tcPr>
            <w:tcW w:w="0" w:type="auto"/>
            <w:gridSpan w:val="4"/>
            <w:vAlign w:val="center"/>
            <w:hideMark/>
          </w:tcPr>
          <w:p w14:paraId="73C7BDA7" w14:textId="77777777" w:rsidR="00000000" w:rsidRDefault="00A173A8">
            <w:pPr>
              <w:spacing w:after="100"/>
              <w:rPr>
                <w:rFonts w:eastAsia="Times New Roman"/>
                <w:sz w:val="20"/>
                <w:szCs w:val="20"/>
              </w:rPr>
            </w:pPr>
          </w:p>
        </w:tc>
        <w:tc>
          <w:tcPr>
            <w:tcW w:w="0" w:type="auto"/>
            <w:gridSpan w:val="4"/>
            <w:vAlign w:val="center"/>
            <w:hideMark/>
          </w:tcPr>
          <w:p w14:paraId="50C3AD3F" w14:textId="77777777" w:rsidR="00000000" w:rsidRDefault="00A173A8">
            <w:pPr>
              <w:spacing w:after="100"/>
              <w:rPr>
                <w:rFonts w:eastAsia="Times New Roman"/>
                <w:sz w:val="20"/>
                <w:szCs w:val="20"/>
              </w:rPr>
            </w:pPr>
          </w:p>
        </w:tc>
        <w:tc>
          <w:tcPr>
            <w:tcW w:w="0" w:type="auto"/>
            <w:gridSpan w:val="3"/>
            <w:vAlign w:val="center"/>
            <w:hideMark/>
          </w:tcPr>
          <w:p w14:paraId="7DDA3435" w14:textId="77777777" w:rsidR="00000000" w:rsidRDefault="00A173A8">
            <w:pPr>
              <w:spacing w:after="100"/>
              <w:rPr>
                <w:rFonts w:eastAsia="Times New Roman"/>
                <w:sz w:val="20"/>
                <w:szCs w:val="20"/>
              </w:rPr>
            </w:pPr>
          </w:p>
        </w:tc>
        <w:tc>
          <w:tcPr>
            <w:tcW w:w="0" w:type="auto"/>
            <w:gridSpan w:val="3"/>
            <w:vAlign w:val="center"/>
            <w:hideMark/>
          </w:tcPr>
          <w:p w14:paraId="3711CBCB" w14:textId="77777777" w:rsidR="00000000" w:rsidRDefault="00A173A8">
            <w:pPr>
              <w:spacing w:after="100"/>
              <w:rPr>
                <w:rFonts w:eastAsia="Times New Roman"/>
                <w:sz w:val="20"/>
                <w:szCs w:val="20"/>
              </w:rPr>
            </w:pPr>
          </w:p>
        </w:tc>
        <w:tc>
          <w:tcPr>
            <w:tcW w:w="0" w:type="auto"/>
            <w:gridSpan w:val="3"/>
            <w:vAlign w:val="center"/>
            <w:hideMark/>
          </w:tcPr>
          <w:p w14:paraId="40C3EC02" w14:textId="77777777" w:rsidR="00000000" w:rsidRDefault="00A173A8">
            <w:pPr>
              <w:spacing w:after="100"/>
              <w:rPr>
                <w:rFonts w:eastAsia="Times New Roman"/>
                <w:sz w:val="20"/>
                <w:szCs w:val="20"/>
              </w:rPr>
            </w:pPr>
          </w:p>
        </w:tc>
        <w:tc>
          <w:tcPr>
            <w:tcW w:w="0" w:type="auto"/>
            <w:gridSpan w:val="3"/>
            <w:vAlign w:val="center"/>
            <w:hideMark/>
          </w:tcPr>
          <w:p w14:paraId="3741EA95" w14:textId="77777777" w:rsidR="00000000" w:rsidRDefault="00A173A8">
            <w:pPr>
              <w:spacing w:after="100"/>
              <w:rPr>
                <w:rFonts w:eastAsia="Times New Roman"/>
                <w:sz w:val="20"/>
                <w:szCs w:val="20"/>
              </w:rPr>
            </w:pPr>
          </w:p>
        </w:tc>
        <w:tc>
          <w:tcPr>
            <w:tcW w:w="0" w:type="auto"/>
            <w:gridSpan w:val="3"/>
            <w:vAlign w:val="center"/>
            <w:hideMark/>
          </w:tcPr>
          <w:p w14:paraId="76D13882" w14:textId="77777777" w:rsidR="00000000" w:rsidRDefault="00A173A8">
            <w:pPr>
              <w:spacing w:after="100"/>
              <w:rPr>
                <w:rFonts w:eastAsia="Times New Roman"/>
                <w:sz w:val="20"/>
                <w:szCs w:val="20"/>
              </w:rPr>
            </w:pPr>
          </w:p>
        </w:tc>
        <w:tc>
          <w:tcPr>
            <w:tcW w:w="0" w:type="auto"/>
            <w:gridSpan w:val="3"/>
            <w:vAlign w:val="center"/>
            <w:hideMark/>
          </w:tcPr>
          <w:p w14:paraId="5371C006" w14:textId="77777777" w:rsidR="00000000" w:rsidRDefault="00A173A8">
            <w:pPr>
              <w:spacing w:after="100"/>
              <w:rPr>
                <w:rFonts w:eastAsia="Times New Roman"/>
                <w:sz w:val="20"/>
                <w:szCs w:val="20"/>
              </w:rPr>
            </w:pPr>
          </w:p>
        </w:tc>
        <w:tc>
          <w:tcPr>
            <w:tcW w:w="0" w:type="auto"/>
            <w:gridSpan w:val="2"/>
            <w:vAlign w:val="center"/>
            <w:hideMark/>
          </w:tcPr>
          <w:p w14:paraId="4DE07621" w14:textId="77777777" w:rsidR="00000000" w:rsidRDefault="00A173A8">
            <w:pPr>
              <w:spacing w:after="100"/>
              <w:rPr>
                <w:rFonts w:eastAsia="Times New Roman"/>
                <w:sz w:val="20"/>
                <w:szCs w:val="20"/>
              </w:rPr>
            </w:pPr>
          </w:p>
        </w:tc>
        <w:tc>
          <w:tcPr>
            <w:tcW w:w="0" w:type="auto"/>
            <w:vAlign w:val="center"/>
            <w:hideMark/>
          </w:tcPr>
          <w:p w14:paraId="3720A28F" w14:textId="77777777" w:rsidR="00000000" w:rsidRDefault="00A173A8">
            <w:pPr>
              <w:spacing w:after="100"/>
              <w:rPr>
                <w:rFonts w:eastAsia="Times New Roman"/>
                <w:sz w:val="20"/>
                <w:szCs w:val="20"/>
              </w:rPr>
            </w:pPr>
          </w:p>
        </w:tc>
      </w:tr>
      <w:tr w:rsidR="00000000" w14:paraId="2EAA8A69" w14:textId="77777777">
        <w:tc>
          <w:tcPr>
            <w:tcW w:w="0" w:type="auto"/>
            <w:gridSpan w:val="9"/>
            <w:shd w:val="clear" w:color="auto" w:fill="FFFFFF"/>
            <w:tcMar>
              <w:top w:w="30" w:type="dxa"/>
              <w:left w:w="245" w:type="dxa"/>
              <w:bottom w:w="30" w:type="dxa"/>
              <w:right w:w="20" w:type="dxa"/>
            </w:tcMar>
            <w:vAlign w:val="center"/>
            <w:hideMark/>
          </w:tcPr>
          <w:p w14:paraId="4C5948EF" w14:textId="77777777" w:rsidR="00000000" w:rsidRDefault="00A173A8">
            <w:pPr>
              <w:spacing w:after="100"/>
              <w:rPr>
                <w:rFonts w:eastAsia="Times New Roman"/>
              </w:rPr>
            </w:pPr>
            <w:r>
              <w:rPr>
                <w:rFonts w:eastAsia="Times New Roman"/>
                <w:color w:val="000000"/>
                <w:sz w:val="18"/>
                <w:szCs w:val="18"/>
              </w:rPr>
              <w:t>Retained interests in securitizations</w:t>
            </w:r>
          </w:p>
        </w:tc>
        <w:tc>
          <w:tcPr>
            <w:tcW w:w="0" w:type="auto"/>
            <w:gridSpan w:val="4"/>
            <w:shd w:val="clear" w:color="auto" w:fill="FFFFFF"/>
            <w:tcMar>
              <w:top w:w="0" w:type="dxa"/>
              <w:left w:w="20" w:type="dxa"/>
              <w:bottom w:w="0" w:type="dxa"/>
              <w:right w:w="20" w:type="dxa"/>
            </w:tcMar>
            <w:vAlign w:val="center"/>
            <w:hideMark/>
          </w:tcPr>
          <w:p w14:paraId="184FC913" w14:textId="77777777" w:rsidR="00000000" w:rsidRDefault="00A173A8">
            <w:pPr>
              <w:spacing w:after="100"/>
              <w:rPr>
                <w:rFonts w:eastAsia="Times New Roman"/>
              </w:rPr>
            </w:pPr>
          </w:p>
        </w:tc>
        <w:tc>
          <w:tcPr>
            <w:tcW w:w="0" w:type="auto"/>
            <w:gridSpan w:val="8"/>
            <w:shd w:val="clear" w:color="auto" w:fill="FFFFFF"/>
            <w:tcMar>
              <w:top w:w="30" w:type="dxa"/>
              <w:left w:w="20" w:type="dxa"/>
              <w:bottom w:w="30" w:type="dxa"/>
              <w:right w:w="0" w:type="dxa"/>
            </w:tcMar>
            <w:vAlign w:val="bottom"/>
            <w:hideMark/>
          </w:tcPr>
          <w:p w14:paraId="47E1A5FC" w14:textId="77777777" w:rsidR="00000000" w:rsidRDefault="00A173A8">
            <w:pPr>
              <w:spacing w:after="100"/>
              <w:jc w:val="right"/>
              <w:rPr>
                <w:rFonts w:eastAsia="Times New Roman"/>
              </w:rPr>
            </w:pPr>
            <w:r>
              <w:rPr>
                <w:rFonts w:eastAsia="Times New Roman"/>
                <w:color w:val="000000"/>
                <w:sz w:val="18"/>
                <w:szCs w:val="18"/>
              </w:rPr>
              <w:t>41 </w:t>
            </w:r>
          </w:p>
        </w:tc>
        <w:tc>
          <w:tcPr>
            <w:tcW w:w="0" w:type="auto"/>
            <w:gridSpan w:val="2"/>
            <w:shd w:val="clear" w:color="auto" w:fill="FFFFFF"/>
            <w:tcMar>
              <w:top w:w="30" w:type="dxa"/>
              <w:left w:w="0" w:type="dxa"/>
              <w:bottom w:w="30" w:type="dxa"/>
              <w:right w:w="20" w:type="dxa"/>
            </w:tcMar>
            <w:vAlign w:val="bottom"/>
            <w:hideMark/>
          </w:tcPr>
          <w:p w14:paraId="36A98459"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20470EF8"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61160241" w14:textId="77777777" w:rsidR="00000000" w:rsidRDefault="00A173A8">
            <w:pPr>
              <w:spacing w:after="100"/>
              <w:jc w:val="right"/>
              <w:rPr>
                <w:rFonts w:eastAsia="Times New Roman"/>
              </w:rPr>
            </w:pPr>
            <w:r>
              <w:rPr>
                <w:rFonts w:eastAsia="Times New Roman"/>
                <w:b/>
                <w:bCs/>
                <w:color w:val="000000"/>
                <w:sz w:val="18"/>
                <w:szCs w:val="18"/>
              </w:rPr>
              <w:t>(4)</w:t>
            </w:r>
          </w:p>
        </w:tc>
        <w:tc>
          <w:tcPr>
            <w:tcW w:w="0" w:type="auto"/>
            <w:shd w:val="clear" w:color="auto" w:fill="FFFFFF"/>
            <w:tcMar>
              <w:top w:w="30" w:type="dxa"/>
              <w:left w:w="0" w:type="dxa"/>
              <w:bottom w:w="30" w:type="dxa"/>
              <w:right w:w="20" w:type="dxa"/>
            </w:tcMar>
            <w:vAlign w:val="bottom"/>
            <w:hideMark/>
          </w:tcPr>
          <w:p w14:paraId="2461605D"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46BAA714" w14:textId="77777777" w:rsidR="00000000" w:rsidRDefault="00A173A8">
            <w:pPr>
              <w:spacing w:after="100"/>
              <w:jc w:val="right"/>
              <w:rPr>
                <w:rFonts w:eastAsia="Times New Roman"/>
                <w:sz w:val="20"/>
                <w:szCs w:val="20"/>
              </w:rPr>
            </w:pPr>
          </w:p>
        </w:tc>
        <w:tc>
          <w:tcPr>
            <w:tcW w:w="0" w:type="auto"/>
            <w:gridSpan w:val="9"/>
            <w:shd w:val="clear" w:color="auto" w:fill="FFFFFF"/>
            <w:tcMar>
              <w:top w:w="30" w:type="dxa"/>
              <w:left w:w="20" w:type="dxa"/>
              <w:bottom w:w="30" w:type="dxa"/>
              <w:right w:w="0" w:type="dxa"/>
            </w:tcMar>
            <w:vAlign w:val="bottom"/>
            <w:hideMark/>
          </w:tcPr>
          <w:p w14:paraId="01A8753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A4CB38" w14:textId="77777777" w:rsidR="00000000" w:rsidRDefault="00A173A8">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14:paraId="6B14E4D4"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1B9B9B3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5"/>
            <w:shd w:val="clear" w:color="auto" w:fill="FFFFFF"/>
            <w:tcMar>
              <w:top w:w="30" w:type="dxa"/>
              <w:left w:w="0" w:type="dxa"/>
              <w:bottom w:w="30" w:type="dxa"/>
              <w:right w:w="20" w:type="dxa"/>
            </w:tcMar>
            <w:vAlign w:val="bottom"/>
            <w:hideMark/>
          </w:tcPr>
          <w:p w14:paraId="3B9F67AD"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6D591CA1" w14:textId="77777777" w:rsidR="00000000" w:rsidRDefault="00A173A8">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14:paraId="0EAC42F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19144DD" w14:textId="77777777" w:rsidR="00000000" w:rsidRDefault="00A173A8">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14:paraId="3D0B8AEE"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14:paraId="7EDDB29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A191FE7" w14:textId="77777777" w:rsidR="00000000" w:rsidRDefault="00A173A8">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14:paraId="50E99AB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E02D8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F3E5FF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55A9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A1C32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1C876A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7CA31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89423C"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6BEB6F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7DD9E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1E3BC7" w14:textId="77777777" w:rsidR="00000000" w:rsidRDefault="00A173A8">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2E82399" w14:textId="77777777" w:rsidR="00000000" w:rsidRDefault="00A173A8">
            <w:pPr>
              <w:spacing w:after="100"/>
              <w:jc w:val="right"/>
              <w:rPr>
                <w:rFonts w:eastAsia="Times New Roman"/>
              </w:rPr>
            </w:pPr>
            <w:r>
              <w:rPr>
                <w:rFonts w:eastAsia="Times New Roman"/>
                <w:b/>
                <w:bCs/>
                <w:color w:val="000000"/>
                <w:sz w:val="18"/>
                <w:szCs w:val="18"/>
              </w:rPr>
              <w:t>(4)</w:t>
            </w:r>
          </w:p>
        </w:tc>
      </w:tr>
      <w:tr w:rsidR="00000000" w14:paraId="1EFDD137" w14:textId="77777777">
        <w:tc>
          <w:tcPr>
            <w:tcW w:w="0" w:type="auto"/>
            <w:gridSpan w:val="9"/>
            <w:shd w:val="clear" w:color="auto" w:fill="CCEEFF"/>
            <w:tcMar>
              <w:top w:w="30" w:type="dxa"/>
              <w:left w:w="20" w:type="dxa"/>
              <w:bottom w:w="30" w:type="dxa"/>
              <w:right w:w="20" w:type="dxa"/>
            </w:tcMar>
            <w:vAlign w:val="center"/>
            <w:hideMark/>
          </w:tcPr>
          <w:p w14:paraId="5F8CB236" w14:textId="77777777" w:rsidR="00000000" w:rsidRDefault="00A173A8">
            <w:pPr>
              <w:spacing w:after="100"/>
              <w:divId w:val="1593247571"/>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4"/>
            <w:shd w:val="clear" w:color="auto" w:fill="CCEEFF"/>
            <w:tcMar>
              <w:top w:w="0" w:type="dxa"/>
              <w:left w:w="20" w:type="dxa"/>
              <w:bottom w:w="0" w:type="dxa"/>
              <w:right w:w="20" w:type="dxa"/>
            </w:tcMar>
            <w:vAlign w:val="center"/>
            <w:hideMark/>
          </w:tcPr>
          <w:p w14:paraId="339DBA2E" w14:textId="77777777" w:rsidR="00000000" w:rsidRDefault="00A173A8">
            <w:pPr>
              <w:spacing w:after="100"/>
              <w:rPr>
                <w:rFonts w:eastAsia="Times New Roman"/>
              </w:rPr>
            </w:pPr>
          </w:p>
        </w:tc>
        <w:tc>
          <w:tcPr>
            <w:tcW w:w="0" w:type="auto"/>
            <w:gridSpan w:val="8"/>
            <w:shd w:val="clear" w:color="auto" w:fill="CCEEFF"/>
            <w:tcMar>
              <w:top w:w="30" w:type="dxa"/>
              <w:left w:w="20" w:type="dxa"/>
              <w:bottom w:w="30" w:type="dxa"/>
              <w:right w:w="0" w:type="dxa"/>
            </w:tcMar>
            <w:vAlign w:val="bottom"/>
            <w:hideMark/>
          </w:tcPr>
          <w:p w14:paraId="44FC3427" w14:textId="77777777" w:rsidR="00000000" w:rsidRDefault="00A173A8">
            <w:pPr>
              <w:spacing w:after="100"/>
              <w:jc w:val="right"/>
              <w:rPr>
                <w:rFonts w:eastAsia="Times New Roman"/>
              </w:rPr>
            </w:pPr>
            <w:r>
              <w:rPr>
                <w:rFonts w:eastAsia="Times New Roman"/>
                <w:color w:val="000000"/>
                <w:sz w:val="18"/>
                <w:szCs w:val="18"/>
              </w:rPr>
              <w:t>19 </w:t>
            </w:r>
          </w:p>
        </w:tc>
        <w:tc>
          <w:tcPr>
            <w:tcW w:w="0" w:type="auto"/>
            <w:gridSpan w:val="2"/>
            <w:shd w:val="clear" w:color="auto" w:fill="CCEEFF"/>
            <w:tcMar>
              <w:top w:w="30" w:type="dxa"/>
              <w:left w:w="0" w:type="dxa"/>
              <w:bottom w:w="30" w:type="dxa"/>
              <w:right w:w="20" w:type="dxa"/>
            </w:tcMar>
            <w:vAlign w:val="bottom"/>
            <w:hideMark/>
          </w:tcPr>
          <w:p w14:paraId="1A6993E9" w14:textId="77777777" w:rsidR="00000000" w:rsidRDefault="00A173A8">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5F5C2005"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6C453981" w14:textId="77777777" w:rsidR="00000000" w:rsidRDefault="00A173A8">
            <w:pPr>
              <w:spacing w:after="100"/>
              <w:jc w:val="right"/>
              <w:rPr>
                <w:rFonts w:eastAsia="Times New Roman"/>
              </w:rPr>
            </w:pPr>
            <w:r>
              <w:rPr>
                <w:rFonts w:eastAsia="Times New Roman"/>
                <w:b/>
                <w:bCs/>
                <w:color w:val="000000"/>
                <w:sz w:val="18"/>
                <w:szCs w:val="18"/>
              </w:rPr>
              <w:t>(41)</w:t>
            </w:r>
          </w:p>
        </w:tc>
        <w:tc>
          <w:tcPr>
            <w:tcW w:w="0" w:type="auto"/>
            <w:shd w:val="clear" w:color="auto" w:fill="CCEEFF"/>
            <w:tcMar>
              <w:top w:w="30" w:type="dxa"/>
              <w:left w:w="0" w:type="dxa"/>
              <w:bottom w:w="30" w:type="dxa"/>
              <w:right w:w="20" w:type="dxa"/>
            </w:tcMar>
            <w:vAlign w:val="bottom"/>
            <w:hideMark/>
          </w:tcPr>
          <w:p w14:paraId="36BBF3F6" w14:textId="77777777" w:rsidR="00000000" w:rsidRDefault="00A173A8">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638B05FF" w14:textId="77777777" w:rsidR="00000000" w:rsidRDefault="00A173A8">
            <w:pPr>
              <w:spacing w:after="100"/>
              <w:jc w:val="right"/>
              <w:rPr>
                <w:rFonts w:eastAsia="Times New Roman"/>
                <w:sz w:val="20"/>
                <w:szCs w:val="20"/>
              </w:rPr>
            </w:pPr>
          </w:p>
        </w:tc>
        <w:tc>
          <w:tcPr>
            <w:tcW w:w="0" w:type="auto"/>
            <w:gridSpan w:val="9"/>
            <w:shd w:val="clear" w:color="auto" w:fill="CCEEFF"/>
            <w:tcMar>
              <w:top w:w="30" w:type="dxa"/>
              <w:left w:w="20" w:type="dxa"/>
              <w:bottom w:w="30" w:type="dxa"/>
              <w:right w:w="0" w:type="dxa"/>
            </w:tcMar>
            <w:vAlign w:val="bottom"/>
            <w:hideMark/>
          </w:tcPr>
          <w:p w14:paraId="6771FB7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AC94A1E" w14:textId="77777777" w:rsidR="00000000" w:rsidRDefault="00A173A8">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14:paraId="372D2FB9"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5B8CA95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gridSpan w:val="5"/>
            <w:shd w:val="clear" w:color="auto" w:fill="CCEEFF"/>
            <w:tcMar>
              <w:top w:w="30" w:type="dxa"/>
              <w:left w:w="0" w:type="dxa"/>
              <w:bottom w:w="30" w:type="dxa"/>
              <w:right w:w="20" w:type="dxa"/>
            </w:tcMar>
            <w:vAlign w:val="bottom"/>
            <w:hideMark/>
          </w:tcPr>
          <w:p w14:paraId="3E496657"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20E7FB7D" w14:textId="77777777" w:rsidR="00000000" w:rsidRDefault="00A173A8">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14:paraId="7EA7A2C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01BB6BC" w14:textId="77777777" w:rsidR="00000000" w:rsidRDefault="00A173A8">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14:paraId="423DFE13"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14:paraId="5F48E616" w14:textId="77777777" w:rsidR="00000000" w:rsidRDefault="00A173A8">
            <w:pPr>
              <w:spacing w:after="100"/>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AAFB14A" w14:textId="77777777" w:rsidR="00000000" w:rsidRDefault="00A173A8">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14:paraId="1131087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1DEFD5" w14:textId="77777777" w:rsidR="00000000" w:rsidRDefault="00A173A8">
            <w:pPr>
              <w:spacing w:after="100"/>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4867FD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4380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46FA60" w14:textId="77777777" w:rsidR="00000000" w:rsidRDefault="00A173A8">
            <w:pPr>
              <w:spacing w:after="100"/>
              <w:jc w:val="right"/>
              <w:rPr>
                <w:rFonts w:eastAsia="Times New Roman"/>
              </w:rPr>
            </w:pPr>
            <w:r>
              <w:rPr>
                <w:rFonts w:eastAsia="Times New Roman"/>
                <w:b/>
                <w:bCs/>
                <w:color w:val="000000"/>
                <w:sz w:val="18"/>
                <w:szCs w:val="18"/>
              </w:rPr>
              <w:t>(28)</w:t>
            </w:r>
          </w:p>
        </w:tc>
        <w:tc>
          <w:tcPr>
            <w:tcW w:w="0" w:type="auto"/>
            <w:shd w:val="clear" w:color="auto" w:fill="CCEEFF"/>
            <w:tcMar>
              <w:top w:w="30" w:type="dxa"/>
              <w:left w:w="0" w:type="dxa"/>
              <w:bottom w:w="30" w:type="dxa"/>
              <w:right w:w="20" w:type="dxa"/>
            </w:tcMar>
            <w:vAlign w:val="bottom"/>
            <w:hideMark/>
          </w:tcPr>
          <w:p w14:paraId="4A0022C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3B19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FFF01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AABDD6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9D13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BB5304" w14:textId="77777777" w:rsidR="00000000" w:rsidRDefault="00A173A8">
            <w:pPr>
              <w:spacing w:after="100"/>
              <w:jc w:val="right"/>
              <w:rPr>
                <w:rFonts w:eastAsia="Times New Roman"/>
              </w:rPr>
            </w:pPr>
            <w:r>
              <w:rPr>
                <w:rFonts w:eastAsia="Times New Roman"/>
                <w:b/>
                <w:bCs/>
                <w:color w:val="000000"/>
                <w:sz w:val="18"/>
                <w:szCs w:val="18"/>
              </w:rPr>
              <w:t>(12)</w:t>
            </w:r>
          </w:p>
        </w:tc>
        <w:tc>
          <w:tcPr>
            <w:tcW w:w="0" w:type="auto"/>
            <w:shd w:val="clear" w:color="auto" w:fill="CCEEFF"/>
            <w:tcMar>
              <w:top w:w="30" w:type="dxa"/>
              <w:left w:w="0" w:type="dxa"/>
              <w:bottom w:w="30" w:type="dxa"/>
              <w:right w:w="20" w:type="dxa"/>
            </w:tcMar>
            <w:vAlign w:val="bottom"/>
            <w:hideMark/>
          </w:tcPr>
          <w:p w14:paraId="4B6C90DA" w14:textId="77777777" w:rsidR="00000000" w:rsidRDefault="00A173A8">
            <w:pPr>
              <w:spacing w:after="100"/>
              <w:jc w:val="right"/>
              <w:rPr>
                <w:rFonts w:eastAsia="Times New Roman"/>
              </w:rPr>
            </w:pPr>
            <w:r>
              <w:rPr>
                <w:rFonts w:eastAsia="Times New Roman"/>
                <w:b/>
                <w:bCs/>
                <w:color w:val="000000"/>
                <w:sz w:val="18"/>
                <w:szCs w:val="18"/>
              </w:rPr>
              <w:t>(38)</w:t>
            </w:r>
          </w:p>
        </w:tc>
      </w:tr>
    </w:tbl>
    <w:p w14:paraId="0A4FF28A" w14:textId="77777777" w:rsidR="00000000" w:rsidRDefault="00A173A8">
      <w:pPr>
        <w:jc w:val="both"/>
        <w:divId w:val="176476334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87"/>
        <w:gridCol w:w="57"/>
        <w:gridCol w:w="1153"/>
        <w:gridCol w:w="38"/>
        <w:gridCol w:w="36"/>
        <w:gridCol w:w="36"/>
        <w:gridCol w:w="36"/>
        <w:gridCol w:w="111"/>
        <w:gridCol w:w="397"/>
        <w:gridCol w:w="36"/>
        <w:gridCol w:w="36"/>
        <w:gridCol w:w="36"/>
        <w:gridCol w:w="36"/>
        <w:gridCol w:w="111"/>
        <w:gridCol w:w="444"/>
        <w:gridCol w:w="37"/>
        <w:gridCol w:w="37"/>
        <w:gridCol w:w="47"/>
        <w:gridCol w:w="36"/>
        <w:gridCol w:w="110"/>
        <w:gridCol w:w="34"/>
        <w:gridCol w:w="144"/>
        <w:gridCol w:w="265"/>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263"/>
        <w:gridCol w:w="144"/>
        <w:gridCol w:w="127"/>
        <w:gridCol w:w="17"/>
        <w:gridCol w:w="19"/>
        <w:gridCol w:w="36"/>
        <w:gridCol w:w="36"/>
        <w:gridCol w:w="36"/>
        <w:gridCol w:w="111"/>
        <w:gridCol w:w="447"/>
        <w:gridCol w:w="36"/>
        <w:gridCol w:w="36"/>
        <w:gridCol w:w="36"/>
        <w:gridCol w:w="36"/>
        <w:gridCol w:w="111"/>
        <w:gridCol w:w="440"/>
        <w:gridCol w:w="36"/>
        <w:gridCol w:w="36"/>
        <w:gridCol w:w="36"/>
        <w:gridCol w:w="36"/>
        <w:gridCol w:w="111"/>
        <w:gridCol w:w="417"/>
        <w:gridCol w:w="624"/>
        <w:gridCol w:w="144"/>
        <w:gridCol w:w="23"/>
      </w:tblGrid>
      <w:tr w:rsidR="00000000" w14:paraId="6C4E45D7" w14:textId="77777777">
        <w:trPr>
          <w:divId w:val="1764763346"/>
        </w:trPr>
        <w:tc>
          <w:tcPr>
            <w:tcW w:w="50" w:type="pct"/>
            <w:vAlign w:val="center"/>
            <w:hideMark/>
          </w:tcPr>
          <w:p w14:paraId="38185D84" w14:textId="77777777" w:rsidR="00000000" w:rsidRDefault="00A173A8">
            <w:pPr>
              <w:jc w:val="both"/>
              <w:rPr>
                <w:rFonts w:eastAsia="Times New Roman"/>
              </w:rPr>
            </w:pPr>
          </w:p>
        </w:tc>
        <w:tc>
          <w:tcPr>
            <w:tcW w:w="697" w:type="pct"/>
            <w:gridSpan w:val="2"/>
            <w:vAlign w:val="center"/>
            <w:hideMark/>
          </w:tcPr>
          <w:p w14:paraId="19C87270" w14:textId="77777777" w:rsidR="00000000" w:rsidRDefault="00A173A8">
            <w:pPr>
              <w:spacing w:after="100"/>
              <w:rPr>
                <w:rFonts w:eastAsia="Times New Roman"/>
                <w:sz w:val="20"/>
                <w:szCs w:val="20"/>
              </w:rPr>
            </w:pPr>
          </w:p>
        </w:tc>
        <w:tc>
          <w:tcPr>
            <w:tcW w:w="5" w:type="pct"/>
            <w:vAlign w:val="center"/>
            <w:hideMark/>
          </w:tcPr>
          <w:p w14:paraId="39DAF23A" w14:textId="77777777" w:rsidR="00000000" w:rsidRDefault="00A173A8">
            <w:pPr>
              <w:spacing w:after="100"/>
              <w:rPr>
                <w:rFonts w:eastAsia="Times New Roman"/>
                <w:sz w:val="20"/>
                <w:szCs w:val="20"/>
              </w:rPr>
            </w:pPr>
          </w:p>
        </w:tc>
        <w:tc>
          <w:tcPr>
            <w:tcW w:w="5" w:type="pct"/>
            <w:vAlign w:val="center"/>
            <w:hideMark/>
          </w:tcPr>
          <w:p w14:paraId="1F8B761C" w14:textId="77777777" w:rsidR="00000000" w:rsidRDefault="00A173A8">
            <w:pPr>
              <w:spacing w:after="100"/>
              <w:rPr>
                <w:rFonts w:eastAsia="Times New Roman"/>
                <w:sz w:val="20"/>
                <w:szCs w:val="20"/>
              </w:rPr>
            </w:pPr>
          </w:p>
        </w:tc>
        <w:tc>
          <w:tcPr>
            <w:tcW w:w="26" w:type="pct"/>
            <w:vAlign w:val="center"/>
            <w:hideMark/>
          </w:tcPr>
          <w:p w14:paraId="443EDE3F" w14:textId="77777777" w:rsidR="00000000" w:rsidRDefault="00A173A8">
            <w:pPr>
              <w:spacing w:after="100"/>
              <w:rPr>
                <w:rFonts w:eastAsia="Times New Roman"/>
                <w:sz w:val="20"/>
                <w:szCs w:val="20"/>
              </w:rPr>
            </w:pPr>
          </w:p>
        </w:tc>
        <w:tc>
          <w:tcPr>
            <w:tcW w:w="5" w:type="pct"/>
            <w:vAlign w:val="center"/>
            <w:hideMark/>
          </w:tcPr>
          <w:p w14:paraId="3AE0FB11" w14:textId="77777777" w:rsidR="00000000" w:rsidRDefault="00A173A8">
            <w:pPr>
              <w:spacing w:after="100"/>
              <w:rPr>
                <w:rFonts w:eastAsia="Times New Roman"/>
                <w:sz w:val="20"/>
                <w:szCs w:val="20"/>
              </w:rPr>
            </w:pPr>
          </w:p>
        </w:tc>
        <w:tc>
          <w:tcPr>
            <w:tcW w:w="50" w:type="pct"/>
            <w:vAlign w:val="center"/>
            <w:hideMark/>
          </w:tcPr>
          <w:p w14:paraId="640C8F65" w14:textId="77777777" w:rsidR="00000000" w:rsidRDefault="00A173A8">
            <w:pPr>
              <w:spacing w:after="100"/>
              <w:rPr>
                <w:rFonts w:eastAsia="Times New Roman"/>
                <w:sz w:val="20"/>
                <w:szCs w:val="20"/>
              </w:rPr>
            </w:pPr>
          </w:p>
        </w:tc>
        <w:tc>
          <w:tcPr>
            <w:tcW w:w="273" w:type="pct"/>
            <w:vAlign w:val="center"/>
            <w:hideMark/>
          </w:tcPr>
          <w:p w14:paraId="50E5F5D3" w14:textId="77777777" w:rsidR="00000000" w:rsidRDefault="00A173A8">
            <w:pPr>
              <w:spacing w:after="100"/>
              <w:rPr>
                <w:rFonts w:eastAsia="Times New Roman"/>
                <w:sz w:val="20"/>
                <w:szCs w:val="20"/>
              </w:rPr>
            </w:pPr>
          </w:p>
        </w:tc>
        <w:tc>
          <w:tcPr>
            <w:tcW w:w="5" w:type="pct"/>
            <w:vAlign w:val="center"/>
            <w:hideMark/>
          </w:tcPr>
          <w:p w14:paraId="21147B38" w14:textId="77777777" w:rsidR="00000000" w:rsidRDefault="00A173A8">
            <w:pPr>
              <w:spacing w:after="100"/>
              <w:rPr>
                <w:rFonts w:eastAsia="Times New Roman"/>
                <w:sz w:val="20"/>
                <w:szCs w:val="20"/>
              </w:rPr>
            </w:pPr>
          </w:p>
        </w:tc>
        <w:tc>
          <w:tcPr>
            <w:tcW w:w="5" w:type="pct"/>
            <w:vAlign w:val="center"/>
            <w:hideMark/>
          </w:tcPr>
          <w:p w14:paraId="29C7C579" w14:textId="77777777" w:rsidR="00000000" w:rsidRDefault="00A173A8">
            <w:pPr>
              <w:spacing w:after="100"/>
              <w:rPr>
                <w:rFonts w:eastAsia="Times New Roman"/>
                <w:sz w:val="20"/>
                <w:szCs w:val="20"/>
              </w:rPr>
            </w:pPr>
          </w:p>
        </w:tc>
        <w:tc>
          <w:tcPr>
            <w:tcW w:w="26" w:type="pct"/>
            <w:vAlign w:val="center"/>
            <w:hideMark/>
          </w:tcPr>
          <w:p w14:paraId="6FEF7A49" w14:textId="77777777" w:rsidR="00000000" w:rsidRDefault="00A173A8">
            <w:pPr>
              <w:spacing w:after="100"/>
              <w:rPr>
                <w:rFonts w:eastAsia="Times New Roman"/>
                <w:sz w:val="20"/>
                <w:szCs w:val="20"/>
              </w:rPr>
            </w:pPr>
          </w:p>
        </w:tc>
        <w:tc>
          <w:tcPr>
            <w:tcW w:w="5" w:type="pct"/>
            <w:vAlign w:val="center"/>
            <w:hideMark/>
          </w:tcPr>
          <w:p w14:paraId="51333FB9" w14:textId="77777777" w:rsidR="00000000" w:rsidRDefault="00A173A8">
            <w:pPr>
              <w:spacing w:after="100"/>
              <w:rPr>
                <w:rFonts w:eastAsia="Times New Roman"/>
                <w:sz w:val="20"/>
                <w:szCs w:val="20"/>
              </w:rPr>
            </w:pPr>
          </w:p>
        </w:tc>
        <w:tc>
          <w:tcPr>
            <w:tcW w:w="50" w:type="pct"/>
            <w:vAlign w:val="center"/>
            <w:hideMark/>
          </w:tcPr>
          <w:p w14:paraId="36208A21" w14:textId="77777777" w:rsidR="00000000" w:rsidRDefault="00A173A8">
            <w:pPr>
              <w:spacing w:after="100"/>
              <w:rPr>
                <w:rFonts w:eastAsia="Times New Roman"/>
                <w:sz w:val="20"/>
                <w:szCs w:val="20"/>
              </w:rPr>
            </w:pPr>
          </w:p>
        </w:tc>
        <w:tc>
          <w:tcPr>
            <w:tcW w:w="244" w:type="pct"/>
            <w:vAlign w:val="center"/>
            <w:hideMark/>
          </w:tcPr>
          <w:p w14:paraId="195FD960" w14:textId="77777777" w:rsidR="00000000" w:rsidRDefault="00A173A8">
            <w:pPr>
              <w:spacing w:after="100"/>
              <w:rPr>
                <w:rFonts w:eastAsia="Times New Roman"/>
                <w:sz w:val="20"/>
                <w:szCs w:val="20"/>
              </w:rPr>
            </w:pPr>
          </w:p>
        </w:tc>
        <w:tc>
          <w:tcPr>
            <w:tcW w:w="5" w:type="pct"/>
            <w:vAlign w:val="center"/>
            <w:hideMark/>
          </w:tcPr>
          <w:p w14:paraId="0D22F2FF" w14:textId="77777777" w:rsidR="00000000" w:rsidRDefault="00A173A8">
            <w:pPr>
              <w:spacing w:after="100"/>
              <w:rPr>
                <w:rFonts w:eastAsia="Times New Roman"/>
                <w:sz w:val="20"/>
                <w:szCs w:val="20"/>
              </w:rPr>
            </w:pPr>
          </w:p>
        </w:tc>
        <w:tc>
          <w:tcPr>
            <w:tcW w:w="5" w:type="pct"/>
            <w:vAlign w:val="center"/>
            <w:hideMark/>
          </w:tcPr>
          <w:p w14:paraId="10D0E02E" w14:textId="77777777" w:rsidR="00000000" w:rsidRDefault="00A173A8">
            <w:pPr>
              <w:spacing w:after="100"/>
              <w:rPr>
                <w:rFonts w:eastAsia="Times New Roman"/>
                <w:sz w:val="20"/>
                <w:szCs w:val="20"/>
              </w:rPr>
            </w:pPr>
          </w:p>
        </w:tc>
        <w:tc>
          <w:tcPr>
            <w:tcW w:w="26" w:type="pct"/>
            <w:vAlign w:val="center"/>
            <w:hideMark/>
          </w:tcPr>
          <w:p w14:paraId="3834F963" w14:textId="77777777" w:rsidR="00000000" w:rsidRDefault="00A173A8">
            <w:pPr>
              <w:spacing w:after="100"/>
              <w:rPr>
                <w:rFonts w:eastAsia="Times New Roman"/>
                <w:sz w:val="20"/>
                <w:szCs w:val="20"/>
              </w:rPr>
            </w:pPr>
          </w:p>
        </w:tc>
        <w:tc>
          <w:tcPr>
            <w:tcW w:w="5" w:type="pct"/>
            <w:vAlign w:val="center"/>
            <w:hideMark/>
          </w:tcPr>
          <w:p w14:paraId="6350190A" w14:textId="77777777" w:rsidR="00000000" w:rsidRDefault="00A173A8">
            <w:pPr>
              <w:spacing w:after="100"/>
              <w:rPr>
                <w:rFonts w:eastAsia="Times New Roman"/>
                <w:sz w:val="20"/>
                <w:szCs w:val="20"/>
              </w:rPr>
            </w:pPr>
          </w:p>
        </w:tc>
        <w:tc>
          <w:tcPr>
            <w:tcW w:w="50" w:type="pct"/>
            <w:vAlign w:val="center"/>
            <w:hideMark/>
          </w:tcPr>
          <w:p w14:paraId="12DD78D1" w14:textId="77777777" w:rsidR="00000000" w:rsidRDefault="00A173A8">
            <w:pPr>
              <w:spacing w:after="100"/>
              <w:rPr>
                <w:rFonts w:eastAsia="Times New Roman"/>
                <w:sz w:val="20"/>
                <w:szCs w:val="20"/>
              </w:rPr>
            </w:pPr>
          </w:p>
        </w:tc>
        <w:tc>
          <w:tcPr>
            <w:tcW w:w="244" w:type="pct"/>
            <w:gridSpan w:val="3"/>
            <w:vAlign w:val="center"/>
            <w:hideMark/>
          </w:tcPr>
          <w:p w14:paraId="557097C8" w14:textId="77777777" w:rsidR="00000000" w:rsidRDefault="00A173A8">
            <w:pPr>
              <w:spacing w:after="100"/>
              <w:rPr>
                <w:rFonts w:eastAsia="Times New Roman"/>
                <w:sz w:val="20"/>
                <w:szCs w:val="20"/>
              </w:rPr>
            </w:pPr>
          </w:p>
        </w:tc>
        <w:tc>
          <w:tcPr>
            <w:tcW w:w="5" w:type="pct"/>
            <w:vAlign w:val="center"/>
            <w:hideMark/>
          </w:tcPr>
          <w:p w14:paraId="5B7BB3CA" w14:textId="77777777" w:rsidR="00000000" w:rsidRDefault="00A173A8">
            <w:pPr>
              <w:spacing w:after="100"/>
              <w:rPr>
                <w:rFonts w:eastAsia="Times New Roman"/>
                <w:sz w:val="20"/>
                <w:szCs w:val="20"/>
              </w:rPr>
            </w:pPr>
          </w:p>
        </w:tc>
        <w:tc>
          <w:tcPr>
            <w:tcW w:w="5" w:type="pct"/>
            <w:vAlign w:val="center"/>
            <w:hideMark/>
          </w:tcPr>
          <w:p w14:paraId="33AD27F2" w14:textId="77777777" w:rsidR="00000000" w:rsidRDefault="00A173A8">
            <w:pPr>
              <w:spacing w:after="100"/>
              <w:rPr>
                <w:rFonts w:eastAsia="Times New Roman"/>
                <w:sz w:val="20"/>
                <w:szCs w:val="20"/>
              </w:rPr>
            </w:pPr>
          </w:p>
        </w:tc>
        <w:tc>
          <w:tcPr>
            <w:tcW w:w="26" w:type="pct"/>
            <w:vAlign w:val="center"/>
            <w:hideMark/>
          </w:tcPr>
          <w:p w14:paraId="14E24768" w14:textId="77777777" w:rsidR="00000000" w:rsidRDefault="00A173A8">
            <w:pPr>
              <w:spacing w:after="100"/>
              <w:rPr>
                <w:rFonts w:eastAsia="Times New Roman"/>
                <w:sz w:val="20"/>
                <w:szCs w:val="20"/>
              </w:rPr>
            </w:pPr>
          </w:p>
        </w:tc>
        <w:tc>
          <w:tcPr>
            <w:tcW w:w="5" w:type="pct"/>
            <w:vAlign w:val="center"/>
            <w:hideMark/>
          </w:tcPr>
          <w:p w14:paraId="47DA281D" w14:textId="77777777" w:rsidR="00000000" w:rsidRDefault="00A173A8">
            <w:pPr>
              <w:spacing w:after="100"/>
              <w:rPr>
                <w:rFonts w:eastAsia="Times New Roman"/>
                <w:sz w:val="20"/>
                <w:szCs w:val="20"/>
              </w:rPr>
            </w:pPr>
          </w:p>
        </w:tc>
        <w:tc>
          <w:tcPr>
            <w:tcW w:w="50" w:type="pct"/>
            <w:vAlign w:val="center"/>
            <w:hideMark/>
          </w:tcPr>
          <w:p w14:paraId="1741B761" w14:textId="77777777" w:rsidR="00000000" w:rsidRDefault="00A173A8">
            <w:pPr>
              <w:spacing w:after="100"/>
              <w:rPr>
                <w:rFonts w:eastAsia="Times New Roman"/>
                <w:sz w:val="20"/>
                <w:szCs w:val="20"/>
              </w:rPr>
            </w:pPr>
          </w:p>
        </w:tc>
        <w:tc>
          <w:tcPr>
            <w:tcW w:w="259" w:type="pct"/>
            <w:vAlign w:val="center"/>
            <w:hideMark/>
          </w:tcPr>
          <w:p w14:paraId="4F24CBB8" w14:textId="77777777" w:rsidR="00000000" w:rsidRDefault="00A173A8">
            <w:pPr>
              <w:spacing w:after="100"/>
              <w:rPr>
                <w:rFonts w:eastAsia="Times New Roman"/>
                <w:sz w:val="20"/>
                <w:szCs w:val="20"/>
              </w:rPr>
            </w:pPr>
          </w:p>
        </w:tc>
        <w:tc>
          <w:tcPr>
            <w:tcW w:w="5" w:type="pct"/>
            <w:vAlign w:val="center"/>
            <w:hideMark/>
          </w:tcPr>
          <w:p w14:paraId="51A8369F" w14:textId="77777777" w:rsidR="00000000" w:rsidRDefault="00A173A8">
            <w:pPr>
              <w:spacing w:after="100"/>
              <w:rPr>
                <w:rFonts w:eastAsia="Times New Roman"/>
                <w:sz w:val="20"/>
                <w:szCs w:val="20"/>
              </w:rPr>
            </w:pPr>
          </w:p>
        </w:tc>
        <w:tc>
          <w:tcPr>
            <w:tcW w:w="5" w:type="pct"/>
            <w:vAlign w:val="center"/>
            <w:hideMark/>
          </w:tcPr>
          <w:p w14:paraId="3D44575D" w14:textId="77777777" w:rsidR="00000000" w:rsidRDefault="00A173A8">
            <w:pPr>
              <w:spacing w:after="100"/>
              <w:rPr>
                <w:rFonts w:eastAsia="Times New Roman"/>
                <w:sz w:val="20"/>
                <w:szCs w:val="20"/>
              </w:rPr>
            </w:pPr>
          </w:p>
        </w:tc>
        <w:tc>
          <w:tcPr>
            <w:tcW w:w="26" w:type="pct"/>
            <w:vAlign w:val="center"/>
            <w:hideMark/>
          </w:tcPr>
          <w:p w14:paraId="01D87051" w14:textId="77777777" w:rsidR="00000000" w:rsidRDefault="00A173A8">
            <w:pPr>
              <w:spacing w:after="100"/>
              <w:rPr>
                <w:rFonts w:eastAsia="Times New Roman"/>
                <w:sz w:val="20"/>
                <w:szCs w:val="20"/>
              </w:rPr>
            </w:pPr>
          </w:p>
        </w:tc>
        <w:tc>
          <w:tcPr>
            <w:tcW w:w="5" w:type="pct"/>
            <w:vAlign w:val="center"/>
            <w:hideMark/>
          </w:tcPr>
          <w:p w14:paraId="67598B9F" w14:textId="77777777" w:rsidR="00000000" w:rsidRDefault="00A173A8">
            <w:pPr>
              <w:spacing w:after="100"/>
              <w:rPr>
                <w:rFonts w:eastAsia="Times New Roman"/>
                <w:sz w:val="20"/>
                <w:szCs w:val="20"/>
              </w:rPr>
            </w:pPr>
          </w:p>
        </w:tc>
        <w:tc>
          <w:tcPr>
            <w:tcW w:w="50" w:type="pct"/>
            <w:vAlign w:val="center"/>
            <w:hideMark/>
          </w:tcPr>
          <w:p w14:paraId="714E3571" w14:textId="77777777" w:rsidR="00000000" w:rsidRDefault="00A173A8">
            <w:pPr>
              <w:spacing w:after="100"/>
              <w:rPr>
                <w:rFonts w:eastAsia="Times New Roman"/>
                <w:sz w:val="20"/>
                <w:szCs w:val="20"/>
              </w:rPr>
            </w:pPr>
          </w:p>
        </w:tc>
        <w:tc>
          <w:tcPr>
            <w:tcW w:w="200" w:type="pct"/>
            <w:vAlign w:val="center"/>
            <w:hideMark/>
          </w:tcPr>
          <w:p w14:paraId="6065295C" w14:textId="77777777" w:rsidR="00000000" w:rsidRDefault="00A173A8">
            <w:pPr>
              <w:spacing w:after="100"/>
              <w:rPr>
                <w:rFonts w:eastAsia="Times New Roman"/>
                <w:sz w:val="20"/>
                <w:szCs w:val="20"/>
              </w:rPr>
            </w:pPr>
          </w:p>
        </w:tc>
        <w:tc>
          <w:tcPr>
            <w:tcW w:w="5" w:type="pct"/>
            <w:vAlign w:val="center"/>
            <w:hideMark/>
          </w:tcPr>
          <w:p w14:paraId="23F08B43" w14:textId="77777777" w:rsidR="00000000" w:rsidRDefault="00A173A8">
            <w:pPr>
              <w:spacing w:after="100"/>
              <w:rPr>
                <w:rFonts w:eastAsia="Times New Roman"/>
                <w:sz w:val="20"/>
                <w:szCs w:val="20"/>
              </w:rPr>
            </w:pPr>
          </w:p>
        </w:tc>
        <w:tc>
          <w:tcPr>
            <w:tcW w:w="5" w:type="pct"/>
            <w:vAlign w:val="center"/>
            <w:hideMark/>
          </w:tcPr>
          <w:p w14:paraId="5E1B3ED6" w14:textId="77777777" w:rsidR="00000000" w:rsidRDefault="00A173A8">
            <w:pPr>
              <w:spacing w:after="100"/>
              <w:rPr>
                <w:rFonts w:eastAsia="Times New Roman"/>
                <w:sz w:val="20"/>
                <w:szCs w:val="20"/>
              </w:rPr>
            </w:pPr>
          </w:p>
        </w:tc>
        <w:tc>
          <w:tcPr>
            <w:tcW w:w="26" w:type="pct"/>
            <w:vAlign w:val="center"/>
            <w:hideMark/>
          </w:tcPr>
          <w:p w14:paraId="56468C1B" w14:textId="77777777" w:rsidR="00000000" w:rsidRDefault="00A173A8">
            <w:pPr>
              <w:spacing w:after="100"/>
              <w:rPr>
                <w:rFonts w:eastAsia="Times New Roman"/>
                <w:sz w:val="20"/>
                <w:szCs w:val="20"/>
              </w:rPr>
            </w:pPr>
          </w:p>
        </w:tc>
        <w:tc>
          <w:tcPr>
            <w:tcW w:w="5" w:type="pct"/>
            <w:vAlign w:val="center"/>
            <w:hideMark/>
          </w:tcPr>
          <w:p w14:paraId="6B79C504" w14:textId="77777777" w:rsidR="00000000" w:rsidRDefault="00A173A8">
            <w:pPr>
              <w:spacing w:after="100"/>
              <w:rPr>
                <w:rFonts w:eastAsia="Times New Roman"/>
                <w:sz w:val="20"/>
                <w:szCs w:val="20"/>
              </w:rPr>
            </w:pPr>
          </w:p>
        </w:tc>
        <w:tc>
          <w:tcPr>
            <w:tcW w:w="50" w:type="pct"/>
            <w:vAlign w:val="center"/>
            <w:hideMark/>
          </w:tcPr>
          <w:p w14:paraId="39882928" w14:textId="77777777" w:rsidR="00000000" w:rsidRDefault="00A173A8">
            <w:pPr>
              <w:spacing w:after="100"/>
              <w:rPr>
                <w:rFonts w:eastAsia="Times New Roman"/>
                <w:sz w:val="20"/>
                <w:szCs w:val="20"/>
              </w:rPr>
            </w:pPr>
          </w:p>
        </w:tc>
        <w:tc>
          <w:tcPr>
            <w:tcW w:w="244" w:type="pct"/>
            <w:vAlign w:val="center"/>
            <w:hideMark/>
          </w:tcPr>
          <w:p w14:paraId="379FC35E" w14:textId="77777777" w:rsidR="00000000" w:rsidRDefault="00A173A8">
            <w:pPr>
              <w:spacing w:after="100"/>
              <w:rPr>
                <w:rFonts w:eastAsia="Times New Roman"/>
                <w:sz w:val="20"/>
                <w:szCs w:val="20"/>
              </w:rPr>
            </w:pPr>
          </w:p>
        </w:tc>
        <w:tc>
          <w:tcPr>
            <w:tcW w:w="5" w:type="pct"/>
            <w:vAlign w:val="center"/>
            <w:hideMark/>
          </w:tcPr>
          <w:p w14:paraId="0716ACD7" w14:textId="77777777" w:rsidR="00000000" w:rsidRDefault="00A173A8">
            <w:pPr>
              <w:spacing w:after="100"/>
              <w:rPr>
                <w:rFonts w:eastAsia="Times New Roman"/>
                <w:sz w:val="20"/>
                <w:szCs w:val="20"/>
              </w:rPr>
            </w:pPr>
          </w:p>
        </w:tc>
        <w:tc>
          <w:tcPr>
            <w:tcW w:w="5" w:type="pct"/>
            <w:vAlign w:val="center"/>
            <w:hideMark/>
          </w:tcPr>
          <w:p w14:paraId="0BF176B8" w14:textId="77777777" w:rsidR="00000000" w:rsidRDefault="00A173A8">
            <w:pPr>
              <w:spacing w:after="100"/>
              <w:rPr>
                <w:rFonts w:eastAsia="Times New Roman"/>
                <w:sz w:val="20"/>
                <w:szCs w:val="20"/>
              </w:rPr>
            </w:pPr>
          </w:p>
        </w:tc>
        <w:tc>
          <w:tcPr>
            <w:tcW w:w="26" w:type="pct"/>
            <w:vAlign w:val="center"/>
            <w:hideMark/>
          </w:tcPr>
          <w:p w14:paraId="496436AD" w14:textId="77777777" w:rsidR="00000000" w:rsidRDefault="00A173A8">
            <w:pPr>
              <w:spacing w:after="100"/>
              <w:rPr>
                <w:rFonts w:eastAsia="Times New Roman"/>
                <w:sz w:val="20"/>
                <w:szCs w:val="20"/>
              </w:rPr>
            </w:pPr>
          </w:p>
        </w:tc>
        <w:tc>
          <w:tcPr>
            <w:tcW w:w="5" w:type="pct"/>
            <w:vAlign w:val="center"/>
            <w:hideMark/>
          </w:tcPr>
          <w:p w14:paraId="24926FC7" w14:textId="77777777" w:rsidR="00000000" w:rsidRDefault="00A173A8">
            <w:pPr>
              <w:spacing w:after="100"/>
              <w:rPr>
                <w:rFonts w:eastAsia="Times New Roman"/>
                <w:sz w:val="20"/>
                <w:szCs w:val="20"/>
              </w:rPr>
            </w:pPr>
          </w:p>
        </w:tc>
        <w:tc>
          <w:tcPr>
            <w:tcW w:w="50" w:type="pct"/>
            <w:vAlign w:val="center"/>
            <w:hideMark/>
          </w:tcPr>
          <w:p w14:paraId="20D6F279" w14:textId="77777777" w:rsidR="00000000" w:rsidRDefault="00A173A8">
            <w:pPr>
              <w:spacing w:after="100"/>
              <w:rPr>
                <w:rFonts w:eastAsia="Times New Roman"/>
                <w:sz w:val="20"/>
                <w:szCs w:val="20"/>
              </w:rPr>
            </w:pPr>
          </w:p>
        </w:tc>
        <w:tc>
          <w:tcPr>
            <w:tcW w:w="295" w:type="pct"/>
            <w:gridSpan w:val="3"/>
            <w:vAlign w:val="center"/>
            <w:hideMark/>
          </w:tcPr>
          <w:p w14:paraId="7120C2E0" w14:textId="77777777" w:rsidR="00000000" w:rsidRDefault="00A173A8">
            <w:pPr>
              <w:spacing w:after="100"/>
              <w:rPr>
                <w:rFonts w:eastAsia="Times New Roman"/>
                <w:sz w:val="20"/>
                <w:szCs w:val="20"/>
              </w:rPr>
            </w:pPr>
          </w:p>
        </w:tc>
        <w:tc>
          <w:tcPr>
            <w:tcW w:w="5" w:type="pct"/>
            <w:gridSpan w:val="2"/>
            <w:vAlign w:val="center"/>
            <w:hideMark/>
          </w:tcPr>
          <w:p w14:paraId="10E1110D" w14:textId="77777777" w:rsidR="00000000" w:rsidRDefault="00A173A8">
            <w:pPr>
              <w:spacing w:after="100"/>
              <w:rPr>
                <w:rFonts w:eastAsia="Times New Roman"/>
                <w:sz w:val="20"/>
                <w:szCs w:val="20"/>
              </w:rPr>
            </w:pPr>
          </w:p>
        </w:tc>
        <w:tc>
          <w:tcPr>
            <w:tcW w:w="5" w:type="pct"/>
            <w:vAlign w:val="center"/>
            <w:hideMark/>
          </w:tcPr>
          <w:p w14:paraId="2557D500" w14:textId="77777777" w:rsidR="00000000" w:rsidRDefault="00A173A8">
            <w:pPr>
              <w:spacing w:after="100"/>
              <w:rPr>
                <w:rFonts w:eastAsia="Times New Roman"/>
                <w:sz w:val="20"/>
                <w:szCs w:val="20"/>
              </w:rPr>
            </w:pPr>
          </w:p>
        </w:tc>
        <w:tc>
          <w:tcPr>
            <w:tcW w:w="26" w:type="pct"/>
            <w:vAlign w:val="center"/>
            <w:hideMark/>
          </w:tcPr>
          <w:p w14:paraId="35931A19" w14:textId="77777777" w:rsidR="00000000" w:rsidRDefault="00A173A8">
            <w:pPr>
              <w:spacing w:after="100"/>
              <w:rPr>
                <w:rFonts w:eastAsia="Times New Roman"/>
                <w:sz w:val="20"/>
                <w:szCs w:val="20"/>
              </w:rPr>
            </w:pPr>
          </w:p>
        </w:tc>
        <w:tc>
          <w:tcPr>
            <w:tcW w:w="5" w:type="pct"/>
            <w:vAlign w:val="center"/>
            <w:hideMark/>
          </w:tcPr>
          <w:p w14:paraId="675CF44A" w14:textId="77777777" w:rsidR="00000000" w:rsidRDefault="00A173A8">
            <w:pPr>
              <w:spacing w:after="100"/>
              <w:rPr>
                <w:rFonts w:eastAsia="Times New Roman"/>
                <w:sz w:val="20"/>
                <w:szCs w:val="20"/>
              </w:rPr>
            </w:pPr>
          </w:p>
        </w:tc>
        <w:tc>
          <w:tcPr>
            <w:tcW w:w="50" w:type="pct"/>
            <w:vAlign w:val="center"/>
            <w:hideMark/>
          </w:tcPr>
          <w:p w14:paraId="7414B876" w14:textId="77777777" w:rsidR="00000000" w:rsidRDefault="00A173A8">
            <w:pPr>
              <w:spacing w:after="100"/>
              <w:rPr>
                <w:rFonts w:eastAsia="Times New Roman"/>
                <w:sz w:val="20"/>
                <w:szCs w:val="20"/>
              </w:rPr>
            </w:pPr>
          </w:p>
        </w:tc>
        <w:tc>
          <w:tcPr>
            <w:tcW w:w="266" w:type="pct"/>
            <w:vAlign w:val="center"/>
            <w:hideMark/>
          </w:tcPr>
          <w:p w14:paraId="59F57130" w14:textId="77777777" w:rsidR="00000000" w:rsidRDefault="00A173A8">
            <w:pPr>
              <w:spacing w:after="100"/>
              <w:rPr>
                <w:rFonts w:eastAsia="Times New Roman"/>
                <w:sz w:val="20"/>
                <w:szCs w:val="20"/>
              </w:rPr>
            </w:pPr>
          </w:p>
        </w:tc>
        <w:tc>
          <w:tcPr>
            <w:tcW w:w="5" w:type="pct"/>
            <w:vAlign w:val="center"/>
            <w:hideMark/>
          </w:tcPr>
          <w:p w14:paraId="3804350D" w14:textId="77777777" w:rsidR="00000000" w:rsidRDefault="00A173A8">
            <w:pPr>
              <w:spacing w:after="100"/>
              <w:rPr>
                <w:rFonts w:eastAsia="Times New Roman"/>
                <w:sz w:val="20"/>
                <w:szCs w:val="20"/>
              </w:rPr>
            </w:pPr>
          </w:p>
        </w:tc>
        <w:tc>
          <w:tcPr>
            <w:tcW w:w="5" w:type="pct"/>
            <w:vAlign w:val="center"/>
            <w:hideMark/>
          </w:tcPr>
          <w:p w14:paraId="1473FBCF" w14:textId="77777777" w:rsidR="00000000" w:rsidRDefault="00A173A8">
            <w:pPr>
              <w:spacing w:after="100"/>
              <w:rPr>
                <w:rFonts w:eastAsia="Times New Roman"/>
                <w:sz w:val="20"/>
                <w:szCs w:val="20"/>
              </w:rPr>
            </w:pPr>
          </w:p>
        </w:tc>
        <w:tc>
          <w:tcPr>
            <w:tcW w:w="26" w:type="pct"/>
            <w:vAlign w:val="center"/>
            <w:hideMark/>
          </w:tcPr>
          <w:p w14:paraId="408FDDA3" w14:textId="77777777" w:rsidR="00000000" w:rsidRDefault="00A173A8">
            <w:pPr>
              <w:spacing w:after="100"/>
              <w:rPr>
                <w:rFonts w:eastAsia="Times New Roman"/>
                <w:sz w:val="20"/>
                <w:szCs w:val="20"/>
              </w:rPr>
            </w:pPr>
          </w:p>
        </w:tc>
        <w:tc>
          <w:tcPr>
            <w:tcW w:w="5" w:type="pct"/>
            <w:vAlign w:val="center"/>
            <w:hideMark/>
          </w:tcPr>
          <w:p w14:paraId="6A367AD9" w14:textId="77777777" w:rsidR="00000000" w:rsidRDefault="00A173A8">
            <w:pPr>
              <w:spacing w:after="100"/>
              <w:rPr>
                <w:rFonts w:eastAsia="Times New Roman"/>
                <w:sz w:val="20"/>
                <w:szCs w:val="20"/>
              </w:rPr>
            </w:pPr>
          </w:p>
        </w:tc>
        <w:tc>
          <w:tcPr>
            <w:tcW w:w="50" w:type="pct"/>
            <w:vAlign w:val="center"/>
            <w:hideMark/>
          </w:tcPr>
          <w:p w14:paraId="4713BF5B" w14:textId="77777777" w:rsidR="00000000" w:rsidRDefault="00A173A8">
            <w:pPr>
              <w:spacing w:after="100"/>
              <w:rPr>
                <w:rFonts w:eastAsia="Times New Roman"/>
                <w:sz w:val="20"/>
                <w:szCs w:val="20"/>
              </w:rPr>
            </w:pPr>
          </w:p>
        </w:tc>
        <w:tc>
          <w:tcPr>
            <w:tcW w:w="244" w:type="pct"/>
            <w:vAlign w:val="center"/>
            <w:hideMark/>
          </w:tcPr>
          <w:p w14:paraId="5BA0EECF" w14:textId="77777777" w:rsidR="00000000" w:rsidRDefault="00A173A8">
            <w:pPr>
              <w:spacing w:after="100"/>
              <w:rPr>
                <w:rFonts w:eastAsia="Times New Roman"/>
                <w:sz w:val="20"/>
                <w:szCs w:val="20"/>
              </w:rPr>
            </w:pPr>
          </w:p>
        </w:tc>
        <w:tc>
          <w:tcPr>
            <w:tcW w:w="5" w:type="pct"/>
            <w:vAlign w:val="center"/>
            <w:hideMark/>
          </w:tcPr>
          <w:p w14:paraId="47F6527E" w14:textId="77777777" w:rsidR="00000000" w:rsidRDefault="00A173A8">
            <w:pPr>
              <w:spacing w:after="100"/>
              <w:rPr>
                <w:rFonts w:eastAsia="Times New Roman"/>
                <w:sz w:val="20"/>
                <w:szCs w:val="20"/>
              </w:rPr>
            </w:pPr>
          </w:p>
        </w:tc>
        <w:tc>
          <w:tcPr>
            <w:tcW w:w="5" w:type="pct"/>
            <w:vAlign w:val="center"/>
            <w:hideMark/>
          </w:tcPr>
          <w:p w14:paraId="4FC776B3" w14:textId="77777777" w:rsidR="00000000" w:rsidRDefault="00A173A8">
            <w:pPr>
              <w:spacing w:after="100"/>
              <w:rPr>
                <w:rFonts w:eastAsia="Times New Roman"/>
                <w:sz w:val="20"/>
                <w:szCs w:val="20"/>
              </w:rPr>
            </w:pPr>
          </w:p>
        </w:tc>
        <w:tc>
          <w:tcPr>
            <w:tcW w:w="26" w:type="pct"/>
            <w:vAlign w:val="center"/>
            <w:hideMark/>
          </w:tcPr>
          <w:p w14:paraId="3221A372" w14:textId="77777777" w:rsidR="00000000" w:rsidRDefault="00A173A8">
            <w:pPr>
              <w:spacing w:after="100"/>
              <w:rPr>
                <w:rFonts w:eastAsia="Times New Roman"/>
                <w:sz w:val="20"/>
                <w:szCs w:val="20"/>
              </w:rPr>
            </w:pPr>
          </w:p>
        </w:tc>
        <w:tc>
          <w:tcPr>
            <w:tcW w:w="5" w:type="pct"/>
            <w:vAlign w:val="center"/>
            <w:hideMark/>
          </w:tcPr>
          <w:p w14:paraId="4F880DE7" w14:textId="77777777" w:rsidR="00000000" w:rsidRDefault="00A173A8">
            <w:pPr>
              <w:spacing w:after="100"/>
              <w:rPr>
                <w:rFonts w:eastAsia="Times New Roman"/>
                <w:sz w:val="20"/>
                <w:szCs w:val="20"/>
              </w:rPr>
            </w:pPr>
          </w:p>
        </w:tc>
        <w:tc>
          <w:tcPr>
            <w:tcW w:w="50" w:type="pct"/>
            <w:vAlign w:val="center"/>
            <w:hideMark/>
          </w:tcPr>
          <w:p w14:paraId="318A2751" w14:textId="77777777" w:rsidR="00000000" w:rsidRDefault="00A173A8">
            <w:pPr>
              <w:spacing w:after="100"/>
              <w:rPr>
                <w:rFonts w:eastAsia="Times New Roman"/>
                <w:sz w:val="20"/>
                <w:szCs w:val="20"/>
              </w:rPr>
            </w:pPr>
          </w:p>
        </w:tc>
        <w:tc>
          <w:tcPr>
            <w:tcW w:w="354" w:type="pct"/>
            <w:vAlign w:val="center"/>
            <w:hideMark/>
          </w:tcPr>
          <w:p w14:paraId="1C132472" w14:textId="77777777" w:rsidR="00000000" w:rsidRDefault="00A173A8">
            <w:pPr>
              <w:spacing w:after="100"/>
              <w:rPr>
                <w:rFonts w:eastAsia="Times New Roman"/>
                <w:sz w:val="20"/>
                <w:szCs w:val="20"/>
              </w:rPr>
            </w:pPr>
          </w:p>
        </w:tc>
        <w:tc>
          <w:tcPr>
            <w:tcW w:w="5" w:type="pct"/>
            <w:gridSpan w:val="3"/>
            <w:vAlign w:val="center"/>
            <w:hideMark/>
          </w:tcPr>
          <w:p w14:paraId="2569F0F9" w14:textId="77777777" w:rsidR="00000000" w:rsidRDefault="00A173A8">
            <w:pPr>
              <w:spacing w:after="100"/>
              <w:rPr>
                <w:rFonts w:eastAsia="Times New Roman"/>
                <w:sz w:val="20"/>
                <w:szCs w:val="20"/>
              </w:rPr>
            </w:pPr>
          </w:p>
        </w:tc>
      </w:tr>
      <w:tr w:rsidR="00000000" w14:paraId="261C541C" w14:textId="77777777">
        <w:trPr>
          <w:divId w:val="1764763346"/>
        </w:trPr>
        <w:tc>
          <w:tcPr>
            <w:tcW w:w="0" w:type="auto"/>
            <w:gridSpan w:val="4"/>
            <w:tcMar>
              <w:top w:w="0" w:type="dxa"/>
              <w:left w:w="20" w:type="dxa"/>
              <w:bottom w:w="0" w:type="dxa"/>
              <w:right w:w="20" w:type="dxa"/>
            </w:tcMar>
            <w:vAlign w:val="center"/>
            <w:hideMark/>
          </w:tcPr>
          <w:p w14:paraId="11DA2A9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A0A277" w14:textId="77777777" w:rsidR="00000000" w:rsidRDefault="00A173A8">
            <w:pPr>
              <w:spacing w:after="100"/>
              <w:rPr>
                <w:rFonts w:eastAsia="Times New Roman"/>
                <w:sz w:val="20"/>
                <w:szCs w:val="20"/>
              </w:rPr>
            </w:pPr>
          </w:p>
        </w:tc>
        <w:tc>
          <w:tcPr>
            <w:tcW w:w="0" w:type="auto"/>
            <w:gridSpan w:val="61"/>
            <w:tcMar>
              <w:top w:w="30" w:type="dxa"/>
              <w:left w:w="20" w:type="dxa"/>
              <w:bottom w:w="30" w:type="dxa"/>
              <w:right w:w="20" w:type="dxa"/>
            </w:tcMar>
            <w:vAlign w:val="bottom"/>
            <w:hideMark/>
          </w:tcPr>
          <w:p w14:paraId="2285B79A" w14:textId="77777777" w:rsidR="00000000" w:rsidRDefault="00A173A8">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gridSpan w:val="3"/>
            <w:vAlign w:val="center"/>
            <w:hideMark/>
          </w:tcPr>
          <w:p w14:paraId="7EE158E5" w14:textId="77777777" w:rsidR="00000000" w:rsidRDefault="00A173A8">
            <w:pPr>
              <w:spacing w:after="100"/>
              <w:rPr>
                <w:rFonts w:eastAsia="Times New Roman"/>
                <w:sz w:val="20"/>
                <w:szCs w:val="20"/>
              </w:rPr>
            </w:pPr>
          </w:p>
        </w:tc>
      </w:tr>
      <w:tr w:rsidR="00000000" w14:paraId="717C01BC" w14:textId="77777777">
        <w:trPr>
          <w:divId w:val="1764763346"/>
        </w:trPr>
        <w:tc>
          <w:tcPr>
            <w:tcW w:w="0" w:type="auto"/>
            <w:gridSpan w:val="4"/>
            <w:tcMar>
              <w:top w:w="0" w:type="dxa"/>
              <w:left w:w="20" w:type="dxa"/>
              <w:bottom w:w="0" w:type="dxa"/>
              <w:right w:w="20" w:type="dxa"/>
            </w:tcMar>
            <w:vAlign w:val="center"/>
            <w:hideMark/>
          </w:tcPr>
          <w:p w14:paraId="27D38705"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8EFA447" w14:textId="77777777" w:rsidR="00000000" w:rsidRDefault="00A173A8">
            <w:pPr>
              <w:spacing w:after="100"/>
              <w:rPr>
                <w:rFonts w:eastAsia="Times New Roman"/>
                <w:sz w:val="20"/>
                <w:szCs w:val="20"/>
              </w:rPr>
            </w:pPr>
          </w:p>
        </w:tc>
        <w:tc>
          <w:tcPr>
            <w:tcW w:w="0" w:type="auto"/>
            <w:gridSpan w:val="61"/>
            <w:tcMar>
              <w:top w:w="30" w:type="dxa"/>
              <w:left w:w="20" w:type="dxa"/>
              <w:bottom w:w="30" w:type="dxa"/>
              <w:right w:w="20" w:type="dxa"/>
            </w:tcMar>
            <w:vAlign w:val="bottom"/>
            <w:hideMark/>
          </w:tcPr>
          <w:p w14:paraId="1C7E335A" w14:textId="77777777" w:rsidR="00000000" w:rsidRDefault="00A173A8">
            <w:pPr>
              <w:spacing w:after="100"/>
              <w:jc w:val="center"/>
              <w:rPr>
                <w:rFonts w:eastAsia="Times New Roman"/>
              </w:rPr>
            </w:pPr>
            <w:r>
              <w:rPr>
                <w:rFonts w:eastAsia="Times New Roman"/>
                <w:b/>
                <w:bCs/>
                <w:color w:val="000000"/>
                <w:sz w:val="14"/>
                <w:szCs w:val="14"/>
              </w:rPr>
              <w:t>Three Months Ended June 30, 2021</w:t>
            </w:r>
          </w:p>
        </w:tc>
        <w:tc>
          <w:tcPr>
            <w:tcW w:w="0" w:type="auto"/>
            <w:gridSpan w:val="3"/>
            <w:vAlign w:val="center"/>
            <w:hideMark/>
          </w:tcPr>
          <w:p w14:paraId="3084CB67" w14:textId="77777777" w:rsidR="00000000" w:rsidRDefault="00A173A8">
            <w:pPr>
              <w:spacing w:after="100"/>
              <w:rPr>
                <w:rFonts w:eastAsia="Times New Roman"/>
                <w:sz w:val="20"/>
                <w:szCs w:val="20"/>
              </w:rPr>
            </w:pPr>
          </w:p>
        </w:tc>
      </w:tr>
      <w:tr w:rsidR="00000000" w14:paraId="73111B68" w14:textId="77777777">
        <w:trPr>
          <w:divId w:val="1764763346"/>
          <w:trHeight w:val="300"/>
        </w:trPr>
        <w:tc>
          <w:tcPr>
            <w:tcW w:w="0" w:type="auto"/>
            <w:gridSpan w:val="4"/>
            <w:tcMar>
              <w:top w:w="0" w:type="dxa"/>
              <w:left w:w="20" w:type="dxa"/>
              <w:bottom w:w="0" w:type="dxa"/>
              <w:right w:w="20" w:type="dxa"/>
            </w:tcMar>
            <w:vAlign w:val="center"/>
            <w:hideMark/>
          </w:tcPr>
          <w:p w14:paraId="3D5B88E6"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B9FC647"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86931F"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C6D385" w14:textId="77777777" w:rsidR="00000000" w:rsidRDefault="00A173A8">
            <w:pPr>
              <w:spacing w:after="100"/>
              <w:rPr>
                <w:rFonts w:eastAsia="Times New Roman"/>
                <w:sz w:val="20"/>
                <w:szCs w:val="20"/>
              </w:rPr>
            </w:pPr>
          </w:p>
        </w:tc>
        <w:tc>
          <w:tcPr>
            <w:tcW w:w="0" w:type="auto"/>
            <w:gridSpan w:val="11"/>
            <w:tcBorders>
              <w:top w:val="single" w:sz="8" w:space="0" w:color="000000"/>
            </w:tcBorders>
            <w:tcMar>
              <w:top w:w="30" w:type="dxa"/>
              <w:left w:w="20" w:type="dxa"/>
              <w:bottom w:w="30" w:type="dxa"/>
              <w:right w:w="20" w:type="dxa"/>
            </w:tcMar>
            <w:vAlign w:val="bottom"/>
            <w:hideMark/>
          </w:tcPr>
          <w:p w14:paraId="4AAD6531" w14:textId="77777777" w:rsidR="00000000" w:rsidRDefault="00A173A8">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14:paraId="790FD466"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F5457D2"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B9FC6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15425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59F5A59"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59F87F"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F9F1D30" w14:textId="77777777" w:rsidR="00000000" w:rsidRDefault="00A173A8">
            <w:pPr>
              <w:spacing w:after="100"/>
              <w:rPr>
                <w:rFonts w:eastAsia="Times New Roman"/>
                <w:sz w:val="20"/>
                <w:szCs w:val="20"/>
              </w:rPr>
            </w:pPr>
          </w:p>
        </w:tc>
        <w:tc>
          <w:tcPr>
            <w:tcW w:w="0" w:type="auto"/>
            <w:gridSpan w:val="6"/>
            <w:tcBorders>
              <w:top w:val="single" w:sz="8" w:space="0" w:color="000000"/>
            </w:tcBorders>
            <w:tcMar>
              <w:top w:w="0" w:type="dxa"/>
              <w:left w:w="20" w:type="dxa"/>
              <w:bottom w:w="0" w:type="dxa"/>
              <w:right w:w="20" w:type="dxa"/>
            </w:tcMar>
            <w:vAlign w:val="center"/>
            <w:hideMark/>
          </w:tcPr>
          <w:p w14:paraId="162FC0C9"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03ACB8"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05F68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D01B53"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B4F70D"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767488" w14:textId="77777777" w:rsidR="00000000" w:rsidRDefault="00A173A8">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7A6151D4"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8D3CB6" w14:textId="77777777" w:rsidR="00000000" w:rsidRDefault="00A173A8">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June 30,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14:paraId="7F5ECDFB" w14:textId="77777777" w:rsidR="00000000" w:rsidRDefault="00A173A8">
            <w:pPr>
              <w:spacing w:after="100"/>
              <w:jc w:val="center"/>
              <w:rPr>
                <w:rFonts w:eastAsia="Times New Roman"/>
              </w:rPr>
            </w:pPr>
          </w:p>
        </w:tc>
      </w:tr>
      <w:tr w:rsidR="00000000" w14:paraId="19674E37" w14:textId="77777777">
        <w:trPr>
          <w:divId w:val="1764763346"/>
          <w:trHeight w:val="460"/>
        </w:trPr>
        <w:tc>
          <w:tcPr>
            <w:tcW w:w="0" w:type="auto"/>
            <w:gridSpan w:val="4"/>
            <w:tcMar>
              <w:top w:w="30" w:type="dxa"/>
              <w:left w:w="20" w:type="dxa"/>
              <w:bottom w:w="30" w:type="dxa"/>
              <w:right w:w="20" w:type="dxa"/>
            </w:tcMar>
            <w:vAlign w:val="bottom"/>
            <w:hideMark/>
          </w:tcPr>
          <w:p w14:paraId="7255540C" w14:textId="77777777" w:rsidR="00000000" w:rsidRDefault="00A173A8">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14:paraId="4E864685"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104C4764" w14:textId="77777777" w:rsidR="00000000" w:rsidRDefault="00A173A8">
            <w:pPr>
              <w:spacing w:after="100"/>
              <w:jc w:val="center"/>
              <w:rPr>
                <w:rFonts w:eastAsia="Times New Roman"/>
              </w:rPr>
            </w:pPr>
            <w:r>
              <w:rPr>
                <w:rFonts w:eastAsia="Times New Roman"/>
                <w:b/>
                <w:bCs/>
                <w:color w:val="000000"/>
                <w:sz w:val="12"/>
                <w:szCs w:val="12"/>
              </w:rPr>
              <w:t>Balance, April 1, 2021</w:t>
            </w:r>
          </w:p>
        </w:tc>
        <w:tc>
          <w:tcPr>
            <w:tcW w:w="0" w:type="auto"/>
            <w:gridSpan w:val="3"/>
            <w:tcMar>
              <w:top w:w="0" w:type="dxa"/>
              <w:left w:w="20" w:type="dxa"/>
              <w:bottom w:w="0" w:type="dxa"/>
              <w:right w:w="20" w:type="dxa"/>
            </w:tcMar>
            <w:vAlign w:val="center"/>
            <w:hideMark/>
          </w:tcPr>
          <w:p w14:paraId="595B907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C1BD22" w14:textId="77777777" w:rsidR="00000000" w:rsidRDefault="00A173A8">
            <w:pPr>
              <w:spacing w:after="100"/>
              <w:jc w:val="center"/>
              <w:rPr>
                <w:rFonts w:eastAsia="Times New Roman"/>
              </w:rPr>
            </w:pPr>
            <w:r>
              <w:rPr>
                <w:rFonts w:eastAsia="Times New Roman"/>
                <w:b/>
                <w:bCs/>
                <w:color w:val="000000"/>
                <w:sz w:val="12"/>
                <w:szCs w:val="12"/>
              </w:rPr>
              <w:t>Included</w:t>
            </w:r>
          </w:p>
          <w:p w14:paraId="2B819905" w14:textId="77777777" w:rsidR="00000000" w:rsidRDefault="00A173A8">
            <w:pPr>
              <w:spacing w:after="100"/>
              <w:jc w:val="center"/>
              <w:rPr>
                <w:rFonts w:eastAsia="Times New Roman"/>
              </w:rPr>
            </w:pPr>
            <w:r>
              <w:rPr>
                <w:rFonts w:eastAsia="Times New Roman"/>
                <w:b/>
                <w:bCs/>
                <w:color w:val="000000"/>
                <w:sz w:val="12"/>
                <w:szCs w:val="12"/>
              </w:rPr>
              <w:t>in Net</w:t>
            </w:r>
          </w:p>
          <w:p w14:paraId="25D81C3A" w14:textId="77777777" w:rsidR="00000000" w:rsidRDefault="00A173A8">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14:paraId="6EBF9484" w14:textId="77777777" w:rsidR="00000000" w:rsidRDefault="00A173A8">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14:paraId="46B175AD" w14:textId="77777777" w:rsidR="00000000" w:rsidRDefault="00A173A8">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14:paraId="20FC5314"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0BE8F5" w14:textId="77777777" w:rsidR="00000000" w:rsidRDefault="00A173A8">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14:paraId="62F4A571"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7BC0DB" w14:textId="77777777" w:rsidR="00000000" w:rsidRDefault="00A173A8">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14:paraId="4CA28579"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E74CB9" w14:textId="77777777" w:rsidR="00000000" w:rsidRDefault="00A173A8">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14:paraId="71771FE8" w14:textId="77777777" w:rsidR="00000000" w:rsidRDefault="00A173A8">
            <w:pPr>
              <w:spacing w:after="100"/>
              <w:jc w:val="center"/>
              <w:rPr>
                <w:rFonts w:eastAsia="Times New Roman"/>
              </w:rPr>
            </w:pPr>
          </w:p>
        </w:tc>
        <w:tc>
          <w:tcPr>
            <w:tcW w:w="0" w:type="auto"/>
            <w:gridSpan w:val="6"/>
            <w:tcMar>
              <w:top w:w="30" w:type="dxa"/>
              <w:left w:w="20" w:type="dxa"/>
              <w:bottom w:w="30" w:type="dxa"/>
              <w:right w:w="20" w:type="dxa"/>
            </w:tcMar>
            <w:vAlign w:val="bottom"/>
            <w:hideMark/>
          </w:tcPr>
          <w:p w14:paraId="02100B29" w14:textId="77777777" w:rsidR="00000000" w:rsidRDefault="00A173A8">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14:paraId="3C88CB62"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EF3DE0" w14:textId="77777777" w:rsidR="00000000" w:rsidRDefault="00A173A8">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0325B1F7"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29004F" w14:textId="77777777" w:rsidR="00000000" w:rsidRDefault="00A173A8">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37FDBDA7" w14:textId="77777777" w:rsidR="00000000" w:rsidRDefault="00A173A8">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1C61902E" w14:textId="77777777" w:rsidR="00000000" w:rsidRDefault="00A173A8">
            <w:pPr>
              <w:spacing w:after="100"/>
              <w:jc w:val="center"/>
              <w:rPr>
                <w:rFonts w:eastAsia="Times New Roman"/>
              </w:rPr>
            </w:pPr>
            <w:r>
              <w:rPr>
                <w:rFonts w:eastAsia="Times New Roman"/>
                <w:b/>
                <w:bCs/>
                <w:color w:val="000000"/>
                <w:sz w:val="12"/>
                <w:szCs w:val="12"/>
              </w:rPr>
              <w:t>Balance, June 30, 2021</w:t>
            </w:r>
          </w:p>
        </w:tc>
        <w:tc>
          <w:tcPr>
            <w:tcW w:w="0" w:type="auto"/>
            <w:gridSpan w:val="3"/>
            <w:tcMar>
              <w:top w:w="0" w:type="dxa"/>
              <w:left w:w="20" w:type="dxa"/>
              <w:bottom w:w="0" w:type="dxa"/>
              <w:right w:w="20" w:type="dxa"/>
            </w:tcMar>
            <w:vAlign w:val="center"/>
            <w:hideMark/>
          </w:tcPr>
          <w:p w14:paraId="65E4E663" w14:textId="77777777" w:rsidR="00000000" w:rsidRDefault="00A173A8">
            <w:pPr>
              <w:spacing w:after="100"/>
              <w:jc w:val="center"/>
              <w:rPr>
                <w:rFonts w:eastAsia="Times New Roman"/>
              </w:rPr>
            </w:pPr>
          </w:p>
        </w:tc>
      </w:tr>
      <w:tr w:rsidR="00000000" w14:paraId="7E874860" w14:textId="77777777">
        <w:trPr>
          <w:divId w:val="1764763346"/>
        </w:trPr>
        <w:tc>
          <w:tcPr>
            <w:tcW w:w="0" w:type="auto"/>
            <w:gridSpan w:val="4"/>
            <w:tcBorders>
              <w:top w:val="single" w:sz="8" w:space="0" w:color="000000"/>
            </w:tcBorders>
            <w:shd w:val="clear" w:color="auto" w:fill="CCEEFF"/>
            <w:tcMar>
              <w:top w:w="30" w:type="dxa"/>
              <w:left w:w="20" w:type="dxa"/>
              <w:bottom w:w="30" w:type="dxa"/>
              <w:right w:w="20" w:type="dxa"/>
            </w:tcMar>
            <w:vAlign w:val="center"/>
            <w:hideMark/>
          </w:tcPr>
          <w:p w14:paraId="2B305D30" w14:textId="77777777" w:rsidR="00000000" w:rsidRDefault="00A173A8">
            <w:pPr>
              <w:spacing w:after="100"/>
              <w:divId w:val="851183140"/>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973BFAB"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8CFD0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D3E3C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D5911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2C3D15" w14:textId="77777777" w:rsidR="00000000" w:rsidRDefault="00A173A8">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14:paraId="6A300FB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D8BFF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486B2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44630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9800E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674CF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900C8F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2B9EA1" w14:textId="77777777" w:rsidR="00000000" w:rsidRDefault="00A173A8">
            <w:pPr>
              <w:spacing w:after="100"/>
              <w:rPr>
                <w:rFonts w:eastAsia="Times New Roman"/>
                <w:sz w:val="20"/>
                <w:szCs w:val="20"/>
              </w:rPr>
            </w:pPr>
          </w:p>
        </w:tc>
        <w:tc>
          <w:tcPr>
            <w:tcW w:w="0" w:type="auto"/>
            <w:gridSpan w:val="6"/>
            <w:tcBorders>
              <w:top w:val="single" w:sz="8" w:space="0" w:color="000000"/>
            </w:tcBorders>
            <w:shd w:val="clear" w:color="auto" w:fill="CCEEFF"/>
            <w:tcMar>
              <w:top w:w="0" w:type="dxa"/>
              <w:left w:w="20" w:type="dxa"/>
              <w:bottom w:w="0" w:type="dxa"/>
              <w:right w:w="20" w:type="dxa"/>
            </w:tcMar>
            <w:vAlign w:val="center"/>
            <w:hideMark/>
          </w:tcPr>
          <w:p w14:paraId="0A713E9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7BC26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DD100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BCC1F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6B2B3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6636DF"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7053EAF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6908E6" w14:textId="77777777" w:rsidR="00000000" w:rsidRDefault="00A173A8">
            <w:pPr>
              <w:spacing w:after="100"/>
              <w:rPr>
                <w:rFonts w:eastAsia="Times New Roman"/>
                <w:sz w:val="20"/>
                <w:szCs w:val="20"/>
              </w:rPr>
            </w:pPr>
          </w:p>
        </w:tc>
      </w:tr>
      <w:tr w:rsidR="00A173A8" w14:paraId="0E0751A6" w14:textId="77777777">
        <w:trPr>
          <w:divId w:val="1764763346"/>
        </w:trPr>
        <w:tc>
          <w:tcPr>
            <w:tcW w:w="0" w:type="auto"/>
            <w:gridSpan w:val="4"/>
            <w:shd w:val="clear" w:color="auto" w:fill="FFFFFF"/>
            <w:tcMar>
              <w:top w:w="30" w:type="dxa"/>
              <w:left w:w="245" w:type="dxa"/>
              <w:bottom w:w="30" w:type="dxa"/>
              <w:right w:w="20" w:type="dxa"/>
            </w:tcMar>
            <w:vAlign w:val="center"/>
            <w:hideMark/>
          </w:tcPr>
          <w:p w14:paraId="26F08F80"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75BDE874"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18BAAD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626E2E3" w14:textId="77777777" w:rsidR="00000000" w:rsidRDefault="00A173A8">
            <w:pPr>
              <w:spacing w:after="100"/>
              <w:jc w:val="right"/>
              <w:rPr>
                <w:rFonts w:eastAsia="Times New Roman"/>
              </w:rPr>
            </w:pPr>
            <w:r>
              <w:rPr>
                <w:rFonts w:eastAsia="Times New Roman"/>
                <w:color w:val="000000"/>
                <w:sz w:val="18"/>
                <w:szCs w:val="18"/>
              </w:rPr>
              <w:t>326 </w:t>
            </w:r>
          </w:p>
        </w:tc>
        <w:tc>
          <w:tcPr>
            <w:tcW w:w="0" w:type="auto"/>
            <w:shd w:val="clear" w:color="auto" w:fill="FFFFFF"/>
            <w:tcMar>
              <w:top w:w="30" w:type="dxa"/>
              <w:left w:w="0" w:type="dxa"/>
              <w:bottom w:w="30" w:type="dxa"/>
              <w:right w:w="20" w:type="dxa"/>
            </w:tcMar>
            <w:vAlign w:val="bottom"/>
            <w:hideMark/>
          </w:tcPr>
          <w:p w14:paraId="0CDAE8F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27548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E24C8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49ECB8E"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14:paraId="6AF3F1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8D896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DCC845" w14:textId="77777777" w:rsidR="00000000" w:rsidRDefault="00A173A8">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03FC0471" w14:textId="77777777" w:rsidR="00000000" w:rsidRDefault="00A173A8">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764322D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B758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F7BE1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144453C" w14:textId="77777777" w:rsidR="00000000" w:rsidRDefault="00A173A8">
            <w:pPr>
              <w:spacing w:after="100"/>
              <w:jc w:val="right"/>
              <w:rPr>
                <w:rFonts w:eastAsia="Times New Roman"/>
              </w:rPr>
            </w:pPr>
            <w:r>
              <w:rPr>
                <w:rFonts w:eastAsia="Times New Roman"/>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320D03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0710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5DB380"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ABC13A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C4C06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CD0D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D4AC10"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CD9A14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40CF4D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A947B"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BF167D" w14:textId="77777777" w:rsidR="00000000" w:rsidRDefault="00A173A8">
            <w:pPr>
              <w:spacing w:after="100"/>
              <w:rPr>
                <w:rFonts w:eastAsia="Times New Roman"/>
              </w:rPr>
            </w:pPr>
            <w:r>
              <w:rPr>
                <w:rFonts w:eastAsia="Times New Roman"/>
                <w:color w:val="000000"/>
                <w:sz w:val="18"/>
                <w:szCs w:val="18"/>
              </w:rPr>
              <w:t>$</w:t>
            </w:r>
          </w:p>
        </w:tc>
        <w:tc>
          <w:tcPr>
            <w:tcW w:w="0" w:type="auto"/>
            <w:gridSpan w:val="3"/>
            <w:shd w:val="clear" w:color="auto" w:fill="FFFFFF"/>
            <w:tcMar>
              <w:top w:w="30" w:type="dxa"/>
              <w:left w:w="0" w:type="dxa"/>
              <w:bottom w:w="30" w:type="dxa"/>
              <w:right w:w="0" w:type="dxa"/>
            </w:tcMar>
            <w:vAlign w:val="bottom"/>
            <w:hideMark/>
          </w:tcPr>
          <w:p w14:paraId="0BCE9128" w14:textId="77777777" w:rsidR="00000000" w:rsidRDefault="00A173A8">
            <w:pPr>
              <w:spacing w:after="100"/>
              <w:jc w:val="right"/>
              <w:rPr>
                <w:rFonts w:eastAsia="Times New Roman"/>
              </w:rPr>
            </w:pPr>
            <w:r>
              <w:rPr>
                <w:rFonts w:eastAsia="Times New Roman"/>
                <w:color w:val="000000"/>
                <w:sz w:val="18"/>
                <w:szCs w:val="18"/>
              </w:rPr>
              <w:t>(25)</w:t>
            </w:r>
          </w:p>
        </w:tc>
        <w:tc>
          <w:tcPr>
            <w:tcW w:w="0" w:type="auto"/>
            <w:gridSpan w:val="2"/>
            <w:shd w:val="clear" w:color="auto" w:fill="FFFFFF"/>
            <w:tcMar>
              <w:top w:w="30" w:type="dxa"/>
              <w:left w:w="0" w:type="dxa"/>
              <w:bottom w:w="30" w:type="dxa"/>
              <w:right w:w="20" w:type="dxa"/>
            </w:tcMar>
            <w:vAlign w:val="bottom"/>
            <w:hideMark/>
          </w:tcPr>
          <w:p w14:paraId="0EA3538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8D53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5A7562B"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FA1B79E" w14:textId="77777777" w:rsidR="00000000" w:rsidRDefault="00A173A8">
            <w:pPr>
              <w:spacing w:after="100"/>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14:paraId="6A0DF5F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1450B"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9E281B4"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1968D89" w14:textId="77777777" w:rsidR="00000000" w:rsidRDefault="00A173A8">
            <w:pPr>
              <w:spacing w:after="100"/>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bottom"/>
            <w:hideMark/>
          </w:tcPr>
          <w:p w14:paraId="37C0B4F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BF6E5"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6B96BE"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B82D210" w14:textId="77777777" w:rsidR="00000000" w:rsidRDefault="00A173A8">
            <w:pPr>
              <w:spacing w:after="100"/>
              <w:jc w:val="right"/>
              <w:rPr>
                <w:rFonts w:eastAsia="Times New Roman"/>
              </w:rPr>
            </w:pPr>
            <w:r>
              <w:rPr>
                <w:rFonts w:eastAsia="Times New Roman"/>
                <w:color w:val="000000"/>
                <w:sz w:val="18"/>
                <w:szCs w:val="18"/>
              </w:rPr>
              <w:t>289 </w:t>
            </w:r>
          </w:p>
        </w:tc>
        <w:tc>
          <w:tcPr>
            <w:tcW w:w="0" w:type="auto"/>
            <w:gridSpan w:val="3"/>
            <w:shd w:val="clear" w:color="auto" w:fill="FFFFFF"/>
            <w:tcMar>
              <w:top w:w="30" w:type="dxa"/>
              <w:left w:w="0" w:type="dxa"/>
              <w:bottom w:w="30" w:type="dxa"/>
              <w:right w:w="20" w:type="dxa"/>
            </w:tcMar>
            <w:vAlign w:val="bottom"/>
            <w:hideMark/>
          </w:tcPr>
          <w:p w14:paraId="04C17DE4" w14:textId="77777777" w:rsidR="00000000" w:rsidRDefault="00A173A8">
            <w:pPr>
              <w:spacing w:after="100"/>
              <w:jc w:val="right"/>
              <w:rPr>
                <w:rFonts w:eastAsia="Times New Roman"/>
              </w:rPr>
            </w:pPr>
            <w:r>
              <w:rPr>
                <w:rFonts w:eastAsia="Times New Roman"/>
                <w:color w:val="000000"/>
                <w:sz w:val="18"/>
                <w:szCs w:val="18"/>
              </w:rPr>
              <w:t>$4 </w:t>
            </w:r>
          </w:p>
        </w:tc>
      </w:tr>
      <w:tr w:rsidR="00A173A8" w14:paraId="4901AE02" w14:textId="77777777">
        <w:trPr>
          <w:divId w:val="1764763346"/>
        </w:trPr>
        <w:tc>
          <w:tcPr>
            <w:tcW w:w="0" w:type="auto"/>
            <w:gridSpan w:val="4"/>
            <w:shd w:val="clear" w:color="auto" w:fill="CCEEFF"/>
            <w:tcMar>
              <w:top w:w="30" w:type="dxa"/>
              <w:left w:w="245" w:type="dxa"/>
              <w:bottom w:w="30" w:type="dxa"/>
              <w:right w:w="20" w:type="dxa"/>
            </w:tcMar>
            <w:vAlign w:val="center"/>
            <w:hideMark/>
          </w:tcPr>
          <w:p w14:paraId="49D3FB29" w14:textId="77777777" w:rsidR="00000000" w:rsidRDefault="00A173A8">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64573407"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73CC1C" w14:textId="77777777" w:rsidR="00000000" w:rsidRDefault="00A173A8">
            <w:pPr>
              <w:spacing w:after="100"/>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14:paraId="756A004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A514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2DFFB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CB7FC5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8DF9E"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018763F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21239E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44C1A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C58AA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D649C2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C777A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45582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1544D0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CC6F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0A948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9F0D6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F8B43"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3D3E8546" w14:textId="77777777" w:rsidR="00000000" w:rsidRDefault="00A173A8">
            <w:pPr>
              <w:spacing w:after="100"/>
              <w:jc w:val="right"/>
              <w:rPr>
                <w:rFonts w:eastAsia="Times New Roman"/>
              </w:rPr>
            </w:pPr>
            <w:r>
              <w:rPr>
                <w:rFonts w:eastAsia="Times New Roman"/>
                <w:color w:val="000000"/>
                <w:sz w:val="18"/>
                <w:szCs w:val="18"/>
              </w:rPr>
              <w:t>0 </w:t>
            </w:r>
          </w:p>
        </w:tc>
        <w:tc>
          <w:tcPr>
            <w:tcW w:w="0" w:type="auto"/>
            <w:gridSpan w:val="2"/>
            <w:shd w:val="clear" w:color="auto" w:fill="CCEEFF"/>
            <w:tcMar>
              <w:top w:w="30" w:type="dxa"/>
              <w:left w:w="0" w:type="dxa"/>
              <w:bottom w:w="30" w:type="dxa"/>
              <w:right w:w="20" w:type="dxa"/>
            </w:tcMar>
            <w:vAlign w:val="bottom"/>
            <w:hideMark/>
          </w:tcPr>
          <w:p w14:paraId="228B928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81963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6DA7C3"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EC9922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8790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479E04"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7E85DA3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0625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9A7E99" w14:textId="77777777" w:rsidR="00000000" w:rsidRDefault="00A173A8">
            <w:pPr>
              <w:spacing w:after="100"/>
              <w:jc w:val="right"/>
              <w:rPr>
                <w:rFonts w:eastAsia="Times New Roman"/>
              </w:rPr>
            </w:pPr>
            <w:r>
              <w:rPr>
                <w:rFonts w:eastAsia="Times New Roman"/>
                <w:color w:val="000000"/>
                <w:sz w:val="18"/>
                <w:szCs w:val="18"/>
              </w:rPr>
              <w:t>9 </w:t>
            </w:r>
          </w:p>
        </w:tc>
        <w:tc>
          <w:tcPr>
            <w:tcW w:w="0" w:type="auto"/>
            <w:gridSpan w:val="3"/>
            <w:shd w:val="clear" w:color="auto" w:fill="CCEEFF"/>
            <w:tcMar>
              <w:top w:w="30" w:type="dxa"/>
              <w:left w:w="0" w:type="dxa"/>
              <w:bottom w:w="30" w:type="dxa"/>
              <w:right w:w="20" w:type="dxa"/>
            </w:tcMar>
            <w:vAlign w:val="bottom"/>
            <w:hideMark/>
          </w:tcPr>
          <w:p w14:paraId="24F79451" w14:textId="77777777" w:rsidR="00000000" w:rsidRDefault="00A173A8">
            <w:pPr>
              <w:spacing w:after="100"/>
              <w:jc w:val="right"/>
              <w:rPr>
                <w:rFonts w:eastAsia="Times New Roman"/>
              </w:rPr>
            </w:pPr>
            <w:r>
              <w:rPr>
                <w:rFonts w:eastAsia="Times New Roman"/>
                <w:color w:val="000000"/>
                <w:sz w:val="18"/>
                <w:szCs w:val="18"/>
              </w:rPr>
              <w:t>0 </w:t>
            </w:r>
          </w:p>
        </w:tc>
      </w:tr>
      <w:tr w:rsidR="00000000" w14:paraId="00472E17" w14:textId="77777777">
        <w:trPr>
          <w:divId w:val="1764763346"/>
        </w:trPr>
        <w:tc>
          <w:tcPr>
            <w:tcW w:w="0" w:type="auto"/>
            <w:gridSpan w:val="4"/>
            <w:vAlign w:val="center"/>
            <w:hideMark/>
          </w:tcPr>
          <w:p w14:paraId="607D609C" w14:textId="77777777" w:rsidR="00000000" w:rsidRDefault="00A173A8">
            <w:pPr>
              <w:spacing w:after="100"/>
              <w:jc w:val="right"/>
              <w:rPr>
                <w:rFonts w:eastAsia="Times New Roman"/>
                <w:sz w:val="20"/>
                <w:szCs w:val="20"/>
              </w:rPr>
            </w:pPr>
          </w:p>
        </w:tc>
        <w:tc>
          <w:tcPr>
            <w:tcW w:w="0" w:type="auto"/>
            <w:gridSpan w:val="3"/>
            <w:vAlign w:val="center"/>
            <w:hideMark/>
          </w:tcPr>
          <w:p w14:paraId="44F0315D" w14:textId="77777777" w:rsidR="00000000" w:rsidRDefault="00A173A8">
            <w:pPr>
              <w:spacing w:after="100"/>
              <w:rPr>
                <w:rFonts w:eastAsia="Times New Roman"/>
                <w:sz w:val="20"/>
                <w:szCs w:val="20"/>
              </w:rPr>
            </w:pPr>
          </w:p>
        </w:tc>
        <w:tc>
          <w:tcPr>
            <w:tcW w:w="0" w:type="auto"/>
            <w:gridSpan w:val="3"/>
            <w:vAlign w:val="center"/>
            <w:hideMark/>
          </w:tcPr>
          <w:p w14:paraId="4DA29DD1" w14:textId="77777777" w:rsidR="00000000" w:rsidRDefault="00A173A8">
            <w:pPr>
              <w:spacing w:after="100"/>
              <w:rPr>
                <w:rFonts w:eastAsia="Times New Roman"/>
                <w:sz w:val="20"/>
                <w:szCs w:val="20"/>
              </w:rPr>
            </w:pPr>
          </w:p>
        </w:tc>
        <w:tc>
          <w:tcPr>
            <w:tcW w:w="0" w:type="auto"/>
            <w:gridSpan w:val="3"/>
            <w:vAlign w:val="center"/>
            <w:hideMark/>
          </w:tcPr>
          <w:p w14:paraId="728D3D61" w14:textId="77777777" w:rsidR="00000000" w:rsidRDefault="00A173A8">
            <w:pPr>
              <w:spacing w:after="100"/>
              <w:rPr>
                <w:rFonts w:eastAsia="Times New Roman"/>
                <w:sz w:val="20"/>
                <w:szCs w:val="20"/>
              </w:rPr>
            </w:pPr>
          </w:p>
        </w:tc>
        <w:tc>
          <w:tcPr>
            <w:tcW w:w="0" w:type="auto"/>
            <w:gridSpan w:val="3"/>
            <w:vAlign w:val="center"/>
            <w:hideMark/>
          </w:tcPr>
          <w:p w14:paraId="2F78A601" w14:textId="77777777" w:rsidR="00000000" w:rsidRDefault="00A173A8">
            <w:pPr>
              <w:spacing w:after="100"/>
              <w:rPr>
                <w:rFonts w:eastAsia="Times New Roman"/>
                <w:sz w:val="20"/>
                <w:szCs w:val="20"/>
              </w:rPr>
            </w:pPr>
          </w:p>
        </w:tc>
        <w:tc>
          <w:tcPr>
            <w:tcW w:w="0" w:type="auto"/>
            <w:gridSpan w:val="3"/>
            <w:vAlign w:val="center"/>
            <w:hideMark/>
          </w:tcPr>
          <w:p w14:paraId="42854044" w14:textId="77777777" w:rsidR="00000000" w:rsidRDefault="00A173A8">
            <w:pPr>
              <w:spacing w:after="100"/>
              <w:rPr>
                <w:rFonts w:eastAsia="Times New Roman"/>
                <w:sz w:val="20"/>
                <w:szCs w:val="20"/>
              </w:rPr>
            </w:pPr>
          </w:p>
        </w:tc>
        <w:tc>
          <w:tcPr>
            <w:tcW w:w="0" w:type="auto"/>
            <w:gridSpan w:val="5"/>
            <w:vAlign w:val="center"/>
            <w:hideMark/>
          </w:tcPr>
          <w:p w14:paraId="0CFF4A9F" w14:textId="77777777" w:rsidR="00000000" w:rsidRDefault="00A173A8">
            <w:pPr>
              <w:spacing w:after="100"/>
              <w:rPr>
                <w:rFonts w:eastAsia="Times New Roman"/>
                <w:sz w:val="20"/>
                <w:szCs w:val="20"/>
              </w:rPr>
            </w:pPr>
          </w:p>
        </w:tc>
        <w:tc>
          <w:tcPr>
            <w:tcW w:w="0" w:type="auto"/>
            <w:gridSpan w:val="3"/>
            <w:vAlign w:val="center"/>
            <w:hideMark/>
          </w:tcPr>
          <w:p w14:paraId="38DE680A" w14:textId="77777777" w:rsidR="00000000" w:rsidRDefault="00A173A8">
            <w:pPr>
              <w:spacing w:after="100"/>
              <w:rPr>
                <w:rFonts w:eastAsia="Times New Roman"/>
                <w:sz w:val="20"/>
                <w:szCs w:val="20"/>
              </w:rPr>
            </w:pPr>
          </w:p>
        </w:tc>
        <w:tc>
          <w:tcPr>
            <w:tcW w:w="0" w:type="auto"/>
            <w:gridSpan w:val="3"/>
            <w:vAlign w:val="center"/>
            <w:hideMark/>
          </w:tcPr>
          <w:p w14:paraId="474A1CE7" w14:textId="77777777" w:rsidR="00000000" w:rsidRDefault="00A173A8">
            <w:pPr>
              <w:spacing w:after="100"/>
              <w:rPr>
                <w:rFonts w:eastAsia="Times New Roman"/>
                <w:sz w:val="20"/>
                <w:szCs w:val="20"/>
              </w:rPr>
            </w:pPr>
          </w:p>
        </w:tc>
        <w:tc>
          <w:tcPr>
            <w:tcW w:w="0" w:type="auto"/>
            <w:gridSpan w:val="3"/>
            <w:vAlign w:val="center"/>
            <w:hideMark/>
          </w:tcPr>
          <w:p w14:paraId="01439886" w14:textId="77777777" w:rsidR="00000000" w:rsidRDefault="00A173A8">
            <w:pPr>
              <w:spacing w:after="100"/>
              <w:rPr>
                <w:rFonts w:eastAsia="Times New Roman"/>
                <w:sz w:val="20"/>
                <w:szCs w:val="20"/>
              </w:rPr>
            </w:pPr>
          </w:p>
        </w:tc>
        <w:tc>
          <w:tcPr>
            <w:tcW w:w="0" w:type="auto"/>
            <w:gridSpan w:val="3"/>
            <w:vAlign w:val="center"/>
            <w:hideMark/>
          </w:tcPr>
          <w:p w14:paraId="193EEE8D" w14:textId="77777777" w:rsidR="00000000" w:rsidRDefault="00A173A8">
            <w:pPr>
              <w:spacing w:after="100"/>
              <w:rPr>
                <w:rFonts w:eastAsia="Times New Roman"/>
                <w:sz w:val="20"/>
                <w:szCs w:val="20"/>
              </w:rPr>
            </w:pPr>
          </w:p>
        </w:tc>
        <w:tc>
          <w:tcPr>
            <w:tcW w:w="0" w:type="auto"/>
            <w:gridSpan w:val="3"/>
            <w:vAlign w:val="center"/>
            <w:hideMark/>
          </w:tcPr>
          <w:p w14:paraId="1E524E99" w14:textId="77777777" w:rsidR="00000000" w:rsidRDefault="00A173A8">
            <w:pPr>
              <w:spacing w:after="100"/>
              <w:rPr>
                <w:rFonts w:eastAsia="Times New Roman"/>
                <w:sz w:val="20"/>
                <w:szCs w:val="20"/>
              </w:rPr>
            </w:pPr>
          </w:p>
        </w:tc>
        <w:tc>
          <w:tcPr>
            <w:tcW w:w="0" w:type="auto"/>
            <w:gridSpan w:val="3"/>
            <w:vAlign w:val="center"/>
            <w:hideMark/>
          </w:tcPr>
          <w:p w14:paraId="569E0B7A" w14:textId="77777777" w:rsidR="00000000" w:rsidRDefault="00A173A8">
            <w:pPr>
              <w:spacing w:after="100"/>
              <w:rPr>
                <w:rFonts w:eastAsia="Times New Roman"/>
                <w:sz w:val="20"/>
                <w:szCs w:val="20"/>
              </w:rPr>
            </w:pPr>
          </w:p>
        </w:tc>
        <w:tc>
          <w:tcPr>
            <w:tcW w:w="0" w:type="auto"/>
            <w:gridSpan w:val="3"/>
            <w:vAlign w:val="center"/>
            <w:hideMark/>
          </w:tcPr>
          <w:p w14:paraId="082B18E2" w14:textId="77777777" w:rsidR="00000000" w:rsidRDefault="00A173A8">
            <w:pPr>
              <w:spacing w:after="100"/>
              <w:rPr>
                <w:rFonts w:eastAsia="Times New Roman"/>
                <w:sz w:val="20"/>
                <w:szCs w:val="20"/>
              </w:rPr>
            </w:pPr>
          </w:p>
        </w:tc>
        <w:tc>
          <w:tcPr>
            <w:tcW w:w="0" w:type="auto"/>
            <w:gridSpan w:val="6"/>
            <w:vAlign w:val="center"/>
            <w:hideMark/>
          </w:tcPr>
          <w:p w14:paraId="786651E4" w14:textId="77777777" w:rsidR="00000000" w:rsidRDefault="00A173A8">
            <w:pPr>
              <w:spacing w:after="100"/>
              <w:rPr>
                <w:rFonts w:eastAsia="Times New Roman"/>
                <w:sz w:val="20"/>
                <w:szCs w:val="20"/>
              </w:rPr>
            </w:pPr>
          </w:p>
        </w:tc>
        <w:tc>
          <w:tcPr>
            <w:tcW w:w="0" w:type="auto"/>
            <w:gridSpan w:val="3"/>
            <w:vAlign w:val="center"/>
            <w:hideMark/>
          </w:tcPr>
          <w:p w14:paraId="08609616" w14:textId="77777777" w:rsidR="00000000" w:rsidRDefault="00A173A8">
            <w:pPr>
              <w:spacing w:after="100"/>
              <w:rPr>
                <w:rFonts w:eastAsia="Times New Roman"/>
                <w:sz w:val="20"/>
                <w:szCs w:val="20"/>
              </w:rPr>
            </w:pPr>
          </w:p>
        </w:tc>
        <w:tc>
          <w:tcPr>
            <w:tcW w:w="0" w:type="auto"/>
            <w:gridSpan w:val="3"/>
            <w:vAlign w:val="center"/>
            <w:hideMark/>
          </w:tcPr>
          <w:p w14:paraId="7C6A8003" w14:textId="77777777" w:rsidR="00000000" w:rsidRDefault="00A173A8">
            <w:pPr>
              <w:spacing w:after="100"/>
              <w:rPr>
                <w:rFonts w:eastAsia="Times New Roman"/>
                <w:sz w:val="20"/>
                <w:szCs w:val="20"/>
              </w:rPr>
            </w:pPr>
          </w:p>
        </w:tc>
        <w:tc>
          <w:tcPr>
            <w:tcW w:w="0" w:type="auto"/>
            <w:gridSpan w:val="3"/>
            <w:vAlign w:val="center"/>
            <w:hideMark/>
          </w:tcPr>
          <w:p w14:paraId="1CBDF1DF" w14:textId="77777777" w:rsidR="00000000" w:rsidRDefault="00A173A8">
            <w:pPr>
              <w:spacing w:after="100"/>
              <w:rPr>
                <w:rFonts w:eastAsia="Times New Roman"/>
                <w:sz w:val="20"/>
                <w:szCs w:val="20"/>
              </w:rPr>
            </w:pPr>
          </w:p>
        </w:tc>
        <w:tc>
          <w:tcPr>
            <w:tcW w:w="0" w:type="auto"/>
            <w:gridSpan w:val="3"/>
            <w:vAlign w:val="center"/>
            <w:hideMark/>
          </w:tcPr>
          <w:p w14:paraId="3DF4B860" w14:textId="77777777" w:rsidR="00000000" w:rsidRDefault="00A173A8">
            <w:pPr>
              <w:spacing w:after="100"/>
              <w:rPr>
                <w:rFonts w:eastAsia="Times New Roman"/>
                <w:sz w:val="20"/>
                <w:szCs w:val="20"/>
              </w:rPr>
            </w:pPr>
          </w:p>
        </w:tc>
        <w:tc>
          <w:tcPr>
            <w:tcW w:w="0" w:type="auto"/>
            <w:gridSpan w:val="3"/>
            <w:vAlign w:val="center"/>
            <w:hideMark/>
          </w:tcPr>
          <w:p w14:paraId="705215D6" w14:textId="77777777" w:rsidR="00000000" w:rsidRDefault="00A173A8">
            <w:pPr>
              <w:spacing w:after="100"/>
              <w:rPr>
                <w:rFonts w:eastAsia="Times New Roman"/>
                <w:sz w:val="20"/>
                <w:szCs w:val="20"/>
              </w:rPr>
            </w:pPr>
          </w:p>
        </w:tc>
        <w:tc>
          <w:tcPr>
            <w:tcW w:w="0" w:type="auto"/>
            <w:gridSpan w:val="2"/>
            <w:vAlign w:val="center"/>
            <w:hideMark/>
          </w:tcPr>
          <w:p w14:paraId="181CA037" w14:textId="77777777" w:rsidR="00000000" w:rsidRDefault="00A173A8">
            <w:pPr>
              <w:spacing w:after="100"/>
              <w:rPr>
                <w:rFonts w:eastAsia="Times New Roman"/>
                <w:sz w:val="20"/>
                <w:szCs w:val="20"/>
              </w:rPr>
            </w:pPr>
          </w:p>
        </w:tc>
        <w:tc>
          <w:tcPr>
            <w:tcW w:w="0" w:type="auto"/>
            <w:gridSpan w:val="3"/>
            <w:vAlign w:val="center"/>
            <w:hideMark/>
          </w:tcPr>
          <w:p w14:paraId="1D3B1FFF" w14:textId="77777777" w:rsidR="00000000" w:rsidRDefault="00A173A8">
            <w:pPr>
              <w:spacing w:after="100"/>
              <w:rPr>
                <w:rFonts w:eastAsia="Times New Roman"/>
                <w:sz w:val="20"/>
                <w:szCs w:val="20"/>
              </w:rPr>
            </w:pPr>
          </w:p>
        </w:tc>
      </w:tr>
      <w:tr w:rsidR="00A173A8" w14:paraId="2652238B" w14:textId="77777777">
        <w:trPr>
          <w:divId w:val="1764763346"/>
        </w:trPr>
        <w:tc>
          <w:tcPr>
            <w:tcW w:w="0" w:type="auto"/>
            <w:gridSpan w:val="4"/>
            <w:shd w:val="clear" w:color="auto" w:fill="FFFFFF"/>
            <w:tcMar>
              <w:top w:w="30" w:type="dxa"/>
              <w:left w:w="20" w:type="dxa"/>
              <w:bottom w:w="30" w:type="dxa"/>
              <w:right w:w="20" w:type="dxa"/>
            </w:tcMar>
            <w:vAlign w:val="center"/>
            <w:hideMark/>
          </w:tcPr>
          <w:p w14:paraId="45BFE187" w14:textId="77777777" w:rsidR="00000000" w:rsidRDefault="00A173A8">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14:paraId="6D3BC239"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96E631" w14:textId="77777777" w:rsidR="00000000" w:rsidRDefault="00A173A8">
            <w:pPr>
              <w:spacing w:after="100"/>
              <w:jc w:val="right"/>
              <w:rPr>
                <w:rFonts w:eastAsia="Times New Roman"/>
              </w:rPr>
            </w:pPr>
            <w:r>
              <w:rPr>
                <w:rFonts w:eastAsia="Times New Roman"/>
                <w:color w:val="000000"/>
                <w:sz w:val="18"/>
                <w:szCs w:val="18"/>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09A56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1BB58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0F52E8" w14:textId="77777777" w:rsidR="00000000" w:rsidRDefault="00A173A8">
            <w:pPr>
              <w:spacing w:after="100"/>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EC72D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E4C70"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38C75694" w14:textId="77777777" w:rsidR="00000000" w:rsidRDefault="00A173A8">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51493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216C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E07D54"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34B9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7E0F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3DC502"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BBCBC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86248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334925"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89F9F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4662CD" w14:textId="77777777" w:rsidR="00000000" w:rsidRDefault="00A173A8">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14:paraId="74491AA0" w14:textId="77777777" w:rsidR="00000000" w:rsidRDefault="00A173A8">
            <w:pPr>
              <w:spacing w:after="100"/>
              <w:jc w:val="right"/>
              <w:rPr>
                <w:rFonts w:eastAsia="Times New Roman"/>
              </w:rPr>
            </w:pPr>
            <w:r>
              <w:rPr>
                <w:rFonts w:eastAsia="Times New Roman"/>
                <w:color w:val="000000"/>
                <w:sz w:val="18"/>
                <w:szCs w:val="18"/>
              </w:rPr>
              <w:t>(25)</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14:paraId="338F69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C5C9A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D5690E" w14:textId="77777777" w:rsidR="00000000" w:rsidRDefault="00A173A8">
            <w:pPr>
              <w:spacing w:after="100"/>
              <w:jc w:val="right"/>
              <w:rPr>
                <w:rFonts w:eastAsia="Times New Roman"/>
              </w:rPr>
            </w:pPr>
            <w:r>
              <w:rPr>
                <w:rFonts w:eastAsia="Times New Roman"/>
                <w:color w:val="000000"/>
                <w:sz w:val="18"/>
                <w:szCs w:val="18"/>
              </w:rPr>
              <w:t>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2BF4B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57AD8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A9FD6C" w14:textId="77777777" w:rsidR="00000000" w:rsidRDefault="00A173A8">
            <w:pPr>
              <w:spacing w:after="100"/>
              <w:jc w:val="right"/>
              <w:rPr>
                <w:rFonts w:eastAsia="Times New Roman"/>
              </w:rPr>
            </w:pPr>
            <w:r>
              <w:rPr>
                <w:rFonts w:eastAsia="Times New Roman"/>
                <w:color w:val="000000"/>
                <w:sz w:val="18"/>
                <w:szCs w:val="18"/>
              </w:rPr>
              <w:t>(64)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6BF42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310F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2E39BB" w14:textId="77777777" w:rsidR="00000000" w:rsidRDefault="00A173A8">
            <w:pPr>
              <w:spacing w:after="100"/>
              <w:jc w:val="right"/>
              <w:rPr>
                <w:rFonts w:eastAsia="Times New Roman"/>
              </w:rPr>
            </w:pPr>
            <w:r>
              <w:rPr>
                <w:rFonts w:eastAsia="Times New Roman"/>
                <w:color w:val="000000"/>
                <w:sz w:val="18"/>
                <w:szCs w:val="18"/>
              </w:rPr>
              <w:t>298 </w:t>
            </w:r>
          </w:p>
        </w:tc>
        <w:tc>
          <w:tcPr>
            <w:tcW w:w="0" w:type="auto"/>
            <w:gridSpan w:val="3"/>
            <w:tcBorders>
              <w:top w:val="single" w:sz="8" w:space="0" w:color="000000"/>
            </w:tcBorders>
            <w:shd w:val="clear" w:color="auto" w:fill="FFFFFF"/>
            <w:tcMar>
              <w:top w:w="30" w:type="dxa"/>
              <w:left w:w="0" w:type="dxa"/>
              <w:bottom w:w="30" w:type="dxa"/>
              <w:right w:w="20" w:type="dxa"/>
            </w:tcMar>
            <w:vAlign w:val="bottom"/>
            <w:hideMark/>
          </w:tcPr>
          <w:p w14:paraId="0D6993A7" w14:textId="77777777" w:rsidR="00000000" w:rsidRDefault="00A173A8">
            <w:pPr>
              <w:spacing w:after="100"/>
              <w:jc w:val="right"/>
              <w:rPr>
                <w:rFonts w:eastAsia="Times New Roman"/>
              </w:rPr>
            </w:pPr>
            <w:r>
              <w:rPr>
                <w:rFonts w:eastAsia="Times New Roman"/>
                <w:color w:val="000000"/>
                <w:sz w:val="18"/>
                <w:szCs w:val="18"/>
              </w:rPr>
              <w:t>4 </w:t>
            </w:r>
          </w:p>
        </w:tc>
      </w:tr>
      <w:tr w:rsidR="00000000" w14:paraId="0DD06E1C" w14:textId="77777777">
        <w:trPr>
          <w:divId w:val="1764763346"/>
        </w:trPr>
        <w:tc>
          <w:tcPr>
            <w:tcW w:w="0" w:type="auto"/>
            <w:gridSpan w:val="4"/>
            <w:shd w:val="clear" w:color="auto" w:fill="CCEEFF"/>
            <w:tcMar>
              <w:top w:w="30" w:type="dxa"/>
              <w:left w:w="20" w:type="dxa"/>
              <w:bottom w:w="30" w:type="dxa"/>
              <w:right w:w="20" w:type="dxa"/>
            </w:tcMar>
            <w:vAlign w:val="center"/>
            <w:hideMark/>
          </w:tcPr>
          <w:p w14:paraId="382A55FA" w14:textId="77777777" w:rsidR="00000000" w:rsidRDefault="00A173A8">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4B31206D"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6B5CFD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F22CB6"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0AA2D4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9759F4" w14:textId="77777777" w:rsidR="00000000" w:rsidRDefault="00A173A8">
            <w:pPr>
              <w:spacing w:after="100"/>
              <w:rPr>
                <w:rFonts w:eastAsia="Times New Roman"/>
                <w:sz w:val="20"/>
                <w:szCs w:val="20"/>
              </w:rPr>
            </w:pPr>
          </w:p>
        </w:tc>
        <w:tc>
          <w:tcPr>
            <w:tcW w:w="0" w:type="auto"/>
            <w:gridSpan w:val="5"/>
            <w:tcBorders>
              <w:top w:val="double" w:sz="6" w:space="0" w:color="000000"/>
            </w:tcBorders>
            <w:shd w:val="clear" w:color="auto" w:fill="CCEEFF"/>
            <w:tcMar>
              <w:top w:w="0" w:type="dxa"/>
              <w:left w:w="20" w:type="dxa"/>
              <w:bottom w:w="0" w:type="dxa"/>
              <w:right w:w="20" w:type="dxa"/>
            </w:tcMar>
            <w:vAlign w:val="center"/>
            <w:hideMark/>
          </w:tcPr>
          <w:p w14:paraId="3862ADB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AF6202"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F4FAB5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6DD0F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5F5BCA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539D0C"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5BCC6B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20A0AA" w14:textId="77777777" w:rsidR="00000000" w:rsidRDefault="00A173A8">
            <w:pPr>
              <w:spacing w:after="100"/>
              <w:rPr>
                <w:rFonts w:eastAsia="Times New Roman"/>
                <w:sz w:val="20"/>
                <w:szCs w:val="20"/>
              </w:rPr>
            </w:pPr>
          </w:p>
        </w:tc>
        <w:tc>
          <w:tcPr>
            <w:tcW w:w="0" w:type="auto"/>
            <w:gridSpan w:val="6"/>
            <w:tcBorders>
              <w:top w:val="double" w:sz="6" w:space="0" w:color="000000"/>
            </w:tcBorders>
            <w:shd w:val="clear" w:color="auto" w:fill="CCEEFF"/>
            <w:tcMar>
              <w:top w:w="0" w:type="dxa"/>
              <w:left w:w="20" w:type="dxa"/>
              <w:bottom w:w="0" w:type="dxa"/>
              <w:right w:w="20" w:type="dxa"/>
            </w:tcMar>
            <w:vAlign w:val="center"/>
            <w:hideMark/>
          </w:tcPr>
          <w:p w14:paraId="0CC0848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A92907"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97C04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B8D36A"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935F0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B06681" w14:textId="77777777" w:rsidR="00000000" w:rsidRDefault="00A173A8">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14:paraId="6B59451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C8894" w14:textId="77777777" w:rsidR="00000000" w:rsidRDefault="00A173A8">
            <w:pPr>
              <w:spacing w:after="100"/>
              <w:rPr>
                <w:rFonts w:eastAsia="Times New Roman"/>
                <w:sz w:val="20"/>
                <w:szCs w:val="20"/>
              </w:rPr>
            </w:pPr>
          </w:p>
        </w:tc>
      </w:tr>
      <w:tr w:rsidR="00000000" w14:paraId="6D5C4F4C" w14:textId="77777777">
        <w:trPr>
          <w:divId w:val="1764763346"/>
        </w:trPr>
        <w:tc>
          <w:tcPr>
            <w:tcW w:w="0" w:type="auto"/>
            <w:gridSpan w:val="4"/>
            <w:vAlign w:val="center"/>
            <w:hideMark/>
          </w:tcPr>
          <w:p w14:paraId="101CE192" w14:textId="77777777" w:rsidR="00000000" w:rsidRDefault="00A173A8">
            <w:pPr>
              <w:spacing w:after="100"/>
              <w:rPr>
                <w:rFonts w:eastAsia="Times New Roman"/>
                <w:sz w:val="20"/>
                <w:szCs w:val="20"/>
              </w:rPr>
            </w:pPr>
          </w:p>
        </w:tc>
        <w:tc>
          <w:tcPr>
            <w:tcW w:w="0" w:type="auto"/>
            <w:gridSpan w:val="3"/>
            <w:vAlign w:val="center"/>
            <w:hideMark/>
          </w:tcPr>
          <w:p w14:paraId="3F0656C3" w14:textId="77777777" w:rsidR="00000000" w:rsidRDefault="00A173A8">
            <w:pPr>
              <w:spacing w:after="100"/>
              <w:rPr>
                <w:rFonts w:eastAsia="Times New Roman"/>
                <w:sz w:val="20"/>
                <w:szCs w:val="20"/>
              </w:rPr>
            </w:pPr>
          </w:p>
        </w:tc>
        <w:tc>
          <w:tcPr>
            <w:tcW w:w="0" w:type="auto"/>
            <w:gridSpan w:val="3"/>
            <w:vAlign w:val="center"/>
            <w:hideMark/>
          </w:tcPr>
          <w:p w14:paraId="713B3D92" w14:textId="77777777" w:rsidR="00000000" w:rsidRDefault="00A173A8">
            <w:pPr>
              <w:spacing w:after="100"/>
              <w:rPr>
                <w:rFonts w:eastAsia="Times New Roman"/>
                <w:sz w:val="20"/>
                <w:szCs w:val="20"/>
              </w:rPr>
            </w:pPr>
          </w:p>
        </w:tc>
        <w:tc>
          <w:tcPr>
            <w:tcW w:w="0" w:type="auto"/>
            <w:gridSpan w:val="3"/>
            <w:vAlign w:val="center"/>
            <w:hideMark/>
          </w:tcPr>
          <w:p w14:paraId="08B5F5DD" w14:textId="77777777" w:rsidR="00000000" w:rsidRDefault="00A173A8">
            <w:pPr>
              <w:spacing w:after="100"/>
              <w:rPr>
                <w:rFonts w:eastAsia="Times New Roman"/>
                <w:sz w:val="20"/>
                <w:szCs w:val="20"/>
              </w:rPr>
            </w:pPr>
          </w:p>
        </w:tc>
        <w:tc>
          <w:tcPr>
            <w:tcW w:w="0" w:type="auto"/>
            <w:gridSpan w:val="3"/>
            <w:vAlign w:val="center"/>
            <w:hideMark/>
          </w:tcPr>
          <w:p w14:paraId="47A5E172" w14:textId="77777777" w:rsidR="00000000" w:rsidRDefault="00A173A8">
            <w:pPr>
              <w:spacing w:after="100"/>
              <w:rPr>
                <w:rFonts w:eastAsia="Times New Roman"/>
                <w:sz w:val="20"/>
                <w:szCs w:val="20"/>
              </w:rPr>
            </w:pPr>
          </w:p>
        </w:tc>
        <w:tc>
          <w:tcPr>
            <w:tcW w:w="0" w:type="auto"/>
            <w:gridSpan w:val="3"/>
            <w:vAlign w:val="center"/>
            <w:hideMark/>
          </w:tcPr>
          <w:p w14:paraId="41C6BB2A" w14:textId="77777777" w:rsidR="00000000" w:rsidRDefault="00A173A8">
            <w:pPr>
              <w:spacing w:after="100"/>
              <w:rPr>
                <w:rFonts w:eastAsia="Times New Roman"/>
                <w:sz w:val="20"/>
                <w:szCs w:val="20"/>
              </w:rPr>
            </w:pPr>
          </w:p>
        </w:tc>
        <w:tc>
          <w:tcPr>
            <w:tcW w:w="0" w:type="auto"/>
            <w:gridSpan w:val="5"/>
            <w:vAlign w:val="center"/>
            <w:hideMark/>
          </w:tcPr>
          <w:p w14:paraId="0007118E" w14:textId="77777777" w:rsidR="00000000" w:rsidRDefault="00A173A8">
            <w:pPr>
              <w:spacing w:after="100"/>
              <w:rPr>
                <w:rFonts w:eastAsia="Times New Roman"/>
                <w:sz w:val="20"/>
                <w:szCs w:val="20"/>
              </w:rPr>
            </w:pPr>
          </w:p>
        </w:tc>
        <w:tc>
          <w:tcPr>
            <w:tcW w:w="0" w:type="auto"/>
            <w:gridSpan w:val="3"/>
            <w:vAlign w:val="center"/>
            <w:hideMark/>
          </w:tcPr>
          <w:p w14:paraId="2A391927" w14:textId="77777777" w:rsidR="00000000" w:rsidRDefault="00A173A8">
            <w:pPr>
              <w:spacing w:after="100"/>
              <w:rPr>
                <w:rFonts w:eastAsia="Times New Roman"/>
                <w:sz w:val="20"/>
                <w:szCs w:val="20"/>
              </w:rPr>
            </w:pPr>
          </w:p>
        </w:tc>
        <w:tc>
          <w:tcPr>
            <w:tcW w:w="0" w:type="auto"/>
            <w:gridSpan w:val="3"/>
            <w:vAlign w:val="center"/>
            <w:hideMark/>
          </w:tcPr>
          <w:p w14:paraId="6B86B938" w14:textId="77777777" w:rsidR="00000000" w:rsidRDefault="00A173A8">
            <w:pPr>
              <w:spacing w:after="100"/>
              <w:rPr>
                <w:rFonts w:eastAsia="Times New Roman"/>
                <w:sz w:val="20"/>
                <w:szCs w:val="20"/>
              </w:rPr>
            </w:pPr>
          </w:p>
        </w:tc>
        <w:tc>
          <w:tcPr>
            <w:tcW w:w="0" w:type="auto"/>
            <w:gridSpan w:val="3"/>
            <w:vAlign w:val="center"/>
            <w:hideMark/>
          </w:tcPr>
          <w:p w14:paraId="2A7C8ED5" w14:textId="77777777" w:rsidR="00000000" w:rsidRDefault="00A173A8">
            <w:pPr>
              <w:spacing w:after="100"/>
              <w:rPr>
                <w:rFonts w:eastAsia="Times New Roman"/>
                <w:sz w:val="20"/>
                <w:szCs w:val="20"/>
              </w:rPr>
            </w:pPr>
          </w:p>
        </w:tc>
        <w:tc>
          <w:tcPr>
            <w:tcW w:w="0" w:type="auto"/>
            <w:gridSpan w:val="3"/>
            <w:vAlign w:val="center"/>
            <w:hideMark/>
          </w:tcPr>
          <w:p w14:paraId="07805407" w14:textId="77777777" w:rsidR="00000000" w:rsidRDefault="00A173A8">
            <w:pPr>
              <w:spacing w:after="100"/>
              <w:rPr>
                <w:rFonts w:eastAsia="Times New Roman"/>
                <w:sz w:val="20"/>
                <w:szCs w:val="20"/>
              </w:rPr>
            </w:pPr>
          </w:p>
        </w:tc>
        <w:tc>
          <w:tcPr>
            <w:tcW w:w="0" w:type="auto"/>
            <w:gridSpan w:val="3"/>
            <w:vAlign w:val="center"/>
            <w:hideMark/>
          </w:tcPr>
          <w:p w14:paraId="6124516E" w14:textId="77777777" w:rsidR="00000000" w:rsidRDefault="00A173A8">
            <w:pPr>
              <w:spacing w:after="100"/>
              <w:rPr>
                <w:rFonts w:eastAsia="Times New Roman"/>
                <w:sz w:val="20"/>
                <w:szCs w:val="20"/>
              </w:rPr>
            </w:pPr>
          </w:p>
        </w:tc>
        <w:tc>
          <w:tcPr>
            <w:tcW w:w="0" w:type="auto"/>
            <w:gridSpan w:val="3"/>
            <w:vAlign w:val="center"/>
            <w:hideMark/>
          </w:tcPr>
          <w:p w14:paraId="4954CE57" w14:textId="77777777" w:rsidR="00000000" w:rsidRDefault="00A173A8">
            <w:pPr>
              <w:spacing w:after="100"/>
              <w:rPr>
                <w:rFonts w:eastAsia="Times New Roman"/>
                <w:sz w:val="20"/>
                <w:szCs w:val="20"/>
              </w:rPr>
            </w:pPr>
          </w:p>
        </w:tc>
        <w:tc>
          <w:tcPr>
            <w:tcW w:w="0" w:type="auto"/>
            <w:gridSpan w:val="3"/>
            <w:vAlign w:val="center"/>
            <w:hideMark/>
          </w:tcPr>
          <w:p w14:paraId="557CB03A" w14:textId="77777777" w:rsidR="00000000" w:rsidRDefault="00A173A8">
            <w:pPr>
              <w:spacing w:after="100"/>
              <w:rPr>
                <w:rFonts w:eastAsia="Times New Roman"/>
                <w:sz w:val="20"/>
                <w:szCs w:val="20"/>
              </w:rPr>
            </w:pPr>
          </w:p>
        </w:tc>
        <w:tc>
          <w:tcPr>
            <w:tcW w:w="0" w:type="auto"/>
            <w:gridSpan w:val="6"/>
            <w:vAlign w:val="center"/>
            <w:hideMark/>
          </w:tcPr>
          <w:p w14:paraId="2B818BFF" w14:textId="77777777" w:rsidR="00000000" w:rsidRDefault="00A173A8">
            <w:pPr>
              <w:spacing w:after="100"/>
              <w:rPr>
                <w:rFonts w:eastAsia="Times New Roman"/>
                <w:sz w:val="20"/>
                <w:szCs w:val="20"/>
              </w:rPr>
            </w:pPr>
          </w:p>
        </w:tc>
        <w:tc>
          <w:tcPr>
            <w:tcW w:w="0" w:type="auto"/>
            <w:gridSpan w:val="3"/>
            <w:vAlign w:val="center"/>
            <w:hideMark/>
          </w:tcPr>
          <w:p w14:paraId="23E470D5" w14:textId="77777777" w:rsidR="00000000" w:rsidRDefault="00A173A8">
            <w:pPr>
              <w:spacing w:after="100"/>
              <w:rPr>
                <w:rFonts w:eastAsia="Times New Roman"/>
                <w:sz w:val="20"/>
                <w:szCs w:val="20"/>
              </w:rPr>
            </w:pPr>
          </w:p>
        </w:tc>
        <w:tc>
          <w:tcPr>
            <w:tcW w:w="0" w:type="auto"/>
            <w:gridSpan w:val="3"/>
            <w:vAlign w:val="center"/>
            <w:hideMark/>
          </w:tcPr>
          <w:p w14:paraId="0DC961E4" w14:textId="77777777" w:rsidR="00000000" w:rsidRDefault="00A173A8">
            <w:pPr>
              <w:spacing w:after="100"/>
              <w:rPr>
                <w:rFonts w:eastAsia="Times New Roman"/>
                <w:sz w:val="20"/>
                <w:szCs w:val="20"/>
              </w:rPr>
            </w:pPr>
          </w:p>
        </w:tc>
        <w:tc>
          <w:tcPr>
            <w:tcW w:w="0" w:type="auto"/>
            <w:gridSpan w:val="3"/>
            <w:vAlign w:val="center"/>
            <w:hideMark/>
          </w:tcPr>
          <w:p w14:paraId="01BD1863" w14:textId="77777777" w:rsidR="00000000" w:rsidRDefault="00A173A8">
            <w:pPr>
              <w:spacing w:after="100"/>
              <w:rPr>
                <w:rFonts w:eastAsia="Times New Roman"/>
                <w:sz w:val="20"/>
                <w:szCs w:val="20"/>
              </w:rPr>
            </w:pPr>
          </w:p>
        </w:tc>
        <w:tc>
          <w:tcPr>
            <w:tcW w:w="0" w:type="auto"/>
            <w:gridSpan w:val="3"/>
            <w:vAlign w:val="center"/>
            <w:hideMark/>
          </w:tcPr>
          <w:p w14:paraId="4E5D360D" w14:textId="77777777" w:rsidR="00000000" w:rsidRDefault="00A173A8">
            <w:pPr>
              <w:spacing w:after="100"/>
              <w:rPr>
                <w:rFonts w:eastAsia="Times New Roman"/>
                <w:sz w:val="20"/>
                <w:szCs w:val="20"/>
              </w:rPr>
            </w:pPr>
          </w:p>
        </w:tc>
        <w:tc>
          <w:tcPr>
            <w:tcW w:w="0" w:type="auto"/>
            <w:gridSpan w:val="3"/>
            <w:vAlign w:val="center"/>
            <w:hideMark/>
          </w:tcPr>
          <w:p w14:paraId="68EF7161" w14:textId="77777777" w:rsidR="00000000" w:rsidRDefault="00A173A8">
            <w:pPr>
              <w:spacing w:after="100"/>
              <w:rPr>
                <w:rFonts w:eastAsia="Times New Roman"/>
                <w:sz w:val="20"/>
                <w:szCs w:val="20"/>
              </w:rPr>
            </w:pPr>
          </w:p>
        </w:tc>
        <w:tc>
          <w:tcPr>
            <w:tcW w:w="0" w:type="auto"/>
            <w:gridSpan w:val="2"/>
            <w:vAlign w:val="center"/>
            <w:hideMark/>
          </w:tcPr>
          <w:p w14:paraId="44DD9338" w14:textId="77777777" w:rsidR="00000000" w:rsidRDefault="00A173A8">
            <w:pPr>
              <w:spacing w:after="100"/>
              <w:rPr>
                <w:rFonts w:eastAsia="Times New Roman"/>
                <w:sz w:val="20"/>
                <w:szCs w:val="20"/>
              </w:rPr>
            </w:pPr>
          </w:p>
        </w:tc>
        <w:tc>
          <w:tcPr>
            <w:tcW w:w="0" w:type="auto"/>
            <w:gridSpan w:val="3"/>
            <w:vAlign w:val="center"/>
            <w:hideMark/>
          </w:tcPr>
          <w:p w14:paraId="0365A44A" w14:textId="77777777" w:rsidR="00000000" w:rsidRDefault="00A173A8">
            <w:pPr>
              <w:spacing w:after="100"/>
              <w:rPr>
                <w:rFonts w:eastAsia="Times New Roman"/>
                <w:sz w:val="20"/>
                <w:szCs w:val="20"/>
              </w:rPr>
            </w:pPr>
          </w:p>
        </w:tc>
      </w:tr>
      <w:tr w:rsidR="00A173A8" w14:paraId="36F0F473" w14:textId="77777777">
        <w:trPr>
          <w:divId w:val="1764763346"/>
        </w:trPr>
        <w:tc>
          <w:tcPr>
            <w:tcW w:w="0" w:type="auto"/>
            <w:gridSpan w:val="4"/>
            <w:shd w:val="clear" w:color="auto" w:fill="FFFFFF"/>
            <w:tcMar>
              <w:top w:w="30" w:type="dxa"/>
              <w:left w:w="245" w:type="dxa"/>
              <w:bottom w:w="30" w:type="dxa"/>
              <w:right w:w="20" w:type="dxa"/>
            </w:tcMar>
            <w:vAlign w:val="center"/>
            <w:hideMark/>
          </w:tcPr>
          <w:p w14:paraId="095AFB18" w14:textId="77777777" w:rsidR="00000000" w:rsidRDefault="00A173A8">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14:paraId="025F6B2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9EDA84" w14:textId="77777777" w:rsidR="00000000" w:rsidRDefault="00A173A8">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14:paraId="6631AC8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4BF3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176FDA" w14:textId="77777777" w:rsidR="00000000" w:rsidRDefault="00A173A8">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14:paraId="552AC8B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643D52"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51916F3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365926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EADC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4D406D"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0AD51C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6A09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EAEF1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7E3D87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5330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B2E0D1"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8678CF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97ADCF" w14:textId="77777777" w:rsidR="00000000" w:rsidRDefault="00A173A8">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14:paraId="60F39C03" w14:textId="77777777" w:rsidR="00000000" w:rsidRDefault="00A173A8">
            <w:pPr>
              <w:spacing w:after="100"/>
              <w:jc w:val="right"/>
              <w:rPr>
                <w:rFonts w:eastAsia="Times New Roman"/>
              </w:rPr>
            </w:pPr>
            <w:r>
              <w:rPr>
                <w:rFonts w:eastAsia="Times New Roman"/>
                <w:color w:val="000000"/>
                <w:sz w:val="18"/>
                <w:szCs w:val="18"/>
              </w:rPr>
              <w:t>0 </w:t>
            </w:r>
          </w:p>
        </w:tc>
        <w:tc>
          <w:tcPr>
            <w:tcW w:w="0" w:type="auto"/>
            <w:gridSpan w:val="2"/>
            <w:shd w:val="clear" w:color="auto" w:fill="FFFFFF"/>
            <w:tcMar>
              <w:top w:w="30" w:type="dxa"/>
              <w:left w:w="0" w:type="dxa"/>
              <w:bottom w:w="30" w:type="dxa"/>
              <w:right w:w="20" w:type="dxa"/>
            </w:tcMar>
            <w:vAlign w:val="bottom"/>
            <w:hideMark/>
          </w:tcPr>
          <w:p w14:paraId="7CB519A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A6BB9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8780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1DA1D0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1594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5B776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D00662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5B1DB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8FB686" w14:textId="77777777" w:rsidR="00000000" w:rsidRDefault="00A173A8">
            <w:pPr>
              <w:spacing w:after="100"/>
              <w:jc w:val="right"/>
              <w:rPr>
                <w:rFonts w:eastAsia="Times New Roman"/>
              </w:rPr>
            </w:pPr>
            <w:r>
              <w:rPr>
                <w:rFonts w:eastAsia="Times New Roman"/>
                <w:color w:val="000000"/>
                <w:sz w:val="18"/>
                <w:szCs w:val="18"/>
              </w:rPr>
              <w:t>46 </w:t>
            </w:r>
          </w:p>
        </w:tc>
        <w:tc>
          <w:tcPr>
            <w:tcW w:w="0" w:type="auto"/>
            <w:gridSpan w:val="3"/>
            <w:shd w:val="clear" w:color="auto" w:fill="FFFFFF"/>
            <w:tcMar>
              <w:top w:w="30" w:type="dxa"/>
              <w:left w:w="0" w:type="dxa"/>
              <w:bottom w:w="30" w:type="dxa"/>
              <w:right w:w="20" w:type="dxa"/>
            </w:tcMar>
            <w:vAlign w:val="bottom"/>
            <w:hideMark/>
          </w:tcPr>
          <w:p w14:paraId="6959D944" w14:textId="77777777" w:rsidR="00000000" w:rsidRDefault="00A173A8">
            <w:pPr>
              <w:spacing w:after="100"/>
              <w:jc w:val="right"/>
              <w:rPr>
                <w:rFonts w:eastAsia="Times New Roman"/>
              </w:rPr>
            </w:pPr>
            <w:r>
              <w:rPr>
                <w:rFonts w:eastAsia="Times New Roman"/>
                <w:color w:val="000000"/>
                <w:sz w:val="18"/>
                <w:szCs w:val="18"/>
              </w:rPr>
              <w:t>(4)</w:t>
            </w:r>
          </w:p>
        </w:tc>
      </w:tr>
      <w:tr w:rsidR="00A173A8" w14:paraId="68A23BBA" w14:textId="77777777">
        <w:trPr>
          <w:divId w:val="1764763346"/>
        </w:trPr>
        <w:tc>
          <w:tcPr>
            <w:tcW w:w="0" w:type="auto"/>
            <w:gridSpan w:val="4"/>
            <w:shd w:val="clear" w:color="auto" w:fill="CCEEFF"/>
            <w:tcMar>
              <w:top w:w="30" w:type="dxa"/>
              <w:left w:w="20" w:type="dxa"/>
              <w:bottom w:w="30" w:type="dxa"/>
              <w:right w:w="20" w:type="dxa"/>
            </w:tcMar>
            <w:vAlign w:val="center"/>
            <w:hideMark/>
          </w:tcPr>
          <w:p w14:paraId="54DEA516" w14:textId="77777777" w:rsidR="00000000" w:rsidRDefault="00A173A8">
            <w:pPr>
              <w:spacing w:after="100"/>
              <w:divId w:val="633367147"/>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C70178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4299E2" w14:textId="77777777" w:rsidR="00000000" w:rsidRDefault="00A173A8">
            <w:pPr>
              <w:spacing w:after="100"/>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14:paraId="5D16743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74C78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1781AD" w14:textId="77777777" w:rsidR="00000000" w:rsidRDefault="00A173A8">
            <w:pPr>
              <w:spacing w:after="100"/>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14:paraId="78D6987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33C02"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2041F677"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D98EFA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2D900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FB8AF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0A0F6D4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DF986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5906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19E2F24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6571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F86634" w14:textId="77777777" w:rsidR="00000000" w:rsidRDefault="00A173A8">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14:paraId="54757FA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AE19CF" w14:textId="77777777" w:rsidR="00000000" w:rsidRDefault="00A173A8">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14:paraId="4420E2BB" w14:textId="77777777" w:rsidR="00000000" w:rsidRDefault="00A173A8">
            <w:pPr>
              <w:spacing w:after="100"/>
              <w:jc w:val="right"/>
              <w:rPr>
                <w:rFonts w:eastAsia="Times New Roman"/>
              </w:rPr>
            </w:pPr>
            <w:r>
              <w:rPr>
                <w:rFonts w:eastAsia="Times New Roman"/>
                <w:color w:val="000000"/>
                <w:sz w:val="18"/>
                <w:szCs w:val="18"/>
              </w:rPr>
              <w:t>(15)</w:t>
            </w:r>
          </w:p>
        </w:tc>
        <w:tc>
          <w:tcPr>
            <w:tcW w:w="0" w:type="auto"/>
            <w:gridSpan w:val="2"/>
            <w:shd w:val="clear" w:color="auto" w:fill="CCEEFF"/>
            <w:tcMar>
              <w:top w:w="30" w:type="dxa"/>
              <w:left w:w="0" w:type="dxa"/>
              <w:bottom w:w="30" w:type="dxa"/>
              <w:right w:w="20" w:type="dxa"/>
            </w:tcMar>
            <w:vAlign w:val="bottom"/>
            <w:hideMark/>
          </w:tcPr>
          <w:p w14:paraId="3CA6F32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CBFDF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DB70F6" w14:textId="77777777" w:rsidR="00000000" w:rsidRDefault="00A173A8">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7C893AB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DBAB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12036F"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031A8F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42AC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1A2EA6" w14:textId="77777777" w:rsidR="00000000" w:rsidRDefault="00A173A8">
            <w:pPr>
              <w:spacing w:after="100"/>
              <w:jc w:val="right"/>
              <w:rPr>
                <w:rFonts w:eastAsia="Times New Roman"/>
              </w:rPr>
            </w:pPr>
            <w:r>
              <w:rPr>
                <w:rFonts w:eastAsia="Times New Roman"/>
                <w:color w:val="000000"/>
                <w:sz w:val="18"/>
                <w:szCs w:val="18"/>
              </w:rPr>
              <w:t>19 </w:t>
            </w:r>
          </w:p>
        </w:tc>
        <w:tc>
          <w:tcPr>
            <w:tcW w:w="0" w:type="auto"/>
            <w:gridSpan w:val="3"/>
            <w:shd w:val="clear" w:color="auto" w:fill="CCEEFF"/>
            <w:tcMar>
              <w:top w:w="30" w:type="dxa"/>
              <w:left w:w="0" w:type="dxa"/>
              <w:bottom w:w="30" w:type="dxa"/>
              <w:right w:w="20" w:type="dxa"/>
            </w:tcMar>
            <w:vAlign w:val="bottom"/>
            <w:hideMark/>
          </w:tcPr>
          <w:p w14:paraId="3D7C67AD" w14:textId="77777777" w:rsidR="00000000" w:rsidRDefault="00A173A8">
            <w:pPr>
              <w:spacing w:after="100"/>
              <w:jc w:val="right"/>
              <w:rPr>
                <w:rFonts w:eastAsia="Times New Roman"/>
              </w:rPr>
            </w:pPr>
            <w:r>
              <w:rPr>
                <w:rFonts w:eastAsia="Times New Roman"/>
                <w:color w:val="000000"/>
                <w:sz w:val="18"/>
                <w:szCs w:val="18"/>
              </w:rPr>
              <w:t>11 </w:t>
            </w:r>
          </w:p>
        </w:tc>
      </w:tr>
      <w:tr w:rsidR="00000000" w14:paraId="07DDD34F" w14:textId="77777777">
        <w:tblPrEx>
          <w:tblW w:w="4992" w:type="pct"/>
          <w:jc w:val="center"/>
        </w:tblPrEx>
        <w:trPr>
          <w:gridAfter w:val="1"/>
          <w:jc w:val="center"/>
        </w:trPr>
        <w:tc>
          <w:tcPr>
            <w:tcW w:w="50" w:type="pct"/>
            <w:gridSpan w:val="2"/>
            <w:vAlign w:val="center"/>
            <w:hideMark/>
          </w:tcPr>
          <w:p w14:paraId="32DA2D48" w14:textId="77777777" w:rsidR="00000000" w:rsidRDefault="00A173A8">
            <w:pPr>
              <w:jc w:val="both"/>
              <w:rPr>
                <w:rFonts w:eastAsia="Times New Roman"/>
              </w:rPr>
            </w:pPr>
          </w:p>
        </w:tc>
        <w:tc>
          <w:tcPr>
            <w:tcW w:w="1606" w:type="pct"/>
            <w:gridSpan w:val="17"/>
            <w:vAlign w:val="center"/>
            <w:hideMark/>
          </w:tcPr>
          <w:p w14:paraId="7707ED68" w14:textId="77777777" w:rsidR="00000000" w:rsidRDefault="00A173A8">
            <w:pPr>
              <w:spacing w:after="100"/>
              <w:rPr>
                <w:rFonts w:eastAsia="Times New Roman"/>
                <w:sz w:val="20"/>
                <w:szCs w:val="20"/>
              </w:rPr>
            </w:pPr>
          </w:p>
        </w:tc>
        <w:tc>
          <w:tcPr>
            <w:tcW w:w="5" w:type="pct"/>
            <w:gridSpan w:val="2"/>
            <w:vAlign w:val="center"/>
            <w:hideMark/>
          </w:tcPr>
          <w:p w14:paraId="062BAF36" w14:textId="77777777" w:rsidR="00000000" w:rsidRDefault="00A173A8">
            <w:pPr>
              <w:spacing w:after="100"/>
              <w:rPr>
                <w:rFonts w:eastAsia="Times New Roman"/>
                <w:sz w:val="20"/>
                <w:szCs w:val="20"/>
              </w:rPr>
            </w:pPr>
          </w:p>
        </w:tc>
        <w:tc>
          <w:tcPr>
            <w:tcW w:w="50" w:type="pct"/>
            <w:vAlign w:val="center"/>
            <w:hideMark/>
          </w:tcPr>
          <w:p w14:paraId="54ED6AFB" w14:textId="77777777" w:rsidR="00000000" w:rsidRDefault="00A173A8">
            <w:pPr>
              <w:spacing w:after="100"/>
              <w:rPr>
                <w:rFonts w:eastAsia="Times New Roman"/>
                <w:sz w:val="20"/>
                <w:szCs w:val="20"/>
              </w:rPr>
            </w:pPr>
          </w:p>
        </w:tc>
        <w:tc>
          <w:tcPr>
            <w:tcW w:w="1614" w:type="pct"/>
            <w:gridSpan w:val="25"/>
            <w:vAlign w:val="center"/>
            <w:hideMark/>
          </w:tcPr>
          <w:p w14:paraId="332DFA26" w14:textId="77777777" w:rsidR="00000000" w:rsidRDefault="00A173A8">
            <w:pPr>
              <w:spacing w:after="100"/>
              <w:rPr>
                <w:rFonts w:eastAsia="Times New Roman"/>
                <w:sz w:val="20"/>
                <w:szCs w:val="20"/>
              </w:rPr>
            </w:pPr>
          </w:p>
        </w:tc>
        <w:tc>
          <w:tcPr>
            <w:tcW w:w="5" w:type="pct"/>
            <w:vAlign w:val="center"/>
            <w:hideMark/>
          </w:tcPr>
          <w:p w14:paraId="05E24AEA" w14:textId="77777777" w:rsidR="00000000" w:rsidRDefault="00A173A8">
            <w:pPr>
              <w:spacing w:after="100"/>
              <w:rPr>
                <w:rFonts w:eastAsia="Times New Roman"/>
                <w:sz w:val="20"/>
                <w:szCs w:val="20"/>
              </w:rPr>
            </w:pPr>
          </w:p>
        </w:tc>
        <w:tc>
          <w:tcPr>
            <w:tcW w:w="50" w:type="pct"/>
            <w:gridSpan w:val="2"/>
            <w:vAlign w:val="center"/>
            <w:hideMark/>
          </w:tcPr>
          <w:p w14:paraId="5560B4F2" w14:textId="77777777" w:rsidR="00000000" w:rsidRDefault="00A173A8">
            <w:pPr>
              <w:spacing w:after="100"/>
              <w:rPr>
                <w:rFonts w:eastAsia="Times New Roman"/>
                <w:sz w:val="20"/>
                <w:szCs w:val="20"/>
              </w:rPr>
            </w:pPr>
          </w:p>
        </w:tc>
        <w:tc>
          <w:tcPr>
            <w:tcW w:w="1614" w:type="pct"/>
            <w:gridSpan w:val="19"/>
            <w:vAlign w:val="center"/>
            <w:hideMark/>
          </w:tcPr>
          <w:p w14:paraId="7A0A7BC1" w14:textId="77777777" w:rsidR="00000000" w:rsidRDefault="00A173A8">
            <w:pPr>
              <w:spacing w:after="100"/>
              <w:rPr>
                <w:rFonts w:eastAsia="Times New Roman"/>
                <w:sz w:val="20"/>
                <w:szCs w:val="20"/>
              </w:rPr>
            </w:pPr>
          </w:p>
        </w:tc>
        <w:tc>
          <w:tcPr>
            <w:tcW w:w="5" w:type="pct"/>
            <w:vAlign w:val="center"/>
            <w:hideMark/>
          </w:tcPr>
          <w:p w14:paraId="7F3AA521" w14:textId="77777777" w:rsidR="00000000" w:rsidRDefault="00A173A8">
            <w:pPr>
              <w:spacing w:after="100"/>
              <w:rPr>
                <w:rFonts w:eastAsia="Times New Roman"/>
                <w:sz w:val="20"/>
                <w:szCs w:val="20"/>
              </w:rPr>
            </w:pPr>
          </w:p>
        </w:tc>
      </w:tr>
      <w:tr w:rsidR="00000000" w14:paraId="78094A65" w14:textId="77777777">
        <w:tblPrEx>
          <w:tblW w:w="4992" w:type="pct"/>
          <w:jc w:val="center"/>
        </w:tblPrEx>
        <w:trPr>
          <w:gridAfter w:val="1"/>
          <w:trHeight w:val="300"/>
          <w:jc w:val="center"/>
        </w:trPr>
        <w:tc>
          <w:tcPr>
            <w:tcW w:w="0" w:type="auto"/>
            <w:gridSpan w:val="70"/>
            <w:tcMar>
              <w:top w:w="0" w:type="dxa"/>
              <w:left w:w="20" w:type="dxa"/>
              <w:bottom w:w="0" w:type="dxa"/>
              <w:right w:w="20" w:type="dxa"/>
            </w:tcMar>
            <w:vAlign w:val="center"/>
            <w:hideMark/>
          </w:tcPr>
          <w:p w14:paraId="64003BF6" w14:textId="77777777" w:rsidR="00000000" w:rsidRDefault="00A173A8">
            <w:pPr>
              <w:spacing w:after="100"/>
              <w:rPr>
                <w:rFonts w:eastAsia="Times New Roman"/>
                <w:sz w:val="20"/>
                <w:szCs w:val="20"/>
              </w:rPr>
            </w:pPr>
          </w:p>
        </w:tc>
      </w:tr>
      <w:tr w:rsidR="00000000" w14:paraId="17089416" w14:textId="77777777">
        <w:tblPrEx>
          <w:tblW w:w="4992" w:type="pct"/>
          <w:jc w:val="center"/>
        </w:tblPrEx>
        <w:trPr>
          <w:gridAfter w:val="1"/>
          <w:jc w:val="center"/>
        </w:trPr>
        <w:tc>
          <w:tcPr>
            <w:tcW w:w="0" w:type="auto"/>
            <w:gridSpan w:val="21"/>
            <w:tcMar>
              <w:top w:w="0" w:type="dxa"/>
              <w:left w:w="20" w:type="dxa"/>
              <w:bottom w:w="0" w:type="dxa"/>
              <w:right w:w="20" w:type="dxa"/>
            </w:tcMar>
            <w:vAlign w:val="center"/>
            <w:hideMark/>
          </w:tcPr>
          <w:p w14:paraId="1777F277"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6F9D76C0" w14:textId="77777777" w:rsidR="00000000" w:rsidRDefault="00A173A8">
            <w:pPr>
              <w:spacing w:after="100"/>
              <w:jc w:val="center"/>
              <w:rPr>
                <w:rFonts w:eastAsia="Times New Roman"/>
              </w:rPr>
            </w:pPr>
            <w:r>
              <w:rPr>
                <w:rFonts w:eastAsia="Times New Roman"/>
                <w:color w:val="000000"/>
                <w:sz w:val="16"/>
                <w:szCs w:val="16"/>
              </w:rPr>
              <w:t>108</w:t>
            </w:r>
          </w:p>
        </w:tc>
        <w:tc>
          <w:tcPr>
            <w:tcW w:w="0" w:type="auto"/>
            <w:gridSpan w:val="22"/>
            <w:tcMar>
              <w:top w:w="30" w:type="dxa"/>
              <w:left w:w="20" w:type="dxa"/>
              <w:bottom w:w="30" w:type="dxa"/>
              <w:right w:w="20" w:type="dxa"/>
            </w:tcMar>
            <w:vAlign w:val="bottom"/>
            <w:hideMark/>
          </w:tcPr>
          <w:p w14:paraId="06E19472"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F25CC16" w14:textId="77777777" w:rsidR="00000000" w:rsidRDefault="00A173A8">
      <w:pPr>
        <w:rPr>
          <w:rFonts w:eastAsia="Times New Roman"/>
        </w:rPr>
      </w:pPr>
      <w:r>
        <w:rPr>
          <w:rFonts w:eastAsia="Times New Roman"/>
        </w:rPr>
        <w:pict w14:anchorId="496D0187">
          <v:rect id="_x0000_i1133" style="width:0;height:1.5pt" o:hralign="center" o:hrstd="t" o:hr="t" fillcolor="#a0a0a0" stroked="f"/>
        </w:pict>
      </w:r>
    </w:p>
    <w:p w14:paraId="28133565" w14:textId="77777777" w:rsidR="00000000" w:rsidRDefault="00A173A8">
      <w:pPr>
        <w:jc w:val="both"/>
        <w:divId w:val="1370377387"/>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7"/>
        <w:gridCol w:w="1210"/>
        <w:gridCol w:w="38"/>
        <w:gridCol w:w="36"/>
        <w:gridCol w:w="36"/>
        <w:gridCol w:w="36"/>
        <w:gridCol w:w="111"/>
        <w:gridCol w:w="489"/>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1"/>
        <w:gridCol w:w="440"/>
        <w:gridCol w:w="36"/>
        <w:gridCol w:w="36"/>
        <w:gridCol w:w="36"/>
        <w:gridCol w:w="36"/>
        <w:gridCol w:w="111"/>
        <w:gridCol w:w="417"/>
        <w:gridCol w:w="791"/>
      </w:tblGrid>
      <w:tr w:rsidR="00000000" w14:paraId="242D59BD" w14:textId="77777777">
        <w:trPr>
          <w:divId w:val="1854101266"/>
        </w:trPr>
        <w:tc>
          <w:tcPr>
            <w:tcW w:w="50" w:type="pct"/>
            <w:vAlign w:val="center"/>
            <w:hideMark/>
          </w:tcPr>
          <w:p w14:paraId="03F42F86" w14:textId="77777777" w:rsidR="00000000" w:rsidRDefault="00A173A8">
            <w:pPr>
              <w:jc w:val="both"/>
              <w:rPr>
                <w:rFonts w:eastAsia="Times New Roman"/>
              </w:rPr>
            </w:pPr>
          </w:p>
        </w:tc>
        <w:tc>
          <w:tcPr>
            <w:tcW w:w="697" w:type="pct"/>
            <w:vAlign w:val="center"/>
            <w:hideMark/>
          </w:tcPr>
          <w:p w14:paraId="49CFD443" w14:textId="77777777" w:rsidR="00000000" w:rsidRDefault="00A173A8">
            <w:pPr>
              <w:spacing w:after="100"/>
              <w:rPr>
                <w:rFonts w:eastAsia="Times New Roman"/>
                <w:sz w:val="20"/>
                <w:szCs w:val="20"/>
              </w:rPr>
            </w:pPr>
          </w:p>
        </w:tc>
        <w:tc>
          <w:tcPr>
            <w:tcW w:w="5" w:type="pct"/>
            <w:vAlign w:val="center"/>
            <w:hideMark/>
          </w:tcPr>
          <w:p w14:paraId="450EEB1A" w14:textId="77777777" w:rsidR="00000000" w:rsidRDefault="00A173A8">
            <w:pPr>
              <w:spacing w:after="100"/>
              <w:rPr>
                <w:rFonts w:eastAsia="Times New Roman"/>
                <w:sz w:val="20"/>
                <w:szCs w:val="20"/>
              </w:rPr>
            </w:pPr>
          </w:p>
        </w:tc>
        <w:tc>
          <w:tcPr>
            <w:tcW w:w="5" w:type="pct"/>
            <w:vAlign w:val="center"/>
            <w:hideMark/>
          </w:tcPr>
          <w:p w14:paraId="685E1956" w14:textId="77777777" w:rsidR="00000000" w:rsidRDefault="00A173A8">
            <w:pPr>
              <w:spacing w:after="100"/>
              <w:rPr>
                <w:rFonts w:eastAsia="Times New Roman"/>
                <w:sz w:val="20"/>
                <w:szCs w:val="20"/>
              </w:rPr>
            </w:pPr>
          </w:p>
        </w:tc>
        <w:tc>
          <w:tcPr>
            <w:tcW w:w="26" w:type="pct"/>
            <w:vAlign w:val="center"/>
            <w:hideMark/>
          </w:tcPr>
          <w:p w14:paraId="7CFEF0B9" w14:textId="77777777" w:rsidR="00000000" w:rsidRDefault="00A173A8">
            <w:pPr>
              <w:spacing w:after="100"/>
              <w:rPr>
                <w:rFonts w:eastAsia="Times New Roman"/>
                <w:sz w:val="20"/>
                <w:szCs w:val="20"/>
              </w:rPr>
            </w:pPr>
          </w:p>
        </w:tc>
        <w:tc>
          <w:tcPr>
            <w:tcW w:w="5" w:type="pct"/>
            <w:vAlign w:val="center"/>
            <w:hideMark/>
          </w:tcPr>
          <w:p w14:paraId="5B65EC68" w14:textId="77777777" w:rsidR="00000000" w:rsidRDefault="00A173A8">
            <w:pPr>
              <w:spacing w:after="100"/>
              <w:rPr>
                <w:rFonts w:eastAsia="Times New Roman"/>
                <w:sz w:val="20"/>
                <w:szCs w:val="20"/>
              </w:rPr>
            </w:pPr>
          </w:p>
        </w:tc>
        <w:tc>
          <w:tcPr>
            <w:tcW w:w="50" w:type="pct"/>
            <w:vAlign w:val="center"/>
            <w:hideMark/>
          </w:tcPr>
          <w:p w14:paraId="702B2DB7" w14:textId="77777777" w:rsidR="00000000" w:rsidRDefault="00A173A8">
            <w:pPr>
              <w:spacing w:after="100"/>
              <w:rPr>
                <w:rFonts w:eastAsia="Times New Roman"/>
                <w:sz w:val="20"/>
                <w:szCs w:val="20"/>
              </w:rPr>
            </w:pPr>
          </w:p>
        </w:tc>
        <w:tc>
          <w:tcPr>
            <w:tcW w:w="273" w:type="pct"/>
            <w:vAlign w:val="center"/>
            <w:hideMark/>
          </w:tcPr>
          <w:p w14:paraId="4385C0D0" w14:textId="77777777" w:rsidR="00000000" w:rsidRDefault="00A173A8">
            <w:pPr>
              <w:spacing w:after="100"/>
              <w:rPr>
                <w:rFonts w:eastAsia="Times New Roman"/>
                <w:sz w:val="20"/>
                <w:szCs w:val="20"/>
              </w:rPr>
            </w:pPr>
          </w:p>
        </w:tc>
        <w:tc>
          <w:tcPr>
            <w:tcW w:w="5" w:type="pct"/>
            <w:vAlign w:val="center"/>
            <w:hideMark/>
          </w:tcPr>
          <w:p w14:paraId="7D42C4CC" w14:textId="77777777" w:rsidR="00000000" w:rsidRDefault="00A173A8">
            <w:pPr>
              <w:spacing w:after="100"/>
              <w:rPr>
                <w:rFonts w:eastAsia="Times New Roman"/>
                <w:sz w:val="20"/>
                <w:szCs w:val="20"/>
              </w:rPr>
            </w:pPr>
          </w:p>
        </w:tc>
        <w:tc>
          <w:tcPr>
            <w:tcW w:w="5" w:type="pct"/>
            <w:vAlign w:val="center"/>
            <w:hideMark/>
          </w:tcPr>
          <w:p w14:paraId="0584D321" w14:textId="77777777" w:rsidR="00000000" w:rsidRDefault="00A173A8">
            <w:pPr>
              <w:spacing w:after="100"/>
              <w:rPr>
                <w:rFonts w:eastAsia="Times New Roman"/>
                <w:sz w:val="20"/>
                <w:szCs w:val="20"/>
              </w:rPr>
            </w:pPr>
          </w:p>
        </w:tc>
        <w:tc>
          <w:tcPr>
            <w:tcW w:w="26" w:type="pct"/>
            <w:vAlign w:val="center"/>
            <w:hideMark/>
          </w:tcPr>
          <w:p w14:paraId="53A446C5" w14:textId="77777777" w:rsidR="00000000" w:rsidRDefault="00A173A8">
            <w:pPr>
              <w:spacing w:after="100"/>
              <w:rPr>
                <w:rFonts w:eastAsia="Times New Roman"/>
                <w:sz w:val="20"/>
                <w:szCs w:val="20"/>
              </w:rPr>
            </w:pPr>
          </w:p>
        </w:tc>
        <w:tc>
          <w:tcPr>
            <w:tcW w:w="5" w:type="pct"/>
            <w:vAlign w:val="center"/>
            <w:hideMark/>
          </w:tcPr>
          <w:p w14:paraId="603BCCBB" w14:textId="77777777" w:rsidR="00000000" w:rsidRDefault="00A173A8">
            <w:pPr>
              <w:spacing w:after="100"/>
              <w:rPr>
                <w:rFonts w:eastAsia="Times New Roman"/>
                <w:sz w:val="20"/>
                <w:szCs w:val="20"/>
              </w:rPr>
            </w:pPr>
          </w:p>
        </w:tc>
        <w:tc>
          <w:tcPr>
            <w:tcW w:w="50" w:type="pct"/>
            <w:vAlign w:val="center"/>
            <w:hideMark/>
          </w:tcPr>
          <w:p w14:paraId="712A019D" w14:textId="77777777" w:rsidR="00000000" w:rsidRDefault="00A173A8">
            <w:pPr>
              <w:spacing w:after="100"/>
              <w:rPr>
                <w:rFonts w:eastAsia="Times New Roman"/>
                <w:sz w:val="20"/>
                <w:szCs w:val="20"/>
              </w:rPr>
            </w:pPr>
          </w:p>
        </w:tc>
        <w:tc>
          <w:tcPr>
            <w:tcW w:w="244" w:type="pct"/>
            <w:vAlign w:val="center"/>
            <w:hideMark/>
          </w:tcPr>
          <w:p w14:paraId="738CE283" w14:textId="77777777" w:rsidR="00000000" w:rsidRDefault="00A173A8">
            <w:pPr>
              <w:spacing w:after="100"/>
              <w:rPr>
                <w:rFonts w:eastAsia="Times New Roman"/>
                <w:sz w:val="20"/>
                <w:szCs w:val="20"/>
              </w:rPr>
            </w:pPr>
          </w:p>
        </w:tc>
        <w:tc>
          <w:tcPr>
            <w:tcW w:w="5" w:type="pct"/>
            <w:vAlign w:val="center"/>
            <w:hideMark/>
          </w:tcPr>
          <w:p w14:paraId="7EDAACCE" w14:textId="77777777" w:rsidR="00000000" w:rsidRDefault="00A173A8">
            <w:pPr>
              <w:spacing w:after="100"/>
              <w:rPr>
                <w:rFonts w:eastAsia="Times New Roman"/>
                <w:sz w:val="20"/>
                <w:szCs w:val="20"/>
              </w:rPr>
            </w:pPr>
          </w:p>
        </w:tc>
        <w:tc>
          <w:tcPr>
            <w:tcW w:w="5" w:type="pct"/>
            <w:vAlign w:val="center"/>
            <w:hideMark/>
          </w:tcPr>
          <w:p w14:paraId="2624465C" w14:textId="77777777" w:rsidR="00000000" w:rsidRDefault="00A173A8">
            <w:pPr>
              <w:spacing w:after="100"/>
              <w:rPr>
                <w:rFonts w:eastAsia="Times New Roman"/>
                <w:sz w:val="20"/>
                <w:szCs w:val="20"/>
              </w:rPr>
            </w:pPr>
          </w:p>
        </w:tc>
        <w:tc>
          <w:tcPr>
            <w:tcW w:w="26" w:type="pct"/>
            <w:vAlign w:val="center"/>
            <w:hideMark/>
          </w:tcPr>
          <w:p w14:paraId="58AC0413" w14:textId="77777777" w:rsidR="00000000" w:rsidRDefault="00A173A8">
            <w:pPr>
              <w:spacing w:after="100"/>
              <w:rPr>
                <w:rFonts w:eastAsia="Times New Roman"/>
                <w:sz w:val="20"/>
                <w:szCs w:val="20"/>
              </w:rPr>
            </w:pPr>
          </w:p>
        </w:tc>
        <w:tc>
          <w:tcPr>
            <w:tcW w:w="5" w:type="pct"/>
            <w:vAlign w:val="center"/>
            <w:hideMark/>
          </w:tcPr>
          <w:p w14:paraId="5A251FC6" w14:textId="77777777" w:rsidR="00000000" w:rsidRDefault="00A173A8">
            <w:pPr>
              <w:spacing w:after="100"/>
              <w:rPr>
                <w:rFonts w:eastAsia="Times New Roman"/>
                <w:sz w:val="20"/>
                <w:szCs w:val="20"/>
              </w:rPr>
            </w:pPr>
          </w:p>
        </w:tc>
        <w:tc>
          <w:tcPr>
            <w:tcW w:w="50" w:type="pct"/>
            <w:vAlign w:val="center"/>
            <w:hideMark/>
          </w:tcPr>
          <w:p w14:paraId="5D40C4B9" w14:textId="77777777" w:rsidR="00000000" w:rsidRDefault="00A173A8">
            <w:pPr>
              <w:spacing w:after="100"/>
              <w:rPr>
                <w:rFonts w:eastAsia="Times New Roman"/>
                <w:sz w:val="20"/>
                <w:szCs w:val="20"/>
              </w:rPr>
            </w:pPr>
          </w:p>
        </w:tc>
        <w:tc>
          <w:tcPr>
            <w:tcW w:w="244" w:type="pct"/>
            <w:vAlign w:val="center"/>
            <w:hideMark/>
          </w:tcPr>
          <w:p w14:paraId="18C7C639" w14:textId="77777777" w:rsidR="00000000" w:rsidRDefault="00A173A8">
            <w:pPr>
              <w:spacing w:after="100"/>
              <w:rPr>
                <w:rFonts w:eastAsia="Times New Roman"/>
                <w:sz w:val="20"/>
                <w:szCs w:val="20"/>
              </w:rPr>
            </w:pPr>
          </w:p>
        </w:tc>
        <w:tc>
          <w:tcPr>
            <w:tcW w:w="5" w:type="pct"/>
            <w:vAlign w:val="center"/>
            <w:hideMark/>
          </w:tcPr>
          <w:p w14:paraId="430C4A74" w14:textId="77777777" w:rsidR="00000000" w:rsidRDefault="00A173A8">
            <w:pPr>
              <w:spacing w:after="100"/>
              <w:rPr>
                <w:rFonts w:eastAsia="Times New Roman"/>
                <w:sz w:val="20"/>
                <w:szCs w:val="20"/>
              </w:rPr>
            </w:pPr>
          </w:p>
        </w:tc>
        <w:tc>
          <w:tcPr>
            <w:tcW w:w="5" w:type="pct"/>
            <w:vAlign w:val="center"/>
            <w:hideMark/>
          </w:tcPr>
          <w:p w14:paraId="49912480" w14:textId="77777777" w:rsidR="00000000" w:rsidRDefault="00A173A8">
            <w:pPr>
              <w:spacing w:after="100"/>
              <w:rPr>
                <w:rFonts w:eastAsia="Times New Roman"/>
                <w:sz w:val="20"/>
                <w:szCs w:val="20"/>
              </w:rPr>
            </w:pPr>
          </w:p>
        </w:tc>
        <w:tc>
          <w:tcPr>
            <w:tcW w:w="26" w:type="pct"/>
            <w:vAlign w:val="center"/>
            <w:hideMark/>
          </w:tcPr>
          <w:p w14:paraId="60320C9A" w14:textId="77777777" w:rsidR="00000000" w:rsidRDefault="00A173A8">
            <w:pPr>
              <w:spacing w:after="100"/>
              <w:rPr>
                <w:rFonts w:eastAsia="Times New Roman"/>
                <w:sz w:val="20"/>
                <w:szCs w:val="20"/>
              </w:rPr>
            </w:pPr>
          </w:p>
        </w:tc>
        <w:tc>
          <w:tcPr>
            <w:tcW w:w="5" w:type="pct"/>
            <w:vAlign w:val="center"/>
            <w:hideMark/>
          </w:tcPr>
          <w:p w14:paraId="7B1A626F" w14:textId="77777777" w:rsidR="00000000" w:rsidRDefault="00A173A8">
            <w:pPr>
              <w:spacing w:after="100"/>
              <w:rPr>
                <w:rFonts w:eastAsia="Times New Roman"/>
                <w:sz w:val="20"/>
                <w:szCs w:val="20"/>
              </w:rPr>
            </w:pPr>
          </w:p>
        </w:tc>
        <w:tc>
          <w:tcPr>
            <w:tcW w:w="50" w:type="pct"/>
            <w:vAlign w:val="center"/>
            <w:hideMark/>
          </w:tcPr>
          <w:p w14:paraId="3E3F2B25" w14:textId="77777777" w:rsidR="00000000" w:rsidRDefault="00A173A8">
            <w:pPr>
              <w:spacing w:after="100"/>
              <w:rPr>
                <w:rFonts w:eastAsia="Times New Roman"/>
                <w:sz w:val="20"/>
                <w:szCs w:val="20"/>
              </w:rPr>
            </w:pPr>
          </w:p>
        </w:tc>
        <w:tc>
          <w:tcPr>
            <w:tcW w:w="259" w:type="pct"/>
            <w:vAlign w:val="center"/>
            <w:hideMark/>
          </w:tcPr>
          <w:p w14:paraId="1866F6CC" w14:textId="77777777" w:rsidR="00000000" w:rsidRDefault="00A173A8">
            <w:pPr>
              <w:spacing w:after="100"/>
              <w:rPr>
                <w:rFonts w:eastAsia="Times New Roman"/>
                <w:sz w:val="20"/>
                <w:szCs w:val="20"/>
              </w:rPr>
            </w:pPr>
          </w:p>
        </w:tc>
        <w:tc>
          <w:tcPr>
            <w:tcW w:w="5" w:type="pct"/>
            <w:vAlign w:val="center"/>
            <w:hideMark/>
          </w:tcPr>
          <w:p w14:paraId="4116A71B" w14:textId="77777777" w:rsidR="00000000" w:rsidRDefault="00A173A8">
            <w:pPr>
              <w:spacing w:after="100"/>
              <w:rPr>
                <w:rFonts w:eastAsia="Times New Roman"/>
                <w:sz w:val="20"/>
                <w:szCs w:val="20"/>
              </w:rPr>
            </w:pPr>
          </w:p>
        </w:tc>
        <w:tc>
          <w:tcPr>
            <w:tcW w:w="5" w:type="pct"/>
            <w:vAlign w:val="center"/>
            <w:hideMark/>
          </w:tcPr>
          <w:p w14:paraId="1D159D17" w14:textId="77777777" w:rsidR="00000000" w:rsidRDefault="00A173A8">
            <w:pPr>
              <w:spacing w:after="100"/>
              <w:rPr>
                <w:rFonts w:eastAsia="Times New Roman"/>
                <w:sz w:val="20"/>
                <w:szCs w:val="20"/>
              </w:rPr>
            </w:pPr>
          </w:p>
        </w:tc>
        <w:tc>
          <w:tcPr>
            <w:tcW w:w="26" w:type="pct"/>
            <w:vAlign w:val="center"/>
            <w:hideMark/>
          </w:tcPr>
          <w:p w14:paraId="61382C82" w14:textId="77777777" w:rsidR="00000000" w:rsidRDefault="00A173A8">
            <w:pPr>
              <w:spacing w:after="100"/>
              <w:rPr>
                <w:rFonts w:eastAsia="Times New Roman"/>
                <w:sz w:val="20"/>
                <w:szCs w:val="20"/>
              </w:rPr>
            </w:pPr>
          </w:p>
        </w:tc>
        <w:tc>
          <w:tcPr>
            <w:tcW w:w="5" w:type="pct"/>
            <w:vAlign w:val="center"/>
            <w:hideMark/>
          </w:tcPr>
          <w:p w14:paraId="4310570F" w14:textId="77777777" w:rsidR="00000000" w:rsidRDefault="00A173A8">
            <w:pPr>
              <w:spacing w:after="100"/>
              <w:rPr>
                <w:rFonts w:eastAsia="Times New Roman"/>
                <w:sz w:val="20"/>
                <w:szCs w:val="20"/>
              </w:rPr>
            </w:pPr>
          </w:p>
        </w:tc>
        <w:tc>
          <w:tcPr>
            <w:tcW w:w="50" w:type="pct"/>
            <w:vAlign w:val="center"/>
            <w:hideMark/>
          </w:tcPr>
          <w:p w14:paraId="64E8C080" w14:textId="77777777" w:rsidR="00000000" w:rsidRDefault="00A173A8">
            <w:pPr>
              <w:spacing w:after="100"/>
              <w:rPr>
                <w:rFonts w:eastAsia="Times New Roman"/>
                <w:sz w:val="20"/>
                <w:szCs w:val="20"/>
              </w:rPr>
            </w:pPr>
          </w:p>
        </w:tc>
        <w:tc>
          <w:tcPr>
            <w:tcW w:w="200" w:type="pct"/>
            <w:vAlign w:val="center"/>
            <w:hideMark/>
          </w:tcPr>
          <w:p w14:paraId="502DD779" w14:textId="77777777" w:rsidR="00000000" w:rsidRDefault="00A173A8">
            <w:pPr>
              <w:spacing w:after="100"/>
              <w:rPr>
                <w:rFonts w:eastAsia="Times New Roman"/>
                <w:sz w:val="20"/>
                <w:szCs w:val="20"/>
              </w:rPr>
            </w:pPr>
          </w:p>
        </w:tc>
        <w:tc>
          <w:tcPr>
            <w:tcW w:w="5" w:type="pct"/>
            <w:vAlign w:val="center"/>
            <w:hideMark/>
          </w:tcPr>
          <w:p w14:paraId="09B02928" w14:textId="77777777" w:rsidR="00000000" w:rsidRDefault="00A173A8">
            <w:pPr>
              <w:spacing w:after="100"/>
              <w:rPr>
                <w:rFonts w:eastAsia="Times New Roman"/>
                <w:sz w:val="20"/>
                <w:szCs w:val="20"/>
              </w:rPr>
            </w:pPr>
          </w:p>
        </w:tc>
        <w:tc>
          <w:tcPr>
            <w:tcW w:w="5" w:type="pct"/>
            <w:vAlign w:val="center"/>
            <w:hideMark/>
          </w:tcPr>
          <w:p w14:paraId="4627A219" w14:textId="77777777" w:rsidR="00000000" w:rsidRDefault="00A173A8">
            <w:pPr>
              <w:spacing w:after="100"/>
              <w:rPr>
                <w:rFonts w:eastAsia="Times New Roman"/>
                <w:sz w:val="20"/>
                <w:szCs w:val="20"/>
              </w:rPr>
            </w:pPr>
          </w:p>
        </w:tc>
        <w:tc>
          <w:tcPr>
            <w:tcW w:w="26" w:type="pct"/>
            <w:vAlign w:val="center"/>
            <w:hideMark/>
          </w:tcPr>
          <w:p w14:paraId="79826641" w14:textId="77777777" w:rsidR="00000000" w:rsidRDefault="00A173A8">
            <w:pPr>
              <w:spacing w:after="100"/>
              <w:rPr>
                <w:rFonts w:eastAsia="Times New Roman"/>
                <w:sz w:val="20"/>
                <w:szCs w:val="20"/>
              </w:rPr>
            </w:pPr>
          </w:p>
        </w:tc>
        <w:tc>
          <w:tcPr>
            <w:tcW w:w="5" w:type="pct"/>
            <w:vAlign w:val="center"/>
            <w:hideMark/>
          </w:tcPr>
          <w:p w14:paraId="1A99CF44" w14:textId="77777777" w:rsidR="00000000" w:rsidRDefault="00A173A8">
            <w:pPr>
              <w:spacing w:after="100"/>
              <w:rPr>
                <w:rFonts w:eastAsia="Times New Roman"/>
                <w:sz w:val="20"/>
                <w:szCs w:val="20"/>
              </w:rPr>
            </w:pPr>
          </w:p>
        </w:tc>
        <w:tc>
          <w:tcPr>
            <w:tcW w:w="50" w:type="pct"/>
            <w:vAlign w:val="center"/>
            <w:hideMark/>
          </w:tcPr>
          <w:p w14:paraId="19B11CBA" w14:textId="77777777" w:rsidR="00000000" w:rsidRDefault="00A173A8">
            <w:pPr>
              <w:spacing w:after="100"/>
              <w:rPr>
                <w:rFonts w:eastAsia="Times New Roman"/>
                <w:sz w:val="20"/>
                <w:szCs w:val="20"/>
              </w:rPr>
            </w:pPr>
          </w:p>
        </w:tc>
        <w:tc>
          <w:tcPr>
            <w:tcW w:w="244" w:type="pct"/>
            <w:vAlign w:val="center"/>
            <w:hideMark/>
          </w:tcPr>
          <w:p w14:paraId="3AA7C7D0" w14:textId="77777777" w:rsidR="00000000" w:rsidRDefault="00A173A8">
            <w:pPr>
              <w:spacing w:after="100"/>
              <w:rPr>
                <w:rFonts w:eastAsia="Times New Roman"/>
                <w:sz w:val="20"/>
                <w:szCs w:val="20"/>
              </w:rPr>
            </w:pPr>
          </w:p>
        </w:tc>
        <w:tc>
          <w:tcPr>
            <w:tcW w:w="5" w:type="pct"/>
            <w:vAlign w:val="center"/>
            <w:hideMark/>
          </w:tcPr>
          <w:p w14:paraId="51A951E6" w14:textId="77777777" w:rsidR="00000000" w:rsidRDefault="00A173A8">
            <w:pPr>
              <w:spacing w:after="100"/>
              <w:rPr>
                <w:rFonts w:eastAsia="Times New Roman"/>
                <w:sz w:val="20"/>
                <w:szCs w:val="20"/>
              </w:rPr>
            </w:pPr>
          </w:p>
        </w:tc>
        <w:tc>
          <w:tcPr>
            <w:tcW w:w="5" w:type="pct"/>
            <w:vAlign w:val="center"/>
            <w:hideMark/>
          </w:tcPr>
          <w:p w14:paraId="67B7CE80" w14:textId="77777777" w:rsidR="00000000" w:rsidRDefault="00A173A8">
            <w:pPr>
              <w:spacing w:after="100"/>
              <w:rPr>
                <w:rFonts w:eastAsia="Times New Roman"/>
                <w:sz w:val="20"/>
                <w:szCs w:val="20"/>
              </w:rPr>
            </w:pPr>
          </w:p>
        </w:tc>
        <w:tc>
          <w:tcPr>
            <w:tcW w:w="26" w:type="pct"/>
            <w:vAlign w:val="center"/>
            <w:hideMark/>
          </w:tcPr>
          <w:p w14:paraId="1179FE90" w14:textId="77777777" w:rsidR="00000000" w:rsidRDefault="00A173A8">
            <w:pPr>
              <w:spacing w:after="100"/>
              <w:rPr>
                <w:rFonts w:eastAsia="Times New Roman"/>
                <w:sz w:val="20"/>
                <w:szCs w:val="20"/>
              </w:rPr>
            </w:pPr>
          </w:p>
        </w:tc>
        <w:tc>
          <w:tcPr>
            <w:tcW w:w="5" w:type="pct"/>
            <w:vAlign w:val="center"/>
            <w:hideMark/>
          </w:tcPr>
          <w:p w14:paraId="102789AC" w14:textId="77777777" w:rsidR="00000000" w:rsidRDefault="00A173A8">
            <w:pPr>
              <w:spacing w:after="100"/>
              <w:rPr>
                <w:rFonts w:eastAsia="Times New Roman"/>
                <w:sz w:val="20"/>
                <w:szCs w:val="20"/>
              </w:rPr>
            </w:pPr>
          </w:p>
        </w:tc>
        <w:tc>
          <w:tcPr>
            <w:tcW w:w="50" w:type="pct"/>
            <w:vAlign w:val="center"/>
            <w:hideMark/>
          </w:tcPr>
          <w:p w14:paraId="57D9372B" w14:textId="77777777" w:rsidR="00000000" w:rsidRDefault="00A173A8">
            <w:pPr>
              <w:spacing w:after="100"/>
              <w:rPr>
                <w:rFonts w:eastAsia="Times New Roman"/>
                <w:sz w:val="20"/>
                <w:szCs w:val="20"/>
              </w:rPr>
            </w:pPr>
          </w:p>
        </w:tc>
        <w:tc>
          <w:tcPr>
            <w:tcW w:w="295" w:type="pct"/>
            <w:vAlign w:val="center"/>
            <w:hideMark/>
          </w:tcPr>
          <w:p w14:paraId="4326427D" w14:textId="77777777" w:rsidR="00000000" w:rsidRDefault="00A173A8">
            <w:pPr>
              <w:spacing w:after="100"/>
              <w:rPr>
                <w:rFonts w:eastAsia="Times New Roman"/>
                <w:sz w:val="20"/>
                <w:szCs w:val="20"/>
              </w:rPr>
            </w:pPr>
          </w:p>
        </w:tc>
        <w:tc>
          <w:tcPr>
            <w:tcW w:w="5" w:type="pct"/>
            <w:vAlign w:val="center"/>
            <w:hideMark/>
          </w:tcPr>
          <w:p w14:paraId="2DD19565" w14:textId="77777777" w:rsidR="00000000" w:rsidRDefault="00A173A8">
            <w:pPr>
              <w:spacing w:after="100"/>
              <w:rPr>
                <w:rFonts w:eastAsia="Times New Roman"/>
                <w:sz w:val="20"/>
                <w:szCs w:val="20"/>
              </w:rPr>
            </w:pPr>
          </w:p>
        </w:tc>
        <w:tc>
          <w:tcPr>
            <w:tcW w:w="5" w:type="pct"/>
            <w:vAlign w:val="center"/>
            <w:hideMark/>
          </w:tcPr>
          <w:p w14:paraId="5C5D1151" w14:textId="77777777" w:rsidR="00000000" w:rsidRDefault="00A173A8">
            <w:pPr>
              <w:spacing w:after="100"/>
              <w:rPr>
                <w:rFonts w:eastAsia="Times New Roman"/>
                <w:sz w:val="20"/>
                <w:szCs w:val="20"/>
              </w:rPr>
            </w:pPr>
          </w:p>
        </w:tc>
        <w:tc>
          <w:tcPr>
            <w:tcW w:w="26" w:type="pct"/>
            <w:vAlign w:val="center"/>
            <w:hideMark/>
          </w:tcPr>
          <w:p w14:paraId="796E3128" w14:textId="77777777" w:rsidR="00000000" w:rsidRDefault="00A173A8">
            <w:pPr>
              <w:spacing w:after="100"/>
              <w:rPr>
                <w:rFonts w:eastAsia="Times New Roman"/>
                <w:sz w:val="20"/>
                <w:szCs w:val="20"/>
              </w:rPr>
            </w:pPr>
          </w:p>
        </w:tc>
        <w:tc>
          <w:tcPr>
            <w:tcW w:w="5" w:type="pct"/>
            <w:vAlign w:val="center"/>
            <w:hideMark/>
          </w:tcPr>
          <w:p w14:paraId="1360B87B" w14:textId="77777777" w:rsidR="00000000" w:rsidRDefault="00A173A8">
            <w:pPr>
              <w:spacing w:after="100"/>
              <w:rPr>
                <w:rFonts w:eastAsia="Times New Roman"/>
                <w:sz w:val="20"/>
                <w:szCs w:val="20"/>
              </w:rPr>
            </w:pPr>
          </w:p>
        </w:tc>
        <w:tc>
          <w:tcPr>
            <w:tcW w:w="50" w:type="pct"/>
            <w:vAlign w:val="center"/>
            <w:hideMark/>
          </w:tcPr>
          <w:p w14:paraId="0091FE5C" w14:textId="77777777" w:rsidR="00000000" w:rsidRDefault="00A173A8">
            <w:pPr>
              <w:spacing w:after="100"/>
              <w:rPr>
                <w:rFonts w:eastAsia="Times New Roman"/>
                <w:sz w:val="20"/>
                <w:szCs w:val="20"/>
              </w:rPr>
            </w:pPr>
          </w:p>
        </w:tc>
        <w:tc>
          <w:tcPr>
            <w:tcW w:w="266" w:type="pct"/>
            <w:vAlign w:val="center"/>
            <w:hideMark/>
          </w:tcPr>
          <w:p w14:paraId="7BD7C152" w14:textId="77777777" w:rsidR="00000000" w:rsidRDefault="00A173A8">
            <w:pPr>
              <w:spacing w:after="100"/>
              <w:rPr>
                <w:rFonts w:eastAsia="Times New Roman"/>
                <w:sz w:val="20"/>
                <w:szCs w:val="20"/>
              </w:rPr>
            </w:pPr>
          </w:p>
        </w:tc>
        <w:tc>
          <w:tcPr>
            <w:tcW w:w="5" w:type="pct"/>
            <w:vAlign w:val="center"/>
            <w:hideMark/>
          </w:tcPr>
          <w:p w14:paraId="1F2065F2" w14:textId="77777777" w:rsidR="00000000" w:rsidRDefault="00A173A8">
            <w:pPr>
              <w:spacing w:after="100"/>
              <w:rPr>
                <w:rFonts w:eastAsia="Times New Roman"/>
                <w:sz w:val="20"/>
                <w:szCs w:val="20"/>
              </w:rPr>
            </w:pPr>
          </w:p>
        </w:tc>
        <w:tc>
          <w:tcPr>
            <w:tcW w:w="5" w:type="pct"/>
            <w:vAlign w:val="center"/>
            <w:hideMark/>
          </w:tcPr>
          <w:p w14:paraId="38F3BD5F" w14:textId="77777777" w:rsidR="00000000" w:rsidRDefault="00A173A8">
            <w:pPr>
              <w:spacing w:after="100"/>
              <w:rPr>
                <w:rFonts w:eastAsia="Times New Roman"/>
                <w:sz w:val="20"/>
                <w:szCs w:val="20"/>
              </w:rPr>
            </w:pPr>
          </w:p>
        </w:tc>
        <w:tc>
          <w:tcPr>
            <w:tcW w:w="26" w:type="pct"/>
            <w:vAlign w:val="center"/>
            <w:hideMark/>
          </w:tcPr>
          <w:p w14:paraId="79B4B1C9" w14:textId="77777777" w:rsidR="00000000" w:rsidRDefault="00A173A8">
            <w:pPr>
              <w:spacing w:after="100"/>
              <w:rPr>
                <w:rFonts w:eastAsia="Times New Roman"/>
                <w:sz w:val="20"/>
                <w:szCs w:val="20"/>
              </w:rPr>
            </w:pPr>
          </w:p>
        </w:tc>
        <w:tc>
          <w:tcPr>
            <w:tcW w:w="5" w:type="pct"/>
            <w:vAlign w:val="center"/>
            <w:hideMark/>
          </w:tcPr>
          <w:p w14:paraId="241568C7" w14:textId="77777777" w:rsidR="00000000" w:rsidRDefault="00A173A8">
            <w:pPr>
              <w:spacing w:after="100"/>
              <w:rPr>
                <w:rFonts w:eastAsia="Times New Roman"/>
                <w:sz w:val="20"/>
                <w:szCs w:val="20"/>
              </w:rPr>
            </w:pPr>
          </w:p>
        </w:tc>
        <w:tc>
          <w:tcPr>
            <w:tcW w:w="50" w:type="pct"/>
            <w:vAlign w:val="center"/>
            <w:hideMark/>
          </w:tcPr>
          <w:p w14:paraId="64615E67" w14:textId="77777777" w:rsidR="00000000" w:rsidRDefault="00A173A8">
            <w:pPr>
              <w:spacing w:after="100"/>
              <w:rPr>
                <w:rFonts w:eastAsia="Times New Roman"/>
                <w:sz w:val="20"/>
                <w:szCs w:val="20"/>
              </w:rPr>
            </w:pPr>
          </w:p>
        </w:tc>
        <w:tc>
          <w:tcPr>
            <w:tcW w:w="244" w:type="pct"/>
            <w:vAlign w:val="center"/>
            <w:hideMark/>
          </w:tcPr>
          <w:p w14:paraId="066F7388" w14:textId="77777777" w:rsidR="00000000" w:rsidRDefault="00A173A8">
            <w:pPr>
              <w:spacing w:after="100"/>
              <w:rPr>
                <w:rFonts w:eastAsia="Times New Roman"/>
                <w:sz w:val="20"/>
                <w:szCs w:val="20"/>
              </w:rPr>
            </w:pPr>
          </w:p>
        </w:tc>
        <w:tc>
          <w:tcPr>
            <w:tcW w:w="5" w:type="pct"/>
            <w:vAlign w:val="center"/>
            <w:hideMark/>
          </w:tcPr>
          <w:p w14:paraId="7CAFE146" w14:textId="77777777" w:rsidR="00000000" w:rsidRDefault="00A173A8">
            <w:pPr>
              <w:spacing w:after="100"/>
              <w:rPr>
                <w:rFonts w:eastAsia="Times New Roman"/>
                <w:sz w:val="20"/>
                <w:szCs w:val="20"/>
              </w:rPr>
            </w:pPr>
          </w:p>
        </w:tc>
        <w:tc>
          <w:tcPr>
            <w:tcW w:w="5" w:type="pct"/>
            <w:vAlign w:val="center"/>
            <w:hideMark/>
          </w:tcPr>
          <w:p w14:paraId="02623577" w14:textId="77777777" w:rsidR="00000000" w:rsidRDefault="00A173A8">
            <w:pPr>
              <w:spacing w:after="100"/>
              <w:rPr>
                <w:rFonts w:eastAsia="Times New Roman"/>
                <w:sz w:val="20"/>
                <w:szCs w:val="20"/>
              </w:rPr>
            </w:pPr>
          </w:p>
        </w:tc>
        <w:tc>
          <w:tcPr>
            <w:tcW w:w="26" w:type="pct"/>
            <w:vAlign w:val="center"/>
            <w:hideMark/>
          </w:tcPr>
          <w:p w14:paraId="0CA9D39A" w14:textId="77777777" w:rsidR="00000000" w:rsidRDefault="00A173A8">
            <w:pPr>
              <w:spacing w:after="100"/>
              <w:rPr>
                <w:rFonts w:eastAsia="Times New Roman"/>
                <w:sz w:val="20"/>
                <w:szCs w:val="20"/>
              </w:rPr>
            </w:pPr>
          </w:p>
        </w:tc>
        <w:tc>
          <w:tcPr>
            <w:tcW w:w="5" w:type="pct"/>
            <w:vAlign w:val="center"/>
            <w:hideMark/>
          </w:tcPr>
          <w:p w14:paraId="6A27655B" w14:textId="77777777" w:rsidR="00000000" w:rsidRDefault="00A173A8">
            <w:pPr>
              <w:spacing w:after="100"/>
              <w:rPr>
                <w:rFonts w:eastAsia="Times New Roman"/>
                <w:sz w:val="20"/>
                <w:szCs w:val="20"/>
              </w:rPr>
            </w:pPr>
          </w:p>
        </w:tc>
        <w:tc>
          <w:tcPr>
            <w:tcW w:w="50" w:type="pct"/>
            <w:vAlign w:val="center"/>
            <w:hideMark/>
          </w:tcPr>
          <w:p w14:paraId="04683D8D" w14:textId="77777777" w:rsidR="00000000" w:rsidRDefault="00A173A8">
            <w:pPr>
              <w:spacing w:after="100"/>
              <w:rPr>
                <w:rFonts w:eastAsia="Times New Roman"/>
                <w:sz w:val="20"/>
                <w:szCs w:val="20"/>
              </w:rPr>
            </w:pPr>
          </w:p>
        </w:tc>
        <w:tc>
          <w:tcPr>
            <w:tcW w:w="354" w:type="pct"/>
            <w:vAlign w:val="center"/>
            <w:hideMark/>
          </w:tcPr>
          <w:p w14:paraId="2E0E0B30" w14:textId="77777777" w:rsidR="00000000" w:rsidRDefault="00A173A8">
            <w:pPr>
              <w:spacing w:after="100"/>
              <w:rPr>
                <w:rFonts w:eastAsia="Times New Roman"/>
                <w:sz w:val="20"/>
                <w:szCs w:val="20"/>
              </w:rPr>
            </w:pPr>
          </w:p>
        </w:tc>
        <w:tc>
          <w:tcPr>
            <w:tcW w:w="5" w:type="pct"/>
            <w:vAlign w:val="center"/>
            <w:hideMark/>
          </w:tcPr>
          <w:p w14:paraId="6BCFF66B" w14:textId="77777777" w:rsidR="00000000" w:rsidRDefault="00A173A8">
            <w:pPr>
              <w:spacing w:after="100"/>
              <w:rPr>
                <w:rFonts w:eastAsia="Times New Roman"/>
                <w:sz w:val="20"/>
                <w:szCs w:val="20"/>
              </w:rPr>
            </w:pPr>
          </w:p>
        </w:tc>
      </w:tr>
      <w:tr w:rsidR="00000000" w14:paraId="4486A7C4" w14:textId="77777777">
        <w:trPr>
          <w:divId w:val="1854101266"/>
        </w:trPr>
        <w:tc>
          <w:tcPr>
            <w:tcW w:w="0" w:type="auto"/>
            <w:gridSpan w:val="3"/>
            <w:tcMar>
              <w:top w:w="0" w:type="dxa"/>
              <w:left w:w="20" w:type="dxa"/>
              <w:bottom w:w="0" w:type="dxa"/>
              <w:right w:w="20" w:type="dxa"/>
            </w:tcMar>
            <w:vAlign w:val="center"/>
            <w:hideMark/>
          </w:tcPr>
          <w:p w14:paraId="7AD86CA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CDC120" w14:textId="77777777" w:rsidR="00000000" w:rsidRDefault="00A173A8">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14:paraId="7F76BCC4" w14:textId="77777777" w:rsidR="00000000" w:rsidRDefault="00A173A8">
            <w:pPr>
              <w:spacing w:after="100"/>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14:paraId="0934AABC" w14:textId="77777777" w:rsidR="00000000" w:rsidRDefault="00A173A8">
            <w:pPr>
              <w:spacing w:after="100"/>
              <w:rPr>
                <w:rFonts w:eastAsia="Times New Roman"/>
                <w:sz w:val="20"/>
                <w:szCs w:val="20"/>
              </w:rPr>
            </w:pPr>
          </w:p>
        </w:tc>
      </w:tr>
      <w:tr w:rsidR="00000000" w14:paraId="759C73B7" w14:textId="77777777">
        <w:trPr>
          <w:divId w:val="1854101266"/>
        </w:trPr>
        <w:tc>
          <w:tcPr>
            <w:tcW w:w="0" w:type="auto"/>
            <w:gridSpan w:val="3"/>
            <w:tcMar>
              <w:top w:w="0" w:type="dxa"/>
              <w:left w:w="20" w:type="dxa"/>
              <w:bottom w:w="0" w:type="dxa"/>
              <w:right w:w="20" w:type="dxa"/>
            </w:tcMar>
            <w:vAlign w:val="center"/>
            <w:hideMark/>
          </w:tcPr>
          <w:p w14:paraId="7CDEF041"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FB3D697" w14:textId="77777777" w:rsidR="00000000" w:rsidRDefault="00A173A8">
            <w:pPr>
              <w:spacing w:after="100"/>
              <w:rPr>
                <w:rFonts w:eastAsia="Times New Roman"/>
                <w:sz w:val="20"/>
                <w:szCs w:val="20"/>
              </w:rPr>
            </w:pPr>
          </w:p>
        </w:tc>
        <w:tc>
          <w:tcPr>
            <w:tcW w:w="0" w:type="auto"/>
            <w:gridSpan w:val="56"/>
            <w:tcMar>
              <w:top w:w="30" w:type="dxa"/>
              <w:left w:w="20" w:type="dxa"/>
              <w:bottom w:w="30" w:type="dxa"/>
              <w:right w:w="20" w:type="dxa"/>
            </w:tcMar>
            <w:vAlign w:val="bottom"/>
            <w:hideMark/>
          </w:tcPr>
          <w:p w14:paraId="013C24C5" w14:textId="77777777" w:rsidR="00000000" w:rsidRDefault="00A173A8">
            <w:pPr>
              <w:spacing w:after="100"/>
              <w:jc w:val="center"/>
              <w:rPr>
                <w:rFonts w:eastAsia="Times New Roman"/>
              </w:rPr>
            </w:pPr>
            <w:r>
              <w:rPr>
                <w:rFonts w:eastAsia="Times New Roman"/>
                <w:b/>
                <w:bCs/>
                <w:color w:val="000000"/>
                <w:sz w:val="14"/>
                <w:szCs w:val="14"/>
              </w:rPr>
              <w:t>Six Months Ended June 30, 2021</w:t>
            </w:r>
          </w:p>
        </w:tc>
        <w:tc>
          <w:tcPr>
            <w:tcW w:w="0" w:type="auto"/>
            <w:vAlign w:val="center"/>
            <w:hideMark/>
          </w:tcPr>
          <w:p w14:paraId="7B5B38BC" w14:textId="77777777" w:rsidR="00000000" w:rsidRDefault="00A173A8">
            <w:pPr>
              <w:spacing w:after="100"/>
              <w:rPr>
                <w:rFonts w:eastAsia="Times New Roman"/>
                <w:sz w:val="20"/>
                <w:szCs w:val="20"/>
              </w:rPr>
            </w:pPr>
          </w:p>
        </w:tc>
      </w:tr>
      <w:tr w:rsidR="00000000" w14:paraId="28BD45B2" w14:textId="77777777">
        <w:trPr>
          <w:divId w:val="1854101266"/>
          <w:trHeight w:val="300"/>
        </w:trPr>
        <w:tc>
          <w:tcPr>
            <w:tcW w:w="0" w:type="auto"/>
            <w:gridSpan w:val="3"/>
            <w:tcMar>
              <w:top w:w="0" w:type="dxa"/>
              <w:left w:w="20" w:type="dxa"/>
              <w:bottom w:w="0" w:type="dxa"/>
              <w:right w:w="20" w:type="dxa"/>
            </w:tcMar>
            <w:vAlign w:val="center"/>
            <w:hideMark/>
          </w:tcPr>
          <w:p w14:paraId="0E101CC2"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B2BF9E6"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11EA19C"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2A81DE"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6CC4CADC" w14:textId="77777777" w:rsidR="00000000" w:rsidRDefault="00A173A8">
            <w:pPr>
              <w:spacing w:after="100"/>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14:paraId="54A73B84" w14:textId="77777777" w:rsidR="00000000" w:rsidRDefault="00A173A8">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2EA3143D"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4C4778"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5EA23C"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78290E5"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FD6468"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019AA2"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96232D"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D04585"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07E6C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2DCDA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37DD61"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34BE48" w14:textId="77777777" w:rsidR="00000000" w:rsidRDefault="00A173A8">
            <w:pPr>
              <w:spacing w:after="100"/>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14:paraId="3374CD83" w14:textId="77777777" w:rsidR="00000000" w:rsidRDefault="00A173A8">
            <w:pPr>
              <w:spacing w:after="100"/>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14:paraId="22FCF003" w14:textId="77777777" w:rsidR="00000000" w:rsidRDefault="00A173A8">
            <w:pPr>
              <w:spacing w:after="100"/>
              <w:jc w:val="center"/>
              <w:rPr>
                <w:rFonts w:eastAsia="Times New Roman"/>
              </w:rPr>
            </w:pPr>
            <w:r>
              <w:rPr>
                <w:rFonts w:eastAsia="Times New Roman"/>
                <w:b/>
                <w:bCs/>
                <w:color w:val="000000"/>
                <w:sz w:val="12"/>
                <w:szCs w:val="12"/>
              </w:rPr>
              <w:t>Net Unrealized Gains (Losses) Included in Net Income Related to Assets and Liabilities Still Held as of June 30, 202</w:t>
            </w:r>
            <w:r>
              <w:rPr>
                <w:rFonts w:eastAsia="Times New Roman"/>
                <w:b/>
                <w:bCs/>
                <w:color w:val="000000"/>
                <w:sz w:val="12"/>
                <w:szCs w:val="12"/>
              </w:rPr>
              <w:t>1</w:t>
            </w:r>
            <w:r>
              <w:rPr>
                <w:rFonts w:eastAsia="Times New Roman"/>
                <w:b/>
                <w:bCs/>
                <w:color w:val="000000"/>
                <w:sz w:val="8"/>
                <w:szCs w:val="8"/>
              </w:rPr>
              <w:t>(1</w:t>
            </w:r>
            <w:r>
              <w:rPr>
                <w:rFonts w:eastAsia="Times New Roman"/>
                <w:b/>
                <w:bCs/>
                <w:color w:val="000000"/>
                <w:sz w:val="8"/>
                <w:szCs w:val="8"/>
              </w:rPr>
              <w:t>)</w:t>
            </w:r>
          </w:p>
          <w:p w14:paraId="5C905943" w14:textId="77777777" w:rsidR="00000000" w:rsidRDefault="00A173A8">
            <w:pPr>
              <w:spacing w:after="100"/>
              <w:jc w:val="center"/>
              <w:rPr>
                <w:rFonts w:eastAsia="Times New Roman"/>
              </w:rPr>
            </w:pPr>
          </w:p>
        </w:tc>
      </w:tr>
      <w:tr w:rsidR="00000000" w14:paraId="387F151C" w14:textId="77777777">
        <w:trPr>
          <w:divId w:val="1854101266"/>
          <w:trHeight w:val="460"/>
        </w:trPr>
        <w:tc>
          <w:tcPr>
            <w:tcW w:w="0" w:type="auto"/>
            <w:gridSpan w:val="3"/>
            <w:tcMar>
              <w:top w:w="30" w:type="dxa"/>
              <w:left w:w="20" w:type="dxa"/>
              <w:bottom w:w="30" w:type="dxa"/>
              <w:right w:w="20" w:type="dxa"/>
            </w:tcMar>
            <w:vAlign w:val="bottom"/>
            <w:hideMark/>
          </w:tcPr>
          <w:p w14:paraId="002775CA" w14:textId="77777777" w:rsidR="00000000" w:rsidRDefault="00A173A8">
            <w:pPr>
              <w:spacing w:after="100"/>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14:paraId="04DE7BBC"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663D9B5C" w14:textId="77777777" w:rsidR="00000000" w:rsidRDefault="00A173A8">
            <w:pPr>
              <w:spacing w:after="100"/>
              <w:jc w:val="center"/>
              <w:rPr>
                <w:rFonts w:eastAsia="Times New Roman"/>
              </w:rPr>
            </w:pPr>
            <w:r>
              <w:rPr>
                <w:rFonts w:eastAsia="Times New Roman"/>
                <w:b/>
                <w:bCs/>
                <w:color w:val="000000"/>
                <w:sz w:val="12"/>
                <w:szCs w:val="12"/>
              </w:rPr>
              <w:t>Balance, January 1, 2021</w:t>
            </w:r>
          </w:p>
        </w:tc>
        <w:tc>
          <w:tcPr>
            <w:tcW w:w="0" w:type="auto"/>
            <w:gridSpan w:val="3"/>
            <w:tcMar>
              <w:top w:w="0" w:type="dxa"/>
              <w:left w:w="20" w:type="dxa"/>
              <w:bottom w:w="0" w:type="dxa"/>
              <w:right w:w="20" w:type="dxa"/>
            </w:tcMar>
            <w:vAlign w:val="center"/>
            <w:hideMark/>
          </w:tcPr>
          <w:p w14:paraId="647E0C3F"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A8AF31" w14:textId="77777777" w:rsidR="00000000" w:rsidRDefault="00A173A8">
            <w:pPr>
              <w:spacing w:after="100"/>
              <w:jc w:val="center"/>
              <w:rPr>
                <w:rFonts w:eastAsia="Times New Roman"/>
              </w:rPr>
            </w:pPr>
            <w:r>
              <w:rPr>
                <w:rFonts w:eastAsia="Times New Roman"/>
                <w:b/>
                <w:bCs/>
                <w:color w:val="000000"/>
                <w:sz w:val="12"/>
                <w:szCs w:val="12"/>
              </w:rPr>
              <w:t>Included</w:t>
            </w:r>
          </w:p>
          <w:p w14:paraId="2C55D0A1" w14:textId="77777777" w:rsidR="00000000" w:rsidRDefault="00A173A8">
            <w:pPr>
              <w:spacing w:after="100"/>
              <w:jc w:val="center"/>
              <w:rPr>
                <w:rFonts w:eastAsia="Times New Roman"/>
              </w:rPr>
            </w:pPr>
            <w:r>
              <w:rPr>
                <w:rFonts w:eastAsia="Times New Roman"/>
                <w:b/>
                <w:bCs/>
                <w:color w:val="000000"/>
                <w:sz w:val="12"/>
                <w:szCs w:val="12"/>
              </w:rPr>
              <w:t>in Net</w:t>
            </w:r>
          </w:p>
          <w:p w14:paraId="7331848E" w14:textId="77777777" w:rsidR="00000000" w:rsidRDefault="00A173A8">
            <w:pPr>
              <w:spacing w:after="100"/>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14:paraId="4DB7342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585353" w14:textId="77777777" w:rsidR="00000000" w:rsidRDefault="00A173A8">
            <w:pPr>
              <w:spacing w:after="100"/>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14:paraId="3F814F80"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D3ABC1" w14:textId="77777777" w:rsidR="00000000" w:rsidRDefault="00A173A8">
            <w:pPr>
              <w:spacing w:after="100"/>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14:paraId="7970E52D"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14D5EC" w14:textId="77777777" w:rsidR="00000000" w:rsidRDefault="00A173A8">
            <w:pPr>
              <w:spacing w:after="100"/>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14:paraId="695FB232"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74424EC" w14:textId="77777777" w:rsidR="00000000" w:rsidRDefault="00A173A8">
            <w:pPr>
              <w:spacing w:after="100"/>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14:paraId="2C4935C5"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A09DB6" w14:textId="77777777" w:rsidR="00000000" w:rsidRDefault="00A173A8">
            <w:pPr>
              <w:spacing w:after="100"/>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14:paraId="1FCF0C1C"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5106277" w14:textId="77777777" w:rsidR="00000000" w:rsidRDefault="00A173A8">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409E5655"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62D253" w14:textId="77777777" w:rsidR="00000000" w:rsidRDefault="00A173A8">
            <w:pPr>
              <w:spacing w:after="100"/>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14:paraId="0B2B6CA8" w14:textId="77777777" w:rsidR="00000000" w:rsidRDefault="00A173A8">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1BF42CD8" w14:textId="77777777" w:rsidR="00000000" w:rsidRDefault="00A173A8">
            <w:pPr>
              <w:spacing w:after="100"/>
              <w:jc w:val="center"/>
              <w:rPr>
                <w:rFonts w:eastAsia="Times New Roman"/>
              </w:rPr>
            </w:pPr>
            <w:r>
              <w:rPr>
                <w:rFonts w:eastAsia="Times New Roman"/>
                <w:b/>
                <w:bCs/>
                <w:color w:val="000000"/>
                <w:sz w:val="12"/>
                <w:szCs w:val="12"/>
              </w:rPr>
              <w:t>Balance, June 30, 2021</w:t>
            </w:r>
          </w:p>
        </w:tc>
        <w:tc>
          <w:tcPr>
            <w:tcW w:w="0" w:type="auto"/>
            <w:tcMar>
              <w:top w:w="0" w:type="dxa"/>
              <w:left w:w="20" w:type="dxa"/>
              <w:bottom w:w="0" w:type="dxa"/>
              <w:right w:w="20" w:type="dxa"/>
            </w:tcMar>
            <w:vAlign w:val="center"/>
            <w:hideMark/>
          </w:tcPr>
          <w:p w14:paraId="01691CB6" w14:textId="77777777" w:rsidR="00000000" w:rsidRDefault="00A173A8">
            <w:pPr>
              <w:spacing w:after="100"/>
              <w:jc w:val="center"/>
              <w:rPr>
                <w:rFonts w:eastAsia="Times New Roman"/>
              </w:rPr>
            </w:pPr>
          </w:p>
        </w:tc>
      </w:tr>
      <w:tr w:rsidR="00000000" w14:paraId="0B3CEE24" w14:textId="77777777">
        <w:trPr>
          <w:divId w:val="185410126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E59A657" w14:textId="77777777" w:rsidR="00000000" w:rsidRDefault="00A173A8">
            <w:pPr>
              <w:spacing w:after="100"/>
              <w:divId w:val="1458599425"/>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504F54B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72975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241BA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44A61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A569F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DF3B3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EF8AF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B210D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3D31B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AA28D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EE237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D25D4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511B4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8F316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671D5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DEC78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98CC1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DBB1C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40FF15" w14:textId="77777777" w:rsidR="00000000" w:rsidRDefault="00A173A8">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14:paraId="18869AE7" w14:textId="77777777" w:rsidR="00000000" w:rsidRDefault="00A173A8">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7EF15453" w14:textId="77777777" w:rsidR="00000000" w:rsidRDefault="00A173A8">
            <w:pPr>
              <w:spacing w:after="100"/>
              <w:rPr>
                <w:rFonts w:eastAsia="Times New Roman"/>
                <w:sz w:val="20"/>
                <w:szCs w:val="20"/>
              </w:rPr>
            </w:pPr>
          </w:p>
        </w:tc>
      </w:tr>
      <w:tr w:rsidR="00A173A8" w14:paraId="3307A0D1" w14:textId="77777777">
        <w:trPr>
          <w:divId w:val="1854101266"/>
        </w:trPr>
        <w:tc>
          <w:tcPr>
            <w:tcW w:w="0" w:type="auto"/>
            <w:gridSpan w:val="3"/>
            <w:shd w:val="clear" w:color="auto" w:fill="FFFFFF"/>
            <w:tcMar>
              <w:top w:w="30" w:type="dxa"/>
              <w:left w:w="245" w:type="dxa"/>
              <w:bottom w:w="30" w:type="dxa"/>
              <w:right w:w="20" w:type="dxa"/>
            </w:tcMar>
            <w:vAlign w:val="center"/>
            <w:hideMark/>
          </w:tcPr>
          <w:p w14:paraId="3B888377"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7F28426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4688188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E229670" w14:textId="77777777" w:rsidR="00000000" w:rsidRDefault="00A173A8">
            <w:pPr>
              <w:spacing w:after="100"/>
              <w:jc w:val="right"/>
              <w:rPr>
                <w:rFonts w:eastAsia="Times New Roman"/>
              </w:rPr>
            </w:pPr>
            <w:r>
              <w:rPr>
                <w:rFonts w:eastAsia="Times New Roman"/>
                <w:color w:val="000000"/>
                <w:sz w:val="18"/>
                <w:szCs w:val="18"/>
              </w:rPr>
              <w:t>328 </w:t>
            </w:r>
          </w:p>
        </w:tc>
        <w:tc>
          <w:tcPr>
            <w:tcW w:w="0" w:type="auto"/>
            <w:shd w:val="clear" w:color="auto" w:fill="FFFFFF"/>
            <w:tcMar>
              <w:top w:w="30" w:type="dxa"/>
              <w:left w:w="0" w:type="dxa"/>
              <w:bottom w:w="30" w:type="dxa"/>
              <w:right w:w="20" w:type="dxa"/>
            </w:tcMar>
            <w:vAlign w:val="bottom"/>
            <w:hideMark/>
          </w:tcPr>
          <w:p w14:paraId="3FF22FE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23F23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0F8D7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6B28FCF" w14:textId="77777777" w:rsidR="00000000" w:rsidRDefault="00A173A8">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0B43A49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CE0C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18E16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F8C29EB" w14:textId="77777777" w:rsidR="00000000" w:rsidRDefault="00A173A8">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14:paraId="3F31261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F14C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1DCB26"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1074001"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E2F3FF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B63CF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4D1C1B"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83C0BE1"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2A088E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B21CA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01243B"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DD7B9C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680013E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7D59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98D6F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37ACF63" w14:textId="77777777" w:rsidR="00000000" w:rsidRDefault="00A173A8">
            <w:pPr>
              <w:spacing w:after="100"/>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vAlign w:val="bottom"/>
            <w:hideMark/>
          </w:tcPr>
          <w:p w14:paraId="7973021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25547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259CEA"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1018E61" w14:textId="77777777" w:rsidR="00000000" w:rsidRDefault="00A173A8">
            <w:pPr>
              <w:spacing w:after="100"/>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bottom"/>
            <w:hideMark/>
          </w:tcPr>
          <w:p w14:paraId="63C0031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4474A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53D2EC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7391E0E" w14:textId="77777777" w:rsidR="00000000" w:rsidRDefault="00A173A8">
            <w:pPr>
              <w:spacing w:after="100"/>
              <w:jc w:val="right"/>
              <w:rPr>
                <w:rFonts w:eastAsia="Times New Roman"/>
              </w:rPr>
            </w:pPr>
            <w:r>
              <w:rPr>
                <w:rFonts w:eastAsia="Times New Roman"/>
                <w:color w:val="000000"/>
                <w:sz w:val="18"/>
                <w:szCs w:val="18"/>
              </w:rPr>
              <w:t>(87)</w:t>
            </w:r>
          </w:p>
        </w:tc>
        <w:tc>
          <w:tcPr>
            <w:tcW w:w="0" w:type="auto"/>
            <w:shd w:val="clear" w:color="auto" w:fill="FFFFFF"/>
            <w:tcMar>
              <w:top w:w="30" w:type="dxa"/>
              <w:left w:w="0" w:type="dxa"/>
              <w:bottom w:w="30" w:type="dxa"/>
              <w:right w:w="20" w:type="dxa"/>
            </w:tcMar>
            <w:vAlign w:val="bottom"/>
            <w:hideMark/>
          </w:tcPr>
          <w:p w14:paraId="5542BFA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0195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09972C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9D60BE6" w14:textId="77777777" w:rsidR="00000000" w:rsidRDefault="00A173A8">
            <w:pPr>
              <w:spacing w:after="100"/>
              <w:jc w:val="right"/>
              <w:rPr>
                <w:rFonts w:eastAsia="Times New Roman"/>
              </w:rPr>
            </w:pPr>
            <w:r>
              <w:rPr>
                <w:rFonts w:eastAsia="Times New Roman"/>
                <w:color w:val="000000"/>
                <w:sz w:val="18"/>
                <w:szCs w:val="18"/>
              </w:rPr>
              <w:t>289 </w:t>
            </w:r>
          </w:p>
        </w:tc>
        <w:tc>
          <w:tcPr>
            <w:tcW w:w="0" w:type="auto"/>
            <w:shd w:val="clear" w:color="auto" w:fill="FFFFFF"/>
            <w:tcMar>
              <w:top w:w="30" w:type="dxa"/>
              <w:left w:w="0" w:type="dxa"/>
              <w:bottom w:w="30" w:type="dxa"/>
              <w:right w:w="20" w:type="dxa"/>
            </w:tcMar>
            <w:vAlign w:val="bottom"/>
            <w:hideMark/>
          </w:tcPr>
          <w:p w14:paraId="33933FE9" w14:textId="77777777" w:rsidR="00000000" w:rsidRDefault="00A173A8">
            <w:pPr>
              <w:spacing w:after="100"/>
              <w:jc w:val="right"/>
              <w:rPr>
                <w:rFonts w:eastAsia="Times New Roman"/>
              </w:rPr>
            </w:pPr>
            <w:r>
              <w:rPr>
                <w:rFonts w:eastAsia="Times New Roman"/>
                <w:color w:val="000000"/>
                <w:sz w:val="18"/>
                <w:szCs w:val="18"/>
              </w:rPr>
              <w:t>$8 </w:t>
            </w:r>
          </w:p>
        </w:tc>
      </w:tr>
      <w:tr w:rsidR="00A173A8" w14:paraId="4C86F925" w14:textId="77777777">
        <w:trPr>
          <w:divId w:val="1854101266"/>
        </w:trPr>
        <w:tc>
          <w:tcPr>
            <w:tcW w:w="0" w:type="auto"/>
            <w:gridSpan w:val="3"/>
            <w:shd w:val="clear" w:color="auto" w:fill="CCEEFF"/>
            <w:tcMar>
              <w:top w:w="30" w:type="dxa"/>
              <w:left w:w="245" w:type="dxa"/>
              <w:bottom w:w="30" w:type="dxa"/>
              <w:right w:w="20" w:type="dxa"/>
            </w:tcMar>
            <w:vAlign w:val="center"/>
            <w:hideMark/>
          </w:tcPr>
          <w:p w14:paraId="46B13D3B" w14:textId="77777777" w:rsidR="00000000" w:rsidRDefault="00A173A8">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1886C8F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D87EFB" w14:textId="77777777" w:rsidR="00000000" w:rsidRDefault="00A173A8">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14:paraId="5D8C0F1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2BD02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DC559B"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7CD106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FBD56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36A5EA" w14:textId="77777777" w:rsidR="00000000" w:rsidRDefault="00A173A8">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14:paraId="0387BF2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CF70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5DF321"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C45112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0E38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15BFB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666955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F9832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298F85"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317389B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6948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2E0771" w14:textId="77777777" w:rsidR="00000000" w:rsidRDefault="00A173A8">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14:paraId="58E05D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1F2D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7D1AC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527969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60E7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24C603" w14:textId="77777777" w:rsidR="00000000" w:rsidRDefault="00A173A8">
            <w:pPr>
              <w:spacing w:after="100"/>
              <w:jc w:val="right"/>
              <w:rPr>
                <w:rFonts w:eastAsia="Times New Roman"/>
              </w:rPr>
            </w:pPr>
            <w:r>
              <w:rPr>
                <w:rFonts w:eastAsia="Times New Roman"/>
                <w:color w:val="000000"/>
                <w:sz w:val="18"/>
                <w:szCs w:val="18"/>
              </w:rPr>
              <w:t>(94)</w:t>
            </w:r>
          </w:p>
        </w:tc>
        <w:tc>
          <w:tcPr>
            <w:tcW w:w="0" w:type="auto"/>
            <w:shd w:val="clear" w:color="auto" w:fill="CCEEFF"/>
            <w:tcMar>
              <w:top w:w="30" w:type="dxa"/>
              <w:left w:w="0" w:type="dxa"/>
              <w:bottom w:w="30" w:type="dxa"/>
              <w:right w:w="20" w:type="dxa"/>
            </w:tcMar>
            <w:vAlign w:val="bottom"/>
            <w:hideMark/>
          </w:tcPr>
          <w:p w14:paraId="68CD4D6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08E3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FBB2BD" w14:textId="77777777" w:rsidR="00000000" w:rsidRDefault="00A173A8">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bottom"/>
            <w:hideMark/>
          </w:tcPr>
          <w:p w14:paraId="2104B456" w14:textId="77777777" w:rsidR="00000000" w:rsidRDefault="00A173A8">
            <w:pPr>
              <w:spacing w:after="100"/>
              <w:jc w:val="right"/>
              <w:rPr>
                <w:rFonts w:eastAsia="Times New Roman"/>
              </w:rPr>
            </w:pPr>
            <w:r>
              <w:rPr>
                <w:rFonts w:eastAsia="Times New Roman"/>
                <w:color w:val="000000"/>
                <w:sz w:val="18"/>
                <w:szCs w:val="18"/>
              </w:rPr>
              <w:t>0 </w:t>
            </w:r>
          </w:p>
        </w:tc>
      </w:tr>
      <w:tr w:rsidR="00000000" w14:paraId="19771EDA" w14:textId="77777777">
        <w:trPr>
          <w:divId w:val="1854101266"/>
        </w:trPr>
        <w:tc>
          <w:tcPr>
            <w:tcW w:w="0" w:type="auto"/>
            <w:gridSpan w:val="3"/>
            <w:vAlign w:val="center"/>
            <w:hideMark/>
          </w:tcPr>
          <w:p w14:paraId="7110D93B" w14:textId="77777777" w:rsidR="00000000" w:rsidRDefault="00A173A8">
            <w:pPr>
              <w:spacing w:after="100"/>
              <w:jc w:val="right"/>
              <w:rPr>
                <w:rFonts w:eastAsia="Times New Roman"/>
                <w:sz w:val="20"/>
                <w:szCs w:val="20"/>
              </w:rPr>
            </w:pPr>
          </w:p>
        </w:tc>
        <w:tc>
          <w:tcPr>
            <w:tcW w:w="0" w:type="auto"/>
            <w:gridSpan w:val="3"/>
            <w:vAlign w:val="center"/>
            <w:hideMark/>
          </w:tcPr>
          <w:p w14:paraId="2E6A8FA4" w14:textId="77777777" w:rsidR="00000000" w:rsidRDefault="00A173A8">
            <w:pPr>
              <w:spacing w:after="100"/>
              <w:rPr>
                <w:rFonts w:eastAsia="Times New Roman"/>
                <w:sz w:val="20"/>
                <w:szCs w:val="20"/>
              </w:rPr>
            </w:pPr>
          </w:p>
        </w:tc>
        <w:tc>
          <w:tcPr>
            <w:tcW w:w="0" w:type="auto"/>
            <w:gridSpan w:val="3"/>
            <w:vAlign w:val="center"/>
            <w:hideMark/>
          </w:tcPr>
          <w:p w14:paraId="49154CF0" w14:textId="77777777" w:rsidR="00000000" w:rsidRDefault="00A173A8">
            <w:pPr>
              <w:spacing w:after="100"/>
              <w:rPr>
                <w:rFonts w:eastAsia="Times New Roman"/>
                <w:sz w:val="20"/>
                <w:szCs w:val="20"/>
              </w:rPr>
            </w:pPr>
          </w:p>
        </w:tc>
        <w:tc>
          <w:tcPr>
            <w:tcW w:w="0" w:type="auto"/>
            <w:gridSpan w:val="3"/>
            <w:vAlign w:val="center"/>
            <w:hideMark/>
          </w:tcPr>
          <w:p w14:paraId="51355C2B" w14:textId="77777777" w:rsidR="00000000" w:rsidRDefault="00A173A8">
            <w:pPr>
              <w:spacing w:after="100"/>
              <w:rPr>
                <w:rFonts w:eastAsia="Times New Roman"/>
                <w:sz w:val="20"/>
                <w:szCs w:val="20"/>
              </w:rPr>
            </w:pPr>
          </w:p>
        </w:tc>
        <w:tc>
          <w:tcPr>
            <w:tcW w:w="0" w:type="auto"/>
            <w:gridSpan w:val="3"/>
            <w:vAlign w:val="center"/>
            <w:hideMark/>
          </w:tcPr>
          <w:p w14:paraId="071DB451" w14:textId="77777777" w:rsidR="00000000" w:rsidRDefault="00A173A8">
            <w:pPr>
              <w:spacing w:after="100"/>
              <w:rPr>
                <w:rFonts w:eastAsia="Times New Roman"/>
                <w:sz w:val="20"/>
                <w:szCs w:val="20"/>
              </w:rPr>
            </w:pPr>
          </w:p>
        </w:tc>
        <w:tc>
          <w:tcPr>
            <w:tcW w:w="0" w:type="auto"/>
            <w:gridSpan w:val="3"/>
            <w:vAlign w:val="center"/>
            <w:hideMark/>
          </w:tcPr>
          <w:p w14:paraId="199B40F9" w14:textId="77777777" w:rsidR="00000000" w:rsidRDefault="00A173A8">
            <w:pPr>
              <w:spacing w:after="100"/>
              <w:rPr>
                <w:rFonts w:eastAsia="Times New Roman"/>
                <w:sz w:val="20"/>
                <w:szCs w:val="20"/>
              </w:rPr>
            </w:pPr>
          </w:p>
        </w:tc>
        <w:tc>
          <w:tcPr>
            <w:tcW w:w="0" w:type="auto"/>
            <w:gridSpan w:val="3"/>
            <w:vAlign w:val="center"/>
            <w:hideMark/>
          </w:tcPr>
          <w:p w14:paraId="7418571D" w14:textId="77777777" w:rsidR="00000000" w:rsidRDefault="00A173A8">
            <w:pPr>
              <w:spacing w:after="100"/>
              <w:rPr>
                <w:rFonts w:eastAsia="Times New Roman"/>
                <w:sz w:val="20"/>
                <w:szCs w:val="20"/>
              </w:rPr>
            </w:pPr>
          </w:p>
        </w:tc>
        <w:tc>
          <w:tcPr>
            <w:tcW w:w="0" w:type="auto"/>
            <w:gridSpan w:val="3"/>
            <w:vAlign w:val="center"/>
            <w:hideMark/>
          </w:tcPr>
          <w:p w14:paraId="64D2D863" w14:textId="77777777" w:rsidR="00000000" w:rsidRDefault="00A173A8">
            <w:pPr>
              <w:spacing w:after="100"/>
              <w:rPr>
                <w:rFonts w:eastAsia="Times New Roman"/>
                <w:sz w:val="20"/>
                <w:szCs w:val="20"/>
              </w:rPr>
            </w:pPr>
          </w:p>
        </w:tc>
        <w:tc>
          <w:tcPr>
            <w:tcW w:w="0" w:type="auto"/>
            <w:gridSpan w:val="3"/>
            <w:vAlign w:val="center"/>
            <w:hideMark/>
          </w:tcPr>
          <w:p w14:paraId="07C43AB1" w14:textId="77777777" w:rsidR="00000000" w:rsidRDefault="00A173A8">
            <w:pPr>
              <w:spacing w:after="100"/>
              <w:rPr>
                <w:rFonts w:eastAsia="Times New Roman"/>
                <w:sz w:val="20"/>
                <w:szCs w:val="20"/>
              </w:rPr>
            </w:pPr>
          </w:p>
        </w:tc>
        <w:tc>
          <w:tcPr>
            <w:tcW w:w="0" w:type="auto"/>
            <w:gridSpan w:val="3"/>
            <w:vAlign w:val="center"/>
            <w:hideMark/>
          </w:tcPr>
          <w:p w14:paraId="0E0C3AEC" w14:textId="77777777" w:rsidR="00000000" w:rsidRDefault="00A173A8">
            <w:pPr>
              <w:spacing w:after="100"/>
              <w:rPr>
                <w:rFonts w:eastAsia="Times New Roman"/>
                <w:sz w:val="20"/>
                <w:szCs w:val="20"/>
              </w:rPr>
            </w:pPr>
          </w:p>
        </w:tc>
        <w:tc>
          <w:tcPr>
            <w:tcW w:w="0" w:type="auto"/>
            <w:gridSpan w:val="3"/>
            <w:vAlign w:val="center"/>
            <w:hideMark/>
          </w:tcPr>
          <w:p w14:paraId="063D2011" w14:textId="77777777" w:rsidR="00000000" w:rsidRDefault="00A173A8">
            <w:pPr>
              <w:spacing w:after="100"/>
              <w:rPr>
                <w:rFonts w:eastAsia="Times New Roman"/>
                <w:sz w:val="20"/>
                <w:szCs w:val="20"/>
              </w:rPr>
            </w:pPr>
          </w:p>
        </w:tc>
        <w:tc>
          <w:tcPr>
            <w:tcW w:w="0" w:type="auto"/>
            <w:gridSpan w:val="3"/>
            <w:vAlign w:val="center"/>
            <w:hideMark/>
          </w:tcPr>
          <w:p w14:paraId="7203E5B8" w14:textId="77777777" w:rsidR="00000000" w:rsidRDefault="00A173A8">
            <w:pPr>
              <w:spacing w:after="100"/>
              <w:rPr>
                <w:rFonts w:eastAsia="Times New Roman"/>
                <w:sz w:val="20"/>
                <w:szCs w:val="20"/>
              </w:rPr>
            </w:pPr>
          </w:p>
        </w:tc>
        <w:tc>
          <w:tcPr>
            <w:tcW w:w="0" w:type="auto"/>
            <w:gridSpan w:val="3"/>
            <w:vAlign w:val="center"/>
            <w:hideMark/>
          </w:tcPr>
          <w:p w14:paraId="1A90B0DE" w14:textId="77777777" w:rsidR="00000000" w:rsidRDefault="00A173A8">
            <w:pPr>
              <w:spacing w:after="100"/>
              <w:rPr>
                <w:rFonts w:eastAsia="Times New Roman"/>
                <w:sz w:val="20"/>
                <w:szCs w:val="20"/>
              </w:rPr>
            </w:pPr>
          </w:p>
        </w:tc>
        <w:tc>
          <w:tcPr>
            <w:tcW w:w="0" w:type="auto"/>
            <w:gridSpan w:val="3"/>
            <w:vAlign w:val="center"/>
            <w:hideMark/>
          </w:tcPr>
          <w:p w14:paraId="3BDDF337" w14:textId="77777777" w:rsidR="00000000" w:rsidRDefault="00A173A8">
            <w:pPr>
              <w:spacing w:after="100"/>
              <w:rPr>
                <w:rFonts w:eastAsia="Times New Roman"/>
                <w:sz w:val="20"/>
                <w:szCs w:val="20"/>
              </w:rPr>
            </w:pPr>
          </w:p>
        </w:tc>
        <w:tc>
          <w:tcPr>
            <w:tcW w:w="0" w:type="auto"/>
            <w:gridSpan w:val="3"/>
            <w:vAlign w:val="center"/>
            <w:hideMark/>
          </w:tcPr>
          <w:p w14:paraId="4CC85228" w14:textId="77777777" w:rsidR="00000000" w:rsidRDefault="00A173A8">
            <w:pPr>
              <w:spacing w:after="100"/>
              <w:rPr>
                <w:rFonts w:eastAsia="Times New Roman"/>
                <w:sz w:val="20"/>
                <w:szCs w:val="20"/>
              </w:rPr>
            </w:pPr>
          </w:p>
        </w:tc>
        <w:tc>
          <w:tcPr>
            <w:tcW w:w="0" w:type="auto"/>
            <w:gridSpan w:val="3"/>
            <w:vAlign w:val="center"/>
            <w:hideMark/>
          </w:tcPr>
          <w:p w14:paraId="3C04A5D1" w14:textId="77777777" w:rsidR="00000000" w:rsidRDefault="00A173A8">
            <w:pPr>
              <w:spacing w:after="100"/>
              <w:rPr>
                <w:rFonts w:eastAsia="Times New Roman"/>
                <w:sz w:val="20"/>
                <w:szCs w:val="20"/>
              </w:rPr>
            </w:pPr>
          </w:p>
        </w:tc>
        <w:tc>
          <w:tcPr>
            <w:tcW w:w="0" w:type="auto"/>
            <w:gridSpan w:val="3"/>
            <w:vAlign w:val="center"/>
            <w:hideMark/>
          </w:tcPr>
          <w:p w14:paraId="195A223D" w14:textId="77777777" w:rsidR="00000000" w:rsidRDefault="00A173A8">
            <w:pPr>
              <w:spacing w:after="100"/>
              <w:rPr>
                <w:rFonts w:eastAsia="Times New Roman"/>
                <w:sz w:val="20"/>
                <w:szCs w:val="20"/>
              </w:rPr>
            </w:pPr>
          </w:p>
        </w:tc>
        <w:tc>
          <w:tcPr>
            <w:tcW w:w="0" w:type="auto"/>
            <w:gridSpan w:val="3"/>
            <w:vAlign w:val="center"/>
            <w:hideMark/>
          </w:tcPr>
          <w:p w14:paraId="31E0336F" w14:textId="77777777" w:rsidR="00000000" w:rsidRDefault="00A173A8">
            <w:pPr>
              <w:spacing w:after="100"/>
              <w:rPr>
                <w:rFonts w:eastAsia="Times New Roman"/>
                <w:sz w:val="20"/>
                <w:szCs w:val="20"/>
              </w:rPr>
            </w:pPr>
          </w:p>
        </w:tc>
        <w:tc>
          <w:tcPr>
            <w:tcW w:w="0" w:type="auto"/>
            <w:gridSpan w:val="3"/>
            <w:vAlign w:val="center"/>
            <w:hideMark/>
          </w:tcPr>
          <w:p w14:paraId="012208C9" w14:textId="77777777" w:rsidR="00000000" w:rsidRDefault="00A173A8">
            <w:pPr>
              <w:spacing w:after="100"/>
              <w:rPr>
                <w:rFonts w:eastAsia="Times New Roman"/>
                <w:sz w:val="20"/>
                <w:szCs w:val="20"/>
              </w:rPr>
            </w:pPr>
          </w:p>
        </w:tc>
        <w:tc>
          <w:tcPr>
            <w:tcW w:w="0" w:type="auto"/>
            <w:gridSpan w:val="3"/>
            <w:vAlign w:val="center"/>
            <w:hideMark/>
          </w:tcPr>
          <w:p w14:paraId="11B7CA3C" w14:textId="77777777" w:rsidR="00000000" w:rsidRDefault="00A173A8">
            <w:pPr>
              <w:spacing w:after="100"/>
              <w:rPr>
                <w:rFonts w:eastAsia="Times New Roman"/>
                <w:sz w:val="20"/>
                <w:szCs w:val="20"/>
              </w:rPr>
            </w:pPr>
          </w:p>
        </w:tc>
        <w:tc>
          <w:tcPr>
            <w:tcW w:w="0" w:type="auto"/>
            <w:gridSpan w:val="2"/>
            <w:vAlign w:val="center"/>
            <w:hideMark/>
          </w:tcPr>
          <w:p w14:paraId="52D610A7" w14:textId="77777777" w:rsidR="00000000" w:rsidRDefault="00A173A8">
            <w:pPr>
              <w:spacing w:after="100"/>
              <w:rPr>
                <w:rFonts w:eastAsia="Times New Roman"/>
                <w:sz w:val="20"/>
                <w:szCs w:val="20"/>
              </w:rPr>
            </w:pPr>
          </w:p>
        </w:tc>
        <w:tc>
          <w:tcPr>
            <w:tcW w:w="0" w:type="auto"/>
            <w:vAlign w:val="center"/>
            <w:hideMark/>
          </w:tcPr>
          <w:p w14:paraId="7949A620" w14:textId="77777777" w:rsidR="00000000" w:rsidRDefault="00A173A8">
            <w:pPr>
              <w:spacing w:after="100"/>
              <w:rPr>
                <w:rFonts w:eastAsia="Times New Roman"/>
                <w:sz w:val="20"/>
                <w:szCs w:val="20"/>
              </w:rPr>
            </w:pPr>
          </w:p>
        </w:tc>
      </w:tr>
      <w:tr w:rsidR="00A173A8" w14:paraId="724FA055" w14:textId="77777777">
        <w:trPr>
          <w:divId w:val="1854101266"/>
        </w:trPr>
        <w:tc>
          <w:tcPr>
            <w:tcW w:w="0" w:type="auto"/>
            <w:gridSpan w:val="3"/>
            <w:shd w:val="clear" w:color="auto" w:fill="FFFFFF"/>
            <w:tcMar>
              <w:top w:w="30" w:type="dxa"/>
              <w:left w:w="20" w:type="dxa"/>
              <w:bottom w:w="30" w:type="dxa"/>
              <w:right w:w="20" w:type="dxa"/>
            </w:tcMar>
            <w:vAlign w:val="center"/>
            <w:hideMark/>
          </w:tcPr>
          <w:p w14:paraId="09E7432D" w14:textId="77777777" w:rsidR="00000000" w:rsidRDefault="00A173A8">
            <w:pPr>
              <w:spacing w:after="100"/>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14:paraId="0808CEBF"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F02E1B" w14:textId="77777777" w:rsidR="00000000" w:rsidRDefault="00A173A8">
            <w:pPr>
              <w:spacing w:after="100"/>
              <w:jc w:val="right"/>
              <w:rPr>
                <w:rFonts w:eastAsia="Times New Roman"/>
              </w:rPr>
            </w:pPr>
            <w:r>
              <w:rPr>
                <w:rFonts w:eastAsia="Times New Roman"/>
                <w:color w:val="000000"/>
                <w:sz w:val="18"/>
                <w:szCs w:val="18"/>
              </w:rPr>
              <w:t>439 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25AEE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3BFB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CF9E1D" w14:textId="77777777" w:rsidR="00000000" w:rsidRDefault="00A173A8">
            <w:pPr>
              <w:spacing w:after="100"/>
              <w:jc w:val="right"/>
              <w:rPr>
                <w:rFonts w:eastAsia="Times New Roman"/>
              </w:rPr>
            </w:pPr>
            <w:r>
              <w:rPr>
                <w:rFonts w:eastAsia="Times New Roman"/>
                <w:color w:val="000000"/>
                <w:sz w:val="18"/>
                <w:szCs w:val="18"/>
              </w:rPr>
              <w:t>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F179F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0610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F820A4" w14:textId="77777777" w:rsidR="00000000" w:rsidRDefault="00A173A8">
            <w:pPr>
              <w:spacing w:after="100"/>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09032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AC54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FE69DE"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302A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EB0E8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9826E2"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18729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1A19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D0EC4E"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064CF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C4924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2B8342" w14:textId="77777777" w:rsidR="00000000" w:rsidRDefault="00A173A8">
            <w:pPr>
              <w:spacing w:after="100"/>
              <w:jc w:val="right"/>
              <w:rPr>
                <w:rFonts w:eastAsia="Times New Roman"/>
              </w:rPr>
            </w:pPr>
            <w:r>
              <w:rPr>
                <w:rFonts w:eastAsia="Times New Roman"/>
                <w:color w:val="000000"/>
                <w:sz w:val="18"/>
                <w:szCs w:val="18"/>
              </w:rPr>
              <w:t>(57)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5744E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FC4E8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5CFD57" w14:textId="77777777" w:rsidR="00000000" w:rsidRDefault="00A173A8">
            <w:pPr>
              <w:spacing w:after="100"/>
              <w:jc w:val="right"/>
              <w:rPr>
                <w:rFonts w:eastAsia="Times New Roman"/>
              </w:rPr>
            </w:pPr>
            <w:r>
              <w:rPr>
                <w:rFonts w:eastAsia="Times New Roman"/>
                <w:color w:val="000000"/>
                <w:sz w:val="18"/>
                <w:szCs w:val="18"/>
              </w:rPr>
              <w:t>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6FAED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93962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F4D991" w14:textId="77777777" w:rsidR="00000000" w:rsidRDefault="00A173A8">
            <w:pPr>
              <w:spacing w:after="100"/>
              <w:jc w:val="right"/>
              <w:rPr>
                <w:rFonts w:eastAsia="Times New Roman"/>
              </w:rPr>
            </w:pPr>
            <w:r>
              <w:rPr>
                <w:rFonts w:eastAsia="Times New Roman"/>
                <w:color w:val="000000"/>
                <w:sz w:val="18"/>
                <w:szCs w:val="18"/>
              </w:rPr>
              <w:t>(181)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4B89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FC71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B5965E" w14:textId="77777777" w:rsidR="00000000" w:rsidRDefault="00A173A8">
            <w:pPr>
              <w:spacing w:after="100"/>
              <w:jc w:val="right"/>
              <w:rPr>
                <w:rFonts w:eastAsia="Times New Roman"/>
              </w:rPr>
            </w:pPr>
            <w:r>
              <w:rPr>
                <w:rFonts w:eastAsia="Times New Roman"/>
                <w:color w:val="000000"/>
                <w:sz w:val="18"/>
                <w:szCs w:val="18"/>
              </w:rPr>
              <w:t>298 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568C42" w14:textId="77777777" w:rsidR="00000000" w:rsidRDefault="00A173A8">
            <w:pPr>
              <w:spacing w:after="100"/>
              <w:jc w:val="right"/>
              <w:rPr>
                <w:rFonts w:eastAsia="Times New Roman"/>
              </w:rPr>
            </w:pPr>
            <w:r>
              <w:rPr>
                <w:rFonts w:eastAsia="Times New Roman"/>
                <w:color w:val="000000"/>
                <w:sz w:val="18"/>
                <w:szCs w:val="18"/>
              </w:rPr>
              <w:t>8 </w:t>
            </w:r>
          </w:p>
        </w:tc>
      </w:tr>
      <w:tr w:rsidR="00000000" w14:paraId="6198F3C8" w14:textId="77777777">
        <w:trPr>
          <w:divId w:val="1854101266"/>
        </w:trPr>
        <w:tc>
          <w:tcPr>
            <w:tcW w:w="0" w:type="auto"/>
            <w:gridSpan w:val="3"/>
            <w:shd w:val="clear" w:color="auto" w:fill="CCEEFF"/>
            <w:tcMar>
              <w:top w:w="30" w:type="dxa"/>
              <w:left w:w="20" w:type="dxa"/>
              <w:bottom w:w="30" w:type="dxa"/>
              <w:right w:w="20" w:type="dxa"/>
            </w:tcMar>
            <w:vAlign w:val="center"/>
            <w:hideMark/>
          </w:tcPr>
          <w:p w14:paraId="73C6CD7E" w14:textId="77777777" w:rsidR="00000000" w:rsidRDefault="00A173A8">
            <w:pPr>
              <w:spacing w:after="100"/>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14:paraId="2CC65B47" w14:textId="77777777" w:rsidR="00000000" w:rsidRDefault="00A173A8">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A87A0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5F1498"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CA5FD2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EED87A"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F3A97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B84E2F"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A9C3DE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FFEF83"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3941C3B"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0BBA49"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F6347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48CBE6"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C2EF4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623D86"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BDF298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47FC06" w14:textId="77777777" w:rsidR="00000000" w:rsidRDefault="00A173A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39C5B0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5C13B2" w14:textId="77777777" w:rsidR="00000000" w:rsidRDefault="00A173A8">
            <w:pPr>
              <w:spacing w:after="100"/>
              <w:rPr>
                <w:rFonts w:eastAsia="Times New Roman"/>
                <w:sz w:val="20"/>
                <w:szCs w:val="20"/>
              </w:rPr>
            </w:pPr>
          </w:p>
        </w:tc>
        <w:tc>
          <w:tcPr>
            <w:tcW w:w="0" w:type="auto"/>
            <w:gridSpan w:val="2"/>
            <w:tcBorders>
              <w:top w:val="double" w:sz="6" w:space="0" w:color="000000"/>
            </w:tcBorders>
            <w:shd w:val="clear" w:color="auto" w:fill="CCEEFF"/>
            <w:tcMar>
              <w:top w:w="0" w:type="dxa"/>
              <w:left w:w="20" w:type="dxa"/>
              <w:bottom w:w="0" w:type="dxa"/>
              <w:right w:w="20" w:type="dxa"/>
            </w:tcMar>
            <w:vAlign w:val="center"/>
            <w:hideMark/>
          </w:tcPr>
          <w:p w14:paraId="476C87CE" w14:textId="77777777" w:rsidR="00000000" w:rsidRDefault="00A173A8">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14:paraId="29A2B225" w14:textId="77777777" w:rsidR="00000000" w:rsidRDefault="00A173A8">
            <w:pPr>
              <w:spacing w:after="100"/>
              <w:rPr>
                <w:rFonts w:eastAsia="Times New Roman"/>
                <w:sz w:val="20"/>
                <w:szCs w:val="20"/>
              </w:rPr>
            </w:pPr>
          </w:p>
        </w:tc>
      </w:tr>
      <w:tr w:rsidR="00000000" w14:paraId="4A4198FB" w14:textId="77777777">
        <w:trPr>
          <w:divId w:val="1854101266"/>
        </w:trPr>
        <w:tc>
          <w:tcPr>
            <w:tcW w:w="0" w:type="auto"/>
            <w:gridSpan w:val="3"/>
            <w:vAlign w:val="center"/>
            <w:hideMark/>
          </w:tcPr>
          <w:p w14:paraId="43CD1E4A" w14:textId="77777777" w:rsidR="00000000" w:rsidRDefault="00A173A8">
            <w:pPr>
              <w:spacing w:after="100"/>
              <w:rPr>
                <w:rFonts w:eastAsia="Times New Roman"/>
                <w:sz w:val="20"/>
                <w:szCs w:val="20"/>
              </w:rPr>
            </w:pPr>
          </w:p>
        </w:tc>
        <w:tc>
          <w:tcPr>
            <w:tcW w:w="0" w:type="auto"/>
            <w:gridSpan w:val="3"/>
            <w:vAlign w:val="center"/>
            <w:hideMark/>
          </w:tcPr>
          <w:p w14:paraId="2F0FE688" w14:textId="77777777" w:rsidR="00000000" w:rsidRDefault="00A173A8">
            <w:pPr>
              <w:spacing w:after="100"/>
              <w:rPr>
                <w:rFonts w:eastAsia="Times New Roman"/>
                <w:sz w:val="20"/>
                <w:szCs w:val="20"/>
              </w:rPr>
            </w:pPr>
          </w:p>
        </w:tc>
        <w:tc>
          <w:tcPr>
            <w:tcW w:w="0" w:type="auto"/>
            <w:gridSpan w:val="3"/>
            <w:vAlign w:val="center"/>
            <w:hideMark/>
          </w:tcPr>
          <w:p w14:paraId="100BCD98" w14:textId="77777777" w:rsidR="00000000" w:rsidRDefault="00A173A8">
            <w:pPr>
              <w:spacing w:after="100"/>
              <w:rPr>
                <w:rFonts w:eastAsia="Times New Roman"/>
                <w:sz w:val="20"/>
                <w:szCs w:val="20"/>
              </w:rPr>
            </w:pPr>
          </w:p>
        </w:tc>
        <w:tc>
          <w:tcPr>
            <w:tcW w:w="0" w:type="auto"/>
            <w:gridSpan w:val="3"/>
            <w:vAlign w:val="center"/>
            <w:hideMark/>
          </w:tcPr>
          <w:p w14:paraId="2FDB000F" w14:textId="77777777" w:rsidR="00000000" w:rsidRDefault="00A173A8">
            <w:pPr>
              <w:spacing w:after="100"/>
              <w:rPr>
                <w:rFonts w:eastAsia="Times New Roman"/>
                <w:sz w:val="20"/>
                <w:szCs w:val="20"/>
              </w:rPr>
            </w:pPr>
          </w:p>
        </w:tc>
        <w:tc>
          <w:tcPr>
            <w:tcW w:w="0" w:type="auto"/>
            <w:gridSpan w:val="3"/>
            <w:vAlign w:val="center"/>
            <w:hideMark/>
          </w:tcPr>
          <w:p w14:paraId="7F9E0FFE" w14:textId="77777777" w:rsidR="00000000" w:rsidRDefault="00A173A8">
            <w:pPr>
              <w:spacing w:after="100"/>
              <w:rPr>
                <w:rFonts w:eastAsia="Times New Roman"/>
                <w:sz w:val="20"/>
                <w:szCs w:val="20"/>
              </w:rPr>
            </w:pPr>
          </w:p>
        </w:tc>
        <w:tc>
          <w:tcPr>
            <w:tcW w:w="0" w:type="auto"/>
            <w:gridSpan w:val="3"/>
            <w:vAlign w:val="center"/>
            <w:hideMark/>
          </w:tcPr>
          <w:p w14:paraId="6DD88D97" w14:textId="77777777" w:rsidR="00000000" w:rsidRDefault="00A173A8">
            <w:pPr>
              <w:spacing w:after="100"/>
              <w:rPr>
                <w:rFonts w:eastAsia="Times New Roman"/>
                <w:sz w:val="20"/>
                <w:szCs w:val="20"/>
              </w:rPr>
            </w:pPr>
          </w:p>
        </w:tc>
        <w:tc>
          <w:tcPr>
            <w:tcW w:w="0" w:type="auto"/>
            <w:gridSpan w:val="3"/>
            <w:vAlign w:val="center"/>
            <w:hideMark/>
          </w:tcPr>
          <w:p w14:paraId="27BCBFAF" w14:textId="77777777" w:rsidR="00000000" w:rsidRDefault="00A173A8">
            <w:pPr>
              <w:spacing w:after="100"/>
              <w:rPr>
                <w:rFonts w:eastAsia="Times New Roman"/>
                <w:sz w:val="20"/>
                <w:szCs w:val="20"/>
              </w:rPr>
            </w:pPr>
          </w:p>
        </w:tc>
        <w:tc>
          <w:tcPr>
            <w:tcW w:w="0" w:type="auto"/>
            <w:gridSpan w:val="3"/>
            <w:vAlign w:val="center"/>
            <w:hideMark/>
          </w:tcPr>
          <w:p w14:paraId="0F1270B9" w14:textId="77777777" w:rsidR="00000000" w:rsidRDefault="00A173A8">
            <w:pPr>
              <w:spacing w:after="100"/>
              <w:rPr>
                <w:rFonts w:eastAsia="Times New Roman"/>
                <w:sz w:val="20"/>
                <w:szCs w:val="20"/>
              </w:rPr>
            </w:pPr>
          </w:p>
        </w:tc>
        <w:tc>
          <w:tcPr>
            <w:tcW w:w="0" w:type="auto"/>
            <w:gridSpan w:val="3"/>
            <w:vAlign w:val="center"/>
            <w:hideMark/>
          </w:tcPr>
          <w:p w14:paraId="517B1C02" w14:textId="77777777" w:rsidR="00000000" w:rsidRDefault="00A173A8">
            <w:pPr>
              <w:spacing w:after="100"/>
              <w:rPr>
                <w:rFonts w:eastAsia="Times New Roman"/>
                <w:sz w:val="20"/>
                <w:szCs w:val="20"/>
              </w:rPr>
            </w:pPr>
          </w:p>
        </w:tc>
        <w:tc>
          <w:tcPr>
            <w:tcW w:w="0" w:type="auto"/>
            <w:gridSpan w:val="3"/>
            <w:vAlign w:val="center"/>
            <w:hideMark/>
          </w:tcPr>
          <w:p w14:paraId="7AEE5868" w14:textId="77777777" w:rsidR="00000000" w:rsidRDefault="00A173A8">
            <w:pPr>
              <w:spacing w:after="100"/>
              <w:rPr>
                <w:rFonts w:eastAsia="Times New Roman"/>
                <w:sz w:val="20"/>
                <w:szCs w:val="20"/>
              </w:rPr>
            </w:pPr>
          </w:p>
        </w:tc>
        <w:tc>
          <w:tcPr>
            <w:tcW w:w="0" w:type="auto"/>
            <w:gridSpan w:val="3"/>
            <w:vAlign w:val="center"/>
            <w:hideMark/>
          </w:tcPr>
          <w:p w14:paraId="24C28C43" w14:textId="77777777" w:rsidR="00000000" w:rsidRDefault="00A173A8">
            <w:pPr>
              <w:spacing w:after="100"/>
              <w:rPr>
                <w:rFonts w:eastAsia="Times New Roman"/>
                <w:sz w:val="20"/>
                <w:szCs w:val="20"/>
              </w:rPr>
            </w:pPr>
          </w:p>
        </w:tc>
        <w:tc>
          <w:tcPr>
            <w:tcW w:w="0" w:type="auto"/>
            <w:gridSpan w:val="3"/>
            <w:vAlign w:val="center"/>
            <w:hideMark/>
          </w:tcPr>
          <w:p w14:paraId="568BB131" w14:textId="77777777" w:rsidR="00000000" w:rsidRDefault="00A173A8">
            <w:pPr>
              <w:spacing w:after="100"/>
              <w:rPr>
                <w:rFonts w:eastAsia="Times New Roman"/>
                <w:sz w:val="20"/>
                <w:szCs w:val="20"/>
              </w:rPr>
            </w:pPr>
          </w:p>
        </w:tc>
        <w:tc>
          <w:tcPr>
            <w:tcW w:w="0" w:type="auto"/>
            <w:gridSpan w:val="3"/>
            <w:vAlign w:val="center"/>
            <w:hideMark/>
          </w:tcPr>
          <w:p w14:paraId="4819903F" w14:textId="77777777" w:rsidR="00000000" w:rsidRDefault="00A173A8">
            <w:pPr>
              <w:spacing w:after="100"/>
              <w:rPr>
                <w:rFonts w:eastAsia="Times New Roman"/>
                <w:sz w:val="20"/>
                <w:szCs w:val="20"/>
              </w:rPr>
            </w:pPr>
          </w:p>
        </w:tc>
        <w:tc>
          <w:tcPr>
            <w:tcW w:w="0" w:type="auto"/>
            <w:gridSpan w:val="3"/>
            <w:vAlign w:val="center"/>
            <w:hideMark/>
          </w:tcPr>
          <w:p w14:paraId="17BFACDC" w14:textId="77777777" w:rsidR="00000000" w:rsidRDefault="00A173A8">
            <w:pPr>
              <w:spacing w:after="100"/>
              <w:rPr>
                <w:rFonts w:eastAsia="Times New Roman"/>
                <w:sz w:val="20"/>
                <w:szCs w:val="20"/>
              </w:rPr>
            </w:pPr>
          </w:p>
        </w:tc>
        <w:tc>
          <w:tcPr>
            <w:tcW w:w="0" w:type="auto"/>
            <w:gridSpan w:val="3"/>
            <w:vAlign w:val="center"/>
            <w:hideMark/>
          </w:tcPr>
          <w:p w14:paraId="2F5743F2" w14:textId="77777777" w:rsidR="00000000" w:rsidRDefault="00A173A8">
            <w:pPr>
              <w:spacing w:after="100"/>
              <w:rPr>
                <w:rFonts w:eastAsia="Times New Roman"/>
                <w:sz w:val="20"/>
                <w:szCs w:val="20"/>
              </w:rPr>
            </w:pPr>
          </w:p>
        </w:tc>
        <w:tc>
          <w:tcPr>
            <w:tcW w:w="0" w:type="auto"/>
            <w:gridSpan w:val="3"/>
            <w:vAlign w:val="center"/>
            <w:hideMark/>
          </w:tcPr>
          <w:p w14:paraId="41D67474" w14:textId="77777777" w:rsidR="00000000" w:rsidRDefault="00A173A8">
            <w:pPr>
              <w:spacing w:after="100"/>
              <w:rPr>
                <w:rFonts w:eastAsia="Times New Roman"/>
                <w:sz w:val="20"/>
                <w:szCs w:val="20"/>
              </w:rPr>
            </w:pPr>
          </w:p>
        </w:tc>
        <w:tc>
          <w:tcPr>
            <w:tcW w:w="0" w:type="auto"/>
            <w:gridSpan w:val="3"/>
            <w:vAlign w:val="center"/>
            <w:hideMark/>
          </w:tcPr>
          <w:p w14:paraId="5B3E624D" w14:textId="77777777" w:rsidR="00000000" w:rsidRDefault="00A173A8">
            <w:pPr>
              <w:spacing w:after="100"/>
              <w:rPr>
                <w:rFonts w:eastAsia="Times New Roman"/>
                <w:sz w:val="20"/>
                <w:szCs w:val="20"/>
              </w:rPr>
            </w:pPr>
          </w:p>
        </w:tc>
        <w:tc>
          <w:tcPr>
            <w:tcW w:w="0" w:type="auto"/>
            <w:gridSpan w:val="3"/>
            <w:vAlign w:val="center"/>
            <w:hideMark/>
          </w:tcPr>
          <w:p w14:paraId="034E0DDA" w14:textId="77777777" w:rsidR="00000000" w:rsidRDefault="00A173A8">
            <w:pPr>
              <w:spacing w:after="100"/>
              <w:rPr>
                <w:rFonts w:eastAsia="Times New Roman"/>
                <w:sz w:val="20"/>
                <w:szCs w:val="20"/>
              </w:rPr>
            </w:pPr>
          </w:p>
        </w:tc>
        <w:tc>
          <w:tcPr>
            <w:tcW w:w="0" w:type="auto"/>
            <w:gridSpan w:val="3"/>
            <w:vAlign w:val="center"/>
            <w:hideMark/>
          </w:tcPr>
          <w:p w14:paraId="64760A8F" w14:textId="77777777" w:rsidR="00000000" w:rsidRDefault="00A173A8">
            <w:pPr>
              <w:spacing w:after="100"/>
              <w:rPr>
                <w:rFonts w:eastAsia="Times New Roman"/>
                <w:sz w:val="20"/>
                <w:szCs w:val="20"/>
              </w:rPr>
            </w:pPr>
          </w:p>
        </w:tc>
        <w:tc>
          <w:tcPr>
            <w:tcW w:w="0" w:type="auto"/>
            <w:gridSpan w:val="3"/>
            <w:vAlign w:val="center"/>
            <w:hideMark/>
          </w:tcPr>
          <w:p w14:paraId="1F7FE9CB" w14:textId="77777777" w:rsidR="00000000" w:rsidRDefault="00A173A8">
            <w:pPr>
              <w:spacing w:after="100"/>
              <w:rPr>
                <w:rFonts w:eastAsia="Times New Roman"/>
                <w:sz w:val="20"/>
                <w:szCs w:val="20"/>
              </w:rPr>
            </w:pPr>
          </w:p>
        </w:tc>
        <w:tc>
          <w:tcPr>
            <w:tcW w:w="0" w:type="auto"/>
            <w:gridSpan w:val="2"/>
            <w:vAlign w:val="center"/>
            <w:hideMark/>
          </w:tcPr>
          <w:p w14:paraId="0938D310" w14:textId="77777777" w:rsidR="00000000" w:rsidRDefault="00A173A8">
            <w:pPr>
              <w:spacing w:after="100"/>
              <w:rPr>
                <w:rFonts w:eastAsia="Times New Roman"/>
                <w:sz w:val="20"/>
                <w:szCs w:val="20"/>
              </w:rPr>
            </w:pPr>
          </w:p>
        </w:tc>
        <w:tc>
          <w:tcPr>
            <w:tcW w:w="0" w:type="auto"/>
            <w:vAlign w:val="center"/>
            <w:hideMark/>
          </w:tcPr>
          <w:p w14:paraId="6405B6C5" w14:textId="77777777" w:rsidR="00000000" w:rsidRDefault="00A173A8">
            <w:pPr>
              <w:spacing w:after="100"/>
              <w:rPr>
                <w:rFonts w:eastAsia="Times New Roman"/>
                <w:sz w:val="20"/>
                <w:szCs w:val="20"/>
              </w:rPr>
            </w:pPr>
          </w:p>
        </w:tc>
      </w:tr>
      <w:tr w:rsidR="00A173A8" w14:paraId="75E74A64" w14:textId="77777777">
        <w:trPr>
          <w:divId w:val="1854101266"/>
        </w:trPr>
        <w:tc>
          <w:tcPr>
            <w:tcW w:w="0" w:type="auto"/>
            <w:gridSpan w:val="3"/>
            <w:shd w:val="clear" w:color="auto" w:fill="FFFFFF"/>
            <w:tcMar>
              <w:top w:w="30" w:type="dxa"/>
              <w:left w:w="245" w:type="dxa"/>
              <w:bottom w:w="30" w:type="dxa"/>
              <w:right w:w="20" w:type="dxa"/>
            </w:tcMar>
            <w:vAlign w:val="center"/>
            <w:hideMark/>
          </w:tcPr>
          <w:p w14:paraId="5196A0DC" w14:textId="77777777" w:rsidR="00000000" w:rsidRDefault="00A173A8">
            <w:pPr>
              <w:spacing w:after="100"/>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14:paraId="1AA6034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DD9393F" w14:textId="77777777" w:rsidR="00000000" w:rsidRDefault="00A173A8">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14:paraId="4176206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59BE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FBE01E" w14:textId="77777777" w:rsidR="00000000" w:rsidRDefault="00A173A8">
            <w:pPr>
              <w:spacing w:after="100"/>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14:paraId="57D18C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0EC86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9EA8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21848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917F0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C31B1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07F227C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BE32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76AA1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E68C4B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4FAAC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5839C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6ADC08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BF626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2E797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28F663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4ABF1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9127E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8B38C6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DFE9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CE97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3254F7F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A472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487D63" w14:textId="77777777" w:rsidR="00000000" w:rsidRDefault="00A173A8">
            <w:pPr>
              <w:spacing w:after="100"/>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bottom"/>
            <w:hideMark/>
          </w:tcPr>
          <w:p w14:paraId="48FEE6C1" w14:textId="77777777" w:rsidR="00000000" w:rsidRDefault="00A173A8">
            <w:pPr>
              <w:spacing w:after="100"/>
              <w:jc w:val="right"/>
              <w:rPr>
                <w:rFonts w:eastAsia="Times New Roman"/>
              </w:rPr>
            </w:pPr>
            <w:r>
              <w:rPr>
                <w:rFonts w:eastAsia="Times New Roman"/>
                <w:color w:val="000000"/>
                <w:sz w:val="18"/>
                <w:szCs w:val="18"/>
              </w:rPr>
              <w:t>(9)</w:t>
            </w:r>
          </w:p>
        </w:tc>
      </w:tr>
      <w:tr w:rsidR="00A173A8" w14:paraId="72E9E790" w14:textId="77777777">
        <w:trPr>
          <w:divId w:val="1854101266"/>
        </w:trPr>
        <w:tc>
          <w:tcPr>
            <w:tcW w:w="0" w:type="auto"/>
            <w:gridSpan w:val="3"/>
            <w:shd w:val="clear" w:color="auto" w:fill="CCEEFF"/>
            <w:tcMar>
              <w:top w:w="30" w:type="dxa"/>
              <w:left w:w="20" w:type="dxa"/>
              <w:bottom w:w="30" w:type="dxa"/>
              <w:right w:w="20" w:type="dxa"/>
            </w:tcMar>
            <w:vAlign w:val="center"/>
            <w:hideMark/>
          </w:tcPr>
          <w:p w14:paraId="451DDBD5" w14:textId="77777777" w:rsidR="00000000" w:rsidRDefault="00A173A8">
            <w:pPr>
              <w:spacing w:after="100"/>
              <w:divId w:val="1073041639"/>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5875DD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26A976" w14:textId="77777777" w:rsidR="00000000" w:rsidRDefault="00A173A8">
            <w:pPr>
              <w:spacing w:after="100"/>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bottom"/>
            <w:hideMark/>
          </w:tcPr>
          <w:p w14:paraId="473FF6D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DBAA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1E47A5" w14:textId="77777777" w:rsidR="00000000" w:rsidRDefault="00A173A8">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14:paraId="26AF80F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2B55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243E0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786D31F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22C83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68C193"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AD6F01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51AA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9BC43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14:paraId="48C36C7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25D09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BF7717" w14:textId="77777777" w:rsidR="00000000" w:rsidRDefault="00A173A8">
            <w:pPr>
              <w:spacing w:after="100"/>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bottom"/>
            <w:hideMark/>
          </w:tcPr>
          <w:p w14:paraId="49485F1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5800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BD51A0" w14:textId="77777777" w:rsidR="00000000" w:rsidRDefault="00A173A8">
            <w:pPr>
              <w:spacing w:after="100"/>
              <w:jc w:val="right"/>
              <w:rPr>
                <w:rFonts w:eastAsia="Times New Roman"/>
              </w:rPr>
            </w:pPr>
            <w:r>
              <w:rPr>
                <w:rFonts w:eastAsia="Times New Roman"/>
                <w:color w:val="000000"/>
                <w:sz w:val="18"/>
                <w:szCs w:val="18"/>
              </w:rPr>
              <w:t>(29)</w:t>
            </w:r>
          </w:p>
        </w:tc>
        <w:tc>
          <w:tcPr>
            <w:tcW w:w="0" w:type="auto"/>
            <w:shd w:val="clear" w:color="auto" w:fill="CCEEFF"/>
            <w:tcMar>
              <w:top w:w="30" w:type="dxa"/>
              <w:left w:w="0" w:type="dxa"/>
              <w:bottom w:w="30" w:type="dxa"/>
              <w:right w:w="20" w:type="dxa"/>
            </w:tcMar>
            <w:vAlign w:val="bottom"/>
            <w:hideMark/>
          </w:tcPr>
          <w:p w14:paraId="4FF1533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1375D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9CD722" w14:textId="77777777" w:rsidR="00000000" w:rsidRDefault="00A173A8">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14:paraId="24F5E9F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DDF4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0AACBC" w14:textId="77777777" w:rsidR="00000000" w:rsidRDefault="00A173A8">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14:paraId="669186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8634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655157" w14:textId="77777777" w:rsidR="00000000" w:rsidRDefault="00A173A8">
            <w:pPr>
              <w:spacing w:after="100"/>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bottom"/>
            <w:hideMark/>
          </w:tcPr>
          <w:p w14:paraId="20EE5970" w14:textId="77777777" w:rsidR="00000000" w:rsidRDefault="00A173A8">
            <w:pPr>
              <w:spacing w:after="100"/>
              <w:jc w:val="right"/>
              <w:rPr>
                <w:rFonts w:eastAsia="Times New Roman"/>
              </w:rPr>
            </w:pPr>
            <w:r>
              <w:rPr>
                <w:rFonts w:eastAsia="Times New Roman"/>
                <w:color w:val="000000"/>
                <w:sz w:val="18"/>
                <w:szCs w:val="18"/>
              </w:rPr>
              <w:t>8 </w:t>
            </w:r>
          </w:p>
        </w:tc>
      </w:tr>
    </w:tbl>
    <w:p w14:paraId="12658344" w14:textId="77777777" w:rsidR="00000000" w:rsidRDefault="00A173A8">
      <w:pPr>
        <w:jc w:val="both"/>
        <w:divId w:val="1854101266"/>
        <w:rPr>
          <w:rFonts w:eastAsia="Times New Roman"/>
        </w:rPr>
      </w:pPr>
      <w:r>
        <w:rPr>
          <w:rFonts w:eastAsia="Times New Roman"/>
          <w:color w:val="000000"/>
          <w:sz w:val="20"/>
          <w:szCs w:val="20"/>
        </w:rPr>
        <w:t>_________</w:t>
      </w:r>
    </w:p>
    <w:p w14:paraId="5B69763B" w14:textId="77777777" w:rsidR="00000000" w:rsidRDefault="00A173A8">
      <w:pPr>
        <w:ind w:hanging="360"/>
        <w:jc w:val="both"/>
        <w:divId w:val="194769508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Realized gains (losses) on securities available for sale are included in net securities gains (losses) and retained interests in</w:t>
      </w:r>
      <w:r>
        <w:rPr>
          <w:rFonts w:eastAsia="Times New Roman"/>
          <w:color w:val="000000"/>
          <w:sz w:val="16"/>
          <w:szCs w:val="16"/>
        </w:rPr>
        <w:t xml:space="preserve"> securitizations are reported as a component of non-interest income in our consolidated statements of income. Gains (losses) on derivatives are included as a component of net interest income or non-interest income in our consolidated statements of income.</w:t>
      </w:r>
    </w:p>
    <w:p w14:paraId="77E9ADEA" w14:textId="77777777" w:rsidR="00000000" w:rsidRDefault="00A173A8">
      <w:pPr>
        <w:ind w:hanging="360"/>
        <w:jc w:val="both"/>
        <w:divId w:val="147830206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For the three and six months ended June 30, 2022 included in OCI related to Level 3 securities available for sale still held as of June 30, 2022 were net unrealized losses of $11 million and $20 million . For the three and six months ended June 30, 2021</w:t>
      </w:r>
      <w:r>
        <w:rPr>
          <w:rFonts w:eastAsia="Times New Roman"/>
          <w:color w:val="000000"/>
          <w:sz w:val="16"/>
          <w:szCs w:val="16"/>
        </w:rPr>
        <w:t>, included in OCI related to Level 3 securities available for sale still held as of June 30, 2021 were net unrealized losses of $1 million and net unrealized gains of $2 million, respectively.</w:t>
      </w:r>
    </w:p>
    <w:p w14:paraId="5AC1ED35" w14:textId="77777777" w:rsidR="00000000" w:rsidRDefault="00A173A8">
      <w:pPr>
        <w:ind w:hanging="360"/>
        <w:jc w:val="both"/>
        <w:divId w:val="1226387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Includes derivative assets and liabilities of $131 million a</w:t>
      </w:r>
      <w:r>
        <w:rPr>
          <w:rFonts w:eastAsia="Times New Roman"/>
          <w:color w:val="000000"/>
          <w:sz w:val="16"/>
          <w:szCs w:val="16"/>
        </w:rPr>
        <w:t>nd $143 million, respectively, as of June 30, 2022 and $129 million and $110 million, respectively, as of June 30, 2021.</w:t>
      </w:r>
    </w:p>
    <w:p w14:paraId="5CB5E631" w14:textId="77777777" w:rsidR="00000000" w:rsidRDefault="00A173A8">
      <w:pPr>
        <w:jc w:val="both"/>
        <w:divId w:val="1560744182"/>
        <w:rPr>
          <w:rFonts w:eastAsia="Times New Roman"/>
        </w:rPr>
      </w:pPr>
      <w:r>
        <w:rPr>
          <w:rFonts w:eastAsia="Times New Roman"/>
          <w:b/>
          <w:bCs/>
          <w:color w:val="000000"/>
          <w:sz w:val="20"/>
          <w:szCs w:val="20"/>
        </w:rPr>
        <w:t>Significant Level 3 Fair Value Asset and Liability Inputs</w:t>
      </w:r>
    </w:p>
    <w:p w14:paraId="494CBAC5" w14:textId="77777777" w:rsidR="00000000" w:rsidRDefault="00A173A8">
      <w:pPr>
        <w:jc w:val="both"/>
        <w:divId w:val="834691459"/>
        <w:rPr>
          <w:rFonts w:eastAsia="Times New Roman"/>
        </w:rPr>
      </w:pPr>
      <w:r>
        <w:rPr>
          <w:rFonts w:eastAsia="Times New Roman"/>
          <w:color w:val="000000"/>
          <w:sz w:val="20"/>
          <w:szCs w:val="20"/>
        </w:rPr>
        <w:t>Generally, uncertainties in fair value measurements of financial instruments,</w:t>
      </w:r>
      <w:r>
        <w:rPr>
          <w:rFonts w:eastAsia="Times New Roman"/>
          <w:color w:val="000000"/>
          <w:sz w:val="20"/>
          <w:szCs w:val="20"/>
        </w:rPr>
        <w:t xml:space="preserve"> such as changes in unobservable inputs, may have a significant impact on fair value. Certain of these unobservable inputs will, in isolation, have a directionally consistent impact on the fair value of the instrument for a given change in that input. Alte</w:t>
      </w:r>
      <w:r>
        <w:rPr>
          <w:rFonts w:eastAsia="Times New Roman"/>
          <w:color w:val="000000"/>
          <w:sz w:val="20"/>
          <w:szCs w:val="20"/>
        </w:rPr>
        <w:t>rnatively, the fair value of the instrument may move in an opposite direction for a given change in another input. In general, an increase in the discount rate, default rates, loss severity or credit spreads, in isolation, would result in a decrease in the</w:t>
      </w:r>
      <w:r>
        <w:rPr>
          <w:rFonts w:eastAsia="Times New Roman"/>
          <w:color w:val="000000"/>
          <w:sz w:val="20"/>
          <w:szCs w:val="20"/>
        </w:rPr>
        <w:t xml:space="preserve"> fair value measurement. In addition, an increase in default rates would generally be accompanied by a decrease in recovery rates, slower prepayment rates and an increase in </w:t>
      </w:r>
      <w:r>
        <w:rPr>
          <w:rFonts w:eastAsia="Times New Roman"/>
          <w:color w:val="000000"/>
          <w:sz w:val="20"/>
          <w:szCs w:val="20"/>
          <w:shd w:val="clear" w:color="auto" w:fill="FFFFFF"/>
        </w:rPr>
        <w:t>liquidity spreads, and would lead to a decrease in the fair value measurement.</w:t>
      </w:r>
    </w:p>
    <w:p w14:paraId="1FA5F0A9" w14:textId="77777777" w:rsidR="00000000" w:rsidRDefault="00A173A8">
      <w:pPr>
        <w:jc w:val="both"/>
        <w:divId w:val="126360344"/>
        <w:rPr>
          <w:rFonts w:eastAsia="Times New Roman"/>
        </w:rPr>
      </w:pPr>
      <w:r>
        <w:rPr>
          <w:rFonts w:eastAsia="Times New Roman"/>
          <w:b/>
          <w:bCs/>
          <w:color w:val="000000"/>
          <w:sz w:val="20"/>
          <w:szCs w:val="20"/>
          <w:shd w:val="clear" w:color="auto" w:fill="FFFFFF"/>
        </w:rPr>
        <w:t>Tec</w:t>
      </w:r>
      <w:r>
        <w:rPr>
          <w:rFonts w:eastAsia="Times New Roman"/>
          <w:b/>
          <w:bCs/>
          <w:color w:val="000000"/>
          <w:sz w:val="20"/>
          <w:szCs w:val="20"/>
          <w:shd w:val="clear" w:color="auto" w:fill="FFFFFF"/>
        </w:rPr>
        <w:t>hniques and Inputs for Level 3 Fair Value Measureme</w:t>
      </w:r>
      <w:r>
        <w:rPr>
          <w:rFonts w:eastAsia="Times New Roman"/>
          <w:b/>
          <w:bCs/>
          <w:color w:val="000000"/>
          <w:sz w:val="20"/>
          <w:szCs w:val="20"/>
        </w:rPr>
        <w:t>nts</w:t>
      </w:r>
    </w:p>
    <w:p w14:paraId="3C0E35BF" w14:textId="77777777" w:rsidR="00000000" w:rsidRDefault="00A173A8">
      <w:pPr>
        <w:jc w:val="both"/>
        <w:divId w:val="24016805"/>
        <w:rPr>
          <w:rFonts w:eastAsia="Times New Roman"/>
        </w:rPr>
      </w:pPr>
      <w:r>
        <w:rPr>
          <w:rFonts w:eastAsia="Times New Roman"/>
          <w:color w:val="000000"/>
          <w:sz w:val="20"/>
          <w:szCs w:val="20"/>
        </w:rPr>
        <w:t>The following table presents the significant unobservable inputs used to determine the fair values of our Level 3 financial instruments on a recurring basis. We utilize multiple vendor pricing services to obtain fair value for our securities. Several of ou</w:t>
      </w:r>
      <w:r>
        <w:rPr>
          <w:rFonts w:eastAsia="Times New Roman"/>
          <w:color w:val="000000"/>
          <w:sz w:val="20"/>
          <w:szCs w:val="20"/>
        </w:rPr>
        <w:t>r vendor pricing services are only able to provide unobservable input information for a limited number of securities due to software licensing restrictions. Other vendor pricing services are able to provide unobservable input information for all securities</w:t>
      </w:r>
      <w:r>
        <w:rPr>
          <w:rFonts w:eastAsia="Times New Roman"/>
          <w:color w:val="000000"/>
          <w:sz w:val="20"/>
          <w:szCs w:val="20"/>
        </w:rPr>
        <w:t xml:space="preserve"> for which they provide a valuation. As a result, the unobservable input information for the securities available for sale presented below represents a composite summary of all information we are able to obtain. The unobservable input information for all o</w:t>
      </w:r>
      <w:r>
        <w:rPr>
          <w:rFonts w:eastAsia="Times New Roman"/>
          <w:color w:val="000000"/>
          <w:sz w:val="20"/>
          <w:szCs w:val="20"/>
        </w:rPr>
        <w:t>ther Level 3 financial instruments is based on the assumptions used in our internal valuation models.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DF34236" w14:textId="77777777">
        <w:trPr>
          <w:divId w:val="1220551068"/>
          <w:jc w:val="center"/>
        </w:trPr>
        <w:tc>
          <w:tcPr>
            <w:tcW w:w="50" w:type="pct"/>
            <w:vAlign w:val="center"/>
            <w:hideMark/>
          </w:tcPr>
          <w:p w14:paraId="0830BCA1" w14:textId="77777777" w:rsidR="00000000" w:rsidRDefault="00A173A8">
            <w:pPr>
              <w:jc w:val="both"/>
              <w:rPr>
                <w:rFonts w:eastAsia="Times New Roman"/>
              </w:rPr>
            </w:pPr>
          </w:p>
        </w:tc>
        <w:tc>
          <w:tcPr>
            <w:tcW w:w="1606" w:type="pct"/>
            <w:vAlign w:val="center"/>
            <w:hideMark/>
          </w:tcPr>
          <w:p w14:paraId="50C1109A" w14:textId="77777777" w:rsidR="00000000" w:rsidRDefault="00A173A8">
            <w:pPr>
              <w:spacing w:after="100"/>
              <w:rPr>
                <w:rFonts w:eastAsia="Times New Roman"/>
                <w:sz w:val="20"/>
                <w:szCs w:val="20"/>
              </w:rPr>
            </w:pPr>
          </w:p>
        </w:tc>
        <w:tc>
          <w:tcPr>
            <w:tcW w:w="5" w:type="pct"/>
            <w:vAlign w:val="center"/>
            <w:hideMark/>
          </w:tcPr>
          <w:p w14:paraId="19A6D2EB" w14:textId="77777777" w:rsidR="00000000" w:rsidRDefault="00A173A8">
            <w:pPr>
              <w:spacing w:after="100"/>
              <w:rPr>
                <w:rFonts w:eastAsia="Times New Roman"/>
                <w:sz w:val="20"/>
                <w:szCs w:val="20"/>
              </w:rPr>
            </w:pPr>
          </w:p>
        </w:tc>
        <w:tc>
          <w:tcPr>
            <w:tcW w:w="50" w:type="pct"/>
            <w:vAlign w:val="center"/>
            <w:hideMark/>
          </w:tcPr>
          <w:p w14:paraId="2FF63539" w14:textId="77777777" w:rsidR="00000000" w:rsidRDefault="00A173A8">
            <w:pPr>
              <w:spacing w:after="100"/>
              <w:rPr>
                <w:rFonts w:eastAsia="Times New Roman"/>
                <w:sz w:val="20"/>
                <w:szCs w:val="20"/>
              </w:rPr>
            </w:pPr>
          </w:p>
        </w:tc>
        <w:tc>
          <w:tcPr>
            <w:tcW w:w="1614" w:type="pct"/>
            <w:vAlign w:val="center"/>
            <w:hideMark/>
          </w:tcPr>
          <w:p w14:paraId="136499DC" w14:textId="77777777" w:rsidR="00000000" w:rsidRDefault="00A173A8">
            <w:pPr>
              <w:spacing w:after="100"/>
              <w:rPr>
                <w:rFonts w:eastAsia="Times New Roman"/>
                <w:sz w:val="20"/>
                <w:szCs w:val="20"/>
              </w:rPr>
            </w:pPr>
          </w:p>
        </w:tc>
        <w:tc>
          <w:tcPr>
            <w:tcW w:w="5" w:type="pct"/>
            <w:vAlign w:val="center"/>
            <w:hideMark/>
          </w:tcPr>
          <w:p w14:paraId="156F51B5" w14:textId="77777777" w:rsidR="00000000" w:rsidRDefault="00A173A8">
            <w:pPr>
              <w:spacing w:after="100"/>
              <w:rPr>
                <w:rFonts w:eastAsia="Times New Roman"/>
                <w:sz w:val="20"/>
                <w:szCs w:val="20"/>
              </w:rPr>
            </w:pPr>
          </w:p>
        </w:tc>
        <w:tc>
          <w:tcPr>
            <w:tcW w:w="50" w:type="pct"/>
            <w:vAlign w:val="center"/>
            <w:hideMark/>
          </w:tcPr>
          <w:p w14:paraId="6A9E5CDA" w14:textId="77777777" w:rsidR="00000000" w:rsidRDefault="00A173A8">
            <w:pPr>
              <w:spacing w:after="100"/>
              <w:rPr>
                <w:rFonts w:eastAsia="Times New Roman"/>
                <w:sz w:val="20"/>
                <w:szCs w:val="20"/>
              </w:rPr>
            </w:pPr>
          </w:p>
        </w:tc>
        <w:tc>
          <w:tcPr>
            <w:tcW w:w="1614" w:type="pct"/>
            <w:vAlign w:val="center"/>
            <w:hideMark/>
          </w:tcPr>
          <w:p w14:paraId="585CF7B4" w14:textId="77777777" w:rsidR="00000000" w:rsidRDefault="00A173A8">
            <w:pPr>
              <w:spacing w:after="100"/>
              <w:rPr>
                <w:rFonts w:eastAsia="Times New Roman"/>
                <w:sz w:val="20"/>
                <w:szCs w:val="20"/>
              </w:rPr>
            </w:pPr>
          </w:p>
        </w:tc>
        <w:tc>
          <w:tcPr>
            <w:tcW w:w="5" w:type="pct"/>
            <w:vAlign w:val="center"/>
            <w:hideMark/>
          </w:tcPr>
          <w:p w14:paraId="01978C6F" w14:textId="77777777" w:rsidR="00000000" w:rsidRDefault="00A173A8">
            <w:pPr>
              <w:spacing w:after="100"/>
              <w:rPr>
                <w:rFonts w:eastAsia="Times New Roman"/>
                <w:sz w:val="20"/>
                <w:szCs w:val="20"/>
              </w:rPr>
            </w:pPr>
          </w:p>
        </w:tc>
      </w:tr>
      <w:tr w:rsidR="00000000" w14:paraId="74BAA162" w14:textId="77777777">
        <w:trPr>
          <w:divId w:val="1220551068"/>
          <w:trHeight w:val="300"/>
          <w:jc w:val="center"/>
        </w:trPr>
        <w:tc>
          <w:tcPr>
            <w:tcW w:w="0" w:type="auto"/>
            <w:gridSpan w:val="9"/>
            <w:tcMar>
              <w:top w:w="0" w:type="dxa"/>
              <w:left w:w="20" w:type="dxa"/>
              <w:bottom w:w="0" w:type="dxa"/>
              <w:right w:w="20" w:type="dxa"/>
            </w:tcMar>
            <w:vAlign w:val="center"/>
            <w:hideMark/>
          </w:tcPr>
          <w:p w14:paraId="683FDAD2" w14:textId="77777777" w:rsidR="00000000" w:rsidRDefault="00A173A8">
            <w:pPr>
              <w:spacing w:after="100"/>
              <w:rPr>
                <w:rFonts w:eastAsia="Times New Roman"/>
                <w:sz w:val="20"/>
                <w:szCs w:val="20"/>
              </w:rPr>
            </w:pPr>
          </w:p>
        </w:tc>
      </w:tr>
      <w:tr w:rsidR="00000000" w14:paraId="5BA2A5E9" w14:textId="77777777">
        <w:trPr>
          <w:divId w:val="1220551068"/>
          <w:jc w:val="center"/>
        </w:trPr>
        <w:tc>
          <w:tcPr>
            <w:tcW w:w="0" w:type="auto"/>
            <w:gridSpan w:val="3"/>
            <w:tcMar>
              <w:top w:w="0" w:type="dxa"/>
              <w:left w:w="20" w:type="dxa"/>
              <w:bottom w:w="0" w:type="dxa"/>
              <w:right w:w="20" w:type="dxa"/>
            </w:tcMar>
            <w:vAlign w:val="center"/>
            <w:hideMark/>
          </w:tcPr>
          <w:p w14:paraId="36CE351F"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FD8BE4E" w14:textId="77777777" w:rsidR="00000000" w:rsidRDefault="00A173A8">
            <w:pPr>
              <w:spacing w:after="100"/>
              <w:jc w:val="center"/>
              <w:rPr>
                <w:rFonts w:eastAsia="Times New Roman"/>
              </w:rPr>
            </w:pPr>
            <w:r>
              <w:rPr>
                <w:rFonts w:eastAsia="Times New Roman"/>
                <w:color w:val="000000"/>
                <w:sz w:val="16"/>
                <w:szCs w:val="16"/>
              </w:rPr>
              <w:t>109</w:t>
            </w:r>
          </w:p>
        </w:tc>
        <w:tc>
          <w:tcPr>
            <w:tcW w:w="0" w:type="auto"/>
            <w:gridSpan w:val="3"/>
            <w:tcMar>
              <w:top w:w="30" w:type="dxa"/>
              <w:left w:w="20" w:type="dxa"/>
              <w:bottom w:w="30" w:type="dxa"/>
              <w:right w:w="20" w:type="dxa"/>
            </w:tcMar>
            <w:vAlign w:val="bottom"/>
            <w:hideMark/>
          </w:tcPr>
          <w:p w14:paraId="59097A38"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9C3C73F" w14:textId="77777777" w:rsidR="00000000" w:rsidRDefault="00A173A8">
      <w:pPr>
        <w:rPr>
          <w:rFonts w:eastAsia="Times New Roman"/>
        </w:rPr>
      </w:pPr>
      <w:r>
        <w:rPr>
          <w:rFonts w:eastAsia="Times New Roman"/>
        </w:rPr>
        <w:pict w14:anchorId="75E07CAB">
          <v:rect id="_x0000_i1134" style="width:0;height:1.5pt" o:hralign="center" o:hrstd="t" o:hr="t" fillcolor="#a0a0a0" stroked="f"/>
        </w:pict>
      </w:r>
    </w:p>
    <w:p w14:paraId="36BF6912" w14:textId="77777777" w:rsidR="00000000" w:rsidRDefault="00A173A8">
      <w:pPr>
        <w:jc w:val="both"/>
        <w:divId w:val="1588883259"/>
        <w:rPr>
          <w:rFonts w:eastAsia="Times New Roman"/>
        </w:rPr>
      </w:pPr>
      <w:hyperlink w:anchor="i7ffd5d61af6f4722b1b1b07530d51c06_13" w:history="1">
        <w:r>
          <w:rPr>
            <w:rStyle w:val="a3"/>
            <w:rFonts w:eastAsia="Times New Roman"/>
            <w:sz w:val="16"/>
            <w:szCs w:val="16"/>
          </w:rPr>
          <w:t>Table of Contents</w:t>
        </w:r>
      </w:hyperlink>
    </w:p>
    <w:p w14:paraId="682E9F51" w14:textId="77777777" w:rsidR="00000000" w:rsidRDefault="00A173A8">
      <w:pPr>
        <w:divId w:val="1094593517"/>
        <w:rPr>
          <w:rFonts w:eastAsia="Times New Roman"/>
        </w:rPr>
      </w:pPr>
      <w:r>
        <w:rPr>
          <w:rFonts w:eastAsia="Times New Roman"/>
          <w:b/>
          <w:bCs/>
          <w:color w:val="000000"/>
          <w:sz w:val="18"/>
          <w:szCs w:val="18"/>
        </w:rPr>
        <w:t>Table 11.3: Quantitative Information about Level 3 Fair Value Measurements</w:t>
      </w:r>
    </w:p>
    <w:tbl>
      <w:tblPr>
        <w:tblW w:w="4992" w:type="pct"/>
        <w:tblCellMar>
          <w:top w:w="15" w:type="dxa"/>
          <w:left w:w="15" w:type="dxa"/>
          <w:bottom w:w="15" w:type="dxa"/>
          <w:right w:w="15" w:type="dxa"/>
        </w:tblCellMar>
        <w:tblLook w:val="04A0" w:firstRow="1" w:lastRow="0" w:firstColumn="1" w:lastColumn="0" w:noHBand="0" w:noVBand="1"/>
      </w:tblPr>
      <w:tblGrid>
        <w:gridCol w:w="53"/>
        <w:gridCol w:w="1742"/>
        <w:gridCol w:w="38"/>
        <w:gridCol w:w="36"/>
        <w:gridCol w:w="36"/>
        <w:gridCol w:w="36"/>
        <w:gridCol w:w="110"/>
        <w:gridCol w:w="714"/>
        <w:gridCol w:w="36"/>
        <w:gridCol w:w="36"/>
        <w:gridCol w:w="36"/>
        <w:gridCol w:w="36"/>
        <w:gridCol w:w="70"/>
        <w:gridCol w:w="1215"/>
        <w:gridCol w:w="36"/>
        <w:gridCol w:w="36"/>
        <w:gridCol w:w="36"/>
        <w:gridCol w:w="36"/>
        <w:gridCol w:w="92"/>
        <w:gridCol w:w="1984"/>
        <w:gridCol w:w="36"/>
        <w:gridCol w:w="36"/>
        <w:gridCol w:w="36"/>
        <w:gridCol w:w="36"/>
        <w:gridCol w:w="37"/>
        <w:gridCol w:w="800"/>
        <w:gridCol w:w="36"/>
        <w:gridCol w:w="36"/>
        <w:gridCol w:w="36"/>
        <w:gridCol w:w="36"/>
        <w:gridCol w:w="85"/>
        <w:gridCol w:w="633"/>
        <w:gridCol w:w="36"/>
      </w:tblGrid>
      <w:tr w:rsidR="00000000" w14:paraId="4655F816" w14:textId="77777777">
        <w:trPr>
          <w:divId w:val="921334039"/>
        </w:trPr>
        <w:tc>
          <w:tcPr>
            <w:tcW w:w="50" w:type="pct"/>
            <w:vAlign w:val="center"/>
            <w:hideMark/>
          </w:tcPr>
          <w:p w14:paraId="5FA2E713" w14:textId="77777777" w:rsidR="00000000" w:rsidRDefault="00A173A8">
            <w:pPr>
              <w:rPr>
                <w:rFonts w:eastAsia="Times New Roman"/>
              </w:rPr>
            </w:pPr>
          </w:p>
        </w:tc>
        <w:tc>
          <w:tcPr>
            <w:tcW w:w="1108" w:type="pct"/>
            <w:vAlign w:val="center"/>
            <w:hideMark/>
          </w:tcPr>
          <w:p w14:paraId="0787BF63" w14:textId="77777777" w:rsidR="00000000" w:rsidRDefault="00A173A8">
            <w:pPr>
              <w:spacing w:after="100"/>
              <w:rPr>
                <w:rFonts w:eastAsia="Times New Roman"/>
                <w:sz w:val="20"/>
                <w:szCs w:val="20"/>
              </w:rPr>
            </w:pPr>
          </w:p>
        </w:tc>
        <w:tc>
          <w:tcPr>
            <w:tcW w:w="5" w:type="pct"/>
            <w:vAlign w:val="center"/>
            <w:hideMark/>
          </w:tcPr>
          <w:p w14:paraId="7DC5F9A0" w14:textId="77777777" w:rsidR="00000000" w:rsidRDefault="00A173A8">
            <w:pPr>
              <w:spacing w:after="100"/>
              <w:rPr>
                <w:rFonts w:eastAsia="Times New Roman"/>
                <w:sz w:val="20"/>
                <w:szCs w:val="20"/>
              </w:rPr>
            </w:pPr>
          </w:p>
        </w:tc>
        <w:tc>
          <w:tcPr>
            <w:tcW w:w="5" w:type="pct"/>
            <w:vAlign w:val="center"/>
            <w:hideMark/>
          </w:tcPr>
          <w:p w14:paraId="2F0665F6" w14:textId="77777777" w:rsidR="00000000" w:rsidRDefault="00A173A8">
            <w:pPr>
              <w:spacing w:after="100"/>
              <w:rPr>
                <w:rFonts w:eastAsia="Times New Roman"/>
                <w:sz w:val="20"/>
                <w:szCs w:val="20"/>
              </w:rPr>
            </w:pPr>
          </w:p>
        </w:tc>
        <w:tc>
          <w:tcPr>
            <w:tcW w:w="26" w:type="pct"/>
            <w:vAlign w:val="center"/>
            <w:hideMark/>
          </w:tcPr>
          <w:p w14:paraId="23826B81" w14:textId="77777777" w:rsidR="00000000" w:rsidRDefault="00A173A8">
            <w:pPr>
              <w:spacing w:after="100"/>
              <w:rPr>
                <w:rFonts w:eastAsia="Times New Roman"/>
                <w:sz w:val="20"/>
                <w:szCs w:val="20"/>
              </w:rPr>
            </w:pPr>
          </w:p>
        </w:tc>
        <w:tc>
          <w:tcPr>
            <w:tcW w:w="5" w:type="pct"/>
            <w:vAlign w:val="center"/>
            <w:hideMark/>
          </w:tcPr>
          <w:p w14:paraId="5D63053C" w14:textId="77777777" w:rsidR="00000000" w:rsidRDefault="00A173A8">
            <w:pPr>
              <w:spacing w:after="100"/>
              <w:rPr>
                <w:rFonts w:eastAsia="Times New Roman"/>
                <w:sz w:val="20"/>
                <w:szCs w:val="20"/>
              </w:rPr>
            </w:pPr>
          </w:p>
        </w:tc>
        <w:tc>
          <w:tcPr>
            <w:tcW w:w="50" w:type="pct"/>
            <w:vAlign w:val="center"/>
            <w:hideMark/>
          </w:tcPr>
          <w:p w14:paraId="3ACCB2AD" w14:textId="77777777" w:rsidR="00000000" w:rsidRDefault="00A173A8">
            <w:pPr>
              <w:spacing w:after="100"/>
              <w:rPr>
                <w:rFonts w:eastAsia="Times New Roman"/>
                <w:sz w:val="20"/>
                <w:szCs w:val="20"/>
              </w:rPr>
            </w:pPr>
          </w:p>
        </w:tc>
        <w:tc>
          <w:tcPr>
            <w:tcW w:w="501" w:type="pct"/>
            <w:vAlign w:val="center"/>
            <w:hideMark/>
          </w:tcPr>
          <w:p w14:paraId="59EF758E" w14:textId="77777777" w:rsidR="00000000" w:rsidRDefault="00A173A8">
            <w:pPr>
              <w:spacing w:after="100"/>
              <w:rPr>
                <w:rFonts w:eastAsia="Times New Roman"/>
                <w:sz w:val="20"/>
                <w:szCs w:val="20"/>
              </w:rPr>
            </w:pPr>
          </w:p>
        </w:tc>
        <w:tc>
          <w:tcPr>
            <w:tcW w:w="5" w:type="pct"/>
            <w:vAlign w:val="center"/>
            <w:hideMark/>
          </w:tcPr>
          <w:p w14:paraId="527DB934" w14:textId="77777777" w:rsidR="00000000" w:rsidRDefault="00A173A8">
            <w:pPr>
              <w:spacing w:after="100"/>
              <w:rPr>
                <w:rFonts w:eastAsia="Times New Roman"/>
                <w:sz w:val="20"/>
                <w:szCs w:val="20"/>
              </w:rPr>
            </w:pPr>
          </w:p>
        </w:tc>
        <w:tc>
          <w:tcPr>
            <w:tcW w:w="5" w:type="pct"/>
            <w:vAlign w:val="center"/>
            <w:hideMark/>
          </w:tcPr>
          <w:p w14:paraId="3C36D9F4" w14:textId="77777777" w:rsidR="00000000" w:rsidRDefault="00A173A8">
            <w:pPr>
              <w:spacing w:after="100"/>
              <w:rPr>
                <w:rFonts w:eastAsia="Times New Roman"/>
                <w:sz w:val="20"/>
                <w:szCs w:val="20"/>
              </w:rPr>
            </w:pPr>
          </w:p>
        </w:tc>
        <w:tc>
          <w:tcPr>
            <w:tcW w:w="26" w:type="pct"/>
            <w:vAlign w:val="center"/>
            <w:hideMark/>
          </w:tcPr>
          <w:p w14:paraId="1F544C38" w14:textId="77777777" w:rsidR="00000000" w:rsidRDefault="00A173A8">
            <w:pPr>
              <w:spacing w:after="100"/>
              <w:rPr>
                <w:rFonts w:eastAsia="Times New Roman"/>
                <w:sz w:val="20"/>
                <w:szCs w:val="20"/>
              </w:rPr>
            </w:pPr>
          </w:p>
        </w:tc>
        <w:tc>
          <w:tcPr>
            <w:tcW w:w="5" w:type="pct"/>
            <w:vAlign w:val="center"/>
            <w:hideMark/>
          </w:tcPr>
          <w:p w14:paraId="7FFCCD5E" w14:textId="77777777" w:rsidR="00000000" w:rsidRDefault="00A173A8">
            <w:pPr>
              <w:spacing w:after="100"/>
              <w:rPr>
                <w:rFonts w:eastAsia="Times New Roman"/>
                <w:sz w:val="20"/>
                <w:szCs w:val="20"/>
              </w:rPr>
            </w:pPr>
          </w:p>
        </w:tc>
        <w:tc>
          <w:tcPr>
            <w:tcW w:w="50" w:type="pct"/>
            <w:vAlign w:val="center"/>
            <w:hideMark/>
          </w:tcPr>
          <w:p w14:paraId="205F84DD" w14:textId="77777777" w:rsidR="00000000" w:rsidRDefault="00A173A8">
            <w:pPr>
              <w:spacing w:after="100"/>
              <w:rPr>
                <w:rFonts w:eastAsia="Times New Roman"/>
                <w:sz w:val="20"/>
                <w:szCs w:val="20"/>
              </w:rPr>
            </w:pPr>
          </w:p>
        </w:tc>
        <w:tc>
          <w:tcPr>
            <w:tcW w:w="830" w:type="pct"/>
            <w:vAlign w:val="center"/>
            <w:hideMark/>
          </w:tcPr>
          <w:p w14:paraId="0B78D38D" w14:textId="77777777" w:rsidR="00000000" w:rsidRDefault="00A173A8">
            <w:pPr>
              <w:spacing w:after="100"/>
              <w:rPr>
                <w:rFonts w:eastAsia="Times New Roman"/>
                <w:sz w:val="20"/>
                <w:szCs w:val="20"/>
              </w:rPr>
            </w:pPr>
          </w:p>
        </w:tc>
        <w:tc>
          <w:tcPr>
            <w:tcW w:w="5" w:type="pct"/>
            <w:vAlign w:val="center"/>
            <w:hideMark/>
          </w:tcPr>
          <w:p w14:paraId="355883B7" w14:textId="77777777" w:rsidR="00000000" w:rsidRDefault="00A173A8">
            <w:pPr>
              <w:spacing w:after="100"/>
              <w:rPr>
                <w:rFonts w:eastAsia="Times New Roman"/>
                <w:sz w:val="20"/>
                <w:szCs w:val="20"/>
              </w:rPr>
            </w:pPr>
          </w:p>
        </w:tc>
        <w:tc>
          <w:tcPr>
            <w:tcW w:w="5" w:type="pct"/>
            <w:vAlign w:val="center"/>
            <w:hideMark/>
          </w:tcPr>
          <w:p w14:paraId="1FC1E5DD" w14:textId="77777777" w:rsidR="00000000" w:rsidRDefault="00A173A8">
            <w:pPr>
              <w:spacing w:after="100"/>
              <w:rPr>
                <w:rFonts w:eastAsia="Times New Roman"/>
                <w:sz w:val="20"/>
                <w:szCs w:val="20"/>
              </w:rPr>
            </w:pPr>
          </w:p>
        </w:tc>
        <w:tc>
          <w:tcPr>
            <w:tcW w:w="26" w:type="pct"/>
            <w:vAlign w:val="center"/>
            <w:hideMark/>
          </w:tcPr>
          <w:p w14:paraId="6C9C15B7" w14:textId="77777777" w:rsidR="00000000" w:rsidRDefault="00A173A8">
            <w:pPr>
              <w:spacing w:after="100"/>
              <w:rPr>
                <w:rFonts w:eastAsia="Times New Roman"/>
                <w:sz w:val="20"/>
                <w:szCs w:val="20"/>
              </w:rPr>
            </w:pPr>
          </w:p>
        </w:tc>
        <w:tc>
          <w:tcPr>
            <w:tcW w:w="5" w:type="pct"/>
            <w:vAlign w:val="center"/>
            <w:hideMark/>
          </w:tcPr>
          <w:p w14:paraId="3AFA03CB" w14:textId="77777777" w:rsidR="00000000" w:rsidRDefault="00A173A8">
            <w:pPr>
              <w:spacing w:after="100"/>
              <w:rPr>
                <w:rFonts w:eastAsia="Times New Roman"/>
                <w:sz w:val="20"/>
                <w:szCs w:val="20"/>
              </w:rPr>
            </w:pPr>
          </w:p>
        </w:tc>
        <w:tc>
          <w:tcPr>
            <w:tcW w:w="50" w:type="pct"/>
            <w:vAlign w:val="center"/>
            <w:hideMark/>
          </w:tcPr>
          <w:p w14:paraId="24705565" w14:textId="77777777" w:rsidR="00000000" w:rsidRDefault="00A173A8">
            <w:pPr>
              <w:spacing w:after="100"/>
              <w:rPr>
                <w:rFonts w:eastAsia="Times New Roman"/>
                <w:sz w:val="20"/>
                <w:szCs w:val="20"/>
              </w:rPr>
            </w:pPr>
          </w:p>
        </w:tc>
        <w:tc>
          <w:tcPr>
            <w:tcW w:w="1079" w:type="pct"/>
            <w:vAlign w:val="center"/>
            <w:hideMark/>
          </w:tcPr>
          <w:p w14:paraId="0488C495" w14:textId="77777777" w:rsidR="00000000" w:rsidRDefault="00A173A8">
            <w:pPr>
              <w:spacing w:after="100"/>
              <w:rPr>
                <w:rFonts w:eastAsia="Times New Roman"/>
                <w:sz w:val="20"/>
                <w:szCs w:val="20"/>
              </w:rPr>
            </w:pPr>
          </w:p>
        </w:tc>
        <w:tc>
          <w:tcPr>
            <w:tcW w:w="5" w:type="pct"/>
            <w:vAlign w:val="center"/>
            <w:hideMark/>
          </w:tcPr>
          <w:p w14:paraId="0DEA4726" w14:textId="77777777" w:rsidR="00000000" w:rsidRDefault="00A173A8">
            <w:pPr>
              <w:spacing w:after="100"/>
              <w:rPr>
                <w:rFonts w:eastAsia="Times New Roman"/>
                <w:sz w:val="20"/>
                <w:szCs w:val="20"/>
              </w:rPr>
            </w:pPr>
          </w:p>
        </w:tc>
        <w:tc>
          <w:tcPr>
            <w:tcW w:w="5" w:type="pct"/>
            <w:vAlign w:val="center"/>
            <w:hideMark/>
          </w:tcPr>
          <w:p w14:paraId="6FB82710" w14:textId="77777777" w:rsidR="00000000" w:rsidRDefault="00A173A8">
            <w:pPr>
              <w:spacing w:after="100"/>
              <w:rPr>
                <w:rFonts w:eastAsia="Times New Roman"/>
                <w:sz w:val="20"/>
                <w:szCs w:val="20"/>
              </w:rPr>
            </w:pPr>
          </w:p>
        </w:tc>
        <w:tc>
          <w:tcPr>
            <w:tcW w:w="26" w:type="pct"/>
            <w:vAlign w:val="center"/>
            <w:hideMark/>
          </w:tcPr>
          <w:p w14:paraId="06BF7BBD" w14:textId="77777777" w:rsidR="00000000" w:rsidRDefault="00A173A8">
            <w:pPr>
              <w:spacing w:after="100"/>
              <w:rPr>
                <w:rFonts w:eastAsia="Times New Roman"/>
                <w:sz w:val="20"/>
                <w:szCs w:val="20"/>
              </w:rPr>
            </w:pPr>
          </w:p>
        </w:tc>
        <w:tc>
          <w:tcPr>
            <w:tcW w:w="5" w:type="pct"/>
            <w:vAlign w:val="center"/>
            <w:hideMark/>
          </w:tcPr>
          <w:p w14:paraId="7AFABCED" w14:textId="77777777" w:rsidR="00000000" w:rsidRDefault="00A173A8">
            <w:pPr>
              <w:spacing w:after="100"/>
              <w:rPr>
                <w:rFonts w:eastAsia="Times New Roman"/>
                <w:sz w:val="20"/>
                <w:szCs w:val="20"/>
              </w:rPr>
            </w:pPr>
          </w:p>
        </w:tc>
        <w:tc>
          <w:tcPr>
            <w:tcW w:w="50" w:type="pct"/>
            <w:vAlign w:val="center"/>
            <w:hideMark/>
          </w:tcPr>
          <w:p w14:paraId="002EC3F1" w14:textId="77777777" w:rsidR="00000000" w:rsidRDefault="00A173A8">
            <w:pPr>
              <w:spacing w:after="100"/>
              <w:rPr>
                <w:rFonts w:eastAsia="Times New Roman"/>
                <w:sz w:val="20"/>
                <w:szCs w:val="20"/>
              </w:rPr>
            </w:pPr>
          </w:p>
        </w:tc>
        <w:tc>
          <w:tcPr>
            <w:tcW w:w="589" w:type="pct"/>
            <w:vAlign w:val="center"/>
            <w:hideMark/>
          </w:tcPr>
          <w:p w14:paraId="1D1FA123" w14:textId="77777777" w:rsidR="00000000" w:rsidRDefault="00A173A8">
            <w:pPr>
              <w:spacing w:after="100"/>
              <w:rPr>
                <w:rFonts w:eastAsia="Times New Roman"/>
                <w:sz w:val="20"/>
                <w:szCs w:val="20"/>
              </w:rPr>
            </w:pPr>
          </w:p>
        </w:tc>
        <w:tc>
          <w:tcPr>
            <w:tcW w:w="5" w:type="pct"/>
            <w:vAlign w:val="center"/>
            <w:hideMark/>
          </w:tcPr>
          <w:p w14:paraId="6175721D" w14:textId="77777777" w:rsidR="00000000" w:rsidRDefault="00A173A8">
            <w:pPr>
              <w:spacing w:after="100"/>
              <w:rPr>
                <w:rFonts w:eastAsia="Times New Roman"/>
                <w:sz w:val="20"/>
                <w:szCs w:val="20"/>
              </w:rPr>
            </w:pPr>
          </w:p>
        </w:tc>
        <w:tc>
          <w:tcPr>
            <w:tcW w:w="5" w:type="pct"/>
            <w:vAlign w:val="center"/>
            <w:hideMark/>
          </w:tcPr>
          <w:p w14:paraId="71A7A5D0" w14:textId="77777777" w:rsidR="00000000" w:rsidRDefault="00A173A8">
            <w:pPr>
              <w:spacing w:after="100"/>
              <w:rPr>
                <w:rFonts w:eastAsia="Times New Roman"/>
                <w:sz w:val="20"/>
                <w:szCs w:val="20"/>
              </w:rPr>
            </w:pPr>
          </w:p>
        </w:tc>
        <w:tc>
          <w:tcPr>
            <w:tcW w:w="26" w:type="pct"/>
            <w:vAlign w:val="center"/>
            <w:hideMark/>
          </w:tcPr>
          <w:p w14:paraId="47911040" w14:textId="77777777" w:rsidR="00000000" w:rsidRDefault="00A173A8">
            <w:pPr>
              <w:spacing w:after="100"/>
              <w:rPr>
                <w:rFonts w:eastAsia="Times New Roman"/>
                <w:sz w:val="20"/>
                <w:szCs w:val="20"/>
              </w:rPr>
            </w:pPr>
          </w:p>
        </w:tc>
        <w:tc>
          <w:tcPr>
            <w:tcW w:w="5" w:type="pct"/>
            <w:vAlign w:val="center"/>
            <w:hideMark/>
          </w:tcPr>
          <w:p w14:paraId="23295279" w14:textId="77777777" w:rsidR="00000000" w:rsidRDefault="00A173A8">
            <w:pPr>
              <w:spacing w:after="100"/>
              <w:rPr>
                <w:rFonts w:eastAsia="Times New Roman"/>
                <w:sz w:val="20"/>
                <w:szCs w:val="20"/>
              </w:rPr>
            </w:pPr>
          </w:p>
        </w:tc>
        <w:tc>
          <w:tcPr>
            <w:tcW w:w="50" w:type="pct"/>
            <w:vAlign w:val="center"/>
            <w:hideMark/>
          </w:tcPr>
          <w:p w14:paraId="034DC307" w14:textId="77777777" w:rsidR="00000000" w:rsidRDefault="00A173A8">
            <w:pPr>
              <w:spacing w:after="100"/>
              <w:rPr>
                <w:rFonts w:eastAsia="Times New Roman"/>
                <w:sz w:val="20"/>
                <w:szCs w:val="20"/>
              </w:rPr>
            </w:pPr>
          </w:p>
        </w:tc>
        <w:tc>
          <w:tcPr>
            <w:tcW w:w="377" w:type="pct"/>
            <w:vAlign w:val="center"/>
            <w:hideMark/>
          </w:tcPr>
          <w:p w14:paraId="593F9991" w14:textId="77777777" w:rsidR="00000000" w:rsidRDefault="00A173A8">
            <w:pPr>
              <w:spacing w:after="100"/>
              <w:rPr>
                <w:rFonts w:eastAsia="Times New Roman"/>
                <w:sz w:val="20"/>
                <w:szCs w:val="20"/>
              </w:rPr>
            </w:pPr>
          </w:p>
        </w:tc>
        <w:tc>
          <w:tcPr>
            <w:tcW w:w="5" w:type="pct"/>
            <w:vAlign w:val="center"/>
            <w:hideMark/>
          </w:tcPr>
          <w:p w14:paraId="77F32817" w14:textId="77777777" w:rsidR="00000000" w:rsidRDefault="00A173A8">
            <w:pPr>
              <w:spacing w:after="100"/>
              <w:rPr>
                <w:rFonts w:eastAsia="Times New Roman"/>
                <w:sz w:val="20"/>
                <w:szCs w:val="20"/>
              </w:rPr>
            </w:pPr>
          </w:p>
        </w:tc>
      </w:tr>
      <w:tr w:rsidR="00000000" w14:paraId="5198036A" w14:textId="77777777">
        <w:trPr>
          <w:divId w:val="921334039"/>
        </w:trPr>
        <w:tc>
          <w:tcPr>
            <w:tcW w:w="0" w:type="auto"/>
            <w:gridSpan w:val="3"/>
            <w:tcMar>
              <w:top w:w="0" w:type="dxa"/>
              <w:left w:w="20" w:type="dxa"/>
              <w:bottom w:w="0" w:type="dxa"/>
              <w:right w:w="20" w:type="dxa"/>
            </w:tcMar>
            <w:vAlign w:val="center"/>
            <w:hideMark/>
          </w:tcPr>
          <w:p w14:paraId="6B1B360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F4F381"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92E55A3" w14:textId="77777777" w:rsidR="00000000" w:rsidRDefault="00A173A8">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14:paraId="24B25110" w14:textId="77777777">
        <w:trPr>
          <w:divId w:val="921334039"/>
        </w:trPr>
        <w:tc>
          <w:tcPr>
            <w:tcW w:w="0" w:type="auto"/>
            <w:gridSpan w:val="3"/>
            <w:tcBorders>
              <w:bottom w:val="single" w:sz="8" w:space="0" w:color="000000"/>
            </w:tcBorders>
            <w:tcMar>
              <w:top w:w="30" w:type="dxa"/>
              <w:left w:w="20" w:type="dxa"/>
              <w:bottom w:w="30" w:type="dxa"/>
              <w:right w:w="20" w:type="dxa"/>
            </w:tcMar>
            <w:vAlign w:val="bottom"/>
            <w:hideMark/>
          </w:tcPr>
          <w:p w14:paraId="4FC7D1FF"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FD01155"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35C0B9" w14:textId="77777777" w:rsidR="00000000" w:rsidRDefault="00A173A8">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June 30, </w:t>
            </w:r>
            <w:r>
              <w:rPr>
                <w:rFonts w:eastAsia="Times New Roman"/>
                <w:b/>
                <w:bCs/>
                <w:color w:val="000000"/>
                <w:sz w:val="16"/>
                <w:szCs w:val="16"/>
              </w:rPr>
              <w:b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2F40B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20D184B8" w14:textId="77777777" w:rsidR="00000000" w:rsidRDefault="00A173A8">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t>Techniques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DD4616"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63D67928" w14:textId="77777777" w:rsidR="00000000" w:rsidRDefault="00A173A8">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F2D217"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3F729F09" w14:textId="77777777" w:rsidR="00000000" w:rsidRDefault="00A173A8">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4BFE9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1D72333B" w14:textId="77777777" w:rsidR="00000000" w:rsidRDefault="00A173A8">
            <w:pPr>
              <w:spacing w:after="100"/>
              <w:jc w:val="center"/>
              <w:rPr>
                <w:rFonts w:eastAsia="Times New Roman"/>
              </w:rPr>
            </w:pPr>
            <w:r>
              <w:rPr>
                <w:rFonts w:eastAsia="Times New Roman"/>
                <w:b/>
                <w:bCs/>
                <w:color w:val="000000"/>
                <w:sz w:val="16"/>
                <w:szCs w:val="16"/>
              </w:rPr>
              <w:t>Weighted</w:t>
            </w:r>
          </w:p>
          <w:p w14:paraId="41243281" w14:textId="77777777" w:rsidR="00000000" w:rsidRDefault="00A173A8">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7AE3DC39" w14:textId="77777777">
        <w:trPr>
          <w:divId w:val="9213340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7DC9040" w14:textId="77777777" w:rsidR="00000000" w:rsidRDefault="00A173A8">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14:paraId="1396E55B"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E9A27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09560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359B2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8F6212"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B21A1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9FBE1E"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4D75F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B3623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CCB260" w14:textId="77777777" w:rsidR="00000000" w:rsidRDefault="00A173A8">
            <w:pPr>
              <w:spacing w:after="100"/>
              <w:rPr>
                <w:rFonts w:eastAsia="Times New Roman"/>
                <w:sz w:val="20"/>
                <w:szCs w:val="20"/>
              </w:rPr>
            </w:pPr>
          </w:p>
        </w:tc>
      </w:tr>
      <w:tr w:rsidR="00000000" w14:paraId="5BC74A20" w14:textId="77777777">
        <w:trPr>
          <w:divId w:val="921334039"/>
        </w:trPr>
        <w:tc>
          <w:tcPr>
            <w:tcW w:w="0" w:type="auto"/>
            <w:gridSpan w:val="3"/>
            <w:shd w:val="clear" w:color="auto" w:fill="FFFFFF"/>
            <w:tcMar>
              <w:top w:w="30" w:type="dxa"/>
              <w:left w:w="155" w:type="dxa"/>
              <w:bottom w:w="30" w:type="dxa"/>
              <w:right w:w="20" w:type="dxa"/>
            </w:tcMar>
            <w:hideMark/>
          </w:tcPr>
          <w:p w14:paraId="12845E43"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7B20E503"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hideMark/>
          </w:tcPr>
          <w:p w14:paraId="37FE9887"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hideMark/>
          </w:tcPr>
          <w:p w14:paraId="3D2E575F" w14:textId="77777777" w:rsidR="00000000" w:rsidRDefault="00A173A8">
            <w:pPr>
              <w:spacing w:after="100"/>
              <w:jc w:val="right"/>
              <w:rPr>
                <w:rFonts w:eastAsia="Times New Roman"/>
              </w:rPr>
            </w:pPr>
            <w:r>
              <w:rPr>
                <w:rFonts w:eastAsia="Times New Roman"/>
                <w:b/>
                <w:bCs/>
                <w:color w:val="000000"/>
                <w:sz w:val="18"/>
                <w:szCs w:val="18"/>
              </w:rPr>
              <w:t>240</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14:paraId="35DAB9A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11AD04"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78272866" w14:textId="77777777" w:rsidR="00000000" w:rsidRDefault="00A173A8">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14:paraId="1145C8DE"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D37B135" w14:textId="77777777" w:rsidR="00000000" w:rsidRDefault="00A173A8">
            <w:pPr>
              <w:spacing w:after="100"/>
              <w:rPr>
                <w:rFonts w:eastAsia="Times New Roman"/>
              </w:rPr>
            </w:pPr>
            <w:r>
              <w:rPr>
                <w:rFonts w:eastAsia="Times New Roman"/>
                <w:color w:val="000000"/>
                <w:sz w:val="18"/>
                <w:szCs w:val="18"/>
              </w:rPr>
              <w:t>Yield</w:t>
            </w:r>
            <w:r>
              <w:rPr>
                <w:rFonts w:eastAsia="Times New Roman"/>
                <w:color w:val="000000"/>
                <w:sz w:val="18"/>
                <w:szCs w:val="18"/>
              </w:rPr>
              <w:br/>
              <w:t>Voluntary 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14:paraId="1C961FD0"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64F3512" w14:textId="77777777" w:rsidR="00000000" w:rsidRDefault="00A173A8">
            <w:pPr>
              <w:spacing w:after="100"/>
              <w:divId w:val="839079365"/>
              <w:rPr>
                <w:rFonts w:eastAsia="Times New Roman"/>
              </w:rPr>
            </w:pPr>
            <w:r>
              <w:rPr>
                <w:rFonts w:eastAsia="Times New Roman"/>
                <w:b/>
                <w:bCs/>
                <w:color w:val="000000"/>
                <w:sz w:val="18"/>
                <w:szCs w:val="18"/>
              </w:rPr>
              <w:t>0-14%</w:t>
            </w:r>
          </w:p>
          <w:p w14:paraId="67B3CA74" w14:textId="77777777" w:rsidR="00000000" w:rsidRDefault="00A173A8">
            <w:pPr>
              <w:spacing w:after="100"/>
              <w:divId w:val="395398044"/>
              <w:rPr>
                <w:rFonts w:eastAsia="Times New Roman"/>
              </w:rPr>
            </w:pPr>
            <w:r>
              <w:rPr>
                <w:rFonts w:eastAsia="Times New Roman"/>
                <w:b/>
                <w:bCs/>
                <w:color w:val="000000"/>
                <w:sz w:val="18"/>
                <w:szCs w:val="18"/>
              </w:rPr>
              <w:t>6-25%</w:t>
            </w:r>
          </w:p>
          <w:p w14:paraId="776AB8F3" w14:textId="77777777" w:rsidR="00000000" w:rsidRDefault="00A173A8">
            <w:pPr>
              <w:spacing w:after="100"/>
              <w:divId w:val="1249462624"/>
              <w:rPr>
                <w:rFonts w:eastAsia="Times New Roman"/>
              </w:rPr>
            </w:pPr>
            <w:r>
              <w:rPr>
                <w:rFonts w:eastAsia="Times New Roman"/>
                <w:b/>
                <w:bCs/>
                <w:color w:val="000000"/>
                <w:sz w:val="18"/>
                <w:szCs w:val="18"/>
              </w:rPr>
              <w:t>0-11%</w:t>
            </w:r>
          </w:p>
          <w:p w14:paraId="5446494C" w14:textId="77777777" w:rsidR="00000000" w:rsidRDefault="00A173A8">
            <w:pPr>
              <w:spacing w:after="100"/>
              <w:divId w:val="1951084820"/>
              <w:rPr>
                <w:rFonts w:eastAsia="Times New Roman"/>
              </w:rPr>
            </w:pPr>
            <w:r>
              <w:rPr>
                <w:rFonts w:eastAsia="Times New Roman"/>
                <w:b/>
                <w:bCs/>
                <w:color w:val="000000"/>
                <w:sz w:val="18"/>
                <w:szCs w:val="18"/>
              </w:rPr>
              <w:t>30-80%</w:t>
            </w:r>
          </w:p>
        </w:tc>
        <w:tc>
          <w:tcPr>
            <w:tcW w:w="0" w:type="auto"/>
            <w:gridSpan w:val="3"/>
            <w:shd w:val="clear" w:color="auto" w:fill="FFFFFF"/>
            <w:tcMar>
              <w:top w:w="0" w:type="dxa"/>
              <w:left w:w="20" w:type="dxa"/>
              <w:bottom w:w="0" w:type="dxa"/>
              <w:right w:w="20" w:type="dxa"/>
            </w:tcMar>
            <w:vAlign w:val="center"/>
            <w:hideMark/>
          </w:tcPr>
          <w:p w14:paraId="2776CEBD"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3E5F23E" w14:textId="77777777" w:rsidR="00000000" w:rsidRDefault="00A173A8">
            <w:pPr>
              <w:spacing w:after="100"/>
              <w:divId w:val="1534883970"/>
              <w:rPr>
                <w:rFonts w:eastAsia="Times New Roman"/>
              </w:rPr>
            </w:pPr>
            <w:r>
              <w:rPr>
                <w:rFonts w:eastAsia="Times New Roman"/>
                <w:b/>
                <w:bCs/>
                <w:color w:val="000000"/>
                <w:sz w:val="18"/>
                <w:szCs w:val="18"/>
              </w:rPr>
              <w:t>5%</w:t>
            </w:r>
          </w:p>
          <w:p w14:paraId="778AF63C" w14:textId="77777777" w:rsidR="00000000" w:rsidRDefault="00A173A8">
            <w:pPr>
              <w:spacing w:after="100"/>
              <w:divId w:val="1143037897"/>
              <w:rPr>
                <w:rFonts w:eastAsia="Times New Roman"/>
              </w:rPr>
            </w:pPr>
            <w:r>
              <w:rPr>
                <w:rFonts w:eastAsia="Times New Roman"/>
                <w:b/>
                <w:bCs/>
                <w:color w:val="000000"/>
                <w:sz w:val="18"/>
                <w:szCs w:val="18"/>
              </w:rPr>
              <w:t>10%</w:t>
            </w:r>
          </w:p>
          <w:p w14:paraId="2915411A" w14:textId="77777777" w:rsidR="00000000" w:rsidRDefault="00A173A8">
            <w:pPr>
              <w:spacing w:after="100"/>
              <w:divId w:val="1193222755"/>
              <w:rPr>
                <w:rFonts w:eastAsia="Times New Roman"/>
              </w:rPr>
            </w:pPr>
            <w:r>
              <w:rPr>
                <w:rFonts w:eastAsia="Times New Roman"/>
                <w:b/>
                <w:bCs/>
                <w:color w:val="000000"/>
                <w:sz w:val="18"/>
                <w:szCs w:val="18"/>
              </w:rPr>
              <w:t>2%</w:t>
            </w:r>
          </w:p>
          <w:p w14:paraId="2F6F4C1A" w14:textId="77777777" w:rsidR="00000000" w:rsidRDefault="00A173A8">
            <w:pPr>
              <w:spacing w:after="100"/>
              <w:divId w:val="1235236310"/>
              <w:rPr>
                <w:rFonts w:eastAsia="Times New Roman"/>
              </w:rPr>
            </w:pPr>
            <w:r>
              <w:rPr>
                <w:rFonts w:eastAsia="Times New Roman"/>
                <w:b/>
                <w:bCs/>
                <w:color w:val="000000"/>
                <w:sz w:val="18"/>
                <w:szCs w:val="18"/>
              </w:rPr>
              <w:t>61%</w:t>
            </w:r>
          </w:p>
        </w:tc>
      </w:tr>
      <w:tr w:rsidR="00000000" w14:paraId="607DE253" w14:textId="77777777">
        <w:trPr>
          <w:divId w:val="921334039"/>
        </w:trPr>
        <w:tc>
          <w:tcPr>
            <w:tcW w:w="0" w:type="auto"/>
            <w:gridSpan w:val="3"/>
            <w:shd w:val="clear" w:color="auto" w:fill="CCEEFF"/>
            <w:tcMar>
              <w:top w:w="30" w:type="dxa"/>
              <w:left w:w="155" w:type="dxa"/>
              <w:bottom w:w="30" w:type="dxa"/>
              <w:right w:w="20" w:type="dxa"/>
            </w:tcMar>
            <w:hideMark/>
          </w:tcPr>
          <w:p w14:paraId="07738ED0" w14:textId="77777777" w:rsidR="00000000" w:rsidRDefault="00A173A8">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773A653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164A4D98" w14:textId="77777777" w:rsidR="00000000" w:rsidRDefault="00A173A8">
            <w:pPr>
              <w:spacing w:after="100"/>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14:paraId="3B8F8CD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C19E3"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A19C8E6" w14:textId="77777777" w:rsidR="00000000" w:rsidRDefault="00A173A8">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14:paraId="1A3CD235"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A590D01" w14:textId="77777777" w:rsidR="00000000" w:rsidRDefault="00A173A8">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14:paraId="3554995C"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98C2888" w14:textId="77777777" w:rsidR="00000000" w:rsidRDefault="00A173A8">
            <w:pPr>
              <w:spacing w:after="100"/>
              <w:divId w:val="1808352857"/>
              <w:rPr>
                <w:rFonts w:eastAsia="Times New Roman"/>
              </w:rPr>
            </w:pPr>
            <w:r>
              <w:rPr>
                <w:rFonts w:eastAsia="Times New Roman"/>
                <w:b/>
                <w:bCs/>
                <w:color w:val="000000"/>
                <w:sz w:val="18"/>
                <w:szCs w:val="18"/>
              </w:rPr>
              <w:t>2-4%</w:t>
            </w:r>
          </w:p>
        </w:tc>
        <w:tc>
          <w:tcPr>
            <w:tcW w:w="0" w:type="auto"/>
            <w:gridSpan w:val="3"/>
            <w:shd w:val="clear" w:color="auto" w:fill="CCEEFF"/>
            <w:tcMar>
              <w:top w:w="0" w:type="dxa"/>
              <w:left w:w="20" w:type="dxa"/>
              <w:bottom w:w="0" w:type="dxa"/>
              <w:right w:w="20" w:type="dxa"/>
            </w:tcMar>
            <w:vAlign w:val="center"/>
            <w:hideMark/>
          </w:tcPr>
          <w:p w14:paraId="60FB8F2B"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DB05371" w14:textId="77777777" w:rsidR="00000000" w:rsidRDefault="00A173A8">
            <w:pPr>
              <w:spacing w:after="100"/>
              <w:divId w:val="1350794591"/>
              <w:rPr>
                <w:rFonts w:eastAsia="Times New Roman"/>
              </w:rPr>
            </w:pPr>
            <w:r>
              <w:rPr>
                <w:rFonts w:eastAsia="Times New Roman"/>
                <w:b/>
                <w:bCs/>
                <w:color w:val="000000"/>
                <w:sz w:val="18"/>
                <w:szCs w:val="18"/>
              </w:rPr>
              <w:t>4%</w:t>
            </w:r>
          </w:p>
        </w:tc>
      </w:tr>
      <w:tr w:rsidR="00000000" w14:paraId="2C83C6E9" w14:textId="77777777">
        <w:trPr>
          <w:divId w:val="921334039"/>
        </w:trPr>
        <w:tc>
          <w:tcPr>
            <w:tcW w:w="0" w:type="auto"/>
            <w:gridSpan w:val="3"/>
            <w:shd w:val="clear" w:color="auto" w:fill="FFFFFF"/>
            <w:tcMar>
              <w:top w:w="30" w:type="dxa"/>
              <w:left w:w="20" w:type="dxa"/>
              <w:bottom w:w="30" w:type="dxa"/>
              <w:right w:w="20" w:type="dxa"/>
            </w:tcMar>
            <w:hideMark/>
          </w:tcPr>
          <w:p w14:paraId="586086E8" w14:textId="77777777" w:rsidR="00000000" w:rsidRDefault="00A173A8">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14:paraId="0A245CAF"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4565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719E0D"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C92D0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D0D98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36F40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3C896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7044F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122D3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5E6CE0" w14:textId="77777777" w:rsidR="00000000" w:rsidRDefault="00A173A8">
            <w:pPr>
              <w:spacing w:after="100"/>
              <w:rPr>
                <w:rFonts w:eastAsia="Times New Roman"/>
                <w:sz w:val="20"/>
                <w:szCs w:val="20"/>
              </w:rPr>
            </w:pPr>
          </w:p>
        </w:tc>
      </w:tr>
      <w:tr w:rsidR="00000000" w14:paraId="1FEC53AC" w14:textId="77777777">
        <w:trPr>
          <w:divId w:val="921334039"/>
        </w:trPr>
        <w:tc>
          <w:tcPr>
            <w:tcW w:w="0" w:type="auto"/>
            <w:gridSpan w:val="3"/>
            <w:shd w:val="clear" w:color="auto" w:fill="CCEEFF"/>
            <w:tcMar>
              <w:top w:w="30" w:type="dxa"/>
              <w:left w:w="20" w:type="dxa"/>
              <w:bottom w:w="30" w:type="dxa"/>
              <w:right w:w="20" w:type="dxa"/>
            </w:tcMar>
            <w:hideMark/>
          </w:tcPr>
          <w:p w14:paraId="5672A3F2" w14:textId="77777777" w:rsidR="00000000" w:rsidRDefault="00A173A8">
            <w:pPr>
              <w:spacing w:after="100"/>
              <w:divId w:val="1588004046"/>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70869D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68CFFD71" w14:textId="77777777" w:rsidR="00000000" w:rsidRDefault="00A173A8">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14:paraId="0E3AD0B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64B45A"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0F678DF5" w14:textId="77777777" w:rsidR="00000000" w:rsidRDefault="00A173A8">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14:paraId="12BD9865"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0E8C1600" w14:textId="77777777" w:rsidR="00000000" w:rsidRDefault="00A173A8">
            <w:pPr>
              <w:spacing w:after="100"/>
              <w:rPr>
                <w:rFonts w:eastAsia="Times New Roman"/>
              </w:rPr>
            </w:pPr>
            <w:r>
              <w:rPr>
                <w:rFonts w:eastAsia="Times New Roman"/>
                <w:color w:val="000000"/>
                <w:sz w:val="18"/>
                <w:szCs w:val="18"/>
              </w:rPr>
              <w:t>Life of receivables (months)</w:t>
            </w:r>
            <w:r>
              <w:rPr>
                <w:rFonts w:eastAsia="Times New Roman"/>
                <w:color w:val="000000"/>
                <w:sz w:val="18"/>
                <w:szCs w:val="18"/>
              </w:rPr>
              <w:br/>
            </w:r>
            <w:r>
              <w:rPr>
                <w:rFonts w:eastAsia="Times New Roman"/>
                <w:color w:val="000000"/>
                <w:sz w:val="18"/>
                <w:szCs w:val="18"/>
              </w:rP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14:paraId="2F34BBC8"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514A536" w14:textId="77777777" w:rsidR="00000000" w:rsidRDefault="00A173A8">
            <w:pPr>
              <w:spacing w:after="100"/>
              <w:divId w:val="1697391347"/>
              <w:rPr>
                <w:rFonts w:eastAsia="Times New Roman"/>
              </w:rPr>
            </w:pPr>
            <w:r>
              <w:rPr>
                <w:rFonts w:eastAsia="Times New Roman"/>
                <w:b/>
                <w:bCs/>
                <w:color w:val="000000"/>
                <w:sz w:val="18"/>
                <w:szCs w:val="18"/>
              </w:rPr>
              <w:t>30-37</w:t>
            </w:r>
          </w:p>
          <w:p w14:paraId="5412D7A1" w14:textId="77777777" w:rsidR="00000000" w:rsidRDefault="00A173A8">
            <w:pPr>
              <w:spacing w:after="100"/>
              <w:divId w:val="1504590919"/>
              <w:rPr>
                <w:rFonts w:eastAsia="Times New Roman"/>
              </w:rPr>
            </w:pPr>
            <w:r>
              <w:rPr>
                <w:rFonts w:eastAsia="Times New Roman"/>
                <w:b/>
                <w:bCs/>
                <w:color w:val="000000"/>
                <w:sz w:val="18"/>
                <w:szCs w:val="18"/>
              </w:rPr>
              <w:t>9-18%</w:t>
            </w:r>
          </w:p>
          <w:p w14:paraId="71E716DC" w14:textId="77777777" w:rsidR="00000000" w:rsidRDefault="00A173A8">
            <w:pPr>
              <w:spacing w:after="100"/>
              <w:divId w:val="157424435"/>
              <w:rPr>
                <w:rFonts w:eastAsia="Times New Roman"/>
              </w:rPr>
            </w:pPr>
            <w:r>
              <w:rPr>
                <w:rFonts w:eastAsia="Times New Roman"/>
                <w:b/>
                <w:bCs/>
                <w:color w:val="000000"/>
                <w:sz w:val="18"/>
                <w:szCs w:val="18"/>
              </w:rPr>
              <w:t>4-8%</w:t>
            </w:r>
          </w:p>
          <w:p w14:paraId="4964F680" w14:textId="77777777" w:rsidR="00000000" w:rsidRDefault="00A173A8">
            <w:pPr>
              <w:spacing w:after="100"/>
              <w:divId w:val="2064210672"/>
              <w:rPr>
                <w:rFonts w:eastAsia="Times New Roman"/>
              </w:rPr>
            </w:pPr>
            <w:r>
              <w:rPr>
                <w:rFonts w:eastAsia="Times New Roman"/>
                <w:b/>
                <w:bCs/>
                <w:color w:val="000000"/>
                <w:sz w:val="18"/>
                <w:szCs w:val="18"/>
              </w:rPr>
              <w:t>1-3%</w:t>
            </w:r>
          </w:p>
          <w:p w14:paraId="41515AA7" w14:textId="77777777" w:rsidR="00000000" w:rsidRDefault="00A173A8">
            <w:pPr>
              <w:spacing w:after="100"/>
              <w:divId w:val="1074159904"/>
              <w:rPr>
                <w:rFonts w:eastAsia="Times New Roman"/>
              </w:rPr>
            </w:pPr>
            <w:r>
              <w:rPr>
                <w:rFonts w:eastAsia="Times New Roman"/>
                <w:b/>
                <w:bCs/>
                <w:color w:val="000000"/>
                <w:sz w:val="18"/>
                <w:szCs w:val="18"/>
              </w:rPr>
              <w:t>80-291%</w:t>
            </w:r>
          </w:p>
        </w:tc>
        <w:tc>
          <w:tcPr>
            <w:tcW w:w="0" w:type="auto"/>
            <w:gridSpan w:val="3"/>
            <w:shd w:val="clear" w:color="auto" w:fill="CCEEFF"/>
            <w:tcMar>
              <w:top w:w="0" w:type="dxa"/>
              <w:left w:w="20" w:type="dxa"/>
              <w:bottom w:w="0" w:type="dxa"/>
              <w:right w:w="20" w:type="dxa"/>
            </w:tcMar>
            <w:vAlign w:val="center"/>
            <w:hideMark/>
          </w:tcPr>
          <w:p w14:paraId="690F7D73"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24C9B3E" w14:textId="77777777" w:rsidR="00000000" w:rsidRDefault="00A173A8">
            <w:pPr>
              <w:spacing w:after="100"/>
              <w:rPr>
                <w:rFonts w:eastAsia="Times New Roman"/>
              </w:rPr>
            </w:pPr>
            <w:r>
              <w:rPr>
                <w:rFonts w:eastAsia="Times New Roman"/>
                <w:b/>
                <w:bCs/>
                <w:color w:val="000000"/>
                <w:sz w:val="18"/>
                <w:szCs w:val="18"/>
              </w:rPr>
              <w:t>N/A</w:t>
            </w:r>
          </w:p>
        </w:tc>
      </w:tr>
      <w:tr w:rsidR="00000000" w14:paraId="4D875AD5" w14:textId="77777777">
        <w:trPr>
          <w:divId w:val="921334039"/>
        </w:trPr>
        <w:tc>
          <w:tcPr>
            <w:tcW w:w="0" w:type="auto"/>
            <w:gridSpan w:val="3"/>
            <w:shd w:val="clear" w:color="auto" w:fill="FFFFFF"/>
            <w:tcMar>
              <w:top w:w="30" w:type="dxa"/>
              <w:left w:w="20" w:type="dxa"/>
              <w:bottom w:w="30" w:type="dxa"/>
              <w:right w:w="20" w:type="dxa"/>
            </w:tcMar>
            <w:hideMark/>
          </w:tcPr>
          <w:p w14:paraId="48529F29" w14:textId="77777777" w:rsidR="00000000" w:rsidRDefault="00A173A8">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14:paraId="24B0D22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2E7A9EA6" w14:textId="77777777" w:rsidR="00000000" w:rsidRDefault="00A173A8">
            <w:pPr>
              <w:spacing w:after="100"/>
              <w:jc w:val="right"/>
              <w:rPr>
                <w:rFonts w:eastAsia="Times New Roman"/>
              </w:rPr>
            </w:pPr>
            <w:r>
              <w:rPr>
                <w:rFonts w:eastAsia="Times New Roman"/>
                <w:b/>
                <w:bCs/>
                <w:color w:val="000000"/>
                <w:sz w:val="18"/>
                <w:szCs w:val="18"/>
              </w:rPr>
              <w:t>(12)</w:t>
            </w:r>
          </w:p>
        </w:tc>
        <w:tc>
          <w:tcPr>
            <w:tcW w:w="0" w:type="auto"/>
            <w:shd w:val="clear" w:color="auto" w:fill="FFFFFF"/>
            <w:tcMar>
              <w:top w:w="30" w:type="dxa"/>
              <w:left w:w="0" w:type="dxa"/>
              <w:bottom w:w="30" w:type="dxa"/>
              <w:right w:w="20" w:type="dxa"/>
            </w:tcMar>
            <w:hideMark/>
          </w:tcPr>
          <w:p w14:paraId="31250B8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880AD"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13AD5AFF" w14:textId="77777777" w:rsidR="00000000" w:rsidRDefault="00A173A8">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14:paraId="7C889CB5"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FF0D52D" w14:textId="77777777" w:rsidR="00000000" w:rsidRDefault="00A173A8">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14:paraId="752ED7EA"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211E3188" w14:textId="77777777" w:rsidR="00000000" w:rsidRDefault="00A173A8">
            <w:pPr>
              <w:spacing w:after="100"/>
              <w:divId w:val="454913433"/>
              <w:rPr>
                <w:rFonts w:eastAsia="Times New Roman"/>
              </w:rPr>
            </w:pPr>
            <w:r>
              <w:rPr>
                <w:rFonts w:eastAsia="Times New Roman"/>
                <w:b/>
                <w:bCs/>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14:paraId="1E5EFC42"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D003F40" w14:textId="77777777" w:rsidR="00000000" w:rsidRDefault="00A173A8">
            <w:pPr>
              <w:spacing w:after="100"/>
              <w:rPr>
                <w:rFonts w:eastAsia="Times New Roman"/>
              </w:rPr>
            </w:pPr>
            <w:r>
              <w:rPr>
                <w:rFonts w:eastAsia="Times New Roman"/>
                <w:b/>
                <w:bCs/>
                <w:color w:val="000000"/>
                <w:sz w:val="18"/>
                <w:szCs w:val="18"/>
              </w:rPr>
              <w:t>3%</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1837"/>
        <w:gridCol w:w="144"/>
        <w:gridCol w:w="144"/>
        <w:gridCol w:w="144"/>
        <w:gridCol w:w="144"/>
        <w:gridCol w:w="144"/>
        <w:gridCol w:w="830"/>
        <w:gridCol w:w="144"/>
        <w:gridCol w:w="144"/>
        <w:gridCol w:w="144"/>
        <w:gridCol w:w="144"/>
        <w:gridCol w:w="144"/>
        <w:gridCol w:w="1376"/>
        <w:gridCol w:w="144"/>
        <w:gridCol w:w="144"/>
        <w:gridCol w:w="144"/>
        <w:gridCol w:w="144"/>
        <w:gridCol w:w="144"/>
        <w:gridCol w:w="1789"/>
        <w:gridCol w:w="144"/>
        <w:gridCol w:w="144"/>
        <w:gridCol w:w="144"/>
        <w:gridCol w:w="144"/>
        <w:gridCol w:w="144"/>
        <w:gridCol w:w="976"/>
        <w:gridCol w:w="144"/>
        <w:gridCol w:w="144"/>
        <w:gridCol w:w="144"/>
        <w:gridCol w:w="144"/>
        <w:gridCol w:w="144"/>
        <w:gridCol w:w="625"/>
        <w:gridCol w:w="144"/>
      </w:tblGrid>
      <w:tr w:rsidR="00000000" w14:paraId="68C5878C" w14:textId="77777777">
        <w:tc>
          <w:tcPr>
            <w:tcW w:w="50" w:type="pct"/>
            <w:vAlign w:val="center"/>
            <w:hideMark/>
          </w:tcPr>
          <w:p w14:paraId="5CB47C63" w14:textId="77777777" w:rsidR="00000000" w:rsidRDefault="00A173A8">
            <w:pPr>
              <w:rPr>
                <w:rFonts w:eastAsia="Times New Roman"/>
              </w:rPr>
            </w:pPr>
          </w:p>
        </w:tc>
        <w:tc>
          <w:tcPr>
            <w:tcW w:w="1108" w:type="pct"/>
            <w:vAlign w:val="center"/>
            <w:hideMark/>
          </w:tcPr>
          <w:p w14:paraId="1314C818" w14:textId="77777777" w:rsidR="00000000" w:rsidRDefault="00A173A8">
            <w:pPr>
              <w:spacing w:after="100"/>
              <w:rPr>
                <w:rFonts w:eastAsia="Times New Roman"/>
                <w:sz w:val="20"/>
                <w:szCs w:val="20"/>
              </w:rPr>
            </w:pPr>
          </w:p>
        </w:tc>
        <w:tc>
          <w:tcPr>
            <w:tcW w:w="5" w:type="pct"/>
            <w:vAlign w:val="center"/>
            <w:hideMark/>
          </w:tcPr>
          <w:p w14:paraId="1F4D0A4D" w14:textId="77777777" w:rsidR="00000000" w:rsidRDefault="00A173A8">
            <w:pPr>
              <w:spacing w:after="100"/>
              <w:rPr>
                <w:rFonts w:eastAsia="Times New Roman"/>
                <w:sz w:val="20"/>
                <w:szCs w:val="20"/>
              </w:rPr>
            </w:pPr>
          </w:p>
        </w:tc>
        <w:tc>
          <w:tcPr>
            <w:tcW w:w="5" w:type="pct"/>
            <w:vAlign w:val="center"/>
            <w:hideMark/>
          </w:tcPr>
          <w:p w14:paraId="6990EDAF" w14:textId="77777777" w:rsidR="00000000" w:rsidRDefault="00A173A8">
            <w:pPr>
              <w:spacing w:after="100"/>
              <w:rPr>
                <w:rFonts w:eastAsia="Times New Roman"/>
                <w:sz w:val="20"/>
                <w:szCs w:val="20"/>
              </w:rPr>
            </w:pPr>
          </w:p>
        </w:tc>
        <w:tc>
          <w:tcPr>
            <w:tcW w:w="26" w:type="pct"/>
            <w:vAlign w:val="center"/>
            <w:hideMark/>
          </w:tcPr>
          <w:p w14:paraId="77FB37E0" w14:textId="77777777" w:rsidR="00000000" w:rsidRDefault="00A173A8">
            <w:pPr>
              <w:spacing w:after="100"/>
              <w:rPr>
                <w:rFonts w:eastAsia="Times New Roman"/>
                <w:sz w:val="20"/>
                <w:szCs w:val="20"/>
              </w:rPr>
            </w:pPr>
          </w:p>
        </w:tc>
        <w:tc>
          <w:tcPr>
            <w:tcW w:w="5" w:type="pct"/>
            <w:vAlign w:val="center"/>
            <w:hideMark/>
          </w:tcPr>
          <w:p w14:paraId="7B9B7C64" w14:textId="77777777" w:rsidR="00000000" w:rsidRDefault="00A173A8">
            <w:pPr>
              <w:spacing w:after="100"/>
              <w:rPr>
                <w:rFonts w:eastAsia="Times New Roman"/>
                <w:sz w:val="20"/>
                <w:szCs w:val="20"/>
              </w:rPr>
            </w:pPr>
          </w:p>
        </w:tc>
        <w:tc>
          <w:tcPr>
            <w:tcW w:w="50" w:type="pct"/>
            <w:vAlign w:val="center"/>
            <w:hideMark/>
          </w:tcPr>
          <w:p w14:paraId="16FFF773" w14:textId="77777777" w:rsidR="00000000" w:rsidRDefault="00A173A8">
            <w:pPr>
              <w:spacing w:after="100"/>
              <w:rPr>
                <w:rFonts w:eastAsia="Times New Roman"/>
                <w:sz w:val="20"/>
                <w:szCs w:val="20"/>
              </w:rPr>
            </w:pPr>
          </w:p>
        </w:tc>
        <w:tc>
          <w:tcPr>
            <w:tcW w:w="501" w:type="pct"/>
            <w:vAlign w:val="center"/>
            <w:hideMark/>
          </w:tcPr>
          <w:p w14:paraId="74C4B8A3" w14:textId="77777777" w:rsidR="00000000" w:rsidRDefault="00A173A8">
            <w:pPr>
              <w:spacing w:after="100"/>
              <w:rPr>
                <w:rFonts w:eastAsia="Times New Roman"/>
                <w:sz w:val="20"/>
                <w:szCs w:val="20"/>
              </w:rPr>
            </w:pPr>
          </w:p>
        </w:tc>
        <w:tc>
          <w:tcPr>
            <w:tcW w:w="5" w:type="pct"/>
            <w:vAlign w:val="center"/>
            <w:hideMark/>
          </w:tcPr>
          <w:p w14:paraId="39EC3875" w14:textId="77777777" w:rsidR="00000000" w:rsidRDefault="00A173A8">
            <w:pPr>
              <w:spacing w:after="100"/>
              <w:rPr>
                <w:rFonts w:eastAsia="Times New Roman"/>
                <w:sz w:val="20"/>
                <w:szCs w:val="20"/>
              </w:rPr>
            </w:pPr>
          </w:p>
        </w:tc>
        <w:tc>
          <w:tcPr>
            <w:tcW w:w="5" w:type="pct"/>
            <w:vAlign w:val="center"/>
            <w:hideMark/>
          </w:tcPr>
          <w:p w14:paraId="363EA211" w14:textId="77777777" w:rsidR="00000000" w:rsidRDefault="00A173A8">
            <w:pPr>
              <w:spacing w:after="100"/>
              <w:rPr>
                <w:rFonts w:eastAsia="Times New Roman"/>
                <w:sz w:val="20"/>
                <w:szCs w:val="20"/>
              </w:rPr>
            </w:pPr>
          </w:p>
        </w:tc>
        <w:tc>
          <w:tcPr>
            <w:tcW w:w="26" w:type="pct"/>
            <w:vAlign w:val="center"/>
            <w:hideMark/>
          </w:tcPr>
          <w:p w14:paraId="1BDC3D8B" w14:textId="77777777" w:rsidR="00000000" w:rsidRDefault="00A173A8">
            <w:pPr>
              <w:spacing w:after="100"/>
              <w:rPr>
                <w:rFonts w:eastAsia="Times New Roman"/>
                <w:sz w:val="20"/>
                <w:szCs w:val="20"/>
              </w:rPr>
            </w:pPr>
          </w:p>
        </w:tc>
        <w:tc>
          <w:tcPr>
            <w:tcW w:w="5" w:type="pct"/>
            <w:vAlign w:val="center"/>
            <w:hideMark/>
          </w:tcPr>
          <w:p w14:paraId="6B31CF64" w14:textId="77777777" w:rsidR="00000000" w:rsidRDefault="00A173A8">
            <w:pPr>
              <w:spacing w:after="100"/>
              <w:rPr>
                <w:rFonts w:eastAsia="Times New Roman"/>
                <w:sz w:val="20"/>
                <w:szCs w:val="20"/>
              </w:rPr>
            </w:pPr>
          </w:p>
        </w:tc>
        <w:tc>
          <w:tcPr>
            <w:tcW w:w="50" w:type="pct"/>
            <w:vAlign w:val="center"/>
            <w:hideMark/>
          </w:tcPr>
          <w:p w14:paraId="70EE1D9F" w14:textId="77777777" w:rsidR="00000000" w:rsidRDefault="00A173A8">
            <w:pPr>
              <w:spacing w:after="100"/>
              <w:rPr>
                <w:rFonts w:eastAsia="Times New Roman"/>
                <w:sz w:val="20"/>
                <w:szCs w:val="20"/>
              </w:rPr>
            </w:pPr>
          </w:p>
        </w:tc>
        <w:tc>
          <w:tcPr>
            <w:tcW w:w="830" w:type="pct"/>
            <w:vAlign w:val="center"/>
            <w:hideMark/>
          </w:tcPr>
          <w:p w14:paraId="79F344FC" w14:textId="77777777" w:rsidR="00000000" w:rsidRDefault="00A173A8">
            <w:pPr>
              <w:spacing w:after="100"/>
              <w:rPr>
                <w:rFonts w:eastAsia="Times New Roman"/>
                <w:sz w:val="20"/>
                <w:szCs w:val="20"/>
              </w:rPr>
            </w:pPr>
          </w:p>
        </w:tc>
        <w:tc>
          <w:tcPr>
            <w:tcW w:w="5" w:type="pct"/>
            <w:vAlign w:val="center"/>
            <w:hideMark/>
          </w:tcPr>
          <w:p w14:paraId="04AA6ADE" w14:textId="77777777" w:rsidR="00000000" w:rsidRDefault="00A173A8">
            <w:pPr>
              <w:spacing w:after="100"/>
              <w:rPr>
                <w:rFonts w:eastAsia="Times New Roman"/>
                <w:sz w:val="20"/>
                <w:szCs w:val="20"/>
              </w:rPr>
            </w:pPr>
          </w:p>
        </w:tc>
        <w:tc>
          <w:tcPr>
            <w:tcW w:w="5" w:type="pct"/>
            <w:vAlign w:val="center"/>
            <w:hideMark/>
          </w:tcPr>
          <w:p w14:paraId="18D268BE" w14:textId="77777777" w:rsidR="00000000" w:rsidRDefault="00A173A8">
            <w:pPr>
              <w:spacing w:after="100"/>
              <w:rPr>
                <w:rFonts w:eastAsia="Times New Roman"/>
                <w:sz w:val="20"/>
                <w:szCs w:val="20"/>
              </w:rPr>
            </w:pPr>
          </w:p>
        </w:tc>
        <w:tc>
          <w:tcPr>
            <w:tcW w:w="26" w:type="pct"/>
            <w:vAlign w:val="center"/>
            <w:hideMark/>
          </w:tcPr>
          <w:p w14:paraId="5B090D4D" w14:textId="77777777" w:rsidR="00000000" w:rsidRDefault="00A173A8">
            <w:pPr>
              <w:spacing w:after="100"/>
              <w:rPr>
                <w:rFonts w:eastAsia="Times New Roman"/>
                <w:sz w:val="20"/>
                <w:szCs w:val="20"/>
              </w:rPr>
            </w:pPr>
          </w:p>
        </w:tc>
        <w:tc>
          <w:tcPr>
            <w:tcW w:w="5" w:type="pct"/>
            <w:vAlign w:val="center"/>
            <w:hideMark/>
          </w:tcPr>
          <w:p w14:paraId="0550195E" w14:textId="77777777" w:rsidR="00000000" w:rsidRDefault="00A173A8">
            <w:pPr>
              <w:spacing w:after="100"/>
              <w:rPr>
                <w:rFonts w:eastAsia="Times New Roman"/>
                <w:sz w:val="20"/>
                <w:szCs w:val="20"/>
              </w:rPr>
            </w:pPr>
          </w:p>
        </w:tc>
        <w:tc>
          <w:tcPr>
            <w:tcW w:w="50" w:type="pct"/>
            <w:vAlign w:val="center"/>
            <w:hideMark/>
          </w:tcPr>
          <w:p w14:paraId="6CE9EF2E" w14:textId="77777777" w:rsidR="00000000" w:rsidRDefault="00A173A8">
            <w:pPr>
              <w:spacing w:after="100"/>
              <w:rPr>
                <w:rFonts w:eastAsia="Times New Roman"/>
                <w:sz w:val="20"/>
                <w:szCs w:val="20"/>
              </w:rPr>
            </w:pPr>
          </w:p>
        </w:tc>
        <w:tc>
          <w:tcPr>
            <w:tcW w:w="1079" w:type="pct"/>
            <w:vAlign w:val="center"/>
            <w:hideMark/>
          </w:tcPr>
          <w:p w14:paraId="6589B537" w14:textId="77777777" w:rsidR="00000000" w:rsidRDefault="00A173A8">
            <w:pPr>
              <w:spacing w:after="100"/>
              <w:rPr>
                <w:rFonts w:eastAsia="Times New Roman"/>
                <w:sz w:val="20"/>
                <w:szCs w:val="20"/>
              </w:rPr>
            </w:pPr>
          </w:p>
        </w:tc>
        <w:tc>
          <w:tcPr>
            <w:tcW w:w="5" w:type="pct"/>
            <w:vAlign w:val="center"/>
            <w:hideMark/>
          </w:tcPr>
          <w:p w14:paraId="6EF9E268" w14:textId="77777777" w:rsidR="00000000" w:rsidRDefault="00A173A8">
            <w:pPr>
              <w:spacing w:after="100"/>
              <w:rPr>
                <w:rFonts w:eastAsia="Times New Roman"/>
                <w:sz w:val="20"/>
                <w:szCs w:val="20"/>
              </w:rPr>
            </w:pPr>
          </w:p>
        </w:tc>
        <w:tc>
          <w:tcPr>
            <w:tcW w:w="5" w:type="pct"/>
            <w:vAlign w:val="center"/>
            <w:hideMark/>
          </w:tcPr>
          <w:p w14:paraId="036FB169" w14:textId="77777777" w:rsidR="00000000" w:rsidRDefault="00A173A8">
            <w:pPr>
              <w:spacing w:after="100"/>
              <w:rPr>
                <w:rFonts w:eastAsia="Times New Roman"/>
                <w:sz w:val="20"/>
                <w:szCs w:val="20"/>
              </w:rPr>
            </w:pPr>
          </w:p>
        </w:tc>
        <w:tc>
          <w:tcPr>
            <w:tcW w:w="26" w:type="pct"/>
            <w:vAlign w:val="center"/>
            <w:hideMark/>
          </w:tcPr>
          <w:p w14:paraId="6EF5C5E9" w14:textId="77777777" w:rsidR="00000000" w:rsidRDefault="00A173A8">
            <w:pPr>
              <w:spacing w:after="100"/>
              <w:rPr>
                <w:rFonts w:eastAsia="Times New Roman"/>
                <w:sz w:val="20"/>
                <w:szCs w:val="20"/>
              </w:rPr>
            </w:pPr>
          </w:p>
        </w:tc>
        <w:tc>
          <w:tcPr>
            <w:tcW w:w="5" w:type="pct"/>
            <w:vAlign w:val="center"/>
            <w:hideMark/>
          </w:tcPr>
          <w:p w14:paraId="65B66165" w14:textId="77777777" w:rsidR="00000000" w:rsidRDefault="00A173A8">
            <w:pPr>
              <w:spacing w:after="100"/>
              <w:rPr>
                <w:rFonts w:eastAsia="Times New Roman"/>
                <w:sz w:val="20"/>
                <w:szCs w:val="20"/>
              </w:rPr>
            </w:pPr>
          </w:p>
        </w:tc>
        <w:tc>
          <w:tcPr>
            <w:tcW w:w="50" w:type="pct"/>
            <w:vAlign w:val="center"/>
            <w:hideMark/>
          </w:tcPr>
          <w:p w14:paraId="20C3534F" w14:textId="77777777" w:rsidR="00000000" w:rsidRDefault="00A173A8">
            <w:pPr>
              <w:spacing w:after="100"/>
              <w:rPr>
                <w:rFonts w:eastAsia="Times New Roman"/>
                <w:sz w:val="20"/>
                <w:szCs w:val="20"/>
              </w:rPr>
            </w:pPr>
          </w:p>
        </w:tc>
        <w:tc>
          <w:tcPr>
            <w:tcW w:w="589" w:type="pct"/>
            <w:vAlign w:val="center"/>
            <w:hideMark/>
          </w:tcPr>
          <w:p w14:paraId="005FBB98" w14:textId="77777777" w:rsidR="00000000" w:rsidRDefault="00A173A8">
            <w:pPr>
              <w:spacing w:after="100"/>
              <w:rPr>
                <w:rFonts w:eastAsia="Times New Roman"/>
                <w:sz w:val="20"/>
                <w:szCs w:val="20"/>
              </w:rPr>
            </w:pPr>
          </w:p>
        </w:tc>
        <w:tc>
          <w:tcPr>
            <w:tcW w:w="5" w:type="pct"/>
            <w:vAlign w:val="center"/>
            <w:hideMark/>
          </w:tcPr>
          <w:p w14:paraId="73AC6B0A" w14:textId="77777777" w:rsidR="00000000" w:rsidRDefault="00A173A8">
            <w:pPr>
              <w:spacing w:after="100"/>
              <w:rPr>
                <w:rFonts w:eastAsia="Times New Roman"/>
                <w:sz w:val="20"/>
                <w:szCs w:val="20"/>
              </w:rPr>
            </w:pPr>
          </w:p>
        </w:tc>
        <w:tc>
          <w:tcPr>
            <w:tcW w:w="5" w:type="pct"/>
            <w:vAlign w:val="center"/>
            <w:hideMark/>
          </w:tcPr>
          <w:p w14:paraId="38936103" w14:textId="77777777" w:rsidR="00000000" w:rsidRDefault="00A173A8">
            <w:pPr>
              <w:spacing w:after="100"/>
              <w:rPr>
                <w:rFonts w:eastAsia="Times New Roman"/>
                <w:sz w:val="20"/>
                <w:szCs w:val="20"/>
              </w:rPr>
            </w:pPr>
          </w:p>
        </w:tc>
        <w:tc>
          <w:tcPr>
            <w:tcW w:w="26" w:type="pct"/>
            <w:vAlign w:val="center"/>
            <w:hideMark/>
          </w:tcPr>
          <w:p w14:paraId="08FD740E" w14:textId="77777777" w:rsidR="00000000" w:rsidRDefault="00A173A8">
            <w:pPr>
              <w:spacing w:after="100"/>
              <w:rPr>
                <w:rFonts w:eastAsia="Times New Roman"/>
                <w:sz w:val="20"/>
                <w:szCs w:val="20"/>
              </w:rPr>
            </w:pPr>
          </w:p>
        </w:tc>
        <w:tc>
          <w:tcPr>
            <w:tcW w:w="5" w:type="pct"/>
            <w:vAlign w:val="center"/>
            <w:hideMark/>
          </w:tcPr>
          <w:p w14:paraId="7E59E6E4" w14:textId="77777777" w:rsidR="00000000" w:rsidRDefault="00A173A8">
            <w:pPr>
              <w:spacing w:after="100"/>
              <w:rPr>
                <w:rFonts w:eastAsia="Times New Roman"/>
                <w:sz w:val="20"/>
                <w:szCs w:val="20"/>
              </w:rPr>
            </w:pPr>
          </w:p>
        </w:tc>
        <w:tc>
          <w:tcPr>
            <w:tcW w:w="50" w:type="pct"/>
            <w:vAlign w:val="center"/>
            <w:hideMark/>
          </w:tcPr>
          <w:p w14:paraId="59FBC6AB" w14:textId="77777777" w:rsidR="00000000" w:rsidRDefault="00A173A8">
            <w:pPr>
              <w:spacing w:after="100"/>
              <w:rPr>
                <w:rFonts w:eastAsia="Times New Roman"/>
                <w:sz w:val="20"/>
                <w:szCs w:val="20"/>
              </w:rPr>
            </w:pPr>
          </w:p>
        </w:tc>
        <w:tc>
          <w:tcPr>
            <w:tcW w:w="377" w:type="pct"/>
            <w:vAlign w:val="center"/>
            <w:hideMark/>
          </w:tcPr>
          <w:p w14:paraId="2B01621E" w14:textId="77777777" w:rsidR="00000000" w:rsidRDefault="00A173A8">
            <w:pPr>
              <w:spacing w:after="100"/>
              <w:rPr>
                <w:rFonts w:eastAsia="Times New Roman"/>
                <w:sz w:val="20"/>
                <w:szCs w:val="20"/>
              </w:rPr>
            </w:pPr>
          </w:p>
        </w:tc>
        <w:tc>
          <w:tcPr>
            <w:tcW w:w="5" w:type="pct"/>
            <w:vAlign w:val="center"/>
            <w:hideMark/>
          </w:tcPr>
          <w:p w14:paraId="6F1DE420" w14:textId="77777777" w:rsidR="00000000" w:rsidRDefault="00A173A8">
            <w:pPr>
              <w:spacing w:after="100"/>
              <w:rPr>
                <w:rFonts w:eastAsia="Times New Roman"/>
                <w:sz w:val="20"/>
                <w:szCs w:val="20"/>
              </w:rPr>
            </w:pPr>
          </w:p>
        </w:tc>
      </w:tr>
      <w:tr w:rsidR="00000000" w14:paraId="113B932B" w14:textId="77777777">
        <w:tc>
          <w:tcPr>
            <w:tcW w:w="0" w:type="auto"/>
            <w:gridSpan w:val="3"/>
            <w:tcMar>
              <w:top w:w="0" w:type="dxa"/>
              <w:left w:w="20" w:type="dxa"/>
              <w:bottom w:w="0" w:type="dxa"/>
              <w:right w:w="20" w:type="dxa"/>
            </w:tcMar>
            <w:vAlign w:val="center"/>
            <w:hideMark/>
          </w:tcPr>
          <w:p w14:paraId="7CEE03A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0F699F"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3453E316" w14:textId="77777777" w:rsidR="00000000" w:rsidRDefault="00A173A8">
            <w:pPr>
              <w:spacing w:after="100"/>
              <w:jc w:val="center"/>
              <w:rPr>
                <w:rFonts w:eastAsia="Times New Roman"/>
              </w:rPr>
            </w:pPr>
            <w:r>
              <w:rPr>
                <w:rFonts w:eastAsia="Times New Roman"/>
                <w:b/>
                <w:bCs/>
                <w:color w:val="000000"/>
                <w:sz w:val="16"/>
                <w:szCs w:val="16"/>
              </w:rPr>
              <w:t>Quantitative Information about Level 3 Fair Value Measurements</w:t>
            </w:r>
          </w:p>
        </w:tc>
      </w:tr>
      <w:tr w:rsidR="00000000" w14:paraId="0E2206B7" w14:textId="77777777">
        <w:tc>
          <w:tcPr>
            <w:tcW w:w="0" w:type="auto"/>
            <w:gridSpan w:val="3"/>
            <w:tcBorders>
              <w:bottom w:val="single" w:sz="8" w:space="0" w:color="000000"/>
            </w:tcBorders>
            <w:tcMar>
              <w:top w:w="30" w:type="dxa"/>
              <w:left w:w="20" w:type="dxa"/>
              <w:bottom w:w="30" w:type="dxa"/>
              <w:right w:w="20" w:type="dxa"/>
            </w:tcMar>
            <w:vAlign w:val="bottom"/>
            <w:hideMark/>
          </w:tcPr>
          <w:p w14:paraId="358999BC"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ADB9537"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4F8499A" w14:textId="77777777" w:rsidR="00000000" w:rsidRDefault="00A173A8">
            <w:pPr>
              <w:spacing w:after="100"/>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542C851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F9BB23" w14:textId="77777777" w:rsidR="00000000" w:rsidRDefault="00A173A8">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r>
            <w:r>
              <w:rPr>
                <w:rFonts w:eastAsia="Times New Roman"/>
                <w:b/>
                <w:bCs/>
                <w:color w:val="000000"/>
                <w:sz w:val="16"/>
                <w:szCs w:val="16"/>
              </w:rPr>
              <w:t>Techniques</w:t>
            </w:r>
          </w:p>
        </w:tc>
        <w:tc>
          <w:tcPr>
            <w:tcW w:w="0" w:type="auto"/>
            <w:gridSpan w:val="3"/>
            <w:tcBorders>
              <w:top w:val="single" w:sz="8" w:space="0" w:color="000000"/>
            </w:tcBorders>
            <w:tcMar>
              <w:top w:w="0" w:type="dxa"/>
              <w:left w:w="20" w:type="dxa"/>
              <w:bottom w:w="0" w:type="dxa"/>
              <w:right w:w="20" w:type="dxa"/>
            </w:tcMar>
            <w:vAlign w:val="center"/>
            <w:hideMark/>
          </w:tcPr>
          <w:p w14:paraId="698CFF0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1FF300" w14:textId="77777777" w:rsidR="00000000" w:rsidRDefault="00A173A8">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tcMar>
              <w:top w:w="0" w:type="dxa"/>
              <w:left w:w="20" w:type="dxa"/>
              <w:bottom w:w="0" w:type="dxa"/>
              <w:right w:w="20" w:type="dxa"/>
            </w:tcMar>
            <w:vAlign w:val="center"/>
            <w:hideMark/>
          </w:tcPr>
          <w:p w14:paraId="21BA29D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DE39A41" w14:textId="77777777" w:rsidR="00000000" w:rsidRDefault="00A173A8">
            <w:pPr>
              <w:spacing w:after="100"/>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tcMar>
              <w:top w:w="0" w:type="dxa"/>
              <w:left w:w="20" w:type="dxa"/>
              <w:bottom w:w="0" w:type="dxa"/>
              <w:right w:w="20" w:type="dxa"/>
            </w:tcMar>
            <w:vAlign w:val="center"/>
            <w:hideMark/>
          </w:tcPr>
          <w:p w14:paraId="1FA1B39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14:paraId="19727035" w14:textId="77777777" w:rsidR="00000000" w:rsidRDefault="00A173A8">
            <w:pPr>
              <w:spacing w:after="100"/>
              <w:jc w:val="center"/>
              <w:rPr>
                <w:rFonts w:eastAsia="Times New Roman"/>
              </w:rPr>
            </w:pPr>
            <w:r>
              <w:rPr>
                <w:rFonts w:eastAsia="Times New Roman"/>
                <w:b/>
                <w:bCs/>
                <w:color w:val="000000"/>
                <w:sz w:val="16"/>
                <w:szCs w:val="16"/>
              </w:rPr>
              <w:t>Weighted</w:t>
            </w:r>
          </w:p>
          <w:p w14:paraId="56477360" w14:textId="77777777" w:rsidR="00000000" w:rsidRDefault="00A173A8">
            <w:pPr>
              <w:spacing w:after="100"/>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14:paraId="17304A54"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A684FFB" w14:textId="77777777" w:rsidR="00000000" w:rsidRDefault="00A173A8">
            <w:pPr>
              <w:spacing w:after="100"/>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14:paraId="1ED11E30"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7FCE4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199ED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F03DA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7B1B4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D2F957"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B46A6D"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63C00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CB6E2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4D367D" w14:textId="77777777" w:rsidR="00000000" w:rsidRDefault="00A173A8">
            <w:pPr>
              <w:spacing w:after="100"/>
              <w:rPr>
                <w:rFonts w:eastAsia="Times New Roman"/>
                <w:sz w:val="20"/>
                <w:szCs w:val="20"/>
              </w:rPr>
            </w:pPr>
          </w:p>
        </w:tc>
      </w:tr>
      <w:tr w:rsidR="00000000" w14:paraId="1C43CF19" w14:textId="77777777">
        <w:tc>
          <w:tcPr>
            <w:tcW w:w="0" w:type="auto"/>
            <w:gridSpan w:val="3"/>
            <w:shd w:val="clear" w:color="auto" w:fill="FFFFFF"/>
            <w:tcMar>
              <w:top w:w="30" w:type="dxa"/>
              <w:left w:w="155" w:type="dxa"/>
              <w:bottom w:w="30" w:type="dxa"/>
              <w:right w:w="20" w:type="dxa"/>
            </w:tcMar>
            <w:hideMark/>
          </w:tcPr>
          <w:p w14:paraId="32A0482A" w14:textId="77777777" w:rsidR="00000000" w:rsidRDefault="00A173A8">
            <w:pPr>
              <w:spacing w:after="100"/>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14:paraId="49FD5052"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hideMark/>
          </w:tcPr>
          <w:p w14:paraId="15FF2432"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14:paraId="781C53CC" w14:textId="77777777" w:rsidR="00000000" w:rsidRDefault="00A173A8">
            <w:pPr>
              <w:spacing w:after="100"/>
              <w:jc w:val="right"/>
              <w:rPr>
                <w:rFonts w:eastAsia="Times New Roman"/>
              </w:rPr>
            </w:pPr>
            <w:r>
              <w:rPr>
                <w:rFonts w:eastAsia="Times New Roman"/>
                <w:color w:val="000000"/>
                <w:sz w:val="18"/>
                <w:szCs w:val="18"/>
              </w:rPr>
              <w:t>258 </w:t>
            </w:r>
          </w:p>
        </w:tc>
        <w:tc>
          <w:tcPr>
            <w:tcW w:w="0" w:type="auto"/>
            <w:shd w:val="clear" w:color="auto" w:fill="FFFFFF"/>
            <w:tcMar>
              <w:top w:w="30" w:type="dxa"/>
              <w:left w:w="0" w:type="dxa"/>
              <w:bottom w:w="30" w:type="dxa"/>
              <w:right w:w="20" w:type="dxa"/>
            </w:tcMar>
            <w:hideMark/>
          </w:tcPr>
          <w:p w14:paraId="71C7BDC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C97C0D"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4AA8CE12" w14:textId="77777777" w:rsidR="00000000" w:rsidRDefault="00A173A8">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14:paraId="48F67017"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14:paraId="3136FD3F" w14:textId="77777777" w:rsidR="00000000" w:rsidRDefault="00A173A8">
            <w:pPr>
              <w:spacing w:after="100"/>
              <w:rPr>
                <w:rFonts w:eastAsia="Times New Roman"/>
              </w:rPr>
            </w:pPr>
            <w:r>
              <w:rPr>
                <w:rFonts w:eastAsia="Times New Roman"/>
                <w:color w:val="000000"/>
                <w:sz w:val="18"/>
                <w:szCs w:val="18"/>
              </w:rPr>
              <w:t>Yield</w:t>
            </w:r>
            <w:r>
              <w:rPr>
                <w:rFonts w:eastAsia="Times New Roman"/>
                <w:color w:val="000000"/>
                <w:sz w:val="18"/>
                <w:szCs w:val="18"/>
              </w:rPr>
              <w:br/>
              <w:t>Voluntary </w:t>
            </w:r>
            <w:r>
              <w:rPr>
                <w:rFonts w:eastAsia="Times New Roman"/>
                <w:color w:val="000000"/>
                <w:sz w:val="18"/>
                <w:szCs w:val="18"/>
              </w:rPr>
              <w:t>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14:paraId="259E1A07"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3D59449A" w14:textId="77777777" w:rsidR="00000000" w:rsidRDefault="00A173A8">
            <w:pPr>
              <w:spacing w:after="100"/>
              <w:divId w:val="833493448"/>
              <w:rPr>
                <w:rFonts w:eastAsia="Times New Roman"/>
              </w:rPr>
            </w:pPr>
            <w:r>
              <w:rPr>
                <w:rFonts w:eastAsia="Times New Roman"/>
                <w:color w:val="000000"/>
                <w:sz w:val="18"/>
                <w:szCs w:val="18"/>
              </w:rPr>
              <w:t>0-21%</w:t>
            </w:r>
          </w:p>
          <w:p w14:paraId="24A99B6B" w14:textId="77777777" w:rsidR="00000000" w:rsidRDefault="00A173A8">
            <w:pPr>
              <w:spacing w:after="100"/>
              <w:divId w:val="206723905"/>
              <w:rPr>
                <w:rFonts w:eastAsia="Times New Roman"/>
              </w:rPr>
            </w:pPr>
            <w:r>
              <w:rPr>
                <w:rFonts w:eastAsia="Times New Roman"/>
                <w:color w:val="000000"/>
                <w:sz w:val="18"/>
                <w:szCs w:val="18"/>
              </w:rPr>
              <w:t>5-40%</w:t>
            </w:r>
          </w:p>
          <w:p w14:paraId="19BC18B0" w14:textId="77777777" w:rsidR="00000000" w:rsidRDefault="00A173A8">
            <w:pPr>
              <w:spacing w:after="100"/>
              <w:divId w:val="1647395752"/>
              <w:rPr>
                <w:rFonts w:eastAsia="Times New Roman"/>
              </w:rPr>
            </w:pPr>
            <w:r>
              <w:rPr>
                <w:rFonts w:eastAsia="Times New Roman"/>
                <w:color w:val="000000"/>
                <w:sz w:val="18"/>
                <w:szCs w:val="18"/>
              </w:rPr>
              <w:t>1-11%</w:t>
            </w:r>
          </w:p>
          <w:p w14:paraId="600BCFFB" w14:textId="77777777" w:rsidR="00000000" w:rsidRDefault="00A173A8">
            <w:pPr>
              <w:spacing w:after="100"/>
              <w:divId w:val="290794483"/>
              <w:rPr>
                <w:rFonts w:eastAsia="Times New Roman"/>
              </w:rPr>
            </w:pPr>
            <w:r>
              <w:rPr>
                <w:rFonts w:eastAsia="Times New Roman"/>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14:paraId="4036CB4B"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1121C06F" w14:textId="77777777" w:rsidR="00000000" w:rsidRDefault="00A173A8">
            <w:pPr>
              <w:spacing w:after="100"/>
              <w:divId w:val="278610789"/>
              <w:rPr>
                <w:rFonts w:eastAsia="Times New Roman"/>
              </w:rPr>
            </w:pPr>
            <w:r>
              <w:rPr>
                <w:rFonts w:eastAsia="Times New Roman"/>
                <w:color w:val="000000"/>
                <w:sz w:val="18"/>
                <w:szCs w:val="18"/>
              </w:rPr>
              <w:t>3%</w:t>
            </w:r>
          </w:p>
          <w:p w14:paraId="56E0210A" w14:textId="77777777" w:rsidR="00000000" w:rsidRDefault="00A173A8">
            <w:pPr>
              <w:spacing w:after="100"/>
              <w:divId w:val="146484837"/>
              <w:rPr>
                <w:rFonts w:eastAsia="Times New Roman"/>
              </w:rPr>
            </w:pPr>
            <w:r>
              <w:rPr>
                <w:rFonts w:eastAsia="Times New Roman"/>
                <w:color w:val="000000"/>
                <w:sz w:val="18"/>
                <w:szCs w:val="18"/>
              </w:rPr>
              <w:t>11%</w:t>
            </w:r>
          </w:p>
          <w:p w14:paraId="6F6057BE" w14:textId="77777777" w:rsidR="00000000" w:rsidRDefault="00A173A8">
            <w:pPr>
              <w:spacing w:after="100"/>
              <w:divId w:val="1935553178"/>
              <w:rPr>
                <w:rFonts w:eastAsia="Times New Roman"/>
              </w:rPr>
            </w:pPr>
            <w:r>
              <w:rPr>
                <w:rFonts w:eastAsia="Times New Roman"/>
                <w:color w:val="000000"/>
                <w:sz w:val="18"/>
                <w:szCs w:val="18"/>
              </w:rPr>
              <w:t>2%</w:t>
            </w:r>
          </w:p>
          <w:p w14:paraId="5E130F6E" w14:textId="77777777" w:rsidR="00000000" w:rsidRDefault="00A173A8">
            <w:pPr>
              <w:spacing w:after="100"/>
              <w:divId w:val="1528955422"/>
              <w:rPr>
                <w:rFonts w:eastAsia="Times New Roman"/>
              </w:rPr>
            </w:pPr>
            <w:r>
              <w:rPr>
                <w:rFonts w:eastAsia="Times New Roman"/>
                <w:color w:val="000000"/>
                <w:sz w:val="18"/>
                <w:szCs w:val="18"/>
              </w:rPr>
              <w:t>65%</w:t>
            </w:r>
          </w:p>
        </w:tc>
      </w:tr>
      <w:tr w:rsidR="00000000" w14:paraId="01625C81" w14:textId="77777777">
        <w:tc>
          <w:tcPr>
            <w:tcW w:w="0" w:type="auto"/>
            <w:gridSpan w:val="3"/>
            <w:shd w:val="clear" w:color="auto" w:fill="CCEEFF"/>
            <w:tcMar>
              <w:top w:w="30" w:type="dxa"/>
              <w:left w:w="155" w:type="dxa"/>
              <w:bottom w:w="30" w:type="dxa"/>
              <w:right w:w="20" w:type="dxa"/>
            </w:tcMar>
            <w:hideMark/>
          </w:tcPr>
          <w:p w14:paraId="706CA747" w14:textId="77777777" w:rsidR="00000000" w:rsidRDefault="00A173A8">
            <w:pPr>
              <w:spacing w:after="100"/>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14:paraId="135A4DA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0A61A0B7" w14:textId="77777777" w:rsidR="00000000" w:rsidRDefault="00A173A8">
            <w:pPr>
              <w:spacing w:after="100"/>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hideMark/>
          </w:tcPr>
          <w:p w14:paraId="5E5F43E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DC4D3"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16349172" w14:textId="77777777" w:rsidR="00000000" w:rsidRDefault="00A173A8">
            <w:pPr>
              <w:spacing w:after="100"/>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14:paraId="79BC7E21"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4F3FAF46" w14:textId="77777777" w:rsidR="00000000" w:rsidRDefault="00A173A8">
            <w:pPr>
              <w:spacing w:after="100"/>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14:paraId="5933F0DC"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38AC1F5C" w14:textId="77777777" w:rsidR="00000000" w:rsidRDefault="00A173A8">
            <w:pPr>
              <w:spacing w:after="100"/>
              <w:divId w:val="1168252895"/>
              <w:rPr>
                <w:rFonts w:eastAsia="Times New Roman"/>
              </w:rPr>
            </w:pPr>
            <w:r>
              <w:rPr>
                <w:rFonts w:eastAsia="Times New Roman"/>
                <w:color w:val="000000"/>
                <w:sz w:val="18"/>
                <w:szCs w:val="18"/>
              </w:rPr>
              <w:t>1-2%</w:t>
            </w:r>
          </w:p>
        </w:tc>
        <w:tc>
          <w:tcPr>
            <w:tcW w:w="0" w:type="auto"/>
            <w:gridSpan w:val="3"/>
            <w:shd w:val="clear" w:color="auto" w:fill="CCEEFF"/>
            <w:tcMar>
              <w:top w:w="0" w:type="dxa"/>
              <w:left w:w="20" w:type="dxa"/>
              <w:bottom w:w="0" w:type="dxa"/>
              <w:right w:w="20" w:type="dxa"/>
            </w:tcMar>
            <w:vAlign w:val="center"/>
            <w:hideMark/>
          </w:tcPr>
          <w:p w14:paraId="3E3BD46E"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185148CB" w14:textId="77777777" w:rsidR="00000000" w:rsidRDefault="00A173A8">
            <w:pPr>
              <w:spacing w:after="100"/>
              <w:rPr>
                <w:rFonts w:eastAsia="Times New Roman"/>
              </w:rPr>
            </w:pPr>
            <w:r>
              <w:rPr>
                <w:rFonts w:eastAsia="Times New Roman"/>
                <w:color w:val="000000"/>
                <w:sz w:val="18"/>
                <w:szCs w:val="18"/>
              </w:rPr>
              <w:t>1%</w:t>
            </w:r>
          </w:p>
        </w:tc>
      </w:tr>
      <w:tr w:rsidR="00000000" w14:paraId="1CCECF14" w14:textId="77777777">
        <w:tc>
          <w:tcPr>
            <w:tcW w:w="0" w:type="auto"/>
            <w:gridSpan w:val="3"/>
            <w:shd w:val="clear" w:color="auto" w:fill="FFFFFF"/>
            <w:tcMar>
              <w:top w:w="30" w:type="dxa"/>
              <w:left w:w="20" w:type="dxa"/>
              <w:bottom w:w="30" w:type="dxa"/>
              <w:right w:w="20" w:type="dxa"/>
            </w:tcMar>
            <w:hideMark/>
          </w:tcPr>
          <w:p w14:paraId="358382A7" w14:textId="77777777" w:rsidR="00000000" w:rsidRDefault="00A173A8">
            <w:pPr>
              <w:spacing w:after="100"/>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14:paraId="11380695"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612CC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FF1C3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EB437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8867B4"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FF29D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F5524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6275F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53539A"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BB0580" w14:textId="77777777" w:rsidR="00000000" w:rsidRDefault="00A173A8">
            <w:pPr>
              <w:spacing w:after="100"/>
              <w:rPr>
                <w:rFonts w:eastAsia="Times New Roman"/>
                <w:sz w:val="20"/>
                <w:szCs w:val="20"/>
              </w:rPr>
            </w:pPr>
          </w:p>
        </w:tc>
      </w:tr>
      <w:tr w:rsidR="00000000" w14:paraId="20A1DDA4" w14:textId="77777777">
        <w:tc>
          <w:tcPr>
            <w:tcW w:w="0" w:type="auto"/>
            <w:gridSpan w:val="3"/>
            <w:shd w:val="clear" w:color="auto" w:fill="CCEEFF"/>
            <w:tcMar>
              <w:top w:w="30" w:type="dxa"/>
              <w:left w:w="20" w:type="dxa"/>
              <w:bottom w:w="30" w:type="dxa"/>
              <w:right w:w="20" w:type="dxa"/>
            </w:tcMar>
            <w:hideMark/>
          </w:tcPr>
          <w:p w14:paraId="44EAE1FF" w14:textId="77777777" w:rsidR="00000000" w:rsidRDefault="00A173A8">
            <w:pPr>
              <w:spacing w:after="100"/>
              <w:divId w:val="1298146800"/>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1ECC22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72E18684" w14:textId="77777777" w:rsidR="00000000" w:rsidRDefault="00A173A8">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hideMark/>
          </w:tcPr>
          <w:p w14:paraId="50F27E2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DF5772" w14:textId="77777777" w:rsidR="00000000" w:rsidRDefault="00A173A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14:paraId="702A74BF" w14:textId="77777777" w:rsidR="00000000" w:rsidRDefault="00A173A8">
            <w:pPr>
              <w:spacing w:after="100"/>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14:paraId="27CDB668"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9DB774B" w14:textId="77777777" w:rsidR="00000000" w:rsidRDefault="00A173A8">
            <w:pPr>
              <w:spacing w:after="100"/>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14:paraId="137C44FA"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hideMark/>
          </w:tcPr>
          <w:p w14:paraId="216EDE4C" w14:textId="77777777" w:rsidR="00000000" w:rsidRDefault="00A173A8">
            <w:pPr>
              <w:spacing w:after="100"/>
              <w:divId w:val="134103463"/>
              <w:rPr>
                <w:rFonts w:eastAsia="Times New Roman"/>
              </w:rPr>
            </w:pPr>
            <w:r>
              <w:rPr>
                <w:rFonts w:eastAsia="Times New Roman"/>
                <w:color w:val="000000"/>
                <w:sz w:val="18"/>
                <w:szCs w:val="18"/>
              </w:rPr>
              <w:t>29-36</w:t>
            </w:r>
          </w:p>
          <w:p w14:paraId="3552DB48" w14:textId="77777777" w:rsidR="00000000" w:rsidRDefault="00A173A8">
            <w:pPr>
              <w:spacing w:after="100"/>
              <w:divId w:val="1336573943"/>
              <w:rPr>
                <w:rFonts w:eastAsia="Times New Roman"/>
              </w:rPr>
            </w:pPr>
            <w:r>
              <w:rPr>
                <w:rFonts w:eastAsia="Times New Roman"/>
                <w:color w:val="000000"/>
                <w:sz w:val="18"/>
                <w:szCs w:val="18"/>
              </w:rPr>
              <w:t>9-18%</w:t>
            </w:r>
          </w:p>
          <w:p w14:paraId="46B3328C" w14:textId="77777777" w:rsidR="00000000" w:rsidRDefault="00A173A8">
            <w:pPr>
              <w:spacing w:after="100"/>
              <w:divId w:val="1324773236"/>
              <w:rPr>
                <w:rFonts w:eastAsia="Times New Roman"/>
              </w:rPr>
            </w:pPr>
            <w:r>
              <w:rPr>
                <w:rFonts w:eastAsia="Times New Roman"/>
                <w:color w:val="000000"/>
                <w:sz w:val="18"/>
                <w:szCs w:val="18"/>
              </w:rPr>
              <w:t>2-8%</w:t>
            </w:r>
          </w:p>
          <w:p w14:paraId="63A6F315" w14:textId="77777777" w:rsidR="00000000" w:rsidRDefault="00A173A8">
            <w:pPr>
              <w:spacing w:after="100"/>
              <w:divId w:val="1341084643"/>
              <w:rPr>
                <w:rFonts w:eastAsia="Times New Roman"/>
              </w:rPr>
            </w:pPr>
            <w:r>
              <w:rPr>
                <w:rFonts w:eastAsia="Times New Roman"/>
                <w:color w:val="000000"/>
                <w:sz w:val="18"/>
                <w:szCs w:val="18"/>
              </w:rPr>
              <w:t>3-4%</w:t>
            </w:r>
          </w:p>
          <w:p w14:paraId="16C85EBF" w14:textId="77777777" w:rsidR="00000000" w:rsidRDefault="00A173A8">
            <w:pPr>
              <w:spacing w:after="100"/>
              <w:divId w:val="1356224088"/>
              <w:rPr>
                <w:rFonts w:eastAsia="Times New Roman"/>
              </w:rPr>
            </w:pPr>
            <w:r>
              <w:rPr>
                <w:rFonts w:eastAsia="Times New Roman"/>
                <w:color w:val="000000"/>
                <w:sz w:val="18"/>
                <w:szCs w:val="18"/>
              </w:rPr>
              <w:t>72-151%</w:t>
            </w:r>
          </w:p>
        </w:tc>
        <w:tc>
          <w:tcPr>
            <w:tcW w:w="0" w:type="auto"/>
            <w:gridSpan w:val="3"/>
            <w:shd w:val="clear" w:color="auto" w:fill="CCEEFF"/>
            <w:tcMar>
              <w:top w:w="0" w:type="dxa"/>
              <w:left w:w="20" w:type="dxa"/>
              <w:bottom w:w="0" w:type="dxa"/>
              <w:right w:w="20" w:type="dxa"/>
            </w:tcMar>
            <w:vAlign w:val="center"/>
            <w:hideMark/>
          </w:tcPr>
          <w:p w14:paraId="1FE7915E" w14:textId="77777777" w:rsidR="00000000" w:rsidRDefault="00A173A8">
            <w:pPr>
              <w:spacing w:after="100"/>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11C07DAC" w14:textId="77777777" w:rsidR="00000000" w:rsidRDefault="00A173A8">
            <w:pPr>
              <w:spacing w:after="100"/>
              <w:rPr>
                <w:rFonts w:eastAsia="Times New Roman"/>
              </w:rPr>
            </w:pPr>
            <w:r>
              <w:rPr>
                <w:rFonts w:eastAsia="Times New Roman"/>
                <w:color w:val="000000"/>
                <w:sz w:val="18"/>
                <w:szCs w:val="18"/>
              </w:rPr>
              <w:t>N/A</w:t>
            </w:r>
          </w:p>
        </w:tc>
      </w:tr>
      <w:tr w:rsidR="00000000" w14:paraId="10679745" w14:textId="77777777">
        <w:tc>
          <w:tcPr>
            <w:tcW w:w="0" w:type="auto"/>
            <w:gridSpan w:val="3"/>
            <w:shd w:val="clear" w:color="auto" w:fill="FFFFFF"/>
            <w:tcMar>
              <w:top w:w="30" w:type="dxa"/>
              <w:left w:w="20" w:type="dxa"/>
              <w:bottom w:w="30" w:type="dxa"/>
              <w:right w:w="20" w:type="dxa"/>
            </w:tcMar>
            <w:hideMark/>
          </w:tcPr>
          <w:p w14:paraId="7CC0B238" w14:textId="77777777" w:rsidR="00000000" w:rsidRDefault="00A173A8">
            <w:pPr>
              <w:spacing w:after="100"/>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14:paraId="0781FFC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213E9C29" w14:textId="77777777" w:rsidR="00000000" w:rsidRDefault="00A173A8">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hideMark/>
          </w:tcPr>
          <w:p w14:paraId="79F9981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C002B" w14:textId="77777777" w:rsidR="00000000" w:rsidRDefault="00A173A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14:paraId="39AF67C9" w14:textId="77777777" w:rsidR="00000000" w:rsidRDefault="00A173A8">
            <w:pPr>
              <w:spacing w:after="100"/>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14:paraId="192D4EBB"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7A32250F" w14:textId="77777777" w:rsidR="00000000" w:rsidRDefault="00A173A8">
            <w:pPr>
              <w:spacing w:after="100"/>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14:paraId="70C4BB70"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4657B5CB" w14:textId="77777777" w:rsidR="00000000" w:rsidRDefault="00A173A8">
            <w:pPr>
              <w:spacing w:after="100"/>
              <w:divId w:val="156922942"/>
              <w:rPr>
                <w:rFonts w:eastAsia="Times New Roman"/>
              </w:rPr>
            </w:pPr>
            <w:r>
              <w:rPr>
                <w:rFonts w:eastAsia="Times New Roman"/>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14:paraId="2DE5FB33" w14:textId="77777777" w:rsidR="00000000" w:rsidRDefault="00A173A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14:paraId="6AE28DD2" w14:textId="77777777" w:rsidR="00000000" w:rsidRDefault="00A173A8">
            <w:pPr>
              <w:spacing w:after="100"/>
              <w:rPr>
                <w:rFonts w:eastAsia="Times New Roman"/>
              </w:rPr>
            </w:pPr>
            <w:r>
              <w:rPr>
                <w:rFonts w:eastAsia="Times New Roman"/>
                <w:color w:val="000000"/>
                <w:sz w:val="18"/>
                <w:szCs w:val="18"/>
              </w:rPr>
              <w:t>2%</w:t>
            </w:r>
          </w:p>
        </w:tc>
      </w:tr>
    </w:tbl>
    <w:p w14:paraId="7122EDC8" w14:textId="77777777" w:rsidR="00000000" w:rsidRDefault="00A173A8">
      <w:pPr>
        <w:rPr>
          <w:rFonts w:eastAsia="Times New Roman"/>
        </w:rPr>
      </w:pPr>
      <w:r>
        <w:rPr>
          <w:rFonts w:eastAsia="Times New Roman"/>
          <w:color w:val="000000"/>
          <w:sz w:val="20"/>
          <w:szCs w:val="20"/>
        </w:rPr>
        <w:t>__________</w:t>
      </w:r>
    </w:p>
    <w:p w14:paraId="640908F1" w14:textId="77777777" w:rsidR="00000000" w:rsidRDefault="00A173A8">
      <w:pPr>
        <w:ind w:hanging="360"/>
        <w:jc w:val="both"/>
        <w:divId w:val="18082319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Weighted averages are calculated by using the product of the input multiplied by the relative fair value of the instruments.</w:t>
      </w:r>
    </w:p>
    <w:p w14:paraId="49A8E5FC" w14:textId="77777777" w:rsidR="00000000" w:rsidRDefault="00A173A8">
      <w:pPr>
        <w:ind w:hanging="360"/>
        <w:jc w:val="both"/>
        <w:divId w:val="107374347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Due to the nature of the various mortgage securitization structures in which we have retained </w:t>
      </w:r>
      <w:r>
        <w:rPr>
          <w:rFonts w:eastAsia="Times New Roman"/>
          <w:color w:val="000000"/>
          <w:sz w:val="16"/>
          <w:szCs w:val="16"/>
        </w:rPr>
        <w:t>interests, it is not meaningful to present a consolidated weighted average for the significant unobservable inputs.</w:t>
      </w:r>
    </w:p>
    <w:p w14:paraId="6F8BC59E" w14:textId="77777777" w:rsidR="00000000" w:rsidRDefault="00A173A8">
      <w:pPr>
        <w:divId w:val="538468530"/>
        <w:rPr>
          <w:rFonts w:eastAsia="Times New Roman"/>
        </w:rPr>
      </w:pPr>
      <w:r>
        <w:rPr>
          <w:rFonts w:eastAsia="Times New Roman"/>
          <w:b/>
          <w:bCs/>
          <w:color w:val="000000"/>
          <w:sz w:val="20"/>
          <w:szCs w:val="20"/>
        </w:rPr>
        <w:t>Assets and Liabilities Measured at Fair Value on a Nonrecurring Basis</w:t>
      </w:r>
    </w:p>
    <w:p w14:paraId="60292CC4" w14:textId="77777777" w:rsidR="00000000" w:rsidRDefault="00A173A8">
      <w:pPr>
        <w:jc w:val="both"/>
        <w:divId w:val="1067533232"/>
        <w:rPr>
          <w:rFonts w:eastAsia="Times New Roman"/>
        </w:rPr>
      </w:pPr>
      <w:r>
        <w:rPr>
          <w:rFonts w:eastAsia="Times New Roman"/>
          <w:color w:val="000000"/>
          <w:sz w:val="20"/>
          <w:szCs w:val="20"/>
        </w:rPr>
        <w:t xml:space="preserve">We are required to measure and recognize certain assets at fair value </w:t>
      </w:r>
      <w:r>
        <w:rPr>
          <w:rFonts w:eastAsia="Times New Roman"/>
          <w:color w:val="000000"/>
          <w:sz w:val="20"/>
          <w:szCs w:val="20"/>
        </w:rPr>
        <w:t>on a nonrecurring basis on the consolidated balance sheets. These assets are not measured at fair value on an ongoing basis but are subject to fair value adjustments in certain circumstances (for example, from the application of lower of cost or fair value</w:t>
      </w:r>
      <w:r>
        <w:rPr>
          <w:rFonts w:eastAsia="Times New Roman"/>
          <w:color w:val="000000"/>
          <w:sz w:val="20"/>
          <w:szCs w:val="20"/>
        </w:rPr>
        <w:t xml:space="preserve"> accounting or when we evaluate for impairment). </w:t>
      </w:r>
    </w:p>
    <w:p w14:paraId="26A74A79" w14:textId="77777777" w:rsidR="00000000" w:rsidRDefault="00A173A8">
      <w:pPr>
        <w:jc w:val="both"/>
        <w:divId w:val="1229537795"/>
        <w:rPr>
          <w:rFonts w:eastAsia="Times New Roman"/>
        </w:rPr>
      </w:pPr>
      <w:r>
        <w:rPr>
          <w:rFonts w:eastAsia="Times New Roman"/>
          <w:color w:val="000000"/>
          <w:sz w:val="20"/>
          <w:szCs w:val="20"/>
        </w:rPr>
        <w:t>The following table presents the carrying value of the assets measured at fair value on a nonrecurring basis and still held as of June 30, 2022 and December 31, 2021, and for which a nonrecurring fair value</w:t>
      </w:r>
      <w:r>
        <w:rPr>
          <w:rFonts w:eastAsia="Times New Roman"/>
          <w:color w:val="000000"/>
          <w:sz w:val="20"/>
          <w:szCs w:val="20"/>
        </w:rPr>
        <w:t xml:space="preserve"> measurement was recorded during the six and twelve months then ended.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0869A07" w14:textId="77777777">
        <w:trPr>
          <w:divId w:val="523790452"/>
          <w:jc w:val="center"/>
        </w:trPr>
        <w:tc>
          <w:tcPr>
            <w:tcW w:w="50" w:type="pct"/>
            <w:vAlign w:val="center"/>
            <w:hideMark/>
          </w:tcPr>
          <w:p w14:paraId="7AE0D3AD" w14:textId="77777777" w:rsidR="00000000" w:rsidRDefault="00A173A8">
            <w:pPr>
              <w:jc w:val="both"/>
              <w:rPr>
                <w:rFonts w:eastAsia="Times New Roman"/>
              </w:rPr>
            </w:pPr>
          </w:p>
        </w:tc>
        <w:tc>
          <w:tcPr>
            <w:tcW w:w="1606" w:type="pct"/>
            <w:vAlign w:val="center"/>
            <w:hideMark/>
          </w:tcPr>
          <w:p w14:paraId="1E259E3E" w14:textId="77777777" w:rsidR="00000000" w:rsidRDefault="00A173A8">
            <w:pPr>
              <w:spacing w:after="100"/>
              <w:rPr>
                <w:rFonts w:eastAsia="Times New Roman"/>
                <w:sz w:val="20"/>
                <w:szCs w:val="20"/>
              </w:rPr>
            </w:pPr>
          </w:p>
        </w:tc>
        <w:tc>
          <w:tcPr>
            <w:tcW w:w="5" w:type="pct"/>
            <w:vAlign w:val="center"/>
            <w:hideMark/>
          </w:tcPr>
          <w:p w14:paraId="243476E2" w14:textId="77777777" w:rsidR="00000000" w:rsidRDefault="00A173A8">
            <w:pPr>
              <w:spacing w:after="100"/>
              <w:rPr>
                <w:rFonts w:eastAsia="Times New Roman"/>
                <w:sz w:val="20"/>
                <w:szCs w:val="20"/>
              </w:rPr>
            </w:pPr>
          </w:p>
        </w:tc>
        <w:tc>
          <w:tcPr>
            <w:tcW w:w="50" w:type="pct"/>
            <w:vAlign w:val="center"/>
            <w:hideMark/>
          </w:tcPr>
          <w:p w14:paraId="0BC18516" w14:textId="77777777" w:rsidR="00000000" w:rsidRDefault="00A173A8">
            <w:pPr>
              <w:spacing w:after="100"/>
              <w:rPr>
                <w:rFonts w:eastAsia="Times New Roman"/>
                <w:sz w:val="20"/>
                <w:szCs w:val="20"/>
              </w:rPr>
            </w:pPr>
          </w:p>
        </w:tc>
        <w:tc>
          <w:tcPr>
            <w:tcW w:w="1614" w:type="pct"/>
            <w:vAlign w:val="center"/>
            <w:hideMark/>
          </w:tcPr>
          <w:p w14:paraId="1A1B4D53" w14:textId="77777777" w:rsidR="00000000" w:rsidRDefault="00A173A8">
            <w:pPr>
              <w:spacing w:after="100"/>
              <w:rPr>
                <w:rFonts w:eastAsia="Times New Roman"/>
                <w:sz w:val="20"/>
                <w:szCs w:val="20"/>
              </w:rPr>
            </w:pPr>
          </w:p>
        </w:tc>
        <w:tc>
          <w:tcPr>
            <w:tcW w:w="5" w:type="pct"/>
            <w:vAlign w:val="center"/>
            <w:hideMark/>
          </w:tcPr>
          <w:p w14:paraId="247222B3" w14:textId="77777777" w:rsidR="00000000" w:rsidRDefault="00A173A8">
            <w:pPr>
              <w:spacing w:after="100"/>
              <w:rPr>
                <w:rFonts w:eastAsia="Times New Roman"/>
                <w:sz w:val="20"/>
                <w:szCs w:val="20"/>
              </w:rPr>
            </w:pPr>
          </w:p>
        </w:tc>
        <w:tc>
          <w:tcPr>
            <w:tcW w:w="50" w:type="pct"/>
            <w:vAlign w:val="center"/>
            <w:hideMark/>
          </w:tcPr>
          <w:p w14:paraId="49A9F3AF" w14:textId="77777777" w:rsidR="00000000" w:rsidRDefault="00A173A8">
            <w:pPr>
              <w:spacing w:after="100"/>
              <w:rPr>
                <w:rFonts w:eastAsia="Times New Roman"/>
                <w:sz w:val="20"/>
                <w:szCs w:val="20"/>
              </w:rPr>
            </w:pPr>
          </w:p>
        </w:tc>
        <w:tc>
          <w:tcPr>
            <w:tcW w:w="1614" w:type="pct"/>
            <w:vAlign w:val="center"/>
            <w:hideMark/>
          </w:tcPr>
          <w:p w14:paraId="17F6656E" w14:textId="77777777" w:rsidR="00000000" w:rsidRDefault="00A173A8">
            <w:pPr>
              <w:spacing w:after="100"/>
              <w:rPr>
                <w:rFonts w:eastAsia="Times New Roman"/>
                <w:sz w:val="20"/>
                <w:szCs w:val="20"/>
              </w:rPr>
            </w:pPr>
          </w:p>
        </w:tc>
        <w:tc>
          <w:tcPr>
            <w:tcW w:w="5" w:type="pct"/>
            <w:vAlign w:val="center"/>
            <w:hideMark/>
          </w:tcPr>
          <w:p w14:paraId="629DF32B" w14:textId="77777777" w:rsidR="00000000" w:rsidRDefault="00A173A8">
            <w:pPr>
              <w:spacing w:after="100"/>
              <w:rPr>
                <w:rFonts w:eastAsia="Times New Roman"/>
                <w:sz w:val="20"/>
                <w:szCs w:val="20"/>
              </w:rPr>
            </w:pPr>
          </w:p>
        </w:tc>
      </w:tr>
      <w:tr w:rsidR="00000000" w14:paraId="0F70707C" w14:textId="77777777">
        <w:trPr>
          <w:divId w:val="523790452"/>
          <w:trHeight w:val="300"/>
          <w:jc w:val="center"/>
        </w:trPr>
        <w:tc>
          <w:tcPr>
            <w:tcW w:w="0" w:type="auto"/>
            <w:gridSpan w:val="9"/>
            <w:tcMar>
              <w:top w:w="0" w:type="dxa"/>
              <w:left w:w="20" w:type="dxa"/>
              <w:bottom w:w="0" w:type="dxa"/>
              <w:right w:w="20" w:type="dxa"/>
            </w:tcMar>
            <w:vAlign w:val="center"/>
            <w:hideMark/>
          </w:tcPr>
          <w:p w14:paraId="26CFDD7B" w14:textId="77777777" w:rsidR="00000000" w:rsidRDefault="00A173A8">
            <w:pPr>
              <w:spacing w:after="100"/>
              <w:rPr>
                <w:rFonts w:eastAsia="Times New Roman"/>
                <w:sz w:val="20"/>
                <w:szCs w:val="20"/>
              </w:rPr>
            </w:pPr>
          </w:p>
        </w:tc>
      </w:tr>
      <w:tr w:rsidR="00000000" w14:paraId="1E75055F" w14:textId="77777777">
        <w:trPr>
          <w:divId w:val="523790452"/>
          <w:jc w:val="center"/>
        </w:trPr>
        <w:tc>
          <w:tcPr>
            <w:tcW w:w="0" w:type="auto"/>
            <w:gridSpan w:val="3"/>
            <w:tcMar>
              <w:top w:w="0" w:type="dxa"/>
              <w:left w:w="20" w:type="dxa"/>
              <w:bottom w:w="0" w:type="dxa"/>
              <w:right w:w="20" w:type="dxa"/>
            </w:tcMar>
            <w:vAlign w:val="center"/>
            <w:hideMark/>
          </w:tcPr>
          <w:p w14:paraId="6797EC62"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A54534D" w14:textId="77777777" w:rsidR="00000000" w:rsidRDefault="00A173A8">
            <w:pPr>
              <w:spacing w:after="100"/>
              <w:jc w:val="center"/>
              <w:rPr>
                <w:rFonts w:eastAsia="Times New Roman"/>
              </w:rPr>
            </w:pPr>
            <w:r>
              <w:rPr>
                <w:rFonts w:eastAsia="Times New Roman"/>
                <w:color w:val="000000"/>
                <w:sz w:val="16"/>
                <w:szCs w:val="16"/>
              </w:rPr>
              <w:t>110</w:t>
            </w:r>
          </w:p>
        </w:tc>
        <w:tc>
          <w:tcPr>
            <w:tcW w:w="0" w:type="auto"/>
            <w:gridSpan w:val="3"/>
            <w:tcMar>
              <w:top w:w="30" w:type="dxa"/>
              <w:left w:w="20" w:type="dxa"/>
              <w:bottom w:w="30" w:type="dxa"/>
              <w:right w:w="20" w:type="dxa"/>
            </w:tcMar>
            <w:vAlign w:val="bottom"/>
            <w:hideMark/>
          </w:tcPr>
          <w:p w14:paraId="200C99CD"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A5BD453" w14:textId="77777777" w:rsidR="00000000" w:rsidRDefault="00A173A8">
      <w:pPr>
        <w:rPr>
          <w:rFonts w:eastAsia="Times New Roman"/>
        </w:rPr>
      </w:pPr>
      <w:r>
        <w:rPr>
          <w:rFonts w:eastAsia="Times New Roman"/>
        </w:rPr>
        <w:pict w14:anchorId="401BAA27">
          <v:rect id="_x0000_i1135" style="width:0;height:1.5pt" o:hralign="center" o:hrstd="t" o:hr="t" fillcolor="#a0a0a0" stroked="f"/>
        </w:pict>
      </w:r>
    </w:p>
    <w:p w14:paraId="7FED1A36" w14:textId="77777777" w:rsidR="00000000" w:rsidRDefault="00A173A8">
      <w:pPr>
        <w:jc w:val="both"/>
        <w:divId w:val="935790340"/>
        <w:rPr>
          <w:rFonts w:eastAsia="Times New Roman"/>
        </w:rPr>
      </w:pPr>
      <w:hyperlink w:anchor="i7ffd5d61af6f4722b1b1b07530d51c06_13" w:history="1">
        <w:r>
          <w:rPr>
            <w:rStyle w:val="a3"/>
            <w:rFonts w:eastAsia="Times New Roman"/>
            <w:sz w:val="16"/>
            <w:szCs w:val="16"/>
          </w:rPr>
          <w:t>Table of Contents</w:t>
        </w:r>
      </w:hyperlink>
    </w:p>
    <w:p w14:paraId="4613944F" w14:textId="77777777" w:rsidR="00000000" w:rsidRDefault="00A173A8">
      <w:pPr>
        <w:divId w:val="828521819"/>
        <w:rPr>
          <w:rFonts w:eastAsia="Times New Roman"/>
        </w:rPr>
      </w:pPr>
      <w:r>
        <w:rPr>
          <w:rFonts w:eastAsia="Times New Roman"/>
          <w:b/>
          <w:bCs/>
          <w:color w:val="000000"/>
          <w:sz w:val="18"/>
          <w:szCs w:val="18"/>
        </w:rPr>
        <w:t>Table 11.4: Nonrecurring Fair Value Measurements</w:t>
      </w:r>
    </w:p>
    <w:tbl>
      <w:tblPr>
        <w:tblW w:w="4985" w:type="pct"/>
        <w:tblCellMar>
          <w:top w:w="15" w:type="dxa"/>
          <w:left w:w="15" w:type="dxa"/>
          <w:bottom w:w="15" w:type="dxa"/>
          <w:right w:w="15" w:type="dxa"/>
        </w:tblCellMar>
        <w:tblLook w:val="04A0" w:firstRow="1" w:lastRow="0" w:firstColumn="1" w:lastColumn="0" w:noHBand="0" w:noVBand="1"/>
      </w:tblPr>
      <w:tblGrid>
        <w:gridCol w:w="38"/>
        <w:gridCol w:w="5871"/>
        <w:gridCol w:w="37"/>
        <w:gridCol w:w="36"/>
        <w:gridCol w:w="36"/>
        <w:gridCol w:w="36"/>
        <w:gridCol w:w="111"/>
        <w:gridCol w:w="622"/>
        <w:gridCol w:w="37"/>
        <w:gridCol w:w="37"/>
        <w:gridCol w:w="48"/>
        <w:gridCol w:w="36"/>
        <w:gridCol w:w="110"/>
        <w:gridCol w:w="621"/>
        <w:gridCol w:w="36"/>
        <w:gridCol w:w="36"/>
        <w:gridCol w:w="36"/>
        <w:gridCol w:w="36"/>
        <w:gridCol w:w="110"/>
        <w:gridCol w:w="315"/>
        <w:gridCol w:w="36"/>
      </w:tblGrid>
      <w:tr w:rsidR="00000000" w14:paraId="11354B93" w14:textId="77777777">
        <w:trPr>
          <w:divId w:val="1976636053"/>
        </w:trPr>
        <w:tc>
          <w:tcPr>
            <w:tcW w:w="50" w:type="pct"/>
            <w:vAlign w:val="center"/>
            <w:hideMark/>
          </w:tcPr>
          <w:p w14:paraId="782D7CED" w14:textId="77777777" w:rsidR="00000000" w:rsidRDefault="00A173A8">
            <w:pPr>
              <w:rPr>
                <w:rFonts w:eastAsia="Times New Roman"/>
              </w:rPr>
            </w:pPr>
          </w:p>
        </w:tc>
        <w:tc>
          <w:tcPr>
            <w:tcW w:w="3669" w:type="pct"/>
            <w:vAlign w:val="center"/>
            <w:hideMark/>
          </w:tcPr>
          <w:p w14:paraId="041E9553" w14:textId="77777777" w:rsidR="00000000" w:rsidRDefault="00A173A8">
            <w:pPr>
              <w:spacing w:after="100"/>
              <w:rPr>
                <w:rFonts w:eastAsia="Times New Roman"/>
                <w:sz w:val="20"/>
                <w:szCs w:val="20"/>
              </w:rPr>
            </w:pPr>
          </w:p>
        </w:tc>
        <w:tc>
          <w:tcPr>
            <w:tcW w:w="5" w:type="pct"/>
            <w:vAlign w:val="center"/>
            <w:hideMark/>
          </w:tcPr>
          <w:p w14:paraId="24534322" w14:textId="77777777" w:rsidR="00000000" w:rsidRDefault="00A173A8">
            <w:pPr>
              <w:spacing w:after="100"/>
              <w:rPr>
                <w:rFonts w:eastAsia="Times New Roman"/>
                <w:sz w:val="20"/>
                <w:szCs w:val="20"/>
              </w:rPr>
            </w:pPr>
          </w:p>
        </w:tc>
        <w:tc>
          <w:tcPr>
            <w:tcW w:w="5" w:type="pct"/>
            <w:vAlign w:val="center"/>
            <w:hideMark/>
          </w:tcPr>
          <w:p w14:paraId="294328C0" w14:textId="77777777" w:rsidR="00000000" w:rsidRDefault="00A173A8">
            <w:pPr>
              <w:spacing w:after="100"/>
              <w:rPr>
                <w:rFonts w:eastAsia="Times New Roman"/>
                <w:sz w:val="20"/>
                <w:szCs w:val="20"/>
              </w:rPr>
            </w:pPr>
          </w:p>
        </w:tc>
        <w:tc>
          <w:tcPr>
            <w:tcW w:w="26" w:type="pct"/>
            <w:vAlign w:val="center"/>
            <w:hideMark/>
          </w:tcPr>
          <w:p w14:paraId="107F0679" w14:textId="77777777" w:rsidR="00000000" w:rsidRDefault="00A173A8">
            <w:pPr>
              <w:spacing w:after="100"/>
              <w:rPr>
                <w:rFonts w:eastAsia="Times New Roman"/>
                <w:sz w:val="20"/>
                <w:szCs w:val="20"/>
              </w:rPr>
            </w:pPr>
          </w:p>
        </w:tc>
        <w:tc>
          <w:tcPr>
            <w:tcW w:w="5" w:type="pct"/>
            <w:vAlign w:val="center"/>
            <w:hideMark/>
          </w:tcPr>
          <w:p w14:paraId="742816B0" w14:textId="77777777" w:rsidR="00000000" w:rsidRDefault="00A173A8">
            <w:pPr>
              <w:spacing w:after="100"/>
              <w:rPr>
                <w:rFonts w:eastAsia="Times New Roman"/>
                <w:sz w:val="20"/>
                <w:szCs w:val="20"/>
              </w:rPr>
            </w:pPr>
          </w:p>
        </w:tc>
        <w:tc>
          <w:tcPr>
            <w:tcW w:w="50" w:type="pct"/>
            <w:vAlign w:val="center"/>
            <w:hideMark/>
          </w:tcPr>
          <w:p w14:paraId="40FB49C2" w14:textId="77777777" w:rsidR="00000000" w:rsidRDefault="00A173A8">
            <w:pPr>
              <w:spacing w:after="100"/>
              <w:rPr>
                <w:rFonts w:eastAsia="Times New Roman"/>
                <w:sz w:val="20"/>
                <w:szCs w:val="20"/>
              </w:rPr>
            </w:pPr>
          </w:p>
        </w:tc>
        <w:tc>
          <w:tcPr>
            <w:tcW w:w="333" w:type="pct"/>
            <w:vAlign w:val="center"/>
            <w:hideMark/>
          </w:tcPr>
          <w:p w14:paraId="03498001" w14:textId="77777777" w:rsidR="00000000" w:rsidRDefault="00A173A8">
            <w:pPr>
              <w:spacing w:after="100"/>
              <w:rPr>
                <w:rFonts w:eastAsia="Times New Roman"/>
                <w:sz w:val="20"/>
                <w:szCs w:val="20"/>
              </w:rPr>
            </w:pPr>
          </w:p>
        </w:tc>
        <w:tc>
          <w:tcPr>
            <w:tcW w:w="5" w:type="pct"/>
            <w:vAlign w:val="center"/>
            <w:hideMark/>
          </w:tcPr>
          <w:p w14:paraId="35C068C0" w14:textId="77777777" w:rsidR="00000000" w:rsidRDefault="00A173A8">
            <w:pPr>
              <w:spacing w:after="100"/>
              <w:rPr>
                <w:rFonts w:eastAsia="Times New Roman"/>
                <w:sz w:val="20"/>
                <w:szCs w:val="20"/>
              </w:rPr>
            </w:pPr>
          </w:p>
        </w:tc>
        <w:tc>
          <w:tcPr>
            <w:tcW w:w="5" w:type="pct"/>
            <w:vAlign w:val="center"/>
            <w:hideMark/>
          </w:tcPr>
          <w:p w14:paraId="317F650C" w14:textId="77777777" w:rsidR="00000000" w:rsidRDefault="00A173A8">
            <w:pPr>
              <w:spacing w:after="100"/>
              <w:rPr>
                <w:rFonts w:eastAsia="Times New Roman"/>
                <w:sz w:val="20"/>
                <w:szCs w:val="20"/>
              </w:rPr>
            </w:pPr>
          </w:p>
        </w:tc>
        <w:tc>
          <w:tcPr>
            <w:tcW w:w="26" w:type="pct"/>
            <w:vAlign w:val="center"/>
            <w:hideMark/>
          </w:tcPr>
          <w:p w14:paraId="7F5438ED" w14:textId="77777777" w:rsidR="00000000" w:rsidRDefault="00A173A8">
            <w:pPr>
              <w:spacing w:after="100"/>
              <w:rPr>
                <w:rFonts w:eastAsia="Times New Roman"/>
                <w:sz w:val="20"/>
                <w:szCs w:val="20"/>
              </w:rPr>
            </w:pPr>
          </w:p>
        </w:tc>
        <w:tc>
          <w:tcPr>
            <w:tcW w:w="5" w:type="pct"/>
            <w:vAlign w:val="center"/>
            <w:hideMark/>
          </w:tcPr>
          <w:p w14:paraId="5D18C572" w14:textId="77777777" w:rsidR="00000000" w:rsidRDefault="00A173A8">
            <w:pPr>
              <w:spacing w:after="100"/>
              <w:rPr>
                <w:rFonts w:eastAsia="Times New Roman"/>
                <w:sz w:val="20"/>
                <w:szCs w:val="20"/>
              </w:rPr>
            </w:pPr>
          </w:p>
        </w:tc>
        <w:tc>
          <w:tcPr>
            <w:tcW w:w="50" w:type="pct"/>
            <w:vAlign w:val="center"/>
            <w:hideMark/>
          </w:tcPr>
          <w:p w14:paraId="1A5B8F3E" w14:textId="77777777" w:rsidR="00000000" w:rsidRDefault="00A173A8">
            <w:pPr>
              <w:spacing w:after="100"/>
              <w:rPr>
                <w:rFonts w:eastAsia="Times New Roman"/>
                <w:sz w:val="20"/>
                <w:szCs w:val="20"/>
              </w:rPr>
            </w:pPr>
          </w:p>
        </w:tc>
        <w:tc>
          <w:tcPr>
            <w:tcW w:w="333" w:type="pct"/>
            <w:vAlign w:val="center"/>
            <w:hideMark/>
          </w:tcPr>
          <w:p w14:paraId="4592F56C" w14:textId="77777777" w:rsidR="00000000" w:rsidRDefault="00A173A8">
            <w:pPr>
              <w:spacing w:after="100"/>
              <w:rPr>
                <w:rFonts w:eastAsia="Times New Roman"/>
                <w:sz w:val="20"/>
                <w:szCs w:val="20"/>
              </w:rPr>
            </w:pPr>
          </w:p>
        </w:tc>
        <w:tc>
          <w:tcPr>
            <w:tcW w:w="5" w:type="pct"/>
            <w:vAlign w:val="center"/>
            <w:hideMark/>
          </w:tcPr>
          <w:p w14:paraId="31DDF70B" w14:textId="77777777" w:rsidR="00000000" w:rsidRDefault="00A173A8">
            <w:pPr>
              <w:spacing w:after="100"/>
              <w:rPr>
                <w:rFonts w:eastAsia="Times New Roman"/>
                <w:sz w:val="20"/>
                <w:szCs w:val="20"/>
              </w:rPr>
            </w:pPr>
          </w:p>
        </w:tc>
        <w:tc>
          <w:tcPr>
            <w:tcW w:w="5" w:type="pct"/>
            <w:vAlign w:val="center"/>
            <w:hideMark/>
          </w:tcPr>
          <w:p w14:paraId="2B5B2D6D" w14:textId="77777777" w:rsidR="00000000" w:rsidRDefault="00A173A8">
            <w:pPr>
              <w:spacing w:after="100"/>
              <w:rPr>
                <w:rFonts w:eastAsia="Times New Roman"/>
                <w:sz w:val="20"/>
                <w:szCs w:val="20"/>
              </w:rPr>
            </w:pPr>
          </w:p>
        </w:tc>
        <w:tc>
          <w:tcPr>
            <w:tcW w:w="26" w:type="pct"/>
            <w:vAlign w:val="center"/>
            <w:hideMark/>
          </w:tcPr>
          <w:p w14:paraId="63EA6C90" w14:textId="77777777" w:rsidR="00000000" w:rsidRDefault="00A173A8">
            <w:pPr>
              <w:spacing w:after="100"/>
              <w:rPr>
                <w:rFonts w:eastAsia="Times New Roman"/>
                <w:sz w:val="20"/>
                <w:szCs w:val="20"/>
              </w:rPr>
            </w:pPr>
          </w:p>
        </w:tc>
        <w:tc>
          <w:tcPr>
            <w:tcW w:w="5" w:type="pct"/>
            <w:vAlign w:val="center"/>
            <w:hideMark/>
          </w:tcPr>
          <w:p w14:paraId="3353B278" w14:textId="77777777" w:rsidR="00000000" w:rsidRDefault="00A173A8">
            <w:pPr>
              <w:spacing w:after="100"/>
              <w:rPr>
                <w:rFonts w:eastAsia="Times New Roman"/>
                <w:sz w:val="20"/>
                <w:szCs w:val="20"/>
              </w:rPr>
            </w:pPr>
          </w:p>
        </w:tc>
        <w:tc>
          <w:tcPr>
            <w:tcW w:w="50" w:type="pct"/>
            <w:vAlign w:val="center"/>
            <w:hideMark/>
          </w:tcPr>
          <w:p w14:paraId="2CF27D7C" w14:textId="77777777" w:rsidR="00000000" w:rsidRDefault="00A173A8">
            <w:pPr>
              <w:spacing w:after="100"/>
              <w:rPr>
                <w:rFonts w:eastAsia="Times New Roman"/>
                <w:sz w:val="20"/>
                <w:szCs w:val="20"/>
              </w:rPr>
            </w:pPr>
          </w:p>
        </w:tc>
        <w:tc>
          <w:tcPr>
            <w:tcW w:w="333" w:type="pct"/>
            <w:vAlign w:val="center"/>
            <w:hideMark/>
          </w:tcPr>
          <w:p w14:paraId="6DC4DA5B" w14:textId="77777777" w:rsidR="00000000" w:rsidRDefault="00A173A8">
            <w:pPr>
              <w:spacing w:after="100"/>
              <w:rPr>
                <w:rFonts w:eastAsia="Times New Roman"/>
                <w:sz w:val="20"/>
                <w:szCs w:val="20"/>
              </w:rPr>
            </w:pPr>
          </w:p>
        </w:tc>
        <w:tc>
          <w:tcPr>
            <w:tcW w:w="5" w:type="pct"/>
            <w:vAlign w:val="center"/>
            <w:hideMark/>
          </w:tcPr>
          <w:p w14:paraId="33F9CCDF" w14:textId="77777777" w:rsidR="00000000" w:rsidRDefault="00A173A8">
            <w:pPr>
              <w:spacing w:after="100"/>
              <w:rPr>
                <w:rFonts w:eastAsia="Times New Roman"/>
                <w:sz w:val="20"/>
                <w:szCs w:val="20"/>
              </w:rPr>
            </w:pPr>
          </w:p>
        </w:tc>
      </w:tr>
      <w:tr w:rsidR="00000000" w14:paraId="44B129E1" w14:textId="77777777">
        <w:trPr>
          <w:divId w:val="1976636053"/>
        </w:trPr>
        <w:tc>
          <w:tcPr>
            <w:tcW w:w="0" w:type="auto"/>
            <w:gridSpan w:val="3"/>
            <w:tcMar>
              <w:top w:w="0" w:type="dxa"/>
              <w:left w:w="20" w:type="dxa"/>
              <w:bottom w:w="0" w:type="dxa"/>
              <w:right w:w="20" w:type="dxa"/>
            </w:tcMar>
            <w:vAlign w:val="center"/>
            <w:hideMark/>
          </w:tcPr>
          <w:p w14:paraId="44A1019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C71116"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42E77646" w14:textId="77777777" w:rsidR="00000000" w:rsidRDefault="00A173A8">
            <w:pPr>
              <w:spacing w:after="100"/>
              <w:jc w:val="center"/>
              <w:rPr>
                <w:rFonts w:eastAsia="Times New Roman"/>
              </w:rPr>
            </w:pPr>
            <w:r>
              <w:rPr>
                <w:rFonts w:eastAsia="Times New Roman"/>
                <w:b/>
                <w:bCs/>
                <w:color w:val="000000"/>
                <w:sz w:val="16"/>
                <w:szCs w:val="16"/>
              </w:rPr>
              <w:t>June 30, 2022</w:t>
            </w:r>
          </w:p>
        </w:tc>
      </w:tr>
      <w:tr w:rsidR="00000000" w14:paraId="70F03481" w14:textId="77777777">
        <w:trPr>
          <w:divId w:val="1976636053"/>
          <w:trHeight w:val="360"/>
        </w:trPr>
        <w:tc>
          <w:tcPr>
            <w:tcW w:w="0" w:type="auto"/>
            <w:gridSpan w:val="3"/>
            <w:tcMar>
              <w:top w:w="0" w:type="dxa"/>
              <w:left w:w="20" w:type="dxa"/>
              <w:bottom w:w="0" w:type="dxa"/>
              <w:right w:w="20" w:type="dxa"/>
            </w:tcMar>
            <w:vAlign w:val="center"/>
            <w:hideMark/>
          </w:tcPr>
          <w:p w14:paraId="5BA07D65"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6F771AB"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DD08F20" w14:textId="77777777" w:rsidR="00000000" w:rsidRDefault="00A173A8">
            <w:pPr>
              <w:spacing w:after="100"/>
              <w:jc w:val="center"/>
              <w:rPr>
                <w:rFonts w:eastAsia="Times New Roman"/>
              </w:rPr>
            </w:pPr>
            <w:r>
              <w:rPr>
                <w:rFonts w:eastAsia="Times New Roman"/>
                <w:b/>
                <w:bCs/>
                <w:color w:val="000000"/>
                <w:sz w:val="16"/>
                <w:szCs w:val="16"/>
              </w:rPr>
              <w:t>Estimated Fair Value </w:t>
            </w:r>
            <w:r>
              <w:rPr>
                <w:rFonts w:eastAsia="Times New Roman"/>
                <w:b/>
                <w:bCs/>
                <w:color w:val="000000"/>
                <w:sz w:val="16"/>
                <w:szCs w:val="16"/>
              </w:rPr>
              <w:t>Hierarchy</w:t>
            </w:r>
          </w:p>
        </w:tc>
        <w:tc>
          <w:tcPr>
            <w:tcW w:w="0" w:type="auto"/>
            <w:gridSpan w:val="3"/>
            <w:tcBorders>
              <w:top w:val="single" w:sz="8" w:space="0" w:color="000000"/>
            </w:tcBorders>
            <w:tcMar>
              <w:top w:w="0" w:type="dxa"/>
              <w:left w:w="20" w:type="dxa"/>
              <w:bottom w:w="0" w:type="dxa"/>
              <w:right w:w="20" w:type="dxa"/>
            </w:tcMar>
            <w:vAlign w:val="center"/>
            <w:hideMark/>
          </w:tcPr>
          <w:p w14:paraId="550FAEF1" w14:textId="77777777" w:rsidR="00000000" w:rsidRDefault="00A173A8">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55B7381B"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1596167E" w14:textId="77777777">
        <w:trPr>
          <w:divId w:val="1976636053"/>
          <w:trHeight w:val="240"/>
        </w:trPr>
        <w:tc>
          <w:tcPr>
            <w:tcW w:w="0" w:type="auto"/>
            <w:gridSpan w:val="3"/>
            <w:tcBorders>
              <w:bottom w:val="single" w:sz="8" w:space="0" w:color="000000"/>
            </w:tcBorders>
            <w:tcMar>
              <w:top w:w="30" w:type="dxa"/>
              <w:left w:w="20" w:type="dxa"/>
              <w:bottom w:w="30" w:type="dxa"/>
              <w:right w:w="20" w:type="dxa"/>
            </w:tcMar>
            <w:vAlign w:val="bottom"/>
            <w:hideMark/>
          </w:tcPr>
          <w:p w14:paraId="4A1B2AC1"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F440B8D"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07BE71B" w14:textId="77777777" w:rsidR="00000000" w:rsidRDefault="00A173A8">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6C5DCA34"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5230D19" w14:textId="77777777" w:rsidR="00000000" w:rsidRDefault="00A173A8">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0CBA5A9E" w14:textId="77777777" w:rsidR="00000000" w:rsidRDefault="00A173A8">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14:paraId="64330D67" w14:textId="77777777" w:rsidR="00000000" w:rsidRDefault="00A173A8">
            <w:pPr>
              <w:spacing w:after="100"/>
              <w:rPr>
                <w:rFonts w:eastAsia="Times New Roman"/>
              </w:rPr>
            </w:pPr>
          </w:p>
        </w:tc>
      </w:tr>
      <w:tr w:rsidR="00000000" w14:paraId="52D33008" w14:textId="77777777">
        <w:trPr>
          <w:divId w:val="197663605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9E98CBB" w14:textId="77777777" w:rsidR="00000000" w:rsidRDefault="00A173A8">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4FC8BB2C"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2C16DA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197DA3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9B14D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B8A6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7791C0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C363D59" w14:textId="77777777" w:rsidR="00000000" w:rsidRDefault="00A173A8">
            <w:pPr>
              <w:spacing w:after="100"/>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DC474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6BD9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FC3308E"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E2A7925" w14:textId="77777777" w:rsidR="00000000" w:rsidRDefault="00A173A8">
            <w:pPr>
              <w:spacing w:after="100"/>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E767E2B" w14:textId="77777777" w:rsidR="00000000" w:rsidRDefault="00A173A8">
            <w:pPr>
              <w:spacing w:after="100"/>
              <w:jc w:val="right"/>
              <w:rPr>
                <w:rFonts w:eastAsia="Times New Roman"/>
              </w:rPr>
            </w:pPr>
          </w:p>
        </w:tc>
      </w:tr>
      <w:tr w:rsidR="00000000" w14:paraId="418FADDB" w14:textId="77777777">
        <w:trPr>
          <w:divId w:val="1976636053"/>
        </w:trPr>
        <w:tc>
          <w:tcPr>
            <w:tcW w:w="0" w:type="auto"/>
            <w:gridSpan w:val="3"/>
            <w:shd w:val="clear" w:color="auto" w:fill="FFFFFF"/>
            <w:tcMar>
              <w:top w:w="30" w:type="dxa"/>
              <w:left w:w="20" w:type="dxa"/>
              <w:bottom w:w="30" w:type="dxa"/>
              <w:right w:w="20" w:type="dxa"/>
            </w:tcMar>
            <w:vAlign w:val="center"/>
            <w:hideMark/>
          </w:tcPr>
          <w:p w14:paraId="0AE678DA" w14:textId="77777777" w:rsidR="00000000" w:rsidRDefault="00A173A8">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46B703C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618FF85" w14:textId="77777777" w:rsidR="00000000" w:rsidRDefault="00A173A8">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80F98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5407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661EB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4B45ED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83A1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C8B30F" w14:textId="77777777" w:rsidR="00000000" w:rsidRDefault="00A173A8">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48A1D38" w14:textId="77777777" w:rsidR="00000000" w:rsidRDefault="00A173A8">
            <w:pPr>
              <w:spacing w:after="100"/>
              <w:jc w:val="right"/>
              <w:rPr>
                <w:rFonts w:eastAsia="Times New Roman"/>
              </w:rPr>
            </w:pPr>
          </w:p>
        </w:tc>
      </w:tr>
      <w:tr w:rsidR="00000000" w14:paraId="3FD10D10" w14:textId="77777777">
        <w:trPr>
          <w:divId w:val="1976636053"/>
        </w:trPr>
        <w:tc>
          <w:tcPr>
            <w:tcW w:w="0" w:type="auto"/>
            <w:gridSpan w:val="3"/>
            <w:shd w:val="clear" w:color="auto" w:fill="CCEEFF"/>
            <w:tcMar>
              <w:top w:w="30" w:type="dxa"/>
              <w:left w:w="20" w:type="dxa"/>
              <w:bottom w:w="30" w:type="dxa"/>
              <w:right w:w="20" w:type="dxa"/>
            </w:tcMar>
            <w:vAlign w:val="center"/>
            <w:hideMark/>
          </w:tcPr>
          <w:p w14:paraId="400D9375" w14:textId="77777777" w:rsidR="00000000" w:rsidRDefault="00A173A8">
            <w:pPr>
              <w:spacing w:after="100"/>
              <w:divId w:val="1900096669"/>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3DED4B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693F2F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4DD7A5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B893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BBD780" w14:textId="77777777" w:rsidR="00000000" w:rsidRDefault="00A173A8">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B471F2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2998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485D4F" w14:textId="77777777" w:rsidR="00000000" w:rsidRDefault="00A173A8">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3058F2" w14:textId="77777777" w:rsidR="00000000" w:rsidRDefault="00A173A8">
            <w:pPr>
              <w:spacing w:after="100"/>
              <w:jc w:val="right"/>
              <w:rPr>
                <w:rFonts w:eastAsia="Times New Roman"/>
              </w:rPr>
            </w:pPr>
          </w:p>
        </w:tc>
      </w:tr>
      <w:tr w:rsidR="00000000" w14:paraId="4E399931" w14:textId="77777777">
        <w:trPr>
          <w:divId w:val="1976636053"/>
        </w:trPr>
        <w:tc>
          <w:tcPr>
            <w:tcW w:w="0" w:type="auto"/>
            <w:gridSpan w:val="3"/>
            <w:shd w:val="clear" w:color="auto" w:fill="FFFFFF"/>
            <w:tcMar>
              <w:top w:w="30" w:type="dxa"/>
              <w:left w:w="20" w:type="dxa"/>
              <w:bottom w:w="30" w:type="dxa"/>
              <w:right w:w="20" w:type="dxa"/>
            </w:tcMar>
            <w:vAlign w:val="center"/>
            <w:hideMark/>
          </w:tcPr>
          <w:p w14:paraId="51EEEDC9" w14:textId="77777777" w:rsidR="00000000" w:rsidRDefault="00A173A8">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56252317"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9C018D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9862177" w14:textId="77777777" w:rsidR="00000000" w:rsidRDefault="00A173A8">
            <w:pPr>
              <w:spacing w:after="100"/>
              <w:jc w:val="right"/>
              <w:rPr>
                <w:rFonts w:eastAsia="Times New Roman"/>
              </w:rPr>
            </w:pPr>
            <w:r>
              <w:rPr>
                <w:rFonts w:eastAsia="Times New Roman"/>
                <w:b/>
                <w:bCs/>
                <w:color w:val="000000"/>
                <w:sz w:val="18"/>
                <w:szCs w:val="18"/>
              </w:rPr>
              <w:t>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9BE838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8E62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2332A3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FE80A20" w14:textId="77777777" w:rsidR="00000000" w:rsidRDefault="00A173A8">
            <w:pPr>
              <w:spacing w:after="100"/>
              <w:jc w:val="right"/>
              <w:rPr>
                <w:rFonts w:eastAsia="Times New Roman"/>
              </w:rPr>
            </w:pPr>
            <w:r>
              <w:rPr>
                <w:rFonts w:eastAsia="Times New Roman"/>
                <w:b/>
                <w:bCs/>
                <w:color w:val="000000"/>
                <w:sz w:val="18"/>
                <w:szCs w:val="18"/>
              </w:rPr>
              <w:t>296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3D94EA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AB657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46139D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0F3AC64" w14:textId="77777777" w:rsidR="00000000" w:rsidRDefault="00A173A8">
            <w:pPr>
              <w:spacing w:after="100"/>
              <w:jc w:val="right"/>
              <w:rPr>
                <w:rFonts w:eastAsia="Times New Roman"/>
              </w:rPr>
            </w:pPr>
            <w:r>
              <w:rPr>
                <w:rFonts w:eastAsia="Times New Roman"/>
                <w:b/>
                <w:bCs/>
                <w:color w:val="000000"/>
                <w:sz w:val="18"/>
                <w:szCs w:val="18"/>
              </w:rPr>
              <w:t>387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F294B46" w14:textId="77777777" w:rsidR="00000000" w:rsidRDefault="00A173A8">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076"/>
        <w:gridCol w:w="144"/>
        <w:gridCol w:w="144"/>
        <w:gridCol w:w="144"/>
        <w:gridCol w:w="144"/>
        <w:gridCol w:w="144"/>
        <w:gridCol w:w="551"/>
        <w:gridCol w:w="144"/>
        <w:gridCol w:w="144"/>
        <w:gridCol w:w="144"/>
        <w:gridCol w:w="144"/>
        <w:gridCol w:w="144"/>
        <w:gridCol w:w="551"/>
        <w:gridCol w:w="144"/>
        <w:gridCol w:w="144"/>
        <w:gridCol w:w="144"/>
        <w:gridCol w:w="144"/>
        <w:gridCol w:w="144"/>
        <w:gridCol w:w="551"/>
        <w:gridCol w:w="144"/>
      </w:tblGrid>
      <w:tr w:rsidR="00000000" w14:paraId="325BA110" w14:textId="77777777">
        <w:tc>
          <w:tcPr>
            <w:tcW w:w="50" w:type="pct"/>
            <w:vAlign w:val="center"/>
            <w:hideMark/>
          </w:tcPr>
          <w:p w14:paraId="12B6C1B3" w14:textId="77777777" w:rsidR="00000000" w:rsidRDefault="00A173A8">
            <w:pPr>
              <w:rPr>
                <w:rFonts w:eastAsia="Times New Roman"/>
              </w:rPr>
            </w:pPr>
          </w:p>
        </w:tc>
        <w:tc>
          <w:tcPr>
            <w:tcW w:w="3669" w:type="pct"/>
            <w:vAlign w:val="center"/>
            <w:hideMark/>
          </w:tcPr>
          <w:p w14:paraId="08319BCA" w14:textId="77777777" w:rsidR="00000000" w:rsidRDefault="00A173A8">
            <w:pPr>
              <w:spacing w:after="100"/>
              <w:rPr>
                <w:rFonts w:eastAsia="Times New Roman"/>
                <w:sz w:val="20"/>
                <w:szCs w:val="20"/>
              </w:rPr>
            </w:pPr>
          </w:p>
        </w:tc>
        <w:tc>
          <w:tcPr>
            <w:tcW w:w="5" w:type="pct"/>
            <w:vAlign w:val="center"/>
            <w:hideMark/>
          </w:tcPr>
          <w:p w14:paraId="72324ADA" w14:textId="77777777" w:rsidR="00000000" w:rsidRDefault="00A173A8">
            <w:pPr>
              <w:spacing w:after="100"/>
              <w:rPr>
                <w:rFonts w:eastAsia="Times New Roman"/>
                <w:sz w:val="20"/>
                <w:szCs w:val="20"/>
              </w:rPr>
            </w:pPr>
          </w:p>
        </w:tc>
        <w:tc>
          <w:tcPr>
            <w:tcW w:w="5" w:type="pct"/>
            <w:vAlign w:val="center"/>
            <w:hideMark/>
          </w:tcPr>
          <w:p w14:paraId="0E6E8F6D" w14:textId="77777777" w:rsidR="00000000" w:rsidRDefault="00A173A8">
            <w:pPr>
              <w:spacing w:after="100"/>
              <w:rPr>
                <w:rFonts w:eastAsia="Times New Roman"/>
                <w:sz w:val="20"/>
                <w:szCs w:val="20"/>
              </w:rPr>
            </w:pPr>
          </w:p>
        </w:tc>
        <w:tc>
          <w:tcPr>
            <w:tcW w:w="26" w:type="pct"/>
            <w:vAlign w:val="center"/>
            <w:hideMark/>
          </w:tcPr>
          <w:p w14:paraId="4280F062" w14:textId="77777777" w:rsidR="00000000" w:rsidRDefault="00A173A8">
            <w:pPr>
              <w:spacing w:after="100"/>
              <w:rPr>
                <w:rFonts w:eastAsia="Times New Roman"/>
                <w:sz w:val="20"/>
                <w:szCs w:val="20"/>
              </w:rPr>
            </w:pPr>
          </w:p>
        </w:tc>
        <w:tc>
          <w:tcPr>
            <w:tcW w:w="5" w:type="pct"/>
            <w:vAlign w:val="center"/>
            <w:hideMark/>
          </w:tcPr>
          <w:p w14:paraId="6792CABF" w14:textId="77777777" w:rsidR="00000000" w:rsidRDefault="00A173A8">
            <w:pPr>
              <w:spacing w:after="100"/>
              <w:rPr>
                <w:rFonts w:eastAsia="Times New Roman"/>
                <w:sz w:val="20"/>
                <w:szCs w:val="20"/>
              </w:rPr>
            </w:pPr>
          </w:p>
        </w:tc>
        <w:tc>
          <w:tcPr>
            <w:tcW w:w="50" w:type="pct"/>
            <w:vAlign w:val="center"/>
            <w:hideMark/>
          </w:tcPr>
          <w:p w14:paraId="0578F7DA" w14:textId="77777777" w:rsidR="00000000" w:rsidRDefault="00A173A8">
            <w:pPr>
              <w:spacing w:after="100"/>
              <w:rPr>
                <w:rFonts w:eastAsia="Times New Roman"/>
                <w:sz w:val="20"/>
                <w:szCs w:val="20"/>
              </w:rPr>
            </w:pPr>
          </w:p>
        </w:tc>
        <w:tc>
          <w:tcPr>
            <w:tcW w:w="333" w:type="pct"/>
            <w:vAlign w:val="center"/>
            <w:hideMark/>
          </w:tcPr>
          <w:p w14:paraId="0CC92058" w14:textId="77777777" w:rsidR="00000000" w:rsidRDefault="00A173A8">
            <w:pPr>
              <w:spacing w:after="100"/>
              <w:rPr>
                <w:rFonts w:eastAsia="Times New Roman"/>
                <w:sz w:val="20"/>
                <w:szCs w:val="20"/>
              </w:rPr>
            </w:pPr>
          </w:p>
        </w:tc>
        <w:tc>
          <w:tcPr>
            <w:tcW w:w="5" w:type="pct"/>
            <w:vAlign w:val="center"/>
            <w:hideMark/>
          </w:tcPr>
          <w:p w14:paraId="1AEA81A6" w14:textId="77777777" w:rsidR="00000000" w:rsidRDefault="00A173A8">
            <w:pPr>
              <w:spacing w:after="100"/>
              <w:rPr>
                <w:rFonts w:eastAsia="Times New Roman"/>
                <w:sz w:val="20"/>
                <w:szCs w:val="20"/>
              </w:rPr>
            </w:pPr>
          </w:p>
        </w:tc>
        <w:tc>
          <w:tcPr>
            <w:tcW w:w="5" w:type="pct"/>
            <w:vAlign w:val="center"/>
            <w:hideMark/>
          </w:tcPr>
          <w:p w14:paraId="317C8131" w14:textId="77777777" w:rsidR="00000000" w:rsidRDefault="00A173A8">
            <w:pPr>
              <w:spacing w:after="100"/>
              <w:rPr>
                <w:rFonts w:eastAsia="Times New Roman"/>
                <w:sz w:val="20"/>
                <w:szCs w:val="20"/>
              </w:rPr>
            </w:pPr>
          </w:p>
        </w:tc>
        <w:tc>
          <w:tcPr>
            <w:tcW w:w="26" w:type="pct"/>
            <w:vAlign w:val="center"/>
            <w:hideMark/>
          </w:tcPr>
          <w:p w14:paraId="1074FE02" w14:textId="77777777" w:rsidR="00000000" w:rsidRDefault="00A173A8">
            <w:pPr>
              <w:spacing w:after="100"/>
              <w:rPr>
                <w:rFonts w:eastAsia="Times New Roman"/>
                <w:sz w:val="20"/>
                <w:szCs w:val="20"/>
              </w:rPr>
            </w:pPr>
          </w:p>
        </w:tc>
        <w:tc>
          <w:tcPr>
            <w:tcW w:w="5" w:type="pct"/>
            <w:vAlign w:val="center"/>
            <w:hideMark/>
          </w:tcPr>
          <w:p w14:paraId="734157F5" w14:textId="77777777" w:rsidR="00000000" w:rsidRDefault="00A173A8">
            <w:pPr>
              <w:spacing w:after="100"/>
              <w:rPr>
                <w:rFonts w:eastAsia="Times New Roman"/>
                <w:sz w:val="20"/>
                <w:szCs w:val="20"/>
              </w:rPr>
            </w:pPr>
          </w:p>
        </w:tc>
        <w:tc>
          <w:tcPr>
            <w:tcW w:w="50" w:type="pct"/>
            <w:vAlign w:val="center"/>
            <w:hideMark/>
          </w:tcPr>
          <w:p w14:paraId="2CD84BEA" w14:textId="77777777" w:rsidR="00000000" w:rsidRDefault="00A173A8">
            <w:pPr>
              <w:spacing w:after="100"/>
              <w:rPr>
                <w:rFonts w:eastAsia="Times New Roman"/>
                <w:sz w:val="20"/>
                <w:szCs w:val="20"/>
              </w:rPr>
            </w:pPr>
          </w:p>
        </w:tc>
        <w:tc>
          <w:tcPr>
            <w:tcW w:w="333" w:type="pct"/>
            <w:vAlign w:val="center"/>
            <w:hideMark/>
          </w:tcPr>
          <w:p w14:paraId="00E517DE" w14:textId="77777777" w:rsidR="00000000" w:rsidRDefault="00A173A8">
            <w:pPr>
              <w:spacing w:after="100"/>
              <w:rPr>
                <w:rFonts w:eastAsia="Times New Roman"/>
                <w:sz w:val="20"/>
                <w:szCs w:val="20"/>
              </w:rPr>
            </w:pPr>
          </w:p>
        </w:tc>
        <w:tc>
          <w:tcPr>
            <w:tcW w:w="5" w:type="pct"/>
            <w:vAlign w:val="center"/>
            <w:hideMark/>
          </w:tcPr>
          <w:p w14:paraId="6FD15A8A" w14:textId="77777777" w:rsidR="00000000" w:rsidRDefault="00A173A8">
            <w:pPr>
              <w:spacing w:after="100"/>
              <w:rPr>
                <w:rFonts w:eastAsia="Times New Roman"/>
                <w:sz w:val="20"/>
                <w:szCs w:val="20"/>
              </w:rPr>
            </w:pPr>
          </w:p>
        </w:tc>
        <w:tc>
          <w:tcPr>
            <w:tcW w:w="5" w:type="pct"/>
            <w:vAlign w:val="center"/>
            <w:hideMark/>
          </w:tcPr>
          <w:p w14:paraId="4D8B577F" w14:textId="77777777" w:rsidR="00000000" w:rsidRDefault="00A173A8">
            <w:pPr>
              <w:spacing w:after="100"/>
              <w:rPr>
                <w:rFonts w:eastAsia="Times New Roman"/>
                <w:sz w:val="20"/>
                <w:szCs w:val="20"/>
              </w:rPr>
            </w:pPr>
          </w:p>
        </w:tc>
        <w:tc>
          <w:tcPr>
            <w:tcW w:w="26" w:type="pct"/>
            <w:vAlign w:val="center"/>
            <w:hideMark/>
          </w:tcPr>
          <w:p w14:paraId="75A86FC9" w14:textId="77777777" w:rsidR="00000000" w:rsidRDefault="00A173A8">
            <w:pPr>
              <w:spacing w:after="100"/>
              <w:rPr>
                <w:rFonts w:eastAsia="Times New Roman"/>
                <w:sz w:val="20"/>
                <w:szCs w:val="20"/>
              </w:rPr>
            </w:pPr>
          </w:p>
        </w:tc>
        <w:tc>
          <w:tcPr>
            <w:tcW w:w="5" w:type="pct"/>
            <w:vAlign w:val="center"/>
            <w:hideMark/>
          </w:tcPr>
          <w:p w14:paraId="59D56B41" w14:textId="77777777" w:rsidR="00000000" w:rsidRDefault="00A173A8">
            <w:pPr>
              <w:spacing w:after="100"/>
              <w:rPr>
                <w:rFonts w:eastAsia="Times New Roman"/>
                <w:sz w:val="20"/>
                <w:szCs w:val="20"/>
              </w:rPr>
            </w:pPr>
          </w:p>
        </w:tc>
        <w:tc>
          <w:tcPr>
            <w:tcW w:w="50" w:type="pct"/>
            <w:vAlign w:val="center"/>
            <w:hideMark/>
          </w:tcPr>
          <w:p w14:paraId="6B80728E" w14:textId="77777777" w:rsidR="00000000" w:rsidRDefault="00A173A8">
            <w:pPr>
              <w:spacing w:after="100"/>
              <w:rPr>
                <w:rFonts w:eastAsia="Times New Roman"/>
                <w:sz w:val="20"/>
                <w:szCs w:val="20"/>
              </w:rPr>
            </w:pPr>
          </w:p>
        </w:tc>
        <w:tc>
          <w:tcPr>
            <w:tcW w:w="333" w:type="pct"/>
            <w:vAlign w:val="center"/>
            <w:hideMark/>
          </w:tcPr>
          <w:p w14:paraId="39B7988A" w14:textId="77777777" w:rsidR="00000000" w:rsidRDefault="00A173A8">
            <w:pPr>
              <w:spacing w:after="100"/>
              <w:rPr>
                <w:rFonts w:eastAsia="Times New Roman"/>
                <w:sz w:val="20"/>
                <w:szCs w:val="20"/>
              </w:rPr>
            </w:pPr>
          </w:p>
        </w:tc>
        <w:tc>
          <w:tcPr>
            <w:tcW w:w="5" w:type="pct"/>
            <w:vAlign w:val="center"/>
            <w:hideMark/>
          </w:tcPr>
          <w:p w14:paraId="5363AFC9" w14:textId="77777777" w:rsidR="00000000" w:rsidRDefault="00A173A8">
            <w:pPr>
              <w:spacing w:after="100"/>
              <w:rPr>
                <w:rFonts w:eastAsia="Times New Roman"/>
                <w:sz w:val="20"/>
                <w:szCs w:val="20"/>
              </w:rPr>
            </w:pPr>
          </w:p>
        </w:tc>
      </w:tr>
      <w:tr w:rsidR="00000000" w14:paraId="6FA5251B" w14:textId="77777777">
        <w:tc>
          <w:tcPr>
            <w:tcW w:w="0" w:type="auto"/>
            <w:gridSpan w:val="3"/>
            <w:tcMar>
              <w:top w:w="0" w:type="dxa"/>
              <w:left w:w="20" w:type="dxa"/>
              <w:bottom w:w="0" w:type="dxa"/>
              <w:right w:w="20" w:type="dxa"/>
            </w:tcMar>
            <w:vAlign w:val="center"/>
            <w:hideMark/>
          </w:tcPr>
          <w:p w14:paraId="003EC400"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F1D7AC" w14:textId="77777777" w:rsidR="00000000" w:rsidRDefault="00A173A8">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2EB8049"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6EDE3595" w14:textId="77777777">
        <w:trPr>
          <w:trHeight w:val="400"/>
        </w:trPr>
        <w:tc>
          <w:tcPr>
            <w:tcW w:w="0" w:type="auto"/>
            <w:gridSpan w:val="3"/>
            <w:tcMar>
              <w:top w:w="0" w:type="dxa"/>
              <w:left w:w="20" w:type="dxa"/>
              <w:bottom w:w="0" w:type="dxa"/>
              <w:right w:w="20" w:type="dxa"/>
            </w:tcMar>
            <w:vAlign w:val="center"/>
            <w:hideMark/>
          </w:tcPr>
          <w:p w14:paraId="2D8D6A65"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5375E03"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81E7134" w14:textId="77777777" w:rsidR="00000000" w:rsidRDefault="00A173A8">
            <w:pPr>
              <w:spacing w:after="100"/>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14:paraId="22E9C91C" w14:textId="77777777" w:rsidR="00000000" w:rsidRDefault="00A173A8">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14:paraId="7DD4FC41" w14:textId="77777777" w:rsidR="00000000" w:rsidRDefault="00A173A8">
            <w:pPr>
              <w:spacing w:after="100"/>
              <w:jc w:val="center"/>
              <w:rPr>
                <w:rFonts w:eastAsia="Times New Roman"/>
              </w:rPr>
            </w:pPr>
            <w:r>
              <w:rPr>
                <w:rFonts w:eastAsia="Times New Roman"/>
                <w:b/>
                <w:bCs/>
                <w:color w:val="000000"/>
                <w:sz w:val="16"/>
                <w:szCs w:val="16"/>
              </w:rPr>
              <w:t>Total</w:t>
            </w:r>
          </w:p>
        </w:tc>
      </w:tr>
      <w:tr w:rsidR="00000000" w14:paraId="42F29888" w14:textId="77777777">
        <w:trPr>
          <w:trHeight w:val="240"/>
        </w:trPr>
        <w:tc>
          <w:tcPr>
            <w:tcW w:w="0" w:type="auto"/>
            <w:gridSpan w:val="3"/>
            <w:tcBorders>
              <w:bottom w:val="single" w:sz="8" w:space="0" w:color="000000"/>
            </w:tcBorders>
            <w:tcMar>
              <w:top w:w="30" w:type="dxa"/>
              <w:left w:w="20" w:type="dxa"/>
              <w:bottom w:w="30" w:type="dxa"/>
              <w:right w:w="20" w:type="dxa"/>
            </w:tcMar>
            <w:vAlign w:val="bottom"/>
            <w:hideMark/>
          </w:tcPr>
          <w:p w14:paraId="5DBA8B97"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88A0070"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13FA7B2" w14:textId="77777777" w:rsidR="00000000" w:rsidRDefault="00A173A8">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42113DCB"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7C5E54" w14:textId="77777777" w:rsidR="00000000" w:rsidRDefault="00A173A8">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14:paraId="003B7E3B" w14:textId="77777777" w:rsidR="00000000" w:rsidRDefault="00A173A8">
            <w:pPr>
              <w:spacing w:after="100"/>
              <w:jc w:val="center"/>
              <w:rPr>
                <w:rFonts w:eastAsia="Times New Roman"/>
              </w:rPr>
            </w:pPr>
          </w:p>
        </w:tc>
        <w:tc>
          <w:tcPr>
            <w:tcW w:w="0" w:type="auto"/>
            <w:gridSpan w:val="3"/>
            <w:vMerge/>
            <w:tcBorders>
              <w:top w:val="single" w:sz="8" w:space="0" w:color="000000"/>
              <w:bottom w:val="single" w:sz="8" w:space="0" w:color="000000"/>
            </w:tcBorders>
            <w:vAlign w:val="center"/>
            <w:hideMark/>
          </w:tcPr>
          <w:p w14:paraId="05665C61" w14:textId="77777777" w:rsidR="00000000" w:rsidRDefault="00A173A8">
            <w:pPr>
              <w:spacing w:after="100"/>
              <w:rPr>
                <w:rFonts w:eastAsia="Times New Roman"/>
              </w:rPr>
            </w:pPr>
          </w:p>
        </w:tc>
      </w:tr>
      <w:tr w:rsidR="00000000" w14:paraId="616A9607"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FD27075" w14:textId="77777777" w:rsidR="00000000" w:rsidRDefault="00A173A8">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77312466"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34E4C7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DD89BB1"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D9B8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6DA5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AA3DD2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B670F6F" w14:textId="77777777" w:rsidR="00000000" w:rsidRDefault="00A173A8">
            <w:pPr>
              <w:spacing w:after="100"/>
              <w:jc w:val="right"/>
              <w:rPr>
                <w:rFonts w:eastAsia="Times New Roman"/>
              </w:rPr>
            </w:pPr>
            <w:r>
              <w:rPr>
                <w:rFonts w:eastAsia="Times New Roman"/>
                <w:color w:val="000000"/>
                <w:sz w:val="18"/>
                <w:szCs w:val="18"/>
              </w:rPr>
              <w:t>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BC7E3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2A33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4BBB53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023E915" w14:textId="77777777" w:rsidR="00000000" w:rsidRDefault="00A173A8">
            <w:pPr>
              <w:spacing w:after="100"/>
              <w:jc w:val="right"/>
              <w:rPr>
                <w:rFonts w:eastAsia="Times New Roman"/>
              </w:rPr>
            </w:pPr>
            <w:r>
              <w:rPr>
                <w:rFonts w:eastAsia="Times New Roman"/>
                <w:color w:val="000000"/>
                <w:sz w:val="18"/>
                <w:szCs w:val="18"/>
              </w:rPr>
              <w:t>194 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CB185E6" w14:textId="77777777" w:rsidR="00000000" w:rsidRDefault="00A173A8">
            <w:pPr>
              <w:spacing w:after="100"/>
              <w:jc w:val="right"/>
              <w:rPr>
                <w:rFonts w:eastAsia="Times New Roman"/>
              </w:rPr>
            </w:pPr>
          </w:p>
        </w:tc>
      </w:tr>
      <w:tr w:rsidR="00000000" w14:paraId="6654CE48" w14:textId="77777777">
        <w:tc>
          <w:tcPr>
            <w:tcW w:w="0" w:type="auto"/>
            <w:gridSpan w:val="3"/>
            <w:shd w:val="clear" w:color="auto" w:fill="FFFFFF"/>
            <w:tcMar>
              <w:top w:w="30" w:type="dxa"/>
              <w:left w:w="20" w:type="dxa"/>
              <w:bottom w:w="30" w:type="dxa"/>
              <w:right w:w="20" w:type="dxa"/>
            </w:tcMar>
            <w:vAlign w:val="center"/>
            <w:hideMark/>
          </w:tcPr>
          <w:p w14:paraId="510A83B4" w14:textId="77777777" w:rsidR="00000000" w:rsidRDefault="00A173A8">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1B6B5F3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1309E1F" w14:textId="77777777" w:rsidR="00000000" w:rsidRDefault="00A173A8">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center"/>
            <w:hideMark/>
          </w:tcPr>
          <w:p w14:paraId="412EB64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358F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948261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FEA029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24A9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EA3BC93" w14:textId="77777777" w:rsidR="00000000" w:rsidRDefault="00A173A8">
            <w:pPr>
              <w:spacing w:after="100"/>
              <w:jc w:val="right"/>
              <w:rPr>
                <w:rFonts w:eastAsia="Times New Roman"/>
              </w:rPr>
            </w:pPr>
            <w:r>
              <w:rPr>
                <w:rFonts w:eastAsia="Times New Roman"/>
                <w:color w:val="000000"/>
                <w:sz w:val="18"/>
                <w:szCs w:val="18"/>
              </w:rPr>
              <w:t>118 </w:t>
            </w:r>
          </w:p>
        </w:tc>
        <w:tc>
          <w:tcPr>
            <w:tcW w:w="0" w:type="auto"/>
            <w:shd w:val="clear" w:color="auto" w:fill="FFFFFF"/>
            <w:tcMar>
              <w:top w:w="30" w:type="dxa"/>
              <w:left w:w="0" w:type="dxa"/>
              <w:bottom w:w="30" w:type="dxa"/>
              <w:right w:w="20" w:type="dxa"/>
            </w:tcMar>
            <w:vAlign w:val="center"/>
            <w:hideMark/>
          </w:tcPr>
          <w:p w14:paraId="5A861EB4" w14:textId="77777777" w:rsidR="00000000" w:rsidRDefault="00A173A8">
            <w:pPr>
              <w:spacing w:after="100"/>
              <w:jc w:val="right"/>
              <w:rPr>
                <w:rFonts w:eastAsia="Times New Roman"/>
              </w:rPr>
            </w:pPr>
          </w:p>
        </w:tc>
      </w:tr>
      <w:tr w:rsidR="00000000" w14:paraId="041FCC09" w14:textId="77777777">
        <w:tc>
          <w:tcPr>
            <w:tcW w:w="0" w:type="auto"/>
            <w:gridSpan w:val="3"/>
            <w:shd w:val="clear" w:color="auto" w:fill="CCEEFF"/>
            <w:tcMar>
              <w:top w:w="30" w:type="dxa"/>
              <w:left w:w="20" w:type="dxa"/>
              <w:bottom w:w="30" w:type="dxa"/>
              <w:right w:w="20" w:type="dxa"/>
            </w:tcMar>
            <w:vAlign w:val="center"/>
            <w:hideMark/>
          </w:tcPr>
          <w:p w14:paraId="5E7A99C3" w14:textId="77777777" w:rsidR="00000000" w:rsidRDefault="00A173A8">
            <w:pPr>
              <w:spacing w:after="100"/>
              <w:divId w:val="1765102590"/>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069C67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4EFFABC"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572AB8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C355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A06FA69" w14:textId="77777777" w:rsidR="00000000" w:rsidRDefault="00A173A8">
            <w:pPr>
              <w:spacing w:after="100"/>
              <w:jc w:val="right"/>
              <w:rPr>
                <w:rFonts w:eastAsia="Times New Roman"/>
              </w:rPr>
            </w:pPr>
            <w:r>
              <w:rPr>
                <w:rFonts w:eastAsia="Times New Roman"/>
                <w:color w:val="000000"/>
                <w:sz w:val="18"/>
                <w:szCs w:val="18"/>
              </w:rPr>
              <w:t>325 </w:t>
            </w:r>
          </w:p>
        </w:tc>
        <w:tc>
          <w:tcPr>
            <w:tcW w:w="0" w:type="auto"/>
            <w:shd w:val="clear" w:color="auto" w:fill="CCEEFF"/>
            <w:tcMar>
              <w:top w:w="30" w:type="dxa"/>
              <w:left w:w="0" w:type="dxa"/>
              <w:bottom w:w="30" w:type="dxa"/>
              <w:right w:w="20" w:type="dxa"/>
            </w:tcMar>
            <w:vAlign w:val="center"/>
            <w:hideMark/>
          </w:tcPr>
          <w:p w14:paraId="58C163A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847B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4844013" w14:textId="77777777" w:rsidR="00000000" w:rsidRDefault="00A173A8">
            <w:pPr>
              <w:spacing w:after="100"/>
              <w:jc w:val="right"/>
              <w:rPr>
                <w:rFonts w:eastAsia="Times New Roman"/>
              </w:rPr>
            </w:pPr>
            <w:r>
              <w:rPr>
                <w:rFonts w:eastAsia="Times New Roman"/>
                <w:color w:val="000000"/>
                <w:sz w:val="18"/>
                <w:szCs w:val="18"/>
              </w:rPr>
              <w:t>325 </w:t>
            </w:r>
          </w:p>
        </w:tc>
        <w:tc>
          <w:tcPr>
            <w:tcW w:w="0" w:type="auto"/>
            <w:shd w:val="clear" w:color="auto" w:fill="CCEEFF"/>
            <w:tcMar>
              <w:top w:w="30" w:type="dxa"/>
              <w:left w:w="0" w:type="dxa"/>
              <w:bottom w:w="30" w:type="dxa"/>
              <w:right w:w="20" w:type="dxa"/>
            </w:tcMar>
            <w:vAlign w:val="center"/>
            <w:hideMark/>
          </w:tcPr>
          <w:p w14:paraId="709AF7C2" w14:textId="77777777" w:rsidR="00000000" w:rsidRDefault="00A173A8">
            <w:pPr>
              <w:spacing w:after="100"/>
              <w:jc w:val="right"/>
              <w:rPr>
                <w:rFonts w:eastAsia="Times New Roman"/>
              </w:rPr>
            </w:pPr>
          </w:p>
        </w:tc>
      </w:tr>
      <w:tr w:rsidR="00000000" w14:paraId="173F6EDD" w14:textId="77777777">
        <w:tc>
          <w:tcPr>
            <w:tcW w:w="0" w:type="auto"/>
            <w:gridSpan w:val="3"/>
            <w:shd w:val="clear" w:color="auto" w:fill="FFFFFF"/>
            <w:tcMar>
              <w:top w:w="30" w:type="dxa"/>
              <w:left w:w="20" w:type="dxa"/>
              <w:bottom w:w="30" w:type="dxa"/>
              <w:right w:w="20" w:type="dxa"/>
            </w:tcMar>
            <w:vAlign w:val="center"/>
            <w:hideMark/>
          </w:tcPr>
          <w:p w14:paraId="52E320CD" w14:textId="77777777" w:rsidR="00000000" w:rsidRDefault="00A173A8">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6E6E46C4"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79DB56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84609EA" w14:textId="77777777" w:rsidR="00000000" w:rsidRDefault="00A173A8">
            <w:pPr>
              <w:spacing w:after="100"/>
              <w:jc w:val="right"/>
              <w:rPr>
                <w:rFonts w:eastAsia="Times New Roman"/>
              </w:rPr>
            </w:pPr>
            <w:r>
              <w:rPr>
                <w:rFonts w:eastAsia="Times New Roman"/>
                <w:color w:val="000000"/>
                <w:sz w:val="18"/>
                <w:szCs w:val="18"/>
              </w:rPr>
              <w:t>118 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1F71E6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55A7A4"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10CF2B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8C8B398" w14:textId="77777777" w:rsidR="00000000" w:rsidRDefault="00A173A8">
            <w:pPr>
              <w:spacing w:after="100"/>
              <w:jc w:val="right"/>
              <w:rPr>
                <w:rFonts w:eastAsia="Times New Roman"/>
              </w:rPr>
            </w:pPr>
            <w:r>
              <w:rPr>
                <w:rFonts w:eastAsia="Times New Roman"/>
                <w:color w:val="000000"/>
                <w:sz w:val="18"/>
                <w:szCs w:val="18"/>
              </w:rPr>
              <w:t>519 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69EA8E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1B7B2"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5B1207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736AE20" w14:textId="77777777" w:rsidR="00000000" w:rsidRDefault="00A173A8">
            <w:pPr>
              <w:spacing w:after="100"/>
              <w:jc w:val="right"/>
              <w:rPr>
                <w:rFonts w:eastAsia="Times New Roman"/>
              </w:rPr>
            </w:pPr>
            <w:r>
              <w:rPr>
                <w:rFonts w:eastAsia="Times New Roman"/>
                <w:color w:val="000000"/>
                <w:sz w:val="18"/>
                <w:szCs w:val="18"/>
              </w:rPr>
              <w:t>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7C2CD01" w14:textId="77777777" w:rsidR="00000000" w:rsidRDefault="00A173A8">
            <w:pPr>
              <w:spacing w:after="100"/>
              <w:jc w:val="right"/>
              <w:rPr>
                <w:rFonts w:eastAsia="Times New Roman"/>
              </w:rPr>
            </w:pPr>
          </w:p>
        </w:tc>
      </w:tr>
      <w:tr w:rsidR="00000000" w14:paraId="3A93283F" w14:textId="77777777">
        <w:tc>
          <w:tcPr>
            <w:tcW w:w="0" w:type="auto"/>
            <w:gridSpan w:val="3"/>
            <w:vAlign w:val="center"/>
            <w:hideMark/>
          </w:tcPr>
          <w:p w14:paraId="778CE368" w14:textId="77777777" w:rsidR="00000000" w:rsidRDefault="00A173A8">
            <w:pPr>
              <w:spacing w:after="100"/>
              <w:jc w:val="right"/>
              <w:rPr>
                <w:rFonts w:eastAsia="Times New Roman"/>
                <w:sz w:val="20"/>
                <w:szCs w:val="20"/>
              </w:rPr>
            </w:pPr>
          </w:p>
        </w:tc>
        <w:tc>
          <w:tcPr>
            <w:tcW w:w="0" w:type="auto"/>
            <w:gridSpan w:val="3"/>
            <w:vAlign w:val="center"/>
            <w:hideMark/>
          </w:tcPr>
          <w:p w14:paraId="72FD05CA" w14:textId="77777777" w:rsidR="00000000" w:rsidRDefault="00A173A8">
            <w:pPr>
              <w:spacing w:after="100"/>
              <w:rPr>
                <w:rFonts w:eastAsia="Times New Roman"/>
                <w:sz w:val="20"/>
                <w:szCs w:val="20"/>
              </w:rPr>
            </w:pPr>
          </w:p>
        </w:tc>
        <w:tc>
          <w:tcPr>
            <w:tcW w:w="0" w:type="auto"/>
            <w:gridSpan w:val="3"/>
            <w:vAlign w:val="center"/>
            <w:hideMark/>
          </w:tcPr>
          <w:p w14:paraId="6FD3FDB5" w14:textId="77777777" w:rsidR="00000000" w:rsidRDefault="00A173A8">
            <w:pPr>
              <w:spacing w:after="100"/>
              <w:rPr>
                <w:rFonts w:eastAsia="Times New Roman"/>
                <w:sz w:val="20"/>
                <w:szCs w:val="20"/>
              </w:rPr>
            </w:pPr>
          </w:p>
        </w:tc>
        <w:tc>
          <w:tcPr>
            <w:tcW w:w="0" w:type="auto"/>
            <w:gridSpan w:val="3"/>
            <w:vAlign w:val="center"/>
            <w:hideMark/>
          </w:tcPr>
          <w:p w14:paraId="32B8F52D" w14:textId="77777777" w:rsidR="00000000" w:rsidRDefault="00A173A8">
            <w:pPr>
              <w:spacing w:after="100"/>
              <w:rPr>
                <w:rFonts w:eastAsia="Times New Roman"/>
                <w:sz w:val="20"/>
                <w:szCs w:val="20"/>
              </w:rPr>
            </w:pPr>
          </w:p>
        </w:tc>
        <w:tc>
          <w:tcPr>
            <w:tcW w:w="0" w:type="auto"/>
            <w:gridSpan w:val="3"/>
            <w:vAlign w:val="center"/>
            <w:hideMark/>
          </w:tcPr>
          <w:p w14:paraId="7CA292E4" w14:textId="77777777" w:rsidR="00000000" w:rsidRDefault="00A173A8">
            <w:pPr>
              <w:spacing w:after="100"/>
              <w:rPr>
                <w:rFonts w:eastAsia="Times New Roman"/>
                <w:sz w:val="20"/>
                <w:szCs w:val="20"/>
              </w:rPr>
            </w:pPr>
          </w:p>
        </w:tc>
        <w:tc>
          <w:tcPr>
            <w:tcW w:w="0" w:type="auto"/>
            <w:gridSpan w:val="3"/>
            <w:vAlign w:val="center"/>
            <w:hideMark/>
          </w:tcPr>
          <w:p w14:paraId="03EA22FA" w14:textId="77777777" w:rsidR="00000000" w:rsidRDefault="00A173A8">
            <w:pPr>
              <w:spacing w:after="100"/>
              <w:rPr>
                <w:rFonts w:eastAsia="Times New Roman"/>
                <w:sz w:val="20"/>
                <w:szCs w:val="20"/>
              </w:rPr>
            </w:pPr>
          </w:p>
        </w:tc>
        <w:tc>
          <w:tcPr>
            <w:tcW w:w="0" w:type="auto"/>
            <w:gridSpan w:val="3"/>
            <w:vAlign w:val="center"/>
            <w:hideMark/>
          </w:tcPr>
          <w:p w14:paraId="484C84E5" w14:textId="77777777" w:rsidR="00000000" w:rsidRDefault="00A173A8">
            <w:pPr>
              <w:spacing w:after="100"/>
              <w:rPr>
                <w:rFonts w:eastAsia="Times New Roman"/>
                <w:sz w:val="20"/>
                <w:szCs w:val="20"/>
              </w:rPr>
            </w:pPr>
          </w:p>
        </w:tc>
      </w:tr>
    </w:tbl>
    <w:p w14:paraId="3A7BD7AC" w14:textId="77777777" w:rsidR="00000000" w:rsidRDefault="00A173A8">
      <w:pPr>
        <w:rPr>
          <w:rFonts w:eastAsia="Times New Roman"/>
        </w:rPr>
      </w:pPr>
      <w:r>
        <w:rPr>
          <w:rFonts w:eastAsia="Times New Roman"/>
          <w:color w:val="000000"/>
          <w:sz w:val="20"/>
          <w:szCs w:val="20"/>
        </w:rPr>
        <w:t>__________</w:t>
      </w:r>
    </w:p>
    <w:p w14:paraId="3C0DB2B5" w14:textId="77777777" w:rsidR="00000000" w:rsidRDefault="00A173A8">
      <w:pPr>
        <w:ind w:hanging="360"/>
        <w:jc w:val="both"/>
        <w:divId w:val="122587042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June 30, 2022, other assets included investments accounted for under measurement alternative of $1 million, repossessed assets of $52 million and long-lived assets held for sale of $38 million. As of December 31, 2021, other assets included equity me</w:t>
      </w:r>
      <w:r>
        <w:rPr>
          <w:rFonts w:eastAsia="Times New Roman"/>
          <w:color w:val="000000"/>
          <w:sz w:val="16"/>
          <w:szCs w:val="16"/>
        </w:rPr>
        <w:t>thod investments of $50 million, investments accounted for under measurement alternative of $29 million, repossessed assets of $40 million and long-lived assets held for sale of $206 million.</w:t>
      </w:r>
    </w:p>
    <w:p w14:paraId="748D9FB2" w14:textId="77777777" w:rsidR="00000000" w:rsidRDefault="00A173A8">
      <w:pPr>
        <w:jc w:val="both"/>
        <w:divId w:val="845753065"/>
        <w:rPr>
          <w:rFonts w:eastAsia="Times New Roman"/>
        </w:rPr>
      </w:pPr>
      <w:r>
        <w:rPr>
          <w:rFonts w:eastAsia="Times New Roman"/>
          <w:color w:val="000000"/>
          <w:sz w:val="20"/>
          <w:szCs w:val="20"/>
        </w:rPr>
        <w:t>In the above table, loans held for investment are generally valu</w:t>
      </w:r>
      <w:r>
        <w:rPr>
          <w:rFonts w:eastAsia="Times New Roman"/>
          <w:color w:val="000000"/>
          <w:sz w:val="20"/>
          <w:szCs w:val="20"/>
        </w:rPr>
        <w:t xml:space="preserve">ed based in part on the estimated fair value of the underlying collateral and the non-recoverable rate, which is considered to be a significant unobservable input. </w:t>
      </w:r>
      <w:r>
        <w:rPr>
          <w:rFonts w:eastAsia="Times New Roman"/>
          <w:color w:val="000000"/>
          <w:sz w:val="20"/>
          <w:szCs w:val="20"/>
          <w:shd w:val="clear" w:color="auto" w:fill="FFFFFF"/>
        </w:rPr>
        <w:t>The non-recoverable rate ranged fro</w:t>
      </w:r>
      <w:r>
        <w:rPr>
          <w:rFonts w:eastAsia="Times New Roman"/>
          <w:color w:val="000000"/>
          <w:sz w:val="20"/>
          <w:szCs w:val="20"/>
        </w:rPr>
        <w:t>m 0% to 100%, with a weighted average of 20%, a</w:t>
      </w:r>
      <w:r>
        <w:rPr>
          <w:rFonts w:eastAsia="Times New Roman"/>
          <w:color w:val="000000"/>
          <w:sz w:val="20"/>
          <w:szCs w:val="20"/>
          <w:shd w:val="clear" w:color="auto" w:fill="FFFFFF"/>
        </w:rPr>
        <w:t>nd from 0%</w:t>
      </w:r>
      <w:r>
        <w:rPr>
          <w:rFonts w:eastAsia="Times New Roman"/>
          <w:color w:val="000000"/>
          <w:sz w:val="20"/>
          <w:szCs w:val="20"/>
          <w:shd w:val="clear" w:color="auto" w:fill="FFFFFF"/>
        </w:rPr>
        <w:t xml:space="preserve"> to 100%, with a weighted average of 13%, as of June 30, 2022 and December 31, 2021, respectively. </w:t>
      </w:r>
      <w:r>
        <w:rPr>
          <w:rFonts w:eastAsia="Times New Roman"/>
          <w:color w:val="000000"/>
          <w:sz w:val="20"/>
          <w:szCs w:val="20"/>
        </w:rPr>
        <w:t>The weighted average non-recoverable rate is calculated based on the estimated market value of the underlying collateral. The significant unobservable inputs</w:t>
      </w:r>
      <w:r>
        <w:rPr>
          <w:rFonts w:eastAsia="Times New Roman"/>
          <w:color w:val="000000"/>
          <w:sz w:val="20"/>
          <w:szCs w:val="20"/>
        </w:rPr>
        <w:t xml:space="preserve"> and related quantitative information related to fair value of the other assets are not meaningful to disclose as they vary significantly across properties and collateral.</w:t>
      </w:r>
    </w:p>
    <w:p w14:paraId="7834569D" w14:textId="77777777" w:rsidR="00000000" w:rsidRDefault="00A173A8">
      <w:pPr>
        <w:jc w:val="both"/>
        <w:divId w:val="978535905"/>
        <w:rPr>
          <w:rFonts w:eastAsia="Times New Roman"/>
        </w:rPr>
      </w:pPr>
      <w:r>
        <w:rPr>
          <w:rFonts w:eastAsia="Times New Roman"/>
          <w:color w:val="000000"/>
          <w:sz w:val="20"/>
          <w:szCs w:val="20"/>
        </w:rPr>
        <w:t>The following table presents total nonrecurring fair value measurements for the peri</w:t>
      </w:r>
      <w:r>
        <w:rPr>
          <w:rFonts w:eastAsia="Times New Roman"/>
          <w:color w:val="000000"/>
          <w:sz w:val="20"/>
          <w:szCs w:val="20"/>
        </w:rPr>
        <w:t>od, included in earnings, attributable to the change in fair value relating to assets that are still held at June 30, 2022 and 2021.</w:t>
      </w:r>
    </w:p>
    <w:p w14:paraId="0AEBB50E" w14:textId="77777777" w:rsidR="00000000" w:rsidRDefault="00A173A8">
      <w:pPr>
        <w:divId w:val="1828470144"/>
        <w:rPr>
          <w:rFonts w:eastAsia="Times New Roman"/>
        </w:rPr>
      </w:pPr>
      <w:r>
        <w:rPr>
          <w:rFonts w:eastAsia="Times New Roman"/>
          <w:b/>
          <w:bCs/>
          <w:color w:val="000000"/>
          <w:sz w:val="18"/>
          <w:szCs w:val="18"/>
        </w:rPr>
        <w:t>Table 11.5: Nonrecurring Fair Value Measurements Included in Earnings</w:t>
      </w:r>
    </w:p>
    <w:tbl>
      <w:tblPr>
        <w:tblW w:w="5000" w:type="pct"/>
        <w:tblCellMar>
          <w:top w:w="15" w:type="dxa"/>
          <w:left w:w="15" w:type="dxa"/>
          <w:bottom w:w="15" w:type="dxa"/>
          <w:right w:w="15" w:type="dxa"/>
        </w:tblCellMar>
        <w:tblLook w:val="04A0" w:firstRow="1" w:lastRow="0" w:firstColumn="1" w:lastColumn="0" w:noHBand="0" w:noVBand="1"/>
      </w:tblPr>
      <w:tblGrid>
        <w:gridCol w:w="42"/>
        <w:gridCol w:w="5843"/>
        <w:gridCol w:w="37"/>
        <w:gridCol w:w="36"/>
        <w:gridCol w:w="36"/>
        <w:gridCol w:w="36"/>
        <w:gridCol w:w="110"/>
        <w:gridCol w:w="938"/>
        <w:gridCol w:w="36"/>
        <w:gridCol w:w="36"/>
        <w:gridCol w:w="36"/>
        <w:gridCol w:w="36"/>
        <w:gridCol w:w="110"/>
        <w:gridCol w:w="938"/>
        <w:gridCol w:w="36"/>
      </w:tblGrid>
      <w:tr w:rsidR="00000000" w14:paraId="0D628541" w14:textId="77777777">
        <w:trPr>
          <w:divId w:val="2029983352"/>
        </w:trPr>
        <w:tc>
          <w:tcPr>
            <w:tcW w:w="50" w:type="pct"/>
            <w:vAlign w:val="center"/>
            <w:hideMark/>
          </w:tcPr>
          <w:p w14:paraId="0F8DA2D8" w14:textId="77777777" w:rsidR="00000000" w:rsidRDefault="00A173A8">
            <w:pPr>
              <w:rPr>
                <w:rFonts w:eastAsia="Times New Roman"/>
              </w:rPr>
            </w:pPr>
          </w:p>
        </w:tc>
        <w:tc>
          <w:tcPr>
            <w:tcW w:w="3541" w:type="pct"/>
            <w:vAlign w:val="center"/>
            <w:hideMark/>
          </w:tcPr>
          <w:p w14:paraId="47ACFA41" w14:textId="77777777" w:rsidR="00000000" w:rsidRDefault="00A173A8">
            <w:pPr>
              <w:spacing w:after="100"/>
              <w:rPr>
                <w:rFonts w:eastAsia="Times New Roman"/>
                <w:sz w:val="20"/>
                <w:szCs w:val="20"/>
              </w:rPr>
            </w:pPr>
          </w:p>
        </w:tc>
        <w:tc>
          <w:tcPr>
            <w:tcW w:w="5" w:type="pct"/>
            <w:vAlign w:val="center"/>
            <w:hideMark/>
          </w:tcPr>
          <w:p w14:paraId="52097BE2" w14:textId="77777777" w:rsidR="00000000" w:rsidRDefault="00A173A8">
            <w:pPr>
              <w:spacing w:after="100"/>
              <w:rPr>
                <w:rFonts w:eastAsia="Times New Roman"/>
                <w:sz w:val="20"/>
                <w:szCs w:val="20"/>
              </w:rPr>
            </w:pPr>
          </w:p>
        </w:tc>
        <w:tc>
          <w:tcPr>
            <w:tcW w:w="5" w:type="pct"/>
            <w:vAlign w:val="center"/>
            <w:hideMark/>
          </w:tcPr>
          <w:p w14:paraId="50E278FF" w14:textId="77777777" w:rsidR="00000000" w:rsidRDefault="00A173A8">
            <w:pPr>
              <w:spacing w:after="100"/>
              <w:rPr>
                <w:rFonts w:eastAsia="Times New Roman"/>
                <w:sz w:val="20"/>
                <w:szCs w:val="20"/>
              </w:rPr>
            </w:pPr>
          </w:p>
        </w:tc>
        <w:tc>
          <w:tcPr>
            <w:tcW w:w="26" w:type="pct"/>
            <w:vAlign w:val="center"/>
            <w:hideMark/>
          </w:tcPr>
          <w:p w14:paraId="1B48BE0F" w14:textId="77777777" w:rsidR="00000000" w:rsidRDefault="00A173A8">
            <w:pPr>
              <w:spacing w:after="100"/>
              <w:rPr>
                <w:rFonts w:eastAsia="Times New Roman"/>
                <w:sz w:val="20"/>
                <w:szCs w:val="20"/>
              </w:rPr>
            </w:pPr>
          </w:p>
        </w:tc>
        <w:tc>
          <w:tcPr>
            <w:tcW w:w="5" w:type="pct"/>
            <w:vAlign w:val="center"/>
            <w:hideMark/>
          </w:tcPr>
          <w:p w14:paraId="50AFFCBF" w14:textId="77777777" w:rsidR="00000000" w:rsidRDefault="00A173A8">
            <w:pPr>
              <w:spacing w:after="100"/>
              <w:rPr>
                <w:rFonts w:eastAsia="Times New Roman"/>
                <w:sz w:val="20"/>
                <w:szCs w:val="20"/>
              </w:rPr>
            </w:pPr>
          </w:p>
        </w:tc>
        <w:tc>
          <w:tcPr>
            <w:tcW w:w="50" w:type="pct"/>
            <w:vAlign w:val="center"/>
            <w:hideMark/>
          </w:tcPr>
          <w:p w14:paraId="0A80072D" w14:textId="77777777" w:rsidR="00000000" w:rsidRDefault="00A173A8">
            <w:pPr>
              <w:spacing w:after="100"/>
              <w:rPr>
                <w:rFonts w:eastAsia="Times New Roman"/>
                <w:sz w:val="20"/>
                <w:szCs w:val="20"/>
              </w:rPr>
            </w:pPr>
          </w:p>
        </w:tc>
        <w:tc>
          <w:tcPr>
            <w:tcW w:w="610" w:type="pct"/>
            <w:vAlign w:val="center"/>
            <w:hideMark/>
          </w:tcPr>
          <w:p w14:paraId="6CA01061" w14:textId="77777777" w:rsidR="00000000" w:rsidRDefault="00A173A8">
            <w:pPr>
              <w:spacing w:after="100"/>
              <w:rPr>
                <w:rFonts w:eastAsia="Times New Roman"/>
                <w:sz w:val="20"/>
                <w:szCs w:val="20"/>
              </w:rPr>
            </w:pPr>
          </w:p>
        </w:tc>
        <w:tc>
          <w:tcPr>
            <w:tcW w:w="5" w:type="pct"/>
            <w:vAlign w:val="center"/>
            <w:hideMark/>
          </w:tcPr>
          <w:p w14:paraId="53A13A92" w14:textId="77777777" w:rsidR="00000000" w:rsidRDefault="00A173A8">
            <w:pPr>
              <w:spacing w:after="100"/>
              <w:rPr>
                <w:rFonts w:eastAsia="Times New Roman"/>
                <w:sz w:val="20"/>
                <w:szCs w:val="20"/>
              </w:rPr>
            </w:pPr>
          </w:p>
        </w:tc>
        <w:tc>
          <w:tcPr>
            <w:tcW w:w="5" w:type="pct"/>
            <w:vAlign w:val="center"/>
            <w:hideMark/>
          </w:tcPr>
          <w:p w14:paraId="6B50CB14" w14:textId="77777777" w:rsidR="00000000" w:rsidRDefault="00A173A8">
            <w:pPr>
              <w:spacing w:after="100"/>
              <w:rPr>
                <w:rFonts w:eastAsia="Times New Roman"/>
                <w:sz w:val="20"/>
                <w:szCs w:val="20"/>
              </w:rPr>
            </w:pPr>
          </w:p>
        </w:tc>
        <w:tc>
          <w:tcPr>
            <w:tcW w:w="26" w:type="pct"/>
            <w:vAlign w:val="center"/>
            <w:hideMark/>
          </w:tcPr>
          <w:p w14:paraId="158BA884" w14:textId="77777777" w:rsidR="00000000" w:rsidRDefault="00A173A8">
            <w:pPr>
              <w:spacing w:after="100"/>
              <w:rPr>
                <w:rFonts w:eastAsia="Times New Roman"/>
                <w:sz w:val="20"/>
                <w:szCs w:val="20"/>
              </w:rPr>
            </w:pPr>
          </w:p>
        </w:tc>
        <w:tc>
          <w:tcPr>
            <w:tcW w:w="5" w:type="pct"/>
            <w:vAlign w:val="center"/>
            <w:hideMark/>
          </w:tcPr>
          <w:p w14:paraId="29CC994F" w14:textId="77777777" w:rsidR="00000000" w:rsidRDefault="00A173A8">
            <w:pPr>
              <w:spacing w:after="100"/>
              <w:rPr>
                <w:rFonts w:eastAsia="Times New Roman"/>
                <w:sz w:val="20"/>
                <w:szCs w:val="20"/>
              </w:rPr>
            </w:pPr>
          </w:p>
        </w:tc>
        <w:tc>
          <w:tcPr>
            <w:tcW w:w="50" w:type="pct"/>
            <w:vAlign w:val="center"/>
            <w:hideMark/>
          </w:tcPr>
          <w:p w14:paraId="29223EDF" w14:textId="77777777" w:rsidR="00000000" w:rsidRDefault="00A173A8">
            <w:pPr>
              <w:spacing w:after="100"/>
              <w:rPr>
                <w:rFonts w:eastAsia="Times New Roman"/>
                <w:sz w:val="20"/>
                <w:szCs w:val="20"/>
              </w:rPr>
            </w:pPr>
          </w:p>
        </w:tc>
        <w:tc>
          <w:tcPr>
            <w:tcW w:w="610" w:type="pct"/>
            <w:vAlign w:val="center"/>
            <w:hideMark/>
          </w:tcPr>
          <w:p w14:paraId="21D2BC51" w14:textId="77777777" w:rsidR="00000000" w:rsidRDefault="00A173A8">
            <w:pPr>
              <w:spacing w:after="100"/>
              <w:rPr>
                <w:rFonts w:eastAsia="Times New Roman"/>
                <w:sz w:val="20"/>
                <w:szCs w:val="20"/>
              </w:rPr>
            </w:pPr>
          </w:p>
        </w:tc>
        <w:tc>
          <w:tcPr>
            <w:tcW w:w="5" w:type="pct"/>
            <w:vAlign w:val="center"/>
            <w:hideMark/>
          </w:tcPr>
          <w:p w14:paraId="2C8F37F5" w14:textId="77777777" w:rsidR="00000000" w:rsidRDefault="00A173A8">
            <w:pPr>
              <w:spacing w:after="100"/>
              <w:rPr>
                <w:rFonts w:eastAsia="Times New Roman"/>
                <w:sz w:val="20"/>
                <w:szCs w:val="20"/>
              </w:rPr>
            </w:pPr>
          </w:p>
        </w:tc>
      </w:tr>
      <w:tr w:rsidR="00000000" w14:paraId="13C25993" w14:textId="77777777">
        <w:trPr>
          <w:divId w:val="2029983352"/>
        </w:trPr>
        <w:tc>
          <w:tcPr>
            <w:tcW w:w="0" w:type="auto"/>
            <w:gridSpan w:val="3"/>
            <w:tcMar>
              <w:top w:w="0" w:type="dxa"/>
              <w:left w:w="20" w:type="dxa"/>
              <w:bottom w:w="0" w:type="dxa"/>
              <w:right w:w="20" w:type="dxa"/>
            </w:tcMar>
            <w:vAlign w:val="center"/>
            <w:hideMark/>
          </w:tcPr>
          <w:p w14:paraId="179EBA86"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666B17" w14:textId="77777777" w:rsidR="00000000" w:rsidRDefault="00A173A8">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572724F9" w14:textId="77777777" w:rsidR="00000000" w:rsidRDefault="00A173A8">
            <w:pPr>
              <w:spacing w:after="100"/>
              <w:jc w:val="center"/>
              <w:rPr>
                <w:rFonts w:eastAsia="Times New Roman"/>
              </w:rPr>
            </w:pPr>
            <w:r>
              <w:rPr>
                <w:rFonts w:eastAsia="Times New Roman"/>
                <w:b/>
                <w:bCs/>
                <w:color w:val="000000"/>
                <w:sz w:val="16"/>
                <w:szCs w:val="16"/>
              </w:rPr>
              <w:t>Total Gains (Losses)</w:t>
            </w:r>
          </w:p>
        </w:tc>
      </w:tr>
      <w:tr w:rsidR="00000000" w14:paraId="652BF90F" w14:textId="77777777">
        <w:trPr>
          <w:divId w:val="2029983352"/>
        </w:trPr>
        <w:tc>
          <w:tcPr>
            <w:tcW w:w="0" w:type="auto"/>
            <w:gridSpan w:val="3"/>
            <w:tcMar>
              <w:top w:w="0" w:type="dxa"/>
              <w:left w:w="20" w:type="dxa"/>
              <w:bottom w:w="0" w:type="dxa"/>
              <w:right w:w="20" w:type="dxa"/>
            </w:tcMar>
            <w:vAlign w:val="center"/>
            <w:hideMark/>
          </w:tcPr>
          <w:p w14:paraId="21F30C35"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42822C0" w14:textId="77777777" w:rsidR="00000000" w:rsidRDefault="00A173A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12C9DCE5" w14:textId="77777777" w:rsidR="00000000" w:rsidRDefault="00A173A8">
            <w:pPr>
              <w:spacing w:after="100"/>
              <w:jc w:val="center"/>
              <w:rPr>
                <w:rFonts w:eastAsia="Times New Roman"/>
              </w:rPr>
            </w:pPr>
            <w:r>
              <w:rPr>
                <w:rFonts w:eastAsia="Times New Roman"/>
                <w:b/>
                <w:bCs/>
                <w:color w:val="000000"/>
                <w:sz w:val="16"/>
                <w:szCs w:val="16"/>
              </w:rPr>
              <w:t>Six Months Ended June 30,</w:t>
            </w:r>
          </w:p>
        </w:tc>
      </w:tr>
      <w:tr w:rsidR="00000000" w14:paraId="66966A1D" w14:textId="77777777">
        <w:trPr>
          <w:divId w:val="2029983352"/>
        </w:trPr>
        <w:tc>
          <w:tcPr>
            <w:tcW w:w="0" w:type="auto"/>
            <w:gridSpan w:val="3"/>
            <w:tcMar>
              <w:top w:w="30" w:type="dxa"/>
              <w:left w:w="20" w:type="dxa"/>
              <w:bottom w:w="30" w:type="dxa"/>
              <w:right w:w="20" w:type="dxa"/>
            </w:tcMar>
            <w:vAlign w:val="bottom"/>
            <w:hideMark/>
          </w:tcPr>
          <w:p w14:paraId="62FE934E"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B6615E3"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629DA6" w14:textId="77777777" w:rsidR="00000000" w:rsidRDefault="00A173A8">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046D0A2"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BE9CE8" w14:textId="77777777" w:rsidR="00000000" w:rsidRDefault="00A173A8">
            <w:pPr>
              <w:spacing w:after="100"/>
              <w:jc w:val="center"/>
              <w:rPr>
                <w:rFonts w:eastAsia="Times New Roman"/>
              </w:rPr>
            </w:pPr>
            <w:r>
              <w:rPr>
                <w:rFonts w:eastAsia="Times New Roman"/>
                <w:b/>
                <w:bCs/>
                <w:color w:val="000000"/>
                <w:sz w:val="16"/>
                <w:szCs w:val="16"/>
              </w:rPr>
              <w:t>2021</w:t>
            </w:r>
          </w:p>
        </w:tc>
      </w:tr>
      <w:tr w:rsidR="00000000" w14:paraId="6E682D32" w14:textId="77777777">
        <w:trPr>
          <w:divId w:val="202998335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371C1DD" w14:textId="77777777" w:rsidR="00000000" w:rsidRDefault="00A173A8">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2E270145"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968809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91925FA" w14:textId="77777777" w:rsidR="00000000" w:rsidRDefault="00A173A8">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4D29F7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3D7D0A"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4F2C16C"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FF32F70" w14:textId="77777777" w:rsidR="00000000" w:rsidRDefault="00A173A8">
            <w:pPr>
              <w:spacing w:after="100"/>
              <w:jc w:val="right"/>
              <w:rPr>
                <w:rFonts w:eastAsia="Times New Roman"/>
              </w:rPr>
            </w:pPr>
            <w:r>
              <w:rPr>
                <w:rFonts w:eastAsia="Times New Roman"/>
                <w:color w:val="000000"/>
                <w:sz w:val="18"/>
                <w:szCs w:val="18"/>
              </w:rPr>
              <w:t>(97)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6FC869" w14:textId="77777777" w:rsidR="00000000" w:rsidRDefault="00A173A8">
            <w:pPr>
              <w:spacing w:after="100"/>
              <w:jc w:val="right"/>
              <w:rPr>
                <w:rFonts w:eastAsia="Times New Roman"/>
              </w:rPr>
            </w:pPr>
          </w:p>
        </w:tc>
      </w:tr>
      <w:tr w:rsidR="00000000" w14:paraId="0AAF1DB6" w14:textId="77777777">
        <w:trPr>
          <w:divId w:val="2029983352"/>
        </w:trPr>
        <w:tc>
          <w:tcPr>
            <w:tcW w:w="0" w:type="auto"/>
            <w:gridSpan w:val="3"/>
            <w:shd w:val="clear" w:color="auto" w:fill="FFFFFF"/>
            <w:tcMar>
              <w:top w:w="30" w:type="dxa"/>
              <w:left w:w="20" w:type="dxa"/>
              <w:bottom w:w="30" w:type="dxa"/>
              <w:right w:w="20" w:type="dxa"/>
            </w:tcMar>
            <w:vAlign w:val="center"/>
            <w:hideMark/>
          </w:tcPr>
          <w:p w14:paraId="2D9ADB30" w14:textId="77777777" w:rsidR="00000000" w:rsidRDefault="00A173A8">
            <w:pPr>
              <w:spacing w:after="100"/>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14:paraId="28D79C6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296E3D7" w14:textId="77777777" w:rsidR="00000000" w:rsidRDefault="00A173A8">
            <w:pPr>
              <w:spacing w:after="100"/>
              <w:jc w:val="right"/>
              <w:rPr>
                <w:rFonts w:eastAsia="Times New Roman"/>
              </w:rPr>
            </w:pPr>
            <w:r>
              <w:rPr>
                <w:rFonts w:eastAsia="Times New Roman"/>
                <w:b/>
                <w:bCs/>
                <w:color w:val="000000"/>
                <w:sz w:val="18"/>
                <w:szCs w:val="18"/>
              </w:rPr>
              <w:t>(6)</w:t>
            </w:r>
          </w:p>
        </w:tc>
        <w:tc>
          <w:tcPr>
            <w:tcW w:w="0" w:type="auto"/>
            <w:shd w:val="clear" w:color="auto" w:fill="FFFFFF"/>
            <w:tcMar>
              <w:top w:w="30" w:type="dxa"/>
              <w:left w:w="0" w:type="dxa"/>
              <w:bottom w:w="30" w:type="dxa"/>
              <w:right w:w="20" w:type="dxa"/>
            </w:tcMar>
            <w:vAlign w:val="center"/>
            <w:hideMark/>
          </w:tcPr>
          <w:p w14:paraId="21AFAE9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87CB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6641D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EF9A802" w14:textId="77777777" w:rsidR="00000000" w:rsidRDefault="00A173A8">
            <w:pPr>
              <w:spacing w:after="100"/>
              <w:jc w:val="right"/>
              <w:rPr>
                <w:rFonts w:eastAsia="Times New Roman"/>
              </w:rPr>
            </w:pPr>
          </w:p>
        </w:tc>
      </w:tr>
      <w:tr w:rsidR="00000000" w14:paraId="4B446D1B" w14:textId="77777777">
        <w:trPr>
          <w:divId w:val="2029983352"/>
        </w:trPr>
        <w:tc>
          <w:tcPr>
            <w:tcW w:w="0" w:type="auto"/>
            <w:gridSpan w:val="3"/>
            <w:shd w:val="clear" w:color="auto" w:fill="CCEEFF"/>
            <w:tcMar>
              <w:top w:w="30" w:type="dxa"/>
              <w:left w:w="20" w:type="dxa"/>
              <w:bottom w:w="30" w:type="dxa"/>
              <w:right w:w="20" w:type="dxa"/>
            </w:tcMar>
            <w:vAlign w:val="center"/>
            <w:hideMark/>
          </w:tcPr>
          <w:p w14:paraId="7B137F71" w14:textId="77777777" w:rsidR="00000000" w:rsidRDefault="00A173A8">
            <w:pPr>
              <w:spacing w:after="100"/>
              <w:divId w:val="2034114403"/>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60D185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F6AEED0" w14:textId="77777777" w:rsidR="00000000" w:rsidRDefault="00A173A8">
            <w:pPr>
              <w:spacing w:after="100"/>
              <w:jc w:val="right"/>
              <w:rPr>
                <w:rFonts w:eastAsia="Times New Roman"/>
              </w:rPr>
            </w:pPr>
            <w:r>
              <w:rPr>
                <w:rFonts w:eastAsia="Times New Roman"/>
                <w:b/>
                <w:bCs/>
                <w:color w:val="000000"/>
                <w:sz w:val="18"/>
                <w:szCs w:val="18"/>
              </w:rPr>
              <w:t>(28)</w:t>
            </w:r>
          </w:p>
        </w:tc>
        <w:tc>
          <w:tcPr>
            <w:tcW w:w="0" w:type="auto"/>
            <w:shd w:val="clear" w:color="auto" w:fill="CCEEFF"/>
            <w:tcMar>
              <w:top w:w="30" w:type="dxa"/>
              <w:left w:w="0" w:type="dxa"/>
              <w:bottom w:w="30" w:type="dxa"/>
              <w:right w:w="20" w:type="dxa"/>
            </w:tcMar>
            <w:vAlign w:val="center"/>
            <w:hideMark/>
          </w:tcPr>
          <w:p w14:paraId="345860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9BF4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DC81A8" w14:textId="77777777" w:rsidR="00000000" w:rsidRDefault="00A173A8">
            <w:pPr>
              <w:spacing w:after="100"/>
              <w:jc w:val="right"/>
              <w:rPr>
                <w:rFonts w:eastAsia="Times New Roman"/>
              </w:rPr>
            </w:pPr>
            <w:r>
              <w:rPr>
                <w:rFonts w:eastAsia="Times New Roman"/>
                <w:color w:val="000000"/>
                <w:sz w:val="18"/>
                <w:szCs w:val="18"/>
              </w:rPr>
              <w:t>(61)</w:t>
            </w:r>
          </w:p>
        </w:tc>
        <w:tc>
          <w:tcPr>
            <w:tcW w:w="0" w:type="auto"/>
            <w:shd w:val="clear" w:color="auto" w:fill="CCEEFF"/>
            <w:tcMar>
              <w:top w:w="30" w:type="dxa"/>
              <w:left w:w="0" w:type="dxa"/>
              <w:bottom w:w="30" w:type="dxa"/>
              <w:right w:w="20" w:type="dxa"/>
            </w:tcMar>
            <w:vAlign w:val="center"/>
            <w:hideMark/>
          </w:tcPr>
          <w:p w14:paraId="5266C29A" w14:textId="77777777" w:rsidR="00000000" w:rsidRDefault="00A173A8">
            <w:pPr>
              <w:spacing w:after="100"/>
              <w:jc w:val="right"/>
              <w:rPr>
                <w:rFonts w:eastAsia="Times New Roman"/>
              </w:rPr>
            </w:pPr>
          </w:p>
        </w:tc>
      </w:tr>
      <w:tr w:rsidR="00000000" w14:paraId="57CB56B6" w14:textId="77777777">
        <w:trPr>
          <w:divId w:val="2029983352"/>
        </w:trPr>
        <w:tc>
          <w:tcPr>
            <w:tcW w:w="0" w:type="auto"/>
            <w:gridSpan w:val="3"/>
            <w:shd w:val="clear" w:color="auto" w:fill="FFFFFF"/>
            <w:tcMar>
              <w:top w:w="30" w:type="dxa"/>
              <w:left w:w="20" w:type="dxa"/>
              <w:bottom w:w="30" w:type="dxa"/>
              <w:right w:w="20" w:type="dxa"/>
            </w:tcMar>
            <w:vAlign w:val="center"/>
            <w:hideMark/>
          </w:tcPr>
          <w:p w14:paraId="1B1A7283" w14:textId="77777777" w:rsidR="00000000" w:rsidRDefault="00A173A8">
            <w:pPr>
              <w:spacing w:after="100"/>
              <w:rPr>
                <w:rFonts w:eastAsia="Times New Roman"/>
              </w:rPr>
            </w:pPr>
            <w:r>
              <w:rPr>
                <w:rFonts w:eastAsia="Times New Roman"/>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60A7CCED"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206D88ED"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52AA3FF" w14:textId="77777777" w:rsidR="00000000" w:rsidRDefault="00A173A8">
            <w:pPr>
              <w:spacing w:after="100"/>
              <w:jc w:val="right"/>
              <w:rPr>
                <w:rFonts w:eastAsia="Times New Roman"/>
              </w:rPr>
            </w:pPr>
            <w:r>
              <w:rPr>
                <w:rFonts w:eastAsia="Times New Roman"/>
                <w:b/>
                <w:bCs/>
                <w:color w:val="000000"/>
                <w:sz w:val="18"/>
                <w:szCs w:val="18"/>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FE2347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2C5D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96CAD7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9465D7B" w14:textId="77777777" w:rsidR="00000000" w:rsidRDefault="00A173A8">
            <w:pPr>
              <w:spacing w:after="100"/>
              <w:jc w:val="right"/>
              <w:rPr>
                <w:rFonts w:eastAsia="Times New Roman"/>
              </w:rPr>
            </w:pPr>
            <w:r>
              <w:rPr>
                <w:rFonts w:eastAsia="Times New Roman"/>
                <w:color w:val="000000"/>
                <w:sz w:val="18"/>
                <w:szCs w:val="18"/>
              </w:rPr>
              <w:t>(158)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B7D0F94" w14:textId="77777777" w:rsidR="00000000" w:rsidRDefault="00A173A8">
            <w:pPr>
              <w:spacing w:after="100"/>
              <w:jc w:val="right"/>
              <w:rPr>
                <w:rFonts w:eastAsia="Times New Roman"/>
              </w:rPr>
            </w:pPr>
          </w:p>
        </w:tc>
      </w:tr>
    </w:tbl>
    <w:p w14:paraId="2ECA7BEE" w14:textId="77777777" w:rsidR="00000000" w:rsidRDefault="00A173A8">
      <w:pPr>
        <w:divId w:val="2029983352"/>
        <w:rPr>
          <w:rFonts w:eastAsia="Times New Roman"/>
        </w:rPr>
      </w:pPr>
      <w:r>
        <w:rPr>
          <w:rFonts w:eastAsia="Times New Roman"/>
          <w:color w:val="000000"/>
          <w:sz w:val="20"/>
          <w:szCs w:val="20"/>
        </w:rPr>
        <w:t>__________</w:t>
      </w:r>
    </w:p>
    <w:p w14:paraId="29011DF2" w14:textId="77777777" w:rsidR="00000000" w:rsidRDefault="00A173A8">
      <w:pPr>
        <w:ind w:hanging="360"/>
        <w:jc w:val="both"/>
        <w:divId w:val="39500870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Other assets include fair value adjustments related to repossessed assets, long-lived assets held for sale and equity investments accounted for under the </w:t>
      </w:r>
      <w:r>
        <w:rPr>
          <w:rFonts w:eastAsia="Times New Roman"/>
          <w:color w:val="000000"/>
          <w:sz w:val="16"/>
          <w:szCs w:val="16"/>
          <w:shd w:val="clear" w:color="auto" w:fill="FFFFFF"/>
        </w:rPr>
        <w:t>measurement alternative.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6B7C490" w14:textId="77777777">
        <w:trPr>
          <w:divId w:val="1441687010"/>
          <w:jc w:val="center"/>
        </w:trPr>
        <w:tc>
          <w:tcPr>
            <w:tcW w:w="50" w:type="pct"/>
            <w:vAlign w:val="center"/>
            <w:hideMark/>
          </w:tcPr>
          <w:p w14:paraId="2AE6A781" w14:textId="77777777" w:rsidR="00000000" w:rsidRDefault="00A173A8">
            <w:pPr>
              <w:ind w:hanging="360"/>
              <w:jc w:val="both"/>
              <w:rPr>
                <w:rFonts w:eastAsia="Times New Roman"/>
              </w:rPr>
            </w:pPr>
          </w:p>
        </w:tc>
        <w:tc>
          <w:tcPr>
            <w:tcW w:w="1606" w:type="pct"/>
            <w:vAlign w:val="center"/>
            <w:hideMark/>
          </w:tcPr>
          <w:p w14:paraId="6DB4CA7D" w14:textId="77777777" w:rsidR="00000000" w:rsidRDefault="00A173A8">
            <w:pPr>
              <w:spacing w:after="100"/>
              <w:rPr>
                <w:rFonts w:eastAsia="Times New Roman"/>
                <w:sz w:val="20"/>
                <w:szCs w:val="20"/>
              </w:rPr>
            </w:pPr>
          </w:p>
        </w:tc>
        <w:tc>
          <w:tcPr>
            <w:tcW w:w="5" w:type="pct"/>
            <w:vAlign w:val="center"/>
            <w:hideMark/>
          </w:tcPr>
          <w:p w14:paraId="4BC91A51" w14:textId="77777777" w:rsidR="00000000" w:rsidRDefault="00A173A8">
            <w:pPr>
              <w:spacing w:after="100"/>
              <w:rPr>
                <w:rFonts w:eastAsia="Times New Roman"/>
                <w:sz w:val="20"/>
                <w:szCs w:val="20"/>
              </w:rPr>
            </w:pPr>
          </w:p>
        </w:tc>
        <w:tc>
          <w:tcPr>
            <w:tcW w:w="50" w:type="pct"/>
            <w:vAlign w:val="center"/>
            <w:hideMark/>
          </w:tcPr>
          <w:p w14:paraId="7D036778" w14:textId="77777777" w:rsidR="00000000" w:rsidRDefault="00A173A8">
            <w:pPr>
              <w:spacing w:after="100"/>
              <w:rPr>
                <w:rFonts w:eastAsia="Times New Roman"/>
                <w:sz w:val="20"/>
                <w:szCs w:val="20"/>
              </w:rPr>
            </w:pPr>
          </w:p>
        </w:tc>
        <w:tc>
          <w:tcPr>
            <w:tcW w:w="1614" w:type="pct"/>
            <w:vAlign w:val="center"/>
            <w:hideMark/>
          </w:tcPr>
          <w:p w14:paraId="06A562D4" w14:textId="77777777" w:rsidR="00000000" w:rsidRDefault="00A173A8">
            <w:pPr>
              <w:spacing w:after="100"/>
              <w:rPr>
                <w:rFonts w:eastAsia="Times New Roman"/>
                <w:sz w:val="20"/>
                <w:szCs w:val="20"/>
              </w:rPr>
            </w:pPr>
          </w:p>
        </w:tc>
        <w:tc>
          <w:tcPr>
            <w:tcW w:w="5" w:type="pct"/>
            <w:vAlign w:val="center"/>
            <w:hideMark/>
          </w:tcPr>
          <w:p w14:paraId="11CD18CA" w14:textId="77777777" w:rsidR="00000000" w:rsidRDefault="00A173A8">
            <w:pPr>
              <w:spacing w:after="100"/>
              <w:rPr>
                <w:rFonts w:eastAsia="Times New Roman"/>
                <w:sz w:val="20"/>
                <w:szCs w:val="20"/>
              </w:rPr>
            </w:pPr>
          </w:p>
        </w:tc>
        <w:tc>
          <w:tcPr>
            <w:tcW w:w="50" w:type="pct"/>
            <w:vAlign w:val="center"/>
            <w:hideMark/>
          </w:tcPr>
          <w:p w14:paraId="043CB296" w14:textId="77777777" w:rsidR="00000000" w:rsidRDefault="00A173A8">
            <w:pPr>
              <w:spacing w:after="100"/>
              <w:rPr>
                <w:rFonts w:eastAsia="Times New Roman"/>
                <w:sz w:val="20"/>
                <w:szCs w:val="20"/>
              </w:rPr>
            </w:pPr>
          </w:p>
        </w:tc>
        <w:tc>
          <w:tcPr>
            <w:tcW w:w="1614" w:type="pct"/>
            <w:vAlign w:val="center"/>
            <w:hideMark/>
          </w:tcPr>
          <w:p w14:paraId="279BD69F" w14:textId="77777777" w:rsidR="00000000" w:rsidRDefault="00A173A8">
            <w:pPr>
              <w:spacing w:after="100"/>
              <w:rPr>
                <w:rFonts w:eastAsia="Times New Roman"/>
                <w:sz w:val="20"/>
                <w:szCs w:val="20"/>
              </w:rPr>
            </w:pPr>
          </w:p>
        </w:tc>
        <w:tc>
          <w:tcPr>
            <w:tcW w:w="5" w:type="pct"/>
            <w:vAlign w:val="center"/>
            <w:hideMark/>
          </w:tcPr>
          <w:p w14:paraId="20855918" w14:textId="77777777" w:rsidR="00000000" w:rsidRDefault="00A173A8">
            <w:pPr>
              <w:spacing w:after="100"/>
              <w:rPr>
                <w:rFonts w:eastAsia="Times New Roman"/>
                <w:sz w:val="20"/>
                <w:szCs w:val="20"/>
              </w:rPr>
            </w:pPr>
          </w:p>
        </w:tc>
      </w:tr>
      <w:tr w:rsidR="00000000" w14:paraId="6E254386" w14:textId="77777777">
        <w:trPr>
          <w:divId w:val="1441687010"/>
          <w:trHeight w:val="300"/>
          <w:jc w:val="center"/>
        </w:trPr>
        <w:tc>
          <w:tcPr>
            <w:tcW w:w="0" w:type="auto"/>
            <w:gridSpan w:val="9"/>
            <w:tcMar>
              <w:top w:w="0" w:type="dxa"/>
              <w:left w:w="20" w:type="dxa"/>
              <w:bottom w:w="0" w:type="dxa"/>
              <w:right w:w="20" w:type="dxa"/>
            </w:tcMar>
            <w:vAlign w:val="center"/>
            <w:hideMark/>
          </w:tcPr>
          <w:p w14:paraId="42FC8FCB" w14:textId="77777777" w:rsidR="00000000" w:rsidRDefault="00A173A8">
            <w:pPr>
              <w:spacing w:after="100"/>
              <w:rPr>
                <w:rFonts w:eastAsia="Times New Roman"/>
                <w:sz w:val="20"/>
                <w:szCs w:val="20"/>
              </w:rPr>
            </w:pPr>
          </w:p>
        </w:tc>
      </w:tr>
      <w:tr w:rsidR="00000000" w14:paraId="3BF6AF08" w14:textId="77777777">
        <w:trPr>
          <w:divId w:val="1441687010"/>
          <w:jc w:val="center"/>
        </w:trPr>
        <w:tc>
          <w:tcPr>
            <w:tcW w:w="0" w:type="auto"/>
            <w:gridSpan w:val="3"/>
            <w:tcMar>
              <w:top w:w="0" w:type="dxa"/>
              <w:left w:w="20" w:type="dxa"/>
              <w:bottom w:w="0" w:type="dxa"/>
              <w:right w:w="20" w:type="dxa"/>
            </w:tcMar>
            <w:vAlign w:val="center"/>
            <w:hideMark/>
          </w:tcPr>
          <w:p w14:paraId="269C5149"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5E71CAF" w14:textId="77777777" w:rsidR="00000000" w:rsidRDefault="00A173A8">
            <w:pPr>
              <w:spacing w:after="100"/>
              <w:jc w:val="center"/>
              <w:rPr>
                <w:rFonts w:eastAsia="Times New Roman"/>
              </w:rPr>
            </w:pPr>
            <w:r>
              <w:rPr>
                <w:rFonts w:eastAsia="Times New Roman"/>
                <w:color w:val="000000"/>
                <w:sz w:val="16"/>
                <w:szCs w:val="16"/>
              </w:rPr>
              <w:t>111</w:t>
            </w:r>
          </w:p>
        </w:tc>
        <w:tc>
          <w:tcPr>
            <w:tcW w:w="0" w:type="auto"/>
            <w:gridSpan w:val="3"/>
            <w:tcMar>
              <w:top w:w="30" w:type="dxa"/>
              <w:left w:w="20" w:type="dxa"/>
              <w:bottom w:w="30" w:type="dxa"/>
              <w:right w:w="20" w:type="dxa"/>
            </w:tcMar>
            <w:vAlign w:val="bottom"/>
            <w:hideMark/>
          </w:tcPr>
          <w:p w14:paraId="1E444423"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1A5A837" w14:textId="77777777" w:rsidR="00000000" w:rsidRDefault="00A173A8">
      <w:pPr>
        <w:rPr>
          <w:rFonts w:eastAsia="Times New Roman"/>
        </w:rPr>
      </w:pPr>
      <w:r>
        <w:rPr>
          <w:rFonts w:eastAsia="Times New Roman"/>
        </w:rPr>
        <w:pict w14:anchorId="005B61BB">
          <v:rect id="_x0000_i1136" style="width:0;height:1.5pt" o:hralign="center" o:hrstd="t" o:hr="t" fillcolor="#a0a0a0" stroked="f"/>
        </w:pict>
      </w:r>
    </w:p>
    <w:p w14:paraId="4B330572" w14:textId="77777777" w:rsidR="00000000" w:rsidRDefault="00A173A8">
      <w:pPr>
        <w:jc w:val="both"/>
        <w:divId w:val="313920490"/>
        <w:rPr>
          <w:rFonts w:eastAsia="Times New Roman"/>
        </w:rPr>
      </w:pPr>
      <w:hyperlink w:anchor="i7ffd5d61af6f4722b1b1b07530d51c06_13" w:history="1">
        <w:r>
          <w:rPr>
            <w:rStyle w:val="a3"/>
            <w:rFonts w:eastAsia="Times New Roman"/>
            <w:sz w:val="16"/>
            <w:szCs w:val="16"/>
          </w:rPr>
          <w:t>Table of Contents</w:t>
        </w:r>
      </w:hyperlink>
    </w:p>
    <w:p w14:paraId="7F64BA7B" w14:textId="77777777" w:rsidR="00000000" w:rsidRDefault="00A173A8">
      <w:pPr>
        <w:divId w:val="199979724"/>
        <w:rPr>
          <w:rFonts w:eastAsia="Times New Roman"/>
        </w:rPr>
      </w:pPr>
      <w:r>
        <w:rPr>
          <w:rFonts w:eastAsia="Times New Roman"/>
          <w:b/>
          <w:bCs/>
          <w:color w:val="000000"/>
          <w:sz w:val="20"/>
          <w:szCs w:val="20"/>
        </w:rPr>
        <w:t>Fair Value of Financial Instruments</w:t>
      </w:r>
    </w:p>
    <w:p w14:paraId="565304B5" w14:textId="77777777" w:rsidR="00000000" w:rsidRDefault="00A173A8">
      <w:pPr>
        <w:divId w:val="868569028"/>
        <w:rPr>
          <w:rFonts w:eastAsia="Times New Roman"/>
        </w:rPr>
      </w:pPr>
      <w:r>
        <w:rPr>
          <w:rFonts w:eastAsia="Times New Roman"/>
          <w:color w:val="000000"/>
          <w:sz w:val="20"/>
          <w:szCs w:val="20"/>
        </w:rPr>
        <w:t>The following table presents the carrying value and estimated fair value, including the level within the fa</w:t>
      </w:r>
      <w:r>
        <w:rPr>
          <w:rFonts w:eastAsia="Times New Roman"/>
          <w:color w:val="000000"/>
          <w:sz w:val="20"/>
          <w:szCs w:val="20"/>
        </w:rPr>
        <w:t>ir value hierarchy, of our financial instruments that are not measured at fair value on a recurring basis on our consolidated balance sheets as of June 30, 2022 and December 31, 2021.</w:t>
      </w:r>
    </w:p>
    <w:p w14:paraId="49E86FB1" w14:textId="77777777" w:rsidR="00000000" w:rsidRDefault="00A173A8">
      <w:pPr>
        <w:divId w:val="995458696"/>
        <w:rPr>
          <w:rFonts w:eastAsia="Times New Roman"/>
        </w:rPr>
      </w:pPr>
      <w:r>
        <w:rPr>
          <w:rFonts w:eastAsia="Times New Roman"/>
          <w:b/>
          <w:bCs/>
          <w:color w:val="000000"/>
          <w:sz w:val="18"/>
          <w:szCs w:val="18"/>
        </w:rPr>
        <w:t>Table 11.6: Fair Value of Financial Instruments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234"/>
        <w:gridCol w:w="39"/>
        <w:gridCol w:w="36"/>
        <w:gridCol w:w="36"/>
        <w:gridCol w:w="36"/>
        <w:gridCol w:w="110"/>
        <w:gridCol w:w="540"/>
        <w:gridCol w:w="36"/>
        <w:gridCol w:w="36"/>
        <w:gridCol w:w="36"/>
        <w:gridCol w:w="36"/>
        <w:gridCol w:w="111"/>
        <w:gridCol w:w="633"/>
        <w:gridCol w:w="36"/>
        <w:gridCol w:w="36"/>
        <w:gridCol w:w="36"/>
        <w:gridCol w:w="36"/>
        <w:gridCol w:w="110"/>
        <w:gridCol w:w="450"/>
        <w:gridCol w:w="36"/>
        <w:gridCol w:w="36"/>
        <w:gridCol w:w="36"/>
        <w:gridCol w:w="36"/>
        <w:gridCol w:w="110"/>
        <w:gridCol w:w="540"/>
        <w:gridCol w:w="36"/>
        <w:gridCol w:w="36"/>
        <w:gridCol w:w="36"/>
        <w:gridCol w:w="36"/>
        <w:gridCol w:w="112"/>
        <w:gridCol w:w="557"/>
        <w:gridCol w:w="36"/>
      </w:tblGrid>
      <w:tr w:rsidR="00000000" w14:paraId="68DF77E9" w14:textId="77777777">
        <w:trPr>
          <w:divId w:val="366875318"/>
        </w:trPr>
        <w:tc>
          <w:tcPr>
            <w:tcW w:w="50" w:type="pct"/>
            <w:vAlign w:val="center"/>
            <w:hideMark/>
          </w:tcPr>
          <w:p w14:paraId="7511AE44" w14:textId="77777777" w:rsidR="00000000" w:rsidRDefault="00A173A8">
            <w:pPr>
              <w:rPr>
                <w:rFonts w:eastAsia="Times New Roman"/>
              </w:rPr>
            </w:pPr>
          </w:p>
        </w:tc>
        <w:tc>
          <w:tcPr>
            <w:tcW w:w="2912" w:type="pct"/>
            <w:vAlign w:val="center"/>
            <w:hideMark/>
          </w:tcPr>
          <w:p w14:paraId="42576628" w14:textId="77777777" w:rsidR="00000000" w:rsidRDefault="00A173A8">
            <w:pPr>
              <w:spacing w:after="100"/>
              <w:rPr>
                <w:rFonts w:eastAsia="Times New Roman"/>
                <w:sz w:val="20"/>
                <w:szCs w:val="20"/>
              </w:rPr>
            </w:pPr>
          </w:p>
        </w:tc>
        <w:tc>
          <w:tcPr>
            <w:tcW w:w="5" w:type="pct"/>
            <w:vAlign w:val="center"/>
            <w:hideMark/>
          </w:tcPr>
          <w:p w14:paraId="2DF6E553" w14:textId="77777777" w:rsidR="00000000" w:rsidRDefault="00A173A8">
            <w:pPr>
              <w:spacing w:after="100"/>
              <w:rPr>
                <w:rFonts w:eastAsia="Times New Roman"/>
                <w:sz w:val="20"/>
                <w:szCs w:val="20"/>
              </w:rPr>
            </w:pPr>
          </w:p>
        </w:tc>
        <w:tc>
          <w:tcPr>
            <w:tcW w:w="5" w:type="pct"/>
            <w:vAlign w:val="center"/>
            <w:hideMark/>
          </w:tcPr>
          <w:p w14:paraId="73C85DFE" w14:textId="77777777" w:rsidR="00000000" w:rsidRDefault="00A173A8">
            <w:pPr>
              <w:spacing w:after="100"/>
              <w:rPr>
                <w:rFonts w:eastAsia="Times New Roman"/>
                <w:sz w:val="20"/>
                <w:szCs w:val="20"/>
              </w:rPr>
            </w:pPr>
          </w:p>
        </w:tc>
        <w:tc>
          <w:tcPr>
            <w:tcW w:w="26" w:type="pct"/>
            <w:vAlign w:val="center"/>
            <w:hideMark/>
          </w:tcPr>
          <w:p w14:paraId="68CAC5FE" w14:textId="77777777" w:rsidR="00000000" w:rsidRDefault="00A173A8">
            <w:pPr>
              <w:spacing w:after="100"/>
              <w:rPr>
                <w:rFonts w:eastAsia="Times New Roman"/>
                <w:sz w:val="20"/>
                <w:szCs w:val="20"/>
              </w:rPr>
            </w:pPr>
          </w:p>
        </w:tc>
        <w:tc>
          <w:tcPr>
            <w:tcW w:w="5" w:type="pct"/>
            <w:vAlign w:val="center"/>
            <w:hideMark/>
          </w:tcPr>
          <w:p w14:paraId="461A90B1" w14:textId="77777777" w:rsidR="00000000" w:rsidRDefault="00A173A8">
            <w:pPr>
              <w:spacing w:after="100"/>
              <w:rPr>
                <w:rFonts w:eastAsia="Times New Roman"/>
                <w:sz w:val="20"/>
                <w:szCs w:val="20"/>
              </w:rPr>
            </w:pPr>
          </w:p>
        </w:tc>
        <w:tc>
          <w:tcPr>
            <w:tcW w:w="50" w:type="pct"/>
            <w:vAlign w:val="center"/>
            <w:hideMark/>
          </w:tcPr>
          <w:p w14:paraId="042DB3F7" w14:textId="77777777" w:rsidR="00000000" w:rsidRDefault="00A173A8">
            <w:pPr>
              <w:spacing w:after="100"/>
              <w:rPr>
                <w:rFonts w:eastAsia="Times New Roman"/>
                <w:sz w:val="20"/>
                <w:szCs w:val="20"/>
              </w:rPr>
            </w:pPr>
          </w:p>
        </w:tc>
        <w:tc>
          <w:tcPr>
            <w:tcW w:w="317" w:type="pct"/>
            <w:vAlign w:val="center"/>
            <w:hideMark/>
          </w:tcPr>
          <w:p w14:paraId="685DC027" w14:textId="77777777" w:rsidR="00000000" w:rsidRDefault="00A173A8">
            <w:pPr>
              <w:spacing w:after="100"/>
              <w:rPr>
                <w:rFonts w:eastAsia="Times New Roman"/>
                <w:sz w:val="20"/>
                <w:szCs w:val="20"/>
              </w:rPr>
            </w:pPr>
          </w:p>
        </w:tc>
        <w:tc>
          <w:tcPr>
            <w:tcW w:w="5" w:type="pct"/>
            <w:vAlign w:val="center"/>
            <w:hideMark/>
          </w:tcPr>
          <w:p w14:paraId="6FA18590" w14:textId="77777777" w:rsidR="00000000" w:rsidRDefault="00A173A8">
            <w:pPr>
              <w:spacing w:after="100"/>
              <w:rPr>
                <w:rFonts w:eastAsia="Times New Roman"/>
                <w:sz w:val="20"/>
                <w:szCs w:val="20"/>
              </w:rPr>
            </w:pPr>
          </w:p>
        </w:tc>
        <w:tc>
          <w:tcPr>
            <w:tcW w:w="5" w:type="pct"/>
            <w:vAlign w:val="center"/>
            <w:hideMark/>
          </w:tcPr>
          <w:p w14:paraId="228DC6A5" w14:textId="77777777" w:rsidR="00000000" w:rsidRDefault="00A173A8">
            <w:pPr>
              <w:spacing w:after="100"/>
              <w:rPr>
                <w:rFonts w:eastAsia="Times New Roman"/>
                <w:sz w:val="20"/>
                <w:szCs w:val="20"/>
              </w:rPr>
            </w:pPr>
          </w:p>
        </w:tc>
        <w:tc>
          <w:tcPr>
            <w:tcW w:w="26" w:type="pct"/>
            <w:vAlign w:val="center"/>
            <w:hideMark/>
          </w:tcPr>
          <w:p w14:paraId="340A7FFC" w14:textId="77777777" w:rsidR="00000000" w:rsidRDefault="00A173A8">
            <w:pPr>
              <w:spacing w:after="100"/>
              <w:rPr>
                <w:rFonts w:eastAsia="Times New Roman"/>
                <w:sz w:val="20"/>
                <w:szCs w:val="20"/>
              </w:rPr>
            </w:pPr>
          </w:p>
        </w:tc>
        <w:tc>
          <w:tcPr>
            <w:tcW w:w="5" w:type="pct"/>
            <w:vAlign w:val="center"/>
            <w:hideMark/>
          </w:tcPr>
          <w:p w14:paraId="11DCAA6F" w14:textId="77777777" w:rsidR="00000000" w:rsidRDefault="00A173A8">
            <w:pPr>
              <w:spacing w:after="100"/>
              <w:rPr>
                <w:rFonts w:eastAsia="Times New Roman"/>
                <w:sz w:val="20"/>
                <w:szCs w:val="20"/>
              </w:rPr>
            </w:pPr>
          </w:p>
        </w:tc>
        <w:tc>
          <w:tcPr>
            <w:tcW w:w="50" w:type="pct"/>
            <w:vAlign w:val="center"/>
            <w:hideMark/>
          </w:tcPr>
          <w:p w14:paraId="59832D87" w14:textId="77777777" w:rsidR="00000000" w:rsidRDefault="00A173A8">
            <w:pPr>
              <w:spacing w:after="100"/>
              <w:rPr>
                <w:rFonts w:eastAsia="Times New Roman"/>
                <w:sz w:val="20"/>
                <w:szCs w:val="20"/>
              </w:rPr>
            </w:pPr>
          </w:p>
        </w:tc>
        <w:tc>
          <w:tcPr>
            <w:tcW w:w="347" w:type="pct"/>
            <w:vAlign w:val="center"/>
            <w:hideMark/>
          </w:tcPr>
          <w:p w14:paraId="18767FA5" w14:textId="77777777" w:rsidR="00000000" w:rsidRDefault="00A173A8">
            <w:pPr>
              <w:spacing w:after="100"/>
              <w:rPr>
                <w:rFonts w:eastAsia="Times New Roman"/>
                <w:sz w:val="20"/>
                <w:szCs w:val="20"/>
              </w:rPr>
            </w:pPr>
          </w:p>
        </w:tc>
        <w:tc>
          <w:tcPr>
            <w:tcW w:w="5" w:type="pct"/>
            <w:vAlign w:val="center"/>
            <w:hideMark/>
          </w:tcPr>
          <w:p w14:paraId="150B8A20" w14:textId="77777777" w:rsidR="00000000" w:rsidRDefault="00A173A8">
            <w:pPr>
              <w:spacing w:after="100"/>
              <w:rPr>
                <w:rFonts w:eastAsia="Times New Roman"/>
                <w:sz w:val="20"/>
                <w:szCs w:val="20"/>
              </w:rPr>
            </w:pPr>
          </w:p>
        </w:tc>
        <w:tc>
          <w:tcPr>
            <w:tcW w:w="5" w:type="pct"/>
            <w:vAlign w:val="center"/>
            <w:hideMark/>
          </w:tcPr>
          <w:p w14:paraId="76BEB567" w14:textId="77777777" w:rsidR="00000000" w:rsidRDefault="00A173A8">
            <w:pPr>
              <w:spacing w:after="100"/>
              <w:rPr>
                <w:rFonts w:eastAsia="Times New Roman"/>
                <w:sz w:val="20"/>
                <w:szCs w:val="20"/>
              </w:rPr>
            </w:pPr>
          </w:p>
        </w:tc>
        <w:tc>
          <w:tcPr>
            <w:tcW w:w="26" w:type="pct"/>
            <w:vAlign w:val="center"/>
            <w:hideMark/>
          </w:tcPr>
          <w:p w14:paraId="0D423113" w14:textId="77777777" w:rsidR="00000000" w:rsidRDefault="00A173A8">
            <w:pPr>
              <w:spacing w:after="100"/>
              <w:rPr>
                <w:rFonts w:eastAsia="Times New Roman"/>
                <w:sz w:val="20"/>
                <w:szCs w:val="20"/>
              </w:rPr>
            </w:pPr>
          </w:p>
        </w:tc>
        <w:tc>
          <w:tcPr>
            <w:tcW w:w="5" w:type="pct"/>
            <w:vAlign w:val="center"/>
            <w:hideMark/>
          </w:tcPr>
          <w:p w14:paraId="3F6154BC" w14:textId="77777777" w:rsidR="00000000" w:rsidRDefault="00A173A8">
            <w:pPr>
              <w:spacing w:after="100"/>
              <w:rPr>
                <w:rFonts w:eastAsia="Times New Roman"/>
                <w:sz w:val="20"/>
                <w:szCs w:val="20"/>
              </w:rPr>
            </w:pPr>
          </w:p>
        </w:tc>
        <w:tc>
          <w:tcPr>
            <w:tcW w:w="50" w:type="pct"/>
            <w:vAlign w:val="center"/>
            <w:hideMark/>
          </w:tcPr>
          <w:p w14:paraId="13FC77EE" w14:textId="77777777" w:rsidR="00000000" w:rsidRDefault="00A173A8">
            <w:pPr>
              <w:spacing w:after="100"/>
              <w:rPr>
                <w:rFonts w:eastAsia="Times New Roman"/>
                <w:sz w:val="20"/>
                <w:szCs w:val="20"/>
              </w:rPr>
            </w:pPr>
          </w:p>
        </w:tc>
        <w:tc>
          <w:tcPr>
            <w:tcW w:w="303" w:type="pct"/>
            <w:vAlign w:val="center"/>
            <w:hideMark/>
          </w:tcPr>
          <w:p w14:paraId="5791B1D0" w14:textId="77777777" w:rsidR="00000000" w:rsidRDefault="00A173A8">
            <w:pPr>
              <w:spacing w:after="100"/>
              <w:rPr>
                <w:rFonts w:eastAsia="Times New Roman"/>
                <w:sz w:val="20"/>
                <w:szCs w:val="20"/>
              </w:rPr>
            </w:pPr>
          </w:p>
        </w:tc>
        <w:tc>
          <w:tcPr>
            <w:tcW w:w="5" w:type="pct"/>
            <w:vAlign w:val="center"/>
            <w:hideMark/>
          </w:tcPr>
          <w:p w14:paraId="0B5F55ED" w14:textId="77777777" w:rsidR="00000000" w:rsidRDefault="00A173A8">
            <w:pPr>
              <w:spacing w:after="100"/>
              <w:rPr>
                <w:rFonts w:eastAsia="Times New Roman"/>
                <w:sz w:val="20"/>
                <w:szCs w:val="20"/>
              </w:rPr>
            </w:pPr>
          </w:p>
        </w:tc>
        <w:tc>
          <w:tcPr>
            <w:tcW w:w="5" w:type="pct"/>
            <w:vAlign w:val="center"/>
            <w:hideMark/>
          </w:tcPr>
          <w:p w14:paraId="63702502" w14:textId="77777777" w:rsidR="00000000" w:rsidRDefault="00A173A8">
            <w:pPr>
              <w:spacing w:after="100"/>
              <w:rPr>
                <w:rFonts w:eastAsia="Times New Roman"/>
                <w:sz w:val="20"/>
                <w:szCs w:val="20"/>
              </w:rPr>
            </w:pPr>
          </w:p>
        </w:tc>
        <w:tc>
          <w:tcPr>
            <w:tcW w:w="26" w:type="pct"/>
            <w:vAlign w:val="center"/>
            <w:hideMark/>
          </w:tcPr>
          <w:p w14:paraId="6048BB9B" w14:textId="77777777" w:rsidR="00000000" w:rsidRDefault="00A173A8">
            <w:pPr>
              <w:spacing w:after="100"/>
              <w:rPr>
                <w:rFonts w:eastAsia="Times New Roman"/>
                <w:sz w:val="20"/>
                <w:szCs w:val="20"/>
              </w:rPr>
            </w:pPr>
          </w:p>
        </w:tc>
        <w:tc>
          <w:tcPr>
            <w:tcW w:w="5" w:type="pct"/>
            <w:vAlign w:val="center"/>
            <w:hideMark/>
          </w:tcPr>
          <w:p w14:paraId="61520924" w14:textId="77777777" w:rsidR="00000000" w:rsidRDefault="00A173A8">
            <w:pPr>
              <w:spacing w:after="100"/>
              <w:rPr>
                <w:rFonts w:eastAsia="Times New Roman"/>
                <w:sz w:val="20"/>
                <w:szCs w:val="20"/>
              </w:rPr>
            </w:pPr>
          </w:p>
        </w:tc>
        <w:tc>
          <w:tcPr>
            <w:tcW w:w="50" w:type="pct"/>
            <w:vAlign w:val="center"/>
            <w:hideMark/>
          </w:tcPr>
          <w:p w14:paraId="23359022" w14:textId="77777777" w:rsidR="00000000" w:rsidRDefault="00A173A8">
            <w:pPr>
              <w:spacing w:after="100"/>
              <w:rPr>
                <w:rFonts w:eastAsia="Times New Roman"/>
                <w:sz w:val="20"/>
                <w:szCs w:val="20"/>
              </w:rPr>
            </w:pPr>
          </w:p>
        </w:tc>
        <w:tc>
          <w:tcPr>
            <w:tcW w:w="303" w:type="pct"/>
            <w:vAlign w:val="center"/>
            <w:hideMark/>
          </w:tcPr>
          <w:p w14:paraId="58E72AF6" w14:textId="77777777" w:rsidR="00000000" w:rsidRDefault="00A173A8">
            <w:pPr>
              <w:spacing w:after="100"/>
              <w:rPr>
                <w:rFonts w:eastAsia="Times New Roman"/>
                <w:sz w:val="20"/>
                <w:szCs w:val="20"/>
              </w:rPr>
            </w:pPr>
          </w:p>
        </w:tc>
        <w:tc>
          <w:tcPr>
            <w:tcW w:w="5" w:type="pct"/>
            <w:vAlign w:val="center"/>
            <w:hideMark/>
          </w:tcPr>
          <w:p w14:paraId="37680B91" w14:textId="77777777" w:rsidR="00000000" w:rsidRDefault="00A173A8">
            <w:pPr>
              <w:spacing w:after="100"/>
              <w:rPr>
                <w:rFonts w:eastAsia="Times New Roman"/>
                <w:sz w:val="20"/>
                <w:szCs w:val="20"/>
              </w:rPr>
            </w:pPr>
          </w:p>
        </w:tc>
        <w:tc>
          <w:tcPr>
            <w:tcW w:w="5" w:type="pct"/>
            <w:vAlign w:val="center"/>
            <w:hideMark/>
          </w:tcPr>
          <w:p w14:paraId="2D90783E" w14:textId="77777777" w:rsidR="00000000" w:rsidRDefault="00A173A8">
            <w:pPr>
              <w:spacing w:after="100"/>
              <w:rPr>
                <w:rFonts w:eastAsia="Times New Roman"/>
                <w:sz w:val="20"/>
                <w:szCs w:val="20"/>
              </w:rPr>
            </w:pPr>
          </w:p>
        </w:tc>
        <w:tc>
          <w:tcPr>
            <w:tcW w:w="26" w:type="pct"/>
            <w:vAlign w:val="center"/>
            <w:hideMark/>
          </w:tcPr>
          <w:p w14:paraId="1A61AFB4" w14:textId="77777777" w:rsidR="00000000" w:rsidRDefault="00A173A8">
            <w:pPr>
              <w:spacing w:after="100"/>
              <w:rPr>
                <w:rFonts w:eastAsia="Times New Roman"/>
                <w:sz w:val="20"/>
                <w:szCs w:val="20"/>
              </w:rPr>
            </w:pPr>
          </w:p>
        </w:tc>
        <w:tc>
          <w:tcPr>
            <w:tcW w:w="5" w:type="pct"/>
            <w:vAlign w:val="center"/>
            <w:hideMark/>
          </w:tcPr>
          <w:p w14:paraId="309E4350" w14:textId="77777777" w:rsidR="00000000" w:rsidRDefault="00A173A8">
            <w:pPr>
              <w:spacing w:after="100"/>
              <w:rPr>
                <w:rFonts w:eastAsia="Times New Roman"/>
                <w:sz w:val="20"/>
                <w:szCs w:val="20"/>
              </w:rPr>
            </w:pPr>
          </w:p>
        </w:tc>
        <w:tc>
          <w:tcPr>
            <w:tcW w:w="50" w:type="pct"/>
            <w:vAlign w:val="center"/>
            <w:hideMark/>
          </w:tcPr>
          <w:p w14:paraId="4289335F" w14:textId="77777777" w:rsidR="00000000" w:rsidRDefault="00A173A8">
            <w:pPr>
              <w:spacing w:after="100"/>
              <w:rPr>
                <w:rFonts w:eastAsia="Times New Roman"/>
                <w:sz w:val="20"/>
                <w:szCs w:val="20"/>
              </w:rPr>
            </w:pPr>
          </w:p>
        </w:tc>
        <w:tc>
          <w:tcPr>
            <w:tcW w:w="303" w:type="pct"/>
            <w:vAlign w:val="center"/>
            <w:hideMark/>
          </w:tcPr>
          <w:p w14:paraId="24849F27" w14:textId="77777777" w:rsidR="00000000" w:rsidRDefault="00A173A8">
            <w:pPr>
              <w:spacing w:after="100"/>
              <w:rPr>
                <w:rFonts w:eastAsia="Times New Roman"/>
                <w:sz w:val="20"/>
                <w:szCs w:val="20"/>
              </w:rPr>
            </w:pPr>
          </w:p>
        </w:tc>
        <w:tc>
          <w:tcPr>
            <w:tcW w:w="5" w:type="pct"/>
            <w:vAlign w:val="center"/>
            <w:hideMark/>
          </w:tcPr>
          <w:p w14:paraId="0EDA5444" w14:textId="77777777" w:rsidR="00000000" w:rsidRDefault="00A173A8">
            <w:pPr>
              <w:spacing w:after="100"/>
              <w:rPr>
                <w:rFonts w:eastAsia="Times New Roman"/>
                <w:sz w:val="20"/>
                <w:szCs w:val="20"/>
              </w:rPr>
            </w:pPr>
          </w:p>
        </w:tc>
      </w:tr>
      <w:tr w:rsidR="00000000" w14:paraId="7E5389BD" w14:textId="77777777">
        <w:trPr>
          <w:divId w:val="366875318"/>
        </w:trPr>
        <w:tc>
          <w:tcPr>
            <w:tcW w:w="0" w:type="auto"/>
            <w:gridSpan w:val="3"/>
            <w:tcMar>
              <w:top w:w="0" w:type="dxa"/>
              <w:left w:w="20" w:type="dxa"/>
              <w:bottom w:w="0" w:type="dxa"/>
              <w:right w:w="20" w:type="dxa"/>
            </w:tcMar>
            <w:vAlign w:val="center"/>
            <w:hideMark/>
          </w:tcPr>
          <w:p w14:paraId="6008233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3C2C08" w14:textId="77777777" w:rsidR="00000000" w:rsidRDefault="00A173A8">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14:paraId="2671FF15" w14:textId="77777777" w:rsidR="00000000" w:rsidRDefault="00A173A8">
            <w:pPr>
              <w:spacing w:after="100"/>
              <w:jc w:val="center"/>
              <w:rPr>
                <w:rFonts w:eastAsia="Times New Roman"/>
              </w:rPr>
            </w:pPr>
            <w:r>
              <w:rPr>
                <w:rFonts w:eastAsia="Times New Roman"/>
                <w:b/>
                <w:bCs/>
                <w:color w:val="000000"/>
                <w:sz w:val="16"/>
                <w:szCs w:val="16"/>
              </w:rPr>
              <w:t>June 30, 2022</w:t>
            </w:r>
          </w:p>
        </w:tc>
      </w:tr>
      <w:tr w:rsidR="00000000" w14:paraId="10FD48D1" w14:textId="77777777">
        <w:trPr>
          <w:divId w:val="366875318"/>
          <w:trHeight w:val="360"/>
        </w:trPr>
        <w:tc>
          <w:tcPr>
            <w:tcW w:w="0" w:type="auto"/>
            <w:gridSpan w:val="3"/>
            <w:tcMar>
              <w:top w:w="0" w:type="dxa"/>
              <w:left w:w="20" w:type="dxa"/>
              <w:bottom w:w="0" w:type="dxa"/>
              <w:right w:w="20" w:type="dxa"/>
            </w:tcMar>
            <w:vAlign w:val="center"/>
            <w:hideMark/>
          </w:tcPr>
          <w:p w14:paraId="65D811F1"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D35352D" w14:textId="77777777" w:rsidR="00000000" w:rsidRDefault="00A173A8">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D45C507" w14:textId="77777777" w:rsidR="00000000" w:rsidRDefault="00A173A8">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14:paraId="28A49AE6" w14:textId="77777777" w:rsidR="00000000" w:rsidRDefault="00A173A8">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DD73F0C" w14:textId="77777777" w:rsidR="00000000" w:rsidRDefault="00A173A8">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14:paraId="559A92DD"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26010A85" w14:textId="77777777" w:rsidR="00000000" w:rsidRDefault="00A173A8">
            <w:pPr>
              <w:spacing w:after="100"/>
              <w:jc w:val="center"/>
              <w:rPr>
                <w:rFonts w:eastAsia="Times New Roman"/>
              </w:rPr>
            </w:pPr>
            <w:r>
              <w:rPr>
                <w:rFonts w:eastAsia="Times New Roman"/>
                <w:b/>
                <w:bCs/>
                <w:color w:val="000000"/>
                <w:sz w:val="16"/>
                <w:szCs w:val="16"/>
              </w:rPr>
              <w:t>Estimated Fair Value Hierarchy</w:t>
            </w:r>
          </w:p>
        </w:tc>
      </w:tr>
      <w:tr w:rsidR="00000000" w14:paraId="1F70BBAA" w14:textId="77777777">
        <w:trPr>
          <w:divId w:val="366875318"/>
          <w:trHeight w:val="240"/>
        </w:trPr>
        <w:tc>
          <w:tcPr>
            <w:tcW w:w="0" w:type="auto"/>
            <w:gridSpan w:val="3"/>
            <w:tcMar>
              <w:top w:w="30" w:type="dxa"/>
              <w:left w:w="20" w:type="dxa"/>
              <w:bottom w:w="30" w:type="dxa"/>
              <w:right w:w="20" w:type="dxa"/>
            </w:tcMar>
            <w:vAlign w:val="bottom"/>
            <w:hideMark/>
          </w:tcPr>
          <w:p w14:paraId="5FDF2BC0"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F9E5CF0" w14:textId="77777777" w:rsidR="00000000" w:rsidRDefault="00A173A8">
            <w:pPr>
              <w:spacing w:after="100"/>
              <w:rPr>
                <w:rFonts w:eastAsia="Times New Roman"/>
              </w:rPr>
            </w:pPr>
          </w:p>
        </w:tc>
        <w:tc>
          <w:tcPr>
            <w:tcW w:w="0" w:type="auto"/>
            <w:gridSpan w:val="3"/>
            <w:vMerge/>
            <w:tcBorders>
              <w:top w:val="single" w:sz="8" w:space="0" w:color="000000"/>
            </w:tcBorders>
            <w:vAlign w:val="center"/>
            <w:hideMark/>
          </w:tcPr>
          <w:p w14:paraId="49602426"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0857B228" w14:textId="77777777" w:rsidR="00000000" w:rsidRDefault="00A173A8">
            <w:pPr>
              <w:spacing w:after="100"/>
              <w:rPr>
                <w:rFonts w:eastAsia="Times New Roman"/>
                <w:sz w:val="20"/>
                <w:szCs w:val="20"/>
              </w:rPr>
            </w:pPr>
          </w:p>
        </w:tc>
        <w:tc>
          <w:tcPr>
            <w:tcW w:w="0" w:type="auto"/>
            <w:gridSpan w:val="3"/>
            <w:vMerge/>
            <w:tcBorders>
              <w:top w:val="single" w:sz="8" w:space="0" w:color="000000"/>
            </w:tcBorders>
            <w:vAlign w:val="center"/>
            <w:hideMark/>
          </w:tcPr>
          <w:p w14:paraId="275A4EAC"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4E88E16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43CA3E7" w14:textId="77777777" w:rsidR="00000000" w:rsidRDefault="00A173A8">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5568D38C"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887ACD" w14:textId="77777777" w:rsidR="00000000" w:rsidRDefault="00A173A8">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5BDBD54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90DCBB" w14:textId="77777777" w:rsidR="00000000" w:rsidRDefault="00A173A8">
            <w:pPr>
              <w:spacing w:after="100"/>
              <w:jc w:val="center"/>
              <w:rPr>
                <w:rFonts w:eastAsia="Times New Roman"/>
              </w:rPr>
            </w:pPr>
            <w:r>
              <w:rPr>
                <w:rFonts w:eastAsia="Times New Roman"/>
                <w:b/>
                <w:bCs/>
                <w:color w:val="000000"/>
                <w:sz w:val="16"/>
                <w:szCs w:val="16"/>
              </w:rPr>
              <w:t>Level 3</w:t>
            </w:r>
          </w:p>
        </w:tc>
      </w:tr>
      <w:tr w:rsidR="00000000" w14:paraId="2CC50B64" w14:textId="77777777">
        <w:trPr>
          <w:divId w:val="36687531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2DC3868" w14:textId="77777777" w:rsidR="00000000" w:rsidRDefault="00A173A8">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14:paraId="156CCAD8"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AE8AE0"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12750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1FD26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D86D6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E8C42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BAFD6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98AA25"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C410B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C28DC1" w14:textId="77777777" w:rsidR="00000000" w:rsidRDefault="00A173A8">
            <w:pPr>
              <w:spacing w:after="100"/>
              <w:rPr>
                <w:rFonts w:eastAsia="Times New Roman"/>
                <w:sz w:val="20"/>
                <w:szCs w:val="20"/>
              </w:rPr>
            </w:pPr>
          </w:p>
        </w:tc>
      </w:tr>
      <w:tr w:rsidR="00000000" w14:paraId="799F5241" w14:textId="77777777">
        <w:trPr>
          <w:divId w:val="366875318"/>
        </w:trPr>
        <w:tc>
          <w:tcPr>
            <w:tcW w:w="0" w:type="auto"/>
            <w:gridSpan w:val="3"/>
            <w:shd w:val="clear" w:color="auto" w:fill="FFFFFF"/>
            <w:tcMar>
              <w:top w:w="30" w:type="dxa"/>
              <w:left w:w="245" w:type="dxa"/>
              <w:bottom w:w="30" w:type="dxa"/>
              <w:right w:w="20" w:type="dxa"/>
            </w:tcMar>
            <w:vAlign w:val="center"/>
            <w:hideMark/>
          </w:tcPr>
          <w:p w14:paraId="1E52D2EC" w14:textId="77777777" w:rsidR="00000000" w:rsidRDefault="00A173A8">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14:paraId="6A72682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421341EA"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77D4975B" w14:textId="77777777" w:rsidR="00000000" w:rsidRDefault="00A173A8">
            <w:pPr>
              <w:spacing w:after="100"/>
              <w:jc w:val="right"/>
              <w:rPr>
                <w:rFonts w:eastAsia="Times New Roman"/>
              </w:rPr>
            </w:pPr>
            <w:r>
              <w:rPr>
                <w:rFonts w:eastAsia="Times New Roman"/>
                <w:b/>
                <w:bCs/>
                <w:color w:val="000000"/>
                <w:sz w:val="18"/>
                <w:szCs w:val="18"/>
              </w:rPr>
              <w:t>21,553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1BF66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50AB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60824B0"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01741523" w14:textId="77777777" w:rsidR="00000000" w:rsidRDefault="00A173A8">
            <w:pPr>
              <w:spacing w:after="100"/>
              <w:jc w:val="right"/>
              <w:rPr>
                <w:rFonts w:eastAsia="Times New Roman"/>
              </w:rPr>
            </w:pPr>
            <w:r>
              <w:rPr>
                <w:rFonts w:eastAsia="Times New Roman"/>
                <w:b/>
                <w:bCs/>
                <w:color w:val="000000"/>
                <w:sz w:val="18"/>
                <w:szCs w:val="18"/>
              </w:rPr>
              <w:t>21,553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D5B7E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19D3C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BDE6AA8"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EAEA86A" w14:textId="77777777" w:rsidR="00000000" w:rsidRDefault="00A173A8">
            <w:pPr>
              <w:spacing w:after="100"/>
              <w:jc w:val="right"/>
              <w:rPr>
                <w:rFonts w:eastAsia="Times New Roman"/>
              </w:rPr>
            </w:pPr>
            <w:r>
              <w:rPr>
                <w:rFonts w:eastAsia="Times New Roman"/>
                <w:b/>
                <w:bCs/>
                <w:color w:val="000000"/>
                <w:sz w:val="18"/>
                <w:szCs w:val="18"/>
              </w:rPr>
              <w:t>4,825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7FCE3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17CAE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AD10551"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FC5F41A" w14:textId="77777777" w:rsidR="00000000" w:rsidRDefault="00A173A8">
            <w:pPr>
              <w:spacing w:after="100"/>
              <w:jc w:val="right"/>
              <w:rPr>
                <w:rFonts w:eastAsia="Times New Roman"/>
              </w:rPr>
            </w:pPr>
            <w:r>
              <w:rPr>
                <w:rFonts w:eastAsia="Times New Roman"/>
                <w:b/>
                <w:bCs/>
                <w:color w:val="000000"/>
                <w:sz w:val="18"/>
                <w:szCs w:val="18"/>
              </w:rPr>
              <w:t>16,728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832771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E971F"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41C87932"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2DE537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63425E9" w14:textId="77777777" w:rsidR="00000000" w:rsidRDefault="00A173A8">
            <w:pPr>
              <w:spacing w:after="100"/>
              <w:jc w:val="right"/>
              <w:rPr>
                <w:rFonts w:eastAsia="Times New Roman"/>
              </w:rPr>
            </w:pPr>
          </w:p>
        </w:tc>
      </w:tr>
      <w:tr w:rsidR="00000000" w14:paraId="6B1A1E9B" w14:textId="77777777">
        <w:trPr>
          <w:divId w:val="366875318"/>
        </w:trPr>
        <w:tc>
          <w:tcPr>
            <w:tcW w:w="0" w:type="auto"/>
            <w:gridSpan w:val="3"/>
            <w:shd w:val="clear" w:color="auto" w:fill="CCEEFF"/>
            <w:tcMar>
              <w:top w:w="30" w:type="dxa"/>
              <w:left w:w="245" w:type="dxa"/>
              <w:bottom w:w="30" w:type="dxa"/>
              <w:right w:w="20" w:type="dxa"/>
            </w:tcMar>
            <w:vAlign w:val="center"/>
            <w:hideMark/>
          </w:tcPr>
          <w:p w14:paraId="7023760E" w14:textId="77777777" w:rsidR="00000000" w:rsidRDefault="00A173A8">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14:paraId="1B74ED6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FC434B3" w14:textId="77777777" w:rsidR="00000000" w:rsidRDefault="00A173A8">
            <w:pPr>
              <w:spacing w:after="100"/>
              <w:jc w:val="right"/>
              <w:rPr>
                <w:rFonts w:eastAsia="Times New Roman"/>
              </w:rPr>
            </w:pPr>
            <w:r>
              <w:rPr>
                <w:rFonts w:eastAsia="Times New Roman"/>
                <w:b/>
                <w:bCs/>
                <w:color w:val="000000"/>
                <w:sz w:val="18"/>
                <w:szCs w:val="18"/>
              </w:rPr>
              <w:t>697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5269E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2EF5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F3FB5A" w14:textId="77777777" w:rsidR="00000000" w:rsidRDefault="00A173A8">
            <w:pPr>
              <w:spacing w:after="100"/>
              <w:jc w:val="right"/>
              <w:rPr>
                <w:rFonts w:eastAsia="Times New Roman"/>
              </w:rPr>
            </w:pPr>
            <w:r>
              <w:rPr>
                <w:rFonts w:eastAsia="Times New Roman"/>
                <w:b/>
                <w:bCs/>
                <w:color w:val="000000"/>
                <w:sz w:val="18"/>
                <w:szCs w:val="18"/>
              </w:rPr>
              <w:t>697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AFE680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E91D6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199186" w14:textId="77777777" w:rsidR="00000000" w:rsidRDefault="00A173A8">
            <w:pPr>
              <w:spacing w:after="100"/>
              <w:jc w:val="right"/>
              <w:rPr>
                <w:rFonts w:eastAsia="Times New Roman"/>
              </w:rPr>
            </w:pPr>
            <w:r>
              <w:rPr>
                <w:rFonts w:eastAsia="Times New Roman"/>
                <w:b/>
                <w:bCs/>
                <w:color w:val="000000"/>
                <w:sz w:val="18"/>
                <w:szCs w:val="18"/>
              </w:rPr>
              <w:t>697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DF06F6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DFB2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C937B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96AA5C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6644F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D6FAB3E"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0092D43" w14:textId="77777777" w:rsidR="00000000" w:rsidRDefault="00A173A8">
            <w:pPr>
              <w:spacing w:after="100"/>
              <w:jc w:val="right"/>
              <w:rPr>
                <w:rFonts w:eastAsia="Times New Roman"/>
              </w:rPr>
            </w:pPr>
          </w:p>
        </w:tc>
      </w:tr>
      <w:tr w:rsidR="00000000" w14:paraId="769817F2" w14:textId="77777777">
        <w:trPr>
          <w:divId w:val="366875318"/>
        </w:trPr>
        <w:tc>
          <w:tcPr>
            <w:tcW w:w="0" w:type="auto"/>
            <w:gridSpan w:val="3"/>
            <w:vAlign w:val="center"/>
            <w:hideMark/>
          </w:tcPr>
          <w:p w14:paraId="64151425" w14:textId="77777777" w:rsidR="00000000" w:rsidRDefault="00A173A8">
            <w:pPr>
              <w:spacing w:after="100"/>
              <w:jc w:val="right"/>
              <w:rPr>
                <w:rFonts w:eastAsia="Times New Roman"/>
                <w:sz w:val="20"/>
                <w:szCs w:val="20"/>
              </w:rPr>
            </w:pPr>
          </w:p>
        </w:tc>
        <w:tc>
          <w:tcPr>
            <w:tcW w:w="0" w:type="auto"/>
            <w:gridSpan w:val="3"/>
            <w:vAlign w:val="center"/>
            <w:hideMark/>
          </w:tcPr>
          <w:p w14:paraId="17B2C8C1" w14:textId="77777777" w:rsidR="00000000" w:rsidRDefault="00A173A8">
            <w:pPr>
              <w:spacing w:after="100"/>
              <w:rPr>
                <w:rFonts w:eastAsia="Times New Roman"/>
                <w:sz w:val="20"/>
                <w:szCs w:val="20"/>
              </w:rPr>
            </w:pPr>
          </w:p>
        </w:tc>
        <w:tc>
          <w:tcPr>
            <w:tcW w:w="0" w:type="auto"/>
            <w:gridSpan w:val="3"/>
            <w:vAlign w:val="center"/>
            <w:hideMark/>
          </w:tcPr>
          <w:p w14:paraId="40CC4A83" w14:textId="77777777" w:rsidR="00000000" w:rsidRDefault="00A173A8">
            <w:pPr>
              <w:spacing w:after="100"/>
              <w:rPr>
                <w:rFonts w:eastAsia="Times New Roman"/>
                <w:sz w:val="20"/>
                <w:szCs w:val="20"/>
              </w:rPr>
            </w:pPr>
          </w:p>
        </w:tc>
        <w:tc>
          <w:tcPr>
            <w:tcW w:w="0" w:type="auto"/>
            <w:gridSpan w:val="3"/>
            <w:vAlign w:val="center"/>
            <w:hideMark/>
          </w:tcPr>
          <w:p w14:paraId="7853587B" w14:textId="77777777" w:rsidR="00000000" w:rsidRDefault="00A173A8">
            <w:pPr>
              <w:spacing w:after="100"/>
              <w:rPr>
                <w:rFonts w:eastAsia="Times New Roman"/>
                <w:sz w:val="20"/>
                <w:szCs w:val="20"/>
              </w:rPr>
            </w:pPr>
          </w:p>
        </w:tc>
        <w:tc>
          <w:tcPr>
            <w:tcW w:w="0" w:type="auto"/>
            <w:gridSpan w:val="3"/>
            <w:vAlign w:val="center"/>
            <w:hideMark/>
          </w:tcPr>
          <w:p w14:paraId="30765F2B" w14:textId="77777777" w:rsidR="00000000" w:rsidRDefault="00A173A8">
            <w:pPr>
              <w:spacing w:after="100"/>
              <w:rPr>
                <w:rFonts w:eastAsia="Times New Roman"/>
                <w:sz w:val="20"/>
                <w:szCs w:val="20"/>
              </w:rPr>
            </w:pPr>
          </w:p>
        </w:tc>
        <w:tc>
          <w:tcPr>
            <w:tcW w:w="0" w:type="auto"/>
            <w:gridSpan w:val="3"/>
            <w:vAlign w:val="center"/>
            <w:hideMark/>
          </w:tcPr>
          <w:p w14:paraId="482DD175" w14:textId="77777777" w:rsidR="00000000" w:rsidRDefault="00A173A8">
            <w:pPr>
              <w:spacing w:after="100"/>
              <w:rPr>
                <w:rFonts w:eastAsia="Times New Roman"/>
                <w:sz w:val="20"/>
                <w:szCs w:val="20"/>
              </w:rPr>
            </w:pPr>
          </w:p>
        </w:tc>
        <w:tc>
          <w:tcPr>
            <w:tcW w:w="0" w:type="auto"/>
            <w:gridSpan w:val="3"/>
            <w:vAlign w:val="center"/>
            <w:hideMark/>
          </w:tcPr>
          <w:p w14:paraId="20C9515E" w14:textId="77777777" w:rsidR="00000000" w:rsidRDefault="00A173A8">
            <w:pPr>
              <w:spacing w:after="100"/>
              <w:rPr>
                <w:rFonts w:eastAsia="Times New Roman"/>
                <w:sz w:val="20"/>
                <w:szCs w:val="20"/>
              </w:rPr>
            </w:pPr>
          </w:p>
        </w:tc>
        <w:tc>
          <w:tcPr>
            <w:tcW w:w="0" w:type="auto"/>
            <w:gridSpan w:val="3"/>
            <w:vAlign w:val="center"/>
            <w:hideMark/>
          </w:tcPr>
          <w:p w14:paraId="66435126" w14:textId="77777777" w:rsidR="00000000" w:rsidRDefault="00A173A8">
            <w:pPr>
              <w:spacing w:after="100"/>
              <w:rPr>
                <w:rFonts w:eastAsia="Times New Roman"/>
                <w:sz w:val="20"/>
                <w:szCs w:val="20"/>
              </w:rPr>
            </w:pPr>
          </w:p>
        </w:tc>
        <w:tc>
          <w:tcPr>
            <w:tcW w:w="0" w:type="auto"/>
            <w:gridSpan w:val="3"/>
            <w:vAlign w:val="center"/>
            <w:hideMark/>
          </w:tcPr>
          <w:p w14:paraId="3F8CFC04" w14:textId="77777777" w:rsidR="00000000" w:rsidRDefault="00A173A8">
            <w:pPr>
              <w:spacing w:after="100"/>
              <w:rPr>
                <w:rFonts w:eastAsia="Times New Roman"/>
                <w:sz w:val="20"/>
                <w:szCs w:val="20"/>
              </w:rPr>
            </w:pPr>
          </w:p>
        </w:tc>
        <w:tc>
          <w:tcPr>
            <w:tcW w:w="0" w:type="auto"/>
            <w:gridSpan w:val="3"/>
            <w:vAlign w:val="center"/>
            <w:hideMark/>
          </w:tcPr>
          <w:p w14:paraId="1EACFDCC" w14:textId="77777777" w:rsidR="00000000" w:rsidRDefault="00A173A8">
            <w:pPr>
              <w:spacing w:after="100"/>
              <w:rPr>
                <w:rFonts w:eastAsia="Times New Roman"/>
                <w:sz w:val="20"/>
                <w:szCs w:val="20"/>
              </w:rPr>
            </w:pPr>
          </w:p>
        </w:tc>
        <w:tc>
          <w:tcPr>
            <w:tcW w:w="0" w:type="auto"/>
            <w:gridSpan w:val="3"/>
            <w:vAlign w:val="center"/>
            <w:hideMark/>
          </w:tcPr>
          <w:p w14:paraId="6D913481" w14:textId="77777777" w:rsidR="00000000" w:rsidRDefault="00A173A8">
            <w:pPr>
              <w:spacing w:after="100"/>
              <w:rPr>
                <w:rFonts w:eastAsia="Times New Roman"/>
                <w:sz w:val="20"/>
                <w:szCs w:val="20"/>
              </w:rPr>
            </w:pPr>
          </w:p>
        </w:tc>
      </w:tr>
      <w:tr w:rsidR="00000000" w14:paraId="79E098F3" w14:textId="77777777">
        <w:trPr>
          <w:divId w:val="366875318"/>
        </w:trPr>
        <w:tc>
          <w:tcPr>
            <w:tcW w:w="0" w:type="auto"/>
            <w:gridSpan w:val="3"/>
            <w:shd w:val="clear" w:color="auto" w:fill="FFFFFF"/>
            <w:tcMar>
              <w:top w:w="30" w:type="dxa"/>
              <w:left w:w="245" w:type="dxa"/>
              <w:bottom w:w="30" w:type="dxa"/>
              <w:right w:w="20" w:type="dxa"/>
            </w:tcMar>
            <w:vAlign w:val="center"/>
            <w:hideMark/>
          </w:tcPr>
          <w:p w14:paraId="43DB8C16" w14:textId="77777777" w:rsidR="00000000" w:rsidRDefault="00A173A8">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14:paraId="5899F47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5457113" w14:textId="77777777" w:rsidR="00000000" w:rsidRDefault="00A173A8">
            <w:pPr>
              <w:spacing w:after="100"/>
              <w:jc w:val="right"/>
              <w:rPr>
                <w:rFonts w:eastAsia="Times New Roman"/>
              </w:rPr>
            </w:pPr>
            <w:r>
              <w:rPr>
                <w:rFonts w:eastAsia="Times New Roman"/>
                <w:b/>
                <w:bCs/>
                <w:color w:val="000000"/>
                <w:sz w:val="18"/>
                <w:szCs w:val="18"/>
              </w:rPr>
              <w:t>284,893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40F9D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CE8A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16C10F" w14:textId="77777777" w:rsidR="00000000" w:rsidRDefault="00A173A8">
            <w:pPr>
              <w:spacing w:after="100"/>
              <w:jc w:val="right"/>
              <w:rPr>
                <w:rFonts w:eastAsia="Times New Roman"/>
              </w:rPr>
            </w:pPr>
            <w:r>
              <w:rPr>
                <w:rFonts w:eastAsia="Times New Roman"/>
                <w:b/>
                <w:bCs/>
                <w:color w:val="000000"/>
                <w:sz w:val="18"/>
                <w:szCs w:val="18"/>
              </w:rPr>
              <w:t>287,254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9F94D9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27E7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5B32CB"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FB83DD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28F50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04D575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1BEB0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158B7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945F73" w14:textId="77777777" w:rsidR="00000000" w:rsidRDefault="00A173A8">
            <w:pPr>
              <w:spacing w:after="100"/>
              <w:jc w:val="right"/>
              <w:rPr>
                <w:rFonts w:eastAsia="Times New Roman"/>
              </w:rPr>
            </w:pPr>
            <w:r>
              <w:rPr>
                <w:rFonts w:eastAsia="Times New Roman"/>
                <w:b/>
                <w:bCs/>
                <w:color w:val="000000"/>
                <w:sz w:val="18"/>
                <w:szCs w:val="18"/>
              </w:rPr>
              <w:t>287,254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C1E84FC" w14:textId="77777777" w:rsidR="00000000" w:rsidRDefault="00A173A8">
            <w:pPr>
              <w:spacing w:after="100"/>
              <w:jc w:val="right"/>
              <w:rPr>
                <w:rFonts w:eastAsia="Times New Roman"/>
              </w:rPr>
            </w:pPr>
          </w:p>
        </w:tc>
      </w:tr>
      <w:tr w:rsidR="00000000" w14:paraId="7CC4BF8B" w14:textId="77777777">
        <w:trPr>
          <w:divId w:val="366875318"/>
        </w:trPr>
        <w:tc>
          <w:tcPr>
            <w:tcW w:w="0" w:type="auto"/>
            <w:gridSpan w:val="3"/>
            <w:shd w:val="clear" w:color="auto" w:fill="CCEEFF"/>
            <w:tcMar>
              <w:top w:w="30" w:type="dxa"/>
              <w:left w:w="245" w:type="dxa"/>
              <w:bottom w:w="30" w:type="dxa"/>
              <w:right w:w="20" w:type="dxa"/>
            </w:tcMar>
            <w:vAlign w:val="center"/>
            <w:hideMark/>
          </w:tcPr>
          <w:p w14:paraId="3858A793" w14:textId="77777777" w:rsidR="00000000" w:rsidRDefault="00A173A8">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14:paraId="3C2191A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EDCEEE2" w14:textId="77777777" w:rsidR="00000000" w:rsidRDefault="00A173A8">
            <w:pPr>
              <w:spacing w:after="100"/>
              <w:jc w:val="right"/>
              <w:rPr>
                <w:rFonts w:eastAsia="Times New Roman"/>
              </w:rPr>
            </w:pPr>
            <w:r>
              <w:rPr>
                <w:rFonts w:eastAsia="Times New Roman"/>
                <w:b/>
                <w:bCs/>
                <w:color w:val="000000"/>
                <w:sz w:val="18"/>
                <w:szCs w:val="18"/>
              </w:rPr>
              <w:t>108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CC537A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5F77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2431C2" w14:textId="77777777" w:rsidR="00000000" w:rsidRDefault="00A173A8">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6958D9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475A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3014A5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38D2B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4E15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D55FB5" w14:textId="77777777" w:rsidR="00000000" w:rsidRDefault="00A173A8">
            <w:pPr>
              <w:spacing w:after="100"/>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2C576D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6C4ED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219BEA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0B3620A" w14:textId="77777777" w:rsidR="00000000" w:rsidRDefault="00A173A8">
            <w:pPr>
              <w:spacing w:after="100"/>
              <w:jc w:val="right"/>
              <w:rPr>
                <w:rFonts w:eastAsia="Times New Roman"/>
              </w:rPr>
            </w:pPr>
          </w:p>
        </w:tc>
      </w:tr>
      <w:tr w:rsidR="00000000" w14:paraId="65741139" w14:textId="77777777">
        <w:trPr>
          <w:divId w:val="366875318"/>
        </w:trPr>
        <w:tc>
          <w:tcPr>
            <w:tcW w:w="0" w:type="auto"/>
            <w:gridSpan w:val="3"/>
            <w:shd w:val="clear" w:color="auto" w:fill="FFFFFF"/>
            <w:tcMar>
              <w:top w:w="30" w:type="dxa"/>
              <w:left w:w="245" w:type="dxa"/>
              <w:bottom w:w="30" w:type="dxa"/>
              <w:right w:w="20" w:type="dxa"/>
            </w:tcMar>
            <w:vAlign w:val="center"/>
            <w:hideMark/>
          </w:tcPr>
          <w:p w14:paraId="22F53441" w14:textId="77777777" w:rsidR="00000000" w:rsidRDefault="00A173A8">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14:paraId="33E2714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11FF467" w14:textId="77777777" w:rsidR="00000000" w:rsidRDefault="00A173A8">
            <w:pPr>
              <w:spacing w:after="100"/>
              <w:jc w:val="right"/>
              <w:rPr>
                <w:rFonts w:eastAsia="Times New Roman"/>
              </w:rPr>
            </w:pPr>
            <w:r>
              <w:rPr>
                <w:rFonts w:eastAsia="Times New Roman"/>
                <w:b/>
                <w:bCs/>
                <w:color w:val="000000"/>
                <w:sz w:val="18"/>
                <w:szCs w:val="18"/>
              </w:rPr>
              <w:t>1,611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1EFDDD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1DA94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F45A38" w14:textId="77777777" w:rsidR="00000000" w:rsidRDefault="00A173A8">
            <w:pPr>
              <w:spacing w:after="100"/>
              <w:jc w:val="right"/>
              <w:rPr>
                <w:rFonts w:eastAsia="Times New Roman"/>
              </w:rPr>
            </w:pPr>
            <w:r>
              <w:rPr>
                <w:rFonts w:eastAsia="Times New Roman"/>
                <w:b/>
                <w:bCs/>
                <w:color w:val="000000"/>
                <w:sz w:val="18"/>
                <w:szCs w:val="18"/>
              </w:rPr>
              <w:t>1,611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F35E41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D419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D493C6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9E33E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8DBB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52A074" w14:textId="77777777" w:rsidR="00000000" w:rsidRDefault="00A173A8">
            <w:pPr>
              <w:spacing w:after="100"/>
              <w:jc w:val="right"/>
              <w:rPr>
                <w:rFonts w:eastAsia="Times New Roman"/>
              </w:rPr>
            </w:pPr>
            <w:r>
              <w:rPr>
                <w:rFonts w:eastAsia="Times New Roman"/>
                <w:b/>
                <w:bCs/>
                <w:color w:val="000000"/>
                <w:sz w:val="18"/>
                <w:szCs w:val="18"/>
              </w:rPr>
              <w:t>1,611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DE23DD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BF1D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29CBE6"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9802E11" w14:textId="77777777" w:rsidR="00000000" w:rsidRDefault="00A173A8">
            <w:pPr>
              <w:spacing w:after="100"/>
              <w:jc w:val="right"/>
              <w:rPr>
                <w:rFonts w:eastAsia="Times New Roman"/>
              </w:rPr>
            </w:pPr>
          </w:p>
        </w:tc>
      </w:tr>
      <w:tr w:rsidR="00000000" w14:paraId="3AF202D8" w14:textId="77777777">
        <w:trPr>
          <w:divId w:val="366875318"/>
        </w:trPr>
        <w:tc>
          <w:tcPr>
            <w:tcW w:w="0" w:type="auto"/>
            <w:gridSpan w:val="3"/>
            <w:shd w:val="clear" w:color="auto" w:fill="CCEEFF"/>
            <w:tcMar>
              <w:top w:w="30" w:type="dxa"/>
              <w:left w:w="20" w:type="dxa"/>
              <w:bottom w:w="30" w:type="dxa"/>
              <w:right w:w="20" w:type="dxa"/>
            </w:tcMar>
            <w:vAlign w:val="center"/>
            <w:hideMark/>
          </w:tcPr>
          <w:p w14:paraId="30C5A9C0" w14:textId="77777777" w:rsidR="00000000" w:rsidRDefault="00A173A8">
            <w:pPr>
              <w:spacing w:after="100"/>
              <w:divId w:val="1436169173"/>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2A0DEFC3"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3B3CA7A" w14:textId="77777777" w:rsidR="00000000" w:rsidRDefault="00A173A8">
            <w:pPr>
              <w:spacing w:after="100"/>
              <w:jc w:val="right"/>
              <w:rPr>
                <w:rFonts w:eastAsia="Times New Roman"/>
              </w:rPr>
            </w:pPr>
            <w:r>
              <w:rPr>
                <w:rFonts w:eastAsia="Times New Roman"/>
                <w:b/>
                <w:bCs/>
                <w:color w:val="000000"/>
                <w:sz w:val="18"/>
                <w:szCs w:val="18"/>
              </w:rPr>
              <w:t>1,735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36BA4D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F324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D57CE43" w14:textId="77777777" w:rsidR="00000000" w:rsidRDefault="00A173A8">
            <w:pPr>
              <w:spacing w:after="100"/>
              <w:jc w:val="right"/>
              <w:rPr>
                <w:rFonts w:eastAsia="Times New Roman"/>
              </w:rPr>
            </w:pPr>
            <w:r>
              <w:rPr>
                <w:rFonts w:eastAsia="Times New Roman"/>
                <w:b/>
                <w:bCs/>
                <w:color w:val="000000"/>
                <w:sz w:val="18"/>
                <w:szCs w:val="18"/>
              </w:rPr>
              <w:t>1,735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C90DAB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22D05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9F156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805306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E3E9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545E5B" w14:textId="77777777" w:rsidR="00000000" w:rsidRDefault="00A173A8">
            <w:pPr>
              <w:spacing w:after="100"/>
              <w:jc w:val="right"/>
              <w:rPr>
                <w:rFonts w:eastAsia="Times New Roman"/>
              </w:rPr>
            </w:pPr>
            <w:r>
              <w:rPr>
                <w:rFonts w:eastAsia="Times New Roman"/>
                <w:b/>
                <w:bCs/>
                <w:color w:val="000000"/>
                <w:sz w:val="18"/>
                <w:szCs w:val="18"/>
              </w:rPr>
              <w:t>1,735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0B49C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B8DF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6B1EC8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CC1944" w14:textId="77777777" w:rsidR="00000000" w:rsidRDefault="00A173A8">
            <w:pPr>
              <w:spacing w:after="100"/>
              <w:jc w:val="right"/>
              <w:rPr>
                <w:rFonts w:eastAsia="Times New Roman"/>
              </w:rPr>
            </w:pPr>
          </w:p>
        </w:tc>
      </w:tr>
      <w:tr w:rsidR="00000000" w14:paraId="676DC97C" w14:textId="77777777">
        <w:trPr>
          <w:divId w:val="366875318"/>
        </w:trPr>
        <w:tc>
          <w:tcPr>
            <w:tcW w:w="0" w:type="auto"/>
            <w:gridSpan w:val="3"/>
            <w:shd w:val="clear" w:color="auto" w:fill="FFFFFF"/>
            <w:tcMar>
              <w:top w:w="30" w:type="dxa"/>
              <w:left w:w="20" w:type="dxa"/>
              <w:bottom w:w="30" w:type="dxa"/>
              <w:right w:w="20" w:type="dxa"/>
            </w:tcMar>
            <w:vAlign w:val="center"/>
            <w:hideMark/>
          </w:tcPr>
          <w:p w14:paraId="7163FAB2" w14:textId="77777777" w:rsidR="00000000" w:rsidRDefault="00A173A8">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14:paraId="239583E3"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F173CE"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F4859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B5F74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DD322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D981D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5805F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EA29FB"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5933B5"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21A96F" w14:textId="77777777" w:rsidR="00000000" w:rsidRDefault="00A173A8">
            <w:pPr>
              <w:spacing w:after="100"/>
              <w:rPr>
                <w:rFonts w:eastAsia="Times New Roman"/>
                <w:sz w:val="20"/>
                <w:szCs w:val="20"/>
              </w:rPr>
            </w:pPr>
          </w:p>
        </w:tc>
      </w:tr>
      <w:tr w:rsidR="00000000" w14:paraId="3F152015" w14:textId="77777777">
        <w:trPr>
          <w:divId w:val="366875318"/>
        </w:trPr>
        <w:tc>
          <w:tcPr>
            <w:tcW w:w="0" w:type="auto"/>
            <w:gridSpan w:val="3"/>
            <w:shd w:val="clear" w:color="auto" w:fill="CCEEFF"/>
            <w:tcMar>
              <w:top w:w="30" w:type="dxa"/>
              <w:left w:w="245" w:type="dxa"/>
              <w:bottom w:w="30" w:type="dxa"/>
              <w:right w:w="20" w:type="dxa"/>
            </w:tcMar>
            <w:vAlign w:val="center"/>
            <w:hideMark/>
          </w:tcPr>
          <w:p w14:paraId="79D782CB" w14:textId="77777777" w:rsidR="00000000" w:rsidRDefault="00A173A8">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14:paraId="5BC1A36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EA6716C" w14:textId="77777777" w:rsidR="00000000" w:rsidRDefault="00A173A8">
            <w:pPr>
              <w:spacing w:after="100"/>
              <w:jc w:val="right"/>
              <w:rPr>
                <w:rFonts w:eastAsia="Times New Roman"/>
              </w:rPr>
            </w:pPr>
            <w:r>
              <w:rPr>
                <w:rFonts w:eastAsia="Times New Roman"/>
                <w:b/>
                <w:bCs/>
                <w:color w:val="000000"/>
                <w:sz w:val="18"/>
                <w:szCs w:val="18"/>
              </w:rPr>
              <w:t>22,225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25A0F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08145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0144BF" w14:textId="77777777" w:rsidR="00000000" w:rsidRDefault="00A173A8">
            <w:pPr>
              <w:spacing w:after="100"/>
              <w:jc w:val="right"/>
              <w:rPr>
                <w:rFonts w:eastAsia="Times New Roman"/>
              </w:rPr>
            </w:pPr>
            <w:r>
              <w:rPr>
                <w:rFonts w:eastAsia="Times New Roman"/>
                <w:b/>
                <w:bCs/>
                <w:color w:val="000000"/>
                <w:sz w:val="18"/>
                <w:szCs w:val="18"/>
              </w:rPr>
              <w:t>22,026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CB6FF8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56AA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A88901D"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40D520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1161F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BE7FEC5" w14:textId="77777777" w:rsidR="00000000" w:rsidRDefault="00A173A8">
            <w:pPr>
              <w:spacing w:after="100"/>
              <w:jc w:val="right"/>
              <w:rPr>
                <w:rFonts w:eastAsia="Times New Roman"/>
              </w:rPr>
            </w:pPr>
            <w:r>
              <w:rPr>
                <w:rFonts w:eastAsia="Times New Roman"/>
                <w:b/>
                <w:bCs/>
                <w:color w:val="000000"/>
                <w:sz w:val="18"/>
                <w:szCs w:val="18"/>
              </w:rPr>
              <w:t>22,026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E25B4B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91BE2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38751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9F109E3" w14:textId="77777777" w:rsidR="00000000" w:rsidRDefault="00A173A8">
            <w:pPr>
              <w:spacing w:after="100"/>
              <w:jc w:val="right"/>
              <w:rPr>
                <w:rFonts w:eastAsia="Times New Roman"/>
              </w:rPr>
            </w:pPr>
          </w:p>
        </w:tc>
      </w:tr>
      <w:tr w:rsidR="00000000" w14:paraId="1873FD49" w14:textId="77777777">
        <w:trPr>
          <w:divId w:val="366875318"/>
        </w:trPr>
        <w:tc>
          <w:tcPr>
            <w:tcW w:w="0" w:type="auto"/>
            <w:gridSpan w:val="3"/>
            <w:shd w:val="clear" w:color="auto" w:fill="FFFFFF"/>
            <w:tcMar>
              <w:top w:w="30" w:type="dxa"/>
              <w:left w:w="245" w:type="dxa"/>
              <w:bottom w:w="30" w:type="dxa"/>
              <w:right w:w="20" w:type="dxa"/>
            </w:tcMar>
            <w:vAlign w:val="center"/>
            <w:hideMark/>
          </w:tcPr>
          <w:p w14:paraId="287C9E92" w14:textId="77777777" w:rsidR="00000000" w:rsidRDefault="00A173A8">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4FDC11D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8A46368" w14:textId="77777777" w:rsidR="00000000" w:rsidRDefault="00A173A8">
            <w:pPr>
              <w:spacing w:after="100"/>
              <w:jc w:val="right"/>
              <w:rPr>
                <w:rFonts w:eastAsia="Times New Roman"/>
              </w:rPr>
            </w:pPr>
            <w:r>
              <w:rPr>
                <w:rFonts w:eastAsia="Times New Roman"/>
                <w:b/>
                <w:bCs/>
                <w:color w:val="000000"/>
                <w:sz w:val="18"/>
                <w:szCs w:val="18"/>
              </w:rPr>
              <w:t>17,466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86568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B1AF3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9C9438" w14:textId="77777777" w:rsidR="00000000" w:rsidRDefault="00A173A8">
            <w:pPr>
              <w:spacing w:after="100"/>
              <w:jc w:val="right"/>
              <w:rPr>
                <w:rFonts w:eastAsia="Times New Roman"/>
              </w:rPr>
            </w:pPr>
            <w:r>
              <w:rPr>
                <w:rFonts w:eastAsia="Times New Roman"/>
                <w:b/>
                <w:bCs/>
                <w:color w:val="000000"/>
                <w:sz w:val="18"/>
                <w:szCs w:val="18"/>
              </w:rPr>
              <w:t>17,446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EF194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8EEE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E25D1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61A7CF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391DB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35FDC7" w14:textId="77777777" w:rsidR="00000000" w:rsidRDefault="00A173A8">
            <w:pPr>
              <w:spacing w:after="100"/>
              <w:jc w:val="right"/>
              <w:rPr>
                <w:rFonts w:eastAsia="Times New Roman"/>
              </w:rPr>
            </w:pPr>
            <w:r>
              <w:rPr>
                <w:rFonts w:eastAsia="Times New Roman"/>
                <w:b/>
                <w:bCs/>
                <w:color w:val="000000"/>
                <w:sz w:val="18"/>
                <w:szCs w:val="18"/>
              </w:rPr>
              <w:t>17,446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557E5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DD325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E0FFC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DC277A0" w14:textId="77777777" w:rsidR="00000000" w:rsidRDefault="00A173A8">
            <w:pPr>
              <w:spacing w:after="100"/>
              <w:jc w:val="right"/>
              <w:rPr>
                <w:rFonts w:eastAsia="Times New Roman"/>
              </w:rPr>
            </w:pPr>
          </w:p>
        </w:tc>
      </w:tr>
      <w:tr w:rsidR="00000000" w14:paraId="60C13B7C" w14:textId="77777777">
        <w:trPr>
          <w:divId w:val="366875318"/>
        </w:trPr>
        <w:tc>
          <w:tcPr>
            <w:tcW w:w="0" w:type="auto"/>
            <w:gridSpan w:val="3"/>
            <w:shd w:val="clear" w:color="auto" w:fill="CCEEFF"/>
            <w:tcMar>
              <w:top w:w="30" w:type="dxa"/>
              <w:left w:w="245" w:type="dxa"/>
              <w:bottom w:w="30" w:type="dxa"/>
              <w:right w:w="20" w:type="dxa"/>
            </w:tcMar>
            <w:vAlign w:val="center"/>
            <w:hideMark/>
          </w:tcPr>
          <w:p w14:paraId="34C889ED" w14:textId="77777777" w:rsidR="00000000" w:rsidRDefault="00A173A8">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0C60099D"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B5D8E92" w14:textId="77777777" w:rsidR="00000000" w:rsidRDefault="00A173A8">
            <w:pPr>
              <w:spacing w:after="100"/>
              <w:jc w:val="right"/>
              <w:rPr>
                <w:rFonts w:eastAsia="Times New Roman"/>
              </w:rPr>
            </w:pPr>
            <w:r>
              <w:rPr>
                <w:rFonts w:eastAsia="Times New Roman"/>
                <w:b/>
                <w:bCs/>
                <w:color w:val="000000"/>
                <w:sz w:val="18"/>
                <w:szCs w:val="18"/>
              </w:rPr>
              <w:t>30,489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F335C4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785C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8309E9" w14:textId="77777777" w:rsidR="00000000" w:rsidRDefault="00A173A8">
            <w:pPr>
              <w:spacing w:after="100"/>
              <w:jc w:val="right"/>
              <w:rPr>
                <w:rFonts w:eastAsia="Times New Roman"/>
              </w:rPr>
            </w:pPr>
            <w:r>
              <w:rPr>
                <w:rFonts w:eastAsia="Times New Roman"/>
                <w:b/>
                <w:bCs/>
                <w:color w:val="000000"/>
                <w:sz w:val="18"/>
                <w:szCs w:val="18"/>
              </w:rPr>
              <w:t>30,152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42036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E3BD7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E8CB1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EC3D5B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9EB2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EFEB33" w14:textId="77777777" w:rsidR="00000000" w:rsidRDefault="00A173A8">
            <w:pPr>
              <w:spacing w:after="100"/>
              <w:jc w:val="right"/>
              <w:rPr>
                <w:rFonts w:eastAsia="Times New Roman"/>
              </w:rPr>
            </w:pPr>
            <w:r>
              <w:rPr>
                <w:rFonts w:eastAsia="Times New Roman"/>
                <w:b/>
                <w:bCs/>
                <w:color w:val="000000"/>
                <w:sz w:val="18"/>
                <w:szCs w:val="18"/>
              </w:rPr>
              <w:t>30,152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81ED2C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9E30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1D86F1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72AD1D9" w14:textId="77777777" w:rsidR="00000000" w:rsidRDefault="00A173A8">
            <w:pPr>
              <w:spacing w:after="100"/>
              <w:jc w:val="right"/>
              <w:rPr>
                <w:rFonts w:eastAsia="Times New Roman"/>
              </w:rPr>
            </w:pPr>
          </w:p>
        </w:tc>
      </w:tr>
      <w:tr w:rsidR="00000000" w14:paraId="3FF4D39B" w14:textId="77777777">
        <w:trPr>
          <w:divId w:val="366875318"/>
        </w:trPr>
        <w:tc>
          <w:tcPr>
            <w:tcW w:w="0" w:type="auto"/>
            <w:gridSpan w:val="3"/>
            <w:shd w:val="clear" w:color="auto" w:fill="FFFFFF"/>
            <w:tcMar>
              <w:top w:w="30" w:type="dxa"/>
              <w:left w:w="245" w:type="dxa"/>
              <w:bottom w:w="30" w:type="dxa"/>
              <w:right w:w="20" w:type="dxa"/>
            </w:tcMar>
            <w:vAlign w:val="center"/>
            <w:hideMark/>
          </w:tcPr>
          <w:p w14:paraId="7013F317" w14:textId="77777777" w:rsidR="00000000" w:rsidRDefault="00A173A8">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14:paraId="48619A8A"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3726A3C" w14:textId="77777777" w:rsidR="00000000" w:rsidRDefault="00A173A8">
            <w:pPr>
              <w:spacing w:after="100"/>
              <w:jc w:val="right"/>
              <w:rPr>
                <w:rFonts w:eastAsia="Times New Roman"/>
              </w:rPr>
            </w:pPr>
            <w:r>
              <w:rPr>
                <w:rFonts w:eastAsia="Times New Roman"/>
                <w:b/>
                <w:bCs/>
                <w:color w:val="000000"/>
                <w:sz w:val="18"/>
                <w:szCs w:val="18"/>
              </w:rPr>
              <w:t>440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762724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7495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555AE2" w14:textId="77777777" w:rsidR="00000000" w:rsidRDefault="00A173A8">
            <w:pPr>
              <w:spacing w:after="100"/>
              <w:jc w:val="right"/>
              <w:rPr>
                <w:rFonts w:eastAsia="Times New Roman"/>
              </w:rPr>
            </w:pPr>
            <w:r>
              <w:rPr>
                <w:rFonts w:eastAsia="Times New Roman"/>
                <w:b/>
                <w:bCs/>
                <w:color w:val="000000"/>
                <w:sz w:val="18"/>
                <w:szCs w:val="18"/>
              </w:rPr>
              <w:t>440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38C66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4DA2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72A120"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09C2BF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50107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94FF6B" w14:textId="77777777" w:rsidR="00000000" w:rsidRDefault="00A173A8">
            <w:pPr>
              <w:spacing w:after="100"/>
              <w:jc w:val="right"/>
              <w:rPr>
                <w:rFonts w:eastAsia="Times New Roman"/>
              </w:rPr>
            </w:pPr>
            <w:r>
              <w:rPr>
                <w:rFonts w:eastAsia="Times New Roman"/>
                <w:b/>
                <w:bCs/>
                <w:color w:val="000000"/>
                <w:sz w:val="18"/>
                <w:szCs w:val="18"/>
              </w:rPr>
              <w:t>440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17A9A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D52AC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D75229"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77D35F" w14:textId="77777777" w:rsidR="00000000" w:rsidRDefault="00A173A8">
            <w:pPr>
              <w:spacing w:after="100"/>
              <w:jc w:val="right"/>
              <w:rPr>
                <w:rFonts w:eastAsia="Times New Roman"/>
              </w:rPr>
            </w:pPr>
          </w:p>
        </w:tc>
      </w:tr>
      <w:tr w:rsidR="00000000" w14:paraId="721E7942" w14:textId="77777777">
        <w:trPr>
          <w:divId w:val="366875318"/>
        </w:trPr>
        <w:tc>
          <w:tcPr>
            <w:tcW w:w="0" w:type="auto"/>
            <w:gridSpan w:val="3"/>
            <w:shd w:val="clear" w:color="auto" w:fill="CCEEFF"/>
            <w:tcMar>
              <w:top w:w="30" w:type="dxa"/>
              <w:left w:w="20" w:type="dxa"/>
              <w:bottom w:w="30" w:type="dxa"/>
              <w:right w:w="20" w:type="dxa"/>
            </w:tcMar>
            <w:vAlign w:val="center"/>
            <w:hideMark/>
          </w:tcPr>
          <w:p w14:paraId="2E66B0F5" w14:textId="77777777" w:rsidR="00000000" w:rsidRDefault="00A173A8">
            <w:pPr>
              <w:spacing w:after="100"/>
              <w:divId w:val="2065834467"/>
              <w:rPr>
                <w:rFonts w:eastAsia="Times New Roman"/>
              </w:rPr>
            </w:pPr>
            <w:r>
              <w:rPr>
                <w:rFonts w:eastAsia="Times New Roman"/>
                <w:color w:val="000000"/>
                <w:sz w:val="18"/>
                <w:szCs w:val="18"/>
              </w:rPr>
              <w:t>Other borrowing</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349F841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69A4A94" w14:textId="77777777" w:rsidR="00000000" w:rsidRDefault="00A173A8">
            <w:pPr>
              <w:spacing w:after="100"/>
              <w:jc w:val="right"/>
              <w:rPr>
                <w:rFonts w:eastAsia="Times New Roman"/>
              </w:rPr>
            </w:pPr>
            <w:r>
              <w:rPr>
                <w:rFonts w:eastAsia="Times New Roman"/>
                <w:b/>
                <w:bCs/>
                <w:color w:val="000000"/>
                <w:sz w:val="18"/>
                <w:szCs w:val="18"/>
              </w:rPr>
              <w:t>10,500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82BF7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CF88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6793E9" w14:textId="77777777" w:rsidR="00000000" w:rsidRDefault="00A173A8">
            <w:pPr>
              <w:spacing w:after="100"/>
              <w:jc w:val="right"/>
              <w:rPr>
                <w:rFonts w:eastAsia="Times New Roman"/>
              </w:rPr>
            </w:pPr>
            <w:r>
              <w:rPr>
                <w:rFonts w:eastAsia="Times New Roman"/>
                <w:b/>
                <w:bCs/>
                <w:color w:val="000000"/>
                <w:sz w:val="18"/>
                <w:szCs w:val="18"/>
              </w:rPr>
              <w:t>10,501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A219F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A63F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6A72D2"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5C3A59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B3D69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3C1EB1" w14:textId="77777777" w:rsidR="00000000" w:rsidRDefault="00A173A8">
            <w:pPr>
              <w:spacing w:after="100"/>
              <w:jc w:val="right"/>
              <w:rPr>
                <w:rFonts w:eastAsia="Times New Roman"/>
              </w:rPr>
            </w:pPr>
            <w:r>
              <w:rPr>
                <w:rFonts w:eastAsia="Times New Roman"/>
                <w:b/>
                <w:bCs/>
                <w:color w:val="000000"/>
                <w:sz w:val="18"/>
                <w:szCs w:val="18"/>
              </w:rPr>
              <w:t>10,501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87263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54F29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EAB0B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68A48FA" w14:textId="77777777" w:rsidR="00000000" w:rsidRDefault="00A173A8">
            <w:pPr>
              <w:spacing w:after="100"/>
              <w:jc w:val="right"/>
              <w:rPr>
                <w:rFonts w:eastAsia="Times New Roman"/>
              </w:rPr>
            </w:pPr>
          </w:p>
        </w:tc>
      </w:tr>
      <w:tr w:rsidR="00000000" w14:paraId="4199FDF6" w14:textId="77777777">
        <w:trPr>
          <w:divId w:val="366875318"/>
        </w:trPr>
        <w:tc>
          <w:tcPr>
            <w:tcW w:w="0" w:type="auto"/>
            <w:gridSpan w:val="3"/>
            <w:shd w:val="clear" w:color="auto" w:fill="FFFFFF"/>
            <w:tcMar>
              <w:top w:w="30" w:type="dxa"/>
              <w:left w:w="245" w:type="dxa"/>
              <w:bottom w:w="30" w:type="dxa"/>
              <w:right w:w="20" w:type="dxa"/>
            </w:tcMar>
            <w:vAlign w:val="center"/>
            <w:hideMark/>
          </w:tcPr>
          <w:p w14:paraId="161EBC09" w14:textId="77777777" w:rsidR="00000000" w:rsidRDefault="00A173A8">
            <w:pPr>
              <w:spacing w:after="100"/>
              <w:rPr>
                <w:rFonts w:eastAsia="Times New Roman"/>
              </w:rPr>
            </w:pPr>
            <w:r>
              <w:rPr>
                <w:rFonts w:eastAsia="Times New Roman"/>
                <w:color w:val="000000"/>
                <w:sz w:val="18"/>
                <w:szCs w:val="18"/>
              </w:rPr>
              <w:t>Interest payable</w:t>
            </w:r>
          </w:p>
        </w:tc>
        <w:tc>
          <w:tcPr>
            <w:tcW w:w="0" w:type="auto"/>
            <w:gridSpan w:val="3"/>
            <w:shd w:val="clear" w:color="auto" w:fill="FFFFFF"/>
            <w:tcMar>
              <w:top w:w="0" w:type="dxa"/>
              <w:left w:w="20" w:type="dxa"/>
              <w:bottom w:w="0" w:type="dxa"/>
              <w:right w:w="20" w:type="dxa"/>
            </w:tcMar>
            <w:vAlign w:val="center"/>
            <w:hideMark/>
          </w:tcPr>
          <w:p w14:paraId="34205DD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8BCE043" w14:textId="77777777" w:rsidR="00000000" w:rsidRDefault="00A173A8">
            <w:pPr>
              <w:spacing w:after="100"/>
              <w:jc w:val="right"/>
              <w:rPr>
                <w:rFonts w:eastAsia="Times New Roman"/>
              </w:rPr>
            </w:pPr>
            <w:r>
              <w:rPr>
                <w:rFonts w:eastAsia="Times New Roman"/>
                <w:b/>
                <w:bCs/>
                <w:color w:val="000000"/>
                <w:sz w:val="18"/>
                <w:szCs w:val="18"/>
              </w:rPr>
              <w:t>333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0F45E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67D1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48AD0B9" w14:textId="77777777" w:rsidR="00000000" w:rsidRDefault="00A173A8">
            <w:pPr>
              <w:spacing w:after="100"/>
              <w:jc w:val="right"/>
              <w:rPr>
                <w:rFonts w:eastAsia="Times New Roman"/>
              </w:rPr>
            </w:pPr>
            <w:r>
              <w:rPr>
                <w:rFonts w:eastAsia="Times New Roman"/>
                <w:b/>
                <w:bCs/>
                <w:color w:val="000000"/>
                <w:sz w:val="18"/>
                <w:szCs w:val="18"/>
              </w:rPr>
              <w:t>333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76277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D4ED6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A454EC"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55AA6A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8CC2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97D09CD" w14:textId="77777777" w:rsidR="00000000" w:rsidRDefault="00A173A8">
            <w:pPr>
              <w:spacing w:after="100"/>
              <w:jc w:val="right"/>
              <w:rPr>
                <w:rFonts w:eastAsia="Times New Roman"/>
              </w:rPr>
            </w:pPr>
            <w:r>
              <w:rPr>
                <w:rFonts w:eastAsia="Times New Roman"/>
                <w:b/>
                <w:bCs/>
                <w:color w:val="000000"/>
                <w:sz w:val="18"/>
                <w:szCs w:val="18"/>
              </w:rPr>
              <w:t>333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CEDCD3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5DB3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216D38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BD84BC" w14:textId="77777777" w:rsidR="00000000" w:rsidRDefault="00A173A8">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5"/>
        <w:gridCol w:w="144"/>
        <w:gridCol w:w="144"/>
        <w:gridCol w:w="144"/>
        <w:gridCol w:w="144"/>
        <w:gridCol w:w="144"/>
        <w:gridCol w:w="551"/>
        <w:gridCol w:w="144"/>
        <w:gridCol w:w="144"/>
        <w:gridCol w:w="144"/>
        <w:gridCol w:w="144"/>
        <w:gridCol w:w="144"/>
        <w:gridCol w:w="56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tblGrid>
      <w:tr w:rsidR="00000000" w14:paraId="66DD1CAB" w14:textId="77777777">
        <w:tc>
          <w:tcPr>
            <w:tcW w:w="50" w:type="pct"/>
            <w:vAlign w:val="center"/>
            <w:hideMark/>
          </w:tcPr>
          <w:p w14:paraId="4BB092CB" w14:textId="77777777" w:rsidR="00000000" w:rsidRDefault="00A173A8">
            <w:pPr>
              <w:rPr>
                <w:rFonts w:eastAsia="Times New Roman"/>
              </w:rPr>
            </w:pPr>
          </w:p>
        </w:tc>
        <w:tc>
          <w:tcPr>
            <w:tcW w:w="2905" w:type="pct"/>
            <w:vAlign w:val="center"/>
            <w:hideMark/>
          </w:tcPr>
          <w:p w14:paraId="4FFC5A13" w14:textId="77777777" w:rsidR="00000000" w:rsidRDefault="00A173A8">
            <w:pPr>
              <w:spacing w:after="100"/>
              <w:rPr>
                <w:rFonts w:eastAsia="Times New Roman"/>
                <w:sz w:val="20"/>
                <w:szCs w:val="20"/>
              </w:rPr>
            </w:pPr>
          </w:p>
        </w:tc>
        <w:tc>
          <w:tcPr>
            <w:tcW w:w="5" w:type="pct"/>
            <w:vAlign w:val="center"/>
            <w:hideMark/>
          </w:tcPr>
          <w:p w14:paraId="1F186D10" w14:textId="77777777" w:rsidR="00000000" w:rsidRDefault="00A173A8">
            <w:pPr>
              <w:spacing w:after="100"/>
              <w:rPr>
                <w:rFonts w:eastAsia="Times New Roman"/>
                <w:sz w:val="20"/>
                <w:szCs w:val="20"/>
              </w:rPr>
            </w:pPr>
          </w:p>
        </w:tc>
        <w:tc>
          <w:tcPr>
            <w:tcW w:w="5" w:type="pct"/>
            <w:vAlign w:val="center"/>
            <w:hideMark/>
          </w:tcPr>
          <w:p w14:paraId="071CB058" w14:textId="77777777" w:rsidR="00000000" w:rsidRDefault="00A173A8">
            <w:pPr>
              <w:spacing w:after="100"/>
              <w:rPr>
                <w:rFonts w:eastAsia="Times New Roman"/>
                <w:sz w:val="20"/>
                <w:szCs w:val="20"/>
              </w:rPr>
            </w:pPr>
          </w:p>
        </w:tc>
        <w:tc>
          <w:tcPr>
            <w:tcW w:w="26" w:type="pct"/>
            <w:vAlign w:val="center"/>
            <w:hideMark/>
          </w:tcPr>
          <w:p w14:paraId="72A5D5EA" w14:textId="77777777" w:rsidR="00000000" w:rsidRDefault="00A173A8">
            <w:pPr>
              <w:spacing w:after="100"/>
              <w:rPr>
                <w:rFonts w:eastAsia="Times New Roman"/>
                <w:sz w:val="20"/>
                <w:szCs w:val="20"/>
              </w:rPr>
            </w:pPr>
          </w:p>
        </w:tc>
        <w:tc>
          <w:tcPr>
            <w:tcW w:w="5" w:type="pct"/>
            <w:vAlign w:val="center"/>
            <w:hideMark/>
          </w:tcPr>
          <w:p w14:paraId="5F0C69D1" w14:textId="77777777" w:rsidR="00000000" w:rsidRDefault="00A173A8">
            <w:pPr>
              <w:spacing w:after="100"/>
              <w:rPr>
                <w:rFonts w:eastAsia="Times New Roman"/>
                <w:sz w:val="20"/>
                <w:szCs w:val="20"/>
              </w:rPr>
            </w:pPr>
          </w:p>
        </w:tc>
        <w:tc>
          <w:tcPr>
            <w:tcW w:w="50" w:type="pct"/>
            <w:vAlign w:val="center"/>
            <w:hideMark/>
          </w:tcPr>
          <w:p w14:paraId="7A4461D8" w14:textId="77777777" w:rsidR="00000000" w:rsidRDefault="00A173A8">
            <w:pPr>
              <w:spacing w:after="100"/>
              <w:rPr>
                <w:rFonts w:eastAsia="Times New Roman"/>
                <w:sz w:val="20"/>
                <w:szCs w:val="20"/>
              </w:rPr>
            </w:pPr>
          </w:p>
        </w:tc>
        <w:tc>
          <w:tcPr>
            <w:tcW w:w="332" w:type="pct"/>
            <w:vAlign w:val="center"/>
            <w:hideMark/>
          </w:tcPr>
          <w:p w14:paraId="2C6AA364" w14:textId="77777777" w:rsidR="00000000" w:rsidRDefault="00A173A8">
            <w:pPr>
              <w:spacing w:after="100"/>
              <w:rPr>
                <w:rFonts w:eastAsia="Times New Roman"/>
                <w:sz w:val="20"/>
                <w:szCs w:val="20"/>
              </w:rPr>
            </w:pPr>
          </w:p>
        </w:tc>
        <w:tc>
          <w:tcPr>
            <w:tcW w:w="5" w:type="pct"/>
            <w:vAlign w:val="center"/>
            <w:hideMark/>
          </w:tcPr>
          <w:p w14:paraId="120AF9FD" w14:textId="77777777" w:rsidR="00000000" w:rsidRDefault="00A173A8">
            <w:pPr>
              <w:spacing w:after="100"/>
              <w:rPr>
                <w:rFonts w:eastAsia="Times New Roman"/>
                <w:sz w:val="20"/>
                <w:szCs w:val="20"/>
              </w:rPr>
            </w:pPr>
          </w:p>
        </w:tc>
        <w:tc>
          <w:tcPr>
            <w:tcW w:w="5" w:type="pct"/>
            <w:vAlign w:val="center"/>
            <w:hideMark/>
          </w:tcPr>
          <w:p w14:paraId="4A251D66" w14:textId="77777777" w:rsidR="00000000" w:rsidRDefault="00A173A8">
            <w:pPr>
              <w:spacing w:after="100"/>
              <w:rPr>
                <w:rFonts w:eastAsia="Times New Roman"/>
                <w:sz w:val="20"/>
                <w:szCs w:val="20"/>
              </w:rPr>
            </w:pPr>
          </w:p>
        </w:tc>
        <w:tc>
          <w:tcPr>
            <w:tcW w:w="26" w:type="pct"/>
            <w:vAlign w:val="center"/>
            <w:hideMark/>
          </w:tcPr>
          <w:p w14:paraId="0CE5BEA1" w14:textId="77777777" w:rsidR="00000000" w:rsidRDefault="00A173A8">
            <w:pPr>
              <w:spacing w:after="100"/>
              <w:rPr>
                <w:rFonts w:eastAsia="Times New Roman"/>
                <w:sz w:val="20"/>
                <w:szCs w:val="20"/>
              </w:rPr>
            </w:pPr>
          </w:p>
        </w:tc>
        <w:tc>
          <w:tcPr>
            <w:tcW w:w="5" w:type="pct"/>
            <w:vAlign w:val="center"/>
            <w:hideMark/>
          </w:tcPr>
          <w:p w14:paraId="64CEE188" w14:textId="77777777" w:rsidR="00000000" w:rsidRDefault="00A173A8">
            <w:pPr>
              <w:spacing w:after="100"/>
              <w:rPr>
                <w:rFonts w:eastAsia="Times New Roman"/>
                <w:sz w:val="20"/>
                <w:szCs w:val="20"/>
              </w:rPr>
            </w:pPr>
          </w:p>
        </w:tc>
        <w:tc>
          <w:tcPr>
            <w:tcW w:w="50" w:type="pct"/>
            <w:vAlign w:val="center"/>
            <w:hideMark/>
          </w:tcPr>
          <w:p w14:paraId="6FAEFD56" w14:textId="77777777" w:rsidR="00000000" w:rsidRDefault="00A173A8">
            <w:pPr>
              <w:spacing w:after="100"/>
              <w:rPr>
                <w:rFonts w:eastAsia="Times New Roman"/>
                <w:sz w:val="20"/>
                <w:szCs w:val="20"/>
              </w:rPr>
            </w:pPr>
          </w:p>
        </w:tc>
        <w:tc>
          <w:tcPr>
            <w:tcW w:w="339" w:type="pct"/>
            <w:vAlign w:val="center"/>
            <w:hideMark/>
          </w:tcPr>
          <w:p w14:paraId="2739D1C4" w14:textId="77777777" w:rsidR="00000000" w:rsidRDefault="00A173A8">
            <w:pPr>
              <w:spacing w:after="100"/>
              <w:rPr>
                <w:rFonts w:eastAsia="Times New Roman"/>
                <w:sz w:val="20"/>
                <w:szCs w:val="20"/>
              </w:rPr>
            </w:pPr>
          </w:p>
        </w:tc>
        <w:tc>
          <w:tcPr>
            <w:tcW w:w="5" w:type="pct"/>
            <w:vAlign w:val="center"/>
            <w:hideMark/>
          </w:tcPr>
          <w:p w14:paraId="70311A0D" w14:textId="77777777" w:rsidR="00000000" w:rsidRDefault="00A173A8">
            <w:pPr>
              <w:spacing w:after="100"/>
              <w:rPr>
                <w:rFonts w:eastAsia="Times New Roman"/>
                <w:sz w:val="20"/>
                <w:szCs w:val="20"/>
              </w:rPr>
            </w:pPr>
          </w:p>
        </w:tc>
        <w:tc>
          <w:tcPr>
            <w:tcW w:w="5" w:type="pct"/>
            <w:vAlign w:val="center"/>
            <w:hideMark/>
          </w:tcPr>
          <w:p w14:paraId="26C15A5D" w14:textId="77777777" w:rsidR="00000000" w:rsidRDefault="00A173A8">
            <w:pPr>
              <w:spacing w:after="100"/>
              <w:rPr>
                <w:rFonts w:eastAsia="Times New Roman"/>
                <w:sz w:val="20"/>
                <w:szCs w:val="20"/>
              </w:rPr>
            </w:pPr>
          </w:p>
        </w:tc>
        <w:tc>
          <w:tcPr>
            <w:tcW w:w="26" w:type="pct"/>
            <w:vAlign w:val="center"/>
            <w:hideMark/>
          </w:tcPr>
          <w:p w14:paraId="62B45C27" w14:textId="77777777" w:rsidR="00000000" w:rsidRDefault="00A173A8">
            <w:pPr>
              <w:spacing w:after="100"/>
              <w:rPr>
                <w:rFonts w:eastAsia="Times New Roman"/>
                <w:sz w:val="20"/>
                <w:szCs w:val="20"/>
              </w:rPr>
            </w:pPr>
          </w:p>
        </w:tc>
        <w:tc>
          <w:tcPr>
            <w:tcW w:w="5" w:type="pct"/>
            <w:vAlign w:val="center"/>
            <w:hideMark/>
          </w:tcPr>
          <w:p w14:paraId="3C40311D" w14:textId="77777777" w:rsidR="00000000" w:rsidRDefault="00A173A8">
            <w:pPr>
              <w:spacing w:after="100"/>
              <w:rPr>
                <w:rFonts w:eastAsia="Times New Roman"/>
                <w:sz w:val="20"/>
                <w:szCs w:val="20"/>
              </w:rPr>
            </w:pPr>
          </w:p>
        </w:tc>
        <w:tc>
          <w:tcPr>
            <w:tcW w:w="50" w:type="pct"/>
            <w:vAlign w:val="center"/>
            <w:hideMark/>
          </w:tcPr>
          <w:p w14:paraId="05A9036D" w14:textId="77777777" w:rsidR="00000000" w:rsidRDefault="00A173A8">
            <w:pPr>
              <w:spacing w:after="100"/>
              <w:rPr>
                <w:rFonts w:eastAsia="Times New Roman"/>
                <w:sz w:val="20"/>
                <w:szCs w:val="20"/>
              </w:rPr>
            </w:pPr>
          </w:p>
        </w:tc>
        <w:tc>
          <w:tcPr>
            <w:tcW w:w="303" w:type="pct"/>
            <w:vAlign w:val="center"/>
            <w:hideMark/>
          </w:tcPr>
          <w:p w14:paraId="3FF51090" w14:textId="77777777" w:rsidR="00000000" w:rsidRDefault="00A173A8">
            <w:pPr>
              <w:spacing w:after="100"/>
              <w:rPr>
                <w:rFonts w:eastAsia="Times New Roman"/>
                <w:sz w:val="20"/>
                <w:szCs w:val="20"/>
              </w:rPr>
            </w:pPr>
          </w:p>
        </w:tc>
        <w:tc>
          <w:tcPr>
            <w:tcW w:w="5" w:type="pct"/>
            <w:vAlign w:val="center"/>
            <w:hideMark/>
          </w:tcPr>
          <w:p w14:paraId="37894558" w14:textId="77777777" w:rsidR="00000000" w:rsidRDefault="00A173A8">
            <w:pPr>
              <w:spacing w:after="100"/>
              <w:rPr>
                <w:rFonts w:eastAsia="Times New Roman"/>
                <w:sz w:val="20"/>
                <w:szCs w:val="20"/>
              </w:rPr>
            </w:pPr>
          </w:p>
        </w:tc>
        <w:tc>
          <w:tcPr>
            <w:tcW w:w="5" w:type="pct"/>
            <w:vAlign w:val="center"/>
            <w:hideMark/>
          </w:tcPr>
          <w:p w14:paraId="2836236D" w14:textId="77777777" w:rsidR="00000000" w:rsidRDefault="00A173A8">
            <w:pPr>
              <w:spacing w:after="100"/>
              <w:rPr>
                <w:rFonts w:eastAsia="Times New Roman"/>
                <w:sz w:val="20"/>
                <w:szCs w:val="20"/>
              </w:rPr>
            </w:pPr>
          </w:p>
        </w:tc>
        <w:tc>
          <w:tcPr>
            <w:tcW w:w="26" w:type="pct"/>
            <w:vAlign w:val="center"/>
            <w:hideMark/>
          </w:tcPr>
          <w:p w14:paraId="3FF9DA00" w14:textId="77777777" w:rsidR="00000000" w:rsidRDefault="00A173A8">
            <w:pPr>
              <w:spacing w:after="100"/>
              <w:rPr>
                <w:rFonts w:eastAsia="Times New Roman"/>
                <w:sz w:val="20"/>
                <w:szCs w:val="20"/>
              </w:rPr>
            </w:pPr>
          </w:p>
        </w:tc>
        <w:tc>
          <w:tcPr>
            <w:tcW w:w="5" w:type="pct"/>
            <w:vAlign w:val="center"/>
            <w:hideMark/>
          </w:tcPr>
          <w:p w14:paraId="6F2CFDD3" w14:textId="77777777" w:rsidR="00000000" w:rsidRDefault="00A173A8">
            <w:pPr>
              <w:spacing w:after="100"/>
              <w:rPr>
                <w:rFonts w:eastAsia="Times New Roman"/>
                <w:sz w:val="20"/>
                <w:szCs w:val="20"/>
              </w:rPr>
            </w:pPr>
          </w:p>
        </w:tc>
        <w:tc>
          <w:tcPr>
            <w:tcW w:w="50" w:type="pct"/>
            <w:vAlign w:val="center"/>
            <w:hideMark/>
          </w:tcPr>
          <w:p w14:paraId="2C1280F6" w14:textId="77777777" w:rsidR="00000000" w:rsidRDefault="00A173A8">
            <w:pPr>
              <w:spacing w:after="100"/>
              <w:rPr>
                <w:rFonts w:eastAsia="Times New Roman"/>
                <w:sz w:val="20"/>
                <w:szCs w:val="20"/>
              </w:rPr>
            </w:pPr>
          </w:p>
        </w:tc>
        <w:tc>
          <w:tcPr>
            <w:tcW w:w="303" w:type="pct"/>
            <w:vAlign w:val="center"/>
            <w:hideMark/>
          </w:tcPr>
          <w:p w14:paraId="5CEA3A34" w14:textId="77777777" w:rsidR="00000000" w:rsidRDefault="00A173A8">
            <w:pPr>
              <w:spacing w:after="100"/>
              <w:rPr>
                <w:rFonts w:eastAsia="Times New Roman"/>
                <w:sz w:val="20"/>
                <w:szCs w:val="20"/>
              </w:rPr>
            </w:pPr>
          </w:p>
        </w:tc>
        <w:tc>
          <w:tcPr>
            <w:tcW w:w="5" w:type="pct"/>
            <w:vAlign w:val="center"/>
            <w:hideMark/>
          </w:tcPr>
          <w:p w14:paraId="20C7B8C1" w14:textId="77777777" w:rsidR="00000000" w:rsidRDefault="00A173A8">
            <w:pPr>
              <w:spacing w:after="100"/>
              <w:rPr>
                <w:rFonts w:eastAsia="Times New Roman"/>
                <w:sz w:val="20"/>
                <w:szCs w:val="20"/>
              </w:rPr>
            </w:pPr>
          </w:p>
        </w:tc>
        <w:tc>
          <w:tcPr>
            <w:tcW w:w="5" w:type="pct"/>
            <w:vAlign w:val="center"/>
            <w:hideMark/>
          </w:tcPr>
          <w:p w14:paraId="2907921E" w14:textId="77777777" w:rsidR="00000000" w:rsidRDefault="00A173A8">
            <w:pPr>
              <w:spacing w:after="100"/>
              <w:rPr>
                <w:rFonts w:eastAsia="Times New Roman"/>
                <w:sz w:val="20"/>
                <w:szCs w:val="20"/>
              </w:rPr>
            </w:pPr>
          </w:p>
        </w:tc>
        <w:tc>
          <w:tcPr>
            <w:tcW w:w="26" w:type="pct"/>
            <w:vAlign w:val="center"/>
            <w:hideMark/>
          </w:tcPr>
          <w:p w14:paraId="227D3FC0" w14:textId="77777777" w:rsidR="00000000" w:rsidRDefault="00A173A8">
            <w:pPr>
              <w:spacing w:after="100"/>
              <w:rPr>
                <w:rFonts w:eastAsia="Times New Roman"/>
                <w:sz w:val="20"/>
                <w:szCs w:val="20"/>
              </w:rPr>
            </w:pPr>
          </w:p>
        </w:tc>
        <w:tc>
          <w:tcPr>
            <w:tcW w:w="5" w:type="pct"/>
            <w:vAlign w:val="center"/>
            <w:hideMark/>
          </w:tcPr>
          <w:p w14:paraId="3A035ABA" w14:textId="77777777" w:rsidR="00000000" w:rsidRDefault="00A173A8">
            <w:pPr>
              <w:spacing w:after="100"/>
              <w:rPr>
                <w:rFonts w:eastAsia="Times New Roman"/>
                <w:sz w:val="20"/>
                <w:szCs w:val="20"/>
              </w:rPr>
            </w:pPr>
          </w:p>
        </w:tc>
        <w:tc>
          <w:tcPr>
            <w:tcW w:w="50" w:type="pct"/>
            <w:vAlign w:val="center"/>
            <w:hideMark/>
          </w:tcPr>
          <w:p w14:paraId="2DBC7155" w14:textId="77777777" w:rsidR="00000000" w:rsidRDefault="00A173A8">
            <w:pPr>
              <w:spacing w:after="100"/>
              <w:rPr>
                <w:rFonts w:eastAsia="Times New Roman"/>
                <w:sz w:val="20"/>
                <w:szCs w:val="20"/>
              </w:rPr>
            </w:pPr>
          </w:p>
        </w:tc>
        <w:tc>
          <w:tcPr>
            <w:tcW w:w="303" w:type="pct"/>
            <w:vAlign w:val="center"/>
            <w:hideMark/>
          </w:tcPr>
          <w:p w14:paraId="3154829A" w14:textId="77777777" w:rsidR="00000000" w:rsidRDefault="00A173A8">
            <w:pPr>
              <w:spacing w:after="100"/>
              <w:rPr>
                <w:rFonts w:eastAsia="Times New Roman"/>
                <w:sz w:val="20"/>
                <w:szCs w:val="20"/>
              </w:rPr>
            </w:pPr>
          </w:p>
        </w:tc>
        <w:tc>
          <w:tcPr>
            <w:tcW w:w="5" w:type="pct"/>
            <w:vAlign w:val="center"/>
            <w:hideMark/>
          </w:tcPr>
          <w:p w14:paraId="122314AE" w14:textId="77777777" w:rsidR="00000000" w:rsidRDefault="00A173A8">
            <w:pPr>
              <w:spacing w:after="100"/>
              <w:rPr>
                <w:rFonts w:eastAsia="Times New Roman"/>
                <w:sz w:val="20"/>
                <w:szCs w:val="20"/>
              </w:rPr>
            </w:pPr>
          </w:p>
        </w:tc>
      </w:tr>
      <w:tr w:rsidR="00000000" w14:paraId="6EE0C0F1" w14:textId="77777777">
        <w:tc>
          <w:tcPr>
            <w:tcW w:w="0" w:type="auto"/>
            <w:gridSpan w:val="3"/>
            <w:tcMar>
              <w:top w:w="30" w:type="dxa"/>
              <w:left w:w="20" w:type="dxa"/>
              <w:bottom w:w="30" w:type="dxa"/>
              <w:right w:w="20" w:type="dxa"/>
            </w:tcMar>
            <w:vAlign w:val="bottom"/>
            <w:hideMark/>
          </w:tcPr>
          <w:p w14:paraId="4BA1B492" w14:textId="77777777" w:rsidR="00000000" w:rsidRDefault="00A173A8">
            <w:pPr>
              <w:spacing w:after="100"/>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14:paraId="159926D3" w14:textId="77777777" w:rsidR="00000000" w:rsidRDefault="00A173A8">
            <w:pPr>
              <w:spacing w:after="100"/>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14:paraId="2F7321B4"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6760D21A" w14:textId="77777777">
        <w:trPr>
          <w:trHeight w:val="360"/>
        </w:trPr>
        <w:tc>
          <w:tcPr>
            <w:tcW w:w="0" w:type="auto"/>
            <w:gridSpan w:val="3"/>
            <w:tcMar>
              <w:top w:w="0" w:type="dxa"/>
              <w:left w:w="20" w:type="dxa"/>
              <w:bottom w:w="0" w:type="dxa"/>
              <w:right w:w="20" w:type="dxa"/>
            </w:tcMar>
            <w:vAlign w:val="center"/>
            <w:hideMark/>
          </w:tcPr>
          <w:p w14:paraId="3F56D37D" w14:textId="77777777" w:rsidR="00000000" w:rsidRDefault="00A173A8">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0FC38A8" w14:textId="77777777" w:rsidR="00000000" w:rsidRDefault="00A173A8">
            <w:pPr>
              <w:spacing w:after="100"/>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67163B21" w14:textId="77777777" w:rsidR="00000000" w:rsidRDefault="00A173A8">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14:paraId="5AE7405F" w14:textId="77777777" w:rsidR="00000000" w:rsidRDefault="00A173A8">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49D6A94" w14:textId="77777777" w:rsidR="00000000" w:rsidRDefault="00A173A8">
            <w:pPr>
              <w:spacing w:after="100"/>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14:paraId="560EA973" w14:textId="77777777" w:rsidR="00000000" w:rsidRDefault="00A173A8">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0B877A05" w14:textId="77777777" w:rsidR="00000000" w:rsidRDefault="00A173A8">
            <w:pPr>
              <w:spacing w:after="100"/>
              <w:jc w:val="center"/>
              <w:rPr>
                <w:rFonts w:eastAsia="Times New Roman"/>
              </w:rPr>
            </w:pPr>
            <w:r>
              <w:rPr>
                <w:rFonts w:eastAsia="Times New Roman"/>
                <w:b/>
                <w:bCs/>
                <w:color w:val="000000"/>
                <w:sz w:val="16"/>
                <w:szCs w:val="16"/>
              </w:rPr>
              <w:t>Estimated Fair Value Hierarchy</w:t>
            </w:r>
          </w:p>
        </w:tc>
      </w:tr>
      <w:tr w:rsidR="00000000" w14:paraId="72C00200" w14:textId="77777777">
        <w:trPr>
          <w:trHeight w:val="240"/>
        </w:trPr>
        <w:tc>
          <w:tcPr>
            <w:tcW w:w="0" w:type="auto"/>
            <w:gridSpan w:val="3"/>
            <w:tcMar>
              <w:top w:w="30" w:type="dxa"/>
              <w:left w:w="20" w:type="dxa"/>
              <w:bottom w:w="30" w:type="dxa"/>
              <w:right w:w="20" w:type="dxa"/>
            </w:tcMar>
            <w:vAlign w:val="bottom"/>
            <w:hideMark/>
          </w:tcPr>
          <w:p w14:paraId="086929CF"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5758F10" w14:textId="77777777" w:rsidR="00000000" w:rsidRDefault="00A173A8">
            <w:pPr>
              <w:spacing w:after="100"/>
              <w:rPr>
                <w:rFonts w:eastAsia="Times New Roman"/>
              </w:rPr>
            </w:pPr>
          </w:p>
        </w:tc>
        <w:tc>
          <w:tcPr>
            <w:tcW w:w="0" w:type="auto"/>
            <w:gridSpan w:val="3"/>
            <w:vMerge/>
            <w:tcBorders>
              <w:top w:val="single" w:sz="8" w:space="0" w:color="000000"/>
            </w:tcBorders>
            <w:vAlign w:val="center"/>
            <w:hideMark/>
          </w:tcPr>
          <w:p w14:paraId="49FE40BD"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3A066A07" w14:textId="77777777" w:rsidR="00000000" w:rsidRDefault="00A173A8">
            <w:pPr>
              <w:spacing w:after="100"/>
              <w:rPr>
                <w:rFonts w:eastAsia="Times New Roman"/>
                <w:sz w:val="20"/>
                <w:szCs w:val="20"/>
              </w:rPr>
            </w:pPr>
          </w:p>
        </w:tc>
        <w:tc>
          <w:tcPr>
            <w:tcW w:w="0" w:type="auto"/>
            <w:gridSpan w:val="3"/>
            <w:vMerge/>
            <w:tcBorders>
              <w:top w:val="single" w:sz="8" w:space="0" w:color="000000"/>
            </w:tcBorders>
            <w:vAlign w:val="center"/>
            <w:hideMark/>
          </w:tcPr>
          <w:p w14:paraId="231E6071"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5F6696FB"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DBB0368" w14:textId="77777777" w:rsidR="00000000" w:rsidRDefault="00A173A8">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0A7EA006"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CDC7BE" w14:textId="77777777" w:rsidR="00000000" w:rsidRDefault="00A173A8">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0F749B6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7A1D3B" w14:textId="77777777" w:rsidR="00000000" w:rsidRDefault="00A173A8">
            <w:pPr>
              <w:spacing w:after="100"/>
              <w:jc w:val="center"/>
              <w:rPr>
                <w:rFonts w:eastAsia="Times New Roman"/>
              </w:rPr>
            </w:pPr>
            <w:r>
              <w:rPr>
                <w:rFonts w:eastAsia="Times New Roman"/>
                <w:b/>
                <w:bCs/>
                <w:color w:val="000000"/>
                <w:sz w:val="16"/>
                <w:szCs w:val="16"/>
              </w:rPr>
              <w:t>Level 3</w:t>
            </w:r>
          </w:p>
        </w:tc>
      </w:tr>
      <w:tr w:rsidR="00000000" w14:paraId="69C70C58"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B19A23A" w14:textId="77777777" w:rsidR="00000000" w:rsidRDefault="00A173A8">
            <w:pPr>
              <w:spacing w:after="100"/>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14:paraId="31715806"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4AA68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E4A7A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FF594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10BC7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1A88C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FF187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592CB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166DBC"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7C90AC" w14:textId="77777777" w:rsidR="00000000" w:rsidRDefault="00A173A8">
            <w:pPr>
              <w:spacing w:after="100"/>
              <w:rPr>
                <w:rFonts w:eastAsia="Times New Roman"/>
                <w:sz w:val="20"/>
                <w:szCs w:val="20"/>
              </w:rPr>
            </w:pPr>
          </w:p>
        </w:tc>
      </w:tr>
      <w:tr w:rsidR="00000000" w14:paraId="5B347CE6" w14:textId="77777777">
        <w:tc>
          <w:tcPr>
            <w:tcW w:w="0" w:type="auto"/>
            <w:gridSpan w:val="3"/>
            <w:shd w:val="clear" w:color="auto" w:fill="FFFFFF"/>
            <w:tcMar>
              <w:top w:w="30" w:type="dxa"/>
              <w:left w:w="245" w:type="dxa"/>
              <w:bottom w:w="30" w:type="dxa"/>
              <w:right w:w="20" w:type="dxa"/>
            </w:tcMar>
            <w:vAlign w:val="center"/>
            <w:hideMark/>
          </w:tcPr>
          <w:p w14:paraId="14318189" w14:textId="77777777" w:rsidR="00000000" w:rsidRDefault="00A173A8">
            <w:pPr>
              <w:spacing w:after="100"/>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14:paraId="4A431805"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AFD5AF3"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496DBAB" w14:textId="77777777" w:rsidR="00000000" w:rsidRDefault="00A173A8">
            <w:pPr>
              <w:spacing w:after="100"/>
              <w:jc w:val="right"/>
              <w:rPr>
                <w:rFonts w:eastAsia="Times New Roman"/>
              </w:rPr>
            </w:pPr>
            <w:r>
              <w:rPr>
                <w:rFonts w:eastAsia="Times New Roman"/>
                <w:color w:val="000000"/>
                <w:sz w:val="18"/>
                <w:szCs w:val="18"/>
              </w:rPr>
              <w:t>21,746 </w:t>
            </w:r>
          </w:p>
        </w:tc>
        <w:tc>
          <w:tcPr>
            <w:tcW w:w="0" w:type="auto"/>
            <w:shd w:val="clear" w:color="auto" w:fill="FFFFFF"/>
            <w:tcMar>
              <w:top w:w="30" w:type="dxa"/>
              <w:left w:w="0" w:type="dxa"/>
              <w:bottom w:w="30" w:type="dxa"/>
              <w:right w:w="20" w:type="dxa"/>
            </w:tcMar>
            <w:vAlign w:val="center"/>
            <w:hideMark/>
          </w:tcPr>
          <w:p w14:paraId="1A75FC3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9ED06"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3E6E29D"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B9055EF" w14:textId="77777777" w:rsidR="00000000" w:rsidRDefault="00A173A8">
            <w:pPr>
              <w:spacing w:after="100"/>
              <w:jc w:val="right"/>
              <w:rPr>
                <w:rFonts w:eastAsia="Times New Roman"/>
              </w:rPr>
            </w:pPr>
            <w:r>
              <w:rPr>
                <w:rFonts w:eastAsia="Times New Roman"/>
                <w:color w:val="000000"/>
                <w:sz w:val="18"/>
                <w:szCs w:val="18"/>
              </w:rPr>
              <w:t>21,746 </w:t>
            </w:r>
          </w:p>
        </w:tc>
        <w:tc>
          <w:tcPr>
            <w:tcW w:w="0" w:type="auto"/>
            <w:shd w:val="clear" w:color="auto" w:fill="FFFFFF"/>
            <w:tcMar>
              <w:top w:w="30" w:type="dxa"/>
              <w:left w:w="0" w:type="dxa"/>
              <w:bottom w:w="30" w:type="dxa"/>
              <w:right w:w="20" w:type="dxa"/>
            </w:tcMar>
            <w:vAlign w:val="center"/>
            <w:hideMark/>
          </w:tcPr>
          <w:p w14:paraId="7B3D94C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27AA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CA82E04"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AF9FEA8" w14:textId="77777777" w:rsidR="00000000" w:rsidRDefault="00A173A8">
            <w:pPr>
              <w:spacing w:after="100"/>
              <w:jc w:val="right"/>
              <w:rPr>
                <w:rFonts w:eastAsia="Times New Roman"/>
              </w:rPr>
            </w:pPr>
            <w:r>
              <w:rPr>
                <w:rFonts w:eastAsia="Times New Roman"/>
                <w:color w:val="000000"/>
                <w:sz w:val="18"/>
                <w:szCs w:val="18"/>
              </w:rPr>
              <w:t>4,164 </w:t>
            </w:r>
          </w:p>
        </w:tc>
        <w:tc>
          <w:tcPr>
            <w:tcW w:w="0" w:type="auto"/>
            <w:shd w:val="clear" w:color="auto" w:fill="FFFFFF"/>
            <w:tcMar>
              <w:top w:w="30" w:type="dxa"/>
              <w:left w:w="0" w:type="dxa"/>
              <w:bottom w:w="30" w:type="dxa"/>
              <w:right w:w="20" w:type="dxa"/>
            </w:tcMar>
            <w:vAlign w:val="center"/>
            <w:hideMark/>
          </w:tcPr>
          <w:p w14:paraId="63AB5D8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2EFC0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5883E8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36D4EADC" w14:textId="77777777" w:rsidR="00000000" w:rsidRDefault="00A173A8">
            <w:pPr>
              <w:spacing w:after="100"/>
              <w:jc w:val="right"/>
              <w:rPr>
                <w:rFonts w:eastAsia="Times New Roman"/>
              </w:rPr>
            </w:pPr>
            <w:r>
              <w:rPr>
                <w:rFonts w:eastAsia="Times New Roman"/>
                <w:color w:val="000000"/>
                <w:sz w:val="18"/>
                <w:szCs w:val="18"/>
              </w:rPr>
              <w:t>17,582 </w:t>
            </w:r>
          </w:p>
        </w:tc>
        <w:tc>
          <w:tcPr>
            <w:tcW w:w="0" w:type="auto"/>
            <w:shd w:val="clear" w:color="auto" w:fill="FFFFFF"/>
            <w:tcMar>
              <w:top w:w="30" w:type="dxa"/>
              <w:left w:w="0" w:type="dxa"/>
              <w:bottom w:w="30" w:type="dxa"/>
              <w:right w:w="20" w:type="dxa"/>
            </w:tcMar>
            <w:vAlign w:val="center"/>
            <w:hideMark/>
          </w:tcPr>
          <w:p w14:paraId="2142DDE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46C00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E429F3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CE301C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BC838B6" w14:textId="77777777" w:rsidR="00000000" w:rsidRDefault="00A173A8">
            <w:pPr>
              <w:spacing w:after="100"/>
              <w:jc w:val="right"/>
              <w:rPr>
                <w:rFonts w:eastAsia="Times New Roman"/>
              </w:rPr>
            </w:pPr>
          </w:p>
        </w:tc>
      </w:tr>
      <w:tr w:rsidR="00000000" w14:paraId="39EC8033" w14:textId="77777777">
        <w:tc>
          <w:tcPr>
            <w:tcW w:w="0" w:type="auto"/>
            <w:gridSpan w:val="3"/>
            <w:shd w:val="clear" w:color="auto" w:fill="CCEEFF"/>
            <w:tcMar>
              <w:top w:w="30" w:type="dxa"/>
              <w:left w:w="245" w:type="dxa"/>
              <w:bottom w:w="30" w:type="dxa"/>
              <w:right w:w="20" w:type="dxa"/>
            </w:tcMar>
            <w:vAlign w:val="center"/>
            <w:hideMark/>
          </w:tcPr>
          <w:p w14:paraId="07A87B25" w14:textId="77777777" w:rsidR="00000000" w:rsidRDefault="00A173A8">
            <w:pPr>
              <w:spacing w:after="100"/>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14:paraId="6588EA0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086A8C4" w14:textId="77777777" w:rsidR="00000000" w:rsidRDefault="00A173A8">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14:paraId="5905571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A2EA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0C595D" w14:textId="77777777" w:rsidR="00000000" w:rsidRDefault="00A173A8">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14:paraId="17CD346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612C5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EDD66C" w14:textId="77777777" w:rsidR="00000000" w:rsidRDefault="00A173A8">
            <w:pPr>
              <w:spacing w:after="100"/>
              <w:jc w:val="right"/>
              <w:rPr>
                <w:rFonts w:eastAsia="Times New Roman"/>
              </w:rPr>
            </w:pPr>
            <w:r>
              <w:rPr>
                <w:rFonts w:eastAsia="Times New Roman"/>
                <w:color w:val="000000"/>
                <w:sz w:val="18"/>
                <w:szCs w:val="18"/>
              </w:rPr>
              <w:t>308 </w:t>
            </w:r>
          </w:p>
        </w:tc>
        <w:tc>
          <w:tcPr>
            <w:tcW w:w="0" w:type="auto"/>
            <w:shd w:val="clear" w:color="auto" w:fill="CCEEFF"/>
            <w:tcMar>
              <w:top w:w="30" w:type="dxa"/>
              <w:left w:w="0" w:type="dxa"/>
              <w:bottom w:w="30" w:type="dxa"/>
              <w:right w:w="20" w:type="dxa"/>
            </w:tcMar>
            <w:vAlign w:val="center"/>
            <w:hideMark/>
          </w:tcPr>
          <w:p w14:paraId="6747D38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A201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2FE8BA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A3FF8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32217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3A981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3E882BD" w14:textId="77777777" w:rsidR="00000000" w:rsidRDefault="00A173A8">
            <w:pPr>
              <w:spacing w:after="100"/>
              <w:jc w:val="right"/>
              <w:rPr>
                <w:rFonts w:eastAsia="Times New Roman"/>
              </w:rPr>
            </w:pPr>
          </w:p>
        </w:tc>
      </w:tr>
      <w:tr w:rsidR="00000000" w14:paraId="0C28692B" w14:textId="77777777">
        <w:tc>
          <w:tcPr>
            <w:tcW w:w="0" w:type="auto"/>
            <w:gridSpan w:val="3"/>
            <w:shd w:val="clear" w:color="auto" w:fill="FFFFFF"/>
            <w:tcMar>
              <w:top w:w="30" w:type="dxa"/>
              <w:left w:w="245" w:type="dxa"/>
              <w:bottom w:w="30" w:type="dxa"/>
              <w:right w:w="20" w:type="dxa"/>
            </w:tcMar>
            <w:vAlign w:val="center"/>
            <w:hideMark/>
          </w:tcPr>
          <w:p w14:paraId="40FF01F7" w14:textId="77777777" w:rsidR="00000000" w:rsidRDefault="00A173A8">
            <w:pPr>
              <w:spacing w:after="100"/>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14:paraId="11FB279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B2B856E" w14:textId="77777777" w:rsidR="00000000" w:rsidRDefault="00A173A8">
            <w:pPr>
              <w:spacing w:after="100"/>
              <w:jc w:val="right"/>
              <w:rPr>
                <w:rFonts w:eastAsia="Times New Roman"/>
              </w:rPr>
            </w:pPr>
            <w:r>
              <w:rPr>
                <w:rFonts w:eastAsia="Times New Roman"/>
                <w:color w:val="000000"/>
                <w:sz w:val="18"/>
                <w:szCs w:val="18"/>
              </w:rPr>
              <w:t>265,910 </w:t>
            </w:r>
          </w:p>
        </w:tc>
        <w:tc>
          <w:tcPr>
            <w:tcW w:w="0" w:type="auto"/>
            <w:shd w:val="clear" w:color="auto" w:fill="FFFFFF"/>
            <w:tcMar>
              <w:top w:w="30" w:type="dxa"/>
              <w:left w:w="0" w:type="dxa"/>
              <w:bottom w:w="30" w:type="dxa"/>
              <w:right w:w="20" w:type="dxa"/>
            </w:tcMar>
            <w:vAlign w:val="center"/>
            <w:hideMark/>
          </w:tcPr>
          <w:p w14:paraId="7FAAAD2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22D2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14B059D" w14:textId="77777777" w:rsidR="00000000" w:rsidRDefault="00A173A8">
            <w:pPr>
              <w:spacing w:after="100"/>
              <w:jc w:val="right"/>
              <w:rPr>
                <w:rFonts w:eastAsia="Times New Roman"/>
              </w:rPr>
            </w:pPr>
            <w:r>
              <w:rPr>
                <w:rFonts w:eastAsia="Times New Roman"/>
                <w:color w:val="000000"/>
                <w:sz w:val="18"/>
                <w:szCs w:val="18"/>
              </w:rPr>
              <w:t>270,508 </w:t>
            </w:r>
          </w:p>
        </w:tc>
        <w:tc>
          <w:tcPr>
            <w:tcW w:w="0" w:type="auto"/>
            <w:shd w:val="clear" w:color="auto" w:fill="FFFFFF"/>
            <w:tcMar>
              <w:top w:w="30" w:type="dxa"/>
              <w:left w:w="0" w:type="dxa"/>
              <w:bottom w:w="30" w:type="dxa"/>
              <w:right w:w="20" w:type="dxa"/>
            </w:tcMar>
            <w:vAlign w:val="center"/>
            <w:hideMark/>
          </w:tcPr>
          <w:p w14:paraId="562326B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90E35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A6D740A"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40986C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3CC9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74CB053"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415102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A9F1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56CC51" w14:textId="77777777" w:rsidR="00000000" w:rsidRDefault="00A173A8">
            <w:pPr>
              <w:spacing w:after="100"/>
              <w:jc w:val="right"/>
              <w:rPr>
                <w:rFonts w:eastAsia="Times New Roman"/>
              </w:rPr>
            </w:pPr>
            <w:r>
              <w:rPr>
                <w:rFonts w:eastAsia="Times New Roman"/>
                <w:color w:val="000000"/>
                <w:sz w:val="18"/>
                <w:szCs w:val="18"/>
              </w:rPr>
              <w:t>270,508 </w:t>
            </w:r>
          </w:p>
        </w:tc>
        <w:tc>
          <w:tcPr>
            <w:tcW w:w="0" w:type="auto"/>
            <w:shd w:val="clear" w:color="auto" w:fill="FFFFFF"/>
            <w:tcMar>
              <w:top w:w="30" w:type="dxa"/>
              <w:left w:w="0" w:type="dxa"/>
              <w:bottom w:w="30" w:type="dxa"/>
              <w:right w:w="20" w:type="dxa"/>
            </w:tcMar>
            <w:vAlign w:val="center"/>
            <w:hideMark/>
          </w:tcPr>
          <w:p w14:paraId="33E8FC6B" w14:textId="77777777" w:rsidR="00000000" w:rsidRDefault="00A173A8">
            <w:pPr>
              <w:spacing w:after="100"/>
              <w:jc w:val="right"/>
              <w:rPr>
                <w:rFonts w:eastAsia="Times New Roman"/>
              </w:rPr>
            </w:pPr>
          </w:p>
        </w:tc>
      </w:tr>
      <w:tr w:rsidR="00000000" w14:paraId="39BD688E" w14:textId="77777777">
        <w:tc>
          <w:tcPr>
            <w:tcW w:w="0" w:type="auto"/>
            <w:gridSpan w:val="3"/>
            <w:shd w:val="clear" w:color="auto" w:fill="CCEEFF"/>
            <w:tcMar>
              <w:top w:w="30" w:type="dxa"/>
              <w:left w:w="245" w:type="dxa"/>
              <w:bottom w:w="30" w:type="dxa"/>
              <w:right w:w="20" w:type="dxa"/>
            </w:tcMar>
            <w:vAlign w:val="center"/>
            <w:hideMark/>
          </w:tcPr>
          <w:p w14:paraId="0557575D" w14:textId="77777777" w:rsidR="00000000" w:rsidRDefault="00A173A8">
            <w:pPr>
              <w:spacing w:after="100"/>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14:paraId="02BF3BD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D686626" w14:textId="77777777" w:rsidR="00000000" w:rsidRDefault="00A173A8">
            <w:pPr>
              <w:spacing w:after="100"/>
              <w:jc w:val="right"/>
              <w:rPr>
                <w:rFonts w:eastAsia="Times New Roman"/>
              </w:rPr>
            </w:pPr>
            <w:r>
              <w:rPr>
                <w:rFonts w:eastAsia="Times New Roman"/>
                <w:color w:val="000000"/>
                <w:sz w:val="18"/>
                <w:szCs w:val="18"/>
              </w:rPr>
              <w:t>4,862 </w:t>
            </w:r>
          </w:p>
        </w:tc>
        <w:tc>
          <w:tcPr>
            <w:tcW w:w="0" w:type="auto"/>
            <w:shd w:val="clear" w:color="auto" w:fill="CCEEFF"/>
            <w:tcMar>
              <w:top w:w="30" w:type="dxa"/>
              <w:left w:w="0" w:type="dxa"/>
              <w:bottom w:w="30" w:type="dxa"/>
              <w:right w:w="20" w:type="dxa"/>
            </w:tcMar>
            <w:vAlign w:val="center"/>
            <w:hideMark/>
          </w:tcPr>
          <w:p w14:paraId="2923A9F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3CDB6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1BAA4E3" w14:textId="77777777" w:rsidR="00000000" w:rsidRDefault="00A173A8">
            <w:pPr>
              <w:spacing w:after="100"/>
              <w:jc w:val="right"/>
              <w:rPr>
                <w:rFonts w:eastAsia="Times New Roman"/>
              </w:rPr>
            </w:pPr>
            <w:r>
              <w:rPr>
                <w:rFonts w:eastAsia="Times New Roman"/>
                <w:color w:val="000000"/>
                <w:sz w:val="18"/>
                <w:szCs w:val="18"/>
              </w:rPr>
              <w:t>5,091 </w:t>
            </w:r>
          </w:p>
        </w:tc>
        <w:tc>
          <w:tcPr>
            <w:tcW w:w="0" w:type="auto"/>
            <w:shd w:val="clear" w:color="auto" w:fill="CCEEFF"/>
            <w:tcMar>
              <w:top w:w="30" w:type="dxa"/>
              <w:left w:w="0" w:type="dxa"/>
              <w:bottom w:w="30" w:type="dxa"/>
              <w:right w:w="20" w:type="dxa"/>
            </w:tcMar>
            <w:vAlign w:val="center"/>
            <w:hideMark/>
          </w:tcPr>
          <w:p w14:paraId="60546C7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1B61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5439EA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E29F75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1639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56AC82" w14:textId="77777777" w:rsidR="00000000" w:rsidRDefault="00A173A8">
            <w:pPr>
              <w:spacing w:after="100"/>
              <w:jc w:val="right"/>
              <w:rPr>
                <w:rFonts w:eastAsia="Times New Roman"/>
              </w:rPr>
            </w:pPr>
            <w:r>
              <w:rPr>
                <w:rFonts w:eastAsia="Times New Roman"/>
                <w:color w:val="000000"/>
                <w:sz w:val="18"/>
                <w:szCs w:val="18"/>
              </w:rPr>
              <w:t>5,091 </w:t>
            </w:r>
          </w:p>
        </w:tc>
        <w:tc>
          <w:tcPr>
            <w:tcW w:w="0" w:type="auto"/>
            <w:shd w:val="clear" w:color="auto" w:fill="CCEEFF"/>
            <w:tcMar>
              <w:top w:w="30" w:type="dxa"/>
              <w:left w:w="0" w:type="dxa"/>
              <w:bottom w:w="30" w:type="dxa"/>
              <w:right w:w="20" w:type="dxa"/>
            </w:tcMar>
            <w:vAlign w:val="center"/>
            <w:hideMark/>
          </w:tcPr>
          <w:p w14:paraId="3B2505D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5CEFE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66B531F"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E609192" w14:textId="77777777" w:rsidR="00000000" w:rsidRDefault="00A173A8">
            <w:pPr>
              <w:spacing w:after="100"/>
              <w:jc w:val="right"/>
              <w:rPr>
                <w:rFonts w:eastAsia="Times New Roman"/>
              </w:rPr>
            </w:pPr>
          </w:p>
        </w:tc>
      </w:tr>
      <w:tr w:rsidR="00000000" w14:paraId="2D311EB9" w14:textId="77777777">
        <w:tc>
          <w:tcPr>
            <w:tcW w:w="0" w:type="auto"/>
            <w:gridSpan w:val="3"/>
            <w:shd w:val="clear" w:color="auto" w:fill="FFFFFF"/>
            <w:tcMar>
              <w:top w:w="30" w:type="dxa"/>
              <w:left w:w="245" w:type="dxa"/>
              <w:bottom w:w="30" w:type="dxa"/>
              <w:right w:w="20" w:type="dxa"/>
            </w:tcMar>
            <w:vAlign w:val="center"/>
            <w:hideMark/>
          </w:tcPr>
          <w:p w14:paraId="3260D33F" w14:textId="77777777" w:rsidR="00000000" w:rsidRDefault="00A173A8">
            <w:pPr>
              <w:spacing w:after="100"/>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14:paraId="4794F28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829DCD2" w14:textId="77777777" w:rsidR="00000000" w:rsidRDefault="00A173A8">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14:paraId="390936B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84B67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B58BE9C" w14:textId="77777777" w:rsidR="00000000" w:rsidRDefault="00A173A8">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14:paraId="2695362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C051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06CD5D2"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A539A2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E95B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D2D131" w14:textId="77777777" w:rsidR="00000000" w:rsidRDefault="00A173A8">
            <w:pPr>
              <w:spacing w:after="100"/>
              <w:jc w:val="right"/>
              <w:rPr>
                <w:rFonts w:eastAsia="Times New Roman"/>
              </w:rPr>
            </w:pPr>
            <w:r>
              <w:rPr>
                <w:rFonts w:eastAsia="Times New Roman"/>
                <w:color w:val="000000"/>
                <w:sz w:val="18"/>
                <w:szCs w:val="18"/>
              </w:rPr>
              <w:t>1,460 </w:t>
            </w:r>
          </w:p>
        </w:tc>
        <w:tc>
          <w:tcPr>
            <w:tcW w:w="0" w:type="auto"/>
            <w:shd w:val="clear" w:color="auto" w:fill="FFFFFF"/>
            <w:tcMar>
              <w:top w:w="30" w:type="dxa"/>
              <w:left w:w="0" w:type="dxa"/>
              <w:bottom w:w="30" w:type="dxa"/>
              <w:right w:w="20" w:type="dxa"/>
            </w:tcMar>
            <w:vAlign w:val="center"/>
            <w:hideMark/>
          </w:tcPr>
          <w:p w14:paraId="43B02FB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3ADC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8CDFEB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1B16309" w14:textId="77777777" w:rsidR="00000000" w:rsidRDefault="00A173A8">
            <w:pPr>
              <w:spacing w:after="100"/>
              <w:jc w:val="right"/>
              <w:rPr>
                <w:rFonts w:eastAsia="Times New Roman"/>
              </w:rPr>
            </w:pPr>
          </w:p>
        </w:tc>
      </w:tr>
      <w:tr w:rsidR="00000000" w14:paraId="11D6F163" w14:textId="77777777">
        <w:tc>
          <w:tcPr>
            <w:tcW w:w="0" w:type="auto"/>
            <w:gridSpan w:val="3"/>
            <w:shd w:val="clear" w:color="auto" w:fill="CCEEFF"/>
            <w:tcMar>
              <w:top w:w="30" w:type="dxa"/>
              <w:left w:w="20" w:type="dxa"/>
              <w:bottom w:w="30" w:type="dxa"/>
              <w:right w:w="20" w:type="dxa"/>
            </w:tcMar>
            <w:vAlign w:val="center"/>
            <w:hideMark/>
          </w:tcPr>
          <w:p w14:paraId="50745980" w14:textId="77777777" w:rsidR="00000000" w:rsidRDefault="00A173A8">
            <w:pPr>
              <w:spacing w:after="100"/>
              <w:divId w:val="1566263081"/>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1A9A697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0CD4F54" w14:textId="77777777" w:rsidR="00000000" w:rsidRDefault="00A173A8">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14:paraId="4F69137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CC72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10CD81" w14:textId="77777777" w:rsidR="00000000" w:rsidRDefault="00A173A8">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14:paraId="33A8996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16EC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D31C1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EE94B6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DF52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7B37B84" w14:textId="77777777" w:rsidR="00000000" w:rsidRDefault="00A173A8">
            <w:pPr>
              <w:spacing w:after="100"/>
              <w:jc w:val="right"/>
              <w:rPr>
                <w:rFonts w:eastAsia="Times New Roman"/>
              </w:rPr>
            </w:pPr>
            <w:r>
              <w:rPr>
                <w:rFonts w:eastAsia="Times New Roman"/>
                <w:color w:val="000000"/>
                <w:sz w:val="18"/>
                <w:szCs w:val="18"/>
              </w:rPr>
              <w:t>1,344 </w:t>
            </w:r>
          </w:p>
        </w:tc>
        <w:tc>
          <w:tcPr>
            <w:tcW w:w="0" w:type="auto"/>
            <w:shd w:val="clear" w:color="auto" w:fill="CCEEFF"/>
            <w:tcMar>
              <w:top w:w="30" w:type="dxa"/>
              <w:left w:w="0" w:type="dxa"/>
              <w:bottom w:w="30" w:type="dxa"/>
              <w:right w:w="20" w:type="dxa"/>
            </w:tcMar>
            <w:vAlign w:val="center"/>
            <w:hideMark/>
          </w:tcPr>
          <w:p w14:paraId="7B964B5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D476D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E0A952"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9CC68A2" w14:textId="77777777" w:rsidR="00000000" w:rsidRDefault="00A173A8">
            <w:pPr>
              <w:spacing w:after="100"/>
              <w:jc w:val="right"/>
              <w:rPr>
                <w:rFonts w:eastAsia="Times New Roman"/>
              </w:rPr>
            </w:pPr>
          </w:p>
        </w:tc>
      </w:tr>
      <w:tr w:rsidR="00000000" w14:paraId="62B3C112" w14:textId="77777777">
        <w:tc>
          <w:tcPr>
            <w:tcW w:w="0" w:type="auto"/>
            <w:gridSpan w:val="3"/>
            <w:shd w:val="clear" w:color="auto" w:fill="FFFFFF"/>
            <w:tcMar>
              <w:top w:w="30" w:type="dxa"/>
              <w:left w:w="20" w:type="dxa"/>
              <w:bottom w:w="30" w:type="dxa"/>
              <w:right w:w="20" w:type="dxa"/>
            </w:tcMar>
            <w:vAlign w:val="center"/>
            <w:hideMark/>
          </w:tcPr>
          <w:p w14:paraId="7DF710F8" w14:textId="77777777" w:rsidR="00000000" w:rsidRDefault="00A173A8">
            <w:pPr>
              <w:spacing w:after="100"/>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14:paraId="0A52E82B" w14:textId="77777777" w:rsidR="00000000" w:rsidRDefault="00A173A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A166A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EBF4E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1E17E9"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87F3A7"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9B155F"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8FD733"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3F7268"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14C011" w14:textId="77777777" w:rsidR="00000000" w:rsidRDefault="00A173A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194689" w14:textId="77777777" w:rsidR="00000000" w:rsidRDefault="00A173A8">
            <w:pPr>
              <w:spacing w:after="100"/>
              <w:rPr>
                <w:rFonts w:eastAsia="Times New Roman"/>
                <w:sz w:val="20"/>
                <w:szCs w:val="20"/>
              </w:rPr>
            </w:pPr>
          </w:p>
        </w:tc>
      </w:tr>
      <w:tr w:rsidR="00000000" w14:paraId="76C2F70F" w14:textId="77777777">
        <w:tc>
          <w:tcPr>
            <w:tcW w:w="0" w:type="auto"/>
            <w:gridSpan w:val="3"/>
            <w:shd w:val="clear" w:color="auto" w:fill="CCEEFF"/>
            <w:tcMar>
              <w:top w:w="30" w:type="dxa"/>
              <w:left w:w="245" w:type="dxa"/>
              <w:bottom w:w="30" w:type="dxa"/>
              <w:right w:w="20" w:type="dxa"/>
            </w:tcMar>
            <w:vAlign w:val="center"/>
            <w:hideMark/>
          </w:tcPr>
          <w:p w14:paraId="2502BE6F" w14:textId="77777777" w:rsidR="00000000" w:rsidRDefault="00A173A8">
            <w:pPr>
              <w:spacing w:after="100"/>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14:paraId="75507B9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BA16250" w14:textId="77777777" w:rsidR="00000000" w:rsidRDefault="00A173A8">
            <w:pPr>
              <w:spacing w:after="100"/>
              <w:jc w:val="right"/>
              <w:rPr>
                <w:rFonts w:eastAsia="Times New Roman"/>
              </w:rPr>
            </w:pPr>
            <w:r>
              <w:rPr>
                <w:rFonts w:eastAsia="Times New Roman"/>
                <w:color w:val="000000"/>
                <w:sz w:val="18"/>
                <w:szCs w:val="18"/>
              </w:rPr>
              <w:t>17,923 </w:t>
            </w:r>
          </w:p>
        </w:tc>
        <w:tc>
          <w:tcPr>
            <w:tcW w:w="0" w:type="auto"/>
            <w:shd w:val="clear" w:color="auto" w:fill="CCEEFF"/>
            <w:tcMar>
              <w:top w:w="30" w:type="dxa"/>
              <w:left w:w="0" w:type="dxa"/>
              <w:bottom w:w="30" w:type="dxa"/>
              <w:right w:w="20" w:type="dxa"/>
            </w:tcMar>
            <w:vAlign w:val="center"/>
            <w:hideMark/>
          </w:tcPr>
          <w:p w14:paraId="69455B9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D8C45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AF0444C" w14:textId="77777777" w:rsidR="00000000" w:rsidRDefault="00A173A8">
            <w:pPr>
              <w:spacing w:after="100"/>
              <w:jc w:val="right"/>
              <w:rPr>
                <w:rFonts w:eastAsia="Times New Roman"/>
              </w:rPr>
            </w:pPr>
            <w:r>
              <w:rPr>
                <w:rFonts w:eastAsia="Times New Roman"/>
                <w:color w:val="000000"/>
                <w:sz w:val="18"/>
                <w:szCs w:val="18"/>
              </w:rPr>
              <w:t>18,062 </w:t>
            </w:r>
          </w:p>
        </w:tc>
        <w:tc>
          <w:tcPr>
            <w:tcW w:w="0" w:type="auto"/>
            <w:shd w:val="clear" w:color="auto" w:fill="CCEEFF"/>
            <w:tcMar>
              <w:top w:w="30" w:type="dxa"/>
              <w:left w:w="0" w:type="dxa"/>
              <w:bottom w:w="30" w:type="dxa"/>
              <w:right w:w="20" w:type="dxa"/>
            </w:tcMar>
            <w:vAlign w:val="center"/>
            <w:hideMark/>
          </w:tcPr>
          <w:p w14:paraId="5E78EE8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637F7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41EE56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05492F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5E33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C39BF1E" w14:textId="77777777" w:rsidR="00000000" w:rsidRDefault="00A173A8">
            <w:pPr>
              <w:spacing w:after="100"/>
              <w:jc w:val="right"/>
              <w:rPr>
                <w:rFonts w:eastAsia="Times New Roman"/>
              </w:rPr>
            </w:pPr>
            <w:r>
              <w:rPr>
                <w:rFonts w:eastAsia="Times New Roman"/>
                <w:color w:val="000000"/>
                <w:sz w:val="18"/>
                <w:szCs w:val="18"/>
              </w:rPr>
              <w:t>18,062 </w:t>
            </w:r>
          </w:p>
        </w:tc>
        <w:tc>
          <w:tcPr>
            <w:tcW w:w="0" w:type="auto"/>
            <w:shd w:val="clear" w:color="auto" w:fill="CCEEFF"/>
            <w:tcMar>
              <w:top w:w="30" w:type="dxa"/>
              <w:left w:w="0" w:type="dxa"/>
              <w:bottom w:w="30" w:type="dxa"/>
              <w:right w:w="20" w:type="dxa"/>
            </w:tcMar>
            <w:vAlign w:val="center"/>
            <w:hideMark/>
          </w:tcPr>
          <w:p w14:paraId="7E65C67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B20FE"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BAD637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5CD0EF1" w14:textId="77777777" w:rsidR="00000000" w:rsidRDefault="00A173A8">
            <w:pPr>
              <w:spacing w:after="100"/>
              <w:jc w:val="right"/>
              <w:rPr>
                <w:rFonts w:eastAsia="Times New Roman"/>
              </w:rPr>
            </w:pPr>
          </w:p>
        </w:tc>
      </w:tr>
      <w:tr w:rsidR="00000000" w14:paraId="01DE8EF1" w14:textId="77777777">
        <w:tc>
          <w:tcPr>
            <w:tcW w:w="0" w:type="auto"/>
            <w:gridSpan w:val="3"/>
            <w:shd w:val="clear" w:color="auto" w:fill="FFFFFF"/>
            <w:tcMar>
              <w:top w:w="30" w:type="dxa"/>
              <w:left w:w="245" w:type="dxa"/>
              <w:bottom w:w="30" w:type="dxa"/>
              <w:right w:w="20" w:type="dxa"/>
            </w:tcMar>
            <w:vAlign w:val="center"/>
            <w:hideMark/>
          </w:tcPr>
          <w:p w14:paraId="308CED8A" w14:textId="77777777" w:rsidR="00000000" w:rsidRDefault="00A173A8">
            <w:pPr>
              <w:spacing w:after="100"/>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14:paraId="2981A0F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D094220" w14:textId="77777777" w:rsidR="00000000" w:rsidRDefault="00A173A8">
            <w:pPr>
              <w:spacing w:after="100"/>
              <w:jc w:val="right"/>
              <w:rPr>
                <w:rFonts w:eastAsia="Times New Roman"/>
              </w:rPr>
            </w:pPr>
            <w:r>
              <w:rPr>
                <w:rFonts w:eastAsia="Times New Roman"/>
                <w:color w:val="000000"/>
                <w:sz w:val="18"/>
                <w:szCs w:val="18"/>
              </w:rPr>
              <w:t>14,994 </w:t>
            </w:r>
          </w:p>
        </w:tc>
        <w:tc>
          <w:tcPr>
            <w:tcW w:w="0" w:type="auto"/>
            <w:shd w:val="clear" w:color="auto" w:fill="FFFFFF"/>
            <w:tcMar>
              <w:top w:w="30" w:type="dxa"/>
              <w:left w:w="0" w:type="dxa"/>
              <w:bottom w:w="30" w:type="dxa"/>
              <w:right w:w="20" w:type="dxa"/>
            </w:tcMar>
            <w:vAlign w:val="center"/>
            <w:hideMark/>
          </w:tcPr>
          <w:p w14:paraId="173AC56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2E88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E8FC8DB" w14:textId="77777777" w:rsidR="00000000" w:rsidRDefault="00A173A8">
            <w:pPr>
              <w:spacing w:after="100"/>
              <w:jc w:val="right"/>
              <w:rPr>
                <w:rFonts w:eastAsia="Times New Roman"/>
              </w:rPr>
            </w:pPr>
            <w:r>
              <w:rPr>
                <w:rFonts w:eastAsia="Times New Roman"/>
                <w:color w:val="000000"/>
                <w:sz w:val="18"/>
                <w:szCs w:val="18"/>
              </w:rPr>
              <w:t>15,122 </w:t>
            </w:r>
          </w:p>
        </w:tc>
        <w:tc>
          <w:tcPr>
            <w:tcW w:w="0" w:type="auto"/>
            <w:shd w:val="clear" w:color="auto" w:fill="FFFFFF"/>
            <w:tcMar>
              <w:top w:w="30" w:type="dxa"/>
              <w:left w:w="0" w:type="dxa"/>
              <w:bottom w:w="30" w:type="dxa"/>
              <w:right w:w="20" w:type="dxa"/>
            </w:tcMar>
            <w:vAlign w:val="center"/>
            <w:hideMark/>
          </w:tcPr>
          <w:p w14:paraId="0D19416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EF60C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60103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E5A5BE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85866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8258E3" w14:textId="77777777" w:rsidR="00000000" w:rsidRDefault="00A173A8">
            <w:pPr>
              <w:spacing w:after="100"/>
              <w:jc w:val="right"/>
              <w:rPr>
                <w:rFonts w:eastAsia="Times New Roman"/>
              </w:rPr>
            </w:pPr>
            <w:r>
              <w:rPr>
                <w:rFonts w:eastAsia="Times New Roman"/>
                <w:color w:val="000000"/>
                <w:sz w:val="18"/>
                <w:szCs w:val="18"/>
              </w:rPr>
              <w:t>15,122 </w:t>
            </w:r>
          </w:p>
        </w:tc>
        <w:tc>
          <w:tcPr>
            <w:tcW w:w="0" w:type="auto"/>
            <w:shd w:val="clear" w:color="auto" w:fill="FFFFFF"/>
            <w:tcMar>
              <w:top w:w="30" w:type="dxa"/>
              <w:left w:w="0" w:type="dxa"/>
              <w:bottom w:w="30" w:type="dxa"/>
              <w:right w:w="20" w:type="dxa"/>
            </w:tcMar>
            <w:vAlign w:val="center"/>
            <w:hideMark/>
          </w:tcPr>
          <w:p w14:paraId="3F98E84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1420F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741ABE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D6B8BC9" w14:textId="77777777" w:rsidR="00000000" w:rsidRDefault="00A173A8">
            <w:pPr>
              <w:spacing w:after="100"/>
              <w:jc w:val="right"/>
              <w:rPr>
                <w:rFonts w:eastAsia="Times New Roman"/>
              </w:rPr>
            </w:pPr>
          </w:p>
        </w:tc>
      </w:tr>
      <w:tr w:rsidR="00000000" w14:paraId="63B0B841" w14:textId="77777777">
        <w:tc>
          <w:tcPr>
            <w:tcW w:w="0" w:type="auto"/>
            <w:gridSpan w:val="3"/>
            <w:shd w:val="clear" w:color="auto" w:fill="CCEEFF"/>
            <w:tcMar>
              <w:top w:w="30" w:type="dxa"/>
              <w:left w:w="245" w:type="dxa"/>
              <w:bottom w:w="30" w:type="dxa"/>
              <w:right w:w="20" w:type="dxa"/>
            </w:tcMar>
            <w:vAlign w:val="center"/>
            <w:hideMark/>
          </w:tcPr>
          <w:p w14:paraId="521E5CC3" w14:textId="77777777" w:rsidR="00000000" w:rsidRDefault="00A173A8">
            <w:pPr>
              <w:spacing w:after="100"/>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14:paraId="71D97AEF"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3F4E085A" w14:textId="77777777" w:rsidR="00000000" w:rsidRDefault="00A173A8">
            <w:pPr>
              <w:spacing w:after="100"/>
              <w:jc w:val="right"/>
              <w:rPr>
                <w:rFonts w:eastAsia="Times New Roman"/>
              </w:rPr>
            </w:pPr>
            <w:r>
              <w:rPr>
                <w:rFonts w:eastAsia="Times New Roman"/>
                <w:color w:val="000000"/>
                <w:sz w:val="18"/>
                <w:szCs w:val="18"/>
              </w:rPr>
              <w:t>27,219 </w:t>
            </w:r>
          </w:p>
        </w:tc>
        <w:tc>
          <w:tcPr>
            <w:tcW w:w="0" w:type="auto"/>
            <w:shd w:val="clear" w:color="auto" w:fill="CCEEFF"/>
            <w:tcMar>
              <w:top w:w="30" w:type="dxa"/>
              <w:left w:w="0" w:type="dxa"/>
              <w:bottom w:w="30" w:type="dxa"/>
              <w:right w:w="20" w:type="dxa"/>
            </w:tcMar>
            <w:vAlign w:val="center"/>
            <w:hideMark/>
          </w:tcPr>
          <w:p w14:paraId="2FA3435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AD72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8FD4472" w14:textId="77777777" w:rsidR="00000000" w:rsidRDefault="00A173A8">
            <w:pPr>
              <w:spacing w:after="100"/>
              <w:jc w:val="right"/>
              <w:rPr>
                <w:rFonts w:eastAsia="Times New Roman"/>
              </w:rPr>
            </w:pPr>
            <w:r>
              <w:rPr>
                <w:rFonts w:eastAsia="Times New Roman"/>
                <w:color w:val="000000"/>
                <w:sz w:val="18"/>
                <w:szCs w:val="18"/>
              </w:rPr>
              <w:t>27,842 </w:t>
            </w:r>
          </w:p>
        </w:tc>
        <w:tc>
          <w:tcPr>
            <w:tcW w:w="0" w:type="auto"/>
            <w:shd w:val="clear" w:color="auto" w:fill="CCEEFF"/>
            <w:tcMar>
              <w:top w:w="30" w:type="dxa"/>
              <w:left w:w="0" w:type="dxa"/>
              <w:bottom w:w="30" w:type="dxa"/>
              <w:right w:w="20" w:type="dxa"/>
            </w:tcMar>
            <w:vAlign w:val="center"/>
            <w:hideMark/>
          </w:tcPr>
          <w:p w14:paraId="1737894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99532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D182FD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3F07D8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BD0B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C5323A6" w14:textId="77777777" w:rsidR="00000000" w:rsidRDefault="00A173A8">
            <w:pPr>
              <w:spacing w:after="100"/>
              <w:jc w:val="right"/>
              <w:rPr>
                <w:rFonts w:eastAsia="Times New Roman"/>
              </w:rPr>
            </w:pPr>
            <w:r>
              <w:rPr>
                <w:rFonts w:eastAsia="Times New Roman"/>
                <w:color w:val="000000"/>
                <w:sz w:val="18"/>
                <w:szCs w:val="18"/>
              </w:rPr>
              <w:t>27,842 </w:t>
            </w:r>
          </w:p>
        </w:tc>
        <w:tc>
          <w:tcPr>
            <w:tcW w:w="0" w:type="auto"/>
            <w:shd w:val="clear" w:color="auto" w:fill="CCEEFF"/>
            <w:tcMar>
              <w:top w:w="30" w:type="dxa"/>
              <w:left w:w="0" w:type="dxa"/>
              <w:bottom w:w="30" w:type="dxa"/>
              <w:right w:w="20" w:type="dxa"/>
            </w:tcMar>
            <w:vAlign w:val="center"/>
            <w:hideMark/>
          </w:tcPr>
          <w:p w14:paraId="6C8B53F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23C6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74CC8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5FD75A51" w14:textId="77777777" w:rsidR="00000000" w:rsidRDefault="00A173A8">
            <w:pPr>
              <w:spacing w:after="100"/>
              <w:jc w:val="right"/>
              <w:rPr>
                <w:rFonts w:eastAsia="Times New Roman"/>
              </w:rPr>
            </w:pPr>
          </w:p>
        </w:tc>
      </w:tr>
      <w:tr w:rsidR="00000000" w14:paraId="088F5442" w14:textId="77777777">
        <w:tc>
          <w:tcPr>
            <w:tcW w:w="0" w:type="auto"/>
            <w:gridSpan w:val="3"/>
            <w:shd w:val="clear" w:color="auto" w:fill="FFFFFF"/>
            <w:tcMar>
              <w:top w:w="30" w:type="dxa"/>
              <w:left w:w="245" w:type="dxa"/>
              <w:bottom w:w="30" w:type="dxa"/>
              <w:right w:w="20" w:type="dxa"/>
            </w:tcMar>
            <w:vAlign w:val="bottom"/>
            <w:hideMark/>
          </w:tcPr>
          <w:p w14:paraId="0D9985DC" w14:textId="77777777" w:rsidR="00000000" w:rsidRDefault="00A173A8">
            <w:pPr>
              <w:spacing w:after="100"/>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14:paraId="55B1002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5F6044" w14:textId="77777777" w:rsidR="00000000" w:rsidRDefault="00A173A8">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14:paraId="1FFCB5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B83B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898F6C" w14:textId="77777777" w:rsidR="00000000" w:rsidRDefault="00A173A8">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14:paraId="4650110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AB125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EC502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75CCB8B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D84E8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49747A" w14:textId="77777777" w:rsidR="00000000" w:rsidRDefault="00A173A8">
            <w:pPr>
              <w:spacing w:after="100"/>
              <w:jc w:val="right"/>
              <w:rPr>
                <w:rFonts w:eastAsia="Times New Roman"/>
              </w:rPr>
            </w:pPr>
            <w:r>
              <w:rPr>
                <w:rFonts w:eastAsia="Times New Roman"/>
                <w:color w:val="000000"/>
                <w:sz w:val="18"/>
                <w:szCs w:val="18"/>
              </w:rPr>
              <w:t>820 </w:t>
            </w:r>
          </w:p>
        </w:tc>
        <w:tc>
          <w:tcPr>
            <w:tcW w:w="0" w:type="auto"/>
            <w:shd w:val="clear" w:color="auto" w:fill="FFFFFF"/>
            <w:tcMar>
              <w:top w:w="30" w:type="dxa"/>
              <w:left w:w="0" w:type="dxa"/>
              <w:bottom w:w="30" w:type="dxa"/>
              <w:right w:w="20" w:type="dxa"/>
            </w:tcMar>
            <w:vAlign w:val="bottom"/>
            <w:hideMark/>
          </w:tcPr>
          <w:p w14:paraId="3F06213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5445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8AFBF8"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14:paraId="5DF12E70" w14:textId="77777777" w:rsidR="00000000" w:rsidRDefault="00A173A8">
            <w:pPr>
              <w:spacing w:after="100"/>
              <w:jc w:val="right"/>
              <w:rPr>
                <w:rFonts w:eastAsia="Times New Roman"/>
              </w:rPr>
            </w:pPr>
          </w:p>
        </w:tc>
      </w:tr>
      <w:tr w:rsidR="00000000" w14:paraId="539C35D8" w14:textId="77777777">
        <w:tc>
          <w:tcPr>
            <w:tcW w:w="0" w:type="auto"/>
            <w:gridSpan w:val="3"/>
            <w:vAlign w:val="center"/>
            <w:hideMark/>
          </w:tcPr>
          <w:p w14:paraId="7DA02C15" w14:textId="77777777" w:rsidR="00000000" w:rsidRDefault="00A173A8">
            <w:pPr>
              <w:spacing w:after="100"/>
              <w:jc w:val="right"/>
              <w:rPr>
                <w:rFonts w:eastAsia="Times New Roman"/>
                <w:sz w:val="20"/>
                <w:szCs w:val="20"/>
              </w:rPr>
            </w:pPr>
          </w:p>
        </w:tc>
        <w:tc>
          <w:tcPr>
            <w:tcW w:w="0" w:type="auto"/>
            <w:gridSpan w:val="3"/>
            <w:vAlign w:val="center"/>
            <w:hideMark/>
          </w:tcPr>
          <w:p w14:paraId="04C8261B" w14:textId="77777777" w:rsidR="00000000" w:rsidRDefault="00A173A8">
            <w:pPr>
              <w:spacing w:after="100"/>
              <w:rPr>
                <w:rFonts w:eastAsia="Times New Roman"/>
                <w:sz w:val="20"/>
                <w:szCs w:val="20"/>
              </w:rPr>
            </w:pPr>
          </w:p>
        </w:tc>
        <w:tc>
          <w:tcPr>
            <w:tcW w:w="0" w:type="auto"/>
            <w:gridSpan w:val="3"/>
            <w:vAlign w:val="center"/>
            <w:hideMark/>
          </w:tcPr>
          <w:p w14:paraId="0D6A92AF" w14:textId="77777777" w:rsidR="00000000" w:rsidRDefault="00A173A8">
            <w:pPr>
              <w:spacing w:after="100"/>
              <w:rPr>
                <w:rFonts w:eastAsia="Times New Roman"/>
                <w:sz w:val="20"/>
                <w:szCs w:val="20"/>
              </w:rPr>
            </w:pPr>
          </w:p>
        </w:tc>
        <w:tc>
          <w:tcPr>
            <w:tcW w:w="0" w:type="auto"/>
            <w:gridSpan w:val="3"/>
            <w:vAlign w:val="center"/>
            <w:hideMark/>
          </w:tcPr>
          <w:p w14:paraId="4C89F1E1" w14:textId="77777777" w:rsidR="00000000" w:rsidRDefault="00A173A8">
            <w:pPr>
              <w:spacing w:after="100"/>
              <w:rPr>
                <w:rFonts w:eastAsia="Times New Roman"/>
                <w:sz w:val="20"/>
                <w:szCs w:val="20"/>
              </w:rPr>
            </w:pPr>
          </w:p>
        </w:tc>
        <w:tc>
          <w:tcPr>
            <w:tcW w:w="0" w:type="auto"/>
            <w:gridSpan w:val="3"/>
            <w:vAlign w:val="center"/>
            <w:hideMark/>
          </w:tcPr>
          <w:p w14:paraId="63112851" w14:textId="77777777" w:rsidR="00000000" w:rsidRDefault="00A173A8">
            <w:pPr>
              <w:spacing w:after="100"/>
              <w:rPr>
                <w:rFonts w:eastAsia="Times New Roman"/>
                <w:sz w:val="20"/>
                <w:szCs w:val="20"/>
              </w:rPr>
            </w:pPr>
          </w:p>
        </w:tc>
        <w:tc>
          <w:tcPr>
            <w:tcW w:w="0" w:type="auto"/>
            <w:gridSpan w:val="3"/>
            <w:vAlign w:val="center"/>
            <w:hideMark/>
          </w:tcPr>
          <w:p w14:paraId="244494A1" w14:textId="77777777" w:rsidR="00000000" w:rsidRDefault="00A173A8">
            <w:pPr>
              <w:spacing w:after="100"/>
              <w:rPr>
                <w:rFonts w:eastAsia="Times New Roman"/>
                <w:sz w:val="20"/>
                <w:szCs w:val="20"/>
              </w:rPr>
            </w:pPr>
          </w:p>
        </w:tc>
        <w:tc>
          <w:tcPr>
            <w:tcW w:w="0" w:type="auto"/>
            <w:gridSpan w:val="3"/>
            <w:vAlign w:val="center"/>
            <w:hideMark/>
          </w:tcPr>
          <w:p w14:paraId="760698DC" w14:textId="77777777" w:rsidR="00000000" w:rsidRDefault="00A173A8">
            <w:pPr>
              <w:spacing w:after="100"/>
              <w:rPr>
                <w:rFonts w:eastAsia="Times New Roman"/>
                <w:sz w:val="20"/>
                <w:szCs w:val="20"/>
              </w:rPr>
            </w:pPr>
          </w:p>
        </w:tc>
        <w:tc>
          <w:tcPr>
            <w:tcW w:w="0" w:type="auto"/>
            <w:gridSpan w:val="3"/>
            <w:vAlign w:val="center"/>
            <w:hideMark/>
          </w:tcPr>
          <w:p w14:paraId="76232ED9" w14:textId="77777777" w:rsidR="00000000" w:rsidRDefault="00A173A8">
            <w:pPr>
              <w:spacing w:after="100"/>
              <w:rPr>
                <w:rFonts w:eastAsia="Times New Roman"/>
                <w:sz w:val="20"/>
                <w:szCs w:val="20"/>
              </w:rPr>
            </w:pPr>
          </w:p>
        </w:tc>
        <w:tc>
          <w:tcPr>
            <w:tcW w:w="0" w:type="auto"/>
            <w:gridSpan w:val="3"/>
            <w:vAlign w:val="center"/>
            <w:hideMark/>
          </w:tcPr>
          <w:p w14:paraId="3EC92FA5" w14:textId="77777777" w:rsidR="00000000" w:rsidRDefault="00A173A8">
            <w:pPr>
              <w:spacing w:after="100"/>
              <w:rPr>
                <w:rFonts w:eastAsia="Times New Roman"/>
                <w:sz w:val="20"/>
                <w:szCs w:val="20"/>
              </w:rPr>
            </w:pPr>
          </w:p>
        </w:tc>
        <w:tc>
          <w:tcPr>
            <w:tcW w:w="0" w:type="auto"/>
            <w:gridSpan w:val="3"/>
            <w:vAlign w:val="center"/>
            <w:hideMark/>
          </w:tcPr>
          <w:p w14:paraId="4735ADAC" w14:textId="77777777" w:rsidR="00000000" w:rsidRDefault="00A173A8">
            <w:pPr>
              <w:spacing w:after="100"/>
              <w:rPr>
                <w:rFonts w:eastAsia="Times New Roman"/>
                <w:sz w:val="20"/>
                <w:szCs w:val="20"/>
              </w:rPr>
            </w:pPr>
          </w:p>
        </w:tc>
        <w:tc>
          <w:tcPr>
            <w:tcW w:w="0" w:type="auto"/>
            <w:gridSpan w:val="3"/>
            <w:vAlign w:val="center"/>
            <w:hideMark/>
          </w:tcPr>
          <w:p w14:paraId="71548C6D" w14:textId="77777777" w:rsidR="00000000" w:rsidRDefault="00A173A8">
            <w:pPr>
              <w:spacing w:after="100"/>
              <w:rPr>
                <w:rFonts w:eastAsia="Times New Roman"/>
                <w:sz w:val="20"/>
                <w:szCs w:val="20"/>
              </w:rPr>
            </w:pPr>
          </w:p>
        </w:tc>
      </w:tr>
      <w:tr w:rsidR="00000000" w14:paraId="75098F5E" w14:textId="77777777">
        <w:tc>
          <w:tcPr>
            <w:tcW w:w="0" w:type="auto"/>
            <w:gridSpan w:val="3"/>
            <w:shd w:val="clear" w:color="auto" w:fill="CCEEFF"/>
            <w:tcMar>
              <w:top w:w="30" w:type="dxa"/>
              <w:left w:w="245" w:type="dxa"/>
              <w:bottom w:w="30" w:type="dxa"/>
              <w:right w:w="20" w:type="dxa"/>
            </w:tcMar>
            <w:vAlign w:val="center"/>
            <w:hideMark/>
          </w:tcPr>
          <w:p w14:paraId="2ACA903D" w14:textId="77777777" w:rsidR="00000000" w:rsidRDefault="00A173A8">
            <w:pPr>
              <w:spacing w:after="100"/>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14:paraId="380C35CC"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778B172" w14:textId="77777777" w:rsidR="00000000" w:rsidRDefault="00A173A8">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14:paraId="7C3C303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11901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8D24097" w14:textId="77777777" w:rsidR="00000000" w:rsidRDefault="00A173A8">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14:paraId="7504A01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7E9E3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89B58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770598F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CA19E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0510C49" w14:textId="77777777" w:rsidR="00000000" w:rsidRDefault="00A173A8">
            <w:pPr>
              <w:spacing w:after="100"/>
              <w:jc w:val="right"/>
              <w:rPr>
                <w:rFonts w:eastAsia="Times New Roman"/>
              </w:rPr>
            </w:pPr>
            <w:r>
              <w:rPr>
                <w:rFonts w:eastAsia="Times New Roman"/>
                <w:color w:val="000000"/>
                <w:sz w:val="18"/>
                <w:szCs w:val="18"/>
              </w:rPr>
              <w:t>281 </w:t>
            </w:r>
          </w:p>
        </w:tc>
        <w:tc>
          <w:tcPr>
            <w:tcW w:w="0" w:type="auto"/>
            <w:shd w:val="clear" w:color="auto" w:fill="CCEEFF"/>
            <w:tcMar>
              <w:top w:w="30" w:type="dxa"/>
              <w:left w:w="0" w:type="dxa"/>
              <w:bottom w:w="30" w:type="dxa"/>
              <w:right w:w="20" w:type="dxa"/>
            </w:tcMar>
            <w:vAlign w:val="center"/>
            <w:hideMark/>
          </w:tcPr>
          <w:p w14:paraId="2051240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04D1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EFAC48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6551251C" w14:textId="77777777" w:rsidR="00000000" w:rsidRDefault="00A173A8">
            <w:pPr>
              <w:spacing w:after="100"/>
              <w:jc w:val="right"/>
              <w:rPr>
                <w:rFonts w:eastAsia="Times New Roman"/>
              </w:rPr>
            </w:pPr>
          </w:p>
        </w:tc>
      </w:tr>
    </w:tbl>
    <w:p w14:paraId="0ACDEE15" w14:textId="77777777" w:rsidR="00000000" w:rsidRDefault="00A173A8">
      <w:pPr>
        <w:rPr>
          <w:rFonts w:eastAsia="Times New Roman"/>
        </w:rPr>
      </w:pPr>
      <w:r>
        <w:rPr>
          <w:rFonts w:eastAsia="Times New Roman"/>
          <w:color w:val="000000"/>
          <w:sz w:val="20"/>
          <w:szCs w:val="20"/>
        </w:rPr>
        <w:t>__________</w:t>
      </w:r>
    </w:p>
    <w:p w14:paraId="19334285" w14:textId="77777777" w:rsidR="00000000" w:rsidRDefault="00A173A8">
      <w:pPr>
        <w:ind w:hanging="360"/>
        <w:jc w:val="both"/>
        <w:divId w:val="163055340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Other investments include FHLB and Federal Reserve stock. These investments are included in other assets on our consolidated balance sh</w:t>
      </w:r>
      <w:r>
        <w:rPr>
          <w:rFonts w:eastAsia="Times New Roman"/>
          <w:color w:val="000000"/>
          <w:sz w:val="16"/>
          <w:szCs w:val="16"/>
        </w:rPr>
        <w:t>eets.</w:t>
      </w:r>
    </w:p>
    <w:p w14:paraId="5E8BA635" w14:textId="77777777" w:rsidR="00000000" w:rsidRDefault="00A173A8">
      <w:pPr>
        <w:ind w:hanging="360"/>
        <w:jc w:val="both"/>
        <w:divId w:val="207345627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borrowings exclude capital lease obligations.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269E9323" w14:textId="77777777">
        <w:trPr>
          <w:divId w:val="1187868804"/>
          <w:jc w:val="center"/>
        </w:trPr>
        <w:tc>
          <w:tcPr>
            <w:tcW w:w="50" w:type="pct"/>
            <w:vAlign w:val="center"/>
            <w:hideMark/>
          </w:tcPr>
          <w:p w14:paraId="2E741A71" w14:textId="77777777" w:rsidR="00000000" w:rsidRDefault="00A173A8">
            <w:pPr>
              <w:ind w:hanging="360"/>
              <w:jc w:val="both"/>
              <w:rPr>
                <w:rFonts w:eastAsia="Times New Roman"/>
              </w:rPr>
            </w:pPr>
          </w:p>
        </w:tc>
        <w:tc>
          <w:tcPr>
            <w:tcW w:w="1606" w:type="pct"/>
            <w:vAlign w:val="center"/>
            <w:hideMark/>
          </w:tcPr>
          <w:p w14:paraId="37273D10" w14:textId="77777777" w:rsidR="00000000" w:rsidRDefault="00A173A8">
            <w:pPr>
              <w:spacing w:after="100"/>
              <w:rPr>
                <w:rFonts w:eastAsia="Times New Roman"/>
                <w:sz w:val="20"/>
                <w:szCs w:val="20"/>
              </w:rPr>
            </w:pPr>
          </w:p>
        </w:tc>
        <w:tc>
          <w:tcPr>
            <w:tcW w:w="5" w:type="pct"/>
            <w:vAlign w:val="center"/>
            <w:hideMark/>
          </w:tcPr>
          <w:p w14:paraId="775E6ABF" w14:textId="77777777" w:rsidR="00000000" w:rsidRDefault="00A173A8">
            <w:pPr>
              <w:spacing w:after="100"/>
              <w:rPr>
                <w:rFonts w:eastAsia="Times New Roman"/>
                <w:sz w:val="20"/>
                <w:szCs w:val="20"/>
              </w:rPr>
            </w:pPr>
          </w:p>
        </w:tc>
        <w:tc>
          <w:tcPr>
            <w:tcW w:w="50" w:type="pct"/>
            <w:vAlign w:val="center"/>
            <w:hideMark/>
          </w:tcPr>
          <w:p w14:paraId="7C321CB7" w14:textId="77777777" w:rsidR="00000000" w:rsidRDefault="00A173A8">
            <w:pPr>
              <w:spacing w:after="100"/>
              <w:rPr>
                <w:rFonts w:eastAsia="Times New Roman"/>
                <w:sz w:val="20"/>
                <w:szCs w:val="20"/>
              </w:rPr>
            </w:pPr>
          </w:p>
        </w:tc>
        <w:tc>
          <w:tcPr>
            <w:tcW w:w="1614" w:type="pct"/>
            <w:vAlign w:val="center"/>
            <w:hideMark/>
          </w:tcPr>
          <w:p w14:paraId="29849816" w14:textId="77777777" w:rsidR="00000000" w:rsidRDefault="00A173A8">
            <w:pPr>
              <w:spacing w:after="100"/>
              <w:rPr>
                <w:rFonts w:eastAsia="Times New Roman"/>
                <w:sz w:val="20"/>
                <w:szCs w:val="20"/>
              </w:rPr>
            </w:pPr>
          </w:p>
        </w:tc>
        <w:tc>
          <w:tcPr>
            <w:tcW w:w="5" w:type="pct"/>
            <w:vAlign w:val="center"/>
            <w:hideMark/>
          </w:tcPr>
          <w:p w14:paraId="5ECB445B" w14:textId="77777777" w:rsidR="00000000" w:rsidRDefault="00A173A8">
            <w:pPr>
              <w:spacing w:after="100"/>
              <w:rPr>
                <w:rFonts w:eastAsia="Times New Roman"/>
                <w:sz w:val="20"/>
                <w:szCs w:val="20"/>
              </w:rPr>
            </w:pPr>
          </w:p>
        </w:tc>
        <w:tc>
          <w:tcPr>
            <w:tcW w:w="50" w:type="pct"/>
            <w:vAlign w:val="center"/>
            <w:hideMark/>
          </w:tcPr>
          <w:p w14:paraId="370A3206" w14:textId="77777777" w:rsidR="00000000" w:rsidRDefault="00A173A8">
            <w:pPr>
              <w:spacing w:after="100"/>
              <w:rPr>
                <w:rFonts w:eastAsia="Times New Roman"/>
                <w:sz w:val="20"/>
                <w:szCs w:val="20"/>
              </w:rPr>
            </w:pPr>
          </w:p>
        </w:tc>
        <w:tc>
          <w:tcPr>
            <w:tcW w:w="1614" w:type="pct"/>
            <w:vAlign w:val="center"/>
            <w:hideMark/>
          </w:tcPr>
          <w:p w14:paraId="1D2DD74A" w14:textId="77777777" w:rsidR="00000000" w:rsidRDefault="00A173A8">
            <w:pPr>
              <w:spacing w:after="100"/>
              <w:rPr>
                <w:rFonts w:eastAsia="Times New Roman"/>
                <w:sz w:val="20"/>
                <w:szCs w:val="20"/>
              </w:rPr>
            </w:pPr>
          </w:p>
        </w:tc>
        <w:tc>
          <w:tcPr>
            <w:tcW w:w="5" w:type="pct"/>
            <w:vAlign w:val="center"/>
            <w:hideMark/>
          </w:tcPr>
          <w:p w14:paraId="02A8F3D3" w14:textId="77777777" w:rsidR="00000000" w:rsidRDefault="00A173A8">
            <w:pPr>
              <w:spacing w:after="100"/>
              <w:rPr>
                <w:rFonts w:eastAsia="Times New Roman"/>
                <w:sz w:val="20"/>
                <w:szCs w:val="20"/>
              </w:rPr>
            </w:pPr>
          </w:p>
        </w:tc>
      </w:tr>
      <w:tr w:rsidR="00000000" w14:paraId="2E062489" w14:textId="77777777">
        <w:trPr>
          <w:divId w:val="1187868804"/>
          <w:trHeight w:val="300"/>
          <w:jc w:val="center"/>
        </w:trPr>
        <w:tc>
          <w:tcPr>
            <w:tcW w:w="0" w:type="auto"/>
            <w:gridSpan w:val="9"/>
            <w:tcMar>
              <w:top w:w="0" w:type="dxa"/>
              <w:left w:w="20" w:type="dxa"/>
              <w:bottom w:w="0" w:type="dxa"/>
              <w:right w:w="20" w:type="dxa"/>
            </w:tcMar>
            <w:vAlign w:val="center"/>
            <w:hideMark/>
          </w:tcPr>
          <w:p w14:paraId="2C7F6303" w14:textId="77777777" w:rsidR="00000000" w:rsidRDefault="00A173A8">
            <w:pPr>
              <w:spacing w:after="100"/>
              <w:rPr>
                <w:rFonts w:eastAsia="Times New Roman"/>
                <w:sz w:val="20"/>
                <w:szCs w:val="20"/>
              </w:rPr>
            </w:pPr>
          </w:p>
        </w:tc>
      </w:tr>
      <w:tr w:rsidR="00000000" w14:paraId="24460678" w14:textId="77777777">
        <w:trPr>
          <w:divId w:val="1187868804"/>
          <w:jc w:val="center"/>
        </w:trPr>
        <w:tc>
          <w:tcPr>
            <w:tcW w:w="0" w:type="auto"/>
            <w:gridSpan w:val="3"/>
            <w:tcMar>
              <w:top w:w="0" w:type="dxa"/>
              <w:left w:w="20" w:type="dxa"/>
              <w:bottom w:w="0" w:type="dxa"/>
              <w:right w:w="20" w:type="dxa"/>
            </w:tcMar>
            <w:vAlign w:val="center"/>
            <w:hideMark/>
          </w:tcPr>
          <w:p w14:paraId="3CB46952"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39488D" w14:textId="77777777" w:rsidR="00000000" w:rsidRDefault="00A173A8">
            <w:pPr>
              <w:spacing w:after="100"/>
              <w:jc w:val="center"/>
              <w:rPr>
                <w:rFonts w:eastAsia="Times New Roman"/>
              </w:rPr>
            </w:pPr>
            <w:r>
              <w:rPr>
                <w:rFonts w:eastAsia="Times New Roman"/>
                <w:color w:val="000000"/>
                <w:sz w:val="16"/>
                <w:szCs w:val="16"/>
              </w:rPr>
              <w:t>112</w:t>
            </w:r>
          </w:p>
        </w:tc>
        <w:tc>
          <w:tcPr>
            <w:tcW w:w="0" w:type="auto"/>
            <w:gridSpan w:val="3"/>
            <w:tcMar>
              <w:top w:w="30" w:type="dxa"/>
              <w:left w:w="20" w:type="dxa"/>
              <w:bottom w:w="30" w:type="dxa"/>
              <w:right w:w="20" w:type="dxa"/>
            </w:tcMar>
            <w:vAlign w:val="bottom"/>
            <w:hideMark/>
          </w:tcPr>
          <w:p w14:paraId="60A13A4A"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D72FE6A" w14:textId="77777777" w:rsidR="00000000" w:rsidRDefault="00A173A8">
      <w:pPr>
        <w:rPr>
          <w:rFonts w:eastAsia="Times New Roman"/>
        </w:rPr>
      </w:pPr>
      <w:r>
        <w:rPr>
          <w:rFonts w:eastAsia="Times New Roman"/>
        </w:rPr>
        <w:pict w14:anchorId="4CC0E1F4">
          <v:rect id="_x0000_i1137" style="width:0;height:1.5pt" o:hralign="center" o:hrstd="t" o:hr="t" fillcolor="#a0a0a0" stroked="f"/>
        </w:pict>
      </w:r>
    </w:p>
    <w:p w14:paraId="2F96F3AA" w14:textId="77777777" w:rsidR="00000000" w:rsidRDefault="00A173A8">
      <w:pPr>
        <w:jc w:val="both"/>
        <w:divId w:val="1629891610"/>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90A2408" w14:textId="77777777">
        <w:trPr>
          <w:divId w:val="793982025"/>
        </w:trPr>
        <w:tc>
          <w:tcPr>
            <w:tcW w:w="50" w:type="pct"/>
            <w:vAlign w:val="center"/>
            <w:hideMark/>
          </w:tcPr>
          <w:p w14:paraId="4D0E7B5A" w14:textId="77777777" w:rsidR="00000000" w:rsidRDefault="00A173A8">
            <w:pPr>
              <w:jc w:val="both"/>
              <w:rPr>
                <w:rFonts w:eastAsia="Times New Roman"/>
              </w:rPr>
            </w:pPr>
          </w:p>
        </w:tc>
        <w:tc>
          <w:tcPr>
            <w:tcW w:w="4945" w:type="pct"/>
            <w:vAlign w:val="center"/>
            <w:hideMark/>
          </w:tcPr>
          <w:p w14:paraId="3F9F072F" w14:textId="77777777" w:rsidR="00000000" w:rsidRDefault="00A173A8">
            <w:pPr>
              <w:spacing w:after="100"/>
              <w:rPr>
                <w:rFonts w:eastAsia="Times New Roman"/>
                <w:sz w:val="20"/>
                <w:szCs w:val="20"/>
              </w:rPr>
            </w:pPr>
          </w:p>
        </w:tc>
        <w:tc>
          <w:tcPr>
            <w:tcW w:w="5" w:type="pct"/>
            <w:vAlign w:val="center"/>
            <w:hideMark/>
          </w:tcPr>
          <w:p w14:paraId="52E36798" w14:textId="77777777" w:rsidR="00000000" w:rsidRDefault="00A173A8">
            <w:pPr>
              <w:spacing w:after="100"/>
              <w:rPr>
                <w:rFonts w:eastAsia="Times New Roman"/>
                <w:sz w:val="20"/>
                <w:szCs w:val="20"/>
              </w:rPr>
            </w:pPr>
          </w:p>
        </w:tc>
      </w:tr>
      <w:tr w:rsidR="00000000" w14:paraId="6BD474D0" w14:textId="77777777">
        <w:trPr>
          <w:divId w:val="79398202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151543BD" w14:textId="77777777" w:rsidR="00000000" w:rsidRDefault="00A173A8">
            <w:pPr>
              <w:spacing w:after="100"/>
              <w:rPr>
                <w:rFonts w:eastAsia="Times New Roman"/>
              </w:rPr>
            </w:pPr>
            <w:r>
              <w:rPr>
                <w:rFonts w:eastAsia="Times New Roman"/>
                <w:b/>
                <w:bCs/>
                <w:color w:val="000000"/>
                <w:sz w:val="20"/>
                <w:szCs w:val="20"/>
              </w:rPr>
              <w:t>NOTE 12—BUSINESS SEGMENTS AND REVENUE FROM CONTRACTS WITH CUSTOMERS</w:t>
            </w:r>
          </w:p>
        </w:tc>
      </w:tr>
    </w:tbl>
    <w:p w14:paraId="50923085" w14:textId="77777777" w:rsidR="00000000" w:rsidRDefault="00A173A8">
      <w:pPr>
        <w:jc w:val="both"/>
        <w:divId w:val="1807891409"/>
        <w:rPr>
          <w:rFonts w:eastAsia="Times New Roman"/>
        </w:rPr>
      </w:pPr>
      <w:r>
        <w:rPr>
          <w:rFonts w:eastAsia="Times New Roman"/>
          <w:color w:val="000000"/>
          <w:sz w:val="20"/>
          <w:szCs w:val="20"/>
        </w:rPr>
        <w:t>Our principal operations are organized into three major business segments, which are defined primarily based on the products and services provided or the types of customers served: Credit Card, Consumer Banking and Commercial Banking. The operations of acq</w:t>
      </w:r>
      <w:r>
        <w:rPr>
          <w:rFonts w:eastAsia="Times New Roman"/>
          <w:color w:val="000000"/>
          <w:sz w:val="20"/>
          <w:szCs w:val="20"/>
        </w:rPr>
        <w:t>uired businesses have been integrated into or managed as a part of our existing business segments. Certain activities that are not part of a segment, such as management of our corporate investment portfolio, asset/liability management by our centralized Co</w:t>
      </w:r>
      <w:r>
        <w:rPr>
          <w:rFonts w:eastAsia="Times New Roman"/>
          <w:color w:val="000000"/>
          <w:sz w:val="20"/>
          <w:szCs w:val="20"/>
        </w:rPr>
        <w:t>rporate Treasury group and residual tax expense or benefit to arrive at the consolidated effective tax rate that is not assessed to our primary business segments, are included in the Other category.</w:t>
      </w:r>
    </w:p>
    <w:p w14:paraId="135C39F5" w14:textId="77777777" w:rsidR="00000000" w:rsidRDefault="00A173A8">
      <w:pPr>
        <w:divId w:val="1659965929"/>
        <w:rPr>
          <w:rFonts w:eastAsia="Times New Roman"/>
        </w:rPr>
      </w:pPr>
      <w:r>
        <w:rPr>
          <w:rFonts w:eastAsia="Times New Roman"/>
          <w:b/>
          <w:bCs/>
          <w:color w:val="000000"/>
          <w:sz w:val="20"/>
          <w:szCs w:val="20"/>
        </w:rPr>
        <w:t>Basis of Presentation</w:t>
      </w:r>
    </w:p>
    <w:p w14:paraId="54282519" w14:textId="77777777" w:rsidR="00000000" w:rsidRDefault="00A173A8">
      <w:pPr>
        <w:jc w:val="both"/>
        <w:divId w:val="892272850"/>
        <w:rPr>
          <w:rFonts w:eastAsia="Times New Roman"/>
        </w:rPr>
      </w:pPr>
      <w:r>
        <w:rPr>
          <w:rFonts w:eastAsia="Times New Roman"/>
          <w:color w:val="000000"/>
          <w:sz w:val="20"/>
          <w:szCs w:val="20"/>
        </w:rPr>
        <w:t>We report the results of each of ou</w:t>
      </w:r>
      <w:r>
        <w:rPr>
          <w:rFonts w:eastAsia="Times New Roman"/>
          <w:color w:val="000000"/>
          <w:sz w:val="20"/>
          <w:szCs w:val="20"/>
        </w:rPr>
        <w:t xml:space="preserve">r business segments on a continuing operations basis. The results of our individual businesses reflect the manner in which management evaluates performance and makes decisions about funding our operations and allocating resources. </w:t>
      </w:r>
    </w:p>
    <w:p w14:paraId="232419A8" w14:textId="77777777" w:rsidR="00000000" w:rsidRDefault="00A173A8">
      <w:pPr>
        <w:divId w:val="1317529"/>
        <w:rPr>
          <w:rFonts w:eastAsia="Times New Roman"/>
        </w:rPr>
      </w:pPr>
      <w:r>
        <w:rPr>
          <w:rFonts w:eastAsia="Times New Roman"/>
          <w:b/>
          <w:bCs/>
          <w:color w:val="000000"/>
          <w:sz w:val="20"/>
          <w:szCs w:val="20"/>
        </w:rPr>
        <w:t>Business Segment Reporti</w:t>
      </w:r>
      <w:r>
        <w:rPr>
          <w:rFonts w:eastAsia="Times New Roman"/>
          <w:b/>
          <w:bCs/>
          <w:color w:val="000000"/>
          <w:sz w:val="20"/>
          <w:szCs w:val="20"/>
        </w:rPr>
        <w:t>ng Methodology</w:t>
      </w:r>
    </w:p>
    <w:p w14:paraId="3AF91940" w14:textId="77777777" w:rsidR="00000000" w:rsidRDefault="00A173A8">
      <w:pPr>
        <w:jc w:val="both"/>
        <w:divId w:val="1885604206"/>
        <w:rPr>
          <w:rFonts w:eastAsia="Times New Roman"/>
        </w:rPr>
      </w:pPr>
      <w:r>
        <w:rPr>
          <w:rFonts w:eastAsia="Times New Roman"/>
          <w:color w:val="000000"/>
          <w:sz w:val="20"/>
          <w:szCs w:val="20"/>
        </w:rPr>
        <w:t>The results of our business segments are intended to present each segment as if it were a stand-alone business. Our internal management and reporting process used to derive our segment results employs various allocation methodologies, includ</w:t>
      </w:r>
      <w:r>
        <w:rPr>
          <w:rFonts w:eastAsia="Times New Roman"/>
          <w:color w:val="000000"/>
          <w:sz w:val="20"/>
          <w:szCs w:val="20"/>
        </w:rPr>
        <w:t>ing funds transfer pricing, to assign certain balance sheet assets, deposits and other liabilities and their related revenue and expenses directly or indirectly attributable to each business segment. Our funds transfer pricing process provides a funds cred</w:t>
      </w:r>
      <w:r>
        <w:rPr>
          <w:rFonts w:eastAsia="Times New Roman"/>
          <w:color w:val="000000"/>
          <w:sz w:val="20"/>
          <w:szCs w:val="20"/>
        </w:rPr>
        <w:t>it for sources of funds, such as deposits generated by our Consumer Banking and Commercial Banking businesses, and a funds charge for the use of funds by each segment. Due to the integrated nature of our business segments, estimates and judgments have been</w:t>
      </w:r>
      <w:r>
        <w:rPr>
          <w:rFonts w:eastAsia="Times New Roman"/>
          <w:color w:val="000000"/>
          <w:sz w:val="20"/>
          <w:szCs w:val="20"/>
        </w:rPr>
        <w:t xml:space="preserve"> made in allocating certain revenue and expense items. Transactions between segments are based on specific criteria or approximate third-party rates. We regularly assess the assumptions, methodologies and reporting classifications used for segment reportin</w:t>
      </w:r>
      <w:r>
        <w:rPr>
          <w:rFonts w:eastAsia="Times New Roman"/>
          <w:color w:val="000000"/>
          <w:sz w:val="20"/>
          <w:szCs w:val="20"/>
        </w:rPr>
        <w:t>g, which may result in the implementation of refinements or changes in future periods. We provide additional information on the allocation methodologies used to derive our business segment results in “Note 17—Business Segments and Revenue from Contracts wi</w:t>
      </w:r>
      <w:r>
        <w:rPr>
          <w:rFonts w:eastAsia="Times New Roman"/>
          <w:color w:val="000000"/>
          <w:sz w:val="20"/>
          <w:szCs w:val="20"/>
        </w:rPr>
        <w:t>th Customers” in our 2021 Form 10-K.</w:t>
      </w:r>
    </w:p>
    <w:p w14:paraId="014A7037" w14:textId="77777777" w:rsidR="00000000" w:rsidRDefault="00A173A8">
      <w:pPr>
        <w:divId w:val="1178084688"/>
        <w:rPr>
          <w:rFonts w:eastAsia="Times New Roman"/>
        </w:rPr>
      </w:pPr>
      <w:r>
        <w:rPr>
          <w:rFonts w:eastAsia="Times New Roman"/>
          <w:b/>
          <w:bCs/>
          <w:color w:val="000000"/>
          <w:sz w:val="20"/>
          <w:szCs w:val="20"/>
        </w:rPr>
        <w:t>Segment Results and Reconciliation</w:t>
      </w:r>
    </w:p>
    <w:p w14:paraId="1FBF97CB" w14:textId="77777777" w:rsidR="00000000" w:rsidRDefault="00A173A8">
      <w:pPr>
        <w:jc w:val="both"/>
        <w:divId w:val="104615993"/>
        <w:rPr>
          <w:rFonts w:eastAsia="Times New Roman"/>
        </w:rPr>
      </w:pPr>
      <w:r>
        <w:rPr>
          <w:rFonts w:eastAsia="Times New Roman"/>
          <w:color w:val="000000"/>
          <w:sz w:val="20"/>
          <w:szCs w:val="20"/>
        </w:rPr>
        <w:t>We may periodically change our business segments or reclassify business segment results based on modifications to our management reporting methodologies or changes in organizational al</w:t>
      </w:r>
      <w:r>
        <w:rPr>
          <w:rFonts w:eastAsia="Times New Roman"/>
          <w:color w:val="000000"/>
          <w:sz w:val="20"/>
          <w:szCs w:val="20"/>
        </w:rPr>
        <w:t>ignment. The following table presents our business segment results for the three and six months ended June 30, 2022 and 2021, selected balance sheet data as of June 30, 2022 and 2021, and a reconciliation of our total business segment results to our report</w:t>
      </w:r>
      <w:r>
        <w:rPr>
          <w:rFonts w:eastAsia="Times New Roman"/>
          <w:color w:val="000000"/>
          <w:sz w:val="20"/>
          <w:szCs w:val="20"/>
        </w:rPr>
        <w:t>ed consolidated income from continuing operations, loans held for investment and deposits.</w:t>
      </w:r>
    </w:p>
    <w:p w14:paraId="142F07DD" w14:textId="77777777" w:rsidR="00000000" w:rsidRDefault="00A173A8">
      <w:pPr>
        <w:divId w:val="1828010626"/>
        <w:rPr>
          <w:rFonts w:eastAsia="Times New Roman"/>
        </w:rPr>
      </w:pPr>
      <w:r>
        <w:rPr>
          <w:rFonts w:eastAsia="Times New Roman"/>
          <w:b/>
          <w:bCs/>
          <w:color w:val="000000"/>
          <w:sz w:val="18"/>
          <w:szCs w:val="18"/>
        </w:rPr>
        <w:t>Table 12.1: Segment Results and Reconciliation</w:t>
      </w: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14:paraId="770359A0" w14:textId="77777777">
        <w:trPr>
          <w:divId w:val="1828010626"/>
        </w:trPr>
        <w:tc>
          <w:tcPr>
            <w:tcW w:w="50" w:type="pct"/>
            <w:vAlign w:val="center"/>
            <w:hideMark/>
          </w:tcPr>
          <w:p w14:paraId="6B4D6257" w14:textId="77777777" w:rsidR="00000000" w:rsidRDefault="00A173A8">
            <w:pPr>
              <w:rPr>
                <w:rFonts w:eastAsia="Times New Roman"/>
              </w:rPr>
            </w:pPr>
          </w:p>
        </w:tc>
        <w:tc>
          <w:tcPr>
            <w:tcW w:w="2280" w:type="pct"/>
            <w:vAlign w:val="center"/>
            <w:hideMark/>
          </w:tcPr>
          <w:p w14:paraId="12C29CE1" w14:textId="77777777" w:rsidR="00000000" w:rsidRDefault="00A173A8">
            <w:pPr>
              <w:spacing w:after="100"/>
              <w:rPr>
                <w:rFonts w:eastAsia="Times New Roman"/>
                <w:sz w:val="20"/>
                <w:szCs w:val="20"/>
              </w:rPr>
            </w:pPr>
          </w:p>
        </w:tc>
        <w:tc>
          <w:tcPr>
            <w:tcW w:w="5" w:type="pct"/>
            <w:vAlign w:val="center"/>
            <w:hideMark/>
          </w:tcPr>
          <w:p w14:paraId="4F0929F2" w14:textId="77777777" w:rsidR="00000000" w:rsidRDefault="00A173A8">
            <w:pPr>
              <w:spacing w:after="100"/>
              <w:rPr>
                <w:rFonts w:eastAsia="Times New Roman"/>
                <w:sz w:val="20"/>
                <w:szCs w:val="20"/>
              </w:rPr>
            </w:pPr>
          </w:p>
        </w:tc>
        <w:tc>
          <w:tcPr>
            <w:tcW w:w="5" w:type="pct"/>
            <w:vAlign w:val="center"/>
            <w:hideMark/>
          </w:tcPr>
          <w:p w14:paraId="2D9B0A53" w14:textId="77777777" w:rsidR="00000000" w:rsidRDefault="00A173A8">
            <w:pPr>
              <w:spacing w:after="100"/>
              <w:rPr>
                <w:rFonts w:eastAsia="Times New Roman"/>
                <w:sz w:val="20"/>
                <w:szCs w:val="20"/>
              </w:rPr>
            </w:pPr>
          </w:p>
        </w:tc>
        <w:tc>
          <w:tcPr>
            <w:tcW w:w="26" w:type="pct"/>
            <w:vAlign w:val="center"/>
            <w:hideMark/>
          </w:tcPr>
          <w:p w14:paraId="2FE7CAB9" w14:textId="77777777" w:rsidR="00000000" w:rsidRDefault="00A173A8">
            <w:pPr>
              <w:spacing w:after="100"/>
              <w:rPr>
                <w:rFonts w:eastAsia="Times New Roman"/>
                <w:sz w:val="20"/>
                <w:szCs w:val="20"/>
              </w:rPr>
            </w:pPr>
          </w:p>
        </w:tc>
        <w:tc>
          <w:tcPr>
            <w:tcW w:w="5" w:type="pct"/>
            <w:vAlign w:val="center"/>
            <w:hideMark/>
          </w:tcPr>
          <w:p w14:paraId="6A58FA5D" w14:textId="77777777" w:rsidR="00000000" w:rsidRDefault="00A173A8">
            <w:pPr>
              <w:spacing w:after="100"/>
              <w:rPr>
                <w:rFonts w:eastAsia="Times New Roman"/>
                <w:sz w:val="20"/>
                <w:szCs w:val="20"/>
              </w:rPr>
            </w:pPr>
          </w:p>
        </w:tc>
        <w:tc>
          <w:tcPr>
            <w:tcW w:w="50" w:type="pct"/>
            <w:vAlign w:val="center"/>
            <w:hideMark/>
          </w:tcPr>
          <w:p w14:paraId="7289B5D9" w14:textId="77777777" w:rsidR="00000000" w:rsidRDefault="00A173A8">
            <w:pPr>
              <w:spacing w:after="100"/>
              <w:rPr>
                <w:rFonts w:eastAsia="Times New Roman"/>
                <w:sz w:val="20"/>
                <w:szCs w:val="20"/>
              </w:rPr>
            </w:pPr>
          </w:p>
        </w:tc>
        <w:tc>
          <w:tcPr>
            <w:tcW w:w="442" w:type="pct"/>
            <w:vAlign w:val="center"/>
            <w:hideMark/>
          </w:tcPr>
          <w:p w14:paraId="28122D89" w14:textId="77777777" w:rsidR="00000000" w:rsidRDefault="00A173A8">
            <w:pPr>
              <w:spacing w:after="100"/>
              <w:rPr>
                <w:rFonts w:eastAsia="Times New Roman"/>
                <w:sz w:val="20"/>
                <w:szCs w:val="20"/>
              </w:rPr>
            </w:pPr>
          </w:p>
        </w:tc>
        <w:tc>
          <w:tcPr>
            <w:tcW w:w="5" w:type="pct"/>
            <w:vAlign w:val="center"/>
            <w:hideMark/>
          </w:tcPr>
          <w:p w14:paraId="5C69A33B" w14:textId="77777777" w:rsidR="00000000" w:rsidRDefault="00A173A8">
            <w:pPr>
              <w:spacing w:after="100"/>
              <w:rPr>
                <w:rFonts w:eastAsia="Times New Roman"/>
                <w:sz w:val="20"/>
                <w:szCs w:val="20"/>
              </w:rPr>
            </w:pPr>
          </w:p>
        </w:tc>
        <w:tc>
          <w:tcPr>
            <w:tcW w:w="5" w:type="pct"/>
            <w:vAlign w:val="center"/>
            <w:hideMark/>
          </w:tcPr>
          <w:p w14:paraId="5BA7ECB1" w14:textId="77777777" w:rsidR="00000000" w:rsidRDefault="00A173A8">
            <w:pPr>
              <w:spacing w:after="100"/>
              <w:rPr>
                <w:rFonts w:eastAsia="Times New Roman"/>
                <w:sz w:val="20"/>
                <w:szCs w:val="20"/>
              </w:rPr>
            </w:pPr>
          </w:p>
        </w:tc>
        <w:tc>
          <w:tcPr>
            <w:tcW w:w="26" w:type="pct"/>
            <w:vAlign w:val="center"/>
            <w:hideMark/>
          </w:tcPr>
          <w:p w14:paraId="54302F78" w14:textId="77777777" w:rsidR="00000000" w:rsidRDefault="00A173A8">
            <w:pPr>
              <w:spacing w:after="100"/>
              <w:rPr>
                <w:rFonts w:eastAsia="Times New Roman"/>
                <w:sz w:val="20"/>
                <w:szCs w:val="20"/>
              </w:rPr>
            </w:pPr>
          </w:p>
        </w:tc>
        <w:tc>
          <w:tcPr>
            <w:tcW w:w="5" w:type="pct"/>
            <w:vAlign w:val="center"/>
            <w:hideMark/>
          </w:tcPr>
          <w:p w14:paraId="579A0162" w14:textId="77777777" w:rsidR="00000000" w:rsidRDefault="00A173A8">
            <w:pPr>
              <w:spacing w:after="100"/>
              <w:rPr>
                <w:rFonts w:eastAsia="Times New Roman"/>
                <w:sz w:val="20"/>
                <w:szCs w:val="20"/>
              </w:rPr>
            </w:pPr>
          </w:p>
        </w:tc>
        <w:tc>
          <w:tcPr>
            <w:tcW w:w="50" w:type="pct"/>
            <w:vAlign w:val="center"/>
            <w:hideMark/>
          </w:tcPr>
          <w:p w14:paraId="4A33F0EE" w14:textId="77777777" w:rsidR="00000000" w:rsidRDefault="00A173A8">
            <w:pPr>
              <w:spacing w:after="100"/>
              <w:rPr>
                <w:rFonts w:eastAsia="Times New Roman"/>
                <w:sz w:val="20"/>
                <w:szCs w:val="20"/>
              </w:rPr>
            </w:pPr>
          </w:p>
        </w:tc>
        <w:tc>
          <w:tcPr>
            <w:tcW w:w="435" w:type="pct"/>
            <w:vAlign w:val="center"/>
            <w:hideMark/>
          </w:tcPr>
          <w:p w14:paraId="45AEBC9E" w14:textId="77777777" w:rsidR="00000000" w:rsidRDefault="00A173A8">
            <w:pPr>
              <w:spacing w:after="100"/>
              <w:rPr>
                <w:rFonts w:eastAsia="Times New Roman"/>
                <w:sz w:val="20"/>
                <w:szCs w:val="20"/>
              </w:rPr>
            </w:pPr>
          </w:p>
        </w:tc>
        <w:tc>
          <w:tcPr>
            <w:tcW w:w="5" w:type="pct"/>
            <w:vAlign w:val="center"/>
            <w:hideMark/>
          </w:tcPr>
          <w:p w14:paraId="5B86D14A" w14:textId="77777777" w:rsidR="00000000" w:rsidRDefault="00A173A8">
            <w:pPr>
              <w:spacing w:after="100"/>
              <w:rPr>
                <w:rFonts w:eastAsia="Times New Roman"/>
                <w:sz w:val="20"/>
                <w:szCs w:val="20"/>
              </w:rPr>
            </w:pPr>
          </w:p>
        </w:tc>
        <w:tc>
          <w:tcPr>
            <w:tcW w:w="5" w:type="pct"/>
            <w:vAlign w:val="center"/>
            <w:hideMark/>
          </w:tcPr>
          <w:p w14:paraId="5E17E031" w14:textId="77777777" w:rsidR="00000000" w:rsidRDefault="00A173A8">
            <w:pPr>
              <w:spacing w:after="100"/>
              <w:rPr>
                <w:rFonts w:eastAsia="Times New Roman"/>
                <w:sz w:val="20"/>
                <w:szCs w:val="20"/>
              </w:rPr>
            </w:pPr>
          </w:p>
        </w:tc>
        <w:tc>
          <w:tcPr>
            <w:tcW w:w="26" w:type="pct"/>
            <w:vAlign w:val="center"/>
            <w:hideMark/>
          </w:tcPr>
          <w:p w14:paraId="5500AF9C" w14:textId="77777777" w:rsidR="00000000" w:rsidRDefault="00A173A8">
            <w:pPr>
              <w:spacing w:after="100"/>
              <w:rPr>
                <w:rFonts w:eastAsia="Times New Roman"/>
                <w:sz w:val="20"/>
                <w:szCs w:val="20"/>
              </w:rPr>
            </w:pPr>
          </w:p>
        </w:tc>
        <w:tc>
          <w:tcPr>
            <w:tcW w:w="5" w:type="pct"/>
            <w:vAlign w:val="center"/>
            <w:hideMark/>
          </w:tcPr>
          <w:p w14:paraId="165DDE86" w14:textId="77777777" w:rsidR="00000000" w:rsidRDefault="00A173A8">
            <w:pPr>
              <w:spacing w:after="100"/>
              <w:rPr>
                <w:rFonts w:eastAsia="Times New Roman"/>
                <w:sz w:val="20"/>
                <w:szCs w:val="20"/>
              </w:rPr>
            </w:pPr>
          </w:p>
        </w:tc>
        <w:tc>
          <w:tcPr>
            <w:tcW w:w="50" w:type="pct"/>
            <w:vAlign w:val="center"/>
            <w:hideMark/>
          </w:tcPr>
          <w:p w14:paraId="2A2E6EE8" w14:textId="77777777" w:rsidR="00000000" w:rsidRDefault="00A173A8">
            <w:pPr>
              <w:spacing w:after="100"/>
              <w:rPr>
                <w:rFonts w:eastAsia="Times New Roman"/>
                <w:sz w:val="20"/>
                <w:szCs w:val="20"/>
              </w:rPr>
            </w:pPr>
          </w:p>
        </w:tc>
        <w:tc>
          <w:tcPr>
            <w:tcW w:w="472" w:type="pct"/>
            <w:vAlign w:val="center"/>
            <w:hideMark/>
          </w:tcPr>
          <w:p w14:paraId="526184E9" w14:textId="77777777" w:rsidR="00000000" w:rsidRDefault="00A173A8">
            <w:pPr>
              <w:spacing w:after="100"/>
              <w:rPr>
                <w:rFonts w:eastAsia="Times New Roman"/>
                <w:sz w:val="20"/>
                <w:szCs w:val="20"/>
              </w:rPr>
            </w:pPr>
          </w:p>
        </w:tc>
        <w:tc>
          <w:tcPr>
            <w:tcW w:w="5" w:type="pct"/>
            <w:vAlign w:val="center"/>
            <w:hideMark/>
          </w:tcPr>
          <w:p w14:paraId="0234B531" w14:textId="77777777" w:rsidR="00000000" w:rsidRDefault="00A173A8">
            <w:pPr>
              <w:spacing w:after="100"/>
              <w:rPr>
                <w:rFonts w:eastAsia="Times New Roman"/>
                <w:sz w:val="20"/>
                <w:szCs w:val="20"/>
              </w:rPr>
            </w:pPr>
          </w:p>
        </w:tc>
        <w:tc>
          <w:tcPr>
            <w:tcW w:w="5" w:type="pct"/>
            <w:vAlign w:val="center"/>
            <w:hideMark/>
          </w:tcPr>
          <w:p w14:paraId="3B17C469" w14:textId="77777777" w:rsidR="00000000" w:rsidRDefault="00A173A8">
            <w:pPr>
              <w:spacing w:after="100"/>
              <w:rPr>
                <w:rFonts w:eastAsia="Times New Roman"/>
                <w:sz w:val="20"/>
                <w:szCs w:val="20"/>
              </w:rPr>
            </w:pPr>
          </w:p>
        </w:tc>
        <w:tc>
          <w:tcPr>
            <w:tcW w:w="26" w:type="pct"/>
            <w:vAlign w:val="center"/>
            <w:hideMark/>
          </w:tcPr>
          <w:p w14:paraId="19D6BF0D" w14:textId="77777777" w:rsidR="00000000" w:rsidRDefault="00A173A8">
            <w:pPr>
              <w:spacing w:after="100"/>
              <w:rPr>
                <w:rFonts w:eastAsia="Times New Roman"/>
                <w:sz w:val="20"/>
                <w:szCs w:val="20"/>
              </w:rPr>
            </w:pPr>
          </w:p>
        </w:tc>
        <w:tc>
          <w:tcPr>
            <w:tcW w:w="5" w:type="pct"/>
            <w:vAlign w:val="center"/>
            <w:hideMark/>
          </w:tcPr>
          <w:p w14:paraId="5E6C041A" w14:textId="77777777" w:rsidR="00000000" w:rsidRDefault="00A173A8">
            <w:pPr>
              <w:spacing w:after="100"/>
              <w:rPr>
                <w:rFonts w:eastAsia="Times New Roman"/>
                <w:sz w:val="20"/>
                <w:szCs w:val="20"/>
              </w:rPr>
            </w:pPr>
          </w:p>
        </w:tc>
        <w:tc>
          <w:tcPr>
            <w:tcW w:w="50" w:type="pct"/>
            <w:vAlign w:val="center"/>
            <w:hideMark/>
          </w:tcPr>
          <w:p w14:paraId="70E643FE" w14:textId="77777777" w:rsidR="00000000" w:rsidRDefault="00A173A8">
            <w:pPr>
              <w:spacing w:after="100"/>
              <w:rPr>
                <w:rFonts w:eastAsia="Times New Roman"/>
                <w:sz w:val="20"/>
                <w:szCs w:val="20"/>
              </w:rPr>
            </w:pPr>
          </w:p>
        </w:tc>
        <w:tc>
          <w:tcPr>
            <w:tcW w:w="413" w:type="pct"/>
            <w:vAlign w:val="center"/>
            <w:hideMark/>
          </w:tcPr>
          <w:p w14:paraId="4CCB4C5A" w14:textId="77777777" w:rsidR="00000000" w:rsidRDefault="00A173A8">
            <w:pPr>
              <w:spacing w:after="100"/>
              <w:rPr>
                <w:rFonts w:eastAsia="Times New Roman"/>
                <w:sz w:val="20"/>
                <w:szCs w:val="20"/>
              </w:rPr>
            </w:pPr>
          </w:p>
        </w:tc>
        <w:tc>
          <w:tcPr>
            <w:tcW w:w="5" w:type="pct"/>
            <w:vAlign w:val="center"/>
            <w:hideMark/>
          </w:tcPr>
          <w:p w14:paraId="2E3CF3E2" w14:textId="77777777" w:rsidR="00000000" w:rsidRDefault="00A173A8">
            <w:pPr>
              <w:spacing w:after="100"/>
              <w:rPr>
                <w:rFonts w:eastAsia="Times New Roman"/>
                <w:sz w:val="20"/>
                <w:szCs w:val="20"/>
              </w:rPr>
            </w:pPr>
          </w:p>
        </w:tc>
        <w:tc>
          <w:tcPr>
            <w:tcW w:w="5" w:type="pct"/>
            <w:vAlign w:val="center"/>
            <w:hideMark/>
          </w:tcPr>
          <w:p w14:paraId="7365011C" w14:textId="77777777" w:rsidR="00000000" w:rsidRDefault="00A173A8">
            <w:pPr>
              <w:spacing w:after="100"/>
              <w:rPr>
                <w:rFonts w:eastAsia="Times New Roman"/>
                <w:sz w:val="20"/>
                <w:szCs w:val="20"/>
              </w:rPr>
            </w:pPr>
          </w:p>
        </w:tc>
        <w:tc>
          <w:tcPr>
            <w:tcW w:w="26" w:type="pct"/>
            <w:vAlign w:val="center"/>
            <w:hideMark/>
          </w:tcPr>
          <w:p w14:paraId="04E8917A" w14:textId="77777777" w:rsidR="00000000" w:rsidRDefault="00A173A8">
            <w:pPr>
              <w:spacing w:after="100"/>
              <w:rPr>
                <w:rFonts w:eastAsia="Times New Roman"/>
                <w:sz w:val="20"/>
                <w:szCs w:val="20"/>
              </w:rPr>
            </w:pPr>
          </w:p>
        </w:tc>
        <w:tc>
          <w:tcPr>
            <w:tcW w:w="5" w:type="pct"/>
            <w:vAlign w:val="center"/>
            <w:hideMark/>
          </w:tcPr>
          <w:p w14:paraId="6921A400" w14:textId="77777777" w:rsidR="00000000" w:rsidRDefault="00A173A8">
            <w:pPr>
              <w:spacing w:after="100"/>
              <w:rPr>
                <w:rFonts w:eastAsia="Times New Roman"/>
                <w:sz w:val="20"/>
                <w:szCs w:val="20"/>
              </w:rPr>
            </w:pPr>
          </w:p>
        </w:tc>
        <w:tc>
          <w:tcPr>
            <w:tcW w:w="50" w:type="pct"/>
            <w:vAlign w:val="center"/>
            <w:hideMark/>
          </w:tcPr>
          <w:p w14:paraId="4A9D740F" w14:textId="77777777" w:rsidR="00000000" w:rsidRDefault="00A173A8">
            <w:pPr>
              <w:spacing w:after="100"/>
              <w:rPr>
                <w:rFonts w:eastAsia="Times New Roman"/>
                <w:sz w:val="20"/>
                <w:szCs w:val="20"/>
              </w:rPr>
            </w:pPr>
          </w:p>
        </w:tc>
        <w:tc>
          <w:tcPr>
            <w:tcW w:w="442" w:type="pct"/>
            <w:vAlign w:val="center"/>
            <w:hideMark/>
          </w:tcPr>
          <w:p w14:paraId="157A380C" w14:textId="77777777" w:rsidR="00000000" w:rsidRDefault="00A173A8">
            <w:pPr>
              <w:spacing w:after="100"/>
              <w:rPr>
                <w:rFonts w:eastAsia="Times New Roman"/>
                <w:sz w:val="20"/>
                <w:szCs w:val="20"/>
              </w:rPr>
            </w:pPr>
          </w:p>
        </w:tc>
        <w:tc>
          <w:tcPr>
            <w:tcW w:w="5" w:type="pct"/>
            <w:vAlign w:val="center"/>
            <w:hideMark/>
          </w:tcPr>
          <w:p w14:paraId="0CC4DA9C" w14:textId="77777777" w:rsidR="00000000" w:rsidRDefault="00A173A8">
            <w:pPr>
              <w:spacing w:after="100"/>
              <w:rPr>
                <w:rFonts w:eastAsia="Times New Roman"/>
                <w:sz w:val="20"/>
                <w:szCs w:val="20"/>
              </w:rPr>
            </w:pPr>
          </w:p>
        </w:tc>
      </w:tr>
      <w:tr w:rsidR="00000000" w14:paraId="1AE16D72" w14:textId="77777777">
        <w:trPr>
          <w:divId w:val="1828010626"/>
        </w:trPr>
        <w:tc>
          <w:tcPr>
            <w:tcW w:w="0" w:type="auto"/>
            <w:gridSpan w:val="3"/>
            <w:tcMar>
              <w:top w:w="0" w:type="dxa"/>
              <w:left w:w="20" w:type="dxa"/>
              <w:bottom w:w="0" w:type="dxa"/>
              <w:right w:w="20" w:type="dxa"/>
            </w:tcMar>
            <w:vAlign w:val="center"/>
            <w:hideMark/>
          </w:tcPr>
          <w:p w14:paraId="56924FD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0E3A6F"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AE47ECE" w14:textId="77777777" w:rsidR="00000000" w:rsidRDefault="00A173A8">
            <w:pPr>
              <w:spacing w:after="100"/>
              <w:jc w:val="center"/>
              <w:rPr>
                <w:rFonts w:eastAsia="Times New Roman"/>
              </w:rPr>
            </w:pPr>
            <w:r>
              <w:rPr>
                <w:rFonts w:eastAsia="Times New Roman"/>
                <w:b/>
                <w:bCs/>
                <w:color w:val="000000"/>
                <w:sz w:val="16"/>
                <w:szCs w:val="16"/>
              </w:rPr>
              <w:t>Three Months Ended June 30, 2022</w:t>
            </w:r>
          </w:p>
        </w:tc>
      </w:tr>
      <w:tr w:rsidR="00000000" w14:paraId="197D5BC3" w14:textId="77777777">
        <w:trPr>
          <w:divId w:val="1828010626"/>
        </w:trPr>
        <w:tc>
          <w:tcPr>
            <w:tcW w:w="0" w:type="auto"/>
            <w:gridSpan w:val="3"/>
            <w:tcBorders>
              <w:bottom w:val="single" w:sz="8" w:space="0" w:color="000000"/>
            </w:tcBorders>
            <w:tcMar>
              <w:top w:w="30" w:type="dxa"/>
              <w:left w:w="20" w:type="dxa"/>
              <w:bottom w:w="30" w:type="dxa"/>
              <w:right w:w="20" w:type="dxa"/>
            </w:tcMar>
            <w:vAlign w:val="bottom"/>
            <w:hideMark/>
          </w:tcPr>
          <w:p w14:paraId="55306243"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C3698DB"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592CE58"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3C02D61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3DB2AAF"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1A01539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FF19849" w14:textId="77777777" w:rsidR="00000000" w:rsidRDefault="00A173A8">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26BF1B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22531CD" w14:textId="77777777" w:rsidR="00000000" w:rsidRDefault="00A173A8">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7F47F62"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9C79A76" w14:textId="77777777" w:rsidR="00000000" w:rsidRDefault="00A173A8">
            <w:pPr>
              <w:spacing w:after="100"/>
              <w:jc w:val="center"/>
              <w:rPr>
                <w:rFonts w:eastAsia="Times New Roman"/>
              </w:rPr>
            </w:pPr>
            <w:r>
              <w:rPr>
                <w:rFonts w:eastAsia="Times New Roman"/>
                <w:b/>
                <w:bCs/>
                <w:color w:val="000000"/>
                <w:sz w:val="16"/>
                <w:szCs w:val="16"/>
              </w:rPr>
              <w:t>Consolidated Total</w:t>
            </w:r>
          </w:p>
        </w:tc>
      </w:tr>
      <w:tr w:rsidR="00000000" w14:paraId="23E6507E" w14:textId="77777777">
        <w:trPr>
          <w:divId w:val="182801062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93618D6" w14:textId="77777777" w:rsidR="00000000" w:rsidRDefault="00A173A8">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2B63B125"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A8FA56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3C8DC12" w14:textId="77777777" w:rsidR="00000000" w:rsidRDefault="00A173A8">
            <w:pPr>
              <w:spacing w:after="100"/>
              <w:jc w:val="right"/>
              <w:rPr>
                <w:rFonts w:eastAsia="Times New Roman"/>
              </w:rPr>
            </w:pPr>
            <w:r>
              <w:rPr>
                <w:rFonts w:eastAsia="Times New Roman"/>
                <w:b/>
                <w:bCs/>
                <w:color w:val="000000"/>
                <w:sz w:val="18"/>
                <w:szCs w:val="18"/>
              </w:rPr>
              <w:t>3,899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BAF8A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6142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94F200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B8BEDC1" w14:textId="77777777" w:rsidR="00000000" w:rsidRDefault="00A173A8">
            <w:pPr>
              <w:spacing w:after="100"/>
              <w:jc w:val="right"/>
              <w:rPr>
                <w:rFonts w:eastAsia="Times New Roman"/>
              </w:rPr>
            </w:pPr>
            <w:r>
              <w:rPr>
                <w:rFonts w:eastAsia="Times New Roman"/>
                <w:b/>
                <w:bCs/>
                <w:color w:val="000000"/>
                <w:sz w:val="18"/>
                <w:szCs w:val="18"/>
              </w:rPr>
              <w:t>2,147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22CD6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35D68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5743E7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78DC024" w14:textId="77777777" w:rsidR="00000000" w:rsidRDefault="00A173A8">
            <w:pPr>
              <w:spacing w:after="100"/>
              <w:jc w:val="right"/>
              <w:rPr>
                <w:rFonts w:eastAsia="Times New Roman"/>
              </w:rPr>
            </w:pPr>
            <w:r>
              <w:rPr>
                <w:rFonts w:eastAsia="Times New Roman"/>
                <w:b/>
                <w:bCs/>
                <w:color w:val="000000"/>
                <w:sz w:val="18"/>
                <w:szCs w:val="18"/>
              </w:rPr>
              <w:t>635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10D52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CF371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1C80CD4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14504D41" w14:textId="77777777" w:rsidR="00000000" w:rsidRDefault="00A173A8">
            <w:pPr>
              <w:spacing w:after="100"/>
              <w:jc w:val="right"/>
              <w:rPr>
                <w:rFonts w:eastAsia="Times New Roman"/>
              </w:rPr>
            </w:pPr>
            <w:r>
              <w:rPr>
                <w:rFonts w:eastAsia="Times New Roman"/>
                <w:b/>
                <w:bCs/>
                <w:color w:val="000000"/>
                <w:sz w:val="18"/>
                <w:szCs w:val="18"/>
              </w:rPr>
              <w:t>(164)</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B0610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6F5A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88BC72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5645D84" w14:textId="77777777" w:rsidR="00000000" w:rsidRDefault="00A173A8">
            <w:pPr>
              <w:spacing w:after="100"/>
              <w:jc w:val="right"/>
              <w:rPr>
                <w:rFonts w:eastAsia="Times New Roman"/>
              </w:rPr>
            </w:pPr>
            <w:r>
              <w:rPr>
                <w:rFonts w:eastAsia="Times New Roman"/>
                <w:b/>
                <w:bCs/>
                <w:color w:val="000000"/>
                <w:sz w:val="18"/>
                <w:szCs w:val="18"/>
              </w:rPr>
              <w:t>6,517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6460E8" w14:textId="77777777" w:rsidR="00000000" w:rsidRDefault="00A173A8">
            <w:pPr>
              <w:spacing w:after="100"/>
              <w:jc w:val="right"/>
              <w:rPr>
                <w:rFonts w:eastAsia="Times New Roman"/>
              </w:rPr>
            </w:pPr>
          </w:p>
        </w:tc>
      </w:tr>
      <w:tr w:rsidR="00000000" w14:paraId="1E5B4C17" w14:textId="77777777">
        <w:trPr>
          <w:divId w:val="1828010626"/>
        </w:trPr>
        <w:tc>
          <w:tcPr>
            <w:tcW w:w="0" w:type="auto"/>
            <w:gridSpan w:val="3"/>
            <w:shd w:val="clear" w:color="auto" w:fill="FFFFFF"/>
            <w:tcMar>
              <w:top w:w="30" w:type="dxa"/>
              <w:left w:w="20" w:type="dxa"/>
              <w:bottom w:w="30" w:type="dxa"/>
              <w:right w:w="20" w:type="dxa"/>
            </w:tcMar>
            <w:vAlign w:val="center"/>
            <w:hideMark/>
          </w:tcPr>
          <w:p w14:paraId="55AAABB1" w14:textId="77777777" w:rsidR="00000000" w:rsidRDefault="00A173A8">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0F898EC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B381EB9" w14:textId="77777777" w:rsidR="00000000" w:rsidRDefault="00A173A8">
            <w:pPr>
              <w:spacing w:after="100"/>
              <w:jc w:val="right"/>
              <w:rPr>
                <w:rFonts w:eastAsia="Times New Roman"/>
              </w:rPr>
            </w:pPr>
            <w:r>
              <w:rPr>
                <w:rFonts w:eastAsia="Times New Roman"/>
                <w:b/>
                <w:bCs/>
                <w:color w:val="000000"/>
                <w:sz w:val="18"/>
                <w:szCs w:val="18"/>
              </w:rPr>
              <w:t>1,410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2FF674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A51A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18C6B35" w14:textId="77777777" w:rsidR="00000000" w:rsidRDefault="00A173A8">
            <w:pPr>
              <w:spacing w:after="100"/>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F9B8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32930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C3FE44A" w14:textId="77777777" w:rsidR="00000000" w:rsidRDefault="00A173A8">
            <w:pPr>
              <w:spacing w:after="100"/>
              <w:jc w:val="right"/>
              <w:rPr>
                <w:rFonts w:eastAsia="Times New Roman"/>
              </w:rPr>
            </w:pPr>
            <w:r>
              <w:rPr>
                <w:rFonts w:eastAsia="Times New Roman"/>
                <w:b/>
                <w:bCs/>
                <w:color w:val="000000"/>
                <w:sz w:val="18"/>
                <w:szCs w:val="18"/>
              </w:rPr>
              <w:t>272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A25B5D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BCB89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A0346E2" w14:textId="77777777" w:rsidR="00000000" w:rsidRDefault="00A173A8">
            <w:pPr>
              <w:spacing w:after="100"/>
              <w:jc w:val="right"/>
              <w:rPr>
                <w:rFonts w:eastAsia="Times New Roman"/>
              </w:rPr>
            </w:pPr>
            <w:r>
              <w:rPr>
                <w:rFonts w:eastAsia="Times New Roman"/>
                <w:b/>
                <w:bCs/>
                <w:color w:val="000000"/>
                <w:sz w:val="18"/>
                <w:szCs w:val="18"/>
              </w:rPr>
              <w:t>(63)</w:t>
            </w:r>
          </w:p>
        </w:tc>
        <w:tc>
          <w:tcPr>
            <w:tcW w:w="0" w:type="auto"/>
            <w:shd w:val="clear" w:color="auto" w:fill="FFFFFF"/>
            <w:tcMar>
              <w:top w:w="30" w:type="dxa"/>
              <w:left w:w="0" w:type="dxa"/>
              <w:bottom w:w="30" w:type="dxa"/>
              <w:right w:w="20" w:type="dxa"/>
            </w:tcMar>
            <w:vAlign w:val="center"/>
            <w:hideMark/>
          </w:tcPr>
          <w:p w14:paraId="6AC342D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8EE6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0DCDC4" w14:textId="77777777" w:rsidR="00000000" w:rsidRDefault="00A173A8">
            <w:pPr>
              <w:spacing w:after="100"/>
              <w:jc w:val="right"/>
              <w:rPr>
                <w:rFonts w:eastAsia="Times New Roman"/>
              </w:rPr>
            </w:pPr>
            <w:r>
              <w:rPr>
                <w:rFonts w:eastAsia="Times New Roman"/>
                <w:b/>
                <w:bCs/>
                <w:color w:val="000000"/>
                <w:sz w:val="18"/>
                <w:szCs w:val="18"/>
              </w:rPr>
              <w:t>1,715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A9B9977" w14:textId="77777777" w:rsidR="00000000" w:rsidRDefault="00A173A8">
            <w:pPr>
              <w:spacing w:after="100"/>
              <w:jc w:val="right"/>
              <w:rPr>
                <w:rFonts w:eastAsia="Times New Roman"/>
              </w:rPr>
            </w:pPr>
          </w:p>
        </w:tc>
      </w:tr>
      <w:tr w:rsidR="00000000" w14:paraId="381726C6" w14:textId="77777777">
        <w:trPr>
          <w:divId w:val="1828010626"/>
        </w:trPr>
        <w:tc>
          <w:tcPr>
            <w:tcW w:w="0" w:type="auto"/>
            <w:gridSpan w:val="3"/>
            <w:shd w:val="clear" w:color="auto" w:fill="CCEEFF"/>
            <w:tcMar>
              <w:top w:w="30" w:type="dxa"/>
              <w:left w:w="20" w:type="dxa"/>
              <w:bottom w:w="30" w:type="dxa"/>
              <w:right w:w="20" w:type="dxa"/>
            </w:tcMar>
            <w:vAlign w:val="center"/>
            <w:hideMark/>
          </w:tcPr>
          <w:p w14:paraId="2F82CA60" w14:textId="77777777" w:rsidR="00000000" w:rsidRDefault="00A173A8">
            <w:pPr>
              <w:spacing w:after="100"/>
              <w:divId w:val="1223371232"/>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79A8B4F"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EDF25A7" w14:textId="77777777" w:rsidR="00000000" w:rsidRDefault="00A173A8">
            <w:pPr>
              <w:spacing w:after="100"/>
              <w:jc w:val="right"/>
              <w:rPr>
                <w:rFonts w:eastAsia="Times New Roman"/>
              </w:rPr>
            </w:pPr>
            <w:r>
              <w:rPr>
                <w:rFonts w:eastAsia="Times New Roman"/>
                <w:b/>
                <w:bCs/>
                <w:color w:val="000000"/>
                <w:sz w:val="18"/>
                <w:szCs w:val="18"/>
              </w:rPr>
              <w:t>5,309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1B423E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D128A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1119E87" w14:textId="77777777" w:rsidR="00000000" w:rsidRDefault="00A173A8">
            <w:pPr>
              <w:spacing w:after="100"/>
              <w:jc w:val="right"/>
              <w:rPr>
                <w:rFonts w:eastAsia="Times New Roman"/>
              </w:rPr>
            </w:pPr>
            <w:r>
              <w:rPr>
                <w:rFonts w:eastAsia="Times New Roman"/>
                <w:b/>
                <w:bCs/>
                <w:color w:val="000000"/>
                <w:sz w:val="18"/>
                <w:szCs w:val="18"/>
              </w:rPr>
              <w:t>2,243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FB97A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F5D03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A409835" w14:textId="77777777" w:rsidR="00000000" w:rsidRDefault="00A173A8">
            <w:pPr>
              <w:spacing w:after="100"/>
              <w:jc w:val="right"/>
              <w:rPr>
                <w:rFonts w:eastAsia="Times New Roman"/>
              </w:rPr>
            </w:pPr>
            <w:r>
              <w:rPr>
                <w:rFonts w:eastAsia="Times New Roman"/>
                <w:b/>
                <w:bCs/>
                <w:color w:val="000000"/>
                <w:sz w:val="18"/>
                <w:szCs w:val="18"/>
              </w:rPr>
              <w:t>907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B1BE9C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E3ED1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B0BE3AC" w14:textId="77777777" w:rsidR="00000000" w:rsidRDefault="00A173A8">
            <w:pPr>
              <w:spacing w:after="100"/>
              <w:jc w:val="right"/>
              <w:rPr>
                <w:rFonts w:eastAsia="Times New Roman"/>
              </w:rPr>
            </w:pPr>
            <w:r>
              <w:rPr>
                <w:rFonts w:eastAsia="Times New Roman"/>
                <w:b/>
                <w:bCs/>
                <w:color w:val="000000"/>
                <w:sz w:val="18"/>
                <w:szCs w:val="18"/>
              </w:rPr>
              <w:t>(227)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22A268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522B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3E1DB96" w14:textId="77777777" w:rsidR="00000000" w:rsidRDefault="00A173A8">
            <w:pPr>
              <w:spacing w:after="100"/>
              <w:jc w:val="right"/>
              <w:rPr>
                <w:rFonts w:eastAsia="Times New Roman"/>
              </w:rPr>
            </w:pPr>
            <w:r>
              <w:rPr>
                <w:rFonts w:eastAsia="Times New Roman"/>
                <w:b/>
                <w:bCs/>
                <w:color w:val="000000"/>
                <w:sz w:val="18"/>
                <w:szCs w:val="18"/>
              </w:rPr>
              <w:t>8,232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B1F52B" w14:textId="77777777" w:rsidR="00000000" w:rsidRDefault="00A173A8">
            <w:pPr>
              <w:spacing w:after="100"/>
              <w:jc w:val="right"/>
              <w:rPr>
                <w:rFonts w:eastAsia="Times New Roman"/>
              </w:rPr>
            </w:pPr>
          </w:p>
        </w:tc>
      </w:tr>
      <w:tr w:rsidR="00000000" w14:paraId="7180BC83" w14:textId="77777777">
        <w:trPr>
          <w:divId w:val="1828010626"/>
        </w:trPr>
        <w:tc>
          <w:tcPr>
            <w:tcW w:w="0" w:type="auto"/>
            <w:gridSpan w:val="3"/>
            <w:shd w:val="clear" w:color="auto" w:fill="FFFFFF"/>
            <w:tcMar>
              <w:top w:w="30" w:type="dxa"/>
              <w:left w:w="20" w:type="dxa"/>
              <w:bottom w:w="30" w:type="dxa"/>
              <w:right w:w="20" w:type="dxa"/>
            </w:tcMar>
            <w:vAlign w:val="center"/>
            <w:hideMark/>
          </w:tcPr>
          <w:p w14:paraId="6B373D96" w14:textId="77777777" w:rsidR="00000000" w:rsidRDefault="00A173A8">
            <w:pPr>
              <w:spacing w:after="100"/>
              <w:rPr>
                <w:rFonts w:eastAsia="Times New Roman"/>
              </w:rPr>
            </w:pPr>
            <w:r>
              <w:rPr>
                <w:rFonts w:eastAsia="Times New Roman"/>
                <w:color w:val="000000"/>
                <w:sz w:val="18"/>
                <w:szCs w:val="18"/>
              </w:rPr>
              <w:t>Provision for credit losses</w:t>
            </w:r>
          </w:p>
        </w:tc>
        <w:tc>
          <w:tcPr>
            <w:tcW w:w="0" w:type="auto"/>
            <w:gridSpan w:val="3"/>
            <w:shd w:val="clear" w:color="auto" w:fill="FFFFFF"/>
            <w:tcMar>
              <w:top w:w="0" w:type="dxa"/>
              <w:left w:w="20" w:type="dxa"/>
              <w:bottom w:w="0" w:type="dxa"/>
              <w:right w:w="20" w:type="dxa"/>
            </w:tcMar>
            <w:vAlign w:val="center"/>
            <w:hideMark/>
          </w:tcPr>
          <w:p w14:paraId="4142A485"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4AE5410" w14:textId="77777777" w:rsidR="00000000" w:rsidRDefault="00A173A8">
            <w:pPr>
              <w:spacing w:after="100"/>
              <w:jc w:val="right"/>
              <w:rPr>
                <w:rFonts w:eastAsia="Times New Roman"/>
              </w:rPr>
            </w:pPr>
            <w:r>
              <w:rPr>
                <w:rFonts w:eastAsia="Times New Roman"/>
                <w:b/>
                <w:bCs/>
                <w:color w:val="000000"/>
                <w:sz w:val="18"/>
                <w:szCs w:val="18"/>
              </w:rPr>
              <w:t>581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EDBCA2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7C41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65A727D" w14:textId="77777777" w:rsidR="00000000" w:rsidRDefault="00A173A8">
            <w:pPr>
              <w:spacing w:after="100"/>
              <w:jc w:val="right"/>
              <w:rPr>
                <w:rFonts w:eastAsia="Times New Roman"/>
              </w:rPr>
            </w:pPr>
            <w:r>
              <w:rPr>
                <w:rFonts w:eastAsia="Times New Roman"/>
                <w:b/>
                <w:bCs/>
                <w:color w:val="000000"/>
                <w:sz w:val="18"/>
                <w:szCs w:val="18"/>
              </w:rPr>
              <w:t>281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6E6C78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806C2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FC17778" w14:textId="77777777" w:rsidR="00000000" w:rsidRDefault="00A173A8">
            <w:pPr>
              <w:spacing w:after="100"/>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C11211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2E674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73D3AC1"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03D2C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BA263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59B4FE" w14:textId="77777777" w:rsidR="00000000" w:rsidRDefault="00A173A8">
            <w:pPr>
              <w:spacing w:after="100"/>
              <w:jc w:val="right"/>
              <w:rPr>
                <w:rFonts w:eastAsia="Times New Roman"/>
              </w:rPr>
            </w:pPr>
            <w:r>
              <w:rPr>
                <w:rFonts w:eastAsia="Times New Roman"/>
                <w:b/>
                <w:bCs/>
                <w:color w:val="000000"/>
                <w:sz w:val="18"/>
                <w:szCs w:val="18"/>
              </w:rPr>
              <w:t>1,085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817560" w14:textId="77777777" w:rsidR="00000000" w:rsidRDefault="00A173A8">
            <w:pPr>
              <w:spacing w:after="100"/>
              <w:jc w:val="right"/>
              <w:rPr>
                <w:rFonts w:eastAsia="Times New Roman"/>
              </w:rPr>
            </w:pPr>
          </w:p>
        </w:tc>
      </w:tr>
      <w:tr w:rsidR="00000000" w14:paraId="3759B74A" w14:textId="77777777">
        <w:trPr>
          <w:divId w:val="1828010626"/>
        </w:trPr>
        <w:tc>
          <w:tcPr>
            <w:tcW w:w="0" w:type="auto"/>
            <w:gridSpan w:val="3"/>
            <w:shd w:val="clear" w:color="auto" w:fill="CCEEFF"/>
            <w:tcMar>
              <w:top w:w="30" w:type="dxa"/>
              <w:left w:w="20" w:type="dxa"/>
              <w:bottom w:w="30" w:type="dxa"/>
              <w:right w:w="20" w:type="dxa"/>
            </w:tcMar>
            <w:vAlign w:val="center"/>
            <w:hideMark/>
          </w:tcPr>
          <w:p w14:paraId="72CCE938" w14:textId="77777777" w:rsidR="00000000" w:rsidRDefault="00A173A8">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3A1BFE75"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5EFDA4BF" w14:textId="77777777" w:rsidR="00000000" w:rsidRDefault="00A173A8">
            <w:pPr>
              <w:spacing w:after="100"/>
              <w:jc w:val="right"/>
              <w:rPr>
                <w:rFonts w:eastAsia="Times New Roman"/>
              </w:rPr>
            </w:pPr>
            <w:r>
              <w:rPr>
                <w:rFonts w:eastAsia="Times New Roman"/>
                <w:b/>
                <w:bCs/>
                <w:color w:val="000000"/>
                <w:sz w:val="18"/>
                <w:szCs w:val="18"/>
              </w:rPr>
              <w:t>2,771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3A60FD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AD73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EDF3B97" w14:textId="77777777" w:rsidR="00000000" w:rsidRDefault="00A173A8">
            <w:pPr>
              <w:spacing w:after="100"/>
              <w:jc w:val="right"/>
              <w:rPr>
                <w:rFonts w:eastAsia="Times New Roman"/>
              </w:rPr>
            </w:pPr>
            <w:r>
              <w:rPr>
                <w:rFonts w:eastAsia="Times New Roman"/>
                <w:b/>
                <w:bCs/>
                <w:color w:val="000000"/>
                <w:sz w:val="18"/>
                <w:szCs w:val="18"/>
              </w:rPr>
              <w:t>1,286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4FDC4D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4E2F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D33F194" w14:textId="77777777" w:rsidR="00000000" w:rsidRDefault="00A173A8">
            <w:pPr>
              <w:spacing w:after="100"/>
              <w:jc w:val="right"/>
              <w:rPr>
                <w:rFonts w:eastAsia="Times New Roman"/>
              </w:rPr>
            </w:pPr>
            <w:r>
              <w:rPr>
                <w:rFonts w:eastAsia="Times New Roman"/>
                <w:b/>
                <w:bCs/>
                <w:color w:val="000000"/>
                <w:sz w:val="18"/>
                <w:szCs w:val="18"/>
              </w:rPr>
              <w:t>485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CC7780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5A14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F18113C" w14:textId="77777777" w:rsidR="00000000" w:rsidRDefault="00A173A8">
            <w:pPr>
              <w:spacing w:after="100"/>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959DD6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E76A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F6AC926" w14:textId="77777777" w:rsidR="00000000" w:rsidRDefault="00A173A8">
            <w:pPr>
              <w:spacing w:after="100"/>
              <w:jc w:val="right"/>
              <w:rPr>
                <w:rFonts w:eastAsia="Times New Roman"/>
              </w:rPr>
            </w:pPr>
            <w:r>
              <w:rPr>
                <w:rFonts w:eastAsia="Times New Roman"/>
                <w:b/>
                <w:bCs/>
                <w:color w:val="000000"/>
                <w:sz w:val="18"/>
                <w:szCs w:val="18"/>
              </w:rPr>
              <w:t>4,583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EB3809C" w14:textId="77777777" w:rsidR="00000000" w:rsidRDefault="00A173A8">
            <w:pPr>
              <w:spacing w:after="100"/>
              <w:jc w:val="right"/>
              <w:rPr>
                <w:rFonts w:eastAsia="Times New Roman"/>
              </w:rPr>
            </w:pPr>
          </w:p>
        </w:tc>
      </w:tr>
      <w:tr w:rsidR="00000000" w14:paraId="0F65B2B4" w14:textId="77777777">
        <w:trPr>
          <w:divId w:val="1828010626"/>
        </w:trPr>
        <w:tc>
          <w:tcPr>
            <w:tcW w:w="0" w:type="auto"/>
            <w:gridSpan w:val="3"/>
            <w:shd w:val="clear" w:color="auto" w:fill="FFFFFF"/>
            <w:tcMar>
              <w:top w:w="30" w:type="dxa"/>
              <w:left w:w="20" w:type="dxa"/>
              <w:bottom w:w="30" w:type="dxa"/>
              <w:right w:w="20" w:type="dxa"/>
            </w:tcMar>
            <w:vAlign w:val="center"/>
            <w:hideMark/>
          </w:tcPr>
          <w:p w14:paraId="07D96AD4" w14:textId="77777777" w:rsidR="00000000" w:rsidRDefault="00A173A8">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3AE3EB6E"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4CBBF70" w14:textId="77777777" w:rsidR="00000000" w:rsidRDefault="00A173A8">
            <w:pPr>
              <w:spacing w:after="100"/>
              <w:jc w:val="right"/>
              <w:rPr>
                <w:rFonts w:eastAsia="Times New Roman"/>
              </w:rPr>
            </w:pPr>
            <w:r>
              <w:rPr>
                <w:rFonts w:eastAsia="Times New Roman"/>
                <w:b/>
                <w:bCs/>
                <w:color w:val="000000"/>
                <w:sz w:val="18"/>
                <w:szCs w:val="18"/>
              </w:rPr>
              <w:t>1,957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7C1BC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42974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18B36866" w14:textId="77777777" w:rsidR="00000000" w:rsidRDefault="00A173A8">
            <w:pPr>
              <w:spacing w:after="100"/>
              <w:jc w:val="right"/>
              <w:rPr>
                <w:rFonts w:eastAsia="Times New Roman"/>
              </w:rPr>
            </w:pPr>
            <w:r>
              <w:rPr>
                <w:rFonts w:eastAsia="Times New Roman"/>
                <w:b/>
                <w:bCs/>
                <w:color w:val="000000"/>
                <w:sz w:val="18"/>
                <w:szCs w:val="18"/>
              </w:rPr>
              <w:t>676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B8DB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7FF8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6A1D634" w14:textId="77777777" w:rsidR="00000000" w:rsidRDefault="00A173A8">
            <w:pPr>
              <w:spacing w:after="100"/>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9A3304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0E8A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069C047" w14:textId="77777777" w:rsidR="00000000" w:rsidRDefault="00A173A8">
            <w:pPr>
              <w:spacing w:after="100"/>
              <w:jc w:val="right"/>
              <w:rPr>
                <w:rFonts w:eastAsia="Times New Roman"/>
              </w:rPr>
            </w:pPr>
            <w:r>
              <w:rPr>
                <w:rFonts w:eastAsia="Times New Roman"/>
                <w:b/>
                <w:bCs/>
                <w:color w:val="000000"/>
                <w:sz w:val="18"/>
                <w:szCs w:val="18"/>
              </w:rPr>
              <w:t>(269)</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40268C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AF71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0766ABF7" w14:textId="77777777" w:rsidR="00000000" w:rsidRDefault="00A173A8">
            <w:pPr>
              <w:spacing w:after="100"/>
              <w:jc w:val="right"/>
              <w:rPr>
                <w:rFonts w:eastAsia="Times New Roman"/>
              </w:rPr>
            </w:pPr>
            <w:r>
              <w:rPr>
                <w:rFonts w:eastAsia="Times New Roman"/>
                <w:b/>
                <w:bCs/>
                <w:color w:val="000000"/>
                <w:sz w:val="18"/>
                <w:szCs w:val="18"/>
              </w:rPr>
              <w:t>2,564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8DFDE74" w14:textId="77777777" w:rsidR="00000000" w:rsidRDefault="00A173A8">
            <w:pPr>
              <w:spacing w:after="100"/>
              <w:jc w:val="right"/>
              <w:rPr>
                <w:rFonts w:eastAsia="Times New Roman"/>
              </w:rPr>
            </w:pPr>
          </w:p>
        </w:tc>
      </w:tr>
      <w:tr w:rsidR="00000000" w14:paraId="428DC097" w14:textId="77777777">
        <w:trPr>
          <w:divId w:val="1828010626"/>
        </w:trPr>
        <w:tc>
          <w:tcPr>
            <w:tcW w:w="0" w:type="auto"/>
            <w:gridSpan w:val="3"/>
            <w:shd w:val="clear" w:color="auto" w:fill="CCEEFF"/>
            <w:tcMar>
              <w:top w:w="30" w:type="dxa"/>
              <w:left w:w="20" w:type="dxa"/>
              <w:bottom w:w="30" w:type="dxa"/>
              <w:right w:w="20" w:type="dxa"/>
            </w:tcMar>
            <w:vAlign w:val="center"/>
            <w:hideMark/>
          </w:tcPr>
          <w:p w14:paraId="4B855D76" w14:textId="77777777" w:rsidR="00000000" w:rsidRDefault="00A173A8">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565F48F0"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07E0D8F" w14:textId="77777777" w:rsidR="00000000" w:rsidRDefault="00A173A8">
            <w:pPr>
              <w:spacing w:after="100"/>
              <w:jc w:val="right"/>
              <w:rPr>
                <w:rFonts w:eastAsia="Times New Roman"/>
              </w:rPr>
            </w:pPr>
            <w:r>
              <w:rPr>
                <w:rFonts w:eastAsia="Times New Roman"/>
                <w:b/>
                <w:bCs/>
                <w:color w:val="000000"/>
                <w:sz w:val="18"/>
                <w:szCs w:val="18"/>
              </w:rPr>
              <w:t>466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EDAEFC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D9469"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FA3684B" w14:textId="77777777" w:rsidR="00000000" w:rsidRDefault="00A173A8">
            <w:pPr>
              <w:spacing w:after="100"/>
              <w:jc w:val="right"/>
              <w:rPr>
                <w:rFonts w:eastAsia="Times New Roman"/>
              </w:rPr>
            </w:pPr>
            <w:r>
              <w:rPr>
                <w:rFonts w:eastAsia="Times New Roman"/>
                <w:b/>
                <w:bCs/>
                <w:color w:val="000000"/>
                <w:sz w:val="18"/>
                <w:szCs w:val="18"/>
              </w:rPr>
              <w:t>160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AE4F18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1240E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351941F" w14:textId="77777777" w:rsidR="00000000" w:rsidRDefault="00A173A8">
            <w:pPr>
              <w:spacing w:after="100"/>
              <w:jc w:val="right"/>
              <w:rPr>
                <w:rFonts w:eastAsia="Times New Roman"/>
              </w:rPr>
            </w:pPr>
            <w:r>
              <w:rPr>
                <w:rFonts w:eastAsia="Times New Roman"/>
                <w:b/>
                <w:bCs/>
                <w:color w:val="000000"/>
                <w:sz w:val="18"/>
                <w:szCs w:val="18"/>
              </w:rPr>
              <w:t>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BAC42C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8B8EA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EBC6BA" w14:textId="77777777" w:rsidR="00000000" w:rsidRDefault="00A173A8">
            <w:pPr>
              <w:spacing w:after="100"/>
              <w:jc w:val="right"/>
              <w:rPr>
                <w:rFonts w:eastAsia="Times New Roman"/>
              </w:rPr>
            </w:pPr>
            <w:r>
              <w:rPr>
                <w:rFonts w:eastAsia="Times New Roman"/>
                <w:b/>
                <w:bCs/>
                <w:color w:val="000000"/>
                <w:sz w:val="18"/>
                <w:szCs w:val="18"/>
              </w:rPr>
              <w:t>(141)</w:t>
            </w:r>
          </w:p>
        </w:tc>
        <w:tc>
          <w:tcPr>
            <w:tcW w:w="0" w:type="auto"/>
            <w:shd w:val="clear" w:color="auto" w:fill="CCEEFF"/>
            <w:tcMar>
              <w:top w:w="30" w:type="dxa"/>
              <w:left w:w="0" w:type="dxa"/>
              <w:bottom w:w="30" w:type="dxa"/>
              <w:right w:w="20" w:type="dxa"/>
            </w:tcMar>
            <w:vAlign w:val="center"/>
            <w:hideMark/>
          </w:tcPr>
          <w:p w14:paraId="5E339A4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B32F7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1302074" w14:textId="77777777" w:rsidR="00000000" w:rsidRDefault="00A173A8">
            <w:pPr>
              <w:spacing w:after="100"/>
              <w:jc w:val="right"/>
              <w:rPr>
                <w:rFonts w:eastAsia="Times New Roman"/>
              </w:rPr>
            </w:pPr>
            <w:r>
              <w:rPr>
                <w:rFonts w:eastAsia="Times New Roman"/>
                <w:b/>
                <w:bCs/>
                <w:color w:val="000000"/>
                <w:sz w:val="18"/>
                <w:szCs w:val="18"/>
              </w:rPr>
              <w:t>533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E59B551" w14:textId="77777777" w:rsidR="00000000" w:rsidRDefault="00A173A8">
            <w:pPr>
              <w:spacing w:after="100"/>
              <w:jc w:val="right"/>
              <w:rPr>
                <w:rFonts w:eastAsia="Times New Roman"/>
              </w:rPr>
            </w:pPr>
          </w:p>
        </w:tc>
      </w:tr>
      <w:tr w:rsidR="00000000" w14:paraId="3C874C1D" w14:textId="77777777">
        <w:trPr>
          <w:divId w:val="1828010626"/>
        </w:trPr>
        <w:tc>
          <w:tcPr>
            <w:tcW w:w="0" w:type="auto"/>
            <w:gridSpan w:val="3"/>
            <w:shd w:val="clear" w:color="auto" w:fill="FFFFFF"/>
            <w:tcMar>
              <w:top w:w="30" w:type="dxa"/>
              <w:left w:w="20" w:type="dxa"/>
              <w:bottom w:w="30" w:type="dxa"/>
              <w:right w:w="20" w:type="dxa"/>
            </w:tcMar>
            <w:vAlign w:val="center"/>
            <w:hideMark/>
          </w:tcPr>
          <w:p w14:paraId="53222FDE" w14:textId="77777777" w:rsidR="00000000" w:rsidRDefault="00A173A8">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6193330F"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71AB75D"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6F960BA" w14:textId="77777777" w:rsidR="00000000" w:rsidRDefault="00A173A8">
            <w:pPr>
              <w:spacing w:after="100"/>
              <w:jc w:val="right"/>
              <w:rPr>
                <w:rFonts w:eastAsia="Times New Roman"/>
              </w:rPr>
            </w:pPr>
            <w:r>
              <w:rPr>
                <w:rFonts w:eastAsia="Times New Roman"/>
                <w:b/>
                <w:bCs/>
                <w:color w:val="000000"/>
                <w:sz w:val="18"/>
                <w:szCs w:val="18"/>
              </w:rPr>
              <w:t>1,491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8006F4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AAB8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B520EC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60D30B2" w14:textId="77777777" w:rsidR="00000000" w:rsidRDefault="00A173A8">
            <w:pPr>
              <w:spacing w:after="100"/>
              <w:jc w:val="right"/>
              <w:rPr>
                <w:rFonts w:eastAsia="Times New Roman"/>
              </w:rPr>
            </w:pPr>
            <w:r>
              <w:rPr>
                <w:rFonts w:eastAsia="Times New Roman"/>
                <w:b/>
                <w:bCs/>
                <w:color w:val="000000"/>
                <w:sz w:val="18"/>
                <w:szCs w:val="18"/>
              </w:rPr>
              <w:t>516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311FF0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7235C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3C867CB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E6A8B3D" w14:textId="77777777" w:rsidR="00000000" w:rsidRDefault="00A173A8">
            <w:pPr>
              <w:spacing w:after="100"/>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86C5D1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BB1C3"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D1F7C73"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BF63638" w14:textId="77777777" w:rsidR="00000000" w:rsidRDefault="00A173A8">
            <w:pPr>
              <w:spacing w:after="100"/>
              <w:jc w:val="right"/>
              <w:rPr>
                <w:rFonts w:eastAsia="Times New Roman"/>
              </w:rPr>
            </w:pPr>
            <w:r>
              <w:rPr>
                <w:rFonts w:eastAsia="Times New Roman"/>
                <w:b/>
                <w:bCs/>
                <w:color w:val="000000"/>
                <w:sz w:val="18"/>
                <w:szCs w:val="18"/>
              </w:rPr>
              <w:t>(128)</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F8AF8A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7217A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1032F1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232B79C" w14:textId="77777777" w:rsidR="00000000" w:rsidRDefault="00A173A8">
            <w:pPr>
              <w:spacing w:after="100"/>
              <w:jc w:val="right"/>
              <w:rPr>
                <w:rFonts w:eastAsia="Times New Roman"/>
              </w:rPr>
            </w:pPr>
            <w:r>
              <w:rPr>
                <w:rFonts w:eastAsia="Times New Roman"/>
                <w:b/>
                <w:bCs/>
                <w:color w:val="000000"/>
                <w:sz w:val="18"/>
                <w:szCs w:val="18"/>
              </w:rPr>
              <w:t>2,031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EBABA3B" w14:textId="77777777" w:rsidR="00000000" w:rsidRDefault="00A173A8">
            <w:pPr>
              <w:spacing w:after="100"/>
              <w:jc w:val="right"/>
              <w:rPr>
                <w:rFonts w:eastAsia="Times New Roman"/>
              </w:rPr>
            </w:pPr>
          </w:p>
        </w:tc>
      </w:tr>
      <w:tr w:rsidR="00000000" w14:paraId="1251DD87" w14:textId="77777777">
        <w:trPr>
          <w:divId w:val="1828010626"/>
        </w:trPr>
        <w:tc>
          <w:tcPr>
            <w:tcW w:w="0" w:type="auto"/>
            <w:gridSpan w:val="3"/>
            <w:shd w:val="clear" w:color="auto" w:fill="CCEEFF"/>
            <w:tcMar>
              <w:top w:w="30" w:type="dxa"/>
              <w:left w:w="20" w:type="dxa"/>
              <w:bottom w:w="30" w:type="dxa"/>
              <w:right w:w="20" w:type="dxa"/>
            </w:tcMar>
            <w:vAlign w:val="center"/>
            <w:hideMark/>
          </w:tcPr>
          <w:p w14:paraId="2D7FD6D8" w14:textId="77777777" w:rsidR="00000000" w:rsidRDefault="00A173A8">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1C61DBEF" w14:textId="77777777" w:rsidR="00000000" w:rsidRDefault="00A173A8">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13F33E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20B6AA64" w14:textId="77777777" w:rsidR="00000000" w:rsidRDefault="00A173A8">
            <w:pPr>
              <w:spacing w:after="100"/>
              <w:jc w:val="right"/>
              <w:rPr>
                <w:rFonts w:eastAsia="Times New Roman"/>
              </w:rPr>
            </w:pPr>
            <w:r>
              <w:rPr>
                <w:rFonts w:eastAsia="Times New Roman"/>
                <w:b/>
                <w:bCs/>
                <w:color w:val="000000"/>
                <w:sz w:val="18"/>
                <w:szCs w:val="18"/>
              </w:rPr>
              <w:t>120,880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1AB37BD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2EC2D"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6F4B6AF6"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3B535FDF" w14:textId="77777777" w:rsidR="00000000" w:rsidRDefault="00A173A8">
            <w:pPr>
              <w:spacing w:after="100"/>
              <w:jc w:val="right"/>
              <w:rPr>
                <w:rFonts w:eastAsia="Times New Roman"/>
              </w:rPr>
            </w:pPr>
            <w:r>
              <w:rPr>
                <w:rFonts w:eastAsia="Times New Roman"/>
                <w:b/>
                <w:bCs/>
                <w:color w:val="000000"/>
                <w:sz w:val="18"/>
                <w:szCs w:val="18"/>
              </w:rPr>
              <w:t>81,531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0891B54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3E7F0"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A45D42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23E8C093" w14:textId="77777777" w:rsidR="00000000" w:rsidRDefault="00A173A8">
            <w:pPr>
              <w:spacing w:after="100"/>
              <w:jc w:val="right"/>
              <w:rPr>
                <w:rFonts w:eastAsia="Times New Roman"/>
              </w:rPr>
            </w:pPr>
            <w:r>
              <w:rPr>
                <w:rFonts w:eastAsia="Times New Roman"/>
                <w:b/>
                <w:bCs/>
                <w:color w:val="000000"/>
                <w:sz w:val="18"/>
                <w:szCs w:val="18"/>
              </w:rPr>
              <w:t>93,973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33308A2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14107"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4498863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2A62535C"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1924C6A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64438"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46D3F7B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4CD37D2D" w14:textId="77777777" w:rsidR="00000000" w:rsidRDefault="00A173A8">
            <w:pPr>
              <w:spacing w:after="100"/>
              <w:jc w:val="right"/>
              <w:rPr>
                <w:rFonts w:eastAsia="Times New Roman"/>
              </w:rPr>
            </w:pPr>
            <w:r>
              <w:rPr>
                <w:rFonts w:eastAsia="Times New Roman"/>
                <w:b/>
                <w:bCs/>
                <w:color w:val="000000"/>
                <w:sz w:val="18"/>
                <w:szCs w:val="18"/>
              </w:rPr>
              <w:t>296,384</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87602AF" w14:textId="77777777" w:rsidR="00000000" w:rsidRDefault="00A173A8">
            <w:pPr>
              <w:spacing w:after="100"/>
              <w:jc w:val="right"/>
              <w:rPr>
                <w:rFonts w:eastAsia="Times New Roman"/>
              </w:rPr>
            </w:pPr>
          </w:p>
        </w:tc>
      </w:tr>
      <w:tr w:rsidR="00000000" w14:paraId="2D6D01D6" w14:textId="77777777">
        <w:trPr>
          <w:divId w:val="1828010626"/>
        </w:trPr>
        <w:tc>
          <w:tcPr>
            <w:tcW w:w="0" w:type="auto"/>
            <w:gridSpan w:val="3"/>
            <w:shd w:val="clear" w:color="auto" w:fill="FFFFFF"/>
            <w:tcMar>
              <w:top w:w="30" w:type="dxa"/>
              <w:left w:w="20" w:type="dxa"/>
              <w:bottom w:w="30" w:type="dxa"/>
              <w:right w:w="20" w:type="dxa"/>
            </w:tcMar>
            <w:vAlign w:val="center"/>
            <w:hideMark/>
          </w:tcPr>
          <w:p w14:paraId="69AC315F" w14:textId="77777777" w:rsidR="00000000" w:rsidRDefault="00A173A8">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0DEF059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5B66A44"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1788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DF290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3598CD" w14:textId="77777777" w:rsidR="00000000" w:rsidRDefault="00A173A8">
            <w:pPr>
              <w:spacing w:after="100"/>
              <w:jc w:val="right"/>
              <w:rPr>
                <w:rFonts w:eastAsia="Times New Roman"/>
              </w:rPr>
            </w:pPr>
            <w:r>
              <w:rPr>
                <w:rFonts w:eastAsia="Times New Roman"/>
                <w:b/>
                <w:bCs/>
                <w:color w:val="000000"/>
                <w:sz w:val="18"/>
                <w:szCs w:val="18"/>
              </w:rPr>
              <w:t>255,904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33F7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D62B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B02B84" w14:textId="77777777" w:rsidR="00000000" w:rsidRDefault="00A173A8">
            <w:pPr>
              <w:spacing w:after="100"/>
              <w:jc w:val="right"/>
              <w:rPr>
                <w:rFonts w:eastAsia="Times New Roman"/>
              </w:rPr>
            </w:pPr>
            <w:r>
              <w:rPr>
                <w:rFonts w:eastAsia="Times New Roman"/>
                <w:b/>
                <w:bCs/>
                <w:color w:val="000000"/>
                <w:sz w:val="18"/>
                <w:szCs w:val="18"/>
              </w:rPr>
              <w:t>38,844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D82538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B1D1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27B3EE" w14:textId="77777777" w:rsidR="00000000" w:rsidRDefault="00A173A8">
            <w:pPr>
              <w:spacing w:after="100"/>
              <w:jc w:val="right"/>
              <w:rPr>
                <w:rFonts w:eastAsia="Times New Roman"/>
              </w:rPr>
            </w:pPr>
            <w:r>
              <w:rPr>
                <w:rFonts w:eastAsia="Times New Roman"/>
                <w:b/>
                <w:bCs/>
                <w:color w:val="000000"/>
                <w:sz w:val="18"/>
                <w:szCs w:val="18"/>
              </w:rPr>
              <w:t>13,137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02E6A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F33A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5E5B8D" w14:textId="77777777" w:rsidR="00000000" w:rsidRDefault="00A173A8">
            <w:pPr>
              <w:spacing w:after="100"/>
              <w:jc w:val="right"/>
              <w:rPr>
                <w:rFonts w:eastAsia="Times New Roman"/>
              </w:rPr>
            </w:pPr>
            <w:r>
              <w:rPr>
                <w:rFonts w:eastAsia="Times New Roman"/>
                <w:b/>
                <w:bCs/>
                <w:color w:val="000000"/>
                <w:sz w:val="18"/>
                <w:szCs w:val="18"/>
              </w:rPr>
              <w:t>307,885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1EAF2B0" w14:textId="77777777" w:rsidR="00000000" w:rsidRDefault="00A173A8">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387BF342" w14:textId="77777777">
        <w:trPr>
          <w:jc w:val="center"/>
        </w:trPr>
        <w:tc>
          <w:tcPr>
            <w:tcW w:w="50" w:type="pct"/>
            <w:vAlign w:val="center"/>
            <w:hideMark/>
          </w:tcPr>
          <w:p w14:paraId="49EC358D" w14:textId="77777777" w:rsidR="00000000" w:rsidRDefault="00A173A8">
            <w:pPr>
              <w:rPr>
                <w:rFonts w:eastAsia="Times New Roman"/>
              </w:rPr>
            </w:pPr>
          </w:p>
        </w:tc>
        <w:tc>
          <w:tcPr>
            <w:tcW w:w="1606" w:type="pct"/>
            <w:vAlign w:val="center"/>
            <w:hideMark/>
          </w:tcPr>
          <w:p w14:paraId="05CF45A8" w14:textId="77777777" w:rsidR="00000000" w:rsidRDefault="00A173A8">
            <w:pPr>
              <w:spacing w:after="100"/>
              <w:rPr>
                <w:rFonts w:eastAsia="Times New Roman"/>
                <w:sz w:val="20"/>
                <w:szCs w:val="20"/>
              </w:rPr>
            </w:pPr>
          </w:p>
        </w:tc>
        <w:tc>
          <w:tcPr>
            <w:tcW w:w="5" w:type="pct"/>
            <w:vAlign w:val="center"/>
            <w:hideMark/>
          </w:tcPr>
          <w:p w14:paraId="7BAFF2ED" w14:textId="77777777" w:rsidR="00000000" w:rsidRDefault="00A173A8">
            <w:pPr>
              <w:spacing w:after="100"/>
              <w:rPr>
                <w:rFonts w:eastAsia="Times New Roman"/>
                <w:sz w:val="20"/>
                <w:szCs w:val="20"/>
              </w:rPr>
            </w:pPr>
          </w:p>
        </w:tc>
        <w:tc>
          <w:tcPr>
            <w:tcW w:w="50" w:type="pct"/>
            <w:vAlign w:val="center"/>
            <w:hideMark/>
          </w:tcPr>
          <w:p w14:paraId="28077771" w14:textId="77777777" w:rsidR="00000000" w:rsidRDefault="00A173A8">
            <w:pPr>
              <w:spacing w:after="100"/>
              <w:rPr>
                <w:rFonts w:eastAsia="Times New Roman"/>
                <w:sz w:val="20"/>
                <w:szCs w:val="20"/>
              </w:rPr>
            </w:pPr>
          </w:p>
        </w:tc>
        <w:tc>
          <w:tcPr>
            <w:tcW w:w="1614" w:type="pct"/>
            <w:vAlign w:val="center"/>
            <w:hideMark/>
          </w:tcPr>
          <w:p w14:paraId="417E01F1" w14:textId="77777777" w:rsidR="00000000" w:rsidRDefault="00A173A8">
            <w:pPr>
              <w:spacing w:after="100"/>
              <w:rPr>
                <w:rFonts w:eastAsia="Times New Roman"/>
                <w:sz w:val="20"/>
                <w:szCs w:val="20"/>
              </w:rPr>
            </w:pPr>
          </w:p>
        </w:tc>
        <w:tc>
          <w:tcPr>
            <w:tcW w:w="5" w:type="pct"/>
            <w:vAlign w:val="center"/>
            <w:hideMark/>
          </w:tcPr>
          <w:p w14:paraId="1A1D56DD" w14:textId="77777777" w:rsidR="00000000" w:rsidRDefault="00A173A8">
            <w:pPr>
              <w:spacing w:after="100"/>
              <w:rPr>
                <w:rFonts w:eastAsia="Times New Roman"/>
                <w:sz w:val="20"/>
                <w:szCs w:val="20"/>
              </w:rPr>
            </w:pPr>
          </w:p>
        </w:tc>
        <w:tc>
          <w:tcPr>
            <w:tcW w:w="50" w:type="pct"/>
            <w:vAlign w:val="center"/>
            <w:hideMark/>
          </w:tcPr>
          <w:p w14:paraId="729A2DBB" w14:textId="77777777" w:rsidR="00000000" w:rsidRDefault="00A173A8">
            <w:pPr>
              <w:spacing w:after="100"/>
              <w:rPr>
                <w:rFonts w:eastAsia="Times New Roman"/>
                <w:sz w:val="20"/>
                <w:szCs w:val="20"/>
              </w:rPr>
            </w:pPr>
          </w:p>
        </w:tc>
        <w:tc>
          <w:tcPr>
            <w:tcW w:w="1614" w:type="pct"/>
            <w:vAlign w:val="center"/>
            <w:hideMark/>
          </w:tcPr>
          <w:p w14:paraId="1FD949C9" w14:textId="77777777" w:rsidR="00000000" w:rsidRDefault="00A173A8">
            <w:pPr>
              <w:spacing w:after="100"/>
              <w:rPr>
                <w:rFonts w:eastAsia="Times New Roman"/>
                <w:sz w:val="20"/>
                <w:szCs w:val="20"/>
              </w:rPr>
            </w:pPr>
          </w:p>
        </w:tc>
        <w:tc>
          <w:tcPr>
            <w:tcW w:w="5" w:type="pct"/>
            <w:vAlign w:val="center"/>
            <w:hideMark/>
          </w:tcPr>
          <w:p w14:paraId="6DF05864" w14:textId="77777777" w:rsidR="00000000" w:rsidRDefault="00A173A8">
            <w:pPr>
              <w:spacing w:after="100"/>
              <w:rPr>
                <w:rFonts w:eastAsia="Times New Roman"/>
                <w:sz w:val="20"/>
                <w:szCs w:val="20"/>
              </w:rPr>
            </w:pPr>
          </w:p>
        </w:tc>
      </w:tr>
      <w:tr w:rsidR="00000000" w14:paraId="7980AB41" w14:textId="77777777">
        <w:trPr>
          <w:trHeight w:val="300"/>
          <w:jc w:val="center"/>
        </w:trPr>
        <w:tc>
          <w:tcPr>
            <w:tcW w:w="0" w:type="auto"/>
            <w:gridSpan w:val="9"/>
            <w:tcMar>
              <w:top w:w="0" w:type="dxa"/>
              <w:left w:w="20" w:type="dxa"/>
              <w:bottom w:w="0" w:type="dxa"/>
              <w:right w:w="20" w:type="dxa"/>
            </w:tcMar>
            <w:vAlign w:val="center"/>
            <w:hideMark/>
          </w:tcPr>
          <w:p w14:paraId="062FF96E" w14:textId="77777777" w:rsidR="00000000" w:rsidRDefault="00A173A8">
            <w:pPr>
              <w:spacing w:after="100"/>
              <w:rPr>
                <w:rFonts w:eastAsia="Times New Roman"/>
                <w:sz w:val="20"/>
                <w:szCs w:val="20"/>
              </w:rPr>
            </w:pPr>
          </w:p>
        </w:tc>
      </w:tr>
      <w:tr w:rsidR="00000000" w14:paraId="23F6969B" w14:textId="77777777">
        <w:trPr>
          <w:jc w:val="center"/>
        </w:trPr>
        <w:tc>
          <w:tcPr>
            <w:tcW w:w="0" w:type="auto"/>
            <w:gridSpan w:val="3"/>
            <w:tcMar>
              <w:top w:w="0" w:type="dxa"/>
              <w:left w:w="20" w:type="dxa"/>
              <w:bottom w:w="0" w:type="dxa"/>
              <w:right w:w="20" w:type="dxa"/>
            </w:tcMar>
            <w:vAlign w:val="center"/>
            <w:hideMark/>
          </w:tcPr>
          <w:p w14:paraId="5836C297"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D3FCF0" w14:textId="77777777" w:rsidR="00000000" w:rsidRDefault="00A173A8">
            <w:pPr>
              <w:spacing w:after="100"/>
              <w:jc w:val="center"/>
              <w:rPr>
                <w:rFonts w:eastAsia="Times New Roman"/>
              </w:rPr>
            </w:pPr>
            <w:r>
              <w:rPr>
                <w:rFonts w:eastAsia="Times New Roman"/>
                <w:color w:val="000000"/>
                <w:sz w:val="16"/>
                <w:szCs w:val="16"/>
              </w:rPr>
              <w:t>113</w:t>
            </w:r>
          </w:p>
        </w:tc>
        <w:tc>
          <w:tcPr>
            <w:tcW w:w="0" w:type="auto"/>
            <w:gridSpan w:val="3"/>
            <w:tcMar>
              <w:top w:w="30" w:type="dxa"/>
              <w:left w:w="20" w:type="dxa"/>
              <w:bottom w:w="30" w:type="dxa"/>
              <w:right w:w="20" w:type="dxa"/>
            </w:tcMar>
            <w:vAlign w:val="bottom"/>
            <w:hideMark/>
          </w:tcPr>
          <w:p w14:paraId="2A9B541D"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5FC8962" w14:textId="77777777" w:rsidR="00000000" w:rsidRDefault="00A173A8">
      <w:pPr>
        <w:rPr>
          <w:rFonts w:eastAsia="Times New Roman"/>
        </w:rPr>
      </w:pPr>
      <w:r>
        <w:rPr>
          <w:rFonts w:eastAsia="Times New Roman"/>
        </w:rPr>
        <w:pict w14:anchorId="1EA92F20">
          <v:rect id="_x0000_i1138" style="width:0;height:1.5pt" o:hralign="center" o:hrstd="t" o:hr="t" fillcolor="#a0a0a0" stroked="f"/>
        </w:pict>
      </w:r>
    </w:p>
    <w:p w14:paraId="042F3C9D" w14:textId="77777777" w:rsidR="00000000" w:rsidRDefault="00A173A8">
      <w:pPr>
        <w:jc w:val="both"/>
        <w:divId w:val="1623418007"/>
        <w:rPr>
          <w:rFonts w:eastAsia="Times New Roman"/>
        </w:rPr>
      </w:pPr>
      <w:hyperlink w:anchor="i7ffd5d61af6f4722b1b1b07530d51c06_13"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14:paraId="6CAAD049" w14:textId="77777777">
        <w:trPr>
          <w:divId w:val="378674268"/>
        </w:trPr>
        <w:tc>
          <w:tcPr>
            <w:tcW w:w="50" w:type="pct"/>
            <w:vAlign w:val="center"/>
            <w:hideMark/>
          </w:tcPr>
          <w:p w14:paraId="2334F581" w14:textId="77777777" w:rsidR="00000000" w:rsidRDefault="00A173A8">
            <w:pPr>
              <w:jc w:val="both"/>
              <w:rPr>
                <w:rFonts w:eastAsia="Times New Roman"/>
              </w:rPr>
            </w:pPr>
          </w:p>
        </w:tc>
        <w:tc>
          <w:tcPr>
            <w:tcW w:w="2280" w:type="pct"/>
            <w:vAlign w:val="center"/>
            <w:hideMark/>
          </w:tcPr>
          <w:p w14:paraId="41BB1E9E" w14:textId="77777777" w:rsidR="00000000" w:rsidRDefault="00A173A8">
            <w:pPr>
              <w:spacing w:after="100"/>
              <w:rPr>
                <w:rFonts w:eastAsia="Times New Roman"/>
                <w:sz w:val="20"/>
                <w:szCs w:val="20"/>
              </w:rPr>
            </w:pPr>
          </w:p>
        </w:tc>
        <w:tc>
          <w:tcPr>
            <w:tcW w:w="5" w:type="pct"/>
            <w:vAlign w:val="center"/>
            <w:hideMark/>
          </w:tcPr>
          <w:p w14:paraId="42927B8D" w14:textId="77777777" w:rsidR="00000000" w:rsidRDefault="00A173A8">
            <w:pPr>
              <w:spacing w:after="100"/>
              <w:rPr>
                <w:rFonts w:eastAsia="Times New Roman"/>
                <w:sz w:val="20"/>
                <w:szCs w:val="20"/>
              </w:rPr>
            </w:pPr>
          </w:p>
        </w:tc>
        <w:tc>
          <w:tcPr>
            <w:tcW w:w="5" w:type="pct"/>
            <w:vAlign w:val="center"/>
            <w:hideMark/>
          </w:tcPr>
          <w:p w14:paraId="089A9622" w14:textId="77777777" w:rsidR="00000000" w:rsidRDefault="00A173A8">
            <w:pPr>
              <w:spacing w:after="100"/>
              <w:rPr>
                <w:rFonts w:eastAsia="Times New Roman"/>
                <w:sz w:val="20"/>
                <w:szCs w:val="20"/>
              </w:rPr>
            </w:pPr>
          </w:p>
        </w:tc>
        <w:tc>
          <w:tcPr>
            <w:tcW w:w="26" w:type="pct"/>
            <w:vAlign w:val="center"/>
            <w:hideMark/>
          </w:tcPr>
          <w:p w14:paraId="2D7E5BE3" w14:textId="77777777" w:rsidR="00000000" w:rsidRDefault="00A173A8">
            <w:pPr>
              <w:spacing w:after="100"/>
              <w:rPr>
                <w:rFonts w:eastAsia="Times New Roman"/>
                <w:sz w:val="20"/>
                <w:szCs w:val="20"/>
              </w:rPr>
            </w:pPr>
          </w:p>
        </w:tc>
        <w:tc>
          <w:tcPr>
            <w:tcW w:w="5" w:type="pct"/>
            <w:vAlign w:val="center"/>
            <w:hideMark/>
          </w:tcPr>
          <w:p w14:paraId="6397DC85" w14:textId="77777777" w:rsidR="00000000" w:rsidRDefault="00A173A8">
            <w:pPr>
              <w:spacing w:after="100"/>
              <w:rPr>
                <w:rFonts w:eastAsia="Times New Roman"/>
                <w:sz w:val="20"/>
                <w:szCs w:val="20"/>
              </w:rPr>
            </w:pPr>
          </w:p>
        </w:tc>
        <w:tc>
          <w:tcPr>
            <w:tcW w:w="50" w:type="pct"/>
            <w:vAlign w:val="center"/>
            <w:hideMark/>
          </w:tcPr>
          <w:p w14:paraId="53F3B7FA" w14:textId="77777777" w:rsidR="00000000" w:rsidRDefault="00A173A8">
            <w:pPr>
              <w:spacing w:after="100"/>
              <w:rPr>
                <w:rFonts w:eastAsia="Times New Roman"/>
                <w:sz w:val="20"/>
                <w:szCs w:val="20"/>
              </w:rPr>
            </w:pPr>
          </w:p>
        </w:tc>
        <w:tc>
          <w:tcPr>
            <w:tcW w:w="442" w:type="pct"/>
            <w:vAlign w:val="center"/>
            <w:hideMark/>
          </w:tcPr>
          <w:p w14:paraId="47E5CD9B" w14:textId="77777777" w:rsidR="00000000" w:rsidRDefault="00A173A8">
            <w:pPr>
              <w:spacing w:after="100"/>
              <w:rPr>
                <w:rFonts w:eastAsia="Times New Roman"/>
                <w:sz w:val="20"/>
                <w:szCs w:val="20"/>
              </w:rPr>
            </w:pPr>
          </w:p>
        </w:tc>
        <w:tc>
          <w:tcPr>
            <w:tcW w:w="5" w:type="pct"/>
            <w:vAlign w:val="center"/>
            <w:hideMark/>
          </w:tcPr>
          <w:p w14:paraId="560DA0B4" w14:textId="77777777" w:rsidR="00000000" w:rsidRDefault="00A173A8">
            <w:pPr>
              <w:spacing w:after="100"/>
              <w:rPr>
                <w:rFonts w:eastAsia="Times New Roman"/>
                <w:sz w:val="20"/>
                <w:szCs w:val="20"/>
              </w:rPr>
            </w:pPr>
          </w:p>
        </w:tc>
        <w:tc>
          <w:tcPr>
            <w:tcW w:w="5" w:type="pct"/>
            <w:vAlign w:val="center"/>
            <w:hideMark/>
          </w:tcPr>
          <w:p w14:paraId="63DAFAB8" w14:textId="77777777" w:rsidR="00000000" w:rsidRDefault="00A173A8">
            <w:pPr>
              <w:spacing w:after="100"/>
              <w:rPr>
                <w:rFonts w:eastAsia="Times New Roman"/>
                <w:sz w:val="20"/>
                <w:szCs w:val="20"/>
              </w:rPr>
            </w:pPr>
          </w:p>
        </w:tc>
        <w:tc>
          <w:tcPr>
            <w:tcW w:w="26" w:type="pct"/>
            <w:vAlign w:val="center"/>
            <w:hideMark/>
          </w:tcPr>
          <w:p w14:paraId="62D1632C" w14:textId="77777777" w:rsidR="00000000" w:rsidRDefault="00A173A8">
            <w:pPr>
              <w:spacing w:after="100"/>
              <w:rPr>
                <w:rFonts w:eastAsia="Times New Roman"/>
                <w:sz w:val="20"/>
                <w:szCs w:val="20"/>
              </w:rPr>
            </w:pPr>
          </w:p>
        </w:tc>
        <w:tc>
          <w:tcPr>
            <w:tcW w:w="5" w:type="pct"/>
            <w:vAlign w:val="center"/>
            <w:hideMark/>
          </w:tcPr>
          <w:p w14:paraId="15D67244" w14:textId="77777777" w:rsidR="00000000" w:rsidRDefault="00A173A8">
            <w:pPr>
              <w:spacing w:after="100"/>
              <w:rPr>
                <w:rFonts w:eastAsia="Times New Roman"/>
                <w:sz w:val="20"/>
                <w:szCs w:val="20"/>
              </w:rPr>
            </w:pPr>
          </w:p>
        </w:tc>
        <w:tc>
          <w:tcPr>
            <w:tcW w:w="50" w:type="pct"/>
            <w:vAlign w:val="center"/>
            <w:hideMark/>
          </w:tcPr>
          <w:p w14:paraId="5EEA6807" w14:textId="77777777" w:rsidR="00000000" w:rsidRDefault="00A173A8">
            <w:pPr>
              <w:spacing w:after="100"/>
              <w:rPr>
                <w:rFonts w:eastAsia="Times New Roman"/>
                <w:sz w:val="20"/>
                <w:szCs w:val="20"/>
              </w:rPr>
            </w:pPr>
          </w:p>
        </w:tc>
        <w:tc>
          <w:tcPr>
            <w:tcW w:w="435" w:type="pct"/>
            <w:vAlign w:val="center"/>
            <w:hideMark/>
          </w:tcPr>
          <w:p w14:paraId="61A5BFC3" w14:textId="77777777" w:rsidR="00000000" w:rsidRDefault="00A173A8">
            <w:pPr>
              <w:spacing w:after="100"/>
              <w:rPr>
                <w:rFonts w:eastAsia="Times New Roman"/>
                <w:sz w:val="20"/>
                <w:szCs w:val="20"/>
              </w:rPr>
            </w:pPr>
          </w:p>
        </w:tc>
        <w:tc>
          <w:tcPr>
            <w:tcW w:w="5" w:type="pct"/>
            <w:vAlign w:val="center"/>
            <w:hideMark/>
          </w:tcPr>
          <w:p w14:paraId="2EBA9945" w14:textId="77777777" w:rsidR="00000000" w:rsidRDefault="00A173A8">
            <w:pPr>
              <w:spacing w:after="100"/>
              <w:rPr>
                <w:rFonts w:eastAsia="Times New Roman"/>
                <w:sz w:val="20"/>
                <w:szCs w:val="20"/>
              </w:rPr>
            </w:pPr>
          </w:p>
        </w:tc>
        <w:tc>
          <w:tcPr>
            <w:tcW w:w="5" w:type="pct"/>
            <w:vAlign w:val="center"/>
            <w:hideMark/>
          </w:tcPr>
          <w:p w14:paraId="4796C874" w14:textId="77777777" w:rsidR="00000000" w:rsidRDefault="00A173A8">
            <w:pPr>
              <w:spacing w:after="100"/>
              <w:rPr>
                <w:rFonts w:eastAsia="Times New Roman"/>
                <w:sz w:val="20"/>
                <w:szCs w:val="20"/>
              </w:rPr>
            </w:pPr>
          </w:p>
        </w:tc>
        <w:tc>
          <w:tcPr>
            <w:tcW w:w="26" w:type="pct"/>
            <w:vAlign w:val="center"/>
            <w:hideMark/>
          </w:tcPr>
          <w:p w14:paraId="7E94E28D" w14:textId="77777777" w:rsidR="00000000" w:rsidRDefault="00A173A8">
            <w:pPr>
              <w:spacing w:after="100"/>
              <w:rPr>
                <w:rFonts w:eastAsia="Times New Roman"/>
                <w:sz w:val="20"/>
                <w:szCs w:val="20"/>
              </w:rPr>
            </w:pPr>
          </w:p>
        </w:tc>
        <w:tc>
          <w:tcPr>
            <w:tcW w:w="5" w:type="pct"/>
            <w:vAlign w:val="center"/>
            <w:hideMark/>
          </w:tcPr>
          <w:p w14:paraId="30C44850" w14:textId="77777777" w:rsidR="00000000" w:rsidRDefault="00A173A8">
            <w:pPr>
              <w:spacing w:after="100"/>
              <w:rPr>
                <w:rFonts w:eastAsia="Times New Roman"/>
                <w:sz w:val="20"/>
                <w:szCs w:val="20"/>
              </w:rPr>
            </w:pPr>
          </w:p>
        </w:tc>
        <w:tc>
          <w:tcPr>
            <w:tcW w:w="50" w:type="pct"/>
            <w:vAlign w:val="center"/>
            <w:hideMark/>
          </w:tcPr>
          <w:p w14:paraId="75170019" w14:textId="77777777" w:rsidR="00000000" w:rsidRDefault="00A173A8">
            <w:pPr>
              <w:spacing w:after="100"/>
              <w:rPr>
                <w:rFonts w:eastAsia="Times New Roman"/>
                <w:sz w:val="20"/>
                <w:szCs w:val="20"/>
              </w:rPr>
            </w:pPr>
          </w:p>
        </w:tc>
        <w:tc>
          <w:tcPr>
            <w:tcW w:w="472" w:type="pct"/>
            <w:vAlign w:val="center"/>
            <w:hideMark/>
          </w:tcPr>
          <w:p w14:paraId="0E6BB386" w14:textId="77777777" w:rsidR="00000000" w:rsidRDefault="00A173A8">
            <w:pPr>
              <w:spacing w:after="100"/>
              <w:rPr>
                <w:rFonts w:eastAsia="Times New Roman"/>
                <w:sz w:val="20"/>
                <w:szCs w:val="20"/>
              </w:rPr>
            </w:pPr>
          </w:p>
        </w:tc>
        <w:tc>
          <w:tcPr>
            <w:tcW w:w="5" w:type="pct"/>
            <w:vAlign w:val="center"/>
            <w:hideMark/>
          </w:tcPr>
          <w:p w14:paraId="54D2D9A5" w14:textId="77777777" w:rsidR="00000000" w:rsidRDefault="00A173A8">
            <w:pPr>
              <w:spacing w:after="100"/>
              <w:rPr>
                <w:rFonts w:eastAsia="Times New Roman"/>
                <w:sz w:val="20"/>
                <w:szCs w:val="20"/>
              </w:rPr>
            </w:pPr>
          </w:p>
        </w:tc>
        <w:tc>
          <w:tcPr>
            <w:tcW w:w="5" w:type="pct"/>
            <w:vAlign w:val="center"/>
            <w:hideMark/>
          </w:tcPr>
          <w:p w14:paraId="37F47119" w14:textId="77777777" w:rsidR="00000000" w:rsidRDefault="00A173A8">
            <w:pPr>
              <w:spacing w:after="100"/>
              <w:rPr>
                <w:rFonts w:eastAsia="Times New Roman"/>
                <w:sz w:val="20"/>
                <w:szCs w:val="20"/>
              </w:rPr>
            </w:pPr>
          </w:p>
        </w:tc>
        <w:tc>
          <w:tcPr>
            <w:tcW w:w="26" w:type="pct"/>
            <w:vAlign w:val="center"/>
            <w:hideMark/>
          </w:tcPr>
          <w:p w14:paraId="37A3A3F9" w14:textId="77777777" w:rsidR="00000000" w:rsidRDefault="00A173A8">
            <w:pPr>
              <w:spacing w:after="100"/>
              <w:rPr>
                <w:rFonts w:eastAsia="Times New Roman"/>
                <w:sz w:val="20"/>
                <w:szCs w:val="20"/>
              </w:rPr>
            </w:pPr>
          </w:p>
        </w:tc>
        <w:tc>
          <w:tcPr>
            <w:tcW w:w="5" w:type="pct"/>
            <w:vAlign w:val="center"/>
            <w:hideMark/>
          </w:tcPr>
          <w:p w14:paraId="1BD663C5" w14:textId="77777777" w:rsidR="00000000" w:rsidRDefault="00A173A8">
            <w:pPr>
              <w:spacing w:after="100"/>
              <w:rPr>
                <w:rFonts w:eastAsia="Times New Roman"/>
                <w:sz w:val="20"/>
                <w:szCs w:val="20"/>
              </w:rPr>
            </w:pPr>
          </w:p>
        </w:tc>
        <w:tc>
          <w:tcPr>
            <w:tcW w:w="50" w:type="pct"/>
            <w:vAlign w:val="center"/>
            <w:hideMark/>
          </w:tcPr>
          <w:p w14:paraId="0ABE4E04" w14:textId="77777777" w:rsidR="00000000" w:rsidRDefault="00A173A8">
            <w:pPr>
              <w:spacing w:after="100"/>
              <w:rPr>
                <w:rFonts w:eastAsia="Times New Roman"/>
                <w:sz w:val="20"/>
                <w:szCs w:val="20"/>
              </w:rPr>
            </w:pPr>
          </w:p>
        </w:tc>
        <w:tc>
          <w:tcPr>
            <w:tcW w:w="413" w:type="pct"/>
            <w:vAlign w:val="center"/>
            <w:hideMark/>
          </w:tcPr>
          <w:p w14:paraId="41C3B3F0" w14:textId="77777777" w:rsidR="00000000" w:rsidRDefault="00A173A8">
            <w:pPr>
              <w:spacing w:after="100"/>
              <w:rPr>
                <w:rFonts w:eastAsia="Times New Roman"/>
                <w:sz w:val="20"/>
                <w:szCs w:val="20"/>
              </w:rPr>
            </w:pPr>
          </w:p>
        </w:tc>
        <w:tc>
          <w:tcPr>
            <w:tcW w:w="5" w:type="pct"/>
            <w:vAlign w:val="center"/>
            <w:hideMark/>
          </w:tcPr>
          <w:p w14:paraId="0BDAD8C8" w14:textId="77777777" w:rsidR="00000000" w:rsidRDefault="00A173A8">
            <w:pPr>
              <w:spacing w:after="100"/>
              <w:rPr>
                <w:rFonts w:eastAsia="Times New Roman"/>
                <w:sz w:val="20"/>
                <w:szCs w:val="20"/>
              </w:rPr>
            </w:pPr>
          </w:p>
        </w:tc>
        <w:tc>
          <w:tcPr>
            <w:tcW w:w="5" w:type="pct"/>
            <w:vAlign w:val="center"/>
            <w:hideMark/>
          </w:tcPr>
          <w:p w14:paraId="65BB14EB" w14:textId="77777777" w:rsidR="00000000" w:rsidRDefault="00A173A8">
            <w:pPr>
              <w:spacing w:after="100"/>
              <w:rPr>
                <w:rFonts w:eastAsia="Times New Roman"/>
                <w:sz w:val="20"/>
                <w:szCs w:val="20"/>
              </w:rPr>
            </w:pPr>
          </w:p>
        </w:tc>
        <w:tc>
          <w:tcPr>
            <w:tcW w:w="26" w:type="pct"/>
            <w:vAlign w:val="center"/>
            <w:hideMark/>
          </w:tcPr>
          <w:p w14:paraId="551E7847" w14:textId="77777777" w:rsidR="00000000" w:rsidRDefault="00A173A8">
            <w:pPr>
              <w:spacing w:after="100"/>
              <w:rPr>
                <w:rFonts w:eastAsia="Times New Roman"/>
                <w:sz w:val="20"/>
                <w:szCs w:val="20"/>
              </w:rPr>
            </w:pPr>
          </w:p>
        </w:tc>
        <w:tc>
          <w:tcPr>
            <w:tcW w:w="5" w:type="pct"/>
            <w:vAlign w:val="center"/>
            <w:hideMark/>
          </w:tcPr>
          <w:p w14:paraId="0CF90DC5" w14:textId="77777777" w:rsidR="00000000" w:rsidRDefault="00A173A8">
            <w:pPr>
              <w:spacing w:after="100"/>
              <w:rPr>
                <w:rFonts w:eastAsia="Times New Roman"/>
                <w:sz w:val="20"/>
                <w:szCs w:val="20"/>
              </w:rPr>
            </w:pPr>
          </w:p>
        </w:tc>
        <w:tc>
          <w:tcPr>
            <w:tcW w:w="50" w:type="pct"/>
            <w:vAlign w:val="center"/>
            <w:hideMark/>
          </w:tcPr>
          <w:p w14:paraId="4991E71A" w14:textId="77777777" w:rsidR="00000000" w:rsidRDefault="00A173A8">
            <w:pPr>
              <w:spacing w:after="100"/>
              <w:rPr>
                <w:rFonts w:eastAsia="Times New Roman"/>
                <w:sz w:val="20"/>
                <w:szCs w:val="20"/>
              </w:rPr>
            </w:pPr>
          </w:p>
        </w:tc>
        <w:tc>
          <w:tcPr>
            <w:tcW w:w="442" w:type="pct"/>
            <w:vAlign w:val="center"/>
            <w:hideMark/>
          </w:tcPr>
          <w:p w14:paraId="7D5BB48C" w14:textId="77777777" w:rsidR="00000000" w:rsidRDefault="00A173A8">
            <w:pPr>
              <w:spacing w:after="100"/>
              <w:rPr>
                <w:rFonts w:eastAsia="Times New Roman"/>
                <w:sz w:val="20"/>
                <w:szCs w:val="20"/>
              </w:rPr>
            </w:pPr>
          </w:p>
        </w:tc>
        <w:tc>
          <w:tcPr>
            <w:tcW w:w="5" w:type="pct"/>
            <w:vAlign w:val="center"/>
            <w:hideMark/>
          </w:tcPr>
          <w:p w14:paraId="422A5279" w14:textId="77777777" w:rsidR="00000000" w:rsidRDefault="00A173A8">
            <w:pPr>
              <w:spacing w:after="100"/>
              <w:rPr>
                <w:rFonts w:eastAsia="Times New Roman"/>
                <w:sz w:val="20"/>
                <w:szCs w:val="20"/>
              </w:rPr>
            </w:pPr>
          </w:p>
        </w:tc>
      </w:tr>
      <w:tr w:rsidR="00000000" w14:paraId="495A598E" w14:textId="77777777">
        <w:trPr>
          <w:divId w:val="378674268"/>
        </w:trPr>
        <w:tc>
          <w:tcPr>
            <w:tcW w:w="0" w:type="auto"/>
            <w:gridSpan w:val="3"/>
            <w:tcMar>
              <w:top w:w="0" w:type="dxa"/>
              <w:left w:w="20" w:type="dxa"/>
              <w:bottom w:w="0" w:type="dxa"/>
              <w:right w:w="20" w:type="dxa"/>
            </w:tcMar>
            <w:vAlign w:val="center"/>
            <w:hideMark/>
          </w:tcPr>
          <w:p w14:paraId="700562A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A75EE4"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4F014CA" w14:textId="77777777" w:rsidR="00000000" w:rsidRDefault="00A173A8">
            <w:pPr>
              <w:spacing w:after="100"/>
              <w:jc w:val="center"/>
              <w:rPr>
                <w:rFonts w:eastAsia="Times New Roman"/>
              </w:rPr>
            </w:pPr>
            <w:r>
              <w:rPr>
                <w:rFonts w:eastAsia="Times New Roman"/>
                <w:b/>
                <w:bCs/>
                <w:color w:val="000000"/>
                <w:sz w:val="16"/>
                <w:szCs w:val="16"/>
              </w:rPr>
              <w:t>Six Months Ended June 30, 2022</w:t>
            </w:r>
          </w:p>
        </w:tc>
      </w:tr>
      <w:tr w:rsidR="00000000" w14:paraId="5099D19C" w14:textId="77777777">
        <w:trPr>
          <w:divId w:val="378674268"/>
        </w:trPr>
        <w:tc>
          <w:tcPr>
            <w:tcW w:w="0" w:type="auto"/>
            <w:gridSpan w:val="3"/>
            <w:tcBorders>
              <w:bottom w:val="single" w:sz="8" w:space="0" w:color="000000"/>
            </w:tcBorders>
            <w:tcMar>
              <w:top w:w="30" w:type="dxa"/>
              <w:left w:w="20" w:type="dxa"/>
              <w:bottom w:w="30" w:type="dxa"/>
              <w:right w:w="20" w:type="dxa"/>
            </w:tcMar>
            <w:vAlign w:val="bottom"/>
            <w:hideMark/>
          </w:tcPr>
          <w:p w14:paraId="2A2A8410"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C192DBC"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FC498F"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659EB8A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51DF5D9"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96D34E3"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D92C501" w14:textId="77777777" w:rsidR="00000000" w:rsidRDefault="00A173A8">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29C775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79B962D" w14:textId="77777777" w:rsidR="00000000" w:rsidRDefault="00A173A8">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26DD3E8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0B37B9C" w14:textId="77777777" w:rsidR="00000000" w:rsidRDefault="00A173A8">
            <w:pPr>
              <w:spacing w:after="100"/>
              <w:jc w:val="center"/>
              <w:rPr>
                <w:rFonts w:eastAsia="Times New Roman"/>
              </w:rPr>
            </w:pPr>
            <w:r>
              <w:rPr>
                <w:rFonts w:eastAsia="Times New Roman"/>
                <w:b/>
                <w:bCs/>
                <w:color w:val="000000"/>
                <w:sz w:val="16"/>
                <w:szCs w:val="16"/>
              </w:rPr>
              <w:t>Consolidated Total</w:t>
            </w:r>
          </w:p>
        </w:tc>
      </w:tr>
      <w:tr w:rsidR="00000000" w14:paraId="1B530ADC" w14:textId="77777777">
        <w:trPr>
          <w:divId w:val="37867426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80B2184" w14:textId="77777777" w:rsidR="00000000" w:rsidRDefault="00A173A8">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1E11A89C"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67E327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26348F0" w14:textId="77777777" w:rsidR="00000000" w:rsidRDefault="00A173A8">
            <w:pPr>
              <w:spacing w:after="100"/>
              <w:jc w:val="right"/>
              <w:rPr>
                <w:rFonts w:eastAsia="Times New Roman"/>
              </w:rPr>
            </w:pPr>
            <w:r>
              <w:rPr>
                <w:rFonts w:eastAsia="Times New Roman"/>
                <w:b/>
                <w:bCs/>
                <w:color w:val="000000"/>
                <w:sz w:val="18"/>
                <w:szCs w:val="18"/>
              </w:rPr>
              <w:t>7,738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5F1F82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8D4C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99747A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BA5CE61" w14:textId="77777777" w:rsidR="00000000" w:rsidRDefault="00A173A8">
            <w:pPr>
              <w:spacing w:after="100"/>
              <w:jc w:val="right"/>
              <w:rPr>
                <w:rFonts w:eastAsia="Times New Roman"/>
              </w:rPr>
            </w:pPr>
            <w:r>
              <w:rPr>
                <w:rFonts w:eastAsia="Times New Roman"/>
                <w:b/>
                <w:bCs/>
                <w:color w:val="000000"/>
                <w:sz w:val="18"/>
                <w:szCs w:val="18"/>
              </w:rPr>
              <w:t>4,260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2EB35D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DEB7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DC0584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7078045" w14:textId="77777777" w:rsidR="00000000" w:rsidRDefault="00A173A8">
            <w:pPr>
              <w:spacing w:after="100"/>
              <w:jc w:val="right"/>
              <w:rPr>
                <w:rFonts w:eastAsia="Times New Roman"/>
              </w:rPr>
            </w:pPr>
            <w:r>
              <w:rPr>
                <w:rFonts w:eastAsia="Times New Roman"/>
                <w:b/>
                <w:bCs/>
                <w:color w:val="000000"/>
                <w:sz w:val="18"/>
                <w:szCs w:val="18"/>
              </w:rPr>
              <w:t>1,242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5D0C72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53F8B"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E13948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036FC5B" w14:textId="77777777" w:rsidR="00000000" w:rsidRDefault="00A173A8">
            <w:pPr>
              <w:spacing w:after="100"/>
              <w:jc w:val="right"/>
              <w:rPr>
                <w:rFonts w:eastAsia="Times New Roman"/>
              </w:rPr>
            </w:pPr>
            <w:r>
              <w:rPr>
                <w:rFonts w:eastAsia="Times New Roman"/>
                <w:b/>
                <w:bCs/>
                <w:color w:val="000000"/>
                <w:sz w:val="18"/>
                <w:szCs w:val="18"/>
              </w:rPr>
              <w:t>(326)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87BF0B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CDBB0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08BBCDB"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0BD8C679" w14:textId="77777777" w:rsidR="00000000" w:rsidRDefault="00A173A8">
            <w:pPr>
              <w:spacing w:after="100"/>
              <w:jc w:val="right"/>
              <w:rPr>
                <w:rFonts w:eastAsia="Times New Roman"/>
              </w:rPr>
            </w:pPr>
            <w:r>
              <w:rPr>
                <w:rFonts w:eastAsia="Times New Roman"/>
                <w:b/>
                <w:bCs/>
                <w:color w:val="000000"/>
                <w:sz w:val="18"/>
                <w:szCs w:val="18"/>
              </w:rPr>
              <w:t>12,914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642CA2E" w14:textId="77777777" w:rsidR="00000000" w:rsidRDefault="00A173A8">
            <w:pPr>
              <w:spacing w:after="100"/>
              <w:jc w:val="right"/>
              <w:rPr>
                <w:rFonts w:eastAsia="Times New Roman"/>
              </w:rPr>
            </w:pPr>
          </w:p>
        </w:tc>
      </w:tr>
      <w:tr w:rsidR="00000000" w14:paraId="530AC20C" w14:textId="77777777">
        <w:trPr>
          <w:divId w:val="378674268"/>
        </w:trPr>
        <w:tc>
          <w:tcPr>
            <w:tcW w:w="0" w:type="auto"/>
            <w:gridSpan w:val="3"/>
            <w:shd w:val="clear" w:color="auto" w:fill="FFFFFF"/>
            <w:tcMar>
              <w:top w:w="30" w:type="dxa"/>
              <w:left w:w="20" w:type="dxa"/>
              <w:bottom w:w="30" w:type="dxa"/>
              <w:right w:w="20" w:type="dxa"/>
            </w:tcMar>
            <w:vAlign w:val="center"/>
            <w:hideMark/>
          </w:tcPr>
          <w:p w14:paraId="5BD46855" w14:textId="77777777" w:rsidR="00000000" w:rsidRDefault="00A173A8">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7EB3753B"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5A5539E" w14:textId="77777777" w:rsidR="00000000" w:rsidRDefault="00A173A8">
            <w:pPr>
              <w:spacing w:after="100"/>
              <w:jc w:val="right"/>
              <w:rPr>
                <w:rFonts w:eastAsia="Times New Roman"/>
              </w:rPr>
            </w:pPr>
            <w:r>
              <w:rPr>
                <w:rFonts w:eastAsia="Times New Roman"/>
                <w:b/>
                <w:bCs/>
                <w:color w:val="000000"/>
                <w:sz w:val="18"/>
                <w:szCs w:val="18"/>
              </w:rPr>
              <w:t>2,868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2859F8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46C52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075159" w14:textId="77777777" w:rsidR="00000000" w:rsidRDefault="00A173A8">
            <w:pPr>
              <w:spacing w:after="100"/>
              <w:jc w:val="right"/>
              <w:rPr>
                <w:rFonts w:eastAsia="Times New Roman"/>
              </w:rPr>
            </w:pPr>
            <w:r>
              <w:rPr>
                <w:rFonts w:eastAsia="Times New Roman"/>
                <w:b/>
                <w:bCs/>
                <w:color w:val="000000"/>
                <w:sz w:val="18"/>
                <w:szCs w:val="18"/>
              </w:rPr>
              <w:t>201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4C8A2C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1A08F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1D6764C" w14:textId="77777777" w:rsidR="00000000" w:rsidRDefault="00A173A8">
            <w:pPr>
              <w:spacing w:after="100"/>
              <w:jc w:val="right"/>
              <w:rPr>
                <w:rFonts w:eastAsia="Times New Roman"/>
              </w:rPr>
            </w:pPr>
            <w:r>
              <w:rPr>
                <w:rFonts w:eastAsia="Times New Roman"/>
                <w:b/>
                <w:bCs/>
                <w:color w:val="000000"/>
                <w:sz w:val="18"/>
                <w:szCs w:val="18"/>
              </w:rPr>
              <w:t>549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B850C8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3ED62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7ABB101" w14:textId="77777777" w:rsidR="00000000" w:rsidRDefault="00A173A8">
            <w:pPr>
              <w:spacing w:after="100"/>
              <w:jc w:val="right"/>
              <w:rPr>
                <w:rFonts w:eastAsia="Times New Roman"/>
              </w:rPr>
            </w:pPr>
            <w:r>
              <w:rPr>
                <w:rFonts w:eastAsia="Times New Roman"/>
                <w:b/>
                <w:bCs/>
                <w:color w:val="000000"/>
                <w:sz w:val="18"/>
                <w:szCs w:val="18"/>
              </w:rPr>
              <w:t>(127)</w:t>
            </w:r>
          </w:p>
        </w:tc>
        <w:tc>
          <w:tcPr>
            <w:tcW w:w="0" w:type="auto"/>
            <w:shd w:val="clear" w:color="auto" w:fill="FFFFFF"/>
            <w:tcMar>
              <w:top w:w="30" w:type="dxa"/>
              <w:left w:w="0" w:type="dxa"/>
              <w:bottom w:w="30" w:type="dxa"/>
              <w:right w:w="20" w:type="dxa"/>
            </w:tcMar>
            <w:vAlign w:val="center"/>
            <w:hideMark/>
          </w:tcPr>
          <w:p w14:paraId="60B2245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9FC0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EB7204A" w14:textId="77777777" w:rsidR="00000000" w:rsidRDefault="00A173A8">
            <w:pPr>
              <w:spacing w:after="100"/>
              <w:jc w:val="right"/>
              <w:rPr>
                <w:rFonts w:eastAsia="Times New Roman"/>
              </w:rPr>
            </w:pPr>
            <w:r>
              <w:rPr>
                <w:rFonts w:eastAsia="Times New Roman"/>
                <w:b/>
                <w:bCs/>
                <w:color w:val="000000"/>
                <w:sz w:val="18"/>
                <w:szCs w:val="18"/>
              </w:rPr>
              <w:t>3,491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25E9F1C" w14:textId="77777777" w:rsidR="00000000" w:rsidRDefault="00A173A8">
            <w:pPr>
              <w:spacing w:after="100"/>
              <w:jc w:val="right"/>
              <w:rPr>
                <w:rFonts w:eastAsia="Times New Roman"/>
              </w:rPr>
            </w:pPr>
          </w:p>
        </w:tc>
      </w:tr>
      <w:tr w:rsidR="00000000" w14:paraId="558041ED" w14:textId="77777777">
        <w:trPr>
          <w:divId w:val="378674268"/>
        </w:trPr>
        <w:tc>
          <w:tcPr>
            <w:tcW w:w="0" w:type="auto"/>
            <w:gridSpan w:val="3"/>
            <w:shd w:val="clear" w:color="auto" w:fill="CCEEFF"/>
            <w:tcMar>
              <w:top w:w="30" w:type="dxa"/>
              <w:left w:w="20" w:type="dxa"/>
              <w:bottom w:w="30" w:type="dxa"/>
              <w:right w:w="20" w:type="dxa"/>
            </w:tcMar>
            <w:vAlign w:val="center"/>
            <w:hideMark/>
          </w:tcPr>
          <w:p w14:paraId="5EC32E22" w14:textId="77777777" w:rsidR="00000000" w:rsidRDefault="00A173A8">
            <w:pPr>
              <w:spacing w:after="100"/>
              <w:divId w:val="177742024"/>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0CDBE26"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0046B94" w14:textId="77777777" w:rsidR="00000000" w:rsidRDefault="00A173A8">
            <w:pPr>
              <w:spacing w:after="100"/>
              <w:jc w:val="right"/>
              <w:rPr>
                <w:rFonts w:eastAsia="Times New Roman"/>
              </w:rPr>
            </w:pPr>
            <w:r>
              <w:rPr>
                <w:rFonts w:eastAsia="Times New Roman"/>
                <w:b/>
                <w:bCs/>
                <w:color w:val="000000"/>
                <w:sz w:val="18"/>
                <w:szCs w:val="18"/>
              </w:rPr>
              <w:t>10,606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9FFA4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52A38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55780FA" w14:textId="77777777" w:rsidR="00000000" w:rsidRDefault="00A173A8">
            <w:pPr>
              <w:spacing w:after="100"/>
              <w:jc w:val="right"/>
              <w:rPr>
                <w:rFonts w:eastAsia="Times New Roman"/>
              </w:rPr>
            </w:pPr>
            <w:r>
              <w:rPr>
                <w:rFonts w:eastAsia="Times New Roman"/>
                <w:b/>
                <w:bCs/>
                <w:color w:val="000000"/>
                <w:sz w:val="18"/>
                <w:szCs w:val="18"/>
              </w:rPr>
              <w:t>4,461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FBCCF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3DB6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C34E1EC" w14:textId="77777777" w:rsidR="00000000" w:rsidRDefault="00A173A8">
            <w:pPr>
              <w:spacing w:after="100"/>
              <w:jc w:val="right"/>
              <w:rPr>
                <w:rFonts w:eastAsia="Times New Roman"/>
              </w:rPr>
            </w:pPr>
            <w:r>
              <w:rPr>
                <w:rFonts w:eastAsia="Times New Roman"/>
                <w:b/>
                <w:bCs/>
                <w:color w:val="000000"/>
                <w:sz w:val="18"/>
                <w:szCs w:val="18"/>
              </w:rPr>
              <w:t>1,791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3CBFCF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B46E9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C036F0C" w14:textId="77777777" w:rsidR="00000000" w:rsidRDefault="00A173A8">
            <w:pPr>
              <w:spacing w:after="100"/>
              <w:jc w:val="right"/>
              <w:rPr>
                <w:rFonts w:eastAsia="Times New Roman"/>
              </w:rPr>
            </w:pPr>
            <w:r>
              <w:rPr>
                <w:rFonts w:eastAsia="Times New Roman"/>
                <w:b/>
                <w:bCs/>
                <w:color w:val="000000"/>
                <w:sz w:val="18"/>
                <w:szCs w:val="18"/>
              </w:rPr>
              <w:t>(453)</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AC7F12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C590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4709A9D" w14:textId="77777777" w:rsidR="00000000" w:rsidRDefault="00A173A8">
            <w:pPr>
              <w:spacing w:after="100"/>
              <w:jc w:val="right"/>
              <w:rPr>
                <w:rFonts w:eastAsia="Times New Roman"/>
              </w:rPr>
            </w:pPr>
            <w:r>
              <w:rPr>
                <w:rFonts w:eastAsia="Times New Roman"/>
                <w:b/>
                <w:bCs/>
                <w:color w:val="000000"/>
                <w:sz w:val="18"/>
                <w:szCs w:val="18"/>
              </w:rPr>
              <w:t>16,405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EE86BE7" w14:textId="77777777" w:rsidR="00000000" w:rsidRDefault="00A173A8">
            <w:pPr>
              <w:spacing w:after="100"/>
              <w:jc w:val="right"/>
              <w:rPr>
                <w:rFonts w:eastAsia="Times New Roman"/>
              </w:rPr>
            </w:pPr>
          </w:p>
        </w:tc>
      </w:tr>
      <w:tr w:rsidR="00000000" w14:paraId="73016C68" w14:textId="77777777">
        <w:trPr>
          <w:divId w:val="378674268"/>
        </w:trPr>
        <w:tc>
          <w:tcPr>
            <w:tcW w:w="0" w:type="auto"/>
            <w:gridSpan w:val="3"/>
            <w:shd w:val="clear" w:color="auto" w:fill="FFFFFF"/>
            <w:tcMar>
              <w:top w:w="30" w:type="dxa"/>
              <w:left w:w="20" w:type="dxa"/>
              <w:bottom w:w="30" w:type="dxa"/>
              <w:right w:w="20" w:type="dxa"/>
            </w:tcMar>
            <w:vAlign w:val="center"/>
            <w:hideMark/>
          </w:tcPr>
          <w:p w14:paraId="346E061A" w14:textId="77777777" w:rsidR="00000000" w:rsidRDefault="00A173A8">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7BECE796"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A7D6505" w14:textId="77777777" w:rsidR="00000000" w:rsidRDefault="00A173A8">
            <w:pPr>
              <w:spacing w:after="100"/>
              <w:jc w:val="right"/>
              <w:rPr>
                <w:rFonts w:eastAsia="Times New Roman"/>
              </w:rPr>
            </w:pPr>
            <w:r>
              <w:rPr>
                <w:rFonts w:eastAsia="Times New Roman"/>
                <w:b/>
                <w:bCs/>
                <w:color w:val="000000"/>
                <w:sz w:val="18"/>
                <w:szCs w:val="18"/>
              </w:rPr>
              <w:t>1,126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9950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B7D65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A74A09" w14:textId="77777777" w:rsidR="00000000" w:rsidRDefault="00A173A8">
            <w:pPr>
              <w:spacing w:after="100"/>
              <w:jc w:val="right"/>
              <w:rPr>
                <w:rFonts w:eastAsia="Times New Roman"/>
              </w:rPr>
            </w:pPr>
            <w:r>
              <w:rPr>
                <w:rFonts w:eastAsia="Times New Roman"/>
                <w:b/>
                <w:bCs/>
                <w:color w:val="000000"/>
                <w:sz w:val="18"/>
                <w:szCs w:val="18"/>
              </w:rPr>
              <w:t>411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ED0011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C7276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F3E5B20" w14:textId="77777777" w:rsidR="00000000" w:rsidRDefault="00A173A8">
            <w:pPr>
              <w:spacing w:after="100"/>
              <w:jc w:val="right"/>
              <w:rPr>
                <w:rFonts w:eastAsia="Times New Roman"/>
              </w:rPr>
            </w:pPr>
            <w:r>
              <w:rPr>
                <w:rFonts w:eastAsia="Times New Roman"/>
                <w:b/>
                <w:bCs/>
                <w:color w:val="000000"/>
                <w:sz w:val="18"/>
                <w:szCs w:val="18"/>
              </w:rPr>
              <w:t>230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63ABEE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998E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92C981C" w14:textId="77777777" w:rsidR="00000000" w:rsidRDefault="00A173A8">
            <w:pPr>
              <w:spacing w:after="100"/>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center"/>
            <w:hideMark/>
          </w:tcPr>
          <w:p w14:paraId="7ED4461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92752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DA4BF50" w14:textId="77777777" w:rsidR="00000000" w:rsidRDefault="00A173A8">
            <w:pPr>
              <w:spacing w:after="100"/>
              <w:jc w:val="right"/>
              <w:rPr>
                <w:rFonts w:eastAsia="Times New Roman"/>
              </w:rPr>
            </w:pPr>
            <w:r>
              <w:rPr>
                <w:rFonts w:eastAsia="Times New Roman"/>
                <w:b/>
                <w:bCs/>
                <w:color w:val="000000"/>
                <w:sz w:val="18"/>
                <w:szCs w:val="18"/>
              </w:rPr>
              <w:t>1,762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44C6D14" w14:textId="77777777" w:rsidR="00000000" w:rsidRDefault="00A173A8">
            <w:pPr>
              <w:spacing w:after="100"/>
              <w:jc w:val="right"/>
              <w:rPr>
                <w:rFonts w:eastAsia="Times New Roman"/>
              </w:rPr>
            </w:pPr>
          </w:p>
        </w:tc>
      </w:tr>
      <w:tr w:rsidR="00000000" w14:paraId="58E25905" w14:textId="77777777">
        <w:trPr>
          <w:divId w:val="378674268"/>
        </w:trPr>
        <w:tc>
          <w:tcPr>
            <w:tcW w:w="0" w:type="auto"/>
            <w:gridSpan w:val="3"/>
            <w:shd w:val="clear" w:color="auto" w:fill="CCEEFF"/>
            <w:tcMar>
              <w:top w:w="30" w:type="dxa"/>
              <w:left w:w="20" w:type="dxa"/>
              <w:bottom w:w="30" w:type="dxa"/>
              <w:right w:w="20" w:type="dxa"/>
            </w:tcMar>
            <w:vAlign w:val="center"/>
            <w:hideMark/>
          </w:tcPr>
          <w:p w14:paraId="18A8D150" w14:textId="77777777" w:rsidR="00000000" w:rsidRDefault="00A173A8">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1F72A38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BF87E76" w14:textId="77777777" w:rsidR="00000000" w:rsidRDefault="00A173A8">
            <w:pPr>
              <w:spacing w:after="100"/>
              <w:jc w:val="right"/>
              <w:rPr>
                <w:rFonts w:eastAsia="Times New Roman"/>
              </w:rPr>
            </w:pPr>
            <w:r>
              <w:rPr>
                <w:rFonts w:eastAsia="Times New Roman"/>
                <w:b/>
                <w:bCs/>
                <w:color w:val="000000"/>
                <w:sz w:val="18"/>
                <w:szCs w:val="18"/>
              </w:rPr>
              <w:t>5,554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718377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52F8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2CCBFE1" w14:textId="77777777" w:rsidR="00000000" w:rsidRDefault="00A173A8">
            <w:pPr>
              <w:spacing w:after="100"/>
              <w:jc w:val="right"/>
              <w:rPr>
                <w:rFonts w:eastAsia="Times New Roman"/>
              </w:rPr>
            </w:pPr>
            <w:r>
              <w:rPr>
                <w:rFonts w:eastAsia="Times New Roman"/>
                <w:b/>
                <w:bCs/>
                <w:color w:val="000000"/>
                <w:sz w:val="18"/>
                <w:szCs w:val="18"/>
              </w:rPr>
              <w:t>2,522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3EA0E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2971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0DAB994" w14:textId="77777777" w:rsidR="00000000" w:rsidRDefault="00A173A8">
            <w:pPr>
              <w:spacing w:after="100"/>
              <w:jc w:val="right"/>
              <w:rPr>
                <w:rFonts w:eastAsia="Times New Roman"/>
              </w:rPr>
            </w:pPr>
            <w:r>
              <w:rPr>
                <w:rFonts w:eastAsia="Times New Roman"/>
                <w:b/>
                <w:bCs/>
                <w:color w:val="000000"/>
                <w:sz w:val="18"/>
                <w:szCs w:val="18"/>
              </w:rPr>
              <w:t>973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020E180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D171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E2BB6EE" w14:textId="77777777" w:rsidR="00000000" w:rsidRDefault="00A173A8">
            <w:pPr>
              <w:spacing w:after="100"/>
              <w:jc w:val="right"/>
              <w:rPr>
                <w:rFonts w:eastAsia="Times New Roman"/>
              </w:rPr>
            </w:pPr>
            <w:r>
              <w:rPr>
                <w:rFonts w:eastAsia="Times New Roman"/>
                <w:b/>
                <w:bCs/>
                <w:color w:val="000000"/>
                <w:sz w:val="18"/>
                <w:szCs w:val="18"/>
              </w:rPr>
              <w:t>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E15B6A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0E128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0EA368A" w14:textId="77777777" w:rsidR="00000000" w:rsidRDefault="00A173A8">
            <w:pPr>
              <w:spacing w:after="100"/>
              <w:jc w:val="right"/>
              <w:rPr>
                <w:rFonts w:eastAsia="Times New Roman"/>
              </w:rPr>
            </w:pPr>
            <w:r>
              <w:rPr>
                <w:rFonts w:eastAsia="Times New Roman"/>
                <w:b/>
                <w:bCs/>
                <w:color w:val="000000"/>
                <w:sz w:val="18"/>
                <w:szCs w:val="18"/>
              </w:rPr>
              <w:t>9,134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43B1005" w14:textId="77777777" w:rsidR="00000000" w:rsidRDefault="00A173A8">
            <w:pPr>
              <w:spacing w:after="100"/>
              <w:jc w:val="right"/>
              <w:rPr>
                <w:rFonts w:eastAsia="Times New Roman"/>
              </w:rPr>
            </w:pPr>
          </w:p>
        </w:tc>
      </w:tr>
      <w:tr w:rsidR="00000000" w14:paraId="116529BF" w14:textId="77777777">
        <w:trPr>
          <w:divId w:val="378674268"/>
        </w:trPr>
        <w:tc>
          <w:tcPr>
            <w:tcW w:w="0" w:type="auto"/>
            <w:gridSpan w:val="3"/>
            <w:shd w:val="clear" w:color="auto" w:fill="FFFFFF"/>
            <w:tcMar>
              <w:top w:w="30" w:type="dxa"/>
              <w:left w:w="20" w:type="dxa"/>
              <w:bottom w:w="30" w:type="dxa"/>
              <w:right w:w="20" w:type="dxa"/>
            </w:tcMar>
            <w:vAlign w:val="center"/>
            <w:hideMark/>
          </w:tcPr>
          <w:p w14:paraId="7E7E0BE9" w14:textId="77777777" w:rsidR="00000000" w:rsidRDefault="00A173A8">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449BF22A"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DA60D4D" w14:textId="77777777" w:rsidR="00000000" w:rsidRDefault="00A173A8">
            <w:pPr>
              <w:spacing w:after="100"/>
              <w:jc w:val="right"/>
              <w:rPr>
                <w:rFonts w:eastAsia="Times New Roman"/>
              </w:rPr>
            </w:pPr>
            <w:r>
              <w:rPr>
                <w:rFonts w:eastAsia="Times New Roman"/>
                <w:b/>
                <w:bCs/>
                <w:color w:val="000000"/>
                <w:sz w:val="18"/>
                <w:szCs w:val="18"/>
              </w:rPr>
              <w:t>3,926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65906D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68EF21"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4AA8A39" w14:textId="77777777" w:rsidR="00000000" w:rsidRDefault="00A173A8">
            <w:pPr>
              <w:spacing w:after="100"/>
              <w:jc w:val="right"/>
              <w:rPr>
                <w:rFonts w:eastAsia="Times New Roman"/>
              </w:rPr>
            </w:pPr>
            <w:r>
              <w:rPr>
                <w:rFonts w:eastAsia="Times New Roman"/>
                <w:b/>
                <w:bCs/>
                <w:color w:val="000000"/>
                <w:sz w:val="18"/>
                <w:szCs w:val="18"/>
              </w:rPr>
              <w:t>1,528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D85804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6056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759CDFB" w14:textId="77777777" w:rsidR="00000000" w:rsidRDefault="00A173A8">
            <w:pPr>
              <w:spacing w:after="100"/>
              <w:jc w:val="right"/>
              <w:rPr>
                <w:rFonts w:eastAsia="Times New Roman"/>
              </w:rPr>
            </w:pPr>
            <w:r>
              <w:rPr>
                <w:rFonts w:eastAsia="Times New Roman"/>
                <w:b/>
                <w:bCs/>
                <w:color w:val="000000"/>
                <w:sz w:val="18"/>
                <w:szCs w:val="18"/>
              </w:rPr>
              <w:t>588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3FEB4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2D00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3E626079" w14:textId="77777777" w:rsidR="00000000" w:rsidRDefault="00A173A8">
            <w:pPr>
              <w:spacing w:after="100"/>
              <w:jc w:val="right"/>
              <w:rPr>
                <w:rFonts w:eastAsia="Times New Roman"/>
              </w:rPr>
            </w:pPr>
            <w:r>
              <w:rPr>
                <w:rFonts w:eastAsia="Times New Roman"/>
                <w:b/>
                <w:bCs/>
                <w:color w:val="000000"/>
                <w:sz w:val="18"/>
                <w:szCs w:val="18"/>
              </w:rPr>
              <w:t>(533)</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F1BDEF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4AD5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4BB1B75" w14:textId="77777777" w:rsidR="00000000" w:rsidRDefault="00A173A8">
            <w:pPr>
              <w:spacing w:after="100"/>
              <w:jc w:val="right"/>
              <w:rPr>
                <w:rFonts w:eastAsia="Times New Roman"/>
              </w:rPr>
            </w:pPr>
            <w:r>
              <w:rPr>
                <w:rFonts w:eastAsia="Times New Roman"/>
                <w:b/>
                <w:bCs/>
                <w:color w:val="000000"/>
                <w:sz w:val="18"/>
                <w:szCs w:val="18"/>
              </w:rPr>
              <w:t>5,509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9190F1A" w14:textId="77777777" w:rsidR="00000000" w:rsidRDefault="00A173A8">
            <w:pPr>
              <w:spacing w:after="100"/>
              <w:jc w:val="right"/>
              <w:rPr>
                <w:rFonts w:eastAsia="Times New Roman"/>
              </w:rPr>
            </w:pPr>
          </w:p>
        </w:tc>
      </w:tr>
      <w:tr w:rsidR="00000000" w14:paraId="1889D4F0" w14:textId="77777777">
        <w:trPr>
          <w:divId w:val="378674268"/>
        </w:trPr>
        <w:tc>
          <w:tcPr>
            <w:tcW w:w="0" w:type="auto"/>
            <w:gridSpan w:val="3"/>
            <w:shd w:val="clear" w:color="auto" w:fill="CCEEFF"/>
            <w:tcMar>
              <w:top w:w="30" w:type="dxa"/>
              <w:left w:w="20" w:type="dxa"/>
              <w:bottom w:w="30" w:type="dxa"/>
              <w:right w:w="20" w:type="dxa"/>
            </w:tcMar>
            <w:vAlign w:val="center"/>
            <w:hideMark/>
          </w:tcPr>
          <w:p w14:paraId="70FF3AEF" w14:textId="77777777" w:rsidR="00000000" w:rsidRDefault="00A173A8">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0A84C5A9"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29F87FD" w14:textId="77777777" w:rsidR="00000000" w:rsidRDefault="00A173A8">
            <w:pPr>
              <w:spacing w:after="100"/>
              <w:jc w:val="right"/>
              <w:rPr>
                <w:rFonts w:eastAsia="Times New Roman"/>
              </w:rPr>
            </w:pPr>
            <w:r>
              <w:rPr>
                <w:rFonts w:eastAsia="Times New Roman"/>
                <w:b/>
                <w:bCs/>
                <w:color w:val="000000"/>
                <w:sz w:val="18"/>
                <w:szCs w:val="18"/>
              </w:rPr>
              <w:t>935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D30B31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53BD2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78BFFF9" w14:textId="77777777" w:rsidR="00000000" w:rsidRDefault="00A173A8">
            <w:pPr>
              <w:spacing w:after="100"/>
              <w:jc w:val="right"/>
              <w:rPr>
                <w:rFonts w:eastAsia="Times New Roman"/>
              </w:rPr>
            </w:pPr>
            <w:r>
              <w:rPr>
                <w:rFonts w:eastAsia="Times New Roman"/>
                <w:b/>
                <w:bCs/>
                <w:color w:val="000000"/>
                <w:sz w:val="18"/>
                <w:szCs w:val="18"/>
              </w:rPr>
              <w:t>362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0E7AA8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85EA4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679EC6D" w14:textId="77777777" w:rsidR="00000000" w:rsidRDefault="00A173A8">
            <w:pPr>
              <w:spacing w:after="100"/>
              <w:jc w:val="right"/>
              <w:rPr>
                <w:rFonts w:eastAsia="Times New Roman"/>
              </w:rPr>
            </w:pPr>
            <w:r>
              <w:rPr>
                <w:rFonts w:eastAsia="Times New Roman"/>
                <w:b/>
                <w:bCs/>
                <w:color w:val="000000"/>
                <w:sz w:val="18"/>
                <w:szCs w:val="18"/>
              </w:rPr>
              <w:t>140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6E6FFFB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30D5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512A87A" w14:textId="77777777" w:rsidR="00000000" w:rsidRDefault="00A173A8">
            <w:pPr>
              <w:spacing w:after="100"/>
              <w:jc w:val="right"/>
              <w:rPr>
                <w:rFonts w:eastAsia="Times New Roman"/>
              </w:rPr>
            </w:pPr>
            <w:r>
              <w:rPr>
                <w:rFonts w:eastAsia="Times New Roman"/>
                <w:b/>
                <w:bCs/>
                <w:color w:val="000000"/>
                <w:sz w:val="18"/>
                <w:szCs w:val="18"/>
              </w:rPr>
              <w:t>(362)</w:t>
            </w:r>
          </w:p>
        </w:tc>
        <w:tc>
          <w:tcPr>
            <w:tcW w:w="0" w:type="auto"/>
            <w:shd w:val="clear" w:color="auto" w:fill="CCEEFF"/>
            <w:tcMar>
              <w:top w:w="30" w:type="dxa"/>
              <w:left w:w="0" w:type="dxa"/>
              <w:bottom w:w="30" w:type="dxa"/>
              <w:right w:w="20" w:type="dxa"/>
            </w:tcMar>
            <w:vAlign w:val="center"/>
            <w:hideMark/>
          </w:tcPr>
          <w:p w14:paraId="77D6382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35C06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92245B1" w14:textId="77777777" w:rsidR="00000000" w:rsidRDefault="00A173A8">
            <w:pPr>
              <w:spacing w:after="100"/>
              <w:jc w:val="right"/>
              <w:rPr>
                <w:rFonts w:eastAsia="Times New Roman"/>
              </w:rPr>
            </w:pPr>
            <w:r>
              <w:rPr>
                <w:rFonts w:eastAsia="Times New Roman"/>
                <w:b/>
                <w:bCs/>
                <w:color w:val="000000"/>
                <w:sz w:val="18"/>
                <w:szCs w:val="18"/>
              </w:rPr>
              <w:t>1,075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2D88C44" w14:textId="77777777" w:rsidR="00000000" w:rsidRDefault="00A173A8">
            <w:pPr>
              <w:spacing w:after="100"/>
              <w:jc w:val="right"/>
              <w:rPr>
                <w:rFonts w:eastAsia="Times New Roman"/>
              </w:rPr>
            </w:pPr>
          </w:p>
        </w:tc>
      </w:tr>
      <w:tr w:rsidR="00000000" w14:paraId="22FBE90E" w14:textId="77777777">
        <w:trPr>
          <w:divId w:val="378674268"/>
        </w:trPr>
        <w:tc>
          <w:tcPr>
            <w:tcW w:w="0" w:type="auto"/>
            <w:gridSpan w:val="3"/>
            <w:shd w:val="clear" w:color="auto" w:fill="FFFFFF"/>
            <w:tcMar>
              <w:top w:w="30" w:type="dxa"/>
              <w:left w:w="20" w:type="dxa"/>
              <w:bottom w:w="30" w:type="dxa"/>
              <w:right w:w="20" w:type="dxa"/>
            </w:tcMar>
            <w:vAlign w:val="center"/>
            <w:hideMark/>
          </w:tcPr>
          <w:p w14:paraId="7ABAB28E" w14:textId="77777777" w:rsidR="00000000" w:rsidRDefault="00A173A8">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6760FAB4"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E7EB4D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DEB7F35" w14:textId="77777777" w:rsidR="00000000" w:rsidRDefault="00A173A8">
            <w:pPr>
              <w:spacing w:after="100"/>
              <w:jc w:val="right"/>
              <w:rPr>
                <w:rFonts w:eastAsia="Times New Roman"/>
              </w:rPr>
            </w:pPr>
            <w:r>
              <w:rPr>
                <w:rFonts w:eastAsia="Times New Roman"/>
                <w:b/>
                <w:bCs/>
                <w:color w:val="000000"/>
                <w:sz w:val="18"/>
                <w:szCs w:val="18"/>
              </w:rPr>
              <w:t>2,991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E7BE0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5EB7EE"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9C2ED9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6229D2A" w14:textId="77777777" w:rsidR="00000000" w:rsidRDefault="00A173A8">
            <w:pPr>
              <w:spacing w:after="100"/>
              <w:jc w:val="right"/>
              <w:rPr>
                <w:rFonts w:eastAsia="Times New Roman"/>
              </w:rPr>
            </w:pPr>
            <w:r>
              <w:rPr>
                <w:rFonts w:eastAsia="Times New Roman"/>
                <w:b/>
                <w:bCs/>
                <w:color w:val="000000"/>
                <w:sz w:val="18"/>
                <w:szCs w:val="18"/>
              </w:rPr>
              <w:t>1,166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8F43B2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8D704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9182C7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F6F2D5F" w14:textId="77777777" w:rsidR="00000000" w:rsidRDefault="00A173A8">
            <w:pPr>
              <w:spacing w:after="100"/>
              <w:jc w:val="right"/>
              <w:rPr>
                <w:rFonts w:eastAsia="Times New Roman"/>
              </w:rPr>
            </w:pPr>
            <w:r>
              <w:rPr>
                <w:rFonts w:eastAsia="Times New Roman"/>
                <w:b/>
                <w:bCs/>
                <w:color w:val="000000"/>
                <w:sz w:val="18"/>
                <w:szCs w:val="18"/>
              </w:rPr>
              <w:t>448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72C625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C477DE"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837739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2593528" w14:textId="77777777" w:rsidR="00000000" w:rsidRDefault="00A173A8">
            <w:pPr>
              <w:spacing w:after="100"/>
              <w:jc w:val="right"/>
              <w:rPr>
                <w:rFonts w:eastAsia="Times New Roman"/>
              </w:rPr>
            </w:pPr>
            <w:r>
              <w:rPr>
                <w:rFonts w:eastAsia="Times New Roman"/>
                <w:b/>
                <w:bCs/>
                <w:color w:val="000000"/>
                <w:sz w:val="18"/>
                <w:szCs w:val="18"/>
              </w:rPr>
              <w:t>(171)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358EA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6138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696BD5E"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FEB6489" w14:textId="77777777" w:rsidR="00000000" w:rsidRDefault="00A173A8">
            <w:pPr>
              <w:spacing w:after="100"/>
              <w:jc w:val="right"/>
              <w:rPr>
                <w:rFonts w:eastAsia="Times New Roman"/>
              </w:rPr>
            </w:pPr>
            <w:r>
              <w:rPr>
                <w:rFonts w:eastAsia="Times New Roman"/>
                <w:b/>
                <w:bCs/>
                <w:color w:val="000000"/>
                <w:sz w:val="18"/>
                <w:szCs w:val="18"/>
              </w:rPr>
              <w:t>4,434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47CCE1C" w14:textId="77777777" w:rsidR="00000000" w:rsidRDefault="00A173A8">
            <w:pPr>
              <w:spacing w:after="100"/>
              <w:jc w:val="right"/>
              <w:rPr>
                <w:rFonts w:eastAsia="Times New Roman"/>
              </w:rPr>
            </w:pPr>
          </w:p>
        </w:tc>
      </w:tr>
      <w:tr w:rsidR="00000000" w14:paraId="6F4CABCF" w14:textId="77777777">
        <w:trPr>
          <w:divId w:val="378674268"/>
        </w:trPr>
        <w:tc>
          <w:tcPr>
            <w:tcW w:w="0" w:type="auto"/>
            <w:gridSpan w:val="3"/>
            <w:shd w:val="clear" w:color="auto" w:fill="CCEEFF"/>
            <w:tcMar>
              <w:top w:w="30" w:type="dxa"/>
              <w:left w:w="20" w:type="dxa"/>
              <w:bottom w:w="30" w:type="dxa"/>
              <w:right w:w="20" w:type="dxa"/>
            </w:tcMar>
            <w:vAlign w:val="center"/>
            <w:hideMark/>
          </w:tcPr>
          <w:p w14:paraId="3528929B" w14:textId="77777777" w:rsidR="00000000" w:rsidRDefault="00A173A8">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708D19F3" w14:textId="77777777" w:rsidR="00000000" w:rsidRDefault="00A173A8">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02970B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00D61CFD" w14:textId="77777777" w:rsidR="00000000" w:rsidRDefault="00A173A8">
            <w:pPr>
              <w:spacing w:after="100"/>
              <w:jc w:val="right"/>
              <w:rPr>
                <w:rFonts w:eastAsia="Times New Roman"/>
              </w:rPr>
            </w:pPr>
            <w:r>
              <w:rPr>
                <w:rFonts w:eastAsia="Times New Roman"/>
                <w:b/>
                <w:bCs/>
                <w:color w:val="000000"/>
                <w:sz w:val="18"/>
                <w:szCs w:val="18"/>
              </w:rPr>
              <w:t>120,880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3122B6C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BCCB7"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479393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9950C65" w14:textId="77777777" w:rsidR="00000000" w:rsidRDefault="00A173A8">
            <w:pPr>
              <w:spacing w:after="100"/>
              <w:jc w:val="right"/>
              <w:rPr>
                <w:rFonts w:eastAsia="Times New Roman"/>
              </w:rPr>
            </w:pPr>
            <w:r>
              <w:rPr>
                <w:rFonts w:eastAsia="Times New Roman"/>
                <w:b/>
                <w:bCs/>
                <w:color w:val="000000"/>
                <w:sz w:val="18"/>
                <w:szCs w:val="18"/>
              </w:rPr>
              <w:t>81,531</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1609684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1CFEC"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4C254B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1E3800D8" w14:textId="77777777" w:rsidR="00000000" w:rsidRDefault="00A173A8">
            <w:pPr>
              <w:spacing w:after="100"/>
              <w:jc w:val="right"/>
              <w:rPr>
                <w:rFonts w:eastAsia="Times New Roman"/>
              </w:rPr>
            </w:pPr>
            <w:r>
              <w:rPr>
                <w:rFonts w:eastAsia="Times New Roman"/>
                <w:b/>
                <w:bCs/>
                <w:color w:val="000000"/>
                <w:sz w:val="18"/>
                <w:szCs w:val="18"/>
              </w:rPr>
              <w:t>93,973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585103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CC2590"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EC9CA6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1E6670AA"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5AFCF9D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A2711"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E898F38"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3E481B3B" w14:textId="77777777" w:rsidR="00000000" w:rsidRDefault="00A173A8">
            <w:pPr>
              <w:spacing w:after="100"/>
              <w:jc w:val="right"/>
              <w:rPr>
                <w:rFonts w:eastAsia="Times New Roman"/>
              </w:rPr>
            </w:pPr>
            <w:r>
              <w:rPr>
                <w:rFonts w:eastAsia="Times New Roman"/>
                <w:b/>
                <w:bCs/>
                <w:color w:val="000000"/>
                <w:sz w:val="18"/>
                <w:szCs w:val="18"/>
              </w:rPr>
              <w:t>296,384</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F496FA3" w14:textId="77777777" w:rsidR="00000000" w:rsidRDefault="00A173A8">
            <w:pPr>
              <w:spacing w:after="100"/>
              <w:jc w:val="right"/>
              <w:rPr>
                <w:rFonts w:eastAsia="Times New Roman"/>
              </w:rPr>
            </w:pPr>
          </w:p>
        </w:tc>
      </w:tr>
      <w:tr w:rsidR="00000000" w14:paraId="766DC9F4" w14:textId="77777777">
        <w:trPr>
          <w:divId w:val="378674268"/>
        </w:trPr>
        <w:tc>
          <w:tcPr>
            <w:tcW w:w="0" w:type="auto"/>
            <w:gridSpan w:val="3"/>
            <w:shd w:val="clear" w:color="auto" w:fill="FFFFFF"/>
            <w:tcMar>
              <w:top w:w="30" w:type="dxa"/>
              <w:left w:w="20" w:type="dxa"/>
              <w:bottom w:w="30" w:type="dxa"/>
              <w:right w:w="20" w:type="dxa"/>
            </w:tcMar>
            <w:vAlign w:val="center"/>
            <w:hideMark/>
          </w:tcPr>
          <w:p w14:paraId="6B681E1B" w14:textId="77777777" w:rsidR="00000000" w:rsidRDefault="00A173A8">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1457E00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0A3A4DE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9CA625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B86E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4E27FDD" w14:textId="77777777" w:rsidR="00000000" w:rsidRDefault="00A173A8">
            <w:pPr>
              <w:spacing w:after="100"/>
              <w:jc w:val="right"/>
              <w:rPr>
                <w:rFonts w:eastAsia="Times New Roman"/>
              </w:rPr>
            </w:pPr>
            <w:r>
              <w:rPr>
                <w:rFonts w:eastAsia="Times New Roman"/>
                <w:b/>
                <w:bCs/>
                <w:color w:val="000000"/>
                <w:sz w:val="18"/>
                <w:szCs w:val="18"/>
              </w:rPr>
              <w:t>255,904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05033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3A24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504E777" w14:textId="77777777" w:rsidR="00000000" w:rsidRDefault="00A173A8">
            <w:pPr>
              <w:spacing w:after="100"/>
              <w:jc w:val="right"/>
              <w:rPr>
                <w:rFonts w:eastAsia="Times New Roman"/>
              </w:rPr>
            </w:pPr>
            <w:r>
              <w:rPr>
                <w:rFonts w:eastAsia="Times New Roman"/>
                <w:b/>
                <w:bCs/>
                <w:color w:val="000000"/>
                <w:sz w:val="18"/>
                <w:szCs w:val="18"/>
              </w:rPr>
              <w:t>38,844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830951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5BEB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038239" w14:textId="77777777" w:rsidR="00000000" w:rsidRDefault="00A173A8">
            <w:pPr>
              <w:spacing w:after="100"/>
              <w:jc w:val="right"/>
              <w:rPr>
                <w:rFonts w:eastAsia="Times New Roman"/>
              </w:rPr>
            </w:pPr>
            <w:r>
              <w:rPr>
                <w:rFonts w:eastAsia="Times New Roman"/>
                <w:b/>
                <w:bCs/>
                <w:color w:val="000000"/>
                <w:sz w:val="18"/>
                <w:szCs w:val="18"/>
              </w:rPr>
              <w:t>13,137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2A7A09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C7CF0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5E8FD8" w14:textId="77777777" w:rsidR="00000000" w:rsidRDefault="00A173A8">
            <w:pPr>
              <w:spacing w:after="100"/>
              <w:jc w:val="right"/>
              <w:rPr>
                <w:rFonts w:eastAsia="Times New Roman"/>
              </w:rPr>
            </w:pPr>
            <w:r>
              <w:rPr>
                <w:rFonts w:eastAsia="Times New Roman"/>
                <w:b/>
                <w:bCs/>
                <w:color w:val="000000"/>
                <w:sz w:val="18"/>
                <w:szCs w:val="18"/>
              </w:rPr>
              <w:t>307,885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DC129CE" w14:textId="77777777" w:rsidR="00000000" w:rsidRDefault="00A173A8">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781"/>
        <w:gridCol w:w="144"/>
        <w:gridCol w:w="144"/>
        <w:gridCol w:w="144"/>
        <w:gridCol w:w="144"/>
        <w:gridCol w:w="144"/>
        <w:gridCol w:w="733"/>
        <w:gridCol w:w="144"/>
        <w:gridCol w:w="144"/>
        <w:gridCol w:w="144"/>
        <w:gridCol w:w="144"/>
        <w:gridCol w:w="144"/>
        <w:gridCol w:w="721"/>
        <w:gridCol w:w="144"/>
        <w:gridCol w:w="144"/>
        <w:gridCol w:w="144"/>
        <w:gridCol w:w="144"/>
        <w:gridCol w:w="144"/>
        <w:gridCol w:w="782"/>
        <w:gridCol w:w="144"/>
        <w:gridCol w:w="144"/>
        <w:gridCol w:w="144"/>
        <w:gridCol w:w="144"/>
        <w:gridCol w:w="144"/>
        <w:gridCol w:w="684"/>
        <w:gridCol w:w="144"/>
        <w:gridCol w:w="144"/>
        <w:gridCol w:w="144"/>
        <w:gridCol w:w="144"/>
        <w:gridCol w:w="144"/>
        <w:gridCol w:w="733"/>
        <w:gridCol w:w="144"/>
      </w:tblGrid>
      <w:tr w:rsidR="00000000" w14:paraId="105E2182" w14:textId="77777777">
        <w:tc>
          <w:tcPr>
            <w:tcW w:w="50" w:type="pct"/>
            <w:vAlign w:val="center"/>
            <w:hideMark/>
          </w:tcPr>
          <w:p w14:paraId="6CE99B3C" w14:textId="77777777" w:rsidR="00000000" w:rsidRDefault="00A173A8">
            <w:pPr>
              <w:rPr>
                <w:rFonts w:eastAsia="Times New Roman"/>
              </w:rPr>
            </w:pPr>
          </w:p>
        </w:tc>
        <w:tc>
          <w:tcPr>
            <w:tcW w:w="2280" w:type="pct"/>
            <w:vAlign w:val="center"/>
            <w:hideMark/>
          </w:tcPr>
          <w:p w14:paraId="58F547E7" w14:textId="77777777" w:rsidR="00000000" w:rsidRDefault="00A173A8">
            <w:pPr>
              <w:spacing w:after="100"/>
              <w:rPr>
                <w:rFonts w:eastAsia="Times New Roman"/>
                <w:sz w:val="20"/>
                <w:szCs w:val="20"/>
              </w:rPr>
            </w:pPr>
          </w:p>
        </w:tc>
        <w:tc>
          <w:tcPr>
            <w:tcW w:w="5" w:type="pct"/>
            <w:vAlign w:val="center"/>
            <w:hideMark/>
          </w:tcPr>
          <w:p w14:paraId="54D4538A" w14:textId="77777777" w:rsidR="00000000" w:rsidRDefault="00A173A8">
            <w:pPr>
              <w:spacing w:after="100"/>
              <w:rPr>
                <w:rFonts w:eastAsia="Times New Roman"/>
                <w:sz w:val="20"/>
                <w:szCs w:val="20"/>
              </w:rPr>
            </w:pPr>
          </w:p>
        </w:tc>
        <w:tc>
          <w:tcPr>
            <w:tcW w:w="5" w:type="pct"/>
            <w:vAlign w:val="center"/>
            <w:hideMark/>
          </w:tcPr>
          <w:p w14:paraId="7095C12D" w14:textId="77777777" w:rsidR="00000000" w:rsidRDefault="00A173A8">
            <w:pPr>
              <w:spacing w:after="100"/>
              <w:rPr>
                <w:rFonts w:eastAsia="Times New Roman"/>
                <w:sz w:val="20"/>
                <w:szCs w:val="20"/>
              </w:rPr>
            </w:pPr>
          </w:p>
        </w:tc>
        <w:tc>
          <w:tcPr>
            <w:tcW w:w="26" w:type="pct"/>
            <w:vAlign w:val="center"/>
            <w:hideMark/>
          </w:tcPr>
          <w:p w14:paraId="3C20D8B4" w14:textId="77777777" w:rsidR="00000000" w:rsidRDefault="00A173A8">
            <w:pPr>
              <w:spacing w:after="100"/>
              <w:rPr>
                <w:rFonts w:eastAsia="Times New Roman"/>
                <w:sz w:val="20"/>
                <w:szCs w:val="20"/>
              </w:rPr>
            </w:pPr>
          </w:p>
        </w:tc>
        <w:tc>
          <w:tcPr>
            <w:tcW w:w="5" w:type="pct"/>
            <w:vAlign w:val="center"/>
            <w:hideMark/>
          </w:tcPr>
          <w:p w14:paraId="532646E2" w14:textId="77777777" w:rsidR="00000000" w:rsidRDefault="00A173A8">
            <w:pPr>
              <w:spacing w:after="100"/>
              <w:rPr>
                <w:rFonts w:eastAsia="Times New Roman"/>
                <w:sz w:val="20"/>
                <w:szCs w:val="20"/>
              </w:rPr>
            </w:pPr>
          </w:p>
        </w:tc>
        <w:tc>
          <w:tcPr>
            <w:tcW w:w="50" w:type="pct"/>
            <w:vAlign w:val="center"/>
            <w:hideMark/>
          </w:tcPr>
          <w:p w14:paraId="7E7A2F9A" w14:textId="77777777" w:rsidR="00000000" w:rsidRDefault="00A173A8">
            <w:pPr>
              <w:spacing w:after="100"/>
              <w:rPr>
                <w:rFonts w:eastAsia="Times New Roman"/>
                <w:sz w:val="20"/>
                <w:szCs w:val="20"/>
              </w:rPr>
            </w:pPr>
          </w:p>
        </w:tc>
        <w:tc>
          <w:tcPr>
            <w:tcW w:w="442" w:type="pct"/>
            <w:vAlign w:val="center"/>
            <w:hideMark/>
          </w:tcPr>
          <w:p w14:paraId="30812F8A" w14:textId="77777777" w:rsidR="00000000" w:rsidRDefault="00A173A8">
            <w:pPr>
              <w:spacing w:after="100"/>
              <w:rPr>
                <w:rFonts w:eastAsia="Times New Roman"/>
                <w:sz w:val="20"/>
                <w:szCs w:val="20"/>
              </w:rPr>
            </w:pPr>
          </w:p>
        </w:tc>
        <w:tc>
          <w:tcPr>
            <w:tcW w:w="5" w:type="pct"/>
            <w:vAlign w:val="center"/>
            <w:hideMark/>
          </w:tcPr>
          <w:p w14:paraId="6709A011" w14:textId="77777777" w:rsidR="00000000" w:rsidRDefault="00A173A8">
            <w:pPr>
              <w:spacing w:after="100"/>
              <w:rPr>
                <w:rFonts w:eastAsia="Times New Roman"/>
                <w:sz w:val="20"/>
                <w:szCs w:val="20"/>
              </w:rPr>
            </w:pPr>
          </w:p>
        </w:tc>
        <w:tc>
          <w:tcPr>
            <w:tcW w:w="5" w:type="pct"/>
            <w:vAlign w:val="center"/>
            <w:hideMark/>
          </w:tcPr>
          <w:p w14:paraId="774E8B55" w14:textId="77777777" w:rsidR="00000000" w:rsidRDefault="00A173A8">
            <w:pPr>
              <w:spacing w:after="100"/>
              <w:rPr>
                <w:rFonts w:eastAsia="Times New Roman"/>
                <w:sz w:val="20"/>
                <w:szCs w:val="20"/>
              </w:rPr>
            </w:pPr>
          </w:p>
        </w:tc>
        <w:tc>
          <w:tcPr>
            <w:tcW w:w="26" w:type="pct"/>
            <w:vAlign w:val="center"/>
            <w:hideMark/>
          </w:tcPr>
          <w:p w14:paraId="1B442FF2" w14:textId="77777777" w:rsidR="00000000" w:rsidRDefault="00A173A8">
            <w:pPr>
              <w:spacing w:after="100"/>
              <w:rPr>
                <w:rFonts w:eastAsia="Times New Roman"/>
                <w:sz w:val="20"/>
                <w:szCs w:val="20"/>
              </w:rPr>
            </w:pPr>
          </w:p>
        </w:tc>
        <w:tc>
          <w:tcPr>
            <w:tcW w:w="5" w:type="pct"/>
            <w:vAlign w:val="center"/>
            <w:hideMark/>
          </w:tcPr>
          <w:p w14:paraId="21F01854" w14:textId="77777777" w:rsidR="00000000" w:rsidRDefault="00A173A8">
            <w:pPr>
              <w:spacing w:after="100"/>
              <w:rPr>
                <w:rFonts w:eastAsia="Times New Roman"/>
                <w:sz w:val="20"/>
                <w:szCs w:val="20"/>
              </w:rPr>
            </w:pPr>
          </w:p>
        </w:tc>
        <w:tc>
          <w:tcPr>
            <w:tcW w:w="50" w:type="pct"/>
            <w:vAlign w:val="center"/>
            <w:hideMark/>
          </w:tcPr>
          <w:p w14:paraId="12E217F3" w14:textId="77777777" w:rsidR="00000000" w:rsidRDefault="00A173A8">
            <w:pPr>
              <w:spacing w:after="100"/>
              <w:rPr>
                <w:rFonts w:eastAsia="Times New Roman"/>
                <w:sz w:val="20"/>
                <w:szCs w:val="20"/>
              </w:rPr>
            </w:pPr>
          </w:p>
        </w:tc>
        <w:tc>
          <w:tcPr>
            <w:tcW w:w="435" w:type="pct"/>
            <w:vAlign w:val="center"/>
            <w:hideMark/>
          </w:tcPr>
          <w:p w14:paraId="06BD790E" w14:textId="77777777" w:rsidR="00000000" w:rsidRDefault="00A173A8">
            <w:pPr>
              <w:spacing w:after="100"/>
              <w:rPr>
                <w:rFonts w:eastAsia="Times New Roman"/>
                <w:sz w:val="20"/>
                <w:szCs w:val="20"/>
              </w:rPr>
            </w:pPr>
          </w:p>
        </w:tc>
        <w:tc>
          <w:tcPr>
            <w:tcW w:w="5" w:type="pct"/>
            <w:vAlign w:val="center"/>
            <w:hideMark/>
          </w:tcPr>
          <w:p w14:paraId="2DD9D545" w14:textId="77777777" w:rsidR="00000000" w:rsidRDefault="00A173A8">
            <w:pPr>
              <w:spacing w:after="100"/>
              <w:rPr>
                <w:rFonts w:eastAsia="Times New Roman"/>
                <w:sz w:val="20"/>
                <w:szCs w:val="20"/>
              </w:rPr>
            </w:pPr>
          </w:p>
        </w:tc>
        <w:tc>
          <w:tcPr>
            <w:tcW w:w="5" w:type="pct"/>
            <w:vAlign w:val="center"/>
            <w:hideMark/>
          </w:tcPr>
          <w:p w14:paraId="18D780F9" w14:textId="77777777" w:rsidR="00000000" w:rsidRDefault="00A173A8">
            <w:pPr>
              <w:spacing w:after="100"/>
              <w:rPr>
                <w:rFonts w:eastAsia="Times New Roman"/>
                <w:sz w:val="20"/>
                <w:szCs w:val="20"/>
              </w:rPr>
            </w:pPr>
          </w:p>
        </w:tc>
        <w:tc>
          <w:tcPr>
            <w:tcW w:w="26" w:type="pct"/>
            <w:vAlign w:val="center"/>
            <w:hideMark/>
          </w:tcPr>
          <w:p w14:paraId="1E7BA02F" w14:textId="77777777" w:rsidR="00000000" w:rsidRDefault="00A173A8">
            <w:pPr>
              <w:spacing w:after="100"/>
              <w:rPr>
                <w:rFonts w:eastAsia="Times New Roman"/>
                <w:sz w:val="20"/>
                <w:szCs w:val="20"/>
              </w:rPr>
            </w:pPr>
          </w:p>
        </w:tc>
        <w:tc>
          <w:tcPr>
            <w:tcW w:w="5" w:type="pct"/>
            <w:vAlign w:val="center"/>
            <w:hideMark/>
          </w:tcPr>
          <w:p w14:paraId="07BCE8BE" w14:textId="77777777" w:rsidR="00000000" w:rsidRDefault="00A173A8">
            <w:pPr>
              <w:spacing w:after="100"/>
              <w:rPr>
                <w:rFonts w:eastAsia="Times New Roman"/>
                <w:sz w:val="20"/>
                <w:szCs w:val="20"/>
              </w:rPr>
            </w:pPr>
          </w:p>
        </w:tc>
        <w:tc>
          <w:tcPr>
            <w:tcW w:w="50" w:type="pct"/>
            <w:vAlign w:val="center"/>
            <w:hideMark/>
          </w:tcPr>
          <w:p w14:paraId="7539874E" w14:textId="77777777" w:rsidR="00000000" w:rsidRDefault="00A173A8">
            <w:pPr>
              <w:spacing w:after="100"/>
              <w:rPr>
                <w:rFonts w:eastAsia="Times New Roman"/>
                <w:sz w:val="20"/>
                <w:szCs w:val="20"/>
              </w:rPr>
            </w:pPr>
          </w:p>
        </w:tc>
        <w:tc>
          <w:tcPr>
            <w:tcW w:w="472" w:type="pct"/>
            <w:vAlign w:val="center"/>
            <w:hideMark/>
          </w:tcPr>
          <w:p w14:paraId="3B08A3B6" w14:textId="77777777" w:rsidR="00000000" w:rsidRDefault="00A173A8">
            <w:pPr>
              <w:spacing w:after="100"/>
              <w:rPr>
                <w:rFonts w:eastAsia="Times New Roman"/>
                <w:sz w:val="20"/>
                <w:szCs w:val="20"/>
              </w:rPr>
            </w:pPr>
          </w:p>
        </w:tc>
        <w:tc>
          <w:tcPr>
            <w:tcW w:w="5" w:type="pct"/>
            <w:vAlign w:val="center"/>
            <w:hideMark/>
          </w:tcPr>
          <w:p w14:paraId="557D5801" w14:textId="77777777" w:rsidR="00000000" w:rsidRDefault="00A173A8">
            <w:pPr>
              <w:spacing w:after="100"/>
              <w:rPr>
                <w:rFonts w:eastAsia="Times New Roman"/>
                <w:sz w:val="20"/>
                <w:szCs w:val="20"/>
              </w:rPr>
            </w:pPr>
          </w:p>
        </w:tc>
        <w:tc>
          <w:tcPr>
            <w:tcW w:w="5" w:type="pct"/>
            <w:vAlign w:val="center"/>
            <w:hideMark/>
          </w:tcPr>
          <w:p w14:paraId="44A604DD" w14:textId="77777777" w:rsidR="00000000" w:rsidRDefault="00A173A8">
            <w:pPr>
              <w:spacing w:after="100"/>
              <w:rPr>
                <w:rFonts w:eastAsia="Times New Roman"/>
                <w:sz w:val="20"/>
                <w:szCs w:val="20"/>
              </w:rPr>
            </w:pPr>
          </w:p>
        </w:tc>
        <w:tc>
          <w:tcPr>
            <w:tcW w:w="26" w:type="pct"/>
            <w:vAlign w:val="center"/>
            <w:hideMark/>
          </w:tcPr>
          <w:p w14:paraId="30157EB5" w14:textId="77777777" w:rsidR="00000000" w:rsidRDefault="00A173A8">
            <w:pPr>
              <w:spacing w:after="100"/>
              <w:rPr>
                <w:rFonts w:eastAsia="Times New Roman"/>
                <w:sz w:val="20"/>
                <w:szCs w:val="20"/>
              </w:rPr>
            </w:pPr>
          </w:p>
        </w:tc>
        <w:tc>
          <w:tcPr>
            <w:tcW w:w="5" w:type="pct"/>
            <w:vAlign w:val="center"/>
            <w:hideMark/>
          </w:tcPr>
          <w:p w14:paraId="43AAB939" w14:textId="77777777" w:rsidR="00000000" w:rsidRDefault="00A173A8">
            <w:pPr>
              <w:spacing w:after="100"/>
              <w:rPr>
                <w:rFonts w:eastAsia="Times New Roman"/>
                <w:sz w:val="20"/>
                <w:szCs w:val="20"/>
              </w:rPr>
            </w:pPr>
          </w:p>
        </w:tc>
        <w:tc>
          <w:tcPr>
            <w:tcW w:w="50" w:type="pct"/>
            <w:vAlign w:val="center"/>
            <w:hideMark/>
          </w:tcPr>
          <w:p w14:paraId="0790A6E3" w14:textId="77777777" w:rsidR="00000000" w:rsidRDefault="00A173A8">
            <w:pPr>
              <w:spacing w:after="100"/>
              <w:rPr>
                <w:rFonts w:eastAsia="Times New Roman"/>
                <w:sz w:val="20"/>
                <w:szCs w:val="20"/>
              </w:rPr>
            </w:pPr>
          </w:p>
        </w:tc>
        <w:tc>
          <w:tcPr>
            <w:tcW w:w="413" w:type="pct"/>
            <w:vAlign w:val="center"/>
            <w:hideMark/>
          </w:tcPr>
          <w:p w14:paraId="535F0A83" w14:textId="77777777" w:rsidR="00000000" w:rsidRDefault="00A173A8">
            <w:pPr>
              <w:spacing w:after="100"/>
              <w:rPr>
                <w:rFonts w:eastAsia="Times New Roman"/>
                <w:sz w:val="20"/>
                <w:szCs w:val="20"/>
              </w:rPr>
            </w:pPr>
          </w:p>
        </w:tc>
        <w:tc>
          <w:tcPr>
            <w:tcW w:w="5" w:type="pct"/>
            <w:vAlign w:val="center"/>
            <w:hideMark/>
          </w:tcPr>
          <w:p w14:paraId="00231857" w14:textId="77777777" w:rsidR="00000000" w:rsidRDefault="00A173A8">
            <w:pPr>
              <w:spacing w:after="100"/>
              <w:rPr>
                <w:rFonts w:eastAsia="Times New Roman"/>
                <w:sz w:val="20"/>
                <w:szCs w:val="20"/>
              </w:rPr>
            </w:pPr>
          </w:p>
        </w:tc>
        <w:tc>
          <w:tcPr>
            <w:tcW w:w="5" w:type="pct"/>
            <w:vAlign w:val="center"/>
            <w:hideMark/>
          </w:tcPr>
          <w:p w14:paraId="5D695F6D" w14:textId="77777777" w:rsidR="00000000" w:rsidRDefault="00A173A8">
            <w:pPr>
              <w:spacing w:after="100"/>
              <w:rPr>
                <w:rFonts w:eastAsia="Times New Roman"/>
                <w:sz w:val="20"/>
                <w:szCs w:val="20"/>
              </w:rPr>
            </w:pPr>
          </w:p>
        </w:tc>
        <w:tc>
          <w:tcPr>
            <w:tcW w:w="26" w:type="pct"/>
            <w:vAlign w:val="center"/>
            <w:hideMark/>
          </w:tcPr>
          <w:p w14:paraId="2E7EBDAE" w14:textId="77777777" w:rsidR="00000000" w:rsidRDefault="00A173A8">
            <w:pPr>
              <w:spacing w:after="100"/>
              <w:rPr>
                <w:rFonts w:eastAsia="Times New Roman"/>
                <w:sz w:val="20"/>
                <w:szCs w:val="20"/>
              </w:rPr>
            </w:pPr>
          </w:p>
        </w:tc>
        <w:tc>
          <w:tcPr>
            <w:tcW w:w="5" w:type="pct"/>
            <w:vAlign w:val="center"/>
            <w:hideMark/>
          </w:tcPr>
          <w:p w14:paraId="4F3F7F59" w14:textId="77777777" w:rsidR="00000000" w:rsidRDefault="00A173A8">
            <w:pPr>
              <w:spacing w:after="100"/>
              <w:rPr>
                <w:rFonts w:eastAsia="Times New Roman"/>
                <w:sz w:val="20"/>
                <w:szCs w:val="20"/>
              </w:rPr>
            </w:pPr>
          </w:p>
        </w:tc>
        <w:tc>
          <w:tcPr>
            <w:tcW w:w="50" w:type="pct"/>
            <w:vAlign w:val="center"/>
            <w:hideMark/>
          </w:tcPr>
          <w:p w14:paraId="52054994" w14:textId="77777777" w:rsidR="00000000" w:rsidRDefault="00A173A8">
            <w:pPr>
              <w:spacing w:after="100"/>
              <w:rPr>
                <w:rFonts w:eastAsia="Times New Roman"/>
                <w:sz w:val="20"/>
                <w:szCs w:val="20"/>
              </w:rPr>
            </w:pPr>
          </w:p>
        </w:tc>
        <w:tc>
          <w:tcPr>
            <w:tcW w:w="442" w:type="pct"/>
            <w:vAlign w:val="center"/>
            <w:hideMark/>
          </w:tcPr>
          <w:p w14:paraId="2FE4A136" w14:textId="77777777" w:rsidR="00000000" w:rsidRDefault="00A173A8">
            <w:pPr>
              <w:spacing w:after="100"/>
              <w:rPr>
                <w:rFonts w:eastAsia="Times New Roman"/>
                <w:sz w:val="20"/>
                <w:szCs w:val="20"/>
              </w:rPr>
            </w:pPr>
          </w:p>
        </w:tc>
        <w:tc>
          <w:tcPr>
            <w:tcW w:w="5" w:type="pct"/>
            <w:vAlign w:val="center"/>
            <w:hideMark/>
          </w:tcPr>
          <w:p w14:paraId="7109646A" w14:textId="77777777" w:rsidR="00000000" w:rsidRDefault="00A173A8">
            <w:pPr>
              <w:spacing w:after="100"/>
              <w:rPr>
                <w:rFonts w:eastAsia="Times New Roman"/>
                <w:sz w:val="20"/>
                <w:szCs w:val="20"/>
              </w:rPr>
            </w:pPr>
          </w:p>
        </w:tc>
      </w:tr>
      <w:tr w:rsidR="00000000" w14:paraId="53341DDB" w14:textId="77777777">
        <w:tc>
          <w:tcPr>
            <w:tcW w:w="0" w:type="auto"/>
            <w:gridSpan w:val="3"/>
            <w:tcMar>
              <w:top w:w="0" w:type="dxa"/>
              <w:left w:w="20" w:type="dxa"/>
              <w:bottom w:w="0" w:type="dxa"/>
              <w:right w:w="20" w:type="dxa"/>
            </w:tcMar>
            <w:vAlign w:val="center"/>
            <w:hideMark/>
          </w:tcPr>
          <w:p w14:paraId="06383A64"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24D0B7"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3D67D3C6" w14:textId="77777777" w:rsidR="00000000" w:rsidRDefault="00A173A8">
            <w:pPr>
              <w:spacing w:after="100"/>
              <w:jc w:val="center"/>
              <w:rPr>
                <w:rFonts w:eastAsia="Times New Roman"/>
              </w:rPr>
            </w:pPr>
            <w:r>
              <w:rPr>
                <w:rFonts w:eastAsia="Times New Roman"/>
                <w:b/>
                <w:bCs/>
                <w:color w:val="000000"/>
                <w:sz w:val="16"/>
                <w:szCs w:val="16"/>
              </w:rPr>
              <w:t>Three Months Ended June 30, 2021</w:t>
            </w:r>
          </w:p>
        </w:tc>
      </w:tr>
      <w:tr w:rsidR="00000000" w14:paraId="513FC83B" w14:textId="77777777">
        <w:tc>
          <w:tcPr>
            <w:tcW w:w="0" w:type="auto"/>
            <w:gridSpan w:val="3"/>
            <w:tcBorders>
              <w:bottom w:val="single" w:sz="8" w:space="0" w:color="000000"/>
            </w:tcBorders>
            <w:tcMar>
              <w:top w:w="30" w:type="dxa"/>
              <w:left w:w="20" w:type="dxa"/>
              <w:bottom w:w="30" w:type="dxa"/>
              <w:right w:w="20" w:type="dxa"/>
            </w:tcMar>
            <w:vAlign w:val="bottom"/>
            <w:hideMark/>
          </w:tcPr>
          <w:p w14:paraId="116A4CFA"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3617D44F"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B38AB19"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5808B41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F21100"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418318B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D5938DE" w14:textId="77777777" w:rsidR="00000000" w:rsidRDefault="00A173A8">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2E7828D"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6883643" w14:textId="77777777" w:rsidR="00000000" w:rsidRDefault="00A173A8">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296766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149A4B1" w14:textId="77777777" w:rsidR="00000000" w:rsidRDefault="00A173A8">
            <w:pPr>
              <w:spacing w:after="100"/>
              <w:jc w:val="center"/>
              <w:rPr>
                <w:rFonts w:eastAsia="Times New Roman"/>
              </w:rPr>
            </w:pPr>
            <w:r>
              <w:rPr>
                <w:rFonts w:eastAsia="Times New Roman"/>
                <w:b/>
                <w:bCs/>
                <w:color w:val="000000"/>
                <w:sz w:val="16"/>
                <w:szCs w:val="16"/>
              </w:rPr>
              <w:t>Consolidated Total</w:t>
            </w:r>
          </w:p>
        </w:tc>
      </w:tr>
      <w:tr w:rsidR="00000000" w14:paraId="646B80CD"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6F1668A" w14:textId="77777777" w:rsidR="00000000" w:rsidRDefault="00A173A8">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45F76D36"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025897C"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B181DDB" w14:textId="77777777" w:rsidR="00000000" w:rsidRDefault="00A173A8">
            <w:pPr>
              <w:spacing w:after="100"/>
              <w:jc w:val="right"/>
              <w:rPr>
                <w:rFonts w:eastAsia="Times New Roman"/>
              </w:rPr>
            </w:pPr>
            <w:r>
              <w:rPr>
                <w:rFonts w:eastAsia="Times New Roman"/>
                <w:color w:val="000000"/>
                <w:sz w:val="18"/>
                <w:szCs w:val="18"/>
              </w:rPr>
              <w:t>3,217 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73E432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3453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44A47B6C"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51FA989" w14:textId="77777777" w:rsidR="00000000" w:rsidRDefault="00A173A8">
            <w:pPr>
              <w:spacing w:after="100"/>
              <w:jc w:val="right"/>
              <w:rPr>
                <w:rFonts w:eastAsia="Times New Roman"/>
              </w:rPr>
            </w:pPr>
            <w:r>
              <w:rPr>
                <w:rFonts w:eastAsia="Times New Roman"/>
                <w:color w:val="000000"/>
                <w:sz w:val="18"/>
                <w:szCs w:val="18"/>
              </w:rPr>
              <w:t>2,101 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B7DBA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2DC0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036EE4A3"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04605A0" w14:textId="77777777" w:rsidR="00000000" w:rsidRDefault="00A173A8">
            <w:pPr>
              <w:spacing w:after="100"/>
              <w:jc w:val="right"/>
              <w:rPr>
                <w:rFonts w:eastAsia="Times New Roman"/>
              </w:rPr>
            </w:pPr>
            <w:r>
              <w:rPr>
                <w:rFonts w:eastAsia="Times New Roman"/>
                <w:color w:val="000000"/>
                <w:sz w:val="18"/>
                <w:szCs w:val="18"/>
              </w:rPr>
              <w:t>460 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9529EB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A0D42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71F718E1"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F826B99" w14:textId="77777777" w:rsidR="00000000" w:rsidRDefault="00A173A8">
            <w:pPr>
              <w:spacing w:after="100"/>
              <w:jc w:val="right"/>
              <w:rPr>
                <w:rFonts w:eastAsia="Times New Roman"/>
              </w:rPr>
            </w:pPr>
            <w:r>
              <w:rPr>
                <w:rFonts w:eastAsia="Times New Roman"/>
                <w:color w:val="000000"/>
                <w:sz w:val="18"/>
                <w:szCs w:val="18"/>
              </w:rPr>
              <w:t>(35)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6689C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1404F"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69CCF16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6572E40" w14:textId="77777777" w:rsidR="00000000" w:rsidRDefault="00A173A8">
            <w:pPr>
              <w:spacing w:after="100"/>
              <w:jc w:val="right"/>
              <w:rPr>
                <w:rFonts w:eastAsia="Times New Roman"/>
              </w:rPr>
            </w:pPr>
            <w:r>
              <w:rPr>
                <w:rFonts w:eastAsia="Times New Roman"/>
                <w:color w:val="000000"/>
                <w:sz w:val="18"/>
                <w:szCs w:val="18"/>
              </w:rPr>
              <w:t>5,743 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99641EB" w14:textId="77777777" w:rsidR="00000000" w:rsidRDefault="00A173A8">
            <w:pPr>
              <w:spacing w:after="100"/>
              <w:jc w:val="right"/>
              <w:rPr>
                <w:rFonts w:eastAsia="Times New Roman"/>
              </w:rPr>
            </w:pPr>
          </w:p>
        </w:tc>
      </w:tr>
      <w:tr w:rsidR="00000000" w14:paraId="75D48E70" w14:textId="77777777">
        <w:tc>
          <w:tcPr>
            <w:tcW w:w="0" w:type="auto"/>
            <w:gridSpan w:val="3"/>
            <w:shd w:val="clear" w:color="auto" w:fill="FFFFFF"/>
            <w:tcMar>
              <w:top w:w="30" w:type="dxa"/>
              <w:left w:w="20" w:type="dxa"/>
              <w:bottom w:w="30" w:type="dxa"/>
              <w:right w:w="20" w:type="dxa"/>
            </w:tcMar>
            <w:vAlign w:val="center"/>
            <w:hideMark/>
          </w:tcPr>
          <w:p w14:paraId="0B392DAA" w14:textId="77777777" w:rsidR="00000000" w:rsidRDefault="00A173A8">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2B99898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C3DF7C7" w14:textId="77777777" w:rsidR="00000000" w:rsidRDefault="00A173A8">
            <w:pPr>
              <w:spacing w:after="100"/>
              <w:jc w:val="right"/>
              <w:rPr>
                <w:rFonts w:eastAsia="Times New Roman"/>
              </w:rPr>
            </w:pPr>
            <w:r>
              <w:rPr>
                <w:rFonts w:eastAsia="Times New Roman"/>
                <w:color w:val="000000"/>
                <w:sz w:val="18"/>
                <w:szCs w:val="18"/>
              </w:rPr>
              <w:t>1,253 </w:t>
            </w:r>
          </w:p>
        </w:tc>
        <w:tc>
          <w:tcPr>
            <w:tcW w:w="0" w:type="auto"/>
            <w:shd w:val="clear" w:color="auto" w:fill="FFFFFF"/>
            <w:tcMar>
              <w:top w:w="30" w:type="dxa"/>
              <w:left w:w="0" w:type="dxa"/>
              <w:bottom w:w="30" w:type="dxa"/>
              <w:right w:w="20" w:type="dxa"/>
            </w:tcMar>
            <w:vAlign w:val="center"/>
            <w:hideMark/>
          </w:tcPr>
          <w:p w14:paraId="3057712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9D83B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D20DEB" w14:textId="77777777" w:rsidR="00000000" w:rsidRDefault="00A173A8">
            <w:pPr>
              <w:spacing w:after="100"/>
              <w:jc w:val="right"/>
              <w:rPr>
                <w:rFonts w:eastAsia="Times New Roman"/>
              </w:rPr>
            </w:pPr>
            <w:r>
              <w:rPr>
                <w:rFonts w:eastAsia="Times New Roman"/>
                <w:color w:val="000000"/>
                <w:sz w:val="18"/>
                <w:szCs w:val="18"/>
              </w:rPr>
              <w:t>144 </w:t>
            </w:r>
          </w:p>
        </w:tc>
        <w:tc>
          <w:tcPr>
            <w:tcW w:w="0" w:type="auto"/>
            <w:shd w:val="clear" w:color="auto" w:fill="FFFFFF"/>
            <w:tcMar>
              <w:top w:w="30" w:type="dxa"/>
              <w:left w:w="0" w:type="dxa"/>
              <w:bottom w:w="30" w:type="dxa"/>
              <w:right w:w="20" w:type="dxa"/>
            </w:tcMar>
            <w:vAlign w:val="center"/>
            <w:hideMark/>
          </w:tcPr>
          <w:p w14:paraId="636CCA6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EEAE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A66CF1" w14:textId="77777777" w:rsidR="00000000" w:rsidRDefault="00A173A8">
            <w:pPr>
              <w:spacing w:after="100"/>
              <w:jc w:val="right"/>
              <w:rPr>
                <w:rFonts w:eastAsia="Times New Roman"/>
              </w:rPr>
            </w:pPr>
            <w:r>
              <w:rPr>
                <w:rFonts w:eastAsia="Times New Roman"/>
                <w:color w:val="000000"/>
                <w:sz w:val="18"/>
                <w:szCs w:val="18"/>
              </w:rPr>
              <w:t>257 </w:t>
            </w:r>
          </w:p>
        </w:tc>
        <w:tc>
          <w:tcPr>
            <w:tcW w:w="0" w:type="auto"/>
            <w:shd w:val="clear" w:color="auto" w:fill="FFFFFF"/>
            <w:tcMar>
              <w:top w:w="30" w:type="dxa"/>
              <w:left w:w="0" w:type="dxa"/>
              <w:bottom w:w="30" w:type="dxa"/>
              <w:right w:w="20" w:type="dxa"/>
            </w:tcMar>
            <w:vAlign w:val="center"/>
            <w:hideMark/>
          </w:tcPr>
          <w:p w14:paraId="01AE4F4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23A4F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D7C7997" w14:textId="77777777" w:rsidR="00000000" w:rsidRDefault="00A173A8">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14:paraId="3B5168E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313D1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020595" w14:textId="77777777" w:rsidR="00000000" w:rsidRDefault="00A173A8">
            <w:pPr>
              <w:spacing w:after="100"/>
              <w:jc w:val="right"/>
              <w:rPr>
                <w:rFonts w:eastAsia="Times New Roman"/>
              </w:rPr>
            </w:pPr>
            <w:r>
              <w:rPr>
                <w:rFonts w:eastAsia="Times New Roman"/>
                <w:color w:val="000000"/>
                <w:sz w:val="18"/>
                <w:szCs w:val="18"/>
              </w:rPr>
              <w:t>1,631 </w:t>
            </w:r>
          </w:p>
        </w:tc>
        <w:tc>
          <w:tcPr>
            <w:tcW w:w="0" w:type="auto"/>
            <w:shd w:val="clear" w:color="auto" w:fill="FFFFFF"/>
            <w:tcMar>
              <w:top w:w="30" w:type="dxa"/>
              <w:left w:w="0" w:type="dxa"/>
              <w:bottom w:w="30" w:type="dxa"/>
              <w:right w:w="20" w:type="dxa"/>
            </w:tcMar>
            <w:vAlign w:val="center"/>
            <w:hideMark/>
          </w:tcPr>
          <w:p w14:paraId="599CF7A0" w14:textId="77777777" w:rsidR="00000000" w:rsidRDefault="00A173A8">
            <w:pPr>
              <w:spacing w:after="100"/>
              <w:jc w:val="right"/>
              <w:rPr>
                <w:rFonts w:eastAsia="Times New Roman"/>
              </w:rPr>
            </w:pPr>
          </w:p>
        </w:tc>
      </w:tr>
      <w:tr w:rsidR="00000000" w14:paraId="7D156346" w14:textId="77777777">
        <w:tc>
          <w:tcPr>
            <w:tcW w:w="0" w:type="auto"/>
            <w:gridSpan w:val="3"/>
            <w:shd w:val="clear" w:color="auto" w:fill="CCEEFF"/>
            <w:tcMar>
              <w:top w:w="30" w:type="dxa"/>
              <w:left w:w="20" w:type="dxa"/>
              <w:bottom w:w="30" w:type="dxa"/>
              <w:right w:w="20" w:type="dxa"/>
            </w:tcMar>
            <w:vAlign w:val="center"/>
            <w:hideMark/>
          </w:tcPr>
          <w:p w14:paraId="76694C4E" w14:textId="77777777" w:rsidR="00000000" w:rsidRDefault="00A173A8">
            <w:pPr>
              <w:spacing w:after="100"/>
              <w:divId w:val="104888791"/>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40A142A6"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586ACF4" w14:textId="77777777" w:rsidR="00000000" w:rsidRDefault="00A173A8">
            <w:pPr>
              <w:spacing w:after="100"/>
              <w:jc w:val="right"/>
              <w:rPr>
                <w:rFonts w:eastAsia="Times New Roman"/>
              </w:rPr>
            </w:pPr>
            <w:r>
              <w:rPr>
                <w:rFonts w:eastAsia="Times New Roman"/>
                <w:color w:val="000000"/>
                <w:sz w:val="18"/>
                <w:szCs w:val="18"/>
              </w:rPr>
              <w:t>4,470 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AA5CD8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A996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6C94DC" w14:textId="77777777" w:rsidR="00000000" w:rsidRDefault="00A173A8">
            <w:pPr>
              <w:spacing w:after="100"/>
              <w:jc w:val="right"/>
              <w:rPr>
                <w:rFonts w:eastAsia="Times New Roman"/>
              </w:rPr>
            </w:pPr>
            <w:r>
              <w:rPr>
                <w:rFonts w:eastAsia="Times New Roman"/>
                <w:color w:val="000000"/>
                <w:sz w:val="18"/>
                <w:szCs w:val="18"/>
              </w:rPr>
              <w:t>2,245 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97807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28D03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3C9A109" w14:textId="77777777" w:rsidR="00000000" w:rsidRDefault="00A173A8">
            <w:pPr>
              <w:spacing w:after="100"/>
              <w:jc w:val="right"/>
              <w:rPr>
                <w:rFonts w:eastAsia="Times New Roman"/>
              </w:rPr>
            </w:pPr>
            <w:r>
              <w:rPr>
                <w:rFonts w:eastAsia="Times New Roman"/>
                <w:color w:val="000000"/>
                <w:sz w:val="18"/>
                <w:szCs w:val="18"/>
              </w:rPr>
              <w:t>717 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3386D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81B1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FC49519" w14:textId="77777777" w:rsidR="00000000" w:rsidRDefault="00A173A8">
            <w:pPr>
              <w:spacing w:after="100"/>
              <w:jc w:val="right"/>
              <w:rPr>
                <w:rFonts w:eastAsia="Times New Roman"/>
              </w:rPr>
            </w:pPr>
            <w:r>
              <w:rPr>
                <w:rFonts w:eastAsia="Times New Roman"/>
                <w:color w:val="000000"/>
                <w:sz w:val="18"/>
                <w:szCs w:val="18"/>
              </w:rPr>
              <w:t>(58)</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398EC6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2CD5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27B6D59" w14:textId="77777777" w:rsidR="00000000" w:rsidRDefault="00A173A8">
            <w:pPr>
              <w:spacing w:after="100"/>
              <w:jc w:val="right"/>
              <w:rPr>
                <w:rFonts w:eastAsia="Times New Roman"/>
              </w:rPr>
            </w:pPr>
            <w:r>
              <w:rPr>
                <w:rFonts w:eastAsia="Times New Roman"/>
                <w:color w:val="000000"/>
                <w:sz w:val="18"/>
                <w:szCs w:val="18"/>
              </w:rPr>
              <w:t>7,374 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41ECFC5" w14:textId="77777777" w:rsidR="00000000" w:rsidRDefault="00A173A8">
            <w:pPr>
              <w:spacing w:after="100"/>
              <w:jc w:val="right"/>
              <w:rPr>
                <w:rFonts w:eastAsia="Times New Roman"/>
              </w:rPr>
            </w:pPr>
          </w:p>
        </w:tc>
      </w:tr>
      <w:tr w:rsidR="00000000" w14:paraId="5A2C908E" w14:textId="77777777">
        <w:tc>
          <w:tcPr>
            <w:tcW w:w="0" w:type="auto"/>
            <w:gridSpan w:val="3"/>
            <w:shd w:val="clear" w:color="auto" w:fill="FFFFFF"/>
            <w:tcMar>
              <w:top w:w="30" w:type="dxa"/>
              <w:left w:w="20" w:type="dxa"/>
              <w:bottom w:w="30" w:type="dxa"/>
              <w:right w:w="20" w:type="dxa"/>
            </w:tcMar>
            <w:vAlign w:val="center"/>
            <w:hideMark/>
          </w:tcPr>
          <w:p w14:paraId="388E62CD" w14:textId="77777777" w:rsidR="00000000" w:rsidRDefault="00A173A8">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49711B61"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33427F7" w14:textId="77777777" w:rsidR="00000000" w:rsidRDefault="00A173A8">
            <w:pPr>
              <w:spacing w:after="100"/>
              <w:jc w:val="right"/>
              <w:rPr>
                <w:rFonts w:eastAsia="Times New Roman"/>
              </w:rPr>
            </w:pPr>
            <w:r>
              <w:rPr>
                <w:rFonts w:eastAsia="Times New Roman"/>
                <w:color w:val="000000"/>
                <w:sz w:val="18"/>
                <w:szCs w:val="18"/>
              </w:rPr>
              <w:t>(635)</w:t>
            </w:r>
          </w:p>
        </w:tc>
        <w:tc>
          <w:tcPr>
            <w:tcW w:w="0" w:type="auto"/>
            <w:shd w:val="clear" w:color="auto" w:fill="FFFFFF"/>
            <w:tcMar>
              <w:top w:w="30" w:type="dxa"/>
              <w:left w:w="0" w:type="dxa"/>
              <w:bottom w:w="30" w:type="dxa"/>
              <w:right w:w="20" w:type="dxa"/>
            </w:tcMar>
            <w:vAlign w:val="center"/>
            <w:hideMark/>
          </w:tcPr>
          <w:p w14:paraId="52EDEC6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92CB5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8F8A9D" w14:textId="77777777" w:rsidR="00000000" w:rsidRDefault="00A173A8">
            <w:pPr>
              <w:spacing w:after="100"/>
              <w:jc w:val="right"/>
              <w:rPr>
                <w:rFonts w:eastAsia="Times New Roman"/>
              </w:rPr>
            </w:pPr>
            <w:r>
              <w:rPr>
                <w:rFonts w:eastAsia="Times New Roman"/>
                <w:color w:val="000000"/>
                <w:sz w:val="18"/>
                <w:szCs w:val="18"/>
              </w:rPr>
              <w:t>(306)</w:t>
            </w:r>
          </w:p>
        </w:tc>
        <w:tc>
          <w:tcPr>
            <w:tcW w:w="0" w:type="auto"/>
            <w:shd w:val="clear" w:color="auto" w:fill="FFFFFF"/>
            <w:tcMar>
              <w:top w:w="30" w:type="dxa"/>
              <w:left w:w="0" w:type="dxa"/>
              <w:bottom w:w="30" w:type="dxa"/>
              <w:right w:w="20" w:type="dxa"/>
            </w:tcMar>
            <w:vAlign w:val="center"/>
            <w:hideMark/>
          </w:tcPr>
          <w:p w14:paraId="7BC5AA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1FB926"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10ED76D" w14:textId="77777777" w:rsidR="00000000" w:rsidRDefault="00A173A8">
            <w:pPr>
              <w:spacing w:after="100"/>
              <w:jc w:val="right"/>
              <w:rPr>
                <w:rFonts w:eastAsia="Times New Roman"/>
              </w:rPr>
            </w:pPr>
            <w:r>
              <w:rPr>
                <w:rFonts w:eastAsia="Times New Roman"/>
                <w:color w:val="000000"/>
                <w:sz w:val="18"/>
                <w:szCs w:val="18"/>
              </w:rPr>
              <w:t>(219)</w:t>
            </w:r>
          </w:p>
        </w:tc>
        <w:tc>
          <w:tcPr>
            <w:tcW w:w="0" w:type="auto"/>
            <w:shd w:val="clear" w:color="auto" w:fill="FFFFFF"/>
            <w:tcMar>
              <w:top w:w="30" w:type="dxa"/>
              <w:left w:w="0" w:type="dxa"/>
              <w:bottom w:w="30" w:type="dxa"/>
              <w:right w:w="20" w:type="dxa"/>
            </w:tcMar>
            <w:vAlign w:val="center"/>
            <w:hideMark/>
          </w:tcPr>
          <w:p w14:paraId="316B244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C5E2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0962FF7"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2CBAF4C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4CDB7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8C6362" w14:textId="77777777" w:rsidR="00000000" w:rsidRDefault="00A173A8">
            <w:pPr>
              <w:spacing w:after="100"/>
              <w:jc w:val="right"/>
              <w:rPr>
                <w:rFonts w:eastAsia="Times New Roman"/>
              </w:rPr>
            </w:pPr>
            <w:r>
              <w:rPr>
                <w:rFonts w:eastAsia="Times New Roman"/>
                <w:color w:val="000000"/>
                <w:sz w:val="18"/>
                <w:szCs w:val="18"/>
              </w:rPr>
              <w:t>(1,160)</w:t>
            </w:r>
          </w:p>
        </w:tc>
        <w:tc>
          <w:tcPr>
            <w:tcW w:w="0" w:type="auto"/>
            <w:shd w:val="clear" w:color="auto" w:fill="FFFFFF"/>
            <w:tcMar>
              <w:top w:w="30" w:type="dxa"/>
              <w:left w:w="0" w:type="dxa"/>
              <w:bottom w:w="30" w:type="dxa"/>
              <w:right w:w="20" w:type="dxa"/>
            </w:tcMar>
            <w:vAlign w:val="center"/>
            <w:hideMark/>
          </w:tcPr>
          <w:p w14:paraId="1ACD89CF" w14:textId="77777777" w:rsidR="00000000" w:rsidRDefault="00A173A8">
            <w:pPr>
              <w:spacing w:after="100"/>
              <w:jc w:val="right"/>
              <w:rPr>
                <w:rFonts w:eastAsia="Times New Roman"/>
              </w:rPr>
            </w:pPr>
          </w:p>
        </w:tc>
      </w:tr>
      <w:tr w:rsidR="00000000" w14:paraId="551CAE3F" w14:textId="77777777">
        <w:tc>
          <w:tcPr>
            <w:tcW w:w="0" w:type="auto"/>
            <w:gridSpan w:val="3"/>
            <w:shd w:val="clear" w:color="auto" w:fill="CCEEFF"/>
            <w:tcMar>
              <w:top w:w="30" w:type="dxa"/>
              <w:left w:w="20" w:type="dxa"/>
              <w:bottom w:w="30" w:type="dxa"/>
              <w:right w:w="20" w:type="dxa"/>
            </w:tcMar>
            <w:vAlign w:val="center"/>
            <w:hideMark/>
          </w:tcPr>
          <w:p w14:paraId="7AB286ED" w14:textId="77777777" w:rsidR="00000000" w:rsidRDefault="00A173A8">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2DEF2F28"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BF0CB27" w14:textId="77777777" w:rsidR="00000000" w:rsidRDefault="00A173A8">
            <w:pPr>
              <w:spacing w:after="100"/>
              <w:jc w:val="right"/>
              <w:rPr>
                <w:rFonts w:eastAsia="Times New Roman"/>
              </w:rPr>
            </w:pPr>
            <w:r>
              <w:rPr>
                <w:rFonts w:eastAsia="Times New Roman"/>
                <w:color w:val="000000"/>
                <w:sz w:val="18"/>
                <w:szCs w:val="18"/>
              </w:rPr>
              <w:t>2,263 </w:t>
            </w:r>
          </w:p>
        </w:tc>
        <w:tc>
          <w:tcPr>
            <w:tcW w:w="0" w:type="auto"/>
            <w:shd w:val="clear" w:color="auto" w:fill="CCEEFF"/>
            <w:tcMar>
              <w:top w:w="30" w:type="dxa"/>
              <w:left w:w="0" w:type="dxa"/>
              <w:bottom w:w="30" w:type="dxa"/>
              <w:right w:w="20" w:type="dxa"/>
            </w:tcMar>
            <w:vAlign w:val="center"/>
            <w:hideMark/>
          </w:tcPr>
          <w:p w14:paraId="6FAE64C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DA07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2E25557" w14:textId="77777777" w:rsidR="00000000" w:rsidRDefault="00A173A8">
            <w:pPr>
              <w:spacing w:after="100"/>
              <w:jc w:val="right"/>
              <w:rPr>
                <w:rFonts w:eastAsia="Times New Roman"/>
              </w:rPr>
            </w:pPr>
            <w:r>
              <w:rPr>
                <w:rFonts w:eastAsia="Times New Roman"/>
                <w:color w:val="000000"/>
                <w:sz w:val="18"/>
                <w:szCs w:val="18"/>
              </w:rPr>
              <w:t>1,123 </w:t>
            </w:r>
          </w:p>
        </w:tc>
        <w:tc>
          <w:tcPr>
            <w:tcW w:w="0" w:type="auto"/>
            <w:shd w:val="clear" w:color="auto" w:fill="CCEEFF"/>
            <w:tcMar>
              <w:top w:w="30" w:type="dxa"/>
              <w:left w:w="0" w:type="dxa"/>
              <w:bottom w:w="30" w:type="dxa"/>
              <w:right w:w="20" w:type="dxa"/>
            </w:tcMar>
            <w:vAlign w:val="center"/>
            <w:hideMark/>
          </w:tcPr>
          <w:p w14:paraId="6FF0CF7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3A83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8698221" w14:textId="77777777" w:rsidR="00000000" w:rsidRDefault="00A173A8">
            <w:pPr>
              <w:spacing w:after="100"/>
              <w:jc w:val="right"/>
              <w:rPr>
                <w:rFonts w:eastAsia="Times New Roman"/>
              </w:rPr>
            </w:pPr>
            <w:r>
              <w:rPr>
                <w:rFonts w:eastAsia="Times New Roman"/>
                <w:color w:val="000000"/>
                <w:sz w:val="18"/>
                <w:szCs w:val="18"/>
              </w:rPr>
              <w:t>417 </w:t>
            </w:r>
          </w:p>
        </w:tc>
        <w:tc>
          <w:tcPr>
            <w:tcW w:w="0" w:type="auto"/>
            <w:shd w:val="clear" w:color="auto" w:fill="CCEEFF"/>
            <w:tcMar>
              <w:top w:w="30" w:type="dxa"/>
              <w:left w:w="0" w:type="dxa"/>
              <w:bottom w:w="30" w:type="dxa"/>
              <w:right w:w="20" w:type="dxa"/>
            </w:tcMar>
            <w:vAlign w:val="center"/>
            <w:hideMark/>
          </w:tcPr>
          <w:p w14:paraId="22B1E34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9434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A47F4BB" w14:textId="77777777" w:rsidR="00000000" w:rsidRDefault="00A173A8">
            <w:pPr>
              <w:spacing w:after="100"/>
              <w:jc w:val="right"/>
              <w:rPr>
                <w:rFonts w:eastAsia="Times New Roman"/>
              </w:rPr>
            </w:pPr>
            <w:r>
              <w:rPr>
                <w:rFonts w:eastAsia="Times New Roman"/>
                <w:color w:val="000000"/>
                <w:sz w:val="18"/>
                <w:szCs w:val="18"/>
              </w:rPr>
              <w:t>163 </w:t>
            </w:r>
          </w:p>
        </w:tc>
        <w:tc>
          <w:tcPr>
            <w:tcW w:w="0" w:type="auto"/>
            <w:shd w:val="clear" w:color="auto" w:fill="CCEEFF"/>
            <w:tcMar>
              <w:top w:w="30" w:type="dxa"/>
              <w:left w:w="0" w:type="dxa"/>
              <w:bottom w:w="30" w:type="dxa"/>
              <w:right w:w="20" w:type="dxa"/>
            </w:tcMar>
            <w:vAlign w:val="center"/>
            <w:hideMark/>
          </w:tcPr>
          <w:p w14:paraId="65848B4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DF87A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2648E67" w14:textId="77777777" w:rsidR="00000000" w:rsidRDefault="00A173A8">
            <w:pPr>
              <w:spacing w:after="100"/>
              <w:jc w:val="right"/>
              <w:rPr>
                <w:rFonts w:eastAsia="Times New Roman"/>
              </w:rPr>
            </w:pPr>
            <w:r>
              <w:rPr>
                <w:rFonts w:eastAsia="Times New Roman"/>
                <w:color w:val="000000"/>
                <w:sz w:val="18"/>
                <w:szCs w:val="18"/>
              </w:rPr>
              <w:t>3,966 </w:t>
            </w:r>
          </w:p>
        </w:tc>
        <w:tc>
          <w:tcPr>
            <w:tcW w:w="0" w:type="auto"/>
            <w:shd w:val="clear" w:color="auto" w:fill="CCEEFF"/>
            <w:tcMar>
              <w:top w:w="30" w:type="dxa"/>
              <w:left w:w="0" w:type="dxa"/>
              <w:bottom w:w="30" w:type="dxa"/>
              <w:right w:w="20" w:type="dxa"/>
            </w:tcMar>
            <w:vAlign w:val="center"/>
            <w:hideMark/>
          </w:tcPr>
          <w:p w14:paraId="06B7D2BF" w14:textId="77777777" w:rsidR="00000000" w:rsidRDefault="00A173A8">
            <w:pPr>
              <w:spacing w:after="100"/>
              <w:jc w:val="right"/>
              <w:rPr>
                <w:rFonts w:eastAsia="Times New Roman"/>
              </w:rPr>
            </w:pPr>
          </w:p>
        </w:tc>
      </w:tr>
      <w:tr w:rsidR="00000000" w14:paraId="0B6F4D73" w14:textId="77777777">
        <w:tc>
          <w:tcPr>
            <w:tcW w:w="0" w:type="auto"/>
            <w:gridSpan w:val="3"/>
            <w:shd w:val="clear" w:color="auto" w:fill="FFFFFF"/>
            <w:tcMar>
              <w:top w:w="30" w:type="dxa"/>
              <w:left w:w="20" w:type="dxa"/>
              <w:bottom w:w="30" w:type="dxa"/>
              <w:right w:w="20" w:type="dxa"/>
            </w:tcMar>
            <w:vAlign w:val="center"/>
            <w:hideMark/>
          </w:tcPr>
          <w:p w14:paraId="48557DF4" w14:textId="77777777" w:rsidR="00000000" w:rsidRDefault="00A173A8">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12CDD608"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D98A2F4" w14:textId="77777777" w:rsidR="00000000" w:rsidRDefault="00A173A8">
            <w:pPr>
              <w:spacing w:after="100"/>
              <w:jc w:val="right"/>
              <w:rPr>
                <w:rFonts w:eastAsia="Times New Roman"/>
              </w:rPr>
            </w:pPr>
            <w:r>
              <w:rPr>
                <w:rFonts w:eastAsia="Times New Roman"/>
                <w:color w:val="000000"/>
                <w:sz w:val="18"/>
                <w:szCs w:val="18"/>
              </w:rPr>
              <w:t>2,842 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3B077B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E1BFA"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60B3ED88" w14:textId="77777777" w:rsidR="00000000" w:rsidRDefault="00A173A8">
            <w:pPr>
              <w:spacing w:after="100"/>
              <w:jc w:val="right"/>
              <w:rPr>
                <w:rFonts w:eastAsia="Times New Roman"/>
              </w:rPr>
            </w:pPr>
            <w:r>
              <w:rPr>
                <w:rFonts w:eastAsia="Times New Roman"/>
                <w:color w:val="000000"/>
                <w:sz w:val="18"/>
                <w:szCs w:val="18"/>
              </w:rPr>
              <w:t>1,428 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1AC5E9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B574B5"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84B4A40" w14:textId="77777777" w:rsidR="00000000" w:rsidRDefault="00A173A8">
            <w:pPr>
              <w:spacing w:after="100"/>
              <w:jc w:val="right"/>
              <w:rPr>
                <w:rFonts w:eastAsia="Times New Roman"/>
              </w:rPr>
            </w:pPr>
            <w:r>
              <w:rPr>
                <w:rFonts w:eastAsia="Times New Roman"/>
                <w:color w:val="000000"/>
                <w:sz w:val="18"/>
                <w:szCs w:val="18"/>
              </w:rPr>
              <w:t>519 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5B6C54E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167E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5EFCB24F" w14:textId="77777777" w:rsidR="00000000" w:rsidRDefault="00A173A8">
            <w:pPr>
              <w:spacing w:after="100"/>
              <w:jc w:val="right"/>
              <w:rPr>
                <w:rFonts w:eastAsia="Times New Roman"/>
              </w:rPr>
            </w:pPr>
            <w:r>
              <w:rPr>
                <w:rFonts w:eastAsia="Times New Roman"/>
                <w:color w:val="000000"/>
                <w:sz w:val="18"/>
                <w:szCs w:val="18"/>
              </w:rPr>
              <w:t>(221)</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F5157E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A6965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7E20B0E" w14:textId="77777777" w:rsidR="00000000" w:rsidRDefault="00A173A8">
            <w:pPr>
              <w:spacing w:after="100"/>
              <w:jc w:val="right"/>
              <w:rPr>
                <w:rFonts w:eastAsia="Times New Roman"/>
              </w:rPr>
            </w:pPr>
            <w:r>
              <w:rPr>
                <w:rFonts w:eastAsia="Times New Roman"/>
                <w:color w:val="000000"/>
                <w:sz w:val="18"/>
                <w:szCs w:val="18"/>
              </w:rPr>
              <w:t>4,568 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5CED933" w14:textId="77777777" w:rsidR="00000000" w:rsidRDefault="00A173A8">
            <w:pPr>
              <w:spacing w:after="100"/>
              <w:jc w:val="right"/>
              <w:rPr>
                <w:rFonts w:eastAsia="Times New Roman"/>
              </w:rPr>
            </w:pPr>
          </w:p>
        </w:tc>
      </w:tr>
      <w:tr w:rsidR="00000000" w14:paraId="4C823A7D" w14:textId="77777777">
        <w:tc>
          <w:tcPr>
            <w:tcW w:w="0" w:type="auto"/>
            <w:gridSpan w:val="3"/>
            <w:shd w:val="clear" w:color="auto" w:fill="CCEEFF"/>
            <w:tcMar>
              <w:top w:w="30" w:type="dxa"/>
              <w:left w:w="20" w:type="dxa"/>
              <w:bottom w:w="30" w:type="dxa"/>
              <w:right w:w="20" w:type="dxa"/>
            </w:tcMar>
            <w:vAlign w:val="center"/>
            <w:hideMark/>
          </w:tcPr>
          <w:p w14:paraId="47FAF909" w14:textId="77777777" w:rsidR="00000000" w:rsidRDefault="00A173A8">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0230BA52"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22688C6B" w14:textId="77777777" w:rsidR="00000000" w:rsidRDefault="00A173A8">
            <w:pPr>
              <w:spacing w:after="100"/>
              <w:jc w:val="right"/>
              <w:rPr>
                <w:rFonts w:eastAsia="Times New Roman"/>
              </w:rPr>
            </w:pPr>
            <w:r>
              <w:rPr>
                <w:rFonts w:eastAsia="Times New Roman"/>
                <w:color w:val="000000"/>
                <w:sz w:val="18"/>
                <w:szCs w:val="18"/>
              </w:rPr>
              <w:t>672 </w:t>
            </w:r>
          </w:p>
        </w:tc>
        <w:tc>
          <w:tcPr>
            <w:tcW w:w="0" w:type="auto"/>
            <w:shd w:val="clear" w:color="auto" w:fill="CCEEFF"/>
            <w:tcMar>
              <w:top w:w="30" w:type="dxa"/>
              <w:left w:w="0" w:type="dxa"/>
              <w:bottom w:w="30" w:type="dxa"/>
              <w:right w:w="20" w:type="dxa"/>
            </w:tcMar>
            <w:vAlign w:val="center"/>
            <w:hideMark/>
          </w:tcPr>
          <w:p w14:paraId="1FDFBA4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A9C6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D4FB884" w14:textId="77777777" w:rsidR="00000000" w:rsidRDefault="00A173A8">
            <w:pPr>
              <w:spacing w:after="100"/>
              <w:jc w:val="right"/>
              <w:rPr>
                <w:rFonts w:eastAsia="Times New Roman"/>
              </w:rPr>
            </w:pPr>
            <w:r>
              <w:rPr>
                <w:rFonts w:eastAsia="Times New Roman"/>
                <w:color w:val="000000"/>
                <w:sz w:val="18"/>
                <w:szCs w:val="18"/>
              </w:rPr>
              <w:t>337 </w:t>
            </w:r>
          </w:p>
        </w:tc>
        <w:tc>
          <w:tcPr>
            <w:tcW w:w="0" w:type="auto"/>
            <w:shd w:val="clear" w:color="auto" w:fill="CCEEFF"/>
            <w:tcMar>
              <w:top w:w="30" w:type="dxa"/>
              <w:left w:w="0" w:type="dxa"/>
              <w:bottom w:w="30" w:type="dxa"/>
              <w:right w:w="20" w:type="dxa"/>
            </w:tcMar>
            <w:vAlign w:val="center"/>
            <w:hideMark/>
          </w:tcPr>
          <w:p w14:paraId="7666A59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CC6C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920660" w14:textId="77777777" w:rsidR="00000000" w:rsidRDefault="00A173A8">
            <w:pPr>
              <w:spacing w:after="100"/>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center"/>
            <w:hideMark/>
          </w:tcPr>
          <w:p w14:paraId="250B5B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B0FB2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03A0FE6A" w14:textId="77777777" w:rsidR="00000000" w:rsidRDefault="00A173A8">
            <w:pPr>
              <w:spacing w:after="100"/>
              <w:jc w:val="right"/>
              <w:rPr>
                <w:rFonts w:eastAsia="Times New Roman"/>
              </w:rPr>
            </w:pPr>
            <w:r>
              <w:rPr>
                <w:rFonts w:eastAsia="Times New Roman"/>
                <w:color w:val="000000"/>
                <w:sz w:val="18"/>
                <w:szCs w:val="18"/>
              </w:rPr>
              <w:t>(101)</w:t>
            </w:r>
          </w:p>
        </w:tc>
        <w:tc>
          <w:tcPr>
            <w:tcW w:w="0" w:type="auto"/>
            <w:shd w:val="clear" w:color="auto" w:fill="CCEEFF"/>
            <w:tcMar>
              <w:top w:w="30" w:type="dxa"/>
              <w:left w:w="0" w:type="dxa"/>
              <w:bottom w:w="30" w:type="dxa"/>
              <w:right w:w="20" w:type="dxa"/>
            </w:tcMar>
            <w:vAlign w:val="center"/>
            <w:hideMark/>
          </w:tcPr>
          <w:p w14:paraId="524CCEC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63AF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F3184F9" w14:textId="77777777" w:rsidR="00000000" w:rsidRDefault="00A173A8">
            <w:pPr>
              <w:spacing w:after="100"/>
              <w:jc w:val="right"/>
              <w:rPr>
                <w:rFonts w:eastAsia="Times New Roman"/>
              </w:rPr>
            </w:pPr>
            <w:r>
              <w:rPr>
                <w:rFonts w:eastAsia="Times New Roman"/>
                <w:color w:val="000000"/>
                <w:sz w:val="18"/>
                <w:szCs w:val="18"/>
              </w:rPr>
              <w:t>1,031 </w:t>
            </w:r>
          </w:p>
        </w:tc>
        <w:tc>
          <w:tcPr>
            <w:tcW w:w="0" w:type="auto"/>
            <w:shd w:val="clear" w:color="auto" w:fill="CCEEFF"/>
            <w:tcMar>
              <w:top w:w="30" w:type="dxa"/>
              <w:left w:w="0" w:type="dxa"/>
              <w:bottom w:w="30" w:type="dxa"/>
              <w:right w:w="20" w:type="dxa"/>
            </w:tcMar>
            <w:vAlign w:val="center"/>
            <w:hideMark/>
          </w:tcPr>
          <w:p w14:paraId="59C743D5" w14:textId="77777777" w:rsidR="00000000" w:rsidRDefault="00A173A8">
            <w:pPr>
              <w:spacing w:after="100"/>
              <w:jc w:val="right"/>
              <w:rPr>
                <w:rFonts w:eastAsia="Times New Roman"/>
              </w:rPr>
            </w:pPr>
          </w:p>
        </w:tc>
      </w:tr>
      <w:tr w:rsidR="00000000" w14:paraId="138C4B4F" w14:textId="77777777">
        <w:tc>
          <w:tcPr>
            <w:tcW w:w="0" w:type="auto"/>
            <w:gridSpan w:val="3"/>
            <w:shd w:val="clear" w:color="auto" w:fill="FFFFFF"/>
            <w:tcMar>
              <w:top w:w="30" w:type="dxa"/>
              <w:left w:w="20" w:type="dxa"/>
              <w:bottom w:w="30" w:type="dxa"/>
              <w:right w:w="20" w:type="dxa"/>
            </w:tcMar>
            <w:vAlign w:val="center"/>
            <w:hideMark/>
          </w:tcPr>
          <w:p w14:paraId="3B0AADC5" w14:textId="77777777" w:rsidR="00000000" w:rsidRDefault="00A173A8">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23B928AC"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15A1A9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8BBC17E" w14:textId="77777777" w:rsidR="00000000" w:rsidRDefault="00A173A8">
            <w:pPr>
              <w:spacing w:after="100"/>
              <w:jc w:val="right"/>
              <w:rPr>
                <w:rFonts w:eastAsia="Times New Roman"/>
              </w:rPr>
            </w:pPr>
            <w:r>
              <w:rPr>
                <w:rFonts w:eastAsia="Times New Roman"/>
                <w:color w:val="000000"/>
                <w:sz w:val="18"/>
                <w:szCs w:val="18"/>
              </w:rPr>
              <w:t>2,170 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5FACB0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4C881D"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00EAAE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5DC069F7" w14:textId="77777777" w:rsidR="00000000" w:rsidRDefault="00A173A8">
            <w:pPr>
              <w:spacing w:after="100"/>
              <w:jc w:val="right"/>
              <w:rPr>
                <w:rFonts w:eastAsia="Times New Roman"/>
              </w:rPr>
            </w:pPr>
            <w:r>
              <w:rPr>
                <w:rFonts w:eastAsia="Times New Roman"/>
                <w:color w:val="000000"/>
                <w:sz w:val="18"/>
                <w:szCs w:val="18"/>
              </w:rPr>
              <w:t>1,091 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9AE0C1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127C49"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1136E3A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1C72235" w14:textId="77777777" w:rsidR="00000000" w:rsidRDefault="00A173A8">
            <w:pPr>
              <w:spacing w:after="100"/>
              <w:jc w:val="right"/>
              <w:rPr>
                <w:rFonts w:eastAsia="Times New Roman"/>
              </w:rPr>
            </w:pPr>
            <w:r>
              <w:rPr>
                <w:rFonts w:eastAsia="Times New Roman"/>
                <w:color w:val="000000"/>
                <w:sz w:val="18"/>
                <w:szCs w:val="18"/>
              </w:rPr>
              <w:t>396 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F77FDC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EBF4A"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6D0D531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333AB2EA" w14:textId="77777777" w:rsidR="00000000" w:rsidRDefault="00A173A8">
            <w:pPr>
              <w:spacing w:after="100"/>
              <w:jc w:val="right"/>
              <w:rPr>
                <w:rFonts w:eastAsia="Times New Roman"/>
              </w:rPr>
            </w:pPr>
            <w:r>
              <w:rPr>
                <w:rFonts w:eastAsia="Times New Roman"/>
                <w:color w:val="000000"/>
                <w:sz w:val="18"/>
                <w:szCs w:val="18"/>
              </w:rPr>
              <w:t>(120)</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6DEE8F2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F6A454"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580B30B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40589C3F" w14:textId="77777777" w:rsidR="00000000" w:rsidRDefault="00A173A8">
            <w:pPr>
              <w:spacing w:after="100"/>
              <w:jc w:val="right"/>
              <w:rPr>
                <w:rFonts w:eastAsia="Times New Roman"/>
              </w:rPr>
            </w:pPr>
            <w:r>
              <w:rPr>
                <w:rFonts w:eastAsia="Times New Roman"/>
                <w:color w:val="000000"/>
                <w:sz w:val="18"/>
                <w:szCs w:val="18"/>
              </w:rPr>
              <w:t>3,537 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6EE678" w14:textId="77777777" w:rsidR="00000000" w:rsidRDefault="00A173A8">
            <w:pPr>
              <w:spacing w:after="100"/>
              <w:jc w:val="right"/>
              <w:rPr>
                <w:rFonts w:eastAsia="Times New Roman"/>
              </w:rPr>
            </w:pPr>
          </w:p>
        </w:tc>
      </w:tr>
      <w:tr w:rsidR="00000000" w14:paraId="6B977CDF" w14:textId="77777777">
        <w:tc>
          <w:tcPr>
            <w:tcW w:w="0" w:type="auto"/>
            <w:gridSpan w:val="3"/>
            <w:shd w:val="clear" w:color="auto" w:fill="CCEEFF"/>
            <w:tcMar>
              <w:top w:w="30" w:type="dxa"/>
              <w:left w:w="20" w:type="dxa"/>
              <w:bottom w:w="30" w:type="dxa"/>
              <w:right w:w="20" w:type="dxa"/>
            </w:tcMar>
            <w:vAlign w:val="center"/>
            <w:hideMark/>
          </w:tcPr>
          <w:p w14:paraId="0831D4A5" w14:textId="77777777" w:rsidR="00000000" w:rsidRDefault="00A173A8">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7AB7613B" w14:textId="77777777" w:rsidR="00000000" w:rsidRDefault="00A173A8">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681A037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490440A7" w14:textId="77777777" w:rsidR="00000000" w:rsidRDefault="00A173A8">
            <w:pPr>
              <w:spacing w:after="100"/>
              <w:jc w:val="right"/>
              <w:rPr>
                <w:rFonts w:eastAsia="Times New Roman"/>
              </w:rPr>
            </w:pPr>
            <w:r>
              <w:rPr>
                <w:rFonts w:eastAsia="Times New Roman"/>
                <w:color w:val="000000"/>
                <w:sz w:val="18"/>
                <w:szCs w:val="18"/>
              </w:rPr>
              <w:t>101,017 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3311EA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711022"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6284B5A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183A9913" w14:textId="77777777" w:rsidR="00000000" w:rsidRDefault="00A173A8">
            <w:pPr>
              <w:spacing w:after="100"/>
              <w:jc w:val="right"/>
              <w:rPr>
                <w:rFonts w:eastAsia="Times New Roman"/>
              </w:rPr>
            </w:pPr>
            <w:r>
              <w:rPr>
                <w:rFonts w:eastAsia="Times New Roman"/>
                <w:color w:val="000000"/>
                <w:sz w:val="18"/>
                <w:szCs w:val="18"/>
              </w:rPr>
              <w:t>74,759 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1B0F1E9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5FCB2"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1C8C111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447812FE" w14:textId="77777777" w:rsidR="00000000" w:rsidRDefault="00A173A8">
            <w:pPr>
              <w:spacing w:after="100"/>
              <w:jc w:val="right"/>
              <w:rPr>
                <w:rFonts w:eastAsia="Times New Roman"/>
              </w:rPr>
            </w:pPr>
            <w:r>
              <w:rPr>
                <w:rFonts w:eastAsia="Times New Roman"/>
                <w:color w:val="000000"/>
                <w:sz w:val="18"/>
                <w:szCs w:val="18"/>
              </w:rPr>
              <w:t>73,821 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D7D753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76C44"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4D1550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1DB6DB36"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0B0463F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C8B52"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3EF99B49"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08C718D6" w14:textId="77777777" w:rsidR="00000000" w:rsidRDefault="00A173A8">
            <w:pPr>
              <w:spacing w:after="100"/>
              <w:jc w:val="right"/>
              <w:rPr>
                <w:rFonts w:eastAsia="Times New Roman"/>
              </w:rPr>
            </w:pPr>
            <w:r>
              <w:rPr>
                <w:rFonts w:eastAsia="Times New Roman"/>
                <w:color w:val="000000"/>
                <w:sz w:val="18"/>
                <w:szCs w:val="18"/>
              </w:rPr>
              <w:t>249,597 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591090FF" w14:textId="77777777" w:rsidR="00000000" w:rsidRDefault="00A173A8">
            <w:pPr>
              <w:spacing w:after="100"/>
              <w:jc w:val="right"/>
              <w:rPr>
                <w:rFonts w:eastAsia="Times New Roman"/>
              </w:rPr>
            </w:pPr>
          </w:p>
        </w:tc>
      </w:tr>
      <w:tr w:rsidR="00000000" w14:paraId="133B830C" w14:textId="77777777">
        <w:tc>
          <w:tcPr>
            <w:tcW w:w="0" w:type="auto"/>
            <w:gridSpan w:val="3"/>
            <w:shd w:val="clear" w:color="auto" w:fill="FFFFFF"/>
            <w:tcMar>
              <w:top w:w="30" w:type="dxa"/>
              <w:left w:w="20" w:type="dxa"/>
              <w:bottom w:w="30" w:type="dxa"/>
              <w:right w:w="20" w:type="dxa"/>
            </w:tcMar>
            <w:vAlign w:val="center"/>
            <w:hideMark/>
          </w:tcPr>
          <w:p w14:paraId="2D9E68FB" w14:textId="77777777" w:rsidR="00000000" w:rsidRDefault="00A173A8">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312E234D"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20D0AB4"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9606B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F73BB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1B9E611" w14:textId="77777777" w:rsidR="00000000" w:rsidRDefault="00A173A8">
            <w:pPr>
              <w:spacing w:after="100"/>
              <w:jc w:val="right"/>
              <w:rPr>
                <w:rFonts w:eastAsia="Times New Roman"/>
              </w:rPr>
            </w:pPr>
            <w:r>
              <w:rPr>
                <w:rFonts w:eastAsia="Times New Roman"/>
                <w:color w:val="000000"/>
                <w:sz w:val="18"/>
                <w:szCs w:val="18"/>
              </w:rPr>
              <w:t>251,155 </w:t>
            </w:r>
          </w:p>
        </w:tc>
        <w:tc>
          <w:tcPr>
            <w:tcW w:w="0" w:type="auto"/>
            <w:shd w:val="clear" w:color="auto" w:fill="FFFFFF"/>
            <w:tcMar>
              <w:top w:w="30" w:type="dxa"/>
              <w:left w:w="0" w:type="dxa"/>
              <w:bottom w:w="30" w:type="dxa"/>
              <w:right w:w="20" w:type="dxa"/>
            </w:tcMar>
            <w:vAlign w:val="center"/>
            <w:hideMark/>
          </w:tcPr>
          <w:p w14:paraId="13BC022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AC56A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486455A" w14:textId="77777777" w:rsidR="00000000" w:rsidRDefault="00A173A8">
            <w:pPr>
              <w:spacing w:after="100"/>
              <w:jc w:val="right"/>
              <w:rPr>
                <w:rFonts w:eastAsia="Times New Roman"/>
              </w:rPr>
            </w:pPr>
            <w:r>
              <w:rPr>
                <w:rFonts w:eastAsia="Times New Roman"/>
                <w:color w:val="000000"/>
                <w:sz w:val="18"/>
                <w:szCs w:val="18"/>
              </w:rPr>
              <w:t>42,973 </w:t>
            </w:r>
          </w:p>
        </w:tc>
        <w:tc>
          <w:tcPr>
            <w:tcW w:w="0" w:type="auto"/>
            <w:shd w:val="clear" w:color="auto" w:fill="FFFFFF"/>
            <w:tcMar>
              <w:top w:w="30" w:type="dxa"/>
              <w:left w:w="0" w:type="dxa"/>
              <w:bottom w:w="30" w:type="dxa"/>
              <w:right w:w="20" w:type="dxa"/>
            </w:tcMar>
            <w:vAlign w:val="center"/>
            <w:hideMark/>
          </w:tcPr>
          <w:p w14:paraId="4E1F560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3322B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C73206" w14:textId="77777777" w:rsidR="00000000" w:rsidRDefault="00A173A8">
            <w:pPr>
              <w:spacing w:after="100"/>
              <w:jc w:val="right"/>
              <w:rPr>
                <w:rFonts w:eastAsia="Times New Roman"/>
              </w:rPr>
            </w:pPr>
            <w:r>
              <w:rPr>
                <w:rFonts w:eastAsia="Times New Roman"/>
                <w:color w:val="000000"/>
                <w:sz w:val="18"/>
                <w:szCs w:val="18"/>
              </w:rPr>
              <w:t>12,180 </w:t>
            </w:r>
          </w:p>
        </w:tc>
        <w:tc>
          <w:tcPr>
            <w:tcW w:w="0" w:type="auto"/>
            <w:shd w:val="clear" w:color="auto" w:fill="FFFFFF"/>
            <w:tcMar>
              <w:top w:w="30" w:type="dxa"/>
              <w:left w:w="0" w:type="dxa"/>
              <w:bottom w:w="30" w:type="dxa"/>
              <w:right w:w="20" w:type="dxa"/>
            </w:tcMar>
            <w:vAlign w:val="center"/>
            <w:hideMark/>
          </w:tcPr>
          <w:p w14:paraId="23D6F9D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B185B"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220279" w14:textId="77777777" w:rsidR="00000000" w:rsidRDefault="00A173A8">
            <w:pPr>
              <w:spacing w:after="100"/>
              <w:jc w:val="right"/>
              <w:rPr>
                <w:rFonts w:eastAsia="Times New Roman"/>
              </w:rPr>
            </w:pPr>
            <w:r>
              <w:rPr>
                <w:rFonts w:eastAsia="Times New Roman"/>
                <w:color w:val="000000"/>
                <w:sz w:val="18"/>
                <w:szCs w:val="18"/>
              </w:rPr>
              <w:t>306,308 </w:t>
            </w:r>
          </w:p>
        </w:tc>
        <w:tc>
          <w:tcPr>
            <w:tcW w:w="0" w:type="auto"/>
            <w:shd w:val="clear" w:color="auto" w:fill="FFFFFF"/>
            <w:tcMar>
              <w:top w:w="30" w:type="dxa"/>
              <w:left w:w="0" w:type="dxa"/>
              <w:bottom w:w="30" w:type="dxa"/>
              <w:right w:w="20" w:type="dxa"/>
            </w:tcMar>
            <w:vAlign w:val="center"/>
            <w:hideMark/>
          </w:tcPr>
          <w:p w14:paraId="22C5A444" w14:textId="77777777" w:rsidR="00000000" w:rsidRDefault="00A173A8">
            <w:pPr>
              <w:spacing w:after="100"/>
              <w:jc w:val="right"/>
              <w:rPr>
                <w:rFonts w:eastAsia="Times New Roman"/>
              </w:rPr>
            </w:pPr>
          </w:p>
        </w:tc>
      </w:tr>
    </w:tbl>
    <w:p w14:paraId="6D1F1BA1" w14:textId="77777777" w:rsidR="00000000" w:rsidRDefault="00A173A8">
      <w:pPr>
        <w:jc w:val="both"/>
        <w:rPr>
          <w:rFonts w:eastAsia="Times New Roman"/>
        </w:rPr>
      </w:pP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14:paraId="6035DAFA" w14:textId="77777777">
        <w:trPr>
          <w:divId w:val="869031359"/>
        </w:trPr>
        <w:tc>
          <w:tcPr>
            <w:tcW w:w="50" w:type="pct"/>
            <w:vAlign w:val="center"/>
            <w:hideMark/>
          </w:tcPr>
          <w:p w14:paraId="5D73D923" w14:textId="77777777" w:rsidR="00000000" w:rsidRDefault="00A173A8">
            <w:pPr>
              <w:jc w:val="both"/>
              <w:rPr>
                <w:rFonts w:eastAsia="Times New Roman"/>
              </w:rPr>
            </w:pPr>
          </w:p>
        </w:tc>
        <w:tc>
          <w:tcPr>
            <w:tcW w:w="2280" w:type="pct"/>
            <w:vAlign w:val="center"/>
            <w:hideMark/>
          </w:tcPr>
          <w:p w14:paraId="405DF20D" w14:textId="77777777" w:rsidR="00000000" w:rsidRDefault="00A173A8">
            <w:pPr>
              <w:spacing w:after="100"/>
              <w:rPr>
                <w:rFonts w:eastAsia="Times New Roman"/>
                <w:sz w:val="20"/>
                <w:szCs w:val="20"/>
              </w:rPr>
            </w:pPr>
          </w:p>
        </w:tc>
        <w:tc>
          <w:tcPr>
            <w:tcW w:w="5" w:type="pct"/>
            <w:vAlign w:val="center"/>
            <w:hideMark/>
          </w:tcPr>
          <w:p w14:paraId="6F1BAA7F" w14:textId="77777777" w:rsidR="00000000" w:rsidRDefault="00A173A8">
            <w:pPr>
              <w:spacing w:after="100"/>
              <w:rPr>
                <w:rFonts w:eastAsia="Times New Roman"/>
                <w:sz w:val="20"/>
                <w:szCs w:val="20"/>
              </w:rPr>
            </w:pPr>
          </w:p>
        </w:tc>
        <w:tc>
          <w:tcPr>
            <w:tcW w:w="5" w:type="pct"/>
            <w:vAlign w:val="center"/>
            <w:hideMark/>
          </w:tcPr>
          <w:p w14:paraId="1368B8CF" w14:textId="77777777" w:rsidR="00000000" w:rsidRDefault="00A173A8">
            <w:pPr>
              <w:spacing w:after="100"/>
              <w:rPr>
                <w:rFonts w:eastAsia="Times New Roman"/>
                <w:sz w:val="20"/>
                <w:szCs w:val="20"/>
              </w:rPr>
            </w:pPr>
          </w:p>
        </w:tc>
        <w:tc>
          <w:tcPr>
            <w:tcW w:w="26" w:type="pct"/>
            <w:vAlign w:val="center"/>
            <w:hideMark/>
          </w:tcPr>
          <w:p w14:paraId="33869B9E" w14:textId="77777777" w:rsidR="00000000" w:rsidRDefault="00A173A8">
            <w:pPr>
              <w:spacing w:after="100"/>
              <w:rPr>
                <w:rFonts w:eastAsia="Times New Roman"/>
                <w:sz w:val="20"/>
                <w:szCs w:val="20"/>
              </w:rPr>
            </w:pPr>
          </w:p>
        </w:tc>
        <w:tc>
          <w:tcPr>
            <w:tcW w:w="5" w:type="pct"/>
            <w:vAlign w:val="center"/>
            <w:hideMark/>
          </w:tcPr>
          <w:p w14:paraId="4E0CBBA3" w14:textId="77777777" w:rsidR="00000000" w:rsidRDefault="00A173A8">
            <w:pPr>
              <w:spacing w:after="100"/>
              <w:rPr>
                <w:rFonts w:eastAsia="Times New Roman"/>
                <w:sz w:val="20"/>
                <w:szCs w:val="20"/>
              </w:rPr>
            </w:pPr>
          </w:p>
        </w:tc>
        <w:tc>
          <w:tcPr>
            <w:tcW w:w="50" w:type="pct"/>
            <w:vAlign w:val="center"/>
            <w:hideMark/>
          </w:tcPr>
          <w:p w14:paraId="598741BE" w14:textId="77777777" w:rsidR="00000000" w:rsidRDefault="00A173A8">
            <w:pPr>
              <w:spacing w:after="100"/>
              <w:rPr>
                <w:rFonts w:eastAsia="Times New Roman"/>
                <w:sz w:val="20"/>
                <w:szCs w:val="20"/>
              </w:rPr>
            </w:pPr>
          </w:p>
        </w:tc>
        <w:tc>
          <w:tcPr>
            <w:tcW w:w="442" w:type="pct"/>
            <w:vAlign w:val="center"/>
            <w:hideMark/>
          </w:tcPr>
          <w:p w14:paraId="34F1F495" w14:textId="77777777" w:rsidR="00000000" w:rsidRDefault="00A173A8">
            <w:pPr>
              <w:spacing w:after="100"/>
              <w:rPr>
                <w:rFonts w:eastAsia="Times New Roman"/>
                <w:sz w:val="20"/>
                <w:szCs w:val="20"/>
              </w:rPr>
            </w:pPr>
          </w:p>
        </w:tc>
        <w:tc>
          <w:tcPr>
            <w:tcW w:w="5" w:type="pct"/>
            <w:vAlign w:val="center"/>
            <w:hideMark/>
          </w:tcPr>
          <w:p w14:paraId="4140DACF" w14:textId="77777777" w:rsidR="00000000" w:rsidRDefault="00A173A8">
            <w:pPr>
              <w:spacing w:after="100"/>
              <w:rPr>
                <w:rFonts w:eastAsia="Times New Roman"/>
                <w:sz w:val="20"/>
                <w:szCs w:val="20"/>
              </w:rPr>
            </w:pPr>
          </w:p>
        </w:tc>
        <w:tc>
          <w:tcPr>
            <w:tcW w:w="5" w:type="pct"/>
            <w:vAlign w:val="center"/>
            <w:hideMark/>
          </w:tcPr>
          <w:p w14:paraId="70171981" w14:textId="77777777" w:rsidR="00000000" w:rsidRDefault="00A173A8">
            <w:pPr>
              <w:spacing w:after="100"/>
              <w:rPr>
                <w:rFonts w:eastAsia="Times New Roman"/>
                <w:sz w:val="20"/>
                <w:szCs w:val="20"/>
              </w:rPr>
            </w:pPr>
          </w:p>
        </w:tc>
        <w:tc>
          <w:tcPr>
            <w:tcW w:w="26" w:type="pct"/>
            <w:vAlign w:val="center"/>
            <w:hideMark/>
          </w:tcPr>
          <w:p w14:paraId="413A4FB1" w14:textId="77777777" w:rsidR="00000000" w:rsidRDefault="00A173A8">
            <w:pPr>
              <w:spacing w:after="100"/>
              <w:rPr>
                <w:rFonts w:eastAsia="Times New Roman"/>
                <w:sz w:val="20"/>
                <w:szCs w:val="20"/>
              </w:rPr>
            </w:pPr>
          </w:p>
        </w:tc>
        <w:tc>
          <w:tcPr>
            <w:tcW w:w="5" w:type="pct"/>
            <w:vAlign w:val="center"/>
            <w:hideMark/>
          </w:tcPr>
          <w:p w14:paraId="75100D71" w14:textId="77777777" w:rsidR="00000000" w:rsidRDefault="00A173A8">
            <w:pPr>
              <w:spacing w:after="100"/>
              <w:rPr>
                <w:rFonts w:eastAsia="Times New Roman"/>
                <w:sz w:val="20"/>
                <w:szCs w:val="20"/>
              </w:rPr>
            </w:pPr>
          </w:p>
        </w:tc>
        <w:tc>
          <w:tcPr>
            <w:tcW w:w="50" w:type="pct"/>
            <w:vAlign w:val="center"/>
            <w:hideMark/>
          </w:tcPr>
          <w:p w14:paraId="03E0A795" w14:textId="77777777" w:rsidR="00000000" w:rsidRDefault="00A173A8">
            <w:pPr>
              <w:spacing w:after="100"/>
              <w:rPr>
                <w:rFonts w:eastAsia="Times New Roman"/>
                <w:sz w:val="20"/>
                <w:szCs w:val="20"/>
              </w:rPr>
            </w:pPr>
          </w:p>
        </w:tc>
        <w:tc>
          <w:tcPr>
            <w:tcW w:w="435" w:type="pct"/>
            <w:vAlign w:val="center"/>
            <w:hideMark/>
          </w:tcPr>
          <w:p w14:paraId="5C89B899" w14:textId="77777777" w:rsidR="00000000" w:rsidRDefault="00A173A8">
            <w:pPr>
              <w:spacing w:after="100"/>
              <w:rPr>
                <w:rFonts w:eastAsia="Times New Roman"/>
                <w:sz w:val="20"/>
                <w:szCs w:val="20"/>
              </w:rPr>
            </w:pPr>
          </w:p>
        </w:tc>
        <w:tc>
          <w:tcPr>
            <w:tcW w:w="5" w:type="pct"/>
            <w:vAlign w:val="center"/>
            <w:hideMark/>
          </w:tcPr>
          <w:p w14:paraId="2A7BABA3" w14:textId="77777777" w:rsidR="00000000" w:rsidRDefault="00A173A8">
            <w:pPr>
              <w:spacing w:after="100"/>
              <w:rPr>
                <w:rFonts w:eastAsia="Times New Roman"/>
                <w:sz w:val="20"/>
                <w:szCs w:val="20"/>
              </w:rPr>
            </w:pPr>
          </w:p>
        </w:tc>
        <w:tc>
          <w:tcPr>
            <w:tcW w:w="5" w:type="pct"/>
            <w:vAlign w:val="center"/>
            <w:hideMark/>
          </w:tcPr>
          <w:p w14:paraId="65744ED3" w14:textId="77777777" w:rsidR="00000000" w:rsidRDefault="00A173A8">
            <w:pPr>
              <w:spacing w:after="100"/>
              <w:rPr>
                <w:rFonts w:eastAsia="Times New Roman"/>
                <w:sz w:val="20"/>
                <w:szCs w:val="20"/>
              </w:rPr>
            </w:pPr>
          </w:p>
        </w:tc>
        <w:tc>
          <w:tcPr>
            <w:tcW w:w="26" w:type="pct"/>
            <w:vAlign w:val="center"/>
            <w:hideMark/>
          </w:tcPr>
          <w:p w14:paraId="3A00E0D9" w14:textId="77777777" w:rsidR="00000000" w:rsidRDefault="00A173A8">
            <w:pPr>
              <w:spacing w:after="100"/>
              <w:rPr>
                <w:rFonts w:eastAsia="Times New Roman"/>
                <w:sz w:val="20"/>
                <w:szCs w:val="20"/>
              </w:rPr>
            </w:pPr>
          </w:p>
        </w:tc>
        <w:tc>
          <w:tcPr>
            <w:tcW w:w="5" w:type="pct"/>
            <w:vAlign w:val="center"/>
            <w:hideMark/>
          </w:tcPr>
          <w:p w14:paraId="4EBEC9C3" w14:textId="77777777" w:rsidR="00000000" w:rsidRDefault="00A173A8">
            <w:pPr>
              <w:spacing w:after="100"/>
              <w:rPr>
                <w:rFonts w:eastAsia="Times New Roman"/>
                <w:sz w:val="20"/>
                <w:szCs w:val="20"/>
              </w:rPr>
            </w:pPr>
          </w:p>
        </w:tc>
        <w:tc>
          <w:tcPr>
            <w:tcW w:w="50" w:type="pct"/>
            <w:vAlign w:val="center"/>
            <w:hideMark/>
          </w:tcPr>
          <w:p w14:paraId="084F0B05" w14:textId="77777777" w:rsidR="00000000" w:rsidRDefault="00A173A8">
            <w:pPr>
              <w:spacing w:after="100"/>
              <w:rPr>
                <w:rFonts w:eastAsia="Times New Roman"/>
                <w:sz w:val="20"/>
                <w:szCs w:val="20"/>
              </w:rPr>
            </w:pPr>
          </w:p>
        </w:tc>
        <w:tc>
          <w:tcPr>
            <w:tcW w:w="472" w:type="pct"/>
            <w:vAlign w:val="center"/>
            <w:hideMark/>
          </w:tcPr>
          <w:p w14:paraId="5B6675BD" w14:textId="77777777" w:rsidR="00000000" w:rsidRDefault="00A173A8">
            <w:pPr>
              <w:spacing w:after="100"/>
              <w:rPr>
                <w:rFonts w:eastAsia="Times New Roman"/>
                <w:sz w:val="20"/>
                <w:szCs w:val="20"/>
              </w:rPr>
            </w:pPr>
          </w:p>
        </w:tc>
        <w:tc>
          <w:tcPr>
            <w:tcW w:w="5" w:type="pct"/>
            <w:vAlign w:val="center"/>
            <w:hideMark/>
          </w:tcPr>
          <w:p w14:paraId="04BFB2F9" w14:textId="77777777" w:rsidR="00000000" w:rsidRDefault="00A173A8">
            <w:pPr>
              <w:spacing w:after="100"/>
              <w:rPr>
                <w:rFonts w:eastAsia="Times New Roman"/>
                <w:sz w:val="20"/>
                <w:szCs w:val="20"/>
              </w:rPr>
            </w:pPr>
          </w:p>
        </w:tc>
        <w:tc>
          <w:tcPr>
            <w:tcW w:w="5" w:type="pct"/>
            <w:vAlign w:val="center"/>
            <w:hideMark/>
          </w:tcPr>
          <w:p w14:paraId="4941AFBB" w14:textId="77777777" w:rsidR="00000000" w:rsidRDefault="00A173A8">
            <w:pPr>
              <w:spacing w:after="100"/>
              <w:rPr>
                <w:rFonts w:eastAsia="Times New Roman"/>
                <w:sz w:val="20"/>
                <w:szCs w:val="20"/>
              </w:rPr>
            </w:pPr>
          </w:p>
        </w:tc>
        <w:tc>
          <w:tcPr>
            <w:tcW w:w="26" w:type="pct"/>
            <w:vAlign w:val="center"/>
            <w:hideMark/>
          </w:tcPr>
          <w:p w14:paraId="77FF7864" w14:textId="77777777" w:rsidR="00000000" w:rsidRDefault="00A173A8">
            <w:pPr>
              <w:spacing w:after="100"/>
              <w:rPr>
                <w:rFonts w:eastAsia="Times New Roman"/>
                <w:sz w:val="20"/>
                <w:szCs w:val="20"/>
              </w:rPr>
            </w:pPr>
          </w:p>
        </w:tc>
        <w:tc>
          <w:tcPr>
            <w:tcW w:w="5" w:type="pct"/>
            <w:vAlign w:val="center"/>
            <w:hideMark/>
          </w:tcPr>
          <w:p w14:paraId="1EBA7DE8" w14:textId="77777777" w:rsidR="00000000" w:rsidRDefault="00A173A8">
            <w:pPr>
              <w:spacing w:after="100"/>
              <w:rPr>
                <w:rFonts w:eastAsia="Times New Roman"/>
                <w:sz w:val="20"/>
                <w:szCs w:val="20"/>
              </w:rPr>
            </w:pPr>
          </w:p>
        </w:tc>
        <w:tc>
          <w:tcPr>
            <w:tcW w:w="50" w:type="pct"/>
            <w:vAlign w:val="center"/>
            <w:hideMark/>
          </w:tcPr>
          <w:p w14:paraId="737CDE35" w14:textId="77777777" w:rsidR="00000000" w:rsidRDefault="00A173A8">
            <w:pPr>
              <w:spacing w:after="100"/>
              <w:rPr>
                <w:rFonts w:eastAsia="Times New Roman"/>
                <w:sz w:val="20"/>
                <w:szCs w:val="20"/>
              </w:rPr>
            </w:pPr>
          </w:p>
        </w:tc>
        <w:tc>
          <w:tcPr>
            <w:tcW w:w="413" w:type="pct"/>
            <w:vAlign w:val="center"/>
            <w:hideMark/>
          </w:tcPr>
          <w:p w14:paraId="1865888C" w14:textId="77777777" w:rsidR="00000000" w:rsidRDefault="00A173A8">
            <w:pPr>
              <w:spacing w:after="100"/>
              <w:rPr>
                <w:rFonts w:eastAsia="Times New Roman"/>
                <w:sz w:val="20"/>
                <w:szCs w:val="20"/>
              </w:rPr>
            </w:pPr>
          </w:p>
        </w:tc>
        <w:tc>
          <w:tcPr>
            <w:tcW w:w="5" w:type="pct"/>
            <w:vAlign w:val="center"/>
            <w:hideMark/>
          </w:tcPr>
          <w:p w14:paraId="0A342EEA" w14:textId="77777777" w:rsidR="00000000" w:rsidRDefault="00A173A8">
            <w:pPr>
              <w:spacing w:after="100"/>
              <w:rPr>
                <w:rFonts w:eastAsia="Times New Roman"/>
                <w:sz w:val="20"/>
                <w:szCs w:val="20"/>
              </w:rPr>
            </w:pPr>
          </w:p>
        </w:tc>
        <w:tc>
          <w:tcPr>
            <w:tcW w:w="5" w:type="pct"/>
            <w:vAlign w:val="center"/>
            <w:hideMark/>
          </w:tcPr>
          <w:p w14:paraId="0EF88880" w14:textId="77777777" w:rsidR="00000000" w:rsidRDefault="00A173A8">
            <w:pPr>
              <w:spacing w:after="100"/>
              <w:rPr>
                <w:rFonts w:eastAsia="Times New Roman"/>
                <w:sz w:val="20"/>
                <w:szCs w:val="20"/>
              </w:rPr>
            </w:pPr>
          </w:p>
        </w:tc>
        <w:tc>
          <w:tcPr>
            <w:tcW w:w="26" w:type="pct"/>
            <w:vAlign w:val="center"/>
            <w:hideMark/>
          </w:tcPr>
          <w:p w14:paraId="6F994088" w14:textId="77777777" w:rsidR="00000000" w:rsidRDefault="00A173A8">
            <w:pPr>
              <w:spacing w:after="100"/>
              <w:rPr>
                <w:rFonts w:eastAsia="Times New Roman"/>
                <w:sz w:val="20"/>
                <w:szCs w:val="20"/>
              </w:rPr>
            </w:pPr>
          </w:p>
        </w:tc>
        <w:tc>
          <w:tcPr>
            <w:tcW w:w="5" w:type="pct"/>
            <w:vAlign w:val="center"/>
            <w:hideMark/>
          </w:tcPr>
          <w:p w14:paraId="654D9DC9" w14:textId="77777777" w:rsidR="00000000" w:rsidRDefault="00A173A8">
            <w:pPr>
              <w:spacing w:after="100"/>
              <w:rPr>
                <w:rFonts w:eastAsia="Times New Roman"/>
                <w:sz w:val="20"/>
                <w:szCs w:val="20"/>
              </w:rPr>
            </w:pPr>
          </w:p>
        </w:tc>
        <w:tc>
          <w:tcPr>
            <w:tcW w:w="50" w:type="pct"/>
            <w:vAlign w:val="center"/>
            <w:hideMark/>
          </w:tcPr>
          <w:p w14:paraId="6DAB15F0" w14:textId="77777777" w:rsidR="00000000" w:rsidRDefault="00A173A8">
            <w:pPr>
              <w:spacing w:after="100"/>
              <w:rPr>
                <w:rFonts w:eastAsia="Times New Roman"/>
                <w:sz w:val="20"/>
                <w:szCs w:val="20"/>
              </w:rPr>
            </w:pPr>
          </w:p>
        </w:tc>
        <w:tc>
          <w:tcPr>
            <w:tcW w:w="442" w:type="pct"/>
            <w:vAlign w:val="center"/>
            <w:hideMark/>
          </w:tcPr>
          <w:p w14:paraId="577583EF" w14:textId="77777777" w:rsidR="00000000" w:rsidRDefault="00A173A8">
            <w:pPr>
              <w:spacing w:after="100"/>
              <w:rPr>
                <w:rFonts w:eastAsia="Times New Roman"/>
                <w:sz w:val="20"/>
                <w:szCs w:val="20"/>
              </w:rPr>
            </w:pPr>
          </w:p>
        </w:tc>
        <w:tc>
          <w:tcPr>
            <w:tcW w:w="5" w:type="pct"/>
            <w:vAlign w:val="center"/>
            <w:hideMark/>
          </w:tcPr>
          <w:p w14:paraId="52534974" w14:textId="77777777" w:rsidR="00000000" w:rsidRDefault="00A173A8">
            <w:pPr>
              <w:spacing w:after="100"/>
              <w:rPr>
                <w:rFonts w:eastAsia="Times New Roman"/>
                <w:sz w:val="20"/>
                <w:szCs w:val="20"/>
              </w:rPr>
            </w:pPr>
          </w:p>
        </w:tc>
      </w:tr>
      <w:tr w:rsidR="00000000" w14:paraId="6DBFC5BB" w14:textId="77777777">
        <w:trPr>
          <w:divId w:val="869031359"/>
        </w:trPr>
        <w:tc>
          <w:tcPr>
            <w:tcW w:w="0" w:type="auto"/>
            <w:gridSpan w:val="3"/>
            <w:tcMar>
              <w:top w:w="0" w:type="dxa"/>
              <w:left w:w="20" w:type="dxa"/>
              <w:bottom w:w="0" w:type="dxa"/>
              <w:right w:w="20" w:type="dxa"/>
            </w:tcMar>
            <w:vAlign w:val="center"/>
            <w:hideMark/>
          </w:tcPr>
          <w:p w14:paraId="0D1EA1FC"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38E901"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14FCEDE" w14:textId="77777777" w:rsidR="00000000" w:rsidRDefault="00A173A8">
            <w:pPr>
              <w:spacing w:after="100"/>
              <w:jc w:val="center"/>
              <w:rPr>
                <w:rFonts w:eastAsia="Times New Roman"/>
              </w:rPr>
            </w:pPr>
            <w:r>
              <w:rPr>
                <w:rFonts w:eastAsia="Times New Roman"/>
                <w:b/>
                <w:bCs/>
                <w:color w:val="000000"/>
                <w:sz w:val="16"/>
                <w:szCs w:val="16"/>
              </w:rPr>
              <w:t>Six Months Ended June 30, 2021</w:t>
            </w:r>
          </w:p>
        </w:tc>
      </w:tr>
      <w:tr w:rsidR="00000000" w14:paraId="62693605" w14:textId="77777777">
        <w:trPr>
          <w:divId w:val="869031359"/>
        </w:trPr>
        <w:tc>
          <w:tcPr>
            <w:tcW w:w="0" w:type="auto"/>
            <w:gridSpan w:val="3"/>
            <w:tcBorders>
              <w:bottom w:val="single" w:sz="8" w:space="0" w:color="000000"/>
            </w:tcBorders>
            <w:tcMar>
              <w:top w:w="30" w:type="dxa"/>
              <w:left w:w="20" w:type="dxa"/>
              <w:bottom w:w="30" w:type="dxa"/>
              <w:right w:w="20" w:type="dxa"/>
            </w:tcMar>
            <w:vAlign w:val="bottom"/>
            <w:hideMark/>
          </w:tcPr>
          <w:p w14:paraId="711181C8"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7ACBBC9"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8ACD7AD"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29DAD088"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A7EAC3A"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78A1F71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891659A" w14:textId="77777777" w:rsidR="00000000" w:rsidRDefault="00A173A8">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7CF3B7F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E52B50" w14:textId="77777777" w:rsidR="00000000" w:rsidRDefault="00A173A8">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EBB78E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919EB6B" w14:textId="77777777" w:rsidR="00000000" w:rsidRDefault="00A173A8">
            <w:pPr>
              <w:spacing w:after="100"/>
              <w:jc w:val="center"/>
              <w:rPr>
                <w:rFonts w:eastAsia="Times New Roman"/>
              </w:rPr>
            </w:pPr>
            <w:r>
              <w:rPr>
                <w:rFonts w:eastAsia="Times New Roman"/>
                <w:b/>
                <w:bCs/>
                <w:color w:val="000000"/>
                <w:sz w:val="16"/>
                <w:szCs w:val="16"/>
              </w:rPr>
              <w:t>Consolidated Total</w:t>
            </w:r>
          </w:p>
        </w:tc>
      </w:tr>
      <w:tr w:rsidR="00000000" w14:paraId="2BBFAE60" w14:textId="77777777">
        <w:trPr>
          <w:divId w:val="86903135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794A48F6" w14:textId="77777777" w:rsidR="00000000" w:rsidRDefault="00A173A8">
            <w:pPr>
              <w:spacing w:after="100"/>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14:paraId="31DDFBD4"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C12D49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972D097" w14:textId="77777777" w:rsidR="00000000" w:rsidRDefault="00A173A8">
            <w:pPr>
              <w:spacing w:after="100"/>
              <w:jc w:val="right"/>
              <w:rPr>
                <w:rFonts w:eastAsia="Times New Roman"/>
              </w:rPr>
            </w:pPr>
            <w:r>
              <w:rPr>
                <w:rFonts w:eastAsia="Times New Roman"/>
                <w:color w:val="000000"/>
                <w:sz w:val="18"/>
                <w:szCs w:val="18"/>
              </w:rPr>
              <w:t>6,589 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4B916F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38B20"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1ED32D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73C4A225" w14:textId="77777777" w:rsidR="00000000" w:rsidRDefault="00A173A8">
            <w:pPr>
              <w:spacing w:after="100"/>
              <w:jc w:val="right"/>
              <w:rPr>
                <w:rFonts w:eastAsia="Times New Roman"/>
              </w:rPr>
            </w:pPr>
            <w:r>
              <w:rPr>
                <w:rFonts w:eastAsia="Times New Roman"/>
                <w:color w:val="000000"/>
                <w:sz w:val="18"/>
                <w:szCs w:val="18"/>
              </w:rPr>
              <w:t>4,131 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8D542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37AE6"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AEE8BA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6C6FF45B" w14:textId="77777777" w:rsidR="00000000" w:rsidRDefault="00A173A8">
            <w:pPr>
              <w:spacing w:after="100"/>
              <w:jc w:val="right"/>
              <w:rPr>
                <w:rFonts w:eastAsia="Times New Roman"/>
              </w:rPr>
            </w:pPr>
            <w:r>
              <w:rPr>
                <w:rFonts w:eastAsia="Times New Roman"/>
                <w:color w:val="000000"/>
                <w:sz w:val="18"/>
                <w:szCs w:val="18"/>
              </w:rPr>
              <w:t>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DFE48D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3D044C"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22DAA72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394C8C2B" w14:textId="77777777" w:rsidR="00000000" w:rsidRDefault="00A173A8">
            <w:pPr>
              <w:spacing w:after="100"/>
              <w:jc w:val="right"/>
              <w:rPr>
                <w:rFonts w:eastAsia="Times New Roman"/>
              </w:rPr>
            </w:pPr>
            <w:r>
              <w:rPr>
                <w:rFonts w:eastAsia="Times New Roman"/>
                <w:color w:val="000000"/>
                <w:sz w:val="18"/>
                <w:szCs w:val="18"/>
              </w:rPr>
              <w:t>(135)</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8AA1C2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069F1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3611310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4C92E249" w14:textId="77777777" w:rsidR="00000000" w:rsidRDefault="00A173A8">
            <w:pPr>
              <w:spacing w:after="100"/>
              <w:jc w:val="right"/>
              <w:rPr>
                <w:rFonts w:eastAsia="Times New Roman"/>
              </w:rPr>
            </w:pPr>
            <w:r>
              <w:rPr>
                <w:rFonts w:eastAsia="Times New Roman"/>
                <w:color w:val="000000"/>
                <w:sz w:val="18"/>
                <w:szCs w:val="18"/>
              </w:rPr>
              <w:t>11,565 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FFF751" w14:textId="77777777" w:rsidR="00000000" w:rsidRDefault="00A173A8">
            <w:pPr>
              <w:spacing w:after="100"/>
              <w:jc w:val="right"/>
              <w:rPr>
                <w:rFonts w:eastAsia="Times New Roman"/>
              </w:rPr>
            </w:pPr>
          </w:p>
        </w:tc>
      </w:tr>
      <w:tr w:rsidR="00000000" w14:paraId="24DCDCE2" w14:textId="77777777">
        <w:trPr>
          <w:divId w:val="869031359"/>
        </w:trPr>
        <w:tc>
          <w:tcPr>
            <w:tcW w:w="0" w:type="auto"/>
            <w:gridSpan w:val="3"/>
            <w:shd w:val="clear" w:color="auto" w:fill="FFFFFF"/>
            <w:tcMar>
              <w:top w:w="30" w:type="dxa"/>
              <w:left w:w="20" w:type="dxa"/>
              <w:bottom w:w="30" w:type="dxa"/>
              <w:right w:w="20" w:type="dxa"/>
            </w:tcMar>
            <w:vAlign w:val="center"/>
            <w:hideMark/>
          </w:tcPr>
          <w:p w14:paraId="73916B71" w14:textId="77777777" w:rsidR="00000000" w:rsidRDefault="00A173A8">
            <w:pPr>
              <w:spacing w:after="100"/>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14:paraId="2CD3D4B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5939A3D" w14:textId="77777777" w:rsidR="00000000" w:rsidRDefault="00A173A8">
            <w:pPr>
              <w:spacing w:after="100"/>
              <w:jc w:val="right"/>
              <w:rPr>
                <w:rFonts w:eastAsia="Times New Roman"/>
              </w:rPr>
            </w:pPr>
            <w:r>
              <w:rPr>
                <w:rFonts w:eastAsia="Times New Roman"/>
                <w:color w:val="000000"/>
                <w:sz w:val="18"/>
                <w:szCs w:val="18"/>
              </w:rPr>
              <w:t>2,282 </w:t>
            </w:r>
          </w:p>
        </w:tc>
        <w:tc>
          <w:tcPr>
            <w:tcW w:w="0" w:type="auto"/>
            <w:shd w:val="clear" w:color="auto" w:fill="FFFFFF"/>
            <w:tcMar>
              <w:top w:w="30" w:type="dxa"/>
              <w:left w:w="0" w:type="dxa"/>
              <w:bottom w:w="30" w:type="dxa"/>
              <w:right w:w="20" w:type="dxa"/>
            </w:tcMar>
            <w:vAlign w:val="center"/>
            <w:hideMark/>
          </w:tcPr>
          <w:p w14:paraId="1A90ED6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F663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F3082B4" w14:textId="77777777" w:rsidR="00000000" w:rsidRDefault="00A173A8">
            <w:pPr>
              <w:spacing w:after="100"/>
              <w:jc w:val="right"/>
              <w:rPr>
                <w:rFonts w:eastAsia="Times New Roman"/>
              </w:rPr>
            </w:pPr>
            <w:r>
              <w:rPr>
                <w:rFonts w:eastAsia="Times New Roman"/>
                <w:color w:val="000000"/>
                <w:sz w:val="18"/>
                <w:szCs w:val="18"/>
              </w:rPr>
              <w:t>285 </w:t>
            </w:r>
          </w:p>
        </w:tc>
        <w:tc>
          <w:tcPr>
            <w:tcW w:w="0" w:type="auto"/>
            <w:shd w:val="clear" w:color="auto" w:fill="FFFFFF"/>
            <w:tcMar>
              <w:top w:w="30" w:type="dxa"/>
              <w:left w:w="0" w:type="dxa"/>
              <w:bottom w:w="30" w:type="dxa"/>
              <w:right w:w="20" w:type="dxa"/>
            </w:tcMar>
            <w:vAlign w:val="center"/>
            <w:hideMark/>
          </w:tcPr>
          <w:p w14:paraId="7312F48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ACCC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FCEFF48" w14:textId="77777777" w:rsidR="00000000" w:rsidRDefault="00A173A8">
            <w:pPr>
              <w:spacing w:after="100"/>
              <w:jc w:val="right"/>
              <w:rPr>
                <w:rFonts w:eastAsia="Times New Roman"/>
              </w:rPr>
            </w:pPr>
            <w:r>
              <w:rPr>
                <w:rFonts w:eastAsia="Times New Roman"/>
                <w:color w:val="000000"/>
                <w:sz w:val="18"/>
                <w:szCs w:val="18"/>
              </w:rPr>
              <w:t>497 </w:t>
            </w:r>
          </w:p>
        </w:tc>
        <w:tc>
          <w:tcPr>
            <w:tcW w:w="0" w:type="auto"/>
            <w:shd w:val="clear" w:color="auto" w:fill="FFFFFF"/>
            <w:tcMar>
              <w:top w:w="30" w:type="dxa"/>
              <w:left w:w="0" w:type="dxa"/>
              <w:bottom w:w="30" w:type="dxa"/>
              <w:right w:w="20" w:type="dxa"/>
            </w:tcMar>
            <w:vAlign w:val="center"/>
            <w:hideMark/>
          </w:tcPr>
          <w:p w14:paraId="632432D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F391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8FE4981" w14:textId="77777777" w:rsidR="00000000" w:rsidRDefault="00A173A8">
            <w:pPr>
              <w:spacing w:after="100"/>
              <w:jc w:val="right"/>
              <w:rPr>
                <w:rFonts w:eastAsia="Times New Roman"/>
              </w:rPr>
            </w:pPr>
            <w:r>
              <w:rPr>
                <w:rFonts w:eastAsia="Times New Roman"/>
                <w:color w:val="000000"/>
                <w:sz w:val="18"/>
                <w:szCs w:val="18"/>
              </w:rPr>
              <w:t>(142)</w:t>
            </w:r>
          </w:p>
        </w:tc>
        <w:tc>
          <w:tcPr>
            <w:tcW w:w="0" w:type="auto"/>
            <w:shd w:val="clear" w:color="auto" w:fill="FFFFFF"/>
            <w:tcMar>
              <w:top w:w="30" w:type="dxa"/>
              <w:left w:w="0" w:type="dxa"/>
              <w:bottom w:w="30" w:type="dxa"/>
              <w:right w:w="20" w:type="dxa"/>
            </w:tcMar>
            <w:vAlign w:val="center"/>
            <w:hideMark/>
          </w:tcPr>
          <w:p w14:paraId="1E5690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E08F9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6F2A53F" w14:textId="77777777" w:rsidR="00000000" w:rsidRDefault="00A173A8">
            <w:pPr>
              <w:spacing w:after="100"/>
              <w:jc w:val="right"/>
              <w:rPr>
                <w:rFonts w:eastAsia="Times New Roman"/>
              </w:rPr>
            </w:pPr>
            <w:r>
              <w:rPr>
                <w:rFonts w:eastAsia="Times New Roman"/>
                <w:color w:val="000000"/>
                <w:sz w:val="18"/>
                <w:szCs w:val="18"/>
              </w:rPr>
              <w:t>2,922 </w:t>
            </w:r>
          </w:p>
        </w:tc>
        <w:tc>
          <w:tcPr>
            <w:tcW w:w="0" w:type="auto"/>
            <w:shd w:val="clear" w:color="auto" w:fill="FFFFFF"/>
            <w:tcMar>
              <w:top w:w="30" w:type="dxa"/>
              <w:left w:w="0" w:type="dxa"/>
              <w:bottom w:w="30" w:type="dxa"/>
              <w:right w:w="20" w:type="dxa"/>
            </w:tcMar>
            <w:vAlign w:val="center"/>
            <w:hideMark/>
          </w:tcPr>
          <w:p w14:paraId="15BA3DAD" w14:textId="77777777" w:rsidR="00000000" w:rsidRDefault="00A173A8">
            <w:pPr>
              <w:spacing w:after="100"/>
              <w:jc w:val="right"/>
              <w:rPr>
                <w:rFonts w:eastAsia="Times New Roman"/>
              </w:rPr>
            </w:pPr>
          </w:p>
        </w:tc>
      </w:tr>
      <w:tr w:rsidR="00000000" w14:paraId="138765EB" w14:textId="77777777">
        <w:trPr>
          <w:divId w:val="869031359"/>
        </w:trPr>
        <w:tc>
          <w:tcPr>
            <w:tcW w:w="0" w:type="auto"/>
            <w:gridSpan w:val="3"/>
            <w:shd w:val="clear" w:color="auto" w:fill="CCEEFF"/>
            <w:tcMar>
              <w:top w:w="30" w:type="dxa"/>
              <w:left w:w="20" w:type="dxa"/>
              <w:bottom w:w="30" w:type="dxa"/>
              <w:right w:w="20" w:type="dxa"/>
            </w:tcMar>
            <w:vAlign w:val="center"/>
            <w:hideMark/>
          </w:tcPr>
          <w:p w14:paraId="48128512" w14:textId="77777777" w:rsidR="00000000" w:rsidRDefault="00A173A8">
            <w:pPr>
              <w:spacing w:after="100"/>
              <w:divId w:val="297998068"/>
              <w:rPr>
                <w:rFonts w:eastAsia="Times New Roman"/>
              </w:rPr>
            </w:pPr>
            <w:r>
              <w:rPr>
                <w:rFonts w:eastAsia="Times New Roman"/>
                <w:color w:val="000000"/>
                <w:sz w:val="18"/>
                <w:szCs w:val="18"/>
              </w:rPr>
              <w:t>Total net revenue (loss</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987DB82"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BFCC725" w14:textId="77777777" w:rsidR="00000000" w:rsidRDefault="00A173A8">
            <w:pPr>
              <w:spacing w:after="100"/>
              <w:jc w:val="right"/>
              <w:rPr>
                <w:rFonts w:eastAsia="Times New Roman"/>
              </w:rPr>
            </w:pPr>
            <w:r>
              <w:rPr>
                <w:rFonts w:eastAsia="Times New Roman"/>
                <w:color w:val="000000"/>
                <w:sz w:val="18"/>
                <w:szCs w:val="18"/>
              </w:rPr>
              <w:t>8,871 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70A3C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7816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13D09BD" w14:textId="77777777" w:rsidR="00000000" w:rsidRDefault="00A173A8">
            <w:pPr>
              <w:spacing w:after="100"/>
              <w:jc w:val="right"/>
              <w:rPr>
                <w:rFonts w:eastAsia="Times New Roman"/>
              </w:rPr>
            </w:pPr>
            <w:r>
              <w:rPr>
                <w:rFonts w:eastAsia="Times New Roman"/>
                <w:color w:val="000000"/>
                <w:sz w:val="18"/>
                <w:szCs w:val="18"/>
              </w:rPr>
              <w:t>4,416 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DAB7B0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9B1CC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7AAB28F" w14:textId="77777777" w:rsidR="00000000" w:rsidRDefault="00A173A8">
            <w:pPr>
              <w:spacing w:after="100"/>
              <w:jc w:val="right"/>
              <w:rPr>
                <w:rFonts w:eastAsia="Times New Roman"/>
              </w:rPr>
            </w:pPr>
            <w:r>
              <w:rPr>
                <w:rFonts w:eastAsia="Times New Roman"/>
                <w:color w:val="000000"/>
                <w:sz w:val="18"/>
                <w:szCs w:val="18"/>
              </w:rPr>
              <w:t>1,477 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A911CB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7B9F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F7589D4" w14:textId="77777777" w:rsidR="00000000" w:rsidRDefault="00A173A8">
            <w:pPr>
              <w:spacing w:after="100"/>
              <w:jc w:val="right"/>
              <w:rPr>
                <w:rFonts w:eastAsia="Times New Roman"/>
              </w:rPr>
            </w:pPr>
            <w:r>
              <w:rPr>
                <w:rFonts w:eastAsia="Times New Roman"/>
                <w:color w:val="000000"/>
                <w:sz w:val="18"/>
                <w:szCs w:val="18"/>
              </w:rPr>
              <w:t>(277)</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B3548B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4090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4BE668" w14:textId="77777777" w:rsidR="00000000" w:rsidRDefault="00A173A8">
            <w:pPr>
              <w:spacing w:after="100"/>
              <w:jc w:val="right"/>
              <w:rPr>
                <w:rFonts w:eastAsia="Times New Roman"/>
              </w:rPr>
            </w:pPr>
            <w:r>
              <w:rPr>
                <w:rFonts w:eastAsia="Times New Roman"/>
                <w:color w:val="000000"/>
                <w:sz w:val="18"/>
                <w:szCs w:val="18"/>
              </w:rPr>
              <w:t>14,487 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BD2DD79" w14:textId="77777777" w:rsidR="00000000" w:rsidRDefault="00A173A8">
            <w:pPr>
              <w:spacing w:after="100"/>
              <w:jc w:val="right"/>
              <w:rPr>
                <w:rFonts w:eastAsia="Times New Roman"/>
              </w:rPr>
            </w:pPr>
          </w:p>
        </w:tc>
      </w:tr>
      <w:tr w:rsidR="00000000" w14:paraId="426B24BC" w14:textId="77777777">
        <w:trPr>
          <w:divId w:val="869031359"/>
        </w:trPr>
        <w:tc>
          <w:tcPr>
            <w:tcW w:w="0" w:type="auto"/>
            <w:gridSpan w:val="3"/>
            <w:shd w:val="clear" w:color="auto" w:fill="FFFFFF"/>
            <w:tcMar>
              <w:top w:w="30" w:type="dxa"/>
              <w:left w:w="20" w:type="dxa"/>
              <w:bottom w:w="30" w:type="dxa"/>
              <w:right w:w="20" w:type="dxa"/>
            </w:tcMar>
            <w:vAlign w:val="center"/>
            <w:hideMark/>
          </w:tcPr>
          <w:p w14:paraId="4C5D9EB2" w14:textId="77777777" w:rsidR="00000000" w:rsidRDefault="00A173A8">
            <w:pPr>
              <w:spacing w:after="100"/>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14:paraId="3E9DE09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49BDD719" w14:textId="77777777" w:rsidR="00000000" w:rsidRDefault="00A173A8">
            <w:pPr>
              <w:spacing w:after="100"/>
              <w:jc w:val="right"/>
              <w:rPr>
                <w:rFonts w:eastAsia="Times New Roman"/>
              </w:rPr>
            </w:pPr>
            <w:r>
              <w:rPr>
                <w:rFonts w:eastAsia="Times New Roman"/>
                <w:color w:val="000000"/>
                <w:sz w:val="18"/>
                <w:szCs w:val="18"/>
              </w:rPr>
              <w:t>(1,127)</w:t>
            </w:r>
          </w:p>
        </w:tc>
        <w:tc>
          <w:tcPr>
            <w:tcW w:w="0" w:type="auto"/>
            <w:shd w:val="clear" w:color="auto" w:fill="FFFFFF"/>
            <w:tcMar>
              <w:top w:w="30" w:type="dxa"/>
              <w:left w:w="0" w:type="dxa"/>
              <w:bottom w:w="30" w:type="dxa"/>
              <w:right w:w="20" w:type="dxa"/>
            </w:tcMar>
            <w:vAlign w:val="center"/>
            <w:hideMark/>
          </w:tcPr>
          <w:p w14:paraId="12F1B68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F4D1E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248759" w14:textId="77777777" w:rsidR="00000000" w:rsidRDefault="00A173A8">
            <w:pPr>
              <w:spacing w:after="100"/>
              <w:jc w:val="right"/>
              <w:rPr>
                <w:rFonts w:eastAsia="Times New Roman"/>
              </w:rPr>
            </w:pPr>
            <w:r>
              <w:rPr>
                <w:rFonts w:eastAsia="Times New Roman"/>
                <w:color w:val="000000"/>
                <w:sz w:val="18"/>
                <w:szCs w:val="18"/>
              </w:rPr>
              <w:t>(432)</w:t>
            </w:r>
          </w:p>
        </w:tc>
        <w:tc>
          <w:tcPr>
            <w:tcW w:w="0" w:type="auto"/>
            <w:shd w:val="clear" w:color="auto" w:fill="FFFFFF"/>
            <w:tcMar>
              <w:top w:w="30" w:type="dxa"/>
              <w:left w:w="0" w:type="dxa"/>
              <w:bottom w:w="30" w:type="dxa"/>
              <w:right w:w="20" w:type="dxa"/>
            </w:tcMar>
            <w:vAlign w:val="center"/>
            <w:hideMark/>
          </w:tcPr>
          <w:p w14:paraId="5869164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9984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A3FC38" w14:textId="77777777" w:rsidR="00000000" w:rsidRDefault="00A173A8">
            <w:pPr>
              <w:spacing w:after="100"/>
              <w:jc w:val="right"/>
              <w:rPr>
                <w:rFonts w:eastAsia="Times New Roman"/>
              </w:rPr>
            </w:pPr>
            <w:r>
              <w:rPr>
                <w:rFonts w:eastAsia="Times New Roman"/>
                <w:color w:val="000000"/>
                <w:sz w:val="18"/>
                <w:szCs w:val="18"/>
              </w:rPr>
              <w:t>(422)</w:t>
            </w:r>
          </w:p>
        </w:tc>
        <w:tc>
          <w:tcPr>
            <w:tcW w:w="0" w:type="auto"/>
            <w:shd w:val="clear" w:color="auto" w:fill="FFFFFF"/>
            <w:tcMar>
              <w:top w:w="30" w:type="dxa"/>
              <w:left w:w="0" w:type="dxa"/>
              <w:bottom w:w="30" w:type="dxa"/>
              <w:right w:w="20" w:type="dxa"/>
            </w:tcMar>
            <w:vAlign w:val="center"/>
            <w:hideMark/>
          </w:tcPr>
          <w:p w14:paraId="450F9FB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6E681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9B76C5" w14:textId="77777777" w:rsidR="00000000" w:rsidRDefault="00A173A8">
            <w:pPr>
              <w:spacing w:after="100"/>
              <w:jc w:val="right"/>
              <w:rPr>
                <w:rFonts w:eastAsia="Times New Roman"/>
              </w:rPr>
            </w:pPr>
            <w:r>
              <w:rPr>
                <w:rFonts w:eastAsia="Times New Roman"/>
                <w:color w:val="000000"/>
                <w:sz w:val="18"/>
                <w:szCs w:val="18"/>
              </w:rPr>
              <w:t>(</w:t>
            </w: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14:paraId="1028438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445D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5E87690" w14:textId="77777777" w:rsidR="00000000" w:rsidRDefault="00A173A8">
            <w:pPr>
              <w:spacing w:after="100"/>
              <w:jc w:val="right"/>
              <w:rPr>
                <w:rFonts w:eastAsia="Times New Roman"/>
              </w:rPr>
            </w:pPr>
            <w:r>
              <w:rPr>
                <w:rFonts w:eastAsia="Times New Roman"/>
                <w:color w:val="000000"/>
                <w:sz w:val="18"/>
                <w:szCs w:val="18"/>
              </w:rPr>
              <w:t>(1,983)</w:t>
            </w:r>
          </w:p>
        </w:tc>
        <w:tc>
          <w:tcPr>
            <w:tcW w:w="0" w:type="auto"/>
            <w:shd w:val="clear" w:color="auto" w:fill="FFFFFF"/>
            <w:tcMar>
              <w:top w:w="30" w:type="dxa"/>
              <w:left w:w="0" w:type="dxa"/>
              <w:bottom w:w="30" w:type="dxa"/>
              <w:right w:w="20" w:type="dxa"/>
            </w:tcMar>
            <w:vAlign w:val="center"/>
            <w:hideMark/>
          </w:tcPr>
          <w:p w14:paraId="22195F56" w14:textId="77777777" w:rsidR="00000000" w:rsidRDefault="00A173A8">
            <w:pPr>
              <w:spacing w:after="100"/>
              <w:jc w:val="right"/>
              <w:rPr>
                <w:rFonts w:eastAsia="Times New Roman"/>
              </w:rPr>
            </w:pPr>
          </w:p>
        </w:tc>
      </w:tr>
      <w:tr w:rsidR="00000000" w14:paraId="23CB7A6B" w14:textId="77777777">
        <w:trPr>
          <w:divId w:val="869031359"/>
        </w:trPr>
        <w:tc>
          <w:tcPr>
            <w:tcW w:w="0" w:type="auto"/>
            <w:gridSpan w:val="3"/>
            <w:shd w:val="clear" w:color="auto" w:fill="CCEEFF"/>
            <w:tcMar>
              <w:top w:w="30" w:type="dxa"/>
              <w:left w:w="20" w:type="dxa"/>
              <w:bottom w:w="30" w:type="dxa"/>
              <w:right w:w="20" w:type="dxa"/>
            </w:tcMar>
            <w:vAlign w:val="center"/>
            <w:hideMark/>
          </w:tcPr>
          <w:p w14:paraId="236D0682" w14:textId="77777777" w:rsidR="00000000" w:rsidRDefault="00A173A8">
            <w:pPr>
              <w:spacing w:after="100"/>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14:paraId="289F6446"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05D68A01" w14:textId="77777777" w:rsidR="00000000" w:rsidRDefault="00A173A8">
            <w:pPr>
              <w:spacing w:after="100"/>
              <w:jc w:val="right"/>
              <w:rPr>
                <w:rFonts w:eastAsia="Times New Roman"/>
              </w:rPr>
            </w:pPr>
            <w:r>
              <w:rPr>
                <w:rFonts w:eastAsia="Times New Roman"/>
                <w:color w:val="000000"/>
                <w:sz w:val="18"/>
                <w:szCs w:val="18"/>
              </w:rPr>
              <w:t>4,398 </w:t>
            </w:r>
          </w:p>
        </w:tc>
        <w:tc>
          <w:tcPr>
            <w:tcW w:w="0" w:type="auto"/>
            <w:shd w:val="clear" w:color="auto" w:fill="CCEEFF"/>
            <w:tcMar>
              <w:top w:w="30" w:type="dxa"/>
              <w:left w:w="0" w:type="dxa"/>
              <w:bottom w:w="30" w:type="dxa"/>
              <w:right w:w="20" w:type="dxa"/>
            </w:tcMar>
            <w:vAlign w:val="center"/>
            <w:hideMark/>
          </w:tcPr>
          <w:p w14:paraId="1279012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E4F9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6B061EB" w14:textId="77777777" w:rsidR="00000000" w:rsidRDefault="00A173A8">
            <w:pPr>
              <w:spacing w:after="100"/>
              <w:jc w:val="right"/>
              <w:rPr>
                <w:rFonts w:eastAsia="Times New Roman"/>
              </w:rPr>
            </w:pPr>
            <w:r>
              <w:rPr>
                <w:rFonts w:eastAsia="Times New Roman"/>
                <w:color w:val="000000"/>
                <w:sz w:val="18"/>
                <w:szCs w:val="18"/>
              </w:rPr>
              <w:t>2,240 </w:t>
            </w:r>
          </w:p>
        </w:tc>
        <w:tc>
          <w:tcPr>
            <w:tcW w:w="0" w:type="auto"/>
            <w:shd w:val="clear" w:color="auto" w:fill="CCEEFF"/>
            <w:tcMar>
              <w:top w:w="30" w:type="dxa"/>
              <w:left w:w="0" w:type="dxa"/>
              <w:bottom w:w="30" w:type="dxa"/>
              <w:right w:w="20" w:type="dxa"/>
            </w:tcMar>
            <w:vAlign w:val="center"/>
            <w:hideMark/>
          </w:tcPr>
          <w:p w14:paraId="47A95D3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69256C"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7CD8D68" w14:textId="77777777" w:rsidR="00000000" w:rsidRDefault="00A173A8">
            <w:pPr>
              <w:spacing w:after="100"/>
              <w:jc w:val="right"/>
              <w:rPr>
                <w:rFonts w:eastAsia="Times New Roman"/>
              </w:rPr>
            </w:pPr>
            <w:r>
              <w:rPr>
                <w:rFonts w:eastAsia="Times New Roman"/>
                <w:color w:val="000000"/>
                <w:sz w:val="18"/>
                <w:szCs w:val="18"/>
              </w:rPr>
              <w:t>836 </w:t>
            </w:r>
          </w:p>
        </w:tc>
        <w:tc>
          <w:tcPr>
            <w:tcW w:w="0" w:type="auto"/>
            <w:shd w:val="clear" w:color="auto" w:fill="CCEEFF"/>
            <w:tcMar>
              <w:top w:w="30" w:type="dxa"/>
              <w:left w:w="0" w:type="dxa"/>
              <w:bottom w:w="30" w:type="dxa"/>
              <w:right w:w="20" w:type="dxa"/>
            </w:tcMar>
            <w:vAlign w:val="center"/>
            <w:hideMark/>
          </w:tcPr>
          <w:p w14:paraId="13B69B3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6D249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9214A48" w14:textId="77777777" w:rsidR="00000000" w:rsidRDefault="00A173A8">
            <w:pPr>
              <w:spacing w:after="100"/>
              <w:jc w:val="right"/>
              <w:rPr>
                <w:rFonts w:eastAsia="Times New Roman"/>
              </w:rPr>
            </w:pPr>
            <w:r>
              <w:rPr>
                <w:rFonts w:eastAsia="Times New Roman"/>
                <w:color w:val="000000"/>
                <w:sz w:val="18"/>
                <w:szCs w:val="18"/>
              </w:rPr>
              <w:t>232 </w:t>
            </w:r>
          </w:p>
        </w:tc>
        <w:tc>
          <w:tcPr>
            <w:tcW w:w="0" w:type="auto"/>
            <w:shd w:val="clear" w:color="auto" w:fill="CCEEFF"/>
            <w:tcMar>
              <w:top w:w="30" w:type="dxa"/>
              <w:left w:w="0" w:type="dxa"/>
              <w:bottom w:w="30" w:type="dxa"/>
              <w:right w:w="20" w:type="dxa"/>
            </w:tcMar>
            <w:vAlign w:val="center"/>
            <w:hideMark/>
          </w:tcPr>
          <w:p w14:paraId="0D2BAA6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355A88"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CDEEBD3" w14:textId="77777777" w:rsidR="00000000" w:rsidRDefault="00A173A8">
            <w:pPr>
              <w:spacing w:after="100"/>
              <w:jc w:val="right"/>
              <w:rPr>
                <w:rFonts w:eastAsia="Times New Roman"/>
              </w:rPr>
            </w:pPr>
            <w:r>
              <w:rPr>
                <w:rFonts w:eastAsia="Times New Roman"/>
                <w:color w:val="000000"/>
                <w:sz w:val="18"/>
                <w:szCs w:val="18"/>
              </w:rPr>
              <w:t>7,706 </w:t>
            </w:r>
          </w:p>
        </w:tc>
        <w:tc>
          <w:tcPr>
            <w:tcW w:w="0" w:type="auto"/>
            <w:shd w:val="clear" w:color="auto" w:fill="CCEEFF"/>
            <w:tcMar>
              <w:top w:w="30" w:type="dxa"/>
              <w:left w:w="0" w:type="dxa"/>
              <w:bottom w:w="30" w:type="dxa"/>
              <w:right w:w="20" w:type="dxa"/>
            </w:tcMar>
            <w:vAlign w:val="center"/>
            <w:hideMark/>
          </w:tcPr>
          <w:p w14:paraId="2F09BE04" w14:textId="77777777" w:rsidR="00000000" w:rsidRDefault="00A173A8">
            <w:pPr>
              <w:spacing w:after="100"/>
              <w:jc w:val="right"/>
              <w:rPr>
                <w:rFonts w:eastAsia="Times New Roman"/>
              </w:rPr>
            </w:pPr>
          </w:p>
        </w:tc>
      </w:tr>
      <w:tr w:rsidR="00000000" w14:paraId="6700926D" w14:textId="77777777">
        <w:trPr>
          <w:divId w:val="869031359"/>
        </w:trPr>
        <w:tc>
          <w:tcPr>
            <w:tcW w:w="0" w:type="auto"/>
            <w:gridSpan w:val="3"/>
            <w:shd w:val="clear" w:color="auto" w:fill="FFFFFF"/>
            <w:tcMar>
              <w:top w:w="30" w:type="dxa"/>
              <w:left w:w="20" w:type="dxa"/>
              <w:bottom w:w="30" w:type="dxa"/>
              <w:right w:w="20" w:type="dxa"/>
            </w:tcMar>
            <w:vAlign w:val="center"/>
            <w:hideMark/>
          </w:tcPr>
          <w:p w14:paraId="502421FA" w14:textId="77777777" w:rsidR="00000000" w:rsidRDefault="00A173A8">
            <w:pPr>
              <w:spacing w:after="100"/>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14:paraId="15385C20" w14:textId="77777777" w:rsidR="00000000" w:rsidRDefault="00A173A8">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32E51C" w14:textId="77777777" w:rsidR="00000000" w:rsidRDefault="00A173A8">
            <w:pPr>
              <w:spacing w:after="100"/>
              <w:jc w:val="right"/>
              <w:rPr>
                <w:rFonts w:eastAsia="Times New Roman"/>
              </w:rPr>
            </w:pPr>
            <w:r>
              <w:rPr>
                <w:rFonts w:eastAsia="Times New Roman"/>
                <w:color w:val="000000"/>
                <w:sz w:val="18"/>
                <w:szCs w:val="18"/>
              </w:rPr>
              <w:t>5,600 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18C207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63F09"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B6D12F5" w14:textId="77777777" w:rsidR="00000000" w:rsidRDefault="00A173A8">
            <w:pPr>
              <w:spacing w:after="100"/>
              <w:jc w:val="right"/>
              <w:rPr>
                <w:rFonts w:eastAsia="Times New Roman"/>
              </w:rPr>
            </w:pPr>
            <w:r>
              <w:rPr>
                <w:rFonts w:eastAsia="Times New Roman"/>
                <w:color w:val="000000"/>
                <w:sz w:val="18"/>
                <w:szCs w:val="18"/>
              </w:rPr>
              <w:t>2,608 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7D474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4357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72361A1" w14:textId="77777777" w:rsidR="00000000" w:rsidRDefault="00A173A8">
            <w:pPr>
              <w:spacing w:after="100"/>
              <w:jc w:val="right"/>
              <w:rPr>
                <w:rFonts w:eastAsia="Times New Roman"/>
              </w:rPr>
            </w:pPr>
            <w:r>
              <w:rPr>
                <w:rFonts w:eastAsia="Times New Roman"/>
                <w:color w:val="000000"/>
                <w:sz w:val="18"/>
                <w:szCs w:val="18"/>
              </w:rPr>
              <w:t>1,063 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3654A1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D702E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76984A5C" w14:textId="77777777" w:rsidR="00000000" w:rsidRDefault="00A173A8">
            <w:pPr>
              <w:spacing w:after="100"/>
              <w:jc w:val="right"/>
              <w:rPr>
                <w:rFonts w:eastAsia="Times New Roman"/>
              </w:rPr>
            </w:pPr>
            <w:r>
              <w:rPr>
                <w:rFonts w:eastAsia="Times New Roman"/>
                <w:color w:val="000000"/>
                <w:sz w:val="18"/>
                <w:szCs w:val="18"/>
              </w:rPr>
              <w:t>(507)</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B69ACD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17E8C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04AEB9F" w14:textId="77777777" w:rsidR="00000000" w:rsidRDefault="00A173A8">
            <w:pPr>
              <w:spacing w:after="100"/>
              <w:jc w:val="right"/>
              <w:rPr>
                <w:rFonts w:eastAsia="Times New Roman"/>
              </w:rPr>
            </w:pPr>
            <w:r>
              <w:rPr>
                <w:rFonts w:eastAsia="Times New Roman"/>
                <w:color w:val="000000"/>
                <w:sz w:val="18"/>
                <w:szCs w:val="18"/>
              </w:rPr>
              <w:t>8,764 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53E02DB" w14:textId="77777777" w:rsidR="00000000" w:rsidRDefault="00A173A8">
            <w:pPr>
              <w:spacing w:after="100"/>
              <w:jc w:val="right"/>
              <w:rPr>
                <w:rFonts w:eastAsia="Times New Roman"/>
              </w:rPr>
            </w:pPr>
          </w:p>
        </w:tc>
      </w:tr>
      <w:tr w:rsidR="00000000" w14:paraId="789B509D" w14:textId="77777777">
        <w:trPr>
          <w:divId w:val="869031359"/>
        </w:trPr>
        <w:tc>
          <w:tcPr>
            <w:tcW w:w="0" w:type="auto"/>
            <w:gridSpan w:val="3"/>
            <w:shd w:val="clear" w:color="auto" w:fill="CCEEFF"/>
            <w:tcMar>
              <w:top w:w="30" w:type="dxa"/>
              <w:left w:w="20" w:type="dxa"/>
              <w:bottom w:w="30" w:type="dxa"/>
              <w:right w:w="20" w:type="dxa"/>
            </w:tcMar>
            <w:vAlign w:val="center"/>
            <w:hideMark/>
          </w:tcPr>
          <w:p w14:paraId="1BFE5E01" w14:textId="77777777" w:rsidR="00000000" w:rsidRDefault="00A173A8">
            <w:pPr>
              <w:spacing w:after="100"/>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14:paraId="0869104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41A13075" w14:textId="77777777" w:rsidR="00000000" w:rsidRDefault="00A173A8">
            <w:pPr>
              <w:spacing w:after="100"/>
              <w:jc w:val="right"/>
              <w:rPr>
                <w:rFonts w:eastAsia="Times New Roman"/>
              </w:rPr>
            </w:pPr>
            <w:r>
              <w:rPr>
                <w:rFonts w:eastAsia="Times New Roman"/>
                <w:color w:val="000000"/>
                <w:sz w:val="18"/>
                <w:szCs w:val="18"/>
              </w:rPr>
              <w:t>1,325 </w:t>
            </w:r>
          </w:p>
        </w:tc>
        <w:tc>
          <w:tcPr>
            <w:tcW w:w="0" w:type="auto"/>
            <w:shd w:val="clear" w:color="auto" w:fill="CCEEFF"/>
            <w:tcMar>
              <w:top w:w="30" w:type="dxa"/>
              <w:left w:w="0" w:type="dxa"/>
              <w:bottom w:w="30" w:type="dxa"/>
              <w:right w:w="20" w:type="dxa"/>
            </w:tcMar>
            <w:vAlign w:val="center"/>
            <w:hideMark/>
          </w:tcPr>
          <w:p w14:paraId="5FCCBDB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7CF3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6F4EC08" w14:textId="77777777" w:rsidR="00000000" w:rsidRDefault="00A173A8">
            <w:pPr>
              <w:spacing w:after="100"/>
              <w:jc w:val="right"/>
              <w:rPr>
                <w:rFonts w:eastAsia="Times New Roman"/>
              </w:rPr>
            </w:pPr>
            <w:r>
              <w:rPr>
                <w:rFonts w:eastAsia="Times New Roman"/>
                <w:color w:val="000000"/>
                <w:sz w:val="18"/>
                <w:szCs w:val="18"/>
              </w:rPr>
              <w:t>615 </w:t>
            </w:r>
          </w:p>
        </w:tc>
        <w:tc>
          <w:tcPr>
            <w:tcW w:w="0" w:type="auto"/>
            <w:shd w:val="clear" w:color="auto" w:fill="CCEEFF"/>
            <w:tcMar>
              <w:top w:w="30" w:type="dxa"/>
              <w:left w:w="0" w:type="dxa"/>
              <w:bottom w:w="30" w:type="dxa"/>
              <w:right w:w="20" w:type="dxa"/>
            </w:tcMar>
            <w:vAlign w:val="center"/>
            <w:hideMark/>
          </w:tcPr>
          <w:p w14:paraId="2D0FEF8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C511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06F1242" w14:textId="77777777" w:rsidR="00000000" w:rsidRDefault="00A173A8">
            <w:pPr>
              <w:spacing w:after="100"/>
              <w:jc w:val="right"/>
              <w:rPr>
                <w:rFonts w:eastAsia="Times New Roman"/>
              </w:rPr>
            </w:pPr>
            <w:r>
              <w:rPr>
                <w:rFonts w:eastAsia="Times New Roman"/>
                <w:color w:val="000000"/>
                <w:sz w:val="18"/>
                <w:szCs w:val="18"/>
              </w:rPr>
              <w:t>251 </w:t>
            </w:r>
          </w:p>
        </w:tc>
        <w:tc>
          <w:tcPr>
            <w:tcW w:w="0" w:type="auto"/>
            <w:shd w:val="clear" w:color="auto" w:fill="CCEEFF"/>
            <w:tcMar>
              <w:top w:w="30" w:type="dxa"/>
              <w:left w:w="0" w:type="dxa"/>
              <w:bottom w:w="30" w:type="dxa"/>
              <w:right w:w="20" w:type="dxa"/>
            </w:tcMar>
            <w:vAlign w:val="center"/>
            <w:hideMark/>
          </w:tcPr>
          <w:p w14:paraId="101C24F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C361BD"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C895E1C" w14:textId="77777777" w:rsidR="00000000" w:rsidRDefault="00A173A8">
            <w:pPr>
              <w:spacing w:after="100"/>
              <w:jc w:val="right"/>
              <w:rPr>
                <w:rFonts w:eastAsia="Times New Roman"/>
              </w:rPr>
            </w:pPr>
            <w:r>
              <w:rPr>
                <w:rFonts w:eastAsia="Times New Roman"/>
                <w:color w:val="000000"/>
                <w:sz w:val="18"/>
                <w:szCs w:val="18"/>
              </w:rPr>
              <w:t>(291)</w:t>
            </w:r>
          </w:p>
        </w:tc>
        <w:tc>
          <w:tcPr>
            <w:tcW w:w="0" w:type="auto"/>
            <w:shd w:val="clear" w:color="auto" w:fill="CCEEFF"/>
            <w:tcMar>
              <w:top w:w="30" w:type="dxa"/>
              <w:left w:w="0" w:type="dxa"/>
              <w:bottom w:w="30" w:type="dxa"/>
              <w:right w:w="20" w:type="dxa"/>
            </w:tcMar>
            <w:vAlign w:val="center"/>
            <w:hideMark/>
          </w:tcPr>
          <w:p w14:paraId="7CEC38D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4D02F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E78AC5A" w14:textId="77777777" w:rsidR="00000000" w:rsidRDefault="00A173A8">
            <w:pPr>
              <w:spacing w:after="100"/>
              <w:jc w:val="right"/>
              <w:rPr>
                <w:rFonts w:eastAsia="Times New Roman"/>
              </w:rPr>
            </w:pPr>
            <w:r>
              <w:rPr>
                <w:rFonts w:eastAsia="Times New Roman"/>
                <w:color w:val="000000"/>
                <w:sz w:val="18"/>
                <w:szCs w:val="18"/>
              </w:rPr>
              <w:t>1,900 </w:t>
            </w:r>
          </w:p>
        </w:tc>
        <w:tc>
          <w:tcPr>
            <w:tcW w:w="0" w:type="auto"/>
            <w:shd w:val="clear" w:color="auto" w:fill="CCEEFF"/>
            <w:tcMar>
              <w:top w:w="30" w:type="dxa"/>
              <w:left w:w="0" w:type="dxa"/>
              <w:bottom w:w="30" w:type="dxa"/>
              <w:right w:w="20" w:type="dxa"/>
            </w:tcMar>
            <w:vAlign w:val="center"/>
            <w:hideMark/>
          </w:tcPr>
          <w:p w14:paraId="5678EFFB" w14:textId="77777777" w:rsidR="00000000" w:rsidRDefault="00A173A8">
            <w:pPr>
              <w:spacing w:after="100"/>
              <w:jc w:val="right"/>
              <w:rPr>
                <w:rFonts w:eastAsia="Times New Roman"/>
              </w:rPr>
            </w:pPr>
          </w:p>
        </w:tc>
      </w:tr>
      <w:tr w:rsidR="00000000" w14:paraId="46C60AA5" w14:textId="77777777">
        <w:trPr>
          <w:divId w:val="869031359"/>
        </w:trPr>
        <w:tc>
          <w:tcPr>
            <w:tcW w:w="0" w:type="auto"/>
            <w:gridSpan w:val="3"/>
            <w:shd w:val="clear" w:color="auto" w:fill="FFFFFF"/>
            <w:tcMar>
              <w:top w:w="30" w:type="dxa"/>
              <w:left w:w="20" w:type="dxa"/>
              <w:bottom w:w="30" w:type="dxa"/>
              <w:right w:w="20" w:type="dxa"/>
            </w:tcMar>
            <w:vAlign w:val="center"/>
            <w:hideMark/>
          </w:tcPr>
          <w:p w14:paraId="79708E78" w14:textId="77777777" w:rsidR="00000000" w:rsidRDefault="00A173A8">
            <w:pPr>
              <w:spacing w:after="100"/>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14:paraId="6E16801C" w14:textId="77777777" w:rsidR="00000000" w:rsidRDefault="00A173A8">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03DAF60"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097DE3CC" w14:textId="77777777" w:rsidR="00000000" w:rsidRDefault="00A173A8">
            <w:pPr>
              <w:spacing w:after="100"/>
              <w:jc w:val="right"/>
              <w:rPr>
                <w:rFonts w:eastAsia="Times New Roman"/>
              </w:rPr>
            </w:pPr>
            <w:r>
              <w:rPr>
                <w:rFonts w:eastAsia="Times New Roman"/>
                <w:color w:val="000000"/>
                <w:sz w:val="18"/>
                <w:szCs w:val="18"/>
              </w:rPr>
              <w:t>4,275 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D98CE9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9792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79E8A267"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CAB4B31" w14:textId="77777777" w:rsidR="00000000" w:rsidRDefault="00A173A8">
            <w:pPr>
              <w:spacing w:after="100"/>
              <w:jc w:val="right"/>
              <w:rPr>
                <w:rFonts w:eastAsia="Times New Roman"/>
              </w:rPr>
            </w:pPr>
            <w:r>
              <w:rPr>
                <w:rFonts w:eastAsia="Times New Roman"/>
                <w:color w:val="000000"/>
                <w:sz w:val="18"/>
                <w:szCs w:val="18"/>
              </w:rPr>
              <w:t>1,993 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027087B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136D7E"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2E5C57D7"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27A28E27" w14:textId="77777777" w:rsidR="00000000" w:rsidRDefault="00A173A8">
            <w:pPr>
              <w:spacing w:after="100"/>
              <w:jc w:val="right"/>
              <w:rPr>
                <w:rFonts w:eastAsia="Times New Roman"/>
              </w:rPr>
            </w:pPr>
            <w:r>
              <w:rPr>
                <w:rFonts w:eastAsia="Times New Roman"/>
                <w:color w:val="000000"/>
                <w:sz w:val="18"/>
                <w:szCs w:val="18"/>
              </w:rPr>
              <w:t>812 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223426B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BEFFD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4B68E8F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12BF199D" w14:textId="77777777" w:rsidR="00000000" w:rsidRDefault="00A173A8">
            <w:pPr>
              <w:spacing w:after="100"/>
              <w:jc w:val="right"/>
              <w:rPr>
                <w:rFonts w:eastAsia="Times New Roman"/>
              </w:rPr>
            </w:pPr>
            <w:r>
              <w:rPr>
                <w:rFonts w:eastAsia="Times New Roman"/>
                <w:color w:val="000000"/>
                <w:sz w:val="18"/>
                <w:szCs w:val="18"/>
              </w:rPr>
              <w:t>(216)</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8465E7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A40C65"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14:paraId="067C6BD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14:paraId="6E42C9B6" w14:textId="77777777" w:rsidR="00000000" w:rsidRDefault="00A173A8">
            <w:pPr>
              <w:spacing w:after="100"/>
              <w:jc w:val="right"/>
              <w:rPr>
                <w:rFonts w:eastAsia="Times New Roman"/>
              </w:rPr>
            </w:pPr>
            <w:r>
              <w:rPr>
                <w:rFonts w:eastAsia="Times New Roman"/>
                <w:color w:val="000000"/>
                <w:sz w:val="18"/>
                <w:szCs w:val="18"/>
              </w:rPr>
              <w:t>6,864 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13412F73" w14:textId="77777777" w:rsidR="00000000" w:rsidRDefault="00A173A8">
            <w:pPr>
              <w:spacing w:after="100"/>
              <w:jc w:val="right"/>
              <w:rPr>
                <w:rFonts w:eastAsia="Times New Roman"/>
              </w:rPr>
            </w:pPr>
          </w:p>
        </w:tc>
      </w:tr>
      <w:tr w:rsidR="00000000" w14:paraId="0962698A" w14:textId="77777777">
        <w:trPr>
          <w:divId w:val="869031359"/>
        </w:trPr>
        <w:tc>
          <w:tcPr>
            <w:tcW w:w="0" w:type="auto"/>
            <w:gridSpan w:val="3"/>
            <w:shd w:val="clear" w:color="auto" w:fill="CCEEFF"/>
            <w:tcMar>
              <w:top w:w="30" w:type="dxa"/>
              <w:left w:w="20" w:type="dxa"/>
              <w:bottom w:w="30" w:type="dxa"/>
              <w:right w:w="20" w:type="dxa"/>
            </w:tcMar>
            <w:vAlign w:val="center"/>
            <w:hideMark/>
          </w:tcPr>
          <w:p w14:paraId="36933ACD" w14:textId="77777777" w:rsidR="00000000" w:rsidRDefault="00A173A8">
            <w:pPr>
              <w:spacing w:after="100"/>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14:paraId="4943A2AA" w14:textId="77777777" w:rsidR="00000000" w:rsidRDefault="00A173A8">
            <w:pPr>
              <w:spacing w:after="100"/>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42C4259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79E28617" w14:textId="77777777" w:rsidR="00000000" w:rsidRDefault="00A173A8">
            <w:pPr>
              <w:spacing w:after="100"/>
              <w:jc w:val="right"/>
              <w:rPr>
                <w:rFonts w:eastAsia="Times New Roman"/>
              </w:rPr>
            </w:pPr>
            <w:r>
              <w:rPr>
                <w:rFonts w:eastAsia="Times New Roman"/>
                <w:color w:val="000000"/>
                <w:sz w:val="18"/>
                <w:szCs w:val="18"/>
              </w:rPr>
              <w:t>101,017 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023F0CB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D7220B"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2341D2DF"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2F437B72" w14:textId="77777777" w:rsidR="00000000" w:rsidRDefault="00A173A8">
            <w:pPr>
              <w:spacing w:after="100"/>
              <w:jc w:val="right"/>
              <w:rPr>
                <w:rFonts w:eastAsia="Times New Roman"/>
              </w:rPr>
            </w:pPr>
            <w:r>
              <w:rPr>
                <w:rFonts w:eastAsia="Times New Roman"/>
                <w:color w:val="000000"/>
                <w:sz w:val="18"/>
                <w:szCs w:val="18"/>
              </w:rPr>
              <w:t>74,759 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AE3945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F865C"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2992315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687BC01A" w14:textId="77777777" w:rsidR="00000000" w:rsidRDefault="00A173A8">
            <w:pPr>
              <w:spacing w:after="100"/>
              <w:jc w:val="right"/>
              <w:rPr>
                <w:rFonts w:eastAsia="Times New Roman"/>
              </w:rPr>
            </w:pPr>
            <w:r>
              <w:rPr>
                <w:rFonts w:eastAsia="Times New Roman"/>
                <w:color w:val="000000"/>
                <w:sz w:val="18"/>
                <w:szCs w:val="18"/>
              </w:rPr>
              <w:t>73,821 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6E859C0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0B388"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79B4385A"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11E2CDA2"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44F779E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D23CE" w14:textId="77777777" w:rsidR="00000000" w:rsidRDefault="00A173A8">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14:paraId="4423843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2193AE16" w14:textId="77777777" w:rsidR="00000000" w:rsidRDefault="00A173A8">
            <w:pPr>
              <w:spacing w:after="100"/>
              <w:jc w:val="right"/>
              <w:rPr>
                <w:rFonts w:eastAsia="Times New Roman"/>
              </w:rPr>
            </w:pPr>
            <w:r>
              <w:rPr>
                <w:rFonts w:eastAsia="Times New Roman"/>
                <w:color w:val="000000"/>
                <w:sz w:val="18"/>
                <w:szCs w:val="18"/>
              </w:rPr>
              <w:t>249,597 </w:t>
            </w:r>
          </w:p>
        </w:tc>
        <w:tc>
          <w:tcPr>
            <w:tcW w:w="0" w:type="auto"/>
            <w:tcBorders>
              <w:top w:val="double" w:sz="6" w:space="0" w:color="000000"/>
            </w:tcBorders>
            <w:shd w:val="clear" w:color="auto" w:fill="CCEEFF"/>
            <w:tcMar>
              <w:top w:w="30" w:type="dxa"/>
              <w:left w:w="0" w:type="dxa"/>
              <w:bottom w:w="30" w:type="dxa"/>
              <w:right w:w="20" w:type="dxa"/>
            </w:tcMar>
            <w:vAlign w:val="center"/>
            <w:hideMark/>
          </w:tcPr>
          <w:p w14:paraId="398A4AC0" w14:textId="77777777" w:rsidR="00000000" w:rsidRDefault="00A173A8">
            <w:pPr>
              <w:spacing w:after="100"/>
              <w:jc w:val="right"/>
              <w:rPr>
                <w:rFonts w:eastAsia="Times New Roman"/>
              </w:rPr>
            </w:pPr>
          </w:p>
        </w:tc>
      </w:tr>
      <w:tr w:rsidR="00000000" w14:paraId="454A1AB1" w14:textId="77777777">
        <w:trPr>
          <w:divId w:val="869031359"/>
        </w:trPr>
        <w:tc>
          <w:tcPr>
            <w:tcW w:w="0" w:type="auto"/>
            <w:gridSpan w:val="3"/>
            <w:shd w:val="clear" w:color="auto" w:fill="FFFFFF"/>
            <w:tcMar>
              <w:top w:w="30" w:type="dxa"/>
              <w:left w:w="20" w:type="dxa"/>
              <w:bottom w:w="30" w:type="dxa"/>
              <w:right w:w="20" w:type="dxa"/>
            </w:tcMar>
            <w:vAlign w:val="center"/>
            <w:hideMark/>
          </w:tcPr>
          <w:p w14:paraId="1F77990B" w14:textId="77777777" w:rsidR="00000000" w:rsidRDefault="00A173A8">
            <w:pPr>
              <w:spacing w:after="100"/>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14:paraId="4A37008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3B1C2A7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4295CE8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0ECD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2A6E68" w14:textId="77777777" w:rsidR="00000000" w:rsidRDefault="00A173A8">
            <w:pPr>
              <w:spacing w:after="100"/>
              <w:jc w:val="right"/>
              <w:rPr>
                <w:rFonts w:eastAsia="Times New Roman"/>
              </w:rPr>
            </w:pPr>
            <w:r>
              <w:rPr>
                <w:rFonts w:eastAsia="Times New Roman"/>
                <w:color w:val="000000"/>
                <w:sz w:val="18"/>
                <w:szCs w:val="18"/>
              </w:rPr>
              <w:t>251,155 </w:t>
            </w:r>
          </w:p>
        </w:tc>
        <w:tc>
          <w:tcPr>
            <w:tcW w:w="0" w:type="auto"/>
            <w:shd w:val="clear" w:color="auto" w:fill="FFFFFF"/>
            <w:tcMar>
              <w:top w:w="30" w:type="dxa"/>
              <w:left w:w="0" w:type="dxa"/>
              <w:bottom w:w="30" w:type="dxa"/>
              <w:right w:w="20" w:type="dxa"/>
            </w:tcMar>
            <w:vAlign w:val="center"/>
            <w:hideMark/>
          </w:tcPr>
          <w:p w14:paraId="60DA93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58875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B4DBEAC" w14:textId="77777777" w:rsidR="00000000" w:rsidRDefault="00A173A8">
            <w:pPr>
              <w:spacing w:after="100"/>
              <w:jc w:val="right"/>
              <w:rPr>
                <w:rFonts w:eastAsia="Times New Roman"/>
              </w:rPr>
            </w:pPr>
            <w:r>
              <w:rPr>
                <w:rFonts w:eastAsia="Times New Roman"/>
                <w:color w:val="000000"/>
                <w:sz w:val="18"/>
                <w:szCs w:val="18"/>
              </w:rPr>
              <w:t>42,973 </w:t>
            </w:r>
          </w:p>
        </w:tc>
        <w:tc>
          <w:tcPr>
            <w:tcW w:w="0" w:type="auto"/>
            <w:shd w:val="clear" w:color="auto" w:fill="FFFFFF"/>
            <w:tcMar>
              <w:top w:w="30" w:type="dxa"/>
              <w:left w:w="0" w:type="dxa"/>
              <w:bottom w:w="30" w:type="dxa"/>
              <w:right w:w="20" w:type="dxa"/>
            </w:tcMar>
            <w:vAlign w:val="center"/>
            <w:hideMark/>
          </w:tcPr>
          <w:p w14:paraId="609895B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B36C89"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6579750" w14:textId="77777777" w:rsidR="00000000" w:rsidRDefault="00A173A8">
            <w:pPr>
              <w:spacing w:after="100"/>
              <w:jc w:val="right"/>
              <w:rPr>
                <w:rFonts w:eastAsia="Times New Roman"/>
              </w:rPr>
            </w:pPr>
            <w:r>
              <w:rPr>
                <w:rFonts w:eastAsia="Times New Roman"/>
                <w:color w:val="000000"/>
                <w:sz w:val="18"/>
                <w:szCs w:val="18"/>
              </w:rPr>
              <w:t>12,180 </w:t>
            </w:r>
          </w:p>
        </w:tc>
        <w:tc>
          <w:tcPr>
            <w:tcW w:w="0" w:type="auto"/>
            <w:shd w:val="clear" w:color="auto" w:fill="FFFFFF"/>
            <w:tcMar>
              <w:top w:w="30" w:type="dxa"/>
              <w:left w:w="0" w:type="dxa"/>
              <w:bottom w:w="30" w:type="dxa"/>
              <w:right w:w="20" w:type="dxa"/>
            </w:tcMar>
            <w:vAlign w:val="center"/>
            <w:hideMark/>
          </w:tcPr>
          <w:p w14:paraId="1954C63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4B9B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949E5B" w14:textId="77777777" w:rsidR="00000000" w:rsidRDefault="00A173A8">
            <w:pPr>
              <w:spacing w:after="100"/>
              <w:jc w:val="right"/>
              <w:rPr>
                <w:rFonts w:eastAsia="Times New Roman"/>
              </w:rPr>
            </w:pPr>
            <w:r>
              <w:rPr>
                <w:rFonts w:eastAsia="Times New Roman"/>
                <w:color w:val="000000"/>
                <w:sz w:val="18"/>
                <w:szCs w:val="18"/>
              </w:rPr>
              <w:t>306,308 </w:t>
            </w:r>
          </w:p>
        </w:tc>
        <w:tc>
          <w:tcPr>
            <w:tcW w:w="0" w:type="auto"/>
            <w:shd w:val="clear" w:color="auto" w:fill="FFFFFF"/>
            <w:tcMar>
              <w:top w:w="30" w:type="dxa"/>
              <w:left w:w="0" w:type="dxa"/>
              <w:bottom w:w="30" w:type="dxa"/>
              <w:right w:w="20" w:type="dxa"/>
            </w:tcMar>
            <w:vAlign w:val="center"/>
            <w:hideMark/>
          </w:tcPr>
          <w:p w14:paraId="4F8BE7D8" w14:textId="77777777" w:rsidR="00000000" w:rsidRDefault="00A173A8">
            <w:pPr>
              <w:spacing w:after="100"/>
              <w:jc w:val="right"/>
              <w:rPr>
                <w:rFonts w:eastAsia="Times New Roman"/>
              </w:rPr>
            </w:pPr>
          </w:p>
        </w:tc>
      </w:tr>
    </w:tbl>
    <w:p w14:paraId="46EECE3E" w14:textId="77777777" w:rsidR="00000000" w:rsidRDefault="00A173A8">
      <w:pPr>
        <w:jc w:val="both"/>
        <w:divId w:val="869031359"/>
        <w:rPr>
          <w:rFonts w:eastAsia="Times New Roman"/>
        </w:rPr>
      </w:pPr>
      <w:r>
        <w:rPr>
          <w:rFonts w:eastAsia="Times New Roman"/>
          <w:color w:val="000000"/>
          <w:sz w:val="20"/>
          <w:szCs w:val="20"/>
        </w:rPr>
        <w:t>__________</w:t>
      </w:r>
    </w:p>
    <w:p w14:paraId="526B0779" w14:textId="77777777" w:rsidR="00000000" w:rsidRDefault="00A173A8">
      <w:pPr>
        <w:ind w:hanging="360"/>
        <w:jc w:val="both"/>
        <w:divId w:val="44049653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p w14:paraId="6F0A9CD3" w14:textId="77777777" w:rsidR="00000000" w:rsidRDefault="00A173A8">
      <w:pPr>
        <w:ind w:hanging="360"/>
        <w:jc w:val="both"/>
        <w:divId w:val="153573352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Total net revenue was reduced by $211 million and $403 </w:t>
      </w:r>
      <w:r>
        <w:rPr>
          <w:rFonts w:eastAsia="Times New Roman"/>
          <w:color w:val="000000"/>
          <w:sz w:val="16"/>
          <w:szCs w:val="16"/>
        </w:rPr>
        <w:t>million in the three and six months ended June 30, 2022, respectively, and $175 million and $355 million in the three and six months ended June 30, 2021, respectively, for credit card finance charges and fees charged off as uncollectible.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AB27EC3" w14:textId="77777777">
        <w:trPr>
          <w:divId w:val="1425297318"/>
          <w:jc w:val="center"/>
        </w:trPr>
        <w:tc>
          <w:tcPr>
            <w:tcW w:w="50" w:type="pct"/>
            <w:vAlign w:val="center"/>
            <w:hideMark/>
          </w:tcPr>
          <w:p w14:paraId="052F2BC3" w14:textId="77777777" w:rsidR="00000000" w:rsidRDefault="00A173A8">
            <w:pPr>
              <w:ind w:hanging="360"/>
              <w:jc w:val="both"/>
              <w:rPr>
                <w:rFonts w:eastAsia="Times New Roman"/>
              </w:rPr>
            </w:pPr>
          </w:p>
        </w:tc>
        <w:tc>
          <w:tcPr>
            <w:tcW w:w="1606" w:type="pct"/>
            <w:vAlign w:val="center"/>
            <w:hideMark/>
          </w:tcPr>
          <w:p w14:paraId="7DAE9AE6" w14:textId="77777777" w:rsidR="00000000" w:rsidRDefault="00A173A8">
            <w:pPr>
              <w:spacing w:after="100"/>
              <w:rPr>
                <w:rFonts w:eastAsia="Times New Roman"/>
                <w:sz w:val="20"/>
                <w:szCs w:val="20"/>
              </w:rPr>
            </w:pPr>
          </w:p>
        </w:tc>
        <w:tc>
          <w:tcPr>
            <w:tcW w:w="5" w:type="pct"/>
            <w:vAlign w:val="center"/>
            <w:hideMark/>
          </w:tcPr>
          <w:p w14:paraId="2E795933" w14:textId="77777777" w:rsidR="00000000" w:rsidRDefault="00A173A8">
            <w:pPr>
              <w:spacing w:after="100"/>
              <w:rPr>
                <w:rFonts w:eastAsia="Times New Roman"/>
                <w:sz w:val="20"/>
                <w:szCs w:val="20"/>
              </w:rPr>
            </w:pPr>
          </w:p>
        </w:tc>
        <w:tc>
          <w:tcPr>
            <w:tcW w:w="50" w:type="pct"/>
            <w:vAlign w:val="center"/>
            <w:hideMark/>
          </w:tcPr>
          <w:p w14:paraId="005FC5E2" w14:textId="77777777" w:rsidR="00000000" w:rsidRDefault="00A173A8">
            <w:pPr>
              <w:spacing w:after="100"/>
              <w:rPr>
                <w:rFonts w:eastAsia="Times New Roman"/>
                <w:sz w:val="20"/>
                <w:szCs w:val="20"/>
              </w:rPr>
            </w:pPr>
          </w:p>
        </w:tc>
        <w:tc>
          <w:tcPr>
            <w:tcW w:w="1614" w:type="pct"/>
            <w:vAlign w:val="center"/>
            <w:hideMark/>
          </w:tcPr>
          <w:p w14:paraId="75372619" w14:textId="77777777" w:rsidR="00000000" w:rsidRDefault="00A173A8">
            <w:pPr>
              <w:spacing w:after="100"/>
              <w:rPr>
                <w:rFonts w:eastAsia="Times New Roman"/>
                <w:sz w:val="20"/>
                <w:szCs w:val="20"/>
              </w:rPr>
            </w:pPr>
          </w:p>
        </w:tc>
        <w:tc>
          <w:tcPr>
            <w:tcW w:w="5" w:type="pct"/>
            <w:vAlign w:val="center"/>
            <w:hideMark/>
          </w:tcPr>
          <w:p w14:paraId="5FBD735C" w14:textId="77777777" w:rsidR="00000000" w:rsidRDefault="00A173A8">
            <w:pPr>
              <w:spacing w:after="100"/>
              <w:rPr>
                <w:rFonts w:eastAsia="Times New Roman"/>
                <w:sz w:val="20"/>
                <w:szCs w:val="20"/>
              </w:rPr>
            </w:pPr>
          </w:p>
        </w:tc>
        <w:tc>
          <w:tcPr>
            <w:tcW w:w="50" w:type="pct"/>
            <w:vAlign w:val="center"/>
            <w:hideMark/>
          </w:tcPr>
          <w:p w14:paraId="01FF7667" w14:textId="77777777" w:rsidR="00000000" w:rsidRDefault="00A173A8">
            <w:pPr>
              <w:spacing w:after="100"/>
              <w:rPr>
                <w:rFonts w:eastAsia="Times New Roman"/>
                <w:sz w:val="20"/>
                <w:szCs w:val="20"/>
              </w:rPr>
            </w:pPr>
          </w:p>
        </w:tc>
        <w:tc>
          <w:tcPr>
            <w:tcW w:w="1614" w:type="pct"/>
            <w:vAlign w:val="center"/>
            <w:hideMark/>
          </w:tcPr>
          <w:p w14:paraId="406E0910" w14:textId="77777777" w:rsidR="00000000" w:rsidRDefault="00A173A8">
            <w:pPr>
              <w:spacing w:after="100"/>
              <w:rPr>
                <w:rFonts w:eastAsia="Times New Roman"/>
                <w:sz w:val="20"/>
                <w:szCs w:val="20"/>
              </w:rPr>
            </w:pPr>
          </w:p>
        </w:tc>
        <w:tc>
          <w:tcPr>
            <w:tcW w:w="5" w:type="pct"/>
            <w:vAlign w:val="center"/>
            <w:hideMark/>
          </w:tcPr>
          <w:p w14:paraId="585E74C5" w14:textId="77777777" w:rsidR="00000000" w:rsidRDefault="00A173A8">
            <w:pPr>
              <w:spacing w:after="100"/>
              <w:rPr>
                <w:rFonts w:eastAsia="Times New Roman"/>
                <w:sz w:val="20"/>
                <w:szCs w:val="20"/>
              </w:rPr>
            </w:pPr>
          </w:p>
        </w:tc>
      </w:tr>
      <w:tr w:rsidR="00000000" w14:paraId="148BDC50" w14:textId="77777777">
        <w:trPr>
          <w:divId w:val="1425297318"/>
          <w:trHeight w:val="300"/>
          <w:jc w:val="center"/>
        </w:trPr>
        <w:tc>
          <w:tcPr>
            <w:tcW w:w="0" w:type="auto"/>
            <w:gridSpan w:val="9"/>
            <w:tcMar>
              <w:top w:w="0" w:type="dxa"/>
              <w:left w:w="20" w:type="dxa"/>
              <w:bottom w:w="0" w:type="dxa"/>
              <w:right w:w="20" w:type="dxa"/>
            </w:tcMar>
            <w:vAlign w:val="center"/>
            <w:hideMark/>
          </w:tcPr>
          <w:p w14:paraId="6CB5C678" w14:textId="77777777" w:rsidR="00000000" w:rsidRDefault="00A173A8">
            <w:pPr>
              <w:spacing w:after="100"/>
              <w:rPr>
                <w:rFonts w:eastAsia="Times New Roman"/>
                <w:sz w:val="20"/>
                <w:szCs w:val="20"/>
              </w:rPr>
            </w:pPr>
          </w:p>
        </w:tc>
      </w:tr>
      <w:tr w:rsidR="00000000" w14:paraId="4B542407" w14:textId="77777777">
        <w:trPr>
          <w:divId w:val="1425297318"/>
          <w:jc w:val="center"/>
        </w:trPr>
        <w:tc>
          <w:tcPr>
            <w:tcW w:w="0" w:type="auto"/>
            <w:gridSpan w:val="3"/>
            <w:tcMar>
              <w:top w:w="0" w:type="dxa"/>
              <w:left w:w="20" w:type="dxa"/>
              <w:bottom w:w="0" w:type="dxa"/>
              <w:right w:w="20" w:type="dxa"/>
            </w:tcMar>
            <w:vAlign w:val="center"/>
            <w:hideMark/>
          </w:tcPr>
          <w:p w14:paraId="548FA022"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4FF2599" w14:textId="77777777" w:rsidR="00000000" w:rsidRDefault="00A173A8">
            <w:pPr>
              <w:spacing w:after="100"/>
              <w:jc w:val="center"/>
              <w:rPr>
                <w:rFonts w:eastAsia="Times New Roman"/>
              </w:rPr>
            </w:pPr>
            <w:r>
              <w:rPr>
                <w:rFonts w:eastAsia="Times New Roman"/>
                <w:color w:val="000000"/>
                <w:sz w:val="16"/>
                <w:szCs w:val="16"/>
              </w:rPr>
              <w:t>114</w:t>
            </w:r>
          </w:p>
        </w:tc>
        <w:tc>
          <w:tcPr>
            <w:tcW w:w="0" w:type="auto"/>
            <w:gridSpan w:val="3"/>
            <w:tcMar>
              <w:top w:w="30" w:type="dxa"/>
              <w:left w:w="20" w:type="dxa"/>
              <w:bottom w:w="30" w:type="dxa"/>
              <w:right w:w="20" w:type="dxa"/>
            </w:tcMar>
            <w:vAlign w:val="bottom"/>
            <w:hideMark/>
          </w:tcPr>
          <w:p w14:paraId="6B5231FA"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5F70312" w14:textId="77777777" w:rsidR="00000000" w:rsidRDefault="00A173A8">
      <w:pPr>
        <w:rPr>
          <w:rFonts w:eastAsia="Times New Roman"/>
        </w:rPr>
      </w:pPr>
      <w:r>
        <w:rPr>
          <w:rFonts w:eastAsia="Times New Roman"/>
        </w:rPr>
        <w:pict w14:anchorId="5B81AC8D">
          <v:rect id="_x0000_i1139" style="width:0;height:1.5pt" o:hralign="center" o:hrstd="t" o:hr="t" fillcolor="#a0a0a0" stroked="f"/>
        </w:pict>
      </w:r>
    </w:p>
    <w:p w14:paraId="203DC446" w14:textId="77777777" w:rsidR="00000000" w:rsidRDefault="00A173A8">
      <w:pPr>
        <w:jc w:val="both"/>
        <w:divId w:val="940449408"/>
        <w:rPr>
          <w:rFonts w:eastAsia="Times New Roman"/>
        </w:rPr>
      </w:pPr>
      <w:hyperlink w:anchor="i7ffd5d61af6f4722b1b1b07530d51c06_13" w:history="1">
        <w:r>
          <w:rPr>
            <w:rStyle w:val="a3"/>
            <w:rFonts w:eastAsia="Times New Roman"/>
            <w:sz w:val="16"/>
            <w:szCs w:val="16"/>
          </w:rPr>
          <w:t>Table of Contents</w:t>
        </w:r>
      </w:hyperlink>
    </w:p>
    <w:p w14:paraId="7C9F7948" w14:textId="77777777" w:rsidR="00000000" w:rsidRDefault="00A173A8">
      <w:pPr>
        <w:divId w:val="349648203"/>
        <w:rPr>
          <w:rFonts w:eastAsia="Times New Roman"/>
        </w:rPr>
      </w:pPr>
      <w:r>
        <w:rPr>
          <w:rFonts w:eastAsia="Times New Roman"/>
          <w:b/>
          <w:bCs/>
          <w:color w:val="000000"/>
          <w:sz w:val="20"/>
          <w:szCs w:val="20"/>
        </w:rPr>
        <w:t>Revenue from Contracts with Customers</w:t>
      </w:r>
    </w:p>
    <w:p w14:paraId="0CFCC6C8" w14:textId="77777777" w:rsidR="00000000" w:rsidRDefault="00A173A8">
      <w:pPr>
        <w:jc w:val="both"/>
        <w:rPr>
          <w:rFonts w:eastAsia="Times New Roman"/>
        </w:rPr>
      </w:pPr>
      <w:r>
        <w:rPr>
          <w:rFonts w:eastAsia="Times New Roman"/>
          <w:color w:val="000000"/>
          <w:sz w:val="20"/>
          <w:szCs w:val="20"/>
        </w:rPr>
        <w:t>The majority of our revenue from contracts with customers consists of interchange fees, service charges a</w:t>
      </w:r>
      <w:r>
        <w:rPr>
          <w:rFonts w:eastAsia="Times New Roman"/>
          <w:color w:val="000000"/>
          <w:sz w:val="20"/>
          <w:szCs w:val="20"/>
        </w:rPr>
        <w:t>nd other customer-related fees, and other contract revenue. Interchange fees are primarily from our Credit Card business and are recognized upon settlement with the interchange networks, net of rewards earned by customers. Service charges and other custome</w:t>
      </w:r>
      <w:r>
        <w:rPr>
          <w:rFonts w:eastAsia="Times New Roman"/>
          <w:color w:val="000000"/>
          <w:sz w:val="20"/>
          <w:szCs w:val="20"/>
        </w:rPr>
        <w:t>r-related fees within our Consumer Banking business are primarily related to fees earned on consumer deposit accounts for account maintenance and various transaction-based services such as automated teller machine (“ATM”) usage. Service charges and other c</w:t>
      </w:r>
      <w:r>
        <w:rPr>
          <w:rFonts w:eastAsia="Times New Roman"/>
          <w:color w:val="000000"/>
          <w:sz w:val="20"/>
          <w:szCs w:val="20"/>
        </w:rPr>
        <w:t>ustomer-related fees within our Commercial Banking business are mostly related to fees earned on treasury management and capital markets services. Other contract revenue in our Credit Card business consists primarily of revenue from our partnership arrange</w:t>
      </w:r>
      <w:r>
        <w:rPr>
          <w:rFonts w:eastAsia="Times New Roman"/>
          <w:color w:val="000000"/>
          <w:sz w:val="20"/>
          <w:szCs w:val="20"/>
        </w:rPr>
        <w:t>ments. Other contract revenue in our Consumer Banking business consists primarily of revenue earned on certain marketing and promotional events from our auto dealers. Revenue from contracts with customers is included in non-interest income in our consolida</w:t>
      </w:r>
      <w:r>
        <w:rPr>
          <w:rFonts w:eastAsia="Times New Roman"/>
          <w:color w:val="000000"/>
          <w:sz w:val="20"/>
          <w:szCs w:val="20"/>
        </w:rPr>
        <w:t>ted statements of income.</w:t>
      </w:r>
    </w:p>
    <w:p w14:paraId="58629170" w14:textId="77777777" w:rsidR="00000000" w:rsidRDefault="00A173A8">
      <w:pPr>
        <w:jc w:val="both"/>
        <w:divId w:val="175315331"/>
        <w:rPr>
          <w:rFonts w:eastAsia="Times New Roman"/>
        </w:rPr>
      </w:pPr>
      <w:r>
        <w:rPr>
          <w:rFonts w:eastAsia="Times New Roman"/>
          <w:color w:val="000000"/>
          <w:sz w:val="20"/>
          <w:szCs w:val="20"/>
        </w:rPr>
        <w:t>The following table presents revenue from contracts with customers and a reconciliation to non-interest income by business segment for the three and six months ended June 30, 2022 and 2021.</w:t>
      </w:r>
    </w:p>
    <w:p w14:paraId="58726B06" w14:textId="77777777" w:rsidR="00000000" w:rsidRDefault="00A173A8">
      <w:pPr>
        <w:divId w:val="983967006"/>
        <w:rPr>
          <w:rFonts w:eastAsia="Times New Roman"/>
        </w:rPr>
      </w:pPr>
      <w:r>
        <w:rPr>
          <w:rFonts w:eastAsia="Times New Roman"/>
          <w:b/>
          <w:bCs/>
          <w:color w:val="000000"/>
          <w:sz w:val="18"/>
          <w:szCs w:val="18"/>
        </w:rPr>
        <w:t xml:space="preserve">Table 12.2: Revenue from Contracts with </w:t>
      </w:r>
      <w:r>
        <w:rPr>
          <w:rFonts w:eastAsia="Times New Roman"/>
          <w:b/>
          <w:bCs/>
          <w:color w:val="000000"/>
          <w:sz w:val="18"/>
          <w:szCs w:val="18"/>
        </w:rPr>
        <w:t>Customers and Reconciliation to Segment Results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14:paraId="771698F0" w14:textId="77777777">
        <w:trPr>
          <w:divId w:val="494877491"/>
        </w:trPr>
        <w:tc>
          <w:tcPr>
            <w:tcW w:w="50" w:type="pct"/>
            <w:vAlign w:val="center"/>
            <w:hideMark/>
          </w:tcPr>
          <w:p w14:paraId="3880B041" w14:textId="77777777" w:rsidR="00000000" w:rsidRDefault="00A173A8">
            <w:pPr>
              <w:rPr>
                <w:rFonts w:eastAsia="Times New Roman"/>
              </w:rPr>
            </w:pPr>
          </w:p>
        </w:tc>
        <w:tc>
          <w:tcPr>
            <w:tcW w:w="2284" w:type="pct"/>
            <w:vAlign w:val="center"/>
            <w:hideMark/>
          </w:tcPr>
          <w:p w14:paraId="3BF676BE" w14:textId="77777777" w:rsidR="00000000" w:rsidRDefault="00A173A8">
            <w:pPr>
              <w:spacing w:after="100"/>
              <w:rPr>
                <w:rFonts w:eastAsia="Times New Roman"/>
                <w:sz w:val="20"/>
                <w:szCs w:val="20"/>
              </w:rPr>
            </w:pPr>
          </w:p>
        </w:tc>
        <w:tc>
          <w:tcPr>
            <w:tcW w:w="5" w:type="pct"/>
            <w:vAlign w:val="center"/>
            <w:hideMark/>
          </w:tcPr>
          <w:p w14:paraId="79363BA6" w14:textId="77777777" w:rsidR="00000000" w:rsidRDefault="00A173A8">
            <w:pPr>
              <w:spacing w:after="100"/>
              <w:rPr>
                <w:rFonts w:eastAsia="Times New Roman"/>
                <w:sz w:val="20"/>
                <w:szCs w:val="20"/>
              </w:rPr>
            </w:pPr>
          </w:p>
        </w:tc>
        <w:tc>
          <w:tcPr>
            <w:tcW w:w="5" w:type="pct"/>
            <w:vAlign w:val="center"/>
            <w:hideMark/>
          </w:tcPr>
          <w:p w14:paraId="309B4D56" w14:textId="77777777" w:rsidR="00000000" w:rsidRDefault="00A173A8">
            <w:pPr>
              <w:spacing w:after="100"/>
              <w:rPr>
                <w:rFonts w:eastAsia="Times New Roman"/>
                <w:sz w:val="20"/>
                <w:szCs w:val="20"/>
              </w:rPr>
            </w:pPr>
          </w:p>
        </w:tc>
        <w:tc>
          <w:tcPr>
            <w:tcW w:w="26" w:type="pct"/>
            <w:vAlign w:val="center"/>
            <w:hideMark/>
          </w:tcPr>
          <w:p w14:paraId="50F2A3CC" w14:textId="77777777" w:rsidR="00000000" w:rsidRDefault="00A173A8">
            <w:pPr>
              <w:spacing w:after="100"/>
              <w:rPr>
                <w:rFonts w:eastAsia="Times New Roman"/>
                <w:sz w:val="20"/>
                <w:szCs w:val="20"/>
              </w:rPr>
            </w:pPr>
          </w:p>
        </w:tc>
        <w:tc>
          <w:tcPr>
            <w:tcW w:w="5" w:type="pct"/>
            <w:vAlign w:val="center"/>
            <w:hideMark/>
          </w:tcPr>
          <w:p w14:paraId="0782B4DC" w14:textId="77777777" w:rsidR="00000000" w:rsidRDefault="00A173A8">
            <w:pPr>
              <w:spacing w:after="100"/>
              <w:rPr>
                <w:rFonts w:eastAsia="Times New Roman"/>
                <w:sz w:val="20"/>
                <w:szCs w:val="20"/>
              </w:rPr>
            </w:pPr>
          </w:p>
        </w:tc>
        <w:tc>
          <w:tcPr>
            <w:tcW w:w="50" w:type="pct"/>
            <w:vAlign w:val="center"/>
            <w:hideMark/>
          </w:tcPr>
          <w:p w14:paraId="3C61170A" w14:textId="77777777" w:rsidR="00000000" w:rsidRDefault="00A173A8">
            <w:pPr>
              <w:spacing w:after="100"/>
              <w:rPr>
                <w:rFonts w:eastAsia="Times New Roman"/>
                <w:sz w:val="20"/>
                <w:szCs w:val="20"/>
              </w:rPr>
            </w:pPr>
          </w:p>
        </w:tc>
        <w:tc>
          <w:tcPr>
            <w:tcW w:w="434" w:type="pct"/>
            <w:vAlign w:val="center"/>
            <w:hideMark/>
          </w:tcPr>
          <w:p w14:paraId="73BDC088" w14:textId="77777777" w:rsidR="00000000" w:rsidRDefault="00A173A8">
            <w:pPr>
              <w:spacing w:after="100"/>
              <w:rPr>
                <w:rFonts w:eastAsia="Times New Roman"/>
                <w:sz w:val="20"/>
                <w:szCs w:val="20"/>
              </w:rPr>
            </w:pPr>
          </w:p>
        </w:tc>
        <w:tc>
          <w:tcPr>
            <w:tcW w:w="5" w:type="pct"/>
            <w:vAlign w:val="center"/>
            <w:hideMark/>
          </w:tcPr>
          <w:p w14:paraId="519022CF" w14:textId="77777777" w:rsidR="00000000" w:rsidRDefault="00A173A8">
            <w:pPr>
              <w:spacing w:after="100"/>
              <w:rPr>
                <w:rFonts w:eastAsia="Times New Roman"/>
                <w:sz w:val="20"/>
                <w:szCs w:val="20"/>
              </w:rPr>
            </w:pPr>
          </w:p>
        </w:tc>
        <w:tc>
          <w:tcPr>
            <w:tcW w:w="5" w:type="pct"/>
            <w:vAlign w:val="center"/>
            <w:hideMark/>
          </w:tcPr>
          <w:p w14:paraId="21942D5A" w14:textId="77777777" w:rsidR="00000000" w:rsidRDefault="00A173A8">
            <w:pPr>
              <w:spacing w:after="100"/>
              <w:rPr>
                <w:rFonts w:eastAsia="Times New Roman"/>
                <w:sz w:val="20"/>
                <w:szCs w:val="20"/>
              </w:rPr>
            </w:pPr>
          </w:p>
        </w:tc>
        <w:tc>
          <w:tcPr>
            <w:tcW w:w="26" w:type="pct"/>
            <w:vAlign w:val="center"/>
            <w:hideMark/>
          </w:tcPr>
          <w:p w14:paraId="4C9C9A7B" w14:textId="77777777" w:rsidR="00000000" w:rsidRDefault="00A173A8">
            <w:pPr>
              <w:spacing w:after="100"/>
              <w:rPr>
                <w:rFonts w:eastAsia="Times New Roman"/>
                <w:sz w:val="20"/>
                <w:szCs w:val="20"/>
              </w:rPr>
            </w:pPr>
          </w:p>
        </w:tc>
        <w:tc>
          <w:tcPr>
            <w:tcW w:w="5" w:type="pct"/>
            <w:vAlign w:val="center"/>
            <w:hideMark/>
          </w:tcPr>
          <w:p w14:paraId="2EDF30C9" w14:textId="77777777" w:rsidR="00000000" w:rsidRDefault="00A173A8">
            <w:pPr>
              <w:spacing w:after="100"/>
              <w:rPr>
                <w:rFonts w:eastAsia="Times New Roman"/>
                <w:sz w:val="20"/>
                <w:szCs w:val="20"/>
              </w:rPr>
            </w:pPr>
          </w:p>
        </w:tc>
        <w:tc>
          <w:tcPr>
            <w:tcW w:w="50" w:type="pct"/>
            <w:vAlign w:val="center"/>
            <w:hideMark/>
          </w:tcPr>
          <w:p w14:paraId="435F492A" w14:textId="77777777" w:rsidR="00000000" w:rsidRDefault="00A173A8">
            <w:pPr>
              <w:spacing w:after="100"/>
              <w:rPr>
                <w:rFonts w:eastAsia="Times New Roman"/>
                <w:sz w:val="20"/>
                <w:szCs w:val="20"/>
              </w:rPr>
            </w:pPr>
          </w:p>
        </w:tc>
        <w:tc>
          <w:tcPr>
            <w:tcW w:w="434" w:type="pct"/>
            <w:vAlign w:val="center"/>
            <w:hideMark/>
          </w:tcPr>
          <w:p w14:paraId="3986A84D" w14:textId="77777777" w:rsidR="00000000" w:rsidRDefault="00A173A8">
            <w:pPr>
              <w:spacing w:after="100"/>
              <w:rPr>
                <w:rFonts w:eastAsia="Times New Roman"/>
                <w:sz w:val="20"/>
                <w:szCs w:val="20"/>
              </w:rPr>
            </w:pPr>
          </w:p>
        </w:tc>
        <w:tc>
          <w:tcPr>
            <w:tcW w:w="5" w:type="pct"/>
            <w:vAlign w:val="center"/>
            <w:hideMark/>
          </w:tcPr>
          <w:p w14:paraId="7DF355DB" w14:textId="77777777" w:rsidR="00000000" w:rsidRDefault="00A173A8">
            <w:pPr>
              <w:spacing w:after="100"/>
              <w:rPr>
                <w:rFonts w:eastAsia="Times New Roman"/>
                <w:sz w:val="20"/>
                <w:szCs w:val="20"/>
              </w:rPr>
            </w:pPr>
          </w:p>
        </w:tc>
        <w:tc>
          <w:tcPr>
            <w:tcW w:w="5" w:type="pct"/>
            <w:vAlign w:val="center"/>
            <w:hideMark/>
          </w:tcPr>
          <w:p w14:paraId="7B31A220" w14:textId="77777777" w:rsidR="00000000" w:rsidRDefault="00A173A8">
            <w:pPr>
              <w:spacing w:after="100"/>
              <w:rPr>
                <w:rFonts w:eastAsia="Times New Roman"/>
                <w:sz w:val="20"/>
                <w:szCs w:val="20"/>
              </w:rPr>
            </w:pPr>
          </w:p>
        </w:tc>
        <w:tc>
          <w:tcPr>
            <w:tcW w:w="26" w:type="pct"/>
            <w:vAlign w:val="center"/>
            <w:hideMark/>
          </w:tcPr>
          <w:p w14:paraId="3A25914C" w14:textId="77777777" w:rsidR="00000000" w:rsidRDefault="00A173A8">
            <w:pPr>
              <w:spacing w:after="100"/>
              <w:rPr>
                <w:rFonts w:eastAsia="Times New Roman"/>
                <w:sz w:val="20"/>
                <w:szCs w:val="20"/>
              </w:rPr>
            </w:pPr>
          </w:p>
        </w:tc>
        <w:tc>
          <w:tcPr>
            <w:tcW w:w="5" w:type="pct"/>
            <w:vAlign w:val="center"/>
            <w:hideMark/>
          </w:tcPr>
          <w:p w14:paraId="4E43EB32" w14:textId="77777777" w:rsidR="00000000" w:rsidRDefault="00A173A8">
            <w:pPr>
              <w:spacing w:after="100"/>
              <w:rPr>
                <w:rFonts w:eastAsia="Times New Roman"/>
                <w:sz w:val="20"/>
                <w:szCs w:val="20"/>
              </w:rPr>
            </w:pPr>
          </w:p>
        </w:tc>
        <w:tc>
          <w:tcPr>
            <w:tcW w:w="50" w:type="pct"/>
            <w:vAlign w:val="center"/>
            <w:hideMark/>
          </w:tcPr>
          <w:p w14:paraId="1EA2CE29" w14:textId="77777777" w:rsidR="00000000" w:rsidRDefault="00A173A8">
            <w:pPr>
              <w:spacing w:after="100"/>
              <w:rPr>
                <w:rFonts w:eastAsia="Times New Roman"/>
                <w:sz w:val="20"/>
                <w:szCs w:val="20"/>
              </w:rPr>
            </w:pPr>
          </w:p>
        </w:tc>
        <w:tc>
          <w:tcPr>
            <w:tcW w:w="434" w:type="pct"/>
            <w:vAlign w:val="center"/>
            <w:hideMark/>
          </w:tcPr>
          <w:p w14:paraId="66CBAB12" w14:textId="77777777" w:rsidR="00000000" w:rsidRDefault="00A173A8">
            <w:pPr>
              <w:spacing w:after="100"/>
              <w:rPr>
                <w:rFonts w:eastAsia="Times New Roman"/>
                <w:sz w:val="20"/>
                <w:szCs w:val="20"/>
              </w:rPr>
            </w:pPr>
          </w:p>
        </w:tc>
        <w:tc>
          <w:tcPr>
            <w:tcW w:w="5" w:type="pct"/>
            <w:vAlign w:val="center"/>
            <w:hideMark/>
          </w:tcPr>
          <w:p w14:paraId="2E6EC9E0" w14:textId="77777777" w:rsidR="00000000" w:rsidRDefault="00A173A8">
            <w:pPr>
              <w:spacing w:after="100"/>
              <w:rPr>
                <w:rFonts w:eastAsia="Times New Roman"/>
                <w:sz w:val="20"/>
                <w:szCs w:val="20"/>
              </w:rPr>
            </w:pPr>
          </w:p>
        </w:tc>
        <w:tc>
          <w:tcPr>
            <w:tcW w:w="5" w:type="pct"/>
            <w:vAlign w:val="center"/>
            <w:hideMark/>
          </w:tcPr>
          <w:p w14:paraId="6B436546" w14:textId="77777777" w:rsidR="00000000" w:rsidRDefault="00A173A8">
            <w:pPr>
              <w:spacing w:after="100"/>
              <w:rPr>
                <w:rFonts w:eastAsia="Times New Roman"/>
                <w:sz w:val="20"/>
                <w:szCs w:val="20"/>
              </w:rPr>
            </w:pPr>
          </w:p>
        </w:tc>
        <w:tc>
          <w:tcPr>
            <w:tcW w:w="26" w:type="pct"/>
            <w:vAlign w:val="center"/>
            <w:hideMark/>
          </w:tcPr>
          <w:p w14:paraId="13911289" w14:textId="77777777" w:rsidR="00000000" w:rsidRDefault="00A173A8">
            <w:pPr>
              <w:spacing w:after="100"/>
              <w:rPr>
                <w:rFonts w:eastAsia="Times New Roman"/>
                <w:sz w:val="20"/>
                <w:szCs w:val="20"/>
              </w:rPr>
            </w:pPr>
          </w:p>
        </w:tc>
        <w:tc>
          <w:tcPr>
            <w:tcW w:w="5" w:type="pct"/>
            <w:vAlign w:val="center"/>
            <w:hideMark/>
          </w:tcPr>
          <w:p w14:paraId="3F80DF05" w14:textId="77777777" w:rsidR="00000000" w:rsidRDefault="00A173A8">
            <w:pPr>
              <w:spacing w:after="100"/>
              <w:rPr>
                <w:rFonts w:eastAsia="Times New Roman"/>
                <w:sz w:val="20"/>
                <w:szCs w:val="20"/>
              </w:rPr>
            </w:pPr>
          </w:p>
        </w:tc>
        <w:tc>
          <w:tcPr>
            <w:tcW w:w="50" w:type="pct"/>
            <w:vAlign w:val="center"/>
            <w:hideMark/>
          </w:tcPr>
          <w:p w14:paraId="4DF8A712" w14:textId="77777777" w:rsidR="00000000" w:rsidRDefault="00A173A8">
            <w:pPr>
              <w:spacing w:after="100"/>
              <w:rPr>
                <w:rFonts w:eastAsia="Times New Roman"/>
                <w:sz w:val="20"/>
                <w:szCs w:val="20"/>
              </w:rPr>
            </w:pPr>
          </w:p>
        </w:tc>
        <w:tc>
          <w:tcPr>
            <w:tcW w:w="434" w:type="pct"/>
            <w:vAlign w:val="center"/>
            <w:hideMark/>
          </w:tcPr>
          <w:p w14:paraId="572E38BA" w14:textId="77777777" w:rsidR="00000000" w:rsidRDefault="00A173A8">
            <w:pPr>
              <w:spacing w:after="100"/>
              <w:rPr>
                <w:rFonts w:eastAsia="Times New Roman"/>
                <w:sz w:val="20"/>
                <w:szCs w:val="20"/>
              </w:rPr>
            </w:pPr>
          </w:p>
        </w:tc>
        <w:tc>
          <w:tcPr>
            <w:tcW w:w="5" w:type="pct"/>
            <w:vAlign w:val="center"/>
            <w:hideMark/>
          </w:tcPr>
          <w:p w14:paraId="23431396" w14:textId="77777777" w:rsidR="00000000" w:rsidRDefault="00A173A8">
            <w:pPr>
              <w:spacing w:after="100"/>
              <w:rPr>
                <w:rFonts w:eastAsia="Times New Roman"/>
                <w:sz w:val="20"/>
                <w:szCs w:val="20"/>
              </w:rPr>
            </w:pPr>
          </w:p>
        </w:tc>
        <w:tc>
          <w:tcPr>
            <w:tcW w:w="5" w:type="pct"/>
            <w:vAlign w:val="center"/>
            <w:hideMark/>
          </w:tcPr>
          <w:p w14:paraId="5F531710" w14:textId="77777777" w:rsidR="00000000" w:rsidRDefault="00A173A8">
            <w:pPr>
              <w:spacing w:after="100"/>
              <w:rPr>
                <w:rFonts w:eastAsia="Times New Roman"/>
                <w:sz w:val="20"/>
                <w:szCs w:val="20"/>
              </w:rPr>
            </w:pPr>
          </w:p>
        </w:tc>
        <w:tc>
          <w:tcPr>
            <w:tcW w:w="26" w:type="pct"/>
            <w:vAlign w:val="center"/>
            <w:hideMark/>
          </w:tcPr>
          <w:p w14:paraId="11A8BC26" w14:textId="77777777" w:rsidR="00000000" w:rsidRDefault="00A173A8">
            <w:pPr>
              <w:spacing w:after="100"/>
              <w:rPr>
                <w:rFonts w:eastAsia="Times New Roman"/>
                <w:sz w:val="20"/>
                <w:szCs w:val="20"/>
              </w:rPr>
            </w:pPr>
          </w:p>
        </w:tc>
        <w:tc>
          <w:tcPr>
            <w:tcW w:w="5" w:type="pct"/>
            <w:vAlign w:val="center"/>
            <w:hideMark/>
          </w:tcPr>
          <w:p w14:paraId="1146B089" w14:textId="77777777" w:rsidR="00000000" w:rsidRDefault="00A173A8">
            <w:pPr>
              <w:spacing w:after="100"/>
              <w:rPr>
                <w:rFonts w:eastAsia="Times New Roman"/>
                <w:sz w:val="20"/>
                <w:szCs w:val="20"/>
              </w:rPr>
            </w:pPr>
          </w:p>
        </w:tc>
        <w:tc>
          <w:tcPr>
            <w:tcW w:w="50" w:type="pct"/>
            <w:vAlign w:val="center"/>
            <w:hideMark/>
          </w:tcPr>
          <w:p w14:paraId="5FEF2A1F" w14:textId="77777777" w:rsidR="00000000" w:rsidRDefault="00A173A8">
            <w:pPr>
              <w:spacing w:after="100"/>
              <w:rPr>
                <w:rFonts w:eastAsia="Times New Roman"/>
                <w:sz w:val="20"/>
                <w:szCs w:val="20"/>
              </w:rPr>
            </w:pPr>
          </w:p>
        </w:tc>
        <w:tc>
          <w:tcPr>
            <w:tcW w:w="464" w:type="pct"/>
            <w:vAlign w:val="center"/>
            <w:hideMark/>
          </w:tcPr>
          <w:p w14:paraId="752FC37F" w14:textId="77777777" w:rsidR="00000000" w:rsidRDefault="00A173A8">
            <w:pPr>
              <w:spacing w:after="100"/>
              <w:rPr>
                <w:rFonts w:eastAsia="Times New Roman"/>
                <w:sz w:val="20"/>
                <w:szCs w:val="20"/>
              </w:rPr>
            </w:pPr>
          </w:p>
        </w:tc>
        <w:tc>
          <w:tcPr>
            <w:tcW w:w="5" w:type="pct"/>
            <w:vAlign w:val="center"/>
            <w:hideMark/>
          </w:tcPr>
          <w:p w14:paraId="446BCFFB" w14:textId="77777777" w:rsidR="00000000" w:rsidRDefault="00A173A8">
            <w:pPr>
              <w:spacing w:after="100"/>
              <w:rPr>
                <w:rFonts w:eastAsia="Times New Roman"/>
                <w:sz w:val="20"/>
                <w:szCs w:val="20"/>
              </w:rPr>
            </w:pPr>
          </w:p>
        </w:tc>
      </w:tr>
      <w:tr w:rsidR="00000000" w14:paraId="414A8B3F" w14:textId="77777777">
        <w:trPr>
          <w:divId w:val="494877491"/>
        </w:trPr>
        <w:tc>
          <w:tcPr>
            <w:tcW w:w="0" w:type="auto"/>
            <w:gridSpan w:val="3"/>
            <w:tcMar>
              <w:top w:w="0" w:type="dxa"/>
              <w:left w:w="20" w:type="dxa"/>
              <w:bottom w:w="0" w:type="dxa"/>
              <w:right w:w="20" w:type="dxa"/>
            </w:tcMar>
            <w:vAlign w:val="center"/>
            <w:hideMark/>
          </w:tcPr>
          <w:p w14:paraId="38F6175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EA2AAA"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59738F3A" w14:textId="77777777" w:rsidR="00000000" w:rsidRDefault="00A173A8">
            <w:pPr>
              <w:spacing w:after="100"/>
              <w:jc w:val="center"/>
              <w:rPr>
                <w:rFonts w:eastAsia="Times New Roman"/>
              </w:rPr>
            </w:pPr>
            <w:r>
              <w:rPr>
                <w:rFonts w:eastAsia="Times New Roman"/>
                <w:b/>
                <w:bCs/>
                <w:color w:val="000000"/>
                <w:sz w:val="16"/>
                <w:szCs w:val="16"/>
              </w:rPr>
              <w:t>Three Months Ended June 30, 2022</w:t>
            </w:r>
          </w:p>
        </w:tc>
      </w:tr>
      <w:tr w:rsidR="00000000" w14:paraId="5293A988" w14:textId="77777777">
        <w:trPr>
          <w:divId w:val="494877491"/>
        </w:trPr>
        <w:tc>
          <w:tcPr>
            <w:tcW w:w="0" w:type="auto"/>
            <w:gridSpan w:val="3"/>
            <w:tcMar>
              <w:top w:w="30" w:type="dxa"/>
              <w:left w:w="20" w:type="dxa"/>
              <w:bottom w:w="30" w:type="dxa"/>
              <w:right w:w="20" w:type="dxa"/>
            </w:tcMar>
            <w:vAlign w:val="bottom"/>
            <w:hideMark/>
          </w:tcPr>
          <w:p w14:paraId="63CCCE4B"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43130E5A"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1A7D3E"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0C43989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422710"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3CE13F7E"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4DA4D5" w14:textId="77777777" w:rsidR="00000000" w:rsidRDefault="00A173A8">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5B953F9"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D75411" w14:textId="77777777" w:rsidR="00000000" w:rsidRDefault="00A173A8">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6CC0FD7E"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C9CB93" w14:textId="77777777" w:rsidR="00000000" w:rsidRDefault="00A173A8">
            <w:pPr>
              <w:spacing w:after="100"/>
              <w:jc w:val="center"/>
              <w:rPr>
                <w:rFonts w:eastAsia="Times New Roman"/>
              </w:rPr>
            </w:pPr>
            <w:r>
              <w:rPr>
                <w:rFonts w:eastAsia="Times New Roman"/>
                <w:b/>
                <w:bCs/>
                <w:color w:val="000000"/>
                <w:sz w:val="16"/>
                <w:szCs w:val="16"/>
              </w:rPr>
              <w:t>Consolidated Total</w:t>
            </w:r>
          </w:p>
        </w:tc>
      </w:tr>
      <w:tr w:rsidR="00000000" w14:paraId="6D8C152D" w14:textId="77777777">
        <w:trPr>
          <w:divId w:val="49487749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05DBAC2A" w14:textId="77777777" w:rsidR="00000000" w:rsidRDefault="00A173A8">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57686DFF"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50A5F4"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FB651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613EC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B3217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17370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A70A4A"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42B7A9"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8CB51F"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E0D4139" w14:textId="77777777" w:rsidR="00000000" w:rsidRDefault="00A173A8">
            <w:pPr>
              <w:spacing w:after="100"/>
              <w:rPr>
                <w:rFonts w:eastAsia="Times New Roman"/>
                <w:sz w:val="20"/>
                <w:szCs w:val="20"/>
              </w:rPr>
            </w:pPr>
          </w:p>
        </w:tc>
      </w:tr>
      <w:tr w:rsidR="00000000" w14:paraId="3C633D6B" w14:textId="77777777">
        <w:trPr>
          <w:divId w:val="494877491"/>
        </w:trPr>
        <w:tc>
          <w:tcPr>
            <w:tcW w:w="0" w:type="auto"/>
            <w:gridSpan w:val="3"/>
            <w:shd w:val="clear" w:color="auto" w:fill="FFFFFF"/>
            <w:tcMar>
              <w:top w:w="30" w:type="dxa"/>
              <w:left w:w="20" w:type="dxa"/>
              <w:bottom w:w="30" w:type="dxa"/>
              <w:right w:w="20" w:type="dxa"/>
            </w:tcMar>
            <w:vAlign w:val="center"/>
            <w:hideMark/>
          </w:tcPr>
          <w:p w14:paraId="321547A6" w14:textId="77777777" w:rsidR="00000000" w:rsidRDefault="00A173A8">
            <w:pPr>
              <w:spacing w:after="100"/>
              <w:divId w:val="345988090"/>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56A7F26"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119CB876"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45D50D2" w14:textId="77777777" w:rsidR="00000000" w:rsidRDefault="00A173A8">
            <w:pPr>
              <w:spacing w:after="100"/>
              <w:jc w:val="right"/>
              <w:rPr>
                <w:rFonts w:eastAsia="Times New Roman"/>
              </w:rPr>
            </w:pPr>
            <w:r>
              <w:rPr>
                <w:rFonts w:eastAsia="Times New Roman"/>
                <w:b/>
                <w:bCs/>
                <w:color w:val="000000"/>
                <w:sz w:val="18"/>
                <w:szCs w:val="18"/>
              </w:rPr>
              <w:t>1,093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AF26CD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66B2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58A1C27"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E66BB3D" w14:textId="77777777" w:rsidR="00000000" w:rsidRDefault="00A173A8">
            <w:pPr>
              <w:spacing w:after="100"/>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62A006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5E695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4FB835E"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FEBB4C4" w14:textId="77777777" w:rsidR="00000000" w:rsidRDefault="00A173A8">
            <w:pPr>
              <w:spacing w:after="100"/>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082BAB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1CD87"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176A615"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FCE5F2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2527B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729649"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5FC6ECC"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03360BF" w14:textId="77777777" w:rsidR="00000000" w:rsidRDefault="00A173A8">
            <w:pPr>
              <w:spacing w:after="100"/>
              <w:jc w:val="right"/>
              <w:rPr>
                <w:rFonts w:eastAsia="Times New Roman"/>
              </w:rPr>
            </w:pPr>
            <w:r>
              <w:rPr>
                <w:rFonts w:eastAsia="Times New Roman"/>
                <w:b/>
                <w:bCs/>
                <w:color w:val="000000"/>
                <w:sz w:val="18"/>
                <w:szCs w:val="18"/>
              </w:rPr>
              <w:t>1,201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E137B05" w14:textId="77777777" w:rsidR="00000000" w:rsidRDefault="00A173A8">
            <w:pPr>
              <w:spacing w:after="100"/>
              <w:jc w:val="right"/>
              <w:rPr>
                <w:rFonts w:eastAsia="Times New Roman"/>
              </w:rPr>
            </w:pPr>
          </w:p>
        </w:tc>
      </w:tr>
      <w:tr w:rsidR="00000000" w14:paraId="3EF995E3" w14:textId="77777777">
        <w:trPr>
          <w:divId w:val="494877491"/>
        </w:trPr>
        <w:tc>
          <w:tcPr>
            <w:tcW w:w="0" w:type="auto"/>
            <w:gridSpan w:val="3"/>
            <w:shd w:val="clear" w:color="auto" w:fill="CCEEFF"/>
            <w:tcMar>
              <w:top w:w="30" w:type="dxa"/>
              <w:left w:w="245" w:type="dxa"/>
              <w:bottom w:w="30" w:type="dxa"/>
              <w:right w:w="20" w:type="dxa"/>
            </w:tcMar>
            <w:vAlign w:val="center"/>
            <w:hideMark/>
          </w:tcPr>
          <w:p w14:paraId="4637FA1A" w14:textId="77777777" w:rsidR="00000000" w:rsidRDefault="00A173A8">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6C82952E"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8A1E877"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266006A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C245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A39DD44" w14:textId="77777777" w:rsidR="00000000" w:rsidRDefault="00A173A8">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8EA492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043F26"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0F74536" w14:textId="77777777" w:rsidR="00000000" w:rsidRDefault="00A173A8">
            <w:pPr>
              <w:spacing w:after="100"/>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1926E92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CA7FE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7990CB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588CB5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EE088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5C8D106" w14:textId="77777777" w:rsidR="00000000" w:rsidRDefault="00A173A8">
            <w:pPr>
              <w:spacing w:after="100"/>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4078156" w14:textId="77777777" w:rsidR="00000000" w:rsidRDefault="00A173A8">
            <w:pPr>
              <w:spacing w:after="100"/>
              <w:jc w:val="right"/>
              <w:rPr>
                <w:rFonts w:eastAsia="Times New Roman"/>
              </w:rPr>
            </w:pPr>
          </w:p>
        </w:tc>
      </w:tr>
      <w:tr w:rsidR="00000000" w14:paraId="2AAE7B7E" w14:textId="77777777">
        <w:trPr>
          <w:divId w:val="494877491"/>
        </w:trPr>
        <w:tc>
          <w:tcPr>
            <w:tcW w:w="0" w:type="auto"/>
            <w:gridSpan w:val="3"/>
            <w:shd w:val="clear" w:color="auto" w:fill="FFFFFF"/>
            <w:tcMar>
              <w:top w:w="30" w:type="dxa"/>
              <w:left w:w="245" w:type="dxa"/>
              <w:bottom w:w="30" w:type="dxa"/>
              <w:right w:w="20" w:type="dxa"/>
            </w:tcMar>
            <w:vAlign w:val="center"/>
            <w:hideMark/>
          </w:tcPr>
          <w:p w14:paraId="07F7F08C" w14:textId="77777777" w:rsidR="00000000" w:rsidRDefault="00A173A8">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4DD3DE7C"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40B1AA8" w14:textId="77777777" w:rsidR="00000000" w:rsidRDefault="00A173A8">
            <w:pPr>
              <w:spacing w:after="100"/>
              <w:jc w:val="right"/>
              <w:rPr>
                <w:rFonts w:eastAsia="Times New Roman"/>
              </w:rPr>
            </w:pPr>
            <w:r>
              <w:rPr>
                <w:rFonts w:eastAsia="Times New Roman"/>
                <w:b/>
                <w:bCs/>
                <w:color w:val="000000"/>
                <w:sz w:val="18"/>
                <w:szCs w:val="18"/>
              </w:rPr>
              <w:t>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90A702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E63B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C31BA5" w14:textId="77777777" w:rsidR="00000000" w:rsidRDefault="00A173A8">
            <w:pPr>
              <w:spacing w:after="100"/>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708787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11EF3"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50D4E4F" w14:textId="77777777" w:rsidR="00000000" w:rsidRDefault="00A173A8">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A81F44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844D5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C98A3E8"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6D4BA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0FE5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EDD9598" w14:textId="77777777" w:rsidR="00000000" w:rsidRDefault="00A173A8">
            <w:pPr>
              <w:spacing w:after="100"/>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5C0A608" w14:textId="77777777" w:rsidR="00000000" w:rsidRDefault="00A173A8">
            <w:pPr>
              <w:spacing w:after="100"/>
              <w:jc w:val="right"/>
              <w:rPr>
                <w:rFonts w:eastAsia="Times New Roman"/>
              </w:rPr>
            </w:pPr>
          </w:p>
        </w:tc>
      </w:tr>
      <w:tr w:rsidR="00000000" w14:paraId="38B878EC" w14:textId="77777777">
        <w:trPr>
          <w:divId w:val="494877491"/>
        </w:trPr>
        <w:tc>
          <w:tcPr>
            <w:tcW w:w="0" w:type="auto"/>
            <w:gridSpan w:val="3"/>
            <w:shd w:val="clear" w:color="auto" w:fill="CCEEFF"/>
            <w:tcMar>
              <w:top w:w="30" w:type="dxa"/>
              <w:left w:w="20" w:type="dxa"/>
              <w:bottom w:w="30" w:type="dxa"/>
              <w:right w:w="20" w:type="dxa"/>
            </w:tcMar>
            <w:vAlign w:val="center"/>
            <w:hideMark/>
          </w:tcPr>
          <w:p w14:paraId="02C44A8C" w14:textId="77777777" w:rsidR="00000000" w:rsidRDefault="00A173A8">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3F6C920F"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432C21F1" w14:textId="77777777" w:rsidR="00000000" w:rsidRDefault="00A173A8">
            <w:pPr>
              <w:spacing w:after="100"/>
              <w:jc w:val="right"/>
              <w:rPr>
                <w:rFonts w:eastAsia="Times New Roman"/>
              </w:rPr>
            </w:pPr>
            <w:r>
              <w:rPr>
                <w:rFonts w:eastAsia="Times New Roman"/>
                <w:b/>
                <w:bCs/>
                <w:color w:val="000000"/>
                <w:sz w:val="18"/>
                <w:szCs w:val="18"/>
              </w:rPr>
              <w:t>1,191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F1EF8E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EEA3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2AD14D5" w14:textId="77777777" w:rsidR="00000000" w:rsidRDefault="00A173A8">
            <w:pPr>
              <w:spacing w:after="100"/>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504EDB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208A7B"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06D53F9" w14:textId="77777777" w:rsidR="00000000" w:rsidRDefault="00A173A8">
            <w:pPr>
              <w:spacing w:after="100"/>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D3B2F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19CF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740B32F"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826F61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C3018"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38DCABC" w14:textId="77777777" w:rsidR="00000000" w:rsidRDefault="00A173A8">
            <w:pPr>
              <w:spacing w:after="100"/>
              <w:jc w:val="right"/>
              <w:rPr>
                <w:rFonts w:eastAsia="Times New Roman"/>
              </w:rPr>
            </w:pPr>
            <w:r>
              <w:rPr>
                <w:rFonts w:eastAsia="Times New Roman"/>
                <w:b/>
                <w:bCs/>
                <w:color w:val="000000"/>
                <w:sz w:val="18"/>
                <w:szCs w:val="18"/>
              </w:rPr>
              <w:t>1,407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A742BE" w14:textId="77777777" w:rsidR="00000000" w:rsidRDefault="00A173A8">
            <w:pPr>
              <w:spacing w:after="100"/>
              <w:jc w:val="right"/>
              <w:rPr>
                <w:rFonts w:eastAsia="Times New Roman"/>
              </w:rPr>
            </w:pPr>
          </w:p>
        </w:tc>
      </w:tr>
      <w:tr w:rsidR="00000000" w14:paraId="6CDEA589" w14:textId="77777777">
        <w:trPr>
          <w:divId w:val="494877491"/>
        </w:trPr>
        <w:tc>
          <w:tcPr>
            <w:tcW w:w="0" w:type="auto"/>
            <w:gridSpan w:val="3"/>
            <w:shd w:val="clear" w:color="auto" w:fill="FFFFFF"/>
            <w:tcMar>
              <w:top w:w="30" w:type="dxa"/>
              <w:left w:w="20" w:type="dxa"/>
              <w:bottom w:w="30" w:type="dxa"/>
              <w:right w:w="20" w:type="dxa"/>
            </w:tcMar>
            <w:vAlign w:val="center"/>
            <w:hideMark/>
          </w:tcPr>
          <w:p w14:paraId="1803BFFE" w14:textId="77777777" w:rsidR="00000000" w:rsidRDefault="00A173A8">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14:paraId="62E926F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5890509" w14:textId="77777777" w:rsidR="00000000" w:rsidRDefault="00A173A8">
            <w:pPr>
              <w:spacing w:after="100"/>
              <w:jc w:val="right"/>
              <w:rPr>
                <w:rFonts w:eastAsia="Times New Roman"/>
              </w:rPr>
            </w:pPr>
            <w:r>
              <w:rPr>
                <w:rFonts w:eastAsia="Times New Roman"/>
                <w:b/>
                <w:bCs/>
                <w:color w:val="000000"/>
                <w:sz w:val="18"/>
                <w:szCs w:val="18"/>
              </w:rPr>
              <w:t>219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92F74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25EDF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B26B78D" w14:textId="77777777" w:rsidR="00000000" w:rsidRDefault="00A173A8">
            <w:pPr>
              <w:spacing w:after="100"/>
              <w:jc w:val="right"/>
              <w:rPr>
                <w:rFonts w:eastAsia="Times New Roman"/>
              </w:rPr>
            </w:pPr>
            <w:r>
              <w:rPr>
                <w:rFonts w:eastAsia="Times New Roman"/>
                <w:b/>
                <w:bCs/>
                <w:color w:val="000000"/>
                <w:sz w:val="18"/>
                <w:szCs w:val="18"/>
              </w:rPr>
              <w:t>(26)</w:t>
            </w:r>
          </w:p>
        </w:tc>
        <w:tc>
          <w:tcPr>
            <w:tcW w:w="0" w:type="auto"/>
            <w:shd w:val="clear" w:color="auto" w:fill="FFFFFF"/>
            <w:tcMar>
              <w:top w:w="30" w:type="dxa"/>
              <w:left w:w="0" w:type="dxa"/>
              <w:bottom w:w="30" w:type="dxa"/>
              <w:right w:w="20" w:type="dxa"/>
            </w:tcMar>
            <w:vAlign w:val="center"/>
            <w:hideMark/>
          </w:tcPr>
          <w:p w14:paraId="175C9D7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2118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B3781CB" w14:textId="77777777" w:rsidR="00000000" w:rsidRDefault="00A173A8">
            <w:pPr>
              <w:spacing w:after="100"/>
              <w:jc w:val="right"/>
              <w:rPr>
                <w:rFonts w:eastAsia="Times New Roman"/>
              </w:rPr>
            </w:pPr>
            <w:r>
              <w:rPr>
                <w:rFonts w:eastAsia="Times New Roman"/>
                <w:b/>
                <w:bCs/>
                <w:color w:val="000000"/>
                <w:sz w:val="18"/>
                <w:szCs w:val="18"/>
              </w:rPr>
              <w:t>178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B7B3E7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7F62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C4A31D7" w14:textId="77777777" w:rsidR="00000000" w:rsidRDefault="00A173A8">
            <w:pPr>
              <w:spacing w:after="100"/>
              <w:jc w:val="right"/>
              <w:rPr>
                <w:rFonts w:eastAsia="Times New Roman"/>
              </w:rPr>
            </w:pPr>
            <w:r>
              <w:rPr>
                <w:rFonts w:eastAsia="Times New Roman"/>
                <w:b/>
                <w:bCs/>
                <w:color w:val="000000"/>
                <w:sz w:val="18"/>
                <w:szCs w:val="18"/>
              </w:rPr>
              <w:t>(63)</w:t>
            </w:r>
          </w:p>
        </w:tc>
        <w:tc>
          <w:tcPr>
            <w:tcW w:w="0" w:type="auto"/>
            <w:shd w:val="clear" w:color="auto" w:fill="FFFFFF"/>
            <w:tcMar>
              <w:top w:w="30" w:type="dxa"/>
              <w:left w:w="0" w:type="dxa"/>
              <w:bottom w:w="30" w:type="dxa"/>
              <w:right w:w="20" w:type="dxa"/>
            </w:tcMar>
            <w:vAlign w:val="center"/>
            <w:hideMark/>
          </w:tcPr>
          <w:p w14:paraId="45670DD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B2AB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EF2124E" w14:textId="77777777" w:rsidR="00000000" w:rsidRDefault="00A173A8">
            <w:pPr>
              <w:spacing w:after="100"/>
              <w:jc w:val="right"/>
              <w:rPr>
                <w:rFonts w:eastAsia="Times New Roman"/>
              </w:rPr>
            </w:pPr>
            <w:r>
              <w:rPr>
                <w:rFonts w:eastAsia="Times New Roman"/>
                <w:b/>
                <w:bCs/>
                <w:color w:val="000000"/>
                <w:sz w:val="18"/>
                <w:szCs w:val="18"/>
              </w:rPr>
              <w:t>308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7B52F27" w14:textId="77777777" w:rsidR="00000000" w:rsidRDefault="00A173A8">
            <w:pPr>
              <w:spacing w:after="100"/>
              <w:jc w:val="right"/>
              <w:rPr>
                <w:rFonts w:eastAsia="Times New Roman"/>
              </w:rPr>
            </w:pPr>
          </w:p>
        </w:tc>
      </w:tr>
      <w:tr w:rsidR="00000000" w14:paraId="484C9C88" w14:textId="77777777">
        <w:trPr>
          <w:divId w:val="494877491"/>
        </w:trPr>
        <w:tc>
          <w:tcPr>
            <w:tcW w:w="0" w:type="auto"/>
            <w:gridSpan w:val="3"/>
            <w:shd w:val="clear" w:color="auto" w:fill="CCEEFF"/>
            <w:tcMar>
              <w:top w:w="30" w:type="dxa"/>
              <w:left w:w="20" w:type="dxa"/>
              <w:bottom w:w="30" w:type="dxa"/>
              <w:right w:w="20" w:type="dxa"/>
            </w:tcMar>
            <w:vAlign w:val="center"/>
            <w:hideMark/>
          </w:tcPr>
          <w:p w14:paraId="348165B7" w14:textId="77777777" w:rsidR="00000000" w:rsidRDefault="00A173A8">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14:paraId="6327FB83"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FE8CF3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1627022" w14:textId="77777777" w:rsidR="00000000" w:rsidRDefault="00A173A8">
            <w:pPr>
              <w:spacing w:after="100"/>
              <w:jc w:val="right"/>
              <w:rPr>
                <w:rFonts w:eastAsia="Times New Roman"/>
              </w:rPr>
            </w:pPr>
            <w:r>
              <w:rPr>
                <w:rFonts w:eastAsia="Times New Roman"/>
                <w:b/>
                <w:bCs/>
                <w:color w:val="000000"/>
                <w:sz w:val="18"/>
                <w:szCs w:val="18"/>
              </w:rPr>
              <w:t>1,410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874AB8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E6534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516C6AE"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5D0D7E8" w14:textId="77777777" w:rsidR="00000000" w:rsidRDefault="00A173A8">
            <w:pPr>
              <w:spacing w:after="100"/>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7F798D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EC3AC"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B958257"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1B609D1" w14:textId="77777777" w:rsidR="00000000" w:rsidRDefault="00A173A8">
            <w:pPr>
              <w:spacing w:after="100"/>
              <w:jc w:val="right"/>
              <w:rPr>
                <w:rFonts w:eastAsia="Times New Roman"/>
              </w:rPr>
            </w:pPr>
            <w:r>
              <w:rPr>
                <w:rFonts w:eastAsia="Times New Roman"/>
                <w:b/>
                <w:bCs/>
                <w:color w:val="000000"/>
                <w:sz w:val="18"/>
                <w:szCs w:val="18"/>
              </w:rPr>
              <w:t>272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FA351F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8C7607"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298E0B4"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DF14477" w14:textId="77777777" w:rsidR="00000000" w:rsidRDefault="00A173A8">
            <w:pPr>
              <w:spacing w:after="100"/>
              <w:jc w:val="right"/>
              <w:rPr>
                <w:rFonts w:eastAsia="Times New Roman"/>
              </w:rPr>
            </w:pPr>
            <w:r>
              <w:rPr>
                <w:rFonts w:eastAsia="Times New Roman"/>
                <w:b/>
                <w:bCs/>
                <w:color w:val="000000"/>
                <w:sz w:val="18"/>
                <w:szCs w:val="18"/>
              </w:rPr>
              <w:t>(63)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BDC525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50780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01A6263"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F3D5DBD" w14:textId="77777777" w:rsidR="00000000" w:rsidRDefault="00A173A8">
            <w:pPr>
              <w:spacing w:after="100"/>
              <w:jc w:val="right"/>
              <w:rPr>
                <w:rFonts w:eastAsia="Times New Roman"/>
              </w:rPr>
            </w:pPr>
            <w:r>
              <w:rPr>
                <w:rFonts w:eastAsia="Times New Roman"/>
                <w:b/>
                <w:bCs/>
                <w:color w:val="000000"/>
                <w:sz w:val="18"/>
                <w:szCs w:val="18"/>
              </w:rPr>
              <w:t>1,715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041D31C" w14:textId="77777777" w:rsidR="00000000" w:rsidRDefault="00A173A8">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794"/>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70"/>
        <w:gridCol w:w="144"/>
      </w:tblGrid>
      <w:tr w:rsidR="00000000" w14:paraId="67F2B46A" w14:textId="77777777">
        <w:tc>
          <w:tcPr>
            <w:tcW w:w="50" w:type="pct"/>
            <w:vAlign w:val="center"/>
            <w:hideMark/>
          </w:tcPr>
          <w:p w14:paraId="3E1DF28F" w14:textId="77777777" w:rsidR="00000000" w:rsidRDefault="00A173A8">
            <w:pPr>
              <w:jc w:val="both"/>
              <w:rPr>
                <w:rFonts w:eastAsia="Times New Roman"/>
              </w:rPr>
            </w:pPr>
          </w:p>
        </w:tc>
        <w:tc>
          <w:tcPr>
            <w:tcW w:w="2284" w:type="pct"/>
            <w:vAlign w:val="center"/>
            <w:hideMark/>
          </w:tcPr>
          <w:p w14:paraId="1DEF3A08" w14:textId="77777777" w:rsidR="00000000" w:rsidRDefault="00A173A8">
            <w:pPr>
              <w:spacing w:after="100"/>
              <w:rPr>
                <w:rFonts w:eastAsia="Times New Roman"/>
                <w:sz w:val="20"/>
                <w:szCs w:val="20"/>
              </w:rPr>
            </w:pPr>
          </w:p>
        </w:tc>
        <w:tc>
          <w:tcPr>
            <w:tcW w:w="5" w:type="pct"/>
            <w:vAlign w:val="center"/>
            <w:hideMark/>
          </w:tcPr>
          <w:p w14:paraId="7D9215D3" w14:textId="77777777" w:rsidR="00000000" w:rsidRDefault="00A173A8">
            <w:pPr>
              <w:spacing w:after="100"/>
              <w:rPr>
                <w:rFonts w:eastAsia="Times New Roman"/>
                <w:sz w:val="20"/>
                <w:szCs w:val="20"/>
              </w:rPr>
            </w:pPr>
          </w:p>
        </w:tc>
        <w:tc>
          <w:tcPr>
            <w:tcW w:w="5" w:type="pct"/>
            <w:vAlign w:val="center"/>
            <w:hideMark/>
          </w:tcPr>
          <w:p w14:paraId="685C4672" w14:textId="77777777" w:rsidR="00000000" w:rsidRDefault="00A173A8">
            <w:pPr>
              <w:spacing w:after="100"/>
              <w:rPr>
                <w:rFonts w:eastAsia="Times New Roman"/>
                <w:sz w:val="20"/>
                <w:szCs w:val="20"/>
              </w:rPr>
            </w:pPr>
          </w:p>
        </w:tc>
        <w:tc>
          <w:tcPr>
            <w:tcW w:w="26" w:type="pct"/>
            <w:vAlign w:val="center"/>
            <w:hideMark/>
          </w:tcPr>
          <w:p w14:paraId="37077AED" w14:textId="77777777" w:rsidR="00000000" w:rsidRDefault="00A173A8">
            <w:pPr>
              <w:spacing w:after="100"/>
              <w:rPr>
                <w:rFonts w:eastAsia="Times New Roman"/>
                <w:sz w:val="20"/>
                <w:szCs w:val="20"/>
              </w:rPr>
            </w:pPr>
          </w:p>
        </w:tc>
        <w:tc>
          <w:tcPr>
            <w:tcW w:w="5" w:type="pct"/>
            <w:vAlign w:val="center"/>
            <w:hideMark/>
          </w:tcPr>
          <w:p w14:paraId="3503A513" w14:textId="77777777" w:rsidR="00000000" w:rsidRDefault="00A173A8">
            <w:pPr>
              <w:spacing w:after="100"/>
              <w:rPr>
                <w:rFonts w:eastAsia="Times New Roman"/>
                <w:sz w:val="20"/>
                <w:szCs w:val="20"/>
              </w:rPr>
            </w:pPr>
          </w:p>
        </w:tc>
        <w:tc>
          <w:tcPr>
            <w:tcW w:w="50" w:type="pct"/>
            <w:vAlign w:val="center"/>
            <w:hideMark/>
          </w:tcPr>
          <w:p w14:paraId="67E08E9C" w14:textId="77777777" w:rsidR="00000000" w:rsidRDefault="00A173A8">
            <w:pPr>
              <w:spacing w:after="100"/>
              <w:rPr>
                <w:rFonts w:eastAsia="Times New Roman"/>
                <w:sz w:val="20"/>
                <w:szCs w:val="20"/>
              </w:rPr>
            </w:pPr>
          </w:p>
        </w:tc>
        <w:tc>
          <w:tcPr>
            <w:tcW w:w="434" w:type="pct"/>
            <w:vAlign w:val="center"/>
            <w:hideMark/>
          </w:tcPr>
          <w:p w14:paraId="2CCBE62B" w14:textId="77777777" w:rsidR="00000000" w:rsidRDefault="00A173A8">
            <w:pPr>
              <w:spacing w:after="100"/>
              <w:rPr>
                <w:rFonts w:eastAsia="Times New Roman"/>
                <w:sz w:val="20"/>
                <w:szCs w:val="20"/>
              </w:rPr>
            </w:pPr>
          </w:p>
        </w:tc>
        <w:tc>
          <w:tcPr>
            <w:tcW w:w="5" w:type="pct"/>
            <w:vAlign w:val="center"/>
            <w:hideMark/>
          </w:tcPr>
          <w:p w14:paraId="2549BDE3" w14:textId="77777777" w:rsidR="00000000" w:rsidRDefault="00A173A8">
            <w:pPr>
              <w:spacing w:after="100"/>
              <w:rPr>
                <w:rFonts w:eastAsia="Times New Roman"/>
                <w:sz w:val="20"/>
                <w:szCs w:val="20"/>
              </w:rPr>
            </w:pPr>
          </w:p>
        </w:tc>
        <w:tc>
          <w:tcPr>
            <w:tcW w:w="5" w:type="pct"/>
            <w:vAlign w:val="center"/>
            <w:hideMark/>
          </w:tcPr>
          <w:p w14:paraId="19068522" w14:textId="77777777" w:rsidR="00000000" w:rsidRDefault="00A173A8">
            <w:pPr>
              <w:spacing w:after="100"/>
              <w:rPr>
                <w:rFonts w:eastAsia="Times New Roman"/>
                <w:sz w:val="20"/>
                <w:szCs w:val="20"/>
              </w:rPr>
            </w:pPr>
          </w:p>
        </w:tc>
        <w:tc>
          <w:tcPr>
            <w:tcW w:w="26" w:type="pct"/>
            <w:vAlign w:val="center"/>
            <w:hideMark/>
          </w:tcPr>
          <w:p w14:paraId="2A2E30C3" w14:textId="77777777" w:rsidR="00000000" w:rsidRDefault="00A173A8">
            <w:pPr>
              <w:spacing w:after="100"/>
              <w:rPr>
                <w:rFonts w:eastAsia="Times New Roman"/>
                <w:sz w:val="20"/>
                <w:szCs w:val="20"/>
              </w:rPr>
            </w:pPr>
          </w:p>
        </w:tc>
        <w:tc>
          <w:tcPr>
            <w:tcW w:w="5" w:type="pct"/>
            <w:vAlign w:val="center"/>
            <w:hideMark/>
          </w:tcPr>
          <w:p w14:paraId="49116049" w14:textId="77777777" w:rsidR="00000000" w:rsidRDefault="00A173A8">
            <w:pPr>
              <w:spacing w:after="100"/>
              <w:rPr>
                <w:rFonts w:eastAsia="Times New Roman"/>
                <w:sz w:val="20"/>
                <w:szCs w:val="20"/>
              </w:rPr>
            </w:pPr>
          </w:p>
        </w:tc>
        <w:tc>
          <w:tcPr>
            <w:tcW w:w="50" w:type="pct"/>
            <w:vAlign w:val="center"/>
            <w:hideMark/>
          </w:tcPr>
          <w:p w14:paraId="3AA7BA3E" w14:textId="77777777" w:rsidR="00000000" w:rsidRDefault="00A173A8">
            <w:pPr>
              <w:spacing w:after="100"/>
              <w:rPr>
                <w:rFonts w:eastAsia="Times New Roman"/>
                <w:sz w:val="20"/>
                <w:szCs w:val="20"/>
              </w:rPr>
            </w:pPr>
          </w:p>
        </w:tc>
        <w:tc>
          <w:tcPr>
            <w:tcW w:w="434" w:type="pct"/>
            <w:vAlign w:val="center"/>
            <w:hideMark/>
          </w:tcPr>
          <w:p w14:paraId="4FA0C1AD" w14:textId="77777777" w:rsidR="00000000" w:rsidRDefault="00A173A8">
            <w:pPr>
              <w:spacing w:after="100"/>
              <w:rPr>
                <w:rFonts w:eastAsia="Times New Roman"/>
                <w:sz w:val="20"/>
                <w:szCs w:val="20"/>
              </w:rPr>
            </w:pPr>
          </w:p>
        </w:tc>
        <w:tc>
          <w:tcPr>
            <w:tcW w:w="5" w:type="pct"/>
            <w:vAlign w:val="center"/>
            <w:hideMark/>
          </w:tcPr>
          <w:p w14:paraId="6532EBED" w14:textId="77777777" w:rsidR="00000000" w:rsidRDefault="00A173A8">
            <w:pPr>
              <w:spacing w:after="100"/>
              <w:rPr>
                <w:rFonts w:eastAsia="Times New Roman"/>
                <w:sz w:val="20"/>
                <w:szCs w:val="20"/>
              </w:rPr>
            </w:pPr>
          </w:p>
        </w:tc>
        <w:tc>
          <w:tcPr>
            <w:tcW w:w="5" w:type="pct"/>
            <w:vAlign w:val="center"/>
            <w:hideMark/>
          </w:tcPr>
          <w:p w14:paraId="6D91DA62" w14:textId="77777777" w:rsidR="00000000" w:rsidRDefault="00A173A8">
            <w:pPr>
              <w:spacing w:after="100"/>
              <w:rPr>
                <w:rFonts w:eastAsia="Times New Roman"/>
                <w:sz w:val="20"/>
                <w:szCs w:val="20"/>
              </w:rPr>
            </w:pPr>
          </w:p>
        </w:tc>
        <w:tc>
          <w:tcPr>
            <w:tcW w:w="26" w:type="pct"/>
            <w:vAlign w:val="center"/>
            <w:hideMark/>
          </w:tcPr>
          <w:p w14:paraId="0F73C20A" w14:textId="77777777" w:rsidR="00000000" w:rsidRDefault="00A173A8">
            <w:pPr>
              <w:spacing w:after="100"/>
              <w:rPr>
                <w:rFonts w:eastAsia="Times New Roman"/>
                <w:sz w:val="20"/>
                <w:szCs w:val="20"/>
              </w:rPr>
            </w:pPr>
          </w:p>
        </w:tc>
        <w:tc>
          <w:tcPr>
            <w:tcW w:w="5" w:type="pct"/>
            <w:vAlign w:val="center"/>
            <w:hideMark/>
          </w:tcPr>
          <w:p w14:paraId="66E7A46A" w14:textId="77777777" w:rsidR="00000000" w:rsidRDefault="00A173A8">
            <w:pPr>
              <w:spacing w:after="100"/>
              <w:rPr>
                <w:rFonts w:eastAsia="Times New Roman"/>
                <w:sz w:val="20"/>
                <w:szCs w:val="20"/>
              </w:rPr>
            </w:pPr>
          </w:p>
        </w:tc>
        <w:tc>
          <w:tcPr>
            <w:tcW w:w="50" w:type="pct"/>
            <w:vAlign w:val="center"/>
            <w:hideMark/>
          </w:tcPr>
          <w:p w14:paraId="5F9B6BD8" w14:textId="77777777" w:rsidR="00000000" w:rsidRDefault="00A173A8">
            <w:pPr>
              <w:spacing w:after="100"/>
              <w:rPr>
                <w:rFonts w:eastAsia="Times New Roman"/>
                <w:sz w:val="20"/>
                <w:szCs w:val="20"/>
              </w:rPr>
            </w:pPr>
          </w:p>
        </w:tc>
        <w:tc>
          <w:tcPr>
            <w:tcW w:w="434" w:type="pct"/>
            <w:vAlign w:val="center"/>
            <w:hideMark/>
          </w:tcPr>
          <w:p w14:paraId="6885288A" w14:textId="77777777" w:rsidR="00000000" w:rsidRDefault="00A173A8">
            <w:pPr>
              <w:spacing w:after="100"/>
              <w:rPr>
                <w:rFonts w:eastAsia="Times New Roman"/>
                <w:sz w:val="20"/>
                <w:szCs w:val="20"/>
              </w:rPr>
            </w:pPr>
          </w:p>
        </w:tc>
        <w:tc>
          <w:tcPr>
            <w:tcW w:w="5" w:type="pct"/>
            <w:vAlign w:val="center"/>
            <w:hideMark/>
          </w:tcPr>
          <w:p w14:paraId="577125A0" w14:textId="77777777" w:rsidR="00000000" w:rsidRDefault="00A173A8">
            <w:pPr>
              <w:spacing w:after="100"/>
              <w:rPr>
                <w:rFonts w:eastAsia="Times New Roman"/>
                <w:sz w:val="20"/>
                <w:szCs w:val="20"/>
              </w:rPr>
            </w:pPr>
          </w:p>
        </w:tc>
        <w:tc>
          <w:tcPr>
            <w:tcW w:w="5" w:type="pct"/>
            <w:vAlign w:val="center"/>
            <w:hideMark/>
          </w:tcPr>
          <w:p w14:paraId="2ABD4FC1" w14:textId="77777777" w:rsidR="00000000" w:rsidRDefault="00A173A8">
            <w:pPr>
              <w:spacing w:after="100"/>
              <w:rPr>
                <w:rFonts w:eastAsia="Times New Roman"/>
                <w:sz w:val="20"/>
                <w:szCs w:val="20"/>
              </w:rPr>
            </w:pPr>
          </w:p>
        </w:tc>
        <w:tc>
          <w:tcPr>
            <w:tcW w:w="26" w:type="pct"/>
            <w:vAlign w:val="center"/>
            <w:hideMark/>
          </w:tcPr>
          <w:p w14:paraId="3BA976C8" w14:textId="77777777" w:rsidR="00000000" w:rsidRDefault="00A173A8">
            <w:pPr>
              <w:spacing w:after="100"/>
              <w:rPr>
                <w:rFonts w:eastAsia="Times New Roman"/>
                <w:sz w:val="20"/>
                <w:szCs w:val="20"/>
              </w:rPr>
            </w:pPr>
          </w:p>
        </w:tc>
        <w:tc>
          <w:tcPr>
            <w:tcW w:w="5" w:type="pct"/>
            <w:vAlign w:val="center"/>
            <w:hideMark/>
          </w:tcPr>
          <w:p w14:paraId="6F3E9E0F" w14:textId="77777777" w:rsidR="00000000" w:rsidRDefault="00A173A8">
            <w:pPr>
              <w:spacing w:after="100"/>
              <w:rPr>
                <w:rFonts w:eastAsia="Times New Roman"/>
                <w:sz w:val="20"/>
                <w:szCs w:val="20"/>
              </w:rPr>
            </w:pPr>
          </w:p>
        </w:tc>
        <w:tc>
          <w:tcPr>
            <w:tcW w:w="50" w:type="pct"/>
            <w:vAlign w:val="center"/>
            <w:hideMark/>
          </w:tcPr>
          <w:p w14:paraId="5042A99F" w14:textId="77777777" w:rsidR="00000000" w:rsidRDefault="00A173A8">
            <w:pPr>
              <w:spacing w:after="100"/>
              <w:rPr>
                <w:rFonts w:eastAsia="Times New Roman"/>
                <w:sz w:val="20"/>
                <w:szCs w:val="20"/>
              </w:rPr>
            </w:pPr>
          </w:p>
        </w:tc>
        <w:tc>
          <w:tcPr>
            <w:tcW w:w="434" w:type="pct"/>
            <w:vAlign w:val="center"/>
            <w:hideMark/>
          </w:tcPr>
          <w:p w14:paraId="2872227D" w14:textId="77777777" w:rsidR="00000000" w:rsidRDefault="00A173A8">
            <w:pPr>
              <w:spacing w:after="100"/>
              <w:rPr>
                <w:rFonts w:eastAsia="Times New Roman"/>
                <w:sz w:val="20"/>
                <w:szCs w:val="20"/>
              </w:rPr>
            </w:pPr>
          </w:p>
        </w:tc>
        <w:tc>
          <w:tcPr>
            <w:tcW w:w="5" w:type="pct"/>
            <w:vAlign w:val="center"/>
            <w:hideMark/>
          </w:tcPr>
          <w:p w14:paraId="3DA1D433" w14:textId="77777777" w:rsidR="00000000" w:rsidRDefault="00A173A8">
            <w:pPr>
              <w:spacing w:after="100"/>
              <w:rPr>
                <w:rFonts w:eastAsia="Times New Roman"/>
                <w:sz w:val="20"/>
                <w:szCs w:val="20"/>
              </w:rPr>
            </w:pPr>
          </w:p>
        </w:tc>
        <w:tc>
          <w:tcPr>
            <w:tcW w:w="5" w:type="pct"/>
            <w:vAlign w:val="center"/>
            <w:hideMark/>
          </w:tcPr>
          <w:p w14:paraId="04568A9D" w14:textId="77777777" w:rsidR="00000000" w:rsidRDefault="00A173A8">
            <w:pPr>
              <w:spacing w:after="100"/>
              <w:rPr>
                <w:rFonts w:eastAsia="Times New Roman"/>
                <w:sz w:val="20"/>
                <w:szCs w:val="20"/>
              </w:rPr>
            </w:pPr>
          </w:p>
        </w:tc>
        <w:tc>
          <w:tcPr>
            <w:tcW w:w="26" w:type="pct"/>
            <w:vAlign w:val="center"/>
            <w:hideMark/>
          </w:tcPr>
          <w:p w14:paraId="07105399" w14:textId="77777777" w:rsidR="00000000" w:rsidRDefault="00A173A8">
            <w:pPr>
              <w:spacing w:after="100"/>
              <w:rPr>
                <w:rFonts w:eastAsia="Times New Roman"/>
                <w:sz w:val="20"/>
                <w:szCs w:val="20"/>
              </w:rPr>
            </w:pPr>
          </w:p>
        </w:tc>
        <w:tc>
          <w:tcPr>
            <w:tcW w:w="5" w:type="pct"/>
            <w:vAlign w:val="center"/>
            <w:hideMark/>
          </w:tcPr>
          <w:p w14:paraId="1863CEA7" w14:textId="77777777" w:rsidR="00000000" w:rsidRDefault="00A173A8">
            <w:pPr>
              <w:spacing w:after="100"/>
              <w:rPr>
                <w:rFonts w:eastAsia="Times New Roman"/>
                <w:sz w:val="20"/>
                <w:szCs w:val="20"/>
              </w:rPr>
            </w:pPr>
          </w:p>
        </w:tc>
        <w:tc>
          <w:tcPr>
            <w:tcW w:w="50" w:type="pct"/>
            <w:vAlign w:val="center"/>
            <w:hideMark/>
          </w:tcPr>
          <w:p w14:paraId="47FBADBD" w14:textId="77777777" w:rsidR="00000000" w:rsidRDefault="00A173A8">
            <w:pPr>
              <w:spacing w:after="100"/>
              <w:rPr>
                <w:rFonts w:eastAsia="Times New Roman"/>
                <w:sz w:val="20"/>
                <w:szCs w:val="20"/>
              </w:rPr>
            </w:pPr>
          </w:p>
        </w:tc>
        <w:tc>
          <w:tcPr>
            <w:tcW w:w="464" w:type="pct"/>
            <w:vAlign w:val="center"/>
            <w:hideMark/>
          </w:tcPr>
          <w:p w14:paraId="1D451A08" w14:textId="77777777" w:rsidR="00000000" w:rsidRDefault="00A173A8">
            <w:pPr>
              <w:spacing w:after="100"/>
              <w:rPr>
                <w:rFonts w:eastAsia="Times New Roman"/>
                <w:sz w:val="20"/>
                <w:szCs w:val="20"/>
              </w:rPr>
            </w:pPr>
          </w:p>
        </w:tc>
        <w:tc>
          <w:tcPr>
            <w:tcW w:w="5" w:type="pct"/>
            <w:vAlign w:val="center"/>
            <w:hideMark/>
          </w:tcPr>
          <w:p w14:paraId="7F046DBC" w14:textId="77777777" w:rsidR="00000000" w:rsidRDefault="00A173A8">
            <w:pPr>
              <w:spacing w:after="100"/>
              <w:rPr>
                <w:rFonts w:eastAsia="Times New Roman"/>
                <w:sz w:val="20"/>
                <w:szCs w:val="20"/>
              </w:rPr>
            </w:pPr>
          </w:p>
        </w:tc>
      </w:tr>
      <w:tr w:rsidR="00000000" w14:paraId="370A8C45" w14:textId="77777777">
        <w:tc>
          <w:tcPr>
            <w:tcW w:w="0" w:type="auto"/>
            <w:gridSpan w:val="3"/>
            <w:tcMar>
              <w:top w:w="0" w:type="dxa"/>
              <w:left w:w="20" w:type="dxa"/>
              <w:bottom w:w="0" w:type="dxa"/>
              <w:right w:w="20" w:type="dxa"/>
            </w:tcMar>
            <w:vAlign w:val="center"/>
            <w:hideMark/>
          </w:tcPr>
          <w:p w14:paraId="65002EB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0DAF2C"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4F0612C2" w14:textId="77777777" w:rsidR="00000000" w:rsidRDefault="00A173A8">
            <w:pPr>
              <w:spacing w:after="100"/>
              <w:jc w:val="center"/>
              <w:rPr>
                <w:rFonts w:eastAsia="Times New Roman"/>
              </w:rPr>
            </w:pPr>
            <w:r>
              <w:rPr>
                <w:rFonts w:eastAsia="Times New Roman"/>
                <w:b/>
                <w:bCs/>
                <w:color w:val="000000"/>
                <w:sz w:val="16"/>
                <w:szCs w:val="16"/>
              </w:rPr>
              <w:t>Six Months Ended June 30, 2022</w:t>
            </w:r>
          </w:p>
        </w:tc>
      </w:tr>
      <w:tr w:rsidR="00000000" w14:paraId="2B0E8586" w14:textId="77777777">
        <w:tc>
          <w:tcPr>
            <w:tcW w:w="0" w:type="auto"/>
            <w:gridSpan w:val="3"/>
            <w:tcBorders>
              <w:bottom w:val="single" w:sz="8" w:space="0" w:color="000000"/>
            </w:tcBorders>
            <w:tcMar>
              <w:top w:w="30" w:type="dxa"/>
              <w:left w:w="20" w:type="dxa"/>
              <w:bottom w:w="30" w:type="dxa"/>
              <w:right w:w="20" w:type="dxa"/>
            </w:tcMar>
            <w:vAlign w:val="bottom"/>
            <w:hideMark/>
          </w:tcPr>
          <w:p w14:paraId="2AB40D35"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586B716F"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CEB9E98"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662FFCF1"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5A078D94"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6ECF5369"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2BFCB86" w14:textId="77777777" w:rsidR="00000000" w:rsidRDefault="00A173A8">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32EF8835"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A491965" w14:textId="77777777" w:rsidR="00000000" w:rsidRDefault="00A173A8">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15FFDC0"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A968238" w14:textId="77777777" w:rsidR="00000000" w:rsidRDefault="00A173A8">
            <w:pPr>
              <w:spacing w:after="100"/>
              <w:jc w:val="center"/>
              <w:rPr>
                <w:rFonts w:eastAsia="Times New Roman"/>
              </w:rPr>
            </w:pPr>
            <w:r>
              <w:rPr>
                <w:rFonts w:eastAsia="Times New Roman"/>
                <w:b/>
                <w:bCs/>
                <w:color w:val="000000"/>
                <w:sz w:val="16"/>
                <w:szCs w:val="16"/>
              </w:rPr>
              <w:t>Consolidated Total</w:t>
            </w:r>
          </w:p>
        </w:tc>
      </w:tr>
      <w:tr w:rsidR="00000000" w14:paraId="65C16E6E" w14:textId="77777777">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7251DB9" w14:textId="77777777" w:rsidR="00000000" w:rsidRDefault="00A173A8">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15F23D51"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27109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B515C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1041DD"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BB905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9CC693"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7ACA00"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A4183F"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43163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B7C9B1" w14:textId="77777777" w:rsidR="00000000" w:rsidRDefault="00A173A8">
            <w:pPr>
              <w:spacing w:after="100"/>
              <w:rPr>
                <w:rFonts w:eastAsia="Times New Roman"/>
                <w:sz w:val="20"/>
                <w:szCs w:val="20"/>
              </w:rPr>
            </w:pPr>
          </w:p>
        </w:tc>
      </w:tr>
      <w:tr w:rsidR="00000000" w14:paraId="08798590" w14:textId="77777777">
        <w:tc>
          <w:tcPr>
            <w:tcW w:w="0" w:type="auto"/>
            <w:gridSpan w:val="3"/>
            <w:shd w:val="clear" w:color="auto" w:fill="FFFFFF"/>
            <w:tcMar>
              <w:top w:w="30" w:type="dxa"/>
              <w:left w:w="20" w:type="dxa"/>
              <w:bottom w:w="30" w:type="dxa"/>
              <w:right w:w="20" w:type="dxa"/>
            </w:tcMar>
            <w:vAlign w:val="center"/>
            <w:hideMark/>
          </w:tcPr>
          <w:p w14:paraId="48B657B7" w14:textId="77777777" w:rsidR="00000000" w:rsidRDefault="00A173A8">
            <w:pPr>
              <w:spacing w:after="100"/>
              <w:divId w:val="779034192"/>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164FD496"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0F9B2E73"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F51AED8" w14:textId="77777777" w:rsidR="00000000" w:rsidRDefault="00A173A8">
            <w:pPr>
              <w:spacing w:after="100"/>
              <w:jc w:val="right"/>
              <w:rPr>
                <w:rFonts w:eastAsia="Times New Roman"/>
              </w:rPr>
            </w:pPr>
            <w:r>
              <w:rPr>
                <w:rFonts w:eastAsia="Times New Roman"/>
                <w:b/>
                <w:bCs/>
                <w:color w:val="000000"/>
                <w:sz w:val="18"/>
                <w:szCs w:val="18"/>
              </w:rPr>
              <w:t>2,030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AD6FB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43BEB"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29B57D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6C850EFE" w14:textId="77777777" w:rsidR="00000000" w:rsidRDefault="00A173A8">
            <w:pPr>
              <w:spacing w:after="100"/>
              <w:jc w:val="right"/>
              <w:rPr>
                <w:rFonts w:eastAsia="Times New Roman"/>
              </w:rPr>
            </w:pPr>
            <w:r>
              <w:rPr>
                <w:rFonts w:eastAsia="Times New Roman"/>
                <w:b/>
                <w:bCs/>
                <w:color w:val="000000"/>
                <w:sz w:val="18"/>
                <w:szCs w:val="18"/>
              </w:rPr>
              <w:t>151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79D223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360F8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EFE00A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116B445C" w14:textId="77777777" w:rsidR="00000000" w:rsidRDefault="00A173A8">
            <w:pPr>
              <w:spacing w:after="100"/>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5B2A3A6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FC8CC"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E974793"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4CA1A9D8"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0FD9C5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3530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9760266"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F46D360" w14:textId="77777777" w:rsidR="00000000" w:rsidRDefault="00A173A8">
            <w:pPr>
              <w:spacing w:after="100"/>
              <w:jc w:val="right"/>
              <w:rPr>
                <w:rFonts w:eastAsia="Times New Roman"/>
              </w:rPr>
            </w:pPr>
            <w:r>
              <w:rPr>
                <w:rFonts w:eastAsia="Times New Roman"/>
                <w:b/>
                <w:bCs/>
                <w:color w:val="000000"/>
                <w:sz w:val="18"/>
                <w:szCs w:val="18"/>
              </w:rPr>
              <w:t>2,234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27FF4A" w14:textId="77777777" w:rsidR="00000000" w:rsidRDefault="00A173A8">
            <w:pPr>
              <w:spacing w:after="100"/>
              <w:jc w:val="right"/>
              <w:rPr>
                <w:rFonts w:eastAsia="Times New Roman"/>
              </w:rPr>
            </w:pPr>
          </w:p>
        </w:tc>
      </w:tr>
      <w:tr w:rsidR="00000000" w14:paraId="11D148AB" w14:textId="77777777">
        <w:tc>
          <w:tcPr>
            <w:tcW w:w="0" w:type="auto"/>
            <w:gridSpan w:val="3"/>
            <w:shd w:val="clear" w:color="auto" w:fill="CCEEFF"/>
            <w:tcMar>
              <w:top w:w="30" w:type="dxa"/>
              <w:left w:w="245" w:type="dxa"/>
              <w:bottom w:w="30" w:type="dxa"/>
              <w:right w:w="20" w:type="dxa"/>
            </w:tcMar>
            <w:vAlign w:val="center"/>
            <w:hideMark/>
          </w:tcPr>
          <w:p w14:paraId="3905AA52" w14:textId="77777777" w:rsidR="00000000" w:rsidRDefault="00A173A8">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2963F0CB"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A196FE3"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3CE656F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A42E1B"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489A7DD" w14:textId="77777777" w:rsidR="00000000" w:rsidRDefault="00A173A8">
            <w:pPr>
              <w:spacing w:after="100"/>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FF98C0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E7C22"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66CDAD3" w14:textId="77777777" w:rsidR="00000000" w:rsidRDefault="00A173A8">
            <w:pPr>
              <w:spacing w:after="100"/>
              <w:jc w:val="right"/>
              <w:rPr>
                <w:rFonts w:eastAsia="Times New Roman"/>
              </w:rPr>
            </w:pPr>
            <w:r>
              <w:rPr>
                <w:rFonts w:eastAsia="Times New Roman"/>
                <w:b/>
                <w:bCs/>
                <w:color w:val="000000"/>
                <w:sz w:val="18"/>
                <w:szCs w:val="18"/>
              </w:rPr>
              <w:t>128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5913AC8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CE11F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6939ADB" w14:textId="77777777" w:rsidR="00000000" w:rsidRDefault="00A173A8">
            <w:pPr>
              <w:spacing w:after="100"/>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14:paraId="37A8758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1E88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8326220" w14:textId="77777777" w:rsidR="00000000" w:rsidRDefault="00A173A8">
            <w:pPr>
              <w:spacing w:after="100"/>
              <w:jc w:val="right"/>
              <w:rPr>
                <w:rFonts w:eastAsia="Times New Roman"/>
              </w:rPr>
            </w:pPr>
            <w:r>
              <w:rPr>
                <w:rFonts w:eastAsia="Times New Roman"/>
                <w:b/>
                <w:bCs/>
                <w:color w:val="000000"/>
                <w:sz w:val="18"/>
                <w:szCs w:val="18"/>
              </w:rPr>
              <w:t>174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FEB52B8" w14:textId="77777777" w:rsidR="00000000" w:rsidRDefault="00A173A8">
            <w:pPr>
              <w:spacing w:after="100"/>
              <w:jc w:val="right"/>
              <w:rPr>
                <w:rFonts w:eastAsia="Times New Roman"/>
              </w:rPr>
            </w:pPr>
          </w:p>
        </w:tc>
      </w:tr>
      <w:tr w:rsidR="00000000" w14:paraId="0F5E5F3C" w14:textId="77777777">
        <w:tc>
          <w:tcPr>
            <w:tcW w:w="0" w:type="auto"/>
            <w:gridSpan w:val="3"/>
            <w:shd w:val="clear" w:color="auto" w:fill="FFFFFF"/>
            <w:tcMar>
              <w:top w:w="30" w:type="dxa"/>
              <w:left w:w="245" w:type="dxa"/>
              <w:bottom w:w="30" w:type="dxa"/>
              <w:right w:w="20" w:type="dxa"/>
            </w:tcMar>
            <w:vAlign w:val="center"/>
            <w:hideMark/>
          </w:tcPr>
          <w:p w14:paraId="24DD8A36" w14:textId="77777777" w:rsidR="00000000" w:rsidRDefault="00A173A8">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620BF509"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FC435AE" w14:textId="77777777" w:rsidR="00000000" w:rsidRDefault="00A173A8">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254C452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04D2A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6119447" w14:textId="77777777" w:rsidR="00000000" w:rsidRDefault="00A173A8">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72325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24FE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EC04D5F" w14:textId="77777777" w:rsidR="00000000" w:rsidRDefault="00A173A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62652A6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1872A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6AF45F11"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3BEFF18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12C17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D947C6D" w14:textId="77777777" w:rsidR="00000000" w:rsidRDefault="00A173A8">
            <w:pPr>
              <w:spacing w:after="100"/>
              <w:jc w:val="right"/>
              <w:rPr>
                <w:rFonts w:eastAsia="Times New Roman"/>
              </w:rPr>
            </w:pPr>
            <w:r>
              <w:rPr>
                <w:rFonts w:eastAsia="Times New Roman"/>
                <w:b/>
                <w:bCs/>
                <w:color w:val="000000"/>
                <w:sz w:val="18"/>
                <w:szCs w:val="18"/>
              </w:rPr>
              <w:t>232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47609B0" w14:textId="77777777" w:rsidR="00000000" w:rsidRDefault="00A173A8">
            <w:pPr>
              <w:spacing w:after="100"/>
              <w:jc w:val="right"/>
              <w:rPr>
                <w:rFonts w:eastAsia="Times New Roman"/>
              </w:rPr>
            </w:pPr>
          </w:p>
        </w:tc>
      </w:tr>
      <w:tr w:rsidR="00000000" w14:paraId="3B3914C6" w14:textId="77777777">
        <w:tc>
          <w:tcPr>
            <w:tcW w:w="0" w:type="auto"/>
            <w:gridSpan w:val="3"/>
            <w:shd w:val="clear" w:color="auto" w:fill="CCEEFF"/>
            <w:tcMar>
              <w:top w:w="30" w:type="dxa"/>
              <w:left w:w="20" w:type="dxa"/>
              <w:bottom w:w="30" w:type="dxa"/>
              <w:right w:w="20" w:type="dxa"/>
            </w:tcMar>
            <w:vAlign w:val="center"/>
            <w:hideMark/>
          </w:tcPr>
          <w:p w14:paraId="3278406A" w14:textId="77777777" w:rsidR="00000000" w:rsidRDefault="00A173A8">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4A4BDE27"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B96481F" w14:textId="77777777" w:rsidR="00000000" w:rsidRDefault="00A173A8">
            <w:pPr>
              <w:spacing w:after="100"/>
              <w:jc w:val="right"/>
              <w:rPr>
                <w:rFonts w:eastAsia="Times New Roman"/>
              </w:rPr>
            </w:pPr>
            <w:r>
              <w:rPr>
                <w:rFonts w:eastAsia="Times New Roman"/>
                <w:b/>
                <w:bCs/>
                <w:color w:val="000000"/>
                <w:sz w:val="18"/>
                <w:szCs w:val="18"/>
              </w:rPr>
              <w:t>2,223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F59B1D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76FA0"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5218A6" w14:textId="77777777" w:rsidR="00000000" w:rsidRDefault="00A173A8">
            <w:pPr>
              <w:spacing w:after="100"/>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7889C1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D97EC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8E0FF92" w14:textId="77777777" w:rsidR="00000000" w:rsidRDefault="00A173A8">
            <w:pPr>
              <w:spacing w:after="100"/>
              <w:jc w:val="right"/>
              <w:rPr>
                <w:rFonts w:eastAsia="Times New Roman"/>
              </w:rPr>
            </w:pPr>
            <w:r>
              <w:rPr>
                <w:rFonts w:eastAsia="Times New Roman"/>
                <w:b/>
                <w:bCs/>
                <w:color w:val="000000"/>
                <w:sz w:val="18"/>
                <w:szCs w:val="18"/>
              </w:rPr>
              <w:t>181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AB939E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EF907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786D405" w14:textId="77777777" w:rsidR="00000000" w:rsidRDefault="00A173A8">
            <w:pPr>
              <w:spacing w:after="100"/>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8077A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7BA94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C19A737" w14:textId="77777777" w:rsidR="00000000" w:rsidRDefault="00A173A8">
            <w:pPr>
              <w:spacing w:after="100"/>
              <w:jc w:val="right"/>
              <w:rPr>
                <w:rFonts w:eastAsia="Times New Roman"/>
              </w:rPr>
            </w:pPr>
            <w:r>
              <w:rPr>
                <w:rFonts w:eastAsia="Times New Roman"/>
                <w:b/>
                <w:bCs/>
                <w:color w:val="000000"/>
                <w:sz w:val="18"/>
                <w:szCs w:val="18"/>
              </w:rPr>
              <w:t>2,640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6F30B914" w14:textId="77777777" w:rsidR="00000000" w:rsidRDefault="00A173A8">
            <w:pPr>
              <w:spacing w:after="100"/>
              <w:jc w:val="right"/>
              <w:rPr>
                <w:rFonts w:eastAsia="Times New Roman"/>
              </w:rPr>
            </w:pPr>
          </w:p>
        </w:tc>
      </w:tr>
      <w:tr w:rsidR="00000000" w14:paraId="0A7013CE" w14:textId="77777777">
        <w:tc>
          <w:tcPr>
            <w:tcW w:w="0" w:type="auto"/>
            <w:gridSpan w:val="3"/>
            <w:shd w:val="clear" w:color="auto" w:fill="FFFFFF"/>
            <w:tcMar>
              <w:top w:w="30" w:type="dxa"/>
              <w:left w:w="20" w:type="dxa"/>
              <w:bottom w:w="30" w:type="dxa"/>
              <w:right w:w="20" w:type="dxa"/>
            </w:tcMar>
            <w:vAlign w:val="center"/>
            <w:hideMark/>
          </w:tcPr>
          <w:p w14:paraId="17DEC7F9" w14:textId="77777777" w:rsidR="00000000" w:rsidRDefault="00A173A8">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14:paraId="58AA5F57"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1B187C2D" w14:textId="77777777" w:rsidR="00000000" w:rsidRDefault="00A173A8">
            <w:pPr>
              <w:spacing w:after="100"/>
              <w:jc w:val="right"/>
              <w:rPr>
                <w:rFonts w:eastAsia="Times New Roman"/>
              </w:rPr>
            </w:pPr>
            <w:r>
              <w:rPr>
                <w:rFonts w:eastAsia="Times New Roman"/>
                <w:b/>
                <w:bCs/>
                <w:color w:val="000000"/>
                <w:sz w:val="18"/>
                <w:szCs w:val="18"/>
              </w:rPr>
              <w:t>645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15608F9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711AA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21926A0" w14:textId="77777777" w:rsidR="00000000" w:rsidRDefault="00A173A8">
            <w:pPr>
              <w:spacing w:after="100"/>
              <w:jc w:val="right"/>
              <w:rPr>
                <w:rFonts w:eastAsia="Times New Roman"/>
              </w:rPr>
            </w:pPr>
            <w:r>
              <w:rPr>
                <w:rFonts w:eastAsia="Times New Roman"/>
                <w:b/>
                <w:bCs/>
                <w:color w:val="000000"/>
                <w:sz w:val="18"/>
                <w:szCs w:val="18"/>
              </w:rPr>
              <w:t>(35)</w:t>
            </w:r>
          </w:p>
        </w:tc>
        <w:tc>
          <w:tcPr>
            <w:tcW w:w="0" w:type="auto"/>
            <w:shd w:val="clear" w:color="auto" w:fill="FFFFFF"/>
            <w:tcMar>
              <w:top w:w="30" w:type="dxa"/>
              <w:left w:w="0" w:type="dxa"/>
              <w:bottom w:w="30" w:type="dxa"/>
              <w:right w:w="20" w:type="dxa"/>
            </w:tcMar>
            <w:vAlign w:val="center"/>
            <w:hideMark/>
          </w:tcPr>
          <w:p w14:paraId="49EBC8C7"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24F7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330360B" w14:textId="77777777" w:rsidR="00000000" w:rsidRDefault="00A173A8">
            <w:pPr>
              <w:spacing w:after="100"/>
              <w:jc w:val="right"/>
              <w:rPr>
                <w:rFonts w:eastAsia="Times New Roman"/>
              </w:rPr>
            </w:pPr>
            <w:r>
              <w:rPr>
                <w:rFonts w:eastAsia="Times New Roman"/>
                <w:b/>
                <w:bCs/>
                <w:color w:val="000000"/>
                <w:sz w:val="18"/>
                <w:szCs w:val="18"/>
              </w:rPr>
              <w:t>368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B96105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E03B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9E08394" w14:textId="77777777" w:rsidR="00000000" w:rsidRDefault="00A173A8">
            <w:pPr>
              <w:spacing w:after="100"/>
              <w:jc w:val="right"/>
              <w:rPr>
                <w:rFonts w:eastAsia="Times New Roman"/>
              </w:rPr>
            </w:pPr>
            <w:r>
              <w:rPr>
                <w:rFonts w:eastAsia="Times New Roman"/>
                <w:b/>
                <w:bCs/>
                <w:color w:val="000000"/>
                <w:sz w:val="18"/>
                <w:szCs w:val="18"/>
              </w:rPr>
              <w:t>(127)</w:t>
            </w:r>
          </w:p>
        </w:tc>
        <w:tc>
          <w:tcPr>
            <w:tcW w:w="0" w:type="auto"/>
            <w:shd w:val="clear" w:color="auto" w:fill="FFFFFF"/>
            <w:tcMar>
              <w:top w:w="30" w:type="dxa"/>
              <w:left w:w="0" w:type="dxa"/>
              <w:bottom w:w="30" w:type="dxa"/>
              <w:right w:w="20" w:type="dxa"/>
            </w:tcMar>
            <w:vAlign w:val="center"/>
            <w:hideMark/>
          </w:tcPr>
          <w:p w14:paraId="25249C4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8C55F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ACBB0F7" w14:textId="77777777" w:rsidR="00000000" w:rsidRDefault="00A173A8">
            <w:pPr>
              <w:spacing w:after="100"/>
              <w:jc w:val="right"/>
              <w:rPr>
                <w:rFonts w:eastAsia="Times New Roman"/>
              </w:rPr>
            </w:pPr>
            <w:r>
              <w:rPr>
                <w:rFonts w:eastAsia="Times New Roman"/>
                <w:b/>
                <w:bCs/>
                <w:color w:val="000000"/>
                <w:sz w:val="18"/>
                <w:szCs w:val="18"/>
              </w:rPr>
              <w:t>851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4350B658" w14:textId="77777777" w:rsidR="00000000" w:rsidRDefault="00A173A8">
            <w:pPr>
              <w:spacing w:after="100"/>
              <w:jc w:val="right"/>
              <w:rPr>
                <w:rFonts w:eastAsia="Times New Roman"/>
              </w:rPr>
            </w:pPr>
          </w:p>
        </w:tc>
      </w:tr>
      <w:tr w:rsidR="00000000" w14:paraId="2B829A4A" w14:textId="77777777">
        <w:tc>
          <w:tcPr>
            <w:tcW w:w="0" w:type="auto"/>
            <w:gridSpan w:val="3"/>
            <w:shd w:val="clear" w:color="auto" w:fill="CCEEFF"/>
            <w:tcMar>
              <w:top w:w="30" w:type="dxa"/>
              <w:left w:w="20" w:type="dxa"/>
              <w:bottom w:w="30" w:type="dxa"/>
              <w:right w:w="20" w:type="dxa"/>
            </w:tcMar>
            <w:vAlign w:val="center"/>
            <w:hideMark/>
          </w:tcPr>
          <w:p w14:paraId="08B48468" w14:textId="77777777" w:rsidR="00000000" w:rsidRDefault="00A173A8">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14:paraId="10483099"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3C7D1481"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588782D" w14:textId="77777777" w:rsidR="00000000" w:rsidRDefault="00A173A8">
            <w:pPr>
              <w:spacing w:after="100"/>
              <w:jc w:val="right"/>
              <w:rPr>
                <w:rFonts w:eastAsia="Times New Roman"/>
              </w:rPr>
            </w:pPr>
            <w:r>
              <w:rPr>
                <w:rFonts w:eastAsia="Times New Roman"/>
                <w:b/>
                <w:bCs/>
                <w:color w:val="000000"/>
                <w:sz w:val="18"/>
                <w:szCs w:val="18"/>
              </w:rPr>
              <w:t>2,868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F770B9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5B239"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692F812"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F438955" w14:textId="77777777" w:rsidR="00000000" w:rsidRDefault="00A173A8">
            <w:pPr>
              <w:spacing w:after="100"/>
              <w:jc w:val="right"/>
              <w:rPr>
                <w:rFonts w:eastAsia="Times New Roman"/>
              </w:rPr>
            </w:pPr>
            <w:r>
              <w:rPr>
                <w:rFonts w:eastAsia="Times New Roman"/>
                <w:b/>
                <w:bCs/>
                <w:color w:val="000000"/>
                <w:sz w:val="18"/>
                <w:szCs w:val="18"/>
              </w:rPr>
              <w:t>201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CF83D9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5FE78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C41204C"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980D4AE" w14:textId="77777777" w:rsidR="00000000" w:rsidRDefault="00A173A8">
            <w:pPr>
              <w:spacing w:after="100"/>
              <w:jc w:val="right"/>
              <w:rPr>
                <w:rFonts w:eastAsia="Times New Roman"/>
              </w:rPr>
            </w:pPr>
            <w:r>
              <w:rPr>
                <w:rFonts w:eastAsia="Times New Roman"/>
                <w:b/>
                <w:bCs/>
                <w:color w:val="000000"/>
                <w:sz w:val="18"/>
                <w:szCs w:val="18"/>
              </w:rPr>
              <w:t>549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E6C059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1EEDF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2A9BBF20"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3FFF06A" w14:textId="77777777" w:rsidR="00000000" w:rsidRDefault="00A173A8">
            <w:pPr>
              <w:spacing w:after="100"/>
              <w:jc w:val="right"/>
              <w:rPr>
                <w:rFonts w:eastAsia="Times New Roman"/>
              </w:rPr>
            </w:pPr>
            <w:r>
              <w:rPr>
                <w:rFonts w:eastAsia="Times New Roman"/>
                <w:b/>
                <w:bCs/>
                <w:color w:val="000000"/>
                <w:sz w:val="18"/>
                <w:szCs w:val="18"/>
              </w:rPr>
              <w:t>(127)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CB6D86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94668"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C2ECCD6"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3A750B67" w14:textId="77777777" w:rsidR="00000000" w:rsidRDefault="00A173A8">
            <w:pPr>
              <w:spacing w:after="100"/>
              <w:jc w:val="right"/>
              <w:rPr>
                <w:rFonts w:eastAsia="Times New Roman"/>
              </w:rPr>
            </w:pPr>
            <w:r>
              <w:rPr>
                <w:rFonts w:eastAsia="Times New Roman"/>
                <w:b/>
                <w:bCs/>
                <w:color w:val="000000"/>
                <w:sz w:val="18"/>
                <w:szCs w:val="18"/>
              </w:rPr>
              <w:t>3,491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7434A35" w14:textId="77777777" w:rsidR="00000000" w:rsidRDefault="00A173A8">
            <w:pPr>
              <w:spacing w:after="100"/>
              <w:jc w:val="right"/>
              <w:rPr>
                <w:rFonts w:eastAsia="Times New Roman"/>
              </w:rPr>
            </w:pPr>
          </w:p>
        </w:tc>
      </w:tr>
    </w:tbl>
    <w:p w14:paraId="4C65C3DA" w14:textId="77777777" w:rsidR="00000000" w:rsidRDefault="00A173A8">
      <w:pPr>
        <w:jc w:val="both"/>
        <w:divId w:val="4236923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14:paraId="65E0E47F" w14:textId="77777777">
        <w:trPr>
          <w:divId w:val="423692336"/>
        </w:trPr>
        <w:tc>
          <w:tcPr>
            <w:tcW w:w="50" w:type="pct"/>
            <w:vAlign w:val="center"/>
            <w:hideMark/>
          </w:tcPr>
          <w:p w14:paraId="77175A28" w14:textId="77777777" w:rsidR="00000000" w:rsidRDefault="00A173A8">
            <w:pPr>
              <w:jc w:val="both"/>
              <w:rPr>
                <w:rFonts w:eastAsia="Times New Roman"/>
              </w:rPr>
            </w:pPr>
          </w:p>
        </w:tc>
        <w:tc>
          <w:tcPr>
            <w:tcW w:w="2284" w:type="pct"/>
            <w:vAlign w:val="center"/>
            <w:hideMark/>
          </w:tcPr>
          <w:p w14:paraId="55EABA2C" w14:textId="77777777" w:rsidR="00000000" w:rsidRDefault="00A173A8">
            <w:pPr>
              <w:spacing w:after="100"/>
              <w:rPr>
                <w:rFonts w:eastAsia="Times New Roman"/>
                <w:sz w:val="20"/>
                <w:szCs w:val="20"/>
              </w:rPr>
            </w:pPr>
          </w:p>
        </w:tc>
        <w:tc>
          <w:tcPr>
            <w:tcW w:w="5" w:type="pct"/>
            <w:vAlign w:val="center"/>
            <w:hideMark/>
          </w:tcPr>
          <w:p w14:paraId="28F51DC0" w14:textId="77777777" w:rsidR="00000000" w:rsidRDefault="00A173A8">
            <w:pPr>
              <w:spacing w:after="100"/>
              <w:rPr>
                <w:rFonts w:eastAsia="Times New Roman"/>
                <w:sz w:val="20"/>
                <w:szCs w:val="20"/>
              </w:rPr>
            </w:pPr>
          </w:p>
        </w:tc>
        <w:tc>
          <w:tcPr>
            <w:tcW w:w="5" w:type="pct"/>
            <w:vAlign w:val="center"/>
            <w:hideMark/>
          </w:tcPr>
          <w:p w14:paraId="5E831A93" w14:textId="77777777" w:rsidR="00000000" w:rsidRDefault="00A173A8">
            <w:pPr>
              <w:spacing w:after="100"/>
              <w:rPr>
                <w:rFonts w:eastAsia="Times New Roman"/>
                <w:sz w:val="20"/>
                <w:szCs w:val="20"/>
              </w:rPr>
            </w:pPr>
          </w:p>
        </w:tc>
        <w:tc>
          <w:tcPr>
            <w:tcW w:w="26" w:type="pct"/>
            <w:vAlign w:val="center"/>
            <w:hideMark/>
          </w:tcPr>
          <w:p w14:paraId="669F72B6" w14:textId="77777777" w:rsidR="00000000" w:rsidRDefault="00A173A8">
            <w:pPr>
              <w:spacing w:after="100"/>
              <w:rPr>
                <w:rFonts w:eastAsia="Times New Roman"/>
                <w:sz w:val="20"/>
                <w:szCs w:val="20"/>
              </w:rPr>
            </w:pPr>
          </w:p>
        </w:tc>
        <w:tc>
          <w:tcPr>
            <w:tcW w:w="5" w:type="pct"/>
            <w:vAlign w:val="center"/>
            <w:hideMark/>
          </w:tcPr>
          <w:p w14:paraId="0E008CE2" w14:textId="77777777" w:rsidR="00000000" w:rsidRDefault="00A173A8">
            <w:pPr>
              <w:spacing w:after="100"/>
              <w:rPr>
                <w:rFonts w:eastAsia="Times New Roman"/>
                <w:sz w:val="20"/>
                <w:szCs w:val="20"/>
              </w:rPr>
            </w:pPr>
          </w:p>
        </w:tc>
        <w:tc>
          <w:tcPr>
            <w:tcW w:w="50" w:type="pct"/>
            <w:vAlign w:val="center"/>
            <w:hideMark/>
          </w:tcPr>
          <w:p w14:paraId="462968A2" w14:textId="77777777" w:rsidR="00000000" w:rsidRDefault="00A173A8">
            <w:pPr>
              <w:spacing w:after="100"/>
              <w:rPr>
                <w:rFonts w:eastAsia="Times New Roman"/>
                <w:sz w:val="20"/>
                <w:szCs w:val="20"/>
              </w:rPr>
            </w:pPr>
          </w:p>
        </w:tc>
        <w:tc>
          <w:tcPr>
            <w:tcW w:w="434" w:type="pct"/>
            <w:vAlign w:val="center"/>
            <w:hideMark/>
          </w:tcPr>
          <w:p w14:paraId="3D9FE0F9" w14:textId="77777777" w:rsidR="00000000" w:rsidRDefault="00A173A8">
            <w:pPr>
              <w:spacing w:after="100"/>
              <w:rPr>
                <w:rFonts w:eastAsia="Times New Roman"/>
                <w:sz w:val="20"/>
                <w:szCs w:val="20"/>
              </w:rPr>
            </w:pPr>
          </w:p>
        </w:tc>
        <w:tc>
          <w:tcPr>
            <w:tcW w:w="5" w:type="pct"/>
            <w:vAlign w:val="center"/>
            <w:hideMark/>
          </w:tcPr>
          <w:p w14:paraId="39868D4B" w14:textId="77777777" w:rsidR="00000000" w:rsidRDefault="00A173A8">
            <w:pPr>
              <w:spacing w:after="100"/>
              <w:rPr>
                <w:rFonts w:eastAsia="Times New Roman"/>
                <w:sz w:val="20"/>
                <w:szCs w:val="20"/>
              </w:rPr>
            </w:pPr>
          </w:p>
        </w:tc>
        <w:tc>
          <w:tcPr>
            <w:tcW w:w="5" w:type="pct"/>
            <w:vAlign w:val="center"/>
            <w:hideMark/>
          </w:tcPr>
          <w:p w14:paraId="79E7521B" w14:textId="77777777" w:rsidR="00000000" w:rsidRDefault="00A173A8">
            <w:pPr>
              <w:spacing w:after="100"/>
              <w:rPr>
                <w:rFonts w:eastAsia="Times New Roman"/>
                <w:sz w:val="20"/>
                <w:szCs w:val="20"/>
              </w:rPr>
            </w:pPr>
          </w:p>
        </w:tc>
        <w:tc>
          <w:tcPr>
            <w:tcW w:w="26" w:type="pct"/>
            <w:vAlign w:val="center"/>
            <w:hideMark/>
          </w:tcPr>
          <w:p w14:paraId="3A45CA2C" w14:textId="77777777" w:rsidR="00000000" w:rsidRDefault="00A173A8">
            <w:pPr>
              <w:spacing w:after="100"/>
              <w:rPr>
                <w:rFonts w:eastAsia="Times New Roman"/>
                <w:sz w:val="20"/>
                <w:szCs w:val="20"/>
              </w:rPr>
            </w:pPr>
          </w:p>
        </w:tc>
        <w:tc>
          <w:tcPr>
            <w:tcW w:w="5" w:type="pct"/>
            <w:vAlign w:val="center"/>
            <w:hideMark/>
          </w:tcPr>
          <w:p w14:paraId="2269D746" w14:textId="77777777" w:rsidR="00000000" w:rsidRDefault="00A173A8">
            <w:pPr>
              <w:spacing w:after="100"/>
              <w:rPr>
                <w:rFonts w:eastAsia="Times New Roman"/>
                <w:sz w:val="20"/>
                <w:szCs w:val="20"/>
              </w:rPr>
            </w:pPr>
          </w:p>
        </w:tc>
        <w:tc>
          <w:tcPr>
            <w:tcW w:w="50" w:type="pct"/>
            <w:vAlign w:val="center"/>
            <w:hideMark/>
          </w:tcPr>
          <w:p w14:paraId="51745160" w14:textId="77777777" w:rsidR="00000000" w:rsidRDefault="00A173A8">
            <w:pPr>
              <w:spacing w:after="100"/>
              <w:rPr>
                <w:rFonts w:eastAsia="Times New Roman"/>
                <w:sz w:val="20"/>
                <w:szCs w:val="20"/>
              </w:rPr>
            </w:pPr>
          </w:p>
        </w:tc>
        <w:tc>
          <w:tcPr>
            <w:tcW w:w="434" w:type="pct"/>
            <w:vAlign w:val="center"/>
            <w:hideMark/>
          </w:tcPr>
          <w:p w14:paraId="7662AB82" w14:textId="77777777" w:rsidR="00000000" w:rsidRDefault="00A173A8">
            <w:pPr>
              <w:spacing w:after="100"/>
              <w:rPr>
                <w:rFonts w:eastAsia="Times New Roman"/>
                <w:sz w:val="20"/>
                <w:szCs w:val="20"/>
              </w:rPr>
            </w:pPr>
          </w:p>
        </w:tc>
        <w:tc>
          <w:tcPr>
            <w:tcW w:w="5" w:type="pct"/>
            <w:vAlign w:val="center"/>
            <w:hideMark/>
          </w:tcPr>
          <w:p w14:paraId="425AA00C" w14:textId="77777777" w:rsidR="00000000" w:rsidRDefault="00A173A8">
            <w:pPr>
              <w:spacing w:after="100"/>
              <w:rPr>
                <w:rFonts w:eastAsia="Times New Roman"/>
                <w:sz w:val="20"/>
                <w:szCs w:val="20"/>
              </w:rPr>
            </w:pPr>
          </w:p>
        </w:tc>
        <w:tc>
          <w:tcPr>
            <w:tcW w:w="5" w:type="pct"/>
            <w:vAlign w:val="center"/>
            <w:hideMark/>
          </w:tcPr>
          <w:p w14:paraId="29BAD616" w14:textId="77777777" w:rsidR="00000000" w:rsidRDefault="00A173A8">
            <w:pPr>
              <w:spacing w:after="100"/>
              <w:rPr>
                <w:rFonts w:eastAsia="Times New Roman"/>
                <w:sz w:val="20"/>
                <w:szCs w:val="20"/>
              </w:rPr>
            </w:pPr>
          </w:p>
        </w:tc>
        <w:tc>
          <w:tcPr>
            <w:tcW w:w="26" w:type="pct"/>
            <w:vAlign w:val="center"/>
            <w:hideMark/>
          </w:tcPr>
          <w:p w14:paraId="7FB3C8C7" w14:textId="77777777" w:rsidR="00000000" w:rsidRDefault="00A173A8">
            <w:pPr>
              <w:spacing w:after="100"/>
              <w:rPr>
                <w:rFonts w:eastAsia="Times New Roman"/>
                <w:sz w:val="20"/>
                <w:szCs w:val="20"/>
              </w:rPr>
            </w:pPr>
          </w:p>
        </w:tc>
        <w:tc>
          <w:tcPr>
            <w:tcW w:w="5" w:type="pct"/>
            <w:vAlign w:val="center"/>
            <w:hideMark/>
          </w:tcPr>
          <w:p w14:paraId="2F2A82BD" w14:textId="77777777" w:rsidR="00000000" w:rsidRDefault="00A173A8">
            <w:pPr>
              <w:spacing w:after="100"/>
              <w:rPr>
                <w:rFonts w:eastAsia="Times New Roman"/>
                <w:sz w:val="20"/>
                <w:szCs w:val="20"/>
              </w:rPr>
            </w:pPr>
          </w:p>
        </w:tc>
        <w:tc>
          <w:tcPr>
            <w:tcW w:w="50" w:type="pct"/>
            <w:vAlign w:val="center"/>
            <w:hideMark/>
          </w:tcPr>
          <w:p w14:paraId="0CE65DA9" w14:textId="77777777" w:rsidR="00000000" w:rsidRDefault="00A173A8">
            <w:pPr>
              <w:spacing w:after="100"/>
              <w:rPr>
                <w:rFonts w:eastAsia="Times New Roman"/>
                <w:sz w:val="20"/>
                <w:szCs w:val="20"/>
              </w:rPr>
            </w:pPr>
          </w:p>
        </w:tc>
        <w:tc>
          <w:tcPr>
            <w:tcW w:w="434" w:type="pct"/>
            <w:vAlign w:val="center"/>
            <w:hideMark/>
          </w:tcPr>
          <w:p w14:paraId="7CA3DD6E" w14:textId="77777777" w:rsidR="00000000" w:rsidRDefault="00A173A8">
            <w:pPr>
              <w:spacing w:after="100"/>
              <w:rPr>
                <w:rFonts w:eastAsia="Times New Roman"/>
                <w:sz w:val="20"/>
                <w:szCs w:val="20"/>
              </w:rPr>
            </w:pPr>
          </w:p>
        </w:tc>
        <w:tc>
          <w:tcPr>
            <w:tcW w:w="5" w:type="pct"/>
            <w:vAlign w:val="center"/>
            <w:hideMark/>
          </w:tcPr>
          <w:p w14:paraId="3572B847" w14:textId="77777777" w:rsidR="00000000" w:rsidRDefault="00A173A8">
            <w:pPr>
              <w:spacing w:after="100"/>
              <w:rPr>
                <w:rFonts w:eastAsia="Times New Roman"/>
                <w:sz w:val="20"/>
                <w:szCs w:val="20"/>
              </w:rPr>
            </w:pPr>
          </w:p>
        </w:tc>
        <w:tc>
          <w:tcPr>
            <w:tcW w:w="5" w:type="pct"/>
            <w:vAlign w:val="center"/>
            <w:hideMark/>
          </w:tcPr>
          <w:p w14:paraId="0D144441" w14:textId="77777777" w:rsidR="00000000" w:rsidRDefault="00A173A8">
            <w:pPr>
              <w:spacing w:after="100"/>
              <w:rPr>
                <w:rFonts w:eastAsia="Times New Roman"/>
                <w:sz w:val="20"/>
                <w:szCs w:val="20"/>
              </w:rPr>
            </w:pPr>
          </w:p>
        </w:tc>
        <w:tc>
          <w:tcPr>
            <w:tcW w:w="26" w:type="pct"/>
            <w:vAlign w:val="center"/>
            <w:hideMark/>
          </w:tcPr>
          <w:p w14:paraId="5D8B1787" w14:textId="77777777" w:rsidR="00000000" w:rsidRDefault="00A173A8">
            <w:pPr>
              <w:spacing w:after="100"/>
              <w:rPr>
                <w:rFonts w:eastAsia="Times New Roman"/>
                <w:sz w:val="20"/>
                <w:szCs w:val="20"/>
              </w:rPr>
            </w:pPr>
          </w:p>
        </w:tc>
        <w:tc>
          <w:tcPr>
            <w:tcW w:w="5" w:type="pct"/>
            <w:vAlign w:val="center"/>
            <w:hideMark/>
          </w:tcPr>
          <w:p w14:paraId="3C126C70" w14:textId="77777777" w:rsidR="00000000" w:rsidRDefault="00A173A8">
            <w:pPr>
              <w:spacing w:after="100"/>
              <w:rPr>
                <w:rFonts w:eastAsia="Times New Roman"/>
                <w:sz w:val="20"/>
                <w:szCs w:val="20"/>
              </w:rPr>
            </w:pPr>
          </w:p>
        </w:tc>
        <w:tc>
          <w:tcPr>
            <w:tcW w:w="50" w:type="pct"/>
            <w:vAlign w:val="center"/>
            <w:hideMark/>
          </w:tcPr>
          <w:p w14:paraId="29D6C8B9" w14:textId="77777777" w:rsidR="00000000" w:rsidRDefault="00A173A8">
            <w:pPr>
              <w:spacing w:after="100"/>
              <w:rPr>
                <w:rFonts w:eastAsia="Times New Roman"/>
                <w:sz w:val="20"/>
                <w:szCs w:val="20"/>
              </w:rPr>
            </w:pPr>
          </w:p>
        </w:tc>
        <w:tc>
          <w:tcPr>
            <w:tcW w:w="434" w:type="pct"/>
            <w:vAlign w:val="center"/>
            <w:hideMark/>
          </w:tcPr>
          <w:p w14:paraId="2FDF385A" w14:textId="77777777" w:rsidR="00000000" w:rsidRDefault="00A173A8">
            <w:pPr>
              <w:spacing w:after="100"/>
              <w:rPr>
                <w:rFonts w:eastAsia="Times New Roman"/>
                <w:sz w:val="20"/>
                <w:szCs w:val="20"/>
              </w:rPr>
            </w:pPr>
          </w:p>
        </w:tc>
        <w:tc>
          <w:tcPr>
            <w:tcW w:w="5" w:type="pct"/>
            <w:vAlign w:val="center"/>
            <w:hideMark/>
          </w:tcPr>
          <w:p w14:paraId="218191B0" w14:textId="77777777" w:rsidR="00000000" w:rsidRDefault="00A173A8">
            <w:pPr>
              <w:spacing w:after="100"/>
              <w:rPr>
                <w:rFonts w:eastAsia="Times New Roman"/>
                <w:sz w:val="20"/>
                <w:szCs w:val="20"/>
              </w:rPr>
            </w:pPr>
          </w:p>
        </w:tc>
        <w:tc>
          <w:tcPr>
            <w:tcW w:w="5" w:type="pct"/>
            <w:vAlign w:val="center"/>
            <w:hideMark/>
          </w:tcPr>
          <w:p w14:paraId="02BEE13C" w14:textId="77777777" w:rsidR="00000000" w:rsidRDefault="00A173A8">
            <w:pPr>
              <w:spacing w:after="100"/>
              <w:rPr>
                <w:rFonts w:eastAsia="Times New Roman"/>
                <w:sz w:val="20"/>
                <w:szCs w:val="20"/>
              </w:rPr>
            </w:pPr>
          </w:p>
        </w:tc>
        <w:tc>
          <w:tcPr>
            <w:tcW w:w="26" w:type="pct"/>
            <w:vAlign w:val="center"/>
            <w:hideMark/>
          </w:tcPr>
          <w:p w14:paraId="6FD37B88" w14:textId="77777777" w:rsidR="00000000" w:rsidRDefault="00A173A8">
            <w:pPr>
              <w:spacing w:after="100"/>
              <w:rPr>
                <w:rFonts w:eastAsia="Times New Roman"/>
                <w:sz w:val="20"/>
                <w:szCs w:val="20"/>
              </w:rPr>
            </w:pPr>
          </w:p>
        </w:tc>
        <w:tc>
          <w:tcPr>
            <w:tcW w:w="5" w:type="pct"/>
            <w:vAlign w:val="center"/>
            <w:hideMark/>
          </w:tcPr>
          <w:p w14:paraId="1F370E37" w14:textId="77777777" w:rsidR="00000000" w:rsidRDefault="00A173A8">
            <w:pPr>
              <w:spacing w:after="100"/>
              <w:rPr>
                <w:rFonts w:eastAsia="Times New Roman"/>
                <w:sz w:val="20"/>
                <w:szCs w:val="20"/>
              </w:rPr>
            </w:pPr>
          </w:p>
        </w:tc>
        <w:tc>
          <w:tcPr>
            <w:tcW w:w="50" w:type="pct"/>
            <w:vAlign w:val="center"/>
            <w:hideMark/>
          </w:tcPr>
          <w:p w14:paraId="1E291D7D" w14:textId="77777777" w:rsidR="00000000" w:rsidRDefault="00A173A8">
            <w:pPr>
              <w:spacing w:after="100"/>
              <w:rPr>
                <w:rFonts w:eastAsia="Times New Roman"/>
                <w:sz w:val="20"/>
                <w:szCs w:val="20"/>
              </w:rPr>
            </w:pPr>
          </w:p>
        </w:tc>
        <w:tc>
          <w:tcPr>
            <w:tcW w:w="464" w:type="pct"/>
            <w:vAlign w:val="center"/>
            <w:hideMark/>
          </w:tcPr>
          <w:p w14:paraId="2A5CFF28" w14:textId="77777777" w:rsidR="00000000" w:rsidRDefault="00A173A8">
            <w:pPr>
              <w:spacing w:after="100"/>
              <w:rPr>
                <w:rFonts w:eastAsia="Times New Roman"/>
                <w:sz w:val="20"/>
                <w:szCs w:val="20"/>
              </w:rPr>
            </w:pPr>
          </w:p>
        </w:tc>
        <w:tc>
          <w:tcPr>
            <w:tcW w:w="5" w:type="pct"/>
            <w:vAlign w:val="center"/>
            <w:hideMark/>
          </w:tcPr>
          <w:p w14:paraId="4CB56497" w14:textId="77777777" w:rsidR="00000000" w:rsidRDefault="00A173A8">
            <w:pPr>
              <w:spacing w:after="100"/>
              <w:rPr>
                <w:rFonts w:eastAsia="Times New Roman"/>
                <w:sz w:val="20"/>
                <w:szCs w:val="20"/>
              </w:rPr>
            </w:pPr>
          </w:p>
        </w:tc>
      </w:tr>
      <w:tr w:rsidR="00000000" w14:paraId="281B7C66" w14:textId="77777777">
        <w:trPr>
          <w:divId w:val="423692336"/>
        </w:trPr>
        <w:tc>
          <w:tcPr>
            <w:tcW w:w="0" w:type="auto"/>
            <w:gridSpan w:val="3"/>
            <w:tcMar>
              <w:top w:w="0" w:type="dxa"/>
              <w:left w:w="20" w:type="dxa"/>
              <w:bottom w:w="0" w:type="dxa"/>
              <w:right w:w="20" w:type="dxa"/>
            </w:tcMar>
            <w:vAlign w:val="center"/>
            <w:hideMark/>
          </w:tcPr>
          <w:p w14:paraId="7FAACEB3"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C89ED0"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69818014" w14:textId="77777777" w:rsidR="00000000" w:rsidRDefault="00A173A8">
            <w:pPr>
              <w:spacing w:after="100"/>
              <w:jc w:val="center"/>
              <w:rPr>
                <w:rFonts w:eastAsia="Times New Roman"/>
              </w:rPr>
            </w:pPr>
            <w:r>
              <w:rPr>
                <w:rFonts w:eastAsia="Times New Roman"/>
                <w:b/>
                <w:bCs/>
                <w:color w:val="000000"/>
                <w:sz w:val="16"/>
                <w:szCs w:val="16"/>
              </w:rPr>
              <w:t>Three Months Ended June 30, 2021</w:t>
            </w:r>
          </w:p>
        </w:tc>
      </w:tr>
      <w:tr w:rsidR="00000000" w14:paraId="343E6C36" w14:textId="77777777">
        <w:trPr>
          <w:divId w:val="423692336"/>
        </w:trPr>
        <w:tc>
          <w:tcPr>
            <w:tcW w:w="0" w:type="auto"/>
            <w:gridSpan w:val="3"/>
            <w:tcBorders>
              <w:bottom w:val="single" w:sz="8" w:space="0" w:color="000000"/>
            </w:tcBorders>
            <w:tcMar>
              <w:top w:w="30" w:type="dxa"/>
              <w:left w:w="20" w:type="dxa"/>
              <w:bottom w:w="30" w:type="dxa"/>
              <w:right w:w="20" w:type="dxa"/>
            </w:tcMar>
            <w:vAlign w:val="bottom"/>
            <w:hideMark/>
          </w:tcPr>
          <w:p w14:paraId="41801591"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69C84493"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2FBA0A1"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4A4E298A"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339C5FEF"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111934A2"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04F868" w14:textId="77777777" w:rsidR="00000000" w:rsidRDefault="00A173A8">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4CBA612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52F12C8" w14:textId="77777777" w:rsidR="00000000" w:rsidRDefault="00A173A8">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19F039C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2FE661B0" w14:textId="77777777" w:rsidR="00000000" w:rsidRDefault="00A173A8">
            <w:pPr>
              <w:spacing w:after="100"/>
              <w:jc w:val="center"/>
              <w:rPr>
                <w:rFonts w:eastAsia="Times New Roman"/>
              </w:rPr>
            </w:pPr>
            <w:r>
              <w:rPr>
                <w:rFonts w:eastAsia="Times New Roman"/>
                <w:b/>
                <w:bCs/>
                <w:color w:val="000000"/>
                <w:sz w:val="16"/>
                <w:szCs w:val="16"/>
              </w:rPr>
              <w:t>Consolidated Total</w:t>
            </w:r>
          </w:p>
        </w:tc>
      </w:tr>
      <w:tr w:rsidR="00000000" w14:paraId="25C144B5" w14:textId="77777777">
        <w:trPr>
          <w:divId w:val="42369233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59CA3433" w14:textId="77777777" w:rsidR="00000000" w:rsidRDefault="00A173A8">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3D416789"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2DD8E6"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E6B923"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59356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637BE8"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951692"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8FCE14"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E1DCD1"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E0E1AB"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3E2941" w14:textId="77777777" w:rsidR="00000000" w:rsidRDefault="00A173A8">
            <w:pPr>
              <w:spacing w:after="100"/>
              <w:rPr>
                <w:rFonts w:eastAsia="Times New Roman"/>
                <w:sz w:val="20"/>
                <w:szCs w:val="20"/>
              </w:rPr>
            </w:pPr>
          </w:p>
        </w:tc>
      </w:tr>
      <w:tr w:rsidR="00000000" w14:paraId="012AA2BF" w14:textId="77777777">
        <w:trPr>
          <w:divId w:val="423692336"/>
        </w:trPr>
        <w:tc>
          <w:tcPr>
            <w:tcW w:w="0" w:type="auto"/>
            <w:gridSpan w:val="3"/>
            <w:shd w:val="clear" w:color="auto" w:fill="FFFFFF"/>
            <w:tcMar>
              <w:top w:w="30" w:type="dxa"/>
              <w:left w:w="20" w:type="dxa"/>
              <w:bottom w:w="30" w:type="dxa"/>
              <w:right w:w="20" w:type="dxa"/>
            </w:tcMar>
            <w:vAlign w:val="center"/>
            <w:hideMark/>
          </w:tcPr>
          <w:p w14:paraId="0275A00A" w14:textId="77777777" w:rsidR="00000000" w:rsidRDefault="00A173A8">
            <w:pPr>
              <w:spacing w:after="100"/>
              <w:divId w:val="1089738201"/>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7589404C"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D74AB4F"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FDCBE4D" w14:textId="77777777" w:rsidR="00000000" w:rsidRDefault="00A173A8">
            <w:pPr>
              <w:spacing w:after="100"/>
              <w:jc w:val="right"/>
              <w:rPr>
                <w:rFonts w:eastAsia="Times New Roman"/>
              </w:rPr>
            </w:pPr>
            <w:r>
              <w:rPr>
                <w:rFonts w:eastAsia="Times New Roman"/>
                <w:color w:val="000000"/>
                <w:sz w:val="18"/>
                <w:szCs w:val="18"/>
              </w:rPr>
              <w:t>925 </w:t>
            </w:r>
          </w:p>
        </w:tc>
        <w:tc>
          <w:tcPr>
            <w:tcW w:w="0" w:type="auto"/>
            <w:shd w:val="clear" w:color="auto" w:fill="FFFFFF"/>
            <w:tcMar>
              <w:top w:w="30" w:type="dxa"/>
              <w:left w:w="0" w:type="dxa"/>
              <w:bottom w:w="30" w:type="dxa"/>
              <w:right w:w="20" w:type="dxa"/>
            </w:tcMar>
            <w:vAlign w:val="center"/>
            <w:hideMark/>
          </w:tcPr>
          <w:p w14:paraId="027D908E"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F3F60"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7CF0AAA"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CD8DC7E" w14:textId="77777777" w:rsidR="00000000" w:rsidRDefault="00A173A8">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14:paraId="268FCB9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81C5B4"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E8A7B89"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71B1F508" w14:textId="77777777" w:rsidR="00000000" w:rsidRDefault="00A173A8">
            <w:pPr>
              <w:spacing w:after="100"/>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14:paraId="531231E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128BBE"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E87E3C5"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E39DE32"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3D0E181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BE911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9D18A7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46BA6A13" w14:textId="77777777" w:rsidR="00000000" w:rsidRDefault="00A173A8">
            <w:pPr>
              <w:spacing w:after="100"/>
              <w:jc w:val="right"/>
              <w:rPr>
                <w:rFonts w:eastAsia="Times New Roman"/>
              </w:rPr>
            </w:pPr>
            <w:r>
              <w:rPr>
                <w:rFonts w:eastAsia="Times New Roman"/>
                <w:color w:val="000000"/>
                <w:sz w:val="18"/>
                <w:szCs w:val="18"/>
              </w:rPr>
              <w:t>1,016 </w:t>
            </w:r>
          </w:p>
        </w:tc>
        <w:tc>
          <w:tcPr>
            <w:tcW w:w="0" w:type="auto"/>
            <w:shd w:val="clear" w:color="auto" w:fill="FFFFFF"/>
            <w:tcMar>
              <w:top w:w="30" w:type="dxa"/>
              <w:left w:w="0" w:type="dxa"/>
              <w:bottom w:w="30" w:type="dxa"/>
              <w:right w:w="20" w:type="dxa"/>
            </w:tcMar>
            <w:vAlign w:val="center"/>
            <w:hideMark/>
          </w:tcPr>
          <w:p w14:paraId="78842920" w14:textId="77777777" w:rsidR="00000000" w:rsidRDefault="00A173A8">
            <w:pPr>
              <w:spacing w:after="100"/>
              <w:jc w:val="right"/>
              <w:rPr>
                <w:rFonts w:eastAsia="Times New Roman"/>
              </w:rPr>
            </w:pPr>
          </w:p>
        </w:tc>
      </w:tr>
      <w:tr w:rsidR="00000000" w14:paraId="0E50F137" w14:textId="77777777">
        <w:trPr>
          <w:divId w:val="423692336"/>
        </w:trPr>
        <w:tc>
          <w:tcPr>
            <w:tcW w:w="0" w:type="auto"/>
            <w:gridSpan w:val="3"/>
            <w:shd w:val="clear" w:color="auto" w:fill="CCEEFF"/>
            <w:tcMar>
              <w:top w:w="30" w:type="dxa"/>
              <w:left w:w="245" w:type="dxa"/>
              <w:bottom w:w="30" w:type="dxa"/>
              <w:right w:w="20" w:type="dxa"/>
            </w:tcMar>
            <w:vAlign w:val="center"/>
            <w:hideMark/>
          </w:tcPr>
          <w:p w14:paraId="5BB21F13" w14:textId="77777777" w:rsidR="00000000" w:rsidRDefault="00A173A8">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5B5F03C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671FDEF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CB9EAD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25781"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2493A1D8" w14:textId="77777777" w:rsidR="00000000" w:rsidRDefault="00A173A8">
            <w:pPr>
              <w:spacing w:after="100"/>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center"/>
            <w:hideMark/>
          </w:tcPr>
          <w:p w14:paraId="4EB494DD"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FC160"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76A203E" w14:textId="77777777" w:rsidR="00000000" w:rsidRDefault="00A173A8">
            <w:pPr>
              <w:spacing w:after="100"/>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center"/>
            <w:hideMark/>
          </w:tcPr>
          <w:p w14:paraId="1D63D65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22E1E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74074D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0ED0335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EE13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41227C1B" w14:textId="77777777" w:rsidR="00000000" w:rsidRDefault="00A173A8">
            <w:pPr>
              <w:spacing w:after="100"/>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center"/>
            <w:hideMark/>
          </w:tcPr>
          <w:p w14:paraId="62FFE715" w14:textId="77777777" w:rsidR="00000000" w:rsidRDefault="00A173A8">
            <w:pPr>
              <w:spacing w:after="100"/>
              <w:jc w:val="right"/>
              <w:rPr>
                <w:rFonts w:eastAsia="Times New Roman"/>
              </w:rPr>
            </w:pPr>
          </w:p>
        </w:tc>
      </w:tr>
      <w:tr w:rsidR="00000000" w14:paraId="1DA3CAE1" w14:textId="77777777">
        <w:trPr>
          <w:divId w:val="423692336"/>
        </w:trPr>
        <w:tc>
          <w:tcPr>
            <w:tcW w:w="0" w:type="auto"/>
            <w:gridSpan w:val="3"/>
            <w:shd w:val="clear" w:color="auto" w:fill="FFFFFF"/>
            <w:tcMar>
              <w:top w:w="30" w:type="dxa"/>
              <w:left w:w="245" w:type="dxa"/>
              <w:bottom w:w="30" w:type="dxa"/>
              <w:right w:w="20" w:type="dxa"/>
            </w:tcMar>
            <w:vAlign w:val="center"/>
            <w:hideMark/>
          </w:tcPr>
          <w:p w14:paraId="524283A0" w14:textId="77777777" w:rsidR="00000000" w:rsidRDefault="00A173A8">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5CC07740"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5EABC231" w14:textId="77777777" w:rsidR="00000000" w:rsidRDefault="00A173A8">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center"/>
            <w:hideMark/>
          </w:tcPr>
          <w:p w14:paraId="7E45B9D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F8ABAD"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5DEFBDF" w14:textId="77777777" w:rsidR="00000000" w:rsidRDefault="00A173A8">
            <w:pPr>
              <w:spacing w:after="100"/>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14:paraId="56713C5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2443B2"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745F40E" w14:textId="77777777" w:rsidR="00000000" w:rsidRDefault="00A173A8">
            <w:pPr>
              <w:spacing w:after="100"/>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14:paraId="51B0A89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135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DA78406"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5E80AFF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EBC7F1"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5620BEB" w14:textId="77777777" w:rsidR="00000000" w:rsidRDefault="00A173A8">
            <w:pPr>
              <w:spacing w:after="100"/>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center"/>
            <w:hideMark/>
          </w:tcPr>
          <w:p w14:paraId="0D700606" w14:textId="77777777" w:rsidR="00000000" w:rsidRDefault="00A173A8">
            <w:pPr>
              <w:spacing w:after="100"/>
              <w:jc w:val="right"/>
              <w:rPr>
                <w:rFonts w:eastAsia="Times New Roman"/>
              </w:rPr>
            </w:pPr>
          </w:p>
        </w:tc>
      </w:tr>
      <w:tr w:rsidR="00000000" w14:paraId="085C7B76" w14:textId="77777777">
        <w:trPr>
          <w:divId w:val="423692336"/>
        </w:trPr>
        <w:tc>
          <w:tcPr>
            <w:tcW w:w="0" w:type="auto"/>
            <w:gridSpan w:val="3"/>
            <w:shd w:val="clear" w:color="auto" w:fill="CCEEFF"/>
            <w:tcMar>
              <w:top w:w="30" w:type="dxa"/>
              <w:left w:w="20" w:type="dxa"/>
              <w:bottom w:w="30" w:type="dxa"/>
              <w:right w:w="20" w:type="dxa"/>
            </w:tcMar>
            <w:vAlign w:val="center"/>
            <w:hideMark/>
          </w:tcPr>
          <w:p w14:paraId="2FAAE425" w14:textId="77777777" w:rsidR="00000000" w:rsidRDefault="00A173A8">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49FF2114"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BA4DA99" w14:textId="77777777" w:rsidR="00000000" w:rsidRDefault="00A173A8">
            <w:pPr>
              <w:spacing w:after="100"/>
              <w:jc w:val="right"/>
              <w:rPr>
                <w:rFonts w:eastAsia="Times New Roman"/>
              </w:rPr>
            </w:pPr>
            <w:r>
              <w:rPr>
                <w:rFonts w:eastAsia="Times New Roman"/>
                <w:color w:val="000000"/>
                <w:sz w:val="18"/>
                <w:szCs w:val="18"/>
              </w:rPr>
              <w:t>1,019 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6313B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F8688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9CE4E4B" w14:textId="77777777" w:rsidR="00000000" w:rsidRDefault="00A173A8">
            <w:pPr>
              <w:spacing w:after="100"/>
              <w:jc w:val="right"/>
              <w:rPr>
                <w:rFonts w:eastAsia="Times New Roman"/>
              </w:rPr>
            </w:pPr>
            <w:r>
              <w:rPr>
                <w:rFonts w:eastAsia="Times New Roman"/>
                <w:color w:val="000000"/>
                <w:sz w:val="18"/>
                <w:szCs w:val="18"/>
              </w:rPr>
              <w:t>131 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A9E71E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83AE64"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5C5EA27" w14:textId="77777777" w:rsidR="00000000" w:rsidRDefault="00A173A8">
            <w:pPr>
              <w:spacing w:after="100"/>
              <w:jc w:val="right"/>
              <w:rPr>
                <w:rFonts w:eastAsia="Times New Roman"/>
              </w:rPr>
            </w:pPr>
            <w:r>
              <w:rPr>
                <w:rFonts w:eastAsia="Times New Roman"/>
                <w:color w:val="000000"/>
                <w:sz w:val="18"/>
                <w:szCs w:val="18"/>
              </w:rPr>
              <w:t>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4B49A0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50F47"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EA7D461"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078B994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4255E"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59A4232" w14:textId="77777777" w:rsidR="00000000" w:rsidRDefault="00A173A8">
            <w:pPr>
              <w:spacing w:after="100"/>
              <w:jc w:val="right"/>
              <w:rPr>
                <w:rFonts w:eastAsia="Times New Roman"/>
              </w:rPr>
            </w:pPr>
            <w:r>
              <w:rPr>
                <w:rFonts w:eastAsia="Times New Roman"/>
                <w:color w:val="000000"/>
                <w:sz w:val="18"/>
                <w:szCs w:val="18"/>
              </w:rPr>
              <w:t>1,241 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9EA30BC" w14:textId="77777777" w:rsidR="00000000" w:rsidRDefault="00A173A8">
            <w:pPr>
              <w:spacing w:after="100"/>
              <w:jc w:val="right"/>
              <w:rPr>
                <w:rFonts w:eastAsia="Times New Roman"/>
              </w:rPr>
            </w:pPr>
          </w:p>
        </w:tc>
      </w:tr>
      <w:tr w:rsidR="00000000" w14:paraId="61A5163E" w14:textId="77777777">
        <w:trPr>
          <w:divId w:val="423692336"/>
        </w:trPr>
        <w:tc>
          <w:tcPr>
            <w:tcW w:w="0" w:type="auto"/>
            <w:gridSpan w:val="3"/>
            <w:shd w:val="clear" w:color="auto" w:fill="FFFFFF"/>
            <w:tcMar>
              <w:top w:w="30" w:type="dxa"/>
              <w:left w:w="20" w:type="dxa"/>
              <w:bottom w:w="30" w:type="dxa"/>
              <w:right w:w="20" w:type="dxa"/>
            </w:tcMar>
            <w:vAlign w:val="center"/>
            <w:hideMark/>
          </w:tcPr>
          <w:p w14:paraId="5EF90534" w14:textId="77777777" w:rsidR="00000000" w:rsidRDefault="00A173A8">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14:paraId="12498398"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94A20AF" w14:textId="77777777" w:rsidR="00000000" w:rsidRDefault="00A173A8">
            <w:pPr>
              <w:spacing w:after="100"/>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center"/>
            <w:hideMark/>
          </w:tcPr>
          <w:p w14:paraId="1BD4917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DD95C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03C74CA2" w14:textId="77777777" w:rsidR="00000000" w:rsidRDefault="00A173A8">
            <w:pPr>
              <w:spacing w:after="100"/>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14:paraId="0FD3A0D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CD541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41F8186" w14:textId="77777777" w:rsidR="00000000" w:rsidRDefault="00A173A8">
            <w:pPr>
              <w:spacing w:after="100"/>
              <w:jc w:val="right"/>
              <w:rPr>
                <w:rFonts w:eastAsia="Times New Roman"/>
              </w:rPr>
            </w:pPr>
            <w:r>
              <w:rPr>
                <w:rFonts w:eastAsia="Times New Roman"/>
                <w:color w:val="000000"/>
                <w:sz w:val="18"/>
                <w:szCs w:val="18"/>
              </w:rPr>
              <w:t>166 </w:t>
            </w:r>
          </w:p>
        </w:tc>
        <w:tc>
          <w:tcPr>
            <w:tcW w:w="0" w:type="auto"/>
            <w:shd w:val="clear" w:color="auto" w:fill="FFFFFF"/>
            <w:tcMar>
              <w:top w:w="30" w:type="dxa"/>
              <w:left w:w="0" w:type="dxa"/>
              <w:bottom w:w="30" w:type="dxa"/>
              <w:right w:w="20" w:type="dxa"/>
            </w:tcMar>
            <w:vAlign w:val="center"/>
            <w:hideMark/>
          </w:tcPr>
          <w:p w14:paraId="17B8A7A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39CF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7FA867AB" w14:textId="77777777" w:rsidR="00000000" w:rsidRDefault="00A173A8">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14:paraId="7A9E0C1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41FF9C"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2AF7BAE5" w14:textId="77777777" w:rsidR="00000000" w:rsidRDefault="00A173A8">
            <w:pPr>
              <w:spacing w:after="100"/>
              <w:jc w:val="right"/>
              <w:rPr>
                <w:rFonts w:eastAsia="Times New Roman"/>
              </w:rPr>
            </w:pPr>
            <w:r>
              <w:rPr>
                <w:rFonts w:eastAsia="Times New Roman"/>
                <w:color w:val="000000"/>
                <w:sz w:val="18"/>
                <w:szCs w:val="18"/>
              </w:rPr>
              <w:t>390 </w:t>
            </w:r>
          </w:p>
        </w:tc>
        <w:tc>
          <w:tcPr>
            <w:tcW w:w="0" w:type="auto"/>
            <w:shd w:val="clear" w:color="auto" w:fill="FFFFFF"/>
            <w:tcMar>
              <w:top w:w="30" w:type="dxa"/>
              <w:left w:w="0" w:type="dxa"/>
              <w:bottom w:w="30" w:type="dxa"/>
              <w:right w:w="20" w:type="dxa"/>
            </w:tcMar>
            <w:vAlign w:val="center"/>
            <w:hideMark/>
          </w:tcPr>
          <w:p w14:paraId="7CC9B802" w14:textId="77777777" w:rsidR="00000000" w:rsidRDefault="00A173A8">
            <w:pPr>
              <w:spacing w:after="100"/>
              <w:jc w:val="right"/>
              <w:rPr>
                <w:rFonts w:eastAsia="Times New Roman"/>
              </w:rPr>
            </w:pPr>
          </w:p>
        </w:tc>
      </w:tr>
      <w:tr w:rsidR="00000000" w14:paraId="0CE0F4C1" w14:textId="77777777">
        <w:trPr>
          <w:divId w:val="423692336"/>
        </w:trPr>
        <w:tc>
          <w:tcPr>
            <w:tcW w:w="0" w:type="auto"/>
            <w:gridSpan w:val="3"/>
            <w:shd w:val="clear" w:color="auto" w:fill="CCEEFF"/>
            <w:tcMar>
              <w:top w:w="30" w:type="dxa"/>
              <w:left w:w="20" w:type="dxa"/>
              <w:bottom w:w="30" w:type="dxa"/>
              <w:right w:w="20" w:type="dxa"/>
            </w:tcMar>
            <w:vAlign w:val="center"/>
            <w:hideMark/>
          </w:tcPr>
          <w:p w14:paraId="1553298F" w14:textId="77777777" w:rsidR="00000000" w:rsidRDefault="00A173A8">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14:paraId="326E0F0B"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343E66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EEAA2E2" w14:textId="77777777" w:rsidR="00000000" w:rsidRDefault="00A173A8">
            <w:pPr>
              <w:spacing w:after="100"/>
              <w:jc w:val="right"/>
              <w:rPr>
                <w:rFonts w:eastAsia="Times New Roman"/>
              </w:rPr>
            </w:pPr>
            <w:r>
              <w:rPr>
                <w:rFonts w:eastAsia="Times New Roman"/>
                <w:color w:val="000000"/>
                <w:sz w:val="18"/>
                <w:szCs w:val="18"/>
              </w:rPr>
              <w:t>1,253 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2A778B0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E281F"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AF60227"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7ABD8AA6" w14:textId="77777777" w:rsidR="00000000" w:rsidRDefault="00A173A8">
            <w:pPr>
              <w:spacing w:after="100"/>
              <w:jc w:val="right"/>
              <w:rPr>
                <w:rFonts w:eastAsia="Times New Roman"/>
              </w:rPr>
            </w:pPr>
            <w:r>
              <w:rPr>
                <w:rFonts w:eastAsia="Times New Roman"/>
                <w:color w:val="000000"/>
                <w:sz w:val="18"/>
                <w:szCs w:val="18"/>
              </w:rPr>
              <w:t>144 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47D058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4901CD"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1AD6EA72"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1ECCA24" w14:textId="77777777" w:rsidR="00000000" w:rsidRDefault="00A173A8">
            <w:pPr>
              <w:spacing w:after="100"/>
              <w:jc w:val="right"/>
              <w:rPr>
                <w:rFonts w:eastAsia="Times New Roman"/>
              </w:rPr>
            </w:pPr>
            <w:r>
              <w:rPr>
                <w:rFonts w:eastAsia="Times New Roman"/>
                <w:color w:val="000000"/>
                <w:sz w:val="18"/>
                <w:szCs w:val="18"/>
              </w:rPr>
              <w:t>257 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34139FC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60AFB"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740300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247F454D" w14:textId="77777777" w:rsidR="00000000" w:rsidRDefault="00A173A8">
            <w:pPr>
              <w:spacing w:after="100"/>
              <w:jc w:val="right"/>
              <w:rPr>
                <w:rFonts w:eastAsia="Times New Roman"/>
              </w:rPr>
            </w:pPr>
            <w:r>
              <w:rPr>
                <w:rFonts w:eastAsia="Times New Roman"/>
                <w:color w:val="000000"/>
                <w:sz w:val="18"/>
                <w:szCs w:val="18"/>
              </w:rPr>
              <w:t>(23)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1925CC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D6AC0"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62F50D4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6E0B7292" w14:textId="77777777" w:rsidR="00000000" w:rsidRDefault="00A173A8">
            <w:pPr>
              <w:spacing w:after="100"/>
              <w:jc w:val="right"/>
              <w:rPr>
                <w:rFonts w:eastAsia="Times New Roman"/>
              </w:rPr>
            </w:pPr>
            <w:r>
              <w:rPr>
                <w:rFonts w:eastAsia="Times New Roman"/>
                <w:color w:val="000000"/>
                <w:sz w:val="18"/>
                <w:szCs w:val="18"/>
              </w:rPr>
              <w:t>1,631 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48374F10" w14:textId="77777777" w:rsidR="00000000" w:rsidRDefault="00A173A8">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69011281" w14:textId="77777777">
        <w:trPr>
          <w:jc w:val="center"/>
        </w:trPr>
        <w:tc>
          <w:tcPr>
            <w:tcW w:w="50" w:type="pct"/>
            <w:vAlign w:val="center"/>
            <w:hideMark/>
          </w:tcPr>
          <w:p w14:paraId="2D1A3EB8" w14:textId="77777777" w:rsidR="00000000" w:rsidRDefault="00A173A8">
            <w:pPr>
              <w:jc w:val="both"/>
              <w:rPr>
                <w:rFonts w:eastAsia="Times New Roman"/>
              </w:rPr>
            </w:pPr>
          </w:p>
        </w:tc>
        <w:tc>
          <w:tcPr>
            <w:tcW w:w="1606" w:type="pct"/>
            <w:vAlign w:val="center"/>
            <w:hideMark/>
          </w:tcPr>
          <w:p w14:paraId="62E4F1EF" w14:textId="77777777" w:rsidR="00000000" w:rsidRDefault="00A173A8">
            <w:pPr>
              <w:spacing w:after="100"/>
              <w:rPr>
                <w:rFonts w:eastAsia="Times New Roman"/>
                <w:sz w:val="20"/>
                <w:szCs w:val="20"/>
              </w:rPr>
            </w:pPr>
          </w:p>
        </w:tc>
        <w:tc>
          <w:tcPr>
            <w:tcW w:w="5" w:type="pct"/>
            <w:vAlign w:val="center"/>
            <w:hideMark/>
          </w:tcPr>
          <w:p w14:paraId="0422368B" w14:textId="77777777" w:rsidR="00000000" w:rsidRDefault="00A173A8">
            <w:pPr>
              <w:spacing w:after="100"/>
              <w:rPr>
                <w:rFonts w:eastAsia="Times New Roman"/>
                <w:sz w:val="20"/>
                <w:szCs w:val="20"/>
              </w:rPr>
            </w:pPr>
          </w:p>
        </w:tc>
        <w:tc>
          <w:tcPr>
            <w:tcW w:w="50" w:type="pct"/>
            <w:vAlign w:val="center"/>
            <w:hideMark/>
          </w:tcPr>
          <w:p w14:paraId="2F93285F" w14:textId="77777777" w:rsidR="00000000" w:rsidRDefault="00A173A8">
            <w:pPr>
              <w:spacing w:after="100"/>
              <w:rPr>
                <w:rFonts w:eastAsia="Times New Roman"/>
                <w:sz w:val="20"/>
                <w:szCs w:val="20"/>
              </w:rPr>
            </w:pPr>
          </w:p>
        </w:tc>
        <w:tc>
          <w:tcPr>
            <w:tcW w:w="1614" w:type="pct"/>
            <w:vAlign w:val="center"/>
            <w:hideMark/>
          </w:tcPr>
          <w:p w14:paraId="3B808EFE" w14:textId="77777777" w:rsidR="00000000" w:rsidRDefault="00A173A8">
            <w:pPr>
              <w:spacing w:after="100"/>
              <w:rPr>
                <w:rFonts w:eastAsia="Times New Roman"/>
                <w:sz w:val="20"/>
                <w:szCs w:val="20"/>
              </w:rPr>
            </w:pPr>
          </w:p>
        </w:tc>
        <w:tc>
          <w:tcPr>
            <w:tcW w:w="5" w:type="pct"/>
            <w:vAlign w:val="center"/>
            <w:hideMark/>
          </w:tcPr>
          <w:p w14:paraId="4DFA6EE1" w14:textId="77777777" w:rsidR="00000000" w:rsidRDefault="00A173A8">
            <w:pPr>
              <w:spacing w:after="100"/>
              <w:rPr>
                <w:rFonts w:eastAsia="Times New Roman"/>
                <w:sz w:val="20"/>
                <w:szCs w:val="20"/>
              </w:rPr>
            </w:pPr>
          </w:p>
        </w:tc>
        <w:tc>
          <w:tcPr>
            <w:tcW w:w="50" w:type="pct"/>
            <w:vAlign w:val="center"/>
            <w:hideMark/>
          </w:tcPr>
          <w:p w14:paraId="1B7C87F4" w14:textId="77777777" w:rsidR="00000000" w:rsidRDefault="00A173A8">
            <w:pPr>
              <w:spacing w:after="100"/>
              <w:rPr>
                <w:rFonts w:eastAsia="Times New Roman"/>
                <w:sz w:val="20"/>
                <w:szCs w:val="20"/>
              </w:rPr>
            </w:pPr>
          </w:p>
        </w:tc>
        <w:tc>
          <w:tcPr>
            <w:tcW w:w="1614" w:type="pct"/>
            <w:vAlign w:val="center"/>
            <w:hideMark/>
          </w:tcPr>
          <w:p w14:paraId="137869CB" w14:textId="77777777" w:rsidR="00000000" w:rsidRDefault="00A173A8">
            <w:pPr>
              <w:spacing w:after="100"/>
              <w:rPr>
                <w:rFonts w:eastAsia="Times New Roman"/>
                <w:sz w:val="20"/>
                <w:szCs w:val="20"/>
              </w:rPr>
            </w:pPr>
          </w:p>
        </w:tc>
        <w:tc>
          <w:tcPr>
            <w:tcW w:w="5" w:type="pct"/>
            <w:vAlign w:val="center"/>
            <w:hideMark/>
          </w:tcPr>
          <w:p w14:paraId="0D7F5589" w14:textId="77777777" w:rsidR="00000000" w:rsidRDefault="00A173A8">
            <w:pPr>
              <w:spacing w:after="100"/>
              <w:rPr>
                <w:rFonts w:eastAsia="Times New Roman"/>
                <w:sz w:val="20"/>
                <w:szCs w:val="20"/>
              </w:rPr>
            </w:pPr>
          </w:p>
        </w:tc>
      </w:tr>
      <w:tr w:rsidR="00000000" w14:paraId="67CD778D" w14:textId="77777777">
        <w:trPr>
          <w:trHeight w:val="300"/>
          <w:jc w:val="center"/>
        </w:trPr>
        <w:tc>
          <w:tcPr>
            <w:tcW w:w="0" w:type="auto"/>
            <w:gridSpan w:val="9"/>
            <w:tcMar>
              <w:top w:w="0" w:type="dxa"/>
              <w:left w:w="20" w:type="dxa"/>
              <w:bottom w:w="0" w:type="dxa"/>
              <w:right w:w="20" w:type="dxa"/>
            </w:tcMar>
            <w:vAlign w:val="center"/>
            <w:hideMark/>
          </w:tcPr>
          <w:p w14:paraId="692FBF5E" w14:textId="77777777" w:rsidR="00000000" w:rsidRDefault="00A173A8">
            <w:pPr>
              <w:spacing w:after="100"/>
              <w:rPr>
                <w:rFonts w:eastAsia="Times New Roman"/>
                <w:sz w:val="20"/>
                <w:szCs w:val="20"/>
              </w:rPr>
            </w:pPr>
          </w:p>
        </w:tc>
      </w:tr>
      <w:tr w:rsidR="00000000" w14:paraId="34136652" w14:textId="77777777">
        <w:trPr>
          <w:jc w:val="center"/>
        </w:trPr>
        <w:tc>
          <w:tcPr>
            <w:tcW w:w="0" w:type="auto"/>
            <w:gridSpan w:val="3"/>
            <w:tcMar>
              <w:top w:w="0" w:type="dxa"/>
              <w:left w:w="20" w:type="dxa"/>
              <w:bottom w:w="0" w:type="dxa"/>
              <w:right w:w="20" w:type="dxa"/>
            </w:tcMar>
            <w:vAlign w:val="center"/>
            <w:hideMark/>
          </w:tcPr>
          <w:p w14:paraId="50704678"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E4C5929" w14:textId="77777777" w:rsidR="00000000" w:rsidRDefault="00A173A8">
            <w:pPr>
              <w:spacing w:after="100"/>
              <w:jc w:val="center"/>
              <w:rPr>
                <w:rFonts w:eastAsia="Times New Roman"/>
              </w:rPr>
            </w:pPr>
            <w:r>
              <w:rPr>
                <w:rFonts w:eastAsia="Times New Roman"/>
                <w:color w:val="000000"/>
                <w:sz w:val="16"/>
                <w:szCs w:val="16"/>
              </w:rPr>
              <w:t>115</w:t>
            </w:r>
          </w:p>
        </w:tc>
        <w:tc>
          <w:tcPr>
            <w:tcW w:w="0" w:type="auto"/>
            <w:gridSpan w:val="3"/>
            <w:tcMar>
              <w:top w:w="30" w:type="dxa"/>
              <w:left w:w="20" w:type="dxa"/>
              <w:bottom w:w="30" w:type="dxa"/>
              <w:right w:w="20" w:type="dxa"/>
            </w:tcMar>
            <w:vAlign w:val="bottom"/>
            <w:hideMark/>
          </w:tcPr>
          <w:p w14:paraId="5205657E"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7491F91" w14:textId="77777777" w:rsidR="00000000" w:rsidRDefault="00A173A8">
      <w:pPr>
        <w:rPr>
          <w:rFonts w:eastAsia="Times New Roman"/>
        </w:rPr>
      </w:pPr>
      <w:r>
        <w:rPr>
          <w:rFonts w:eastAsia="Times New Roman"/>
        </w:rPr>
        <w:pict w14:anchorId="18C57378">
          <v:rect id="_x0000_i1140" style="width:0;height:1.5pt" o:hralign="center" o:hrstd="t" o:hr="t" fillcolor="#a0a0a0" stroked="f"/>
        </w:pict>
      </w:r>
    </w:p>
    <w:p w14:paraId="7B4CFE53" w14:textId="77777777" w:rsidR="00000000" w:rsidRDefault="00A173A8">
      <w:pPr>
        <w:jc w:val="both"/>
        <w:divId w:val="981497212"/>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14:paraId="43C5D8F1" w14:textId="77777777">
        <w:trPr>
          <w:divId w:val="571232434"/>
        </w:trPr>
        <w:tc>
          <w:tcPr>
            <w:tcW w:w="50" w:type="pct"/>
            <w:vAlign w:val="center"/>
            <w:hideMark/>
          </w:tcPr>
          <w:p w14:paraId="53C5B1A2" w14:textId="77777777" w:rsidR="00000000" w:rsidRDefault="00A173A8">
            <w:pPr>
              <w:jc w:val="both"/>
              <w:rPr>
                <w:rFonts w:eastAsia="Times New Roman"/>
              </w:rPr>
            </w:pPr>
          </w:p>
        </w:tc>
        <w:tc>
          <w:tcPr>
            <w:tcW w:w="2284" w:type="pct"/>
            <w:vAlign w:val="center"/>
            <w:hideMark/>
          </w:tcPr>
          <w:p w14:paraId="623C7AE0" w14:textId="77777777" w:rsidR="00000000" w:rsidRDefault="00A173A8">
            <w:pPr>
              <w:spacing w:after="100"/>
              <w:rPr>
                <w:rFonts w:eastAsia="Times New Roman"/>
                <w:sz w:val="20"/>
                <w:szCs w:val="20"/>
              </w:rPr>
            </w:pPr>
          </w:p>
        </w:tc>
        <w:tc>
          <w:tcPr>
            <w:tcW w:w="5" w:type="pct"/>
            <w:vAlign w:val="center"/>
            <w:hideMark/>
          </w:tcPr>
          <w:p w14:paraId="4542DA36" w14:textId="77777777" w:rsidR="00000000" w:rsidRDefault="00A173A8">
            <w:pPr>
              <w:spacing w:after="100"/>
              <w:rPr>
                <w:rFonts w:eastAsia="Times New Roman"/>
                <w:sz w:val="20"/>
                <w:szCs w:val="20"/>
              </w:rPr>
            </w:pPr>
          </w:p>
        </w:tc>
        <w:tc>
          <w:tcPr>
            <w:tcW w:w="5" w:type="pct"/>
            <w:vAlign w:val="center"/>
            <w:hideMark/>
          </w:tcPr>
          <w:p w14:paraId="30BA269B" w14:textId="77777777" w:rsidR="00000000" w:rsidRDefault="00A173A8">
            <w:pPr>
              <w:spacing w:after="100"/>
              <w:rPr>
                <w:rFonts w:eastAsia="Times New Roman"/>
                <w:sz w:val="20"/>
                <w:szCs w:val="20"/>
              </w:rPr>
            </w:pPr>
          </w:p>
        </w:tc>
        <w:tc>
          <w:tcPr>
            <w:tcW w:w="26" w:type="pct"/>
            <w:vAlign w:val="center"/>
            <w:hideMark/>
          </w:tcPr>
          <w:p w14:paraId="7067CBBE" w14:textId="77777777" w:rsidR="00000000" w:rsidRDefault="00A173A8">
            <w:pPr>
              <w:spacing w:after="100"/>
              <w:rPr>
                <w:rFonts w:eastAsia="Times New Roman"/>
                <w:sz w:val="20"/>
                <w:szCs w:val="20"/>
              </w:rPr>
            </w:pPr>
          </w:p>
        </w:tc>
        <w:tc>
          <w:tcPr>
            <w:tcW w:w="5" w:type="pct"/>
            <w:vAlign w:val="center"/>
            <w:hideMark/>
          </w:tcPr>
          <w:p w14:paraId="59002425" w14:textId="77777777" w:rsidR="00000000" w:rsidRDefault="00A173A8">
            <w:pPr>
              <w:spacing w:after="100"/>
              <w:rPr>
                <w:rFonts w:eastAsia="Times New Roman"/>
                <w:sz w:val="20"/>
                <w:szCs w:val="20"/>
              </w:rPr>
            </w:pPr>
          </w:p>
        </w:tc>
        <w:tc>
          <w:tcPr>
            <w:tcW w:w="50" w:type="pct"/>
            <w:vAlign w:val="center"/>
            <w:hideMark/>
          </w:tcPr>
          <w:p w14:paraId="75777D79" w14:textId="77777777" w:rsidR="00000000" w:rsidRDefault="00A173A8">
            <w:pPr>
              <w:spacing w:after="100"/>
              <w:rPr>
                <w:rFonts w:eastAsia="Times New Roman"/>
                <w:sz w:val="20"/>
                <w:szCs w:val="20"/>
              </w:rPr>
            </w:pPr>
          </w:p>
        </w:tc>
        <w:tc>
          <w:tcPr>
            <w:tcW w:w="434" w:type="pct"/>
            <w:vAlign w:val="center"/>
            <w:hideMark/>
          </w:tcPr>
          <w:p w14:paraId="04158997" w14:textId="77777777" w:rsidR="00000000" w:rsidRDefault="00A173A8">
            <w:pPr>
              <w:spacing w:after="100"/>
              <w:rPr>
                <w:rFonts w:eastAsia="Times New Roman"/>
                <w:sz w:val="20"/>
                <w:szCs w:val="20"/>
              </w:rPr>
            </w:pPr>
          </w:p>
        </w:tc>
        <w:tc>
          <w:tcPr>
            <w:tcW w:w="5" w:type="pct"/>
            <w:vAlign w:val="center"/>
            <w:hideMark/>
          </w:tcPr>
          <w:p w14:paraId="494C186F" w14:textId="77777777" w:rsidR="00000000" w:rsidRDefault="00A173A8">
            <w:pPr>
              <w:spacing w:after="100"/>
              <w:rPr>
                <w:rFonts w:eastAsia="Times New Roman"/>
                <w:sz w:val="20"/>
                <w:szCs w:val="20"/>
              </w:rPr>
            </w:pPr>
          </w:p>
        </w:tc>
        <w:tc>
          <w:tcPr>
            <w:tcW w:w="5" w:type="pct"/>
            <w:vAlign w:val="center"/>
            <w:hideMark/>
          </w:tcPr>
          <w:p w14:paraId="0752251B" w14:textId="77777777" w:rsidR="00000000" w:rsidRDefault="00A173A8">
            <w:pPr>
              <w:spacing w:after="100"/>
              <w:rPr>
                <w:rFonts w:eastAsia="Times New Roman"/>
                <w:sz w:val="20"/>
                <w:szCs w:val="20"/>
              </w:rPr>
            </w:pPr>
          </w:p>
        </w:tc>
        <w:tc>
          <w:tcPr>
            <w:tcW w:w="26" w:type="pct"/>
            <w:vAlign w:val="center"/>
            <w:hideMark/>
          </w:tcPr>
          <w:p w14:paraId="75663AEC" w14:textId="77777777" w:rsidR="00000000" w:rsidRDefault="00A173A8">
            <w:pPr>
              <w:spacing w:after="100"/>
              <w:rPr>
                <w:rFonts w:eastAsia="Times New Roman"/>
                <w:sz w:val="20"/>
                <w:szCs w:val="20"/>
              </w:rPr>
            </w:pPr>
          </w:p>
        </w:tc>
        <w:tc>
          <w:tcPr>
            <w:tcW w:w="5" w:type="pct"/>
            <w:vAlign w:val="center"/>
            <w:hideMark/>
          </w:tcPr>
          <w:p w14:paraId="6DEF5FD3" w14:textId="77777777" w:rsidR="00000000" w:rsidRDefault="00A173A8">
            <w:pPr>
              <w:spacing w:after="100"/>
              <w:rPr>
                <w:rFonts w:eastAsia="Times New Roman"/>
                <w:sz w:val="20"/>
                <w:szCs w:val="20"/>
              </w:rPr>
            </w:pPr>
          </w:p>
        </w:tc>
        <w:tc>
          <w:tcPr>
            <w:tcW w:w="50" w:type="pct"/>
            <w:vAlign w:val="center"/>
            <w:hideMark/>
          </w:tcPr>
          <w:p w14:paraId="133C17AB" w14:textId="77777777" w:rsidR="00000000" w:rsidRDefault="00A173A8">
            <w:pPr>
              <w:spacing w:after="100"/>
              <w:rPr>
                <w:rFonts w:eastAsia="Times New Roman"/>
                <w:sz w:val="20"/>
                <w:szCs w:val="20"/>
              </w:rPr>
            </w:pPr>
          </w:p>
        </w:tc>
        <w:tc>
          <w:tcPr>
            <w:tcW w:w="434" w:type="pct"/>
            <w:vAlign w:val="center"/>
            <w:hideMark/>
          </w:tcPr>
          <w:p w14:paraId="0364B1E6" w14:textId="77777777" w:rsidR="00000000" w:rsidRDefault="00A173A8">
            <w:pPr>
              <w:spacing w:after="100"/>
              <w:rPr>
                <w:rFonts w:eastAsia="Times New Roman"/>
                <w:sz w:val="20"/>
                <w:szCs w:val="20"/>
              </w:rPr>
            </w:pPr>
          </w:p>
        </w:tc>
        <w:tc>
          <w:tcPr>
            <w:tcW w:w="5" w:type="pct"/>
            <w:vAlign w:val="center"/>
            <w:hideMark/>
          </w:tcPr>
          <w:p w14:paraId="49096F90" w14:textId="77777777" w:rsidR="00000000" w:rsidRDefault="00A173A8">
            <w:pPr>
              <w:spacing w:after="100"/>
              <w:rPr>
                <w:rFonts w:eastAsia="Times New Roman"/>
                <w:sz w:val="20"/>
                <w:szCs w:val="20"/>
              </w:rPr>
            </w:pPr>
          </w:p>
        </w:tc>
        <w:tc>
          <w:tcPr>
            <w:tcW w:w="5" w:type="pct"/>
            <w:vAlign w:val="center"/>
            <w:hideMark/>
          </w:tcPr>
          <w:p w14:paraId="0A09CB32" w14:textId="77777777" w:rsidR="00000000" w:rsidRDefault="00A173A8">
            <w:pPr>
              <w:spacing w:after="100"/>
              <w:rPr>
                <w:rFonts w:eastAsia="Times New Roman"/>
                <w:sz w:val="20"/>
                <w:szCs w:val="20"/>
              </w:rPr>
            </w:pPr>
          </w:p>
        </w:tc>
        <w:tc>
          <w:tcPr>
            <w:tcW w:w="26" w:type="pct"/>
            <w:vAlign w:val="center"/>
            <w:hideMark/>
          </w:tcPr>
          <w:p w14:paraId="34C4F583" w14:textId="77777777" w:rsidR="00000000" w:rsidRDefault="00A173A8">
            <w:pPr>
              <w:spacing w:after="100"/>
              <w:rPr>
                <w:rFonts w:eastAsia="Times New Roman"/>
                <w:sz w:val="20"/>
                <w:szCs w:val="20"/>
              </w:rPr>
            </w:pPr>
          </w:p>
        </w:tc>
        <w:tc>
          <w:tcPr>
            <w:tcW w:w="5" w:type="pct"/>
            <w:vAlign w:val="center"/>
            <w:hideMark/>
          </w:tcPr>
          <w:p w14:paraId="030B6CD9" w14:textId="77777777" w:rsidR="00000000" w:rsidRDefault="00A173A8">
            <w:pPr>
              <w:spacing w:after="100"/>
              <w:rPr>
                <w:rFonts w:eastAsia="Times New Roman"/>
                <w:sz w:val="20"/>
                <w:szCs w:val="20"/>
              </w:rPr>
            </w:pPr>
          </w:p>
        </w:tc>
        <w:tc>
          <w:tcPr>
            <w:tcW w:w="50" w:type="pct"/>
            <w:vAlign w:val="center"/>
            <w:hideMark/>
          </w:tcPr>
          <w:p w14:paraId="685B7488" w14:textId="77777777" w:rsidR="00000000" w:rsidRDefault="00A173A8">
            <w:pPr>
              <w:spacing w:after="100"/>
              <w:rPr>
                <w:rFonts w:eastAsia="Times New Roman"/>
                <w:sz w:val="20"/>
                <w:szCs w:val="20"/>
              </w:rPr>
            </w:pPr>
          </w:p>
        </w:tc>
        <w:tc>
          <w:tcPr>
            <w:tcW w:w="434" w:type="pct"/>
            <w:vAlign w:val="center"/>
            <w:hideMark/>
          </w:tcPr>
          <w:p w14:paraId="17926BFD" w14:textId="77777777" w:rsidR="00000000" w:rsidRDefault="00A173A8">
            <w:pPr>
              <w:spacing w:after="100"/>
              <w:rPr>
                <w:rFonts w:eastAsia="Times New Roman"/>
                <w:sz w:val="20"/>
                <w:szCs w:val="20"/>
              </w:rPr>
            </w:pPr>
          </w:p>
        </w:tc>
        <w:tc>
          <w:tcPr>
            <w:tcW w:w="5" w:type="pct"/>
            <w:vAlign w:val="center"/>
            <w:hideMark/>
          </w:tcPr>
          <w:p w14:paraId="67458693" w14:textId="77777777" w:rsidR="00000000" w:rsidRDefault="00A173A8">
            <w:pPr>
              <w:spacing w:after="100"/>
              <w:rPr>
                <w:rFonts w:eastAsia="Times New Roman"/>
                <w:sz w:val="20"/>
                <w:szCs w:val="20"/>
              </w:rPr>
            </w:pPr>
          </w:p>
        </w:tc>
        <w:tc>
          <w:tcPr>
            <w:tcW w:w="5" w:type="pct"/>
            <w:vAlign w:val="center"/>
            <w:hideMark/>
          </w:tcPr>
          <w:p w14:paraId="7148A20C" w14:textId="77777777" w:rsidR="00000000" w:rsidRDefault="00A173A8">
            <w:pPr>
              <w:spacing w:after="100"/>
              <w:rPr>
                <w:rFonts w:eastAsia="Times New Roman"/>
                <w:sz w:val="20"/>
                <w:szCs w:val="20"/>
              </w:rPr>
            </w:pPr>
          </w:p>
        </w:tc>
        <w:tc>
          <w:tcPr>
            <w:tcW w:w="26" w:type="pct"/>
            <w:vAlign w:val="center"/>
            <w:hideMark/>
          </w:tcPr>
          <w:p w14:paraId="0A7D8EBD" w14:textId="77777777" w:rsidR="00000000" w:rsidRDefault="00A173A8">
            <w:pPr>
              <w:spacing w:after="100"/>
              <w:rPr>
                <w:rFonts w:eastAsia="Times New Roman"/>
                <w:sz w:val="20"/>
                <w:szCs w:val="20"/>
              </w:rPr>
            </w:pPr>
          </w:p>
        </w:tc>
        <w:tc>
          <w:tcPr>
            <w:tcW w:w="5" w:type="pct"/>
            <w:vAlign w:val="center"/>
            <w:hideMark/>
          </w:tcPr>
          <w:p w14:paraId="0DD99D30" w14:textId="77777777" w:rsidR="00000000" w:rsidRDefault="00A173A8">
            <w:pPr>
              <w:spacing w:after="100"/>
              <w:rPr>
                <w:rFonts w:eastAsia="Times New Roman"/>
                <w:sz w:val="20"/>
                <w:szCs w:val="20"/>
              </w:rPr>
            </w:pPr>
          </w:p>
        </w:tc>
        <w:tc>
          <w:tcPr>
            <w:tcW w:w="50" w:type="pct"/>
            <w:vAlign w:val="center"/>
            <w:hideMark/>
          </w:tcPr>
          <w:p w14:paraId="706FFA93" w14:textId="77777777" w:rsidR="00000000" w:rsidRDefault="00A173A8">
            <w:pPr>
              <w:spacing w:after="100"/>
              <w:rPr>
                <w:rFonts w:eastAsia="Times New Roman"/>
                <w:sz w:val="20"/>
                <w:szCs w:val="20"/>
              </w:rPr>
            </w:pPr>
          </w:p>
        </w:tc>
        <w:tc>
          <w:tcPr>
            <w:tcW w:w="434" w:type="pct"/>
            <w:vAlign w:val="center"/>
            <w:hideMark/>
          </w:tcPr>
          <w:p w14:paraId="12ECC5D4" w14:textId="77777777" w:rsidR="00000000" w:rsidRDefault="00A173A8">
            <w:pPr>
              <w:spacing w:after="100"/>
              <w:rPr>
                <w:rFonts w:eastAsia="Times New Roman"/>
                <w:sz w:val="20"/>
                <w:szCs w:val="20"/>
              </w:rPr>
            </w:pPr>
          </w:p>
        </w:tc>
        <w:tc>
          <w:tcPr>
            <w:tcW w:w="5" w:type="pct"/>
            <w:vAlign w:val="center"/>
            <w:hideMark/>
          </w:tcPr>
          <w:p w14:paraId="206E0333" w14:textId="77777777" w:rsidR="00000000" w:rsidRDefault="00A173A8">
            <w:pPr>
              <w:spacing w:after="100"/>
              <w:rPr>
                <w:rFonts w:eastAsia="Times New Roman"/>
                <w:sz w:val="20"/>
                <w:szCs w:val="20"/>
              </w:rPr>
            </w:pPr>
          </w:p>
        </w:tc>
        <w:tc>
          <w:tcPr>
            <w:tcW w:w="5" w:type="pct"/>
            <w:vAlign w:val="center"/>
            <w:hideMark/>
          </w:tcPr>
          <w:p w14:paraId="377D834F" w14:textId="77777777" w:rsidR="00000000" w:rsidRDefault="00A173A8">
            <w:pPr>
              <w:spacing w:after="100"/>
              <w:rPr>
                <w:rFonts w:eastAsia="Times New Roman"/>
                <w:sz w:val="20"/>
                <w:szCs w:val="20"/>
              </w:rPr>
            </w:pPr>
          </w:p>
        </w:tc>
        <w:tc>
          <w:tcPr>
            <w:tcW w:w="26" w:type="pct"/>
            <w:vAlign w:val="center"/>
            <w:hideMark/>
          </w:tcPr>
          <w:p w14:paraId="652347FC" w14:textId="77777777" w:rsidR="00000000" w:rsidRDefault="00A173A8">
            <w:pPr>
              <w:spacing w:after="100"/>
              <w:rPr>
                <w:rFonts w:eastAsia="Times New Roman"/>
                <w:sz w:val="20"/>
                <w:szCs w:val="20"/>
              </w:rPr>
            </w:pPr>
          </w:p>
        </w:tc>
        <w:tc>
          <w:tcPr>
            <w:tcW w:w="5" w:type="pct"/>
            <w:vAlign w:val="center"/>
            <w:hideMark/>
          </w:tcPr>
          <w:p w14:paraId="158D8A08" w14:textId="77777777" w:rsidR="00000000" w:rsidRDefault="00A173A8">
            <w:pPr>
              <w:spacing w:after="100"/>
              <w:rPr>
                <w:rFonts w:eastAsia="Times New Roman"/>
                <w:sz w:val="20"/>
                <w:szCs w:val="20"/>
              </w:rPr>
            </w:pPr>
          </w:p>
        </w:tc>
        <w:tc>
          <w:tcPr>
            <w:tcW w:w="50" w:type="pct"/>
            <w:vAlign w:val="center"/>
            <w:hideMark/>
          </w:tcPr>
          <w:p w14:paraId="71F51591" w14:textId="77777777" w:rsidR="00000000" w:rsidRDefault="00A173A8">
            <w:pPr>
              <w:spacing w:after="100"/>
              <w:rPr>
                <w:rFonts w:eastAsia="Times New Roman"/>
                <w:sz w:val="20"/>
                <w:szCs w:val="20"/>
              </w:rPr>
            </w:pPr>
          </w:p>
        </w:tc>
        <w:tc>
          <w:tcPr>
            <w:tcW w:w="464" w:type="pct"/>
            <w:vAlign w:val="center"/>
            <w:hideMark/>
          </w:tcPr>
          <w:p w14:paraId="62495283" w14:textId="77777777" w:rsidR="00000000" w:rsidRDefault="00A173A8">
            <w:pPr>
              <w:spacing w:after="100"/>
              <w:rPr>
                <w:rFonts w:eastAsia="Times New Roman"/>
                <w:sz w:val="20"/>
                <w:szCs w:val="20"/>
              </w:rPr>
            </w:pPr>
          </w:p>
        </w:tc>
        <w:tc>
          <w:tcPr>
            <w:tcW w:w="5" w:type="pct"/>
            <w:vAlign w:val="center"/>
            <w:hideMark/>
          </w:tcPr>
          <w:p w14:paraId="31EF48BA" w14:textId="77777777" w:rsidR="00000000" w:rsidRDefault="00A173A8">
            <w:pPr>
              <w:spacing w:after="100"/>
              <w:rPr>
                <w:rFonts w:eastAsia="Times New Roman"/>
                <w:sz w:val="20"/>
                <w:szCs w:val="20"/>
              </w:rPr>
            </w:pPr>
          </w:p>
        </w:tc>
      </w:tr>
      <w:tr w:rsidR="00000000" w14:paraId="5F3383B9" w14:textId="77777777">
        <w:trPr>
          <w:divId w:val="571232434"/>
        </w:trPr>
        <w:tc>
          <w:tcPr>
            <w:tcW w:w="0" w:type="auto"/>
            <w:gridSpan w:val="3"/>
            <w:tcMar>
              <w:top w:w="0" w:type="dxa"/>
              <w:left w:w="20" w:type="dxa"/>
              <w:bottom w:w="0" w:type="dxa"/>
              <w:right w:w="20" w:type="dxa"/>
            </w:tcMar>
            <w:vAlign w:val="center"/>
            <w:hideMark/>
          </w:tcPr>
          <w:p w14:paraId="1820796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DF4FAC" w14:textId="77777777" w:rsidR="00000000" w:rsidRDefault="00A173A8">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020043BE" w14:textId="77777777" w:rsidR="00000000" w:rsidRDefault="00A173A8">
            <w:pPr>
              <w:spacing w:after="100"/>
              <w:jc w:val="center"/>
              <w:rPr>
                <w:rFonts w:eastAsia="Times New Roman"/>
              </w:rPr>
            </w:pPr>
            <w:r>
              <w:rPr>
                <w:rFonts w:eastAsia="Times New Roman"/>
                <w:b/>
                <w:bCs/>
                <w:color w:val="000000"/>
                <w:sz w:val="16"/>
                <w:szCs w:val="16"/>
              </w:rPr>
              <w:t>Six Months Ended June 30, 2021</w:t>
            </w:r>
          </w:p>
        </w:tc>
      </w:tr>
      <w:tr w:rsidR="00000000" w14:paraId="5D390414" w14:textId="77777777">
        <w:trPr>
          <w:divId w:val="571232434"/>
        </w:trPr>
        <w:tc>
          <w:tcPr>
            <w:tcW w:w="0" w:type="auto"/>
            <w:gridSpan w:val="3"/>
            <w:tcBorders>
              <w:bottom w:val="single" w:sz="8" w:space="0" w:color="000000"/>
            </w:tcBorders>
            <w:tcMar>
              <w:top w:w="30" w:type="dxa"/>
              <w:left w:w="20" w:type="dxa"/>
              <w:bottom w:w="30" w:type="dxa"/>
              <w:right w:w="20" w:type="dxa"/>
            </w:tcMar>
            <w:vAlign w:val="bottom"/>
            <w:hideMark/>
          </w:tcPr>
          <w:p w14:paraId="565136C9"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04AFA10E" w14:textId="77777777" w:rsidR="00000000" w:rsidRDefault="00A173A8">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0C23601" w14:textId="77777777" w:rsidR="00000000" w:rsidRDefault="00A173A8">
            <w:pPr>
              <w:spacing w:after="100"/>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14:paraId="159EACBE"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355A97A" w14:textId="77777777" w:rsidR="00000000" w:rsidRDefault="00A173A8">
            <w:pPr>
              <w:spacing w:after="100"/>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14:paraId="0853667F"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28FB9F5" w14:textId="77777777" w:rsidR="00000000" w:rsidRDefault="00A173A8">
            <w:pPr>
              <w:spacing w:after="100"/>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5EDD98BC"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394EFE" w14:textId="77777777" w:rsidR="00000000" w:rsidRDefault="00A173A8">
            <w:pPr>
              <w:spacing w:after="100"/>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14:paraId="0F98704B" w14:textId="77777777" w:rsidR="00000000" w:rsidRDefault="00A173A8">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18B733" w14:textId="77777777" w:rsidR="00000000" w:rsidRDefault="00A173A8">
            <w:pPr>
              <w:spacing w:after="100"/>
              <w:jc w:val="center"/>
              <w:rPr>
                <w:rFonts w:eastAsia="Times New Roman"/>
              </w:rPr>
            </w:pPr>
            <w:r>
              <w:rPr>
                <w:rFonts w:eastAsia="Times New Roman"/>
                <w:b/>
                <w:bCs/>
                <w:color w:val="000000"/>
                <w:sz w:val="16"/>
                <w:szCs w:val="16"/>
              </w:rPr>
              <w:t>Consolidated Total</w:t>
            </w:r>
          </w:p>
        </w:tc>
      </w:tr>
      <w:tr w:rsidR="00000000" w14:paraId="217404D6" w14:textId="77777777">
        <w:trPr>
          <w:divId w:val="5712324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6F5E6A53" w14:textId="77777777" w:rsidR="00000000" w:rsidRDefault="00A173A8">
            <w:pPr>
              <w:spacing w:after="100"/>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14:paraId="1421E40C" w14:textId="77777777" w:rsidR="00000000" w:rsidRDefault="00A173A8">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36576E"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C50436"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3F38C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72D841"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DF0FE8"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71E609"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92CE4C" w14:textId="77777777" w:rsidR="00000000" w:rsidRDefault="00A173A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010A15" w14:textId="77777777" w:rsidR="00000000" w:rsidRDefault="00A173A8">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ECA49D" w14:textId="77777777" w:rsidR="00000000" w:rsidRDefault="00A173A8">
            <w:pPr>
              <w:spacing w:after="100"/>
              <w:rPr>
                <w:rFonts w:eastAsia="Times New Roman"/>
                <w:sz w:val="20"/>
                <w:szCs w:val="20"/>
              </w:rPr>
            </w:pPr>
          </w:p>
        </w:tc>
      </w:tr>
      <w:tr w:rsidR="00000000" w14:paraId="4A04FB61" w14:textId="77777777">
        <w:trPr>
          <w:divId w:val="571232434"/>
        </w:trPr>
        <w:tc>
          <w:tcPr>
            <w:tcW w:w="0" w:type="auto"/>
            <w:gridSpan w:val="3"/>
            <w:shd w:val="clear" w:color="auto" w:fill="FFFFFF"/>
            <w:tcMar>
              <w:top w:w="30" w:type="dxa"/>
              <w:left w:w="20" w:type="dxa"/>
              <w:bottom w:w="30" w:type="dxa"/>
              <w:right w:w="20" w:type="dxa"/>
            </w:tcMar>
            <w:vAlign w:val="center"/>
            <w:hideMark/>
          </w:tcPr>
          <w:p w14:paraId="7AEA4B7F" w14:textId="77777777" w:rsidR="00000000" w:rsidRDefault="00A173A8">
            <w:pPr>
              <w:spacing w:after="100"/>
              <w:divId w:val="1171603352"/>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095F4B77" w14:textId="77777777" w:rsidR="00000000" w:rsidRDefault="00A173A8">
            <w:pPr>
              <w:spacing w:after="100"/>
              <w:rPr>
                <w:rFonts w:eastAsia="Times New Roman"/>
              </w:rPr>
            </w:pPr>
          </w:p>
        </w:tc>
        <w:tc>
          <w:tcPr>
            <w:tcW w:w="0" w:type="auto"/>
            <w:shd w:val="clear" w:color="auto" w:fill="FFFFFF"/>
            <w:tcMar>
              <w:top w:w="30" w:type="dxa"/>
              <w:left w:w="20" w:type="dxa"/>
              <w:bottom w:w="30" w:type="dxa"/>
              <w:right w:w="0" w:type="dxa"/>
            </w:tcMar>
            <w:vAlign w:val="center"/>
            <w:hideMark/>
          </w:tcPr>
          <w:p w14:paraId="27DEBF5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75E4AE9" w14:textId="77777777" w:rsidR="00000000" w:rsidRDefault="00A173A8">
            <w:pPr>
              <w:spacing w:after="100"/>
              <w:jc w:val="right"/>
              <w:rPr>
                <w:rFonts w:eastAsia="Times New Roman"/>
              </w:rPr>
            </w:pPr>
            <w:r>
              <w:rPr>
                <w:rFonts w:eastAsia="Times New Roman"/>
                <w:color w:val="000000"/>
                <w:sz w:val="18"/>
                <w:szCs w:val="18"/>
              </w:rPr>
              <w:t>1,668 </w:t>
            </w:r>
          </w:p>
        </w:tc>
        <w:tc>
          <w:tcPr>
            <w:tcW w:w="0" w:type="auto"/>
            <w:shd w:val="clear" w:color="auto" w:fill="FFFFFF"/>
            <w:tcMar>
              <w:top w:w="30" w:type="dxa"/>
              <w:left w:w="0" w:type="dxa"/>
              <w:bottom w:w="30" w:type="dxa"/>
              <w:right w:w="20" w:type="dxa"/>
            </w:tcMar>
            <w:vAlign w:val="center"/>
            <w:hideMark/>
          </w:tcPr>
          <w:p w14:paraId="676CA73B"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8736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3250F324"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68C7E0C" w14:textId="77777777" w:rsidR="00000000" w:rsidRDefault="00A173A8">
            <w:pPr>
              <w:spacing w:after="100"/>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center"/>
            <w:hideMark/>
          </w:tcPr>
          <w:p w14:paraId="36CC879F"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7BC2DD"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29EF8BE7"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65D6DACF" w14:textId="77777777" w:rsidR="00000000" w:rsidRDefault="00A173A8">
            <w:pPr>
              <w:spacing w:after="100"/>
              <w:jc w:val="right"/>
              <w:rPr>
                <w:rFonts w:eastAsia="Times New Roman"/>
              </w:rPr>
            </w:pPr>
            <w:r>
              <w:rPr>
                <w:rFonts w:eastAsia="Times New Roman"/>
                <w:color w:val="000000"/>
                <w:sz w:val="18"/>
                <w:szCs w:val="18"/>
              </w:rPr>
              <w:t>41 </w:t>
            </w:r>
          </w:p>
        </w:tc>
        <w:tc>
          <w:tcPr>
            <w:tcW w:w="0" w:type="auto"/>
            <w:shd w:val="clear" w:color="auto" w:fill="FFFFFF"/>
            <w:tcMar>
              <w:top w:w="30" w:type="dxa"/>
              <w:left w:w="0" w:type="dxa"/>
              <w:bottom w:w="30" w:type="dxa"/>
              <w:right w:w="20" w:type="dxa"/>
            </w:tcMar>
            <w:vAlign w:val="center"/>
            <w:hideMark/>
          </w:tcPr>
          <w:p w14:paraId="7E95126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EF3BFA"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6FDCC1C1"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03020473"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7F7162A6"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E28753"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7C6E3FDC"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2C94CA6B" w14:textId="77777777" w:rsidR="00000000" w:rsidRDefault="00A173A8">
            <w:pPr>
              <w:spacing w:after="100"/>
              <w:jc w:val="right"/>
              <w:rPr>
                <w:rFonts w:eastAsia="Times New Roman"/>
              </w:rPr>
            </w:pPr>
            <w:r>
              <w:rPr>
                <w:rFonts w:eastAsia="Times New Roman"/>
                <w:color w:val="000000"/>
                <w:sz w:val="18"/>
                <w:szCs w:val="18"/>
              </w:rPr>
              <w:t>1,833 </w:t>
            </w:r>
          </w:p>
        </w:tc>
        <w:tc>
          <w:tcPr>
            <w:tcW w:w="0" w:type="auto"/>
            <w:shd w:val="clear" w:color="auto" w:fill="FFFFFF"/>
            <w:tcMar>
              <w:top w:w="30" w:type="dxa"/>
              <w:left w:w="0" w:type="dxa"/>
              <w:bottom w:w="30" w:type="dxa"/>
              <w:right w:w="20" w:type="dxa"/>
            </w:tcMar>
            <w:vAlign w:val="center"/>
            <w:hideMark/>
          </w:tcPr>
          <w:p w14:paraId="63262922" w14:textId="77777777" w:rsidR="00000000" w:rsidRDefault="00A173A8">
            <w:pPr>
              <w:spacing w:after="100"/>
              <w:jc w:val="right"/>
              <w:rPr>
                <w:rFonts w:eastAsia="Times New Roman"/>
              </w:rPr>
            </w:pPr>
          </w:p>
        </w:tc>
      </w:tr>
      <w:tr w:rsidR="00000000" w14:paraId="3BC93F12" w14:textId="77777777">
        <w:trPr>
          <w:divId w:val="571232434"/>
        </w:trPr>
        <w:tc>
          <w:tcPr>
            <w:tcW w:w="0" w:type="auto"/>
            <w:gridSpan w:val="3"/>
            <w:shd w:val="clear" w:color="auto" w:fill="CCEEFF"/>
            <w:tcMar>
              <w:top w:w="30" w:type="dxa"/>
              <w:left w:w="245" w:type="dxa"/>
              <w:bottom w:w="30" w:type="dxa"/>
              <w:right w:w="20" w:type="dxa"/>
            </w:tcMar>
            <w:vAlign w:val="center"/>
            <w:hideMark/>
          </w:tcPr>
          <w:p w14:paraId="3C2CA602" w14:textId="77777777" w:rsidR="00000000" w:rsidRDefault="00A173A8">
            <w:pPr>
              <w:spacing w:after="100"/>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14:paraId="17E9788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72C2097E"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18F30BE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D655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65C5265F" w14:textId="77777777" w:rsidR="00000000" w:rsidRDefault="00A173A8">
            <w:pPr>
              <w:spacing w:after="100"/>
              <w:jc w:val="right"/>
              <w:rPr>
                <w:rFonts w:eastAsia="Times New Roman"/>
              </w:rPr>
            </w:pPr>
            <w:r>
              <w:rPr>
                <w:rFonts w:eastAsia="Times New Roman"/>
                <w:color w:val="000000"/>
                <w:sz w:val="18"/>
                <w:szCs w:val="18"/>
              </w:rPr>
              <w:t>89 </w:t>
            </w:r>
          </w:p>
        </w:tc>
        <w:tc>
          <w:tcPr>
            <w:tcW w:w="0" w:type="auto"/>
            <w:shd w:val="clear" w:color="auto" w:fill="CCEEFF"/>
            <w:tcMar>
              <w:top w:w="30" w:type="dxa"/>
              <w:left w:w="0" w:type="dxa"/>
              <w:bottom w:w="30" w:type="dxa"/>
              <w:right w:w="20" w:type="dxa"/>
            </w:tcMar>
            <w:vAlign w:val="center"/>
            <w:hideMark/>
          </w:tcPr>
          <w:p w14:paraId="575E0911"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EA2FF"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740FF7F6" w14:textId="77777777" w:rsidR="00000000" w:rsidRDefault="00A173A8">
            <w:pPr>
              <w:spacing w:after="100"/>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center"/>
            <w:hideMark/>
          </w:tcPr>
          <w:p w14:paraId="23A884B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82D2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55E84439"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14:paraId="4A8E1480"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54B84"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111ED8B4" w14:textId="77777777" w:rsidR="00000000" w:rsidRDefault="00A173A8">
            <w:pPr>
              <w:spacing w:after="100"/>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center"/>
            <w:hideMark/>
          </w:tcPr>
          <w:p w14:paraId="676C2B62" w14:textId="77777777" w:rsidR="00000000" w:rsidRDefault="00A173A8">
            <w:pPr>
              <w:spacing w:after="100"/>
              <w:jc w:val="right"/>
              <w:rPr>
                <w:rFonts w:eastAsia="Times New Roman"/>
              </w:rPr>
            </w:pPr>
          </w:p>
        </w:tc>
      </w:tr>
      <w:tr w:rsidR="00000000" w14:paraId="7909470D" w14:textId="77777777">
        <w:trPr>
          <w:divId w:val="571232434"/>
        </w:trPr>
        <w:tc>
          <w:tcPr>
            <w:tcW w:w="0" w:type="auto"/>
            <w:gridSpan w:val="3"/>
            <w:shd w:val="clear" w:color="auto" w:fill="FFFFFF"/>
            <w:tcMar>
              <w:top w:w="30" w:type="dxa"/>
              <w:left w:w="245" w:type="dxa"/>
              <w:bottom w:w="30" w:type="dxa"/>
              <w:right w:w="20" w:type="dxa"/>
            </w:tcMar>
            <w:vAlign w:val="center"/>
            <w:hideMark/>
          </w:tcPr>
          <w:p w14:paraId="328561AB" w14:textId="77777777" w:rsidR="00000000" w:rsidRDefault="00A173A8">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4200A594"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2DDCEB0B" w14:textId="77777777" w:rsidR="00000000" w:rsidRDefault="00A173A8">
            <w:pPr>
              <w:spacing w:after="100"/>
              <w:jc w:val="right"/>
              <w:rPr>
                <w:rFonts w:eastAsia="Times New Roman"/>
              </w:rPr>
            </w:pPr>
            <w:r>
              <w:rPr>
                <w:rFonts w:eastAsia="Times New Roman"/>
                <w:color w:val="000000"/>
                <w:sz w:val="18"/>
                <w:szCs w:val="18"/>
              </w:rPr>
              <w:t>164 </w:t>
            </w:r>
          </w:p>
        </w:tc>
        <w:tc>
          <w:tcPr>
            <w:tcW w:w="0" w:type="auto"/>
            <w:shd w:val="clear" w:color="auto" w:fill="FFFFFF"/>
            <w:tcMar>
              <w:top w:w="30" w:type="dxa"/>
              <w:left w:w="0" w:type="dxa"/>
              <w:bottom w:w="30" w:type="dxa"/>
              <w:right w:w="20" w:type="dxa"/>
            </w:tcMar>
            <w:vAlign w:val="center"/>
            <w:hideMark/>
          </w:tcPr>
          <w:p w14:paraId="0F31DB6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BA4F5E"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48379EE" w14:textId="77777777" w:rsidR="00000000" w:rsidRDefault="00A173A8">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14:paraId="32E95C7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CA26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740636D" w14:textId="77777777" w:rsidR="00000000" w:rsidRDefault="00A173A8">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14:paraId="5C33240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A6C8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12212E50" w14:textId="77777777" w:rsidR="00000000" w:rsidRDefault="00A173A8">
            <w:pPr>
              <w:spacing w:after="100"/>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14:paraId="1DFA754D"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2D45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C486DB0" w14:textId="77777777" w:rsidR="00000000" w:rsidRDefault="00A173A8">
            <w:pPr>
              <w:spacing w:after="100"/>
              <w:jc w:val="right"/>
              <w:rPr>
                <w:rFonts w:eastAsia="Times New Roman"/>
              </w:rPr>
            </w:pPr>
            <w:r>
              <w:rPr>
                <w:rFonts w:eastAsia="Times New Roman"/>
                <w:color w:val="000000"/>
                <w:sz w:val="18"/>
                <w:szCs w:val="18"/>
              </w:rPr>
              <w:t>204 </w:t>
            </w:r>
          </w:p>
        </w:tc>
        <w:tc>
          <w:tcPr>
            <w:tcW w:w="0" w:type="auto"/>
            <w:shd w:val="clear" w:color="auto" w:fill="FFFFFF"/>
            <w:tcMar>
              <w:top w:w="30" w:type="dxa"/>
              <w:left w:w="0" w:type="dxa"/>
              <w:bottom w:w="30" w:type="dxa"/>
              <w:right w:w="20" w:type="dxa"/>
            </w:tcMar>
            <w:vAlign w:val="center"/>
            <w:hideMark/>
          </w:tcPr>
          <w:p w14:paraId="11A4C43E" w14:textId="77777777" w:rsidR="00000000" w:rsidRDefault="00A173A8">
            <w:pPr>
              <w:spacing w:after="100"/>
              <w:jc w:val="right"/>
              <w:rPr>
                <w:rFonts w:eastAsia="Times New Roman"/>
              </w:rPr>
            </w:pPr>
          </w:p>
        </w:tc>
      </w:tr>
      <w:tr w:rsidR="00000000" w14:paraId="55B6F34F" w14:textId="77777777">
        <w:trPr>
          <w:divId w:val="571232434"/>
        </w:trPr>
        <w:tc>
          <w:tcPr>
            <w:tcW w:w="0" w:type="auto"/>
            <w:gridSpan w:val="3"/>
            <w:shd w:val="clear" w:color="auto" w:fill="CCEEFF"/>
            <w:tcMar>
              <w:top w:w="30" w:type="dxa"/>
              <w:left w:w="20" w:type="dxa"/>
              <w:bottom w:w="30" w:type="dxa"/>
              <w:right w:w="20" w:type="dxa"/>
            </w:tcMar>
            <w:vAlign w:val="center"/>
            <w:hideMark/>
          </w:tcPr>
          <w:p w14:paraId="73F7B754" w14:textId="77777777" w:rsidR="00000000" w:rsidRDefault="00A173A8">
            <w:pPr>
              <w:spacing w:after="100"/>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14:paraId="01410A3B"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7321E86" w14:textId="77777777" w:rsidR="00000000" w:rsidRDefault="00A173A8">
            <w:pPr>
              <w:spacing w:after="100"/>
              <w:jc w:val="right"/>
              <w:rPr>
                <w:rFonts w:eastAsia="Times New Roman"/>
              </w:rPr>
            </w:pPr>
            <w:r>
              <w:rPr>
                <w:rFonts w:eastAsia="Times New Roman"/>
                <w:color w:val="000000"/>
                <w:sz w:val="18"/>
                <w:szCs w:val="18"/>
              </w:rPr>
              <w:t>1,832 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8C9D12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97546"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15C4C970" w14:textId="77777777" w:rsidR="00000000" w:rsidRDefault="00A173A8">
            <w:pPr>
              <w:spacing w:after="100"/>
              <w:jc w:val="right"/>
              <w:rPr>
                <w:rFonts w:eastAsia="Times New Roman"/>
              </w:rPr>
            </w:pPr>
            <w:r>
              <w:rPr>
                <w:rFonts w:eastAsia="Times New Roman"/>
                <w:color w:val="000000"/>
                <w:sz w:val="18"/>
                <w:szCs w:val="18"/>
              </w:rPr>
              <w:t>251 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39707A58"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265B3"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7BD454CC" w14:textId="77777777" w:rsidR="00000000" w:rsidRDefault="00A173A8">
            <w:pPr>
              <w:spacing w:after="100"/>
              <w:jc w:val="right"/>
              <w:rPr>
                <w:rFonts w:eastAsia="Times New Roman"/>
              </w:rPr>
            </w:pPr>
            <w:r>
              <w:rPr>
                <w:rFonts w:eastAsia="Times New Roman"/>
                <w:color w:val="000000"/>
                <w:sz w:val="18"/>
                <w:szCs w:val="18"/>
              </w:rPr>
              <w:t>159 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1BC60EF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9197C"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61937845" w14:textId="77777777" w:rsidR="00000000" w:rsidRDefault="00A173A8">
            <w:pPr>
              <w:spacing w:after="100"/>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179E12E"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C0940D"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55FC97C1" w14:textId="77777777" w:rsidR="00000000" w:rsidRDefault="00A173A8">
            <w:pPr>
              <w:spacing w:after="100"/>
              <w:jc w:val="right"/>
              <w:rPr>
                <w:rFonts w:eastAsia="Times New Roman"/>
              </w:rPr>
            </w:pPr>
            <w:r>
              <w:rPr>
                <w:rFonts w:eastAsia="Times New Roman"/>
                <w:color w:val="000000"/>
                <w:sz w:val="18"/>
                <w:szCs w:val="18"/>
              </w:rPr>
              <w:t>2,242 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656A9A5" w14:textId="77777777" w:rsidR="00000000" w:rsidRDefault="00A173A8">
            <w:pPr>
              <w:spacing w:after="100"/>
              <w:jc w:val="right"/>
              <w:rPr>
                <w:rFonts w:eastAsia="Times New Roman"/>
              </w:rPr>
            </w:pPr>
          </w:p>
        </w:tc>
      </w:tr>
      <w:tr w:rsidR="00000000" w14:paraId="4AE35A17" w14:textId="77777777">
        <w:trPr>
          <w:divId w:val="571232434"/>
        </w:trPr>
        <w:tc>
          <w:tcPr>
            <w:tcW w:w="0" w:type="auto"/>
            <w:gridSpan w:val="3"/>
            <w:shd w:val="clear" w:color="auto" w:fill="FFFFFF"/>
            <w:tcMar>
              <w:top w:w="30" w:type="dxa"/>
              <w:left w:w="20" w:type="dxa"/>
              <w:bottom w:w="30" w:type="dxa"/>
              <w:right w:w="20" w:type="dxa"/>
            </w:tcMar>
            <w:vAlign w:val="center"/>
            <w:hideMark/>
          </w:tcPr>
          <w:p w14:paraId="66A10BC4" w14:textId="77777777" w:rsidR="00000000" w:rsidRDefault="00A173A8">
            <w:pPr>
              <w:spacing w:after="100"/>
              <w:rPr>
                <w:rFonts w:eastAsia="Times New Roman"/>
              </w:rPr>
            </w:pPr>
            <w:r>
              <w:rPr>
                <w:rFonts w:eastAsia="Times New Roman"/>
                <w:color w:val="000000"/>
                <w:sz w:val="18"/>
                <w:szCs w:val="18"/>
              </w:rPr>
              <w:t>Revenue (reduction) from other sources</w:t>
            </w:r>
          </w:p>
        </w:tc>
        <w:tc>
          <w:tcPr>
            <w:tcW w:w="0" w:type="auto"/>
            <w:gridSpan w:val="3"/>
            <w:shd w:val="clear" w:color="auto" w:fill="FFFFFF"/>
            <w:tcMar>
              <w:top w:w="0" w:type="dxa"/>
              <w:left w:w="20" w:type="dxa"/>
              <w:bottom w:w="0" w:type="dxa"/>
              <w:right w:w="20" w:type="dxa"/>
            </w:tcMar>
            <w:vAlign w:val="center"/>
            <w:hideMark/>
          </w:tcPr>
          <w:p w14:paraId="4B4D57E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713178B4" w14:textId="77777777" w:rsidR="00000000" w:rsidRDefault="00A173A8">
            <w:pPr>
              <w:spacing w:after="100"/>
              <w:jc w:val="right"/>
              <w:rPr>
                <w:rFonts w:eastAsia="Times New Roman"/>
              </w:rPr>
            </w:pPr>
            <w:r>
              <w:rPr>
                <w:rFonts w:eastAsia="Times New Roman"/>
                <w:color w:val="000000"/>
                <w:sz w:val="18"/>
                <w:szCs w:val="18"/>
              </w:rPr>
              <w:t>450 </w:t>
            </w:r>
          </w:p>
        </w:tc>
        <w:tc>
          <w:tcPr>
            <w:tcW w:w="0" w:type="auto"/>
            <w:shd w:val="clear" w:color="auto" w:fill="FFFFFF"/>
            <w:tcMar>
              <w:top w:w="30" w:type="dxa"/>
              <w:left w:w="0" w:type="dxa"/>
              <w:bottom w:w="30" w:type="dxa"/>
              <w:right w:w="20" w:type="dxa"/>
            </w:tcMar>
            <w:vAlign w:val="center"/>
            <w:hideMark/>
          </w:tcPr>
          <w:p w14:paraId="11F0780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3A1224"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3BD6C83E" w14:textId="77777777" w:rsidR="00000000" w:rsidRDefault="00A173A8">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14:paraId="39CCD23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A9136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E58EE5D" w14:textId="77777777" w:rsidR="00000000" w:rsidRDefault="00A173A8">
            <w:pPr>
              <w:spacing w:after="100"/>
              <w:jc w:val="right"/>
              <w:rPr>
                <w:rFonts w:eastAsia="Times New Roman"/>
              </w:rPr>
            </w:pPr>
            <w:r>
              <w:rPr>
                <w:rFonts w:eastAsia="Times New Roman"/>
                <w:color w:val="000000"/>
                <w:sz w:val="18"/>
                <w:szCs w:val="18"/>
              </w:rPr>
              <w:t>338 </w:t>
            </w:r>
          </w:p>
        </w:tc>
        <w:tc>
          <w:tcPr>
            <w:tcW w:w="0" w:type="auto"/>
            <w:shd w:val="clear" w:color="auto" w:fill="FFFFFF"/>
            <w:tcMar>
              <w:top w:w="30" w:type="dxa"/>
              <w:left w:w="0" w:type="dxa"/>
              <w:bottom w:w="30" w:type="dxa"/>
              <w:right w:w="20" w:type="dxa"/>
            </w:tcMar>
            <w:vAlign w:val="center"/>
            <w:hideMark/>
          </w:tcPr>
          <w:p w14:paraId="44BD513C"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23BD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B1FA204" w14:textId="77777777" w:rsidR="00000000" w:rsidRDefault="00A173A8">
            <w:pPr>
              <w:spacing w:after="100"/>
              <w:jc w:val="right"/>
              <w:rPr>
                <w:rFonts w:eastAsia="Times New Roman"/>
              </w:rPr>
            </w:pPr>
            <w:r>
              <w:rPr>
                <w:rFonts w:eastAsia="Times New Roman"/>
                <w:color w:val="000000"/>
                <w:sz w:val="18"/>
                <w:szCs w:val="18"/>
              </w:rPr>
              <w:t>(142)</w:t>
            </w:r>
          </w:p>
        </w:tc>
        <w:tc>
          <w:tcPr>
            <w:tcW w:w="0" w:type="auto"/>
            <w:shd w:val="clear" w:color="auto" w:fill="FFFFFF"/>
            <w:tcMar>
              <w:top w:w="30" w:type="dxa"/>
              <w:left w:w="0" w:type="dxa"/>
              <w:bottom w:w="30" w:type="dxa"/>
              <w:right w:w="20" w:type="dxa"/>
            </w:tcMar>
            <w:vAlign w:val="center"/>
            <w:hideMark/>
          </w:tcPr>
          <w:p w14:paraId="679762A5"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04310"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46097E99" w14:textId="77777777" w:rsidR="00000000" w:rsidRDefault="00A173A8">
            <w:pPr>
              <w:spacing w:after="100"/>
              <w:jc w:val="right"/>
              <w:rPr>
                <w:rFonts w:eastAsia="Times New Roman"/>
              </w:rPr>
            </w:pPr>
            <w:r>
              <w:rPr>
                <w:rFonts w:eastAsia="Times New Roman"/>
                <w:color w:val="000000"/>
                <w:sz w:val="18"/>
                <w:szCs w:val="18"/>
              </w:rPr>
              <w:t>680 </w:t>
            </w:r>
          </w:p>
        </w:tc>
        <w:tc>
          <w:tcPr>
            <w:tcW w:w="0" w:type="auto"/>
            <w:shd w:val="clear" w:color="auto" w:fill="FFFFFF"/>
            <w:tcMar>
              <w:top w:w="30" w:type="dxa"/>
              <w:left w:w="0" w:type="dxa"/>
              <w:bottom w:w="30" w:type="dxa"/>
              <w:right w:w="20" w:type="dxa"/>
            </w:tcMar>
            <w:vAlign w:val="center"/>
            <w:hideMark/>
          </w:tcPr>
          <w:p w14:paraId="754A9FDA" w14:textId="77777777" w:rsidR="00000000" w:rsidRDefault="00A173A8">
            <w:pPr>
              <w:spacing w:after="100"/>
              <w:jc w:val="right"/>
              <w:rPr>
                <w:rFonts w:eastAsia="Times New Roman"/>
              </w:rPr>
            </w:pPr>
          </w:p>
        </w:tc>
      </w:tr>
      <w:tr w:rsidR="00000000" w14:paraId="4C84BFA1" w14:textId="77777777">
        <w:trPr>
          <w:divId w:val="571232434"/>
        </w:trPr>
        <w:tc>
          <w:tcPr>
            <w:tcW w:w="0" w:type="auto"/>
            <w:gridSpan w:val="3"/>
            <w:shd w:val="clear" w:color="auto" w:fill="CCEEFF"/>
            <w:tcMar>
              <w:top w:w="30" w:type="dxa"/>
              <w:left w:w="20" w:type="dxa"/>
              <w:bottom w:w="30" w:type="dxa"/>
              <w:right w:w="20" w:type="dxa"/>
            </w:tcMar>
            <w:vAlign w:val="center"/>
            <w:hideMark/>
          </w:tcPr>
          <w:p w14:paraId="0F0413C7" w14:textId="77777777" w:rsidR="00000000" w:rsidRDefault="00A173A8">
            <w:pPr>
              <w:spacing w:after="100"/>
              <w:rPr>
                <w:rFonts w:eastAsia="Times New Roman"/>
              </w:rPr>
            </w:pPr>
            <w:r>
              <w:rPr>
                <w:rFonts w:eastAsia="Times New Roman"/>
                <w:color w:val="000000"/>
                <w:sz w:val="18"/>
                <w:szCs w:val="18"/>
              </w:rPr>
              <w:t>Total non-interest income (loss)</w:t>
            </w:r>
          </w:p>
        </w:tc>
        <w:tc>
          <w:tcPr>
            <w:tcW w:w="0" w:type="auto"/>
            <w:gridSpan w:val="3"/>
            <w:shd w:val="clear" w:color="auto" w:fill="CCEEFF"/>
            <w:tcMar>
              <w:top w:w="0" w:type="dxa"/>
              <w:left w:w="20" w:type="dxa"/>
              <w:bottom w:w="0" w:type="dxa"/>
              <w:right w:w="20" w:type="dxa"/>
            </w:tcMar>
            <w:vAlign w:val="center"/>
            <w:hideMark/>
          </w:tcPr>
          <w:p w14:paraId="2A777097"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3272CA5"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0E87CF9" w14:textId="77777777" w:rsidR="00000000" w:rsidRDefault="00A173A8">
            <w:pPr>
              <w:spacing w:after="100"/>
              <w:jc w:val="right"/>
              <w:rPr>
                <w:rFonts w:eastAsia="Times New Roman"/>
              </w:rPr>
            </w:pPr>
            <w:r>
              <w:rPr>
                <w:rFonts w:eastAsia="Times New Roman"/>
                <w:color w:val="000000"/>
                <w:sz w:val="18"/>
                <w:szCs w:val="18"/>
              </w:rPr>
              <w:t>2,282 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020F3DC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2465A"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4111A79D"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5D58165D" w14:textId="77777777" w:rsidR="00000000" w:rsidRDefault="00A173A8">
            <w:pPr>
              <w:spacing w:after="100"/>
              <w:jc w:val="right"/>
              <w:rPr>
                <w:rFonts w:eastAsia="Times New Roman"/>
              </w:rPr>
            </w:pPr>
            <w:r>
              <w:rPr>
                <w:rFonts w:eastAsia="Times New Roman"/>
                <w:color w:val="000000"/>
                <w:sz w:val="18"/>
                <w:szCs w:val="18"/>
              </w:rPr>
              <w:t>285 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175ECFF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5C287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988535E"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4DF2E83B" w14:textId="77777777" w:rsidR="00000000" w:rsidRDefault="00A173A8">
            <w:pPr>
              <w:spacing w:after="100"/>
              <w:jc w:val="right"/>
              <w:rPr>
                <w:rFonts w:eastAsia="Times New Roman"/>
              </w:rPr>
            </w:pPr>
            <w:r>
              <w:rPr>
                <w:rFonts w:eastAsia="Times New Roman"/>
                <w:color w:val="000000"/>
                <w:sz w:val="18"/>
                <w:szCs w:val="18"/>
              </w:rPr>
              <w:t>497 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7AC40A47"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B46BE"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0A65D81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001FC7DF" w14:textId="77777777" w:rsidR="00000000" w:rsidRDefault="00A173A8">
            <w:pPr>
              <w:spacing w:after="100"/>
              <w:jc w:val="right"/>
              <w:rPr>
                <w:rFonts w:eastAsia="Times New Roman"/>
              </w:rPr>
            </w:pPr>
            <w:r>
              <w:rPr>
                <w:rFonts w:eastAsia="Times New Roman"/>
                <w:color w:val="000000"/>
                <w:sz w:val="18"/>
                <w:szCs w:val="18"/>
              </w:rPr>
              <w:t>(142)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5E435D7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6C6C6"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14:paraId="56E488E6"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14:paraId="1864B9C5" w14:textId="77777777" w:rsidR="00000000" w:rsidRDefault="00A173A8">
            <w:pPr>
              <w:spacing w:after="100"/>
              <w:jc w:val="right"/>
              <w:rPr>
                <w:rFonts w:eastAsia="Times New Roman"/>
              </w:rPr>
            </w:pPr>
            <w:r>
              <w:rPr>
                <w:rFonts w:eastAsia="Times New Roman"/>
                <w:color w:val="000000"/>
                <w:sz w:val="18"/>
                <w:szCs w:val="18"/>
              </w:rPr>
              <w:t>2,922 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14:paraId="6B3788B7" w14:textId="77777777" w:rsidR="00000000" w:rsidRDefault="00A173A8">
            <w:pPr>
              <w:spacing w:after="100"/>
              <w:jc w:val="right"/>
              <w:rPr>
                <w:rFonts w:eastAsia="Times New Roman"/>
              </w:rPr>
            </w:pPr>
          </w:p>
        </w:tc>
      </w:tr>
    </w:tbl>
    <w:p w14:paraId="1BB853BD" w14:textId="77777777" w:rsidR="00000000" w:rsidRDefault="00A173A8">
      <w:pPr>
        <w:jc w:val="both"/>
        <w:divId w:val="571232434"/>
        <w:rPr>
          <w:rFonts w:eastAsia="Times New Roman"/>
        </w:rPr>
      </w:pPr>
      <w:r>
        <w:rPr>
          <w:rFonts w:eastAsia="Times New Roman"/>
          <w:color w:val="000000"/>
          <w:sz w:val="20"/>
          <w:szCs w:val="20"/>
        </w:rPr>
        <w:t>__________</w:t>
      </w:r>
    </w:p>
    <w:p w14:paraId="097141BF" w14:textId="77777777" w:rsidR="00000000" w:rsidRDefault="00A173A8">
      <w:pPr>
        <w:ind w:hanging="360"/>
        <w:jc w:val="both"/>
        <w:divId w:val="148801609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w:t>
      </w:r>
      <w:r>
        <w:rPr>
          <w:rFonts w:eastAsia="Times New Roman"/>
          <w:color w:val="000000"/>
          <w:sz w:val="16"/>
          <w:szCs w:val="16"/>
        </w:rPr>
        <w:t>te of 21% and state taxes where applicable, with offsetting reductions to the Other category.</w:t>
      </w:r>
    </w:p>
    <w:p w14:paraId="58F3E5D2" w14:textId="77777777" w:rsidR="00000000" w:rsidRDefault="00A173A8">
      <w:pPr>
        <w:ind w:hanging="360"/>
        <w:jc w:val="both"/>
        <w:divId w:val="149653141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Interchange fees are presented net of customer reward expenses.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F1D1F91" w14:textId="77777777">
        <w:trPr>
          <w:divId w:val="1377848355"/>
          <w:jc w:val="center"/>
        </w:trPr>
        <w:tc>
          <w:tcPr>
            <w:tcW w:w="50" w:type="pct"/>
            <w:vAlign w:val="center"/>
            <w:hideMark/>
          </w:tcPr>
          <w:p w14:paraId="1FC4944A" w14:textId="77777777" w:rsidR="00000000" w:rsidRDefault="00A173A8">
            <w:pPr>
              <w:ind w:hanging="360"/>
              <w:jc w:val="both"/>
              <w:rPr>
                <w:rFonts w:eastAsia="Times New Roman"/>
              </w:rPr>
            </w:pPr>
          </w:p>
        </w:tc>
        <w:tc>
          <w:tcPr>
            <w:tcW w:w="1606" w:type="pct"/>
            <w:vAlign w:val="center"/>
            <w:hideMark/>
          </w:tcPr>
          <w:p w14:paraId="53799D0B" w14:textId="77777777" w:rsidR="00000000" w:rsidRDefault="00A173A8">
            <w:pPr>
              <w:spacing w:after="100"/>
              <w:rPr>
                <w:rFonts w:eastAsia="Times New Roman"/>
                <w:sz w:val="20"/>
                <w:szCs w:val="20"/>
              </w:rPr>
            </w:pPr>
          </w:p>
        </w:tc>
        <w:tc>
          <w:tcPr>
            <w:tcW w:w="5" w:type="pct"/>
            <w:vAlign w:val="center"/>
            <w:hideMark/>
          </w:tcPr>
          <w:p w14:paraId="7B8A97BE" w14:textId="77777777" w:rsidR="00000000" w:rsidRDefault="00A173A8">
            <w:pPr>
              <w:spacing w:after="100"/>
              <w:rPr>
                <w:rFonts w:eastAsia="Times New Roman"/>
                <w:sz w:val="20"/>
                <w:szCs w:val="20"/>
              </w:rPr>
            </w:pPr>
          </w:p>
        </w:tc>
        <w:tc>
          <w:tcPr>
            <w:tcW w:w="50" w:type="pct"/>
            <w:vAlign w:val="center"/>
            <w:hideMark/>
          </w:tcPr>
          <w:p w14:paraId="0EEC51AE" w14:textId="77777777" w:rsidR="00000000" w:rsidRDefault="00A173A8">
            <w:pPr>
              <w:spacing w:after="100"/>
              <w:rPr>
                <w:rFonts w:eastAsia="Times New Roman"/>
                <w:sz w:val="20"/>
                <w:szCs w:val="20"/>
              </w:rPr>
            </w:pPr>
          </w:p>
        </w:tc>
        <w:tc>
          <w:tcPr>
            <w:tcW w:w="1614" w:type="pct"/>
            <w:vAlign w:val="center"/>
            <w:hideMark/>
          </w:tcPr>
          <w:p w14:paraId="1B064B37" w14:textId="77777777" w:rsidR="00000000" w:rsidRDefault="00A173A8">
            <w:pPr>
              <w:spacing w:after="100"/>
              <w:rPr>
                <w:rFonts w:eastAsia="Times New Roman"/>
                <w:sz w:val="20"/>
                <w:szCs w:val="20"/>
              </w:rPr>
            </w:pPr>
          </w:p>
        </w:tc>
        <w:tc>
          <w:tcPr>
            <w:tcW w:w="5" w:type="pct"/>
            <w:vAlign w:val="center"/>
            <w:hideMark/>
          </w:tcPr>
          <w:p w14:paraId="5B805000" w14:textId="77777777" w:rsidR="00000000" w:rsidRDefault="00A173A8">
            <w:pPr>
              <w:spacing w:after="100"/>
              <w:rPr>
                <w:rFonts w:eastAsia="Times New Roman"/>
                <w:sz w:val="20"/>
                <w:szCs w:val="20"/>
              </w:rPr>
            </w:pPr>
          </w:p>
        </w:tc>
        <w:tc>
          <w:tcPr>
            <w:tcW w:w="50" w:type="pct"/>
            <w:vAlign w:val="center"/>
            <w:hideMark/>
          </w:tcPr>
          <w:p w14:paraId="6489F3BA" w14:textId="77777777" w:rsidR="00000000" w:rsidRDefault="00A173A8">
            <w:pPr>
              <w:spacing w:after="100"/>
              <w:rPr>
                <w:rFonts w:eastAsia="Times New Roman"/>
                <w:sz w:val="20"/>
                <w:szCs w:val="20"/>
              </w:rPr>
            </w:pPr>
          </w:p>
        </w:tc>
        <w:tc>
          <w:tcPr>
            <w:tcW w:w="1614" w:type="pct"/>
            <w:vAlign w:val="center"/>
            <w:hideMark/>
          </w:tcPr>
          <w:p w14:paraId="1B581DB5" w14:textId="77777777" w:rsidR="00000000" w:rsidRDefault="00A173A8">
            <w:pPr>
              <w:spacing w:after="100"/>
              <w:rPr>
                <w:rFonts w:eastAsia="Times New Roman"/>
                <w:sz w:val="20"/>
                <w:szCs w:val="20"/>
              </w:rPr>
            </w:pPr>
          </w:p>
        </w:tc>
        <w:tc>
          <w:tcPr>
            <w:tcW w:w="5" w:type="pct"/>
            <w:vAlign w:val="center"/>
            <w:hideMark/>
          </w:tcPr>
          <w:p w14:paraId="1E787B41" w14:textId="77777777" w:rsidR="00000000" w:rsidRDefault="00A173A8">
            <w:pPr>
              <w:spacing w:after="100"/>
              <w:rPr>
                <w:rFonts w:eastAsia="Times New Roman"/>
                <w:sz w:val="20"/>
                <w:szCs w:val="20"/>
              </w:rPr>
            </w:pPr>
          </w:p>
        </w:tc>
      </w:tr>
      <w:tr w:rsidR="00000000" w14:paraId="149FD4B3" w14:textId="77777777">
        <w:trPr>
          <w:divId w:val="1377848355"/>
          <w:trHeight w:val="300"/>
          <w:jc w:val="center"/>
        </w:trPr>
        <w:tc>
          <w:tcPr>
            <w:tcW w:w="0" w:type="auto"/>
            <w:gridSpan w:val="9"/>
            <w:tcMar>
              <w:top w:w="0" w:type="dxa"/>
              <w:left w:w="20" w:type="dxa"/>
              <w:bottom w:w="0" w:type="dxa"/>
              <w:right w:w="20" w:type="dxa"/>
            </w:tcMar>
            <w:vAlign w:val="center"/>
            <w:hideMark/>
          </w:tcPr>
          <w:p w14:paraId="6B50C4EE" w14:textId="77777777" w:rsidR="00000000" w:rsidRDefault="00A173A8">
            <w:pPr>
              <w:spacing w:after="100"/>
              <w:rPr>
                <w:rFonts w:eastAsia="Times New Roman"/>
                <w:sz w:val="20"/>
                <w:szCs w:val="20"/>
              </w:rPr>
            </w:pPr>
          </w:p>
        </w:tc>
      </w:tr>
      <w:tr w:rsidR="00000000" w14:paraId="78B839D0" w14:textId="77777777">
        <w:trPr>
          <w:divId w:val="1377848355"/>
          <w:jc w:val="center"/>
        </w:trPr>
        <w:tc>
          <w:tcPr>
            <w:tcW w:w="0" w:type="auto"/>
            <w:gridSpan w:val="3"/>
            <w:tcMar>
              <w:top w:w="0" w:type="dxa"/>
              <w:left w:w="20" w:type="dxa"/>
              <w:bottom w:w="0" w:type="dxa"/>
              <w:right w:w="20" w:type="dxa"/>
            </w:tcMar>
            <w:vAlign w:val="center"/>
            <w:hideMark/>
          </w:tcPr>
          <w:p w14:paraId="52AFA2C7"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7049EA2" w14:textId="77777777" w:rsidR="00000000" w:rsidRDefault="00A173A8">
            <w:pPr>
              <w:spacing w:after="100"/>
              <w:jc w:val="center"/>
              <w:rPr>
                <w:rFonts w:eastAsia="Times New Roman"/>
              </w:rPr>
            </w:pPr>
            <w:r>
              <w:rPr>
                <w:rFonts w:eastAsia="Times New Roman"/>
                <w:color w:val="000000"/>
                <w:sz w:val="16"/>
                <w:szCs w:val="16"/>
              </w:rPr>
              <w:t>116</w:t>
            </w:r>
          </w:p>
        </w:tc>
        <w:tc>
          <w:tcPr>
            <w:tcW w:w="0" w:type="auto"/>
            <w:gridSpan w:val="3"/>
            <w:tcMar>
              <w:top w:w="30" w:type="dxa"/>
              <w:left w:w="20" w:type="dxa"/>
              <w:bottom w:w="30" w:type="dxa"/>
              <w:right w:w="20" w:type="dxa"/>
            </w:tcMar>
            <w:vAlign w:val="bottom"/>
            <w:hideMark/>
          </w:tcPr>
          <w:p w14:paraId="47468DBC"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E8EDC91" w14:textId="77777777" w:rsidR="00000000" w:rsidRDefault="00A173A8">
      <w:pPr>
        <w:rPr>
          <w:rFonts w:eastAsia="Times New Roman"/>
        </w:rPr>
      </w:pPr>
      <w:r>
        <w:rPr>
          <w:rFonts w:eastAsia="Times New Roman"/>
        </w:rPr>
        <w:pict w14:anchorId="69EB78B1">
          <v:rect id="_x0000_i1141" style="width:0;height:1.5pt" o:hralign="center" o:hrstd="t" o:hr="t" fillcolor="#a0a0a0" stroked="f"/>
        </w:pict>
      </w:r>
    </w:p>
    <w:p w14:paraId="59B09831" w14:textId="77777777" w:rsidR="00000000" w:rsidRDefault="00A173A8">
      <w:pPr>
        <w:jc w:val="both"/>
        <w:divId w:val="500391102"/>
        <w:rPr>
          <w:rFonts w:eastAsia="Times New Roman"/>
        </w:rPr>
      </w:pPr>
      <w:hyperlink w:anchor="i7ffd5d61af6f4722b1b1b07530d51c06_13"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E2C2F11" w14:textId="77777777">
        <w:trPr>
          <w:divId w:val="41292690"/>
        </w:trPr>
        <w:tc>
          <w:tcPr>
            <w:tcW w:w="50" w:type="pct"/>
            <w:vAlign w:val="center"/>
            <w:hideMark/>
          </w:tcPr>
          <w:p w14:paraId="66CB70C2" w14:textId="77777777" w:rsidR="00000000" w:rsidRDefault="00A173A8">
            <w:pPr>
              <w:jc w:val="both"/>
              <w:rPr>
                <w:rFonts w:eastAsia="Times New Roman"/>
              </w:rPr>
            </w:pPr>
          </w:p>
        </w:tc>
        <w:tc>
          <w:tcPr>
            <w:tcW w:w="4945" w:type="pct"/>
            <w:vAlign w:val="center"/>
            <w:hideMark/>
          </w:tcPr>
          <w:p w14:paraId="25B19DF7" w14:textId="77777777" w:rsidR="00000000" w:rsidRDefault="00A173A8">
            <w:pPr>
              <w:spacing w:after="100"/>
              <w:rPr>
                <w:rFonts w:eastAsia="Times New Roman"/>
                <w:sz w:val="20"/>
                <w:szCs w:val="20"/>
              </w:rPr>
            </w:pPr>
          </w:p>
        </w:tc>
        <w:tc>
          <w:tcPr>
            <w:tcW w:w="5" w:type="pct"/>
            <w:vAlign w:val="center"/>
            <w:hideMark/>
          </w:tcPr>
          <w:p w14:paraId="2A05DE41" w14:textId="77777777" w:rsidR="00000000" w:rsidRDefault="00A173A8">
            <w:pPr>
              <w:spacing w:after="100"/>
              <w:rPr>
                <w:rFonts w:eastAsia="Times New Roman"/>
                <w:sz w:val="20"/>
                <w:szCs w:val="20"/>
              </w:rPr>
            </w:pPr>
          </w:p>
        </w:tc>
      </w:tr>
      <w:tr w:rsidR="00000000" w14:paraId="38AC05F2" w14:textId="77777777">
        <w:trPr>
          <w:divId w:val="4129269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14:paraId="401675A5" w14:textId="77777777" w:rsidR="00000000" w:rsidRDefault="00A173A8">
            <w:pPr>
              <w:spacing w:after="100"/>
              <w:rPr>
                <w:rFonts w:eastAsia="Times New Roman"/>
              </w:rPr>
            </w:pPr>
            <w:r>
              <w:rPr>
                <w:rFonts w:eastAsia="Times New Roman"/>
                <w:b/>
                <w:bCs/>
                <w:color w:val="000000"/>
                <w:sz w:val="20"/>
                <w:szCs w:val="20"/>
              </w:rPr>
              <w:t>NOTE 13—COMMITMENTS, CONTINGENCIES, GUARANTEES AND OTHERS</w:t>
            </w:r>
          </w:p>
        </w:tc>
      </w:tr>
    </w:tbl>
    <w:p w14:paraId="3A6CE7EF" w14:textId="77777777" w:rsidR="00000000" w:rsidRDefault="00A173A8">
      <w:pPr>
        <w:divId w:val="1571454017"/>
        <w:rPr>
          <w:rFonts w:eastAsia="Times New Roman"/>
        </w:rPr>
      </w:pPr>
      <w:r>
        <w:rPr>
          <w:rFonts w:eastAsia="Times New Roman"/>
          <w:b/>
          <w:bCs/>
          <w:color w:val="000000"/>
          <w:sz w:val="20"/>
          <w:szCs w:val="20"/>
        </w:rPr>
        <w:t>Commitments to Lend</w:t>
      </w:r>
    </w:p>
    <w:p w14:paraId="7F0A9F8D" w14:textId="77777777" w:rsidR="00000000" w:rsidRDefault="00A173A8">
      <w:pPr>
        <w:jc w:val="both"/>
        <w:divId w:val="1924021426"/>
        <w:rPr>
          <w:rFonts w:eastAsia="Times New Roman"/>
        </w:rPr>
      </w:pPr>
      <w:r>
        <w:rPr>
          <w:rFonts w:eastAsia="Times New Roman"/>
          <w:color w:val="000000"/>
          <w:sz w:val="20"/>
          <w:szCs w:val="20"/>
        </w:rPr>
        <w:t>Our unfunded lending commitments primarily consist of credit card lines, loan commitments to customers of both our Commercial Banking and Consumer Banking businesses, as well as standby and commercial letters of credit. These commitments, other than credit</w:t>
      </w:r>
      <w:r>
        <w:rPr>
          <w:rFonts w:eastAsia="Times New Roman"/>
          <w:color w:val="000000"/>
          <w:sz w:val="20"/>
          <w:szCs w:val="20"/>
        </w:rPr>
        <w:t xml:space="preserve"> card lines, are legally binding conditional agreements that have fixed expirations or termination dates and specified interest rates and purposes. The contractual amount of these commitments represents the maximum possible credit risk to us should the cou</w:t>
      </w:r>
      <w:r>
        <w:rPr>
          <w:rFonts w:eastAsia="Times New Roman"/>
          <w:color w:val="000000"/>
          <w:sz w:val="20"/>
          <w:szCs w:val="20"/>
        </w:rPr>
        <w:t>nterparty draw upon the commitment. We generally manage the potential risk of unfunded lending commitments by limiting the total amount of arrangements, monitoring the size and maturity structure of these portfolios and applying the same credit standards f</w:t>
      </w:r>
      <w:r>
        <w:rPr>
          <w:rFonts w:eastAsia="Times New Roman"/>
          <w:color w:val="000000"/>
          <w:sz w:val="20"/>
          <w:szCs w:val="20"/>
        </w:rPr>
        <w:t>or all of our credit activities.</w:t>
      </w:r>
    </w:p>
    <w:p w14:paraId="5597DB5C" w14:textId="77777777" w:rsidR="00000000" w:rsidRDefault="00A173A8">
      <w:pPr>
        <w:jc w:val="both"/>
        <w:divId w:val="75135857"/>
        <w:rPr>
          <w:rFonts w:eastAsia="Times New Roman"/>
        </w:rPr>
      </w:pPr>
      <w:r>
        <w:rPr>
          <w:rFonts w:eastAsia="Times New Roman"/>
          <w:color w:val="000000"/>
          <w:sz w:val="20"/>
          <w:szCs w:val="20"/>
        </w:rPr>
        <w:t>For unused credit card lines, we have not experienced and do not anticipate that all of our customers will access their entire available line at any given point in time. Commitments to extend credit other than credit card l</w:t>
      </w:r>
      <w:r>
        <w:rPr>
          <w:rFonts w:eastAsia="Times New Roman"/>
          <w:color w:val="000000"/>
          <w:sz w:val="20"/>
          <w:szCs w:val="20"/>
        </w:rPr>
        <w:t>ines generally require customers to maintain certain credit standards. Collateral requirements and loan-to-value (“LTV”) ratios are the same as those for funded transactions and are established based on management’s credit assessment of the customer. These</w:t>
      </w:r>
      <w:r>
        <w:rPr>
          <w:rFonts w:eastAsia="Times New Roman"/>
          <w:color w:val="000000"/>
          <w:sz w:val="20"/>
          <w:szCs w:val="20"/>
        </w:rPr>
        <w:t xml:space="preserve"> commitments may expire without being drawn upon; therefore, the total commitment amount does not necessarily represent future funding requirements.</w:t>
      </w:r>
    </w:p>
    <w:p w14:paraId="3DC72B11" w14:textId="77777777" w:rsidR="00000000" w:rsidRDefault="00A173A8">
      <w:pPr>
        <w:jc w:val="both"/>
        <w:divId w:val="1342658764"/>
        <w:rPr>
          <w:rFonts w:eastAsia="Times New Roman"/>
        </w:rPr>
      </w:pPr>
      <w:r>
        <w:rPr>
          <w:rFonts w:eastAsia="Times New Roman"/>
          <w:color w:val="000000"/>
          <w:sz w:val="20"/>
          <w:szCs w:val="20"/>
        </w:rPr>
        <w:t>We also issue letters of credit, such as financial standby, performance standby and commercial letters of c</w:t>
      </w:r>
      <w:r>
        <w:rPr>
          <w:rFonts w:eastAsia="Times New Roman"/>
          <w:color w:val="000000"/>
          <w:sz w:val="20"/>
          <w:szCs w:val="20"/>
        </w:rPr>
        <w:t>redit, to meet the financing needs of our customers. Standby letters of credit are conditional commitments issued by us to guarantee the performance of a customer to a third party in a borrowing arrangement. Commercial letters of credit are short-term comm</w:t>
      </w:r>
      <w:r>
        <w:rPr>
          <w:rFonts w:eastAsia="Times New Roman"/>
          <w:color w:val="000000"/>
          <w:sz w:val="20"/>
          <w:szCs w:val="20"/>
        </w:rPr>
        <w:t xml:space="preserve">itments issued primarily to facilitate trade finance activities for customers and are generally collateralized by the goods being shipped to the customer. These collateral requirements are similar to those for funded transactions and are established based </w:t>
      </w:r>
      <w:r>
        <w:rPr>
          <w:rFonts w:eastAsia="Times New Roman"/>
          <w:color w:val="000000"/>
          <w:sz w:val="20"/>
          <w:szCs w:val="20"/>
        </w:rPr>
        <w:t>on management’s credit assessment of the customer. Management conducts regular reviews of all outstanding letters of credit and the results of these reviews are considered in assessing the adequacy of reserves for unfunded lending commitments.</w:t>
      </w:r>
    </w:p>
    <w:p w14:paraId="1CCC126E" w14:textId="77777777" w:rsidR="00000000" w:rsidRDefault="00A173A8">
      <w:pPr>
        <w:divId w:val="947002621"/>
        <w:rPr>
          <w:rFonts w:eastAsia="Times New Roman"/>
        </w:rPr>
      </w:pPr>
      <w:r>
        <w:rPr>
          <w:rFonts w:eastAsia="Times New Roman"/>
          <w:color w:val="000000"/>
          <w:sz w:val="20"/>
          <w:szCs w:val="20"/>
        </w:rPr>
        <w:t>The followin</w:t>
      </w:r>
      <w:r>
        <w:rPr>
          <w:rFonts w:eastAsia="Times New Roman"/>
          <w:color w:val="000000"/>
          <w:sz w:val="20"/>
          <w:szCs w:val="20"/>
        </w:rPr>
        <w:t>g table presents the contractual amount and carrying value of our unfunded lending commitments as of June 30, 2022 and December 31, 2021. The carrying value represents our reserve and deferred revenue on legally binding commitments.</w:t>
      </w:r>
    </w:p>
    <w:p w14:paraId="5BEBC4F9" w14:textId="77777777" w:rsidR="00000000" w:rsidRDefault="00A173A8">
      <w:pPr>
        <w:divId w:val="709188556"/>
        <w:rPr>
          <w:rFonts w:eastAsia="Times New Roman"/>
        </w:rPr>
      </w:pPr>
      <w:r>
        <w:rPr>
          <w:rFonts w:eastAsia="Times New Roman"/>
          <w:b/>
          <w:bCs/>
          <w:color w:val="000000"/>
          <w:sz w:val="18"/>
          <w:szCs w:val="18"/>
        </w:rPr>
        <w:t>Table 13.1: Unfunded Le</w:t>
      </w:r>
      <w:r>
        <w:rPr>
          <w:rFonts w:eastAsia="Times New Roman"/>
          <w:b/>
          <w:bCs/>
          <w:color w:val="000000"/>
          <w:sz w:val="18"/>
          <w:szCs w:val="18"/>
        </w:rPr>
        <w:t>nding Commitments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478"/>
        <w:gridCol w:w="37"/>
        <w:gridCol w:w="36"/>
        <w:gridCol w:w="36"/>
        <w:gridCol w:w="36"/>
        <w:gridCol w:w="110"/>
        <w:gridCol w:w="634"/>
        <w:gridCol w:w="36"/>
        <w:gridCol w:w="36"/>
        <w:gridCol w:w="36"/>
        <w:gridCol w:w="36"/>
        <w:gridCol w:w="110"/>
        <w:gridCol w:w="732"/>
        <w:gridCol w:w="36"/>
        <w:gridCol w:w="36"/>
        <w:gridCol w:w="36"/>
        <w:gridCol w:w="36"/>
        <w:gridCol w:w="110"/>
        <w:gridCol w:w="636"/>
        <w:gridCol w:w="36"/>
        <w:gridCol w:w="36"/>
        <w:gridCol w:w="36"/>
        <w:gridCol w:w="36"/>
        <w:gridCol w:w="111"/>
        <w:gridCol w:w="734"/>
        <w:gridCol w:w="36"/>
      </w:tblGrid>
      <w:tr w:rsidR="00000000" w14:paraId="0879394E" w14:textId="77777777">
        <w:trPr>
          <w:divId w:val="1721516375"/>
        </w:trPr>
        <w:tc>
          <w:tcPr>
            <w:tcW w:w="50" w:type="pct"/>
            <w:vAlign w:val="center"/>
            <w:hideMark/>
          </w:tcPr>
          <w:p w14:paraId="7EF07B71" w14:textId="77777777" w:rsidR="00000000" w:rsidRDefault="00A173A8">
            <w:pPr>
              <w:rPr>
                <w:rFonts w:eastAsia="Times New Roman"/>
              </w:rPr>
            </w:pPr>
          </w:p>
        </w:tc>
        <w:tc>
          <w:tcPr>
            <w:tcW w:w="2722" w:type="pct"/>
            <w:vAlign w:val="center"/>
            <w:hideMark/>
          </w:tcPr>
          <w:p w14:paraId="6ABC88F9" w14:textId="77777777" w:rsidR="00000000" w:rsidRDefault="00A173A8">
            <w:pPr>
              <w:spacing w:after="100"/>
              <w:rPr>
                <w:rFonts w:eastAsia="Times New Roman"/>
                <w:sz w:val="20"/>
                <w:szCs w:val="20"/>
              </w:rPr>
            </w:pPr>
          </w:p>
        </w:tc>
        <w:tc>
          <w:tcPr>
            <w:tcW w:w="5" w:type="pct"/>
            <w:vAlign w:val="center"/>
            <w:hideMark/>
          </w:tcPr>
          <w:p w14:paraId="5DDF9A16" w14:textId="77777777" w:rsidR="00000000" w:rsidRDefault="00A173A8">
            <w:pPr>
              <w:spacing w:after="100"/>
              <w:rPr>
                <w:rFonts w:eastAsia="Times New Roman"/>
                <w:sz w:val="20"/>
                <w:szCs w:val="20"/>
              </w:rPr>
            </w:pPr>
          </w:p>
        </w:tc>
        <w:tc>
          <w:tcPr>
            <w:tcW w:w="5" w:type="pct"/>
            <w:vAlign w:val="center"/>
            <w:hideMark/>
          </w:tcPr>
          <w:p w14:paraId="662731D4" w14:textId="77777777" w:rsidR="00000000" w:rsidRDefault="00A173A8">
            <w:pPr>
              <w:spacing w:after="100"/>
              <w:rPr>
                <w:rFonts w:eastAsia="Times New Roman"/>
                <w:sz w:val="20"/>
                <w:szCs w:val="20"/>
              </w:rPr>
            </w:pPr>
          </w:p>
        </w:tc>
        <w:tc>
          <w:tcPr>
            <w:tcW w:w="26" w:type="pct"/>
            <w:vAlign w:val="center"/>
            <w:hideMark/>
          </w:tcPr>
          <w:p w14:paraId="08AF8B2E" w14:textId="77777777" w:rsidR="00000000" w:rsidRDefault="00A173A8">
            <w:pPr>
              <w:spacing w:after="100"/>
              <w:rPr>
                <w:rFonts w:eastAsia="Times New Roman"/>
                <w:sz w:val="20"/>
                <w:szCs w:val="20"/>
              </w:rPr>
            </w:pPr>
          </w:p>
        </w:tc>
        <w:tc>
          <w:tcPr>
            <w:tcW w:w="5" w:type="pct"/>
            <w:vAlign w:val="center"/>
            <w:hideMark/>
          </w:tcPr>
          <w:p w14:paraId="517B0C2C" w14:textId="77777777" w:rsidR="00000000" w:rsidRDefault="00A173A8">
            <w:pPr>
              <w:spacing w:after="100"/>
              <w:rPr>
                <w:rFonts w:eastAsia="Times New Roman"/>
                <w:sz w:val="20"/>
                <w:szCs w:val="20"/>
              </w:rPr>
            </w:pPr>
          </w:p>
        </w:tc>
        <w:tc>
          <w:tcPr>
            <w:tcW w:w="50" w:type="pct"/>
            <w:vAlign w:val="center"/>
            <w:hideMark/>
          </w:tcPr>
          <w:p w14:paraId="788ED11E" w14:textId="77777777" w:rsidR="00000000" w:rsidRDefault="00A173A8">
            <w:pPr>
              <w:spacing w:after="100"/>
              <w:rPr>
                <w:rFonts w:eastAsia="Times New Roman"/>
                <w:sz w:val="20"/>
                <w:szCs w:val="20"/>
              </w:rPr>
            </w:pPr>
          </w:p>
        </w:tc>
        <w:tc>
          <w:tcPr>
            <w:tcW w:w="434" w:type="pct"/>
            <w:vAlign w:val="center"/>
            <w:hideMark/>
          </w:tcPr>
          <w:p w14:paraId="19F963A3" w14:textId="77777777" w:rsidR="00000000" w:rsidRDefault="00A173A8">
            <w:pPr>
              <w:spacing w:after="100"/>
              <w:rPr>
                <w:rFonts w:eastAsia="Times New Roman"/>
                <w:sz w:val="20"/>
                <w:szCs w:val="20"/>
              </w:rPr>
            </w:pPr>
          </w:p>
        </w:tc>
        <w:tc>
          <w:tcPr>
            <w:tcW w:w="5" w:type="pct"/>
            <w:vAlign w:val="center"/>
            <w:hideMark/>
          </w:tcPr>
          <w:p w14:paraId="0F7021E2" w14:textId="77777777" w:rsidR="00000000" w:rsidRDefault="00A173A8">
            <w:pPr>
              <w:spacing w:after="100"/>
              <w:rPr>
                <w:rFonts w:eastAsia="Times New Roman"/>
                <w:sz w:val="20"/>
                <w:szCs w:val="20"/>
              </w:rPr>
            </w:pPr>
          </w:p>
        </w:tc>
        <w:tc>
          <w:tcPr>
            <w:tcW w:w="5" w:type="pct"/>
            <w:vAlign w:val="center"/>
            <w:hideMark/>
          </w:tcPr>
          <w:p w14:paraId="5BD0A162" w14:textId="77777777" w:rsidR="00000000" w:rsidRDefault="00A173A8">
            <w:pPr>
              <w:spacing w:after="100"/>
              <w:rPr>
                <w:rFonts w:eastAsia="Times New Roman"/>
                <w:sz w:val="20"/>
                <w:szCs w:val="20"/>
              </w:rPr>
            </w:pPr>
          </w:p>
        </w:tc>
        <w:tc>
          <w:tcPr>
            <w:tcW w:w="26" w:type="pct"/>
            <w:vAlign w:val="center"/>
            <w:hideMark/>
          </w:tcPr>
          <w:p w14:paraId="6DCC14F9" w14:textId="77777777" w:rsidR="00000000" w:rsidRDefault="00A173A8">
            <w:pPr>
              <w:spacing w:after="100"/>
              <w:rPr>
                <w:rFonts w:eastAsia="Times New Roman"/>
                <w:sz w:val="20"/>
                <w:szCs w:val="20"/>
              </w:rPr>
            </w:pPr>
          </w:p>
        </w:tc>
        <w:tc>
          <w:tcPr>
            <w:tcW w:w="5" w:type="pct"/>
            <w:vAlign w:val="center"/>
            <w:hideMark/>
          </w:tcPr>
          <w:p w14:paraId="494D95A2" w14:textId="77777777" w:rsidR="00000000" w:rsidRDefault="00A173A8">
            <w:pPr>
              <w:spacing w:after="100"/>
              <w:rPr>
                <w:rFonts w:eastAsia="Times New Roman"/>
                <w:sz w:val="20"/>
                <w:szCs w:val="20"/>
              </w:rPr>
            </w:pPr>
          </w:p>
        </w:tc>
        <w:tc>
          <w:tcPr>
            <w:tcW w:w="50" w:type="pct"/>
            <w:vAlign w:val="center"/>
            <w:hideMark/>
          </w:tcPr>
          <w:p w14:paraId="40724763" w14:textId="77777777" w:rsidR="00000000" w:rsidRDefault="00A173A8">
            <w:pPr>
              <w:spacing w:after="100"/>
              <w:rPr>
                <w:rFonts w:eastAsia="Times New Roman"/>
                <w:sz w:val="20"/>
                <w:szCs w:val="20"/>
              </w:rPr>
            </w:pPr>
          </w:p>
        </w:tc>
        <w:tc>
          <w:tcPr>
            <w:tcW w:w="493" w:type="pct"/>
            <w:vAlign w:val="center"/>
            <w:hideMark/>
          </w:tcPr>
          <w:p w14:paraId="7B296B24" w14:textId="77777777" w:rsidR="00000000" w:rsidRDefault="00A173A8">
            <w:pPr>
              <w:spacing w:after="100"/>
              <w:rPr>
                <w:rFonts w:eastAsia="Times New Roman"/>
                <w:sz w:val="20"/>
                <w:szCs w:val="20"/>
              </w:rPr>
            </w:pPr>
          </w:p>
        </w:tc>
        <w:tc>
          <w:tcPr>
            <w:tcW w:w="5" w:type="pct"/>
            <w:vAlign w:val="center"/>
            <w:hideMark/>
          </w:tcPr>
          <w:p w14:paraId="7F003D89" w14:textId="77777777" w:rsidR="00000000" w:rsidRDefault="00A173A8">
            <w:pPr>
              <w:spacing w:after="100"/>
              <w:rPr>
                <w:rFonts w:eastAsia="Times New Roman"/>
                <w:sz w:val="20"/>
                <w:szCs w:val="20"/>
              </w:rPr>
            </w:pPr>
          </w:p>
        </w:tc>
        <w:tc>
          <w:tcPr>
            <w:tcW w:w="5" w:type="pct"/>
            <w:vAlign w:val="center"/>
            <w:hideMark/>
          </w:tcPr>
          <w:p w14:paraId="47459B8B" w14:textId="77777777" w:rsidR="00000000" w:rsidRDefault="00A173A8">
            <w:pPr>
              <w:spacing w:after="100"/>
              <w:rPr>
                <w:rFonts w:eastAsia="Times New Roman"/>
                <w:sz w:val="20"/>
                <w:szCs w:val="20"/>
              </w:rPr>
            </w:pPr>
          </w:p>
        </w:tc>
        <w:tc>
          <w:tcPr>
            <w:tcW w:w="26" w:type="pct"/>
            <w:vAlign w:val="center"/>
            <w:hideMark/>
          </w:tcPr>
          <w:p w14:paraId="546CF731" w14:textId="77777777" w:rsidR="00000000" w:rsidRDefault="00A173A8">
            <w:pPr>
              <w:spacing w:after="100"/>
              <w:rPr>
                <w:rFonts w:eastAsia="Times New Roman"/>
                <w:sz w:val="20"/>
                <w:szCs w:val="20"/>
              </w:rPr>
            </w:pPr>
          </w:p>
        </w:tc>
        <w:tc>
          <w:tcPr>
            <w:tcW w:w="5" w:type="pct"/>
            <w:vAlign w:val="center"/>
            <w:hideMark/>
          </w:tcPr>
          <w:p w14:paraId="7353E884" w14:textId="77777777" w:rsidR="00000000" w:rsidRDefault="00A173A8">
            <w:pPr>
              <w:spacing w:after="100"/>
              <w:rPr>
                <w:rFonts w:eastAsia="Times New Roman"/>
                <w:sz w:val="20"/>
                <w:szCs w:val="20"/>
              </w:rPr>
            </w:pPr>
          </w:p>
        </w:tc>
        <w:tc>
          <w:tcPr>
            <w:tcW w:w="50" w:type="pct"/>
            <w:vAlign w:val="center"/>
            <w:hideMark/>
          </w:tcPr>
          <w:p w14:paraId="750C085C" w14:textId="77777777" w:rsidR="00000000" w:rsidRDefault="00A173A8">
            <w:pPr>
              <w:spacing w:after="100"/>
              <w:rPr>
                <w:rFonts w:eastAsia="Times New Roman"/>
                <w:sz w:val="20"/>
                <w:szCs w:val="20"/>
              </w:rPr>
            </w:pPr>
          </w:p>
        </w:tc>
        <w:tc>
          <w:tcPr>
            <w:tcW w:w="434" w:type="pct"/>
            <w:vAlign w:val="center"/>
            <w:hideMark/>
          </w:tcPr>
          <w:p w14:paraId="69A9ADBA" w14:textId="77777777" w:rsidR="00000000" w:rsidRDefault="00A173A8">
            <w:pPr>
              <w:spacing w:after="100"/>
              <w:rPr>
                <w:rFonts w:eastAsia="Times New Roman"/>
                <w:sz w:val="20"/>
                <w:szCs w:val="20"/>
              </w:rPr>
            </w:pPr>
          </w:p>
        </w:tc>
        <w:tc>
          <w:tcPr>
            <w:tcW w:w="5" w:type="pct"/>
            <w:vAlign w:val="center"/>
            <w:hideMark/>
          </w:tcPr>
          <w:p w14:paraId="2D7A9F99" w14:textId="77777777" w:rsidR="00000000" w:rsidRDefault="00A173A8">
            <w:pPr>
              <w:spacing w:after="100"/>
              <w:rPr>
                <w:rFonts w:eastAsia="Times New Roman"/>
                <w:sz w:val="20"/>
                <w:szCs w:val="20"/>
              </w:rPr>
            </w:pPr>
          </w:p>
        </w:tc>
        <w:tc>
          <w:tcPr>
            <w:tcW w:w="5" w:type="pct"/>
            <w:vAlign w:val="center"/>
            <w:hideMark/>
          </w:tcPr>
          <w:p w14:paraId="5449810E" w14:textId="77777777" w:rsidR="00000000" w:rsidRDefault="00A173A8">
            <w:pPr>
              <w:spacing w:after="100"/>
              <w:rPr>
                <w:rFonts w:eastAsia="Times New Roman"/>
                <w:sz w:val="20"/>
                <w:szCs w:val="20"/>
              </w:rPr>
            </w:pPr>
          </w:p>
        </w:tc>
        <w:tc>
          <w:tcPr>
            <w:tcW w:w="26" w:type="pct"/>
            <w:vAlign w:val="center"/>
            <w:hideMark/>
          </w:tcPr>
          <w:p w14:paraId="22E8D313" w14:textId="77777777" w:rsidR="00000000" w:rsidRDefault="00A173A8">
            <w:pPr>
              <w:spacing w:after="100"/>
              <w:rPr>
                <w:rFonts w:eastAsia="Times New Roman"/>
                <w:sz w:val="20"/>
                <w:szCs w:val="20"/>
              </w:rPr>
            </w:pPr>
          </w:p>
        </w:tc>
        <w:tc>
          <w:tcPr>
            <w:tcW w:w="5" w:type="pct"/>
            <w:vAlign w:val="center"/>
            <w:hideMark/>
          </w:tcPr>
          <w:p w14:paraId="58F64356" w14:textId="77777777" w:rsidR="00000000" w:rsidRDefault="00A173A8">
            <w:pPr>
              <w:spacing w:after="100"/>
              <w:rPr>
                <w:rFonts w:eastAsia="Times New Roman"/>
                <w:sz w:val="20"/>
                <w:szCs w:val="20"/>
              </w:rPr>
            </w:pPr>
          </w:p>
        </w:tc>
        <w:tc>
          <w:tcPr>
            <w:tcW w:w="50" w:type="pct"/>
            <w:vAlign w:val="center"/>
            <w:hideMark/>
          </w:tcPr>
          <w:p w14:paraId="7A82265C" w14:textId="77777777" w:rsidR="00000000" w:rsidRDefault="00A173A8">
            <w:pPr>
              <w:spacing w:after="100"/>
              <w:rPr>
                <w:rFonts w:eastAsia="Times New Roman"/>
                <w:sz w:val="20"/>
                <w:szCs w:val="20"/>
              </w:rPr>
            </w:pPr>
          </w:p>
        </w:tc>
        <w:tc>
          <w:tcPr>
            <w:tcW w:w="493" w:type="pct"/>
            <w:vAlign w:val="center"/>
            <w:hideMark/>
          </w:tcPr>
          <w:p w14:paraId="6E069BBE" w14:textId="77777777" w:rsidR="00000000" w:rsidRDefault="00A173A8">
            <w:pPr>
              <w:spacing w:after="100"/>
              <w:rPr>
                <w:rFonts w:eastAsia="Times New Roman"/>
                <w:sz w:val="20"/>
                <w:szCs w:val="20"/>
              </w:rPr>
            </w:pPr>
          </w:p>
        </w:tc>
        <w:tc>
          <w:tcPr>
            <w:tcW w:w="5" w:type="pct"/>
            <w:vAlign w:val="center"/>
            <w:hideMark/>
          </w:tcPr>
          <w:p w14:paraId="0E91BFD6" w14:textId="77777777" w:rsidR="00000000" w:rsidRDefault="00A173A8">
            <w:pPr>
              <w:spacing w:after="100"/>
              <w:rPr>
                <w:rFonts w:eastAsia="Times New Roman"/>
                <w:sz w:val="20"/>
                <w:szCs w:val="20"/>
              </w:rPr>
            </w:pPr>
          </w:p>
        </w:tc>
      </w:tr>
      <w:tr w:rsidR="00000000" w14:paraId="13E898EF" w14:textId="77777777">
        <w:trPr>
          <w:divId w:val="1721516375"/>
        </w:trPr>
        <w:tc>
          <w:tcPr>
            <w:tcW w:w="0" w:type="auto"/>
            <w:gridSpan w:val="3"/>
            <w:tcMar>
              <w:top w:w="0" w:type="dxa"/>
              <w:left w:w="20" w:type="dxa"/>
              <w:bottom w:w="0" w:type="dxa"/>
              <w:right w:w="20" w:type="dxa"/>
            </w:tcMar>
            <w:vAlign w:val="center"/>
            <w:hideMark/>
          </w:tcPr>
          <w:p w14:paraId="2D982088"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24C7EA" w14:textId="77777777" w:rsidR="00000000" w:rsidRDefault="00A173A8">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14:paraId="5E1632EC" w14:textId="77777777" w:rsidR="00000000" w:rsidRDefault="00A173A8">
            <w:pPr>
              <w:spacing w:after="100"/>
              <w:jc w:val="center"/>
              <w:rPr>
                <w:rFonts w:eastAsia="Times New Roman"/>
              </w:rPr>
            </w:pPr>
            <w:r>
              <w:rPr>
                <w:rFonts w:eastAsia="Times New Roman"/>
                <w:b/>
                <w:bCs/>
                <w:color w:val="000000"/>
                <w:sz w:val="16"/>
                <w:szCs w:val="16"/>
              </w:rPr>
              <w:t>Contractual Amount</w:t>
            </w:r>
          </w:p>
        </w:tc>
        <w:tc>
          <w:tcPr>
            <w:tcW w:w="0" w:type="auto"/>
            <w:gridSpan w:val="3"/>
            <w:tcMar>
              <w:top w:w="0" w:type="dxa"/>
              <w:left w:w="20" w:type="dxa"/>
              <w:bottom w:w="0" w:type="dxa"/>
              <w:right w:w="20" w:type="dxa"/>
            </w:tcMar>
            <w:vAlign w:val="center"/>
            <w:hideMark/>
          </w:tcPr>
          <w:p w14:paraId="14AC7C8D" w14:textId="77777777" w:rsidR="00000000" w:rsidRDefault="00A173A8">
            <w:pPr>
              <w:spacing w:after="100"/>
              <w:jc w:val="center"/>
              <w:rPr>
                <w:rFonts w:eastAsia="Times New Roman"/>
              </w:rPr>
            </w:pPr>
          </w:p>
        </w:tc>
        <w:tc>
          <w:tcPr>
            <w:tcW w:w="0" w:type="auto"/>
            <w:gridSpan w:val="9"/>
            <w:tcMar>
              <w:top w:w="30" w:type="dxa"/>
              <w:left w:w="20" w:type="dxa"/>
              <w:bottom w:w="30" w:type="dxa"/>
              <w:right w:w="20" w:type="dxa"/>
            </w:tcMar>
            <w:vAlign w:val="center"/>
            <w:hideMark/>
          </w:tcPr>
          <w:p w14:paraId="3832E785" w14:textId="77777777" w:rsidR="00000000" w:rsidRDefault="00A173A8">
            <w:pPr>
              <w:spacing w:after="100"/>
              <w:jc w:val="center"/>
              <w:rPr>
                <w:rFonts w:eastAsia="Times New Roman"/>
              </w:rPr>
            </w:pPr>
            <w:r>
              <w:rPr>
                <w:rFonts w:eastAsia="Times New Roman"/>
                <w:b/>
                <w:bCs/>
                <w:color w:val="000000"/>
                <w:sz w:val="16"/>
                <w:szCs w:val="16"/>
              </w:rPr>
              <w:t>Carrying Value</w:t>
            </w:r>
          </w:p>
        </w:tc>
      </w:tr>
      <w:tr w:rsidR="00000000" w14:paraId="3ED98E67" w14:textId="77777777">
        <w:trPr>
          <w:divId w:val="1721516375"/>
        </w:trPr>
        <w:tc>
          <w:tcPr>
            <w:tcW w:w="0" w:type="auto"/>
            <w:gridSpan w:val="3"/>
            <w:tcMar>
              <w:top w:w="30" w:type="dxa"/>
              <w:left w:w="20" w:type="dxa"/>
              <w:bottom w:w="30" w:type="dxa"/>
              <w:right w:w="20" w:type="dxa"/>
            </w:tcMar>
            <w:vAlign w:val="bottom"/>
            <w:hideMark/>
          </w:tcPr>
          <w:p w14:paraId="5D3FC477" w14:textId="77777777" w:rsidR="00000000" w:rsidRDefault="00A173A8">
            <w:pPr>
              <w:spacing w:after="100"/>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14:paraId="7260F98C" w14:textId="77777777" w:rsidR="00000000" w:rsidRDefault="00A173A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52546B"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14:paraId="2A7D375B"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C17786" w14:textId="77777777" w:rsidR="00000000" w:rsidRDefault="00A173A8">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14:paraId="391324E0"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E7A6D02" w14:textId="77777777" w:rsidR="00000000" w:rsidRDefault="00A173A8">
            <w:pPr>
              <w:spacing w:after="100"/>
              <w:jc w:val="center"/>
              <w:rPr>
                <w:rFonts w:eastAsia="Times New Roman"/>
              </w:rPr>
            </w:pPr>
            <w:r>
              <w:rPr>
                <w:rFonts w:eastAsia="Times New Roman"/>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14:paraId="29B4B215"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2086A1" w14:textId="77777777" w:rsidR="00000000" w:rsidRDefault="00A173A8">
            <w:pPr>
              <w:spacing w:after="100"/>
              <w:jc w:val="center"/>
              <w:rPr>
                <w:rFonts w:eastAsia="Times New Roman"/>
              </w:rPr>
            </w:pPr>
            <w:r>
              <w:rPr>
                <w:rFonts w:eastAsia="Times New Roman"/>
                <w:b/>
                <w:bCs/>
                <w:color w:val="000000"/>
                <w:sz w:val="16"/>
                <w:szCs w:val="16"/>
              </w:rPr>
              <w:t>December 31, 2021</w:t>
            </w:r>
          </w:p>
        </w:tc>
      </w:tr>
      <w:tr w:rsidR="00000000" w14:paraId="12ACD14D" w14:textId="77777777">
        <w:trPr>
          <w:divId w:val="172151637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B38DCEF" w14:textId="77777777" w:rsidR="00000000" w:rsidRDefault="00A173A8">
            <w:pPr>
              <w:spacing w:after="100"/>
              <w:rPr>
                <w:rFonts w:eastAsia="Times New Roman"/>
              </w:rPr>
            </w:pPr>
            <w:r>
              <w:rPr>
                <w:rFonts w:eastAsia="Times New Roman"/>
                <w:color w:val="000000"/>
                <w:sz w:val="18"/>
                <w:szCs w:val="18"/>
              </w:rPr>
              <w:t>Credit card lines</w:t>
            </w:r>
          </w:p>
        </w:tc>
        <w:tc>
          <w:tcPr>
            <w:tcW w:w="0" w:type="auto"/>
            <w:gridSpan w:val="3"/>
            <w:shd w:val="clear" w:color="auto" w:fill="CCEEFF"/>
            <w:tcMar>
              <w:top w:w="0" w:type="dxa"/>
              <w:left w:w="20" w:type="dxa"/>
              <w:bottom w:w="0" w:type="dxa"/>
              <w:right w:w="20" w:type="dxa"/>
            </w:tcMar>
            <w:vAlign w:val="center"/>
            <w:hideMark/>
          </w:tcPr>
          <w:p w14:paraId="0F809CA9" w14:textId="77777777" w:rsidR="00000000" w:rsidRDefault="00A173A8">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406BF15"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21DD719B" w14:textId="77777777" w:rsidR="00000000" w:rsidRDefault="00A173A8">
            <w:pPr>
              <w:spacing w:after="100"/>
              <w:jc w:val="right"/>
              <w:rPr>
                <w:rFonts w:eastAsia="Times New Roman"/>
              </w:rPr>
            </w:pPr>
            <w:r>
              <w:rPr>
                <w:rFonts w:eastAsia="Times New Roman"/>
                <w:b/>
                <w:bCs/>
                <w:color w:val="000000"/>
                <w:sz w:val="18"/>
                <w:szCs w:val="18"/>
              </w:rPr>
              <w:t>352,863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475C0D24"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10302"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14:paraId="578D30E7"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14:paraId="5E99EB34" w14:textId="77777777" w:rsidR="00000000" w:rsidRDefault="00A173A8">
            <w:pPr>
              <w:spacing w:after="100"/>
              <w:jc w:val="right"/>
              <w:rPr>
                <w:rFonts w:eastAsia="Times New Roman"/>
              </w:rPr>
            </w:pPr>
            <w:r>
              <w:rPr>
                <w:rFonts w:eastAsia="Times New Roman"/>
                <w:color w:val="000000"/>
                <w:sz w:val="18"/>
                <w:szCs w:val="18"/>
              </w:rPr>
              <w:t>368,508 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1E10933"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2AC52A" w14:textId="77777777" w:rsidR="00000000" w:rsidRDefault="00A173A8">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20DABBB8" w14:textId="77777777" w:rsidR="00000000" w:rsidRDefault="00A173A8">
            <w:pPr>
              <w:spacing w:after="100"/>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14:paraId="0260450F" w14:textId="77777777" w:rsidR="00000000" w:rsidRDefault="00A173A8">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4246014D" w14:textId="77777777" w:rsidR="00000000" w:rsidRDefault="00A173A8">
            <w:pPr>
              <w:spacing w:after="100"/>
              <w:jc w:val="right"/>
              <w:rPr>
                <w:rFonts w:eastAsia="Times New Roman"/>
              </w:rPr>
            </w:pPr>
            <w:r>
              <w:rPr>
                <w:rFonts w:eastAsia="Times New Roman"/>
                <w:color w:val="000000"/>
                <w:sz w:val="18"/>
                <w:szCs w:val="18"/>
              </w:rPr>
              <w:t>N/A</w:t>
            </w:r>
          </w:p>
        </w:tc>
      </w:tr>
      <w:tr w:rsidR="00000000" w14:paraId="15955F5C" w14:textId="77777777">
        <w:trPr>
          <w:divId w:val="1721516375"/>
        </w:trPr>
        <w:tc>
          <w:tcPr>
            <w:tcW w:w="0" w:type="auto"/>
            <w:gridSpan w:val="3"/>
            <w:shd w:val="clear" w:color="auto" w:fill="FFFFFF"/>
            <w:tcMar>
              <w:top w:w="30" w:type="dxa"/>
              <w:left w:w="20" w:type="dxa"/>
              <w:bottom w:w="30" w:type="dxa"/>
              <w:right w:w="20" w:type="dxa"/>
            </w:tcMar>
            <w:vAlign w:val="center"/>
            <w:hideMark/>
          </w:tcPr>
          <w:p w14:paraId="0AE637CA" w14:textId="77777777" w:rsidR="00000000" w:rsidRDefault="00A173A8">
            <w:pPr>
              <w:spacing w:after="100"/>
              <w:divId w:val="1384212437"/>
              <w:rPr>
                <w:rFonts w:eastAsia="Times New Roman"/>
              </w:rPr>
            </w:pPr>
            <w:r>
              <w:rPr>
                <w:rFonts w:eastAsia="Times New Roman"/>
                <w:color w:val="000000"/>
                <w:sz w:val="18"/>
                <w:szCs w:val="18"/>
              </w:rPr>
              <w:t>Other loan commitment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3CF6F86E"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center"/>
            <w:hideMark/>
          </w:tcPr>
          <w:p w14:paraId="69A568B4" w14:textId="77777777" w:rsidR="00000000" w:rsidRDefault="00A173A8">
            <w:pPr>
              <w:spacing w:after="100"/>
              <w:jc w:val="right"/>
              <w:rPr>
                <w:rFonts w:eastAsia="Times New Roman"/>
              </w:rPr>
            </w:pPr>
            <w:r>
              <w:rPr>
                <w:rFonts w:eastAsia="Times New Roman"/>
                <w:b/>
                <w:bCs/>
                <w:color w:val="000000"/>
                <w:sz w:val="18"/>
                <w:szCs w:val="18"/>
              </w:rPr>
              <w:t>48,493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09AEABF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6FB45"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14:paraId="5FE23AD0" w14:textId="77777777" w:rsidR="00000000" w:rsidRDefault="00A173A8">
            <w:pPr>
              <w:spacing w:after="100"/>
              <w:jc w:val="right"/>
              <w:rPr>
                <w:rFonts w:eastAsia="Times New Roman"/>
              </w:rPr>
            </w:pPr>
            <w:r>
              <w:rPr>
                <w:rFonts w:eastAsia="Times New Roman"/>
                <w:color w:val="000000"/>
                <w:sz w:val="18"/>
                <w:szCs w:val="18"/>
              </w:rPr>
              <w:t>44,572 </w:t>
            </w:r>
          </w:p>
        </w:tc>
        <w:tc>
          <w:tcPr>
            <w:tcW w:w="0" w:type="auto"/>
            <w:shd w:val="clear" w:color="auto" w:fill="FFFFFF"/>
            <w:tcMar>
              <w:top w:w="30" w:type="dxa"/>
              <w:left w:w="0" w:type="dxa"/>
              <w:bottom w:w="30" w:type="dxa"/>
              <w:right w:w="20" w:type="dxa"/>
            </w:tcMar>
            <w:vAlign w:val="center"/>
            <w:hideMark/>
          </w:tcPr>
          <w:p w14:paraId="04F738F9"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516228"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1C2F46C4" w14:textId="77777777" w:rsidR="00000000" w:rsidRDefault="00A173A8">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14:paraId="5CBA8373" w14:textId="77777777" w:rsidR="00000000" w:rsidRDefault="00A173A8">
            <w:pPr>
              <w:spacing w:after="100"/>
              <w:jc w:val="right"/>
              <w:rPr>
                <w:rFonts w:eastAsia="Times New Roman"/>
              </w:rPr>
            </w:pPr>
            <w:r>
              <w:rPr>
                <w:rFonts w:eastAsia="Times New Roman"/>
                <w:b/>
                <w:bCs/>
                <w:color w:val="000000"/>
                <w:sz w:val="18"/>
                <w:szCs w:val="18"/>
              </w:rPr>
              <w:t>193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14:paraId="7A51C01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35972" w14:textId="77777777" w:rsidR="00000000" w:rsidRDefault="00A173A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14:paraId="0BCB46A8" w14:textId="77777777" w:rsidR="00000000" w:rsidRDefault="00A173A8">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14:paraId="10623F26" w14:textId="77777777" w:rsidR="00000000" w:rsidRDefault="00A173A8">
            <w:pPr>
              <w:spacing w:after="100"/>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center"/>
            <w:hideMark/>
          </w:tcPr>
          <w:p w14:paraId="241D5D6A" w14:textId="77777777" w:rsidR="00000000" w:rsidRDefault="00A173A8">
            <w:pPr>
              <w:spacing w:after="100"/>
              <w:jc w:val="right"/>
              <w:rPr>
                <w:rFonts w:eastAsia="Times New Roman"/>
              </w:rPr>
            </w:pPr>
          </w:p>
        </w:tc>
      </w:tr>
      <w:tr w:rsidR="00000000" w14:paraId="3EDAD455" w14:textId="77777777">
        <w:trPr>
          <w:divId w:val="1721516375"/>
        </w:trPr>
        <w:tc>
          <w:tcPr>
            <w:tcW w:w="0" w:type="auto"/>
            <w:gridSpan w:val="3"/>
            <w:shd w:val="clear" w:color="auto" w:fill="CCEEFF"/>
            <w:tcMar>
              <w:top w:w="30" w:type="dxa"/>
              <w:left w:w="20" w:type="dxa"/>
              <w:bottom w:w="30" w:type="dxa"/>
              <w:right w:w="20" w:type="dxa"/>
            </w:tcMar>
            <w:vAlign w:val="center"/>
            <w:hideMark/>
          </w:tcPr>
          <w:p w14:paraId="1E781A93" w14:textId="77777777" w:rsidR="00000000" w:rsidRDefault="00A173A8">
            <w:pPr>
              <w:spacing w:after="100"/>
              <w:divId w:val="224530024"/>
              <w:rPr>
                <w:rFonts w:eastAsia="Times New Roman"/>
              </w:rPr>
            </w:pPr>
            <w:r>
              <w:rPr>
                <w:rFonts w:eastAsia="Times New Roman"/>
                <w:color w:val="000000"/>
                <w:sz w:val="18"/>
                <w:szCs w:val="18"/>
              </w:rPr>
              <w:t>Standby letters of credit and commercial letters of credi</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00A03E31"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center"/>
            <w:hideMark/>
          </w:tcPr>
          <w:p w14:paraId="1E7E878A" w14:textId="77777777" w:rsidR="00000000" w:rsidRDefault="00A173A8">
            <w:pPr>
              <w:spacing w:after="100"/>
              <w:jc w:val="right"/>
              <w:rPr>
                <w:rFonts w:eastAsia="Times New Roman"/>
              </w:rPr>
            </w:pPr>
            <w:r>
              <w:rPr>
                <w:rFonts w:eastAsia="Times New Roman"/>
                <w:b/>
                <w:bCs/>
                <w:color w:val="000000"/>
                <w:sz w:val="18"/>
                <w:szCs w:val="18"/>
              </w:rPr>
              <w:t>1,504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77227346"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AD4E5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A30BE4" w14:textId="77777777" w:rsidR="00000000" w:rsidRDefault="00A173A8">
            <w:pPr>
              <w:spacing w:after="100"/>
              <w:jc w:val="right"/>
              <w:rPr>
                <w:rFonts w:eastAsia="Times New Roman"/>
              </w:rPr>
            </w:pPr>
            <w:r>
              <w:rPr>
                <w:rFonts w:eastAsia="Times New Roman"/>
                <w:color w:val="000000"/>
                <w:sz w:val="18"/>
                <w:szCs w:val="18"/>
              </w:rPr>
              <w:t>1,419 </w:t>
            </w:r>
          </w:p>
        </w:tc>
        <w:tc>
          <w:tcPr>
            <w:tcW w:w="0" w:type="auto"/>
            <w:shd w:val="clear" w:color="auto" w:fill="CCEEFF"/>
            <w:tcMar>
              <w:top w:w="30" w:type="dxa"/>
              <w:left w:w="0" w:type="dxa"/>
              <w:bottom w:w="30" w:type="dxa"/>
              <w:right w:w="20" w:type="dxa"/>
            </w:tcMar>
            <w:vAlign w:val="center"/>
            <w:hideMark/>
          </w:tcPr>
          <w:p w14:paraId="280BEACB"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3B33B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3C5970" w14:textId="77777777" w:rsidR="00000000" w:rsidRDefault="00A173A8">
            <w:pPr>
              <w:spacing w:after="100"/>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14:paraId="443FE2B2"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E8ABAA"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14:paraId="360E9344" w14:textId="77777777" w:rsidR="00000000" w:rsidRDefault="00A173A8">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14:paraId="683470DE" w14:textId="77777777" w:rsidR="00000000" w:rsidRDefault="00A173A8">
            <w:pPr>
              <w:spacing w:after="100"/>
              <w:jc w:val="right"/>
              <w:rPr>
                <w:rFonts w:eastAsia="Times New Roman"/>
              </w:rPr>
            </w:pPr>
          </w:p>
        </w:tc>
      </w:tr>
      <w:tr w:rsidR="00000000" w14:paraId="7AE450B6" w14:textId="77777777">
        <w:trPr>
          <w:divId w:val="1721516375"/>
        </w:trPr>
        <w:tc>
          <w:tcPr>
            <w:tcW w:w="0" w:type="auto"/>
            <w:gridSpan w:val="3"/>
            <w:shd w:val="clear" w:color="auto" w:fill="FFFFFF"/>
            <w:tcMar>
              <w:top w:w="30" w:type="dxa"/>
              <w:left w:w="20" w:type="dxa"/>
              <w:bottom w:w="30" w:type="dxa"/>
              <w:right w:w="20" w:type="dxa"/>
            </w:tcMar>
            <w:vAlign w:val="center"/>
            <w:hideMark/>
          </w:tcPr>
          <w:p w14:paraId="6C1098FE" w14:textId="77777777" w:rsidR="00000000" w:rsidRDefault="00A173A8">
            <w:pPr>
              <w:spacing w:after="100"/>
              <w:rPr>
                <w:rFonts w:eastAsia="Times New Roman"/>
              </w:rPr>
            </w:pPr>
            <w:r>
              <w:rPr>
                <w:rFonts w:eastAsia="Times New Roman"/>
                <w:color w:val="000000"/>
                <w:sz w:val="18"/>
                <w:szCs w:val="18"/>
              </w:rPr>
              <w:t>Total unfunded lending commitments</w:t>
            </w:r>
          </w:p>
        </w:tc>
        <w:tc>
          <w:tcPr>
            <w:tcW w:w="0" w:type="auto"/>
            <w:gridSpan w:val="3"/>
            <w:shd w:val="clear" w:color="auto" w:fill="FFFFFF"/>
            <w:tcMar>
              <w:top w:w="0" w:type="dxa"/>
              <w:left w:w="20" w:type="dxa"/>
              <w:bottom w:w="0" w:type="dxa"/>
              <w:right w:w="20" w:type="dxa"/>
            </w:tcMar>
            <w:vAlign w:val="center"/>
            <w:hideMark/>
          </w:tcPr>
          <w:p w14:paraId="53CA397D" w14:textId="77777777" w:rsidR="00000000" w:rsidRDefault="00A173A8">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00C5BEF"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52FAC67" w14:textId="77777777" w:rsidR="00000000" w:rsidRDefault="00A173A8">
            <w:pPr>
              <w:spacing w:after="100"/>
              <w:jc w:val="right"/>
              <w:rPr>
                <w:rFonts w:eastAsia="Times New Roman"/>
              </w:rPr>
            </w:pPr>
            <w:r>
              <w:rPr>
                <w:rFonts w:eastAsia="Times New Roman"/>
                <w:b/>
                <w:bCs/>
                <w:color w:val="000000"/>
                <w:sz w:val="18"/>
                <w:szCs w:val="18"/>
              </w:rPr>
              <w:t>402,860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0F5B75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69EB3"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0833808"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5096040" w14:textId="77777777" w:rsidR="00000000" w:rsidRDefault="00A173A8">
            <w:pPr>
              <w:spacing w:after="100"/>
              <w:jc w:val="right"/>
              <w:rPr>
                <w:rFonts w:eastAsia="Times New Roman"/>
              </w:rPr>
            </w:pPr>
            <w:r>
              <w:rPr>
                <w:rFonts w:eastAsia="Times New Roman"/>
                <w:color w:val="000000"/>
                <w:sz w:val="18"/>
                <w:szCs w:val="18"/>
              </w:rPr>
              <w:t>414,499 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3BE4CD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5D865"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D9B9F2A"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635ED7F" w14:textId="77777777" w:rsidR="00000000" w:rsidRDefault="00A173A8">
            <w:pPr>
              <w:spacing w:after="100"/>
              <w:jc w:val="right"/>
              <w:rPr>
                <w:rFonts w:eastAsia="Times New Roman"/>
              </w:rPr>
            </w:pPr>
            <w:r>
              <w:rPr>
                <w:rFonts w:eastAsia="Times New Roman"/>
                <w:b/>
                <w:bCs/>
                <w:color w:val="000000"/>
                <w:sz w:val="18"/>
                <w:szCs w:val="18"/>
              </w:rPr>
              <w:t>224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DE4CF84"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9E581" w14:textId="77777777" w:rsidR="00000000" w:rsidRDefault="00A173A8">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6E64494" w14:textId="77777777" w:rsidR="00000000" w:rsidRDefault="00A173A8">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AE1BCE1" w14:textId="77777777" w:rsidR="00000000" w:rsidRDefault="00A173A8">
            <w:pPr>
              <w:spacing w:after="100"/>
              <w:jc w:val="right"/>
              <w:rPr>
                <w:rFonts w:eastAsia="Times New Roman"/>
              </w:rPr>
            </w:pPr>
            <w:r>
              <w:rPr>
                <w:rFonts w:eastAsia="Times New Roman"/>
                <w:color w:val="000000"/>
                <w:sz w:val="18"/>
                <w:szCs w:val="18"/>
              </w:rPr>
              <w:t>149 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117D8C8" w14:textId="77777777" w:rsidR="00000000" w:rsidRDefault="00A173A8">
            <w:pPr>
              <w:spacing w:after="100"/>
              <w:jc w:val="right"/>
              <w:rPr>
                <w:rFonts w:eastAsia="Times New Roman"/>
              </w:rPr>
            </w:pPr>
          </w:p>
        </w:tc>
      </w:tr>
    </w:tbl>
    <w:p w14:paraId="23F95114" w14:textId="77777777" w:rsidR="00000000" w:rsidRDefault="00A173A8">
      <w:pPr>
        <w:divId w:val="1721516375"/>
        <w:rPr>
          <w:rFonts w:eastAsia="Times New Roman"/>
        </w:rPr>
      </w:pPr>
      <w:r>
        <w:rPr>
          <w:rFonts w:eastAsia="Times New Roman"/>
          <w:color w:val="000000"/>
          <w:sz w:val="20"/>
          <w:szCs w:val="20"/>
        </w:rPr>
        <w:t>__________</w:t>
      </w:r>
    </w:p>
    <w:p w14:paraId="2EA82297" w14:textId="77777777" w:rsidR="00000000" w:rsidRDefault="00A173A8">
      <w:pPr>
        <w:ind w:hanging="360"/>
        <w:jc w:val="both"/>
        <w:divId w:val="123273877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$4.4 billion and $3.9 </w:t>
      </w:r>
      <w:r>
        <w:rPr>
          <w:rFonts w:eastAsia="Times New Roman"/>
          <w:color w:val="000000"/>
          <w:sz w:val="16"/>
          <w:szCs w:val="16"/>
        </w:rPr>
        <w:t>billion of advised lines of credit as of June 30, 2022 and December 31, 2021, respectively.</w:t>
      </w:r>
    </w:p>
    <w:p w14:paraId="0343C8C9" w14:textId="77777777" w:rsidR="00000000" w:rsidRDefault="00A173A8">
      <w:pPr>
        <w:ind w:hanging="360"/>
        <w:jc w:val="both"/>
        <w:divId w:val="195305239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These financial guarantees have expiration dates that range from 2022 to 2027 as of June 30, 2022.</w:t>
      </w:r>
    </w:p>
    <w:p w14:paraId="5A7A76E6" w14:textId="77777777" w:rsidR="00000000" w:rsidRDefault="00A173A8">
      <w:pPr>
        <w:divId w:val="987511123"/>
        <w:rPr>
          <w:rFonts w:eastAsia="Times New Roman"/>
        </w:rPr>
      </w:pPr>
      <w:r>
        <w:rPr>
          <w:rFonts w:eastAsia="Times New Roman"/>
          <w:b/>
          <w:bCs/>
          <w:color w:val="000000"/>
          <w:sz w:val="20"/>
          <w:szCs w:val="20"/>
        </w:rPr>
        <w:t>Loss Sharing Agreements</w:t>
      </w:r>
    </w:p>
    <w:p w14:paraId="27303205" w14:textId="77777777" w:rsidR="00000000" w:rsidRDefault="00A173A8">
      <w:pPr>
        <w:jc w:val="both"/>
        <w:divId w:val="1266960902"/>
        <w:rPr>
          <w:rFonts w:eastAsia="Times New Roman"/>
        </w:rPr>
      </w:pPr>
      <w:r>
        <w:rPr>
          <w:rFonts w:eastAsia="Times New Roman"/>
          <w:color w:val="000000"/>
          <w:sz w:val="20"/>
          <w:szCs w:val="20"/>
        </w:rPr>
        <w:t>Within our Commercial Banking business</w:t>
      </w:r>
      <w:r>
        <w:rPr>
          <w:rFonts w:eastAsia="Times New Roman"/>
          <w:color w:val="000000"/>
          <w:sz w:val="20"/>
          <w:szCs w:val="20"/>
        </w:rPr>
        <w:t>, we originate multifamily commercial real estate loans with the intent to sell them to the GSEs. We enter into loss sharing agreements with the GSEs upon the sale of the loans. Beginning January 1, 2020, we elected the fair value option on new loss sharin</w:t>
      </w:r>
      <w:r>
        <w:rPr>
          <w:rFonts w:eastAsia="Times New Roman"/>
          <w:color w:val="000000"/>
          <w:sz w:val="20"/>
          <w:szCs w:val="20"/>
        </w:rPr>
        <w:t>g agreements. Unrealized gains and losses are recorded in other non-interest income in our consolidated statements of income. For those loss sharing agreements entered into as of and prior to December 31, 2019, we amortize the liability recorded at incepti</w:t>
      </w:r>
      <w:r>
        <w:rPr>
          <w:rFonts w:eastAsia="Times New Roman"/>
          <w:color w:val="000000"/>
          <w:sz w:val="20"/>
          <w:szCs w:val="20"/>
        </w:rPr>
        <w:t>on into non-interest income as we are released from risk of payment under the loss sharing agreement and record our estimate of expected credit losses each period in provision for credit losses in our consolidated statements of income. The liability recogn</w:t>
      </w:r>
      <w:r>
        <w:rPr>
          <w:rFonts w:eastAsia="Times New Roman"/>
          <w:color w:val="000000"/>
          <w:sz w:val="20"/>
          <w:szCs w:val="20"/>
        </w:rPr>
        <w:t>ized on our consolidated balance sheets for these loss sharing agreements was $88 million and $90 million as of June 30, 2022 and December 31, 2021, respectively. See “Note 4—Allowance for Credit Losses and Reserve for Unfunded Lending Commitments” for mor</w:t>
      </w:r>
      <w:r>
        <w:rPr>
          <w:rFonts w:eastAsia="Times New Roman"/>
          <w:color w:val="000000"/>
          <w:sz w:val="20"/>
          <w:szCs w:val="20"/>
        </w:rPr>
        <w:t>e information related to our credit card partnership loss sharing arrangements.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31A77FDF" w14:textId="77777777">
        <w:trPr>
          <w:divId w:val="1413313156"/>
          <w:jc w:val="center"/>
        </w:trPr>
        <w:tc>
          <w:tcPr>
            <w:tcW w:w="50" w:type="pct"/>
            <w:vAlign w:val="center"/>
            <w:hideMark/>
          </w:tcPr>
          <w:p w14:paraId="7EFBB9D6" w14:textId="77777777" w:rsidR="00000000" w:rsidRDefault="00A173A8">
            <w:pPr>
              <w:jc w:val="both"/>
              <w:rPr>
                <w:rFonts w:eastAsia="Times New Roman"/>
              </w:rPr>
            </w:pPr>
          </w:p>
        </w:tc>
        <w:tc>
          <w:tcPr>
            <w:tcW w:w="1606" w:type="pct"/>
            <w:vAlign w:val="center"/>
            <w:hideMark/>
          </w:tcPr>
          <w:p w14:paraId="1A1546A6" w14:textId="77777777" w:rsidR="00000000" w:rsidRDefault="00A173A8">
            <w:pPr>
              <w:spacing w:after="100"/>
              <w:rPr>
                <w:rFonts w:eastAsia="Times New Roman"/>
                <w:sz w:val="20"/>
                <w:szCs w:val="20"/>
              </w:rPr>
            </w:pPr>
          </w:p>
        </w:tc>
        <w:tc>
          <w:tcPr>
            <w:tcW w:w="5" w:type="pct"/>
            <w:vAlign w:val="center"/>
            <w:hideMark/>
          </w:tcPr>
          <w:p w14:paraId="3D44042E" w14:textId="77777777" w:rsidR="00000000" w:rsidRDefault="00A173A8">
            <w:pPr>
              <w:spacing w:after="100"/>
              <w:rPr>
                <w:rFonts w:eastAsia="Times New Roman"/>
                <w:sz w:val="20"/>
                <w:szCs w:val="20"/>
              </w:rPr>
            </w:pPr>
          </w:p>
        </w:tc>
        <w:tc>
          <w:tcPr>
            <w:tcW w:w="50" w:type="pct"/>
            <w:vAlign w:val="center"/>
            <w:hideMark/>
          </w:tcPr>
          <w:p w14:paraId="75612330" w14:textId="77777777" w:rsidR="00000000" w:rsidRDefault="00A173A8">
            <w:pPr>
              <w:spacing w:after="100"/>
              <w:rPr>
                <w:rFonts w:eastAsia="Times New Roman"/>
                <w:sz w:val="20"/>
                <w:szCs w:val="20"/>
              </w:rPr>
            </w:pPr>
          </w:p>
        </w:tc>
        <w:tc>
          <w:tcPr>
            <w:tcW w:w="1614" w:type="pct"/>
            <w:vAlign w:val="center"/>
            <w:hideMark/>
          </w:tcPr>
          <w:p w14:paraId="2A8FD768" w14:textId="77777777" w:rsidR="00000000" w:rsidRDefault="00A173A8">
            <w:pPr>
              <w:spacing w:after="100"/>
              <w:rPr>
                <w:rFonts w:eastAsia="Times New Roman"/>
                <w:sz w:val="20"/>
                <w:szCs w:val="20"/>
              </w:rPr>
            </w:pPr>
          </w:p>
        </w:tc>
        <w:tc>
          <w:tcPr>
            <w:tcW w:w="5" w:type="pct"/>
            <w:vAlign w:val="center"/>
            <w:hideMark/>
          </w:tcPr>
          <w:p w14:paraId="6B478B11" w14:textId="77777777" w:rsidR="00000000" w:rsidRDefault="00A173A8">
            <w:pPr>
              <w:spacing w:after="100"/>
              <w:rPr>
                <w:rFonts w:eastAsia="Times New Roman"/>
                <w:sz w:val="20"/>
                <w:szCs w:val="20"/>
              </w:rPr>
            </w:pPr>
          </w:p>
        </w:tc>
        <w:tc>
          <w:tcPr>
            <w:tcW w:w="50" w:type="pct"/>
            <w:vAlign w:val="center"/>
            <w:hideMark/>
          </w:tcPr>
          <w:p w14:paraId="32AF06A9" w14:textId="77777777" w:rsidR="00000000" w:rsidRDefault="00A173A8">
            <w:pPr>
              <w:spacing w:after="100"/>
              <w:rPr>
                <w:rFonts w:eastAsia="Times New Roman"/>
                <w:sz w:val="20"/>
                <w:szCs w:val="20"/>
              </w:rPr>
            </w:pPr>
          </w:p>
        </w:tc>
        <w:tc>
          <w:tcPr>
            <w:tcW w:w="1614" w:type="pct"/>
            <w:vAlign w:val="center"/>
            <w:hideMark/>
          </w:tcPr>
          <w:p w14:paraId="7F9F420E" w14:textId="77777777" w:rsidR="00000000" w:rsidRDefault="00A173A8">
            <w:pPr>
              <w:spacing w:after="100"/>
              <w:rPr>
                <w:rFonts w:eastAsia="Times New Roman"/>
                <w:sz w:val="20"/>
                <w:szCs w:val="20"/>
              </w:rPr>
            </w:pPr>
          </w:p>
        </w:tc>
        <w:tc>
          <w:tcPr>
            <w:tcW w:w="5" w:type="pct"/>
            <w:vAlign w:val="center"/>
            <w:hideMark/>
          </w:tcPr>
          <w:p w14:paraId="1BB609ED" w14:textId="77777777" w:rsidR="00000000" w:rsidRDefault="00A173A8">
            <w:pPr>
              <w:spacing w:after="100"/>
              <w:rPr>
                <w:rFonts w:eastAsia="Times New Roman"/>
                <w:sz w:val="20"/>
                <w:szCs w:val="20"/>
              </w:rPr>
            </w:pPr>
          </w:p>
        </w:tc>
      </w:tr>
      <w:tr w:rsidR="00000000" w14:paraId="3E15167B" w14:textId="77777777">
        <w:trPr>
          <w:divId w:val="1413313156"/>
          <w:trHeight w:val="300"/>
          <w:jc w:val="center"/>
        </w:trPr>
        <w:tc>
          <w:tcPr>
            <w:tcW w:w="0" w:type="auto"/>
            <w:gridSpan w:val="9"/>
            <w:tcMar>
              <w:top w:w="0" w:type="dxa"/>
              <w:left w:w="20" w:type="dxa"/>
              <w:bottom w:w="0" w:type="dxa"/>
              <w:right w:w="20" w:type="dxa"/>
            </w:tcMar>
            <w:vAlign w:val="center"/>
            <w:hideMark/>
          </w:tcPr>
          <w:p w14:paraId="01E15F63" w14:textId="77777777" w:rsidR="00000000" w:rsidRDefault="00A173A8">
            <w:pPr>
              <w:spacing w:after="100"/>
              <w:rPr>
                <w:rFonts w:eastAsia="Times New Roman"/>
                <w:sz w:val="20"/>
                <w:szCs w:val="20"/>
              </w:rPr>
            </w:pPr>
          </w:p>
        </w:tc>
      </w:tr>
      <w:tr w:rsidR="00000000" w14:paraId="5CC6A5D4" w14:textId="77777777">
        <w:trPr>
          <w:divId w:val="1413313156"/>
          <w:jc w:val="center"/>
        </w:trPr>
        <w:tc>
          <w:tcPr>
            <w:tcW w:w="0" w:type="auto"/>
            <w:gridSpan w:val="3"/>
            <w:tcMar>
              <w:top w:w="0" w:type="dxa"/>
              <w:left w:w="20" w:type="dxa"/>
              <w:bottom w:w="0" w:type="dxa"/>
              <w:right w:w="20" w:type="dxa"/>
            </w:tcMar>
            <w:vAlign w:val="center"/>
            <w:hideMark/>
          </w:tcPr>
          <w:p w14:paraId="4A0C4B65"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4B542F3" w14:textId="77777777" w:rsidR="00000000" w:rsidRDefault="00A173A8">
            <w:pPr>
              <w:spacing w:after="100"/>
              <w:jc w:val="center"/>
              <w:rPr>
                <w:rFonts w:eastAsia="Times New Roman"/>
              </w:rPr>
            </w:pPr>
            <w:r>
              <w:rPr>
                <w:rFonts w:eastAsia="Times New Roman"/>
                <w:color w:val="000000"/>
                <w:sz w:val="16"/>
                <w:szCs w:val="16"/>
              </w:rPr>
              <w:t>117</w:t>
            </w:r>
          </w:p>
        </w:tc>
        <w:tc>
          <w:tcPr>
            <w:tcW w:w="0" w:type="auto"/>
            <w:gridSpan w:val="3"/>
            <w:tcMar>
              <w:top w:w="30" w:type="dxa"/>
              <w:left w:w="20" w:type="dxa"/>
              <w:bottom w:w="30" w:type="dxa"/>
              <w:right w:w="20" w:type="dxa"/>
            </w:tcMar>
            <w:vAlign w:val="bottom"/>
            <w:hideMark/>
          </w:tcPr>
          <w:p w14:paraId="48D63546"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4BD4A954" w14:textId="77777777" w:rsidR="00000000" w:rsidRDefault="00A173A8">
      <w:pPr>
        <w:rPr>
          <w:rFonts w:eastAsia="Times New Roman"/>
        </w:rPr>
      </w:pPr>
      <w:r>
        <w:rPr>
          <w:rFonts w:eastAsia="Times New Roman"/>
        </w:rPr>
        <w:pict w14:anchorId="0981FDB0">
          <v:rect id="_x0000_i1142" style="width:0;height:1.5pt" o:hralign="center" o:hrstd="t" o:hr="t" fillcolor="#a0a0a0" stroked="f"/>
        </w:pict>
      </w:r>
    </w:p>
    <w:p w14:paraId="3870EA43" w14:textId="77777777" w:rsidR="00000000" w:rsidRDefault="00A173A8">
      <w:pPr>
        <w:jc w:val="both"/>
        <w:divId w:val="612438683"/>
        <w:rPr>
          <w:rFonts w:eastAsia="Times New Roman"/>
        </w:rPr>
      </w:pPr>
      <w:hyperlink w:anchor="i7ffd5d61af6f4722b1b1b07530d51c06_13" w:history="1">
        <w:r>
          <w:rPr>
            <w:rStyle w:val="a3"/>
            <w:rFonts w:eastAsia="Times New Roman"/>
            <w:sz w:val="16"/>
            <w:szCs w:val="16"/>
          </w:rPr>
          <w:t>Table of Contents</w:t>
        </w:r>
      </w:hyperlink>
    </w:p>
    <w:p w14:paraId="5ED7D1A6" w14:textId="77777777" w:rsidR="00000000" w:rsidRDefault="00A173A8">
      <w:pPr>
        <w:jc w:val="both"/>
        <w:divId w:val="1573546808"/>
        <w:rPr>
          <w:rFonts w:eastAsia="Times New Roman"/>
        </w:rPr>
      </w:pPr>
      <w:r>
        <w:rPr>
          <w:rFonts w:eastAsia="Times New Roman"/>
          <w:b/>
          <w:bCs/>
          <w:color w:val="000000"/>
          <w:sz w:val="20"/>
          <w:szCs w:val="20"/>
        </w:rPr>
        <w:t>Litigation</w:t>
      </w:r>
    </w:p>
    <w:p w14:paraId="1892A7D2" w14:textId="77777777" w:rsidR="00000000" w:rsidRDefault="00A173A8">
      <w:pPr>
        <w:jc w:val="both"/>
        <w:divId w:val="1987929602"/>
        <w:rPr>
          <w:rFonts w:eastAsia="Times New Roman"/>
        </w:rPr>
      </w:pPr>
      <w:r>
        <w:rPr>
          <w:rFonts w:eastAsia="Times New Roman"/>
          <w:color w:val="000000"/>
          <w:sz w:val="20"/>
          <w:szCs w:val="20"/>
        </w:rPr>
        <w:t>In accordance with the current accounting standards for loss contingencies, we establish reserves for litigation-related matters that arise from the ordinary course of our business activities when it is probable that a loss associated with a claim or proce</w:t>
      </w:r>
      <w:r>
        <w:rPr>
          <w:rFonts w:eastAsia="Times New Roman"/>
          <w:color w:val="000000"/>
          <w:sz w:val="20"/>
          <w:szCs w:val="20"/>
        </w:rPr>
        <w:t>eding has been incurred and the amount of the loss can be reasonably estimated. None of the amounts we currently have recorded individually or in the aggregate are considered to be material to our financial condition. Litigation claims and proceedings of a</w:t>
      </w:r>
      <w:r>
        <w:rPr>
          <w:rFonts w:eastAsia="Times New Roman"/>
          <w:color w:val="000000"/>
          <w:sz w:val="20"/>
          <w:szCs w:val="20"/>
        </w:rPr>
        <w:t>ll types are subject to many uncertain factors that generally cannot be predicted with assurance. Below we provide a description of potentially material legal proceedings and claims.</w:t>
      </w:r>
    </w:p>
    <w:p w14:paraId="4D3CE6F3" w14:textId="77777777" w:rsidR="00000000" w:rsidRDefault="00A173A8">
      <w:pPr>
        <w:jc w:val="both"/>
        <w:divId w:val="34161388"/>
        <w:rPr>
          <w:rFonts w:eastAsia="Times New Roman"/>
        </w:rPr>
      </w:pPr>
      <w:r>
        <w:rPr>
          <w:rFonts w:eastAsia="Times New Roman"/>
          <w:color w:val="000000"/>
          <w:sz w:val="20"/>
          <w:szCs w:val="20"/>
        </w:rPr>
        <w:t>For some of the matters disclosed below, we are able to estimate reasonab</w:t>
      </w:r>
      <w:r>
        <w:rPr>
          <w:rFonts w:eastAsia="Times New Roman"/>
          <w:color w:val="000000"/>
          <w:sz w:val="20"/>
          <w:szCs w:val="20"/>
        </w:rPr>
        <w:t>ly possible losses above existing reserves, and for other disclosed matters, such an estimate is not possible at this time. For those matters below where an estimate is possible, management currently estimates the reasonably possible future losses beyond o</w:t>
      </w:r>
      <w:r>
        <w:rPr>
          <w:rFonts w:eastAsia="Times New Roman"/>
          <w:color w:val="000000"/>
          <w:sz w:val="20"/>
          <w:szCs w:val="20"/>
        </w:rPr>
        <w:t>ur reserves as of June 30, 2022 are approximately $200 million. Our reserve and reasonably possible loss estimates involve considerable judgment and reflect that there is still significant uncertainty regarding numerous factors that may impact the ultimate</w:t>
      </w:r>
      <w:r>
        <w:rPr>
          <w:rFonts w:eastAsia="Times New Roman"/>
          <w:color w:val="000000"/>
          <w:sz w:val="20"/>
          <w:szCs w:val="20"/>
        </w:rPr>
        <w:t xml:space="preserve"> loss levels. Notwithstanding, our attempt to estimate a reasonably possible range of loss beyond our current accrual levels for some litigation matters based on current information, it is possible that actual future losses will exceed both the current acc</w:t>
      </w:r>
      <w:r>
        <w:rPr>
          <w:rFonts w:eastAsia="Times New Roman"/>
          <w:color w:val="000000"/>
          <w:sz w:val="20"/>
          <w:szCs w:val="20"/>
        </w:rPr>
        <w:t>rual level and the range of reasonably possible losses disclosed here. Given the inherent uncertainties involved in these matters, especially those involving governmental agencies, and the very large or indeterminate damages sought in some of these matters</w:t>
      </w:r>
      <w:r>
        <w:rPr>
          <w:rFonts w:eastAsia="Times New Roman"/>
          <w:color w:val="000000"/>
          <w:sz w:val="20"/>
          <w:szCs w:val="20"/>
        </w:rPr>
        <w:t>, there is significant uncertainty as to the ultimate liability we may incur from these litigation matters and an adverse outcome in one or more of these matters could be material to our results of operations or cash flows for any particular reporting peri</w:t>
      </w:r>
      <w:r>
        <w:rPr>
          <w:rFonts w:eastAsia="Times New Roman"/>
          <w:color w:val="000000"/>
          <w:sz w:val="20"/>
          <w:szCs w:val="20"/>
        </w:rPr>
        <w:t>od.</w:t>
      </w:r>
    </w:p>
    <w:p w14:paraId="3474D2F1" w14:textId="77777777" w:rsidR="00000000" w:rsidRDefault="00A173A8">
      <w:pPr>
        <w:divId w:val="1933858930"/>
        <w:rPr>
          <w:rFonts w:eastAsia="Times New Roman"/>
        </w:rPr>
      </w:pPr>
      <w:r>
        <w:rPr>
          <w:rFonts w:eastAsia="Times New Roman"/>
          <w:b/>
          <w:bCs/>
          <w:i/>
          <w:iCs/>
          <w:color w:val="000000"/>
          <w:sz w:val="20"/>
          <w:szCs w:val="20"/>
        </w:rPr>
        <w:t>Interchange</w:t>
      </w:r>
    </w:p>
    <w:p w14:paraId="00CD3927" w14:textId="77777777" w:rsidR="00000000" w:rsidRDefault="00A173A8">
      <w:pPr>
        <w:jc w:val="both"/>
        <w:divId w:val="1013412508"/>
        <w:rPr>
          <w:rFonts w:eastAsia="Times New Roman"/>
        </w:rPr>
      </w:pPr>
      <w:r>
        <w:rPr>
          <w:rFonts w:eastAsia="Times New Roman"/>
          <w:color w:val="000000"/>
          <w:sz w:val="20"/>
          <w:szCs w:val="20"/>
        </w:rPr>
        <w:t>In 2005, a putative class of retail merchants filed antitrust lawsuits against MasterCard and Visa and several issuing banks, including Capital One, seeking both injunctive relief and monetary damages for an alleged conspiracy by defendants</w:t>
      </w:r>
      <w:r>
        <w:rPr>
          <w:rFonts w:eastAsia="Times New Roman"/>
          <w:color w:val="000000"/>
          <w:sz w:val="20"/>
          <w:szCs w:val="20"/>
        </w:rPr>
        <w:t xml:space="preserve"> to fix the level of interchange fees. Other merchants have asserted similar claims in separate lawsuits, and while these separate cases did not name any issuing banks, Visa, MasterCard and issuers, including Capital One, have entered settlement and judgme</w:t>
      </w:r>
      <w:r>
        <w:rPr>
          <w:rFonts w:eastAsia="Times New Roman"/>
          <w:color w:val="000000"/>
          <w:sz w:val="20"/>
          <w:szCs w:val="20"/>
        </w:rPr>
        <w:t>nt sharing agreements allocating the liabilities of any judgment or settlement arising from all interchange-related cases.</w:t>
      </w:r>
    </w:p>
    <w:p w14:paraId="5C163939" w14:textId="77777777" w:rsidR="00000000" w:rsidRDefault="00A173A8">
      <w:pPr>
        <w:jc w:val="both"/>
        <w:divId w:val="116876943"/>
        <w:rPr>
          <w:rFonts w:eastAsia="Times New Roman"/>
        </w:rPr>
      </w:pPr>
      <w:r>
        <w:rPr>
          <w:rFonts w:eastAsia="Times New Roman"/>
          <w:color w:val="000000"/>
          <w:sz w:val="20"/>
          <w:szCs w:val="20"/>
        </w:rPr>
        <w:t>The lawsuits were consolidated before the U.S. District Court for the Eastern District of New York for certain purposes and were sett</w:t>
      </w:r>
      <w:r>
        <w:rPr>
          <w:rFonts w:eastAsia="Times New Roman"/>
          <w:color w:val="000000"/>
          <w:sz w:val="20"/>
          <w:szCs w:val="20"/>
        </w:rPr>
        <w:t>led in 2012. The class settlement, however, was invalidated by the United States Court of Appeals for the Second Circuit in June 2016, and the suit was bifurcated into separate class actions seeking injunctive and monetary relief, respectively. In addition</w:t>
      </w:r>
      <w:r>
        <w:rPr>
          <w:rFonts w:eastAsia="Times New Roman"/>
          <w:color w:val="000000"/>
          <w:sz w:val="20"/>
          <w:szCs w:val="20"/>
        </w:rPr>
        <w:t xml:space="preserve">, numerous merchant groups opted out of the 2012 settlement and have pursued their own claims. The claims by the injunctive relief class have not been resolved, but the settlement of </w:t>
      </w:r>
      <w:r>
        <w:rPr>
          <w:rFonts w:eastAsia="Times New Roman"/>
          <w:color w:val="000000"/>
          <w:sz w:val="20"/>
          <w:szCs w:val="20"/>
          <w:shd w:val="clear" w:color="auto" w:fill="FFFFFF"/>
        </w:rPr>
        <w:t>$5.5 billion</w:t>
      </w:r>
      <w:r>
        <w:rPr>
          <w:rFonts w:eastAsia="Times New Roman"/>
          <w:color w:val="000000"/>
          <w:sz w:val="20"/>
          <w:szCs w:val="20"/>
        </w:rPr>
        <w:t xml:space="preserve"> for the monetary damages class received final approval from </w:t>
      </w:r>
      <w:r>
        <w:rPr>
          <w:rFonts w:eastAsia="Times New Roman"/>
          <w:color w:val="000000"/>
          <w:sz w:val="20"/>
          <w:szCs w:val="20"/>
        </w:rPr>
        <w:t xml:space="preserve">the trial court, and has been appealed to the U.S. Court of Appeals for the Second Circuit. Visa and MasterCard have also settled a number of the opt-out cases, which required non-material payments from issuing banks, including Capital One. Visa created a </w:t>
      </w:r>
      <w:r>
        <w:rPr>
          <w:rFonts w:eastAsia="Times New Roman"/>
          <w:color w:val="000000"/>
          <w:sz w:val="20"/>
          <w:szCs w:val="20"/>
        </w:rPr>
        <w:t>litigation escrow account following its initial public offering of stock in 2008 that funds settlements for its member banks, and any settlements related to MasterCard-allocated losses have either already been paid or are reflected in our reserves.</w:t>
      </w:r>
    </w:p>
    <w:p w14:paraId="5B9E386B" w14:textId="77777777" w:rsidR="00000000" w:rsidRDefault="00A173A8">
      <w:pPr>
        <w:jc w:val="both"/>
        <w:divId w:val="375088214"/>
        <w:rPr>
          <w:rFonts w:eastAsia="Times New Roman"/>
        </w:rPr>
      </w:pPr>
      <w:r>
        <w:rPr>
          <w:rFonts w:eastAsia="Times New Roman"/>
          <w:b/>
          <w:bCs/>
          <w:i/>
          <w:iCs/>
          <w:color w:val="000000"/>
          <w:sz w:val="20"/>
          <w:szCs w:val="20"/>
        </w:rPr>
        <w:t>Cyberse</w:t>
      </w:r>
      <w:r>
        <w:rPr>
          <w:rFonts w:eastAsia="Times New Roman"/>
          <w:b/>
          <w:bCs/>
          <w:i/>
          <w:iCs/>
          <w:color w:val="000000"/>
          <w:sz w:val="20"/>
          <w:szCs w:val="20"/>
        </w:rPr>
        <w:t>curity Incident</w:t>
      </w:r>
    </w:p>
    <w:p w14:paraId="5FE737B6" w14:textId="77777777" w:rsidR="00000000" w:rsidRDefault="00A173A8">
      <w:pPr>
        <w:jc w:val="both"/>
        <w:divId w:val="1681277048"/>
        <w:rPr>
          <w:rFonts w:eastAsia="Times New Roman"/>
        </w:rPr>
      </w:pPr>
      <w:r>
        <w:rPr>
          <w:rFonts w:eastAsia="Times New Roman"/>
          <w:color w:val="000000"/>
          <w:sz w:val="20"/>
          <w:szCs w:val="20"/>
        </w:rPr>
        <w:t>On July 29, 2019, we announced that on March 22 and 23, 2019 an outside individual gained unauthorized access to our systems. This individual obtained certain types of personal information relating to people who had applied for our credit c</w:t>
      </w:r>
      <w:r>
        <w:rPr>
          <w:rFonts w:eastAsia="Times New Roman"/>
          <w:color w:val="000000"/>
          <w:sz w:val="20"/>
          <w:szCs w:val="20"/>
        </w:rPr>
        <w:t>ard products and to our credit card customers (the “Cybersecurity Incident”). As a result of the Cybersecurity Incident, we are subject to numerous legal proceedings and other inquiries and could be the subject of additional proceedings and inquiries in th</w:t>
      </w:r>
      <w:r>
        <w:rPr>
          <w:rFonts w:eastAsia="Times New Roman"/>
          <w:color w:val="000000"/>
          <w:sz w:val="20"/>
          <w:szCs w:val="20"/>
        </w:rPr>
        <w:t xml:space="preserve">e future. </w:t>
      </w:r>
    </w:p>
    <w:p w14:paraId="44512EF6" w14:textId="77777777" w:rsidR="00000000" w:rsidRDefault="00A173A8">
      <w:pPr>
        <w:jc w:val="both"/>
        <w:divId w:val="1773352865"/>
        <w:rPr>
          <w:rFonts w:eastAsia="Times New Roman"/>
        </w:rPr>
      </w:pPr>
      <w:r>
        <w:rPr>
          <w:rFonts w:eastAsia="Times New Roman"/>
          <w:i/>
          <w:iCs/>
          <w:color w:val="000000"/>
          <w:sz w:val="20"/>
          <w:szCs w:val="20"/>
        </w:rPr>
        <w:t>Consumer class actions</w:t>
      </w:r>
      <w:r>
        <w:rPr>
          <w:rFonts w:eastAsia="Times New Roman"/>
          <w:color w:val="000000"/>
          <w:sz w:val="20"/>
          <w:szCs w:val="20"/>
        </w:rPr>
        <w:t>. We were named as a defendant in approximately 75 putative consumer class action cases (primarily in U.S. courts with cases also in Canadian courts) alleging harm from the Cybersecurity Incident and seeking various remedie</w:t>
      </w:r>
      <w:r>
        <w:rPr>
          <w:rFonts w:eastAsia="Times New Roman"/>
          <w:color w:val="000000"/>
          <w:sz w:val="20"/>
          <w:szCs w:val="20"/>
        </w:rPr>
        <w:t>s, including monetary and injunctive relief. The lawsuits allege breach of contract, negligence, violations of various privacy laws and a variety of other legal causes of action. The U.S. consumer class actions have been consolidated for pretrial proceedin</w:t>
      </w:r>
      <w:r>
        <w:rPr>
          <w:rFonts w:eastAsia="Times New Roman"/>
          <w:color w:val="000000"/>
          <w:sz w:val="20"/>
          <w:szCs w:val="20"/>
        </w:rPr>
        <w:t>gs before a multi-district litigation (“MDL”) panel in the U.S. District Court for the Eastern District of Virginia, Alexandria Division. In the third quarter of 2020, the MDL court denied in part and granted in part Capital One’s motion to dismiss and per</w:t>
      </w:r>
      <w:r>
        <w:rPr>
          <w:rFonts w:eastAsia="Times New Roman"/>
          <w:color w:val="000000"/>
          <w:sz w:val="20"/>
          <w:szCs w:val="20"/>
        </w:rPr>
        <w:t>mitted pretrial discovery to continue. In the fourth quarter of 2021, the parties agreed to a settlement of the U.S. consumer class action cases for an amount within existing reserves. The parties are in the process of seeking the required court approval o</w:t>
      </w:r>
      <w:r>
        <w:rPr>
          <w:rFonts w:eastAsia="Times New Roman"/>
          <w:color w:val="000000"/>
          <w:sz w:val="20"/>
          <w:szCs w:val="20"/>
        </w:rPr>
        <w:t xml:space="preserve">f the class settlement. In the second quarter of 2022, a trial court in British Columbia preliminarily certified a class of all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65897CB4" w14:textId="77777777">
        <w:trPr>
          <w:divId w:val="969702503"/>
          <w:jc w:val="center"/>
        </w:trPr>
        <w:tc>
          <w:tcPr>
            <w:tcW w:w="50" w:type="pct"/>
            <w:vAlign w:val="center"/>
            <w:hideMark/>
          </w:tcPr>
          <w:p w14:paraId="79837824" w14:textId="77777777" w:rsidR="00000000" w:rsidRDefault="00A173A8">
            <w:pPr>
              <w:jc w:val="both"/>
              <w:rPr>
                <w:rFonts w:eastAsia="Times New Roman"/>
              </w:rPr>
            </w:pPr>
          </w:p>
        </w:tc>
        <w:tc>
          <w:tcPr>
            <w:tcW w:w="1606" w:type="pct"/>
            <w:vAlign w:val="center"/>
            <w:hideMark/>
          </w:tcPr>
          <w:p w14:paraId="43A5090B" w14:textId="77777777" w:rsidR="00000000" w:rsidRDefault="00A173A8">
            <w:pPr>
              <w:spacing w:after="100"/>
              <w:rPr>
                <w:rFonts w:eastAsia="Times New Roman"/>
                <w:sz w:val="20"/>
                <w:szCs w:val="20"/>
              </w:rPr>
            </w:pPr>
          </w:p>
        </w:tc>
        <w:tc>
          <w:tcPr>
            <w:tcW w:w="5" w:type="pct"/>
            <w:vAlign w:val="center"/>
            <w:hideMark/>
          </w:tcPr>
          <w:p w14:paraId="2D58D087" w14:textId="77777777" w:rsidR="00000000" w:rsidRDefault="00A173A8">
            <w:pPr>
              <w:spacing w:after="100"/>
              <w:rPr>
                <w:rFonts w:eastAsia="Times New Roman"/>
                <w:sz w:val="20"/>
                <w:szCs w:val="20"/>
              </w:rPr>
            </w:pPr>
          </w:p>
        </w:tc>
        <w:tc>
          <w:tcPr>
            <w:tcW w:w="50" w:type="pct"/>
            <w:vAlign w:val="center"/>
            <w:hideMark/>
          </w:tcPr>
          <w:p w14:paraId="4344833D" w14:textId="77777777" w:rsidR="00000000" w:rsidRDefault="00A173A8">
            <w:pPr>
              <w:spacing w:after="100"/>
              <w:rPr>
                <w:rFonts w:eastAsia="Times New Roman"/>
                <w:sz w:val="20"/>
                <w:szCs w:val="20"/>
              </w:rPr>
            </w:pPr>
          </w:p>
        </w:tc>
        <w:tc>
          <w:tcPr>
            <w:tcW w:w="1614" w:type="pct"/>
            <w:vAlign w:val="center"/>
            <w:hideMark/>
          </w:tcPr>
          <w:p w14:paraId="366B9DD7" w14:textId="77777777" w:rsidR="00000000" w:rsidRDefault="00A173A8">
            <w:pPr>
              <w:spacing w:after="100"/>
              <w:rPr>
                <w:rFonts w:eastAsia="Times New Roman"/>
                <w:sz w:val="20"/>
                <w:szCs w:val="20"/>
              </w:rPr>
            </w:pPr>
          </w:p>
        </w:tc>
        <w:tc>
          <w:tcPr>
            <w:tcW w:w="5" w:type="pct"/>
            <w:vAlign w:val="center"/>
            <w:hideMark/>
          </w:tcPr>
          <w:p w14:paraId="59932369" w14:textId="77777777" w:rsidR="00000000" w:rsidRDefault="00A173A8">
            <w:pPr>
              <w:spacing w:after="100"/>
              <w:rPr>
                <w:rFonts w:eastAsia="Times New Roman"/>
                <w:sz w:val="20"/>
                <w:szCs w:val="20"/>
              </w:rPr>
            </w:pPr>
          </w:p>
        </w:tc>
        <w:tc>
          <w:tcPr>
            <w:tcW w:w="50" w:type="pct"/>
            <w:vAlign w:val="center"/>
            <w:hideMark/>
          </w:tcPr>
          <w:p w14:paraId="7CC258F8" w14:textId="77777777" w:rsidR="00000000" w:rsidRDefault="00A173A8">
            <w:pPr>
              <w:spacing w:after="100"/>
              <w:rPr>
                <w:rFonts w:eastAsia="Times New Roman"/>
                <w:sz w:val="20"/>
                <w:szCs w:val="20"/>
              </w:rPr>
            </w:pPr>
          </w:p>
        </w:tc>
        <w:tc>
          <w:tcPr>
            <w:tcW w:w="1614" w:type="pct"/>
            <w:vAlign w:val="center"/>
            <w:hideMark/>
          </w:tcPr>
          <w:p w14:paraId="46DC1C87" w14:textId="77777777" w:rsidR="00000000" w:rsidRDefault="00A173A8">
            <w:pPr>
              <w:spacing w:after="100"/>
              <w:rPr>
                <w:rFonts w:eastAsia="Times New Roman"/>
                <w:sz w:val="20"/>
                <w:szCs w:val="20"/>
              </w:rPr>
            </w:pPr>
          </w:p>
        </w:tc>
        <w:tc>
          <w:tcPr>
            <w:tcW w:w="5" w:type="pct"/>
            <w:vAlign w:val="center"/>
            <w:hideMark/>
          </w:tcPr>
          <w:p w14:paraId="053F3965" w14:textId="77777777" w:rsidR="00000000" w:rsidRDefault="00A173A8">
            <w:pPr>
              <w:spacing w:after="100"/>
              <w:rPr>
                <w:rFonts w:eastAsia="Times New Roman"/>
                <w:sz w:val="20"/>
                <w:szCs w:val="20"/>
              </w:rPr>
            </w:pPr>
          </w:p>
        </w:tc>
      </w:tr>
      <w:tr w:rsidR="00000000" w14:paraId="2390BBBD" w14:textId="77777777">
        <w:trPr>
          <w:divId w:val="969702503"/>
          <w:trHeight w:val="300"/>
          <w:jc w:val="center"/>
        </w:trPr>
        <w:tc>
          <w:tcPr>
            <w:tcW w:w="0" w:type="auto"/>
            <w:gridSpan w:val="9"/>
            <w:tcMar>
              <w:top w:w="0" w:type="dxa"/>
              <w:left w:w="20" w:type="dxa"/>
              <w:bottom w:w="0" w:type="dxa"/>
              <w:right w:w="20" w:type="dxa"/>
            </w:tcMar>
            <w:vAlign w:val="center"/>
            <w:hideMark/>
          </w:tcPr>
          <w:p w14:paraId="6681FB40" w14:textId="77777777" w:rsidR="00000000" w:rsidRDefault="00A173A8">
            <w:pPr>
              <w:spacing w:after="100"/>
              <w:rPr>
                <w:rFonts w:eastAsia="Times New Roman"/>
                <w:sz w:val="20"/>
                <w:szCs w:val="20"/>
              </w:rPr>
            </w:pPr>
          </w:p>
        </w:tc>
      </w:tr>
      <w:tr w:rsidR="00000000" w14:paraId="1E06C8A4" w14:textId="77777777">
        <w:trPr>
          <w:divId w:val="969702503"/>
          <w:jc w:val="center"/>
        </w:trPr>
        <w:tc>
          <w:tcPr>
            <w:tcW w:w="0" w:type="auto"/>
            <w:gridSpan w:val="3"/>
            <w:tcMar>
              <w:top w:w="0" w:type="dxa"/>
              <w:left w:w="20" w:type="dxa"/>
              <w:bottom w:w="0" w:type="dxa"/>
              <w:right w:w="20" w:type="dxa"/>
            </w:tcMar>
            <w:vAlign w:val="center"/>
            <w:hideMark/>
          </w:tcPr>
          <w:p w14:paraId="027F144F"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03ADB96" w14:textId="77777777" w:rsidR="00000000" w:rsidRDefault="00A173A8">
            <w:pPr>
              <w:spacing w:after="100"/>
              <w:jc w:val="center"/>
              <w:rPr>
                <w:rFonts w:eastAsia="Times New Roman"/>
              </w:rPr>
            </w:pPr>
            <w:r>
              <w:rPr>
                <w:rFonts w:eastAsia="Times New Roman"/>
                <w:color w:val="000000"/>
                <w:sz w:val="16"/>
                <w:szCs w:val="16"/>
              </w:rPr>
              <w:t>118</w:t>
            </w:r>
          </w:p>
        </w:tc>
        <w:tc>
          <w:tcPr>
            <w:tcW w:w="0" w:type="auto"/>
            <w:gridSpan w:val="3"/>
            <w:tcMar>
              <w:top w:w="30" w:type="dxa"/>
              <w:left w:w="20" w:type="dxa"/>
              <w:bottom w:w="30" w:type="dxa"/>
              <w:right w:w="20" w:type="dxa"/>
            </w:tcMar>
            <w:vAlign w:val="bottom"/>
            <w:hideMark/>
          </w:tcPr>
          <w:p w14:paraId="4D06EED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054BF713" w14:textId="77777777" w:rsidR="00000000" w:rsidRDefault="00A173A8">
      <w:pPr>
        <w:rPr>
          <w:rFonts w:eastAsia="Times New Roman"/>
        </w:rPr>
      </w:pPr>
      <w:r>
        <w:rPr>
          <w:rFonts w:eastAsia="Times New Roman"/>
        </w:rPr>
        <w:pict w14:anchorId="5AEE052E">
          <v:rect id="_x0000_i1143" style="width:0;height:1.5pt" o:hralign="center" o:hrstd="t" o:hr="t" fillcolor="#a0a0a0" stroked="f"/>
        </w:pict>
      </w:r>
    </w:p>
    <w:p w14:paraId="4E524FEB" w14:textId="77777777" w:rsidR="00000000" w:rsidRDefault="00A173A8">
      <w:pPr>
        <w:jc w:val="both"/>
        <w:divId w:val="1773818842"/>
        <w:rPr>
          <w:rFonts w:eastAsia="Times New Roman"/>
        </w:rPr>
      </w:pPr>
      <w:hyperlink w:anchor="i7ffd5d61af6f4722b1b1b07530d51c06_13" w:history="1">
        <w:r>
          <w:rPr>
            <w:rStyle w:val="a3"/>
            <w:rFonts w:eastAsia="Times New Roman"/>
            <w:sz w:val="16"/>
            <w:szCs w:val="16"/>
          </w:rPr>
          <w:t>Table of Contents</w:t>
        </w:r>
      </w:hyperlink>
    </w:p>
    <w:p w14:paraId="46D0D72B" w14:textId="77777777" w:rsidR="00000000" w:rsidRDefault="00A173A8">
      <w:pPr>
        <w:jc w:val="both"/>
        <w:divId w:val="2045903930"/>
        <w:rPr>
          <w:rFonts w:eastAsia="Times New Roman"/>
        </w:rPr>
      </w:pPr>
      <w:r>
        <w:rPr>
          <w:rFonts w:eastAsia="Times New Roman"/>
          <w:color w:val="000000"/>
          <w:sz w:val="20"/>
          <w:szCs w:val="20"/>
        </w:rPr>
        <w:t>impacted Canadian consumers except those in Quebec, which under Canadian law would allow the case to proceed with discovery on a classwide basi</w:t>
      </w:r>
      <w:r>
        <w:rPr>
          <w:rFonts w:eastAsia="Times New Roman"/>
          <w:color w:val="000000"/>
          <w:sz w:val="20"/>
          <w:szCs w:val="20"/>
        </w:rPr>
        <w:t>s. The preliminary certification decision has been appealed.</w:t>
      </w:r>
    </w:p>
    <w:p w14:paraId="54DB5C92" w14:textId="77777777" w:rsidR="00000000" w:rsidRDefault="00A173A8">
      <w:pPr>
        <w:jc w:val="both"/>
        <w:divId w:val="661130704"/>
        <w:rPr>
          <w:rFonts w:eastAsia="Times New Roman"/>
        </w:rPr>
      </w:pPr>
      <w:r>
        <w:rPr>
          <w:rFonts w:eastAsia="Times New Roman"/>
          <w:i/>
          <w:iCs/>
          <w:color w:val="000000"/>
          <w:sz w:val="20"/>
          <w:szCs w:val="20"/>
        </w:rPr>
        <w:t>Securities class action</w:t>
      </w:r>
      <w:r>
        <w:rPr>
          <w:rFonts w:eastAsia="Times New Roman"/>
          <w:color w:val="000000"/>
          <w:sz w:val="20"/>
          <w:szCs w:val="20"/>
        </w:rPr>
        <w:t>. The Company and certain officers have also been named as defendants in a putative class action pending in the MDL alleging violations of certain federal securities laws i</w:t>
      </w:r>
      <w:r>
        <w:rPr>
          <w:rFonts w:eastAsia="Times New Roman"/>
          <w:color w:val="000000"/>
          <w:sz w:val="20"/>
          <w:szCs w:val="20"/>
        </w:rPr>
        <w:t>n connection with statements and alleged omissions in securities filings relating to our information security standards and practices. The complaint seeks certification of a class of all persons who purchased or otherwise acquired Capital One securities fr</w:t>
      </w:r>
      <w:r>
        <w:rPr>
          <w:rFonts w:eastAsia="Times New Roman"/>
          <w:color w:val="000000"/>
          <w:sz w:val="20"/>
          <w:szCs w:val="20"/>
        </w:rPr>
        <w:t xml:space="preserve">om July 23, 2015 to July 29, 2019, as well as unspecified monetary damages, costs and other relief. The Company’s motion to dismiss the case is pending. </w:t>
      </w:r>
    </w:p>
    <w:p w14:paraId="7E7B1F9B" w14:textId="77777777" w:rsidR="00000000" w:rsidRDefault="00A173A8">
      <w:pPr>
        <w:jc w:val="both"/>
        <w:divId w:val="1810517689"/>
        <w:rPr>
          <w:rFonts w:eastAsia="Times New Roman"/>
        </w:rPr>
      </w:pPr>
      <w:r>
        <w:rPr>
          <w:rFonts w:eastAsia="Times New Roman"/>
          <w:i/>
          <w:iCs/>
          <w:color w:val="000000"/>
          <w:sz w:val="20"/>
          <w:szCs w:val="20"/>
        </w:rPr>
        <w:t>Governmental inquiries</w:t>
      </w:r>
      <w:r>
        <w:rPr>
          <w:rFonts w:eastAsia="Times New Roman"/>
          <w:color w:val="000000"/>
          <w:sz w:val="20"/>
          <w:szCs w:val="20"/>
        </w:rPr>
        <w:t>. We have received inquiries and requests for information relating to the Cybers</w:t>
      </w:r>
      <w:r>
        <w:rPr>
          <w:rFonts w:eastAsia="Times New Roman"/>
          <w:color w:val="000000"/>
          <w:sz w:val="20"/>
          <w:szCs w:val="20"/>
        </w:rPr>
        <w:t xml:space="preserve">ecurity Incident from Congress, federal regulators, relevant Canadian regulators, the Department of Justice, and the offices of approximately fourteen state Attorneys General. We have cooperated with these offices and responded to their inquiries. </w:t>
      </w:r>
    </w:p>
    <w:p w14:paraId="547883F4" w14:textId="77777777" w:rsidR="00000000" w:rsidRDefault="00A173A8">
      <w:pPr>
        <w:jc w:val="both"/>
        <w:rPr>
          <w:rFonts w:eastAsia="Times New Roman"/>
        </w:rPr>
      </w:pPr>
      <w:r>
        <w:rPr>
          <w:rFonts w:eastAsia="Times New Roman"/>
          <w:color w:val="000000"/>
          <w:sz w:val="20"/>
          <w:szCs w:val="20"/>
        </w:rPr>
        <w:t>In August 2020, we entered into consent orders with the Federal Reserve and the OCC resulting from regulatory reviews of the Cybersecurity Incident and relating to ongoing enhancements of our cybersecurity and operational risk management processes. We paid</w:t>
      </w:r>
      <w:r>
        <w:rPr>
          <w:rFonts w:eastAsia="Times New Roman"/>
          <w:color w:val="000000"/>
          <w:sz w:val="20"/>
          <w:szCs w:val="20"/>
        </w:rPr>
        <w:t xml:space="preserve"> an </w:t>
      </w:r>
      <w:r>
        <w:rPr>
          <w:rFonts w:eastAsia="Times New Roman"/>
          <w:color w:val="000000"/>
          <w:sz w:val="20"/>
          <w:szCs w:val="20"/>
          <w:shd w:val="clear" w:color="auto" w:fill="FFFFFF"/>
        </w:rPr>
        <w:t>$80 million</w:t>
      </w:r>
      <w:r>
        <w:rPr>
          <w:rFonts w:eastAsia="Times New Roman"/>
          <w:color w:val="000000"/>
          <w:sz w:val="20"/>
          <w:szCs w:val="20"/>
        </w:rPr>
        <w:t xml:space="preserve"> penalty to the U.S. Treasury as part of the OCC agreement. The Federal Reserve agreement did not contain a monetary penalty. </w:t>
      </w:r>
    </w:p>
    <w:p w14:paraId="2E6B1137" w14:textId="77777777" w:rsidR="00000000" w:rsidRDefault="00A173A8">
      <w:pPr>
        <w:divId w:val="878200268"/>
        <w:rPr>
          <w:rFonts w:eastAsia="Times New Roman"/>
        </w:rPr>
      </w:pPr>
      <w:r>
        <w:rPr>
          <w:rFonts w:eastAsia="Times New Roman"/>
          <w:b/>
          <w:bCs/>
          <w:i/>
          <w:iCs/>
          <w:color w:val="000000"/>
          <w:sz w:val="20"/>
          <w:szCs w:val="20"/>
        </w:rPr>
        <w:t>Taxi Medallion Finance Investigations</w:t>
      </w:r>
    </w:p>
    <w:p w14:paraId="5C804232" w14:textId="77777777" w:rsidR="00000000" w:rsidRDefault="00A173A8">
      <w:pPr>
        <w:jc w:val="both"/>
        <w:divId w:val="1086728003"/>
        <w:rPr>
          <w:rFonts w:eastAsia="Times New Roman"/>
        </w:rPr>
      </w:pPr>
      <w:r>
        <w:rPr>
          <w:rFonts w:eastAsia="Times New Roman"/>
          <w:color w:val="000000"/>
          <w:sz w:val="20"/>
          <w:szCs w:val="20"/>
        </w:rPr>
        <w:t>Beginning in 2019, we have received subpoenas from the New York Attorney General’s office and from the U.S. Attorney’s Office for the Southern District of New York, Civil and Criminal Divisions, relating to investigations of the taxi medallion finance indu</w:t>
      </w:r>
      <w:r>
        <w:rPr>
          <w:rFonts w:eastAsia="Times New Roman"/>
          <w:color w:val="000000"/>
          <w:sz w:val="20"/>
          <w:szCs w:val="20"/>
        </w:rPr>
        <w:t>stry we exited beginning in 2015. The subpoenas seek, among other things, information regarding our lending counterparties and practices. We have cooperated with these investigations.</w:t>
      </w:r>
    </w:p>
    <w:p w14:paraId="3F78627D" w14:textId="77777777" w:rsidR="00000000" w:rsidRDefault="00A173A8">
      <w:pPr>
        <w:divId w:val="1490052184"/>
        <w:rPr>
          <w:rFonts w:eastAsia="Times New Roman"/>
        </w:rPr>
      </w:pPr>
      <w:r>
        <w:rPr>
          <w:rFonts w:eastAsia="Times New Roman"/>
          <w:b/>
          <w:bCs/>
          <w:i/>
          <w:iCs/>
          <w:color w:val="000000"/>
          <w:sz w:val="20"/>
          <w:szCs w:val="20"/>
        </w:rPr>
        <w:t>U.K. PPI Litigation</w:t>
      </w:r>
    </w:p>
    <w:p w14:paraId="08672596" w14:textId="77777777" w:rsidR="00000000" w:rsidRDefault="00A173A8">
      <w:pPr>
        <w:jc w:val="both"/>
        <w:divId w:val="629439626"/>
        <w:rPr>
          <w:rFonts w:eastAsia="Times New Roman"/>
        </w:rPr>
      </w:pPr>
      <w:r>
        <w:rPr>
          <w:rFonts w:eastAsia="Times New Roman"/>
          <w:color w:val="000000"/>
          <w:sz w:val="20"/>
          <w:szCs w:val="20"/>
        </w:rPr>
        <w:t>In the U.K., we previously sold payment protection i</w:t>
      </w:r>
      <w:r>
        <w:rPr>
          <w:rFonts w:eastAsia="Times New Roman"/>
          <w:color w:val="000000"/>
          <w:sz w:val="20"/>
          <w:szCs w:val="20"/>
        </w:rPr>
        <w:t>nsurance (“PPI”). For several years leading up to the claims submission deadline of August 29, 2019 (as set by the U.K. Financial Conduct Authority), we received customer complaints and regulatory claims relating to PPI. COEP has materially resolved the PP</w:t>
      </w:r>
      <w:r>
        <w:rPr>
          <w:rFonts w:eastAsia="Times New Roman"/>
          <w:color w:val="000000"/>
          <w:sz w:val="20"/>
          <w:szCs w:val="20"/>
        </w:rPr>
        <w:t>I complaints and regulatory claims received prior to the deadline. Some of the claimants in the U.K. PPI regulatory claims process have subsequently initiated legal proceedings, seeking additional redress. We are responding to these proceedings as we recei</w:t>
      </w:r>
      <w:r>
        <w:rPr>
          <w:rFonts w:eastAsia="Times New Roman"/>
          <w:color w:val="000000"/>
          <w:sz w:val="20"/>
          <w:szCs w:val="20"/>
        </w:rPr>
        <w:t>ve them.</w:t>
      </w:r>
    </w:p>
    <w:p w14:paraId="7819AC9A" w14:textId="77777777" w:rsidR="00000000" w:rsidRDefault="00A173A8">
      <w:pPr>
        <w:jc w:val="both"/>
        <w:divId w:val="1885291870"/>
        <w:rPr>
          <w:rFonts w:eastAsia="Times New Roman"/>
        </w:rPr>
      </w:pPr>
      <w:r>
        <w:rPr>
          <w:rFonts w:eastAsia="Times New Roman"/>
          <w:b/>
          <w:bCs/>
          <w:i/>
          <w:iCs/>
          <w:color w:val="000000"/>
          <w:sz w:val="20"/>
          <w:szCs w:val="20"/>
        </w:rPr>
        <w:t>Other Pending and Threatened Litigation</w:t>
      </w:r>
    </w:p>
    <w:p w14:paraId="0BFF8A3B" w14:textId="77777777" w:rsidR="00000000" w:rsidRDefault="00A173A8">
      <w:pPr>
        <w:jc w:val="both"/>
        <w:divId w:val="1049568566"/>
        <w:rPr>
          <w:rFonts w:eastAsia="Times New Roman"/>
        </w:rPr>
      </w:pPr>
      <w:r>
        <w:rPr>
          <w:rFonts w:eastAsia="Times New Roman"/>
          <w:color w:val="000000"/>
          <w:sz w:val="20"/>
          <w:szCs w:val="20"/>
        </w:rPr>
        <w:t>In addition, we are commonly subject to various pending and threatened legal actions relating to the conduct of our normal business activities. In the opinion of management, the ultimate aggregate liability,</w:t>
      </w:r>
      <w:r>
        <w:rPr>
          <w:rFonts w:eastAsia="Times New Roman"/>
          <w:color w:val="000000"/>
          <w:sz w:val="20"/>
          <w:szCs w:val="20"/>
        </w:rPr>
        <w:t xml:space="preserve"> if any, arising out of all such other pending or threatened legal actions is not expected to be material to our consolidated financial position or our results of operations.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0C99A559" w14:textId="77777777">
        <w:trPr>
          <w:divId w:val="1845514046"/>
          <w:jc w:val="center"/>
        </w:trPr>
        <w:tc>
          <w:tcPr>
            <w:tcW w:w="50" w:type="pct"/>
            <w:vAlign w:val="center"/>
            <w:hideMark/>
          </w:tcPr>
          <w:p w14:paraId="6566BDB1" w14:textId="77777777" w:rsidR="00000000" w:rsidRDefault="00A173A8">
            <w:pPr>
              <w:jc w:val="both"/>
              <w:rPr>
                <w:rFonts w:eastAsia="Times New Roman"/>
              </w:rPr>
            </w:pPr>
          </w:p>
        </w:tc>
        <w:tc>
          <w:tcPr>
            <w:tcW w:w="1606" w:type="pct"/>
            <w:vAlign w:val="center"/>
            <w:hideMark/>
          </w:tcPr>
          <w:p w14:paraId="31881B59" w14:textId="77777777" w:rsidR="00000000" w:rsidRDefault="00A173A8">
            <w:pPr>
              <w:spacing w:after="100"/>
              <w:rPr>
                <w:rFonts w:eastAsia="Times New Roman"/>
                <w:sz w:val="20"/>
                <w:szCs w:val="20"/>
              </w:rPr>
            </w:pPr>
          </w:p>
        </w:tc>
        <w:tc>
          <w:tcPr>
            <w:tcW w:w="5" w:type="pct"/>
            <w:vAlign w:val="center"/>
            <w:hideMark/>
          </w:tcPr>
          <w:p w14:paraId="4D8DFC53" w14:textId="77777777" w:rsidR="00000000" w:rsidRDefault="00A173A8">
            <w:pPr>
              <w:spacing w:after="100"/>
              <w:rPr>
                <w:rFonts w:eastAsia="Times New Roman"/>
                <w:sz w:val="20"/>
                <w:szCs w:val="20"/>
              </w:rPr>
            </w:pPr>
          </w:p>
        </w:tc>
        <w:tc>
          <w:tcPr>
            <w:tcW w:w="50" w:type="pct"/>
            <w:vAlign w:val="center"/>
            <w:hideMark/>
          </w:tcPr>
          <w:p w14:paraId="5B15D192" w14:textId="77777777" w:rsidR="00000000" w:rsidRDefault="00A173A8">
            <w:pPr>
              <w:spacing w:after="100"/>
              <w:rPr>
                <w:rFonts w:eastAsia="Times New Roman"/>
                <w:sz w:val="20"/>
                <w:szCs w:val="20"/>
              </w:rPr>
            </w:pPr>
          </w:p>
        </w:tc>
        <w:tc>
          <w:tcPr>
            <w:tcW w:w="1614" w:type="pct"/>
            <w:vAlign w:val="center"/>
            <w:hideMark/>
          </w:tcPr>
          <w:p w14:paraId="6F15AA93" w14:textId="77777777" w:rsidR="00000000" w:rsidRDefault="00A173A8">
            <w:pPr>
              <w:spacing w:after="100"/>
              <w:rPr>
                <w:rFonts w:eastAsia="Times New Roman"/>
                <w:sz w:val="20"/>
                <w:szCs w:val="20"/>
              </w:rPr>
            </w:pPr>
          </w:p>
        </w:tc>
        <w:tc>
          <w:tcPr>
            <w:tcW w:w="5" w:type="pct"/>
            <w:vAlign w:val="center"/>
            <w:hideMark/>
          </w:tcPr>
          <w:p w14:paraId="2D3DAFC2" w14:textId="77777777" w:rsidR="00000000" w:rsidRDefault="00A173A8">
            <w:pPr>
              <w:spacing w:after="100"/>
              <w:rPr>
                <w:rFonts w:eastAsia="Times New Roman"/>
                <w:sz w:val="20"/>
                <w:szCs w:val="20"/>
              </w:rPr>
            </w:pPr>
          </w:p>
        </w:tc>
        <w:tc>
          <w:tcPr>
            <w:tcW w:w="50" w:type="pct"/>
            <w:vAlign w:val="center"/>
            <w:hideMark/>
          </w:tcPr>
          <w:p w14:paraId="328C5DC0" w14:textId="77777777" w:rsidR="00000000" w:rsidRDefault="00A173A8">
            <w:pPr>
              <w:spacing w:after="100"/>
              <w:rPr>
                <w:rFonts w:eastAsia="Times New Roman"/>
                <w:sz w:val="20"/>
                <w:szCs w:val="20"/>
              </w:rPr>
            </w:pPr>
          </w:p>
        </w:tc>
        <w:tc>
          <w:tcPr>
            <w:tcW w:w="1614" w:type="pct"/>
            <w:vAlign w:val="center"/>
            <w:hideMark/>
          </w:tcPr>
          <w:p w14:paraId="4DF55209" w14:textId="77777777" w:rsidR="00000000" w:rsidRDefault="00A173A8">
            <w:pPr>
              <w:spacing w:after="100"/>
              <w:rPr>
                <w:rFonts w:eastAsia="Times New Roman"/>
                <w:sz w:val="20"/>
                <w:szCs w:val="20"/>
              </w:rPr>
            </w:pPr>
          </w:p>
        </w:tc>
        <w:tc>
          <w:tcPr>
            <w:tcW w:w="5" w:type="pct"/>
            <w:vAlign w:val="center"/>
            <w:hideMark/>
          </w:tcPr>
          <w:p w14:paraId="57590174" w14:textId="77777777" w:rsidR="00000000" w:rsidRDefault="00A173A8">
            <w:pPr>
              <w:spacing w:after="100"/>
              <w:rPr>
                <w:rFonts w:eastAsia="Times New Roman"/>
                <w:sz w:val="20"/>
                <w:szCs w:val="20"/>
              </w:rPr>
            </w:pPr>
          </w:p>
        </w:tc>
      </w:tr>
      <w:tr w:rsidR="00000000" w14:paraId="3E0638E8" w14:textId="77777777">
        <w:trPr>
          <w:divId w:val="1845514046"/>
          <w:trHeight w:val="300"/>
          <w:jc w:val="center"/>
        </w:trPr>
        <w:tc>
          <w:tcPr>
            <w:tcW w:w="0" w:type="auto"/>
            <w:gridSpan w:val="9"/>
            <w:tcMar>
              <w:top w:w="0" w:type="dxa"/>
              <w:left w:w="20" w:type="dxa"/>
              <w:bottom w:w="0" w:type="dxa"/>
              <w:right w:w="20" w:type="dxa"/>
            </w:tcMar>
            <w:vAlign w:val="center"/>
            <w:hideMark/>
          </w:tcPr>
          <w:p w14:paraId="7D68F183" w14:textId="77777777" w:rsidR="00000000" w:rsidRDefault="00A173A8">
            <w:pPr>
              <w:spacing w:after="100"/>
              <w:rPr>
                <w:rFonts w:eastAsia="Times New Roman"/>
                <w:sz w:val="20"/>
                <w:szCs w:val="20"/>
              </w:rPr>
            </w:pPr>
          </w:p>
        </w:tc>
      </w:tr>
      <w:tr w:rsidR="00000000" w14:paraId="0C7E62A7" w14:textId="77777777">
        <w:trPr>
          <w:divId w:val="1845514046"/>
          <w:jc w:val="center"/>
        </w:trPr>
        <w:tc>
          <w:tcPr>
            <w:tcW w:w="0" w:type="auto"/>
            <w:gridSpan w:val="3"/>
            <w:tcMar>
              <w:top w:w="0" w:type="dxa"/>
              <w:left w:w="20" w:type="dxa"/>
              <w:bottom w:w="0" w:type="dxa"/>
              <w:right w:w="20" w:type="dxa"/>
            </w:tcMar>
            <w:vAlign w:val="center"/>
            <w:hideMark/>
          </w:tcPr>
          <w:p w14:paraId="0FC2021D"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0D7C03E" w14:textId="77777777" w:rsidR="00000000" w:rsidRDefault="00A173A8">
            <w:pPr>
              <w:spacing w:after="100"/>
              <w:jc w:val="center"/>
              <w:rPr>
                <w:rFonts w:eastAsia="Times New Roman"/>
              </w:rPr>
            </w:pPr>
            <w:r>
              <w:rPr>
                <w:rFonts w:eastAsia="Times New Roman"/>
                <w:color w:val="000000"/>
                <w:sz w:val="16"/>
                <w:szCs w:val="16"/>
              </w:rPr>
              <w:t>119</w:t>
            </w:r>
          </w:p>
        </w:tc>
        <w:tc>
          <w:tcPr>
            <w:tcW w:w="0" w:type="auto"/>
            <w:gridSpan w:val="3"/>
            <w:tcMar>
              <w:top w:w="30" w:type="dxa"/>
              <w:left w:w="20" w:type="dxa"/>
              <w:bottom w:w="30" w:type="dxa"/>
              <w:right w:w="20" w:type="dxa"/>
            </w:tcMar>
            <w:vAlign w:val="bottom"/>
            <w:hideMark/>
          </w:tcPr>
          <w:p w14:paraId="0FF6DCB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679B520B" w14:textId="77777777" w:rsidR="00000000" w:rsidRDefault="00A173A8">
      <w:pPr>
        <w:rPr>
          <w:rFonts w:eastAsia="Times New Roman"/>
        </w:rPr>
      </w:pPr>
      <w:r>
        <w:rPr>
          <w:rFonts w:eastAsia="Times New Roman"/>
        </w:rPr>
        <w:pict w14:anchorId="7849910C">
          <v:rect id="_x0000_i1144" style="width:0;height:1.5pt" o:hralign="center" o:hrstd="t" o:hr="t" fillcolor="#a0a0a0" stroked="f"/>
        </w:pict>
      </w:r>
    </w:p>
    <w:p w14:paraId="4CA764BC" w14:textId="77777777" w:rsidR="00000000" w:rsidRDefault="00A173A8">
      <w:pPr>
        <w:jc w:val="both"/>
        <w:divId w:val="2050492794"/>
        <w:rPr>
          <w:rFonts w:eastAsia="Times New Roman"/>
        </w:rPr>
      </w:pPr>
      <w:hyperlink w:anchor="i7ffd5d61af6f4722b1b1b07530d51c06_13" w:history="1">
        <w:r>
          <w:rPr>
            <w:rStyle w:val="a3"/>
            <w:rFonts w:eastAsia="Times New Roman"/>
            <w:sz w:val="16"/>
            <w:szCs w:val="16"/>
          </w:rPr>
          <w:t>Table of Contents</w:t>
        </w:r>
      </w:hyperlink>
    </w:p>
    <w:p w14:paraId="4CD059FC" w14:textId="77777777" w:rsidR="00000000" w:rsidRDefault="00A173A8">
      <w:pPr>
        <w:divId w:val="238028191"/>
        <w:rPr>
          <w:rFonts w:eastAsia="Times New Roman"/>
        </w:rPr>
      </w:pPr>
      <w:r>
        <w:rPr>
          <w:rFonts w:eastAsia="Times New Roman"/>
          <w:b/>
          <w:bCs/>
          <w:color w:val="000000"/>
          <w:sz w:val="20"/>
          <w:szCs w:val="20"/>
        </w:rPr>
        <w:t xml:space="preserve">Item 3. Quantitative and Qualitative Disclosures about Market Risk </w:t>
      </w:r>
    </w:p>
    <w:p w14:paraId="701902A5" w14:textId="77777777" w:rsidR="00000000" w:rsidRDefault="00A173A8">
      <w:pPr>
        <w:jc w:val="both"/>
        <w:divId w:val="885217732"/>
        <w:rPr>
          <w:rFonts w:eastAsia="Times New Roman"/>
        </w:rPr>
      </w:pPr>
      <w:r>
        <w:rPr>
          <w:rFonts w:eastAsia="Times New Roman"/>
          <w:color w:val="000000"/>
          <w:sz w:val="20"/>
          <w:szCs w:val="20"/>
        </w:rPr>
        <w:t>For a discussion of the quantitative and qualitative disclosures about mark</w:t>
      </w:r>
      <w:r>
        <w:rPr>
          <w:rFonts w:eastAsia="Times New Roman"/>
          <w:color w:val="000000"/>
          <w:sz w:val="20"/>
          <w:szCs w:val="20"/>
        </w:rPr>
        <w:t>et risk, see “MD&amp;A—Market Risk Profile.”</w:t>
      </w:r>
    </w:p>
    <w:p w14:paraId="0A875594" w14:textId="77777777" w:rsidR="00000000" w:rsidRDefault="00A173A8">
      <w:pPr>
        <w:divId w:val="1606036050"/>
        <w:rPr>
          <w:rFonts w:eastAsia="Times New Roman"/>
        </w:rPr>
      </w:pPr>
      <w:r>
        <w:rPr>
          <w:rFonts w:eastAsia="Times New Roman"/>
          <w:b/>
          <w:bCs/>
          <w:color w:val="000000"/>
          <w:sz w:val="20"/>
          <w:szCs w:val="20"/>
        </w:rPr>
        <w:t>Item 4. Controls and Procedures</w:t>
      </w:r>
    </w:p>
    <w:p w14:paraId="04EAB5F5" w14:textId="77777777" w:rsidR="00000000" w:rsidRDefault="00A173A8">
      <w:pPr>
        <w:divId w:val="863641176"/>
        <w:rPr>
          <w:rFonts w:eastAsia="Times New Roman"/>
        </w:rPr>
      </w:pPr>
      <w:r>
        <w:rPr>
          <w:rFonts w:eastAsia="Times New Roman"/>
          <w:b/>
          <w:bCs/>
          <w:color w:val="000000"/>
          <w:sz w:val="20"/>
          <w:szCs w:val="20"/>
        </w:rPr>
        <w:t>Overview</w:t>
      </w:r>
    </w:p>
    <w:p w14:paraId="3B532B68" w14:textId="77777777" w:rsidR="00000000" w:rsidRDefault="00A173A8">
      <w:pPr>
        <w:jc w:val="both"/>
        <w:divId w:val="616328082"/>
        <w:rPr>
          <w:rFonts w:eastAsia="Times New Roman"/>
        </w:rPr>
      </w:pPr>
      <w:r>
        <w:rPr>
          <w:rFonts w:eastAsia="Times New Roman"/>
          <w:color w:val="000000"/>
          <w:sz w:val="20"/>
          <w:szCs w:val="20"/>
        </w:rPr>
        <w:t>We are required under applicable laws and regulations to maintain controls and procedures, which include disclosure controls and procedures as well as internal control over f</w:t>
      </w:r>
      <w:r>
        <w:rPr>
          <w:rFonts w:eastAsia="Times New Roman"/>
          <w:color w:val="000000"/>
          <w:sz w:val="20"/>
          <w:szCs w:val="20"/>
        </w:rPr>
        <w:t>inancial reporting, as further described below. </w:t>
      </w:r>
    </w:p>
    <w:p w14:paraId="00B4FF7D" w14:textId="77777777" w:rsidR="00000000" w:rsidRDefault="00A173A8">
      <w:pPr>
        <w:divId w:val="1456290962"/>
        <w:rPr>
          <w:rFonts w:eastAsia="Times New Roman"/>
        </w:rPr>
      </w:pPr>
      <w:r>
        <w:rPr>
          <w:rFonts w:eastAsia="Times New Roman"/>
          <w:b/>
          <w:bCs/>
          <w:color w:val="000000"/>
          <w:sz w:val="20"/>
          <w:szCs w:val="20"/>
        </w:rPr>
        <w:t>(a) Disclosure Controls and Procedures</w:t>
      </w:r>
    </w:p>
    <w:p w14:paraId="3ABA158F" w14:textId="77777777" w:rsidR="00000000" w:rsidRDefault="00A173A8">
      <w:pPr>
        <w:jc w:val="both"/>
        <w:divId w:val="1414863120"/>
        <w:rPr>
          <w:rFonts w:eastAsia="Times New Roman"/>
        </w:rPr>
      </w:pPr>
      <w:r>
        <w:rPr>
          <w:rFonts w:eastAsia="Times New Roman"/>
          <w:color w:val="000000"/>
          <w:sz w:val="20"/>
          <w:szCs w:val="20"/>
        </w:rPr>
        <w:t>Disclosure controls and procedures refer to controls and other procedures designed to provide reasonable assurance that information required to be disclosed in our fina</w:t>
      </w:r>
      <w:r>
        <w:rPr>
          <w:rFonts w:eastAsia="Times New Roman"/>
          <w:color w:val="000000"/>
          <w:sz w:val="20"/>
          <w:szCs w:val="20"/>
        </w:rPr>
        <w:t>ncial reports is recorded, processed, summarized and reported within the time periods specified by the U.S. Securities and Exchange Commission (“SEC”) rules and forms and that such information is accumulated and communicated to management, including our Ch</w:t>
      </w:r>
      <w:r>
        <w:rPr>
          <w:rFonts w:eastAsia="Times New Roman"/>
          <w:color w:val="000000"/>
          <w:sz w:val="20"/>
          <w:szCs w:val="20"/>
        </w:rPr>
        <w:t>ief Executive Officer and Chief Financial Officer, as appropriate, to allow timely decisions regarding our required disclosure. In designing and evaluating our disclosure controls and procedures, we recognize that any controls and procedures, no matter how</w:t>
      </w:r>
      <w:r>
        <w:rPr>
          <w:rFonts w:eastAsia="Times New Roman"/>
          <w:color w:val="000000"/>
          <w:sz w:val="20"/>
          <w:szCs w:val="20"/>
        </w:rPr>
        <w:t xml:space="preserve"> well designed and operated, can provide only reasonable assurance of achieving the desired control objectives, and we must apply judgment in evaluating and implementing possible controls and procedures. </w:t>
      </w:r>
    </w:p>
    <w:p w14:paraId="0FD9DCCE" w14:textId="77777777" w:rsidR="00000000" w:rsidRDefault="00A173A8">
      <w:pPr>
        <w:divId w:val="2011063047"/>
        <w:rPr>
          <w:rFonts w:eastAsia="Times New Roman"/>
        </w:rPr>
      </w:pPr>
      <w:r>
        <w:rPr>
          <w:rFonts w:eastAsia="Times New Roman"/>
          <w:b/>
          <w:bCs/>
          <w:i/>
          <w:iCs/>
          <w:color w:val="000000"/>
          <w:sz w:val="20"/>
          <w:szCs w:val="20"/>
        </w:rPr>
        <w:t>Evaluation of Disclosure Controls and Procedures</w:t>
      </w:r>
    </w:p>
    <w:p w14:paraId="33F87F36" w14:textId="77777777" w:rsidR="00000000" w:rsidRDefault="00A173A8">
      <w:pPr>
        <w:jc w:val="both"/>
        <w:divId w:val="932736737"/>
        <w:rPr>
          <w:rFonts w:eastAsia="Times New Roman"/>
        </w:rPr>
      </w:pPr>
      <w:r>
        <w:rPr>
          <w:rFonts w:eastAsia="Times New Roman"/>
          <w:color w:val="000000"/>
          <w:sz w:val="20"/>
          <w:szCs w:val="20"/>
        </w:rPr>
        <w:t>As</w:t>
      </w:r>
      <w:r>
        <w:rPr>
          <w:rFonts w:eastAsia="Times New Roman"/>
          <w:color w:val="000000"/>
          <w:sz w:val="20"/>
          <w:szCs w:val="20"/>
        </w:rPr>
        <w:t xml:space="preserve"> required by Rule 13a-15 of the Securities Exchange Act of 1934 (“Exchange Act”), our management, including the Chief Executive Officer and Chief Financial Officer, conducted an evaluation of the effectiveness of our disclosure controls and procedures (as </w:t>
      </w:r>
      <w:r>
        <w:rPr>
          <w:rFonts w:eastAsia="Times New Roman"/>
          <w:color w:val="000000"/>
          <w:sz w:val="20"/>
          <w:szCs w:val="20"/>
        </w:rPr>
        <w:t>that term is defined in Rules 13a-15(e) and 15d-15(e) of the Exchange Act) as of June 30, 2022, the end of the period covered by this Report on Form 10-Q. Based upon that evaluation, the Chief Executive Officer and Chief Financial Officer concluded that ou</w:t>
      </w:r>
      <w:r>
        <w:rPr>
          <w:rFonts w:eastAsia="Times New Roman"/>
          <w:color w:val="000000"/>
          <w:sz w:val="20"/>
          <w:szCs w:val="20"/>
        </w:rPr>
        <w:t>r disclosure controls and procedures were effective as of June 30, 2022, at a reasonable level of assurance, in recording, processing, summarizing and reporting information required to be disclosed within the time periods specified by the SEC rules and for</w:t>
      </w:r>
      <w:r>
        <w:rPr>
          <w:rFonts w:eastAsia="Times New Roman"/>
          <w:color w:val="000000"/>
          <w:sz w:val="20"/>
          <w:szCs w:val="20"/>
        </w:rPr>
        <w:t>ms.</w:t>
      </w:r>
    </w:p>
    <w:p w14:paraId="5F35132E" w14:textId="77777777" w:rsidR="00000000" w:rsidRDefault="00A173A8">
      <w:pPr>
        <w:jc w:val="both"/>
        <w:divId w:val="1511070061"/>
        <w:rPr>
          <w:rFonts w:eastAsia="Times New Roman"/>
        </w:rPr>
      </w:pPr>
      <w:r>
        <w:rPr>
          <w:rFonts w:eastAsia="Times New Roman"/>
          <w:b/>
          <w:bCs/>
          <w:color w:val="000000"/>
          <w:sz w:val="20"/>
          <w:szCs w:val="20"/>
        </w:rPr>
        <w:t>(b) Changes in Internal Control Over Financial Reporting</w:t>
      </w:r>
    </w:p>
    <w:p w14:paraId="122DC061" w14:textId="77777777" w:rsidR="00000000" w:rsidRDefault="00A173A8">
      <w:pPr>
        <w:jc w:val="both"/>
        <w:divId w:val="1854490032"/>
        <w:rPr>
          <w:rFonts w:eastAsia="Times New Roman"/>
        </w:rPr>
      </w:pPr>
      <w:r>
        <w:rPr>
          <w:rFonts w:eastAsia="Times New Roman"/>
          <w:color w:val="000000"/>
          <w:sz w:val="20"/>
          <w:szCs w:val="20"/>
        </w:rPr>
        <w:t>We regularly review our disclosure controls and procedures and make changes intended to ensure the quality of our financial reporting. There were no changes in internal control over financial reporting that occurred in the second quarter of 2022 that mater</w:t>
      </w:r>
      <w:r>
        <w:rPr>
          <w:rFonts w:eastAsia="Times New Roman"/>
          <w:color w:val="000000"/>
          <w:sz w:val="20"/>
          <w:szCs w:val="20"/>
        </w:rPr>
        <w:t>ially affected, or are reasonably likely to materially affect, the Company’s internal control over financial reporting.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5D979E86" w14:textId="77777777">
        <w:trPr>
          <w:divId w:val="1307202029"/>
          <w:jc w:val="center"/>
        </w:trPr>
        <w:tc>
          <w:tcPr>
            <w:tcW w:w="50" w:type="pct"/>
            <w:vAlign w:val="center"/>
            <w:hideMark/>
          </w:tcPr>
          <w:p w14:paraId="0039F59A" w14:textId="77777777" w:rsidR="00000000" w:rsidRDefault="00A173A8">
            <w:pPr>
              <w:jc w:val="both"/>
              <w:rPr>
                <w:rFonts w:eastAsia="Times New Roman"/>
              </w:rPr>
            </w:pPr>
          </w:p>
        </w:tc>
        <w:tc>
          <w:tcPr>
            <w:tcW w:w="1606" w:type="pct"/>
            <w:vAlign w:val="center"/>
            <w:hideMark/>
          </w:tcPr>
          <w:p w14:paraId="4A8FB670" w14:textId="77777777" w:rsidR="00000000" w:rsidRDefault="00A173A8">
            <w:pPr>
              <w:spacing w:after="100"/>
              <w:rPr>
                <w:rFonts w:eastAsia="Times New Roman"/>
                <w:sz w:val="20"/>
                <w:szCs w:val="20"/>
              </w:rPr>
            </w:pPr>
          </w:p>
        </w:tc>
        <w:tc>
          <w:tcPr>
            <w:tcW w:w="5" w:type="pct"/>
            <w:vAlign w:val="center"/>
            <w:hideMark/>
          </w:tcPr>
          <w:p w14:paraId="0656C7F3" w14:textId="77777777" w:rsidR="00000000" w:rsidRDefault="00A173A8">
            <w:pPr>
              <w:spacing w:after="100"/>
              <w:rPr>
                <w:rFonts w:eastAsia="Times New Roman"/>
                <w:sz w:val="20"/>
                <w:szCs w:val="20"/>
              </w:rPr>
            </w:pPr>
          </w:p>
        </w:tc>
        <w:tc>
          <w:tcPr>
            <w:tcW w:w="50" w:type="pct"/>
            <w:vAlign w:val="center"/>
            <w:hideMark/>
          </w:tcPr>
          <w:p w14:paraId="4A416E4C" w14:textId="77777777" w:rsidR="00000000" w:rsidRDefault="00A173A8">
            <w:pPr>
              <w:spacing w:after="100"/>
              <w:rPr>
                <w:rFonts w:eastAsia="Times New Roman"/>
                <w:sz w:val="20"/>
                <w:szCs w:val="20"/>
              </w:rPr>
            </w:pPr>
          </w:p>
        </w:tc>
        <w:tc>
          <w:tcPr>
            <w:tcW w:w="1614" w:type="pct"/>
            <w:vAlign w:val="center"/>
            <w:hideMark/>
          </w:tcPr>
          <w:p w14:paraId="4B313C37" w14:textId="77777777" w:rsidR="00000000" w:rsidRDefault="00A173A8">
            <w:pPr>
              <w:spacing w:after="100"/>
              <w:rPr>
                <w:rFonts w:eastAsia="Times New Roman"/>
                <w:sz w:val="20"/>
                <w:szCs w:val="20"/>
              </w:rPr>
            </w:pPr>
          </w:p>
        </w:tc>
        <w:tc>
          <w:tcPr>
            <w:tcW w:w="5" w:type="pct"/>
            <w:vAlign w:val="center"/>
            <w:hideMark/>
          </w:tcPr>
          <w:p w14:paraId="3ADFE552" w14:textId="77777777" w:rsidR="00000000" w:rsidRDefault="00A173A8">
            <w:pPr>
              <w:spacing w:after="100"/>
              <w:rPr>
                <w:rFonts w:eastAsia="Times New Roman"/>
                <w:sz w:val="20"/>
                <w:szCs w:val="20"/>
              </w:rPr>
            </w:pPr>
          </w:p>
        </w:tc>
        <w:tc>
          <w:tcPr>
            <w:tcW w:w="50" w:type="pct"/>
            <w:vAlign w:val="center"/>
            <w:hideMark/>
          </w:tcPr>
          <w:p w14:paraId="3A6D3E60" w14:textId="77777777" w:rsidR="00000000" w:rsidRDefault="00A173A8">
            <w:pPr>
              <w:spacing w:after="100"/>
              <w:rPr>
                <w:rFonts w:eastAsia="Times New Roman"/>
                <w:sz w:val="20"/>
                <w:szCs w:val="20"/>
              </w:rPr>
            </w:pPr>
          </w:p>
        </w:tc>
        <w:tc>
          <w:tcPr>
            <w:tcW w:w="1614" w:type="pct"/>
            <w:vAlign w:val="center"/>
            <w:hideMark/>
          </w:tcPr>
          <w:p w14:paraId="0BFEBC93" w14:textId="77777777" w:rsidR="00000000" w:rsidRDefault="00A173A8">
            <w:pPr>
              <w:spacing w:after="100"/>
              <w:rPr>
                <w:rFonts w:eastAsia="Times New Roman"/>
                <w:sz w:val="20"/>
                <w:szCs w:val="20"/>
              </w:rPr>
            </w:pPr>
          </w:p>
        </w:tc>
        <w:tc>
          <w:tcPr>
            <w:tcW w:w="5" w:type="pct"/>
            <w:vAlign w:val="center"/>
            <w:hideMark/>
          </w:tcPr>
          <w:p w14:paraId="469502C2" w14:textId="77777777" w:rsidR="00000000" w:rsidRDefault="00A173A8">
            <w:pPr>
              <w:spacing w:after="100"/>
              <w:rPr>
                <w:rFonts w:eastAsia="Times New Roman"/>
                <w:sz w:val="20"/>
                <w:szCs w:val="20"/>
              </w:rPr>
            </w:pPr>
          </w:p>
        </w:tc>
      </w:tr>
      <w:tr w:rsidR="00000000" w14:paraId="2683EAD8" w14:textId="77777777">
        <w:trPr>
          <w:divId w:val="1307202029"/>
          <w:trHeight w:val="300"/>
          <w:jc w:val="center"/>
        </w:trPr>
        <w:tc>
          <w:tcPr>
            <w:tcW w:w="0" w:type="auto"/>
            <w:gridSpan w:val="9"/>
            <w:tcMar>
              <w:top w:w="0" w:type="dxa"/>
              <w:left w:w="20" w:type="dxa"/>
              <w:bottom w:w="0" w:type="dxa"/>
              <w:right w:w="20" w:type="dxa"/>
            </w:tcMar>
            <w:vAlign w:val="center"/>
            <w:hideMark/>
          </w:tcPr>
          <w:p w14:paraId="1CA9508D" w14:textId="77777777" w:rsidR="00000000" w:rsidRDefault="00A173A8">
            <w:pPr>
              <w:spacing w:after="100"/>
              <w:rPr>
                <w:rFonts w:eastAsia="Times New Roman"/>
                <w:sz w:val="20"/>
                <w:szCs w:val="20"/>
              </w:rPr>
            </w:pPr>
          </w:p>
        </w:tc>
      </w:tr>
      <w:tr w:rsidR="00000000" w14:paraId="7A6B0617" w14:textId="77777777">
        <w:trPr>
          <w:divId w:val="1307202029"/>
          <w:jc w:val="center"/>
        </w:trPr>
        <w:tc>
          <w:tcPr>
            <w:tcW w:w="0" w:type="auto"/>
            <w:gridSpan w:val="3"/>
            <w:tcMar>
              <w:top w:w="0" w:type="dxa"/>
              <w:left w:w="20" w:type="dxa"/>
              <w:bottom w:w="0" w:type="dxa"/>
              <w:right w:w="20" w:type="dxa"/>
            </w:tcMar>
            <w:vAlign w:val="center"/>
            <w:hideMark/>
          </w:tcPr>
          <w:p w14:paraId="2DD52E19"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6562F73" w14:textId="77777777" w:rsidR="00000000" w:rsidRDefault="00A173A8">
            <w:pPr>
              <w:spacing w:after="100"/>
              <w:jc w:val="center"/>
              <w:rPr>
                <w:rFonts w:eastAsia="Times New Roman"/>
              </w:rPr>
            </w:pPr>
            <w:r>
              <w:rPr>
                <w:rFonts w:eastAsia="Times New Roman"/>
                <w:color w:val="000000"/>
                <w:sz w:val="16"/>
                <w:szCs w:val="16"/>
              </w:rPr>
              <w:t>120</w:t>
            </w:r>
          </w:p>
        </w:tc>
        <w:tc>
          <w:tcPr>
            <w:tcW w:w="0" w:type="auto"/>
            <w:gridSpan w:val="3"/>
            <w:tcMar>
              <w:top w:w="30" w:type="dxa"/>
              <w:left w:w="20" w:type="dxa"/>
              <w:bottom w:w="30" w:type="dxa"/>
              <w:right w:w="20" w:type="dxa"/>
            </w:tcMar>
            <w:vAlign w:val="bottom"/>
            <w:hideMark/>
          </w:tcPr>
          <w:p w14:paraId="13673BBA"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76D5910B" w14:textId="77777777" w:rsidR="00000000" w:rsidRDefault="00A173A8">
      <w:pPr>
        <w:rPr>
          <w:rFonts w:eastAsia="Times New Roman"/>
        </w:rPr>
      </w:pPr>
      <w:r>
        <w:rPr>
          <w:rFonts w:eastAsia="Times New Roman"/>
        </w:rPr>
        <w:pict w14:anchorId="394E634F">
          <v:rect id="_x0000_i1145" style="width:0;height:1.5pt" o:hralign="center" o:hrstd="t" o:hr="t" fillcolor="#a0a0a0" stroked="f"/>
        </w:pict>
      </w:r>
    </w:p>
    <w:p w14:paraId="7A2A5A63" w14:textId="77777777" w:rsidR="00000000" w:rsidRDefault="00A173A8">
      <w:pPr>
        <w:jc w:val="both"/>
        <w:divId w:val="1606040335"/>
        <w:rPr>
          <w:rFonts w:eastAsia="Times New Roman"/>
        </w:rPr>
      </w:pPr>
      <w:hyperlink w:anchor="i7ffd5d61af6f4722b1b1b07530d51c06_13" w:history="1">
        <w:r>
          <w:rPr>
            <w:rStyle w:val="a3"/>
            <w:rFonts w:eastAsia="Times New Roman"/>
            <w:sz w:val="16"/>
            <w:szCs w:val="16"/>
          </w:rPr>
          <w:t>Table of Contents</w:t>
        </w:r>
      </w:hyperlink>
    </w:p>
    <w:p w14:paraId="45DA90DC" w14:textId="77777777" w:rsidR="00000000" w:rsidRDefault="00A173A8">
      <w:pPr>
        <w:jc w:val="center"/>
        <w:divId w:val="1367292683"/>
        <w:rPr>
          <w:rFonts w:eastAsia="Times New Roman"/>
        </w:rPr>
      </w:pPr>
      <w:r>
        <w:rPr>
          <w:rFonts w:eastAsia="Times New Roman"/>
          <w:b/>
          <w:bCs/>
          <w:color w:val="000000"/>
          <w:sz w:val="20"/>
          <w:szCs w:val="20"/>
        </w:rPr>
        <w:t>PART II—OTHER INFORMATION</w:t>
      </w:r>
    </w:p>
    <w:p w14:paraId="6CF41C5D" w14:textId="77777777" w:rsidR="00000000" w:rsidRDefault="00A173A8">
      <w:pPr>
        <w:divId w:val="906304842"/>
        <w:rPr>
          <w:rFonts w:eastAsia="Times New Roman"/>
        </w:rPr>
      </w:pPr>
      <w:r>
        <w:rPr>
          <w:rFonts w:eastAsia="Times New Roman"/>
          <w:b/>
          <w:bCs/>
          <w:color w:val="000000"/>
          <w:sz w:val="20"/>
          <w:szCs w:val="20"/>
        </w:rPr>
        <w:t xml:space="preserve">Item 1. Legal Proceedings </w:t>
      </w:r>
    </w:p>
    <w:p w14:paraId="6BF110D2" w14:textId="77777777" w:rsidR="00000000" w:rsidRDefault="00A173A8">
      <w:pPr>
        <w:jc w:val="both"/>
        <w:divId w:val="1022434130"/>
        <w:rPr>
          <w:rFonts w:eastAsia="Times New Roman"/>
        </w:rPr>
      </w:pPr>
      <w:r>
        <w:rPr>
          <w:rFonts w:eastAsia="Times New Roman"/>
          <w:color w:val="000000"/>
          <w:sz w:val="20"/>
          <w:szCs w:val="20"/>
        </w:rPr>
        <w:t>The information required by Item 103 of Regulation S-K is included in “Note 13—Commitments, Contingencies, Guarantees and Others.”</w:t>
      </w:r>
    </w:p>
    <w:p w14:paraId="1A1F3E01" w14:textId="77777777" w:rsidR="00000000" w:rsidRDefault="00A173A8">
      <w:pPr>
        <w:divId w:val="421949992"/>
        <w:rPr>
          <w:rFonts w:eastAsia="Times New Roman"/>
        </w:rPr>
      </w:pPr>
      <w:r>
        <w:rPr>
          <w:rFonts w:eastAsia="Times New Roman"/>
          <w:b/>
          <w:bCs/>
          <w:color w:val="000000"/>
          <w:sz w:val="20"/>
          <w:szCs w:val="20"/>
        </w:rPr>
        <w:t xml:space="preserve">Item 1A. Risk Factors </w:t>
      </w:r>
    </w:p>
    <w:p w14:paraId="3B9A6DA0" w14:textId="77777777" w:rsidR="00000000" w:rsidRDefault="00A173A8">
      <w:pPr>
        <w:jc w:val="both"/>
        <w:divId w:val="208418078"/>
        <w:rPr>
          <w:rFonts w:eastAsia="Times New Roman"/>
        </w:rPr>
      </w:pPr>
      <w:r>
        <w:rPr>
          <w:rFonts w:eastAsia="Times New Roman"/>
          <w:color w:val="000000"/>
          <w:sz w:val="20"/>
          <w:szCs w:val="20"/>
        </w:rPr>
        <w:t>We are not aware of any material changes from the risk factors set forth under “Part I—Item 1A. Risk F</w:t>
      </w:r>
      <w:r>
        <w:rPr>
          <w:rFonts w:eastAsia="Times New Roman"/>
          <w:color w:val="000000"/>
          <w:sz w:val="20"/>
          <w:szCs w:val="20"/>
        </w:rPr>
        <w:t>actors” in our 2021 Form 10-K.</w:t>
      </w:r>
    </w:p>
    <w:p w14:paraId="2E6C74FC" w14:textId="77777777" w:rsidR="00000000" w:rsidRDefault="00A173A8">
      <w:pPr>
        <w:divId w:val="1778862449"/>
        <w:rPr>
          <w:rFonts w:eastAsia="Times New Roman"/>
        </w:rPr>
      </w:pPr>
      <w:r>
        <w:rPr>
          <w:rFonts w:eastAsia="Times New Roman"/>
          <w:b/>
          <w:bCs/>
          <w:color w:val="000000"/>
          <w:sz w:val="20"/>
          <w:szCs w:val="20"/>
        </w:rPr>
        <w:t xml:space="preserve">Item 2. Unregistered Sales of Equity Securities and Use of Proceeds </w:t>
      </w:r>
    </w:p>
    <w:p w14:paraId="11D0A391" w14:textId="77777777" w:rsidR="00000000" w:rsidRDefault="00A173A8">
      <w:pPr>
        <w:jc w:val="both"/>
        <w:divId w:val="229584805"/>
        <w:rPr>
          <w:rFonts w:eastAsia="Times New Roman"/>
        </w:rPr>
      </w:pPr>
      <w:r>
        <w:rPr>
          <w:rFonts w:eastAsia="Times New Roman"/>
          <w:color w:val="000000"/>
          <w:sz w:val="20"/>
          <w:szCs w:val="20"/>
        </w:rPr>
        <w:t>The following table presents information related to the repurchases of shares of our common stock for each calendar month in the second quarter of 2022. Com</w:t>
      </w:r>
      <w:r>
        <w:rPr>
          <w:rFonts w:eastAsia="Times New Roman"/>
          <w:color w:val="000000"/>
          <w:sz w:val="20"/>
          <w:szCs w:val="20"/>
        </w:rPr>
        <w:t>mission costs are excluded from the amounts presented below.</w:t>
      </w:r>
    </w:p>
    <w:tbl>
      <w:tblPr>
        <w:tblW w:w="5000" w:type="pct"/>
        <w:tblCellMar>
          <w:top w:w="15" w:type="dxa"/>
          <w:left w:w="15" w:type="dxa"/>
          <w:bottom w:w="15" w:type="dxa"/>
          <w:right w:w="15" w:type="dxa"/>
        </w:tblCellMar>
        <w:tblLook w:val="04A0" w:firstRow="1" w:lastRow="0" w:firstColumn="1" w:lastColumn="0" w:noHBand="0" w:noVBand="1"/>
      </w:tblPr>
      <w:tblGrid>
        <w:gridCol w:w="37"/>
        <w:gridCol w:w="2757"/>
        <w:gridCol w:w="36"/>
        <w:gridCol w:w="36"/>
        <w:gridCol w:w="36"/>
        <w:gridCol w:w="36"/>
        <w:gridCol w:w="58"/>
        <w:gridCol w:w="953"/>
        <w:gridCol w:w="36"/>
        <w:gridCol w:w="36"/>
        <w:gridCol w:w="36"/>
        <w:gridCol w:w="36"/>
        <w:gridCol w:w="111"/>
        <w:gridCol w:w="1008"/>
        <w:gridCol w:w="36"/>
        <w:gridCol w:w="36"/>
        <w:gridCol w:w="36"/>
        <w:gridCol w:w="36"/>
        <w:gridCol w:w="98"/>
        <w:gridCol w:w="1338"/>
        <w:gridCol w:w="36"/>
        <w:gridCol w:w="36"/>
        <w:gridCol w:w="36"/>
        <w:gridCol w:w="36"/>
        <w:gridCol w:w="111"/>
        <w:gridCol w:w="1223"/>
        <w:gridCol w:w="36"/>
      </w:tblGrid>
      <w:tr w:rsidR="00000000" w14:paraId="13AF0527" w14:textId="77777777">
        <w:trPr>
          <w:divId w:val="401296554"/>
        </w:trPr>
        <w:tc>
          <w:tcPr>
            <w:tcW w:w="50" w:type="pct"/>
            <w:vAlign w:val="center"/>
            <w:hideMark/>
          </w:tcPr>
          <w:p w14:paraId="0C1FB81D" w14:textId="77777777" w:rsidR="00000000" w:rsidRDefault="00A173A8">
            <w:pPr>
              <w:jc w:val="both"/>
              <w:rPr>
                <w:rFonts w:eastAsia="Times New Roman"/>
              </w:rPr>
            </w:pPr>
          </w:p>
        </w:tc>
        <w:tc>
          <w:tcPr>
            <w:tcW w:w="1757" w:type="pct"/>
            <w:vAlign w:val="center"/>
            <w:hideMark/>
          </w:tcPr>
          <w:p w14:paraId="37E6DA1F" w14:textId="77777777" w:rsidR="00000000" w:rsidRDefault="00A173A8">
            <w:pPr>
              <w:spacing w:after="100"/>
              <w:rPr>
                <w:rFonts w:eastAsia="Times New Roman"/>
                <w:sz w:val="20"/>
                <w:szCs w:val="20"/>
              </w:rPr>
            </w:pPr>
          </w:p>
        </w:tc>
        <w:tc>
          <w:tcPr>
            <w:tcW w:w="5" w:type="pct"/>
            <w:vAlign w:val="center"/>
            <w:hideMark/>
          </w:tcPr>
          <w:p w14:paraId="2E4AA9D6" w14:textId="77777777" w:rsidR="00000000" w:rsidRDefault="00A173A8">
            <w:pPr>
              <w:spacing w:after="100"/>
              <w:rPr>
                <w:rFonts w:eastAsia="Times New Roman"/>
                <w:sz w:val="20"/>
                <w:szCs w:val="20"/>
              </w:rPr>
            </w:pPr>
          </w:p>
        </w:tc>
        <w:tc>
          <w:tcPr>
            <w:tcW w:w="5" w:type="pct"/>
            <w:vAlign w:val="center"/>
            <w:hideMark/>
          </w:tcPr>
          <w:p w14:paraId="016230AA" w14:textId="77777777" w:rsidR="00000000" w:rsidRDefault="00A173A8">
            <w:pPr>
              <w:spacing w:after="100"/>
              <w:rPr>
                <w:rFonts w:eastAsia="Times New Roman"/>
                <w:sz w:val="20"/>
                <w:szCs w:val="20"/>
              </w:rPr>
            </w:pPr>
          </w:p>
        </w:tc>
        <w:tc>
          <w:tcPr>
            <w:tcW w:w="26" w:type="pct"/>
            <w:vAlign w:val="center"/>
            <w:hideMark/>
          </w:tcPr>
          <w:p w14:paraId="2EF1ACE5" w14:textId="77777777" w:rsidR="00000000" w:rsidRDefault="00A173A8">
            <w:pPr>
              <w:spacing w:after="100"/>
              <w:rPr>
                <w:rFonts w:eastAsia="Times New Roman"/>
                <w:sz w:val="20"/>
                <w:szCs w:val="20"/>
              </w:rPr>
            </w:pPr>
          </w:p>
        </w:tc>
        <w:tc>
          <w:tcPr>
            <w:tcW w:w="5" w:type="pct"/>
            <w:vAlign w:val="center"/>
            <w:hideMark/>
          </w:tcPr>
          <w:p w14:paraId="08829D72" w14:textId="77777777" w:rsidR="00000000" w:rsidRDefault="00A173A8">
            <w:pPr>
              <w:spacing w:after="100"/>
              <w:rPr>
                <w:rFonts w:eastAsia="Times New Roman"/>
                <w:sz w:val="20"/>
                <w:szCs w:val="20"/>
              </w:rPr>
            </w:pPr>
          </w:p>
        </w:tc>
        <w:tc>
          <w:tcPr>
            <w:tcW w:w="50" w:type="pct"/>
            <w:vAlign w:val="center"/>
            <w:hideMark/>
          </w:tcPr>
          <w:p w14:paraId="15DECBA3" w14:textId="77777777" w:rsidR="00000000" w:rsidRDefault="00A173A8">
            <w:pPr>
              <w:spacing w:after="100"/>
              <w:rPr>
                <w:rFonts w:eastAsia="Times New Roman"/>
                <w:sz w:val="20"/>
                <w:szCs w:val="20"/>
              </w:rPr>
            </w:pPr>
          </w:p>
        </w:tc>
        <w:tc>
          <w:tcPr>
            <w:tcW w:w="727" w:type="pct"/>
            <w:vAlign w:val="center"/>
            <w:hideMark/>
          </w:tcPr>
          <w:p w14:paraId="1F36E44D" w14:textId="77777777" w:rsidR="00000000" w:rsidRDefault="00A173A8">
            <w:pPr>
              <w:spacing w:after="100"/>
              <w:rPr>
                <w:rFonts w:eastAsia="Times New Roman"/>
                <w:sz w:val="20"/>
                <w:szCs w:val="20"/>
              </w:rPr>
            </w:pPr>
          </w:p>
        </w:tc>
        <w:tc>
          <w:tcPr>
            <w:tcW w:w="5" w:type="pct"/>
            <w:vAlign w:val="center"/>
            <w:hideMark/>
          </w:tcPr>
          <w:p w14:paraId="17E12306" w14:textId="77777777" w:rsidR="00000000" w:rsidRDefault="00A173A8">
            <w:pPr>
              <w:spacing w:after="100"/>
              <w:rPr>
                <w:rFonts w:eastAsia="Times New Roman"/>
                <w:sz w:val="20"/>
                <w:szCs w:val="20"/>
              </w:rPr>
            </w:pPr>
          </w:p>
        </w:tc>
        <w:tc>
          <w:tcPr>
            <w:tcW w:w="5" w:type="pct"/>
            <w:vAlign w:val="center"/>
            <w:hideMark/>
          </w:tcPr>
          <w:p w14:paraId="33094C20" w14:textId="77777777" w:rsidR="00000000" w:rsidRDefault="00A173A8">
            <w:pPr>
              <w:spacing w:after="100"/>
              <w:rPr>
                <w:rFonts w:eastAsia="Times New Roman"/>
                <w:sz w:val="20"/>
                <w:szCs w:val="20"/>
              </w:rPr>
            </w:pPr>
          </w:p>
        </w:tc>
        <w:tc>
          <w:tcPr>
            <w:tcW w:w="26" w:type="pct"/>
            <w:vAlign w:val="center"/>
            <w:hideMark/>
          </w:tcPr>
          <w:p w14:paraId="06BA2688" w14:textId="77777777" w:rsidR="00000000" w:rsidRDefault="00A173A8">
            <w:pPr>
              <w:spacing w:after="100"/>
              <w:rPr>
                <w:rFonts w:eastAsia="Times New Roman"/>
                <w:sz w:val="20"/>
                <w:szCs w:val="20"/>
              </w:rPr>
            </w:pPr>
          </w:p>
        </w:tc>
        <w:tc>
          <w:tcPr>
            <w:tcW w:w="5" w:type="pct"/>
            <w:vAlign w:val="center"/>
            <w:hideMark/>
          </w:tcPr>
          <w:p w14:paraId="2E64E265" w14:textId="77777777" w:rsidR="00000000" w:rsidRDefault="00A173A8">
            <w:pPr>
              <w:spacing w:after="100"/>
              <w:rPr>
                <w:rFonts w:eastAsia="Times New Roman"/>
                <w:sz w:val="20"/>
                <w:szCs w:val="20"/>
              </w:rPr>
            </w:pPr>
          </w:p>
        </w:tc>
        <w:tc>
          <w:tcPr>
            <w:tcW w:w="50" w:type="pct"/>
            <w:vAlign w:val="center"/>
            <w:hideMark/>
          </w:tcPr>
          <w:p w14:paraId="6F4E1A9D" w14:textId="77777777" w:rsidR="00000000" w:rsidRDefault="00A173A8">
            <w:pPr>
              <w:spacing w:after="100"/>
              <w:rPr>
                <w:rFonts w:eastAsia="Times New Roman"/>
                <w:sz w:val="20"/>
                <w:szCs w:val="20"/>
              </w:rPr>
            </w:pPr>
          </w:p>
        </w:tc>
        <w:tc>
          <w:tcPr>
            <w:tcW w:w="727" w:type="pct"/>
            <w:vAlign w:val="center"/>
            <w:hideMark/>
          </w:tcPr>
          <w:p w14:paraId="225FDA08" w14:textId="77777777" w:rsidR="00000000" w:rsidRDefault="00A173A8">
            <w:pPr>
              <w:spacing w:after="100"/>
              <w:rPr>
                <w:rFonts w:eastAsia="Times New Roman"/>
                <w:sz w:val="20"/>
                <w:szCs w:val="20"/>
              </w:rPr>
            </w:pPr>
          </w:p>
        </w:tc>
        <w:tc>
          <w:tcPr>
            <w:tcW w:w="5" w:type="pct"/>
            <w:vAlign w:val="center"/>
            <w:hideMark/>
          </w:tcPr>
          <w:p w14:paraId="523C30CF" w14:textId="77777777" w:rsidR="00000000" w:rsidRDefault="00A173A8">
            <w:pPr>
              <w:spacing w:after="100"/>
              <w:rPr>
                <w:rFonts w:eastAsia="Times New Roman"/>
                <w:sz w:val="20"/>
                <w:szCs w:val="20"/>
              </w:rPr>
            </w:pPr>
          </w:p>
        </w:tc>
        <w:tc>
          <w:tcPr>
            <w:tcW w:w="5" w:type="pct"/>
            <w:vAlign w:val="center"/>
            <w:hideMark/>
          </w:tcPr>
          <w:p w14:paraId="6A294F1C" w14:textId="77777777" w:rsidR="00000000" w:rsidRDefault="00A173A8">
            <w:pPr>
              <w:spacing w:after="100"/>
              <w:rPr>
                <w:rFonts w:eastAsia="Times New Roman"/>
                <w:sz w:val="20"/>
                <w:szCs w:val="20"/>
              </w:rPr>
            </w:pPr>
          </w:p>
        </w:tc>
        <w:tc>
          <w:tcPr>
            <w:tcW w:w="26" w:type="pct"/>
            <w:vAlign w:val="center"/>
            <w:hideMark/>
          </w:tcPr>
          <w:p w14:paraId="4DCCE42D" w14:textId="77777777" w:rsidR="00000000" w:rsidRDefault="00A173A8">
            <w:pPr>
              <w:spacing w:after="100"/>
              <w:rPr>
                <w:rFonts w:eastAsia="Times New Roman"/>
                <w:sz w:val="20"/>
                <w:szCs w:val="20"/>
              </w:rPr>
            </w:pPr>
          </w:p>
        </w:tc>
        <w:tc>
          <w:tcPr>
            <w:tcW w:w="5" w:type="pct"/>
            <w:vAlign w:val="center"/>
            <w:hideMark/>
          </w:tcPr>
          <w:p w14:paraId="485A679E" w14:textId="77777777" w:rsidR="00000000" w:rsidRDefault="00A173A8">
            <w:pPr>
              <w:spacing w:after="100"/>
              <w:rPr>
                <w:rFonts w:eastAsia="Times New Roman"/>
                <w:sz w:val="20"/>
                <w:szCs w:val="20"/>
              </w:rPr>
            </w:pPr>
          </w:p>
        </w:tc>
        <w:tc>
          <w:tcPr>
            <w:tcW w:w="50" w:type="pct"/>
            <w:vAlign w:val="center"/>
            <w:hideMark/>
          </w:tcPr>
          <w:p w14:paraId="4F45E6FF" w14:textId="77777777" w:rsidR="00000000" w:rsidRDefault="00A173A8">
            <w:pPr>
              <w:spacing w:after="100"/>
              <w:rPr>
                <w:rFonts w:eastAsia="Times New Roman"/>
                <w:sz w:val="20"/>
                <w:szCs w:val="20"/>
              </w:rPr>
            </w:pPr>
          </w:p>
        </w:tc>
        <w:tc>
          <w:tcPr>
            <w:tcW w:w="683" w:type="pct"/>
            <w:vAlign w:val="center"/>
            <w:hideMark/>
          </w:tcPr>
          <w:p w14:paraId="47BBB33B" w14:textId="77777777" w:rsidR="00000000" w:rsidRDefault="00A173A8">
            <w:pPr>
              <w:spacing w:after="100"/>
              <w:rPr>
                <w:rFonts w:eastAsia="Times New Roman"/>
                <w:sz w:val="20"/>
                <w:szCs w:val="20"/>
              </w:rPr>
            </w:pPr>
          </w:p>
        </w:tc>
        <w:tc>
          <w:tcPr>
            <w:tcW w:w="5" w:type="pct"/>
            <w:vAlign w:val="center"/>
            <w:hideMark/>
          </w:tcPr>
          <w:p w14:paraId="06D7BC2C" w14:textId="77777777" w:rsidR="00000000" w:rsidRDefault="00A173A8">
            <w:pPr>
              <w:spacing w:after="100"/>
              <w:rPr>
                <w:rFonts w:eastAsia="Times New Roman"/>
                <w:sz w:val="20"/>
                <w:szCs w:val="20"/>
              </w:rPr>
            </w:pPr>
          </w:p>
        </w:tc>
        <w:tc>
          <w:tcPr>
            <w:tcW w:w="5" w:type="pct"/>
            <w:vAlign w:val="center"/>
            <w:hideMark/>
          </w:tcPr>
          <w:p w14:paraId="1D5AA061" w14:textId="77777777" w:rsidR="00000000" w:rsidRDefault="00A173A8">
            <w:pPr>
              <w:spacing w:after="100"/>
              <w:rPr>
                <w:rFonts w:eastAsia="Times New Roman"/>
                <w:sz w:val="20"/>
                <w:szCs w:val="20"/>
              </w:rPr>
            </w:pPr>
          </w:p>
        </w:tc>
        <w:tc>
          <w:tcPr>
            <w:tcW w:w="26" w:type="pct"/>
            <w:vAlign w:val="center"/>
            <w:hideMark/>
          </w:tcPr>
          <w:p w14:paraId="38C76C26" w14:textId="77777777" w:rsidR="00000000" w:rsidRDefault="00A173A8">
            <w:pPr>
              <w:spacing w:after="100"/>
              <w:rPr>
                <w:rFonts w:eastAsia="Times New Roman"/>
                <w:sz w:val="20"/>
                <w:szCs w:val="20"/>
              </w:rPr>
            </w:pPr>
          </w:p>
        </w:tc>
        <w:tc>
          <w:tcPr>
            <w:tcW w:w="5" w:type="pct"/>
            <w:vAlign w:val="center"/>
            <w:hideMark/>
          </w:tcPr>
          <w:p w14:paraId="558CCF83" w14:textId="77777777" w:rsidR="00000000" w:rsidRDefault="00A173A8">
            <w:pPr>
              <w:spacing w:after="100"/>
              <w:rPr>
                <w:rFonts w:eastAsia="Times New Roman"/>
                <w:sz w:val="20"/>
                <w:szCs w:val="20"/>
              </w:rPr>
            </w:pPr>
          </w:p>
        </w:tc>
        <w:tc>
          <w:tcPr>
            <w:tcW w:w="50" w:type="pct"/>
            <w:vAlign w:val="center"/>
            <w:hideMark/>
          </w:tcPr>
          <w:p w14:paraId="1601A909" w14:textId="77777777" w:rsidR="00000000" w:rsidRDefault="00A173A8">
            <w:pPr>
              <w:spacing w:after="100"/>
              <w:rPr>
                <w:rFonts w:eastAsia="Times New Roman"/>
                <w:sz w:val="20"/>
                <w:szCs w:val="20"/>
              </w:rPr>
            </w:pPr>
          </w:p>
        </w:tc>
        <w:tc>
          <w:tcPr>
            <w:tcW w:w="683" w:type="pct"/>
            <w:vAlign w:val="center"/>
            <w:hideMark/>
          </w:tcPr>
          <w:p w14:paraId="58BE8CF1" w14:textId="77777777" w:rsidR="00000000" w:rsidRDefault="00A173A8">
            <w:pPr>
              <w:spacing w:after="100"/>
              <w:rPr>
                <w:rFonts w:eastAsia="Times New Roman"/>
                <w:sz w:val="20"/>
                <w:szCs w:val="20"/>
              </w:rPr>
            </w:pPr>
          </w:p>
        </w:tc>
        <w:tc>
          <w:tcPr>
            <w:tcW w:w="5" w:type="pct"/>
            <w:vAlign w:val="center"/>
            <w:hideMark/>
          </w:tcPr>
          <w:p w14:paraId="2131EF1E" w14:textId="77777777" w:rsidR="00000000" w:rsidRDefault="00A173A8">
            <w:pPr>
              <w:spacing w:after="100"/>
              <w:rPr>
                <w:rFonts w:eastAsia="Times New Roman"/>
                <w:sz w:val="20"/>
                <w:szCs w:val="20"/>
              </w:rPr>
            </w:pPr>
          </w:p>
        </w:tc>
      </w:tr>
      <w:tr w:rsidR="00000000" w14:paraId="5BB4760B" w14:textId="77777777">
        <w:trPr>
          <w:divId w:val="401296554"/>
        </w:trPr>
        <w:tc>
          <w:tcPr>
            <w:tcW w:w="0" w:type="auto"/>
            <w:gridSpan w:val="3"/>
            <w:tcMar>
              <w:top w:w="0" w:type="dxa"/>
              <w:left w:w="20" w:type="dxa"/>
              <w:bottom w:w="0" w:type="dxa"/>
              <w:right w:w="20" w:type="dxa"/>
            </w:tcMar>
            <w:vAlign w:val="center"/>
            <w:hideMark/>
          </w:tcPr>
          <w:p w14:paraId="3C6565EF"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046794"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90665DE" w14:textId="77777777" w:rsidR="00000000" w:rsidRDefault="00A173A8">
            <w:pPr>
              <w:spacing w:after="100"/>
              <w:jc w:val="center"/>
              <w:rPr>
                <w:rFonts w:eastAsia="Times New Roman"/>
              </w:rPr>
            </w:pPr>
            <w:r>
              <w:rPr>
                <w:rFonts w:eastAsia="Times New Roman"/>
                <w:b/>
                <w:bCs/>
                <w:color w:val="000000"/>
                <w:sz w:val="16"/>
                <w:szCs w:val="16"/>
              </w:rPr>
              <w:t xml:space="preserve">Total Number </w:t>
            </w:r>
          </w:p>
          <w:p w14:paraId="657ECBF7" w14:textId="77777777" w:rsidR="00000000" w:rsidRDefault="00A173A8">
            <w:pPr>
              <w:spacing w:after="100"/>
              <w:jc w:val="center"/>
              <w:rPr>
                <w:rFonts w:eastAsia="Times New Roman"/>
              </w:rPr>
            </w:pPr>
            <w:r>
              <w:rPr>
                <w:rFonts w:eastAsia="Times New Roman"/>
                <w:b/>
                <w:bCs/>
                <w:color w:val="000000"/>
                <w:sz w:val="16"/>
                <w:szCs w:val="16"/>
              </w:rPr>
              <w:t>of Shares</w:t>
            </w:r>
          </w:p>
          <w:p w14:paraId="4C63A629" w14:textId="77777777" w:rsidR="00000000" w:rsidRDefault="00A173A8">
            <w:pPr>
              <w:spacing w:after="100"/>
              <w:jc w:val="center"/>
              <w:rPr>
                <w:rFonts w:eastAsia="Times New Roman"/>
              </w:rPr>
            </w:pPr>
            <w:r>
              <w:rPr>
                <w:rFonts w:eastAsia="Times New Roman"/>
                <w:b/>
                <w:bCs/>
                <w:color w:val="000000"/>
                <w:sz w:val="16"/>
                <w:szCs w:val="16"/>
              </w:rPr>
              <w:t>Purchase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25EA4E29"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C53783" w14:textId="77777777" w:rsidR="00000000" w:rsidRDefault="00A173A8">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 </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14:paraId="30EF7468"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518F1F" w14:textId="77777777" w:rsidR="00000000" w:rsidRDefault="00A173A8">
            <w:pPr>
              <w:spacing w:after="100"/>
              <w:jc w:val="center"/>
              <w:rPr>
                <w:rFonts w:eastAsia="Times New Roman"/>
              </w:rPr>
            </w:pPr>
            <w:r>
              <w:rPr>
                <w:rFonts w:eastAsia="Times New Roman"/>
                <w:b/>
                <w:bCs/>
                <w:color w:val="000000"/>
                <w:sz w:val="16"/>
                <w:szCs w:val="16"/>
              </w:rPr>
              <w:t>Total Number of</w:t>
            </w:r>
          </w:p>
          <w:p w14:paraId="6CEC9431" w14:textId="77777777" w:rsidR="00000000" w:rsidRDefault="00A173A8">
            <w:pPr>
              <w:spacing w:after="100"/>
              <w:jc w:val="center"/>
              <w:rPr>
                <w:rFonts w:eastAsia="Times New Roman"/>
              </w:rPr>
            </w:pPr>
            <w:r>
              <w:rPr>
                <w:rFonts w:eastAsia="Times New Roman"/>
                <w:b/>
                <w:bCs/>
                <w:color w:val="000000"/>
                <w:sz w:val="16"/>
                <w:szCs w:val="16"/>
              </w:rPr>
              <w:t>Shares Purchased as</w:t>
            </w:r>
          </w:p>
          <w:p w14:paraId="4AFE066C" w14:textId="77777777" w:rsidR="00000000" w:rsidRDefault="00A173A8">
            <w:pPr>
              <w:spacing w:after="100"/>
              <w:jc w:val="center"/>
              <w:rPr>
                <w:rFonts w:eastAsia="Times New Roman"/>
              </w:rPr>
            </w:pPr>
            <w:r>
              <w:rPr>
                <w:rFonts w:eastAsia="Times New Roman"/>
                <w:b/>
                <w:bCs/>
                <w:color w:val="000000"/>
                <w:sz w:val="16"/>
                <w:szCs w:val="16"/>
              </w:rPr>
              <w:t>Part of Publicly</w:t>
            </w:r>
          </w:p>
          <w:p w14:paraId="0E49495C" w14:textId="77777777" w:rsidR="00000000" w:rsidRDefault="00A173A8">
            <w:pPr>
              <w:spacing w:after="100"/>
              <w:jc w:val="center"/>
              <w:rPr>
                <w:rFonts w:eastAsia="Times New Roman"/>
              </w:rPr>
            </w:pPr>
            <w:r>
              <w:rPr>
                <w:rFonts w:eastAsia="Times New Roman"/>
                <w:b/>
                <w:bCs/>
                <w:color w:val="000000"/>
                <w:sz w:val="16"/>
                <w:szCs w:val="16"/>
              </w:rPr>
              <w:t>Announced Plan</w:t>
            </w:r>
            <w:r>
              <w:rPr>
                <w:rFonts w:eastAsia="Times New Roman"/>
                <w:b/>
                <w:bCs/>
                <w:color w:val="000000"/>
                <w:sz w:val="16"/>
                <w:szCs w:val="16"/>
              </w:rPr>
              <w:t>s</w:t>
            </w:r>
            <w:r>
              <w:rPr>
                <w:rFonts w:eastAsia="Times New Roman"/>
                <w:b/>
                <w:bCs/>
                <w:color w:val="000000"/>
                <w:sz w:val="10"/>
                <w:szCs w:val="10"/>
              </w:rPr>
              <w:t>(2</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14:paraId="2C900605"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43BF1D" w14:textId="77777777" w:rsidR="00000000" w:rsidRDefault="00A173A8">
            <w:pPr>
              <w:spacing w:after="100"/>
              <w:jc w:val="center"/>
              <w:rPr>
                <w:rFonts w:eastAsia="Times New Roman"/>
              </w:rPr>
            </w:pPr>
            <w:r>
              <w:rPr>
                <w:rFonts w:eastAsia="Times New Roman"/>
                <w:b/>
                <w:bCs/>
                <w:color w:val="000000"/>
                <w:sz w:val="16"/>
                <w:szCs w:val="16"/>
              </w:rPr>
              <w:t>Maximum</w:t>
            </w:r>
          </w:p>
          <w:p w14:paraId="3E079872" w14:textId="77777777" w:rsidR="00000000" w:rsidRDefault="00A173A8">
            <w:pPr>
              <w:spacing w:after="100"/>
              <w:jc w:val="center"/>
              <w:rPr>
                <w:rFonts w:eastAsia="Times New Roman"/>
              </w:rPr>
            </w:pPr>
            <w:r>
              <w:rPr>
                <w:rFonts w:eastAsia="Times New Roman"/>
                <w:b/>
                <w:bCs/>
                <w:color w:val="000000"/>
                <w:sz w:val="16"/>
                <w:szCs w:val="16"/>
              </w:rPr>
              <w:t>Amount That May</w:t>
            </w:r>
          </w:p>
          <w:p w14:paraId="4470303F" w14:textId="77777777" w:rsidR="00000000" w:rsidRDefault="00A173A8">
            <w:pPr>
              <w:spacing w:after="100"/>
              <w:jc w:val="center"/>
              <w:rPr>
                <w:rFonts w:eastAsia="Times New Roman"/>
              </w:rPr>
            </w:pPr>
            <w:r>
              <w:rPr>
                <w:rFonts w:eastAsia="Times New Roman"/>
                <w:b/>
                <w:bCs/>
                <w:color w:val="000000"/>
                <w:sz w:val="16"/>
                <w:szCs w:val="16"/>
              </w:rPr>
              <w:t>Yet be Purchased</w:t>
            </w:r>
          </w:p>
          <w:p w14:paraId="1EF7AAC5" w14:textId="77777777" w:rsidR="00000000" w:rsidRDefault="00A173A8">
            <w:pPr>
              <w:spacing w:after="100"/>
              <w:jc w:val="center"/>
              <w:rPr>
                <w:rFonts w:eastAsia="Times New Roman"/>
              </w:rPr>
            </w:pPr>
            <w:r>
              <w:rPr>
                <w:rFonts w:eastAsia="Times New Roman"/>
                <w:b/>
                <w:bCs/>
                <w:color w:val="000000"/>
                <w:sz w:val="16"/>
                <w:szCs w:val="16"/>
              </w:rPr>
              <w:t>Under the Plan</w:t>
            </w:r>
          </w:p>
          <w:p w14:paraId="1E5EFECA" w14:textId="77777777" w:rsidR="00000000" w:rsidRDefault="00A173A8">
            <w:pPr>
              <w:spacing w:after="100"/>
              <w:jc w:val="center"/>
              <w:rPr>
                <w:rFonts w:eastAsia="Times New Roman"/>
              </w:rPr>
            </w:pPr>
            <w:r>
              <w:rPr>
                <w:rFonts w:eastAsia="Times New Roman"/>
                <w:b/>
                <w:bCs/>
                <w:color w:val="000000"/>
                <w:sz w:val="16"/>
                <w:szCs w:val="16"/>
              </w:rPr>
              <w:t>or Progra</w:t>
            </w:r>
            <w:r>
              <w:rPr>
                <w:rFonts w:eastAsia="Times New Roman"/>
                <w:b/>
                <w:bCs/>
                <w:color w:val="000000"/>
                <w:sz w:val="16"/>
                <w:szCs w:val="16"/>
              </w:rPr>
              <w:t>m</w:t>
            </w:r>
            <w:r>
              <w:rPr>
                <w:rFonts w:eastAsia="Times New Roman"/>
                <w:color w:val="000000"/>
                <w:sz w:val="10"/>
                <w:szCs w:val="10"/>
              </w:rPr>
              <w:t>(2</w:t>
            </w:r>
            <w:r>
              <w:rPr>
                <w:rFonts w:eastAsia="Times New Roman"/>
                <w:color w:val="000000"/>
                <w:sz w:val="10"/>
                <w:szCs w:val="10"/>
              </w:rPr>
              <w:t>)</w:t>
            </w:r>
          </w:p>
          <w:p w14:paraId="3D616034" w14:textId="77777777" w:rsidR="00000000" w:rsidRDefault="00A173A8">
            <w:pPr>
              <w:spacing w:after="100"/>
              <w:jc w:val="center"/>
              <w:rPr>
                <w:rFonts w:eastAsia="Times New Roman"/>
              </w:rPr>
            </w:pPr>
            <w:r>
              <w:rPr>
                <w:rFonts w:eastAsia="Times New Roman"/>
                <w:i/>
                <w:iCs/>
                <w:color w:val="000000"/>
                <w:sz w:val="16"/>
                <w:szCs w:val="16"/>
              </w:rPr>
              <w:t>(in millions)</w:t>
            </w:r>
          </w:p>
        </w:tc>
      </w:tr>
      <w:tr w:rsidR="00000000" w14:paraId="237274AC" w14:textId="77777777">
        <w:trPr>
          <w:divId w:val="401296554"/>
        </w:trPr>
        <w:tc>
          <w:tcPr>
            <w:tcW w:w="0" w:type="auto"/>
            <w:gridSpan w:val="3"/>
            <w:tcBorders>
              <w:top w:val="single" w:sz="8" w:space="0" w:color="000000"/>
            </w:tcBorders>
            <w:shd w:val="clear" w:color="auto" w:fill="CCEEFF"/>
            <w:tcMar>
              <w:top w:w="30" w:type="dxa"/>
              <w:left w:w="20" w:type="dxa"/>
              <w:bottom w:w="30" w:type="dxa"/>
              <w:right w:w="20" w:type="dxa"/>
            </w:tcMar>
            <w:hideMark/>
          </w:tcPr>
          <w:p w14:paraId="352164F4" w14:textId="77777777" w:rsidR="00000000" w:rsidRDefault="00A173A8">
            <w:pPr>
              <w:spacing w:after="100"/>
              <w:rPr>
                <w:rFonts w:eastAsia="Times New Roman"/>
              </w:rPr>
            </w:pPr>
            <w:r>
              <w:rPr>
                <w:rFonts w:eastAsia="Times New Roman"/>
                <w:color w:val="000000"/>
                <w:sz w:val="18"/>
                <w:szCs w:val="18"/>
              </w:rPr>
              <w:t>April</w:t>
            </w:r>
          </w:p>
        </w:tc>
        <w:tc>
          <w:tcPr>
            <w:tcW w:w="0" w:type="auto"/>
            <w:gridSpan w:val="3"/>
            <w:shd w:val="clear" w:color="auto" w:fill="CCEEFF"/>
            <w:tcMar>
              <w:top w:w="0" w:type="dxa"/>
              <w:left w:w="20" w:type="dxa"/>
              <w:bottom w:w="0" w:type="dxa"/>
              <w:right w:w="20" w:type="dxa"/>
            </w:tcMar>
            <w:vAlign w:val="center"/>
            <w:hideMark/>
          </w:tcPr>
          <w:p w14:paraId="5D2AC020" w14:textId="77777777" w:rsidR="00000000" w:rsidRDefault="00A173A8">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198383" w14:textId="77777777" w:rsidR="00000000" w:rsidRDefault="00A173A8">
            <w:pPr>
              <w:spacing w:after="100"/>
              <w:jc w:val="right"/>
              <w:rPr>
                <w:rFonts w:eastAsia="Times New Roman"/>
              </w:rPr>
            </w:pPr>
            <w:r>
              <w:rPr>
                <w:rFonts w:eastAsia="Times New Roman"/>
                <w:b/>
                <w:bCs/>
                <w:color w:val="000000"/>
                <w:sz w:val="18"/>
                <w:szCs w:val="18"/>
              </w:rPr>
              <w:t>6,117,164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D7040C"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C2F077"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8FD03D"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3460D1" w14:textId="77777777" w:rsidR="00000000" w:rsidRDefault="00A173A8">
            <w:pPr>
              <w:spacing w:after="100"/>
              <w:jc w:val="right"/>
              <w:rPr>
                <w:rFonts w:eastAsia="Times New Roman"/>
              </w:rPr>
            </w:pPr>
            <w:r>
              <w:rPr>
                <w:rFonts w:eastAsia="Times New Roman"/>
                <w:b/>
                <w:bCs/>
                <w:color w:val="000000"/>
                <w:sz w:val="18"/>
                <w:szCs w:val="18"/>
              </w:rPr>
              <w:t>132.85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7315A9"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129EE2" w14:textId="77777777" w:rsidR="00000000" w:rsidRDefault="00A173A8">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65F734" w14:textId="77777777" w:rsidR="00000000" w:rsidRDefault="00A173A8">
            <w:pPr>
              <w:spacing w:after="100"/>
              <w:jc w:val="right"/>
              <w:rPr>
                <w:rFonts w:eastAsia="Times New Roman"/>
              </w:rPr>
            </w:pPr>
            <w:r>
              <w:rPr>
                <w:rFonts w:eastAsia="Times New Roman"/>
                <w:b/>
                <w:bCs/>
                <w:color w:val="000000"/>
                <w:sz w:val="18"/>
                <w:szCs w:val="18"/>
              </w:rPr>
              <w:t>6,117,164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C95B15"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B822A1" w14:textId="77777777" w:rsidR="00000000" w:rsidRDefault="00A173A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152079" w14:textId="77777777" w:rsidR="00000000" w:rsidRDefault="00A173A8">
            <w:pPr>
              <w:spacing w:after="100"/>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8BC5AF" w14:textId="77777777" w:rsidR="00000000" w:rsidRDefault="00A173A8">
            <w:pPr>
              <w:spacing w:after="100"/>
              <w:jc w:val="right"/>
              <w:rPr>
                <w:rFonts w:eastAsia="Times New Roman"/>
              </w:rPr>
            </w:pPr>
            <w:r>
              <w:rPr>
                <w:rFonts w:eastAsia="Times New Roman"/>
                <w:b/>
                <w:bCs/>
                <w:color w:val="000000"/>
                <w:sz w:val="18"/>
                <w:szCs w:val="18"/>
              </w:rPr>
              <w:t>1,819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2B8AA3" w14:textId="77777777" w:rsidR="00000000" w:rsidRDefault="00A173A8">
            <w:pPr>
              <w:spacing w:after="100"/>
              <w:jc w:val="right"/>
              <w:rPr>
                <w:rFonts w:eastAsia="Times New Roman"/>
              </w:rPr>
            </w:pPr>
          </w:p>
        </w:tc>
      </w:tr>
      <w:tr w:rsidR="00000000" w14:paraId="07C47958" w14:textId="77777777">
        <w:trPr>
          <w:divId w:val="401296554"/>
        </w:trPr>
        <w:tc>
          <w:tcPr>
            <w:tcW w:w="0" w:type="auto"/>
            <w:gridSpan w:val="3"/>
            <w:shd w:val="clear" w:color="auto" w:fill="FFFFFF"/>
            <w:tcMar>
              <w:top w:w="30" w:type="dxa"/>
              <w:left w:w="20" w:type="dxa"/>
              <w:bottom w:w="30" w:type="dxa"/>
              <w:right w:w="20" w:type="dxa"/>
            </w:tcMar>
            <w:hideMark/>
          </w:tcPr>
          <w:p w14:paraId="78F2A72C" w14:textId="77777777" w:rsidR="00000000" w:rsidRDefault="00A173A8">
            <w:pPr>
              <w:spacing w:after="100"/>
              <w:rPr>
                <w:rFonts w:eastAsia="Times New Roman"/>
              </w:rPr>
            </w:pPr>
            <w:r>
              <w:rPr>
                <w:rFonts w:eastAsia="Times New Roman"/>
                <w:color w:val="000000"/>
                <w:sz w:val="18"/>
                <w:szCs w:val="18"/>
              </w:rPr>
              <w:t>May</w:t>
            </w:r>
          </w:p>
        </w:tc>
        <w:tc>
          <w:tcPr>
            <w:tcW w:w="0" w:type="auto"/>
            <w:gridSpan w:val="3"/>
            <w:shd w:val="clear" w:color="auto" w:fill="FFFFFF"/>
            <w:tcMar>
              <w:top w:w="0" w:type="dxa"/>
              <w:left w:w="20" w:type="dxa"/>
              <w:bottom w:w="0" w:type="dxa"/>
              <w:right w:w="20" w:type="dxa"/>
            </w:tcMar>
            <w:vAlign w:val="center"/>
            <w:hideMark/>
          </w:tcPr>
          <w:p w14:paraId="10044823" w14:textId="77777777" w:rsidR="00000000" w:rsidRDefault="00A173A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5011A7" w14:textId="77777777" w:rsidR="00000000" w:rsidRDefault="00A173A8">
            <w:pPr>
              <w:spacing w:after="100"/>
              <w:jc w:val="right"/>
              <w:rPr>
                <w:rFonts w:eastAsia="Times New Roman"/>
              </w:rPr>
            </w:pPr>
            <w:r>
              <w:rPr>
                <w:rFonts w:eastAsia="Times New Roman"/>
                <w:b/>
                <w:bCs/>
                <w:color w:val="000000"/>
                <w:sz w:val="18"/>
                <w:szCs w:val="18"/>
              </w:rPr>
              <w:t>6,428,659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DC1EA38"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4322CF"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9B4F72" w14:textId="77777777" w:rsidR="00000000" w:rsidRDefault="00A173A8">
            <w:pPr>
              <w:spacing w:after="100"/>
              <w:jc w:val="right"/>
              <w:rPr>
                <w:rFonts w:eastAsia="Times New Roman"/>
              </w:rPr>
            </w:pPr>
            <w:r>
              <w:rPr>
                <w:rFonts w:eastAsia="Times New Roman"/>
                <w:b/>
                <w:bCs/>
                <w:color w:val="000000"/>
                <w:sz w:val="18"/>
                <w:szCs w:val="18"/>
              </w:rPr>
              <w:t>121.69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E437FA2"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46508"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24D56D" w14:textId="77777777" w:rsidR="00000000" w:rsidRDefault="00A173A8">
            <w:pPr>
              <w:spacing w:after="100"/>
              <w:jc w:val="right"/>
              <w:rPr>
                <w:rFonts w:eastAsia="Times New Roman"/>
              </w:rPr>
            </w:pPr>
            <w:r>
              <w:rPr>
                <w:rFonts w:eastAsia="Times New Roman"/>
                <w:b/>
                <w:bCs/>
                <w:color w:val="000000"/>
                <w:sz w:val="18"/>
                <w:szCs w:val="18"/>
              </w:rPr>
              <w:t>6,383,209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81C7131"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F404A"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C22867" w14:textId="77777777" w:rsidR="00000000" w:rsidRDefault="00A173A8">
            <w:pPr>
              <w:spacing w:after="100"/>
              <w:jc w:val="right"/>
              <w:rPr>
                <w:rFonts w:eastAsia="Times New Roman"/>
              </w:rPr>
            </w:pPr>
            <w:r>
              <w:rPr>
                <w:rFonts w:eastAsia="Times New Roman"/>
                <w:b/>
                <w:bCs/>
                <w:color w:val="000000"/>
                <w:sz w:val="18"/>
                <w:szCs w:val="18"/>
              </w:rPr>
              <w:t>1,043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C94E93C" w14:textId="77777777" w:rsidR="00000000" w:rsidRDefault="00A173A8">
            <w:pPr>
              <w:spacing w:after="100"/>
              <w:jc w:val="right"/>
              <w:rPr>
                <w:rFonts w:eastAsia="Times New Roman"/>
              </w:rPr>
            </w:pPr>
          </w:p>
        </w:tc>
      </w:tr>
      <w:tr w:rsidR="00000000" w14:paraId="295E8AB8" w14:textId="77777777">
        <w:trPr>
          <w:divId w:val="401296554"/>
        </w:trPr>
        <w:tc>
          <w:tcPr>
            <w:tcW w:w="0" w:type="auto"/>
            <w:gridSpan w:val="3"/>
            <w:shd w:val="clear" w:color="auto" w:fill="CCEEFF"/>
            <w:tcMar>
              <w:top w:w="30" w:type="dxa"/>
              <w:left w:w="20" w:type="dxa"/>
              <w:bottom w:w="30" w:type="dxa"/>
              <w:right w:w="20" w:type="dxa"/>
            </w:tcMar>
            <w:hideMark/>
          </w:tcPr>
          <w:p w14:paraId="176FD094" w14:textId="77777777" w:rsidR="00000000" w:rsidRDefault="00A173A8">
            <w:pPr>
              <w:spacing w:after="100"/>
              <w:rPr>
                <w:rFonts w:eastAsia="Times New Roman"/>
              </w:rPr>
            </w:pPr>
            <w:r>
              <w:rPr>
                <w:rFonts w:eastAsia="Times New Roman"/>
                <w:color w:val="000000"/>
                <w:sz w:val="18"/>
                <w:szCs w:val="18"/>
              </w:rPr>
              <w:t>June</w:t>
            </w:r>
          </w:p>
        </w:tc>
        <w:tc>
          <w:tcPr>
            <w:tcW w:w="0" w:type="auto"/>
            <w:gridSpan w:val="3"/>
            <w:shd w:val="clear" w:color="auto" w:fill="CCEEFF"/>
            <w:tcMar>
              <w:top w:w="0" w:type="dxa"/>
              <w:left w:w="20" w:type="dxa"/>
              <w:bottom w:w="0" w:type="dxa"/>
              <w:right w:w="20" w:type="dxa"/>
            </w:tcMar>
            <w:vAlign w:val="center"/>
            <w:hideMark/>
          </w:tcPr>
          <w:p w14:paraId="37A18CAA" w14:textId="77777777" w:rsidR="00000000" w:rsidRDefault="00A173A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9E39DD" w14:textId="77777777" w:rsidR="00000000" w:rsidRDefault="00A173A8">
            <w:pPr>
              <w:spacing w:after="100"/>
              <w:jc w:val="right"/>
              <w:rPr>
                <w:rFonts w:eastAsia="Times New Roman"/>
              </w:rPr>
            </w:pPr>
            <w:r>
              <w:rPr>
                <w:rFonts w:eastAsia="Times New Roman"/>
                <w:b/>
                <w:bCs/>
                <w:color w:val="000000"/>
                <w:sz w:val="18"/>
                <w:szCs w:val="18"/>
              </w:rPr>
              <w:t>3,299,734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1EA08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18C07"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659D5F" w14:textId="77777777" w:rsidR="00000000" w:rsidRDefault="00A173A8">
            <w:pPr>
              <w:spacing w:after="100"/>
              <w:jc w:val="right"/>
              <w:rPr>
                <w:rFonts w:eastAsia="Times New Roman"/>
              </w:rPr>
            </w:pPr>
            <w:r>
              <w:rPr>
                <w:rFonts w:eastAsia="Times New Roman"/>
                <w:b/>
                <w:bCs/>
                <w:color w:val="000000"/>
                <w:sz w:val="18"/>
                <w:szCs w:val="18"/>
              </w:rPr>
              <w:t>119.17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52FB2A"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A46D5"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FC4BA6" w14:textId="77777777" w:rsidR="00000000" w:rsidRDefault="00A173A8">
            <w:pPr>
              <w:spacing w:after="100"/>
              <w:jc w:val="right"/>
              <w:rPr>
                <w:rFonts w:eastAsia="Times New Roman"/>
              </w:rPr>
            </w:pPr>
            <w:r>
              <w:rPr>
                <w:rFonts w:eastAsia="Times New Roman"/>
                <w:b/>
                <w:bCs/>
                <w:color w:val="000000"/>
                <w:sz w:val="18"/>
                <w:szCs w:val="18"/>
              </w:rPr>
              <w:t>3,299,734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5EED2EF" w14:textId="77777777" w:rsidR="00000000" w:rsidRDefault="00A173A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ED413" w14:textId="77777777" w:rsidR="00000000" w:rsidRDefault="00A173A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BA87AF" w14:textId="77777777" w:rsidR="00000000" w:rsidRDefault="00A173A8">
            <w:pPr>
              <w:spacing w:after="100"/>
              <w:jc w:val="right"/>
              <w:rPr>
                <w:rFonts w:eastAsia="Times New Roman"/>
              </w:rPr>
            </w:pPr>
            <w:r>
              <w:rPr>
                <w:rFonts w:eastAsia="Times New Roman"/>
                <w:b/>
                <w:bCs/>
                <w:color w:val="000000"/>
                <w:sz w:val="18"/>
                <w:szCs w:val="18"/>
              </w:rPr>
              <w:t>649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9F439E9" w14:textId="77777777" w:rsidR="00000000" w:rsidRDefault="00A173A8">
            <w:pPr>
              <w:spacing w:after="100"/>
              <w:jc w:val="right"/>
              <w:rPr>
                <w:rFonts w:eastAsia="Times New Roman"/>
              </w:rPr>
            </w:pPr>
          </w:p>
        </w:tc>
      </w:tr>
      <w:tr w:rsidR="00000000" w14:paraId="3E011C35" w14:textId="77777777">
        <w:trPr>
          <w:divId w:val="401296554"/>
        </w:trPr>
        <w:tc>
          <w:tcPr>
            <w:tcW w:w="0" w:type="auto"/>
            <w:gridSpan w:val="3"/>
            <w:shd w:val="clear" w:color="auto" w:fill="FFFFFF"/>
            <w:tcMar>
              <w:top w:w="30" w:type="dxa"/>
              <w:left w:w="20" w:type="dxa"/>
              <w:bottom w:w="30" w:type="dxa"/>
              <w:right w:w="20" w:type="dxa"/>
            </w:tcMar>
            <w:hideMark/>
          </w:tcPr>
          <w:p w14:paraId="2AFC7E0D" w14:textId="77777777" w:rsidR="00000000" w:rsidRDefault="00A173A8">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337C7DF5" w14:textId="77777777" w:rsidR="00000000" w:rsidRDefault="00A173A8">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F8F38C" w14:textId="77777777" w:rsidR="00000000" w:rsidRDefault="00A173A8">
            <w:pPr>
              <w:spacing w:after="100"/>
              <w:jc w:val="right"/>
              <w:rPr>
                <w:rFonts w:eastAsia="Times New Roman"/>
              </w:rPr>
            </w:pPr>
            <w:r>
              <w:rPr>
                <w:rFonts w:eastAsia="Times New Roman"/>
                <w:b/>
                <w:bCs/>
                <w:color w:val="000000"/>
                <w:sz w:val="18"/>
                <w:szCs w:val="18"/>
              </w:rPr>
              <w:t>15,845,557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EA43000"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D270A7" w14:textId="77777777" w:rsidR="00000000" w:rsidRDefault="00A173A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388BDD" w14:textId="77777777" w:rsidR="00000000" w:rsidRDefault="00A173A8">
            <w:pPr>
              <w:spacing w:after="100"/>
              <w:jc w:val="right"/>
              <w:rPr>
                <w:rFonts w:eastAsia="Times New Roman"/>
              </w:rPr>
            </w:pPr>
            <w:r>
              <w:rPr>
                <w:rFonts w:eastAsia="Times New Roman"/>
                <w:b/>
                <w:bCs/>
                <w:color w:val="000000"/>
                <w:sz w:val="18"/>
                <w:szCs w:val="18"/>
              </w:rPr>
              <w:t>125.47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5A64EA"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E57BA" w14:textId="77777777" w:rsidR="00000000" w:rsidRDefault="00A173A8">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D831A5" w14:textId="77777777" w:rsidR="00000000" w:rsidRDefault="00A173A8">
            <w:pPr>
              <w:spacing w:after="100"/>
              <w:jc w:val="right"/>
              <w:rPr>
                <w:rFonts w:eastAsia="Times New Roman"/>
              </w:rPr>
            </w:pPr>
            <w:r>
              <w:rPr>
                <w:rFonts w:eastAsia="Times New Roman"/>
                <w:b/>
                <w:bCs/>
                <w:color w:val="000000"/>
                <w:sz w:val="18"/>
                <w:szCs w:val="18"/>
              </w:rPr>
              <w:t>15,800,107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9F54DD3" w14:textId="77777777" w:rsidR="00000000" w:rsidRDefault="00A173A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B76B0C" w14:textId="77777777" w:rsidR="00000000" w:rsidRDefault="00A173A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928B92" w14:textId="77777777" w:rsidR="00000000" w:rsidRDefault="00A173A8">
            <w:pPr>
              <w:spacing w:after="100"/>
              <w:rPr>
                <w:rFonts w:eastAsia="Times New Roman"/>
                <w:sz w:val="20"/>
                <w:szCs w:val="20"/>
              </w:rPr>
            </w:pPr>
          </w:p>
        </w:tc>
      </w:tr>
    </w:tbl>
    <w:p w14:paraId="4BA3F19F" w14:textId="77777777" w:rsidR="00000000" w:rsidRDefault="00A173A8">
      <w:pPr>
        <w:divId w:val="401296554"/>
        <w:rPr>
          <w:rFonts w:eastAsia="Times New Roman"/>
        </w:rPr>
      </w:pPr>
      <w:r>
        <w:rPr>
          <w:rFonts w:eastAsia="Times New Roman"/>
          <w:color w:val="000000"/>
          <w:sz w:val="20"/>
          <w:szCs w:val="20"/>
        </w:rPr>
        <w:t>__________</w:t>
      </w:r>
    </w:p>
    <w:p w14:paraId="6B794ED4" w14:textId="77777777" w:rsidR="00000000" w:rsidRDefault="00A173A8">
      <w:pPr>
        <w:ind w:hanging="360"/>
        <w:jc w:val="both"/>
        <w:divId w:val="102382085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There were 45,450 shares withheld in May, respectively, to cover taxes on restricted stock units (“RSUs”) whose restrictions have lapsed.</w:t>
      </w:r>
    </w:p>
    <w:p w14:paraId="27D214B3" w14:textId="77777777" w:rsidR="00000000" w:rsidRDefault="00A173A8">
      <w:pPr>
        <w:ind w:hanging="360"/>
        <w:jc w:val="both"/>
        <w:divId w:val="32756570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Amounts reflected in this table only re</w:t>
      </w:r>
      <w:r>
        <w:rPr>
          <w:rFonts w:eastAsia="Times New Roman"/>
          <w:color w:val="000000"/>
          <w:sz w:val="16"/>
          <w:szCs w:val="16"/>
        </w:rPr>
        <w:t>late to the $5 billion Board of Directors authorization made in January 2022. In April 2022, our Board of Directors authorized the repurchase of up to an additional $5 billion of shares of our common stock beginning in the third quarter of 2022. See “MD&amp;A—</w:t>
      </w:r>
      <w:r>
        <w:rPr>
          <w:rFonts w:eastAsia="Times New Roman"/>
          <w:color w:val="000000"/>
          <w:sz w:val="16"/>
          <w:szCs w:val="16"/>
        </w:rPr>
        <w:t>Capital Management—Dividend Policy and Stock Purchases” for more information.</w:t>
      </w:r>
    </w:p>
    <w:p w14:paraId="4170F044" w14:textId="77777777" w:rsidR="00000000" w:rsidRDefault="00A173A8">
      <w:pPr>
        <w:divId w:val="2144232924"/>
        <w:rPr>
          <w:rFonts w:eastAsia="Times New Roman"/>
        </w:rPr>
      </w:pPr>
      <w:r>
        <w:rPr>
          <w:rFonts w:eastAsia="Times New Roman"/>
          <w:b/>
          <w:bCs/>
          <w:color w:val="000000"/>
          <w:sz w:val="20"/>
          <w:szCs w:val="20"/>
        </w:rPr>
        <w:t xml:space="preserve">Item 3. Defaults Upon Senior Securities </w:t>
      </w:r>
    </w:p>
    <w:p w14:paraId="24BE475B" w14:textId="77777777" w:rsidR="00000000" w:rsidRDefault="00A173A8">
      <w:pPr>
        <w:jc w:val="both"/>
        <w:divId w:val="1318266417"/>
        <w:rPr>
          <w:rFonts w:eastAsia="Times New Roman"/>
        </w:rPr>
      </w:pPr>
      <w:r>
        <w:rPr>
          <w:rFonts w:eastAsia="Times New Roman"/>
          <w:color w:val="000000"/>
          <w:sz w:val="20"/>
          <w:szCs w:val="20"/>
        </w:rPr>
        <w:t>None.</w:t>
      </w:r>
    </w:p>
    <w:p w14:paraId="32C4420E" w14:textId="77777777" w:rsidR="00000000" w:rsidRDefault="00A173A8">
      <w:pPr>
        <w:divId w:val="897396051"/>
        <w:rPr>
          <w:rFonts w:eastAsia="Times New Roman"/>
        </w:rPr>
      </w:pPr>
      <w:r>
        <w:rPr>
          <w:rFonts w:eastAsia="Times New Roman"/>
          <w:b/>
          <w:bCs/>
          <w:color w:val="000000"/>
          <w:sz w:val="20"/>
          <w:szCs w:val="20"/>
        </w:rPr>
        <w:t xml:space="preserve">Item 4. Mine Safety Disclosures </w:t>
      </w:r>
    </w:p>
    <w:p w14:paraId="2E26DE51" w14:textId="77777777" w:rsidR="00000000" w:rsidRDefault="00A173A8">
      <w:pPr>
        <w:divId w:val="1552113613"/>
        <w:rPr>
          <w:rFonts w:eastAsia="Times New Roman"/>
        </w:rPr>
      </w:pPr>
      <w:r>
        <w:rPr>
          <w:rFonts w:eastAsia="Times New Roman"/>
          <w:color w:val="000000"/>
          <w:sz w:val="20"/>
          <w:szCs w:val="20"/>
        </w:rPr>
        <w:t>Not applicable.</w:t>
      </w:r>
    </w:p>
    <w:p w14:paraId="242B8AFD" w14:textId="77777777" w:rsidR="00000000" w:rsidRDefault="00A173A8">
      <w:pPr>
        <w:divId w:val="1847939587"/>
        <w:rPr>
          <w:rFonts w:eastAsia="Times New Roman"/>
        </w:rPr>
      </w:pPr>
      <w:r>
        <w:rPr>
          <w:rFonts w:eastAsia="Times New Roman"/>
          <w:b/>
          <w:bCs/>
          <w:color w:val="000000"/>
          <w:sz w:val="20"/>
          <w:szCs w:val="20"/>
        </w:rPr>
        <w:t>Item 5.</w:t>
      </w:r>
      <w:r>
        <w:rPr>
          <w:rFonts w:eastAsia="Times New Roman"/>
          <w:color w:val="000000"/>
          <w:sz w:val="20"/>
          <w:szCs w:val="20"/>
        </w:rPr>
        <w:t xml:space="preserve"> </w:t>
      </w:r>
      <w:r>
        <w:rPr>
          <w:rFonts w:eastAsia="Times New Roman"/>
          <w:b/>
          <w:bCs/>
          <w:color w:val="000000"/>
          <w:sz w:val="20"/>
          <w:szCs w:val="20"/>
        </w:rPr>
        <w:t xml:space="preserve">Other Information </w:t>
      </w:r>
    </w:p>
    <w:p w14:paraId="357FE347" w14:textId="77777777" w:rsidR="00000000" w:rsidRDefault="00A173A8">
      <w:pPr>
        <w:jc w:val="both"/>
        <w:divId w:val="1389456219"/>
        <w:rPr>
          <w:rFonts w:eastAsia="Times New Roman"/>
        </w:rPr>
      </w:pPr>
      <w:r>
        <w:rPr>
          <w:rFonts w:eastAsia="Times New Roman"/>
          <w:color w:val="000000"/>
          <w:sz w:val="20"/>
          <w:szCs w:val="20"/>
        </w:rPr>
        <w:t>None.</w:t>
      </w:r>
    </w:p>
    <w:p w14:paraId="063EECB2" w14:textId="77777777" w:rsidR="00000000" w:rsidRDefault="00A173A8">
      <w:pPr>
        <w:divId w:val="673646952"/>
        <w:rPr>
          <w:rFonts w:eastAsia="Times New Roman"/>
        </w:rPr>
      </w:pPr>
      <w:r>
        <w:rPr>
          <w:rFonts w:eastAsia="Times New Roman"/>
          <w:b/>
          <w:bCs/>
          <w:color w:val="000000"/>
          <w:sz w:val="20"/>
          <w:szCs w:val="20"/>
        </w:rPr>
        <w:t xml:space="preserve">Item 6. Exhibits </w:t>
      </w:r>
    </w:p>
    <w:p w14:paraId="370B0A3C" w14:textId="77777777" w:rsidR="00000000" w:rsidRDefault="00A173A8">
      <w:pPr>
        <w:jc w:val="both"/>
        <w:divId w:val="1871340138"/>
        <w:rPr>
          <w:rFonts w:eastAsia="Times New Roman"/>
        </w:rPr>
      </w:pPr>
      <w:r>
        <w:rPr>
          <w:rFonts w:eastAsia="Times New Roman"/>
          <w:color w:val="000000"/>
          <w:sz w:val="20"/>
          <w:szCs w:val="20"/>
        </w:rPr>
        <w:t>An index to exhibits has been filed as part of this Report and is incorporated herein by reference.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76059978" w14:textId="77777777">
        <w:trPr>
          <w:divId w:val="739837887"/>
          <w:jc w:val="center"/>
        </w:trPr>
        <w:tc>
          <w:tcPr>
            <w:tcW w:w="50" w:type="pct"/>
            <w:vAlign w:val="center"/>
            <w:hideMark/>
          </w:tcPr>
          <w:p w14:paraId="3D9461A9" w14:textId="77777777" w:rsidR="00000000" w:rsidRDefault="00A173A8">
            <w:pPr>
              <w:jc w:val="both"/>
              <w:rPr>
                <w:rFonts w:eastAsia="Times New Roman"/>
              </w:rPr>
            </w:pPr>
          </w:p>
        </w:tc>
        <w:tc>
          <w:tcPr>
            <w:tcW w:w="1606" w:type="pct"/>
            <w:vAlign w:val="center"/>
            <w:hideMark/>
          </w:tcPr>
          <w:p w14:paraId="00735D46" w14:textId="77777777" w:rsidR="00000000" w:rsidRDefault="00A173A8">
            <w:pPr>
              <w:spacing w:after="100"/>
              <w:rPr>
                <w:rFonts w:eastAsia="Times New Roman"/>
                <w:sz w:val="20"/>
                <w:szCs w:val="20"/>
              </w:rPr>
            </w:pPr>
          </w:p>
        </w:tc>
        <w:tc>
          <w:tcPr>
            <w:tcW w:w="5" w:type="pct"/>
            <w:vAlign w:val="center"/>
            <w:hideMark/>
          </w:tcPr>
          <w:p w14:paraId="64CE07D7" w14:textId="77777777" w:rsidR="00000000" w:rsidRDefault="00A173A8">
            <w:pPr>
              <w:spacing w:after="100"/>
              <w:rPr>
                <w:rFonts w:eastAsia="Times New Roman"/>
                <w:sz w:val="20"/>
                <w:szCs w:val="20"/>
              </w:rPr>
            </w:pPr>
          </w:p>
        </w:tc>
        <w:tc>
          <w:tcPr>
            <w:tcW w:w="50" w:type="pct"/>
            <w:vAlign w:val="center"/>
            <w:hideMark/>
          </w:tcPr>
          <w:p w14:paraId="4F0FB2E6" w14:textId="77777777" w:rsidR="00000000" w:rsidRDefault="00A173A8">
            <w:pPr>
              <w:spacing w:after="100"/>
              <w:rPr>
                <w:rFonts w:eastAsia="Times New Roman"/>
                <w:sz w:val="20"/>
                <w:szCs w:val="20"/>
              </w:rPr>
            </w:pPr>
          </w:p>
        </w:tc>
        <w:tc>
          <w:tcPr>
            <w:tcW w:w="1614" w:type="pct"/>
            <w:vAlign w:val="center"/>
            <w:hideMark/>
          </w:tcPr>
          <w:p w14:paraId="284F0729" w14:textId="77777777" w:rsidR="00000000" w:rsidRDefault="00A173A8">
            <w:pPr>
              <w:spacing w:after="100"/>
              <w:rPr>
                <w:rFonts w:eastAsia="Times New Roman"/>
                <w:sz w:val="20"/>
                <w:szCs w:val="20"/>
              </w:rPr>
            </w:pPr>
          </w:p>
        </w:tc>
        <w:tc>
          <w:tcPr>
            <w:tcW w:w="5" w:type="pct"/>
            <w:vAlign w:val="center"/>
            <w:hideMark/>
          </w:tcPr>
          <w:p w14:paraId="7AD26F0E" w14:textId="77777777" w:rsidR="00000000" w:rsidRDefault="00A173A8">
            <w:pPr>
              <w:spacing w:after="100"/>
              <w:rPr>
                <w:rFonts w:eastAsia="Times New Roman"/>
                <w:sz w:val="20"/>
                <w:szCs w:val="20"/>
              </w:rPr>
            </w:pPr>
          </w:p>
        </w:tc>
        <w:tc>
          <w:tcPr>
            <w:tcW w:w="50" w:type="pct"/>
            <w:vAlign w:val="center"/>
            <w:hideMark/>
          </w:tcPr>
          <w:p w14:paraId="75FB7101" w14:textId="77777777" w:rsidR="00000000" w:rsidRDefault="00A173A8">
            <w:pPr>
              <w:spacing w:after="100"/>
              <w:rPr>
                <w:rFonts w:eastAsia="Times New Roman"/>
                <w:sz w:val="20"/>
                <w:szCs w:val="20"/>
              </w:rPr>
            </w:pPr>
          </w:p>
        </w:tc>
        <w:tc>
          <w:tcPr>
            <w:tcW w:w="1614" w:type="pct"/>
            <w:vAlign w:val="center"/>
            <w:hideMark/>
          </w:tcPr>
          <w:p w14:paraId="4A2B3C8F" w14:textId="77777777" w:rsidR="00000000" w:rsidRDefault="00A173A8">
            <w:pPr>
              <w:spacing w:after="100"/>
              <w:rPr>
                <w:rFonts w:eastAsia="Times New Roman"/>
                <w:sz w:val="20"/>
                <w:szCs w:val="20"/>
              </w:rPr>
            </w:pPr>
          </w:p>
        </w:tc>
        <w:tc>
          <w:tcPr>
            <w:tcW w:w="5" w:type="pct"/>
            <w:vAlign w:val="center"/>
            <w:hideMark/>
          </w:tcPr>
          <w:p w14:paraId="77BF03E6" w14:textId="77777777" w:rsidR="00000000" w:rsidRDefault="00A173A8">
            <w:pPr>
              <w:spacing w:after="100"/>
              <w:rPr>
                <w:rFonts w:eastAsia="Times New Roman"/>
                <w:sz w:val="20"/>
                <w:szCs w:val="20"/>
              </w:rPr>
            </w:pPr>
          </w:p>
        </w:tc>
      </w:tr>
      <w:tr w:rsidR="00000000" w14:paraId="00AFC361" w14:textId="77777777">
        <w:trPr>
          <w:divId w:val="739837887"/>
          <w:trHeight w:val="300"/>
          <w:jc w:val="center"/>
        </w:trPr>
        <w:tc>
          <w:tcPr>
            <w:tcW w:w="0" w:type="auto"/>
            <w:gridSpan w:val="9"/>
            <w:tcMar>
              <w:top w:w="0" w:type="dxa"/>
              <w:left w:w="20" w:type="dxa"/>
              <w:bottom w:w="0" w:type="dxa"/>
              <w:right w:w="20" w:type="dxa"/>
            </w:tcMar>
            <w:vAlign w:val="center"/>
            <w:hideMark/>
          </w:tcPr>
          <w:p w14:paraId="4FDD87CE" w14:textId="77777777" w:rsidR="00000000" w:rsidRDefault="00A173A8">
            <w:pPr>
              <w:spacing w:after="100"/>
              <w:rPr>
                <w:rFonts w:eastAsia="Times New Roman"/>
                <w:sz w:val="20"/>
                <w:szCs w:val="20"/>
              </w:rPr>
            </w:pPr>
          </w:p>
        </w:tc>
      </w:tr>
      <w:tr w:rsidR="00000000" w14:paraId="52E7D86A" w14:textId="77777777">
        <w:trPr>
          <w:divId w:val="739837887"/>
          <w:jc w:val="center"/>
        </w:trPr>
        <w:tc>
          <w:tcPr>
            <w:tcW w:w="0" w:type="auto"/>
            <w:gridSpan w:val="3"/>
            <w:tcMar>
              <w:top w:w="0" w:type="dxa"/>
              <w:left w:w="20" w:type="dxa"/>
              <w:bottom w:w="0" w:type="dxa"/>
              <w:right w:w="20" w:type="dxa"/>
            </w:tcMar>
            <w:vAlign w:val="center"/>
            <w:hideMark/>
          </w:tcPr>
          <w:p w14:paraId="71E71609"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9454125" w14:textId="77777777" w:rsidR="00000000" w:rsidRDefault="00A173A8">
            <w:pPr>
              <w:spacing w:after="100"/>
              <w:jc w:val="center"/>
              <w:rPr>
                <w:rFonts w:eastAsia="Times New Roman"/>
              </w:rPr>
            </w:pPr>
            <w:r>
              <w:rPr>
                <w:rFonts w:eastAsia="Times New Roman"/>
                <w:color w:val="000000"/>
                <w:sz w:val="16"/>
                <w:szCs w:val="16"/>
              </w:rPr>
              <w:t>121</w:t>
            </w:r>
          </w:p>
        </w:tc>
        <w:tc>
          <w:tcPr>
            <w:tcW w:w="0" w:type="auto"/>
            <w:gridSpan w:val="3"/>
            <w:tcMar>
              <w:top w:w="30" w:type="dxa"/>
              <w:left w:w="20" w:type="dxa"/>
              <w:bottom w:w="30" w:type="dxa"/>
              <w:right w:w="20" w:type="dxa"/>
            </w:tcMar>
            <w:vAlign w:val="bottom"/>
            <w:hideMark/>
          </w:tcPr>
          <w:p w14:paraId="00E100C9"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3663998" w14:textId="77777777" w:rsidR="00000000" w:rsidRDefault="00A173A8">
      <w:pPr>
        <w:rPr>
          <w:rFonts w:eastAsia="Times New Roman"/>
        </w:rPr>
      </w:pPr>
      <w:r>
        <w:rPr>
          <w:rFonts w:eastAsia="Times New Roman"/>
        </w:rPr>
        <w:pict w14:anchorId="0F44A18C">
          <v:rect id="_x0000_i1146" style="width:0;height:1.5pt" o:hralign="center" o:hrstd="t" o:hr="t" fillcolor="#a0a0a0" stroked="f"/>
        </w:pict>
      </w:r>
    </w:p>
    <w:p w14:paraId="23BC4E6B" w14:textId="77777777" w:rsidR="00000000" w:rsidRDefault="00A173A8">
      <w:pPr>
        <w:jc w:val="both"/>
        <w:divId w:val="842545368"/>
        <w:rPr>
          <w:rFonts w:eastAsia="Times New Roman"/>
        </w:rPr>
      </w:pPr>
      <w:hyperlink w:anchor="i7ffd5d61af6f4722b1b1b07530d51c06_13" w:history="1">
        <w:r>
          <w:rPr>
            <w:rStyle w:val="a3"/>
            <w:rFonts w:eastAsia="Times New Roman"/>
            <w:sz w:val="16"/>
            <w:szCs w:val="16"/>
          </w:rPr>
          <w:t>Table of Contents</w:t>
        </w:r>
      </w:hyperlink>
    </w:p>
    <w:p w14:paraId="0A191C51" w14:textId="77777777" w:rsidR="00000000" w:rsidRDefault="00A173A8">
      <w:pPr>
        <w:jc w:val="center"/>
        <w:rPr>
          <w:rFonts w:eastAsia="Times New Roman"/>
        </w:rPr>
      </w:pPr>
      <w:r>
        <w:rPr>
          <w:rFonts w:eastAsia="Times New Roman"/>
          <w:b/>
          <w:bCs/>
          <w:color w:val="000000"/>
          <w:sz w:val="20"/>
          <w:szCs w:val="20"/>
          <w:shd w:val="clear" w:color="auto" w:fill="FFFFFF"/>
        </w:rPr>
        <w:t xml:space="preserve">EXHIBIT INDEX </w:t>
      </w:r>
    </w:p>
    <w:p w14:paraId="006000CF" w14:textId="77777777" w:rsidR="00000000" w:rsidRDefault="00A173A8">
      <w:pPr>
        <w:jc w:val="both"/>
        <w:divId w:val="30798218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8"/>
        <w:gridCol w:w="776"/>
        <w:gridCol w:w="36"/>
        <w:gridCol w:w="36"/>
        <w:gridCol w:w="36"/>
        <w:gridCol w:w="36"/>
        <w:gridCol w:w="39"/>
        <w:gridCol w:w="7222"/>
        <w:gridCol w:w="37"/>
      </w:tblGrid>
      <w:tr w:rsidR="00000000" w14:paraId="4E216292" w14:textId="77777777">
        <w:trPr>
          <w:divId w:val="854030046"/>
        </w:trPr>
        <w:tc>
          <w:tcPr>
            <w:tcW w:w="50" w:type="pct"/>
            <w:vAlign w:val="center"/>
            <w:hideMark/>
          </w:tcPr>
          <w:p w14:paraId="7E0BAD35" w14:textId="77777777" w:rsidR="00000000" w:rsidRDefault="00A173A8">
            <w:pPr>
              <w:jc w:val="both"/>
              <w:rPr>
                <w:rFonts w:eastAsia="Times New Roman"/>
              </w:rPr>
            </w:pPr>
          </w:p>
        </w:tc>
        <w:tc>
          <w:tcPr>
            <w:tcW w:w="442" w:type="pct"/>
            <w:vAlign w:val="center"/>
            <w:hideMark/>
          </w:tcPr>
          <w:p w14:paraId="2100CA4F" w14:textId="77777777" w:rsidR="00000000" w:rsidRDefault="00A173A8">
            <w:pPr>
              <w:spacing w:after="100"/>
              <w:rPr>
                <w:rFonts w:eastAsia="Times New Roman"/>
                <w:sz w:val="20"/>
                <w:szCs w:val="20"/>
              </w:rPr>
            </w:pPr>
          </w:p>
        </w:tc>
        <w:tc>
          <w:tcPr>
            <w:tcW w:w="5" w:type="pct"/>
            <w:vAlign w:val="center"/>
            <w:hideMark/>
          </w:tcPr>
          <w:p w14:paraId="365E0AE5" w14:textId="77777777" w:rsidR="00000000" w:rsidRDefault="00A173A8">
            <w:pPr>
              <w:spacing w:after="100"/>
              <w:rPr>
                <w:rFonts w:eastAsia="Times New Roman"/>
                <w:sz w:val="20"/>
                <w:szCs w:val="20"/>
              </w:rPr>
            </w:pPr>
          </w:p>
        </w:tc>
        <w:tc>
          <w:tcPr>
            <w:tcW w:w="5" w:type="pct"/>
            <w:vAlign w:val="center"/>
            <w:hideMark/>
          </w:tcPr>
          <w:p w14:paraId="50D4D6FF" w14:textId="77777777" w:rsidR="00000000" w:rsidRDefault="00A173A8">
            <w:pPr>
              <w:spacing w:after="100"/>
              <w:rPr>
                <w:rFonts w:eastAsia="Times New Roman"/>
                <w:sz w:val="20"/>
                <w:szCs w:val="20"/>
              </w:rPr>
            </w:pPr>
          </w:p>
        </w:tc>
        <w:tc>
          <w:tcPr>
            <w:tcW w:w="26" w:type="pct"/>
            <w:vAlign w:val="center"/>
            <w:hideMark/>
          </w:tcPr>
          <w:p w14:paraId="1048CC62" w14:textId="77777777" w:rsidR="00000000" w:rsidRDefault="00A173A8">
            <w:pPr>
              <w:spacing w:after="100"/>
              <w:rPr>
                <w:rFonts w:eastAsia="Times New Roman"/>
                <w:sz w:val="20"/>
                <w:szCs w:val="20"/>
              </w:rPr>
            </w:pPr>
          </w:p>
        </w:tc>
        <w:tc>
          <w:tcPr>
            <w:tcW w:w="5" w:type="pct"/>
            <w:vAlign w:val="center"/>
            <w:hideMark/>
          </w:tcPr>
          <w:p w14:paraId="53D5739D" w14:textId="77777777" w:rsidR="00000000" w:rsidRDefault="00A173A8">
            <w:pPr>
              <w:spacing w:after="100"/>
              <w:rPr>
                <w:rFonts w:eastAsia="Times New Roman"/>
                <w:sz w:val="20"/>
                <w:szCs w:val="20"/>
              </w:rPr>
            </w:pPr>
          </w:p>
        </w:tc>
        <w:tc>
          <w:tcPr>
            <w:tcW w:w="50" w:type="pct"/>
            <w:vAlign w:val="center"/>
            <w:hideMark/>
          </w:tcPr>
          <w:p w14:paraId="3EC127BA" w14:textId="77777777" w:rsidR="00000000" w:rsidRDefault="00A173A8">
            <w:pPr>
              <w:spacing w:after="100"/>
              <w:rPr>
                <w:rFonts w:eastAsia="Times New Roman"/>
                <w:sz w:val="20"/>
                <w:szCs w:val="20"/>
              </w:rPr>
            </w:pPr>
          </w:p>
        </w:tc>
        <w:tc>
          <w:tcPr>
            <w:tcW w:w="4411" w:type="pct"/>
            <w:vAlign w:val="center"/>
            <w:hideMark/>
          </w:tcPr>
          <w:p w14:paraId="131DCE4F" w14:textId="77777777" w:rsidR="00000000" w:rsidRDefault="00A173A8">
            <w:pPr>
              <w:spacing w:after="100"/>
              <w:rPr>
                <w:rFonts w:eastAsia="Times New Roman"/>
                <w:sz w:val="20"/>
                <w:szCs w:val="20"/>
              </w:rPr>
            </w:pPr>
          </w:p>
        </w:tc>
        <w:tc>
          <w:tcPr>
            <w:tcW w:w="5" w:type="pct"/>
            <w:vAlign w:val="center"/>
            <w:hideMark/>
          </w:tcPr>
          <w:p w14:paraId="798067F7" w14:textId="77777777" w:rsidR="00000000" w:rsidRDefault="00A173A8">
            <w:pPr>
              <w:spacing w:after="100"/>
              <w:rPr>
                <w:rFonts w:eastAsia="Times New Roman"/>
                <w:sz w:val="20"/>
                <w:szCs w:val="20"/>
              </w:rPr>
            </w:pPr>
          </w:p>
        </w:tc>
      </w:tr>
      <w:tr w:rsidR="00000000" w14:paraId="5B959915" w14:textId="77777777">
        <w:trPr>
          <w:divId w:val="854030046"/>
        </w:trPr>
        <w:tc>
          <w:tcPr>
            <w:tcW w:w="0" w:type="auto"/>
            <w:gridSpan w:val="3"/>
            <w:tcBorders>
              <w:bottom w:val="single" w:sz="8" w:space="0" w:color="000000"/>
            </w:tcBorders>
            <w:tcMar>
              <w:top w:w="30" w:type="dxa"/>
              <w:left w:w="20" w:type="dxa"/>
              <w:bottom w:w="30" w:type="dxa"/>
              <w:right w:w="20" w:type="dxa"/>
            </w:tcMar>
            <w:vAlign w:val="center"/>
            <w:hideMark/>
          </w:tcPr>
          <w:p w14:paraId="71CF4DFB" w14:textId="77777777" w:rsidR="00000000" w:rsidRDefault="00A173A8">
            <w:pPr>
              <w:spacing w:after="100"/>
              <w:jc w:val="center"/>
              <w:rPr>
                <w:rFonts w:eastAsia="Times New Roman"/>
              </w:rPr>
            </w:pPr>
            <w:r>
              <w:rPr>
                <w:rFonts w:eastAsia="Times New Roman"/>
                <w:b/>
                <w:bCs/>
                <w:color w:val="000000"/>
                <w:sz w:val="17"/>
                <w:szCs w:val="17"/>
              </w:rPr>
              <w:t>Exhibit No.</w:t>
            </w:r>
          </w:p>
        </w:tc>
        <w:tc>
          <w:tcPr>
            <w:tcW w:w="0" w:type="auto"/>
            <w:gridSpan w:val="3"/>
            <w:tcMar>
              <w:top w:w="0" w:type="dxa"/>
              <w:left w:w="20" w:type="dxa"/>
              <w:bottom w:w="0" w:type="dxa"/>
              <w:right w:w="20" w:type="dxa"/>
            </w:tcMar>
            <w:vAlign w:val="center"/>
            <w:hideMark/>
          </w:tcPr>
          <w:p w14:paraId="38EF994F" w14:textId="77777777" w:rsidR="00000000" w:rsidRDefault="00A173A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14:paraId="5AD940BE" w14:textId="77777777" w:rsidR="00000000" w:rsidRDefault="00A173A8">
            <w:pPr>
              <w:spacing w:after="100"/>
              <w:jc w:val="both"/>
              <w:rPr>
                <w:rFonts w:eastAsia="Times New Roman"/>
              </w:rPr>
            </w:pPr>
            <w:r>
              <w:rPr>
                <w:rFonts w:eastAsia="Times New Roman"/>
                <w:b/>
                <w:bCs/>
                <w:color w:val="000000"/>
                <w:sz w:val="17"/>
                <w:szCs w:val="17"/>
              </w:rPr>
              <w:t>Description</w:t>
            </w:r>
          </w:p>
        </w:tc>
      </w:tr>
      <w:tr w:rsidR="00000000" w14:paraId="3BCDF3C0" w14:textId="77777777">
        <w:trPr>
          <w:divId w:val="854030046"/>
        </w:trPr>
        <w:tc>
          <w:tcPr>
            <w:tcW w:w="0" w:type="auto"/>
            <w:gridSpan w:val="3"/>
            <w:tcBorders>
              <w:top w:val="single" w:sz="8" w:space="0" w:color="000000"/>
            </w:tcBorders>
            <w:tcMar>
              <w:top w:w="30" w:type="dxa"/>
              <w:left w:w="20" w:type="dxa"/>
              <w:bottom w:w="30" w:type="dxa"/>
              <w:right w:w="20" w:type="dxa"/>
            </w:tcMar>
            <w:hideMark/>
          </w:tcPr>
          <w:p w14:paraId="151E8F3A" w14:textId="77777777" w:rsidR="00000000" w:rsidRDefault="00A173A8">
            <w:pPr>
              <w:spacing w:after="100"/>
              <w:jc w:val="center"/>
              <w:rPr>
                <w:rFonts w:eastAsia="Times New Roman"/>
              </w:rPr>
            </w:pPr>
            <w:r>
              <w:rPr>
                <w:rFonts w:eastAsia="Times New Roman"/>
                <w:color w:val="000000"/>
                <w:sz w:val="17"/>
                <w:szCs w:val="17"/>
              </w:rPr>
              <w:t>3.1</w:t>
            </w:r>
          </w:p>
        </w:tc>
        <w:tc>
          <w:tcPr>
            <w:tcW w:w="0" w:type="auto"/>
            <w:gridSpan w:val="3"/>
            <w:tcMar>
              <w:top w:w="0" w:type="dxa"/>
              <w:left w:w="20" w:type="dxa"/>
              <w:bottom w:w="0" w:type="dxa"/>
              <w:right w:w="20" w:type="dxa"/>
            </w:tcMar>
            <w:vAlign w:val="center"/>
            <w:hideMark/>
          </w:tcPr>
          <w:p w14:paraId="50695A51" w14:textId="77777777" w:rsidR="00000000" w:rsidRDefault="00A173A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14:paraId="74BAC2BE" w14:textId="77777777" w:rsidR="00000000" w:rsidRDefault="00A173A8">
            <w:pPr>
              <w:spacing w:after="100"/>
              <w:jc w:val="both"/>
              <w:rPr>
                <w:rFonts w:eastAsia="Times New Roman"/>
              </w:rPr>
            </w:pPr>
            <w:hyperlink r:id="rId4" w:history="1">
              <w:r>
                <w:rPr>
                  <w:rStyle w:val="a3"/>
                  <w:rFonts w:eastAsia="Times New Roman"/>
                  <w:sz w:val="17"/>
                  <w:szCs w:val="17"/>
                </w:rPr>
                <w:t>Restated Certificate of Incorporation of Capital One Financial Corporation (as restated May 1, 2020) (incorporated by reference to Exhibit 3.2 of t</w:t>
              </w:r>
              <w:r>
                <w:rPr>
                  <w:rStyle w:val="a3"/>
                  <w:rFonts w:eastAsia="Times New Roman"/>
                  <w:sz w:val="17"/>
                  <w:szCs w:val="17"/>
                </w:rPr>
                <w:t>he Current Report on Form 8-K, filed on May 4, 2020).</w:t>
              </w:r>
            </w:hyperlink>
          </w:p>
        </w:tc>
      </w:tr>
      <w:tr w:rsidR="00000000" w14:paraId="7992BB1C" w14:textId="77777777">
        <w:trPr>
          <w:divId w:val="854030046"/>
        </w:trPr>
        <w:tc>
          <w:tcPr>
            <w:tcW w:w="0" w:type="auto"/>
            <w:gridSpan w:val="3"/>
            <w:tcMar>
              <w:top w:w="30" w:type="dxa"/>
              <w:left w:w="20" w:type="dxa"/>
              <w:bottom w:w="30" w:type="dxa"/>
              <w:right w:w="20" w:type="dxa"/>
            </w:tcMar>
            <w:hideMark/>
          </w:tcPr>
          <w:p w14:paraId="670CE8FC" w14:textId="77777777" w:rsidR="00000000" w:rsidRDefault="00A173A8">
            <w:pPr>
              <w:spacing w:after="100"/>
              <w:jc w:val="center"/>
              <w:rPr>
                <w:rFonts w:eastAsia="Times New Roman"/>
              </w:rPr>
            </w:pPr>
            <w:r>
              <w:rPr>
                <w:rFonts w:eastAsia="Times New Roman"/>
                <w:color w:val="000000"/>
                <w:sz w:val="17"/>
                <w:szCs w:val="17"/>
              </w:rPr>
              <w:t>3.2</w:t>
            </w:r>
          </w:p>
        </w:tc>
        <w:tc>
          <w:tcPr>
            <w:tcW w:w="0" w:type="auto"/>
            <w:gridSpan w:val="3"/>
            <w:tcMar>
              <w:top w:w="0" w:type="dxa"/>
              <w:left w:w="20" w:type="dxa"/>
              <w:bottom w:w="0" w:type="dxa"/>
              <w:right w:w="20" w:type="dxa"/>
            </w:tcMar>
            <w:vAlign w:val="center"/>
            <w:hideMark/>
          </w:tcPr>
          <w:p w14:paraId="7552FC63"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BA950F0" w14:textId="77777777" w:rsidR="00000000" w:rsidRDefault="00A173A8">
            <w:pPr>
              <w:spacing w:after="100"/>
              <w:jc w:val="both"/>
              <w:rPr>
                <w:rFonts w:eastAsia="Times New Roman"/>
              </w:rPr>
            </w:pPr>
            <w:hyperlink r:id="rId5" w:history="1">
              <w:r>
                <w:rPr>
                  <w:rStyle w:val="a3"/>
                  <w:rFonts w:eastAsia="Times New Roman"/>
                  <w:sz w:val="17"/>
                  <w:szCs w:val="17"/>
                </w:rPr>
                <w:t>Amended and Restated Bylaws of Capital One Financial Corporation, dated Septe</w:t>
              </w:r>
              <w:r>
                <w:rPr>
                  <w:rStyle w:val="a3"/>
                  <w:rFonts w:eastAsia="Times New Roman"/>
                  <w:sz w:val="17"/>
                  <w:szCs w:val="17"/>
                </w:rPr>
                <w:t>mber 23, 2021 (incorporated by reference to Exhibit 3.1 of the Current Report on Form 8-K, filed on September 29, 2021).</w:t>
              </w:r>
            </w:hyperlink>
          </w:p>
        </w:tc>
      </w:tr>
      <w:tr w:rsidR="00000000" w14:paraId="2C3E25B4" w14:textId="77777777">
        <w:trPr>
          <w:divId w:val="854030046"/>
        </w:trPr>
        <w:tc>
          <w:tcPr>
            <w:tcW w:w="0" w:type="auto"/>
            <w:gridSpan w:val="3"/>
            <w:vAlign w:val="center"/>
            <w:hideMark/>
          </w:tcPr>
          <w:p w14:paraId="0D211CA8" w14:textId="77777777" w:rsidR="00000000" w:rsidRDefault="00A173A8">
            <w:pPr>
              <w:spacing w:after="100"/>
              <w:jc w:val="both"/>
              <w:rPr>
                <w:rFonts w:eastAsia="Times New Roman"/>
              </w:rPr>
            </w:pPr>
          </w:p>
        </w:tc>
        <w:tc>
          <w:tcPr>
            <w:tcW w:w="0" w:type="auto"/>
            <w:gridSpan w:val="3"/>
            <w:vAlign w:val="center"/>
            <w:hideMark/>
          </w:tcPr>
          <w:p w14:paraId="4A5519B2" w14:textId="77777777" w:rsidR="00000000" w:rsidRDefault="00A173A8">
            <w:pPr>
              <w:spacing w:after="100"/>
              <w:rPr>
                <w:rFonts w:eastAsia="Times New Roman"/>
                <w:sz w:val="20"/>
                <w:szCs w:val="20"/>
              </w:rPr>
            </w:pPr>
          </w:p>
        </w:tc>
        <w:tc>
          <w:tcPr>
            <w:tcW w:w="0" w:type="auto"/>
            <w:gridSpan w:val="3"/>
            <w:vAlign w:val="center"/>
            <w:hideMark/>
          </w:tcPr>
          <w:p w14:paraId="3DC79223" w14:textId="77777777" w:rsidR="00000000" w:rsidRDefault="00A173A8">
            <w:pPr>
              <w:spacing w:after="100"/>
              <w:rPr>
                <w:rFonts w:eastAsia="Times New Roman"/>
                <w:sz w:val="20"/>
                <w:szCs w:val="20"/>
              </w:rPr>
            </w:pPr>
          </w:p>
        </w:tc>
      </w:tr>
      <w:tr w:rsidR="00000000" w14:paraId="3E18FC20" w14:textId="77777777">
        <w:trPr>
          <w:divId w:val="854030046"/>
        </w:trPr>
        <w:tc>
          <w:tcPr>
            <w:tcW w:w="0" w:type="auto"/>
            <w:gridSpan w:val="3"/>
            <w:vAlign w:val="center"/>
            <w:hideMark/>
          </w:tcPr>
          <w:p w14:paraId="67392DD3" w14:textId="77777777" w:rsidR="00000000" w:rsidRDefault="00A173A8">
            <w:pPr>
              <w:spacing w:after="100"/>
              <w:rPr>
                <w:rFonts w:eastAsia="Times New Roman"/>
                <w:sz w:val="20"/>
                <w:szCs w:val="20"/>
              </w:rPr>
            </w:pPr>
          </w:p>
        </w:tc>
        <w:tc>
          <w:tcPr>
            <w:tcW w:w="0" w:type="auto"/>
            <w:gridSpan w:val="3"/>
            <w:vAlign w:val="center"/>
            <w:hideMark/>
          </w:tcPr>
          <w:p w14:paraId="179FE3C7" w14:textId="77777777" w:rsidR="00000000" w:rsidRDefault="00A173A8">
            <w:pPr>
              <w:spacing w:after="100"/>
              <w:rPr>
                <w:rFonts w:eastAsia="Times New Roman"/>
                <w:sz w:val="20"/>
                <w:szCs w:val="20"/>
              </w:rPr>
            </w:pPr>
          </w:p>
        </w:tc>
        <w:tc>
          <w:tcPr>
            <w:tcW w:w="0" w:type="auto"/>
            <w:gridSpan w:val="3"/>
            <w:vAlign w:val="center"/>
            <w:hideMark/>
          </w:tcPr>
          <w:p w14:paraId="6BF200E3" w14:textId="77777777" w:rsidR="00000000" w:rsidRDefault="00A173A8">
            <w:pPr>
              <w:spacing w:after="100"/>
              <w:rPr>
                <w:rFonts w:eastAsia="Times New Roman"/>
                <w:sz w:val="20"/>
                <w:szCs w:val="20"/>
              </w:rPr>
            </w:pPr>
          </w:p>
        </w:tc>
      </w:tr>
      <w:tr w:rsidR="00000000" w14:paraId="662E5370" w14:textId="77777777">
        <w:trPr>
          <w:divId w:val="854030046"/>
        </w:trPr>
        <w:tc>
          <w:tcPr>
            <w:tcW w:w="0" w:type="auto"/>
            <w:gridSpan w:val="3"/>
            <w:vAlign w:val="center"/>
            <w:hideMark/>
          </w:tcPr>
          <w:p w14:paraId="5F8D349C" w14:textId="77777777" w:rsidR="00000000" w:rsidRDefault="00A173A8">
            <w:pPr>
              <w:spacing w:after="100"/>
              <w:rPr>
                <w:rFonts w:eastAsia="Times New Roman"/>
                <w:sz w:val="20"/>
                <w:szCs w:val="20"/>
              </w:rPr>
            </w:pPr>
          </w:p>
        </w:tc>
        <w:tc>
          <w:tcPr>
            <w:tcW w:w="0" w:type="auto"/>
            <w:gridSpan w:val="3"/>
            <w:vAlign w:val="center"/>
            <w:hideMark/>
          </w:tcPr>
          <w:p w14:paraId="47282E78" w14:textId="77777777" w:rsidR="00000000" w:rsidRDefault="00A173A8">
            <w:pPr>
              <w:spacing w:after="100"/>
              <w:rPr>
                <w:rFonts w:eastAsia="Times New Roman"/>
                <w:sz w:val="20"/>
                <w:szCs w:val="20"/>
              </w:rPr>
            </w:pPr>
          </w:p>
        </w:tc>
        <w:tc>
          <w:tcPr>
            <w:tcW w:w="0" w:type="auto"/>
            <w:gridSpan w:val="3"/>
            <w:vAlign w:val="center"/>
            <w:hideMark/>
          </w:tcPr>
          <w:p w14:paraId="6B8B9DB7" w14:textId="77777777" w:rsidR="00000000" w:rsidRDefault="00A173A8">
            <w:pPr>
              <w:spacing w:after="100"/>
              <w:rPr>
                <w:rFonts w:eastAsia="Times New Roman"/>
                <w:sz w:val="20"/>
                <w:szCs w:val="20"/>
              </w:rPr>
            </w:pPr>
          </w:p>
        </w:tc>
      </w:tr>
      <w:tr w:rsidR="00000000" w14:paraId="6473F457" w14:textId="77777777">
        <w:trPr>
          <w:divId w:val="854030046"/>
        </w:trPr>
        <w:tc>
          <w:tcPr>
            <w:tcW w:w="0" w:type="auto"/>
            <w:gridSpan w:val="3"/>
            <w:vAlign w:val="center"/>
            <w:hideMark/>
          </w:tcPr>
          <w:p w14:paraId="1A43E780" w14:textId="77777777" w:rsidR="00000000" w:rsidRDefault="00A173A8">
            <w:pPr>
              <w:spacing w:after="100"/>
              <w:rPr>
                <w:rFonts w:eastAsia="Times New Roman"/>
                <w:sz w:val="20"/>
                <w:szCs w:val="20"/>
              </w:rPr>
            </w:pPr>
          </w:p>
        </w:tc>
        <w:tc>
          <w:tcPr>
            <w:tcW w:w="0" w:type="auto"/>
            <w:gridSpan w:val="3"/>
            <w:vAlign w:val="center"/>
            <w:hideMark/>
          </w:tcPr>
          <w:p w14:paraId="3A14DDFC" w14:textId="77777777" w:rsidR="00000000" w:rsidRDefault="00A173A8">
            <w:pPr>
              <w:spacing w:after="100"/>
              <w:rPr>
                <w:rFonts w:eastAsia="Times New Roman"/>
                <w:sz w:val="20"/>
                <w:szCs w:val="20"/>
              </w:rPr>
            </w:pPr>
          </w:p>
        </w:tc>
        <w:tc>
          <w:tcPr>
            <w:tcW w:w="0" w:type="auto"/>
            <w:gridSpan w:val="3"/>
            <w:vAlign w:val="center"/>
            <w:hideMark/>
          </w:tcPr>
          <w:p w14:paraId="4D94E722" w14:textId="77777777" w:rsidR="00000000" w:rsidRDefault="00A173A8">
            <w:pPr>
              <w:spacing w:after="100"/>
              <w:rPr>
                <w:rFonts w:eastAsia="Times New Roman"/>
                <w:sz w:val="20"/>
                <w:szCs w:val="20"/>
              </w:rPr>
            </w:pPr>
          </w:p>
        </w:tc>
      </w:tr>
      <w:tr w:rsidR="00000000" w14:paraId="17AE8FB9" w14:textId="77777777">
        <w:trPr>
          <w:divId w:val="854030046"/>
        </w:trPr>
        <w:tc>
          <w:tcPr>
            <w:tcW w:w="0" w:type="auto"/>
            <w:gridSpan w:val="3"/>
            <w:vAlign w:val="center"/>
            <w:hideMark/>
          </w:tcPr>
          <w:p w14:paraId="4F71AA83" w14:textId="77777777" w:rsidR="00000000" w:rsidRDefault="00A173A8">
            <w:pPr>
              <w:spacing w:after="100"/>
              <w:rPr>
                <w:rFonts w:eastAsia="Times New Roman"/>
                <w:sz w:val="20"/>
                <w:szCs w:val="20"/>
              </w:rPr>
            </w:pPr>
          </w:p>
        </w:tc>
        <w:tc>
          <w:tcPr>
            <w:tcW w:w="0" w:type="auto"/>
            <w:gridSpan w:val="3"/>
            <w:vAlign w:val="center"/>
            <w:hideMark/>
          </w:tcPr>
          <w:p w14:paraId="56A7358F" w14:textId="77777777" w:rsidR="00000000" w:rsidRDefault="00A173A8">
            <w:pPr>
              <w:spacing w:after="100"/>
              <w:rPr>
                <w:rFonts w:eastAsia="Times New Roman"/>
                <w:sz w:val="20"/>
                <w:szCs w:val="20"/>
              </w:rPr>
            </w:pPr>
          </w:p>
        </w:tc>
        <w:tc>
          <w:tcPr>
            <w:tcW w:w="0" w:type="auto"/>
            <w:gridSpan w:val="3"/>
            <w:vAlign w:val="center"/>
            <w:hideMark/>
          </w:tcPr>
          <w:p w14:paraId="67BEA436" w14:textId="77777777" w:rsidR="00000000" w:rsidRDefault="00A173A8">
            <w:pPr>
              <w:spacing w:after="100"/>
              <w:rPr>
                <w:rFonts w:eastAsia="Times New Roman"/>
                <w:sz w:val="20"/>
                <w:szCs w:val="20"/>
              </w:rPr>
            </w:pPr>
          </w:p>
        </w:tc>
      </w:tr>
      <w:tr w:rsidR="00000000" w14:paraId="1AB497C6" w14:textId="77777777">
        <w:trPr>
          <w:divId w:val="854030046"/>
        </w:trPr>
        <w:tc>
          <w:tcPr>
            <w:tcW w:w="0" w:type="auto"/>
            <w:gridSpan w:val="3"/>
            <w:tcMar>
              <w:top w:w="30" w:type="dxa"/>
              <w:left w:w="20" w:type="dxa"/>
              <w:bottom w:w="30" w:type="dxa"/>
              <w:right w:w="20" w:type="dxa"/>
            </w:tcMar>
            <w:hideMark/>
          </w:tcPr>
          <w:p w14:paraId="1ECC7976" w14:textId="77777777" w:rsidR="00000000" w:rsidRDefault="00A173A8">
            <w:pPr>
              <w:spacing w:after="100"/>
              <w:jc w:val="center"/>
              <w:rPr>
                <w:rFonts w:eastAsia="Times New Roman"/>
              </w:rPr>
            </w:pPr>
            <w:r>
              <w:rPr>
                <w:rFonts w:eastAsia="Times New Roman"/>
                <w:color w:val="000000"/>
                <w:sz w:val="17"/>
                <w:szCs w:val="17"/>
              </w:rPr>
              <w:t>4.1</w:t>
            </w:r>
          </w:p>
        </w:tc>
        <w:tc>
          <w:tcPr>
            <w:tcW w:w="0" w:type="auto"/>
            <w:gridSpan w:val="3"/>
            <w:tcMar>
              <w:top w:w="0" w:type="dxa"/>
              <w:left w:w="20" w:type="dxa"/>
              <w:bottom w:w="0" w:type="dxa"/>
              <w:right w:w="20" w:type="dxa"/>
            </w:tcMar>
            <w:vAlign w:val="center"/>
            <w:hideMark/>
          </w:tcPr>
          <w:p w14:paraId="255C61C3"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41F2AAA" w14:textId="77777777" w:rsidR="00000000" w:rsidRDefault="00A173A8">
            <w:pPr>
              <w:spacing w:after="100"/>
              <w:jc w:val="both"/>
              <w:rPr>
                <w:rFonts w:eastAsia="Times New Roman"/>
              </w:rPr>
            </w:pPr>
            <w:r>
              <w:rPr>
                <w:rFonts w:eastAsia="Times New Roman"/>
                <w:color w:val="000000"/>
                <w:sz w:val="17"/>
                <w:szCs w:val="17"/>
              </w:rPr>
              <w:t>Pursuant to Item </w:t>
            </w:r>
            <w:r>
              <w:rPr>
                <w:rFonts w:eastAsia="Times New Roman"/>
                <w:color w:val="000000"/>
                <w:sz w:val="17"/>
                <w:szCs w:val="17"/>
              </w:rPr>
              <w:t>601(b)(4)(iii)(A) of Regulation S-K, copies of instruments defining the rights of holders of long-term debt are not filed. The Company agrees to furnish a copy thereof to the SEC upon request.</w:t>
            </w:r>
          </w:p>
        </w:tc>
      </w:tr>
      <w:tr w:rsidR="00000000" w14:paraId="2DCB654F" w14:textId="77777777">
        <w:trPr>
          <w:divId w:val="854030046"/>
        </w:trPr>
        <w:tc>
          <w:tcPr>
            <w:tcW w:w="0" w:type="auto"/>
            <w:gridSpan w:val="3"/>
            <w:tcMar>
              <w:top w:w="30" w:type="dxa"/>
              <w:left w:w="20" w:type="dxa"/>
              <w:bottom w:w="30" w:type="dxa"/>
              <w:right w:w="20" w:type="dxa"/>
            </w:tcMar>
            <w:hideMark/>
          </w:tcPr>
          <w:p w14:paraId="1D2F3C82" w14:textId="77777777" w:rsidR="00000000" w:rsidRDefault="00A173A8">
            <w:pPr>
              <w:spacing w:after="100"/>
              <w:jc w:val="center"/>
              <w:rPr>
                <w:rFonts w:eastAsia="Times New Roman"/>
              </w:rPr>
            </w:pPr>
            <w:r>
              <w:rPr>
                <w:rFonts w:eastAsia="Times New Roman"/>
                <w:color w:val="000000"/>
                <w:sz w:val="17"/>
                <w:szCs w:val="17"/>
              </w:rPr>
              <w:t>10.1+*</w:t>
            </w:r>
          </w:p>
        </w:tc>
        <w:tc>
          <w:tcPr>
            <w:tcW w:w="0" w:type="auto"/>
            <w:gridSpan w:val="3"/>
            <w:tcMar>
              <w:top w:w="0" w:type="dxa"/>
              <w:left w:w="20" w:type="dxa"/>
              <w:bottom w:w="0" w:type="dxa"/>
              <w:right w:w="20" w:type="dxa"/>
            </w:tcMar>
            <w:vAlign w:val="center"/>
            <w:hideMark/>
          </w:tcPr>
          <w:p w14:paraId="3830F5D5"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4953C578" w14:textId="77777777" w:rsidR="00000000" w:rsidRDefault="00A173A8">
            <w:pPr>
              <w:spacing w:after="100"/>
              <w:jc w:val="both"/>
              <w:rPr>
                <w:rFonts w:eastAsia="Times New Roman"/>
              </w:rPr>
            </w:pPr>
            <w:hyperlink r:id="rId6" w:history="1">
              <w:r>
                <w:rPr>
                  <w:rStyle w:val="a3"/>
                  <w:rFonts w:eastAsia="Times New Roman"/>
                  <w:sz w:val="17"/>
                  <w:szCs w:val="17"/>
                </w:rPr>
                <w:t>Form of Restricted Stock Unit Award Agreement granted to our directors under the Sixth Amended and Restated 2004 Stock Incentive Plan.</w:t>
              </w:r>
            </w:hyperlink>
          </w:p>
        </w:tc>
      </w:tr>
      <w:tr w:rsidR="00000000" w14:paraId="6392B986" w14:textId="77777777">
        <w:trPr>
          <w:divId w:val="854030046"/>
        </w:trPr>
        <w:tc>
          <w:tcPr>
            <w:tcW w:w="0" w:type="auto"/>
            <w:gridSpan w:val="3"/>
            <w:vAlign w:val="center"/>
            <w:hideMark/>
          </w:tcPr>
          <w:p w14:paraId="6EFA63EF" w14:textId="77777777" w:rsidR="00000000" w:rsidRDefault="00A173A8">
            <w:pPr>
              <w:spacing w:after="100"/>
              <w:jc w:val="both"/>
              <w:rPr>
                <w:rFonts w:eastAsia="Times New Roman"/>
              </w:rPr>
            </w:pPr>
          </w:p>
        </w:tc>
        <w:tc>
          <w:tcPr>
            <w:tcW w:w="0" w:type="auto"/>
            <w:gridSpan w:val="3"/>
            <w:vAlign w:val="center"/>
            <w:hideMark/>
          </w:tcPr>
          <w:p w14:paraId="16D8B8AB" w14:textId="77777777" w:rsidR="00000000" w:rsidRDefault="00A173A8">
            <w:pPr>
              <w:spacing w:after="100"/>
              <w:rPr>
                <w:rFonts w:eastAsia="Times New Roman"/>
                <w:sz w:val="20"/>
                <w:szCs w:val="20"/>
              </w:rPr>
            </w:pPr>
          </w:p>
        </w:tc>
        <w:tc>
          <w:tcPr>
            <w:tcW w:w="0" w:type="auto"/>
            <w:gridSpan w:val="3"/>
            <w:vAlign w:val="center"/>
            <w:hideMark/>
          </w:tcPr>
          <w:p w14:paraId="133140E1" w14:textId="77777777" w:rsidR="00000000" w:rsidRDefault="00A173A8">
            <w:pPr>
              <w:spacing w:after="100"/>
              <w:rPr>
                <w:rFonts w:eastAsia="Times New Roman"/>
                <w:sz w:val="20"/>
                <w:szCs w:val="20"/>
              </w:rPr>
            </w:pPr>
          </w:p>
        </w:tc>
      </w:tr>
      <w:tr w:rsidR="00000000" w14:paraId="0A55E715" w14:textId="77777777">
        <w:trPr>
          <w:divId w:val="854030046"/>
        </w:trPr>
        <w:tc>
          <w:tcPr>
            <w:tcW w:w="0" w:type="auto"/>
            <w:gridSpan w:val="3"/>
            <w:vAlign w:val="center"/>
            <w:hideMark/>
          </w:tcPr>
          <w:p w14:paraId="0EE435F4" w14:textId="77777777" w:rsidR="00000000" w:rsidRDefault="00A173A8">
            <w:pPr>
              <w:spacing w:after="100"/>
              <w:rPr>
                <w:rFonts w:eastAsia="Times New Roman"/>
                <w:sz w:val="20"/>
                <w:szCs w:val="20"/>
              </w:rPr>
            </w:pPr>
          </w:p>
        </w:tc>
        <w:tc>
          <w:tcPr>
            <w:tcW w:w="0" w:type="auto"/>
            <w:gridSpan w:val="3"/>
            <w:vAlign w:val="center"/>
            <w:hideMark/>
          </w:tcPr>
          <w:p w14:paraId="63F6972C" w14:textId="77777777" w:rsidR="00000000" w:rsidRDefault="00A173A8">
            <w:pPr>
              <w:spacing w:after="100"/>
              <w:rPr>
                <w:rFonts w:eastAsia="Times New Roman"/>
                <w:sz w:val="20"/>
                <w:szCs w:val="20"/>
              </w:rPr>
            </w:pPr>
          </w:p>
        </w:tc>
        <w:tc>
          <w:tcPr>
            <w:tcW w:w="0" w:type="auto"/>
            <w:gridSpan w:val="3"/>
            <w:vAlign w:val="center"/>
            <w:hideMark/>
          </w:tcPr>
          <w:p w14:paraId="06126268" w14:textId="77777777" w:rsidR="00000000" w:rsidRDefault="00A173A8">
            <w:pPr>
              <w:spacing w:after="100"/>
              <w:rPr>
                <w:rFonts w:eastAsia="Times New Roman"/>
                <w:sz w:val="20"/>
                <w:szCs w:val="20"/>
              </w:rPr>
            </w:pPr>
          </w:p>
        </w:tc>
      </w:tr>
      <w:tr w:rsidR="00000000" w14:paraId="2A2D4D67" w14:textId="77777777">
        <w:trPr>
          <w:divId w:val="854030046"/>
        </w:trPr>
        <w:tc>
          <w:tcPr>
            <w:tcW w:w="0" w:type="auto"/>
            <w:gridSpan w:val="3"/>
            <w:vAlign w:val="center"/>
            <w:hideMark/>
          </w:tcPr>
          <w:p w14:paraId="1C8EC60E" w14:textId="77777777" w:rsidR="00000000" w:rsidRDefault="00A173A8">
            <w:pPr>
              <w:spacing w:after="100"/>
              <w:rPr>
                <w:rFonts w:eastAsia="Times New Roman"/>
                <w:sz w:val="20"/>
                <w:szCs w:val="20"/>
              </w:rPr>
            </w:pPr>
          </w:p>
        </w:tc>
        <w:tc>
          <w:tcPr>
            <w:tcW w:w="0" w:type="auto"/>
            <w:gridSpan w:val="3"/>
            <w:vAlign w:val="center"/>
            <w:hideMark/>
          </w:tcPr>
          <w:p w14:paraId="2C50CE1F" w14:textId="77777777" w:rsidR="00000000" w:rsidRDefault="00A173A8">
            <w:pPr>
              <w:spacing w:after="100"/>
              <w:rPr>
                <w:rFonts w:eastAsia="Times New Roman"/>
                <w:sz w:val="20"/>
                <w:szCs w:val="20"/>
              </w:rPr>
            </w:pPr>
          </w:p>
        </w:tc>
        <w:tc>
          <w:tcPr>
            <w:tcW w:w="0" w:type="auto"/>
            <w:gridSpan w:val="3"/>
            <w:vAlign w:val="center"/>
            <w:hideMark/>
          </w:tcPr>
          <w:p w14:paraId="3300363B" w14:textId="77777777" w:rsidR="00000000" w:rsidRDefault="00A173A8">
            <w:pPr>
              <w:spacing w:after="100"/>
              <w:rPr>
                <w:rFonts w:eastAsia="Times New Roman"/>
                <w:sz w:val="20"/>
                <w:szCs w:val="20"/>
              </w:rPr>
            </w:pPr>
          </w:p>
        </w:tc>
      </w:tr>
      <w:tr w:rsidR="00000000" w14:paraId="4042289F" w14:textId="77777777">
        <w:trPr>
          <w:divId w:val="854030046"/>
        </w:trPr>
        <w:tc>
          <w:tcPr>
            <w:tcW w:w="0" w:type="auto"/>
            <w:gridSpan w:val="3"/>
            <w:tcMar>
              <w:top w:w="30" w:type="dxa"/>
              <w:left w:w="20" w:type="dxa"/>
              <w:bottom w:w="30" w:type="dxa"/>
              <w:right w:w="20" w:type="dxa"/>
            </w:tcMar>
            <w:hideMark/>
          </w:tcPr>
          <w:p w14:paraId="26FF2556" w14:textId="77777777" w:rsidR="00000000" w:rsidRDefault="00A173A8">
            <w:pPr>
              <w:spacing w:after="100"/>
              <w:jc w:val="center"/>
              <w:rPr>
                <w:rFonts w:eastAsia="Times New Roman"/>
              </w:rPr>
            </w:pPr>
            <w:r>
              <w:rPr>
                <w:rFonts w:eastAsia="Times New Roman"/>
                <w:color w:val="000000"/>
                <w:sz w:val="17"/>
                <w:szCs w:val="17"/>
              </w:rPr>
              <w:t>31.1*</w:t>
            </w:r>
          </w:p>
        </w:tc>
        <w:tc>
          <w:tcPr>
            <w:tcW w:w="0" w:type="auto"/>
            <w:gridSpan w:val="3"/>
            <w:tcMar>
              <w:top w:w="0" w:type="dxa"/>
              <w:left w:w="20" w:type="dxa"/>
              <w:bottom w:w="0" w:type="dxa"/>
              <w:right w:w="20" w:type="dxa"/>
            </w:tcMar>
            <w:vAlign w:val="center"/>
            <w:hideMark/>
          </w:tcPr>
          <w:p w14:paraId="25482192"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B3CA2E6" w14:textId="77777777" w:rsidR="00000000" w:rsidRDefault="00A173A8">
            <w:pPr>
              <w:spacing w:after="100"/>
              <w:jc w:val="both"/>
              <w:rPr>
                <w:rFonts w:eastAsia="Times New Roman"/>
              </w:rPr>
            </w:pPr>
            <w:hyperlink r:id="rId7" w:history="1">
              <w:r>
                <w:rPr>
                  <w:rStyle w:val="a3"/>
                  <w:rFonts w:eastAsia="Times New Roman"/>
                  <w:sz w:val="17"/>
                  <w:szCs w:val="17"/>
                </w:rPr>
                <w:t>Certification of Richard D. Fairbank.</w:t>
              </w:r>
            </w:hyperlink>
          </w:p>
        </w:tc>
      </w:tr>
      <w:tr w:rsidR="00000000" w14:paraId="57B03E80" w14:textId="77777777">
        <w:trPr>
          <w:divId w:val="854030046"/>
        </w:trPr>
        <w:tc>
          <w:tcPr>
            <w:tcW w:w="0" w:type="auto"/>
            <w:gridSpan w:val="3"/>
            <w:tcMar>
              <w:top w:w="30" w:type="dxa"/>
              <w:left w:w="20" w:type="dxa"/>
              <w:bottom w:w="30" w:type="dxa"/>
              <w:right w:w="20" w:type="dxa"/>
            </w:tcMar>
            <w:hideMark/>
          </w:tcPr>
          <w:p w14:paraId="451D3826" w14:textId="77777777" w:rsidR="00000000" w:rsidRDefault="00A173A8">
            <w:pPr>
              <w:spacing w:after="100"/>
              <w:jc w:val="center"/>
              <w:rPr>
                <w:rFonts w:eastAsia="Times New Roman"/>
              </w:rPr>
            </w:pPr>
            <w:r>
              <w:rPr>
                <w:rFonts w:eastAsia="Times New Roman"/>
                <w:color w:val="000000"/>
                <w:sz w:val="17"/>
                <w:szCs w:val="17"/>
              </w:rPr>
              <w:t>31.2*</w:t>
            </w:r>
          </w:p>
        </w:tc>
        <w:tc>
          <w:tcPr>
            <w:tcW w:w="0" w:type="auto"/>
            <w:gridSpan w:val="3"/>
            <w:tcMar>
              <w:top w:w="0" w:type="dxa"/>
              <w:left w:w="20" w:type="dxa"/>
              <w:bottom w:w="0" w:type="dxa"/>
              <w:right w:w="20" w:type="dxa"/>
            </w:tcMar>
            <w:vAlign w:val="center"/>
            <w:hideMark/>
          </w:tcPr>
          <w:p w14:paraId="0CFFE239"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F966512" w14:textId="77777777" w:rsidR="00000000" w:rsidRDefault="00A173A8">
            <w:pPr>
              <w:spacing w:after="100"/>
              <w:jc w:val="both"/>
              <w:rPr>
                <w:rFonts w:eastAsia="Times New Roman"/>
              </w:rPr>
            </w:pPr>
            <w:hyperlink r:id="rId8" w:history="1">
              <w:r>
                <w:rPr>
                  <w:rStyle w:val="a3"/>
                  <w:rFonts w:eastAsia="Times New Roman"/>
                  <w:sz w:val="17"/>
                  <w:szCs w:val="17"/>
                </w:rPr>
                <w:t>Certification of Andrew M. Young.</w:t>
              </w:r>
            </w:hyperlink>
          </w:p>
        </w:tc>
      </w:tr>
      <w:tr w:rsidR="00000000" w14:paraId="77F5107F" w14:textId="77777777">
        <w:trPr>
          <w:divId w:val="854030046"/>
        </w:trPr>
        <w:tc>
          <w:tcPr>
            <w:tcW w:w="0" w:type="auto"/>
            <w:gridSpan w:val="3"/>
            <w:tcMar>
              <w:top w:w="30" w:type="dxa"/>
              <w:left w:w="20" w:type="dxa"/>
              <w:bottom w:w="30" w:type="dxa"/>
              <w:right w:w="20" w:type="dxa"/>
            </w:tcMar>
            <w:hideMark/>
          </w:tcPr>
          <w:p w14:paraId="1F5AA1F9" w14:textId="77777777" w:rsidR="00000000" w:rsidRDefault="00A173A8">
            <w:pPr>
              <w:spacing w:after="100"/>
              <w:jc w:val="center"/>
              <w:rPr>
                <w:rFonts w:eastAsia="Times New Roman"/>
              </w:rPr>
            </w:pPr>
            <w:r>
              <w:rPr>
                <w:rFonts w:eastAsia="Times New Roman"/>
                <w:color w:val="000000"/>
                <w:sz w:val="17"/>
                <w:szCs w:val="17"/>
              </w:rPr>
              <w:t>32.1**</w:t>
            </w:r>
          </w:p>
        </w:tc>
        <w:tc>
          <w:tcPr>
            <w:tcW w:w="0" w:type="auto"/>
            <w:gridSpan w:val="3"/>
            <w:tcMar>
              <w:top w:w="0" w:type="dxa"/>
              <w:left w:w="20" w:type="dxa"/>
              <w:bottom w:w="0" w:type="dxa"/>
              <w:right w:w="20" w:type="dxa"/>
            </w:tcMar>
            <w:vAlign w:val="center"/>
            <w:hideMark/>
          </w:tcPr>
          <w:p w14:paraId="73048F64"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0FDE98A" w14:textId="77777777" w:rsidR="00000000" w:rsidRDefault="00A173A8">
            <w:pPr>
              <w:spacing w:after="100"/>
              <w:jc w:val="both"/>
              <w:rPr>
                <w:rFonts w:eastAsia="Times New Roman"/>
              </w:rPr>
            </w:pPr>
            <w:hyperlink r:id="rId9" w:history="1">
              <w:r>
                <w:rPr>
                  <w:rStyle w:val="a3"/>
                  <w:rFonts w:eastAsia="Times New Roman"/>
                  <w:sz w:val="17"/>
                  <w:szCs w:val="17"/>
                </w:rPr>
                <w:t>Certification of Richard D. Fairbank.</w:t>
              </w:r>
            </w:hyperlink>
          </w:p>
        </w:tc>
      </w:tr>
      <w:tr w:rsidR="00000000" w14:paraId="2E03588C" w14:textId="77777777">
        <w:trPr>
          <w:divId w:val="854030046"/>
        </w:trPr>
        <w:tc>
          <w:tcPr>
            <w:tcW w:w="0" w:type="auto"/>
            <w:gridSpan w:val="3"/>
            <w:tcMar>
              <w:top w:w="30" w:type="dxa"/>
              <w:left w:w="20" w:type="dxa"/>
              <w:bottom w:w="30" w:type="dxa"/>
              <w:right w:w="20" w:type="dxa"/>
            </w:tcMar>
            <w:hideMark/>
          </w:tcPr>
          <w:p w14:paraId="0F86CF47" w14:textId="77777777" w:rsidR="00000000" w:rsidRDefault="00A173A8">
            <w:pPr>
              <w:spacing w:after="100"/>
              <w:jc w:val="center"/>
              <w:rPr>
                <w:rFonts w:eastAsia="Times New Roman"/>
              </w:rPr>
            </w:pPr>
            <w:r>
              <w:rPr>
                <w:rFonts w:eastAsia="Times New Roman"/>
                <w:color w:val="000000"/>
                <w:sz w:val="17"/>
                <w:szCs w:val="17"/>
              </w:rPr>
              <w:t>32.2**</w:t>
            </w:r>
          </w:p>
        </w:tc>
        <w:tc>
          <w:tcPr>
            <w:tcW w:w="0" w:type="auto"/>
            <w:gridSpan w:val="3"/>
            <w:tcMar>
              <w:top w:w="0" w:type="dxa"/>
              <w:left w:w="20" w:type="dxa"/>
              <w:bottom w:w="0" w:type="dxa"/>
              <w:right w:w="20" w:type="dxa"/>
            </w:tcMar>
            <w:vAlign w:val="center"/>
            <w:hideMark/>
          </w:tcPr>
          <w:p w14:paraId="41CA8313"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135728" w14:textId="77777777" w:rsidR="00000000" w:rsidRDefault="00A173A8">
            <w:pPr>
              <w:spacing w:after="100"/>
              <w:jc w:val="both"/>
              <w:rPr>
                <w:rFonts w:eastAsia="Times New Roman"/>
              </w:rPr>
            </w:pPr>
            <w:hyperlink r:id="rId10" w:history="1">
              <w:r>
                <w:rPr>
                  <w:rStyle w:val="a3"/>
                  <w:rFonts w:eastAsia="Times New Roman"/>
                  <w:sz w:val="17"/>
                  <w:szCs w:val="17"/>
                </w:rPr>
                <w:t>Certification of Andrew M. Young.</w:t>
              </w:r>
            </w:hyperlink>
          </w:p>
        </w:tc>
      </w:tr>
      <w:tr w:rsidR="00000000" w14:paraId="53038A28" w14:textId="77777777">
        <w:trPr>
          <w:divId w:val="854030046"/>
        </w:trPr>
        <w:tc>
          <w:tcPr>
            <w:tcW w:w="0" w:type="auto"/>
            <w:gridSpan w:val="3"/>
            <w:tcMar>
              <w:top w:w="30" w:type="dxa"/>
              <w:left w:w="20" w:type="dxa"/>
              <w:bottom w:w="30" w:type="dxa"/>
              <w:right w:w="20" w:type="dxa"/>
            </w:tcMar>
            <w:hideMark/>
          </w:tcPr>
          <w:p w14:paraId="5168C37B" w14:textId="77777777" w:rsidR="00000000" w:rsidRDefault="00A173A8">
            <w:pPr>
              <w:spacing w:after="100"/>
              <w:jc w:val="center"/>
              <w:rPr>
                <w:rFonts w:eastAsia="Times New Roman"/>
              </w:rPr>
            </w:pPr>
            <w:r>
              <w:rPr>
                <w:rFonts w:eastAsia="Times New Roman"/>
                <w:color w:val="000000"/>
                <w:sz w:val="17"/>
                <w:szCs w:val="17"/>
              </w:rPr>
              <w:t>101.INS</w:t>
            </w:r>
          </w:p>
        </w:tc>
        <w:tc>
          <w:tcPr>
            <w:tcW w:w="0" w:type="auto"/>
            <w:gridSpan w:val="3"/>
            <w:tcMar>
              <w:top w:w="0" w:type="dxa"/>
              <w:left w:w="20" w:type="dxa"/>
              <w:bottom w:w="0" w:type="dxa"/>
              <w:right w:w="20" w:type="dxa"/>
            </w:tcMar>
            <w:vAlign w:val="center"/>
            <w:hideMark/>
          </w:tcPr>
          <w:p w14:paraId="3B20309B"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CF58BDD" w14:textId="77777777" w:rsidR="00000000" w:rsidRDefault="00A173A8">
            <w:pPr>
              <w:spacing w:after="100"/>
              <w:jc w:val="both"/>
              <w:rPr>
                <w:rFonts w:eastAsia="Times New Roman"/>
              </w:rPr>
            </w:pPr>
            <w:r>
              <w:rPr>
                <w:rFonts w:eastAsia="Times New Roman"/>
                <w:color w:val="000000"/>
                <w:sz w:val="17"/>
                <w:szCs w:val="17"/>
              </w:rPr>
              <w:t>XBRL Instance Document - the instance document does not appear in the Interactive Data File because its XBRL tags are embedded within the Inline XBRL document.</w:t>
            </w:r>
          </w:p>
        </w:tc>
      </w:tr>
      <w:tr w:rsidR="00000000" w14:paraId="52AC1FB2" w14:textId="77777777">
        <w:trPr>
          <w:divId w:val="854030046"/>
        </w:trPr>
        <w:tc>
          <w:tcPr>
            <w:tcW w:w="0" w:type="auto"/>
            <w:gridSpan w:val="3"/>
            <w:tcMar>
              <w:top w:w="30" w:type="dxa"/>
              <w:left w:w="20" w:type="dxa"/>
              <w:bottom w:w="30" w:type="dxa"/>
              <w:right w:w="20" w:type="dxa"/>
            </w:tcMar>
            <w:hideMark/>
          </w:tcPr>
          <w:p w14:paraId="49D7F773" w14:textId="77777777" w:rsidR="00000000" w:rsidRDefault="00A173A8">
            <w:pPr>
              <w:spacing w:after="100"/>
              <w:jc w:val="center"/>
              <w:rPr>
                <w:rFonts w:eastAsia="Times New Roman"/>
              </w:rPr>
            </w:pPr>
            <w:r>
              <w:rPr>
                <w:rFonts w:eastAsia="Times New Roman"/>
                <w:color w:val="000000"/>
                <w:sz w:val="17"/>
                <w:szCs w:val="17"/>
              </w:rPr>
              <w:t>101.SCH*</w:t>
            </w:r>
          </w:p>
        </w:tc>
        <w:tc>
          <w:tcPr>
            <w:tcW w:w="0" w:type="auto"/>
            <w:gridSpan w:val="3"/>
            <w:tcMar>
              <w:top w:w="0" w:type="dxa"/>
              <w:left w:w="20" w:type="dxa"/>
              <w:bottom w:w="0" w:type="dxa"/>
              <w:right w:w="20" w:type="dxa"/>
            </w:tcMar>
            <w:vAlign w:val="center"/>
            <w:hideMark/>
          </w:tcPr>
          <w:p w14:paraId="7D3CC539"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6722BB" w14:textId="77777777" w:rsidR="00000000" w:rsidRDefault="00A173A8">
            <w:pPr>
              <w:spacing w:after="100"/>
              <w:jc w:val="both"/>
              <w:rPr>
                <w:rFonts w:eastAsia="Times New Roman"/>
              </w:rPr>
            </w:pPr>
            <w:r>
              <w:rPr>
                <w:rFonts w:eastAsia="Times New Roman"/>
                <w:color w:val="000000"/>
                <w:sz w:val="17"/>
                <w:szCs w:val="17"/>
              </w:rPr>
              <w:t>Inline XBRL Taxonomy Extension Schema Document.</w:t>
            </w:r>
          </w:p>
        </w:tc>
      </w:tr>
      <w:tr w:rsidR="00000000" w14:paraId="13495EF0" w14:textId="77777777">
        <w:trPr>
          <w:divId w:val="854030046"/>
        </w:trPr>
        <w:tc>
          <w:tcPr>
            <w:tcW w:w="0" w:type="auto"/>
            <w:gridSpan w:val="3"/>
            <w:tcMar>
              <w:top w:w="30" w:type="dxa"/>
              <w:left w:w="20" w:type="dxa"/>
              <w:bottom w:w="30" w:type="dxa"/>
              <w:right w:w="20" w:type="dxa"/>
            </w:tcMar>
            <w:hideMark/>
          </w:tcPr>
          <w:p w14:paraId="3048DF9C" w14:textId="77777777" w:rsidR="00000000" w:rsidRDefault="00A173A8">
            <w:pPr>
              <w:spacing w:after="100"/>
              <w:jc w:val="center"/>
              <w:rPr>
                <w:rFonts w:eastAsia="Times New Roman"/>
              </w:rPr>
            </w:pPr>
            <w:r>
              <w:rPr>
                <w:rFonts w:eastAsia="Times New Roman"/>
                <w:color w:val="000000"/>
                <w:sz w:val="17"/>
                <w:szCs w:val="17"/>
              </w:rPr>
              <w:t>101.CAL*</w:t>
            </w:r>
          </w:p>
        </w:tc>
        <w:tc>
          <w:tcPr>
            <w:tcW w:w="0" w:type="auto"/>
            <w:gridSpan w:val="3"/>
            <w:tcMar>
              <w:top w:w="0" w:type="dxa"/>
              <w:left w:w="20" w:type="dxa"/>
              <w:bottom w:w="0" w:type="dxa"/>
              <w:right w:w="20" w:type="dxa"/>
            </w:tcMar>
            <w:vAlign w:val="center"/>
            <w:hideMark/>
          </w:tcPr>
          <w:p w14:paraId="76B72562"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2205E7" w14:textId="77777777" w:rsidR="00000000" w:rsidRDefault="00A173A8">
            <w:pPr>
              <w:spacing w:after="100"/>
              <w:jc w:val="both"/>
              <w:rPr>
                <w:rFonts w:eastAsia="Times New Roman"/>
              </w:rPr>
            </w:pPr>
            <w:r>
              <w:rPr>
                <w:rFonts w:eastAsia="Times New Roman"/>
                <w:color w:val="000000"/>
                <w:sz w:val="17"/>
                <w:szCs w:val="17"/>
              </w:rPr>
              <w:t>Inline XBRL Taxonomy Extension Calculation Linkbase Document.</w:t>
            </w:r>
          </w:p>
        </w:tc>
      </w:tr>
      <w:tr w:rsidR="00000000" w14:paraId="31F42402" w14:textId="77777777">
        <w:trPr>
          <w:divId w:val="854030046"/>
        </w:trPr>
        <w:tc>
          <w:tcPr>
            <w:tcW w:w="0" w:type="auto"/>
            <w:gridSpan w:val="3"/>
            <w:tcMar>
              <w:top w:w="30" w:type="dxa"/>
              <w:left w:w="20" w:type="dxa"/>
              <w:bottom w:w="30" w:type="dxa"/>
              <w:right w:w="20" w:type="dxa"/>
            </w:tcMar>
            <w:hideMark/>
          </w:tcPr>
          <w:p w14:paraId="00CBE5F2" w14:textId="77777777" w:rsidR="00000000" w:rsidRDefault="00A173A8">
            <w:pPr>
              <w:spacing w:after="100"/>
              <w:jc w:val="center"/>
              <w:rPr>
                <w:rFonts w:eastAsia="Times New Roman"/>
              </w:rPr>
            </w:pPr>
            <w:r>
              <w:rPr>
                <w:rFonts w:eastAsia="Times New Roman"/>
                <w:color w:val="000000"/>
                <w:sz w:val="17"/>
                <w:szCs w:val="17"/>
              </w:rPr>
              <w:t>101.DEF*</w:t>
            </w:r>
          </w:p>
        </w:tc>
        <w:tc>
          <w:tcPr>
            <w:tcW w:w="0" w:type="auto"/>
            <w:gridSpan w:val="3"/>
            <w:tcMar>
              <w:top w:w="0" w:type="dxa"/>
              <w:left w:w="20" w:type="dxa"/>
              <w:bottom w:w="0" w:type="dxa"/>
              <w:right w:w="20" w:type="dxa"/>
            </w:tcMar>
            <w:vAlign w:val="center"/>
            <w:hideMark/>
          </w:tcPr>
          <w:p w14:paraId="294136B4"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5DC5D4D" w14:textId="77777777" w:rsidR="00000000" w:rsidRDefault="00A173A8">
            <w:pPr>
              <w:spacing w:after="100"/>
              <w:jc w:val="both"/>
              <w:rPr>
                <w:rFonts w:eastAsia="Times New Roman"/>
              </w:rPr>
            </w:pPr>
            <w:r>
              <w:rPr>
                <w:rFonts w:eastAsia="Times New Roman"/>
                <w:color w:val="000000"/>
                <w:sz w:val="17"/>
                <w:szCs w:val="17"/>
              </w:rPr>
              <w:t>Inline XBRL Taxonomy Extension Definition Linkbase Document.</w:t>
            </w:r>
          </w:p>
        </w:tc>
      </w:tr>
      <w:tr w:rsidR="00000000" w14:paraId="5C3E726C" w14:textId="77777777">
        <w:trPr>
          <w:divId w:val="854030046"/>
        </w:trPr>
        <w:tc>
          <w:tcPr>
            <w:tcW w:w="0" w:type="auto"/>
            <w:gridSpan w:val="3"/>
            <w:tcMar>
              <w:top w:w="30" w:type="dxa"/>
              <w:left w:w="20" w:type="dxa"/>
              <w:bottom w:w="30" w:type="dxa"/>
              <w:right w:w="20" w:type="dxa"/>
            </w:tcMar>
            <w:hideMark/>
          </w:tcPr>
          <w:p w14:paraId="7E163864" w14:textId="77777777" w:rsidR="00000000" w:rsidRDefault="00A173A8">
            <w:pPr>
              <w:spacing w:after="100"/>
              <w:jc w:val="center"/>
              <w:rPr>
                <w:rFonts w:eastAsia="Times New Roman"/>
              </w:rPr>
            </w:pPr>
            <w:r>
              <w:rPr>
                <w:rFonts w:eastAsia="Times New Roman"/>
                <w:color w:val="000000"/>
                <w:sz w:val="17"/>
                <w:szCs w:val="17"/>
              </w:rPr>
              <w:t>101.LAB*</w:t>
            </w:r>
          </w:p>
        </w:tc>
        <w:tc>
          <w:tcPr>
            <w:tcW w:w="0" w:type="auto"/>
            <w:gridSpan w:val="3"/>
            <w:tcMar>
              <w:top w:w="0" w:type="dxa"/>
              <w:left w:w="20" w:type="dxa"/>
              <w:bottom w:w="0" w:type="dxa"/>
              <w:right w:w="20" w:type="dxa"/>
            </w:tcMar>
            <w:vAlign w:val="center"/>
            <w:hideMark/>
          </w:tcPr>
          <w:p w14:paraId="357E4219"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BA96F8" w14:textId="77777777" w:rsidR="00000000" w:rsidRDefault="00A173A8">
            <w:pPr>
              <w:spacing w:after="100"/>
              <w:jc w:val="both"/>
              <w:rPr>
                <w:rFonts w:eastAsia="Times New Roman"/>
              </w:rPr>
            </w:pPr>
            <w:r>
              <w:rPr>
                <w:rFonts w:eastAsia="Times New Roman"/>
                <w:color w:val="000000"/>
                <w:sz w:val="17"/>
                <w:szCs w:val="17"/>
              </w:rPr>
              <w:t>Inline XBRL Taxonomy Extension Label Linkbase Document.</w:t>
            </w:r>
          </w:p>
        </w:tc>
      </w:tr>
      <w:tr w:rsidR="00000000" w14:paraId="56F56670" w14:textId="77777777">
        <w:trPr>
          <w:divId w:val="854030046"/>
        </w:trPr>
        <w:tc>
          <w:tcPr>
            <w:tcW w:w="0" w:type="auto"/>
            <w:gridSpan w:val="3"/>
            <w:tcMar>
              <w:top w:w="30" w:type="dxa"/>
              <w:left w:w="20" w:type="dxa"/>
              <w:bottom w:w="30" w:type="dxa"/>
              <w:right w:w="20" w:type="dxa"/>
            </w:tcMar>
            <w:hideMark/>
          </w:tcPr>
          <w:p w14:paraId="62B87A44" w14:textId="77777777" w:rsidR="00000000" w:rsidRDefault="00A173A8">
            <w:pPr>
              <w:spacing w:after="100"/>
              <w:jc w:val="center"/>
              <w:rPr>
                <w:rFonts w:eastAsia="Times New Roman"/>
              </w:rPr>
            </w:pPr>
            <w:r>
              <w:rPr>
                <w:rFonts w:eastAsia="Times New Roman"/>
                <w:color w:val="000000"/>
                <w:sz w:val="17"/>
                <w:szCs w:val="17"/>
              </w:rPr>
              <w:t>101.PRE*</w:t>
            </w:r>
          </w:p>
        </w:tc>
        <w:tc>
          <w:tcPr>
            <w:tcW w:w="0" w:type="auto"/>
            <w:gridSpan w:val="3"/>
            <w:tcMar>
              <w:top w:w="0" w:type="dxa"/>
              <w:left w:w="20" w:type="dxa"/>
              <w:bottom w:w="0" w:type="dxa"/>
              <w:right w:w="20" w:type="dxa"/>
            </w:tcMar>
            <w:vAlign w:val="center"/>
            <w:hideMark/>
          </w:tcPr>
          <w:p w14:paraId="5A376528"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A30A34C" w14:textId="77777777" w:rsidR="00000000" w:rsidRDefault="00A173A8">
            <w:pPr>
              <w:spacing w:after="100"/>
              <w:jc w:val="both"/>
              <w:rPr>
                <w:rFonts w:eastAsia="Times New Roman"/>
              </w:rPr>
            </w:pPr>
            <w:r>
              <w:rPr>
                <w:rFonts w:eastAsia="Times New Roman"/>
                <w:color w:val="000000"/>
                <w:sz w:val="17"/>
                <w:szCs w:val="17"/>
              </w:rPr>
              <w:t>Inline XBRL Taxonomy Extension Presentation Linkbase Document.</w:t>
            </w:r>
          </w:p>
        </w:tc>
      </w:tr>
      <w:tr w:rsidR="00000000" w14:paraId="18F55396" w14:textId="77777777">
        <w:trPr>
          <w:divId w:val="854030046"/>
        </w:trPr>
        <w:tc>
          <w:tcPr>
            <w:tcW w:w="0" w:type="auto"/>
            <w:gridSpan w:val="3"/>
            <w:tcMar>
              <w:top w:w="30" w:type="dxa"/>
              <w:left w:w="20" w:type="dxa"/>
              <w:bottom w:w="30" w:type="dxa"/>
              <w:right w:w="20" w:type="dxa"/>
            </w:tcMar>
            <w:hideMark/>
          </w:tcPr>
          <w:p w14:paraId="1F67A9A3" w14:textId="77777777" w:rsidR="00000000" w:rsidRDefault="00A173A8">
            <w:pPr>
              <w:spacing w:after="100"/>
              <w:jc w:val="center"/>
              <w:rPr>
                <w:rFonts w:eastAsia="Times New Roman"/>
              </w:rPr>
            </w:pPr>
            <w:r>
              <w:rPr>
                <w:rFonts w:eastAsia="Times New Roman"/>
                <w:color w:val="000000"/>
                <w:sz w:val="17"/>
                <w:szCs w:val="17"/>
              </w:rPr>
              <w:t>104</w:t>
            </w:r>
          </w:p>
        </w:tc>
        <w:tc>
          <w:tcPr>
            <w:tcW w:w="0" w:type="auto"/>
            <w:gridSpan w:val="3"/>
            <w:tcMar>
              <w:top w:w="0" w:type="dxa"/>
              <w:left w:w="20" w:type="dxa"/>
              <w:bottom w:w="0" w:type="dxa"/>
              <w:right w:w="20" w:type="dxa"/>
            </w:tcMar>
            <w:vAlign w:val="center"/>
            <w:hideMark/>
          </w:tcPr>
          <w:p w14:paraId="66E3889C" w14:textId="77777777" w:rsidR="00000000" w:rsidRDefault="00A173A8">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1FCC3EE" w14:textId="77777777" w:rsidR="00000000" w:rsidRDefault="00A173A8">
            <w:pPr>
              <w:spacing w:after="100"/>
              <w:jc w:val="both"/>
              <w:rPr>
                <w:rFonts w:eastAsia="Times New Roman"/>
              </w:rPr>
            </w:pPr>
            <w:r>
              <w:rPr>
                <w:rFonts w:eastAsia="Times New Roman"/>
                <w:color w:val="000000"/>
                <w:sz w:val="17"/>
                <w:szCs w:val="17"/>
              </w:rPr>
              <w:t>The cover page of Capital One Financial Corporation’</w:t>
            </w:r>
            <w:r>
              <w:rPr>
                <w:rFonts w:eastAsia="Times New Roman"/>
                <w:color w:val="000000"/>
                <w:sz w:val="17"/>
                <w:szCs w:val="17"/>
              </w:rPr>
              <w:t>s Quarterly Report on Form 10-Q for the quarter ended June 30, 2022, formatted in Inline XBRL (included within the Exhibit 101 attachments).</w:t>
            </w:r>
          </w:p>
        </w:tc>
      </w:tr>
    </w:tbl>
    <w:p w14:paraId="169457F8" w14:textId="77777777" w:rsidR="00000000" w:rsidRDefault="00A173A8">
      <w:pPr>
        <w:divId w:val="854030046"/>
        <w:rPr>
          <w:rFonts w:eastAsia="Times New Roman"/>
        </w:rPr>
      </w:pPr>
      <w:r>
        <w:rPr>
          <w:rFonts w:eastAsia="Times New Roman"/>
          <w:color w:val="000000"/>
          <w:sz w:val="20"/>
          <w:szCs w:val="20"/>
          <w:shd w:val="clear" w:color="auto" w:fill="FFFFFF"/>
        </w:rPr>
        <w:t>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197"/>
        <w:gridCol w:w="36"/>
        <w:gridCol w:w="69"/>
        <w:gridCol w:w="7899"/>
        <w:gridCol w:w="36"/>
      </w:tblGrid>
      <w:tr w:rsidR="00000000" w14:paraId="68C6B2AC" w14:textId="77777777">
        <w:trPr>
          <w:divId w:val="236520531"/>
        </w:trPr>
        <w:tc>
          <w:tcPr>
            <w:tcW w:w="50" w:type="pct"/>
            <w:vAlign w:val="center"/>
            <w:hideMark/>
          </w:tcPr>
          <w:p w14:paraId="53FF7A97" w14:textId="77777777" w:rsidR="00000000" w:rsidRDefault="00A173A8">
            <w:pPr>
              <w:rPr>
                <w:rFonts w:eastAsia="Times New Roman"/>
              </w:rPr>
            </w:pPr>
          </w:p>
        </w:tc>
        <w:tc>
          <w:tcPr>
            <w:tcW w:w="127" w:type="pct"/>
            <w:vAlign w:val="center"/>
            <w:hideMark/>
          </w:tcPr>
          <w:p w14:paraId="0B0EE739" w14:textId="77777777" w:rsidR="00000000" w:rsidRDefault="00A173A8">
            <w:pPr>
              <w:spacing w:after="100"/>
              <w:rPr>
                <w:rFonts w:eastAsia="Times New Roman"/>
                <w:sz w:val="20"/>
                <w:szCs w:val="20"/>
              </w:rPr>
            </w:pPr>
          </w:p>
        </w:tc>
        <w:tc>
          <w:tcPr>
            <w:tcW w:w="5" w:type="pct"/>
            <w:vAlign w:val="center"/>
            <w:hideMark/>
          </w:tcPr>
          <w:p w14:paraId="55C92C8E" w14:textId="77777777" w:rsidR="00000000" w:rsidRDefault="00A173A8">
            <w:pPr>
              <w:spacing w:after="100"/>
              <w:rPr>
                <w:rFonts w:eastAsia="Times New Roman"/>
                <w:sz w:val="20"/>
                <w:szCs w:val="20"/>
              </w:rPr>
            </w:pPr>
          </w:p>
        </w:tc>
        <w:tc>
          <w:tcPr>
            <w:tcW w:w="50" w:type="pct"/>
            <w:vAlign w:val="center"/>
            <w:hideMark/>
          </w:tcPr>
          <w:p w14:paraId="21BF1BEE" w14:textId="77777777" w:rsidR="00000000" w:rsidRDefault="00A173A8">
            <w:pPr>
              <w:spacing w:after="100"/>
              <w:rPr>
                <w:rFonts w:eastAsia="Times New Roman"/>
                <w:sz w:val="20"/>
                <w:szCs w:val="20"/>
              </w:rPr>
            </w:pPr>
          </w:p>
        </w:tc>
        <w:tc>
          <w:tcPr>
            <w:tcW w:w="4762" w:type="pct"/>
            <w:vAlign w:val="center"/>
            <w:hideMark/>
          </w:tcPr>
          <w:p w14:paraId="3B9F32DB" w14:textId="77777777" w:rsidR="00000000" w:rsidRDefault="00A173A8">
            <w:pPr>
              <w:spacing w:after="100"/>
              <w:rPr>
                <w:rFonts w:eastAsia="Times New Roman"/>
                <w:sz w:val="20"/>
                <w:szCs w:val="20"/>
              </w:rPr>
            </w:pPr>
          </w:p>
        </w:tc>
        <w:tc>
          <w:tcPr>
            <w:tcW w:w="5" w:type="pct"/>
            <w:vAlign w:val="center"/>
            <w:hideMark/>
          </w:tcPr>
          <w:p w14:paraId="656EDAA4" w14:textId="77777777" w:rsidR="00000000" w:rsidRDefault="00A173A8">
            <w:pPr>
              <w:spacing w:after="100"/>
              <w:rPr>
                <w:rFonts w:eastAsia="Times New Roman"/>
                <w:sz w:val="20"/>
                <w:szCs w:val="20"/>
              </w:rPr>
            </w:pPr>
          </w:p>
        </w:tc>
      </w:tr>
      <w:tr w:rsidR="00000000" w14:paraId="476774CD" w14:textId="77777777">
        <w:trPr>
          <w:divId w:val="236520531"/>
        </w:trPr>
        <w:tc>
          <w:tcPr>
            <w:tcW w:w="0" w:type="auto"/>
            <w:gridSpan w:val="3"/>
            <w:vAlign w:val="center"/>
            <w:hideMark/>
          </w:tcPr>
          <w:p w14:paraId="29C15C4F" w14:textId="77777777" w:rsidR="00000000" w:rsidRDefault="00A173A8">
            <w:pPr>
              <w:spacing w:after="100"/>
              <w:rPr>
                <w:rFonts w:eastAsia="Times New Roman"/>
                <w:sz w:val="20"/>
                <w:szCs w:val="20"/>
              </w:rPr>
            </w:pPr>
          </w:p>
        </w:tc>
        <w:tc>
          <w:tcPr>
            <w:tcW w:w="0" w:type="auto"/>
            <w:gridSpan w:val="3"/>
            <w:vAlign w:val="center"/>
            <w:hideMark/>
          </w:tcPr>
          <w:p w14:paraId="79FF04C8" w14:textId="77777777" w:rsidR="00000000" w:rsidRDefault="00A173A8">
            <w:pPr>
              <w:spacing w:after="100"/>
              <w:rPr>
                <w:rFonts w:eastAsia="Times New Roman"/>
                <w:sz w:val="20"/>
                <w:szCs w:val="20"/>
              </w:rPr>
            </w:pPr>
          </w:p>
        </w:tc>
      </w:tr>
      <w:tr w:rsidR="00000000" w14:paraId="5D71DB48" w14:textId="77777777">
        <w:trPr>
          <w:divId w:val="236520531"/>
        </w:trPr>
        <w:tc>
          <w:tcPr>
            <w:tcW w:w="0" w:type="auto"/>
            <w:gridSpan w:val="3"/>
            <w:shd w:val="clear" w:color="auto" w:fill="FFFFFF"/>
            <w:tcMar>
              <w:top w:w="30" w:type="dxa"/>
              <w:left w:w="20" w:type="dxa"/>
              <w:bottom w:w="30" w:type="dxa"/>
              <w:right w:w="20" w:type="dxa"/>
            </w:tcMar>
            <w:hideMark/>
          </w:tcPr>
          <w:p w14:paraId="66F8B7F5" w14:textId="77777777" w:rsidR="00000000" w:rsidRDefault="00A173A8">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14:paraId="6EB629E3" w14:textId="77777777" w:rsidR="00000000" w:rsidRDefault="00A173A8">
            <w:pPr>
              <w:spacing w:after="100"/>
              <w:jc w:val="both"/>
              <w:rPr>
                <w:rFonts w:eastAsia="Times New Roman"/>
              </w:rPr>
            </w:pPr>
            <w:r>
              <w:rPr>
                <w:rFonts w:eastAsia="Times New Roman"/>
                <w:color w:val="000000"/>
                <w:sz w:val="16"/>
                <w:szCs w:val="16"/>
              </w:rPr>
              <w:t>Represents a management contract or compensatory plan or arrangement.</w:t>
            </w:r>
          </w:p>
        </w:tc>
      </w:tr>
      <w:tr w:rsidR="00000000" w14:paraId="38EFA70D" w14:textId="77777777">
        <w:trPr>
          <w:divId w:val="236520531"/>
        </w:trPr>
        <w:tc>
          <w:tcPr>
            <w:tcW w:w="0" w:type="auto"/>
            <w:gridSpan w:val="3"/>
            <w:shd w:val="clear" w:color="auto" w:fill="FFFFFF"/>
            <w:tcMar>
              <w:top w:w="30" w:type="dxa"/>
              <w:left w:w="20" w:type="dxa"/>
              <w:bottom w:w="30" w:type="dxa"/>
              <w:right w:w="20" w:type="dxa"/>
            </w:tcMar>
            <w:hideMark/>
          </w:tcPr>
          <w:p w14:paraId="73F62FB2" w14:textId="77777777" w:rsidR="00000000" w:rsidRDefault="00A173A8">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14:paraId="4690B800" w14:textId="77777777" w:rsidR="00000000" w:rsidRDefault="00A173A8">
            <w:pPr>
              <w:spacing w:after="100"/>
              <w:jc w:val="both"/>
              <w:rPr>
                <w:rFonts w:eastAsia="Times New Roman"/>
              </w:rPr>
            </w:pPr>
            <w:r>
              <w:rPr>
                <w:rFonts w:eastAsia="Times New Roman"/>
                <w:color w:val="000000"/>
                <w:sz w:val="16"/>
                <w:szCs w:val="16"/>
              </w:rPr>
              <w:t>Indicates a document being filed with this Form 10-Q.</w:t>
            </w:r>
          </w:p>
        </w:tc>
      </w:tr>
      <w:tr w:rsidR="00000000" w14:paraId="03138F9B" w14:textId="77777777">
        <w:trPr>
          <w:divId w:val="236520531"/>
        </w:trPr>
        <w:tc>
          <w:tcPr>
            <w:tcW w:w="0" w:type="auto"/>
            <w:gridSpan w:val="3"/>
            <w:shd w:val="clear" w:color="auto" w:fill="FFFFFF"/>
            <w:tcMar>
              <w:top w:w="30" w:type="dxa"/>
              <w:left w:w="20" w:type="dxa"/>
              <w:bottom w:w="30" w:type="dxa"/>
              <w:right w:w="20" w:type="dxa"/>
            </w:tcMar>
            <w:hideMark/>
          </w:tcPr>
          <w:p w14:paraId="5CE86966" w14:textId="77777777" w:rsidR="00000000" w:rsidRDefault="00A173A8">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20" w:type="dxa"/>
              <w:bottom w:w="30" w:type="dxa"/>
              <w:right w:w="20" w:type="dxa"/>
            </w:tcMar>
            <w:vAlign w:val="bottom"/>
            <w:hideMark/>
          </w:tcPr>
          <w:p w14:paraId="5B20596D" w14:textId="77777777" w:rsidR="00000000" w:rsidRDefault="00A173A8">
            <w:pPr>
              <w:spacing w:after="100"/>
              <w:jc w:val="both"/>
              <w:rPr>
                <w:rFonts w:eastAsia="Times New Roman"/>
              </w:rPr>
            </w:pPr>
            <w:r>
              <w:rPr>
                <w:rFonts w:eastAsia="Times New Roman"/>
                <w:color w:val="000000"/>
                <w:sz w:val="16"/>
                <w:szCs w:val="16"/>
              </w:rPr>
              <w:t>Indicates a document being furnished with this Form 10-Q. Information in this Form 10-Q furnished herewith shall not be deemed to be “filed” for the purposes of Section 18 of the Securities Exchange Act of 1934 or otherwise subject to the liabilities of th</w:t>
            </w:r>
            <w:r>
              <w:rPr>
                <w:rFonts w:eastAsia="Times New Roman"/>
                <w:color w:val="000000"/>
                <w:sz w:val="16"/>
                <w:szCs w:val="16"/>
              </w:rPr>
              <w:t>at Section. Such exhibit shall not be deemed incorporated by reference into any filing under the Securities Act of 1933 or the Securities Exchange Act of 1934.</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14:paraId="6436C6E1" w14:textId="77777777">
        <w:trPr>
          <w:jc w:val="center"/>
        </w:trPr>
        <w:tc>
          <w:tcPr>
            <w:tcW w:w="50" w:type="pct"/>
            <w:vAlign w:val="center"/>
            <w:hideMark/>
          </w:tcPr>
          <w:p w14:paraId="2078DB18" w14:textId="77777777" w:rsidR="00000000" w:rsidRDefault="00A173A8">
            <w:pPr>
              <w:ind w:hanging="360"/>
              <w:jc w:val="both"/>
              <w:rPr>
                <w:rFonts w:eastAsia="Times New Roman"/>
              </w:rPr>
            </w:pPr>
          </w:p>
        </w:tc>
        <w:tc>
          <w:tcPr>
            <w:tcW w:w="1606" w:type="pct"/>
            <w:vAlign w:val="center"/>
            <w:hideMark/>
          </w:tcPr>
          <w:p w14:paraId="5779DA85" w14:textId="77777777" w:rsidR="00000000" w:rsidRDefault="00A173A8">
            <w:pPr>
              <w:spacing w:after="100"/>
              <w:rPr>
                <w:rFonts w:eastAsia="Times New Roman"/>
                <w:sz w:val="20"/>
                <w:szCs w:val="20"/>
              </w:rPr>
            </w:pPr>
          </w:p>
        </w:tc>
        <w:tc>
          <w:tcPr>
            <w:tcW w:w="5" w:type="pct"/>
            <w:vAlign w:val="center"/>
            <w:hideMark/>
          </w:tcPr>
          <w:p w14:paraId="78C11700" w14:textId="77777777" w:rsidR="00000000" w:rsidRDefault="00A173A8">
            <w:pPr>
              <w:spacing w:after="100"/>
              <w:rPr>
                <w:rFonts w:eastAsia="Times New Roman"/>
                <w:sz w:val="20"/>
                <w:szCs w:val="20"/>
              </w:rPr>
            </w:pPr>
          </w:p>
        </w:tc>
        <w:tc>
          <w:tcPr>
            <w:tcW w:w="50" w:type="pct"/>
            <w:vAlign w:val="center"/>
            <w:hideMark/>
          </w:tcPr>
          <w:p w14:paraId="229C506A" w14:textId="77777777" w:rsidR="00000000" w:rsidRDefault="00A173A8">
            <w:pPr>
              <w:spacing w:after="100"/>
              <w:rPr>
                <w:rFonts w:eastAsia="Times New Roman"/>
                <w:sz w:val="20"/>
                <w:szCs w:val="20"/>
              </w:rPr>
            </w:pPr>
          </w:p>
        </w:tc>
        <w:tc>
          <w:tcPr>
            <w:tcW w:w="1614" w:type="pct"/>
            <w:vAlign w:val="center"/>
            <w:hideMark/>
          </w:tcPr>
          <w:p w14:paraId="61C5BE42" w14:textId="77777777" w:rsidR="00000000" w:rsidRDefault="00A173A8">
            <w:pPr>
              <w:spacing w:after="100"/>
              <w:rPr>
                <w:rFonts w:eastAsia="Times New Roman"/>
                <w:sz w:val="20"/>
                <w:szCs w:val="20"/>
              </w:rPr>
            </w:pPr>
          </w:p>
        </w:tc>
        <w:tc>
          <w:tcPr>
            <w:tcW w:w="5" w:type="pct"/>
            <w:vAlign w:val="center"/>
            <w:hideMark/>
          </w:tcPr>
          <w:p w14:paraId="7A20DC50" w14:textId="77777777" w:rsidR="00000000" w:rsidRDefault="00A173A8">
            <w:pPr>
              <w:spacing w:after="100"/>
              <w:rPr>
                <w:rFonts w:eastAsia="Times New Roman"/>
                <w:sz w:val="20"/>
                <w:szCs w:val="20"/>
              </w:rPr>
            </w:pPr>
          </w:p>
        </w:tc>
        <w:tc>
          <w:tcPr>
            <w:tcW w:w="50" w:type="pct"/>
            <w:vAlign w:val="center"/>
            <w:hideMark/>
          </w:tcPr>
          <w:p w14:paraId="59B0F04F" w14:textId="77777777" w:rsidR="00000000" w:rsidRDefault="00A173A8">
            <w:pPr>
              <w:spacing w:after="100"/>
              <w:rPr>
                <w:rFonts w:eastAsia="Times New Roman"/>
                <w:sz w:val="20"/>
                <w:szCs w:val="20"/>
              </w:rPr>
            </w:pPr>
          </w:p>
        </w:tc>
        <w:tc>
          <w:tcPr>
            <w:tcW w:w="1614" w:type="pct"/>
            <w:vAlign w:val="center"/>
            <w:hideMark/>
          </w:tcPr>
          <w:p w14:paraId="73FFDB4A" w14:textId="77777777" w:rsidR="00000000" w:rsidRDefault="00A173A8">
            <w:pPr>
              <w:spacing w:after="100"/>
              <w:rPr>
                <w:rFonts w:eastAsia="Times New Roman"/>
                <w:sz w:val="20"/>
                <w:szCs w:val="20"/>
              </w:rPr>
            </w:pPr>
          </w:p>
        </w:tc>
        <w:tc>
          <w:tcPr>
            <w:tcW w:w="5" w:type="pct"/>
            <w:vAlign w:val="center"/>
            <w:hideMark/>
          </w:tcPr>
          <w:p w14:paraId="398CA8DC" w14:textId="77777777" w:rsidR="00000000" w:rsidRDefault="00A173A8">
            <w:pPr>
              <w:spacing w:after="100"/>
              <w:rPr>
                <w:rFonts w:eastAsia="Times New Roman"/>
                <w:sz w:val="20"/>
                <w:szCs w:val="20"/>
              </w:rPr>
            </w:pPr>
          </w:p>
        </w:tc>
      </w:tr>
      <w:tr w:rsidR="00000000" w14:paraId="3DD74188" w14:textId="77777777">
        <w:trPr>
          <w:trHeight w:val="300"/>
          <w:jc w:val="center"/>
        </w:trPr>
        <w:tc>
          <w:tcPr>
            <w:tcW w:w="0" w:type="auto"/>
            <w:gridSpan w:val="9"/>
            <w:tcMar>
              <w:top w:w="0" w:type="dxa"/>
              <w:left w:w="20" w:type="dxa"/>
              <w:bottom w:w="0" w:type="dxa"/>
              <w:right w:w="20" w:type="dxa"/>
            </w:tcMar>
            <w:vAlign w:val="center"/>
            <w:hideMark/>
          </w:tcPr>
          <w:p w14:paraId="2478801B" w14:textId="77777777" w:rsidR="00000000" w:rsidRDefault="00A173A8">
            <w:pPr>
              <w:spacing w:after="100"/>
              <w:rPr>
                <w:rFonts w:eastAsia="Times New Roman"/>
                <w:sz w:val="20"/>
                <w:szCs w:val="20"/>
              </w:rPr>
            </w:pPr>
          </w:p>
        </w:tc>
      </w:tr>
      <w:tr w:rsidR="00000000" w14:paraId="63FE955D" w14:textId="77777777">
        <w:trPr>
          <w:jc w:val="center"/>
        </w:trPr>
        <w:tc>
          <w:tcPr>
            <w:tcW w:w="0" w:type="auto"/>
            <w:gridSpan w:val="3"/>
            <w:tcMar>
              <w:top w:w="0" w:type="dxa"/>
              <w:left w:w="20" w:type="dxa"/>
              <w:bottom w:w="0" w:type="dxa"/>
              <w:right w:w="20" w:type="dxa"/>
            </w:tcMar>
            <w:vAlign w:val="center"/>
            <w:hideMark/>
          </w:tcPr>
          <w:p w14:paraId="05F9E151"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E458AE9" w14:textId="77777777" w:rsidR="00000000" w:rsidRDefault="00A173A8">
            <w:pPr>
              <w:spacing w:after="100"/>
              <w:jc w:val="center"/>
              <w:rPr>
                <w:rFonts w:eastAsia="Times New Roman"/>
              </w:rPr>
            </w:pPr>
            <w:r>
              <w:rPr>
                <w:rFonts w:eastAsia="Times New Roman"/>
                <w:color w:val="000000"/>
                <w:sz w:val="16"/>
                <w:szCs w:val="16"/>
              </w:rPr>
              <w:t>122</w:t>
            </w:r>
          </w:p>
        </w:tc>
        <w:tc>
          <w:tcPr>
            <w:tcW w:w="0" w:type="auto"/>
            <w:gridSpan w:val="3"/>
            <w:tcMar>
              <w:top w:w="30" w:type="dxa"/>
              <w:left w:w="20" w:type="dxa"/>
              <w:bottom w:w="30" w:type="dxa"/>
              <w:right w:w="20" w:type="dxa"/>
            </w:tcMar>
            <w:vAlign w:val="bottom"/>
            <w:hideMark/>
          </w:tcPr>
          <w:p w14:paraId="2CEEE61C"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38B4FEC8" w14:textId="77777777" w:rsidR="00000000" w:rsidRDefault="00A173A8">
      <w:pPr>
        <w:rPr>
          <w:rFonts w:eastAsia="Times New Roman"/>
        </w:rPr>
      </w:pPr>
      <w:r>
        <w:rPr>
          <w:rFonts w:eastAsia="Times New Roman"/>
        </w:rPr>
        <w:pict w14:anchorId="56F63526">
          <v:rect id="_x0000_i1147" style="width:0;height:1.5pt" o:hralign="center" o:hrstd="t" o:hr="t" fillcolor="#a0a0a0" stroked="f"/>
        </w:pict>
      </w:r>
    </w:p>
    <w:p w14:paraId="129F0B03" w14:textId="77777777" w:rsidR="00000000" w:rsidRDefault="00A173A8">
      <w:pPr>
        <w:jc w:val="both"/>
        <w:divId w:val="1005519631"/>
        <w:rPr>
          <w:rFonts w:eastAsia="Times New Roman"/>
        </w:rPr>
      </w:pPr>
      <w:hyperlink w:anchor="i7ffd5d61af6f4722b1b1b07530d51c06_13" w:history="1">
        <w:r>
          <w:rPr>
            <w:rStyle w:val="a3"/>
            <w:rFonts w:eastAsia="Times New Roman"/>
            <w:sz w:val="16"/>
            <w:szCs w:val="16"/>
          </w:rPr>
          <w:t>Table of Contents</w:t>
        </w:r>
      </w:hyperlink>
    </w:p>
    <w:p w14:paraId="7A762915" w14:textId="77777777" w:rsidR="00000000" w:rsidRDefault="00A173A8">
      <w:pPr>
        <w:jc w:val="center"/>
        <w:divId w:val="98451125"/>
        <w:rPr>
          <w:rFonts w:eastAsia="Times New Roman"/>
        </w:rPr>
      </w:pPr>
      <w:r>
        <w:rPr>
          <w:rFonts w:eastAsia="Times New Roman"/>
          <w:b/>
          <w:bCs/>
          <w:color w:val="000000"/>
          <w:sz w:val="20"/>
          <w:szCs w:val="20"/>
        </w:rPr>
        <w:t>SIGNATURES</w:t>
      </w:r>
    </w:p>
    <w:p w14:paraId="22131745" w14:textId="77777777" w:rsidR="00000000" w:rsidRDefault="00A173A8">
      <w:pPr>
        <w:jc w:val="both"/>
        <w:divId w:val="816456524"/>
        <w:rPr>
          <w:rFonts w:eastAsia="Times New Roman"/>
        </w:rPr>
      </w:pPr>
      <w:r>
        <w:rPr>
          <w:rFonts w:eastAsia="Times New Roman"/>
          <w:color w:val="000000"/>
          <w:sz w:val="20"/>
          <w:szCs w:val="20"/>
        </w:rPr>
        <w:t xml:space="preserve">Pursuant to the requirements of the Securities Exchange Act of 1934, the registrant has duly caused this report to be signed on its </w:t>
      </w:r>
      <w:r>
        <w:rPr>
          <w:rFonts w:eastAsia="Times New Roman"/>
          <w:color w:val="000000"/>
          <w:sz w:val="20"/>
          <w:szCs w:val="20"/>
        </w:rPr>
        <w:t>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230"/>
        <w:gridCol w:w="36"/>
        <w:gridCol w:w="64"/>
        <w:gridCol w:w="849"/>
        <w:gridCol w:w="36"/>
        <w:gridCol w:w="77"/>
        <w:gridCol w:w="217"/>
        <w:gridCol w:w="36"/>
        <w:gridCol w:w="36"/>
        <w:gridCol w:w="36"/>
        <w:gridCol w:w="36"/>
        <w:gridCol w:w="43"/>
        <w:gridCol w:w="3510"/>
        <w:gridCol w:w="36"/>
      </w:tblGrid>
      <w:tr w:rsidR="00000000" w14:paraId="474AAA23" w14:textId="77777777">
        <w:trPr>
          <w:divId w:val="142897690"/>
        </w:trPr>
        <w:tc>
          <w:tcPr>
            <w:tcW w:w="50" w:type="pct"/>
            <w:vAlign w:val="center"/>
            <w:hideMark/>
          </w:tcPr>
          <w:p w14:paraId="517089A8" w14:textId="77777777" w:rsidR="00000000" w:rsidRDefault="00A173A8">
            <w:pPr>
              <w:jc w:val="both"/>
              <w:rPr>
                <w:rFonts w:eastAsia="Times New Roman"/>
              </w:rPr>
            </w:pPr>
          </w:p>
        </w:tc>
        <w:tc>
          <w:tcPr>
            <w:tcW w:w="1955" w:type="pct"/>
            <w:vAlign w:val="center"/>
            <w:hideMark/>
          </w:tcPr>
          <w:p w14:paraId="655DD8D5" w14:textId="77777777" w:rsidR="00000000" w:rsidRDefault="00A173A8">
            <w:pPr>
              <w:spacing w:after="100"/>
              <w:rPr>
                <w:rFonts w:eastAsia="Times New Roman"/>
                <w:sz w:val="20"/>
                <w:szCs w:val="20"/>
              </w:rPr>
            </w:pPr>
          </w:p>
        </w:tc>
        <w:tc>
          <w:tcPr>
            <w:tcW w:w="5" w:type="pct"/>
            <w:vAlign w:val="center"/>
            <w:hideMark/>
          </w:tcPr>
          <w:p w14:paraId="5C54454F" w14:textId="77777777" w:rsidR="00000000" w:rsidRDefault="00A173A8">
            <w:pPr>
              <w:spacing w:after="100"/>
              <w:rPr>
                <w:rFonts w:eastAsia="Times New Roman"/>
                <w:sz w:val="20"/>
                <w:szCs w:val="20"/>
              </w:rPr>
            </w:pPr>
          </w:p>
        </w:tc>
        <w:tc>
          <w:tcPr>
            <w:tcW w:w="50" w:type="pct"/>
            <w:vAlign w:val="center"/>
            <w:hideMark/>
          </w:tcPr>
          <w:p w14:paraId="27F3D10D" w14:textId="77777777" w:rsidR="00000000" w:rsidRDefault="00A173A8">
            <w:pPr>
              <w:spacing w:after="100"/>
              <w:rPr>
                <w:rFonts w:eastAsia="Times New Roman"/>
                <w:sz w:val="20"/>
                <w:szCs w:val="20"/>
              </w:rPr>
            </w:pPr>
          </w:p>
        </w:tc>
        <w:tc>
          <w:tcPr>
            <w:tcW w:w="522" w:type="pct"/>
            <w:vAlign w:val="center"/>
            <w:hideMark/>
          </w:tcPr>
          <w:p w14:paraId="4FA7A209" w14:textId="77777777" w:rsidR="00000000" w:rsidRDefault="00A173A8">
            <w:pPr>
              <w:spacing w:after="100"/>
              <w:rPr>
                <w:rFonts w:eastAsia="Times New Roman"/>
                <w:sz w:val="20"/>
                <w:szCs w:val="20"/>
              </w:rPr>
            </w:pPr>
          </w:p>
        </w:tc>
        <w:tc>
          <w:tcPr>
            <w:tcW w:w="5" w:type="pct"/>
            <w:vAlign w:val="center"/>
            <w:hideMark/>
          </w:tcPr>
          <w:p w14:paraId="6D000397" w14:textId="77777777" w:rsidR="00000000" w:rsidRDefault="00A173A8">
            <w:pPr>
              <w:spacing w:after="100"/>
              <w:rPr>
                <w:rFonts w:eastAsia="Times New Roman"/>
                <w:sz w:val="20"/>
                <w:szCs w:val="20"/>
              </w:rPr>
            </w:pPr>
          </w:p>
        </w:tc>
        <w:tc>
          <w:tcPr>
            <w:tcW w:w="50" w:type="pct"/>
            <w:vAlign w:val="center"/>
            <w:hideMark/>
          </w:tcPr>
          <w:p w14:paraId="3496AD45" w14:textId="77777777" w:rsidR="00000000" w:rsidRDefault="00A173A8">
            <w:pPr>
              <w:spacing w:after="100"/>
              <w:rPr>
                <w:rFonts w:eastAsia="Times New Roman"/>
                <w:sz w:val="20"/>
                <w:szCs w:val="20"/>
              </w:rPr>
            </w:pPr>
          </w:p>
        </w:tc>
        <w:tc>
          <w:tcPr>
            <w:tcW w:w="142" w:type="pct"/>
            <w:vAlign w:val="center"/>
            <w:hideMark/>
          </w:tcPr>
          <w:p w14:paraId="1381FBD2" w14:textId="77777777" w:rsidR="00000000" w:rsidRDefault="00A173A8">
            <w:pPr>
              <w:spacing w:after="100"/>
              <w:rPr>
                <w:rFonts w:eastAsia="Times New Roman"/>
                <w:sz w:val="20"/>
                <w:szCs w:val="20"/>
              </w:rPr>
            </w:pPr>
          </w:p>
        </w:tc>
        <w:tc>
          <w:tcPr>
            <w:tcW w:w="5" w:type="pct"/>
            <w:vAlign w:val="center"/>
            <w:hideMark/>
          </w:tcPr>
          <w:p w14:paraId="7CA67343" w14:textId="77777777" w:rsidR="00000000" w:rsidRDefault="00A173A8">
            <w:pPr>
              <w:spacing w:after="100"/>
              <w:rPr>
                <w:rFonts w:eastAsia="Times New Roman"/>
                <w:sz w:val="20"/>
                <w:szCs w:val="20"/>
              </w:rPr>
            </w:pPr>
          </w:p>
        </w:tc>
        <w:tc>
          <w:tcPr>
            <w:tcW w:w="5" w:type="pct"/>
            <w:vAlign w:val="center"/>
            <w:hideMark/>
          </w:tcPr>
          <w:p w14:paraId="18A0D897" w14:textId="77777777" w:rsidR="00000000" w:rsidRDefault="00A173A8">
            <w:pPr>
              <w:spacing w:after="100"/>
              <w:rPr>
                <w:rFonts w:eastAsia="Times New Roman"/>
                <w:sz w:val="20"/>
                <w:szCs w:val="20"/>
              </w:rPr>
            </w:pPr>
          </w:p>
        </w:tc>
        <w:tc>
          <w:tcPr>
            <w:tcW w:w="26" w:type="pct"/>
            <w:vAlign w:val="center"/>
            <w:hideMark/>
          </w:tcPr>
          <w:p w14:paraId="6DA1C715" w14:textId="77777777" w:rsidR="00000000" w:rsidRDefault="00A173A8">
            <w:pPr>
              <w:spacing w:after="100"/>
              <w:rPr>
                <w:rFonts w:eastAsia="Times New Roman"/>
                <w:sz w:val="20"/>
                <w:szCs w:val="20"/>
              </w:rPr>
            </w:pPr>
          </w:p>
        </w:tc>
        <w:tc>
          <w:tcPr>
            <w:tcW w:w="5" w:type="pct"/>
            <w:vAlign w:val="center"/>
            <w:hideMark/>
          </w:tcPr>
          <w:p w14:paraId="725F739A" w14:textId="77777777" w:rsidR="00000000" w:rsidRDefault="00A173A8">
            <w:pPr>
              <w:spacing w:after="100"/>
              <w:rPr>
                <w:rFonts w:eastAsia="Times New Roman"/>
                <w:sz w:val="20"/>
                <w:szCs w:val="20"/>
              </w:rPr>
            </w:pPr>
          </w:p>
        </w:tc>
        <w:tc>
          <w:tcPr>
            <w:tcW w:w="50" w:type="pct"/>
            <w:vAlign w:val="center"/>
            <w:hideMark/>
          </w:tcPr>
          <w:p w14:paraId="52E2C844" w14:textId="77777777" w:rsidR="00000000" w:rsidRDefault="00A173A8">
            <w:pPr>
              <w:spacing w:after="100"/>
              <w:rPr>
                <w:rFonts w:eastAsia="Times New Roman"/>
                <w:sz w:val="20"/>
                <w:szCs w:val="20"/>
              </w:rPr>
            </w:pPr>
          </w:p>
        </w:tc>
        <w:tc>
          <w:tcPr>
            <w:tcW w:w="2123" w:type="pct"/>
            <w:vAlign w:val="center"/>
            <w:hideMark/>
          </w:tcPr>
          <w:p w14:paraId="6129B324" w14:textId="77777777" w:rsidR="00000000" w:rsidRDefault="00A173A8">
            <w:pPr>
              <w:spacing w:after="100"/>
              <w:rPr>
                <w:rFonts w:eastAsia="Times New Roman"/>
                <w:sz w:val="20"/>
                <w:szCs w:val="20"/>
              </w:rPr>
            </w:pPr>
          </w:p>
        </w:tc>
        <w:tc>
          <w:tcPr>
            <w:tcW w:w="5" w:type="pct"/>
            <w:vAlign w:val="center"/>
            <w:hideMark/>
          </w:tcPr>
          <w:p w14:paraId="17CA4F23" w14:textId="77777777" w:rsidR="00000000" w:rsidRDefault="00A173A8">
            <w:pPr>
              <w:spacing w:after="100"/>
              <w:rPr>
                <w:rFonts w:eastAsia="Times New Roman"/>
                <w:sz w:val="20"/>
                <w:szCs w:val="20"/>
              </w:rPr>
            </w:pPr>
          </w:p>
        </w:tc>
      </w:tr>
      <w:tr w:rsidR="00000000" w14:paraId="62238439" w14:textId="77777777">
        <w:trPr>
          <w:divId w:val="142897690"/>
        </w:trPr>
        <w:tc>
          <w:tcPr>
            <w:tcW w:w="0" w:type="auto"/>
            <w:gridSpan w:val="3"/>
            <w:tcMar>
              <w:top w:w="0" w:type="dxa"/>
              <w:left w:w="20" w:type="dxa"/>
              <w:bottom w:w="0" w:type="dxa"/>
              <w:right w:w="20" w:type="dxa"/>
            </w:tcMar>
            <w:vAlign w:val="center"/>
            <w:hideMark/>
          </w:tcPr>
          <w:p w14:paraId="166DD1F1"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E1BBA22"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58C06AF0"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68D3690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1721F32" w14:textId="77777777" w:rsidR="00000000" w:rsidRDefault="00A173A8">
            <w:pPr>
              <w:spacing w:after="100"/>
              <w:rPr>
                <w:rFonts w:eastAsia="Times New Roman"/>
              </w:rPr>
            </w:pPr>
            <w:r>
              <w:rPr>
                <w:rFonts w:eastAsia="Times New Roman"/>
                <w:b/>
                <w:bCs/>
                <w:color w:val="000000"/>
                <w:sz w:val="20"/>
                <w:szCs w:val="20"/>
              </w:rPr>
              <w:t>CAPITAL ONE FINANCIAL CORPORATION</w:t>
            </w:r>
          </w:p>
        </w:tc>
      </w:tr>
      <w:tr w:rsidR="00000000" w14:paraId="5A21AC42" w14:textId="77777777">
        <w:trPr>
          <w:divId w:val="142897690"/>
          <w:trHeight w:val="120"/>
        </w:trPr>
        <w:tc>
          <w:tcPr>
            <w:tcW w:w="0" w:type="auto"/>
            <w:gridSpan w:val="3"/>
            <w:tcMar>
              <w:top w:w="0" w:type="dxa"/>
              <w:left w:w="20" w:type="dxa"/>
              <w:bottom w:w="0" w:type="dxa"/>
              <w:right w:w="20" w:type="dxa"/>
            </w:tcMar>
            <w:vAlign w:val="center"/>
            <w:hideMark/>
          </w:tcPr>
          <w:p w14:paraId="07946E5B"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645A3EE5"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2BCCFA"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638157"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65BD74" w14:textId="77777777" w:rsidR="00000000" w:rsidRDefault="00A173A8">
            <w:pPr>
              <w:spacing w:after="100"/>
              <w:rPr>
                <w:rFonts w:eastAsia="Times New Roman"/>
                <w:sz w:val="20"/>
                <w:szCs w:val="20"/>
              </w:rPr>
            </w:pPr>
          </w:p>
        </w:tc>
      </w:tr>
      <w:tr w:rsidR="00000000" w14:paraId="01DAA6AF" w14:textId="77777777">
        <w:trPr>
          <w:divId w:val="142897690"/>
        </w:trPr>
        <w:tc>
          <w:tcPr>
            <w:tcW w:w="0" w:type="auto"/>
            <w:gridSpan w:val="3"/>
            <w:tcMar>
              <w:top w:w="30" w:type="dxa"/>
              <w:left w:w="20" w:type="dxa"/>
              <w:bottom w:w="30" w:type="dxa"/>
              <w:right w:w="20" w:type="dxa"/>
            </w:tcMar>
            <w:hideMark/>
          </w:tcPr>
          <w:p w14:paraId="58DA44C1" w14:textId="77777777" w:rsidR="00000000" w:rsidRDefault="00A173A8">
            <w:pPr>
              <w:spacing w:after="100"/>
              <w:rPr>
                <w:rFonts w:eastAsia="Times New Roman"/>
              </w:rPr>
            </w:pPr>
            <w:r>
              <w:rPr>
                <w:rFonts w:eastAsia="Times New Roman"/>
                <w:color w:val="000000"/>
                <w:sz w:val="20"/>
                <w:szCs w:val="20"/>
              </w:rPr>
              <w:t>Date: July 29, 2022</w:t>
            </w:r>
          </w:p>
        </w:tc>
        <w:tc>
          <w:tcPr>
            <w:tcW w:w="0" w:type="auto"/>
            <w:gridSpan w:val="3"/>
            <w:tcMar>
              <w:top w:w="30" w:type="dxa"/>
              <w:left w:w="20" w:type="dxa"/>
              <w:bottom w:w="30" w:type="dxa"/>
              <w:right w:w="20" w:type="dxa"/>
            </w:tcMar>
            <w:vAlign w:val="bottom"/>
            <w:hideMark/>
          </w:tcPr>
          <w:p w14:paraId="488C941A"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14:paraId="541A8A2D" w14:textId="77777777" w:rsidR="00000000" w:rsidRDefault="00A173A8">
            <w:pPr>
              <w:spacing w:after="100"/>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14:paraId="1933CD4C"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73579421" w14:textId="77777777" w:rsidR="00000000" w:rsidRDefault="00A173A8">
            <w:pPr>
              <w:spacing w:after="100"/>
              <w:rPr>
                <w:rFonts w:eastAsia="Times New Roman"/>
              </w:rPr>
            </w:pPr>
            <w:r>
              <w:rPr>
                <w:rFonts w:eastAsia="Times New Roman"/>
                <w:color w:val="000000"/>
                <w:sz w:val="20"/>
                <w:szCs w:val="20"/>
              </w:rPr>
              <w:t>/s/ ANDREW M. YOUNG</w:t>
            </w:r>
          </w:p>
        </w:tc>
      </w:tr>
      <w:tr w:rsidR="00000000" w14:paraId="3068714F" w14:textId="77777777">
        <w:trPr>
          <w:divId w:val="142897690"/>
        </w:trPr>
        <w:tc>
          <w:tcPr>
            <w:tcW w:w="0" w:type="auto"/>
            <w:gridSpan w:val="3"/>
            <w:tcMar>
              <w:top w:w="0" w:type="dxa"/>
              <w:left w:w="20" w:type="dxa"/>
              <w:bottom w:w="0" w:type="dxa"/>
              <w:right w:w="20" w:type="dxa"/>
            </w:tcMar>
            <w:vAlign w:val="center"/>
            <w:hideMark/>
          </w:tcPr>
          <w:p w14:paraId="3C39423E"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7BAF26FA"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9774F97"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4135169E" w14:textId="77777777" w:rsidR="00000000" w:rsidRDefault="00A173A8">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2CB17F2B" w14:textId="77777777" w:rsidR="00000000" w:rsidRDefault="00A173A8">
            <w:pPr>
              <w:spacing w:after="100"/>
              <w:rPr>
                <w:rFonts w:eastAsia="Times New Roman"/>
              </w:rPr>
            </w:pPr>
            <w:r>
              <w:rPr>
                <w:rFonts w:eastAsia="Times New Roman"/>
                <w:color w:val="000000"/>
                <w:sz w:val="20"/>
                <w:szCs w:val="20"/>
              </w:rPr>
              <w:t>Andrew M. Young</w:t>
            </w:r>
          </w:p>
        </w:tc>
      </w:tr>
      <w:tr w:rsidR="00000000" w14:paraId="702B1782" w14:textId="77777777">
        <w:trPr>
          <w:divId w:val="142897690"/>
        </w:trPr>
        <w:tc>
          <w:tcPr>
            <w:tcW w:w="0" w:type="auto"/>
            <w:gridSpan w:val="3"/>
            <w:tcMar>
              <w:top w:w="0" w:type="dxa"/>
              <w:left w:w="20" w:type="dxa"/>
              <w:bottom w:w="0" w:type="dxa"/>
              <w:right w:w="20" w:type="dxa"/>
            </w:tcMar>
            <w:vAlign w:val="center"/>
            <w:hideMark/>
          </w:tcPr>
          <w:p w14:paraId="31CFB1A0" w14:textId="77777777" w:rsidR="00000000" w:rsidRDefault="00A173A8">
            <w:pPr>
              <w:spacing w:after="100"/>
              <w:rPr>
                <w:rFonts w:eastAsia="Times New Roman"/>
              </w:rPr>
            </w:pPr>
          </w:p>
        </w:tc>
        <w:tc>
          <w:tcPr>
            <w:tcW w:w="0" w:type="auto"/>
            <w:gridSpan w:val="3"/>
            <w:tcMar>
              <w:top w:w="30" w:type="dxa"/>
              <w:left w:w="20" w:type="dxa"/>
              <w:bottom w:w="30" w:type="dxa"/>
              <w:right w:w="20" w:type="dxa"/>
            </w:tcMar>
            <w:vAlign w:val="bottom"/>
            <w:hideMark/>
          </w:tcPr>
          <w:p w14:paraId="07DE1D5F" w14:textId="77777777" w:rsidR="00000000" w:rsidRDefault="00A173A8">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F197B9B" w14:textId="77777777" w:rsidR="00000000" w:rsidRDefault="00A173A8">
            <w:pPr>
              <w:spacing w:after="100"/>
              <w:rPr>
                <w:rFonts w:eastAsia="Times New Roman"/>
              </w:rPr>
            </w:pPr>
          </w:p>
        </w:tc>
        <w:tc>
          <w:tcPr>
            <w:tcW w:w="0" w:type="auto"/>
            <w:gridSpan w:val="3"/>
            <w:tcMar>
              <w:top w:w="0" w:type="dxa"/>
              <w:left w:w="20" w:type="dxa"/>
              <w:bottom w:w="0" w:type="dxa"/>
              <w:right w:w="20" w:type="dxa"/>
            </w:tcMar>
            <w:vAlign w:val="center"/>
            <w:hideMark/>
          </w:tcPr>
          <w:p w14:paraId="3FA7EF0E"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88ACEC5" w14:textId="77777777" w:rsidR="00000000" w:rsidRDefault="00A173A8">
            <w:pPr>
              <w:spacing w:after="100"/>
              <w:rPr>
                <w:rFonts w:eastAsia="Times New Roman"/>
              </w:rPr>
            </w:pPr>
            <w:r>
              <w:rPr>
                <w:rFonts w:eastAsia="Times New Roman"/>
                <w:color w:val="000000"/>
                <w:sz w:val="20"/>
                <w:szCs w:val="20"/>
              </w:rPr>
              <w:t>Chief Financial Officer</w:t>
            </w:r>
          </w:p>
        </w:tc>
      </w:tr>
    </w:tbl>
    <w:p w14:paraId="4031BC0E" w14:textId="77777777" w:rsidR="00000000" w:rsidRDefault="00A173A8">
      <w:pPr>
        <w:jc w:val="both"/>
        <w:divId w:val="14289769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3662"/>
        <w:gridCol w:w="36"/>
        <w:gridCol w:w="36"/>
        <w:gridCol w:w="36"/>
        <w:gridCol w:w="36"/>
        <w:gridCol w:w="42"/>
        <w:gridCol w:w="2946"/>
        <w:gridCol w:w="36"/>
        <w:gridCol w:w="36"/>
        <w:gridCol w:w="36"/>
        <w:gridCol w:w="36"/>
        <w:gridCol w:w="42"/>
        <w:gridCol w:w="1232"/>
        <w:gridCol w:w="36"/>
      </w:tblGrid>
      <w:tr w:rsidR="00000000" w14:paraId="0683017C" w14:textId="77777777">
        <w:trPr>
          <w:divId w:val="142897690"/>
        </w:trPr>
        <w:tc>
          <w:tcPr>
            <w:tcW w:w="50" w:type="pct"/>
            <w:vAlign w:val="center"/>
            <w:hideMark/>
          </w:tcPr>
          <w:p w14:paraId="4F08393B" w14:textId="77777777" w:rsidR="00000000" w:rsidRDefault="00A173A8">
            <w:pPr>
              <w:jc w:val="both"/>
              <w:rPr>
                <w:rFonts w:eastAsia="Times New Roman"/>
              </w:rPr>
            </w:pPr>
          </w:p>
        </w:tc>
        <w:tc>
          <w:tcPr>
            <w:tcW w:w="2218" w:type="pct"/>
            <w:vAlign w:val="center"/>
            <w:hideMark/>
          </w:tcPr>
          <w:p w14:paraId="0988659A" w14:textId="77777777" w:rsidR="00000000" w:rsidRDefault="00A173A8">
            <w:pPr>
              <w:spacing w:after="100"/>
              <w:rPr>
                <w:rFonts w:eastAsia="Times New Roman"/>
                <w:sz w:val="20"/>
                <w:szCs w:val="20"/>
              </w:rPr>
            </w:pPr>
          </w:p>
        </w:tc>
        <w:tc>
          <w:tcPr>
            <w:tcW w:w="5" w:type="pct"/>
            <w:vAlign w:val="center"/>
            <w:hideMark/>
          </w:tcPr>
          <w:p w14:paraId="50AE7E44" w14:textId="77777777" w:rsidR="00000000" w:rsidRDefault="00A173A8">
            <w:pPr>
              <w:spacing w:after="100"/>
              <w:rPr>
                <w:rFonts w:eastAsia="Times New Roman"/>
                <w:sz w:val="20"/>
                <w:szCs w:val="20"/>
              </w:rPr>
            </w:pPr>
          </w:p>
        </w:tc>
        <w:tc>
          <w:tcPr>
            <w:tcW w:w="5" w:type="pct"/>
            <w:vAlign w:val="center"/>
            <w:hideMark/>
          </w:tcPr>
          <w:p w14:paraId="512ECED1" w14:textId="77777777" w:rsidR="00000000" w:rsidRDefault="00A173A8">
            <w:pPr>
              <w:spacing w:after="100"/>
              <w:rPr>
                <w:rFonts w:eastAsia="Times New Roman"/>
                <w:sz w:val="20"/>
                <w:szCs w:val="20"/>
              </w:rPr>
            </w:pPr>
          </w:p>
        </w:tc>
        <w:tc>
          <w:tcPr>
            <w:tcW w:w="26" w:type="pct"/>
            <w:vAlign w:val="center"/>
            <w:hideMark/>
          </w:tcPr>
          <w:p w14:paraId="0BC11925" w14:textId="77777777" w:rsidR="00000000" w:rsidRDefault="00A173A8">
            <w:pPr>
              <w:spacing w:after="100"/>
              <w:rPr>
                <w:rFonts w:eastAsia="Times New Roman"/>
                <w:sz w:val="20"/>
                <w:szCs w:val="20"/>
              </w:rPr>
            </w:pPr>
          </w:p>
        </w:tc>
        <w:tc>
          <w:tcPr>
            <w:tcW w:w="5" w:type="pct"/>
            <w:vAlign w:val="center"/>
            <w:hideMark/>
          </w:tcPr>
          <w:p w14:paraId="09EE6587" w14:textId="77777777" w:rsidR="00000000" w:rsidRDefault="00A173A8">
            <w:pPr>
              <w:spacing w:after="100"/>
              <w:rPr>
                <w:rFonts w:eastAsia="Times New Roman"/>
                <w:sz w:val="20"/>
                <w:szCs w:val="20"/>
              </w:rPr>
            </w:pPr>
          </w:p>
        </w:tc>
        <w:tc>
          <w:tcPr>
            <w:tcW w:w="50" w:type="pct"/>
            <w:vAlign w:val="center"/>
            <w:hideMark/>
          </w:tcPr>
          <w:p w14:paraId="19B9B1A7" w14:textId="77777777" w:rsidR="00000000" w:rsidRDefault="00A173A8">
            <w:pPr>
              <w:spacing w:after="100"/>
              <w:rPr>
                <w:rFonts w:eastAsia="Times New Roman"/>
                <w:sz w:val="20"/>
                <w:szCs w:val="20"/>
              </w:rPr>
            </w:pPr>
          </w:p>
        </w:tc>
        <w:tc>
          <w:tcPr>
            <w:tcW w:w="1787" w:type="pct"/>
            <w:vAlign w:val="center"/>
            <w:hideMark/>
          </w:tcPr>
          <w:p w14:paraId="03E123B2" w14:textId="77777777" w:rsidR="00000000" w:rsidRDefault="00A173A8">
            <w:pPr>
              <w:spacing w:after="100"/>
              <w:rPr>
                <w:rFonts w:eastAsia="Times New Roman"/>
                <w:sz w:val="20"/>
                <w:szCs w:val="20"/>
              </w:rPr>
            </w:pPr>
          </w:p>
        </w:tc>
        <w:tc>
          <w:tcPr>
            <w:tcW w:w="5" w:type="pct"/>
            <w:vAlign w:val="center"/>
            <w:hideMark/>
          </w:tcPr>
          <w:p w14:paraId="6F2316D6" w14:textId="77777777" w:rsidR="00000000" w:rsidRDefault="00A173A8">
            <w:pPr>
              <w:spacing w:after="100"/>
              <w:rPr>
                <w:rFonts w:eastAsia="Times New Roman"/>
                <w:sz w:val="20"/>
                <w:szCs w:val="20"/>
              </w:rPr>
            </w:pPr>
          </w:p>
        </w:tc>
        <w:tc>
          <w:tcPr>
            <w:tcW w:w="5" w:type="pct"/>
            <w:vAlign w:val="center"/>
            <w:hideMark/>
          </w:tcPr>
          <w:p w14:paraId="30301245" w14:textId="77777777" w:rsidR="00000000" w:rsidRDefault="00A173A8">
            <w:pPr>
              <w:spacing w:after="100"/>
              <w:rPr>
                <w:rFonts w:eastAsia="Times New Roman"/>
                <w:sz w:val="20"/>
                <w:szCs w:val="20"/>
              </w:rPr>
            </w:pPr>
          </w:p>
        </w:tc>
        <w:tc>
          <w:tcPr>
            <w:tcW w:w="26" w:type="pct"/>
            <w:vAlign w:val="center"/>
            <w:hideMark/>
          </w:tcPr>
          <w:p w14:paraId="3F39A4BA" w14:textId="77777777" w:rsidR="00000000" w:rsidRDefault="00A173A8">
            <w:pPr>
              <w:spacing w:after="100"/>
              <w:rPr>
                <w:rFonts w:eastAsia="Times New Roman"/>
                <w:sz w:val="20"/>
                <w:szCs w:val="20"/>
              </w:rPr>
            </w:pPr>
          </w:p>
        </w:tc>
        <w:tc>
          <w:tcPr>
            <w:tcW w:w="5" w:type="pct"/>
            <w:vAlign w:val="center"/>
            <w:hideMark/>
          </w:tcPr>
          <w:p w14:paraId="21714E3C" w14:textId="77777777" w:rsidR="00000000" w:rsidRDefault="00A173A8">
            <w:pPr>
              <w:spacing w:after="100"/>
              <w:rPr>
                <w:rFonts w:eastAsia="Times New Roman"/>
                <w:sz w:val="20"/>
                <w:szCs w:val="20"/>
              </w:rPr>
            </w:pPr>
          </w:p>
        </w:tc>
        <w:tc>
          <w:tcPr>
            <w:tcW w:w="50" w:type="pct"/>
            <w:vAlign w:val="center"/>
            <w:hideMark/>
          </w:tcPr>
          <w:p w14:paraId="12D32566" w14:textId="77777777" w:rsidR="00000000" w:rsidRDefault="00A173A8">
            <w:pPr>
              <w:spacing w:after="100"/>
              <w:rPr>
                <w:rFonts w:eastAsia="Times New Roman"/>
                <w:sz w:val="20"/>
                <w:szCs w:val="20"/>
              </w:rPr>
            </w:pPr>
          </w:p>
        </w:tc>
        <w:tc>
          <w:tcPr>
            <w:tcW w:w="756" w:type="pct"/>
            <w:vAlign w:val="center"/>
            <w:hideMark/>
          </w:tcPr>
          <w:p w14:paraId="494E661D" w14:textId="77777777" w:rsidR="00000000" w:rsidRDefault="00A173A8">
            <w:pPr>
              <w:spacing w:after="100"/>
              <w:rPr>
                <w:rFonts w:eastAsia="Times New Roman"/>
                <w:sz w:val="20"/>
                <w:szCs w:val="20"/>
              </w:rPr>
            </w:pPr>
          </w:p>
        </w:tc>
        <w:tc>
          <w:tcPr>
            <w:tcW w:w="5" w:type="pct"/>
            <w:vAlign w:val="center"/>
            <w:hideMark/>
          </w:tcPr>
          <w:p w14:paraId="5FB038E1" w14:textId="77777777" w:rsidR="00000000" w:rsidRDefault="00A173A8">
            <w:pPr>
              <w:spacing w:after="100"/>
              <w:rPr>
                <w:rFonts w:eastAsia="Times New Roman"/>
                <w:sz w:val="20"/>
                <w:szCs w:val="20"/>
              </w:rPr>
            </w:pPr>
          </w:p>
        </w:tc>
      </w:tr>
      <w:tr w:rsidR="00000000" w14:paraId="2C3A2933" w14:textId="77777777">
        <w:trPr>
          <w:divId w:val="142897690"/>
          <w:trHeight w:val="60"/>
        </w:trPr>
        <w:tc>
          <w:tcPr>
            <w:tcW w:w="0" w:type="auto"/>
            <w:gridSpan w:val="15"/>
            <w:tcMar>
              <w:top w:w="0" w:type="dxa"/>
              <w:left w:w="20" w:type="dxa"/>
              <w:bottom w:w="0" w:type="dxa"/>
              <w:right w:w="20" w:type="dxa"/>
            </w:tcMar>
            <w:vAlign w:val="center"/>
            <w:hideMark/>
          </w:tcPr>
          <w:p w14:paraId="6ADC9B2E" w14:textId="77777777" w:rsidR="00000000" w:rsidRDefault="00A173A8">
            <w:pPr>
              <w:spacing w:after="100"/>
              <w:rPr>
                <w:rFonts w:eastAsia="Times New Roman"/>
                <w:sz w:val="20"/>
                <w:szCs w:val="20"/>
              </w:rPr>
            </w:pPr>
          </w:p>
        </w:tc>
      </w:tr>
      <w:tr w:rsidR="00000000" w14:paraId="77AAE402" w14:textId="77777777">
        <w:trPr>
          <w:divId w:val="142897690"/>
        </w:trPr>
        <w:tc>
          <w:tcPr>
            <w:tcW w:w="0" w:type="auto"/>
            <w:gridSpan w:val="3"/>
            <w:vAlign w:val="center"/>
            <w:hideMark/>
          </w:tcPr>
          <w:p w14:paraId="4E4B5C2C" w14:textId="77777777" w:rsidR="00000000" w:rsidRDefault="00A173A8">
            <w:pPr>
              <w:spacing w:after="100"/>
              <w:rPr>
                <w:rFonts w:eastAsia="Times New Roman"/>
                <w:sz w:val="20"/>
                <w:szCs w:val="20"/>
              </w:rPr>
            </w:pPr>
          </w:p>
        </w:tc>
        <w:tc>
          <w:tcPr>
            <w:tcW w:w="0" w:type="auto"/>
            <w:gridSpan w:val="3"/>
            <w:vAlign w:val="center"/>
            <w:hideMark/>
          </w:tcPr>
          <w:p w14:paraId="3C1BEB3C" w14:textId="77777777" w:rsidR="00000000" w:rsidRDefault="00A173A8">
            <w:pPr>
              <w:spacing w:after="100"/>
              <w:rPr>
                <w:rFonts w:eastAsia="Times New Roman"/>
                <w:sz w:val="20"/>
                <w:szCs w:val="20"/>
              </w:rPr>
            </w:pPr>
          </w:p>
        </w:tc>
        <w:tc>
          <w:tcPr>
            <w:tcW w:w="0" w:type="auto"/>
            <w:gridSpan w:val="3"/>
            <w:vAlign w:val="center"/>
            <w:hideMark/>
          </w:tcPr>
          <w:p w14:paraId="161C422E" w14:textId="77777777" w:rsidR="00000000" w:rsidRDefault="00A173A8">
            <w:pPr>
              <w:spacing w:after="100"/>
              <w:rPr>
                <w:rFonts w:eastAsia="Times New Roman"/>
                <w:sz w:val="20"/>
                <w:szCs w:val="20"/>
              </w:rPr>
            </w:pPr>
          </w:p>
        </w:tc>
        <w:tc>
          <w:tcPr>
            <w:tcW w:w="0" w:type="auto"/>
            <w:gridSpan w:val="3"/>
            <w:vAlign w:val="center"/>
            <w:hideMark/>
          </w:tcPr>
          <w:p w14:paraId="552388F8" w14:textId="77777777" w:rsidR="00000000" w:rsidRDefault="00A173A8">
            <w:pPr>
              <w:spacing w:after="100"/>
              <w:rPr>
                <w:rFonts w:eastAsia="Times New Roman"/>
                <w:sz w:val="20"/>
                <w:szCs w:val="20"/>
              </w:rPr>
            </w:pPr>
          </w:p>
        </w:tc>
        <w:tc>
          <w:tcPr>
            <w:tcW w:w="0" w:type="auto"/>
            <w:gridSpan w:val="3"/>
            <w:vAlign w:val="center"/>
            <w:hideMark/>
          </w:tcPr>
          <w:p w14:paraId="4F4A7D04" w14:textId="77777777" w:rsidR="00000000" w:rsidRDefault="00A173A8">
            <w:pPr>
              <w:spacing w:after="100"/>
              <w:rPr>
                <w:rFonts w:eastAsia="Times New Roman"/>
                <w:sz w:val="20"/>
                <w:szCs w:val="20"/>
              </w:rPr>
            </w:pPr>
          </w:p>
        </w:tc>
      </w:tr>
      <w:tr w:rsidR="00000000" w14:paraId="74BCF30C" w14:textId="77777777">
        <w:trPr>
          <w:divId w:val="142897690"/>
        </w:trPr>
        <w:tc>
          <w:tcPr>
            <w:tcW w:w="0" w:type="auto"/>
            <w:gridSpan w:val="3"/>
            <w:vAlign w:val="center"/>
            <w:hideMark/>
          </w:tcPr>
          <w:p w14:paraId="71FA0D98" w14:textId="77777777" w:rsidR="00000000" w:rsidRDefault="00A173A8">
            <w:pPr>
              <w:spacing w:after="100"/>
              <w:rPr>
                <w:rFonts w:eastAsia="Times New Roman"/>
                <w:sz w:val="20"/>
                <w:szCs w:val="20"/>
              </w:rPr>
            </w:pPr>
          </w:p>
        </w:tc>
        <w:tc>
          <w:tcPr>
            <w:tcW w:w="0" w:type="auto"/>
            <w:gridSpan w:val="3"/>
            <w:vAlign w:val="center"/>
            <w:hideMark/>
          </w:tcPr>
          <w:p w14:paraId="20E87D93" w14:textId="77777777" w:rsidR="00000000" w:rsidRDefault="00A173A8">
            <w:pPr>
              <w:spacing w:after="100"/>
              <w:rPr>
                <w:rFonts w:eastAsia="Times New Roman"/>
                <w:sz w:val="20"/>
                <w:szCs w:val="20"/>
              </w:rPr>
            </w:pPr>
          </w:p>
        </w:tc>
        <w:tc>
          <w:tcPr>
            <w:tcW w:w="0" w:type="auto"/>
            <w:gridSpan w:val="3"/>
            <w:vAlign w:val="center"/>
            <w:hideMark/>
          </w:tcPr>
          <w:p w14:paraId="122645E6" w14:textId="77777777" w:rsidR="00000000" w:rsidRDefault="00A173A8">
            <w:pPr>
              <w:spacing w:after="100"/>
              <w:rPr>
                <w:rFonts w:eastAsia="Times New Roman"/>
                <w:sz w:val="20"/>
                <w:szCs w:val="20"/>
              </w:rPr>
            </w:pPr>
          </w:p>
        </w:tc>
        <w:tc>
          <w:tcPr>
            <w:tcW w:w="0" w:type="auto"/>
            <w:gridSpan w:val="3"/>
            <w:vAlign w:val="center"/>
            <w:hideMark/>
          </w:tcPr>
          <w:p w14:paraId="615445B2" w14:textId="77777777" w:rsidR="00000000" w:rsidRDefault="00A173A8">
            <w:pPr>
              <w:spacing w:after="100"/>
              <w:rPr>
                <w:rFonts w:eastAsia="Times New Roman"/>
                <w:sz w:val="20"/>
                <w:szCs w:val="20"/>
              </w:rPr>
            </w:pPr>
          </w:p>
        </w:tc>
        <w:tc>
          <w:tcPr>
            <w:tcW w:w="0" w:type="auto"/>
            <w:gridSpan w:val="3"/>
            <w:vAlign w:val="center"/>
            <w:hideMark/>
          </w:tcPr>
          <w:p w14:paraId="79029FE4" w14:textId="77777777" w:rsidR="00000000" w:rsidRDefault="00A173A8">
            <w:pPr>
              <w:spacing w:after="100"/>
              <w:rPr>
                <w:rFonts w:eastAsia="Times New Roman"/>
                <w:sz w:val="20"/>
                <w:szCs w:val="20"/>
              </w:rPr>
            </w:pPr>
          </w:p>
        </w:tc>
      </w:tr>
      <w:tr w:rsidR="00000000" w14:paraId="6BB0858F" w14:textId="77777777">
        <w:trPr>
          <w:divId w:val="142897690"/>
        </w:trPr>
        <w:tc>
          <w:tcPr>
            <w:tcW w:w="0" w:type="auto"/>
            <w:gridSpan w:val="3"/>
            <w:vAlign w:val="center"/>
            <w:hideMark/>
          </w:tcPr>
          <w:p w14:paraId="0FC51211" w14:textId="77777777" w:rsidR="00000000" w:rsidRDefault="00A173A8">
            <w:pPr>
              <w:spacing w:after="100"/>
              <w:rPr>
                <w:rFonts w:eastAsia="Times New Roman"/>
                <w:sz w:val="20"/>
                <w:szCs w:val="20"/>
              </w:rPr>
            </w:pPr>
          </w:p>
        </w:tc>
        <w:tc>
          <w:tcPr>
            <w:tcW w:w="0" w:type="auto"/>
            <w:gridSpan w:val="3"/>
            <w:vAlign w:val="center"/>
            <w:hideMark/>
          </w:tcPr>
          <w:p w14:paraId="1652CFA6" w14:textId="77777777" w:rsidR="00000000" w:rsidRDefault="00A173A8">
            <w:pPr>
              <w:spacing w:after="100"/>
              <w:rPr>
                <w:rFonts w:eastAsia="Times New Roman"/>
                <w:sz w:val="20"/>
                <w:szCs w:val="20"/>
              </w:rPr>
            </w:pPr>
          </w:p>
        </w:tc>
        <w:tc>
          <w:tcPr>
            <w:tcW w:w="0" w:type="auto"/>
            <w:gridSpan w:val="3"/>
            <w:vAlign w:val="center"/>
            <w:hideMark/>
          </w:tcPr>
          <w:p w14:paraId="01F4D2FF" w14:textId="77777777" w:rsidR="00000000" w:rsidRDefault="00A173A8">
            <w:pPr>
              <w:spacing w:after="100"/>
              <w:rPr>
                <w:rFonts w:eastAsia="Times New Roman"/>
                <w:sz w:val="20"/>
                <w:szCs w:val="20"/>
              </w:rPr>
            </w:pPr>
          </w:p>
        </w:tc>
        <w:tc>
          <w:tcPr>
            <w:tcW w:w="0" w:type="auto"/>
            <w:gridSpan w:val="3"/>
            <w:vAlign w:val="center"/>
            <w:hideMark/>
          </w:tcPr>
          <w:p w14:paraId="284F4340" w14:textId="77777777" w:rsidR="00000000" w:rsidRDefault="00A173A8">
            <w:pPr>
              <w:spacing w:after="100"/>
              <w:rPr>
                <w:rFonts w:eastAsia="Times New Roman"/>
                <w:sz w:val="20"/>
                <w:szCs w:val="20"/>
              </w:rPr>
            </w:pPr>
          </w:p>
        </w:tc>
        <w:tc>
          <w:tcPr>
            <w:tcW w:w="0" w:type="auto"/>
            <w:gridSpan w:val="3"/>
            <w:vAlign w:val="center"/>
            <w:hideMark/>
          </w:tcPr>
          <w:p w14:paraId="03D3B417" w14:textId="77777777" w:rsidR="00000000" w:rsidRDefault="00A173A8">
            <w:pPr>
              <w:spacing w:after="100"/>
              <w:rPr>
                <w:rFonts w:eastAsia="Times New Roman"/>
                <w:sz w:val="20"/>
                <w:szCs w:val="20"/>
              </w:rPr>
            </w:pPr>
          </w:p>
        </w:tc>
      </w:tr>
      <w:tr w:rsidR="00000000" w14:paraId="1A04ECD1" w14:textId="77777777">
        <w:trPr>
          <w:divId w:val="142897690"/>
        </w:trPr>
        <w:tc>
          <w:tcPr>
            <w:tcW w:w="0" w:type="auto"/>
            <w:gridSpan w:val="3"/>
            <w:vAlign w:val="center"/>
            <w:hideMark/>
          </w:tcPr>
          <w:p w14:paraId="6E00A96B" w14:textId="77777777" w:rsidR="00000000" w:rsidRDefault="00A173A8">
            <w:pPr>
              <w:spacing w:after="100"/>
              <w:rPr>
                <w:rFonts w:eastAsia="Times New Roman"/>
                <w:sz w:val="20"/>
                <w:szCs w:val="20"/>
              </w:rPr>
            </w:pPr>
          </w:p>
        </w:tc>
        <w:tc>
          <w:tcPr>
            <w:tcW w:w="0" w:type="auto"/>
            <w:gridSpan w:val="3"/>
            <w:vAlign w:val="center"/>
            <w:hideMark/>
          </w:tcPr>
          <w:p w14:paraId="2A70726C" w14:textId="77777777" w:rsidR="00000000" w:rsidRDefault="00A173A8">
            <w:pPr>
              <w:spacing w:after="100"/>
              <w:rPr>
                <w:rFonts w:eastAsia="Times New Roman"/>
                <w:sz w:val="20"/>
                <w:szCs w:val="20"/>
              </w:rPr>
            </w:pPr>
          </w:p>
        </w:tc>
        <w:tc>
          <w:tcPr>
            <w:tcW w:w="0" w:type="auto"/>
            <w:gridSpan w:val="3"/>
            <w:vAlign w:val="center"/>
            <w:hideMark/>
          </w:tcPr>
          <w:p w14:paraId="36E25926" w14:textId="77777777" w:rsidR="00000000" w:rsidRDefault="00A173A8">
            <w:pPr>
              <w:spacing w:after="100"/>
              <w:rPr>
                <w:rFonts w:eastAsia="Times New Roman"/>
                <w:sz w:val="20"/>
                <w:szCs w:val="20"/>
              </w:rPr>
            </w:pPr>
          </w:p>
        </w:tc>
        <w:tc>
          <w:tcPr>
            <w:tcW w:w="0" w:type="auto"/>
            <w:gridSpan w:val="3"/>
            <w:vAlign w:val="center"/>
            <w:hideMark/>
          </w:tcPr>
          <w:p w14:paraId="2482DE53" w14:textId="77777777" w:rsidR="00000000" w:rsidRDefault="00A173A8">
            <w:pPr>
              <w:spacing w:after="100"/>
              <w:rPr>
                <w:rFonts w:eastAsia="Times New Roman"/>
                <w:sz w:val="20"/>
                <w:szCs w:val="20"/>
              </w:rPr>
            </w:pPr>
          </w:p>
        </w:tc>
        <w:tc>
          <w:tcPr>
            <w:tcW w:w="0" w:type="auto"/>
            <w:gridSpan w:val="3"/>
            <w:vAlign w:val="center"/>
            <w:hideMark/>
          </w:tcPr>
          <w:p w14:paraId="4B97CF9F" w14:textId="77777777" w:rsidR="00000000" w:rsidRDefault="00A173A8">
            <w:pPr>
              <w:spacing w:after="100"/>
              <w:rPr>
                <w:rFonts w:eastAsia="Times New Roman"/>
                <w:sz w:val="20"/>
                <w:szCs w:val="20"/>
              </w:rPr>
            </w:pPr>
          </w:p>
        </w:tc>
      </w:tr>
      <w:tr w:rsidR="00000000" w14:paraId="73027075" w14:textId="77777777">
        <w:trPr>
          <w:divId w:val="142897690"/>
        </w:trPr>
        <w:tc>
          <w:tcPr>
            <w:tcW w:w="0" w:type="auto"/>
            <w:gridSpan w:val="3"/>
            <w:vAlign w:val="center"/>
            <w:hideMark/>
          </w:tcPr>
          <w:p w14:paraId="49FDD089" w14:textId="77777777" w:rsidR="00000000" w:rsidRDefault="00A173A8">
            <w:pPr>
              <w:spacing w:after="100"/>
              <w:rPr>
                <w:rFonts w:eastAsia="Times New Roman"/>
                <w:sz w:val="20"/>
                <w:szCs w:val="20"/>
              </w:rPr>
            </w:pPr>
          </w:p>
        </w:tc>
        <w:tc>
          <w:tcPr>
            <w:tcW w:w="0" w:type="auto"/>
            <w:gridSpan w:val="3"/>
            <w:vAlign w:val="center"/>
            <w:hideMark/>
          </w:tcPr>
          <w:p w14:paraId="293603F8" w14:textId="77777777" w:rsidR="00000000" w:rsidRDefault="00A173A8">
            <w:pPr>
              <w:spacing w:after="100"/>
              <w:rPr>
                <w:rFonts w:eastAsia="Times New Roman"/>
                <w:sz w:val="20"/>
                <w:szCs w:val="20"/>
              </w:rPr>
            </w:pPr>
          </w:p>
        </w:tc>
        <w:tc>
          <w:tcPr>
            <w:tcW w:w="0" w:type="auto"/>
            <w:gridSpan w:val="3"/>
            <w:vAlign w:val="center"/>
            <w:hideMark/>
          </w:tcPr>
          <w:p w14:paraId="1842FFA9" w14:textId="77777777" w:rsidR="00000000" w:rsidRDefault="00A173A8">
            <w:pPr>
              <w:spacing w:after="100"/>
              <w:rPr>
                <w:rFonts w:eastAsia="Times New Roman"/>
                <w:sz w:val="20"/>
                <w:szCs w:val="20"/>
              </w:rPr>
            </w:pPr>
          </w:p>
        </w:tc>
        <w:tc>
          <w:tcPr>
            <w:tcW w:w="0" w:type="auto"/>
            <w:gridSpan w:val="3"/>
            <w:vAlign w:val="center"/>
            <w:hideMark/>
          </w:tcPr>
          <w:p w14:paraId="5D56C392" w14:textId="77777777" w:rsidR="00000000" w:rsidRDefault="00A173A8">
            <w:pPr>
              <w:spacing w:after="100"/>
              <w:rPr>
                <w:rFonts w:eastAsia="Times New Roman"/>
                <w:sz w:val="20"/>
                <w:szCs w:val="20"/>
              </w:rPr>
            </w:pPr>
          </w:p>
        </w:tc>
        <w:tc>
          <w:tcPr>
            <w:tcW w:w="0" w:type="auto"/>
            <w:gridSpan w:val="3"/>
            <w:vAlign w:val="center"/>
            <w:hideMark/>
          </w:tcPr>
          <w:p w14:paraId="64999553" w14:textId="77777777" w:rsidR="00000000" w:rsidRDefault="00A173A8">
            <w:pPr>
              <w:spacing w:after="100"/>
              <w:rPr>
                <w:rFonts w:eastAsia="Times New Roman"/>
                <w:sz w:val="20"/>
                <w:szCs w:val="20"/>
              </w:rPr>
            </w:pPr>
          </w:p>
        </w:tc>
      </w:tr>
      <w:tr w:rsidR="00000000" w14:paraId="7B7F893B" w14:textId="77777777">
        <w:trPr>
          <w:divId w:val="142897690"/>
        </w:trPr>
        <w:tc>
          <w:tcPr>
            <w:tcW w:w="0" w:type="auto"/>
            <w:gridSpan w:val="3"/>
            <w:vAlign w:val="center"/>
            <w:hideMark/>
          </w:tcPr>
          <w:p w14:paraId="3FA13A81" w14:textId="77777777" w:rsidR="00000000" w:rsidRDefault="00A173A8">
            <w:pPr>
              <w:spacing w:after="100"/>
              <w:rPr>
                <w:rFonts w:eastAsia="Times New Roman"/>
                <w:sz w:val="20"/>
                <w:szCs w:val="20"/>
              </w:rPr>
            </w:pPr>
          </w:p>
        </w:tc>
        <w:tc>
          <w:tcPr>
            <w:tcW w:w="0" w:type="auto"/>
            <w:gridSpan w:val="3"/>
            <w:vAlign w:val="center"/>
            <w:hideMark/>
          </w:tcPr>
          <w:p w14:paraId="274E4666" w14:textId="77777777" w:rsidR="00000000" w:rsidRDefault="00A173A8">
            <w:pPr>
              <w:spacing w:after="100"/>
              <w:rPr>
                <w:rFonts w:eastAsia="Times New Roman"/>
                <w:sz w:val="20"/>
                <w:szCs w:val="20"/>
              </w:rPr>
            </w:pPr>
          </w:p>
        </w:tc>
        <w:tc>
          <w:tcPr>
            <w:tcW w:w="0" w:type="auto"/>
            <w:gridSpan w:val="3"/>
            <w:vAlign w:val="center"/>
            <w:hideMark/>
          </w:tcPr>
          <w:p w14:paraId="00EF813D" w14:textId="77777777" w:rsidR="00000000" w:rsidRDefault="00A173A8">
            <w:pPr>
              <w:spacing w:after="100"/>
              <w:rPr>
                <w:rFonts w:eastAsia="Times New Roman"/>
                <w:sz w:val="20"/>
                <w:szCs w:val="20"/>
              </w:rPr>
            </w:pPr>
          </w:p>
        </w:tc>
        <w:tc>
          <w:tcPr>
            <w:tcW w:w="0" w:type="auto"/>
            <w:gridSpan w:val="3"/>
            <w:vAlign w:val="center"/>
            <w:hideMark/>
          </w:tcPr>
          <w:p w14:paraId="7F3DADE4" w14:textId="77777777" w:rsidR="00000000" w:rsidRDefault="00A173A8">
            <w:pPr>
              <w:spacing w:after="100"/>
              <w:rPr>
                <w:rFonts w:eastAsia="Times New Roman"/>
                <w:sz w:val="20"/>
                <w:szCs w:val="20"/>
              </w:rPr>
            </w:pPr>
          </w:p>
        </w:tc>
        <w:tc>
          <w:tcPr>
            <w:tcW w:w="0" w:type="auto"/>
            <w:gridSpan w:val="3"/>
            <w:vAlign w:val="center"/>
            <w:hideMark/>
          </w:tcPr>
          <w:p w14:paraId="7C44EE86" w14:textId="77777777" w:rsidR="00000000" w:rsidRDefault="00A173A8">
            <w:pPr>
              <w:spacing w:after="100"/>
              <w:rPr>
                <w:rFonts w:eastAsia="Times New Roman"/>
                <w:sz w:val="20"/>
                <w:szCs w:val="20"/>
              </w:rPr>
            </w:pPr>
          </w:p>
        </w:tc>
      </w:tr>
      <w:tr w:rsidR="00000000" w14:paraId="56C7CF31" w14:textId="77777777">
        <w:trPr>
          <w:divId w:val="142897690"/>
        </w:trPr>
        <w:tc>
          <w:tcPr>
            <w:tcW w:w="0" w:type="auto"/>
            <w:gridSpan w:val="3"/>
            <w:vAlign w:val="center"/>
            <w:hideMark/>
          </w:tcPr>
          <w:p w14:paraId="66C094B1" w14:textId="77777777" w:rsidR="00000000" w:rsidRDefault="00A173A8">
            <w:pPr>
              <w:spacing w:after="100"/>
              <w:rPr>
                <w:rFonts w:eastAsia="Times New Roman"/>
                <w:sz w:val="20"/>
                <w:szCs w:val="20"/>
              </w:rPr>
            </w:pPr>
          </w:p>
        </w:tc>
        <w:tc>
          <w:tcPr>
            <w:tcW w:w="0" w:type="auto"/>
            <w:gridSpan w:val="3"/>
            <w:vAlign w:val="center"/>
            <w:hideMark/>
          </w:tcPr>
          <w:p w14:paraId="051538AD" w14:textId="77777777" w:rsidR="00000000" w:rsidRDefault="00A173A8">
            <w:pPr>
              <w:spacing w:after="100"/>
              <w:rPr>
                <w:rFonts w:eastAsia="Times New Roman"/>
                <w:sz w:val="20"/>
                <w:szCs w:val="20"/>
              </w:rPr>
            </w:pPr>
          </w:p>
        </w:tc>
        <w:tc>
          <w:tcPr>
            <w:tcW w:w="0" w:type="auto"/>
            <w:gridSpan w:val="3"/>
            <w:vAlign w:val="center"/>
            <w:hideMark/>
          </w:tcPr>
          <w:p w14:paraId="1A2BE751" w14:textId="77777777" w:rsidR="00000000" w:rsidRDefault="00A173A8">
            <w:pPr>
              <w:spacing w:after="100"/>
              <w:rPr>
                <w:rFonts w:eastAsia="Times New Roman"/>
                <w:sz w:val="20"/>
                <w:szCs w:val="20"/>
              </w:rPr>
            </w:pPr>
          </w:p>
        </w:tc>
        <w:tc>
          <w:tcPr>
            <w:tcW w:w="0" w:type="auto"/>
            <w:gridSpan w:val="3"/>
            <w:vAlign w:val="center"/>
            <w:hideMark/>
          </w:tcPr>
          <w:p w14:paraId="2155D72F" w14:textId="77777777" w:rsidR="00000000" w:rsidRDefault="00A173A8">
            <w:pPr>
              <w:spacing w:after="100"/>
              <w:rPr>
                <w:rFonts w:eastAsia="Times New Roman"/>
                <w:sz w:val="20"/>
                <w:szCs w:val="20"/>
              </w:rPr>
            </w:pPr>
          </w:p>
        </w:tc>
        <w:tc>
          <w:tcPr>
            <w:tcW w:w="0" w:type="auto"/>
            <w:gridSpan w:val="3"/>
            <w:vAlign w:val="center"/>
            <w:hideMark/>
          </w:tcPr>
          <w:p w14:paraId="752CE7DC" w14:textId="77777777" w:rsidR="00000000" w:rsidRDefault="00A173A8">
            <w:pPr>
              <w:spacing w:after="100"/>
              <w:rPr>
                <w:rFonts w:eastAsia="Times New Roman"/>
                <w:sz w:val="20"/>
                <w:szCs w:val="20"/>
              </w:rPr>
            </w:pPr>
          </w:p>
        </w:tc>
      </w:tr>
      <w:tr w:rsidR="00000000" w14:paraId="7258D043" w14:textId="77777777">
        <w:trPr>
          <w:divId w:val="142897690"/>
        </w:trPr>
        <w:tc>
          <w:tcPr>
            <w:tcW w:w="0" w:type="auto"/>
            <w:gridSpan w:val="3"/>
            <w:vAlign w:val="center"/>
            <w:hideMark/>
          </w:tcPr>
          <w:p w14:paraId="4A6476C6" w14:textId="77777777" w:rsidR="00000000" w:rsidRDefault="00A173A8">
            <w:pPr>
              <w:spacing w:after="100"/>
              <w:rPr>
                <w:rFonts w:eastAsia="Times New Roman"/>
                <w:sz w:val="20"/>
                <w:szCs w:val="20"/>
              </w:rPr>
            </w:pPr>
          </w:p>
        </w:tc>
        <w:tc>
          <w:tcPr>
            <w:tcW w:w="0" w:type="auto"/>
            <w:gridSpan w:val="3"/>
            <w:vAlign w:val="center"/>
            <w:hideMark/>
          </w:tcPr>
          <w:p w14:paraId="0B2D59F5" w14:textId="77777777" w:rsidR="00000000" w:rsidRDefault="00A173A8">
            <w:pPr>
              <w:spacing w:after="100"/>
              <w:rPr>
                <w:rFonts w:eastAsia="Times New Roman"/>
                <w:sz w:val="20"/>
                <w:szCs w:val="20"/>
              </w:rPr>
            </w:pPr>
          </w:p>
        </w:tc>
        <w:tc>
          <w:tcPr>
            <w:tcW w:w="0" w:type="auto"/>
            <w:gridSpan w:val="3"/>
            <w:vAlign w:val="center"/>
            <w:hideMark/>
          </w:tcPr>
          <w:p w14:paraId="65E0BF2E" w14:textId="77777777" w:rsidR="00000000" w:rsidRDefault="00A173A8">
            <w:pPr>
              <w:spacing w:after="100"/>
              <w:rPr>
                <w:rFonts w:eastAsia="Times New Roman"/>
                <w:sz w:val="20"/>
                <w:szCs w:val="20"/>
              </w:rPr>
            </w:pPr>
          </w:p>
        </w:tc>
        <w:tc>
          <w:tcPr>
            <w:tcW w:w="0" w:type="auto"/>
            <w:gridSpan w:val="3"/>
            <w:vAlign w:val="center"/>
            <w:hideMark/>
          </w:tcPr>
          <w:p w14:paraId="7A1323DF" w14:textId="77777777" w:rsidR="00000000" w:rsidRDefault="00A173A8">
            <w:pPr>
              <w:spacing w:after="100"/>
              <w:rPr>
                <w:rFonts w:eastAsia="Times New Roman"/>
                <w:sz w:val="20"/>
                <w:szCs w:val="20"/>
              </w:rPr>
            </w:pPr>
          </w:p>
        </w:tc>
        <w:tc>
          <w:tcPr>
            <w:tcW w:w="0" w:type="auto"/>
            <w:gridSpan w:val="3"/>
            <w:vAlign w:val="center"/>
            <w:hideMark/>
          </w:tcPr>
          <w:p w14:paraId="4B540BE3" w14:textId="77777777" w:rsidR="00000000" w:rsidRDefault="00A173A8">
            <w:pPr>
              <w:spacing w:after="100"/>
              <w:rPr>
                <w:rFonts w:eastAsia="Times New Roman"/>
                <w:sz w:val="20"/>
                <w:szCs w:val="20"/>
              </w:rPr>
            </w:pPr>
          </w:p>
        </w:tc>
      </w:tr>
      <w:tr w:rsidR="00000000" w14:paraId="03BB69FE" w14:textId="77777777">
        <w:trPr>
          <w:divId w:val="142897690"/>
        </w:trPr>
        <w:tc>
          <w:tcPr>
            <w:tcW w:w="0" w:type="auto"/>
            <w:gridSpan w:val="3"/>
            <w:vAlign w:val="center"/>
            <w:hideMark/>
          </w:tcPr>
          <w:p w14:paraId="543AA182" w14:textId="77777777" w:rsidR="00000000" w:rsidRDefault="00A173A8">
            <w:pPr>
              <w:spacing w:after="100"/>
              <w:rPr>
                <w:rFonts w:eastAsia="Times New Roman"/>
                <w:sz w:val="20"/>
                <w:szCs w:val="20"/>
              </w:rPr>
            </w:pPr>
          </w:p>
        </w:tc>
        <w:tc>
          <w:tcPr>
            <w:tcW w:w="0" w:type="auto"/>
            <w:gridSpan w:val="3"/>
            <w:vAlign w:val="center"/>
            <w:hideMark/>
          </w:tcPr>
          <w:p w14:paraId="6852EC23" w14:textId="77777777" w:rsidR="00000000" w:rsidRDefault="00A173A8">
            <w:pPr>
              <w:spacing w:after="100"/>
              <w:rPr>
                <w:rFonts w:eastAsia="Times New Roman"/>
                <w:sz w:val="20"/>
                <w:szCs w:val="20"/>
              </w:rPr>
            </w:pPr>
          </w:p>
        </w:tc>
        <w:tc>
          <w:tcPr>
            <w:tcW w:w="0" w:type="auto"/>
            <w:gridSpan w:val="3"/>
            <w:vAlign w:val="center"/>
            <w:hideMark/>
          </w:tcPr>
          <w:p w14:paraId="5039FAD7" w14:textId="77777777" w:rsidR="00000000" w:rsidRDefault="00A173A8">
            <w:pPr>
              <w:spacing w:after="100"/>
              <w:rPr>
                <w:rFonts w:eastAsia="Times New Roman"/>
                <w:sz w:val="20"/>
                <w:szCs w:val="20"/>
              </w:rPr>
            </w:pPr>
          </w:p>
        </w:tc>
        <w:tc>
          <w:tcPr>
            <w:tcW w:w="0" w:type="auto"/>
            <w:gridSpan w:val="3"/>
            <w:vAlign w:val="center"/>
            <w:hideMark/>
          </w:tcPr>
          <w:p w14:paraId="5B58FB2C" w14:textId="77777777" w:rsidR="00000000" w:rsidRDefault="00A173A8">
            <w:pPr>
              <w:spacing w:after="100"/>
              <w:rPr>
                <w:rFonts w:eastAsia="Times New Roman"/>
                <w:sz w:val="20"/>
                <w:szCs w:val="20"/>
              </w:rPr>
            </w:pPr>
          </w:p>
        </w:tc>
        <w:tc>
          <w:tcPr>
            <w:tcW w:w="0" w:type="auto"/>
            <w:gridSpan w:val="3"/>
            <w:vAlign w:val="center"/>
            <w:hideMark/>
          </w:tcPr>
          <w:p w14:paraId="7FA8A47E" w14:textId="77777777" w:rsidR="00000000" w:rsidRDefault="00A173A8">
            <w:pPr>
              <w:spacing w:after="100"/>
              <w:rPr>
                <w:rFonts w:eastAsia="Times New Roman"/>
                <w:sz w:val="20"/>
                <w:szCs w:val="20"/>
              </w:rPr>
            </w:pPr>
          </w:p>
        </w:tc>
      </w:tr>
      <w:tr w:rsidR="00000000" w14:paraId="374CD7DB" w14:textId="77777777">
        <w:trPr>
          <w:divId w:val="142897690"/>
        </w:trPr>
        <w:tc>
          <w:tcPr>
            <w:tcW w:w="0" w:type="auto"/>
            <w:gridSpan w:val="3"/>
            <w:vAlign w:val="center"/>
            <w:hideMark/>
          </w:tcPr>
          <w:p w14:paraId="47DDDE42" w14:textId="77777777" w:rsidR="00000000" w:rsidRDefault="00A173A8">
            <w:pPr>
              <w:spacing w:after="100"/>
              <w:rPr>
                <w:rFonts w:eastAsia="Times New Roman"/>
                <w:sz w:val="20"/>
                <w:szCs w:val="20"/>
              </w:rPr>
            </w:pPr>
          </w:p>
        </w:tc>
        <w:tc>
          <w:tcPr>
            <w:tcW w:w="0" w:type="auto"/>
            <w:gridSpan w:val="3"/>
            <w:vAlign w:val="center"/>
            <w:hideMark/>
          </w:tcPr>
          <w:p w14:paraId="25A47188" w14:textId="77777777" w:rsidR="00000000" w:rsidRDefault="00A173A8">
            <w:pPr>
              <w:spacing w:after="100"/>
              <w:rPr>
                <w:rFonts w:eastAsia="Times New Roman"/>
                <w:sz w:val="20"/>
                <w:szCs w:val="20"/>
              </w:rPr>
            </w:pPr>
          </w:p>
        </w:tc>
        <w:tc>
          <w:tcPr>
            <w:tcW w:w="0" w:type="auto"/>
            <w:gridSpan w:val="3"/>
            <w:vAlign w:val="center"/>
            <w:hideMark/>
          </w:tcPr>
          <w:p w14:paraId="30A422EF" w14:textId="77777777" w:rsidR="00000000" w:rsidRDefault="00A173A8">
            <w:pPr>
              <w:spacing w:after="100"/>
              <w:rPr>
                <w:rFonts w:eastAsia="Times New Roman"/>
                <w:sz w:val="20"/>
                <w:szCs w:val="20"/>
              </w:rPr>
            </w:pPr>
          </w:p>
        </w:tc>
        <w:tc>
          <w:tcPr>
            <w:tcW w:w="0" w:type="auto"/>
            <w:gridSpan w:val="3"/>
            <w:vAlign w:val="center"/>
            <w:hideMark/>
          </w:tcPr>
          <w:p w14:paraId="23DCEAF7" w14:textId="77777777" w:rsidR="00000000" w:rsidRDefault="00A173A8">
            <w:pPr>
              <w:spacing w:after="100"/>
              <w:rPr>
                <w:rFonts w:eastAsia="Times New Roman"/>
                <w:sz w:val="20"/>
                <w:szCs w:val="20"/>
              </w:rPr>
            </w:pPr>
          </w:p>
        </w:tc>
        <w:tc>
          <w:tcPr>
            <w:tcW w:w="0" w:type="auto"/>
            <w:gridSpan w:val="3"/>
            <w:vAlign w:val="center"/>
            <w:hideMark/>
          </w:tcPr>
          <w:p w14:paraId="6D2ECBC9" w14:textId="77777777" w:rsidR="00000000" w:rsidRDefault="00A173A8">
            <w:pPr>
              <w:spacing w:after="100"/>
              <w:rPr>
                <w:rFonts w:eastAsia="Times New Roman"/>
                <w:sz w:val="20"/>
                <w:szCs w:val="20"/>
              </w:rPr>
            </w:pPr>
          </w:p>
        </w:tc>
      </w:tr>
      <w:tr w:rsidR="00000000" w14:paraId="1968C480" w14:textId="77777777">
        <w:trPr>
          <w:divId w:val="142897690"/>
        </w:trPr>
        <w:tc>
          <w:tcPr>
            <w:tcW w:w="0" w:type="auto"/>
            <w:gridSpan w:val="3"/>
            <w:vAlign w:val="center"/>
            <w:hideMark/>
          </w:tcPr>
          <w:p w14:paraId="1A01AD86" w14:textId="77777777" w:rsidR="00000000" w:rsidRDefault="00A173A8">
            <w:pPr>
              <w:spacing w:after="100"/>
              <w:rPr>
                <w:rFonts w:eastAsia="Times New Roman"/>
                <w:sz w:val="20"/>
                <w:szCs w:val="20"/>
              </w:rPr>
            </w:pPr>
          </w:p>
        </w:tc>
        <w:tc>
          <w:tcPr>
            <w:tcW w:w="0" w:type="auto"/>
            <w:gridSpan w:val="3"/>
            <w:vAlign w:val="center"/>
            <w:hideMark/>
          </w:tcPr>
          <w:p w14:paraId="4D6AB3AA" w14:textId="77777777" w:rsidR="00000000" w:rsidRDefault="00A173A8">
            <w:pPr>
              <w:spacing w:after="100"/>
              <w:rPr>
                <w:rFonts w:eastAsia="Times New Roman"/>
                <w:sz w:val="20"/>
                <w:szCs w:val="20"/>
              </w:rPr>
            </w:pPr>
          </w:p>
        </w:tc>
        <w:tc>
          <w:tcPr>
            <w:tcW w:w="0" w:type="auto"/>
            <w:gridSpan w:val="3"/>
            <w:vAlign w:val="center"/>
            <w:hideMark/>
          </w:tcPr>
          <w:p w14:paraId="117B4D43" w14:textId="77777777" w:rsidR="00000000" w:rsidRDefault="00A173A8">
            <w:pPr>
              <w:spacing w:after="100"/>
              <w:rPr>
                <w:rFonts w:eastAsia="Times New Roman"/>
                <w:sz w:val="20"/>
                <w:szCs w:val="20"/>
              </w:rPr>
            </w:pPr>
          </w:p>
        </w:tc>
        <w:tc>
          <w:tcPr>
            <w:tcW w:w="0" w:type="auto"/>
            <w:gridSpan w:val="3"/>
            <w:vAlign w:val="center"/>
            <w:hideMark/>
          </w:tcPr>
          <w:p w14:paraId="424FC846" w14:textId="77777777" w:rsidR="00000000" w:rsidRDefault="00A173A8">
            <w:pPr>
              <w:spacing w:after="100"/>
              <w:rPr>
                <w:rFonts w:eastAsia="Times New Roman"/>
                <w:sz w:val="20"/>
                <w:szCs w:val="20"/>
              </w:rPr>
            </w:pPr>
          </w:p>
        </w:tc>
        <w:tc>
          <w:tcPr>
            <w:tcW w:w="0" w:type="auto"/>
            <w:gridSpan w:val="3"/>
            <w:vAlign w:val="center"/>
            <w:hideMark/>
          </w:tcPr>
          <w:p w14:paraId="09C30378" w14:textId="77777777" w:rsidR="00000000" w:rsidRDefault="00A173A8">
            <w:pPr>
              <w:spacing w:after="100"/>
              <w:rPr>
                <w:rFonts w:eastAsia="Times New Roman"/>
                <w:sz w:val="20"/>
                <w:szCs w:val="20"/>
              </w:rPr>
            </w:pPr>
          </w:p>
        </w:tc>
      </w:tr>
      <w:tr w:rsidR="00000000" w14:paraId="6EA33CD5" w14:textId="77777777">
        <w:trPr>
          <w:divId w:val="142897690"/>
        </w:trPr>
        <w:tc>
          <w:tcPr>
            <w:tcW w:w="0" w:type="auto"/>
            <w:gridSpan w:val="3"/>
            <w:vAlign w:val="center"/>
            <w:hideMark/>
          </w:tcPr>
          <w:p w14:paraId="634714ED" w14:textId="77777777" w:rsidR="00000000" w:rsidRDefault="00A173A8">
            <w:pPr>
              <w:spacing w:after="100"/>
              <w:rPr>
                <w:rFonts w:eastAsia="Times New Roman"/>
                <w:sz w:val="20"/>
                <w:szCs w:val="20"/>
              </w:rPr>
            </w:pPr>
          </w:p>
        </w:tc>
        <w:tc>
          <w:tcPr>
            <w:tcW w:w="0" w:type="auto"/>
            <w:gridSpan w:val="3"/>
            <w:vAlign w:val="center"/>
            <w:hideMark/>
          </w:tcPr>
          <w:p w14:paraId="38FAAB4E" w14:textId="77777777" w:rsidR="00000000" w:rsidRDefault="00A173A8">
            <w:pPr>
              <w:spacing w:after="100"/>
              <w:rPr>
                <w:rFonts w:eastAsia="Times New Roman"/>
                <w:sz w:val="20"/>
                <w:szCs w:val="20"/>
              </w:rPr>
            </w:pPr>
          </w:p>
        </w:tc>
        <w:tc>
          <w:tcPr>
            <w:tcW w:w="0" w:type="auto"/>
            <w:gridSpan w:val="3"/>
            <w:vAlign w:val="center"/>
            <w:hideMark/>
          </w:tcPr>
          <w:p w14:paraId="038A95B3" w14:textId="77777777" w:rsidR="00000000" w:rsidRDefault="00A173A8">
            <w:pPr>
              <w:spacing w:after="100"/>
              <w:rPr>
                <w:rFonts w:eastAsia="Times New Roman"/>
                <w:sz w:val="20"/>
                <w:szCs w:val="20"/>
              </w:rPr>
            </w:pPr>
          </w:p>
        </w:tc>
        <w:tc>
          <w:tcPr>
            <w:tcW w:w="0" w:type="auto"/>
            <w:gridSpan w:val="3"/>
            <w:vAlign w:val="center"/>
            <w:hideMark/>
          </w:tcPr>
          <w:p w14:paraId="769D96A4" w14:textId="77777777" w:rsidR="00000000" w:rsidRDefault="00A173A8">
            <w:pPr>
              <w:spacing w:after="100"/>
              <w:rPr>
                <w:rFonts w:eastAsia="Times New Roman"/>
                <w:sz w:val="20"/>
                <w:szCs w:val="20"/>
              </w:rPr>
            </w:pPr>
          </w:p>
        </w:tc>
        <w:tc>
          <w:tcPr>
            <w:tcW w:w="0" w:type="auto"/>
            <w:gridSpan w:val="3"/>
            <w:vAlign w:val="center"/>
            <w:hideMark/>
          </w:tcPr>
          <w:p w14:paraId="16A90EA3" w14:textId="77777777" w:rsidR="00000000" w:rsidRDefault="00A173A8">
            <w:pPr>
              <w:spacing w:after="100"/>
              <w:rPr>
                <w:rFonts w:eastAsia="Times New Roman"/>
                <w:sz w:val="20"/>
                <w:szCs w:val="20"/>
              </w:rPr>
            </w:pPr>
          </w:p>
        </w:tc>
      </w:tr>
      <w:tr w:rsidR="00000000" w14:paraId="78D09C10" w14:textId="77777777">
        <w:trPr>
          <w:divId w:val="142897690"/>
        </w:trPr>
        <w:tc>
          <w:tcPr>
            <w:tcW w:w="0" w:type="auto"/>
            <w:gridSpan w:val="3"/>
            <w:vAlign w:val="center"/>
            <w:hideMark/>
          </w:tcPr>
          <w:p w14:paraId="0761AB5F" w14:textId="77777777" w:rsidR="00000000" w:rsidRDefault="00A173A8">
            <w:pPr>
              <w:spacing w:after="100"/>
              <w:rPr>
                <w:rFonts w:eastAsia="Times New Roman"/>
                <w:sz w:val="20"/>
                <w:szCs w:val="20"/>
              </w:rPr>
            </w:pPr>
          </w:p>
        </w:tc>
        <w:tc>
          <w:tcPr>
            <w:tcW w:w="0" w:type="auto"/>
            <w:gridSpan w:val="3"/>
            <w:vAlign w:val="center"/>
            <w:hideMark/>
          </w:tcPr>
          <w:p w14:paraId="48F815E1" w14:textId="77777777" w:rsidR="00000000" w:rsidRDefault="00A173A8">
            <w:pPr>
              <w:spacing w:after="100"/>
              <w:rPr>
                <w:rFonts w:eastAsia="Times New Roman"/>
                <w:sz w:val="20"/>
                <w:szCs w:val="20"/>
              </w:rPr>
            </w:pPr>
          </w:p>
        </w:tc>
        <w:tc>
          <w:tcPr>
            <w:tcW w:w="0" w:type="auto"/>
            <w:gridSpan w:val="3"/>
            <w:vAlign w:val="center"/>
            <w:hideMark/>
          </w:tcPr>
          <w:p w14:paraId="706C45AE" w14:textId="77777777" w:rsidR="00000000" w:rsidRDefault="00A173A8">
            <w:pPr>
              <w:spacing w:after="100"/>
              <w:rPr>
                <w:rFonts w:eastAsia="Times New Roman"/>
                <w:sz w:val="20"/>
                <w:szCs w:val="20"/>
              </w:rPr>
            </w:pPr>
          </w:p>
        </w:tc>
        <w:tc>
          <w:tcPr>
            <w:tcW w:w="0" w:type="auto"/>
            <w:gridSpan w:val="3"/>
            <w:vAlign w:val="center"/>
            <w:hideMark/>
          </w:tcPr>
          <w:p w14:paraId="04BA2877" w14:textId="77777777" w:rsidR="00000000" w:rsidRDefault="00A173A8">
            <w:pPr>
              <w:spacing w:after="100"/>
              <w:rPr>
                <w:rFonts w:eastAsia="Times New Roman"/>
                <w:sz w:val="20"/>
                <w:szCs w:val="20"/>
              </w:rPr>
            </w:pPr>
          </w:p>
        </w:tc>
        <w:tc>
          <w:tcPr>
            <w:tcW w:w="0" w:type="auto"/>
            <w:gridSpan w:val="3"/>
            <w:vAlign w:val="center"/>
            <w:hideMark/>
          </w:tcPr>
          <w:p w14:paraId="74AF0145" w14:textId="77777777" w:rsidR="00000000" w:rsidRDefault="00A173A8">
            <w:pPr>
              <w:spacing w:after="100"/>
              <w:rPr>
                <w:rFonts w:eastAsia="Times New Roman"/>
                <w:sz w:val="20"/>
                <w:szCs w:val="20"/>
              </w:rPr>
            </w:pPr>
          </w:p>
        </w:tc>
      </w:tr>
      <w:tr w:rsidR="00000000" w14:paraId="5B8AD2B5" w14:textId="77777777">
        <w:trPr>
          <w:divId w:val="142897690"/>
        </w:trPr>
        <w:tc>
          <w:tcPr>
            <w:tcW w:w="0" w:type="auto"/>
            <w:gridSpan w:val="3"/>
            <w:vAlign w:val="center"/>
            <w:hideMark/>
          </w:tcPr>
          <w:p w14:paraId="76001682" w14:textId="77777777" w:rsidR="00000000" w:rsidRDefault="00A173A8">
            <w:pPr>
              <w:spacing w:after="100"/>
              <w:rPr>
                <w:rFonts w:eastAsia="Times New Roman"/>
                <w:sz w:val="20"/>
                <w:szCs w:val="20"/>
              </w:rPr>
            </w:pPr>
          </w:p>
        </w:tc>
        <w:tc>
          <w:tcPr>
            <w:tcW w:w="0" w:type="auto"/>
            <w:gridSpan w:val="3"/>
            <w:vAlign w:val="center"/>
            <w:hideMark/>
          </w:tcPr>
          <w:p w14:paraId="7C6C6D70" w14:textId="77777777" w:rsidR="00000000" w:rsidRDefault="00A173A8">
            <w:pPr>
              <w:spacing w:after="100"/>
              <w:rPr>
                <w:rFonts w:eastAsia="Times New Roman"/>
                <w:sz w:val="20"/>
                <w:szCs w:val="20"/>
              </w:rPr>
            </w:pPr>
          </w:p>
        </w:tc>
        <w:tc>
          <w:tcPr>
            <w:tcW w:w="0" w:type="auto"/>
            <w:gridSpan w:val="3"/>
            <w:vAlign w:val="center"/>
            <w:hideMark/>
          </w:tcPr>
          <w:p w14:paraId="66AF5766" w14:textId="77777777" w:rsidR="00000000" w:rsidRDefault="00A173A8">
            <w:pPr>
              <w:spacing w:after="100"/>
              <w:rPr>
                <w:rFonts w:eastAsia="Times New Roman"/>
                <w:sz w:val="20"/>
                <w:szCs w:val="20"/>
              </w:rPr>
            </w:pPr>
          </w:p>
        </w:tc>
        <w:tc>
          <w:tcPr>
            <w:tcW w:w="0" w:type="auto"/>
            <w:gridSpan w:val="3"/>
            <w:vAlign w:val="center"/>
            <w:hideMark/>
          </w:tcPr>
          <w:p w14:paraId="6FB8CBAE" w14:textId="77777777" w:rsidR="00000000" w:rsidRDefault="00A173A8">
            <w:pPr>
              <w:spacing w:after="100"/>
              <w:rPr>
                <w:rFonts w:eastAsia="Times New Roman"/>
                <w:sz w:val="20"/>
                <w:szCs w:val="20"/>
              </w:rPr>
            </w:pPr>
          </w:p>
        </w:tc>
        <w:tc>
          <w:tcPr>
            <w:tcW w:w="0" w:type="auto"/>
            <w:gridSpan w:val="3"/>
            <w:vAlign w:val="center"/>
            <w:hideMark/>
          </w:tcPr>
          <w:p w14:paraId="1F6AB412" w14:textId="77777777" w:rsidR="00000000" w:rsidRDefault="00A173A8">
            <w:pPr>
              <w:spacing w:after="100"/>
              <w:rPr>
                <w:rFonts w:eastAsia="Times New Roman"/>
                <w:sz w:val="20"/>
                <w:szCs w:val="20"/>
              </w:rPr>
            </w:pPr>
          </w:p>
        </w:tc>
      </w:tr>
      <w:tr w:rsidR="00000000" w14:paraId="3B91CEA6" w14:textId="77777777">
        <w:trPr>
          <w:divId w:val="142897690"/>
        </w:trPr>
        <w:tc>
          <w:tcPr>
            <w:tcW w:w="0" w:type="auto"/>
            <w:gridSpan w:val="3"/>
            <w:vAlign w:val="center"/>
            <w:hideMark/>
          </w:tcPr>
          <w:p w14:paraId="77C23E1F" w14:textId="77777777" w:rsidR="00000000" w:rsidRDefault="00A173A8">
            <w:pPr>
              <w:spacing w:after="100"/>
              <w:rPr>
                <w:rFonts w:eastAsia="Times New Roman"/>
                <w:sz w:val="20"/>
                <w:szCs w:val="20"/>
              </w:rPr>
            </w:pPr>
          </w:p>
        </w:tc>
        <w:tc>
          <w:tcPr>
            <w:tcW w:w="0" w:type="auto"/>
            <w:gridSpan w:val="3"/>
            <w:vAlign w:val="center"/>
            <w:hideMark/>
          </w:tcPr>
          <w:p w14:paraId="71D61954" w14:textId="77777777" w:rsidR="00000000" w:rsidRDefault="00A173A8">
            <w:pPr>
              <w:spacing w:after="100"/>
              <w:rPr>
                <w:rFonts w:eastAsia="Times New Roman"/>
                <w:sz w:val="20"/>
                <w:szCs w:val="20"/>
              </w:rPr>
            </w:pPr>
          </w:p>
        </w:tc>
        <w:tc>
          <w:tcPr>
            <w:tcW w:w="0" w:type="auto"/>
            <w:gridSpan w:val="3"/>
            <w:vAlign w:val="center"/>
            <w:hideMark/>
          </w:tcPr>
          <w:p w14:paraId="3D96A546" w14:textId="77777777" w:rsidR="00000000" w:rsidRDefault="00A173A8">
            <w:pPr>
              <w:spacing w:after="100"/>
              <w:rPr>
                <w:rFonts w:eastAsia="Times New Roman"/>
                <w:sz w:val="20"/>
                <w:szCs w:val="20"/>
              </w:rPr>
            </w:pPr>
          </w:p>
        </w:tc>
        <w:tc>
          <w:tcPr>
            <w:tcW w:w="0" w:type="auto"/>
            <w:gridSpan w:val="3"/>
            <w:vAlign w:val="center"/>
            <w:hideMark/>
          </w:tcPr>
          <w:p w14:paraId="574F4EB6" w14:textId="77777777" w:rsidR="00000000" w:rsidRDefault="00A173A8">
            <w:pPr>
              <w:spacing w:after="100"/>
              <w:rPr>
                <w:rFonts w:eastAsia="Times New Roman"/>
                <w:sz w:val="20"/>
                <w:szCs w:val="20"/>
              </w:rPr>
            </w:pPr>
          </w:p>
        </w:tc>
        <w:tc>
          <w:tcPr>
            <w:tcW w:w="0" w:type="auto"/>
            <w:gridSpan w:val="3"/>
            <w:vAlign w:val="center"/>
            <w:hideMark/>
          </w:tcPr>
          <w:p w14:paraId="188B859E" w14:textId="77777777" w:rsidR="00000000" w:rsidRDefault="00A173A8">
            <w:pPr>
              <w:spacing w:after="100"/>
              <w:rPr>
                <w:rFonts w:eastAsia="Times New Roman"/>
                <w:sz w:val="20"/>
                <w:szCs w:val="20"/>
              </w:rPr>
            </w:pPr>
          </w:p>
        </w:tc>
      </w:tr>
      <w:tr w:rsidR="00000000" w14:paraId="6613A294" w14:textId="77777777">
        <w:trPr>
          <w:divId w:val="142897690"/>
        </w:trPr>
        <w:tc>
          <w:tcPr>
            <w:tcW w:w="0" w:type="auto"/>
            <w:gridSpan w:val="3"/>
            <w:vAlign w:val="center"/>
            <w:hideMark/>
          </w:tcPr>
          <w:p w14:paraId="63B17E62" w14:textId="77777777" w:rsidR="00000000" w:rsidRDefault="00A173A8">
            <w:pPr>
              <w:spacing w:after="100"/>
              <w:rPr>
                <w:rFonts w:eastAsia="Times New Roman"/>
                <w:sz w:val="20"/>
                <w:szCs w:val="20"/>
              </w:rPr>
            </w:pPr>
          </w:p>
        </w:tc>
        <w:tc>
          <w:tcPr>
            <w:tcW w:w="0" w:type="auto"/>
            <w:gridSpan w:val="3"/>
            <w:vAlign w:val="center"/>
            <w:hideMark/>
          </w:tcPr>
          <w:p w14:paraId="2B4A6BC4" w14:textId="77777777" w:rsidR="00000000" w:rsidRDefault="00A173A8">
            <w:pPr>
              <w:spacing w:after="100"/>
              <w:rPr>
                <w:rFonts w:eastAsia="Times New Roman"/>
                <w:sz w:val="20"/>
                <w:szCs w:val="20"/>
              </w:rPr>
            </w:pPr>
          </w:p>
        </w:tc>
        <w:tc>
          <w:tcPr>
            <w:tcW w:w="0" w:type="auto"/>
            <w:gridSpan w:val="3"/>
            <w:vAlign w:val="center"/>
            <w:hideMark/>
          </w:tcPr>
          <w:p w14:paraId="611502D6" w14:textId="77777777" w:rsidR="00000000" w:rsidRDefault="00A173A8">
            <w:pPr>
              <w:spacing w:after="100"/>
              <w:rPr>
                <w:rFonts w:eastAsia="Times New Roman"/>
                <w:sz w:val="20"/>
                <w:szCs w:val="20"/>
              </w:rPr>
            </w:pPr>
          </w:p>
        </w:tc>
        <w:tc>
          <w:tcPr>
            <w:tcW w:w="0" w:type="auto"/>
            <w:gridSpan w:val="3"/>
            <w:vAlign w:val="center"/>
            <w:hideMark/>
          </w:tcPr>
          <w:p w14:paraId="7E1AB444" w14:textId="77777777" w:rsidR="00000000" w:rsidRDefault="00A173A8">
            <w:pPr>
              <w:spacing w:after="100"/>
              <w:rPr>
                <w:rFonts w:eastAsia="Times New Roman"/>
                <w:sz w:val="20"/>
                <w:szCs w:val="20"/>
              </w:rPr>
            </w:pPr>
          </w:p>
        </w:tc>
        <w:tc>
          <w:tcPr>
            <w:tcW w:w="0" w:type="auto"/>
            <w:gridSpan w:val="3"/>
            <w:vAlign w:val="center"/>
            <w:hideMark/>
          </w:tcPr>
          <w:p w14:paraId="61827D73" w14:textId="77777777" w:rsidR="00000000" w:rsidRDefault="00A173A8">
            <w:pPr>
              <w:spacing w:after="100"/>
              <w:rPr>
                <w:rFonts w:eastAsia="Times New Roman"/>
                <w:sz w:val="20"/>
                <w:szCs w:val="20"/>
              </w:rPr>
            </w:pPr>
          </w:p>
        </w:tc>
      </w:tr>
      <w:tr w:rsidR="00000000" w14:paraId="719926D1" w14:textId="77777777">
        <w:trPr>
          <w:divId w:val="142897690"/>
        </w:trPr>
        <w:tc>
          <w:tcPr>
            <w:tcW w:w="0" w:type="auto"/>
            <w:gridSpan w:val="3"/>
            <w:vAlign w:val="center"/>
            <w:hideMark/>
          </w:tcPr>
          <w:p w14:paraId="1A5106FF" w14:textId="77777777" w:rsidR="00000000" w:rsidRDefault="00A173A8">
            <w:pPr>
              <w:spacing w:after="100"/>
              <w:rPr>
                <w:rFonts w:eastAsia="Times New Roman"/>
                <w:sz w:val="20"/>
                <w:szCs w:val="20"/>
              </w:rPr>
            </w:pPr>
          </w:p>
        </w:tc>
        <w:tc>
          <w:tcPr>
            <w:tcW w:w="0" w:type="auto"/>
            <w:gridSpan w:val="3"/>
            <w:vAlign w:val="center"/>
            <w:hideMark/>
          </w:tcPr>
          <w:p w14:paraId="31862873" w14:textId="77777777" w:rsidR="00000000" w:rsidRDefault="00A173A8">
            <w:pPr>
              <w:spacing w:after="100"/>
              <w:rPr>
                <w:rFonts w:eastAsia="Times New Roman"/>
                <w:sz w:val="20"/>
                <w:szCs w:val="20"/>
              </w:rPr>
            </w:pPr>
          </w:p>
        </w:tc>
        <w:tc>
          <w:tcPr>
            <w:tcW w:w="0" w:type="auto"/>
            <w:gridSpan w:val="3"/>
            <w:vAlign w:val="center"/>
            <w:hideMark/>
          </w:tcPr>
          <w:p w14:paraId="02CA8605" w14:textId="77777777" w:rsidR="00000000" w:rsidRDefault="00A173A8">
            <w:pPr>
              <w:spacing w:after="100"/>
              <w:rPr>
                <w:rFonts w:eastAsia="Times New Roman"/>
                <w:sz w:val="20"/>
                <w:szCs w:val="20"/>
              </w:rPr>
            </w:pPr>
          </w:p>
        </w:tc>
        <w:tc>
          <w:tcPr>
            <w:tcW w:w="0" w:type="auto"/>
            <w:gridSpan w:val="3"/>
            <w:vAlign w:val="center"/>
            <w:hideMark/>
          </w:tcPr>
          <w:p w14:paraId="2E8410CF" w14:textId="77777777" w:rsidR="00000000" w:rsidRDefault="00A173A8">
            <w:pPr>
              <w:spacing w:after="100"/>
              <w:rPr>
                <w:rFonts w:eastAsia="Times New Roman"/>
                <w:sz w:val="20"/>
                <w:szCs w:val="20"/>
              </w:rPr>
            </w:pPr>
          </w:p>
        </w:tc>
        <w:tc>
          <w:tcPr>
            <w:tcW w:w="0" w:type="auto"/>
            <w:gridSpan w:val="3"/>
            <w:vAlign w:val="center"/>
            <w:hideMark/>
          </w:tcPr>
          <w:p w14:paraId="1B85A860" w14:textId="77777777" w:rsidR="00000000" w:rsidRDefault="00A173A8">
            <w:pPr>
              <w:spacing w:after="100"/>
              <w:rPr>
                <w:rFonts w:eastAsia="Times New Roman"/>
                <w:sz w:val="20"/>
                <w:szCs w:val="20"/>
              </w:rPr>
            </w:pPr>
          </w:p>
        </w:tc>
      </w:tr>
      <w:tr w:rsidR="00000000" w14:paraId="03FBC7DC" w14:textId="77777777">
        <w:trPr>
          <w:divId w:val="142897690"/>
        </w:trPr>
        <w:tc>
          <w:tcPr>
            <w:tcW w:w="0" w:type="auto"/>
            <w:gridSpan w:val="3"/>
            <w:vAlign w:val="center"/>
            <w:hideMark/>
          </w:tcPr>
          <w:p w14:paraId="1B7305C2" w14:textId="77777777" w:rsidR="00000000" w:rsidRDefault="00A173A8">
            <w:pPr>
              <w:spacing w:after="100"/>
              <w:rPr>
                <w:rFonts w:eastAsia="Times New Roman"/>
                <w:sz w:val="20"/>
                <w:szCs w:val="20"/>
              </w:rPr>
            </w:pPr>
          </w:p>
        </w:tc>
        <w:tc>
          <w:tcPr>
            <w:tcW w:w="0" w:type="auto"/>
            <w:gridSpan w:val="3"/>
            <w:vAlign w:val="center"/>
            <w:hideMark/>
          </w:tcPr>
          <w:p w14:paraId="26B09142" w14:textId="77777777" w:rsidR="00000000" w:rsidRDefault="00A173A8">
            <w:pPr>
              <w:spacing w:after="100"/>
              <w:rPr>
                <w:rFonts w:eastAsia="Times New Roman"/>
                <w:sz w:val="20"/>
                <w:szCs w:val="20"/>
              </w:rPr>
            </w:pPr>
          </w:p>
        </w:tc>
        <w:tc>
          <w:tcPr>
            <w:tcW w:w="0" w:type="auto"/>
            <w:gridSpan w:val="3"/>
            <w:vAlign w:val="center"/>
            <w:hideMark/>
          </w:tcPr>
          <w:p w14:paraId="5EC16A24" w14:textId="77777777" w:rsidR="00000000" w:rsidRDefault="00A173A8">
            <w:pPr>
              <w:spacing w:after="100"/>
              <w:rPr>
                <w:rFonts w:eastAsia="Times New Roman"/>
                <w:sz w:val="20"/>
                <w:szCs w:val="20"/>
              </w:rPr>
            </w:pPr>
          </w:p>
        </w:tc>
        <w:tc>
          <w:tcPr>
            <w:tcW w:w="0" w:type="auto"/>
            <w:gridSpan w:val="3"/>
            <w:vAlign w:val="center"/>
            <w:hideMark/>
          </w:tcPr>
          <w:p w14:paraId="3D11C6C3" w14:textId="77777777" w:rsidR="00000000" w:rsidRDefault="00A173A8">
            <w:pPr>
              <w:spacing w:after="100"/>
              <w:rPr>
                <w:rFonts w:eastAsia="Times New Roman"/>
                <w:sz w:val="20"/>
                <w:szCs w:val="20"/>
              </w:rPr>
            </w:pPr>
          </w:p>
        </w:tc>
        <w:tc>
          <w:tcPr>
            <w:tcW w:w="0" w:type="auto"/>
            <w:gridSpan w:val="3"/>
            <w:vAlign w:val="center"/>
            <w:hideMark/>
          </w:tcPr>
          <w:p w14:paraId="6E02FEF4" w14:textId="77777777" w:rsidR="00000000" w:rsidRDefault="00A173A8">
            <w:pPr>
              <w:spacing w:after="100"/>
              <w:rPr>
                <w:rFonts w:eastAsia="Times New Roman"/>
                <w:sz w:val="20"/>
                <w:szCs w:val="20"/>
              </w:rPr>
            </w:pPr>
          </w:p>
        </w:tc>
      </w:tr>
      <w:tr w:rsidR="00000000" w14:paraId="12FB47C3" w14:textId="77777777">
        <w:trPr>
          <w:divId w:val="142897690"/>
        </w:trPr>
        <w:tc>
          <w:tcPr>
            <w:tcW w:w="0" w:type="auto"/>
            <w:gridSpan w:val="3"/>
            <w:vAlign w:val="center"/>
            <w:hideMark/>
          </w:tcPr>
          <w:p w14:paraId="6D2F0814" w14:textId="77777777" w:rsidR="00000000" w:rsidRDefault="00A173A8">
            <w:pPr>
              <w:spacing w:after="100"/>
              <w:rPr>
                <w:rFonts w:eastAsia="Times New Roman"/>
                <w:sz w:val="20"/>
                <w:szCs w:val="20"/>
              </w:rPr>
            </w:pPr>
          </w:p>
        </w:tc>
        <w:tc>
          <w:tcPr>
            <w:tcW w:w="0" w:type="auto"/>
            <w:gridSpan w:val="3"/>
            <w:vAlign w:val="center"/>
            <w:hideMark/>
          </w:tcPr>
          <w:p w14:paraId="4055DA35" w14:textId="77777777" w:rsidR="00000000" w:rsidRDefault="00A173A8">
            <w:pPr>
              <w:spacing w:after="100"/>
              <w:rPr>
                <w:rFonts w:eastAsia="Times New Roman"/>
                <w:sz w:val="20"/>
                <w:szCs w:val="20"/>
              </w:rPr>
            </w:pPr>
          </w:p>
        </w:tc>
        <w:tc>
          <w:tcPr>
            <w:tcW w:w="0" w:type="auto"/>
            <w:gridSpan w:val="3"/>
            <w:vAlign w:val="center"/>
            <w:hideMark/>
          </w:tcPr>
          <w:p w14:paraId="38A0EF4F" w14:textId="77777777" w:rsidR="00000000" w:rsidRDefault="00A173A8">
            <w:pPr>
              <w:spacing w:after="100"/>
              <w:rPr>
                <w:rFonts w:eastAsia="Times New Roman"/>
                <w:sz w:val="20"/>
                <w:szCs w:val="20"/>
              </w:rPr>
            </w:pPr>
          </w:p>
        </w:tc>
        <w:tc>
          <w:tcPr>
            <w:tcW w:w="0" w:type="auto"/>
            <w:gridSpan w:val="3"/>
            <w:vAlign w:val="center"/>
            <w:hideMark/>
          </w:tcPr>
          <w:p w14:paraId="11096B31" w14:textId="77777777" w:rsidR="00000000" w:rsidRDefault="00A173A8">
            <w:pPr>
              <w:spacing w:after="100"/>
              <w:rPr>
                <w:rFonts w:eastAsia="Times New Roman"/>
                <w:sz w:val="20"/>
                <w:szCs w:val="20"/>
              </w:rPr>
            </w:pPr>
          </w:p>
        </w:tc>
        <w:tc>
          <w:tcPr>
            <w:tcW w:w="0" w:type="auto"/>
            <w:gridSpan w:val="3"/>
            <w:vAlign w:val="center"/>
            <w:hideMark/>
          </w:tcPr>
          <w:p w14:paraId="3161E0D6" w14:textId="77777777" w:rsidR="00000000" w:rsidRDefault="00A173A8">
            <w:pPr>
              <w:spacing w:after="100"/>
              <w:rPr>
                <w:rFonts w:eastAsia="Times New Roman"/>
                <w:sz w:val="20"/>
                <w:szCs w:val="20"/>
              </w:rPr>
            </w:pPr>
          </w:p>
        </w:tc>
      </w:tr>
      <w:tr w:rsidR="00000000" w14:paraId="2F0D31EC" w14:textId="77777777">
        <w:trPr>
          <w:divId w:val="142897690"/>
        </w:trPr>
        <w:tc>
          <w:tcPr>
            <w:tcW w:w="0" w:type="auto"/>
            <w:gridSpan w:val="3"/>
            <w:vAlign w:val="center"/>
            <w:hideMark/>
          </w:tcPr>
          <w:p w14:paraId="4CFCCB65" w14:textId="77777777" w:rsidR="00000000" w:rsidRDefault="00A173A8">
            <w:pPr>
              <w:spacing w:after="100"/>
              <w:rPr>
                <w:rFonts w:eastAsia="Times New Roman"/>
                <w:sz w:val="20"/>
                <w:szCs w:val="20"/>
              </w:rPr>
            </w:pPr>
          </w:p>
        </w:tc>
        <w:tc>
          <w:tcPr>
            <w:tcW w:w="0" w:type="auto"/>
            <w:gridSpan w:val="3"/>
            <w:vAlign w:val="center"/>
            <w:hideMark/>
          </w:tcPr>
          <w:p w14:paraId="1913CD71" w14:textId="77777777" w:rsidR="00000000" w:rsidRDefault="00A173A8">
            <w:pPr>
              <w:spacing w:after="100"/>
              <w:rPr>
                <w:rFonts w:eastAsia="Times New Roman"/>
                <w:sz w:val="20"/>
                <w:szCs w:val="20"/>
              </w:rPr>
            </w:pPr>
          </w:p>
        </w:tc>
        <w:tc>
          <w:tcPr>
            <w:tcW w:w="0" w:type="auto"/>
            <w:gridSpan w:val="3"/>
            <w:vAlign w:val="center"/>
            <w:hideMark/>
          </w:tcPr>
          <w:p w14:paraId="27BD232C" w14:textId="77777777" w:rsidR="00000000" w:rsidRDefault="00A173A8">
            <w:pPr>
              <w:spacing w:after="100"/>
              <w:rPr>
                <w:rFonts w:eastAsia="Times New Roman"/>
                <w:sz w:val="20"/>
                <w:szCs w:val="20"/>
              </w:rPr>
            </w:pPr>
          </w:p>
        </w:tc>
        <w:tc>
          <w:tcPr>
            <w:tcW w:w="0" w:type="auto"/>
            <w:gridSpan w:val="3"/>
            <w:vAlign w:val="center"/>
            <w:hideMark/>
          </w:tcPr>
          <w:p w14:paraId="1DFB0E87" w14:textId="77777777" w:rsidR="00000000" w:rsidRDefault="00A173A8">
            <w:pPr>
              <w:spacing w:after="100"/>
              <w:rPr>
                <w:rFonts w:eastAsia="Times New Roman"/>
                <w:sz w:val="20"/>
                <w:szCs w:val="20"/>
              </w:rPr>
            </w:pPr>
          </w:p>
        </w:tc>
        <w:tc>
          <w:tcPr>
            <w:tcW w:w="0" w:type="auto"/>
            <w:gridSpan w:val="3"/>
            <w:vAlign w:val="center"/>
            <w:hideMark/>
          </w:tcPr>
          <w:p w14:paraId="436905B8" w14:textId="77777777" w:rsidR="00000000" w:rsidRDefault="00A173A8">
            <w:pPr>
              <w:spacing w:after="100"/>
              <w:rPr>
                <w:rFonts w:eastAsia="Times New Roman"/>
                <w:sz w:val="20"/>
                <w:szCs w:val="20"/>
              </w:rPr>
            </w:pPr>
          </w:p>
        </w:tc>
      </w:tr>
      <w:tr w:rsidR="00000000" w14:paraId="0A6D6617" w14:textId="77777777">
        <w:trPr>
          <w:divId w:val="142897690"/>
        </w:trPr>
        <w:tc>
          <w:tcPr>
            <w:tcW w:w="0" w:type="auto"/>
            <w:gridSpan w:val="3"/>
            <w:vAlign w:val="center"/>
            <w:hideMark/>
          </w:tcPr>
          <w:p w14:paraId="2840E88D" w14:textId="77777777" w:rsidR="00000000" w:rsidRDefault="00A173A8">
            <w:pPr>
              <w:spacing w:after="100"/>
              <w:rPr>
                <w:rFonts w:eastAsia="Times New Roman"/>
                <w:sz w:val="20"/>
                <w:szCs w:val="20"/>
              </w:rPr>
            </w:pPr>
          </w:p>
        </w:tc>
        <w:tc>
          <w:tcPr>
            <w:tcW w:w="0" w:type="auto"/>
            <w:gridSpan w:val="3"/>
            <w:vAlign w:val="center"/>
            <w:hideMark/>
          </w:tcPr>
          <w:p w14:paraId="5D263D71" w14:textId="77777777" w:rsidR="00000000" w:rsidRDefault="00A173A8">
            <w:pPr>
              <w:spacing w:after="100"/>
              <w:rPr>
                <w:rFonts w:eastAsia="Times New Roman"/>
                <w:sz w:val="20"/>
                <w:szCs w:val="20"/>
              </w:rPr>
            </w:pPr>
          </w:p>
        </w:tc>
        <w:tc>
          <w:tcPr>
            <w:tcW w:w="0" w:type="auto"/>
            <w:gridSpan w:val="3"/>
            <w:vAlign w:val="center"/>
            <w:hideMark/>
          </w:tcPr>
          <w:p w14:paraId="1F0FF830" w14:textId="77777777" w:rsidR="00000000" w:rsidRDefault="00A173A8">
            <w:pPr>
              <w:spacing w:after="100"/>
              <w:rPr>
                <w:rFonts w:eastAsia="Times New Roman"/>
                <w:sz w:val="20"/>
                <w:szCs w:val="20"/>
              </w:rPr>
            </w:pPr>
          </w:p>
        </w:tc>
        <w:tc>
          <w:tcPr>
            <w:tcW w:w="0" w:type="auto"/>
            <w:gridSpan w:val="3"/>
            <w:vAlign w:val="center"/>
            <w:hideMark/>
          </w:tcPr>
          <w:p w14:paraId="42B0FEA3" w14:textId="77777777" w:rsidR="00000000" w:rsidRDefault="00A173A8">
            <w:pPr>
              <w:spacing w:after="100"/>
              <w:rPr>
                <w:rFonts w:eastAsia="Times New Roman"/>
                <w:sz w:val="20"/>
                <w:szCs w:val="20"/>
              </w:rPr>
            </w:pPr>
          </w:p>
        </w:tc>
        <w:tc>
          <w:tcPr>
            <w:tcW w:w="0" w:type="auto"/>
            <w:gridSpan w:val="3"/>
            <w:vAlign w:val="center"/>
            <w:hideMark/>
          </w:tcPr>
          <w:p w14:paraId="1B258BB5" w14:textId="77777777" w:rsidR="00000000" w:rsidRDefault="00A173A8">
            <w:pPr>
              <w:spacing w:after="100"/>
              <w:rPr>
                <w:rFonts w:eastAsia="Times New Roman"/>
                <w:sz w:val="20"/>
                <w:szCs w:val="20"/>
              </w:rPr>
            </w:pPr>
          </w:p>
        </w:tc>
      </w:tr>
      <w:tr w:rsidR="00000000" w14:paraId="2871E8F1" w14:textId="77777777">
        <w:trPr>
          <w:divId w:val="142897690"/>
        </w:trPr>
        <w:tc>
          <w:tcPr>
            <w:tcW w:w="0" w:type="auto"/>
            <w:gridSpan w:val="3"/>
            <w:vAlign w:val="center"/>
            <w:hideMark/>
          </w:tcPr>
          <w:p w14:paraId="21F230D6" w14:textId="77777777" w:rsidR="00000000" w:rsidRDefault="00A173A8">
            <w:pPr>
              <w:spacing w:after="100"/>
              <w:rPr>
                <w:rFonts w:eastAsia="Times New Roman"/>
                <w:sz w:val="20"/>
                <w:szCs w:val="20"/>
              </w:rPr>
            </w:pPr>
          </w:p>
        </w:tc>
        <w:tc>
          <w:tcPr>
            <w:tcW w:w="0" w:type="auto"/>
            <w:gridSpan w:val="3"/>
            <w:vAlign w:val="center"/>
            <w:hideMark/>
          </w:tcPr>
          <w:p w14:paraId="63484939" w14:textId="77777777" w:rsidR="00000000" w:rsidRDefault="00A173A8">
            <w:pPr>
              <w:spacing w:after="100"/>
              <w:rPr>
                <w:rFonts w:eastAsia="Times New Roman"/>
                <w:sz w:val="20"/>
                <w:szCs w:val="20"/>
              </w:rPr>
            </w:pPr>
          </w:p>
        </w:tc>
        <w:tc>
          <w:tcPr>
            <w:tcW w:w="0" w:type="auto"/>
            <w:gridSpan w:val="3"/>
            <w:vAlign w:val="center"/>
            <w:hideMark/>
          </w:tcPr>
          <w:p w14:paraId="672DF47C" w14:textId="77777777" w:rsidR="00000000" w:rsidRDefault="00A173A8">
            <w:pPr>
              <w:spacing w:after="100"/>
              <w:rPr>
                <w:rFonts w:eastAsia="Times New Roman"/>
                <w:sz w:val="20"/>
                <w:szCs w:val="20"/>
              </w:rPr>
            </w:pPr>
          </w:p>
        </w:tc>
        <w:tc>
          <w:tcPr>
            <w:tcW w:w="0" w:type="auto"/>
            <w:gridSpan w:val="3"/>
            <w:vAlign w:val="center"/>
            <w:hideMark/>
          </w:tcPr>
          <w:p w14:paraId="69091EA6" w14:textId="77777777" w:rsidR="00000000" w:rsidRDefault="00A173A8">
            <w:pPr>
              <w:spacing w:after="100"/>
              <w:rPr>
                <w:rFonts w:eastAsia="Times New Roman"/>
                <w:sz w:val="20"/>
                <w:szCs w:val="20"/>
              </w:rPr>
            </w:pPr>
          </w:p>
        </w:tc>
        <w:tc>
          <w:tcPr>
            <w:tcW w:w="0" w:type="auto"/>
            <w:gridSpan w:val="3"/>
            <w:vAlign w:val="center"/>
            <w:hideMark/>
          </w:tcPr>
          <w:p w14:paraId="1DE9ABD6" w14:textId="77777777" w:rsidR="00000000" w:rsidRDefault="00A173A8">
            <w:pPr>
              <w:spacing w:after="100"/>
              <w:rPr>
                <w:rFonts w:eastAsia="Times New Roman"/>
                <w:sz w:val="20"/>
                <w:szCs w:val="20"/>
              </w:rPr>
            </w:pPr>
          </w:p>
        </w:tc>
      </w:tr>
      <w:tr w:rsidR="00000000" w14:paraId="23931B86" w14:textId="77777777">
        <w:trPr>
          <w:divId w:val="142897690"/>
        </w:trPr>
        <w:tc>
          <w:tcPr>
            <w:tcW w:w="0" w:type="auto"/>
            <w:gridSpan w:val="3"/>
            <w:vAlign w:val="center"/>
            <w:hideMark/>
          </w:tcPr>
          <w:p w14:paraId="350221DE" w14:textId="77777777" w:rsidR="00000000" w:rsidRDefault="00A173A8">
            <w:pPr>
              <w:spacing w:after="100"/>
              <w:rPr>
                <w:rFonts w:eastAsia="Times New Roman"/>
                <w:sz w:val="20"/>
                <w:szCs w:val="20"/>
              </w:rPr>
            </w:pPr>
          </w:p>
        </w:tc>
        <w:tc>
          <w:tcPr>
            <w:tcW w:w="0" w:type="auto"/>
            <w:gridSpan w:val="3"/>
            <w:vAlign w:val="center"/>
            <w:hideMark/>
          </w:tcPr>
          <w:p w14:paraId="2DDA23F5" w14:textId="77777777" w:rsidR="00000000" w:rsidRDefault="00A173A8">
            <w:pPr>
              <w:spacing w:after="100"/>
              <w:rPr>
                <w:rFonts w:eastAsia="Times New Roman"/>
                <w:sz w:val="20"/>
                <w:szCs w:val="20"/>
              </w:rPr>
            </w:pPr>
          </w:p>
        </w:tc>
        <w:tc>
          <w:tcPr>
            <w:tcW w:w="0" w:type="auto"/>
            <w:gridSpan w:val="3"/>
            <w:vAlign w:val="center"/>
            <w:hideMark/>
          </w:tcPr>
          <w:p w14:paraId="24A22D78" w14:textId="77777777" w:rsidR="00000000" w:rsidRDefault="00A173A8">
            <w:pPr>
              <w:spacing w:after="100"/>
              <w:rPr>
                <w:rFonts w:eastAsia="Times New Roman"/>
                <w:sz w:val="20"/>
                <w:szCs w:val="20"/>
              </w:rPr>
            </w:pPr>
          </w:p>
        </w:tc>
        <w:tc>
          <w:tcPr>
            <w:tcW w:w="0" w:type="auto"/>
            <w:gridSpan w:val="3"/>
            <w:vAlign w:val="center"/>
            <w:hideMark/>
          </w:tcPr>
          <w:p w14:paraId="7CB728A9" w14:textId="77777777" w:rsidR="00000000" w:rsidRDefault="00A173A8">
            <w:pPr>
              <w:spacing w:after="100"/>
              <w:rPr>
                <w:rFonts w:eastAsia="Times New Roman"/>
                <w:sz w:val="20"/>
                <w:szCs w:val="20"/>
              </w:rPr>
            </w:pPr>
          </w:p>
        </w:tc>
        <w:tc>
          <w:tcPr>
            <w:tcW w:w="0" w:type="auto"/>
            <w:gridSpan w:val="3"/>
            <w:vAlign w:val="center"/>
            <w:hideMark/>
          </w:tcPr>
          <w:p w14:paraId="199FD3F5" w14:textId="77777777" w:rsidR="00000000" w:rsidRDefault="00A173A8">
            <w:pPr>
              <w:spacing w:after="100"/>
              <w:rPr>
                <w:rFonts w:eastAsia="Times New Roman"/>
                <w:sz w:val="20"/>
                <w:szCs w:val="20"/>
              </w:rPr>
            </w:pPr>
          </w:p>
        </w:tc>
      </w:tr>
      <w:tr w:rsidR="00000000" w14:paraId="2C99BA41" w14:textId="77777777">
        <w:trPr>
          <w:divId w:val="142897690"/>
        </w:trPr>
        <w:tc>
          <w:tcPr>
            <w:tcW w:w="0" w:type="auto"/>
            <w:gridSpan w:val="3"/>
            <w:vAlign w:val="center"/>
            <w:hideMark/>
          </w:tcPr>
          <w:p w14:paraId="5D939C06" w14:textId="77777777" w:rsidR="00000000" w:rsidRDefault="00A173A8">
            <w:pPr>
              <w:spacing w:after="100"/>
              <w:rPr>
                <w:rFonts w:eastAsia="Times New Roman"/>
                <w:sz w:val="20"/>
                <w:szCs w:val="20"/>
              </w:rPr>
            </w:pPr>
          </w:p>
        </w:tc>
        <w:tc>
          <w:tcPr>
            <w:tcW w:w="0" w:type="auto"/>
            <w:gridSpan w:val="3"/>
            <w:vAlign w:val="center"/>
            <w:hideMark/>
          </w:tcPr>
          <w:p w14:paraId="02D582CD" w14:textId="77777777" w:rsidR="00000000" w:rsidRDefault="00A173A8">
            <w:pPr>
              <w:spacing w:after="100"/>
              <w:rPr>
                <w:rFonts w:eastAsia="Times New Roman"/>
                <w:sz w:val="20"/>
                <w:szCs w:val="20"/>
              </w:rPr>
            </w:pPr>
          </w:p>
        </w:tc>
        <w:tc>
          <w:tcPr>
            <w:tcW w:w="0" w:type="auto"/>
            <w:gridSpan w:val="3"/>
            <w:vAlign w:val="center"/>
            <w:hideMark/>
          </w:tcPr>
          <w:p w14:paraId="5407A62C" w14:textId="77777777" w:rsidR="00000000" w:rsidRDefault="00A173A8">
            <w:pPr>
              <w:spacing w:after="100"/>
              <w:rPr>
                <w:rFonts w:eastAsia="Times New Roman"/>
                <w:sz w:val="20"/>
                <w:szCs w:val="20"/>
              </w:rPr>
            </w:pPr>
          </w:p>
        </w:tc>
        <w:tc>
          <w:tcPr>
            <w:tcW w:w="0" w:type="auto"/>
            <w:gridSpan w:val="3"/>
            <w:vAlign w:val="center"/>
            <w:hideMark/>
          </w:tcPr>
          <w:p w14:paraId="447ECC90" w14:textId="77777777" w:rsidR="00000000" w:rsidRDefault="00A173A8">
            <w:pPr>
              <w:spacing w:after="100"/>
              <w:rPr>
                <w:rFonts w:eastAsia="Times New Roman"/>
                <w:sz w:val="20"/>
                <w:szCs w:val="20"/>
              </w:rPr>
            </w:pPr>
          </w:p>
        </w:tc>
        <w:tc>
          <w:tcPr>
            <w:tcW w:w="0" w:type="auto"/>
            <w:gridSpan w:val="3"/>
            <w:vAlign w:val="center"/>
            <w:hideMark/>
          </w:tcPr>
          <w:p w14:paraId="4F7A9457" w14:textId="77777777" w:rsidR="00000000" w:rsidRDefault="00A173A8">
            <w:pPr>
              <w:spacing w:after="100"/>
              <w:rPr>
                <w:rFonts w:eastAsia="Times New Roman"/>
                <w:sz w:val="20"/>
                <w:szCs w:val="20"/>
              </w:rPr>
            </w:pPr>
          </w:p>
        </w:tc>
      </w:tr>
      <w:tr w:rsidR="00000000" w14:paraId="62736925" w14:textId="77777777">
        <w:trPr>
          <w:divId w:val="142897690"/>
        </w:trPr>
        <w:tc>
          <w:tcPr>
            <w:tcW w:w="0" w:type="auto"/>
            <w:gridSpan w:val="3"/>
            <w:vAlign w:val="center"/>
            <w:hideMark/>
          </w:tcPr>
          <w:p w14:paraId="208B11A1" w14:textId="77777777" w:rsidR="00000000" w:rsidRDefault="00A173A8">
            <w:pPr>
              <w:spacing w:after="100"/>
              <w:rPr>
                <w:rFonts w:eastAsia="Times New Roman"/>
                <w:sz w:val="20"/>
                <w:szCs w:val="20"/>
              </w:rPr>
            </w:pPr>
          </w:p>
        </w:tc>
        <w:tc>
          <w:tcPr>
            <w:tcW w:w="0" w:type="auto"/>
            <w:gridSpan w:val="3"/>
            <w:vAlign w:val="center"/>
            <w:hideMark/>
          </w:tcPr>
          <w:p w14:paraId="123001F1" w14:textId="77777777" w:rsidR="00000000" w:rsidRDefault="00A173A8">
            <w:pPr>
              <w:spacing w:after="100"/>
              <w:rPr>
                <w:rFonts w:eastAsia="Times New Roman"/>
                <w:sz w:val="20"/>
                <w:szCs w:val="20"/>
              </w:rPr>
            </w:pPr>
          </w:p>
        </w:tc>
        <w:tc>
          <w:tcPr>
            <w:tcW w:w="0" w:type="auto"/>
            <w:gridSpan w:val="3"/>
            <w:vAlign w:val="center"/>
            <w:hideMark/>
          </w:tcPr>
          <w:p w14:paraId="56C733B8" w14:textId="77777777" w:rsidR="00000000" w:rsidRDefault="00A173A8">
            <w:pPr>
              <w:spacing w:after="100"/>
              <w:rPr>
                <w:rFonts w:eastAsia="Times New Roman"/>
                <w:sz w:val="20"/>
                <w:szCs w:val="20"/>
              </w:rPr>
            </w:pPr>
          </w:p>
        </w:tc>
        <w:tc>
          <w:tcPr>
            <w:tcW w:w="0" w:type="auto"/>
            <w:gridSpan w:val="3"/>
            <w:vAlign w:val="center"/>
            <w:hideMark/>
          </w:tcPr>
          <w:p w14:paraId="33180A63" w14:textId="77777777" w:rsidR="00000000" w:rsidRDefault="00A173A8">
            <w:pPr>
              <w:spacing w:after="100"/>
              <w:rPr>
                <w:rFonts w:eastAsia="Times New Roman"/>
                <w:sz w:val="20"/>
                <w:szCs w:val="20"/>
              </w:rPr>
            </w:pPr>
          </w:p>
        </w:tc>
        <w:tc>
          <w:tcPr>
            <w:tcW w:w="0" w:type="auto"/>
            <w:gridSpan w:val="3"/>
            <w:vAlign w:val="center"/>
            <w:hideMark/>
          </w:tcPr>
          <w:p w14:paraId="3C534B10" w14:textId="77777777" w:rsidR="00000000" w:rsidRDefault="00A173A8">
            <w:pPr>
              <w:spacing w:after="100"/>
              <w:rPr>
                <w:rFonts w:eastAsia="Times New Roman"/>
                <w:sz w:val="20"/>
                <w:szCs w:val="20"/>
              </w:rPr>
            </w:pPr>
          </w:p>
        </w:tc>
      </w:tr>
      <w:tr w:rsidR="00000000" w14:paraId="23BA3F69" w14:textId="77777777">
        <w:trPr>
          <w:divId w:val="142897690"/>
        </w:trPr>
        <w:tc>
          <w:tcPr>
            <w:tcW w:w="0" w:type="auto"/>
            <w:gridSpan w:val="3"/>
            <w:vAlign w:val="center"/>
            <w:hideMark/>
          </w:tcPr>
          <w:p w14:paraId="0095A376" w14:textId="77777777" w:rsidR="00000000" w:rsidRDefault="00A173A8">
            <w:pPr>
              <w:spacing w:after="100"/>
              <w:rPr>
                <w:rFonts w:eastAsia="Times New Roman"/>
                <w:sz w:val="20"/>
                <w:szCs w:val="20"/>
              </w:rPr>
            </w:pPr>
          </w:p>
        </w:tc>
        <w:tc>
          <w:tcPr>
            <w:tcW w:w="0" w:type="auto"/>
            <w:gridSpan w:val="3"/>
            <w:vAlign w:val="center"/>
            <w:hideMark/>
          </w:tcPr>
          <w:p w14:paraId="07AC9261" w14:textId="77777777" w:rsidR="00000000" w:rsidRDefault="00A173A8">
            <w:pPr>
              <w:spacing w:after="100"/>
              <w:rPr>
                <w:rFonts w:eastAsia="Times New Roman"/>
                <w:sz w:val="20"/>
                <w:szCs w:val="20"/>
              </w:rPr>
            </w:pPr>
          </w:p>
        </w:tc>
        <w:tc>
          <w:tcPr>
            <w:tcW w:w="0" w:type="auto"/>
            <w:gridSpan w:val="3"/>
            <w:vAlign w:val="center"/>
            <w:hideMark/>
          </w:tcPr>
          <w:p w14:paraId="027842AC" w14:textId="77777777" w:rsidR="00000000" w:rsidRDefault="00A173A8">
            <w:pPr>
              <w:spacing w:after="100"/>
              <w:rPr>
                <w:rFonts w:eastAsia="Times New Roman"/>
                <w:sz w:val="20"/>
                <w:szCs w:val="20"/>
              </w:rPr>
            </w:pPr>
          </w:p>
        </w:tc>
        <w:tc>
          <w:tcPr>
            <w:tcW w:w="0" w:type="auto"/>
            <w:gridSpan w:val="3"/>
            <w:vAlign w:val="center"/>
            <w:hideMark/>
          </w:tcPr>
          <w:p w14:paraId="5AA27EA3" w14:textId="77777777" w:rsidR="00000000" w:rsidRDefault="00A173A8">
            <w:pPr>
              <w:spacing w:after="100"/>
              <w:rPr>
                <w:rFonts w:eastAsia="Times New Roman"/>
                <w:sz w:val="20"/>
                <w:szCs w:val="20"/>
              </w:rPr>
            </w:pPr>
          </w:p>
        </w:tc>
        <w:tc>
          <w:tcPr>
            <w:tcW w:w="0" w:type="auto"/>
            <w:gridSpan w:val="3"/>
            <w:vAlign w:val="center"/>
            <w:hideMark/>
          </w:tcPr>
          <w:p w14:paraId="26E1139D" w14:textId="77777777" w:rsidR="00000000" w:rsidRDefault="00A173A8">
            <w:pPr>
              <w:spacing w:after="100"/>
              <w:rPr>
                <w:rFonts w:eastAsia="Times New Roman"/>
                <w:sz w:val="20"/>
                <w:szCs w:val="20"/>
              </w:rPr>
            </w:pPr>
          </w:p>
        </w:tc>
      </w:tr>
      <w:tr w:rsidR="00000000" w14:paraId="06A13BAC" w14:textId="77777777">
        <w:trPr>
          <w:divId w:val="142897690"/>
        </w:trPr>
        <w:tc>
          <w:tcPr>
            <w:tcW w:w="0" w:type="auto"/>
            <w:gridSpan w:val="3"/>
            <w:vAlign w:val="center"/>
            <w:hideMark/>
          </w:tcPr>
          <w:p w14:paraId="3B1F5CA9" w14:textId="77777777" w:rsidR="00000000" w:rsidRDefault="00A173A8">
            <w:pPr>
              <w:spacing w:after="100"/>
              <w:rPr>
                <w:rFonts w:eastAsia="Times New Roman"/>
                <w:sz w:val="20"/>
                <w:szCs w:val="20"/>
              </w:rPr>
            </w:pPr>
          </w:p>
        </w:tc>
        <w:tc>
          <w:tcPr>
            <w:tcW w:w="0" w:type="auto"/>
            <w:gridSpan w:val="3"/>
            <w:vAlign w:val="center"/>
            <w:hideMark/>
          </w:tcPr>
          <w:p w14:paraId="3D329E1B" w14:textId="77777777" w:rsidR="00000000" w:rsidRDefault="00A173A8">
            <w:pPr>
              <w:spacing w:after="100"/>
              <w:rPr>
                <w:rFonts w:eastAsia="Times New Roman"/>
                <w:sz w:val="20"/>
                <w:szCs w:val="20"/>
              </w:rPr>
            </w:pPr>
          </w:p>
        </w:tc>
        <w:tc>
          <w:tcPr>
            <w:tcW w:w="0" w:type="auto"/>
            <w:gridSpan w:val="3"/>
            <w:vAlign w:val="center"/>
            <w:hideMark/>
          </w:tcPr>
          <w:p w14:paraId="59E83C10" w14:textId="77777777" w:rsidR="00000000" w:rsidRDefault="00A173A8">
            <w:pPr>
              <w:spacing w:after="100"/>
              <w:rPr>
                <w:rFonts w:eastAsia="Times New Roman"/>
                <w:sz w:val="20"/>
                <w:szCs w:val="20"/>
              </w:rPr>
            </w:pPr>
          </w:p>
        </w:tc>
        <w:tc>
          <w:tcPr>
            <w:tcW w:w="0" w:type="auto"/>
            <w:gridSpan w:val="3"/>
            <w:vAlign w:val="center"/>
            <w:hideMark/>
          </w:tcPr>
          <w:p w14:paraId="3D550BE0" w14:textId="77777777" w:rsidR="00000000" w:rsidRDefault="00A173A8">
            <w:pPr>
              <w:spacing w:after="100"/>
              <w:rPr>
                <w:rFonts w:eastAsia="Times New Roman"/>
                <w:sz w:val="20"/>
                <w:szCs w:val="20"/>
              </w:rPr>
            </w:pPr>
          </w:p>
        </w:tc>
        <w:tc>
          <w:tcPr>
            <w:tcW w:w="0" w:type="auto"/>
            <w:gridSpan w:val="3"/>
            <w:vAlign w:val="center"/>
            <w:hideMark/>
          </w:tcPr>
          <w:p w14:paraId="02B576F5" w14:textId="77777777" w:rsidR="00000000" w:rsidRDefault="00A173A8">
            <w:pPr>
              <w:spacing w:after="100"/>
              <w:rPr>
                <w:rFonts w:eastAsia="Times New Roman"/>
                <w:sz w:val="20"/>
                <w:szCs w:val="20"/>
              </w:rPr>
            </w:pPr>
          </w:p>
        </w:tc>
      </w:tr>
      <w:tr w:rsidR="00000000" w14:paraId="63E5F939" w14:textId="77777777">
        <w:trPr>
          <w:divId w:val="142897690"/>
        </w:trPr>
        <w:tc>
          <w:tcPr>
            <w:tcW w:w="0" w:type="auto"/>
            <w:gridSpan w:val="3"/>
            <w:vAlign w:val="center"/>
            <w:hideMark/>
          </w:tcPr>
          <w:p w14:paraId="727ADE78" w14:textId="77777777" w:rsidR="00000000" w:rsidRDefault="00A173A8">
            <w:pPr>
              <w:spacing w:after="100"/>
              <w:rPr>
                <w:rFonts w:eastAsia="Times New Roman"/>
                <w:sz w:val="20"/>
                <w:szCs w:val="20"/>
              </w:rPr>
            </w:pPr>
          </w:p>
        </w:tc>
        <w:tc>
          <w:tcPr>
            <w:tcW w:w="0" w:type="auto"/>
            <w:gridSpan w:val="3"/>
            <w:vAlign w:val="center"/>
            <w:hideMark/>
          </w:tcPr>
          <w:p w14:paraId="6EB5A023" w14:textId="77777777" w:rsidR="00000000" w:rsidRDefault="00A173A8">
            <w:pPr>
              <w:spacing w:after="100"/>
              <w:rPr>
                <w:rFonts w:eastAsia="Times New Roman"/>
                <w:sz w:val="20"/>
                <w:szCs w:val="20"/>
              </w:rPr>
            </w:pPr>
          </w:p>
        </w:tc>
        <w:tc>
          <w:tcPr>
            <w:tcW w:w="0" w:type="auto"/>
            <w:gridSpan w:val="3"/>
            <w:vAlign w:val="center"/>
            <w:hideMark/>
          </w:tcPr>
          <w:p w14:paraId="48CD47B0" w14:textId="77777777" w:rsidR="00000000" w:rsidRDefault="00A173A8">
            <w:pPr>
              <w:spacing w:after="100"/>
              <w:rPr>
                <w:rFonts w:eastAsia="Times New Roman"/>
                <w:sz w:val="20"/>
                <w:szCs w:val="20"/>
              </w:rPr>
            </w:pPr>
          </w:p>
        </w:tc>
        <w:tc>
          <w:tcPr>
            <w:tcW w:w="0" w:type="auto"/>
            <w:gridSpan w:val="3"/>
            <w:vAlign w:val="center"/>
            <w:hideMark/>
          </w:tcPr>
          <w:p w14:paraId="06441736" w14:textId="77777777" w:rsidR="00000000" w:rsidRDefault="00A173A8">
            <w:pPr>
              <w:spacing w:after="100"/>
              <w:rPr>
                <w:rFonts w:eastAsia="Times New Roman"/>
                <w:sz w:val="20"/>
                <w:szCs w:val="20"/>
              </w:rPr>
            </w:pPr>
          </w:p>
        </w:tc>
        <w:tc>
          <w:tcPr>
            <w:tcW w:w="0" w:type="auto"/>
            <w:gridSpan w:val="3"/>
            <w:vAlign w:val="center"/>
            <w:hideMark/>
          </w:tcPr>
          <w:p w14:paraId="7D3B3826" w14:textId="77777777" w:rsidR="00000000" w:rsidRDefault="00A173A8">
            <w:pPr>
              <w:spacing w:after="100"/>
              <w:rPr>
                <w:rFonts w:eastAsia="Times New Roman"/>
                <w:sz w:val="20"/>
                <w:szCs w:val="20"/>
              </w:rPr>
            </w:pPr>
          </w:p>
        </w:tc>
      </w:tr>
      <w:tr w:rsidR="00000000" w14:paraId="36B3C2C0" w14:textId="77777777">
        <w:trPr>
          <w:divId w:val="142897690"/>
        </w:trPr>
        <w:tc>
          <w:tcPr>
            <w:tcW w:w="0" w:type="auto"/>
            <w:gridSpan w:val="3"/>
            <w:vAlign w:val="center"/>
            <w:hideMark/>
          </w:tcPr>
          <w:p w14:paraId="0896DD72" w14:textId="77777777" w:rsidR="00000000" w:rsidRDefault="00A173A8">
            <w:pPr>
              <w:spacing w:after="100"/>
              <w:rPr>
                <w:rFonts w:eastAsia="Times New Roman"/>
                <w:sz w:val="20"/>
                <w:szCs w:val="20"/>
              </w:rPr>
            </w:pPr>
          </w:p>
        </w:tc>
        <w:tc>
          <w:tcPr>
            <w:tcW w:w="0" w:type="auto"/>
            <w:gridSpan w:val="3"/>
            <w:vAlign w:val="center"/>
            <w:hideMark/>
          </w:tcPr>
          <w:p w14:paraId="1EBA1ACF" w14:textId="77777777" w:rsidR="00000000" w:rsidRDefault="00A173A8">
            <w:pPr>
              <w:spacing w:after="100"/>
              <w:rPr>
                <w:rFonts w:eastAsia="Times New Roman"/>
                <w:sz w:val="20"/>
                <w:szCs w:val="20"/>
              </w:rPr>
            </w:pPr>
          </w:p>
        </w:tc>
        <w:tc>
          <w:tcPr>
            <w:tcW w:w="0" w:type="auto"/>
            <w:gridSpan w:val="3"/>
            <w:vAlign w:val="center"/>
            <w:hideMark/>
          </w:tcPr>
          <w:p w14:paraId="64A33A1C" w14:textId="77777777" w:rsidR="00000000" w:rsidRDefault="00A173A8">
            <w:pPr>
              <w:spacing w:after="100"/>
              <w:rPr>
                <w:rFonts w:eastAsia="Times New Roman"/>
                <w:sz w:val="20"/>
                <w:szCs w:val="20"/>
              </w:rPr>
            </w:pPr>
          </w:p>
        </w:tc>
        <w:tc>
          <w:tcPr>
            <w:tcW w:w="0" w:type="auto"/>
            <w:gridSpan w:val="3"/>
            <w:vAlign w:val="center"/>
            <w:hideMark/>
          </w:tcPr>
          <w:p w14:paraId="64F925E0" w14:textId="77777777" w:rsidR="00000000" w:rsidRDefault="00A173A8">
            <w:pPr>
              <w:spacing w:after="100"/>
              <w:rPr>
                <w:rFonts w:eastAsia="Times New Roman"/>
                <w:sz w:val="20"/>
                <w:szCs w:val="20"/>
              </w:rPr>
            </w:pPr>
          </w:p>
        </w:tc>
        <w:tc>
          <w:tcPr>
            <w:tcW w:w="0" w:type="auto"/>
            <w:gridSpan w:val="3"/>
            <w:vAlign w:val="center"/>
            <w:hideMark/>
          </w:tcPr>
          <w:p w14:paraId="452EFD2F" w14:textId="77777777" w:rsidR="00000000" w:rsidRDefault="00A173A8">
            <w:pPr>
              <w:spacing w:after="100"/>
              <w:rPr>
                <w:rFonts w:eastAsia="Times New Roman"/>
                <w:sz w:val="20"/>
                <w:szCs w:val="20"/>
              </w:rPr>
            </w:pPr>
          </w:p>
        </w:tc>
      </w:tr>
      <w:tr w:rsidR="00000000" w14:paraId="6A2E6D15" w14:textId="77777777">
        <w:trPr>
          <w:divId w:val="142897690"/>
        </w:trPr>
        <w:tc>
          <w:tcPr>
            <w:tcW w:w="0" w:type="auto"/>
            <w:gridSpan w:val="3"/>
            <w:vAlign w:val="center"/>
            <w:hideMark/>
          </w:tcPr>
          <w:p w14:paraId="29430EF3" w14:textId="77777777" w:rsidR="00000000" w:rsidRDefault="00A173A8">
            <w:pPr>
              <w:spacing w:after="100"/>
              <w:rPr>
                <w:rFonts w:eastAsia="Times New Roman"/>
                <w:sz w:val="20"/>
                <w:szCs w:val="20"/>
              </w:rPr>
            </w:pPr>
          </w:p>
        </w:tc>
        <w:tc>
          <w:tcPr>
            <w:tcW w:w="0" w:type="auto"/>
            <w:gridSpan w:val="3"/>
            <w:vAlign w:val="center"/>
            <w:hideMark/>
          </w:tcPr>
          <w:p w14:paraId="0CA159E5" w14:textId="77777777" w:rsidR="00000000" w:rsidRDefault="00A173A8">
            <w:pPr>
              <w:spacing w:after="100"/>
              <w:rPr>
                <w:rFonts w:eastAsia="Times New Roman"/>
                <w:sz w:val="20"/>
                <w:szCs w:val="20"/>
              </w:rPr>
            </w:pPr>
          </w:p>
        </w:tc>
        <w:tc>
          <w:tcPr>
            <w:tcW w:w="0" w:type="auto"/>
            <w:gridSpan w:val="3"/>
            <w:vAlign w:val="center"/>
            <w:hideMark/>
          </w:tcPr>
          <w:p w14:paraId="250262F6" w14:textId="77777777" w:rsidR="00000000" w:rsidRDefault="00A173A8">
            <w:pPr>
              <w:spacing w:after="100"/>
              <w:rPr>
                <w:rFonts w:eastAsia="Times New Roman"/>
                <w:sz w:val="20"/>
                <w:szCs w:val="20"/>
              </w:rPr>
            </w:pPr>
          </w:p>
        </w:tc>
        <w:tc>
          <w:tcPr>
            <w:tcW w:w="0" w:type="auto"/>
            <w:gridSpan w:val="3"/>
            <w:vAlign w:val="center"/>
            <w:hideMark/>
          </w:tcPr>
          <w:p w14:paraId="679B36C1" w14:textId="77777777" w:rsidR="00000000" w:rsidRDefault="00A173A8">
            <w:pPr>
              <w:spacing w:after="100"/>
              <w:rPr>
                <w:rFonts w:eastAsia="Times New Roman"/>
                <w:sz w:val="20"/>
                <w:szCs w:val="20"/>
              </w:rPr>
            </w:pPr>
          </w:p>
        </w:tc>
        <w:tc>
          <w:tcPr>
            <w:tcW w:w="0" w:type="auto"/>
            <w:gridSpan w:val="3"/>
            <w:vAlign w:val="center"/>
            <w:hideMark/>
          </w:tcPr>
          <w:p w14:paraId="48907D94" w14:textId="77777777" w:rsidR="00000000" w:rsidRDefault="00A173A8">
            <w:pPr>
              <w:spacing w:after="100"/>
              <w:rPr>
                <w:rFonts w:eastAsia="Times New Roman"/>
                <w:sz w:val="20"/>
                <w:szCs w:val="20"/>
              </w:rPr>
            </w:pPr>
          </w:p>
        </w:tc>
      </w:tr>
      <w:tr w:rsidR="00000000" w14:paraId="3191B020" w14:textId="77777777">
        <w:trPr>
          <w:divId w:val="142897690"/>
        </w:trPr>
        <w:tc>
          <w:tcPr>
            <w:tcW w:w="0" w:type="auto"/>
            <w:gridSpan w:val="3"/>
            <w:vAlign w:val="center"/>
            <w:hideMark/>
          </w:tcPr>
          <w:p w14:paraId="121BA210" w14:textId="77777777" w:rsidR="00000000" w:rsidRDefault="00A173A8">
            <w:pPr>
              <w:spacing w:after="100"/>
              <w:rPr>
                <w:rFonts w:eastAsia="Times New Roman"/>
                <w:sz w:val="20"/>
                <w:szCs w:val="20"/>
              </w:rPr>
            </w:pPr>
          </w:p>
        </w:tc>
        <w:tc>
          <w:tcPr>
            <w:tcW w:w="0" w:type="auto"/>
            <w:gridSpan w:val="3"/>
            <w:vAlign w:val="center"/>
            <w:hideMark/>
          </w:tcPr>
          <w:p w14:paraId="4924F4B6" w14:textId="77777777" w:rsidR="00000000" w:rsidRDefault="00A173A8">
            <w:pPr>
              <w:spacing w:after="100"/>
              <w:rPr>
                <w:rFonts w:eastAsia="Times New Roman"/>
                <w:sz w:val="20"/>
                <w:szCs w:val="20"/>
              </w:rPr>
            </w:pPr>
          </w:p>
        </w:tc>
        <w:tc>
          <w:tcPr>
            <w:tcW w:w="0" w:type="auto"/>
            <w:gridSpan w:val="3"/>
            <w:vAlign w:val="center"/>
            <w:hideMark/>
          </w:tcPr>
          <w:p w14:paraId="29CCCD19" w14:textId="77777777" w:rsidR="00000000" w:rsidRDefault="00A173A8">
            <w:pPr>
              <w:spacing w:after="100"/>
              <w:rPr>
                <w:rFonts w:eastAsia="Times New Roman"/>
                <w:sz w:val="20"/>
                <w:szCs w:val="20"/>
              </w:rPr>
            </w:pPr>
          </w:p>
        </w:tc>
        <w:tc>
          <w:tcPr>
            <w:tcW w:w="0" w:type="auto"/>
            <w:gridSpan w:val="3"/>
            <w:vAlign w:val="center"/>
            <w:hideMark/>
          </w:tcPr>
          <w:p w14:paraId="30E50FE6" w14:textId="77777777" w:rsidR="00000000" w:rsidRDefault="00A173A8">
            <w:pPr>
              <w:spacing w:after="100"/>
              <w:rPr>
                <w:rFonts w:eastAsia="Times New Roman"/>
                <w:sz w:val="20"/>
                <w:szCs w:val="20"/>
              </w:rPr>
            </w:pPr>
          </w:p>
        </w:tc>
        <w:tc>
          <w:tcPr>
            <w:tcW w:w="0" w:type="auto"/>
            <w:gridSpan w:val="3"/>
            <w:vAlign w:val="center"/>
            <w:hideMark/>
          </w:tcPr>
          <w:p w14:paraId="5E9FBFE5" w14:textId="77777777" w:rsidR="00000000" w:rsidRDefault="00A173A8">
            <w:pPr>
              <w:spacing w:after="100"/>
              <w:rPr>
                <w:rFonts w:eastAsia="Times New Roman"/>
                <w:sz w:val="20"/>
                <w:szCs w:val="20"/>
              </w:rPr>
            </w:pPr>
          </w:p>
        </w:tc>
      </w:tr>
      <w:tr w:rsidR="00000000" w14:paraId="3279ED62" w14:textId="77777777">
        <w:trPr>
          <w:divId w:val="142897690"/>
        </w:trPr>
        <w:tc>
          <w:tcPr>
            <w:tcW w:w="0" w:type="auto"/>
            <w:gridSpan w:val="3"/>
            <w:vAlign w:val="center"/>
            <w:hideMark/>
          </w:tcPr>
          <w:p w14:paraId="3D1E7FBC" w14:textId="77777777" w:rsidR="00000000" w:rsidRDefault="00A173A8">
            <w:pPr>
              <w:spacing w:after="100"/>
              <w:rPr>
                <w:rFonts w:eastAsia="Times New Roman"/>
                <w:sz w:val="20"/>
                <w:szCs w:val="20"/>
              </w:rPr>
            </w:pPr>
          </w:p>
        </w:tc>
        <w:tc>
          <w:tcPr>
            <w:tcW w:w="0" w:type="auto"/>
            <w:gridSpan w:val="3"/>
            <w:vAlign w:val="center"/>
            <w:hideMark/>
          </w:tcPr>
          <w:p w14:paraId="56172D68" w14:textId="77777777" w:rsidR="00000000" w:rsidRDefault="00A173A8">
            <w:pPr>
              <w:spacing w:after="100"/>
              <w:rPr>
                <w:rFonts w:eastAsia="Times New Roman"/>
                <w:sz w:val="20"/>
                <w:szCs w:val="20"/>
              </w:rPr>
            </w:pPr>
          </w:p>
        </w:tc>
        <w:tc>
          <w:tcPr>
            <w:tcW w:w="0" w:type="auto"/>
            <w:gridSpan w:val="3"/>
            <w:vAlign w:val="center"/>
            <w:hideMark/>
          </w:tcPr>
          <w:p w14:paraId="5235CE04" w14:textId="77777777" w:rsidR="00000000" w:rsidRDefault="00A173A8">
            <w:pPr>
              <w:spacing w:after="100"/>
              <w:rPr>
                <w:rFonts w:eastAsia="Times New Roman"/>
                <w:sz w:val="20"/>
                <w:szCs w:val="20"/>
              </w:rPr>
            </w:pPr>
          </w:p>
        </w:tc>
        <w:tc>
          <w:tcPr>
            <w:tcW w:w="0" w:type="auto"/>
            <w:gridSpan w:val="3"/>
            <w:vAlign w:val="center"/>
            <w:hideMark/>
          </w:tcPr>
          <w:p w14:paraId="752D441F" w14:textId="77777777" w:rsidR="00000000" w:rsidRDefault="00A173A8">
            <w:pPr>
              <w:spacing w:after="100"/>
              <w:rPr>
                <w:rFonts w:eastAsia="Times New Roman"/>
                <w:sz w:val="20"/>
                <w:szCs w:val="20"/>
              </w:rPr>
            </w:pPr>
          </w:p>
        </w:tc>
        <w:tc>
          <w:tcPr>
            <w:tcW w:w="0" w:type="auto"/>
            <w:gridSpan w:val="3"/>
            <w:vAlign w:val="center"/>
            <w:hideMark/>
          </w:tcPr>
          <w:p w14:paraId="649B3CD7" w14:textId="77777777" w:rsidR="00000000" w:rsidRDefault="00A173A8">
            <w:pPr>
              <w:spacing w:after="100"/>
              <w:rPr>
                <w:rFonts w:eastAsia="Times New Roman"/>
                <w:sz w:val="20"/>
                <w:szCs w:val="20"/>
              </w:rPr>
            </w:pPr>
          </w:p>
        </w:tc>
      </w:tr>
      <w:tr w:rsidR="00000000" w14:paraId="2C0AA85A" w14:textId="77777777">
        <w:trPr>
          <w:divId w:val="142897690"/>
        </w:trPr>
        <w:tc>
          <w:tcPr>
            <w:tcW w:w="0" w:type="auto"/>
            <w:gridSpan w:val="3"/>
            <w:vAlign w:val="center"/>
            <w:hideMark/>
          </w:tcPr>
          <w:p w14:paraId="0A9483F3" w14:textId="77777777" w:rsidR="00000000" w:rsidRDefault="00A173A8">
            <w:pPr>
              <w:spacing w:after="100"/>
              <w:rPr>
                <w:rFonts w:eastAsia="Times New Roman"/>
                <w:sz w:val="20"/>
                <w:szCs w:val="20"/>
              </w:rPr>
            </w:pPr>
          </w:p>
        </w:tc>
        <w:tc>
          <w:tcPr>
            <w:tcW w:w="0" w:type="auto"/>
            <w:gridSpan w:val="3"/>
            <w:vAlign w:val="center"/>
            <w:hideMark/>
          </w:tcPr>
          <w:p w14:paraId="7E96AF5B" w14:textId="77777777" w:rsidR="00000000" w:rsidRDefault="00A173A8">
            <w:pPr>
              <w:spacing w:after="100"/>
              <w:rPr>
                <w:rFonts w:eastAsia="Times New Roman"/>
                <w:sz w:val="20"/>
                <w:szCs w:val="20"/>
              </w:rPr>
            </w:pPr>
          </w:p>
        </w:tc>
        <w:tc>
          <w:tcPr>
            <w:tcW w:w="0" w:type="auto"/>
            <w:gridSpan w:val="3"/>
            <w:vAlign w:val="center"/>
            <w:hideMark/>
          </w:tcPr>
          <w:p w14:paraId="75D22B18" w14:textId="77777777" w:rsidR="00000000" w:rsidRDefault="00A173A8">
            <w:pPr>
              <w:spacing w:after="100"/>
              <w:rPr>
                <w:rFonts w:eastAsia="Times New Roman"/>
                <w:sz w:val="20"/>
                <w:szCs w:val="20"/>
              </w:rPr>
            </w:pPr>
          </w:p>
        </w:tc>
        <w:tc>
          <w:tcPr>
            <w:tcW w:w="0" w:type="auto"/>
            <w:gridSpan w:val="3"/>
            <w:vAlign w:val="center"/>
            <w:hideMark/>
          </w:tcPr>
          <w:p w14:paraId="1ACC2D6F" w14:textId="77777777" w:rsidR="00000000" w:rsidRDefault="00A173A8">
            <w:pPr>
              <w:spacing w:after="100"/>
              <w:rPr>
                <w:rFonts w:eastAsia="Times New Roman"/>
                <w:sz w:val="20"/>
                <w:szCs w:val="20"/>
              </w:rPr>
            </w:pPr>
          </w:p>
        </w:tc>
        <w:tc>
          <w:tcPr>
            <w:tcW w:w="0" w:type="auto"/>
            <w:gridSpan w:val="3"/>
            <w:vAlign w:val="center"/>
            <w:hideMark/>
          </w:tcPr>
          <w:p w14:paraId="25F7BC97" w14:textId="77777777" w:rsidR="00000000" w:rsidRDefault="00A173A8">
            <w:pPr>
              <w:spacing w:after="100"/>
              <w:rPr>
                <w:rFonts w:eastAsia="Times New Roman"/>
                <w:sz w:val="20"/>
                <w:szCs w:val="20"/>
              </w:rPr>
            </w:pPr>
          </w:p>
        </w:tc>
      </w:tr>
      <w:tr w:rsidR="00000000" w14:paraId="14F72814" w14:textId="77777777">
        <w:trPr>
          <w:divId w:val="142897690"/>
        </w:trPr>
        <w:tc>
          <w:tcPr>
            <w:tcW w:w="0" w:type="auto"/>
            <w:gridSpan w:val="3"/>
            <w:vAlign w:val="center"/>
            <w:hideMark/>
          </w:tcPr>
          <w:p w14:paraId="2FE940B7" w14:textId="77777777" w:rsidR="00000000" w:rsidRDefault="00A173A8">
            <w:pPr>
              <w:spacing w:after="100"/>
              <w:rPr>
                <w:rFonts w:eastAsia="Times New Roman"/>
                <w:sz w:val="20"/>
                <w:szCs w:val="20"/>
              </w:rPr>
            </w:pPr>
          </w:p>
        </w:tc>
        <w:tc>
          <w:tcPr>
            <w:tcW w:w="0" w:type="auto"/>
            <w:gridSpan w:val="3"/>
            <w:vAlign w:val="center"/>
            <w:hideMark/>
          </w:tcPr>
          <w:p w14:paraId="226472EA" w14:textId="77777777" w:rsidR="00000000" w:rsidRDefault="00A173A8">
            <w:pPr>
              <w:spacing w:after="100"/>
              <w:rPr>
                <w:rFonts w:eastAsia="Times New Roman"/>
                <w:sz w:val="20"/>
                <w:szCs w:val="20"/>
              </w:rPr>
            </w:pPr>
          </w:p>
        </w:tc>
        <w:tc>
          <w:tcPr>
            <w:tcW w:w="0" w:type="auto"/>
            <w:gridSpan w:val="3"/>
            <w:vAlign w:val="center"/>
            <w:hideMark/>
          </w:tcPr>
          <w:p w14:paraId="02994AF6" w14:textId="77777777" w:rsidR="00000000" w:rsidRDefault="00A173A8">
            <w:pPr>
              <w:spacing w:after="100"/>
              <w:rPr>
                <w:rFonts w:eastAsia="Times New Roman"/>
                <w:sz w:val="20"/>
                <w:szCs w:val="20"/>
              </w:rPr>
            </w:pPr>
          </w:p>
        </w:tc>
        <w:tc>
          <w:tcPr>
            <w:tcW w:w="0" w:type="auto"/>
            <w:gridSpan w:val="3"/>
            <w:vAlign w:val="center"/>
            <w:hideMark/>
          </w:tcPr>
          <w:p w14:paraId="4DDD6B93" w14:textId="77777777" w:rsidR="00000000" w:rsidRDefault="00A173A8">
            <w:pPr>
              <w:spacing w:after="100"/>
              <w:rPr>
                <w:rFonts w:eastAsia="Times New Roman"/>
                <w:sz w:val="20"/>
                <w:szCs w:val="20"/>
              </w:rPr>
            </w:pPr>
          </w:p>
        </w:tc>
        <w:tc>
          <w:tcPr>
            <w:tcW w:w="0" w:type="auto"/>
            <w:gridSpan w:val="3"/>
            <w:vAlign w:val="center"/>
            <w:hideMark/>
          </w:tcPr>
          <w:p w14:paraId="4274C6B0" w14:textId="77777777" w:rsidR="00000000" w:rsidRDefault="00A173A8">
            <w:pPr>
              <w:spacing w:after="100"/>
              <w:rPr>
                <w:rFonts w:eastAsia="Times New Roman"/>
                <w:sz w:val="20"/>
                <w:szCs w:val="20"/>
              </w:rPr>
            </w:pPr>
          </w:p>
        </w:tc>
      </w:tr>
      <w:tr w:rsidR="00000000" w14:paraId="32FDA9AF" w14:textId="77777777">
        <w:trPr>
          <w:divId w:val="142897690"/>
        </w:trPr>
        <w:tc>
          <w:tcPr>
            <w:tcW w:w="0" w:type="auto"/>
            <w:gridSpan w:val="3"/>
            <w:vAlign w:val="center"/>
            <w:hideMark/>
          </w:tcPr>
          <w:p w14:paraId="68C94E72" w14:textId="77777777" w:rsidR="00000000" w:rsidRDefault="00A173A8">
            <w:pPr>
              <w:spacing w:after="100"/>
              <w:rPr>
                <w:rFonts w:eastAsia="Times New Roman"/>
                <w:sz w:val="20"/>
                <w:szCs w:val="20"/>
              </w:rPr>
            </w:pPr>
          </w:p>
        </w:tc>
        <w:tc>
          <w:tcPr>
            <w:tcW w:w="0" w:type="auto"/>
            <w:gridSpan w:val="3"/>
            <w:vAlign w:val="center"/>
            <w:hideMark/>
          </w:tcPr>
          <w:p w14:paraId="0DD35AB0" w14:textId="77777777" w:rsidR="00000000" w:rsidRDefault="00A173A8">
            <w:pPr>
              <w:spacing w:after="100"/>
              <w:rPr>
                <w:rFonts w:eastAsia="Times New Roman"/>
                <w:sz w:val="20"/>
                <w:szCs w:val="20"/>
              </w:rPr>
            </w:pPr>
          </w:p>
        </w:tc>
        <w:tc>
          <w:tcPr>
            <w:tcW w:w="0" w:type="auto"/>
            <w:gridSpan w:val="3"/>
            <w:vAlign w:val="center"/>
            <w:hideMark/>
          </w:tcPr>
          <w:p w14:paraId="004ABB4D" w14:textId="77777777" w:rsidR="00000000" w:rsidRDefault="00A173A8">
            <w:pPr>
              <w:spacing w:after="100"/>
              <w:rPr>
                <w:rFonts w:eastAsia="Times New Roman"/>
                <w:sz w:val="20"/>
                <w:szCs w:val="20"/>
              </w:rPr>
            </w:pPr>
          </w:p>
        </w:tc>
        <w:tc>
          <w:tcPr>
            <w:tcW w:w="0" w:type="auto"/>
            <w:gridSpan w:val="3"/>
            <w:vAlign w:val="center"/>
            <w:hideMark/>
          </w:tcPr>
          <w:p w14:paraId="4E0036A3" w14:textId="77777777" w:rsidR="00000000" w:rsidRDefault="00A173A8">
            <w:pPr>
              <w:spacing w:after="100"/>
              <w:rPr>
                <w:rFonts w:eastAsia="Times New Roman"/>
                <w:sz w:val="20"/>
                <w:szCs w:val="20"/>
              </w:rPr>
            </w:pPr>
          </w:p>
        </w:tc>
        <w:tc>
          <w:tcPr>
            <w:tcW w:w="0" w:type="auto"/>
            <w:gridSpan w:val="3"/>
            <w:vAlign w:val="center"/>
            <w:hideMark/>
          </w:tcPr>
          <w:p w14:paraId="793CF7DC" w14:textId="77777777" w:rsidR="00000000" w:rsidRDefault="00A173A8">
            <w:pPr>
              <w:spacing w:after="100"/>
              <w:rPr>
                <w:rFonts w:eastAsia="Times New Roman"/>
                <w:sz w:val="20"/>
                <w:szCs w:val="20"/>
              </w:rPr>
            </w:pPr>
          </w:p>
        </w:tc>
      </w:tr>
      <w:tr w:rsidR="00000000" w14:paraId="0BF8F58F" w14:textId="77777777">
        <w:trPr>
          <w:divId w:val="142897690"/>
        </w:trPr>
        <w:tc>
          <w:tcPr>
            <w:tcW w:w="0" w:type="auto"/>
            <w:gridSpan w:val="3"/>
            <w:vAlign w:val="center"/>
            <w:hideMark/>
          </w:tcPr>
          <w:p w14:paraId="486374AB" w14:textId="77777777" w:rsidR="00000000" w:rsidRDefault="00A173A8">
            <w:pPr>
              <w:spacing w:after="100"/>
              <w:rPr>
                <w:rFonts w:eastAsia="Times New Roman"/>
                <w:sz w:val="20"/>
                <w:szCs w:val="20"/>
              </w:rPr>
            </w:pPr>
          </w:p>
        </w:tc>
        <w:tc>
          <w:tcPr>
            <w:tcW w:w="0" w:type="auto"/>
            <w:gridSpan w:val="3"/>
            <w:vAlign w:val="center"/>
            <w:hideMark/>
          </w:tcPr>
          <w:p w14:paraId="2A7F92A6" w14:textId="77777777" w:rsidR="00000000" w:rsidRDefault="00A173A8">
            <w:pPr>
              <w:spacing w:after="100"/>
              <w:rPr>
                <w:rFonts w:eastAsia="Times New Roman"/>
                <w:sz w:val="20"/>
                <w:szCs w:val="20"/>
              </w:rPr>
            </w:pPr>
          </w:p>
        </w:tc>
        <w:tc>
          <w:tcPr>
            <w:tcW w:w="0" w:type="auto"/>
            <w:gridSpan w:val="3"/>
            <w:vAlign w:val="center"/>
            <w:hideMark/>
          </w:tcPr>
          <w:p w14:paraId="7B29AB90" w14:textId="77777777" w:rsidR="00000000" w:rsidRDefault="00A173A8">
            <w:pPr>
              <w:spacing w:after="100"/>
              <w:rPr>
                <w:rFonts w:eastAsia="Times New Roman"/>
                <w:sz w:val="20"/>
                <w:szCs w:val="20"/>
              </w:rPr>
            </w:pPr>
          </w:p>
        </w:tc>
        <w:tc>
          <w:tcPr>
            <w:tcW w:w="0" w:type="auto"/>
            <w:gridSpan w:val="3"/>
            <w:vAlign w:val="center"/>
            <w:hideMark/>
          </w:tcPr>
          <w:p w14:paraId="08A7BB89" w14:textId="77777777" w:rsidR="00000000" w:rsidRDefault="00A173A8">
            <w:pPr>
              <w:spacing w:after="100"/>
              <w:rPr>
                <w:rFonts w:eastAsia="Times New Roman"/>
                <w:sz w:val="20"/>
                <w:szCs w:val="20"/>
              </w:rPr>
            </w:pPr>
          </w:p>
        </w:tc>
        <w:tc>
          <w:tcPr>
            <w:tcW w:w="0" w:type="auto"/>
            <w:gridSpan w:val="3"/>
            <w:vAlign w:val="center"/>
            <w:hideMark/>
          </w:tcPr>
          <w:p w14:paraId="25D232F0" w14:textId="77777777" w:rsidR="00000000" w:rsidRDefault="00A173A8">
            <w:pPr>
              <w:spacing w:after="100"/>
              <w:rPr>
                <w:rFonts w:eastAsia="Times New Roman"/>
                <w:sz w:val="20"/>
                <w:szCs w:val="20"/>
              </w:rPr>
            </w:pPr>
          </w:p>
        </w:tc>
      </w:tr>
      <w:tr w:rsidR="00000000" w14:paraId="08D170A8" w14:textId="77777777">
        <w:trPr>
          <w:divId w:val="142897690"/>
        </w:trPr>
        <w:tc>
          <w:tcPr>
            <w:tcW w:w="0" w:type="auto"/>
            <w:gridSpan w:val="3"/>
            <w:vAlign w:val="center"/>
            <w:hideMark/>
          </w:tcPr>
          <w:p w14:paraId="68F136A7" w14:textId="77777777" w:rsidR="00000000" w:rsidRDefault="00A173A8">
            <w:pPr>
              <w:spacing w:after="100"/>
              <w:rPr>
                <w:rFonts w:eastAsia="Times New Roman"/>
                <w:sz w:val="20"/>
                <w:szCs w:val="20"/>
              </w:rPr>
            </w:pPr>
          </w:p>
        </w:tc>
        <w:tc>
          <w:tcPr>
            <w:tcW w:w="0" w:type="auto"/>
            <w:gridSpan w:val="3"/>
            <w:vAlign w:val="center"/>
            <w:hideMark/>
          </w:tcPr>
          <w:p w14:paraId="08CA9E5B" w14:textId="77777777" w:rsidR="00000000" w:rsidRDefault="00A173A8">
            <w:pPr>
              <w:spacing w:after="100"/>
              <w:rPr>
                <w:rFonts w:eastAsia="Times New Roman"/>
                <w:sz w:val="20"/>
                <w:szCs w:val="20"/>
              </w:rPr>
            </w:pPr>
          </w:p>
        </w:tc>
        <w:tc>
          <w:tcPr>
            <w:tcW w:w="0" w:type="auto"/>
            <w:gridSpan w:val="3"/>
            <w:vAlign w:val="center"/>
            <w:hideMark/>
          </w:tcPr>
          <w:p w14:paraId="6029BBEF" w14:textId="77777777" w:rsidR="00000000" w:rsidRDefault="00A173A8">
            <w:pPr>
              <w:spacing w:after="100"/>
              <w:rPr>
                <w:rFonts w:eastAsia="Times New Roman"/>
                <w:sz w:val="20"/>
                <w:szCs w:val="20"/>
              </w:rPr>
            </w:pPr>
          </w:p>
        </w:tc>
        <w:tc>
          <w:tcPr>
            <w:tcW w:w="0" w:type="auto"/>
            <w:gridSpan w:val="3"/>
            <w:vAlign w:val="center"/>
            <w:hideMark/>
          </w:tcPr>
          <w:p w14:paraId="3C1BA67A" w14:textId="77777777" w:rsidR="00000000" w:rsidRDefault="00A173A8">
            <w:pPr>
              <w:spacing w:after="100"/>
              <w:rPr>
                <w:rFonts w:eastAsia="Times New Roman"/>
                <w:sz w:val="20"/>
                <w:szCs w:val="20"/>
              </w:rPr>
            </w:pPr>
          </w:p>
        </w:tc>
        <w:tc>
          <w:tcPr>
            <w:tcW w:w="0" w:type="auto"/>
            <w:gridSpan w:val="3"/>
            <w:vAlign w:val="center"/>
            <w:hideMark/>
          </w:tcPr>
          <w:p w14:paraId="0BCE6A52" w14:textId="77777777" w:rsidR="00000000" w:rsidRDefault="00A173A8">
            <w:pPr>
              <w:spacing w:after="100"/>
              <w:rPr>
                <w:rFonts w:eastAsia="Times New Roman"/>
                <w:sz w:val="20"/>
                <w:szCs w:val="20"/>
              </w:rPr>
            </w:pPr>
          </w:p>
        </w:tc>
      </w:tr>
      <w:tr w:rsidR="00000000" w14:paraId="4D3557D7" w14:textId="77777777">
        <w:trPr>
          <w:divId w:val="142897690"/>
        </w:trPr>
        <w:tc>
          <w:tcPr>
            <w:tcW w:w="0" w:type="auto"/>
            <w:gridSpan w:val="3"/>
            <w:vAlign w:val="center"/>
            <w:hideMark/>
          </w:tcPr>
          <w:p w14:paraId="65DB9E97" w14:textId="77777777" w:rsidR="00000000" w:rsidRDefault="00A173A8">
            <w:pPr>
              <w:spacing w:after="100"/>
              <w:rPr>
                <w:rFonts w:eastAsia="Times New Roman"/>
                <w:sz w:val="20"/>
                <w:szCs w:val="20"/>
              </w:rPr>
            </w:pPr>
          </w:p>
        </w:tc>
        <w:tc>
          <w:tcPr>
            <w:tcW w:w="0" w:type="auto"/>
            <w:gridSpan w:val="3"/>
            <w:vAlign w:val="center"/>
            <w:hideMark/>
          </w:tcPr>
          <w:p w14:paraId="35600496" w14:textId="77777777" w:rsidR="00000000" w:rsidRDefault="00A173A8">
            <w:pPr>
              <w:spacing w:after="100"/>
              <w:rPr>
                <w:rFonts w:eastAsia="Times New Roman"/>
                <w:sz w:val="20"/>
                <w:szCs w:val="20"/>
              </w:rPr>
            </w:pPr>
          </w:p>
        </w:tc>
        <w:tc>
          <w:tcPr>
            <w:tcW w:w="0" w:type="auto"/>
            <w:gridSpan w:val="3"/>
            <w:vAlign w:val="center"/>
            <w:hideMark/>
          </w:tcPr>
          <w:p w14:paraId="3F9CC064" w14:textId="77777777" w:rsidR="00000000" w:rsidRDefault="00A173A8">
            <w:pPr>
              <w:spacing w:after="100"/>
              <w:rPr>
                <w:rFonts w:eastAsia="Times New Roman"/>
                <w:sz w:val="20"/>
                <w:szCs w:val="20"/>
              </w:rPr>
            </w:pPr>
          </w:p>
        </w:tc>
        <w:tc>
          <w:tcPr>
            <w:tcW w:w="0" w:type="auto"/>
            <w:gridSpan w:val="3"/>
            <w:vAlign w:val="center"/>
            <w:hideMark/>
          </w:tcPr>
          <w:p w14:paraId="7B8D8442" w14:textId="77777777" w:rsidR="00000000" w:rsidRDefault="00A173A8">
            <w:pPr>
              <w:spacing w:after="100"/>
              <w:rPr>
                <w:rFonts w:eastAsia="Times New Roman"/>
                <w:sz w:val="20"/>
                <w:szCs w:val="20"/>
              </w:rPr>
            </w:pPr>
          </w:p>
        </w:tc>
        <w:tc>
          <w:tcPr>
            <w:tcW w:w="0" w:type="auto"/>
            <w:gridSpan w:val="3"/>
            <w:vAlign w:val="center"/>
            <w:hideMark/>
          </w:tcPr>
          <w:p w14:paraId="7F17C033" w14:textId="77777777" w:rsidR="00000000" w:rsidRDefault="00A173A8">
            <w:pPr>
              <w:spacing w:after="100"/>
              <w:rPr>
                <w:rFonts w:eastAsia="Times New Roman"/>
                <w:sz w:val="20"/>
                <w:szCs w:val="20"/>
              </w:rPr>
            </w:pPr>
          </w:p>
        </w:tc>
      </w:tr>
      <w:tr w:rsidR="00000000" w14:paraId="077DF6DA" w14:textId="77777777">
        <w:trPr>
          <w:divId w:val="142897690"/>
        </w:trPr>
        <w:tc>
          <w:tcPr>
            <w:tcW w:w="0" w:type="auto"/>
            <w:gridSpan w:val="3"/>
            <w:vAlign w:val="center"/>
            <w:hideMark/>
          </w:tcPr>
          <w:p w14:paraId="1277C1ED" w14:textId="77777777" w:rsidR="00000000" w:rsidRDefault="00A173A8">
            <w:pPr>
              <w:spacing w:after="100"/>
              <w:rPr>
                <w:rFonts w:eastAsia="Times New Roman"/>
                <w:sz w:val="20"/>
                <w:szCs w:val="20"/>
              </w:rPr>
            </w:pPr>
          </w:p>
        </w:tc>
        <w:tc>
          <w:tcPr>
            <w:tcW w:w="0" w:type="auto"/>
            <w:gridSpan w:val="3"/>
            <w:vAlign w:val="center"/>
            <w:hideMark/>
          </w:tcPr>
          <w:p w14:paraId="17576D61" w14:textId="77777777" w:rsidR="00000000" w:rsidRDefault="00A173A8">
            <w:pPr>
              <w:spacing w:after="100"/>
              <w:rPr>
                <w:rFonts w:eastAsia="Times New Roman"/>
                <w:sz w:val="20"/>
                <w:szCs w:val="20"/>
              </w:rPr>
            </w:pPr>
          </w:p>
        </w:tc>
        <w:tc>
          <w:tcPr>
            <w:tcW w:w="0" w:type="auto"/>
            <w:gridSpan w:val="3"/>
            <w:vAlign w:val="center"/>
            <w:hideMark/>
          </w:tcPr>
          <w:p w14:paraId="100BD245" w14:textId="77777777" w:rsidR="00000000" w:rsidRDefault="00A173A8">
            <w:pPr>
              <w:spacing w:after="100"/>
              <w:rPr>
                <w:rFonts w:eastAsia="Times New Roman"/>
                <w:sz w:val="20"/>
                <w:szCs w:val="20"/>
              </w:rPr>
            </w:pPr>
          </w:p>
        </w:tc>
        <w:tc>
          <w:tcPr>
            <w:tcW w:w="0" w:type="auto"/>
            <w:gridSpan w:val="3"/>
            <w:vAlign w:val="center"/>
            <w:hideMark/>
          </w:tcPr>
          <w:p w14:paraId="308E651A" w14:textId="77777777" w:rsidR="00000000" w:rsidRDefault="00A173A8">
            <w:pPr>
              <w:spacing w:after="100"/>
              <w:rPr>
                <w:rFonts w:eastAsia="Times New Roman"/>
                <w:sz w:val="20"/>
                <w:szCs w:val="20"/>
              </w:rPr>
            </w:pPr>
          </w:p>
        </w:tc>
        <w:tc>
          <w:tcPr>
            <w:tcW w:w="0" w:type="auto"/>
            <w:gridSpan w:val="3"/>
            <w:vAlign w:val="center"/>
            <w:hideMark/>
          </w:tcPr>
          <w:p w14:paraId="61C96D96" w14:textId="77777777" w:rsidR="00000000" w:rsidRDefault="00A173A8">
            <w:pPr>
              <w:spacing w:after="100"/>
              <w:rPr>
                <w:rFonts w:eastAsia="Times New Roman"/>
                <w:sz w:val="20"/>
                <w:szCs w:val="20"/>
              </w:rPr>
            </w:pPr>
          </w:p>
        </w:tc>
      </w:tr>
      <w:tr w:rsidR="00000000" w14:paraId="5068993D" w14:textId="77777777">
        <w:trPr>
          <w:divId w:val="142897690"/>
        </w:trPr>
        <w:tc>
          <w:tcPr>
            <w:tcW w:w="0" w:type="auto"/>
            <w:gridSpan w:val="3"/>
            <w:vAlign w:val="center"/>
            <w:hideMark/>
          </w:tcPr>
          <w:p w14:paraId="0673B721" w14:textId="77777777" w:rsidR="00000000" w:rsidRDefault="00A173A8">
            <w:pPr>
              <w:spacing w:after="100"/>
              <w:rPr>
                <w:rFonts w:eastAsia="Times New Roman"/>
                <w:sz w:val="20"/>
                <w:szCs w:val="20"/>
              </w:rPr>
            </w:pPr>
          </w:p>
        </w:tc>
        <w:tc>
          <w:tcPr>
            <w:tcW w:w="0" w:type="auto"/>
            <w:gridSpan w:val="3"/>
            <w:vAlign w:val="center"/>
            <w:hideMark/>
          </w:tcPr>
          <w:p w14:paraId="20452DBB" w14:textId="77777777" w:rsidR="00000000" w:rsidRDefault="00A173A8">
            <w:pPr>
              <w:spacing w:after="100"/>
              <w:rPr>
                <w:rFonts w:eastAsia="Times New Roman"/>
                <w:sz w:val="20"/>
                <w:szCs w:val="20"/>
              </w:rPr>
            </w:pPr>
          </w:p>
        </w:tc>
        <w:tc>
          <w:tcPr>
            <w:tcW w:w="0" w:type="auto"/>
            <w:gridSpan w:val="3"/>
            <w:vAlign w:val="center"/>
            <w:hideMark/>
          </w:tcPr>
          <w:p w14:paraId="18F81004" w14:textId="77777777" w:rsidR="00000000" w:rsidRDefault="00A173A8">
            <w:pPr>
              <w:spacing w:after="100"/>
              <w:rPr>
                <w:rFonts w:eastAsia="Times New Roman"/>
                <w:sz w:val="20"/>
                <w:szCs w:val="20"/>
              </w:rPr>
            </w:pPr>
          </w:p>
        </w:tc>
        <w:tc>
          <w:tcPr>
            <w:tcW w:w="0" w:type="auto"/>
            <w:gridSpan w:val="3"/>
            <w:vAlign w:val="center"/>
            <w:hideMark/>
          </w:tcPr>
          <w:p w14:paraId="7F8B1BF4" w14:textId="77777777" w:rsidR="00000000" w:rsidRDefault="00A173A8">
            <w:pPr>
              <w:spacing w:after="100"/>
              <w:rPr>
                <w:rFonts w:eastAsia="Times New Roman"/>
                <w:sz w:val="20"/>
                <w:szCs w:val="20"/>
              </w:rPr>
            </w:pPr>
          </w:p>
        </w:tc>
        <w:tc>
          <w:tcPr>
            <w:tcW w:w="0" w:type="auto"/>
            <w:gridSpan w:val="3"/>
            <w:vAlign w:val="center"/>
            <w:hideMark/>
          </w:tcPr>
          <w:p w14:paraId="16BC49D1" w14:textId="77777777" w:rsidR="00000000" w:rsidRDefault="00A173A8">
            <w:pPr>
              <w:spacing w:after="100"/>
              <w:rPr>
                <w:rFonts w:eastAsia="Times New Roman"/>
                <w:sz w:val="20"/>
                <w:szCs w:val="20"/>
              </w:rPr>
            </w:pPr>
          </w:p>
        </w:tc>
      </w:tr>
      <w:tr w:rsidR="00000000" w14:paraId="240BDAE4" w14:textId="77777777">
        <w:trPr>
          <w:divId w:val="142897690"/>
        </w:trPr>
        <w:tc>
          <w:tcPr>
            <w:tcW w:w="0" w:type="auto"/>
            <w:gridSpan w:val="3"/>
            <w:vAlign w:val="center"/>
            <w:hideMark/>
          </w:tcPr>
          <w:p w14:paraId="57CB897B" w14:textId="77777777" w:rsidR="00000000" w:rsidRDefault="00A173A8">
            <w:pPr>
              <w:spacing w:after="100"/>
              <w:rPr>
                <w:rFonts w:eastAsia="Times New Roman"/>
                <w:sz w:val="20"/>
                <w:szCs w:val="20"/>
              </w:rPr>
            </w:pPr>
          </w:p>
        </w:tc>
        <w:tc>
          <w:tcPr>
            <w:tcW w:w="0" w:type="auto"/>
            <w:gridSpan w:val="3"/>
            <w:vAlign w:val="center"/>
            <w:hideMark/>
          </w:tcPr>
          <w:p w14:paraId="36662919" w14:textId="77777777" w:rsidR="00000000" w:rsidRDefault="00A173A8">
            <w:pPr>
              <w:spacing w:after="100"/>
              <w:rPr>
                <w:rFonts w:eastAsia="Times New Roman"/>
                <w:sz w:val="20"/>
                <w:szCs w:val="20"/>
              </w:rPr>
            </w:pPr>
          </w:p>
        </w:tc>
        <w:tc>
          <w:tcPr>
            <w:tcW w:w="0" w:type="auto"/>
            <w:gridSpan w:val="3"/>
            <w:vAlign w:val="center"/>
            <w:hideMark/>
          </w:tcPr>
          <w:p w14:paraId="08436FC3" w14:textId="77777777" w:rsidR="00000000" w:rsidRDefault="00A173A8">
            <w:pPr>
              <w:spacing w:after="100"/>
              <w:rPr>
                <w:rFonts w:eastAsia="Times New Roman"/>
                <w:sz w:val="20"/>
                <w:szCs w:val="20"/>
              </w:rPr>
            </w:pPr>
          </w:p>
        </w:tc>
        <w:tc>
          <w:tcPr>
            <w:tcW w:w="0" w:type="auto"/>
            <w:gridSpan w:val="3"/>
            <w:vAlign w:val="center"/>
            <w:hideMark/>
          </w:tcPr>
          <w:p w14:paraId="1E2350DA" w14:textId="77777777" w:rsidR="00000000" w:rsidRDefault="00A173A8">
            <w:pPr>
              <w:spacing w:after="100"/>
              <w:rPr>
                <w:rFonts w:eastAsia="Times New Roman"/>
                <w:sz w:val="20"/>
                <w:szCs w:val="20"/>
              </w:rPr>
            </w:pPr>
          </w:p>
        </w:tc>
        <w:tc>
          <w:tcPr>
            <w:tcW w:w="0" w:type="auto"/>
            <w:gridSpan w:val="3"/>
            <w:vAlign w:val="center"/>
            <w:hideMark/>
          </w:tcPr>
          <w:p w14:paraId="4BE179D6" w14:textId="77777777" w:rsidR="00000000" w:rsidRDefault="00A173A8">
            <w:pPr>
              <w:spacing w:after="100"/>
              <w:rPr>
                <w:rFonts w:eastAsia="Times New Roman"/>
                <w:sz w:val="20"/>
                <w:szCs w:val="20"/>
              </w:rPr>
            </w:pPr>
          </w:p>
        </w:tc>
      </w:tr>
      <w:tr w:rsidR="00000000" w14:paraId="3A014B43" w14:textId="77777777">
        <w:trPr>
          <w:divId w:val="142897690"/>
        </w:trPr>
        <w:tc>
          <w:tcPr>
            <w:tcW w:w="0" w:type="auto"/>
            <w:gridSpan w:val="3"/>
            <w:vAlign w:val="center"/>
            <w:hideMark/>
          </w:tcPr>
          <w:p w14:paraId="75D90FA0" w14:textId="77777777" w:rsidR="00000000" w:rsidRDefault="00A173A8">
            <w:pPr>
              <w:spacing w:after="100"/>
              <w:rPr>
                <w:rFonts w:eastAsia="Times New Roman"/>
                <w:sz w:val="20"/>
                <w:szCs w:val="20"/>
              </w:rPr>
            </w:pPr>
          </w:p>
        </w:tc>
        <w:tc>
          <w:tcPr>
            <w:tcW w:w="0" w:type="auto"/>
            <w:gridSpan w:val="3"/>
            <w:vAlign w:val="center"/>
            <w:hideMark/>
          </w:tcPr>
          <w:p w14:paraId="2339732C" w14:textId="77777777" w:rsidR="00000000" w:rsidRDefault="00A173A8">
            <w:pPr>
              <w:spacing w:after="100"/>
              <w:rPr>
                <w:rFonts w:eastAsia="Times New Roman"/>
                <w:sz w:val="20"/>
                <w:szCs w:val="20"/>
              </w:rPr>
            </w:pPr>
          </w:p>
        </w:tc>
        <w:tc>
          <w:tcPr>
            <w:tcW w:w="0" w:type="auto"/>
            <w:gridSpan w:val="3"/>
            <w:vAlign w:val="center"/>
            <w:hideMark/>
          </w:tcPr>
          <w:p w14:paraId="6E04372C" w14:textId="77777777" w:rsidR="00000000" w:rsidRDefault="00A173A8">
            <w:pPr>
              <w:spacing w:after="100"/>
              <w:rPr>
                <w:rFonts w:eastAsia="Times New Roman"/>
                <w:sz w:val="20"/>
                <w:szCs w:val="20"/>
              </w:rPr>
            </w:pPr>
          </w:p>
        </w:tc>
        <w:tc>
          <w:tcPr>
            <w:tcW w:w="0" w:type="auto"/>
            <w:gridSpan w:val="3"/>
            <w:vAlign w:val="center"/>
            <w:hideMark/>
          </w:tcPr>
          <w:p w14:paraId="32C58B2C" w14:textId="77777777" w:rsidR="00000000" w:rsidRDefault="00A173A8">
            <w:pPr>
              <w:spacing w:after="100"/>
              <w:rPr>
                <w:rFonts w:eastAsia="Times New Roman"/>
                <w:sz w:val="20"/>
                <w:szCs w:val="20"/>
              </w:rPr>
            </w:pPr>
          </w:p>
        </w:tc>
        <w:tc>
          <w:tcPr>
            <w:tcW w:w="0" w:type="auto"/>
            <w:gridSpan w:val="3"/>
            <w:vAlign w:val="center"/>
            <w:hideMark/>
          </w:tcPr>
          <w:p w14:paraId="5F78D7F2" w14:textId="77777777" w:rsidR="00000000" w:rsidRDefault="00A173A8">
            <w:pPr>
              <w:spacing w:after="100"/>
              <w:rPr>
                <w:rFonts w:eastAsia="Times New Roman"/>
                <w:sz w:val="20"/>
                <w:szCs w:val="20"/>
              </w:rPr>
            </w:pPr>
          </w:p>
        </w:tc>
      </w:tr>
      <w:tr w:rsidR="00000000" w14:paraId="5D5E890F" w14:textId="77777777">
        <w:trPr>
          <w:divId w:val="142897690"/>
        </w:trPr>
        <w:tc>
          <w:tcPr>
            <w:tcW w:w="0" w:type="auto"/>
            <w:gridSpan w:val="3"/>
            <w:vAlign w:val="center"/>
            <w:hideMark/>
          </w:tcPr>
          <w:p w14:paraId="5EB115D7" w14:textId="77777777" w:rsidR="00000000" w:rsidRDefault="00A173A8">
            <w:pPr>
              <w:spacing w:after="100"/>
              <w:rPr>
                <w:rFonts w:eastAsia="Times New Roman"/>
                <w:sz w:val="20"/>
                <w:szCs w:val="20"/>
              </w:rPr>
            </w:pPr>
          </w:p>
        </w:tc>
        <w:tc>
          <w:tcPr>
            <w:tcW w:w="0" w:type="auto"/>
            <w:gridSpan w:val="3"/>
            <w:vAlign w:val="center"/>
            <w:hideMark/>
          </w:tcPr>
          <w:p w14:paraId="4A9FC467" w14:textId="77777777" w:rsidR="00000000" w:rsidRDefault="00A173A8">
            <w:pPr>
              <w:spacing w:after="100"/>
              <w:rPr>
                <w:rFonts w:eastAsia="Times New Roman"/>
                <w:sz w:val="20"/>
                <w:szCs w:val="20"/>
              </w:rPr>
            </w:pPr>
          </w:p>
        </w:tc>
        <w:tc>
          <w:tcPr>
            <w:tcW w:w="0" w:type="auto"/>
            <w:gridSpan w:val="3"/>
            <w:vAlign w:val="center"/>
            <w:hideMark/>
          </w:tcPr>
          <w:p w14:paraId="6E3E8173" w14:textId="77777777" w:rsidR="00000000" w:rsidRDefault="00A173A8">
            <w:pPr>
              <w:spacing w:after="100"/>
              <w:rPr>
                <w:rFonts w:eastAsia="Times New Roman"/>
                <w:sz w:val="20"/>
                <w:szCs w:val="20"/>
              </w:rPr>
            </w:pPr>
          </w:p>
        </w:tc>
        <w:tc>
          <w:tcPr>
            <w:tcW w:w="0" w:type="auto"/>
            <w:gridSpan w:val="3"/>
            <w:vAlign w:val="center"/>
            <w:hideMark/>
          </w:tcPr>
          <w:p w14:paraId="6EF91767" w14:textId="77777777" w:rsidR="00000000" w:rsidRDefault="00A173A8">
            <w:pPr>
              <w:spacing w:after="100"/>
              <w:rPr>
                <w:rFonts w:eastAsia="Times New Roman"/>
                <w:sz w:val="20"/>
                <w:szCs w:val="20"/>
              </w:rPr>
            </w:pPr>
          </w:p>
        </w:tc>
        <w:tc>
          <w:tcPr>
            <w:tcW w:w="0" w:type="auto"/>
            <w:gridSpan w:val="3"/>
            <w:vAlign w:val="center"/>
            <w:hideMark/>
          </w:tcPr>
          <w:p w14:paraId="6503C9B8" w14:textId="77777777" w:rsidR="00000000" w:rsidRDefault="00A173A8">
            <w:pPr>
              <w:spacing w:after="100"/>
              <w:rPr>
                <w:rFonts w:eastAsia="Times New Roman"/>
                <w:sz w:val="20"/>
                <w:szCs w:val="20"/>
              </w:rPr>
            </w:pPr>
          </w:p>
        </w:tc>
      </w:tr>
      <w:tr w:rsidR="00000000" w14:paraId="0D574EBE" w14:textId="77777777">
        <w:trPr>
          <w:divId w:val="142897690"/>
        </w:trPr>
        <w:tc>
          <w:tcPr>
            <w:tcW w:w="0" w:type="auto"/>
            <w:gridSpan w:val="3"/>
            <w:vAlign w:val="center"/>
            <w:hideMark/>
          </w:tcPr>
          <w:p w14:paraId="0EBCEFE6" w14:textId="77777777" w:rsidR="00000000" w:rsidRDefault="00A173A8">
            <w:pPr>
              <w:spacing w:after="100"/>
              <w:rPr>
                <w:rFonts w:eastAsia="Times New Roman"/>
                <w:sz w:val="20"/>
                <w:szCs w:val="20"/>
              </w:rPr>
            </w:pPr>
          </w:p>
        </w:tc>
        <w:tc>
          <w:tcPr>
            <w:tcW w:w="0" w:type="auto"/>
            <w:gridSpan w:val="3"/>
            <w:vAlign w:val="center"/>
            <w:hideMark/>
          </w:tcPr>
          <w:p w14:paraId="014C102B" w14:textId="77777777" w:rsidR="00000000" w:rsidRDefault="00A173A8">
            <w:pPr>
              <w:spacing w:after="100"/>
              <w:rPr>
                <w:rFonts w:eastAsia="Times New Roman"/>
                <w:sz w:val="20"/>
                <w:szCs w:val="20"/>
              </w:rPr>
            </w:pPr>
          </w:p>
        </w:tc>
        <w:tc>
          <w:tcPr>
            <w:tcW w:w="0" w:type="auto"/>
            <w:gridSpan w:val="3"/>
            <w:vAlign w:val="center"/>
            <w:hideMark/>
          </w:tcPr>
          <w:p w14:paraId="5E14EB48" w14:textId="77777777" w:rsidR="00000000" w:rsidRDefault="00A173A8">
            <w:pPr>
              <w:spacing w:after="100"/>
              <w:rPr>
                <w:rFonts w:eastAsia="Times New Roman"/>
                <w:sz w:val="20"/>
                <w:szCs w:val="20"/>
              </w:rPr>
            </w:pPr>
          </w:p>
        </w:tc>
        <w:tc>
          <w:tcPr>
            <w:tcW w:w="0" w:type="auto"/>
            <w:gridSpan w:val="3"/>
            <w:vAlign w:val="center"/>
            <w:hideMark/>
          </w:tcPr>
          <w:p w14:paraId="639302B2" w14:textId="77777777" w:rsidR="00000000" w:rsidRDefault="00A173A8">
            <w:pPr>
              <w:spacing w:after="100"/>
              <w:rPr>
                <w:rFonts w:eastAsia="Times New Roman"/>
                <w:sz w:val="20"/>
                <w:szCs w:val="20"/>
              </w:rPr>
            </w:pPr>
          </w:p>
        </w:tc>
        <w:tc>
          <w:tcPr>
            <w:tcW w:w="0" w:type="auto"/>
            <w:gridSpan w:val="3"/>
            <w:vAlign w:val="center"/>
            <w:hideMark/>
          </w:tcPr>
          <w:p w14:paraId="19DB4E4B" w14:textId="77777777" w:rsidR="00000000" w:rsidRDefault="00A173A8">
            <w:pPr>
              <w:spacing w:after="100"/>
              <w:rPr>
                <w:rFonts w:eastAsia="Times New Roman"/>
                <w:sz w:val="20"/>
                <w:szCs w:val="20"/>
              </w:rPr>
            </w:pPr>
          </w:p>
        </w:tc>
      </w:tr>
      <w:tr w:rsidR="00000000" w14:paraId="7E9890E9" w14:textId="77777777">
        <w:trPr>
          <w:divId w:val="142897690"/>
        </w:trPr>
        <w:tc>
          <w:tcPr>
            <w:tcW w:w="0" w:type="auto"/>
            <w:gridSpan w:val="3"/>
            <w:vAlign w:val="center"/>
            <w:hideMark/>
          </w:tcPr>
          <w:p w14:paraId="69748B0A" w14:textId="77777777" w:rsidR="00000000" w:rsidRDefault="00A173A8">
            <w:pPr>
              <w:spacing w:after="100"/>
              <w:rPr>
                <w:rFonts w:eastAsia="Times New Roman"/>
                <w:sz w:val="20"/>
                <w:szCs w:val="20"/>
              </w:rPr>
            </w:pPr>
          </w:p>
        </w:tc>
        <w:tc>
          <w:tcPr>
            <w:tcW w:w="0" w:type="auto"/>
            <w:gridSpan w:val="3"/>
            <w:vAlign w:val="center"/>
            <w:hideMark/>
          </w:tcPr>
          <w:p w14:paraId="3706EB6E" w14:textId="77777777" w:rsidR="00000000" w:rsidRDefault="00A173A8">
            <w:pPr>
              <w:spacing w:after="100"/>
              <w:rPr>
                <w:rFonts w:eastAsia="Times New Roman"/>
                <w:sz w:val="20"/>
                <w:szCs w:val="20"/>
              </w:rPr>
            </w:pPr>
          </w:p>
        </w:tc>
        <w:tc>
          <w:tcPr>
            <w:tcW w:w="0" w:type="auto"/>
            <w:gridSpan w:val="3"/>
            <w:vAlign w:val="center"/>
            <w:hideMark/>
          </w:tcPr>
          <w:p w14:paraId="1F82AAE9" w14:textId="77777777" w:rsidR="00000000" w:rsidRDefault="00A173A8">
            <w:pPr>
              <w:spacing w:after="100"/>
              <w:rPr>
                <w:rFonts w:eastAsia="Times New Roman"/>
                <w:sz w:val="20"/>
                <w:szCs w:val="20"/>
              </w:rPr>
            </w:pPr>
          </w:p>
        </w:tc>
        <w:tc>
          <w:tcPr>
            <w:tcW w:w="0" w:type="auto"/>
            <w:gridSpan w:val="3"/>
            <w:vAlign w:val="center"/>
            <w:hideMark/>
          </w:tcPr>
          <w:p w14:paraId="72E37F36" w14:textId="77777777" w:rsidR="00000000" w:rsidRDefault="00A173A8">
            <w:pPr>
              <w:spacing w:after="100"/>
              <w:rPr>
                <w:rFonts w:eastAsia="Times New Roman"/>
                <w:sz w:val="20"/>
                <w:szCs w:val="20"/>
              </w:rPr>
            </w:pPr>
          </w:p>
        </w:tc>
        <w:tc>
          <w:tcPr>
            <w:tcW w:w="0" w:type="auto"/>
            <w:gridSpan w:val="3"/>
            <w:vAlign w:val="center"/>
            <w:hideMark/>
          </w:tcPr>
          <w:p w14:paraId="1C944144" w14:textId="77777777" w:rsidR="00000000" w:rsidRDefault="00A173A8">
            <w:pPr>
              <w:spacing w:after="100"/>
              <w:rPr>
                <w:rFonts w:eastAsia="Times New Roman"/>
                <w:sz w:val="20"/>
                <w:szCs w:val="20"/>
              </w:rPr>
            </w:pPr>
          </w:p>
        </w:tc>
      </w:tr>
      <w:tr w:rsidR="00000000" w14:paraId="2D98A62D" w14:textId="77777777">
        <w:trPr>
          <w:divId w:val="142897690"/>
        </w:trPr>
        <w:tc>
          <w:tcPr>
            <w:tcW w:w="0" w:type="auto"/>
            <w:gridSpan w:val="3"/>
            <w:vAlign w:val="center"/>
            <w:hideMark/>
          </w:tcPr>
          <w:p w14:paraId="3DFC383A" w14:textId="77777777" w:rsidR="00000000" w:rsidRDefault="00A173A8">
            <w:pPr>
              <w:spacing w:after="100"/>
              <w:rPr>
                <w:rFonts w:eastAsia="Times New Roman"/>
                <w:sz w:val="20"/>
                <w:szCs w:val="20"/>
              </w:rPr>
            </w:pPr>
          </w:p>
        </w:tc>
        <w:tc>
          <w:tcPr>
            <w:tcW w:w="0" w:type="auto"/>
            <w:gridSpan w:val="3"/>
            <w:vAlign w:val="center"/>
            <w:hideMark/>
          </w:tcPr>
          <w:p w14:paraId="1005CD09" w14:textId="77777777" w:rsidR="00000000" w:rsidRDefault="00A173A8">
            <w:pPr>
              <w:spacing w:after="100"/>
              <w:rPr>
                <w:rFonts w:eastAsia="Times New Roman"/>
                <w:sz w:val="20"/>
                <w:szCs w:val="20"/>
              </w:rPr>
            </w:pPr>
          </w:p>
        </w:tc>
        <w:tc>
          <w:tcPr>
            <w:tcW w:w="0" w:type="auto"/>
            <w:gridSpan w:val="3"/>
            <w:vAlign w:val="center"/>
            <w:hideMark/>
          </w:tcPr>
          <w:p w14:paraId="49977C14" w14:textId="77777777" w:rsidR="00000000" w:rsidRDefault="00A173A8">
            <w:pPr>
              <w:spacing w:after="100"/>
              <w:rPr>
                <w:rFonts w:eastAsia="Times New Roman"/>
                <w:sz w:val="20"/>
                <w:szCs w:val="20"/>
              </w:rPr>
            </w:pPr>
          </w:p>
        </w:tc>
        <w:tc>
          <w:tcPr>
            <w:tcW w:w="0" w:type="auto"/>
            <w:gridSpan w:val="3"/>
            <w:vAlign w:val="center"/>
            <w:hideMark/>
          </w:tcPr>
          <w:p w14:paraId="537FF2BE" w14:textId="77777777" w:rsidR="00000000" w:rsidRDefault="00A173A8">
            <w:pPr>
              <w:spacing w:after="100"/>
              <w:rPr>
                <w:rFonts w:eastAsia="Times New Roman"/>
                <w:sz w:val="20"/>
                <w:szCs w:val="20"/>
              </w:rPr>
            </w:pPr>
          </w:p>
        </w:tc>
        <w:tc>
          <w:tcPr>
            <w:tcW w:w="0" w:type="auto"/>
            <w:gridSpan w:val="3"/>
            <w:vAlign w:val="center"/>
            <w:hideMark/>
          </w:tcPr>
          <w:p w14:paraId="6E9036F1" w14:textId="77777777" w:rsidR="00000000" w:rsidRDefault="00A173A8">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247"/>
        <w:gridCol w:w="144"/>
        <w:gridCol w:w="144"/>
        <w:gridCol w:w="867"/>
        <w:gridCol w:w="144"/>
        <w:gridCol w:w="144"/>
        <w:gridCol w:w="235"/>
        <w:gridCol w:w="144"/>
        <w:gridCol w:w="144"/>
        <w:gridCol w:w="144"/>
        <w:gridCol w:w="144"/>
        <w:gridCol w:w="144"/>
        <w:gridCol w:w="3526"/>
        <w:gridCol w:w="144"/>
      </w:tblGrid>
      <w:tr w:rsidR="00000000" w14:paraId="7D3D9C99" w14:textId="77777777">
        <w:trPr>
          <w:jc w:val="center"/>
        </w:trPr>
        <w:tc>
          <w:tcPr>
            <w:tcW w:w="50" w:type="pct"/>
            <w:vAlign w:val="center"/>
            <w:hideMark/>
          </w:tcPr>
          <w:p w14:paraId="542BD21B" w14:textId="77777777" w:rsidR="00000000" w:rsidRDefault="00A173A8">
            <w:pPr>
              <w:jc w:val="both"/>
              <w:rPr>
                <w:rFonts w:eastAsia="Times New Roman"/>
              </w:rPr>
            </w:pPr>
          </w:p>
        </w:tc>
        <w:tc>
          <w:tcPr>
            <w:tcW w:w="1955" w:type="pct"/>
            <w:vAlign w:val="center"/>
            <w:hideMark/>
          </w:tcPr>
          <w:p w14:paraId="302833C5" w14:textId="77777777" w:rsidR="00000000" w:rsidRDefault="00A173A8">
            <w:pPr>
              <w:spacing w:after="100"/>
              <w:rPr>
                <w:rFonts w:eastAsia="Times New Roman"/>
                <w:sz w:val="20"/>
                <w:szCs w:val="20"/>
              </w:rPr>
            </w:pPr>
          </w:p>
        </w:tc>
        <w:tc>
          <w:tcPr>
            <w:tcW w:w="5" w:type="pct"/>
            <w:vAlign w:val="center"/>
            <w:hideMark/>
          </w:tcPr>
          <w:p w14:paraId="1156DDDE" w14:textId="77777777" w:rsidR="00000000" w:rsidRDefault="00A173A8">
            <w:pPr>
              <w:spacing w:after="100"/>
              <w:rPr>
                <w:rFonts w:eastAsia="Times New Roman"/>
                <w:sz w:val="20"/>
                <w:szCs w:val="20"/>
              </w:rPr>
            </w:pPr>
          </w:p>
        </w:tc>
        <w:tc>
          <w:tcPr>
            <w:tcW w:w="50" w:type="pct"/>
            <w:vAlign w:val="center"/>
            <w:hideMark/>
          </w:tcPr>
          <w:p w14:paraId="4C8A4432" w14:textId="77777777" w:rsidR="00000000" w:rsidRDefault="00A173A8">
            <w:pPr>
              <w:spacing w:after="100"/>
              <w:rPr>
                <w:rFonts w:eastAsia="Times New Roman"/>
                <w:sz w:val="20"/>
                <w:szCs w:val="20"/>
              </w:rPr>
            </w:pPr>
          </w:p>
        </w:tc>
        <w:tc>
          <w:tcPr>
            <w:tcW w:w="522" w:type="pct"/>
            <w:vAlign w:val="center"/>
            <w:hideMark/>
          </w:tcPr>
          <w:p w14:paraId="6F6714FE" w14:textId="77777777" w:rsidR="00000000" w:rsidRDefault="00A173A8">
            <w:pPr>
              <w:spacing w:after="100"/>
              <w:rPr>
                <w:rFonts w:eastAsia="Times New Roman"/>
                <w:sz w:val="20"/>
                <w:szCs w:val="20"/>
              </w:rPr>
            </w:pPr>
          </w:p>
        </w:tc>
        <w:tc>
          <w:tcPr>
            <w:tcW w:w="5" w:type="pct"/>
            <w:vAlign w:val="center"/>
            <w:hideMark/>
          </w:tcPr>
          <w:p w14:paraId="609D4484" w14:textId="77777777" w:rsidR="00000000" w:rsidRDefault="00A173A8">
            <w:pPr>
              <w:spacing w:after="100"/>
              <w:rPr>
                <w:rFonts w:eastAsia="Times New Roman"/>
                <w:sz w:val="20"/>
                <w:szCs w:val="20"/>
              </w:rPr>
            </w:pPr>
          </w:p>
        </w:tc>
        <w:tc>
          <w:tcPr>
            <w:tcW w:w="50" w:type="pct"/>
            <w:vAlign w:val="center"/>
            <w:hideMark/>
          </w:tcPr>
          <w:p w14:paraId="0C5A59B1" w14:textId="77777777" w:rsidR="00000000" w:rsidRDefault="00A173A8">
            <w:pPr>
              <w:spacing w:after="100"/>
              <w:rPr>
                <w:rFonts w:eastAsia="Times New Roman"/>
                <w:sz w:val="20"/>
                <w:szCs w:val="20"/>
              </w:rPr>
            </w:pPr>
          </w:p>
        </w:tc>
        <w:tc>
          <w:tcPr>
            <w:tcW w:w="142" w:type="pct"/>
            <w:vAlign w:val="center"/>
            <w:hideMark/>
          </w:tcPr>
          <w:p w14:paraId="012F97B2" w14:textId="77777777" w:rsidR="00000000" w:rsidRDefault="00A173A8">
            <w:pPr>
              <w:spacing w:after="100"/>
              <w:rPr>
                <w:rFonts w:eastAsia="Times New Roman"/>
                <w:sz w:val="20"/>
                <w:szCs w:val="20"/>
              </w:rPr>
            </w:pPr>
          </w:p>
        </w:tc>
        <w:tc>
          <w:tcPr>
            <w:tcW w:w="5" w:type="pct"/>
            <w:vAlign w:val="center"/>
            <w:hideMark/>
          </w:tcPr>
          <w:p w14:paraId="19DB4A94" w14:textId="77777777" w:rsidR="00000000" w:rsidRDefault="00A173A8">
            <w:pPr>
              <w:spacing w:after="100"/>
              <w:rPr>
                <w:rFonts w:eastAsia="Times New Roman"/>
                <w:sz w:val="20"/>
                <w:szCs w:val="20"/>
              </w:rPr>
            </w:pPr>
          </w:p>
        </w:tc>
        <w:tc>
          <w:tcPr>
            <w:tcW w:w="5" w:type="pct"/>
            <w:vAlign w:val="center"/>
            <w:hideMark/>
          </w:tcPr>
          <w:p w14:paraId="0CC8CB1D" w14:textId="77777777" w:rsidR="00000000" w:rsidRDefault="00A173A8">
            <w:pPr>
              <w:spacing w:after="100"/>
              <w:rPr>
                <w:rFonts w:eastAsia="Times New Roman"/>
                <w:sz w:val="20"/>
                <w:szCs w:val="20"/>
              </w:rPr>
            </w:pPr>
          </w:p>
        </w:tc>
        <w:tc>
          <w:tcPr>
            <w:tcW w:w="26" w:type="pct"/>
            <w:vAlign w:val="center"/>
            <w:hideMark/>
          </w:tcPr>
          <w:p w14:paraId="0E24D11F" w14:textId="77777777" w:rsidR="00000000" w:rsidRDefault="00A173A8">
            <w:pPr>
              <w:spacing w:after="100"/>
              <w:rPr>
                <w:rFonts w:eastAsia="Times New Roman"/>
                <w:sz w:val="20"/>
                <w:szCs w:val="20"/>
              </w:rPr>
            </w:pPr>
          </w:p>
        </w:tc>
        <w:tc>
          <w:tcPr>
            <w:tcW w:w="5" w:type="pct"/>
            <w:vAlign w:val="center"/>
            <w:hideMark/>
          </w:tcPr>
          <w:p w14:paraId="35774939" w14:textId="77777777" w:rsidR="00000000" w:rsidRDefault="00A173A8">
            <w:pPr>
              <w:spacing w:after="100"/>
              <w:rPr>
                <w:rFonts w:eastAsia="Times New Roman"/>
                <w:sz w:val="20"/>
                <w:szCs w:val="20"/>
              </w:rPr>
            </w:pPr>
          </w:p>
        </w:tc>
        <w:tc>
          <w:tcPr>
            <w:tcW w:w="50" w:type="pct"/>
            <w:vAlign w:val="center"/>
            <w:hideMark/>
          </w:tcPr>
          <w:p w14:paraId="3C40DF52" w14:textId="77777777" w:rsidR="00000000" w:rsidRDefault="00A173A8">
            <w:pPr>
              <w:spacing w:after="100"/>
              <w:rPr>
                <w:rFonts w:eastAsia="Times New Roman"/>
                <w:sz w:val="20"/>
                <w:szCs w:val="20"/>
              </w:rPr>
            </w:pPr>
          </w:p>
        </w:tc>
        <w:tc>
          <w:tcPr>
            <w:tcW w:w="2123" w:type="pct"/>
            <w:vAlign w:val="center"/>
            <w:hideMark/>
          </w:tcPr>
          <w:p w14:paraId="1FC41339" w14:textId="77777777" w:rsidR="00000000" w:rsidRDefault="00A173A8">
            <w:pPr>
              <w:spacing w:after="100"/>
              <w:rPr>
                <w:rFonts w:eastAsia="Times New Roman"/>
                <w:sz w:val="20"/>
                <w:szCs w:val="20"/>
              </w:rPr>
            </w:pPr>
          </w:p>
        </w:tc>
        <w:tc>
          <w:tcPr>
            <w:tcW w:w="5" w:type="pct"/>
            <w:vAlign w:val="center"/>
            <w:hideMark/>
          </w:tcPr>
          <w:p w14:paraId="402241A8" w14:textId="77777777" w:rsidR="00000000" w:rsidRDefault="00A173A8">
            <w:pPr>
              <w:spacing w:after="100"/>
              <w:rPr>
                <w:rFonts w:eastAsia="Times New Roman"/>
                <w:sz w:val="20"/>
                <w:szCs w:val="20"/>
              </w:rPr>
            </w:pPr>
          </w:p>
        </w:tc>
      </w:tr>
      <w:tr w:rsidR="00000000" w14:paraId="3A0EB9C8" w14:textId="77777777">
        <w:trPr>
          <w:trHeight w:val="60"/>
          <w:jc w:val="center"/>
        </w:trPr>
        <w:tc>
          <w:tcPr>
            <w:tcW w:w="0" w:type="auto"/>
            <w:gridSpan w:val="3"/>
            <w:tcMar>
              <w:top w:w="0" w:type="dxa"/>
              <w:left w:w="20" w:type="dxa"/>
              <w:bottom w:w="0" w:type="dxa"/>
              <w:right w:w="20" w:type="dxa"/>
            </w:tcMar>
            <w:vAlign w:val="center"/>
            <w:hideMark/>
          </w:tcPr>
          <w:p w14:paraId="3FADA03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E8BAA6"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4D2329"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4A9FDB" w14:textId="77777777" w:rsidR="00000000" w:rsidRDefault="00A173A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E37BBD" w14:textId="77777777" w:rsidR="00000000" w:rsidRDefault="00A173A8">
            <w:pPr>
              <w:spacing w:after="100"/>
              <w:rPr>
                <w:rFonts w:eastAsia="Times New Roman"/>
                <w:sz w:val="20"/>
                <w:szCs w:val="20"/>
              </w:rPr>
            </w:pPr>
          </w:p>
        </w:tc>
      </w:tr>
      <w:tr w:rsidR="00000000" w14:paraId="18A4B23E" w14:textId="77777777">
        <w:trPr>
          <w:jc w:val="center"/>
        </w:trPr>
        <w:tc>
          <w:tcPr>
            <w:tcW w:w="0" w:type="auto"/>
            <w:gridSpan w:val="3"/>
            <w:vAlign w:val="center"/>
            <w:hideMark/>
          </w:tcPr>
          <w:p w14:paraId="61FA095E" w14:textId="77777777" w:rsidR="00000000" w:rsidRDefault="00A173A8">
            <w:pPr>
              <w:spacing w:after="100"/>
              <w:rPr>
                <w:rFonts w:eastAsia="Times New Roman"/>
                <w:sz w:val="20"/>
                <w:szCs w:val="20"/>
              </w:rPr>
            </w:pPr>
          </w:p>
        </w:tc>
        <w:tc>
          <w:tcPr>
            <w:tcW w:w="0" w:type="auto"/>
            <w:gridSpan w:val="3"/>
            <w:vAlign w:val="center"/>
            <w:hideMark/>
          </w:tcPr>
          <w:p w14:paraId="50464193" w14:textId="77777777" w:rsidR="00000000" w:rsidRDefault="00A173A8">
            <w:pPr>
              <w:spacing w:after="100"/>
              <w:rPr>
                <w:rFonts w:eastAsia="Times New Roman"/>
                <w:sz w:val="20"/>
                <w:szCs w:val="20"/>
              </w:rPr>
            </w:pPr>
          </w:p>
        </w:tc>
        <w:tc>
          <w:tcPr>
            <w:tcW w:w="0" w:type="auto"/>
            <w:gridSpan w:val="3"/>
            <w:vAlign w:val="center"/>
            <w:hideMark/>
          </w:tcPr>
          <w:p w14:paraId="324E89DB" w14:textId="77777777" w:rsidR="00000000" w:rsidRDefault="00A173A8">
            <w:pPr>
              <w:spacing w:after="100"/>
              <w:rPr>
                <w:rFonts w:eastAsia="Times New Roman"/>
                <w:sz w:val="20"/>
                <w:szCs w:val="20"/>
              </w:rPr>
            </w:pPr>
          </w:p>
        </w:tc>
        <w:tc>
          <w:tcPr>
            <w:tcW w:w="0" w:type="auto"/>
            <w:gridSpan w:val="3"/>
            <w:vAlign w:val="center"/>
            <w:hideMark/>
          </w:tcPr>
          <w:p w14:paraId="0A0B6E27" w14:textId="77777777" w:rsidR="00000000" w:rsidRDefault="00A173A8">
            <w:pPr>
              <w:spacing w:after="100"/>
              <w:rPr>
                <w:rFonts w:eastAsia="Times New Roman"/>
                <w:sz w:val="20"/>
                <w:szCs w:val="20"/>
              </w:rPr>
            </w:pPr>
          </w:p>
        </w:tc>
        <w:tc>
          <w:tcPr>
            <w:tcW w:w="0" w:type="auto"/>
            <w:gridSpan w:val="3"/>
            <w:vAlign w:val="center"/>
            <w:hideMark/>
          </w:tcPr>
          <w:p w14:paraId="738D8E9A" w14:textId="77777777" w:rsidR="00000000" w:rsidRDefault="00A173A8">
            <w:pPr>
              <w:spacing w:after="100"/>
              <w:rPr>
                <w:rFonts w:eastAsia="Times New Roman"/>
                <w:sz w:val="20"/>
                <w:szCs w:val="20"/>
              </w:rPr>
            </w:pPr>
          </w:p>
        </w:tc>
      </w:tr>
      <w:tr w:rsidR="00000000" w14:paraId="05ADF69A" w14:textId="77777777">
        <w:trPr>
          <w:jc w:val="center"/>
        </w:trPr>
        <w:tc>
          <w:tcPr>
            <w:tcW w:w="0" w:type="auto"/>
            <w:gridSpan w:val="3"/>
            <w:vAlign w:val="center"/>
            <w:hideMark/>
          </w:tcPr>
          <w:p w14:paraId="0156B797" w14:textId="77777777" w:rsidR="00000000" w:rsidRDefault="00A173A8">
            <w:pPr>
              <w:spacing w:after="100"/>
              <w:rPr>
                <w:rFonts w:eastAsia="Times New Roman"/>
                <w:sz w:val="20"/>
                <w:szCs w:val="20"/>
              </w:rPr>
            </w:pPr>
          </w:p>
        </w:tc>
        <w:tc>
          <w:tcPr>
            <w:tcW w:w="0" w:type="auto"/>
            <w:gridSpan w:val="3"/>
            <w:vAlign w:val="center"/>
            <w:hideMark/>
          </w:tcPr>
          <w:p w14:paraId="76CDBEC5" w14:textId="77777777" w:rsidR="00000000" w:rsidRDefault="00A173A8">
            <w:pPr>
              <w:spacing w:after="100"/>
              <w:rPr>
                <w:rFonts w:eastAsia="Times New Roman"/>
                <w:sz w:val="20"/>
                <w:szCs w:val="20"/>
              </w:rPr>
            </w:pPr>
          </w:p>
        </w:tc>
        <w:tc>
          <w:tcPr>
            <w:tcW w:w="0" w:type="auto"/>
            <w:gridSpan w:val="3"/>
            <w:vAlign w:val="center"/>
            <w:hideMark/>
          </w:tcPr>
          <w:p w14:paraId="4E1C7E22" w14:textId="77777777" w:rsidR="00000000" w:rsidRDefault="00A173A8">
            <w:pPr>
              <w:spacing w:after="100"/>
              <w:rPr>
                <w:rFonts w:eastAsia="Times New Roman"/>
                <w:sz w:val="20"/>
                <w:szCs w:val="20"/>
              </w:rPr>
            </w:pPr>
          </w:p>
        </w:tc>
        <w:tc>
          <w:tcPr>
            <w:tcW w:w="0" w:type="auto"/>
            <w:gridSpan w:val="3"/>
            <w:vAlign w:val="center"/>
            <w:hideMark/>
          </w:tcPr>
          <w:p w14:paraId="361FB964" w14:textId="77777777" w:rsidR="00000000" w:rsidRDefault="00A173A8">
            <w:pPr>
              <w:spacing w:after="100"/>
              <w:rPr>
                <w:rFonts w:eastAsia="Times New Roman"/>
                <w:sz w:val="20"/>
                <w:szCs w:val="20"/>
              </w:rPr>
            </w:pPr>
          </w:p>
        </w:tc>
        <w:tc>
          <w:tcPr>
            <w:tcW w:w="0" w:type="auto"/>
            <w:gridSpan w:val="3"/>
            <w:vAlign w:val="center"/>
            <w:hideMark/>
          </w:tcPr>
          <w:p w14:paraId="7A17FF66" w14:textId="77777777" w:rsidR="00000000" w:rsidRDefault="00A173A8">
            <w:pPr>
              <w:spacing w:after="100"/>
              <w:rPr>
                <w:rFonts w:eastAsia="Times New Roman"/>
                <w:sz w:val="20"/>
                <w:szCs w:val="20"/>
              </w:rPr>
            </w:pPr>
          </w:p>
        </w:tc>
      </w:tr>
      <w:tr w:rsidR="00000000" w14:paraId="01A492EB" w14:textId="77777777">
        <w:trPr>
          <w:jc w:val="center"/>
        </w:trPr>
        <w:tc>
          <w:tcPr>
            <w:tcW w:w="0" w:type="auto"/>
            <w:gridSpan w:val="3"/>
            <w:vAlign w:val="center"/>
            <w:hideMark/>
          </w:tcPr>
          <w:p w14:paraId="7DDA1FDF" w14:textId="77777777" w:rsidR="00000000" w:rsidRDefault="00A173A8">
            <w:pPr>
              <w:spacing w:after="100"/>
              <w:rPr>
                <w:rFonts w:eastAsia="Times New Roman"/>
                <w:sz w:val="20"/>
                <w:szCs w:val="20"/>
              </w:rPr>
            </w:pPr>
          </w:p>
        </w:tc>
        <w:tc>
          <w:tcPr>
            <w:tcW w:w="0" w:type="auto"/>
            <w:gridSpan w:val="3"/>
            <w:vAlign w:val="center"/>
            <w:hideMark/>
          </w:tcPr>
          <w:p w14:paraId="3405BB7A" w14:textId="77777777" w:rsidR="00000000" w:rsidRDefault="00A173A8">
            <w:pPr>
              <w:spacing w:after="100"/>
              <w:rPr>
                <w:rFonts w:eastAsia="Times New Roman"/>
                <w:sz w:val="20"/>
                <w:szCs w:val="20"/>
              </w:rPr>
            </w:pPr>
          </w:p>
        </w:tc>
        <w:tc>
          <w:tcPr>
            <w:tcW w:w="0" w:type="auto"/>
            <w:gridSpan w:val="3"/>
            <w:vAlign w:val="center"/>
            <w:hideMark/>
          </w:tcPr>
          <w:p w14:paraId="5AF60EC3" w14:textId="77777777" w:rsidR="00000000" w:rsidRDefault="00A173A8">
            <w:pPr>
              <w:spacing w:after="100"/>
              <w:rPr>
                <w:rFonts w:eastAsia="Times New Roman"/>
                <w:sz w:val="20"/>
                <w:szCs w:val="20"/>
              </w:rPr>
            </w:pPr>
          </w:p>
        </w:tc>
        <w:tc>
          <w:tcPr>
            <w:tcW w:w="0" w:type="auto"/>
            <w:gridSpan w:val="3"/>
            <w:vAlign w:val="center"/>
            <w:hideMark/>
          </w:tcPr>
          <w:p w14:paraId="2CA127B5" w14:textId="77777777" w:rsidR="00000000" w:rsidRDefault="00A173A8">
            <w:pPr>
              <w:spacing w:after="100"/>
              <w:rPr>
                <w:rFonts w:eastAsia="Times New Roman"/>
                <w:sz w:val="20"/>
                <w:szCs w:val="20"/>
              </w:rPr>
            </w:pPr>
          </w:p>
        </w:tc>
        <w:tc>
          <w:tcPr>
            <w:tcW w:w="0" w:type="auto"/>
            <w:gridSpan w:val="3"/>
            <w:vAlign w:val="center"/>
            <w:hideMark/>
          </w:tcPr>
          <w:p w14:paraId="3D7D0E91" w14:textId="77777777" w:rsidR="00000000" w:rsidRDefault="00A173A8">
            <w:pPr>
              <w:spacing w:after="100"/>
              <w:rPr>
                <w:rFonts w:eastAsia="Times New Roman"/>
                <w:sz w:val="20"/>
                <w:szCs w:val="20"/>
              </w:rPr>
            </w:pPr>
          </w:p>
        </w:tc>
      </w:tr>
      <w:tr w:rsidR="00000000" w14:paraId="64E3CA8D" w14:textId="77777777">
        <w:trPr>
          <w:jc w:val="center"/>
        </w:trPr>
        <w:tc>
          <w:tcPr>
            <w:tcW w:w="0" w:type="auto"/>
            <w:gridSpan w:val="3"/>
            <w:vAlign w:val="center"/>
            <w:hideMark/>
          </w:tcPr>
          <w:p w14:paraId="21A4E45D" w14:textId="77777777" w:rsidR="00000000" w:rsidRDefault="00A173A8">
            <w:pPr>
              <w:spacing w:after="100"/>
              <w:rPr>
                <w:rFonts w:eastAsia="Times New Roman"/>
                <w:sz w:val="20"/>
                <w:szCs w:val="20"/>
              </w:rPr>
            </w:pPr>
          </w:p>
        </w:tc>
        <w:tc>
          <w:tcPr>
            <w:tcW w:w="0" w:type="auto"/>
            <w:gridSpan w:val="3"/>
            <w:vAlign w:val="center"/>
            <w:hideMark/>
          </w:tcPr>
          <w:p w14:paraId="4DD996F5" w14:textId="77777777" w:rsidR="00000000" w:rsidRDefault="00A173A8">
            <w:pPr>
              <w:spacing w:after="100"/>
              <w:rPr>
                <w:rFonts w:eastAsia="Times New Roman"/>
                <w:sz w:val="20"/>
                <w:szCs w:val="20"/>
              </w:rPr>
            </w:pPr>
          </w:p>
        </w:tc>
        <w:tc>
          <w:tcPr>
            <w:tcW w:w="0" w:type="auto"/>
            <w:gridSpan w:val="3"/>
            <w:vAlign w:val="center"/>
            <w:hideMark/>
          </w:tcPr>
          <w:p w14:paraId="2F810BCF" w14:textId="77777777" w:rsidR="00000000" w:rsidRDefault="00A173A8">
            <w:pPr>
              <w:spacing w:after="100"/>
              <w:rPr>
                <w:rFonts w:eastAsia="Times New Roman"/>
                <w:sz w:val="20"/>
                <w:szCs w:val="20"/>
              </w:rPr>
            </w:pPr>
          </w:p>
        </w:tc>
        <w:tc>
          <w:tcPr>
            <w:tcW w:w="0" w:type="auto"/>
            <w:gridSpan w:val="3"/>
            <w:vAlign w:val="center"/>
            <w:hideMark/>
          </w:tcPr>
          <w:p w14:paraId="04AEDB6B" w14:textId="77777777" w:rsidR="00000000" w:rsidRDefault="00A173A8">
            <w:pPr>
              <w:spacing w:after="100"/>
              <w:rPr>
                <w:rFonts w:eastAsia="Times New Roman"/>
                <w:sz w:val="20"/>
                <w:szCs w:val="20"/>
              </w:rPr>
            </w:pPr>
          </w:p>
        </w:tc>
        <w:tc>
          <w:tcPr>
            <w:tcW w:w="0" w:type="auto"/>
            <w:gridSpan w:val="3"/>
            <w:vAlign w:val="center"/>
            <w:hideMark/>
          </w:tcPr>
          <w:p w14:paraId="43245BD5" w14:textId="77777777" w:rsidR="00000000" w:rsidRDefault="00A173A8">
            <w:pPr>
              <w:spacing w:after="100"/>
              <w:rPr>
                <w:rFonts w:eastAsia="Times New Roman"/>
                <w:sz w:val="20"/>
                <w:szCs w:val="20"/>
              </w:rPr>
            </w:pPr>
          </w:p>
        </w:tc>
      </w:tr>
      <w:tr w:rsidR="00000000" w14:paraId="7E236DC9" w14:textId="77777777">
        <w:trPr>
          <w:jc w:val="center"/>
        </w:trPr>
        <w:tc>
          <w:tcPr>
            <w:tcW w:w="0" w:type="auto"/>
            <w:gridSpan w:val="3"/>
            <w:vAlign w:val="center"/>
            <w:hideMark/>
          </w:tcPr>
          <w:p w14:paraId="11DE6AB4" w14:textId="77777777" w:rsidR="00000000" w:rsidRDefault="00A173A8">
            <w:pPr>
              <w:spacing w:after="100"/>
              <w:rPr>
                <w:rFonts w:eastAsia="Times New Roman"/>
                <w:sz w:val="20"/>
                <w:szCs w:val="20"/>
              </w:rPr>
            </w:pPr>
          </w:p>
        </w:tc>
        <w:tc>
          <w:tcPr>
            <w:tcW w:w="0" w:type="auto"/>
            <w:gridSpan w:val="3"/>
            <w:vAlign w:val="center"/>
            <w:hideMark/>
          </w:tcPr>
          <w:p w14:paraId="1CB028F3" w14:textId="77777777" w:rsidR="00000000" w:rsidRDefault="00A173A8">
            <w:pPr>
              <w:spacing w:after="100"/>
              <w:rPr>
                <w:rFonts w:eastAsia="Times New Roman"/>
                <w:sz w:val="20"/>
                <w:szCs w:val="20"/>
              </w:rPr>
            </w:pPr>
          </w:p>
        </w:tc>
        <w:tc>
          <w:tcPr>
            <w:tcW w:w="0" w:type="auto"/>
            <w:gridSpan w:val="3"/>
            <w:vAlign w:val="center"/>
            <w:hideMark/>
          </w:tcPr>
          <w:p w14:paraId="2D1FB68A" w14:textId="77777777" w:rsidR="00000000" w:rsidRDefault="00A173A8">
            <w:pPr>
              <w:spacing w:after="100"/>
              <w:rPr>
                <w:rFonts w:eastAsia="Times New Roman"/>
                <w:sz w:val="20"/>
                <w:szCs w:val="20"/>
              </w:rPr>
            </w:pPr>
          </w:p>
        </w:tc>
        <w:tc>
          <w:tcPr>
            <w:tcW w:w="0" w:type="auto"/>
            <w:gridSpan w:val="3"/>
            <w:vAlign w:val="center"/>
            <w:hideMark/>
          </w:tcPr>
          <w:p w14:paraId="34AA91D1" w14:textId="77777777" w:rsidR="00000000" w:rsidRDefault="00A173A8">
            <w:pPr>
              <w:spacing w:after="100"/>
              <w:rPr>
                <w:rFonts w:eastAsia="Times New Roman"/>
                <w:sz w:val="20"/>
                <w:szCs w:val="20"/>
              </w:rPr>
            </w:pPr>
          </w:p>
        </w:tc>
        <w:tc>
          <w:tcPr>
            <w:tcW w:w="0" w:type="auto"/>
            <w:gridSpan w:val="3"/>
            <w:vAlign w:val="center"/>
            <w:hideMark/>
          </w:tcPr>
          <w:p w14:paraId="0EA8D5EC" w14:textId="77777777" w:rsidR="00000000" w:rsidRDefault="00A173A8">
            <w:pPr>
              <w:spacing w:after="100"/>
              <w:rPr>
                <w:rFonts w:eastAsia="Times New Roman"/>
                <w:sz w:val="20"/>
                <w:szCs w:val="20"/>
              </w:rPr>
            </w:pPr>
          </w:p>
        </w:tc>
      </w:tr>
    </w:tbl>
    <w:p w14:paraId="3037BAEC" w14:textId="77777777" w:rsidR="00000000" w:rsidRDefault="00A173A8">
      <w:pPr>
        <w:jc w:val="center"/>
        <w:divId w:val="2076463346"/>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14:paraId="4F4845FC" w14:textId="77777777">
        <w:trPr>
          <w:divId w:val="2076463346"/>
          <w:jc w:val="center"/>
        </w:trPr>
        <w:tc>
          <w:tcPr>
            <w:tcW w:w="50" w:type="pct"/>
            <w:vAlign w:val="center"/>
            <w:hideMark/>
          </w:tcPr>
          <w:p w14:paraId="650AAFCC" w14:textId="77777777" w:rsidR="00000000" w:rsidRDefault="00A173A8">
            <w:pPr>
              <w:jc w:val="center"/>
              <w:rPr>
                <w:rFonts w:eastAsia="Times New Roman"/>
              </w:rPr>
            </w:pPr>
          </w:p>
        </w:tc>
        <w:tc>
          <w:tcPr>
            <w:tcW w:w="1606" w:type="pct"/>
            <w:vAlign w:val="center"/>
            <w:hideMark/>
          </w:tcPr>
          <w:p w14:paraId="66070A8F" w14:textId="77777777" w:rsidR="00000000" w:rsidRDefault="00A173A8">
            <w:pPr>
              <w:spacing w:after="100"/>
              <w:rPr>
                <w:rFonts w:eastAsia="Times New Roman"/>
                <w:sz w:val="20"/>
                <w:szCs w:val="20"/>
              </w:rPr>
            </w:pPr>
          </w:p>
        </w:tc>
        <w:tc>
          <w:tcPr>
            <w:tcW w:w="5" w:type="pct"/>
            <w:vAlign w:val="center"/>
            <w:hideMark/>
          </w:tcPr>
          <w:p w14:paraId="372D0DE8" w14:textId="77777777" w:rsidR="00000000" w:rsidRDefault="00A173A8">
            <w:pPr>
              <w:spacing w:after="100"/>
              <w:rPr>
                <w:rFonts w:eastAsia="Times New Roman"/>
                <w:sz w:val="20"/>
                <w:szCs w:val="20"/>
              </w:rPr>
            </w:pPr>
          </w:p>
        </w:tc>
        <w:tc>
          <w:tcPr>
            <w:tcW w:w="50" w:type="pct"/>
            <w:vAlign w:val="center"/>
            <w:hideMark/>
          </w:tcPr>
          <w:p w14:paraId="567B3DB8" w14:textId="77777777" w:rsidR="00000000" w:rsidRDefault="00A173A8">
            <w:pPr>
              <w:spacing w:after="100"/>
              <w:rPr>
                <w:rFonts w:eastAsia="Times New Roman"/>
                <w:sz w:val="20"/>
                <w:szCs w:val="20"/>
              </w:rPr>
            </w:pPr>
          </w:p>
        </w:tc>
        <w:tc>
          <w:tcPr>
            <w:tcW w:w="1614" w:type="pct"/>
            <w:vAlign w:val="center"/>
            <w:hideMark/>
          </w:tcPr>
          <w:p w14:paraId="50FB9DC6" w14:textId="77777777" w:rsidR="00000000" w:rsidRDefault="00A173A8">
            <w:pPr>
              <w:spacing w:after="100"/>
              <w:rPr>
                <w:rFonts w:eastAsia="Times New Roman"/>
                <w:sz w:val="20"/>
                <w:szCs w:val="20"/>
              </w:rPr>
            </w:pPr>
          </w:p>
        </w:tc>
        <w:tc>
          <w:tcPr>
            <w:tcW w:w="5" w:type="pct"/>
            <w:vAlign w:val="center"/>
            <w:hideMark/>
          </w:tcPr>
          <w:p w14:paraId="5FE09E47" w14:textId="77777777" w:rsidR="00000000" w:rsidRDefault="00A173A8">
            <w:pPr>
              <w:spacing w:after="100"/>
              <w:rPr>
                <w:rFonts w:eastAsia="Times New Roman"/>
                <w:sz w:val="20"/>
                <w:szCs w:val="20"/>
              </w:rPr>
            </w:pPr>
          </w:p>
        </w:tc>
        <w:tc>
          <w:tcPr>
            <w:tcW w:w="50" w:type="pct"/>
            <w:vAlign w:val="center"/>
            <w:hideMark/>
          </w:tcPr>
          <w:p w14:paraId="4724F278" w14:textId="77777777" w:rsidR="00000000" w:rsidRDefault="00A173A8">
            <w:pPr>
              <w:spacing w:after="100"/>
              <w:rPr>
                <w:rFonts w:eastAsia="Times New Roman"/>
                <w:sz w:val="20"/>
                <w:szCs w:val="20"/>
              </w:rPr>
            </w:pPr>
          </w:p>
        </w:tc>
        <w:tc>
          <w:tcPr>
            <w:tcW w:w="1614" w:type="pct"/>
            <w:vAlign w:val="center"/>
            <w:hideMark/>
          </w:tcPr>
          <w:p w14:paraId="6F76B5EA" w14:textId="77777777" w:rsidR="00000000" w:rsidRDefault="00A173A8">
            <w:pPr>
              <w:spacing w:after="100"/>
              <w:rPr>
                <w:rFonts w:eastAsia="Times New Roman"/>
                <w:sz w:val="20"/>
                <w:szCs w:val="20"/>
              </w:rPr>
            </w:pPr>
          </w:p>
        </w:tc>
        <w:tc>
          <w:tcPr>
            <w:tcW w:w="5" w:type="pct"/>
            <w:vAlign w:val="center"/>
            <w:hideMark/>
          </w:tcPr>
          <w:p w14:paraId="382DC76C" w14:textId="77777777" w:rsidR="00000000" w:rsidRDefault="00A173A8">
            <w:pPr>
              <w:spacing w:after="100"/>
              <w:rPr>
                <w:rFonts w:eastAsia="Times New Roman"/>
                <w:sz w:val="20"/>
                <w:szCs w:val="20"/>
              </w:rPr>
            </w:pPr>
          </w:p>
        </w:tc>
      </w:tr>
      <w:tr w:rsidR="00000000" w14:paraId="1927D35A" w14:textId="77777777">
        <w:trPr>
          <w:divId w:val="2076463346"/>
          <w:trHeight w:val="300"/>
          <w:jc w:val="center"/>
        </w:trPr>
        <w:tc>
          <w:tcPr>
            <w:tcW w:w="0" w:type="auto"/>
            <w:gridSpan w:val="9"/>
            <w:tcMar>
              <w:top w:w="0" w:type="dxa"/>
              <w:left w:w="20" w:type="dxa"/>
              <w:bottom w:w="0" w:type="dxa"/>
              <w:right w:w="20" w:type="dxa"/>
            </w:tcMar>
            <w:vAlign w:val="center"/>
            <w:hideMark/>
          </w:tcPr>
          <w:p w14:paraId="22B1C6E4" w14:textId="77777777" w:rsidR="00000000" w:rsidRDefault="00A173A8">
            <w:pPr>
              <w:spacing w:after="100"/>
              <w:rPr>
                <w:rFonts w:eastAsia="Times New Roman"/>
                <w:sz w:val="20"/>
                <w:szCs w:val="20"/>
              </w:rPr>
            </w:pPr>
          </w:p>
        </w:tc>
      </w:tr>
      <w:tr w:rsidR="00000000" w14:paraId="1CD49111" w14:textId="77777777">
        <w:trPr>
          <w:divId w:val="2076463346"/>
          <w:jc w:val="center"/>
        </w:trPr>
        <w:tc>
          <w:tcPr>
            <w:tcW w:w="0" w:type="auto"/>
            <w:gridSpan w:val="3"/>
            <w:tcMar>
              <w:top w:w="0" w:type="dxa"/>
              <w:left w:w="20" w:type="dxa"/>
              <w:bottom w:w="0" w:type="dxa"/>
              <w:right w:w="20" w:type="dxa"/>
            </w:tcMar>
            <w:vAlign w:val="center"/>
            <w:hideMark/>
          </w:tcPr>
          <w:p w14:paraId="27E3D1DA" w14:textId="77777777" w:rsidR="00000000" w:rsidRDefault="00A173A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9F66DD6" w14:textId="77777777" w:rsidR="00000000" w:rsidRDefault="00A173A8">
            <w:pPr>
              <w:spacing w:after="100"/>
              <w:jc w:val="center"/>
              <w:rPr>
                <w:rFonts w:eastAsia="Times New Roman"/>
              </w:rPr>
            </w:pPr>
            <w:r>
              <w:rPr>
                <w:rFonts w:eastAsia="Times New Roman"/>
                <w:color w:val="000000"/>
                <w:sz w:val="16"/>
                <w:szCs w:val="16"/>
              </w:rPr>
              <w:t>123</w:t>
            </w:r>
          </w:p>
        </w:tc>
        <w:tc>
          <w:tcPr>
            <w:tcW w:w="0" w:type="auto"/>
            <w:gridSpan w:val="3"/>
            <w:tcMar>
              <w:top w:w="30" w:type="dxa"/>
              <w:left w:w="20" w:type="dxa"/>
              <w:bottom w:w="30" w:type="dxa"/>
              <w:right w:w="20" w:type="dxa"/>
            </w:tcMar>
            <w:vAlign w:val="bottom"/>
            <w:hideMark/>
          </w:tcPr>
          <w:p w14:paraId="2DE09C2F" w14:textId="77777777" w:rsidR="00000000" w:rsidRDefault="00A173A8">
            <w:pPr>
              <w:spacing w:after="100"/>
              <w:jc w:val="right"/>
              <w:rPr>
                <w:rFonts w:eastAsia="Times New Roman"/>
              </w:rPr>
            </w:pPr>
            <w:r>
              <w:rPr>
                <w:rFonts w:eastAsia="Times New Roman"/>
                <w:color w:val="000000"/>
                <w:sz w:val="16"/>
                <w:szCs w:val="16"/>
              </w:rPr>
              <w:t>Capital One Financial Corporation (COF)</w:t>
            </w:r>
          </w:p>
        </w:tc>
      </w:tr>
    </w:tbl>
    <w:p w14:paraId="21CDF26C" w14:textId="77777777" w:rsidR="00A173A8" w:rsidRDefault="00A173A8">
      <w:pPr>
        <w:divId w:val="2076463346"/>
        <w:rPr>
          <w:rFonts w:eastAsia="Times New Roman"/>
        </w:rPr>
      </w:pPr>
    </w:p>
    <w:sectPr w:rsidR="00A173A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173A8"/>
    <w:rsid w:val="00A173A8"/>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inlineXBRL/transformation/2020-02-12"/>
  <w:attachedSchema w:val="http://www.xbrl.org/2013/inlineXBRL"/>
  <w:attachedSchema w:val="http://www.xbrl.org/2003/iso4217"/>
  <w:attachedSchema w:val="http://xbrl.org/2006/xbrldi"/>
  <w:attachedSchema w:val="http://www.capitalone.com/20220630"/>
  <w:attachedSchema w:val="http://www.xbrl.org/2003/linkbase"/>
  <w:attachedSchema w:val="http://www.xbrl.org/2003/instance"/>
  <w:attachedSchema w:val="http://www.sec.gov/inlineXBRL/transformation/2015-08-31"/>
  <w:attachedSchema w:val="http://xbrl.sec.gov/dei/2021q4"/>
  <w:attachedSchema w:val="http://fasb.org/srt/2021-01-31"/>
  <w:attachedSchema w:val="http://xbrl.sec.gov/currency/2021"/>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D4113"/>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29">
      <w:marLeft w:val="0"/>
      <w:marRight w:val="0"/>
      <w:marTop w:val="180"/>
      <w:marBottom w:val="180"/>
      <w:divBdr>
        <w:top w:val="none" w:sz="0" w:space="0" w:color="auto"/>
        <w:left w:val="none" w:sz="0" w:space="0" w:color="auto"/>
        <w:bottom w:val="none" w:sz="0" w:space="0" w:color="auto"/>
        <w:right w:val="none" w:sz="0" w:space="0" w:color="auto"/>
      </w:divBdr>
    </w:div>
    <w:div w:id="2440128">
      <w:marLeft w:val="0"/>
      <w:marRight w:val="0"/>
      <w:marTop w:val="180"/>
      <w:marBottom w:val="180"/>
      <w:divBdr>
        <w:top w:val="none" w:sz="0" w:space="0" w:color="auto"/>
        <w:left w:val="none" w:sz="0" w:space="0" w:color="auto"/>
        <w:bottom w:val="none" w:sz="0" w:space="0" w:color="auto"/>
        <w:right w:val="none" w:sz="0" w:space="0" w:color="auto"/>
      </w:divBdr>
    </w:div>
    <w:div w:id="5057428">
      <w:marLeft w:val="0"/>
      <w:marRight w:val="0"/>
      <w:marTop w:val="60"/>
      <w:marBottom w:val="60"/>
      <w:divBdr>
        <w:top w:val="none" w:sz="0" w:space="0" w:color="auto"/>
        <w:left w:val="none" w:sz="0" w:space="0" w:color="auto"/>
        <w:bottom w:val="none" w:sz="0" w:space="0" w:color="auto"/>
        <w:right w:val="none" w:sz="0" w:space="0" w:color="auto"/>
      </w:divBdr>
    </w:div>
    <w:div w:id="11300696">
      <w:marLeft w:val="0"/>
      <w:marRight w:val="0"/>
      <w:marTop w:val="60"/>
      <w:marBottom w:val="60"/>
      <w:divBdr>
        <w:top w:val="none" w:sz="0" w:space="0" w:color="auto"/>
        <w:left w:val="none" w:sz="0" w:space="0" w:color="auto"/>
        <w:bottom w:val="none" w:sz="0" w:space="0" w:color="auto"/>
        <w:right w:val="none" w:sz="0" w:space="0" w:color="auto"/>
      </w:divBdr>
    </w:div>
    <w:div w:id="12263876">
      <w:marLeft w:val="0"/>
      <w:marRight w:val="0"/>
      <w:marTop w:val="60"/>
      <w:marBottom w:val="60"/>
      <w:divBdr>
        <w:top w:val="none" w:sz="0" w:space="0" w:color="auto"/>
        <w:left w:val="none" w:sz="0" w:space="0" w:color="auto"/>
        <w:bottom w:val="none" w:sz="0" w:space="0" w:color="auto"/>
        <w:right w:val="none" w:sz="0" w:space="0" w:color="auto"/>
      </w:divBdr>
    </w:div>
    <w:div w:id="14621637">
      <w:marLeft w:val="0"/>
      <w:marRight w:val="0"/>
      <w:marTop w:val="180"/>
      <w:marBottom w:val="180"/>
      <w:divBdr>
        <w:top w:val="none" w:sz="0" w:space="0" w:color="auto"/>
        <w:left w:val="none" w:sz="0" w:space="0" w:color="auto"/>
        <w:bottom w:val="none" w:sz="0" w:space="0" w:color="auto"/>
        <w:right w:val="none" w:sz="0" w:space="0" w:color="auto"/>
      </w:divBdr>
    </w:div>
    <w:div w:id="16547350">
      <w:marLeft w:val="0"/>
      <w:marRight w:val="0"/>
      <w:marTop w:val="180"/>
      <w:marBottom w:val="180"/>
      <w:divBdr>
        <w:top w:val="none" w:sz="0" w:space="0" w:color="auto"/>
        <w:left w:val="none" w:sz="0" w:space="0" w:color="auto"/>
        <w:bottom w:val="none" w:sz="0" w:space="0" w:color="auto"/>
        <w:right w:val="none" w:sz="0" w:space="0" w:color="auto"/>
      </w:divBdr>
    </w:div>
    <w:div w:id="18436458">
      <w:marLeft w:val="0"/>
      <w:marRight w:val="0"/>
      <w:marTop w:val="180"/>
      <w:marBottom w:val="180"/>
      <w:divBdr>
        <w:top w:val="none" w:sz="0" w:space="0" w:color="auto"/>
        <w:left w:val="none" w:sz="0" w:space="0" w:color="auto"/>
        <w:bottom w:val="none" w:sz="0" w:space="0" w:color="auto"/>
        <w:right w:val="none" w:sz="0" w:space="0" w:color="auto"/>
      </w:divBdr>
    </w:div>
    <w:div w:id="19358239">
      <w:marLeft w:val="0"/>
      <w:marRight w:val="0"/>
      <w:marTop w:val="180"/>
      <w:marBottom w:val="180"/>
      <w:divBdr>
        <w:top w:val="none" w:sz="0" w:space="0" w:color="auto"/>
        <w:left w:val="none" w:sz="0" w:space="0" w:color="auto"/>
        <w:bottom w:val="none" w:sz="0" w:space="0" w:color="auto"/>
        <w:right w:val="none" w:sz="0" w:space="0" w:color="auto"/>
      </w:divBdr>
    </w:div>
    <w:div w:id="20665017">
      <w:marLeft w:val="0"/>
      <w:marRight w:val="0"/>
      <w:marTop w:val="0"/>
      <w:marBottom w:val="0"/>
      <w:divBdr>
        <w:top w:val="none" w:sz="0" w:space="0" w:color="auto"/>
        <w:left w:val="none" w:sz="0" w:space="0" w:color="auto"/>
        <w:bottom w:val="none" w:sz="0" w:space="0" w:color="auto"/>
        <w:right w:val="none" w:sz="0" w:space="0" w:color="auto"/>
      </w:divBdr>
      <w:divsChild>
        <w:div w:id="1613904333">
          <w:marLeft w:val="0"/>
          <w:marRight w:val="0"/>
          <w:marTop w:val="180"/>
          <w:marBottom w:val="180"/>
          <w:divBdr>
            <w:top w:val="none" w:sz="0" w:space="0" w:color="auto"/>
            <w:left w:val="none" w:sz="0" w:space="0" w:color="auto"/>
            <w:bottom w:val="none" w:sz="0" w:space="0" w:color="auto"/>
            <w:right w:val="none" w:sz="0" w:space="0" w:color="auto"/>
          </w:divBdr>
        </w:div>
      </w:divsChild>
    </w:div>
    <w:div w:id="21903571">
      <w:marLeft w:val="0"/>
      <w:marRight w:val="0"/>
      <w:marTop w:val="180"/>
      <w:marBottom w:val="180"/>
      <w:divBdr>
        <w:top w:val="none" w:sz="0" w:space="0" w:color="auto"/>
        <w:left w:val="none" w:sz="0" w:space="0" w:color="auto"/>
        <w:bottom w:val="none" w:sz="0" w:space="0" w:color="auto"/>
        <w:right w:val="none" w:sz="0" w:space="0" w:color="auto"/>
      </w:divBdr>
    </w:div>
    <w:div w:id="23987335">
      <w:marLeft w:val="0"/>
      <w:marRight w:val="0"/>
      <w:marTop w:val="180"/>
      <w:marBottom w:val="180"/>
      <w:divBdr>
        <w:top w:val="none" w:sz="0" w:space="0" w:color="auto"/>
        <w:left w:val="none" w:sz="0" w:space="0" w:color="auto"/>
        <w:bottom w:val="none" w:sz="0" w:space="0" w:color="auto"/>
        <w:right w:val="none" w:sz="0" w:space="0" w:color="auto"/>
      </w:divBdr>
    </w:div>
    <w:div w:id="24016805">
      <w:marLeft w:val="0"/>
      <w:marRight w:val="0"/>
      <w:marTop w:val="180"/>
      <w:marBottom w:val="180"/>
      <w:divBdr>
        <w:top w:val="none" w:sz="0" w:space="0" w:color="auto"/>
        <w:left w:val="none" w:sz="0" w:space="0" w:color="auto"/>
        <w:bottom w:val="none" w:sz="0" w:space="0" w:color="auto"/>
        <w:right w:val="none" w:sz="0" w:space="0" w:color="auto"/>
      </w:divBdr>
    </w:div>
    <w:div w:id="26565322">
      <w:marLeft w:val="0"/>
      <w:marRight w:val="0"/>
      <w:marTop w:val="60"/>
      <w:marBottom w:val="60"/>
      <w:divBdr>
        <w:top w:val="none" w:sz="0" w:space="0" w:color="auto"/>
        <w:left w:val="none" w:sz="0" w:space="0" w:color="auto"/>
        <w:bottom w:val="none" w:sz="0" w:space="0" w:color="auto"/>
        <w:right w:val="none" w:sz="0" w:space="0" w:color="auto"/>
      </w:divBdr>
    </w:div>
    <w:div w:id="29115136">
      <w:marLeft w:val="0"/>
      <w:marRight w:val="0"/>
      <w:marTop w:val="180"/>
      <w:marBottom w:val="180"/>
      <w:divBdr>
        <w:top w:val="none" w:sz="0" w:space="0" w:color="auto"/>
        <w:left w:val="none" w:sz="0" w:space="0" w:color="auto"/>
        <w:bottom w:val="none" w:sz="0" w:space="0" w:color="auto"/>
        <w:right w:val="none" w:sz="0" w:space="0" w:color="auto"/>
      </w:divBdr>
    </w:div>
    <w:div w:id="30767365">
      <w:marLeft w:val="0"/>
      <w:marRight w:val="0"/>
      <w:marTop w:val="60"/>
      <w:marBottom w:val="60"/>
      <w:divBdr>
        <w:top w:val="none" w:sz="0" w:space="0" w:color="auto"/>
        <w:left w:val="none" w:sz="0" w:space="0" w:color="auto"/>
        <w:bottom w:val="none" w:sz="0" w:space="0" w:color="auto"/>
        <w:right w:val="none" w:sz="0" w:space="0" w:color="auto"/>
      </w:divBdr>
    </w:div>
    <w:div w:id="31998942">
      <w:marLeft w:val="0"/>
      <w:marRight w:val="0"/>
      <w:marTop w:val="180"/>
      <w:marBottom w:val="60"/>
      <w:divBdr>
        <w:top w:val="none" w:sz="0" w:space="0" w:color="auto"/>
        <w:left w:val="none" w:sz="0" w:space="0" w:color="auto"/>
        <w:bottom w:val="none" w:sz="0" w:space="0" w:color="auto"/>
        <w:right w:val="none" w:sz="0" w:space="0" w:color="auto"/>
      </w:divBdr>
    </w:div>
    <w:div w:id="32079179">
      <w:marLeft w:val="0"/>
      <w:marRight w:val="0"/>
      <w:marTop w:val="100"/>
      <w:marBottom w:val="180"/>
      <w:divBdr>
        <w:top w:val="none" w:sz="0" w:space="0" w:color="auto"/>
        <w:left w:val="none" w:sz="0" w:space="0" w:color="auto"/>
        <w:bottom w:val="none" w:sz="0" w:space="0" w:color="auto"/>
        <w:right w:val="none" w:sz="0" w:space="0" w:color="auto"/>
      </w:divBdr>
    </w:div>
    <w:div w:id="34161388">
      <w:marLeft w:val="0"/>
      <w:marRight w:val="0"/>
      <w:marTop w:val="180"/>
      <w:marBottom w:val="180"/>
      <w:divBdr>
        <w:top w:val="none" w:sz="0" w:space="0" w:color="auto"/>
        <w:left w:val="none" w:sz="0" w:space="0" w:color="auto"/>
        <w:bottom w:val="none" w:sz="0" w:space="0" w:color="auto"/>
        <w:right w:val="none" w:sz="0" w:space="0" w:color="auto"/>
      </w:divBdr>
    </w:div>
    <w:div w:id="34355307">
      <w:marLeft w:val="0"/>
      <w:marRight w:val="0"/>
      <w:marTop w:val="60"/>
      <w:marBottom w:val="60"/>
      <w:divBdr>
        <w:top w:val="none" w:sz="0" w:space="0" w:color="auto"/>
        <w:left w:val="none" w:sz="0" w:space="0" w:color="auto"/>
        <w:bottom w:val="none" w:sz="0" w:space="0" w:color="auto"/>
        <w:right w:val="none" w:sz="0" w:space="0" w:color="auto"/>
      </w:divBdr>
    </w:div>
    <w:div w:id="36324688">
      <w:marLeft w:val="0"/>
      <w:marRight w:val="0"/>
      <w:marTop w:val="180"/>
      <w:marBottom w:val="60"/>
      <w:divBdr>
        <w:top w:val="none" w:sz="0" w:space="0" w:color="auto"/>
        <w:left w:val="none" w:sz="0" w:space="0" w:color="auto"/>
        <w:bottom w:val="none" w:sz="0" w:space="0" w:color="auto"/>
        <w:right w:val="none" w:sz="0" w:space="0" w:color="auto"/>
      </w:divBdr>
    </w:div>
    <w:div w:id="37322102">
      <w:marLeft w:val="0"/>
      <w:marRight w:val="0"/>
      <w:marTop w:val="60"/>
      <w:marBottom w:val="60"/>
      <w:divBdr>
        <w:top w:val="none" w:sz="0" w:space="0" w:color="auto"/>
        <w:left w:val="none" w:sz="0" w:space="0" w:color="auto"/>
        <w:bottom w:val="none" w:sz="0" w:space="0" w:color="auto"/>
        <w:right w:val="none" w:sz="0" w:space="0" w:color="auto"/>
      </w:divBdr>
    </w:div>
    <w:div w:id="37824442">
      <w:marLeft w:val="0"/>
      <w:marRight w:val="0"/>
      <w:marTop w:val="0"/>
      <w:marBottom w:val="0"/>
      <w:divBdr>
        <w:top w:val="none" w:sz="0" w:space="0" w:color="auto"/>
        <w:left w:val="none" w:sz="0" w:space="0" w:color="auto"/>
        <w:bottom w:val="none" w:sz="0" w:space="0" w:color="auto"/>
        <w:right w:val="none" w:sz="0" w:space="0" w:color="auto"/>
      </w:divBdr>
      <w:divsChild>
        <w:div w:id="1237936622">
          <w:marLeft w:val="0"/>
          <w:marRight w:val="0"/>
          <w:marTop w:val="0"/>
          <w:marBottom w:val="0"/>
          <w:divBdr>
            <w:top w:val="none" w:sz="0" w:space="0" w:color="auto"/>
            <w:left w:val="none" w:sz="0" w:space="0" w:color="auto"/>
            <w:bottom w:val="none" w:sz="0" w:space="0" w:color="auto"/>
            <w:right w:val="none" w:sz="0" w:space="0" w:color="auto"/>
          </w:divBdr>
          <w:divsChild>
            <w:div w:id="20563483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747233">
      <w:marLeft w:val="0"/>
      <w:marRight w:val="0"/>
      <w:marTop w:val="180"/>
      <w:marBottom w:val="60"/>
      <w:divBdr>
        <w:top w:val="none" w:sz="0" w:space="0" w:color="auto"/>
        <w:left w:val="none" w:sz="0" w:space="0" w:color="auto"/>
        <w:bottom w:val="none" w:sz="0" w:space="0" w:color="auto"/>
        <w:right w:val="none" w:sz="0" w:space="0" w:color="auto"/>
      </w:divBdr>
    </w:div>
    <w:div w:id="39937855">
      <w:marLeft w:val="0"/>
      <w:marRight w:val="0"/>
      <w:marTop w:val="180"/>
      <w:marBottom w:val="0"/>
      <w:divBdr>
        <w:top w:val="none" w:sz="0" w:space="0" w:color="auto"/>
        <w:left w:val="none" w:sz="0" w:space="0" w:color="auto"/>
        <w:bottom w:val="none" w:sz="0" w:space="0" w:color="auto"/>
        <w:right w:val="none" w:sz="0" w:space="0" w:color="auto"/>
      </w:divBdr>
    </w:div>
    <w:div w:id="40372637">
      <w:marLeft w:val="0"/>
      <w:marRight w:val="0"/>
      <w:marTop w:val="60"/>
      <w:marBottom w:val="60"/>
      <w:divBdr>
        <w:top w:val="none" w:sz="0" w:space="0" w:color="auto"/>
        <w:left w:val="none" w:sz="0" w:space="0" w:color="auto"/>
        <w:bottom w:val="none" w:sz="0" w:space="0" w:color="auto"/>
        <w:right w:val="none" w:sz="0" w:space="0" w:color="auto"/>
      </w:divBdr>
    </w:div>
    <w:div w:id="40516796">
      <w:marLeft w:val="0"/>
      <w:marRight w:val="0"/>
      <w:marTop w:val="0"/>
      <w:marBottom w:val="180"/>
      <w:divBdr>
        <w:top w:val="none" w:sz="0" w:space="0" w:color="auto"/>
        <w:left w:val="none" w:sz="0" w:space="0" w:color="auto"/>
        <w:bottom w:val="none" w:sz="0" w:space="0" w:color="auto"/>
        <w:right w:val="none" w:sz="0" w:space="0" w:color="auto"/>
      </w:divBdr>
    </w:div>
    <w:div w:id="41173289">
      <w:marLeft w:val="0"/>
      <w:marRight w:val="0"/>
      <w:marTop w:val="60"/>
      <w:marBottom w:val="60"/>
      <w:divBdr>
        <w:top w:val="none" w:sz="0" w:space="0" w:color="auto"/>
        <w:left w:val="none" w:sz="0" w:space="0" w:color="auto"/>
        <w:bottom w:val="none" w:sz="0" w:space="0" w:color="auto"/>
        <w:right w:val="none" w:sz="0" w:space="0" w:color="auto"/>
      </w:divBdr>
    </w:div>
    <w:div w:id="41292690">
      <w:marLeft w:val="0"/>
      <w:marRight w:val="0"/>
      <w:marTop w:val="180"/>
      <w:marBottom w:val="180"/>
      <w:divBdr>
        <w:top w:val="none" w:sz="0" w:space="0" w:color="auto"/>
        <w:left w:val="none" w:sz="0" w:space="0" w:color="auto"/>
        <w:bottom w:val="none" w:sz="0" w:space="0" w:color="auto"/>
        <w:right w:val="none" w:sz="0" w:space="0" w:color="auto"/>
      </w:divBdr>
    </w:div>
    <w:div w:id="41565517">
      <w:marLeft w:val="0"/>
      <w:marRight w:val="0"/>
      <w:marTop w:val="60"/>
      <w:marBottom w:val="60"/>
      <w:divBdr>
        <w:top w:val="none" w:sz="0" w:space="0" w:color="auto"/>
        <w:left w:val="none" w:sz="0" w:space="0" w:color="auto"/>
        <w:bottom w:val="none" w:sz="0" w:space="0" w:color="auto"/>
        <w:right w:val="none" w:sz="0" w:space="0" w:color="auto"/>
      </w:divBdr>
    </w:div>
    <w:div w:id="42755200">
      <w:marLeft w:val="0"/>
      <w:marRight w:val="0"/>
      <w:marTop w:val="180"/>
      <w:marBottom w:val="180"/>
      <w:divBdr>
        <w:top w:val="none" w:sz="0" w:space="0" w:color="auto"/>
        <w:left w:val="none" w:sz="0" w:space="0" w:color="auto"/>
        <w:bottom w:val="none" w:sz="0" w:space="0" w:color="auto"/>
        <w:right w:val="none" w:sz="0" w:space="0" w:color="auto"/>
      </w:divBdr>
    </w:div>
    <w:div w:id="42757019">
      <w:marLeft w:val="0"/>
      <w:marRight w:val="0"/>
      <w:marTop w:val="100"/>
      <w:marBottom w:val="0"/>
      <w:divBdr>
        <w:top w:val="none" w:sz="0" w:space="0" w:color="auto"/>
        <w:left w:val="none" w:sz="0" w:space="0" w:color="auto"/>
        <w:bottom w:val="none" w:sz="0" w:space="0" w:color="auto"/>
        <w:right w:val="none" w:sz="0" w:space="0" w:color="auto"/>
      </w:divBdr>
      <w:divsChild>
        <w:div w:id="1892496810">
          <w:marLeft w:val="0"/>
          <w:marRight w:val="0"/>
          <w:marTop w:val="0"/>
          <w:marBottom w:val="0"/>
          <w:divBdr>
            <w:top w:val="none" w:sz="0" w:space="0" w:color="auto"/>
            <w:left w:val="none" w:sz="0" w:space="0" w:color="auto"/>
            <w:bottom w:val="none" w:sz="0" w:space="0" w:color="auto"/>
            <w:right w:val="none" w:sz="0" w:space="0" w:color="auto"/>
          </w:divBdr>
        </w:div>
        <w:div w:id="1286765707">
          <w:marLeft w:val="0"/>
          <w:marRight w:val="0"/>
          <w:marTop w:val="0"/>
          <w:marBottom w:val="0"/>
          <w:divBdr>
            <w:top w:val="none" w:sz="0" w:space="0" w:color="auto"/>
            <w:left w:val="none" w:sz="0" w:space="0" w:color="auto"/>
            <w:bottom w:val="none" w:sz="0" w:space="0" w:color="auto"/>
            <w:right w:val="none" w:sz="0" w:space="0" w:color="auto"/>
          </w:divBdr>
        </w:div>
        <w:div w:id="81607780">
          <w:marLeft w:val="0"/>
          <w:marRight w:val="0"/>
          <w:marTop w:val="0"/>
          <w:marBottom w:val="0"/>
          <w:divBdr>
            <w:top w:val="none" w:sz="0" w:space="0" w:color="auto"/>
            <w:left w:val="none" w:sz="0" w:space="0" w:color="auto"/>
            <w:bottom w:val="none" w:sz="0" w:space="0" w:color="auto"/>
            <w:right w:val="none" w:sz="0" w:space="0" w:color="auto"/>
          </w:divBdr>
        </w:div>
        <w:div w:id="1787581320">
          <w:marLeft w:val="0"/>
          <w:marRight w:val="0"/>
          <w:marTop w:val="0"/>
          <w:marBottom w:val="0"/>
          <w:divBdr>
            <w:top w:val="none" w:sz="0" w:space="0" w:color="auto"/>
            <w:left w:val="none" w:sz="0" w:space="0" w:color="auto"/>
            <w:bottom w:val="none" w:sz="0" w:space="0" w:color="auto"/>
            <w:right w:val="none" w:sz="0" w:space="0" w:color="auto"/>
          </w:divBdr>
        </w:div>
        <w:div w:id="983581230">
          <w:marLeft w:val="0"/>
          <w:marRight w:val="0"/>
          <w:marTop w:val="0"/>
          <w:marBottom w:val="0"/>
          <w:divBdr>
            <w:top w:val="none" w:sz="0" w:space="0" w:color="auto"/>
            <w:left w:val="none" w:sz="0" w:space="0" w:color="auto"/>
            <w:bottom w:val="none" w:sz="0" w:space="0" w:color="auto"/>
            <w:right w:val="none" w:sz="0" w:space="0" w:color="auto"/>
          </w:divBdr>
        </w:div>
        <w:div w:id="2135901929">
          <w:marLeft w:val="0"/>
          <w:marRight w:val="0"/>
          <w:marTop w:val="0"/>
          <w:marBottom w:val="0"/>
          <w:divBdr>
            <w:top w:val="none" w:sz="0" w:space="0" w:color="auto"/>
            <w:left w:val="none" w:sz="0" w:space="0" w:color="auto"/>
            <w:bottom w:val="none" w:sz="0" w:space="0" w:color="auto"/>
            <w:right w:val="none" w:sz="0" w:space="0" w:color="auto"/>
          </w:divBdr>
        </w:div>
        <w:div w:id="1823765453">
          <w:marLeft w:val="0"/>
          <w:marRight w:val="0"/>
          <w:marTop w:val="0"/>
          <w:marBottom w:val="0"/>
          <w:divBdr>
            <w:top w:val="none" w:sz="0" w:space="0" w:color="auto"/>
            <w:left w:val="none" w:sz="0" w:space="0" w:color="auto"/>
            <w:bottom w:val="none" w:sz="0" w:space="0" w:color="auto"/>
            <w:right w:val="none" w:sz="0" w:space="0" w:color="auto"/>
          </w:divBdr>
        </w:div>
        <w:div w:id="801265286">
          <w:marLeft w:val="0"/>
          <w:marRight w:val="0"/>
          <w:marTop w:val="0"/>
          <w:marBottom w:val="0"/>
          <w:divBdr>
            <w:top w:val="none" w:sz="0" w:space="0" w:color="auto"/>
            <w:left w:val="none" w:sz="0" w:space="0" w:color="auto"/>
            <w:bottom w:val="none" w:sz="0" w:space="0" w:color="auto"/>
            <w:right w:val="none" w:sz="0" w:space="0" w:color="auto"/>
          </w:divBdr>
        </w:div>
        <w:div w:id="87967952">
          <w:marLeft w:val="0"/>
          <w:marRight w:val="0"/>
          <w:marTop w:val="0"/>
          <w:marBottom w:val="0"/>
          <w:divBdr>
            <w:top w:val="none" w:sz="0" w:space="0" w:color="auto"/>
            <w:left w:val="none" w:sz="0" w:space="0" w:color="auto"/>
            <w:bottom w:val="none" w:sz="0" w:space="0" w:color="auto"/>
            <w:right w:val="none" w:sz="0" w:space="0" w:color="auto"/>
          </w:divBdr>
        </w:div>
        <w:div w:id="1631474725">
          <w:marLeft w:val="0"/>
          <w:marRight w:val="0"/>
          <w:marTop w:val="0"/>
          <w:marBottom w:val="0"/>
          <w:divBdr>
            <w:top w:val="none" w:sz="0" w:space="0" w:color="auto"/>
            <w:left w:val="none" w:sz="0" w:space="0" w:color="auto"/>
            <w:bottom w:val="none" w:sz="0" w:space="0" w:color="auto"/>
            <w:right w:val="none" w:sz="0" w:space="0" w:color="auto"/>
          </w:divBdr>
        </w:div>
        <w:div w:id="609700911">
          <w:marLeft w:val="0"/>
          <w:marRight w:val="0"/>
          <w:marTop w:val="0"/>
          <w:marBottom w:val="0"/>
          <w:divBdr>
            <w:top w:val="none" w:sz="0" w:space="0" w:color="auto"/>
            <w:left w:val="none" w:sz="0" w:space="0" w:color="auto"/>
            <w:bottom w:val="none" w:sz="0" w:space="0" w:color="auto"/>
            <w:right w:val="none" w:sz="0" w:space="0" w:color="auto"/>
          </w:divBdr>
        </w:div>
        <w:div w:id="1303656270">
          <w:marLeft w:val="0"/>
          <w:marRight w:val="0"/>
          <w:marTop w:val="0"/>
          <w:marBottom w:val="0"/>
          <w:divBdr>
            <w:top w:val="none" w:sz="0" w:space="0" w:color="auto"/>
            <w:left w:val="none" w:sz="0" w:space="0" w:color="auto"/>
            <w:bottom w:val="none" w:sz="0" w:space="0" w:color="auto"/>
            <w:right w:val="none" w:sz="0" w:space="0" w:color="auto"/>
          </w:divBdr>
        </w:div>
        <w:div w:id="1022777684">
          <w:marLeft w:val="0"/>
          <w:marRight w:val="0"/>
          <w:marTop w:val="0"/>
          <w:marBottom w:val="0"/>
          <w:divBdr>
            <w:top w:val="none" w:sz="0" w:space="0" w:color="auto"/>
            <w:left w:val="none" w:sz="0" w:space="0" w:color="auto"/>
            <w:bottom w:val="none" w:sz="0" w:space="0" w:color="auto"/>
            <w:right w:val="none" w:sz="0" w:space="0" w:color="auto"/>
          </w:divBdr>
        </w:div>
        <w:div w:id="189806975">
          <w:marLeft w:val="0"/>
          <w:marRight w:val="0"/>
          <w:marTop w:val="0"/>
          <w:marBottom w:val="0"/>
          <w:divBdr>
            <w:top w:val="none" w:sz="0" w:space="0" w:color="auto"/>
            <w:left w:val="none" w:sz="0" w:space="0" w:color="auto"/>
            <w:bottom w:val="none" w:sz="0" w:space="0" w:color="auto"/>
            <w:right w:val="none" w:sz="0" w:space="0" w:color="auto"/>
          </w:divBdr>
        </w:div>
        <w:div w:id="1708989362">
          <w:marLeft w:val="0"/>
          <w:marRight w:val="0"/>
          <w:marTop w:val="0"/>
          <w:marBottom w:val="0"/>
          <w:divBdr>
            <w:top w:val="none" w:sz="0" w:space="0" w:color="auto"/>
            <w:left w:val="none" w:sz="0" w:space="0" w:color="auto"/>
            <w:bottom w:val="none" w:sz="0" w:space="0" w:color="auto"/>
            <w:right w:val="none" w:sz="0" w:space="0" w:color="auto"/>
          </w:divBdr>
        </w:div>
        <w:div w:id="257253070">
          <w:marLeft w:val="0"/>
          <w:marRight w:val="0"/>
          <w:marTop w:val="0"/>
          <w:marBottom w:val="0"/>
          <w:divBdr>
            <w:top w:val="none" w:sz="0" w:space="0" w:color="auto"/>
            <w:left w:val="none" w:sz="0" w:space="0" w:color="auto"/>
            <w:bottom w:val="none" w:sz="0" w:space="0" w:color="auto"/>
            <w:right w:val="none" w:sz="0" w:space="0" w:color="auto"/>
          </w:divBdr>
        </w:div>
        <w:div w:id="1001422102">
          <w:marLeft w:val="0"/>
          <w:marRight w:val="0"/>
          <w:marTop w:val="0"/>
          <w:marBottom w:val="0"/>
          <w:divBdr>
            <w:top w:val="none" w:sz="0" w:space="0" w:color="auto"/>
            <w:left w:val="none" w:sz="0" w:space="0" w:color="auto"/>
            <w:bottom w:val="none" w:sz="0" w:space="0" w:color="auto"/>
            <w:right w:val="none" w:sz="0" w:space="0" w:color="auto"/>
          </w:divBdr>
        </w:div>
        <w:div w:id="1645309377">
          <w:marLeft w:val="0"/>
          <w:marRight w:val="0"/>
          <w:marTop w:val="0"/>
          <w:marBottom w:val="0"/>
          <w:divBdr>
            <w:top w:val="none" w:sz="0" w:space="0" w:color="auto"/>
            <w:left w:val="none" w:sz="0" w:space="0" w:color="auto"/>
            <w:bottom w:val="none" w:sz="0" w:space="0" w:color="auto"/>
            <w:right w:val="none" w:sz="0" w:space="0" w:color="auto"/>
          </w:divBdr>
        </w:div>
        <w:div w:id="695428363">
          <w:marLeft w:val="0"/>
          <w:marRight w:val="0"/>
          <w:marTop w:val="0"/>
          <w:marBottom w:val="0"/>
          <w:divBdr>
            <w:top w:val="none" w:sz="0" w:space="0" w:color="auto"/>
            <w:left w:val="none" w:sz="0" w:space="0" w:color="auto"/>
            <w:bottom w:val="none" w:sz="0" w:space="0" w:color="auto"/>
            <w:right w:val="none" w:sz="0" w:space="0" w:color="auto"/>
          </w:divBdr>
        </w:div>
        <w:div w:id="2037729928">
          <w:marLeft w:val="0"/>
          <w:marRight w:val="0"/>
          <w:marTop w:val="0"/>
          <w:marBottom w:val="0"/>
          <w:divBdr>
            <w:top w:val="none" w:sz="0" w:space="0" w:color="auto"/>
            <w:left w:val="none" w:sz="0" w:space="0" w:color="auto"/>
            <w:bottom w:val="none" w:sz="0" w:space="0" w:color="auto"/>
            <w:right w:val="none" w:sz="0" w:space="0" w:color="auto"/>
          </w:divBdr>
        </w:div>
        <w:div w:id="1440684912">
          <w:marLeft w:val="0"/>
          <w:marRight w:val="0"/>
          <w:marTop w:val="0"/>
          <w:marBottom w:val="0"/>
          <w:divBdr>
            <w:top w:val="none" w:sz="0" w:space="0" w:color="auto"/>
            <w:left w:val="none" w:sz="0" w:space="0" w:color="auto"/>
            <w:bottom w:val="none" w:sz="0" w:space="0" w:color="auto"/>
            <w:right w:val="none" w:sz="0" w:space="0" w:color="auto"/>
          </w:divBdr>
        </w:div>
        <w:div w:id="364868673">
          <w:marLeft w:val="0"/>
          <w:marRight w:val="0"/>
          <w:marTop w:val="0"/>
          <w:marBottom w:val="0"/>
          <w:divBdr>
            <w:top w:val="none" w:sz="0" w:space="0" w:color="auto"/>
            <w:left w:val="none" w:sz="0" w:space="0" w:color="auto"/>
            <w:bottom w:val="none" w:sz="0" w:space="0" w:color="auto"/>
            <w:right w:val="none" w:sz="0" w:space="0" w:color="auto"/>
          </w:divBdr>
        </w:div>
        <w:div w:id="480463208">
          <w:marLeft w:val="0"/>
          <w:marRight w:val="0"/>
          <w:marTop w:val="0"/>
          <w:marBottom w:val="0"/>
          <w:divBdr>
            <w:top w:val="none" w:sz="0" w:space="0" w:color="auto"/>
            <w:left w:val="none" w:sz="0" w:space="0" w:color="auto"/>
            <w:bottom w:val="none" w:sz="0" w:space="0" w:color="auto"/>
            <w:right w:val="none" w:sz="0" w:space="0" w:color="auto"/>
          </w:divBdr>
        </w:div>
        <w:div w:id="993483908">
          <w:marLeft w:val="0"/>
          <w:marRight w:val="0"/>
          <w:marTop w:val="0"/>
          <w:marBottom w:val="0"/>
          <w:divBdr>
            <w:top w:val="none" w:sz="0" w:space="0" w:color="auto"/>
            <w:left w:val="none" w:sz="0" w:space="0" w:color="auto"/>
            <w:bottom w:val="none" w:sz="0" w:space="0" w:color="auto"/>
            <w:right w:val="none" w:sz="0" w:space="0" w:color="auto"/>
          </w:divBdr>
        </w:div>
        <w:div w:id="1418555388">
          <w:marLeft w:val="0"/>
          <w:marRight w:val="0"/>
          <w:marTop w:val="0"/>
          <w:marBottom w:val="0"/>
          <w:divBdr>
            <w:top w:val="none" w:sz="0" w:space="0" w:color="auto"/>
            <w:left w:val="none" w:sz="0" w:space="0" w:color="auto"/>
            <w:bottom w:val="none" w:sz="0" w:space="0" w:color="auto"/>
            <w:right w:val="none" w:sz="0" w:space="0" w:color="auto"/>
          </w:divBdr>
        </w:div>
        <w:div w:id="946618116">
          <w:marLeft w:val="0"/>
          <w:marRight w:val="0"/>
          <w:marTop w:val="0"/>
          <w:marBottom w:val="0"/>
          <w:divBdr>
            <w:top w:val="none" w:sz="0" w:space="0" w:color="auto"/>
            <w:left w:val="none" w:sz="0" w:space="0" w:color="auto"/>
            <w:bottom w:val="none" w:sz="0" w:space="0" w:color="auto"/>
            <w:right w:val="none" w:sz="0" w:space="0" w:color="auto"/>
          </w:divBdr>
        </w:div>
        <w:div w:id="639770246">
          <w:marLeft w:val="0"/>
          <w:marRight w:val="0"/>
          <w:marTop w:val="0"/>
          <w:marBottom w:val="0"/>
          <w:divBdr>
            <w:top w:val="none" w:sz="0" w:space="0" w:color="auto"/>
            <w:left w:val="none" w:sz="0" w:space="0" w:color="auto"/>
            <w:bottom w:val="none" w:sz="0" w:space="0" w:color="auto"/>
            <w:right w:val="none" w:sz="0" w:space="0" w:color="auto"/>
          </w:divBdr>
        </w:div>
        <w:div w:id="91242567">
          <w:marLeft w:val="0"/>
          <w:marRight w:val="0"/>
          <w:marTop w:val="0"/>
          <w:marBottom w:val="0"/>
          <w:divBdr>
            <w:top w:val="none" w:sz="0" w:space="0" w:color="auto"/>
            <w:left w:val="none" w:sz="0" w:space="0" w:color="auto"/>
            <w:bottom w:val="none" w:sz="0" w:space="0" w:color="auto"/>
            <w:right w:val="none" w:sz="0" w:space="0" w:color="auto"/>
          </w:divBdr>
        </w:div>
        <w:div w:id="41834433">
          <w:marLeft w:val="0"/>
          <w:marRight w:val="0"/>
          <w:marTop w:val="0"/>
          <w:marBottom w:val="0"/>
          <w:divBdr>
            <w:top w:val="none" w:sz="0" w:space="0" w:color="auto"/>
            <w:left w:val="none" w:sz="0" w:space="0" w:color="auto"/>
            <w:bottom w:val="none" w:sz="0" w:space="0" w:color="auto"/>
            <w:right w:val="none" w:sz="0" w:space="0" w:color="auto"/>
          </w:divBdr>
        </w:div>
        <w:div w:id="1008602728">
          <w:marLeft w:val="0"/>
          <w:marRight w:val="0"/>
          <w:marTop w:val="0"/>
          <w:marBottom w:val="0"/>
          <w:divBdr>
            <w:top w:val="none" w:sz="0" w:space="0" w:color="auto"/>
            <w:left w:val="none" w:sz="0" w:space="0" w:color="auto"/>
            <w:bottom w:val="none" w:sz="0" w:space="0" w:color="auto"/>
            <w:right w:val="none" w:sz="0" w:space="0" w:color="auto"/>
          </w:divBdr>
        </w:div>
        <w:div w:id="1024017769">
          <w:marLeft w:val="0"/>
          <w:marRight w:val="0"/>
          <w:marTop w:val="0"/>
          <w:marBottom w:val="0"/>
          <w:divBdr>
            <w:top w:val="none" w:sz="0" w:space="0" w:color="auto"/>
            <w:left w:val="none" w:sz="0" w:space="0" w:color="auto"/>
            <w:bottom w:val="none" w:sz="0" w:space="0" w:color="auto"/>
            <w:right w:val="none" w:sz="0" w:space="0" w:color="auto"/>
          </w:divBdr>
        </w:div>
        <w:div w:id="1655059933">
          <w:marLeft w:val="0"/>
          <w:marRight w:val="0"/>
          <w:marTop w:val="0"/>
          <w:marBottom w:val="0"/>
          <w:divBdr>
            <w:top w:val="none" w:sz="0" w:space="0" w:color="auto"/>
            <w:left w:val="none" w:sz="0" w:space="0" w:color="auto"/>
            <w:bottom w:val="none" w:sz="0" w:space="0" w:color="auto"/>
            <w:right w:val="none" w:sz="0" w:space="0" w:color="auto"/>
          </w:divBdr>
        </w:div>
        <w:div w:id="2093353087">
          <w:marLeft w:val="0"/>
          <w:marRight w:val="0"/>
          <w:marTop w:val="0"/>
          <w:marBottom w:val="0"/>
          <w:divBdr>
            <w:top w:val="none" w:sz="0" w:space="0" w:color="auto"/>
            <w:left w:val="none" w:sz="0" w:space="0" w:color="auto"/>
            <w:bottom w:val="none" w:sz="0" w:space="0" w:color="auto"/>
            <w:right w:val="none" w:sz="0" w:space="0" w:color="auto"/>
          </w:divBdr>
        </w:div>
        <w:div w:id="145249570">
          <w:marLeft w:val="0"/>
          <w:marRight w:val="0"/>
          <w:marTop w:val="0"/>
          <w:marBottom w:val="0"/>
          <w:divBdr>
            <w:top w:val="none" w:sz="0" w:space="0" w:color="auto"/>
            <w:left w:val="none" w:sz="0" w:space="0" w:color="auto"/>
            <w:bottom w:val="none" w:sz="0" w:space="0" w:color="auto"/>
            <w:right w:val="none" w:sz="0" w:space="0" w:color="auto"/>
          </w:divBdr>
        </w:div>
        <w:div w:id="272058892">
          <w:marLeft w:val="0"/>
          <w:marRight w:val="0"/>
          <w:marTop w:val="0"/>
          <w:marBottom w:val="0"/>
          <w:divBdr>
            <w:top w:val="none" w:sz="0" w:space="0" w:color="auto"/>
            <w:left w:val="none" w:sz="0" w:space="0" w:color="auto"/>
            <w:bottom w:val="none" w:sz="0" w:space="0" w:color="auto"/>
            <w:right w:val="none" w:sz="0" w:space="0" w:color="auto"/>
          </w:divBdr>
        </w:div>
        <w:div w:id="1002780047">
          <w:marLeft w:val="0"/>
          <w:marRight w:val="0"/>
          <w:marTop w:val="0"/>
          <w:marBottom w:val="0"/>
          <w:divBdr>
            <w:top w:val="none" w:sz="0" w:space="0" w:color="auto"/>
            <w:left w:val="none" w:sz="0" w:space="0" w:color="auto"/>
            <w:bottom w:val="none" w:sz="0" w:space="0" w:color="auto"/>
            <w:right w:val="none" w:sz="0" w:space="0" w:color="auto"/>
          </w:divBdr>
        </w:div>
        <w:div w:id="1293906697">
          <w:marLeft w:val="0"/>
          <w:marRight w:val="0"/>
          <w:marTop w:val="0"/>
          <w:marBottom w:val="0"/>
          <w:divBdr>
            <w:top w:val="none" w:sz="0" w:space="0" w:color="auto"/>
            <w:left w:val="none" w:sz="0" w:space="0" w:color="auto"/>
            <w:bottom w:val="none" w:sz="0" w:space="0" w:color="auto"/>
            <w:right w:val="none" w:sz="0" w:space="0" w:color="auto"/>
          </w:divBdr>
        </w:div>
        <w:div w:id="1442870784">
          <w:marLeft w:val="0"/>
          <w:marRight w:val="0"/>
          <w:marTop w:val="0"/>
          <w:marBottom w:val="0"/>
          <w:divBdr>
            <w:top w:val="none" w:sz="0" w:space="0" w:color="auto"/>
            <w:left w:val="none" w:sz="0" w:space="0" w:color="auto"/>
            <w:bottom w:val="none" w:sz="0" w:space="0" w:color="auto"/>
            <w:right w:val="none" w:sz="0" w:space="0" w:color="auto"/>
          </w:divBdr>
        </w:div>
        <w:div w:id="52436143">
          <w:marLeft w:val="0"/>
          <w:marRight w:val="0"/>
          <w:marTop w:val="0"/>
          <w:marBottom w:val="0"/>
          <w:divBdr>
            <w:top w:val="none" w:sz="0" w:space="0" w:color="auto"/>
            <w:left w:val="none" w:sz="0" w:space="0" w:color="auto"/>
            <w:bottom w:val="none" w:sz="0" w:space="0" w:color="auto"/>
            <w:right w:val="none" w:sz="0" w:space="0" w:color="auto"/>
          </w:divBdr>
        </w:div>
        <w:div w:id="1837107654">
          <w:marLeft w:val="0"/>
          <w:marRight w:val="0"/>
          <w:marTop w:val="0"/>
          <w:marBottom w:val="0"/>
          <w:divBdr>
            <w:top w:val="none" w:sz="0" w:space="0" w:color="auto"/>
            <w:left w:val="none" w:sz="0" w:space="0" w:color="auto"/>
            <w:bottom w:val="none" w:sz="0" w:space="0" w:color="auto"/>
            <w:right w:val="none" w:sz="0" w:space="0" w:color="auto"/>
          </w:divBdr>
        </w:div>
        <w:div w:id="2049913941">
          <w:marLeft w:val="0"/>
          <w:marRight w:val="0"/>
          <w:marTop w:val="0"/>
          <w:marBottom w:val="0"/>
          <w:divBdr>
            <w:top w:val="none" w:sz="0" w:space="0" w:color="auto"/>
            <w:left w:val="none" w:sz="0" w:space="0" w:color="auto"/>
            <w:bottom w:val="none" w:sz="0" w:space="0" w:color="auto"/>
            <w:right w:val="none" w:sz="0" w:space="0" w:color="auto"/>
          </w:divBdr>
        </w:div>
        <w:div w:id="708578180">
          <w:marLeft w:val="0"/>
          <w:marRight w:val="0"/>
          <w:marTop w:val="0"/>
          <w:marBottom w:val="0"/>
          <w:divBdr>
            <w:top w:val="none" w:sz="0" w:space="0" w:color="auto"/>
            <w:left w:val="none" w:sz="0" w:space="0" w:color="auto"/>
            <w:bottom w:val="none" w:sz="0" w:space="0" w:color="auto"/>
            <w:right w:val="none" w:sz="0" w:space="0" w:color="auto"/>
          </w:divBdr>
        </w:div>
      </w:divsChild>
    </w:div>
    <w:div w:id="47459980">
      <w:marLeft w:val="0"/>
      <w:marRight w:val="0"/>
      <w:marTop w:val="180"/>
      <w:marBottom w:val="180"/>
      <w:divBdr>
        <w:top w:val="none" w:sz="0" w:space="0" w:color="auto"/>
        <w:left w:val="none" w:sz="0" w:space="0" w:color="auto"/>
        <w:bottom w:val="none" w:sz="0" w:space="0" w:color="auto"/>
        <w:right w:val="none" w:sz="0" w:space="0" w:color="auto"/>
      </w:divBdr>
    </w:div>
    <w:div w:id="52627035">
      <w:marLeft w:val="0"/>
      <w:marRight w:val="0"/>
      <w:marTop w:val="180"/>
      <w:marBottom w:val="60"/>
      <w:divBdr>
        <w:top w:val="none" w:sz="0" w:space="0" w:color="auto"/>
        <w:left w:val="none" w:sz="0" w:space="0" w:color="auto"/>
        <w:bottom w:val="none" w:sz="0" w:space="0" w:color="auto"/>
        <w:right w:val="none" w:sz="0" w:space="0" w:color="auto"/>
      </w:divBdr>
      <w:divsChild>
        <w:div w:id="1741753608">
          <w:marLeft w:val="0"/>
          <w:marRight w:val="0"/>
          <w:marTop w:val="0"/>
          <w:marBottom w:val="0"/>
          <w:divBdr>
            <w:top w:val="none" w:sz="0" w:space="0" w:color="auto"/>
            <w:left w:val="none" w:sz="0" w:space="0" w:color="auto"/>
            <w:bottom w:val="none" w:sz="0" w:space="0" w:color="auto"/>
            <w:right w:val="none" w:sz="0" w:space="0" w:color="auto"/>
          </w:divBdr>
        </w:div>
        <w:div w:id="1893537026">
          <w:marLeft w:val="0"/>
          <w:marRight w:val="0"/>
          <w:marTop w:val="0"/>
          <w:marBottom w:val="0"/>
          <w:divBdr>
            <w:top w:val="none" w:sz="0" w:space="0" w:color="auto"/>
            <w:left w:val="none" w:sz="0" w:space="0" w:color="auto"/>
            <w:bottom w:val="none" w:sz="0" w:space="0" w:color="auto"/>
            <w:right w:val="none" w:sz="0" w:space="0" w:color="auto"/>
          </w:divBdr>
        </w:div>
      </w:divsChild>
    </w:div>
    <w:div w:id="53429606">
      <w:marLeft w:val="0"/>
      <w:marRight w:val="0"/>
      <w:marTop w:val="180"/>
      <w:marBottom w:val="180"/>
      <w:divBdr>
        <w:top w:val="none" w:sz="0" w:space="0" w:color="auto"/>
        <w:left w:val="none" w:sz="0" w:space="0" w:color="auto"/>
        <w:bottom w:val="none" w:sz="0" w:space="0" w:color="auto"/>
        <w:right w:val="none" w:sz="0" w:space="0" w:color="auto"/>
      </w:divBdr>
    </w:div>
    <w:div w:id="56250351">
      <w:marLeft w:val="0"/>
      <w:marRight w:val="0"/>
      <w:marTop w:val="180"/>
      <w:marBottom w:val="180"/>
      <w:divBdr>
        <w:top w:val="none" w:sz="0" w:space="0" w:color="auto"/>
        <w:left w:val="none" w:sz="0" w:space="0" w:color="auto"/>
        <w:bottom w:val="none" w:sz="0" w:space="0" w:color="auto"/>
        <w:right w:val="none" w:sz="0" w:space="0" w:color="auto"/>
      </w:divBdr>
    </w:div>
    <w:div w:id="56364320">
      <w:marLeft w:val="0"/>
      <w:marRight w:val="0"/>
      <w:marTop w:val="180"/>
      <w:marBottom w:val="180"/>
      <w:divBdr>
        <w:top w:val="none" w:sz="0" w:space="0" w:color="auto"/>
        <w:left w:val="none" w:sz="0" w:space="0" w:color="auto"/>
        <w:bottom w:val="none" w:sz="0" w:space="0" w:color="auto"/>
        <w:right w:val="none" w:sz="0" w:space="0" w:color="auto"/>
      </w:divBdr>
    </w:div>
    <w:div w:id="58022598">
      <w:marLeft w:val="0"/>
      <w:marRight w:val="0"/>
      <w:marTop w:val="180"/>
      <w:marBottom w:val="180"/>
      <w:divBdr>
        <w:top w:val="none" w:sz="0" w:space="0" w:color="auto"/>
        <w:left w:val="none" w:sz="0" w:space="0" w:color="auto"/>
        <w:bottom w:val="none" w:sz="0" w:space="0" w:color="auto"/>
        <w:right w:val="none" w:sz="0" w:space="0" w:color="auto"/>
      </w:divBdr>
    </w:div>
    <w:div w:id="58285577">
      <w:marLeft w:val="0"/>
      <w:marRight w:val="0"/>
      <w:marTop w:val="180"/>
      <w:marBottom w:val="180"/>
      <w:divBdr>
        <w:top w:val="none" w:sz="0" w:space="0" w:color="auto"/>
        <w:left w:val="none" w:sz="0" w:space="0" w:color="auto"/>
        <w:bottom w:val="none" w:sz="0" w:space="0" w:color="auto"/>
        <w:right w:val="none" w:sz="0" w:space="0" w:color="auto"/>
      </w:divBdr>
    </w:div>
    <w:div w:id="58407733">
      <w:marLeft w:val="0"/>
      <w:marRight w:val="0"/>
      <w:marTop w:val="180"/>
      <w:marBottom w:val="180"/>
      <w:divBdr>
        <w:top w:val="none" w:sz="0" w:space="0" w:color="auto"/>
        <w:left w:val="none" w:sz="0" w:space="0" w:color="auto"/>
        <w:bottom w:val="none" w:sz="0" w:space="0" w:color="auto"/>
        <w:right w:val="none" w:sz="0" w:space="0" w:color="auto"/>
      </w:divBdr>
    </w:div>
    <w:div w:id="58676020">
      <w:marLeft w:val="0"/>
      <w:marRight w:val="0"/>
      <w:marTop w:val="0"/>
      <w:marBottom w:val="0"/>
      <w:divBdr>
        <w:top w:val="none" w:sz="0" w:space="0" w:color="auto"/>
        <w:left w:val="none" w:sz="0" w:space="0" w:color="auto"/>
        <w:bottom w:val="none" w:sz="0" w:space="0" w:color="auto"/>
        <w:right w:val="none" w:sz="0" w:space="0" w:color="auto"/>
      </w:divBdr>
      <w:divsChild>
        <w:div w:id="1570993420">
          <w:marLeft w:val="0"/>
          <w:marRight w:val="0"/>
          <w:marTop w:val="180"/>
          <w:marBottom w:val="180"/>
          <w:divBdr>
            <w:top w:val="none" w:sz="0" w:space="0" w:color="auto"/>
            <w:left w:val="none" w:sz="0" w:space="0" w:color="auto"/>
            <w:bottom w:val="none" w:sz="0" w:space="0" w:color="auto"/>
            <w:right w:val="none" w:sz="0" w:space="0" w:color="auto"/>
          </w:divBdr>
        </w:div>
      </w:divsChild>
    </w:div>
    <w:div w:id="65500917">
      <w:marLeft w:val="0"/>
      <w:marRight w:val="0"/>
      <w:marTop w:val="180"/>
      <w:marBottom w:val="0"/>
      <w:divBdr>
        <w:top w:val="none" w:sz="0" w:space="0" w:color="auto"/>
        <w:left w:val="none" w:sz="0" w:space="0" w:color="auto"/>
        <w:bottom w:val="none" w:sz="0" w:space="0" w:color="auto"/>
        <w:right w:val="none" w:sz="0" w:space="0" w:color="auto"/>
      </w:divBdr>
    </w:div>
    <w:div w:id="66072463">
      <w:marLeft w:val="0"/>
      <w:marRight w:val="0"/>
      <w:marTop w:val="180"/>
      <w:marBottom w:val="180"/>
      <w:divBdr>
        <w:top w:val="none" w:sz="0" w:space="0" w:color="auto"/>
        <w:left w:val="none" w:sz="0" w:space="0" w:color="auto"/>
        <w:bottom w:val="none" w:sz="0" w:space="0" w:color="auto"/>
        <w:right w:val="none" w:sz="0" w:space="0" w:color="auto"/>
      </w:divBdr>
    </w:div>
    <w:div w:id="66388769">
      <w:marLeft w:val="0"/>
      <w:marRight w:val="0"/>
      <w:marTop w:val="180"/>
      <w:marBottom w:val="180"/>
      <w:divBdr>
        <w:top w:val="none" w:sz="0" w:space="0" w:color="auto"/>
        <w:left w:val="none" w:sz="0" w:space="0" w:color="auto"/>
        <w:bottom w:val="none" w:sz="0" w:space="0" w:color="auto"/>
        <w:right w:val="none" w:sz="0" w:space="0" w:color="auto"/>
      </w:divBdr>
    </w:div>
    <w:div w:id="70348459">
      <w:marLeft w:val="0"/>
      <w:marRight w:val="0"/>
      <w:marTop w:val="60"/>
      <w:marBottom w:val="60"/>
      <w:divBdr>
        <w:top w:val="none" w:sz="0" w:space="0" w:color="auto"/>
        <w:left w:val="none" w:sz="0" w:space="0" w:color="auto"/>
        <w:bottom w:val="none" w:sz="0" w:space="0" w:color="auto"/>
        <w:right w:val="none" w:sz="0" w:space="0" w:color="auto"/>
      </w:divBdr>
    </w:div>
    <w:div w:id="70394831">
      <w:marLeft w:val="0"/>
      <w:marRight w:val="0"/>
      <w:marTop w:val="60"/>
      <w:marBottom w:val="60"/>
      <w:divBdr>
        <w:top w:val="none" w:sz="0" w:space="0" w:color="auto"/>
        <w:left w:val="none" w:sz="0" w:space="0" w:color="auto"/>
        <w:bottom w:val="none" w:sz="0" w:space="0" w:color="auto"/>
        <w:right w:val="none" w:sz="0" w:space="0" w:color="auto"/>
      </w:divBdr>
    </w:div>
    <w:div w:id="72702962">
      <w:marLeft w:val="0"/>
      <w:marRight w:val="0"/>
      <w:marTop w:val="180"/>
      <w:marBottom w:val="180"/>
      <w:divBdr>
        <w:top w:val="none" w:sz="0" w:space="0" w:color="auto"/>
        <w:left w:val="none" w:sz="0" w:space="0" w:color="auto"/>
        <w:bottom w:val="none" w:sz="0" w:space="0" w:color="auto"/>
        <w:right w:val="none" w:sz="0" w:space="0" w:color="auto"/>
      </w:divBdr>
    </w:div>
    <w:div w:id="73626212">
      <w:marLeft w:val="0"/>
      <w:marRight w:val="0"/>
      <w:marTop w:val="180"/>
      <w:marBottom w:val="180"/>
      <w:divBdr>
        <w:top w:val="none" w:sz="0" w:space="0" w:color="auto"/>
        <w:left w:val="none" w:sz="0" w:space="0" w:color="auto"/>
        <w:bottom w:val="none" w:sz="0" w:space="0" w:color="auto"/>
        <w:right w:val="none" w:sz="0" w:space="0" w:color="auto"/>
      </w:divBdr>
    </w:div>
    <w:div w:id="73817956">
      <w:marLeft w:val="0"/>
      <w:marRight w:val="0"/>
      <w:marTop w:val="180"/>
      <w:marBottom w:val="180"/>
      <w:divBdr>
        <w:top w:val="none" w:sz="0" w:space="0" w:color="auto"/>
        <w:left w:val="none" w:sz="0" w:space="0" w:color="auto"/>
        <w:bottom w:val="none" w:sz="0" w:space="0" w:color="auto"/>
        <w:right w:val="none" w:sz="0" w:space="0" w:color="auto"/>
      </w:divBdr>
    </w:div>
    <w:div w:id="75135857">
      <w:marLeft w:val="0"/>
      <w:marRight w:val="0"/>
      <w:marTop w:val="180"/>
      <w:marBottom w:val="180"/>
      <w:divBdr>
        <w:top w:val="none" w:sz="0" w:space="0" w:color="auto"/>
        <w:left w:val="none" w:sz="0" w:space="0" w:color="auto"/>
        <w:bottom w:val="none" w:sz="0" w:space="0" w:color="auto"/>
        <w:right w:val="none" w:sz="0" w:space="0" w:color="auto"/>
      </w:divBdr>
    </w:div>
    <w:div w:id="76095079">
      <w:marLeft w:val="0"/>
      <w:marRight w:val="0"/>
      <w:marTop w:val="180"/>
      <w:marBottom w:val="180"/>
      <w:divBdr>
        <w:top w:val="none" w:sz="0" w:space="0" w:color="auto"/>
        <w:left w:val="none" w:sz="0" w:space="0" w:color="auto"/>
        <w:bottom w:val="none" w:sz="0" w:space="0" w:color="auto"/>
        <w:right w:val="none" w:sz="0" w:space="0" w:color="auto"/>
      </w:divBdr>
    </w:div>
    <w:div w:id="84228501">
      <w:marLeft w:val="0"/>
      <w:marRight w:val="0"/>
      <w:marTop w:val="60"/>
      <w:marBottom w:val="60"/>
      <w:divBdr>
        <w:top w:val="none" w:sz="0" w:space="0" w:color="auto"/>
        <w:left w:val="none" w:sz="0" w:space="0" w:color="auto"/>
        <w:bottom w:val="none" w:sz="0" w:space="0" w:color="auto"/>
        <w:right w:val="none" w:sz="0" w:space="0" w:color="auto"/>
      </w:divBdr>
    </w:div>
    <w:div w:id="85006116">
      <w:marLeft w:val="0"/>
      <w:marRight w:val="0"/>
      <w:marTop w:val="60"/>
      <w:marBottom w:val="60"/>
      <w:divBdr>
        <w:top w:val="none" w:sz="0" w:space="0" w:color="auto"/>
        <w:left w:val="none" w:sz="0" w:space="0" w:color="auto"/>
        <w:bottom w:val="none" w:sz="0" w:space="0" w:color="auto"/>
        <w:right w:val="none" w:sz="0" w:space="0" w:color="auto"/>
      </w:divBdr>
    </w:div>
    <w:div w:id="86007599">
      <w:marLeft w:val="0"/>
      <w:marRight w:val="0"/>
      <w:marTop w:val="180"/>
      <w:marBottom w:val="180"/>
      <w:divBdr>
        <w:top w:val="none" w:sz="0" w:space="0" w:color="auto"/>
        <w:left w:val="none" w:sz="0" w:space="0" w:color="auto"/>
        <w:bottom w:val="none" w:sz="0" w:space="0" w:color="auto"/>
        <w:right w:val="none" w:sz="0" w:space="0" w:color="auto"/>
      </w:divBdr>
    </w:div>
    <w:div w:id="88936301">
      <w:marLeft w:val="0"/>
      <w:marRight w:val="0"/>
      <w:marTop w:val="180"/>
      <w:marBottom w:val="60"/>
      <w:divBdr>
        <w:top w:val="none" w:sz="0" w:space="0" w:color="auto"/>
        <w:left w:val="none" w:sz="0" w:space="0" w:color="auto"/>
        <w:bottom w:val="none" w:sz="0" w:space="0" w:color="auto"/>
        <w:right w:val="none" w:sz="0" w:space="0" w:color="auto"/>
      </w:divBdr>
    </w:div>
    <w:div w:id="91827376">
      <w:marLeft w:val="0"/>
      <w:marRight w:val="0"/>
      <w:marTop w:val="180"/>
      <w:marBottom w:val="60"/>
      <w:divBdr>
        <w:top w:val="none" w:sz="0" w:space="0" w:color="auto"/>
        <w:left w:val="none" w:sz="0" w:space="0" w:color="auto"/>
        <w:bottom w:val="none" w:sz="0" w:space="0" w:color="auto"/>
        <w:right w:val="none" w:sz="0" w:space="0" w:color="auto"/>
      </w:divBdr>
    </w:div>
    <w:div w:id="93938366">
      <w:marLeft w:val="0"/>
      <w:marRight w:val="0"/>
      <w:marTop w:val="60"/>
      <w:marBottom w:val="60"/>
      <w:divBdr>
        <w:top w:val="none" w:sz="0" w:space="0" w:color="auto"/>
        <w:left w:val="none" w:sz="0" w:space="0" w:color="auto"/>
        <w:bottom w:val="none" w:sz="0" w:space="0" w:color="auto"/>
        <w:right w:val="none" w:sz="0" w:space="0" w:color="auto"/>
      </w:divBdr>
    </w:div>
    <w:div w:id="94328125">
      <w:marLeft w:val="0"/>
      <w:marRight w:val="0"/>
      <w:marTop w:val="180"/>
      <w:marBottom w:val="180"/>
      <w:divBdr>
        <w:top w:val="none" w:sz="0" w:space="0" w:color="auto"/>
        <w:left w:val="none" w:sz="0" w:space="0" w:color="auto"/>
        <w:bottom w:val="none" w:sz="0" w:space="0" w:color="auto"/>
        <w:right w:val="none" w:sz="0" w:space="0" w:color="auto"/>
      </w:divBdr>
    </w:div>
    <w:div w:id="98451125">
      <w:marLeft w:val="0"/>
      <w:marRight w:val="0"/>
      <w:marTop w:val="180"/>
      <w:marBottom w:val="180"/>
      <w:divBdr>
        <w:top w:val="none" w:sz="0" w:space="0" w:color="auto"/>
        <w:left w:val="none" w:sz="0" w:space="0" w:color="auto"/>
        <w:bottom w:val="none" w:sz="0" w:space="0" w:color="auto"/>
        <w:right w:val="none" w:sz="0" w:space="0" w:color="auto"/>
      </w:divBdr>
    </w:div>
    <w:div w:id="99302499">
      <w:marLeft w:val="0"/>
      <w:marRight w:val="0"/>
      <w:marTop w:val="60"/>
      <w:marBottom w:val="60"/>
      <w:divBdr>
        <w:top w:val="none" w:sz="0" w:space="0" w:color="auto"/>
        <w:left w:val="none" w:sz="0" w:space="0" w:color="auto"/>
        <w:bottom w:val="none" w:sz="0" w:space="0" w:color="auto"/>
        <w:right w:val="none" w:sz="0" w:space="0" w:color="auto"/>
      </w:divBdr>
    </w:div>
    <w:div w:id="99961369">
      <w:marLeft w:val="0"/>
      <w:marRight w:val="0"/>
      <w:marTop w:val="180"/>
      <w:marBottom w:val="180"/>
      <w:divBdr>
        <w:top w:val="none" w:sz="0" w:space="0" w:color="auto"/>
        <w:left w:val="none" w:sz="0" w:space="0" w:color="auto"/>
        <w:bottom w:val="none" w:sz="0" w:space="0" w:color="auto"/>
        <w:right w:val="none" w:sz="0" w:space="0" w:color="auto"/>
      </w:divBdr>
    </w:div>
    <w:div w:id="101072980">
      <w:marLeft w:val="0"/>
      <w:marRight w:val="0"/>
      <w:marTop w:val="0"/>
      <w:marBottom w:val="0"/>
      <w:divBdr>
        <w:top w:val="none" w:sz="0" w:space="0" w:color="auto"/>
        <w:left w:val="none" w:sz="0" w:space="0" w:color="auto"/>
        <w:bottom w:val="none" w:sz="0" w:space="0" w:color="auto"/>
        <w:right w:val="none" w:sz="0" w:space="0" w:color="auto"/>
      </w:divBdr>
      <w:divsChild>
        <w:div w:id="324674869">
          <w:marLeft w:val="0"/>
          <w:marRight w:val="0"/>
          <w:marTop w:val="60"/>
          <w:marBottom w:val="180"/>
          <w:divBdr>
            <w:top w:val="none" w:sz="0" w:space="0" w:color="auto"/>
            <w:left w:val="none" w:sz="0" w:space="0" w:color="auto"/>
            <w:bottom w:val="none" w:sz="0" w:space="0" w:color="auto"/>
            <w:right w:val="none" w:sz="0" w:space="0" w:color="auto"/>
          </w:divBdr>
        </w:div>
      </w:divsChild>
    </w:div>
    <w:div w:id="103887593">
      <w:marLeft w:val="0"/>
      <w:marRight w:val="0"/>
      <w:marTop w:val="0"/>
      <w:marBottom w:val="0"/>
      <w:divBdr>
        <w:top w:val="none" w:sz="0" w:space="0" w:color="auto"/>
        <w:left w:val="none" w:sz="0" w:space="0" w:color="auto"/>
        <w:bottom w:val="none" w:sz="0" w:space="0" w:color="auto"/>
        <w:right w:val="none" w:sz="0" w:space="0" w:color="auto"/>
      </w:divBdr>
      <w:divsChild>
        <w:div w:id="1390570417">
          <w:marLeft w:val="0"/>
          <w:marRight w:val="0"/>
          <w:marTop w:val="0"/>
          <w:marBottom w:val="0"/>
          <w:divBdr>
            <w:top w:val="none" w:sz="0" w:space="0" w:color="auto"/>
            <w:left w:val="none" w:sz="0" w:space="0" w:color="auto"/>
            <w:bottom w:val="none" w:sz="0" w:space="0" w:color="auto"/>
            <w:right w:val="none" w:sz="0" w:space="0" w:color="auto"/>
          </w:divBdr>
          <w:divsChild>
            <w:div w:id="11977396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615993">
      <w:marLeft w:val="0"/>
      <w:marRight w:val="0"/>
      <w:marTop w:val="180"/>
      <w:marBottom w:val="180"/>
      <w:divBdr>
        <w:top w:val="none" w:sz="0" w:space="0" w:color="auto"/>
        <w:left w:val="none" w:sz="0" w:space="0" w:color="auto"/>
        <w:bottom w:val="none" w:sz="0" w:space="0" w:color="auto"/>
        <w:right w:val="none" w:sz="0" w:space="0" w:color="auto"/>
      </w:divBdr>
    </w:div>
    <w:div w:id="104888791">
      <w:marLeft w:val="0"/>
      <w:marRight w:val="0"/>
      <w:marTop w:val="0"/>
      <w:marBottom w:val="0"/>
      <w:divBdr>
        <w:top w:val="none" w:sz="0" w:space="0" w:color="auto"/>
        <w:left w:val="none" w:sz="0" w:space="0" w:color="auto"/>
        <w:bottom w:val="none" w:sz="0" w:space="0" w:color="auto"/>
        <w:right w:val="none" w:sz="0" w:space="0" w:color="auto"/>
      </w:divBdr>
    </w:div>
    <w:div w:id="106196022">
      <w:marLeft w:val="0"/>
      <w:marRight w:val="0"/>
      <w:marTop w:val="120"/>
      <w:marBottom w:val="120"/>
      <w:divBdr>
        <w:top w:val="none" w:sz="0" w:space="0" w:color="auto"/>
        <w:left w:val="none" w:sz="0" w:space="0" w:color="auto"/>
        <w:bottom w:val="none" w:sz="0" w:space="0" w:color="auto"/>
        <w:right w:val="none" w:sz="0" w:space="0" w:color="auto"/>
      </w:divBdr>
    </w:div>
    <w:div w:id="107091701">
      <w:marLeft w:val="0"/>
      <w:marRight w:val="0"/>
      <w:marTop w:val="180"/>
      <w:marBottom w:val="180"/>
      <w:divBdr>
        <w:top w:val="none" w:sz="0" w:space="0" w:color="auto"/>
        <w:left w:val="none" w:sz="0" w:space="0" w:color="auto"/>
        <w:bottom w:val="none" w:sz="0" w:space="0" w:color="auto"/>
        <w:right w:val="none" w:sz="0" w:space="0" w:color="auto"/>
      </w:divBdr>
    </w:div>
    <w:div w:id="107437057">
      <w:marLeft w:val="0"/>
      <w:marRight w:val="0"/>
      <w:marTop w:val="60"/>
      <w:marBottom w:val="60"/>
      <w:divBdr>
        <w:top w:val="none" w:sz="0" w:space="0" w:color="auto"/>
        <w:left w:val="none" w:sz="0" w:space="0" w:color="auto"/>
        <w:bottom w:val="none" w:sz="0" w:space="0" w:color="auto"/>
        <w:right w:val="none" w:sz="0" w:space="0" w:color="auto"/>
      </w:divBdr>
    </w:div>
    <w:div w:id="107824609">
      <w:marLeft w:val="0"/>
      <w:marRight w:val="0"/>
      <w:marTop w:val="180"/>
      <w:marBottom w:val="180"/>
      <w:divBdr>
        <w:top w:val="none" w:sz="0" w:space="0" w:color="auto"/>
        <w:left w:val="none" w:sz="0" w:space="0" w:color="auto"/>
        <w:bottom w:val="none" w:sz="0" w:space="0" w:color="auto"/>
        <w:right w:val="none" w:sz="0" w:space="0" w:color="auto"/>
      </w:divBdr>
    </w:div>
    <w:div w:id="108009948">
      <w:marLeft w:val="0"/>
      <w:marRight w:val="0"/>
      <w:marTop w:val="180"/>
      <w:marBottom w:val="180"/>
      <w:divBdr>
        <w:top w:val="none" w:sz="0" w:space="0" w:color="auto"/>
        <w:left w:val="none" w:sz="0" w:space="0" w:color="auto"/>
        <w:bottom w:val="none" w:sz="0" w:space="0" w:color="auto"/>
        <w:right w:val="none" w:sz="0" w:space="0" w:color="auto"/>
      </w:divBdr>
    </w:div>
    <w:div w:id="110437656">
      <w:marLeft w:val="0"/>
      <w:marRight w:val="0"/>
      <w:marTop w:val="60"/>
      <w:marBottom w:val="60"/>
      <w:divBdr>
        <w:top w:val="none" w:sz="0" w:space="0" w:color="auto"/>
        <w:left w:val="none" w:sz="0" w:space="0" w:color="auto"/>
        <w:bottom w:val="none" w:sz="0" w:space="0" w:color="auto"/>
        <w:right w:val="none" w:sz="0" w:space="0" w:color="auto"/>
      </w:divBdr>
    </w:div>
    <w:div w:id="110899002">
      <w:marLeft w:val="0"/>
      <w:marRight w:val="0"/>
      <w:marTop w:val="180"/>
      <w:marBottom w:val="180"/>
      <w:divBdr>
        <w:top w:val="none" w:sz="0" w:space="0" w:color="auto"/>
        <w:left w:val="none" w:sz="0" w:space="0" w:color="auto"/>
        <w:bottom w:val="none" w:sz="0" w:space="0" w:color="auto"/>
        <w:right w:val="none" w:sz="0" w:space="0" w:color="auto"/>
      </w:divBdr>
    </w:div>
    <w:div w:id="113133947">
      <w:marLeft w:val="0"/>
      <w:marRight w:val="0"/>
      <w:marTop w:val="180"/>
      <w:marBottom w:val="180"/>
      <w:divBdr>
        <w:top w:val="none" w:sz="0" w:space="0" w:color="auto"/>
        <w:left w:val="none" w:sz="0" w:space="0" w:color="auto"/>
        <w:bottom w:val="none" w:sz="0" w:space="0" w:color="auto"/>
        <w:right w:val="none" w:sz="0" w:space="0" w:color="auto"/>
      </w:divBdr>
    </w:div>
    <w:div w:id="114716123">
      <w:marLeft w:val="0"/>
      <w:marRight w:val="0"/>
      <w:marTop w:val="180"/>
      <w:marBottom w:val="180"/>
      <w:divBdr>
        <w:top w:val="none" w:sz="0" w:space="0" w:color="auto"/>
        <w:left w:val="none" w:sz="0" w:space="0" w:color="auto"/>
        <w:bottom w:val="none" w:sz="0" w:space="0" w:color="auto"/>
        <w:right w:val="none" w:sz="0" w:space="0" w:color="auto"/>
      </w:divBdr>
    </w:div>
    <w:div w:id="116417381">
      <w:marLeft w:val="0"/>
      <w:marRight w:val="0"/>
      <w:marTop w:val="180"/>
      <w:marBottom w:val="180"/>
      <w:divBdr>
        <w:top w:val="none" w:sz="0" w:space="0" w:color="auto"/>
        <w:left w:val="none" w:sz="0" w:space="0" w:color="auto"/>
        <w:bottom w:val="none" w:sz="0" w:space="0" w:color="auto"/>
        <w:right w:val="none" w:sz="0" w:space="0" w:color="auto"/>
      </w:divBdr>
    </w:div>
    <w:div w:id="116876943">
      <w:marLeft w:val="0"/>
      <w:marRight w:val="0"/>
      <w:marTop w:val="180"/>
      <w:marBottom w:val="180"/>
      <w:divBdr>
        <w:top w:val="none" w:sz="0" w:space="0" w:color="auto"/>
        <w:left w:val="none" w:sz="0" w:space="0" w:color="auto"/>
        <w:bottom w:val="none" w:sz="0" w:space="0" w:color="auto"/>
        <w:right w:val="none" w:sz="0" w:space="0" w:color="auto"/>
      </w:divBdr>
    </w:div>
    <w:div w:id="116922626">
      <w:marLeft w:val="0"/>
      <w:marRight w:val="0"/>
      <w:marTop w:val="60"/>
      <w:marBottom w:val="60"/>
      <w:divBdr>
        <w:top w:val="none" w:sz="0" w:space="0" w:color="auto"/>
        <w:left w:val="none" w:sz="0" w:space="0" w:color="auto"/>
        <w:bottom w:val="none" w:sz="0" w:space="0" w:color="auto"/>
        <w:right w:val="none" w:sz="0" w:space="0" w:color="auto"/>
      </w:divBdr>
    </w:div>
    <w:div w:id="117846878">
      <w:marLeft w:val="0"/>
      <w:marRight w:val="0"/>
      <w:marTop w:val="180"/>
      <w:marBottom w:val="180"/>
      <w:divBdr>
        <w:top w:val="none" w:sz="0" w:space="0" w:color="auto"/>
        <w:left w:val="none" w:sz="0" w:space="0" w:color="auto"/>
        <w:bottom w:val="none" w:sz="0" w:space="0" w:color="auto"/>
        <w:right w:val="none" w:sz="0" w:space="0" w:color="auto"/>
      </w:divBdr>
    </w:div>
    <w:div w:id="119539024">
      <w:marLeft w:val="0"/>
      <w:marRight w:val="0"/>
      <w:marTop w:val="180"/>
      <w:marBottom w:val="60"/>
      <w:divBdr>
        <w:top w:val="none" w:sz="0" w:space="0" w:color="auto"/>
        <w:left w:val="none" w:sz="0" w:space="0" w:color="auto"/>
        <w:bottom w:val="none" w:sz="0" w:space="0" w:color="auto"/>
        <w:right w:val="none" w:sz="0" w:space="0" w:color="auto"/>
      </w:divBdr>
    </w:div>
    <w:div w:id="120538872">
      <w:marLeft w:val="0"/>
      <w:marRight w:val="0"/>
      <w:marTop w:val="0"/>
      <w:marBottom w:val="0"/>
      <w:divBdr>
        <w:top w:val="none" w:sz="0" w:space="0" w:color="auto"/>
        <w:left w:val="none" w:sz="0" w:space="0" w:color="auto"/>
        <w:bottom w:val="none" w:sz="0" w:space="0" w:color="auto"/>
        <w:right w:val="none" w:sz="0" w:space="0" w:color="auto"/>
      </w:divBdr>
      <w:divsChild>
        <w:div w:id="1373846916">
          <w:marLeft w:val="0"/>
          <w:marRight w:val="0"/>
          <w:marTop w:val="60"/>
          <w:marBottom w:val="180"/>
          <w:divBdr>
            <w:top w:val="none" w:sz="0" w:space="0" w:color="auto"/>
            <w:left w:val="none" w:sz="0" w:space="0" w:color="auto"/>
            <w:bottom w:val="none" w:sz="0" w:space="0" w:color="auto"/>
            <w:right w:val="none" w:sz="0" w:space="0" w:color="auto"/>
          </w:divBdr>
        </w:div>
      </w:divsChild>
    </w:div>
    <w:div w:id="121114841">
      <w:marLeft w:val="0"/>
      <w:marRight w:val="0"/>
      <w:marTop w:val="0"/>
      <w:marBottom w:val="0"/>
      <w:divBdr>
        <w:top w:val="none" w:sz="0" w:space="0" w:color="auto"/>
        <w:left w:val="none" w:sz="0" w:space="0" w:color="auto"/>
        <w:bottom w:val="none" w:sz="0" w:space="0" w:color="auto"/>
        <w:right w:val="none" w:sz="0" w:space="0" w:color="auto"/>
      </w:divBdr>
      <w:divsChild>
        <w:div w:id="936908001">
          <w:marLeft w:val="0"/>
          <w:marRight w:val="0"/>
          <w:marTop w:val="0"/>
          <w:marBottom w:val="0"/>
          <w:divBdr>
            <w:top w:val="none" w:sz="0" w:space="0" w:color="auto"/>
            <w:left w:val="none" w:sz="0" w:space="0" w:color="auto"/>
            <w:bottom w:val="none" w:sz="0" w:space="0" w:color="auto"/>
            <w:right w:val="none" w:sz="0" w:space="0" w:color="auto"/>
          </w:divBdr>
          <w:divsChild>
            <w:div w:id="2266530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236244">
      <w:marLeft w:val="0"/>
      <w:marRight w:val="0"/>
      <w:marTop w:val="180"/>
      <w:marBottom w:val="180"/>
      <w:divBdr>
        <w:top w:val="none" w:sz="0" w:space="0" w:color="auto"/>
        <w:left w:val="none" w:sz="0" w:space="0" w:color="auto"/>
        <w:bottom w:val="none" w:sz="0" w:space="0" w:color="auto"/>
        <w:right w:val="none" w:sz="0" w:space="0" w:color="auto"/>
      </w:divBdr>
    </w:div>
    <w:div w:id="122502650">
      <w:marLeft w:val="0"/>
      <w:marRight w:val="0"/>
      <w:marTop w:val="60"/>
      <w:marBottom w:val="0"/>
      <w:divBdr>
        <w:top w:val="none" w:sz="0" w:space="0" w:color="auto"/>
        <w:left w:val="none" w:sz="0" w:space="0" w:color="auto"/>
        <w:bottom w:val="none" w:sz="0" w:space="0" w:color="auto"/>
        <w:right w:val="none" w:sz="0" w:space="0" w:color="auto"/>
      </w:divBdr>
      <w:divsChild>
        <w:div w:id="1751460337">
          <w:marLeft w:val="0"/>
          <w:marRight w:val="0"/>
          <w:marTop w:val="0"/>
          <w:marBottom w:val="0"/>
          <w:divBdr>
            <w:top w:val="none" w:sz="0" w:space="0" w:color="auto"/>
            <w:left w:val="none" w:sz="0" w:space="0" w:color="auto"/>
            <w:bottom w:val="none" w:sz="0" w:space="0" w:color="auto"/>
            <w:right w:val="none" w:sz="0" w:space="0" w:color="auto"/>
          </w:divBdr>
        </w:div>
        <w:div w:id="68114096">
          <w:marLeft w:val="0"/>
          <w:marRight w:val="0"/>
          <w:marTop w:val="0"/>
          <w:marBottom w:val="0"/>
          <w:divBdr>
            <w:top w:val="none" w:sz="0" w:space="0" w:color="auto"/>
            <w:left w:val="none" w:sz="0" w:space="0" w:color="auto"/>
            <w:bottom w:val="none" w:sz="0" w:space="0" w:color="auto"/>
            <w:right w:val="none" w:sz="0" w:space="0" w:color="auto"/>
          </w:divBdr>
        </w:div>
      </w:divsChild>
    </w:div>
    <w:div w:id="124543016">
      <w:marLeft w:val="0"/>
      <w:marRight w:val="0"/>
      <w:marTop w:val="180"/>
      <w:marBottom w:val="180"/>
      <w:divBdr>
        <w:top w:val="none" w:sz="0" w:space="0" w:color="auto"/>
        <w:left w:val="none" w:sz="0" w:space="0" w:color="auto"/>
        <w:bottom w:val="none" w:sz="0" w:space="0" w:color="auto"/>
        <w:right w:val="none" w:sz="0" w:space="0" w:color="auto"/>
      </w:divBdr>
    </w:div>
    <w:div w:id="125247735">
      <w:marLeft w:val="0"/>
      <w:marRight w:val="0"/>
      <w:marTop w:val="60"/>
      <w:marBottom w:val="60"/>
      <w:divBdr>
        <w:top w:val="none" w:sz="0" w:space="0" w:color="auto"/>
        <w:left w:val="none" w:sz="0" w:space="0" w:color="auto"/>
        <w:bottom w:val="none" w:sz="0" w:space="0" w:color="auto"/>
        <w:right w:val="none" w:sz="0" w:space="0" w:color="auto"/>
      </w:divBdr>
    </w:div>
    <w:div w:id="125663378">
      <w:marLeft w:val="0"/>
      <w:marRight w:val="0"/>
      <w:marTop w:val="180"/>
      <w:marBottom w:val="180"/>
      <w:divBdr>
        <w:top w:val="none" w:sz="0" w:space="0" w:color="auto"/>
        <w:left w:val="none" w:sz="0" w:space="0" w:color="auto"/>
        <w:bottom w:val="none" w:sz="0" w:space="0" w:color="auto"/>
        <w:right w:val="none" w:sz="0" w:space="0" w:color="auto"/>
      </w:divBdr>
    </w:div>
    <w:div w:id="126360344">
      <w:marLeft w:val="0"/>
      <w:marRight w:val="0"/>
      <w:marTop w:val="180"/>
      <w:marBottom w:val="180"/>
      <w:divBdr>
        <w:top w:val="none" w:sz="0" w:space="0" w:color="auto"/>
        <w:left w:val="none" w:sz="0" w:space="0" w:color="auto"/>
        <w:bottom w:val="none" w:sz="0" w:space="0" w:color="auto"/>
        <w:right w:val="none" w:sz="0" w:space="0" w:color="auto"/>
      </w:divBdr>
    </w:div>
    <w:div w:id="126827264">
      <w:marLeft w:val="0"/>
      <w:marRight w:val="0"/>
      <w:marTop w:val="60"/>
      <w:marBottom w:val="60"/>
      <w:divBdr>
        <w:top w:val="none" w:sz="0" w:space="0" w:color="auto"/>
        <w:left w:val="none" w:sz="0" w:space="0" w:color="auto"/>
        <w:bottom w:val="none" w:sz="0" w:space="0" w:color="auto"/>
        <w:right w:val="none" w:sz="0" w:space="0" w:color="auto"/>
      </w:divBdr>
    </w:div>
    <w:div w:id="128986303">
      <w:marLeft w:val="0"/>
      <w:marRight w:val="0"/>
      <w:marTop w:val="180"/>
      <w:marBottom w:val="180"/>
      <w:divBdr>
        <w:top w:val="none" w:sz="0" w:space="0" w:color="auto"/>
        <w:left w:val="none" w:sz="0" w:space="0" w:color="auto"/>
        <w:bottom w:val="none" w:sz="0" w:space="0" w:color="auto"/>
        <w:right w:val="none" w:sz="0" w:space="0" w:color="auto"/>
      </w:divBdr>
    </w:div>
    <w:div w:id="131994346">
      <w:marLeft w:val="0"/>
      <w:marRight w:val="0"/>
      <w:marTop w:val="180"/>
      <w:marBottom w:val="180"/>
      <w:divBdr>
        <w:top w:val="none" w:sz="0" w:space="0" w:color="auto"/>
        <w:left w:val="none" w:sz="0" w:space="0" w:color="auto"/>
        <w:bottom w:val="none" w:sz="0" w:space="0" w:color="auto"/>
        <w:right w:val="none" w:sz="0" w:space="0" w:color="auto"/>
      </w:divBdr>
    </w:div>
    <w:div w:id="133643103">
      <w:marLeft w:val="0"/>
      <w:marRight w:val="0"/>
      <w:marTop w:val="180"/>
      <w:marBottom w:val="180"/>
      <w:divBdr>
        <w:top w:val="none" w:sz="0" w:space="0" w:color="auto"/>
        <w:left w:val="none" w:sz="0" w:space="0" w:color="auto"/>
        <w:bottom w:val="none" w:sz="0" w:space="0" w:color="auto"/>
        <w:right w:val="none" w:sz="0" w:space="0" w:color="auto"/>
      </w:divBdr>
    </w:div>
    <w:div w:id="134102871">
      <w:marLeft w:val="0"/>
      <w:marRight w:val="0"/>
      <w:marTop w:val="180"/>
      <w:marBottom w:val="180"/>
      <w:divBdr>
        <w:top w:val="none" w:sz="0" w:space="0" w:color="auto"/>
        <w:left w:val="none" w:sz="0" w:space="0" w:color="auto"/>
        <w:bottom w:val="none" w:sz="0" w:space="0" w:color="auto"/>
        <w:right w:val="none" w:sz="0" w:space="0" w:color="auto"/>
      </w:divBdr>
    </w:div>
    <w:div w:id="134103463">
      <w:marLeft w:val="0"/>
      <w:marRight w:val="0"/>
      <w:marTop w:val="0"/>
      <w:marBottom w:val="0"/>
      <w:divBdr>
        <w:top w:val="none" w:sz="0" w:space="0" w:color="auto"/>
        <w:left w:val="none" w:sz="0" w:space="0" w:color="auto"/>
        <w:bottom w:val="none" w:sz="0" w:space="0" w:color="auto"/>
        <w:right w:val="none" w:sz="0" w:space="0" w:color="auto"/>
      </w:divBdr>
    </w:div>
    <w:div w:id="134569232">
      <w:marLeft w:val="0"/>
      <w:marRight w:val="0"/>
      <w:marTop w:val="60"/>
      <w:marBottom w:val="60"/>
      <w:divBdr>
        <w:top w:val="none" w:sz="0" w:space="0" w:color="auto"/>
        <w:left w:val="none" w:sz="0" w:space="0" w:color="auto"/>
        <w:bottom w:val="none" w:sz="0" w:space="0" w:color="auto"/>
        <w:right w:val="none" w:sz="0" w:space="0" w:color="auto"/>
      </w:divBdr>
      <w:divsChild>
        <w:div w:id="1306157455">
          <w:marLeft w:val="0"/>
          <w:marRight w:val="0"/>
          <w:marTop w:val="0"/>
          <w:marBottom w:val="0"/>
          <w:divBdr>
            <w:top w:val="none" w:sz="0" w:space="0" w:color="auto"/>
            <w:left w:val="none" w:sz="0" w:space="0" w:color="auto"/>
            <w:bottom w:val="none" w:sz="0" w:space="0" w:color="auto"/>
            <w:right w:val="none" w:sz="0" w:space="0" w:color="auto"/>
          </w:divBdr>
        </w:div>
        <w:div w:id="1411192734">
          <w:marLeft w:val="0"/>
          <w:marRight w:val="0"/>
          <w:marTop w:val="0"/>
          <w:marBottom w:val="0"/>
          <w:divBdr>
            <w:top w:val="none" w:sz="0" w:space="0" w:color="auto"/>
            <w:left w:val="none" w:sz="0" w:space="0" w:color="auto"/>
            <w:bottom w:val="none" w:sz="0" w:space="0" w:color="auto"/>
            <w:right w:val="none" w:sz="0" w:space="0" w:color="auto"/>
          </w:divBdr>
        </w:div>
        <w:div w:id="450363928">
          <w:marLeft w:val="0"/>
          <w:marRight w:val="0"/>
          <w:marTop w:val="0"/>
          <w:marBottom w:val="0"/>
          <w:divBdr>
            <w:top w:val="none" w:sz="0" w:space="0" w:color="auto"/>
            <w:left w:val="none" w:sz="0" w:space="0" w:color="auto"/>
            <w:bottom w:val="none" w:sz="0" w:space="0" w:color="auto"/>
            <w:right w:val="none" w:sz="0" w:space="0" w:color="auto"/>
          </w:divBdr>
        </w:div>
      </w:divsChild>
    </w:div>
    <w:div w:id="134760601">
      <w:marLeft w:val="0"/>
      <w:marRight w:val="0"/>
      <w:marTop w:val="180"/>
      <w:marBottom w:val="180"/>
      <w:divBdr>
        <w:top w:val="none" w:sz="0" w:space="0" w:color="auto"/>
        <w:left w:val="none" w:sz="0" w:space="0" w:color="auto"/>
        <w:bottom w:val="none" w:sz="0" w:space="0" w:color="auto"/>
        <w:right w:val="none" w:sz="0" w:space="0" w:color="auto"/>
      </w:divBdr>
    </w:div>
    <w:div w:id="139733948">
      <w:marLeft w:val="0"/>
      <w:marRight w:val="0"/>
      <w:marTop w:val="0"/>
      <w:marBottom w:val="0"/>
      <w:divBdr>
        <w:top w:val="none" w:sz="0" w:space="0" w:color="auto"/>
        <w:left w:val="none" w:sz="0" w:space="0" w:color="auto"/>
        <w:bottom w:val="none" w:sz="0" w:space="0" w:color="auto"/>
        <w:right w:val="none" w:sz="0" w:space="0" w:color="auto"/>
      </w:divBdr>
      <w:divsChild>
        <w:div w:id="440682351">
          <w:marLeft w:val="0"/>
          <w:marRight w:val="0"/>
          <w:marTop w:val="0"/>
          <w:marBottom w:val="0"/>
          <w:divBdr>
            <w:top w:val="none" w:sz="0" w:space="0" w:color="auto"/>
            <w:left w:val="none" w:sz="0" w:space="0" w:color="auto"/>
            <w:bottom w:val="none" w:sz="0" w:space="0" w:color="auto"/>
            <w:right w:val="none" w:sz="0" w:space="0" w:color="auto"/>
          </w:divBdr>
          <w:divsChild>
            <w:div w:id="14509745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241961">
      <w:marLeft w:val="0"/>
      <w:marRight w:val="0"/>
      <w:marTop w:val="0"/>
      <w:marBottom w:val="0"/>
      <w:divBdr>
        <w:top w:val="none" w:sz="0" w:space="0" w:color="auto"/>
        <w:left w:val="none" w:sz="0" w:space="0" w:color="auto"/>
        <w:bottom w:val="none" w:sz="0" w:space="0" w:color="auto"/>
        <w:right w:val="none" w:sz="0" w:space="0" w:color="auto"/>
      </w:divBdr>
    </w:div>
    <w:div w:id="141847400">
      <w:marLeft w:val="0"/>
      <w:marRight w:val="0"/>
      <w:marTop w:val="60"/>
      <w:marBottom w:val="60"/>
      <w:divBdr>
        <w:top w:val="none" w:sz="0" w:space="0" w:color="auto"/>
        <w:left w:val="none" w:sz="0" w:space="0" w:color="auto"/>
        <w:bottom w:val="none" w:sz="0" w:space="0" w:color="auto"/>
        <w:right w:val="none" w:sz="0" w:space="0" w:color="auto"/>
      </w:divBdr>
    </w:div>
    <w:div w:id="142897690">
      <w:marLeft w:val="0"/>
      <w:marRight w:val="0"/>
      <w:marTop w:val="180"/>
      <w:marBottom w:val="180"/>
      <w:divBdr>
        <w:top w:val="none" w:sz="0" w:space="0" w:color="auto"/>
        <w:left w:val="none" w:sz="0" w:space="0" w:color="auto"/>
        <w:bottom w:val="none" w:sz="0" w:space="0" w:color="auto"/>
        <w:right w:val="none" w:sz="0" w:space="0" w:color="auto"/>
      </w:divBdr>
    </w:div>
    <w:div w:id="144248451">
      <w:marLeft w:val="0"/>
      <w:marRight w:val="0"/>
      <w:marTop w:val="60"/>
      <w:marBottom w:val="60"/>
      <w:divBdr>
        <w:top w:val="none" w:sz="0" w:space="0" w:color="auto"/>
        <w:left w:val="none" w:sz="0" w:space="0" w:color="auto"/>
        <w:bottom w:val="none" w:sz="0" w:space="0" w:color="auto"/>
        <w:right w:val="none" w:sz="0" w:space="0" w:color="auto"/>
      </w:divBdr>
      <w:divsChild>
        <w:div w:id="1494293678">
          <w:marLeft w:val="0"/>
          <w:marRight w:val="0"/>
          <w:marTop w:val="0"/>
          <w:marBottom w:val="0"/>
          <w:divBdr>
            <w:top w:val="none" w:sz="0" w:space="0" w:color="auto"/>
            <w:left w:val="none" w:sz="0" w:space="0" w:color="auto"/>
            <w:bottom w:val="none" w:sz="0" w:space="0" w:color="auto"/>
            <w:right w:val="none" w:sz="0" w:space="0" w:color="auto"/>
          </w:divBdr>
        </w:div>
        <w:div w:id="1189299151">
          <w:marLeft w:val="0"/>
          <w:marRight w:val="0"/>
          <w:marTop w:val="0"/>
          <w:marBottom w:val="0"/>
          <w:divBdr>
            <w:top w:val="none" w:sz="0" w:space="0" w:color="auto"/>
            <w:left w:val="none" w:sz="0" w:space="0" w:color="auto"/>
            <w:bottom w:val="none" w:sz="0" w:space="0" w:color="auto"/>
            <w:right w:val="none" w:sz="0" w:space="0" w:color="auto"/>
          </w:divBdr>
        </w:div>
        <w:div w:id="2443070">
          <w:marLeft w:val="0"/>
          <w:marRight w:val="0"/>
          <w:marTop w:val="0"/>
          <w:marBottom w:val="0"/>
          <w:divBdr>
            <w:top w:val="none" w:sz="0" w:space="0" w:color="auto"/>
            <w:left w:val="none" w:sz="0" w:space="0" w:color="auto"/>
            <w:bottom w:val="none" w:sz="0" w:space="0" w:color="auto"/>
            <w:right w:val="none" w:sz="0" w:space="0" w:color="auto"/>
          </w:divBdr>
        </w:div>
      </w:divsChild>
    </w:div>
    <w:div w:id="145054094">
      <w:marLeft w:val="0"/>
      <w:marRight w:val="0"/>
      <w:marTop w:val="0"/>
      <w:marBottom w:val="0"/>
      <w:divBdr>
        <w:top w:val="none" w:sz="0" w:space="0" w:color="auto"/>
        <w:left w:val="none" w:sz="0" w:space="0" w:color="auto"/>
        <w:bottom w:val="none" w:sz="0" w:space="0" w:color="auto"/>
        <w:right w:val="none" w:sz="0" w:space="0" w:color="auto"/>
      </w:divBdr>
    </w:div>
    <w:div w:id="146484837">
      <w:marLeft w:val="0"/>
      <w:marRight w:val="0"/>
      <w:marTop w:val="0"/>
      <w:marBottom w:val="0"/>
      <w:divBdr>
        <w:top w:val="none" w:sz="0" w:space="0" w:color="auto"/>
        <w:left w:val="none" w:sz="0" w:space="0" w:color="auto"/>
        <w:bottom w:val="none" w:sz="0" w:space="0" w:color="auto"/>
        <w:right w:val="none" w:sz="0" w:space="0" w:color="auto"/>
      </w:divBdr>
    </w:div>
    <w:div w:id="149635899">
      <w:marLeft w:val="0"/>
      <w:marRight w:val="0"/>
      <w:marTop w:val="0"/>
      <w:marBottom w:val="0"/>
      <w:divBdr>
        <w:top w:val="none" w:sz="0" w:space="0" w:color="auto"/>
        <w:left w:val="none" w:sz="0" w:space="0" w:color="auto"/>
        <w:bottom w:val="none" w:sz="0" w:space="0" w:color="auto"/>
        <w:right w:val="none" w:sz="0" w:space="0" w:color="auto"/>
      </w:divBdr>
    </w:div>
    <w:div w:id="153229087">
      <w:marLeft w:val="0"/>
      <w:marRight w:val="0"/>
      <w:marTop w:val="60"/>
      <w:marBottom w:val="60"/>
      <w:divBdr>
        <w:top w:val="none" w:sz="0" w:space="0" w:color="auto"/>
        <w:left w:val="none" w:sz="0" w:space="0" w:color="auto"/>
        <w:bottom w:val="none" w:sz="0" w:space="0" w:color="auto"/>
        <w:right w:val="none" w:sz="0" w:space="0" w:color="auto"/>
      </w:divBdr>
    </w:div>
    <w:div w:id="154340338">
      <w:marLeft w:val="0"/>
      <w:marRight w:val="0"/>
      <w:marTop w:val="180"/>
      <w:marBottom w:val="180"/>
      <w:divBdr>
        <w:top w:val="none" w:sz="0" w:space="0" w:color="auto"/>
        <w:left w:val="none" w:sz="0" w:space="0" w:color="auto"/>
        <w:bottom w:val="none" w:sz="0" w:space="0" w:color="auto"/>
        <w:right w:val="none" w:sz="0" w:space="0" w:color="auto"/>
      </w:divBdr>
    </w:div>
    <w:div w:id="155268853">
      <w:marLeft w:val="0"/>
      <w:marRight w:val="0"/>
      <w:marTop w:val="120"/>
      <w:marBottom w:val="180"/>
      <w:divBdr>
        <w:top w:val="none" w:sz="0" w:space="0" w:color="auto"/>
        <w:left w:val="none" w:sz="0" w:space="0" w:color="auto"/>
        <w:bottom w:val="none" w:sz="0" w:space="0" w:color="auto"/>
        <w:right w:val="none" w:sz="0" w:space="0" w:color="auto"/>
      </w:divBdr>
    </w:div>
    <w:div w:id="156922942">
      <w:marLeft w:val="0"/>
      <w:marRight w:val="0"/>
      <w:marTop w:val="0"/>
      <w:marBottom w:val="0"/>
      <w:divBdr>
        <w:top w:val="none" w:sz="0" w:space="0" w:color="auto"/>
        <w:left w:val="none" w:sz="0" w:space="0" w:color="auto"/>
        <w:bottom w:val="none" w:sz="0" w:space="0" w:color="auto"/>
        <w:right w:val="none" w:sz="0" w:space="0" w:color="auto"/>
      </w:divBdr>
    </w:div>
    <w:div w:id="158429518">
      <w:marLeft w:val="0"/>
      <w:marRight w:val="0"/>
      <w:marTop w:val="180"/>
      <w:marBottom w:val="180"/>
      <w:divBdr>
        <w:top w:val="none" w:sz="0" w:space="0" w:color="auto"/>
        <w:left w:val="none" w:sz="0" w:space="0" w:color="auto"/>
        <w:bottom w:val="none" w:sz="0" w:space="0" w:color="auto"/>
        <w:right w:val="none" w:sz="0" w:space="0" w:color="auto"/>
      </w:divBdr>
    </w:div>
    <w:div w:id="160505600">
      <w:marLeft w:val="0"/>
      <w:marRight w:val="0"/>
      <w:marTop w:val="180"/>
      <w:marBottom w:val="180"/>
      <w:divBdr>
        <w:top w:val="none" w:sz="0" w:space="0" w:color="auto"/>
        <w:left w:val="none" w:sz="0" w:space="0" w:color="auto"/>
        <w:bottom w:val="none" w:sz="0" w:space="0" w:color="auto"/>
        <w:right w:val="none" w:sz="0" w:space="0" w:color="auto"/>
      </w:divBdr>
    </w:div>
    <w:div w:id="160514709">
      <w:marLeft w:val="0"/>
      <w:marRight w:val="0"/>
      <w:marTop w:val="0"/>
      <w:marBottom w:val="0"/>
      <w:divBdr>
        <w:top w:val="none" w:sz="0" w:space="0" w:color="auto"/>
        <w:left w:val="none" w:sz="0" w:space="0" w:color="auto"/>
        <w:bottom w:val="none" w:sz="0" w:space="0" w:color="auto"/>
        <w:right w:val="none" w:sz="0" w:space="0" w:color="auto"/>
      </w:divBdr>
      <w:divsChild>
        <w:div w:id="2123845057">
          <w:marLeft w:val="0"/>
          <w:marRight w:val="0"/>
          <w:marTop w:val="60"/>
          <w:marBottom w:val="180"/>
          <w:divBdr>
            <w:top w:val="none" w:sz="0" w:space="0" w:color="auto"/>
            <w:left w:val="none" w:sz="0" w:space="0" w:color="auto"/>
            <w:bottom w:val="none" w:sz="0" w:space="0" w:color="auto"/>
            <w:right w:val="none" w:sz="0" w:space="0" w:color="auto"/>
          </w:divBdr>
        </w:div>
      </w:divsChild>
    </w:div>
    <w:div w:id="162011648">
      <w:marLeft w:val="0"/>
      <w:marRight w:val="0"/>
      <w:marTop w:val="0"/>
      <w:marBottom w:val="0"/>
      <w:divBdr>
        <w:top w:val="none" w:sz="0" w:space="0" w:color="auto"/>
        <w:left w:val="none" w:sz="0" w:space="0" w:color="auto"/>
        <w:bottom w:val="none" w:sz="0" w:space="0" w:color="auto"/>
        <w:right w:val="none" w:sz="0" w:space="0" w:color="auto"/>
      </w:divBdr>
      <w:divsChild>
        <w:div w:id="351958421">
          <w:marLeft w:val="0"/>
          <w:marRight w:val="0"/>
          <w:marTop w:val="0"/>
          <w:marBottom w:val="0"/>
          <w:divBdr>
            <w:top w:val="none" w:sz="0" w:space="0" w:color="auto"/>
            <w:left w:val="none" w:sz="0" w:space="0" w:color="auto"/>
            <w:bottom w:val="none" w:sz="0" w:space="0" w:color="auto"/>
            <w:right w:val="none" w:sz="0" w:space="0" w:color="auto"/>
          </w:divBdr>
          <w:divsChild>
            <w:div w:id="18580394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418677">
      <w:marLeft w:val="0"/>
      <w:marRight w:val="0"/>
      <w:marTop w:val="180"/>
      <w:marBottom w:val="180"/>
      <w:divBdr>
        <w:top w:val="none" w:sz="0" w:space="0" w:color="auto"/>
        <w:left w:val="none" w:sz="0" w:space="0" w:color="auto"/>
        <w:bottom w:val="none" w:sz="0" w:space="0" w:color="auto"/>
        <w:right w:val="none" w:sz="0" w:space="0" w:color="auto"/>
      </w:divBdr>
    </w:div>
    <w:div w:id="170070998">
      <w:marLeft w:val="0"/>
      <w:marRight w:val="0"/>
      <w:marTop w:val="180"/>
      <w:marBottom w:val="180"/>
      <w:divBdr>
        <w:top w:val="none" w:sz="0" w:space="0" w:color="auto"/>
        <w:left w:val="none" w:sz="0" w:space="0" w:color="auto"/>
        <w:bottom w:val="none" w:sz="0" w:space="0" w:color="auto"/>
        <w:right w:val="none" w:sz="0" w:space="0" w:color="auto"/>
      </w:divBdr>
    </w:div>
    <w:div w:id="170607824">
      <w:marLeft w:val="0"/>
      <w:marRight w:val="0"/>
      <w:marTop w:val="60"/>
      <w:marBottom w:val="60"/>
      <w:divBdr>
        <w:top w:val="none" w:sz="0" w:space="0" w:color="auto"/>
        <w:left w:val="none" w:sz="0" w:space="0" w:color="auto"/>
        <w:bottom w:val="none" w:sz="0" w:space="0" w:color="auto"/>
        <w:right w:val="none" w:sz="0" w:space="0" w:color="auto"/>
      </w:divBdr>
    </w:div>
    <w:div w:id="175315331">
      <w:marLeft w:val="0"/>
      <w:marRight w:val="0"/>
      <w:marTop w:val="180"/>
      <w:marBottom w:val="180"/>
      <w:divBdr>
        <w:top w:val="none" w:sz="0" w:space="0" w:color="auto"/>
        <w:left w:val="none" w:sz="0" w:space="0" w:color="auto"/>
        <w:bottom w:val="none" w:sz="0" w:space="0" w:color="auto"/>
        <w:right w:val="none" w:sz="0" w:space="0" w:color="auto"/>
      </w:divBdr>
    </w:div>
    <w:div w:id="175845448">
      <w:marLeft w:val="0"/>
      <w:marRight w:val="0"/>
      <w:marTop w:val="180"/>
      <w:marBottom w:val="180"/>
      <w:divBdr>
        <w:top w:val="none" w:sz="0" w:space="0" w:color="auto"/>
        <w:left w:val="none" w:sz="0" w:space="0" w:color="auto"/>
        <w:bottom w:val="none" w:sz="0" w:space="0" w:color="auto"/>
        <w:right w:val="none" w:sz="0" w:space="0" w:color="auto"/>
      </w:divBdr>
    </w:div>
    <w:div w:id="176041997">
      <w:marLeft w:val="0"/>
      <w:marRight w:val="0"/>
      <w:marTop w:val="180"/>
      <w:marBottom w:val="180"/>
      <w:divBdr>
        <w:top w:val="none" w:sz="0" w:space="0" w:color="auto"/>
        <w:left w:val="none" w:sz="0" w:space="0" w:color="auto"/>
        <w:bottom w:val="none" w:sz="0" w:space="0" w:color="auto"/>
        <w:right w:val="none" w:sz="0" w:space="0" w:color="auto"/>
      </w:divBdr>
    </w:div>
    <w:div w:id="177431327">
      <w:marLeft w:val="0"/>
      <w:marRight w:val="0"/>
      <w:marTop w:val="120"/>
      <w:marBottom w:val="120"/>
      <w:divBdr>
        <w:top w:val="none" w:sz="0" w:space="0" w:color="auto"/>
        <w:left w:val="none" w:sz="0" w:space="0" w:color="auto"/>
        <w:bottom w:val="none" w:sz="0" w:space="0" w:color="auto"/>
        <w:right w:val="none" w:sz="0" w:space="0" w:color="auto"/>
      </w:divBdr>
    </w:div>
    <w:div w:id="179896394">
      <w:marLeft w:val="0"/>
      <w:marRight w:val="0"/>
      <w:marTop w:val="60"/>
      <w:marBottom w:val="60"/>
      <w:divBdr>
        <w:top w:val="none" w:sz="0" w:space="0" w:color="auto"/>
        <w:left w:val="none" w:sz="0" w:space="0" w:color="auto"/>
        <w:bottom w:val="none" w:sz="0" w:space="0" w:color="auto"/>
        <w:right w:val="none" w:sz="0" w:space="0" w:color="auto"/>
      </w:divBdr>
    </w:div>
    <w:div w:id="180823194">
      <w:marLeft w:val="0"/>
      <w:marRight w:val="0"/>
      <w:marTop w:val="60"/>
      <w:marBottom w:val="60"/>
      <w:divBdr>
        <w:top w:val="none" w:sz="0" w:space="0" w:color="auto"/>
        <w:left w:val="none" w:sz="0" w:space="0" w:color="auto"/>
        <w:bottom w:val="none" w:sz="0" w:space="0" w:color="auto"/>
        <w:right w:val="none" w:sz="0" w:space="0" w:color="auto"/>
      </w:divBdr>
    </w:div>
    <w:div w:id="181478593">
      <w:marLeft w:val="0"/>
      <w:marRight w:val="0"/>
      <w:marTop w:val="60"/>
      <w:marBottom w:val="60"/>
      <w:divBdr>
        <w:top w:val="none" w:sz="0" w:space="0" w:color="auto"/>
        <w:left w:val="none" w:sz="0" w:space="0" w:color="auto"/>
        <w:bottom w:val="none" w:sz="0" w:space="0" w:color="auto"/>
        <w:right w:val="none" w:sz="0" w:space="0" w:color="auto"/>
      </w:divBdr>
    </w:div>
    <w:div w:id="181869712">
      <w:marLeft w:val="0"/>
      <w:marRight w:val="0"/>
      <w:marTop w:val="0"/>
      <w:marBottom w:val="0"/>
      <w:divBdr>
        <w:top w:val="none" w:sz="0" w:space="0" w:color="auto"/>
        <w:left w:val="none" w:sz="0" w:space="0" w:color="auto"/>
        <w:bottom w:val="none" w:sz="0" w:space="0" w:color="auto"/>
        <w:right w:val="none" w:sz="0" w:space="0" w:color="auto"/>
      </w:divBdr>
      <w:divsChild>
        <w:div w:id="917902671">
          <w:marLeft w:val="0"/>
          <w:marRight w:val="0"/>
          <w:marTop w:val="0"/>
          <w:marBottom w:val="0"/>
          <w:divBdr>
            <w:top w:val="none" w:sz="0" w:space="0" w:color="auto"/>
            <w:left w:val="none" w:sz="0" w:space="0" w:color="auto"/>
            <w:bottom w:val="none" w:sz="0" w:space="0" w:color="auto"/>
            <w:right w:val="none" w:sz="0" w:space="0" w:color="auto"/>
          </w:divBdr>
          <w:divsChild>
            <w:div w:id="18368746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149186">
      <w:marLeft w:val="0"/>
      <w:marRight w:val="0"/>
      <w:marTop w:val="60"/>
      <w:marBottom w:val="60"/>
      <w:divBdr>
        <w:top w:val="none" w:sz="0" w:space="0" w:color="auto"/>
        <w:left w:val="none" w:sz="0" w:space="0" w:color="auto"/>
        <w:bottom w:val="none" w:sz="0" w:space="0" w:color="auto"/>
        <w:right w:val="none" w:sz="0" w:space="0" w:color="auto"/>
      </w:divBdr>
      <w:divsChild>
        <w:div w:id="686057190">
          <w:marLeft w:val="0"/>
          <w:marRight w:val="0"/>
          <w:marTop w:val="0"/>
          <w:marBottom w:val="0"/>
          <w:divBdr>
            <w:top w:val="none" w:sz="0" w:space="0" w:color="auto"/>
            <w:left w:val="none" w:sz="0" w:space="0" w:color="auto"/>
            <w:bottom w:val="none" w:sz="0" w:space="0" w:color="auto"/>
            <w:right w:val="none" w:sz="0" w:space="0" w:color="auto"/>
          </w:divBdr>
        </w:div>
        <w:div w:id="731536414">
          <w:marLeft w:val="0"/>
          <w:marRight w:val="0"/>
          <w:marTop w:val="0"/>
          <w:marBottom w:val="0"/>
          <w:divBdr>
            <w:top w:val="none" w:sz="0" w:space="0" w:color="auto"/>
            <w:left w:val="none" w:sz="0" w:space="0" w:color="auto"/>
            <w:bottom w:val="none" w:sz="0" w:space="0" w:color="auto"/>
            <w:right w:val="none" w:sz="0" w:space="0" w:color="auto"/>
          </w:divBdr>
        </w:div>
      </w:divsChild>
    </w:div>
    <w:div w:id="193808350">
      <w:marLeft w:val="0"/>
      <w:marRight w:val="0"/>
      <w:marTop w:val="60"/>
      <w:marBottom w:val="60"/>
      <w:divBdr>
        <w:top w:val="none" w:sz="0" w:space="0" w:color="auto"/>
        <w:left w:val="none" w:sz="0" w:space="0" w:color="auto"/>
        <w:bottom w:val="none" w:sz="0" w:space="0" w:color="auto"/>
        <w:right w:val="none" w:sz="0" w:space="0" w:color="auto"/>
      </w:divBdr>
    </w:div>
    <w:div w:id="193814393">
      <w:marLeft w:val="0"/>
      <w:marRight w:val="0"/>
      <w:marTop w:val="0"/>
      <w:marBottom w:val="0"/>
      <w:divBdr>
        <w:top w:val="none" w:sz="0" w:space="0" w:color="auto"/>
        <w:left w:val="none" w:sz="0" w:space="0" w:color="auto"/>
        <w:bottom w:val="none" w:sz="0" w:space="0" w:color="auto"/>
        <w:right w:val="none" w:sz="0" w:space="0" w:color="auto"/>
      </w:divBdr>
      <w:divsChild>
        <w:div w:id="1098791386">
          <w:marLeft w:val="0"/>
          <w:marRight w:val="0"/>
          <w:marTop w:val="60"/>
          <w:marBottom w:val="180"/>
          <w:divBdr>
            <w:top w:val="none" w:sz="0" w:space="0" w:color="auto"/>
            <w:left w:val="none" w:sz="0" w:space="0" w:color="auto"/>
            <w:bottom w:val="none" w:sz="0" w:space="0" w:color="auto"/>
            <w:right w:val="none" w:sz="0" w:space="0" w:color="auto"/>
          </w:divBdr>
        </w:div>
      </w:divsChild>
    </w:div>
    <w:div w:id="199979724">
      <w:marLeft w:val="0"/>
      <w:marRight w:val="0"/>
      <w:marTop w:val="180"/>
      <w:marBottom w:val="180"/>
      <w:divBdr>
        <w:top w:val="none" w:sz="0" w:space="0" w:color="auto"/>
        <w:left w:val="none" w:sz="0" w:space="0" w:color="auto"/>
        <w:bottom w:val="none" w:sz="0" w:space="0" w:color="auto"/>
        <w:right w:val="none" w:sz="0" w:space="0" w:color="auto"/>
      </w:divBdr>
    </w:div>
    <w:div w:id="203712127">
      <w:marLeft w:val="0"/>
      <w:marRight w:val="0"/>
      <w:marTop w:val="60"/>
      <w:marBottom w:val="60"/>
      <w:divBdr>
        <w:top w:val="none" w:sz="0" w:space="0" w:color="auto"/>
        <w:left w:val="none" w:sz="0" w:space="0" w:color="auto"/>
        <w:bottom w:val="none" w:sz="0" w:space="0" w:color="auto"/>
        <w:right w:val="none" w:sz="0" w:space="0" w:color="auto"/>
      </w:divBdr>
    </w:div>
    <w:div w:id="205605392">
      <w:marLeft w:val="0"/>
      <w:marRight w:val="0"/>
      <w:marTop w:val="180"/>
      <w:marBottom w:val="180"/>
      <w:divBdr>
        <w:top w:val="none" w:sz="0" w:space="0" w:color="auto"/>
        <w:left w:val="none" w:sz="0" w:space="0" w:color="auto"/>
        <w:bottom w:val="none" w:sz="0" w:space="0" w:color="auto"/>
        <w:right w:val="none" w:sz="0" w:space="0" w:color="auto"/>
      </w:divBdr>
    </w:div>
    <w:div w:id="206188700">
      <w:marLeft w:val="0"/>
      <w:marRight w:val="0"/>
      <w:marTop w:val="180"/>
      <w:marBottom w:val="60"/>
      <w:divBdr>
        <w:top w:val="none" w:sz="0" w:space="0" w:color="auto"/>
        <w:left w:val="none" w:sz="0" w:space="0" w:color="auto"/>
        <w:bottom w:val="none" w:sz="0" w:space="0" w:color="auto"/>
        <w:right w:val="none" w:sz="0" w:space="0" w:color="auto"/>
      </w:divBdr>
    </w:div>
    <w:div w:id="206723905">
      <w:marLeft w:val="0"/>
      <w:marRight w:val="0"/>
      <w:marTop w:val="0"/>
      <w:marBottom w:val="0"/>
      <w:divBdr>
        <w:top w:val="none" w:sz="0" w:space="0" w:color="auto"/>
        <w:left w:val="none" w:sz="0" w:space="0" w:color="auto"/>
        <w:bottom w:val="none" w:sz="0" w:space="0" w:color="auto"/>
        <w:right w:val="none" w:sz="0" w:space="0" w:color="auto"/>
      </w:divBdr>
    </w:div>
    <w:div w:id="207030544">
      <w:marLeft w:val="0"/>
      <w:marRight w:val="0"/>
      <w:marTop w:val="60"/>
      <w:marBottom w:val="60"/>
      <w:divBdr>
        <w:top w:val="none" w:sz="0" w:space="0" w:color="auto"/>
        <w:left w:val="none" w:sz="0" w:space="0" w:color="auto"/>
        <w:bottom w:val="none" w:sz="0" w:space="0" w:color="auto"/>
        <w:right w:val="none" w:sz="0" w:space="0" w:color="auto"/>
      </w:divBdr>
    </w:div>
    <w:div w:id="208418078">
      <w:marLeft w:val="0"/>
      <w:marRight w:val="0"/>
      <w:marTop w:val="180"/>
      <w:marBottom w:val="180"/>
      <w:divBdr>
        <w:top w:val="none" w:sz="0" w:space="0" w:color="auto"/>
        <w:left w:val="none" w:sz="0" w:space="0" w:color="auto"/>
        <w:bottom w:val="none" w:sz="0" w:space="0" w:color="auto"/>
        <w:right w:val="none" w:sz="0" w:space="0" w:color="auto"/>
      </w:divBdr>
    </w:div>
    <w:div w:id="208685061">
      <w:marLeft w:val="0"/>
      <w:marRight w:val="0"/>
      <w:marTop w:val="180"/>
      <w:marBottom w:val="60"/>
      <w:divBdr>
        <w:top w:val="none" w:sz="0" w:space="0" w:color="auto"/>
        <w:left w:val="none" w:sz="0" w:space="0" w:color="auto"/>
        <w:bottom w:val="none" w:sz="0" w:space="0" w:color="auto"/>
        <w:right w:val="none" w:sz="0" w:space="0" w:color="auto"/>
      </w:divBdr>
    </w:div>
    <w:div w:id="208961004">
      <w:marLeft w:val="0"/>
      <w:marRight w:val="0"/>
      <w:marTop w:val="180"/>
      <w:marBottom w:val="180"/>
      <w:divBdr>
        <w:top w:val="none" w:sz="0" w:space="0" w:color="auto"/>
        <w:left w:val="none" w:sz="0" w:space="0" w:color="auto"/>
        <w:bottom w:val="none" w:sz="0" w:space="0" w:color="auto"/>
        <w:right w:val="none" w:sz="0" w:space="0" w:color="auto"/>
      </w:divBdr>
    </w:div>
    <w:div w:id="211695352">
      <w:marLeft w:val="0"/>
      <w:marRight w:val="0"/>
      <w:marTop w:val="100"/>
      <w:marBottom w:val="0"/>
      <w:divBdr>
        <w:top w:val="none" w:sz="0" w:space="0" w:color="auto"/>
        <w:left w:val="none" w:sz="0" w:space="0" w:color="auto"/>
        <w:bottom w:val="none" w:sz="0" w:space="0" w:color="auto"/>
        <w:right w:val="none" w:sz="0" w:space="0" w:color="auto"/>
      </w:divBdr>
      <w:divsChild>
        <w:div w:id="1187065232">
          <w:marLeft w:val="0"/>
          <w:marRight w:val="0"/>
          <w:marTop w:val="0"/>
          <w:marBottom w:val="0"/>
          <w:divBdr>
            <w:top w:val="none" w:sz="0" w:space="0" w:color="auto"/>
            <w:left w:val="none" w:sz="0" w:space="0" w:color="auto"/>
            <w:bottom w:val="none" w:sz="0" w:space="0" w:color="auto"/>
            <w:right w:val="none" w:sz="0" w:space="0" w:color="auto"/>
          </w:divBdr>
        </w:div>
      </w:divsChild>
    </w:div>
    <w:div w:id="211770520">
      <w:marLeft w:val="0"/>
      <w:marRight w:val="0"/>
      <w:marTop w:val="180"/>
      <w:marBottom w:val="180"/>
      <w:divBdr>
        <w:top w:val="none" w:sz="0" w:space="0" w:color="auto"/>
        <w:left w:val="none" w:sz="0" w:space="0" w:color="auto"/>
        <w:bottom w:val="none" w:sz="0" w:space="0" w:color="auto"/>
        <w:right w:val="none" w:sz="0" w:space="0" w:color="auto"/>
      </w:divBdr>
    </w:div>
    <w:div w:id="215972094">
      <w:marLeft w:val="0"/>
      <w:marRight w:val="0"/>
      <w:marTop w:val="120"/>
      <w:marBottom w:val="180"/>
      <w:divBdr>
        <w:top w:val="none" w:sz="0" w:space="0" w:color="auto"/>
        <w:left w:val="none" w:sz="0" w:space="0" w:color="auto"/>
        <w:bottom w:val="none" w:sz="0" w:space="0" w:color="auto"/>
        <w:right w:val="none" w:sz="0" w:space="0" w:color="auto"/>
      </w:divBdr>
    </w:div>
    <w:div w:id="216012160">
      <w:marLeft w:val="0"/>
      <w:marRight w:val="0"/>
      <w:marTop w:val="180"/>
      <w:marBottom w:val="180"/>
      <w:divBdr>
        <w:top w:val="none" w:sz="0" w:space="0" w:color="auto"/>
        <w:left w:val="none" w:sz="0" w:space="0" w:color="auto"/>
        <w:bottom w:val="none" w:sz="0" w:space="0" w:color="auto"/>
        <w:right w:val="none" w:sz="0" w:space="0" w:color="auto"/>
      </w:divBdr>
    </w:div>
    <w:div w:id="216092165">
      <w:marLeft w:val="0"/>
      <w:marRight w:val="0"/>
      <w:marTop w:val="180"/>
      <w:marBottom w:val="180"/>
      <w:divBdr>
        <w:top w:val="none" w:sz="0" w:space="0" w:color="auto"/>
        <w:left w:val="none" w:sz="0" w:space="0" w:color="auto"/>
        <w:bottom w:val="none" w:sz="0" w:space="0" w:color="auto"/>
        <w:right w:val="none" w:sz="0" w:space="0" w:color="auto"/>
      </w:divBdr>
    </w:div>
    <w:div w:id="216283504">
      <w:marLeft w:val="0"/>
      <w:marRight w:val="0"/>
      <w:marTop w:val="180"/>
      <w:marBottom w:val="180"/>
      <w:divBdr>
        <w:top w:val="none" w:sz="0" w:space="0" w:color="auto"/>
        <w:left w:val="none" w:sz="0" w:space="0" w:color="auto"/>
        <w:bottom w:val="none" w:sz="0" w:space="0" w:color="auto"/>
        <w:right w:val="none" w:sz="0" w:space="0" w:color="auto"/>
      </w:divBdr>
    </w:div>
    <w:div w:id="216943193">
      <w:marLeft w:val="0"/>
      <w:marRight w:val="0"/>
      <w:marTop w:val="60"/>
      <w:marBottom w:val="60"/>
      <w:divBdr>
        <w:top w:val="none" w:sz="0" w:space="0" w:color="auto"/>
        <w:left w:val="none" w:sz="0" w:space="0" w:color="auto"/>
        <w:bottom w:val="none" w:sz="0" w:space="0" w:color="auto"/>
        <w:right w:val="none" w:sz="0" w:space="0" w:color="auto"/>
      </w:divBdr>
    </w:div>
    <w:div w:id="217128438">
      <w:marLeft w:val="0"/>
      <w:marRight w:val="0"/>
      <w:marTop w:val="180"/>
      <w:marBottom w:val="180"/>
      <w:divBdr>
        <w:top w:val="none" w:sz="0" w:space="0" w:color="auto"/>
        <w:left w:val="none" w:sz="0" w:space="0" w:color="auto"/>
        <w:bottom w:val="none" w:sz="0" w:space="0" w:color="auto"/>
        <w:right w:val="none" w:sz="0" w:space="0" w:color="auto"/>
      </w:divBdr>
    </w:div>
    <w:div w:id="217404966">
      <w:marLeft w:val="0"/>
      <w:marRight w:val="0"/>
      <w:marTop w:val="0"/>
      <w:marBottom w:val="0"/>
      <w:divBdr>
        <w:top w:val="none" w:sz="0" w:space="0" w:color="auto"/>
        <w:left w:val="none" w:sz="0" w:space="0" w:color="auto"/>
        <w:bottom w:val="none" w:sz="0" w:space="0" w:color="auto"/>
        <w:right w:val="none" w:sz="0" w:space="0" w:color="auto"/>
      </w:divBdr>
    </w:div>
    <w:div w:id="217864821">
      <w:marLeft w:val="0"/>
      <w:marRight w:val="0"/>
      <w:marTop w:val="180"/>
      <w:marBottom w:val="180"/>
      <w:divBdr>
        <w:top w:val="none" w:sz="0" w:space="0" w:color="auto"/>
        <w:left w:val="none" w:sz="0" w:space="0" w:color="auto"/>
        <w:bottom w:val="none" w:sz="0" w:space="0" w:color="auto"/>
        <w:right w:val="none" w:sz="0" w:space="0" w:color="auto"/>
      </w:divBdr>
    </w:div>
    <w:div w:id="219022227">
      <w:marLeft w:val="0"/>
      <w:marRight w:val="0"/>
      <w:marTop w:val="60"/>
      <w:marBottom w:val="60"/>
      <w:divBdr>
        <w:top w:val="none" w:sz="0" w:space="0" w:color="auto"/>
        <w:left w:val="none" w:sz="0" w:space="0" w:color="auto"/>
        <w:bottom w:val="none" w:sz="0" w:space="0" w:color="auto"/>
        <w:right w:val="none" w:sz="0" w:space="0" w:color="auto"/>
      </w:divBdr>
    </w:div>
    <w:div w:id="219831193">
      <w:marLeft w:val="0"/>
      <w:marRight w:val="0"/>
      <w:marTop w:val="0"/>
      <w:marBottom w:val="180"/>
      <w:divBdr>
        <w:top w:val="none" w:sz="0" w:space="0" w:color="auto"/>
        <w:left w:val="none" w:sz="0" w:space="0" w:color="auto"/>
        <w:bottom w:val="none" w:sz="0" w:space="0" w:color="auto"/>
        <w:right w:val="none" w:sz="0" w:space="0" w:color="auto"/>
      </w:divBdr>
    </w:div>
    <w:div w:id="220024976">
      <w:marLeft w:val="0"/>
      <w:marRight w:val="0"/>
      <w:marTop w:val="60"/>
      <w:marBottom w:val="60"/>
      <w:divBdr>
        <w:top w:val="none" w:sz="0" w:space="0" w:color="auto"/>
        <w:left w:val="none" w:sz="0" w:space="0" w:color="auto"/>
        <w:bottom w:val="none" w:sz="0" w:space="0" w:color="auto"/>
        <w:right w:val="none" w:sz="0" w:space="0" w:color="auto"/>
      </w:divBdr>
    </w:div>
    <w:div w:id="220214136">
      <w:marLeft w:val="0"/>
      <w:marRight w:val="0"/>
      <w:marTop w:val="180"/>
      <w:marBottom w:val="180"/>
      <w:divBdr>
        <w:top w:val="none" w:sz="0" w:space="0" w:color="auto"/>
        <w:left w:val="none" w:sz="0" w:space="0" w:color="auto"/>
        <w:bottom w:val="none" w:sz="0" w:space="0" w:color="auto"/>
        <w:right w:val="none" w:sz="0" w:space="0" w:color="auto"/>
      </w:divBdr>
    </w:div>
    <w:div w:id="220599575">
      <w:marLeft w:val="0"/>
      <w:marRight w:val="0"/>
      <w:marTop w:val="180"/>
      <w:marBottom w:val="180"/>
      <w:divBdr>
        <w:top w:val="none" w:sz="0" w:space="0" w:color="auto"/>
        <w:left w:val="none" w:sz="0" w:space="0" w:color="auto"/>
        <w:bottom w:val="none" w:sz="0" w:space="0" w:color="auto"/>
        <w:right w:val="none" w:sz="0" w:space="0" w:color="auto"/>
      </w:divBdr>
    </w:div>
    <w:div w:id="220990864">
      <w:marLeft w:val="0"/>
      <w:marRight w:val="0"/>
      <w:marTop w:val="180"/>
      <w:marBottom w:val="180"/>
      <w:divBdr>
        <w:top w:val="none" w:sz="0" w:space="0" w:color="auto"/>
        <w:left w:val="none" w:sz="0" w:space="0" w:color="auto"/>
        <w:bottom w:val="none" w:sz="0" w:space="0" w:color="auto"/>
        <w:right w:val="none" w:sz="0" w:space="0" w:color="auto"/>
      </w:divBdr>
    </w:div>
    <w:div w:id="221215356">
      <w:marLeft w:val="0"/>
      <w:marRight w:val="0"/>
      <w:marTop w:val="180"/>
      <w:marBottom w:val="180"/>
      <w:divBdr>
        <w:top w:val="none" w:sz="0" w:space="0" w:color="auto"/>
        <w:left w:val="none" w:sz="0" w:space="0" w:color="auto"/>
        <w:bottom w:val="none" w:sz="0" w:space="0" w:color="auto"/>
        <w:right w:val="none" w:sz="0" w:space="0" w:color="auto"/>
      </w:divBdr>
    </w:div>
    <w:div w:id="221791373">
      <w:marLeft w:val="0"/>
      <w:marRight w:val="0"/>
      <w:marTop w:val="60"/>
      <w:marBottom w:val="60"/>
      <w:divBdr>
        <w:top w:val="none" w:sz="0" w:space="0" w:color="auto"/>
        <w:left w:val="none" w:sz="0" w:space="0" w:color="auto"/>
        <w:bottom w:val="none" w:sz="0" w:space="0" w:color="auto"/>
        <w:right w:val="none" w:sz="0" w:space="0" w:color="auto"/>
      </w:divBdr>
    </w:div>
    <w:div w:id="223950155">
      <w:marLeft w:val="0"/>
      <w:marRight w:val="0"/>
      <w:marTop w:val="180"/>
      <w:marBottom w:val="180"/>
      <w:divBdr>
        <w:top w:val="none" w:sz="0" w:space="0" w:color="auto"/>
        <w:left w:val="none" w:sz="0" w:space="0" w:color="auto"/>
        <w:bottom w:val="none" w:sz="0" w:space="0" w:color="auto"/>
        <w:right w:val="none" w:sz="0" w:space="0" w:color="auto"/>
      </w:divBdr>
    </w:div>
    <w:div w:id="224151251">
      <w:marLeft w:val="0"/>
      <w:marRight w:val="0"/>
      <w:marTop w:val="60"/>
      <w:marBottom w:val="60"/>
      <w:divBdr>
        <w:top w:val="none" w:sz="0" w:space="0" w:color="auto"/>
        <w:left w:val="none" w:sz="0" w:space="0" w:color="auto"/>
        <w:bottom w:val="none" w:sz="0" w:space="0" w:color="auto"/>
        <w:right w:val="none" w:sz="0" w:space="0" w:color="auto"/>
      </w:divBdr>
    </w:div>
    <w:div w:id="226380872">
      <w:marLeft w:val="0"/>
      <w:marRight w:val="0"/>
      <w:marTop w:val="180"/>
      <w:marBottom w:val="180"/>
      <w:divBdr>
        <w:top w:val="none" w:sz="0" w:space="0" w:color="auto"/>
        <w:left w:val="none" w:sz="0" w:space="0" w:color="auto"/>
        <w:bottom w:val="none" w:sz="0" w:space="0" w:color="auto"/>
        <w:right w:val="none" w:sz="0" w:space="0" w:color="auto"/>
      </w:divBdr>
    </w:div>
    <w:div w:id="228735042">
      <w:marLeft w:val="0"/>
      <w:marRight w:val="0"/>
      <w:marTop w:val="60"/>
      <w:marBottom w:val="60"/>
      <w:divBdr>
        <w:top w:val="none" w:sz="0" w:space="0" w:color="auto"/>
        <w:left w:val="none" w:sz="0" w:space="0" w:color="auto"/>
        <w:bottom w:val="none" w:sz="0" w:space="0" w:color="auto"/>
        <w:right w:val="none" w:sz="0" w:space="0" w:color="auto"/>
      </w:divBdr>
    </w:div>
    <w:div w:id="229584805">
      <w:marLeft w:val="0"/>
      <w:marRight w:val="0"/>
      <w:marTop w:val="180"/>
      <w:marBottom w:val="180"/>
      <w:divBdr>
        <w:top w:val="none" w:sz="0" w:space="0" w:color="auto"/>
        <w:left w:val="none" w:sz="0" w:space="0" w:color="auto"/>
        <w:bottom w:val="none" w:sz="0" w:space="0" w:color="auto"/>
        <w:right w:val="none" w:sz="0" w:space="0" w:color="auto"/>
      </w:divBdr>
    </w:div>
    <w:div w:id="231164854">
      <w:marLeft w:val="0"/>
      <w:marRight w:val="0"/>
      <w:marTop w:val="0"/>
      <w:marBottom w:val="0"/>
      <w:divBdr>
        <w:top w:val="none" w:sz="0" w:space="0" w:color="auto"/>
        <w:left w:val="none" w:sz="0" w:space="0" w:color="auto"/>
        <w:bottom w:val="none" w:sz="0" w:space="0" w:color="auto"/>
        <w:right w:val="none" w:sz="0" w:space="0" w:color="auto"/>
      </w:divBdr>
    </w:div>
    <w:div w:id="232472207">
      <w:marLeft w:val="0"/>
      <w:marRight w:val="0"/>
      <w:marTop w:val="180"/>
      <w:marBottom w:val="180"/>
      <w:divBdr>
        <w:top w:val="none" w:sz="0" w:space="0" w:color="auto"/>
        <w:left w:val="none" w:sz="0" w:space="0" w:color="auto"/>
        <w:bottom w:val="none" w:sz="0" w:space="0" w:color="auto"/>
        <w:right w:val="none" w:sz="0" w:space="0" w:color="auto"/>
      </w:divBdr>
    </w:div>
    <w:div w:id="233585187">
      <w:marLeft w:val="0"/>
      <w:marRight w:val="0"/>
      <w:marTop w:val="180"/>
      <w:marBottom w:val="180"/>
      <w:divBdr>
        <w:top w:val="none" w:sz="0" w:space="0" w:color="auto"/>
        <w:left w:val="none" w:sz="0" w:space="0" w:color="auto"/>
        <w:bottom w:val="none" w:sz="0" w:space="0" w:color="auto"/>
        <w:right w:val="none" w:sz="0" w:space="0" w:color="auto"/>
      </w:divBdr>
    </w:div>
    <w:div w:id="234363908">
      <w:marLeft w:val="0"/>
      <w:marRight w:val="0"/>
      <w:marTop w:val="180"/>
      <w:marBottom w:val="180"/>
      <w:divBdr>
        <w:top w:val="none" w:sz="0" w:space="0" w:color="auto"/>
        <w:left w:val="none" w:sz="0" w:space="0" w:color="auto"/>
        <w:bottom w:val="none" w:sz="0" w:space="0" w:color="auto"/>
        <w:right w:val="none" w:sz="0" w:space="0" w:color="auto"/>
      </w:divBdr>
    </w:div>
    <w:div w:id="235482557">
      <w:marLeft w:val="0"/>
      <w:marRight w:val="0"/>
      <w:marTop w:val="180"/>
      <w:marBottom w:val="180"/>
      <w:divBdr>
        <w:top w:val="none" w:sz="0" w:space="0" w:color="auto"/>
        <w:left w:val="none" w:sz="0" w:space="0" w:color="auto"/>
        <w:bottom w:val="none" w:sz="0" w:space="0" w:color="auto"/>
        <w:right w:val="none" w:sz="0" w:space="0" w:color="auto"/>
      </w:divBdr>
    </w:div>
    <w:div w:id="236520531">
      <w:marLeft w:val="0"/>
      <w:marRight w:val="0"/>
      <w:marTop w:val="60"/>
      <w:marBottom w:val="0"/>
      <w:divBdr>
        <w:top w:val="none" w:sz="0" w:space="0" w:color="auto"/>
        <w:left w:val="none" w:sz="0" w:space="0" w:color="auto"/>
        <w:bottom w:val="none" w:sz="0" w:space="0" w:color="auto"/>
        <w:right w:val="none" w:sz="0" w:space="0" w:color="auto"/>
      </w:divBdr>
    </w:div>
    <w:div w:id="238028191">
      <w:marLeft w:val="0"/>
      <w:marRight w:val="0"/>
      <w:marTop w:val="180"/>
      <w:marBottom w:val="180"/>
      <w:divBdr>
        <w:top w:val="none" w:sz="0" w:space="0" w:color="auto"/>
        <w:left w:val="none" w:sz="0" w:space="0" w:color="auto"/>
        <w:bottom w:val="none" w:sz="0" w:space="0" w:color="auto"/>
        <w:right w:val="none" w:sz="0" w:space="0" w:color="auto"/>
      </w:divBdr>
    </w:div>
    <w:div w:id="240873623">
      <w:marLeft w:val="0"/>
      <w:marRight w:val="0"/>
      <w:marTop w:val="180"/>
      <w:marBottom w:val="180"/>
      <w:divBdr>
        <w:top w:val="none" w:sz="0" w:space="0" w:color="auto"/>
        <w:left w:val="none" w:sz="0" w:space="0" w:color="auto"/>
        <w:bottom w:val="none" w:sz="0" w:space="0" w:color="auto"/>
        <w:right w:val="none" w:sz="0" w:space="0" w:color="auto"/>
      </w:divBdr>
    </w:div>
    <w:div w:id="242885493">
      <w:marLeft w:val="0"/>
      <w:marRight w:val="0"/>
      <w:marTop w:val="60"/>
      <w:marBottom w:val="60"/>
      <w:divBdr>
        <w:top w:val="none" w:sz="0" w:space="0" w:color="auto"/>
        <w:left w:val="none" w:sz="0" w:space="0" w:color="auto"/>
        <w:bottom w:val="none" w:sz="0" w:space="0" w:color="auto"/>
        <w:right w:val="none" w:sz="0" w:space="0" w:color="auto"/>
      </w:divBdr>
    </w:div>
    <w:div w:id="244799089">
      <w:marLeft w:val="0"/>
      <w:marRight w:val="0"/>
      <w:marTop w:val="0"/>
      <w:marBottom w:val="0"/>
      <w:divBdr>
        <w:top w:val="none" w:sz="0" w:space="0" w:color="auto"/>
        <w:left w:val="none" w:sz="0" w:space="0" w:color="auto"/>
        <w:bottom w:val="none" w:sz="0" w:space="0" w:color="auto"/>
        <w:right w:val="none" w:sz="0" w:space="0" w:color="auto"/>
      </w:divBdr>
    </w:div>
    <w:div w:id="247081227">
      <w:marLeft w:val="0"/>
      <w:marRight w:val="0"/>
      <w:marTop w:val="60"/>
      <w:marBottom w:val="60"/>
      <w:divBdr>
        <w:top w:val="none" w:sz="0" w:space="0" w:color="auto"/>
        <w:left w:val="none" w:sz="0" w:space="0" w:color="auto"/>
        <w:bottom w:val="none" w:sz="0" w:space="0" w:color="auto"/>
        <w:right w:val="none" w:sz="0" w:space="0" w:color="auto"/>
      </w:divBdr>
    </w:div>
    <w:div w:id="248462127">
      <w:marLeft w:val="0"/>
      <w:marRight w:val="0"/>
      <w:marTop w:val="0"/>
      <w:marBottom w:val="0"/>
      <w:divBdr>
        <w:top w:val="none" w:sz="0" w:space="0" w:color="auto"/>
        <w:left w:val="none" w:sz="0" w:space="0" w:color="auto"/>
        <w:bottom w:val="none" w:sz="0" w:space="0" w:color="auto"/>
        <w:right w:val="none" w:sz="0" w:space="0" w:color="auto"/>
      </w:divBdr>
      <w:divsChild>
        <w:div w:id="2011565517">
          <w:marLeft w:val="0"/>
          <w:marRight w:val="0"/>
          <w:marTop w:val="60"/>
          <w:marBottom w:val="180"/>
          <w:divBdr>
            <w:top w:val="none" w:sz="0" w:space="0" w:color="auto"/>
            <w:left w:val="none" w:sz="0" w:space="0" w:color="auto"/>
            <w:bottom w:val="none" w:sz="0" w:space="0" w:color="auto"/>
            <w:right w:val="none" w:sz="0" w:space="0" w:color="auto"/>
          </w:divBdr>
        </w:div>
      </w:divsChild>
    </w:div>
    <w:div w:id="252590863">
      <w:marLeft w:val="0"/>
      <w:marRight w:val="0"/>
      <w:marTop w:val="60"/>
      <w:marBottom w:val="60"/>
      <w:divBdr>
        <w:top w:val="none" w:sz="0" w:space="0" w:color="auto"/>
        <w:left w:val="none" w:sz="0" w:space="0" w:color="auto"/>
        <w:bottom w:val="none" w:sz="0" w:space="0" w:color="auto"/>
        <w:right w:val="none" w:sz="0" w:space="0" w:color="auto"/>
      </w:divBdr>
    </w:div>
    <w:div w:id="253246708">
      <w:marLeft w:val="0"/>
      <w:marRight w:val="0"/>
      <w:marTop w:val="180"/>
      <w:marBottom w:val="180"/>
      <w:divBdr>
        <w:top w:val="none" w:sz="0" w:space="0" w:color="auto"/>
        <w:left w:val="none" w:sz="0" w:space="0" w:color="auto"/>
        <w:bottom w:val="none" w:sz="0" w:space="0" w:color="auto"/>
        <w:right w:val="none" w:sz="0" w:space="0" w:color="auto"/>
      </w:divBdr>
    </w:div>
    <w:div w:id="253903723">
      <w:marLeft w:val="0"/>
      <w:marRight w:val="0"/>
      <w:marTop w:val="0"/>
      <w:marBottom w:val="0"/>
      <w:divBdr>
        <w:top w:val="none" w:sz="0" w:space="0" w:color="auto"/>
        <w:left w:val="none" w:sz="0" w:space="0" w:color="auto"/>
        <w:bottom w:val="none" w:sz="0" w:space="0" w:color="auto"/>
        <w:right w:val="none" w:sz="0" w:space="0" w:color="auto"/>
      </w:divBdr>
      <w:divsChild>
        <w:div w:id="422994621">
          <w:marLeft w:val="0"/>
          <w:marRight w:val="0"/>
          <w:marTop w:val="60"/>
          <w:marBottom w:val="180"/>
          <w:divBdr>
            <w:top w:val="none" w:sz="0" w:space="0" w:color="auto"/>
            <w:left w:val="none" w:sz="0" w:space="0" w:color="auto"/>
            <w:bottom w:val="none" w:sz="0" w:space="0" w:color="auto"/>
            <w:right w:val="none" w:sz="0" w:space="0" w:color="auto"/>
          </w:divBdr>
        </w:div>
      </w:divsChild>
    </w:div>
    <w:div w:id="256015013">
      <w:marLeft w:val="0"/>
      <w:marRight w:val="0"/>
      <w:marTop w:val="180"/>
      <w:marBottom w:val="180"/>
      <w:divBdr>
        <w:top w:val="none" w:sz="0" w:space="0" w:color="auto"/>
        <w:left w:val="none" w:sz="0" w:space="0" w:color="auto"/>
        <w:bottom w:val="none" w:sz="0" w:space="0" w:color="auto"/>
        <w:right w:val="none" w:sz="0" w:space="0" w:color="auto"/>
      </w:divBdr>
    </w:div>
    <w:div w:id="256207314">
      <w:marLeft w:val="0"/>
      <w:marRight w:val="0"/>
      <w:marTop w:val="180"/>
      <w:marBottom w:val="180"/>
      <w:divBdr>
        <w:top w:val="none" w:sz="0" w:space="0" w:color="auto"/>
        <w:left w:val="none" w:sz="0" w:space="0" w:color="auto"/>
        <w:bottom w:val="none" w:sz="0" w:space="0" w:color="auto"/>
        <w:right w:val="none" w:sz="0" w:space="0" w:color="auto"/>
      </w:divBdr>
    </w:div>
    <w:div w:id="261111824">
      <w:marLeft w:val="0"/>
      <w:marRight w:val="0"/>
      <w:marTop w:val="180"/>
      <w:marBottom w:val="180"/>
      <w:divBdr>
        <w:top w:val="none" w:sz="0" w:space="0" w:color="auto"/>
        <w:left w:val="none" w:sz="0" w:space="0" w:color="auto"/>
        <w:bottom w:val="none" w:sz="0" w:space="0" w:color="auto"/>
        <w:right w:val="none" w:sz="0" w:space="0" w:color="auto"/>
      </w:divBdr>
    </w:div>
    <w:div w:id="263265426">
      <w:marLeft w:val="0"/>
      <w:marRight w:val="0"/>
      <w:marTop w:val="180"/>
      <w:marBottom w:val="180"/>
      <w:divBdr>
        <w:top w:val="none" w:sz="0" w:space="0" w:color="auto"/>
        <w:left w:val="none" w:sz="0" w:space="0" w:color="auto"/>
        <w:bottom w:val="none" w:sz="0" w:space="0" w:color="auto"/>
        <w:right w:val="none" w:sz="0" w:space="0" w:color="auto"/>
      </w:divBdr>
    </w:div>
    <w:div w:id="263929399">
      <w:marLeft w:val="0"/>
      <w:marRight w:val="0"/>
      <w:marTop w:val="0"/>
      <w:marBottom w:val="0"/>
      <w:divBdr>
        <w:top w:val="none" w:sz="0" w:space="0" w:color="auto"/>
        <w:left w:val="none" w:sz="0" w:space="0" w:color="auto"/>
        <w:bottom w:val="none" w:sz="0" w:space="0" w:color="auto"/>
        <w:right w:val="none" w:sz="0" w:space="0" w:color="auto"/>
      </w:divBdr>
    </w:div>
    <w:div w:id="265115113">
      <w:marLeft w:val="0"/>
      <w:marRight w:val="0"/>
      <w:marTop w:val="180"/>
      <w:marBottom w:val="180"/>
      <w:divBdr>
        <w:top w:val="none" w:sz="0" w:space="0" w:color="auto"/>
        <w:left w:val="none" w:sz="0" w:space="0" w:color="auto"/>
        <w:bottom w:val="none" w:sz="0" w:space="0" w:color="auto"/>
        <w:right w:val="none" w:sz="0" w:space="0" w:color="auto"/>
      </w:divBdr>
    </w:div>
    <w:div w:id="267391700">
      <w:marLeft w:val="0"/>
      <w:marRight w:val="0"/>
      <w:marTop w:val="120"/>
      <w:marBottom w:val="60"/>
      <w:divBdr>
        <w:top w:val="none" w:sz="0" w:space="0" w:color="auto"/>
        <w:left w:val="none" w:sz="0" w:space="0" w:color="auto"/>
        <w:bottom w:val="none" w:sz="0" w:space="0" w:color="auto"/>
        <w:right w:val="none" w:sz="0" w:space="0" w:color="auto"/>
      </w:divBdr>
    </w:div>
    <w:div w:id="268466799">
      <w:marLeft w:val="0"/>
      <w:marRight w:val="0"/>
      <w:marTop w:val="60"/>
      <w:marBottom w:val="60"/>
      <w:divBdr>
        <w:top w:val="none" w:sz="0" w:space="0" w:color="auto"/>
        <w:left w:val="none" w:sz="0" w:space="0" w:color="auto"/>
        <w:bottom w:val="none" w:sz="0" w:space="0" w:color="auto"/>
        <w:right w:val="none" w:sz="0" w:space="0" w:color="auto"/>
      </w:divBdr>
    </w:div>
    <w:div w:id="268977810">
      <w:marLeft w:val="0"/>
      <w:marRight w:val="0"/>
      <w:marTop w:val="0"/>
      <w:marBottom w:val="0"/>
      <w:divBdr>
        <w:top w:val="none" w:sz="0" w:space="0" w:color="auto"/>
        <w:left w:val="none" w:sz="0" w:space="0" w:color="auto"/>
        <w:bottom w:val="none" w:sz="0" w:space="0" w:color="auto"/>
        <w:right w:val="none" w:sz="0" w:space="0" w:color="auto"/>
      </w:divBdr>
      <w:divsChild>
        <w:div w:id="879786486">
          <w:marLeft w:val="0"/>
          <w:marRight w:val="0"/>
          <w:marTop w:val="60"/>
          <w:marBottom w:val="180"/>
          <w:divBdr>
            <w:top w:val="none" w:sz="0" w:space="0" w:color="auto"/>
            <w:left w:val="none" w:sz="0" w:space="0" w:color="auto"/>
            <w:bottom w:val="none" w:sz="0" w:space="0" w:color="auto"/>
            <w:right w:val="none" w:sz="0" w:space="0" w:color="auto"/>
          </w:divBdr>
        </w:div>
      </w:divsChild>
    </w:div>
    <w:div w:id="270553772">
      <w:marLeft w:val="0"/>
      <w:marRight w:val="0"/>
      <w:marTop w:val="0"/>
      <w:marBottom w:val="0"/>
      <w:divBdr>
        <w:top w:val="none" w:sz="0" w:space="0" w:color="auto"/>
        <w:left w:val="none" w:sz="0" w:space="0" w:color="auto"/>
        <w:bottom w:val="none" w:sz="0" w:space="0" w:color="auto"/>
        <w:right w:val="none" w:sz="0" w:space="0" w:color="auto"/>
      </w:divBdr>
      <w:divsChild>
        <w:div w:id="629751332">
          <w:marLeft w:val="0"/>
          <w:marRight w:val="0"/>
          <w:marTop w:val="60"/>
          <w:marBottom w:val="180"/>
          <w:divBdr>
            <w:top w:val="none" w:sz="0" w:space="0" w:color="auto"/>
            <w:left w:val="none" w:sz="0" w:space="0" w:color="auto"/>
            <w:bottom w:val="none" w:sz="0" w:space="0" w:color="auto"/>
            <w:right w:val="none" w:sz="0" w:space="0" w:color="auto"/>
          </w:divBdr>
        </w:div>
      </w:divsChild>
    </w:div>
    <w:div w:id="273482685">
      <w:marLeft w:val="0"/>
      <w:marRight w:val="0"/>
      <w:marTop w:val="180"/>
      <w:marBottom w:val="180"/>
      <w:divBdr>
        <w:top w:val="none" w:sz="0" w:space="0" w:color="auto"/>
        <w:left w:val="none" w:sz="0" w:space="0" w:color="auto"/>
        <w:bottom w:val="none" w:sz="0" w:space="0" w:color="auto"/>
        <w:right w:val="none" w:sz="0" w:space="0" w:color="auto"/>
      </w:divBdr>
    </w:div>
    <w:div w:id="274482221">
      <w:marLeft w:val="0"/>
      <w:marRight w:val="0"/>
      <w:marTop w:val="60"/>
      <w:marBottom w:val="60"/>
      <w:divBdr>
        <w:top w:val="none" w:sz="0" w:space="0" w:color="auto"/>
        <w:left w:val="none" w:sz="0" w:space="0" w:color="auto"/>
        <w:bottom w:val="none" w:sz="0" w:space="0" w:color="auto"/>
        <w:right w:val="none" w:sz="0" w:space="0" w:color="auto"/>
      </w:divBdr>
    </w:div>
    <w:div w:id="274945663">
      <w:marLeft w:val="0"/>
      <w:marRight w:val="0"/>
      <w:marTop w:val="180"/>
      <w:marBottom w:val="0"/>
      <w:divBdr>
        <w:top w:val="none" w:sz="0" w:space="0" w:color="auto"/>
        <w:left w:val="none" w:sz="0" w:space="0" w:color="auto"/>
        <w:bottom w:val="none" w:sz="0" w:space="0" w:color="auto"/>
        <w:right w:val="none" w:sz="0" w:space="0" w:color="auto"/>
      </w:divBdr>
    </w:div>
    <w:div w:id="275020408">
      <w:marLeft w:val="0"/>
      <w:marRight w:val="0"/>
      <w:marTop w:val="180"/>
      <w:marBottom w:val="180"/>
      <w:divBdr>
        <w:top w:val="none" w:sz="0" w:space="0" w:color="auto"/>
        <w:left w:val="none" w:sz="0" w:space="0" w:color="auto"/>
        <w:bottom w:val="none" w:sz="0" w:space="0" w:color="auto"/>
        <w:right w:val="none" w:sz="0" w:space="0" w:color="auto"/>
      </w:divBdr>
    </w:div>
    <w:div w:id="275335398">
      <w:marLeft w:val="0"/>
      <w:marRight w:val="0"/>
      <w:marTop w:val="180"/>
      <w:marBottom w:val="180"/>
      <w:divBdr>
        <w:top w:val="none" w:sz="0" w:space="0" w:color="auto"/>
        <w:left w:val="none" w:sz="0" w:space="0" w:color="auto"/>
        <w:bottom w:val="none" w:sz="0" w:space="0" w:color="auto"/>
        <w:right w:val="none" w:sz="0" w:space="0" w:color="auto"/>
      </w:divBdr>
    </w:div>
    <w:div w:id="277681547">
      <w:marLeft w:val="0"/>
      <w:marRight w:val="0"/>
      <w:marTop w:val="0"/>
      <w:marBottom w:val="0"/>
      <w:divBdr>
        <w:top w:val="none" w:sz="0" w:space="0" w:color="auto"/>
        <w:left w:val="none" w:sz="0" w:space="0" w:color="auto"/>
        <w:bottom w:val="none" w:sz="0" w:space="0" w:color="auto"/>
        <w:right w:val="none" w:sz="0" w:space="0" w:color="auto"/>
      </w:divBdr>
      <w:divsChild>
        <w:div w:id="882403983">
          <w:marLeft w:val="0"/>
          <w:marRight w:val="0"/>
          <w:marTop w:val="0"/>
          <w:marBottom w:val="0"/>
          <w:divBdr>
            <w:top w:val="none" w:sz="0" w:space="0" w:color="auto"/>
            <w:left w:val="none" w:sz="0" w:space="0" w:color="auto"/>
            <w:bottom w:val="none" w:sz="0" w:space="0" w:color="auto"/>
            <w:right w:val="none" w:sz="0" w:space="0" w:color="auto"/>
          </w:divBdr>
          <w:divsChild>
            <w:div w:id="14416870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8610789">
      <w:marLeft w:val="0"/>
      <w:marRight w:val="0"/>
      <w:marTop w:val="0"/>
      <w:marBottom w:val="0"/>
      <w:divBdr>
        <w:top w:val="none" w:sz="0" w:space="0" w:color="auto"/>
        <w:left w:val="none" w:sz="0" w:space="0" w:color="auto"/>
        <w:bottom w:val="none" w:sz="0" w:space="0" w:color="auto"/>
        <w:right w:val="none" w:sz="0" w:space="0" w:color="auto"/>
      </w:divBdr>
    </w:div>
    <w:div w:id="279337785">
      <w:marLeft w:val="0"/>
      <w:marRight w:val="0"/>
      <w:marTop w:val="180"/>
      <w:marBottom w:val="60"/>
      <w:divBdr>
        <w:top w:val="none" w:sz="0" w:space="0" w:color="auto"/>
        <w:left w:val="none" w:sz="0" w:space="0" w:color="auto"/>
        <w:bottom w:val="none" w:sz="0" w:space="0" w:color="auto"/>
        <w:right w:val="none" w:sz="0" w:space="0" w:color="auto"/>
      </w:divBdr>
    </w:div>
    <w:div w:id="282614410">
      <w:marLeft w:val="0"/>
      <w:marRight w:val="0"/>
      <w:marTop w:val="60"/>
      <w:marBottom w:val="60"/>
      <w:divBdr>
        <w:top w:val="none" w:sz="0" w:space="0" w:color="auto"/>
        <w:left w:val="none" w:sz="0" w:space="0" w:color="auto"/>
        <w:bottom w:val="none" w:sz="0" w:space="0" w:color="auto"/>
        <w:right w:val="none" w:sz="0" w:space="0" w:color="auto"/>
      </w:divBdr>
    </w:div>
    <w:div w:id="286356718">
      <w:marLeft w:val="0"/>
      <w:marRight w:val="0"/>
      <w:marTop w:val="60"/>
      <w:marBottom w:val="60"/>
      <w:divBdr>
        <w:top w:val="none" w:sz="0" w:space="0" w:color="auto"/>
        <w:left w:val="none" w:sz="0" w:space="0" w:color="auto"/>
        <w:bottom w:val="none" w:sz="0" w:space="0" w:color="auto"/>
        <w:right w:val="none" w:sz="0" w:space="0" w:color="auto"/>
      </w:divBdr>
    </w:div>
    <w:div w:id="287323186">
      <w:marLeft w:val="0"/>
      <w:marRight w:val="0"/>
      <w:marTop w:val="60"/>
      <w:marBottom w:val="60"/>
      <w:divBdr>
        <w:top w:val="none" w:sz="0" w:space="0" w:color="auto"/>
        <w:left w:val="none" w:sz="0" w:space="0" w:color="auto"/>
        <w:bottom w:val="none" w:sz="0" w:space="0" w:color="auto"/>
        <w:right w:val="none" w:sz="0" w:space="0" w:color="auto"/>
      </w:divBdr>
    </w:div>
    <w:div w:id="290406530">
      <w:marLeft w:val="0"/>
      <w:marRight w:val="0"/>
      <w:marTop w:val="60"/>
      <w:marBottom w:val="60"/>
      <w:divBdr>
        <w:top w:val="none" w:sz="0" w:space="0" w:color="auto"/>
        <w:left w:val="none" w:sz="0" w:space="0" w:color="auto"/>
        <w:bottom w:val="none" w:sz="0" w:space="0" w:color="auto"/>
        <w:right w:val="none" w:sz="0" w:space="0" w:color="auto"/>
      </w:divBdr>
    </w:div>
    <w:div w:id="290794483">
      <w:marLeft w:val="0"/>
      <w:marRight w:val="0"/>
      <w:marTop w:val="0"/>
      <w:marBottom w:val="0"/>
      <w:divBdr>
        <w:top w:val="none" w:sz="0" w:space="0" w:color="auto"/>
        <w:left w:val="none" w:sz="0" w:space="0" w:color="auto"/>
        <w:bottom w:val="none" w:sz="0" w:space="0" w:color="auto"/>
        <w:right w:val="none" w:sz="0" w:space="0" w:color="auto"/>
      </w:divBdr>
    </w:div>
    <w:div w:id="291207994">
      <w:marLeft w:val="0"/>
      <w:marRight w:val="0"/>
      <w:marTop w:val="180"/>
      <w:marBottom w:val="180"/>
      <w:divBdr>
        <w:top w:val="none" w:sz="0" w:space="0" w:color="auto"/>
        <w:left w:val="none" w:sz="0" w:space="0" w:color="auto"/>
        <w:bottom w:val="none" w:sz="0" w:space="0" w:color="auto"/>
        <w:right w:val="none" w:sz="0" w:space="0" w:color="auto"/>
      </w:divBdr>
    </w:div>
    <w:div w:id="293414158">
      <w:marLeft w:val="0"/>
      <w:marRight w:val="0"/>
      <w:marTop w:val="60"/>
      <w:marBottom w:val="60"/>
      <w:divBdr>
        <w:top w:val="none" w:sz="0" w:space="0" w:color="auto"/>
        <w:left w:val="none" w:sz="0" w:space="0" w:color="auto"/>
        <w:bottom w:val="none" w:sz="0" w:space="0" w:color="auto"/>
        <w:right w:val="none" w:sz="0" w:space="0" w:color="auto"/>
      </w:divBdr>
    </w:div>
    <w:div w:id="296686095">
      <w:marLeft w:val="0"/>
      <w:marRight w:val="0"/>
      <w:marTop w:val="60"/>
      <w:marBottom w:val="60"/>
      <w:divBdr>
        <w:top w:val="none" w:sz="0" w:space="0" w:color="auto"/>
        <w:left w:val="none" w:sz="0" w:space="0" w:color="auto"/>
        <w:bottom w:val="none" w:sz="0" w:space="0" w:color="auto"/>
        <w:right w:val="none" w:sz="0" w:space="0" w:color="auto"/>
      </w:divBdr>
    </w:div>
    <w:div w:id="298341656">
      <w:marLeft w:val="0"/>
      <w:marRight w:val="0"/>
      <w:marTop w:val="0"/>
      <w:marBottom w:val="15"/>
      <w:divBdr>
        <w:top w:val="none" w:sz="0" w:space="0" w:color="auto"/>
        <w:left w:val="none" w:sz="0" w:space="0" w:color="auto"/>
        <w:bottom w:val="none" w:sz="0" w:space="0" w:color="auto"/>
        <w:right w:val="none" w:sz="0" w:space="0" w:color="auto"/>
      </w:divBdr>
    </w:div>
    <w:div w:id="300815429">
      <w:marLeft w:val="0"/>
      <w:marRight w:val="0"/>
      <w:marTop w:val="180"/>
      <w:marBottom w:val="180"/>
      <w:divBdr>
        <w:top w:val="none" w:sz="0" w:space="0" w:color="auto"/>
        <w:left w:val="none" w:sz="0" w:space="0" w:color="auto"/>
        <w:bottom w:val="none" w:sz="0" w:space="0" w:color="auto"/>
        <w:right w:val="none" w:sz="0" w:space="0" w:color="auto"/>
      </w:divBdr>
    </w:div>
    <w:div w:id="303000655">
      <w:marLeft w:val="0"/>
      <w:marRight w:val="0"/>
      <w:marTop w:val="180"/>
      <w:marBottom w:val="180"/>
      <w:divBdr>
        <w:top w:val="none" w:sz="0" w:space="0" w:color="auto"/>
        <w:left w:val="none" w:sz="0" w:space="0" w:color="auto"/>
        <w:bottom w:val="none" w:sz="0" w:space="0" w:color="auto"/>
        <w:right w:val="none" w:sz="0" w:space="0" w:color="auto"/>
      </w:divBdr>
    </w:div>
    <w:div w:id="304362722">
      <w:marLeft w:val="0"/>
      <w:marRight w:val="0"/>
      <w:marTop w:val="180"/>
      <w:marBottom w:val="60"/>
      <w:divBdr>
        <w:top w:val="none" w:sz="0" w:space="0" w:color="auto"/>
        <w:left w:val="none" w:sz="0" w:space="0" w:color="auto"/>
        <w:bottom w:val="none" w:sz="0" w:space="0" w:color="auto"/>
        <w:right w:val="none" w:sz="0" w:space="0" w:color="auto"/>
      </w:divBdr>
    </w:div>
    <w:div w:id="305553675">
      <w:marLeft w:val="0"/>
      <w:marRight w:val="0"/>
      <w:marTop w:val="0"/>
      <w:marBottom w:val="0"/>
      <w:divBdr>
        <w:top w:val="none" w:sz="0" w:space="0" w:color="auto"/>
        <w:left w:val="none" w:sz="0" w:space="0" w:color="auto"/>
        <w:bottom w:val="none" w:sz="0" w:space="0" w:color="auto"/>
        <w:right w:val="none" w:sz="0" w:space="0" w:color="auto"/>
      </w:divBdr>
      <w:divsChild>
        <w:div w:id="1669677188">
          <w:marLeft w:val="0"/>
          <w:marRight w:val="0"/>
          <w:marTop w:val="60"/>
          <w:marBottom w:val="180"/>
          <w:divBdr>
            <w:top w:val="none" w:sz="0" w:space="0" w:color="auto"/>
            <w:left w:val="none" w:sz="0" w:space="0" w:color="auto"/>
            <w:bottom w:val="none" w:sz="0" w:space="0" w:color="auto"/>
            <w:right w:val="none" w:sz="0" w:space="0" w:color="auto"/>
          </w:divBdr>
        </w:div>
      </w:divsChild>
    </w:div>
    <w:div w:id="306588961">
      <w:marLeft w:val="0"/>
      <w:marRight w:val="0"/>
      <w:marTop w:val="180"/>
      <w:marBottom w:val="60"/>
      <w:divBdr>
        <w:top w:val="none" w:sz="0" w:space="0" w:color="auto"/>
        <w:left w:val="none" w:sz="0" w:space="0" w:color="auto"/>
        <w:bottom w:val="none" w:sz="0" w:space="0" w:color="auto"/>
        <w:right w:val="none" w:sz="0" w:space="0" w:color="auto"/>
      </w:divBdr>
    </w:div>
    <w:div w:id="307832050">
      <w:marLeft w:val="0"/>
      <w:marRight w:val="0"/>
      <w:marTop w:val="180"/>
      <w:marBottom w:val="180"/>
      <w:divBdr>
        <w:top w:val="none" w:sz="0" w:space="0" w:color="auto"/>
        <w:left w:val="none" w:sz="0" w:space="0" w:color="auto"/>
        <w:bottom w:val="none" w:sz="0" w:space="0" w:color="auto"/>
        <w:right w:val="none" w:sz="0" w:space="0" w:color="auto"/>
      </w:divBdr>
    </w:div>
    <w:div w:id="307982186">
      <w:marLeft w:val="0"/>
      <w:marRight w:val="0"/>
      <w:marTop w:val="180"/>
      <w:marBottom w:val="180"/>
      <w:divBdr>
        <w:top w:val="none" w:sz="0" w:space="0" w:color="auto"/>
        <w:left w:val="none" w:sz="0" w:space="0" w:color="auto"/>
        <w:bottom w:val="none" w:sz="0" w:space="0" w:color="auto"/>
        <w:right w:val="none" w:sz="0" w:space="0" w:color="auto"/>
      </w:divBdr>
    </w:div>
    <w:div w:id="308634171">
      <w:marLeft w:val="0"/>
      <w:marRight w:val="0"/>
      <w:marTop w:val="60"/>
      <w:marBottom w:val="60"/>
      <w:divBdr>
        <w:top w:val="none" w:sz="0" w:space="0" w:color="auto"/>
        <w:left w:val="none" w:sz="0" w:space="0" w:color="auto"/>
        <w:bottom w:val="none" w:sz="0" w:space="0" w:color="auto"/>
        <w:right w:val="none" w:sz="0" w:space="0" w:color="auto"/>
      </w:divBdr>
    </w:div>
    <w:div w:id="309091109">
      <w:marLeft w:val="0"/>
      <w:marRight w:val="0"/>
      <w:marTop w:val="180"/>
      <w:marBottom w:val="180"/>
      <w:divBdr>
        <w:top w:val="none" w:sz="0" w:space="0" w:color="auto"/>
        <w:left w:val="none" w:sz="0" w:space="0" w:color="auto"/>
        <w:bottom w:val="none" w:sz="0" w:space="0" w:color="auto"/>
        <w:right w:val="none" w:sz="0" w:space="0" w:color="auto"/>
      </w:divBdr>
    </w:div>
    <w:div w:id="311831306">
      <w:marLeft w:val="0"/>
      <w:marRight w:val="0"/>
      <w:marTop w:val="180"/>
      <w:marBottom w:val="180"/>
      <w:divBdr>
        <w:top w:val="none" w:sz="0" w:space="0" w:color="auto"/>
        <w:left w:val="none" w:sz="0" w:space="0" w:color="auto"/>
        <w:bottom w:val="none" w:sz="0" w:space="0" w:color="auto"/>
        <w:right w:val="none" w:sz="0" w:space="0" w:color="auto"/>
      </w:divBdr>
    </w:div>
    <w:div w:id="313920490">
      <w:marLeft w:val="0"/>
      <w:marRight w:val="0"/>
      <w:marTop w:val="0"/>
      <w:marBottom w:val="0"/>
      <w:divBdr>
        <w:top w:val="none" w:sz="0" w:space="0" w:color="auto"/>
        <w:left w:val="none" w:sz="0" w:space="0" w:color="auto"/>
        <w:bottom w:val="none" w:sz="0" w:space="0" w:color="auto"/>
        <w:right w:val="none" w:sz="0" w:space="0" w:color="auto"/>
      </w:divBdr>
    </w:div>
    <w:div w:id="314380028">
      <w:marLeft w:val="0"/>
      <w:marRight w:val="0"/>
      <w:marTop w:val="0"/>
      <w:marBottom w:val="0"/>
      <w:divBdr>
        <w:top w:val="none" w:sz="0" w:space="0" w:color="auto"/>
        <w:left w:val="none" w:sz="0" w:space="0" w:color="auto"/>
        <w:bottom w:val="none" w:sz="0" w:space="0" w:color="auto"/>
        <w:right w:val="none" w:sz="0" w:space="0" w:color="auto"/>
      </w:divBdr>
      <w:divsChild>
        <w:div w:id="1834569694">
          <w:marLeft w:val="0"/>
          <w:marRight w:val="0"/>
          <w:marTop w:val="60"/>
          <w:marBottom w:val="180"/>
          <w:divBdr>
            <w:top w:val="none" w:sz="0" w:space="0" w:color="auto"/>
            <w:left w:val="none" w:sz="0" w:space="0" w:color="auto"/>
            <w:bottom w:val="none" w:sz="0" w:space="0" w:color="auto"/>
            <w:right w:val="none" w:sz="0" w:space="0" w:color="auto"/>
          </w:divBdr>
        </w:div>
      </w:divsChild>
    </w:div>
    <w:div w:id="315497343">
      <w:marLeft w:val="0"/>
      <w:marRight w:val="0"/>
      <w:marTop w:val="180"/>
      <w:marBottom w:val="180"/>
      <w:divBdr>
        <w:top w:val="none" w:sz="0" w:space="0" w:color="auto"/>
        <w:left w:val="none" w:sz="0" w:space="0" w:color="auto"/>
        <w:bottom w:val="none" w:sz="0" w:space="0" w:color="auto"/>
        <w:right w:val="none" w:sz="0" w:space="0" w:color="auto"/>
      </w:divBdr>
    </w:div>
    <w:div w:id="318311425">
      <w:marLeft w:val="0"/>
      <w:marRight w:val="0"/>
      <w:marTop w:val="0"/>
      <w:marBottom w:val="0"/>
      <w:divBdr>
        <w:top w:val="none" w:sz="0" w:space="0" w:color="auto"/>
        <w:left w:val="none" w:sz="0" w:space="0" w:color="auto"/>
        <w:bottom w:val="none" w:sz="0" w:space="0" w:color="auto"/>
        <w:right w:val="none" w:sz="0" w:space="0" w:color="auto"/>
      </w:divBdr>
      <w:divsChild>
        <w:div w:id="2050492794">
          <w:marLeft w:val="0"/>
          <w:marRight w:val="0"/>
          <w:marTop w:val="0"/>
          <w:marBottom w:val="180"/>
          <w:divBdr>
            <w:top w:val="none" w:sz="0" w:space="0" w:color="auto"/>
            <w:left w:val="none" w:sz="0" w:space="0" w:color="auto"/>
            <w:bottom w:val="none" w:sz="0" w:space="0" w:color="auto"/>
            <w:right w:val="none" w:sz="0" w:space="0" w:color="auto"/>
          </w:divBdr>
        </w:div>
      </w:divsChild>
    </w:div>
    <w:div w:id="321854836">
      <w:marLeft w:val="0"/>
      <w:marRight w:val="0"/>
      <w:marTop w:val="60"/>
      <w:marBottom w:val="60"/>
      <w:divBdr>
        <w:top w:val="none" w:sz="0" w:space="0" w:color="auto"/>
        <w:left w:val="none" w:sz="0" w:space="0" w:color="auto"/>
        <w:bottom w:val="none" w:sz="0" w:space="0" w:color="auto"/>
        <w:right w:val="none" w:sz="0" w:space="0" w:color="auto"/>
      </w:divBdr>
    </w:div>
    <w:div w:id="325986793">
      <w:marLeft w:val="0"/>
      <w:marRight w:val="0"/>
      <w:marTop w:val="180"/>
      <w:marBottom w:val="60"/>
      <w:divBdr>
        <w:top w:val="none" w:sz="0" w:space="0" w:color="auto"/>
        <w:left w:val="none" w:sz="0" w:space="0" w:color="auto"/>
        <w:bottom w:val="none" w:sz="0" w:space="0" w:color="auto"/>
        <w:right w:val="none" w:sz="0" w:space="0" w:color="auto"/>
      </w:divBdr>
    </w:div>
    <w:div w:id="326786533">
      <w:marLeft w:val="0"/>
      <w:marRight w:val="0"/>
      <w:marTop w:val="0"/>
      <w:marBottom w:val="0"/>
      <w:divBdr>
        <w:top w:val="none" w:sz="0" w:space="0" w:color="auto"/>
        <w:left w:val="none" w:sz="0" w:space="0" w:color="auto"/>
        <w:bottom w:val="none" w:sz="0" w:space="0" w:color="auto"/>
        <w:right w:val="none" w:sz="0" w:space="0" w:color="auto"/>
      </w:divBdr>
    </w:div>
    <w:div w:id="327565707">
      <w:marLeft w:val="0"/>
      <w:marRight w:val="0"/>
      <w:marTop w:val="60"/>
      <w:marBottom w:val="60"/>
      <w:divBdr>
        <w:top w:val="none" w:sz="0" w:space="0" w:color="auto"/>
        <w:left w:val="none" w:sz="0" w:space="0" w:color="auto"/>
        <w:bottom w:val="none" w:sz="0" w:space="0" w:color="auto"/>
        <w:right w:val="none" w:sz="0" w:space="0" w:color="auto"/>
      </w:divBdr>
    </w:div>
    <w:div w:id="332269028">
      <w:marLeft w:val="0"/>
      <w:marRight w:val="0"/>
      <w:marTop w:val="180"/>
      <w:marBottom w:val="180"/>
      <w:divBdr>
        <w:top w:val="none" w:sz="0" w:space="0" w:color="auto"/>
        <w:left w:val="none" w:sz="0" w:space="0" w:color="auto"/>
        <w:bottom w:val="none" w:sz="0" w:space="0" w:color="auto"/>
        <w:right w:val="none" w:sz="0" w:space="0" w:color="auto"/>
      </w:divBdr>
    </w:div>
    <w:div w:id="334722878">
      <w:marLeft w:val="0"/>
      <w:marRight w:val="0"/>
      <w:marTop w:val="180"/>
      <w:marBottom w:val="180"/>
      <w:divBdr>
        <w:top w:val="none" w:sz="0" w:space="0" w:color="auto"/>
        <w:left w:val="none" w:sz="0" w:space="0" w:color="auto"/>
        <w:bottom w:val="none" w:sz="0" w:space="0" w:color="auto"/>
        <w:right w:val="none" w:sz="0" w:space="0" w:color="auto"/>
      </w:divBdr>
    </w:div>
    <w:div w:id="339041655">
      <w:marLeft w:val="0"/>
      <w:marRight w:val="0"/>
      <w:marTop w:val="0"/>
      <w:marBottom w:val="0"/>
      <w:divBdr>
        <w:top w:val="none" w:sz="0" w:space="0" w:color="auto"/>
        <w:left w:val="none" w:sz="0" w:space="0" w:color="auto"/>
        <w:bottom w:val="none" w:sz="0" w:space="0" w:color="auto"/>
        <w:right w:val="none" w:sz="0" w:space="0" w:color="auto"/>
      </w:divBdr>
    </w:div>
    <w:div w:id="343243827">
      <w:marLeft w:val="0"/>
      <w:marRight w:val="0"/>
      <w:marTop w:val="60"/>
      <w:marBottom w:val="60"/>
      <w:divBdr>
        <w:top w:val="none" w:sz="0" w:space="0" w:color="auto"/>
        <w:left w:val="none" w:sz="0" w:space="0" w:color="auto"/>
        <w:bottom w:val="none" w:sz="0" w:space="0" w:color="auto"/>
        <w:right w:val="none" w:sz="0" w:space="0" w:color="auto"/>
      </w:divBdr>
    </w:div>
    <w:div w:id="344751437">
      <w:marLeft w:val="0"/>
      <w:marRight w:val="0"/>
      <w:marTop w:val="180"/>
      <w:marBottom w:val="180"/>
      <w:divBdr>
        <w:top w:val="none" w:sz="0" w:space="0" w:color="auto"/>
        <w:left w:val="none" w:sz="0" w:space="0" w:color="auto"/>
        <w:bottom w:val="none" w:sz="0" w:space="0" w:color="auto"/>
        <w:right w:val="none" w:sz="0" w:space="0" w:color="auto"/>
      </w:divBdr>
    </w:div>
    <w:div w:id="345208329">
      <w:marLeft w:val="0"/>
      <w:marRight w:val="0"/>
      <w:marTop w:val="60"/>
      <w:marBottom w:val="60"/>
      <w:divBdr>
        <w:top w:val="none" w:sz="0" w:space="0" w:color="auto"/>
        <w:left w:val="none" w:sz="0" w:space="0" w:color="auto"/>
        <w:bottom w:val="none" w:sz="0" w:space="0" w:color="auto"/>
        <w:right w:val="none" w:sz="0" w:space="0" w:color="auto"/>
      </w:divBdr>
    </w:div>
    <w:div w:id="349648203">
      <w:marLeft w:val="0"/>
      <w:marRight w:val="0"/>
      <w:marTop w:val="180"/>
      <w:marBottom w:val="180"/>
      <w:divBdr>
        <w:top w:val="none" w:sz="0" w:space="0" w:color="auto"/>
        <w:left w:val="none" w:sz="0" w:space="0" w:color="auto"/>
        <w:bottom w:val="none" w:sz="0" w:space="0" w:color="auto"/>
        <w:right w:val="none" w:sz="0" w:space="0" w:color="auto"/>
      </w:divBdr>
    </w:div>
    <w:div w:id="351341413">
      <w:marLeft w:val="0"/>
      <w:marRight w:val="0"/>
      <w:marTop w:val="180"/>
      <w:marBottom w:val="60"/>
      <w:divBdr>
        <w:top w:val="none" w:sz="0" w:space="0" w:color="auto"/>
        <w:left w:val="none" w:sz="0" w:space="0" w:color="auto"/>
        <w:bottom w:val="none" w:sz="0" w:space="0" w:color="auto"/>
        <w:right w:val="none" w:sz="0" w:space="0" w:color="auto"/>
      </w:divBdr>
      <w:divsChild>
        <w:div w:id="315763873">
          <w:marLeft w:val="0"/>
          <w:marRight w:val="0"/>
          <w:marTop w:val="0"/>
          <w:marBottom w:val="0"/>
          <w:divBdr>
            <w:top w:val="none" w:sz="0" w:space="0" w:color="auto"/>
            <w:left w:val="none" w:sz="0" w:space="0" w:color="auto"/>
            <w:bottom w:val="none" w:sz="0" w:space="0" w:color="auto"/>
            <w:right w:val="none" w:sz="0" w:space="0" w:color="auto"/>
          </w:divBdr>
        </w:div>
        <w:div w:id="621110481">
          <w:marLeft w:val="0"/>
          <w:marRight w:val="0"/>
          <w:marTop w:val="0"/>
          <w:marBottom w:val="0"/>
          <w:divBdr>
            <w:top w:val="none" w:sz="0" w:space="0" w:color="auto"/>
            <w:left w:val="none" w:sz="0" w:space="0" w:color="auto"/>
            <w:bottom w:val="none" w:sz="0" w:space="0" w:color="auto"/>
            <w:right w:val="none" w:sz="0" w:space="0" w:color="auto"/>
          </w:divBdr>
        </w:div>
      </w:divsChild>
    </w:div>
    <w:div w:id="352270781">
      <w:marLeft w:val="0"/>
      <w:marRight w:val="0"/>
      <w:marTop w:val="180"/>
      <w:marBottom w:val="180"/>
      <w:divBdr>
        <w:top w:val="none" w:sz="0" w:space="0" w:color="auto"/>
        <w:left w:val="none" w:sz="0" w:space="0" w:color="auto"/>
        <w:bottom w:val="none" w:sz="0" w:space="0" w:color="auto"/>
        <w:right w:val="none" w:sz="0" w:space="0" w:color="auto"/>
      </w:divBdr>
    </w:div>
    <w:div w:id="355354948">
      <w:marLeft w:val="0"/>
      <w:marRight w:val="0"/>
      <w:marTop w:val="0"/>
      <w:marBottom w:val="0"/>
      <w:divBdr>
        <w:top w:val="none" w:sz="0" w:space="0" w:color="auto"/>
        <w:left w:val="none" w:sz="0" w:space="0" w:color="auto"/>
        <w:bottom w:val="none" w:sz="0" w:space="0" w:color="auto"/>
        <w:right w:val="none" w:sz="0" w:space="0" w:color="auto"/>
      </w:divBdr>
      <w:divsChild>
        <w:div w:id="1610622656">
          <w:marLeft w:val="0"/>
          <w:marRight w:val="0"/>
          <w:marTop w:val="0"/>
          <w:marBottom w:val="0"/>
          <w:divBdr>
            <w:top w:val="none" w:sz="0" w:space="0" w:color="auto"/>
            <w:left w:val="none" w:sz="0" w:space="0" w:color="auto"/>
            <w:bottom w:val="none" w:sz="0" w:space="0" w:color="auto"/>
            <w:right w:val="none" w:sz="0" w:space="0" w:color="auto"/>
          </w:divBdr>
          <w:divsChild>
            <w:div w:id="78019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55887342">
      <w:marLeft w:val="0"/>
      <w:marRight w:val="0"/>
      <w:marTop w:val="0"/>
      <w:marBottom w:val="0"/>
      <w:divBdr>
        <w:top w:val="none" w:sz="0" w:space="0" w:color="auto"/>
        <w:left w:val="none" w:sz="0" w:space="0" w:color="auto"/>
        <w:bottom w:val="none" w:sz="0" w:space="0" w:color="auto"/>
        <w:right w:val="none" w:sz="0" w:space="0" w:color="auto"/>
      </w:divBdr>
      <w:divsChild>
        <w:div w:id="494104474">
          <w:marLeft w:val="0"/>
          <w:marRight w:val="0"/>
          <w:marTop w:val="0"/>
          <w:marBottom w:val="0"/>
          <w:divBdr>
            <w:top w:val="none" w:sz="0" w:space="0" w:color="auto"/>
            <w:left w:val="none" w:sz="0" w:space="0" w:color="auto"/>
            <w:bottom w:val="none" w:sz="0" w:space="0" w:color="auto"/>
            <w:right w:val="none" w:sz="0" w:space="0" w:color="auto"/>
          </w:divBdr>
          <w:divsChild>
            <w:div w:id="12500429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57971422">
      <w:marLeft w:val="0"/>
      <w:marRight w:val="0"/>
      <w:marTop w:val="180"/>
      <w:marBottom w:val="180"/>
      <w:divBdr>
        <w:top w:val="none" w:sz="0" w:space="0" w:color="auto"/>
        <w:left w:val="none" w:sz="0" w:space="0" w:color="auto"/>
        <w:bottom w:val="none" w:sz="0" w:space="0" w:color="auto"/>
        <w:right w:val="none" w:sz="0" w:space="0" w:color="auto"/>
      </w:divBdr>
    </w:div>
    <w:div w:id="361517451">
      <w:marLeft w:val="0"/>
      <w:marRight w:val="0"/>
      <w:marTop w:val="60"/>
      <w:marBottom w:val="60"/>
      <w:divBdr>
        <w:top w:val="none" w:sz="0" w:space="0" w:color="auto"/>
        <w:left w:val="none" w:sz="0" w:space="0" w:color="auto"/>
        <w:bottom w:val="none" w:sz="0" w:space="0" w:color="auto"/>
        <w:right w:val="none" w:sz="0" w:space="0" w:color="auto"/>
      </w:divBdr>
    </w:div>
    <w:div w:id="362243995">
      <w:marLeft w:val="0"/>
      <w:marRight w:val="0"/>
      <w:marTop w:val="0"/>
      <w:marBottom w:val="0"/>
      <w:divBdr>
        <w:top w:val="none" w:sz="0" w:space="0" w:color="auto"/>
        <w:left w:val="none" w:sz="0" w:space="0" w:color="auto"/>
        <w:bottom w:val="none" w:sz="0" w:space="0" w:color="auto"/>
        <w:right w:val="none" w:sz="0" w:space="0" w:color="auto"/>
      </w:divBdr>
    </w:div>
    <w:div w:id="366875318">
      <w:marLeft w:val="0"/>
      <w:marRight w:val="0"/>
      <w:marTop w:val="100"/>
      <w:marBottom w:val="0"/>
      <w:divBdr>
        <w:top w:val="none" w:sz="0" w:space="0" w:color="auto"/>
        <w:left w:val="none" w:sz="0" w:space="0" w:color="auto"/>
        <w:bottom w:val="none" w:sz="0" w:space="0" w:color="auto"/>
        <w:right w:val="none" w:sz="0" w:space="0" w:color="auto"/>
      </w:divBdr>
      <w:divsChild>
        <w:div w:id="1436169173">
          <w:marLeft w:val="0"/>
          <w:marRight w:val="0"/>
          <w:marTop w:val="0"/>
          <w:marBottom w:val="0"/>
          <w:divBdr>
            <w:top w:val="none" w:sz="0" w:space="0" w:color="auto"/>
            <w:left w:val="none" w:sz="0" w:space="0" w:color="auto"/>
            <w:bottom w:val="none" w:sz="0" w:space="0" w:color="auto"/>
            <w:right w:val="none" w:sz="0" w:space="0" w:color="auto"/>
          </w:divBdr>
        </w:div>
        <w:div w:id="2065834467">
          <w:marLeft w:val="0"/>
          <w:marRight w:val="0"/>
          <w:marTop w:val="0"/>
          <w:marBottom w:val="0"/>
          <w:divBdr>
            <w:top w:val="none" w:sz="0" w:space="0" w:color="auto"/>
            <w:left w:val="none" w:sz="0" w:space="0" w:color="auto"/>
            <w:bottom w:val="none" w:sz="0" w:space="0" w:color="auto"/>
            <w:right w:val="none" w:sz="0" w:space="0" w:color="auto"/>
          </w:divBdr>
        </w:div>
      </w:divsChild>
    </w:div>
    <w:div w:id="367147647">
      <w:marLeft w:val="0"/>
      <w:marRight w:val="0"/>
      <w:marTop w:val="0"/>
      <w:marBottom w:val="15"/>
      <w:divBdr>
        <w:top w:val="none" w:sz="0" w:space="0" w:color="auto"/>
        <w:left w:val="none" w:sz="0" w:space="0" w:color="auto"/>
        <w:bottom w:val="none" w:sz="0" w:space="0" w:color="auto"/>
        <w:right w:val="none" w:sz="0" w:space="0" w:color="auto"/>
      </w:divBdr>
    </w:div>
    <w:div w:id="369230345">
      <w:marLeft w:val="0"/>
      <w:marRight w:val="0"/>
      <w:marTop w:val="180"/>
      <w:marBottom w:val="180"/>
      <w:divBdr>
        <w:top w:val="none" w:sz="0" w:space="0" w:color="auto"/>
        <w:left w:val="none" w:sz="0" w:space="0" w:color="auto"/>
        <w:bottom w:val="none" w:sz="0" w:space="0" w:color="auto"/>
        <w:right w:val="none" w:sz="0" w:space="0" w:color="auto"/>
      </w:divBdr>
    </w:div>
    <w:div w:id="369453933">
      <w:marLeft w:val="0"/>
      <w:marRight w:val="0"/>
      <w:marTop w:val="120"/>
      <w:marBottom w:val="0"/>
      <w:divBdr>
        <w:top w:val="none" w:sz="0" w:space="0" w:color="auto"/>
        <w:left w:val="none" w:sz="0" w:space="0" w:color="auto"/>
        <w:bottom w:val="none" w:sz="0" w:space="0" w:color="auto"/>
        <w:right w:val="none" w:sz="0" w:space="0" w:color="auto"/>
      </w:divBdr>
    </w:div>
    <w:div w:id="369915751">
      <w:marLeft w:val="0"/>
      <w:marRight w:val="0"/>
      <w:marTop w:val="180"/>
      <w:marBottom w:val="180"/>
      <w:divBdr>
        <w:top w:val="none" w:sz="0" w:space="0" w:color="auto"/>
        <w:left w:val="none" w:sz="0" w:space="0" w:color="auto"/>
        <w:bottom w:val="none" w:sz="0" w:space="0" w:color="auto"/>
        <w:right w:val="none" w:sz="0" w:space="0" w:color="auto"/>
      </w:divBdr>
    </w:div>
    <w:div w:id="370231421">
      <w:marLeft w:val="0"/>
      <w:marRight w:val="0"/>
      <w:marTop w:val="180"/>
      <w:marBottom w:val="180"/>
      <w:divBdr>
        <w:top w:val="none" w:sz="0" w:space="0" w:color="auto"/>
        <w:left w:val="none" w:sz="0" w:space="0" w:color="auto"/>
        <w:bottom w:val="none" w:sz="0" w:space="0" w:color="auto"/>
        <w:right w:val="none" w:sz="0" w:space="0" w:color="auto"/>
      </w:divBdr>
    </w:div>
    <w:div w:id="373434886">
      <w:marLeft w:val="0"/>
      <w:marRight w:val="0"/>
      <w:marTop w:val="180"/>
      <w:marBottom w:val="180"/>
      <w:divBdr>
        <w:top w:val="none" w:sz="0" w:space="0" w:color="auto"/>
        <w:left w:val="none" w:sz="0" w:space="0" w:color="auto"/>
        <w:bottom w:val="none" w:sz="0" w:space="0" w:color="auto"/>
        <w:right w:val="none" w:sz="0" w:space="0" w:color="auto"/>
      </w:divBdr>
    </w:div>
    <w:div w:id="374307887">
      <w:marLeft w:val="0"/>
      <w:marRight w:val="0"/>
      <w:marTop w:val="240"/>
      <w:marBottom w:val="180"/>
      <w:divBdr>
        <w:top w:val="none" w:sz="0" w:space="0" w:color="auto"/>
        <w:left w:val="none" w:sz="0" w:space="0" w:color="auto"/>
        <w:bottom w:val="none" w:sz="0" w:space="0" w:color="auto"/>
        <w:right w:val="none" w:sz="0" w:space="0" w:color="auto"/>
      </w:divBdr>
    </w:div>
    <w:div w:id="375088214">
      <w:marLeft w:val="0"/>
      <w:marRight w:val="0"/>
      <w:marTop w:val="180"/>
      <w:marBottom w:val="180"/>
      <w:divBdr>
        <w:top w:val="none" w:sz="0" w:space="0" w:color="auto"/>
        <w:left w:val="none" w:sz="0" w:space="0" w:color="auto"/>
        <w:bottom w:val="none" w:sz="0" w:space="0" w:color="auto"/>
        <w:right w:val="none" w:sz="0" w:space="0" w:color="auto"/>
      </w:divBdr>
    </w:div>
    <w:div w:id="378674268">
      <w:marLeft w:val="0"/>
      <w:marRight w:val="0"/>
      <w:marTop w:val="60"/>
      <w:marBottom w:val="60"/>
      <w:divBdr>
        <w:top w:val="none" w:sz="0" w:space="0" w:color="auto"/>
        <w:left w:val="none" w:sz="0" w:space="0" w:color="auto"/>
        <w:bottom w:val="none" w:sz="0" w:space="0" w:color="auto"/>
        <w:right w:val="none" w:sz="0" w:space="0" w:color="auto"/>
      </w:divBdr>
      <w:divsChild>
        <w:div w:id="177742024">
          <w:marLeft w:val="0"/>
          <w:marRight w:val="0"/>
          <w:marTop w:val="0"/>
          <w:marBottom w:val="0"/>
          <w:divBdr>
            <w:top w:val="none" w:sz="0" w:space="0" w:color="auto"/>
            <w:left w:val="none" w:sz="0" w:space="0" w:color="auto"/>
            <w:bottom w:val="none" w:sz="0" w:space="0" w:color="auto"/>
            <w:right w:val="none" w:sz="0" w:space="0" w:color="auto"/>
          </w:divBdr>
        </w:div>
      </w:divsChild>
    </w:div>
    <w:div w:id="379012883">
      <w:marLeft w:val="0"/>
      <w:marRight w:val="0"/>
      <w:marTop w:val="180"/>
      <w:marBottom w:val="60"/>
      <w:divBdr>
        <w:top w:val="none" w:sz="0" w:space="0" w:color="auto"/>
        <w:left w:val="none" w:sz="0" w:space="0" w:color="auto"/>
        <w:bottom w:val="none" w:sz="0" w:space="0" w:color="auto"/>
        <w:right w:val="none" w:sz="0" w:space="0" w:color="auto"/>
      </w:divBdr>
    </w:div>
    <w:div w:id="381903160">
      <w:marLeft w:val="0"/>
      <w:marRight w:val="0"/>
      <w:marTop w:val="0"/>
      <w:marBottom w:val="0"/>
      <w:divBdr>
        <w:top w:val="none" w:sz="0" w:space="0" w:color="auto"/>
        <w:left w:val="none" w:sz="0" w:space="0" w:color="auto"/>
        <w:bottom w:val="none" w:sz="0" w:space="0" w:color="auto"/>
        <w:right w:val="none" w:sz="0" w:space="0" w:color="auto"/>
      </w:divBdr>
      <w:divsChild>
        <w:div w:id="828793123">
          <w:marLeft w:val="0"/>
          <w:marRight w:val="0"/>
          <w:marTop w:val="180"/>
          <w:marBottom w:val="180"/>
          <w:divBdr>
            <w:top w:val="none" w:sz="0" w:space="0" w:color="auto"/>
            <w:left w:val="none" w:sz="0" w:space="0" w:color="auto"/>
            <w:bottom w:val="none" w:sz="0" w:space="0" w:color="auto"/>
            <w:right w:val="none" w:sz="0" w:space="0" w:color="auto"/>
          </w:divBdr>
        </w:div>
      </w:divsChild>
    </w:div>
    <w:div w:id="384984263">
      <w:marLeft w:val="0"/>
      <w:marRight w:val="0"/>
      <w:marTop w:val="180"/>
      <w:marBottom w:val="180"/>
      <w:divBdr>
        <w:top w:val="none" w:sz="0" w:space="0" w:color="auto"/>
        <w:left w:val="none" w:sz="0" w:space="0" w:color="auto"/>
        <w:bottom w:val="none" w:sz="0" w:space="0" w:color="auto"/>
        <w:right w:val="none" w:sz="0" w:space="0" w:color="auto"/>
      </w:divBdr>
      <w:divsChild>
        <w:div w:id="2009555163">
          <w:marLeft w:val="0"/>
          <w:marRight w:val="0"/>
          <w:marTop w:val="0"/>
          <w:marBottom w:val="0"/>
          <w:divBdr>
            <w:top w:val="none" w:sz="0" w:space="0" w:color="auto"/>
            <w:left w:val="none" w:sz="0" w:space="0" w:color="auto"/>
            <w:bottom w:val="none" w:sz="0" w:space="0" w:color="auto"/>
            <w:right w:val="none" w:sz="0" w:space="0" w:color="auto"/>
          </w:divBdr>
        </w:div>
        <w:div w:id="1214149688">
          <w:marLeft w:val="0"/>
          <w:marRight w:val="0"/>
          <w:marTop w:val="0"/>
          <w:marBottom w:val="0"/>
          <w:divBdr>
            <w:top w:val="none" w:sz="0" w:space="0" w:color="auto"/>
            <w:left w:val="none" w:sz="0" w:space="0" w:color="auto"/>
            <w:bottom w:val="none" w:sz="0" w:space="0" w:color="auto"/>
            <w:right w:val="none" w:sz="0" w:space="0" w:color="auto"/>
          </w:divBdr>
        </w:div>
        <w:div w:id="1126701760">
          <w:marLeft w:val="0"/>
          <w:marRight w:val="0"/>
          <w:marTop w:val="0"/>
          <w:marBottom w:val="0"/>
          <w:divBdr>
            <w:top w:val="none" w:sz="0" w:space="0" w:color="auto"/>
            <w:left w:val="none" w:sz="0" w:space="0" w:color="auto"/>
            <w:bottom w:val="none" w:sz="0" w:space="0" w:color="auto"/>
            <w:right w:val="none" w:sz="0" w:space="0" w:color="auto"/>
          </w:divBdr>
        </w:div>
        <w:div w:id="1001811500">
          <w:marLeft w:val="0"/>
          <w:marRight w:val="0"/>
          <w:marTop w:val="0"/>
          <w:marBottom w:val="0"/>
          <w:divBdr>
            <w:top w:val="none" w:sz="0" w:space="0" w:color="auto"/>
            <w:left w:val="none" w:sz="0" w:space="0" w:color="auto"/>
            <w:bottom w:val="none" w:sz="0" w:space="0" w:color="auto"/>
            <w:right w:val="none" w:sz="0" w:space="0" w:color="auto"/>
          </w:divBdr>
        </w:div>
        <w:div w:id="1007757418">
          <w:marLeft w:val="0"/>
          <w:marRight w:val="0"/>
          <w:marTop w:val="0"/>
          <w:marBottom w:val="0"/>
          <w:divBdr>
            <w:top w:val="none" w:sz="0" w:space="0" w:color="auto"/>
            <w:left w:val="none" w:sz="0" w:space="0" w:color="auto"/>
            <w:bottom w:val="none" w:sz="0" w:space="0" w:color="auto"/>
            <w:right w:val="none" w:sz="0" w:space="0" w:color="auto"/>
          </w:divBdr>
        </w:div>
      </w:divsChild>
    </w:div>
    <w:div w:id="386606869">
      <w:marLeft w:val="0"/>
      <w:marRight w:val="0"/>
      <w:marTop w:val="0"/>
      <w:marBottom w:val="0"/>
      <w:divBdr>
        <w:top w:val="none" w:sz="0" w:space="0" w:color="auto"/>
        <w:left w:val="none" w:sz="0" w:space="0" w:color="auto"/>
        <w:bottom w:val="none" w:sz="0" w:space="0" w:color="auto"/>
        <w:right w:val="none" w:sz="0" w:space="0" w:color="auto"/>
      </w:divBdr>
      <w:divsChild>
        <w:div w:id="1997024747">
          <w:marLeft w:val="0"/>
          <w:marRight w:val="0"/>
          <w:marTop w:val="0"/>
          <w:marBottom w:val="0"/>
          <w:divBdr>
            <w:top w:val="none" w:sz="0" w:space="0" w:color="auto"/>
            <w:left w:val="none" w:sz="0" w:space="0" w:color="auto"/>
            <w:bottom w:val="none" w:sz="0" w:space="0" w:color="auto"/>
            <w:right w:val="none" w:sz="0" w:space="0" w:color="auto"/>
          </w:divBdr>
          <w:divsChild>
            <w:div w:id="14870148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6757640">
      <w:marLeft w:val="0"/>
      <w:marRight w:val="0"/>
      <w:marTop w:val="60"/>
      <w:marBottom w:val="60"/>
      <w:divBdr>
        <w:top w:val="none" w:sz="0" w:space="0" w:color="auto"/>
        <w:left w:val="none" w:sz="0" w:space="0" w:color="auto"/>
        <w:bottom w:val="none" w:sz="0" w:space="0" w:color="auto"/>
        <w:right w:val="none" w:sz="0" w:space="0" w:color="auto"/>
      </w:divBdr>
    </w:div>
    <w:div w:id="386876356">
      <w:marLeft w:val="0"/>
      <w:marRight w:val="0"/>
      <w:marTop w:val="180"/>
      <w:marBottom w:val="180"/>
      <w:divBdr>
        <w:top w:val="none" w:sz="0" w:space="0" w:color="auto"/>
        <w:left w:val="none" w:sz="0" w:space="0" w:color="auto"/>
        <w:bottom w:val="none" w:sz="0" w:space="0" w:color="auto"/>
        <w:right w:val="none" w:sz="0" w:space="0" w:color="auto"/>
      </w:divBdr>
    </w:div>
    <w:div w:id="393166115">
      <w:marLeft w:val="0"/>
      <w:marRight w:val="0"/>
      <w:marTop w:val="60"/>
      <w:marBottom w:val="60"/>
      <w:divBdr>
        <w:top w:val="none" w:sz="0" w:space="0" w:color="auto"/>
        <w:left w:val="none" w:sz="0" w:space="0" w:color="auto"/>
        <w:bottom w:val="none" w:sz="0" w:space="0" w:color="auto"/>
        <w:right w:val="none" w:sz="0" w:space="0" w:color="auto"/>
      </w:divBdr>
    </w:div>
    <w:div w:id="394015867">
      <w:marLeft w:val="0"/>
      <w:marRight w:val="0"/>
      <w:marTop w:val="0"/>
      <w:marBottom w:val="0"/>
      <w:divBdr>
        <w:top w:val="none" w:sz="0" w:space="0" w:color="auto"/>
        <w:left w:val="none" w:sz="0" w:space="0" w:color="auto"/>
        <w:bottom w:val="none" w:sz="0" w:space="0" w:color="auto"/>
        <w:right w:val="none" w:sz="0" w:space="0" w:color="auto"/>
      </w:divBdr>
    </w:div>
    <w:div w:id="394351339">
      <w:marLeft w:val="0"/>
      <w:marRight w:val="0"/>
      <w:marTop w:val="180"/>
      <w:marBottom w:val="180"/>
      <w:divBdr>
        <w:top w:val="none" w:sz="0" w:space="0" w:color="auto"/>
        <w:left w:val="none" w:sz="0" w:space="0" w:color="auto"/>
        <w:bottom w:val="none" w:sz="0" w:space="0" w:color="auto"/>
        <w:right w:val="none" w:sz="0" w:space="0" w:color="auto"/>
      </w:divBdr>
    </w:div>
    <w:div w:id="395008704">
      <w:marLeft w:val="0"/>
      <w:marRight w:val="0"/>
      <w:marTop w:val="60"/>
      <w:marBottom w:val="60"/>
      <w:divBdr>
        <w:top w:val="none" w:sz="0" w:space="0" w:color="auto"/>
        <w:left w:val="none" w:sz="0" w:space="0" w:color="auto"/>
        <w:bottom w:val="none" w:sz="0" w:space="0" w:color="auto"/>
        <w:right w:val="none" w:sz="0" w:space="0" w:color="auto"/>
      </w:divBdr>
    </w:div>
    <w:div w:id="399014207">
      <w:marLeft w:val="0"/>
      <w:marRight w:val="0"/>
      <w:marTop w:val="180"/>
      <w:marBottom w:val="60"/>
      <w:divBdr>
        <w:top w:val="none" w:sz="0" w:space="0" w:color="auto"/>
        <w:left w:val="none" w:sz="0" w:space="0" w:color="auto"/>
        <w:bottom w:val="none" w:sz="0" w:space="0" w:color="auto"/>
        <w:right w:val="none" w:sz="0" w:space="0" w:color="auto"/>
      </w:divBdr>
    </w:div>
    <w:div w:id="401296554">
      <w:marLeft w:val="0"/>
      <w:marRight w:val="0"/>
      <w:marTop w:val="60"/>
      <w:marBottom w:val="60"/>
      <w:divBdr>
        <w:top w:val="none" w:sz="0" w:space="0" w:color="auto"/>
        <w:left w:val="none" w:sz="0" w:space="0" w:color="auto"/>
        <w:bottom w:val="none" w:sz="0" w:space="0" w:color="auto"/>
        <w:right w:val="none" w:sz="0" w:space="0" w:color="auto"/>
      </w:divBdr>
    </w:div>
    <w:div w:id="401610607">
      <w:marLeft w:val="0"/>
      <w:marRight w:val="0"/>
      <w:marTop w:val="180"/>
      <w:marBottom w:val="180"/>
      <w:divBdr>
        <w:top w:val="none" w:sz="0" w:space="0" w:color="auto"/>
        <w:left w:val="none" w:sz="0" w:space="0" w:color="auto"/>
        <w:bottom w:val="none" w:sz="0" w:space="0" w:color="auto"/>
        <w:right w:val="none" w:sz="0" w:space="0" w:color="auto"/>
      </w:divBdr>
    </w:div>
    <w:div w:id="402339891">
      <w:marLeft w:val="0"/>
      <w:marRight w:val="0"/>
      <w:marTop w:val="60"/>
      <w:marBottom w:val="60"/>
      <w:divBdr>
        <w:top w:val="none" w:sz="0" w:space="0" w:color="auto"/>
        <w:left w:val="none" w:sz="0" w:space="0" w:color="auto"/>
        <w:bottom w:val="none" w:sz="0" w:space="0" w:color="auto"/>
        <w:right w:val="none" w:sz="0" w:space="0" w:color="auto"/>
      </w:divBdr>
    </w:div>
    <w:div w:id="402527715">
      <w:marLeft w:val="0"/>
      <w:marRight w:val="0"/>
      <w:marTop w:val="60"/>
      <w:marBottom w:val="60"/>
      <w:divBdr>
        <w:top w:val="none" w:sz="0" w:space="0" w:color="auto"/>
        <w:left w:val="none" w:sz="0" w:space="0" w:color="auto"/>
        <w:bottom w:val="none" w:sz="0" w:space="0" w:color="auto"/>
        <w:right w:val="none" w:sz="0" w:space="0" w:color="auto"/>
      </w:divBdr>
    </w:div>
    <w:div w:id="408189241">
      <w:marLeft w:val="0"/>
      <w:marRight w:val="0"/>
      <w:marTop w:val="180"/>
      <w:marBottom w:val="180"/>
      <w:divBdr>
        <w:top w:val="none" w:sz="0" w:space="0" w:color="auto"/>
        <w:left w:val="none" w:sz="0" w:space="0" w:color="auto"/>
        <w:bottom w:val="none" w:sz="0" w:space="0" w:color="auto"/>
        <w:right w:val="none" w:sz="0" w:space="0" w:color="auto"/>
      </w:divBdr>
    </w:div>
    <w:div w:id="408386878">
      <w:marLeft w:val="0"/>
      <w:marRight w:val="0"/>
      <w:marTop w:val="0"/>
      <w:marBottom w:val="0"/>
      <w:divBdr>
        <w:top w:val="none" w:sz="0" w:space="0" w:color="auto"/>
        <w:left w:val="none" w:sz="0" w:space="0" w:color="auto"/>
        <w:bottom w:val="none" w:sz="0" w:space="0" w:color="auto"/>
        <w:right w:val="none" w:sz="0" w:space="0" w:color="auto"/>
      </w:divBdr>
      <w:divsChild>
        <w:div w:id="171376941">
          <w:marLeft w:val="0"/>
          <w:marRight w:val="0"/>
          <w:marTop w:val="0"/>
          <w:marBottom w:val="0"/>
          <w:divBdr>
            <w:top w:val="none" w:sz="0" w:space="0" w:color="auto"/>
            <w:left w:val="none" w:sz="0" w:space="0" w:color="auto"/>
            <w:bottom w:val="none" w:sz="0" w:space="0" w:color="auto"/>
            <w:right w:val="none" w:sz="0" w:space="0" w:color="auto"/>
          </w:divBdr>
          <w:divsChild>
            <w:div w:id="563639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8968151">
      <w:marLeft w:val="0"/>
      <w:marRight w:val="0"/>
      <w:marTop w:val="0"/>
      <w:marBottom w:val="0"/>
      <w:divBdr>
        <w:top w:val="none" w:sz="0" w:space="0" w:color="auto"/>
        <w:left w:val="none" w:sz="0" w:space="0" w:color="auto"/>
        <w:bottom w:val="none" w:sz="0" w:space="0" w:color="auto"/>
        <w:right w:val="none" w:sz="0" w:space="0" w:color="auto"/>
      </w:divBdr>
      <w:divsChild>
        <w:div w:id="740516955">
          <w:marLeft w:val="0"/>
          <w:marRight w:val="0"/>
          <w:marTop w:val="0"/>
          <w:marBottom w:val="0"/>
          <w:divBdr>
            <w:top w:val="none" w:sz="0" w:space="0" w:color="auto"/>
            <w:left w:val="none" w:sz="0" w:space="0" w:color="auto"/>
            <w:bottom w:val="none" w:sz="0" w:space="0" w:color="auto"/>
            <w:right w:val="none" w:sz="0" w:space="0" w:color="auto"/>
          </w:divBdr>
          <w:divsChild>
            <w:div w:id="420231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12166815">
      <w:marLeft w:val="0"/>
      <w:marRight w:val="0"/>
      <w:marTop w:val="180"/>
      <w:marBottom w:val="180"/>
      <w:divBdr>
        <w:top w:val="none" w:sz="0" w:space="0" w:color="auto"/>
        <w:left w:val="none" w:sz="0" w:space="0" w:color="auto"/>
        <w:bottom w:val="none" w:sz="0" w:space="0" w:color="auto"/>
        <w:right w:val="none" w:sz="0" w:space="0" w:color="auto"/>
      </w:divBdr>
    </w:div>
    <w:div w:id="412776420">
      <w:marLeft w:val="0"/>
      <w:marRight w:val="0"/>
      <w:marTop w:val="100"/>
      <w:marBottom w:val="0"/>
      <w:divBdr>
        <w:top w:val="none" w:sz="0" w:space="0" w:color="auto"/>
        <w:left w:val="none" w:sz="0" w:space="0" w:color="auto"/>
        <w:bottom w:val="none" w:sz="0" w:space="0" w:color="auto"/>
        <w:right w:val="none" w:sz="0" w:space="0" w:color="auto"/>
      </w:divBdr>
      <w:divsChild>
        <w:div w:id="1799568652">
          <w:marLeft w:val="0"/>
          <w:marRight w:val="0"/>
          <w:marTop w:val="0"/>
          <w:marBottom w:val="0"/>
          <w:divBdr>
            <w:top w:val="none" w:sz="0" w:space="0" w:color="auto"/>
            <w:left w:val="none" w:sz="0" w:space="0" w:color="auto"/>
            <w:bottom w:val="none" w:sz="0" w:space="0" w:color="auto"/>
            <w:right w:val="none" w:sz="0" w:space="0" w:color="auto"/>
          </w:divBdr>
        </w:div>
      </w:divsChild>
    </w:div>
    <w:div w:id="412821422">
      <w:marLeft w:val="0"/>
      <w:marRight w:val="0"/>
      <w:marTop w:val="180"/>
      <w:marBottom w:val="180"/>
      <w:divBdr>
        <w:top w:val="none" w:sz="0" w:space="0" w:color="auto"/>
        <w:left w:val="none" w:sz="0" w:space="0" w:color="auto"/>
        <w:bottom w:val="none" w:sz="0" w:space="0" w:color="auto"/>
        <w:right w:val="none" w:sz="0" w:space="0" w:color="auto"/>
      </w:divBdr>
    </w:div>
    <w:div w:id="413861997">
      <w:marLeft w:val="0"/>
      <w:marRight w:val="0"/>
      <w:marTop w:val="60"/>
      <w:marBottom w:val="60"/>
      <w:divBdr>
        <w:top w:val="none" w:sz="0" w:space="0" w:color="auto"/>
        <w:left w:val="none" w:sz="0" w:space="0" w:color="auto"/>
        <w:bottom w:val="none" w:sz="0" w:space="0" w:color="auto"/>
        <w:right w:val="none" w:sz="0" w:space="0" w:color="auto"/>
      </w:divBdr>
      <w:divsChild>
        <w:div w:id="1838494256">
          <w:marLeft w:val="0"/>
          <w:marRight w:val="0"/>
          <w:marTop w:val="0"/>
          <w:marBottom w:val="0"/>
          <w:divBdr>
            <w:top w:val="none" w:sz="0" w:space="0" w:color="auto"/>
            <w:left w:val="none" w:sz="0" w:space="0" w:color="auto"/>
            <w:bottom w:val="none" w:sz="0" w:space="0" w:color="auto"/>
            <w:right w:val="none" w:sz="0" w:space="0" w:color="auto"/>
          </w:divBdr>
        </w:div>
        <w:div w:id="1741169163">
          <w:marLeft w:val="0"/>
          <w:marRight w:val="0"/>
          <w:marTop w:val="0"/>
          <w:marBottom w:val="0"/>
          <w:divBdr>
            <w:top w:val="none" w:sz="0" w:space="0" w:color="auto"/>
            <w:left w:val="none" w:sz="0" w:space="0" w:color="auto"/>
            <w:bottom w:val="none" w:sz="0" w:space="0" w:color="auto"/>
            <w:right w:val="none" w:sz="0" w:space="0" w:color="auto"/>
          </w:divBdr>
        </w:div>
        <w:div w:id="386491643">
          <w:marLeft w:val="0"/>
          <w:marRight w:val="0"/>
          <w:marTop w:val="0"/>
          <w:marBottom w:val="0"/>
          <w:divBdr>
            <w:top w:val="none" w:sz="0" w:space="0" w:color="auto"/>
            <w:left w:val="none" w:sz="0" w:space="0" w:color="auto"/>
            <w:bottom w:val="none" w:sz="0" w:space="0" w:color="auto"/>
            <w:right w:val="none" w:sz="0" w:space="0" w:color="auto"/>
          </w:divBdr>
        </w:div>
        <w:div w:id="517699891">
          <w:marLeft w:val="0"/>
          <w:marRight w:val="0"/>
          <w:marTop w:val="0"/>
          <w:marBottom w:val="0"/>
          <w:divBdr>
            <w:top w:val="none" w:sz="0" w:space="0" w:color="auto"/>
            <w:left w:val="none" w:sz="0" w:space="0" w:color="auto"/>
            <w:bottom w:val="none" w:sz="0" w:space="0" w:color="auto"/>
            <w:right w:val="none" w:sz="0" w:space="0" w:color="auto"/>
          </w:divBdr>
        </w:div>
      </w:divsChild>
    </w:div>
    <w:div w:id="414516560">
      <w:marLeft w:val="0"/>
      <w:marRight w:val="0"/>
      <w:marTop w:val="180"/>
      <w:marBottom w:val="180"/>
      <w:divBdr>
        <w:top w:val="none" w:sz="0" w:space="0" w:color="auto"/>
        <w:left w:val="none" w:sz="0" w:space="0" w:color="auto"/>
        <w:bottom w:val="none" w:sz="0" w:space="0" w:color="auto"/>
        <w:right w:val="none" w:sz="0" w:space="0" w:color="auto"/>
      </w:divBdr>
    </w:div>
    <w:div w:id="420177874">
      <w:marLeft w:val="0"/>
      <w:marRight w:val="0"/>
      <w:marTop w:val="180"/>
      <w:marBottom w:val="180"/>
      <w:divBdr>
        <w:top w:val="none" w:sz="0" w:space="0" w:color="auto"/>
        <w:left w:val="none" w:sz="0" w:space="0" w:color="auto"/>
        <w:bottom w:val="none" w:sz="0" w:space="0" w:color="auto"/>
        <w:right w:val="none" w:sz="0" w:space="0" w:color="auto"/>
      </w:divBdr>
    </w:div>
    <w:div w:id="421418413">
      <w:marLeft w:val="0"/>
      <w:marRight w:val="0"/>
      <w:marTop w:val="0"/>
      <w:marBottom w:val="0"/>
      <w:divBdr>
        <w:top w:val="none" w:sz="0" w:space="0" w:color="auto"/>
        <w:left w:val="none" w:sz="0" w:space="0" w:color="auto"/>
        <w:bottom w:val="none" w:sz="0" w:space="0" w:color="auto"/>
        <w:right w:val="none" w:sz="0" w:space="0" w:color="auto"/>
      </w:divBdr>
    </w:div>
    <w:div w:id="421949992">
      <w:marLeft w:val="0"/>
      <w:marRight w:val="0"/>
      <w:marTop w:val="240"/>
      <w:marBottom w:val="180"/>
      <w:divBdr>
        <w:top w:val="none" w:sz="0" w:space="0" w:color="auto"/>
        <w:left w:val="none" w:sz="0" w:space="0" w:color="auto"/>
        <w:bottom w:val="none" w:sz="0" w:space="0" w:color="auto"/>
        <w:right w:val="none" w:sz="0" w:space="0" w:color="auto"/>
      </w:divBdr>
    </w:div>
    <w:div w:id="422608506">
      <w:marLeft w:val="0"/>
      <w:marRight w:val="0"/>
      <w:marTop w:val="60"/>
      <w:marBottom w:val="60"/>
      <w:divBdr>
        <w:top w:val="none" w:sz="0" w:space="0" w:color="auto"/>
        <w:left w:val="none" w:sz="0" w:space="0" w:color="auto"/>
        <w:bottom w:val="none" w:sz="0" w:space="0" w:color="auto"/>
        <w:right w:val="none" w:sz="0" w:space="0" w:color="auto"/>
      </w:divBdr>
      <w:divsChild>
        <w:div w:id="1329286969">
          <w:marLeft w:val="0"/>
          <w:marRight w:val="0"/>
          <w:marTop w:val="0"/>
          <w:marBottom w:val="0"/>
          <w:divBdr>
            <w:top w:val="none" w:sz="0" w:space="0" w:color="auto"/>
            <w:left w:val="none" w:sz="0" w:space="0" w:color="auto"/>
            <w:bottom w:val="none" w:sz="0" w:space="0" w:color="auto"/>
            <w:right w:val="none" w:sz="0" w:space="0" w:color="auto"/>
          </w:divBdr>
        </w:div>
        <w:div w:id="1601714270">
          <w:marLeft w:val="0"/>
          <w:marRight w:val="0"/>
          <w:marTop w:val="0"/>
          <w:marBottom w:val="0"/>
          <w:divBdr>
            <w:top w:val="none" w:sz="0" w:space="0" w:color="auto"/>
            <w:left w:val="none" w:sz="0" w:space="0" w:color="auto"/>
            <w:bottom w:val="none" w:sz="0" w:space="0" w:color="auto"/>
            <w:right w:val="none" w:sz="0" w:space="0" w:color="auto"/>
          </w:divBdr>
        </w:div>
        <w:div w:id="376780585">
          <w:marLeft w:val="0"/>
          <w:marRight w:val="0"/>
          <w:marTop w:val="0"/>
          <w:marBottom w:val="0"/>
          <w:divBdr>
            <w:top w:val="none" w:sz="0" w:space="0" w:color="auto"/>
            <w:left w:val="none" w:sz="0" w:space="0" w:color="auto"/>
            <w:bottom w:val="none" w:sz="0" w:space="0" w:color="auto"/>
            <w:right w:val="none" w:sz="0" w:space="0" w:color="auto"/>
          </w:divBdr>
        </w:div>
        <w:div w:id="820119860">
          <w:marLeft w:val="0"/>
          <w:marRight w:val="0"/>
          <w:marTop w:val="0"/>
          <w:marBottom w:val="0"/>
          <w:divBdr>
            <w:top w:val="none" w:sz="0" w:space="0" w:color="auto"/>
            <w:left w:val="none" w:sz="0" w:space="0" w:color="auto"/>
            <w:bottom w:val="none" w:sz="0" w:space="0" w:color="auto"/>
            <w:right w:val="none" w:sz="0" w:space="0" w:color="auto"/>
          </w:divBdr>
        </w:div>
        <w:div w:id="211961087">
          <w:marLeft w:val="0"/>
          <w:marRight w:val="0"/>
          <w:marTop w:val="0"/>
          <w:marBottom w:val="0"/>
          <w:divBdr>
            <w:top w:val="none" w:sz="0" w:space="0" w:color="auto"/>
            <w:left w:val="none" w:sz="0" w:space="0" w:color="auto"/>
            <w:bottom w:val="none" w:sz="0" w:space="0" w:color="auto"/>
            <w:right w:val="none" w:sz="0" w:space="0" w:color="auto"/>
          </w:divBdr>
        </w:div>
        <w:div w:id="41633679">
          <w:marLeft w:val="0"/>
          <w:marRight w:val="0"/>
          <w:marTop w:val="0"/>
          <w:marBottom w:val="0"/>
          <w:divBdr>
            <w:top w:val="none" w:sz="0" w:space="0" w:color="auto"/>
            <w:left w:val="none" w:sz="0" w:space="0" w:color="auto"/>
            <w:bottom w:val="none" w:sz="0" w:space="0" w:color="auto"/>
            <w:right w:val="none" w:sz="0" w:space="0" w:color="auto"/>
          </w:divBdr>
        </w:div>
        <w:div w:id="1317808543">
          <w:marLeft w:val="0"/>
          <w:marRight w:val="0"/>
          <w:marTop w:val="0"/>
          <w:marBottom w:val="0"/>
          <w:divBdr>
            <w:top w:val="none" w:sz="0" w:space="0" w:color="auto"/>
            <w:left w:val="none" w:sz="0" w:space="0" w:color="auto"/>
            <w:bottom w:val="none" w:sz="0" w:space="0" w:color="auto"/>
            <w:right w:val="none" w:sz="0" w:space="0" w:color="auto"/>
          </w:divBdr>
        </w:div>
        <w:div w:id="1110587858">
          <w:marLeft w:val="0"/>
          <w:marRight w:val="0"/>
          <w:marTop w:val="0"/>
          <w:marBottom w:val="0"/>
          <w:divBdr>
            <w:top w:val="none" w:sz="0" w:space="0" w:color="auto"/>
            <w:left w:val="none" w:sz="0" w:space="0" w:color="auto"/>
            <w:bottom w:val="none" w:sz="0" w:space="0" w:color="auto"/>
            <w:right w:val="none" w:sz="0" w:space="0" w:color="auto"/>
          </w:divBdr>
        </w:div>
        <w:div w:id="1287542658">
          <w:marLeft w:val="0"/>
          <w:marRight w:val="0"/>
          <w:marTop w:val="0"/>
          <w:marBottom w:val="0"/>
          <w:divBdr>
            <w:top w:val="none" w:sz="0" w:space="0" w:color="auto"/>
            <w:left w:val="none" w:sz="0" w:space="0" w:color="auto"/>
            <w:bottom w:val="none" w:sz="0" w:space="0" w:color="auto"/>
            <w:right w:val="none" w:sz="0" w:space="0" w:color="auto"/>
          </w:divBdr>
        </w:div>
        <w:div w:id="1078945542">
          <w:marLeft w:val="0"/>
          <w:marRight w:val="0"/>
          <w:marTop w:val="0"/>
          <w:marBottom w:val="0"/>
          <w:divBdr>
            <w:top w:val="none" w:sz="0" w:space="0" w:color="auto"/>
            <w:left w:val="none" w:sz="0" w:space="0" w:color="auto"/>
            <w:bottom w:val="none" w:sz="0" w:space="0" w:color="auto"/>
            <w:right w:val="none" w:sz="0" w:space="0" w:color="auto"/>
          </w:divBdr>
        </w:div>
        <w:div w:id="1871143245">
          <w:marLeft w:val="0"/>
          <w:marRight w:val="0"/>
          <w:marTop w:val="0"/>
          <w:marBottom w:val="0"/>
          <w:divBdr>
            <w:top w:val="none" w:sz="0" w:space="0" w:color="auto"/>
            <w:left w:val="none" w:sz="0" w:space="0" w:color="auto"/>
            <w:bottom w:val="none" w:sz="0" w:space="0" w:color="auto"/>
            <w:right w:val="none" w:sz="0" w:space="0" w:color="auto"/>
          </w:divBdr>
        </w:div>
        <w:div w:id="2026781877">
          <w:marLeft w:val="0"/>
          <w:marRight w:val="0"/>
          <w:marTop w:val="0"/>
          <w:marBottom w:val="0"/>
          <w:divBdr>
            <w:top w:val="none" w:sz="0" w:space="0" w:color="auto"/>
            <w:left w:val="none" w:sz="0" w:space="0" w:color="auto"/>
            <w:bottom w:val="none" w:sz="0" w:space="0" w:color="auto"/>
            <w:right w:val="none" w:sz="0" w:space="0" w:color="auto"/>
          </w:divBdr>
        </w:div>
        <w:div w:id="2056733864">
          <w:marLeft w:val="0"/>
          <w:marRight w:val="0"/>
          <w:marTop w:val="0"/>
          <w:marBottom w:val="0"/>
          <w:divBdr>
            <w:top w:val="none" w:sz="0" w:space="0" w:color="auto"/>
            <w:left w:val="none" w:sz="0" w:space="0" w:color="auto"/>
            <w:bottom w:val="none" w:sz="0" w:space="0" w:color="auto"/>
            <w:right w:val="none" w:sz="0" w:space="0" w:color="auto"/>
          </w:divBdr>
        </w:div>
        <w:div w:id="1976791827">
          <w:marLeft w:val="0"/>
          <w:marRight w:val="0"/>
          <w:marTop w:val="0"/>
          <w:marBottom w:val="0"/>
          <w:divBdr>
            <w:top w:val="none" w:sz="0" w:space="0" w:color="auto"/>
            <w:left w:val="none" w:sz="0" w:space="0" w:color="auto"/>
            <w:bottom w:val="none" w:sz="0" w:space="0" w:color="auto"/>
            <w:right w:val="none" w:sz="0" w:space="0" w:color="auto"/>
          </w:divBdr>
        </w:div>
        <w:div w:id="1066998098">
          <w:marLeft w:val="0"/>
          <w:marRight w:val="0"/>
          <w:marTop w:val="0"/>
          <w:marBottom w:val="0"/>
          <w:divBdr>
            <w:top w:val="none" w:sz="0" w:space="0" w:color="auto"/>
            <w:left w:val="none" w:sz="0" w:space="0" w:color="auto"/>
            <w:bottom w:val="none" w:sz="0" w:space="0" w:color="auto"/>
            <w:right w:val="none" w:sz="0" w:space="0" w:color="auto"/>
          </w:divBdr>
        </w:div>
      </w:divsChild>
    </w:div>
    <w:div w:id="422842893">
      <w:marLeft w:val="0"/>
      <w:marRight w:val="0"/>
      <w:marTop w:val="180"/>
      <w:marBottom w:val="180"/>
      <w:divBdr>
        <w:top w:val="none" w:sz="0" w:space="0" w:color="auto"/>
        <w:left w:val="none" w:sz="0" w:space="0" w:color="auto"/>
        <w:bottom w:val="none" w:sz="0" w:space="0" w:color="auto"/>
        <w:right w:val="none" w:sz="0" w:space="0" w:color="auto"/>
      </w:divBdr>
    </w:div>
    <w:div w:id="423692336">
      <w:marLeft w:val="0"/>
      <w:marRight w:val="0"/>
      <w:marTop w:val="180"/>
      <w:marBottom w:val="180"/>
      <w:divBdr>
        <w:top w:val="none" w:sz="0" w:space="0" w:color="auto"/>
        <w:left w:val="none" w:sz="0" w:space="0" w:color="auto"/>
        <w:bottom w:val="none" w:sz="0" w:space="0" w:color="auto"/>
        <w:right w:val="none" w:sz="0" w:space="0" w:color="auto"/>
      </w:divBdr>
      <w:divsChild>
        <w:div w:id="1089738201">
          <w:marLeft w:val="0"/>
          <w:marRight w:val="0"/>
          <w:marTop w:val="0"/>
          <w:marBottom w:val="0"/>
          <w:divBdr>
            <w:top w:val="none" w:sz="0" w:space="0" w:color="auto"/>
            <w:left w:val="none" w:sz="0" w:space="0" w:color="auto"/>
            <w:bottom w:val="none" w:sz="0" w:space="0" w:color="auto"/>
            <w:right w:val="none" w:sz="0" w:space="0" w:color="auto"/>
          </w:divBdr>
        </w:div>
      </w:divsChild>
    </w:div>
    <w:div w:id="426462173">
      <w:marLeft w:val="0"/>
      <w:marRight w:val="0"/>
      <w:marTop w:val="180"/>
      <w:marBottom w:val="180"/>
      <w:divBdr>
        <w:top w:val="none" w:sz="0" w:space="0" w:color="auto"/>
        <w:left w:val="none" w:sz="0" w:space="0" w:color="auto"/>
        <w:bottom w:val="none" w:sz="0" w:space="0" w:color="auto"/>
        <w:right w:val="none" w:sz="0" w:space="0" w:color="auto"/>
      </w:divBdr>
    </w:div>
    <w:div w:id="427123465">
      <w:marLeft w:val="0"/>
      <w:marRight w:val="0"/>
      <w:marTop w:val="60"/>
      <w:marBottom w:val="60"/>
      <w:divBdr>
        <w:top w:val="none" w:sz="0" w:space="0" w:color="auto"/>
        <w:left w:val="none" w:sz="0" w:space="0" w:color="auto"/>
        <w:bottom w:val="none" w:sz="0" w:space="0" w:color="auto"/>
        <w:right w:val="none" w:sz="0" w:space="0" w:color="auto"/>
      </w:divBdr>
    </w:div>
    <w:div w:id="428963955">
      <w:marLeft w:val="0"/>
      <w:marRight w:val="0"/>
      <w:marTop w:val="180"/>
      <w:marBottom w:val="180"/>
      <w:divBdr>
        <w:top w:val="none" w:sz="0" w:space="0" w:color="auto"/>
        <w:left w:val="none" w:sz="0" w:space="0" w:color="auto"/>
        <w:bottom w:val="none" w:sz="0" w:space="0" w:color="auto"/>
        <w:right w:val="none" w:sz="0" w:space="0" w:color="auto"/>
      </w:divBdr>
    </w:div>
    <w:div w:id="430011676">
      <w:marLeft w:val="0"/>
      <w:marRight w:val="0"/>
      <w:marTop w:val="180"/>
      <w:marBottom w:val="180"/>
      <w:divBdr>
        <w:top w:val="none" w:sz="0" w:space="0" w:color="auto"/>
        <w:left w:val="none" w:sz="0" w:space="0" w:color="auto"/>
        <w:bottom w:val="none" w:sz="0" w:space="0" w:color="auto"/>
        <w:right w:val="none" w:sz="0" w:space="0" w:color="auto"/>
      </w:divBdr>
    </w:div>
    <w:div w:id="430786482">
      <w:marLeft w:val="0"/>
      <w:marRight w:val="0"/>
      <w:marTop w:val="100"/>
      <w:marBottom w:val="0"/>
      <w:divBdr>
        <w:top w:val="none" w:sz="0" w:space="0" w:color="auto"/>
        <w:left w:val="none" w:sz="0" w:space="0" w:color="auto"/>
        <w:bottom w:val="none" w:sz="0" w:space="0" w:color="auto"/>
        <w:right w:val="none" w:sz="0" w:space="0" w:color="auto"/>
      </w:divBdr>
    </w:div>
    <w:div w:id="432284002">
      <w:marLeft w:val="0"/>
      <w:marRight w:val="0"/>
      <w:marTop w:val="180"/>
      <w:marBottom w:val="180"/>
      <w:divBdr>
        <w:top w:val="none" w:sz="0" w:space="0" w:color="auto"/>
        <w:left w:val="none" w:sz="0" w:space="0" w:color="auto"/>
        <w:bottom w:val="none" w:sz="0" w:space="0" w:color="auto"/>
        <w:right w:val="none" w:sz="0" w:space="0" w:color="auto"/>
      </w:divBdr>
    </w:div>
    <w:div w:id="436758629">
      <w:marLeft w:val="0"/>
      <w:marRight w:val="0"/>
      <w:marTop w:val="180"/>
      <w:marBottom w:val="180"/>
      <w:divBdr>
        <w:top w:val="none" w:sz="0" w:space="0" w:color="auto"/>
        <w:left w:val="none" w:sz="0" w:space="0" w:color="auto"/>
        <w:bottom w:val="none" w:sz="0" w:space="0" w:color="auto"/>
        <w:right w:val="none" w:sz="0" w:space="0" w:color="auto"/>
      </w:divBdr>
    </w:div>
    <w:div w:id="439646761">
      <w:marLeft w:val="0"/>
      <w:marRight w:val="0"/>
      <w:marTop w:val="0"/>
      <w:marBottom w:val="0"/>
      <w:divBdr>
        <w:top w:val="none" w:sz="0" w:space="0" w:color="auto"/>
        <w:left w:val="none" w:sz="0" w:space="0" w:color="auto"/>
        <w:bottom w:val="none" w:sz="0" w:space="0" w:color="auto"/>
        <w:right w:val="none" w:sz="0" w:space="0" w:color="auto"/>
      </w:divBdr>
      <w:divsChild>
        <w:div w:id="1874078960">
          <w:marLeft w:val="0"/>
          <w:marRight w:val="0"/>
          <w:marTop w:val="0"/>
          <w:marBottom w:val="0"/>
          <w:divBdr>
            <w:top w:val="none" w:sz="0" w:space="0" w:color="auto"/>
            <w:left w:val="none" w:sz="0" w:space="0" w:color="auto"/>
            <w:bottom w:val="none" w:sz="0" w:space="0" w:color="auto"/>
            <w:right w:val="none" w:sz="0" w:space="0" w:color="auto"/>
          </w:divBdr>
          <w:divsChild>
            <w:div w:id="15828381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9688142">
      <w:marLeft w:val="0"/>
      <w:marRight w:val="0"/>
      <w:marTop w:val="0"/>
      <w:marBottom w:val="0"/>
      <w:divBdr>
        <w:top w:val="none" w:sz="0" w:space="0" w:color="auto"/>
        <w:left w:val="none" w:sz="0" w:space="0" w:color="auto"/>
        <w:bottom w:val="none" w:sz="0" w:space="0" w:color="auto"/>
        <w:right w:val="none" w:sz="0" w:space="0" w:color="auto"/>
      </w:divBdr>
      <w:divsChild>
        <w:div w:id="1506437255">
          <w:marLeft w:val="0"/>
          <w:marRight w:val="0"/>
          <w:marTop w:val="0"/>
          <w:marBottom w:val="0"/>
          <w:divBdr>
            <w:top w:val="none" w:sz="0" w:space="0" w:color="auto"/>
            <w:left w:val="none" w:sz="0" w:space="0" w:color="auto"/>
            <w:bottom w:val="none" w:sz="0" w:space="0" w:color="auto"/>
            <w:right w:val="none" w:sz="0" w:space="0" w:color="auto"/>
          </w:divBdr>
          <w:divsChild>
            <w:div w:id="11260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9842474">
      <w:marLeft w:val="0"/>
      <w:marRight w:val="0"/>
      <w:marTop w:val="180"/>
      <w:marBottom w:val="180"/>
      <w:divBdr>
        <w:top w:val="none" w:sz="0" w:space="0" w:color="auto"/>
        <w:left w:val="none" w:sz="0" w:space="0" w:color="auto"/>
        <w:bottom w:val="none" w:sz="0" w:space="0" w:color="auto"/>
        <w:right w:val="none" w:sz="0" w:space="0" w:color="auto"/>
      </w:divBdr>
    </w:div>
    <w:div w:id="440298802">
      <w:marLeft w:val="0"/>
      <w:marRight w:val="0"/>
      <w:marTop w:val="180"/>
      <w:marBottom w:val="180"/>
      <w:divBdr>
        <w:top w:val="none" w:sz="0" w:space="0" w:color="auto"/>
        <w:left w:val="none" w:sz="0" w:space="0" w:color="auto"/>
        <w:bottom w:val="none" w:sz="0" w:space="0" w:color="auto"/>
        <w:right w:val="none" w:sz="0" w:space="0" w:color="auto"/>
      </w:divBdr>
    </w:div>
    <w:div w:id="440496538">
      <w:marLeft w:val="0"/>
      <w:marRight w:val="0"/>
      <w:marTop w:val="60"/>
      <w:marBottom w:val="60"/>
      <w:divBdr>
        <w:top w:val="none" w:sz="0" w:space="0" w:color="auto"/>
        <w:left w:val="none" w:sz="0" w:space="0" w:color="auto"/>
        <w:bottom w:val="none" w:sz="0" w:space="0" w:color="auto"/>
        <w:right w:val="none" w:sz="0" w:space="0" w:color="auto"/>
      </w:divBdr>
    </w:div>
    <w:div w:id="442265186">
      <w:marLeft w:val="0"/>
      <w:marRight w:val="0"/>
      <w:marTop w:val="160"/>
      <w:marBottom w:val="0"/>
      <w:divBdr>
        <w:top w:val="none" w:sz="0" w:space="0" w:color="auto"/>
        <w:left w:val="none" w:sz="0" w:space="0" w:color="auto"/>
        <w:bottom w:val="none" w:sz="0" w:space="0" w:color="auto"/>
        <w:right w:val="none" w:sz="0" w:space="0" w:color="auto"/>
      </w:divBdr>
    </w:div>
    <w:div w:id="442655900">
      <w:marLeft w:val="0"/>
      <w:marRight w:val="0"/>
      <w:marTop w:val="0"/>
      <w:marBottom w:val="0"/>
      <w:divBdr>
        <w:top w:val="none" w:sz="0" w:space="0" w:color="auto"/>
        <w:left w:val="none" w:sz="0" w:space="0" w:color="auto"/>
        <w:bottom w:val="none" w:sz="0" w:space="0" w:color="auto"/>
        <w:right w:val="none" w:sz="0" w:space="0" w:color="auto"/>
      </w:divBdr>
      <w:divsChild>
        <w:div w:id="1495607096">
          <w:marLeft w:val="0"/>
          <w:marRight w:val="0"/>
          <w:marTop w:val="60"/>
          <w:marBottom w:val="180"/>
          <w:divBdr>
            <w:top w:val="none" w:sz="0" w:space="0" w:color="auto"/>
            <w:left w:val="none" w:sz="0" w:space="0" w:color="auto"/>
            <w:bottom w:val="none" w:sz="0" w:space="0" w:color="auto"/>
            <w:right w:val="none" w:sz="0" w:space="0" w:color="auto"/>
          </w:divBdr>
        </w:div>
      </w:divsChild>
    </w:div>
    <w:div w:id="447551075">
      <w:marLeft w:val="0"/>
      <w:marRight w:val="0"/>
      <w:marTop w:val="0"/>
      <w:marBottom w:val="0"/>
      <w:divBdr>
        <w:top w:val="none" w:sz="0" w:space="0" w:color="auto"/>
        <w:left w:val="none" w:sz="0" w:space="0" w:color="auto"/>
        <w:bottom w:val="none" w:sz="0" w:space="0" w:color="auto"/>
        <w:right w:val="none" w:sz="0" w:space="0" w:color="auto"/>
      </w:divBdr>
      <w:divsChild>
        <w:div w:id="1083840231">
          <w:marLeft w:val="0"/>
          <w:marRight w:val="0"/>
          <w:marTop w:val="60"/>
          <w:marBottom w:val="180"/>
          <w:divBdr>
            <w:top w:val="none" w:sz="0" w:space="0" w:color="auto"/>
            <w:left w:val="none" w:sz="0" w:space="0" w:color="auto"/>
            <w:bottom w:val="none" w:sz="0" w:space="0" w:color="auto"/>
            <w:right w:val="none" w:sz="0" w:space="0" w:color="auto"/>
          </w:divBdr>
        </w:div>
      </w:divsChild>
    </w:div>
    <w:div w:id="447774507">
      <w:marLeft w:val="0"/>
      <w:marRight w:val="0"/>
      <w:marTop w:val="180"/>
      <w:marBottom w:val="60"/>
      <w:divBdr>
        <w:top w:val="none" w:sz="0" w:space="0" w:color="auto"/>
        <w:left w:val="none" w:sz="0" w:space="0" w:color="auto"/>
        <w:bottom w:val="none" w:sz="0" w:space="0" w:color="auto"/>
        <w:right w:val="none" w:sz="0" w:space="0" w:color="auto"/>
      </w:divBdr>
    </w:div>
    <w:div w:id="450707474">
      <w:marLeft w:val="0"/>
      <w:marRight w:val="0"/>
      <w:marTop w:val="180"/>
      <w:marBottom w:val="180"/>
      <w:divBdr>
        <w:top w:val="none" w:sz="0" w:space="0" w:color="auto"/>
        <w:left w:val="none" w:sz="0" w:space="0" w:color="auto"/>
        <w:bottom w:val="none" w:sz="0" w:space="0" w:color="auto"/>
        <w:right w:val="none" w:sz="0" w:space="0" w:color="auto"/>
      </w:divBdr>
    </w:div>
    <w:div w:id="451171469">
      <w:marLeft w:val="0"/>
      <w:marRight w:val="0"/>
      <w:marTop w:val="0"/>
      <w:marBottom w:val="0"/>
      <w:divBdr>
        <w:top w:val="none" w:sz="0" w:space="0" w:color="auto"/>
        <w:left w:val="none" w:sz="0" w:space="0" w:color="auto"/>
        <w:bottom w:val="none" w:sz="0" w:space="0" w:color="auto"/>
        <w:right w:val="none" w:sz="0" w:space="0" w:color="auto"/>
      </w:divBdr>
    </w:div>
    <w:div w:id="452211596">
      <w:marLeft w:val="0"/>
      <w:marRight w:val="0"/>
      <w:marTop w:val="180"/>
      <w:marBottom w:val="180"/>
      <w:divBdr>
        <w:top w:val="none" w:sz="0" w:space="0" w:color="auto"/>
        <w:left w:val="none" w:sz="0" w:space="0" w:color="auto"/>
        <w:bottom w:val="none" w:sz="0" w:space="0" w:color="auto"/>
        <w:right w:val="none" w:sz="0" w:space="0" w:color="auto"/>
      </w:divBdr>
    </w:div>
    <w:div w:id="455568387">
      <w:marLeft w:val="0"/>
      <w:marRight w:val="0"/>
      <w:marTop w:val="180"/>
      <w:marBottom w:val="60"/>
      <w:divBdr>
        <w:top w:val="none" w:sz="0" w:space="0" w:color="auto"/>
        <w:left w:val="none" w:sz="0" w:space="0" w:color="auto"/>
        <w:bottom w:val="none" w:sz="0" w:space="0" w:color="auto"/>
        <w:right w:val="none" w:sz="0" w:space="0" w:color="auto"/>
      </w:divBdr>
    </w:div>
    <w:div w:id="459569904">
      <w:marLeft w:val="0"/>
      <w:marRight w:val="0"/>
      <w:marTop w:val="60"/>
      <w:marBottom w:val="60"/>
      <w:divBdr>
        <w:top w:val="none" w:sz="0" w:space="0" w:color="auto"/>
        <w:left w:val="none" w:sz="0" w:space="0" w:color="auto"/>
        <w:bottom w:val="none" w:sz="0" w:space="0" w:color="auto"/>
        <w:right w:val="none" w:sz="0" w:space="0" w:color="auto"/>
      </w:divBdr>
      <w:divsChild>
        <w:div w:id="1347513986">
          <w:marLeft w:val="0"/>
          <w:marRight w:val="0"/>
          <w:marTop w:val="0"/>
          <w:marBottom w:val="0"/>
          <w:divBdr>
            <w:top w:val="none" w:sz="0" w:space="0" w:color="auto"/>
            <w:left w:val="none" w:sz="0" w:space="0" w:color="auto"/>
            <w:bottom w:val="none" w:sz="0" w:space="0" w:color="auto"/>
            <w:right w:val="none" w:sz="0" w:space="0" w:color="auto"/>
          </w:divBdr>
        </w:div>
        <w:div w:id="365326974">
          <w:marLeft w:val="0"/>
          <w:marRight w:val="0"/>
          <w:marTop w:val="0"/>
          <w:marBottom w:val="0"/>
          <w:divBdr>
            <w:top w:val="none" w:sz="0" w:space="0" w:color="auto"/>
            <w:left w:val="none" w:sz="0" w:space="0" w:color="auto"/>
            <w:bottom w:val="none" w:sz="0" w:space="0" w:color="auto"/>
            <w:right w:val="none" w:sz="0" w:space="0" w:color="auto"/>
          </w:divBdr>
        </w:div>
      </w:divsChild>
    </w:div>
    <w:div w:id="463042352">
      <w:marLeft w:val="0"/>
      <w:marRight w:val="0"/>
      <w:marTop w:val="100"/>
      <w:marBottom w:val="0"/>
      <w:divBdr>
        <w:top w:val="none" w:sz="0" w:space="0" w:color="auto"/>
        <w:left w:val="none" w:sz="0" w:space="0" w:color="auto"/>
        <w:bottom w:val="none" w:sz="0" w:space="0" w:color="auto"/>
        <w:right w:val="none" w:sz="0" w:space="0" w:color="auto"/>
      </w:divBdr>
    </w:div>
    <w:div w:id="464082963">
      <w:marLeft w:val="0"/>
      <w:marRight w:val="0"/>
      <w:marTop w:val="60"/>
      <w:marBottom w:val="60"/>
      <w:divBdr>
        <w:top w:val="none" w:sz="0" w:space="0" w:color="auto"/>
        <w:left w:val="none" w:sz="0" w:space="0" w:color="auto"/>
        <w:bottom w:val="none" w:sz="0" w:space="0" w:color="auto"/>
        <w:right w:val="none" w:sz="0" w:space="0" w:color="auto"/>
      </w:divBdr>
      <w:divsChild>
        <w:div w:id="527643757">
          <w:marLeft w:val="0"/>
          <w:marRight w:val="0"/>
          <w:marTop w:val="0"/>
          <w:marBottom w:val="0"/>
          <w:divBdr>
            <w:top w:val="none" w:sz="0" w:space="0" w:color="auto"/>
            <w:left w:val="none" w:sz="0" w:space="0" w:color="auto"/>
            <w:bottom w:val="none" w:sz="0" w:space="0" w:color="auto"/>
            <w:right w:val="none" w:sz="0" w:space="0" w:color="auto"/>
          </w:divBdr>
        </w:div>
        <w:div w:id="1572883551">
          <w:marLeft w:val="0"/>
          <w:marRight w:val="0"/>
          <w:marTop w:val="0"/>
          <w:marBottom w:val="0"/>
          <w:divBdr>
            <w:top w:val="none" w:sz="0" w:space="0" w:color="auto"/>
            <w:left w:val="none" w:sz="0" w:space="0" w:color="auto"/>
            <w:bottom w:val="none" w:sz="0" w:space="0" w:color="auto"/>
            <w:right w:val="none" w:sz="0" w:space="0" w:color="auto"/>
          </w:divBdr>
        </w:div>
        <w:div w:id="2011786041">
          <w:marLeft w:val="0"/>
          <w:marRight w:val="0"/>
          <w:marTop w:val="0"/>
          <w:marBottom w:val="0"/>
          <w:divBdr>
            <w:top w:val="none" w:sz="0" w:space="0" w:color="auto"/>
            <w:left w:val="none" w:sz="0" w:space="0" w:color="auto"/>
            <w:bottom w:val="none" w:sz="0" w:space="0" w:color="auto"/>
            <w:right w:val="none" w:sz="0" w:space="0" w:color="auto"/>
          </w:divBdr>
        </w:div>
        <w:div w:id="106698615">
          <w:marLeft w:val="0"/>
          <w:marRight w:val="0"/>
          <w:marTop w:val="0"/>
          <w:marBottom w:val="0"/>
          <w:divBdr>
            <w:top w:val="none" w:sz="0" w:space="0" w:color="auto"/>
            <w:left w:val="none" w:sz="0" w:space="0" w:color="auto"/>
            <w:bottom w:val="none" w:sz="0" w:space="0" w:color="auto"/>
            <w:right w:val="none" w:sz="0" w:space="0" w:color="auto"/>
          </w:divBdr>
        </w:div>
        <w:div w:id="1089541530">
          <w:marLeft w:val="0"/>
          <w:marRight w:val="0"/>
          <w:marTop w:val="0"/>
          <w:marBottom w:val="0"/>
          <w:divBdr>
            <w:top w:val="none" w:sz="0" w:space="0" w:color="auto"/>
            <w:left w:val="none" w:sz="0" w:space="0" w:color="auto"/>
            <w:bottom w:val="none" w:sz="0" w:space="0" w:color="auto"/>
            <w:right w:val="none" w:sz="0" w:space="0" w:color="auto"/>
          </w:divBdr>
        </w:div>
      </w:divsChild>
    </w:div>
    <w:div w:id="464086130">
      <w:marLeft w:val="0"/>
      <w:marRight w:val="0"/>
      <w:marTop w:val="180"/>
      <w:marBottom w:val="180"/>
      <w:divBdr>
        <w:top w:val="none" w:sz="0" w:space="0" w:color="auto"/>
        <w:left w:val="none" w:sz="0" w:space="0" w:color="auto"/>
        <w:bottom w:val="none" w:sz="0" w:space="0" w:color="auto"/>
        <w:right w:val="none" w:sz="0" w:space="0" w:color="auto"/>
      </w:divBdr>
    </w:div>
    <w:div w:id="466094434">
      <w:marLeft w:val="0"/>
      <w:marRight w:val="0"/>
      <w:marTop w:val="180"/>
      <w:marBottom w:val="60"/>
      <w:divBdr>
        <w:top w:val="none" w:sz="0" w:space="0" w:color="auto"/>
        <w:left w:val="none" w:sz="0" w:space="0" w:color="auto"/>
        <w:bottom w:val="none" w:sz="0" w:space="0" w:color="auto"/>
        <w:right w:val="none" w:sz="0" w:space="0" w:color="auto"/>
      </w:divBdr>
    </w:div>
    <w:div w:id="467824743">
      <w:marLeft w:val="0"/>
      <w:marRight w:val="0"/>
      <w:marTop w:val="180"/>
      <w:marBottom w:val="180"/>
      <w:divBdr>
        <w:top w:val="none" w:sz="0" w:space="0" w:color="auto"/>
        <w:left w:val="none" w:sz="0" w:space="0" w:color="auto"/>
        <w:bottom w:val="none" w:sz="0" w:space="0" w:color="auto"/>
        <w:right w:val="none" w:sz="0" w:space="0" w:color="auto"/>
      </w:divBdr>
    </w:div>
    <w:div w:id="468278746">
      <w:marLeft w:val="0"/>
      <w:marRight w:val="0"/>
      <w:marTop w:val="180"/>
      <w:marBottom w:val="180"/>
      <w:divBdr>
        <w:top w:val="none" w:sz="0" w:space="0" w:color="auto"/>
        <w:left w:val="none" w:sz="0" w:space="0" w:color="auto"/>
        <w:bottom w:val="none" w:sz="0" w:space="0" w:color="auto"/>
        <w:right w:val="none" w:sz="0" w:space="0" w:color="auto"/>
      </w:divBdr>
    </w:div>
    <w:div w:id="469133602">
      <w:marLeft w:val="0"/>
      <w:marRight w:val="0"/>
      <w:marTop w:val="180"/>
      <w:marBottom w:val="180"/>
      <w:divBdr>
        <w:top w:val="none" w:sz="0" w:space="0" w:color="auto"/>
        <w:left w:val="none" w:sz="0" w:space="0" w:color="auto"/>
        <w:bottom w:val="none" w:sz="0" w:space="0" w:color="auto"/>
        <w:right w:val="none" w:sz="0" w:space="0" w:color="auto"/>
      </w:divBdr>
    </w:div>
    <w:div w:id="469714428">
      <w:marLeft w:val="0"/>
      <w:marRight w:val="0"/>
      <w:marTop w:val="0"/>
      <w:marBottom w:val="0"/>
      <w:divBdr>
        <w:top w:val="none" w:sz="0" w:space="0" w:color="auto"/>
        <w:left w:val="none" w:sz="0" w:space="0" w:color="auto"/>
        <w:bottom w:val="none" w:sz="0" w:space="0" w:color="auto"/>
        <w:right w:val="none" w:sz="0" w:space="0" w:color="auto"/>
      </w:divBdr>
    </w:div>
    <w:div w:id="470560165">
      <w:marLeft w:val="0"/>
      <w:marRight w:val="0"/>
      <w:marTop w:val="0"/>
      <w:marBottom w:val="0"/>
      <w:divBdr>
        <w:top w:val="none" w:sz="0" w:space="0" w:color="auto"/>
        <w:left w:val="none" w:sz="0" w:space="0" w:color="auto"/>
        <w:bottom w:val="none" w:sz="0" w:space="0" w:color="auto"/>
        <w:right w:val="none" w:sz="0" w:space="0" w:color="auto"/>
      </w:divBdr>
      <w:divsChild>
        <w:div w:id="137695864">
          <w:marLeft w:val="0"/>
          <w:marRight w:val="0"/>
          <w:marTop w:val="60"/>
          <w:marBottom w:val="180"/>
          <w:divBdr>
            <w:top w:val="none" w:sz="0" w:space="0" w:color="auto"/>
            <w:left w:val="none" w:sz="0" w:space="0" w:color="auto"/>
            <w:bottom w:val="none" w:sz="0" w:space="0" w:color="auto"/>
            <w:right w:val="none" w:sz="0" w:space="0" w:color="auto"/>
          </w:divBdr>
        </w:div>
      </w:divsChild>
    </w:div>
    <w:div w:id="470708070">
      <w:marLeft w:val="0"/>
      <w:marRight w:val="0"/>
      <w:marTop w:val="0"/>
      <w:marBottom w:val="0"/>
      <w:divBdr>
        <w:top w:val="none" w:sz="0" w:space="0" w:color="auto"/>
        <w:left w:val="none" w:sz="0" w:space="0" w:color="auto"/>
        <w:bottom w:val="none" w:sz="0" w:space="0" w:color="auto"/>
        <w:right w:val="none" w:sz="0" w:space="0" w:color="auto"/>
      </w:divBdr>
      <w:divsChild>
        <w:div w:id="725302877">
          <w:marLeft w:val="0"/>
          <w:marRight w:val="0"/>
          <w:marTop w:val="0"/>
          <w:marBottom w:val="0"/>
          <w:divBdr>
            <w:top w:val="none" w:sz="0" w:space="0" w:color="auto"/>
            <w:left w:val="none" w:sz="0" w:space="0" w:color="auto"/>
            <w:bottom w:val="none" w:sz="0" w:space="0" w:color="auto"/>
            <w:right w:val="none" w:sz="0" w:space="0" w:color="auto"/>
          </w:divBdr>
          <w:divsChild>
            <w:div w:id="3499868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70828781">
      <w:marLeft w:val="0"/>
      <w:marRight w:val="0"/>
      <w:marTop w:val="180"/>
      <w:marBottom w:val="180"/>
      <w:divBdr>
        <w:top w:val="none" w:sz="0" w:space="0" w:color="auto"/>
        <w:left w:val="none" w:sz="0" w:space="0" w:color="auto"/>
        <w:bottom w:val="none" w:sz="0" w:space="0" w:color="auto"/>
        <w:right w:val="none" w:sz="0" w:space="0" w:color="auto"/>
      </w:divBdr>
    </w:div>
    <w:div w:id="471824437">
      <w:marLeft w:val="0"/>
      <w:marRight w:val="0"/>
      <w:marTop w:val="60"/>
      <w:marBottom w:val="60"/>
      <w:divBdr>
        <w:top w:val="none" w:sz="0" w:space="0" w:color="auto"/>
        <w:left w:val="none" w:sz="0" w:space="0" w:color="auto"/>
        <w:bottom w:val="none" w:sz="0" w:space="0" w:color="auto"/>
        <w:right w:val="none" w:sz="0" w:space="0" w:color="auto"/>
      </w:divBdr>
    </w:div>
    <w:div w:id="472060891">
      <w:marLeft w:val="0"/>
      <w:marRight w:val="0"/>
      <w:marTop w:val="180"/>
      <w:marBottom w:val="60"/>
      <w:divBdr>
        <w:top w:val="none" w:sz="0" w:space="0" w:color="auto"/>
        <w:left w:val="none" w:sz="0" w:space="0" w:color="auto"/>
        <w:bottom w:val="none" w:sz="0" w:space="0" w:color="auto"/>
        <w:right w:val="none" w:sz="0" w:space="0" w:color="auto"/>
      </w:divBdr>
    </w:div>
    <w:div w:id="472599405">
      <w:marLeft w:val="0"/>
      <w:marRight w:val="0"/>
      <w:marTop w:val="180"/>
      <w:marBottom w:val="180"/>
      <w:divBdr>
        <w:top w:val="none" w:sz="0" w:space="0" w:color="auto"/>
        <w:left w:val="none" w:sz="0" w:space="0" w:color="auto"/>
        <w:bottom w:val="none" w:sz="0" w:space="0" w:color="auto"/>
        <w:right w:val="none" w:sz="0" w:space="0" w:color="auto"/>
      </w:divBdr>
    </w:div>
    <w:div w:id="472605539">
      <w:marLeft w:val="0"/>
      <w:marRight w:val="0"/>
      <w:marTop w:val="0"/>
      <w:marBottom w:val="0"/>
      <w:divBdr>
        <w:top w:val="none" w:sz="0" w:space="0" w:color="auto"/>
        <w:left w:val="none" w:sz="0" w:space="0" w:color="auto"/>
        <w:bottom w:val="none" w:sz="0" w:space="0" w:color="auto"/>
        <w:right w:val="none" w:sz="0" w:space="0" w:color="auto"/>
      </w:divBdr>
    </w:div>
    <w:div w:id="474565751">
      <w:marLeft w:val="0"/>
      <w:marRight w:val="0"/>
      <w:marTop w:val="180"/>
      <w:marBottom w:val="180"/>
      <w:divBdr>
        <w:top w:val="none" w:sz="0" w:space="0" w:color="auto"/>
        <w:left w:val="none" w:sz="0" w:space="0" w:color="auto"/>
        <w:bottom w:val="none" w:sz="0" w:space="0" w:color="auto"/>
        <w:right w:val="none" w:sz="0" w:space="0" w:color="auto"/>
      </w:divBdr>
    </w:div>
    <w:div w:id="475147208">
      <w:marLeft w:val="0"/>
      <w:marRight w:val="0"/>
      <w:marTop w:val="180"/>
      <w:marBottom w:val="180"/>
      <w:divBdr>
        <w:top w:val="none" w:sz="0" w:space="0" w:color="auto"/>
        <w:left w:val="none" w:sz="0" w:space="0" w:color="auto"/>
        <w:bottom w:val="none" w:sz="0" w:space="0" w:color="auto"/>
        <w:right w:val="none" w:sz="0" w:space="0" w:color="auto"/>
      </w:divBdr>
    </w:div>
    <w:div w:id="478965912">
      <w:marLeft w:val="0"/>
      <w:marRight w:val="0"/>
      <w:marTop w:val="60"/>
      <w:marBottom w:val="60"/>
      <w:divBdr>
        <w:top w:val="none" w:sz="0" w:space="0" w:color="auto"/>
        <w:left w:val="none" w:sz="0" w:space="0" w:color="auto"/>
        <w:bottom w:val="none" w:sz="0" w:space="0" w:color="auto"/>
        <w:right w:val="none" w:sz="0" w:space="0" w:color="auto"/>
      </w:divBdr>
    </w:div>
    <w:div w:id="480852700">
      <w:marLeft w:val="0"/>
      <w:marRight w:val="0"/>
      <w:marTop w:val="180"/>
      <w:marBottom w:val="180"/>
      <w:divBdr>
        <w:top w:val="none" w:sz="0" w:space="0" w:color="auto"/>
        <w:left w:val="none" w:sz="0" w:space="0" w:color="auto"/>
        <w:bottom w:val="none" w:sz="0" w:space="0" w:color="auto"/>
        <w:right w:val="none" w:sz="0" w:space="0" w:color="auto"/>
      </w:divBdr>
    </w:div>
    <w:div w:id="484661468">
      <w:marLeft w:val="0"/>
      <w:marRight w:val="0"/>
      <w:marTop w:val="180"/>
      <w:marBottom w:val="180"/>
      <w:divBdr>
        <w:top w:val="none" w:sz="0" w:space="0" w:color="auto"/>
        <w:left w:val="none" w:sz="0" w:space="0" w:color="auto"/>
        <w:bottom w:val="none" w:sz="0" w:space="0" w:color="auto"/>
        <w:right w:val="none" w:sz="0" w:space="0" w:color="auto"/>
      </w:divBdr>
    </w:div>
    <w:div w:id="486439557">
      <w:marLeft w:val="0"/>
      <w:marRight w:val="0"/>
      <w:marTop w:val="180"/>
      <w:marBottom w:val="180"/>
      <w:divBdr>
        <w:top w:val="none" w:sz="0" w:space="0" w:color="auto"/>
        <w:left w:val="none" w:sz="0" w:space="0" w:color="auto"/>
        <w:bottom w:val="none" w:sz="0" w:space="0" w:color="auto"/>
        <w:right w:val="none" w:sz="0" w:space="0" w:color="auto"/>
      </w:divBdr>
    </w:div>
    <w:div w:id="486670565">
      <w:marLeft w:val="0"/>
      <w:marRight w:val="0"/>
      <w:marTop w:val="180"/>
      <w:marBottom w:val="180"/>
      <w:divBdr>
        <w:top w:val="none" w:sz="0" w:space="0" w:color="auto"/>
        <w:left w:val="none" w:sz="0" w:space="0" w:color="auto"/>
        <w:bottom w:val="none" w:sz="0" w:space="0" w:color="auto"/>
        <w:right w:val="none" w:sz="0" w:space="0" w:color="auto"/>
      </w:divBdr>
    </w:div>
    <w:div w:id="488785223">
      <w:marLeft w:val="0"/>
      <w:marRight w:val="0"/>
      <w:marTop w:val="180"/>
      <w:marBottom w:val="180"/>
      <w:divBdr>
        <w:top w:val="none" w:sz="0" w:space="0" w:color="auto"/>
        <w:left w:val="none" w:sz="0" w:space="0" w:color="auto"/>
        <w:bottom w:val="none" w:sz="0" w:space="0" w:color="auto"/>
        <w:right w:val="none" w:sz="0" w:space="0" w:color="auto"/>
      </w:divBdr>
    </w:div>
    <w:div w:id="488794716">
      <w:marLeft w:val="0"/>
      <w:marRight w:val="0"/>
      <w:marTop w:val="60"/>
      <w:marBottom w:val="60"/>
      <w:divBdr>
        <w:top w:val="none" w:sz="0" w:space="0" w:color="auto"/>
        <w:left w:val="none" w:sz="0" w:space="0" w:color="auto"/>
        <w:bottom w:val="none" w:sz="0" w:space="0" w:color="auto"/>
        <w:right w:val="none" w:sz="0" w:space="0" w:color="auto"/>
      </w:divBdr>
    </w:div>
    <w:div w:id="488981052">
      <w:marLeft w:val="0"/>
      <w:marRight w:val="0"/>
      <w:marTop w:val="180"/>
      <w:marBottom w:val="0"/>
      <w:divBdr>
        <w:top w:val="none" w:sz="0" w:space="0" w:color="auto"/>
        <w:left w:val="none" w:sz="0" w:space="0" w:color="auto"/>
        <w:bottom w:val="none" w:sz="0" w:space="0" w:color="auto"/>
        <w:right w:val="none" w:sz="0" w:space="0" w:color="auto"/>
      </w:divBdr>
      <w:divsChild>
        <w:div w:id="1947273393">
          <w:marLeft w:val="0"/>
          <w:marRight w:val="0"/>
          <w:marTop w:val="0"/>
          <w:marBottom w:val="0"/>
          <w:divBdr>
            <w:top w:val="none" w:sz="0" w:space="0" w:color="auto"/>
            <w:left w:val="none" w:sz="0" w:space="0" w:color="auto"/>
            <w:bottom w:val="none" w:sz="0" w:space="0" w:color="auto"/>
            <w:right w:val="none" w:sz="0" w:space="0" w:color="auto"/>
          </w:divBdr>
        </w:div>
        <w:div w:id="1785152724">
          <w:marLeft w:val="0"/>
          <w:marRight w:val="0"/>
          <w:marTop w:val="0"/>
          <w:marBottom w:val="0"/>
          <w:divBdr>
            <w:top w:val="none" w:sz="0" w:space="0" w:color="auto"/>
            <w:left w:val="none" w:sz="0" w:space="0" w:color="auto"/>
            <w:bottom w:val="none" w:sz="0" w:space="0" w:color="auto"/>
            <w:right w:val="none" w:sz="0" w:space="0" w:color="auto"/>
          </w:divBdr>
        </w:div>
      </w:divsChild>
    </w:div>
    <w:div w:id="489322901">
      <w:marLeft w:val="0"/>
      <w:marRight w:val="0"/>
      <w:marTop w:val="60"/>
      <w:marBottom w:val="60"/>
      <w:divBdr>
        <w:top w:val="none" w:sz="0" w:space="0" w:color="auto"/>
        <w:left w:val="none" w:sz="0" w:space="0" w:color="auto"/>
        <w:bottom w:val="none" w:sz="0" w:space="0" w:color="auto"/>
        <w:right w:val="none" w:sz="0" w:space="0" w:color="auto"/>
      </w:divBdr>
    </w:div>
    <w:div w:id="492841313">
      <w:marLeft w:val="0"/>
      <w:marRight w:val="0"/>
      <w:marTop w:val="180"/>
      <w:marBottom w:val="180"/>
      <w:divBdr>
        <w:top w:val="none" w:sz="0" w:space="0" w:color="auto"/>
        <w:left w:val="none" w:sz="0" w:space="0" w:color="auto"/>
        <w:bottom w:val="none" w:sz="0" w:space="0" w:color="auto"/>
        <w:right w:val="none" w:sz="0" w:space="0" w:color="auto"/>
      </w:divBdr>
    </w:div>
    <w:div w:id="493690793">
      <w:marLeft w:val="0"/>
      <w:marRight w:val="0"/>
      <w:marTop w:val="180"/>
      <w:marBottom w:val="180"/>
      <w:divBdr>
        <w:top w:val="none" w:sz="0" w:space="0" w:color="auto"/>
        <w:left w:val="none" w:sz="0" w:space="0" w:color="auto"/>
        <w:bottom w:val="none" w:sz="0" w:space="0" w:color="auto"/>
        <w:right w:val="none" w:sz="0" w:space="0" w:color="auto"/>
      </w:divBdr>
    </w:div>
    <w:div w:id="494149105">
      <w:marLeft w:val="0"/>
      <w:marRight w:val="0"/>
      <w:marTop w:val="180"/>
      <w:marBottom w:val="180"/>
      <w:divBdr>
        <w:top w:val="none" w:sz="0" w:space="0" w:color="auto"/>
        <w:left w:val="none" w:sz="0" w:space="0" w:color="auto"/>
        <w:bottom w:val="none" w:sz="0" w:space="0" w:color="auto"/>
        <w:right w:val="none" w:sz="0" w:space="0" w:color="auto"/>
      </w:divBdr>
    </w:div>
    <w:div w:id="494497072">
      <w:marLeft w:val="0"/>
      <w:marRight w:val="0"/>
      <w:marTop w:val="180"/>
      <w:marBottom w:val="180"/>
      <w:divBdr>
        <w:top w:val="none" w:sz="0" w:space="0" w:color="auto"/>
        <w:left w:val="none" w:sz="0" w:space="0" w:color="auto"/>
        <w:bottom w:val="none" w:sz="0" w:space="0" w:color="auto"/>
        <w:right w:val="none" w:sz="0" w:space="0" w:color="auto"/>
      </w:divBdr>
    </w:div>
    <w:div w:id="494877491">
      <w:marLeft w:val="0"/>
      <w:marRight w:val="0"/>
      <w:marTop w:val="180"/>
      <w:marBottom w:val="180"/>
      <w:divBdr>
        <w:top w:val="none" w:sz="0" w:space="0" w:color="auto"/>
        <w:left w:val="none" w:sz="0" w:space="0" w:color="auto"/>
        <w:bottom w:val="none" w:sz="0" w:space="0" w:color="auto"/>
        <w:right w:val="none" w:sz="0" w:space="0" w:color="auto"/>
      </w:divBdr>
      <w:divsChild>
        <w:div w:id="345988090">
          <w:marLeft w:val="0"/>
          <w:marRight w:val="0"/>
          <w:marTop w:val="0"/>
          <w:marBottom w:val="0"/>
          <w:divBdr>
            <w:top w:val="none" w:sz="0" w:space="0" w:color="auto"/>
            <w:left w:val="none" w:sz="0" w:space="0" w:color="auto"/>
            <w:bottom w:val="none" w:sz="0" w:space="0" w:color="auto"/>
            <w:right w:val="none" w:sz="0" w:space="0" w:color="auto"/>
          </w:divBdr>
        </w:div>
      </w:divsChild>
    </w:div>
    <w:div w:id="496073442">
      <w:marLeft w:val="0"/>
      <w:marRight w:val="0"/>
      <w:marTop w:val="180"/>
      <w:marBottom w:val="180"/>
      <w:divBdr>
        <w:top w:val="none" w:sz="0" w:space="0" w:color="auto"/>
        <w:left w:val="none" w:sz="0" w:space="0" w:color="auto"/>
        <w:bottom w:val="none" w:sz="0" w:space="0" w:color="auto"/>
        <w:right w:val="none" w:sz="0" w:space="0" w:color="auto"/>
      </w:divBdr>
    </w:div>
    <w:div w:id="496120443">
      <w:marLeft w:val="0"/>
      <w:marRight w:val="0"/>
      <w:marTop w:val="0"/>
      <w:marBottom w:val="0"/>
      <w:divBdr>
        <w:top w:val="none" w:sz="0" w:space="0" w:color="auto"/>
        <w:left w:val="none" w:sz="0" w:space="0" w:color="auto"/>
        <w:bottom w:val="none" w:sz="0" w:space="0" w:color="auto"/>
        <w:right w:val="none" w:sz="0" w:space="0" w:color="auto"/>
      </w:divBdr>
    </w:div>
    <w:div w:id="499657844">
      <w:marLeft w:val="0"/>
      <w:marRight w:val="0"/>
      <w:marTop w:val="100"/>
      <w:marBottom w:val="0"/>
      <w:divBdr>
        <w:top w:val="none" w:sz="0" w:space="0" w:color="auto"/>
        <w:left w:val="none" w:sz="0" w:space="0" w:color="auto"/>
        <w:bottom w:val="none" w:sz="0" w:space="0" w:color="auto"/>
        <w:right w:val="none" w:sz="0" w:space="0" w:color="auto"/>
      </w:divBdr>
      <w:divsChild>
        <w:div w:id="1270090939">
          <w:marLeft w:val="0"/>
          <w:marRight w:val="0"/>
          <w:marTop w:val="0"/>
          <w:marBottom w:val="0"/>
          <w:divBdr>
            <w:top w:val="none" w:sz="0" w:space="0" w:color="auto"/>
            <w:left w:val="none" w:sz="0" w:space="0" w:color="auto"/>
            <w:bottom w:val="none" w:sz="0" w:space="0" w:color="auto"/>
            <w:right w:val="none" w:sz="0" w:space="0" w:color="auto"/>
          </w:divBdr>
        </w:div>
        <w:div w:id="1684820945">
          <w:marLeft w:val="0"/>
          <w:marRight w:val="0"/>
          <w:marTop w:val="0"/>
          <w:marBottom w:val="0"/>
          <w:divBdr>
            <w:top w:val="none" w:sz="0" w:space="0" w:color="auto"/>
            <w:left w:val="none" w:sz="0" w:space="0" w:color="auto"/>
            <w:bottom w:val="none" w:sz="0" w:space="0" w:color="auto"/>
            <w:right w:val="none" w:sz="0" w:space="0" w:color="auto"/>
          </w:divBdr>
        </w:div>
        <w:div w:id="665281103">
          <w:marLeft w:val="0"/>
          <w:marRight w:val="0"/>
          <w:marTop w:val="0"/>
          <w:marBottom w:val="0"/>
          <w:divBdr>
            <w:top w:val="none" w:sz="0" w:space="0" w:color="auto"/>
            <w:left w:val="none" w:sz="0" w:space="0" w:color="auto"/>
            <w:bottom w:val="none" w:sz="0" w:space="0" w:color="auto"/>
            <w:right w:val="none" w:sz="0" w:space="0" w:color="auto"/>
          </w:divBdr>
        </w:div>
        <w:div w:id="70398883">
          <w:marLeft w:val="0"/>
          <w:marRight w:val="0"/>
          <w:marTop w:val="0"/>
          <w:marBottom w:val="0"/>
          <w:divBdr>
            <w:top w:val="none" w:sz="0" w:space="0" w:color="auto"/>
            <w:left w:val="none" w:sz="0" w:space="0" w:color="auto"/>
            <w:bottom w:val="none" w:sz="0" w:space="0" w:color="auto"/>
            <w:right w:val="none" w:sz="0" w:space="0" w:color="auto"/>
          </w:divBdr>
        </w:div>
        <w:div w:id="68966459">
          <w:marLeft w:val="0"/>
          <w:marRight w:val="0"/>
          <w:marTop w:val="0"/>
          <w:marBottom w:val="0"/>
          <w:divBdr>
            <w:top w:val="none" w:sz="0" w:space="0" w:color="auto"/>
            <w:left w:val="none" w:sz="0" w:space="0" w:color="auto"/>
            <w:bottom w:val="none" w:sz="0" w:space="0" w:color="auto"/>
            <w:right w:val="none" w:sz="0" w:space="0" w:color="auto"/>
          </w:divBdr>
        </w:div>
        <w:div w:id="2121296898">
          <w:marLeft w:val="0"/>
          <w:marRight w:val="0"/>
          <w:marTop w:val="0"/>
          <w:marBottom w:val="0"/>
          <w:divBdr>
            <w:top w:val="none" w:sz="0" w:space="0" w:color="auto"/>
            <w:left w:val="none" w:sz="0" w:space="0" w:color="auto"/>
            <w:bottom w:val="none" w:sz="0" w:space="0" w:color="auto"/>
            <w:right w:val="none" w:sz="0" w:space="0" w:color="auto"/>
          </w:divBdr>
        </w:div>
        <w:div w:id="920217809">
          <w:marLeft w:val="0"/>
          <w:marRight w:val="0"/>
          <w:marTop w:val="0"/>
          <w:marBottom w:val="0"/>
          <w:divBdr>
            <w:top w:val="none" w:sz="0" w:space="0" w:color="auto"/>
            <w:left w:val="none" w:sz="0" w:space="0" w:color="auto"/>
            <w:bottom w:val="none" w:sz="0" w:space="0" w:color="auto"/>
            <w:right w:val="none" w:sz="0" w:space="0" w:color="auto"/>
          </w:divBdr>
        </w:div>
        <w:div w:id="1128431238">
          <w:marLeft w:val="0"/>
          <w:marRight w:val="0"/>
          <w:marTop w:val="0"/>
          <w:marBottom w:val="0"/>
          <w:divBdr>
            <w:top w:val="none" w:sz="0" w:space="0" w:color="auto"/>
            <w:left w:val="none" w:sz="0" w:space="0" w:color="auto"/>
            <w:bottom w:val="none" w:sz="0" w:space="0" w:color="auto"/>
            <w:right w:val="none" w:sz="0" w:space="0" w:color="auto"/>
          </w:divBdr>
        </w:div>
        <w:div w:id="263416992">
          <w:marLeft w:val="0"/>
          <w:marRight w:val="0"/>
          <w:marTop w:val="0"/>
          <w:marBottom w:val="0"/>
          <w:divBdr>
            <w:top w:val="none" w:sz="0" w:space="0" w:color="auto"/>
            <w:left w:val="none" w:sz="0" w:space="0" w:color="auto"/>
            <w:bottom w:val="none" w:sz="0" w:space="0" w:color="auto"/>
            <w:right w:val="none" w:sz="0" w:space="0" w:color="auto"/>
          </w:divBdr>
        </w:div>
        <w:div w:id="1716737872">
          <w:marLeft w:val="0"/>
          <w:marRight w:val="0"/>
          <w:marTop w:val="0"/>
          <w:marBottom w:val="0"/>
          <w:divBdr>
            <w:top w:val="none" w:sz="0" w:space="0" w:color="auto"/>
            <w:left w:val="none" w:sz="0" w:space="0" w:color="auto"/>
            <w:bottom w:val="none" w:sz="0" w:space="0" w:color="auto"/>
            <w:right w:val="none" w:sz="0" w:space="0" w:color="auto"/>
          </w:divBdr>
        </w:div>
        <w:div w:id="796682127">
          <w:marLeft w:val="0"/>
          <w:marRight w:val="0"/>
          <w:marTop w:val="0"/>
          <w:marBottom w:val="0"/>
          <w:divBdr>
            <w:top w:val="none" w:sz="0" w:space="0" w:color="auto"/>
            <w:left w:val="none" w:sz="0" w:space="0" w:color="auto"/>
            <w:bottom w:val="none" w:sz="0" w:space="0" w:color="auto"/>
            <w:right w:val="none" w:sz="0" w:space="0" w:color="auto"/>
          </w:divBdr>
        </w:div>
        <w:div w:id="150755571">
          <w:marLeft w:val="0"/>
          <w:marRight w:val="0"/>
          <w:marTop w:val="0"/>
          <w:marBottom w:val="0"/>
          <w:divBdr>
            <w:top w:val="none" w:sz="0" w:space="0" w:color="auto"/>
            <w:left w:val="none" w:sz="0" w:space="0" w:color="auto"/>
            <w:bottom w:val="none" w:sz="0" w:space="0" w:color="auto"/>
            <w:right w:val="none" w:sz="0" w:space="0" w:color="auto"/>
          </w:divBdr>
        </w:div>
        <w:div w:id="351152425">
          <w:marLeft w:val="0"/>
          <w:marRight w:val="0"/>
          <w:marTop w:val="0"/>
          <w:marBottom w:val="0"/>
          <w:divBdr>
            <w:top w:val="none" w:sz="0" w:space="0" w:color="auto"/>
            <w:left w:val="none" w:sz="0" w:space="0" w:color="auto"/>
            <w:bottom w:val="none" w:sz="0" w:space="0" w:color="auto"/>
            <w:right w:val="none" w:sz="0" w:space="0" w:color="auto"/>
          </w:divBdr>
        </w:div>
        <w:div w:id="201748291">
          <w:marLeft w:val="0"/>
          <w:marRight w:val="0"/>
          <w:marTop w:val="0"/>
          <w:marBottom w:val="0"/>
          <w:divBdr>
            <w:top w:val="none" w:sz="0" w:space="0" w:color="auto"/>
            <w:left w:val="none" w:sz="0" w:space="0" w:color="auto"/>
            <w:bottom w:val="none" w:sz="0" w:space="0" w:color="auto"/>
            <w:right w:val="none" w:sz="0" w:space="0" w:color="auto"/>
          </w:divBdr>
        </w:div>
        <w:div w:id="2036929542">
          <w:marLeft w:val="0"/>
          <w:marRight w:val="0"/>
          <w:marTop w:val="0"/>
          <w:marBottom w:val="0"/>
          <w:divBdr>
            <w:top w:val="none" w:sz="0" w:space="0" w:color="auto"/>
            <w:left w:val="none" w:sz="0" w:space="0" w:color="auto"/>
            <w:bottom w:val="none" w:sz="0" w:space="0" w:color="auto"/>
            <w:right w:val="none" w:sz="0" w:space="0" w:color="auto"/>
          </w:divBdr>
        </w:div>
        <w:div w:id="1175652170">
          <w:marLeft w:val="0"/>
          <w:marRight w:val="0"/>
          <w:marTop w:val="0"/>
          <w:marBottom w:val="0"/>
          <w:divBdr>
            <w:top w:val="none" w:sz="0" w:space="0" w:color="auto"/>
            <w:left w:val="none" w:sz="0" w:space="0" w:color="auto"/>
            <w:bottom w:val="none" w:sz="0" w:space="0" w:color="auto"/>
            <w:right w:val="none" w:sz="0" w:space="0" w:color="auto"/>
          </w:divBdr>
        </w:div>
        <w:div w:id="776490591">
          <w:marLeft w:val="0"/>
          <w:marRight w:val="0"/>
          <w:marTop w:val="0"/>
          <w:marBottom w:val="0"/>
          <w:divBdr>
            <w:top w:val="none" w:sz="0" w:space="0" w:color="auto"/>
            <w:left w:val="none" w:sz="0" w:space="0" w:color="auto"/>
            <w:bottom w:val="none" w:sz="0" w:space="0" w:color="auto"/>
            <w:right w:val="none" w:sz="0" w:space="0" w:color="auto"/>
          </w:divBdr>
        </w:div>
        <w:div w:id="615987761">
          <w:marLeft w:val="0"/>
          <w:marRight w:val="0"/>
          <w:marTop w:val="0"/>
          <w:marBottom w:val="0"/>
          <w:divBdr>
            <w:top w:val="none" w:sz="0" w:space="0" w:color="auto"/>
            <w:left w:val="none" w:sz="0" w:space="0" w:color="auto"/>
            <w:bottom w:val="none" w:sz="0" w:space="0" w:color="auto"/>
            <w:right w:val="none" w:sz="0" w:space="0" w:color="auto"/>
          </w:divBdr>
        </w:div>
        <w:div w:id="1979649759">
          <w:marLeft w:val="0"/>
          <w:marRight w:val="0"/>
          <w:marTop w:val="0"/>
          <w:marBottom w:val="0"/>
          <w:divBdr>
            <w:top w:val="none" w:sz="0" w:space="0" w:color="auto"/>
            <w:left w:val="none" w:sz="0" w:space="0" w:color="auto"/>
            <w:bottom w:val="none" w:sz="0" w:space="0" w:color="auto"/>
            <w:right w:val="none" w:sz="0" w:space="0" w:color="auto"/>
          </w:divBdr>
        </w:div>
        <w:div w:id="223294471">
          <w:marLeft w:val="0"/>
          <w:marRight w:val="0"/>
          <w:marTop w:val="0"/>
          <w:marBottom w:val="0"/>
          <w:divBdr>
            <w:top w:val="none" w:sz="0" w:space="0" w:color="auto"/>
            <w:left w:val="none" w:sz="0" w:space="0" w:color="auto"/>
            <w:bottom w:val="none" w:sz="0" w:space="0" w:color="auto"/>
            <w:right w:val="none" w:sz="0" w:space="0" w:color="auto"/>
          </w:divBdr>
        </w:div>
        <w:div w:id="52780854">
          <w:marLeft w:val="0"/>
          <w:marRight w:val="0"/>
          <w:marTop w:val="0"/>
          <w:marBottom w:val="0"/>
          <w:divBdr>
            <w:top w:val="none" w:sz="0" w:space="0" w:color="auto"/>
            <w:left w:val="none" w:sz="0" w:space="0" w:color="auto"/>
            <w:bottom w:val="none" w:sz="0" w:space="0" w:color="auto"/>
            <w:right w:val="none" w:sz="0" w:space="0" w:color="auto"/>
          </w:divBdr>
        </w:div>
      </w:divsChild>
    </w:div>
    <w:div w:id="499807364">
      <w:marLeft w:val="0"/>
      <w:marRight w:val="0"/>
      <w:marTop w:val="180"/>
      <w:marBottom w:val="180"/>
      <w:divBdr>
        <w:top w:val="none" w:sz="0" w:space="0" w:color="auto"/>
        <w:left w:val="none" w:sz="0" w:space="0" w:color="auto"/>
        <w:bottom w:val="none" w:sz="0" w:space="0" w:color="auto"/>
        <w:right w:val="none" w:sz="0" w:space="0" w:color="auto"/>
      </w:divBdr>
    </w:div>
    <w:div w:id="500239736">
      <w:marLeft w:val="0"/>
      <w:marRight w:val="0"/>
      <w:marTop w:val="180"/>
      <w:marBottom w:val="180"/>
      <w:divBdr>
        <w:top w:val="none" w:sz="0" w:space="0" w:color="auto"/>
        <w:left w:val="none" w:sz="0" w:space="0" w:color="auto"/>
        <w:bottom w:val="none" w:sz="0" w:space="0" w:color="auto"/>
        <w:right w:val="none" w:sz="0" w:space="0" w:color="auto"/>
      </w:divBdr>
    </w:div>
    <w:div w:id="500391102">
      <w:marLeft w:val="0"/>
      <w:marRight w:val="0"/>
      <w:marTop w:val="0"/>
      <w:marBottom w:val="0"/>
      <w:divBdr>
        <w:top w:val="none" w:sz="0" w:space="0" w:color="auto"/>
        <w:left w:val="none" w:sz="0" w:space="0" w:color="auto"/>
        <w:bottom w:val="none" w:sz="0" w:space="0" w:color="auto"/>
        <w:right w:val="none" w:sz="0" w:space="0" w:color="auto"/>
      </w:divBdr>
    </w:div>
    <w:div w:id="503206864">
      <w:marLeft w:val="0"/>
      <w:marRight w:val="0"/>
      <w:marTop w:val="0"/>
      <w:marBottom w:val="180"/>
      <w:divBdr>
        <w:top w:val="none" w:sz="0" w:space="0" w:color="auto"/>
        <w:left w:val="none" w:sz="0" w:space="0" w:color="auto"/>
        <w:bottom w:val="none" w:sz="0" w:space="0" w:color="auto"/>
        <w:right w:val="none" w:sz="0" w:space="0" w:color="auto"/>
      </w:divBdr>
    </w:div>
    <w:div w:id="503741699">
      <w:marLeft w:val="0"/>
      <w:marRight w:val="0"/>
      <w:marTop w:val="180"/>
      <w:marBottom w:val="180"/>
      <w:divBdr>
        <w:top w:val="none" w:sz="0" w:space="0" w:color="auto"/>
        <w:left w:val="none" w:sz="0" w:space="0" w:color="auto"/>
        <w:bottom w:val="none" w:sz="0" w:space="0" w:color="auto"/>
        <w:right w:val="none" w:sz="0" w:space="0" w:color="auto"/>
      </w:divBdr>
    </w:div>
    <w:div w:id="505247618">
      <w:marLeft w:val="0"/>
      <w:marRight w:val="0"/>
      <w:marTop w:val="0"/>
      <w:marBottom w:val="0"/>
      <w:divBdr>
        <w:top w:val="none" w:sz="0" w:space="0" w:color="auto"/>
        <w:left w:val="none" w:sz="0" w:space="0" w:color="auto"/>
        <w:bottom w:val="none" w:sz="0" w:space="0" w:color="auto"/>
        <w:right w:val="none" w:sz="0" w:space="0" w:color="auto"/>
      </w:divBdr>
      <w:divsChild>
        <w:div w:id="1632325171">
          <w:marLeft w:val="0"/>
          <w:marRight w:val="0"/>
          <w:marTop w:val="0"/>
          <w:marBottom w:val="0"/>
          <w:divBdr>
            <w:top w:val="none" w:sz="0" w:space="0" w:color="auto"/>
            <w:left w:val="none" w:sz="0" w:space="0" w:color="auto"/>
            <w:bottom w:val="none" w:sz="0" w:space="0" w:color="auto"/>
            <w:right w:val="none" w:sz="0" w:space="0" w:color="auto"/>
          </w:divBdr>
          <w:divsChild>
            <w:div w:id="7068757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08758083">
      <w:marLeft w:val="0"/>
      <w:marRight w:val="0"/>
      <w:marTop w:val="60"/>
      <w:marBottom w:val="60"/>
      <w:divBdr>
        <w:top w:val="none" w:sz="0" w:space="0" w:color="auto"/>
        <w:left w:val="none" w:sz="0" w:space="0" w:color="auto"/>
        <w:bottom w:val="none" w:sz="0" w:space="0" w:color="auto"/>
        <w:right w:val="none" w:sz="0" w:space="0" w:color="auto"/>
      </w:divBdr>
    </w:div>
    <w:div w:id="509829247">
      <w:marLeft w:val="0"/>
      <w:marRight w:val="0"/>
      <w:marTop w:val="60"/>
      <w:marBottom w:val="60"/>
      <w:divBdr>
        <w:top w:val="none" w:sz="0" w:space="0" w:color="auto"/>
        <w:left w:val="none" w:sz="0" w:space="0" w:color="auto"/>
        <w:bottom w:val="none" w:sz="0" w:space="0" w:color="auto"/>
        <w:right w:val="none" w:sz="0" w:space="0" w:color="auto"/>
      </w:divBdr>
    </w:div>
    <w:div w:id="510460387">
      <w:marLeft w:val="0"/>
      <w:marRight w:val="0"/>
      <w:marTop w:val="180"/>
      <w:marBottom w:val="180"/>
      <w:divBdr>
        <w:top w:val="none" w:sz="0" w:space="0" w:color="auto"/>
        <w:left w:val="none" w:sz="0" w:space="0" w:color="auto"/>
        <w:bottom w:val="none" w:sz="0" w:space="0" w:color="auto"/>
        <w:right w:val="none" w:sz="0" w:space="0" w:color="auto"/>
      </w:divBdr>
    </w:div>
    <w:div w:id="512573089">
      <w:marLeft w:val="0"/>
      <w:marRight w:val="0"/>
      <w:marTop w:val="0"/>
      <w:marBottom w:val="0"/>
      <w:divBdr>
        <w:top w:val="none" w:sz="0" w:space="0" w:color="auto"/>
        <w:left w:val="none" w:sz="0" w:space="0" w:color="auto"/>
        <w:bottom w:val="none" w:sz="0" w:space="0" w:color="auto"/>
        <w:right w:val="none" w:sz="0" w:space="0" w:color="auto"/>
      </w:divBdr>
    </w:div>
    <w:div w:id="513113134">
      <w:marLeft w:val="0"/>
      <w:marRight w:val="0"/>
      <w:marTop w:val="180"/>
      <w:marBottom w:val="180"/>
      <w:divBdr>
        <w:top w:val="none" w:sz="0" w:space="0" w:color="auto"/>
        <w:left w:val="none" w:sz="0" w:space="0" w:color="auto"/>
        <w:bottom w:val="none" w:sz="0" w:space="0" w:color="auto"/>
        <w:right w:val="none" w:sz="0" w:space="0" w:color="auto"/>
      </w:divBdr>
    </w:div>
    <w:div w:id="513230909">
      <w:marLeft w:val="0"/>
      <w:marRight w:val="0"/>
      <w:marTop w:val="0"/>
      <w:marBottom w:val="0"/>
      <w:divBdr>
        <w:top w:val="none" w:sz="0" w:space="0" w:color="auto"/>
        <w:left w:val="none" w:sz="0" w:space="0" w:color="auto"/>
        <w:bottom w:val="none" w:sz="0" w:space="0" w:color="auto"/>
        <w:right w:val="none" w:sz="0" w:space="0" w:color="auto"/>
      </w:divBdr>
      <w:divsChild>
        <w:div w:id="48841537">
          <w:marLeft w:val="0"/>
          <w:marRight w:val="0"/>
          <w:marTop w:val="0"/>
          <w:marBottom w:val="0"/>
          <w:divBdr>
            <w:top w:val="none" w:sz="0" w:space="0" w:color="auto"/>
            <w:left w:val="none" w:sz="0" w:space="0" w:color="auto"/>
            <w:bottom w:val="none" w:sz="0" w:space="0" w:color="auto"/>
            <w:right w:val="none" w:sz="0" w:space="0" w:color="auto"/>
          </w:divBdr>
          <w:divsChild>
            <w:div w:id="12526591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3879400">
      <w:marLeft w:val="0"/>
      <w:marRight w:val="0"/>
      <w:marTop w:val="0"/>
      <w:marBottom w:val="0"/>
      <w:divBdr>
        <w:top w:val="none" w:sz="0" w:space="0" w:color="auto"/>
        <w:left w:val="none" w:sz="0" w:space="0" w:color="auto"/>
        <w:bottom w:val="none" w:sz="0" w:space="0" w:color="auto"/>
        <w:right w:val="none" w:sz="0" w:space="0" w:color="auto"/>
      </w:divBdr>
      <w:divsChild>
        <w:div w:id="107967020">
          <w:marLeft w:val="0"/>
          <w:marRight w:val="0"/>
          <w:marTop w:val="60"/>
          <w:marBottom w:val="180"/>
          <w:divBdr>
            <w:top w:val="none" w:sz="0" w:space="0" w:color="auto"/>
            <w:left w:val="none" w:sz="0" w:space="0" w:color="auto"/>
            <w:bottom w:val="none" w:sz="0" w:space="0" w:color="auto"/>
            <w:right w:val="none" w:sz="0" w:space="0" w:color="auto"/>
          </w:divBdr>
        </w:div>
      </w:divsChild>
    </w:div>
    <w:div w:id="515660120">
      <w:marLeft w:val="0"/>
      <w:marRight w:val="0"/>
      <w:marTop w:val="180"/>
      <w:marBottom w:val="180"/>
      <w:divBdr>
        <w:top w:val="none" w:sz="0" w:space="0" w:color="auto"/>
        <w:left w:val="none" w:sz="0" w:space="0" w:color="auto"/>
        <w:bottom w:val="none" w:sz="0" w:space="0" w:color="auto"/>
        <w:right w:val="none" w:sz="0" w:space="0" w:color="auto"/>
      </w:divBdr>
    </w:div>
    <w:div w:id="518935898">
      <w:marLeft w:val="0"/>
      <w:marRight w:val="0"/>
      <w:marTop w:val="0"/>
      <w:marBottom w:val="0"/>
      <w:divBdr>
        <w:top w:val="none" w:sz="0" w:space="0" w:color="auto"/>
        <w:left w:val="none" w:sz="0" w:space="0" w:color="auto"/>
        <w:bottom w:val="none" w:sz="0" w:space="0" w:color="auto"/>
        <w:right w:val="none" w:sz="0" w:space="0" w:color="auto"/>
      </w:divBdr>
    </w:div>
    <w:div w:id="518936519">
      <w:marLeft w:val="0"/>
      <w:marRight w:val="0"/>
      <w:marTop w:val="60"/>
      <w:marBottom w:val="60"/>
      <w:divBdr>
        <w:top w:val="none" w:sz="0" w:space="0" w:color="auto"/>
        <w:left w:val="none" w:sz="0" w:space="0" w:color="auto"/>
        <w:bottom w:val="none" w:sz="0" w:space="0" w:color="auto"/>
        <w:right w:val="none" w:sz="0" w:space="0" w:color="auto"/>
      </w:divBdr>
    </w:div>
    <w:div w:id="519200094">
      <w:marLeft w:val="0"/>
      <w:marRight w:val="0"/>
      <w:marTop w:val="180"/>
      <w:marBottom w:val="60"/>
      <w:divBdr>
        <w:top w:val="none" w:sz="0" w:space="0" w:color="auto"/>
        <w:left w:val="none" w:sz="0" w:space="0" w:color="auto"/>
        <w:bottom w:val="none" w:sz="0" w:space="0" w:color="auto"/>
        <w:right w:val="none" w:sz="0" w:space="0" w:color="auto"/>
      </w:divBdr>
    </w:div>
    <w:div w:id="519323713">
      <w:marLeft w:val="0"/>
      <w:marRight w:val="0"/>
      <w:marTop w:val="180"/>
      <w:marBottom w:val="60"/>
      <w:divBdr>
        <w:top w:val="none" w:sz="0" w:space="0" w:color="auto"/>
        <w:left w:val="none" w:sz="0" w:space="0" w:color="auto"/>
        <w:bottom w:val="none" w:sz="0" w:space="0" w:color="auto"/>
        <w:right w:val="none" w:sz="0" w:space="0" w:color="auto"/>
      </w:divBdr>
    </w:div>
    <w:div w:id="521090368">
      <w:marLeft w:val="0"/>
      <w:marRight w:val="0"/>
      <w:marTop w:val="100"/>
      <w:marBottom w:val="0"/>
      <w:divBdr>
        <w:top w:val="none" w:sz="0" w:space="0" w:color="auto"/>
        <w:left w:val="none" w:sz="0" w:space="0" w:color="auto"/>
        <w:bottom w:val="none" w:sz="0" w:space="0" w:color="auto"/>
        <w:right w:val="none" w:sz="0" w:space="0" w:color="auto"/>
      </w:divBdr>
      <w:divsChild>
        <w:div w:id="1371144879">
          <w:marLeft w:val="0"/>
          <w:marRight w:val="0"/>
          <w:marTop w:val="0"/>
          <w:marBottom w:val="0"/>
          <w:divBdr>
            <w:top w:val="none" w:sz="0" w:space="0" w:color="auto"/>
            <w:left w:val="none" w:sz="0" w:space="0" w:color="auto"/>
            <w:bottom w:val="none" w:sz="0" w:space="0" w:color="auto"/>
            <w:right w:val="none" w:sz="0" w:space="0" w:color="auto"/>
          </w:divBdr>
        </w:div>
        <w:div w:id="1963150169">
          <w:marLeft w:val="0"/>
          <w:marRight w:val="0"/>
          <w:marTop w:val="0"/>
          <w:marBottom w:val="0"/>
          <w:divBdr>
            <w:top w:val="none" w:sz="0" w:space="0" w:color="auto"/>
            <w:left w:val="none" w:sz="0" w:space="0" w:color="auto"/>
            <w:bottom w:val="none" w:sz="0" w:space="0" w:color="auto"/>
            <w:right w:val="none" w:sz="0" w:space="0" w:color="auto"/>
          </w:divBdr>
        </w:div>
      </w:divsChild>
    </w:div>
    <w:div w:id="522524210">
      <w:marLeft w:val="0"/>
      <w:marRight w:val="0"/>
      <w:marTop w:val="180"/>
      <w:marBottom w:val="180"/>
      <w:divBdr>
        <w:top w:val="none" w:sz="0" w:space="0" w:color="auto"/>
        <w:left w:val="none" w:sz="0" w:space="0" w:color="auto"/>
        <w:bottom w:val="none" w:sz="0" w:space="0" w:color="auto"/>
        <w:right w:val="none" w:sz="0" w:space="0" w:color="auto"/>
      </w:divBdr>
    </w:div>
    <w:div w:id="523591072">
      <w:marLeft w:val="0"/>
      <w:marRight w:val="0"/>
      <w:marTop w:val="180"/>
      <w:marBottom w:val="180"/>
      <w:divBdr>
        <w:top w:val="none" w:sz="0" w:space="0" w:color="auto"/>
        <w:left w:val="none" w:sz="0" w:space="0" w:color="auto"/>
        <w:bottom w:val="none" w:sz="0" w:space="0" w:color="auto"/>
        <w:right w:val="none" w:sz="0" w:space="0" w:color="auto"/>
      </w:divBdr>
    </w:div>
    <w:div w:id="523980565">
      <w:marLeft w:val="0"/>
      <w:marRight w:val="0"/>
      <w:marTop w:val="180"/>
      <w:marBottom w:val="180"/>
      <w:divBdr>
        <w:top w:val="none" w:sz="0" w:space="0" w:color="auto"/>
        <w:left w:val="none" w:sz="0" w:space="0" w:color="auto"/>
        <w:bottom w:val="none" w:sz="0" w:space="0" w:color="auto"/>
        <w:right w:val="none" w:sz="0" w:space="0" w:color="auto"/>
      </w:divBdr>
    </w:div>
    <w:div w:id="525097427">
      <w:marLeft w:val="0"/>
      <w:marRight w:val="0"/>
      <w:marTop w:val="60"/>
      <w:marBottom w:val="60"/>
      <w:divBdr>
        <w:top w:val="none" w:sz="0" w:space="0" w:color="auto"/>
        <w:left w:val="none" w:sz="0" w:space="0" w:color="auto"/>
        <w:bottom w:val="none" w:sz="0" w:space="0" w:color="auto"/>
        <w:right w:val="none" w:sz="0" w:space="0" w:color="auto"/>
      </w:divBdr>
    </w:div>
    <w:div w:id="527064769">
      <w:marLeft w:val="0"/>
      <w:marRight w:val="0"/>
      <w:marTop w:val="0"/>
      <w:marBottom w:val="0"/>
      <w:divBdr>
        <w:top w:val="none" w:sz="0" w:space="0" w:color="auto"/>
        <w:left w:val="none" w:sz="0" w:space="0" w:color="auto"/>
        <w:bottom w:val="none" w:sz="0" w:space="0" w:color="auto"/>
        <w:right w:val="none" w:sz="0" w:space="0" w:color="auto"/>
      </w:divBdr>
    </w:div>
    <w:div w:id="529882121">
      <w:marLeft w:val="0"/>
      <w:marRight w:val="0"/>
      <w:marTop w:val="0"/>
      <w:marBottom w:val="0"/>
      <w:divBdr>
        <w:top w:val="none" w:sz="0" w:space="0" w:color="auto"/>
        <w:left w:val="none" w:sz="0" w:space="0" w:color="auto"/>
        <w:bottom w:val="none" w:sz="0" w:space="0" w:color="auto"/>
        <w:right w:val="none" w:sz="0" w:space="0" w:color="auto"/>
      </w:divBdr>
      <w:divsChild>
        <w:div w:id="218713271">
          <w:marLeft w:val="0"/>
          <w:marRight w:val="0"/>
          <w:marTop w:val="0"/>
          <w:marBottom w:val="0"/>
          <w:divBdr>
            <w:top w:val="none" w:sz="0" w:space="0" w:color="auto"/>
            <w:left w:val="none" w:sz="0" w:space="0" w:color="auto"/>
            <w:bottom w:val="none" w:sz="0" w:space="0" w:color="auto"/>
            <w:right w:val="none" w:sz="0" w:space="0" w:color="auto"/>
          </w:divBdr>
          <w:divsChild>
            <w:div w:id="17228234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30454238">
      <w:marLeft w:val="0"/>
      <w:marRight w:val="0"/>
      <w:marTop w:val="0"/>
      <w:marBottom w:val="0"/>
      <w:divBdr>
        <w:top w:val="none" w:sz="0" w:space="0" w:color="auto"/>
        <w:left w:val="none" w:sz="0" w:space="0" w:color="auto"/>
        <w:bottom w:val="none" w:sz="0" w:space="0" w:color="auto"/>
        <w:right w:val="none" w:sz="0" w:space="0" w:color="auto"/>
      </w:divBdr>
    </w:div>
    <w:div w:id="531916918">
      <w:marLeft w:val="0"/>
      <w:marRight w:val="0"/>
      <w:marTop w:val="0"/>
      <w:marBottom w:val="0"/>
      <w:divBdr>
        <w:top w:val="none" w:sz="0" w:space="0" w:color="auto"/>
        <w:left w:val="none" w:sz="0" w:space="0" w:color="auto"/>
        <w:bottom w:val="none" w:sz="0" w:space="0" w:color="auto"/>
        <w:right w:val="none" w:sz="0" w:space="0" w:color="auto"/>
      </w:divBdr>
    </w:div>
    <w:div w:id="533080159">
      <w:marLeft w:val="0"/>
      <w:marRight w:val="0"/>
      <w:marTop w:val="180"/>
      <w:marBottom w:val="180"/>
      <w:divBdr>
        <w:top w:val="none" w:sz="0" w:space="0" w:color="auto"/>
        <w:left w:val="none" w:sz="0" w:space="0" w:color="auto"/>
        <w:bottom w:val="none" w:sz="0" w:space="0" w:color="auto"/>
        <w:right w:val="none" w:sz="0" w:space="0" w:color="auto"/>
      </w:divBdr>
    </w:div>
    <w:div w:id="533159897">
      <w:marLeft w:val="0"/>
      <w:marRight w:val="0"/>
      <w:marTop w:val="60"/>
      <w:marBottom w:val="60"/>
      <w:divBdr>
        <w:top w:val="none" w:sz="0" w:space="0" w:color="auto"/>
        <w:left w:val="none" w:sz="0" w:space="0" w:color="auto"/>
        <w:bottom w:val="none" w:sz="0" w:space="0" w:color="auto"/>
        <w:right w:val="none" w:sz="0" w:space="0" w:color="auto"/>
      </w:divBdr>
    </w:div>
    <w:div w:id="534197916">
      <w:marLeft w:val="0"/>
      <w:marRight w:val="0"/>
      <w:marTop w:val="180"/>
      <w:marBottom w:val="180"/>
      <w:divBdr>
        <w:top w:val="none" w:sz="0" w:space="0" w:color="auto"/>
        <w:left w:val="none" w:sz="0" w:space="0" w:color="auto"/>
        <w:bottom w:val="none" w:sz="0" w:space="0" w:color="auto"/>
        <w:right w:val="none" w:sz="0" w:space="0" w:color="auto"/>
      </w:divBdr>
    </w:div>
    <w:div w:id="538468530">
      <w:marLeft w:val="0"/>
      <w:marRight w:val="0"/>
      <w:marTop w:val="180"/>
      <w:marBottom w:val="180"/>
      <w:divBdr>
        <w:top w:val="none" w:sz="0" w:space="0" w:color="auto"/>
        <w:left w:val="none" w:sz="0" w:space="0" w:color="auto"/>
        <w:bottom w:val="none" w:sz="0" w:space="0" w:color="auto"/>
        <w:right w:val="none" w:sz="0" w:space="0" w:color="auto"/>
      </w:divBdr>
    </w:div>
    <w:div w:id="538934321">
      <w:marLeft w:val="0"/>
      <w:marRight w:val="0"/>
      <w:marTop w:val="100"/>
      <w:marBottom w:val="60"/>
      <w:divBdr>
        <w:top w:val="none" w:sz="0" w:space="0" w:color="auto"/>
        <w:left w:val="none" w:sz="0" w:space="0" w:color="auto"/>
        <w:bottom w:val="none" w:sz="0" w:space="0" w:color="auto"/>
        <w:right w:val="none" w:sz="0" w:space="0" w:color="auto"/>
      </w:divBdr>
    </w:div>
    <w:div w:id="540021936">
      <w:marLeft w:val="0"/>
      <w:marRight w:val="0"/>
      <w:marTop w:val="0"/>
      <w:marBottom w:val="0"/>
      <w:divBdr>
        <w:top w:val="none" w:sz="0" w:space="0" w:color="auto"/>
        <w:left w:val="none" w:sz="0" w:space="0" w:color="auto"/>
        <w:bottom w:val="none" w:sz="0" w:space="0" w:color="auto"/>
        <w:right w:val="none" w:sz="0" w:space="0" w:color="auto"/>
      </w:divBdr>
      <w:divsChild>
        <w:div w:id="1583835918">
          <w:marLeft w:val="0"/>
          <w:marRight w:val="0"/>
          <w:marTop w:val="0"/>
          <w:marBottom w:val="0"/>
          <w:divBdr>
            <w:top w:val="none" w:sz="0" w:space="0" w:color="auto"/>
            <w:left w:val="none" w:sz="0" w:space="0" w:color="auto"/>
            <w:bottom w:val="none" w:sz="0" w:space="0" w:color="auto"/>
            <w:right w:val="none" w:sz="0" w:space="0" w:color="auto"/>
          </w:divBdr>
          <w:divsChild>
            <w:div w:id="14074159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4292978">
      <w:marLeft w:val="0"/>
      <w:marRight w:val="0"/>
      <w:marTop w:val="180"/>
      <w:marBottom w:val="180"/>
      <w:divBdr>
        <w:top w:val="none" w:sz="0" w:space="0" w:color="auto"/>
        <w:left w:val="none" w:sz="0" w:space="0" w:color="auto"/>
        <w:bottom w:val="none" w:sz="0" w:space="0" w:color="auto"/>
        <w:right w:val="none" w:sz="0" w:space="0" w:color="auto"/>
      </w:divBdr>
    </w:div>
    <w:div w:id="545064609">
      <w:marLeft w:val="0"/>
      <w:marRight w:val="0"/>
      <w:marTop w:val="180"/>
      <w:marBottom w:val="180"/>
      <w:divBdr>
        <w:top w:val="none" w:sz="0" w:space="0" w:color="auto"/>
        <w:left w:val="none" w:sz="0" w:space="0" w:color="auto"/>
        <w:bottom w:val="none" w:sz="0" w:space="0" w:color="auto"/>
        <w:right w:val="none" w:sz="0" w:space="0" w:color="auto"/>
      </w:divBdr>
    </w:div>
    <w:div w:id="546450504">
      <w:marLeft w:val="0"/>
      <w:marRight w:val="0"/>
      <w:marTop w:val="180"/>
      <w:marBottom w:val="180"/>
      <w:divBdr>
        <w:top w:val="none" w:sz="0" w:space="0" w:color="auto"/>
        <w:left w:val="none" w:sz="0" w:space="0" w:color="auto"/>
        <w:bottom w:val="none" w:sz="0" w:space="0" w:color="auto"/>
        <w:right w:val="none" w:sz="0" w:space="0" w:color="auto"/>
      </w:divBdr>
    </w:div>
    <w:div w:id="547382103">
      <w:marLeft w:val="0"/>
      <w:marRight w:val="0"/>
      <w:marTop w:val="180"/>
      <w:marBottom w:val="60"/>
      <w:divBdr>
        <w:top w:val="none" w:sz="0" w:space="0" w:color="auto"/>
        <w:left w:val="none" w:sz="0" w:space="0" w:color="auto"/>
        <w:bottom w:val="none" w:sz="0" w:space="0" w:color="auto"/>
        <w:right w:val="none" w:sz="0" w:space="0" w:color="auto"/>
      </w:divBdr>
    </w:div>
    <w:div w:id="552039308">
      <w:marLeft w:val="0"/>
      <w:marRight w:val="0"/>
      <w:marTop w:val="180"/>
      <w:marBottom w:val="180"/>
      <w:divBdr>
        <w:top w:val="none" w:sz="0" w:space="0" w:color="auto"/>
        <w:left w:val="none" w:sz="0" w:space="0" w:color="auto"/>
        <w:bottom w:val="none" w:sz="0" w:space="0" w:color="auto"/>
        <w:right w:val="none" w:sz="0" w:space="0" w:color="auto"/>
      </w:divBdr>
    </w:div>
    <w:div w:id="556167801">
      <w:marLeft w:val="0"/>
      <w:marRight w:val="0"/>
      <w:marTop w:val="180"/>
      <w:marBottom w:val="180"/>
      <w:divBdr>
        <w:top w:val="none" w:sz="0" w:space="0" w:color="auto"/>
        <w:left w:val="none" w:sz="0" w:space="0" w:color="auto"/>
        <w:bottom w:val="none" w:sz="0" w:space="0" w:color="auto"/>
        <w:right w:val="none" w:sz="0" w:space="0" w:color="auto"/>
      </w:divBdr>
    </w:div>
    <w:div w:id="561794310">
      <w:marLeft w:val="0"/>
      <w:marRight w:val="0"/>
      <w:marTop w:val="180"/>
      <w:marBottom w:val="180"/>
      <w:divBdr>
        <w:top w:val="none" w:sz="0" w:space="0" w:color="auto"/>
        <w:left w:val="none" w:sz="0" w:space="0" w:color="auto"/>
        <w:bottom w:val="none" w:sz="0" w:space="0" w:color="auto"/>
        <w:right w:val="none" w:sz="0" w:space="0" w:color="auto"/>
      </w:divBdr>
    </w:div>
    <w:div w:id="562369103">
      <w:marLeft w:val="0"/>
      <w:marRight w:val="0"/>
      <w:marTop w:val="0"/>
      <w:marBottom w:val="0"/>
      <w:divBdr>
        <w:top w:val="none" w:sz="0" w:space="0" w:color="auto"/>
        <w:left w:val="none" w:sz="0" w:space="0" w:color="auto"/>
        <w:bottom w:val="none" w:sz="0" w:space="0" w:color="auto"/>
        <w:right w:val="none" w:sz="0" w:space="0" w:color="auto"/>
      </w:divBdr>
      <w:divsChild>
        <w:div w:id="1631977823">
          <w:marLeft w:val="0"/>
          <w:marRight w:val="0"/>
          <w:marTop w:val="60"/>
          <w:marBottom w:val="180"/>
          <w:divBdr>
            <w:top w:val="none" w:sz="0" w:space="0" w:color="auto"/>
            <w:left w:val="none" w:sz="0" w:space="0" w:color="auto"/>
            <w:bottom w:val="none" w:sz="0" w:space="0" w:color="auto"/>
            <w:right w:val="none" w:sz="0" w:space="0" w:color="auto"/>
          </w:divBdr>
        </w:div>
      </w:divsChild>
    </w:div>
    <w:div w:id="567302434">
      <w:marLeft w:val="0"/>
      <w:marRight w:val="0"/>
      <w:marTop w:val="180"/>
      <w:marBottom w:val="0"/>
      <w:divBdr>
        <w:top w:val="none" w:sz="0" w:space="0" w:color="auto"/>
        <w:left w:val="none" w:sz="0" w:space="0" w:color="auto"/>
        <w:bottom w:val="none" w:sz="0" w:space="0" w:color="auto"/>
        <w:right w:val="none" w:sz="0" w:space="0" w:color="auto"/>
      </w:divBdr>
    </w:div>
    <w:div w:id="569077606">
      <w:marLeft w:val="0"/>
      <w:marRight w:val="0"/>
      <w:marTop w:val="100"/>
      <w:marBottom w:val="0"/>
      <w:divBdr>
        <w:top w:val="none" w:sz="0" w:space="0" w:color="auto"/>
        <w:left w:val="none" w:sz="0" w:space="0" w:color="auto"/>
        <w:bottom w:val="none" w:sz="0" w:space="0" w:color="auto"/>
        <w:right w:val="none" w:sz="0" w:space="0" w:color="auto"/>
      </w:divBdr>
      <w:divsChild>
        <w:div w:id="1453866571">
          <w:marLeft w:val="0"/>
          <w:marRight w:val="0"/>
          <w:marTop w:val="0"/>
          <w:marBottom w:val="0"/>
          <w:divBdr>
            <w:top w:val="none" w:sz="0" w:space="0" w:color="auto"/>
            <w:left w:val="none" w:sz="0" w:space="0" w:color="auto"/>
            <w:bottom w:val="none" w:sz="0" w:space="0" w:color="auto"/>
            <w:right w:val="none" w:sz="0" w:space="0" w:color="auto"/>
          </w:divBdr>
        </w:div>
        <w:div w:id="1599025889">
          <w:marLeft w:val="0"/>
          <w:marRight w:val="0"/>
          <w:marTop w:val="0"/>
          <w:marBottom w:val="0"/>
          <w:divBdr>
            <w:top w:val="none" w:sz="0" w:space="0" w:color="auto"/>
            <w:left w:val="none" w:sz="0" w:space="0" w:color="auto"/>
            <w:bottom w:val="none" w:sz="0" w:space="0" w:color="auto"/>
            <w:right w:val="none" w:sz="0" w:space="0" w:color="auto"/>
          </w:divBdr>
        </w:div>
        <w:div w:id="2115976907">
          <w:marLeft w:val="0"/>
          <w:marRight w:val="0"/>
          <w:marTop w:val="0"/>
          <w:marBottom w:val="0"/>
          <w:divBdr>
            <w:top w:val="none" w:sz="0" w:space="0" w:color="auto"/>
            <w:left w:val="none" w:sz="0" w:space="0" w:color="auto"/>
            <w:bottom w:val="none" w:sz="0" w:space="0" w:color="auto"/>
            <w:right w:val="none" w:sz="0" w:space="0" w:color="auto"/>
          </w:divBdr>
        </w:div>
        <w:div w:id="2045061885">
          <w:marLeft w:val="0"/>
          <w:marRight w:val="0"/>
          <w:marTop w:val="0"/>
          <w:marBottom w:val="0"/>
          <w:divBdr>
            <w:top w:val="none" w:sz="0" w:space="0" w:color="auto"/>
            <w:left w:val="none" w:sz="0" w:space="0" w:color="auto"/>
            <w:bottom w:val="none" w:sz="0" w:space="0" w:color="auto"/>
            <w:right w:val="none" w:sz="0" w:space="0" w:color="auto"/>
          </w:divBdr>
        </w:div>
        <w:div w:id="1117332473">
          <w:marLeft w:val="0"/>
          <w:marRight w:val="0"/>
          <w:marTop w:val="0"/>
          <w:marBottom w:val="0"/>
          <w:divBdr>
            <w:top w:val="none" w:sz="0" w:space="0" w:color="auto"/>
            <w:left w:val="none" w:sz="0" w:space="0" w:color="auto"/>
            <w:bottom w:val="none" w:sz="0" w:space="0" w:color="auto"/>
            <w:right w:val="none" w:sz="0" w:space="0" w:color="auto"/>
          </w:divBdr>
        </w:div>
      </w:divsChild>
    </w:div>
    <w:div w:id="570971280">
      <w:marLeft w:val="0"/>
      <w:marRight w:val="0"/>
      <w:marTop w:val="180"/>
      <w:marBottom w:val="180"/>
      <w:divBdr>
        <w:top w:val="none" w:sz="0" w:space="0" w:color="auto"/>
        <w:left w:val="none" w:sz="0" w:space="0" w:color="auto"/>
        <w:bottom w:val="none" w:sz="0" w:space="0" w:color="auto"/>
        <w:right w:val="none" w:sz="0" w:space="0" w:color="auto"/>
      </w:divBdr>
    </w:div>
    <w:div w:id="571232434">
      <w:marLeft w:val="0"/>
      <w:marRight w:val="0"/>
      <w:marTop w:val="180"/>
      <w:marBottom w:val="180"/>
      <w:divBdr>
        <w:top w:val="none" w:sz="0" w:space="0" w:color="auto"/>
        <w:left w:val="none" w:sz="0" w:space="0" w:color="auto"/>
        <w:bottom w:val="none" w:sz="0" w:space="0" w:color="auto"/>
        <w:right w:val="none" w:sz="0" w:space="0" w:color="auto"/>
      </w:divBdr>
      <w:divsChild>
        <w:div w:id="1171603352">
          <w:marLeft w:val="0"/>
          <w:marRight w:val="0"/>
          <w:marTop w:val="0"/>
          <w:marBottom w:val="0"/>
          <w:divBdr>
            <w:top w:val="none" w:sz="0" w:space="0" w:color="auto"/>
            <w:left w:val="none" w:sz="0" w:space="0" w:color="auto"/>
            <w:bottom w:val="none" w:sz="0" w:space="0" w:color="auto"/>
            <w:right w:val="none" w:sz="0" w:space="0" w:color="auto"/>
          </w:divBdr>
        </w:div>
      </w:divsChild>
    </w:div>
    <w:div w:id="573201137">
      <w:marLeft w:val="0"/>
      <w:marRight w:val="0"/>
      <w:marTop w:val="0"/>
      <w:marBottom w:val="0"/>
      <w:divBdr>
        <w:top w:val="none" w:sz="0" w:space="0" w:color="auto"/>
        <w:left w:val="none" w:sz="0" w:space="0" w:color="auto"/>
        <w:bottom w:val="none" w:sz="0" w:space="0" w:color="auto"/>
        <w:right w:val="none" w:sz="0" w:space="0" w:color="auto"/>
      </w:divBdr>
      <w:divsChild>
        <w:div w:id="20013017">
          <w:marLeft w:val="0"/>
          <w:marRight w:val="0"/>
          <w:marTop w:val="0"/>
          <w:marBottom w:val="0"/>
          <w:divBdr>
            <w:top w:val="none" w:sz="0" w:space="0" w:color="auto"/>
            <w:left w:val="none" w:sz="0" w:space="0" w:color="auto"/>
            <w:bottom w:val="none" w:sz="0" w:space="0" w:color="auto"/>
            <w:right w:val="none" w:sz="0" w:space="0" w:color="auto"/>
          </w:divBdr>
          <w:divsChild>
            <w:div w:id="10964415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3662034">
      <w:marLeft w:val="0"/>
      <w:marRight w:val="0"/>
      <w:marTop w:val="180"/>
      <w:marBottom w:val="180"/>
      <w:divBdr>
        <w:top w:val="none" w:sz="0" w:space="0" w:color="auto"/>
        <w:left w:val="none" w:sz="0" w:space="0" w:color="auto"/>
        <w:bottom w:val="none" w:sz="0" w:space="0" w:color="auto"/>
        <w:right w:val="none" w:sz="0" w:space="0" w:color="auto"/>
      </w:divBdr>
    </w:div>
    <w:div w:id="575162940">
      <w:marLeft w:val="0"/>
      <w:marRight w:val="0"/>
      <w:marTop w:val="0"/>
      <w:marBottom w:val="15"/>
      <w:divBdr>
        <w:top w:val="none" w:sz="0" w:space="0" w:color="auto"/>
        <w:left w:val="none" w:sz="0" w:space="0" w:color="auto"/>
        <w:bottom w:val="none" w:sz="0" w:space="0" w:color="auto"/>
        <w:right w:val="none" w:sz="0" w:space="0" w:color="auto"/>
      </w:divBdr>
    </w:div>
    <w:div w:id="576062195">
      <w:marLeft w:val="0"/>
      <w:marRight w:val="0"/>
      <w:marTop w:val="180"/>
      <w:marBottom w:val="180"/>
      <w:divBdr>
        <w:top w:val="none" w:sz="0" w:space="0" w:color="auto"/>
        <w:left w:val="none" w:sz="0" w:space="0" w:color="auto"/>
        <w:bottom w:val="none" w:sz="0" w:space="0" w:color="auto"/>
        <w:right w:val="none" w:sz="0" w:space="0" w:color="auto"/>
      </w:divBdr>
    </w:div>
    <w:div w:id="576673343">
      <w:marLeft w:val="0"/>
      <w:marRight w:val="0"/>
      <w:marTop w:val="180"/>
      <w:marBottom w:val="180"/>
      <w:divBdr>
        <w:top w:val="none" w:sz="0" w:space="0" w:color="auto"/>
        <w:left w:val="none" w:sz="0" w:space="0" w:color="auto"/>
        <w:bottom w:val="none" w:sz="0" w:space="0" w:color="auto"/>
        <w:right w:val="none" w:sz="0" w:space="0" w:color="auto"/>
      </w:divBdr>
    </w:div>
    <w:div w:id="577595888">
      <w:marLeft w:val="0"/>
      <w:marRight w:val="0"/>
      <w:marTop w:val="0"/>
      <w:marBottom w:val="0"/>
      <w:divBdr>
        <w:top w:val="none" w:sz="0" w:space="0" w:color="auto"/>
        <w:left w:val="none" w:sz="0" w:space="0" w:color="auto"/>
        <w:bottom w:val="none" w:sz="0" w:space="0" w:color="auto"/>
        <w:right w:val="none" w:sz="0" w:space="0" w:color="auto"/>
      </w:divBdr>
      <w:divsChild>
        <w:div w:id="917515261">
          <w:marLeft w:val="0"/>
          <w:marRight w:val="0"/>
          <w:marTop w:val="0"/>
          <w:marBottom w:val="0"/>
          <w:divBdr>
            <w:top w:val="none" w:sz="0" w:space="0" w:color="auto"/>
            <w:left w:val="none" w:sz="0" w:space="0" w:color="auto"/>
            <w:bottom w:val="none" w:sz="0" w:space="0" w:color="auto"/>
            <w:right w:val="none" w:sz="0" w:space="0" w:color="auto"/>
          </w:divBdr>
          <w:divsChild>
            <w:div w:id="14252973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7708988">
      <w:marLeft w:val="0"/>
      <w:marRight w:val="0"/>
      <w:marTop w:val="0"/>
      <w:marBottom w:val="60"/>
      <w:divBdr>
        <w:top w:val="none" w:sz="0" w:space="0" w:color="auto"/>
        <w:left w:val="none" w:sz="0" w:space="0" w:color="auto"/>
        <w:bottom w:val="none" w:sz="0" w:space="0" w:color="auto"/>
        <w:right w:val="none" w:sz="0" w:space="0" w:color="auto"/>
      </w:divBdr>
    </w:div>
    <w:div w:id="578178512">
      <w:marLeft w:val="0"/>
      <w:marRight w:val="0"/>
      <w:marTop w:val="60"/>
      <w:marBottom w:val="60"/>
      <w:divBdr>
        <w:top w:val="none" w:sz="0" w:space="0" w:color="auto"/>
        <w:left w:val="none" w:sz="0" w:space="0" w:color="auto"/>
        <w:bottom w:val="none" w:sz="0" w:space="0" w:color="auto"/>
        <w:right w:val="none" w:sz="0" w:space="0" w:color="auto"/>
      </w:divBdr>
    </w:div>
    <w:div w:id="578516546">
      <w:marLeft w:val="0"/>
      <w:marRight w:val="0"/>
      <w:marTop w:val="60"/>
      <w:marBottom w:val="60"/>
      <w:divBdr>
        <w:top w:val="none" w:sz="0" w:space="0" w:color="auto"/>
        <w:left w:val="none" w:sz="0" w:space="0" w:color="auto"/>
        <w:bottom w:val="none" w:sz="0" w:space="0" w:color="auto"/>
        <w:right w:val="none" w:sz="0" w:space="0" w:color="auto"/>
      </w:divBdr>
    </w:div>
    <w:div w:id="578516880">
      <w:marLeft w:val="0"/>
      <w:marRight w:val="0"/>
      <w:marTop w:val="180"/>
      <w:marBottom w:val="180"/>
      <w:divBdr>
        <w:top w:val="none" w:sz="0" w:space="0" w:color="auto"/>
        <w:left w:val="none" w:sz="0" w:space="0" w:color="auto"/>
        <w:bottom w:val="none" w:sz="0" w:space="0" w:color="auto"/>
        <w:right w:val="none" w:sz="0" w:space="0" w:color="auto"/>
      </w:divBdr>
    </w:div>
    <w:div w:id="579563536">
      <w:marLeft w:val="0"/>
      <w:marRight w:val="0"/>
      <w:marTop w:val="0"/>
      <w:marBottom w:val="0"/>
      <w:divBdr>
        <w:top w:val="none" w:sz="0" w:space="0" w:color="auto"/>
        <w:left w:val="none" w:sz="0" w:space="0" w:color="auto"/>
        <w:bottom w:val="none" w:sz="0" w:space="0" w:color="auto"/>
        <w:right w:val="none" w:sz="0" w:space="0" w:color="auto"/>
      </w:divBdr>
      <w:divsChild>
        <w:div w:id="749886978">
          <w:marLeft w:val="0"/>
          <w:marRight w:val="0"/>
          <w:marTop w:val="60"/>
          <w:marBottom w:val="60"/>
          <w:divBdr>
            <w:top w:val="none" w:sz="0" w:space="0" w:color="auto"/>
            <w:left w:val="none" w:sz="0" w:space="0" w:color="auto"/>
            <w:bottom w:val="none" w:sz="0" w:space="0" w:color="auto"/>
            <w:right w:val="none" w:sz="0" w:space="0" w:color="auto"/>
          </w:divBdr>
        </w:div>
      </w:divsChild>
    </w:div>
    <w:div w:id="582490852">
      <w:marLeft w:val="0"/>
      <w:marRight w:val="0"/>
      <w:marTop w:val="100"/>
      <w:marBottom w:val="100"/>
      <w:divBdr>
        <w:top w:val="none" w:sz="0" w:space="0" w:color="auto"/>
        <w:left w:val="none" w:sz="0" w:space="0" w:color="auto"/>
        <w:bottom w:val="none" w:sz="0" w:space="0" w:color="auto"/>
        <w:right w:val="none" w:sz="0" w:space="0" w:color="auto"/>
      </w:divBdr>
      <w:divsChild>
        <w:div w:id="1991014808">
          <w:marLeft w:val="0"/>
          <w:marRight w:val="0"/>
          <w:marTop w:val="0"/>
          <w:marBottom w:val="0"/>
          <w:divBdr>
            <w:top w:val="none" w:sz="0" w:space="0" w:color="auto"/>
            <w:left w:val="none" w:sz="0" w:space="0" w:color="auto"/>
            <w:bottom w:val="none" w:sz="0" w:space="0" w:color="auto"/>
            <w:right w:val="none" w:sz="0" w:space="0" w:color="auto"/>
          </w:divBdr>
        </w:div>
        <w:div w:id="1585913929">
          <w:marLeft w:val="0"/>
          <w:marRight w:val="0"/>
          <w:marTop w:val="0"/>
          <w:marBottom w:val="0"/>
          <w:divBdr>
            <w:top w:val="none" w:sz="0" w:space="0" w:color="auto"/>
            <w:left w:val="none" w:sz="0" w:space="0" w:color="auto"/>
            <w:bottom w:val="none" w:sz="0" w:space="0" w:color="auto"/>
            <w:right w:val="none" w:sz="0" w:space="0" w:color="auto"/>
          </w:divBdr>
        </w:div>
      </w:divsChild>
    </w:div>
    <w:div w:id="584612401">
      <w:marLeft w:val="0"/>
      <w:marRight w:val="0"/>
      <w:marTop w:val="180"/>
      <w:marBottom w:val="180"/>
      <w:divBdr>
        <w:top w:val="none" w:sz="0" w:space="0" w:color="auto"/>
        <w:left w:val="none" w:sz="0" w:space="0" w:color="auto"/>
        <w:bottom w:val="none" w:sz="0" w:space="0" w:color="auto"/>
        <w:right w:val="none" w:sz="0" w:space="0" w:color="auto"/>
      </w:divBdr>
    </w:div>
    <w:div w:id="584802320">
      <w:marLeft w:val="0"/>
      <w:marRight w:val="0"/>
      <w:marTop w:val="180"/>
      <w:marBottom w:val="180"/>
      <w:divBdr>
        <w:top w:val="none" w:sz="0" w:space="0" w:color="auto"/>
        <w:left w:val="none" w:sz="0" w:space="0" w:color="auto"/>
        <w:bottom w:val="none" w:sz="0" w:space="0" w:color="auto"/>
        <w:right w:val="none" w:sz="0" w:space="0" w:color="auto"/>
      </w:divBdr>
    </w:div>
    <w:div w:id="591355413">
      <w:marLeft w:val="0"/>
      <w:marRight w:val="0"/>
      <w:marTop w:val="0"/>
      <w:marBottom w:val="0"/>
      <w:divBdr>
        <w:top w:val="none" w:sz="0" w:space="0" w:color="auto"/>
        <w:left w:val="none" w:sz="0" w:space="0" w:color="auto"/>
        <w:bottom w:val="none" w:sz="0" w:space="0" w:color="auto"/>
        <w:right w:val="none" w:sz="0" w:space="0" w:color="auto"/>
      </w:divBdr>
    </w:div>
    <w:div w:id="593243569">
      <w:marLeft w:val="0"/>
      <w:marRight w:val="0"/>
      <w:marTop w:val="180"/>
      <w:marBottom w:val="180"/>
      <w:divBdr>
        <w:top w:val="none" w:sz="0" w:space="0" w:color="auto"/>
        <w:left w:val="none" w:sz="0" w:space="0" w:color="auto"/>
        <w:bottom w:val="none" w:sz="0" w:space="0" w:color="auto"/>
        <w:right w:val="none" w:sz="0" w:space="0" w:color="auto"/>
      </w:divBdr>
    </w:div>
    <w:div w:id="593709325">
      <w:marLeft w:val="0"/>
      <w:marRight w:val="0"/>
      <w:marTop w:val="180"/>
      <w:marBottom w:val="180"/>
      <w:divBdr>
        <w:top w:val="none" w:sz="0" w:space="0" w:color="auto"/>
        <w:left w:val="none" w:sz="0" w:space="0" w:color="auto"/>
        <w:bottom w:val="none" w:sz="0" w:space="0" w:color="auto"/>
        <w:right w:val="none" w:sz="0" w:space="0" w:color="auto"/>
      </w:divBdr>
    </w:div>
    <w:div w:id="594435429">
      <w:marLeft w:val="0"/>
      <w:marRight w:val="0"/>
      <w:marTop w:val="60"/>
      <w:marBottom w:val="60"/>
      <w:divBdr>
        <w:top w:val="none" w:sz="0" w:space="0" w:color="auto"/>
        <w:left w:val="none" w:sz="0" w:space="0" w:color="auto"/>
        <w:bottom w:val="none" w:sz="0" w:space="0" w:color="auto"/>
        <w:right w:val="none" w:sz="0" w:space="0" w:color="auto"/>
      </w:divBdr>
    </w:div>
    <w:div w:id="596984607">
      <w:marLeft w:val="0"/>
      <w:marRight w:val="0"/>
      <w:marTop w:val="180"/>
      <w:marBottom w:val="180"/>
      <w:divBdr>
        <w:top w:val="none" w:sz="0" w:space="0" w:color="auto"/>
        <w:left w:val="none" w:sz="0" w:space="0" w:color="auto"/>
        <w:bottom w:val="none" w:sz="0" w:space="0" w:color="auto"/>
        <w:right w:val="none" w:sz="0" w:space="0" w:color="auto"/>
      </w:divBdr>
    </w:div>
    <w:div w:id="597103657">
      <w:marLeft w:val="0"/>
      <w:marRight w:val="0"/>
      <w:marTop w:val="180"/>
      <w:marBottom w:val="180"/>
      <w:divBdr>
        <w:top w:val="none" w:sz="0" w:space="0" w:color="auto"/>
        <w:left w:val="none" w:sz="0" w:space="0" w:color="auto"/>
        <w:bottom w:val="none" w:sz="0" w:space="0" w:color="auto"/>
        <w:right w:val="none" w:sz="0" w:space="0" w:color="auto"/>
      </w:divBdr>
    </w:div>
    <w:div w:id="601185539">
      <w:marLeft w:val="0"/>
      <w:marRight w:val="0"/>
      <w:marTop w:val="180"/>
      <w:marBottom w:val="180"/>
      <w:divBdr>
        <w:top w:val="none" w:sz="0" w:space="0" w:color="auto"/>
        <w:left w:val="none" w:sz="0" w:space="0" w:color="auto"/>
        <w:bottom w:val="none" w:sz="0" w:space="0" w:color="auto"/>
        <w:right w:val="none" w:sz="0" w:space="0" w:color="auto"/>
      </w:divBdr>
    </w:div>
    <w:div w:id="604113844">
      <w:marLeft w:val="0"/>
      <w:marRight w:val="0"/>
      <w:marTop w:val="60"/>
      <w:marBottom w:val="60"/>
      <w:divBdr>
        <w:top w:val="none" w:sz="0" w:space="0" w:color="auto"/>
        <w:left w:val="none" w:sz="0" w:space="0" w:color="auto"/>
        <w:bottom w:val="none" w:sz="0" w:space="0" w:color="auto"/>
        <w:right w:val="none" w:sz="0" w:space="0" w:color="auto"/>
      </w:divBdr>
    </w:div>
    <w:div w:id="604574635">
      <w:marLeft w:val="0"/>
      <w:marRight w:val="0"/>
      <w:marTop w:val="180"/>
      <w:marBottom w:val="180"/>
      <w:divBdr>
        <w:top w:val="none" w:sz="0" w:space="0" w:color="auto"/>
        <w:left w:val="none" w:sz="0" w:space="0" w:color="auto"/>
        <w:bottom w:val="none" w:sz="0" w:space="0" w:color="auto"/>
        <w:right w:val="none" w:sz="0" w:space="0" w:color="auto"/>
      </w:divBdr>
    </w:div>
    <w:div w:id="605045830">
      <w:marLeft w:val="0"/>
      <w:marRight w:val="0"/>
      <w:marTop w:val="180"/>
      <w:marBottom w:val="180"/>
      <w:divBdr>
        <w:top w:val="none" w:sz="0" w:space="0" w:color="auto"/>
        <w:left w:val="none" w:sz="0" w:space="0" w:color="auto"/>
        <w:bottom w:val="none" w:sz="0" w:space="0" w:color="auto"/>
        <w:right w:val="none" w:sz="0" w:space="0" w:color="auto"/>
      </w:divBdr>
    </w:div>
    <w:div w:id="605578883">
      <w:marLeft w:val="0"/>
      <w:marRight w:val="0"/>
      <w:marTop w:val="180"/>
      <w:marBottom w:val="180"/>
      <w:divBdr>
        <w:top w:val="none" w:sz="0" w:space="0" w:color="auto"/>
        <w:left w:val="none" w:sz="0" w:space="0" w:color="auto"/>
        <w:bottom w:val="none" w:sz="0" w:space="0" w:color="auto"/>
        <w:right w:val="none" w:sz="0" w:space="0" w:color="auto"/>
      </w:divBdr>
    </w:div>
    <w:div w:id="605894558">
      <w:marLeft w:val="0"/>
      <w:marRight w:val="0"/>
      <w:marTop w:val="0"/>
      <w:marBottom w:val="0"/>
      <w:divBdr>
        <w:top w:val="none" w:sz="0" w:space="0" w:color="auto"/>
        <w:left w:val="none" w:sz="0" w:space="0" w:color="auto"/>
        <w:bottom w:val="none" w:sz="0" w:space="0" w:color="auto"/>
        <w:right w:val="none" w:sz="0" w:space="0" w:color="auto"/>
      </w:divBdr>
      <w:divsChild>
        <w:div w:id="1510679809">
          <w:marLeft w:val="0"/>
          <w:marRight w:val="0"/>
          <w:marTop w:val="0"/>
          <w:marBottom w:val="0"/>
          <w:divBdr>
            <w:top w:val="none" w:sz="0" w:space="0" w:color="auto"/>
            <w:left w:val="none" w:sz="0" w:space="0" w:color="auto"/>
            <w:bottom w:val="none" w:sz="0" w:space="0" w:color="auto"/>
            <w:right w:val="none" w:sz="0" w:space="0" w:color="auto"/>
          </w:divBdr>
          <w:divsChild>
            <w:div w:id="5237904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07078524">
      <w:marLeft w:val="0"/>
      <w:marRight w:val="0"/>
      <w:marTop w:val="60"/>
      <w:marBottom w:val="60"/>
      <w:divBdr>
        <w:top w:val="none" w:sz="0" w:space="0" w:color="auto"/>
        <w:left w:val="none" w:sz="0" w:space="0" w:color="auto"/>
        <w:bottom w:val="none" w:sz="0" w:space="0" w:color="auto"/>
        <w:right w:val="none" w:sz="0" w:space="0" w:color="auto"/>
      </w:divBdr>
    </w:div>
    <w:div w:id="607202652">
      <w:marLeft w:val="0"/>
      <w:marRight w:val="0"/>
      <w:marTop w:val="180"/>
      <w:marBottom w:val="180"/>
      <w:divBdr>
        <w:top w:val="none" w:sz="0" w:space="0" w:color="auto"/>
        <w:left w:val="none" w:sz="0" w:space="0" w:color="auto"/>
        <w:bottom w:val="none" w:sz="0" w:space="0" w:color="auto"/>
        <w:right w:val="none" w:sz="0" w:space="0" w:color="auto"/>
      </w:divBdr>
    </w:div>
    <w:div w:id="608591033">
      <w:marLeft w:val="0"/>
      <w:marRight w:val="0"/>
      <w:marTop w:val="180"/>
      <w:marBottom w:val="180"/>
      <w:divBdr>
        <w:top w:val="none" w:sz="0" w:space="0" w:color="auto"/>
        <w:left w:val="none" w:sz="0" w:space="0" w:color="auto"/>
        <w:bottom w:val="none" w:sz="0" w:space="0" w:color="auto"/>
        <w:right w:val="none" w:sz="0" w:space="0" w:color="auto"/>
      </w:divBdr>
    </w:div>
    <w:div w:id="608662543">
      <w:marLeft w:val="0"/>
      <w:marRight w:val="0"/>
      <w:marTop w:val="180"/>
      <w:marBottom w:val="180"/>
      <w:divBdr>
        <w:top w:val="none" w:sz="0" w:space="0" w:color="auto"/>
        <w:left w:val="none" w:sz="0" w:space="0" w:color="auto"/>
        <w:bottom w:val="none" w:sz="0" w:space="0" w:color="auto"/>
        <w:right w:val="none" w:sz="0" w:space="0" w:color="auto"/>
      </w:divBdr>
    </w:div>
    <w:div w:id="609749173">
      <w:marLeft w:val="0"/>
      <w:marRight w:val="0"/>
      <w:marTop w:val="180"/>
      <w:marBottom w:val="180"/>
      <w:divBdr>
        <w:top w:val="none" w:sz="0" w:space="0" w:color="auto"/>
        <w:left w:val="none" w:sz="0" w:space="0" w:color="auto"/>
        <w:bottom w:val="none" w:sz="0" w:space="0" w:color="auto"/>
        <w:right w:val="none" w:sz="0" w:space="0" w:color="auto"/>
      </w:divBdr>
    </w:div>
    <w:div w:id="610430289">
      <w:marLeft w:val="0"/>
      <w:marRight w:val="0"/>
      <w:marTop w:val="60"/>
      <w:marBottom w:val="60"/>
      <w:divBdr>
        <w:top w:val="none" w:sz="0" w:space="0" w:color="auto"/>
        <w:left w:val="none" w:sz="0" w:space="0" w:color="auto"/>
        <w:bottom w:val="none" w:sz="0" w:space="0" w:color="auto"/>
        <w:right w:val="none" w:sz="0" w:space="0" w:color="auto"/>
      </w:divBdr>
    </w:div>
    <w:div w:id="611128395">
      <w:marLeft w:val="0"/>
      <w:marRight w:val="0"/>
      <w:marTop w:val="60"/>
      <w:marBottom w:val="60"/>
      <w:divBdr>
        <w:top w:val="none" w:sz="0" w:space="0" w:color="auto"/>
        <w:left w:val="none" w:sz="0" w:space="0" w:color="auto"/>
        <w:bottom w:val="none" w:sz="0" w:space="0" w:color="auto"/>
        <w:right w:val="none" w:sz="0" w:space="0" w:color="auto"/>
      </w:divBdr>
    </w:div>
    <w:div w:id="611866577">
      <w:marLeft w:val="0"/>
      <w:marRight w:val="0"/>
      <w:marTop w:val="180"/>
      <w:marBottom w:val="180"/>
      <w:divBdr>
        <w:top w:val="none" w:sz="0" w:space="0" w:color="auto"/>
        <w:left w:val="none" w:sz="0" w:space="0" w:color="auto"/>
        <w:bottom w:val="none" w:sz="0" w:space="0" w:color="auto"/>
        <w:right w:val="none" w:sz="0" w:space="0" w:color="auto"/>
      </w:divBdr>
    </w:div>
    <w:div w:id="612438683">
      <w:marLeft w:val="0"/>
      <w:marRight w:val="0"/>
      <w:marTop w:val="0"/>
      <w:marBottom w:val="0"/>
      <w:divBdr>
        <w:top w:val="none" w:sz="0" w:space="0" w:color="auto"/>
        <w:left w:val="none" w:sz="0" w:space="0" w:color="auto"/>
        <w:bottom w:val="none" w:sz="0" w:space="0" w:color="auto"/>
        <w:right w:val="none" w:sz="0" w:space="0" w:color="auto"/>
      </w:divBdr>
    </w:div>
    <w:div w:id="614941105">
      <w:marLeft w:val="0"/>
      <w:marRight w:val="0"/>
      <w:marTop w:val="60"/>
      <w:marBottom w:val="60"/>
      <w:divBdr>
        <w:top w:val="none" w:sz="0" w:space="0" w:color="auto"/>
        <w:left w:val="none" w:sz="0" w:space="0" w:color="auto"/>
        <w:bottom w:val="none" w:sz="0" w:space="0" w:color="auto"/>
        <w:right w:val="none" w:sz="0" w:space="0" w:color="auto"/>
      </w:divBdr>
    </w:div>
    <w:div w:id="616328082">
      <w:marLeft w:val="0"/>
      <w:marRight w:val="0"/>
      <w:marTop w:val="180"/>
      <w:marBottom w:val="180"/>
      <w:divBdr>
        <w:top w:val="none" w:sz="0" w:space="0" w:color="auto"/>
        <w:left w:val="none" w:sz="0" w:space="0" w:color="auto"/>
        <w:bottom w:val="none" w:sz="0" w:space="0" w:color="auto"/>
        <w:right w:val="none" w:sz="0" w:space="0" w:color="auto"/>
      </w:divBdr>
    </w:div>
    <w:div w:id="618226299">
      <w:marLeft w:val="0"/>
      <w:marRight w:val="0"/>
      <w:marTop w:val="180"/>
      <w:marBottom w:val="180"/>
      <w:divBdr>
        <w:top w:val="none" w:sz="0" w:space="0" w:color="auto"/>
        <w:left w:val="none" w:sz="0" w:space="0" w:color="auto"/>
        <w:bottom w:val="none" w:sz="0" w:space="0" w:color="auto"/>
        <w:right w:val="none" w:sz="0" w:space="0" w:color="auto"/>
      </w:divBdr>
    </w:div>
    <w:div w:id="622854829">
      <w:marLeft w:val="0"/>
      <w:marRight w:val="0"/>
      <w:marTop w:val="180"/>
      <w:marBottom w:val="180"/>
      <w:divBdr>
        <w:top w:val="none" w:sz="0" w:space="0" w:color="auto"/>
        <w:left w:val="none" w:sz="0" w:space="0" w:color="auto"/>
        <w:bottom w:val="none" w:sz="0" w:space="0" w:color="auto"/>
        <w:right w:val="none" w:sz="0" w:space="0" w:color="auto"/>
      </w:divBdr>
    </w:div>
    <w:div w:id="628322571">
      <w:marLeft w:val="0"/>
      <w:marRight w:val="0"/>
      <w:marTop w:val="60"/>
      <w:marBottom w:val="60"/>
      <w:divBdr>
        <w:top w:val="none" w:sz="0" w:space="0" w:color="auto"/>
        <w:left w:val="none" w:sz="0" w:space="0" w:color="auto"/>
        <w:bottom w:val="none" w:sz="0" w:space="0" w:color="auto"/>
        <w:right w:val="none" w:sz="0" w:space="0" w:color="auto"/>
      </w:divBdr>
    </w:div>
    <w:div w:id="629439626">
      <w:marLeft w:val="0"/>
      <w:marRight w:val="0"/>
      <w:marTop w:val="180"/>
      <w:marBottom w:val="180"/>
      <w:divBdr>
        <w:top w:val="none" w:sz="0" w:space="0" w:color="auto"/>
        <w:left w:val="none" w:sz="0" w:space="0" w:color="auto"/>
        <w:bottom w:val="none" w:sz="0" w:space="0" w:color="auto"/>
        <w:right w:val="none" w:sz="0" w:space="0" w:color="auto"/>
      </w:divBdr>
    </w:div>
    <w:div w:id="633482956">
      <w:marLeft w:val="0"/>
      <w:marRight w:val="0"/>
      <w:marTop w:val="0"/>
      <w:marBottom w:val="0"/>
      <w:divBdr>
        <w:top w:val="none" w:sz="0" w:space="0" w:color="auto"/>
        <w:left w:val="none" w:sz="0" w:space="0" w:color="auto"/>
        <w:bottom w:val="none" w:sz="0" w:space="0" w:color="auto"/>
        <w:right w:val="none" w:sz="0" w:space="0" w:color="auto"/>
      </w:divBdr>
      <w:divsChild>
        <w:div w:id="977957633">
          <w:marLeft w:val="0"/>
          <w:marRight w:val="0"/>
          <w:marTop w:val="0"/>
          <w:marBottom w:val="0"/>
          <w:divBdr>
            <w:top w:val="none" w:sz="0" w:space="0" w:color="auto"/>
            <w:left w:val="none" w:sz="0" w:space="0" w:color="auto"/>
            <w:bottom w:val="none" w:sz="0" w:space="0" w:color="auto"/>
            <w:right w:val="none" w:sz="0" w:space="0" w:color="auto"/>
          </w:divBdr>
          <w:divsChild>
            <w:div w:id="9520532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4412253">
      <w:marLeft w:val="0"/>
      <w:marRight w:val="0"/>
      <w:marTop w:val="180"/>
      <w:marBottom w:val="180"/>
      <w:divBdr>
        <w:top w:val="none" w:sz="0" w:space="0" w:color="auto"/>
        <w:left w:val="none" w:sz="0" w:space="0" w:color="auto"/>
        <w:bottom w:val="none" w:sz="0" w:space="0" w:color="auto"/>
        <w:right w:val="none" w:sz="0" w:space="0" w:color="auto"/>
      </w:divBdr>
    </w:div>
    <w:div w:id="634916949">
      <w:marLeft w:val="0"/>
      <w:marRight w:val="0"/>
      <w:marTop w:val="180"/>
      <w:marBottom w:val="60"/>
      <w:divBdr>
        <w:top w:val="none" w:sz="0" w:space="0" w:color="auto"/>
        <w:left w:val="none" w:sz="0" w:space="0" w:color="auto"/>
        <w:bottom w:val="none" w:sz="0" w:space="0" w:color="auto"/>
        <w:right w:val="none" w:sz="0" w:space="0" w:color="auto"/>
      </w:divBdr>
      <w:divsChild>
        <w:div w:id="1410079381">
          <w:marLeft w:val="0"/>
          <w:marRight w:val="0"/>
          <w:marTop w:val="0"/>
          <w:marBottom w:val="0"/>
          <w:divBdr>
            <w:top w:val="none" w:sz="0" w:space="0" w:color="auto"/>
            <w:left w:val="none" w:sz="0" w:space="0" w:color="auto"/>
            <w:bottom w:val="none" w:sz="0" w:space="0" w:color="auto"/>
            <w:right w:val="none" w:sz="0" w:space="0" w:color="auto"/>
          </w:divBdr>
        </w:div>
        <w:div w:id="1452893959">
          <w:marLeft w:val="0"/>
          <w:marRight w:val="0"/>
          <w:marTop w:val="0"/>
          <w:marBottom w:val="0"/>
          <w:divBdr>
            <w:top w:val="none" w:sz="0" w:space="0" w:color="auto"/>
            <w:left w:val="none" w:sz="0" w:space="0" w:color="auto"/>
            <w:bottom w:val="none" w:sz="0" w:space="0" w:color="auto"/>
            <w:right w:val="none" w:sz="0" w:space="0" w:color="auto"/>
          </w:divBdr>
        </w:div>
        <w:div w:id="232591343">
          <w:marLeft w:val="0"/>
          <w:marRight w:val="0"/>
          <w:marTop w:val="0"/>
          <w:marBottom w:val="0"/>
          <w:divBdr>
            <w:top w:val="none" w:sz="0" w:space="0" w:color="auto"/>
            <w:left w:val="none" w:sz="0" w:space="0" w:color="auto"/>
            <w:bottom w:val="none" w:sz="0" w:space="0" w:color="auto"/>
            <w:right w:val="none" w:sz="0" w:space="0" w:color="auto"/>
          </w:divBdr>
        </w:div>
      </w:divsChild>
    </w:div>
    <w:div w:id="636909060">
      <w:marLeft w:val="0"/>
      <w:marRight w:val="0"/>
      <w:marTop w:val="0"/>
      <w:marBottom w:val="0"/>
      <w:divBdr>
        <w:top w:val="none" w:sz="0" w:space="0" w:color="auto"/>
        <w:left w:val="none" w:sz="0" w:space="0" w:color="auto"/>
        <w:bottom w:val="none" w:sz="0" w:space="0" w:color="auto"/>
        <w:right w:val="none" w:sz="0" w:space="0" w:color="auto"/>
      </w:divBdr>
    </w:div>
    <w:div w:id="637883012">
      <w:marLeft w:val="0"/>
      <w:marRight w:val="0"/>
      <w:marTop w:val="180"/>
      <w:marBottom w:val="0"/>
      <w:divBdr>
        <w:top w:val="none" w:sz="0" w:space="0" w:color="auto"/>
        <w:left w:val="none" w:sz="0" w:space="0" w:color="auto"/>
        <w:bottom w:val="none" w:sz="0" w:space="0" w:color="auto"/>
        <w:right w:val="none" w:sz="0" w:space="0" w:color="auto"/>
      </w:divBdr>
    </w:div>
    <w:div w:id="638338727">
      <w:marLeft w:val="0"/>
      <w:marRight w:val="0"/>
      <w:marTop w:val="0"/>
      <w:marBottom w:val="0"/>
      <w:divBdr>
        <w:top w:val="none" w:sz="0" w:space="0" w:color="auto"/>
        <w:left w:val="none" w:sz="0" w:space="0" w:color="auto"/>
        <w:bottom w:val="none" w:sz="0" w:space="0" w:color="auto"/>
        <w:right w:val="none" w:sz="0" w:space="0" w:color="auto"/>
      </w:divBdr>
      <w:divsChild>
        <w:div w:id="680395774">
          <w:marLeft w:val="0"/>
          <w:marRight w:val="0"/>
          <w:marTop w:val="0"/>
          <w:marBottom w:val="0"/>
          <w:divBdr>
            <w:top w:val="none" w:sz="0" w:space="0" w:color="auto"/>
            <w:left w:val="none" w:sz="0" w:space="0" w:color="auto"/>
            <w:bottom w:val="none" w:sz="0" w:space="0" w:color="auto"/>
            <w:right w:val="none" w:sz="0" w:space="0" w:color="auto"/>
          </w:divBdr>
          <w:divsChild>
            <w:div w:id="14619207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4624988">
      <w:marLeft w:val="0"/>
      <w:marRight w:val="0"/>
      <w:marTop w:val="0"/>
      <w:marBottom w:val="0"/>
      <w:divBdr>
        <w:top w:val="none" w:sz="0" w:space="0" w:color="auto"/>
        <w:left w:val="none" w:sz="0" w:space="0" w:color="auto"/>
        <w:bottom w:val="none" w:sz="0" w:space="0" w:color="auto"/>
        <w:right w:val="none" w:sz="0" w:space="0" w:color="auto"/>
      </w:divBdr>
      <w:divsChild>
        <w:div w:id="476579224">
          <w:marLeft w:val="0"/>
          <w:marRight w:val="0"/>
          <w:marTop w:val="60"/>
          <w:marBottom w:val="180"/>
          <w:divBdr>
            <w:top w:val="none" w:sz="0" w:space="0" w:color="auto"/>
            <w:left w:val="none" w:sz="0" w:space="0" w:color="auto"/>
            <w:bottom w:val="none" w:sz="0" w:space="0" w:color="auto"/>
            <w:right w:val="none" w:sz="0" w:space="0" w:color="auto"/>
          </w:divBdr>
        </w:div>
      </w:divsChild>
    </w:div>
    <w:div w:id="645203980">
      <w:marLeft w:val="0"/>
      <w:marRight w:val="0"/>
      <w:marTop w:val="60"/>
      <w:marBottom w:val="60"/>
      <w:divBdr>
        <w:top w:val="none" w:sz="0" w:space="0" w:color="auto"/>
        <w:left w:val="none" w:sz="0" w:space="0" w:color="auto"/>
        <w:bottom w:val="none" w:sz="0" w:space="0" w:color="auto"/>
        <w:right w:val="none" w:sz="0" w:space="0" w:color="auto"/>
      </w:divBdr>
    </w:div>
    <w:div w:id="646401283">
      <w:marLeft w:val="0"/>
      <w:marRight w:val="0"/>
      <w:marTop w:val="0"/>
      <w:marBottom w:val="0"/>
      <w:divBdr>
        <w:top w:val="none" w:sz="0" w:space="0" w:color="auto"/>
        <w:left w:val="none" w:sz="0" w:space="0" w:color="auto"/>
        <w:bottom w:val="none" w:sz="0" w:space="0" w:color="auto"/>
        <w:right w:val="none" w:sz="0" w:space="0" w:color="auto"/>
      </w:divBdr>
      <w:divsChild>
        <w:div w:id="657459548">
          <w:marLeft w:val="0"/>
          <w:marRight w:val="0"/>
          <w:marTop w:val="60"/>
          <w:marBottom w:val="180"/>
          <w:divBdr>
            <w:top w:val="none" w:sz="0" w:space="0" w:color="auto"/>
            <w:left w:val="none" w:sz="0" w:space="0" w:color="auto"/>
            <w:bottom w:val="none" w:sz="0" w:space="0" w:color="auto"/>
            <w:right w:val="none" w:sz="0" w:space="0" w:color="auto"/>
          </w:divBdr>
        </w:div>
      </w:divsChild>
    </w:div>
    <w:div w:id="647513883">
      <w:marLeft w:val="0"/>
      <w:marRight w:val="0"/>
      <w:marTop w:val="180"/>
      <w:marBottom w:val="180"/>
      <w:divBdr>
        <w:top w:val="none" w:sz="0" w:space="0" w:color="auto"/>
        <w:left w:val="none" w:sz="0" w:space="0" w:color="auto"/>
        <w:bottom w:val="none" w:sz="0" w:space="0" w:color="auto"/>
        <w:right w:val="none" w:sz="0" w:space="0" w:color="auto"/>
      </w:divBdr>
    </w:div>
    <w:div w:id="647632819">
      <w:marLeft w:val="0"/>
      <w:marRight w:val="0"/>
      <w:marTop w:val="0"/>
      <w:marBottom w:val="0"/>
      <w:divBdr>
        <w:top w:val="none" w:sz="0" w:space="0" w:color="auto"/>
        <w:left w:val="none" w:sz="0" w:space="0" w:color="auto"/>
        <w:bottom w:val="none" w:sz="0" w:space="0" w:color="auto"/>
        <w:right w:val="none" w:sz="0" w:space="0" w:color="auto"/>
      </w:divBdr>
      <w:divsChild>
        <w:div w:id="1924098857">
          <w:marLeft w:val="0"/>
          <w:marRight w:val="0"/>
          <w:marTop w:val="0"/>
          <w:marBottom w:val="0"/>
          <w:divBdr>
            <w:top w:val="none" w:sz="0" w:space="0" w:color="auto"/>
            <w:left w:val="none" w:sz="0" w:space="0" w:color="auto"/>
            <w:bottom w:val="none" w:sz="0" w:space="0" w:color="auto"/>
            <w:right w:val="none" w:sz="0" w:space="0" w:color="auto"/>
          </w:divBdr>
          <w:divsChild>
            <w:div w:id="17310315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7713401">
      <w:marLeft w:val="0"/>
      <w:marRight w:val="0"/>
      <w:marTop w:val="180"/>
      <w:marBottom w:val="60"/>
      <w:divBdr>
        <w:top w:val="none" w:sz="0" w:space="0" w:color="auto"/>
        <w:left w:val="none" w:sz="0" w:space="0" w:color="auto"/>
        <w:bottom w:val="none" w:sz="0" w:space="0" w:color="auto"/>
        <w:right w:val="none" w:sz="0" w:space="0" w:color="auto"/>
      </w:divBdr>
    </w:div>
    <w:div w:id="649291133">
      <w:marLeft w:val="0"/>
      <w:marRight w:val="0"/>
      <w:marTop w:val="60"/>
      <w:marBottom w:val="60"/>
      <w:divBdr>
        <w:top w:val="none" w:sz="0" w:space="0" w:color="auto"/>
        <w:left w:val="none" w:sz="0" w:space="0" w:color="auto"/>
        <w:bottom w:val="none" w:sz="0" w:space="0" w:color="auto"/>
        <w:right w:val="none" w:sz="0" w:space="0" w:color="auto"/>
      </w:divBdr>
    </w:div>
    <w:div w:id="652491507">
      <w:marLeft w:val="0"/>
      <w:marRight w:val="0"/>
      <w:marTop w:val="0"/>
      <w:marBottom w:val="0"/>
      <w:divBdr>
        <w:top w:val="none" w:sz="0" w:space="0" w:color="auto"/>
        <w:left w:val="none" w:sz="0" w:space="0" w:color="auto"/>
        <w:bottom w:val="none" w:sz="0" w:space="0" w:color="auto"/>
        <w:right w:val="none" w:sz="0" w:space="0" w:color="auto"/>
      </w:divBdr>
      <w:divsChild>
        <w:div w:id="201016025">
          <w:marLeft w:val="0"/>
          <w:marRight w:val="0"/>
          <w:marTop w:val="60"/>
          <w:marBottom w:val="180"/>
          <w:divBdr>
            <w:top w:val="none" w:sz="0" w:space="0" w:color="auto"/>
            <w:left w:val="none" w:sz="0" w:space="0" w:color="auto"/>
            <w:bottom w:val="none" w:sz="0" w:space="0" w:color="auto"/>
            <w:right w:val="none" w:sz="0" w:space="0" w:color="auto"/>
          </w:divBdr>
        </w:div>
      </w:divsChild>
    </w:div>
    <w:div w:id="652685886">
      <w:marLeft w:val="0"/>
      <w:marRight w:val="0"/>
      <w:marTop w:val="180"/>
      <w:marBottom w:val="180"/>
      <w:divBdr>
        <w:top w:val="none" w:sz="0" w:space="0" w:color="auto"/>
        <w:left w:val="none" w:sz="0" w:space="0" w:color="auto"/>
        <w:bottom w:val="none" w:sz="0" w:space="0" w:color="auto"/>
        <w:right w:val="none" w:sz="0" w:space="0" w:color="auto"/>
      </w:divBdr>
    </w:div>
    <w:div w:id="653069671">
      <w:marLeft w:val="0"/>
      <w:marRight w:val="0"/>
      <w:marTop w:val="180"/>
      <w:marBottom w:val="0"/>
      <w:divBdr>
        <w:top w:val="none" w:sz="0" w:space="0" w:color="auto"/>
        <w:left w:val="none" w:sz="0" w:space="0" w:color="auto"/>
        <w:bottom w:val="none" w:sz="0" w:space="0" w:color="auto"/>
        <w:right w:val="none" w:sz="0" w:space="0" w:color="auto"/>
      </w:divBdr>
    </w:div>
    <w:div w:id="653097197">
      <w:marLeft w:val="0"/>
      <w:marRight w:val="0"/>
      <w:marTop w:val="180"/>
      <w:marBottom w:val="180"/>
      <w:divBdr>
        <w:top w:val="none" w:sz="0" w:space="0" w:color="auto"/>
        <w:left w:val="none" w:sz="0" w:space="0" w:color="auto"/>
        <w:bottom w:val="none" w:sz="0" w:space="0" w:color="auto"/>
        <w:right w:val="none" w:sz="0" w:space="0" w:color="auto"/>
      </w:divBdr>
    </w:div>
    <w:div w:id="653146490">
      <w:marLeft w:val="0"/>
      <w:marRight w:val="0"/>
      <w:marTop w:val="180"/>
      <w:marBottom w:val="180"/>
      <w:divBdr>
        <w:top w:val="none" w:sz="0" w:space="0" w:color="auto"/>
        <w:left w:val="none" w:sz="0" w:space="0" w:color="auto"/>
        <w:bottom w:val="none" w:sz="0" w:space="0" w:color="auto"/>
        <w:right w:val="none" w:sz="0" w:space="0" w:color="auto"/>
      </w:divBdr>
    </w:div>
    <w:div w:id="654380881">
      <w:marLeft w:val="0"/>
      <w:marRight w:val="0"/>
      <w:marTop w:val="60"/>
      <w:marBottom w:val="60"/>
      <w:divBdr>
        <w:top w:val="none" w:sz="0" w:space="0" w:color="auto"/>
        <w:left w:val="none" w:sz="0" w:space="0" w:color="auto"/>
        <w:bottom w:val="none" w:sz="0" w:space="0" w:color="auto"/>
        <w:right w:val="none" w:sz="0" w:space="0" w:color="auto"/>
      </w:divBdr>
    </w:div>
    <w:div w:id="659845769">
      <w:marLeft w:val="0"/>
      <w:marRight w:val="0"/>
      <w:marTop w:val="180"/>
      <w:marBottom w:val="180"/>
      <w:divBdr>
        <w:top w:val="none" w:sz="0" w:space="0" w:color="auto"/>
        <w:left w:val="none" w:sz="0" w:space="0" w:color="auto"/>
        <w:bottom w:val="none" w:sz="0" w:space="0" w:color="auto"/>
        <w:right w:val="none" w:sz="0" w:space="0" w:color="auto"/>
      </w:divBdr>
    </w:div>
    <w:div w:id="661130704">
      <w:marLeft w:val="0"/>
      <w:marRight w:val="0"/>
      <w:marTop w:val="180"/>
      <w:marBottom w:val="180"/>
      <w:divBdr>
        <w:top w:val="none" w:sz="0" w:space="0" w:color="auto"/>
        <w:left w:val="none" w:sz="0" w:space="0" w:color="auto"/>
        <w:bottom w:val="none" w:sz="0" w:space="0" w:color="auto"/>
        <w:right w:val="none" w:sz="0" w:space="0" w:color="auto"/>
      </w:divBdr>
    </w:div>
    <w:div w:id="661274925">
      <w:marLeft w:val="0"/>
      <w:marRight w:val="0"/>
      <w:marTop w:val="60"/>
      <w:marBottom w:val="60"/>
      <w:divBdr>
        <w:top w:val="none" w:sz="0" w:space="0" w:color="auto"/>
        <w:left w:val="none" w:sz="0" w:space="0" w:color="auto"/>
        <w:bottom w:val="none" w:sz="0" w:space="0" w:color="auto"/>
        <w:right w:val="none" w:sz="0" w:space="0" w:color="auto"/>
      </w:divBdr>
    </w:div>
    <w:div w:id="662245710">
      <w:marLeft w:val="0"/>
      <w:marRight w:val="0"/>
      <w:marTop w:val="60"/>
      <w:marBottom w:val="60"/>
      <w:divBdr>
        <w:top w:val="none" w:sz="0" w:space="0" w:color="auto"/>
        <w:left w:val="none" w:sz="0" w:space="0" w:color="auto"/>
        <w:bottom w:val="none" w:sz="0" w:space="0" w:color="auto"/>
        <w:right w:val="none" w:sz="0" w:space="0" w:color="auto"/>
      </w:divBdr>
    </w:div>
    <w:div w:id="663046660">
      <w:marLeft w:val="0"/>
      <w:marRight w:val="0"/>
      <w:marTop w:val="180"/>
      <w:marBottom w:val="0"/>
      <w:divBdr>
        <w:top w:val="none" w:sz="0" w:space="0" w:color="auto"/>
        <w:left w:val="none" w:sz="0" w:space="0" w:color="auto"/>
        <w:bottom w:val="none" w:sz="0" w:space="0" w:color="auto"/>
        <w:right w:val="none" w:sz="0" w:space="0" w:color="auto"/>
      </w:divBdr>
    </w:div>
    <w:div w:id="664434004">
      <w:marLeft w:val="0"/>
      <w:marRight w:val="0"/>
      <w:marTop w:val="180"/>
      <w:marBottom w:val="60"/>
      <w:divBdr>
        <w:top w:val="none" w:sz="0" w:space="0" w:color="auto"/>
        <w:left w:val="none" w:sz="0" w:space="0" w:color="auto"/>
        <w:bottom w:val="none" w:sz="0" w:space="0" w:color="auto"/>
        <w:right w:val="none" w:sz="0" w:space="0" w:color="auto"/>
      </w:divBdr>
      <w:divsChild>
        <w:div w:id="22484206">
          <w:marLeft w:val="0"/>
          <w:marRight w:val="0"/>
          <w:marTop w:val="0"/>
          <w:marBottom w:val="0"/>
          <w:divBdr>
            <w:top w:val="none" w:sz="0" w:space="0" w:color="auto"/>
            <w:left w:val="none" w:sz="0" w:space="0" w:color="auto"/>
            <w:bottom w:val="none" w:sz="0" w:space="0" w:color="auto"/>
            <w:right w:val="none" w:sz="0" w:space="0" w:color="auto"/>
          </w:divBdr>
        </w:div>
        <w:div w:id="214631805">
          <w:marLeft w:val="0"/>
          <w:marRight w:val="0"/>
          <w:marTop w:val="0"/>
          <w:marBottom w:val="0"/>
          <w:divBdr>
            <w:top w:val="none" w:sz="0" w:space="0" w:color="auto"/>
            <w:left w:val="none" w:sz="0" w:space="0" w:color="auto"/>
            <w:bottom w:val="none" w:sz="0" w:space="0" w:color="auto"/>
            <w:right w:val="none" w:sz="0" w:space="0" w:color="auto"/>
          </w:divBdr>
        </w:div>
        <w:div w:id="266890255">
          <w:marLeft w:val="0"/>
          <w:marRight w:val="0"/>
          <w:marTop w:val="0"/>
          <w:marBottom w:val="0"/>
          <w:divBdr>
            <w:top w:val="none" w:sz="0" w:space="0" w:color="auto"/>
            <w:left w:val="none" w:sz="0" w:space="0" w:color="auto"/>
            <w:bottom w:val="none" w:sz="0" w:space="0" w:color="auto"/>
            <w:right w:val="none" w:sz="0" w:space="0" w:color="auto"/>
          </w:divBdr>
        </w:div>
        <w:div w:id="470561017">
          <w:marLeft w:val="0"/>
          <w:marRight w:val="0"/>
          <w:marTop w:val="0"/>
          <w:marBottom w:val="0"/>
          <w:divBdr>
            <w:top w:val="none" w:sz="0" w:space="0" w:color="auto"/>
            <w:left w:val="none" w:sz="0" w:space="0" w:color="auto"/>
            <w:bottom w:val="none" w:sz="0" w:space="0" w:color="auto"/>
            <w:right w:val="none" w:sz="0" w:space="0" w:color="auto"/>
          </w:divBdr>
        </w:div>
        <w:div w:id="1250164803">
          <w:marLeft w:val="0"/>
          <w:marRight w:val="0"/>
          <w:marTop w:val="0"/>
          <w:marBottom w:val="0"/>
          <w:divBdr>
            <w:top w:val="none" w:sz="0" w:space="0" w:color="auto"/>
            <w:left w:val="none" w:sz="0" w:space="0" w:color="auto"/>
            <w:bottom w:val="none" w:sz="0" w:space="0" w:color="auto"/>
            <w:right w:val="none" w:sz="0" w:space="0" w:color="auto"/>
          </w:divBdr>
        </w:div>
        <w:div w:id="81226927">
          <w:marLeft w:val="0"/>
          <w:marRight w:val="0"/>
          <w:marTop w:val="0"/>
          <w:marBottom w:val="0"/>
          <w:divBdr>
            <w:top w:val="none" w:sz="0" w:space="0" w:color="auto"/>
            <w:left w:val="none" w:sz="0" w:space="0" w:color="auto"/>
            <w:bottom w:val="none" w:sz="0" w:space="0" w:color="auto"/>
            <w:right w:val="none" w:sz="0" w:space="0" w:color="auto"/>
          </w:divBdr>
        </w:div>
        <w:div w:id="612521448">
          <w:marLeft w:val="0"/>
          <w:marRight w:val="0"/>
          <w:marTop w:val="0"/>
          <w:marBottom w:val="0"/>
          <w:divBdr>
            <w:top w:val="none" w:sz="0" w:space="0" w:color="auto"/>
            <w:left w:val="none" w:sz="0" w:space="0" w:color="auto"/>
            <w:bottom w:val="none" w:sz="0" w:space="0" w:color="auto"/>
            <w:right w:val="none" w:sz="0" w:space="0" w:color="auto"/>
          </w:divBdr>
        </w:div>
        <w:div w:id="1349674669">
          <w:marLeft w:val="0"/>
          <w:marRight w:val="0"/>
          <w:marTop w:val="0"/>
          <w:marBottom w:val="0"/>
          <w:divBdr>
            <w:top w:val="none" w:sz="0" w:space="0" w:color="auto"/>
            <w:left w:val="none" w:sz="0" w:space="0" w:color="auto"/>
            <w:bottom w:val="none" w:sz="0" w:space="0" w:color="auto"/>
            <w:right w:val="none" w:sz="0" w:space="0" w:color="auto"/>
          </w:divBdr>
        </w:div>
      </w:divsChild>
    </w:div>
    <w:div w:id="666205444">
      <w:marLeft w:val="0"/>
      <w:marRight w:val="0"/>
      <w:marTop w:val="60"/>
      <w:marBottom w:val="60"/>
      <w:divBdr>
        <w:top w:val="none" w:sz="0" w:space="0" w:color="auto"/>
        <w:left w:val="none" w:sz="0" w:space="0" w:color="auto"/>
        <w:bottom w:val="none" w:sz="0" w:space="0" w:color="auto"/>
        <w:right w:val="none" w:sz="0" w:space="0" w:color="auto"/>
      </w:divBdr>
    </w:div>
    <w:div w:id="666246185">
      <w:marLeft w:val="0"/>
      <w:marRight w:val="0"/>
      <w:marTop w:val="0"/>
      <w:marBottom w:val="0"/>
      <w:divBdr>
        <w:top w:val="none" w:sz="0" w:space="0" w:color="auto"/>
        <w:left w:val="none" w:sz="0" w:space="0" w:color="auto"/>
        <w:bottom w:val="none" w:sz="0" w:space="0" w:color="auto"/>
        <w:right w:val="none" w:sz="0" w:space="0" w:color="auto"/>
      </w:divBdr>
    </w:div>
    <w:div w:id="666713438">
      <w:marLeft w:val="0"/>
      <w:marRight w:val="0"/>
      <w:marTop w:val="180"/>
      <w:marBottom w:val="180"/>
      <w:divBdr>
        <w:top w:val="none" w:sz="0" w:space="0" w:color="auto"/>
        <w:left w:val="none" w:sz="0" w:space="0" w:color="auto"/>
        <w:bottom w:val="none" w:sz="0" w:space="0" w:color="auto"/>
        <w:right w:val="none" w:sz="0" w:space="0" w:color="auto"/>
      </w:divBdr>
    </w:div>
    <w:div w:id="666859571">
      <w:marLeft w:val="0"/>
      <w:marRight w:val="0"/>
      <w:marTop w:val="180"/>
      <w:marBottom w:val="180"/>
      <w:divBdr>
        <w:top w:val="none" w:sz="0" w:space="0" w:color="auto"/>
        <w:left w:val="none" w:sz="0" w:space="0" w:color="auto"/>
        <w:bottom w:val="none" w:sz="0" w:space="0" w:color="auto"/>
        <w:right w:val="none" w:sz="0" w:space="0" w:color="auto"/>
      </w:divBdr>
    </w:div>
    <w:div w:id="669604645">
      <w:marLeft w:val="0"/>
      <w:marRight w:val="0"/>
      <w:marTop w:val="60"/>
      <w:marBottom w:val="60"/>
      <w:divBdr>
        <w:top w:val="none" w:sz="0" w:space="0" w:color="auto"/>
        <w:left w:val="none" w:sz="0" w:space="0" w:color="auto"/>
        <w:bottom w:val="none" w:sz="0" w:space="0" w:color="auto"/>
        <w:right w:val="none" w:sz="0" w:space="0" w:color="auto"/>
      </w:divBdr>
    </w:div>
    <w:div w:id="670067843">
      <w:marLeft w:val="0"/>
      <w:marRight w:val="0"/>
      <w:marTop w:val="180"/>
      <w:marBottom w:val="180"/>
      <w:divBdr>
        <w:top w:val="none" w:sz="0" w:space="0" w:color="auto"/>
        <w:left w:val="none" w:sz="0" w:space="0" w:color="auto"/>
        <w:bottom w:val="none" w:sz="0" w:space="0" w:color="auto"/>
        <w:right w:val="none" w:sz="0" w:space="0" w:color="auto"/>
      </w:divBdr>
    </w:div>
    <w:div w:id="672219461">
      <w:marLeft w:val="0"/>
      <w:marRight w:val="0"/>
      <w:marTop w:val="180"/>
      <w:marBottom w:val="180"/>
      <w:divBdr>
        <w:top w:val="none" w:sz="0" w:space="0" w:color="auto"/>
        <w:left w:val="none" w:sz="0" w:space="0" w:color="auto"/>
        <w:bottom w:val="none" w:sz="0" w:space="0" w:color="auto"/>
        <w:right w:val="none" w:sz="0" w:space="0" w:color="auto"/>
      </w:divBdr>
    </w:div>
    <w:div w:id="673410871">
      <w:marLeft w:val="0"/>
      <w:marRight w:val="0"/>
      <w:marTop w:val="180"/>
      <w:marBottom w:val="180"/>
      <w:divBdr>
        <w:top w:val="none" w:sz="0" w:space="0" w:color="auto"/>
        <w:left w:val="none" w:sz="0" w:space="0" w:color="auto"/>
        <w:bottom w:val="none" w:sz="0" w:space="0" w:color="auto"/>
        <w:right w:val="none" w:sz="0" w:space="0" w:color="auto"/>
      </w:divBdr>
    </w:div>
    <w:div w:id="673646952">
      <w:marLeft w:val="0"/>
      <w:marRight w:val="0"/>
      <w:marTop w:val="180"/>
      <w:marBottom w:val="180"/>
      <w:divBdr>
        <w:top w:val="none" w:sz="0" w:space="0" w:color="auto"/>
        <w:left w:val="none" w:sz="0" w:space="0" w:color="auto"/>
        <w:bottom w:val="none" w:sz="0" w:space="0" w:color="auto"/>
        <w:right w:val="none" w:sz="0" w:space="0" w:color="auto"/>
      </w:divBdr>
    </w:div>
    <w:div w:id="678235195">
      <w:marLeft w:val="0"/>
      <w:marRight w:val="0"/>
      <w:marTop w:val="0"/>
      <w:marBottom w:val="0"/>
      <w:divBdr>
        <w:top w:val="none" w:sz="0" w:space="0" w:color="auto"/>
        <w:left w:val="none" w:sz="0" w:space="0" w:color="auto"/>
        <w:bottom w:val="none" w:sz="0" w:space="0" w:color="auto"/>
        <w:right w:val="none" w:sz="0" w:space="0" w:color="auto"/>
      </w:divBdr>
    </w:div>
    <w:div w:id="678773665">
      <w:marLeft w:val="0"/>
      <w:marRight w:val="0"/>
      <w:marTop w:val="180"/>
      <w:marBottom w:val="180"/>
      <w:divBdr>
        <w:top w:val="none" w:sz="0" w:space="0" w:color="auto"/>
        <w:left w:val="none" w:sz="0" w:space="0" w:color="auto"/>
        <w:bottom w:val="none" w:sz="0" w:space="0" w:color="auto"/>
        <w:right w:val="none" w:sz="0" w:space="0" w:color="auto"/>
      </w:divBdr>
    </w:div>
    <w:div w:id="679819107">
      <w:marLeft w:val="0"/>
      <w:marRight w:val="0"/>
      <w:marTop w:val="0"/>
      <w:marBottom w:val="0"/>
      <w:divBdr>
        <w:top w:val="none" w:sz="0" w:space="0" w:color="auto"/>
        <w:left w:val="none" w:sz="0" w:space="0" w:color="auto"/>
        <w:bottom w:val="none" w:sz="0" w:space="0" w:color="auto"/>
        <w:right w:val="none" w:sz="0" w:space="0" w:color="auto"/>
      </w:divBdr>
      <w:divsChild>
        <w:div w:id="1013338058">
          <w:marLeft w:val="0"/>
          <w:marRight w:val="0"/>
          <w:marTop w:val="60"/>
          <w:marBottom w:val="60"/>
          <w:divBdr>
            <w:top w:val="none" w:sz="0" w:space="0" w:color="auto"/>
            <w:left w:val="none" w:sz="0" w:space="0" w:color="auto"/>
            <w:bottom w:val="none" w:sz="0" w:space="0" w:color="auto"/>
            <w:right w:val="none" w:sz="0" w:space="0" w:color="auto"/>
          </w:divBdr>
        </w:div>
      </w:divsChild>
    </w:div>
    <w:div w:id="680158484">
      <w:marLeft w:val="0"/>
      <w:marRight w:val="0"/>
      <w:marTop w:val="0"/>
      <w:marBottom w:val="0"/>
      <w:divBdr>
        <w:top w:val="none" w:sz="0" w:space="0" w:color="auto"/>
        <w:left w:val="none" w:sz="0" w:space="0" w:color="auto"/>
        <w:bottom w:val="none" w:sz="0" w:space="0" w:color="auto"/>
        <w:right w:val="none" w:sz="0" w:space="0" w:color="auto"/>
      </w:divBdr>
      <w:divsChild>
        <w:div w:id="772747488">
          <w:marLeft w:val="0"/>
          <w:marRight w:val="0"/>
          <w:marTop w:val="0"/>
          <w:marBottom w:val="0"/>
          <w:divBdr>
            <w:top w:val="none" w:sz="0" w:space="0" w:color="auto"/>
            <w:left w:val="none" w:sz="0" w:space="0" w:color="auto"/>
            <w:bottom w:val="none" w:sz="0" w:space="0" w:color="auto"/>
            <w:right w:val="none" w:sz="0" w:space="0" w:color="auto"/>
          </w:divBdr>
          <w:divsChild>
            <w:div w:id="15929319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4865932">
      <w:marLeft w:val="0"/>
      <w:marRight w:val="0"/>
      <w:marTop w:val="180"/>
      <w:marBottom w:val="180"/>
      <w:divBdr>
        <w:top w:val="none" w:sz="0" w:space="0" w:color="auto"/>
        <w:left w:val="none" w:sz="0" w:space="0" w:color="auto"/>
        <w:bottom w:val="none" w:sz="0" w:space="0" w:color="auto"/>
        <w:right w:val="none" w:sz="0" w:space="0" w:color="auto"/>
      </w:divBdr>
    </w:div>
    <w:div w:id="688487521">
      <w:marLeft w:val="0"/>
      <w:marRight w:val="0"/>
      <w:marTop w:val="180"/>
      <w:marBottom w:val="180"/>
      <w:divBdr>
        <w:top w:val="none" w:sz="0" w:space="0" w:color="auto"/>
        <w:left w:val="none" w:sz="0" w:space="0" w:color="auto"/>
        <w:bottom w:val="none" w:sz="0" w:space="0" w:color="auto"/>
        <w:right w:val="none" w:sz="0" w:space="0" w:color="auto"/>
      </w:divBdr>
    </w:div>
    <w:div w:id="692650748">
      <w:marLeft w:val="0"/>
      <w:marRight w:val="0"/>
      <w:marTop w:val="180"/>
      <w:marBottom w:val="180"/>
      <w:divBdr>
        <w:top w:val="none" w:sz="0" w:space="0" w:color="auto"/>
        <w:left w:val="none" w:sz="0" w:space="0" w:color="auto"/>
        <w:bottom w:val="none" w:sz="0" w:space="0" w:color="auto"/>
        <w:right w:val="none" w:sz="0" w:space="0" w:color="auto"/>
      </w:divBdr>
    </w:div>
    <w:div w:id="701594081">
      <w:marLeft w:val="0"/>
      <w:marRight w:val="0"/>
      <w:marTop w:val="100"/>
      <w:marBottom w:val="0"/>
      <w:divBdr>
        <w:top w:val="none" w:sz="0" w:space="0" w:color="auto"/>
        <w:left w:val="none" w:sz="0" w:space="0" w:color="auto"/>
        <w:bottom w:val="none" w:sz="0" w:space="0" w:color="auto"/>
        <w:right w:val="none" w:sz="0" w:space="0" w:color="auto"/>
      </w:divBdr>
      <w:divsChild>
        <w:div w:id="1152521536">
          <w:marLeft w:val="0"/>
          <w:marRight w:val="0"/>
          <w:marTop w:val="0"/>
          <w:marBottom w:val="0"/>
          <w:divBdr>
            <w:top w:val="none" w:sz="0" w:space="0" w:color="auto"/>
            <w:left w:val="none" w:sz="0" w:space="0" w:color="auto"/>
            <w:bottom w:val="none" w:sz="0" w:space="0" w:color="auto"/>
            <w:right w:val="none" w:sz="0" w:space="0" w:color="auto"/>
          </w:divBdr>
        </w:div>
        <w:div w:id="1023018395">
          <w:marLeft w:val="0"/>
          <w:marRight w:val="0"/>
          <w:marTop w:val="0"/>
          <w:marBottom w:val="0"/>
          <w:divBdr>
            <w:top w:val="none" w:sz="0" w:space="0" w:color="auto"/>
            <w:left w:val="none" w:sz="0" w:space="0" w:color="auto"/>
            <w:bottom w:val="none" w:sz="0" w:space="0" w:color="auto"/>
            <w:right w:val="none" w:sz="0" w:space="0" w:color="auto"/>
          </w:divBdr>
        </w:div>
        <w:div w:id="772747539">
          <w:marLeft w:val="0"/>
          <w:marRight w:val="0"/>
          <w:marTop w:val="0"/>
          <w:marBottom w:val="0"/>
          <w:divBdr>
            <w:top w:val="none" w:sz="0" w:space="0" w:color="auto"/>
            <w:left w:val="none" w:sz="0" w:space="0" w:color="auto"/>
            <w:bottom w:val="none" w:sz="0" w:space="0" w:color="auto"/>
            <w:right w:val="none" w:sz="0" w:space="0" w:color="auto"/>
          </w:divBdr>
        </w:div>
        <w:div w:id="1022127810">
          <w:marLeft w:val="0"/>
          <w:marRight w:val="0"/>
          <w:marTop w:val="0"/>
          <w:marBottom w:val="0"/>
          <w:divBdr>
            <w:top w:val="none" w:sz="0" w:space="0" w:color="auto"/>
            <w:left w:val="none" w:sz="0" w:space="0" w:color="auto"/>
            <w:bottom w:val="none" w:sz="0" w:space="0" w:color="auto"/>
            <w:right w:val="none" w:sz="0" w:space="0" w:color="auto"/>
          </w:divBdr>
        </w:div>
      </w:divsChild>
    </w:div>
    <w:div w:id="704448315">
      <w:marLeft w:val="0"/>
      <w:marRight w:val="0"/>
      <w:marTop w:val="180"/>
      <w:marBottom w:val="180"/>
      <w:divBdr>
        <w:top w:val="none" w:sz="0" w:space="0" w:color="auto"/>
        <w:left w:val="none" w:sz="0" w:space="0" w:color="auto"/>
        <w:bottom w:val="none" w:sz="0" w:space="0" w:color="auto"/>
        <w:right w:val="none" w:sz="0" w:space="0" w:color="auto"/>
      </w:divBdr>
    </w:div>
    <w:div w:id="705299392">
      <w:marLeft w:val="0"/>
      <w:marRight w:val="0"/>
      <w:marTop w:val="180"/>
      <w:marBottom w:val="180"/>
      <w:divBdr>
        <w:top w:val="none" w:sz="0" w:space="0" w:color="auto"/>
        <w:left w:val="none" w:sz="0" w:space="0" w:color="auto"/>
        <w:bottom w:val="none" w:sz="0" w:space="0" w:color="auto"/>
        <w:right w:val="none" w:sz="0" w:space="0" w:color="auto"/>
      </w:divBdr>
    </w:div>
    <w:div w:id="705788948">
      <w:marLeft w:val="0"/>
      <w:marRight w:val="0"/>
      <w:marTop w:val="0"/>
      <w:marBottom w:val="0"/>
      <w:divBdr>
        <w:top w:val="none" w:sz="0" w:space="0" w:color="auto"/>
        <w:left w:val="none" w:sz="0" w:space="0" w:color="auto"/>
        <w:bottom w:val="none" w:sz="0" w:space="0" w:color="auto"/>
        <w:right w:val="none" w:sz="0" w:space="0" w:color="auto"/>
      </w:divBdr>
    </w:div>
    <w:div w:id="708797269">
      <w:marLeft w:val="0"/>
      <w:marRight w:val="0"/>
      <w:marTop w:val="60"/>
      <w:marBottom w:val="60"/>
      <w:divBdr>
        <w:top w:val="none" w:sz="0" w:space="0" w:color="auto"/>
        <w:left w:val="none" w:sz="0" w:space="0" w:color="auto"/>
        <w:bottom w:val="none" w:sz="0" w:space="0" w:color="auto"/>
        <w:right w:val="none" w:sz="0" w:space="0" w:color="auto"/>
      </w:divBdr>
    </w:div>
    <w:div w:id="709035466">
      <w:marLeft w:val="0"/>
      <w:marRight w:val="0"/>
      <w:marTop w:val="180"/>
      <w:marBottom w:val="180"/>
      <w:divBdr>
        <w:top w:val="none" w:sz="0" w:space="0" w:color="auto"/>
        <w:left w:val="none" w:sz="0" w:space="0" w:color="auto"/>
        <w:bottom w:val="none" w:sz="0" w:space="0" w:color="auto"/>
        <w:right w:val="none" w:sz="0" w:space="0" w:color="auto"/>
      </w:divBdr>
    </w:div>
    <w:div w:id="709188556">
      <w:marLeft w:val="0"/>
      <w:marRight w:val="0"/>
      <w:marTop w:val="180"/>
      <w:marBottom w:val="60"/>
      <w:divBdr>
        <w:top w:val="none" w:sz="0" w:space="0" w:color="auto"/>
        <w:left w:val="none" w:sz="0" w:space="0" w:color="auto"/>
        <w:bottom w:val="none" w:sz="0" w:space="0" w:color="auto"/>
        <w:right w:val="none" w:sz="0" w:space="0" w:color="auto"/>
      </w:divBdr>
    </w:div>
    <w:div w:id="710572640">
      <w:marLeft w:val="0"/>
      <w:marRight w:val="0"/>
      <w:marTop w:val="180"/>
      <w:marBottom w:val="180"/>
      <w:divBdr>
        <w:top w:val="none" w:sz="0" w:space="0" w:color="auto"/>
        <w:left w:val="none" w:sz="0" w:space="0" w:color="auto"/>
        <w:bottom w:val="none" w:sz="0" w:space="0" w:color="auto"/>
        <w:right w:val="none" w:sz="0" w:space="0" w:color="auto"/>
      </w:divBdr>
    </w:div>
    <w:div w:id="711340817">
      <w:marLeft w:val="0"/>
      <w:marRight w:val="0"/>
      <w:marTop w:val="180"/>
      <w:marBottom w:val="180"/>
      <w:divBdr>
        <w:top w:val="none" w:sz="0" w:space="0" w:color="auto"/>
        <w:left w:val="none" w:sz="0" w:space="0" w:color="auto"/>
        <w:bottom w:val="none" w:sz="0" w:space="0" w:color="auto"/>
        <w:right w:val="none" w:sz="0" w:space="0" w:color="auto"/>
      </w:divBdr>
    </w:div>
    <w:div w:id="714161453">
      <w:marLeft w:val="0"/>
      <w:marRight w:val="0"/>
      <w:marTop w:val="180"/>
      <w:marBottom w:val="180"/>
      <w:divBdr>
        <w:top w:val="none" w:sz="0" w:space="0" w:color="auto"/>
        <w:left w:val="none" w:sz="0" w:space="0" w:color="auto"/>
        <w:bottom w:val="none" w:sz="0" w:space="0" w:color="auto"/>
        <w:right w:val="none" w:sz="0" w:space="0" w:color="auto"/>
      </w:divBdr>
    </w:div>
    <w:div w:id="716507744">
      <w:marLeft w:val="0"/>
      <w:marRight w:val="0"/>
      <w:marTop w:val="60"/>
      <w:marBottom w:val="60"/>
      <w:divBdr>
        <w:top w:val="none" w:sz="0" w:space="0" w:color="auto"/>
        <w:left w:val="none" w:sz="0" w:space="0" w:color="auto"/>
        <w:bottom w:val="none" w:sz="0" w:space="0" w:color="auto"/>
        <w:right w:val="none" w:sz="0" w:space="0" w:color="auto"/>
      </w:divBdr>
    </w:div>
    <w:div w:id="718893034">
      <w:marLeft w:val="0"/>
      <w:marRight w:val="0"/>
      <w:marTop w:val="0"/>
      <w:marBottom w:val="180"/>
      <w:divBdr>
        <w:top w:val="none" w:sz="0" w:space="0" w:color="auto"/>
        <w:left w:val="none" w:sz="0" w:space="0" w:color="auto"/>
        <w:bottom w:val="none" w:sz="0" w:space="0" w:color="auto"/>
        <w:right w:val="none" w:sz="0" w:space="0" w:color="auto"/>
      </w:divBdr>
    </w:div>
    <w:div w:id="719326495">
      <w:marLeft w:val="0"/>
      <w:marRight w:val="0"/>
      <w:marTop w:val="180"/>
      <w:marBottom w:val="0"/>
      <w:divBdr>
        <w:top w:val="none" w:sz="0" w:space="0" w:color="auto"/>
        <w:left w:val="none" w:sz="0" w:space="0" w:color="auto"/>
        <w:bottom w:val="none" w:sz="0" w:space="0" w:color="auto"/>
        <w:right w:val="none" w:sz="0" w:space="0" w:color="auto"/>
      </w:divBdr>
      <w:divsChild>
        <w:div w:id="1973317158">
          <w:marLeft w:val="0"/>
          <w:marRight w:val="0"/>
          <w:marTop w:val="0"/>
          <w:marBottom w:val="0"/>
          <w:divBdr>
            <w:top w:val="none" w:sz="0" w:space="0" w:color="auto"/>
            <w:left w:val="none" w:sz="0" w:space="0" w:color="auto"/>
            <w:bottom w:val="none" w:sz="0" w:space="0" w:color="auto"/>
            <w:right w:val="none" w:sz="0" w:space="0" w:color="auto"/>
          </w:divBdr>
        </w:div>
        <w:div w:id="1047803496">
          <w:marLeft w:val="0"/>
          <w:marRight w:val="0"/>
          <w:marTop w:val="0"/>
          <w:marBottom w:val="0"/>
          <w:divBdr>
            <w:top w:val="none" w:sz="0" w:space="0" w:color="auto"/>
            <w:left w:val="none" w:sz="0" w:space="0" w:color="auto"/>
            <w:bottom w:val="none" w:sz="0" w:space="0" w:color="auto"/>
            <w:right w:val="none" w:sz="0" w:space="0" w:color="auto"/>
          </w:divBdr>
        </w:div>
        <w:div w:id="1487086254">
          <w:marLeft w:val="0"/>
          <w:marRight w:val="0"/>
          <w:marTop w:val="0"/>
          <w:marBottom w:val="0"/>
          <w:divBdr>
            <w:top w:val="none" w:sz="0" w:space="0" w:color="auto"/>
            <w:left w:val="none" w:sz="0" w:space="0" w:color="auto"/>
            <w:bottom w:val="none" w:sz="0" w:space="0" w:color="auto"/>
            <w:right w:val="none" w:sz="0" w:space="0" w:color="auto"/>
          </w:divBdr>
        </w:div>
        <w:div w:id="2087410470">
          <w:marLeft w:val="0"/>
          <w:marRight w:val="0"/>
          <w:marTop w:val="0"/>
          <w:marBottom w:val="0"/>
          <w:divBdr>
            <w:top w:val="none" w:sz="0" w:space="0" w:color="auto"/>
            <w:left w:val="none" w:sz="0" w:space="0" w:color="auto"/>
            <w:bottom w:val="none" w:sz="0" w:space="0" w:color="auto"/>
            <w:right w:val="none" w:sz="0" w:space="0" w:color="auto"/>
          </w:divBdr>
        </w:div>
        <w:div w:id="1869758851">
          <w:marLeft w:val="0"/>
          <w:marRight w:val="0"/>
          <w:marTop w:val="0"/>
          <w:marBottom w:val="0"/>
          <w:divBdr>
            <w:top w:val="none" w:sz="0" w:space="0" w:color="auto"/>
            <w:left w:val="none" w:sz="0" w:space="0" w:color="auto"/>
            <w:bottom w:val="none" w:sz="0" w:space="0" w:color="auto"/>
            <w:right w:val="none" w:sz="0" w:space="0" w:color="auto"/>
          </w:divBdr>
        </w:div>
      </w:divsChild>
    </w:div>
    <w:div w:id="720442256">
      <w:marLeft w:val="0"/>
      <w:marRight w:val="0"/>
      <w:marTop w:val="60"/>
      <w:marBottom w:val="60"/>
      <w:divBdr>
        <w:top w:val="none" w:sz="0" w:space="0" w:color="auto"/>
        <w:left w:val="none" w:sz="0" w:space="0" w:color="auto"/>
        <w:bottom w:val="none" w:sz="0" w:space="0" w:color="auto"/>
        <w:right w:val="none" w:sz="0" w:space="0" w:color="auto"/>
      </w:divBdr>
    </w:div>
    <w:div w:id="720518017">
      <w:marLeft w:val="0"/>
      <w:marRight w:val="0"/>
      <w:marTop w:val="180"/>
      <w:marBottom w:val="180"/>
      <w:divBdr>
        <w:top w:val="none" w:sz="0" w:space="0" w:color="auto"/>
        <w:left w:val="none" w:sz="0" w:space="0" w:color="auto"/>
        <w:bottom w:val="none" w:sz="0" w:space="0" w:color="auto"/>
        <w:right w:val="none" w:sz="0" w:space="0" w:color="auto"/>
      </w:divBdr>
    </w:div>
    <w:div w:id="722873928">
      <w:marLeft w:val="0"/>
      <w:marRight w:val="0"/>
      <w:marTop w:val="180"/>
      <w:marBottom w:val="180"/>
      <w:divBdr>
        <w:top w:val="none" w:sz="0" w:space="0" w:color="auto"/>
        <w:left w:val="none" w:sz="0" w:space="0" w:color="auto"/>
        <w:bottom w:val="none" w:sz="0" w:space="0" w:color="auto"/>
        <w:right w:val="none" w:sz="0" w:space="0" w:color="auto"/>
      </w:divBdr>
    </w:div>
    <w:div w:id="723680579">
      <w:marLeft w:val="0"/>
      <w:marRight w:val="0"/>
      <w:marTop w:val="0"/>
      <w:marBottom w:val="0"/>
      <w:divBdr>
        <w:top w:val="none" w:sz="0" w:space="0" w:color="auto"/>
        <w:left w:val="none" w:sz="0" w:space="0" w:color="auto"/>
        <w:bottom w:val="none" w:sz="0" w:space="0" w:color="auto"/>
        <w:right w:val="none" w:sz="0" w:space="0" w:color="auto"/>
      </w:divBdr>
      <w:divsChild>
        <w:div w:id="382414569">
          <w:marLeft w:val="0"/>
          <w:marRight w:val="0"/>
          <w:marTop w:val="0"/>
          <w:marBottom w:val="0"/>
          <w:divBdr>
            <w:top w:val="none" w:sz="0" w:space="0" w:color="auto"/>
            <w:left w:val="none" w:sz="0" w:space="0" w:color="auto"/>
            <w:bottom w:val="none" w:sz="0" w:space="0" w:color="auto"/>
            <w:right w:val="none" w:sz="0" w:space="0" w:color="auto"/>
          </w:divBdr>
          <w:divsChild>
            <w:div w:id="20601249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3871507">
      <w:marLeft w:val="0"/>
      <w:marRight w:val="0"/>
      <w:marTop w:val="0"/>
      <w:marBottom w:val="0"/>
      <w:divBdr>
        <w:top w:val="none" w:sz="0" w:space="0" w:color="auto"/>
        <w:left w:val="none" w:sz="0" w:space="0" w:color="auto"/>
        <w:bottom w:val="none" w:sz="0" w:space="0" w:color="auto"/>
        <w:right w:val="none" w:sz="0" w:space="0" w:color="auto"/>
      </w:divBdr>
    </w:div>
    <w:div w:id="727455967">
      <w:marLeft w:val="0"/>
      <w:marRight w:val="0"/>
      <w:marTop w:val="0"/>
      <w:marBottom w:val="0"/>
      <w:divBdr>
        <w:top w:val="none" w:sz="0" w:space="0" w:color="auto"/>
        <w:left w:val="none" w:sz="0" w:space="0" w:color="auto"/>
        <w:bottom w:val="none" w:sz="0" w:space="0" w:color="auto"/>
        <w:right w:val="none" w:sz="0" w:space="0" w:color="auto"/>
      </w:divBdr>
      <w:divsChild>
        <w:div w:id="1054541709">
          <w:marLeft w:val="0"/>
          <w:marRight w:val="0"/>
          <w:marTop w:val="0"/>
          <w:marBottom w:val="0"/>
          <w:divBdr>
            <w:top w:val="none" w:sz="0" w:space="0" w:color="auto"/>
            <w:left w:val="none" w:sz="0" w:space="0" w:color="auto"/>
            <w:bottom w:val="none" w:sz="0" w:space="0" w:color="auto"/>
            <w:right w:val="none" w:sz="0" w:space="0" w:color="auto"/>
          </w:divBdr>
          <w:divsChild>
            <w:div w:id="18342499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7919038">
      <w:marLeft w:val="0"/>
      <w:marRight w:val="0"/>
      <w:marTop w:val="100"/>
      <w:marBottom w:val="0"/>
      <w:divBdr>
        <w:top w:val="none" w:sz="0" w:space="0" w:color="auto"/>
        <w:left w:val="none" w:sz="0" w:space="0" w:color="auto"/>
        <w:bottom w:val="none" w:sz="0" w:space="0" w:color="auto"/>
        <w:right w:val="none" w:sz="0" w:space="0" w:color="auto"/>
      </w:divBdr>
      <w:divsChild>
        <w:div w:id="1030185240">
          <w:marLeft w:val="0"/>
          <w:marRight w:val="0"/>
          <w:marTop w:val="0"/>
          <w:marBottom w:val="0"/>
          <w:divBdr>
            <w:top w:val="none" w:sz="0" w:space="0" w:color="auto"/>
            <w:left w:val="none" w:sz="0" w:space="0" w:color="auto"/>
            <w:bottom w:val="none" w:sz="0" w:space="0" w:color="auto"/>
            <w:right w:val="none" w:sz="0" w:space="0" w:color="auto"/>
          </w:divBdr>
        </w:div>
        <w:div w:id="112675000">
          <w:marLeft w:val="0"/>
          <w:marRight w:val="0"/>
          <w:marTop w:val="0"/>
          <w:marBottom w:val="0"/>
          <w:divBdr>
            <w:top w:val="none" w:sz="0" w:space="0" w:color="auto"/>
            <w:left w:val="none" w:sz="0" w:space="0" w:color="auto"/>
            <w:bottom w:val="none" w:sz="0" w:space="0" w:color="auto"/>
            <w:right w:val="none" w:sz="0" w:space="0" w:color="auto"/>
          </w:divBdr>
        </w:div>
        <w:div w:id="1590891606">
          <w:marLeft w:val="0"/>
          <w:marRight w:val="0"/>
          <w:marTop w:val="0"/>
          <w:marBottom w:val="0"/>
          <w:divBdr>
            <w:top w:val="none" w:sz="0" w:space="0" w:color="auto"/>
            <w:left w:val="none" w:sz="0" w:space="0" w:color="auto"/>
            <w:bottom w:val="none" w:sz="0" w:space="0" w:color="auto"/>
            <w:right w:val="none" w:sz="0" w:space="0" w:color="auto"/>
          </w:divBdr>
        </w:div>
      </w:divsChild>
    </w:div>
    <w:div w:id="727924926">
      <w:marLeft w:val="0"/>
      <w:marRight w:val="0"/>
      <w:marTop w:val="180"/>
      <w:marBottom w:val="180"/>
      <w:divBdr>
        <w:top w:val="none" w:sz="0" w:space="0" w:color="auto"/>
        <w:left w:val="none" w:sz="0" w:space="0" w:color="auto"/>
        <w:bottom w:val="none" w:sz="0" w:space="0" w:color="auto"/>
        <w:right w:val="none" w:sz="0" w:space="0" w:color="auto"/>
      </w:divBdr>
    </w:div>
    <w:div w:id="731005700">
      <w:marLeft w:val="0"/>
      <w:marRight w:val="0"/>
      <w:marTop w:val="180"/>
      <w:marBottom w:val="180"/>
      <w:divBdr>
        <w:top w:val="none" w:sz="0" w:space="0" w:color="auto"/>
        <w:left w:val="none" w:sz="0" w:space="0" w:color="auto"/>
        <w:bottom w:val="none" w:sz="0" w:space="0" w:color="auto"/>
        <w:right w:val="none" w:sz="0" w:space="0" w:color="auto"/>
      </w:divBdr>
    </w:div>
    <w:div w:id="733352060">
      <w:marLeft w:val="0"/>
      <w:marRight w:val="0"/>
      <w:marTop w:val="0"/>
      <w:marBottom w:val="0"/>
      <w:divBdr>
        <w:top w:val="none" w:sz="0" w:space="0" w:color="auto"/>
        <w:left w:val="none" w:sz="0" w:space="0" w:color="auto"/>
        <w:bottom w:val="none" w:sz="0" w:space="0" w:color="auto"/>
        <w:right w:val="none" w:sz="0" w:space="0" w:color="auto"/>
      </w:divBdr>
      <w:divsChild>
        <w:div w:id="1439527655">
          <w:marLeft w:val="0"/>
          <w:marRight w:val="0"/>
          <w:marTop w:val="60"/>
          <w:marBottom w:val="180"/>
          <w:divBdr>
            <w:top w:val="none" w:sz="0" w:space="0" w:color="auto"/>
            <w:left w:val="none" w:sz="0" w:space="0" w:color="auto"/>
            <w:bottom w:val="none" w:sz="0" w:space="0" w:color="auto"/>
            <w:right w:val="none" w:sz="0" w:space="0" w:color="auto"/>
          </w:divBdr>
        </w:div>
      </w:divsChild>
    </w:div>
    <w:div w:id="734664768">
      <w:marLeft w:val="0"/>
      <w:marRight w:val="0"/>
      <w:marTop w:val="180"/>
      <w:marBottom w:val="60"/>
      <w:divBdr>
        <w:top w:val="none" w:sz="0" w:space="0" w:color="auto"/>
        <w:left w:val="none" w:sz="0" w:space="0" w:color="auto"/>
        <w:bottom w:val="none" w:sz="0" w:space="0" w:color="auto"/>
        <w:right w:val="none" w:sz="0" w:space="0" w:color="auto"/>
      </w:divBdr>
    </w:div>
    <w:div w:id="735397552">
      <w:marLeft w:val="0"/>
      <w:marRight w:val="0"/>
      <w:marTop w:val="180"/>
      <w:marBottom w:val="60"/>
      <w:divBdr>
        <w:top w:val="none" w:sz="0" w:space="0" w:color="auto"/>
        <w:left w:val="none" w:sz="0" w:space="0" w:color="auto"/>
        <w:bottom w:val="none" w:sz="0" w:space="0" w:color="auto"/>
        <w:right w:val="none" w:sz="0" w:space="0" w:color="auto"/>
      </w:divBdr>
    </w:div>
    <w:div w:id="737215687">
      <w:marLeft w:val="0"/>
      <w:marRight w:val="0"/>
      <w:marTop w:val="60"/>
      <w:marBottom w:val="60"/>
      <w:divBdr>
        <w:top w:val="none" w:sz="0" w:space="0" w:color="auto"/>
        <w:left w:val="none" w:sz="0" w:space="0" w:color="auto"/>
        <w:bottom w:val="none" w:sz="0" w:space="0" w:color="auto"/>
        <w:right w:val="none" w:sz="0" w:space="0" w:color="auto"/>
      </w:divBdr>
    </w:div>
    <w:div w:id="738014254">
      <w:marLeft w:val="0"/>
      <w:marRight w:val="0"/>
      <w:marTop w:val="60"/>
      <w:marBottom w:val="60"/>
      <w:divBdr>
        <w:top w:val="none" w:sz="0" w:space="0" w:color="auto"/>
        <w:left w:val="none" w:sz="0" w:space="0" w:color="auto"/>
        <w:bottom w:val="none" w:sz="0" w:space="0" w:color="auto"/>
        <w:right w:val="none" w:sz="0" w:space="0" w:color="auto"/>
      </w:divBdr>
    </w:div>
    <w:div w:id="745566732">
      <w:marLeft w:val="0"/>
      <w:marRight w:val="0"/>
      <w:marTop w:val="180"/>
      <w:marBottom w:val="180"/>
      <w:divBdr>
        <w:top w:val="none" w:sz="0" w:space="0" w:color="auto"/>
        <w:left w:val="none" w:sz="0" w:space="0" w:color="auto"/>
        <w:bottom w:val="none" w:sz="0" w:space="0" w:color="auto"/>
        <w:right w:val="none" w:sz="0" w:space="0" w:color="auto"/>
      </w:divBdr>
    </w:div>
    <w:div w:id="747381901">
      <w:marLeft w:val="0"/>
      <w:marRight w:val="0"/>
      <w:marTop w:val="180"/>
      <w:marBottom w:val="180"/>
      <w:divBdr>
        <w:top w:val="none" w:sz="0" w:space="0" w:color="auto"/>
        <w:left w:val="none" w:sz="0" w:space="0" w:color="auto"/>
        <w:bottom w:val="none" w:sz="0" w:space="0" w:color="auto"/>
        <w:right w:val="none" w:sz="0" w:space="0" w:color="auto"/>
      </w:divBdr>
    </w:div>
    <w:div w:id="748308607">
      <w:marLeft w:val="0"/>
      <w:marRight w:val="0"/>
      <w:marTop w:val="0"/>
      <w:marBottom w:val="0"/>
      <w:divBdr>
        <w:top w:val="none" w:sz="0" w:space="0" w:color="auto"/>
        <w:left w:val="none" w:sz="0" w:space="0" w:color="auto"/>
        <w:bottom w:val="none" w:sz="0" w:space="0" w:color="auto"/>
        <w:right w:val="none" w:sz="0" w:space="0" w:color="auto"/>
      </w:divBdr>
      <w:divsChild>
        <w:div w:id="1075784598">
          <w:marLeft w:val="0"/>
          <w:marRight w:val="0"/>
          <w:marTop w:val="0"/>
          <w:marBottom w:val="0"/>
          <w:divBdr>
            <w:top w:val="none" w:sz="0" w:space="0" w:color="auto"/>
            <w:left w:val="none" w:sz="0" w:space="0" w:color="auto"/>
            <w:bottom w:val="none" w:sz="0" w:space="0" w:color="auto"/>
            <w:right w:val="none" w:sz="0" w:space="0" w:color="auto"/>
          </w:divBdr>
          <w:divsChild>
            <w:div w:id="5162327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8774558">
      <w:marLeft w:val="0"/>
      <w:marRight w:val="0"/>
      <w:marTop w:val="180"/>
      <w:marBottom w:val="180"/>
      <w:divBdr>
        <w:top w:val="none" w:sz="0" w:space="0" w:color="auto"/>
        <w:left w:val="none" w:sz="0" w:space="0" w:color="auto"/>
        <w:bottom w:val="none" w:sz="0" w:space="0" w:color="auto"/>
        <w:right w:val="none" w:sz="0" w:space="0" w:color="auto"/>
      </w:divBdr>
    </w:div>
    <w:div w:id="749079316">
      <w:marLeft w:val="0"/>
      <w:marRight w:val="0"/>
      <w:marTop w:val="0"/>
      <w:marBottom w:val="0"/>
      <w:divBdr>
        <w:top w:val="none" w:sz="0" w:space="0" w:color="auto"/>
        <w:left w:val="none" w:sz="0" w:space="0" w:color="auto"/>
        <w:bottom w:val="none" w:sz="0" w:space="0" w:color="auto"/>
        <w:right w:val="none" w:sz="0" w:space="0" w:color="auto"/>
      </w:divBdr>
      <w:divsChild>
        <w:div w:id="10224661">
          <w:marLeft w:val="0"/>
          <w:marRight w:val="0"/>
          <w:marTop w:val="0"/>
          <w:marBottom w:val="0"/>
          <w:divBdr>
            <w:top w:val="none" w:sz="0" w:space="0" w:color="auto"/>
            <w:left w:val="none" w:sz="0" w:space="0" w:color="auto"/>
            <w:bottom w:val="none" w:sz="0" w:space="0" w:color="auto"/>
            <w:right w:val="none" w:sz="0" w:space="0" w:color="auto"/>
          </w:divBdr>
          <w:divsChild>
            <w:div w:id="15068695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1390831">
      <w:marLeft w:val="0"/>
      <w:marRight w:val="0"/>
      <w:marTop w:val="180"/>
      <w:marBottom w:val="180"/>
      <w:divBdr>
        <w:top w:val="none" w:sz="0" w:space="0" w:color="auto"/>
        <w:left w:val="none" w:sz="0" w:space="0" w:color="auto"/>
        <w:bottom w:val="none" w:sz="0" w:space="0" w:color="auto"/>
        <w:right w:val="none" w:sz="0" w:space="0" w:color="auto"/>
      </w:divBdr>
    </w:div>
    <w:div w:id="753673361">
      <w:marLeft w:val="0"/>
      <w:marRight w:val="0"/>
      <w:marTop w:val="180"/>
      <w:marBottom w:val="180"/>
      <w:divBdr>
        <w:top w:val="none" w:sz="0" w:space="0" w:color="auto"/>
        <w:left w:val="none" w:sz="0" w:space="0" w:color="auto"/>
        <w:bottom w:val="none" w:sz="0" w:space="0" w:color="auto"/>
        <w:right w:val="none" w:sz="0" w:space="0" w:color="auto"/>
      </w:divBdr>
    </w:div>
    <w:div w:id="756709639">
      <w:marLeft w:val="0"/>
      <w:marRight w:val="0"/>
      <w:marTop w:val="180"/>
      <w:marBottom w:val="180"/>
      <w:divBdr>
        <w:top w:val="none" w:sz="0" w:space="0" w:color="auto"/>
        <w:left w:val="none" w:sz="0" w:space="0" w:color="auto"/>
        <w:bottom w:val="none" w:sz="0" w:space="0" w:color="auto"/>
        <w:right w:val="none" w:sz="0" w:space="0" w:color="auto"/>
      </w:divBdr>
    </w:div>
    <w:div w:id="759837162">
      <w:marLeft w:val="0"/>
      <w:marRight w:val="0"/>
      <w:marTop w:val="60"/>
      <w:marBottom w:val="60"/>
      <w:divBdr>
        <w:top w:val="none" w:sz="0" w:space="0" w:color="auto"/>
        <w:left w:val="none" w:sz="0" w:space="0" w:color="auto"/>
        <w:bottom w:val="none" w:sz="0" w:space="0" w:color="auto"/>
        <w:right w:val="none" w:sz="0" w:space="0" w:color="auto"/>
      </w:divBdr>
    </w:div>
    <w:div w:id="760181391">
      <w:marLeft w:val="0"/>
      <w:marRight w:val="0"/>
      <w:marTop w:val="60"/>
      <w:marBottom w:val="60"/>
      <w:divBdr>
        <w:top w:val="none" w:sz="0" w:space="0" w:color="auto"/>
        <w:left w:val="none" w:sz="0" w:space="0" w:color="auto"/>
        <w:bottom w:val="none" w:sz="0" w:space="0" w:color="auto"/>
        <w:right w:val="none" w:sz="0" w:space="0" w:color="auto"/>
      </w:divBdr>
    </w:div>
    <w:div w:id="761023498">
      <w:marLeft w:val="0"/>
      <w:marRight w:val="0"/>
      <w:marTop w:val="0"/>
      <w:marBottom w:val="0"/>
      <w:divBdr>
        <w:top w:val="none" w:sz="0" w:space="0" w:color="auto"/>
        <w:left w:val="none" w:sz="0" w:space="0" w:color="auto"/>
        <w:bottom w:val="none" w:sz="0" w:space="0" w:color="auto"/>
        <w:right w:val="none" w:sz="0" w:space="0" w:color="auto"/>
      </w:divBdr>
      <w:divsChild>
        <w:div w:id="2037920776">
          <w:marLeft w:val="0"/>
          <w:marRight w:val="0"/>
          <w:marTop w:val="60"/>
          <w:marBottom w:val="60"/>
          <w:divBdr>
            <w:top w:val="none" w:sz="0" w:space="0" w:color="auto"/>
            <w:left w:val="none" w:sz="0" w:space="0" w:color="auto"/>
            <w:bottom w:val="none" w:sz="0" w:space="0" w:color="auto"/>
            <w:right w:val="none" w:sz="0" w:space="0" w:color="auto"/>
          </w:divBdr>
        </w:div>
      </w:divsChild>
    </w:div>
    <w:div w:id="761030708">
      <w:marLeft w:val="0"/>
      <w:marRight w:val="0"/>
      <w:marTop w:val="180"/>
      <w:marBottom w:val="180"/>
      <w:divBdr>
        <w:top w:val="none" w:sz="0" w:space="0" w:color="auto"/>
        <w:left w:val="none" w:sz="0" w:space="0" w:color="auto"/>
        <w:bottom w:val="none" w:sz="0" w:space="0" w:color="auto"/>
        <w:right w:val="none" w:sz="0" w:space="0" w:color="auto"/>
      </w:divBdr>
    </w:div>
    <w:div w:id="761419338">
      <w:marLeft w:val="0"/>
      <w:marRight w:val="0"/>
      <w:marTop w:val="180"/>
      <w:marBottom w:val="180"/>
      <w:divBdr>
        <w:top w:val="none" w:sz="0" w:space="0" w:color="auto"/>
        <w:left w:val="none" w:sz="0" w:space="0" w:color="auto"/>
        <w:bottom w:val="none" w:sz="0" w:space="0" w:color="auto"/>
        <w:right w:val="none" w:sz="0" w:space="0" w:color="auto"/>
      </w:divBdr>
    </w:div>
    <w:div w:id="763919977">
      <w:marLeft w:val="0"/>
      <w:marRight w:val="0"/>
      <w:marTop w:val="180"/>
      <w:marBottom w:val="180"/>
      <w:divBdr>
        <w:top w:val="none" w:sz="0" w:space="0" w:color="auto"/>
        <w:left w:val="none" w:sz="0" w:space="0" w:color="auto"/>
        <w:bottom w:val="none" w:sz="0" w:space="0" w:color="auto"/>
        <w:right w:val="none" w:sz="0" w:space="0" w:color="auto"/>
      </w:divBdr>
    </w:div>
    <w:div w:id="766385555">
      <w:marLeft w:val="0"/>
      <w:marRight w:val="0"/>
      <w:marTop w:val="180"/>
      <w:marBottom w:val="180"/>
      <w:divBdr>
        <w:top w:val="none" w:sz="0" w:space="0" w:color="auto"/>
        <w:left w:val="none" w:sz="0" w:space="0" w:color="auto"/>
        <w:bottom w:val="none" w:sz="0" w:space="0" w:color="auto"/>
        <w:right w:val="none" w:sz="0" w:space="0" w:color="auto"/>
      </w:divBdr>
    </w:div>
    <w:div w:id="767848076">
      <w:marLeft w:val="0"/>
      <w:marRight w:val="0"/>
      <w:marTop w:val="180"/>
      <w:marBottom w:val="180"/>
      <w:divBdr>
        <w:top w:val="none" w:sz="0" w:space="0" w:color="auto"/>
        <w:left w:val="none" w:sz="0" w:space="0" w:color="auto"/>
        <w:bottom w:val="none" w:sz="0" w:space="0" w:color="auto"/>
        <w:right w:val="none" w:sz="0" w:space="0" w:color="auto"/>
      </w:divBdr>
    </w:div>
    <w:div w:id="768038881">
      <w:marLeft w:val="0"/>
      <w:marRight w:val="0"/>
      <w:marTop w:val="180"/>
      <w:marBottom w:val="60"/>
      <w:divBdr>
        <w:top w:val="none" w:sz="0" w:space="0" w:color="auto"/>
        <w:left w:val="none" w:sz="0" w:space="0" w:color="auto"/>
        <w:bottom w:val="none" w:sz="0" w:space="0" w:color="auto"/>
        <w:right w:val="none" w:sz="0" w:space="0" w:color="auto"/>
      </w:divBdr>
    </w:div>
    <w:div w:id="769201429">
      <w:marLeft w:val="0"/>
      <w:marRight w:val="0"/>
      <w:marTop w:val="0"/>
      <w:marBottom w:val="0"/>
      <w:divBdr>
        <w:top w:val="none" w:sz="0" w:space="0" w:color="auto"/>
        <w:left w:val="none" w:sz="0" w:space="0" w:color="auto"/>
        <w:bottom w:val="none" w:sz="0" w:space="0" w:color="auto"/>
        <w:right w:val="none" w:sz="0" w:space="0" w:color="auto"/>
      </w:divBdr>
      <w:divsChild>
        <w:div w:id="2066443723">
          <w:marLeft w:val="0"/>
          <w:marRight w:val="0"/>
          <w:marTop w:val="0"/>
          <w:marBottom w:val="0"/>
          <w:divBdr>
            <w:top w:val="none" w:sz="0" w:space="0" w:color="auto"/>
            <w:left w:val="none" w:sz="0" w:space="0" w:color="auto"/>
            <w:bottom w:val="none" w:sz="0" w:space="0" w:color="auto"/>
            <w:right w:val="none" w:sz="0" w:space="0" w:color="auto"/>
          </w:divBdr>
          <w:divsChild>
            <w:div w:id="6708350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0586392">
      <w:marLeft w:val="0"/>
      <w:marRight w:val="0"/>
      <w:marTop w:val="180"/>
      <w:marBottom w:val="180"/>
      <w:divBdr>
        <w:top w:val="none" w:sz="0" w:space="0" w:color="auto"/>
        <w:left w:val="none" w:sz="0" w:space="0" w:color="auto"/>
        <w:bottom w:val="none" w:sz="0" w:space="0" w:color="auto"/>
        <w:right w:val="none" w:sz="0" w:space="0" w:color="auto"/>
      </w:divBdr>
    </w:div>
    <w:div w:id="771165470">
      <w:marLeft w:val="0"/>
      <w:marRight w:val="0"/>
      <w:marTop w:val="0"/>
      <w:marBottom w:val="0"/>
      <w:divBdr>
        <w:top w:val="none" w:sz="0" w:space="0" w:color="auto"/>
        <w:left w:val="none" w:sz="0" w:space="0" w:color="auto"/>
        <w:bottom w:val="none" w:sz="0" w:space="0" w:color="auto"/>
        <w:right w:val="none" w:sz="0" w:space="0" w:color="auto"/>
      </w:divBdr>
    </w:div>
    <w:div w:id="772480360">
      <w:marLeft w:val="0"/>
      <w:marRight w:val="0"/>
      <w:marTop w:val="180"/>
      <w:marBottom w:val="60"/>
      <w:divBdr>
        <w:top w:val="none" w:sz="0" w:space="0" w:color="auto"/>
        <w:left w:val="none" w:sz="0" w:space="0" w:color="auto"/>
        <w:bottom w:val="none" w:sz="0" w:space="0" w:color="auto"/>
        <w:right w:val="none" w:sz="0" w:space="0" w:color="auto"/>
      </w:divBdr>
    </w:div>
    <w:div w:id="776022784">
      <w:marLeft w:val="0"/>
      <w:marRight w:val="0"/>
      <w:marTop w:val="60"/>
      <w:marBottom w:val="60"/>
      <w:divBdr>
        <w:top w:val="none" w:sz="0" w:space="0" w:color="auto"/>
        <w:left w:val="none" w:sz="0" w:space="0" w:color="auto"/>
        <w:bottom w:val="none" w:sz="0" w:space="0" w:color="auto"/>
        <w:right w:val="none" w:sz="0" w:space="0" w:color="auto"/>
      </w:divBdr>
    </w:div>
    <w:div w:id="779034192">
      <w:marLeft w:val="0"/>
      <w:marRight w:val="0"/>
      <w:marTop w:val="0"/>
      <w:marBottom w:val="0"/>
      <w:divBdr>
        <w:top w:val="none" w:sz="0" w:space="0" w:color="auto"/>
        <w:left w:val="none" w:sz="0" w:space="0" w:color="auto"/>
        <w:bottom w:val="none" w:sz="0" w:space="0" w:color="auto"/>
        <w:right w:val="none" w:sz="0" w:space="0" w:color="auto"/>
      </w:divBdr>
    </w:div>
    <w:div w:id="781194165">
      <w:marLeft w:val="0"/>
      <w:marRight w:val="0"/>
      <w:marTop w:val="180"/>
      <w:marBottom w:val="180"/>
      <w:divBdr>
        <w:top w:val="none" w:sz="0" w:space="0" w:color="auto"/>
        <w:left w:val="none" w:sz="0" w:space="0" w:color="auto"/>
        <w:bottom w:val="none" w:sz="0" w:space="0" w:color="auto"/>
        <w:right w:val="none" w:sz="0" w:space="0" w:color="auto"/>
      </w:divBdr>
    </w:div>
    <w:div w:id="786120454">
      <w:marLeft w:val="0"/>
      <w:marRight w:val="0"/>
      <w:marTop w:val="180"/>
      <w:marBottom w:val="180"/>
      <w:divBdr>
        <w:top w:val="none" w:sz="0" w:space="0" w:color="auto"/>
        <w:left w:val="none" w:sz="0" w:space="0" w:color="auto"/>
        <w:bottom w:val="none" w:sz="0" w:space="0" w:color="auto"/>
        <w:right w:val="none" w:sz="0" w:space="0" w:color="auto"/>
      </w:divBdr>
    </w:div>
    <w:div w:id="787628495">
      <w:marLeft w:val="0"/>
      <w:marRight w:val="0"/>
      <w:marTop w:val="60"/>
      <w:marBottom w:val="0"/>
      <w:divBdr>
        <w:top w:val="none" w:sz="0" w:space="0" w:color="auto"/>
        <w:left w:val="none" w:sz="0" w:space="0" w:color="auto"/>
        <w:bottom w:val="none" w:sz="0" w:space="0" w:color="auto"/>
        <w:right w:val="none" w:sz="0" w:space="0" w:color="auto"/>
      </w:divBdr>
    </w:div>
    <w:div w:id="788819784">
      <w:marLeft w:val="0"/>
      <w:marRight w:val="0"/>
      <w:marTop w:val="180"/>
      <w:marBottom w:val="180"/>
      <w:divBdr>
        <w:top w:val="none" w:sz="0" w:space="0" w:color="auto"/>
        <w:left w:val="none" w:sz="0" w:space="0" w:color="auto"/>
        <w:bottom w:val="none" w:sz="0" w:space="0" w:color="auto"/>
        <w:right w:val="none" w:sz="0" w:space="0" w:color="auto"/>
      </w:divBdr>
    </w:div>
    <w:div w:id="793136903">
      <w:marLeft w:val="0"/>
      <w:marRight w:val="0"/>
      <w:marTop w:val="180"/>
      <w:marBottom w:val="180"/>
      <w:divBdr>
        <w:top w:val="none" w:sz="0" w:space="0" w:color="auto"/>
        <w:left w:val="none" w:sz="0" w:space="0" w:color="auto"/>
        <w:bottom w:val="none" w:sz="0" w:space="0" w:color="auto"/>
        <w:right w:val="none" w:sz="0" w:space="0" w:color="auto"/>
      </w:divBdr>
    </w:div>
    <w:div w:id="793715303">
      <w:marLeft w:val="0"/>
      <w:marRight w:val="0"/>
      <w:marTop w:val="180"/>
      <w:marBottom w:val="180"/>
      <w:divBdr>
        <w:top w:val="none" w:sz="0" w:space="0" w:color="auto"/>
        <w:left w:val="none" w:sz="0" w:space="0" w:color="auto"/>
        <w:bottom w:val="none" w:sz="0" w:space="0" w:color="auto"/>
        <w:right w:val="none" w:sz="0" w:space="0" w:color="auto"/>
      </w:divBdr>
    </w:div>
    <w:div w:id="793982025">
      <w:marLeft w:val="0"/>
      <w:marRight w:val="0"/>
      <w:marTop w:val="180"/>
      <w:marBottom w:val="180"/>
      <w:divBdr>
        <w:top w:val="none" w:sz="0" w:space="0" w:color="auto"/>
        <w:left w:val="none" w:sz="0" w:space="0" w:color="auto"/>
        <w:bottom w:val="none" w:sz="0" w:space="0" w:color="auto"/>
        <w:right w:val="none" w:sz="0" w:space="0" w:color="auto"/>
      </w:divBdr>
    </w:div>
    <w:div w:id="795951230">
      <w:marLeft w:val="0"/>
      <w:marRight w:val="0"/>
      <w:marTop w:val="180"/>
      <w:marBottom w:val="180"/>
      <w:divBdr>
        <w:top w:val="none" w:sz="0" w:space="0" w:color="auto"/>
        <w:left w:val="none" w:sz="0" w:space="0" w:color="auto"/>
        <w:bottom w:val="none" w:sz="0" w:space="0" w:color="auto"/>
        <w:right w:val="none" w:sz="0" w:space="0" w:color="auto"/>
      </w:divBdr>
    </w:div>
    <w:div w:id="796946101">
      <w:marLeft w:val="0"/>
      <w:marRight w:val="0"/>
      <w:marTop w:val="180"/>
      <w:marBottom w:val="60"/>
      <w:divBdr>
        <w:top w:val="none" w:sz="0" w:space="0" w:color="auto"/>
        <w:left w:val="none" w:sz="0" w:space="0" w:color="auto"/>
        <w:bottom w:val="none" w:sz="0" w:space="0" w:color="auto"/>
        <w:right w:val="none" w:sz="0" w:space="0" w:color="auto"/>
      </w:divBdr>
    </w:div>
    <w:div w:id="798377837">
      <w:marLeft w:val="0"/>
      <w:marRight w:val="0"/>
      <w:marTop w:val="0"/>
      <w:marBottom w:val="0"/>
      <w:divBdr>
        <w:top w:val="none" w:sz="0" w:space="0" w:color="auto"/>
        <w:left w:val="none" w:sz="0" w:space="0" w:color="auto"/>
        <w:bottom w:val="none" w:sz="0" w:space="0" w:color="auto"/>
        <w:right w:val="none" w:sz="0" w:space="0" w:color="auto"/>
      </w:divBdr>
      <w:divsChild>
        <w:div w:id="1124232941">
          <w:marLeft w:val="0"/>
          <w:marRight w:val="0"/>
          <w:marTop w:val="0"/>
          <w:marBottom w:val="0"/>
          <w:divBdr>
            <w:top w:val="none" w:sz="0" w:space="0" w:color="auto"/>
            <w:left w:val="none" w:sz="0" w:space="0" w:color="auto"/>
            <w:bottom w:val="none" w:sz="0" w:space="0" w:color="auto"/>
            <w:right w:val="none" w:sz="0" w:space="0" w:color="auto"/>
          </w:divBdr>
          <w:divsChild>
            <w:div w:id="12629503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98378577">
      <w:marLeft w:val="0"/>
      <w:marRight w:val="0"/>
      <w:marTop w:val="60"/>
      <w:marBottom w:val="60"/>
      <w:divBdr>
        <w:top w:val="none" w:sz="0" w:space="0" w:color="auto"/>
        <w:left w:val="none" w:sz="0" w:space="0" w:color="auto"/>
        <w:bottom w:val="none" w:sz="0" w:space="0" w:color="auto"/>
        <w:right w:val="none" w:sz="0" w:space="0" w:color="auto"/>
      </w:divBdr>
    </w:div>
    <w:div w:id="801459170">
      <w:marLeft w:val="0"/>
      <w:marRight w:val="0"/>
      <w:marTop w:val="180"/>
      <w:marBottom w:val="60"/>
      <w:divBdr>
        <w:top w:val="none" w:sz="0" w:space="0" w:color="auto"/>
        <w:left w:val="none" w:sz="0" w:space="0" w:color="auto"/>
        <w:bottom w:val="none" w:sz="0" w:space="0" w:color="auto"/>
        <w:right w:val="none" w:sz="0" w:space="0" w:color="auto"/>
      </w:divBdr>
    </w:div>
    <w:div w:id="802432331">
      <w:marLeft w:val="0"/>
      <w:marRight w:val="0"/>
      <w:marTop w:val="60"/>
      <w:marBottom w:val="60"/>
      <w:divBdr>
        <w:top w:val="none" w:sz="0" w:space="0" w:color="auto"/>
        <w:left w:val="none" w:sz="0" w:space="0" w:color="auto"/>
        <w:bottom w:val="none" w:sz="0" w:space="0" w:color="auto"/>
        <w:right w:val="none" w:sz="0" w:space="0" w:color="auto"/>
      </w:divBdr>
    </w:div>
    <w:div w:id="802888923">
      <w:marLeft w:val="0"/>
      <w:marRight w:val="0"/>
      <w:marTop w:val="180"/>
      <w:marBottom w:val="180"/>
      <w:divBdr>
        <w:top w:val="none" w:sz="0" w:space="0" w:color="auto"/>
        <w:left w:val="none" w:sz="0" w:space="0" w:color="auto"/>
        <w:bottom w:val="none" w:sz="0" w:space="0" w:color="auto"/>
        <w:right w:val="none" w:sz="0" w:space="0" w:color="auto"/>
      </w:divBdr>
    </w:div>
    <w:div w:id="805322406">
      <w:marLeft w:val="0"/>
      <w:marRight w:val="0"/>
      <w:marTop w:val="0"/>
      <w:marBottom w:val="0"/>
      <w:divBdr>
        <w:top w:val="none" w:sz="0" w:space="0" w:color="auto"/>
        <w:left w:val="none" w:sz="0" w:space="0" w:color="auto"/>
        <w:bottom w:val="none" w:sz="0" w:space="0" w:color="auto"/>
        <w:right w:val="none" w:sz="0" w:space="0" w:color="auto"/>
      </w:divBdr>
      <w:divsChild>
        <w:div w:id="1557232296">
          <w:marLeft w:val="0"/>
          <w:marRight w:val="0"/>
          <w:marTop w:val="60"/>
          <w:marBottom w:val="60"/>
          <w:divBdr>
            <w:top w:val="none" w:sz="0" w:space="0" w:color="auto"/>
            <w:left w:val="none" w:sz="0" w:space="0" w:color="auto"/>
            <w:bottom w:val="none" w:sz="0" w:space="0" w:color="auto"/>
            <w:right w:val="none" w:sz="0" w:space="0" w:color="auto"/>
          </w:divBdr>
        </w:div>
      </w:divsChild>
    </w:div>
    <w:div w:id="806702115">
      <w:marLeft w:val="0"/>
      <w:marRight w:val="0"/>
      <w:marTop w:val="0"/>
      <w:marBottom w:val="0"/>
      <w:divBdr>
        <w:top w:val="none" w:sz="0" w:space="0" w:color="auto"/>
        <w:left w:val="none" w:sz="0" w:space="0" w:color="auto"/>
        <w:bottom w:val="none" w:sz="0" w:space="0" w:color="auto"/>
        <w:right w:val="none" w:sz="0" w:space="0" w:color="auto"/>
      </w:divBdr>
      <w:divsChild>
        <w:div w:id="20909548">
          <w:marLeft w:val="0"/>
          <w:marRight w:val="0"/>
          <w:marTop w:val="60"/>
          <w:marBottom w:val="180"/>
          <w:divBdr>
            <w:top w:val="none" w:sz="0" w:space="0" w:color="auto"/>
            <w:left w:val="none" w:sz="0" w:space="0" w:color="auto"/>
            <w:bottom w:val="none" w:sz="0" w:space="0" w:color="auto"/>
            <w:right w:val="none" w:sz="0" w:space="0" w:color="auto"/>
          </w:divBdr>
        </w:div>
      </w:divsChild>
    </w:div>
    <w:div w:id="811605784">
      <w:marLeft w:val="0"/>
      <w:marRight w:val="0"/>
      <w:marTop w:val="180"/>
      <w:marBottom w:val="0"/>
      <w:divBdr>
        <w:top w:val="none" w:sz="0" w:space="0" w:color="auto"/>
        <w:left w:val="none" w:sz="0" w:space="0" w:color="auto"/>
        <w:bottom w:val="none" w:sz="0" w:space="0" w:color="auto"/>
        <w:right w:val="none" w:sz="0" w:space="0" w:color="auto"/>
      </w:divBdr>
    </w:div>
    <w:div w:id="816456524">
      <w:marLeft w:val="0"/>
      <w:marRight w:val="0"/>
      <w:marTop w:val="180"/>
      <w:marBottom w:val="180"/>
      <w:divBdr>
        <w:top w:val="none" w:sz="0" w:space="0" w:color="auto"/>
        <w:left w:val="none" w:sz="0" w:space="0" w:color="auto"/>
        <w:bottom w:val="none" w:sz="0" w:space="0" w:color="auto"/>
        <w:right w:val="none" w:sz="0" w:space="0" w:color="auto"/>
      </w:divBdr>
    </w:div>
    <w:div w:id="816607921">
      <w:marLeft w:val="0"/>
      <w:marRight w:val="0"/>
      <w:marTop w:val="180"/>
      <w:marBottom w:val="180"/>
      <w:divBdr>
        <w:top w:val="none" w:sz="0" w:space="0" w:color="auto"/>
        <w:left w:val="none" w:sz="0" w:space="0" w:color="auto"/>
        <w:bottom w:val="none" w:sz="0" w:space="0" w:color="auto"/>
        <w:right w:val="none" w:sz="0" w:space="0" w:color="auto"/>
      </w:divBdr>
      <w:divsChild>
        <w:div w:id="1051149987">
          <w:marLeft w:val="0"/>
          <w:marRight w:val="0"/>
          <w:marTop w:val="0"/>
          <w:marBottom w:val="0"/>
          <w:divBdr>
            <w:top w:val="none" w:sz="0" w:space="0" w:color="auto"/>
            <w:left w:val="none" w:sz="0" w:space="0" w:color="auto"/>
            <w:bottom w:val="none" w:sz="0" w:space="0" w:color="auto"/>
            <w:right w:val="none" w:sz="0" w:space="0" w:color="auto"/>
          </w:divBdr>
        </w:div>
      </w:divsChild>
    </w:div>
    <w:div w:id="817499881">
      <w:marLeft w:val="0"/>
      <w:marRight w:val="0"/>
      <w:marTop w:val="180"/>
      <w:marBottom w:val="180"/>
      <w:divBdr>
        <w:top w:val="none" w:sz="0" w:space="0" w:color="auto"/>
        <w:left w:val="none" w:sz="0" w:space="0" w:color="auto"/>
        <w:bottom w:val="none" w:sz="0" w:space="0" w:color="auto"/>
        <w:right w:val="none" w:sz="0" w:space="0" w:color="auto"/>
      </w:divBdr>
    </w:div>
    <w:div w:id="819812553">
      <w:marLeft w:val="0"/>
      <w:marRight w:val="0"/>
      <w:marTop w:val="180"/>
      <w:marBottom w:val="60"/>
      <w:divBdr>
        <w:top w:val="none" w:sz="0" w:space="0" w:color="auto"/>
        <w:left w:val="none" w:sz="0" w:space="0" w:color="auto"/>
        <w:bottom w:val="none" w:sz="0" w:space="0" w:color="auto"/>
        <w:right w:val="none" w:sz="0" w:space="0" w:color="auto"/>
      </w:divBdr>
    </w:div>
    <w:div w:id="820266767">
      <w:marLeft w:val="0"/>
      <w:marRight w:val="0"/>
      <w:marTop w:val="180"/>
      <w:marBottom w:val="180"/>
      <w:divBdr>
        <w:top w:val="none" w:sz="0" w:space="0" w:color="auto"/>
        <w:left w:val="none" w:sz="0" w:space="0" w:color="auto"/>
        <w:bottom w:val="none" w:sz="0" w:space="0" w:color="auto"/>
        <w:right w:val="none" w:sz="0" w:space="0" w:color="auto"/>
      </w:divBdr>
    </w:div>
    <w:div w:id="821506736">
      <w:marLeft w:val="0"/>
      <w:marRight w:val="0"/>
      <w:marTop w:val="180"/>
      <w:marBottom w:val="180"/>
      <w:divBdr>
        <w:top w:val="none" w:sz="0" w:space="0" w:color="auto"/>
        <w:left w:val="none" w:sz="0" w:space="0" w:color="auto"/>
        <w:bottom w:val="none" w:sz="0" w:space="0" w:color="auto"/>
        <w:right w:val="none" w:sz="0" w:space="0" w:color="auto"/>
      </w:divBdr>
      <w:divsChild>
        <w:div w:id="1613316282">
          <w:marLeft w:val="0"/>
          <w:marRight w:val="0"/>
          <w:marTop w:val="0"/>
          <w:marBottom w:val="0"/>
          <w:divBdr>
            <w:top w:val="none" w:sz="0" w:space="0" w:color="auto"/>
            <w:left w:val="none" w:sz="0" w:space="0" w:color="auto"/>
            <w:bottom w:val="none" w:sz="0" w:space="0" w:color="auto"/>
            <w:right w:val="none" w:sz="0" w:space="0" w:color="auto"/>
          </w:divBdr>
        </w:div>
      </w:divsChild>
    </w:div>
    <w:div w:id="822236009">
      <w:marLeft w:val="0"/>
      <w:marRight w:val="0"/>
      <w:marTop w:val="180"/>
      <w:marBottom w:val="180"/>
      <w:divBdr>
        <w:top w:val="none" w:sz="0" w:space="0" w:color="auto"/>
        <w:left w:val="none" w:sz="0" w:space="0" w:color="auto"/>
        <w:bottom w:val="none" w:sz="0" w:space="0" w:color="auto"/>
        <w:right w:val="none" w:sz="0" w:space="0" w:color="auto"/>
      </w:divBdr>
    </w:div>
    <w:div w:id="825166021">
      <w:marLeft w:val="0"/>
      <w:marRight w:val="0"/>
      <w:marTop w:val="120"/>
      <w:marBottom w:val="120"/>
      <w:divBdr>
        <w:top w:val="none" w:sz="0" w:space="0" w:color="auto"/>
        <w:left w:val="none" w:sz="0" w:space="0" w:color="auto"/>
        <w:bottom w:val="none" w:sz="0" w:space="0" w:color="auto"/>
        <w:right w:val="none" w:sz="0" w:space="0" w:color="auto"/>
      </w:divBdr>
    </w:div>
    <w:div w:id="825247525">
      <w:marLeft w:val="0"/>
      <w:marRight w:val="0"/>
      <w:marTop w:val="180"/>
      <w:marBottom w:val="180"/>
      <w:divBdr>
        <w:top w:val="none" w:sz="0" w:space="0" w:color="auto"/>
        <w:left w:val="none" w:sz="0" w:space="0" w:color="auto"/>
        <w:bottom w:val="none" w:sz="0" w:space="0" w:color="auto"/>
        <w:right w:val="none" w:sz="0" w:space="0" w:color="auto"/>
      </w:divBdr>
    </w:div>
    <w:div w:id="827938952">
      <w:marLeft w:val="0"/>
      <w:marRight w:val="0"/>
      <w:marTop w:val="0"/>
      <w:marBottom w:val="0"/>
      <w:divBdr>
        <w:top w:val="none" w:sz="0" w:space="0" w:color="auto"/>
        <w:left w:val="none" w:sz="0" w:space="0" w:color="auto"/>
        <w:bottom w:val="none" w:sz="0" w:space="0" w:color="auto"/>
        <w:right w:val="none" w:sz="0" w:space="0" w:color="auto"/>
      </w:divBdr>
      <w:divsChild>
        <w:div w:id="114492664">
          <w:marLeft w:val="0"/>
          <w:marRight w:val="0"/>
          <w:marTop w:val="0"/>
          <w:marBottom w:val="0"/>
          <w:divBdr>
            <w:top w:val="none" w:sz="0" w:space="0" w:color="auto"/>
            <w:left w:val="none" w:sz="0" w:space="0" w:color="auto"/>
            <w:bottom w:val="none" w:sz="0" w:space="0" w:color="auto"/>
            <w:right w:val="none" w:sz="0" w:space="0" w:color="auto"/>
          </w:divBdr>
          <w:divsChild>
            <w:div w:id="17922870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28056804">
      <w:marLeft w:val="0"/>
      <w:marRight w:val="0"/>
      <w:marTop w:val="180"/>
      <w:marBottom w:val="60"/>
      <w:divBdr>
        <w:top w:val="none" w:sz="0" w:space="0" w:color="auto"/>
        <w:left w:val="none" w:sz="0" w:space="0" w:color="auto"/>
        <w:bottom w:val="none" w:sz="0" w:space="0" w:color="auto"/>
        <w:right w:val="none" w:sz="0" w:space="0" w:color="auto"/>
      </w:divBdr>
    </w:div>
    <w:div w:id="828521819">
      <w:marLeft w:val="0"/>
      <w:marRight w:val="0"/>
      <w:marTop w:val="180"/>
      <w:marBottom w:val="60"/>
      <w:divBdr>
        <w:top w:val="none" w:sz="0" w:space="0" w:color="auto"/>
        <w:left w:val="none" w:sz="0" w:space="0" w:color="auto"/>
        <w:bottom w:val="none" w:sz="0" w:space="0" w:color="auto"/>
        <w:right w:val="none" w:sz="0" w:space="0" w:color="auto"/>
      </w:divBdr>
    </w:div>
    <w:div w:id="828979865">
      <w:marLeft w:val="0"/>
      <w:marRight w:val="0"/>
      <w:marTop w:val="180"/>
      <w:marBottom w:val="0"/>
      <w:divBdr>
        <w:top w:val="none" w:sz="0" w:space="0" w:color="auto"/>
        <w:left w:val="none" w:sz="0" w:space="0" w:color="auto"/>
        <w:bottom w:val="none" w:sz="0" w:space="0" w:color="auto"/>
        <w:right w:val="none" w:sz="0" w:space="0" w:color="auto"/>
      </w:divBdr>
    </w:div>
    <w:div w:id="829246937">
      <w:marLeft w:val="0"/>
      <w:marRight w:val="0"/>
      <w:marTop w:val="180"/>
      <w:marBottom w:val="180"/>
      <w:divBdr>
        <w:top w:val="none" w:sz="0" w:space="0" w:color="auto"/>
        <w:left w:val="none" w:sz="0" w:space="0" w:color="auto"/>
        <w:bottom w:val="none" w:sz="0" w:space="0" w:color="auto"/>
        <w:right w:val="none" w:sz="0" w:space="0" w:color="auto"/>
      </w:divBdr>
    </w:div>
    <w:div w:id="830948617">
      <w:marLeft w:val="0"/>
      <w:marRight w:val="0"/>
      <w:marTop w:val="180"/>
      <w:marBottom w:val="60"/>
      <w:divBdr>
        <w:top w:val="none" w:sz="0" w:space="0" w:color="auto"/>
        <w:left w:val="none" w:sz="0" w:space="0" w:color="auto"/>
        <w:bottom w:val="none" w:sz="0" w:space="0" w:color="auto"/>
        <w:right w:val="none" w:sz="0" w:space="0" w:color="auto"/>
      </w:divBdr>
    </w:div>
    <w:div w:id="831260005">
      <w:marLeft w:val="0"/>
      <w:marRight w:val="0"/>
      <w:marTop w:val="60"/>
      <w:marBottom w:val="60"/>
      <w:divBdr>
        <w:top w:val="none" w:sz="0" w:space="0" w:color="auto"/>
        <w:left w:val="none" w:sz="0" w:space="0" w:color="auto"/>
        <w:bottom w:val="none" w:sz="0" w:space="0" w:color="auto"/>
        <w:right w:val="none" w:sz="0" w:space="0" w:color="auto"/>
      </w:divBdr>
    </w:div>
    <w:div w:id="831408688">
      <w:marLeft w:val="0"/>
      <w:marRight w:val="0"/>
      <w:marTop w:val="60"/>
      <w:marBottom w:val="60"/>
      <w:divBdr>
        <w:top w:val="none" w:sz="0" w:space="0" w:color="auto"/>
        <w:left w:val="none" w:sz="0" w:space="0" w:color="auto"/>
        <w:bottom w:val="none" w:sz="0" w:space="0" w:color="auto"/>
        <w:right w:val="none" w:sz="0" w:space="0" w:color="auto"/>
      </w:divBdr>
    </w:div>
    <w:div w:id="832766912">
      <w:marLeft w:val="0"/>
      <w:marRight w:val="0"/>
      <w:marTop w:val="0"/>
      <w:marBottom w:val="0"/>
      <w:divBdr>
        <w:top w:val="none" w:sz="0" w:space="0" w:color="auto"/>
        <w:left w:val="none" w:sz="0" w:space="0" w:color="auto"/>
        <w:bottom w:val="none" w:sz="0" w:space="0" w:color="auto"/>
        <w:right w:val="none" w:sz="0" w:space="0" w:color="auto"/>
      </w:divBdr>
      <w:divsChild>
        <w:div w:id="204757023">
          <w:marLeft w:val="0"/>
          <w:marRight w:val="0"/>
          <w:marTop w:val="0"/>
          <w:marBottom w:val="0"/>
          <w:divBdr>
            <w:top w:val="none" w:sz="0" w:space="0" w:color="auto"/>
            <w:left w:val="none" w:sz="0" w:space="0" w:color="auto"/>
            <w:bottom w:val="none" w:sz="0" w:space="0" w:color="auto"/>
            <w:right w:val="none" w:sz="0" w:space="0" w:color="auto"/>
          </w:divBdr>
          <w:divsChild>
            <w:div w:id="13072020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3033715">
      <w:marLeft w:val="0"/>
      <w:marRight w:val="0"/>
      <w:marTop w:val="60"/>
      <w:marBottom w:val="60"/>
      <w:divBdr>
        <w:top w:val="none" w:sz="0" w:space="0" w:color="auto"/>
        <w:left w:val="none" w:sz="0" w:space="0" w:color="auto"/>
        <w:bottom w:val="none" w:sz="0" w:space="0" w:color="auto"/>
        <w:right w:val="none" w:sz="0" w:space="0" w:color="auto"/>
      </w:divBdr>
    </w:div>
    <w:div w:id="833493448">
      <w:marLeft w:val="0"/>
      <w:marRight w:val="0"/>
      <w:marTop w:val="0"/>
      <w:marBottom w:val="0"/>
      <w:divBdr>
        <w:top w:val="none" w:sz="0" w:space="0" w:color="auto"/>
        <w:left w:val="none" w:sz="0" w:space="0" w:color="auto"/>
        <w:bottom w:val="none" w:sz="0" w:space="0" w:color="auto"/>
        <w:right w:val="none" w:sz="0" w:space="0" w:color="auto"/>
      </w:divBdr>
    </w:div>
    <w:div w:id="834691459">
      <w:marLeft w:val="0"/>
      <w:marRight w:val="0"/>
      <w:marTop w:val="180"/>
      <w:marBottom w:val="180"/>
      <w:divBdr>
        <w:top w:val="none" w:sz="0" w:space="0" w:color="auto"/>
        <w:left w:val="none" w:sz="0" w:space="0" w:color="auto"/>
        <w:bottom w:val="none" w:sz="0" w:space="0" w:color="auto"/>
        <w:right w:val="none" w:sz="0" w:space="0" w:color="auto"/>
      </w:divBdr>
    </w:div>
    <w:div w:id="835607306">
      <w:marLeft w:val="0"/>
      <w:marRight w:val="0"/>
      <w:marTop w:val="180"/>
      <w:marBottom w:val="180"/>
      <w:divBdr>
        <w:top w:val="none" w:sz="0" w:space="0" w:color="auto"/>
        <w:left w:val="none" w:sz="0" w:space="0" w:color="auto"/>
        <w:bottom w:val="none" w:sz="0" w:space="0" w:color="auto"/>
        <w:right w:val="none" w:sz="0" w:space="0" w:color="auto"/>
      </w:divBdr>
    </w:div>
    <w:div w:id="835682295">
      <w:marLeft w:val="0"/>
      <w:marRight w:val="0"/>
      <w:marTop w:val="180"/>
      <w:marBottom w:val="180"/>
      <w:divBdr>
        <w:top w:val="none" w:sz="0" w:space="0" w:color="auto"/>
        <w:left w:val="none" w:sz="0" w:space="0" w:color="auto"/>
        <w:bottom w:val="none" w:sz="0" w:space="0" w:color="auto"/>
        <w:right w:val="none" w:sz="0" w:space="0" w:color="auto"/>
      </w:divBdr>
    </w:div>
    <w:div w:id="838160320">
      <w:marLeft w:val="0"/>
      <w:marRight w:val="0"/>
      <w:marTop w:val="0"/>
      <w:marBottom w:val="0"/>
      <w:divBdr>
        <w:top w:val="none" w:sz="0" w:space="0" w:color="auto"/>
        <w:left w:val="none" w:sz="0" w:space="0" w:color="auto"/>
        <w:bottom w:val="none" w:sz="0" w:space="0" w:color="auto"/>
        <w:right w:val="none" w:sz="0" w:space="0" w:color="auto"/>
      </w:divBdr>
      <w:divsChild>
        <w:div w:id="464005881">
          <w:marLeft w:val="0"/>
          <w:marRight w:val="0"/>
          <w:marTop w:val="0"/>
          <w:marBottom w:val="0"/>
          <w:divBdr>
            <w:top w:val="none" w:sz="0" w:space="0" w:color="auto"/>
            <w:left w:val="none" w:sz="0" w:space="0" w:color="auto"/>
            <w:bottom w:val="none" w:sz="0" w:space="0" w:color="auto"/>
            <w:right w:val="none" w:sz="0" w:space="0" w:color="auto"/>
          </w:divBdr>
          <w:divsChild>
            <w:div w:id="20778929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9661547">
      <w:marLeft w:val="0"/>
      <w:marRight w:val="0"/>
      <w:marTop w:val="180"/>
      <w:marBottom w:val="180"/>
      <w:divBdr>
        <w:top w:val="none" w:sz="0" w:space="0" w:color="auto"/>
        <w:left w:val="none" w:sz="0" w:space="0" w:color="auto"/>
        <w:bottom w:val="none" w:sz="0" w:space="0" w:color="auto"/>
        <w:right w:val="none" w:sz="0" w:space="0" w:color="auto"/>
      </w:divBdr>
      <w:divsChild>
        <w:div w:id="1689913382">
          <w:marLeft w:val="0"/>
          <w:marRight w:val="0"/>
          <w:marTop w:val="0"/>
          <w:marBottom w:val="0"/>
          <w:divBdr>
            <w:top w:val="none" w:sz="0" w:space="0" w:color="auto"/>
            <w:left w:val="none" w:sz="0" w:space="0" w:color="auto"/>
            <w:bottom w:val="none" w:sz="0" w:space="0" w:color="auto"/>
            <w:right w:val="none" w:sz="0" w:space="0" w:color="auto"/>
          </w:divBdr>
        </w:div>
      </w:divsChild>
    </w:div>
    <w:div w:id="841090907">
      <w:marLeft w:val="0"/>
      <w:marRight w:val="0"/>
      <w:marTop w:val="180"/>
      <w:marBottom w:val="180"/>
      <w:divBdr>
        <w:top w:val="none" w:sz="0" w:space="0" w:color="auto"/>
        <w:left w:val="none" w:sz="0" w:space="0" w:color="auto"/>
        <w:bottom w:val="none" w:sz="0" w:space="0" w:color="auto"/>
        <w:right w:val="none" w:sz="0" w:space="0" w:color="auto"/>
      </w:divBdr>
    </w:div>
    <w:div w:id="842354827">
      <w:marLeft w:val="0"/>
      <w:marRight w:val="0"/>
      <w:marTop w:val="180"/>
      <w:marBottom w:val="180"/>
      <w:divBdr>
        <w:top w:val="none" w:sz="0" w:space="0" w:color="auto"/>
        <w:left w:val="none" w:sz="0" w:space="0" w:color="auto"/>
        <w:bottom w:val="none" w:sz="0" w:space="0" w:color="auto"/>
        <w:right w:val="none" w:sz="0" w:space="0" w:color="auto"/>
      </w:divBdr>
    </w:div>
    <w:div w:id="845753065">
      <w:marLeft w:val="0"/>
      <w:marRight w:val="0"/>
      <w:marTop w:val="180"/>
      <w:marBottom w:val="180"/>
      <w:divBdr>
        <w:top w:val="none" w:sz="0" w:space="0" w:color="auto"/>
        <w:left w:val="none" w:sz="0" w:space="0" w:color="auto"/>
        <w:bottom w:val="none" w:sz="0" w:space="0" w:color="auto"/>
        <w:right w:val="none" w:sz="0" w:space="0" w:color="auto"/>
      </w:divBdr>
    </w:div>
    <w:div w:id="846335296">
      <w:marLeft w:val="0"/>
      <w:marRight w:val="0"/>
      <w:marTop w:val="180"/>
      <w:marBottom w:val="60"/>
      <w:divBdr>
        <w:top w:val="none" w:sz="0" w:space="0" w:color="auto"/>
        <w:left w:val="none" w:sz="0" w:space="0" w:color="auto"/>
        <w:bottom w:val="none" w:sz="0" w:space="0" w:color="auto"/>
        <w:right w:val="none" w:sz="0" w:space="0" w:color="auto"/>
      </w:divBdr>
    </w:div>
    <w:div w:id="846870055">
      <w:marLeft w:val="0"/>
      <w:marRight w:val="0"/>
      <w:marTop w:val="180"/>
      <w:marBottom w:val="180"/>
      <w:divBdr>
        <w:top w:val="none" w:sz="0" w:space="0" w:color="auto"/>
        <w:left w:val="none" w:sz="0" w:space="0" w:color="auto"/>
        <w:bottom w:val="none" w:sz="0" w:space="0" w:color="auto"/>
        <w:right w:val="none" w:sz="0" w:space="0" w:color="auto"/>
      </w:divBdr>
    </w:div>
    <w:div w:id="848523475">
      <w:marLeft w:val="0"/>
      <w:marRight w:val="0"/>
      <w:marTop w:val="180"/>
      <w:marBottom w:val="180"/>
      <w:divBdr>
        <w:top w:val="none" w:sz="0" w:space="0" w:color="auto"/>
        <w:left w:val="none" w:sz="0" w:space="0" w:color="auto"/>
        <w:bottom w:val="none" w:sz="0" w:space="0" w:color="auto"/>
        <w:right w:val="none" w:sz="0" w:space="0" w:color="auto"/>
      </w:divBdr>
    </w:div>
    <w:div w:id="848525252">
      <w:marLeft w:val="0"/>
      <w:marRight w:val="0"/>
      <w:marTop w:val="0"/>
      <w:marBottom w:val="0"/>
      <w:divBdr>
        <w:top w:val="none" w:sz="0" w:space="0" w:color="auto"/>
        <w:left w:val="none" w:sz="0" w:space="0" w:color="auto"/>
        <w:bottom w:val="none" w:sz="0" w:space="0" w:color="auto"/>
        <w:right w:val="none" w:sz="0" w:space="0" w:color="auto"/>
      </w:divBdr>
    </w:div>
    <w:div w:id="849299341">
      <w:marLeft w:val="0"/>
      <w:marRight w:val="0"/>
      <w:marTop w:val="180"/>
      <w:marBottom w:val="180"/>
      <w:divBdr>
        <w:top w:val="none" w:sz="0" w:space="0" w:color="auto"/>
        <w:left w:val="none" w:sz="0" w:space="0" w:color="auto"/>
        <w:bottom w:val="none" w:sz="0" w:space="0" w:color="auto"/>
        <w:right w:val="none" w:sz="0" w:space="0" w:color="auto"/>
      </w:divBdr>
    </w:div>
    <w:div w:id="854030046">
      <w:marLeft w:val="0"/>
      <w:marRight w:val="0"/>
      <w:marTop w:val="0"/>
      <w:marBottom w:val="0"/>
      <w:divBdr>
        <w:top w:val="none" w:sz="0" w:space="0" w:color="auto"/>
        <w:left w:val="none" w:sz="0" w:space="0" w:color="auto"/>
        <w:bottom w:val="none" w:sz="0" w:space="0" w:color="auto"/>
        <w:right w:val="none" w:sz="0" w:space="0" w:color="auto"/>
      </w:divBdr>
    </w:div>
    <w:div w:id="854657804">
      <w:marLeft w:val="0"/>
      <w:marRight w:val="0"/>
      <w:marTop w:val="0"/>
      <w:marBottom w:val="0"/>
      <w:divBdr>
        <w:top w:val="none" w:sz="0" w:space="0" w:color="auto"/>
        <w:left w:val="none" w:sz="0" w:space="0" w:color="auto"/>
        <w:bottom w:val="none" w:sz="0" w:space="0" w:color="auto"/>
        <w:right w:val="none" w:sz="0" w:space="0" w:color="auto"/>
      </w:divBdr>
      <w:divsChild>
        <w:div w:id="1307662323">
          <w:marLeft w:val="0"/>
          <w:marRight w:val="0"/>
          <w:marTop w:val="60"/>
          <w:marBottom w:val="180"/>
          <w:divBdr>
            <w:top w:val="none" w:sz="0" w:space="0" w:color="auto"/>
            <w:left w:val="none" w:sz="0" w:space="0" w:color="auto"/>
            <w:bottom w:val="none" w:sz="0" w:space="0" w:color="auto"/>
            <w:right w:val="none" w:sz="0" w:space="0" w:color="auto"/>
          </w:divBdr>
        </w:div>
      </w:divsChild>
    </w:div>
    <w:div w:id="857162147">
      <w:marLeft w:val="0"/>
      <w:marRight w:val="0"/>
      <w:marTop w:val="180"/>
      <w:marBottom w:val="180"/>
      <w:divBdr>
        <w:top w:val="none" w:sz="0" w:space="0" w:color="auto"/>
        <w:left w:val="none" w:sz="0" w:space="0" w:color="auto"/>
        <w:bottom w:val="none" w:sz="0" w:space="0" w:color="auto"/>
        <w:right w:val="none" w:sz="0" w:space="0" w:color="auto"/>
      </w:divBdr>
    </w:div>
    <w:div w:id="858276690">
      <w:marLeft w:val="0"/>
      <w:marRight w:val="0"/>
      <w:marTop w:val="0"/>
      <w:marBottom w:val="0"/>
      <w:divBdr>
        <w:top w:val="none" w:sz="0" w:space="0" w:color="auto"/>
        <w:left w:val="none" w:sz="0" w:space="0" w:color="auto"/>
        <w:bottom w:val="none" w:sz="0" w:space="0" w:color="auto"/>
        <w:right w:val="none" w:sz="0" w:space="0" w:color="auto"/>
      </w:divBdr>
      <w:divsChild>
        <w:div w:id="1839224986">
          <w:marLeft w:val="0"/>
          <w:marRight w:val="0"/>
          <w:marTop w:val="0"/>
          <w:marBottom w:val="0"/>
          <w:divBdr>
            <w:top w:val="none" w:sz="0" w:space="0" w:color="auto"/>
            <w:left w:val="none" w:sz="0" w:space="0" w:color="auto"/>
            <w:bottom w:val="none" w:sz="0" w:space="0" w:color="auto"/>
            <w:right w:val="none" w:sz="0" w:space="0" w:color="auto"/>
          </w:divBdr>
          <w:divsChild>
            <w:div w:id="17856161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9513601">
      <w:marLeft w:val="0"/>
      <w:marRight w:val="0"/>
      <w:marTop w:val="60"/>
      <w:marBottom w:val="60"/>
      <w:divBdr>
        <w:top w:val="none" w:sz="0" w:space="0" w:color="auto"/>
        <w:left w:val="none" w:sz="0" w:space="0" w:color="auto"/>
        <w:bottom w:val="none" w:sz="0" w:space="0" w:color="auto"/>
        <w:right w:val="none" w:sz="0" w:space="0" w:color="auto"/>
      </w:divBdr>
    </w:div>
    <w:div w:id="859701476">
      <w:marLeft w:val="0"/>
      <w:marRight w:val="0"/>
      <w:marTop w:val="60"/>
      <w:marBottom w:val="60"/>
      <w:divBdr>
        <w:top w:val="none" w:sz="0" w:space="0" w:color="auto"/>
        <w:left w:val="none" w:sz="0" w:space="0" w:color="auto"/>
        <w:bottom w:val="none" w:sz="0" w:space="0" w:color="auto"/>
        <w:right w:val="none" w:sz="0" w:space="0" w:color="auto"/>
      </w:divBdr>
    </w:div>
    <w:div w:id="861430771">
      <w:marLeft w:val="0"/>
      <w:marRight w:val="0"/>
      <w:marTop w:val="0"/>
      <w:marBottom w:val="0"/>
      <w:divBdr>
        <w:top w:val="none" w:sz="0" w:space="0" w:color="auto"/>
        <w:left w:val="none" w:sz="0" w:space="0" w:color="auto"/>
        <w:bottom w:val="none" w:sz="0" w:space="0" w:color="auto"/>
        <w:right w:val="none" w:sz="0" w:space="0" w:color="auto"/>
      </w:divBdr>
      <w:divsChild>
        <w:div w:id="377246210">
          <w:marLeft w:val="0"/>
          <w:marRight w:val="0"/>
          <w:marTop w:val="0"/>
          <w:marBottom w:val="0"/>
          <w:divBdr>
            <w:top w:val="none" w:sz="0" w:space="0" w:color="auto"/>
            <w:left w:val="none" w:sz="0" w:space="0" w:color="auto"/>
            <w:bottom w:val="none" w:sz="0" w:space="0" w:color="auto"/>
            <w:right w:val="none" w:sz="0" w:space="0" w:color="auto"/>
          </w:divBdr>
          <w:divsChild>
            <w:div w:id="11146662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2867249">
      <w:marLeft w:val="0"/>
      <w:marRight w:val="0"/>
      <w:marTop w:val="180"/>
      <w:marBottom w:val="180"/>
      <w:divBdr>
        <w:top w:val="none" w:sz="0" w:space="0" w:color="auto"/>
        <w:left w:val="none" w:sz="0" w:space="0" w:color="auto"/>
        <w:bottom w:val="none" w:sz="0" w:space="0" w:color="auto"/>
        <w:right w:val="none" w:sz="0" w:space="0" w:color="auto"/>
      </w:divBdr>
    </w:div>
    <w:div w:id="863641176">
      <w:marLeft w:val="0"/>
      <w:marRight w:val="0"/>
      <w:marTop w:val="180"/>
      <w:marBottom w:val="180"/>
      <w:divBdr>
        <w:top w:val="none" w:sz="0" w:space="0" w:color="auto"/>
        <w:left w:val="none" w:sz="0" w:space="0" w:color="auto"/>
        <w:bottom w:val="none" w:sz="0" w:space="0" w:color="auto"/>
        <w:right w:val="none" w:sz="0" w:space="0" w:color="auto"/>
      </w:divBdr>
    </w:div>
    <w:div w:id="864362504">
      <w:marLeft w:val="0"/>
      <w:marRight w:val="0"/>
      <w:marTop w:val="180"/>
      <w:marBottom w:val="180"/>
      <w:divBdr>
        <w:top w:val="none" w:sz="0" w:space="0" w:color="auto"/>
        <w:left w:val="none" w:sz="0" w:space="0" w:color="auto"/>
        <w:bottom w:val="none" w:sz="0" w:space="0" w:color="auto"/>
        <w:right w:val="none" w:sz="0" w:space="0" w:color="auto"/>
      </w:divBdr>
    </w:div>
    <w:div w:id="865170741">
      <w:marLeft w:val="0"/>
      <w:marRight w:val="0"/>
      <w:marTop w:val="180"/>
      <w:marBottom w:val="180"/>
      <w:divBdr>
        <w:top w:val="none" w:sz="0" w:space="0" w:color="auto"/>
        <w:left w:val="none" w:sz="0" w:space="0" w:color="auto"/>
        <w:bottom w:val="none" w:sz="0" w:space="0" w:color="auto"/>
        <w:right w:val="none" w:sz="0" w:space="0" w:color="auto"/>
      </w:divBdr>
    </w:div>
    <w:div w:id="865753259">
      <w:marLeft w:val="0"/>
      <w:marRight w:val="0"/>
      <w:marTop w:val="180"/>
      <w:marBottom w:val="180"/>
      <w:divBdr>
        <w:top w:val="none" w:sz="0" w:space="0" w:color="auto"/>
        <w:left w:val="none" w:sz="0" w:space="0" w:color="auto"/>
        <w:bottom w:val="none" w:sz="0" w:space="0" w:color="auto"/>
        <w:right w:val="none" w:sz="0" w:space="0" w:color="auto"/>
      </w:divBdr>
    </w:div>
    <w:div w:id="868569028">
      <w:marLeft w:val="0"/>
      <w:marRight w:val="0"/>
      <w:marTop w:val="180"/>
      <w:marBottom w:val="180"/>
      <w:divBdr>
        <w:top w:val="none" w:sz="0" w:space="0" w:color="auto"/>
        <w:left w:val="none" w:sz="0" w:space="0" w:color="auto"/>
        <w:bottom w:val="none" w:sz="0" w:space="0" w:color="auto"/>
        <w:right w:val="none" w:sz="0" w:space="0" w:color="auto"/>
      </w:divBdr>
    </w:div>
    <w:div w:id="868756951">
      <w:marLeft w:val="0"/>
      <w:marRight w:val="0"/>
      <w:marTop w:val="180"/>
      <w:marBottom w:val="180"/>
      <w:divBdr>
        <w:top w:val="none" w:sz="0" w:space="0" w:color="auto"/>
        <w:left w:val="none" w:sz="0" w:space="0" w:color="auto"/>
        <w:bottom w:val="none" w:sz="0" w:space="0" w:color="auto"/>
        <w:right w:val="none" w:sz="0" w:space="0" w:color="auto"/>
      </w:divBdr>
    </w:div>
    <w:div w:id="869031359">
      <w:marLeft w:val="0"/>
      <w:marRight w:val="0"/>
      <w:marTop w:val="60"/>
      <w:marBottom w:val="180"/>
      <w:divBdr>
        <w:top w:val="none" w:sz="0" w:space="0" w:color="auto"/>
        <w:left w:val="none" w:sz="0" w:space="0" w:color="auto"/>
        <w:bottom w:val="none" w:sz="0" w:space="0" w:color="auto"/>
        <w:right w:val="none" w:sz="0" w:space="0" w:color="auto"/>
      </w:divBdr>
      <w:divsChild>
        <w:div w:id="297998068">
          <w:marLeft w:val="0"/>
          <w:marRight w:val="0"/>
          <w:marTop w:val="0"/>
          <w:marBottom w:val="0"/>
          <w:divBdr>
            <w:top w:val="none" w:sz="0" w:space="0" w:color="auto"/>
            <w:left w:val="none" w:sz="0" w:space="0" w:color="auto"/>
            <w:bottom w:val="none" w:sz="0" w:space="0" w:color="auto"/>
            <w:right w:val="none" w:sz="0" w:space="0" w:color="auto"/>
          </w:divBdr>
        </w:div>
      </w:divsChild>
    </w:div>
    <w:div w:id="870192060">
      <w:marLeft w:val="0"/>
      <w:marRight w:val="0"/>
      <w:marTop w:val="100"/>
      <w:marBottom w:val="0"/>
      <w:divBdr>
        <w:top w:val="none" w:sz="0" w:space="0" w:color="auto"/>
        <w:left w:val="none" w:sz="0" w:space="0" w:color="auto"/>
        <w:bottom w:val="none" w:sz="0" w:space="0" w:color="auto"/>
        <w:right w:val="none" w:sz="0" w:space="0" w:color="auto"/>
      </w:divBdr>
      <w:divsChild>
        <w:div w:id="1470588088">
          <w:marLeft w:val="0"/>
          <w:marRight w:val="0"/>
          <w:marTop w:val="0"/>
          <w:marBottom w:val="0"/>
          <w:divBdr>
            <w:top w:val="none" w:sz="0" w:space="0" w:color="auto"/>
            <w:left w:val="none" w:sz="0" w:space="0" w:color="auto"/>
            <w:bottom w:val="none" w:sz="0" w:space="0" w:color="auto"/>
            <w:right w:val="none" w:sz="0" w:space="0" w:color="auto"/>
          </w:divBdr>
        </w:div>
        <w:div w:id="2093311786">
          <w:marLeft w:val="0"/>
          <w:marRight w:val="0"/>
          <w:marTop w:val="0"/>
          <w:marBottom w:val="0"/>
          <w:divBdr>
            <w:top w:val="none" w:sz="0" w:space="0" w:color="auto"/>
            <w:left w:val="none" w:sz="0" w:space="0" w:color="auto"/>
            <w:bottom w:val="none" w:sz="0" w:space="0" w:color="auto"/>
            <w:right w:val="none" w:sz="0" w:space="0" w:color="auto"/>
          </w:divBdr>
        </w:div>
        <w:div w:id="1675956397">
          <w:marLeft w:val="0"/>
          <w:marRight w:val="0"/>
          <w:marTop w:val="0"/>
          <w:marBottom w:val="0"/>
          <w:divBdr>
            <w:top w:val="none" w:sz="0" w:space="0" w:color="auto"/>
            <w:left w:val="none" w:sz="0" w:space="0" w:color="auto"/>
            <w:bottom w:val="none" w:sz="0" w:space="0" w:color="auto"/>
            <w:right w:val="none" w:sz="0" w:space="0" w:color="auto"/>
          </w:divBdr>
        </w:div>
        <w:div w:id="1335066149">
          <w:marLeft w:val="0"/>
          <w:marRight w:val="0"/>
          <w:marTop w:val="0"/>
          <w:marBottom w:val="0"/>
          <w:divBdr>
            <w:top w:val="none" w:sz="0" w:space="0" w:color="auto"/>
            <w:left w:val="none" w:sz="0" w:space="0" w:color="auto"/>
            <w:bottom w:val="none" w:sz="0" w:space="0" w:color="auto"/>
            <w:right w:val="none" w:sz="0" w:space="0" w:color="auto"/>
          </w:divBdr>
        </w:div>
        <w:div w:id="1902597077">
          <w:marLeft w:val="0"/>
          <w:marRight w:val="0"/>
          <w:marTop w:val="0"/>
          <w:marBottom w:val="0"/>
          <w:divBdr>
            <w:top w:val="none" w:sz="0" w:space="0" w:color="auto"/>
            <w:left w:val="none" w:sz="0" w:space="0" w:color="auto"/>
            <w:bottom w:val="none" w:sz="0" w:space="0" w:color="auto"/>
            <w:right w:val="none" w:sz="0" w:space="0" w:color="auto"/>
          </w:divBdr>
        </w:div>
        <w:div w:id="968897202">
          <w:marLeft w:val="0"/>
          <w:marRight w:val="0"/>
          <w:marTop w:val="0"/>
          <w:marBottom w:val="0"/>
          <w:divBdr>
            <w:top w:val="none" w:sz="0" w:space="0" w:color="auto"/>
            <w:left w:val="none" w:sz="0" w:space="0" w:color="auto"/>
            <w:bottom w:val="none" w:sz="0" w:space="0" w:color="auto"/>
            <w:right w:val="none" w:sz="0" w:space="0" w:color="auto"/>
          </w:divBdr>
        </w:div>
        <w:div w:id="1601253011">
          <w:marLeft w:val="0"/>
          <w:marRight w:val="0"/>
          <w:marTop w:val="0"/>
          <w:marBottom w:val="0"/>
          <w:divBdr>
            <w:top w:val="none" w:sz="0" w:space="0" w:color="auto"/>
            <w:left w:val="none" w:sz="0" w:space="0" w:color="auto"/>
            <w:bottom w:val="none" w:sz="0" w:space="0" w:color="auto"/>
            <w:right w:val="none" w:sz="0" w:space="0" w:color="auto"/>
          </w:divBdr>
        </w:div>
        <w:div w:id="1524511068">
          <w:marLeft w:val="0"/>
          <w:marRight w:val="0"/>
          <w:marTop w:val="0"/>
          <w:marBottom w:val="0"/>
          <w:divBdr>
            <w:top w:val="none" w:sz="0" w:space="0" w:color="auto"/>
            <w:left w:val="none" w:sz="0" w:space="0" w:color="auto"/>
            <w:bottom w:val="none" w:sz="0" w:space="0" w:color="auto"/>
            <w:right w:val="none" w:sz="0" w:space="0" w:color="auto"/>
          </w:divBdr>
        </w:div>
        <w:div w:id="845049495">
          <w:marLeft w:val="0"/>
          <w:marRight w:val="0"/>
          <w:marTop w:val="0"/>
          <w:marBottom w:val="0"/>
          <w:divBdr>
            <w:top w:val="none" w:sz="0" w:space="0" w:color="auto"/>
            <w:left w:val="none" w:sz="0" w:space="0" w:color="auto"/>
            <w:bottom w:val="none" w:sz="0" w:space="0" w:color="auto"/>
            <w:right w:val="none" w:sz="0" w:space="0" w:color="auto"/>
          </w:divBdr>
        </w:div>
        <w:div w:id="1311866259">
          <w:marLeft w:val="0"/>
          <w:marRight w:val="0"/>
          <w:marTop w:val="0"/>
          <w:marBottom w:val="0"/>
          <w:divBdr>
            <w:top w:val="none" w:sz="0" w:space="0" w:color="auto"/>
            <w:left w:val="none" w:sz="0" w:space="0" w:color="auto"/>
            <w:bottom w:val="none" w:sz="0" w:space="0" w:color="auto"/>
            <w:right w:val="none" w:sz="0" w:space="0" w:color="auto"/>
          </w:divBdr>
        </w:div>
        <w:div w:id="391005664">
          <w:marLeft w:val="0"/>
          <w:marRight w:val="0"/>
          <w:marTop w:val="0"/>
          <w:marBottom w:val="0"/>
          <w:divBdr>
            <w:top w:val="none" w:sz="0" w:space="0" w:color="auto"/>
            <w:left w:val="none" w:sz="0" w:space="0" w:color="auto"/>
            <w:bottom w:val="none" w:sz="0" w:space="0" w:color="auto"/>
            <w:right w:val="none" w:sz="0" w:space="0" w:color="auto"/>
          </w:divBdr>
        </w:div>
        <w:div w:id="806553851">
          <w:marLeft w:val="0"/>
          <w:marRight w:val="0"/>
          <w:marTop w:val="0"/>
          <w:marBottom w:val="0"/>
          <w:divBdr>
            <w:top w:val="none" w:sz="0" w:space="0" w:color="auto"/>
            <w:left w:val="none" w:sz="0" w:space="0" w:color="auto"/>
            <w:bottom w:val="none" w:sz="0" w:space="0" w:color="auto"/>
            <w:right w:val="none" w:sz="0" w:space="0" w:color="auto"/>
          </w:divBdr>
        </w:div>
        <w:div w:id="556206002">
          <w:marLeft w:val="0"/>
          <w:marRight w:val="0"/>
          <w:marTop w:val="0"/>
          <w:marBottom w:val="0"/>
          <w:divBdr>
            <w:top w:val="none" w:sz="0" w:space="0" w:color="auto"/>
            <w:left w:val="none" w:sz="0" w:space="0" w:color="auto"/>
            <w:bottom w:val="none" w:sz="0" w:space="0" w:color="auto"/>
            <w:right w:val="none" w:sz="0" w:space="0" w:color="auto"/>
          </w:divBdr>
        </w:div>
        <w:div w:id="951863198">
          <w:marLeft w:val="0"/>
          <w:marRight w:val="0"/>
          <w:marTop w:val="0"/>
          <w:marBottom w:val="0"/>
          <w:divBdr>
            <w:top w:val="none" w:sz="0" w:space="0" w:color="auto"/>
            <w:left w:val="none" w:sz="0" w:space="0" w:color="auto"/>
            <w:bottom w:val="none" w:sz="0" w:space="0" w:color="auto"/>
            <w:right w:val="none" w:sz="0" w:space="0" w:color="auto"/>
          </w:divBdr>
        </w:div>
        <w:div w:id="661543943">
          <w:marLeft w:val="0"/>
          <w:marRight w:val="0"/>
          <w:marTop w:val="0"/>
          <w:marBottom w:val="0"/>
          <w:divBdr>
            <w:top w:val="none" w:sz="0" w:space="0" w:color="auto"/>
            <w:left w:val="none" w:sz="0" w:space="0" w:color="auto"/>
            <w:bottom w:val="none" w:sz="0" w:space="0" w:color="auto"/>
            <w:right w:val="none" w:sz="0" w:space="0" w:color="auto"/>
          </w:divBdr>
        </w:div>
        <w:div w:id="233053002">
          <w:marLeft w:val="0"/>
          <w:marRight w:val="0"/>
          <w:marTop w:val="0"/>
          <w:marBottom w:val="0"/>
          <w:divBdr>
            <w:top w:val="none" w:sz="0" w:space="0" w:color="auto"/>
            <w:left w:val="none" w:sz="0" w:space="0" w:color="auto"/>
            <w:bottom w:val="none" w:sz="0" w:space="0" w:color="auto"/>
            <w:right w:val="none" w:sz="0" w:space="0" w:color="auto"/>
          </w:divBdr>
        </w:div>
        <w:div w:id="2106995279">
          <w:marLeft w:val="0"/>
          <w:marRight w:val="0"/>
          <w:marTop w:val="0"/>
          <w:marBottom w:val="0"/>
          <w:divBdr>
            <w:top w:val="none" w:sz="0" w:space="0" w:color="auto"/>
            <w:left w:val="none" w:sz="0" w:space="0" w:color="auto"/>
            <w:bottom w:val="none" w:sz="0" w:space="0" w:color="auto"/>
            <w:right w:val="none" w:sz="0" w:space="0" w:color="auto"/>
          </w:divBdr>
        </w:div>
        <w:div w:id="360591664">
          <w:marLeft w:val="0"/>
          <w:marRight w:val="0"/>
          <w:marTop w:val="0"/>
          <w:marBottom w:val="0"/>
          <w:divBdr>
            <w:top w:val="none" w:sz="0" w:space="0" w:color="auto"/>
            <w:left w:val="none" w:sz="0" w:space="0" w:color="auto"/>
            <w:bottom w:val="none" w:sz="0" w:space="0" w:color="auto"/>
            <w:right w:val="none" w:sz="0" w:space="0" w:color="auto"/>
          </w:divBdr>
        </w:div>
        <w:div w:id="290019610">
          <w:marLeft w:val="0"/>
          <w:marRight w:val="0"/>
          <w:marTop w:val="0"/>
          <w:marBottom w:val="0"/>
          <w:divBdr>
            <w:top w:val="none" w:sz="0" w:space="0" w:color="auto"/>
            <w:left w:val="none" w:sz="0" w:space="0" w:color="auto"/>
            <w:bottom w:val="none" w:sz="0" w:space="0" w:color="auto"/>
            <w:right w:val="none" w:sz="0" w:space="0" w:color="auto"/>
          </w:divBdr>
        </w:div>
        <w:div w:id="1749302323">
          <w:marLeft w:val="0"/>
          <w:marRight w:val="0"/>
          <w:marTop w:val="0"/>
          <w:marBottom w:val="0"/>
          <w:divBdr>
            <w:top w:val="none" w:sz="0" w:space="0" w:color="auto"/>
            <w:left w:val="none" w:sz="0" w:space="0" w:color="auto"/>
            <w:bottom w:val="none" w:sz="0" w:space="0" w:color="auto"/>
            <w:right w:val="none" w:sz="0" w:space="0" w:color="auto"/>
          </w:divBdr>
        </w:div>
        <w:div w:id="120660847">
          <w:marLeft w:val="0"/>
          <w:marRight w:val="0"/>
          <w:marTop w:val="0"/>
          <w:marBottom w:val="0"/>
          <w:divBdr>
            <w:top w:val="none" w:sz="0" w:space="0" w:color="auto"/>
            <w:left w:val="none" w:sz="0" w:space="0" w:color="auto"/>
            <w:bottom w:val="none" w:sz="0" w:space="0" w:color="auto"/>
            <w:right w:val="none" w:sz="0" w:space="0" w:color="auto"/>
          </w:divBdr>
        </w:div>
        <w:div w:id="1607930866">
          <w:marLeft w:val="0"/>
          <w:marRight w:val="0"/>
          <w:marTop w:val="0"/>
          <w:marBottom w:val="0"/>
          <w:divBdr>
            <w:top w:val="none" w:sz="0" w:space="0" w:color="auto"/>
            <w:left w:val="none" w:sz="0" w:space="0" w:color="auto"/>
            <w:bottom w:val="none" w:sz="0" w:space="0" w:color="auto"/>
            <w:right w:val="none" w:sz="0" w:space="0" w:color="auto"/>
          </w:divBdr>
        </w:div>
        <w:div w:id="781455833">
          <w:marLeft w:val="0"/>
          <w:marRight w:val="0"/>
          <w:marTop w:val="0"/>
          <w:marBottom w:val="0"/>
          <w:divBdr>
            <w:top w:val="none" w:sz="0" w:space="0" w:color="auto"/>
            <w:left w:val="none" w:sz="0" w:space="0" w:color="auto"/>
            <w:bottom w:val="none" w:sz="0" w:space="0" w:color="auto"/>
            <w:right w:val="none" w:sz="0" w:space="0" w:color="auto"/>
          </w:divBdr>
        </w:div>
        <w:div w:id="1315986191">
          <w:marLeft w:val="0"/>
          <w:marRight w:val="0"/>
          <w:marTop w:val="0"/>
          <w:marBottom w:val="0"/>
          <w:divBdr>
            <w:top w:val="none" w:sz="0" w:space="0" w:color="auto"/>
            <w:left w:val="none" w:sz="0" w:space="0" w:color="auto"/>
            <w:bottom w:val="none" w:sz="0" w:space="0" w:color="auto"/>
            <w:right w:val="none" w:sz="0" w:space="0" w:color="auto"/>
          </w:divBdr>
        </w:div>
        <w:div w:id="52125261">
          <w:marLeft w:val="0"/>
          <w:marRight w:val="0"/>
          <w:marTop w:val="0"/>
          <w:marBottom w:val="0"/>
          <w:divBdr>
            <w:top w:val="none" w:sz="0" w:space="0" w:color="auto"/>
            <w:left w:val="none" w:sz="0" w:space="0" w:color="auto"/>
            <w:bottom w:val="none" w:sz="0" w:space="0" w:color="auto"/>
            <w:right w:val="none" w:sz="0" w:space="0" w:color="auto"/>
          </w:divBdr>
        </w:div>
        <w:div w:id="1582984401">
          <w:marLeft w:val="0"/>
          <w:marRight w:val="0"/>
          <w:marTop w:val="0"/>
          <w:marBottom w:val="0"/>
          <w:divBdr>
            <w:top w:val="none" w:sz="0" w:space="0" w:color="auto"/>
            <w:left w:val="none" w:sz="0" w:space="0" w:color="auto"/>
            <w:bottom w:val="none" w:sz="0" w:space="0" w:color="auto"/>
            <w:right w:val="none" w:sz="0" w:space="0" w:color="auto"/>
          </w:divBdr>
        </w:div>
        <w:div w:id="919217334">
          <w:marLeft w:val="0"/>
          <w:marRight w:val="0"/>
          <w:marTop w:val="0"/>
          <w:marBottom w:val="0"/>
          <w:divBdr>
            <w:top w:val="none" w:sz="0" w:space="0" w:color="auto"/>
            <w:left w:val="none" w:sz="0" w:space="0" w:color="auto"/>
            <w:bottom w:val="none" w:sz="0" w:space="0" w:color="auto"/>
            <w:right w:val="none" w:sz="0" w:space="0" w:color="auto"/>
          </w:divBdr>
        </w:div>
        <w:div w:id="1738088828">
          <w:marLeft w:val="0"/>
          <w:marRight w:val="0"/>
          <w:marTop w:val="0"/>
          <w:marBottom w:val="0"/>
          <w:divBdr>
            <w:top w:val="none" w:sz="0" w:space="0" w:color="auto"/>
            <w:left w:val="none" w:sz="0" w:space="0" w:color="auto"/>
            <w:bottom w:val="none" w:sz="0" w:space="0" w:color="auto"/>
            <w:right w:val="none" w:sz="0" w:space="0" w:color="auto"/>
          </w:divBdr>
        </w:div>
        <w:div w:id="294993271">
          <w:marLeft w:val="0"/>
          <w:marRight w:val="0"/>
          <w:marTop w:val="0"/>
          <w:marBottom w:val="0"/>
          <w:divBdr>
            <w:top w:val="none" w:sz="0" w:space="0" w:color="auto"/>
            <w:left w:val="none" w:sz="0" w:space="0" w:color="auto"/>
            <w:bottom w:val="none" w:sz="0" w:space="0" w:color="auto"/>
            <w:right w:val="none" w:sz="0" w:space="0" w:color="auto"/>
          </w:divBdr>
        </w:div>
        <w:div w:id="682367006">
          <w:marLeft w:val="0"/>
          <w:marRight w:val="0"/>
          <w:marTop w:val="0"/>
          <w:marBottom w:val="0"/>
          <w:divBdr>
            <w:top w:val="none" w:sz="0" w:space="0" w:color="auto"/>
            <w:left w:val="none" w:sz="0" w:space="0" w:color="auto"/>
            <w:bottom w:val="none" w:sz="0" w:space="0" w:color="auto"/>
            <w:right w:val="none" w:sz="0" w:space="0" w:color="auto"/>
          </w:divBdr>
        </w:div>
        <w:div w:id="873270568">
          <w:marLeft w:val="0"/>
          <w:marRight w:val="0"/>
          <w:marTop w:val="0"/>
          <w:marBottom w:val="0"/>
          <w:divBdr>
            <w:top w:val="none" w:sz="0" w:space="0" w:color="auto"/>
            <w:left w:val="none" w:sz="0" w:space="0" w:color="auto"/>
            <w:bottom w:val="none" w:sz="0" w:space="0" w:color="auto"/>
            <w:right w:val="none" w:sz="0" w:space="0" w:color="auto"/>
          </w:divBdr>
        </w:div>
        <w:div w:id="1400906783">
          <w:marLeft w:val="0"/>
          <w:marRight w:val="0"/>
          <w:marTop w:val="0"/>
          <w:marBottom w:val="0"/>
          <w:divBdr>
            <w:top w:val="none" w:sz="0" w:space="0" w:color="auto"/>
            <w:left w:val="none" w:sz="0" w:space="0" w:color="auto"/>
            <w:bottom w:val="none" w:sz="0" w:space="0" w:color="auto"/>
            <w:right w:val="none" w:sz="0" w:space="0" w:color="auto"/>
          </w:divBdr>
        </w:div>
        <w:div w:id="969672500">
          <w:marLeft w:val="0"/>
          <w:marRight w:val="0"/>
          <w:marTop w:val="0"/>
          <w:marBottom w:val="0"/>
          <w:divBdr>
            <w:top w:val="none" w:sz="0" w:space="0" w:color="auto"/>
            <w:left w:val="none" w:sz="0" w:space="0" w:color="auto"/>
            <w:bottom w:val="none" w:sz="0" w:space="0" w:color="auto"/>
            <w:right w:val="none" w:sz="0" w:space="0" w:color="auto"/>
          </w:divBdr>
        </w:div>
        <w:div w:id="1494182877">
          <w:marLeft w:val="0"/>
          <w:marRight w:val="0"/>
          <w:marTop w:val="0"/>
          <w:marBottom w:val="0"/>
          <w:divBdr>
            <w:top w:val="none" w:sz="0" w:space="0" w:color="auto"/>
            <w:left w:val="none" w:sz="0" w:space="0" w:color="auto"/>
            <w:bottom w:val="none" w:sz="0" w:space="0" w:color="auto"/>
            <w:right w:val="none" w:sz="0" w:space="0" w:color="auto"/>
          </w:divBdr>
        </w:div>
        <w:div w:id="895700683">
          <w:marLeft w:val="0"/>
          <w:marRight w:val="0"/>
          <w:marTop w:val="0"/>
          <w:marBottom w:val="0"/>
          <w:divBdr>
            <w:top w:val="none" w:sz="0" w:space="0" w:color="auto"/>
            <w:left w:val="none" w:sz="0" w:space="0" w:color="auto"/>
            <w:bottom w:val="none" w:sz="0" w:space="0" w:color="auto"/>
            <w:right w:val="none" w:sz="0" w:space="0" w:color="auto"/>
          </w:divBdr>
        </w:div>
        <w:div w:id="1534924277">
          <w:marLeft w:val="0"/>
          <w:marRight w:val="0"/>
          <w:marTop w:val="0"/>
          <w:marBottom w:val="0"/>
          <w:divBdr>
            <w:top w:val="none" w:sz="0" w:space="0" w:color="auto"/>
            <w:left w:val="none" w:sz="0" w:space="0" w:color="auto"/>
            <w:bottom w:val="none" w:sz="0" w:space="0" w:color="auto"/>
            <w:right w:val="none" w:sz="0" w:space="0" w:color="auto"/>
          </w:divBdr>
        </w:div>
        <w:div w:id="1456873604">
          <w:marLeft w:val="0"/>
          <w:marRight w:val="0"/>
          <w:marTop w:val="0"/>
          <w:marBottom w:val="0"/>
          <w:divBdr>
            <w:top w:val="none" w:sz="0" w:space="0" w:color="auto"/>
            <w:left w:val="none" w:sz="0" w:space="0" w:color="auto"/>
            <w:bottom w:val="none" w:sz="0" w:space="0" w:color="auto"/>
            <w:right w:val="none" w:sz="0" w:space="0" w:color="auto"/>
          </w:divBdr>
        </w:div>
        <w:div w:id="154029377">
          <w:marLeft w:val="0"/>
          <w:marRight w:val="0"/>
          <w:marTop w:val="0"/>
          <w:marBottom w:val="0"/>
          <w:divBdr>
            <w:top w:val="none" w:sz="0" w:space="0" w:color="auto"/>
            <w:left w:val="none" w:sz="0" w:space="0" w:color="auto"/>
            <w:bottom w:val="none" w:sz="0" w:space="0" w:color="auto"/>
            <w:right w:val="none" w:sz="0" w:space="0" w:color="auto"/>
          </w:divBdr>
        </w:div>
        <w:div w:id="1728607707">
          <w:marLeft w:val="0"/>
          <w:marRight w:val="0"/>
          <w:marTop w:val="0"/>
          <w:marBottom w:val="0"/>
          <w:divBdr>
            <w:top w:val="none" w:sz="0" w:space="0" w:color="auto"/>
            <w:left w:val="none" w:sz="0" w:space="0" w:color="auto"/>
            <w:bottom w:val="none" w:sz="0" w:space="0" w:color="auto"/>
            <w:right w:val="none" w:sz="0" w:space="0" w:color="auto"/>
          </w:divBdr>
        </w:div>
      </w:divsChild>
    </w:div>
    <w:div w:id="873233440">
      <w:marLeft w:val="0"/>
      <w:marRight w:val="0"/>
      <w:marTop w:val="60"/>
      <w:marBottom w:val="60"/>
      <w:divBdr>
        <w:top w:val="none" w:sz="0" w:space="0" w:color="auto"/>
        <w:left w:val="none" w:sz="0" w:space="0" w:color="auto"/>
        <w:bottom w:val="none" w:sz="0" w:space="0" w:color="auto"/>
        <w:right w:val="none" w:sz="0" w:space="0" w:color="auto"/>
      </w:divBdr>
    </w:div>
    <w:div w:id="878081994">
      <w:marLeft w:val="0"/>
      <w:marRight w:val="0"/>
      <w:marTop w:val="180"/>
      <w:marBottom w:val="180"/>
      <w:divBdr>
        <w:top w:val="none" w:sz="0" w:space="0" w:color="auto"/>
        <w:left w:val="none" w:sz="0" w:space="0" w:color="auto"/>
        <w:bottom w:val="none" w:sz="0" w:space="0" w:color="auto"/>
        <w:right w:val="none" w:sz="0" w:space="0" w:color="auto"/>
      </w:divBdr>
    </w:div>
    <w:div w:id="878200268">
      <w:marLeft w:val="0"/>
      <w:marRight w:val="0"/>
      <w:marTop w:val="180"/>
      <w:marBottom w:val="180"/>
      <w:divBdr>
        <w:top w:val="none" w:sz="0" w:space="0" w:color="auto"/>
        <w:left w:val="none" w:sz="0" w:space="0" w:color="auto"/>
        <w:bottom w:val="none" w:sz="0" w:space="0" w:color="auto"/>
        <w:right w:val="none" w:sz="0" w:space="0" w:color="auto"/>
      </w:divBdr>
    </w:div>
    <w:div w:id="879129550">
      <w:marLeft w:val="0"/>
      <w:marRight w:val="0"/>
      <w:marTop w:val="0"/>
      <w:marBottom w:val="0"/>
      <w:divBdr>
        <w:top w:val="none" w:sz="0" w:space="0" w:color="auto"/>
        <w:left w:val="none" w:sz="0" w:space="0" w:color="auto"/>
        <w:bottom w:val="none" w:sz="0" w:space="0" w:color="auto"/>
        <w:right w:val="none" w:sz="0" w:space="0" w:color="auto"/>
      </w:divBdr>
    </w:div>
    <w:div w:id="882791730">
      <w:marLeft w:val="0"/>
      <w:marRight w:val="0"/>
      <w:marTop w:val="60"/>
      <w:marBottom w:val="60"/>
      <w:divBdr>
        <w:top w:val="none" w:sz="0" w:space="0" w:color="auto"/>
        <w:left w:val="none" w:sz="0" w:space="0" w:color="auto"/>
        <w:bottom w:val="none" w:sz="0" w:space="0" w:color="auto"/>
        <w:right w:val="none" w:sz="0" w:space="0" w:color="auto"/>
      </w:divBdr>
    </w:div>
    <w:div w:id="883908867">
      <w:marLeft w:val="0"/>
      <w:marRight w:val="0"/>
      <w:marTop w:val="60"/>
      <w:marBottom w:val="60"/>
      <w:divBdr>
        <w:top w:val="none" w:sz="0" w:space="0" w:color="auto"/>
        <w:left w:val="none" w:sz="0" w:space="0" w:color="auto"/>
        <w:bottom w:val="none" w:sz="0" w:space="0" w:color="auto"/>
        <w:right w:val="none" w:sz="0" w:space="0" w:color="auto"/>
      </w:divBdr>
    </w:div>
    <w:div w:id="884025260">
      <w:marLeft w:val="0"/>
      <w:marRight w:val="0"/>
      <w:marTop w:val="180"/>
      <w:marBottom w:val="180"/>
      <w:divBdr>
        <w:top w:val="none" w:sz="0" w:space="0" w:color="auto"/>
        <w:left w:val="none" w:sz="0" w:space="0" w:color="auto"/>
        <w:bottom w:val="none" w:sz="0" w:space="0" w:color="auto"/>
        <w:right w:val="none" w:sz="0" w:space="0" w:color="auto"/>
      </w:divBdr>
    </w:div>
    <w:div w:id="885217732">
      <w:marLeft w:val="0"/>
      <w:marRight w:val="0"/>
      <w:marTop w:val="180"/>
      <w:marBottom w:val="180"/>
      <w:divBdr>
        <w:top w:val="none" w:sz="0" w:space="0" w:color="auto"/>
        <w:left w:val="none" w:sz="0" w:space="0" w:color="auto"/>
        <w:bottom w:val="none" w:sz="0" w:space="0" w:color="auto"/>
        <w:right w:val="none" w:sz="0" w:space="0" w:color="auto"/>
      </w:divBdr>
    </w:div>
    <w:div w:id="885877143">
      <w:marLeft w:val="0"/>
      <w:marRight w:val="0"/>
      <w:marTop w:val="180"/>
      <w:marBottom w:val="180"/>
      <w:divBdr>
        <w:top w:val="none" w:sz="0" w:space="0" w:color="auto"/>
        <w:left w:val="none" w:sz="0" w:space="0" w:color="auto"/>
        <w:bottom w:val="none" w:sz="0" w:space="0" w:color="auto"/>
        <w:right w:val="none" w:sz="0" w:space="0" w:color="auto"/>
      </w:divBdr>
    </w:div>
    <w:div w:id="887453661">
      <w:marLeft w:val="0"/>
      <w:marRight w:val="0"/>
      <w:marTop w:val="180"/>
      <w:marBottom w:val="180"/>
      <w:divBdr>
        <w:top w:val="none" w:sz="0" w:space="0" w:color="auto"/>
        <w:left w:val="none" w:sz="0" w:space="0" w:color="auto"/>
        <w:bottom w:val="none" w:sz="0" w:space="0" w:color="auto"/>
        <w:right w:val="none" w:sz="0" w:space="0" w:color="auto"/>
      </w:divBdr>
    </w:div>
    <w:div w:id="887835827">
      <w:marLeft w:val="0"/>
      <w:marRight w:val="0"/>
      <w:marTop w:val="180"/>
      <w:marBottom w:val="180"/>
      <w:divBdr>
        <w:top w:val="none" w:sz="0" w:space="0" w:color="auto"/>
        <w:left w:val="none" w:sz="0" w:space="0" w:color="auto"/>
        <w:bottom w:val="none" w:sz="0" w:space="0" w:color="auto"/>
        <w:right w:val="none" w:sz="0" w:space="0" w:color="auto"/>
      </w:divBdr>
    </w:div>
    <w:div w:id="892041708">
      <w:marLeft w:val="0"/>
      <w:marRight w:val="0"/>
      <w:marTop w:val="180"/>
      <w:marBottom w:val="180"/>
      <w:divBdr>
        <w:top w:val="none" w:sz="0" w:space="0" w:color="auto"/>
        <w:left w:val="none" w:sz="0" w:space="0" w:color="auto"/>
        <w:bottom w:val="none" w:sz="0" w:space="0" w:color="auto"/>
        <w:right w:val="none" w:sz="0" w:space="0" w:color="auto"/>
      </w:divBdr>
    </w:div>
    <w:div w:id="892272850">
      <w:marLeft w:val="0"/>
      <w:marRight w:val="0"/>
      <w:marTop w:val="180"/>
      <w:marBottom w:val="180"/>
      <w:divBdr>
        <w:top w:val="none" w:sz="0" w:space="0" w:color="auto"/>
        <w:left w:val="none" w:sz="0" w:space="0" w:color="auto"/>
        <w:bottom w:val="none" w:sz="0" w:space="0" w:color="auto"/>
        <w:right w:val="none" w:sz="0" w:space="0" w:color="auto"/>
      </w:divBdr>
    </w:div>
    <w:div w:id="892498337">
      <w:marLeft w:val="0"/>
      <w:marRight w:val="0"/>
      <w:marTop w:val="0"/>
      <w:marBottom w:val="0"/>
      <w:divBdr>
        <w:top w:val="none" w:sz="0" w:space="0" w:color="auto"/>
        <w:left w:val="none" w:sz="0" w:space="0" w:color="auto"/>
        <w:bottom w:val="none" w:sz="0" w:space="0" w:color="auto"/>
        <w:right w:val="none" w:sz="0" w:space="0" w:color="auto"/>
      </w:divBdr>
      <w:divsChild>
        <w:div w:id="1815445347">
          <w:marLeft w:val="0"/>
          <w:marRight w:val="0"/>
          <w:marTop w:val="60"/>
          <w:marBottom w:val="180"/>
          <w:divBdr>
            <w:top w:val="none" w:sz="0" w:space="0" w:color="auto"/>
            <w:left w:val="none" w:sz="0" w:space="0" w:color="auto"/>
            <w:bottom w:val="none" w:sz="0" w:space="0" w:color="auto"/>
            <w:right w:val="none" w:sz="0" w:space="0" w:color="auto"/>
          </w:divBdr>
        </w:div>
      </w:divsChild>
    </w:div>
    <w:div w:id="892621673">
      <w:marLeft w:val="0"/>
      <w:marRight w:val="0"/>
      <w:marTop w:val="100"/>
      <w:marBottom w:val="0"/>
      <w:divBdr>
        <w:top w:val="none" w:sz="0" w:space="0" w:color="auto"/>
        <w:left w:val="none" w:sz="0" w:space="0" w:color="auto"/>
        <w:bottom w:val="none" w:sz="0" w:space="0" w:color="auto"/>
        <w:right w:val="none" w:sz="0" w:space="0" w:color="auto"/>
      </w:divBdr>
    </w:div>
    <w:div w:id="892698309">
      <w:marLeft w:val="0"/>
      <w:marRight w:val="0"/>
      <w:marTop w:val="180"/>
      <w:marBottom w:val="180"/>
      <w:divBdr>
        <w:top w:val="none" w:sz="0" w:space="0" w:color="auto"/>
        <w:left w:val="none" w:sz="0" w:space="0" w:color="auto"/>
        <w:bottom w:val="none" w:sz="0" w:space="0" w:color="auto"/>
        <w:right w:val="none" w:sz="0" w:space="0" w:color="auto"/>
      </w:divBdr>
    </w:div>
    <w:div w:id="893080624">
      <w:marLeft w:val="0"/>
      <w:marRight w:val="0"/>
      <w:marTop w:val="180"/>
      <w:marBottom w:val="180"/>
      <w:divBdr>
        <w:top w:val="none" w:sz="0" w:space="0" w:color="auto"/>
        <w:left w:val="none" w:sz="0" w:space="0" w:color="auto"/>
        <w:bottom w:val="none" w:sz="0" w:space="0" w:color="auto"/>
        <w:right w:val="none" w:sz="0" w:space="0" w:color="auto"/>
      </w:divBdr>
    </w:div>
    <w:div w:id="893082866">
      <w:marLeft w:val="0"/>
      <w:marRight w:val="0"/>
      <w:marTop w:val="180"/>
      <w:marBottom w:val="180"/>
      <w:divBdr>
        <w:top w:val="none" w:sz="0" w:space="0" w:color="auto"/>
        <w:left w:val="none" w:sz="0" w:space="0" w:color="auto"/>
        <w:bottom w:val="none" w:sz="0" w:space="0" w:color="auto"/>
        <w:right w:val="none" w:sz="0" w:space="0" w:color="auto"/>
      </w:divBdr>
    </w:div>
    <w:div w:id="895235803">
      <w:marLeft w:val="0"/>
      <w:marRight w:val="0"/>
      <w:marTop w:val="180"/>
      <w:marBottom w:val="180"/>
      <w:divBdr>
        <w:top w:val="none" w:sz="0" w:space="0" w:color="auto"/>
        <w:left w:val="none" w:sz="0" w:space="0" w:color="auto"/>
        <w:bottom w:val="none" w:sz="0" w:space="0" w:color="auto"/>
        <w:right w:val="none" w:sz="0" w:space="0" w:color="auto"/>
      </w:divBdr>
      <w:divsChild>
        <w:div w:id="945192926">
          <w:marLeft w:val="0"/>
          <w:marRight w:val="0"/>
          <w:marTop w:val="0"/>
          <w:marBottom w:val="0"/>
          <w:divBdr>
            <w:top w:val="none" w:sz="0" w:space="0" w:color="auto"/>
            <w:left w:val="none" w:sz="0" w:space="0" w:color="auto"/>
            <w:bottom w:val="none" w:sz="0" w:space="0" w:color="auto"/>
            <w:right w:val="none" w:sz="0" w:space="0" w:color="auto"/>
          </w:divBdr>
        </w:div>
        <w:div w:id="354617788">
          <w:marLeft w:val="0"/>
          <w:marRight w:val="0"/>
          <w:marTop w:val="0"/>
          <w:marBottom w:val="0"/>
          <w:divBdr>
            <w:top w:val="none" w:sz="0" w:space="0" w:color="auto"/>
            <w:left w:val="none" w:sz="0" w:space="0" w:color="auto"/>
            <w:bottom w:val="none" w:sz="0" w:space="0" w:color="auto"/>
            <w:right w:val="none" w:sz="0" w:space="0" w:color="auto"/>
          </w:divBdr>
        </w:div>
        <w:div w:id="41053226">
          <w:marLeft w:val="0"/>
          <w:marRight w:val="0"/>
          <w:marTop w:val="0"/>
          <w:marBottom w:val="0"/>
          <w:divBdr>
            <w:top w:val="none" w:sz="0" w:space="0" w:color="auto"/>
            <w:left w:val="none" w:sz="0" w:space="0" w:color="auto"/>
            <w:bottom w:val="none" w:sz="0" w:space="0" w:color="auto"/>
            <w:right w:val="none" w:sz="0" w:space="0" w:color="auto"/>
          </w:divBdr>
        </w:div>
        <w:div w:id="935670330">
          <w:marLeft w:val="0"/>
          <w:marRight w:val="0"/>
          <w:marTop w:val="0"/>
          <w:marBottom w:val="0"/>
          <w:divBdr>
            <w:top w:val="none" w:sz="0" w:space="0" w:color="auto"/>
            <w:left w:val="none" w:sz="0" w:space="0" w:color="auto"/>
            <w:bottom w:val="none" w:sz="0" w:space="0" w:color="auto"/>
            <w:right w:val="none" w:sz="0" w:space="0" w:color="auto"/>
          </w:divBdr>
        </w:div>
      </w:divsChild>
    </w:div>
    <w:div w:id="895581534">
      <w:marLeft w:val="0"/>
      <w:marRight w:val="0"/>
      <w:marTop w:val="0"/>
      <w:marBottom w:val="0"/>
      <w:divBdr>
        <w:top w:val="none" w:sz="0" w:space="0" w:color="auto"/>
        <w:left w:val="none" w:sz="0" w:space="0" w:color="auto"/>
        <w:bottom w:val="none" w:sz="0" w:space="0" w:color="auto"/>
        <w:right w:val="none" w:sz="0" w:space="0" w:color="auto"/>
      </w:divBdr>
      <w:divsChild>
        <w:div w:id="1622106457">
          <w:marLeft w:val="0"/>
          <w:marRight w:val="0"/>
          <w:marTop w:val="0"/>
          <w:marBottom w:val="0"/>
          <w:divBdr>
            <w:top w:val="none" w:sz="0" w:space="0" w:color="auto"/>
            <w:left w:val="none" w:sz="0" w:space="0" w:color="auto"/>
            <w:bottom w:val="none" w:sz="0" w:space="0" w:color="auto"/>
            <w:right w:val="none" w:sz="0" w:space="0" w:color="auto"/>
          </w:divBdr>
          <w:divsChild>
            <w:div w:id="4855583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95629012">
      <w:marLeft w:val="0"/>
      <w:marRight w:val="0"/>
      <w:marTop w:val="0"/>
      <w:marBottom w:val="0"/>
      <w:divBdr>
        <w:top w:val="none" w:sz="0" w:space="0" w:color="auto"/>
        <w:left w:val="none" w:sz="0" w:space="0" w:color="auto"/>
        <w:bottom w:val="none" w:sz="0" w:space="0" w:color="auto"/>
        <w:right w:val="none" w:sz="0" w:space="0" w:color="auto"/>
      </w:divBdr>
      <w:divsChild>
        <w:div w:id="1651254790">
          <w:marLeft w:val="0"/>
          <w:marRight w:val="0"/>
          <w:marTop w:val="0"/>
          <w:marBottom w:val="0"/>
          <w:divBdr>
            <w:top w:val="none" w:sz="0" w:space="0" w:color="auto"/>
            <w:left w:val="none" w:sz="0" w:space="0" w:color="auto"/>
            <w:bottom w:val="none" w:sz="0" w:space="0" w:color="auto"/>
            <w:right w:val="none" w:sz="0" w:space="0" w:color="auto"/>
          </w:divBdr>
          <w:divsChild>
            <w:div w:id="20764633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97396051">
      <w:marLeft w:val="0"/>
      <w:marRight w:val="0"/>
      <w:marTop w:val="240"/>
      <w:marBottom w:val="180"/>
      <w:divBdr>
        <w:top w:val="none" w:sz="0" w:space="0" w:color="auto"/>
        <w:left w:val="none" w:sz="0" w:space="0" w:color="auto"/>
        <w:bottom w:val="none" w:sz="0" w:space="0" w:color="auto"/>
        <w:right w:val="none" w:sz="0" w:space="0" w:color="auto"/>
      </w:divBdr>
    </w:div>
    <w:div w:id="897740381">
      <w:marLeft w:val="0"/>
      <w:marRight w:val="0"/>
      <w:marTop w:val="0"/>
      <w:marBottom w:val="0"/>
      <w:divBdr>
        <w:top w:val="none" w:sz="0" w:space="0" w:color="auto"/>
        <w:left w:val="none" w:sz="0" w:space="0" w:color="auto"/>
        <w:bottom w:val="none" w:sz="0" w:space="0" w:color="auto"/>
        <w:right w:val="none" w:sz="0" w:space="0" w:color="auto"/>
      </w:divBdr>
    </w:div>
    <w:div w:id="899823078">
      <w:marLeft w:val="0"/>
      <w:marRight w:val="0"/>
      <w:marTop w:val="180"/>
      <w:marBottom w:val="180"/>
      <w:divBdr>
        <w:top w:val="none" w:sz="0" w:space="0" w:color="auto"/>
        <w:left w:val="none" w:sz="0" w:space="0" w:color="auto"/>
        <w:bottom w:val="none" w:sz="0" w:space="0" w:color="auto"/>
        <w:right w:val="none" w:sz="0" w:space="0" w:color="auto"/>
      </w:divBdr>
    </w:div>
    <w:div w:id="902835135">
      <w:marLeft w:val="0"/>
      <w:marRight w:val="0"/>
      <w:marTop w:val="180"/>
      <w:marBottom w:val="180"/>
      <w:divBdr>
        <w:top w:val="none" w:sz="0" w:space="0" w:color="auto"/>
        <w:left w:val="none" w:sz="0" w:space="0" w:color="auto"/>
        <w:bottom w:val="none" w:sz="0" w:space="0" w:color="auto"/>
        <w:right w:val="none" w:sz="0" w:space="0" w:color="auto"/>
      </w:divBdr>
    </w:div>
    <w:div w:id="904294489">
      <w:marLeft w:val="0"/>
      <w:marRight w:val="0"/>
      <w:marTop w:val="180"/>
      <w:marBottom w:val="180"/>
      <w:divBdr>
        <w:top w:val="none" w:sz="0" w:space="0" w:color="auto"/>
        <w:left w:val="none" w:sz="0" w:space="0" w:color="auto"/>
        <w:bottom w:val="none" w:sz="0" w:space="0" w:color="auto"/>
        <w:right w:val="none" w:sz="0" w:space="0" w:color="auto"/>
      </w:divBdr>
    </w:div>
    <w:div w:id="905452740">
      <w:marLeft w:val="0"/>
      <w:marRight w:val="0"/>
      <w:marTop w:val="60"/>
      <w:marBottom w:val="60"/>
      <w:divBdr>
        <w:top w:val="none" w:sz="0" w:space="0" w:color="auto"/>
        <w:left w:val="none" w:sz="0" w:space="0" w:color="auto"/>
        <w:bottom w:val="none" w:sz="0" w:space="0" w:color="auto"/>
        <w:right w:val="none" w:sz="0" w:space="0" w:color="auto"/>
      </w:divBdr>
    </w:div>
    <w:div w:id="906304842">
      <w:marLeft w:val="0"/>
      <w:marRight w:val="0"/>
      <w:marTop w:val="240"/>
      <w:marBottom w:val="180"/>
      <w:divBdr>
        <w:top w:val="none" w:sz="0" w:space="0" w:color="auto"/>
        <w:left w:val="none" w:sz="0" w:space="0" w:color="auto"/>
        <w:bottom w:val="none" w:sz="0" w:space="0" w:color="auto"/>
        <w:right w:val="none" w:sz="0" w:space="0" w:color="auto"/>
      </w:divBdr>
    </w:div>
    <w:div w:id="907807745">
      <w:marLeft w:val="0"/>
      <w:marRight w:val="0"/>
      <w:marTop w:val="180"/>
      <w:marBottom w:val="180"/>
      <w:divBdr>
        <w:top w:val="none" w:sz="0" w:space="0" w:color="auto"/>
        <w:left w:val="none" w:sz="0" w:space="0" w:color="auto"/>
        <w:bottom w:val="none" w:sz="0" w:space="0" w:color="auto"/>
        <w:right w:val="none" w:sz="0" w:space="0" w:color="auto"/>
      </w:divBdr>
    </w:div>
    <w:div w:id="908538157">
      <w:marLeft w:val="0"/>
      <w:marRight w:val="0"/>
      <w:marTop w:val="0"/>
      <w:marBottom w:val="0"/>
      <w:divBdr>
        <w:top w:val="none" w:sz="0" w:space="0" w:color="auto"/>
        <w:left w:val="none" w:sz="0" w:space="0" w:color="auto"/>
        <w:bottom w:val="none" w:sz="0" w:space="0" w:color="auto"/>
        <w:right w:val="none" w:sz="0" w:space="0" w:color="auto"/>
      </w:divBdr>
      <w:divsChild>
        <w:div w:id="1152716809">
          <w:marLeft w:val="0"/>
          <w:marRight w:val="0"/>
          <w:marTop w:val="0"/>
          <w:marBottom w:val="0"/>
          <w:divBdr>
            <w:top w:val="none" w:sz="0" w:space="0" w:color="auto"/>
            <w:left w:val="none" w:sz="0" w:space="0" w:color="auto"/>
            <w:bottom w:val="none" w:sz="0" w:space="0" w:color="auto"/>
            <w:right w:val="none" w:sz="0" w:space="0" w:color="auto"/>
          </w:divBdr>
          <w:divsChild>
            <w:div w:id="13595034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1545224">
      <w:marLeft w:val="0"/>
      <w:marRight w:val="0"/>
      <w:marTop w:val="0"/>
      <w:marBottom w:val="0"/>
      <w:divBdr>
        <w:top w:val="none" w:sz="0" w:space="0" w:color="auto"/>
        <w:left w:val="none" w:sz="0" w:space="0" w:color="auto"/>
        <w:bottom w:val="none" w:sz="0" w:space="0" w:color="auto"/>
        <w:right w:val="none" w:sz="0" w:space="0" w:color="auto"/>
      </w:divBdr>
    </w:div>
    <w:div w:id="912350166">
      <w:marLeft w:val="0"/>
      <w:marRight w:val="0"/>
      <w:marTop w:val="0"/>
      <w:marBottom w:val="0"/>
      <w:divBdr>
        <w:top w:val="none" w:sz="0" w:space="0" w:color="auto"/>
        <w:left w:val="none" w:sz="0" w:space="0" w:color="auto"/>
        <w:bottom w:val="none" w:sz="0" w:space="0" w:color="auto"/>
        <w:right w:val="none" w:sz="0" w:space="0" w:color="auto"/>
      </w:divBdr>
      <w:divsChild>
        <w:div w:id="1071198730">
          <w:marLeft w:val="0"/>
          <w:marRight w:val="0"/>
          <w:marTop w:val="0"/>
          <w:marBottom w:val="0"/>
          <w:divBdr>
            <w:top w:val="none" w:sz="0" w:space="0" w:color="auto"/>
            <w:left w:val="none" w:sz="0" w:space="0" w:color="auto"/>
            <w:bottom w:val="none" w:sz="0" w:space="0" w:color="auto"/>
            <w:right w:val="none" w:sz="0" w:space="0" w:color="auto"/>
          </w:divBdr>
          <w:divsChild>
            <w:div w:id="11363354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2859130">
      <w:marLeft w:val="0"/>
      <w:marRight w:val="0"/>
      <w:marTop w:val="180"/>
      <w:marBottom w:val="180"/>
      <w:divBdr>
        <w:top w:val="none" w:sz="0" w:space="0" w:color="auto"/>
        <w:left w:val="none" w:sz="0" w:space="0" w:color="auto"/>
        <w:bottom w:val="none" w:sz="0" w:space="0" w:color="auto"/>
        <w:right w:val="none" w:sz="0" w:space="0" w:color="auto"/>
      </w:divBdr>
    </w:div>
    <w:div w:id="914782901">
      <w:marLeft w:val="0"/>
      <w:marRight w:val="0"/>
      <w:marTop w:val="180"/>
      <w:marBottom w:val="180"/>
      <w:divBdr>
        <w:top w:val="none" w:sz="0" w:space="0" w:color="auto"/>
        <w:left w:val="none" w:sz="0" w:space="0" w:color="auto"/>
        <w:bottom w:val="none" w:sz="0" w:space="0" w:color="auto"/>
        <w:right w:val="none" w:sz="0" w:space="0" w:color="auto"/>
      </w:divBdr>
    </w:div>
    <w:div w:id="921334039">
      <w:marLeft w:val="0"/>
      <w:marRight w:val="0"/>
      <w:marTop w:val="100"/>
      <w:marBottom w:val="0"/>
      <w:divBdr>
        <w:top w:val="none" w:sz="0" w:space="0" w:color="auto"/>
        <w:left w:val="none" w:sz="0" w:space="0" w:color="auto"/>
        <w:bottom w:val="none" w:sz="0" w:space="0" w:color="auto"/>
        <w:right w:val="none" w:sz="0" w:space="0" w:color="auto"/>
      </w:divBdr>
      <w:divsChild>
        <w:div w:id="839079365">
          <w:marLeft w:val="0"/>
          <w:marRight w:val="0"/>
          <w:marTop w:val="0"/>
          <w:marBottom w:val="0"/>
          <w:divBdr>
            <w:top w:val="none" w:sz="0" w:space="0" w:color="auto"/>
            <w:left w:val="none" w:sz="0" w:space="0" w:color="auto"/>
            <w:bottom w:val="none" w:sz="0" w:space="0" w:color="auto"/>
            <w:right w:val="none" w:sz="0" w:space="0" w:color="auto"/>
          </w:divBdr>
        </w:div>
        <w:div w:id="395398044">
          <w:marLeft w:val="0"/>
          <w:marRight w:val="0"/>
          <w:marTop w:val="0"/>
          <w:marBottom w:val="0"/>
          <w:divBdr>
            <w:top w:val="none" w:sz="0" w:space="0" w:color="auto"/>
            <w:left w:val="none" w:sz="0" w:space="0" w:color="auto"/>
            <w:bottom w:val="none" w:sz="0" w:space="0" w:color="auto"/>
            <w:right w:val="none" w:sz="0" w:space="0" w:color="auto"/>
          </w:divBdr>
        </w:div>
        <w:div w:id="1249462624">
          <w:marLeft w:val="0"/>
          <w:marRight w:val="0"/>
          <w:marTop w:val="0"/>
          <w:marBottom w:val="0"/>
          <w:divBdr>
            <w:top w:val="none" w:sz="0" w:space="0" w:color="auto"/>
            <w:left w:val="none" w:sz="0" w:space="0" w:color="auto"/>
            <w:bottom w:val="none" w:sz="0" w:space="0" w:color="auto"/>
            <w:right w:val="none" w:sz="0" w:space="0" w:color="auto"/>
          </w:divBdr>
        </w:div>
        <w:div w:id="1951084820">
          <w:marLeft w:val="0"/>
          <w:marRight w:val="0"/>
          <w:marTop w:val="0"/>
          <w:marBottom w:val="0"/>
          <w:divBdr>
            <w:top w:val="none" w:sz="0" w:space="0" w:color="auto"/>
            <w:left w:val="none" w:sz="0" w:space="0" w:color="auto"/>
            <w:bottom w:val="none" w:sz="0" w:space="0" w:color="auto"/>
            <w:right w:val="none" w:sz="0" w:space="0" w:color="auto"/>
          </w:divBdr>
        </w:div>
        <w:div w:id="1534883970">
          <w:marLeft w:val="0"/>
          <w:marRight w:val="0"/>
          <w:marTop w:val="0"/>
          <w:marBottom w:val="0"/>
          <w:divBdr>
            <w:top w:val="none" w:sz="0" w:space="0" w:color="auto"/>
            <w:left w:val="none" w:sz="0" w:space="0" w:color="auto"/>
            <w:bottom w:val="none" w:sz="0" w:space="0" w:color="auto"/>
            <w:right w:val="none" w:sz="0" w:space="0" w:color="auto"/>
          </w:divBdr>
        </w:div>
        <w:div w:id="1143037897">
          <w:marLeft w:val="0"/>
          <w:marRight w:val="0"/>
          <w:marTop w:val="0"/>
          <w:marBottom w:val="0"/>
          <w:divBdr>
            <w:top w:val="none" w:sz="0" w:space="0" w:color="auto"/>
            <w:left w:val="none" w:sz="0" w:space="0" w:color="auto"/>
            <w:bottom w:val="none" w:sz="0" w:space="0" w:color="auto"/>
            <w:right w:val="none" w:sz="0" w:space="0" w:color="auto"/>
          </w:divBdr>
        </w:div>
        <w:div w:id="1193222755">
          <w:marLeft w:val="0"/>
          <w:marRight w:val="0"/>
          <w:marTop w:val="0"/>
          <w:marBottom w:val="0"/>
          <w:divBdr>
            <w:top w:val="none" w:sz="0" w:space="0" w:color="auto"/>
            <w:left w:val="none" w:sz="0" w:space="0" w:color="auto"/>
            <w:bottom w:val="none" w:sz="0" w:space="0" w:color="auto"/>
            <w:right w:val="none" w:sz="0" w:space="0" w:color="auto"/>
          </w:divBdr>
        </w:div>
        <w:div w:id="1235236310">
          <w:marLeft w:val="0"/>
          <w:marRight w:val="0"/>
          <w:marTop w:val="0"/>
          <w:marBottom w:val="0"/>
          <w:divBdr>
            <w:top w:val="none" w:sz="0" w:space="0" w:color="auto"/>
            <w:left w:val="none" w:sz="0" w:space="0" w:color="auto"/>
            <w:bottom w:val="none" w:sz="0" w:space="0" w:color="auto"/>
            <w:right w:val="none" w:sz="0" w:space="0" w:color="auto"/>
          </w:divBdr>
        </w:div>
        <w:div w:id="1808352857">
          <w:marLeft w:val="0"/>
          <w:marRight w:val="0"/>
          <w:marTop w:val="0"/>
          <w:marBottom w:val="0"/>
          <w:divBdr>
            <w:top w:val="none" w:sz="0" w:space="0" w:color="auto"/>
            <w:left w:val="none" w:sz="0" w:space="0" w:color="auto"/>
            <w:bottom w:val="none" w:sz="0" w:space="0" w:color="auto"/>
            <w:right w:val="none" w:sz="0" w:space="0" w:color="auto"/>
          </w:divBdr>
        </w:div>
        <w:div w:id="1350794591">
          <w:marLeft w:val="0"/>
          <w:marRight w:val="0"/>
          <w:marTop w:val="0"/>
          <w:marBottom w:val="0"/>
          <w:divBdr>
            <w:top w:val="none" w:sz="0" w:space="0" w:color="auto"/>
            <w:left w:val="none" w:sz="0" w:space="0" w:color="auto"/>
            <w:bottom w:val="none" w:sz="0" w:space="0" w:color="auto"/>
            <w:right w:val="none" w:sz="0" w:space="0" w:color="auto"/>
          </w:divBdr>
        </w:div>
        <w:div w:id="1588004046">
          <w:marLeft w:val="0"/>
          <w:marRight w:val="0"/>
          <w:marTop w:val="0"/>
          <w:marBottom w:val="0"/>
          <w:divBdr>
            <w:top w:val="none" w:sz="0" w:space="0" w:color="auto"/>
            <w:left w:val="none" w:sz="0" w:space="0" w:color="auto"/>
            <w:bottom w:val="none" w:sz="0" w:space="0" w:color="auto"/>
            <w:right w:val="none" w:sz="0" w:space="0" w:color="auto"/>
          </w:divBdr>
        </w:div>
        <w:div w:id="1697391347">
          <w:marLeft w:val="0"/>
          <w:marRight w:val="0"/>
          <w:marTop w:val="0"/>
          <w:marBottom w:val="0"/>
          <w:divBdr>
            <w:top w:val="none" w:sz="0" w:space="0" w:color="auto"/>
            <w:left w:val="none" w:sz="0" w:space="0" w:color="auto"/>
            <w:bottom w:val="none" w:sz="0" w:space="0" w:color="auto"/>
            <w:right w:val="none" w:sz="0" w:space="0" w:color="auto"/>
          </w:divBdr>
        </w:div>
        <w:div w:id="1504590919">
          <w:marLeft w:val="0"/>
          <w:marRight w:val="0"/>
          <w:marTop w:val="0"/>
          <w:marBottom w:val="0"/>
          <w:divBdr>
            <w:top w:val="none" w:sz="0" w:space="0" w:color="auto"/>
            <w:left w:val="none" w:sz="0" w:space="0" w:color="auto"/>
            <w:bottom w:val="none" w:sz="0" w:space="0" w:color="auto"/>
            <w:right w:val="none" w:sz="0" w:space="0" w:color="auto"/>
          </w:divBdr>
        </w:div>
        <w:div w:id="157424435">
          <w:marLeft w:val="0"/>
          <w:marRight w:val="0"/>
          <w:marTop w:val="0"/>
          <w:marBottom w:val="0"/>
          <w:divBdr>
            <w:top w:val="none" w:sz="0" w:space="0" w:color="auto"/>
            <w:left w:val="none" w:sz="0" w:space="0" w:color="auto"/>
            <w:bottom w:val="none" w:sz="0" w:space="0" w:color="auto"/>
            <w:right w:val="none" w:sz="0" w:space="0" w:color="auto"/>
          </w:divBdr>
        </w:div>
        <w:div w:id="2064210672">
          <w:marLeft w:val="0"/>
          <w:marRight w:val="0"/>
          <w:marTop w:val="0"/>
          <w:marBottom w:val="0"/>
          <w:divBdr>
            <w:top w:val="none" w:sz="0" w:space="0" w:color="auto"/>
            <w:left w:val="none" w:sz="0" w:space="0" w:color="auto"/>
            <w:bottom w:val="none" w:sz="0" w:space="0" w:color="auto"/>
            <w:right w:val="none" w:sz="0" w:space="0" w:color="auto"/>
          </w:divBdr>
        </w:div>
        <w:div w:id="1074159904">
          <w:marLeft w:val="0"/>
          <w:marRight w:val="0"/>
          <w:marTop w:val="0"/>
          <w:marBottom w:val="0"/>
          <w:divBdr>
            <w:top w:val="none" w:sz="0" w:space="0" w:color="auto"/>
            <w:left w:val="none" w:sz="0" w:space="0" w:color="auto"/>
            <w:bottom w:val="none" w:sz="0" w:space="0" w:color="auto"/>
            <w:right w:val="none" w:sz="0" w:space="0" w:color="auto"/>
          </w:divBdr>
        </w:div>
        <w:div w:id="454913433">
          <w:marLeft w:val="0"/>
          <w:marRight w:val="0"/>
          <w:marTop w:val="0"/>
          <w:marBottom w:val="0"/>
          <w:divBdr>
            <w:top w:val="none" w:sz="0" w:space="0" w:color="auto"/>
            <w:left w:val="none" w:sz="0" w:space="0" w:color="auto"/>
            <w:bottom w:val="none" w:sz="0" w:space="0" w:color="auto"/>
            <w:right w:val="none" w:sz="0" w:space="0" w:color="auto"/>
          </w:divBdr>
        </w:div>
      </w:divsChild>
    </w:div>
    <w:div w:id="925116327">
      <w:marLeft w:val="0"/>
      <w:marRight w:val="0"/>
      <w:marTop w:val="180"/>
      <w:marBottom w:val="180"/>
      <w:divBdr>
        <w:top w:val="none" w:sz="0" w:space="0" w:color="auto"/>
        <w:left w:val="none" w:sz="0" w:space="0" w:color="auto"/>
        <w:bottom w:val="none" w:sz="0" w:space="0" w:color="auto"/>
        <w:right w:val="none" w:sz="0" w:space="0" w:color="auto"/>
      </w:divBdr>
    </w:div>
    <w:div w:id="927890568">
      <w:marLeft w:val="0"/>
      <w:marRight w:val="0"/>
      <w:marTop w:val="180"/>
      <w:marBottom w:val="180"/>
      <w:divBdr>
        <w:top w:val="none" w:sz="0" w:space="0" w:color="auto"/>
        <w:left w:val="none" w:sz="0" w:space="0" w:color="auto"/>
        <w:bottom w:val="none" w:sz="0" w:space="0" w:color="auto"/>
        <w:right w:val="none" w:sz="0" w:space="0" w:color="auto"/>
      </w:divBdr>
    </w:div>
    <w:div w:id="928852475">
      <w:marLeft w:val="0"/>
      <w:marRight w:val="0"/>
      <w:marTop w:val="180"/>
      <w:marBottom w:val="180"/>
      <w:divBdr>
        <w:top w:val="none" w:sz="0" w:space="0" w:color="auto"/>
        <w:left w:val="none" w:sz="0" w:space="0" w:color="auto"/>
        <w:bottom w:val="none" w:sz="0" w:space="0" w:color="auto"/>
        <w:right w:val="none" w:sz="0" w:space="0" w:color="auto"/>
      </w:divBdr>
    </w:div>
    <w:div w:id="930889162">
      <w:marLeft w:val="0"/>
      <w:marRight w:val="0"/>
      <w:marTop w:val="60"/>
      <w:marBottom w:val="60"/>
      <w:divBdr>
        <w:top w:val="none" w:sz="0" w:space="0" w:color="auto"/>
        <w:left w:val="none" w:sz="0" w:space="0" w:color="auto"/>
        <w:bottom w:val="none" w:sz="0" w:space="0" w:color="auto"/>
        <w:right w:val="none" w:sz="0" w:space="0" w:color="auto"/>
      </w:divBdr>
    </w:div>
    <w:div w:id="932736737">
      <w:marLeft w:val="0"/>
      <w:marRight w:val="0"/>
      <w:marTop w:val="180"/>
      <w:marBottom w:val="180"/>
      <w:divBdr>
        <w:top w:val="none" w:sz="0" w:space="0" w:color="auto"/>
        <w:left w:val="none" w:sz="0" w:space="0" w:color="auto"/>
        <w:bottom w:val="none" w:sz="0" w:space="0" w:color="auto"/>
        <w:right w:val="none" w:sz="0" w:space="0" w:color="auto"/>
      </w:divBdr>
    </w:div>
    <w:div w:id="934826573">
      <w:marLeft w:val="0"/>
      <w:marRight w:val="0"/>
      <w:marTop w:val="100"/>
      <w:marBottom w:val="0"/>
      <w:divBdr>
        <w:top w:val="none" w:sz="0" w:space="0" w:color="auto"/>
        <w:left w:val="none" w:sz="0" w:space="0" w:color="auto"/>
        <w:bottom w:val="none" w:sz="0" w:space="0" w:color="auto"/>
        <w:right w:val="none" w:sz="0" w:space="0" w:color="auto"/>
      </w:divBdr>
      <w:divsChild>
        <w:div w:id="1166748684">
          <w:marLeft w:val="0"/>
          <w:marRight w:val="0"/>
          <w:marTop w:val="0"/>
          <w:marBottom w:val="0"/>
          <w:divBdr>
            <w:top w:val="none" w:sz="0" w:space="0" w:color="auto"/>
            <w:left w:val="none" w:sz="0" w:space="0" w:color="auto"/>
            <w:bottom w:val="none" w:sz="0" w:space="0" w:color="auto"/>
            <w:right w:val="none" w:sz="0" w:space="0" w:color="auto"/>
          </w:divBdr>
        </w:div>
        <w:div w:id="1622029980">
          <w:marLeft w:val="0"/>
          <w:marRight w:val="0"/>
          <w:marTop w:val="0"/>
          <w:marBottom w:val="0"/>
          <w:divBdr>
            <w:top w:val="none" w:sz="0" w:space="0" w:color="auto"/>
            <w:left w:val="none" w:sz="0" w:space="0" w:color="auto"/>
            <w:bottom w:val="none" w:sz="0" w:space="0" w:color="auto"/>
            <w:right w:val="none" w:sz="0" w:space="0" w:color="auto"/>
          </w:divBdr>
        </w:div>
      </w:divsChild>
    </w:div>
    <w:div w:id="935790340">
      <w:marLeft w:val="0"/>
      <w:marRight w:val="0"/>
      <w:marTop w:val="0"/>
      <w:marBottom w:val="0"/>
      <w:divBdr>
        <w:top w:val="none" w:sz="0" w:space="0" w:color="auto"/>
        <w:left w:val="none" w:sz="0" w:space="0" w:color="auto"/>
        <w:bottom w:val="none" w:sz="0" w:space="0" w:color="auto"/>
        <w:right w:val="none" w:sz="0" w:space="0" w:color="auto"/>
      </w:divBdr>
    </w:div>
    <w:div w:id="936987762">
      <w:marLeft w:val="0"/>
      <w:marRight w:val="0"/>
      <w:marTop w:val="180"/>
      <w:marBottom w:val="180"/>
      <w:divBdr>
        <w:top w:val="none" w:sz="0" w:space="0" w:color="auto"/>
        <w:left w:val="none" w:sz="0" w:space="0" w:color="auto"/>
        <w:bottom w:val="none" w:sz="0" w:space="0" w:color="auto"/>
        <w:right w:val="none" w:sz="0" w:space="0" w:color="auto"/>
      </w:divBdr>
    </w:div>
    <w:div w:id="940449408">
      <w:marLeft w:val="0"/>
      <w:marRight w:val="0"/>
      <w:marTop w:val="0"/>
      <w:marBottom w:val="0"/>
      <w:divBdr>
        <w:top w:val="none" w:sz="0" w:space="0" w:color="auto"/>
        <w:left w:val="none" w:sz="0" w:space="0" w:color="auto"/>
        <w:bottom w:val="none" w:sz="0" w:space="0" w:color="auto"/>
        <w:right w:val="none" w:sz="0" w:space="0" w:color="auto"/>
      </w:divBdr>
    </w:div>
    <w:div w:id="941186601">
      <w:marLeft w:val="0"/>
      <w:marRight w:val="0"/>
      <w:marTop w:val="180"/>
      <w:marBottom w:val="180"/>
      <w:divBdr>
        <w:top w:val="none" w:sz="0" w:space="0" w:color="auto"/>
        <w:left w:val="none" w:sz="0" w:space="0" w:color="auto"/>
        <w:bottom w:val="none" w:sz="0" w:space="0" w:color="auto"/>
        <w:right w:val="none" w:sz="0" w:space="0" w:color="auto"/>
      </w:divBdr>
    </w:div>
    <w:div w:id="941425090">
      <w:marLeft w:val="0"/>
      <w:marRight w:val="0"/>
      <w:marTop w:val="180"/>
      <w:marBottom w:val="180"/>
      <w:divBdr>
        <w:top w:val="none" w:sz="0" w:space="0" w:color="auto"/>
        <w:left w:val="none" w:sz="0" w:space="0" w:color="auto"/>
        <w:bottom w:val="none" w:sz="0" w:space="0" w:color="auto"/>
        <w:right w:val="none" w:sz="0" w:space="0" w:color="auto"/>
      </w:divBdr>
    </w:div>
    <w:div w:id="942420393">
      <w:marLeft w:val="0"/>
      <w:marRight w:val="0"/>
      <w:marTop w:val="0"/>
      <w:marBottom w:val="0"/>
      <w:divBdr>
        <w:top w:val="none" w:sz="0" w:space="0" w:color="auto"/>
        <w:left w:val="none" w:sz="0" w:space="0" w:color="auto"/>
        <w:bottom w:val="none" w:sz="0" w:space="0" w:color="auto"/>
        <w:right w:val="none" w:sz="0" w:space="0" w:color="auto"/>
      </w:divBdr>
      <w:divsChild>
        <w:div w:id="1402405936">
          <w:marLeft w:val="0"/>
          <w:marRight w:val="0"/>
          <w:marTop w:val="60"/>
          <w:marBottom w:val="180"/>
          <w:divBdr>
            <w:top w:val="none" w:sz="0" w:space="0" w:color="auto"/>
            <w:left w:val="none" w:sz="0" w:space="0" w:color="auto"/>
            <w:bottom w:val="none" w:sz="0" w:space="0" w:color="auto"/>
            <w:right w:val="none" w:sz="0" w:space="0" w:color="auto"/>
          </w:divBdr>
        </w:div>
      </w:divsChild>
    </w:div>
    <w:div w:id="944582267">
      <w:marLeft w:val="0"/>
      <w:marRight w:val="0"/>
      <w:marTop w:val="180"/>
      <w:marBottom w:val="60"/>
      <w:divBdr>
        <w:top w:val="none" w:sz="0" w:space="0" w:color="auto"/>
        <w:left w:val="none" w:sz="0" w:space="0" w:color="auto"/>
        <w:bottom w:val="none" w:sz="0" w:space="0" w:color="auto"/>
        <w:right w:val="none" w:sz="0" w:space="0" w:color="auto"/>
      </w:divBdr>
    </w:div>
    <w:div w:id="945769644">
      <w:marLeft w:val="0"/>
      <w:marRight w:val="0"/>
      <w:marTop w:val="180"/>
      <w:marBottom w:val="60"/>
      <w:divBdr>
        <w:top w:val="none" w:sz="0" w:space="0" w:color="auto"/>
        <w:left w:val="none" w:sz="0" w:space="0" w:color="auto"/>
        <w:bottom w:val="none" w:sz="0" w:space="0" w:color="auto"/>
        <w:right w:val="none" w:sz="0" w:space="0" w:color="auto"/>
      </w:divBdr>
    </w:div>
    <w:div w:id="946355399">
      <w:marLeft w:val="0"/>
      <w:marRight w:val="0"/>
      <w:marTop w:val="180"/>
      <w:marBottom w:val="180"/>
      <w:divBdr>
        <w:top w:val="none" w:sz="0" w:space="0" w:color="auto"/>
        <w:left w:val="none" w:sz="0" w:space="0" w:color="auto"/>
        <w:bottom w:val="none" w:sz="0" w:space="0" w:color="auto"/>
        <w:right w:val="none" w:sz="0" w:space="0" w:color="auto"/>
      </w:divBdr>
    </w:div>
    <w:div w:id="947002621">
      <w:marLeft w:val="0"/>
      <w:marRight w:val="0"/>
      <w:marTop w:val="180"/>
      <w:marBottom w:val="180"/>
      <w:divBdr>
        <w:top w:val="none" w:sz="0" w:space="0" w:color="auto"/>
        <w:left w:val="none" w:sz="0" w:space="0" w:color="auto"/>
        <w:bottom w:val="none" w:sz="0" w:space="0" w:color="auto"/>
        <w:right w:val="none" w:sz="0" w:space="0" w:color="auto"/>
      </w:divBdr>
    </w:div>
    <w:div w:id="948203713">
      <w:marLeft w:val="0"/>
      <w:marRight w:val="0"/>
      <w:marTop w:val="180"/>
      <w:marBottom w:val="0"/>
      <w:divBdr>
        <w:top w:val="none" w:sz="0" w:space="0" w:color="auto"/>
        <w:left w:val="none" w:sz="0" w:space="0" w:color="auto"/>
        <w:bottom w:val="none" w:sz="0" w:space="0" w:color="auto"/>
        <w:right w:val="none" w:sz="0" w:space="0" w:color="auto"/>
      </w:divBdr>
    </w:div>
    <w:div w:id="950160575">
      <w:marLeft w:val="0"/>
      <w:marRight w:val="0"/>
      <w:marTop w:val="180"/>
      <w:marBottom w:val="180"/>
      <w:divBdr>
        <w:top w:val="none" w:sz="0" w:space="0" w:color="auto"/>
        <w:left w:val="none" w:sz="0" w:space="0" w:color="auto"/>
        <w:bottom w:val="none" w:sz="0" w:space="0" w:color="auto"/>
        <w:right w:val="none" w:sz="0" w:space="0" w:color="auto"/>
      </w:divBdr>
    </w:div>
    <w:div w:id="950209125">
      <w:marLeft w:val="0"/>
      <w:marRight w:val="0"/>
      <w:marTop w:val="0"/>
      <w:marBottom w:val="0"/>
      <w:divBdr>
        <w:top w:val="none" w:sz="0" w:space="0" w:color="auto"/>
        <w:left w:val="none" w:sz="0" w:space="0" w:color="auto"/>
        <w:bottom w:val="none" w:sz="0" w:space="0" w:color="auto"/>
        <w:right w:val="none" w:sz="0" w:space="0" w:color="auto"/>
      </w:divBdr>
      <w:divsChild>
        <w:div w:id="870806497">
          <w:marLeft w:val="0"/>
          <w:marRight w:val="0"/>
          <w:marTop w:val="0"/>
          <w:marBottom w:val="0"/>
          <w:divBdr>
            <w:top w:val="none" w:sz="0" w:space="0" w:color="auto"/>
            <w:left w:val="none" w:sz="0" w:space="0" w:color="auto"/>
            <w:bottom w:val="none" w:sz="0" w:space="0" w:color="auto"/>
            <w:right w:val="none" w:sz="0" w:space="0" w:color="auto"/>
          </w:divBdr>
          <w:divsChild>
            <w:div w:id="20095992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51518772">
      <w:marLeft w:val="0"/>
      <w:marRight w:val="0"/>
      <w:marTop w:val="180"/>
      <w:marBottom w:val="180"/>
      <w:divBdr>
        <w:top w:val="none" w:sz="0" w:space="0" w:color="auto"/>
        <w:left w:val="none" w:sz="0" w:space="0" w:color="auto"/>
        <w:bottom w:val="none" w:sz="0" w:space="0" w:color="auto"/>
        <w:right w:val="none" w:sz="0" w:space="0" w:color="auto"/>
      </w:divBdr>
    </w:div>
    <w:div w:id="951739395">
      <w:marLeft w:val="0"/>
      <w:marRight w:val="0"/>
      <w:marTop w:val="180"/>
      <w:marBottom w:val="180"/>
      <w:divBdr>
        <w:top w:val="none" w:sz="0" w:space="0" w:color="auto"/>
        <w:left w:val="none" w:sz="0" w:space="0" w:color="auto"/>
        <w:bottom w:val="none" w:sz="0" w:space="0" w:color="auto"/>
        <w:right w:val="none" w:sz="0" w:space="0" w:color="auto"/>
      </w:divBdr>
    </w:div>
    <w:div w:id="951789244">
      <w:marLeft w:val="0"/>
      <w:marRight w:val="0"/>
      <w:marTop w:val="180"/>
      <w:marBottom w:val="180"/>
      <w:divBdr>
        <w:top w:val="none" w:sz="0" w:space="0" w:color="auto"/>
        <w:left w:val="none" w:sz="0" w:space="0" w:color="auto"/>
        <w:bottom w:val="none" w:sz="0" w:space="0" w:color="auto"/>
        <w:right w:val="none" w:sz="0" w:space="0" w:color="auto"/>
      </w:divBdr>
    </w:div>
    <w:div w:id="955254798">
      <w:marLeft w:val="0"/>
      <w:marRight w:val="0"/>
      <w:marTop w:val="180"/>
      <w:marBottom w:val="180"/>
      <w:divBdr>
        <w:top w:val="none" w:sz="0" w:space="0" w:color="auto"/>
        <w:left w:val="none" w:sz="0" w:space="0" w:color="auto"/>
        <w:bottom w:val="none" w:sz="0" w:space="0" w:color="auto"/>
        <w:right w:val="none" w:sz="0" w:space="0" w:color="auto"/>
      </w:divBdr>
      <w:divsChild>
        <w:div w:id="770979260">
          <w:marLeft w:val="0"/>
          <w:marRight w:val="0"/>
          <w:marTop w:val="0"/>
          <w:marBottom w:val="0"/>
          <w:divBdr>
            <w:top w:val="none" w:sz="0" w:space="0" w:color="auto"/>
            <w:left w:val="none" w:sz="0" w:space="0" w:color="auto"/>
            <w:bottom w:val="none" w:sz="0" w:space="0" w:color="auto"/>
            <w:right w:val="none" w:sz="0" w:space="0" w:color="auto"/>
          </w:divBdr>
        </w:div>
        <w:div w:id="327906010">
          <w:marLeft w:val="0"/>
          <w:marRight w:val="0"/>
          <w:marTop w:val="0"/>
          <w:marBottom w:val="0"/>
          <w:divBdr>
            <w:top w:val="none" w:sz="0" w:space="0" w:color="auto"/>
            <w:left w:val="none" w:sz="0" w:space="0" w:color="auto"/>
            <w:bottom w:val="none" w:sz="0" w:space="0" w:color="auto"/>
            <w:right w:val="none" w:sz="0" w:space="0" w:color="auto"/>
          </w:divBdr>
        </w:div>
        <w:div w:id="958071125">
          <w:marLeft w:val="0"/>
          <w:marRight w:val="0"/>
          <w:marTop w:val="0"/>
          <w:marBottom w:val="0"/>
          <w:divBdr>
            <w:top w:val="none" w:sz="0" w:space="0" w:color="auto"/>
            <w:left w:val="none" w:sz="0" w:space="0" w:color="auto"/>
            <w:bottom w:val="none" w:sz="0" w:space="0" w:color="auto"/>
            <w:right w:val="none" w:sz="0" w:space="0" w:color="auto"/>
          </w:divBdr>
        </w:div>
        <w:div w:id="778064636">
          <w:marLeft w:val="0"/>
          <w:marRight w:val="0"/>
          <w:marTop w:val="0"/>
          <w:marBottom w:val="0"/>
          <w:divBdr>
            <w:top w:val="none" w:sz="0" w:space="0" w:color="auto"/>
            <w:left w:val="none" w:sz="0" w:space="0" w:color="auto"/>
            <w:bottom w:val="none" w:sz="0" w:space="0" w:color="auto"/>
            <w:right w:val="none" w:sz="0" w:space="0" w:color="auto"/>
          </w:divBdr>
        </w:div>
      </w:divsChild>
    </w:div>
    <w:div w:id="955602661">
      <w:marLeft w:val="0"/>
      <w:marRight w:val="0"/>
      <w:marTop w:val="60"/>
      <w:marBottom w:val="60"/>
      <w:divBdr>
        <w:top w:val="none" w:sz="0" w:space="0" w:color="auto"/>
        <w:left w:val="none" w:sz="0" w:space="0" w:color="auto"/>
        <w:bottom w:val="none" w:sz="0" w:space="0" w:color="auto"/>
        <w:right w:val="none" w:sz="0" w:space="0" w:color="auto"/>
      </w:divBdr>
      <w:divsChild>
        <w:div w:id="488911436">
          <w:marLeft w:val="0"/>
          <w:marRight w:val="0"/>
          <w:marTop w:val="0"/>
          <w:marBottom w:val="0"/>
          <w:divBdr>
            <w:top w:val="none" w:sz="0" w:space="0" w:color="auto"/>
            <w:left w:val="none" w:sz="0" w:space="0" w:color="auto"/>
            <w:bottom w:val="none" w:sz="0" w:space="0" w:color="auto"/>
            <w:right w:val="none" w:sz="0" w:space="0" w:color="auto"/>
          </w:divBdr>
        </w:div>
      </w:divsChild>
    </w:div>
    <w:div w:id="956329405">
      <w:marLeft w:val="0"/>
      <w:marRight w:val="0"/>
      <w:marTop w:val="180"/>
      <w:marBottom w:val="180"/>
      <w:divBdr>
        <w:top w:val="none" w:sz="0" w:space="0" w:color="auto"/>
        <w:left w:val="none" w:sz="0" w:space="0" w:color="auto"/>
        <w:bottom w:val="none" w:sz="0" w:space="0" w:color="auto"/>
        <w:right w:val="none" w:sz="0" w:space="0" w:color="auto"/>
      </w:divBdr>
    </w:div>
    <w:div w:id="957250838">
      <w:marLeft w:val="0"/>
      <w:marRight w:val="0"/>
      <w:marTop w:val="180"/>
      <w:marBottom w:val="60"/>
      <w:divBdr>
        <w:top w:val="none" w:sz="0" w:space="0" w:color="auto"/>
        <w:left w:val="none" w:sz="0" w:space="0" w:color="auto"/>
        <w:bottom w:val="none" w:sz="0" w:space="0" w:color="auto"/>
        <w:right w:val="none" w:sz="0" w:space="0" w:color="auto"/>
      </w:divBdr>
    </w:div>
    <w:div w:id="961691555">
      <w:marLeft w:val="0"/>
      <w:marRight w:val="0"/>
      <w:marTop w:val="180"/>
      <w:marBottom w:val="180"/>
      <w:divBdr>
        <w:top w:val="none" w:sz="0" w:space="0" w:color="auto"/>
        <w:left w:val="none" w:sz="0" w:space="0" w:color="auto"/>
        <w:bottom w:val="none" w:sz="0" w:space="0" w:color="auto"/>
        <w:right w:val="none" w:sz="0" w:space="0" w:color="auto"/>
      </w:divBdr>
    </w:div>
    <w:div w:id="963920950">
      <w:marLeft w:val="0"/>
      <w:marRight w:val="0"/>
      <w:marTop w:val="60"/>
      <w:marBottom w:val="60"/>
      <w:divBdr>
        <w:top w:val="none" w:sz="0" w:space="0" w:color="auto"/>
        <w:left w:val="none" w:sz="0" w:space="0" w:color="auto"/>
        <w:bottom w:val="none" w:sz="0" w:space="0" w:color="auto"/>
        <w:right w:val="none" w:sz="0" w:space="0" w:color="auto"/>
      </w:divBdr>
    </w:div>
    <w:div w:id="964504344">
      <w:marLeft w:val="0"/>
      <w:marRight w:val="0"/>
      <w:marTop w:val="60"/>
      <w:marBottom w:val="60"/>
      <w:divBdr>
        <w:top w:val="none" w:sz="0" w:space="0" w:color="auto"/>
        <w:left w:val="none" w:sz="0" w:space="0" w:color="auto"/>
        <w:bottom w:val="none" w:sz="0" w:space="0" w:color="auto"/>
        <w:right w:val="none" w:sz="0" w:space="0" w:color="auto"/>
      </w:divBdr>
      <w:divsChild>
        <w:div w:id="1201478695">
          <w:marLeft w:val="0"/>
          <w:marRight w:val="0"/>
          <w:marTop w:val="0"/>
          <w:marBottom w:val="0"/>
          <w:divBdr>
            <w:top w:val="none" w:sz="0" w:space="0" w:color="auto"/>
            <w:left w:val="none" w:sz="0" w:space="0" w:color="auto"/>
            <w:bottom w:val="none" w:sz="0" w:space="0" w:color="auto"/>
            <w:right w:val="none" w:sz="0" w:space="0" w:color="auto"/>
          </w:divBdr>
        </w:div>
        <w:div w:id="346836626">
          <w:marLeft w:val="0"/>
          <w:marRight w:val="0"/>
          <w:marTop w:val="0"/>
          <w:marBottom w:val="0"/>
          <w:divBdr>
            <w:top w:val="none" w:sz="0" w:space="0" w:color="auto"/>
            <w:left w:val="none" w:sz="0" w:space="0" w:color="auto"/>
            <w:bottom w:val="none" w:sz="0" w:space="0" w:color="auto"/>
            <w:right w:val="none" w:sz="0" w:space="0" w:color="auto"/>
          </w:divBdr>
        </w:div>
        <w:div w:id="1428039399">
          <w:marLeft w:val="0"/>
          <w:marRight w:val="0"/>
          <w:marTop w:val="0"/>
          <w:marBottom w:val="0"/>
          <w:divBdr>
            <w:top w:val="none" w:sz="0" w:space="0" w:color="auto"/>
            <w:left w:val="none" w:sz="0" w:space="0" w:color="auto"/>
            <w:bottom w:val="none" w:sz="0" w:space="0" w:color="auto"/>
            <w:right w:val="none" w:sz="0" w:space="0" w:color="auto"/>
          </w:divBdr>
        </w:div>
        <w:div w:id="29385261">
          <w:marLeft w:val="0"/>
          <w:marRight w:val="0"/>
          <w:marTop w:val="0"/>
          <w:marBottom w:val="0"/>
          <w:divBdr>
            <w:top w:val="none" w:sz="0" w:space="0" w:color="auto"/>
            <w:left w:val="none" w:sz="0" w:space="0" w:color="auto"/>
            <w:bottom w:val="none" w:sz="0" w:space="0" w:color="auto"/>
            <w:right w:val="none" w:sz="0" w:space="0" w:color="auto"/>
          </w:divBdr>
        </w:div>
      </w:divsChild>
    </w:div>
    <w:div w:id="965046594">
      <w:marLeft w:val="0"/>
      <w:marRight w:val="0"/>
      <w:marTop w:val="180"/>
      <w:marBottom w:val="180"/>
      <w:divBdr>
        <w:top w:val="none" w:sz="0" w:space="0" w:color="auto"/>
        <w:left w:val="none" w:sz="0" w:space="0" w:color="auto"/>
        <w:bottom w:val="none" w:sz="0" w:space="0" w:color="auto"/>
        <w:right w:val="none" w:sz="0" w:space="0" w:color="auto"/>
      </w:divBdr>
    </w:div>
    <w:div w:id="967973457">
      <w:marLeft w:val="0"/>
      <w:marRight w:val="0"/>
      <w:marTop w:val="60"/>
      <w:marBottom w:val="60"/>
      <w:divBdr>
        <w:top w:val="none" w:sz="0" w:space="0" w:color="auto"/>
        <w:left w:val="none" w:sz="0" w:space="0" w:color="auto"/>
        <w:bottom w:val="none" w:sz="0" w:space="0" w:color="auto"/>
        <w:right w:val="none" w:sz="0" w:space="0" w:color="auto"/>
      </w:divBdr>
    </w:div>
    <w:div w:id="968979242">
      <w:marLeft w:val="0"/>
      <w:marRight w:val="0"/>
      <w:marTop w:val="60"/>
      <w:marBottom w:val="60"/>
      <w:divBdr>
        <w:top w:val="none" w:sz="0" w:space="0" w:color="auto"/>
        <w:left w:val="none" w:sz="0" w:space="0" w:color="auto"/>
        <w:bottom w:val="none" w:sz="0" w:space="0" w:color="auto"/>
        <w:right w:val="none" w:sz="0" w:space="0" w:color="auto"/>
      </w:divBdr>
    </w:div>
    <w:div w:id="970205279">
      <w:marLeft w:val="0"/>
      <w:marRight w:val="0"/>
      <w:marTop w:val="180"/>
      <w:marBottom w:val="0"/>
      <w:divBdr>
        <w:top w:val="none" w:sz="0" w:space="0" w:color="auto"/>
        <w:left w:val="none" w:sz="0" w:space="0" w:color="auto"/>
        <w:bottom w:val="none" w:sz="0" w:space="0" w:color="auto"/>
        <w:right w:val="none" w:sz="0" w:space="0" w:color="auto"/>
      </w:divBdr>
    </w:div>
    <w:div w:id="972102147">
      <w:marLeft w:val="0"/>
      <w:marRight w:val="0"/>
      <w:marTop w:val="0"/>
      <w:marBottom w:val="15"/>
      <w:divBdr>
        <w:top w:val="none" w:sz="0" w:space="0" w:color="auto"/>
        <w:left w:val="none" w:sz="0" w:space="0" w:color="auto"/>
        <w:bottom w:val="none" w:sz="0" w:space="0" w:color="auto"/>
        <w:right w:val="none" w:sz="0" w:space="0" w:color="auto"/>
      </w:divBdr>
    </w:div>
    <w:div w:id="972829598">
      <w:marLeft w:val="0"/>
      <w:marRight w:val="0"/>
      <w:marTop w:val="180"/>
      <w:marBottom w:val="180"/>
      <w:divBdr>
        <w:top w:val="none" w:sz="0" w:space="0" w:color="auto"/>
        <w:left w:val="none" w:sz="0" w:space="0" w:color="auto"/>
        <w:bottom w:val="none" w:sz="0" w:space="0" w:color="auto"/>
        <w:right w:val="none" w:sz="0" w:space="0" w:color="auto"/>
      </w:divBdr>
    </w:div>
    <w:div w:id="974414095">
      <w:marLeft w:val="0"/>
      <w:marRight w:val="0"/>
      <w:marTop w:val="0"/>
      <w:marBottom w:val="0"/>
      <w:divBdr>
        <w:top w:val="none" w:sz="0" w:space="0" w:color="auto"/>
        <w:left w:val="none" w:sz="0" w:space="0" w:color="auto"/>
        <w:bottom w:val="none" w:sz="0" w:space="0" w:color="auto"/>
        <w:right w:val="none" w:sz="0" w:space="0" w:color="auto"/>
      </w:divBdr>
      <w:divsChild>
        <w:div w:id="501697676">
          <w:marLeft w:val="0"/>
          <w:marRight w:val="0"/>
          <w:marTop w:val="60"/>
          <w:marBottom w:val="180"/>
          <w:divBdr>
            <w:top w:val="none" w:sz="0" w:space="0" w:color="auto"/>
            <w:left w:val="none" w:sz="0" w:space="0" w:color="auto"/>
            <w:bottom w:val="none" w:sz="0" w:space="0" w:color="auto"/>
            <w:right w:val="none" w:sz="0" w:space="0" w:color="auto"/>
          </w:divBdr>
        </w:div>
      </w:divsChild>
    </w:div>
    <w:div w:id="975180641">
      <w:marLeft w:val="0"/>
      <w:marRight w:val="0"/>
      <w:marTop w:val="0"/>
      <w:marBottom w:val="0"/>
      <w:divBdr>
        <w:top w:val="none" w:sz="0" w:space="0" w:color="auto"/>
        <w:left w:val="none" w:sz="0" w:space="0" w:color="auto"/>
        <w:bottom w:val="none" w:sz="0" w:space="0" w:color="auto"/>
        <w:right w:val="none" w:sz="0" w:space="0" w:color="auto"/>
      </w:divBdr>
      <w:divsChild>
        <w:div w:id="1984385111">
          <w:marLeft w:val="0"/>
          <w:marRight w:val="0"/>
          <w:marTop w:val="0"/>
          <w:marBottom w:val="0"/>
          <w:divBdr>
            <w:top w:val="none" w:sz="0" w:space="0" w:color="auto"/>
            <w:left w:val="none" w:sz="0" w:space="0" w:color="auto"/>
            <w:bottom w:val="none" w:sz="0" w:space="0" w:color="auto"/>
            <w:right w:val="none" w:sz="0" w:space="0" w:color="auto"/>
          </w:divBdr>
          <w:divsChild>
            <w:div w:id="1285936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7763513">
      <w:marLeft w:val="0"/>
      <w:marRight w:val="0"/>
      <w:marTop w:val="180"/>
      <w:marBottom w:val="180"/>
      <w:divBdr>
        <w:top w:val="none" w:sz="0" w:space="0" w:color="auto"/>
        <w:left w:val="none" w:sz="0" w:space="0" w:color="auto"/>
        <w:bottom w:val="none" w:sz="0" w:space="0" w:color="auto"/>
        <w:right w:val="none" w:sz="0" w:space="0" w:color="auto"/>
      </w:divBdr>
    </w:div>
    <w:div w:id="977996132">
      <w:marLeft w:val="0"/>
      <w:marRight w:val="0"/>
      <w:marTop w:val="60"/>
      <w:marBottom w:val="60"/>
      <w:divBdr>
        <w:top w:val="none" w:sz="0" w:space="0" w:color="auto"/>
        <w:left w:val="none" w:sz="0" w:space="0" w:color="auto"/>
        <w:bottom w:val="none" w:sz="0" w:space="0" w:color="auto"/>
        <w:right w:val="none" w:sz="0" w:space="0" w:color="auto"/>
      </w:divBdr>
    </w:div>
    <w:div w:id="978535905">
      <w:marLeft w:val="0"/>
      <w:marRight w:val="0"/>
      <w:marTop w:val="180"/>
      <w:marBottom w:val="180"/>
      <w:divBdr>
        <w:top w:val="none" w:sz="0" w:space="0" w:color="auto"/>
        <w:left w:val="none" w:sz="0" w:space="0" w:color="auto"/>
        <w:bottom w:val="none" w:sz="0" w:space="0" w:color="auto"/>
        <w:right w:val="none" w:sz="0" w:space="0" w:color="auto"/>
      </w:divBdr>
    </w:div>
    <w:div w:id="981497212">
      <w:marLeft w:val="0"/>
      <w:marRight w:val="0"/>
      <w:marTop w:val="0"/>
      <w:marBottom w:val="0"/>
      <w:divBdr>
        <w:top w:val="none" w:sz="0" w:space="0" w:color="auto"/>
        <w:left w:val="none" w:sz="0" w:space="0" w:color="auto"/>
        <w:bottom w:val="none" w:sz="0" w:space="0" w:color="auto"/>
        <w:right w:val="none" w:sz="0" w:space="0" w:color="auto"/>
      </w:divBdr>
    </w:div>
    <w:div w:id="982469982">
      <w:marLeft w:val="0"/>
      <w:marRight w:val="0"/>
      <w:marTop w:val="180"/>
      <w:marBottom w:val="180"/>
      <w:divBdr>
        <w:top w:val="none" w:sz="0" w:space="0" w:color="auto"/>
        <w:left w:val="none" w:sz="0" w:space="0" w:color="auto"/>
        <w:bottom w:val="none" w:sz="0" w:space="0" w:color="auto"/>
        <w:right w:val="none" w:sz="0" w:space="0" w:color="auto"/>
      </w:divBdr>
    </w:div>
    <w:div w:id="983967006">
      <w:marLeft w:val="0"/>
      <w:marRight w:val="0"/>
      <w:marTop w:val="180"/>
      <w:marBottom w:val="60"/>
      <w:divBdr>
        <w:top w:val="none" w:sz="0" w:space="0" w:color="auto"/>
        <w:left w:val="none" w:sz="0" w:space="0" w:color="auto"/>
        <w:bottom w:val="none" w:sz="0" w:space="0" w:color="auto"/>
        <w:right w:val="none" w:sz="0" w:space="0" w:color="auto"/>
      </w:divBdr>
    </w:div>
    <w:div w:id="986515774">
      <w:marLeft w:val="0"/>
      <w:marRight w:val="0"/>
      <w:marTop w:val="180"/>
      <w:marBottom w:val="180"/>
      <w:divBdr>
        <w:top w:val="none" w:sz="0" w:space="0" w:color="auto"/>
        <w:left w:val="none" w:sz="0" w:space="0" w:color="auto"/>
        <w:bottom w:val="none" w:sz="0" w:space="0" w:color="auto"/>
        <w:right w:val="none" w:sz="0" w:space="0" w:color="auto"/>
      </w:divBdr>
    </w:div>
    <w:div w:id="987438187">
      <w:marLeft w:val="0"/>
      <w:marRight w:val="0"/>
      <w:marTop w:val="60"/>
      <w:marBottom w:val="60"/>
      <w:divBdr>
        <w:top w:val="none" w:sz="0" w:space="0" w:color="auto"/>
        <w:left w:val="none" w:sz="0" w:space="0" w:color="auto"/>
        <w:bottom w:val="none" w:sz="0" w:space="0" w:color="auto"/>
        <w:right w:val="none" w:sz="0" w:space="0" w:color="auto"/>
      </w:divBdr>
    </w:div>
    <w:div w:id="987511123">
      <w:marLeft w:val="0"/>
      <w:marRight w:val="0"/>
      <w:marTop w:val="180"/>
      <w:marBottom w:val="180"/>
      <w:divBdr>
        <w:top w:val="none" w:sz="0" w:space="0" w:color="auto"/>
        <w:left w:val="none" w:sz="0" w:space="0" w:color="auto"/>
        <w:bottom w:val="none" w:sz="0" w:space="0" w:color="auto"/>
        <w:right w:val="none" w:sz="0" w:space="0" w:color="auto"/>
      </w:divBdr>
    </w:div>
    <w:div w:id="988705363">
      <w:marLeft w:val="0"/>
      <w:marRight w:val="0"/>
      <w:marTop w:val="0"/>
      <w:marBottom w:val="0"/>
      <w:divBdr>
        <w:top w:val="none" w:sz="0" w:space="0" w:color="auto"/>
        <w:left w:val="none" w:sz="0" w:space="0" w:color="auto"/>
        <w:bottom w:val="none" w:sz="0" w:space="0" w:color="auto"/>
        <w:right w:val="none" w:sz="0" w:space="0" w:color="auto"/>
      </w:divBdr>
      <w:divsChild>
        <w:div w:id="1091778092">
          <w:marLeft w:val="0"/>
          <w:marRight w:val="0"/>
          <w:marTop w:val="0"/>
          <w:marBottom w:val="0"/>
          <w:divBdr>
            <w:top w:val="none" w:sz="0" w:space="0" w:color="auto"/>
            <w:left w:val="none" w:sz="0" w:space="0" w:color="auto"/>
            <w:bottom w:val="none" w:sz="0" w:space="0" w:color="auto"/>
            <w:right w:val="none" w:sz="0" w:space="0" w:color="auto"/>
          </w:divBdr>
          <w:divsChild>
            <w:div w:id="4398837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9678919">
      <w:marLeft w:val="0"/>
      <w:marRight w:val="0"/>
      <w:marTop w:val="60"/>
      <w:marBottom w:val="60"/>
      <w:divBdr>
        <w:top w:val="none" w:sz="0" w:space="0" w:color="auto"/>
        <w:left w:val="none" w:sz="0" w:space="0" w:color="auto"/>
        <w:bottom w:val="none" w:sz="0" w:space="0" w:color="auto"/>
        <w:right w:val="none" w:sz="0" w:space="0" w:color="auto"/>
      </w:divBdr>
    </w:div>
    <w:div w:id="989753278">
      <w:marLeft w:val="0"/>
      <w:marRight w:val="0"/>
      <w:marTop w:val="180"/>
      <w:marBottom w:val="180"/>
      <w:divBdr>
        <w:top w:val="none" w:sz="0" w:space="0" w:color="auto"/>
        <w:left w:val="none" w:sz="0" w:space="0" w:color="auto"/>
        <w:bottom w:val="none" w:sz="0" w:space="0" w:color="auto"/>
        <w:right w:val="none" w:sz="0" w:space="0" w:color="auto"/>
      </w:divBdr>
    </w:div>
    <w:div w:id="991372392">
      <w:marLeft w:val="0"/>
      <w:marRight w:val="0"/>
      <w:marTop w:val="180"/>
      <w:marBottom w:val="180"/>
      <w:divBdr>
        <w:top w:val="none" w:sz="0" w:space="0" w:color="auto"/>
        <w:left w:val="none" w:sz="0" w:space="0" w:color="auto"/>
        <w:bottom w:val="none" w:sz="0" w:space="0" w:color="auto"/>
        <w:right w:val="none" w:sz="0" w:space="0" w:color="auto"/>
      </w:divBdr>
    </w:div>
    <w:div w:id="992565548">
      <w:marLeft w:val="0"/>
      <w:marRight w:val="0"/>
      <w:marTop w:val="0"/>
      <w:marBottom w:val="0"/>
      <w:divBdr>
        <w:top w:val="none" w:sz="0" w:space="0" w:color="auto"/>
        <w:left w:val="none" w:sz="0" w:space="0" w:color="auto"/>
        <w:bottom w:val="none" w:sz="0" w:space="0" w:color="auto"/>
        <w:right w:val="none" w:sz="0" w:space="0" w:color="auto"/>
      </w:divBdr>
      <w:divsChild>
        <w:div w:id="1982225946">
          <w:marLeft w:val="0"/>
          <w:marRight w:val="0"/>
          <w:marTop w:val="0"/>
          <w:marBottom w:val="0"/>
          <w:divBdr>
            <w:top w:val="none" w:sz="0" w:space="0" w:color="auto"/>
            <w:left w:val="none" w:sz="0" w:space="0" w:color="auto"/>
            <w:bottom w:val="none" w:sz="0" w:space="0" w:color="auto"/>
            <w:right w:val="none" w:sz="0" w:space="0" w:color="auto"/>
          </w:divBdr>
          <w:divsChild>
            <w:div w:id="9652329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3073007">
      <w:marLeft w:val="0"/>
      <w:marRight w:val="0"/>
      <w:marTop w:val="60"/>
      <w:marBottom w:val="60"/>
      <w:divBdr>
        <w:top w:val="none" w:sz="0" w:space="0" w:color="auto"/>
        <w:left w:val="none" w:sz="0" w:space="0" w:color="auto"/>
        <w:bottom w:val="none" w:sz="0" w:space="0" w:color="auto"/>
        <w:right w:val="none" w:sz="0" w:space="0" w:color="auto"/>
      </w:divBdr>
    </w:div>
    <w:div w:id="995458696">
      <w:marLeft w:val="0"/>
      <w:marRight w:val="0"/>
      <w:marTop w:val="180"/>
      <w:marBottom w:val="60"/>
      <w:divBdr>
        <w:top w:val="none" w:sz="0" w:space="0" w:color="auto"/>
        <w:left w:val="none" w:sz="0" w:space="0" w:color="auto"/>
        <w:bottom w:val="none" w:sz="0" w:space="0" w:color="auto"/>
        <w:right w:val="none" w:sz="0" w:space="0" w:color="auto"/>
      </w:divBdr>
    </w:div>
    <w:div w:id="996034812">
      <w:marLeft w:val="0"/>
      <w:marRight w:val="0"/>
      <w:marTop w:val="60"/>
      <w:marBottom w:val="60"/>
      <w:divBdr>
        <w:top w:val="none" w:sz="0" w:space="0" w:color="auto"/>
        <w:left w:val="none" w:sz="0" w:space="0" w:color="auto"/>
        <w:bottom w:val="none" w:sz="0" w:space="0" w:color="auto"/>
        <w:right w:val="none" w:sz="0" w:space="0" w:color="auto"/>
      </w:divBdr>
    </w:div>
    <w:div w:id="996498625">
      <w:marLeft w:val="0"/>
      <w:marRight w:val="0"/>
      <w:marTop w:val="0"/>
      <w:marBottom w:val="0"/>
      <w:divBdr>
        <w:top w:val="none" w:sz="0" w:space="0" w:color="auto"/>
        <w:left w:val="none" w:sz="0" w:space="0" w:color="auto"/>
        <w:bottom w:val="none" w:sz="0" w:space="0" w:color="auto"/>
        <w:right w:val="none" w:sz="0" w:space="0" w:color="auto"/>
      </w:divBdr>
      <w:divsChild>
        <w:div w:id="680014446">
          <w:marLeft w:val="0"/>
          <w:marRight w:val="0"/>
          <w:marTop w:val="0"/>
          <w:marBottom w:val="0"/>
          <w:divBdr>
            <w:top w:val="none" w:sz="0" w:space="0" w:color="auto"/>
            <w:left w:val="none" w:sz="0" w:space="0" w:color="auto"/>
            <w:bottom w:val="none" w:sz="0" w:space="0" w:color="auto"/>
            <w:right w:val="none" w:sz="0" w:space="0" w:color="auto"/>
          </w:divBdr>
          <w:divsChild>
            <w:div w:id="18455140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8339763">
      <w:marLeft w:val="0"/>
      <w:marRight w:val="0"/>
      <w:marTop w:val="180"/>
      <w:marBottom w:val="180"/>
      <w:divBdr>
        <w:top w:val="none" w:sz="0" w:space="0" w:color="auto"/>
        <w:left w:val="none" w:sz="0" w:space="0" w:color="auto"/>
        <w:bottom w:val="none" w:sz="0" w:space="0" w:color="auto"/>
        <w:right w:val="none" w:sz="0" w:space="0" w:color="auto"/>
      </w:divBdr>
    </w:div>
    <w:div w:id="998652411">
      <w:marLeft w:val="0"/>
      <w:marRight w:val="0"/>
      <w:marTop w:val="180"/>
      <w:marBottom w:val="180"/>
      <w:divBdr>
        <w:top w:val="none" w:sz="0" w:space="0" w:color="auto"/>
        <w:left w:val="none" w:sz="0" w:space="0" w:color="auto"/>
        <w:bottom w:val="none" w:sz="0" w:space="0" w:color="auto"/>
        <w:right w:val="none" w:sz="0" w:space="0" w:color="auto"/>
      </w:divBdr>
    </w:div>
    <w:div w:id="999120718">
      <w:marLeft w:val="0"/>
      <w:marRight w:val="0"/>
      <w:marTop w:val="180"/>
      <w:marBottom w:val="180"/>
      <w:divBdr>
        <w:top w:val="none" w:sz="0" w:space="0" w:color="auto"/>
        <w:left w:val="none" w:sz="0" w:space="0" w:color="auto"/>
        <w:bottom w:val="none" w:sz="0" w:space="0" w:color="auto"/>
        <w:right w:val="none" w:sz="0" w:space="0" w:color="auto"/>
      </w:divBdr>
      <w:divsChild>
        <w:div w:id="2040470647">
          <w:marLeft w:val="0"/>
          <w:marRight w:val="0"/>
          <w:marTop w:val="180"/>
          <w:marBottom w:val="180"/>
          <w:divBdr>
            <w:top w:val="none" w:sz="0" w:space="0" w:color="auto"/>
            <w:left w:val="none" w:sz="0" w:space="0" w:color="auto"/>
            <w:bottom w:val="none" w:sz="0" w:space="0" w:color="auto"/>
            <w:right w:val="none" w:sz="0" w:space="0" w:color="auto"/>
          </w:divBdr>
        </w:div>
        <w:div w:id="145098075">
          <w:marLeft w:val="0"/>
          <w:marRight w:val="0"/>
          <w:marTop w:val="180"/>
          <w:marBottom w:val="180"/>
          <w:divBdr>
            <w:top w:val="none" w:sz="0" w:space="0" w:color="auto"/>
            <w:left w:val="none" w:sz="0" w:space="0" w:color="auto"/>
            <w:bottom w:val="none" w:sz="0" w:space="0" w:color="auto"/>
            <w:right w:val="none" w:sz="0" w:space="0" w:color="auto"/>
          </w:divBdr>
        </w:div>
        <w:div w:id="212080023">
          <w:marLeft w:val="0"/>
          <w:marRight w:val="0"/>
          <w:marTop w:val="180"/>
          <w:marBottom w:val="180"/>
          <w:divBdr>
            <w:top w:val="none" w:sz="0" w:space="0" w:color="auto"/>
            <w:left w:val="none" w:sz="0" w:space="0" w:color="auto"/>
            <w:bottom w:val="none" w:sz="0" w:space="0" w:color="auto"/>
            <w:right w:val="none" w:sz="0" w:space="0" w:color="auto"/>
          </w:divBdr>
        </w:div>
        <w:div w:id="1364791998">
          <w:marLeft w:val="0"/>
          <w:marRight w:val="0"/>
          <w:marTop w:val="180"/>
          <w:marBottom w:val="180"/>
          <w:divBdr>
            <w:top w:val="none" w:sz="0" w:space="0" w:color="auto"/>
            <w:left w:val="none" w:sz="0" w:space="0" w:color="auto"/>
            <w:bottom w:val="none" w:sz="0" w:space="0" w:color="auto"/>
            <w:right w:val="none" w:sz="0" w:space="0" w:color="auto"/>
          </w:divBdr>
        </w:div>
        <w:div w:id="489948031">
          <w:marLeft w:val="0"/>
          <w:marRight w:val="0"/>
          <w:marTop w:val="180"/>
          <w:marBottom w:val="180"/>
          <w:divBdr>
            <w:top w:val="none" w:sz="0" w:space="0" w:color="auto"/>
            <w:left w:val="none" w:sz="0" w:space="0" w:color="auto"/>
            <w:bottom w:val="none" w:sz="0" w:space="0" w:color="auto"/>
            <w:right w:val="none" w:sz="0" w:space="0" w:color="auto"/>
          </w:divBdr>
        </w:div>
        <w:div w:id="870068332">
          <w:marLeft w:val="0"/>
          <w:marRight w:val="0"/>
          <w:marTop w:val="0"/>
          <w:marBottom w:val="0"/>
          <w:divBdr>
            <w:top w:val="none" w:sz="0" w:space="0" w:color="auto"/>
            <w:left w:val="none" w:sz="0" w:space="0" w:color="auto"/>
            <w:bottom w:val="none" w:sz="0" w:space="0" w:color="auto"/>
            <w:right w:val="none" w:sz="0" w:space="0" w:color="auto"/>
          </w:divBdr>
        </w:div>
        <w:div w:id="794635902">
          <w:marLeft w:val="0"/>
          <w:marRight w:val="0"/>
          <w:marTop w:val="0"/>
          <w:marBottom w:val="0"/>
          <w:divBdr>
            <w:top w:val="none" w:sz="0" w:space="0" w:color="auto"/>
            <w:left w:val="none" w:sz="0" w:space="0" w:color="auto"/>
            <w:bottom w:val="none" w:sz="0" w:space="0" w:color="auto"/>
            <w:right w:val="none" w:sz="0" w:space="0" w:color="auto"/>
          </w:divBdr>
        </w:div>
      </w:divsChild>
    </w:div>
    <w:div w:id="1002051180">
      <w:marLeft w:val="0"/>
      <w:marRight w:val="0"/>
      <w:marTop w:val="60"/>
      <w:marBottom w:val="60"/>
      <w:divBdr>
        <w:top w:val="none" w:sz="0" w:space="0" w:color="auto"/>
        <w:left w:val="none" w:sz="0" w:space="0" w:color="auto"/>
        <w:bottom w:val="none" w:sz="0" w:space="0" w:color="auto"/>
        <w:right w:val="none" w:sz="0" w:space="0" w:color="auto"/>
      </w:divBdr>
    </w:div>
    <w:div w:id="1002776197">
      <w:marLeft w:val="0"/>
      <w:marRight w:val="0"/>
      <w:marTop w:val="100"/>
      <w:marBottom w:val="0"/>
      <w:divBdr>
        <w:top w:val="none" w:sz="0" w:space="0" w:color="auto"/>
        <w:left w:val="none" w:sz="0" w:space="0" w:color="auto"/>
        <w:bottom w:val="none" w:sz="0" w:space="0" w:color="auto"/>
        <w:right w:val="none" w:sz="0" w:space="0" w:color="auto"/>
      </w:divBdr>
      <w:divsChild>
        <w:div w:id="1103919454">
          <w:marLeft w:val="0"/>
          <w:marRight w:val="0"/>
          <w:marTop w:val="0"/>
          <w:marBottom w:val="0"/>
          <w:divBdr>
            <w:top w:val="none" w:sz="0" w:space="0" w:color="auto"/>
            <w:left w:val="none" w:sz="0" w:space="0" w:color="auto"/>
            <w:bottom w:val="none" w:sz="0" w:space="0" w:color="auto"/>
            <w:right w:val="none" w:sz="0" w:space="0" w:color="auto"/>
          </w:divBdr>
        </w:div>
      </w:divsChild>
    </w:div>
    <w:div w:id="1004019798">
      <w:marLeft w:val="0"/>
      <w:marRight w:val="0"/>
      <w:marTop w:val="0"/>
      <w:marBottom w:val="0"/>
      <w:divBdr>
        <w:top w:val="none" w:sz="0" w:space="0" w:color="auto"/>
        <w:left w:val="none" w:sz="0" w:space="0" w:color="auto"/>
        <w:bottom w:val="none" w:sz="0" w:space="0" w:color="auto"/>
        <w:right w:val="none" w:sz="0" w:space="0" w:color="auto"/>
      </w:divBdr>
      <w:divsChild>
        <w:div w:id="1759672910">
          <w:marLeft w:val="0"/>
          <w:marRight w:val="0"/>
          <w:marTop w:val="60"/>
          <w:marBottom w:val="180"/>
          <w:divBdr>
            <w:top w:val="none" w:sz="0" w:space="0" w:color="auto"/>
            <w:left w:val="none" w:sz="0" w:space="0" w:color="auto"/>
            <w:bottom w:val="none" w:sz="0" w:space="0" w:color="auto"/>
            <w:right w:val="none" w:sz="0" w:space="0" w:color="auto"/>
          </w:divBdr>
        </w:div>
      </w:divsChild>
    </w:div>
    <w:div w:id="1004090972">
      <w:marLeft w:val="0"/>
      <w:marRight w:val="0"/>
      <w:marTop w:val="0"/>
      <w:marBottom w:val="0"/>
      <w:divBdr>
        <w:top w:val="none" w:sz="0" w:space="0" w:color="auto"/>
        <w:left w:val="none" w:sz="0" w:space="0" w:color="auto"/>
        <w:bottom w:val="none" w:sz="0" w:space="0" w:color="auto"/>
        <w:right w:val="none" w:sz="0" w:space="0" w:color="auto"/>
      </w:divBdr>
    </w:div>
    <w:div w:id="1005012068">
      <w:marLeft w:val="0"/>
      <w:marRight w:val="0"/>
      <w:marTop w:val="180"/>
      <w:marBottom w:val="180"/>
      <w:divBdr>
        <w:top w:val="none" w:sz="0" w:space="0" w:color="auto"/>
        <w:left w:val="none" w:sz="0" w:space="0" w:color="auto"/>
        <w:bottom w:val="none" w:sz="0" w:space="0" w:color="auto"/>
        <w:right w:val="none" w:sz="0" w:space="0" w:color="auto"/>
      </w:divBdr>
    </w:div>
    <w:div w:id="1010136589">
      <w:marLeft w:val="0"/>
      <w:marRight w:val="0"/>
      <w:marTop w:val="180"/>
      <w:marBottom w:val="180"/>
      <w:divBdr>
        <w:top w:val="none" w:sz="0" w:space="0" w:color="auto"/>
        <w:left w:val="none" w:sz="0" w:space="0" w:color="auto"/>
        <w:bottom w:val="none" w:sz="0" w:space="0" w:color="auto"/>
        <w:right w:val="none" w:sz="0" w:space="0" w:color="auto"/>
      </w:divBdr>
      <w:divsChild>
        <w:div w:id="1604680730">
          <w:marLeft w:val="0"/>
          <w:marRight w:val="0"/>
          <w:marTop w:val="0"/>
          <w:marBottom w:val="0"/>
          <w:divBdr>
            <w:top w:val="none" w:sz="0" w:space="0" w:color="auto"/>
            <w:left w:val="none" w:sz="0" w:space="0" w:color="auto"/>
            <w:bottom w:val="none" w:sz="0" w:space="0" w:color="auto"/>
            <w:right w:val="none" w:sz="0" w:space="0" w:color="auto"/>
          </w:divBdr>
        </w:div>
      </w:divsChild>
    </w:div>
    <w:div w:id="1010835686">
      <w:marLeft w:val="0"/>
      <w:marRight w:val="0"/>
      <w:marTop w:val="180"/>
      <w:marBottom w:val="180"/>
      <w:divBdr>
        <w:top w:val="none" w:sz="0" w:space="0" w:color="auto"/>
        <w:left w:val="none" w:sz="0" w:space="0" w:color="auto"/>
        <w:bottom w:val="none" w:sz="0" w:space="0" w:color="auto"/>
        <w:right w:val="none" w:sz="0" w:space="0" w:color="auto"/>
      </w:divBdr>
    </w:div>
    <w:div w:id="1011181463">
      <w:marLeft w:val="0"/>
      <w:marRight w:val="0"/>
      <w:marTop w:val="180"/>
      <w:marBottom w:val="180"/>
      <w:divBdr>
        <w:top w:val="none" w:sz="0" w:space="0" w:color="auto"/>
        <w:left w:val="none" w:sz="0" w:space="0" w:color="auto"/>
        <w:bottom w:val="none" w:sz="0" w:space="0" w:color="auto"/>
        <w:right w:val="none" w:sz="0" w:space="0" w:color="auto"/>
      </w:divBdr>
    </w:div>
    <w:div w:id="1013412508">
      <w:marLeft w:val="0"/>
      <w:marRight w:val="0"/>
      <w:marTop w:val="180"/>
      <w:marBottom w:val="180"/>
      <w:divBdr>
        <w:top w:val="none" w:sz="0" w:space="0" w:color="auto"/>
        <w:left w:val="none" w:sz="0" w:space="0" w:color="auto"/>
        <w:bottom w:val="none" w:sz="0" w:space="0" w:color="auto"/>
        <w:right w:val="none" w:sz="0" w:space="0" w:color="auto"/>
      </w:divBdr>
    </w:div>
    <w:div w:id="1015110058">
      <w:marLeft w:val="0"/>
      <w:marRight w:val="0"/>
      <w:marTop w:val="0"/>
      <w:marBottom w:val="0"/>
      <w:divBdr>
        <w:top w:val="none" w:sz="0" w:space="0" w:color="auto"/>
        <w:left w:val="none" w:sz="0" w:space="0" w:color="auto"/>
        <w:bottom w:val="none" w:sz="0" w:space="0" w:color="auto"/>
        <w:right w:val="none" w:sz="0" w:space="0" w:color="auto"/>
      </w:divBdr>
      <w:divsChild>
        <w:div w:id="445001513">
          <w:marLeft w:val="0"/>
          <w:marRight w:val="0"/>
          <w:marTop w:val="0"/>
          <w:marBottom w:val="0"/>
          <w:divBdr>
            <w:top w:val="none" w:sz="0" w:space="0" w:color="auto"/>
            <w:left w:val="none" w:sz="0" w:space="0" w:color="auto"/>
            <w:bottom w:val="none" w:sz="0" w:space="0" w:color="auto"/>
            <w:right w:val="none" w:sz="0" w:space="0" w:color="auto"/>
          </w:divBdr>
          <w:divsChild>
            <w:div w:id="9877099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7194032">
      <w:marLeft w:val="0"/>
      <w:marRight w:val="0"/>
      <w:marTop w:val="60"/>
      <w:marBottom w:val="60"/>
      <w:divBdr>
        <w:top w:val="none" w:sz="0" w:space="0" w:color="auto"/>
        <w:left w:val="none" w:sz="0" w:space="0" w:color="auto"/>
        <w:bottom w:val="none" w:sz="0" w:space="0" w:color="auto"/>
        <w:right w:val="none" w:sz="0" w:space="0" w:color="auto"/>
      </w:divBdr>
    </w:div>
    <w:div w:id="1017467734">
      <w:marLeft w:val="0"/>
      <w:marRight w:val="0"/>
      <w:marTop w:val="0"/>
      <w:marBottom w:val="0"/>
      <w:divBdr>
        <w:top w:val="none" w:sz="0" w:space="0" w:color="auto"/>
        <w:left w:val="none" w:sz="0" w:space="0" w:color="auto"/>
        <w:bottom w:val="none" w:sz="0" w:space="0" w:color="auto"/>
        <w:right w:val="none" w:sz="0" w:space="0" w:color="auto"/>
      </w:divBdr>
      <w:divsChild>
        <w:div w:id="450510967">
          <w:marLeft w:val="0"/>
          <w:marRight w:val="0"/>
          <w:marTop w:val="0"/>
          <w:marBottom w:val="0"/>
          <w:divBdr>
            <w:top w:val="none" w:sz="0" w:space="0" w:color="auto"/>
            <w:left w:val="none" w:sz="0" w:space="0" w:color="auto"/>
            <w:bottom w:val="none" w:sz="0" w:space="0" w:color="auto"/>
            <w:right w:val="none" w:sz="0" w:space="0" w:color="auto"/>
          </w:divBdr>
          <w:divsChild>
            <w:div w:id="4796170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7779394">
      <w:marLeft w:val="0"/>
      <w:marRight w:val="0"/>
      <w:marTop w:val="0"/>
      <w:marBottom w:val="0"/>
      <w:divBdr>
        <w:top w:val="none" w:sz="0" w:space="0" w:color="auto"/>
        <w:left w:val="none" w:sz="0" w:space="0" w:color="auto"/>
        <w:bottom w:val="none" w:sz="0" w:space="0" w:color="auto"/>
        <w:right w:val="none" w:sz="0" w:space="0" w:color="auto"/>
      </w:divBdr>
      <w:divsChild>
        <w:div w:id="1775251184">
          <w:marLeft w:val="0"/>
          <w:marRight w:val="0"/>
          <w:marTop w:val="0"/>
          <w:marBottom w:val="0"/>
          <w:divBdr>
            <w:top w:val="none" w:sz="0" w:space="0" w:color="auto"/>
            <w:left w:val="none" w:sz="0" w:space="0" w:color="auto"/>
            <w:bottom w:val="none" w:sz="0" w:space="0" w:color="auto"/>
            <w:right w:val="none" w:sz="0" w:space="0" w:color="auto"/>
          </w:divBdr>
          <w:divsChild>
            <w:div w:id="7238739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8039492">
      <w:marLeft w:val="0"/>
      <w:marRight w:val="0"/>
      <w:marTop w:val="60"/>
      <w:marBottom w:val="60"/>
      <w:divBdr>
        <w:top w:val="none" w:sz="0" w:space="0" w:color="auto"/>
        <w:left w:val="none" w:sz="0" w:space="0" w:color="auto"/>
        <w:bottom w:val="none" w:sz="0" w:space="0" w:color="auto"/>
        <w:right w:val="none" w:sz="0" w:space="0" w:color="auto"/>
      </w:divBdr>
    </w:div>
    <w:div w:id="1021008829">
      <w:marLeft w:val="0"/>
      <w:marRight w:val="0"/>
      <w:marTop w:val="0"/>
      <w:marBottom w:val="0"/>
      <w:divBdr>
        <w:top w:val="none" w:sz="0" w:space="0" w:color="auto"/>
        <w:left w:val="none" w:sz="0" w:space="0" w:color="auto"/>
        <w:bottom w:val="none" w:sz="0" w:space="0" w:color="auto"/>
        <w:right w:val="none" w:sz="0" w:space="0" w:color="auto"/>
      </w:divBdr>
    </w:div>
    <w:div w:id="1022434130">
      <w:marLeft w:val="0"/>
      <w:marRight w:val="0"/>
      <w:marTop w:val="180"/>
      <w:marBottom w:val="180"/>
      <w:divBdr>
        <w:top w:val="none" w:sz="0" w:space="0" w:color="auto"/>
        <w:left w:val="none" w:sz="0" w:space="0" w:color="auto"/>
        <w:bottom w:val="none" w:sz="0" w:space="0" w:color="auto"/>
        <w:right w:val="none" w:sz="0" w:space="0" w:color="auto"/>
      </w:divBdr>
    </w:div>
    <w:div w:id="1022628214">
      <w:marLeft w:val="0"/>
      <w:marRight w:val="0"/>
      <w:marTop w:val="60"/>
      <w:marBottom w:val="60"/>
      <w:divBdr>
        <w:top w:val="none" w:sz="0" w:space="0" w:color="auto"/>
        <w:left w:val="none" w:sz="0" w:space="0" w:color="auto"/>
        <w:bottom w:val="none" w:sz="0" w:space="0" w:color="auto"/>
        <w:right w:val="none" w:sz="0" w:space="0" w:color="auto"/>
      </w:divBdr>
    </w:div>
    <w:div w:id="1022780896">
      <w:marLeft w:val="0"/>
      <w:marRight w:val="0"/>
      <w:marTop w:val="180"/>
      <w:marBottom w:val="180"/>
      <w:divBdr>
        <w:top w:val="none" w:sz="0" w:space="0" w:color="auto"/>
        <w:left w:val="none" w:sz="0" w:space="0" w:color="auto"/>
        <w:bottom w:val="none" w:sz="0" w:space="0" w:color="auto"/>
        <w:right w:val="none" w:sz="0" w:space="0" w:color="auto"/>
      </w:divBdr>
    </w:div>
    <w:div w:id="1022897677">
      <w:marLeft w:val="0"/>
      <w:marRight w:val="0"/>
      <w:marTop w:val="180"/>
      <w:marBottom w:val="0"/>
      <w:divBdr>
        <w:top w:val="none" w:sz="0" w:space="0" w:color="auto"/>
        <w:left w:val="none" w:sz="0" w:space="0" w:color="auto"/>
        <w:bottom w:val="none" w:sz="0" w:space="0" w:color="auto"/>
        <w:right w:val="none" w:sz="0" w:space="0" w:color="auto"/>
      </w:divBdr>
    </w:div>
    <w:div w:id="1023046884">
      <w:marLeft w:val="0"/>
      <w:marRight w:val="0"/>
      <w:marTop w:val="180"/>
      <w:marBottom w:val="180"/>
      <w:divBdr>
        <w:top w:val="none" w:sz="0" w:space="0" w:color="auto"/>
        <w:left w:val="none" w:sz="0" w:space="0" w:color="auto"/>
        <w:bottom w:val="none" w:sz="0" w:space="0" w:color="auto"/>
        <w:right w:val="none" w:sz="0" w:space="0" w:color="auto"/>
      </w:divBdr>
    </w:div>
    <w:div w:id="1023704331">
      <w:marLeft w:val="0"/>
      <w:marRight w:val="0"/>
      <w:marTop w:val="0"/>
      <w:marBottom w:val="0"/>
      <w:divBdr>
        <w:top w:val="none" w:sz="0" w:space="0" w:color="auto"/>
        <w:left w:val="none" w:sz="0" w:space="0" w:color="auto"/>
        <w:bottom w:val="none" w:sz="0" w:space="0" w:color="auto"/>
        <w:right w:val="none" w:sz="0" w:space="0" w:color="auto"/>
      </w:divBdr>
      <w:divsChild>
        <w:div w:id="316766325">
          <w:marLeft w:val="0"/>
          <w:marRight w:val="0"/>
          <w:marTop w:val="0"/>
          <w:marBottom w:val="0"/>
          <w:divBdr>
            <w:top w:val="none" w:sz="0" w:space="0" w:color="auto"/>
            <w:left w:val="none" w:sz="0" w:space="0" w:color="auto"/>
            <w:bottom w:val="none" w:sz="0" w:space="0" w:color="auto"/>
            <w:right w:val="none" w:sz="0" w:space="0" w:color="auto"/>
          </w:divBdr>
          <w:divsChild>
            <w:div w:id="10100650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3820858">
      <w:marLeft w:val="0"/>
      <w:marRight w:val="0"/>
      <w:marTop w:val="60"/>
      <w:marBottom w:val="60"/>
      <w:divBdr>
        <w:top w:val="none" w:sz="0" w:space="0" w:color="auto"/>
        <w:left w:val="none" w:sz="0" w:space="0" w:color="auto"/>
        <w:bottom w:val="none" w:sz="0" w:space="0" w:color="auto"/>
        <w:right w:val="none" w:sz="0" w:space="0" w:color="auto"/>
      </w:divBdr>
    </w:div>
    <w:div w:id="1024553638">
      <w:marLeft w:val="0"/>
      <w:marRight w:val="0"/>
      <w:marTop w:val="180"/>
      <w:marBottom w:val="180"/>
      <w:divBdr>
        <w:top w:val="none" w:sz="0" w:space="0" w:color="auto"/>
        <w:left w:val="none" w:sz="0" w:space="0" w:color="auto"/>
        <w:bottom w:val="none" w:sz="0" w:space="0" w:color="auto"/>
        <w:right w:val="none" w:sz="0" w:space="0" w:color="auto"/>
      </w:divBdr>
    </w:div>
    <w:div w:id="1026444171">
      <w:marLeft w:val="0"/>
      <w:marRight w:val="0"/>
      <w:marTop w:val="60"/>
      <w:marBottom w:val="60"/>
      <w:divBdr>
        <w:top w:val="none" w:sz="0" w:space="0" w:color="auto"/>
        <w:left w:val="none" w:sz="0" w:space="0" w:color="auto"/>
        <w:bottom w:val="none" w:sz="0" w:space="0" w:color="auto"/>
        <w:right w:val="none" w:sz="0" w:space="0" w:color="auto"/>
      </w:divBdr>
    </w:div>
    <w:div w:id="1032266418">
      <w:marLeft w:val="0"/>
      <w:marRight w:val="0"/>
      <w:marTop w:val="180"/>
      <w:marBottom w:val="180"/>
      <w:divBdr>
        <w:top w:val="none" w:sz="0" w:space="0" w:color="auto"/>
        <w:left w:val="none" w:sz="0" w:space="0" w:color="auto"/>
        <w:bottom w:val="none" w:sz="0" w:space="0" w:color="auto"/>
        <w:right w:val="none" w:sz="0" w:space="0" w:color="auto"/>
      </w:divBdr>
    </w:div>
    <w:div w:id="1033267702">
      <w:marLeft w:val="0"/>
      <w:marRight w:val="0"/>
      <w:marTop w:val="0"/>
      <w:marBottom w:val="0"/>
      <w:divBdr>
        <w:top w:val="none" w:sz="0" w:space="0" w:color="auto"/>
        <w:left w:val="none" w:sz="0" w:space="0" w:color="auto"/>
        <w:bottom w:val="none" w:sz="0" w:space="0" w:color="auto"/>
        <w:right w:val="none" w:sz="0" w:space="0" w:color="auto"/>
      </w:divBdr>
    </w:div>
    <w:div w:id="1035160110">
      <w:marLeft w:val="0"/>
      <w:marRight w:val="0"/>
      <w:marTop w:val="60"/>
      <w:marBottom w:val="60"/>
      <w:divBdr>
        <w:top w:val="none" w:sz="0" w:space="0" w:color="auto"/>
        <w:left w:val="none" w:sz="0" w:space="0" w:color="auto"/>
        <w:bottom w:val="none" w:sz="0" w:space="0" w:color="auto"/>
        <w:right w:val="none" w:sz="0" w:space="0" w:color="auto"/>
      </w:divBdr>
    </w:div>
    <w:div w:id="1039166128">
      <w:marLeft w:val="0"/>
      <w:marRight w:val="0"/>
      <w:marTop w:val="180"/>
      <w:marBottom w:val="180"/>
      <w:divBdr>
        <w:top w:val="none" w:sz="0" w:space="0" w:color="auto"/>
        <w:left w:val="none" w:sz="0" w:space="0" w:color="auto"/>
        <w:bottom w:val="none" w:sz="0" w:space="0" w:color="auto"/>
        <w:right w:val="none" w:sz="0" w:space="0" w:color="auto"/>
      </w:divBdr>
    </w:div>
    <w:div w:id="1042168273">
      <w:marLeft w:val="0"/>
      <w:marRight w:val="0"/>
      <w:marTop w:val="0"/>
      <w:marBottom w:val="0"/>
      <w:divBdr>
        <w:top w:val="none" w:sz="0" w:space="0" w:color="auto"/>
        <w:left w:val="none" w:sz="0" w:space="0" w:color="auto"/>
        <w:bottom w:val="none" w:sz="0" w:space="0" w:color="auto"/>
        <w:right w:val="none" w:sz="0" w:space="0" w:color="auto"/>
      </w:divBdr>
      <w:divsChild>
        <w:div w:id="842545368">
          <w:marLeft w:val="0"/>
          <w:marRight w:val="0"/>
          <w:marTop w:val="180"/>
          <w:marBottom w:val="180"/>
          <w:divBdr>
            <w:top w:val="none" w:sz="0" w:space="0" w:color="auto"/>
            <w:left w:val="none" w:sz="0" w:space="0" w:color="auto"/>
            <w:bottom w:val="none" w:sz="0" w:space="0" w:color="auto"/>
            <w:right w:val="none" w:sz="0" w:space="0" w:color="auto"/>
          </w:divBdr>
        </w:div>
      </w:divsChild>
    </w:div>
    <w:div w:id="1043484994">
      <w:marLeft w:val="0"/>
      <w:marRight w:val="0"/>
      <w:marTop w:val="180"/>
      <w:marBottom w:val="180"/>
      <w:divBdr>
        <w:top w:val="none" w:sz="0" w:space="0" w:color="auto"/>
        <w:left w:val="none" w:sz="0" w:space="0" w:color="auto"/>
        <w:bottom w:val="none" w:sz="0" w:space="0" w:color="auto"/>
        <w:right w:val="none" w:sz="0" w:space="0" w:color="auto"/>
      </w:divBdr>
    </w:div>
    <w:div w:id="1049568566">
      <w:marLeft w:val="0"/>
      <w:marRight w:val="0"/>
      <w:marTop w:val="180"/>
      <w:marBottom w:val="180"/>
      <w:divBdr>
        <w:top w:val="none" w:sz="0" w:space="0" w:color="auto"/>
        <w:left w:val="none" w:sz="0" w:space="0" w:color="auto"/>
        <w:bottom w:val="none" w:sz="0" w:space="0" w:color="auto"/>
        <w:right w:val="none" w:sz="0" w:space="0" w:color="auto"/>
      </w:divBdr>
    </w:div>
    <w:div w:id="1053041066">
      <w:marLeft w:val="0"/>
      <w:marRight w:val="0"/>
      <w:marTop w:val="180"/>
      <w:marBottom w:val="180"/>
      <w:divBdr>
        <w:top w:val="none" w:sz="0" w:space="0" w:color="auto"/>
        <w:left w:val="none" w:sz="0" w:space="0" w:color="auto"/>
        <w:bottom w:val="none" w:sz="0" w:space="0" w:color="auto"/>
        <w:right w:val="none" w:sz="0" w:space="0" w:color="auto"/>
      </w:divBdr>
    </w:div>
    <w:div w:id="1055471089">
      <w:marLeft w:val="0"/>
      <w:marRight w:val="0"/>
      <w:marTop w:val="180"/>
      <w:marBottom w:val="180"/>
      <w:divBdr>
        <w:top w:val="none" w:sz="0" w:space="0" w:color="auto"/>
        <w:left w:val="none" w:sz="0" w:space="0" w:color="auto"/>
        <w:bottom w:val="none" w:sz="0" w:space="0" w:color="auto"/>
        <w:right w:val="none" w:sz="0" w:space="0" w:color="auto"/>
      </w:divBdr>
    </w:div>
    <w:div w:id="1057244263">
      <w:marLeft w:val="0"/>
      <w:marRight w:val="0"/>
      <w:marTop w:val="180"/>
      <w:marBottom w:val="180"/>
      <w:divBdr>
        <w:top w:val="none" w:sz="0" w:space="0" w:color="auto"/>
        <w:left w:val="none" w:sz="0" w:space="0" w:color="auto"/>
        <w:bottom w:val="none" w:sz="0" w:space="0" w:color="auto"/>
        <w:right w:val="none" w:sz="0" w:space="0" w:color="auto"/>
      </w:divBdr>
    </w:div>
    <w:div w:id="1057895135">
      <w:marLeft w:val="0"/>
      <w:marRight w:val="0"/>
      <w:marTop w:val="60"/>
      <w:marBottom w:val="60"/>
      <w:divBdr>
        <w:top w:val="none" w:sz="0" w:space="0" w:color="auto"/>
        <w:left w:val="none" w:sz="0" w:space="0" w:color="auto"/>
        <w:bottom w:val="none" w:sz="0" w:space="0" w:color="auto"/>
        <w:right w:val="none" w:sz="0" w:space="0" w:color="auto"/>
      </w:divBdr>
    </w:div>
    <w:div w:id="1058437677">
      <w:marLeft w:val="0"/>
      <w:marRight w:val="0"/>
      <w:marTop w:val="180"/>
      <w:marBottom w:val="60"/>
      <w:divBdr>
        <w:top w:val="none" w:sz="0" w:space="0" w:color="auto"/>
        <w:left w:val="none" w:sz="0" w:space="0" w:color="auto"/>
        <w:bottom w:val="none" w:sz="0" w:space="0" w:color="auto"/>
        <w:right w:val="none" w:sz="0" w:space="0" w:color="auto"/>
      </w:divBdr>
    </w:div>
    <w:div w:id="1058699404">
      <w:marLeft w:val="0"/>
      <w:marRight w:val="0"/>
      <w:marTop w:val="180"/>
      <w:marBottom w:val="180"/>
      <w:divBdr>
        <w:top w:val="none" w:sz="0" w:space="0" w:color="auto"/>
        <w:left w:val="none" w:sz="0" w:space="0" w:color="auto"/>
        <w:bottom w:val="none" w:sz="0" w:space="0" w:color="auto"/>
        <w:right w:val="none" w:sz="0" w:space="0" w:color="auto"/>
      </w:divBdr>
    </w:div>
    <w:div w:id="1059325253">
      <w:marLeft w:val="0"/>
      <w:marRight w:val="0"/>
      <w:marTop w:val="180"/>
      <w:marBottom w:val="180"/>
      <w:divBdr>
        <w:top w:val="none" w:sz="0" w:space="0" w:color="auto"/>
        <w:left w:val="none" w:sz="0" w:space="0" w:color="auto"/>
        <w:bottom w:val="none" w:sz="0" w:space="0" w:color="auto"/>
        <w:right w:val="none" w:sz="0" w:space="0" w:color="auto"/>
      </w:divBdr>
    </w:div>
    <w:div w:id="1060519127">
      <w:marLeft w:val="0"/>
      <w:marRight w:val="0"/>
      <w:marTop w:val="180"/>
      <w:marBottom w:val="180"/>
      <w:divBdr>
        <w:top w:val="none" w:sz="0" w:space="0" w:color="auto"/>
        <w:left w:val="none" w:sz="0" w:space="0" w:color="auto"/>
        <w:bottom w:val="none" w:sz="0" w:space="0" w:color="auto"/>
        <w:right w:val="none" w:sz="0" w:space="0" w:color="auto"/>
      </w:divBdr>
    </w:div>
    <w:div w:id="1067529567">
      <w:marLeft w:val="0"/>
      <w:marRight w:val="0"/>
      <w:marTop w:val="0"/>
      <w:marBottom w:val="0"/>
      <w:divBdr>
        <w:top w:val="none" w:sz="0" w:space="0" w:color="auto"/>
        <w:left w:val="none" w:sz="0" w:space="0" w:color="auto"/>
        <w:bottom w:val="none" w:sz="0" w:space="0" w:color="auto"/>
        <w:right w:val="none" w:sz="0" w:space="0" w:color="auto"/>
      </w:divBdr>
      <w:divsChild>
        <w:div w:id="1739549228">
          <w:marLeft w:val="0"/>
          <w:marRight w:val="0"/>
          <w:marTop w:val="0"/>
          <w:marBottom w:val="0"/>
          <w:divBdr>
            <w:top w:val="none" w:sz="0" w:space="0" w:color="auto"/>
            <w:left w:val="none" w:sz="0" w:space="0" w:color="auto"/>
            <w:bottom w:val="none" w:sz="0" w:space="0" w:color="auto"/>
            <w:right w:val="none" w:sz="0" w:space="0" w:color="auto"/>
          </w:divBdr>
          <w:divsChild>
            <w:div w:id="14133131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67533232">
      <w:marLeft w:val="0"/>
      <w:marRight w:val="0"/>
      <w:marTop w:val="180"/>
      <w:marBottom w:val="180"/>
      <w:divBdr>
        <w:top w:val="none" w:sz="0" w:space="0" w:color="auto"/>
        <w:left w:val="none" w:sz="0" w:space="0" w:color="auto"/>
        <w:bottom w:val="none" w:sz="0" w:space="0" w:color="auto"/>
        <w:right w:val="none" w:sz="0" w:space="0" w:color="auto"/>
      </w:divBdr>
    </w:div>
    <w:div w:id="1067604121">
      <w:marLeft w:val="0"/>
      <w:marRight w:val="0"/>
      <w:marTop w:val="180"/>
      <w:marBottom w:val="180"/>
      <w:divBdr>
        <w:top w:val="none" w:sz="0" w:space="0" w:color="auto"/>
        <w:left w:val="none" w:sz="0" w:space="0" w:color="auto"/>
        <w:bottom w:val="none" w:sz="0" w:space="0" w:color="auto"/>
        <w:right w:val="none" w:sz="0" w:space="0" w:color="auto"/>
      </w:divBdr>
    </w:div>
    <w:div w:id="1070076153">
      <w:marLeft w:val="0"/>
      <w:marRight w:val="0"/>
      <w:marTop w:val="180"/>
      <w:marBottom w:val="180"/>
      <w:divBdr>
        <w:top w:val="none" w:sz="0" w:space="0" w:color="auto"/>
        <w:left w:val="none" w:sz="0" w:space="0" w:color="auto"/>
        <w:bottom w:val="none" w:sz="0" w:space="0" w:color="auto"/>
        <w:right w:val="none" w:sz="0" w:space="0" w:color="auto"/>
      </w:divBdr>
    </w:div>
    <w:div w:id="1071346157">
      <w:marLeft w:val="0"/>
      <w:marRight w:val="0"/>
      <w:marTop w:val="180"/>
      <w:marBottom w:val="180"/>
      <w:divBdr>
        <w:top w:val="none" w:sz="0" w:space="0" w:color="auto"/>
        <w:left w:val="none" w:sz="0" w:space="0" w:color="auto"/>
        <w:bottom w:val="none" w:sz="0" w:space="0" w:color="auto"/>
        <w:right w:val="none" w:sz="0" w:space="0" w:color="auto"/>
      </w:divBdr>
    </w:div>
    <w:div w:id="1073743473">
      <w:marLeft w:val="0"/>
      <w:marRight w:val="0"/>
      <w:marTop w:val="60"/>
      <w:marBottom w:val="60"/>
      <w:divBdr>
        <w:top w:val="none" w:sz="0" w:space="0" w:color="auto"/>
        <w:left w:val="none" w:sz="0" w:space="0" w:color="auto"/>
        <w:bottom w:val="none" w:sz="0" w:space="0" w:color="auto"/>
        <w:right w:val="none" w:sz="0" w:space="0" w:color="auto"/>
      </w:divBdr>
    </w:div>
    <w:div w:id="1074204997">
      <w:marLeft w:val="0"/>
      <w:marRight w:val="0"/>
      <w:marTop w:val="180"/>
      <w:marBottom w:val="180"/>
      <w:divBdr>
        <w:top w:val="none" w:sz="0" w:space="0" w:color="auto"/>
        <w:left w:val="none" w:sz="0" w:space="0" w:color="auto"/>
        <w:bottom w:val="none" w:sz="0" w:space="0" w:color="auto"/>
        <w:right w:val="none" w:sz="0" w:space="0" w:color="auto"/>
      </w:divBdr>
    </w:div>
    <w:div w:id="1074356083">
      <w:marLeft w:val="0"/>
      <w:marRight w:val="0"/>
      <w:marTop w:val="180"/>
      <w:marBottom w:val="180"/>
      <w:divBdr>
        <w:top w:val="none" w:sz="0" w:space="0" w:color="auto"/>
        <w:left w:val="none" w:sz="0" w:space="0" w:color="auto"/>
        <w:bottom w:val="none" w:sz="0" w:space="0" w:color="auto"/>
        <w:right w:val="none" w:sz="0" w:space="0" w:color="auto"/>
      </w:divBdr>
    </w:div>
    <w:div w:id="1076627178">
      <w:marLeft w:val="0"/>
      <w:marRight w:val="0"/>
      <w:marTop w:val="0"/>
      <w:marBottom w:val="60"/>
      <w:divBdr>
        <w:top w:val="none" w:sz="0" w:space="0" w:color="auto"/>
        <w:left w:val="none" w:sz="0" w:space="0" w:color="auto"/>
        <w:bottom w:val="none" w:sz="0" w:space="0" w:color="auto"/>
        <w:right w:val="none" w:sz="0" w:space="0" w:color="auto"/>
      </w:divBdr>
    </w:div>
    <w:div w:id="1078403042">
      <w:marLeft w:val="0"/>
      <w:marRight w:val="0"/>
      <w:marTop w:val="180"/>
      <w:marBottom w:val="180"/>
      <w:divBdr>
        <w:top w:val="none" w:sz="0" w:space="0" w:color="auto"/>
        <w:left w:val="none" w:sz="0" w:space="0" w:color="auto"/>
        <w:bottom w:val="none" w:sz="0" w:space="0" w:color="auto"/>
        <w:right w:val="none" w:sz="0" w:space="0" w:color="auto"/>
      </w:divBdr>
    </w:div>
    <w:div w:id="1079519523">
      <w:marLeft w:val="0"/>
      <w:marRight w:val="0"/>
      <w:marTop w:val="180"/>
      <w:marBottom w:val="60"/>
      <w:divBdr>
        <w:top w:val="none" w:sz="0" w:space="0" w:color="auto"/>
        <w:left w:val="none" w:sz="0" w:space="0" w:color="auto"/>
        <w:bottom w:val="none" w:sz="0" w:space="0" w:color="auto"/>
        <w:right w:val="none" w:sz="0" w:space="0" w:color="auto"/>
      </w:divBdr>
    </w:div>
    <w:div w:id="1080835168">
      <w:marLeft w:val="0"/>
      <w:marRight w:val="0"/>
      <w:marTop w:val="180"/>
      <w:marBottom w:val="180"/>
      <w:divBdr>
        <w:top w:val="none" w:sz="0" w:space="0" w:color="auto"/>
        <w:left w:val="none" w:sz="0" w:space="0" w:color="auto"/>
        <w:bottom w:val="none" w:sz="0" w:space="0" w:color="auto"/>
        <w:right w:val="none" w:sz="0" w:space="0" w:color="auto"/>
      </w:divBdr>
    </w:div>
    <w:div w:id="1085152149">
      <w:marLeft w:val="0"/>
      <w:marRight w:val="0"/>
      <w:marTop w:val="180"/>
      <w:marBottom w:val="180"/>
      <w:divBdr>
        <w:top w:val="none" w:sz="0" w:space="0" w:color="auto"/>
        <w:left w:val="none" w:sz="0" w:space="0" w:color="auto"/>
        <w:bottom w:val="none" w:sz="0" w:space="0" w:color="auto"/>
        <w:right w:val="none" w:sz="0" w:space="0" w:color="auto"/>
      </w:divBdr>
    </w:div>
    <w:div w:id="1085691615">
      <w:marLeft w:val="0"/>
      <w:marRight w:val="0"/>
      <w:marTop w:val="180"/>
      <w:marBottom w:val="180"/>
      <w:divBdr>
        <w:top w:val="none" w:sz="0" w:space="0" w:color="auto"/>
        <w:left w:val="none" w:sz="0" w:space="0" w:color="auto"/>
        <w:bottom w:val="none" w:sz="0" w:space="0" w:color="auto"/>
        <w:right w:val="none" w:sz="0" w:space="0" w:color="auto"/>
      </w:divBdr>
    </w:div>
    <w:div w:id="1086724999">
      <w:marLeft w:val="0"/>
      <w:marRight w:val="0"/>
      <w:marTop w:val="0"/>
      <w:marBottom w:val="0"/>
      <w:divBdr>
        <w:top w:val="none" w:sz="0" w:space="0" w:color="auto"/>
        <w:left w:val="none" w:sz="0" w:space="0" w:color="auto"/>
        <w:bottom w:val="none" w:sz="0" w:space="0" w:color="auto"/>
        <w:right w:val="none" w:sz="0" w:space="0" w:color="auto"/>
      </w:divBdr>
    </w:div>
    <w:div w:id="1086728003">
      <w:marLeft w:val="0"/>
      <w:marRight w:val="0"/>
      <w:marTop w:val="180"/>
      <w:marBottom w:val="180"/>
      <w:divBdr>
        <w:top w:val="none" w:sz="0" w:space="0" w:color="auto"/>
        <w:left w:val="none" w:sz="0" w:space="0" w:color="auto"/>
        <w:bottom w:val="none" w:sz="0" w:space="0" w:color="auto"/>
        <w:right w:val="none" w:sz="0" w:space="0" w:color="auto"/>
      </w:divBdr>
    </w:div>
    <w:div w:id="1086803464">
      <w:marLeft w:val="0"/>
      <w:marRight w:val="0"/>
      <w:marTop w:val="180"/>
      <w:marBottom w:val="180"/>
      <w:divBdr>
        <w:top w:val="none" w:sz="0" w:space="0" w:color="auto"/>
        <w:left w:val="none" w:sz="0" w:space="0" w:color="auto"/>
        <w:bottom w:val="none" w:sz="0" w:space="0" w:color="auto"/>
        <w:right w:val="none" w:sz="0" w:space="0" w:color="auto"/>
      </w:divBdr>
    </w:div>
    <w:div w:id="1088691858">
      <w:marLeft w:val="0"/>
      <w:marRight w:val="0"/>
      <w:marTop w:val="60"/>
      <w:marBottom w:val="60"/>
      <w:divBdr>
        <w:top w:val="none" w:sz="0" w:space="0" w:color="auto"/>
        <w:left w:val="none" w:sz="0" w:space="0" w:color="auto"/>
        <w:bottom w:val="none" w:sz="0" w:space="0" w:color="auto"/>
        <w:right w:val="none" w:sz="0" w:space="0" w:color="auto"/>
      </w:divBdr>
    </w:div>
    <w:div w:id="1089497862">
      <w:marLeft w:val="0"/>
      <w:marRight w:val="0"/>
      <w:marTop w:val="60"/>
      <w:marBottom w:val="60"/>
      <w:divBdr>
        <w:top w:val="none" w:sz="0" w:space="0" w:color="auto"/>
        <w:left w:val="none" w:sz="0" w:space="0" w:color="auto"/>
        <w:bottom w:val="none" w:sz="0" w:space="0" w:color="auto"/>
        <w:right w:val="none" w:sz="0" w:space="0" w:color="auto"/>
      </w:divBdr>
    </w:div>
    <w:div w:id="1090279264">
      <w:marLeft w:val="0"/>
      <w:marRight w:val="0"/>
      <w:marTop w:val="0"/>
      <w:marBottom w:val="0"/>
      <w:divBdr>
        <w:top w:val="none" w:sz="0" w:space="0" w:color="auto"/>
        <w:left w:val="none" w:sz="0" w:space="0" w:color="auto"/>
        <w:bottom w:val="none" w:sz="0" w:space="0" w:color="auto"/>
        <w:right w:val="none" w:sz="0" w:space="0" w:color="auto"/>
      </w:divBdr>
    </w:div>
    <w:div w:id="1090388032">
      <w:marLeft w:val="0"/>
      <w:marRight w:val="0"/>
      <w:marTop w:val="0"/>
      <w:marBottom w:val="0"/>
      <w:divBdr>
        <w:top w:val="none" w:sz="0" w:space="0" w:color="auto"/>
        <w:left w:val="none" w:sz="0" w:space="0" w:color="auto"/>
        <w:bottom w:val="none" w:sz="0" w:space="0" w:color="auto"/>
        <w:right w:val="none" w:sz="0" w:space="0" w:color="auto"/>
      </w:divBdr>
    </w:div>
    <w:div w:id="1090586162">
      <w:marLeft w:val="0"/>
      <w:marRight w:val="0"/>
      <w:marTop w:val="180"/>
      <w:marBottom w:val="180"/>
      <w:divBdr>
        <w:top w:val="none" w:sz="0" w:space="0" w:color="auto"/>
        <w:left w:val="none" w:sz="0" w:space="0" w:color="auto"/>
        <w:bottom w:val="none" w:sz="0" w:space="0" w:color="auto"/>
        <w:right w:val="none" w:sz="0" w:space="0" w:color="auto"/>
      </w:divBdr>
    </w:div>
    <w:div w:id="1090664767">
      <w:marLeft w:val="0"/>
      <w:marRight w:val="0"/>
      <w:marTop w:val="60"/>
      <w:marBottom w:val="60"/>
      <w:divBdr>
        <w:top w:val="none" w:sz="0" w:space="0" w:color="auto"/>
        <w:left w:val="none" w:sz="0" w:space="0" w:color="auto"/>
        <w:bottom w:val="none" w:sz="0" w:space="0" w:color="auto"/>
        <w:right w:val="none" w:sz="0" w:space="0" w:color="auto"/>
      </w:divBdr>
    </w:div>
    <w:div w:id="1091773564">
      <w:marLeft w:val="0"/>
      <w:marRight w:val="0"/>
      <w:marTop w:val="180"/>
      <w:marBottom w:val="180"/>
      <w:divBdr>
        <w:top w:val="none" w:sz="0" w:space="0" w:color="auto"/>
        <w:left w:val="none" w:sz="0" w:space="0" w:color="auto"/>
        <w:bottom w:val="none" w:sz="0" w:space="0" w:color="auto"/>
        <w:right w:val="none" w:sz="0" w:space="0" w:color="auto"/>
      </w:divBdr>
    </w:div>
    <w:div w:id="1091778815">
      <w:marLeft w:val="0"/>
      <w:marRight w:val="0"/>
      <w:marTop w:val="180"/>
      <w:marBottom w:val="180"/>
      <w:divBdr>
        <w:top w:val="none" w:sz="0" w:space="0" w:color="auto"/>
        <w:left w:val="none" w:sz="0" w:space="0" w:color="auto"/>
        <w:bottom w:val="none" w:sz="0" w:space="0" w:color="auto"/>
        <w:right w:val="none" w:sz="0" w:space="0" w:color="auto"/>
      </w:divBdr>
    </w:div>
    <w:div w:id="1092239517">
      <w:marLeft w:val="0"/>
      <w:marRight w:val="0"/>
      <w:marTop w:val="60"/>
      <w:marBottom w:val="60"/>
      <w:divBdr>
        <w:top w:val="none" w:sz="0" w:space="0" w:color="auto"/>
        <w:left w:val="none" w:sz="0" w:space="0" w:color="auto"/>
        <w:bottom w:val="none" w:sz="0" w:space="0" w:color="auto"/>
        <w:right w:val="none" w:sz="0" w:space="0" w:color="auto"/>
      </w:divBdr>
    </w:div>
    <w:div w:id="1092317777">
      <w:marLeft w:val="0"/>
      <w:marRight w:val="0"/>
      <w:marTop w:val="60"/>
      <w:marBottom w:val="60"/>
      <w:divBdr>
        <w:top w:val="none" w:sz="0" w:space="0" w:color="auto"/>
        <w:left w:val="none" w:sz="0" w:space="0" w:color="auto"/>
        <w:bottom w:val="none" w:sz="0" w:space="0" w:color="auto"/>
        <w:right w:val="none" w:sz="0" w:space="0" w:color="auto"/>
      </w:divBdr>
      <w:divsChild>
        <w:div w:id="1423070350">
          <w:marLeft w:val="0"/>
          <w:marRight w:val="0"/>
          <w:marTop w:val="0"/>
          <w:marBottom w:val="0"/>
          <w:divBdr>
            <w:top w:val="none" w:sz="0" w:space="0" w:color="auto"/>
            <w:left w:val="none" w:sz="0" w:space="0" w:color="auto"/>
            <w:bottom w:val="none" w:sz="0" w:space="0" w:color="auto"/>
            <w:right w:val="none" w:sz="0" w:space="0" w:color="auto"/>
          </w:divBdr>
        </w:div>
        <w:div w:id="1565292055">
          <w:marLeft w:val="0"/>
          <w:marRight w:val="0"/>
          <w:marTop w:val="0"/>
          <w:marBottom w:val="0"/>
          <w:divBdr>
            <w:top w:val="none" w:sz="0" w:space="0" w:color="auto"/>
            <w:left w:val="none" w:sz="0" w:space="0" w:color="auto"/>
            <w:bottom w:val="none" w:sz="0" w:space="0" w:color="auto"/>
            <w:right w:val="none" w:sz="0" w:space="0" w:color="auto"/>
          </w:divBdr>
        </w:div>
        <w:div w:id="1965228269">
          <w:marLeft w:val="0"/>
          <w:marRight w:val="0"/>
          <w:marTop w:val="0"/>
          <w:marBottom w:val="0"/>
          <w:divBdr>
            <w:top w:val="none" w:sz="0" w:space="0" w:color="auto"/>
            <w:left w:val="none" w:sz="0" w:space="0" w:color="auto"/>
            <w:bottom w:val="none" w:sz="0" w:space="0" w:color="auto"/>
            <w:right w:val="none" w:sz="0" w:space="0" w:color="auto"/>
          </w:divBdr>
        </w:div>
        <w:div w:id="2069764292">
          <w:marLeft w:val="0"/>
          <w:marRight w:val="0"/>
          <w:marTop w:val="0"/>
          <w:marBottom w:val="0"/>
          <w:divBdr>
            <w:top w:val="none" w:sz="0" w:space="0" w:color="auto"/>
            <w:left w:val="none" w:sz="0" w:space="0" w:color="auto"/>
            <w:bottom w:val="none" w:sz="0" w:space="0" w:color="auto"/>
            <w:right w:val="none" w:sz="0" w:space="0" w:color="auto"/>
          </w:divBdr>
        </w:div>
      </w:divsChild>
    </w:div>
    <w:div w:id="1092825238">
      <w:marLeft w:val="0"/>
      <w:marRight w:val="0"/>
      <w:marTop w:val="180"/>
      <w:marBottom w:val="180"/>
      <w:divBdr>
        <w:top w:val="none" w:sz="0" w:space="0" w:color="auto"/>
        <w:left w:val="none" w:sz="0" w:space="0" w:color="auto"/>
        <w:bottom w:val="none" w:sz="0" w:space="0" w:color="auto"/>
        <w:right w:val="none" w:sz="0" w:space="0" w:color="auto"/>
      </w:divBdr>
    </w:div>
    <w:div w:id="1094086666">
      <w:marLeft w:val="0"/>
      <w:marRight w:val="0"/>
      <w:marTop w:val="180"/>
      <w:marBottom w:val="180"/>
      <w:divBdr>
        <w:top w:val="none" w:sz="0" w:space="0" w:color="auto"/>
        <w:left w:val="none" w:sz="0" w:space="0" w:color="auto"/>
        <w:bottom w:val="none" w:sz="0" w:space="0" w:color="auto"/>
        <w:right w:val="none" w:sz="0" w:space="0" w:color="auto"/>
      </w:divBdr>
    </w:div>
    <w:div w:id="1094593517">
      <w:marLeft w:val="0"/>
      <w:marRight w:val="0"/>
      <w:marTop w:val="180"/>
      <w:marBottom w:val="60"/>
      <w:divBdr>
        <w:top w:val="none" w:sz="0" w:space="0" w:color="auto"/>
        <w:left w:val="none" w:sz="0" w:space="0" w:color="auto"/>
        <w:bottom w:val="none" w:sz="0" w:space="0" w:color="auto"/>
        <w:right w:val="none" w:sz="0" w:space="0" w:color="auto"/>
      </w:divBdr>
    </w:div>
    <w:div w:id="1095980090">
      <w:marLeft w:val="0"/>
      <w:marRight w:val="0"/>
      <w:marTop w:val="180"/>
      <w:marBottom w:val="180"/>
      <w:divBdr>
        <w:top w:val="none" w:sz="0" w:space="0" w:color="auto"/>
        <w:left w:val="none" w:sz="0" w:space="0" w:color="auto"/>
        <w:bottom w:val="none" w:sz="0" w:space="0" w:color="auto"/>
        <w:right w:val="none" w:sz="0" w:space="0" w:color="auto"/>
      </w:divBdr>
    </w:div>
    <w:div w:id="1098602260">
      <w:marLeft w:val="0"/>
      <w:marRight w:val="0"/>
      <w:marTop w:val="180"/>
      <w:marBottom w:val="180"/>
      <w:divBdr>
        <w:top w:val="none" w:sz="0" w:space="0" w:color="auto"/>
        <w:left w:val="none" w:sz="0" w:space="0" w:color="auto"/>
        <w:bottom w:val="none" w:sz="0" w:space="0" w:color="auto"/>
        <w:right w:val="none" w:sz="0" w:space="0" w:color="auto"/>
      </w:divBdr>
    </w:div>
    <w:div w:id="1098983465">
      <w:marLeft w:val="0"/>
      <w:marRight w:val="0"/>
      <w:marTop w:val="20"/>
      <w:marBottom w:val="0"/>
      <w:divBdr>
        <w:top w:val="none" w:sz="0" w:space="0" w:color="auto"/>
        <w:left w:val="none" w:sz="0" w:space="0" w:color="auto"/>
        <w:bottom w:val="none" w:sz="0" w:space="0" w:color="auto"/>
        <w:right w:val="none" w:sz="0" w:space="0" w:color="auto"/>
      </w:divBdr>
    </w:div>
    <w:div w:id="1100031597">
      <w:marLeft w:val="0"/>
      <w:marRight w:val="0"/>
      <w:marTop w:val="0"/>
      <w:marBottom w:val="0"/>
      <w:divBdr>
        <w:top w:val="none" w:sz="0" w:space="0" w:color="auto"/>
        <w:left w:val="none" w:sz="0" w:space="0" w:color="auto"/>
        <w:bottom w:val="none" w:sz="0" w:space="0" w:color="auto"/>
        <w:right w:val="none" w:sz="0" w:space="0" w:color="auto"/>
      </w:divBdr>
    </w:div>
    <w:div w:id="1104615869">
      <w:marLeft w:val="0"/>
      <w:marRight w:val="0"/>
      <w:marTop w:val="180"/>
      <w:marBottom w:val="180"/>
      <w:divBdr>
        <w:top w:val="none" w:sz="0" w:space="0" w:color="auto"/>
        <w:left w:val="none" w:sz="0" w:space="0" w:color="auto"/>
        <w:bottom w:val="none" w:sz="0" w:space="0" w:color="auto"/>
        <w:right w:val="none" w:sz="0" w:space="0" w:color="auto"/>
      </w:divBdr>
    </w:div>
    <w:div w:id="1105156154">
      <w:marLeft w:val="0"/>
      <w:marRight w:val="0"/>
      <w:marTop w:val="0"/>
      <w:marBottom w:val="0"/>
      <w:divBdr>
        <w:top w:val="none" w:sz="0" w:space="0" w:color="auto"/>
        <w:left w:val="none" w:sz="0" w:space="0" w:color="auto"/>
        <w:bottom w:val="none" w:sz="0" w:space="0" w:color="auto"/>
        <w:right w:val="none" w:sz="0" w:space="0" w:color="auto"/>
      </w:divBdr>
      <w:divsChild>
        <w:div w:id="1937246327">
          <w:marLeft w:val="0"/>
          <w:marRight w:val="0"/>
          <w:marTop w:val="0"/>
          <w:marBottom w:val="0"/>
          <w:divBdr>
            <w:top w:val="none" w:sz="0" w:space="0" w:color="auto"/>
            <w:left w:val="none" w:sz="0" w:space="0" w:color="auto"/>
            <w:bottom w:val="none" w:sz="0" w:space="0" w:color="auto"/>
            <w:right w:val="none" w:sz="0" w:space="0" w:color="auto"/>
          </w:divBdr>
          <w:divsChild>
            <w:div w:id="21074614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7311470">
      <w:marLeft w:val="0"/>
      <w:marRight w:val="0"/>
      <w:marTop w:val="180"/>
      <w:marBottom w:val="180"/>
      <w:divBdr>
        <w:top w:val="none" w:sz="0" w:space="0" w:color="auto"/>
        <w:left w:val="none" w:sz="0" w:space="0" w:color="auto"/>
        <w:bottom w:val="none" w:sz="0" w:space="0" w:color="auto"/>
        <w:right w:val="none" w:sz="0" w:space="0" w:color="auto"/>
      </w:divBdr>
    </w:div>
    <w:div w:id="1110323733">
      <w:marLeft w:val="0"/>
      <w:marRight w:val="0"/>
      <w:marTop w:val="0"/>
      <w:marBottom w:val="0"/>
      <w:divBdr>
        <w:top w:val="none" w:sz="0" w:space="0" w:color="auto"/>
        <w:left w:val="none" w:sz="0" w:space="0" w:color="auto"/>
        <w:bottom w:val="none" w:sz="0" w:space="0" w:color="auto"/>
        <w:right w:val="none" w:sz="0" w:space="0" w:color="auto"/>
      </w:divBdr>
      <w:divsChild>
        <w:div w:id="2108698492">
          <w:marLeft w:val="0"/>
          <w:marRight w:val="0"/>
          <w:marTop w:val="0"/>
          <w:marBottom w:val="0"/>
          <w:divBdr>
            <w:top w:val="none" w:sz="0" w:space="0" w:color="auto"/>
            <w:left w:val="none" w:sz="0" w:space="0" w:color="auto"/>
            <w:bottom w:val="none" w:sz="0" w:space="0" w:color="auto"/>
            <w:right w:val="none" w:sz="0" w:space="0" w:color="auto"/>
          </w:divBdr>
          <w:divsChild>
            <w:div w:id="12205510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1614460">
      <w:marLeft w:val="0"/>
      <w:marRight w:val="0"/>
      <w:marTop w:val="180"/>
      <w:marBottom w:val="180"/>
      <w:divBdr>
        <w:top w:val="none" w:sz="0" w:space="0" w:color="auto"/>
        <w:left w:val="none" w:sz="0" w:space="0" w:color="auto"/>
        <w:bottom w:val="none" w:sz="0" w:space="0" w:color="auto"/>
        <w:right w:val="none" w:sz="0" w:space="0" w:color="auto"/>
      </w:divBdr>
    </w:div>
    <w:div w:id="1124274546">
      <w:marLeft w:val="0"/>
      <w:marRight w:val="0"/>
      <w:marTop w:val="180"/>
      <w:marBottom w:val="180"/>
      <w:divBdr>
        <w:top w:val="none" w:sz="0" w:space="0" w:color="auto"/>
        <w:left w:val="none" w:sz="0" w:space="0" w:color="auto"/>
        <w:bottom w:val="none" w:sz="0" w:space="0" w:color="auto"/>
        <w:right w:val="none" w:sz="0" w:space="0" w:color="auto"/>
      </w:divBdr>
    </w:div>
    <w:div w:id="1128743310">
      <w:marLeft w:val="0"/>
      <w:marRight w:val="0"/>
      <w:marTop w:val="0"/>
      <w:marBottom w:val="0"/>
      <w:divBdr>
        <w:top w:val="none" w:sz="0" w:space="0" w:color="auto"/>
        <w:left w:val="none" w:sz="0" w:space="0" w:color="auto"/>
        <w:bottom w:val="none" w:sz="0" w:space="0" w:color="auto"/>
        <w:right w:val="none" w:sz="0" w:space="0" w:color="auto"/>
      </w:divBdr>
      <w:divsChild>
        <w:div w:id="1218400847">
          <w:marLeft w:val="0"/>
          <w:marRight w:val="0"/>
          <w:marTop w:val="60"/>
          <w:marBottom w:val="180"/>
          <w:divBdr>
            <w:top w:val="none" w:sz="0" w:space="0" w:color="auto"/>
            <w:left w:val="none" w:sz="0" w:space="0" w:color="auto"/>
            <w:bottom w:val="none" w:sz="0" w:space="0" w:color="auto"/>
            <w:right w:val="none" w:sz="0" w:space="0" w:color="auto"/>
          </w:divBdr>
        </w:div>
      </w:divsChild>
    </w:div>
    <w:div w:id="1129739124">
      <w:marLeft w:val="0"/>
      <w:marRight w:val="0"/>
      <w:marTop w:val="180"/>
      <w:marBottom w:val="180"/>
      <w:divBdr>
        <w:top w:val="none" w:sz="0" w:space="0" w:color="auto"/>
        <w:left w:val="none" w:sz="0" w:space="0" w:color="auto"/>
        <w:bottom w:val="none" w:sz="0" w:space="0" w:color="auto"/>
        <w:right w:val="none" w:sz="0" w:space="0" w:color="auto"/>
      </w:divBdr>
    </w:div>
    <w:div w:id="1129786009">
      <w:marLeft w:val="0"/>
      <w:marRight w:val="0"/>
      <w:marTop w:val="60"/>
      <w:marBottom w:val="60"/>
      <w:divBdr>
        <w:top w:val="none" w:sz="0" w:space="0" w:color="auto"/>
        <w:left w:val="none" w:sz="0" w:space="0" w:color="auto"/>
        <w:bottom w:val="none" w:sz="0" w:space="0" w:color="auto"/>
        <w:right w:val="none" w:sz="0" w:space="0" w:color="auto"/>
      </w:divBdr>
    </w:div>
    <w:div w:id="1130780597">
      <w:marLeft w:val="0"/>
      <w:marRight w:val="0"/>
      <w:marTop w:val="180"/>
      <w:marBottom w:val="180"/>
      <w:divBdr>
        <w:top w:val="none" w:sz="0" w:space="0" w:color="auto"/>
        <w:left w:val="none" w:sz="0" w:space="0" w:color="auto"/>
        <w:bottom w:val="none" w:sz="0" w:space="0" w:color="auto"/>
        <w:right w:val="none" w:sz="0" w:space="0" w:color="auto"/>
      </w:divBdr>
    </w:div>
    <w:div w:id="1131288486">
      <w:marLeft w:val="0"/>
      <w:marRight w:val="0"/>
      <w:marTop w:val="60"/>
      <w:marBottom w:val="60"/>
      <w:divBdr>
        <w:top w:val="none" w:sz="0" w:space="0" w:color="auto"/>
        <w:left w:val="none" w:sz="0" w:space="0" w:color="auto"/>
        <w:bottom w:val="none" w:sz="0" w:space="0" w:color="auto"/>
        <w:right w:val="none" w:sz="0" w:space="0" w:color="auto"/>
      </w:divBdr>
    </w:div>
    <w:div w:id="1133906170">
      <w:marLeft w:val="0"/>
      <w:marRight w:val="0"/>
      <w:marTop w:val="180"/>
      <w:marBottom w:val="180"/>
      <w:divBdr>
        <w:top w:val="none" w:sz="0" w:space="0" w:color="auto"/>
        <w:left w:val="none" w:sz="0" w:space="0" w:color="auto"/>
        <w:bottom w:val="none" w:sz="0" w:space="0" w:color="auto"/>
        <w:right w:val="none" w:sz="0" w:space="0" w:color="auto"/>
      </w:divBdr>
    </w:div>
    <w:div w:id="1134953969">
      <w:marLeft w:val="0"/>
      <w:marRight w:val="0"/>
      <w:marTop w:val="60"/>
      <w:marBottom w:val="60"/>
      <w:divBdr>
        <w:top w:val="none" w:sz="0" w:space="0" w:color="auto"/>
        <w:left w:val="none" w:sz="0" w:space="0" w:color="auto"/>
        <w:bottom w:val="none" w:sz="0" w:space="0" w:color="auto"/>
        <w:right w:val="none" w:sz="0" w:space="0" w:color="auto"/>
      </w:divBdr>
    </w:div>
    <w:div w:id="1135220599">
      <w:marLeft w:val="0"/>
      <w:marRight w:val="0"/>
      <w:marTop w:val="180"/>
      <w:marBottom w:val="60"/>
      <w:divBdr>
        <w:top w:val="none" w:sz="0" w:space="0" w:color="auto"/>
        <w:left w:val="none" w:sz="0" w:space="0" w:color="auto"/>
        <w:bottom w:val="none" w:sz="0" w:space="0" w:color="auto"/>
        <w:right w:val="none" w:sz="0" w:space="0" w:color="auto"/>
      </w:divBdr>
    </w:div>
    <w:div w:id="1136295562">
      <w:marLeft w:val="0"/>
      <w:marRight w:val="0"/>
      <w:marTop w:val="180"/>
      <w:marBottom w:val="180"/>
      <w:divBdr>
        <w:top w:val="none" w:sz="0" w:space="0" w:color="auto"/>
        <w:left w:val="none" w:sz="0" w:space="0" w:color="auto"/>
        <w:bottom w:val="none" w:sz="0" w:space="0" w:color="auto"/>
        <w:right w:val="none" w:sz="0" w:space="0" w:color="auto"/>
      </w:divBdr>
    </w:div>
    <w:div w:id="1138304842">
      <w:marLeft w:val="0"/>
      <w:marRight w:val="0"/>
      <w:marTop w:val="180"/>
      <w:marBottom w:val="180"/>
      <w:divBdr>
        <w:top w:val="none" w:sz="0" w:space="0" w:color="auto"/>
        <w:left w:val="none" w:sz="0" w:space="0" w:color="auto"/>
        <w:bottom w:val="none" w:sz="0" w:space="0" w:color="auto"/>
        <w:right w:val="none" w:sz="0" w:space="0" w:color="auto"/>
      </w:divBdr>
    </w:div>
    <w:div w:id="1140339215">
      <w:marLeft w:val="0"/>
      <w:marRight w:val="0"/>
      <w:marTop w:val="0"/>
      <w:marBottom w:val="0"/>
      <w:divBdr>
        <w:top w:val="none" w:sz="0" w:space="0" w:color="auto"/>
        <w:left w:val="none" w:sz="0" w:space="0" w:color="auto"/>
        <w:bottom w:val="none" w:sz="0" w:space="0" w:color="auto"/>
        <w:right w:val="none" w:sz="0" w:space="0" w:color="auto"/>
      </w:divBdr>
      <w:divsChild>
        <w:div w:id="1681161049">
          <w:marLeft w:val="0"/>
          <w:marRight w:val="0"/>
          <w:marTop w:val="0"/>
          <w:marBottom w:val="0"/>
          <w:divBdr>
            <w:top w:val="none" w:sz="0" w:space="0" w:color="auto"/>
            <w:left w:val="none" w:sz="0" w:space="0" w:color="auto"/>
            <w:bottom w:val="none" w:sz="0" w:space="0" w:color="auto"/>
            <w:right w:val="none" w:sz="0" w:space="0" w:color="auto"/>
          </w:divBdr>
          <w:divsChild>
            <w:div w:id="10167375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1583301">
      <w:marLeft w:val="0"/>
      <w:marRight w:val="0"/>
      <w:marTop w:val="0"/>
      <w:marBottom w:val="0"/>
      <w:divBdr>
        <w:top w:val="none" w:sz="0" w:space="0" w:color="auto"/>
        <w:left w:val="none" w:sz="0" w:space="0" w:color="auto"/>
        <w:bottom w:val="none" w:sz="0" w:space="0" w:color="auto"/>
        <w:right w:val="none" w:sz="0" w:space="0" w:color="auto"/>
      </w:divBdr>
      <w:divsChild>
        <w:div w:id="1585649981">
          <w:marLeft w:val="0"/>
          <w:marRight w:val="0"/>
          <w:marTop w:val="60"/>
          <w:marBottom w:val="180"/>
          <w:divBdr>
            <w:top w:val="none" w:sz="0" w:space="0" w:color="auto"/>
            <w:left w:val="none" w:sz="0" w:space="0" w:color="auto"/>
            <w:bottom w:val="none" w:sz="0" w:space="0" w:color="auto"/>
            <w:right w:val="none" w:sz="0" w:space="0" w:color="auto"/>
          </w:divBdr>
        </w:div>
      </w:divsChild>
    </w:div>
    <w:div w:id="1142163408">
      <w:marLeft w:val="0"/>
      <w:marRight w:val="0"/>
      <w:marTop w:val="0"/>
      <w:marBottom w:val="0"/>
      <w:divBdr>
        <w:top w:val="none" w:sz="0" w:space="0" w:color="auto"/>
        <w:left w:val="none" w:sz="0" w:space="0" w:color="auto"/>
        <w:bottom w:val="none" w:sz="0" w:space="0" w:color="auto"/>
        <w:right w:val="none" w:sz="0" w:space="0" w:color="auto"/>
      </w:divBdr>
    </w:div>
    <w:div w:id="1142387725">
      <w:marLeft w:val="0"/>
      <w:marRight w:val="0"/>
      <w:marTop w:val="60"/>
      <w:marBottom w:val="60"/>
      <w:divBdr>
        <w:top w:val="none" w:sz="0" w:space="0" w:color="auto"/>
        <w:left w:val="none" w:sz="0" w:space="0" w:color="auto"/>
        <w:bottom w:val="none" w:sz="0" w:space="0" w:color="auto"/>
        <w:right w:val="none" w:sz="0" w:space="0" w:color="auto"/>
      </w:divBdr>
    </w:div>
    <w:div w:id="1143347132">
      <w:marLeft w:val="0"/>
      <w:marRight w:val="0"/>
      <w:marTop w:val="60"/>
      <w:marBottom w:val="60"/>
      <w:divBdr>
        <w:top w:val="none" w:sz="0" w:space="0" w:color="auto"/>
        <w:left w:val="none" w:sz="0" w:space="0" w:color="auto"/>
        <w:bottom w:val="none" w:sz="0" w:space="0" w:color="auto"/>
        <w:right w:val="none" w:sz="0" w:space="0" w:color="auto"/>
      </w:divBdr>
    </w:div>
    <w:div w:id="1145201480">
      <w:marLeft w:val="0"/>
      <w:marRight w:val="0"/>
      <w:marTop w:val="180"/>
      <w:marBottom w:val="180"/>
      <w:divBdr>
        <w:top w:val="none" w:sz="0" w:space="0" w:color="auto"/>
        <w:left w:val="none" w:sz="0" w:space="0" w:color="auto"/>
        <w:bottom w:val="none" w:sz="0" w:space="0" w:color="auto"/>
        <w:right w:val="none" w:sz="0" w:space="0" w:color="auto"/>
      </w:divBdr>
    </w:div>
    <w:div w:id="1146625921">
      <w:marLeft w:val="0"/>
      <w:marRight w:val="0"/>
      <w:marTop w:val="180"/>
      <w:marBottom w:val="180"/>
      <w:divBdr>
        <w:top w:val="none" w:sz="0" w:space="0" w:color="auto"/>
        <w:left w:val="none" w:sz="0" w:space="0" w:color="auto"/>
        <w:bottom w:val="none" w:sz="0" w:space="0" w:color="auto"/>
        <w:right w:val="none" w:sz="0" w:space="0" w:color="auto"/>
      </w:divBdr>
    </w:div>
    <w:div w:id="1147085233">
      <w:marLeft w:val="0"/>
      <w:marRight w:val="0"/>
      <w:marTop w:val="180"/>
      <w:marBottom w:val="180"/>
      <w:divBdr>
        <w:top w:val="none" w:sz="0" w:space="0" w:color="auto"/>
        <w:left w:val="none" w:sz="0" w:space="0" w:color="auto"/>
        <w:bottom w:val="none" w:sz="0" w:space="0" w:color="auto"/>
        <w:right w:val="none" w:sz="0" w:space="0" w:color="auto"/>
      </w:divBdr>
      <w:divsChild>
        <w:div w:id="1491679739">
          <w:marLeft w:val="0"/>
          <w:marRight w:val="0"/>
          <w:marTop w:val="0"/>
          <w:marBottom w:val="0"/>
          <w:divBdr>
            <w:top w:val="none" w:sz="0" w:space="0" w:color="auto"/>
            <w:left w:val="none" w:sz="0" w:space="0" w:color="auto"/>
            <w:bottom w:val="none" w:sz="0" w:space="0" w:color="auto"/>
            <w:right w:val="none" w:sz="0" w:space="0" w:color="auto"/>
          </w:divBdr>
        </w:div>
        <w:div w:id="1571385868">
          <w:marLeft w:val="0"/>
          <w:marRight w:val="0"/>
          <w:marTop w:val="0"/>
          <w:marBottom w:val="0"/>
          <w:divBdr>
            <w:top w:val="none" w:sz="0" w:space="0" w:color="auto"/>
            <w:left w:val="none" w:sz="0" w:space="0" w:color="auto"/>
            <w:bottom w:val="none" w:sz="0" w:space="0" w:color="auto"/>
            <w:right w:val="none" w:sz="0" w:space="0" w:color="auto"/>
          </w:divBdr>
        </w:div>
      </w:divsChild>
    </w:div>
    <w:div w:id="1147549147">
      <w:marLeft w:val="0"/>
      <w:marRight w:val="0"/>
      <w:marTop w:val="120"/>
      <w:marBottom w:val="180"/>
      <w:divBdr>
        <w:top w:val="none" w:sz="0" w:space="0" w:color="auto"/>
        <w:left w:val="none" w:sz="0" w:space="0" w:color="auto"/>
        <w:bottom w:val="none" w:sz="0" w:space="0" w:color="auto"/>
        <w:right w:val="none" w:sz="0" w:space="0" w:color="auto"/>
      </w:divBdr>
    </w:div>
    <w:div w:id="1150289513">
      <w:marLeft w:val="0"/>
      <w:marRight w:val="0"/>
      <w:marTop w:val="0"/>
      <w:marBottom w:val="0"/>
      <w:divBdr>
        <w:top w:val="none" w:sz="0" w:space="0" w:color="auto"/>
        <w:left w:val="none" w:sz="0" w:space="0" w:color="auto"/>
        <w:bottom w:val="none" w:sz="0" w:space="0" w:color="auto"/>
        <w:right w:val="none" w:sz="0" w:space="0" w:color="auto"/>
      </w:divBdr>
      <w:divsChild>
        <w:div w:id="433138082">
          <w:marLeft w:val="0"/>
          <w:marRight w:val="0"/>
          <w:marTop w:val="0"/>
          <w:marBottom w:val="0"/>
          <w:divBdr>
            <w:top w:val="none" w:sz="0" w:space="0" w:color="auto"/>
            <w:left w:val="none" w:sz="0" w:space="0" w:color="auto"/>
            <w:bottom w:val="none" w:sz="0" w:space="0" w:color="auto"/>
            <w:right w:val="none" w:sz="0" w:space="0" w:color="auto"/>
          </w:divBdr>
          <w:divsChild>
            <w:div w:id="3838743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0829198">
      <w:marLeft w:val="0"/>
      <w:marRight w:val="0"/>
      <w:marTop w:val="180"/>
      <w:marBottom w:val="180"/>
      <w:divBdr>
        <w:top w:val="none" w:sz="0" w:space="0" w:color="auto"/>
        <w:left w:val="none" w:sz="0" w:space="0" w:color="auto"/>
        <w:bottom w:val="none" w:sz="0" w:space="0" w:color="auto"/>
        <w:right w:val="none" w:sz="0" w:space="0" w:color="auto"/>
      </w:divBdr>
    </w:div>
    <w:div w:id="1150943349">
      <w:marLeft w:val="0"/>
      <w:marRight w:val="0"/>
      <w:marTop w:val="0"/>
      <w:marBottom w:val="0"/>
      <w:divBdr>
        <w:top w:val="none" w:sz="0" w:space="0" w:color="auto"/>
        <w:left w:val="none" w:sz="0" w:space="0" w:color="auto"/>
        <w:bottom w:val="none" w:sz="0" w:space="0" w:color="auto"/>
        <w:right w:val="none" w:sz="0" w:space="0" w:color="auto"/>
      </w:divBdr>
    </w:div>
    <w:div w:id="1151140821">
      <w:marLeft w:val="0"/>
      <w:marRight w:val="0"/>
      <w:marTop w:val="180"/>
      <w:marBottom w:val="180"/>
      <w:divBdr>
        <w:top w:val="none" w:sz="0" w:space="0" w:color="auto"/>
        <w:left w:val="none" w:sz="0" w:space="0" w:color="auto"/>
        <w:bottom w:val="none" w:sz="0" w:space="0" w:color="auto"/>
        <w:right w:val="none" w:sz="0" w:space="0" w:color="auto"/>
      </w:divBdr>
    </w:div>
    <w:div w:id="1152483319">
      <w:marLeft w:val="0"/>
      <w:marRight w:val="0"/>
      <w:marTop w:val="180"/>
      <w:marBottom w:val="180"/>
      <w:divBdr>
        <w:top w:val="none" w:sz="0" w:space="0" w:color="auto"/>
        <w:left w:val="none" w:sz="0" w:space="0" w:color="auto"/>
        <w:bottom w:val="none" w:sz="0" w:space="0" w:color="auto"/>
        <w:right w:val="none" w:sz="0" w:space="0" w:color="auto"/>
      </w:divBdr>
    </w:div>
    <w:div w:id="1155339165">
      <w:marLeft w:val="0"/>
      <w:marRight w:val="0"/>
      <w:marTop w:val="0"/>
      <w:marBottom w:val="0"/>
      <w:divBdr>
        <w:top w:val="none" w:sz="0" w:space="0" w:color="auto"/>
        <w:left w:val="none" w:sz="0" w:space="0" w:color="auto"/>
        <w:bottom w:val="none" w:sz="0" w:space="0" w:color="auto"/>
        <w:right w:val="none" w:sz="0" w:space="0" w:color="auto"/>
      </w:divBdr>
      <w:divsChild>
        <w:div w:id="135996056">
          <w:marLeft w:val="0"/>
          <w:marRight w:val="0"/>
          <w:marTop w:val="60"/>
          <w:marBottom w:val="180"/>
          <w:divBdr>
            <w:top w:val="none" w:sz="0" w:space="0" w:color="auto"/>
            <w:left w:val="none" w:sz="0" w:space="0" w:color="auto"/>
            <w:bottom w:val="none" w:sz="0" w:space="0" w:color="auto"/>
            <w:right w:val="none" w:sz="0" w:space="0" w:color="auto"/>
          </w:divBdr>
        </w:div>
      </w:divsChild>
    </w:div>
    <w:div w:id="1156189438">
      <w:marLeft w:val="0"/>
      <w:marRight w:val="0"/>
      <w:marTop w:val="60"/>
      <w:marBottom w:val="60"/>
      <w:divBdr>
        <w:top w:val="none" w:sz="0" w:space="0" w:color="auto"/>
        <w:left w:val="none" w:sz="0" w:space="0" w:color="auto"/>
        <w:bottom w:val="none" w:sz="0" w:space="0" w:color="auto"/>
        <w:right w:val="none" w:sz="0" w:space="0" w:color="auto"/>
      </w:divBdr>
    </w:div>
    <w:div w:id="1156452616">
      <w:marLeft w:val="0"/>
      <w:marRight w:val="0"/>
      <w:marTop w:val="0"/>
      <w:marBottom w:val="0"/>
      <w:divBdr>
        <w:top w:val="none" w:sz="0" w:space="0" w:color="auto"/>
        <w:left w:val="none" w:sz="0" w:space="0" w:color="auto"/>
        <w:bottom w:val="none" w:sz="0" w:space="0" w:color="auto"/>
        <w:right w:val="none" w:sz="0" w:space="0" w:color="auto"/>
      </w:divBdr>
      <w:divsChild>
        <w:div w:id="142935402">
          <w:marLeft w:val="0"/>
          <w:marRight w:val="0"/>
          <w:marTop w:val="60"/>
          <w:marBottom w:val="180"/>
          <w:divBdr>
            <w:top w:val="none" w:sz="0" w:space="0" w:color="auto"/>
            <w:left w:val="none" w:sz="0" w:space="0" w:color="auto"/>
            <w:bottom w:val="none" w:sz="0" w:space="0" w:color="auto"/>
            <w:right w:val="none" w:sz="0" w:space="0" w:color="auto"/>
          </w:divBdr>
        </w:div>
      </w:divsChild>
    </w:div>
    <w:div w:id="1160346316">
      <w:marLeft w:val="0"/>
      <w:marRight w:val="0"/>
      <w:marTop w:val="180"/>
      <w:marBottom w:val="180"/>
      <w:divBdr>
        <w:top w:val="none" w:sz="0" w:space="0" w:color="auto"/>
        <w:left w:val="none" w:sz="0" w:space="0" w:color="auto"/>
        <w:bottom w:val="none" w:sz="0" w:space="0" w:color="auto"/>
        <w:right w:val="none" w:sz="0" w:space="0" w:color="auto"/>
      </w:divBdr>
    </w:div>
    <w:div w:id="1164396108">
      <w:marLeft w:val="0"/>
      <w:marRight w:val="0"/>
      <w:marTop w:val="60"/>
      <w:marBottom w:val="60"/>
      <w:divBdr>
        <w:top w:val="none" w:sz="0" w:space="0" w:color="auto"/>
        <w:left w:val="none" w:sz="0" w:space="0" w:color="auto"/>
        <w:bottom w:val="none" w:sz="0" w:space="0" w:color="auto"/>
        <w:right w:val="none" w:sz="0" w:space="0" w:color="auto"/>
      </w:divBdr>
    </w:div>
    <w:div w:id="1167209629">
      <w:marLeft w:val="0"/>
      <w:marRight w:val="0"/>
      <w:marTop w:val="180"/>
      <w:marBottom w:val="180"/>
      <w:divBdr>
        <w:top w:val="none" w:sz="0" w:space="0" w:color="auto"/>
        <w:left w:val="none" w:sz="0" w:space="0" w:color="auto"/>
        <w:bottom w:val="none" w:sz="0" w:space="0" w:color="auto"/>
        <w:right w:val="none" w:sz="0" w:space="0" w:color="auto"/>
      </w:divBdr>
    </w:div>
    <w:div w:id="1167357421">
      <w:marLeft w:val="0"/>
      <w:marRight w:val="0"/>
      <w:marTop w:val="0"/>
      <w:marBottom w:val="0"/>
      <w:divBdr>
        <w:top w:val="none" w:sz="0" w:space="0" w:color="auto"/>
        <w:left w:val="none" w:sz="0" w:space="0" w:color="auto"/>
        <w:bottom w:val="none" w:sz="0" w:space="0" w:color="auto"/>
        <w:right w:val="none" w:sz="0" w:space="0" w:color="auto"/>
      </w:divBdr>
    </w:div>
    <w:div w:id="1168249823">
      <w:marLeft w:val="0"/>
      <w:marRight w:val="0"/>
      <w:marTop w:val="180"/>
      <w:marBottom w:val="180"/>
      <w:divBdr>
        <w:top w:val="none" w:sz="0" w:space="0" w:color="auto"/>
        <w:left w:val="none" w:sz="0" w:space="0" w:color="auto"/>
        <w:bottom w:val="none" w:sz="0" w:space="0" w:color="auto"/>
        <w:right w:val="none" w:sz="0" w:space="0" w:color="auto"/>
      </w:divBdr>
    </w:div>
    <w:div w:id="1168252895">
      <w:marLeft w:val="0"/>
      <w:marRight w:val="0"/>
      <w:marTop w:val="0"/>
      <w:marBottom w:val="0"/>
      <w:divBdr>
        <w:top w:val="none" w:sz="0" w:space="0" w:color="auto"/>
        <w:left w:val="none" w:sz="0" w:space="0" w:color="auto"/>
        <w:bottom w:val="none" w:sz="0" w:space="0" w:color="auto"/>
        <w:right w:val="none" w:sz="0" w:space="0" w:color="auto"/>
      </w:divBdr>
    </w:div>
    <w:div w:id="1168790017">
      <w:marLeft w:val="0"/>
      <w:marRight w:val="0"/>
      <w:marTop w:val="60"/>
      <w:marBottom w:val="0"/>
      <w:divBdr>
        <w:top w:val="none" w:sz="0" w:space="0" w:color="auto"/>
        <w:left w:val="none" w:sz="0" w:space="0" w:color="auto"/>
        <w:bottom w:val="none" w:sz="0" w:space="0" w:color="auto"/>
        <w:right w:val="none" w:sz="0" w:space="0" w:color="auto"/>
      </w:divBdr>
    </w:div>
    <w:div w:id="1170558613">
      <w:marLeft w:val="0"/>
      <w:marRight w:val="0"/>
      <w:marTop w:val="100"/>
      <w:marBottom w:val="0"/>
      <w:divBdr>
        <w:top w:val="none" w:sz="0" w:space="0" w:color="auto"/>
        <w:left w:val="none" w:sz="0" w:space="0" w:color="auto"/>
        <w:bottom w:val="none" w:sz="0" w:space="0" w:color="auto"/>
        <w:right w:val="none" w:sz="0" w:space="0" w:color="auto"/>
      </w:divBdr>
    </w:div>
    <w:div w:id="1174416594">
      <w:marLeft w:val="0"/>
      <w:marRight w:val="0"/>
      <w:marTop w:val="180"/>
      <w:marBottom w:val="180"/>
      <w:divBdr>
        <w:top w:val="none" w:sz="0" w:space="0" w:color="auto"/>
        <w:left w:val="none" w:sz="0" w:space="0" w:color="auto"/>
        <w:bottom w:val="none" w:sz="0" w:space="0" w:color="auto"/>
        <w:right w:val="none" w:sz="0" w:space="0" w:color="auto"/>
      </w:divBdr>
    </w:div>
    <w:div w:id="1174763291">
      <w:marLeft w:val="0"/>
      <w:marRight w:val="0"/>
      <w:marTop w:val="180"/>
      <w:marBottom w:val="180"/>
      <w:divBdr>
        <w:top w:val="none" w:sz="0" w:space="0" w:color="auto"/>
        <w:left w:val="none" w:sz="0" w:space="0" w:color="auto"/>
        <w:bottom w:val="none" w:sz="0" w:space="0" w:color="auto"/>
        <w:right w:val="none" w:sz="0" w:space="0" w:color="auto"/>
      </w:divBdr>
    </w:div>
    <w:div w:id="1176001647">
      <w:marLeft w:val="0"/>
      <w:marRight w:val="0"/>
      <w:marTop w:val="0"/>
      <w:marBottom w:val="0"/>
      <w:divBdr>
        <w:top w:val="none" w:sz="0" w:space="0" w:color="auto"/>
        <w:left w:val="none" w:sz="0" w:space="0" w:color="auto"/>
        <w:bottom w:val="none" w:sz="0" w:space="0" w:color="auto"/>
        <w:right w:val="none" w:sz="0" w:space="0" w:color="auto"/>
      </w:divBdr>
      <w:divsChild>
        <w:div w:id="436827403">
          <w:marLeft w:val="0"/>
          <w:marRight w:val="0"/>
          <w:marTop w:val="60"/>
          <w:marBottom w:val="180"/>
          <w:divBdr>
            <w:top w:val="none" w:sz="0" w:space="0" w:color="auto"/>
            <w:left w:val="none" w:sz="0" w:space="0" w:color="auto"/>
            <w:bottom w:val="none" w:sz="0" w:space="0" w:color="auto"/>
            <w:right w:val="none" w:sz="0" w:space="0" w:color="auto"/>
          </w:divBdr>
        </w:div>
      </w:divsChild>
    </w:div>
    <w:div w:id="1177159953">
      <w:marLeft w:val="0"/>
      <w:marRight w:val="0"/>
      <w:marTop w:val="180"/>
      <w:marBottom w:val="180"/>
      <w:divBdr>
        <w:top w:val="none" w:sz="0" w:space="0" w:color="auto"/>
        <w:left w:val="none" w:sz="0" w:space="0" w:color="auto"/>
        <w:bottom w:val="none" w:sz="0" w:space="0" w:color="auto"/>
        <w:right w:val="none" w:sz="0" w:space="0" w:color="auto"/>
      </w:divBdr>
    </w:div>
    <w:div w:id="1178084688">
      <w:marLeft w:val="0"/>
      <w:marRight w:val="0"/>
      <w:marTop w:val="180"/>
      <w:marBottom w:val="180"/>
      <w:divBdr>
        <w:top w:val="none" w:sz="0" w:space="0" w:color="auto"/>
        <w:left w:val="none" w:sz="0" w:space="0" w:color="auto"/>
        <w:bottom w:val="none" w:sz="0" w:space="0" w:color="auto"/>
        <w:right w:val="none" w:sz="0" w:space="0" w:color="auto"/>
      </w:divBdr>
    </w:div>
    <w:div w:id="1179005517">
      <w:marLeft w:val="0"/>
      <w:marRight w:val="0"/>
      <w:marTop w:val="180"/>
      <w:marBottom w:val="180"/>
      <w:divBdr>
        <w:top w:val="none" w:sz="0" w:space="0" w:color="auto"/>
        <w:left w:val="none" w:sz="0" w:space="0" w:color="auto"/>
        <w:bottom w:val="none" w:sz="0" w:space="0" w:color="auto"/>
        <w:right w:val="none" w:sz="0" w:space="0" w:color="auto"/>
      </w:divBdr>
    </w:div>
    <w:div w:id="1179540990">
      <w:marLeft w:val="0"/>
      <w:marRight w:val="0"/>
      <w:marTop w:val="180"/>
      <w:marBottom w:val="180"/>
      <w:divBdr>
        <w:top w:val="none" w:sz="0" w:space="0" w:color="auto"/>
        <w:left w:val="none" w:sz="0" w:space="0" w:color="auto"/>
        <w:bottom w:val="none" w:sz="0" w:space="0" w:color="auto"/>
        <w:right w:val="none" w:sz="0" w:space="0" w:color="auto"/>
      </w:divBdr>
    </w:div>
    <w:div w:id="1181434677">
      <w:marLeft w:val="0"/>
      <w:marRight w:val="0"/>
      <w:marTop w:val="180"/>
      <w:marBottom w:val="60"/>
      <w:divBdr>
        <w:top w:val="none" w:sz="0" w:space="0" w:color="auto"/>
        <w:left w:val="none" w:sz="0" w:space="0" w:color="auto"/>
        <w:bottom w:val="none" w:sz="0" w:space="0" w:color="auto"/>
        <w:right w:val="none" w:sz="0" w:space="0" w:color="auto"/>
      </w:divBdr>
      <w:divsChild>
        <w:div w:id="1179854880">
          <w:marLeft w:val="0"/>
          <w:marRight w:val="0"/>
          <w:marTop w:val="0"/>
          <w:marBottom w:val="0"/>
          <w:divBdr>
            <w:top w:val="none" w:sz="0" w:space="0" w:color="auto"/>
            <w:left w:val="none" w:sz="0" w:space="0" w:color="auto"/>
            <w:bottom w:val="none" w:sz="0" w:space="0" w:color="auto"/>
            <w:right w:val="none" w:sz="0" w:space="0" w:color="auto"/>
          </w:divBdr>
        </w:div>
        <w:div w:id="1620603110">
          <w:marLeft w:val="0"/>
          <w:marRight w:val="0"/>
          <w:marTop w:val="0"/>
          <w:marBottom w:val="0"/>
          <w:divBdr>
            <w:top w:val="none" w:sz="0" w:space="0" w:color="auto"/>
            <w:left w:val="none" w:sz="0" w:space="0" w:color="auto"/>
            <w:bottom w:val="none" w:sz="0" w:space="0" w:color="auto"/>
            <w:right w:val="none" w:sz="0" w:space="0" w:color="auto"/>
          </w:divBdr>
        </w:div>
      </w:divsChild>
    </w:div>
    <w:div w:id="1183324122">
      <w:marLeft w:val="0"/>
      <w:marRight w:val="0"/>
      <w:marTop w:val="180"/>
      <w:marBottom w:val="180"/>
      <w:divBdr>
        <w:top w:val="none" w:sz="0" w:space="0" w:color="auto"/>
        <w:left w:val="none" w:sz="0" w:space="0" w:color="auto"/>
        <w:bottom w:val="none" w:sz="0" w:space="0" w:color="auto"/>
        <w:right w:val="none" w:sz="0" w:space="0" w:color="auto"/>
      </w:divBdr>
    </w:div>
    <w:div w:id="1185704555">
      <w:marLeft w:val="0"/>
      <w:marRight w:val="0"/>
      <w:marTop w:val="60"/>
      <w:marBottom w:val="60"/>
      <w:divBdr>
        <w:top w:val="none" w:sz="0" w:space="0" w:color="auto"/>
        <w:left w:val="none" w:sz="0" w:space="0" w:color="auto"/>
        <w:bottom w:val="none" w:sz="0" w:space="0" w:color="auto"/>
        <w:right w:val="none" w:sz="0" w:space="0" w:color="auto"/>
      </w:divBdr>
      <w:divsChild>
        <w:div w:id="367028152">
          <w:marLeft w:val="0"/>
          <w:marRight w:val="0"/>
          <w:marTop w:val="0"/>
          <w:marBottom w:val="0"/>
          <w:divBdr>
            <w:top w:val="none" w:sz="0" w:space="0" w:color="auto"/>
            <w:left w:val="none" w:sz="0" w:space="0" w:color="auto"/>
            <w:bottom w:val="none" w:sz="0" w:space="0" w:color="auto"/>
            <w:right w:val="none" w:sz="0" w:space="0" w:color="auto"/>
          </w:divBdr>
        </w:div>
      </w:divsChild>
    </w:div>
    <w:div w:id="1186359835">
      <w:marLeft w:val="0"/>
      <w:marRight w:val="0"/>
      <w:marTop w:val="180"/>
      <w:marBottom w:val="180"/>
      <w:divBdr>
        <w:top w:val="none" w:sz="0" w:space="0" w:color="auto"/>
        <w:left w:val="none" w:sz="0" w:space="0" w:color="auto"/>
        <w:bottom w:val="none" w:sz="0" w:space="0" w:color="auto"/>
        <w:right w:val="none" w:sz="0" w:space="0" w:color="auto"/>
      </w:divBdr>
    </w:div>
    <w:div w:id="1186555384">
      <w:marLeft w:val="0"/>
      <w:marRight w:val="0"/>
      <w:marTop w:val="0"/>
      <w:marBottom w:val="60"/>
      <w:divBdr>
        <w:top w:val="none" w:sz="0" w:space="0" w:color="auto"/>
        <w:left w:val="none" w:sz="0" w:space="0" w:color="auto"/>
        <w:bottom w:val="none" w:sz="0" w:space="0" w:color="auto"/>
        <w:right w:val="none" w:sz="0" w:space="0" w:color="auto"/>
      </w:divBdr>
    </w:div>
    <w:div w:id="1190297132">
      <w:marLeft w:val="0"/>
      <w:marRight w:val="0"/>
      <w:marTop w:val="180"/>
      <w:marBottom w:val="180"/>
      <w:divBdr>
        <w:top w:val="none" w:sz="0" w:space="0" w:color="auto"/>
        <w:left w:val="none" w:sz="0" w:space="0" w:color="auto"/>
        <w:bottom w:val="none" w:sz="0" w:space="0" w:color="auto"/>
        <w:right w:val="none" w:sz="0" w:space="0" w:color="auto"/>
      </w:divBdr>
    </w:div>
    <w:div w:id="1191914335">
      <w:marLeft w:val="0"/>
      <w:marRight w:val="0"/>
      <w:marTop w:val="180"/>
      <w:marBottom w:val="180"/>
      <w:divBdr>
        <w:top w:val="none" w:sz="0" w:space="0" w:color="auto"/>
        <w:left w:val="none" w:sz="0" w:space="0" w:color="auto"/>
        <w:bottom w:val="none" w:sz="0" w:space="0" w:color="auto"/>
        <w:right w:val="none" w:sz="0" w:space="0" w:color="auto"/>
      </w:divBdr>
    </w:div>
    <w:div w:id="1196386511">
      <w:marLeft w:val="0"/>
      <w:marRight w:val="0"/>
      <w:marTop w:val="120"/>
      <w:marBottom w:val="120"/>
      <w:divBdr>
        <w:top w:val="none" w:sz="0" w:space="0" w:color="auto"/>
        <w:left w:val="none" w:sz="0" w:space="0" w:color="auto"/>
        <w:bottom w:val="none" w:sz="0" w:space="0" w:color="auto"/>
        <w:right w:val="none" w:sz="0" w:space="0" w:color="auto"/>
      </w:divBdr>
    </w:div>
    <w:div w:id="1196963907">
      <w:marLeft w:val="0"/>
      <w:marRight w:val="0"/>
      <w:marTop w:val="180"/>
      <w:marBottom w:val="180"/>
      <w:divBdr>
        <w:top w:val="none" w:sz="0" w:space="0" w:color="auto"/>
        <w:left w:val="none" w:sz="0" w:space="0" w:color="auto"/>
        <w:bottom w:val="none" w:sz="0" w:space="0" w:color="auto"/>
        <w:right w:val="none" w:sz="0" w:space="0" w:color="auto"/>
      </w:divBdr>
    </w:div>
    <w:div w:id="1199590578">
      <w:marLeft w:val="0"/>
      <w:marRight w:val="0"/>
      <w:marTop w:val="0"/>
      <w:marBottom w:val="0"/>
      <w:divBdr>
        <w:top w:val="none" w:sz="0" w:space="0" w:color="auto"/>
        <w:left w:val="none" w:sz="0" w:space="0" w:color="auto"/>
        <w:bottom w:val="none" w:sz="0" w:space="0" w:color="auto"/>
        <w:right w:val="none" w:sz="0" w:space="0" w:color="auto"/>
      </w:divBdr>
      <w:divsChild>
        <w:div w:id="705372070">
          <w:marLeft w:val="0"/>
          <w:marRight w:val="0"/>
          <w:marTop w:val="0"/>
          <w:marBottom w:val="0"/>
          <w:divBdr>
            <w:top w:val="none" w:sz="0" w:space="0" w:color="auto"/>
            <w:left w:val="none" w:sz="0" w:space="0" w:color="auto"/>
            <w:bottom w:val="none" w:sz="0" w:space="0" w:color="auto"/>
            <w:right w:val="none" w:sz="0" w:space="0" w:color="auto"/>
          </w:divBdr>
          <w:divsChild>
            <w:div w:id="9697025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00240137">
      <w:marLeft w:val="0"/>
      <w:marRight w:val="0"/>
      <w:marTop w:val="60"/>
      <w:marBottom w:val="60"/>
      <w:divBdr>
        <w:top w:val="none" w:sz="0" w:space="0" w:color="auto"/>
        <w:left w:val="none" w:sz="0" w:space="0" w:color="auto"/>
        <w:bottom w:val="none" w:sz="0" w:space="0" w:color="auto"/>
        <w:right w:val="none" w:sz="0" w:space="0" w:color="auto"/>
      </w:divBdr>
      <w:divsChild>
        <w:div w:id="217589467">
          <w:marLeft w:val="0"/>
          <w:marRight w:val="0"/>
          <w:marTop w:val="0"/>
          <w:marBottom w:val="0"/>
          <w:divBdr>
            <w:top w:val="none" w:sz="0" w:space="0" w:color="auto"/>
            <w:left w:val="none" w:sz="0" w:space="0" w:color="auto"/>
            <w:bottom w:val="none" w:sz="0" w:space="0" w:color="auto"/>
            <w:right w:val="none" w:sz="0" w:space="0" w:color="auto"/>
          </w:divBdr>
        </w:div>
      </w:divsChild>
    </w:div>
    <w:div w:id="1200506504">
      <w:marLeft w:val="0"/>
      <w:marRight w:val="0"/>
      <w:marTop w:val="180"/>
      <w:marBottom w:val="180"/>
      <w:divBdr>
        <w:top w:val="none" w:sz="0" w:space="0" w:color="auto"/>
        <w:left w:val="none" w:sz="0" w:space="0" w:color="auto"/>
        <w:bottom w:val="none" w:sz="0" w:space="0" w:color="auto"/>
        <w:right w:val="none" w:sz="0" w:space="0" w:color="auto"/>
      </w:divBdr>
    </w:div>
    <w:div w:id="1201091525">
      <w:marLeft w:val="0"/>
      <w:marRight w:val="0"/>
      <w:marTop w:val="180"/>
      <w:marBottom w:val="60"/>
      <w:divBdr>
        <w:top w:val="none" w:sz="0" w:space="0" w:color="auto"/>
        <w:left w:val="none" w:sz="0" w:space="0" w:color="auto"/>
        <w:bottom w:val="none" w:sz="0" w:space="0" w:color="auto"/>
        <w:right w:val="none" w:sz="0" w:space="0" w:color="auto"/>
      </w:divBdr>
    </w:div>
    <w:div w:id="1201936999">
      <w:marLeft w:val="0"/>
      <w:marRight w:val="0"/>
      <w:marTop w:val="0"/>
      <w:marBottom w:val="0"/>
      <w:divBdr>
        <w:top w:val="none" w:sz="0" w:space="0" w:color="auto"/>
        <w:left w:val="none" w:sz="0" w:space="0" w:color="auto"/>
        <w:bottom w:val="none" w:sz="0" w:space="0" w:color="auto"/>
        <w:right w:val="none" w:sz="0" w:space="0" w:color="auto"/>
      </w:divBdr>
    </w:div>
    <w:div w:id="1205362540">
      <w:marLeft w:val="0"/>
      <w:marRight w:val="0"/>
      <w:marTop w:val="180"/>
      <w:marBottom w:val="180"/>
      <w:divBdr>
        <w:top w:val="none" w:sz="0" w:space="0" w:color="auto"/>
        <w:left w:val="none" w:sz="0" w:space="0" w:color="auto"/>
        <w:bottom w:val="none" w:sz="0" w:space="0" w:color="auto"/>
        <w:right w:val="none" w:sz="0" w:space="0" w:color="auto"/>
      </w:divBdr>
    </w:div>
    <w:div w:id="1206065658">
      <w:marLeft w:val="0"/>
      <w:marRight w:val="0"/>
      <w:marTop w:val="100"/>
      <w:marBottom w:val="180"/>
      <w:divBdr>
        <w:top w:val="none" w:sz="0" w:space="0" w:color="auto"/>
        <w:left w:val="none" w:sz="0" w:space="0" w:color="auto"/>
        <w:bottom w:val="none" w:sz="0" w:space="0" w:color="auto"/>
        <w:right w:val="none" w:sz="0" w:space="0" w:color="auto"/>
      </w:divBdr>
    </w:div>
    <w:div w:id="1207139938">
      <w:marLeft w:val="0"/>
      <w:marRight w:val="0"/>
      <w:marTop w:val="60"/>
      <w:marBottom w:val="60"/>
      <w:divBdr>
        <w:top w:val="none" w:sz="0" w:space="0" w:color="auto"/>
        <w:left w:val="none" w:sz="0" w:space="0" w:color="auto"/>
        <w:bottom w:val="none" w:sz="0" w:space="0" w:color="auto"/>
        <w:right w:val="none" w:sz="0" w:space="0" w:color="auto"/>
      </w:divBdr>
    </w:div>
    <w:div w:id="1208378445">
      <w:marLeft w:val="0"/>
      <w:marRight w:val="0"/>
      <w:marTop w:val="60"/>
      <w:marBottom w:val="60"/>
      <w:divBdr>
        <w:top w:val="none" w:sz="0" w:space="0" w:color="auto"/>
        <w:left w:val="none" w:sz="0" w:space="0" w:color="auto"/>
        <w:bottom w:val="none" w:sz="0" w:space="0" w:color="auto"/>
        <w:right w:val="none" w:sz="0" w:space="0" w:color="auto"/>
      </w:divBdr>
    </w:div>
    <w:div w:id="1210144644">
      <w:marLeft w:val="0"/>
      <w:marRight w:val="0"/>
      <w:marTop w:val="180"/>
      <w:marBottom w:val="180"/>
      <w:divBdr>
        <w:top w:val="none" w:sz="0" w:space="0" w:color="auto"/>
        <w:left w:val="none" w:sz="0" w:space="0" w:color="auto"/>
        <w:bottom w:val="none" w:sz="0" w:space="0" w:color="auto"/>
        <w:right w:val="none" w:sz="0" w:space="0" w:color="auto"/>
      </w:divBdr>
    </w:div>
    <w:div w:id="1212157521">
      <w:marLeft w:val="0"/>
      <w:marRight w:val="0"/>
      <w:marTop w:val="60"/>
      <w:marBottom w:val="60"/>
      <w:divBdr>
        <w:top w:val="none" w:sz="0" w:space="0" w:color="auto"/>
        <w:left w:val="none" w:sz="0" w:space="0" w:color="auto"/>
        <w:bottom w:val="none" w:sz="0" w:space="0" w:color="auto"/>
        <w:right w:val="none" w:sz="0" w:space="0" w:color="auto"/>
      </w:divBdr>
    </w:div>
    <w:div w:id="1213955488">
      <w:marLeft w:val="0"/>
      <w:marRight w:val="0"/>
      <w:marTop w:val="0"/>
      <w:marBottom w:val="0"/>
      <w:divBdr>
        <w:top w:val="none" w:sz="0" w:space="0" w:color="auto"/>
        <w:left w:val="none" w:sz="0" w:space="0" w:color="auto"/>
        <w:bottom w:val="none" w:sz="0" w:space="0" w:color="auto"/>
        <w:right w:val="none" w:sz="0" w:space="0" w:color="auto"/>
      </w:divBdr>
      <w:divsChild>
        <w:div w:id="407461740">
          <w:marLeft w:val="0"/>
          <w:marRight w:val="0"/>
          <w:marTop w:val="0"/>
          <w:marBottom w:val="0"/>
          <w:divBdr>
            <w:top w:val="none" w:sz="0" w:space="0" w:color="auto"/>
            <w:left w:val="none" w:sz="0" w:space="0" w:color="auto"/>
            <w:bottom w:val="none" w:sz="0" w:space="0" w:color="auto"/>
            <w:right w:val="none" w:sz="0" w:space="0" w:color="auto"/>
          </w:divBdr>
          <w:divsChild>
            <w:div w:id="20917276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14655882">
      <w:marLeft w:val="0"/>
      <w:marRight w:val="0"/>
      <w:marTop w:val="0"/>
      <w:marBottom w:val="0"/>
      <w:divBdr>
        <w:top w:val="none" w:sz="0" w:space="0" w:color="auto"/>
        <w:left w:val="none" w:sz="0" w:space="0" w:color="auto"/>
        <w:bottom w:val="none" w:sz="0" w:space="0" w:color="auto"/>
        <w:right w:val="none" w:sz="0" w:space="0" w:color="auto"/>
      </w:divBdr>
    </w:div>
    <w:div w:id="1219171387">
      <w:marLeft w:val="0"/>
      <w:marRight w:val="0"/>
      <w:marTop w:val="180"/>
      <w:marBottom w:val="180"/>
      <w:divBdr>
        <w:top w:val="none" w:sz="0" w:space="0" w:color="auto"/>
        <w:left w:val="none" w:sz="0" w:space="0" w:color="auto"/>
        <w:bottom w:val="none" w:sz="0" w:space="0" w:color="auto"/>
        <w:right w:val="none" w:sz="0" w:space="0" w:color="auto"/>
      </w:divBdr>
    </w:div>
    <w:div w:id="1225870426">
      <w:marLeft w:val="0"/>
      <w:marRight w:val="0"/>
      <w:marTop w:val="60"/>
      <w:marBottom w:val="60"/>
      <w:divBdr>
        <w:top w:val="none" w:sz="0" w:space="0" w:color="auto"/>
        <w:left w:val="none" w:sz="0" w:space="0" w:color="auto"/>
        <w:bottom w:val="none" w:sz="0" w:space="0" w:color="auto"/>
        <w:right w:val="none" w:sz="0" w:space="0" w:color="auto"/>
      </w:divBdr>
    </w:div>
    <w:div w:id="1227717990">
      <w:marLeft w:val="0"/>
      <w:marRight w:val="0"/>
      <w:marTop w:val="180"/>
      <w:marBottom w:val="180"/>
      <w:divBdr>
        <w:top w:val="none" w:sz="0" w:space="0" w:color="auto"/>
        <w:left w:val="none" w:sz="0" w:space="0" w:color="auto"/>
        <w:bottom w:val="none" w:sz="0" w:space="0" w:color="auto"/>
        <w:right w:val="none" w:sz="0" w:space="0" w:color="auto"/>
      </w:divBdr>
    </w:div>
    <w:div w:id="1229418890">
      <w:marLeft w:val="0"/>
      <w:marRight w:val="0"/>
      <w:marTop w:val="60"/>
      <w:marBottom w:val="60"/>
      <w:divBdr>
        <w:top w:val="none" w:sz="0" w:space="0" w:color="auto"/>
        <w:left w:val="none" w:sz="0" w:space="0" w:color="auto"/>
        <w:bottom w:val="none" w:sz="0" w:space="0" w:color="auto"/>
        <w:right w:val="none" w:sz="0" w:space="0" w:color="auto"/>
      </w:divBdr>
    </w:div>
    <w:div w:id="1229537795">
      <w:marLeft w:val="0"/>
      <w:marRight w:val="0"/>
      <w:marTop w:val="180"/>
      <w:marBottom w:val="180"/>
      <w:divBdr>
        <w:top w:val="none" w:sz="0" w:space="0" w:color="auto"/>
        <w:left w:val="none" w:sz="0" w:space="0" w:color="auto"/>
        <w:bottom w:val="none" w:sz="0" w:space="0" w:color="auto"/>
        <w:right w:val="none" w:sz="0" w:space="0" w:color="auto"/>
      </w:divBdr>
    </w:div>
    <w:div w:id="1230575446">
      <w:marLeft w:val="0"/>
      <w:marRight w:val="0"/>
      <w:marTop w:val="60"/>
      <w:marBottom w:val="60"/>
      <w:divBdr>
        <w:top w:val="none" w:sz="0" w:space="0" w:color="auto"/>
        <w:left w:val="none" w:sz="0" w:space="0" w:color="auto"/>
        <w:bottom w:val="none" w:sz="0" w:space="0" w:color="auto"/>
        <w:right w:val="none" w:sz="0" w:space="0" w:color="auto"/>
      </w:divBdr>
    </w:div>
    <w:div w:id="1232696687">
      <w:marLeft w:val="0"/>
      <w:marRight w:val="0"/>
      <w:marTop w:val="180"/>
      <w:marBottom w:val="180"/>
      <w:divBdr>
        <w:top w:val="none" w:sz="0" w:space="0" w:color="auto"/>
        <w:left w:val="none" w:sz="0" w:space="0" w:color="auto"/>
        <w:bottom w:val="none" w:sz="0" w:space="0" w:color="auto"/>
        <w:right w:val="none" w:sz="0" w:space="0" w:color="auto"/>
      </w:divBdr>
    </w:div>
    <w:div w:id="1232738776">
      <w:marLeft w:val="0"/>
      <w:marRight w:val="0"/>
      <w:marTop w:val="60"/>
      <w:marBottom w:val="60"/>
      <w:divBdr>
        <w:top w:val="none" w:sz="0" w:space="0" w:color="auto"/>
        <w:left w:val="none" w:sz="0" w:space="0" w:color="auto"/>
        <w:bottom w:val="none" w:sz="0" w:space="0" w:color="auto"/>
        <w:right w:val="none" w:sz="0" w:space="0" w:color="auto"/>
      </w:divBdr>
    </w:div>
    <w:div w:id="1233195508">
      <w:marLeft w:val="0"/>
      <w:marRight w:val="0"/>
      <w:marTop w:val="0"/>
      <w:marBottom w:val="0"/>
      <w:divBdr>
        <w:top w:val="none" w:sz="0" w:space="0" w:color="auto"/>
        <w:left w:val="none" w:sz="0" w:space="0" w:color="auto"/>
        <w:bottom w:val="none" w:sz="0" w:space="0" w:color="auto"/>
        <w:right w:val="none" w:sz="0" w:space="0" w:color="auto"/>
      </w:divBdr>
      <w:divsChild>
        <w:div w:id="1512185119">
          <w:marLeft w:val="0"/>
          <w:marRight w:val="0"/>
          <w:marTop w:val="0"/>
          <w:marBottom w:val="0"/>
          <w:divBdr>
            <w:top w:val="none" w:sz="0" w:space="0" w:color="auto"/>
            <w:left w:val="none" w:sz="0" w:space="0" w:color="auto"/>
            <w:bottom w:val="none" w:sz="0" w:space="0" w:color="auto"/>
            <w:right w:val="none" w:sz="0" w:space="0" w:color="auto"/>
          </w:divBdr>
          <w:divsChild>
            <w:div w:id="13654028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5554647">
      <w:marLeft w:val="0"/>
      <w:marRight w:val="0"/>
      <w:marTop w:val="60"/>
      <w:marBottom w:val="60"/>
      <w:divBdr>
        <w:top w:val="none" w:sz="0" w:space="0" w:color="auto"/>
        <w:left w:val="none" w:sz="0" w:space="0" w:color="auto"/>
        <w:bottom w:val="none" w:sz="0" w:space="0" w:color="auto"/>
        <w:right w:val="none" w:sz="0" w:space="0" w:color="auto"/>
      </w:divBdr>
    </w:div>
    <w:div w:id="1237475881">
      <w:marLeft w:val="0"/>
      <w:marRight w:val="0"/>
      <w:marTop w:val="180"/>
      <w:marBottom w:val="180"/>
      <w:divBdr>
        <w:top w:val="none" w:sz="0" w:space="0" w:color="auto"/>
        <w:left w:val="none" w:sz="0" w:space="0" w:color="auto"/>
        <w:bottom w:val="none" w:sz="0" w:space="0" w:color="auto"/>
        <w:right w:val="none" w:sz="0" w:space="0" w:color="auto"/>
      </w:divBdr>
    </w:div>
    <w:div w:id="1240672110">
      <w:marLeft w:val="0"/>
      <w:marRight w:val="0"/>
      <w:marTop w:val="60"/>
      <w:marBottom w:val="60"/>
      <w:divBdr>
        <w:top w:val="none" w:sz="0" w:space="0" w:color="auto"/>
        <w:left w:val="none" w:sz="0" w:space="0" w:color="auto"/>
        <w:bottom w:val="none" w:sz="0" w:space="0" w:color="auto"/>
        <w:right w:val="none" w:sz="0" w:space="0" w:color="auto"/>
      </w:divBdr>
    </w:div>
    <w:div w:id="1241519675">
      <w:marLeft w:val="0"/>
      <w:marRight w:val="0"/>
      <w:marTop w:val="100"/>
      <w:marBottom w:val="0"/>
      <w:divBdr>
        <w:top w:val="none" w:sz="0" w:space="0" w:color="auto"/>
        <w:left w:val="none" w:sz="0" w:space="0" w:color="auto"/>
        <w:bottom w:val="none" w:sz="0" w:space="0" w:color="auto"/>
        <w:right w:val="none" w:sz="0" w:space="0" w:color="auto"/>
      </w:divBdr>
      <w:divsChild>
        <w:div w:id="220529964">
          <w:marLeft w:val="0"/>
          <w:marRight w:val="0"/>
          <w:marTop w:val="0"/>
          <w:marBottom w:val="0"/>
          <w:divBdr>
            <w:top w:val="none" w:sz="0" w:space="0" w:color="auto"/>
            <w:left w:val="none" w:sz="0" w:space="0" w:color="auto"/>
            <w:bottom w:val="none" w:sz="0" w:space="0" w:color="auto"/>
            <w:right w:val="none" w:sz="0" w:space="0" w:color="auto"/>
          </w:divBdr>
        </w:div>
      </w:divsChild>
    </w:div>
    <w:div w:id="1242640760">
      <w:marLeft w:val="0"/>
      <w:marRight w:val="0"/>
      <w:marTop w:val="60"/>
      <w:marBottom w:val="60"/>
      <w:divBdr>
        <w:top w:val="none" w:sz="0" w:space="0" w:color="auto"/>
        <w:left w:val="none" w:sz="0" w:space="0" w:color="auto"/>
        <w:bottom w:val="none" w:sz="0" w:space="0" w:color="auto"/>
        <w:right w:val="none" w:sz="0" w:space="0" w:color="auto"/>
      </w:divBdr>
    </w:div>
    <w:div w:id="1244533409">
      <w:marLeft w:val="0"/>
      <w:marRight w:val="0"/>
      <w:marTop w:val="0"/>
      <w:marBottom w:val="0"/>
      <w:divBdr>
        <w:top w:val="none" w:sz="0" w:space="0" w:color="auto"/>
        <w:left w:val="none" w:sz="0" w:space="0" w:color="auto"/>
        <w:bottom w:val="none" w:sz="0" w:space="0" w:color="auto"/>
        <w:right w:val="none" w:sz="0" w:space="0" w:color="auto"/>
      </w:divBdr>
      <w:divsChild>
        <w:div w:id="630205602">
          <w:marLeft w:val="0"/>
          <w:marRight w:val="0"/>
          <w:marTop w:val="60"/>
          <w:marBottom w:val="180"/>
          <w:divBdr>
            <w:top w:val="none" w:sz="0" w:space="0" w:color="auto"/>
            <w:left w:val="none" w:sz="0" w:space="0" w:color="auto"/>
            <w:bottom w:val="none" w:sz="0" w:space="0" w:color="auto"/>
            <w:right w:val="none" w:sz="0" w:space="0" w:color="auto"/>
          </w:divBdr>
        </w:div>
      </w:divsChild>
    </w:div>
    <w:div w:id="1244603398">
      <w:marLeft w:val="0"/>
      <w:marRight w:val="0"/>
      <w:marTop w:val="180"/>
      <w:marBottom w:val="180"/>
      <w:divBdr>
        <w:top w:val="none" w:sz="0" w:space="0" w:color="auto"/>
        <w:left w:val="none" w:sz="0" w:space="0" w:color="auto"/>
        <w:bottom w:val="none" w:sz="0" w:space="0" w:color="auto"/>
        <w:right w:val="none" w:sz="0" w:space="0" w:color="auto"/>
      </w:divBdr>
    </w:div>
    <w:div w:id="1246453910">
      <w:marLeft w:val="0"/>
      <w:marRight w:val="0"/>
      <w:marTop w:val="180"/>
      <w:marBottom w:val="60"/>
      <w:divBdr>
        <w:top w:val="none" w:sz="0" w:space="0" w:color="auto"/>
        <w:left w:val="none" w:sz="0" w:space="0" w:color="auto"/>
        <w:bottom w:val="none" w:sz="0" w:space="0" w:color="auto"/>
        <w:right w:val="none" w:sz="0" w:space="0" w:color="auto"/>
      </w:divBdr>
    </w:div>
    <w:div w:id="1246888111">
      <w:marLeft w:val="0"/>
      <w:marRight w:val="0"/>
      <w:marTop w:val="60"/>
      <w:marBottom w:val="60"/>
      <w:divBdr>
        <w:top w:val="none" w:sz="0" w:space="0" w:color="auto"/>
        <w:left w:val="none" w:sz="0" w:space="0" w:color="auto"/>
        <w:bottom w:val="none" w:sz="0" w:space="0" w:color="auto"/>
        <w:right w:val="none" w:sz="0" w:space="0" w:color="auto"/>
      </w:divBdr>
    </w:div>
    <w:div w:id="1247809577">
      <w:marLeft w:val="0"/>
      <w:marRight w:val="0"/>
      <w:marTop w:val="180"/>
      <w:marBottom w:val="180"/>
      <w:divBdr>
        <w:top w:val="none" w:sz="0" w:space="0" w:color="auto"/>
        <w:left w:val="none" w:sz="0" w:space="0" w:color="auto"/>
        <w:bottom w:val="none" w:sz="0" w:space="0" w:color="auto"/>
        <w:right w:val="none" w:sz="0" w:space="0" w:color="auto"/>
      </w:divBdr>
      <w:divsChild>
        <w:div w:id="1213269958">
          <w:marLeft w:val="0"/>
          <w:marRight w:val="0"/>
          <w:marTop w:val="0"/>
          <w:marBottom w:val="0"/>
          <w:divBdr>
            <w:top w:val="none" w:sz="0" w:space="0" w:color="auto"/>
            <w:left w:val="none" w:sz="0" w:space="0" w:color="auto"/>
            <w:bottom w:val="none" w:sz="0" w:space="0" w:color="auto"/>
            <w:right w:val="none" w:sz="0" w:space="0" w:color="auto"/>
          </w:divBdr>
        </w:div>
        <w:div w:id="981695263">
          <w:marLeft w:val="0"/>
          <w:marRight w:val="0"/>
          <w:marTop w:val="0"/>
          <w:marBottom w:val="0"/>
          <w:divBdr>
            <w:top w:val="none" w:sz="0" w:space="0" w:color="auto"/>
            <w:left w:val="none" w:sz="0" w:space="0" w:color="auto"/>
            <w:bottom w:val="none" w:sz="0" w:space="0" w:color="auto"/>
            <w:right w:val="none" w:sz="0" w:space="0" w:color="auto"/>
          </w:divBdr>
        </w:div>
        <w:div w:id="2119372964">
          <w:marLeft w:val="0"/>
          <w:marRight w:val="0"/>
          <w:marTop w:val="0"/>
          <w:marBottom w:val="0"/>
          <w:divBdr>
            <w:top w:val="none" w:sz="0" w:space="0" w:color="auto"/>
            <w:left w:val="none" w:sz="0" w:space="0" w:color="auto"/>
            <w:bottom w:val="none" w:sz="0" w:space="0" w:color="auto"/>
            <w:right w:val="none" w:sz="0" w:space="0" w:color="auto"/>
          </w:divBdr>
        </w:div>
      </w:divsChild>
    </w:div>
    <w:div w:id="1248615161">
      <w:marLeft w:val="0"/>
      <w:marRight w:val="0"/>
      <w:marTop w:val="180"/>
      <w:marBottom w:val="60"/>
      <w:divBdr>
        <w:top w:val="none" w:sz="0" w:space="0" w:color="auto"/>
        <w:left w:val="none" w:sz="0" w:space="0" w:color="auto"/>
        <w:bottom w:val="none" w:sz="0" w:space="0" w:color="auto"/>
        <w:right w:val="none" w:sz="0" w:space="0" w:color="auto"/>
      </w:divBdr>
    </w:div>
    <w:div w:id="1249117548">
      <w:marLeft w:val="0"/>
      <w:marRight w:val="0"/>
      <w:marTop w:val="60"/>
      <w:marBottom w:val="60"/>
      <w:divBdr>
        <w:top w:val="none" w:sz="0" w:space="0" w:color="auto"/>
        <w:left w:val="none" w:sz="0" w:space="0" w:color="auto"/>
        <w:bottom w:val="none" w:sz="0" w:space="0" w:color="auto"/>
        <w:right w:val="none" w:sz="0" w:space="0" w:color="auto"/>
      </w:divBdr>
    </w:div>
    <w:div w:id="1251085356">
      <w:marLeft w:val="0"/>
      <w:marRight w:val="0"/>
      <w:marTop w:val="180"/>
      <w:marBottom w:val="180"/>
      <w:divBdr>
        <w:top w:val="none" w:sz="0" w:space="0" w:color="auto"/>
        <w:left w:val="none" w:sz="0" w:space="0" w:color="auto"/>
        <w:bottom w:val="none" w:sz="0" w:space="0" w:color="auto"/>
        <w:right w:val="none" w:sz="0" w:space="0" w:color="auto"/>
      </w:divBdr>
    </w:div>
    <w:div w:id="1252005615">
      <w:marLeft w:val="0"/>
      <w:marRight w:val="0"/>
      <w:marTop w:val="60"/>
      <w:marBottom w:val="60"/>
      <w:divBdr>
        <w:top w:val="none" w:sz="0" w:space="0" w:color="auto"/>
        <w:left w:val="none" w:sz="0" w:space="0" w:color="auto"/>
        <w:bottom w:val="none" w:sz="0" w:space="0" w:color="auto"/>
        <w:right w:val="none" w:sz="0" w:space="0" w:color="auto"/>
      </w:divBdr>
    </w:div>
    <w:div w:id="1254242764">
      <w:marLeft w:val="0"/>
      <w:marRight w:val="0"/>
      <w:marTop w:val="0"/>
      <w:marBottom w:val="0"/>
      <w:divBdr>
        <w:top w:val="none" w:sz="0" w:space="0" w:color="auto"/>
        <w:left w:val="none" w:sz="0" w:space="0" w:color="auto"/>
        <w:bottom w:val="none" w:sz="0" w:space="0" w:color="auto"/>
        <w:right w:val="none" w:sz="0" w:space="0" w:color="auto"/>
      </w:divBdr>
      <w:divsChild>
        <w:div w:id="1606040335">
          <w:marLeft w:val="0"/>
          <w:marRight w:val="0"/>
          <w:marTop w:val="180"/>
          <w:marBottom w:val="180"/>
          <w:divBdr>
            <w:top w:val="none" w:sz="0" w:space="0" w:color="auto"/>
            <w:left w:val="none" w:sz="0" w:space="0" w:color="auto"/>
            <w:bottom w:val="none" w:sz="0" w:space="0" w:color="auto"/>
            <w:right w:val="none" w:sz="0" w:space="0" w:color="auto"/>
          </w:divBdr>
        </w:div>
      </w:divsChild>
    </w:div>
    <w:div w:id="1255357983">
      <w:marLeft w:val="0"/>
      <w:marRight w:val="0"/>
      <w:marTop w:val="0"/>
      <w:marBottom w:val="0"/>
      <w:divBdr>
        <w:top w:val="none" w:sz="0" w:space="0" w:color="auto"/>
        <w:left w:val="none" w:sz="0" w:space="0" w:color="auto"/>
        <w:bottom w:val="none" w:sz="0" w:space="0" w:color="auto"/>
        <w:right w:val="none" w:sz="0" w:space="0" w:color="auto"/>
      </w:divBdr>
      <w:divsChild>
        <w:div w:id="184296079">
          <w:marLeft w:val="0"/>
          <w:marRight w:val="0"/>
          <w:marTop w:val="0"/>
          <w:marBottom w:val="0"/>
          <w:divBdr>
            <w:top w:val="none" w:sz="0" w:space="0" w:color="auto"/>
            <w:left w:val="none" w:sz="0" w:space="0" w:color="auto"/>
            <w:bottom w:val="none" w:sz="0" w:space="0" w:color="auto"/>
            <w:right w:val="none" w:sz="0" w:space="0" w:color="auto"/>
          </w:divBdr>
          <w:divsChild>
            <w:div w:id="12241757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5944486">
      <w:marLeft w:val="0"/>
      <w:marRight w:val="0"/>
      <w:marTop w:val="60"/>
      <w:marBottom w:val="60"/>
      <w:divBdr>
        <w:top w:val="none" w:sz="0" w:space="0" w:color="auto"/>
        <w:left w:val="none" w:sz="0" w:space="0" w:color="auto"/>
        <w:bottom w:val="none" w:sz="0" w:space="0" w:color="auto"/>
        <w:right w:val="none" w:sz="0" w:space="0" w:color="auto"/>
      </w:divBdr>
    </w:div>
    <w:div w:id="1256210827">
      <w:marLeft w:val="0"/>
      <w:marRight w:val="0"/>
      <w:marTop w:val="180"/>
      <w:marBottom w:val="180"/>
      <w:divBdr>
        <w:top w:val="none" w:sz="0" w:space="0" w:color="auto"/>
        <w:left w:val="none" w:sz="0" w:space="0" w:color="auto"/>
        <w:bottom w:val="none" w:sz="0" w:space="0" w:color="auto"/>
        <w:right w:val="none" w:sz="0" w:space="0" w:color="auto"/>
      </w:divBdr>
    </w:div>
    <w:div w:id="1257247897">
      <w:marLeft w:val="0"/>
      <w:marRight w:val="0"/>
      <w:marTop w:val="180"/>
      <w:marBottom w:val="180"/>
      <w:divBdr>
        <w:top w:val="none" w:sz="0" w:space="0" w:color="auto"/>
        <w:left w:val="none" w:sz="0" w:space="0" w:color="auto"/>
        <w:bottom w:val="none" w:sz="0" w:space="0" w:color="auto"/>
        <w:right w:val="none" w:sz="0" w:space="0" w:color="auto"/>
      </w:divBdr>
    </w:div>
    <w:div w:id="1257594931">
      <w:marLeft w:val="0"/>
      <w:marRight w:val="0"/>
      <w:marTop w:val="0"/>
      <w:marBottom w:val="0"/>
      <w:divBdr>
        <w:top w:val="none" w:sz="0" w:space="0" w:color="auto"/>
        <w:left w:val="none" w:sz="0" w:space="0" w:color="auto"/>
        <w:bottom w:val="none" w:sz="0" w:space="0" w:color="auto"/>
        <w:right w:val="none" w:sz="0" w:space="0" w:color="auto"/>
      </w:divBdr>
      <w:divsChild>
        <w:div w:id="715080017">
          <w:marLeft w:val="0"/>
          <w:marRight w:val="0"/>
          <w:marTop w:val="60"/>
          <w:marBottom w:val="180"/>
          <w:divBdr>
            <w:top w:val="none" w:sz="0" w:space="0" w:color="auto"/>
            <w:left w:val="none" w:sz="0" w:space="0" w:color="auto"/>
            <w:bottom w:val="none" w:sz="0" w:space="0" w:color="auto"/>
            <w:right w:val="none" w:sz="0" w:space="0" w:color="auto"/>
          </w:divBdr>
        </w:div>
      </w:divsChild>
    </w:div>
    <w:div w:id="1259216702">
      <w:marLeft w:val="0"/>
      <w:marRight w:val="0"/>
      <w:marTop w:val="180"/>
      <w:marBottom w:val="180"/>
      <w:divBdr>
        <w:top w:val="none" w:sz="0" w:space="0" w:color="auto"/>
        <w:left w:val="none" w:sz="0" w:space="0" w:color="auto"/>
        <w:bottom w:val="none" w:sz="0" w:space="0" w:color="auto"/>
        <w:right w:val="none" w:sz="0" w:space="0" w:color="auto"/>
      </w:divBdr>
    </w:div>
    <w:div w:id="1262255081">
      <w:marLeft w:val="0"/>
      <w:marRight w:val="0"/>
      <w:marTop w:val="180"/>
      <w:marBottom w:val="180"/>
      <w:divBdr>
        <w:top w:val="none" w:sz="0" w:space="0" w:color="auto"/>
        <w:left w:val="none" w:sz="0" w:space="0" w:color="auto"/>
        <w:bottom w:val="none" w:sz="0" w:space="0" w:color="auto"/>
        <w:right w:val="none" w:sz="0" w:space="0" w:color="auto"/>
      </w:divBdr>
    </w:div>
    <w:div w:id="1262371833">
      <w:marLeft w:val="0"/>
      <w:marRight w:val="0"/>
      <w:marTop w:val="180"/>
      <w:marBottom w:val="180"/>
      <w:divBdr>
        <w:top w:val="none" w:sz="0" w:space="0" w:color="auto"/>
        <w:left w:val="none" w:sz="0" w:space="0" w:color="auto"/>
        <w:bottom w:val="none" w:sz="0" w:space="0" w:color="auto"/>
        <w:right w:val="none" w:sz="0" w:space="0" w:color="auto"/>
      </w:divBdr>
    </w:div>
    <w:div w:id="1264190711">
      <w:marLeft w:val="0"/>
      <w:marRight w:val="0"/>
      <w:marTop w:val="180"/>
      <w:marBottom w:val="180"/>
      <w:divBdr>
        <w:top w:val="none" w:sz="0" w:space="0" w:color="auto"/>
        <w:left w:val="none" w:sz="0" w:space="0" w:color="auto"/>
        <w:bottom w:val="none" w:sz="0" w:space="0" w:color="auto"/>
        <w:right w:val="none" w:sz="0" w:space="0" w:color="auto"/>
      </w:divBdr>
    </w:div>
    <w:div w:id="1264341135">
      <w:marLeft w:val="0"/>
      <w:marRight w:val="0"/>
      <w:marTop w:val="180"/>
      <w:marBottom w:val="60"/>
      <w:divBdr>
        <w:top w:val="none" w:sz="0" w:space="0" w:color="auto"/>
        <w:left w:val="none" w:sz="0" w:space="0" w:color="auto"/>
        <w:bottom w:val="none" w:sz="0" w:space="0" w:color="auto"/>
        <w:right w:val="none" w:sz="0" w:space="0" w:color="auto"/>
      </w:divBdr>
    </w:div>
    <w:div w:id="1264537814">
      <w:marLeft w:val="0"/>
      <w:marRight w:val="0"/>
      <w:marTop w:val="0"/>
      <w:marBottom w:val="0"/>
      <w:divBdr>
        <w:top w:val="none" w:sz="0" w:space="0" w:color="auto"/>
        <w:left w:val="none" w:sz="0" w:space="0" w:color="auto"/>
        <w:bottom w:val="none" w:sz="0" w:space="0" w:color="auto"/>
        <w:right w:val="none" w:sz="0" w:space="0" w:color="auto"/>
      </w:divBdr>
    </w:div>
    <w:div w:id="1265649996">
      <w:marLeft w:val="0"/>
      <w:marRight w:val="0"/>
      <w:marTop w:val="180"/>
      <w:marBottom w:val="180"/>
      <w:divBdr>
        <w:top w:val="none" w:sz="0" w:space="0" w:color="auto"/>
        <w:left w:val="none" w:sz="0" w:space="0" w:color="auto"/>
        <w:bottom w:val="none" w:sz="0" w:space="0" w:color="auto"/>
        <w:right w:val="none" w:sz="0" w:space="0" w:color="auto"/>
      </w:divBdr>
    </w:div>
    <w:div w:id="1266840786">
      <w:marLeft w:val="0"/>
      <w:marRight w:val="0"/>
      <w:marTop w:val="60"/>
      <w:marBottom w:val="60"/>
      <w:divBdr>
        <w:top w:val="none" w:sz="0" w:space="0" w:color="auto"/>
        <w:left w:val="none" w:sz="0" w:space="0" w:color="auto"/>
        <w:bottom w:val="none" w:sz="0" w:space="0" w:color="auto"/>
        <w:right w:val="none" w:sz="0" w:space="0" w:color="auto"/>
      </w:divBdr>
    </w:div>
    <w:div w:id="1266960902">
      <w:marLeft w:val="0"/>
      <w:marRight w:val="0"/>
      <w:marTop w:val="180"/>
      <w:marBottom w:val="180"/>
      <w:divBdr>
        <w:top w:val="none" w:sz="0" w:space="0" w:color="auto"/>
        <w:left w:val="none" w:sz="0" w:space="0" w:color="auto"/>
        <w:bottom w:val="none" w:sz="0" w:space="0" w:color="auto"/>
        <w:right w:val="none" w:sz="0" w:space="0" w:color="auto"/>
      </w:divBdr>
    </w:div>
    <w:div w:id="1267814173">
      <w:marLeft w:val="0"/>
      <w:marRight w:val="0"/>
      <w:marTop w:val="0"/>
      <w:marBottom w:val="0"/>
      <w:divBdr>
        <w:top w:val="none" w:sz="0" w:space="0" w:color="auto"/>
        <w:left w:val="none" w:sz="0" w:space="0" w:color="auto"/>
        <w:bottom w:val="none" w:sz="0" w:space="0" w:color="auto"/>
        <w:right w:val="none" w:sz="0" w:space="0" w:color="auto"/>
      </w:divBdr>
      <w:divsChild>
        <w:div w:id="1175191934">
          <w:marLeft w:val="0"/>
          <w:marRight w:val="0"/>
          <w:marTop w:val="0"/>
          <w:marBottom w:val="0"/>
          <w:divBdr>
            <w:top w:val="none" w:sz="0" w:space="0" w:color="auto"/>
            <w:left w:val="none" w:sz="0" w:space="0" w:color="auto"/>
            <w:bottom w:val="none" w:sz="0" w:space="0" w:color="auto"/>
            <w:right w:val="none" w:sz="0" w:space="0" w:color="auto"/>
          </w:divBdr>
          <w:divsChild>
            <w:div w:id="18470136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8349584">
      <w:marLeft w:val="0"/>
      <w:marRight w:val="0"/>
      <w:marTop w:val="180"/>
      <w:marBottom w:val="60"/>
      <w:divBdr>
        <w:top w:val="none" w:sz="0" w:space="0" w:color="auto"/>
        <w:left w:val="none" w:sz="0" w:space="0" w:color="auto"/>
        <w:bottom w:val="none" w:sz="0" w:space="0" w:color="auto"/>
        <w:right w:val="none" w:sz="0" w:space="0" w:color="auto"/>
      </w:divBdr>
      <w:divsChild>
        <w:div w:id="10301231">
          <w:marLeft w:val="0"/>
          <w:marRight w:val="0"/>
          <w:marTop w:val="0"/>
          <w:marBottom w:val="0"/>
          <w:divBdr>
            <w:top w:val="none" w:sz="0" w:space="0" w:color="auto"/>
            <w:left w:val="none" w:sz="0" w:space="0" w:color="auto"/>
            <w:bottom w:val="none" w:sz="0" w:space="0" w:color="auto"/>
            <w:right w:val="none" w:sz="0" w:space="0" w:color="auto"/>
          </w:divBdr>
        </w:div>
      </w:divsChild>
    </w:div>
    <w:div w:id="1271546501">
      <w:marLeft w:val="0"/>
      <w:marRight w:val="0"/>
      <w:marTop w:val="0"/>
      <w:marBottom w:val="60"/>
      <w:divBdr>
        <w:top w:val="none" w:sz="0" w:space="0" w:color="auto"/>
        <w:left w:val="none" w:sz="0" w:space="0" w:color="auto"/>
        <w:bottom w:val="none" w:sz="0" w:space="0" w:color="auto"/>
        <w:right w:val="none" w:sz="0" w:space="0" w:color="auto"/>
      </w:divBdr>
    </w:div>
    <w:div w:id="1272779941">
      <w:marLeft w:val="0"/>
      <w:marRight w:val="0"/>
      <w:marTop w:val="180"/>
      <w:marBottom w:val="180"/>
      <w:divBdr>
        <w:top w:val="none" w:sz="0" w:space="0" w:color="auto"/>
        <w:left w:val="none" w:sz="0" w:space="0" w:color="auto"/>
        <w:bottom w:val="none" w:sz="0" w:space="0" w:color="auto"/>
        <w:right w:val="none" w:sz="0" w:space="0" w:color="auto"/>
      </w:divBdr>
    </w:div>
    <w:div w:id="1275789674">
      <w:marLeft w:val="0"/>
      <w:marRight w:val="0"/>
      <w:marTop w:val="180"/>
      <w:marBottom w:val="180"/>
      <w:divBdr>
        <w:top w:val="none" w:sz="0" w:space="0" w:color="auto"/>
        <w:left w:val="none" w:sz="0" w:space="0" w:color="auto"/>
        <w:bottom w:val="none" w:sz="0" w:space="0" w:color="auto"/>
        <w:right w:val="none" w:sz="0" w:space="0" w:color="auto"/>
      </w:divBdr>
    </w:div>
    <w:div w:id="1275987637">
      <w:marLeft w:val="0"/>
      <w:marRight w:val="0"/>
      <w:marTop w:val="60"/>
      <w:marBottom w:val="60"/>
      <w:divBdr>
        <w:top w:val="none" w:sz="0" w:space="0" w:color="auto"/>
        <w:left w:val="none" w:sz="0" w:space="0" w:color="auto"/>
        <w:bottom w:val="none" w:sz="0" w:space="0" w:color="auto"/>
        <w:right w:val="none" w:sz="0" w:space="0" w:color="auto"/>
      </w:divBdr>
    </w:div>
    <w:div w:id="1276135450">
      <w:marLeft w:val="0"/>
      <w:marRight w:val="0"/>
      <w:marTop w:val="180"/>
      <w:marBottom w:val="180"/>
      <w:divBdr>
        <w:top w:val="none" w:sz="0" w:space="0" w:color="auto"/>
        <w:left w:val="none" w:sz="0" w:space="0" w:color="auto"/>
        <w:bottom w:val="none" w:sz="0" w:space="0" w:color="auto"/>
        <w:right w:val="none" w:sz="0" w:space="0" w:color="auto"/>
      </w:divBdr>
    </w:div>
    <w:div w:id="1277716204">
      <w:marLeft w:val="0"/>
      <w:marRight w:val="0"/>
      <w:marTop w:val="180"/>
      <w:marBottom w:val="180"/>
      <w:divBdr>
        <w:top w:val="none" w:sz="0" w:space="0" w:color="auto"/>
        <w:left w:val="none" w:sz="0" w:space="0" w:color="auto"/>
        <w:bottom w:val="none" w:sz="0" w:space="0" w:color="auto"/>
        <w:right w:val="none" w:sz="0" w:space="0" w:color="auto"/>
      </w:divBdr>
    </w:div>
    <w:div w:id="1277978324">
      <w:marLeft w:val="0"/>
      <w:marRight w:val="0"/>
      <w:marTop w:val="0"/>
      <w:marBottom w:val="0"/>
      <w:divBdr>
        <w:top w:val="none" w:sz="0" w:space="0" w:color="auto"/>
        <w:left w:val="none" w:sz="0" w:space="0" w:color="auto"/>
        <w:bottom w:val="none" w:sz="0" w:space="0" w:color="auto"/>
        <w:right w:val="none" w:sz="0" w:space="0" w:color="auto"/>
      </w:divBdr>
    </w:div>
    <w:div w:id="1278486851">
      <w:marLeft w:val="0"/>
      <w:marRight w:val="0"/>
      <w:marTop w:val="0"/>
      <w:marBottom w:val="0"/>
      <w:divBdr>
        <w:top w:val="none" w:sz="0" w:space="0" w:color="auto"/>
        <w:left w:val="none" w:sz="0" w:space="0" w:color="auto"/>
        <w:bottom w:val="none" w:sz="0" w:space="0" w:color="auto"/>
        <w:right w:val="none" w:sz="0" w:space="0" w:color="auto"/>
      </w:divBdr>
      <w:divsChild>
        <w:div w:id="959341924">
          <w:marLeft w:val="0"/>
          <w:marRight w:val="0"/>
          <w:marTop w:val="60"/>
          <w:marBottom w:val="180"/>
          <w:divBdr>
            <w:top w:val="none" w:sz="0" w:space="0" w:color="auto"/>
            <w:left w:val="none" w:sz="0" w:space="0" w:color="auto"/>
            <w:bottom w:val="none" w:sz="0" w:space="0" w:color="auto"/>
            <w:right w:val="none" w:sz="0" w:space="0" w:color="auto"/>
          </w:divBdr>
        </w:div>
      </w:divsChild>
    </w:div>
    <w:div w:id="1278875205">
      <w:marLeft w:val="0"/>
      <w:marRight w:val="0"/>
      <w:marTop w:val="0"/>
      <w:marBottom w:val="0"/>
      <w:divBdr>
        <w:top w:val="none" w:sz="0" w:space="0" w:color="auto"/>
        <w:left w:val="none" w:sz="0" w:space="0" w:color="auto"/>
        <w:bottom w:val="none" w:sz="0" w:space="0" w:color="auto"/>
        <w:right w:val="none" w:sz="0" w:space="0" w:color="auto"/>
      </w:divBdr>
    </w:div>
    <w:div w:id="1280140741">
      <w:marLeft w:val="0"/>
      <w:marRight w:val="0"/>
      <w:marTop w:val="180"/>
      <w:marBottom w:val="180"/>
      <w:divBdr>
        <w:top w:val="none" w:sz="0" w:space="0" w:color="auto"/>
        <w:left w:val="none" w:sz="0" w:space="0" w:color="auto"/>
        <w:bottom w:val="none" w:sz="0" w:space="0" w:color="auto"/>
        <w:right w:val="none" w:sz="0" w:space="0" w:color="auto"/>
      </w:divBdr>
      <w:divsChild>
        <w:div w:id="914630728">
          <w:marLeft w:val="0"/>
          <w:marRight w:val="0"/>
          <w:marTop w:val="0"/>
          <w:marBottom w:val="0"/>
          <w:divBdr>
            <w:top w:val="none" w:sz="0" w:space="0" w:color="auto"/>
            <w:left w:val="none" w:sz="0" w:space="0" w:color="auto"/>
            <w:bottom w:val="none" w:sz="0" w:space="0" w:color="auto"/>
            <w:right w:val="none" w:sz="0" w:space="0" w:color="auto"/>
          </w:divBdr>
        </w:div>
        <w:div w:id="1975326914">
          <w:marLeft w:val="0"/>
          <w:marRight w:val="0"/>
          <w:marTop w:val="0"/>
          <w:marBottom w:val="0"/>
          <w:divBdr>
            <w:top w:val="none" w:sz="0" w:space="0" w:color="auto"/>
            <w:left w:val="none" w:sz="0" w:space="0" w:color="auto"/>
            <w:bottom w:val="none" w:sz="0" w:space="0" w:color="auto"/>
            <w:right w:val="none" w:sz="0" w:space="0" w:color="auto"/>
          </w:divBdr>
        </w:div>
        <w:div w:id="1395933114">
          <w:marLeft w:val="0"/>
          <w:marRight w:val="0"/>
          <w:marTop w:val="0"/>
          <w:marBottom w:val="0"/>
          <w:divBdr>
            <w:top w:val="none" w:sz="0" w:space="0" w:color="auto"/>
            <w:left w:val="none" w:sz="0" w:space="0" w:color="auto"/>
            <w:bottom w:val="none" w:sz="0" w:space="0" w:color="auto"/>
            <w:right w:val="none" w:sz="0" w:space="0" w:color="auto"/>
          </w:divBdr>
        </w:div>
        <w:div w:id="1552619964">
          <w:marLeft w:val="0"/>
          <w:marRight w:val="0"/>
          <w:marTop w:val="0"/>
          <w:marBottom w:val="0"/>
          <w:divBdr>
            <w:top w:val="none" w:sz="0" w:space="0" w:color="auto"/>
            <w:left w:val="none" w:sz="0" w:space="0" w:color="auto"/>
            <w:bottom w:val="none" w:sz="0" w:space="0" w:color="auto"/>
            <w:right w:val="none" w:sz="0" w:space="0" w:color="auto"/>
          </w:divBdr>
        </w:div>
        <w:div w:id="1510485959">
          <w:marLeft w:val="0"/>
          <w:marRight w:val="0"/>
          <w:marTop w:val="0"/>
          <w:marBottom w:val="0"/>
          <w:divBdr>
            <w:top w:val="none" w:sz="0" w:space="0" w:color="auto"/>
            <w:left w:val="none" w:sz="0" w:space="0" w:color="auto"/>
            <w:bottom w:val="none" w:sz="0" w:space="0" w:color="auto"/>
            <w:right w:val="none" w:sz="0" w:space="0" w:color="auto"/>
          </w:divBdr>
        </w:div>
        <w:div w:id="1816407645">
          <w:marLeft w:val="0"/>
          <w:marRight w:val="0"/>
          <w:marTop w:val="0"/>
          <w:marBottom w:val="0"/>
          <w:divBdr>
            <w:top w:val="none" w:sz="0" w:space="0" w:color="auto"/>
            <w:left w:val="none" w:sz="0" w:space="0" w:color="auto"/>
            <w:bottom w:val="none" w:sz="0" w:space="0" w:color="auto"/>
            <w:right w:val="none" w:sz="0" w:space="0" w:color="auto"/>
          </w:divBdr>
        </w:div>
        <w:div w:id="921529094">
          <w:marLeft w:val="0"/>
          <w:marRight w:val="0"/>
          <w:marTop w:val="0"/>
          <w:marBottom w:val="0"/>
          <w:divBdr>
            <w:top w:val="none" w:sz="0" w:space="0" w:color="auto"/>
            <w:left w:val="none" w:sz="0" w:space="0" w:color="auto"/>
            <w:bottom w:val="none" w:sz="0" w:space="0" w:color="auto"/>
            <w:right w:val="none" w:sz="0" w:space="0" w:color="auto"/>
          </w:divBdr>
        </w:div>
        <w:div w:id="1871185787">
          <w:marLeft w:val="0"/>
          <w:marRight w:val="0"/>
          <w:marTop w:val="0"/>
          <w:marBottom w:val="0"/>
          <w:divBdr>
            <w:top w:val="none" w:sz="0" w:space="0" w:color="auto"/>
            <w:left w:val="none" w:sz="0" w:space="0" w:color="auto"/>
            <w:bottom w:val="none" w:sz="0" w:space="0" w:color="auto"/>
            <w:right w:val="none" w:sz="0" w:space="0" w:color="auto"/>
          </w:divBdr>
        </w:div>
        <w:div w:id="1928341681">
          <w:marLeft w:val="0"/>
          <w:marRight w:val="0"/>
          <w:marTop w:val="0"/>
          <w:marBottom w:val="0"/>
          <w:divBdr>
            <w:top w:val="none" w:sz="0" w:space="0" w:color="auto"/>
            <w:left w:val="none" w:sz="0" w:space="0" w:color="auto"/>
            <w:bottom w:val="none" w:sz="0" w:space="0" w:color="auto"/>
            <w:right w:val="none" w:sz="0" w:space="0" w:color="auto"/>
          </w:divBdr>
        </w:div>
        <w:div w:id="484203190">
          <w:marLeft w:val="0"/>
          <w:marRight w:val="0"/>
          <w:marTop w:val="0"/>
          <w:marBottom w:val="0"/>
          <w:divBdr>
            <w:top w:val="none" w:sz="0" w:space="0" w:color="auto"/>
            <w:left w:val="none" w:sz="0" w:space="0" w:color="auto"/>
            <w:bottom w:val="none" w:sz="0" w:space="0" w:color="auto"/>
            <w:right w:val="none" w:sz="0" w:space="0" w:color="auto"/>
          </w:divBdr>
        </w:div>
        <w:div w:id="706368090">
          <w:marLeft w:val="0"/>
          <w:marRight w:val="0"/>
          <w:marTop w:val="0"/>
          <w:marBottom w:val="0"/>
          <w:divBdr>
            <w:top w:val="none" w:sz="0" w:space="0" w:color="auto"/>
            <w:left w:val="none" w:sz="0" w:space="0" w:color="auto"/>
            <w:bottom w:val="none" w:sz="0" w:space="0" w:color="auto"/>
            <w:right w:val="none" w:sz="0" w:space="0" w:color="auto"/>
          </w:divBdr>
        </w:div>
        <w:div w:id="1531140452">
          <w:marLeft w:val="0"/>
          <w:marRight w:val="0"/>
          <w:marTop w:val="0"/>
          <w:marBottom w:val="0"/>
          <w:divBdr>
            <w:top w:val="none" w:sz="0" w:space="0" w:color="auto"/>
            <w:left w:val="none" w:sz="0" w:space="0" w:color="auto"/>
            <w:bottom w:val="none" w:sz="0" w:space="0" w:color="auto"/>
            <w:right w:val="none" w:sz="0" w:space="0" w:color="auto"/>
          </w:divBdr>
        </w:div>
        <w:div w:id="1882862399">
          <w:marLeft w:val="0"/>
          <w:marRight w:val="0"/>
          <w:marTop w:val="0"/>
          <w:marBottom w:val="0"/>
          <w:divBdr>
            <w:top w:val="none" w:sz="0" w:space="0" w:color="auto"/>
            <w:left w:val="none" w:sz="0" w:space="0" w:color="auto"/>
            <w:bottom w:val="none" w:sz="0" w:space="0" w:color="auto"/>
            <w:right w:val="none" w:sz="0" w:space="0" w:color="auto"/>
          </w:divBdr>
        </w:div>
        <w:div w:id="174459634">
          <w:marLeft w:val="0"/>
          <w:marRight w:val="0"/>
          <w:marTop w:val="0"/>
          <w:marBottom w:val="0"/>
          <w:divBdr>
            <w:top w:val="none" w:sz="0" w:space="0" w:color="auto"/>
            <w:left w:val="none" w:sz="0" w:space="0" w:color="auto"/>
            <w:bottom w:val="none" w:sz="0" w:space="0" w:color="auto"/>
            <w:right w:val="none" w:sz="0" w:space="0" w:color="auto"/>
          </w:divBdr>
        </w:div>
        <w:div w:id="2112699535">
          <w:marLeft w:val="0"/>
          <w:marRight w:val="0"/>
          <w:marTop w:val="0"/>
          <w:marBottom w:val="0"/>
          <w:divBdr>
            <w:top w:val="none" w:sz="0" w:space="0" w:color="auto"/>
            <w:left w:val="none" w:sz="0" w:space="0" w:color="auto"/>
            <w:bottom w:val="none" w:sz="0" w:space="0" w:color="auto"/>
            <w:right w:val="none" w:sz="0" w:space="0" w:color="auto"/>
          </w:divBdr>
        </w:div>
        <w:div w:id="1637876165">
          <w:marLeft w:val="0"/>
          <w:marRight w:val="0"/>
          <w:marTop w:val="0"/>
          <w:marBottom w:val="0"/>
          <w:divBdr>
            <w:top w:val="none" w:sz="0" w:space="0" w:color="auto"/>
            <w:left w:val="none" w:sz="0" w:space="0" w:color="auto"/>
            <w:bottom w:val="none" w:sz="0" w:space="0" w:color="auto"/>
            <w:right w:val="none" w:sz="0" w:space="0" w:color="auto"/>
          </w:divBdr>
        </w:div>
        <w:div w:id="1499154073">
          <w:marLeft w:val="0"/>
          <w:marRight w:val="0"/>
          <w:marTop w:val="0"/>
          <w:marBottom w:val="0"/>
          <w:divBdr>
            <w:top w:val="none" w:sz="0" w:space="0" w:color="auto"/>
            <w:left w:val="none" w:sz="0" w:space="0" w:color="auto"/>
            <w:bottom w:val="none" w:sz="0" w:space="0" w:color="auto"/>
            <w:right w:val="none" w:sz="0" w:space="0" w:color="auto"/>
          </w:divBdr>
        </w:div>
        <w:div w:id="139427261">
          <w:marLeft w:val="0"/>
          <w:marRight w:val="0"/>
          <w:marTop w:val="0"/>
          <w:marBottom w:val="0"/>
          <w:divBdr>
            <w:top w:val="none" w:sz="0" w:space="0" w:color="auto"/>
            <w:left w:val="none" w:sz="0" w:space="0" w:color="auto"/>
            <w:bottom w:val="none" w:sz="0" w:space="0" w:color="auto"/>
            <w:right w:val="none" w:sz="0" w:space="0" w:color="auto"/>
          </w:divBdr>
        </w:div>
        <w:div w:id="1448236071">
          <w:marLeft w:val="0"/>
          <w:marRight w:val="0"/>
          <w:marTop w:val="0"/>
          <w:marBottom w:val="0"/>
          <w:divBdr>
            <w:top w:val="none" w:sz="0" w:space="0" w:color="auto"/>
            <w:left w:val="none" w:sz="0" w:space="0" w:color="auto"/>
            <w:bottom w:val="none" w:sz="0" w:space="0" w:color="auto"/>
            <w:right w:val="none" w:sz="0" w:space="0" w:color="auto"/>
          </w:divBdr>
        </w:div>
        <w:div w:id="1915629996">
          <w:marLeft w:val="0"/>
          <w:marRight w:val="0"/>
          <w:marTop w:val="0"/>
          <w:marBottom w:val="0"/>
          <w:divBdr>
            <w:top w:val="none" w:sz="0" w:space="0" w:color="auto"/>
            <w:left w:val="none" w:sz="0" w:space="0" w:color="auto"/>
            <w:bottom w:val="none" w:sz="0" w:space="0" w:color="auto"/>
            <w:right w:val="none" w:sz="0" w:space="0" w:color="auto"/>
          </w:divBdr>
        </w:div>
        <w:div w:id="482502046">
          <w:marLeft w:val="0"/>
          <w:marRight w:val="0"/>
          <w:marTop w:val="0"/>
          <w:marBottom w:val="0"/>
          <w:divBdr>
            <w:top w:val="none" w:sz="0" w:space="0" w:color="auto"/>
            <w:left w:val="none" w:sz="0" w:space="0" w:color="auto"/>
            <w:bottom w:val="none" w:sz="0" w:space="0" w:color="auto"/>
            <w:right w:val="none" w:sz="0" w:space="0" w:color="auto"/>
          </w:divBdr>
        </w:div>
      </w:divsChild>
    </w:div>
    <w:div w:id="1280793884">
      <w:marLeft w:val="0"/>
      <w:marRight w:val="0"/>
      <w:marTop w:val="180"/>
      <w:marBottom w:val="60"/>
      <w:divBdr>
        <w:top w:val="none" w:sz="0" w:space="0" w:color="auto"/>
        <w:left w:val="none" w:sz="0" w:space="0" w:color="auto"/>
        <w:bottom w:val="none" w:sz="0" w:space="0" w:color="auto"/>
        <w:right w:val="none" w:sz="0" w:space="0" w:color="auto"/>
      </w:divBdr>
      <w:divsChild>
        <w:div w:id="488709843">
          <w:marLeft w:val="0"/>
          <w:marRight w:val="0"/>
          <w:marTop w:val="0"/>
          <w:marBottom w:val="0"/>
          <w:divBdr>
            <w:top w:val="none" w:sz="0" w:space="0" w:color="auto"/>
            <w:left w:val="none" w:sz="0" w:space="0" w:color="auto"/>
            <w:bottom w:val="none" w:sz="0" w:space="0" w:color="auto"/>
            <w:right w:val="none" w:sz="0" w:space="0" w:color="auto"/>
          </w:divBdr>
        </w:div>
        <w:div w:id="557715170">
          <w:marLeft w:val="0"/>
          <w:marRight w:val="0"/>
          <w:marTop w:val="0"/>
          <w:marBottom w:val="0"/>
          <w:divBdr>
            <w:top w:val="none" w:sz="0" w:space="0" w:color="auto"/>
            <w:left w:val="none" w:sz="0" w:space="0" w:color="auto"/>
            <w:bottom w:val="none" w:sz="0" w:space="0" w:color="auto"/>
            <w:right w:val="none" w:sz="0" w:space="0" w:color="auto"/>
          </w:divBdr>
        </w:div>
        <w:div w:id="303896097">
          <w:marLeft w:val="0"/>
          <w:marRight w:val="0"/>
          <w:marTop w:val="0"/>
          <w:marBottom w:val="0"/>
          <w:divBdr>
            <w:top w:val="none" w:sz="0" w:space="0" w:color="auto"/>
            <w:left w:val="none" w:sz="0" w:space="0" w:color="auto"/>
            <w:bottom w:val="none" w:sz="0" w:space="0" w:color="auto"/>
            <w:right w:val="none" w:sz="0" w:space="0" w:color="auto"/>
          </w:divBdr>
        </w:div>
      </w:divsChild>
    </w:div>
    <w:div w:id="1282152112">
      <w:marLeft w:val="0"/>
      <w:marRight w:val="0"/>
      <w:marTop w:val="60"/>
      <w:marBottom w:val="60"/>
      <w:divBdr>
        <w:top w:val="none" w:sz="0" w:space="0" w:color="auto"/>
        <w:left w:val="none" w:sz="0" w:space="0" w:color="auto"/>
        <w:bottom w:val="none" w:sz="0" w:space="0" w:color="auto"/>
        <w:right w:val="none" w:sz="0" w:space="0" w:color="auto"/>
      </w:divBdr>
    </w:div>
    <w:div w:id="1282372525">
      <w:marLeft w:val="0"/>
      <w:marRight w:val="0"/>
      <w:marTop w:val="180"/>
      <w:marBottom w:val="180"/>
      <w:divBdr>
        <w:top w:val="none" w:sz="0" w:space="0" w:color="auto"/>
        <w:left w:val="none" w:sz="0" w:space="0" w:color="auto"/>
        <w:bottom w:val="none" w:sz="0" w:space="0" w:color="auto"/>
        <w:right w:val="none" w:sz="0" w:space="0" w:color="auto"/>
      </w:divBdr>
    </w:div>
    <w:div w:id="1282758611">
      <w:marLeft w:val="0"/>
      <w:marRight w:val="0"/>
      <w:marTop w:val="180"/>
      <w:marBottom w:val="180"/>
      <w:divBdr>
        <w:top w:val="none" w:sz="0" w:space="0" w:color="auto"/>
        <w:left w:val="none" w:sz="0" w:space="0" w:color="auto"/>
        <w:bottom w:val="none" w:sz="0" w:space="0" w:color="auto"/>
        <w:right w:val="none" w:sz="0" w:space="0" w:color="auto"/>
      </w:divBdr>
    </w:div>
    <w:div w:id="1283994491">
      <w:marLeft w:val="0"/>
      <w:marRight w:val="0"/>
      <w:marTop w:val="0"/>
      <w:marBottom w:val="0"/>
      <w:divBdr>
        <w:top w:val="none" w:sz="0" w:space="0" w:color="auto"/>
        <w:left w:val="none" w:sz="0" w:space="0" w:color="auto"/>
        <w:bottom w:val="none" w:sz="0" w:space="0" w:color="auto"/>
        <w:right w:val="none" w:sz="0" w:space="0" w:color="auto"/>
      </w:divBdr>
      <w:divsChild>
        <w:div w:id="239607562">
          <w:marLeft w:val="0"/>
          <w:marRight w:val="0"/>
          <w:marTop w:val="0"/>
          <w:marBottom w:val="0"/>
          <w:divBdr>
            <w:top w:val="none" w:sz="0" w:space="0" w:color="auto"/>
            <w:left w:val="none" w:sz="0" w:space="0" w:color="auto"/>
            <w:bottom w:val="none" w:sz="0" w:space="0" w:color="auto"/>
            <w:right w:val="none" w:sz="0" w:space="0" w:color="auto"/>
          </w:divBdr>
          <w:divsChild>
            <w:div w:id="1295671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6232707">
      <w:marLeft w:val="0"/>
      <w:marRight w:val="0"/>
      <w:marTop w:val="180"/>
      <w:marBottom w:val="180"/>
      <w:divBdr>
        <w:top w:val="none" w:sz="0" w:space="0" w:color="auto"/>
        <w:left w:val="none" w:sz="0" w:space="0" w:color="auto"/>
        <w:bottom w:val="none" w:sz="0" w:space="0" w:color="auto"/>
        <w:right w:val="none" w:sz="0" w:space="0" w:color="auto"/>
      </w:divBdr>
    </w:div>
    <w:div w:id="1289355287">
      <w:marLeft w:val="0"/>
      <w:marRight w:val="0"/>
      <w:marTop w:val="180"/>
      <w:marBottom w:val="180"/>
      <w:divBdr>
        <w:top w:val="none" w:sz="0" w:space="0" w:color="auto"/>
        <w:left w:val="none" w:sz="0" w:space="0" w:color="auto"/>
        <w:bottom w:val="none" w:sz="0" w:space="0" w:color="auto"/>
        <w:right w:val="none" w:sz="0" w:space="0" w:color="auto"/>
      </w:divBdr>
    </w:div>
    <w:div w:id="1292859824">
      <w:marLeft w:val="0"/>
      <w:marRight w:val="0"/>
      <w:marTop w:val="60"/>
      <w:marBottom w:val="60"/>
      <w:divBdr>
        <w:top w:val="none" w:sz="0" w:space="0" w:color="auto"/>
        <w:left w:val="none" w:sz="0" w:space="0" w:color="auto"/>
        <w:bottom w:val="none" w:sz="0" w:space="0" w:color="auto"/>
        <w:right w:val="none" w:sz="0" w:space="0" w:color="auto"/>
      </w:divBdr>
    </w:div>
    <w:div w:id="1294872770">
      <w:marLeft w:val="0"/>
      <w:marRight w:val="0"/>
      <w:marTop w:val="180"/>
      <w:marBottom w:val="180"/>
      <w:divBdr>
        <w:top w:val="none" w:sz="0" w:space="0" w:color="auto"/>
        <w:left w:val="none" w:sz="0" w:space="0" w:color="auto"/>
        <w:bottom w:val="none" w:sz="0" w:space="0" w:color="auto"/>
        <w:right w:val="none" w:sz="0" w:space="0" w:color="auto"/>
      </w:divBdr>
      <w:divsChild>
        <w:div w:id="721246036">
          <w:marLeft w:val="0"/>
          <w:marRight w:val="0"/>
          <w:marTop w:val="0"/>
          <w:marBottom w:val="0"/>
          <w:divBdr>
            <w:top w:val="none" w:sz="0" w:space="0" w:color="auto"/>
            <w:left w:val="none" w:sz="0" w:space="0" w:color="auto"/>
            <w:bottom w:val="none" w:sz="0" w:space="0" w:color="auto"/>
            <w:right w:val="none" w:sz="0" w:space="0" w:color="auto"/>
          </w:divBdr>
        </w:div>
        <w:div w:id="1501770402">
          <w:marLeft w:val="0"/>
          <w:marRight w:val="0"/>
          <w:marTop w:val="0"/>
          <w:marBottom w:val="0"/>
          <w:divBdr>
            <w:top w:val="none" w:sz="0" w:space="0" w:color="auto"/>
            <w:left w:val="none" w:sz="0" w:space="0" w:color="auto"/>
            <w:bottom w:val="none" w:sz="0" w:space="0" w:color="auto"/>
            <w:right w:val="none" w:sz="0" w:space="0" w:color="auto"/>
          </w:divBdr>
        </w:div>
        <w:div w:id="2060780432">
          <w:marLeft w:val="0"/>
          <w:marRight w:val="0"/>
          <w:marTop w:val="0"/>
          <w:marBottom w:val="0"/>
          <w:divBdr>
            <w:top w:val="none" w:sz="0" w:space="0" w:color="auto"/>
            <w:left w:val="none" w:sz="0" w:space="0" w:color="auto"/>
            <w:bottom w:val="none" w:sz="0" w:space="0" w:color="auto"/>
            <w:right w:val="none" w:sz="0" w:space="0" w:color="auto"/>
          </w:divBdr>
        </w:div>
        <w:div w:id="792359145">
          <w:marLeft w:val="0"/>
          <w:marRight w:val="0"/>
          <w:marTop w:val="0"/>
          <w:marBottom w:val="0"/>
          <w:divBdr>
            <w:top w:val="none" w:sz="0" w:space="0" w:color="auto"/>
            <w:left w:val="none" w:sz="0" w:space="0" w:color="auto"/>
            <w:bottom w:val="none" w:sz="0" w:space="0" w:color="auto"/>
            <w:right w:val="none" w:sz="0" w:space="0" w:color="auto"/>
          </w:divBdr>
        </w:div>
        <w:div w:id="1308046116">
          <w:marLeft w:val="0"/>
          <w:marRight w:val="0"/>
          <w:marTop w:val="0"/>
          <w:marBottom w:val="0"/>
          <w:divBdr>
            <w:top w:val="none" w:sz="0" w:space="0" w:color="auto"/>
            <w:left w:val="none" w:sz="0" w:space="0" w:color="auto"/>
            <w:bottom w:val="none" w:sz="0" w:space="0" w:color="auto"/>
            <w:right w:val="none" w:sz="0" w:space="0" w:color="auto"/>
          </w:divBdr>
        </w:div>
        <w:div w:id="295524721">
          <w:marLeft w:val="0"/>
          <w:marRight w:val="0"/>
          <w:marTop w:val="0"/>
          <w:marBottom w:val="0"/>
          <w:divBdr>
            <w:top w:val="none" w:sz="0" w:space="0" w:color="auto"/>
            <w:left w:val="none" w:sz="0" w:space="0" w:color="auto"/>
            <w:bottom w:val="none" w:sz="0" w:space="0" w:color="auto"/>
            <w:right w:val="none" w:sz="0" w:space="0" w:color="auto"/>
          </w:divBdr>
        </w:div>
      </w:divsChild>
    </w:div>
    <w:div w:id="1295332738">
      <w:marLeft w:val="0"/>
      <w:marRight w:val="0"/>
      <w:marTop w:val="180"/>
      <w:marBottom w:val="180"/>
      <w:divBdr>
        <w:top w:val="none" w:sz="0" w:space="0" w:color="auto"/>
        <w:left w:val="none" w:sz="0" w:space="0" w:color="auto"/>
        <w:bottom w:val="none" w:sz="0" w:space="0" w:color="auto"/>
        <w:right w:val="none" w:sz="0" w:space="0" w:color="auto"/>
      </w:divBdr>
    </w:div>
    <w:div w:id="1296106599">
      <w:marLeft w:val="0"/>
      <w:marRight w:val="0"/>
      <w:marTop w:val="60"/>
      <w:marBottom w:val="60"/>
      <w:divBdr>
        <w:top w:val="none" w:sz="0" w:space="0" w:color="auto"/>
        <w:left w:val="none" w:sz="0" w:space="0" w:color="auto"/>
        <w:bottom w:val="none" w:sz="0" w:space="0" w:color="auto"/>
        <w:right w:val="none" w:sz="0" w:space="0" w:color="auto"/>
      </w:divBdr>
    </w:div>
    <w:div w:id="1298146800">
      <w:marLeft w:val="0"/>
      <w:marRight w:val="0"/>
      <w:marTop w:val="0"/>
      <w:marBottom w:val="0"/>
      <w:divBdr>
        <w:top w:val="none" w:sz="0" w:space="0" w:color="auto"/>
        <w:left w:val="none" w:sz="0" w:space="0" w:color="auto"/>
        <w:bottom w:val="none" w:sz="0" w:space="0" w:color="auto"/>
        <w:right w:val="none" w:sz="0" w:space="0" w:color="auto"/>
      </w:divBdr>
    </w:div>
    <w:div w:id="1301762832">
      <w:marLeft w:val="0"/>
      <w:marRight w:val="0"/>
      <w:marTop w:val="180"/>
      <w:marBottom w:val="180"/>
      <w:divBdr>
        <w:top w:val="none" w:sz="0" w:space="0" w:color="auto"/>
        <w:left w:val="none" w:sz="0" w:space="0" w:color="auto"/>
        <w:bottom w:val="none" w:sz="0" w:space="0" w:color="auto"/>
        <w:right w:val="none" w:sz="0" w:space="0" w:color="auto"/>
      </w:divBdr>
    </w:div>
    <w:div w:id="1303736564">
      <w:marLeft w:val="0"/>
      <w:marRight w:val="0"/>
      <w:marTop w:val="60"/>
      <w:marBottom w:val="60"/>
      <w:divBdr>
        <w:top w:val="none" w:sz="0" w:space="0" w:color="auto"/>
        <w:left w:val="none" w:sz="0" w:space="0" w:color="auto"/>
        <w:bottom w:val="none" w:sz="0" w:space="0" w:color="auto"/>
        <w:right w:val="none" w:sz="0" w:space="0" w:color="auto"/>
      </w:divBdr>
    </w:div>
    <w:div w:id="1307664806">
      <w:marLeft w:val="0"/>
      <w:marRight w:val="0"/>
      <w:marTop w:val="180"/>
      <w:marBottom w:val="60"/>
      <w:divBdr>
        <w:top w:val="none" w:sz="0" w:space="0" w:color="auto"/>
        <w:left w:val="none" w:sz="0" w:space="0" w:color="auto"/>
        <w:bottom w:val="none" w:sz="0" w:space="0" w:color="auto"/>
        <w:right w:val="none" w:sz="0" w:space="0" w:color="auto"/>
      </w:divBdr>
    </w:div>
    <w:div w:id="1308389788">
      <w:marLeft w:val="0"/>
      <w:marRight w:val="0"/>
      <w:marTop w:val="180"/>
      <w:marBottom w:val="180"/>
      <w:divBdr>
        <w:top w:val="none" w:sz="0" w:space="0" w:color="auto"/>
        <w:left w:val="none" w:sz="0" w:space="0" w:color="auto"/>
        <w:bottom w:val="none" w:sz="0" w:space="0" w:color="auto"/>
        <w:right w:val="none" w:sz="0" w:space="0" w:color="auto"/>
      </w:divBdr>
      <w:divsChild>
        <w:div w:id="1799060994">
          <w:marLeft w:val="0"/>
          <w:marRight w:val="0"/>
          <w:marTop w:val="0"/>
          <w:marBottom w:val="0"/>
          <w:divBdr>
            <w:top w:val="none" w:sz="0" w:space="0" w:color="auto"/>
            <w:left w:val="none" w:sz="0" w:space="0" w:color="auto"/>
            <w:bottom w:val="none" w:sz="0" w:space="0" w:color="auto"/>
            <w:right w:val="none" w:sz="0" w:space="0" w:color="auto"/>
          </w:divBdr>
        </w:div>
        <w:div w:id="951278890">
          <w:marLeft w:val="0"/>
          <w:marRight w:val="0"/>
          <w:marTop w:val="0"/>
          <w:marBottom w:val="0"/>
          <w:divBdr>
            <w:top w:val="none" w:sz="0" w:space="0" w:color="auto"/>
            <w:left w:val="none" w:sz="0" w:space="0" w:color="auto"/>
            <w:bottom w:val="none" w:sz="0" w:space="0" w:color="auto"/>
            <w:right w:val="none" w:sz="0" w:space="0" w:color="auto"/>
          </w:divBdr>
        </w:div>
        <w:div w:id="917012227">
          <w:marLeft w:val="0"/>
          <w:marRight w:val="0"/>
          <w:marTop w:val="0"/>
          <w:marBottom w:val="0"/>
          <w:divBdr>
            <w:top w:val="none" w:sz="0" w:space="0" w:color="auto"/>
            <w:left w:val="none" w:sz="0" w:space="0" w:color="auto"/>
            <w:bottom w:val="none" w:sz="0" w:space="0" w:color="auto"/>
            <w:right w:val="none" w:sz="0" w:space="0" w:color="auto"/>
          </w:divBdr>
        </w:div>
        <w:div w:id="1158423835">
          <w:marLeft w:val="0"/>
          <w:marRight w:val="0"/>
          <w:marTop w:val="0"/>
          <w:marBottom w:val="0"/>
          <w:divBdr>
            <w:top w:val="none" w:sz="0" w:space="0" w:color="auto"/>
            <w:left w:val="none" w:sz="0" w:space="0" w:color="auto"/>
            <w:bottom w:val="none" w:sz="0" w:space="0" w:color="auto"/>
            <w:right w:val="none" w:sz="0" w:space="0" w:color="auto"/>
          </w:divBdr>
        </w:div>
        <w:div w:id="2100368487">
          <w:marLeft w:val="0"/>
          <w:marRight w:val="0"/>
          <w:marTop w:val="0"/>
          <w:marBottom w:val="0"/>
          <w:divBdr>
            <w:top w:val="none" w:sz="0" w:space="0" w:color="auto"/>
            <w:left w:val="none" w:sz="0" w:space="0" w:color="auto"/>
            <w:bottom w:val="none" w:sz="0" w:space="0" w:color="auto"/>
            <w:right w:val="none" w:sz="0" w:space="0" w:color="auto"/>
          </w:divBdr>
        </w:div>
        <w:div w:id="1035622563">
          <w:marLeft w:val="0"/>
          <w:marRight w:val="0"/>
          <w:marTop w:val="0"/>
          <w:marBottom w:val="0"/>
          <w:divBdr>
            <w:top w:val="none" w:sz="0" w:space="0" w:color="auto"/>
            <w:left w:val="none" w:sz="0" w:space="0" w:color="auto"/>
            <w:bottom w:val="none" w:sz="0" w:space="0" w:color="auto"/>
            <w:right w:val="none" w:sz="0" w:space="0" w:color="auto"/>
          </w:divBdr>
        </w:div>
      </w:divsChild>
    </w:div>
    <w:div w:id="1309940095">
      <w:marLeft w:val="0"/>
      <w:marRight w:val="0"/>
      <w:marTop w:val="180"/>
      <w:marBottom w:val="0"/>
      <w:divBdr>
        <w:top w:val="none" w:sz="0" w:space="0" w:color="auto"/>
        <w:left w:val="none" w:sz="0" w:space="0" w:color="auto"/>
        <w:bottom w:val="none" w:sz="0" w:space="0" w:color="auto"/>
        <w:right w:val="none" w:sz="0" w:space="0" w:color="auto"/>
      </w:divBdr>
    </w:div>
    <w:div w:id="1311516271">
      <w:marLeft w:val="0"/>
      <w:marRight w:val="0"/>
      <w:marTop w:val="180"/>
      <w:marBottom w:val="60"/>
      <w:divBdr>
        <w:top w:val="none" w:sz="0" w:space="0" w:color="auto"/>
        <w:left w:val="none" w:sz="0" w:space="0" w:color="auto"/>
        <w:bottom w:val="none" w:sz="0" w:space="0" w:color="auto"/>
        <w:right w:val="none" w:sz="0" w:space="0" w:color="auto"/>
      </w:divBdr>
      <w:divsChild>
        <w:div w:id="1029718370">
          <w:marLeft w:val="0"/>
          <w:marRight w:val="0"/>
          <w:marTop w:val="0"/>
          <w:marBottom w:val="0"/>
          <w:divBdr>
            <w:top w:val="none" w:sz="0" w:space="0" w:color="auto"/>
            <w:left w:val="none" w:sz="0" w:space="0" w:color="auto"/>
            <w:bottom w:val="none" w:sz="0" w:space="0" w:color="auto"/>
            <w:right w:val="none" w:sz="0" w:space="0" w:color="auto"/>
          </w:divBdr>
        </w:div>
      </w:divsChild>
    </w:div>
    <w:div w:id="1317416375">
      <w:marLeft w:val="0"/>
      <w:marRight w:val="0"/>
      <w:marTop w:val="0"/>
      <w:marBottom w:val="0"/>
      <w:divBdr>
        <w:top w:val="none" w:sz="0" w:space="0" w:color="auto"/>
        <w:left w:val="none" w:sz="0" w:space="0" w:color="auto"/>
        <w:bottom w:val="none" w:sz="0" w:space="0" w:color="auto"/>
        <w:right w:val="none" w:sz="0" w:space="0" w:color="auto"/>
      </w:divBdr>
    </w:div>
    <w:div w:id="1318266417">
      <w:marLeft w:val="0"/>
      <w:marRight w:val="0"/>
      <w:marTop w:val="180"/>
      <w:marBottom w:val="180"/>
      <w:divBdr>
        <w:top w:val="none" w:sz="0" w:space="0" w:color="auto"/>
        <w:left w:val="none" w:sz="0" w:space="0" w:color="auto"/>
        <w:bottom w:val="none" w:sz="0" w:space="0" w:color="auto"/>
        <w:right w:val="none" w:sz="0" w:space="0" w:color="auto"/>
      </w:divBdr>
    </w:div>
    <w:div w:id="1323659704">
      <w:marLeft w:val="0"/>
      <w:marRight w:val="0"/>
      <w:marTop w:val="180"/>
      <w:marBottom w:val="60"/>
      <w:divBdr>
        <w:top w:val="none" w:sz="0" w:space="0" w:color="auto"/>
        <w:left w:val="none" w:sz="0" w:space="0" w:color="auto"/>
        <w:bottom w:val="none" w:sz="0" w:space="0" w:color="auto"/>
        <w:right w:val="none" w:sz="0" w:space="0" w:color="auto"/>
      </w:divBdr>
    </w:div>
    <w:div w:id="1324773236">
      <w:marLeft w:val="0"/>
      <w:marRight w:val="0"/>
      <w:marTop w:val="0"/>
      <w:marBottom w:val="0"/>
      <w:divBdr>
        <w:top w:val="none" w:sz="0" w:space="0" w:color="auto"/>
        <w:left w:val="none" w:sz="0" w:space="0" w:color="auto"/>
        <w:bottom w:val="none" w:sz="0" w:space="0" w:color="auto"/>
        <w:right w:val="none" w:sz="0" w:space="0" w:color="auto"/>
      </w:divBdr>
    </w:div>
    <w:div w:id="1325671620">
      <w:marLeft w:val="0"/>
      <w:marRight w:val="0"/>
      <w:marTop w:val="180"/>
      <w:marBottom w:val="180"/>
      <w:divBdr>
        <w:top w:val="none" w:sz="0" w:space="0" w:color="auto"/>
        <w:left w:val="none" w:sz="0" w:space="0" w:color="auto"/>
        <w:bottom w:val="none" w:sz="0" w:space="0" w:color="auto"/>
        <w:right w:val="none" w:sz="0" w:space="0" w:color="auto"/>
      </w:divBdr>
    </w:div>
    <w:div w:id="1327247187">
      <w:marLeft w:val="0"/>
      <w:marRight w:val="0"/>
      <w:marTop w:val="0"/>
      <w:marBottom w:val="180"/>
      <w:divBdr>
        <w:top w:val="none" w:sz="0" w:space="0" w:color="auto"/>
        <w:left w:val="none" w:sz="0" w:space="0" w:color="auto"/>
        <w:bottom w:val="none" w:sz="0" w:space="0" w:color="auto"/>
        <w:right w:val="none" w:sz="0" w:space="0" w:color="auto"/>
      </w:divBdr>
    </w:div>
    <w:div w:id="1327828842">
      <w:marLeft w:val="0"/>
      <w:marRight w:val="0"/>
      <w:marTop w:val="180"/>
      <w:marBottom w:val="180"/>
      <w:divBdr>
        <w:top w:val="none" w:sz="0" w:space="0" w:color="auto"/>
        <w:left w:val="none" w:sz="0" w:space="0" w:color="auto"/>
        <w:bottom w:val="none" w:sz="0" w:space="0" w:color="auto"/>
        <w:right w:val="none" w:sz="0" w:space="0" w:color="auto"/>
      </w:divBdr>
    </w:div>
    <w:div w:id="1330446729">
      <w:marLeft w:val="0"/>
      <w:marRight w:val="0"/>
      <w:marTop w:val="140"/>
      <w:marBottom w:val="180"/>
      <w:divBdr>
        <w:top w:val="none" w:sz="0" w:space="0" w:color="auto"/>
        <w:left w:val="none" w:sz="0" w:space="0" w:color="auto"/>
        <w:bottom w:val="none" w:sz="0" w:space="0" w:color="auto"/>
        <w:right w:val="none" w:sz="0" w:space="0" w:color="auto"/>
      </w:divBdr>
    </w:div>
    <w:div w:id="1335180688">
      <w:marLeft w:val="0"/>
      <w:marRight w:val="0"/>
      <w:marTop w:val="0"/>
      <w:marBottom w:val="0"/>
      <w:divBdr>
        <w:top w:val="none" w:sz="0" w:space="0" w:color="auto"/>
        <w:left w:val="none" w:sz="0" w:space="0" w:color="auto"/>
        <w:bottom w:val="none" w:sz="0" w:space="0" w:color="auto"/>
        <w:right w:val="none" w:sz="0" w:space="0" w:color="auto"/>
      </w:divBdr>
      <w:divsChild>
        <w:div w:id="797263482">
          <w:marLeft w:val="0"/>
          <w:marRight w:val="0"/>
          <w:marTop w:val="0"/>
          <w:marBottom w:val="0"/>
          <w:divBdr>
            <w:top w:val="none" w:sz="0" w:space="0" w:color="auto"/>
            <w:left w:val="none" w:sz="0" w:space="0" w:color="auto"/>
            <w:bottom w:val="none" w:sz="0" w:space="0" w:color="auto"/>
            <w:right w:val="none" w:sz="0" w:space="0" w:color="auto"/>
          </w:divBdr>
          <w:divsChild>
            <w:div w:id="4838625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5451101">
      <w:marLeft w:val="0"/>
      <w:marRight w:val="0"/>
      <w:marTop w:val="180"/>
      <w:marBottom w:val="180"/>
      <w:divBdr>
        <w:top w:val="none" w:sz="0" w:space="0" w:color="auto"/>
        <w:left w:val="none" w:sz="0" w:space="0" w:color="auto"/>
        <w:bottom w:val="none" w:sz="0" w:space="0" w:color="auto"/>
        <w:right w:val="none" w:sz="0" w:space="0" w:color="auto"/>
      </w:divBdr>
    </w:div>
    <w:div w:id="1335457469">
      <w:marLeft w:val="0"/>
      <w:marRight w:val="0"/>
      <w:marTop w:val="60"/>
      <w:marBottom w:val="60"/>
      <w:divBdr>
        <w:top w:val="none" w:sz="0" w:space="0" w:color="auto"/>
        <w:left w:val="none" w:sz="0" w:space="0" w:color="auto"/>
        <w:bottom w:val="none" w:sz="0" w:space="0" w:color="auto"/>
        <w:right w:val="none" w:sz="0" w:space="0" w:color="auto"/>
      </w:divBdr>
    </w:div>
    <w:div w:id="1336573943">
      <w:marLeft w:val="0"/>
      <w:marRight w:val="0"/>
      <w:marTop w:val="0"/>
      <w:marBottom w:val="0"/>
      <w:divBdr>
        <w:top w:val="none" w:sz="0" w:space="0" w:color="auto"/>
        <w:left w:val="none" w:sz="0" w:space="0" w:color="auto"/>
        <w:bottom w:val="none" w:sz="0" w:space="0" w:color="auto"/>
        <w:right w:val="none" w:sz="0" w:space="0" w:color="auto"/>
      </w:divBdr>
    </w:div>
    <w:div w:id="1337538670">
      <w:marLeft w:val="0"/>
      <w:marRight w:val="0"/>
      <w:marTop w:val="180"/>
      <w:marBottom w:val="180"/>
      <w:divBdr>
        <w:top w:val="none" w:sz="0" w:space="0" w:color="auto"/>
        <w:left w:val="none" w:sz="0" w:space="0" w:color="auto"/>
        <w:bottom w:val="none" w:sz="0" w:space="0" w:color="auto"/>
        <w:right w:val="none" w:sz="0" w:space="0" w:color="auto"/>
      </w:divBdr>
    </w:div>
    <w:div w:id="1340932900">
      <w:marLeft w:val="0"/>
      <w:marRight w:val="0"/>
      <w:marTop w:val="180"/>
      <w:marBottom w:val="60"/>
      <w:divBdr>
        <w:top w:val="none" w:sz="0" w:space="0" w:color="auto"/>
        <w:left w:val="none" w:sz="0" w:space="0" w:color="auto"/>
        <w:bottom w:val="none" w:sz="0" w:space="0" w:color="auto"/>
        <w:right w:val="none" w:sz="0" w:space="0" w:color="auto"/>
      </w:divBdr>
    </w:div>
    <w:div w:id="1341084643">
      <w:marLeft w:val="0"/>
      <w:marRight w:val="0"/>
      <w:marTop w:val="0"/>
      <w:marBottom w:val="0"/>
      <w:divBdr>
        <w:top w:val="none" w:sz="0" w:space="0" w:color="auto"/>
        <w:left w:val="none" w:sz="0" w:space="0" w:color="auto"/>
        <w:bottom w:val="none" w:sz="0" w:space="0" w:color="auto"/>
        <w:right w:val="none" w:sz="0" w:space="0" w:color="auto"/>
      </w:divBdr>
    </w:div>
    <w:div w:id="1342658764">
      <w:marLeft w:val="0"/>
      <w:marRight w:val="0"/>
      <w:marTop w:val="180"/>
      <w:marBottom w:val="180"/>
      <w:divBdr>
        <w:top w:val="none" w:sz="0" w:space="0" w:color="auto"/>
        <w:left w:val="none" w:sz="0" w:space="0" w:color="auto"/>
        <w:bottom w:val="none" w:sz="0" w:space="0" w:color="auto"/>
        <w:right w:val="none" w:sz="0" w:space="0" w:color="auto"/>
      </w:divBdr>
    </w:div>
    <w:div w:id="1344556141">
      <w:marLeft w:val="0"/>
      <w:marRight w:val="0"/>
      <w:marTop w:val="180"/>
      <w:marBottom w:val="180"/>
      <w:divBdr>
        <w:top w:val="none" w:sz="0" w:space="0" w:color="auto"/>
        <w:left w:val="none" w:sz="0" w:space="0" w:color="auto"/>
        <w:bottom w:val="none" w:sz="0" w:space="0" w:color="auto"/>
        <w:right w:val="none" w:sz="0" w:space="0" w:color="auto"/>
      </w:divBdr>
    </w:div>
    <w:div w:id="1345747317">
      <w:marLeft w:val="0"/>
      <w:marRight w:val="0"/>
      <w:marTop w:val="180"/>
      <w:marBottom w:val="180"/>
      <w:divBdr>
        <w:top w:val="none" w:sz="0" w:space="0" w:color="auto"/>
        <w:left w:val="none" w:sz="0" w:space="0" w:color="auto"/>
        <w:bottom w:val="none" w:sz="0" w:space="0" w:color="auto"/>
        <w:right w:val="none" w:sz="0" w:space="0" w:color="auto"/>
      </w:divBdr>
      <w:divsChild>
        <w:div w:id="722560340">
          <w:marLeft w:val="0"/>
          <w:marRight w:val="0"/>
          <w:marTop w:val="0"/>
          <w:marBottom w:val="0"/>
          <w:divBdr>
            <w:top w:val="none" w:sz="0" w:space="0" w:color="auto"/>
            <w:left w:val="none" w:sz="0" w:space="0" w:color="auto"/>
            <w:bottom w:val="none" w:sz="0" w:space="0" w:color="auto"/>
            <w:right w:val="none" w:sz="0" w:space="0" w:color="auto"/>
          </w:divBdr>
        </w:div>
        <w:div w:id="1950236908">
          <w:marLeft w:val="0"/>
          <w:marRight w:val="0"/>
          <w:marTop w:val="0"/>
          <w:marBottom w:val="0"/>
          <w:divBdr>
            <w:top w:val="none" w:sz="0" w:space="0" w:color="auto"/>
            <w:left w:val="none" w:sz="0" w:space="0" w:color="auto"/>
            <w:bottom w:val="none" w:sz="0" w:space="0" w:color="auto"/>
            <w:right w:val="none" w:sz="0" w:space="0" w:color="auto"/>
          </w:divBdr>
        </w:div>
        <w:div w:id="707485121">
          <w:marLeft w:val="0"/>
          <w:marRight w:val="0"/>
          <w:marTop w:val="0"/>
          <w:marBottom w:val="0"/>
          <w:divBdr>
            <w:top w:val="none" w:sz="0" w:space="0" w:color="auto"/>
            <w:left w:val="none" w:sz="0" w:space="0" w:color="auto"/>
            <w:bottom w:val="none" w:sz="0" w:space="0" w:color="auto"/>
            <w:right w:val="none" w:sz="0" w:space="0" w:color="auto"/>
          </w:divBdr>
        </w:div>
        <w:div w:id="1254045158">
          <w:marLeft w:val="0"/>
          <w:marRight w:val="0"/>
          <w:marTop w:val="0"/>
          <w:marBottom w:val="0"/>
          <w:divBdr>
            <w:top w:val="none" w:sz="0" w:space="0" w:color="auto"/>
            <w:left w:val="none" w:sz="0" w:space="0" w:color="auto"/>
            <w:bottom w:val="none" w:sz="0" w:space="0" w:color="auto"/>
            <w:right w:val="none" w:sz="0" w:space="0" w:color="auto"/>
          </w:divBdr>
        </w:div>
        <w:div w:id="1031227181">
          <w:marLeft w:val="0"/>
          <w:marRight w:val="0"/>
          <w:marTop w:val="0"/>
          <w:marBottom w:val="0"/>
          <w:divBdr>
            <w:top w:val="none" w:sz="0" w:space="0" w:color="auto"/>
            <w:left w:val="none" w:sz="0" w:space="0" w:color="auto"/>
            <w:bottom w:val="none" w:sz="0" w:space="0" w:color="auto"/>
            <w:right w:val="none" w:sz="0" w:space="0" w:color="auto"/>
          </w:divBdr>
        </w:div>
        <w:div w:id="764766465">
          <w:marLeft w:val="0"/>
          <w:marRight w:val="0"/>
          <w:marTop w:val="0"/>
          <w:marBottom w:val="0"/>
          <w:divBdr>
            <w:top w:val="none" w:sz="0" w:space="0" w:color="auto"/>
            <w:left w:val="none" w:sz="0" w:space="0" w:color="auto"/>
            <w:bottom w:val="none" w:sz="0" w:space="0" w:color="auto"/>
            <w:right w:val="none" w:sz="0" w:space="0" w:color="auto"/>
          </w:divBdr>
        </w:div>
      </w:divsChild>
    </w:div>
    <w:div w:id="1346983231">
      <w:marLeft w:val="0"/>
      <w:marRight w:val="0"/>
      <w:marTop w:val="60"/>
      <w:marBottom w:val="60"/>
      <w:divBdr>
        <w:top w:val="none" w:sz="0" w:space="0" w:color="auto"/>
        <w:left w:val="none" w:sz="0" w:space="0" w:color="auto"/>
        <w:bottom w:val="none" w:sz="0" w:space="0" w:color="auto"/>
        <w:right w:val="none" w:sz="0" w:space="0" w:color="auto"/>
      </w:divBdr>
    </w:div>
    <w:div w:id="1347633065">
      <w:marLeft w:val="0"/>
      <w:marRight w:val="0"/>
      <w:marTop w:val="180"/>
      <w:marBottom w:val="180"/>
      <w:divBdr>
        <w:top w:val="none" w:sz="0" w:space="0" w:color="auto"/>
        <w:left w:val="none" w:sz="0" w:space="0" w:color="auto"/>
        <w:bottom w:val="none" w:sz="0" w:space="0" w:color="auto"/>
        <w:right w:val="none" w:sz="0" w:space="0" w:color="auto"/>
      </w:divBdr>
    </w:div>
    <w:div w:id="1348755946">
      <w:marLeft w:val="0"/>
      <w:marRight w:val="0"/>
      <w:marTop w:val="0"/>
      <w:marBottom w:val="0"/>
      <w:divBdr>
        <w:top w:val="none" w:sz="0" w:space="0" w:color="auto"/>
        <w:left w:val="none" w:sz="0" w:space="0" w:color="auto"/>
        <w:bottom w:val="none" w:sz="0" w:space="0" w:color="auto"/>
        <w:right w:val="none" w:sz="0" w:space="0" w:color="auto"/>
      </w:divBdr>
      <w:divsChild>
        <w:div w:id="1002783434">
          <w:marLeft w:val="0"/>
          <w:marRight w:val="0"/>
          <w:marTop w:val="0"/>
          <w:marBottom w:val="0"/>
          <w:divBdr>
            <w:top w:val="none" w:sz="0" w:space="0" w:color="auto"/>
            <w:left w:val="none" w:sz="0" w:space="0" w:color="auto"/>
            <w:bottom w:val="none" w:sz="0" w:space="0" w:color="auto"/>
            <w:right w:val="none" w:sz="0" w:space="0" w:color="auto"/>
          </w:divBdr>
          <w:divsChild>
            <w:div w:id="461498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9216597">
      <w:marLeft w:val="0"/>
      <w:marRight w:val="0"/>
      <w:marTop w:val="180"/>
      <w:marBottom w:val="180"/>
      <w:divBdr>
        <w:top w:val="none" w:sz="0" w:space="0" w:color="auto"/>
        <w:left w:val="none" w:sz="0" w:space="0" w:color="auto"/>
        <w:bottom w:val="none" w:sz="0" w:space="0" w:color="auto"/>
        <w:right w:val="none" w:sz="0" w:space="0" w:color="auto"/>
      </w:divBdr>
    </w:div>
    <w:div w:id="1350374506">
      <w:marLeft w:val="0"/>
      <w:marRight w:val="0"/>
      <w:marTop w:val="0"/>
      <w:marBottom w:val="0"/>
      <w:divBdr>
        <w:top w:val="none" w:sz="0" w:space="0" w:color="auto"/>
        <w:left w:val="none" w:sz="0" w:space="0" w:color="auto"/>
        <w:bottom w:val="none" w:sz="0" w:space="0" w:color="auto"/>
        <w:right w:val="none" w:sz="0" w:space="0" w:color="auto"/>
      </w:divBdr>
      <w:divsChild>
        <w:div w:id="81529021">
          <w:marLeft w:val="0"/>
          <w:marRight w:val="0"/>
          <w:marTop w:val="0"/>
          <w:marBottom w:val="0"/>
          <w:divBdr>
            <w:top w:val="none" w:sz="0" w:space="0" w:color="auto"/>
            <w:left w:val="none" w:sz="0" w:space="0" w:color="auto"/>
            <w:bottom w:val="none" w:sz="0" w:space="0" w:color="auto"/>
            <w:right w:val="none" w:sz="0" w:space="0" w:color="auto"/>
          </w:divBdr>
          <w:divsChild>
            <w:div w:id="17388944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6224088">
      <w:marLeft w:val="0"/>
      <w:marRight w:val="0"/>
      <w:marTop w:val="0"/>
      <w:marBottom w:val="0"/>
      <w:divBdr>
        <w:top w:val="none" w:sz="0" w:space="0" w:color="auto"/>
        <w:left w:val="none" w:sz="0" w:space="0" w:color="auto"/>
        <w:bottom w:val="none" w:sz="0" w:space="0" w:color="auto"/>
        <w:right w:val="none" w:sz="0" w:space="0" w:color="auto"/>
      </w:divBdr>
    </w:div>
    <w:div w:id="1356343087">
      <w:marLeft w:val="0"/>
      <w:marRight w:val="0"/>
      <w:marTop w:val="180"/>
      <w:marBottom w:val="180"/>
      <w:divBdr>
        <w:top w:val="none" w:sz="0" w:space="0" w:color="auto"/>
        <w:left w:val="none" w:sz="0" w:space="0" w:color="auto"/>
        <w:bottom w:val="none" w:sz="0" w:space="0" w:color="auto"/>
        <w:right w:val="none" w:sz="0" w:space="0" w:color="auto"/>
      </w:divBdr>
    </w:div>
    <w:div w:id="1358772218">
      <w:marLeft w:val="0"/>
      <w:marRight w:val="0"/>
      <w:marTop w:val="120"/>
      <w:marBottom w:val="180"/>
      <w:divBdr>
        <w:top w:val="none" w:sz="0" w:space="0" w:color="auto"/>
        <w:left w:val="none" w:sz="0" w:space="0" w:color="auto"/>
        <w:bottom w:val="none" w:sz="0" w:space="0" w:color="auto"/>
        <w:right w:val="none" w:sz="0" w:space="0" w:color="auto"/>
      </w:divBdr>
    </w:div>
    <w:div w:id="1359308808">
      <w:marLeft w:val="0"/>
      <w:marRight w:val="0"/>
      <w:marTop w:val="0"/>
      <w:marBottom w:val="0"/>
      <w:divBdr>
        <w:top w:val="none" w:sz="0" w:space="0" w:color="auto"/>
        <w:left w:val="none" w:sz="0" w:space="0" w:color="auto"/>
        <w:bottom w:val="none" w:sz="0" w:space="0" w:color="auto"/>
        <w:right w:val="none" w:sz="0" w:space="0" w:color="auto"/>
      </w:divBdr>
    </w:div>
    <w:div w:id="1359698124">
      <w:marLeft w:val="0"/>
      <w:marRight w:val="0"/>
      <w:marTop w:val="180"/>
      <w:marBottom w:val="60"/>
      <w:divBdr>
        <w:top w:val="none" w:sz="0" w:space="0" w:color="auto"/>
        <w:left w:val="none" w:sz="0" w:space="0" w:color="auto"/>
        <w:bottom w:val="none" w:sz="0" w:space="0" w:color="auto"/>
        <w:right w:val="none" w:sz="0" w:space="0" w:color="auto"/>
      </w:divBdr>
    </w:div>
    <w:div w:id="1360006899">
      <w:marLeft w:val="0"/>
      <w:marRight w:val="0"/>
      <w:marTop w:val="180"/>
      <w:marBottom w:val="180"/>
      <w:divBdr>
        <w:top w:val="none" w:sz="0" w:space="0" w:color="auto"/>
        <w:left w:val="none" w:sz="0" w:space="0" w:color="auto"/>
        <w:bottom w:val="none" w:sz="0" w:space="0" w:color="auto"/>
        <w:right w:val="none" w:sz="0" w:space="0" w:color="auto"/>
      </w:divBdr>
    </w:div>
    <w:div w:id="1361472877">
      <w:marLeft w:val="0"/>
      <w:marRight w:val="0"/>
      <w:marTop w:val="60"/>
      <w:marBottom w:val="60"/>
      <w:divBdr>
        <w:top w:val="none" w:sz="0" w:space="0" w:color="auto"/>
        <w:left w:val="none" w:sz="0" w:space="0" w:color="auto"/>
        <w:bottom w:val="none" w:sz="0" w:space="0" w:color="auto"/>
        <w:right w:val="none" w:sz="0" w:space="0" w:color="auto"/>
      </w:divBdr>
    </w:div>
    <w:div w:id="1366634087">
      <w:marLeft w:val="0"/>
      <w:marRight w:val="0"/>
      <w:marTop w:val="180"/>
      <w:marBottom w:val="180"/>
      <w:divBdr>
        <w:top w:val="none" w:sz="0" w:space="0" w:color="auto"/>
        <w:left w:val="none" w:sz="0" w:space="0" w:color="auto"/>
        <w:bottom w:val="none" w:sz="0" w:space="0" w:color="auto"/>
        <w:right w:val="none" w:sz="0" w:space="0" w:color="auto"/>
      </w:divBdr>
    </w:div>
    <w:div w:id="1367292683">
      <w:marLeft w:val="0"/>
      <w:marRight w:val="0"/>
      <w:marTop w:val="0"/>
      <w:marBottom w:val="180"/>
      <w:divBdr>
        <w:top w:val="none" w:sz="0" w:space="0" w:color="auto"/>
        <w:left w:val="none" w:sz="0" w:space="0" w:color="auto"/>
        <w:bottom w:val="none" w:sz="0" w:space="0" w:color="auto"/>
        <w:right w:val="none" w:sz="0" w:space="0" w:color="auto"/>
      </w:divBdr>
    </w:div>
    <w:div w:id="1370377387">
      <w:marLeft w:val="0"/>
      <w:marRight w:val="0"/>
      <w:marTop w:val="0"/>
      <w:marBottom w:val="0"/>
      <w:divBdr>
        <w:top w:val="none" w:sz="0" w:space="0" w:color="auto"/>
        <w:left w:val="none" w:sz="0" w:space="0" w:color="auto"/>
        <w:bottom w:val="none" w:sz="0" w:space="0" w:color="auto"/>
        <w:right w:val="none" w:sz="0" w:space="0" w:color="auto"/>
      </w:divBdr>
    </w:div>
    <w:div w:id="1380520592">
      <w:marLeft w:val="0"/>
      <w:marRight w:val="0"/>
      <w:marTop w:val="180"/>
      <w:marBottom w:val="180"/>
      <w:divBdr>
        <w:top w:val="none" w:sz="0" w:space="0" w:color="auto"/>
        <w:left w:val="none" w:sz="0" w:space="0" w:color="auto"/>
        <w:bottom w:val="none" w:sz="0" w:space="0" w:color="auto"/>
        <w:right w:val="none" w:sz="0" w:space="0" w:color="auto"/>
      </w:divBdr>
      <w:divsChild>
        <w:div w:id="1696494649">
          <w:marLeft w:val="0"/>
          <w:marRight w:val="0"/>
          <w:marTop w:val="0"/>
          <w:marBottom w:val="0"/>
          <w:divBdr>
            <w:top w:val="none" w:sz="0" w:space="0" w:color="auto"/>
            <w:left w:val="none" w:sz="0" w:space="0" w:color="auto"/>
            <w:bottom w:val="none" w:sz="0" w:space="0" w:color="auto"/>
            <w:right w:val="none" w:sz="0" w:space="0" w:color="auto"/>
          </w:divBdr>
        </w:div>
        <w:div w:id="1789427570">
          <w:marLeft w:val="0"/>
          <w:marRight w:val="0"/>
          <w:marTop w:val="0"/>
          <w:marBottom w:val="0"/>
          <w:divBdr>
            <w:top w:val="none" w:sz="0" w:space="0" w:color="auto"/>
            <w:left w:val="none" w:sz="0" w:space="0" w:color="auto"/>
            <w:bottom w:val="none" w:sz="0" w:space="0" w:color="auto"/>
            <w:right w:val="none" w:sz="0" w:space="0" w:color="auto"/>
          </w:divBdr>
        </w:div>
        <w:div w:id="1483738691">
          <w:marLeft w:val="0"/>
          <w:marRight w:val="0"/>
          <w:marTop w:val="0"/>
          <w:marBottom w:val="0"/>
          <w:divBdr>
            <w:top w:val="none" w:sz="0" w:space="0" w:color="auto"/>
            <w:left w:val="none" w:sz="0" w:space="0" w:color="auto"/>
            <w:bottom w:val="none" w:sz="0" w:space="0" w:color="auto"/>
            <w:right w:val="none" w:sz="0" w:space="0" w:color="auto"/>
          </w:divBdr>
        </w:div>
      </w:divsChild>
    </w:div>
    <w:div w:id="1380784988">
      <w:marLeft w:val="0"/>
      <w:marRight w:val="0"/>
      <w:marTop w:val="180"/>
      <w:marBottom w:val="180"/>
      <w:divBdr>
        <w:top w:val="none" w:sz="0" w:space="0" w:color="auto"/>
        <w:left w:val="none" w:sz="0" w:space="0" w:color="auto"/>
        <w:bottom w:val="none" w:sz="0" w:space="0" w:color="auto"/>
        <w:right w:val="none" w:sz="0" w:space="0" w:color="auto"/>
      </w:divBdr>
    </w:div>
    <w:div w:id="1382245400">
      <w:marLeft w:val="0"/>
      <w:marRight w:val="0"/>
      <w:marTop w:val="0"/>
      <w:marBottom w:val="0"/>
      <w:divBdr>
        <w:top w:val="none" w:sz="0" w:space="0" w:color="auto"/>
        <w:left w:val="none" w:sz="0" w:space="0" w:color="auto"/>
        <w:bottom w:val="none" w:sz="0" w:space="0" w:color="auto"/>
        <w:right w:val="none" w:sz="0" w:space="0" w:color="auto"/>
      </w:divBdr>
      <w:divsChild>
        <w:div w:id="151793956">
          <w:marLeft w:val="0"/>
          <w:marRight w:val="0"/>
          <w:marTop w:val="0"/>
          <w:marBottom w:val="0"/>
          <w:divBdr>
            <w:top w:val="none" w:sz="0" w:space="0" w:color="auto"/>
            <w:left w:val="none" w:sz="0" w:space="0" w:color="auto"/>
            <w:bottom w:val="none" w:sz="0" w:space="0" w:color="auto"/>
            <w:right w:val="none" w:sz="0" w:space="0" w:color="auto"/>
          </w:divBdr>
          <w:divsChild>
            <w:div w:id="13778483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9456219">
      <w:marLeft w:val="0"/>
      <w:marRight w:val="0"/>
      <w:marTop w:val="180"/>
      <w:marBottom w:val="180"/>
      <w:divBdr>
        <w:top w:val="none" w:sz="0" w:space="0" w:color="auto"/>
        <w:left w:val="none" w:sz="0" w:space="0" w:color="auto"/>
        <w:bottom w:val="none" w:sz="0" w:space="0" w:color="auto"/>
        <w:right w:val="none" w:sz="0" w:space="0" w:color="auto"/>
      </w:divBdr>
    </w:div>
    <w:div w:id="1390493290">
      <w:marLeft w:val="0"/>
      <w:marRight w:val="0"/>
      <w:marTop w:val="0"/>
      <w:marBottom w:val="0"/>
      <w:divBdr>
        <w:top w:val="none" w:sz="0" w:space="0" w:color="auto"/>
        <w:left w:val="none" w:sz="0" w:space="0" w:color="auto"/>
        <w:bottom w:val="none" w:sz="0" w:space="0" w:color="auto"/>
        <w:right w:val="none" w:sz="0" w:space="0" w:color="auto"/>
      </w:divBdr>
      <w:divsChild>
        <w:div w:id="573008879">
          <w:marLeft w:val="0"/>
          <w:marRight w:val="0"/>
          <w:marTop w:val="60"/>
          <w:marBottom w:val="180"/>
          <w:divBdr>
            <w:top w:val="none" w:sz="0" w:space="0" w:color="auto"/>
            <w:left w:val="none" w:sz="0" w:space="0" w:color="auto"/>
            <w:bottom w:val="none" w:sz="0" w:space="0" w:color="auto"/>
            <w:right w:val="none" w:sz="0" w:space="0" w:color="auto"/>
          </w:divBdr>
        </w:div>
      </w:divsChild>
    </w:div>
    <w:div w:id="1394423188">
      <w:marLeft w:val="0"/>
      <w:marRight w:val="0"/>
      <w:marTop w:val="60"/>
      <w:marBottom w:val="60"/>
      <w:divBdr>
        <w:top w:val="none" w:sz="0" w:space="0" w:color="auto"/>
        <w:left w:val="none" w:sz="0" w:space="0" w:color="auto"/>
        <w:bottom w:val="none" w:sz="0" w:space="0" w:color="auto"/>
        <w:right w:val="none" w:sz="0" w:space="0" w:color="auto"/>
      </w:divBdr>
    </w:div>
    <w:div w:id="1397239402">
      <w:marLeft w:val="0"/>
      <w:marRight w:val="0"/>
      <w:marTop w:val="0"/>
      <w:marBottom w:val="0"/>
      <w:divBdr>
        <w:top w:val="none" w:sz="0" w:space="0" w:color="auto"/>
        <w:left w:val="none" w:sz="0" w:space="0" w:color="auto"/>
        <w:bottom w:val="none" w:sz="0" w:space="0" w:color="auto"/>
        <w:right w:val="none" w:sz="0" w:space="0" w:color="auto"/>
      </w:divBdr>
      <w:divsChild>
        <w:div w:id="1725716381">
          <w:marLeft w:val="0"/>
          <w:marRight w:val="0"/>
          <w:marTop w:val="60"/>
          <w:marBottom w:val="180"/>
          <w:divBdr>
            <w:top w:val="none" w:sz="0" w:space="0" w:color="auto"/>
            <w:left w:val="none" w:sz="0" w:space="0" w:color="auto"/>
            <w:bottom w:val="none" w:sz="0" w:space="0" w:color="auto"/>
            <w:right w:val="none" w:sz="0" w:space="0" w:color="auto"/>
          </w:divBdr>
        </w:div>
      </w:divsChild>
    </w:div>
    <w:div w:id="1397317683">
      <w:marLeft w:val="0"/>
      <w:marRight w:val="0"/>
      <w:marTop w:val="0"/>
      <w:marBottom w:val="0"/>
      <w:divBdr>
        <w:top w:val="none" w:sz="0" w:space="0" w:color="auto"/>
        <w:left w:val="none" w:sz="0" w:space="0" w:color="auto"/>
        <w:bottom w:val="none" w:sz="0" w:space="0" w:color="auto"/>
        <w:right w:val="none" w:sz="0" w:space="0" w:color="auto"/>
      </w:divBdr>
    </w:div>
    <w:div w:id="1410687359">
      <w:marLeft w:val="0"/>
      <w:marRight w:val="0"/>
      <w:marTop w:val="0"/>
      <w:marBottom w:val="0"/>
      <w:divBdr>
        <w:top w:val="none" w:sz="0" w:space="0" w:color="auto"/>
        <w:left w:val="none" w:sz="0" w:space="0" w:color="auto"/>
        <w:bottom w:val="none" w:sz="0" w:space="0" w:color="auto"/>
        <w:right w:val="none" w:sz="0" w:space="0" w:color="auto"/>
      </w:divBdr>
    </w:div>
    <w:div w:id="1410927533">
      <w:marLeft w:val="0"/>
      <w:marRight w:val="0"/>
      <w:marTop w:val="60"/>
      <w:marBottom w:val="60"/>
      <w:divBdr>
        <w:top w:val="none" w:sz="0" w:space="0" w:color="auto"/>
        <w:left w:val="none" w:sz="0" w:space="0" w:color="auto"/>
        <w:bottom w:val="none" w:sz="0" w:space="0" w:color="auto"/>
        <w:right w:val="none" w:sz="0" w:space="0" w:color="auto"/>
      </w:divBdr>
      <w:divsChild>
        <w:div w:id="1530684473">
          <w:marLeft w:val="0"/>
          <w:marRight w:val="0"/>
          <w:marTop w:val="0"/>
          <w:marBottom w:val="0"/>
          <w:divBdr>
            <w:top w:val="none" w:sz="0" w:space="0" w:color="auto"/>
            <w:left w:val="none" w:sz="0" w:space="0" w:color="auto"/>
            <w:bottom w:val="none" w:sz="0" w:space="0" w:color="auto"/>
            <w:right w:val="none" w:sz="0" w:space="0" w:color="auto"/>
          </w:divBdr>
        </w:div>
        <w:div w:id="2037346669">
          <w:marLeft w:val="0"/>
          <w:marRight w:val="0"/>
          <w:marTop w:val="0"/>
          <w:marBottom w:val="0"/>
          <w:divBdr>
            <w:top w:val="none" w:sz="0" w:space="0" w:color="auto"/>
            <w:left w:val="none" w:sz="0" w:space="0" w:color="auto"/>
            <w:bottom w:val="none" w:sz="0" w:space="0" w:color="auto"/>
            <w:right w:val="none" w:sz="0" w:space="0" w:color="auto"/>
          </w:divBdr>
        </w:div>
        <w:div w:id="384454134">
          <w:marLeft w:val="0"/>
          <w:marRight w:val="0"/>
          <w:marTop w:val="0"/>
          <w:marBottom w:val="0"/>
          <w:divBdr>
            <w:top w:val="none" w:sz="0" w:space="0" w:color="auto"/>
            <w:left w:val="none" w:sz="0" w:space="0" w:color="auto"/>
            <w:bottom w:val="none" w:sz="0" w:space="0" w:color="auto"/>
            <w:right w:val="none" w:sz="0" w:space="0" w:color="auto"/>
          </w:divBdr>
        </w:div>
      </w:divsChild>
    </w:div>
    <w:div w:id="1412660897">
      <w:marLeft w:val="0"/>
      <w:marRight w:val="0"/>
      <w:marTop w:val="0"/>
      <w:marBottom w:val="0"/>
      <w:divBdr>
        <w:top w:val="none" w:sz="0" w:space="0" w:color="auto"/>
        <w:left w:val="none" w:sz="0" w:space="0" w:color="auto"/>
        <w:bottom w:val="none" w:sz="0" w:space="0" w:color="auto"/>
        <w:right w:val="none" w:sz="0" w:space="0" w:color="auto"/>
      </w:divBdr>
      <w:divsChild>
        <w:div w:id="599606459">
          <w:marLeft w:val="0"/>
          <w:marRight w:val="0"/>
          <w:marTop w:val="180"/>
          <w:marBottom w:val="180"/>
          <w:divBdr>
            <w:top w:val="none" w:sz="0" w:space="0" w:color="auto"/>
            <w:left w:val="none" w:sz="0" w:space="0" w:color="auto"/>
            <w:bottom w:val="none" w:sz="0" w:space="0" w:color="auto"/>
            <w:right w:val="none" w:sz="0" w:space="0" w:color="auto"/>
          </w:divBdr>
        </w:div>
      </w:divsChild>
    </w:div>
    <w:div w:id="1414863120">
      <w:marLeft w:val="0"/>
      <w:marRight w:val="0"/>
      <w:marTop w:val="180"/>
      <w:marBottom w:val="180"/>
      <w:divBdr>
        <w:top w:val="none" w:sz="0" w:space="0" w:color="auto"/>
        <w:left w:val="none" w:sz="0" w:space="0" w:color="auto"/>
        <w:bottom w:val="none" w:sz="0" w:space="0" w:color="auto"/>
        <w:right w:val="none" w:sz="0" w:space="0" w:color="auto"/>
      </w:divBdr>
    </w:div>
    <w:div w:id="1418557464">
      <w:marLeft w:val="0"/>
      <w:marRight w:val="0"/>
      <w:marTop w:val="60"/>
      <w:marBottom w:val="60"/>
      <w:divBdr>
        <w:top w:val="none" w:sz="0" w:space="0" w:color="auto"/>
        <w:left w:val="none" w:sz="0" w:space="0" w:color="auto"/>
        <w:bottom w:val="none" w:sz="0" w:space="0" w:color="auto"/>
        <w:right w:val="none" w:sz="0" w:space="0" w:color="auto"/>
      </w:divBdr>
    </w:div>
    <w:div w:id="1423600227">
      <w:marLeft w:val="0"/>
      <w:marRight w:val="0"/>
      <w:marTop w:val="0"/>
      <w:marBottom w:val="0"/>
      <w:divBdr>
        <w:top w:val="none" w:sz="0" w:space="0" w:color="auto"/>
        <w:left w:val="none" w:sz="0" w:space="0" w:color="auto"/>
        <w:bottom w:val="none" w:sz="0" w:space="0" w:color="auto"/>
        <w:right w:val="none" w:sz="0" w:space="0" w:color="auto"/>
      </w:divBdr>
      <w:divsChild>
        <w:div w:id="1005519631">
          <w:marLeft w:val="0"/>
          <w:marRight w:val="0"/>
          <w:marTop w:val="180"/>
          <w:marBottom w:val="180"/>
          <w:divBdr>
            <w:top w:val="none" w:sz="0" w:space="0" w:color="auto"/>
            <w:left w:val="none" w:sz="0" w:space="0" w:color="auto"/>
            <w:bottom w:val="none" w:sz="0" w:space="0" w:color="auto"/>
            <w:right w:val="none" w:sz="0" w:space="0" w:color="auto"/>
          </w:divBdr>
        </w:div>
      </w:divsChild>
    </w:div>
    <w:div w:id="1425953822">
      <w:marLeft w:val="0"/>
      <w:marRight w:val="0"/>
      <w:marTop w:val="0"/>
      <w:marBottom w:val="0"/>
      <w:divBdr>
        <w:top w:val="none" w:sz="0" w:space="0" w:color="auto"/>
        <w:left w:val="none" w:sz="0" w:space="0" w:color="auto"/>
        <w:bottom w:val="none" w:sz="0" w:space="0" w:color="auto"/>
        <w:right w:val="none" w:sz="0" w:space="0" w:color="auto"/>
      </w:divBdr>
    </w:div>
    <w:div w:id="1426418445">
      <w:marLeft w:val="0"/>
      <w:marRight w:val="0"/>
      <w:marTop w:val="0"/>
      <w:marBottom w:val="0"/>
      <w:divBdr>
        <w:top w:val="none" w:sz="0" w:space="0" w:color="auto"/>
        <w:left w:val="none" w:sz="0" w:space="0" w:color="auto"/>
        <w:bottom w:val="none" w:sz="0" w:space="0" w:color="auto"/>
        <w:right w:val="none" w:sz="0" w:space="0" w:color="auto"/>
      </w:divBdr>
      <w:divsChild>
        <w:div w:id="226502097">
          <w:marLeft w:val="0"/>
          <w:marRight w:val="0"/>
          <w:marTop w:val="60"/>
          <w:marBottom w:val="180"/>
          <w:divBdr>
            <w:top w:val="none" w:sz="0" w:space="0" w:color="auto"/>
            <w:left w:val="none" w:sz="0" w:space="0" w:color="auto"/>
            <w:bottom w:val="none" w:sz="0" w:space="0" w:color="auto"/>
            <w:right w:val="none" w:sz="0" w:space="0" w:color="auto"/>
          </w:divBdr>
        </w:div>
      </w:divsChild>
    </w:div>
    <w:div w:id="1430155531">
      <w:marLeft w:val="0"/>
      <w:marRight w:val="0"/>
      <w:marTop w:val="0"/>
      <w:marBottom w:val="0"/>
      <w:divBdr>
        <w:top w:val="none" w:sz="0" w:space="0" w:color="auto"/>
        <w:left w:val="none" w:sz="0" w:space="0" w:color="auto"/>
        <w:bottom w:val="none" w:sz="0" w:space="0" w:color="auto"/>
        <w:right w:val="none" w:sz="0" w:space="0" w:color="auto"/>
      </w:divBdr>
    </w:div>
    <w:div w:id="1430807305">
      <w:marLeft w:val="0"/>
      <w:marRight w:val="0"/>
      <w:marTop w:val="0"/>
      <w:marBottom w:val="0"/>
      <w:divBdr>
        <w:top w:val="none" w:sz="0" w:space="0" w:color="auto"/>
        <w:left w:val="none" w:sz="0" w:space="0" w:color="auto"/>
        <w:bottom w:val="none" w:sz="0" w:space="0" w:color="auto"/>
        <w:right w:val="none" w:sz="0" w:space="0" w:color="auto"/>
      </w:divBdr>
      <w:divsChild>
        <w:div w:id="90590329">
          <w:marLeft w:val="0"/>
          <w:marRight w:val="0"/>
          <w:marTop w:val="60"/>
          <w:marBottom w:val="180"/>
          <w:divBdr>
            <w:top w:val="none" w:sz="0" w:space="0" w:color="auto"/>
            <w:left w:val="none" w:sz="0" w:space="0" w:color="auto"/>
            <w:bottom w:val="none" w:sz="0" w:space="0" w:color="auto"/>
            <w:right w:val="none" w:sz="0" w:space="0" w:color="auto"/>
          </w:divBdr>
        </w:div>
      </w:divsChild>
    </w:div>
    <w:div w:id="1432512986">
      <w:marLeft w:val="0"/>
      <w:marRight w:val="0"/>
      <w:marTop w:val="180"/>
      <w:marBottom w:val="180"/>
      <w:divBdr>
        <w:top w:val="none" w:sz="0" w:space="0" w:color="auto"/>
        <w:left w:val="none" w:sz="0" w:space="0" w:color="auto"/>
        <w:bottom w:val="none" w:sz="0" w:space="0" w:color="auto"/>
        <w:right w:val="none" w:sz="0" w:space="0" w:color="auto"/>
      </w:divBdr>
    </w:div>
    <w:div w:id="1433435568">
      <w:marLeft w:val="0"/>
      <w:marRight w:val="0"/>
      <w:marTop w:val="60"/>
      <w:marBottom w:val="60"/>
      <w:divBdr>
        <w:top w:val="none" w:sz="0" w:space="0" w:color="auto"/>
        <w:left w:val="none" w:sz="0" w:space="0" w:color="auto"/>
        <w:bottom w:val="none" w:sz="0" w:space="0" w:color="auto"/>
        <w:right w:val="none" w:sz="0" w:space="0" w:color="auto"/>
      </w:divBdr>
    </w:div>
    <w:div w:id="1433630341">
      <w:marLeft w:val="0"/>
      <w:marRight w:val="0"/>
      <w:marTop w:val="180"/>
      <w:marBottom w:val="180"/>
      <w:divBdr>
        <w:top w:val="none" w:sz="0" w:space="0" w:color="auto"/>
        <w:left w:val="none" w:sz="0" w:space="0" w:color="auto"/>
        <w:bottom w:val="none" w:sz="0" w:space="0" w:color="auto"/>
        <w:right w:val="none" w:sz="0" w:space="0" w:color="auto"/>
      </w:divBdr>
    </w:div>
    <w:div w:id="1434202094">
      <w:marLeft w:val="0"/>
      <w:marRight w:val="0"/>
      <w:marTop w:val="180"/>
      <w:marBottom w:val="180"/>
      <w:divBdr>
        <w:top w:val="none" w:sz="0" w:space="0" w:color="auto"/>
        <w:left w:val="none" w:sz="0" w:space="0" w:color="auto"/>
        <w:bottom w:val="none" w:sz="0" w:space="0" w:color="auto"/>
        <w:right w:val="none" w:sz="0" w:space="0" w:color="auto"/>
      </w:divBdr>
    </w:div>
    <w:div w:id="1434977688">
      <w:marLeft w:val="0"/>
      <w:marRight w:val="0"/>
      <w:marTop w:val="0"/>
      <w:marBottom w:val="0"/>
      <w:divBdr>
        <w:top w:val="none" w:sz="0" w:space="0" w:color="auto"/>
        <w:left w:val="none" w:sz="0" w:space="0" w:color="auto"/>
        <w:bottom w:val="none" w:sz="0" w:space="0" w:color="auto"/>
        <w:right w:val="none" w:sz="0" w:space="0" w:color="auto"/>
      </w:divBdr>
    </w:div>
    <w:div w:id="1437363069">
      <w:marLeft w:val="0"/>
      <w:marRight w:val="0"/>
      <w:marTop w:val="60"/>
      <w:marBottom w:val="60"/>
      <w:divBdr>
        <w:top w:val="none" w:sz="0" w:space="0" w:color="auto"/>
        <w:left w:val="none" w:sz="0" w:space="0" w:color="auto"/>
        <w:bottom w:val="none" w:sz="0" w:space="0" w:color="auto"/>
        <w:right w:val="none" w:sz="0" w:space="0" w:color="auto"/>
      </w:divBdr>
    </w:div>
    <w:div w:id="1438137181">
      <w:marLeft w:val="0"/>
      <w:marRight w:val="0"/>
      <w:marTop w:val="0"/>
      <w:marBottom w:val="0"/>
      <w:divBdr>
        <w:top w:val="none" w:sz="0" w:space="0" w:color="auto"/>
        <w:left w:val="none" w:sz="0" w:space="0" w:color="auto"/>
        <w:bottom w:val="none" w:sz="0" w:space="0" w:color="auto"/>
        <w:right w:val="none" w:sz="0" w:space="0" w:color="auto"/>
      </w:divBdr>
      <w:divsChild>
        <w:div w:id="733548701">
          <w:marLeft w:val="0"/>
          <w:marRight w:val="0"/>
          <w:marTop w:val="60"/>
          <w:marBottom w:val="180"/>
          <w:divBdr>
            <w:top w:val="none" w:sz="0" w:space="0" w:color="auto"/>
            <w:left w:val="none" w:sz="0" w:space="0" w:color="auto"/>
            <w:bottom w:val="none" w:sz="0" w:space="0" w:color="auto"/>
            <w:right w:val="none" w:sz="0" w:space="0" w:color="auto"/>
          </w:divBdr>
        </w:div>
      </w:divsChild>
    </w:div>
    <w:div w:id="1440174331">
      <w:marLeft w:val="0"/>
      <w:marRight w:val="0"/>
      <w:marTop w:val="180"/>
      <w:marBottom w:val="180"/>
      <w:divBdr>
        <w:top w:val="none" w:sz="0" w:space="0" w:color="auto"/>
        <w:left w:val="none" w:sz="0" w:space="0" w:color="auto"/>
        <w:bottom w:val="none" w:sz="0" w:space="0" w:color="auto"/>
        <w:right w:val="none" w:sz="0" w:space="0" w:color="auto"/>
      </w:divBdr>
    </w:div>
    <w:div w:id="1444419132">
      <w:marLeft w:val="0"/>
      <w:marRight w:val="0"/>
      <w:marTop w:val="100"/>
      <w:marBottom w:val="0"/>
      <w:divBdr>
        <w:top w:val="none" w:sz="0" w:space="0" w:color="auto"/>
        <w:left w:val="none" w:sz="0" w:space="0" w:color="auto"/>
        <w:bottom w:val="none" w:sz="0" w:space="0" w:color="auto"/>
        <w:right w:val="none" w:sz="0" w:space="0" w:color="auto"/>
      </w:divBdr>
    </w:div>
    <w:div w:id="1445231737">
      <w:marLeft w:val="0"/>
      <w:marRight w:val="0"/>
      <w:marTop w:val="180"/>
      <w:marBottom w:val="180"/>
      <w:divBdr>
        <w:top w:val="none" w:sz="0" w:space="0" w:color="auto"/>
        <w:left w:val="none" w:sz="0" w:space="0" w:color="auto"/>
        <w:bottom w:val="none" w:sz="0" w:space="0" w:color="auto"/>
        <w:right w:val="none" w:sz="0" w:space="0" w:color="auto"/>
      </w:divBdr>
    </w:div>
    <w:div w:id="1445809239">
      <w:marLeft w:val="0"/>
      <w:marRight w:val="0"/>
      <w:marTop w:val="180"/>
      <w:marBottom w:val="180"/>
      <w:divBdr>
        <w:top w:val="none" w:sz="0" w:space="0" w:color="auto"/>
        <w:left w:val="none" w:sz="0" w:space="0" w:color="auto"/>
        <w:bottom w:val="none" w:sz="0" w:space="0" w:color="auto"/>
        <w:right w:val="none" w:sz="0" w:space="0" w:color="auto"/>
      </w:divBdr>
    </w:div>
    <w:div w:id="1450273330">
      <w:marLeft w:val="0"/>
      <w:marRight w:val="0"/>
      <w:marTop w:val="180"/>
      <w:marBottom w:val="180"/>
      <w:divBdr>
        <w:top w:val="none" w:sz="0" w:space="0" w:color="auto"/>
        <w:left w:val="none" w:sz="0" w:space="0" w:color="auto"/>
        <w:bottom w:val="none" w:sz="0" w:space="0" w:color="auto"/>
        <w:right w:val="none" w:sz="0" w:space="0" w:color="auto"/>
      </w:divBdr>
    </w:div>
    <w:div w:id="1450663609">
      <w:marLeft w:val="0"/>
      <w:marRight w:val="0"/>
      <w:marTop w:val="60"/>
      <w:marBottom w:val="60"/>
      <w:divBdr>
        <w:top w:val="none" w:sz="0" w:space="0" w:color="auto"/>
        <w:left w:val="none" w:sz="0" w:space="0" w:color="auto"/>
        <w:bottom w:val="none" w:sz="0" w:space="0" w:color="auto"/>
        <w:right w:val="none" w:sz="0" w:space="0" w:color="auto"/>
      </w:divBdr>
    </w:div>
    <w:div w:id="1452439917">
      <w:marLeft w:val="0"/>
      <w:marRight w:val="0"/>
      <w:marTop w:val="180"/>
      <w:marBottom w:val="60"/>
      <w:divBdr>
        <w:top w:val="none" w:sz="0" w:space="0" w:color="auto"/>
        <w:left w:val="none" w:sz="0" w:space="0" w:color="auto"/>
        <w:bottom w:val="none" w:sz="0" w:space="0" w:color="auto"/>
        <w:right w:val="none" w:sz="0" w:space="0" w:color="auto"/>
      </w:divBdr>
    </w:div>
    <w:div w:id="1452479022">
      <w:marLeft w:val="0"/>
      <w:marRight w:val="0"/>
      <w:marTop w:val="180"/>
      <w:marBottom w:val="180"/>
      <w:divBdr>
        <w:top w:val="none" w:sz="0" w:space="0" w:color="auto"/>
        <w:left w:val="none" w:sz="0" w:space="0" w:color="auto"/>
        <w:bottom w:val="none" w:sz="0" w:space="0" w:color="auto"/>
        <w:right w:val="none" w:sz="0" w:space="0" w:color="auto"/>
      </w:divBdr>
    </w:div>
    <w:div w:id="1452552305">
      <w:marLeft w:val="0"/>
      <w:marRight w:val="0"/>
      <w:marTop w:val="180"/>
      <w:marBottom w:val="180"/>
      <w:divBdr>
        <w:top w:val="none" w:sz="0" w:space="0" w:color="auto"/>
        <w:left w:val="none" w:sz="0" w:space="0" w:color="auto"/>
        <w:bottom w:val="none" w:sz="0" w:space="0" w:color="auto"/>
        <w:right w:val="none" w:sz="0" w:space="0" w:color="auto"/>
      </w:divBdr>
    </w:div>
    <w:div w:id="1452937631">
      <w:marLeft w:val="0"/>
      <w:marRight w:val="0"/>
      <w:marTop w:val="180"/>
      <w:marBottom w:val="180"/>
      <w:divBdr>
        <w:top w:val="none" w:sz="0" w:space="0" w:color="auto"/>
        <w:left w:val="none" w:sz="0" w:space="0" w:color="auto"/>
        <w:bottom w:val="none" w:sz="0" w:space="0" w:color="auto"/>
        <w:right w:val="none" w:sz="0" w:space="0" w:color="auto"/>
      </w:divBdr>
    </w:div>
    <w:div w:id="1453934837">
      <w:marLeft w:val="0"/>
      <w:marRight w:val="0"/>
      <w:marTop w:val="180"/>
      <w:marBottom w:val="180"/>
      <w:divBdr>
        <w:top w:val="none" w:sz="0" w:space="0" w:color="auto"/>
        <w:left w:val="none" w:sz="0" w:space="0" w:color="auto"/>
        <w:bottom w:val="none" w:sz="0" w:space="0" w:color="auto"/>
        <w:right w:val="none" w:sz="0" w:space="0" w:color="auto"/>
      </w:divBdr>
    </w:div>
    <w:div w:id="1456290962">
      <w:marLeft w:val="0"/>
      <w:marRight w:val="0"/>
      <w:marTop w:val="180"/>
      <w:marBottom w:val="180"/>
      <w:divBdr>
        <w:top w:val="none" w:sz="0" w:space="0" w:color="auto"/>
        <w:left w:val="none" w:sz="0" w:space="0" w:color="auto"/>
        <w:bottom w:val="none" w:sz="0" w:space="0" w:color="auto"/>
        <w:right w:val="none" w:sz="0" w:space="0" w:color="auto"/>
      </w:divBdr>
    </w:div>
    <w:div w:id="1457873794">
      <w:marLeft w:val="0"/>
      <w:marRight w:val="0"/>
      <w:marTop w:val="60"/>
      <w:marBottom w:val="60"/>
      <w:divBdr>
        <w:top w:val="none" w:sz="0" w:space="0" w:color="auto"/>
        <w:left w:val="none" w:sz="0" w:space="0" w:color="auto"/>
        <w:bottom w:val="none" w:sz="0" w:space="0" w:color="auto"/>
        <w:right w:val="none" w:sz="0" w:space="0" w:color="auto"/>
      </w:divBdr>
    </w:div>
    <w:div w:id="1458186306">
      <w:marLeft w:val="0"/>
      <w:marRight w:val="0"/>
      <w:marTop w:val="0"/>
      <w:marBottom w:val="0"/>
      <w:divBdr>
        <w:top w:val="none" w:sz="0" w:space="0" w:color="auto"/>
        <w:left w:val="none" w:sz="0" w:space="0" w:color="auto"/>
        <w:bottom w:val="none" w:sz="0" w:space="0" w:color="auto"/>
        <w:right w:val="none" w:sz="0" w:space="0" w:color="auto"/>
      </w:divBdr>
      <w:divsChild>
        <w:div w:id="1628046562">
          <w:marLeft w:val="0"/>
          <w:marRight w:val="0"/>
          <w:marTop w:val="0"/>
          <w:marBottom w:val="0"/>
          <w:divBdr>
            <w:top w:val="none" w:sz="0" w:space="0" w:color="auto"/>
            <w:left w:val="none" w:sz="0" w:space="0" w:color="auto"/>
            <w:bottom w:val="none" w:sz="0" w:space="0" w:color="auto"/>
            <w:right w:val="none" w:sz="0" w:space="0" w:color="auto"/>
          </w:divBdr>
          <w:divsChild>
            <w:div w:id="8972819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0759697">
      <w:marLeft w:val="0"/>
      <w:marRight w:val="0"/>
      <w:marTop w:val="180"/>
      <w:marBottom w:val="180"/>
      <w:divBdr>
        <w:top w:val="none" w:sz="0" w:space="0" w:color="auto"/>
        <w:left w:val="none" w:sz="0" w:space="0" w:color="auto"/>
        <w:bottom w:val="none" w:sz="0" w:space="0" w:color="auto"/>
        <w:right w:val="none" w:sz="0" w:space="0" w:color="auto"/>
      </w:divBdr>
    </w:div>
    <w:div w:id="1462840286">
      <w:marLeft w:val="0"/>
      <w:marRight w:val="0"/>
      <w:marTop w:val="0"/>
      <w:marBottom w:val="0"/>
      <w:divBdr>
        <w:top w:val="none" w:sz="0" w:space="0" w:color="auto"/>
        <w:left w:val="none" w:sz="0" w:space="0" w:color="auto"/>
        <w:bottom w:val="none" w:sz="0" w:space="0" w:color="auto"/>
        <w:right w:val="none" w:sz="0" w:space="0" w:color="auto"/>
      </w:divBdr>
      <w:divsChild>
        <w:div w:id="65035356">
          <w:marLeft w:val="0"/>
          <w:marRight w:val="0"/>
          <w:marTop w:val="0"/>
          <w:marBottom w:val="0"/>
          <w:divBdr>
            <w:top w:val="none" w:sz="0" w:space="0" w:color="auto"/>
            <w:left w:val="none" w:sz="0" w:space="0" w:color="auto"/>
            <w:bottom w:val="none" w:sz="0" w:space="0" w:color="auto"/>
            <w:right w:val="none" w:sz="0" w:space="0" w:color="auto"/>
          </w:divBdr>
          <w:divsChild>
            <w:div w:id="14703938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3570105">
      <w:marLeft w:val="0"/>
      <w:marRight w:val="0"/>
      <w:marTop w:val="180"/>
      <w:marBottom w:val="180"/>
      <w:divBdr>
        <w:top w:val="none" w:sz="0" w:space="0" w:color="auto"/>
        <w:left w:val="none" w:sz="0" w:space="0" w:color="auto"/>
        <w:bottom w:val="none" w:sz="0" w:space="0" w:color="auto"/>
        <w:right w:val="none" w:sz="0" w:space="0" w:color="auto"/>
      </w:divBdr>
    </w:div>
    <w:div w:id="1465349054">
      <w:marLeft w:val="0"/>
      <w:marRight w:val="0"/>
      <w:marTop w:val="0"/>
      <w:marBottom w:val="0"/>
      <w:divBdr>
        <w:top w:val="none" w:sz="0" w:space="0" w:color="auto"/>
        <w:left w:val="none" w:sz="0" w:space="0" w:color="auto"/>
        <w:bottom w:val="none" w:sz="0" w:space="0" w:color="auto"/>
        <w:right w:val="none" w:sz="0" w:space="0" w:color="auto"/>
      </w:divBdr>
    </w:div>
    <w:div w:id="1468938330">
      <w:marLeft w:val="0"/>
      <w:marRight w:val="0"/>
      <w:marTop w:val="180"/>
      <w:marBottom w:val="180"/>
      <w:divBdr>
        <w:top w:val="none" w:sz="0" w:space="0" w:color="auto"/>
        <w:left w:val="none" w:sz="0" w:space="0" w:color="auto"/>
        <w:bottom w:val="none" w:sz="0" w:space="0" w:color="auto"/>
        <w:right w:val="none" w:sz="0" w:space="0" w:color="auto"/>
      </w:divBdr>
    </w:div>
    <w:div w:id="1469281068">
      <w:marLeft w:val="0"/>
      <w:marRight w:val="0"/>
      <w:marTop w:val="60"/>
      <w:marBottom w:val="60"/>
      <w:divBdr>
        <w:top w:val="none" w:sz="0" w:space="0" w:color="auto"/>
        <w:left w:val="none" w:sz="0" w:space="0" w:color="auto"/>
        <w:bottom w:val="none" w:sz="0" w:space="0" w:color="auto"/>
        <w:right w:val="none" w:sz="0" w:space="0" w:color="auto"/>
      </w:divBdr>
    </w:div>
    <w:div w:id="1472750070">
      <w:marLeft w:val="0"/>
      <w:marRight w:val="0"/>
      <w:marTop w:val="0"/>
      <w:marBottom w:val="0"/>
      <w:divBdr>
        <w:top w:val="none" w:sz="0" w:space="0" w:color="auto"/>
        <w:left w:val="none" w:sz="0" w:space="0" w:color="auto"/>
        <w:bottom w:val="none" w:sz="0" w:space="0" w:color="auto"/>
        <w:right w:val="none" w:sz="0" w:space="0" w:color="auto"/>
      </w:divBdr>
      <w:divsChild>
        <w:div w:id="1916747229">
          <w:marLeft w:val="0"/>
          <w:marRight w:val="0"/>
          <w:marTop w:val="60"/>
          <w:marBottom w:val="180"/>
          <w:divBdr>
            <w:top w:val="none" w:sz="0" w:space="0" w:color="auto"/>
            <w:left w:val="none" w:sz="0" w:space="0" w:color="auto"/>
            <w:bottom w:val="none" w:sz="0" w:space="0" w:color="auto"/>
            <w:right w:val="none" w:sz="0" w:space="0" w:color="auto"/>
          </w:divBdr>
        </w:div>
      </w:divsChild>
    </w:div>
    <w:div w:id="1473330141">
      <w:marLeft w:val="0"/>
      <w:marRight w:val="0"/>
      <w:marTop w:val="0"/>
      <w:marBottom w:val="0"/>
      <w:divBdr>
        <w:top w:val="none" w:sz="0" w:space="0" w:color="auto"/>
        <w:left w:val="none" w:sz="0" w:space="0" w:color="auto"/>
        <w:bottom w:val="none" w:sz="0" w:space="0" w:color="auto"/>
        <w:right w:val="none" w:sz="0" w:space="0" w:color="auto"/>
      </w:divBdr>
    </w:div>
    <w:div w:id="1475373852">
      <w:marLeft w:val="0"/>
      <w:marRight w:val="0"/>
      <w:marTop w:val="0"/>
      <w:marBottom w:val="0"/>
      <w:divBdr>
        <w:top w:val="none" w:sz="0" w:space="0" w:color="auto"/>
        <w:left w:val="none" w:sz="0" w:space="0" w:color="auto"/>
        <w:bottom w:val="none" w:sz="0" w:space="0" w:color="auto"/>
        <w:right w:val="none" w:sz="0" w:space="0" w:color="auto"/>
      </w:divBdr>
      <w:divsChild>
        <w:div w:id="74324013">
          <w:marLeft w:val="0"/>
          <w:marRight w:val="0"/>
          <w:marTop w:val="0"/>
          <w:marBottom w:val="180"/>
          <w:divBdr>
            <w:top w:val="none" w:sz="0" w:space="0" w:color="auto"/>
            <w:left w:val="none" w:sz="0" w:space="0" w:color="auto"/>
            <w:bottom w:val="none" w:sz="0" w:space="0" w:color="auto"/>
            <w:right w:val="none" w:sz="0" w:space="0" w:color="auto"/>
          </w:divBdr>
        </w:div>
        <w:div w:id="318730556">
          <w:marLeft w:val="0"/>
          <w:marRight w:val="0"/>
          <w:marTop w:val="0"/>
          <w:marBottom w:val="180"/>
          <w:divBdr>
            <w:top w:val="none" w:sz="0" w:space="0" w:color="auto"/>
            <w:left w:val="none" w:sz="0" w:space="0" w:color="auto"/>
            <w:bottom w:val="none" w:sz="0" w:space="0" w:color="auto"/>
            <w:right w:val="none" w:sz="0" w:space="0" w:color="auto"/>
          </w:divBdr>
        </w:div>
        <w:div w:id="931856800">
          <w:marLeft w:val="0"/>
          <w:marRight w:val="0"/>
          <w:marTop w:val="0"/>
          <w:marBottom w:val="180"/>
          <w:divBdr>
            <w:top w:val="none" w:sz="0" w:space="0" w:color="auto"/>
            <w:left w:val="none" w:sz="0" w:space="0" w:color="auto"/>
            <w:bottom w:val="none" w:sz="0" w:space="0" w:color="auto"/>
            <w:right w:val="none" w:sz="0" w:space="0" w:color="auto"/>
          </w:divBdr>
        </w:div>
      </w:divsChild>
    </w:div>
    <w:div w:id="1478302065">
      <w:marLeft w:val="0"/>
      <w:marRight w:val="0"/>
      <w:marTop w:val="60"/>
      <w:marBottom w:val="60"/>
      <w:divBdr>
        <w:top w:val="none" w:sz="0" w:space="0" w:color="auto"/>
        <w:left w:val="none" w:sz="0" w:space="0" w:color="auto"/>
        <w:bottom w:val="none" w:sz="0" w:space="0" w:color="auto"/>
        <w:right w:val="none" w:sz="0" w:space="0" w:color="auto"/>
      </w:divBdr>
    </w:div>
    <w:div w:id="1478380975">
      <w:marLeft w:val="0"/>
      <w:marRight w:val="0"/>
      <w:marTop w:val="60"/>
      <w:marBottom w:val="180"/>
      <w:divBdr>
        <w:top w:val="none" w:sz="0" w:space="0" w:color="auto"/>
        <w:left w:val="none" w:sz="0" w:space="0" w:color="auto"/>
        <w:bottom w:val="none" w:sz="0" w:space="0" w:color="auto"/>
        <w:right w:val="none" w:sz="0" w:space="0" w:color="auto"/>
      </w:divBdr>
    </w:div>
    <w:div w:id="1481341095">
      <w:marLeft w:val="0"/>
      <w:marRight w:val="0"/>
      <w:marTop w:val="180"/>
      <w:marBottom w:val="60"/>
      <w:divBdr>
        <w:top w:val="none" w:sz="0" w:space="0" w:color="auto"/>
        <w:left w:val="none" w:sz="0" w:space="0" w:color="auto"/>
        <w:bottom w:val="none" w:sz="0" w:space="0" w:color="auto"/>
        <w:right w:val="none" w:sz="0" w:space="0" w:color="auto"/>
      </w:divBdr>
    </w:div>
    <w:div w:id="1482044787">
      <w:marLeft w:val="0"/>
      <w:marRight w:val="0"/>
      <w:marTop w:val="180"/>
      <w:marBottom w:val="180"/>
      <w:divBdr>
        <w:top w:val="none" w:sz="0" w:space="0" w:color="auto"/>
        <w:left w:val="none" w:sz="0" w:space="0" w:color="auto"/>
        <w:bottom w:val="none" w:sz="0" w:space="0" w:color="auto"/>
        <w:right w:val="none" w:sz="0" w:space="0" w:color="auto"/>
      </w:divBdr>
    </w:div>
    <w:div w:id="1482700299">
      <w:marLeft w:val="0"/>
      <w:marRight w:val="0"/>
      <w:marTop w:val="180"/>
      <w:marBottom w:val="180"/>
      <w:divBdr>
        <w:top w:val="none" w:sz="0" w:space="0" w:color="auto"/>
        <w:left w:val="none" w:sz="0" w:space="0" w:color="auto"/>
        <w:bottom w:val="none" w:sz="0" w:space="0" w:color="auto"/>
        <w:right w:val="none" w:sz="0" w:space="0" w:color="auto"/>
      </w:divBdr>
    </w:div>
    <w:div w:id="1488016092">
      <w:marLeft w:val="0"/>
      <w:marRight w:val="0"/>
      <w:marTop w:val="60"/>
      <w:marBottom w:val="60"/>
      <w:divBdr>
        <w:top w:val="none" w:sz="0" w:space="0" w:color="auto"/>
        <w:left w:val="none" w:sz="0" w:space="0" w:color="auto"/>
        <w:bottom w:val="none" w:sz="0" w:space="0" w:color="auto"/>
        <w:right w:val="none" w:sz="0" w:space="0" w:color="auto"/>
      </w:divBdr>
    </w:div>
    <w:div w:id="1488132934">
      <w:marLeft w:val="0"/>
      <w:marRight w:val="0"/>
      <w:marTop w:val="0"/>
      <w:marBottom w:val="60"/>
      <w:divBdr>
        <w:top w:val="none" w:sz="0" w:space="0" w:color="auto"/>
        <w:left w:val="none" w:sz="0" w:space="0" w:color="auto"/>
        <w:bottom w:val="none" w:sz="0" w:space="0" w:color="auto"/>
        <w:right w:val="none" w:sz="0" w:space="0" w:color="auto"/>
      </w:divBdr>
    </w:div>
    <w:div w:id="1490052184">
      <w:marLeft w:val="0"/>
      <w:marRight w:val="0"/>
      <w:marTop w:val="180"/>
      <w:marBottom w:val="180"/>
      <w:divBdr>
        <w:top w:val="none" w:sz="0" w:space="0" w:color="auto"/>
        <w:left w:val="none" w:sz="0" w:space="0" w:color="auto"/>
        <w:bottom w:val="none" w:sz="0" w:space="0" w:color="auto"/>
        <w:right w:val="none" w:sz="0" w:space="0" w:color="auto"/>
      </w:divBdr>
    </w:div>
    <w:div w:id="1493062765">
      <w:marLeft w:val="0"/>
      <w:marRight w:val="0"/>
      <w:marTop w:val="0"/>
      <w:marBottom w:val="60"/>
      <w:divBdr>
        <w:top w:val="none" w:sz="0" w:space="0" w:color="auto"/>
        <w:left w:val="none" w:sz="0" w:space="0" w:color="auto"/>
        <w:bottom w:val="none" w:sz="0" w:space="0" w:color="auto"/>
        <w:right w:val="none" w:sz="0" w:space="0" w:color="auto"/>
      </w:divBdr>
    </w:div>
    <w:div w:id="1493370573">
      <w:marLeft w:val="0"/>
      <w:marRight w:val="0"/>
      <w:marTop w:val="60"/>
      <w:marBottom w:val="60"/>
      <w:divBdr>
        <w:top w:val="none" w:sz="0" w:space="0" w:color="auto"/>
        <w:left w:val="none" w:sz="0" w:space="0" w:color="auto"/>
        <w:bottom w:val="none" w:sz="0" w:space="0" w:color="auto"/>
        <w:right w:val="none" w:sz="0" w:space="0" w:color="auto"/>
      </w:divBdr>
    </w:div>
    <w:div w:id="1493836323">
      <w:marLeft w:val="0"/>
      <w:marRight w:val="0"/>
      <w:marTop w:val="180"/>
      <w:marBottom w:val="180"/>
      <w:divBdr>
        <w:top w:val="none" w:sz="0" w:space="0" w:color="auto"/>
        <w:left w:val="none" w:sz="0" w:space="0" w:color="auto"/>
        <w:bottom w:val="none" w:sz="0" w:space="0" w:color="auto"/>
        <w:right w:val="none" w:sz="0" w:space="0" w:color="auto"/>
      </w:divBdr>
    </w:div>
    <w:div w:id="1495411726">
      <w:marLeft w:val="0"/>
      <w:marRight w:val="0"/>
      <w:marTop w:val="120"/>
      <w:marBottom w:val="120"/>
      <w:divBdr>
        <w:top w:val="none" w:sz="0" w:space="0" w:color="auto"/>
        <w:left w:val="none" w:sz="0" w:space="0" w:color="auto"/>
        <w:bottom w:val="none" w:sz="0" w:space="0" w:color="auto"/>
        <w:right w:val="none" w:sz="0" w:space="0" w:color="auto"/>
      </w:divBdr>
    </w:div>
    <w:div w:id="1496531411">
      <w:marLeft w:val="0"/>
      <w:marRight w:val="0"/>
      <w:marTop w:val="60"/>
      <w:marBottom w:val="60"/>
      <w:divBdr>
        <w:top w:val="none" w:sz="0" w:space="0" w:color="auto"/>
        <w:left w:val="none" w:sz="0" w:space="0" w:color="auto"/>
        <w:bottom w:val="none" w:sz="0" w:space="0" w:color="auto"/>
        <w:right w:val="none" w:sz="0" w:space="0" w:color="auto"/>
      </w:divBdr>
    </w:div>
    <w:div w:id="1496607279">
      <w:marLeft w:val="0"/>
      <w:marRight w:val="0"/>
      <w:marTop w:val="180"/>
      <w:marBottom w:val="180"/>
      <w:divBdr>
        <w:top w:val="none" w:sz="0" w:space="0" w:color="auto"/>
        <w:left w:val="none" w:sz="0" w:space="0" w:color="auto"/>
        <w:bottom w:val="none" w:sz="0" w:space="0" w:color="auto"/>
        <w:right w:val="none" w:sz="0" w:space="0" w:color="auto"/>
      </w:divBdr>
    </w:div>
    <w:div w:id="1501121798">
      <w:marLeft w:val="0"/>
      <w:marRight w:val="0"/>
      <w:marTop w:val="180"/>
      <w:marBottom w:val="180"/>
      <w:divBdr>
        <w:top w:val="none" w:sz="0" w:space="0" w:color="auto"/>
        <w:left w:val="none" w:sz="0" w:space="0" w:color="auto"/>
        <w:bottom w:val="none" w:sz="0" w:space="0" w:color="auto"/>
        <w:right w:val="none" w:sz="0" w:space="0" w:color="auto"/>
      </w:divBdr>
    </w:div>
    <w:div w:id="1503157562">
      <w:marLeft w:val="0"/>
      <w:marRight w:val="0"/>
      <w:marTop w:val="0"/>
      <w:marBottom w:val="0"/>
      <w:divBdr>
        <w:top w:val="none" w:sz="0" w:space="0" w:color="auto"/>
        <w:left w:val="none" w:sz="0" w:space="0" w:color="auto"/>
        <w:bottom w:val="none" w:sz="0" w:space="0" w:color="auto"/>
        <w:right w:val="none" w:sz="0" w:space="0" w:color="auto"/>
      </w:divBdr>
    </w:div>
    <w:div w:id="1503659431">
      <w:marLeft w:val="0"/>
      <w:marRight w:val="0"/>
      <w:marTop w:val="100"/>
      <w:marBottom w:val="180"/>
      <w:divBdr>
        <w:top w:val="none" w:sz="0" w:space="0" w:color="auto"/>
        <w:left w:val="none" w:sz="0" w:space="0" w:color="auto"/>
        <w:bottom w:val="none" w:sz="0" w:space="0" w:color="auto"/>
        <w:right w:val="none" w:sz="0" w:space="0" w:color="auto"/>
      </w:divBdr>
    </w:div>
    <w:div w:id="1505630580">
      <w:marLeft w:val="0"/>
      <w:marRight w:val="0"/>
      <w:marTop w:val="60"/>
      <w:marBottom w:val="60"/>
      <w:divBdr>
        <w:top w:val="none" w:sz="0" w:space="0" w:color="auto"/>
        <w:left w:val="none" w:sz="0" w:space="0" w:color="auto"/>
        <w:bottom w:val="none" w:sz="0" w:space="0" w:color="auto"/>
        <w:right w:val="none" w:sz="0" w:space="0" w:color="auto"/>
      </w:divBdr>
    </w:div>
    <w:div w:id="1507359508">
      <w:marLeft w:val="0"/>
      <w:marRight w:val="0"/>
      <w:marTop w:val="180"/>
      <w:marBottom w:val="180"/>
      <w:divBdr>
        <w:top w:val="none" w:sz="0" w:space="0" w:color="auto"/>
        <w:left w:val="none" w:sz="0" w:space="0" w:color="auto"/>
        <w:bottom w:val="none" w:sz="0" w:space="0" w:color="auto"/>
        <w:right w:val="none" w:sz="0" w:space="0" w:color="auto"/>
      </w:divBdr>
    </w:div>
    <w:div w:id="1508324333">
      <w:marLeft w:val="0"/>
      <w:marRight w:val="0"/>
      <w:marTop w:val="60"/>
      <w:marBottom w:val="60"/>
      <w:divBdr>
        <w:top w:val="none" w:sz="0" w:space="0" w:color="auto"/>
        <w:left w:val="none" w:sz="0" w:space="0" w:color="auto"/>
        <w:bottom w:val="none" w:sz="0" w:space="0" w:color="auto"/>
        <w:right w:val="none" w:sz="0" w:space="0" w:color="auto"/>
      </w:divBdr>
    </w:div>
    <w:div w:id="1508330355">
      <w:marLeft w:val="0"/>
      <w:marRight w:val="0"/>
      <w:marTop w:val="60"/>
      <w:marBottom w:val="60"/>
      <w:divBdr>
        <w:top w:val="none" w:sz="0" w:space="0" w:color="auto"/>
        <w:left w:val="none" w:sz="0" w:space="0" w:color="auto"/>
        <w:bottom w:val="none" w:sz="0" w:space="0" w:color="auto"/>
        <w:right w:val="none" w:sz="0" w:space="0" w:color="auto"/>
      </w:divBdr>
    </w:div>
    <w:div w:id="1511070061">
      <w:marLeft w:val="0"/>
      <w:marRight w:val="0"/>
      <w:marTop w:val="180"/>
      <w:marBottom w:val="180"/>
      <w:divBdr>
        <w:top w:val="none" w:sz="0" w:space="0" w:color="auto"/>
        <w:left w:val="none" w:sz="0" w:space="0" w:color="auto"/>
        <w:bottom w:val="none" w:sz="0" w:space="0" w:color="auto"/>
        <w:right w:val="none" w:sz="0" w:space="0" w:color="auto"/>
      </w:divBdr>
    </w:div>
    <w:div w:id="1512378366">
      <w:marLeft w:val="0"/>
      <w:marRight w:val="0"/>
      <w:marTop w:val="60"/>
      <w:marBottom w:val="60"/>
      <w:divBdr>
        <w:top w:val="none" w:sz="0" w:space="0" w:color="auto"/>
        <w:left w:val="none" w:sz="0" w:space="0" w:color="auto"/>
        <w:bottom w:val="none" w:sz="0" w:space="0" w:color="auto"/>
        <w:right w:val="none" w:sz="0" w:space="0" w:color="auto"/>
      </w:divBdr>
      <w:divsChild>
        <w:div w:id="709065466">
          <w:marLeft w:val="0"/>
          <w:marRight w:val="0"/>
          <w:marTop w:val="0"/>
          <w:marBottom w:val="0"/>
          <w:divBdr>
            <w:top w:val="none" w:sz="0" w:space="0" w:color="auto"/>
            <w:left w:val="none" w:sz="0" w:space="0" w:color="auto"/>
            <w:bottom w:val="none" w:sz="0" w:space="0" w:color="auto"/>
            <w:right w:val="none" w:sz="0" w:space="0" w:color="auto"/>
          </w:divBdr>
        </w:div>
      </w:divsChild>
    </w:div>
    <w:div w:id="1518959676">
      <w:marLeft w:val="0"/>
      <w:marRight w:val="0"/>
      <w:marTop w:val="120"/>
      <w:marBottom w:val="180"/>
      <w:divBdr>
        <w:top w:val="none" w:sz="0" w:space="0" w:color="auto"/>
        <w:left w:val="none" w:sz="0" w:space="0" w:color="auto"/>
        <w:bottom w:val="none" w:sz="0" w:space="0" w:color="auto"/>
        <w:right w:val="none" w:sz="0" w:space="0" w:color="auto"/>
      </w:divBdr>
    </w:div>
    <w:div w:id="1519999337">
      <w:marLeft w:val="0"/>
      <w:marRight w:val="0"/>
      <w:marTop w:val="180"/>
      <w:marBottom w:val="60"/>
      <w:divBdr>
        <w:top w:val="none" w:sz="0" w:space="0" w:color="auto"/>
        <w:left w:val="none" w:sz="0" w:space="0" w:color="auto"/>
        <w:bottom w:val="none" w:sz="0" w:space="0" w:color="auto"/>
        <w:right w:val="none" w:sz="0" w:space="0" w:color="auto"/>
      </w:divBdr>
    </w:div>
    <w:div w:id="1521967498">
      <w:marLeft w:val="0"/>
      <w:marRight w:val="0"/>
      <w:marTop w:val="180"/>
      <w:marBottom w:val="180"/>
      <w:divBdr>
        <w:top w:val="none" w:sz="0" w:space="0" w:color="auto"/>
        <w:left w:val="none" w:sz="0" w:space="0" w:color="auto"/>
        <w:bottom w:val="none" w:sz="0" w:space="0" w:color="auto"/>
        <w:right w:val="none" w:sz="0" w:space="0" w:color="auto"/>
      </w:divBdr>
    </w:div>
    <w:div w:id="1522011166">
      <w:marLeft w:val="0"/>
      <w:marRight w:val="0"/>
      <w:marTop w:val="0"/>
      <w:marBottom w:val="0"/>
      <w:divBdr>
        <w:top w:val="none" w:sz="0" w:space="0" w:color="auto"/>
        <w:left w:val="none" w:sz="0" w:space="0" w:color="auto"/>
        <w:bottom w:val="none" w:sz="0" w:space="0" w:color="auto"/>
        <w:right w:val="none" w:sz="0" w:space="0" w:color="auto"/>
      </w:divBdr>
      <w:divsChild>
        <w:div w:id="534150202">
          <w:marLeft w:val="0"/>
          <w:marRight w:val="0"/>
          <w:marTop w:val="60"/>
          <w:marBottom w:val="60"/>
          <w:divBdr>
            <w:top w:val="none" w:sz="0" w:space="0" w:color="auto"/>
            <w:left w:val="none" w:sz="0" w:space="0" w:color="auto"/>
            <w:bottom w:val="none" w:sz="0" w:space="0" w:color="auto"/>
            <w:right w:val="none" w:sz="0" w:space="0" w:color="auto"/>
          </w:divBdr>
        </w:div>
      </w:divsChild>
    </w:div>
    <w:div w:id="1524243545">
      <w:marLeft w:val="0"/>
      <w:marRight w:val="0"/>
      <w:marTop w:val="180"/>
      <w:marBottom w:val="180"/>
      <w:divBdr>
        <w:top w:val="none" w:sz="0" w:space="0" w:color="auto"/>
        <w:left w:val="none" w:sz="0" w:space="0" w:color="auto"/>
        <w:bottom w:val="none" w:sz="0" w:space="0" w:color="auto"/>
        <w:right w:val="none" w:sz="0" w:space="0" w:color="auto"/>
      </w:divBdr>
    </w:div>
    <w:div w:id="1524705382">
      <w:marLeft w:val="0"/>
      <w:marRight w:val="0"/>
      <w:marTop w:val="180"/>
      <w:marBottom w:val="180"/>
      <w:divBdr>
        <w:top w:val="none" w:sz="0" w:space="0" w:color="auto"/>
        <w:left w:val="none" w:sz="0" w:space="0" w:color="auto"/>
        <w:bottom w:val="none" w:sz="0" w:space="0" w:color="auto"/>
        <w:right w:val="none" w:sz="0" w:space="0" w:color="auto"/>
      </w:divBdr>
    </w:div>
    <w:div w:id="1525905001">
      <w:marLeft w:val="0"/>
      <w:marRight w:val="0"/>
      <w:marTop w:val="180"/>
      <w:marBottom w:val="180"/>
      <w:divBdr>
        <w:top w:val="none" w:sz="0" w:space="0" w:color="auto"/>
        <w:left w:val="none" w:sz="0" w:space="0" w:color="auto"/>
        <w:bottom w:val="none" w:sz="0" w:space="0" w:color="auto"/>
        <w:right w:val="none" w:sz="0" w:space="0" w:color="auto"/>
      </w:divBdr>
    </w:div>
    <w:div w:id="1528955422">
      <w:marLeft w:val="0"/>
      <w:marRight w:val="0"/>
      <w:marTop w:val="0"/>
      <w:marBottom w:val="0"/>
      <w:divBdr>
        <w:top w:val="none" w:sz="0" w:space="0" w:color="auto"/>
        <w:left w:val="none" w:sz="0" w:space="0" w:color="auto"/>
        <w:bottom w:val="none" w:sz="0" w:space="0" w:color="auto"/>
        <w:right w:val="none" w:sz="0" w:space="0" w:color="auto"/>
      </w:divBdr>
    </w:div>
    <w:div w:id="1531063940">
      <w:marLeft w:val="0"/>
      <w:marRight w:val="0"/>
      <w:marTop w:val="0"/>
      <w:marBottom w:val="0"/>
      <w:divBdr>
        <w:top w:val="none" w:sz="0" w:space="0" w:color="auto"/>
        <w:left w:val="none" w:sz="0" w:space="0" w:color="auto"/>
        <w:bottom w:val="none" w:sz="0" w:space="0" w:color="auto"/>
        <w:right w:val="none" w:sz="0" w:space="0" w:color="auto"/>
      </w:divBdr>
      <w:divsChild>
        <w:div w:id="1777672593">
          <w:marLeft w:val="0"/>
          <w:marRight w:val="0"/>
          <w:marTop w:val="0"/>
          <w:marBottom w:val="0"/>
          <w:divBdr>
            <w:top w:val="none" w:sz="0" w:space="0" w:color="auto"/>
            <w:left w:val="none" w:sz="0" w:space="0" w:color="auto"/>
            <w:bottom w:val="none" w:sz="0" w:space="0" w:color="auto"/>
            <w:right w:val="none" w:sz="0" w:space="0" w:color="auto"/>
          </w:divBdr>
          <w:divsChild>
            <w:div w:id="7207918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31844350">
      <w:marLeft w:val="0"/>
      <w:marRight w:val="0"/>
      <w:marTop w:val="180"/>
      <w:marBottom w:val="180"/>
      <w:divBdr>
        <w:top w:val="none" w:sz="0" w:space="0" w:color="auto"/>
        <w:left w:val="none" w:sz="0" w:space="0" w:color="auto"/>
        <w:bottom w:val="none" w:sz="0" w:space="0" w:color="auto"/>
        <w:right w:val="none" w:sz="0" w:space="0" w:color="auto"/>
      </w:divBdr>
    </w:div>
    <w:div w:id="1532182100">
      <w:marLeft w:val="0"/>
      <w:marRight w:val="0"/>
      <w:marTop w:val="60"/>
      <w:marBottom w:val="60"/>
      <w:divBdr>
        <w:top w:val="none" w:sz="0" w:space="0" w:color="auto"/>
        <w:left w:val="none" w:sz="0" w:space="0" w:color="auto"/>
        <w:bottom w:val="none" w:sz="0" w:space="0" w:color="auto"/>
        <w:right w:val="none" w:sz="0" w:space="0" w:color="auto"/>
      </w:divBdr>
    </w:div>
    <w:div w:id="1532574628">
      <w:marLeft w:val="0"/>
      <w:marRight w:val="0"/>
      <w:marTop w:val="180"/>
      <w:marBottom w:val="180"/>
      <w:divBdr>
        <w:top w:val="none" w:sz="0" w:space="0" w:color="auto"/>
        <w:left w:val="none" w:sz="0" w:space="0" w:color="auto"/>
        <w:bottom w:val="none" w:sz="0" w:space="0" w:color="auto"/>
        <w:right w:val="none" w:sz="0" w:space="0" w:color="auto"/>
      </w:divBdr>
    </w:div>
    <w:div w:id="1533881267">
      <w:marLeft w:val="0"/>
      <w:marRight w:val="0"/>
      <w:marTop w:val="180"/>
      <w:marBottom w:val="180"/>
      <w:divBdr>
        <w:top w:val="none" w:sz="0" w:space="0" w:color="auto"/>
        <w:left w:val="none" w:sz="0" w:space="0" w:color="auto"/>
        <w:bottom w:val="none" w:sz="0" w:space="0" w:color="auto"/>
        <w:right w:val="none" w:sz="0" w:space="0" w:color="auto"/>
      </w:divBdr>
      <w:divsChild>
        <w:div w:id="363482668">
          <w:marLeft w:val="0"/>
          <w:marRight w:val="0"/>
          <w:marTop w:val="0"/>
          <w:marBottom w:val="0"/>
          <w:divBdr>
            <w:top w:val="none" w:sz="0" w:space="0" w:color="auto"/>
            <w:left w:val="none" w:sz="0" w:space="0" w:color="auto"/>
            <w:bottom w:val="none" w:sz="0" w:space="0" w:color="auto"/>
            <w:right w:val="none" w:sz="0" w:space="0" w:color="auto"/>
          </w:divBdr>
        </w:div>
        <w:div w:id="424032995">
          <w:marLeft w:val="0"/>
          <w:marRight w:val="0"/>
          <w:marTop w:val="0"/>
          <w:marBottom w:val="0"/>
          <w:divBdr>
            <w:top w:val="none" w:sz="0" w:space="0" w:color="auto"/>
            <w:left w:val="none" w:sz="0" w:space="0" w:color="auto"/>
            <w:bottom w:val="none" w:sz="0" w:space="0" w:color="auto"/>
            <w:right w:val="none" w:sz="0" w:space="0" w:color="auto"/>
          </w:divBdr>
        </w:div>
        <w:div w:id="941495907">
          <w:marLeft w:val="0"/>
          <w:marRight w:val="0"/>
          <w:marTop w:val="0"/>
          <w:marBottom w:val="0"/>
          <w:divBdr>
            <w:top w:val="none" w:sz="0" w:space="0" w:color="auto"/>
            <w:left w:val="none" w:sz="0" w:space="0" w:color="auto"/>
            <w:bottom w:val="none" w:sz="0" w:space="0" w:color="auto"/>
            <w:right w:val="none" w:sz="0" w:space="0" w:color="auto"/>
          </w:divBdr>
        </w:div>
        <w:div w:id="1808668943">
          <w:marLeft w:val="0"/>
          <w:marRight w:val="0"/>
          <w:marTop w:val="0"/>
          <w:marBottom w:val="0"/>
          <w:divBdr>
            <w:top w:val="none" w:sz="0" w:space="0" w:color="auto"/>
            <w:left w:val="none" w:sz="0" w:space="0" w:color="auto"/>
            <w:bottom w:val="none" w:sz="0" w:space="0" w:color="auto"/>
            <w:right w:val="none" w:sz="0" w:space="0" w:color="auto"/>
          </w:divBdr>
        </w:div>
        <w:div w:id="1947079155">
          <w:marLeft w:val="0"/>
          <w:marRight w:val="0"/>
          <w:marTop w:val="0"/>
          <w:marBottom w:val="0"/>
          <w:divBdr>
            <w:top w:val="none" w:sz="0" w:space="0" w:color="auto"/>
            <w:left w:val="none" w:sz="0" w:space="0" w:color="auto"/>
            <w:bottom w:val="none" w:sz="0" w:space="0" w:color="auto"/>
            <w:right w:val="none" w:sz="0" w:space="0" w:color="auto"/>
          </w:divBdr>
        </w:div>
        <w:div w:id="684289941">
          <w:marLeft w:val="0"/>
          <w:marRight w:val="0"/>
          <w:marTop w:val="0"/>
          <w:marBottom w:val="0"/>
          <w:divBdr>
            <w:top w:val="none" w:sz="0" w:space="0" w:color="auto"/>
            <w:left w:val="none" w:sz="0" w:space="0" w:color="auto"/>
            <w:bottom w:val="none" w:sz="0" w:space="0" w:color="auto"/>
            <w:right w:val="none" w:sz="0" w:space="0" w:color="auto"/>
          </w:divBdr>
        </w:div>
        <w:div w:id="1220826831">
          <w:marLeft w:val="0"/>
          <w:marRight w:val="0"/>
          <w:marTop w:val="0"/>
          <w:marBottom w:val="0"/>
          <w:divBdr>
            <w:top w:val="none" w:sz="0" w:space="0" w:color="auto"/>
            <w:left w:val="none" w:sz="0" w:space="0" w:color="auto"/>
            <w:bottom w:val="none" w:sz="0" w:space="0" w:color="auto"/>
            <w:right w:val="none" w:sz="0" w:space="0" w:color="auto"/>
          </w:divBdr>
        </w:div>
        <w:div w:id="1562253212">
          <w:marLeft w:val="0"/>
          <w:marRight w:val="0"/>
          <w:marTop w:val="0"/>
          <w:marBottom w:val="0"/>
          <w:divBdr>
            <w:top w:val="none" w:sz="0" w:space="0" w:color="auto"/>
            <w:left w:val="none" w:sz="0" w:space="0" w:color="auto"/>
            <w:bottom w:val="none" w:sz="0" w:space="0" w:color="auto"/>
            <w:right w:val="none" w:sz="0" w:space="0" w:color="auto"/>
          </w:divBdr>
        </w:div>
        <w:div w:id="1234391084">
          <w:marLeft w:val="0"/>
          <w:marRight w:val="0"/>
          <w:marTop w:val="0"/>
          <w:marBottom w:val="0"/>
          <w:divBdr>
            <w:top w:val="none" w:sz="0" w:space="0" w:color="auto"/>
            <w:left w:val="none" w:sz="0" w:space="0" w:color="auto"/>
            <w:bottom w:val="none" w:sz="0" w:space="0" w:color="auto"/>
            <w:right w:val="none" w:sz="0" w:space="0" w:color="auto"/>
          </w:divBdr>
        </w:div>
      </w:divsChild>
    </w:div>
    <w:div w:id="1534465799">
      <w:marLeft w:val="0"/>
      <w:marRight w:val="0"/>
      <w:marTop w:val="180"/>
      <w:marBottom w:val="180"/>
      <w:divBdr>
        <w:top w:val="none" w:sz="0" w:space="0" w:color="auto"/>
        <w:left w:val="none" w:sz="0" w:space="0" w:color="auto"/>
        <w:bottom w:val="none" w:sz="0" w:space="0" w:color="auto"/>
        <w:right w:val="none" w:sz="0" w:space="0" w:color="auto"/>
      </w:divBdr>
    </w:div>
    <w:div w:id="1535733529">
      <w:marLeft w:val="0"/>
      <w:marRight w:val="0"/>
      <w:marTop w:val="60"/>
      <w:marBottom w:val="60"/>
      <w:divBdr>
        <w:top w:val="none" w:sz="0" w:space="0" w:color="auto"/>
        <w:left w:val="none" w:sz="0" w:space="0" w:color="auto"/>
        <w:bottom w:val="none" w:sz="0" w:space="0" w:color="auto"/>
        <w:right w:val="none" w:sz="0" w:space="0" w:color="auto"/>
      </w:divBdr>
    </w:div>
    <w:div w:id="1537154772">
      <w:marLeft w:val="0"/>
      <w:marRight w:val="0"/>
      <w:marTop w:val="180"/>
      <w:marBottom w:val="60"/>
      <w:divBdr>
        <w:top w:val="none" w:sz="0" w:space="0" w:color="auto"/>
        <w:left w:val="none" w:sz="0" w:space="0" w:color="auto"/>
        <w:bottom w:val="none" w:sz="0" w:space="0" w:color="auto"/>
        <w:right w:val="none" w:sz="0" w:space="0" w:color="auto"/>
      </w:divBdr>
    </w:div>
    <w:div w:id="1538082567">
      <w:marLeft w:val="0"/>
      <w:marRight w:val="0"/>
      <w:marTop w:val="180"/>
      <w:marBottom w:val="180"/>
      <w:divBdr>
        <w:top w:val="none" w:sz="0" w:space="0" w:color="auto"/>
        <w:left w:val="none" w:sz="0" w:space="0" w:color="auto"/>
        <w:bottom w:val="none" w:sz="0" w:space="0" w:color="auto"/>
        <w:right w:val="none" w:sz="0" w:space="0" w:color="auto"/>
      </w:divBdr>
    </w:div>
    <w:div w:id="1538204077">
      <w:marLeft w:val="0"/>
      <w:marRight w:val="0"/>
      <w:marTop w:val="0"/>
      <w:marBottom w:val="15"/>
      <w:divBdr>
        <w:top w:val="none" w:sz="0" w:space="0" w:color="auto"/>
        <w:left w:val="none" w:sz="0" w:space="0" w:color="auto"/>
        <w:bottom w:val="none" w:sz="0" w:space="0" w:color="auto"/>
        <w:right w:val="none" w:sz="0" w:space="0" w:color="auto"/>
      </w:divBdr>
    </w:div>
    <w:div w:id="1552113613">
      <w:marLeft w:val="0"/>
      <w:marRight w:val="0"/>
      <w:marTop w:val="180"/>
      <w:marBottom w:val="180"/>
      <w:divBdr>
        <w:top w:val="none" w:sz="0" w:space="0" w:color="auto"/>
        <w:left w:val="none" w:sz="0" w:space="0" w:color="auto"/>
        <w:bottom w:val="none" w:sz="0" w:space="0" w:color="auto"/>
        <w:right w:val="none" w:sz="0" w:space="0" w:color="auto"/>
      </w:divBdr>
    </w:div>
    <w:div w:id="1555628486">
      <w:marLeft w:val="0"/>
      <w:marRight w:val="0"/>
      <w:marTop w:val="180"/>
      <w:marBottom w:val="180"/>
      <w:divBdr>
        <w:top w:val="none" w:sz="0" w:space="0" w:color="auto"/>
        <w:left w:val="none" w:sz="0" w:space="0" w:color="auto"/>
        <w:bottom w:val="none" w:sz="0" w:space="0" w:color="auto"/>
        <w:right w:val="none" w:sz="0" w:space="0" w:color="auto"/>
      </w:divBdr>
    </w:div>
    <w:div w:id="1556965922">
      <w:marLeft w:val="0"/>
      <w:marRight w:val="0"/>
      <w:marTop w:val="180"/>
      <w:marBottom w:val="180"/>
      <w:divBdr>
        <w:top w:val="none" w:sz="0" w:space="0" w:color="auto"/>
        <w:left w:val="none" w:sz="0" w:space="0" w:color="auto"/>
        <w:bottom w:val="none" w:sz="0" w:space="0" w:color="auto"/>
        <w:right w:val="none" w:sz="0" w:space="0" w:color="auto"/>
      </w:divBdr>
    </w:div>
    <w:div w:id="1559124400">
      <w:marLeft w:val="0"/>
      <w:marRight w:val="0"/>
      <w:marTop w:val="180"/>
      <w:marBottom w:val="180"/>
      <w:divBdr>
        <w:top w:val="none" w:sz="0" w:space="0" w:color="auto"/>
        <w:left w:val="none" w:sz="0" w:space="0" w:color="auto"/>
        <w:bottom w:val="none" w:sz="0" w:space="0" w:color="auto"/>
        <w:right w:val="none" w:sz="0" w:space="0" w:color="auto"/>
      </w:divBdr>
    </w:div>
    <w:div w:id="1560744182">
      <w:marLeft w:val="0"/>
      <w:marRight w:val="0"/>
      <w:marTop w:val="180"/>
      <w:marBottom w:val="180"/>
      <w:divBdr>
        <w:top w:val="none" w:sz="0" w:space="0" w:color="auto"/>
        <w:left w:val="none" w:sz="0" w:space="0" w:color="auto"/>
        <w:bottom w:val="none" w:sz="0" w:space="0" w:color="auto"/>
        <w:right w:val="none" w:sz="0" w:space="0" w:color="auto"/>
      </w:divBdr>
    </w:div>
    <w:div w:id="1564870321">
      <w:marLeft w:val="0"/>
      <w:marRight w:val="0"/>
      <w:marTop w:val="0"/>
      <w:marBottom w:val="0"/>
      <w:divBdr>
        <w:top w:val="none" w:sz="0" w:space="0" w:color="auto"/>
        <w:left w:val="none" w:sz="0" w:space="0" w:color="auto"/>
        <w:bottom w:val="none" w:sz="0" w:space="0" w:color="auto"/>
        <w:right w:val="none" w:sz="0" w:space="0" w:color="auto"/>
      </w:divBdr>
      <w:divsChild>
        <w:div w:id="2132168482">
          <w:marLeft w:val="0"/>
          <w:marRight w:val="0"/>
          <w:marTop w:val="60"/>
          <w:marBottom w:val="60"/>
          <w:divBdr>
            <w:top w:val="none" w:sz="0" w:space="0" w:color="auto"/>
            <w:left w:val="none" w:sz="0" w:space="0" w:color="auto"/>
            <w:bottom w:val="none" w:sz="0" w:space="0" w:color="auto"/>
            <w:right w:val="none" w:sz="0" w:space="0" w:color="auto"/>
          </w:divBdr>
        </w:div>
      </w:divsChild>
    </w:div>
    <w:div w:id="1566263081">
      <w:marLeft w:val="0"/>
      <w:marRight w:val="0"/>
      <w:marTop w:val="0"/>
      <w:marBottom w:val="0"/>
      <w:divBdr>
        <w:top w:val="none" w:sz="0" w:space="0" w:color="auto"/>
        <w:left w:val="none" w:sz="0" w:space="0" w:color="auto"/>
        <w:bottom w:val="none" w:sz="0" w:space="0" w:color="auto"/>
        <w:right w:val="none" w:sz="0" w:space="0" w:color="auto"/>
      </w:divBdr>
    </w:div>
    <w:div w:id="1568567918">
      <w:marLeft w:val="0"/>
      <w:marRight w:val="0"/>
      <w:marTop w:val="180"/>
      <w:marBottom w:val="180"/>
      <w:divBdr>
        <w:top w:val="none" w:sz="0" w:space="0" w:color="auto"/>
        <w:left w:val="none" w:sz="0" w:space="0" w:color="auto"/>
        <w:bottom w:val="none" w:sz="0" w:space="0" w:color="auto"/>
        <w:right w:val="none" w:sz="0" w:space="0" w:color="auto"/>
      </w:divBdr>
    </w:div>
    <w:div w:id="1570113680">
      <w:marLeft w:val="0"/>
      <w:marRight w:val="0"/>
      <w:marTop w:val="180"/>
      <w:marBottom w:val="180"/>
      <w:divBdr>
        <w:top w:val="none" w:sz="0" w:space="0" w:color="auto"/>
        <w:left w:val="none" w:sz="0" w:space="0" w:color="auto"/>
        <w:bottom w:val="none" w:sz="0" w:space="0" w:color="auto"/>
        <w:right w:val="none" w:sz="0" w:space="0" w:color="auto"/>
      </w:divBdr>
    </w:div>
    <w:div w:id="1570579283">
      <w:marLeft w:val="0"/>
      <w:marRight w:val="0"/>
      <w:marTop w:val="60"/>
      <w:marBottom w:val="60"/>
      <w:divBdr>
        <w:top w:val="none" w:sz="0" w:space="0" w:color="auto"/>
        <w:left w:val="none" w:sz="0" w:space="0" w:color="auto"/>
        <w:bottom w:val="none" w:sz="0" w:space="0" w:color="auto"/>
        <w:right w:val="none" w:sz="0" w:space="0" w:color="auto"/>
      </w:divBdr>
    </w:div>
    <w:div w:id="1571454017">
      <w:marLeft w:val="0"/>
      <w:marRight w:val="0"/>
      <w:marTop w:val="180"/>
      <w:marBottom w:val="180"/>
      <w:divBdr>
        <w:top w:val="none" w:sz="0" w:space="0" w:color="auto"/>
        <w:left w:val="none" w:sz="0" w:space="0" w:color="auto"/>
        <w:bottom w:val="none" w:sz="0" w:space="0" w:color="auto"/>
        <w:right w:val="none" w:sz="0" w:space="0" w:color="auto"/>
      </w:divBdr>
    </w:div>
    <w:div w:id="1573346761">
      <w:marLeft w:val="0"/>
      <w:marRight w:val="0"/>
      <w:marTop w:val="180"/>
      <w:marBottom w:val="180"/>
      <w:divBdr>
        <w:top w:val="none" w:sz="0" w:space="0" w:color="auto"/>
        <w:left w:val="none" w:sz="0" w:space="0" w:color="auto"/>
        <w:bottom w:val="none" w:sz="0" w:space="0" w:color="auto"/>
        <w:right w:val="none" w:sz="0" w:space="0" w:color="auto"/>
      </w:divBdr>
    </w:div>
    <w:div w:id="1573469405">
      <w:marLeft w:val="0"/>
      <w:marRight w:val="0"/>
      <w:marTop w:val="0"/>
      <w:marBottom w:val="0"/>
      <w:divBdr>
        <w:top w:val="none" w:sz="0" w:space="0" w:color="auto"/>
        <w:left w:val="none" w:sz="0" w:space="0" w:color="auto"/>
        <w:bottom w:val="none" w:sz="0" w:space="0" w:color="auto"/>
        <w:right w:val="none" w:sz="0" w:space="0" w:color="auto"/>
      </w:divBdr>
    </w:div>
    <w:div w:id="1573546808">
      <w:marLeft w:val="0"/>
      <w:marRight w:val="0"/>
      <w:marTop w:val="180"/>
      <w:marBottom w:val="180"/>
      <w:divBdr>
        <w:top w:val="none" w:sz="0" w:space="0" w:color="auto"/>
        <w:left w:val="none" w:sz="0" w:space="0" w:color="auto"/>
        <w:bottom w:val="none" w:sz="0" w:space="0" w:color="auto"/>
        <w:right w:val="none" w:sz="0" w:space="0" w:color="auto"/>
      </w:divBdr>
    </w:div>
    <w:div w:id="1574585342">
      <w:marLeft w:val="0"/>
      <w:marRight w:val="0"/>
      <w:marTop w:val="180"/>
      <w:marBottom w:val="180"/>
      <w:divBdr>
        <w:top w:val="none" w:sz="0" w:space="0" w:color="auto"/>
        <w:left w:val="none" w:sz="0" w:space="0" w:color="auto"/>
        <w:bottom w:val="none" w:sz="0" w:space="0" w:color="auto"/>
        <w:right w:val="none" w:sz="0" w:space="0" w:color="auto"/>
      </w:divBdr>
    </w:div>
    <w:div w:id="1574706336">
      <w:marLeft w:val="0"/>
      <w:marRight w:val="0"/>
      <w:marTop w:val="180"/>
      <w:marBottom w:val="180"/>
      <w:divBdr>
        <w:top w:val="none" w:sz="0" w:space="0" w:color="auto"/>
        <w:left w:val="none" w:sz="0" w:space="0" w:color="auto"/>
        <w:bottom w:val="none" w:sz="0" w:space="0" w:color="auto"/>
        <w:right w:val="none" w:sz="0" w:space="0" w:color="auto"/>
      </w:divBdr>
    </w:div>
    <w:div w:id="1576354278">
      <w:marLeft w:val="0"/>
      <w:marRight w:val="0"/>
      <w:marTop w:val="180"/>
      <w:marBottom w:val="0"/>
      <w:divBdr>
        <w:top w:val="none" w:sz="0" w:space="0" w:color="auto"/>
        <w:left w:val="none" w:sz="0" w:space="0" w:color="auto"/>
        <w:bottom w:val="none" w:sz="0" w:space="0" w:color="auto"/>
        <w:right w:val="none" w:sz="0" w:space="0" w:color="auto"/>
      </w:divBdr>
    </w:div>
    <w:div w:id="1577934372">
      <w:marLeft w:val="0"/>
      <w:marRight w:val="0"/>
      <w:marTop w:val="180"/>
      <w:marBottom w:val="180"/>
      <w:divBdr>
        <w:top w:val="none" w:sz="0" w:space="0" w:color="auto"/>
        <w:left w:val="none" w:sz="0" w:space="0" w:color="auto"/>
        <w:bottom w:val="none" w:sz="0" w:space="0" w:color="auto"/>
        <w:right w:val="none" w:sz="0" w:space="0" w:color="auto"/>
      </w:divBdr>
    </w:div>
    <w:div w:id="1579942678">
      <w:marLeft w:val="0"/>
      <w:marRight w:val="0"/>
      <w:marTop w:val="180"/>
      <w:marBottom w:val="180"/>
      <w:divBdr>
        <w:top w:val="none" w:sz="0" w:space="0" w:color="auto"/>
        <w:left w:val="none" w:sz="0" w:space="0" w:color="auto"/>
        <w:bottom w:val="none" w:sz="0" w:space="0" w:color="auto"/>
        <w:right w:val="none" w:sz="0" w:space="0" w:color="auto"/>
      </w:divBdr>
    </w:div>
    <w:div w:id="1579946142">
      <w:marLeft w:val="0"/>
      <w:marRight w:val="0"/>
      <w:marTop w:val="180"/>
      <w:marBottom w:val="180"/>
      <w:divBdr>
        <w:top w:val="none" w:sz="0" w:space="0" w:color="auto"/>
        <w:left w:val="none" w:sz="0" w:space="0" w:color="auto"/>
        <w:bottom w:val="none" w:sz="0" w:space="0" w:color="auto"/>
        <w:right w:val="none" w:sz="0" w:space="0" w:color="auto"/>
      </w:divBdr>
    </w:div>
    <w:div w:id="1580018569">
      <w:marLeft w:val="0"/>
      <w:marRight w:val="0"/>
      <w:marTop w:val="180"/>
      <w:marBottom w:val="180"/>
      <w:divBdr>
        <w:top w:val="none" w:sz="0" w:space="0" w:color="auto"/>
        <w:left w:val="none" w:sz="0" w:space="0" w:color="auto"/>
        <w:bottom w:val="none" w:sz="0" w:space="0" w:color="auto"/>
        <w:right w:val="none" w:sz="0" w:space="0" w:color="auto"/>
      </w:divBdr>
    </w:div>
    <w:div w:id="1580363302">
      <w:marLeft w:val="0"/>
      <w:marRight w:val="0"/>
      <w:marTop w:val="180"/>
      <w:marBottom w:val="60"/>
      <w:divBdr>
        <w:top w:val="none" w:sz="0" w:space="0" w:color="auto"/>
        <w:left w:val="none" w:sz="0" w:space="0" w:color="auto"/>
        <w:bottom w:val="none" w:sz="0" w:space="0" w:color="auto"/>
        <w:right w:val="none" w:sz="0" w:space="0" w:color="auto"/>
      </w:divBdr>
    </w:div>
    <w:div w:id="1581788104">
      <w:marLeft w:val="0"/>
      <w:marRight w:val="0"/>
      <w:marTop w:val="180"/>
      <w:marBottom w:val="180"/>
      <w:divBdr>
        <w:top w:val="none" w:sz="0" w:space="0" w:color="auto"/>
        <w:left w:val="none" w:sz="0" w:space="0" w:color="auto"/>
        <w:bottom w:val="none" w:sz="0" w:space="0" w:color="auto"/>
        <w:right w:val="none" w:sz="0" w:space="0" w:color="auto"/>
      </w:divBdr>
    </w:div>
    <w:div w:id="1585189385">
      <w:marLeft w:val="0"/>
      <w:marRight w:val="0"/>
      <w:marTop w:val="60"/>
      <w:marBottom w:val="60"/>
      <w:divBdr>
        <w:top w:val="none" w:sz="0" w:space="0" w:color="auto"/>
        <w:left w:val="none" w:sz="0" w:space="0" w:color="auto"/>
        <w:bottom w:val="none" w:sz="0" w:space="0" w:color="auto"/>
        <w:right w:val="none" w:sz="0" w:space="0" w:color="auto"/>
      </w:divBdr>
    </w:div>
    <w:div w:id="1586189994">
      <w:marLeft w:val="0"/>
      <w:marRight w:val="0"/>
      <w:marTop w:val="60"/>
      <w:marBottom w:val="0"/>
      <w:divBdr>
        <w:top w:val="none" w:sz="0" w:space="0" w:color="auto"/>
        <w:left w:val="none" w:sz="0" w:space="0" w:color="auto"/>
        <w:bottom w:val="none" w:sz="0" w:space="0" w:color="auto"/>
        <w:right w:val="none" w:sz="0" w:space="0" w:color="auto"/>
      </w:divBdr>
    </w:div>
    <w:div w:id="1588809194">
      <w:marLeft w:val="0"/>
      <w:marRight w:val="0"/>
      <w:marTop w:val="180"/>
      <w:marBottom w:val="180"/>
      <w:divBdr>
        <w:top w:val="none" w:sz="0" w:space="0" w:color="auto"/>
        <w:left w:val="none" w:sz="0" w:space="0" w:color="auto"/>
        <w:bottom w:val="none" w:sz="0" w:space="0" w:color="auto"/>
        <w:right w:val="none" w:sz="0" w:space="0" w:color="auto"/>
      </w:divBdr>
    </w:div>
    <w:div w:id="1588883259">
      <w:marLeft w:val="0"/>
      <w:marRight w:val="0"/>
      <w:marTop w:val="0"/>
      <w:marBottom w:val="0"/>
      <w:divBdr>
        <w:top w:val="none" w:sz="0" w:space="0" w:color="auto"/>
        <w:left w:val="none" w:sz="0" w:space="0" w:color="auto"/>
        <w:bottom w:val="none" w:sz="0" w:space="0" w:color="auto"/>
        <w:right w:val="none" w:sz="0" w:space="0" w:color="auto"/>
      </w:divBdr>
    </w:div>
    <w:div w:id="1589146041">
      <w:marLeft w:val="0"/>
      <w:marRight w:val="0"/>
      <w:marTop w:val="180"/>
      <w:marBottom w:val="180"/>
      <w:divBdr>
        <w:top w:val="none" w:sz="0" w:space="0" w:color="auto"/>
        <w:left w:val="none" w:sz="0" w:space="0" w:color="auto"/>
        <w:bottom w:val="none" w:sz="0" w:space="0" w:color="auto"/>
        <w:right w:val="none" w:sz="0" w:space="0" w:color="auto"/>
      </w:divBdr>
    </w:div>
    <w:div w:id="1590313494">
      <w:marLeft w:val="0"/>
      <w:marRight w:val="0"/>
      <w:marTop w:val="0"/>
      <w:marBottom w:val="0"/>
      <w:divBdr>
        <w:top w:val="none" w:sz="0" w:space="0" w:color="auto"/>
        <w:left w:val="none" w:sz="0" w:space="0" w:color="auto"/>
        <w:bottom w:val="none" w:sz="0" w:space="0" w:color="auto"/>
        <w:right w:val="none" w:sz="0" w:space="0" w:color="auto"/>
      </w:divBdr>
      <w:divsChild>
        <w:div w:id="1134762145">
          <w:marLeft w:val="0"/>
          <w:marRight w:val="0"/>
          <w:marTop w:val="0"/>
          <w:marBottom w:val="0"/>
          <w:divBdr>
            <w:top w:val="none" w:sz="0" w:space="0" w:color="auto"/>
            <w:left w:val="none" w:sz="0" w:space="0" w:color="auto"/>
            <w:bottom w:val="none" w:sz="0" w:space="0" w:color="auto"/>
            <w:right w:val="none" w:sz="0" w:space="0" w:color="auto"/>
          </w:divBdr>
          <w:divsChild>
            <w:div w:id="16594585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91427445">
      <w:marLeft w:val="0"/>
      <w:marRight w:val="0"/>
      <w:marTop w:val="0"/>
      <w:marBottom w:val="0"/>
      <w:divBdr>
        <w:top w:val="none" w:sz="0" w:space="0" w:color="auto"/>
        <w:left w:val="none" w:sz="0" w:space="0" w:color="auto"/>
        <w:bottom w:val="none" w:sz="0" w:space="0" w:color="auto"/>
        <w:right w:val="none" w:sz="0" w:space="0" w:color="auto"/>
      </w:divBdr>
      <w:divsChild>
        <w:div w:id="1400059583">
          <w:marLeft w:val="0"/>
          <w:marRight w:val="0"/>
          <w:marTop w:val="60"/>
          <w:marBottom w:val="180"/>
          <w:divBdr>
            <w:top w:val="none" w:sz="0" w:space="0" w:color="auto"/>
            <w:left w:val="none" w:sz="0" w:space="0" w:color="auto"/>
            <w:bottom w:val="none" w:sz="0" w:space="0" w:color="auto"/>
            <w:right w:val="none" w:sz="0" w:space="0" w:color="auto"/>
          </w:divBdr>
        </w:div>
      </w:divsChild>
    </w:div>
    <w:div w:id="1593247571">
      <w:marLeft w:val="0"/>
      <w:marRight w:val="0"/>
      <w:marTop w:val="0"/>
      <w:marBottom w:val="0"/>
      <w:divBdr>
        <w:top w:val="none" w:sz="0" w:space="0" w:color="auto"/>
        <w:left w:val="none" w:sz="0" w:space="0" w:color="auto"/>
        <w:bottom w:val="none" w:sz="0" w:space="0" w:color="auto"/>
        <w:right w:val="none" w:sz="0" w:space="0" w:color="auto"/>
      </w:divBdr>
    </w:div>
    <w:div w:id="1593319948">
      <w:marLeft w:val="0"/>
      <w:marRight w:val="0"/>
      <w:marTop w:val="60"/>
      <w:marBottom w:val="60"/>
      <w:divBdr>
        <w:top w:val="none" w:sz="0" w:space="0" w:color="auto"/>
        <w:left w:val="none" w:sz="0" w:space="0" w:color="auto"/>
        <w:bottom w:val="none" w:sz="0" w:space="0" w:color="auto"/>
        <w:right w:val="none" w:sz="0" w:space="0" w:color="auto"/>
      </w:divBdr>
    </w:div>
    <w:div w:id="1597978803">
      <w:marLeft w:val="0"/>
      <w:marRight w:val="0"/>
      <w:marTop w:val="60"/>
      <w:marBottom w:val="60"/>
      <w:divBdr>
        <w:top w:val="none" w:sz="0" w:space="0" w:color="auto"/>
        <w:left w:val="none" w:sz="0" w:space="0" w:color="auto"/>
        <w:bottom w:val="none" w:sz="0" w:space="0" w:color="auto"/>
        <w:right w:val="none" w:sz="0" w:space="0" w:color="auto"/>
      </w:divBdr>
    </w:div>
    <w:div w:id="1598362520">
      <w:marLeft w:val="0"/>
      <w:marRight w:val="0"/>
      <w:marTop w:val="0"/>
      <w:marBottom w:val="0"/>
      <w:divBdr>
        <w:top w:val="none" w:sz="0" w:space="0" w:color="auto"/>
        <w:left w:val="none" w:sz="0" w:space="0" w:color="auto"/>
        <w:bottom w:val="none" w:sz="0" w:space="0" w:color="auto"/>
        <w:right w:val="none" w:sz="0" w:space="0" w:color="auto"/>
      </w:divBdr>
      <w:divsChild>
        <w:div w:id="756903666">
          <w:marLeft w:val="0"/>
          <w:marRight w:val="0"/>
          <w:marTop w:val="60"/>
          <w:marBottom w:val="180"/>
          <w:divBdr>
            <w:top w:val="none" w:sz="0" w:space="0" w:color="auto"/>
            <w:left w:val="none" w:sz="0" w:space="0" w:color="auto"/>
            <w:bottom w:val="none" w:sz="0" w:space="0" w:color="auto"/>
            <w:right w:val="none" w:sz="0" w:space="0" w:color="auto"/>
          </w:divBdr>
        </w:div>
      </w:divsChild>
    </w:div>
    <w:div w:id="1599826492">
      <w:marLeft w:val="0"/>
      <w:marRight w:val="0"/>
      <w:marTop w:val="0"/>
      <w:marBottom w:val="0"/>
      <w:divBdr>
        <w:top w:val="none" w:sz="0" w:space="0" w:color="auto"/>
        <w:left w:val="none" w:sz="0" w:space="0" w:color="auto"/>
        <w:bottom w:val="none" w:sz="0" w:space="0" w:color="auto"/>
        <w:right w:val="none" w:sz="0" w:space="0" w:color="auto"/>
      </w:divBdr>
      <w:divsChild>
        <w:div w:id="1347175081">
          <w:marLeft w:val="0"/>
          <w:marRight w:val="0"/>
          <w:marTop w:val="0"/>
          <w:marBottom w:val="0"/>
          <w:divBdr>
            <w:top w:val="none" w:sz="0" w:space="0" w:color="auto"/>
            <w:left w:val="none" w:sz="0" w:space="0" w:color="auto"/>
            <w:bottom w:val="none" w:sz="0" w:space="0" w:color="auto"/>
            <w:right w:val="none" w:sz="0" w:space="0" w:color="auto"/>
          </w:divBdr>
          <w:divsChild>
            <w:div w:id="8422853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0017500">
      <w:marLeft w:val="0"/>
      <w:marRight w:val="0"/>
      <w:marTop w:val="180"/>
      <w:marBottom w:val="180"/>
      <w:divBdr>
        <w:top w:val="none" w:sz="0" w:space="0" w:color="auto"/>
        <w:left w:val="none" w:sz="0" w:space="0" w:color="auto"/>
        <w:bottom w:val="none" w:sz="0" w:space="0" w:color="auto"/>
        <w:right w:val="none" w:sz="0" w:space="0" w:color="auto"/>
      </w:divBdr>
    </w:div>
    <w:div w:id="1603488009">
      <w:marLeft w:val="0"/>
      <w:marRight w:val="0"/>
      <w:marTop w:val="180"/>
      <w:marBottom w:val="60"/>
      <w:divBdr>
        <w:top w:val="none" w:sz="0" w:space="0" w:color="auto"/>
        <w:left w:val="none" w:sz="0" w:space="0" w:color="auto"/>
        <w:bottom w:val="none" w:sz="0" w:space="0" w:color="auto"/>
        <w:right w:val="none" w:sz="0" w:space="0" w:color="auto"/>
      </w:divBdr>
    </w:div>
    <w:div w:id="1605458956">
      <w:marLeft w:val="0"/>
      <w:marRight w:val="0"/>
      <w:marTop w:val="0"/>
      <w:marBottom w:val="0"/>
      <w:divBdr>
        <w:top w:val="none" w:sz="0" w:space="0" w:color="auto"/>
        <w:left w:val="none" w:sz="0" w:space="0" w:color="auto"/>
        <w:bottom w:val="none" w:sz="0" w:space="0" w:color="auto"/>
        <w:right w:val="none" w:sz="0" w:space="0" w:color="auto"/>
      </w:divBdr>
    </w:div>
    <w:div w:id="1606036050">
      <w:marLeft w:val="0"/>
      <w:marRight w:val="0"/>
      <w:marTop w:val="240"/>
      <w:marBottom w:val="180"/>
      <w:divBdr>
        <w:top w:val="none" w:sz="0" w:space="0" w:color="auto"/>
        <w:left w:val="none" w:sz="0" w:space="0" w:color="auto"/>
        <w:bottom w:val="none" w:sz="0" w:space="0" w:color="auto"/>
        <w:right w:val="none" w:sz="0" w:space="0" w:color="auto"/>
      </w:divBdr>
    </w:div>
    <w:div w:id="1610353644">
      <w:marLeft w:val="0"/>
      <w:marRight w:val="0"/>
      <w:marTop w:val="180"/>
      <w:marBottom w:val="180"/>
      <w:divBdr>
        <w:top w:val="none" w:sz="0" w:space="0" w:color="auto"/>
        <w:left w:val="none" w:sz="0" w:space="0" w:color="auto"/>
        <w:bottom w:val="none" w:sz="0" w:space="0" w:color="auto"/>
        <w:right w:val="none" w:sz="0" w:space="0" w:color="auto"/>
      </w:divBdr>
    </w:div>
    <w:div w:id="1611085660">
      <w:marLeft w:val="0"/>
      <w:marRight w:val="0"/>
      <w:marTop w:val="180"/>
      <w:marBottom w:val="180"/>
      <w:divBdr>
        <w:top w:val="none" w:sz="0" w:space="0" w:color="auto"/>
        <w:left w:val="none" w:sz="0" w:space="0" w:color="auto"/>
        <w:bottom w:val="none" w:sz="0" w:space="0" w:color="auto"/>
        <w:right w:val="none" w:sz="0" w:space="0" w:color="auto"/>
      </w:divBdr>
    </w:div>
    <w:div w:id="1614242767">
      <w:marLeft w:val="0"/>
      <w:marRight w:val="0"/>
      <w:marTop w:val="180"/>
      <w:marBottom w:val="180"/>
      <w:divBdr>
        <w:top w:val="none" w:sz="0" w:space="0" w:color="auto"/>
        <w:left w:val="none" w:sz="0" w:space="0" w:color="auto"/>
        <w:bottom w:val="none" w:sz="0" w:space="0" w:color="auto"/>
        <w:right w:val="none" w:sz="0" w:space="0" w:color="auto"/>
      </w:divBdr>
    </w:div>
    <w:div w:id="1616132076">
      <w:marLeft w:val="0"/>
      <w:marRight w:val="0"/>
      <w:marTop w:val="180"/>
      <w:marBottom w:val="180"/>
      <w:divBdr>
        <w:top w:val="none" w:sz="0" w:space="0" w:color="auto"/>
        <w:left w:val="none" w:sz="0" w:space="0" w:color="auto"/>
        <w:bottom w:val="none" w:sz="0" w:space="0" w:color="auto"/>
        <w:right w:val="none" w:sz="0" w:space="0" w:color="auto"/>
      </w:divBdr>
      <w:divsChild>
        <w:div w:id="246378599">
          <w:marLeft w:val="0"/>
          <w:marRight w:val="0"/>
          <w:marTop w:val="0"/>
          <w:marBottom w:val="0"/>
          <w:divBdr>
            <w:top w:val="none" w:sz="0" w:space="0" w:color="auto"/>
            <w:left w:val="none" w:sz="0" w:space="0" w:color="auto"/>
            <w:bottom w:val="none" w:sz="0" w:space="0" w:color="auto"/>
            <w:right w:val="none" w:sz="0" w:space="0" w:color="auto"/>
          </w:divBdr>
        </w:div>
        <w:div w:id="1526016904">
          <w:marLeft w:val="0"/>
          <w:marRight w:val="0"/>
          <w:marTop w:val="0"/>
          <w:marBottom w:val="0"/>
          <w:divBdr>
            <w:top w:val="none" w:sz="0" w:space="0" w:color="auto"/>
            <w:left w:val="none" w:sz="0" w:space="0" w:color="auto"/>
            <w:bottom w:val="none" w:sz="0" w:space="0" w:color="auto"/>
            <w:right w:val="none" w:sz="0" w:space="0" w:color="auto"/>
          </w:divBdr>
        </w:div>
        <w:div w:id="128598070">
          <w:marLeft w:val="0"/>
          <w:marRight w:val="0"/>
          <w:marTop w:val="0"/>
          <w:marBottom w:val="0"/>
          <w:divBdr>
            <w:top w:val="none" w:sz="0" w:space="0" w:color="auto"/>
            <w:left w:val="none" w:sz="0" w:space="0" w:color="auto"/>
            <w:bottom w:val="none" w:sz="0" w:space="0" w:color="auto"/>
            <w:right w:val="none" w:sz="0" w:space="0" w:color="auto"/>
          </w:divBdr>
        </w:div>
        <w:div w:id="678892277">
          <w:marLeft w:val="0"/>
          <w:marRight w:val="0"/>
          <w:marTop w:val="0"/>
          <w:marBottom w:val="0"/>
          <w:divBdr>
            <w:top w:val="none" w:sz="0" w:space="0" w:color="auto"/>
            <w:left w:val="none" w:sz="0" w:space="0" w:color="auto"/>
            <w:bottom w:val="none" w:sz="0" w:space="0" w:color="auto"/>
            <w:right w:val="none" w:sz="0" w:space="0" w:color="auto"/>
          </w:divBdr>
        </w:div>
        <w:div w:id="1536649739">
          <w:marLeft w:val="0"/>
          <w:marRight w:val="0"/>
          <w:marTop w:val="0"/>
          <w:marBottom w:val="0"/>
          <w:divBdr>
            <w:top w:val="none" w:sz="0" w:space="0" w:color="auto"/>
            <w:left w:val="none" w:sz="0" w:space="0" w:color="auto"/>
            <w:bottom w:val="none" w:sz="0" w:space="0" w:color="auto"/>
            <w:right w:val="none" w:sz="0" w:space="0" w:color="auto"/>
          </w:divBdr>
        </w:div>
        <w:div w:id="1273127087">
          <w:marLeft w:val="0"/>
          <w:marRight w:val="0"/>
          <w:marTop w:val="0"/>
          <w:marBottom w:val="0"/>
          <w:divBdr>
            <w:top w:val="none" w:sz="0" w:space="0" w:color="auto"/>
            <w:left w:val="none" w:sz="0" w:space="0" w:color="auto"/>
            <w:bottom w:val="none" w:sz="0" w:space="0" w:color="auto"/>
            <w:right w:val="none" w:sz="0" w:space="0" w:color="auto"/>
          </w:divBdr>
        </w:div>
        <w:div w:id="1406950961">
          <w:marLeft w:val="0"/>
          <w:marRight w:val="0"/>
          <w:marTop w:val="0"/>
          <w:marBottom w:val="0"/>
          <w:divBdr>
            <w:top w:val="none" w:sz="0" w:space="0" w:color="auto"/>
            <w:left w:val="none" w:sz="0" w:space="0" w:color="auto"/>
            <w:bottom w:val="none" w:sz="0" w:space="0" w:color="auto"/>
            <w:right w:val="none" w:sz="0" w:space="0" w:color="auto"/>
          </w:divBdr>
        </w:div>
        <w:div w:id="300573315">
          <w:marLeft w:val="0"/>
          <w:marRight w:val="0"/>
          <w:marTop w:val="0"/>
          <w:marBottom w:val="0"/>
          <w:divBdr>
            <w:top w:val="none" w:sz="0" w:space="0" w:color="auto"/>
            <w:left w:val="none" w:sz="0" w:space="0" w:color="auto"/>
            <w:bottom w:val="none" w:sz="0" w:space="0" w:color="auto"/>
            <w:right w:val="none" w:sz="0" w:space="0" w:color="auto"/>
          </w:divBdr>
        </w:div>
        <w:div w:id="1408651835">
          <w:marLeft w:val="0"/>
          <w:marRight w:val="0"/>
          <w:marTop w:val="0"/>
          <w:marBottom w:val="0"/>
          <w:divBdr>
            <w:top w:val="none" w:sz="0" w:space="0" w:color="auto"/>
            <w:left w:val="none" w:sz="0" w:space="0" w:color="auto"/>
            <w:bottom w:val="none" w:sz="0" w:space="0" w:color="auto"/>
            <w:right w:val="none" w:sz="0" w:space="0" w:color="auto"/>
          </w:divBdr>
        </w:div>
      </w:divsChild>
    </w:div>
    <w:div w:id="1618953005">
      <w:marLeft w:val="0"/>
      <w:marRight w:val="0"/>
      <w:marTop w:val="180"/>
      <w:marBottom w:val="60"/>
      <w:divBdr>
        <w:top w:val="none" w:sz="0" w:space="0" w:color="auto"/>
        <w:left w:val="none" w:sz="0" w:space="0" w:color="auto"/>
        <w:bottom w:val="none" w:sz="0" w:space="0" w:color="auto"/>
        <w:right w:val="none" w:sz="0" w:space="0" w:color="auto"/>
      </w:divBdr>
    </w:div>
    <w:div w:id="1622880554">
      <w:marLeft w:val="0"/>
      <w:marRight w:val="0"/>
      <w:marTop w:val="0"/>
      <w:marBottom w:val="0"/>
      <w:divBdr>
        <w:top w:val="none" w:sz="0" w:space="0" w:color="auto"/>
        <w:left w:val="none" w:sz="0" w:space="0" w:color="auto"/>
        <w:bottom w:val="none" w:sz="0" w:space="0" w:color="auto"/>
        <w:right w:val="none" w:sz="0" w:space="0" w:color="auto"/>
      </w:divBdr>
      <w:divsChild>
        <w:div w:id="1329166163">
          <w:marLeft w:val="0"/>
          <w:marRight w:val="0"/>
          <w:marTop w:val="60"/>
          <w:marBottom w:val="180"/>
          <w:divBdr>
            <w:top w:val="none" w:sz="0" w:space="0" w:color="auto"/>
            <w:left w:val="none" w:sz="0" w:space="0" w:color="auto"/>
            <w:bottom w:val="none" w:sz="0" w:space="0" w:color="auto"/>
            <w:right w:val="none" w:sz="0" w:space="0" w:color="auto"/>
          </w:divBdr>
        </w:div>
      </w:divsChild>
    </w:div>
    <w:div w:id="1623418007">
      <w:marLeft w:val="0"/>
      <w:marRight w:val="0"/>
      <w:marTop w:val="0"/>
      <w:marBottom w:val="0"/>
      <w:divBdr>
        <w:top w:val="none" w:sz="0" w:space="0" w:color="auto"/>
        <w:left w:val="none" w:sz="0" w:space="0" w:color="auto"/>
        <w:bottom w:val="none" w:sz="0" w:space="0" w:color="auto"/>
        <w:right w:val="none" w:sz="0" w:space="0" w:color="auto"/>
      </w:divBdr>
    </w:div>
    <w:div w:id="1624265586">
      <w:marLeft w:val="0"/>
      <w:marRight w:val="0"/>
      <w:marTop w:val="180"/>
      <w:marBottom w:val="180"/>
      <w:divBdr>
        <w:top w:val="none" w:sz="0" w:space="0" w:color="auto"/>
        <w:left w:val="none" w:sz="0" w:space="0" w:color="auto"/>
        <w:bottom w:val="none" w:sz="0" w:space="0" w:color="auto"/>
        <w:right w:val="none" w:sz="0" w:space="0" w:color="auto"/>
      </w:divBdr>
    </w:div>
    <w:div w:id="1625235546">
      <w:marLeft w:val="0"/>
      <w:marRight w:val="0"/>
      <w:marTop w:val="180"/>
      <w:marBottom w:val="180"/>
      <w:divBdr>
        <w:top w:val="none" w:sz="0" w:space="0" w:color="auto"/>
        <w:left w:val="none" w:sz="0" w:space="0" w:color="auto"/>
        <w:bottom w:val="none" w:sz="0" w:space="0" w:color="auto"/>
        <w:right w:val="none" w:sz="0" w:space="0" w:color="auto"/>
      </w:divBdr>
    </w:div>
    <w:div w:id="1627158360">
      <w:marLeft w:val="0"/>
      <w:marRight w:val="0"/>
      <w:marTop w:val="180"/>
      <w:marBottom w:val="180"/>
      <w:divBdr>
        <w:top w:val="none" w:sz="0" w:space="0" w:color="auto"/>
        <w:left w:val="none" w:sz="0" w:space="0" w:color="auto"/>
        <w:bottom w:val="none" w:sz="0" w:space="0" w:color="auto"/>
        <w:right w:val="none" w:sz="0" w:space="0" w:color="auto"/>
      </w:divBdr>
    </w:div>
    <w:div w:id="1629891610">
      <w:marLeft w:val="0"/>
      <w:marRight w:val="0"/>
      <w:marTop w:val="0"/>
      <w:marBottom w:val="0"/>
      <w:divBdr>
        <w:top w:val="none" w:sz="0" w:space="0" w:color="auto"/>
        <w:left w:val="none" w:sz="0" w:space="0" w:color="auto"/>
        <w:bottom w:val="none" w:sz="0" w:space="0" w:color="auto"/>
        <w:right w:val="none" w:sz="0" w:space="0" w:color="auto"/>
      </w:divBdr>
    </w:div>
    <w:div w:id="1630553403">
      <w:marLeft w:val="0"/>
      <w:marRight w:val="0"/>
      <w:marTop w:val="60"/>
      <w:marBottom w:val="60"/>
      <w:divBdr>
        <w:top w:val="none" w:sz="0" w:space="0" w:color="auto"/>
        <w:left w:val="none" w:sz="0" w:space="0" w:color="auto"/>
        <w:bottom w:val="none" w:sz="0" w:space="0" w:color="auto"/>
        <w:right w:val="none" w:sz="0" w:space="0" w:color="auto"/>
      </w:divBdr>
    </w:div>
    <w:div w:id="1631210462">
      <w:marLeft w:val="0"/>
      <w:marRight w:val="0"/>
      <w:marTop w:val="0"/>
      <w:marBottom w:val="0"/>
      <w:divBdr>
        <w:top w:val="none" w:sz="0" w:space="0" w:color="auto"/>
        <w:left w:val="none" w:sz="0" w:space="0" w:color="auto"/>
        <w:bottom w:val="none" w:sz="0" w:space="0" w:color="auto"/>
        <w:right w:val="none" w:sz="0" w:space="0" w:color="auto"/>
      </w:divBdr>
      <w:divsChild>
        <w:div w:id="1122652321">
          <w:marLeft w:val="0"/>
          <w:marRight w:val="0"/>
          <w:marTop w:val="0"/>
          <w:marBottom w:val="0"/>
          <w:divBdr>
            <w:top w:val="none" w:sz="0" w:space="0" w:color="auto"/>
            <w:left w:val="none" w:sz="0" w:space="0" w:color="auto"/>
            <w:bottom w:val="none" w:sz="0" w:space="0" w:color="auto"/>
            <w:right w:val="none" w:sz="0" w:space="0" w:color="auto"/>
          </w:divBdr>
          <w:divsChild>
            <w:div w:id="7398378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2535040">
      <w:marLeft w:val="0"/>
      <w:marRight w:val="0"/>
      <w:marTop w:val="0"/>
      <w:marBottom w:val="0"/>
      <w:divBdr>
        <w:top w:val="none" w:sz="0" w:space="0" w:color="auto"/>
        <w:left w:val="none" w:sz="0" w:space="0" w:color="auto"/>
        <w:bottom w:val="none" w:sz="0" w:space="0" w:color="auto"/>
        <w:right w:val="none" w:sz="0" w:space="0" w:color="auto"/>
      </w:divBdr>
      <w:divsChild>
        <w:div w:id="486820578">
          <w:marLeft w:val="0"/>
          <w:marRight w:val="0"/>
          <w:marTop w:val="0"/>
          <w:marBottom w:val="0"/>
          <w:divBdr>
            <w:top w:val="none" w:sz="0" w:space="0" w:color="auto"/>
            <w:left w:val="none" w:sz="0" w:space="0" w:color="auto"/>
            <w:bottom w:val="none" w:sz="0" w:space="0" w:color="auto"/>
            <w:right w:val="none" w:sz="0" w:space="0" w:color="auto"/>
          </w:divBdr>
          <w:divsChild>
            <w:div w:id="20916551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3776391">
      <w:marLeft w:val="0"/>
      <w:marRight w:val="0"/>
      <w:marTop w:val="0"/>
      <w:marBottom w:val="0"/>
      <w:divBdr>
        <w:top w:val="none" w:sz="0" w:space="0" w:color="auto"/>
        <w:left w:val="none" w:sz="0" w:space="0" w:color="auto"/>
        <w:bottom w:val="none" w:sz="0" w:space="0" w:color="auto"/>
        <w:right w:val="none" w:sz="0" w:space="0" w:color="auto"/>
      </w:divBdr>
      <w:divsChild>
        <w:div w:id="884635575">
          <w:marLeft w:val="0"/>
          <w:marRight w:val="0"/>
          <w:marTop w:val="60"/>
          <w:marBottom w:val="180"/>
          <w:divBdr>
            <w:top w:val="none" w:sz="0" w:space="0" w:color="auto"/>
            <w:left w:val="none" w:sz="0" w:space="0" w:color="auto"/>
            <w:bottom w:val="none" w:sz="0" w:space="0" w:color="auto"/>
            <w:right w:val="none" w:sz="0" w:space="0" w:color="auto"/>
          </w:divBdr>
        </w:div>
      </w:divsChild>
    </w:div>
    <w:div w:id="1644196472">
      <w:marLeft w:val="0"/>
      <w:marRight w:val="0"/>
      <w:marTop w:val="180"/>
      <w:marBottom w:val="180"/>
      <w:divBdr>
        <w:top w:val="none" w:sz="0" w:space="0" w:color="auto"/>
        <w:left w:val="none" w:sz="0" w:space="0" w:color="auto"/>
        <w:bottom w:val="none" w:sz="0" w:space="0" w:color="auto"/>
        <w:right w:val="none" w:sz="0" w:space="0" w:color="auto"/>
      </w:divBdr>
    </w:div>
    <w:div w:id="1645233404">
      <w:marLeft w:val="0"/>
      <w:marRight w:val="0"/>
      <w:marTop w:val="180"/>
      <w:marBottom w:val="180"/>
      <w:divBdr>
        <w:top w:val="none" w:sz="0" w:space="0" w:color="auto"/>
        <w:left w:val="none" w:sz="0" w:space="0" w:color="auto"/>
        <w:bottom w:val="none" w:sz="0" w:space="0" w:color="auto"/>
        <w:right w:val="none" w:sz="0" w:space="0" w:color="auto"/>
      </w:divBdr>
    </w:div>
    <w:div w:id="1647395752">
      <w:marLeft w:val="0"/>
      <w:marRight w:val="0"/>
      <w:marTop w:val="0"/>
      <w:marBottom w:val="0"/>
      <w:divBdr>
        <w:top w:val="none" w:sz="0" w:space="0" w:color="auto"/>
        <w:left w:val="none" w:sz="0" w:space="0" w:color="auto"/>
        <w:bottom w:val="none" w:sz="0" w:space="0" w:color="auto"/>
        <w:right w:val="none" w:sz="0" w:space="0" w:color="auto"/>
      </w:divBdr>
    </w:div>
    <w:div w:id="1650403970">
      <w:marLeft w:val="0"/>
      <w:marRight w:val="0"/>
      <w:marTop w:val="0"/>
      <w:marBottom w:val="0"/>
      <w:divBdr>
        <w:top w:val="none" w:sz="0" w:space="0" w:color="auto"/>
        <w:left w:val="none" w:sz="0" w:space="0" w:color="auto"/>
        <w:bottom w:val="none" w:sz="0" w:space="0" w:color="auto"/>
        <w:right w:val="none" w:sz="0" w:space="0" w:color="auto"/>
      </w:divBdr>
      <w:divsChild>
        <w:div w:id="293294659">
          <w:marLeft w:val="0"/>
          <w:marRight w:val="0"/>
          <w:marTop w:val="0"/>
          <w:marBottom w:val="0"/>
          <w:divBdr>
            <w:top w:val="none" w:sz="0" w:space="0" w:color="auto"/>
            <w:left w:val="none" w:sz="0" w:space="0" w:color="auto"/>
            <w:bottom w:val="none" w:sz="0" w:space="0" w:color="auto"/>
            <w:right w:val="none" w:sz="0" w:space="0" w:color="auto"/>
          </w:divBdr>
          <w:divsChild>
            <w:div w:id="14529379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1594824">
      <w:marLeft w:val="0"/>
      <w:marRight w:val="0"/>
      <w:marTop w:val="100"/>
      <w:marBottom w:val="0"/>
      <w:divBdr>
        <w:top w:val="none" w:sz="0" w:space="0" w:color="auto"/>
        <w:left w:val="none" w:sz="0" w:space="0" w:color="auto"/>
        <w:bottom w:val="none" w:sz="0" w:space="0" w:color="auto"/>
        <w:right w:val="none" w:sz="0" w:space="0" w:color="auto"/>
      </w:divBdr>
    </w:div>
    <w:div w:id="1659965929">
      <w:marLeft w:val="0"/>
      <w:marRight w:val="0"/>
      <w:marTop w:val="180"/>
      <w:marBottom w:val="180"/>
      <w:divBdr>
        <w:top w:val="none" w:sz="0" w:space="0" w:color="auto"/>
        <w:left w:val="none" w:sz="0" w:space="0" w:color="auto"/>
        <w:bottom w:val="none" w:sz="0" w:space="0" w:color="auto"/>
        <w:right w:val="none" w:sz="0" w:space="0" w:color="auto"/>
      </w:divBdr>
    </w:div>
    <w:div w:id="1663000734">
      <w:marLeft w:val="0"/>
      <w:marRight w:val="0"/>
      <w:marTop w:val="180"/>
      <w:marBottom w:val="180"/>
      <w:divBdr>
        <w:top w:val="none" w:sz="0" w:space="0" w:color="auto"/>
        <w:left w:val="none" w:sz="0" w:space="0" w:color="auto"/>
        <w:bottom w:val="none" w:sz="0" w:space="0" w:color="auto"/>
        <w:right w:val="none" w:sz="0" w:space="0" w:color="auto"/>
      </w:divBdr>
    </w:div>
    <w:div w:id="1665429659">
      <w:marLeft w:val="0"/>
      <w:marRight w:val="0"/>
      <w:marTop w:val="60"/>
      <w:marBottom w:val="60"/>
      <w:divBdr>
        <w:top w:val="none" w:sz="0" w:space="0" w:color="auto"/>
        <w:left w:val="none" w:sz="0" w:space="0" w:color="auto"/>
        <w:bottom w:val="none" w:sz="0" w:space="0" w:color="auto"/>
        <w:right w:val="none" w:sz="0" w:space="0" w:color="auto"/>
      </w:divBdr>
    </w:div>
    <w:div w:id="1665549288">
      <w:marLeft w:val="0"/>
      <w:marRight w:val="0"/>
      <w:marTop w:val="180"/>
      <w:marBottom w:val="180"/>
      <w:divBdr>
        <w:top w:val="none" w:sz="0" w:space="0" w:color="auto"/>
        <w:left w:val="none" w:sz="0" w:space="0" w:color="auto"/>
        <w:bottom w:val="none" w:sz="0" w:space="0" w:color="auto"/>
        <w:right w:val="none" w:sz="0" w:space="0" w:color="auto"/>
      </w:divBdr>
    </w:div>
    <w:div w:id="1665670393">
      <w:marLeft w:val="0"/>
      <w:marRight w:val="0"/>
      <w:marTop w:val="60"/>
      <w:marBottom w:val="60"/>
      <w:divBdr>
        <w:top w:val="none" w:sz="0" w:space="0" w:color="auto"/>
        <w:left w:val="none" w:sz="0" w:space="0" w:color="auto"/>
        <w:bottom w:val="none" w:sz="0" w:space="0" w:color="auto"/>
        <w:right w:val="none" w:sz="0" w:space="0" w:color="auto"/>
      </w:divBdr>
    </w:div>
    <w:div w:id="1665739942">
      <w:marLeft w:val="0"/>
      <w:marRight w:val="0"/>
      <w:marTop w:val="60"/>
      <w:marBottom w:val="60"/>
      <w:divBdr>
        <w:top w:val="none" w:sz="0" w:space="0" w:color="auto"/>
        <w:left w:val="none" w:sz="0" w:space="0" w:color="auto"/>
        <w:bottom w:val="none" w:sz="0" w:space="0" w:color="auto"/>
        <w:right w:val="none" w:sz="0" w:space="0" w:color="auto"/>
      </w:divBdr>
    </w:div>
    <w:div w:id="1666742377">
      <w:marLeft w:val="0"/>
      <w:marRight w:val="0"/>
      <w:marTop w:val="60"/>
      <w:marBottom w:val="60"/>
      <w:divBdr>
        <w:top w:val="none" w:sz="0" w:space="0" w:color="auto"/>
        <w:left w:val="none" w:sz="0" w:space="0" w:color="auto"/>
        <w:bottom w:val="none" w:sz="0" w:space="0" w:color="auto"/>
        <w:right w:val="none" w:sz="0" w:space="0" w:color="auto"/>
      </w:divBdr>
    </w:div>
    <w:div w:id="1668513345">
      <w:marLeft w:val="0"/>
      <w:marRight w:val="0"/>
      <w:marTop w:val="0"/>
      <w:marBottom w:val="0"/>
      <w:divBdr>
        <w:top w:val="none" w:sz="0" w:space="0" w:color="auto"/>
        <w:left w:val="none" w:sz="0" w:space="0" w:color="auto"/>
        <w:bottom w:val="none" w:sz="0" w:space="0" w:color="auto"/>
        <w:right w:val="none" w:sz="0" w:space="0" w:color="auto"/>
      </w:divBdr>
      <w:divsChild>
        <w:div w:id="646738127">
          <w:marLeft w:val="0"/>
          <w:marRight w:val="0"/>
          <w:marTop w:val="0"/>
          <w:marBottom w:val="0"/>
          <w:divBdr>
            <w:top w:val="none" w:sz="0" w:space="0" w:color="auto"/>
            <w:left w:val="none" w:sz="0" w:space="0" w:color="auto"/>
            <w:bottom w:val="none" w:sz="0" w:space="0" w:color="auto"/>
            <w:right w:val="none" w:sz="0" w:space="0" w:color="auto"/>
          </w:divBdr>
          <w:divsChild>
            <w:div w:id="7503506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0207032">
      <w:marLeft w:val="0"/>
      <w:marRight w:val="0"/>
      <w:marTop w:val="180"/>
      <w:marBottom w:val="180"/>
      <w:divBdr>
        <w:top w:val="none" w:sz="0" w:space="0" w:color="auto"/>
        <w:left w:val="none" w:sz="0" w:space="0" w:color="auto"/>
        <w:bottom w:val="none" w:sz="0" w:space="0" w:color="auto"/>
        <w:right w:val="none" w:sz="0" w:space="0" w:color="auto"/>
      </w:divBdr>
    </w:div>
    <w:div w:id="1673023044">
      <w:marLeft w:val="0"/>
      <w:marRight w:val="0"/>
      <w:marTop w:val="240"/>
      <w:marBottom w:val="180"/>
      <w:divBdr>
        <w:top w:val="none" w:sz="0" w:space="0" w:color="auto"/>
        <w:left w:val="none" w:sz="0" w:space="0" w:color="auto"/>
        <w:bottom w:val="none" w:sz="0" w:space="0" w:color="auto"/>
        <w:right w:val="none" w:sz="0" w:space="0" w:color="auto"/>
      </w:divBdr>
    </w:div>
    <w:div w:id="1675304146">
      <w:marLeft w:val="0"/>
      <w:marRight w:val="0"/>
      <w:marTop w:val="60"/>
      <w:marBottom w:val="60"/>
      <w:divBdr>
        <w:top w:val="none" w:sz="0" w:space="0" w:color="auto"/>
        <w:left w:val="none" w:sz="0" w:space="0" w:color="auto"/>
        <w:bottom w:val="none" w:sz="0" w:space="0" w:color="auto"/>
        <w:right w:val="none" w:sz="0" w:space="0" w:color="auto"/>
      </w:divBdr>
    </w:div>
    <w:div w:id="1675691219">
      <w:marLeft w:val="0"/>
      <w:marRight w:val="0"/>
      <w:marTop w:val="60"/>
      <w:marBottom w:val="60"/>
      <w:divBdr>
        <w:top w:val="none" w:sz="0" w:space="0" w:color="auto"/>
        <w:left w:val="none" w:sz="0" w:space="0" w:color="auto"/>
        <w:bottom w:val="none" w:sz="0" w:space="0" w:color="auto"/>
        <w:right w:val="none" w:sz="0" w:space="0" w:color="auto"/>
      </w:divBdr>
    </w:div>
    <w:div w:id="1680622028">
      <w:marLeft w:val="0"/>
      <w:marRight w:val="0"/>
      <w:marTop w:val="0"/>
      <w:marBottom w:val="0"/>
      <w:divBdr>
        <w:top w:val="none" w:sz="0" w:space="0" w:color="auto"/>
        <w:left w:val="none" w:sz="0" w:space="0" w:color="auto"/>
        <w:bottom w:val="none" w:sz="0" w:space="0" w:color="auto"/>
        <w:right w:val="none" w:sz="0" w:space="0" w:color="auto"/>
      </w:divBdr>
      <w:divsChild>
        <w:div w:id="460270955">
          <w:marLeft w:val="0"/>
          <w:marRight w:val="0"/>
          <w:marTop w:val="0"/>
          <w:marBottom w:val="0"/>
          <w:divBdr>
            <w:top w:val="none" w:sz="0" w:space="0" w:color="auto"/>
            <w:left w:val="none" w:sz="0" w:space="0" w:color="auto"/>
            <w:bottom w:val="none" w:sz="0" w:space="0" w:color="auto"/>
            <w:right w:val="none" w:sz="0" w:space="0" w:color="auto"/>
          </w:divBdr>
          <w:divsChild>
            <w:div w:id="4283104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0960950">
      <w:marLeft w:val="0"/>
      <w:marRight w:val="0"/>
      <w:marTop w:val="0"/>
      <w:marBottom w:val="0"/>
      <w:divBdr>
        <w:top w:val="none" w:sz="0" w:space="0" w:color="auto"/>
        <w:left w:val="none" w:sz="0" w:space="0" w:color="auto"/>
        <w:bottom w:val="none" w:sz="0" w:space="0" w:color="auto"/>
        <w:right w:val="none" w:sz="0" w:space="0" w:color="auto"/>
      </w:divBdr>
      <w:divsChild>
        <w:div w:id="1144663996">
          <w:marLeft w:val="0"/>
          <w:marRight w:val="0"/>
          <w:marTop w:val="60"/>
          <w:marBottom w:val="180"/>
          <w:divBdr>
            <w:top w:val="none" w:sz="0" w:space="0" w:color="auto"/>
            <w:left w:val="none" w:sz="0" w:space="0" w:color="auto"/>
            <w:bottom w:val="none" w:sz="0" w:space="0" w:color="auto"/>
            <w:right w:val="none" w:sz="0" w:space="0" w:color="auto"/>
          </w:divBdr>
        </w:div>
      </w:divsChild>
    </w:div>
    <w:div w:id="1681003159">
      <w:marLeft w:val="0"/>
      <w:marRight w:val="0"/>
      <w:marTop w:val="180"/>
      <w:marBottom w:val="180"/>
      <w:divBdr>
        <w:top w:val="none" w:sz="0" w:space="0" w:color="auto"/>
        <w:left w:val="none" w:sz="0" w:space="0" w:color="auto"/>
        <w:bottom w:val="none" w:sz="0" w:space="0" w:color="auto"/>
        <w:right w:val="none" w:sz="0" w:space="0" w:color="auto"/>
      </w:divBdr>
    </w:div>
    <w:div w:id="1681277048">
      <w:marLeft w:val="0"/>
      <w:marRight w:val="0"/>
      <w:marTop w:val="180"/>
      <w:marBottom w:val="180"/>
      <w:divBdr>
        <w:top w:val="none" w:sz="0" w:space="0" w:color="auto"/>
        <w:left w:val="none" w:sz="0" w:space="0" w:color="auto"/>
        <w:bottom w:val="none" w:sz="0" w:space="0" w:color="auto"/>
        <w:right w:val="none" w:sz="0" w:space="0" w:color="auto"/>
      </w:divBdr>
    </w:div>
    <w:div w:id="1687511569">
      <w:marLeft w:val="0"/>
      <w:marRight w:val="0"/>
      <w:marTop w:val="0"/>
      <w:marBottom w:val="0"/>
      <w:divBdr>
        <w:top w:val="none" w:sz="0" w:space="0" w:color="auto"/>
        <w:left w:val="none" w:sz="0" w:space="0" w:color="auto"/>
        <w:bottom w:val="none" w:sz="0" w:space="0" w:color="auto"/>
        <w:right w:val="none" w:sz="0" w:space="0" w:color="auto"/>
      </w:divBdr>
    </w:div>
    <w:div w:id="1692292902">
      <w:marLeft w:val="0"/>
      <w:marRight w:val="0"/>
      <w:marTop w:val="180"/>
      <w:marBottom w:val="180"/>
      <w:divBdr>
        <w:top w:val="none" w:sz="0" w:space="0" w:color="auto"/>
        <w:left w:val="none" w:sz="0" w:space="0" w:color="auto"/>
        <w:bottom w:val="none" w:sz="0" w:space="0" w:color="auto"/>
        <w:right w:val="none" w:sz="0" w:space="0" w:color="auto"/>
      </w:divBdr>
    </w:div>
    <w:div w:id="1694260090">
      <w:marLeft w:val="0"/>
      <w:marRight w:val="0"/>
      <w:marTop w:val="180"/>
      <w:marBottom w:val="180"/>
      <w:divBdr>
        <w:top w:val="none" w:sz="0" w:space="0" w:color="auto"/>
        <w:left w:val="none" w:sz="0" w:space="0" w:color="auto"/>
        <w:bottom w:val="none" w:sz="0" w:space="0" w:color="auto"/>
        <w:right w:val="none" w:sz="0" w:space="0" w:color="auto"/>
      </w:divBdr>
    </w:div>
    <w:div w:id="1696729253">
      <w:marLeft w:val="0"/>
      <w:marRight w:val="0"/>
      <w:marTop w:val="180"/>
      <w:marBottom w:val="180"/>
      <w:divBdr>
        <w:top w:val="none" w:sz="0" w:space="0" w:color="auto"/>
        <w:left w:val="none" w:sz="0" w:space="0" w:color="auto"/>
        <w:bottom w:val="none" w:sz="0" w:space="0" w:color="auto"/>
        <w:right w:val="none" w:sz="0" w:space="0" w:color="auto"/>
      </w:divBdr>
    </w:div>
    <w:div w:id="1697388028">
      <w:marLeft w:val="0"/>
      <w:marRight w:val="0"/>
      <w:marTop w:val="60"/>
      <w:marBottom w:val="60"/>
      <w:divBdr>
        <w:top w:val="none" w:sz="0" w:space="0" w:color="auto"/>
        <w:left w:val="none" w:sz="0" w:space="0" w:color="auto"/>
        <w:bottom w:val="none" w:sz="0" w:space="0" w:color="auto"/>
        <w:right w:val="none" w:sz="0" w:space="0" w:color="auto"/>
      </w:divBdr>
    </w:div>
    <w:div w:id="1698652679">
      <w:marLeft w:val="0"/>
      <w:marRight w:val="0"/>
      <w:marTop w:val="180"/>
      <w:marBottom w:val="180"/>
      <w:divBdr>
        <w:top w:val="none" w:sz="0" w:space="0" w:color="auto"/>
        <w:left w:val="none" w:sz="0" w:space="0" w:color="auto"/>
        <w:bottom w:val="none" w:sz="0" w:space="0" w:color="auto"/>
        <w:right w:val="none" w:sz="0" w:space="0" w:color="auto"/>
      </w:divBdr>
    </w:div>
    <w:div w:id="1699350922">
      <w:marLeft w:val="0"/>
      <w:marRight w:val="0"/>
      <w:marTop w:val="60"/>
      <w:marBottom w:val="60"/>
      <w:divBdr>
        <w:top w:val="none" w:sz="0" w:space="0" w:color="auto"/>
        <w:left w:val="none" w:sz="0" w:space="0" w:color="auto"/>
        <w:bottom w:val="none" w:sz="0" w:space="0" w:color="auto"/>
        <w:right w:val="none" w:sz="0" w:space="0" w:color="auto"/>
      </w:divBdr>
    </w:div>
    <w:div w:id="1699895162">
      <w:marLeft w:val="0"/>
      <w:marRight w:val="0"/>
      <w:marTop w:val="60"/>
      <w:marBottom w:val="60"/>
      <w:divBdr>
        <w:top w:val="none" w:sz="0" w:space="0" w:color="auto"/>
        <w:left w:val="none" w:sz="0" w:space="0" w:color="auto"/>
        <w:bottom w:val="none" w:sz="0" w:space="0" w:color="auto"/>
        <w:right w:val="none" w:sz="0" w:space="0" w:color="auto"/>
      </w:divBdr>
      <w:divsChild>
        <w:div w:id="636179169">
          <w:marLeft w:val="0"/>
          <w:marRight w:val="0"/>
          <w:marTop w:val="0"/>
          <w:marBottom w:val="0"/>
          <w:divBdr>
            <w:top w:val="none" w:sz="0" w:space="0" w:color="auto"/>
            <w:left w:val="none" w:sz="0" w:space="0" w:color="auto"/>
            <w:bottom w:val="none" w:sz="0" w:space="0" w:color="auto"/>
            <w:right w:val="none" w:sz="0" w:space="0" w:color="auto"/>
          </w:divBdr>
        </w:div>
      </w:divsChild>
    </w:div>
    <w:div w:id="1701465439">
      <w:marLeft w:val="0"/>
      <w:marRight w:val="0"/>
      <w:marTop w:val="0"/>
      <w:marBottom w:val="0"/>
      <w:divBdr>
        <w:top w:val="none" w:sz="0" w:space="0" w:color="auto"/>
        <w:left w:val="none" w:sz="0" w:space="0" w:color="auto"/>
        <w:bottom w:val="none" w:sz="0" w:space="0" w:color="auto"/>
        <w:right w:val="none" w:sz="0" w:space="0" w:color="auto"/>
      </w:divBdr>
    </w:div>
    <w:div w:id="1701932855">
      <w:marLeft w:val="0"/>
      <w:marRight w:val="0"/>
      <w:marTop w:val="0"/>
      <w:marBottom w:val="0"/>
      <w:divBdr>
        <w:top w:val="none" w:sz="0" w:space="0" w:color="auto"/>
        <w:left w:val="none" w:sz="0" w:space="0" w:color="auto"/>
        <w:bottom w:val="none" w:sz="0" w:space="0" w:color="auto"/>
        <w:right w:val="none" w:sz="0" w:space="0" w:color="auto"/>
      </w:divBdr>
      <w:divsChild>
        <w:div w:id="1634217439">
          <w:marLeft w:val="0"/>
          <w:marRight w:val="0"/>
          <w:marTop w:val="0"/>
          <w:marBottom w:val="0"/>
          <w:divBdr>
            <w:top w:val="none" w:sz="0" w:space="0" w:color="auto"/>
            <w:left w:val="none" w:sz="0" w:space="0" w:color="auto"/>
            <w:bottom w:val="none" w:sz="0" w:space="0" w:color="auto"/>
            <w:right w:val="none" w:sz="0" w:space="0" w:color="auto"/>
          </w:divBdr>
          <w:divsChild>
            <w:div w:id="15999431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2780406">
      <w:marLeft w:val="0"/>
      <w:marRight w:val="0"/>
      <w:marTop w:val="60"/>
      <w:marBottom w:val="60"/>
      <w:divBdr>
        <w:top w:val="none" w:sz="0" w:space="0" w:color="auto"/>
        <w:left w:val="none" w:sz="0" w:space="0" w:color="auto"/>
        <w:bottom w:val="none" w:sz="0" w:space="0" w:color="auto"/>
        <w:right w:val="none" w:sz="0" w:space="0" w:color="auto"/>
      </w:divBdr>
    </w:div>
    <w:div w:id="1703749091">
      <w:marLeft w:val="0"/>
      <w:marRight w:val="0"/>
      <w:marTop w:val="180"/>
      <w:marBottom w:val="180"/>
      <w:divBdr>
        <w:top w:val="none" w:sz="0" w:space="0" w:color="auto"/>
        <w:left w:val="none" w:sz="0" w:space="0" w:color="auto"/>
        <w:bottom w:val="none" w:sz="0" w:space="0" w:color="auto"/>
        <w:right w:val="none" w:sz="0" w:space="0" w:color="auto"/>
      </w:divBdr>
    </w:div>
    <w:div w:id="1705445020">
      <w:marLeft w:val="0"/>
      <w:marRight w:val="0"/>
      <w:marTop w:val="60"/>
      <w:marBottom w:val="60"/>
      <w:divBdr>
        <w:top w:val="none" w:sz="0" w:space="0" w:color="auto"/>
        <w:left w:val="none" w:sz="0" w:space="0" w:color="auto"/>
        <w:bottom w:val="none" w:sz="0" w:space="0" w:color="auto"/>
        <w:right w:val="none" w:sz="0" w:space="0" w:color="auto"/>
      </w:divBdr>
    </w:div>
    <w:div w:id="1705713808">
      <w:marLeft w:val="0"/>
      <w:marRight w:val="0"/>
      <w:marTop w:val="180"/>
      <w:marBottom w:val="180"/>
      <w:divBdr>
        <w:top w:val="none" w:sz="0" w:space="0" w:color="auto"/>
        <w:left w:val="none" w:sz="0" w:space="0" w:color="auto"/>
        <w:bottom w:val="none" w:sz="0" w:space="0" w:color="auto"/>
        <w:right w:val="none" w:sz="0" w:space="0" w:color="auto"/>
      </w:divBdr>
    </w:div>
    <w:div w:id="1707214694">
      <w:marLeft w:val="0"/>
      <w:marRight w:val="0"/>
      <w:marTop w:val="0"/>
      <w:marBottom w:val="0"/>
      <w:divBdr>
        <w:top w:val="none" w:sz="0" w:space="0" w:color="auto"/>
        <w:left w:val="none" w:sz="0" w:space="0" w:color="auto"/>
        <w:bottom w:val="none" w:sz="0" w:space="0" w:color="auto"/>
        <w:right w:val="none" w:sz="0" w:space="0" w:color="auto"/>
      </w:divBdr>
      <w:divsChild>
        <w:div w:id="70584803">
          <w:marLeft w:val="0"/>
          <w:marRight w:val="0"/>
          <w:marTop w:val="60"/>
          <w:marBottom w:val="180"/>
          <w:divBdr>
            <w:top w:val="none" w:sz="0" w:space="0" w:color="auto"/>
            <w:left w:val="none" w:sz="0" w:space="0" w:color="auto"/>
            <w:bottom w:val="none" w:sz="0" w:space="0" w:color="auto"/>
            <w:right w:val="none" w:sz="0" w:space="0" w:color="auto"/>
          </w:divBdr>
        </w:div>
      </w:divsChild>
    </w:div>
    <w:div w:id="1709448017">
      <w:marLeft w:val="0"/>
      <w:marRight w:val="0"/>
      <w:marTop w:val="180"/>
      <w:marBottom w:val="180"/>
      <w:divBdr>
        <w:top w:val="none" w:sz="0" w:space="0" w:color="auto"/>
        <w:left w:val="none" w:sz="0" w:space="0" w:color="auto"/>
        <w:bottom w:val="none" w:sz="0" w:space="0" w:color="auto"/>
        <w:right w:val="none" w:sz="0" w:space="0" w:color="auto"/>
      </w:divBdr>
    </w:div>
    <w:div w:id="1709720242">
      <w:marLeft w:val="0"/>
      <w:marRight w:val="0"/>
      <w:marTop w:val="180"/>
      <w:marBottom w:val="0"/>
      <w:divBdr>
        <w:top w:val="none" w:sz="0" w:space="0" w:color="auto"/>
        <w:left w:val="none" w:sz="0" w:space="0" w:color="auto"/>
        <w:bottom w:val="none" w:sz="0" w:space="0" w:color="auto"/>
        <w:right w:val="none" w:sz="0" w:space="0" w:color="auto"/>
      </w:divBdr>
    </w:div>
    <w:div w:id="1721249922">
      <w:marLeft w:val="0"/>
      <w:marRight w:val="0"/>
      <w:marTop w:val="60"/>
      <w:marBottom w:val="60"/>
      <w:divBdr>
        <w:top w:val="none" w:sz="0" w:space="0" w:color="auto"/>
        <w:left w:val="none" w:sz="0" w:space="0" w:color="auto"/>
        <w:bottom w:val="none" w:sz="0" w:space="0" w:color="auto"/>
        <w:right w:val="none" w:sz="0" w:space="0" w:color="auto"/>
      </w:divBdr>
    </w:div>
    <w:div w:id="1721516375">
      <w:marLeft w:val="0"/>
      <w:marRight w:val="0"/>
      <w:marTop w:val="60"/>
      <w:marBottom w:val="60"/>
      <w:divBdr>
        <w:top w:val="none" w:sz="0" w:space="0" w:color="auto"/>
        <w:left w:val="none" w:sz="0" w:space="0" w:color="auto"/>
        <w:bottom w:val="none" w:sz="0" w:space="0" w:color="auto"/>
        <w:right w:val="none" w:sz="0" w:space="0" w:color="auto"/>
      </w:divBdr>
      <w:divsChild>
        <w:div w:id="1384212437">
          <w:marLeft w:val="0"/>
          <w:marRight w:val="0"/>
          <w:marTop w:val="0"/>
          <w:marBottom w:val="0"/>
          <w:divBdr>
            <w:top w:val="none" w:sz="0" w:space="0" w:color="auto"/>
            <w:left w:val="none" w:sz="0" w:space="0" w:color="auto"/>
            <w:bottom w:val="none" w:sz="0" w:space="0" w:color="auto"/>
            <w:right w:val="none" w:sz="0" w:space="0" w:color="auto"/>
          </w:divBdr>
        </w:div>
        <w:div w:id="224530024">
          <w:marLeft w:val="0"/>
          <w:marRight w:val="0"/>
          <w:marTop w:val="0"/>
          <w:marBottom w:val="0"/>
          <w:divBdr>
            <w:top w:val="none" w:sz="0" w:space="0" w:color="auto"/>
            <w:left w:val="none" w:sz="0" w:space="0" w:color="auto"/>
            <w:bottom w:val="none" w:sz="0" w:space="0" w:color="auto"/>
            <w:right w:val="none" w:sz="0" w:space="0" w:color="auto"/>
          </w:divBdr>
        </w:div>
      </w:divsChild>
    </w:div>
    <w:div w:id="1723745961">
      <w:marLeft w:val="0"/>
      <w:marRight w:val="0"/>
      <w:marTop w:val="180"/>
      <w:marBottom w:val="180"/>
      <w:divBdr>
        <w:top w:val="none" w:sz="0" w:space="0" w:color="auto"/>
        <w:left w:val="none" w:sz="0" w:space="0" w:color="auto"/>
        <w:bottom w:val="none" w:sz="0" w:space="0" w:color="auto"/>
        <w:right w:val="none" w:sz="0" w:space="0" w:color="auto"/>
      </w:divBdr>
    </w:div>
    <w:div w:id="1723943814">
      <w:marLeft w:val="0"/>
      <w:marRight w:val="0"/>
      <w:marTop w:val="0"/>
      <w:marBottom w:val="0"/>
      <w:divBdr>
        <w:top w:val="none" w:sz="0" w:space="0" w:color="auto"/>
        <w:left w:val="none" w:sz="0" w:space="0" w:color="auto"/>
        <w:bottom w:val="none" w:sz="0" w:space="0" w:color="auto"/>
        <w:right w:val="none" w:sz="0" w:space="0" w:color="auto"/>
      </w:divBdr>
      <w:divsChild>
        <w:div w:id="1449012176">
          <w:marLeft w:val="0"/>
          <w:marRight w:val="0"/>
          <w:marTop w:val="0"/>
          <w:marBottom w:val="0"/>
          <w:divBdr>
            <w:top w:val="none" w:sz="0" w:space="0" w:color="auto"/>
            <w:left w:val="none" w:sz="0" w:space="0" w:color="auto"/>
            <w:bottom w:val="none" w:sz="0" w:space="0" w:color="auto"/>
            <w:right w:val="none" w:sz="0" w:space="0" w:color="auto"/>
          </w:divBdr>
          <w:divsChild>
            <w:div w:id="516606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4793411">
      <w:marLeft w:val="0"/>
      <w:marRight w:val="0"/>
      <w:marTop w:val="120"/>
      <w:marBottom w:val="60"/>
      <w:divBdr>
        <w:top w:val="none" w:sz="0" w:space="0" w:color="auto"/>
        <w:left w:val="none" w:sz="0" w:space="0" w:color="auto"/>
        <w:bottom w:val="none" w:sz="0" w:space="0" w:color="auto"/>
        <w:right w:val="none" w:sz="0" w:space="0" w:color="auto"/>
      </w:divBdr>
    </w:div>
    <w:div w:id="1726879077">
      <w:marLeft w:val="0"/>
      <w:marRight w:val="0"/>
      <w:marTop w:val="180"/>
      <w:marBottom w:val="180"/>
      <w:divBdr>
        <w:top w:val="none" w:sz="0" w:space="0" w:color="auto"/>
        <w:left w:val="none" w:sz="0" w:space="0" w:color="auto"/>
        <w:bottom w:val="none" w:sz="0" w:space="0" w:color="auto"/>
        <w:right w:val="none" w:sz="0" w:space="0" w:color="auto"/>
      </w:divBdr>
    </w:div>
    <w:div w:id="1728409068">
      <w:marLeft w:val="0"/>
      <w:marRight w:val="0"/>
      <w:marTop w:val="180"/>
      <w:marBottom w:val="180"/>
      <w:divBdr>
        <w:top w:val="none" w:sz="0" w:space="0" w:color="auto"/>
        <w:left w:val="none" w:sz="0" w:space="0" w:color="auto"/>
        <w:bottom w:val="none" w:sz="0" w:space="0" w:color="auto"/>
        <w:right w:val="none" w:sz="0" w:space="0" w:color="auto"/>
      </w:divBdr>
    </w:div>
    <w:div w:id="1732465149">
      <w:marLeft w:val="0"/>
      <w:marRight w:val="0"/>
      <w:marTop w:val="180"/>
      <w:marBottom w:val="180"/>
      <w:divBdr>
        <w:top w:val="none" w:sz="0" w:space="0" w:color="auto"/>
        <w:left w:val="none" w:sz="0" w:space="0" w:color="auto"/>
        <w:bottom w:val="none" w:sz="0" w:space="0" w:color="auto"/>
        <w:right w:val="none" w:sz="0" w:space="0" w:color="auto"/>
      </w:divBdr>
    </w:div>
    <w:div w:id="1733768581">
      <w:marLeft w:val="0"/>
      <w:marRight w:val="0"/>
      <w:marTop w:val="180"/>
      <w:marBottom w:val="180"/>
      <w:divBdr>
        <w:top w:val="none" w:sz="0" w:space="0" w:color="auto"/>
        <w:left w:val="none" w:sz="0" w:space="0" w:color="auto"/>
        <w:bottom w:val="none" w:sz="0" w:space="0" w:color="auto"/>
        <w:right w:val="none" w:sz="0" w:space="0" w:color="auto"/>
      </w:divBdr>
    </w:div>
    <w:div w:id="1734233889">
      <w:marLeft w:val="0"/>
      <w:marRight w:val="0"/>
      <w:marTop w:val="180"/>
      <w:marBottom w:val="180"/>
      <w:divBdr>
        <w:top w:val="none" w:sz="0" w:space="0" w:color="auto"/>
        <w:left w:val="none" w:sz="0" w:space="0" w:color="auto"/>
        <w:bottom w:val="none" w:sz="0" w:space="0" w:color="auto"/>
        <w:right w:val="none" w:sz="0" w:space="0" w:color="auto"/>
      </w:divBdr>
    </w:div>
    <w:div w:id="1736079526">
      <w:marLeft w:val="0"/>
      <w:marRight w:val="0"/>
      <w:marTop w:val="0"/>
      <w:marBottom w:val="0"/>
      <w:divBdr>
        <w:top w:val="none" w:sz="0" w:space="0" w:color="auto"/>
        <w:left w:val="none" w:sz="0" w:space="0" w:color="auto"/>
        <w:bottom w:val="none" w:sz="0" w:space="0" w:color="auto"/>
        <w:right w:val="none" w:sz="0" w:space="0" w:color="auto"/>
      </w:divBdr>
      <w:divsChild>
        <w:div w:id="821653518">
          <w:marLeft w:val="0"/>
          <w:marRight w:val="0"/>
          <w:marTop w:val="0"/>
          <w:marBottom w:val="0"/>
          <w:divBdr>
            <w:top w:val="none" w:sz="0" w:space="0" w:color="auto"/>
            <w:left w:val="none" w:sz="0" w:space="0" w:color="auto"/>
            <w:bottom w:val="none" w:sz="0" w:space="0" w:color="auto"/>
            <w:right w:val="none" w:sz="0" w:space="0" w:color="auto"/>
          </w:divBdr>
          <w:divsChild>
            <w:div w:id="13939673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36391214">
      <w:marLeft w:val="0"/>
      <w:marRight w:val="0"/>
      <w:marTop w:val="180"/>
      <w:marBottom w:val="180"/>
      <w:divBdr>
        <w:top w:val="none" w:sz="0" w:space="0" w:color="auto"/>
        <w:left w:val="none" w:sz="0" w:space="0" w:color="auto"/>
        <w:bottom w:val="none" w:sz="0" w:space="0" w:color="auto"/>
        <w:right w:val="none" w:sz="0" w:space="0" w:color="auto"/>
      </w:divBdr>
    </w:div>
    <w:div w:id="1736968490">
      <w:marLeft w:val="0"/>
      <w:marRight w:val="0"/>
      <w:marTop w:val="0"/>
      <w:marBottom w:val="180"/>
      <w:divBdr>
        <w:top w:val="none" w:sz="0" w:space="0" w:color="auto"/>
        <w:left w:val="none" w:sz="0" w:space="0" w:color="auto"/>
        <w:bottom w:val="none" w:sz="0" w:space="0" w:color="auto"/>
        <w:right w:val="none" w:sz="0" w:space="0" w:color="auto"/>
      </w:divBdr>
    </w:div>
    <w:div w:id="1739398140">
      <w:marLeft w:val="0"/>
      <w:marRight w:val="0"/>
      <w:marTop w:val="180"/>
      <w:marBottom w:val="180"/>
      <w:divBdr>
        <w:top w:val="none" w:sz="0" w:space="0" w:color="auto"/>
        <w:left w:val="none" w:sz="0" w:space="0" w:color="auto"/>
        <w:bottom w:val="none" w:sz="0" w:space="0" w:color="auto"/>
        <w:right w:val="none" w:sz="0" w:space="0" w:color="auto"/>
      </w:divBdr>
    </w:div>
    <w:div w:id="1742172636">
      <w:marLeft w:val="0"/>
      <w:marRight w:val="0"/>
      <w:marTop w:val="180"/>
      <w:marBottom w:val="180"/>
      <w:divBdr>
        <w:top w:val="none" w:sz="0" w:space="0" w:color="auto"/>
        <w:left w:val="none" w:sz="0" w:space="0" w:color="auto"/>
        <w:bottom w:val="none" w:sz="0" w:space="0" w:color="auto"/>
        <w:right w:val="none" w:sz="0" w:space="0" w:color="auto"/>
      </w:divBdr>
    </w:div>
    <w:div w:id="1743717490">
      <w:marLeft w:val="0"/>
      <w:marRight w:val="0"/>
      <w:marTop w:val="180"/>
      <w:marBottom w:val="180"/>
      <w:divBdr>
        <w:top w:val="none" w:sz="0" w:space="0" w:color="auto"/>
        <w:left w:val="none" w:sz="0" w:space="0" w:color="auto"/>
        <w:bottom w:val="none" w:sz="0" w:space="0" w:color="auto"/>
        <w:right w:val="none" w:sz="0" w:space="0" w:color="auto"/>
      </w:divBdr>
    </w:div>
    <w:div w:id="1744371995">
      <w:marLeft w:val="0"/>
      <w:marRight w:val="0"/>
      <w:marTop w:val="180"/>
      <w:marBottom w:val="180"/>
      <w:divBdr>
        <w:top w:val="none" w:sz="0" w:space="0" w:color="auto"/>
        <w:left w:val="none" w:sz="0" w:space="0" w:color="auto"/>
        <w:bottom w:val="none" w:sz="0" w:space="0" w:color="auto"/>
        <w:right w:val="none" w:sz="0" w:space="0" w:color="auto"/>
      </w:divBdr>
    </w:div>
    <w:div w:id="1745637648">
      <w:marLeft w:val="0"/>
      <w:marRight w:val="0"/>
      <w:marTop w:val="180"/>
      <w:marBottom w:val="180"/>
      <w:divBdr>
        <w:top w:val="none" w:sz="0" w:space="0" w:color="auto"/>
        <w:left w:val="none" w:sz="0" w:space="0" w:color="auto"/>
        <w:bottom w:val="none" w:sz="0" w:space="0" w:color="auto"/>
        <w:right w:val="none" w:sz="0" w:space="0" w:color="auto"/>
      </w:divBdr>
    </w:div>
    <w:div w:id="1746030748">
      <w:marLeft w:val="0"/>
      <w:marRight w:val="0"/>
      <w:marTop w:val="180"/>
      <w:marBottom w:val="180"/>
      <w:divBdr>
        <w:top w:val="none" w:sz="0" w:space="0" w:color="auto"/>
        <w:left w:val="none" w:sz="0" w:space="0" w:color="auto"/>
        <w:bottom w:val="none" w:sz="0" w:space="0" w:color="auto"/>
        <w:right w:val="none" w:sz="0" w:space="0" w:color="auto"/>
      </w:divBdr>
    </w:div>
    <w:div w:id="1748645912">
      <w:marLeft w:val="0"/>
      <w:marRight w:val="0"/>
      <w:marTop w:val="60"/>
      <w:marBottom w:val="60"/>
      <w:divBdr>
        <w:top w:val="none" w:sz="0" w:space="0" w:color="auto"/>
        <w:left w:val="none" w:sz="0" w:space="0" w:color="auto"/>
        <w:bottom w:val="none" w:sz="0" w:space="0" w:color="auto"/>
        <w:right w:val="none" w:sz="0" w:space="0" w:color="auto"/>
      </w:divBdr>
    </w:div>
    <w:div w:id="1749419453">
      <w:marLeft w:val="0"/>
      <w:marRight w:val="0"/>
      <w:marTop w:val="180"/>
      <w:marBottom w:val="180"/>
      <w:divBdr>
        <w:top w:val="none" w:sz="0" w:space="0" w:color="auto"/>
        <w:left w:val="none" w:sz="0" w:space="0" w:color="auto"/>
        <w:bottom w:val="none" w:sz="0" w:space="0" w:color="auto"/>
        <w:right w:val="none" w:sz="0" w:space="0" w:color="auto"/>
      </w:divBdr>
    </w:div>
    <w:div w:id="1749501472">
      <w:marLeft w:val="0"/>
      <w:marRight w:val="0"/>
      <w:marTop w:val="180"/>
      <w:marBottom w:val="180"/>
      <w:divBdr>
        <w:top w:val="none" w:sz="0" w:space="0" w:color="auto"/>
        <w:left w:val="none" w:sz="0" w:space="0" w:color="auto"/>
        <w:bottom w:val="none" w:sz="0" w:space="0" w:color="auto"/>
        <w:right w:val="none" w:sz="0" w:space="0" w:color="auto"/>
      </w:divBdr>
    </w:div>
    <w:div w:id="1750299784">
      <w:marLeft w:val="0"/>
      <w:marRight w:val="0"/>
      <w:marTop w:val="180"/>
      <w:marBottom w:val="180"/>
      <w:divBdr>
        <w:top w:val="none" w:sz="0" w:space="0" w:color="auto"/>
        <w:left w:val="none" w:sz="0" w:space="0" w:color="auto"/>
        <w:bottom w:val="none" w:sz="0" w:space="0" w:color="auto"/>
        <w:right w:val="none" w:sz="0" w:space="0" w:color="auto"/>
      </w:divBdr>
    </w:div>
    <w:div w:id="1754548832">
      <w:marLeft w:val="0"/>
      <w:marRight w:val="0"/>
      <w:marTop w:val="180"/>
      <w:marBottom w:val="180"/>
      <w:divBdr>
        <w:top w:val="none" w:sz="0" w:space="0" w:color="auto"/>
        <w:left w:val="none" w:sz="0" w:space="0" w:color="auto"/>
        <w:bottom w:val="none" w:sz="0" w:space="0" w:color="auto"/>
        <w:right w:val="none" w:sz="0" w:space="0" w:color="auto"/>
      </w:divBdr>
    </w:div>
    <w:div w:id="1756314990">
      <w:marLeft w:val="0"/>
      <w:marRight w:val="0"/>
      <w:marTop w:val="0"/>
      <w:marBottom w:val="0"/>
      <w:divBdr>
        <w:top w:val="none" w:sz="0" w:space="0" w:color="auto"/>
        <w:left w:val="none" w:sz="0" w:space="0" w:color="auto"/>
        <w:bottom w:val="none" w:sz="0" w:space="0" w:color="auto"/>
        <w:right w:val="none" w:sz="0" w:space="0" w:color="auto"/>
      </w:divBdr>
    </w:div>
    <w:div w:id="1757819459">
      <w:marLeft w:val="0"/>
      <w:marRight w:val="0"/>
      <w:marTop w:val="180"/>
      <w:marBottom w:val="180"/>
      <w:divBdr>
        <w:top w:val="none" w:sz="0" w:space="0" w:color="auto"/>
        <w:left w:val="none" w:sz="0" w:space="0" w:color="auto"/>
        <w:bottom w:val="none" w:sz="0" w:space="0" w:color="auto"/>
        <w:right w:val="none" w:sz="0" w:space="0" w:color="auto"/>
      </w:divBdr>
    </w:div>
    <w:div w:id="1757895498">
      <w:marLeft w:val="0"/>
      <w:marRight w:val="0"/>
      <w:marTop w:val="0"/>
      <w:marBottom w:val="0"/>
      <w:divBdr>
        <w:top w:val="none" w:sz="0" w:space="0" w:color="auto"/>
        <w:left w:val="none" w:sz="0" w:space="0" w:color="auto"/>
        <w:bottom w:val="none" w:sz="0" w:space="0" w:color="auto"/>
        <w:right w:val="none" w:sz="0" w:space="0" w:color="auto"/>
      </w:divBdr>
      <w:divsChild>
        <w:div w:id="1939680692">
          <w:marLeft w:val="0"/>
          <w:marRight w:val="0"/>
          <w:marTop w:val="60"/>
          <w:marBottom w:val="180"/>
          <w:divBdr>
            <w:top w:val="none" w:sz="0" w:space="0" w:color="auto"/>
            <w:left w:val="none" w:sz="0" w:space="0" w:color="auto"/>
            <w:bottom w:val="none" w:sz="0" w:space="0" w:color="auto"/>
            <w:right w:val="none" w:sz="0" w:space="0" w:color="auto"/>
          </w:divBdr>
        </w:div>
      </w:divsChild>
    </w:div>
    <w:div w:id="1758401982">
      <w:marLeft w:val="0"/>
      <w:marRight w:val="0"/>
      <w:marTop w:val="160"/>
      <w:marBottom w:val="0"/>
      <w:divBdr>
        <w:top w:val="none" w:sz="0" w:space="0" w:color="auto"/>
        <w:left w:val="none" w:sz="0" w:space="0" w:color="auto"/>
        <w:bottom w:val="none" w:sz="0" w:space="0" w:color="auto"/>
        <w:right w:val="none" w:sz="0" w:space="0" w:color="auto"/>
      </w:divBdr>
    </w:div>
    <w:div w:id="1758938358">
      <w:marLeft w:val="0"/>
      <w:marRight w:val="0"/>
      <w:marTop w:val="60"/>
      <w:marBottom w:val="60"/>
      <w:divBdr>
        <w:top w:val="none" w:sz="0" w:space="0" w:color="auto"/>
        <w:left w:val="none" w:sz="0" w:space="0" w:color="auto"/>
        <w:bottom w:val="none" w:sz="0" w:space="0" w:color="auto"/>
        <w:right w:val="none" w:sz="0" w:space="0" w:color="auto"/>
      </w:divBdr>
    </w:div>
    <w:div w:id="1759867501">
      <w:marLeft w:val="0"/>
      <w:marRight w:val="0"/>
      <w:marTop w:val="60"/>
      <w:marBottom w:val="60"/>
      <w:divBdr>
        <w:top w:val="none" w:sz="0" w:space="0" w:color="auto"/>
        <w:left w:val="none" w:sz="0" w:space="0" w:color="auto"/>
        <w:bottom w:val="none" w:sz="0" w:space="0" w:color="auto"/>
        <w:right w:val="none" w:sz="0" w:space="0" w:color="auto"/>
      </w:divBdr>
    </w:div>
    <w:div w:id="1764763346">
      <w:marLeft w:val="0"/>
      <w:marRight w:val="0"/>
      <w:marTop w:val="100"/>
      <w:marBottom w:val="0"/>
      <w:divBdr>
        <w:top w:val="none" w:sz="0" w:space="0" w:color="auto"/>
        <w:left w:val="none" w:sz="0" w:space="0" w:color="auto"/>
        <w:bottom w:val="none" w:sz="0" w:space="0" w:color="auto"/>
        <w:right w:val="none" w:sz="0" w:space="0" w:color="auto"/>
      </w:divBdr>
      <w:divsChild>
        <w:div w:id="851183140">
          <w:marLeft w:val="0"/>
          <w:marRight w:val="0"/>
          <w:marTop w:val="0"/>
          <w:marBottom w:val="0"/>
          <w:divBdr>
            <w:top w:val="none" w:sz="0" w:space="0" w:color="auto"/>
            <w:left w:val="none" w:sz="0" w:space="0" w:color="auto"/>
            <w:bottom w:val="none" w:sz="0" w:space="0" w:color="auto"/>
            <w:right w:val="none" w:sz="0" w:space="0" w:color="auto"/>
          </w:divBdr>
        </w:div>
        <w:div w:id="633367147">
          <w:marLeft w:val="0"/>
          <w:marRight w:val="0"/>
          <w:marTop w:val="0"/>
          <w:marBottom w:val="0"/>
          <w:divBdr>
            <w:top w:val="none" w:sz="0" w:space="0" w:color="auto"/>
            <w:left w:val="none" w:sz="0" w:space="0" w:color="auto"/>
            <w:bottom w:val="none" w:sz="0" w:space="0" w:color="auto"/>
            <w:right w:val="none" w:sz="0" w:space="0" w:color="auto"/>
          </w:divBdr>
        </w:div>
      </w:divsChild>
    </w:div>
    <w:div w:id="1765102590">
      <w:marLeft w:val="0"/>
      <w:marRight w:val="0"/>
      <w:marTop w:val="0"/>
      <w:marBottom w:val="0"/>
      <w:divBdr>
        <w:top w:val="none" w:sz="0" w:space="0" w:color="auto"/>
        <w:left w:val="none" w:sz="0" w:space="0" w:color="auto"/>
        <w:bottom w:val="none" w:sz="0" w:space="0" w:color="auto"/>
        <w:right w:val="none" w:sz="0" w:space="0" w:color="auto"/>
      </w:divBdr>
    </w:div>
    <w:div w:id="1768499529">
      <w:marLeft w:val="0"/>
      <w:marRight w:val="0"/>
      <w:marTop w:val="0"/>
      <w:marBottom w:val="0"/>
      <w:divBdr>
        <w:top w:val="none" w:sz="0" w:space="0" w:color="auto"/>
        <w:left w:val="none" w:sz="0" w:space="0" w:color="auto"/>
        <w:bottom w:val="none" w:sz="0" w:space="0" w:color="auto"/>
        <w:right w:val="none" w:sz="0" w:space="0" w:color="auto"/>
      </w:divBdr>
      <w:divsChild>
        <w:div w:id="679242208">
          <w:marLeft w:val="0"/>
          <w:marRight w:val="0"/>
          <w:marTop w:val="0"/>
          <w:marBottom w:val="0"/>
          <w:divBdr>
            <w:top w:val="none" w:sz="0" w:space="0" w:color="auto"/>
            <w:left w:val="none" w:sz="0" w:space="0" w:color="auto"/>
            <w:bottom w:val="none" w:sz="0" w:space="0" w:color="auto"/>
            <w:right w:val="none" w:sz="0" w:space="0" w:color="auto"/>
          </w:divBdr>
          <w:divsChild>
            <w:div w:id="11878688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1075536">
      <w:marLeft w:val="0"/>
      <w:marRight w:val="0"/>
      <w:marTop w:val="60"/>
      <w:marBottom w:val="60"/>
      <w:divBdr>
        <w:top w:val="none" w:sz="0" w:space="0" w:color="auto"/>
        <w:left w:val="none" w:sz="0" w:space="0" w:color="auto"/>
        <w:bottom w:val="none" w:sz="0" w:space="0" w:color="auto"/>
        <w:right w:val="none" w:sz="0" w:space="0" w:color="auto"/>
      </w:divBdr>
    </w:div>
    <w:div w:id="1772387349">
      <w:marLeft w:val="0"/>
      <w:marRight w:val="0"/>
      <w:marTop w:val="60"/>
      <w:marBottom w:val="60"/>
      <w:divBdr>
        <w:top w:val="none" w:sz="0" w:space="0" w:color="auto"/>
        <w:left w:val="none" w:sz="0" w:space="0" w:color="auto"/>
        <w:bottom w:val="none" w:sz="0" w:space="0" w:color="auto"/>
        <w:right w:val="none" w:sz="0" w:space="0" w:color="auto"/>
      </w:divBdr>
    </w:div>
    <w:div w:id="1773352865">
      <w:marLeft w:val="0"/>
      <w:marRight w:val="0"/>
      <w:marTop w:val="180"/>
      <w:marBottom w:val="180"/>
      <w:divBdr>
        <w:top w:val="none" w:sz="0" w:space="0" w:color="auto"/>
        <w:left w:val="none" w:sz="0" w:space="0" w:color="auto"/>
        <w:bottom w:val="none" w:sz="0" w:space="0" w:color="auto"/>
        <w:right w:val="none" w:sz="0" w:space="0" w:color="auto"/>
      </w:divBdr>
    </w:div>
    <w:div w:id="1773818842">
      <w:marLeft w:val="0"/>
      <w:marRight w:val="0"/>
      <w:marTop w:val="0"/>
      <w:marBottom w:val="0"/>
      <w:divBdr>
        <w:top w:val="none" w:sz="0" w:space="0" w:color="auto"/>
        <w:left w:val="none" w:sz="0" w:space="0" w:color="auto"/>
        <w:bottom w:val="none" w:sz="0" w:space="0" w:color="auto"/>
        <w:right w:val="none" w:sz="0" w:space="0" w:color="auto"/>
      </w:divBdr>
    </w:div>
    <w:div w:id="1777209330">
      <w:marLeft w:val="0"/>
      <w:marRight w:val="0"/>
      <w:marTop w:val="60"/>
      <w:marBottom w:val="60"/>
      <w:divBdr>
        <w:top w:val="none" w:sz="0" w:space="0" w:color="auto"/>
        <w:left w:val="none" w:sz="0" w:space="0" w:color="auto"/>
        <w:bottom w:val="none" w:sz="0" w:space="0" w:color="auto"/>
        <w:right w:val="none" w:sz="0" w:space="0" w:color="auto"/>
      </w:divBdr>
    </w:div>
    <w:div w:id="1778862449">
      <w:marLeft w:val="0"/>
      <w:marRight w:val="0"/>
      <w:marTop w:val="180"/>
      <w:marBottom w:val="180"/>
      <w:divBdr>
        <w:top w:val="none" w:sz="0" w:space="0" w:color="auto"/>
        <w:left w:val="none" w:sz="0" w:space="0" w:color="auto"/>
        <w:bottom w:val="none" w:sz="0" w:space="0" w:color="auto"/>
        <w:right w:val="none" w:sz="0" w:space="0" w:color="auto"/>
      </w:divBdr>
    </w:div>
    <w:div w:id="1779527007">
      <w:marLeft w:val="0"/>
      <w:marRight w:val="0"/>
      <w:marTop w:val="180"/>
      <w:marBottom w:val="180"/>
      <w:divBdr>
        <w:top w:val="none" w:sz="0" w:space="0" w:color="auto"/>
        <w:left w:val="none" w:sz="0" w:space="0" w:color="auto"/>
        <w:bottom w:val="none" w:sz="0" w:space="0" w:color="auto"/>
        <w:right w:val="none" w:sz="0" w:space="0" w:color="auto"/>
      </w:divBdr>
    </w:div>
    <w:div w:id="1780756069">
      <w:marLeft w:val="0"/>
      <w:marRight w:val="0"/>
      <w:marTop w:val="180"/>
      <w:marBottom w:val="180"/>
      <w:divBdr>
        <w:top w:val="none" w:sz="0" w:space="0" w:color="auto"/>
        <w:left w:val="none" w:sz="0" w:space="0" w:color="auto"/>
        <w:bottom w:val="none" w:sz="0" w:space="0" w:color="auto"/>
        <w:right w:val="none" w:sz="0" w:space="0" w:color="auto"/>
      </w:divBdr>
    </w:div>
    <w:div w:id="1786533637">
      <w:marLeft w:val="0"/>
      <w:marRight w:val="0"/>
      <w:marTop w:val="60"/>
      <w:marBottom w:val="60"/>
      <w:divBdr>
        <w:top w:val="none" w:sz="0" w:space="0" w:color="auto"/>
        <w:left w:val="none" w:sz="0" w:space="0" w:color="auto"/>
        <w:bottom w:val="none" w:sz="0" w:space="0" w:color="auto"/>
        <w:right w:val="none" w:sz="0" w:space="0" w:color="auto"/>
      </w:divBdr>
    </w:div>
    <w:div w:id="1788229708">
      <w:marLeft w:val="0"/>
      <w:marRight w:val="0"/>
      <w:marTop w:val="0"/>
      <w:marBottom w:val="0"/>
      <w:divBdr>
        <w:top w:val="none" w:sz="0" w:space="0" w:color="auto"/>
        <w:left w:val="none" w:sz="0" w:space="0" w:color="auto"/>
        <w:bottom w:val="none" w:sz="0" w:space="0" w:color="auto"/>
        <w:right w:val="none" w:sz="0" w:space="0" w:color="auto"/>
      </w:divBdr>
    </w:div>
    <w:div w:id="1789273492">
      <w:marLeft w:val="0"/>
      <w:marRight w:val="0"/>
      <w:marTop w:val="60"/>
      <w:marBottom w:val="60"/>
      <w:divBdr>
        <w:top w:val="none" w:sz="0" w:space="0" w:color="auto"/>
        <w:left w:val="none" w:sz="0" w:space="0" w:color="auto"/>
        <w:bottom w:val="none" w:sz="0" w:space="0" w:color="auto"/>
        <w:right w:val="none" w:sz="0" w:space="0" w:color="auto"/>
      </w:divBdr>
    </w:div>
    <w:div w:id="1790975946">
      <w:marLeft w:val="0"/>
      <w:marRight w:val="0"/>
      <w:marTop w:val="0"/>
      <w:marBottom w:val="0"/>
      <w:divBdr>
        <w:top w:val="none" w:sz="0" w:space="0" w:color="auto"/>
        <w:left w:val="none" w:sz="0" w:space="0" w:color="auto"/>
        <w:bottom w:val="none" w:sz="0" w:space="0" w:color="auto"/>
        <w:right w:val="none" w:sz="0" w:space="0" w:color="auto"/>
      </w:divBdr>
    </w:div>
    <w:div w:id="1791897516">
      <w:marLeft w:val="0"/>
      <w:marRight w:val="0"/>
      <w:marTop w:val="180"/>
      <w:marBottom w:val="180"/>
      <w:divBdr>
        <w:top w:val="none" w:sz="0" w:space="0" w:color="auto"/>
        <w:left w:val="none" w:sz="0" w:space="0" w:color="auto"/>
        <w:bottom w:val="none" w:sz="0" w:space="0" w:color="auto"/>
        <w:right w:val="none" w:sz="0" w:space="0" w:color="auto"/>
      </w:divBdr>
    </w:div>
    <w:div w:id="1792552829">
      <w:marLeft w:val="0"/>
      <w:marRight w:val="0"/>
      <w:marTop w:val="180"/>
      <w:marBottom w:val="180"/>
      <w:divBdr>
        <w:top w:val="none" w:sz="0" w:space="0" w:color="auto"/>
        <w:left w:val="none" w:sz="0" w:space="0" w:color="auto"/>
        <w:bottom w:val="none" w:sz="0" w:space="0" w:color="auto"/>
        <w:right w:val="none" w:sz="0" w:space="0" w:color="auto"/>
      </w:divBdr>
    </w:div>
    <w:div w:id="1792747224">
      <w:marLeft w:val="0"/>
      <w:marRight w:val="0"/>
      <w:marTop w:val="180"/>
      <w:marBottom w:val="180"/>
      <w:divBdr>
        <w:top w:val="none" w:sz="0" w:space="0" w:color="auto"/>
        <w:left w:val="none" w:sz="0" w:space="0" w:color="auto"/>
        <w:bottom w:val="none" w:sz="0" w:space="0" w:color="auto"/>
        <w:right w:val="none" w:sz="0" w:space="0" w:color="auto"/>
      </w:divBdr>
    </w:div>
    <w:div w:id="1799686445">
      <w:marLeft w:val="0"/>
      <w:marRight w:val="0"/>
      <w:marTop w:val="180"/>
      <w:marBottom w:val="180"/>
      <w:divBdr>
        <w:top w:val="none" w:sz="0" w:space="0" w:color="auto"/>
        <w:left w:val="none" w:sz="0" w:space="0" w:color="auto"/>
        <w:bottom w:val="none" w:sz="0" w:space="0" w:color="auto"/>
        <w:right w:val="none" w:sz="0" w:space="0" w:color="auto"/>
      </w:divBdr>
    </w:div>
    <w:div w:id="1801341016">
      <w:marLeft w:val="0"/>
      <w:marRight w:val="0"/>
      <w:marTop w:val="180"/>
      <w:marBottom w:val="180"/>
      <w:divBdr>
        <w:top w:val="none" w:sz="0" w:space="0" w:color="auto"/>
        <w:left w:val="none" w:sz="0" w:space="0" w:color="auto"/>
        <w:bottom w:val="none" w:sz="0" w:space="0" w:color="auto"/>
        <w:right w:val="none" w:sz="0" w:space="0" w:color="auto"/>
      </w:divBdr>
    </w:div>
    <w:div w:id="1803497202">
      <w:marLeft w:val="0"/>
      <w:marRight w:val="0"/>
      <w:marTop w:val="0"/>
      <w:marBottom w:val="0"/>
      <w:divBdr>
        <w:top w:val="none" w:sz="0" w:space="0" w:color="auto"/>
        <w:left w:val="none" w:sz="0" w:space="0" w:color="auto"/>
        <w:bottom w:val="none" w:sz="0" w:space="0" w:color="auto"/>
        <w:right w:val="none" w:sz="0" w:space="0" w:color="auto"/>
      </w:divBdr>
      <w:divsChild>
        <w:div w:id="1764916953">
          <w:marLeft w:val="0"/>
          <w:marRight w:val="0"/>
          <w:marTop w:val="0"/>
          <w:marBottom w:val="0"/>
          <w:divBdr>
            <w:top w:val="none" w:sz="0" w:space="0" w:color="auto"/>
            <w:left w:val="none" w:sz="0" w:space="0" w:color="auto"/>
            <w:bottom w:val="none" w:sz="0" w:space="0" w:color="auto"/>
            <w:right w:val="none" w:sz="0" w:space="0" w:color="auto"/>
          </w:divBdr>
          <w:divsChild>
            <w:div w:id="8777390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4611839">
      <w:marLeft w:val="0"/>
      <w:marRight w:val="0"/>
      <w:marTop w:val="60"/>
      <w:marBottom w:val="60"/>
      <w:divBdr>
        <w:top w:val="none" w:sz="0" w:space="0" w:color="auto"/>
        <w:left w:val="none" w:sz="0" w:space="0" w:color="auto"/>
        <w:bottom w:val="none" w:sz="0" w:space="0" w:color="auto"/>
        <w:right w:val="none" w:sz="0" w:space="0" w:color="auto"/>
      </w:divBdr>
    </w:div>
    <w:div w:id="1806661290">
      <w:marLeft w:val="0"/>
      <w:marRight w:val="0"/>
      <w:marTop w:val="180"/>
      <w:marBottom w:val="180"/>
      <w:divBdr>
        <w:top w:val="none" w:sz="0" w:space="0" w:color="auto"/>
        <w:left w:val="none" w:sz="0" w:space="0" w:color="auto"/>
        <w:bottom w:val="none" w:sz="0" w:space="0" w:color="auto"/>
        <w:right w:val="none" w:sz="0" w:space="0" w:color="auto"/>
      </w:divBdr>
    </w:div>
    <w:div w:id="1807891409">
      <w:marLeft w:val="0"/>
      <w:marRight w:val="0"/>
      <w:marTop w:val="180"/>
      <w:marBottom w:val="180"/>
      <w:divBdr>
        <w:top w:val="none" w:sz="0" w:space="0" w:color="auto"/>
        <w:left w:val="none" w:sz="0" w:space="0" w:color="auto"/>
        <w:bottom w:val="none" w:sz="0" w:space="0" w:color="auto"/>
        <w:right w:val="none" w:sz="0" w:space="0" w:color="auto"/>
      </w:divBdr>
    </w:div>
    <w:div w:id="1810517689">
      <w:marLeft w:val="0"/>
      <w:marRight w:val="0"/>
      <w:marTop w:val="180"/>
      <w:marBottom w:val="180"/>
      <w:divBdr>
        <w:top w:val="none" w:sz="0" w:space="0" w:color="auto"/>
        <w:left w:val="none" w:sz="0" w:space="0" w:color="auto"/>
        <w:bottom w:val="none" w:sz="0" w:space="0" w:color="auto"/>
        <w:right w:val="none" w:sz="0" w:space="0" w:color="auto"/>
      </w:divBdr>
    </w:div>
    <w:div w:id="1813016301">
      <w:marLeft w:val="0"/>
      <w:marRight w:val="0"/>
      <w:marTop w:val="60"/>
      <w:marBottom w:val="60"/>
      <w:divBdr>
        <w:top w:val="none" w:sz="0" w:space="0" w:color="auto"/>
        <w:left w:val="none" w:sz="0" w:space="0" w:color="auto"/>
        <w:bottom w:val="none" w:sz="0" w:space="0" w:color="auto"/>
        <w:right w:val="none" w:sz="0" w:space="0" w:color="auto"/>
      </w:divBdr>
      <w:divsChild>
        <w:div w:id="1605113994">
          <w:marLeft w:val="0"/>
          <w:marRight w:val="0"/>
          <w:marTop w:val="0"/>
          <w:marBottom w:val="0"/>
          <w:divBdr>
            <w:top w:val="none" w:sz="0" w:space="0" w:color="auto"/>
            <w:left w:val="none" w:sz="0" w:space="0" w:color="auto"/>
            <w:bottom w:val="none" w:sz="0" w:space="0" w:color="auto"/>
            <w:right w:val="none" w:sz="0" w:space="0" w:color="auto"/>
          </w:divBdr>
        </w:div>
        <w:div w:id="23865667">
          <w:marLeft w:val="0"/>
          <w:marRight w:val="0"/>
          <w:marTop w:val="0"/>
          <w:marBottom w:val="0"/>
          <w:divBdr>
            <w:top w:val="none" w:sz="0" w:space="0" w:color="auto"/>
            <w:left w:val="none" w:sz="0" w:space="0" w:color="auto"/>
            <w:bottom w:val="none" w:sz="0" w:space="0" w:color="auto"/>
            <w:right w:val="none" w:sz="0" w:space="0" w:color="auto"/>
          </w:divBdr>
        </w:div>
      </w:divsChild>
    </w:div>
    <w:div w:id="1814324598">
      <w:marLeft w:val="0"/>
      <w:marRight w:val="0"/>
      <w:marTop w:val="60"/>
      <w:marBottom w:val="60"/>
      <w:divBdr>
        <w:top w:val="none" w:sz="0" w:space="0" w:color="auto"/>
        <w:left w:val="none" w:sz="0" w:space="0" w:color="auto"/>
        <w:bottom w:val="none" w:sz="0" w:space="0" w:color="auto"/>
        <w:right w:val="none" w:sz="0" w:space="0" w:color="auto"/>
      </w:divBdr>
    </w:div>
    <w:div w:id="1815220765">
      <w:marLeft w:val="0"/>
      <w:marRight w:val="0"/>
      <w:marTop w:val="180"/>
      <w:marBottom w:val="180"/>
      <w:divBdr>
        <w:top w:val="none" w:sz="0" w:space="0" w:color="auto"/>
        <w:left w:val="none" w:sz="0" w:space="0" w:color="auto"/>
        <w:bottom w:val="none" w:sz="0" w:space="0" w:color="auto"/>
        <w:right w:val="none" w:sz="0" w:space="0" w:color="auto"/>
      </w:divBdr>
    </w:div>
    <w:div w:id="1817726250">
      <w:marLeft w:val="0"/>
      <w:marRight w:val="0"/>
      <w:marTop w:val="0"/>
      <w:marBottom w:val="0"/>
      <w:divBdr>
        <w:top w:val="none" w:sz="0" w:space="0" w:color="auto"/>
        <w:left w:val="none" w:sz="0" w:space="0" w:color="auto"/>
        <w:bottom w:val="none" w:sz="0" w:space="0" w:color="auto"/>
        <w:right w:val="none" w:sz="0" w:space="0" w:color="auto"/>
      </w:divBdr>
      <w:divsChild>
        <w:div w:id="1807503195">
          <w:marLeft w:val="0"/>
          <w:marRight w:val="0"/>
          <w:marTop w:val="0"/>
          <w:marBottom w:val="0"/>
          <w:divBdr>
            <w:top w:val="none" w:sz="0" w:space="0" w:color="auto"/>
            <w:left w:val="none" w:sz="0" w:space="0" w:color="auto"/>
            <w:bottom w:val="none" w:sz="0" w:space="0" w:color="auto"/>
            <w:right w:val="none" w:sz="0" w:space="0" w:color="auto"/>
          </w:divBdr>
          <w:divsChild>
            <w:div w:id="4682118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18305890">
      <w:marLeft w:val="0"/>
      <w:marRight w:val="0"/>
      <w:marTop w:val="180"/>
      <w:marBottom w:val="180"/>
      <w:divBdr>
        <w:top w:val="none" w:sz="0" w:space="0" w:color="auto"/>
        <w:left w:val="none" w:sz="0" w:space="0" w:color="auto"/>
        <w:bottom w:val="none" w:sz="0" w:space="0" w:color="auto"/>
        <w:right w:val="none" w:sz="0" w:space="0" w:color="auto"/>
      </w:divBdr>
    </w:div>
    <w:div w:id="1821267333">
      <w:marLeft w:val="0"/>
      <w:marRight w:val="0"/>
      <w:marTop w:val="180"/>
      <w:marBottom w:val="180"/>
      <w:divBdr>
        <w:top w:val="none" w:sz="0" w:space="0" w:color="auto"/>
        <w:left w:val="none" w:sz="0" w:space="0" w:color="auto"/>
        <w:bottom w:val="none" w:sz="0" w:space="0" w:color="auto"/>
        <w:right w:val="none" w:sz="0" w:space="0" w:color="auto"/>
      </w:divBdr>
    </w:div>
    <w:div w:id="1821657118">
      <w:marLeft w:val="0"/>
      <w:marRight w:val="0"/>
      <w:marTop w:val="180"/>
      <w:marBottom w:val="180"/>
      <w:divBdr>
        <w:top w:val="none" w:sz="0" w:space="0" w:color="auto"/>
        <w:left w:val="none" w:sz="0" w:space="0" w:color="auto"/>
        <w:bottom w:val="none" w:sz="0" w:space="0" w:color="auto"/>
        <w:right w:val="none" w:sz="0" w:space="0" w:color="auto"/>
      </w:divBdr>
    </w:div>
    <w:div w:id="1821725154">
      <w:marLeft w:val="0"/>
      <w:marRight w:val="0"/>
      <w:marTop w:val="0"/>
      <w:marBottom w:val="0"/>
      <w:divBdr>
        <w:top w:val="none" w:sz="0" w:space="0" w:color="auto"/>
        <w:left w:val="none" w:sz="0" w:space="0" w:color="auto"/>
        <w:bottom w:val="none" w:sz="0" w:space="0" w:color="auto"/>
        <w:right w:val="none" w:sz="0" w:space="0" w:color="auto"/>
      </w:divBdr>
    </w:div>
    <w:div w:id="1821847867">
      <w:marLeft w:val="0"/>
      <w:marRight w:val="0"/>
      <w:marTop w:val="60"/>
      <w:marBottom w:val="60"/>
      <w:divBdr>
        <w:top w:val="none" w:sz="0" w:space="0" w:color="auto"/>
        <w:left w:val="none" w:sz="0" w:space="0" w:color="auto"/>
        <w:bottom w:val="none" w:sz="0" w:space="0" w:color="auto"/>
        <w:right w:val="none" w:sz="0" w:space="0" w:color="auto"/>
      </w:divBdr>
    </w:div>
    <w:div w:id="1826169086">
      <w:marLeft w:val="0"/>
      <w:marRight w:val="0"/>
      <w:marTop w:val="0"/>
      <w:marBottom w:val="0"/>
      <w:divBdr>
        <w:top w:val="none" w:sz="0" w:space="0" w:color="auto"/>
        <w:left w:val="none" w:sz="0" w:space="0" w:color="auto"/>
        <w:bottom w:val="none" w:sz="0" w:space="0" w:color="auto"/>
        <w:right w:val="none" w:sz="0" w:space="0" w:color="auto"/>
      </w:divBdr>
      <w:divsChild>
        <w:div w:id="1566184602">
          <w:marLeft w:val="0"/>
          <w:marRight w:val="0"/>
          <w:marTop w:val="60"/>
          <w:marBottom w:val="180"/>
          <w:divBdr>
            <w:top w:val="none" w:sz="0" w:space="0" w:color="auto"/>
            <w:left w:val="none" w:sz="0" w:space="0" w:color="auto"/>
            <w:bottom w:val="none" w:sz="0" w:space="0" w:color="auto"/>
            <w:right w:val="none" w:sz="0" w:space="0" w:color="auto"/>
          </w:divBdr>
        </w:div>
      </w:divsChild>
    </w:div>
    <w:div w:id="1826775395">
      <w:marLeft w:val="0"/>
      <w:marRight w:val="0"/>
      <w:marTop w:val="180"/>
      <w:marBottom w:val="180"/>
      <w:divBdr>
        <w:top w:val="none" w:sz="0" w:space="0" w:color="auto"/>
        <w:left w:val="none" w:sz="0" w:space="0" w:color="auto"/>
        <w:bottom w:val="none" w:sz="0" w:space="0" w:color="auto"/>
        <w:right w:val="none" w:sz="0" w:space="0" w:color="auto"/>
      </w:divBdr>
    </w:div>
    <w:div w:id="1827090946">
      <w:marLeft w:val="0"/>
      <w:marRight w:val="0"/>
      <w:marTop w:val="0"/>
      <w:marBottom w:val="0"/>
      <w:divBdr>
        <w:top w:val="none" w:sz="0" w:space="0" w:color="auto"/>
        <w:left w:val="none" w:sz="0" w:space="0" w:color="auto"/>
        <w:bottom w:val="none" w:sz="0" w:space="0" w:color="auto"/>
        <w:right w:val="none" w:sz="0" w:space="0" w:color="auto"/>
      </w:divBdr>
      <w:divsChild>
        <w:div w:id="149180461">
          <w:marLeft w:val="0"/>
          <w:marRight w:val="0"/>
          <w:marTop w:val="0"/>
          <w:marBottom w:val="0"/>
          <w:divBdr>
            <w:top w:val="none" w:sz="0" w:space="0" w:color="auto"/>
            <w:left w:val="none" w:sz="0" w:space="0" w:color="auto"/>
            <w:bottom w:val="none" w:sz="0" w:space="0" w:color="auto"/>
            <w:right w:val="none" w:sz="0" w:space="0" w:color="auto"/>
          </w:divBdr>
          <w:divsChild>
            <w:div w:id="13695242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8010626">
      <w:marLeft w:val="0"/>
      <w:marRight w:val="0"/>
      <w:marTop w:val="180"/>
      <w:marBottom w:val="60"/>
      <w:divBdr>
        <w:top w:val="none" w:sz="0" w:space="0" w:color="auto"/>
        <w:left w:val="none" w:sz="0" w:space="0" w:color="auto"/>
        <w:bottom w:val="none" w:sz="0" w:space="0" w:color="auto"/>
        <w:right w:val="none" w:sz="0" w:space="0" w:color="auto"/>
      </w:divBdr>
      <w:divsChild>
        <w:div w:id="1223371232">
          <w:marLeft w:val="0"/>
          <w:marRight w:val="0"/>
          <w:marTop w:val="0"/>
          <w:marBottom w:val="0"/>
          <w:divBdr>
            <w:top w:val="none" w:sz="0" w:space="0" w:color="auto"/>
            <w:left w:val="none" w:sz="0" w:space="0" w:color="auto"/>
            <w:bottom w:val="none" w:sz="0" w:space="0" w:color="auto"/>
            <w:right w:val="none" w:sz="0" w:space="0" w:color="auto"/>
          </w:divBdr>
        </w:div>
      </w:divsChild>
    </w:div>
    <w:div w:id="1828203611">
      <w:marLeft w:val="0"/>
      <w:marRight w:val="0"/>
      <w:marTop w:val="180"/>
      <w:marBottom w:val="180"/>
      <w:divBdr>
        <w:top w:val="none" w:sz="0" w:space="0" w:color="auto"/>
        <w:left w:val="none" w:sz="0" w:space="0" w:color="auto"/>
        <w:bottom w:val="none" w:sz="0" w:space="0" w:color="auto"/>
        <w:right w:val="none" w:sz="0" w:space="0" w:color="auto"/>
      </w:divBdr>
    </w:div>
    <w:div w:id="1828470144">
      <w:marLeft w:val="0"/>
      <w:marRight w:val="0"/>
      <w:marTop w:val="180"/>
      <w:marBottom w:val="60"/>
      <w:divBdr>
        <w:top w:val="none" w:sz="0" w:space="0" w:color="auto"/>
        <w:left w:val="none" w:sz="0" w:space="0" w:color="auto"/>
        <w:bottom w:val="none" w:sz="0" w:space="0" w:color="auto"/>
        <w:right w:val="none" w:sz="0" w:space="0" w:color="auto"/>
      </w:divBdr>
    </w:div>
    <w:div w:id="1828476979">
      <w:marLeft w:val="0"/>
      <w:marRight w:val="0"/>
      <w:marTop w:val="180"/>
      <w:marBottom w:val="180"/>
      <w:divBdr>
        <w:top w:val="none" w:sz="0" w:space="0" w:color="auto"/>
        <w:left w:val="none" w:sz="0" w:space="0" w:color="auto"/>
        <w:bottom w:val="none" w:sz="0" w:space="0" w:color="auto"/>
        <w:right w:val="none" w:sz="0" w:space="0" w:color="auto"/>
      </w:divBdr>
    </w:div>
    <w:div w:id="1829324656">
      <w:marLeft w:val="0"/>
      <w:marRight w:val="0"/>
      <w:marTop w:val="0"/>
      <w:marBottom w:val="0"/>
      <w:divBdr>
        <w:top w:val="none" w:sz="0" w:space="0" w:color="auto"/>
        <w:left w:val="none" w:sz="0" w:space="0" w:color="auto"/>
        <w:bottom w:val="none" w:sz="0" w:space="0" w:color="auto"/>
        <w:right w:val="none" w:sz="0" w:space="0" w:color="auto"/>
      </w:divBdr>
      <w:divsChild>
        <w:div w:id="895895560">
          <w:marLeft w:val="0"/>
          <w:marRight w:val="0"/>
          <w:marTop w:val="0"/>
          <w:marBottom w:val="0"/>
          <w:divBdr>
            <w:top w:val="none" w:sz="0" w:space="0" w:color="auto"/>
            <w:left w:val="none" w:sz="0" w:space="0" w:color="auto"/>
            <w:bottom w:val="none" w:sz="0" w:space="0" w:color="auto"/>
            <w:right w:val="none" w:sz="0" w:space="0" w:color="auto"/>
          </w:divBdr>
          <w:divsChild>
            <w:div w:id="7295710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30518170">
      <w:marLeft w:val="0"/>
      <w:marRight w:val="0"/>
      <w:marTop w:val="0"/>
      <w:marBottom w:val="0"/>
      <w:divBdr>
        <w:top w:val="none" w:sz="0" w:space="0" w:color="auto"/>
        <w:left w:val="none" w:sz="0" w:space="0" w:color="auto"/>
        <w:bottom w:val="none" w:sz="0" w:space="0" w:color="auto"/>
        <w:right w:val="none" w:sz="0" w:space="0" w:color="auto"/>
      </w:divBdr>
    </w:div>
    <w:div w:id="1830751483">
      <w:marLeft w:val="0"/>
      <w:marRight w:val="0"/>
      <w:marTop w:val="180"/>
      <w:marBottom w:val="180"/>
      <w:divBdr>
        <w:top w:val="none" w:sz="0" w:space="0" w:color="auto"/>
        <w:left w:val="none" w:sz="0" w:space="0" w:color="auto"/>
        <w:bottom w:val="none" w:sz="0" w:space="0" w:color="auto"/>
        <w:right w:val="none" w:sz="0" w:space="0" w:color="auto"/>
      </w:divBdr>
    </w:div>
    <w:div w:id="1830829218">
      <w:marLeft w:val="0"/>
      <w:marRight w:val="0"/>
      <w:marTop w:val="60"/>
      <w:marBottom w:val="60"/>
      <w:divBdr>
        <w:top w:val="none" w:sz="0" w:space="0" w:color="auto"/>
        <w:left w:val="none" w:sz="0" w:space="0" w:color="auto"/>
        <w:bottom w:val="none" w:sz="0" w:space="0" w:color="auto"/>
        <w:right w:val="none" w:sz="0" w:space="0" w:color="auto"/>
      </w:divBdr>
    </w:div>
    <w:div w:id="1831173273">
      <w:marLeft w:val="0"/>
      <w:marRight w:val="0"/>
      <w:marTop w:val="180"/>
      <w:marBottom w:val="180"/>
      <w:divBdr>
        <w:top w:val="none" w:sz="0" w:space="0" w:color="auto"/>
        <w:left w:val="none" w:sz="0" w:space="0" w:color="auto"/>
        <w:bottom w:val="none" w:sz="0" w:space="0" w:color="auto"/>
        <w:right w:val="none" w:sz="0" w:space="0" w:color="auto"/>
      </w:divBdr>
    </w:div>
    <w:div w:id="1834831703">
      <w:marLeft w:val="0"/>
      <w:marRight w:val="0"/>
      <w:marTop w:val="180"/>
      <w:marBottom w:val="180"/>
      <w:divBdr>
        <w:top w:val="none" w:sz="0" w:space="0" w:color="auto"/>
        <w:left w:val="none" w:sz="0" w:space="0" w:color="auto"/>
        <w:bottom w:val="none" w:sz="0" w:space="0" w:color="auto"/>
        <w:right w:val="none" w:sz="0" w:space="0" w:color="auto"/>
      </w:divBdr>
    </w:div>
    <w:div w:id="1834838733">
      <w:marLeft w:val="0"/>
      <w:marRight w:val="0"/>
      <w:marTop w:val="180"/>
      <w:marBottom w:val="60"/>
      <w:divBdr>
        <w:top w:val="none" w:sz="0" w:space="0" w:color="auto"/>
        <w:left w:val="none" w:sz="0" w:space="0" w:color="auto"/>
        <w:bottom w:val="none" w:sz="0" w:space="0" w:color="auto"/>
        <w:right w:val="none" w:sz="0" w:space="0" w:color="auto"/>
      </w:divBdr>
    </w:div>
    <w:div w:id="1835368291">
      <w:marLeft w:val="0"/>
      <w:marRight w:val="0"/>
      <w:marTop w:val="180"/>
      <w:marBottom w:val="180"/>
      <w:divBdr>
        <w:top w:val="none" w:sz="0" w:space="0" w:color="auto"/>
        <w:left w:val="none" w:sz="0" w:space="0" w:color="auto"/>
        <w:bottom w:val="none" w:sz="0" w:space="0" w:color="auto"/>
        <w:right w:val="none" w:sz="0" w:space="0" w:color="auto"/>
      </w:divBdr>
    </w:div>
    <w:div w:id="1836261817">
      <w:marLeft w:val="0"/>
      <w:marRight w:val="0"/>
      <w:marTop w:val="180"/>
      <w:marBottom w:val="180"/>
      <w:divBdr>
        <w:top w:val="none" w:sz="0" w:space="0" w:color="auto"/>
        <w:left w:val="none" w:sz="0" w:space="0" w:color="auto"/>
        <w:bottom w:val="none" w:sz="0" w:space="0" w:color="auto"/>
        <w:right w:val="none" w:sz="0" w:space="0" w:color="auto"/>
      </w:divBdr>
    </w:div>
    <w:div w:id="1837112929">
      <w:marLeft w:val="0"/>
      <w:marRight w:val="0"/>
      <w:marTop w:val="180"/>
      <w:marBottom w:val="180"/>
      <w:divBdr>
        <w:top w:val="none" w:sz="0" w:space="0" w:color="auto"/>
        <w:left w:val="none" w:sz="0" w:space="0" w:color="auto"/>
        <w:bottom w:val="none" w:sz="0" w:space="0" w:color="auto"/>
        <w:right w:val="none" w:sz="0" w:space="0" w:color="auto"/>
      </w:divBdr>
    </w:div>
    <w:div w:id="1846438793">
      <w:marLeft w:val="0"/>
      <w:marRight w:val="0"/>
      <w:marTop w:val="0"/>
      <w:marBottom w:val="15"/>
      <w:divBdr>
        <w:top w:val="none" w:sz="0" w:space="0" w:color="auto"/>
        <w:left w:val="none" w:sz="0" w:space="0" w:color="auto"/>
        <w:bottom w:val="none" w:sz="0" w:space="0" w:color="auto"/>
        <w:right w:val="none" w:sz="0" w:space="0" w:color="auto"/>
      </w:divBdr>
    </w:div>
    <w:div w:id="1846941979">
      <w:marLeft w:val="0"/>
      <w:marRight w:val="0"/>
      <w:marTop w:val="60"/>
      <w:marBottom w:val="60"/>
      <w:divBdr>
        <w:top w:val="none" w:sz="0" w:space="0" w:color="auto"/>
        <w:left w:val="none" w:sz="0" w:space="0" w:color="auto"/>
        <w:bottom w:val="none" w:sz="0" w:space="0" w:color="auto"/>
        <w:right w:val="none" w:sz="0" w:space="0" w:color="auto"/>
      </w:divBdr>
    </w:div>
    <w:div w:id="1847547829">
      <w:marLeft w:val="0"/>
      <w:marRight w:val="0"/>
      <w:marTop w:val="180"/>
      <w:marBottom w:val="180"/>
      <w:divBdr>
        <w:top w:val="none" w:sz="0" w:space="0" w:color="auto"/>
        <w:left w:val="none" w:sz="0" w:space="0" w:color="auto"/>
        <w:bottom w:val="none" w:sz="0" w:space="0" w:color="auto"/>
        <w:right w:val="none" w:sz="0" w:space="0" w:color="auto"/>
      </w:divBdr>
    </w:div>
    <w:div w:id="1847939587">
      <w:marLeft w:val="0"/>
      <w:marRight w:val="0"/>
      <w:marTop w:val="240"/>
      <w:marBottom w:val="180"/>
      <w:divBdr>
        <w:top w:val="none" w:sz="0" w:space="0" w:color="auto"/>
        <w:left w:val="none" w:sz="0" w:space="0" w:color="auto"/>
        <w:bottom w:val="none" w:sz="0" w:space="0" w:color="auto"/>
        <w:right w:val="none" w:sz="0" w:space="0" w:color="auto"/>
      </w:divBdr>
    </w:div>
    <w:div w:id="1849980386">
      <w:marLeft w:val="0"/>
      <w:marRight w:val="0"/>
      <w:marTop w:val="180"/>
      <w:marBottom w:val="180"/>
      <w:divBdr>
        <w:top w:val="none" w:sz="0" w:space="0" w:color="auto"/>
        <w:left w:val="none" w:sz="0" w:space="0" w:color="auto"/>
        <w:bottom w:val="none" w:sz="0" w:space="0" w:color="auto"/>
        <w:right w:val="none" w:sz="0" w:space="0" w:color="auto"/>
      </w:divBdr>
    </w:div>
    <w:div w:id="1850900238">
      <w:marLeft w:val="0"/>
      <w:marRight w:val="0"/>
      <w:marTop w:val="180"/>
      <w:marBottom w:val="180"/>
      <w:divBdr>
        <w:top w:val="none" w:sz="0" w:space="0" w:color="auto"/>
        <w:left w:val="none" w:sz="0" w:space="0" w:color="auto"/>
        <w:bottom w:val="none" w:sz="0" w:space="0" w:color="auto"/>
        <w:right w:val="none" w:sz="0" w:space="0" w:color="auto"/>
      </w:divBdr>
    </w:div>
    <w:div w:id="1851524115">
      <w:marLeft w:val="0"/>
      <w:marRight w:val="0"/>
      <w:marTop w:val="0"/>
      <w:marBottom w:val="0"/>
      <w:divBdr>
        <w:top w:val="none" w:sz="0" w:space="0" w:color="auto"/>
        <w:left w:val="none" w:sz="0" w:space="0" w:color="auto"/>
        <w:bottom w:val="none" w:sz="0" w:space="0" w:color="auto"/>
        <w:right w:val="none" w:sz="0" w:space="0" w:color="auto"/>
      </w:divBdr>
    </w:div>
    <w:div w:id="1852987293">
      <w:marLeft w:val="0"/>
      <w:marRight w:val="0"/>
      <w:marTop w:val="180"/>
      <w:marBottom w:val="180"/>
      <w:divBdr>
        <w:top w:val="none" w:sz="0" w:space="0" w:color="auto"/>
        <w:left w:val="none" w:sz="0" w:space="0" w:color="auto"/>
        <w:bottom w:val="none" w:sz="0" w:space="0" w:color="auto"/>
        <w:right w:val="none" w:sz="0" w:space="0" w:color="auto"/>
      </w:divBdr>
    </w:div>
    <w:div w:id="1853642025">
      <w:marLeft w:val="0"/>
      <w:marRight w:val="0"/>
      <w:marTop w:val="60"/>
      <w:marBottom w:val="60"/>
      <w:divBdr>
        <w:top w:val="none" w:sz="0" w:space="0" w:color="auto"/>
        <w:left w:val="none" w:sz="0" w:space="0" w:color="auto"/>
        <w:bottom w:val="none" w:sz="0" w:space="0" w:color="auto"/>
        <w:right w:val="none" w:sz="0" w:space="0" w:color="auto"/>
      </w:divBdr>
    </w:div>
    <w:div w:id="1853717865">
      <w:marLeft w:val="0"/>
      <w:marRight w:val="0"/>
      <w:marTop w:val="180"/>
      <w:marBottom w:val="180"/>
      <w:divBdr>
        <w:top w:val="none" w:sz="0" w:space="0" w:color="auto"/>
        <w:left w:val="none" w:sz="0" w:space="0" w:color="auto"/>
        <w:bottom w:val="none" w:sz="0" w:space="0" w:color="auto"/>
        <w:right w:val="none" w:sz="0" w:space="0" w:color="auto"/>
      </w:divBdr>
    </w:div>
    <w:div w:id="1854101266">
      <w:marLeft w:val="0"/>
      <w:marRight w:val="0"/>
      <w:marTop w:val="100"/>
      <w:marBottom w:val="0"/>
      <w:divBdr>
        <w:top w:val="none" w:sz="0" w:space="0" w:color="auto"/>
        <w:left w:val="none" w:sz="0" w:space="0" w:color="auto"/>
        <w:bottom w:val="none" w:sz="0" w:space="0" w:color="auto"/>
        <w:right w:val="none" w:sz="0" w:space="0" w:color="auto"/>
      </w:divBdr>
      <w:divsChild>
        <w:div w:id="1458599425">
          <w:marLeft w:val="0"/>
          <w:marRight w:val="0"/>
          <w:marTop w:val="0"/>
          <w:marBottom w:val="0"/>
          <w:divBdr>
            <w:top w:val="none" w:sz="0" w:space="0" w:color="auto"/>
            <w:left w:val="none" w:sz="0" w:space="0" w:color="auto"/>
            <w:bottom w:val="none" w:sz="0" w:space="0" w:color="auto"/>
            <w:right w:val="none" w:sz="0" w:space="0" w:color="auto"/>
          </w:divBdr>
        </w:div>
        <w:div w:id="1073041639">
          <w:marLeft w:val="0"/>
          <w:marRight w:val="0"/>
          <w:marTop w:val="0"/>
          <w:marBottom w:val="0"/>
          <w:divBdr>
            <w:top w:val="none" w:sz="0" w:space="0" w:color="auto"/>
            <w:left w:val="none" w:sz="0" w:space="0" w:color="auto"/>
            <w:bottom w:val="none" w:sz="0" w:space="0" w:color="auto"/>
            <w:right w:val="none" w:sz="0" w:space="0" w:color="auto"/>
          </w:divBdr>
        </w:div>
      </w:divsChild>
    </w:div>
    <w:div w:id="1854416568">
      <w:marLeft w:val="0"/>
      <w:marRight w:val="0"/>
      <w:marTop w:val="180"/>
      <w:marBottom w:val="180"/>
      <w:divBdr>
        <w:top w:val="none" w:sz="0" w:space="0" w:color="auto"/>
        <w:left w:val="none" w:sz="0" w:space="0" w:color="auto"/>
        <w:bottom w:val="none" w:sz="0" w:space="0" w:color="auto"/>
        <w:right w:val="none" w:sz="0" w:space="0" w:color="auto"/>
      </w:divBdr>
    </w:div>
    <w:div w:id="1854490032">
      <w:marLeft w:val="0"/>
      <w:marRight w:val="0"/>
      <w:marTop w:val="180"/>
      <w:marBottom w:val="180"/>
      <w:divBdr>
        <w:top w:val="none" w:sz="0" w:space="0" w:color="auto"/>
        <w:left w:val="none" w:sz="0" w:space="0" w:color="auto"/>
        <w:bottom w:val="none" w:sz="0" w:space="0" w:color="auto"/>
        <w:right w:val="none" w:sz="0" w:space="0" w:color="auto"/>
      </w:divBdr>
    </w:div>
    <w:div w:id="1855145507">
      <w:marLeft w:val="0"/>
      <w:marRight w:val="0"/>
      <w:marTop w:val="180"/>
      <w:marBottom w:val="180"/>
      <w:divBdr>
        <w:top w:val="none" w:sz="0" w:space="0" w:color="auto"/>
        <w:left w:val="none" w:sz="0" w:space="0" w:color="auto"/>
        <w:bottom w:val="none" w:sz="0" w:space="0" w:color="auto"/>
        <w:right w:val="none" w:sz="0" w:space="0" w:color="auto"/>
      </w:divBdr>
    </w:div>
    <w:div w:id="1861772628">
      <w:marLeft w:val="0"/>
      <w:marRight w:val="0"/>
      <w:marTop w:val="0"/>
      <w:marBottom w:val="0"/>
      <w:divBdr>
        <w:top w:val="none" w:sz="0" w:space="0" w:color="auto"/>
        <w:left w:val="none" w:sz="0" w:space="0" w:color="auto"/>
        <w:bottom w:val="none" w:sz="0" w:space="0" w:color="auto"/>
        <w:right w:val="none" w:sz="0" w:space="0" w:color="auto"/>
      </w:divBdr>
    </w:div>
    <w:div w:id="1862550164">
      <w:marLeft w:val="0"/>
      <w:marRight w:val="0"/>
      <w:marTop w:val="180"/>
      <w:marBottom w:val="180"/>
      <w:divBdr>
        <w:top w:val="none" w:sz="0" w:space="0" w:color="auto"/>
        <w:left w:val="none" w:sz="0" w:space="0" w:color="auto"/>
        <w:bottom w:val="none" w:sz="0" w:space="0" w:color="auto"/>
        <w:right w:val="none" w:sz="0" w:space="0" w:color="auto"/>
      </w:divBdr>
    </w:div>
    <w:div w:id="1862670321">
      <w:marLeft w:val="0"/>
      <w:marRight w:val="0"/>
      <w:marTop w:val="60"/>
      <w:marBottom w:val="60"/>
      <w:divBdr>
        <w:top w:val="none" w:sz="0" w:space="0" w:color="auto"/>
        <w:left w:val="none" w:sz="0" w:space="0" w:color="auto"/>
        <w:bottom w:val="none" w:sz="0" w:space="0" w:color="auto"/>
        <w:right w:val="none" w:sz="0" w:space="0" w:color="auto"/>
      </w:divBdr>
      <w:divsChild>
        <w:div w:id="1034188468">
          <w:marLeft w:val="0"/>
          <w:marRight w:val="0"/>
          <w:marTop w:val="0"/>
          <w:marBottom w:val="0"/>
          <w:divBdr>
            <w:top w:val="none" w:sz="0" w:space="0" w:color="auto"/>
            <w:left w:val="none" w:sz="0" w:space="0" w:color="auto"/>
            <w:bottom w:val="none" w:sz="0" w:space="0" w:color="auto"/>
            <w:right w:val="none" w:sz="0" w:space="0" w:color="auto"/>
          </w:divBdr>
        </w:div>
        <w:div w:id="2093233525">
          <w:marLeft w:val="0"/>
          <w:marRight w:val="0"/>
          <w:marTop w:val="0"/>
          <w:marBottom w:val="0"/>
          <w:divBdr>
            <w:top w:val="none" w:sz="0" w:space="0" w:color="auto"/>
            <w:left w:val="none" w:sz="0" w:space="0" w:color="auto"/>
            <w:bottom w:val="none" w:sz="0" w:space="0" w:color="auto"/>
            <w:right w:val="none" w:sz="0" w:space="0" w:color="auto"/>
          </w:divBdr>
        </w:div>
        <w:div w:id="1805271679">
          <w:marLeft w:val="0"/>
          <w:marRight w:val="0"/>
          <w:marTop w:val="0"/>
          <w:marBottom w:val="0"/>
          <w:divBdr>
            <w:top w:val="none" w:sz="0" w:space="0" w:color="auto"/>
            <w:left w:val="none" w:sz="0" w:space="0" w:color="auto"/>
            <w:bottom w:val="none" w:sz="0" w:space="0" w:color="auto"/>
            <w:right w:val="none" w:sz="0" w:space="0" w:color="auto"/>
          </w:divBdr>
        </w:div>
        <w:div w:id="830172233">
          <w:marLeft w:val="0"/>
          <w:marRight w:val="0"/>
          <w:marTop w:val="0"/>
          <w:marBottom w:val="0"/>
          <w:divBdr>
            <w:top w:val="none" w:sz="0" w:space="0" w:color="auto"/>
            <w:left w:val="none" w:sz="0" w:space="0" w:color="auto"/>
            <w:bottom w:val="none" w:sz="0" w:space="0" w:color="auto"/>
            <w:right w:val="none" w:sz="0" w:space="0" w:color="auto"/>
          </w:divBdr>
        </w:div>
        <w:div w:id="1292712101">
          <w:marLeft w:val="0"/>
          <w:marRight w:val="0"/>
          <w:marTop w:val="0"/>
          <w:marBottom w:val="0"/>
          <w:divBdr>
            <w:top w:val="none" w:sz="0" w:space="0" w:color="auto"/>
            <w:left w:val="none" w:sz="0" w:space="0" w:color="auto"/>
            <w:bottom w:val="none" w:sz="0" w:space="0" w:color="auto"/>
            <w:right w:val="none" w:sz="0" w:space="0" w:color="auto"/>
          </w:divBdr>
        </w:div>
        <w:div w:id="544215785">
          <w:marLeft w:val="0"/>
          <w:marRight w:val="0"/>
          <w:marTop w:val="0"/>
          <w:marBottom w:val="0"/>
          <w:divBdr>
            <w:top w:val="none" w:sz="0" w:space="0" w:color="auto"/>
            <w:left w:val="none" w:sz="0" w:space="0" w:color="auto"/>
            <w:bottom w:val="none" w:sz="0" w:space="0" w:color="auto"/>
            <w:right w:val="none" w:sz="0" w:space="0" w:color="auto"/>
          </w:divBdr>
        </w:div>
        <w:div w:id="237441627">
          <w:marLeft w:val="0"/>
          <w:marRight w:val="0"/>
          <w:marTop w:val="0"/>
          <w:marBottom w:val="0"/>
          <w:divBdr>
            <w:top w:val="none" w:sz="0" w:space="0" w:color="auto"/>
            <w:left w:val="none" w:sz="0" w:space="0" w:color="auto"/>
            <w:bottom w:val="none" w:sz="0" w:space="0" w:color="auto"/>
            <w:right w:val="none" w:sz="0" w:space="0" w:color="auto"/>
          </w:divBdr>
        </w:div>
        <w:div w:id="972448506">
          <w:marLeft w:val="0"/>
          <w:marRight w:val="0"/>
          <w:marTop w:val="0"/>
          <w:marBottom w:val="0"/>
          <w:divBdr>
            <w:top w:val="none" w:sz="0" w:space="0" w:color="auto"/>
            <w:left w:val="none" w:sz="0" w:space="0" w:color="auto"/>
            <w:bottom w:val="none" w:sz="0" w:space="0" w:color="auto"/>
            <w:right w:val="none" w:sz="0" w:space="0" w:color="auto"/>
          </w:divBdr>
        </w:div>
        <w:div w:id="1143472954">
          <w:marLeft w:val="0"/>
          <w:marRight w:val="0"/>
          <w:marTop w:val="0"/>
          <w:marBottom w:val="0"/>
          <w:divBdr>
            <w:top w:val="none" w:sz="0" w:space="0" w:color="auto"/>
            <w:left w:val="none" w:sz="0" w:space="0" w:color="auto"/>
            <w:bottom w:val="none" w:sz="0" w:space="0" w:color="auto"/>
            <w:right w:val="none" w:sz="0" w:space="0" w:color="auto"/>
          </w:divBdr>
        </w:div>
      </w:divsChild>
    </w:div>
    <w:div w:id="1865098745">
      <w:marLeft w:val="0"/>
      <w:marRight w:val="0"/>
      <w:marTop w:val="0"/>
      <w:marBottom w:val="0"/>
      <w:divBdr>
        <w:top w:val="none" w:sz="0" w:space="0" w:color="auto"/>
        <w:left w:val="none" w:sz="0" w:space="0" w:color="auto"/>
        <w:bottom w:val="none" w:sz="0" w:space="0" w:color="auto"/>
        <w:right w:val="none" w:sz="0" w:space="0" w:color="auto"/>
      </w:divBdr>
    </w:div>
    <w:div w:id="1865245237">
      <w:marLeft w:val="0"/>
      <w:marRight w:val="0"/>
      <w:marTop w:val="180"/>
      <w:marBottom w:val="180"/>
      <w:divBdr>
        <w:top w:val="none" w:sz="0" w:space="0" w:color="auto"/>
        <w:left w:val="none" w:sz="0" w:space="0" w:color="auto"/>
        <w:bottom w:val="none" w:sz="0" w:space="0" w:color="auto"/>
        <w:right w:val="none" w:sz="0" w:space="0" w:color="auto"/>
      </w:divBdr>
    </w:div>
    <w:div w:id="1866744195">
      <w:marLeft w:val="0"/>
      <w:marRight w:val="0"/>
      <w:marTop w:val="180"/>
      <w:marBottom w:val="0"/>
      <w:divBdr>
        <w:top w:val="none" w:sz="0" w:space="0" w:color="auto"/>
        <w:left w:val="none" w:sz="0" w:space="0" w:color="auto"/>
        <w:bottom w:val="none" w:sz="0" w:space="0" w:color="auto"/>
        <w:right w:val="none" w:sz="0" w:space="0" w:color="auto"/>
      </w:divBdr>
    </w:div>
    <w:div w:id="1867405109">
      <w:marLeft w:val="0"/>
      <w:marRight w:val="0"/>
      <w:marTop w:val="180"/>
      <w:marBottom w:val="180"/>
      <w:divBdr>
        <w:top w:val="none" w:sz="0" w:space="0" w:color="auto"/>
        <w:left w:val="none" w:sz="0" w:space="0" w:color="auto"/>
        <w:bottom w:val="none" w:sz="0" w:space="0" w:color="auto"/>
        <w:right w:val="none" w:sz="0" w:space="0" w:color="auto"/>
      </w:divBdr>
    </w:div>
    <w:div w:id="1869949658">
      <w:marLeft w:val="0"/>
      <w:marRight w:val="0"/>
      <w:marTop w:val="60"/>
      <w:marBottom w:val="60"/>
      <w:divBdr>
        <w:top w:val="none" w:sz="0" w:space="0" w:color="auto"/>
        <w:left w:val="none" w:sz="0" w:space="0" w:color="auto"/>
        <w:bottom w:val="none" w:sz="0" w:space="0" w:color="auto"/>
        <w:right w:val="none" w:sz="0" w:space="0" w:color="auto"/>
      </w:divBdr>
    </w:div>
    <w:div w:id="1871340138">
      <w:marLeft w:val="0"/>
      <w:marRight w:val="0"/>
      <w:marTop w:val="180"/>
      <w:marBottom w:val="0"/>
      <w:divBdr>
        <w:top w:val="none" w:sz="0" w:space="0" w:color="auto"/>
        <w:left w:val="none" w:sz="0" w:space="0" w:color="auto"/>
        <w:bottom w:val="none" w:sz="0" w:space="0" w:color="auto"/>
        <w:right w:val="none" w:sz="0" w:space="0" w:color="auto"/>
      </w:divBdr>
    </w:div>
    <w:div w:id="1874801568">
      <w:marLeft w:val="0"/>
      <w:marRight w:val="0"/>
      <w:marTop w:val="60"/>
      <w:marBottom w:val="60"/>
      <w:divBdr>
        <w:top w:val="none" w:sz="0" w:space="0" w:color="auto"/>
        <w:left w:val="none" w:sz="0" w:space="0" w:color="auto"/>
        <w:bottom w:val="none" w:sz="0" w:space="0" w:color="auto"/>
        <w:right w:val="none" w:sz="0" w:space="0" w:color="auto"/>
      </w:divBdr>
    </w:div>
    <w:div w:id="1874883837">
      <w:marLeft w:val="0"/>
      <w:marRight w:val="0"/>
      <w:marTop w:val="0"/>
      <w:marBottom w:val="0"/>
      <w:divBdr>
        <w:top w:val="none" w:sz="0" w:space="0" w:color="auto"/>
        <w:left w:val="none" w:sz="0" w:space="0" w:color="auto"/>
        <w:bottom w:val="none" w:sz="0" w:space="0" w:color="auto"/>
        <w:right w:val="none" w:sz="0" w:space="0" w:color="auto"/>
      </w:divBdr>
      <w:divsChild>
        <w:div w:id="592009382">
          <w:marLeft w:val="0"/>
          <w:marRight w:val="0"/>
          <w:marTop w:val="60"/>
          <w:marBottom w:val="180"/>
          <w:divBdr>
            <w:top w:val="none" w:sz="0" w:space="0" w:color="auto"/>
            <w:left w:val="none" w:sz="0" w:space="0" w:color="auto"/>
            <w:bottom w:val="none" w:sz="0" w:space="0" w:color="auto"/>
            <w:right w:val="none" w:sz="0" w:space="0" w:color="auto"/>
          </w:divBdr>
        </w:div>
      </w:divsChild>
    </w:div>
    <w:div w:id="1877346446">
      <w:marLeft w:val="0"/>
      <w:marRight w:val="0"/>
      <w:marTop w:val="0"/>
      <w:marBottom w:val="0"/>
      <w:divBdr>
        <w:top w:val="none" w:sz="0" w:space="0" w:color="auto"/>
        <w:left w:val="none" w:sz="0" w:space="0" w:color="auto"/>
        <w:bottom w:val="none" w:sz="0" w:space="0" w:color="auto"/>
        <w:right w:val="none" w:sz="0" w:space="0" w:color="auto"/>
      </w:divBdr>
    </w:div>
    <w:div w:id="1878661649">
      <w:marLeft w:val="0"/>
      <w:marRight w:val="0"/>
      <w:marTop w:val="180"/>
      <w:marBottom w:val="180"/>
      <w:divBdr>
        <w:top w:val="none" w:sz="0" w:space="0" w:color="auto"/>
        <w:left w:val="none" w:sz="0" w:space="0" w:color="auto"/>
        <w:bottom w:val="none" w:sz="0" w:space="0" w:color="auto"/>
        <w:right w:val="none" w:sz="0" w:space="0" w:color="auto"/>
      </w:divBdr>
    </w:div>
    <w:div w:id="1878927710">
      <w:marLeft w:val="0"/>
      <w:marRight w:val="0"/>
      <w:marTop w:val="180"/>
      <w:marBottom w:val="180"/>
      <w:divBdr>
        <w:top w:val="none" w:sz="0" w:space="0" w:color="auto"/>
        <w:left w:val="none" w:sz="0" w:space="0" w:color="auto"/>
        <w:bottom w:val="none" w:sz="0" w:space="0" w:color="auto"/>
        <w:right w:val="none" w:sz="0" w:space="0" w:color="auto"/>
      </w:divBdr>
    </w:div>
    <w:div w:id="1882791266">
      <w:marLeft w:val="0"/>
      <w:marRight w:val="0"/>
      <w:marTop w:val="180"/>
      <w:marBottom w:val="180"/>
      <w:divBdr>
        <w:top w:val="none" w:sz="0" w:space="0" w:color="auto"/>
        <w:left w:val="none" w:sz="0" w:space="0" w:color="auto"/>
        <w:bottom w:val="none" w:sz="0" w:space="0" w:color="auto"/>
        <w:right w:val="none" w:sz="0" w:space="0" w:color="auto"/>
      </w:divBdr>
    </w:div>
    <w:div w:id="1883050212">
      <w:marLeft w:val="0"/>
      <w:marRight w:val="0"/>
      <w:marTop w:val="60"/>
      <w:marBottom w:val="60"/>
      <w:divBdr>
        <w:top w:val="none" w:sz="0" w:space="0" w:color="auto"/>
        <w:left w:val="none" w:sz="0" w:space="0" w:color="auto"/>
        <w:bottom w:val="none" w:sz="0" w:space="0" w:color="auto"/>
        <w:right w:val="none" w:sz="0" w:space="0" w:color="auto"/>
      </w:divBdr>
    </w:div>
    <w:div w:id="1884055410">
      <w:marLeft w:val="0"/>
      <w:marRight w:val="0"/>
      <w:marTop w:val="60"/>
      <w:marBottom w:val="60"/>
      <w:divBdr>
        <w:top w:val="none" w:sz="0" w:space="0" w:color="auto"/>
        <w:left w:val="none" w:sz="0" w:space="0" w:color="auto"/>
        <w:bottom w:val="none" w:sz="0" w:space="0" w:color="auto"/>
        <w:right w:val="none" w:sz="0" w:space="0" w:color="auto"/>
      </w:divBdr>
    </w:div>
    <w:div w:id="1885291870">
      <w:marLeft w:val="0"/>
      <w:marRight w:val="0"/>
      <w:marTop w:val="180"/>
      <w:marBottom w:val="180"/>
      <w:divBdr>
        <w:top w:val="none" w:sz="0" w:space="0" w:color="auto"/>
        <w:left w:val="none" w:sz="0" w:space="0" w:color="auto"/>
        <w:bottom w:val="none" w:sz="0" w:space="0" w:color="auto"/>
        <w:right w:val="none" w:sz="0" w:space="0" w:color="auto"/>
      </w:divBdr>
    </w:div>
    <w:div w:id="1885604206">
      <w:marLeft w:val="0"/>
      <w:marRight w:val="0"/>
      <w:marTop w:val="180"/>
      <w:marBottom w:val="180"/>
      <w:divBdr>
        <w:top w:val="none" w:sz="0" w:space="0" w:color="auto"/>
        <w:left w:val="none" w:sz="0" w:space="0" w:color="auto"/>
        <w:bottom w:val="none" w:sz="0" w:space="0" w:color="auto"/>
        <w:right w:val="none" w:sz="0" w:space="0" w:color="auto"/>
      </w:divBdr>
    </w:div>
    <w:div w:id="1887250876">
      <w:marLeft w:val="0"/>
      <w:marRight w:val="0"/>
      <w:marTop w:val="60"/>
      <w:marBottom w:val="60"/>
      <w:divBdr>
        <w:top w:val="none" w:sz="0" w:space="0" w:color="auto"/>
        <w:left w:val="none" w:sz="0" w:space="0" w:color="auto"/>
        <w:bottom w:val="none" w:sz="0" w:space="0" w:color="auto"/>
        <w:right w:val="none" w:sz="0" w:space="0" w:color="auto"/>
      </w:divBdr>
    </w:div>
    <w:div w:id="1888301353">
      <w:marLeft w:val="0"/>
      <w:marRight w:val="0"/>
      <w:marTop w:val="60"/>
      <w:marBottom w:val="60"/>
      <w:divBdr>
        <w:top w:val="none" w:sz="0" w:space="0" w:color="auto"/>
        <w:left w:val="none" w:sz="0" w:space="0" w:color="auto"/>
        <w:bottom w:val="none" w:sz="0" w:space="0" w:color="auto"/>
        <w:right w:val="none" w:sz="0" w:space="0" w:color="auto"/>
      </w:divBdr>
    </w:div>
    <w:div w:id="1897740677">
      <w:marLeft w:val="0"/>
      <w:marRight w:val="0"/>
      <w:marTop w:val="180"/>
      <w:marBottom w:val="60"/>
      <w:divBdr>
        <w:top w:val="none" w:sz="0" w:space="0" w:color="auto"/>
        <w:left w:val="none" w:sz="0" w:space="0" w:color="auto"/>
        <w:bottom w:val="none" w:sz="0" w:space="0" w:color="auto"/>
        <w:right w:val="none" w:sz="0" w:space="0" w:color="auto"/>
      </w:divBdr>
    </w:div>
    <w:div w:id="1900437902">
      <w:marLeft w:val="0"/>
      <w:marRight w:val="0"/>
      <w:marTop w:val="180"/>
      <w:marBottom w:val="180"/>
      <w:divBdr>
        <w:top w:val="none" w:sz="0" w:space="0" w:color="auto"/>
        <w:left w:val="none" w:sz="0" w:space="0" w:color="auto"/>
        <w:bottom w:val="none" w:sz="0" w:space="0" w:color="auto"/>
        <w:right w:val="none" w:sz="0" w:space="0" w:color="auto"/>
      </w:divBdr>
      <w:divsChild>
        <w:div w:id="2082407335">
          <w:marLeft w:val="0"/>
          <w:marRight w:val="0"/>
          <w:marTop w:val="0"/>
          <w:marBottom w:val="0"/>
          <w:divBdr>
            <w:top w:val="none" w:sz="0" w:space="0" w:color="auto"/>
            <w:left w:val="none" w:sz="0" w:space="0" w:color="auto"/>
            <w:bottom w:val="none" w:sz="0" w:space="0" w:color="auto"/>
            <w:right w:val="none" w:sz="0" w:space="0" w:color="auto"/>
          </w:divBdr>
        </w:div>
        <w:div w:id="484664824">
          <w:marLeft w:val="0"/>
          <w:marRight w:val="0"/>
          <w:marTop w:val="0"/>
          <w:marBottom w:val="0"/>
          <w:divBdr>
            <w:top w:val="none" w:sz="0" w:space="0" w:color="auto"/>
            <w:left w:val="none" w:sz="0" w:space="0" w:color="auto"/>
            <w:bottom w:val="none" w:sz="0" w:space="0" w:color="auto"/>
            <w:right w:val="none" w:sz="0" w:space="0" w:color="auto"/>
          </w:divBdr>
        </w:div>
      </w:divsChild>
    </w:div>
    <w:div w:id="1903518730">
      <w:marLeft w:val="0"/>
      <w:marRight w:val="0"/>
      <w:marTop w:val="0"/>
      <w:marBottom w:val="0"/>
      <w:divBdr>
        <w:top w:val="none" w:sz="0" w:space="0" w:color="auto"/>
        <w:left w:val="none" w:sz="0" w:space="0" w:color="auto"/>
        <w:bottom w:val="none" w:sz="0" w:space="0" w:color="auto"/>
        <w:right w:val="none" w:sz="0" w:space="0" w:color="auto"/>
      </w:divBdr>
      <w:divsChild>
        <w:div w:id="863326573">
          <w:marLeft w:val="0"/>
          <w:marRight w:val="0"/>
          <w:marTop w:val="60"/>
          <w:marBottom w:val="180"/>
          <w:divBdr>
            <w:top w:val="none" w:sz="0" w:space="0" w:color="auto"/>
            <w:left w:val="none" w:sz="0" w:space="0" w:color="auto"/>
            <w:bottom w:val="none" w:sz="0" w:space="0" w:color="auto"/>
            <w:right w:val="none" w:sz="0" w:space="0" w:color="auto"/>
          </w:divBdr>
        </w:div>
      </w:divsChild>
    </w:div>
    <w:div w:id="1903560126">
      <w:marLeft w:val="0"/>
      <w:marRight w:val="0"/>
      <w:marTop w:val="180"/>
      <w:marBottom w:val="180"/>
      <w:divBdr>
        <w:top w:val="none" w:sz="0" w:space="0" w:color="auto"/>
        <w:left w:val="none" w:sz="0" w:space="0" w:color="auto"/>
        <w:bottom w:val="none" w:sz="0" w:space="0" w:color="auto"/>
        <w:right w:val="none" w:sz="0" w:space="0" w:color="auto"/>
      </w:divBdr>
    </w:div>
    <w:div w:id="1908151809">
      <w:marLeft w:val="0"/>
      <w:marRight w:val="0"/>
      <w:marTop w:val="180"/>
      <w:marBottom w:val="180"/>
      <w:divBdr>
        <w:top w:val="none" w:sz="0" w:space="0" w:color="auto"/>
        <w:left w:val="none" w:sz="0" w:space="0" w:color="auto"/>
        <w:bottom w:val="none" w:sz="0" w:space="0" w:color="auto"/>
        <w:right w:val="none" w:sz="0" w:space="0" w:color="auto"/>
      </w:divBdr>
    </w:div>
    <w:div w:id="1908802116">
      <w:marLeft w:val="0"/>
      <w:marRight w:val="0"/>
      <w:marTop w:val="60"/>
      <w:marBottom w:val="60"/>
      <w:divBdr>
        <w:top w:val="none" w:sz="0" w:space="0" w:color="auto"/>
        <w:left w:val="none" w:sz="0" w:space="0" w:color="auto"/>
        <w:bottom w:val="none" w:sz="0" w:space="0" w:color="auto"/>
        <w:right w:val="none" w:sz="0" w:space="0" w:color="auto"/>
      </w:divBdr>
    </w:div>
    <w:div w:id="1909610764">
      <w:marLeft w:val="0"/>
      <w:marRight w:val="0"/>
      <w:marTop w:val="60"/>
      <w:marBottom w:val="60"/>
      <w:divBdr>
        <w:top w:val="none" w:sz="0" w:space="0" w:color="auto"/>
        <w:left w:val="none" w:sz="0" w:space="0" w:color="auto"/>
        <w:bottom w:val="none" w:sz="0" w:space="0" w:color="auto"/>
        <w:right w:val="none" w:sz="0" w:space="0" w:color="auto"/>
      </w:divBdr>
    </w:div>
    <w:div w:id="1910115478">
      <w:marLeft w:val="0"/>
      <w:marRight w:val="0"/>
      <w:marTop w:val="0"/>
      <w:marBottom w:val="0"/>
      <w:divBdr>
        <w:top w:val="none" w:sz="0" w:space="0" w:color="auto"/>
        <w:left w:val="none" w:sz="0" w:space="0" w:color="auto"/>
        <w:bottom w:val="none" w:sz="0" w:space="0" w:color="auto"/>
        <w:right w:val="none" w:sz="0" w:space="0" w:color="auto"/>
      </w:divBdr>
      <w:divsChild>
        <w:div w:id="1767001813">
          <w:marLeft w:val="0"/>
          <w:marRight w:val="0"/>
          <w:marTop w:val="0"/>
          <w:marBottom w:val="0"/>
          <w:divBdr>
            <w:top w:val="none" w:sz="0" w:space="0" w:color="auto"/>
            <w:left w:val="none" w:sz="0" w:space="0" w:color="auto"/>
            <w:bottom w:val="none" w:sz="0" w:space="0" w:color="auto"/>
            <w:right w:val="none" w:sz="0" w:space="0" w:color="auto"/>
          </w:divBdr>
          <w:divsChild>
            <w:div w:id="10619466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2615676">
      <w:marLeft w:val="0"/>
      <w:marRight w:val="0"/>
      <w:marTop w:val="60"/>
      <w:marBottom w:val="60"/>
      <w:divBdr>
        <w:top w:val="none" w:sz="0" w:space="0" w:color="auto"/>
        <w:left w:val="none" w:sz="0" w:space="0" w:color="auto"/>
        <w:bottom w:val="none" w:sz="0" w:space="0" w:color="auto"/>
        <w:right w:val="none" w:sz="0" w:space="0" w:color="auto"/>
      </w:divBdr>
    </w:div>
    <w:div w:id="1914506015">
      <w:marLeft w:val="0"/>
      <w:marRight w:val="0"/>
      <w:marTop w:val="60"/>
      <w:marBottom w:val="60"/>
      <w:divBdr>
        <w:top w:val="none" w:sz="0" w:space="0" w:color="auto"/>
        <w:left w:val="none" w:sz="0" w:space="0" w:color="auto"/>
        <w:bottom w:val="none" w:sz="0" w:space="0" w:color="auto"/>
        <w:right w:val="none" w:sz="0" w:space="0" w:color="auto"/>
      </w:divBdr>
    </w:div>
    <w:div w:id="1915895040">
      <w:marLeft w:val="0"/>
      <w:marRight w:val="0"/>
      <w:marTop w:val="0"/>
      <w:marBottom w:val="0"/>
      <w:divBdr>
        <w:top w:val="none" w:sz="0" w:space="0" w:color="auto"/>
        <w:left w:val="none" w:sz="0" w:space="0" w:color="auto"/>
        <w:bottom w:val="none" w:sz="0" w:space="0" w:color="auto"/>
        <w:right w:val="none" w:sz="0" w:space="0" w:color="auto"/>
      </w:divBdr>
      <w:divsChild>
        <w:div w:id="847864325">
          <w:marLeft w:val="0"/>
          <w:marRight w:val="0"/>
          <w:marTop w:val="60"/>
          <w:marBottom w:val="180"/>
          <w:divBdr>
            <w:top w:val="none" w:sz="0" w:space="0" w:color="auto"/>
            <w:left w:val="none" w:sz="0" w:space="0" w:color="auto"/>
            <w:bottom w:val="none" w:sz="0" w:space="0" w:color="auto"/>
            <w:right w:val="none" w:sz="0" w:space="0" w:color="auto"/>
          </w:divBdr>
        </w:div>
      </w:divsChild>
    </w:div>
    <w:div w:id="1919945605">
      <w:marLeft w:val="0"/>
      <w:marRight w:val="0"/>
      <w:marTop w:val="180"/>
      <w:marBottom w:val="180"/>
      <w:divBdr>
        <w:top w:val="none" w:sz="0" w:space="0" w:color="auto"/>
        <w:left w:val="none" w:sz="0" w:space="0" w:color="auto"/>
        <w:bottom w:val="none" w:sz="0" w:space="0" w:color="auto"/>
        <w:right w:val="none" w:sz="0" w:space="0" w:color="auto"/>
      </w:divBdr>
    </w:div>
    <w:div w:id="1923103479">
      <w:marLeft w:val="0"/>
      <w:marRight w:val="0"/>
      <w:marTop w:val="180"/>
      <w:marBottom w:val="180"/>
      <w:divBdr>
        <w:top w:val="none" w:sz="0" w:space="0" w:color="auto"/>
        <w:left w:val="none" w:sz="0" w:space="0" w:color="auto"/>
        <w:bottom w:val="none" w:sz="0" w:space="0" w:color="auto"/>
        <w:right w:val="none" w:sz="0" w:space="0" w:color="auto"/>
      </w:divBdr>
    </w:div>
    <w:div w:id="1924021426">
      <w:marLeft w:val="0"/>
      <w:marRight w:val="0"/>
      <w:marTop w:val="180"/>
      <w:marBottom w:val="180"/>
      <w:divBdr>
        <w:top w:val="none" w:sz="0" w:space="0" w:color="auto"/>
        <w:left w:val="none" w:sz="0" w:space="0" w:color="auto"/>
        <w:bottom w:val="none" w:sz="0" w:space="0" w:color="auto"/>
        <w:right w:val="none" w:sz="0" w:space="0" w:color="auto"/>
      </w:divBdr>
    </w:div>
    <w:div w:id="1926066440">
      <w:marLeft w:val="0"/>
      <w:marRight w:val="0"/>
      <w:marTop w:val="0"/>
      <w:marBottom w:val="0"/>
      <w:divBdr>
        <w:top w:val="none" w:sz="0" w:space="0" w:color="auto"/>
        <w:left w:val="none" w:sz="0" w:space="0" w:color="auto"/>
        <w:bottom w:val="none" w:sz="0" w:space="0" w:color="auto"/>
        <w:right w:val="none" w:sz="0" w:space="0" w:color="auto"/>
      </w:divBdr>
      <w:divsChild>
        <w:div w:id="2083679473">
          <w:marLeft w:val="0"/>
          <w:marRight w:val="0"/>
          <w:marTop w:val="0"/>
          <w:marBottom w:val="0"/>
          <w:divBdr>
            <w:top w:val="none" w:sz="0" w:space="0" w:color="auto"/>
            <w:left w:val="none" w:sz="0" w:space="0" w:color="auto"/>
            <w:bottom w:val="none" w:sz="0" w:space="0" w:color="auto"/>
            <w:right w:val="none" w:sz="0" w:space="0" w:color="auto"/>
          </w:divBdr>
          <w:divsChild>
            <w:div w:id="951756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2009749">
      <w:marLeft w:val="0"/>
      <w:marRight w:val="0"/>
      <w:marTop w:val="180"/>
      <w:marBottom w:val="180"/>
      <w:divBdr>
        <w:top w:val="none" w:sz="0" w:space="0" w:color="auto"/>
        <w:left w:val="none" w:sz="0" w:space="0" w:color="auto"/>
        <w:bottom w:val="none" w:sz="0" w:space="0" w:color="auto"/>
        <w:right w:val="none" w:sz="0" w:space="0" w:color="auto"/>
      </w:divBdr>
    </w:div>
    <w:div w:id="1932421916">
      <w:marLeft w:val="0"/>
      <w:marRight w:val="0"/>
      <w:marTop w:val="0"/>
      <w:marBottom w:val="0"/>
      <w:divBdr>
        <w:top w:val="none" w:sz="0" w:space="0" w:color="auto"/>
        <w:left w:val="none" w:sz="0" w:space="0" w:color="auto"/>
        <w:bottom w:val="none" w:sz="0" w:space="0" w:color="auto"/>
        <w:right w:val="none" w:sz="0" w:space="0" w:color="auto"/>
      </w:divBdr>
    </w:div>
    <w:div w:id="1933858930">
      <w:marLeft w:val="0"/>
      <w:marRight w:val="0"/>
      <w:marTop w:val="180"/>
      <w:marBottom w:val="180"/>
      <w:divBdr>
        <w:top w:val="none" w:sz="0" w:space="0" w:color="auto"/>
        <w:left w:val="none" w:sz="0" w:space="0" w:color="auto"/>
        <w:bottom w:val="none" w:sz="0" w:space="0" w:color="auto"/>
        <w:right w:val="none" w:sz="0" w:space="0" w:color="auto"/>
      </w:divBdr>
    </w:div>
    <w:div w:id="1935088320">
      <w:marLeft w:val="0"/>
      <w:marRight w:val="0"/>
      <w:marTop w:val="180"/>
      <w:marBottom w:val="60"/>
      <w:divBdr>
        <w:top w:val="none" w:sz="0" w:space="0" w:color="auto"/>
        <w:left w:val="none" w:sz="0" w:space="0" w:color="auto"/>
        <w:bottom w:val="none" w:sz="0" w:space="0" w:color="auto"/>
        <w:right w:val="none" w:sz="0" w:space="0" w:color="auto"/>
      </w:divBdr>
    </w:div>
    <w:div w:id="1935553178">
      <w:marLeft w:val="0"/>
      <w:marRight w:val="0"/>
      <w:marTop w:val="0"/>
      <w:marBottom w:val="0"/>
      <w:divBdr>
        <w:top w:val="none" w:sz="0" w:space="0" w:color="auto"/>
        <w:left w:val="none" w:sz="0" w:space="0" w:color="auto"/>
        <w:bottom w:val="none" w:sz="0" w:space="0" w:color="auto"/>
        <w:right w:val="none" w:sz="0" w:space="0" w:color="auto"/>
      </w:divBdr>
    </w:div>
    <w:div w:id="1938295091">
      <w:marLeft w:val="0"/>
      <w:marRight w:val="0"/>
      <w:marTop w:val="180"/>
      <w:marBottom w:val="180"/>
      <w:divBdr>
        <w:top w:val="none" w:sz="0" w:space="0" w:color="auto"/>
        <w:left w:val="none" w:sz="0" w:space="0" w:color="auto"/>
        <w:bottom w:val="none" w:sz="0" w:space="0" w:color="auto"/>
        <w:right w:val="none" w:sz="0" w:space="0" w:color="auto"/>
      </w:divBdr>
    </w:div>
    <w:div w:id="1938713277">
      <w:marLeft w:val="0"/>
      <w:marRight w:val="0"/>
      <w:marTop w:val="60"/>
      <w:marBottom w:val="60"/>
      <w:divBdr>
        <w:top w:val="none" w:sz="0" w:space="0" w:color="auto"/>
        <w:left w:val="none" w:sz="0" w:space="0" w:color="auto"/>
        <w:bottom w:val="none" w:sz="0" w:space="0" w:color="auto"/>
        <w:right w:val="none" w:sz="0" w:space="0" w:color="auto"/>
      </w:divBdr>
    </w:div>
    <w:div w:id="1939101063">
      <w:marLeft w:val="0"/>
      <w:marRight w:val="0"/>
      <w:marTop w:val="180"/>
      <w:marBottom w:val="0"/>
      <w:divBdr>
        <w:top w:val="none" w:sz="0" w:space="0" w:color="auto"/>
        <w:left w:val="none" w:sz="0" w:space="0" w:color="auto"/>
        <w:bottom w:val="none" w:sz="0" w:space="0" w:color="auto"/>
        <w:right w:val="none" w:sz="0" w:space="0" w:color="auto"/>
      </w:divBdr>
    </w:div>
    <w:div w:id="1941714819">
      <w:marLeft w:val="0"/>
      <w:marRight w:val="0"/>
      <w:marTop w:val="0"/>
      <w:marBottom w:val="15"/>
      <w:divBdr>
        <w:top w:val="none" w:sz="0" w:space="0" w:color="auto"/>
        <w:left w:val="none" w:sz="0" w:space="0" w:color="auto"/>
        <w:bottom w:val="none" w:sz="0" w:space="0" w:color="auto"/>
        <w:right w:val="none" w:sz="0" w:space="0" w:color="auto"/>
      </w:divBdr>
    </w:div>
    <w:div w:id="1943222679">
      <w:marLeft w:val="0"/>
      <w:marRight w:val="0"/>
      <w:marTop w:val="180"/>
      <w:marBottom w:val="0"/>
      <w:divBdr>
        <w:top w:val="none" w:sz="0" w:space="0" w:color="auto"/>
        <w:left w:val="none" w:sz="0" w:space="0" w:color="auto"/>
        <w:bottom w:val="none" w:sz="0" w:space="0" w:color="auto"/>
        <w:right w:val="none" w:sz="0" w:space="0" w:color="auto"/>
      </w:divBdr>
    </w:div>
    <w:div w:id="1943685047">
      <w:marLeft w:val="0"/>
      <w:marRight w:val="0"/>
      <w:marTop w:val="180"/>
      <w:marBottom w:val="180"/>
      <w:divBdr>
        <w:top w:val="none" w:sz="0" w:space="0" w:color="auto"/>
        <w:left w:val="none" w:sz="0" w:space="0" w:color="auto"/>
        <w:bottom w:val="none" w:sz="0" w:space="0" w:color="auto"/>
        <w:right w:val="none" w:sz="0" w:space="0" w:color="auto"/>
      </w:divBdr>
    </w:div>
    <w:div w:id="1943953412">
      <w:marLeft w:val="0"/>
      <w:marRight w:val="0"/>
      <w:marTop w:val="180"/>
      <w:marBottom w:val="180"/>
      <w:divBdr>
        <w:top w:val="none" w:sz="0" w:space="0" w:color="auto"/>
        <w:left w:val="none" w:sz="0" w:space="0" w:color="auto"/>
        <w:bottom w:val="none" w:sz="0" w:space="0" w:color="auto"/>
        <w:right w:val="none" w:sz="0" w:space="0" w:color="auto"/>
      </w:divBdr>
    </w:div>
    <w:div w:id="1946495307">
      <w:marLeft w:val="0"/>
      <w:marRight w:val="0"/>
      <w:marTop w:val="60"/>
      <w:marBottom w:val="60"/>
      <w:divBdr>
        <w:top w:val="none" w:sz="0" w:space="0" w:color="auto"/>
        <w:left w:val="none" w:sz="0" w:space="0" w:color="auto"/>
        <w:bottom w:val="none" w:sz="0" w:space="0" w:color="auto"/>
        <w:right w:val="none" w:sz="0" w:space="0" w:color="auto"/>
      </w:divBdr>
    </w:div>
    <w:div w:id="1946688618">
      <w:marLeft w:val="0"/>
      <w:marRight w:val="0"/>
      <w:marTop w:val="180"/>
      <w:marBottom w:val="180"/>
      <w:divBdr>
        <w:top w:val="none" w:sz="0" w:space="0" w:color="auto"/>
        <w:left w:val="none" w:sz="0" w:space="0" w:color="auto"/>
        <w:bottom w:val="none" w:sz="0" w:space="0" w:color="auto"/>
        <w:right w:val="none" w:sz="0" w:space="0" w:color="auto"/>
      </w:divBdr>
    </w:div>
    <w:div w:id="1947695081">
      <w:marLeft w:val="0"/>
      <w:marRight w:val="0"/>
      <w:marTop w:val="60"/>
      <w:marBottom w:val="60"/>
      <w:divBdr>
        <w:top w:val="none" w:sz="0" w:space="0" w:color="auto"/>
        <w:left w:val="none" w:sz="0" w:space="0" w:color="auto"/>
        <w:bottom w:val="none" w:sz="0" w:space="0" w:color="auto"/>
        <w:right w:val="none" w:sz="0" w:space="0" w:color="auto"/>
      </w:divBdr>
    </w:div>
    <w:div w:id="1948466489">
      <w:marLeft w:val="0"/>
      <w:marRight w:val="0"/>
      <w:marTop w:val="240"/>
      <w:marBottom w:val="180"/>
      <w:divBdr>
        <w:top w:val="none" w:sz="0" w:space="0" w:color="auto"/>
        <w:left w:val="none" w:sz="0" w:space="0" w:color="auto"/>
        <w:bottom w:val="none" w:sz="0" w:space="0" w:color="auto"/>
        <w:right w:val="none" w:sz="0" w:space="0" w:color="auto"/>
      </w:divBdr>
    </w:div>
    <w:div w:id="1950700220">
      <w:marLeft w:val="0"/>
      <w:marRight w:val="0"/>
      <w:marTop w:val="0"/>
      <w:marBottom w:val="0"/>
      <w:divBdr>
        <w:top w:val="none" w:sz="0" w:space="0" w:color="auto"/>
        <w:left w:val="none" w:sz="0" w:space="0" w:color="auto"/>
        <w:bottom w:val="none" w:sz="0" w:space="0" w:color="auto"/>
        <w:right w:val="none" w:sz="0" w:space="0" w:color="auto"/>
      </w:divBdr>
      <w:divsChild>
        <w:div w:id="1685664835">
          <w:marLeft w:val="0"/>
          <w:marRight w:val="0"/>
          <w:marTop w:val="60"/>
          <w:marBottom w:val="180"/>
          <w:divBdr>
            <w:top w:val="none" w:sz="0" w:space="0" w:color="auto"/>
            <w:left w:val="none" w:sz="0" w:space="0" w:color="auto"/>
            <w:bottom w:val="none" w:sz="0" w:space="0" w:color="auto"/>
            <w:right w:val="none" w:sz="0" w:space="0" w:color="auto"/>
          </w:divBdr>
        </w:div>
      </w:divsChild>
    </w:div>
    <w:div w:id="1951350422">
      <w:marLeft w:val="0"/>
      <w:marRight w:val="0"/>
      <w:marTop w:val="180"/>
      <w:marBottom w:val="180"/>
      <w:divBdr>
        <w:top w:val="none" w:sz="0" w:space="0" w:color="auto"/>
        <w:left w:val="none" w:sz="0" w:space="0" w:color="auto"/>
        <w:bottom w:val="none" w:sz="0" w:space="0" w:color="auto"/>
        <w:right w:val="none" w:sz="0" w:space="0" w:color="auto"/>
      </w:divBdr>
    </w:div>
    <w:div w:id="1952131664">
      <w:marLeft w:val="0"/>
      <w:marRight w:val="0"/>
      <w:marTop w:val="180"/>
      <w:marBottom w:val="60"/>
      <w:divBdr>
        <w:top w:val="none" w:sz="0" w:space="0" w:color="auto"/>
        <w:left w:val="none" w:sz="0" w:space="0" w:color="auto"/>
        <w:bottom w:val="none" w:sz="0" w:space="0" w:color="auto"/>
        <w:right w:val="none" w:sz="0" w:space="0" w:color="auto"/>
      </w:divBdr>
    </w:div>
    <w:div w:id="1953052394">
      <w:marLeft w:val="0"/>
      <w:marRight w:val="0"/>
      <w:marTop w:val="60"/>
      <w:marBottom w:val="60"/>
      <w:divBdr>
        <w:top w:val="none" w:sz="0" w:space="0" w:color="auto"/>
        <w:left w:val="none" w:sz="0" w:space="0" w:color="auto"/>
        <w:bottom w:val="none" w:sz="0" w:space="0" w:color="auto"/>
        <w:right w:val="none" w:sz="0" w:space="0" w:color="auto"/>
      </w:divBdr>
    </w:div>
    <w:div w:id="1959020009">
      <w:marLeft w:val="0"/>
      <w:marRight w:val="0"/>
      <w:marTop w:val="0"/>
      <w:marBottom w:val="15"/>
      <w:divBdr>
        <w:top w:val="none" w:sz="0" w:space="0" w:color="auto"/>
        <w:left w:val="none" w:sz="0" w:space="0" w:color="auto"/>
        <w:bottom w:val="none" w:sz="0" w:space="0" w:color="auto"/>
        <w:right w:val="none" w:sz="0" w:space="0" w:color="auto"/>
      </w:divBdr>
    </w:div>
    <w:div w:id="1959214723">
      <w:marLeft w:val="0"/>
      <w:marRight w:val="0"/>
      <w:marTop w:val="180"/>
      <w:marBottom w:val="180"/>
      <w:divBdr>
        <w:top w:val="none" w:sz="0" w:space="0" w:color="auto"/>
        <w:left w:val="none" w:sz="0" w:space="0" w:color="auto"/>
        <w:bottom w:val="none" w:sz="0" w:space="0" w:color="auto"/>
        <w:right w:val="none" w:sz="0" w:space="0" w:color="auto"/>
      </w:divBdr>
    </w:div>
    <w:div w:id="1960144196">
      <w:marLeft w:val="0"/>
      <w:marRight w:val="0"/>
      <w:marTop w:val="0"/>
      <w:marBottom w:val="0"/>
      <w:divBdr>
        <w:top w:val="none" w:sz="0" w:space="0" w:color="auto"/>
        <w:left w:val="none" w:sz="0" w:space="0" w:color="auto"/>
        <w:bottom w:val="none" w:sz="0" w:space="0" w:color="auto"/>
        <w:right w:val="none" w:sz="0" w:space="0" w:color="auto"/>
      </w:divBdr>
      <w:divsChild>
        <w:div w:id="1709182256">
          <w:marLeft w:val="0"/>
          <w:marRight w:val="0"/>
          <w:marTop w:val="60"/>
          <w:marBottom w:val="180"/>
          <w:divBdr>
            <w:top w:val="none" w:sz="0" w:space="0" w:color="auto"/>
            <w:left w:val="none" w:sz="0" w:space="0" w:color="auto"/>
            <w:bottom w:val="none" w:sz="0" w:space="0" w:color="auto"/>
            <w:right w:val="none" w:sz="0" w:space="0" w:color="auto"/>
          </w:divBdr>
        </w:div>
      </w:divsChild>
    </w:div>
    <w:div w:id="1963073039">
      <w:marLeft w:val="0"/>
      <w:marRight w:val="0"/>
      <w:marTop w:val="180"/>
      <w:marBottom w:val="180"/>
      <w:divBdr>
        <w:top w:val="none" w:sz="0" w:space="0" w:color="auto"/>
        <w:left w:val="none" w:sz="0" w:space="0" w:color="auto"/>
        <w:bottom w:val="none" w:sz="0" w:space="0" w:color="auto"/>
        <w:right w:val="none" w:sz="0" w:space="0" w:color="auto"/>
      </w:divBdr>
    </w:div>
    <w:div w:id="1963613287">
      <w:marLeft w:val="0"/>
      <w:marRight w:val="0"/>
      <w:marTop w:val="60"/>
      <w:marBottom w:val="60"/>
      <w:divBdr>
        <w:top w:val="none" w:sz="0" w:space="0" w:color="auto"/>
        <w:left w:val="none" w:sz="0" w:space="0" w:color="auto"/>
        <w:bottom w:val="none" w:sz="0" w:space="0" w:color="auto"/>
        <w:right w:val="none" w:sz="0" w:space="0" w:color="auto"/>
      </w:divBdr>
    </w:div>
    <w:div w:id="1964577974">
      <w:marLeft w:val="0"/>
      <w:marRight w:val="0"/>
      <w:marTop w:val="120"/>
      <w:marBottom w:val="0"/>
      <w:divBdr>
        <w:top w:val="none" w:sz="0" w:space="0" w:color="auto"/>
        <w:left w:val="none" w:sz="0" w:space="0" w:color="auto"/>
        <w:bottom w:val="none" w:sz="0" w:space="0" w:color="auto"/>
        <w:right w:val="none" w:sz="0" w:space="0" w:color="auto"/>
      </w:divBdr>
    </w:div>
    <w:div w:id="1971086413">
      <w:marLeft w:val="0"/>
      <w:marRight w:val="0"/>
      <w:marTop w:val="180"/>
      <w:marBottom w:val="180"/>
      <w:divBdr>
        <w:top w:val="none" w:sz="0" w:space="0" w:color="auto"/>
        <w:left w:val="none" w:sz="0" w:space="0" w:color="auto"/>
        <w:bottom w:val="none" w:sz="0" w:space="0" w:color="auto"/>
        <w:right w:val="none" w:sz="0" w:space="0" w:color="auto"/>
      </w:divBdr>
    </w:div>
    <w:div w:id="1972787344">
      <w:marLeft w:val="0"/>
      <w:marRight w:val="0"/>
      <w:marTop w:val="0"/>
      <w:marBottom w:val="0"/>
      <w:divBdr>
        <w:top w:val="none" w:sz="0" w:space="0" w:color="auto"/>
        <w:left w:val="none" w:sz="0" w:space="0" w:color="auto"/>
        <w:bottom w:val="none" w:sz="0" w:space="0" w:color="auto"/>
        <w:right w:val="none" w:sz="0" w:space="0" w:color="auto"/>
      </w:divBdr>
      <w:divsChild>
        <w:div w:id="322859075">
          <w:marLeft w:val="0"/>
          <w:marRight w:val="0"/>
          <w:marTop w:val="0"/>
          <w:marBottom w:val="0"/>
          <w:divBdr>
            <w:top w:val="none" w:sz="0" w:space="0" w:color="auto"/>
            <w:left w:val="none" w:sz="0" w:space="0" w:color="auto"/>
            <w:bottom w:val="none" w:sz="0" w:space="0" w:color="auto"/>
            <w:right w:val="none" w:sz="0" w:space="0" w:color="auto"/>
          </w:divBdr>
          <w:divsChild>
            <w:div w:id="12596753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4602672">
      <w:marLeft w:val="0"/>
      <w:marRight w:val="0"/>
      <w:marTop w:val="180"/>
      <w:marBottom w:val="180"/>
      <w:divBdr>
        <w:top w:val="none" w:sz="0" w:space="0" w:color="auto"/>
        <w:left w:val="none" w:sz="0" w:space="0" w:color="auto"/>
        <w:bottom w:val="none" w:sz="0" w:space="0" w:color="auto"/>
        <w:right w:val="none" w:sz="0" w:space="0" w:color="auto"/>
      </w:divBdr>
    </w:div>
    <w:div w:id="1975334856">
      <w:marLeft w:val="0"/>
      <w:marRight w:val="0"/>
      <w:marTop w:val="180"/>
      <w:marBottom w:val="180"/>
      <w:divBdr>
        <w:top w:val="none" w:sz="0" w:space="0" w:color="auto"/>
        <w:left w:val="none" w:sz="0" w:space="0" w:color="auto"/>
        <w:bottom w:val="none" w:sz="0" w:space="0" w:color="auto"/>
        <w:right w:val="none" w:sz="0" w:space="0" w:color="auto"/>
      </w:divBdr>
    </w:div>
    <w:div w:id="1976636053">
      <w:marLeft w:val="0"/>
      <w:marRight w:val="0"/>
      <w:marTop w:val="100"/>
      <w:marBottom w:val="0"/>
      <w:divBdr>
        <w:top w:val="none" w:sz="0" w:space="0" w:color="auto"/>
        <w:left w:val="none" w:sz="0" w:space="0" w:color="auto"/>
        <w:bottom w:val="none" w:sz="0" w:space="0" w:color="auto"/>
        <w:right w:val="none" w:sz="0" w:space="0" w:color="auto"/>
      </w:divBdr>
      <w:divsChild>
        <w:div w:id="1900096669">
          <w:marLeft w:val="0"/>
          <w:marRight w:val="0"/>
          <w:marTop w:val="0"/>
          <w:marBottom w:val="0"/>
          <w:divBdr>
            <w:top w:val="none" w:sz="0" w:space="0" w:color="auto"/>
            <w:left w:val="none" w:sz="0" w:space="0" w:color="auto"/>
            <w:bottom w:val="none" w:sz="0" w:space="0" w:color="auto"/>
            <w:right w:val="none" w:sz="0" w:space="0" w:color="auto"/>
          </w:divBdr>
        </w:div>
      </w:divsChild>
    </w:div>
    <w:div w:id="1979724519">
      <w:marLeft w:val="0"/>
      <w:marRight w:val="0"/>
      <w:marTop w:val="60"/>
      <w:marBottom w:val="60"/>
      <w:divBdr>
        <w:top w:val="none" w:sz="0" w:space="0" w:color="auto"/>
        <w:left w:val="none" w:sz="0" w:space="0" w:color="auto"/>
        <w:bottom w:val="none" w:sz="0" w:space="0" w:color="auto"/>
        <w:right w:val="none" w:sz="0" w:space="0" w:color="auto"/>
      </w:divBdr>
      <w:divsChild>
        <w:div w:id="933131548">
          <w:marLeft w:val="0"/>
          <w:marRight w:val="0"/>
          <w:marTop w:val="0"/>
          <w:marBottom w:val="0"/>
          <w:divBdr>
            <w:top w:val="none" w:sz="0" w:space="0" w:color="auto"/>
            <w:left w:val="none" w:sz="0" w:space="0" w:color="auto"/>
            <w:bottom w:val="none" w:sz="0" w:space="0" w:color="auto"/>
            <w:right w:val="none" w:sz="0" w:space="0" w:color="auto"/>
          </w:divBdr>
        </w:div>
      </w:divsChild>
    </w:div>
    <w:div w:id="1986278649">
      <w:marLeft w:val="0"/>
      <w:marRight w:val="0"/>
      <w:marTop w:val="0"/>
      <w:marBottom w:val="0"/>
      <w:divBdr>
        <w:top w:val="none" w:sz="0" w:space="0" w:color="auto"/>
        <w:left w:val="none" w:sz="0" w:space="0" w:color="auto"/>
        <w:bottom w:val="none" w:sz="0" w:space="0" w:color="auto"/>
        <w:right w:val="none" w:sz="0" w:space="0" w:color="auto"/>
      </w:divBdr>
      <w:divsChild>
        <w:div w:id="1321540156">
          <w:marLeft w:val="0"/>
          <w:marRight w:val="0"/>
          <w:marTop w:val="0"/>
          <w:marBottom w:val="0"/>
          <w:divBdr>
            <w:top w:val="none" w:sz="0" w:space="0" w:color="auto"/>
            <w:left w:val="none" w:sz="0" w:space="0" w:color="auto"/>
            <w:bottom w:val="none" w:sz="0" w:space="0" w:color="auto"/>
            <w:right w:val="none" w:sz="0" w:space="0" w:color="auto"/>
          </w:divBdr>
          <w:divsChild>
            <w:div w:id="9207240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6473139">
      <w:marLeft w:val="0"/>
      <w:marRight w:val="0"/>
      <w:marTop w:val="0"/>
      <w:marBottom w:val="0"/>
      <w:divBdr>
        <w:top w:val="none" w:sz="0" w:space="0" w:color="auto"/>
        <w:left w:val="none" w:sz="0" w:space="0" w:color="auto"/>
        <w:bottom w:val="none" w:sz="0" w:space="0" w:color="auto"/>
        <w:right w:val="none" w:sz="0" w:space="0" w:color="auto"/>
      </w:divBdr>
      <w:divsChild>
        <w:div w:id="524559716">
          <w:marLeft w:val="0"/>
          <w:marRight w:val="0"/>
          <w:marTop w:val="0"/>
          <w:marBottom w:val="0"/>
          <w:divBdr>
            <w:top w:val="none" w:sz="0" w:space="0" w:color="auto"/>
            <w:left w:val="none" w:sz="0" w:space="0" w:color="auto"/>
            <w:bottom w:val="none" w:sz="0" w:space="0" w:color="auto"/>
            <w:right w:val="none" w:sz="0" w:space="0" w:color="auto"/>
          </w:divBdr>
          <w:divsChild>
            <w:div w:id="3200429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7929602">
      <w:marLeft w:val="0"/>
      <w:marRight w:val="0"/>
      <w:marTop w:val="180"/>
      <w:marBottom w:val="180"/>
      <w:divBdr>
        <w:top w:val="none" w:sz="0" w:space="0" w:color="auto"/>
        <w:left w:val="none" w:sz="0" w:space="0" w:color="auto"/>
        <w:bottom w:val="none" w:sz="0" w:space="0" w:color="auto"/>
        <w:right w:val="none" w:sz="0" w:space="0" w:color="auto"/>
      </w:divBdr>
    </w:div>
    <w:div w:id="1988198324">
      <w:marLeft w:val="0"/>
      <w:marRight w:val="0"/>
      <w:marTop w:val="0"/>
      <w:marBottom w:val="0"/>
      <w:divBdr>
        <w:top w:val="none" w:sz="0" w:space="0" w:color="auto"/>
        <w:left w:val="none" w:sz="0" w:space="0" w:color="auto"/>
        <w:bottom w:val="none" w:sz="0" w:space="0" w:color="auto"/>
        <w:right w:val="none" w:sz="0" w:space="0" w:color="auto"/>
      </w:divBdr>
      <w:divsChild>
        <w:div w:id="1785467134">
          <w:marLeft w:val="0"/>
          <w:marRight w:val="0"/>
          <w:marTop w:val="60"/>
          <w:marBottom w:val="180"/>
          <w:divBdr>
            <w:top w:val="none" w:sz="0" w:space="0" w:color="auto"/>
            <w:left w:val="none" w:sz="0" w:space="0" w:color="auto"/>
            <w:bottom w:val="none" w:sz="0" w:space="0" w:color="auto"/>
            <w:right w:val="none" w:sz="0" w:space="0" w:color="auto"/>
          </w:divBdr>
        </w:div>
      </w:divsChild>
    </w:div>
    <w:div w:id="1989164913">
      <w:marLeft w:val="0"/>
      <w:marRight w:val="0"/>
      <w:marTop w:val="0"/>
      <w:marBottom w:val="180"/>
      <w:divBdr>
        <w:top w:val="none" w:sz="0" w:space="0" w:color="auto"/>
        <w:left w:val="none" w:sz="0" w:space="0" w:color="auto"/>
        <w:bottom w:val="none" w:sz="0" w:space="0" w:color="auto"/>
        <w:right w:val="none" w:sz="0" w:space="0" w:color="auto"/>
      </w:divBdr>
    </w:div>
    <w:div w:id="1989283378">
      <w:marLeft w:val="0"/>
      <w:marRight w:val="0"/>
      <w:marTop w:val="180"/>
      <w:marBottom w:val="180"/>
      <w:divBdr>
        <w:top w:val="none" w:sz="0" w:space="0" w:color="auto"/>
        <w:left w:val="none" w:sz="0" w:space="0" w:color="auto"/>
        <w:bottom w:val="none" w:sz="0" w:space="0" w:color="auto"/>
        <w:right w:val="none" w:sz="0" w:space="0" w:color="auto"/>
      </w:divBdr>
    </w:div>
    <w:div w:id="1990553554">
      <w:marLeft w:val="0"/>
      <w:marRight w:val="0"/>
      <w:marTop w:val="180"/>
      <w:marBottom w:val="180"/>
      <w:divBdr>
        <w:top w:val="none" w:sz="0" w:space="0" w:color="auto"/>
        <w:left w:val="none" w:sz="0" w:space="0" w:color="auto"/>
        <w:bottom w:val="none" w:sz="0" w:space="0" w:color="auto"/>
        <w:right w:val="none" w:sz="0" w:space="0" w:color="auto"/>
      </w:divBdr>
    </w:div>
    <w:div w:id="1992053821">
      <w:marLeft w:val="0"/>
      <w:marRight w:val="0"/>
      <w:marTop w:val="180"/>
      <w:marBottom w:val="180"/>
      <w:divBdr>
        <w:top w:val="none" w:sz="0" w:space="0" w:color="auto"/>
        <w:left w:val="none" w:sz="0" w:space="0" w:color="auto"/>
        <w:bottom w:val="none" w:sz="0" w:space="0" w:color="auto"/>
        <w:right w:val="none" w:sz="0" w:space="0" w:color="auto"/>
      </w:divBdr>
    </w:div>
    <w:div w:id="1993635184">
      <w:marLeft w:val="0"/>
      <w:marRight w:val="0"/>
      <w:marTop w:val="0"/>
      <w:marBottom w:val="60"/>
      <w:divBdr>
        <w:top w:val="none" w:sz="0" w:space="0" w:color="auto"/>
        <w:left w:val="none" w:sz="0" w:space="0" w:color="auto"/>
        <w:bottom w:val="none" w:sz="0" w:space="0" w:color="auto"/>
        <w:right w:val="none" w:sz="0" w:space="0" w:color="auto"/>
      </w:divBdr>
      <w:divsChild>
        <w:div w:id="1482237905">
          <w:marLeft w:val="0"/>
          <w:marRight w:val="0"/>
          <w:marTop w:val="0"/>
          <w:marBottom w:val="0"/>
          <w:divBdr>
            <w:top w:val="none" w:sz="0" w:space="0" w:color="auto"/>
            <w:left w:val="none" w:sz="0" w:space="0" w:color="auto"/>
            <w:bottom w:val="none" w:sz="0" w:space="0" w:color="auto"/>
            <w:right w:val="none" w:sz="0" w:space="0" w:color="auto"/>
          </w:divBdr>
        </w:div>
        <w:div w:id="249509506">
          <w:marLeft w:val="0"/>
          <w:marRight w:val="0"/>
          <w:marTop w:val="0"/>
          <w:marBottom w:val="0"/>
          <w:divBdr>
            <w:top w:val="none" w:sz="0" w:space="0" w:color="auto"/>
            <w:left w:val="none" w:sz="0" w:space="0" w:color="auto"/>
            <w:bottom w:val="none" w:sz="0" w:space="0" w:color="auto"/>
            <w:right w:val="none" w:sz="0" w:space="0" w:color="auto"/>
          </w:divBdr>
        </w:div>
      </w:divsChild>
    </w:div>
    <w:div w:id="1998339621">
      <w:marLeft w:val="0"/>
      <w:marRight w:val="0"/>
      <w:marTop w:val="180"/>
      <w:marBottom w:val="180"/>
      <w:divBdr>
        <w:top w:val="none" w:sz="0" w:space="0" w:color="auto"/>
        <w:left w:val="none" w:sz="0" w:space="0" w:color="auto"/>
        <w:bottom w:val="none" w:sz="0" w:space="0" w:color="auto"/>
        <w:right w:val="none" w:sz="0" w:space="0" w:color="auto"/>
      </w:divBdr>
    </w:div>
    <w:div w:id="1998683169">
      <w:marLeft w:val="0"/>
      <w:marRight w:val="0"/>
      <w:marTop w:val="180"/>
      <w:marBottom w:val="0"/>
      <w:divBdr>
        <w:top w:val="none" w:sz="0" w:space="0" w:color="auto"/>
        <w:left w:val="none" w:sz="0" w:space="0" w:color="auto"/>
        <w:bottom w:val="none" w:sz="0" w:space="0" w:color="auto"/>
        <w:right w:val="none" w:sz="0" w:space="0" w:color="auto"/>
      </w:divBdr>
    </w:div>
    <w:div w:id="2003925404">
      <w:marLeft w:val="0"/>
      <w:marRight w:val="0"/>
      <w:marTop w:val="180"/>
      <w:marBottom w:val="180"/>
      <w:divBdr>
        <w:top w:val="none" w:sz="0" w:space="0" w:color="auto"/>
        <w:left w:val="none" w:sz="0" w:space="0" w:color="auto"/>
        <w:bottom w:val="none" w:sz="0" w:space="0" w:color="auto"/>
        <w:right w:val="none" w:sz="0" w:space="0" w:color="auto"/>
      </w:divBdr>
    </w:div>
    <w:div w:id="2004115479">
      <w:marLeft w:val="0"/>
      <w:marRight w:val="0"/>
      <w:marTop w:val="180"/>
      <w:marBottom w:val="180"/>
      <w:divBdr>
        <w:top w:val="none" w:sz="0" w:space="0" w:color="auto"/>
        <w:left w:val="none" w:sz="0" w:space="0" w:color="auto"/>
        <w:bottom w:val="none" w:sz="0" w:space="0" w:color="auto"/>
        <w:right w:val="none" w:sz="0" w:space="0" w:color="auto"/>
      </w:divBdr>
    </w:div>
    <w:div w:id="2005549506">
      <w:marLeft w:val="0"/>
      <w:marRight w:val="0"/>
      <w:marTop w:val="180"/>
      <w:marBottom w:val="180"/>
      <w:divBdr>
        <w:top w:val="none" w:sz="0" w:space="0" w:color="auto"/>
        <w:left w:val="none" w:sz="0" w:space="0" w:color="auto"/>
        <w:bottom w:val="none" w:sz="0" w:space="0" w:color="auto"/>
        <w:right w:val="none" w:sz="0" w:space="0" w:color="auto"/>
      </w:divBdr>
    </w:div>
    <w:div w:id="2005929996">
      <w:marLeft w:val="0"/>
      <w:marRight w:val="0"/>
      <w:marTop w:val="60"/>
      <w:marBottom w:val="60"/>
      <w:divBdr>
        <w:top w:val="none" w:sz="0" w:space="0" w:color="auto"/>
        <w:left w:val="none" w:sz="0" w:space="0" w:color="auto"/>
        <w:bottom w:val="none" w:sz="0" w:space="0" w:color="auto"/>
        <w:right w:val="none" w:sz="0" w:space="0" w:color="auto"/>
      </w:divBdr>
    </w:div>
    <w:div w:id="2005933280">
      <w:marLeft w:val="0"/>
      <w:marRight w:val="0"/>
      <w:marTop w:val="180"/>
      <w:marBottom w:val="180"/>
      <w:divBdr>
        <w:top w:val="none" w:sz="0" w:space="0" w:color="auto"/>
        <w:left w:val="none" w:sz="0" w:space="0" w:color="auto"/>
        <w:bottom w:val="none" w:sz="0" w:space="0" w:color="auto"/>
        <w:right w:val="none" w:sz="0" w:space="0" w:color="auto"/>
      </w:divBdr>
    </w:div>
    <w:div w:id="2007710943">
      <w:marLeft w:val="0"/>
      <w:marRight w:val="0"/>
      <w:marTop w:val="180"/>
      <w:marBottom w:val="180"/>
      <w:divBdr>
        <w:top w:val="none" w:sz="0" w:space="0" w:color="auto"/>
        <w:left w:val="none" w:sz="0" w:space="0" w:color="auto"/>
        <w:bottom w:val="none" w:sz="0" w:space="0" w:color="auto"/>
        <w:right w:val="none" w:sz="0" w:space="0" w:color="auto"/>
      </w:divBdr>
    </w:div>
    <w:div w:id="2011063047">
      <w:marLeft w:val="0"/>
      <w:marRight w:val="0"/>
      <w:marTop w:val="180"/>
      <w:marBottom w:val="180"/>
      <w:divBdr>
        <w:top w:val="none" w:sz="0" w:space="0" w:color="auto"/>
        <w:left w:val="none" w:sz="0" w:space="0" w:color="auto"/>
        <w:bottom w:val="none" w:sz="0" w:space="0" w:color="auto"/>
        <w:right w:val="none" w:sz="0" w:space="0" w:color="auto"/>
      </w:divBdr>
    </w:div>
    <w:div w:id="2011986580">
      <w:marLeft w:val="0"/>
      <w:marRight w:val="0"/>
      <w:marTop w:val="180"/>
      <w:marBottom w:val="180"/>
      <w:divBdr>
        <w:top w:val="none" w:sz="0" w:space="0" w:color="auto"/>
        <w:left w:val="none" w:sz="0" w:space="0" w:color="auto"/>
        <w:bottom w:val="none" w:sz="0" w:space="0" w:color="auto"/>
        <w:right w:val="none" w:sz="0" w:space="0" w:color="auto"/>
      </w:divBdr>
    </w:div>
    <w:div w:id="2012633946">
      <w:marLeft w:val="0"/>
      <w:marRight w:val="0"/>
      <w:marTop w:val="0"/>
      <w:marBottom w:val="0"/>
      <w:divBdr>
        <w:top w:val="none" w:sz="0" w:space="0" w:color="auto"/>
        <w:left w:val="none" w:sz="0" w:space="0" w:color="auto"/>
        <w:bottom w:val="none" w:sz="0" w:space="0" w:color="auto"/>
        <w:right w:val="none" w:sz="0" w:space="0" w:color="auto"/>
      </w:divBdr>
      <w:divsChild>
        <w:div w:id="174392527">
          <w:marLeft w:val="0"/>
          <w:marRight w:val="0"/>
          <w:marTop w:val="0"/>
          <w:marBottom w:val="0"/>
          <w:divBdr>
            <w:top w:val="none" w:sz="0" w:space="0" w:color="auto"/>
            <w:left w:val="none" w:sz="0" w:space="0" w:color="auto"/>
            <w:bottom w:val="none" w:sz="0" w:space="0" w:color="auto"/>
            <w:right w:val="none" w:sz="0" w:space="0" w:color="auto"/>
          </w:divBdr>
          <w:divsChild>
            <w:div w:id="1841711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4412748">
      <w:marLeft w:val="0"/>
      <w:marRight w:val="0"/>
      <w:marTop w:val="180"/>
      <w:marBottom w:val="180"/>
      <w:divBdr>
        <w:top w:val="none" w:sz="0" w:space="0" w:color="auto"/>
        <w:left w:val="none" w:sz="0" w:space="0" w:color="auto"/>
        <w:bottom w:val="none" w:sz="0" w:space="0" w:color="auto"/>
        <w:right w:val="none" w:sz="0" w:space="0" w:color="auto"/>
      </w:divBdr>
    </w:div>
    <w:div w:id="2016107491">
      <w:marLeft w:val="0"/>
      <w:marRight w:val="0"/>
      <w:marTop w:val="180"/>
      <w:marBottom w:val="180"/>
      <w:divBdr>
        <w:top w:val="none" w:sz="0" w:space="0" w:color="auto"/>
        <w:left w:val="none" w:sz="0" w:space="0" w:color="auto"/>
        <w:bottom w:val="none" w:sz="0" w:space="0" w:color="auto"/>
        <w:right w:val="none" w:sz="0" w:space="0" w:color="auto"/>
      </w:divBdr>
    </w:div>
    <w:div w:id="2016951597">
      <w:marLeft w:val="0"/>
      <w:marRight w:val="0"/>
      <w:marTop w:val="180"/>
      <w:marBottom w:val="180"/>
      <w:divBdr>
        <w:top w:val="none" w:sz="0" w:space="0" w:color="auto"/>
        <w:left w:val="none" w:sz="0" w:space="0" w:color="auto"/>
        <w:bottom w:val="none" w:sz="0" w:space="0" w:color="auto"/>
        <w:right w:val="none" w:sz="0" w:space="0" w:color="auto"/>
      </w:divBdr>
    </w:div>
    <w:div w:id="2017536198">
      <w:marLeft w:val="0"/>
      <w:marRight w:val="0"/>
      <w:marTop w:val="60"/>
      <w:marBottom w:val="60"/>
      <w:divBdr>
        <w:top w:val="none" w:sz="0" w:space="0" w:color="auto"/>
        <w:left w:val="none" w:sz="0" w:space="0" w:color="auto"/>
        <w:bottom w:val="none" w:sz="0" w:space="0" w:color="auto"/>
        <w:right w:val="none" w:sz="0" w:space="0" w:color="auto"/>
      </w:divBdr>
    </w:div>
    <w:div w:id="2020422627">
      <w:marLeft w:val="0"/>
      <w:marRight w:val="0"/>
      <w:marTop w:val="180"/>
      <w:marBottom w:val="180"/>
      <w:divBdr>
        <w:top w:val="none" w:sz="0" w:space="0" w:color="auto"/>
        <w:left w:val="none" w:sz="0" w:space="0" w:color="auto"/>
        <w:bottom w:val="none" w:sz="0" w:space="0" w:color="auto"/>
        <w:right w:val="none" w:sz="0" w:space="0" w:color="auto"/>
      </w:divBdr>
    </w:div>
    <w:div w:id="2020768529">
      <w:marLeft w:val="0"/>
      <w:marRight w:val="0"/>
      <w:marTop w:val="180"/>
      <w:marBottom w:val="180"/>
      <w:divBdr>
        <w:top w:val="none" w:sz="0" w:space="0" w:color="auto"/>
        <w:left w:val="none" w:sz="0" w:space="0" w:color="auto"/>
        <w:bottom w:val="none" w:sz="0" w:space="0" w:color="auto"/>
        <w:right w:val="none" w:sz="0" w:space="0" w:color="auto"/>
      </w:divBdr>
    </w:div>
    <w:div w:id="2021395593">
      <w:marLeft w:val="0"/>
      <w:marRight w:val="0"/>
      <w:marTop w:val="180"/>
      <w:marBottom w:val="180"/>
      <w:divBdr>
        <w:top w:val="none" w:sz="0" w:space="0" w:color="auto"/>
        <w:left w:val="none" w:sz="0" w:space="0" w:color="auto"/>
        <w:bottom w:val="none" w:sz="0" w:space="0" w:color="auto"/>
        <w:right w:val="none" w:sz="0" w:space="0" w:color="auto"/>
      </w:divBdr>
    </w:div>
    <w:div w:id="2023049529">
      <w:marLeft w:val="0"/>
      <w:marRight w:val="0"/>
      <w:marTop w:val="0"/>
      <w:marBottom w:val="0"/>
      <w:divBdr>
        <w:top w:val="none" w:sz="0" w:space="0" w:color="auto"/>
        <w:left w:val="none" w:sz="0" w:space="0" w:color="auto"/>
        <w:bottom w:val="none" w:sz="0" w:space="0" w:color="auto"/>
        <w:right w:val="none" w:sz="0" w:space="0" w:color="auto"/>
      </w:divBdr>
      <w:divsChild>
        <w:div w:id="1645544381">
          <w:marLeft w:val="0"/>
          <w:marRight w:val="0"/>
          <w:marTop w:val="0"/>
          <w:marBottom w:val="0"/>
          <w:divBdr>
            <w:top w:val="none" w:sz="0" w:space="0" w:color="auto"/>
            <w:left w:val="none" w:sz="0" w:space="0" w:color="auto"/>
            <w:bottom w:val="none" w:sz="0" w:space="0" w:color="auto"/>
            <w:right w:val="none" w:sz="0" w:space="0" w:color="auto"/>
          </w:divBdr>
          <w:divsChild>
            <w:div w:id="289358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5008025">
      <w:marLeft w:val="0"/>
      <w:marRight w:val="0"/>
      <w:marTop w:val="60"/>
      <w:marBottom w:val="60"/>
      <w:divBdr>
        <w:top w:val="none" w:sz="0" w:space="0" w:color="auto"/>
        <w:left w:val="none" w:sz="0" w:space="0" w:color="auto"/>
        <w:bottom w:val="none" w:sz="0" w:space="0" w:color="auto"/>
        <w:right w:val="none" w:sz="0" w:space="0" w:color="auto"/>
      </w:divBdr>
    </w:div>
    <w:div w:id="2026008869">
      <w:marLeft w:val="0"/>
      <w:marRight w:val="0"/>
      <w:marTop w:val="0"/>
      <w:marBottom w:val="0"/>
      <w:divBdr>
        <w:top w:val="none" w:sz="0" w:space="0" w:color="auto"/>
        <w:left w:val="none" w:sz="0" w:space="0" w:color="auto"/>
        <w:bottom w:val="none" w:sz="0" w:space="0" w:color="auto"/>
        <w:right w:val="none" w:sz="0" w:space="0" w:color="auto"/>
      </w:divBdr>
      <w:divsChild>
        <w:div w:id="1298024333">
          <w:marLeft w:val="0"/>
          <w:marRight w:val="0"/>
          <w:marTop w:val="0"/>
          <w:marBottom w:val="0"/>
          <w:divBdr>
            <w:top w:val="none" w:sz="0" w:space="0" w:color="auto"/>
            <w:left w:val="none" w:sz="0" w:space="0" w:color="auto"/>
            <w:bottom w:val="none" w:sz="0" w:space="0" w:color="auto"/>
            <w:right w:val="none" w:sz="0" w:space="0" w:color="auto"/>
          </w:divBdr>
          <w:divsChild>
            <w:div w:id="15890794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8940055">
      <w:marLeft w:val="0"/>
      <w:marRight w:val="0"/>
      <w:marTop w:val="180"/>
      <w:marBottom w:val="180"/>
      <w:divBdr>
        <w:top w:val="none" w:sz="0" w:space="0" w:color="auto"/>
        <w:left w:val="none" w:sz="0" w:space="0" w:color="auto"/>
        <w:bottom w:val="none" w:sz="0" w:space="0" w:color="auto"/>
        <w:right w:val="none" w:sz="0" w:space="0" w:color="auto"/>
      </w:divBdr>
    </w:div>
    <w:div w:id="2029789472">
      <w:marLeft w:val="0"/>
      <w:marRight w:val="0"/>
      <w:marTop w:val="0"/>
      <w:marBottom w:val="0"/>
      <w:divBdr>
        <w:top w:val="none" w:sz="0" w:space="0" w:color="auto"/>
        <w:left w:val="none" w:sz="0" w:space="0" w:color="auto"/>
        <w:bottom w:val="none" w:sz="0" w:space="0" w:color="auto"/>
        <w:right w:val="none" w:sz="0" w:space="0" w:color="auto"/>
      </w:divBdr>
      <w:divsChild>
        <w:div w:id="1153445401">
          <w:marLeft w:val="0"/>
          <w:marRight w:val="0"/>
          <w:marTop w:val="0"/>
          <w:marBottom w:val="0"/>
          <w:divBdr>
            <w:top w:val="none" w:sz="0" w:space="0" w:color="auto"/>
            <w:left w:val="none" w:sz="0" w:space="0" w:color="auto"/>
            <w:bottom w:val="none" w:sz="0" w:space="0" w:color="auto"/>
            <w:right w:val="none" w:sz="0" w:space="0" w:color="auto"/>
          </w:divBdr>
          <w:divsChild>
            <w:div w:id="11161716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9983352">
      <w:marLeft w:val="0"/>
      <w:marRight w:val="0"/>
      <w:marTop w:val="60"/>
      <w:marBottom w:val="60"/>
      <w:divBdr>
        <w:top w:val="none" w:sz="0" w:space="0" w:color="auto"/>
        <w:left w:val="none" w:sz="0" w:space="0" w:color="auto"/>
        <w:bottom w:val="none" w:sz="0" w:space="0" w:color="auto"/>
        <w:right w:val="none" w:sz="0" w:space="0" w:color="auto"/>
      </w:divBdr>
      <w:divsChild>
        <w:div w:id="2034114403">
          <w:marLeft w:val="0"/>
          <w:marRight w:val="0"/>
          <w:marTop w:val="0"/>
          <w:marBottom w:val="0"/>
          <w:divBdr>
            <w:top w:val="none" w:sz="0" w:space="0" w:color="auto"/>
            <w:left w:val="none" w:sz="0" w:space="0" w:color="auto"/>
            <w:bottom w:val="none" w:sz="0" w:space="0" w:color="auto"/>
            <w:right w:val="none" w:sz="0" w:space="0" w:color="auto"/>
          </w:divBdr>
        </w:div>
      </w:divsChild>
    </w:div>
    <w:div w:id="2031297734">
      <w:marLeft w:val="0"/>
      <w:marRight w:val="0"/>
      <w:marTop w:val="180"/>
      <w:marBottom w:val="180"/>
      <w:divBdr>
        <w:top w:val="none" w:sz="0" w:space="0" w:color="auto"/>
        <w:left w:val="none" w:sz="0" w:space="0" w:color="auto"/>
        <w:bottom w:val="none" w:sz="0" w:space="0" w:color="auto"/>
        <w:right w:val="none" w:sz="0" w:space="0" w:color="auto"/>
      </w:divBdr>
    </w:div>
    <w:div w:id="2032291615">
      <w:marLeft w:val="0"/>
      <w:marRight w:val="0"/>
      <w:marTop w:val="180"/>
      <w:marBottom w:val="180"/>
      <w:divBdr>
        <w:top w:val="none" w:sz="0" w:space="0" w:color="auto"/>
        <w:left w:val="none" w:sz="0" w:space="0" w:color="auto"/>
        <w:bottom w:val="none" w:sz="0" w:space="0" w:color="auto"/>
        <w:right w:val="none" w:sz="0" w:space="0" w:color="auto"/>
      </w:divBdr>
    </w:div>
    <w:div w:id="2033454317">
      <w:marLeft w:val="0"/>
      <w:marRight w:val="0"/>
      <w:marTop w:val="180"/>
      <w:marBottom w:val="60"/>
      <w:divBdr>
        <w:top w:val="none" w:sz="0" w:space="0" w:color="auto"/>
        <w:left w:val="none" w:sz="0" w:space="0" w:color="auto"/>
        <w:bottom w:val="none" w:sz="0" w:space="0" w:color="auto"/>
        <w:right w:val="none" w:sz="0" w:space="0" w:color="auto"/>
      </w:divBdr>
    </w:div>
    <w:div w:id="2037610910">
      <w:marLeft w:val="0"/>
      <w:marRight w:val="0"/>
      <w:marTop w:val="180"/>
      <w:marBottom w:val="180"/>
      <w:divBdr>
        <w:top w:val="none" w:sz="0" w:space="0" w:color="auto"/>
        <w:left w:val="none" w:sz="0" w:space="0" w:color="auto"/>
        <w:bottom w:val="none" w:sz="0" w:space="0" w:color="auto"/>
        <w:right w:val="none" w:sz="0" w:space="0" w:color="auto"/>
      </w:divBdr>
    </w:div>
    <w:div w:id="2038501057">
      <w:marLeft w:val="0"/>
      <w:marRight w:val="0"/>
      <w:marTop w:val="180"/>
      <w:marBottom w:val="180"/>
      <w:divBdr>
        <w:top w:val="none" w:sz="0" w:space="0" w:color="auto"/>
        <w:left w:val="none" w:sz="0" w:space="0" w:color="auto"/>
        <w:bottom w:val="none" w:sz="0" w:space="0" w:color="auto"/>
        <w:right w:val="none" w:sz="0" w:space="0" w:color="auto"/>
      </w:divBdr>
    </w:div>
    <w:div w:id="2040818823">
      <w:marLeft w:val="0"/>
      <w:marRight w:val="0"/>
      <w:marTop w:val="180"/>
      <w:marBottom w:val="180"/>
      <w:divBdr>
        <w:top w:val="none" w:sz="0" w:space="0" w:color="auto"/>
        <w:left w:val="none" w:sz="0" w:space="0" w:color="auto"/>
        <w:bottom w:val="none" w:sz="0" w:space="0" w:color="auto"/>
        <w:right w:val="none" w:sz="0" w:space="0" w:color="auto"/>
      </w:divBdr>
    </w:div>
    <w:div w:id="2042515413">
      <w:marLeft w:val="0"/>
      <w:marRight w:val="0"/>
      <w:marTop w:val="60"/>
      <w:marBottom w:val="60"/>
      <w:divBdr>
        <w:top w:val="none" w:sz="0" w:space="0" w:color="auto"/>
        <w:left w:val="none" w:sz="0" w:space="0" w:color="auto"/>
        <w:bottom w:val="none" w:sz="0" w:space="0" w:color="auto"/>
        <w:right w:val="none" w:sz="0" w:space="0" w:color="auto"/>
      </w:divBdr>
    </w:div>
    <w:div w:id="2043745001">
      <w:marLeft w:val="0"/>
      <w:marRight w:val="0"/>
      <w:marTop w:val="180"/>
      <w:marBottom w:val="180"/>
      <w:divBdr>
        <w:top w:val="none" w:sz="0" w:space="0" w:color="auto"/>
        <w:left w:val="none" w:sz="0" w:space="0" w:color="auto"/>
        <w:bottom w:val="none" w:sz="0" w:space="0" w:color="auto"/>
        <w:right w:val="none" w:sz="0" w:space="0" w:color="auto"/>
      </w:divBdr>
    </w:div>
    <w:div w:id="2044135566">
      <w:marLeft w:val="0"/>
      <w:marRight w:val="0"/>
      <w:marTop w:val="180"/>
      <w:marBottom w:val="180"/>
      <w:divBdr>
        <w:top w:val="none" w:sz="0" w:space="0" w:color="auto"/>
        <w:left w:val="none" w:sz="0" w:space="0" w:color="auto"/>
        <w:bottom w:val="none" w:sz="0" w:space="0" w:color="auto"/>
        <w:right w:val="none" w:sz="0" w:space="0" w:color="auto"/>
      </w:divBdr>
    </w:div>
    <w:div w:id="2045786791">
      <w:marLeft w:val="0"/>
      <w:marRight w:val="0"/>
      <w:marTop w:val="180"/>
      <w:marBottom w:val="180"/>
      <w:divBdr>
        <w:top w:val="none" w:sz="0" w:space="0" w:color="auto"/>
        <w:left w:val="none" w:sz="0" w:space="0" w:color="auto"/>
        <w:bottom w:val="none" w:sz="0" w:space="0" w:color="auto"/>
        <w:right w:val="none" w:sz="0" w:space="0" w:color="auto"/>
      </w:divBdr>
    </w:div>
    <w:div w:id="2045860643">
      <w:marLeft w:val="0"/>
      <w:marRight w:val="0"/>
      <w:marTop w:val="0"/>
      <w:marBottom w:val="0"/>
      <w:divBdr>
        <w:top w:val="none" w:sz="0" w:space="0" w:color="auto"/>
        <w:left w:val="none" w:sz="0" w:space="0" w:color="auto"/>
        <w:bottom w:val="none" w:sz="0" w:space="0" w:color="auto"/>
        <w:right w:val="none" w:sz="0" w:space="0" w:color="auto"/>
      </w:divBdr>
      <w:divsChild>
        <w:div w:id="917323563">
          <w:marLeft w:val="0"/>
          <w:marRight w:val="0"/>
          <w:marTop w:val="0"/>
          <w:marBottom w:val="0"/>
          <w:divBdr>
            <w:top w:val="none" w:sz="0" w:space="0" w:color="auto"/>
            <w:left w:val="none" w:sz="0" w:space="0" w:color="auto"/>
            <w:bottom w:val="none" w:sz="0" w:space="0" w:color="auto"/>
            <w:right w:val="none" w:sz="0" w:space="0" w:color="auto"/>
          </w:divBdr>
          <w:divsChild>
            <w:div w:id="10879238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45903930">
      <w:marLeft w:val="0"/>
      <w:marRight w:val="0"/>
      <w:marTop w:val="180"/>
      <w:marBottom w:val="180"/>
      <w:divBdr>
        <w:top w:val="none" w:sz="0" w:space="0" w:color="auto"/>
        <w:left w:val="none" w:sz="0" w:space="0" w:color="auto"/>
        <w:bottom w:val="none" w:sz="0" w:space="0" w:color="auto"/>
        <w:right w:val="none" w:sz="0" w:space="0" w:color="auto"/>
      </w:divBdr>
    </w:div>
    <w:div w:id="2046909982">
      <w:marLeft w:val="0"/>
      <w:marRight w:val="0"/>
      <w:marTop w:val="0"/>
      <w:marBottom w:val="0"/>
      <w:divBdr>
        <w:top w:val="none" w:sz="0" w:space="0" w:color="auto"/>
        <w:left w:val="none" w:sz="0" w:space="0" w:color="auto"/>
        <w:bottom w:val="none" w:sz="0" w:space="0" w:color="auto"/>
        <w:right w:val="none" w:sz="0" w:space="0" w:color="auto"/>
      </w:divBdr>
    </w:div>
    <w:div w:id="2053535231">
      <w:marLeft w:val="0"/>
      <w:marRight w:val="0"/>
      <w:marTop w:val="0"/>
      <w:marBottom w:val="0"/>
      <w:divBdr>
        <w:top w:val="none" w:sz="0" w:space="0" w:color="auto"/>
        <w:left w:val="none" w:sz="0" w:space="0" w:color="auto"/>
        <w:bottom w:val="none" w:sz="0" w:space="0" w:color="auto"/>
        <w:right w:val="none" w:sz="0" w:space="0" w:color="auto"/>
      </w:divBdr>
      <w:divsChild>
        <w:div w:id="2046251694">
          <w:marLeft w:val="0"/>
          <w:marRight w:val="0"/>
          <w:marTop w:val="0"/>
          <w:marBottom w:val="0"/>
          <w:divBdr>
            <w:top w:val="none" w:sz="0" w:space="0" w:color="auto"/>
            <w:left w:val="none" w:sz="0" w:space="0" w:color="auto"/>
            <w:bottom w:val="none" w:sz="0" w:space="0" w:color="auto"/>
            <w:right w:val="none" w:sz="0" w:space="0" w:color="auto"/>
          </w:divBdr>
          <w:divsChild>
            <w:div w:id="17733523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3647124">
      <w:marLeft w:val="0"/>
      <w:marRight w:val="0"/>
      <w:marTop w:val="180"/>
      <w:marBottom w:val="180"/>
      <w:divBdr>
        <w:top w:val="none" w:sz="0" w:space="0" w:color="auto"/>
        <w:left w:val="none" w:sz="0" w:space="0" w:color="auto"/>
        <w:bottom w:val="none" w:sz="0" w:space="0" w:color="auto"/>
        <w:right w:val="none" w:sz="0" w:space="0" w:color="auto"/>
      </w:divBdr>
    </w:div>
    <w:div w:id="2056388954">
      <w:marLeft w:val="0"/>
      <w:marRight w:val="0"/>
      <w:marTop w:val="100"/>
      <w:marBottom w:val="0"/>
      <w:divBdr>
        <w:top w:val="none" w:sz="0" w:space="0" w:color="auto"/>
        <w:left w:val="none" w:sz="0" w:space="0" w:color="auto"/>
        <w:bottom w:val="none" w:sz="0" w:space="0" w:color="auto"/>
        <w:right w:val="none" w:sz="0" w:space="0" w:color="auto"/>
      </w:divBdr>
    </w:div>
    <w:div w:id="2057073636">
      <w:marLeft w:val="0"/>
      <w:marRight w:val="0"/>
      <w:marTop w:val="180"/>
      <w:marBottom w:val="180"/>
      <w:divBdr>
        <w:top w:val="none" w:sz="0" w:space="0" w:color="auto"/>
        <w:left w:val="none" w:sz="0" w:space="0" w:color="auto"/>
        <w:bottom w:val="none" w:sz="0" w:space="0" w:color="auto"/>
        <w:right w:val="none" w:sz="0" w:space="0" w:color="auto"/>
      </w:divBdr>
    </w:div>
    <w:div w:id="2059236997">
      <w:marLeft w:val="0"/>
      <w:marRight w:val="0"/>
      <w:marTop w:val="180"/>
      <w:marBottom w:val="0"/>
      <w:divBdr>
        <w:top w:val="none" w:sz="0" w:space="0" w:color="auto"/>
        <w:left w:val="none" w:sz="0" w:space="0" w:color="auto"/>
        <w:bottom w:val="none" w:sz="0" w:space="0" w:color="auto"/>
        <w:right w:val="none" w:sz="0" w:space="0" w:color="auto"/>
      </w:divBdr>
    </w:div>
    <w:div w:id="2059434927">
      <w:marLeft w:val="0"/>
      <w:marRight w:val="0"/>
      <w:marTop w:val="180"/>
      <w:marBottom w:val="180"/>
      <w:divBdr>
        <w:top w:val="none" w:sz="0" w:space="0" w:color="auto"/>
        <w:left w:val="none" w:sz="0" w:space="0" w:color="auto"/>
        <w:bottom w:val="none" w:sz="0" w:space="0" w:color="auto"/>
        <w:right w:val="none" w:sz="0" w:space="0" w:color="auto"/>
      </w:divBdr>
    </w:div>
    <w:div w:id="2062704384">
      <w:marLeft w:val="0"/>
      <w:marRight w:val="0"/>
      <w:marTop w:val="180"/>
      <w:marBottom w:val="60"/>
      <w:divBdr>
        <w:top w:val="none" w:sz="0" w:space="0" w:color="auto"/>
        <w:left w:val="none" w:sz="0" w:space="0" w:color="auto"/>
        <w:bottom w:val="none" w:sz="0" w:space="0" w:color="auto"/>
        <w:right w:val="none" w:sz="0" w:space="0" w:color="auto"/>
      </w:divBdr>
      <w:divsChild>
        <w:div w:id="1788348470">
          <w:marLeft w:val="0"/>
          <w:marRight w:val="0"/>
          <w:marTop w:val="0"/>
          <w:marBottom w:val="0"/>
          <w:divBdr>
            <w:top w:val="none" w:sz="0" w:space="0" w:color="auto"/>
            <w:left w:val="none" w:sz="0" w:space="0" w:color="auto"/>
            <w:bottom w:val="none" w:sz="0" w:space="0" w:color="auto"/>
            <w:right w:val="none" w:sz="0" w:space="0" w:color="auto"/>
          </w:divBdr>
        </w:div>
        <w:div w:id="370035227">
          <w:marLeft w:val="0"/>
          <w:marRight w:val="0"/>
          <w:marTop w:val="0"/>
          <w:marBottom w:val="0"/>
          <w:divBdr>
            <w:top w:val="none" w:sz="0" w:space="0" w:color="auto"/>
            <w:left w:val="none" w:sz="0" w:space="0" w:color="auto"/>
            <w:bottom w:val="none" w:sz="0" w:space="0" w:color="auto"/>
            <w:right w:val="none" w:sz="0" w:space="0" w:color="auto"/>
          </w:divBdr>
        </w:div>
        <w:div w:id="187187442">
          <w:marLeft w:val="0"/>
          <w:marRight w:val="0"/>
          <w:marTop w:val="0"/>
          <w:marBottom w:val="0"/>
          <w:divBdr>
            <w:top w:val="none" w:sz="0" w:space="0" w:color="auto"/>
            <w:left w:val="none" w:sz="0" w:space="0" w:color="auto"/>
            <w:bottom w:val="none" w:sz="0" w:space="0" w:color="auto"/>
            <w:right w:val="none" w:sz="0" w:space="0" w:color="auto"/>
          </w:divBdr>
        </w:div>
      </w:divsChild>
    </w:div>
    <w:div w:id="2063481035">
      <w:marLeft w:val="0"/>
      <w:marRight w:val="0"/>
      <w:marTop w:val="60"/>
      <w:marBottom w:val="60"/>
      <w:divBdr>
        <w:top w:val="none" w:sz="0" w:space="0" w:color="auto"/>
        <w:left w:val="none" w:sz="0" w:space="0" w:color="auto"/>
        <w:bottom w:val="none" w:sz="0" w:space="0" w:color="auto"/>
        <w:right w:val="none" w:sz="0" w:space="0" w:color="auto"/>
      </w:divBdr>
    </w:div>
    <w:div w:id="2063559230">
      <w:marLeft w:val="0"/>
      <w:marRight w:val="0"/>
      <w:marTop w:val="0"/>
      <w:marBottom w:val="60"/>
      <w:divBdr>
        <w:top w:val="none" w:sz="0" w:space="0" w:color="auto"/>
        <w:left w:val="none" w:sz="0" w:space="0" w:color="auto"/>
        <w:bottom w:val="none" w:sz="0" w:space="0" w:color="auto"/>
        <w:right w:val="none" w:sz="0" w:space="0" w:color="auto"/>
      </w:divBdr>
    </w:div>
    <w:div w:id="2063748383">
      <w:marLeft w:val="0"/>
      <w:marRight w:val="0"/>
      <w:marTop w:val="180"/>
      <w:marBottom w:val="180"/>
      <w:divBdr>
        <w:top w:val="none" w:sz="0" w:space="0" w:color="auto"/>
        <w:left w:val="none" w:sz="0" w:space="0" w:color="auto"/>
        <w:bottom w:val="none" w:sz="0" w:space="0" w:color="auto"/>
        <w:right w:val="none" w:sz="0" w:space="0" w:color="auto"/>
      </w:divBdr>
    </w:div>
    <w:div w:id="2068265183">
      <w:marLeft w:val="0"/>
      <w:marRight w:val="0"/>
      <w:marTop w:val="60"/>
      <w:marBottom w:val="60"/>
      <w:divBdr>
        <w:top w:val="none" w:sz="0" w:space="0" w:color="auto"/>
        <w:left w:val="none" w:sz="0" w:space="0" w:color="auto"/>
        <w:bottom w:val="none" w:sz="0" w:space="0" w:color="auto"/>
        <w:right w:val="none" w:sz="0" w:space="0" w:color="auto"/>
      </w:divBdr>
    </w:div>
    <w:div w:id="2069376607">
      <w:marLeft w:val="0"/>
      <w:marRight w:val="0"/>
      <w:marTop w:val="180"/>
      <w:marBottom w:val="180"/>
      <w:divBdr>
        <w:top w:val="none" w:sz="0" w:space="0" w:color="auto"/>
        <w:left w:val="none" w:sz="0" w:space="0" w:color="auto"/>
        <w:bottom w:val="none" w:sz="0" w:space="0" w:color="auto"/>
        <w:right w:val="none" w:sz="0" w:space="0" w:color="auto"/>
      </w:divBdr>
    </w:div>
    <w:div w:id="2069841744">
      <w:marLeft w:val="0"/>
      <w:marRight w:val="0"/>
      <w:marTop w:val="180"/>
      <w:marBottom w:val="180"/>
      <w:divBdr>
        <w:top w:val="none" w:sz="0" w:space="0" w:color="auto"/>
        <w:left w:val="none" w:sz="0" w:space="0" w:color="auto"/>
        <w:bottom w:val="none" w:sz="0" w:space="0" w:color="auto"/>
        <w:right w:val="none" w:sz="0" w:space="0" w:color="auto"/>
      </w:divBdr>
    </w:div>
    <w:div w:id="2070030250">
      <w:marLeft w:val="0"/>
      <w:marRight w:val="0"/>
      <w:marTop w:val="180"/>
      <w:marBottom w:val="180"/>
      <w:divBdr>
        <w:top w:val="none" w:sz="0" w:space="0" w:color="auto"/>
        <w:left w:val="none" w:sz="0" w:space="0" w:color="auto"/>
        <w:bottom w:val="none" w:sz="0" w:space="0" w:color="auto"/>
        <w:right w:val="none" w:sz="0" w:space="0" w:color="auto"/>
      </w:divBdr>
    </w:div>
    <w:div w:id="2071806684">
      <w:marLeft w:val="0"/>
      <w:marRight w:val="0"/>
      <w:marTop w:val="180"/>
      <w:marBottom w:val="180"/>
      <w:divBdr>
        <w:top w:val="none" w:sz="0" w:space="0" w:color="auto"/>
        <w:left w:val="none" w:sz="0" w:space="0" w:color="auto"/>
        <w:bottom w:val="none" w:sz="0" w:space="0" w:color="auto"/>
        <w:right w:val="none" w:sz="0" w:space="0" w:color="auto"/>
      </w:divBdr>
    </w:div>
    <w:div w:id="2072120902">
      <w:marLeft w:val="0"/>
      <w:marRight w:val="0"/>
      <w:marTop w:val="180"/>
      <w:marBottom w:val="60"/>
      <w:divBdr>
        <w:top w:val="none" w:sz="0" w:space="0" w:color="auto"/>
        <w:left w:val="none" w:sz="0" w:space="0" w:color="auto"/>
        <w:bottom w:val="none" w:sz="0" w:space="0" w:color="auto"/>
        <w:right w:val="none" w:sz="0" w:space="0" w:color="auto"/>
      </w:divBdr>
      <w:divsChild>
        <w:div w:id="768547719">
          <w:marLeft w:val="0"/>
          <w:marRight w:val="0"/>
          <w:marTop w:val="0"/>
          <w:marBottom w:val="0"/>
          <w:divBdr>
            <w:top w:val="none" w:sz="0" w:space="0" w:color="auto"/>
            <w:left w:val="none" w:sz="0" w:space="0" w:color="auto"/>
            <w:bottom w:val="none" w:sz="0" w:space="0" w:color="auto"/>
            <w:right w:val="none" w:sz="0" w:space="0" w:color="auto"/>
          </w:divBdr>
        </w:div>
        <w:div w:id="200090465">
          <w:marLeft w:val="0"/>
          <w:marRight w:val="0"/>
          <w:marTop w:val="0"/>
          <w:marBottom w:val="0"/>
          <w:divBdr>
            <w:top w:val="none" w:sz="0" w:space="0" w:color="auto"/>
            <w:left w:val="none" w:sz="0" w:space="0" w:color="auto"/>
            <w:bottom w:val="none" w:sz="0" w:space="0" w:color="auto"/>
            <w:right w:val="none" w:sz="0" w:space="0" w:color="auto"/>
          </w:divBdr>
        </w:div>
        <w:div w:id="1267926620">
          <w:marLeft w:val="0"/>
          <w:marRight w:val="0"/>
          <w:marTop w:val="0"/>
          <w:marBottom w:val="0"/>
          <w:divBdr>
            <w:top w:val="none" w:sz="0" w:space="0" w:color="auto"/>
            <w:left w:val="none" w:sz="0" w:space="0" w:color="auto"/>
            <w:bottom w:val="none" w:sz="0" w:space="0" w:color="auto"/>
            <w:right w:val="none" w:sz="0" w:space="0" w:color="auto"/>
          </w:divBdr>
        </w:div>
      </w:divsChild>
    </w:div>
    <w:div w:id="2072193571">
      <w:marLeft w:val="0"/>
      <w:marRight w:val="0"/>
      <w:marTop w:val="60"/>
      <w:marBottom w:val="60"/>
      <w:divBdr>
        <w:top w:val="none" w:sz="0" w:space="0" w:color="auto"/>
        <w:left w:val="none" w:sz="0" w:space="0" w:color="auto"/>
        <w:bottom w:val="none" w:sz="0" w:space="0" w:color="auto"/>
        <w:right w:val="none" w:sz="0" w:space="0" w:color="auto"/>
      </w:divBdr>
    </w:div>
    <w:div w:id="2072846154">
      <w:marLeft w:val="0"/>
      <w:marRight w:val="0"/>
      <w:marTop w:val="0"/>
      <w:marBottom w:val="0"/>
      <w:divBdr>
        <w:top w:val="none" w:sz="0" w:space="0" w:color="auto"/>
        <w:left w:val="none" w:sz="0" w:space="0" w:color="auto"/>
        <w:bottom w:val="none" w:sz="0" w:space="0" w:color="auto"/>
        <w:right w:val="none" w:sz="0" w:space="0" w:color="auto"/>
      </w:divBdr>
      <w:divsChild>
        <w:div w:id="1590850424">
          <w:marLeft w:val="0"/>
          <w:marRight w:val="0"/>
          <w:marTop w:val="60"/>
          <w:marBottom w:val="180"/>
          <w:divBdr>
            <w:top w:val="none" w:sz="0" w:space="0" w:color="auto"/>
            <w:left w:val="none" w:sz="0" w:space="0" w:color="auto"/>
            <w:bottom w:val="none" w:sz="0" w:space="0" w:color="auto"/>
            <w:right w:val="none" w:sz="0" w:space="0" w:color="auto"/>
          </w:divBdr>
        </w:div>
      </w:divsChild>
    </w:div>
    <w:div w:id="2073456275">
      <w:marLeft w:val="0"/>
      <w:marRight w:val="0"/>
      <w:marTop w:val="60"/>
      <w:marBottom w:val="60"/>
      <w:divBdr>
        <w:top w:val="none" w:sz="0" w:space="0" w:color="auto"/>
        <w:left w:val="none" w:sz="0" w:space="0" w:color="auto"/>
        <w:bottom w:val="none" w:sz="0" w:space="0" w:color="auto"/>
        <w:right w:val="none" w:sz="0" w:space="0" w:color="auto"/>
      </w:divBdr>
    </w:div>
    <w:div w:id="2076078815">
      <w:marLeft w:val="0"/>
      <w:marRight w:val="0"/>
      <w:marTop w:val="0"/>
      <w:marBottom w:val="0"/>
      <w:divBdr>
        <w:top w:val="none" w:sz="0" w:space="0" w:color="auto"/>
        <w:left w:val="none" w:sz="0" w:space="0" w:color="auto"/>
        <w:bottom w:val="none" w:sz="0" w:space="0" w:color="auto"/>
        <w:right w:val="none" w:sz="0" w:space="0" w:color="auto"/>
      </w:divBdr>
    </w:div>
    <w:div w:id="2076392446">
      <w:marLeft w:val="0"/>
      <w:marRight w:val="0"/>
      <w:marTop w:val="180"/>
      <w:marBottom w:val="60"/>
      <w:divBdr>
        <w:top w:val="none" w:sz="0" w:space="0" w:color="auto"/>
        <w:left w:val="none" w:sz="0" w:space="0" w:color="auto"/>
        <w:bottom w:val="none" w:sz="0" w:space="0" w:color="auto"/>
        <w:right w:val="none" w:sz="0" w:space="0" w:color="auto"/>
      </w:divBdr>
    </w:div>
    <w:div w:id="2077048974">
      <w:marLeft w:val="0"/>
      <w:marRight w:val="0"/>
      <w:marTop w:val="180"/>
      <w:marBottom w:val="180"/>
      <w:divBdr>
        <w:top w:val="none" w:sz="0" w:space="0" w:color="auto"/>
        <w:left w:val="none" w:sz="0" w:space="0" w:color="auto"/>
        <w:bottom w:val="none" w:sz="0" w:space="0" w:color="auto"/>
        <w:right w:val="none" w:sz="0" w:space="0" w:color="auto"/>
      </w:divBdr>
    </w:div>
    <w:div w:id="2083209441">
      <w:marLeft w:val="0"/>
      <w:marRight w:val="0"/>
      <w:marTop w:val="60"/>
      <w:marBottom w:val="60"/>
      <w:divBdr>
        <w:top w:val="none" w:sz="0" w:space="0" w:color="auto"/>
        <w:left w:val="none" w:sz="0" w:space="0" w:color="auto"/>
        <w:bottom w:val="none" w:sz="0" w:space="0" w:color="auto"/>
        <w:right w:val="none" w:sz="0" w:space="0" w:color="auto"/>
      </w:divBdr>
    </w:div>
    <w:div w:id="2083210373">
      <w:marLeft w:val="0"/>
      <w:marRight w:val="0"/>
      <w:marTop w:val="180"/>
      <w:marBottom w:val="180"/>
      <w:divBdr>
        <w:top w:val="none" w:sz="0" w:space="0" w:color="auto"/>
        <w:left w:val="none" w:sz="0" w:space="0" w:color="auto"/>
        <w:bottom w:val="none" w:sz="0" w:space="0" w:color="auto"/>
        <w:right w:val="none" w:sz="0" w:space="0" w:color="auto"/>
      </w:divBdr>
    </w:div>
    <w:div w:id="2084333872">
      <w:marLeft w:val="0"/>
      <w:marRight w:val="0"/>
      <w:marTop w:val="0"/>
      <w:marBottom w:val="0"/>
      <w:divBdr>
        <w:top w:val="none" w:sz="0" w:space="0" w:color="auto"/>
        <w:left w:val="none" w:sz="0" w:space="0" w:color="auto"/>
        <w:bottom w:val="none" w:sz="0" w:space="0" w:color="auto"/>
        <w:right w:val="none" w:sz="0" w:space="0" w:color="auto"/>
      </w:divBdr>
    </w:div>
    <w:div w:id="2086762838">
      <w:marLeft w:val="0"/>
      <w:marRight w:val="0"/>
      <w:marTop w:val="60"/>
      <w:marBottom w:val="60"/>
      <w:divBdr>
        <w:top w:val="none" w:sz="0" w:space="0" w:color="auto"/>
        <w:left w:val="none" w:sz="0" w:space="0" w:color="auto"/>
        <w:bottom w:val="none" w:sz="0" w:space="0" w:color="auto"/>
        <w:right w:val="none" w:sz="0" w:space="0" w:color="auto"/>
      </w:divBdr>
      <w:divsChild>
        <w:div w:id="934095559">
          <w:marLeft w:val="0"/>
          <w:marRight w:val="0"/>
          <w:marTop w:val="0"/>
          <w:marBottom w:val="0"/>
          <w:divBdr>
            <w:top w:val="none" w:sz="0" w:space="0" w:color="auto"/>
            <w:left w:val="none" w:sz="0" w:space="0" w:color="auto"/>
            <w:bottom w:val="none" w:sz="0" w:space="0" w:color="auto"/>
            <w:right w:val="none" w:sz="0" w:space="0" w:color="auto"/>
          </w:divBdr>
        </w:div>
      </w:divsChild>
    </w:div>
    <w:div w:id="2089226127">
      <w:marLeft w:val="0"/>
      <w:marRight w:val="0"/>
      <w:marTop w:val="180"/>
      <w:marBottom w:val="180"/>
      <w:divBdr>
        <w:top w:val="none" w:sz="0" w:space="0" w:color="auto"/>
        <w:left w:val="none" w:sz="0" w:space="0" w:color="auto"/>
        <w:bottom w:val="none" w:sz="0" w:space="0" w:color="auto"/>
        <w:right w:val="none" w:sz="0" w:space="0" w:color="auto"/>
      </w:divBdr>
    </w:div>
    <w:div w:id="2091849336">
      <w:marLeft w:val="0"/>
      <w:marRight w:val="0"/>
      <w:marTop w:val="60"/>
      <w:marBottom w:val="60"/>
      <w:divBdr>
        <w:top w:val="none" w:sz="0" w:space="0" w:color="auto"/>
        <w:left w:val="none" w:sz="0" w:space="0" w:color="auto"/>
        <w:bottom w:val="none" w:sz="0" w:space="0" w:color="auto"/>
        <w:right w:val="none" w:sz="0" w:space="0" w:color="auto"/>
      </w:divBdr>
    </w:div>
    <w:div w:id="2092966652">
      <w:marLeft w:val="0"/>
      <w:marRight w:val="0"/>
      <w:marTop w:val="180"/>
      <w:marBottom w:val="180"/>
      <w:divBdr>
        <w:top w:val="none" w:sz="0" w:space="0" w:color="auto"/>
        <w:left w:val="none" w:sz="0" w:space="0" w:color="auto"/>
        <w:bottom w:val="none" w:sz="0" w:space="0" w:color="auto"/>
        <w:right w:val="none" w:sz="0" w:space="0" w:color="auto"/>
      </w:divBdr>
    </w:div>
    <w:div w:id="2093042965">
      <w:marLeft w:val="0"/>
      <w:marRight w:val="0"/>
      <w:marTop w:val="180"/>
      <w:marBottom w:val="180"/>
      <w:divBdr>
        <w:top w:val="none" w:sz="0" w:space="0" w:color="auto"/>
        <w:left w:val="none" w:sz="0" w:space="0" w:color="auto"/>
        <w:bottom w:val="none" w:sz="0" w:space="0" w:color="auto"/>
        <w:right w:val="none" w:sz="0" w:space="0" w:color="auto"/>
      </w:divBdr>
    </w:div>
    <w:div w:id="2093892265">
      <w:marLeft w:val="0"/>
      <w:marRight w:val="0"/>
      <w:marTop w:val="60"/>
      <w:marBottom w:val="60"/>
      <w:divBdr>
        <w:top w:val="none" w:sz="0" w:space="0" w:color="auto"/>
        <w:left w:val="none" w:sz="0" w:space="0" w:color="auto"/>
        <w:bottom w:val="none" w:sz="0" w:space="0" w:color="auto"/>
        <w:right w:val="none" w:sz="0" w:space="0" w:color="auto"/>
      </w:divBdr>
    </w:div>
    <w:div w:id="2096128944">
      <w:marLeft w:val="0"/>
      <w:marRight w:val="0"/>
      <w:marTop w:val="60"/>
      <w:marBottom w:val="60"/>
      <w:divBdr>
        <w:top w:val="none" w:sz="0" w:space="0" w:color="auto"/>
        <w:left w:val="none" w:sz="0" w:space="0" w:color="auto"/>
        <w:bottom w:val="none" w:sz="0" w:space="0" w:color="auto"/>
        <w:right w:val="none" w:sz="0" w:space="0" w:color="auto"/>
      </w:divBdr>
    </w:div>
    <w:div w:id="2097703245">
      <w:marLeft w:val="0"/>
      <w:marRight w:val="0"/>
      <w:marTop w:val="180"/>
      <w:marBottom w:val="60"/>
      <w:divBdr>
        <w:top w:val="none" w:sz="0" w:space="0" w:color="auto"/>
        <w:left w:val="none" w:sz="0" w:space="0" w:color="auto"/>
        <w:bottom w:val="none" w:sz="0" w:space="0" w:color="auto"/>
        <w:right w:val="none" w:sz="0" w:space="0" w:color="auto"/>
      </w:divBdr>
    </w:div>
    <w:div w:id="2099130956">
      <w:marLeft w:val="0"/>
      <w:marRight w:val="0"/>
      <w:marTop w:val="180"/>
      <w:marBottom w:val="180"/>
      <w:divBdr>
        <w:top w:val="none" w:sz="0" w:space="0" w:color="auto"/>
        <w:left w:val="none" w:sz="0" w:space="0" w:color="auto"/>
        <w:bottom w:val="none" w:sz="0" w:space="0" w:color="auto"/>
        <w:right w:val="none" w:sz="0" w:space="0" w:color="auto"/>
      </w:divBdr>
    </w:div>
    <w:div w:id="2102526700">
      <w:marLeft w:val="0"/>
      <w:marRight w:val="0"/>
      <w:marTop w:val="180"/>
      <w:marBottom w:val="180"/>
      <w:divBdr>
        <w:top w:val="none" w:sz="0" w:space="0" w:color="auto"/>
        <w:left w:val="none" w:sz="0" w:space="0" w:color="auto"/>
        <w:bottom w:val="none" w:sz="0" w:space="0" w:color="auto"/>
        <w:right w:val="none" w:sz="0" w:space="0" w:color="auto"/>
      </w:divBdr>
    </w:div>
    <w:div w:id="2102555845">
      <w:marLeft w:val="0"/>
      <w:marRight w:val="0"/>
      <w:marTop w:val="180"/>
      <w:marBottom w:val="180"/>
      <w:divBdr>
        <w:top w:val="none" w:sz="0" w:space="0" w:color="auto"/>
        <w:left w:val="none" w:sz="0" w:space="0" w:color="auto"/>
        <w:bottom w:val="none" w:sz="0" w:space="0" w:color="auto"/>
        <w:right w:val="none" w:sz="0" w:space="0" w:color="auto"/>
      </w:divBdr>
    </w:div>
    <w:div w:id="2103838363">
      <w:marLeft w:val="0"/>
      <w:marRight w:val="0"/>
      <w:marTop w:val="180"/>
      <w:marBottom w:val="180"/>
      <w:divBdr>
        <w:top w:val="none" w:sz="0" w:space="0" w:color="auto"/>
        <w:left w:val="none" w:sz="0" w:space="0" w:color="auto"/>
        <w:bottom w:val="none" w:sz="0" w:space="0" w:color="auto"/>
        <w:right w:val="none" w:sz="0" w:space="0" w:color="auto"/>
      </w:divBdr>
    </w:div>
    <w:div w:id="2104102008">
      <w:marLeft w:val="0"/>
      <w:marRight w:val="0"/>
      <w:marTop w:val="180"/>
      <w:marBottom w:val="180"/>
      <w:divBdr>
        <w:top w:val="none" w:sz="0" w:space="0" w:color="auto"/>
        <w:left w:val="none" w:sz="0" w:space="0" w:color="auto"/>
        <w:bottom w:val="none" w:sz="0" w:space="0" w:color="auto"/>
        <w:right w:val="none" w:sz="0" w:space="0" w:color="auto"/>
      </w:divBdr>
    </w:div>
    <w:div w:id="2106614247">
      <w:marLeft w:val="0"/>
      <w:marRight w:val="0"/>
      <w:marTop w:val="180"/>
      <w:marBottom w:val="180"/>
      <w:divBdr>
        <w:top w:val="none" w:sz="0" w:space="0" w:color="auto"/>
        <w:left w:val="none" w:sz="0" w:space="0" w:color="auto"/>
        <w:bottom w:val="none" w:sz="0" w:space="0" w:color="auto"/>
        <w:right w:val="none" w:sz="0" w:space="0" w:color="auto"/>
      </w:divBdr>
    </w:div>
    <w:div w:id="2107454511">
      <w:marLeft w:val="0"/>
      <w:marRight w:val="0"/>
      <w:marTop w:val="180"/>
      <w:marBottom w:val="180"/>
      <w:divBdr>
        <w:top w:val="none" w:sz="0" w:space="0" w:color="auto"/>
        <w:left w:val="none" w:sz="0" w:space="0" w:color="auto"/>
        <w:bottom w:val="none" w:sz="0" w:space="0" w:color="auto"/>
        <w:right w:val="none" w:sz="0" w:space="0" w:color="auto"/>
      </w:divBdr>
    </w:div>
    <w:div w:id="2107845586">
      <w:marLeft w:val="0"/>
      <w:marRight w:val="0"/>
      <w:marTop w:val="180"/>
      <w:marBottom w:val="180"/>
      <w:divBdr>
        <w:top w:val="none" w:sz="0" w:space="0" w:color="auto"/>
        <w:left w:val="none" w:sz="0" w:space="0" w:color="auto"/>
        <w:bottom w:val="none" w:sz="0" w:space="0" w:color="auto"/>
        <w:right w:val="none" w:sz="0" w:space="0" w:color="auto"/>
      </w:divBdr>
    </w:div>
    <w:div w:id="2108841632">
      <w:marLeft w:val="0"/>
      <w:marRight w:val="0"/>
      <w:marTop w:val="180"/>
      <w:marBottom w:val="180"/>
      <w:divBdr>
        <w:top w:val="none" w:sz="0" w:space="0" w:color="auto"/>
        <w:left w:val="none" w:sz="0" w:space="0" w:color="auto"/>
        <w:bottom w:val="none" w:sz="0" w:space="0" w:color="auto"/>
        <w:right w:val="none" w:sz="0" w:space="0" w:color="auto"/>
      </w:divBdr>
    </w:div>
    <w:div w:id="2113427611">
      <w:marLeft w:val="0"/>
      <w:marRight w:val="0"/>
      <w:marTop w:val="180"/>
      <w:marBottom w:val="180"/>
      <w:divBdr>
        <w:top w:val="none" w:sz="0" w:space="0" w:color="auto"/>
        <w:left w:val="none" w:sz="0" w:space="0" w:color="auto"/>
        <w:bottom w:val="none" w:sz="0" w:space="0" w:color="auto"/>
        <w:right w:val="none" w:sz="0" w:space="0" w:color="auto"/>
      </w:divBdr>
    </w:div>
    <w:div w:id="2113889073">
      <w:marLeft w:val="0"/>
      <w:marRight w:val="0"/>
      <w:marTop w:val="180"/>
      <w:marBottom w:val="180"/>
      <w:divBdr>
        <w:top w:val="none" w:sz="0" w:space="0" w:color="auto"/>
        <w:left w:val="none" w:sz="0" w:space="0" w:color="auto"/>
        <w:bottom w:val="none" w:sz="0" w:space="0" w:color="auto"/>
        <w:right w:val="none" w:sz="0" w:space="0" w:color="auto"/>
      </w:divBdr>
    </w:div>
    <w:div w:id="2115396705">
      <w:marLeft w:val="0"/>
      <w:marRight w:val="0"/>
      <w:marTop w:val="60"/>
      <w:marBottom w:val="60"/>
      <w:divBdr>
        <w:top w:val="none" w:sz="0" w:space="0" w:color="auto"/>
        <w:left w:val="none" w:sz="0" w:space="0" w:color="auto"/>
        <w:bottom w:val="none" w:sz="0" w:space="0" w:color="auto"/>
        <w:right w:val="none" w:sz="0" w:space="0" w:color="auto"/>
      </w:divBdr>
    </w:div>
    <w:div w:id="2117827973">
      <w:marLeft w:val="0"/>
      <w:marRight w:val="0"/>
      <w:marTop w:val="0"/>
      <w:marBottom w:val="0"/>
      <w:divBdr>
        <w:top w:val="none" w:sz="0" w:space="0" w:color="auto"/>
        <w:left w:val="none" w:sz="0" w:space="0" w:color="auto"/>
        <w:bottom w:val="none" w:sz="0" w:space="0" w:color="auto"/>
        <w:right w:val="none" w:sz="0" w:space="0" w:color="auto"/>
      </w:divBdr>
      <w:divsChild>
        <w:div w:id="1907567262">
          <w:marLeft w:val="0"/>
          <w:marRight w:val="0"/>
          <w:marTop w:val="60"/>
          <w:marBottom w:val="60"/>
          <w:divBdr>
            <w:top w:val="none" w:sz="0" w:space="0" w:color="auto"/>
            <w:left w:val="none" w:sz="0" w:space="0" w:color="auto"/>
            <w:bottom w:val="none" w:sz="0" w:space="0" w:color="auto"/>
            <w:right w:val="none" w:sz="0" w:space="0" w:color="auto"/>
          </w:divBdr>
        </w:div>
      </w:divsChild>
    </w:div>
    <w:div w:id="2119373088">
      <w:marLeft w:val="0"/>
      <w:marRight w:val="0"/>
      <w:marTop w:val="60"/>
      <w:marBottom w:val="0"/>
      <w:divBdr>
        <w:top w:val="none" w:sz="0" w:space="0" w:color="auto"/>
        <w:left w:val="none" w:sz="0" w:space="0" w:color="auto"/>
        <w:bottom w:val="none" w:sz="0" w:space="0" w:color="auto"/>
        <w:right w:val="none" w:sz="0" w:space="0" w:color="auto"/>
      </w:divBdr>
    </w:div>
    <w:div w:id="2121100868">
      <w:marLeft w:val="0"/>
      <w:marRight w:val="0"/>
      <w:marTop w:val="180"/>
      <w:marBottom w:val="180"/>
      <w:divBdr>
        <w:top w:val="none" w:sz="0" w:space="0" w:color="auto"/>
        <w:left w:val="none" w:sz="0" w:space="0" w:color="auto"/>
        <w:bottom w:val="none" w:sz="0" w:space="0" w:color="auto"/>
        <w:right w:val="none" w:sz="0" w:space="0" w:color="auto"/>
      </w:divBdr>
    </w:div>
    <w:div w:id="2127652551">
      <w:marLeft w:val="0"/>
      <w:marRight w:val="0"/>
      <w:marTop w:val="180"/>
      <w:marBottom w:val="180"/>
      <w:divBdr>
        <w:top w:val="none" w:sz="0" w:space="0" w:color="auto"/>
        <w:left w:val="none" w:sz="0" w:space="0" w:color="auto"/>
        <w:bottom w:val="none" w:sz="0" w:space="0" w:color="auto"/>
        <w:right w:val="none" w:sz="0" w:space="0" w:color="auto"/>
      </w:divBdr>
    </w:div>
    <w:div w:id="2127700085">
      <w:marLeft w:val="0"/>
      <w:marRight w:val="0"/>
      <w:marTop w:val="60"/>
      <w:marBottom w:val="60"/>
      <w:divBdr>
        <w:top w:val="none" w:sz="0" w:space="0" w:color="auto"/>
        <w:left w:val="none" w:sz="0" w:space="0" w:color="auto"/>
        <w:bottom w:val="none" w:sz="0" w:space="0" w:color="auto"/>
        <w:right w:val="none" w:sz="0" w:space="0" w:color="auto"/>
      </w:divBdr>
    </w:div>
    <w:div w:id="2128884216">
      <w:marLeft w:val="0"/>
      <w:marRight w:val="0"/>
      <w:marTop w:val="180"/>
      <w:marBottom w:val="180"/>
      <w:divBdr>
        <w:top w:val="none" w:sz="0" w:space="0" w:color="auto"/>
        <w:left w:val="none" w:sz="0" w:space="0" w:color="auto"/>
        <w:bottom w:val="none" w:sz="0" w:space="0" w:color="auto"/>
        <w:right w:val="none" w:sz="0" w:space="0" w:color="auto"/>
      </w:divBdr>
    </w:div>
    <w:div w:id="2129543648">
      <w:marLeft w:val="0"/>
      <w:marRight w:val="0"/>
      <w:marTop w:val="180"/>
      <w:marBottom w:val="180"/>
      <w:divBdr>
        <w:top w:val="none" w:sz="0" w:space="0" w:color="auto"/>
        <w:left w:val="none" w:sz="0" w:space="0" w:color="auto"/>
        <w:bottom w:val="none" w:sz="0" w:space="0" w:color="auto"/>
        <w:right w:val="none" w:sz="0" w:space="0" w:color="auto"/>
      </w:divBdr>
    </w:div>
    <w:div w:id="2132935218">
      <w:marLeft w:val="0"/>
      <w:marRight w:val="0"/>
      <w:marTop w:val="180"/>
      <w:marBottom w:val="180"/>
      <w:divBdr>
        <w:top w:val="none" w:sz="0" w:space="0" w:color="auto"/>
        <w:left w:val="none" w:sz="0" w:space="0" w:color="auto"/>
        <w:bottom w:val="none" w:sz="0" w:space="0" w:color="auto"/>
        <w:right w:val="none" w:sz="0" w:space="0" w:color="auto"/>
      </w:divBdr>
    </w:div>
    <w:div w:id="2134058102">
      <w:marLeft w:val="0"/>
      <w:marRight w:val="0"/>
      <w:marTop w:val="180"/>
      <w:marBottom w:val="180"/>
      <w:divBdr>
        <w:top w:val="none" w:sz="0" w:space="0" w:color="auto"/>
        <w:left w:val="none" w:sz="0" w:space="0" w:color="auto"/>
        <w:bottom w:val="none" w:sz="0" w:space="0" w:color="auto"/>
        <w:right w:val="none" w:sz="0" w:space="0" w:color="auto"/>
      </w:divBdr>
    </w:div>
    <w:div w:id="2137749139">
      <w:marLeft w:val="0"/>
      <w:marRight w:val="0"/>
      <w:marTop w:val="180"/>
      <w:marBottom w:val="180"/>
      <w:divBdr>
        <w:top w:val="none" w:sz="0" w:space="0" w:color="auto"/>
        <w:left w:val="none" w:sz="0" w:space="0" w:color="auto"/>
        <w:bottom w:val="none" w:sz="0" w:space="0" w:color="auto"/>
        <w:right w:val="none" w:sz="0" w:space="0" w:color="auto"/>
      </w:divBdr>
    </w:div>
    <w:div w:id="2138374831">
      <w:marLeft w:val="0"/>
      <w:marRight w:val="0"/>
      <w:marTop w:val="120"/>
      <w:marBottom w:val="120"/>
      <w:divBdr>
        <w:top w:val="none" w:sz="0" w:space="0" w:color="auto"/>
        <w:left w:val="none" w:sz="0" w:space="0" w:color="auto"/>
        <w:bottom w:val="none" w:sz="0" w:space="0" w:color="auto"/>
        <w:right w:val="none" w:sz="0" w:space="0" w:color="auto"/>
      </w:divBdr>
    </w:div>
    <w:div w:id="2139637379">
      <w:marLeft w:val="0"/>
      <w:marRight w:val="0"/>
      <w:marTop w:val="180"/>
      <w:marBottom w:val="60"/>
      <w:divBdr>
        <w:top w:val="none" w:sz="0" w:space="0" w:color="auto"/>
        <w:left w:val="none" w:sz="0" w:space="0" w:color="auto"/>
        <w:bottom w:val="none" w:sz="0" w:space="0" w:color="auto"/>
        <w:right w:val="none" w:sz="0" w:space="0" w:color="auto"/>
      </w:divBdr>
    </w:div>
    <w:div w:id="2144106512">
      <w:marLeft w:val="0"/>
      <w:marRight w:val="0"/>
      <w:marTop w:val="180"/>
      <w:marBottom w:val="180"/>
      <w:divBdr>
        <w:top w:val="none" w:sz="0" w:space="0" w:color="auto"/>
        <w:left w:val="none" w:sz="0" w:space="0" w:color="auto"/>
        <w:bottom w:val="none" w:sz="0" w:space="0" w:color="auto"/>
        <w:right w:val="none" w:sz="0" w:space="0" w:color="auto"/>
      </w:divBdr>
    </w:div>
    <w:div w:id="2144232924">
      <w:marLeft w:val="0"/>
      <w:marRight w:val="0"/>
      <w:marTop w:val="240"/>
      <w:marBottom w:val="180"/>
      <w:divBdr>
        <w:top w:val="none" w:sz="0" w:space="0" w:color="auto"/>
        <w:left w:val="none" w:sz="0" w:space="0" w:color="auto"/>
        <w:bottom w:val="none" w:sz="0" w:space="0" w:color="auto"/>
        <w:right w:val="none" w:sz="0" w:space="0" w:color="auto"/>
      </w:divBdr>
    </w:div>
    <w:div w:id="2145921301">
      <w:marLeft w:val="0"/>
      <w:marRight w:val="0"/>
      <w:marTop w:val="180"/>
      <w:marBottom w:val="180"/>
      <w:divBdr>
        <w:top w:val="none" w:sz="0" w:space="0" w:color="auto"/>
        <w:left w:val="none" w:sz="0" w:space="0" w:color="auto"/>
        <w:bottom w:val="none" w:sz="0" w:space="0" w:color="auto"/>
        <w:right w:val="none" w:sz="0" w:space="0" w:color="auto"/>
      </w:divBdr>
    </w:div>
    <w:div w:id="2146584691">
      <w:marLeft w:val="0"/>
      <w:marRight w:val="0"/>
      <w:marTop w:val="18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f-06302022x10qxex312.htm" TargetMode="External"/><Relationship Id="rId3" Type="http://schemas.openxmlformats.org/officeDocument/2006/relationships/webSettings" Target="webSettings.xml"/><Relationship Id="rId7" Type="http://schemas.openxmlformats.org/officeDocument/2006/relationships/hyperlink" Target="cof-06302022x10qxex31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f-06302022x10qxex101.htm" TargetMode="External"/><Relationship Id="rId11" Type="http://schemas.openxmlformats.org/officeDocument/2006/relationships/fontTable" Target="fontTable.xml"/><Relationship Id="rId5" Type="http://schemas.openxmlformats.org/officeDocument/2006/relationships/hyperlink" Target="https://www.sec.gov/Archives/edgar/data/927628/000092762821000285/exhibit31amendedandrestate.htm" TargetMode="External"/><Relationship Id="rId10" Type="http://schemas.openxmlformats.org/officeDocument/2006/relationships/hyperlink" Target="cof-06302022x10qxex322.htm" TargetMode="External"/><Relationship Id="rId4" Type="http://schemas.openxmlformats.org/officeDocument/2006/relationships/hyperlink" Target="https://www.sec.gov/Archives/edgar/data/927628/000092762820000189/exhibit32restatedcerti.htm" TargetMode="External"/><Relationship Id="rId9" Type="http://schemas.openxmlformats.org/officeDocument/2006/relationships/hyperlink" Target="cof-06302022x10qx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79514</Words>
  <Characters>453230</Characters>
  <Application>Microsoft Office Word</Application>
  <DocSecurity>0</DocSecurity>
  <Lines>3776</Lines>
  <Paragraphs>1063</Paragraphs>
  <ScaleCrop>false</ScaleCrop>
  <Company/>
  <LinksUpToDate>false</LinksUpToDate>
  <CharactersWithSpaces>531681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cof-20220630</dc:title>
  <dc:subject/>
  <dc:creator>Chongjian.Yue</dc:creator>
  <cp:keywords/>
  <dc:description/>
  <cp:lastModifiedBy>Yue Chongjian</cp:lastModifiedBy>
  <cp:revision>1</cp:revision>
  <dcterms:created xsi:type="dcterms:W3CDTF">2024-01-04T15:36:00Z</dcterms:created>
  <dcterms:modified xsi:type="dcterms:W3CDTF">2024-01-04T15:36:00Z</dcterms:modified>
</cp:coreProperties>
</file>